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footer8.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5.xml" ContentType="application/vnd.openxmlformats-officedocument.wordprocessingml.header+xml"/>
  <Override PartName="/word/footer11.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21.xml" ContentType="application/vnd.openxmlformats-officedocument.wordprocessingml.header+xml"/>
  <Override PartName="/word/footer16.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24.xml" ContentType="application/vnd.openxmlformats-officedocument.wordprocessingml.header+xml"/>
  <Override PartName="/word/footer19.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7.xml" ContentType="application/vnd.openxmlformats-officedocument.wordprocessingml.header+xml"/>
  <Override PartName="/word/footer2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1C82D" w14:textId="1E4F7C58" w:rsidR="004E7B0F" w:rsidRPr="00AC1668" w:rsidRDefault="004E7B0F" w:rsidP="00F36B82">
      <w:pPr>
        <w:pStyle w:val="KonuBal"/>
        <w:widowControl w:val="0"/>
        <w:tabs>
          <w:tab w:val="clear" w:pos="4395"/>
        </w:tabs>
        <w:suppressAutoHyphens/>
        <w:autoSpaceDE/>
        <w:autoSpaceDN/>
        <w:adjustRightInd/>
        <w:ind w:left="284"/>
        <w:jc w:val="left"/>
        <w:rPr>
          <w:rFonts w:ascii="Times New Roman" w:hAnsi="Times New Roman"/>
          <w:sz w:val="24"/>
          <w:szCs w:val="24"/>
        </w:rPr>
      </w:pPr>
    </w:p>
    <w:p w14:paraId="68F1FED3" w14:textId="7F5856B9" w:rsidR="004E7B0F" w:rsidRPr="00AC1668" w:rsidRDefault="004E7B0F" w:rsidP="00F36B82">
      <w:pPr>
        <w:pStyle w:val="KonuBal"/>
        <w:widowControl w:val="0"/>
        <w:tabs>
          <w:tab w:val="clear" w:pos="4395"/>
        </w:tabs>
        <w:suppressAutoHyphens/>
        <w:autoSpaceDE/>
        <w:autoSpaceDN/>
        <w:adjustRightInd/>
        <w:ind w:left="284"/>
        <w:jc w:val="left"/>
        <w:rPr>
          <w:rFonts w:ascii="Times New Roman" w:hAnsi="Times New Roman"/>
          <w:sz w:val="24"/>
          <w:szCs w:val="24"/>
        </w:rPr>
      </w:pPr>
    </w:p>
    <w:p w14:paraId="7B03F502" w14:textId="61DB4D07" w:rsidR="000F6A18" w:rsidRPr="00AC1668" w:rsidRDefault="000F6A18" w:rsidP="00F36B82">
      <w:pPr>
        <w:pStyle w:val="KonuBal"/>
        <w:widowControl w:val="0"/>
        <w:tabs>
          <w:tab w:val="clear" w:pos="4395"/>
        </w:tabs>
        <w:suppressAutoHyphens/>
        <w:autoSpaceDE/>
        <w:autoSpaceDN/>
        <w:adjustRightInd/>
        <w:ind w:left="284"/>
        <w:jc w:val="left"/>
        <w:rPr>
          <w:rFonts w:ascii="Times New Roman" w:hAnsi="Times New Roman"/>
          <w:sz w:val="24"/>
          <w:szCs w:val="24"/>
        </w:rPr>
      </w:pPr>
    </w:p>
    <w:p w14:paraId="3526F6C3" w14:textId="32D55BED" w:rsidR="000F6A18" w:rsidRPr="00AC1668" w:rsidRDefault="000F6A18" w:rsidP="00F36B82">
      <w:pPr>
        <w:pStyle w:val="KonuBal"/>
        <w:widowControl w:val="0"/>
        <w:tabs>
          <w:tab w:val="clear" w:pos="4395"/>
        </w:tabs>
        <w:suppressAutoHyphens/>
        <w:autoSpaceDE/>
        <w:autoSpaceDN/>
        <w:adjustRightInd/>
        <w:ind w:left="284"/>
        <w:jc w:val="left"/>
        <w:rPr>
          <w:rFonts w:ascii="Times New Roman" w:hAnsi="Times New Roman"/>
          <w:sz w:val="24"/>
          <w:szCs w:val="24"/>
        </w:rPr>
      </w:pPr>
    </w:p>
    <w:p w14:paraId="3E3458B5" w14:textId="793BE7C6" w:rsidR="000F6A18" w:rsidRPr="00AC1668" w:rsidRDefault="000F6A18" w:rsidP="00F36B82">
      <w:pPr>
        <w:pStyle w:val="KonuBal"/>
        <w:widowControl w:val="0"/>
        <w:tabs>
          <w:tab w:val="clear" w:pos="4395"/>
        </w:tabs>
        <w:suppressAutoHyphens/>
        <w:autoSpaceDE/>
        <w:autoSpaceDN/>
        <w:adjustRightInd/>
        <w:ind w:left="284"/>
        <w:jc w:val="left"/>
        <w:rPr>
          <w:rFonts w:ascii="Times New Roman" w:hAnsi="Times New Roman"/>
          <w:sz w:val="24"/>
          <w:szCs w:val="24"/>
        </w:rPr>
      </w:pPr>
    </w:p>
    <w:p w14:paraId="0A3796D6" w14:textId="11A2459E" w:rsidR="000F6A18" w:rsidRPr="00AC1668" w:rsidRDefault="000F6A18" w:rsidP="00F36B82">
      <w:pPr>
        <w:pStyle w:val="KonuBal"/>
        <w:widowControl w:val="0"/>
        <w:tabs>
          <w:tab w:val="clear" w:pos="4395"/>
        </w:tabs>
        <w:suppressAutoHyphens/>
        <w:autoSpaceDE/>
        <w:autoSpaceDN/>
        <w:adjustRightInd/>
        <w:ind w:left="284"/>
        <w:jc w:val="left"/>
        <w:rPr>
          <w:rFonts w:ascii="Times New Roman" w:hAnsi="Times New Roman"/>
          <w:sz w:val="24"/>
          <w:szCs w:val="24"/>
        </w:rPr>
      </w:pPr>
    </w:p>
    <w:p w14:paraId="195588E1" w14:textId="0170E859" w:rsidR="000F6A18" w:rsidRPr="00AC1668" w:rsidRDefault="000F6A18" w:rsidP="00F36B82">
      <w:pPr>
        <w:pStyle w:val="KonuBal"/>
        <w:widowControl w:val="0"/>
        <w:tabs>
          <w:tab w:val="clear" w:pos="4395"/>
        </w:tabs>
        <w:suppressAutoHyphens/>
        <w:autoSpaceDE/>
        <w:autoSpaceDN/>
        <w:adjustRightInd/>
        <w:ind w:left="284"/>
        <w:jc w:val="left"/>
        <w:rPr>
          <w:rFonts w:ascii="Times New Roman" w:hAnsi="Times New Roman"/>
          <w:sz w:val="24"/>
          <w:szCs w:val="24"/>
        </w:rPr>
      </w:pPr>
    </w:p>
    <w:p w14:paraId="638E522E" w14:textId="77777777" w:rsidR="000F6A18" w:rsidRPr="00AC1668" w:rsidRDefault="000F6A18" w:rsidP="00F36B82">
      <w:pPr>
        <w:pStyle w:val="KonuBal"/>
        <w:widowControl w:val="0"/>
        <w:tabs>
          <w:tab w:val="clear" w:pos="4395"/>
        </w:tabs>
        <w:suppressAutoHyphens/>
        <w:autoSpaceDE/>
        <w:autoSpaceDN/>
        <w:adjustRightInd/>
        <w:ind w:left="284"/>
        <w:jc w:val="left"/>
        <w:rPr>
          <w:rFonts w:ascii="Times New Roman" w:hAnsi="Times New Roman"/>
          <w:sz w:val="24"/>
          <w:szCs w:val="24"/>
        </w:rPr>
      </w:pPr>
    </w:p>
    <w:p w14:paraId="3D69ED10" w14:textId="77777777" w:rsidR="000A07E6" w:rsidRPr="00AC1668" w:rsidRDefault="000A07E6" w:rsidP="00F36B82">
      <w:pPr>
        <w:pStyle w:val="KonuBal"/>
        <w:widowControl w:val="0"/>
        <w:tabs>
          <w:tab w:val="clear" w:pos="4395"/>
        </w:tabs>
        <w:autoSpaceDE/>
        <w:autoSpaceDN/>
        <w:adjustRightInd/>
        <w:ind w:left="284"/>
        <w:jc w:val="left"/>
        <w:rPr>
          <w:rFonts w:ascii="Times New Roman" w:hAnsi="Times New Roman"/>
          <w:sz w:val="24"/>
          <w:szCs w:val="24"/>
        </w:rPr>
      </w:pPr>
    </w:p>
    <w:p w14:paraId="017CC9DB" w14:textId="0AEDD763" w:rsidR="000A07E6" w:rsidRPr="0021784E" w:rsidRDefault="00224EBE" w:rsidP="00F36B82">
      <w:pPr>
        <w:pStyle w:val="KonuBal"/>
        <w:widowControl w:val="0"/>
        <w:tabs>
          <w:tab w:val="clear" w:pos="4395"/>
        </w:tabs>
        <w:autoSpaceDE/>
        <w:autoSpaceDN/>
        <w:adjustRightInd/>
        <w:ind w:left="284"/>
        <w:jc w:val="left"/>
        <w:rPr>
          <w:rFonts w:ascii="Times New Roman" w:hAnsi="Times New Roman"/>
          <w:sz w:val="24"/>
          <w:szCs w:val="24"/>
        </w:rPr>
      </w:pPr>
      <w:bookmarkStart w:id="0" w:name="_Hlk166539088"/>
      <w:r w:rsidRPr="0021784E">
        <w:rPr>
          <w:rFonts w:ascii="Times New Roman" w:hAnsi="Times New Roman"/>
          <w:sz w:val="24"/>
          <w:szCs w:val="24"/>
        </w:rPr>
        <w:t xml:space="preserve">DÜNYA </w:t>
      </w:r>
      <w:r w:rsidR="000A07E6" w:rsidRPr="0021784E">
        <w:rPr>
          <w:rFonts w:ascii="Times New Roman" w:hAnsi="Times New Roman"/>
          <w:sz w:val="24"/>
          <w:szCs w:val="24"/>
        </w:rPr>
        <w:t>KATILIM BANKASI</w:t>
      </w:r>
      <w:r w:rsidR="009F6E11" w:rsidRPr="0021784E">
        <w:rPr>
          <w:rFonts w:ascii="Times New Roman" w:hAnsi="Times New Roman"/>
          <w:sz w:val="24"/>
          <w:szCs w:val="24"/>
        </w:rPr>
        <w:t xml:space="preserve"> </w:t>
      </w:r>
      <w:r w:rsidR="000A07E6" w:rsidRPr="0021784E">
        <w:rPr>
          <w:rFonts w:ascii="Times New Roman" w:hAnsi="Times New Roman"/>
          <w:sz w:val="24"/>
          <w:szCs w:val="24"/>
        </w:rPr>
        <w:t>ANONİM ŞİRKETİ</w:t>
      </w:r>
    </w:p>
    <w:p w14:paraId="27E63FAB" w14:textId="77777777" w:rsidR="00425B7F" w:rsidRPr="0021784E" w:rsidRDefault="00425B7F" w:rsidP="00F36B82">
      <w:pPr>
        <w:pStyle w:val="KonuBal"/>
        <w:widowControl w:val="0"/>
        <w:tabs>
          <w:tab w:val="clear" w:pos="4395"/>
        </w:tabs>
        <w:autoSpaceDE/>
        <w:autoSpaceDN/>
        <w:adjustRightInd/>
        <w:ind w:left="284"/>
        <w:jc w:val="left"/>
        <w:rPr>
          <w:rFonts w:ascii="Times New Roman" w:hAnsi="Times New Roman"/>
          <w:sz w:val="24"/>
          <w:szCs w:val="24"/>
        </w:rPr>
      </w:pPr>
    </w:p>
    <w:p w14:paraId="7ED9AB42" w14:textId="3DCF1AC0" w:rsidR="000A07E6" w:rsidRPr="0021784E" w:rsidRDefault="008276BE" w:rsidP="00F36B82">
      <w:pPr>
        <w:pStyle w:val="CoverTitle"/>
        <w:framePr w:w="0" w:hSpace="0" w:vSpace="0" w:wrap="auto" w:vAnchor="margin" w:xAlign="left" w:yAlign="inline"/>
        <w:widowControl w:val="0"/>
        <w:spacing w:line="240" w:lineRule="auto"/>
        <w:ind w:left="284" w:right="-878"/>
        <w:rPr>
          <w:rFonts w:ascii="Times New Roman" w:hAnsi="Times New Roman"/>
          <w:b/>
          <w:sz w:val="24"/>
          <w:szCs w:val="24"/>
          <w:lang w:val="tr-TR"/>
        </w:rPr>
      </w:pPr>
      <w:r w:rsidRPr="0021784E">
        <w:rPr>
          <w:rFonts w:ascii="Times New Roman" w:hAnsi="Times New Roman"/>
          <w:b/>
          <w:sz w:val="24"/>
          <w:szCs w:val="24"/>
          <w:lang w:val="tr-TR"/>
        </w:rPr>
        <w:t>31</w:t>
      </w:r>
      <w:r w:rsidR="00932390" w:rsidRPr="0021784E">
        <w:rPr>
          <w:rFonts w:ascii="Times New Roman" w:hAnsi="Times New Roman"/>
          <w:b/>
          <w:sz w:val="24"/>
          <w:szCs w:val="24"/>
          <w:lang w:val="tr-TR"/>
        </w:rPr>
        <w:t xml:space="preserve"> </w:t>
      </w:r>
      <w:r w:rsidRPr="0021784E">
        <w:rPr>
          <w:rFonts w:ascii="Times New Roman" w:hAnsi="Times New Roman"/>
          <w:b/>
          <w:sz w:val="24"/>
          <w:szCs w:val="24"/>
          <w:lang w:val="tr-TR"/>
        </w:rPr>
        <w:t>ARALIK</w:t>
      </w:r>
      <w:r w:rsidR="00932390" w:rsidRPr="0021784E">
        <w:rPr>
          <w:rFonts w:ascii="Times New Roman" w:hAnsi="Times New Roman"/>
          <w:b/>
          <w:sz w:val="24"/>
          <w:szCs w:val="24"/>
          <w:lang w:val="tr-TR"/>
        </w:rPr>
        <w:t xml:space="preserve"> 2025</w:t>
      </w:r>
      <w:r w:rsidR="000A07E6" w:rsidRPr="0021784E">
        <w:rPr>
          <w:rFonts w:ascii="Times New Roman" w:hAnsi="Times New Roman"/>
          <w:b/>
          <w:sz w:val="24"/>
          <w:szCs w:val="24"/>
          <w:lang w:val="tr-TR"/>
        </w:rPr>
        <w:t xml:space="preserve"> TARİHİNDE SONA EREN</w:t>
      </w:r>
    </w:p>
    <w:p w14:paraId="7F8BFF04" w14:textId="4BA104BD" w:rsidR="000A07E6" w:rsidRPr="0021784E" w:rsidRDefault="000A07E6" w:rsidP="00F36B82">
      <w:pPr>
        <w:pStyle w:val="CoverTitle"/>
        <w:framePr w:w="0" w:hSpace="0" w:vSpace="0" w:wrap="auto" w:vAnchor="margin" w:xAlign="left" w:yAlign="inline"/>
        <w:widowControl w:val="0"/>
        <w:spacing w:line="240" w:lineRule="auto"/>
        <w:ind w:left="284" w:right="-878"/>
        <w:rPr>
          <w:rFonts w:ascii="Times New Roman" w:hAnsi="Times New Roman"/>
          <w:b/>
          <w:sz w:val="24"/>
          <w:szCs w:val="24"/>
          <w:lang w:val="tr-TR"/>
        </w:rPr>
      </w:pPr>
      <w:r w:rsidRPr="0021784E">
        <w:rPr>
          <w:rFonts w:ascii="Times New Roman" w:hAnsi="Times New Roman"/>
          <w:b/>
          <w:sz w:val="24"/>
          <w:szCs w:val="24"/>
          <w:lang w:val="tr-TR"/>
        </w:rPr>
        <w:t>HESAP DÖNEMİNE AİT KONSOLİDE OLMAYAN</w:t>
      </w:r>
    </w:p>
    <w:p w14:paraId="7DF16069" w14:textId="090A5EE7" w:rsidR="00BF7858" w:rsidRPr="00AC1668" w:rsidRDefault="000A07E6" w:rsidP="00F36B82">
      <w:pPr>
        <w:pStyle w:val="KonuBal"/>
        <w:widowControl w:val="0"/>
        <w:tabs>
          <w:tab w:val="clear" w:pos="4395"/>
        </w:tabs>
        <w:autoSpaceDE/>
        <w:autoSpaceDN/>
        <w:adjustRightInd/>
        <w:ind w:left="284"/>
        <w:jc w:val="left"/>
        <w:rPr>
          <w:rFonts w:ascii="Times New Roman" w:hAnsi="Times New Roman"/>
          <w:sz w:val="24"/>
          <w:szCs w:val="24"/>
        </w:rPr>
      </w:pPr>
      <w:r w:rsidRPr="0021784E">
        <w:rPr>
          <w:rFonts w:ascii="Times New Roman" w:hAnsi="Times New Roman"/>
          <w:sz w:val="24"/>
          <w:szCs w:val="24"/>
        </w:rPr>
        <w:t xml:space="preserve">FİNANSAL TABLOLAR VE </w:t>
      </w:r>
      <w:r w:rsidR="00C22F4B" w:rsidRPr="0021784E">
        <w:rPr>
          <w:rFonts w:ascii="Times New Roman" w:hAnsi="Times New Roman"/>
          <w:sz w:val="24"/>
          <w:szCs w:val="24"/>
        </w:rPr>
        <w:t>BAĞIMSIZ DENETİM RAPORU</w:t>
      </w:r>
    </w:p>
    <w:bookmarkEnd w:id="0"/>
    <w:p w14:paraId="4E2DC649" w14:textId="77777777" w:rsidR="00D02990" w:rsidRPr="00AC1668" w:rsidRDefault="00D02990" w:rsidP="00F36B82">
      <w:pPr>
        <w:ind w:left="284"/>
      </w:pPr>
    </w:p>
    <w:p w14:paraId="625A8967" w14:textId="77777777" w:rsidR="001C7F63" w:rsidRPr="00AC1668" w:rsidRDefault="001C7F63" w:rsidP="00F36B82">
      <w:pPr>
        <w:ind w:left="284"/>
      </w:pPr>
    </w:p>
    <w:p w14:paraId="71422B0E" w14:textId="77777777" w:rsidR="001C7F63" w:rsidRPr="00AC1668" w:rsidRDefault="001C7F63" w:rsidP="00F36B82">
      <w:pPr>
        <w:ind w:left="284"/>
      </w:pPr>
    </w:p>
    <w:p w14:paraId="781D5DC8" w14:textId="77777777" w:rsidR="00CB1384" w:rsidRPr="00AC1668" w:rsidRDefault="00CB1384" w:rsidP="00F36B82">
      <w:pPr>
        <w:ind w:left="284"/>
        <w:sectPr w:rsidR="00CB1384" w:rsidRPr="00AC1668" w:rsidSect="00C32579">
          <w:headerReference w:type="even" r:id="rId8"/>
          <w:headerReference w:type="default" r:id="rId9"/>
          <w:headerReference w:type="first" r:id="rId10"/>
          <w:footnotePr>
            <w:numRestart w:val="eachPage"/>
          </w:footnotePr>
          <w:pgSz w:w="11906" w:h="16838" w:code="9"/>
          <w:pgMar w:top="1134" w:right="1134" w:bottom="1134" w:left="1701" w:header="851" w:footer="851" w:gutter="0"/>
          <w:pgNumType w:start="7"/>
          <w:cols w:space="708"/>
          <w:titlePg/>
          <w:docGrid w:linePitch="326"/>
        </w:sectPr>
      </w:pPr>
    </w:p>
    <w:p w14:paraId="4E05E898" w14:textId="77777777" w:rsidR="006D15A7" w:rsidRPr="0061474C" w:rsidRDefault="006D15A7" w:rsidP="006D15A7">
      <w:pPr>
        <w:spacing w:line="250" w:lineRule="atLeast"/>
        <w:jc w:val="center"/>
        <w:rPr>
          <w:rFonts w:ascii="Georgia" w:hAnsi="Georgia" w:cs="Arial"/>
          <w:szCs w:val="20"/>
        </w:rPr>
      </w:pPr>
      <w:r w:rsidRPr="006D15A7">
        <w:rPr>
          <w:rFonts w:ascii="Georgia" w:hAnsi="Georgia" w:cs="Arial"/>
          <w:b/>
          <w:szCs w:val="20"/>
        </w:rPr>
        <w:lastRenderedPageBreak/>
        <w:t>BAĞIMSIZ DENETÇİ RAPORU</w:t>
      </w:r>
    </w:p>
    <w:p w14:paraId="53B8E2EA" w14:textId="77777777" w:rsidR="006D15A7" w:rsidRPr="0061474C" w:rsidRDefault="006D15A7" w:rsidP="006D15A7">
      <w:pPr>
        <w:spacing w:line="250" w:lineRule="atLeast"/>
        <w:rPr>
          <w:rFonts w:ascii="Georgia" w:hAnsi="Georgia" w:cs="Arial"/>
          <w:szCs w:val="20"/>
        </w:rPr>
      </w:pPr>
    </w:p>
    <w:p w14:paraId="76E600B9" w14:textId="77777777" w:rsidR="006D15A7" w:rsidRPr="0061474C" w:rsidRDefault="006D15A7" w:rsidP="006D15A7">
      <w:pPr>
        <w:spacing w:line="250" w:lineRule="atLeast"/>
        <w:rPr>
          <w:rFonts w:ascii="Georgia" w:hAnsi="Georgia" w:cs="Arial"/>
          <w:szCs w:val="20"/>
        </w:rPr>
      </w:pPr>
      <w:r w:rsidRPr="006D15A7">
        <w:rPr>
          <w:rFonts w:ascii="Georgia" w:hAnsi="Georgia" w:cs="Arial"/>
          <w:szCs w:val="20"/>
        </w:rPr>
        <w:t>Dünya Katılım Bankası Anonim Şirketi Genel Kurulu’na</w:t>
      </w:r>
    </w:p>
    <w:p w14:paraId="70B6B19D" w14:textId="77777777" w:rsidR="006D15A7" w:rsidRPr="0061474C" w:rsidRDefault="006D15A7" w:rsidP="006D15A7">
      <w:pPr>
        <w:spacing w:line="250" w:lineRule="atLeast"/>
        <w:rPr>
          <w:rFonts w:ascii="Georgia" w:hAnsi="Georgia" w:cs="Arial"/>
          <w:szCs w:val="20"/>
        </w:rPr>
      </w:pPr>
    </w:p>
    <w:p w14:paraId="2BC8D058" w14:textId="77777777" w:rsidR="006D15A7" w:rsidRPr="006D15A7" w:rsidRDefault="006D15A7" w:rsidP="006D15A7">
      <w:pPr>
        <w:numPr>
          <w:ilvl w:val="0"/>
          <w:numId w:val="107"/>
        </w:numPr>
        <w:spacing w:after="160" w:line="250" w:lineRule="atLeast"/>
        <w:ind w:left="540" w:hanging="540"/>
        <w:rPr>
          <w:rFonts w:ascii="Georgia" w:hAnsi="Georgia" w:cs="Arial"/>
          <w:b/>
          <w:szCs w:val="20"/>
          <w:lang w:val="en-US"/>
        </w:rPr>
      </w:pPr>
      <w:r w:rsidRPr="006D15A7">
        <w:rPr>
          <w:rFonts w:ascii="Georgia" w:hAnsi="Georgia" w:cs="Arial"/>
          <w:b/>
          <w:szCs w:val="20"/>
        </w:rPr>
        <w:t>Konsolide Olmayan Finansal Tabloların Bağımsız Denetimi</w:t>
      </w:r>
    </w:p>
    <w:p w14:paraId="51ED80A2" w14:textId="77777777" w:rsidR="006D15A7" w:rsidRPr="006D15A7" w:rsidRDefault="006D15A7" w:rsidP="006D15A7">
      <w:pPr>
        <w:spacing w:line="250" w:lineRule="atLeast"/>
        <w:rPr>
          <w:rFonts w:ascii="Georgia" w:hAnsi="Georgia" w:cs="Arial"/>
          <w:szCs w:val="20"/>
          <w:lang w:val="en-US"/>
        </w:rPr>
      </w:pPr>
    </w:p>
    <w:p w14:paraId="1F6C9754" w14:textId="77777777" w:rsidR="006D15A7" w:rsidRPr="006D15A7" w:rsidRDefault="006D15A7" w:rsidP="006D15A7">
      <w:pPr>
        <w:numPr>
          <w:ilvl w:val="0"/>
          <w:numId w:val="108"/>
        </w:numPr>
        <w:spacing w:after="160" w:line="250" w:lineRule="atLeast"/>
        <w:ind w:left="540" w:hanging="540"/>
        <w:rPr>
          <w:rFonts w:ascii="Georgia" w:hAnsi="Georgia" w:cs="Arial"/>
          <w:b/>
          <w:szCs w:val="20"/>
          <w:lang w:val="en-US"/>
        </w:rPr>
      </w:pPr>
      <w:r w:rsidRPr="006D15A7">
        <w:rPr>
          <w:rFonts w:ascii="Georgia" w:hAnsi="Georgia" w:cs="Arial"/>
          <w:b/>
          <w:szCs w:val="20"/>
        </w:rPr>
        <w:t>Görüş</w:t>
      </w:r>
    </w:p>
    <w:p w14:paraId="23F62824" w14:textId="77777777" w:rsidR="006D15A7" w:rsidRPr="006D15A7" w:rsidRDefault="006D15A7" w:rsidP="006D15A7">
      <w:pPr>
        <w:spacing w:line="250" w:lineRule="atLeast"/>
        <w:rPr>
          <w:rFonts w:ascii="Georgia" w:hAnsi="Georgia" w:cs="Arial"/>
          <w:szCs w:val="20"/>
          <w:lang w:val="en-US"/>
        </w:rPr>
      </w:pPr>
    </w:p>
    <w:p w14:paraId="356EB084" w14:textId="77777777" w:rsidR="006D15A7" w:rsidRPr="006D15A7" w:rsidRDefault="006D15A7" w:rsidP="006D15A7">
      <w:pPr>
        <w:spacing w:line="250" w:lineRule="atLeast"/>
        <w:rPr>
          <w:rFonts w:ascii="Georgia" w:hAnsi="Georgia" w:cs="Arial"/>
          <w:szCs w:val="20"/>
          <w:lang w:val="en-US"/>
        </w:rPr>
      </w:pPr>
      <w:r w:rsidRPr="006D15A7">
        <w:rPr>
          <w:rFonts w:ascii="Georgia" w:hAnsi="Georgia" w:cs="Arial"/>
          <w:szCs w:val="20"/>
        </w:rPr>
        <w:t>Dünya Katılım Bankası Anonim Şirketi’nin (“Banka”) 31 Aralık 2025 tarihli konsolide olmayan bilançosu ile aynı tarihte sona eren hesap dönemine ait; konsolide olmayan kar veya zarar tablosu, konsolide olmayan kar veya zarar ve diğer kapsamlı gelir tablosu, konsolide olmayan özkaynaklar değişim tablosu ve konsolide olmayan nakit akış tablosu ile önemli muhasebe politikalarının özeti de dahil olmak üzere konsolide olmayan finansal tablo dipnotlarından oluşan konsolide olmayan finansal tablolarını denetlemiş bulunuyoruz.</w:t>
      </w:r>
    </w:p>
    <w:p w14:paraId="72767DB5" w14:textId="77777777" w:rsidR="006D15A7" w:rsidRPr="006D15A7" w:rsidRDefault="006D15A7" w:rsidP="006D15A7">
      <w:pPr>
        <w:spacing w:line="250" w:lineRule="atLeast"/>
        <w:rPr>
          <w:rFonts w:ascii="Georgia" w:hAnsi="Georgia" w:cs="Arial"/>
          <w:szCs w:val="20"/>
          <w:lang w:val="en-US"/>
        </w:rPr>
      </w:pPr>
    </w:p>
    <w:p w14:paraId="46C18D14" w14:textId="77777777" w:rsidR="006D15A7" w:rsidRPr="006D15A7" w:rsidRDefault="006D15A7" w:rsidP="006D15A7">
      <w:pPr>
        <w:spacing w:line="250" w:lineRule="atLeast"/>
        <w:rPr>
          <w:rFonts w:ascii="Georgia" w:hAnsi="Georgia" w:cs="Arial"/>
          <w:szCs w:val="20"/>
          <w:lang w:val="en-US"/>
        </w:rPr>
      </w:pPr>
      <w:r w:rsidRPr="006D15A7">
        <w:rPr>
          <w:rFonts w:ascii="Georgia" w:hAnsi="Georgia" w:cs="Arial"/>
          <w:szCs w:val="20"/>
        </w:rPr>
        <w:t xml:space="preserve">Görüşümüze göre, ilişikteki konsolide olmayan finansal tablolar Banka’nın 31 Aralık 2025 tarihi itibarıyla konsolide olmayan finansal durumunu ve aynı tarihte sona eren hesap dönemine ait konsolide olmayan finansal performansını ve konsolide olmayan nakit akışlarını 1 Kasım 2006 tarihli ve 26333 sayılı Resmi </w:t>
      </w:r>
      <w:proofErr w:type="spellStart"/>
      <w:r w:rsidRPr="006D15A7">
        <w:rPr>
          <w:rFonts w:ascii="Georgia" w:hAnsi="Georgia" w:cs="Arial"/>
          <w:szCs w:val="20"/>
        </w:rPr>
        <w:t>Gazete’de</w:t>
      </w:r>
      <w:proofErr w:type="spellEnd"/>
      <w:r w:rsidRPr="006D15A7">
        <w:rPr>
          <w:rFonts w:ascii="Georgia" w:hAnsi="Georgia" w:cs="Arial"/>
          <w:szCs w:val="20"/>
        </w:rPr>
        <w:t xml:space="preserv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Finansal Raporlama Standartları (“</w:t>
      </w:r>
      <w:proofErr w:type="spellStart"/>
      <w:r w:rsidRPr="006D15A7">
        <w:rPr>
          <w:rFonts w:ascii="Georgia" w:hAnsi="Georgia" w:cs="Arial"/>
          <w:szCs w:val="20"/>
        </w:rPr>
        <w:t>TFRS’ler</w:t>
      </w:r>
      <w:proofErr w:type="spellEnd"/>
      <w:r w:rsidRPr="006D15A7">
        <w:rPr>
          <w:rFonts w:ascii="Georgia" w:hAnsi="Georgia" w:cs="Arial"/>
          <w:szCs w:val="20"/>
        </w:rPr>
        <w:t xml:space="preserve">”) hükümlerini içeren; “BDDK Muhasebe ve Finansal Raporlama </w:t>
      </w:r>
      <w:proofErr w:type="spellStart"/>
      <w:r w:rsidRPr="006D15A7">
        <w:rPr>
          <w:rFonts w:ascii="Georgia" w:hAnsi="Georgia" w:cs="Arial"/>
          <w:szCs w:val="20"/>
        </w:rPr>
        <w:t>Mevzuatı’na</w:t>
      </w:r>
      <w:proofErr w:type="spellEnd"/>
      <w:r w:rsidRPr="006D15A7">
        <w:rPr>
          <w:rFonts w:ascii="Georgia" w:hAnsi="Georgia" w:cs="Arial"/>
          <w:szCs w:val="20"/>
        </w:rPr>
        <w:t>” uygun olarak tüm önemli yönleriyle gerçeğe uygun bir biçimde sunmaktadır.</w:t>
      </w:r>
    </w:p>
    <w:p w14:paraId="0A4E09B7" w14:textId="77777777" w:rsidR="006D15A7" w:rsidRPr="006D15A7" w:rsidRDefault="006D15A7" w:rsidP="006D15A7">
      <w:pPr>
        <w:spacing w:line="250" w:lineRule="atLeast"/>
        <w:rPr>
          <w:rFonts w:ascii="Georgia" w:hAnsi="Georgia" w:cs="Arial"/>
          <w:szCs w:val="20"/>
          <w:lang w:val="en-US"/>
        </w:rPr>
      </w:pPr>
    </w:p>
    <w:p w14:paraId="6ED775F6" w14:textId="77777777" w:rsidR="006D15A7" w:rsidRPr="006D15A7" w:rsidRDefault="006D15A7" w:rsidP="006D15A7">
      <w:pPr>
        <w:numPr>
          <w:ilvl w:val="0"/>
          <w:numId w:val="108"/>
        </w:numPr>
        <w:spacing w:after="160" w:line="250" w:lineRule="atLeast"/>
        <w:ind w:left="540" w:hanging="540"/>
        <w:rPr>
          <w:rFonts w:ascii="Georgia" w:hAnsi="Georgia" w:cs="Arial"/>
          <w:b/>
          <w:szCs w:val="20"/>
          <w:lang w:val="en-US"/>
        </w:rPr>
      </w:pPr>
      <w:r w:rsidRPr="006D15A7">
        <w:rPr>
          <w:rFonts w:ascii="Georgia" w:hAnsi="Georgia" w:cs="Arial"/>
          <w:b/>
          <w:szCs w:val="20"/>
        </w:rPr>
        <w:t>Görüşün Dayanağı</w:t>
      </w:r>
    </w:p>
    <w:p w14:paraId="5AD55F51" w14:textId="77777777" w:rsidR="006D15A7" w:rsidRPr="006D15A7" w:rsidRDefault="006D15A7" w:rsidP="006D15A7">
      <w:pPr>
        <w:spacing w:line="250" w:lineRule="atLeast"/>
        <w:rPr>
          <w:rFonts w:ascii="Georgia" w:hAnsi="Georgia" w:cs="Arial"/>
          <w:szCs w:val="20"/>
          <w:lang w:val="en-US"/>
        </w:rPr>
      </w:pPr>
    </w:p>
    <w:p w14:paraId="46B6977E" w14:textId="77777777" w:rsidR="006D15A7" w:rsidRPr="0061474C" w:rsidRDefault="006D15A7" w:rsidP="006D15A7">
      <w:pPr>
        <w:spacing w:line="250" w:lineRule="atLeast"/>
        <w:rPr>
          <w:rFonts w:ascii="Georgia" w:hAnsi="Georgia" w:cs="Arial"/>
          <w:szCs w:val="20"/>
        </w:rPr>
      </w:pPr>
      <w:r w:rsidRPr="006D15A7">
        <w:rPr>
          <w:rFonts w:ascii="Georgia" w:hAnsi="Georgia" w:cs="Arial"/>
          <w:szCs w:val="20"/>
        </w:rPr>
        <w:t xml:space="preserve">Yaptığımız bağımsız denetim, BDDK tarafından 2 Nisan 2015 tarihli 29314 sayılı </w:t>
      </w:r>
      <w:proofErr w:type="gramStart"/>
      <w:r w:rsidRPr="006D15A7">
        <w:rPr>
          <w:rFonts w:ascii="Georgia" w:hAnsi="Georgia" w:cs="Arial"/>
          <w:szCs w:val="20"/>
        </w:rPr>
        <w:t>Resmi</w:t>
      </w:r>
      <w:proofErr w:type="gramEnd"/>
      <w:r w:rsidRPr="006D15A7">
        <w:rPr>
          <w:rFonts w:ascii="Georgia" w:hAnsi="Georgia" w:cs="Arial"/>
          <w:szCs w:val="20"/>
        </w:rPr>
        <w:t xml:space="preserve"> </w:t>
      </w:r>
      <w:proofErr w:type="spellStart"/>
      <w:r w:rsidRPr="006D15A7">
        <w:rPr>
          <w:rFonts w:ascii="Georgia" w:hAnsi="Georgia" w:cs="Arial"/>
          <w:szCs w:val="20"/>
        </w:rPr>
        <w:t>Gazete’de</w:t>
      </w:r>
      <w:proofErr w:type="spellEnd"/>
      <w:r w:rsidRPr="006D15A7">
        <w:rPr>
          <w:rFonts w:ascii="Georgia" w:hAnsi="Georgia" w:cs="Arial"/>
          <w:szCs w:val="20"/>
        </w:rPr>
        <w:t xml:space="preserve"> yayımlanan “Bankaların Bağımsız Denetimi Hakkında Yönetmelik” ve Kamu Gözetimi, Muhasebe ve Denetim Standartları Kurumu (“KGK”) tarafından yayımlanan Türkiye Denetim Standartları’nın bir parçası olan Bağımsız Denetim Standartları’na (“</w:t>
      </w:r>
      <w:proofErr w:type="spellStart"/>
      <w:r w:rsidRPr="006D15A7">
        <w:rPr>
          <w:rFonts w:ascii="Georgia" w:hAnsi="Georgia" w:cs="Arial"/>
          <w:szCs w:val="20"/>
        </w:rPr>
        <w:t>BDS’lere</w:t>
      </w:r>
      <w:proofErr w:type="spellEnd"/>
      <w:r w:rsidRPr="006D15A7">
        <w:rPr>
          <w:rFonts w:ascii="Georgia" w:hAnsi="Georgia" w:cs="Arial"/>
          <w:szCs w:val="20"/>
        </w:rPr>
        <w:t>”) uygun olarak yürütülmüştür. Bu standartlar kapsamındaki sorumluluklarımız, raporumuzun “Bağımsız Denetçinin Konsolide Olmayan Finansal Tabloların Bağımsız Denetimine İlişkin Sorumlulukları” bölümünde ayrıntılı bir şekilde açıklanmıştır. KGK tarafından yayımlanan ve kamu yararını ilgilendiren kuruluşların konsolide olmayan finansal tablolarının bağımsız denetimleri için geçerli olan Bağımsız Denetçiler için Etik Kurallar (Bağımsızlık Standartları Dahil) ("Etik Kurallar") ile kamu yararını ilgilendiren kuruluşların finansal tablolarının bağımsız denetimleriyle ilgili mevzuatta yer alan etik hükümlere uygun olarak Banka'dan bağımsız olduğumuzu beyan ederiz. Etik Kurallar ve mevzuat kapsamındaki etiğe ilişkin diğer sorumluluklar da tarafımızca yerine getirilmiştir. Bağımsız denetim sırasında elde ettiğimiz bağımsız denetim kanıtlarının, görüşümüzün oluşturulması için yeterli ve uygun bir dayanak oluşturduğuna inanıyoruz.</w:t>
      </w:r>
    </w:p>
    <w:p w14:paraId="65DE9A48" w14:textId="77777777" w:rsidR="006D15A7" w:rsidRPr="0061474C" w:rsidRDefault="006D15A7" w:rsidP="006D15A7">
      <w:pPr>
        <w:spacing w:line="290" w:lineRule="atLeast"/>
        <w:rPr>
          <w:rFonts w:ascii="Georgia" w:hAnsi="Georgia" w:cs="Arial"/>
          <w:szCs w:val="20"/>
        </w:rPr>
        <w:sectPr w:rsidR="006D15A7" w:rsidRPr="0061474C" w:rsidSect="0092682E">
          <w:headerReference w:type="default" r:id="rId11"/>
          <w:footerReference w:type="default" r:id="rId12"/>
          <w:headerReference w:type="first" r:id="rId13"/>
          <w:footerReference w:type="first" r:id="rId14"/>
          <w:pgSz w:w="12240" w:h="15840" w:code="1"/>
          <w:pgMar w:top="3136" w:right="851" w:bottom="1418" w:left="1985" w:header="567" w:footer="567" w:gutter="0"/>
          <w:cols w:space="720"/>
          <w:titlePg/>
          <w:docGrid w:linePitch="299"/>
        </w:sectPr>
      </w:pPr>
    </w:p>
    <w:p w14:paraId="27D1B05F" w14:textId="77777777" w:rsidR="006D15A7" w:rsidRPr="006D15A7" w:rsidRDefault="006D15A7" w:rsidP="006D15A7">
      <w:pPr>
        <w:numPr>
          <w:ilvl w:val="0"/>
          <w:numId w:val="108"/>
        </w:numPr>
        <w:spacing w:after="160" w:line="240" w:lineRule="atLeast"/>
        <w:ind w:left="540" w:hanging="540"/>
        <w:rPr>
          <w:rFonts w:ascii="Georgia" w:hAnsi="Georgia" w:cs="Arial"/>
          <w:b/>
          <w:szCs w:val="20"/>
          <w:lang w:val="en-US"/>
        </w:rPr>
      </w:pPr>
      <w:r w:rsidRPr="006D15A7">
        <w:rPr>
          <w:rFonts w:ascii="Georgia" w:hAnsi="Georgia" w:cs="Arial"/>
          <w:b/>
          <w:szCs w:val="20"/>
        </w:rPr>
        <w:lastRenderedPageBreak/>
        <w:t>Kilit Denetim Konuları</w:t>
      </w:r>
    </w:p>
    <w:p w14:paraId="3267FBC9" w14:textId="77777777" w:rsidR="006D15A7" w:rsidRPr="006D15A7" w:rsidRDefault="006D15A7" w:rsidP="006D15A7">
      <w:pPr>
        <w:spacing w:line="240" w:lineRule="atLeast"/>
        <w:rPr>
          <w:rFonts w:ascii="Georgia" w:hAnsi="Georgia" w:cs="Arial"/>
          <w:szCs w:val="20"/>
          <w:lang w:val="en-US"/>
        </w:rPr>
      </w:pPr>
    </w:p>
    <w:p w14:paraId="5A332E9A" w14:textId="77777777" w:rsidR="006D15A7" w:rsidRPr="006D15A7" w:rsidRDefault="006D15A7" w:rsidP="006D15A7">
      <w:pPr>
        <w:spacing w:line="240" w:lineRule="atLeast"/>
        <w:rPr>
          <w:rFonts w:ascii="Georgia" w:hAnsi="Georgia" w:cs="Arial"/>
          <w:szCs w:val="20"/>
        </w:rPr>
      </w:pPr>
      <w:r w:rsidRPr="006D15A7">
        <w:rPr>
          <w:rFonts w:ascii="Georgia" w:hAnsi="Georgia" w:cs="Arial"/>
          <w:szCs w:val="20"/>
        </w:rPr>
        <w:t>Kilit denetim konuları, mesleki muhakememize göre cari döneme ait konsolide olmayan finansal tabloların bağımsız denetiminde en çok önem arz eden konulardır. Kilit denetim konuları, bir bütün olarak konsolide olmayan finansal tabloların bağımsız denetimi çerçevesinde ve konsolide olmayan finansal tablolara ilişkin görüşümüzün oluşturulmasında ele alınmış olup, bu konular hakkında ayrı bir görüş bildirmiyoruz.</w:t>
      </w:r>
    </w:p>
    <w:p w14:paraId="788FA8F4" w14:textId="77777777" w:rsidR="006D15A7" w:rsidRPr="006D15A7" w:rsidRDefault="006D15A7" w:rsidP="006D15A7">
      <w:pPr>
        <w:spacing w:line="240" w:lineRule="atLeast"/>
        <w:rPr>
          <w:rFonts w:ascii="Georgia" w:hAnsi="Georgia" w:cs="Arial"/>
          <w:szCs w:val="20"/>
        </w:rPr>
      </w:pPr>
    </w:p>
    <w:tbl>
      <w:tblPr>
        <w:tblStyle w:val="PwCTableFigures21"/>
        <w:tblW w:w="5000" w:type="pct"/>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4520"/>
        <w:gridCol w:w="4868"/>
      </w:tblGrid>
      <w:tr w:rsidR="006D15A7" w:rsidRPr="006D15A7" w14:paraId="372FF463" w14:textId="77777777" w:rsidTr="00100F1F">
        <w:trPr>
          <w:cnfStyle w:val="100000000000" w:firstRow="1" w:lastRow="0" w:firstColumn="0" w:lastColumn="0" w:oddVBand="0" w:evenVBand="0" w:oddHBand="0" w:evenHBand="0" w:firstRowFirstColumn="0" w:firstRowLastColumn="0" w:lastRowFirstColumn="0" w:lastRowLastColumn="0"/>
          <w:trHeight w:val="113"/>
          <w:tblHeader/>
        </w:trPr>
        <w:tc>
          <w:tcPr>
            <w:tcW w:w="0" w:type="pct"/>
            <w:tcBorders>
              <w:top w:val="single" w:sz="6" w:space="0" w:color="auto"/>
              <w:left w:val="single" w:sz="6" w:space="0" w:color="auto"/>
              <w:bottom w:val="single" w:sz="6" w:space="0" w:color="auto"/>
              <w:right w:val="single" w:sz="6" w:space="0" w:color="auto"/>
            </w:tcBorders>
            <w:vAlign w:val="bottom"/>
            <w:hideMark/>
          </w:tcPr>
          <w:p w14:paraId="3A517EC5" w14:textId="77777777" w:rsidR="006D15A7" w:rsidRPr="006D15A7" w:rsidRDefault="006D15A7" w:rsidP="006D15A7">
            <w:pPr>
              <w:widowControl w:val="0"/>
              <w:tabs>
                <w:tab w:val="left" w:pos="2892"/>
              </w:tabs>
              <w:spacing w:line="260" w:lineRule="atLeast"/>
              <w:rPr>
                <w:rFonts w:ascii="Georgia" w:hAnsi="Georgia"/>
                <w:i/>
                <w:lang w:val="en-GB"/>
              </w:rPr>
            </w:pPr>
            <w:proofErr w:type="spellStart"/>
            <w:r w:rsidRPr="006D15A7">
              <w:rPr>
                <w:rFonts w:ascii="Georgia" w:hAnsi="Georgia"/>
                <w:i/>
                <w:lang w:val="en-GB"/>
              </w:rPr>
              <w:t>Kilit</w:t>
            </w:r>
            <w:proofErr w:type="spellEnd"/>
            <w:r w:rsidRPr="006D15A7">
              <w:rPr>
                <w:rFonts w:ascii="Georgia" w:hAnsi="Georgia"/>
                <w:i/>
                <w:lang w:val="en-GB"/>
              </w:rPr>
              <w:t xml:space="preserve"> </w:t>
            </w:r>
            <w:proofErr w:type="spellStart"/>
            <w:r w:rsidRPr="006D15A7">
              <w:rPr>
                <w:rFonts w:ascii="Georgia" w:hAnsi="Georgia"/>
                <w:i/>
                <w:lang w:val="en-GB"/>
              </w:rPr>
              <w:t>Denetim</w:t>
            </w:r>
            <w:proofErr w:type="spellEnd"/>
            <w:r w:rsidRPr="006D15A7">
              <w:rPr>
                <w:rFonts w:ascii="Georgia" w:hAnsi="Georgia"/>
                <w:i/>
                <w:lang w:val="en-GB"/>
              </w:rPr>
              <w:t xml:space="preserve"> </w:t>
            </w:r>
            <w:proofErr w:type="spellStart"/>
            <w:r w:rsidRPr="006D15A7">
              <w:rPr>
                <w:rFonts w:ascii="Georgia" w:hAnsi="Georgia"/>
                <w:i/>
                <w:lang w:val="en-GB"/>
              </w:rPr>
              <w:t>Konuları</w:t>
            </w:r>
            <w:proofErr w:type="spellEnd"/>
          </w:p>
        </w:tc>
        <w:tc>
          <w:tcPr>
            <w:tcW w:w="0" w:type="pct"/>
            <w:tcBorders>
              <w:top w:val="single" w:sz="6" w:space="0" w:color="auto"/>
              <w:left w:val="single" w:sz="6" w:space="0" w:color="auto"/>
              <w:bottom w:val="single" w:sz="6" w:space="0" w:color="auto"/>
              <w:right w:val="single" w:sz="6" w:space="0" w:color="auto"/>
            </w:tcBorders>
            <w:hideMark/>
          </w:tcPr>
          <w:p w14:paraId="63791538" w14:textId="77777777" w:rsidR="006D15A7" w:rsidRPr="006D15A7" w:rsidRDefault="006D15A7" w:rsidP="006D15A7">
            <w:pPr>
              <w:widowControl w:val="0"/>
              <w:spacing w:line="260" w:lineRule="atLeast"/>
              <w:rPr>
                <w:rFonts w:ascii="Georgia" w:hAnsi="Georgia"/>
                <w:i/>
                <w:lang w:val="en-GB"/>
              </w:rPr>
            </w:pPr>
            <w:proofErr w:type="spellStart"/>
            <w:r w:rsidRPr="006D15A7">
              <w:rPr>
                <w:rFonts w:ascii="Georgia" w:hAnsi="Georgia"/>
                <w:i/>
                <w:lang w:val="en-GB"/>
              </w:rPr>
              <w:t>Konunun</w:t>
            </w:r>
            <w:proofErr w:type="spellEnd"/>
            <w:r w:rsidRPr="006D15A7">
              <w:rPr>
                <w:rFonts w:ascii="Georgia" w:hAnsi="Georgia"/>
                <w:i/>
                <w:lang w:val="en-GB"/>
              </w:rPr>
              <w:t xml:space="preserve"> </w:t>
            </w:r>
            <w:proofErr w:type="spellStart"/>
            <w:r w:rsidRPr="006D15A7">
              <w:rPr>
                <w:rFonts w:ascii="Georgia" w:hAnsi="Georgia"/>
                <w:i/>
                <w:lang w:val="en-GB"/>
              </w:rPr>
              <w:t>Denetimde</w:t>
            </w:r>
            <w:proofErr w:type="spellEnd"/>
            <w:r w:rsidRPr="006D15A7">
              <w:rPr>
                <w:rFonts w:ascii="Georgia" w:hAnsi="Georgia"/>
                <w:i/>
                <w:lang w:val="en-GB"/>
              </w:rPr>
              <w:t xml:space="preserve"> </w:t>
            </w:r>
            <w:proofErr w:type="spellStart"/>
            <w:r w:rsidRPr="006D15A7">
              <w:rPr>
                <w:rFonts w:ascii="Georgia" w:hAnsi="Georgia"/>
                <w:i/>
                <w:lang w:val="en-GB"/>
              </w:rPr>
              <w:t>Nasıl</w:t>
            </w:r>
            <w:proofErr w:type="spellEnd"/>
            <w:r w:rsidRPr="006D15A7">
              <w:rPr>
                <w:rFonts w:ascii="Georgia" w:hAnsi="Georgia"/>
                <w:i/>
                <w:lang w:val="en-GB"/>
              </w:rPr>
              <w:t xml:space="preserve"> </w:t>
            </w:r>
            <w:proofErr w:type="spellStart"/>
            <w:r w:rsidRPr="006D15A7">
              <w:rPr>
                <w:rFonts w:ascii="Georgia" w:hAnsi="Georgia"/>
                <w:i/>
                <w:lang w:val="en-GB"/>
              </w:rPr>
              <w:t>Ele</w:t>
            </w:r>
            <w:proofErr w:type="spellEnd"/>
            <w:r w:rsidRPr="006D15A7">
              <w:rPr>
                <w:rFonts w:ascii="Georgia" w:hAnsi="Georgia"/>
                <w:i/>
                <w:lang w:val="en-GB"/>
              </w:rPr>
              <w:t xml:space="preserve"> </w:t>
            </w:r>
            <w:proofErr w:type="spellStart"/>
            <w:r w:rsidRPr="006D15A7">
              <w:rPr>
                <w:rFonts w:ascii="Georgia" w:hAnsi="Georgia"/>
                <w:i/>
                <w:lang w:val="en-GB"/>
              </w:rPr>
              <w:t>Alındığı</w:t>
            </w:r>
            <w:proofErr w:type="spellEnd"/>
          </w:p>
        </w:tc>
      </w:tr>
      <w:tr w:rsidR="006D15A7" w:rsidRPr="006D15A7" w14:paraId="039A6293" w14:textId="77777777" w:rsidTr="00100F1F">
        <w:trPr>
          <w:trHeight w:val="113"/>
        </w:trPr>
        <w:tc>
          <w:tcPr>
            <w:tcW w:w="0" w:type="pct"/>
            <w:tcBorders>
              <w:top w:val="single" w:sz="6" w:space="0" w:color="auto"/>
              <w:left w:val="single" w:sz="6" w:space="0" w:color="auto"/>
              <w:bottom w:val="single" w:sz="6" w:space="0" w:color="auto"/>
              <w:right w:val="single" w:sz="6" w:space="0" w:color="auto"/>
            </w:tcBorders>
          </w:tcPr>
          <w:p w14:paraId="45BF5B26" w14:textId="77777777" w:rsidR="006D15A7" w:rsidRPr="006D15A7" w:rsidRDefault="006D15A7" w:rsidP="006D15A7">
            <w:pPr>
              <w:widowControl w:val="0"/>
              <w:tabs>
                <w:tab w:val="left" w:pos="2892"/>
              </w:tabs>
              <w:spacing w:line="250" w:lineRule="atLeast"/>
              <w:rPr>
                <w:rFonts w:ascii="Georgia" w:hAnsi="Georgia"/>
                <w:lang w:val="en-GB"/>
              </w:rPr>
            </w:pPr>
            <w:proofErr w:type="spellStart"/>
            <w:r w:rsidRPr="006D15A7">
              <w:rPr>
                <w:rFonts w:ascii="Georgia" w:hAnsi="Georgia"/>
                <w:b/>
                <w:lang w:val="en-GB"/>
              </w:rPr>
              <w:t>Krediler</w:t>
            </w:r>
            <w:proofErr w:type="spellEnd"/>
            <w:r w:rsidRPr="006D15A7">
              <w:rPr>
                <w:rFonts w:ascii="Georgia" w:hAnsi="Georgia"/>
                <w:b/>
                <w:lang w:val="en-GB"/>
              </w:rPr>
              <w:t xml:space="preserve"> ve </w:t>
            </w:r>
            <w:proofErr w:type="spellStart"/>
            <w:r w:rsidRPr="006D15A7">
              <w:rPr>
                <w:rFonts w:ascii="Georgia" w:hAnsi="Georgia"/>
                <w:b/>
                <w:lang w:val="en-GB"/>
              </w:rPr>
              <w:t>alacaklara</w:t>
            </w:r>
            <w:proofErr w:type="spellEnd"/>
            <w:r w:rsidRPr="006D15A7">
              <w:rPr>
                <w:rFonts w:ascii="Georgia" w:hAnsi="Georgia"/>
                <w:b/>
                <w:lang w:val="en-GB"/>
              </w:rPr>
              <w:t xml:space="preserve"> </w:t>
            </w:r>
            <w:proofErr w:type="spellStart"/>
            <w:r w:rsidRPr="006D15A7">
              <w:rPr>
                <w:rFonts w:ascii="Georgia" w:hAnsi="Georgia"/>
                <w:b/>
                <w:lang w:val="en-GB"/>
              </w:rPr>
              <w:t>ilişkin</w:t>
            </w:r>
            <w:proofErr w:type="spellEnd"/>
            <w:r w:rsidRPr="006D15A7">
              <w:rPr>
                <w:rFonts w:ascii="Georgia" w:hAnsi="Georgia"/>
                <w:b/>
                <w:lang w:val="en-GB"/>
              </w:rPr>
              <w:t xml:space="preserve"> </w:t>
            </w:r>
            <w:proofErr w:type="spellStart"/>
            <w:r w:rsidRPr="006D15A7">
              <w:rPr>
                <w:rFonts w:ascii="Georgia" w:hAnsi="Georgia"/>
                <w:b/>
                <w:lang w:val="en-GB"/>
              </w:rPr>
              <w:t>beklenen</w:t>
            </w:r>
            <w:proofErr w:type="spellEnd"/>
            <w:r w:rsidRPr="006D15A7">
              <w:rPr>
                <w:rFonts w:ascii="Georgia" w:hAnsi="Georgia"/>
                <w:b/>
                <w:lang w:val="en-GB"/>
              </w:rPr>
              <w:t xml:space="preserve"> </w:t>
            </w:r>
            <w:proofErr w:type="spellStart"/>
            <w:r w:rsidRPr="006D15A7">
              <w:rPr>
                <w:rFonts w:ascii="Georgia" w:hAnsi="Georgia"/>
                <w:b/>
                <w:lang w:val="en-GB"/>
              </w:rPr>
              <w:t>kredi</w:t>
            </w:r>
            <w:proofErr w:type="spellEnd"/>
            <w:r w:rsidRPr="006D15A7">
              <w:rPr>
                <w:rFonts w:ascii="Georgia" w:hAnsi="Georgia"/>
                <w:b/>
                <w:lang w:val="en-GB"/>
              </w:rPr>
              <w:t xml:space="preserve"> </w:t>
            </w:r>
            <w:proofErr w:type="spellStart"/>
            <w:r w:rsidRPr="006D15A7">
              <w:rPr>
                <w:rFonts w:ascii="Georgia" w:hAnsi="Georgia"/>
                <w:b/>
                <w:lang w:val="en-GB"/>
              </w:rPr>
              <w:t>zarar</w:t>
            </w:r>
            <w:proofErr w:type="spellEnd"/>
            <w:r w:rsidRPr="006D15A7">
              <w:rPr>
                <w:rFonts w:ascii="Georgia" w:hAnsi="Georgia"/>
                <w:b/>
                <w:lang w:val="en-GB"/>
              </w:rPr>
              <w:t xml:space="preserve"> </w:t>
            </w:r>
            <w:proofErr w:type="spellStart"/>
            <w:r w:rsidRPr="006D15A7">
              <w:rPr>
                <w:rFonts w:ascii="Georgia" w:hAnsi="Georgia"/>
                <w:b/>
                <w:lang w:val="en-GB"/>
              </w:rPr>
              <w:t>karşılığı</w:t>
            </w:r>
            <w:proofErr w:type="spellEnd"/>
          </w:p>
          <w:p w14:paraId="59188AD5" w14:textId="77777777" w:rsidR="006D15A7" w:rsidRPr="006D15A7" w:rsidRDefault="006D15A7" w:rsidP="006D15A7">
            <w:pPr>
              <w:widowControl w:val="0"/>
              <w:spacing w:line="250" w:lineRule="atLeast"/>
              <w:rPr>
                <w:rFonts w:ascii="Georgia" w:hAnsi="Georgia"/>
                <w:b/>
                <w:lang w:val="en-GB"/>
              </w:rPr>
            </w:pPr>
          </w:p>
          <w:p w14:paraId="1D92F8E7" w14:textId="77777777" w:rsidR="006D15A7" w:rsidRPr="006D15A7" w:rsidRDefault="006D15A7" w:rsidP="006D15A7">
            <w:pPr>
              <w:widowControl w:val="0"/>
              <w:spacing w:line="250" w:lineRule="atLeast"/>
              <w:rPr>
                <w:rFonts w:ascii="Georgia" w:hAnsi="Georgia"/>
                <w:lang w:val="en-GB"/>
              </w:rPr>
            </w:pPr>
            <w:proofErr w:type="spellStart"/>
            <w:r w:rsidRPr="006D15A7">
              <w:rPr>
                <w:rFonts w:ascii="Georgia" w:hAnsi="Georgia"/>
                <w:lang w:val="en-GB"/>
              </w:rPr>
              <w:t>Banka’nın</w:t>
            </w:r>
            <w:proofErr w:type="spellEnd"/>
            <w:r w:rsidRPr="006D15A7">
              <w:rPr>
                <w:rFonts w:ascii="Georgia" w:hAnsi="Georgia"/>
                <w:lang w:val="en-GB"/>
              </w:rPr>
              <w:t xml:space="preserve"> 31 </w:t>
            </w:r>
            <w:proofErr w:type="spellStart"/>
            <w:r w:rsidRPr="006D15A7">
              <w:rPr>
                <w:rFonts w:ascii="Georgia" w:hAnsi="Georgia"/>
                <w:lang w:val="en-GB"/>
              </w:rPr>
              <w:t>Aralık</w:t>
            </w:r>
            <w:proofErr w:type="spellEnd"/>
            <w:r w:rsidRPr="006D15A7">
              <w:rPr>
                <w:rFonts w:ascii="Georgia" w:hAnsi="Georgia"/>
                <w:lang w:val="en-GB"/>
              </w:rPr>
              <w:t xml:space="preserve"> 2025 </w:t>
            </w:r>
            <w:proofErr w:type="spellStart"/>
            <w:r w:rsidRPr="006D15A7">
              <w:rPr>
                <w:rFonts w:ascii="Georgia" w:hAnsi="Georgia"/>
                <w:lang w:val="en-GB"/>
              </w:rPr>
              <w:t>tarihli</w:t>
            </w:r>
            <w:proofErr w:type="spellEnd"/>
            <w:r w:rsidRPr="006D15A7">
              <w:rPr>
                <w:rFonts w:ascii="Georgia" w:hAnsi="Georgia"/>
                <w:lang w:val="en-GB"/>
              </w:rPr>
              <w:t xml:space="preserve"> </w:t>
            </w:r>
            <w:proofErr w:type="spellStart"/>
            <w:r w:rsidRPr="006D15A7">
              <w:rPr>
                <w:rFonts w:ascii="Georgia" w:hAnsi="Georgia"/>
                <w:lang w:val="en-GB"/>
              </w:rPr>
              <w:t>konsolide</w:t>
            </w:r>
            <w:proofErr w:type="spellEnd"/>
            <w:r w:rsidRPr="006D15A7">
              <w:rPr>
                <w:rFonts w:ascii="Georgia" w:hAnsi="Georgia"/>
                <w:lang w:val="en-GB"/>
              </w:rPr>
              <w:t xml:space="preserve"> </w:t>
            </w:r>
            <w:proofErr w:type="spellStart"/>
            <w:r w:rsidRPr="006D15A7">
              <w:rPr>
                <w:rFonts w:ascii="Georgia" w:hAnsi="Georgia"/>
                <w:lang w:val="en-GB"/>
              </w:rPr>
              <w:t>olmayan</w:t>
            </w:r>
            <w:proofErr w:type="spellEnd"/>
            <w:r w:rsidRPr="006D15A7">
              <w:rPr>
                <w:rFonts w:ascii="Georgia" w:hAnsi="Georgia"/>
                <w:lang w:val="en-GB"/>
              </w:rPr>
              <w:t xml:space="preserve"> </w:t>
            </w:r>
            <w:proofErr w:type="spellStart"/>
            <w:r w:rsidRPr="006D15A7">
              <w:rPr>
                <w:rFonts w:ascii="Georgia" w:hAnsi="Georgia"/>
                <w:lang w:val="en-GB"/>
              </w:rPr>
              <w:t>finansal</w:t>
            </w:r>
            <w:proofErr w:type="spellEnd"/>
            <w:r w:rsidRPr="006D15A7">
              <w:rPr>
                <w:rFonts w:ascii="Georgia" w:hAnsi="Georgia"/>
                <w:lang w:val="en-GB"/>
              </w:rPr>
              <w:t xml:space="preserve"> </w:t>
            </w:r>
            <w:proofErr w:type="spellStart"/>
            <w:r w:rsidRPr="006D15A7">
              <w:rPr>
                <w:rFonts w:ascii="Georgia" w:hAnsi="Georgia"/>
                <w:lang w:val="en-GB"/>
              </w:rPr>
              <w:t>tablolarında</w:t>
            </w:r>
            <w:proofErr w:type="spellEnd"/>
            <w:r w:rsidRPr="006D15A7">
              <w:rPr>
                <w:rFonts w:ascii="Georgia" w:hAnsi="Georgia"/>
                <w:lang w:val="en-GB"/>
              </w:rPr>
              <w:t xml:space="preserve"> </w:t>
            </w:r>
            <w:proofErr w:type="spellStart"/>
            <w:r w:rsidRPr="006D15A7">
              <w:rPr>
                <w:rFonts w:ascii="Georgia" w:hAnsi="Georgia"/>
                <w:lang w:val="en-GB"/>
              </w:rPr>
              <w:t>aktifinde</w:t>
            </w:r>
            <w:proofErr w:type="spellEnd"/>
            <w:r w:rsidRPr="006D15A7">
              <w:rPr>
                <w:rFonts w:ascii="Georgia" w:hAnsi="Georgia"/>
                <w:lang w:val="en-GB"/>
              </w:rPr>
              <w:t xml:space="preserve"> </w:t>
            </w:r>
            <w:proofErr w:type="spellStart"/>
            <w:r w:rsidRPr="006D15A7">
              <w:rPr>
                <w:rFonts w:ascii="Georgia" w:hAnsi="Georgia"/>
                <w:lang w:val="en-GB"/>
              </w:rPr>
              <w:t>önemli</w:t>
            </w:r>
            <w:proofErr w:type="spellEnd"/>
            <w:r w:rsidRPr="006D15A7">
              <w:rPr>
                <w:rFonts w:ascii="Georgia" w:hAnsi="Georgia"/>
                <w:lang w:val="en-GB"/>
              </w:rPr>
              <w:t xml:space="preserve"> </w:t>
            </w:r>
            <w:proofErr w:type="spellStart"/>
            <w:r w:rsidRPr="006D15A7">
              <w:rPr>
                <w:rFonts w:ascii="Georgia" w:hAnsi="Georgia"/>
                <w:lang w:val="en-GB"/>
              </w:rPr>
              <w:t>bir</w:t>
            </w:r>
            <w:proofErr w:type="spellEnd"/>
            <w:r w:rsidRPr="006D15A7">
              <w:rPr>
                <w:rFonts w:ascii="Georgia" w:hAnsi="Georgia"/>
                <w:lang w:val="en-GB"/>
              </w:rPr>
              <w:t xml:space="preserve"> </w:t>
            </w:r>
            <w:proofErr w:type="spellStart"/>
            <w:r w:rsidRPr="006D15A7">
              <w:rPr>
                <w:rFonts w:ascii="Georgia" w:hAnsi="Georgia"/>
                <w:lang w:val="en-GB"/>
              </w:rPr>
              <w:t>paya</w:t>
            </w:r>
            <w:proofErr w:type="spellEnd"/>
            <w:r w:rsidRPr="006D15A7">
              <w:rPr>
                <w:rFonts w:ascii="Georgia" w:hAnsi="Georgia"/>
                <w:lang w:val="en-GB"/>
              </w:rPr>
              <w:t xml:space="preserve"> </w:t>
            </w:r>
            <w:proofErr w:type="spellStart"/>
            <w:r w:rsidRPr="006D15A7">
              <w:rPr>
                <w:rFonts w:ascii="Georgia" w:hAnsi="Georgia"/>
                <w:lang w:val="en-GB"/>
              </w:rPr>
              <w:t>sahip</w:t>
            </w:r>
            <w:proofErr w:type="spellEnd"/>
            <w:r w:rsidRPr="006D15A7">
              <w:rPr>
                <w:rFonts w:ascii="Georgia" w:hAnsi="Georgia"/>
                <w:lang w:val="en-GB"/>
              </w:rPr>
              <w:t xml:space="preserve"> </w:t>
            </w:r>
            <w:proofErr w:type="spellStart"/>
            <w:r w:rsidRPr="006D15A7">
              <w:rPr>
                <w:rFonts w:ascii="Georgia" w:hAnsi="Georgia"/>
                <w:lang w:val="en-GB"/>
              </w:rPr>
              <w:t>olan</w:t>
            </w:r>
            <w:proofErr w:type="spellEnd"/>
            <w:r w:rsidRPr="006D15A7">
              <w:rPr>
                <w:rFonts w:ascii="Georgia" w:hAnsi="Georgia"/>
                <w:lang w:val="en-GB"/>
              </w:rPr>
              <w:t xml:space="preserve"> </w:t>
            </w:r>
            <w:proofErr w:type="spellStart"/>
            <w:r w:rsidRPr="006D15A7">
              <w:rPr>
                <w:rFonts w:ascii="Georgia" w:hAnsi="Georgia"/>
                <w:lang w:val="en-GB"/>
              </w:rPr>
              <w:t>toplam</w:t>
            </w:r>
            <w:proofErr w:type="spellEnd"/>
            <w:r w:rsidRPr="006D15A7">
              <w:rPr>
                <w:rFonts w:ascii="Georgia" w:hAnsi="Georgia"/>
                <w:lang w:val="en-GB"/>
              </w:rPr>
              <w:t xml:space="preserve"> </w:t>
            </w:r>
            <w:bookmarkStart w:id="1" w:name="OLE_LINK8"/>
            <w:r w:rsidRPr="006D15A7">
              <w:rPr>
                <w:rFonts w:ascii="Georgia" w:hAnsi="Georgia"/>
                <w:lang w:val="en-GB"/>
              </w:rPr>
              <w:t xml:space="preserve">54.842.370 </w:t>
            </w:r>
            <w:bookmarkEnd w:id="1"/>
            <w:r w:rsidRPr="006D15A7">
              <w:rPr>
                <w:rFonts w:ascii="Georgia" w:hAnsi="Georgia"/>
                <w:lang w:val="en-GB"/>
              </w:rPr>
              <w:t xml:space="preserve">bin TL </w:t>
            </w:r>
            <w:proofErr w:type="spellStart"/>
            <w:r w:rsidRPr="006D15A7">
              <w:rPr>
                <w:rFonts w:ascii="Georgia" w:hAnsi="Georgia"/>
                <w:lang w:val="en-GB"/>
              </w:rPr>
              <w:t>krediler</w:t>
            </w:r>
            <w:proofErr w:type="spellEnd"/>
            <w:r w:rsidRPr="006D15A7">
              <w:rPr>
                <w:rFonts w:ascii="Georgia" w:hAnsi="Georgia"/>
                <w:lang w:val="en-GB"/>
              </w:rPr>
              <w:t xml:space="preserve"> ve </w:t>
            </w:r>
            <w:proofErr w:type="spellStart"/>
            <w:r w:rsidRPr="006D15A7">
              <w:rPr>
                <w:rFonts w:ascii="Georgia" w:hAnsi="Georgia"/>
                <w:lang w:val="en-GB"/>
              </w:rPr>
              <w:t>alacaklar</w:t>
            </w:r>
            <w:proofErr w:type="spellEnd"/>
            <w:r w:rsidRPr="006D15A7">
              <w:rPr>
                <w:rFonts w:ascii="Georgia" w:hAnsi="Georgia"/>
                <w:lang w:val="en-GB"/>
              </w:rPr>
              <w:t xml:space="preserve"> ve </w:t>
            </w:r>
            <w:proofErr w:type="spellStart"/>
            <w:r w:rsidRPr="006D15A7">
              <w:rPr>
                <w:rFonts w:ascii="Georgia" w:hAnsi="Georgia"/>
                <w:lang w:val="en-GB"/>
              </w:rPr>
              <w:t>bunlara</w:t>
            </w:r>
            <w:proofErr w:type="spellEnd"/>
            <w:r w:rsidRPr="006D15A7">
              <w:rPr>
                <w:rFonts w:ascii="Georgia" w:hAnsi="Georgia"/>
                <w:lang w:val="en-GB"/>
              </w:rPr>
              <w:t xml:space="preserve"> </w:t>
            </w:r>
            <w:proofErr w:type="spellStart"/>
            <w:r w:rsidRPr="006D15A7">
              <w:rPr>
                <w:rFonts w:ascii="Georgia" w:hAnsi="Georgia"/>
                <w:lang w:val="en-GB"/>
              </w:rPr>
              <w:t>ilişkin</w:t>
            </w:r>
            <w:proofErr w:type="spellEnd"/>
            <w:r w:rsidRPr="006D15A7">
              <w:rPr>
                <w:rFonts w:ascii="Georgia" w:hAnsi="Georgia"/>
                <w:lang w:val="en-GB"/>
              </w:rPr>
              <w:t xml:space="preserve"> </w:t>
            </w:r>
            <w:proofErr w:type="spellStart"/>
            <w:r w:rsidRPr="006D15A7">
              <w:rPr>
                <w:rFonts w:ascii="Georgia" w:hAnsi="Georgia"/>
                <w:lang w:val="en-GB"/>
              </w:rPr>
              <w:t>ayrılmış</w:t>
            </w:r>
            <w:proofErr w:type="spellEnd"/>
            <w:r w:rsidRPr="006D15A7">
              <w:rPr>
                <w:rFonts w:ascii="Georgia" w:hAnsi="Georgia"/>
                <w:lang w:val="en-GB"/>
              </w:rPr>
              <w:t xml:space="preserve"> </w:t>
            </w:r>
            <w:proofErr w:type="spellStart"/>
            <w:r w:rsidRPr="006D15A7">
              <w:rPr>
                <w:rFonts w:ascii="Georgia" w:hAnsi="Georgia"/>
                <w:lang w:val="en-GB"/>
              </w:rPr>
              <w:t>olan</w:t>
            </w:r>
            <w:proofErr w:type="spellEnd"/>
            <w:r w:rsidRPr="006D15A7">
              <w:rPr>
                <w:rFonts w:ascii="Georgia" w:hAnsi="Georgia"/>
                <w:lang w:val="en-GB"/>
              </w:rPr>
              <w:t xml:space="preserve"> </w:t>
            </w:r>
            <w:proofErr w:type="spellStart"/>
            <w:r w:rsidRPr="006D15A7">
              <w:rPr>
                <w:rFonts w:ascii="Georgia" w:hAnsi="Georgia"/>
                <w:lang w:val="en-GB"/>
              </w:rPr>
              <w:t>toplam</w:t>
            </w:r>
            <w:proofErr w:type="spellEnd"/>
            <w:r w:rsidRPr="006D15A7">
              <w:rPr>
                <w:rFonts w:ascii="Georgia" w:hAnsi="Georgia"/>
                <w:lang w:val="en-GB"/>
              </w:rPr>
              <w:t xml:space="preserve"> 539.353bin TL </w:t>
            </w:r>
            <w:proofErr w:type="spellStart"/>
            <w:r w:rsidRPr="006D15A7">
              <w:rPr>
                <w:rFonts w:ascii="Georgia" w:hAnsi="Georgia"/>
                <w:lang w:val="en-GB"/>
              </w:rPr>
              <w:t>beklenen</w:t>
            </w:r>
            <w:proofErr w:type="spellEnd"/>
            <w:r w:rsidRPr="006D15A7">
              <w:rPr>
                <w:rFonts w:ascii="Georgia" w:hAnsi="Georgia"/>
                <w:lang w:val="en-GB"/>
              </w:rPr>
              <w:t xml:space="preserve"> </w:t>
            </w:r>
            <w:proofErr w:type="spellStart"/>
            <w:r w:rsidRPr="006D15A7">
              <w:rPr>
                <w:rFonts w:ascii="Georgia" w:hAnsi="Georgia"/>
                <w:lang w:val="en-GB"/>
              </w:rPr>
              <w:t>zarar</w:t>
            </w:r>
            <w:proofErr w:type="spellEnd"/>
            <w:r w:rsidRPr="006D15A7">
              <w:rPr>
                <w:rFonts w:ascii="Georgia" w:hAnsi="Georgia"/>
                <w:lang w:val="en-GB"/>
              </w:rPr>
              <w:t xml:space="preserve"> </w:t>
            </w:r>
            <w:proofErr w:type="spellStart"/>
            <w:r w:rsidRPr="006D15A7">
              <w:rPr>
                <w:rFonts w:ascii="Georgia" w:hAnsi="Georgia"/>
                <w:lang w:val="en-GB"/>
              </w:rPr>
              <w:t>karşılığı</w:t>
            </w:r>
            <w:proofErr w:type="spellEnd"/>
            <w:r w:rsidRPr="006D15A7">
              <w:rPr>
                <w:rFonts w:ascii="Georgia" w:hAnsi="Georgia"/>
                <w:lang w:val="en-GB"/>
              </w:rPr>
              <w:t xml:space="preserve"> </w:t>
            </w:r>
            <w:proofErr w:type="spellStart"/>
            <w:r w:rsidRPr="006D15A7">
              <w:rPr>
                <w:rFonts w:ascii="Georgia" w:hAnsi="Georgia"/>
                <w:lang w:val="en-GB"/>
              </w:rPr>
              <w:t>bulunmaktadır</w:t>
            </w:r>
            <w:proofErr w:type="spellEnd"/>
            <w:r w:rsidRPr="006D15A7">
              <w:rPr>
                <w:rFonts w:ascii="Georgia" w:hAnsi="Georgia"/>
                <w:lang w:val="en-GB"/>
              </w:rPr>
              <w:t xml:space="preserve">. </w:t>
            </w:r>
          </w:p>
          <w:p w14:paraId="2A63827F" w14:textId="77777777" w:rsidR="006D15A7" w:rsidRPr="006D15A7" w:rsidRDefault="006D15A7" w:rsidP="006D15A7">
            <w:pPr>
              <w:widowControl w:val="0"/>
              <w:spacing w:line="250" w:lineRule="atLeast"/>
              <w:rPr>
                <w:rFonts w:ascii="Georgia" w:hAnsi="Georgia"/>
                <w:lang w:val="en-GB"/>
              </w:rPr>
            </w:pPr>
          </w:p>
          <w:p w14:paraId="46920E0A" w14:textId="77777777" w:rsidR="006D15A7" w:rsidRPr="006D15A7" w:rsidRDefault="006D15A7" w:rsidP="006D15A7">
            <w:pPr>
              <w:widowControl w:val="0"/>
              <w:spacing w:line="250" w:lineRule="atLeast"/>
              <w:rPr>
                <w:rFonts w:ascii="Georgia" w:hAnsi="Georgia"/>
                <w:lang w:val="en-GB"/>
              </w:rPr>
            </w:pPr>
            <w:proofErr w:type="spellStart"/>
            <w:r w:rsidRPr="006D15A7">
              <w:rPr>
                <w:rFonts w:ascii="Georgia" w:hAnsi="Georgia"/>
                <w:lang w:val="en-GB"/>
              </w:rPr>
              <w:t>Krediler</w:t>
            </w:r>
            <w:proofErr w:type="spellEnd"/>
            <w:r w:rsidRPr="006D15A7">
              <w:rPr>
                <w:rFonts w:ascii="Georgia" w:hAnsi="Georgia"/>
                <w:lang w:val="en-GB"/>
              </w:rPr>
              <w:t xml:space="preserve"> ve </w:t>
            </w:r>
            <w:proofErr w:type="spellStart"/>
            <w:r w:rsidRPr="006D15A7">
              <w:rPr>
                <w:rFonts w:ascii="Georgia" w:hAnsi="Georgia"/>
                <w:lang w:val="en-GB"/>
              </w:rPr>
              <w:t>alacaklar</w:t>
            </w:r>
            <w:proofErr w:type="spellEnd"/>
            <w:r w:rsidRPr="006D15A7">
              <w:rPr>
                <w:rFonts w:ascii="Georgia" w:hAnsi="Georgia"/>
                <w:lang w:val="en-GB"/>
              </w:rPr>
              <w:t xml:space="preserve"> </w:t>
            </w:r>
            <w:proofErr w:type="spellStart"/>
            <w:r w:rsidRPr="006D15A7">
              <w:rPr>
                <w:rFonts w:ascii="Georgia" w:hAnsi="Georgia"/>
                <w:lang w:val="en-GB"/>
              </w:rPr>
              <w:t>ile</w:t>
            </w:r>
            <w:proofErr w:type="spellEnd"/>
            <w:r w:rsidRPr="006D15A7">
              <w:rPr>
                <w:rFonts w:ascii="Georgia" w:hAnsi="Georgia"/>
                <w:lang w:val="en-GB"/>
              </w:rPr>
              <w:t xml:space="preserve"> </w:t>
            </w:r>
            <w:proofErr w:type="spellStart"/>
            <w:r w:rsidRPr="006D15A7">
              <w:rPr>
                <w:rFonts w:ascii="Georgia" w:hAnsi="Georgia"/>
                <w:lang w:val="en-GB"/>
              </w:rPr>
              <w:t>ilgili</w:t>
            </w:r>
            <w:proofErr w:type="spellEnd"/>
            <w:r w:rsidRPr="006D15A7">
              <w:rPr>
                <w:rFonts w:ascii="Georgia" w:hAnsi="Georgia"/>
                <w:lang w:val="en-GB"/>
              </w:rPr>
              <w:t xml:space="preserve"> </w:t>
            </w:r>
            <w:proofErr w:type="spellStart"/>
            <w:r w:rsidRPr="006D15A7">
              <w:rPr>
                <w:rFonts w:ascii="Georgia" w:hAnsi="Georgia"/>
                <w:lang w:val="en-GB"/>
              </w:rPr>
              <w:t>tesis</w:t>
            </w:r>
            <w:proofErr w:type="spellEnd"/>
            <w:r w:rsidRPr="006D15A7">
              <w:rPr>
                <w:rFonts w:ascii="Georgia" w:hAnsi="Georgia"/>
                <w:lang w:val="en-GB"/>
              </w:rPr>
              <w:t xml:space="preserve"> </w:t>
            </w:r>
            <w:proofErr w:type="spellStart"/>
            <w:r w:rsidRPr="006D15A7">
              <w:rPr>
                <w:rFonts w:ascii="Georgia" w:hAnsi="Georgia"/>
                <w:lang w:val="en-GB"/>
              </w:rPr>
              <w:t>edilen</w:t>
            </w:r>
            <w:proofErr w:type="spellEnd"/>
            <w:r w:rsidRPr="006D15A7">
              <w:rPr>
                <w:rFonts w:ascii="Georgia" w:hAnsi="Georgia"/>
                <w:lang w:val="en-GB"/>
              </w:rPr>
              <w:t xml:space="preserve"> </w:t>
            </w:r>
            <w:proofErr w:type="spellStart"/>
            <w:r w:rsidRPr="006D15A7">
              <w:rPr>
                <w:rFonts w:ascii="Georgia" w:hAnsi="Georgia"/>
                <w:lang w:val="en-GB"/>
              </w:rPr>
              <w:t>beklenen</w:t>
            </w:r>
            <w:proofErr w:type="spellEnd"/>
            <w:r w:rsidRPr="006D15A7">
              <w:rPr>
                <w:rFonts w:ascii="Georgia" w:hAnsi="Georgia"/>
                <w:lang w:val="en-GB"/>
              </w:rPr>
              <w:t xml:space="preserve"> </w:t>
            </w:r>
            <w:proofErr w:type="spellStart"/>
            <w:r w:rsidRPr="006D15A7">
              <w:rPr>
                <w:rFonts w:ascii="Georgia" w:hAnsi="Georgia"/>
                <w:lang w:val="en-GB"/>
              </w:rPr>
              <w:t>kredi</w:t>
            </w:r>
            <w:proofErr w:type="spellEnd"/>
            <w:r w:rsidRPr="006D15A7">
              <w:rPr>
                <w:rFonts w:ascii="Georgia" w:hAnsi="Georgia"/>
                <w:lang w:val="en-GB"/>
              </w:rPr>
              <w:t xml:space="preserve"> </w:t>
            </w:r>
            <w:proofErr w:type="spellStart"/>
            <w:r w:rsidRPr="006D15A7">
              <w:rPr>
                <w:rFonts w:ascii="Georgia" w:hAnsi="Georgia"/>
                <w:lang w:val="en-GB"/>
              </w:rPr>
              <w:t>zarar</w:t>
            </w:r>
            <w:proofErr w:type="spellEnd"/>
            <w:r w:rsidRPr="006D15A7">
              <w:rPr>
                <w:rFonts w:ascii="Georgia" w:hAnsi="Georgia"/>
                <w:lang w:val="en-GB"/>
              </w:rPr>
              <w:t xml:space="preserve"> </w:t>
            </w:r>
            <w:proofErr w:type="spellStart"/>
            <w:r w:rsidRPr="006D15A7">
              <w:rPr>
                <w:rFonts w:ascii="Georgia" w:hAnsi="Georgia"/>
                <w:lang w:val="en-GB"/>
              </w:rPr>
              <w:t>karşılığına</w:t>
            </w:r>
            <w:proofErr w:type="spellEnd"/>
            <w:r w:rsidRPr="006D15A7">
              <w:rPr>
                <w:rFonts w:ascii="Georgia" w:hAnsi="Georgia"/>
                <w:lang w:val="en-GB"/>
              </w:rPr>
              <w:t xml:space="preserve"> </w:t>
            </w:r>
            <w:proofErr w:type="spellStart"/>
            <w:r w:rsidRPr="006D15A7">
              <w:rPr>
                <w:rFonts w:ascii="Georgia" w:hAnsi="Georgia"/>
                <w:lang w:val="en-GB"/>
              </w:rPr>
              <w:t>ilişkin</w:t>
            </w:r>
            <w:proofErr w:type="spellEnd"/>
            <w:r w:rsidRPr="006D15A7">
              <w:rPr>
                <w:rFonts w:ascii="Georgia" w:hAnsi="Georgia"/>
                <w:lang w:val="en-GB"/>
              </w:rPr>
              <w:t xml:space="preserve"> </w:t>
            </w:r>
            <w:proofErr w:type="spellStart"/>
            <w:r w:rsidRPr="006D15A7">
              <w:rPr>
                <w:rFonts w:ascii="Georgia" w:hAnsi="Georgia"/>
                <w:lang w:val="en-GB"/>
              </w:rPr>
              <w:t>açıklama</w:t>
            </w:r>
            <w:proofErr w:type="spellEnd"/>
            <w:r w:rsidRPr="006D15A7">
              <w:rPr>
                <w:rFonts w:ascii="Georgia" w:hAnsi="Georgia"/>
                <w:lang w:val="en-GB"/>
              </w:rPr>
              <w:t xml:space="preserve"> ve </w:t>
            </w:r>
            <w:proofErr w:type="spellStart"/>
            <w:r w:rsidRPr="006D15A7">
              <w:rPr>
                <w:rFonts w:ascii="Georgia" w:hAnsi="Georgia"/>
                <w:lang w:val="en-GB"/>
              </w:rPr>
              <w:t>dipnotlar</w:t>
            </w:r>
            <w:proofErr w:type="spellEnd"/>
            <w:r w:rsidRPr="006D15A7">
              <w:rPr>
                <w:rFonts w:ascii="Georgia" w:hAnsi="Georgia"/>
                <w:lang w:val="en-GB"/>
              </w:rPr>
              <w:t xml:space="preserve"> </w:t>
            </w:r>
            <w:r w:rsidRPr="006D15A7">
              <w:rPr>
                <w:rFonts w:ascii="Georgia" w:hAnsi="Georgia"/>
                <w:lang w:val="en-GB"/>
              </w:rPr>
              <w:br/>
              <w:t xml:space="preserve">31 </w:t>
            </w:r>
            <w:proofErr w:type="spellStart"/>
            <w:r w:rsidRPr="006D15A7">
              <w:rPr>
                <w:rFonts w:ascii="Georgia" w:hAnsi="Georgia"/>
                <w:lang w:val="en-GB"/>
              </w:rPr>
              <w:t>Aralık</w:t>
            </w:r>
            <w:proofErr w:type="spellEnd"/>
            <w:r w:rsidRPr="006D15A7">
              <w:rPr>
                <w:rFonts w:ascii="Georgia" w:hAnsi="Georgia"/>
                <w:lang w:val="en-GB"/>
              </w:rPr>
              <w:t xml:space="preserve"> 2025 </w:t>
            </w:r>
            <w:proofErr w:type="spellStart"/>
            <w:r w:rsidRPr="006D15A7">
              <w:rPr>
                <w:rFonts w:ascii="Georgia" w:hAnsi="Georgia"/>
                <w:lang w:val="en-GB"/>
              </w:rPr>
              <w:t>tarihi</w:t>
            </w:r>
            <w:proofErr w:type="spellEnd"/>
            <w:r w:rsidRPr="006D15A7">
              <w:rPr>
                <w:rFonts w:ascii="Georgia" w:hAnsi="Georgia"/>
                <w:lang w:val="en-GB"/>
              </w:rPr>
              <w:t xml:space="preserve"> </w:t>
            </w:r>
            <w:proofErr w:type="spellStart"/>
            <w:r w:rsidRPr="006D15A7">
              <w:rPr>
                <w:rFonts w:ascii="Georgia" w:hAnsi="Georgia"/>
                <w:lang w:val="en-GB"/>
              </w:rPr>
              <w:t>itibarıyla</w:t>
            </w:r>
            <w:proofErr w:type="spellEnd"/>
            <w:r w:rsidRPr="006D15A7">
              <w:rPr>
                <w:rFonts w:ascii="Georgia" w:hAnsi="Georgia"/>
                <w:lang w:val="en-GB"/>
              </w:rPr>
              <w:t xml:space="preserve"> </w:t>
            </w:r>
            <w:proofErr w:type="spellStart"/>
            <w:r w:rsidRPr="006D15A7">
              <w:rPr>
                <w:rFonts w:ascii="Georgia" w:hAnsi="Georgia"/>
                <w:lang w:val="en-GB"/>
              </w:rPr>
              <w:t>düzenlenmiş</w:t>
            </w:r>
            <w:proofErr w:type="spellEnd"/>
            <w:r w:rsidRPr="006D15A7">
              <w:rPr>
                <w:rFonts w:ascii="Georgia" w:hAnsi="Georgia"/>
                <w:lang w:val="en-GB"/>
              </w:rPr>
              <w:t xml:space="preserve"> </w:t>
            </w:r>
            <w:proofErr w:type="spellStart"/>
            <w:r w:rsidRPr="006D15A7">
              <w:rPr>
                <w:rFonts w:ascii="Georgia" w:hAnsi="Georgia"/>
                <w:lang w:val="en-GB"/>
              </w:rPr>
              <w:t>olan</w:t>
            </w:r>
            <w:proofErr w:type="spellEnd"/>
            <w:r w:rsidRPr="006D15A7">
              <w:rPr>
                <w:rFonts w:ascii="Georgia" w:hAnsi="Georgia"/>
                <w:lang w:val="en-GB"/>
              </w:rPr>
              <w:t xml:space="preserve"> </w:t>
            </w:r>
            <w:proofErr w:type="spellStart"/>
            <w:r w:rsidRPr="006D15A7">
              <w:rPr>
                <w:rFonts w:ascii="Georgia" w:hAnsi="Georgia"/>
                <w:lang w:val="en-GB"/>
              </w:rPr>
              <w:t>ilişikteki</w:t>
            </w:r>
            <w:proofErr w:type="spellEnd"/>
            <w:r w:rsidRPr="006D15A7">
              <w:rPr>
                <w:rFonts w:ascii="Georgia" w:hAnsi="Georgia"/>
                <w:lang w:val="en-GB"/>
              </w:rPr>
              <w:t xml:space="preserve"> </w:t>
            </w:r>
            <w:proofErr w:type="spellStart"/>
            <w:r w:rsidRPr="006D15A7">
              <w:rPr>
                <w:rFonts w:ascii="Georgia" w:hAnsi="Georgia"/>
                <w:lang w:val="en-GB"/>
              </w:rPr>
              <w:t>konsolide</w:t>
            </w:r>
            <w:proofErr w:type="spellEnd"/>
            <w:r w:rsidRPr="006D15A7">
              <w:rPr>
                <w:rFonts w:ascii="Georgia" w:hAnsi="Georgia"/>
                <w:lang w:val="en-GB"/>
              </w:rPr>
              <w:t xml:space="preserve"> </w:t>
            </w:r>
            <w:proofErr w:type="spellStart"/>
            <w:r w:rsidRPr="006D15A7">
              <w:rPr>
                <w:rFonts w:ascii="Georgia" w:hAnsi="Georgia"/>
                <w:lang w:val="en-GB"/>
              </w:rPr>
              <w:t>olmayan</w:t>
            </w:r>
            <w:proofErr w:type="spellEnd"/>
            <w:r w:rsidRPr="006D15A7">
              <w:rPr>
                <w:rFonts w:ascii="Georgia" w:hAnsi="Georgia"/>
                <w:lang w:val="en-GB"/>
              </w:rPr>
              <w:t xml:space="preserve"> </w:t>
            </w:r>
            <w:proofErr w:type="spellStart"/>
            <w:r w:rsidRPr="006D15A7">
              <w:rPr>
                <w:rFonts w:ascii="Georgia" w:hAnsi="Georgia"/>
                <w:lang w:val="en-GB"/>
              </w:rPr>
              <w:t>finansal</w:t>
            </w:r>
            <w:proofErr w:type="spellEnd"/>
            <w:r w:rsidRPr="006D15A7">
              <w:rPr>
                <w:rFonts w:ascii="Georgia" w:hAnsi="Georgia"/>
                <w:lang w:val="en-GB"/>
              </w:rPr>
              <w:t xml:space="preserve"> </w:t>
            </w:r>
            <w:proofErr w:type="spellStart"/>
            <w:r w:rsidRPr="006D15A7">
              <w:rPr>
                <w:rFonts w:ascii="Georgia" w:hAnsi="Georgia"/>
                <w:lang w:val="en-GB"/>
              </w:rPr>
              <w:t>tabloların</w:t>
            </w:r>
            <w:proofErr w:type="spellEnd"/>
            <w:r w:rsidRPr="006D15A7">
              <w:rPr>
                <w:rFonts w:ascii="Georgia" w:hAnsi="Georgia"/>
                <w:lang w:val="en-GB"/>
              </w:rPr>
              <w:t xml:space="preserve"> </w:t>
            </w:r>
            <w:proofErr w:type="spellStart"/>
            <w:r w:rsidRPr="006D15A7">
              <w:rPr>
                <w:rFonts w:ascii="Georgia" w:hAnsi="Georgia"/>
                <w:lang w:val="en-GB"/>
              </w:rPr>
              <w:t>Üçüncü</w:t>
            </w:r>
            <w:proofErr w:type="spellEnd"/>
            <w:r w:rsidRPr="006D15A7">
              <w:rPr>
                <w:rFonts w:ascii="Georgia" w:hAnsi="Georgia"/>
                <w:lang w:val="en-GB"/>
              </w:rPr>
              <w:t xml:space="preserve"> </w:t>
            </w:r>
            <w:proofErr w:type="spellStart"/>
            <w:r w:rsidRPr="006D15A7">
              <w:rPr>
                <w:rFonts w:ascii="Georgia" w:hAnsi="Georgia"/>
                <w:lang w:val="en-GB"/>
              </w:rPr>
              <w:t>Bölüm</w:t>
            </w:r>
            <w:proofErr w:type="spellEnd"/>
            <w:r w:rsidRPr="006D15A7">
              <w:rPr>
                <w:rFonts w:ascii="Georgia" w:hAnsi="Georgia"/>
                <w:lang w:val="en-GB"/>
              </w:rPr>
              <w:t xml:space="preserve"> VI, </w:t>
            </w:r>
            <w:proofErr w:type="spellStart"/>
            <w:r w:rsidRPr="006D15A7">
              <w:rPr>
                <w:rFonts w:ascii="Georgia" w:hAnsi="Georgia"/>
                <w:lang w:val="en-GB"/>
              </w:rPr>
              <w:t>Dördüncü</w:t>
            </w:r>
            <w:proofErr w:type="spellEnd"/>
            <w:r w:rsidRPr="006D15A7">
              <w:rPr>
                <w:rFonts w:ascii="Georgia" w:hAnsi="Georgia"/>
                <w:lang w:val="en-GB"/>
              </w:rPr>
              <w:t xml:space="preserve"> </w:t>
            </w:r>
            <w:proofErr w:type="spellStart"/>
            <w:r w:rsidRPr="006D15A7">
              <w:rPr>
                <w:rFonts w:ascii="Georgia" w:hAnsi="Georgia"/>
                <w:lang w:val="en-GB"/>
              </w:rPr>
              <w:t>Bölüm</w:t>
            </w:r>
            <w:proofErr w:type="spellEnd"/>
            <w:r w:rsidRPr="006D15A7">
              <w:rPr>
                <w:rFonts w:ascii="Georgia" w:hAnsi="Georgia"/>
                <w:lang w:val="en-GB"/>
              </w:rPr>
              <w:t xml:space="preserve"> II. ve </w:t>
            </w:r>
            <w:proofErr w:type="spellStart"/>
            <w:r w:rsidRPr="006D15A7">
              <w:rPr>
                <w:rFonts w:ascii="Georgia" w:hAnsi="Georgia"/>
                <w:lang w:val="en-GB"/>
              </w:rPr>
              <w:t>IX.c</w:t>
            </w:r>
            <w:proofErr w:type="spellEnd"/>
            <w:r w:rsidRPr="006D15A7">
              <w:rPr>
                <w:rFonts w:ascii="Georgia" w:hAnsi="Georgia"/>
                <w:lang w:val="en-GB"/>
              </w:rPr>
              <w:t xml:space="preserve">., </w:t>
            </w:r>
            <w:proofErr w:type="spellStart"/>
            <w:r w:rsidRPr="006D15A7">
              <w:rPr>
                <w:rFonts w:ascii="Georgia" w:hAnsi="Georgia"/>
                <w:lang w:val="en-GB"/>
              </w:rPr>
              <w:t>Beşinci</w:t>
            </w:r>
            <w:proofErr w:type="spellEnd"/>
            <w:r w:rsidRPr="006D15A7">
              <w:rPr>
                <w:rFonts w:ascii="Georgia" w:hAnsi="Georgia"/>
                <w:lang w:val="en-GB"/>
              </w:rPr>
              <w:t xml:space="preserve"> </w:t>
            </w:r>
            <w:proofErr w:type="spellStart"/>
            <w:r w:rsidRPr="006D15A7">
              <w:rPr>
                <w:rFonts w:ascii="Georgia" w:hAnsi="Georgia"/>
                <w:lang w:val="en-GB"/>
              </w:rPr>
              <w:t>Bölüm</w:t>
            </w:r>
            <w:proofErr w:type="spellEnd"/>
            <w:r w:rsidRPr="006D15A7">
              <w:rPr>
                <w:rFonts w:ascii="Georgia" w:hAnsi="Georgia"/>
                <w:lang w:val="en-GB"/>
              </w:rPr>
              <w:t xml:space="preserve"> I.6 </w:t>
            </w:r>
            <w:proofErr w:type="spellStart"/>
            <w:r w:rsidRPr="006D15A7">
              <w:rPr>
                <w:rFonts w:ascii="Georgia" w:hAnsi="Georgia"/>
                <w:lang w:val="en-GB"/>
              </w:rPr>
              <w:t>numaralı</w:t>
            </w:r>
            <w:proofErr w:type="spellEnd"/>
            <w:r w:rsidRPr="006D15A7">
              <w:rPr>
                <w:rFonts w:ascii="Georgia" w:hAnsi="Georgia"/>
                <w:lang w:val="en-GB"/>
              </w:rPr>
              <w:t xml:space="preserve"> </w:t>
            </w:r>
            <w:proofErr w:type="spellStart"/>
            <w:r w:rsidRPr="006D15A7">
              <w:rPr>
                <w:rFonts w:ascii="Georgia" w:hAnsi="Georgia"/>
                <w:lang w:val="en-GB"/>
              </w:rPr>
              <w:t>dipnotlarında</w:t>
            </w:r>
            <w:proofErr w:type="spellEnd"/>
            <w:r w:rsidRPr="006D15A7">
              <w:rPr>
                <w:rFonts w:ascii="Georgia" w:hAnsi="Georgia"/>
                <w:lang w:val="en-GB"/>
              </w:rPr>
              <w:t xml:space="preserve"> </w:t>
            </w:r>
            <w:proofErr w:type="spellStart"/>
            <w:r w:rsidRPr="006D15A7">
              <w:rPr>
                <w:rFonts w:ascii="Georgia" w:hAnsi="Georgia"/>
                <w:lang w:val="en-GB"/>
              </w:rPr>
              <w:t>yer</w:t>
            </w:r>
            <w:proofErr w:type="spellEnd"/>
            <w:r w:rsidRPr="006D15A7">
              <w:rPr>
                <w:rFonts w:ascii="Georgia" w:hAnsi="Georgia"/>
                <w:lang w:val="en-GB"/>
              </w:rPr>
              <w:t xml:space="preserve"> </w:t>
            </w:r>
            <w:proofErr w:type="spellStart"/>
            <w:r w:rsidRPr="006D15A7">
              <w:rPr>
                <w:rFonts w:ascii="Georgia" w:hAnsi="Georgia"/>
                <w:lang w:val="en-GB"/>
              </w:rPr>
              <w:t>almaktadır</w:t>
            </w:r>
            <w:proofErr w:type="spellEnd"/>
            <w:r w:rsidRPr="006D15A7">
              <w:rPr>
                <w:rFonts w:ascii="Georgia" w:hAnsi="Georgia"/>
                <w:lang w:val="en-GB"/>
              </w:rPr>
              <w:t>.</w:t>
            </w:r>
          </w:p>
          <w:p w14:paraId="6C316F8B" w14:textId="77777777" w:rsidR="006D15A7" w:rsidRPr="006D15A7" w:rsidRDefault="006D15A7" w:rsidP="006D15A7">
            <w:pPr>
              <w:spacing w:line="250" w:lineRule="atLeast"/>
              <w:rPr>
                <w:rFonts w:ascii="Georgia" w:hAnsi="Georgia"/>
                <w:lang w:val="en-GB"/>
              </w:rPr>
            </w:pPr>
          </w:p>
          <w:p w14:paraId="3F912680" w14:textId="77777777" w:rsidR="006D15A7" w:rsidRPr="006D15A7" w:rsidRDefault="006D15A7" w:rsidP="006D15A7">
            <w:pPr>
              <w:spacing w:line="250" w:lineRule="atLeast"/>
              <w:rPr>
                <w:rFonts w:ascii="Georgia" w:hAnsi="Georgia"/>
                <w:lang w:val="en-GB"/>
              </w:rPr>
            </w:pPr>
            <w:r w:rsidRPr="006D15A7">
              <w:rPr>
                <w:rFonts w:ascii="Georgia" w:hAnsi="Georgia"/>
                <w:lang w:val="en-GB"/>
              </w:rPr>
              <w:t xml:space="preserve">22 </w:t>
            </w:r>
            <w:proofErr w:type="spellStart"/>
            <w:r w:rsidRPr="006D15A7">
              <w:rPr>
                <w:rFonts w:ascii="Georgia" w:hAnsi="Georgia"/>
                <w:lang w:val="en-GB"/>
              </w:rPr>
              <w:t>Haziran</w:t>
            </w:r>
            <w:proofErr w:type="spellEnd"/>
            <w:r w:rsidRPr="006D15A7">
              <w:rPr>
                <w:rFonts w:ascii="Georgia" w:hAnsi="Georgia"/>
                <w:lang w:val="en-GB"/>
              </w:rPr>
              <w:t xml:space="preserve"> 2016 </w:t>
            </w:r>
            <w:proofErr w:type="spellStart"/>
            <w:r w:rsidRPr="006D15A7">
              <w:rPr>
                <w:rFonts w:ascii="Georgia" w:hAnsi="Georgia"/>
                <w:lang w:val="en-GB"/>
              </w:rPr>
              <w:t>tarih</w:t>
            </w:r>
            <w:proofErr w:type="spellEnd"/>
            <w:r w:rsidRPr="006D15A7">
              <w:rPr>
                <w:rFonts w:ascii="Georgia" w:hAnsi="Georgia"/>
                <w:lang w:val="en-GB"/>
              </w:rPr>
              <w:t xml:space="preserve"> ve 29750 </w:t>
            </w:r>
            <w:proofErr w:type="spellStart"/>
            <w:r w:rsidRPr="006D15A7">
              <w:rPr>
                <w:rFonts w:ascii="Georgia" w:hAnsi="Georgia"/>
                <w:lang w:val="en-GB"/>
              </w:rPr>
              <w:t>sayılı</w:t>
            </w:r>
            <w:proofErr w:type="spellEnd"/>
            <w:r w:rsidRPr="006D15A7">
              <w:rPr>
                <w:rFonts w:ascii="Georgia" w:hAnsi="Georgia"/>
                <w:lang w:val="en-GB"/>
              </w:rPr>
              <w:t xml:space="preserve"> </w:t>
            </w:r>
            <w:proofErr w:type="spellStart"/>
            <w:r w:rsidRPr="006D15A7">
              <w:rPr>
                <w:rFonts w:ascii="Georgia" w:hAnsi="Georgia"/>
                <w:lang w:val="en-GB"/>
              </w:rPr>
              <w:t>Resmi</w:t>
            </w:r>
            <w:proofErr w:type="spellEnd"/>
            <w:r w:rsidRPr="006D15A7">
              <w:rPr>
                <w:rFonts w:ascii="Georgia" w:hAnsi="Georgia"/>
                <w:lang w:val="en-GB"/>
              </w:rPr>
              <w:t xml:space="preserve"> </w:t>
            </w:r>
            <w:proofErr w:type="spellStart"/>
            <w:r w:rsidRPr="006D15A7">
              <w:rPr>
                <w:rFonts w:ascii="Georgia" w:hAnsi="Georgia"/>
                <w:lang w:val="en-GB"/>
              </w:rPr>
              <w:t>Gazete’de</w:t>
            </w:r>
            <w:proofErr w:type="spellEnd"/>
            <w:r w:rsidRPr="006D15A7">
              <w:rPr>
                <w:rFonts w:ascii="Georgia" w:hAnsi="Georgia"/>
                <w:lang w:val="en-GB"/>
              </w:rPr>
              <w:t xml:space="preserve"> </w:t>
            </w:r>
            <w:proofErr w:type="spellStart"/>
            <w:r w:rsidRPr="006D15A7">
              <w:rPr>
                <w:rFonts w:ascii="Georgia" w:hAnsi="Georgia"/>
                <w:lang w:val="en-GB"/>
              </w:rPr>
              <w:t>yayımlanmış</w:t>
            </w:r>
            <w:proofErr w:type="spellEnd"/>
            <w:r w:rsidRPr="006D15A7">
              <w:rPr>
                <w:rFonts w:ascii="Georgia" w:hAnsi="Georgia"/>
                <w:lang w:val="en-GB"/>
              </w:rPr>
              <w:t xml:space="preserve"> </w:t>
            </w:r>
            <w:proofErr w:type="spellStart"/>
            <w:r w:rsidRPr="006D15A7">
              <w:rPr>
                <w:rFonts w:ascii="Georgia" w:hAnsi="Georgia"/>
                <w:lang w:val="en-GB"/>
              </w:rPr>
              <w:t>olan</w:t>
            </w:r>
            <w:proofErr w:type="spellEnd"/>
            <w:r w:rsidRPr="006D15A7">
              <w:rPr>
                <w:rFonts w:ascii="Georgia" w:hAnsi="Georgia"/>
                <w:lang w:val="en-GB"/>
              </w:rPr>
              <w:t xml:space="preserve"> “</w:t>
            </w:r>
            <w:proofErr w:type="spellStart"/>
            <w:r w:rsidRPr="006D15A7">
              <w:rPr>
                <w:rFonts w:ascii="Georgia" w:hAnsi="Georgia"/>
                <w:lang w:val="en-GB"/>
              </w:rPr>
              <w:t>Kredilerin</w:t>
            </w:r>
            <w:proofErr w:type="spellEnd"/>
            <w:r w:rsidRPr="006D15A7">
              <w:rPr>
                <w:rFonts w:ascii="Georgia" w:hAnsi="Georgia"/>
                <w:lang w:val="en-GB"/>
              </w:rPr>
              <w:t xml:space="preserve"> </w:t>
            </w:r>
            <w:proofErr w:type="spellStart"/>
            <w:r w:rsidRPr="006D15A7">
              <w:rPr>
                <w:rFonts w:ascii="Georgia" w:hAnsi="Georgia"/>
                <w:lang w:val="en-GB"/>
              </w:rPr>
              <w:t>Sınıflandırılması</w:t>
            </w:r>
            <w:proofErr w:type="spellEnd"/>
            <w:r w:rsidRPr="006D15A7">
              <w:rPr>
                <w:rFonts w:ascii="Georgia" w:hAnsi="Georgia"/>
                <w:lang w:val="en-GB"/>
              </w:rPr>
              <w:t xml:space="preserve"> ve </w:t>
            </w:r>
            <w:proofErr w:type="spellStart"/>
            <w:r w:rsidRPr="006D15A7">
              <w:rPr>
                <w:rFonts w:ascii="Georgia" w:hAnsi="Georgia"/>
                <w:lang w:val="en-GB"/>
              </w:rPr>
              <w:t>Bunlar</w:t>
            </w:r>
            <w:proofErr w:type="spellEnd"/>
            <w:r w:rsidRPr="006D15A7">
              <w:rPr>
                <w:rFonts w:ascii="Georgia" w:hAnsi="Georgia"/>
                <w:lang w:val="en-GB"/>
              </w:rPr>
              <w:t xml:space="preserve"> </w:t>
            </w:r>
            <w:proofErr w:type="spellStart"/>
            <w:r w:rsidRPr="006D15A7">
              <w:rPr>
                <w:rFonts w:ascii="Georgia" w:hAnsi="Georgia"/>
                <w:lang w:val="en-GB"/>
              </w:rPr>
              <w:t>İçin</w:t>
            </w:r>
            <w:proofErr w:type="spellEnd"/>
            <w:r w:rsidRPr="006D15A7">
              <w:rPr>
                <w:rFonts w:ascii="Georgia" w:hAnsi="Georgia"/>
                <w:lang w:val="en-GB"/>
              </w:rPr>
              <w:t xml:space="preserve"> </w:t>
            </w:r>
            <w:proofErr w:type="spellStart"/>
            <w:r w:rsidRPr="006D15A7">
              <w:rPr>
                <w:rFonts w:ascii="Georgia" w:hAnsi="Georgia"/>
                <w:lang w:val="en-GB"/>
              </w:rPr>
              <w:t>Ayrılacak</w:t>
            </w:r>
            <w:proofErr w:type="spellEnd"/>
            <w:r w:rsidRPr="006D15A7">
              <w:rPr>
                <w:rFonts w:ascii="Georgia" w:hAnsi="Georgia"/>
                <w:lang w:val="en-GB"/>
              </w:rPr>
              <w:t xml:space="preserve"> </w:t>
            </w:r>
            <w:proofErr w:type="spellStart"/>
            <w:r w:rsidRPr="006D15A7">
              <w:rPr>
                <w:rFonts w:ascii="Georgia" w:hAnsi="Georgia"/>
                <w:lang w:val="en-GB"/>
              </w:rPr>
              <w:t>Karşılıklara</w:t>
            </w:r>
            <w:proofErr w:type="spellEnd"/>
            <w:r w:rsidRPr="006D15A7">
              <w:rPr>
                <w:rFonts w:ascii="Georgia" w:hAnsi="Georgia"/>
                <w:lang w:val="en-GB"/>
              </w:rPr>
              <w:t xml:space="preserve"> </w:t>
            </w:r>
            <w:proofErr w:type="spellStart"/>
            <w:r w:rsidRPr="006D15A7">
              <w:rPr>
                <w:rFonts w:ascii="Georgia" w:hAnsi="Georgia"/>
                <w:lang w:val="en-GB"/>
              </w:rPr>
              <w:t>İlişkin</w:t>
            </w:r>
            <w:proofErr w:type="spellEnd"/>
            <w:r w:rsidRPr="006D15A7">
              <w:rPr>
                <w:rFonts w:ascii="Georgia" w:hAnsi="Georgia"/>
                <w:lang w:val="en-GB"/>
              </w:rPr>
              <w:t xml:space="preserve"> </w:t>
            </w:r>
            <w:proofErr w:type="spellStart"/>
            <w:r w:rsidRPr="006D15A7">
              <w:rPr>
                <w:rFonts w:ascii="Georgia" w:hAnsi="Georgia"/>
                <w:lang w:val="en-GB"/>
              </w:rPr>
              <w:t>Usul</w:t>
            </w:r>
            <w:proofErr w:type="spellEnd"/>
            <w:r w:rsidRPr="006D15A7">
              <w:rPr>
                <w:rFonts w:ascii="Georgia" w:hAnsi="Georgia"/>
                <w:lang w:val="en-GB"/>
              </w:rPr>
              <w:t xml:space="preserve"> ve </w:t>
            </w:r>
            <w:proofErr w:type="spellStart"/>
            <w:r w:rsidRPr="006D15A7">
              <w:rPr>
                <w:rFonts w:ascii="Georgia" w:hAnsi="Georgia"/>
                <w:lang w:val="en-GB"/>
              </w:rPr>
              <w:t>Esaslar</w:t>
            </w:r>
            <w:proofErr w:type="spellEnd"/>
            <w:r w:rsidRPr="006D15A7">
              <w:rPr>
                <w:rFonts w:ascii="Georgia" w:hAnsi="Georgia"/>
                <w:lang w:val="en-GB"/>
              </w:rPr>
              <w:t xml:space="preserve"> </w:t>
            </w:r>
            <w:proofErr w:type="spellStart"/>
            <w:r w:rsidRPr="006D15A7">
              <w:rPr>
                <w:rFonts w:ascii="Georgia" w:hAnsi="Georgia"/>
                <w:lang w:val="en-GB"/>
              </w:rPr>
              <w:t>Hakkında</w:t>
            </w:r>
            <w:proofErr w:type="spellEnd"/>
            <w:r w:rsidRPr="006D15A7">
              <w:rPr>
                <w:rFonts w:ascii="Georgia" w:hAnsi="Georgia"/>
                <w:lang w:val="en-GB"/>
              </w:rPr>
              <w:t xml:space="preserve"> </w:t>
            </w:r>
            <w:proofErr w:type="spellStart"/>
            <w:r w:rsidRPr="006D15A7">
              <w:rPr>
                <w:rFonts w:ascii="Georgia" w:hAnsi="Georgia"/>
                <w:lang w:val="en-GB"/>
              </w:rPr>
              <w:t>Yönetmelik</w:t>
            </w:r>
            <w:proofErr w:type="spellEnd"/>
            <w:r w:rsidRPr="006D15A7">
              <w:rPr>
                <w:rFonts w:ascii="Georgia" w:hAnsi="Georgia"/>
                <w:lang w:val="en-GB"/>
              </w:rPr>
              <w:t xml:space="preserve">” </w:t>
            </w:r>
            <w:proofErr w:type="spellStart"/>
            <w:r w:rsidRPr="006D15A7">
              <w:rPr>
                <w:rFonts w:ascii="Georgia" w:hAnsi="Georgia"/>
                <w:lang w:val="en-GB"/>
              </w:rPr>
              <w:t>uyarınca</w:t>
            </w:r>
            <w:proofErr w:type="spellEnd"/>
            <w:r w:rsidRPr="006D15A7">
              <w:rPr>
                <w:rFonts w:ascii="Georgia" w:hAnsi="Georgia"/>
                <w:lang w:val="en-GB"/>
              </w:rPr>
              <w:t xml:space="preserve"> Banka, </w:t>
            </w:r>
            <w:proofErr w:type="spellStart"/>
            <w:r w:rsidRPr="006D15A7">
              <w:rPr>
                <w:rFonts w:ascii="Georgia" w:hAnsi="Georgia"/>
                <w:lang w:val="en-GB"/>
              </w:rPr>
              <w:t>değer</w:t>
            </w:r>
            <w:proofErr w:type="spellEnd"/>
            <w:r w:rsidRPr="006D15A7">
              <w:rPr>
                <w:rFonts w:ascii="Georgia" w:hAnsi="Georgia"/>
                <w:lang w:val="en-GB"/>
              </w:rPr>
              <w:t xml:space="preserve"> </w:t>
            </w:r>
            <w:proofErr w:type="spellStart"/>
            <w:r w:rsidRPr="006D15A7">
              <w:rPr>
                <w:rFonts w:ascii="Georgia" w:hAnsi="Georgia"/>
                <w:lang w:val="en-GB"/>
              </w:rPr>
              <w:t>düşüklüğü</w:t>
            </w:r>
            <w:proofErr w:type="spellEnd"/>
            <w:r w:rsidRPr="006D15A7">
              <w:rPr>
                <w:rFonts w:ascii="Georgia" w:hAnsi="Georgia"/>
                <w:lang w:val="en-GB"/>
              </w:rPr>
              <w:t xml:space="preserve"> </w:t>
            </w:r>
            <w:proofErr w:type="spellStart"/>
            <w:r w:rsidRPr="006D15A7">
              <w:rPr>
                <w:rFonts w:ascii="Georgia" w:hAnsi="Georgia"/>
                <w:lang w:val="en-GB"/>
              </w:rPr>
              <w:t>karşılıklarını</w:t>
            </w:r>
            <w:proofErr w:type="spellEnd"/>
            <w:r w:rsidRPr="006D15A7">
              <w:rPr>
                <w:rFonts w:ascii="Georgia" w:hAnsi="Georgia"/>
                <w:lang w:val="en-GB"/>
              </w:rPr>
              <w:t xml:space="preserve"> “TFRS 9 Finansal </w:t>
            </w:r>
            <w:proofErr w:type="spellStart"/>
            <w:r w:rsidRPr="006D15A7">
              <w:rPr>
                <w:rFonts w:ascii="Georgia" w:hAnsi="Georgia"/>
                <w:lang w:val="en-GB"/>
              </w:rPr>
              <w:t>Araçlar</w:t>
            </w:r>
            <w:proofErr w:type="spellEnd"/>
            <w:r w:rsidRPr="006D15A7">
              <w:rPr>
                <w:rFonts w:ascii="Georgia" w:hAnsi="Georgia"/>
                <w:lang w:val="en-GB"/>
              </w:rPr>
              <w:t xml:space="preserve"> </w:t>
            </w:r>
            <w:proofErr w:type="spellStart"/>
            <w:proofErr w:type="gramStart"/>
            <w:r w:rsidRPr="006D15A7">
              <w:rPr>
                <w:rFonts w:ascii="Georgia" w:hAnsi="Georgia"/>
                <w:lang w:val="en-GB"/>
              </w:rPr>
              <w:t>Standardı</w:t>
            </w:r>
            <w:proofErr w:type="spellEnd"/>
            <w:r w:rsidRPr="006D15A7">
              <w:rPr>
                <w:rFonts w:ascii="Georgia" w:hAnsi="Georgia"/>
                <w:lang w:val="en-GB"/>
              </w:rPr>
              <w:t xml:space="preserve">”  </w:t>
            </w:r>
            <w:proofErr w:type="spellStart"/>
            <w:r w:rsidRPr="006D15A7">
              <w:rPr>
                <w:rFonts w:ascii="Georgia" w:hAnsi="Georgia"/>
                <w:lang w:val="en-GB"/>
              </w:rPr>
              <w:t>hükümlerine</w:t>
            </w:r>
            <w:proofErr w:type="spellEnd"/>
            <w:proofErr w:type="gramEnd"/>
            <w:r w:rsidRPr="006D15A7">
              <w:rPr>
                <w:rFonts w:ascii="Georgia" w:hAnsi="Georgia"/>
                <w:lang w:val="en-GB"/>
              </w:rPr>
              <w:t xml:space="preserve"> </w:t>
            </w:r>
            <w:proofErr w:type="spellStart"/>
            <w:r w:rsidRPr="006D15A7">
              <w:rPr>
                <w:rFonts w:ascii="Georgia" w:hAnsi="Georgia"/>
                <w:lang w:val="en-GB"/>
              </w:rPr>
              <w:t>uygun</w:t>
            </w:r>
            <w:proofErr w:type="spellEnd"/>
            <w:r w:rsidRPr="006D15A7">
              <w:rPr>
                <w:rFonts w:ascii="Georgia" w:hAnsi="Georgia"/>
                <w:lang w:val="en-GB"/>
              </w:rPr>
              <w:t xml:space="preserve"> </w:t>
            </w:r>
            <w:proofErr w:type="spellStart"/>
            <w:r w:rsidRPr="006D15A7">
              <w:rPr>
                <w:rFonts w:ascii="Georgia" w:hAnsi="Georgia"/>
                <w:lang w:val="en-GB"/>
              </w:rPr>
              <w:t>olarak</w:t>
            </w:r>
            <w:proofErr w:type="spellEnd"/>
            <w:r w:rsidRPr="006D15A7">
              <w:rPr>
                <w:rFonts w:ascii="Georgia" w:hAnsi="Georgia"/>
                <w:lang w:val="en-GB"/>
              </w:rPr>
              <w:t xml:space="preserve"> </w:t>
            </w:r>
            <w:proofErr w:type="spellStart"/>
            <w:r w:rsidRPr="006D15A7">
              <w:rPr>
                <w:rFonts w:ascii="Georgia" w:hAnsi="Georgia"/>
                <w:lang w:val="en-GB"/>
              </w:rPr>
              <w:t>ayırmaktadır</w:t>
            </w:r>
            <w:proofErr w:type="spellEnd"/>
            <w:r w:rsidRPr="006D15A7">
              <w:rPr>
                <w:rFonts w:ascii="Georgia" w:hAnsi="Georgia"/>
                <w:lang w:val="en-GB"/>
              </w:rPr>
              <w:t xml:space="preserve">. Banka, </w:t>
            </w:r>
            <w:proofErr w:type="spellStart"/>
            <w:r w:rsidRPr="006D15A7">
              <w:rPr>
                <w:rFonts w:ascii="Georgia" w:hAnsi="Georgia"/>
                <w:lang w:val="en-GB"/>
              </w:rPr>
              <w:t>kredi</w:t>
            </w:r>
            <w:proofErr w:type="spellEnd"/>
            <w:r w:rsidRPr="006D15A7">
              <w:rPr>
                <w:rFonts w:ascii="Georgia" w:hAnsi="Georgia"/>
                <w:lang w:val="en-GB"/>
              </w:rPr>
              <w:t xml:space="preserve"> </w:t>
            </w:r>
            <w:proofErr w:type="spellStart"/>
            <w:r w:rsidRPr="006D15A7">
              <w:rPr>
                <w:rFonts w:ascii="Georgia" w:hAnsi="Georgia"/>
                <w:lang w:val="en-GB"/>
              </w:rPr>
              <w:t>değer</w:t>
            </w:r>
            <w:proofErr w:type="spellEnd"/>
            <w:r w:rsidRPr="006D15A7">
              <w:rPr>
                <w:rFonts w:ascii="Georgia" w:hAnsi="Georgia"/>
                <w:lang w:val="en-GB"/>
              </w:rPr>
              <w:t xml:space="preserve"> </w:t>
            </w:r>
            <w:proofErr w:type="spellStart"/>
            <w:r w:rsidRPr="006D15A7">
              <w:rPr>
                <w:rFonts w:ascii="Georgia" w:hAnsi="Georgia"/>
                <w:lang w:val="en-GB"/>
              </w:rPr>
              <w:t>düşüklüğüne</w:t>
            </w:r>
            <w:proofErr w:type="spellEnd"/>
            <w:r w:rsidRPr="006D15A7">
              <w:rPr>
                <w:rFonts w:ascii="Georgia" w:hAnsi="Georgia"/>
                <w:lang w:val="en-GB"/>
              </w:rPr>
              <w:t xml:space="preserve"> </w:t>
            </w:r>
            <w:proofErr w:type="spellStart"/>
            <w:r w:rsidRPr="006D15A7">
              <w:rPr>
                <w:rFonts w:ascii="Georgia" w:hAnsi="Georgia"/>
                <w:lang w:val="en-GB"/>
              </w:rPr>
              <w:t>dair</w:t>
            </w:r>
            <w:proofErr w:type="spellEnd"/>
            <w:r w:rsidRPr="006D15A7">
              <w:rPr>
                <w:rFonts w:ascii="Georgia" w:hAnsi="Georgia"/>
                <w:lang w:val="en-GB"/>
              </w:rPr>
              <w:t xml:space="preserve"> </w:t>
            </w:r>
            <w:proofErr w:type="spellStart"/>
            <w:r w:rsidRPr="006D15A7">
              <w:rPr>
                <w:rFonts w:ascii="Georgia" w:hAnsi="Georgia"/>
                <w:lang w:val="en-GB"/>
              </w:rPr>
              <w:t>oluşturacağı</w:t>
            </w:r>
            <w:proofErr w:type="spellEnd"/>
            <w:r w:rsidRPr="006D15A7">
              <w:rPr>
                <w:rFonts w:ascii="Georgia" w:hAnsi="Georgia"/>
                <w:lang w:val="en-GB"/>
              </w:rPr>
              <w:t xml:space="preserve"> </w:t>
            </w:r>
            <w:proofErr w:type="spellStart"/>
            <w:r w:rsidRPr="006D15A7">
              <w:rPr>
                <w:rFonts w:ascii="Georgia" w:hAnsi="Georgia"/>
                <w:lang w:val="en-GB"/>
              </w:rPr>
              <w:t>kaydın</w:t>
            </w:r>
            <w:proofErr w:type="spellEnd"/>
            <w:r w:rsidRPr="006D15A7">
              <w:rPr>
                <w:rFonts w:ascii="Georgia" w:hAnsi="Georgia"/>
                <w:lang w:val="en-GB"/>
              </w:rPr>
              <w:t xml:space="preserve"> </w:t>
            </w:r>
            <w:proofErr w:type="spellStart"/>
            <w:r w:rsidRPr="006D15A7">
              <w:rPr>
                <w:rFonts w:ascii="Georgia" w:hAnsi="Georgia"/>
                <w:lang w:val="en-GB"/>
              </w:rPr>
              <w:t>zamanlaması</w:t>
            </w:r>
            <w:proofErr w:type="spellEnd"/>
            <w:r w:rsidRPr="006D15A7">
              <w:rPr>
                <w:rFonts w:ascii="Georgia" w:hAnsi="Georgia"/>
                <w:lang w:val="en-GB"/>
              </w:rPr>
              <w:t xml:space="preserve"> ve </w:t>
            </w:r>
            <w:proofErr w:type="spellStart"/>
            <w:r w:rsidRPr="006D15A7">
              <w:rPr>
                <w:rFonts w:ascii="Georgia" w:hAnsi="Georgia"/>
                <w:lang w:val="en-GB"/>
              </w:rPr>
              <w:t>miktarı</w:t>
            </w:r>
            <w:proofErr w:type="spellEnd"/>
            <w:r w:rsidRPr="006D15A7">
              <w:rPr>
                <w:rFonts w:ascii="Georgia" w:hAnsi="Georgia"/>
                <w:lang w:val="en-GB"/>
              </w:rPr>
              <w:t xml:space="preserve"> </w:t>
            </w:r>
            <w:proofErr w:type="spellStart"/>
            <w:r w:rsidRPr="006D15A7">
              <w:rPr>
                <w:rFonts w:ascii="Georgia" w:hAnsi="Georgia"/>
                <w:lang w:val="en-GB"/>
              </w:rPr>
              <w:t>konusunda</w:t>
            </w:r>
            <w:proofErr w:type="spellEnd"/>
            <w:r w:rsidRPr="006D15A7">
              <w:rPr>
                <w:rFonts w:ascii="Georgia" w:hAnsi="Georgia"/>
                <w:lang w:val="en-GB"/>
              </w:rPr>
              <w:t xml:space="preserve"> </w:t>
            </w:r>
            <w:proofErr w:type="spellStart"/>
            <w:r w:rsidRPr="006D15A7">
              <w:rPr>
                <w:rFonts w:ascii="Georgia" w:hAnsi="Georgia"/>
                <w:lang w:val="en-GB"/>
              </w:rPr>
              <w:t>önemli</w:t>
            </w:r>
            <w:proofErr w:type="spellEnd"/>
            <w:r w:rsidRPr="006D15A7">
              <w:rPr>
                <w:rFonts w:ascii="Georgia" w:hAnsi="Georgia"/>
                <w:lang w:val="en-GB"/>
              </w:rPr>
              <w:t xml:space="preserve"> </w:t>
            </w:r>
            <w:proofErr w:type="spellStart"/>
            <w:r w:rsidRPr="006D15A7">
              <w:rPr>
                <w:rFonts w:ascii="Georgia" w:hAnsi="Georgia"/>
                <w:lang w:val="en-GB"/>
              </w:rPr>
              <w:t>yargı</w:t>
            </w:r>
            <w:proofErr w:type="spellEnd"/>
            <w:r w:rsidRPr="006D15A7">
              <w:rPr>
                <w:rFonts w:ascii="Georgia" w:hAnsi="Georgia"/>
                <w:lang w:val="en-GB"/>
              </w:rPr>
              <w:t xml:space="preserve">, </w:t>
            </w:r>
            <w:proofErr w:type="spellStart"/>
            <w:r w:rsidRPr="006D15A7">
              <w:rPr>
                <w:rFonts w:ascii="Georgia" w:hAnsi="Georgia"/>
                <w:lang w:val="en-GB"/>
              </w:rPr>
              <w:t>yorum</w:t>
            </w:r>
            <w:proofErr w:type="spellEnd"/>
            <w:r w:rsidRPr="006D15A7">
              <w:rPr>
                <w:rFonts w:ascii="Georgia" w:hAnsi="Georgia"/>
                <w:lang w:val="en-GB"/>
              </w:rPr>
              <w:t xml:space="preserve"> ve </w:t>
            </w:r>
            <w:proofErr w:type="spellStart"/>
            <w:r w:rsidRPr="006D15A7">
              <w:rPr>
                <w:rFonts w:ascii="Georgia" w:hAnsi="Georgia"/>
                <w:lang w:val="en-GB"/>
              </w:rPr>
              <w:t>varsayımlar</w:t>
            </w:r>
            <w:proofErr w:type="spellEnd"/>
            <w:r w:rsidRPr="006D15A7">
              <w:rPr>
                <w:rFonts w:ascii="Georgia" w:hAnsi="Georgia"/>
                <w:lang w:val="en-GB"/>
              </w:rPr>
              <w:t xml:space="preserve"> </w:t>
            </w:r>
            <w:proofErr w:type="spellStart"/>
            <w:r w:rsidRPr="006D15A7">
              <w:rPr>
                <w:rFonts w:ascii="Georgia" w:hAnsi="Georgia"/>
                <w:lang w:val="en-GB"/>
              </w:rPr>
              <w:t>kullanarak</w:t>
            </w:r>
            <w:proofErr w:type="spellEnd"/>
            <w:r w:rsidRPr="006D15A7">
              <w:rPr>
                <w:rFonts w:ascii="Georgia" w:hAnsi="Georgia"/>
                <w:lang w:val="en-GB"/>
              </w:rPr>
              <w:t xml:space="preserve"> </w:t>
            </w:r>
            <w:proofErr w:type="spellStart"/>
            <w:r w:rsidRPr="006D15A7">
              <w:rPr>
                <w:rFonts w:ascii="Georgia" w:hAnsi="Georgia"/>
                <w:lang w:val="en-GB"/>
              </w:rPr>
              <w:t>kararlar</w:t>
            </w:r>
            <w:proofErr w:type="spellEnd"/>
            <w:r w:rsidRPr="006D15A7">
              <w:rPr>
                <w:rFonts w:ascii="Georgia" w:hAnsi="Georgia"/>
                <w:lang w:val="en-GB"/>
              </w:rPr>
              <w:t xml:space="preserve"> </w:t>
            </w:r>
            <w:proofErr w:type="spellStart"/>
            <w:r w:rsidRPr="006D15A7">
              <w:rPr>
                <w:rFonts w:ascii="Georgia" w:hAnsi="Georgia"/>
                <w:lang w:val="en-GB"/>
              </w:rPr>
              <w:t>alır</w:t>
            </w:r>
            <w:proofErr w:type="spellEnd"/>
            <w:r w:rsidRPr="006D15A7">
              <w:rPr>
                <w:rFonts w:ascii="Georgia" w:hAnsi="Georgia"/>
                <w:lang w:val="en-GB"/>
              </w:rPr>
              <w:t xml:space="preserve">. </w:t>
            </w:r>
          </w:p>
          <w:p w14:paraId="3E7ED1D8" w14:textId="77777777" w:rsidR="006D15A7" w:rsidRPr="006D15A7" w:rsidRDefault="006D15A7" w:rsidP="006D15A7">
            <w:pPr>
              <w:spacing w:line="250" w:lineRule="atLeast"/>
              <w:rPr>
                <w:rFonts w:ascii="Georgia" w:hAnsi="Georgia"/>
                <w:lang w:val="en-GB"/>
              </w:rPr>
            </w:pPr>
          </w:p>
          <w:p w14:paraId="2245210A" w14:textId="77777777" w:rsidR="006D15A7" w:rsidRPr="006D15A7" w:rsidRDefault="006D15A7" w:rsidP="006D15A7">
            <w:pPr>
              <w:spacing w:line="250" w:lineRule="atLeast"/>
              <w:rPr>
                <w:rFonts w:ascii="Georgia" w:hAnsi="Georgia"/>
                <w:lang w:val="en-GB"/>
              </w:rPr>
            </w:pPr>
          </w:p>
          <w:p w14:paraId="511140BE" w14:textId="77777777" w:rsidR="006D15A7" w:rsidRPr="006D15A7" w:rsidRDefault="006D15A7" w:rsidP="006D15A7">
            <w:pPr>
              <w:spacing w:line="250" w:lineRule="atLeast"/>
              <w:rPr>
                <w:rFonts w:ascii="Georgia" w:hAnsi="Georgia"/>
                <w:lang w:val="en-GB"/>
              </w:rPr>
            </w:pPr>
          </w:p>
          <w:p w14:paraId="1DED9723" w14:textId="77777777" w:rsidR="006D15A7" w:rsidRPr="006D15A7" w:rsidRDefault="006D15A7" w:rsidP="006D15A7">
            <w:pPr>
              <w:spacing w:line="250" w:lineRule="atLeast"/>
              <w:rPr>
                <w:rFonts w:ascii="Georgia" w:hAnsi="Georgia"/>
                <w:lang w:val="en-GB"/>
              </w:rPr>
            </w:pPr>
          </w:p>
          <w:p w14:paraId="3ECBD296" w14:textId="77777777" w:rsidR="006D15A7" w:rsidRPr="006D15A7" w:rsidRDefault="006D15A7" w:rsidP="006D15A7">
            <w:pPr>
              <w:spacing w:line="250" w:lineRule="atLeast"/>
              <w:rPr>
                <w:rFonts w:ascii="Georgia" w:hAnsi="Georgia"/>
                <w:lang w:val="en-GB"/>
              </w:rPr>
            </w:pPr>
          </w:p>
          <w:p w14:paraId="2C5A992A" w14:textId="77777777" w:rsidR="006D15A7" w:rsidRPr="006D15A7" w:rsidRDefault="006D15A7" w:rsidP="006D15A7">
            <w:pPr>
              <w:spacing w:line="250" w:lineRule="atLeast"/>
              <w:rPr>
                <w:rFonts w:ascii="Georgia" w:hAnsi="Georgia"/>
                <w:lang w:val="en-GB"/>
              </w:rPr>
            </w:pPr>
          </w:p>
          <w:p w14:paraId="2AB29D7A" w14:textId="77777777" w:rsidR="006D15A7" w:rsidRPr="006D15A7" w:rsidRDefault="006D15A7" w:rsidP="006D15A7">
            <w:pPr>
              <w:spacing w:line="250" w:lineRule="atLeast"/>
              <w:rPr>
                <w:rFonts w:ascii="Georgia" w:hAnsi="Georgia"/>
                <w:lang w:val="en-GB"/>
              </w:rPr>
            </w:pPr>
          </w:p>
          <w:p w14:paraId="21501429" w14:textId="77777777" w:rsidR="006D15A7" w:rsidRPr="006D15A7" w:rsidRDefault="006D15A7" w:rsidP="006D15A7">
            <w:pPr>
              <w:spacing w:line="250" w:lineRule="atLeast"/>
              <w:rPr>
                <w:rFonts w:ascii="Georgia" w:hAnsi="Georgia"/>
                <w:lang w:val="en-GB"/>
              </w:rPr>
            </w:pPr>
          </w:p>
          <w:p w14:paraId="18221D46" w14:textId="77777777" w:rsidR="006D15A7" w:rsidRPr="006D15A7" w:rsidRDefault="006D15A7" w:rsidP="006D15A7">
            <w:pPr>
              <w:spacing w:line="250" w:lineRule="atLeast"/>
              <w:rPr>
                <w:rFonts w:ascii="Georgia" w:hAnsi="Georgia"/>
                <w:lang w:val="en-GB"/>
              </w:rPr>
            </w:pPr>
          </w:p>
          <w:p w14:paraId="6FC9B8A1" w14:textId="77777777" w:rsidR="006D15A7" w:rsidRPr="006D15A7" w:rsidRDefault="006D15A7" w:rsidP="006D15A7">
            <w:pPr>
              <w:spacing w:line="250" w:lineRule="atLeast"/>
              <w:rPr>
                <w:rFonts w:ascii="Georgia" w:hAnsi="Georgia"/>
                <w:lang w:val="en-GB"/>
              </w:rPr>
            </w:pPr>
            <w:r w:rsidRPr="006D15A7">
              <w:rPr>
                <w:rFonts w:ascii="Georgia" w:hAnsi="Georgia"/>
                <w:lang w:val="en-GB"/>
              </w:rPr>
              <w:t xml:space="preserve">Banka, </w:t>
            </w:r>
            <w:proofErr w:type="spellStart"/>
            <w:r w:rsidRPr="006D15A7">
              <w:rPr>
                <w:rFonts w:ascii="Georgia" w:hAnsi="Georgia"/>
                <w:lang w:val="en-GB"/>
              </w:rPr>
              <w:t>kredi</w:t>
            </w:r>
            <w:proofErr w:type="spellEnd"/>
            <w:r w:rsidRPr="006D15A7">
              <w:rPr>
                <w:rFonts w:ascii="Georgia" w:hAnsi="Georgia"/>
                <w:lang w:val="en-GB"/>
              </w:rPr>
              <w:t xml:space="preserve"> </w:t>
            </w:r>
            <w:proofErr w:type="spellStart"/>
            <w:r w:rsidRPr="006D15A7">
              <w:rPr>
                <w:rFonts w:ascii="Georgia" w:hAnsi="Georgia"/>
                <w:lang w:val="en-GB"/>
              </w:rPr>
              <w:t>riskinde</w:t>
            </w:r>
            <w:proofErr w:type="spellEnd"/>
            <w:r w:rsidRPr="006D15A7">
              <w:rPr>
                <w:rFonts w:ascii="Georgia" w:hAnsi="Georgia"/>
                <w:lang w:val="en-GB"/>
              </w:rPr>
              <w:t xml:space="preserve"> </w:t>
            </w:r>
            <w:proofErr w:type="spellStart"/>
            <w:r w:rsidRPr="006D15A7">
              <w:rPr>
                <w:rFonts w:ascii="Georgia" w:hAnsi="Georgia"/>
                <w:lang w:val="en-GB"/>
              </w:rPr>
              <w:t>önemli</w:t>
            </w:r>
            <w:proofErr w:type="spellEnd"/>
            <w:r w:rsidRPr="006D15A7">
              <w:rPr>
                <w:rFonts w:ascii="Georgia" w:hAnsi="Georgia"/>
                <w:lang w:val="en-GB"/>
              </w:rPr>
              <w:t xml:space="preserve"> </w:t>
            </w:r>
            <w:proofErr w:type="spellStart"/>
            <w:r w:rsidRPr="006D15A7">
              <w:rPr>
                <w:rFonts w:ascii="Georgia" w:hAnsi="Georgia"/>
                <w:lang w:val="en-GB"/>
              </w:rPr>
              <w:t>artışın</w:t>
            </w:r>
            <w:proofErr w:type="spellEnd"/>
            <w:r w:rsidRPr="006D15A7">
              <w:rPr>
                <w:rFonts w:ascii="Georgia" w:hAnsi="Georgia"/>
                <w:lang w:val="en-GB"/>
              </w:rPr>
              <w:t xml:space="preserve"> </w:t>
            </w:r>
            <w:proofErr w:type="spellStart"/>
            <w:r w:rsidRPr="006D15A7">
              <w:rPr>
                <w:rFonts w:ascii="Georgia" w:hAnsi="Georgia"/>
                <w:lang w:val="en-GB"/>
              </w:rPr>
              <w:t>tespit</w:t>
            </w:r>
            <w:proofErr w:type="spellEnd"/>
            <w:r w:rsidRPr="006D15A7">
              <w:rPr>
                <w:rFonts w:ascii="Georgia" w:hAnsi="Georgia"/>
                <w:lang w:val="en-GB"/>
              </w:rPr>
              <w:t xml:space="preserve"> </w:t>
            </w:r>
            <w:proofErr w:type="spellStart"/>
            <w:r w:rsidRPr="006D15A7">
              <w:rPr>
                <w:rFonts w:ascii="Georgia" w:hAnsi="Georgia"/>
                <w:lang w:val="en-GB"/>
              </w:rPr>
              <w:t>edilmesi</w:t>
            </w:r>
            <w:proofErr w:type="spellEnd"/>
            <w:r w:rsidRPr="006D15A7">
              <w:rPr>
                <w:rFonts w:ascii="Georgia" w:hAnsi="Georgia"/>
                <w:lang w:val="en-GB"/>
              </w:rPr>
              <w:t xml:space="preserve"> ve TFRS 9 </w:t>
            </w:r>
            <w:proofErr w:type="spellStart"/>
            <w:r w:rsidRPr="006D15A7">
              <w:rPr>
                <w:rFonts w:ascii="Georgia" w:hAnsi="Georgia"/>
                <w:lang w:val="en-GB"/>
              </w:rPr>
              <w:t>beklenen</w:t>
            </w:r>
            <w:proofErr w:type="spellEnd"/>
            <w:r w:rsidRPr="006D15A7">
              <w:rPr>
                <w:rFonts w:ascii="Georgia" w:hAnsi="Georgia"/>
                <w:lang w:val="en-GB"/>
              </w:rPr>
              <w:t xml:space="preserve"> </w:t>
            </w:r>
            <w:proofErr w:type="spellStart"/>
            <w:r w:rsidRPr="006D15A7">
              <w:rPr>
                <w:rFonts w:ascii="Georgia" w:hAnsi="Georgia"/>
                <w:lang w:val="en-GB"/>
              </w:rPr>
              <w:t>zarar</w:t>
            </w:r>
            <w:proofErr w:type="spellEnd"/>
            <w:r w:rsidRPr="006D15A7">
              <w:rPr>
                <w:rFonts w:ascii="Georgia" w:hAnsi="Georgia"/>
                <w:lang w:val="en-GB"/>
              </w:rPr>
              <w:t xml:space="preserve"> </w:t>
            </w:r>
            <w:proofErr w:type="spellStart"/>
            <w:r w:rsidRPr="006D15A7">
              <w:rPr>
                <w:rFonts w:ascii="Georgia" w:hAnsi="Georgia"/>
                <w:lang w:val="en-GB"/>
              </w:rPr>
              <w:t>karşılığının</w:t>
            </w:r>
            <w:proofErr w:type="spellEnd"/>
            <w:r w:rsidRPr="006D15A7">
              <w:rPr>
                <w:rFonts w:ascii="Georgia" w:hAnsi="Georgia"/>
                <w:lang w:val="en-GB"/>
              </w:rPr>
              <w:t xml:space="preserve"> </w:t>
            </w:r>
            <w:proofErr w:type="spellStart"/>
            <w:r w:rsidRPr="006D15A7">
              <w:rPr>
                <w:rFonts w:ascii="Georgia" w:hAnsi="Georgia"/>
                <w:lang w:val="en-GB"/>
              </w:rPr>
              <w:t>hesaplanması</w:t>
            </w:r>
            <w:proofErr w:type="spellEnd"/>
            <w:r w:rsidRPr="006D15A7">
              <w:rPr>
                <w:rFonts w:ascii="Georgia" w:hAnsi="Georgia"/>
                <w:lang w:val="en-GB"/>
              </w:rPr>
              <w:t xml:space="preserve"> </w:t>
            </w:r>
            <w:proofErr w:type="spellStart"/>
            <w:r w:rsidRPr="006D15A7">
              <w:rPr>
                <w:rFonts w:ascii="Georgia" w:hAnsi="Georgia"/>
                <w:lang w:val="en-GB"/>
              </w:rPr>
              <w:t>için</w:t>
            </w:r>
            <w:proofErr w:type="spellEnd"/>
            <w:r w:rsidRPr="006D15A7">
              <w:rPr>
                <w:rFonts w:ascii="Georgia" w:hAnsi="Georgia"/>
                <w:lang w:val="en-GB"/>
              </w:rPr>
              <w:t xml:space="preserve"> </w:t>
            </w:r>
            <w:proofErr w:type="spellStart"/>
            <w:r w:rsidRPr="006D15A7">
              <w:rPr>
                <w:rFonts w:ascii="Georgia" w:hAnsi="Georgia"/>
                <w:lang w:val="en-GB"/>
              </w:rPr>
              <w:t>birden</w:t>
            </w:r>
            <w:proofErr w:type="spellEnd"/>
            <w:r w:rsidRPr="006D15A7">
              <w:rPr>
                <w:rFonts w:ascii="Georgia" w:hAnsi="Georgia"/>
                <w:lang w:val="en-GB"/>
              </w:rPr>
              <w:t xml:space="preserve"> </w:t>
            </w:r>
            <w:proofErr w:type="spellStart"/>
            <w:r w:rsidRPr="006D15A7">
              <w:rPr>
                <w:rFonts w:ascii="Georgia" w:hAnsi="Georgia"/>
                <w:lang w:val="en-GB"/>
              </w:rPr>
              <w:t>fazla</w:t>
            </w:r>
            <w:proofErr w:type="spellEnd"/>
            <w:r w:rsidRPr="006D15A7">
              <w:rPr>
                <w:rFonts w:ascii="Georgia" w:hAnsi="Georgia"/>
                <w:lang w:val="en-GB"/>
              </w:rPr>
              <w:t xml:space="preserve"> </w:t>
            </w:r>
            <w:proofErr w:type="spellStart"/>
            <w:r w:rsidRPr="006D15A7">
              <w:rPr>
                <w:rFonts w:ascii="Georgia" w:hAnsi="Georgia"/>
                <w:lang w:val="en-GB"/>
              </w:rPr>
              <w:t>sistemden</w:t>
            </w:r>
            <w:proofErr w:type="spellEnd"/>
            <w:r w:rsidRPr="006D15A7">
              <w:rPr>
                <w:rFonts w:ascii="Georgia" w:hAnsi="Georgia"/>
                <w:lang w:val="en-GB"/>
              </w:rPr>
              <w:t xml:space="preserve"> ve </w:t>
            </w:r>
            <w:proofErr w:type="spellStart"/>
            <w:r w:rsidRPr="006D15A7">
              <w:rPr>
                <w:rFonts w:ascii="Georgia" w:hAnsi="Georgia"/>
                <w:lang w:val="en-GB"/>
              </w:rPr>
              <w:t>dış</w:t>
            </w:r>
            <w:proofErr w:type="spellEnd"/>
            <w:r w:rsidRPr="006D15A7">
              <w:rPr>
                <w:rFonts w:ascii="Georgia" w:hAnsi="Georgia"/>
                <w:lang w:val="en-GB"/>
              </w:rPr>
              <w:t xml:space="preserve"> </w:t>
            </w:r>
            <w:proofErr w:type="spellStart"/>
            <w:r w:rsidRPr="006D15A7">
              <w:rPr>
                <w:rFonts w:ascii="Georgia" w:hAnsi="Georgia"/>
                <w:lang w:val="en-GB"/>
              </w:rPr>
              <w:t>kaynaklardan</w:t>
            </w:r>
            <w:proofErr w:type="spellEnd"/>
            <w:r w:rsidRPr="006D15A7">
              <w:rPr>
                <w:rFonts w:ascii="Georgia" w:hAnsi="Georgia"/>
                <w:lang w:val="en-GB"/>
              </w:rPr>
              <w:t xml:space="preserve"> </w:t>
            </w:r>
            <w:proofErr w:type="spellStart"/>
            <w:r w:rsidRPr="006D15A7">
              <w:rPr>
                <w:rFonts w:ascii="Georgia" w:hAnsi="Georgia"/>
                <w:lang w:val="en-GB"/>
              </w:rPr>
              <w:t>elde</w:t>
            </w:r>
            <w:proofErr w:type="spellEnd"/>
            <w:r w:rsidRPr="006D15A7">
              <w:rPr>
                <w:rFonts w:ascii="Georgia" w:hAnsi="Georgia"/>
                <w:lang w:val="en-GB"/>
              </w:rPr>
              <w:t xml:space="preserve"> </w:t>
            </w:r>
            <w:proofErr w:type="spellStart"/>
            <w:r w:rsidRPr="006D15A7">
              <w:rPr>
                <w:rFonts w:ascii="Georgia" w:hAnsi="Georgia"/>
                <w:lang w:val="en-GB"/>
              </w:rPr>
              <w:t>edilen</w:t>
            </w:r>
            <w:proofErr w:type="spellEnd"/>
            <w:r w:rsidRPr="006D15A7">
              <w:rPr>
                <w:rFonts w:ascii="Georgia" w:hAnsi="Georgia"/>
                <w:lang w:val="en-GB"/>
              </w:rPr>
              <w:t xml:space="preserve"> </w:t>
            </w:r>
            <w:proofErr w:type="spellStart"/>
            <w:r w:rsidRPr="006D15A7">
              <w:rPr>
                <w:rFonts w:ascii="Georgia" w:hAnsi="Georgia"/>
                <w:lang w:val="en-GB"/>
              </w:rPr>
              <w:t>verileri</w:t>
            </w:r>
            <w:proofErr w:type="spellEnd"/>
            <w:r w:rsidRPr="006D15A7">
              <w:rPr>
                <w:rFonts w:ascii="Georgia" w:hAnsi="Georgia"/>
                <w:lang w:val="en-GB"/>
              </w:rPr>
              <w:t xml:space="preserve"> </w:t>
            </w:r>
            <w:proofErr w:type="spellStart"/>
            <w:r w:rsidRPr="006D15A7">
              <w:rPr>
                <w:rFonts w:ascii="Georgia" w:hAnsi="Georgia"/>
                <w:lang w:val="en-GB"/>
              </w:rPr>
              <w:t>baz</w:t>
            </w:r>
            <w:proofErr w:type="spellEnd"/>
            <w:r w:rsidRPr="006D15A7">
              <w:rPr>
                <w:rFonts w:ascii="Georgia" w:hAnsi="Georgia"/>
                <w:lang w:val="en-GB"/>
              </w:rPr>
              <w:t xml:space="preserve"> </w:t>
            </w:r>
            <w:proofErr w:type="spellStart"/>
            <w:r w:rsidRPr="006D15A7">
              <w:rPr>
                <w:rFonts w:ascii="Georgia" w:hAnsi="Georgia"/>
                <w:lang w:val="en-GB"/>
              </w:rPr>
              <w:t>alan</w:t>
            </w:r>
            <w:proofErr w:type="spellEnd"/>
            <w:r w:rsidRPr="006D15A7">
              <w:rPr>
                <w:rFonts w:ascii="Georgia" w:hAnsi="Georgia"/>
                <w:lang w:val="en-GB"/>
              </w:rPr>
              <w:t xml:space="preserve"> </w:t>
            </w:r>
            <w:proofErr w:type="spellStart"/>
            <w:r w:rsidRPr="006D15A7">
              <w:rPr>
                <w:rFonts w:ascii="Georgia" w:hAnsi="Georgia"/>
                <w:lang w:val="en-GB"/>
              </w:rPr>
              <w:t>karmaşık</w:t>
            </w:r>
            <w:proofErr w:type="spellEnd"/>
            <w:r w:rsidRPr="006D15A7">
              <w:rPr>
                <w:rFonts w:ascii="Georgia" w:hAnsi="Georgia"/>
                <w:lang w:val="en-GB"/>
              </w:rPr>
              <w:t xml:space="preserve"> modeller </w:t>
            </w:r>
            <w:proofErr w:type="spellStart"/>
            <w:r w:rsidRPr="006D15A7">
              <w:rPr>
                <w:rFonts w:ascii="Georgia" w:hAnsi="Georgia"/>
                <w:lang w:val="en-GB"/>
              </w:rPr>
              <w:t>kullanmaktadır</w:t>
            </w:r>
            <w:proofErr w:type="spellEnd"/>
            <w:r w:rsidRPr="006D15A7">
              <w:rPr>
                <w:rFonts w:ascii="Georgia" w:hAnsi="Georgia"/>
                <w:lang w:val="en-GB"/>
              </w:rPr>
              <w:t xml:space="preserve">. Bu modeller, </w:t>
            </w:r>
            <w:proofErr w:type="spellStart"/>
            <w:r w:rsidRPr="006D15A7">
              <w:rPr>
                <w:rFonts w:ascii="Georgia" w:hAnsi="Georgia"/>
                <w:lang w:val="en-GB"/>
              </w:rPr>
              <w:t>ileriye</w:t>
            </w:r>
            <w:proofErr w:type="spellEnd"/>
            <w:r w:rsidRPr="006D15A7">
              <w:rPr>
                <w:rFonts w:ascii="Georgia" w:hAnsi="Georgia"/>
                <w:lang w:val="en-GB"/>
              </w:rPr>
              <w:t xml:space="preserve"> </w:t>
            </w:r>
            <w:proofErr w:type="spellStart"/>
            <w:r w:rsidRPr="006D15A7">
              <w:rPr>
                <w:rFonts w:ascii="Georgia" w:hAnsi="Georgia"/>
                <w:lang w:val="en-GB"/>
              </w:rPr>
              <w:t>yönelik</w:t>
            </w:r>
            <w:proofErr w:type="spellEnd"/>
            <w:r w:rsidRPr="006D15A7">
              <w:rPr>
                <w:rFonts w:ascii="Georgia" w:hAnsi="Georgia"/>
                <w:lang w:val="en-GB"/>
              </w:rPr>
              <w:t xml:space="preserve"> </w:t>
            </w:r>
            <w:proofErr w:type="spellStart"/>
            <w:r w:rsidRPr="006D15A7">
              <w:rPr>
                <w:rFonts w:ascii="Georgia" w:hAnsi="Georgia"/>
                <w:lang w:val="en-GB"/>
              </w:rPr>
              <w:t>beklentilerin</w:t>
            </w:r>
            <w:proofErr w:type="spellEnd"/>
            <w:r w:rsidRPr="006D15A7">
              <w:rPr>
                <w:rFonts w:ascii="Georgia" w:hAnsi="Georgia"/>
                <w:lang w:val="en-GB"/>
              </w:rPr>
              <w:t xml:space="preserve"> </w:t>
            </w:r>
            <w:proofErr w:type="spellStart"/>
            <w:r w:rsidRPr="006D15A7">
              <w:rPr>
                <w:rFonts w:ascii="Georgia" w:hAnsi="Georgia"/>
                <w:lang w:val="en-GB"/>
              </w:rPr>
              <w:t>oluşturulması</w:t>
            </w:r>
            <w:proofErr w:type="spellEnd"/>
            <w:r w:rsidRPr="006D15A7">
              <w:rPr>
                <w:rFonts w:ascii="Georgia" w:hAnsi="Georgia"/>
                <w:lang w:val="en-GB"/>
              </w:rPr>
              <w:t xml:space="preserve">, </w:t>
            </w:r>
            <w:proofErr w:type="spellStart"/>
            <w:r w:rsidRPr="006D15A7">
              <w:rPr>
                <w:rFonts w:ascii="Georgia" w:hAnsi="Georgia"/>
                <w:lang w:val="en-GB"/>
              </w:rPr>
              <w:t>makroekonomik</w:t>
            </w:r>
            <w:proofErr w:type="spellEnd"/>
            <w:r w:rsidRPr="006D15A7">
              <w:rPr>
                <w:rFonts w:ascii="Georgia" w:hAnsi="Georgia"/>
                <w:lang w:val="en-GB"/>
              </w:rPr>
              <w:t xml:space="preserve"> </w:t>
            </w:r>
            <w:proofErr w:type="spellStart"/>
            <w:r w:rsidRPr="006D15A7">
              <w:rPr>
                <w:rFonts w:ascii="Georgia" w:hAnsi="Georgia"/>
                <w:lang w:val="en-GB"/>
              </w:rPr>
              <w:t>koşulların</w:t>
            </w:r>
            <w:proofErr w:type="spellEnd"/>
            <w:r w:rsidRPr="006D15A7">
              <w:rPr>
                <w:rFonts w:ascii="Georgia" w:hAnsi="Georgia"/>
                <w:lang w:val="en-GB"/>
              </w:rPr>
              <w:t xml:space="preserve"> </w:t>
            </w:r>
            <w:proofErr w:type="spellStart"/>
            <w:r w:rsidRPr="006D15A7">
              <w:rPr>
                <w:rFonts w:ascii="Georgia" w:hAnsi="Georgia"/>
                <w:lang w:val="en-GB"/>
              </w:rPr>
              <w:t>senaryolaştırılması</w:t>
            </w:r>
            <w:proofErr w:type="spellEnd"/>
            <w:r w:rsidRPr="006D15A7">
              <w:rPr>
                <w:rFonts w:ascii="Georgia" w:hAnsi="Georgia"/>
                <w:lang w:val="en-GB"/>
              </w:rPr>
              <w:t xml:space="preserve"> ve </w:t>
            </w:r>
            <w:proofErr w:type="spellStart"/>
            <w:r w:rsidRPr="006D15A7">
              <w:rPr>
                <w:rFonts w:ascii="Georgia" w:hAnsi="Georgia"/>
                <w:lang w:val="en-GB"/>
              </w:rPr>
              <w:t>senaryoların</w:t>
            </w:r>
            <w:proofErr w:type="spellEnd"/>
            <w:r w:rsidRPr="006D15A7">
              <w:rPr>
                <w:rFonts w:ascii="Georgia" w:hAnsi="Georgia"/>
                <w:lang w:val="en-GB"/>
              </w:rPr>
              <w:t xml:space="preserve"> </w:t>
            </w:r>
            <w:proofErr w:type="spellStart"/>
            <w:r w:rsidRPr="006D15A7">
              <w:rPr>
                <w:rFonts w:ascii="Georgia" w:hAnsi="Georgia"/>
                <w:lang w:val="en-GB"/>
              </w:rPr>
              <w:t>ağırlıklandırılması</w:t>
            </w:r>
            <w:proofErr w:type="spellEnd"/>
            <w:r w:rsidRPr="006D15A7">
              <w:rPr>
                <w:rFonts w:ascii="Georgia" w:hAnsi="Georgia"/>
                <w:lang w:val="en-GB"/>
              </w:rPr>
              <w:t xml:space="preserve"> </w:t>
            </w:r>
            <w:proofErr w:type="spellStart"/>
            <w:r w:rsidRPr="006D15A7">
              <w:rPr>
                <w:rFonts w:ascii="Georgia" w:hAnsi="Georgia"/>
                <w:lang w:val="en-GB"/>
              </w:rPr>
              <w:t>gibi</w:t>
            </w:r>
            <w:proofErr w:type="spellEnd"/>
            <w:r w:rsidRPr="006D15A7">
              <w:rPr>
                <w:rFonts w:ascii="Georgia" w:hAnsi="Georgia"/>
                <w:lang w:val="en-GB"/>
              </w:rPr>
              <w:t xml:space="preserve"> </w:t>
            </w:r>
            <w:proofErr w:type="spellStart"/>
            <w:r w:rsidRPr="006D15A7">
              <w:rPr>
                <w:rFonts w:ascii="Georgia" w:hAnsi="Georgia"/>
                <w:lang w:val="en-GB"/>
              </w:rPr>
              <w:t>yargı</w:t>
            </w:r>
            <w:proofErr w:type="spellEnd"/>
            <w:r w:rsidRPr="006D15A7">
              <w:rPr>
                <w:rFonts w:ascii="Georgia" w:hAnsi="Georgia"/>
                <w:lang w:val="en-GB"/>
              </w:rPr>
              <w:t xml:space="preserve"> ve </w:t>
            </w:r>
            <w:proofErr w:type="spellStart"/>
            <w:r w:rsidRPr="006D15A7">
              <w:rPr>
                <w:rFonts w:ascii="Georgia" w:hAnsi="Georgia"/>
                <w:lang w:val="en-GB"/>
              </w:rPr>
              <w:t>tahminler</w:t>
            </w:r>
            <w:proofErr w:type="spellEnd"/>
            <w:r w:rsidRPr="006D15A7">
              <w:rPr>
                <w:rFonts w:ascii="Georgia" w:hAnsi="Georgia"/>
                <w:lang w:val="en-GB"/>
              </w:rPr>
              <w:t xml:space="preserve"> </w:t>
            </w:r>
            <w:proofErr w:type="spellStart"/>
            <w:r w:rsidRPr="006D15A7">
              <w:rPr>
                <w:rFonts w:ascii="Georgia" w:hAnsi="Georgia"/>
                <w:lang w:val="en-GB"/>
              </w:rPr>
              <w:t>içermektedir</w:t>
            </w:r>
            <w:proofErr w:type="spellEnd"/>
            <w:r w:rsidRPr="006D15A7">
              <w:rPr>
                <w:rFonts w:ascii="Georgia" w:hAnsi="Georgia"/>
                <w:lang w:val="en-GB"/>
              </w:rPr>
              <w:t xml:space="preserve">. </w:t>
            </w:r>
            <w:proofErr w:type="spellStart"/>
            <w:r w:rsidRPr="006D15A7">
              <w:rPr>
                <w:rFonts w:ascii="Georgia" w:hAnsi="Georgia"/>
                <w:lang w:val="en-GB"/>
              </w:rPr>
              <w:t>Beklenen</w:t>
            </w:r>
            <w:proofErr w:type="spellEnd"/>
            <w:r w:rsidRPr="006D15A7">
              <w:rPr>
                <w:rFonts w:ascii="Georgia" w:hAnsi="Georgia"/>
                <w:lang w:val="en-GB"/>
              </w:rPr>
              <w:t xml:space="preserve"> </w:t>
            </w:r>
            <w:proofErr w:type="spellStart"/>
            <w:r w:rsidRPr="006D15A7">
              <w:rPr>
                <w:rFonts w:ascii="Georgia" w:hAnsi="Georgia"/>
                <w:lang w:val="en-GB"/>
              </w:rPr>
              <w:t>zarar</w:t>
            </w:r>
            <w:proofErr w:type="spellEnd"/>
            <w:r w:rsidRPr="006D15A7">
              <w:rPr>
                <w:rFonts w:ascii="Georgia" w:hAnsi="Georgia"/>
                <w:lang w:val="en-GB"/>
              </w:rPr>
              <w:t xml:space="preserve"> </w:t>
            </w:r>
            <w:proofErr w:type="spellStart"/>
            <w:r w:rsidRPr="006D15A7">
              <w:rPr>
                <w:rFonts w:ascii="Georgia" w:hAnsi="Georgia"/>
                <w:lang w:val="en-GB"/>
              </w:rPr>
              <w:t>karşılığı</w:t>
            </w:r>
            <w:proofErr w:type="spellEnd"/>
            <w:r w:rsidRPr="006D15A7">
              <w:rPr>
                <w:rFonts w:ascii="Georgia" w:hAnsi="Georgia"/>
                <w:lang w:val="en-GB"/>
              </w:rPr>
              <w:t xml:space="preserve"> </w:t>
            </w:r>
            <w:proofErr w:type="spellStart"/>
            <w:r w:rsidRPr="006D15A7">
              <w:rPr>
                <w:rFonts w:ascii="Georgia" w:hAnsi="Georgia"/>
                <w:lang w:val="en-GB"/>
              </w:rPr>
              <w:t>muhasebesinde</w:t>
            </w:r>
            <w:proofErr w:type="spellEnd"/>
            <w:r w:rsidRPr="006D15A7">
              <w:rPr>
                <w:rFonts w:ascii="Georgia" w:hAnsi="Georgia"/>
                <w:lang w:val="en-GB"/>
              </w:rPr>
              <w:t xml:space="preserve"> </w:t>
            </w:r>
            <w:proofErr w:type="spellStart"/>
            <w:r w:rsidRPr="006D15A7">
              <w:rPr>
                <w:rFonts w:ascii="Georgia" w:hAnsi="Georgia"/>
                <w:lang w:val="en-GB"/>
              </w:rPr>
              <w:t>dikkate</w:t>
            </w:r>
            <w:proofErr w:type="spellEnd"/>
            <w:r w:rsidRPr="006D15A7">
              <w:rPr>
                <w:rFonts w:ascii="Georgia" w:hAnsi="Georgia"/>
                <w:lang w:val="en-GB"/>
              </w:rPr>
              <w:t xml:space="preserve"> </w:t>
            </w:r>
            <w:proofErr w:type="spellStart"/>
            <w:r w:rsidRPr="006D15A7">
              <w:rPr>
                <w:rFonts w:ascii="Georgia" w:hAnsi="Georgia"/>
                <w:lang w:val="en-GB"/>
              </w:rPr>
              <w:t>alınan</w:t>
            </w:r>
            <w:proofErr w:type="spellEnd"/>
            <w:r w:rsidRPr="006D15A7">
              <w:rPr>
                <w:rFonts w:ascii="Georgia" w:hAnsi="Georgia"/>
                <w:lang w:val="en-GB"/>
              </w:rPr>
              <w:t xml:space="preserve"> </w:t>
            </w:r>
            <w:proofErr w:type="spellStart"/>
            <w:r w:rsidRPr="006D15A7">
              <w:rPr>
                <w:rFonts w:ascii="Georgia" w:hAnsi="Georgia"/>
                <w:lang w:val="en-GB"/>
              </w:rPr>
              <w:t>geçmişteki</w:t>
            </w:r>
            <w:proofErr w:type="spellEnd"/>
            <w:r w:rsidRPr="006D15A7">
              <w:rPr>
                <w:rFonts w:ascii="Georgia" w:hAnsi="Georgia"/>
                <w:lang w:val="en-GB"/>
              </w:rPr>
              <w:t xml:space="preserve"> </w:t>
            </w:r>
            <w:proofErr w:type="spellStart"/>
            <w:r w:rsidRPr="006D15A7">
              <w:rPr>
                <w:rFonts w:ascii="Georgia" w:hAnsi="Georgia"/>
                <w:lang w:val="en-GB"/>
              </w:rPr>
              <w:t>olaylar</w:t>
            </w:r>
            <w:proofErr w:type="spellEnd"/>
            <w:r w:rsidRPr="006D15A7">
              <w:rPr>
                <w:rFonts w:ascii="Georgia" w:hAnsi="Georgia"/>
                <w:lang w:val="en-GB"/>
              </w:rPr>
              <w:t xml:space="preserve">, </w:t>
            </w:r>
            <w:proofErr w:type="spellStart"/>
            <w:r w:rsidRPr="006D15A7">
              <w:rPr>
                <w:rFonts w:ascii="Georgia" w:hAnsi="Georgia"/>
                <w:lang w:val="en-GB"/>
              </w:rPr>
              <w:t>mevcut</w:t>
            </w:r>
            <w:proofErr w:type="spellEnd"/>
            <w:r w:rsidRPr="006D15A7">
              <w:rPr>
                <w:rFonts w:ascii="Georgia" w:hAnsi="Georgia"/>
                <w:lang w:val="en-GB"/>
              </w:rPr>
              <w:t xml:space="preserve"> </w:t>
            </w:r>
            <w:proofErr w:type="spellStart"/>
            <w:r w:rsidRPr="006D15A7">
              <w:rPr>
                <w:rFonts w:ascii="Georgia" w:hAnsi="Georgia"/>
                <w:lang w:val="en-GB"/>
              </w:rPr>
              <w:t>koşullar</w:t>
            </w:r>
            <w:proofErr w:type="spellEnd"/>
            <w:r w:rsidRPr="006D15A7">
              <w:rPr>
                <w:rFonts w:ascii="Georgia" w:hAnsi="Georgia"/>
                <w:lang w:val="en-GB"/>
              </w:rPr>
              <w:t xml:space="preserve"> ve </w:t>
            </w:r>
            <w:proofErr w:type="spellStart"/>
            <w:r w:rsidRPr="006D15A7">
              <w:rPr>
                <w:rFonts w:ascii="Georgia" w:hAnsi="Georgia"/>
                <w:lang w:val="en-GB"/>
              </w:rPr>
              <w:t>makroekonomik</w:t>
            </w:r>
            <w:proofErr w:type="spellEnd"/>
            <w:r w:rsidRPr="006D15A7">
              <w:rPr>
                <w:rFonts w:ascii="Georgia" w:hAnsi="Georgia"/>
                <w:lang w:val="en-GB"/>
              </w:rPr>
              <w:t xml:space="preserve"> </w:t>
            </w:r>
            <w:proofErr w:type="spellStart"/>
            <w:r w:rsidRPr="006D15A7">
              <w:rPr>
                <w:rFonts w:ascii="Georgia" w:hAnsi="Georgia"/>
                <w:lang w:val="en-GB"/>
              </w:rPr>
              <w:t>tahminleri</w:t>
            </w:r>
            <w:proofErr w:type="spellEnd"/>
            <w:r w:rsidRPr="006D15A7">
              <w:rPr>
                <w:rFonts w:ascii="Georgia" w:hAnsi="Georgia"/>
                <w:lang w:val="en-GB"/>
              </w:rPr>
              <w:t xml:space="preserve"> </w:t>
            </w:r>
            <w:proofErr w:type="spellStart"/>
            <w:r w:rsidRPr="006D15A7">
              <w:rPr>
                <w:rFonts w:ascii="Georgia" w:hAnsi="Georgia"/>
                <w:lang w:val="en-GB"/>
              </w:rPr>
              <w:t>içeren</w:t>
            </w:r>
            <w:proofErr w:type="spellEnd"/>
            <w:r w:rsidRPr="006D15A7">
              <w:rPr>
                <w:rFonts w:ascii="Georgia" w:hAnsi="Georgia"/>
                <w:lang w:val="en-GB"/>
              </w:rPr>
              <w:t xml:space="preserve"> </w:t>
            </w:r>
            <w:proofErr w:type="spellStart"/>
            <w:r w:rsidRPr="006D15A7">
              <w:rPr>
                <w:rFonts w:ascii="Georgia" w:hAnsi="Georgia"/>
                <w:lang w:val="en-GB"/>
              </w:rPr>
              <w:t>bilgiler</w:t>
            </w:r>
            <w:proofErr w:type="spellEnd"/>
            <w:r w:rsidRPr="006D15A7">
              <w:rPr>
                <w:rFonts w:ascii="Georgia" w:hAnsi="Georgia"/>
                <w:lang w:val="en-GB"/>
              </w:rPr>
              <w:t xml:space="preserve"> </w:t>
            </w:r>
            <w:proofErr w:type="spellStart"/>
            <w:r w:rsidRPr="006D15A7">
              <w:rPr>
                <w:rFonts w:ascii="Georgia" w:hAnsi="Georgia"/>
                <w:lang w:val="en-GB"/>
              </w:rPr>
              <w:t>makul</w:t>
            </w:r>
            <w:proofErr w:type="spellEnd"/>
            <w:r w:rsidRPr="006D15A7">
              <w:rPr>
                <w:rFonts w:ascii="Georgia" w:hAnsi="Georgia"/>
                <w:lang w:val="en-GB"/>
              </w:rPr>
              <w:t xml:space="preserve"> ve </w:t>
            </w:r>
            <w:proofErr w:type="spellStart"/>
            <w:r w:rsidRPr="006D15A7">
              <w:rPr>
                <w:rFonts w:ascii="Georgia" w:hAnsi="Georgia"/>
                <w:lang w:val="en-GB"/>
              </w:rPr>
              <w:t>desteklenebilir</w:t>
            </w:r>
            <w:proofErr w:type="spellEnd"/>
            <w:r w:rsidRPr="006D15A7">
              <w:rPr>
                <w:rFonts w:ascii="Georgia" w:hAnsi="Georgia"/>
                <w:lang w:val="en-GB"/>
              </w:rPr>
              <w:t xml:space="preserve"> </w:t>
            </w:r>
            <w:proofErr w:type="spellStart"/>
            <w:r w:rsidRPr="006D15A7">
              <w:rPr>
                <w:rFonts w:ascii="Georgia" w:hAnsi="Georgia"/>
                <w:lang w:val="en-GB"/>
              </w:rPr>
              <w:t>olmalıdır</w:t>
            </w:r>
            <w:proofErr w:type="spellEnd"/>
            <w:r w:rsidRPr="006D15A7">
              <w:rPr>
                <w:rFonts w:ascii="Georgia" w:hAnsi="Georgia"/>
                <w:lang w:val="en-GB"/>
              </w:rPr>
              <w:t xml:space="preserve">. </w:t>
            </w:r>
          </w:p>
          <w:p w14:paraId="28BCED27" w14:textId="77777777" w:rsidR="006D15A7" w:rsidRPr="006D15A7" w:rsidRDefault="006D15A7" w:rsidP="006D15A7">
            <w:pPr>
              <w:spacing w:line="250" w:lineRule="atLeast"/>
              <w:rPr>
                <w:rFonts w:ascii="Georgia" w:hAnsi="Georgia"/>
                <w:lang w:val="en-GB"/>
              </w:rPr>
            </w:pPr>
          </w:p>
          <w:p w14:paraId="72E2C3F6" w14:textId="77777777" w:rsidR="006D15A7" w:rsidRPr="006D15A7" w:rsidRDefault="006D15A7" w:rsidP="006D15A7">
            <w:pPr>
              <w:spacing w:line="250" w:lineRule="atLeast"/>
              <w:rPr>
                <w:rFonts w:ascii="Georgia" w:hAnsi="Georgia"/>
                <w:lang w:val="en-GB"/>
              </w:rPr>
            </w:pPr>
            <w:proofErr w:type="spellStart"/>
            <w:r w:rsidRPr="006D15A7">
              <w:rPr>
                <w:rFonts w:ascii="Georgia" w:hAnsi="Georgia"/>
                <w:lang w:val="en-GB"/>
              </w:rPr>
              <w:t>Denetimimiz</w:t>
            </w:r>
            <w:proofErr w:type="spellEnd"/>
            <w:r w:rsidRPr="006D15A7">
              <w:rPr>
                <w:rFonts w:ascii="Georgia" w:hAnsi="Georgia"/>
                <w:lang w:val="en-GB"/>
              </w:rPr>
              <w:t xml:space="preserve"> </w:t>
            </w:r>
            <w:proofErr w:type="spellStart"/>
            <w:r w:rsidRPr="006D15A7">
              <w:rPr>
                <w:rFonts w:ascii="Georgia" w:hAnsi="Georgia"/>
                <w:lang w:val="en-GB"/>
              </w:rPr>
              <w:t>esnasında</w:t>
            </w:r>
            <w:proofErr w:type="spellEnd"/>
            <w:r w:rsidRPr="006D15A7">
              <w:rPr>
                <w:rFonts w:ascii="Georgia" w:hAnsi="Georgia"/>
                <w:lang w:val="en-GB"/>
              </w:rPr>
              <w:t xml:space="preserve"> </w:t>
            </w:r>
            <w:proofErr w:type="spellStart"/>
            <w:r w:rsidRPr="006D15A7">
              <w:rPr>
                <w:rFonts w:ascii="Georgia" w:hAnsi="Georgia"/>
                <w:lang w:val="en-GB"/>
              </w:rPr>
              <w:t>bu</w:t>
            </w:r>
            <w:proofErr w:type="spellEnd"/>
            <w:r w:rsidRPr="006D15A7">
              <w:rPr>
                <w:rFonts w:ascii="Georgia" w:hAnsi="Georgia"/>
                <w:lang w:val="en-GB"/>
              </w:rPr>
              <w:t xml:space="preserve"> </w:t>
            </w:r>
            <w:proofErr w:type="spellStart"/>
            <w:r w:rsidRPr="006D15A7">
              <w:rPr>
                <w:rFonts w:ascii="Georgia" w:hAnsi="Georgia"/>
                <w:lang w:val="en-GB"/>
              </w:rPr>
              <w:t>alana</w:t>
            </w:r>
            <w:proofErr w:type="spellEnd"/>
            <w:r w:rsidRPr="006D15A7">
              <w:rPr>
                <w:rFonts w:ascii="Georgia" w:hAnsi="Georgia"/>
                <w:lang w:val="en-GB"/>
              </w:rPr>
              <w:t xml:space="preserve"> </w:t>
            </w:r>
            <w:proofErr w:type="spellStart"/>
            <w:r w:rsidRPr="006D15A7">
              <w:rPr>
                <w:rFonts w:ascii="Georgia" w:hAnsi="Georgia"/>
                <w:lang w:val="en-GB"/>
              </w:rPr>
              <w:t>odaklanmamızın</w:t>
            </w:r>
            <w:proofErr w:type="spellEnd"/>
            <w:r w:rsidRPr="006D15A7">
              <w:rPr>
                <w:rFonts w:ascii="Georgia" w:hAnsi="Georgia"/>
                <w:lang w:val="en-GB"/>
              </w:rPr>
              <w:t xml:space="preserve"> </w:t>
            </w:r>
            <w:proofErr w:type="spellStart"/>
            <w:r w:rsidRPr="006D15A7">
              <w:rPr>
                <w:rFonts w:ascii="Georgia" w:hAnsi="Georgia"/>
                <w:lang w:val="en-GB"/>
              </w:rPr>
              <w:t>nedeni</w:t>
            </w:r>
            <w:proofErr w:type="spellEnd"/>
            <w:r w:rsidRPr="006D15A7">
              <w:rPr>
                <w:rFonts w:ascii="Georgia" w:hAnsi="Georgia"/>
                <w:lang w:val="en-GB"/>
              </w:rPr>
              <w:t xml:space="preserve">; </w:t>
            </w:r>
            <w:proofErr w:type="spellStart"/>
            <w:r w:rsidRPr="006D15A7">
              <w:rPr>
                <w:rFonts w:ascii="Georgia" w:hAnsi="Georgia"/>
                <w:lang w:val="en-GB"/>
              </w:rPr>
              <w:t>beklenen</w:t>
            </w:r>
            <w:proofErr w:type="spellEnd"/>
            <w:r w:rsidRPr="006D15A7">
              <w:rPr>
                <w:rFonts w:ascii="Georgia" w:hAnsi="Georgia"/>
                <w:lang w:val="en-GB"/>
              </w:rPr>
              <w:t xml:space="preserve"> </w:t>
            </w:r>
            <w:proofErr w:type="spellStart"/>
            <w:r w:rsidRPr="006D15A7">
              <w:rPr>
                <w:rFonts w:ascii="Georgia" w:hAnsi="Georgia"/>
                <w:lang w:val="en-GB"/>
              </w:rPr>
              <w:t>kredi</w:t>
            </w:r>
            <w:proofErr w:type="spellEnd"/>
            <w:r w:rsidRPr="006D15A7">
              <w:rPr>
                <w:rFonts w:ascii="Georgia" w:hAnsi="Georgia"/>
                <w:lang w:val="en-GB"/>
              </w:rPr>
              <w:t xml:space="preserve"> </w:t>
            </w:r>
            <w:proofErr w:type="spellStart"/>
            <w:r w:rsidRPr="006D15A7">
              <w:rPr>
                <w:rFonts w:ascii="Georgia" w:hAnsi="Georgia"/>
                <w:lang w:val="en-GB"/>
              </w:rPr>
              <w:t>zararları</w:t>
            </w:r>
            <w:proofErr w:type="spellEnd"/>
            <w:r w:rsidRPr="006D15A7">
              <w:rPr>
                <w:rFonts w:ascii="Georgia" w:hAnsi="Georgia"/>
                <w:lang w:val="en-GB"/>
              </w:rPr>
              <w:t xml:space="preserve"> </w:t>
            </w:r>
            <w:proofErr w:type="spellStart"/>
            <w:r w:rsidRPr="006D15A7">
              <w:rPr>
                <w:rFonts w:ascii="Georgia" w:hAnsi="Georgia"/>
                <w:lang w:val="en-GB"/>
              </w:rPr>
              <w:t>karşılıklarının</w:t>
            </w:r>
            <w:proofErr w:type="spellEnd"/>
            <w:r w:rsidRPr="006D15A7">
              <w:rPr>
                <w:rFonts w:ascii="Georgia" w:hAnsi="Georgia"/>
                <w:lang w:val="en-GB"/>
              </w:rPr>
              <w:t xml:space="preserve">, </w:t>
            </w:r>
            <w:proofErr w:type="spellStart"/>
            <w:r w:rsidRPr="006D15A7">
              <w:rPr>
                <w:rFonts w:ascii="Georgia" w:hAnsi="Georgia"/>
                <w:lang w:val="en-GB"/>
              </w:rPr>
              <w:t>geçmişteki</w:t>
            </w:r>
            <w:proofErr w:type="spellEnd"/>
            <w:r w:rsidRPr="006D15A7">
              <w:rPr>
                <w:rFonts w:ascii="Georgia" w:hAnsi="Georgia"/>
                <w:lang w:val="en-GB"/>
              </w:rPr>
              <w:t xml:space="preserve"> </w:t>
            </w:r>
            <w:proofErr w:type="spellStart"/>
            <w:r w:rsidRPr="006D15A7">
              <w:rPr>
                <w:rFonts w:ascii="Georgia" w:hAnsi="Georgia"/>
                <w:lang w:val="en-GB"/>
              </w:rPr>
              <w:t>olaylar</w:t>
            </w:r>
            <w:proofErr w:type="spellEnd"/>
            <w:r w:rsidRPr="006D15A7">
              <w:rPr>
                <w:rFonts w:ascii="Georgia" w:hAnsi="Georgia"/>
                <w:lang w:val="en-GB"/>
              </w:rPr>
              <w:t xml:space="preserve">, </w:t>
            </w:r>
            <w:proofErr w:type="spellStart"/>
            <w:r w:rsidRPr="006D15A7">
              <w:rPr>
                <w:rFonts w:ascii="Georgia" w:hAnsi="Georgia"/>
                <w:lang w:val="en-GB"/>
              </w:rPr>
              <w:t>mevcut</w:t>
            </w:r>
            <w:proofErr w:type="spellEnd"/>
            <w:r w:rsidRPr="006D15A7">
              <w:rPr>
                <w:rFonts w:ascii="Georgia" w:hAnsi="Georgia"/>
                <w:lang w:val="en-GB"/>
              </w:rPr>
              <w:t xml:space="preserve"> </w:t>
            </w:r>
            <w:proofErr w:type="spellStart"/>
            <w:r w:rsidRPr="006D15A7">
              <w:rPr>
                <w:rFonts w:ascii="Georgia" w:hAnsi="Georgia"/>
                <w:lang w:val="en-GB"/>
              </w:rPr>
              <w:t>koşullar</w:t>
            </w:r>
            <w:proofErr w:type="spellEnd"/>
            <w:r w:rsidRPr="006D15A7">
              <w:rPr>
                <w:rFonts w:ascii="Georgia" w:hAnsi="Georgia"/>
                <w:lang w:val="en-GB"/>
              </w:rPr>
              <w:t xml:space="preserve">, </w:t>
            </w:r>
            <w:proofErr w:type="spellStart"/>
            <w:r w:rsidRPr="006D15A7">
              <w:rPr>
                <w:rFonts w:ascii="Georgia" w:hAnsi="Georgia"/>
                <w:lang w:val="en-GB"/>
              </w:rPr>
              <w:t>ileriye</w:t>
            </w:r>
            <w:proofErr w:type="spellEnd"/>
            <w:r w:rsidRPr="006D15A7">
              <w:rPr>
                <w:rFonts w:ascii="Georgia" w:hAnsi="Georgia"/>
                <w:lang w:val="en-GB"/>
              </w:rPr>
              <w:t xml:space="preserve"> </w:t>
            </w:r>
            <w:proofErr w:type="spellStart"/>
            <w:r w:rsidRPr="006D15A7">
              <w:rPr>
                <w:rFonts w:ascii="Georgia" w:hAnsi="Georgia"/>
                <w:lang w:val="en-GB"/>
              </w:rPr>
              <w:t>yönelik</w:t>
            </w:r>
            <w:proofErr w:type="spellEnd"/>
            <w:r w:rsidRPr="006D15A7">
              <w:rPr>
                <w:rFonts w:ascii="Georgia" w:hAnsi="Georgia"/>
                <w:lang w:val="en-GB"/>
              </w:rPr>
              <w:t xml:space="preserve"> </w:t>
            </w:r>
            <w:proofErr w:type="spellStart"/>
            <w:r w:rsidRPr="006D15A7">
              <w:rPr>
                <w:rFonts w:ascii="Georgia" w:hAnsi="Georgia"/>
                <w:lang w:val="en-GB"/>
              </w:rPr>
              <w:t>makroekonomik</w:t>
            </w:r>
            <w:proofErr w:type="spellEnd"/>
            <w:r w:rsidRPr="006D15A7">
              <w:rPr>
                <w:rFonts w:ascii="Georgia" w:hAnsi="Georgia"/>
                <w:lang w:val="en-GB"/>
              </w:rPr>
              <w:t xml:space="preserve"> </w:t>
            </w:r>
            <w:proofErr w:type="spellStart"/>
            <w:r w:rsidRPr="006D15A7">
              <w:rPr>
                <w:rFonts w:ascii="Georgia" w:hAnsi="Georgia"/>
                <w:lang w:val="en-GB"/>
              </w:rPr>
              <w:t>beklentiler</w:t>
            </w:r>
            <w:proofErr w:type="spellEnd"/>
            <w:r w:rsidRPr="006D15A7">
              <w:rPr>
                <w:rFonts w:ascii="Georgia" w:hAnsi="Georgia"/>
                <w:lang w:val="en-GB"/>
              </w:rPr>
              <w:t xml:space="preserve">, </w:t>
            </w:r>
            <w:proofErr w:type="spellStart"/>
            <w:r w:rsidRPr="006D15A7">
              <w:rPr>
                <w:rFonts w:ascii="Georgia" w:hAnsi="Georgia"/>
                <w:lang w:val="en-GB"/>
              </w:rPr>
              <w:t>makro</w:t>
            </w:r>
            <w:proofErr w:type="spellEnd"/>
            <w:r w:rsidRPr="006D15A7">
              <w:rPr>
                <w:rFonts w:ascii="Georgia" w:hAnsi="Georgia"/>
                <w:lang w:val="en-GB"/>
              </w:rPr>
              <w:t xml:space="preserve"> </w:t>
            </w:r>
            <w:proofErr w:type="spellStart"/>
            <w:r w:rsidRPr="006D15A7">
              <w:rPr>
                <w:rFonts w:ascii="Georgia" w:hAnsi="Georgia"/>
                <w:lang w:val="en-GB"/>
              </w:rPr>
              <w:t>ekonomik</w:t>
            </w:r>
            <w:proofErr w:type="spellEnd"/>
            <w:r w:rsidRPr="006D15A7">
              <w:rPr>
                <w:rFonts w:ascii="Georgia" w:hAnsi="Georgia"/>
                <w:lang w:val="en-GB"/>
              </w:rPr>
              <w:t xml:space="preserve"> </w:t>
            </w:r>
            <w:proofErr w:type="spellStart"/>
            <w:r w:rsidRPr="006D15A7">
              <w:rPr>
                <w:rFonts w:ascii="Georgia" w:hAnsi="Georgia"/>
                <w:lang w:val="en-GB"/>
              </w:rPr>
              <w:t>senaryoların</w:t>
            </w:r>
            <w:proofErr w:type="spellEnd"/>
            <w:r w:rsidRPr="006D15A7">
              <w:rPr>
                <w:rFonts w:ascii="Georgia" w:hAnsi="Georgia"/>
                <w:lang w:val="en-GB"/>
              </w:rPr>
              <w:t xml:space="preserve"> </w:t>
            </w:r>
            <w:proofErr w:type="spellStart"/>
            <w:r w:rsidRPr="006D15A7">
              <w:rPr>
                <w:rFonts w:ascii="Georgia" w:hAnsi="Georgia"/>
                <w:lang w:val="en-GB"/>
              </w:rPr>
              <w:t>oluşturulması</w:t>
            </w:r>
            <w:proofErr w:type="spellEnd"/>
            <w:r w:rsidRPr="006D15A7">
              <w:rPr>
                <w:rFonts w:ascii="Georgia" w:hAnsi="Georgia"/>
                <w:lang w:val="en-GB"/>
              </w:rPr>
              <w:t xml:space="preserve"> ve </w:t>
            </w:r>
            <w:proofErr w:type="spellStart"/>
            <w:r w:rsidRPr="006D15A7">
              <w:rPr>
                <w:rFonts w:ascii="Georgia" w:hAnsi="Georgia"/>
                <w:lang w:val="en-GB"/>
              </w:rPr>
              <w:t>ağırlıklandırılması</w:t>
            </w:r>
            <w:proofErr w:type="spellEnd"/>
            <w:r w:rsidRPr="006D15A7">
              <w:rPr>
                <w:rFonts w:ascii="Georgia" w:hAnsi="Georgia"/>
                <w:lang w:val="en-GB"/>
              </w:rPr>
              <w:t xml:space="preserve"> </w:t>
            </w:r>
            <w:proofErr w:type="spellStart"/>
            <w:r w:rsidRPr="006D15A7">
              <w:rPr>
                <w:rFonts w:ascii="Georgia" w:hAnsi="Georgia"/>
                <w:lang w:val="en-GB"/>
              </w:rPr>
              <w:t>gibi</w:t>
            </w:r>
            <w:proofErr w:type="spellEnd"/>
            <w:r w:rsidRPr="006D15A7">
              <w:rPr>
                <w:rFonts w:ascii="Georgia" w:hAnsi="Georgia"/>
                <w:lang w:val="en-GB"/>
              </w:rPr>
              <w:t xml:space="preserve"> </w:t>
            </w:r>
            <w:proofErr w:type="spellStart"/>
            <w:r w:rsidRPr="006D15A7">
              <w:rPr>
                <w:rFonts w:ascii="Georgia" w:hAnsi="Georgia"/>
                <w:lang w:val="en-GB"/>
              </w:rPr>
              <w:t>bütünü</w:t>
            </w:r>
            <w:proofErr w:type="spellEnd"/>
            <w:r w:rsidRPr="006D15A7">
              <w:rPr>
                <w:rFonts w:ascii="Georgia" w:hAnsi="Georgia"/>
                <w:lang w:val="en-GB"/>
              </w:rPr>
              <w:t xml:space="preserve"> </w:t>
            </w:r>
            <w:proofErr w:type="spellStart"/>
            <w:r w:rsidRPr="006D15A7">
              <w:rPr>
                <w:rFonts w:ascii="Georgia" w:hAnsi="Georgia"/>
                <w:lang w:val="en-GB"/>
              </w:rPr>
              <w:t>itibarıyla</w:t>
            </w:r>
            <w:proofErr w:type="spellEnd"/>
            <w:r w:rsidRPr="006D15A7">
              <w:rPr>
                <w:rFonts w:ascii="Georgia" w:hAnsi="Georgia"/>
                <w:lang w:val="en-GB"/>
              </w:rPr>
              <w:t xml:space="preserve"> </w:t>
            </w:r>
            <w:proofErr w:type="spellStart"/>
            <w:r w:rsidRPr="006D15A7">
              <w:rPr>
                <w:rFonts w:ascii="Georgia" w:hAnsi="Georgia"/>
                <w:lang w:val="en-GB"/>
              </w:rPr>
              <w:t>karmaşık</w:t>
            </w:r>
            <w:proofErr w:type="spellEnd"/>
            <w:r w:rsidRPr="006D15A7">
              <w:rPr>
                <w:rFonts w:ascii="Georgia" w:hAnsi="Georgia"/>
                <w:lang w:val="en-GB"/>
              </w:rPr>
              <w:t xml:space="preserve"> </w:t>
            </w:r>
            <w:proofErr w:type="spellStart"/>
            <w:r w:rsidRPr="006D15A7">
              <w:rPr>
                <w:rFonts w:ascii="Georgia" w:hAnsi="Georgia"/>
                <w:lang w:val="en-GB"/>
              </w:rPr>
              <w:t>bilgi</w:t>
            </w:r>
            <w:proofErr w:type="spellEnd"/>
            <w:r w:rsidRPr="006D15A7">
              <w:rPr>
                <w:rFonts w:ascii="Georgia" w:hAnsi="Georgia"/>
                <w:lang w:val="en-GB"/>
              </w:rPr>
              <w:t xml:space="preserve"> ve </w:t>
            </w:r>
            <w:proofErr w:type="spellStart"/>
            <w:r w:rsidRPr="006D15A7">
              <w:rPr>
                <w:rFonts w:ascii="Georgia" w:hAnsi="Georgia"/>
                <w:lang w:val="en-GB"/>
              </w:rPr>
              <w:t>tahminler</w:t>
            </w:r>
            <w:proofErr w:type="spellEnd"/>
            <w:r w:rsidRPr="006D15A7">
              <w:rPr>
                <w:rFonts w:ascii="Georgia" w:hAnsi="Georgia"/>
                <w:lang w:val="en-GB"/>
              </w:rPr>
              <w:t xml:space="preserve"> </w:t>
            </w:r>
            <w:proofErr w:type="spellStart"/>
            <w:r w:rsidRPr="006D15A7">
              <w:rPr>
                <w:rFonts w:ascii="Georgia" w:hAnsi="Georgia"/>
                <w:lang w:val="en-GB"/>
              </w:rPr>
              <w:t>içeriyor</w:t>
            </w:r>
            <w:proofErr w:type="spellEnd"/>
            <w:r w:rsidRPr="006D15A7">
              <w:rPr>
                <w:rFonts w:ascii="Georgia" w:hAnsi="Georgia"/>
                <w:lang w:val="en-GB"/>
              </w:rPr>
              <w:t xml:space="preserve"> </w:t>
            </w:r>
            <w:proofErr w:type="spellStart"/>
            <w:r w:rsidRPr="006D15A7">
              <w:rPr>
                <w:rFonts w:ascii="Georgia" w:hAnsi="Georgia"/>
                <w:lang w:val="en-GB"/>
              </w:rPr>
              <w:t>olması</w:t>
            </w:r>
            <w:proofErr w:type="spellEnd"/>
            <w:r w:rsidRPr="006D15A7">
              <w:rPr>
                <w:rFonts w:ascii="Georgia" w:hAnsi="Georgia"/>
                <w:lang w:val="en-GB"/>
              </w:rPr>
              <w:t xml:space="preserve">; </w:t>
            </w:r>
            <w:proofErr w:type="spellStart"/>
            <w:r w:rsidRPr="006D15A7">
              <w:rPr>
                <w:rFonts w:ascii="Georgia" w:hAnsi="Georgia"/>
                <w:lang w:val="en-GB"/>
              </w:rPr>
              <w:t>krediler</w:t>
            </w:r>
            <w:proofErr w:type="spellEnd"/>
            <w:r w:rsidRPr="006D15A7">
              <w:rPr>
                <w:rFonts w:ascii="Georgia" w:hAnsi="Georgia"/>
                <w:lang w:val="en-GB"/>
              </w:rPr>
              <w:t xml:space="preserve"> ve </w:t>
            </w:r>
            <w:proofErr w:type="spellStart"/>
            <w:r w:rsidRPr="006D15A7">
              <w:rPr>
                <w:rFonts w:ascii="Georgia" w:hAnsi="Georgia"/>
                <w:lang w:val="en-GB"/>
              </w:rPr>
              <w:t>alacakların</w:t>
            </w:r>
            <w:proofErr w:type="spellEnd"/>
            <w:r w:rsidRPr="006D15A7">
              <w:rPr>
                <w:rFonts w:ascii="Georgia" w:hAnsi="Georgia"/>
                <w:lang w:val="en-GB"/>
              </w:rPr>
              <w:t xml:space="preserve"> </w:t>
            </w:r>
            <w:proofErr w:type="spellStart"/>
            <w:r w:rsidRPr="006D15A7">
              <w:rPr>
                <w:rFonts w:ascii="Georgia" w:hAnsi="Georgia"/>
                <w:lang w:val="en-GB"/>
              </w:rPr>
              <w:t>büyüklüğü</w:t>
            </w:r>
            <w:proofErr w:type="spellEnd"/>
            <w:r w:rsidRPr="006D15A7">
              <w:rPr>
                <w:rFonts w:ascii="Georgia" w:hAnsi="Georgia"/>
                <w:lang w:val="en-GB"/>
              </w:rPr>
              <w:t xml:space="preserve">; </w:t>
            </w:r>
            <w:proofErr w:type="spellStart"/>
            <w:r w:rsidRPr="006D15A7">
              <w:rPr>
                <w:rFonts w:ascii="Georgia" w:hAnsi="Georgia"/>
                <w:lang w:val="en-GB"/>
              </w:rPr>
              <w:t>söz</w:t>
            </w:r>
            <w:proofErr w:type="spellEnd"/>
            <w:r w:rsidRPr="006D15A7">
              <w:rPr>
                <w:rFonts w:ascii="Georgia" w:hAnsi="Georgia"/>
                <w:lang w:val="en-GB"/>
              </w:rPr>
              <w:t xml:space="preserve"> </w:t>
            </w:r>
            <w:proofErr w:type="spellStart"/>
            <w:r w:rsidRPr="006D15A7">
              <w:rPr>
                <w:rFonts w:ascii="Georgia" w:hAnsi="Georgia"/>
                <w:lang w:val="en-GB"/>
              </w:rPr>
              <w:t>konusu</w:t>
            </w:r>
            <w:proofErr w:type="spellEnd"/>
            <w:r w:rsidRPr="006D15A7">
              <w:rPr>
                <w:rFonts w:ascii="Georgia" w:hAnsi="Georgia"/>
                <w:lang w:val="en-GB"/>
              </w:rPr>
              <w:t xml:space="preserve"> </w:t>
            </w:r>
            <w:proofErr w:type="spellStart"/>
            <w:r w:rsidRPr="006D15A7">
              <w:rPr>
                <w:rFonts w:ascii="Georgia" w:hAnsi="Georgia"/>
                <w:lang w:val="en-GB"/>
              </w:rPr>
              <w:t>krediler</w:t>
            </w:r>
            <w:proofErr w:type="spellEnd"/>
            <w:r w:rsidRPr="006D15A7">
              <w:rPr>
                <w:rFonts w:ascii="Georgia" w:hAnsi="Georgia"/>
                <w:lang w:val="en-GB"/>
              </w:rPr>
              <w:t xml:space="preserve"> ve </w:t>
            </w:r>
            <w:proofErr w:type="spellStart"/>
            <w:r w:rsidRPr="006D15A7">
              <w:rPr>
                <w:rFonts w:ascii="Georgia" w:hAnsi="Georgia"/>
                <w:lang w:val="en-GB"/>
              </w:rPr>
              <w:t>alacakların</w:t>
            </w:r>
            <w:proofErr w:type="spellEnd"/>
            <w:r w:rsidRPr="006D15A7">
              <w:rPr>
                <w:rFonts w:ascii="Georgia" w:hAnsi="Georgia"/>
                <w:lang w:val="en-GB"/>
              </w:rPr>
              <w:t xml:space="preserve"> </w:t>
            </w:r>
            <w:proofErr w:type="spellStart"/>
            <w:r w:rsidRPr="006D15A7">
              <w:rPr>
                <w:rFonts w:ascii="Georgia" w:hAnsi="Georgia"/>
                <w:lang w:val="en-GB"/>
              </w:rPr>
              <w:t>aşamalarına</w:t>
            </w:r>
            <w:proofErr w:type="spellEnd"/>
            <w:r w:rsidRPr="006D15A7">
              <w:rPr>
                <w:rFonts w:ascii="Georgia" w:hAnsi="Georgia"/>
                <w:lang w:val="en-GB"/>
              </w:rPr>
              <w:t xml:space="preserve"> </w:t>
            </w:r>
            <w:proofErr w:type="spellStart"/>
            <w:r w:rsidRPr="006D15A7">
              <w:rPr>
                <w:rFonts w:ascii="Georgia" w:hAnsi="Georgia"/>
                <w:lang w:val="en-GB"/>
              </w:rPr>
              <w:t>göre</w:t>
            </w:r>
            <w:proofErr w:type="spellEnd"/>
            <w:r w:rsidRPr="006D15A7">
              <w:rPr>
                <w:rFonts w:ascii="Georgia" w:hAnsi="Georgia"/>
                <w:lang w:val="en-GB"/>
              </w:rPr>
              <w:t xml:space="preserve"> </w:t>
            </w:r>
            <w:proofErr w:type="spellStart"/>
            <w:r w:rsidRPr="006D15A7">
              <w:rPr>
                <w:rFonts w:ascii="Georgia" w:hAnsi="Georgia"/>
                <w:lang w:val="en-GB"/>
              </w:rPr>
              <w:t>sınıflandırılmasının</w:t>
            </w:r>
            <w:proofErr w:type="spellEnd"/>
            <w:r w:rsidRPr="006D15A7">
              <w:rPr>
                <w:rFonts w:ascii="Georgia" w:hAnsi="Georgia"/>
                <w:lang w:val="en-GB"/>
              </w:rPr>
              <w:t xml:space="preserve"> ve </w:t>
            </w:r>
            <w:proofErr w:type="spellStart"/>
            <w:r w:rsidRPr="006D15A7">
              <w:rPr>
                <w:rFonts w:ascii="Georgia" w:hAnsi="Georgia"/>
                <w:lang w:val="en-GB"/>
              </w:rPr>
              <w:t>bunlara</w:t>
            </w:r>
            <w:proofErr w:type="spellEnd"/>
            <w:r w:rsidRPr="006D15A7">
              <w:rPr>
                <w:rFonts w:ascii="Georgia" w:hAnsi="Georgia"/>
                <w:lang w:val="en-GB"/>
              </w:rPr>
              <w:t xml:space="preserve"> </w:t>
            </w:r>
            <w:proofErr w:type="spellStart"/>
            <w:r w:rsidRPr="006D15A7">
              <w:rPr>
                <w:rFonts w:ascii="Georgia" w:hAnsi="Georgia"/>
                <w:lang w:val="en-GB"/>
              </w:rPr>
              <w:t>ilişkin</w:t>
            </w:r>
            <w:proofErr w:type="spellEnd"/>
            <w:r w:rsidRPr="006D15A7">
              <w:rPr>
                <w:rFonts w:ascii="Georgia" w:hAnsi="Georgia"/>
                <w:lang w:val="en-GB"/>
              </w:rPr>
              <w:t xml:space="preserve"> </w:t>
            </w:r>
            <w:proofErr w:type="spellStart"/>
            <w:r w:rsidRPr="006D15A7">
              <w:rPr>
                <w:rFonts w:ascii="Georgia" w:hAnsi="Georgia"/>
                <w:lang w:val="en-GB"/>
              </w:rPr>
              <w:t>hesaplanan</w:t>
            </w:r>
            <w:proofErr w:type="spellEnd"/>
            <w:r w:rsidRPr="006D15A7">
              <w:rPr>
                <w:rFonts w:ascii="Georgia" w:hAnsi="Georgia"/>
                <w:lang w:val="en-GB"/>
              </w:rPr>
              <w:t xml:space="preserve"> </w:t>
            </w:r>
            <w:proofErr w:type="spellStart"/>
            <w:r w:rsidRPr="006D15A7">
              <w:rPr>
                <w:rFonts w:ascii="Georgia" w:hAnsi="Georgia"/>
                <w:lang w:val="en-GB"/>
              </w:rPr>
              <w:t>beklenen</w:t>
            </w:r>
            <w:proofErr w:type="spellEnd"/>
            <w:r w:rsidRPr="006D15A7">
              <w:rPr>
                <w:rFonts w:ascii="Georgia" w:hAnsi="Georgia"/>
                <w:lang w:val="en-GB"/>
              </w:rPr>
              <w:t xml:space="preserve"> </w:t>
            </w:r>
            <w:proofErr w:type="spellStart"/>
            <w:r w:rsidRPr="006D15A7">
              <w:rPr>
                <w:rFonts w:ascii="Georgia" w:hAnsi="Georgia"/>
                <w:lang w:val="en-GB"/>
              </w:rPr>
              <w:t>zarar</w:t>
            </w:r>
            <w:proofErr w:type="spellEnd"/>
            <w:r w:rsidRPr="006D15A7">
              <w:rPr>
                <w:rFonts w:ascii="Georgia" w:hAnsi="Georgia"/>
                <w:lang w:val="en-GB"/>
              </w:rPr>
              <w:t xml:space="preserve"> </w:t>
            </w:r>
            <w:proofErr w:type="spellStart"/>
            <w:r w:rsidRPr="006D15A7">
              <w:rPr>
                <w:rFonts w:ascii="Georgia" w:hAnsi="Georgia"/>
                <w:lang w:val="en-GB"/>
              </w:rPr>
              <w:t>karşılığının</w:t>
            </w:r>
            <w:proofErr w:type="spellEnd"/>
            <w:r w:rsidRPr="006D15A7">
              <w:rPr>
                <w:rFonts w:ascii="Georgia" w:hAnsi="Georgia"/>
                <w:lang w:val="en-GB"/>
              </w:rPr>
              <w:t xml:space="preserve"> </w:t>
            </w:r>
            <w:proofErr w:type="spellStart"/>
            <w:r w:rsidRPr="006D15A7">
              <w:rPr>
                <w:rFonts w:ascii="Georgia" w:hAnsi="Georgia"/>
                <w:lang w:val="en-GB"/>
              </w:rPr>
              <w:t>belirlenmesinin</w:t>
            </w:r>
            <w:proofErr w:type="spellEnd"/>
            <w:r w:rsidRPr="006D15A7">
              <w:rPr>
                <w:rFonts w:ascii="Georgia" w:hAnsi="Georgia"/>
                <w:lang w:val="en-GB"/>
              </w:rPr>
              <w:t xml:space="preserve"> </w:t>
            </w:r>
            <w:proofErr w:type="spellStart"/>
            <w:r w:rsidRPr="006D15A7">
              <w:rPr>
                <w:rFonts w:ascii="Georgia" w:hAnsi="Georgia"/>
                <w:lang w:val="en-GB"/>
              </w:rPr>
              <w:t>önemidir</w:t>
            </w:r>
            <w:proofErr w:type="spellEnd"/>
            <w:r w:rsidRPr="006D15A7">
              <w:rPr>
                <w:rFonts w:ascii="Georgia" w:hAnsi="Georgia"/>
                <w:lang w:val="en-GB"/>
              </w:rPr>
              <w:t xml:space="preserve">. </w:t>
            </w:r>
            <w:proofErr w:type="spellStart"/>
            <w:r w:rsidRPr="006D15A7">
              <w:rPr>
                <w:rFonts w:ascii="Georgia" w:hAnsi="Georgia"/>
                <w:lang w:val="en-GB"/>
              </w:rPr>
              <w:t>Krediler</w:t>
            </w:r>
            <w:proofErr w:type="spellEnd"/>
            <w:r w:rsidRPr="006D15A7">
              <w:rPr>
                <w:rFonts w:ascii="Georgia" w:hAnsi="Georgia"/>
                <w:lang w:val="en-GB"/>
              </w:rPr>
              <w:t xml:space="preserve"> ve </w:t>
            </w:r>
            <w:proofErr w:type="spellStart"/>
            <w:r w:rsidRPr="006D15A7">
              <w:rPr>
                <w:rFonts w:ascii="Georgia" w:hAnsi="Georgia"/>
                <w:lang w:val="en-GB"/>
              </w:rPr>
              <w:t>alacakların</w:t>
            </w:r>
            <w:proofErr w:type="spellEnd"/>
            <w:r w:rsidRPr="006D15A7">
              <w:rPr>
                <w:rFonts w:ascii="Georgia" w:hAnsi="Georgia"/>
                <w:lang w:val="en-GB"/>
              </w:rPr>
              <w:t xml:space="preserve"> </w:t>
            </w:r>
            <w:proofErr w:type="spellStart"/>
            <w:r w:rsidRPr="006D15A7">
              <w:rPr>
                <w:rFonts w:ascii="Georgia" w:hAnsi="Georgia"/>
                <w:lang w:val="en-GB"/>
              </w:rPr>
              <w:t>temerrüt</w:t>
            </w:r>
            <w:proofErr w:type="spellEnd"/>
            <w:r w:rsidRPr="006D15A7">
              <w:rPr>
                <w:rFonts w:ascii="Georgia" w:hAnsi="Georgia"/>
                <w:lang w:val="en-GB"/>
              </w:rPr>
              <w:t xml:space="preserve"> </w:t>
            </w:r>
            <w:proofErr w:type="spellStart"/>
            <w:r w:rsidRPr="006D15A7">
              <w:rPr>
                <w:rFonts w:ascii="Georgia" w:hAnsi="Georgia"/>
                <w:lang w:val="en-GB"/>
              </w:rPr>
              <w:t>hali</w:t>
            </w:r>
            <w:proofErr w:type="spellEnd"/>
            <w:r w:rsidRPr="006D15A7">
              <w:rPr>
                <w:rFonts w:ascii="Georgia" w:hAnsi="Georgia"/>
                <w:lang w:val="en-GB"/>
              </w:rPr>
              <w:t xml:space="preserve"> </w:t>
            </w:r>
            <w:proofErr w:type="spellStart"/>
            <w:r w:rsidRPr="006D15A7">
              <w:rPr>
                <w:rFonts w:ascii="Georgia" w:hAnsi="Georgia"/>
                <w:lang w:val="en-GB"/>
              </w:rPr>
              <w:t>ile</w:t>
            </w:r>
            <w:proofErr w:type="spellEnd"/>
            <w:r w:rsidRPr="006D15A7">
              <w:rPr>
                <w:rFonts w:ascii="Georgia" w:hAnsi="Georgia"/>
                <w:lang w:val="en-GB"/>
              </w:rPr>
              <w:t xml:space="preserve"> </w:t>
            </w:r>
            <w:proofErr w:type="spellStart"/>
            <w:r w:rsidRPr="006D15A7">
              <w:rPr>
                <w:rFonts w:ascii="Georgia" w:hAnsi="Georgia"/>
                <w:lang w:val="en-GB"/>
              </w:rPr>
              <w:t>kredi</w:t>
            </w:r>
            <w:proofErr w:type="spellEnd"/>
            <w:r w:rsidRPr="006D15A7">
              <w:rPr>
                <w:rFonts w:ascii="Georgia" w:hAnsi="Georgia"/>
                <w:lang w:val="en-GB"/>
              </w:rPr>
              <w:t xml:space="preserve"> </w:t>
            </w:r>
            <w:proofErr w:type="spellStart"/>
            <w:r w:rsidRPr="006D15A7">
              <w:rPr>
                <w:rFonts w:ascii="Georgia" w:hAnsi="Georgia"/>
                <w:lang w:val="en-GB"/>
              </w:rPr>
              <w:t>riskindeki</w:t>
            </w:r>
            <w:proofErr w:type="spellEnd"/>
            <w:r w:rsidRPr="006D15A7">
              <w:rPr>
                <w:rFonts w:ascii="Georgia" w:hAnsi="Georgia"/>
                <w:lang w:val="en-GB"/>
              </w:rPr>
              <w:t xml:space="preserve"> </w:t>
            </w:r>
            <w:proofErr w:type="spellStart"/>
            <w:r w:rsidRPr="006D15A7">
              <w:rPr>
                <w:rFonts w:ascii="Georgia" w:hAnsi="Georgia"/>
                <w:lang w:val="en-GB"/>
              </w:rPr>
              <w:t>önemli</w:t>
            </w:r>
            <w:proofErr w:type="spellEnd"/>
            <w:r w:rsidRPr="006D15A7">
              <w:rPr>
                <w:rFonts w:ascii="Georgia" w:hAnsi="Georgia"/>
                <w:lang w:val="en-GB"/>
              </w:rPr>
              <w:t xml:space="preserve"> </w:t>
            </w:r>
            <w:proofErr w:type="spellStart"/>
            <w:r w:rsidRPr="006D15A7">
              <w:rPr>
                <w:rFonts w:ascii="Georgia" w:hAnsi="Georgia"/>
                <w:lang w:val="en-GB"/>
              </w:rPr>
              <w:t>artışın</w:t>
            </w:r>
            <w:proofErr w:type="spellEnd"/>
            <w:r w:rsidRPr="006D15A7">
              <w:rPr>
                <w:rFonts w:ascii="Georgia" w:hAnsi="Georgia"/>
                <w:lang w:val="en-GB"/>
              </w:rPr>
              <w:t xml:space="preserve"> </w:t>
            </w:r>
            <w:proofErr w:type="spellStart"/>
            <w:r w:rsidRPr="006D15A7">
              <w:rPr>
                <w:rFonts w:ascii="Georgia" w:hAnsi="Georgia"/>
                <w:lang w:val="en-GB"/>
              </w:rPr>
              <w:t>doğru</w:t>
            </w:r>
            <w:proofErr w:type="spellEnd"/>
            <w:r w:rsidRPr="006D15A7">
              <w:rPr>
                <w:rFonts w:ascii="Georgia" w:hAnsi="Georgia"/>
                <w:lang w:val="en-GB"/>
              </w:rPr>
              <w:t xml:space="preserve"> ve </w:t>
            </w:r>
            <w:proofErr w:type="spellStart"/>
            <w:r w:rsidRPr="006D15A7">
              <w:rPr>
                <w:rFonts w:ascii="Georgia" w:hAnsi="Georgia"/>
                <w:lang w:val="en-GB"/>
              </w:rPr>
              <w:t>zamanında</w:t>
            </w:r>
            <w:proofErr w:type="spellEnd"/>
            <w:r w:rsidRPr="006D15A7">
              <w:rPr>
                <w:rFonts w:ascii="Georgia" w:hAnsi="Georgia"/>
                <w:lang w:val="en-GB"/>
              </w:rPr>
              <w:t xml:space="preserve"> </w:t>
            </w:r>
            <w:proofErr w:type="spellStart"/>
            <w:r w:rsidRPr="006D15A7">
              <w:rPr>
                <w:rFonts w:ascii="Georgia" w:hAnsi="Georgia"/>
                <w:lang w:val="en-GB"/>
              </w:rPr>
              <w:t>belirlenmesi</w:t>
            </w:r>
            <w:proofErr w:type="spellEnd"/>
            <w:r w:rsidRPr="006D15A7">
              <w:rPr>
                <w:rFonts w:ascii="Georgia" w:hAnsi="Georgia"/>
                <w:lang w:val="en-GB"/>
              </w:rPr>
              <w:t xml:space="preserve"> ve </w:t>
            </w:r>
            <w:proofErr w:type="spellStart"/>
            <w:r w:rsidRPr="006D15A7">
              <w:rPr>
                <w:rFonts w:ascii="Georgia" w:hAnsi="Georgia"/>
                <w:lang w:val="en-GB"/>
              </w:rPr>
              <w:t>yönetim</w:t>
            </w:r>
            <w:proofErr w:type="spellEnd"/>
            <w:r w:rsidRPr="006D15A7">
              <w:rPr>
                <w:rFonts w:ascii="Georgia" w:hAnsi="Georgia"/>
                <w:lang w:val="en-GB"/>
              </w:rPr>
              <w:t xml:space="preserve"> </w:t>
            </w:r>
            <w:proofErr w:type="spellStart"/>
            <w:r w:rsidRPr="006D15A7">
              <w:rPr>
                <w:rFonts w:ascii="Georgia" w:hAnsi="Georgia"/>
                <w:lang w:val="en-GB"/>
              </w:rPr>
              <w:t>tarafından</w:t>
            </w:r>
            <w:proofErr w:type="spellEnd"/>
            <w:r w:rsidRPr="006D15A7">
              <w:rPr>
                <w:rFonts w:ascii="Georgia" w:hAnsi="Georgia"/>
                <w:lang w:val="en-GB"/>
              </w:rPr>
              <w:t xml:space="preserve"> </w:t>
            </w:r>
            <w:proofErr w:type="spellStart"/>
            <w:r w:rsidRPr="006D15A7">
              <w:rPr>
                <w:rFonts w:ascii="Georgia" w:hAnsi="Georgia"/>
                <w:lang w:val="en-GB"/>
              </w:rPr>
              <w:t>yapılan</w:t>
            </w:r>
            <w:proofErr w:type="spellEnd"/>
            <w:r w:rsidRPr="006D15A7">
              <w:rPr>
                <w:rFonts w:ascii="Georgia" w:hAnsi="Georgia"/>
                <w:lang w:val="en-GB"/>
              </w:rPr>
              <w:t xml:space="preserve"> </w:t>
            </w:r>
            <w:proofErr w:type="spellStart"/>
            <w:r w:rsidRPr="006D15A7">
              <w:rPr>
                <w:rFonts w:ascii="Georgia" w:hAnsi="Georgia"/>
                <w:lang w:val="en-GB"/>
              </w:rPr>
              <w:t>diğer</w:t>
            </w:r>
            <w:proofErr w:type="spellEnd"/>
            <w:r w:rsidRPr="006D15A7">
              <w:rPr>
                <w:rFonts w:ascii="Georgia" w:hAnsi="Georgia"/>
                <w:lang w:val="en-GB"/>
              </w:rPr>
              <w:t xml:space="preserve"> </w:t>
            </w:r>
            <w:proofErr w:type="spellStart"/>
            <w:r w:rsidRPr="006D15A7">
              <w:rPr>
                <w:rFonts w:ascii="Georgia" w:hAnsi="Georgia"/>
                <w:lang w:val="en-GB"/>
              </w:rPr>
              <w:t>yargı</w:t>
            </w:r>
            <w:proofErr w:type="spellEnd"/>
            <w:r w:rsidRPr="006D15A7">
              <w:rPr>
                <w:rFonts w:ascii="Georgia" w:hAnsi="Georgia"/>
                <w:lang w:val="en-GB"/>
              </w:rPr>
              <w:t xml:space="preserve"> ve </w:t>
            </w:r>
            <w:proofErr w:type="spellStart"/>
            <w:r w:rsidRPr="006D15A7">
              <w:rPr>
                <w:rFonts w:ascii="Georgia" w:hAnsi="Georgia"/>
                <w:lang w:val="en-GB"/>
              </w:rPr>
              <w:t>tahminler</w:t>
            </w:r>
            <w:proofErr w:type="spellEnd"/>
            <w:r w:rsidRPr="006D15A7">
              <w:rPr>
                <w:rFonts w:ascii="Georgia" w:hAnsi="Georgia"/>
                <w:lang w:val="en-GB"/>
              </w:rPr>
              <w:t xml:space="preserve"> </w:t>
            </w:r>
            <w:proofErr w:type="spellStart"/>
            <w:r w:rsidRPr="006D15A7">
              <w:rPr>
                <w:rFonts w:ascii="Georgia" w:hAnsi="Georgia"/>
                <w:lang w:val="en-GB"/>
              </w:rPr>
              <w:t>bilançoda</w:t>
            </w:r>
            <w:proofErr w:type="spellEnd"/>
            <w:r w:rsidRPr="006D15A7">
              <w:rPr>
                <w:rFonts w:ascii="Georgia" w:hAnsi="Georgia"/>
                <w:lang w:val="en-GB"/>
              </w:rPr>
              <w:t xml:space="preserve"> </w:t>
            </w:r>
            <w:proofErr w:type="spellStart"/>
            <w:r w:rsidRPr="006D15A7">
              <w:rPr>
                <w:rFonts w:ascii="Georgia" w:hAnsi="Georgia"/>
                <w:lang w:val="en-GB"/>
              </w:rPr>
              <w:t>taşınan</w:t>
            </w:r>
            <w:proofErr w:type="spellEnd"/>
            <w:r w:rsidRPr="006D15A7">
              <w:rPr>
                <w:rFonts w:ascii="Georgia" w:hAnsi="Georgia"/>
                <w:lang w:val="en-GB"/>
              </w:rPr>
              <w:t xml:space="preserve"> </w:t>
            </w:r>
            <w:proofErr w:type="spellStart"/>
            <w:r w:rsidRPr="006D15A7">
              <w:rPr>
                <w:rFonts w:ascii="Georgia" w:hAnsi="Georgia"/>
                <w:lang w:val="en-GB"/>
              </w:rPr>
              <w:t>karşılık</w:t>
            </w:r>
            <w:proofErr w:type="spellEnd"/>
            <w:r w:rsidRPr="006D15A7">
              <w:rPr>
                <w:rFonts w:ascii="Georgia" w:hAnsi="Georgia"/>
                <w:lang w:val="en-GB"/>
              </w:rPr>
              <w:t xml:space="preserve"> </w:t>
            </w:r>
            <w:proofErr w:type="spellStart"/>
            <w:r w:rsidRPr="006D15A7">
              <w:rPr>
                <w:rFonts w:ascii="Georgia" w:hAnsi="Georgia"/>
                <w:lang w:val="en-GB"/>
              </w:rPr>
              <w:t>tutarını</w:t>
            </w:r>
            <w:proofErr w:type="spellEnd"/>
            <w:r w:rsidRPr="006D15A7">
              <w:rPr>
                <w:rFonts w:ascii="Georgia" w:hAnsi="Georgia"/>
                <w:lang w:val="en-GB"/>
              </w:rPr>
              <w:t xml:space="preserve"> </w:t>
            </w:r>
            <w:proofErr w:type="spellStart"/>
            <w:r w:rsidRPr="006D15A7">
              <w:rPr>
                <w:rFonts w:ascii="Georgia" w:hAnsi="Georgia"/>
                <w:lang w:val="en-GB"/>
              </w:rPr>
              <w:t>önemli</w:t>
            </w:r>
            <w:proofErr w:type="spellEnd"/>
            <w:r w:rsidRPr="006D15A7">
              <w:rPr>
                <w:rFonts w:ascii="Georgia" w:hAnsi="Georgia"/>
                <w:lang w:val="en-GB"/>
              </w:rPr>
              <w:t xml:space="preserve"> </w:t>
            </w:r>
            <w:proofErr w:type="spellStart"/>
            <w:r w:rsidRPr="006D15A7">
              <w:rPr>
                <w:rFonts w:ascii="Georgia" w:hAnsi="Georgia"/>
                <w:lang w:val="en-GB"/>
              </w:rPr>
              <w:t>derecede</w:t>
            </w:r>
            <w:proofErr w:type="spellEnd"/>
            <w:r w:rsidRPr="006D15A7">
              <w:rPr>
                <w:rFonts w:ascii="Georgia" w:hAnsi="Georgia"/>
                <w:lang w:val="en-GB"/>
              </w:rPr>
              <w:t xml:space="preserve"> </w:t>
            </w:r>
            <w:proofErr w:type="spellStart"/>
            <w:r w:rsidRPr="006D15A7">
              <w:rPr>
                <w:rFonts w:ascii="Georgia" w:hAnsi="Georgia"/>
                <w:lang w:val="en-GB"/>
              </w:rPr>
              <w:t>etkileyeceğinden</w:t>
            </w:r>
            <w:proofErr w:type="spellEnd"/>
            <w:r w:rsidRPr="006D15A7">
              <w:rPr>
                <w:rFonts w:ascii="Georgia" w:hAnsi="Georgia"/>
                <w:lang w:val="en-GB"/>
              </w:rPr>
              <w:t xml:space="preserve">, </w:t>
            </w:r>
            <w:proofErr w:type="spellStart"/>
            <w:r w:rsidRPr="006D15A7">
              <w:rPr>
                <w:rFonts w:ascii="Georgia" w:hAnsi="Georgia"/>
                <w:lang w:val="en-GB"/>
              </w:rPr>
              <w:t>söz</w:t>
            </w:r>
            <w:proofErr w:type="spellEnd"/>
            <w:r w:rsidRPr="006D15A7">
              <w:rPr>
                <w:rFonts w:ascii="Georgia" w:hAnsi="Georgia"/>
                <w:lang w:val="en-GB"/>
              </w:rPr>
              <w:t xml:space="preserve"> </w:t>
            </w:r>
            <w:proofErr w:type="spellStart"/>
            <w:r w:rsidRPr="006D15A7">
              <w:rPr>
                <w:rFonts w:ascii="Georgia" w:hAnsi="Georgia"/>
                <w:lang w:val="en-GB"/>
              </w:rPr>
              <w:t>konusu</w:t>
            </w:r>
            <w:proofErr w:type="spellEnd"/>
            <w:r w:rsidRPr="006D15A7">
              <w:rPr>
                <w:rFonts w:ascii="Georgia" w:hAnsi="Georgia"/>
                <w:lang w:val="en-GB"/>
              </w:rPr>
              <w:t xml:space="preserve"> </w:t>
            </w:r>
            <w:proofErr w:type="spellStart"/>
            <w:r w:rsidRPr="006D15A7">
              <w:rPr>
                <w:rFonts w:ascii="Georgia" w:hAnsi="Georgia"/>
                <w:lang w:val="en-GB"/>
              </w:rPr>
              <w:t>alan</w:t>
            </w:r>
            <w:proofErr w:type="spellEnd"/>
            <w:r w:rsidRPr="006D15A7">
              <w:rPr>
                <w:rFonts w:ascii="Georgia" w:hAnsi="Georgia"/>
                <w:lang w:val="en-GB"/>
              </w:rPr>
              <w:t xml:space="preserve"> </w:t>
            </w:r>
            <w:proofErr w:type="spellStart"/>
            <w:r w:rsidRPr="006D15A7">
              <w:rPr>
                <w:rFonts w:ascii="Georgia" w:hAnsi="Georgia"/>
                <w:lang w:val="en-GB"/>
              </w:rPr>
              <w:t>tarafımızca</w:t>
            </w:r>
            <w:proofErr w:type="spellEnd"/>
            <w:r w:rsidRPr="006D15A7">
              <w:rPr>
                <w:rFonts w:ascii="Georgia" w:hAnsi="Georgia"/>
                <w:lang w:val="en-GB"/>
              </w:rPr>
              <w:t xml:space="preserve"> </w:t>
            </w:r>
            <w:proofErr w:type="spellStart"/>
            <w:r w:rsidRPr="006D15A7">
              <w:rPr>
                <w:rFonts w:ascii="Georgia" w:hAnsi="Georgia"/>
                <w:lang w:val="en-GB"/>
              </w:rPr>
              <w:t>kilit</w:t>
            </w:r>
            <w:proofErr w:type="spellEnd"/>
            <w:r w:rsidRPr="006D15A7">
              <w:rPr>
                <w:rFonts w:ascii="Georgia" w:hAnsi="Georgia"/>
                <w:lang w:val="en-GB"/>
              </w:rPr>
              <w:t xml:space="preserve"> </w:t>
            </w:r>
            <w:proofErr w:type="spellStart"/>
            <w:r w:rsidRPr="006D15A7">
              <w:rPr>
                <w:rFonts w:ascii="Georgia" w:hAnsi="Georgia"/>
                <w:lang w:val="en-GB"/>
              </w:rPr>
              <w:t>denetim</w:t>
            </w:r>
            <w:proofErr w:type="spellEnd"/>
            <w:r w:rsidRPr="006D15A7">
              <w:rPr>
                <w:rFonts w:ascii="Georgia" w:hAnsi="Georgia"/>
                <w:lang w:val="en-GB"/>
              </w:rPr>
              <w:t xml:space="preserve"> </w:t>
            </w:r>
            <w:proofErr w:type="spellStart"/>
            <w:r w:rsidRPr="006D15A7">
              <w:rPr>
                <w:rFonts w:ascii="Georgia" w:hAnsi="Georgia"/>
                <w:lang w:val="en-GB"/>
              </w:rPr>
              <w:t>konusu</w:t>
            </w:r>
            <w:proofErr w:type="spellEnd"/>
            <w:r w:rsidRPr="006D15A7">
              <w:rPr>
                <w:rFonts w:ascii="Georgia" w:hAnsi="Georgia"/>
                <w:lang w:val="en-GB"/>
              </w:rPr>
              <w:t xml:space="preserve"> </w:t>
            </w:r>
            <w:proofErr w:type="spellStart"/>
            <w:r w:rsidRPr="006D15A7">
              <w:rPr>
                <w:rFonts w:ascii="Georgia" w:hAnsi="Georgia"/>
                <w:lang w:val="en-GB"/>
              </w:rPr>
              <w:t>olarak</w:t>
            </w:r>
            <w:proofErr w:type="spellEnd"/>
            <w:r w:rsidRPr="006D15A7">
              <w:rPr>
                <w:rFonts w:ascii="Georgia" w:hAnsi="Georgia"/>
                <w:lang w:val="en-GB"/>
              </w:rPr>
              <w:t xml:space="preserve"> </w:t>
            </w:r>
            <w:proofErr w:type="spellStart"/>
            <w:r w:rsidRPr="006D15A7">
              <w:rPr>
                <w:rFonts w:ascii="Georgia" w:hAnsi="Georgia"/>
                <w:lang w:val="en-GB"/>
              </w:rPr>
              <w:t>ele</w:t>
            </w:r>
            <w:proofErr w:type="spellEnd"/>
            <w:r w:rsidRPr="006D15A7">
              <w:rPr>
                <w:rFonts w:ascii="Georgia" w:hAnsi="Georgia"/>
                <w:lang w:val="en-GB"/>
              </w:rPr>
              <w:t xml:space="preserve"> </w:t>
            </w:r>
            <w:proofErr w:type="spellStart"/>
            <w:r w:rsidRPr="006D15A7">
              <w:rPr>
                <w:rFonts w:ascii="Georgia" w:hAnsi="Georgia"/>
                <w:lang w:val="en-GB"/>
              </w:rPr>
              <w:t>alınmıştır</w:t>
            </w:r>
            <w:proofErr w:type="spellEnd"/>
            <w:r w:rsidRPr="006D15A7">
              <w:rPr>
                <w:rFonts w:ascii="Georgia" w:hAnsi="Georgia"/>
                <w:lang w:val="en-GB"/>
              </w:rPr>
              <w:t>.</w:t>
            </w:r>
          </w:p>
        </w:tc>
        <w:tc>
          <w:tcPr>
            <w:tcW w:w="0" w:type="pct"/>
            <w:tcBorders>
              <w:top w:val="single" w:sz="6" w:space="0" w:color="auto"/>
              <w:left w:val="single" w:sz="6" w:space="0" w:color="auto"/>
              <w:bottom w:val="single" w:sz="6" w:space="0" w:color="auto"/>
              <w:right w:val="single" w:sz="6" w:space="0" w:color="auto"/>
            </w:tcBorders>
          </w:tcPr>
          <w:p w14:paraId="0084A98F" w14:textId="77777777" w:rsidR="006D15A7" w:rsidRPr="006D15A7" w:rsidRDefault="006D15A7" w:rsidP="006D15A7">
            <w:pPr>
              <w:widowControl w:val="0"/>
              <w:spacing w:line="250" w:lineRule="atLeast"/>
              <w:ind w:right="-105"/>
              <w:rPr>
                <w:rFonts w:ascii="Georgia" w:hAnsi="Georgia"/>
                <w:lang w:val="en-GB"/>
              </w:rPr>
            </w:pPr>
          </w:p>
          <w:p w14:paraId="7C6989B8" w14:textId="77777777" w:rsidR="006D15A7" w:rsidRPr="006D15A7" w:rsidRDefault="006D15A7" w:rsidP="006D15A7">
            <w:pPr>
              <w:widowControl w:val="0"/>
              <w:spacing w:line="250" w:lineRule="atLeast"/>
              <w:ind w:right="-105"/>
              <w:rPr>
                <w:rFonts w:ascii="Georgia" w:hAnsi="Georgia"/>
                <w:lang w:val="en-GB"/>
              </w:rPr>
            </w:pPr>
          </w:p>
          <w:p w14:paraId="77D54F94" w14:textId="77777777" w:rsidR="006D15A7" w:rsidRPr="006D15A7" w:rsidRDefault="006D15A7" w:rsidP="006D15A7">
            <w:pPr>
              <w:widowControl w:val="0"/>
              <w:spacing w:line="250" w:lineRule="atLeast"/>
              <w:ind w:right="-105"/>
              <w:rPr>
                <w:rFonts w:ascii="Georgia" w:hAnsi="Georgia"/>
                <w:lang w:val="en-GB"/>
              </w:rPr>
            </w:pPr>
            <w:proofErr w:type="spellStart"/>
            <w:r w:rsidRPr="006D15A7">
              <w:rPr>
                <w:rFonts w:ascii="Georgia" w:hAnsi="Georgia"/>
                <w:lang w:val="en-GB"/>
              </w:rPr>
              <w:t>Gerçekleştirdiğimiz</w:t>
            </w:r>
            <w:proofErr w:type="spellEnd"/>
            <w:r w:rsidRPr="006D15A7">
              <w:rPr>
                <w:rFonts w:ascii="Georgia" w:hAnsi="Georgia"/>
                <w:lang w:val="en-GB"/>
              </w:rPr>
              <w:t xml:space="preserve"> </w:t>
            </w:r>
            <w:proofErr w:type="spellStart"/>
            <w:r w:rsidRPr="006D15A7">
              <w:rPr>
                <w:rFonts w:ascii="Georgia" w:hAnsi="Georgia"/>
                <w:lang w:val="en-GB"/>
              </w:rPr>
              <w:t>denetim</w:t>
            </w:r>
            <w:proofErr w:type="spellEnd"/>
            <w:r w:rsidRPr="006D15A7">
              <w:rPr>
                <w:rFonts w:ascii="Georgia" w:hAnsi="Georgia"/>
                <w:lang w:val="en-GB"/>
              </w:rPr>
              <w:t xml:space="preserve"> </w:t>
            </w:r>
            <w:proofErr w:type="spellStart"/>
            <w:r w:rsidRPr="006D15A7">
              <w:rPr>
                <w:rFonts w:ascii="Georgia" w:hAnsi="Georgia"/>
                <w:lang w:val="en-GB"/>
              </w:rPr>
              <w:t>çalışmaları</w:t>
            </w:r>
            <w:proofErr w:type="spellEnd"/>
            <w:r w:rsidRPr="006D15A7">
              <w:rPr>
                <w:rFonts w:ascii="Georgia" w:hAnsi="Georgia"/>
                <w:lang w:val="en-GB"/>
              </w:rPr>
              <w:t xml:space="preserve"> </w:t>
            </w:r>
            <w:proofErr w:type="spellStart"/>
            <w:r w:rsidRPr="006D15A7">
              <w:rPr>
                <w:rFonts w:ascii="Georgia" w:hAnsi="Georgia"/>
                <w:lang w:val="en-GB"/>
              </w:rPr>
              <w:t>dahilinde</w:t>
            </w:r>
            <w:proofErr w:type="spellEnd"/>
            <w:r w:rsidRPr="006D15A7">
              <w:rPr>
                <w:rFonts w:ascii="Georgia" w:hAnsi="Georgia"/>
                <w:lang w:val="en-GB"/>
              </w:rPr>
              <w:t xml:space="preserve"> </w:t>
            </w:r>
            <w:proofErr w:type="spellStart"/>
            <w:r w:rsidRPr="006D15A7">
              <w:rPr>
                <w:rFonts w:ascii="Georgia" w:hAnsi="Georgia"/>
                <w:lang w:val="en-GB"/>
              </w:rPr>
              <w:t>krediler</w:t>
            </w:r>
            <w:proofErr w:type="spellEnd"/>
            <w:r w:rsidRPr="006D15A7">
              <w:rPr>
                <w:rFonts w:ascii="Georgia" w:hAnsi="Georgia"/>
                <w:lang w:val="en-GB"/>
              </w:rPr>
              <w:t xml:space="preserve"> ve </w:t>
            </w:r>
            <w:proofErr w:type="spellStart"/>
            <w:r w:rsidRPr="006D15A7">
              <w:rPr>
                <w:rFonts w:ascii="Georgia" w:hAnsi="Georgia"/>
                <w:lang w:val="en-GB"/>
              </w:rPr>
              <w:t>alacakların</w:t>
            </w:r>
            <w:proofErr w:type="spellEnd"/>
            <w:r w:rsidRPr="006D15A7">
              <w:rPr>
                <w:rFonts w:ascii="Georgia" w:hAnsi="Georgia"/>
                <w:lang w:val="en-GB"/>
              </w:rPr>
              <w:t xml:space="preserve"> </w:t>
            </w:r>
            <w:r w:rsidRPr="006D15A7">
              <w:rPr>
                <w:rFonts w:ascii="Georgia" w:hAnsi="Georgia"/>
              </w:rPr>
              <w:t xml:space="preserve">TFRS 9’a uygun olarak aşamalarına göre sınıflandırılmasına ve beklenen zarar karşılığı hesaplanmasına ilişkin </w:t>
            </w:r>
            <w:proofErr w:type="spellStart"/>
            <w:r w:rsidRPr="006D15A7">
              <w:rPr>
                <w:rFonts w:ascii="Georgia" w:hAnsi="Georgia"/>
                <w:lang w:val="en-GB"/>
              </w:rPr>
              <w:t>Banka’nın</w:t>
            </w:r>
            <w:proofErr w:type="spellEnd"/>
            <w:r w:rsidRPr="006D15A7">
              <w:rPr>
                <w:rFonts w:ascii="Georgia" w:hAnsi="Georgia"/>
                <w:lang w:val="en-GB"/>
              </w:rPr>
              <w:t xml:space="preserve"> </w:t>
            </w:r>
            <w:proofErr w:type="spellStart"/>
            <w:r w:rsidRPr="006D15A7">
              <w:rPr>
                <w:rFonts w:ascii="Georgia" w:hAnsi="Georgia"/>
                <w:lang w:val="en-GB"/>
              </w:rPr>
              <w:t>oluşturduğu</w:t>
            </w:r>
            <w:proofErr w:type="spellEnd"/>
            <w:r w:rsidRPr="006D15A7">
              <w:rPr>
                <w:rFonts w:ascii="Georgia" w:hAnsi="Georgia"/>
                <w:lang w:val="en-GB"/>
              </w:rPr>
              <w:t xml:space="preserve"> </w:t>
            </w:r>
            <w:proofErr w:type="spellStart"/>
            <w:r w:rsidRPr="006D15A7">
              <w:rPr>
                <w:rFonts w:ascii="Georgia" w:hAnsi="Georgia"/>
                <w:lang w:val="en-GB"/>
              </w:rPr>
              <w:t>politika</w:t>
            </w:r>
            <w:proofErr w:type="spellEnd"/>
            <w:r w:rsidRPr="006D15A7">
              <w:rPr>
                <w:rFonts w:ascii="Georgia" w:hAnsi="Georgia"/>
                <w:lang w:val="en-GB"/>
              </w:rPr>
              <w:t xml:space="preserve">, </w:t>
            </w:r>
            <w:proofErr w:type="spellStart"/>
            <w:r w:rsidRPr="006D15A7">
              <w:rPr>
                <w:rFonts w:ascii="Georgia" w:hAnsi="Georgia"/>
                <w:lang w:val="en-GB"/>
              </w:rPr>
              <w:t>prosedür</w:t>
            </w:r>
            <w:proofErr w:type="spellEnd"/>
            <w:r w:rsidRPr="006D15A7">
              <w:rPr>
                <w:rFonts w:ascii="Georgia" w:hAnsi="Georgia"/>
                <w:lang w:val="en-GB"/>
              </w:rPr>
              <w:t xml:space="preserve"> ve </w:t>
            </w:r>
            <w:proofErr w:type="spellStart"/>
            <w:r w:rsidRPr="006D15A7">
              <w:rPr>
                <w:rFonts w:ascii="Georgia" w:hAnsi="Georgia"/>
                <w:lang w:val="en-GB"/>
              </w:rPr>
              <w:t>yönetim</w:t>
            </w:r>
            <w:proofErr w:type="spellEnd"/>
            <w:r w:rsidRPr="006D15A7">
              <w:rPr>
                <w:rFonts w:ascii="Georgia" w:hAnsi="Georgia"/>
                <w:lang w:val="en-GB"/>
              </w:rPr>
              <w:t xml:space="preserve"> </w:t>
            </w:r>
            <w:proofErr w:type="spellStart"/>
            <w:r w:rsidRPr="006D15A7">
              <w:rPr>
                <w:rFonts w:ascii="Georgia" w:hAnsi="Georgia"/>
                <w:lang w:val="en-GB"/>
              </w:rPr>
              <w:t>ilkelerini</w:t>
            </w:r>
            <w:proofErr w:type="spellEnd"/>
            <w:r w:rsidRPr="006D15A7">
              <w:rPr>
                <w:rFonts w:ascii="Georgia" w:hAnsi="Georgia"/>
                <w:lang w:val="en-GB"/>
              </w:rPr>
              <w:t xml:space="preserve"> </w:t>
            </w:r>
            <w:proofErr w:type="spellStart"/>
            <w:r w:rsidRPr="006D15A7">
              <w:rPr>
                <w:rFonts w:ascii="Georgia" w:hAnsi="Georgia"/>
                <w:lang w:val="en-GB"/>
              </w:rPr>
              <w:t>değerlendirdik</w:t>
            </w:r>
            <w:proofErr w:type="spellEnd"/>
            <w:r w:rsidRPr="006D15A7">
              <w:rPr>
                <w:rFonts w:ascii="Georgia" w:hAnsi="Georgia"/>
                <w:lang w:val="en-GB"/>
              </w:rPr>
              <w:t xml:space="preserve">. Bu </w:t>
            </w:r>
            <w:proofErr w:type="spellStart"/>
            <w:r w:rsidRPr="006D15A7">
              <w:rPr>
                <w:rFonts w:ascii="Georgia" w:hAnsi="Georgia"/>
                <w:lang w:val="en-GB"/>
              </w:rPr>
              <w:t>ilkeler</w:t>
            </w:r>
            <w:proofErr w:type="spellEnd"/>
            <w:r w:rsidRPr="006D15A7">
              <w:rPr>
                <w:rFonts w:ascii="Georgia" w:hAnsi="Georgia"/>
                <w:lang w:val="en-GB"/>
              </w:rPr>
              <w:t xml:space="preserve"> </w:t>
            </w:r>
            <w:proofErr w:type="spellStart"/>
            <w:r w:rsidRPr="006D15A7">
              <w:rPr>
                <w:rFonts w:ascii="Georgia" w:hAnsi="Georgia"/>
                <w:lang w:val="en-GB"/>
              </w:rPr>
              <w:t>doğrultusunda</w:t>
            </w:r>
            <w:proofErr w:type="spellEnd"/>
            <w:r w:rsidRPr="006D15A7">
              <w:rPr>
                <w:rFonts w:ascii="Georgia" w:hAnsi="Georgia"/>
                <w:lang w:val="en-GB"/>
              </w:rPr>
              <w:t xml:space="preserve"> </w:t>
            </w:r>
            <w:proofErr w:type="spellStart"/>
            <w:r w:rsidRPr="006D15A7">
              <w:rPr>
                <w:rFonts w:ascii="Georgia" w:hAnsi="Georgia"/>
                <w:lang w:val="en-GB"/>
              </w:rPr>
              <w:t>tesis</w:t>
            </w:r>
            <w:proofErr w:type="spellEnd"/>
            <w:r w:rsidRPr="006D15A7">
              <w:rPr>
                <w:rFonts w:ascii="Georgia" w:hAnsi="Georgia"/>
                <w:lang w:val="en-GB"/>
              </w:rPr>
              <w:t xml:space="preserve"> </w:t>
            </w:r>
            <w:proofErr w:type="spellStart"/>
            <w:r w:rsidRPr="006D15A7">
              <w:rPr>
                <w:rFonts w:ascii="Georgia" w:hAnsi="Georgia"/>
                <w:lang w:val="en-GB"/>
              </w:rPr>
              <w:t>edilen</w:t>
            </w:r>
            <w:proofErr w:type="spellEnd"/>
            <w:r w:rsidRPr="006D15A7">
              <w:rPr>
                <w:rFonts w:ascii="Georgia" w:hAnsi="Georgia"/>
                <w:lang w:val="en-GB"/>
              </w:rPr>
              <w:t xml:space="preserve"> </w:t>
            </w:r>
            <w:proofErr w:type="spellStart"/>
            <w:r w:rsidRPr="006D15A7">
              <w:rPr>
                <w:rFonts w:ascii="Georgia" w:hAnsi="Georgia"/>
                <w:lang w:val="en-GB"/>
              </w:rPr>
              <w:t>sistem</w:t>
            </w:r>
            <w:proofErr w:type="spellEnd"/>
            <w:r w:rsidRPr="006D15A7">
              <w:rPr>
                <w:rFonts w:ascii="Georgia" w:hAnsi="Georgia"/>
                <w:lang w:val="en-GB"/>
              </w:rPr>
              <w:t xml:space="preserve"> ve </w:t>
            </w:r>
            <w:proofErr w:type="spellStart"/>
            <w:r w:rsidRPr="006D15A7">
              <w:rPr>
                <w:rFonts w:ascii="Georgia" w:hAnsi="Georgia"/>
                <w:lang w:val="en-GB"/>
              </w:rPr>
              <w:t>süreç</w:t>
            </w:r>
            <w:proofErr w:type="spellEnd"/>
            <w:r w:rsidRPr="006D15A7">
              <w:rPr>
                <w:rFonts w:ascii="Georgia" w:hAnsi="Georgia"/>
                <w:lang w:val="en-GB"/>
              </w:rPr>
              <w:t xml:space="preserve"> </w:t>
            </w:r>
            <w:proofErr w:type="spellStart"/>
            <w:r w:rsidRPr="006D15A7">
              <w:rPr>
                <w:rFonts w:ascii="Georgia" w:hAnsi="Georgia"/>
                <w:lang w:val="en-GB"/>
              </w:rPr>
              <w:t>kontrollerinin</w:t>
            </w:r>
            <w:proofErr w:type="spellEnd"/>
            <w:r w:rsidRPr="006D15A7">
              <w:rPr>
                <w:rFonts w:ascii="Georgia" w:hAnsi="Georgia"/>
                <w:lang w:val="en-GB"/>
              </w:rPr>
              <w:t xml:space="preserve"> </w:t>
            </w:r>
            <w:proofErr w:type="spellStart"/>
            <w:r w:rsidRPr="006D15A7">
              <w:rPr>
                <w:rFonts w:ascii="Georgia" w:hAnsi="Georgia"/>
                <w:lang w:val="en-GB"/>
              </w:rPr>
              <w:t>tasarım</w:t>
            </w:r>
            <w:proofErr w:type="spellEnd"/>
            <w:r w:rsidRPr="006D15A7">
              <w:rPr>
                <w:rFonts w:ascii="Georgia" w:hAnsi="Georgia"/>
                <w:lang w:val="en-GB"/>
              </w:rPr>
              <w:t xml:space="preserve"> ve </w:t>
            </w:r>
            <w:proofErr w:type="spellStart"/>
            <w:r w:rsidRPr="006D15A7">
              <w:rPr>
                <w:rFonts w:ascii="Georgia" w:hAnsi="Georgia"/>
                <w:lang w:val="en-GB"/>
              </w:rPr>
              <w:t>işletim</w:t>
            </w:r>
            <w:proofErr w:type="spellEnd"/>
            <w:r w:rsidRPr="006D15A7">
              <w:rPr>
                <w:rFonts w:ascii="Georgia" w:hAnsi="Georgia"/>
                <w:lang w:val="en-GB"/>
              </w:rPr>
              <w:t xml:space="preserve"> </w:t>
            </w:r>
            <w:proofErr w:type="spellStart"/>
            <w:r w:rsidRPr="006D15A7">
              <w:rPr>
                <w:rFonts w:ascii="Georgia" w:hAnsi="Georgia"/>
                <w:lang w:val="en-GB"/>
              </w:rPr>
              <w:t>etkinliklerini</w:t>
            </w:r>
            <w:proofErr w:type="spellEnd"/>
            <w:r w:rsidRPr="006D15A7">
              <w:rPr>
                <w:rFonts w:ascii="Georgia" w:hAnsi="Georgia"/>
                <w:lang w:val="en-GB"/>
              </w:rPr>
              <w:t xml:space="preserve"> test </w:t>
            </w:r>
            <w:proofErr w:type="spellStart"/>
            <w:r w:rsidRPr="006D15A7">
              <w:rPr>
                <w:rFonts w:ascii="Georgia" w:hAnsi="Georgia"/>
                <w:lang w:val="en-GB"/>
              </w:rPr>
              <w:t>ettik</w:t>
            </w:r>
            <w:proofErr w:type="spellEnd"/>
            <w:r w:rsidRPr="006D15A7">
              <w:rPr>
                <w:rFonts w:ascii="Georgia" w:hAnsi="Georgia"/>
                <w:lang w:val="en-GB"/>
              </w:rPr>
              <w:t xml:space="preserve">. </w:t>
            </w:r>
          </w:p>
          <w:p w14:paraId="4D5AD02F" w14:textId="77777777" w:rsidR="006D15A7" w:rsidRPr="006D15A7" w:rsidRDefault="006D15A7" w:rsidP="006D15A7">
            <w:pPr>
              <w:spacing w:line="250" w:lineRule="atLeast"/>
              <w:ind w:left="276" w:hanging="180"/>
              <w:rPr>
                <w:rFonts w:ascii="Georgia" w:hAnsi="Georgia"/>
                <w:lang w:val="en-GB"/>
              </w:rPr>
            </w:pPr>
          </w:p>
          <w:p w14:paraId="2FF178D0" w14:textId="77777777" w:rsidR="006D15A7" w:rsidRPr="006D15A7" w:rsidRDefault="006D15A7" w:rsidP="006D15A7">
            <w:pPr>
              <w:widowControl w:val="0"/>
              <w:spacing w:line="250" w:lineRule="atLeast"/>
              <w:rPr>
                <w:rFonts w:ascii="Georgia" w:hAnsi="Georgia"/>
                <w:lang w:val="en-GB"/>
              </w:rPr>
            </w:pPr>
            <w:proofErr w:type="spellStart"/>
            <w:r w:rsidRPr="006D15A7">
              <w:rPr>
                <w:rFonts w:ascii="Georgia" w:hAnsi="Georgia"/>
                <w:lang w:val="en-GB"/>
              </w:rPr>
              <w:t>Krediler</w:t>
            </w:r>
            <w:proofErr w:type="spellEnd"/>
            <w:r w:rsidRPr="006D15A7">
              <w:rPr>
                <w:rFonts w:ascii="Georgia" w:hAnsi="Georgia"/>
                <w:lang w:val="en-GB"/>
              </w:rPr>
              <w:t xml:space="preserve"> ve </w:t>
            </w:r>
            <w:proofErr w:type="spellStart"/>
            <w:r w:rsidRPr="006D15A7">
              <w:rPr>
                <w:rFonts w:ascii="Georgia" w:hAnsi="Georgia"/>
                <w:lang w:val="en-GB"/>
              </w:rPr>
              <w:t>alacakların</w:t>
            </w:r>
            <w:proofErr w:type="spellEnd"/>
            <w:r w:rsidRPr="006D15A7">
              <w:rPr>
                <w:rFonts w:ascii="Georgia" w:hAnsi="Georgia"/>
                <w:lang w:val="en-GB"/>
              </w:rPr>
              <w:t xml:space="preserve"> </w:t>
            </w:r>
            <w:proofErr w:type="spellStart"/>
            <w:r w:rsidRPr="006D15A7">
              <w:rPr>
                <w:rFonts w:ascii="Georgia" w:hAnsi="Georgia"/>
                <w:lang w:val="en-GB"/>
              </w:rPr>
              <w:t>aşamalarına</w:t>
            </w:r>
            <w:proofErr w:type="spellEnd"/>
            <w:r w:rsidRPr="006D15A7">
              <w:rPr>
                <w:rFonts w:ascii="Georgia" w:hAnsi="Georgia"/>
                <w:lang w:val="en-GB"/>
              </w:rPr>
              <w:t xml:space="preserve"> </w:t>
            </w:r>
            <w:proofErr w:type="spellStart"/>
            <w:r w:rsidRPr="006D15A7">
              <w:rPr>
                <w:rFonts w:ascii="Georgia" w:hAnsi="Georgia"/>
                <w:lang w:val="en-GB"/>
              </w:rPr>
              <w:t>göre</w:t>
            </w:r>
            <w:proofErr w:type="spellEnd"/>
            <w:r w:rsidRPr="006D15A7">
              <w:rPr>
                <w:rFonts w:ascii="Georgia" w:hAnsi="Georgia"/>
                <w:lang w:val="en-GB"/>
              </w:rPr>
              <w:t xml:space="preserve"> </w:t>
            </w:r>
            <w:proofErr w:type="spellStart"/>
            <w:r w:rsidRPr="006D15A7">
              <w:rPr>
                <w:rFonts w:ascii="Georgia" w:hAnsi="Georgia"/>
                <w:lang w:val="en-GB"/>
              </w:rPr>
              <w:t>sınıflandırılarak</w:t>
            </w:r>
            <w:proofErr w:type="spellEnd"/>
            <w:r w:rsidRPr="006D15A7">
              <w:rPr>
                <w:rFonts w:ascii="Georgia" w:hAnsi="Georgia"/>
                <w:lang w:val="en-GB"/>
              </w:rPr>
              <w:t xml:space="preserve"> </w:t>
            </w:r>
            <w:proofErr w:type="spellStart"/>
            <w:r w:rsidRPr="006D15A7">
              <w:rPr>
                <w:rFonts w:ascii="Georgia" w:hAnsi="Georgia"/>
                <w:lang w:val="en-GB"/>
              </w:rPr>
              <w:t>karşılık</w:t>
            </w:r>
            <w:proofErr w:type="spellEnd"/>
            <w:r w:rsidRPr="006D15A7">
              <w:rPr>
                <w:rFonts w:ascii="Georgia" w:hAnsi="Georgia"/>
                <w:lang w:val="en-GB"/>
              </w:rPr>
              <w:t xml:space="preserve"> </w:t>
            </w:r>
            <w:proofErr w:type="spellStart"/>
            <w:r w:rsidRPr="006D15A7">
              <w:rPr>
                <w:rFonts w:ascii="Georgia" w:hAnsi="Georgia"/>
                <w:lang w:val="en-GB"/>
              </w:rPr>
              <w:t>tutarının</w:t>
            </w:r>
            <w:proofErr w:type="spellEnd"/>
            <w:r w:rsidRPr="006D15A7">
              <w:rPr>
                <w:rFonts w:ascii="Georgia" w:hAnsi="Georgia"/>
                <w:lang w:val="en-GB"/>
              </w:rPr>
              <w:t xml:space="preserve"> </w:t>
            </w:r>
            <w:proofErr w:type="spellStart"/>
            <w:r w:rsidRPr="006D15A7">
              <w:rPr>
                <w:rFonts w:ascii="Georgia" w:hAnsi="Georgia"/>
                <w:lang w:val="en-GB"/>
              </w:rPr>
              <w:t>ölçümüne</w:t>
            </w:r>
            <w:proofErr w:type="spellEnd"/>
            <w:r w:rsidRPr="006D15A7">
              <w:rPr>
                <w:rFonts w:ascii="Georgia" w:hAnsi="Georgia"/>
                <w:lang w:val="en-GB"/>
              </w:rPr>
              <w:t xml:space="preserve"> </w:t>
            </w:r>
            <w:proofErr w:type="spellStart"/>
            <w:r w:rsidRPr="006D15A7">
              <w:rPr>
                <w:rFonts w:ascii="Georgia" w:hAnsi="Georgia"/>
                <w:lang w:val="en-GB"/>
              </w:rPr>
              <w:t>ilişkin</w:t>
            </w:r>
            <w:proofErr w:type="spellEnd"/>
            <w:r w:rsidRPr="006D15A7">
              <w:rPr>
                <w:rFonts w:ascii="Georgia" w:hAnsi="Georgia"/>
                <w:lang w:val="en-GB"/>
              </w:rPr>
              <w:t xml:space="preserve"> </w:t>
            </w:r>
            <w:proofErr w:type="spellStart"/>
            <w:r w:rsidRPr="006D15A7">
              <w:rPr>
                <w:rFonts w:ascii="Georgia" w:hAnsi="Georgia"/>
                <w:lang w:val="en-GB"/>
              </w:rPr>
              <w:t>Banka’nın</w:t>
            </w:r>
            <w:proofErr w:type="spellEnd"/>
            <w:r w:rsidRPr="006D15A7">
              <w:rPr>
                <w:rFonts w:ascii="Georgia" w:hAnsi="Georgia"/>
                <w:lang w:val="en-GB"/>
              </w:rPr>
              <w:t xml:space="preserve"> </w:t>
            </w:r>
            <w:proofErr w:type="spellStart"/>
            <w:r w:rsidRPr="006D15A7">
              <w:rPr>
                <w:rFonts w:ascii="Georgia" w:hAnsi="Georgia"/>
                <w:lang w:val="en-GB"/>
              </w:rPr>
              <w:t>uyguladığı</w:t>
            </w:r>
            <w:proofErr w:type="spellEnd"/>
            <w:r w:rsidRPr="006D15A7">
              <w:rPr>
                <w:rFonts w:ascii="Georgia" w:hAnsi="Georgia"/>
                <w:lang w:val="en-GB"/>
              </w:rPr>
              <w:t xml:space="preserve"> </w:t>
            </w:r>
            <w:proofErr w:type="spellStart"/>
            <w:r w:rsidRPr="006D15A7">
              <w:rPr>
                <w:rFonts w:ascii="Georgia" w:hAnsi="Georgia"/>
                <w:lang w:val="en-GB"/>
              </w:rPr>
              <w:t>metodolojide</w:t>
            </w:r>
            <w:proofErr w:type="spellEnd"/>
            <w:r w:rsidRPr="006D15A7">
              <w:rPr>
                <w:rFonts w:ascii="Georgia" w:hAnsi="Georgia"/>
                <w:lang w:val="en-GB"/>
              </w:rPr>
              <w:t xml:space="preserve"> </w:t>
            </w:r>
            <w:proofErr w:type="spellStart"/>
            <w:r w:rsidRPr="006D15A7">
              <w:rPr>
                <w:rFonts w:ascii="Georgia" w:hAnsi="Georgia"/>
                <w:lang w:val="en-GB"/>
              </w:rPr>
              <w:t>dikkate</w:t>
            </w:r>
            <w:proofErr w:type="spellEnd"/>
            <w:r w:rsidRPr="006D15A7">
              <w:rPr>
                <w:rFonts w:ascii="Georgia" w:hAnsi="Georgia"/>
                <w:lang w:val="en-GB"/>
              </w:rPr>
              <w:t xml:space="preserve"> </w:t>
            </w:r>
            <w:proofErr w:type="spellStart"/>
            <w:r w:rsidRPr="006D15A7">
              <w:rPr>
                <w:rFonts w:ascii="Georgia" w:hAnsi="Georgia"/>
                <w:lang w:val="en-GB"/>
              </w:rPr>
              <w:t>alınan</w:t>
            </w:r>
            <w:proofErr w:type="spellEnd"/>
            <w:r w:rsidRPr="006D15A7">
              <w:rPr>
                <w:rFonts w:ascii="Georgia" w:hAnsi="Georgia"/>
                <w:lang w:val="en-GB"/>
              </w:rPr>
              <w:t xml:space="preserve"> </w:t>
            </w:r>
            <w:proofErr w:type="spellStart"/>
            <w:r w:rsidRPr="006D15A7">
              <w:rPr>
                <w:rFonts w:ascii="Georgia" w:hAnsi="Georgia"/>
                <w:lang w:val="en-GB"/>
              </w:rPr>
              <w:t>hususların</w:t>
            </w:r>
            <w:proofErr w:type="spellEnd"/>
            <w:r w:rsidRPr="006D15A7">
              <w:rPr>
                <w:rFonts w:ascii="Georgia" w:hAnsi="Georgia"/>
                <w:lang w:val="en-GB"/>
              </w:rPr>
              <w:t xml:space="preserve"> TFRS 9’a </w:t>
            </w:r>
            <w:proofErr w:type="spellStart"/>
            <w:r w:rsidRPr="006D15A7">
              <w:rPr>
                <w:rFonts w:ascii="Georgia" w:hAnsi="Georgia"/>
                <w:lang w:val="en-GB"/>
              </w:rPr>
              <w:t>uygunluğunu</w:t>
            </w:r>
            <w:proofErr w:type="spellEnd"/>
            <w:r w:rsidRPr="006D15A7">
              <w:rPr>
                <w:rFonts w:ascii="Georgia" w:hAnsi="Georgia"/>
                <w:lang w:val="en-GB"/>
              </w:rPr>
              <w:t xml:space="preserve"> </w:t>
            </w:r>
            <w:proofErr w:type="spellStart"/>
            <w:r w:rsidRPr="006D15A7">
              <w:rPr>
                <w:rFonts w:ascii="Georgia" w:hAnsi="Georgia"/>
                <w:lang w:val="en-GB"/>
              </w:rPr>
              <w:t>kontrol</w:t>
            </w:r>
            <w:proofErr w:type="spellEnd"/>
            <w:r w:rsidRPr="006D15A7">
              <w:rPr>
                <w:rFonts w:ascii="Georgia" w:hAnsi="Georgia"/>
                <w:lang w:val="en-GB"/>
              </w:rPr>
              <w:t xml:space="preserve"> </w:t>
            </w:r>
            <w:proofErr w:type="spellStart"/>
            <w:r w:rsidRPr="006D15A7">
              <w:rPr>
                <w:rFonts w:ascii="Georgia" w:hAnsi="Georgia"/>
                <w:lang w:val="en-GB"/>
              </w:rPr>
              <w:t>ettik</w:t>
            </w:r>
            <w:proofErr w:type="spellEnd"/>
            <w:r w:rsidRPr="006D15A7">
              <w:rPr>
                <w:rFonts w:ascii="Georgia" w:hAnsi="Georgia"/>
                <w:lang w:val="en-GB"/>
              </w:rPr>
              <w:t xml:space="preserve">. Banka </w:t>
            </w:r>
            <w:proofErr w:type="spellStart"/>
            <w:r w:rsidRPr="006D15A7">
              <w:rPr>
                <w:rFonts w:ascii="Georgia" w:hAnsi="Georgia"/>
                <w:lang w:val="en-GB"/>
              </w:rPr>
              <w:t>yönetimi</w:t>
            </w:r>
            <w:proofErr w:type="spellEnd"/>
            <w:r w:rsidRPr="006D15A7">
              <w:rPr>
                <w:rFonts w:ascii="Georgia" w:hAnsi="Georgia"/>
                <w:lang w:val="en-GB"/>
              </w:rPr>
              <w:t xml:space="preserve"> </w:t>
            </w:r>
            <w:proofErr w:type="spellStart"/>
            <w:r w:rsidRPr="006D15A7">
              <w:rPr>
                <w:rFonts w:ascii="Georgia" w:hAnsi="Georgia"/>
                <w:lang w:val="en-GB"/>
              </w:rPr>
              <w:t>tarafından</w:t>
            </w:r>
            <w:proofErr w:type="spellEnd"/>
            <w:r w:rsidRPr="006D15A7">
              <w:rPr>
                <w:rFonts w:ascii="Georgia" w:hAnsi="Georgia"/>
                <w:lang w:val="en-GB"/>
              </w:rPr>
              <w:t xml:space="preserve"> </w:t>
            </w:r>
            <w:proofErr w:type="spellStart"/>
            <w:r w:rsidRPr="006D15A7">
              <w:rPr>
                <w:rFonts w:ascii="Georgia" w:hAnsi="Georgia"/>
                <w:lang w:val="en-GB"/>
              </w:rPr>
              <w:t>beklenen</w:t>
            </w:r>
            <w:proofErr w:type="spellEnd"/>
            <w:r w:rsidRPr="006D15A7">
              <w:rPr>
                <w:rFonts w:ascii="Georgia" w:hAnsi="Georgia"/>
                <w:lang w:val="en-GB"/>
              </w:rPr>
              <w:t xml:space="preserve"> </w:t>
            </w:r>
            <w:proofErr w:type="spellStart"/>
            <w:r w:rsidRPr="006D15A7">
              <w:rPr>
                <w:rFonts w:ascii="Georgia" w:hAnsi="Georgia"/>
                <w:lang w:val="en-GB"/>
              </w:rPr>
              <w:t>kredi</w:t>
            </w:r>
            <w:proofErr w:type="spellEnd"/>
            <w:r w:rsidRPr="006D15A7">
              <w:rPr>
                <w:rFonts w:ascii="Georgia" w:hAnsi="Georgia"/>
                <w:lang w:val="en-GB"/>
              </w:rPr>
              <w:t xml:space="preserve"> </w:t>
            </w:r>
            <w:proofErr w:type="spellStart"/>
            <w:r w:rsidRPr="006D15A7">
              <w:rPr>
                <w:rFonts w:ascii="Georgia" w:hAnsi="Georgia"/>
                <w:lang w:val="en-GB"/>
              </w:rPr>
              <w:t>zarar</w:t>
            </w:r>
            <w:proofErr w:type="spellEnd"/>
            <w:r w:rsidRPr="006D15A7">
              <w:rPr>
                <w:rFonts w:ascii="Georgia" w:hAnsi="Georgia"/>
                <w:lang w:val="en-GB"/>
              </w:rPr>
              <w:t xml:space="preserve"> </w:t>
            </w:r>
            <w:proofErr w:type="spellStart"/>
            <w:r w:rsidRPr="006D15A7">
              <w:rPr>
                <w:rFonts w:ascii="Georgia" w:hAnsi="Georgia"/>
                <w:lang w:val="en-GB"/>
              </w:rPr>
              <w:t>karşılığı</w:t>
            </w:r>
            <w:proofErr w:type="spellEnd"/>
            <w:r w:rsidRPr="006D15A7">
              <w:rPr>
                <w:rFonts w:ascii="Georgia" w:hAnsi="Georgia"/>
                <w:lang w:val="en-GB"/>
              </w:rPr>
              <w:t xml:space="preserve"> </w:t>
            </w:r>
            <w:proofErr w:type="spellStart"/>
            <w:r w:rsidRPr="006D15A7">
              <w:rPr>
                <w:rFonts w:ascii="Georgia" w:hAnsi="Georgia"/>
                <w:lang w:val="en-GB"/>
              </w:rPr>
              <w:t>hesaplamalarında</w:t>
            </w:r>
            <w:proofErr w:type="spellEnd"/>
            <w:r w:rsidRPr="006D15A7">
              <w:rPr>
                <w:rFonts w:ascii="Georgia" w:hAnsi="Georgia"/>
                <w:lang w:val="en-GB"/>
              </w:rPr>
              <w:t xml:space="preserve"> </w:t>
            </w:r>
            <w:proofErr w:type="spellStart"/>
            <w:r w:rsidRPr="006D15A7">
              <w:rPr>
                <w:rFonts w:ascii="Georgia" w:hAnsi="Georgia"/>
                <w:lang w:val="en-GB"/>
              </w:rPr>
              <w:t>kullanılan</w:t>
            </w:r>
            <w:proofErr w:type="spellEnd"/>
            <w:r w:rsidRPr="006D15A7">
              <w:rPr>
                <w:rFonts w:ascii="Georgia" w:hAnsi="Georgia"/>
                <w:lang w:val="en-GB"/>
              </w:rPr>
              <w:t xml:space="preserve"> </w:t>
            </w:r>
            <w:proofErr w:type="spellStart"/>
            <w:r w:rsidRPr="006D15A7">
              <w:rPr>
                <w:rFonts w:ascii="Georgia" w:hAnsi="Georgia"/>
                <w:lang w:val="en-GB"/>
              </w:rPr>
              <w:t>ileriye</w:t>
            </w:r>
            <w:proofErr w:type="spellEnd"/>
            <w:r w:rsidRPr="006D15A7">
              <w:rPr>
                <w:rFonts w:ascii="Georgia" w:hAnsi="Georgia"/>
                <w:lang w:val="en-GB"/>
              </w:rPr>
              <w:t xml:space="preserve"> </w:t>
            </w:r>
            <w:proofErr w:type="spellStart"/>
            <w:r w:rsidRPr="006D15A7">
              <w:rPr>
                <w:rFonts w:ascii="Georgia" w:hAnsi="Georgia"/>
                <w:lang w:val="en-GB"/>
              </w:rPr>
              <w:t>dönük</w:t>
            </w:r>
            <w:proofErr w:type="spellEnd"/>
            <w:r w:rsidRPr="006D15A7">
              <w:rPr>
                <w:rFonts w:ascii="Georgia" w:hAnsi="Georgia"/>
                <w:lang w:val="en-GB"/>
              </w:rPr>
              <w:t xml:space="preserve"> </w:t>
            </w:r>
            <w:proofErr w:type="spellStart"/>
            <w:r w:rsidRPr="006D15A7">
              <w:rPr>
                <w:rFonts w:ascii="Georgia" w:hAnsi="Georgia"/>
                <w:lang w:val="en-GB"/>
              </w:rPr>
              <w:t>varsayımlar</w:t>
            </w:r>
            <w:proofErr w:type="spellEnd"/>
            <w:r w:rsidRPr="006D15A7">
              <w:rPr>
                <w:rFonts w:ascii="Georgia" w:hAnsi="Georgia"/>
                <w:lang w:val="en-GB"/>
              </w:rPr>
              <w:t xml:space="preserve"> </w:t>
            </w:r>
            <w:proofErr w:type="spellStart"/>
            <w:r w:rsidRPr="006D15A7">
              <w:rPr>
                <w:rFonts w:ascii="Georgia" w:hAnsi="Georgia"/>
                <w:lang w:val="en-GB"/>
              </w:rPr>
              <w:t>için</w:t>
            </w:r>
            <w:proofErr w:type="spellEnd"/>
            <w:r w:rsidRPr="006D15A7">
              <w:rPr>
                <w:rFonts w:ascii="Georgia" w:hAnsi="Georgia"/>
                <w:lang w:val="en-GB"/>
              </w:rPr>
              <w:t xml:space="preserve">, </w:t>
            </w:r>
            <w:proofErr w:type="spellStart"/>
            <w:r w:rsidRPr="006D15A7">
              <w:rPr>
                <w:rFonts w:ascii="Georgia" w:hAnsi="Georgia"/>
                <w:lang w:val="en-GB"/>
              </w:rPr>
              <w:t>yönetim</w:t>
            </w:r>
            <w:proofErr w:type="spellEnd"/>
            <w:r w:rsidRPr="006D15A7">
              <w:rPr>
                <w:rFonts w:ascii="Georgia" w:hAnsi="Georgia"/>
                <w:lang w:val="en-GB"/>
              </w:rPr>
              <w:t xml:space="preserve"> </w:t>
            </w:r>
            <w:proofErr w:type="spellStart"/>
            <w:r w:rsidRPr="006D15A7">
              <w:rPr>
                <w:rFonts w:ascii="Georgia" w:hAnsi="Georgia"/>
                <w:lang w:val="en-GB"/>
              </w:rPr>
              <w:t>ile</w:t>
            </w:r>
            <w:proofErr w:type="spellEnd"/>
            <w:r w:rsidRPr="006D15A7">
              <w:rPr>
                <w:rFonts w:ascii="Georgia" w:hAnsi="Georgia"/>
                <w:lang w:val="en-GB"/>
              </w:rPr>
              <w:t xml:space="preserve"> </w:t>
            </w:r>
            <w:proofErr w:type="spellStart"/>
            <w:r w:rsidRPr="006D15A7">
              <w:rPr>
                <w:rFonts w:ascii="Georgia" w:hAnsi="Georgia"/>
                <w:lang w:val="en-GB"/>
              </w:rPr>
              <w:t>görüşmeler</w:t>
            </w:r>
            <w:proofErr w:type="spellEnd"/>
            <w:r w:rsidRPr="006D15A7">
              <w:rPr>
                <w:rFonts w:ascii="Georgia" w:hAnsi="Georgia"/>
                <w:lang w:val="en-GB"/>
              </w:rPr>
              <w:t xml:space="preserve"> </w:t>
            </w:r>
            <w:proofErr w:type="spellStart"/>
            <w:r w:rsidRPr="006D15A7">
              <w:rPr>
                <w:rFonts w:ascii="Georgia" w:hAnsi="Georgia"/>
                <w:lang w:val="en-GB"/>
              </w:rPr>
              <w:t>yaptık</w:t>
            </w:r>
            <w:proofErr w:type="spellEnd"/>
            <w:r w:rsidRPr="006D15A7">
              <w:rPr>
                <w:rFonts w:ascii="Georgia" w:hAnsi="Georgia"/>
                <w:lang w:val="en-GB"/>
              </w:rPr>
              <w:t xml:space="preserve"> ve </w:t>
            </w:r>
            <w:proofErr w:type="spellStart"/>
            <w:r w:rsidRPr="006D15A7">
              <w:rPr>
                <w:rFonts w:ascii="Georgia" w:hAnsi="Georgia"/>
                <w:lang w:val="en-GB"/>
              </w:rPr>
              <w:t>kamuya</w:t>
            </w:r>
            <w:proofErr w:type="spellEnd"/>
            <w:r w:rsidRPr="006D15A7">
              <w:rPr>
                <w:rFonts w:ascii="Georgia" w:hAnsi="Georgia"/>
                <w:lang w:val="en-GB"/>
              </w:rPr>
              <w:t xml:space="preserve"> </w:t>
            </w:r>
            <w:proofErr w:type="spellStart"/>
            <w:r w:rsidRPr="006D15A7">
              <w:rPr>
                <w:rFonts w:ascii="Georgia" w:hAnsi="Georgia"/>
                <w:lang w:val="en-GB"/>
              </w:rPr>
              <w:t>açık</w:t>
            </w:r>
            <w:proofErr w:type="spellEnd"/>
            <w:r w:rsidRPr="006D15A7">
              <w:rPr>
                <w:rFonts w:ascii="Georgia" w:hAnsi="Georgia"/>
                <w:lang w:val="en-GB"/>
              </w:rPr>
              <w:t xml:space="preserve"> </w:t>
            </w:r>
            <w:proofErr w:type="spellStart"/>
            <w:r w:rsidRPr="006D15A7">
              <w:rPr>
                <w:rFonts w:ascii="Georgia" w:hAnsi="Georgia"/>
                <w:lang w:val="en-GB"/>
              </w:rPr>
              <w:t>bilgileri</w:t>
            </w:r>
            <w:proofErr w:type="spellEnd"/>
            <w:r w:rsidRPr="006D15A7">
              <w:rPr>
                <w:rFonts w:ascii="Georgia" w:hAnsi="Georgia"/>
                <w:lang w:val="en-GB"/>
              </w:rPr>
              <w:t xml:space="preserve"> </w:t>
            </w:r>
            <w:proofErr w:type="spellStart"/>
            <w:r w:rsidRPr="006D15A7">
              <w:rPr>
                <w:rFonts w:ascii="Georgia" w:hAnsi="Georgia"/>
                <w:lang w:val="en-GB"/>
              </w:rPr>
              <w:t>kullanarak</w:t>
            </w:r>
            <w:proofErr w:type="spellEnd"/>
            <w:r w:rsidRPr="006D15A7">
              <w:rPr>
                <w:rFonts w:ascii="Georgia" w:hAnsi="Georgia"/>
                <w:lang w:val="en-GB"/>
              </w:rPr>
              <w:t xml:space="preserve"> </w:t>
            </w:r>
            <w:proofErr w:type="spellStart"/>
            <w:r w:rsidRPr="006D15A7">
              <w:rPr>
                <w:rFonts w:ascii="Georgia" w:hAnsi="Georgia"/>
                <w:lang w:val="en-GB"/>
              </w:rPr>
              <w:t>bu</w:t>
            </w:r>
            <w:proofErr w:type="spellEnd"/>
            <w:r w:rsidRPr="006D15A7">
              <w:rPr>
                <w:rFonts w:ascii="Georgia" w:hAnsi="Georgia"/>
                <w:lang w:val="en-GB"/>
              </w:rPr>
              <w:t xml:space="preserve"> </w:t>
            </w:r>
            <w:proofErr w:type="spellStart"/>
            <w:r w:rsidRPr="006D15A7">
              <w:rPr>
                <w:rFonts w:ascii="Georgia" w:hAnsi="Georgia"/>
                <w:lang w:val="en-GB"/>
              </w:rPr>
              <w:t>varsayımları</w:t>
            </w:r>
            <w:proofErr w:type="spellEnd"/>
            <w:r w:rsidRPr="006D15A7">
              <w:rPr>
                <w:rFonts w:ascii="Georgia" w:hAnsi="Georgia"/>
                <w:lang w:val="en-GB"/>
              </w:rPr>
              <w:t xml:space="preserve"> </w:t>
            </w:r>
            <w:proofErr w:type="spellStart"/>
            <w:r w:rsidRPr="006D15A7">
              <w:rPr>
                <w:rFonts w:ascii="Georgia" w:hAnsi="Georgia"/>
                <w:lang w:val="en-GB"/>
              </w:rPr>
              <w:t>değerlendirdik</w:t>
            </w:r>
            <w:proofErr w:type="spellEnd"/>
            <w:r w:rsidRPr="006D15A7">
              <w:rPr>
                <w:rFonts w:ascii="Georgia" w:hAnsi="Georgia"/>
                <w:lang w:val="en-GB"/>
              </w:rPr>
              <w:t xml:space="preserve">. </w:t>
            </w:r>
            <w:proofErr w:type="spellStart"/>
            <w:r w:rsidRPr="006D15A7">
              <w:rPr>
                <w:rFonts w:ascii="Georgia" w:hAnsi="Georgia"/>
                <w:lang w:val="en-GB"/>
              </w:rPr>
              <w:t>Beklenen</w:t>
            </w:r>
            <w:proofErr w:type="spellEnd"/>
            <w:r w:rsidRPr="006D15A7">
              <w:rPr>
                <w:rFonts w:ascii="Georgia" w:hAnsi="Georgia"/>
                <w:lang w:val="en-GB"/>
              </w:rPr>
              <w:t xml:space="preserve"> </w:t>
            </w:r>
            <w:proofErr w:type="spellStart"/>
            <w:r w:rsidRPr="006D15A7">
              <w:rPr>
                <w:rFonts w:ascii="Georgia" w:hAnsi="Georgia"/>
                <w:lang w:val="en-GB"/>
              </w:rPr>
              <w:t>kredi</w:t>
            </w:r>
            <w:proofErr w:type="spellEnd"/>
            <w:r w:rsidRPr="006D15A7">
              <w:rPr>
                <w:rFonts w:ascii="Georgia" w:hAnsi="Georgia"/>
                <w:lang w:val="en-GB"/>
              </w:rPr>
              <w:t xml:space="preserve"> </w:t>
            </w:r>
            <w:proofErr w:type="spellStart"/>
            <w:r w:rsidRPr="006D15A7">
              <w:rPr>
                <w:rFonts w:ascii="Georgia" w:hAnsi="Georgia"/>
                <w:lang w:val="en-GB"/>
              </w:rPr>
              <w:t>zarar</w:t>
            </w:r>
            <w:proofErr w:type="spellEnd"/>
            <w:r w:rsidRPr="006D15A7">
              <w:rPr>
                <w:rFonts w:ascii="Georgia" w:hAnsi="Georgia"/>
                <w:lang w:val="en-GB"/>
              </w:rPr>
              <w:t xml:space="preserve"> </w:t>
            </w:r>
            <w:proofErr w:type="spellStart"/>
            <w:r w:rsidRPr="006D15A7">
              <w:rPr>
                <w:rFonts w:ascii="Georgia" w:hAnsi="Georgia"/>
                <w:lang w:val="en-GB"/>
              </w:rPr>
              <w:t>karşılığı</w:t>
            </w:r>
            <w:proofErr w:type="spellEnd"/>
            <w:r w:rsidRPr="006D15A7">
              <w:rPr>
                <w:rFonts w:ascii="Georgia" w:hAnsi="Georgia"/>
                <w:lang w:val="en-GB"/>
              </w:rPr>
              <w:t xml:space="preserve"> </w:t>
            </w:r>
            <w:proofErr w:type="spellStart"/>
            <w:r w:rsidRPr="006D15A7">
              <w:rPr>
                <w:rFonts w:ascii="Georgia" w:hAnsi="Georgia"/>
                <w:lang w:val="en-GB"/>
              </w:rPr>
              <w:t>metodolojisinde</w:t>
            </w:r>
            <w:proofErr w:type="spellEnd"/>
            <w:r w:rsidRPr="006D15A7">
              <w:rPr>
                <w:rFonts w:ascii="Georgia" w:hAnsi="Georgia"/>
                <w:lang w:val="en-GB"/>
              </w:rPr>
              <w:t xml:space="preserve"> </w:t>
            </w:r>
            <w:proofErr w:type="spellStart"/>
            <w:r w:rsidRPr="006D15A7">
              <w:rPr>
                <w:rFonts w:ascii="Georgia" w:hAnsi="Georgia"/>
                <w:lang w:val="en-GB"/>
              </w:rPr>
              <w:t>dikkate</w:t>
            </w:r>
            <w:proofErr w:type="spellEnd"/>
            <w:r w:rsidRPr="006D15A7">
              <w:rPr>
                <w:rFonts w:ascii="Georgia" w:hAnsi="Georgia"/>
                <w:lang w:val="en-GB"/>
              </w:rPr>
              <w:t xml:space="preserve"> </w:t>
            </w:r>
            <w:proofErr w:type="spellStart"/>
            <w:r w:rsidRPr="006D15A7">
              <w:rPr>
                <w:rFonts w:ascii="Georgia" w:hAnsi="Georgia"/>
                <w:lang w:val="en-GB"/>
              </w:rPr>
              <w:t>alınan</w:t>
            </w:r>
            <w:proofErr w:type="spellEnd"/>
            <w:r w:rsidRPr="006D15A7">
              <w:rPr>
                <w:rFonts w:ascii="Georgia" w:hAnsi="Georgia"/>
                <w:lang w:val="en-GB"/>
              </w:rPr>
              <w:t xml:space="preserve"> </w:t>
            </w:r>
            <w:proofErr w:type="spellStart"/>
            <w:r w:rsidRPr="006D15A7">
              <w:rPr>
                <w:rFonts w:ascii="Georgia" w:hAnsi="Georgia"/>
                <w:lang w:val="en-GB"/>
              </w:rPr>
              <w:t>modellerde</w:t>
            </w:r>
            <w:proofErr w:type="spellEnd"/>
            <w:r w:rsidRPr="006D15A7">
              <w:rPr>
                <w:rFonts w:ascii="Georgia" w:hAnsi="Georgia"/>
                <w:lang w:val="en-GB"/>
              </w:rPr>
              <w:t xml:space="preserve"> </w:t>
            </w:r>
            <w:proofErr w:type="spellStart"/>
            <w:r w:rsidRPr="006D15A7">
              <w:rPr>
                <w:rFonts w:ascii="Georgia" w:hAnsi="Georgia"/>
                <w:lang w:val="en-GB"/>
              </w:rPr>
              <w:t>kullanılan</w:t>
            </w:r>
            <w:proofErr w:type="spellEnd"/>
            <w:r w:rsidRPr="006D15A7">
              <w:rPr>
                <w:rFonts w:ascii="Georgia" w:hAnsi="Georgia"/>
                <w:lang w:val="en-GB"/>
              </w:rPr>
              <w:t xml:space="preserve"> </w:t>
            </w:r>
            <w:proofErr w:type="spellStart"/>
            <w:r w:rsidRPr="006D15A7">
              <w:rPr>
                <w:rFonts w:ascii="Georgia" w:hAnsi="Georgia"/>
                <w:lang w:val="en-GB"/>
              </w:rPr>
              <w:t>segmentasyonun</w:t>
            </w:r>
            <w:proofErr w:type="spellEnd"/>
            <w:r w:rsidRPr="006D15A7">
              <w:rPr>
                <w:rFonts w:ascii="Georgia" w:hAnsi="Georgia"/>
                <w:lang w:val="en-GB"/>
              </w:rPr>
              <w:t xml:space="preserve">, </w:t>
            </w:r>
            <w:proofErr w:type="spellStart"/>
            <w:r w:rsidRPr="006D15A7">
              <w:rPr>
                <w:rFonts w:ascii="Georgia" w:hAnsi="Georgia"/>
                <w:lang w:val="en-GB"/>
              </w:rPr>
              <w:t>ömür</w:t>
            </w:r>
            <w:proofErr w:type="spellEnd"/>
            <w:r w:rsidRPr="006D15A7">
              <w:rPr>
                <w:rFonts w:ascii="Georgia" w:hAnsi="Georgia"/>
                <w:lang w:val="en-GB"/>
              </w:rPr>
              <w:t xml:space="preserve"> </w:t>
            </w:r>
            <w:proofErr w:type="spellStart"/>
            <w:r w:rsidRPr="006D15A7">
              <w:rPr>
                <w:rFonts w:ascii="Georgia" w:hAnsi="Georgia"/>
                <w:lang w:val="en-GB"/>
              </w:rPr>
              <w:t>boyu</w:t>
            </w:r>
            <w:proofErr w:type="spellEnd"/>
            <w:r w:rsidRPr="006D15A7">
              <w:rPr>
                <w:rFonts w:ascii="Georgia" w:hAnsi="Georgia"/>
                <w:lang w:val="en-GB"/>
              </w:rPr>
              <w:t xml:space="preserve"> </w:t>
            </w:r>
            <w:proofErr w:type="spellStart"/>
            <w:r w:rsidRPr="006D15A7">
              <w:rPr>
                <w:rFonts w:ascii="Georgia" w:hAnsi="Georgia"/>
                <w:lang w:val="en-GB"/>
              </w:rPr>
              <w:t>beklenen</w:t>
            </w:r>
            <w:proofErr w:type="spellEnd"/>
            <w:r w:rsidRPr="006D15A7">
              <w:rPr>
                <w:rFonts w:ascii="Georgia" w:hAnsi="Georgia"/>
                <w:lang w:val="en-GB"/>
              </w:rPr>
              <w:t xml:space="preserve"> </w:t>
            </w:r>
            <w:proofErr w:type="spellStart"/>
            <w:r w:rsidRPr="006D15A7">
              <w:rPr>
                <w:rFonts w:ascii="Georgia" w:hAnsi="Georgia"/>
                <w:lang w:val="en-GB"/>
              </w:rPr>
              <w:t>temerrüt</w:t>
            </w:r>
            <w:proofErr w:type="spellEnd"/>
            <w:r w:rsidRPr="006D15A7">
              <w:rPr>
                <w:rFonts w:ascii="Georgia" w:hAnsi="Georgia"/>
                <w:lang w:val="en-GB"/>
              </w:rPr>
              <w:t xml:space="preserve"> </w:t>
            </w:r>
            <w:proofErr w:type="spellStart"/>
            <w:r w:rsidRPr="006D15A7">
              <w:rPr>
                <w:rFonts w:ascii="Georgia" w:hAnsi="Georgia"/>
                <w:lang w:val="en-GB"/>
              </w:rPr>
              <w:t>olasılıkları</w:t>
            </w:r>
            <w:proofErr w:type="spellEnd"/>
            <w:r w:rsidRPr="006D15A7">
              <w:rPr>
                <w:rFonts w:ascii="Georgia" w:hAnsi="Georgia"/>
                <w:lang w:val="en-GB"/>
              </w:rPr>
              <w:t xml:space="preserve">, </w:t>
            </w:r>
            <w:proofErr w:type="spellStart"/>
            <w:r w:rsidRPr="006D15A7">
              <w:rPr>
                <w:rFonts w:ascii="Georgia" w:hAnsi="Georgia"/>
                <w:lang w:val="en-GB"/>
              </w:rPr>
              <w:t>temerrüt</w:t>
            </w:r>
            <w:proofErr w:type="spellEnd"/>
            <w:r w:rsidRPr="006D15A7">
              <w:rPr>
                <w:rFonts w:ascii="Georgia" w:hAnsi="Georgia"/>
                <w:lang w:val="en-GB"/>
              </w:rPr>
              <w:t xml:space="preserve"> </w:t>
            </w:r>
            <w:proofErr w:type="spellStart"/>
            <w:r w:rsidRPr="006D15A7">
              <w:rPr>
                <w:rFonts w:ascii="Georgia" w:hAnsi="Georgia"/>
                <w:lang w:val="en-GB"/>
              </w:rPr>
              <w:t>halinde</w:t>
            </w:r>
            <w:proofErr w:type="spellEnd"/>
            <w:r w:rsidRPr="006D15A7">
              <w:rPr>
                <w:rFonts w:ascii="Georgia" w:hAnsi="Georgia"/>
                <w:lang w:val="en-GB"/>
              </w:rPr>
              <w:t xml:space="preserve"> risk </w:t>
            </w:r>
            <w:proofErr w:type="spellStart"/>
            <w:r w:rsidRPr="006D15A7">
              <w:rPr>
                <w:rFonts w:ascii="Georgia" w:hAnsi="Georgia"/>
                <w:lang w:val="en-GB"/>
              </w:rPr>
              <w:t>tutarı</w:t>
            </w:r>
            <w:proofErr w:type="spellEnd"/>
            <w:r w:rsidRPr="006D15A7">
              <w:rPr>
                <w:rFonts w:ascii="Georgia" w:hAnsi="Georgia"/>
                <w:lang w:val="en-GB"/>
              </w:rPr>
              <w:t xml:space="preserve"> </w:t>
            </w:r>
            <w:proofErr w:type="spellStart"/>
            <w:r w:rsidRPr="006D15A7">
              <w:rPr>
                <w:rFonts w:ascii="Georgia" w:hAnsi="Georgia"/>
                <w:lang w:val="en-GB"/>
              </w:rPr>
              <w:t>ile</w:t>
            </w:r>
            <w:proofErr w:type="spellEnd"/>
            <w:r w:rsidRPr="006D15A7">
              <w:rPr>
                <w:rFonts w:ascii="Georgia" w:hAnsi="Georgia"/>
                <w:lang w:val="en-GB"/>
              </w:rPr>
              <w:t xml:space="preserve"> </w:t>
            </w:r>
            <w:proofErr w:type="spellStart"/>
            <w:r w:rsidRPr="006D15A7">
              <w:rPr>
                <w:rFonts w:ascii="Georgia" w:hAnsi="Georgia"/>
                <w:lang w:val="en-GB"/>
              </w:rPr>
              <w:t>temerrüt</w:t>
            </w:r>
            <w:proofErr w:type="spellEnd"/>
            <w:r w:rsidRPr="006D15A7">
              <w:rPr>
                <w:rFonts w:ascii="Georgia" w:hAnsi="Georgia"/>
                <w:lang w:val="en-GB"/>
              </w:rPr>
              <w:t xml:space="preserve"> </w:t>
            </w:r>
            <w:proofErr w:type="spellStart"/>
            <w:r w:rsidRPr="006D15A7">
              <w:rPr>
                <w:rFonts w:ascii="Georgia" w:hAnsi="Georgia"/>
                <w:lang w:val="en-GB"/>
              </w:rPr>
              <w:t>halinde</w:t>
            </w:r>
            <w:proofErr w:type="spellEnd"/>
            <w:r w:rsidRPr="006D15A7">
              <w:rPr>
                <w:rFonts w:ascii="Georgia" w:hAnsi="Georgia"/>
                <w:lang w:val="en-GB"/>
              </w:rPr>
              <w:t xml:space="preserve"> </w:t>
            </w:r>
            <w:proofErr w:type="spellStart"/>
            <w:r w:rsidRPr="006D15A7">
              <w:rPr>
                <w:rFonts w:ascii="Georgia" w:hAnsi="Georgia"/>
                <w:lang w:val="en-GB"/>
              </w:rPr>
              <w:t>kayıp</w:t>
            </w:r>
            <w:proofErr w:type="spellEnd"/>
            <w:r w:rsidRPr="006D15A7">
              <w:rPr>
                <w:rFonts w:ascii="Georgia" w:hAnsi="Georgia"/>
                <w:lang w:val="en-GB"/>
              </w:rPr>
              <w:t xml:space="preserve"> </w:t>
            </w:r>
            <w:proofErr w:type="spellStart"/>
            <w:r w:rsidRPr="006D15A7">
              <w:rPr>
                <w:rFonts w:ascii="Georgia" w:hAnsi="Georgia"/>
                <w:lang w:val="en-GB"/>
              </w:rPr>
              <w:t>oranı</w:t>
            </w:r>
            <w:proofErr w:type="spellEnd"/>
            <w:r w:rsidRPr="006D15A7">
              <w:rPr>
                <w:rFonts w:ascii="Georgia" w:hAnsi="Georgia"/>
                <w:lang w:val="en-GB"/>
              </w:rPr>
              <w:t xml:space="preserve"> </w:t>
            </w:r>
            <w:proofErr w:type="spellStart"/>
            <w:r w:rsidRPr="006D15A7">
              <w:rPr>
                <w:rFonts w:ascii="Georgia" w:hAnsi="Georgia"/>
                <w:lang w:val="en-GB"/>
              </w:rPr>
              <w:t>modellerinin</w:t>
            </w:r>
            <w:proofErr w:type="spellEnd"/>
            <w:r w:rsidRPr="006D15A7">
              <w:rPr>
                <w:rFonts w:ascii="Georgia" w:hAnsi="Georgia"/>
                <w:lang w:val="en-GB"/>
              </w:rPr>
              <w:t xml:space="preserve"> ve </w:t>
            </w:r>
            <w:proofErr w:type="spellStart"/>
            <w:r w:rsidRPr="006D15A7">
              <w:rPr>
                <w:rFonts w:ascii="Georgia" w:hAnsi="Georgia"/>
                <w:lang w:val="en-GB"/>
              </w:rPr>
              <w:t>geleceğe</w:t>
            </w:r>
            <w:proofErr w:type="spellEnd"/>
            <w:r w:rsidRPr="006D15A7">
              <w:rPr>
                <w:rFonts w:ascii="Georgia" w:hAnsi="Georgia"/>
                <w:lang w:val="en-GB"/>
              </w:rPr>
              <w:t xml:space="preserve"> </w:t>
            </w:r>
            <w:proofErr w:type="spellStart"/>
            <w:r w:rsidRPr="006D15A7">
              <w:rPr>
                <w:rFonts w:ascii="Georgia" w:hAnsi="Georgia"/>
                <w:lang w:val="en-GB"/>
              </w:rPr>
              <w:t>yönelik</w:t>
            </w:r>
            <w:proofErr w:type="spellEnd"/>
            <w:r w:rsidRPr="006D15A7">
              <w:rPr>
                <w:rFonts w:ascii="Georgia" w:hAnsi="Georgia"/>
                <w:lang w:val="en-GB"/>
              </w:rPr>
              <w:t xml:space="preserve"> </w:t>
            </w:r>
            <w:proofErr w:type="spellStart"/>
            <w:r w:rsidRPr="006D15A7">
              <w:rPr>
                <w:rFonts w:ascii="Georgia" w:hAnsi="Georgia"/>
                <w:lang w:val="en-GB"/>
              </w:rPr>
              <w:t>makul</w:t>
            </w:r>
            <w:proofErr w:type="spellEnd"/>
            <w:r w:rsidRPr="006D15A7">
              <w:rPr>
                <w:rFonts w:ascii="Georgia" w:hAnsi="Georgia"/>
                <w:lang w:val="en-GB"/>
              </w:rPr>
              <w:t xml:space="preserve"> ve </w:t>
            </w:r>
            <w:proofErr w:type="spellStart"/>
            <w:r w:rsidRPr="006D15A7">
              <w:rPr>
                <w:rFonts w:ascii="Georgia" w:hAnsi="Georgia"/>
                <w:lang w:val="en-GB"/>
              </w:rPr>
              <w:t>desteklenebilir</w:t>
            </w:r>
            <w:proofErr w:type="spellEnd"/>
            <w:r w:rsidRPr="006D15A7">
              <w:rPr>
                <w:rFonts w:ascii="Georgia" w:hAnsi="Georgia"/>
                <w:lang w:val="en-GB"/>
              </w:rPr>
              <w:t xml:space="preserve"> </w:t>
            </w:r>
            <w:proofErr w:type="spellStart"/>
            <w:r w:rsidRPr="006D15A7">
              <w:rPr>
                <w:rFonts w:ascii="Georgia" w:hAnsi="Georgia"/>
                <w:lang w:val="en-GB"/>
              </w:rPr>
              <w:t>tahminlerin</w:t>
            </w:r>
            <w:proofErr w:type="spellEnd"/>
            <w:r w:rsidRPr="006D15A7">
              <w:rPr>
                <w:rFonts w:ascii="Georgia" w:hAnsi="Georgia"/>
                <w:lang w:val="en-GB"/>
              </w:rPr>
              <w:t xml:space="preserve"> (</w:t>
            </w:r>
            <w:proofErr w:type="spellStart"/>
            <w:r w:rsidRPr="006D15A7">
              <w:rPr>
                <w:rFonts w:ascii="Georgia" w:hAnsi="Georgia"/>
                <w:lang w:val="en-GB"/>
              </w:rPr>
              <w:t>makroekonomik</w:t>
            </w:r>
            <w:proofErr w:type="spellEnd"/>
            <w:r w:rsidRPr="006D15A7">
              <w:rPr>
                <w:rFonts w:ascii="Georgia" w:hAnsi="Georgia"/>
                <w:lang w:val="en-GB"/>
              </w:rPr>
              <w:t xml:space="preserve"> </w:t>
            </w:r>
            <w:proofErr w:type="spellStart"/>
            <w:r w:rsidRPr="006D15A7">
              <w:rPr>
                <w:rFonts w:ascii="Georgia" w:hAnsi="Georgia"/>
                <w:lang w:val="en-GB"/>
              </w:rPr>
              <w:t>faktörler</w:t>
            </w:r>
            <w:proofErr w:type="spellEnd"/>
            <w:r w:rsidRPr="006D15A7">
              <w:rPr>
                <w:rFonts w:ascii="Georgia" w:hAnsi="Georgia"/>
                <w:lang w:val="en-GB"/>
              </w:rPr>
              <w:t xml:space="preserve"> de </w:t>
            </w:r>
            <w:proofErr w:type="spellStart"/>
            <w:r w:rsidRPr="006D15A7">
              <w:rPr>
                <w:rFonts w:ascii="Georgia" w:hAnsi="Georgia"/>
                <w:lang w:val="en-GB"/>
              </w:rPr>
              <w:t>dahil</w:t>
            </w:r>
            <w:proofErr w:type="spellEnd"/>
            <w:r w:rsidRPr="006D15A7">
              <w:rPr>
                <w:rFonts w:ascii="Georgia" w:hAnsi="Georgia"/>
                <w:lang w:val="en-GB"/>
              </w:rPr>
              <w:t xml:space="preserve"> </w:t>
            </w:r>
            <w:proofErr w:type="spellStart"/>
            <w:r w:rsidRPr="006D15A7">
              <w:rPr>
                <w:rFonts w:ascii="Georgia" w:hAnsi="Georgia"/>
                <w:lang w:val="en-GB"/>
              </w:rPr>
              <w:t>olmak</w:t>
            </w:r>
            <w:proofErr w:type="spellEnd"/>
            <w:r w:rsidRPr="006D15A7">
              <w:rPr>
                <w:rFonts w:ascii="Georgia" w:hAnsi="Georgia"/>
                <w:lang w:val="en-GB"/>
              </w:rPr>
              <w:t xml:space="preserve"> </w:t>
            </w:r>
            <w:proofErr w:type="spellStart"/>
            <w:r w:rsidRPr="006D15A7">
              <w:rPr>
                <w:rFonts w:ascii="Georgia" w:hAnsi="Georgia"/>
                <w:lang w:val="en-GB"/>
              </w:rPr>
              <w:t>üzere</w:t>
            </w:r>
            <w:proofErr w:type="spellEnd"/>
            <w:r w:rsidRPr="006D15A7">
              <w:rPr>
                <w:rFonts w:ascii="Georgia" w:hAnsi="Georgia"/>
                <w:lang w:val="en-GB"/>
              </w:rPr>
              <w:t xml:space="preserve">) </w:t>
            </w:r>
            <w:proofErr w:type="spellStart"/>
            <w:r w:rsidRPr="006D15A7">
              <w:rPr>
                <w:rFonts w:ascii="Georgia" w:hAnsi="Georgia"/>
                <w:lang w:val="en-GB"/>
              </w:rPr>
              <w:t>yansıtılmasına</w:t>
            </w:r>
            <w:proofErr w:type="spellEnd"/>
            <w:r w:rsidRPr="006D15A7">
              <w:rPr>
                <w:rFonts w:ascii="Georgia" w:hAnsi="Georgia"/>
                <w:lang w:val="en-GB"/>
              </w:rPr>
              <w:t xml:space="preserve"> </w:t>
            </w:r>
            <w:proofErr w:type="spellStart"/>
            <w:r w:rsidRPr="006D15A7">
              <w:rPr>
                <w:rFonts w:ascii="Georgia" w:hAnsi="Georgia"/>
                <w:lang w:val="en-GB"/>
              </w:rPr>
              <w:t>yönelik</w:t>
            </w:r>
            <w:proofErr w:type="spellEnd"/>
            <w:r w:rsidRPr="006D15A7">
              <w:rPr>
                <w:rFonts w:ascii="Georgia" w:hAnsi="Georgia"/>
                <w:lang w:val="en-GB"/>
              </w:rPr>
              <w:t xml:space="preserve"> </w:t>
            </w:r>
            <w:proofErr w:type="spellStart"/>
            <w:r w:rsidRPr="006D15A7">
              <w:rPr>
                <w:rFonts w:ascii="Georgia" w:hAnsi="Georgia"/>
                <w:lang w:val="en-GB"/>
              </w:rPr>
              <w:t>yaklaşımları</w:t>
            </w:r>
            <w:proofErr w:type="spellEnd"/>
            <w:r w:rsidRPr="006D15A7">
              <w:rPr>
                <w:rFonts w:ascii="Georgia" w:hAnsi="Georgia"/>
                <w:lang w:val="en-GB"/>
              </w:rPr>
              <w:t xml:space="preserve"> </w:t>
            </w:r>
            <w:proofErr w:type="spellStart"/>
            <w:r w:rsidRPr="006D15A7">
              <w:rPr>
                <w:rFonts w:ascii="Georgia" w:hAnsi="Georgia"/>
                <w:lang w:val="en-GB"/>
              </w:rPr>
              <w:t>finansal</w:t>
            </w:r>
            <w:proofErr w:type="spellEnd"/>
            <w:r w:rsidRPr="006D15A7">
              <w:rPr>
                <w:rFonts w:ascii="Georgia" w:hAnsi="Georgia"/>
                <w:lang w:val="en-GB"/>
              </w:rPr>
              <w:t xml:space="preserve"> risk </w:t>
            </w:r>
            <w:proofErr w:type="spellStart"/>
            <w:r w:rsidRPr="006D15A7">
              <w:rPr>
                <w:rFonts w:ascii="Georgia" w:hAnsi="Georgia"/>
                <w:lang w:val="en-GB"/>
              </w:rPr>
              <w:t>uzmanlarımız</w:t>
            </w:r>
            <w:proofErr w:type="spellEnd"/>
            <w:r w:rsidRPr="006D15A7">
              <w:rPr>
                <w:rFonts w:ascii="Georgia" w:hAnsi="Georgia"/>
                <w:lang w:val="en-GB"/>
              </w:rPr>
              <w:t xml:space="preserve"> </w:t>
            </w:r>
            <w:proofErr w:type="spellStart"/>
            <w:r w:rsidRPr="006D15A7">
              <w:rPr>
                <w:rFonts w:ascii="Georgia" w:hAnsi="Georgia"/>
                <w:lang w:val="en-GB"/>
              </w:rPr>
              <w:t>ile</w:t>
            </w:r>
            <w:proofErr w:type="spellEnd"/>
            <w:r w:rsidRPr="006D15A7">
              <w:rPr>
                <w:rFonts w:ascii="Georgia" w:hAnsi="Georgia"/>
                <w:lang w:val="en-GB"/>
              </w:rPr>
              <w:t xml:space="preserve"> </w:t>
            </w:r>
            <w:proofErr w:type="spellStart"/>
            <w:r w:rsidRPr="006D15A7">
              <w:rPr>
                <w:rFonts w:ascii="Georgia" w:hAnsi="Georgia"/>
                <w:lang w:val="en-GB"/>
              </w:rPr>
              <w:t>birlikte</w:t>
            </w:r>
            <w:proofErr w:type="spellEnd"/>
            <w:r w:rsidRPr="006D15A7">
              <w:rPr>
                <w:rFonts w:ascii="Georgia" w:hAnsi="Georgia"/>
                <w:lang w:val="en-GB"/>
              </w:rPr>
              <w:t xml:space="preserve"> </w:t>
            </w:r>
            <w:proofErr w:type="spellStart"/>
            <w:r w:rsidRPr="006D15A7">
              <w:rPr>
                <w:rFonts w:ascii="Georgia" w:hAnsi="Georgia"/>
                <w:lang w:val="en-GB"/>
              </w:rPr>
              <w:t>değerlendirdik</w:t>
            </w:r>
            <w:proofErr w:type="spellEnd"/>
            <w:r w:rsidRPr="006D15A7">
              <w:rPr>
                <w:rFonts w:ascii="Georgia" w:hAnsi="Georgia"/>
                <w:lang w:val="en-GB"/>
              </w:rPr>
              <w:t xml:space="preserve"> ve test </w:t>
            </w:r>
            <w:proofErr w:type="spellStart"/>
            <w:r w:rsidRPr="006D15A7">
              <w:rPr>
                <w:rFonts w:ascii="Georgia" w:hAnsi="Georgia"/>
                <w:lang w:val="en-GB"/>
              </w:rPr>
              <w:t>ettik</w:t>
            </w:r>
            <w:proofErr w:type="spellEnd"/>
            <w:r w:rsidRPr="006D15A7">
              <w:rPr>
                <w:rFonts w:ascii="Georgia" w:hAnsi="Georgia"/>
                <w:lang w:val="en-GB"/>
              </w:rPr>
              <w:t xml:space="preserve">. </w:t>
            </w:r>
          </w:p>
          <w:p w14:paraId="5DB47FF4" w14:textId="77777777" w:rsidR="006D15A7" w:rsidRPr="006D15A7" w:rsidRDefault="006D15A7" w:rsidP="006D15A7">
            <w:pPr>
              <w:widowControl w:val="0"/>
              <w:spacing w:line="250" w:lineRule="atLeast"/>
              <w:rPr>
                <w:rFonts w:ascii="Georgia" w:hAnsi="Georgia"/>
                <w:lang w:val="en-GB"/>
              </w:rPr>
            </w:pPr>
          </w:p>
          <w:p w14:paraId="709D9CEA" w14:textId="77777777" w:rsidR="006D15A7" w:rsidRPr="006D15A7" w:rsidRDefault="006D15A7" w:rsidP="006D15A7">
            <w:pPr>
              <w:widowControl w:val="0"/>
              <w:spacing w:line="250" w:lineRule="atLeast"/>
              <w:rPr>
                <w:rFonts w:ascii="Georgia" w:hAnsi="Georgia"/>
                <w:lang w:val="en-GB"/>
              </w:rPr>
            </w:pPr>
          </w:p>
          <w:p w14:paraId="69999EB6" w14:textId="77777777" w:rsidR="006D15A7" w:rsidRPr="006D15A7" w:rsidRDefault="006D15A7" w:rsidP="006D15A7">
            <w:pPr>
              <w:widowControl w:val="0"/>
              <w:spacing w:line="250" w:lineRule="atLeast"/>
              <w:rPr>
                <w:rFonts w:ascii="Georgia" w:hAnsi="Georgia"/>
                <w:lang w:val="en-GB"/>
              </w:rPr>
            </w:pPr>
          </w:p>
          <w:p w14:paraId="456AA6ED" w14:textId="77777777" w:rsidR="006D15A7" w:rsidRPr="006D15A7" w:rsidRDefault="006D15A7" w:rsidP="006D15A7">
            <w:pPr>
              <w:widowControl w:val="0"/>
              <w:spacing w:line="250" w:lineRule="atLeast"/>
              <w:rPr>
                <w:rFonts w:ascii="Georgia" w:hAnsi="Georgia"/>
                <w:lang w:val="en-GB"/>
              </w:rPr>
            </w:pPr>
          </w:p>
          <w:p w14:paraId="2792A0C6" w14:textId="77777777" w:rsidR="006D15A7" w:rsidRPr="006D15A7" w:rsidRDefault="006D15A7" w:rsidP="006D15A7">
            <w:pPr>
              <w:widowControl w:val="0"/>
              <w:spacing w:line="250" w:lineRule="atLeast"/>
              <w:rPr>
                <w:rFonts w:ascii="Georgia" w:hAnsi="Georgia"/>
                <w:lang w:val="en-GB"/>
              </w:rPr>
            </w:pPr>
          </w:p>
          <w:p w14:paraId="3F2E9B21" w14:textId="77777777" w:rsidR="006D15A7" w:rsidRPr="006D15A7" w:rsidRDefault="006D15A7" w:rsidP="006D15A7">
            <w:pPr>
              <w:widowControl w:val="0"/>
              <w:spacing w:line="250" w:lineRule="atLeast"/>
              <w:rPr>
                <w:rFonts w:ascii="Georgia" w:hAnsi="Georgia"/>
                <w:lang w:val="en-GB"/>
              </w:rPr>
            </w:pPr>
          </w:p>
          <w:p w14:paraId="7A021A99" w14:textId="77777777" w:rsidR="006D15A7" w:rsidRPr="006D15A7" w:rsidRDefault="006D15A7" w:rsidP="006D15A7">
            <w:pPr>
              <w:widowControl w:val="0"/>
              <w:spacing w:line="250" w:lineRule="atLeast"/>
              <w:rPr>
                <w:rFonts w:ascii="Georgia" w:hAnsi="Georgia"/>
                <w:lang w:val="en-GB"/>
              </w:rPr>
            </w:pPr>
          </w:p>
          <w:p w14:paraId="3DC36913" w14:textId="77777777" w:rsidR="006D15A7" w:rsidRPr="006D15A7" w:rsidRDefault="006D15A7" w:rsidP="006D15A7">
            <w:pPr>
              <w:widowControl w:val="0"/>
              <w:spacing w:line="250" w:lineRule="atLeast"/>
              <w:rPr>
                <w:rFonts w:ascii="Georgia" w:hAnsi="Georgia"/>
                <w:lang w:val="en-GB"/>
              </w:rPr>
            </w:pPr>
            <w:proofErr w:type="spellStart"/>
            <w:r w:rsidRPr="006D15A7">
              <w:rPr>
                <w:rFonts w:ascii="Georgia" w:hAnsi="Georgia"/>
                <w:lang w:val="en-GB"/>
              </w:rPr>
              <w:t>Çalışmalarımız</w:t>
            </w:r>
            <w:proofErr w:type="spellEnd"/>
            <w:r w:rsidRPr="006D15A7">
              <w:rPr>
                <w:rFonts w:ascii="Georgia" w:hAnsi="Georgia"/>
                <w:lang w:val="en-GB"/>
              </w:rPr>
              <w:t xml:space="preserve"> </w:t>
            </w:r>
            <w:proofErr w:type="spellStart"/>
            <w:r w:rsidRPr="006D15A7">
              <w:rPr>
                <w:rFonts w:ascii="Georgia" w:hAnsi="Georgia"/>
                <w:lang w:val="en-GB"/>
              </w:rPr>
              <w:t>aşağıdakileri</w:t>
            </w:r>
            <w:proofErr w:type="spellEnd"/>
            <w:r w:rsidRPr="006D15A7">
              <w:rPr>
                <w:rFonts w:ascii="Georgia" w:hAnsi="Georgia"/>
                <w:lang w:val="en-GB"/>
              </w:rPr>
              <w:t xml:space="preserve"> de </w:t>
            </w:r>
            <w:proofErr w:type="spellStart"/>
            <w:r w:rsidRPr="006D15A7">
              <w:rPr>
                <w:rFonts w:ascii="Georgia" w:hAnsi="Georgia"/>
                <w:lang w:val="en-GB"/>
              </w:rPr>
              <w:t>içermiştir</w:t>
            </w:r>
            <w:proofErr w:type="spellEnd"/>
            <w:r w:rsidRPr="006D15A7">
              <w:rPr>
                <w:rFonts w:ascii="Georgia" w:hAnsi="Georgia"/>
                <w:lang w:val="en-GB"/>
              </w:rPr>
              <w:t>:</w:t>
            </w:r>
          </w:p>
          <w:p w14:paraId="0CA2E3BC" w14:textId="77777777" w:rsidR="006D15A7" w:rsidRPr="006D15A7" w:rsidRDefault="006D15A7" w:rsidP="006D15A7">
            <w:pPr>
              <w:spacing w:line="250" w:lineRule="atLeast"/>
              <w:ind w:left="276" w:hanging="180"/>
              <w:rPr>
                <w:rFonts w:ascii="Georgia" w:hAnsi="Georgia"/>
                <w:lang w:val="en-GB"/>
              </w:rPr>
            </w:pPr>
          </w:p>
          <w:p w14:paraId="60075100" w14:textId="77777777" w:rsidR="006D15A7" w:rsidRPr="006D15A7" w:rsidRDefault="006D15A7" w:rsidP="006D15A7">
            <w:pPr>
              <w:widowControl w:val="0"/>
              <w:numPr>
                <w:ilvl w:val="0"/>
                <w:numId w:val="111"/>
              </w:numPr>
              <w:spacing w:line="250" w:lineRule="atLeast"/>
              <w:ind w:left="349" w:hanging="349"/>
              <w:contextualSpacing/>
              <w:rPr>
                <w:rFonts w:ascii="Georgia" w:hAnsi="Georgia"/>
                <w:lang w:val="en-GB"/>
              </w:rPr>
            </w:pPr>
            <w:proofErr w:type="spellStart"/>
            <w:r w:rsidRPr="006D15A7">
              <w:rPr>
                <w:rFonts w:ascii="Georgia" w:hAnsi="Georgia"/>
                <w:lang w:val="en-GB"/>
              </w:rPr>
              <w:t>Beklenen</w:t>
            </w:r>
            <w:proofErr w:type="spellEnd"/>
            <w:r w:rsidRPr="006D15A7">
              <w:rPr>
                <w:rFonts w:ascii="Georgia" w:hAnsi="Georgia"/>
                <w:lang w:val="en-GB"/>
              </w:rPr>
              <w:t xml:space="preserve"> </w:t>
            </w:r>
            <w:proofErr w:type="spellStart"/>
            <w:r w:rsidRPr="006D15A7">
              <w:rPr>
                <w:rFonts w:ascii="Georgia" w:hAnsi="Georgia"/>
                <w:lang w:val="en-GB"/>
              </w:rPr>
              <w:t>kredi</w:t>
            </w:r>
            <w:proofErr w:type="spellEnd"/>
            <w:r w:rsidRPr="006D15A7">
              <w:rPr>
                <w:rFonts w:ascii="Georgia" w:hAnsi="Georgia"/>
                <w:lang w:val="en-GB"/>
              </w:rPr>
              <w:t xml:space="preserve"> </w:t>
            </w:r>
            <w:proofErr w:type="spellStart"/>
            <w:r w:rsidRPr="006D15A7">
              <w:rPr>
                <w:rFonts w:ascii="Georgia" w:hAnsi="Georgia"/>
                <w:lang w:val="en-GB"/>
              </w:rPr>
              <w:t>zarar</w:t>
            </w:r>
            <w:proofErr w:type="spellEnd"/>
            <w:r w:rsidRPr="006D15A7">
              <w:rPr>
                <w:rFonts w:ascii="Georgia" w:hAnsi="Georgia"/>
                <w:lang w:val="en-GB"/>
              </w:rPr>
              <w:t xml:space="preserve"> </w:t>
            </w:r>
            <w:proofErr w:type="spellStart"/>
            <w:r w:rsidRPr="006D15A7">
              <w:rPr>
                <w:rFonts w:ascii="Georgia" w:hAnsi="Georgia"/>
                <w:lang w:val="en-GB"/>
              </w:rPr>
              <w:t>karşılığı</w:t>
            </w:r>
            <w:proofErr w:type="spellEnd"/>
            <w:r w:rsidRPr="006D15A7">
              <w:rPr>
                <w:rFonts w:ascii="Georgia" w:hAnsi="Georgia"/>
                <w:lang w:val="en-GB"/>
              </w:rPr>
              <w:t xml:space="preserve"> </w:t>
            </w:r>
            <w:proofErr w:type="spellStart"/>
            <w:r w:rsidRPr="006D15A7">
              <w:rPr>
                <w:rFonts w:ascii="Georgia" w:hAnsi="Georgia"/>
                <w:lang w:val="en-GB"/>
              </w:rPr>
              <w:t>metodolojisindeki</w:t>
            </w:r>
            <w:proofErr w:type="spellEnd"/>
            <w:r w:rsidRPr="006D15A7">
              <w:rPr>
                <w:rFonts w:ascii="Georgia" w:hAnsi="Georgia"/>
                <w:lang w:val="en-GB"/>
              </w:rPr>
              <w:t xml:space="preserve"> </w:t>
            </w:r>
            <w:proofErr w:type="spellStart"/>
            <w:r w:rsidRPr="006D15A7">
              <w:rPr>
                <w:rFonts w:ascii="Georgia" w:hAnsi="Georgia"/>
                <w:lang w:val="en-GB"/>
              </w:rPr>
              <w:t>modellerinin</w:t>
            </w:r>
            <w:proofErr w:type="spellEnd"/>
            <w:r w:rsidRPr="006D15A7">
              <w:rPr>
                <w:rFonts w:ascii="Georgia" w:hAnsi="Georgia"/>
                <w:lang w:val="en-GB"/>
              </w:rPr>
              <w:t xml:space="preserve"> </w:t>
            </w:r>
            <w:proofErr w:type="spellStart"/>
            <w:r w:rsidRPr="006D15A7">
              <w:rPr>
                <w:rFonts w:ascii="Georgia" w:hAnsi="Georgia"/>
                <w:lang w:val="en-GB"/>
              </w:rPr>
              <w:t>uygunluğunu</w:t>
            </w:r>
            <w:proofErr w:type="spellEnd"/>
            <w:r w:rsidRPr="006D15A7">
              <w:rPr>
                <w:rFonts w:ascii="Georgia" w:hAnsi="Georgia"/>
                <w:lang w:val="en-GB"/>
              </w:rPr>
              <w:t xml:space="preserve"> </w:t>
            </w:r>
            <w:proofErr w:type="spellStart"/>
            <w:r w:rsidRPr="006D15A7">
              <w:rPr>
                <w:rFonts w:ascii="Georgia" w:hAnsi="Georgia"/>
                <w:lang w:val="en-GB"/>
              </w:rPr>
              <w:t>finansal</w:t>
            </w:r>
            <w:proofErr w:type="spellEnd"/>
            <w:r w:rsidRPr="006D15A7">
              <w:rPr>
                <w:rFonts w:ascii="Georgia" w:hAnsi="Georgia"/>
                <w:lang w:val="en-GB"/>
              </w:rPr>
              <w:t xml:space="preserve"> risk </w:t>
            </w:r>
            <w:proofErr w:type="spellStart"/>
            <w:r w:rsidRPr="006D15A7">
              <w:rPr>
                <w:rFonts w:ascii="Georgia" w:hAnsi="Georgia"/>
                <w:lang w:val="en-GB"/>
              </w:rPr>
              <w:t>uzmanlarımız</w:t>
            </w:r>
            <w:proofErr w:type="spellEnd"/>
            <w:r w:rsidRPr="006D15A7">
              <w:rPr>
                <w:rFonts w:ascii="Georgia" w:hAnsi="Georgia"/>
                <w:lang w:val="en-GB"/>
              </w:rPr>
              <w:t xml:space="preserve"> </w:t>
            </w:r>
            <w:proofErr w:type="spellStart"/>
            <w:r w:rsidRPr="006D15A7">
              <w:rPr>
                <w:rFonts w:ascii="Georgia" w:hAnsi="Georgia"/>
                <w:lang w:val="en-GB"/>
              </w:rPr>
              <w:t>ile</w:t>
            </w:r>
            <w:proofErr w:type="spellEnd"/>
            <w:r w:rsidRPr="006D15A7">
              <w:rPr>
                <w:rFonts w:ascii="Georgia" w:hAnsi="Georgia"/>
                <w:lang w:val="en-GB"/>
              </w:rPr>
              <w:t xml:space="preserve"> </w:t>
            </w:r>
            <w:proofErr w:type="spellStart"/>
            <w:r w:rsidRPr="006D15A7">
              <w:rPr>
                <w:rFonts w:ascii="Georgia" w:hAnsi="Georgia"/>
                <w:lang w:val="en-GB"/>
              </w:rPr>
              <w:t>birlikte</w:t>
            </w:r>
            <w:proofErr w:type="spellEnd"/>
            <w:r w:rsidRPr="006D15A7">
              <w:rPr>
                <w:rFonts w:ascii="Georgia" w:hAnsi="Georgia"/>
                <w:lang w:val="en-GB"/>
              </w:rPr>
              <w:t xml:space="preserve"> </w:t>
            </w:r>
            <w:proofErr w:type="spellStart"/>
            <w:r w:rsidRPr="006D15A7">
              <w:rPr>
                <w:rFonts w:ascii="Georgia" w:hAnsi="Georgia"/>
                <w:lang w:val="en-GB"/>
              </w:rPr>
              <w:t>değerlendirdik</w:t>
            </w:r>
            <w:proofErr w:type="spellEnd"/>
            <w:r w:rsidRPr="006D15A7">
              <w:rPr>
                <w:rFonts w:ascii="Georgia" w:hAnsi="Georgia"/>
                <w:lang w:val="en-GB"/>
              </w:rPr>
              <w:t xml:space="preserve"> ve test </w:t>
            </w:r>
            <w:proofErr w:type="spellStart"/>
            <w:r w:rsidRPr="006D15A7">
              <w:rPr>
                <w:rFonts w:ascii="Georgia" w:hAnsi="Georgia"/>
                <w:lang w:val="en-GB"/>
              </w:rPr>
              <w:t>ettik</w:t>
            </w:r>
            <w:proofErr w:type="spellEnd"/>
            <w:r w:rsidRPr="006D15A7">
              <w:rPr>
                <w:rFonts w:ascii="Georgia" w:hAnsi="Georgia"/>
                <w:lang w:val="en-GB"/>
              </w:rPr>
              <w:t>.</w:t>
            </w:r>
          </w:p>
          <w:p w14:paraId="13BB6590" w14:textId="77777777" w:rsidR="006D15A7" w:rsidRPr="006D15A7" w:rsidRDefault="006D15A7" w:rsidP="006D15A7">
            <w:pPr>
              <w:numPr>
                <w:ilvl w:val="0"/>
                <w:numId w:val="111"/>
              </w:numPr>
              <w:spacing w:line="250" w:lineRule="atLeast"/>
              <w:ind w:left="349" w:hanging="349"/>
              <w:contextualSpacing/>
              <w:rPr>
                <w:rFonts w:ascii="Georgia" w:hAnsi="Georgia"/>
                <w:lang w:val="en-GB"/>
              </w:rPr>
            </w:pPr>
            <w:proofErr w:type="spellStart"/>
            <w:r w:rsidRPr="006D15A7">
              <w:rPr>
                <w:rFonts w:ascii="Georgia" w:hAnsi="Georgia"/>
                <w:lang w:val="en-GB"/>
              </w:rPr>
              <w:t>Çeşitli</w:t>
            </w:r>
            <w:proofErr w:type="spellEnd"/>
            <w:r w:rsidRPr="006D15A7">
              <w:rPr>
                <w:rFonts w:ascii="Georgia" w:hAnsi="Georgia"/>
                <w:lang w:val="en-GB"/>
              </w:rPr>
              <w:t xml:space="preserve"> </w:t>
            </w:r>
            <w:proofErr w:type="spellStart"/>
            <w:r w:rsidRPr="006D15A7">
              <w:rPr>
                <w:rFonts w:ascii="Georgia" w:hAnsi="Georgia"/>
                <w:lang w:val="en-GB"/>
              </w:rPr>
              <w:t>kredi</w:t>
            </w:r>
            <w:proofErr w:type="spellEnd"/>
            <w:r w:rsidRPr="006D15A7">
              <w:rPr>
                <w:rFonts w:ascii="Georgia" w:hAnsi="Georgia"/>
                <w:lang w:val="en-GB"/>
              </w:rPr>
              <w:t xml:space="preserve"> </w:t>
            </w:r>
            <w:proofErr w:type="spellStart"/>
            <w:r w:rsidRPr="006D15A7">
              <w:rPr>
                <w:rFonts w:ascii="Georgia" w:hAnsi="Georgia"/>
                <w:lang w:val="en-GB"/>
              </w:rPr>
              <w:t>portföyleri</w:t>
            </w:r>
            <w:proofErr w:type="spellEnd"/>
            <w:r w:rsidRPr="006D15A7">
              <w:rPr>
                <w:rFonts w:ascii="Georgia" w:hAnsi="Georgia"/>
                <w:lang w:val="en-GB"/>
              </w:rPr>
              <w:t xml:space="preserve"> </w:t>
            </w:r>
            <w:proofErr w:type="spellStart"/>
            <w:r w:rsidRPr="006D15A7">
              <w:rPr>
                <w:rFonts w:ascii="Georgia" w:hAnsi="Georgia"/>
                <w:lang w:val="en-GB"/>
              </w:rPr>
              <w:t>için</w:t>
            </w:r>
            <w:proofErr w:type="spellEnd"/>
            <w:r w:rsidRPr="006D15A7">
              <w:rPr>
                <w:rFonts w:ascii="Georgia" w:hAnsi="Georgia"/>
                <w:lang w:val="en-GB"/>
              </w:rPr>
              <w:t xml:space="preserve"> </w:t>
            </w:r>
            <w:proofErr w:type="spellStart"/>
            <w:r w:rsidRPr="006D15A7">
              <w:rPr>
                <w:rFonts w:ascii="Georgia" w:hAnsi="Georgia"/>
                <w:lang w:val="en-GB"/>
              </w:rPr>
              <w:t>Banka’nın</w:t>
            </w:r>
            <w:proofErr w:type="spellEnd"/>
            <w:r w:rsidRPr="006D15A7">
              <w:rPr>
                <w:rFonts w:ascii="Georgia" w:hAnsi="Georgia"/>
                <w:lang w:val="en-GB"/>
              </w:rPr>
              <w:t xml:space="preserve"> </w:t>
            </w:r>
            <w:proofErr w:type="spellStart"/>
            <w:r w:rsidRPr="006D15A7">
              <w:rPr>
                <w:rFonts w:ascii="Georgia" w:hAnsi="Georgia"/>
                <w:lang w:val="en-GB"/>
              </w:rPr>
              <w:t>karşılıklarının</w:t>
            </w:r>
            <w:proofErr w:type="spellEnd"/>
            <w:r w:rsidRPr="006D15A7">
              <w:rPr>
                <w:rFonts w:ascii="Georgia" w:hAnsi="Georgia"/>
                <w:lang w:val="en-GB"/>
              </w:rPr>
              <w:t xml:space="preserve"> </w:t>
            </w:r>
            <w:proofErr w:type="spellStart"/>
            <w:r w:rsidRPr="006D15A7">
              <w:rPr>
                <w:rFonts w:ascii="Georgia" w:hAnsi="Georgia"/>
                <w:lang w:val="en-GB"/>
              </w:rPr>
              <w:t>belirlenmesinde</w:t>
            </w:r>
            <w:proofErr w:type="spellEnd"/>
            <w:r w:rsidRPr="006D15A7">
              <w:rPr>
                <w:rFonts w:ascii="Georgia" w:hAnsi="Georgia"/>
                <w:lang w:val="en-GB"/>
              </w:rPr>
              <w:t xml:space="preserve"> </w:t>
            </w:r>
            <w:proofErr w:type="spellStart"/>
            <w:r w:rsidRPr="006D15A7">
              <w:rPr>
                <w:rFonts w:ascii="Georgia" w:hAnsi="Georgia"/>
                <w:lang w:val="en-GB"/>
              </w:rPr>
              <w:t>kullanılan</w:t>
            </w:r>
            <w:proofErr w:type="spellEnd"/>
            <w:r w:rsidRPr="006D15A7">
              <w:rPr>
                <w:rFonts w:ascii="Georgia" w:hAnsi="Georgia"/>
                <w:lang w:val="en-GB"/>
              </w:rPr>
              <w:t xml:space="preserve"> </w:t>
            </w:r>
            <w:proofErr w:type="spellStart"/>
            <w:r w:rsidRPr="006D15A7">
              <w:rPr>
                <w:rFonts w:ascii="Georgia" w:hAnsi="Georgia"/>
                <w:lang w:val="en-GB"/>
              </w:rPr>
              <w:t>temerrüt</w:t>
            </w:r>
            <w:proofErr w:type="spellEnd"/>
            <w:r w:rsidRPr="006D15A7">
              <w:rPr>
                <w:rFonts w:ascii="Georgia" w:hAnsi="Georgia"/>
                <w:lang w:val="en-GB"/>
              </w:rPr>
              <w:t xml:space="preserve"> </w:t>
            </w:r>
            <w:proofErr w:type="spellStart"/>
            <w:r w:rsidRPr="006D15A7">
              <w:rPr>
                <w:rFonts w:ascii="Georgia" w:hAnsi="Georgia"/>
                <w:lang w:val="en-GB"/>
              </w:rPr>
              <w:t>olasılığı</w:t>
            </w:r>
            <w:proofErr w:type="spellEnd"/>
            <w:r w:rsidRPr="006D15A7">
              <w:rPr>
                <w:rFonts w:ascii="Georgia" w:hAnsi="Georgia"/>
                <w:lang w:val="en-GB"/>
              </w:rPr>
              <w:t xml:space="preserve"> </w:t>
            </w:r>
            <w:proofErr w:type="spellStart"/>
            <w:r w:rsidRPr="006D15A7">
              <w:rPr>
                <w:rFonts w:ascii="Georgia" w:hAnsi="Georgia"/>
                <w:lang w:val="en-GB"/>
              </w:rPr>
              <w:t>modellerini</w:t>
            </w:r>
            <w:proofErr w:type="spellEnd"/>
            <w:r w:rsidRPr="006D15A7">
              <w:rPr>
                <w:rFonts w:ascii="Georgia" w:hAnsi="Georgia"/>
                <w:lang w:val="en-GB"/>
              </w:rPr>
              <w:t xml:space="preserve"> </w:t>
            </w:r>
            <w:proofErr w:type="spellStart"/>
            <w:r w:rsidRPr="006D15A7">
              <w:rPr>
                <w:rFonts w:ascii="Georgia" w:hAnsi="Georgia"/>
                <w:lang w:val="en-GB"/>
              </w:rPr>
              <w:t>finansal</w:t>
            </w:r>
            <w:proofErr w:type="spellEnd"/>
            <w:r w:rsidRPr="006D15A7">
              <w:rPr>
                <w:rFonts w:ascii="Georgia" w:hAnsi="Georgia"/>
                <w:lang w:val="en-GB"/>
              </w:rPr>
              <w:t xml:space="preserve"> risk </w:t>
            </w:r>
            <w:proofErr w:type="spellStart"/>
            <w:r w:rsidRPr="006D15A7">
              <w:rPr>
                <w:rFonts w:ascii="Georgia" w:hAnsi="Georgia"/>
                <w:lang w:val="en-GB"/>
              </w:rPr>
              <w:t>uzmanlarımız</w:t>
            </w:r>
            <w:proofErr w:type="spellEnd"/>
            <w:r w:rsidRPr="006D15A7">
              <w:rPr>
                <w:rFonts w:ascii="Georgia" w:hAnsi="Georgia"/>
                <w:lang w:val="en-GB"/>
              </w:rPr>
              <w:t xml:space="preserve"> </w:t>
            </w:r>
            <w:proofErr w:type="spellStart"/>
            <w:r w:rsidRPr="006D15A7">
              <w:rPr>
                <w:rFonts w:ascii="Georgia" w:hAnsi="Georgia"/>
                <w:lang w:val="en-GB"/>
              </w:rPr>
              <w:t>ile</w:t>
            </w:r>
            <w:proofErr w:type="spellEnd"/>
            <w:r w:rsidRPr="006D15A7">
              <w:rPr>
                <w:rFonts w:ascii="Georgia" w:hAnsi="Georgia"/>
                <w:lang w:val="en-GB"/>
              </w:rPr>
              <w:t xml:space="preserve"> </w:t>
            </w:r>
            <w:proofErr w:type="spellStart"/>
            <w:r w:rsidRPr="006D15A7">
              <w:rPr>
                <w:rFonts w:ascii="Georgia" w:hAnsi="Georgia"/>
                <w:lang w:val="en-GB"/>
              </w:rPr>
              <w:t>birlikte</w:t>
            </w:r>
            <w:proofErr w:type="spellEnd"/>
            <w:r w:rsidRPr="006D15A7">
              <w:rPr>
                <w:rFonts w:ascii="Georgia" w:hAnsi="Georgia"/>
                <w:lang w:val="en-GB"/>
              </w:rPr>
              <w:t xml:space="preserve"> </w:t>
            </w:r>
            <w:proofErr w:type="spellStart"/>
            <w:r w:rsidRPr="006D15A7">
              <w:rPr>
                <w:rFonts w:ascii="Georgia" w:hAnsi="Georgia"/>
                <w:lang w:val="en-GB"/>
              </w:rPr>
              <w:t>örneklem</w:t>
            </w:r>
            <w:proofErr w:type="spellEnd"/>
            <w:r w:rsidRPr="006D15A7">
              <w:rPr>
                <w:rFonts w:ascii="Georgia" w:hAnsi="Georgia"/>
                <w:lang w:val="en-GB"/>
              </w:rPr>
              <w:t xml:space="preserve"> </w:t>
            </w:r>
            <w:proofErr w:type="spellStart"/>
            <w:r w:rsidRPr="006D15A7">
              <w:rPr>
                <w:rFonts w:ascii="Georgia" w:hAnsi="Georgia"/>
                <w:lang w:val="en-GB"/>
              </w:rPr>
              <w:t>bazında</w:t>
            </w:r>
            <w:proofErr w:type="spellEnd"/>
            <w:r w:rsidRPr="006D15A7">
              <w:rPr>
                <w:rFonts w:ascii="Georgia" w:hAnsi="Georgia"/>
                <w:lang w:val="en-GB"/>
              </w:rPr>
              <w:t xml:space="preserve"> </w:t>
            </w:r>
            <w:proofErr w:type="spellStart"/>
            <w:r w:rsidRPr="006D15A7">
              <w:rPr>
                <w:rFonts w:ascii="Georgia" w:hAnsi="Georgia"/>
                <w:lang w:val="en-GB"/>
              </w:rPr>
              <w:t>tekrar</w:t>
            </w:r>
            <w:proofErr w:type="spellEnd"/>
            <w:r w:rsidRPr="006D15A7">
              <w:rPr>
                <w:rFonts w:ascii="Georgia" w:hAnsi="Georgia"/>
                <w:lang w:val="en-GB"/>
              </w:rPr>
              <w:t xml:space="preserve"> </w:t>
            </w:r>
            <w:proofErr w:type="spellStart"/>
            <w:r w:rsidRPr="006D15A7">
              <w:rPr>
                <w:rFonts w:ascii="Georgia" w:hAnsi="Georgia"/>
                <w:lang w:val="en-GB"/>
              </w:rPr>
              <w:t>hesaplayarak</w:t>
            </w:r>
            <w:proofErr w:type="spellEnd"/>
            <w:r w:rsidRPr="006D15A7">
              <w:rPr>
                <w:rFonts w:ascii="Georgia" w:hAnsi="Georgia"/>
                <w:lang w:val="en-GB"/>
              </w:rPr>
              <w:t xml:space="preserve"> </w:t>
            </w:r>
            <w:proofErr w:type="spellStart"/>
            <w:r w:rsidRPr="006D15A7">
              <w:rPr>
                <w:rFonts w:ascii="Georgia" w:hAnsi="Georgia"/>
                <w:lang w:val="en-GB"/>
              </w:rPr>
              <w:t>kontrol</w:t>
            </w:r>
            <w:proofErr w:type="spellEnd"/>
            <w:r w:rsidRPr="006D15A7">
              <w:rPr>
                <w:rFonts w:ascii="Georgia" w:hAnsi="Georgia"/>
                <w:lang w:val="en-GB"/>
              </w:rPr>
              <w:t xml:space="preserve"> </w:t>
            </w:r>
            <w:proofErr w:type="spellStart"/>
            <w:r w:rsidRPr="006D15A7">
              <w:rPr>
                <w:rFonts w:ascii="Georgia" w:hAnsi="Georgia"/>
                <w:lang w:val="en-GB"/>
              </w:rPr>
              <w:t>ettik</w:t>
            </w:r>
            <w:proofErr w:type="spellEnd"/>
            <w:r w:rsidRPr="006D15A7">
              <w:rPr>
                <w:rFonts w:ascii="Georgia" w:hAnsi="Georgia"/>
                <w:lang w:val="en-GB"/>
              </w:rPr>
              <w:t>.</w:t>
            </w:r>
          </w:p>
          <w:p w14:paraId="173402C2" w14:textId="77777777" w:rsidR="006D15A7" w:rsidRPr="006D15A7" w:rsidRDefault="006D15A7" w:rsidP="006D15A7">
            <w:pPr>
              <w:widowControl w:val="0"/>
              <w:numPr>
                <w:ilvl w:val="0"/>
                <w:numId w:val="111"/>
              </w:numPr>
              <w:spacing w:line="250" w:lineRule="atLeast"/>
              <w:ind w:left="349" w:hanging="349"/>
              <w:contextualSpacing/>
              <w:rPr>
                <w:rFonts w:ascii="Georgia" w:hAnsi="Georgia"/>
                <w:lang w:val="en-GB"/>
              </w:rPr>
            </w:pPr>
            <w:r w:rsidRPr="006D15A7">
              <w:rPr>
                <w:rFonts w:ascii="Georgia" w:hAnsi="Georgia"/>
                <w:lang w:val="en-GB"/>
              </w:rPr>
              <w:t xml:space="preserve">Banka </w:t>
            </w:r>
            <w:proofErr w:type="spellStart"/>
            <w:r w:rsidRPr="006D15A7">
              <w:rPr>
                <w:rFonts w:ascii="Georgia" w:hAnsi="Georgia"/>
                <w:lang w:val="en-GB"/>
              </w:rPr>
              <w:t>tarafından</w:t>
            </w:r>
            <w:proofErr w:type="spellEnd"/>
            <w:r w:rsidRPr="006D15A7">
              <w:rPr>
                <w:rFonts w:ascii="Georgia" w:hAnsi="Georgia"/>
                <w:lang w:val="en-GB"/>
              </w:rPr>
              <w:t xml:space="preserve"> </w:t>
            </w:r>
            <w:proofErr w:type="spellStart"/>
            <w:r w:rsidRPr="006D15A7">
              <w:rPr>
                <w:rFonts w:ascii="Georgia" w:hAnsi="Georgia"/>
                <w:lang w:val="en-GB"/>
              </w:rPr>
              <w:t>beklenen</w:t>
            </w:r>
            <w:proofErr w:type="spellEnd"/>
            <w:r w:rsidRPr="006D15A7">
              <w:rPr>
                <w:rFonts w:ascii="Georgia" w:hAnsi="Georgia"/>
                <w:lang w:val="en-GB"/>
              </w:rPr>
              <w:t xml:space="preserve"> </w:t>
            </w:r>
            <w:proofErr w:type="spellStart"/>
            <w:r w:rsidRPr="006D15A7">
              <w:rPr>
                <w:rFonts w:ascii="Georgia" w:hAnsi="Georgia"/>
                <w:lang w:val="en-GB"/>
              </w:rPr>
              <w:t>kredi</w:t>
            </w:r>
            <w:proofErr w:type="spellEnd"/>
            <w:r w:rsidRPr="006D15A7">
              <w:rPr>
                <w:rFonts w:ascii="Georgia" w:hAnsi="Georgia"/>
                <w:lang w:val="en-GB"/>
              </w:rPr>
              <w:t xml:space="preserve"> </w:t>
            </w:r>
            <w:proofErr w:type="spellStart"/>
            <w:r w:rsidRPr="006D15A7">
              <w:rPr>
                <w:rFonts w:ascii="Georgia" w:hAnsi="Georgia"/>
                <w:lang w:val="en-GB"/>
              </w:rPr>
              <w:t>zararı</w:t>
            </w:r>
            <w:proofErr w:type="spellEnd"/>
            <w:r w:rsidRPr="006D15A7">
              <w:rPr>
                <w:rFonts w:ascii="Georgia" w:hAnsi="Georgia"/>
                <w:lang w:val="en-GB"/>
              </w:rPr>
              <w:t xml:space="preserve"> </w:t>
            </w:r>
            <w:proofErr w:type="spellStart"/>
            <w:r w:rsidRPr="006D15A7">
              <w:rPr>
                <w:rFonts w:ascii="Georgia" w:hAnsi="Georgia"/>
                <w:lang w:val="en-GB"/>
              </w:rPr>
              <w:t>hesaplamasına</w:t>
            </w:r>
            <w:proofErr w:type="spellEnd"/>
            <w:r w:rsidRPr="006D15A7">
              <w:rPr>
                <w:rFonts w:ascii="Georgia" w:hAnsi="Georgia"/>
                <w:lang w:val="en-GB"/>
              </w:rPr>
              <w:t xml:space="preserve"> </w:t>
            </w:r>
            <w:proofErr w:type="spellStart"/>
            <w:r w:rsidRPr="006D15A7">
              <w:rPr>
                <w:rFonts w:ascii="Georgia" w:hAnsi="Georgia"/>
                <w:lang w:val="en-GB"/>
              </w:rPr>
              <w:t>konu</w:t>
            </w:r>
            <w:proofErr w:type="spellEnd"/>
            <w:r w:rsidRPr="006D15A7">
              <w:rPr>
                <w:rFonts w:ascii="Georgia" w:hAnsi="Georgia"/>
                <w:lang w:val="en-GB"/>
              </w:rPr>
              <w:t xml:space="preserve"> </w:t>
            </w:r>
            <w:proofErr w:type="spellStart"/>
            <w:r w:rsidRPr="006D15A7">
              <w:rPr>
                <w:rFonts w:ascii="Georgia" w:hAnsi="Georgia"/>
                <w:lang w:val="en-GB"/>
              </w:rPr>
              <w:t>edilen</w:t>
            </w:r>
            <w:proofErr w:type="spellEnd"/>
            <w:r w:rsidRPr="006D15A7">
              <w:rPr>
                <w:rFonts w:ascii="Georgia" w:hAnsi="Georgia"/>
                <w:lang w:val="en-GB"/>
              </w:rPr>
              <w:t xml:space="preserve"> </w:t>
            </w:r>
            <w:proofErr w:type="spellStart"/>
            <w:r w:rsidRPr="006D15A7">
              <w:rPr>
                <w:rFonts w:ascii="Georgia" w:hAnsi="Georgia"/>
                <w:lang w:val="en-GB"/>
              </w:rPr>
              <w:t>Temerrüt</w:t>
            </w:r>
            <w:proofErr w:type="spellEnd"/>
            <w:r w:rsidRPr="006D15A7">
              <w:rPr>
                <w:rFonts w:ascii="Georgia" w:hAnsi="Georgia"/>
                <w:lang w:val="en-GB"/>
              </w:rPr>
              <w:t xml:space="preserve"> </w:t>
            </w:r>
            <w:proofErr w:type="spellStart"/>
            <w:r w:rsidRPr="006D15A7">
              <w:rPr>
                <w:rFonts w:ascii="Georgia" w:hAnsi="Georgia"/>
                <w:lang w:val="en-GB"/>
              </w:rPr>
              <w:t>Halinde</w:t>
            </w:r>
            <w:proofErr w:type="spellEnd"/>
            <w:r w:rsidRPr="006D15A7">
              <w:rPr>
                <w:rFonts w:ascii="Georgia" w:hAnsi="Georgia"/>
                <w:lang w:val="en-GB"/>
              </w:rPr>
              <w:t xml:space="preserve"> </w:t>
            </w:r>
            <w:proofErr w:type="spellStart"/>
            <w:r w:rsidRPr="006D15A7">
              <w:rPr>
                <w:rFonts w:ascii="Georgia" w:hAnsi="Georgia"/>
                <w:lang w:val="en-GB"/>
              </w:rPr>
              <w:t>Kayıp</w:t>
            </w:r>
            <w:proofErr w:type="spellEnd"/>
            <w:r w:rsidRPr="006D15A7">
              <w:rPr>
                <w:rFonts w:ascii="Georgia" w:hAnsi="Georgia"/>
                <w:lang w:val="en-GB"/>
              </w:rPr>
              <w:t xml:space="preserve"> (THK) </w:t>
            </w:r>
            <w:proofErr w:type="spellStart"/>
            <w:r w:rsidRPr="006D15A7">
              <w:rPr>
                <w:rFonts w:ascii="Georgia" w:hAnsi="Georgia"/>
                <w:lang w:val="en-GB"/>
              </w:rPr>
              <w:t>hesaplamalarını</w:t>
            </w:r>
            <w:proofErr w:type="spellEnd"/>
            <w:r w:rsidRPr="006D15A7">
              <w:rPr>
                <w:rFonts w:ascii="Georgia" w:hAnsi="Georgia"/>
                <w:lang w:val="en-GB"/>
              </w:rPr>
              <w:t xml:space="preserve"> </w:t>
            </w:r>
            <w:proofErr w:type="spellStart"/>
            <w:r w:rsidRPr="006D15A7">
              <w:rPr>
                <w:rFonts w:ascii="Georgia" w:hAnsi="Georgia"/>
                <w:lang w:val="en-GB"/>
              </w:rPr>
              <w:t>kontrol</w:t>
            </w:r>
            <w:proofErr w:type="spellEnd"/>
            <w:r w:rsidRPr="006D15A7">
              <w:rPr>
                <w:rFonts w:ascii="Georgia" w:hAnsi="Georgia"/>
                <w:lang w:val="en-GB"/>
              </w:rPr>
              <w:t xml:space="preserve"> </w:t>
            </w:r>
            <w:proofErr w:type="spellStart"/>
            <w:r w:rsidRPr="006D15A7">
              <w:rPr>
                <w:rFonts w:ascii="Georgia" w:hAnsi="Georgia"/>
                <w:lang w:val="en-GB"/>
              </w:rPr>
              <w:t>ettik</w:t>
            </w:r>
            <w:proofErr w:type="spellEnd"/>
            <w:r w:rsidRPr="006D15A7">
              <w:rPr>
                <w:rFonts w:ascii="Georgia" w:hAnsi="Georgia"/>
                <w:lang w:val="en-GB"/>
              </w:rPr>
              <w:t xml:space="preserve">, </w:t>
            </w:r>
            <w:proofErr w:type="spellStart"/>
            <w:r w:rsidRPr="006D15A7">
              <w:rPr>
                <w:rFonts w:ascii="Georgia" w:hAnsi="Georgia"/>
                <w:lang w:val="en-GB"/>
              </w:rPr>
              <w:t>aritmetik</w:t>
            </w:r>
            <w:proofErr w:type="spellEnd"/>
            <w:r w:rsidRPr="006D15A7">
              <w:rPr>
                <w:rFonts w:ascii="Georgia" w:hAnsi="Georgia"/>
                <w:lang w:val="en-GB"/>
              </w:rPr>
              <w:t xml:space="preserve"> </w:t>
            </w:r>
            <w:proofErr w:type="spellStart"/>
            <w:r w:rsidRPr="006D15A7">
              <w:rPr>
                <w:rFonts w:ascii="Georgia" w:hAnsi="Georgia"/>
                <w:lang w:val="en-GB"/>
              </w:rPr>
              <w:t>hesaplamaların</w:t>
            </w:r>
            <w:proofErr w:type="spellEnd"/>
            <w:r w:rsidRPr="006D15A7">
              <w:rPr>
                <w:rFonts w:ascii="Georgia" w:hAnsi="Georgia"/>
                <w:lang w:val="en-GB"/>
              </w:rPr>
              <w:t xml:space="preserve"> </w:t>
            </w:r>
            <w:proofErr w:type="spellStart"/>
            <w:r w:rsidRPr="006D15A7">
              <w:rPr>
                <w:rFonts w:ascii="Georgia" w:hAnsi="Georgia"/>
                <w:lang w:val="en-GB"/>
              </w:rPr>
              <w:t>yanı</w:t>
            </w:r>
            <w:proofErr w:type="spellEnd"/>
            <w:r w:rsidRPr="006D15A7">
              <w:rPr>
                <w:rFonts w:ascii="Georgia" w:hAnsi="Georgia"/>
                <w:lang w:val="en-GB"/>
              </w:rPr>
              <w:t xml:space="preserve"> </w:t>
            </w:r>
            <w:proofErr w:type="spellStart"/>
            <w:r w:rsidRPr="006D15A7">
              <w:rPr>
                <w:rFonts w:ascii="Georgia" w:hAnsi="Georgia"/>
                <w:lang w:val="en-GB"/>
              </w:rPr>
              <w:t>sıra</w:t>
            </w:r>
            <w:proofErr w:type="spellEnd"/>
            <w:r w:rsidRPr="006D15A7">
              <w:rPr>
                <w:rFonts w:ascii="Georgia" w:hAnsi="Georgia"/>
                <w:lang w:val="en-GB"/>
              </w:rPr>
              <w:t xml:space="preserve"> </w:t>
            </w:r>
            <w:proofErr w:type="spellStart"/>
            <w:r w:rsidRPr="006D15A7">
              <w:rPr>
                <w:rFonts w:ascii="Georgia" w:hAnsi="Georgia"/>
                <w:lang w:val="en-GB"/>
              </w:rPr>
              <w:t>dikkate</w:t>
            </w:r>
            <w:proofErr w:type="spellEnd"/>
            <w:r w:rsidRPr="006D15A7">
              <w:rPr>
                <w:rFonts w:ascii="Georgia" w:hAnsi="Georgia"/>
                <w:lang w:val="en-GB"/>
              </w:rPr>
              <w:t xml:space="preserve"> </w:t>
            </w:r>
            <w:proofErr w:type="spellStart"/>
            <w:r w:rsidRPr="006D15A7">
              <w:rPr>
                <w:rFonts w:ascii="Georgia" w:hAnsi="Georgia"/>
                <w:lang w:val="en-GB"/>
              </w:rPr>
              <w:t>alınan</w:t>
            </w:r>
            <w:proofErr w:type="spellEnd"/>
            <w:r w:rsidRPr="006D15A7">
              <w:rPr>
                <w:rFonts w:ascii="Georgia" w:hAnsi="Georgia"/>
                <w:lang w:val="en-GB"/>
              </w:rPr>
              <w:t xml:space="preserve"> </w:t>
            </w:r>
            <w:proofErr w:type="spellStart"/>
            <w:r w:rsidRPr="006D15A7">
              <w:rPr>
                <w:rFonts w:ascii="Georgia" w:hAnsi="Georgia"/>
                <w:lang w:val="en-GB"/>
              </w:rPr>
              <w:t>teminatları</w:t>
            </w:r>
            <w:proofErr w:type="spellEnd"/>
            <w:r w:rsidRPr="006D15A7">
              <w:rPr>
                <w:rFonts w:ascii="Georgia" w:hAnsi="Georgia"/>
                <w:lang w:val="en-GB"/>
              </w:rPr>
              <w:t xml:space="preserve">, </w:t>
            </w:r>
            <w:proofErr w:type="spellStart"/>
            <w:r w:rsidRPr="006D15A7">
              <w:rPr>
                <w:rFonts w:ascii="Georgia" w:hAnsi="Georgia"/>
                <w:lang w:val="en-GB"/>
              </w:rPr>
              <w:t>tahsilat</w:t>
            </w:r>
            <w:proofErr w:type="spellEnd"/>
            <w:r w:rsidRPr="006D15A7">
              <w:rPr>
                <w:rFonts w:ascii="Georgia" w:hAnsi="Georgia"/>
                <w:lang w:val="en-GB"/>
              </w:rPr>
              <w:t xml:space="preserve"> ve </w:t>
            </w:r>
            <w:proofErr w:type="spellStart"/>
            <w:r w:rsidRPr="006D15A7">
              <w:rPr>
                <w:rFonts w:ascii="Georgia" w:hAnsi="Georgia"/>
                <w:lang w:val="en-GB"/>
              </w:rPr>
              <w:t>masrafları</w:t>
            </w:r>
            <w:proofErr w:type="spellEnd"/>
            <w:r w:rsidRPr="006D15A7">
              <w:rPr>
                <w:rFonts w:ascii="Georgia" w:hAnsi="Georgia"/>
                <w:lang w:val="en-GB"/>
              </w:rPr>
              <w:t xml:space="preserve"> test </w:t>
            </w:r>
            <w:proofErr w:type="spellStart"/>
            <w:r w:rsidRPr="006D15A7">
              <w:rPr>
                <w:rFonts w:ascii="Georgia" w:hAnsi="Georgia"/>
                <w:lang w:val="en-GB"/>
              </w:rPr>
              <w:t>ettik</w:t>
            </w:r>
            <w:proofErr w:type="spellEnd"/>
            <w:r w:rsidRPr="006D15A7">
              <w:rPr>
                <w:rFonts w:ascii="Georgia" w:hAnsi="Georgia"/>
                <w:lang w:val="en-GB"/>
              </w:rPr>
              <w:t>.</w:t>
            </w:r>
          </w:p>
          <w:p w14:paraId="415A7DDB" w14:textId="77777777" w:rsidR="006D15A7" w:rsidRPr="006D15A7" w:rsidRDefault="006D15A7" w:rsidP="006D15A7">
            <w:pPr>
              <w:widowControl w:val="0"/>
              <w:numPr>
                <w:ilvl w:val="0"/>
                <w:numId w:val="111"/>
              </w:numPr>
              <w:spacing w:line="250" w:lineRule="atLeast"/>
              <w:ind w:left="349" w:hanging="349"/>
              <w:contextualSpacing/>
              <w:rPr>
                <w:rFonts w:ascii="Georgia" w:hAnsi="Georgia"/>
                <w:lang w:val="en-GB"/>
              </w:rPr>
            </w:pPr>
            <w:proofErr w:type="spellStart"/>
            <w:r w:rsidRPr="006D15A7">
              <w:rPr>
                <w:rFonts w:ascii="Georgia" w:hAnsi="Georgia"/>
                <w:lang w:val="en-GB"/>
              </w:rPr>
              <w:t>Banka'nın</w:t>
            </w:r>
            <w:proofErr w:type="spellEnd"/>
            <w:r w:rsidRPr="006D15A7">
              <w:rPr>
                <w:rFonts w:ascii="Georgia" w:hAnsi="Georgia"/>
                <w:lang w:val="en-GB"/>
              </w:rPr>
              <w:t xml:space="preserve"> </w:t>
            </w:r>
            <w:proofErr w:type="spellStart"/>
            <w:r w:rsidRPr="006D15A7">
              <w:rPr>
                <w:rFonts w:ascii="Georgia" w:hAnsi="Georgia"/>
                <w:lang w:val="en-GB"/>
              </w:rPr>
              <w:t>değer</w:t>
            </w:r>
            <w:proofErr w:type="spellEnd"/>
            <w:r w:rsidRPr="006D15A7">
              <w:rPr>
                <w:rFonts w:ascii="Georgia" w:hAnsi="Georgia"/>
                <w:lang w:val="en-GB"/>
              </w:rPr>
              <w:t xml:space="preserve"> </w:t>
            </w:r>
            <w:proofErr w:type="spellStart"/>
            <w:r w:rsidRPr="006D15A7">
              <w:rPr>
                <w:rFonts w:ascii="Georgia" w:hAnsi="Georgia"/>
                <w:lang w:val="en-GB"/>
              </w:rPr>
              <w:t>düşüklüğü</w:t>
            </w:r>
            <w:proofErr w:type="spellEnd"/>
            <w:r w:rsidRPr="006D15A7">
              <w:rPr>
                <w:rFonts w:ascii="Georgia" w:hAnsi="Georgia"/>
                <w:lang w:val="en-GB"/>
              </w:rPr>
              <w:t xml:space="preserve"> </w:t>
            </w:r>
            <w:proofErr w:type="spellStart"/>
            <w:r w:rsidRPr="006D15A7">
              <w:rPr>
                <w:rFonts w:ascii="Georgia" w:hAnsi="Georgia"/>
                <w:lang w:val="en-GB"/>
              </w:rPr>
              <w:t>karşılığını</w:t>
            </w:r>
            <w:proofErr w:type="spellEnd"/>
            <w:r w:rsidRPr="006D15A7">
              <w:rPr>
                <w:rFonts w:ascii="Georgia" w:hAnsi="Georgia"/>
                <w:lang w:val="en-GB"/>
              </w:rPr>
              <w:t xml:space="preserve"> </w:t>
            </w:r>
            <w:proofErr w:type="spellStart"/>
            <w:r w:rsidRPr="006D15A7">
              <w:rPr>
                <w:rFonts w:ascii="Georgia" w:hAnsi="Georgia"/>
                <w:lang w:val="en-GB"/>
              </w:rPr>
              <w:t>belirlemek</w:t>
            </w:r>
            <w:proofErr w:type="spellEnd"/>
            <w:r w:rsidRPr="006D15A7">
              <w:rPr>
                <w:rFonts w:ascii="Georgia" w:hAnsi="Georgia"/>
                <w:lang w:val="en-GB"/>
              </w:rPr>
              <w:t xml:space="preserve"> </w:t>
            </w:r>
            <w:proofErr w:type="spellStart"/>
            <w:r w:rsidRPr="006D15A7">
              <w:rPr>
                <w:rFonts w:ascii="Georgia" w:hAnsi="Georgia"/>
                <w:lang w:val="en-GB"/>
              </w:rPr>
              <w:t>için</w:t>
            </w:r>
            <w:proofErr w:type="spellEnd"/>
            <w:r w:rsidRPr="006D15A7">
              <w:rPr>
                <w:rFonts w:ascii="Georgia" w:hAnsi="Georgia"/>
                <w:lang w:val="en-GB"/>
              </w:rPr>
              <w:t xml:space="preserve"> </w:t>
            </w:r>
            <w:proofErr w:type="spellStart"/>
            <w:r w:rsidRPr="006D15A7">
              <w:rPr>
                <w:rFonts w:ascii="Georgia" w:hAnsi="Georgia"/>
                <w:lang w:val="en-GB"/>
              </w:rPr>
              <w:t>kullandığı</w:t>
            </w:r>
            <w:proofErr w:type="spellEnd"/>
            <w:r w:rsidRPr="006D15A7">
              <w:rPr>
                <w:rFonts w:ascii="Georgia" w:hAnsi="Georgia"/>
                <w:lang w:val="en-GB"/>
              </w:rPr>
              <w:t xml:space="preserve"> </w:t>
            </w:r>
            <w:proofErr w:type="spellStart"/>
            <w:r w:rsidRPr="006D15A7">
              <w:rPr>
                <w:rFonts w:ascii="Georgia" w:hAnsi="Georgia"/>
                <w:lang w:val="en-GB"/>
              </w:rPr>
              <w:t>beklenen</w:t>
            </w:r>
            <w:proofErr w:type="spellEnd"/>
            <w:r w:rsidRPr="006D15A7">
              <w:rPr>
                <w:rFonts w:ascii="Georgia" w:hAnsi="Georgia"/>
                <w:lang w:val="en-GB"/>
              </w:rPr>
              <w:t xml:space="preserve"> </w:t>
            </w:r>
            <w:proofErr w:type="spellStart"/>
            <w:r w:rsidRPr="006D15A7">
              <w:rPr>
                <w:rFonts w:ascii="Georgia" w:hAnsi="Georgia"/>
                <w:lang w:val="en-GB"/>
              </w:rPr>
              <w:t>kredi</w:t>
            </w:r>
            <w:proofErr w:type="spellEnd"/>
            <w:r w:rsidRPr="006D15A7">
              <w:rPr>
                <w:rFonts w:ascii="Georgia" w:hAnsi="Georgia"/>
                <w:lang w:val="en-GB"/>
              </w:rPr>
              <w:t xml:space="preserve"> </w:t>
            </w:r>
            <w:proofErr w:type="spellStart"/>
            <w:r w:rsidRPr="006D15A7">
              <w:rPr>
                <w:rFonts w:ascii="Georgia" w:hAnsi="Georgia"/>
                <w:lang w:val="en-GB"/>
              </w:rPr>
              <w:t>zararı</w:t>
            </w:r>
            <w:proofErr w:type="spellEnd"/>
            <w:r w:rsidRPr="006D15A7">
              <w:rPr>
                <w:rFonts w:ascii="Georgia" w:hAnsi="Georgia"/>
                <w:lang w:val="en-GB"/>
              </w:rPr>
              <w:t xml:space="preserve"> </w:t>
            </w:r>
            <w:proofErr w:type="spellStart"/>
            <w:r w:rsidRPr="006D15A7">
              <w:rPr>
                <w:rFonts w:ascii="Georgia" w:hAnsi="Georgia"/>
                <w:lang w:val="en-GB"/>
              </w:rPr>
              <w:t>modellerinde</w:t>
            </w:r>
            <w:proofErr w:type="spellEnd"/>
            <w:r w:rsidRPr="006D15A7">
              <w:rPr>
                <w:rFonts w:ascii="Georgia" w:hAnsi="Georgia"/>
                <w:lang w:val="en-GB"/>
              </w:rPr>
              <w:t xml:space="preserve"> </w:t>
            </w:r>
            <w:proofErr w:type="spellStart"/>
            <w:r w:rsidRPr="006D15A7">
              <w:rPr>
                <w:rFonts w:ascii="Georgia" w:hAnsi="Georgia"/>
                <w:lang w:val="en-GB"/>
              </w:rPr>
              <w:t>kullanılan</w:t>
            </w:r>
            <w:proofErr w:type="spellEnd"/>
            <w:r w:rsidRPr="006D15A7">
              <w:rPr>
                <w:rFonts w:ascii="Georgia" w:hAnsi="Georgia"/>
                <w:lang w:val="en-GB"/>
              </w:rPr>
              <w:t xml:space="preserve"> </w:t>
            </w:r>
            <w:proofErr w:type="spellStart"/>
            <w:r w:rsidRPr="006D15A7">
              <w:rPr>
                <w:rFonts w:ascii="Georgia" w:hAnsi="Georgia"/>
                <w:lang w:val="en-GB"/>
              </w:rPr>
              <w:t>verilerin</w:t>
            </w:r>
            <w:proofErr w:type="spellEnd"/>
            <w:r w:rsidRPr="006D15A7">
              <w:rPr>
                <w:rFonts w:ascii="Georgia" w:hAnsi="Georgia"/>
                <w:lang w:val="en-GB"/>
              </w:rPr>
              <w:t xml:space="preserve"> </w:t>
            </w:r>
            <w:proofErr w:type="spellStart"/>
            <w:r w:rsidRPr="006D15A7">
              <w:rPr>
                <w:rFonts w:ascii="Georgia" w:hAnsi="Georgia"/>
                <w:lang w:val="en-GB"/>
              </w:rPr>
              <w:t>kaynaklarını</w:t>
            </w:r>
            <w:proofErr w:type="spellEnd"/>
            <w:r w:rsidRPr="006D15A7">
              <w:rPr>
                <w:rFonts w:ascii="Georgia" w:hAnsi="Georgia"/>
                <w:lang w:val="en-GB"/>
              </w:rPr>
              <w:t xml:space="preserve"> </w:t>
            </w:r>
            <w:proofErr w:type="spellStart"/>
            <w:r w:rsidRPr="006D15A7">
              <w:rPr>
                <w:rFonts w:ascii="Georgia" w:hAnsi="Georgia"/>
                <w:lang w:val="en-GB"/>
              </w:rPr>
              <w:t>kontrol</w:t>
            </w:r>
            <w:proofErr w:type="spellEnd"/>
            <w:r w:rsidRPr="006D15A7">
              <w:rPr>
                <w:rFonts w:ascii="Georgia" w:hAnsi="Georgia"/>
                <w:lang w:val="en-GB"/>
              </w:rPr>
              <w:t xml:space="preserve"> </w:t>
            </w:r>
            <w:proofErr w:type="spellStart"/>
            <w:r w:rsidRPr="006D15A7">
              <w:rPr>
                <w:rFonts w:ascii="Georgia" w:hAnsi="Georgia"/>
                <w:lang w:val="en-GB"/>
              </w:rPr>
              <w:t>ettik</w:t>
            </w:r>
            <w:proofErr w:type="spellEnd"/>
            <w:r w:rsidRPr="006D15A7">
              <w:rPr>
                <w:rFonts w:ascii="Georgia" w:hAnsi="Georgia"/>
                <w:lang w:val="en-GB"/>
              </w:rPr>
              <w:t xml:space="preserve">. </w:t>
            </w:r>
            <w:proofErr w:type="spellStart"/>
            <w:r w:rsidRPr="006D15A7">
              <w:rPr>
                <w:rFonts w:ascii="Georgia" w:hAnsi="Georgia"/>
                <w:lang w:val="en-GB"/>
              </w:rPr>
              <w:t>Beklenen</w:t>
            </w:r>
            <w:proofErr w:type="spellEnd"/>
            <w:r w:rsidRPr="006D15A7">
              <w:rPr>
                <w:rFonts w:ascii="Georgia" w:hAnsi="Georgia"/>
                <w:lang w:val="en-GB"/>
              </w:rPr>
              <w:t xml:space="preserve"> </w:t>
            </w:r>
            <w:proofErr w:type="spellStart"/>
            <w:r w:rsidRPr="006D15A7">
              <w:rPr>
                <w:rFonts w:ascii="Georgia" w:hAnsi="Georgia"/>
                <w:lang w:val="en-GB"/>
              </w:rPr>
              <w:t>kredi</w:t>
            </w:r>
            <w:proofErr w:type="spellEnd"/>
            <w:r w:rsidRPr="006D15A7">
              <w:rPr>
                <w:rFonts w:ascii="Georgia" w:hAnsi="Georgia"/>
                <w:lang w:val="en-GB"/>
              </w:rPr>
              <w:t xml:space="preserve"> </w:t>
            </w:r>
            <w:proofErr w:type="spellStart"/>
            <w:r w:rsidRPr="006D15A7">
              <w:rPr>
                <w:rFonts w:ascii="Georgia" w:hAnsi="Georgia"/>
                <w:lang w:val="en-GB"/>
              </w:rPr>
              <w:t>zarar</w:t>
            </w:r>
            <w:proofErr w:type="spellEnd"/>
            <w:r w:rsidRPr="006D15A7">
              <w:rPr>
                <w:rFonts w:ascii="Georgia" w:hAnsi="Georgia"/>
                <w:lang w:val="en-GB"/>
              </w:rPr>
              <w:t xml:space="preserve"> </w:t>
            </w:r>
            <w:proofErr w:type="spellStart"/>
            <w:r w:rsidRPr="006D15A7">
              <w:rPr>
                <w:rFonts w:ascii="Georgia" w:hAnsi="Georgia"/>
                <w:lang w:val="en-GB"/>
              </w:rPr>
              <w:t>karşılığının</w:t>
            </w:r>
            <w:proofErr w:type="spellEnd"/>
            <w:r w:rsidRPr="006D15A7">
              <w:rPr>
                <w:rFonts w:ascii="Georgia" w:hAnsi="Georgia"/>
                <w:lang w:val="en-GB"/>
              </w:rPr>
              <w:t xml:space="preserve"> </w:t>
            </w:r>
            <w:proofErr w:type="spellStart"/>
            <w:r w:rsidRPr="006D15A7">
              <w:rPr>
                <w:rFonts w:ascii="Georgia" w:hAnsi="Georgia"/>
                <w:lang w:val="en-GB"/>
              </w:rPr>
              <w:t>hesaplanmasında</w:t>
            </w:r>
            <w:proofErr w:type="spellEnd"/>
            <w:r w:rsidRPr="006D15A7">
              <w:rPr>
                <w:rFonts w:ascii="Georgia" w:hAnsi="Georgia"/>
                <w:lang w:val="en-GB"/>
              </w:rPr>
              <w:t xml:space="preserve"> </w:t>
            </w:r>
            <w:proofErr w:type="spellStart"/>
            <w:r w:rsidRPr="006D15A7">
              <w:rPr>
                <w:rFonts w:ascii="Georgia" w:hAnsi="Georgia"/>
                <w:lang w:val="en-GB"/>
              </w:rPr>
              <w:t>kullanılan</w:t>
            </w:r>
            <w:proofErr w:type="spellEnd"/>
            <w:r w:rsidRPr="006D15A7">
              <w:rPr>
                <w:rFonts w:ascii="Georgia" w:hAnsi="Georgia"/>
                <w:lang w:val="en-GB"/>
              </w:rPr>
              <w:t xml:space="preserve"> </w:t>
            </w:r>
            <w:proofErr w:type="spellStart"/>
            <w:r w:rsidRPr="006D15A7">
              <w:rPr>
                <w:rFonts w:ascii="Georgia" w:hAnsi="Georgia"/>
                <w:lang w:val="en-GB"/>
              </w:rPr>
              <w:t>verilerin</w:t>
            </w:r>
            <w:proofErr w:type="spellEnd"/>
            <w:r w:rsidRPr="006D15A7">
              <w:rPr>
                <w:rFonts w:ascii="Georgia" w:hAnsi="Georgia"/>
                <w:lang w:val="en-GB"/>
              </w:rPr>
              <w:t xml:space="preserve"> </w:t>
            </w:r>
            <w:proofErr w:type="spellStart"/>
            <w:r w:rsidRPr="006D15A7">
              <w:rPr>
                <w:rFonts w:ascii="Georgia" w:hAnsi="Georgia"/>
                <w:lang w:val="en-GB"/>
              </w:rPr>
              <w:t>güvenilirliği</w:t>
            </w:r>
            <w:proofErr w:type="spellEnd"/>
            <w:r w:rsidRPr="006D15A7">
              <w:rPr>
                <w:rFonts w:ascii="Georgia" w:hAnsi="Georgia"/>
                <w:lang w:val="en-GB"/>
              </w:rPr>
              <w:t xml:space="preserve"> ve </w:t>
            </w:r>
            <w:proofErr w:type="spellStart"/>
            <w:r w:rsidRPr="006D15A7">
              <w:rPr>
                <w:rFonts w:ascii="Georgia" w:hAnsi="Georgia"/>
                <w:lang w:val="en-GB"/>
              </w:rPr>
              <w:t>veri</w:t>
            </w:r>
            <w:proofErr w:type="spellEnd"/>
            <w:r w:rsidRPr="006D15A7">
              <w:rPr>
                <w:rFonts w:ascii="Georgia" w:hAnsi="Georgia"/>
                <w:lang w:val="en-GB"/>
              </w:rPr>
              <w:t xml:space="preserve"> </w:t>
            </w:r>
            <w:proofErr w:type="spellStart"/>
            <w:r w:rsidRPr="006D15A7">
              <w:rPr>
                <w:rFonts w:ascii="Georgia" w:hAnsi="Georgia"/>
                <w:lang w:val="en-GB"/>
              </w:rPr>
              <w:t>tamlığını</w:t>
            </w:r>
            <w:proofErr w:type="spellEnd"/>
            <w:r w:rsidRPr="006D15A7">
              <w:rPr>
                <w:rFonts w:ascii="Georgia" w:hAnsi="Georgia"/>
                <w:lang w:val="en-GB"/>
              </w:rPr>
              <w:t xml:space="preserve"> </w:t>
            </w:r>
            <w:proofErr w:type="spellStart"/>
            <w:r w:rsidRPr="006D15A7">
              <w:rPr>
                <w:rFonts w:ascii="Georgia" w:hAnsi="Georgia"/>
                <w:lang w:val="en-GB"/>
              </w:rPr>
              <w:t>bilgi</w:t>
            </w:r>
            <w:proofErr w:type="spellEnd"/>
            <w:r w:rsidRPr="006D15A7">
              <w:rPr>
                <w:rFonts w:ascii="Georgia" w:hAnsi="Georgia"/>
                <w:lang w:val="en-GB"/>
              </w:rPr>
              <w:t xml:space="preserve"> ve </w:t>
            </w:r>
            <w:proofErr w:type="spellStart"/>
            <w:r w:rsidRPr="006D15A7">
              <w:rPr>
                <w:rFonts w:ascii="Georgia" w:hAnsi="Georgia"/>
                <w:lang w:val="en-GB"/>
              </w:rPr>
              <w:t>teknoloji</w:t>
            </w:r>
            <w:proofErr w:type="spellEnd"/>
            <w:r w:rsidRPr="006D15A7">
              <w:rPr>
                <w:rFonts w:ascii="Georgia" w:hAnsi="Georgia"/>
                <w:lang w:val="en-GB"/>
              </w:rPr>
              <w:t xml:space="preserve"> </w:t>
            </w:r>
            <w:proofErr w:type="spellStart"/>
            <w:r w:rsidRPr="006D15A7">
              <w:rPr>
                <w:rFonts w:ascii="Georgia" w:hAnsi="Georgia"/>
                <w:lang w:val="en-GB"/>
              </w:rPr>
              <w:t>uzmanlarımızla</w:t>
            </w:r>
            <w:proofErr w:type="spellEnd"/>
            <w:r w:rsidRPr="006D15A7">
              <w:rPr>
                <w:rFonts w:ascii="Georgia" w:hAnsi="Georgia"/>
                <w:lang w:val="en-GB"/>
              </w:rPr>
              <w:t xml:space="preserve"> test </w:t>
            </w:r>
            <w:proofErr w:type="spellStart"/>
            <w:r w:rsidRPr="006D15A7">
              <w:rPr>
                <w:rFonts w:ascii="Georgia" w:hAnsi="Georgia"/>
                <w:lang w:val="en-GB"/>
              </w:rPr>
              <w:t>ettik</w:t>
            </w:r>
            <w:proofErr w:type="spellEnd"/>
            <w:r w:rsidRPr="006D15A7">
              <w:rPr>
                <w:rFonts w:ascii="Georgia" w:hAnsi="Georgia"/>
                <w:lang w:val="en-GB"/>
              </w:rPr>
              <w:t>.</w:t>
            </w:r>
          </w:p>
          <w:p w14:paraId="479B08EF" w14:textId="77777777" w:rsidR="006D15A7" w:rsidRPr="006D15A7" w:rsidRDefault="006D15A7" w:rsidP="006D15A7">
            <w:pPr>
              <w:numPr>
                <w:ilvl w:val="0"/>
                <w:numId w:val="111"/>
              </w:numPr>
              <w:spacing w:line="250" w:lineRule="atLeast"/>
              <w:ind w:left="349" w:hanging="349"/>
              <w:contextualSpacing/>
              <w:rPr>
                <w:rFonts w:ascii="Georgia" w:hAnsi="Georgia"/>
                <w:lang w:val="en-GB"/>
              </w:rPr>
            </w:pPr>
            <w:proofErr w:type="spellStart"/>
            <w:r w:rsidRPr="006D15A7">
              <w:rPr>
                <w:rFonts w:ascii="Georgia" w:hAnsi="Georgia"/>
                <w:lang w:val="en-GB"/>
              </w:rPr>
              <w:t>Beklenen</w:t>
            </w:r>
            <w:proofErr w:type="spellEnd"/>
            <w:r w:rsidRPr="006D15A7">
              <w:rPr>
                <w:rFonts w:ascii="Georgia" w:hAnsi="Georgia"/>
                <w:lang w:val="en-GB"/>
              </w:rPr>
              <w:t xml:space="preserve"> </w:t>
            </w:r>
            <w:proofErr w:type="spellStart"/>
            <w:r w:rsidRPr="006D15A7">
              <w:rPr>
                <w:rFonts w:ascii="Georgia" w:hAnsi="Georgia"/>
                <w:lang w:val="en-GB"/>
              </w:rPr>
              <w:t>kredi</w:t>
            </w:r>
            <w:proofErr w:type="spellEnd"/>
            <w:r w:rsidRPr="006D15A7">
              <w:rPr>
                <w:rFonts w:ascii="Georgia" w:hAnsi="Georgia"/>
                <w:lang w:val="en-GB"/>
              </w:rPr>
              <w:t xml:space="preserve"> </w:t>
            </w:r>
            <w:proofErr w:type="spellStart"/>
            <w:r w:rsidRPr="006D15A7">
              <w:rPr>
                <w:rFonts w:ascii="Georgia" w:hAnsi="Georgia"/>
                <w:lang w:val="en-GB"/>
              </w:rPr>
              <w:t>zarar</w:t>
            </w:r>
            <w:proofErr w:type="spellEnd"/>
            <w:r w:rsidRPr="006D15A7">
              <w:rPr>
                <w:rFonts w:ascii="Georgia" w:hAnsi="Georgia"/>
                <w:lang w:val="en-GB"/>
              </w:rPr>
              <w:t xml:space="preserve"> </w:t>
            </w:r>
            <w:proofErr w:type="spellStart"/>
            <w:r w:rsidRPr="006D15A7">
              <w:rPr>
                <w:rFonts w:ascii="Georgia" w:hAnsi="Georgia"/>
                <w:lang w:val="en-GB"/>
              </w:rPr>
              <w:t>karşılıkları</w:t>
            </w:r>
            <w:proofErr w:type="spellEnd"/>
            <w:r w:rsidRPr="006D15A7">
              <w:rPr>
                <w:rFonts w:ascii="Georgia" w:hAnsi="Georgia"/>
                <w:lang w:val="en-GB"/>
              </w:rPr>
              <w:t xml:space="preserve"> </w:t>
            </w:r>
            <w:proofErr w:type="spellStart"/>
            <w:r w:rsidRPr="006D15A7">
              <w:rPr>
                <w:rFonts w:ascii="Georgia" w:hAnsi="Georgia"/>
                <w:lang w:val="en-GB"/>
              </w:rPr>
              <w:t>hesaplamasında</w:t>
            </w:r>
            <w:proofErr w:type="spellEnd"/>
            <w:r w:rsidRPr="006D15A7">
              <w:rPr>
                <w:rFonts w:ascii="Georgia" w:hAnsi="Georgia"/>
                <w:lang w:val="en-GB"/>
              </w:rPr>
              <w:t xml:space="preserve"> </w:t>
            </w:r>
            <w:proofErr w:type="spellStart"/>
            <w:r w:rsidRPr="006D15A7">
              <w:rPr>
                <w:rFonts w:ascii="Georgia" w:hAnsi="Georgia"/>
                <w:lang w:val="en-GB"/>
              </w:rPr>
              <w:t>nihai</w:t>
            </w:r>
            <w:proofErr w:type="spellEnd"/>
            <w:r w:rsidRPr="006D15A7">
              <w:rPr>
                <w:rFonts w:ascii="Georgia" w:hAnsi="Georgia"/>
                <w:lang w:val="en-GB"/>
              </w:rPr>
              <w:t xml:space="preserve"> </w:t>
            </w:r>
            <w:proofErr w:type="spellStart"/>
            <w:r w:rsidRPr="006D15A7">
              <w:rPr>
                <w:rFonts w:ascii="Georgia" w:hAnsi="Georgia"/>
                <w:lang w:val="en-GB"/>
              </w:rPr>
              <w:t>değerlere</w:t>
            </w:r>
            <w:proofErr w:type="spellEnd"/>
            <w:r w:rsidRPr="006D15A7">
              <w:rPr>
                <w:rFonts w:ascii="Georgia" w:hAnsi="Georgia"/>
                <w:lang w:val="en-GB"/>
              </w:rPr>
              <w:t xml:space="preserve"> </w:t>
            </w:r>
            <w:proofErr w:type="spellStart"/>
            <w:r w:rsidRPr="006D15A7">
              <w:rPr>
                <w:rFonts w:ascii="Georgia" w:hAnsi="Georgia"/>
                <w:lang w:val="en-GB"/>
              </w:rPr>
              <w:t>ulaşılan</w:t>
            </w:r>
            <w:proofErr w:type="spellEnd"/>
            <w:r w:rsidRPr="006D15A7">
              <w:rPr>
                <w:rFonts w:ascii="Georgia" w:hAnsi="Georgia"/>
                <w:lang w:val="en-GB"/>
              </w:rPr>
              <w:t xml:space="preserve"> </w:t>
            </w:r>
            <w:proofErr w:type="spellStart"/>
            <w:r w:rsidRPr="006D15A7">
              <w:rPr>
                <w:rFonts w:ascii="Georgia" w:hAnsi="Georgia"/>
                <w:lang w:val="en-GB"/>
              </w:rPr>
              <w:t>hesaplamaların</w:t>
            </w:r>
            <w:proofErr w:type="spellEnd"/>
            <w:r w:rsidRPr="006D15A7">
              <w:rPr>
                <w:rFonts w:ascii="Georgia" w:hAnsi="Georgia"/>
                <w:lang w:val="en-GB"/>
              </w:rPr>
              <w:t xml:space="preserve"> </w:t>
            </w:r>
            <w:proofErr w:type="spellStart"/>
            <w:r w:rsidRPr="006D15A7">
              <w:rPr>
                <w:rFonts w:ascii="Georgia" w:hAnsi="Georgia"/>
                <w:lang w:val="en-GB"/>
              </w:rPr>
              <w:t>doğruluğunu</w:t>
            </w:r>
            <w:proofErr w:type="spellEnd"/>
            <w:r w:rsidRPr="006D15A7">
              <w:rPr>
                <w:rFonts w:ascii="Georgia" w:hAnsi="Georgia"/>
                <w:lang w:val="en-GB"/>
              </w:rPr>
              <w:t xml:space="preserve"> </w:t>
            </w:r>
            <w:proofErr w:type="spellStart"/>
            <w:r w:rsidRPr="006D15A7">
              <w:rPr>
                <w:rFonts w:ascii="Georgia" w:hAnsi="Georgia"/>
                <w:lang w:val="en-GB"/>
              </w:rPr>
              <w:t>örneklem</w:t>
            </w:r>
            <w:proofErr w:type="spellEnd"/>
            <w:r w:rsidRPr="006D15A7">
              <w:rPr>
                <w:rFonts w:ascii="Georgia" w:hAnsi="Georgia"/>
                <w:lang w:val="en-GB"/>
              </w:rPr>
              <w:t xml:space="preserve"> </w:t>
            </w:r>
            <w:proofErr w:type="spellStart"/>
            <w:r w:rsidRPr="006D15A7">
              <w:rPr>
                <w:rFonts w:ascii="Georgia" w:hAnsi="Georgia"/>
                <w:lang w:val="en-GB"/>
              </w:rPr>
              <w:t>yolu</w:t>
            </w:r>
            <w:proofErr w:type="spellEnd"/>
            <w:r w:rsidRPr="006D15A7">
              <w:rPr>
                <w:rFonts w:ascii="Georgia" w:hAnsi="Georgia"/>
                <w:lang w:val="en-GB"/>
              </w:rPr>
              <w:t xml:space="preserve"> </w:t>
            </w:r>
            <w:proofErr w:type="spellStart"/>
            <w:r w:rsidRPr="006D15A7">
              <w:rPr>
                <w:rFonts w:ascii="Georgia" w:hAnsi="Georgia"/>
                <w:lang w:val="en-GB"/>
              </w:rPr>
              <w:t>ile</w:t>
            </w:r>
            <w:proofErr w:type="spellEnd"/>
            <w:r w:rsidRPr="006D15A7">
              <w:rPr>
                <w:rFonts w:ascii="Georgia" w:hAnsi="Georgia"/>
                <w:lang w:val="en-GB"/>
              </w:rPr>
              <w:t xml:space="preserve"> </w:t>
            </w:r>
            <w:proofErr w:type="spellStart"/>
            <w:r w:rsidRPr="006D15A7">
              <w:rPr>
                <w:rFonts w:ascii="Georgia" w:hAnsi="Georgia"/>
                <w:lang w:val="en-GB"/>
              </w:rPr>
              <w:t>kontrol</w:t>
            </w:r>
            <w:proofErr w:type="spellEnd"/>
            <w:r w:rsidRPr="006D15A7">
              <w:rPr>
                <w:rFonts w:ascii="Georgia" w:hAnsi="Georgia"/>
                <w:lang w:val="en-GB"/>
              </w:rPr>
              <w:t xml:space="preserve"> </w:t>
            </w:r>
            <w:proofErr w:type="spellStart"/>
            <w:r w:rsidRPr="006D15A7">
              <w:rPr>
                <w:rFonts w:ascii="Georgia" w:hAnsi="Georgia"/>
                <w:lang w:val="en-GB"/>
              </w:rPr>
              <w:t>ettik</w:t>
            </w:r>
            <w:proofErr w:type="spellEnd"/>
            <w:r w:rsidRPr="006D15A7">
              <w:rPr>
                <w:rFonts w:ascii="Georgia" w:hAnsi="Georgia"/>
                <w:lang w:val="en-GB"/>
              </w:rPr>
              <w:t>.</w:t>
            </w:r>
          </w:p>
          <w:p w14:paraId="21B29284" w14:textId="77777777" w:rsidR="006D15A7" w:rsidRPr="006D15A7" w:rsidRDefault="006D15A7" w:rsidP="006D15A7">
            <w:pPr>
              <w:numPr>
                <w:ilvl w:val="0"/>
                <w:numId w:val="111"/>
              </w:numPr>
              <w:spacing w:line="250" w:lineRule="atLeast"/>
              <w:ind w:left="349" w:hanging="349"/>
              <w:contextualSpacing/>
              <w:rPr>
                <w:rFonts w:ascii="Georgia" w:hAnsi="Georgia"/>
                <w:lang w:val="en-GB"/>
              </w:rPr>
            </w:pPr>
            <w:proofErr w:type="spellStart"/>
            <w:r w:rsidRPr="006D15A7">
              <w:rPr>
                <w:rFonts w:ascii="Georgia" w:hAnsi="Georgia"/>
                <w:lang w:val="en-GB"/>
              </w:rPr>
              <w:t>Krediler</w:t>
            </w:r>
            <w:proofErr w:type="spellEnd"/>
            <w:r w:rsidRPr="006D15A7">
              <w:rPr>
                <w:rFonts w:ascii="Georgia" w:hAnsi="Georgia"/>
                <w:lang w:val="en-GB"/>
              </w:rPr>
              <w:t xml:space="preserve"> ve </w:t>
            </w:r>
            <w:proofErr w:type="spellStart"/>
            <w:r w:rsidRPr="006D15A7">
              <w:rPr>
                <w:rFonts w:ascii="Georgia" w:hAnsi="Georgia"/>
                <w:lang w:val="en-GB"/>
              </w:rPr>
              <w:t>alacakların</w:t>
            </w:r>
            <w:proofErr w:type="spellEnd"/>
            <w:r w:rsidRPr="006D15A7">
              <w:rPr>
                <w:rFonts w:ascii="Georgia" w:hAnsi="Georgia"/>
                <w:lang w:val="en-GB"/>
              </w:rPr>
              <w:t xml:space="preserve"> </w:t>
            </w:r>
            <w:proofErr w:type="spellStart"/>
            <w:r w:rsidRPr="006D15A7">
              <w:rPr>
                <w:rFonts w:ascii="Georgia" w:hAnsi="Georgia"/>
                <w:lang w:val="en-GB"/>
              </w:rPr>
              <w:t>kredi</w:t>
            </w:r>
            <w:proofErr w:type="spellEnd"/>
            <w:r w:rsidRPr="006D15A7">
              <w:rPr>
                <w:rFonts w:ascii="Georgia" w:hAnsi="Georgia"/>
                <w:lang w:val="en-GB"/>
              </w:rPr>
              <w:t xml:space="preserve"> </w:t>
            </w:r>
            <w:proofErr w:type="spellStart"/>
            <w:r w:rsidRPr="006D15A7">
              <w:rPr>
                <w:rFonts w:ascii="Georgia" w:hAnsi="Georgia"/>
                <w:lang w:val="en-GB"/>
              </w:rPr>
              <w:t>riskine</w:t>
            </w:r>
            <w:proofErr w:type="spellEnd"/>
            <w:r w:rsidRPr="006D15A7">
              <w:rPr>
                <w:rFonts w:ascii="Georgia" w:hAnsi="Georgia"/>
                <w:lang w:val="en-GB"/>
              </w:rPr>
              <w:t xml:space="preserve"> </w:t>
            </w:r>
            <w:proofErr w:type="spellStart"/>
            <w:r w:rsidRPr="006D15A7">
              <w:rPr>
                <w:rFonts w:ascii="Georgia" w:hAnsi="Georgia"/>
                <w:lang w:val="en-GB"/>
              </w:rPr>
              <w:t>göre</w:t>
            </w:r>
            <w:proofErr w:type="spellEnd"/>
            <w:r w:rsidRPr="006D15A7">
              <w:rPr>
                <w:rFonts w:ascii="Georgia" w:hAnsi="Georgia"/>
                <w:lang w:val="en-GB"/>
              </w:rPr>
              <w:t xml:space="preserve"> </w:t>
            </w:r>
            <w:proofErr w:type="spellStart"/>
            <w:r w:rsidRPr="006D15A7">
              <w:rPr>
                <w:rFonts w:ascii="Georgia" w:hAnsi="Georgia"/>
                <w:lang w:val="en-GB"/>
              </w:rPr>
              <w:t>sınıflandırılmasının</w:t>
            </w:r>
            <w:proofErr w:type="spellEnd"/>
            <w:r w:rsidRPr="006D15A7">
              <w:rPr>
                <w:rFonts w:ascii="Georgia" w:hAnsi="Georgia"/>
                <w:lang w:val="en-GB"/>
              </w:rPr>
              <w:t xml:space="preserve"> </w:t>
            </w:r>
            <w:proofErr w:type="spellStart"/>
            <w:r w:rsidRPr="006D15A7">
              <w:rPr>
                <w:rFonts w:ascii="Georgia" w:hAnsi="Georgia"/>
                <w:lang w:val="en-GB"/>
              </w:rPr>
              <w:t>makul</w:t>
            </w:r>
            <w:proofErr w:type="spellEnd"/>
            <w:r w:rsidRPr="006D15A7">
              <w:rPr>
                <w:rFonts w:ascii="Georgia" w:hAnsi="Georgia"/>
                <w:lang w:val="en-GB"/>
              </w:rPr>
              <w:t xml:space="preserve"> </w:t>
            </w:r>
            <w:proofErr w:type="spellStart"/>
            <w:r w:rsidRPr="006D15A7">
              <w:rPr>
                <w:rFonts w:ascii="Georgia" w:hAnsi="Georgia"/>
                <w:lang w:val="en-GB"/>
              </w:rPr>
              <w:t>olup</w:t>
            </w:r>
            <w:proofErr w:type="spellEnd"/>
            <w:r w:rsidRPr="006D15A7">
              <w:rPr>
                <w:rFonts w:ascii="Georgia" w:hAnsi="Georgia"/>
                <w:lang w:val="en-GB"/>
              </w:rPr>
              <w:t xml:space="preserve"> </w:t>
            </w:r>
            <w:proofErr w:type="spellStart"/>
            <w:r w:rsidRPr="006D15A7">
              <w:rPr>
                <w:rFonts w:ascii="Georgia" w:hAnsi="Georgia"/>
                <w:lang w:val="en-GB"/>
              </w:rPr>
              <w:t>olmadığı</w:t>
            </w:r>
            <w:proofErr w:type="spellEnd"/>
            <w:r w:rsidRPr="006D15A7">
              <w:rPr>
                <w:rFonts w:ascii="Georgia" w:hAnsi="Georgia"/>
                <w:lang w:val="en-GB"/>
              </w:rPr>
              <w:t xml:space="preserve">, </w:t>
            </w:r>
            <w:proofErr w:type="spellStart"/>
            <w:r w:rsidRPr="006D15A7">
              <w:rPr>
                <w:rFonts w:ascii="Georgia" w:hAnsi="Georgia"/>
                <w:lang w:val="en-GB"/>
              </w:rPr>
              <w:t>değer</w:t>
            </w:r>
            <w:proofErr w:type="spellEnd"/>
            <w:r w:rsidRPr="006D15A7">
              <w:rPr>
                <w:rFonts w:ascii="Georgia" w:hAnsi="Georgia"/>
                <w:lang w:val="en-GB"/>
              </w:rPr>
              <w:t xml:space="preserve"> </w:t>
            </w:r>
            <w:proofErr w:type="spellStart"/>
            <w:r w:rsidRPr="006D15A7">
              <w:rPr>
                <w:rFonts w:ascii="Georgia" w:hAnsi="Georgia"/>
                <w:lang w:val="en-GB"/>
              </w:rPr>
              <w:t>düşüklüğüne</w:t>
            </w:r>
            <w:proofErr w:type="spellEnd"/>
            <w:r w:rsidRPr="006D15A7">
              <w:rPr>
                <w:rFonts w:ascii="Georgia" w:hAnsi="Georgia"/>
                <w:lang w:val="en-GB"/>
              </w:rPr>
              <w:t xml:space="preserve"> </w:t>
            </w:r>
            <w:proofErr w:type="spellStart"/>
            <w:r w:rsidRPr="006D15A7">
              <w:rPr>
                <w:rFonts w:ascii="Georgia" w:hAnsi="Georgia"/>
                <w:lang w:val="en-GB"/>
              </w:rPr>
              <w:t>uğrayıp</w:t>
            </w:r>
            <w:proofErr w:type="spellEnd"/>
            <w:r w:rsidRPr="006D15A7">
              <w:rPr>
                <w:rFonts w:ascii="Georgia" w:hAnsi="Georgia"/>
                <w:lang w:val="en-GB"/>
              </w:rPr>
              <w:t xml:space="preserve"> </w:t>
            </w:r>
            <w:proofErr w:type="spellStart"/>
            <w:r w:rsidRPr="006D15A7">
              <w:rPr>
                <w:rFonts w:ascii="Georgia" w:hAnsi="Georgia"/>
                <w:lang w:val="en-GB"/>
              </w:rPr>
              <w:t>uğramadığının</w:t>
            </w:r>
            <w:proofErr w:type="spellEnd"/>
            <w:r w:rsidRPr="006D15A7">
              <w:rPr>
                <w:rFonts w:ascii="Georgia" w:hAnsi="Georgia"/>
                <w:lang w:val="en-GB"/>
              </w:rPr>
              <w:t xml:space="preserve"> </w:t>
            </w:r>
            <w:proofErr w:type="spellStart"/>
            <w:r w:rsidRPr="006D15A7">
              <w:rPr>
                <w:rFonts w:ascii="Georgia" w:hAnsi="Georgia"/>
                <w:lang w:val="en-GB"/>
              </w:rPr>
              <w:t>tespiti</w:t>
            </w:r>
            <w:proofErr w:type="spellEnd"/>
            <w:r w:rsidRPr="006D15A7">
              <w:rPr>
                <w:rFonts w:ascii="Georgia" w:hAnsi="Georgia"/>
                <w:lang w:val="en-GB"/>
              </w:rPr>
              <w:t xml:space="preserve"> ve </w:t>
            </w:r>
            <w:proofErr w:type="spellStart"/>
            <w:r w:rsidRPr="006D15A7">
              <w:rPr>
                <w:rFonts w:ascii="Georgia" w:hAnsi="Georgia"/>
                <w:lang w:val="en-GB"/>
              </w:rPr>
              <w:t>alacağın</w:t>
            </w:r>
            <w:proofErr w:type="spellEnd"/>
            <w:r w:rsidRPr="006D15A7">
              <w:rPr>
                <w:rFonts w:ascii="Georgia" w:hAnsi="Georgia"/>
                <w:lang w:val="en-GB"/>
              </w:rPr>
              <w:t xml:space="preserve"> </w:t>
            </w:r>
            <w:proofErr w:type="spellStart"/>
            <w:r w:rsidRPr="006D15A7">
              <w:rPr>
                <w:rFonts w:ascii="Georgia" w:hAnsi="Georgia"/>
                <w:lang w:val="en-GB"/>
              </w:rPr>
              <w:t>değer</w:t>
            </w:r>
            <w:proofErr w:type="spellEnd"/>
            <w:r w:rsidRPr="006D15A7">
              <w:rPr>
                <w:rFonts w:ascii="Georgia" w:hAnsi="Georgia"/>
                <w:lang w:val="en-GB"/>
              </w:rPr>
              <w:t xml:space="preserve"> </w:t>
            </w:r>
            <w:proofErr w:type="spellStart"/>
            <w:r w:rsidRPr="006D15A7">
              <w:rPr>
                <w:rFonts w:ascii="Georgia" w:hAnsi="Georgia"/>
                <w:lang w:val="en-GB"/>
              </w:rPr>
              <w:t>düşüklüğü</w:t>
            </w:r>
            <w:proofErr w:type="spellEnd"/>
            <w:r w:rsidRPr="006D15A7">
              <w:rPr>
                <w:rFonts w:ascii="Georgia" w:hAnsi="Georgia"/>
                <w:lang w:val="en-GB"/>
              </w:rPr>
              <w:t xml:space="preserve"> </w:t>
            </w:r>
            <w:proofErr w:type="spellStart"/>
            <w:r w:rsidRPr="006D15A7">
              <w:rPr>
                <w:rFonts w:ascii="Georgia" w:hAnsi="Georgia"/>
                <w:lang w:val="en-GB"/>
              </w:rPr>
              <w:t>karşılığının</w:t>
            </w:r>
            <w:proofErr w:type="spellEnd"/>
            <w:r w:rsidRPr="006D15A7">
              <w:rPr>
                <w:rFonts w:ascii="Georgia" w:hAnsi="Georgia"/>
                <w:lang w:val="en-GB"/>
              </w:rPr>
              <w:t xml:space="preserve"> </w:t>
            </w:r>
            <w:proofErr w:type="spellStart"/>
            <w:r w:rsidRPr="006D15A7">
              <w:rPr>
                <w:rFonts w:ascii="Georgia" w:hAnsi="Georgia"/>
                <w:lang w:val="en-GB"/>
              </w:rPr>
              <w:t>zamanında</w:t>
            </w:r>
            <w:proofErr w:type="spellEnd"/>
            <w:r w:rsidRPr="006D15A7">
              <w:rPr>
                <w:rFonts w:ascii="Georgia" w:hAnsi="Georgia"/>
                <w:lang w:val="en-GB"/>
              </w:rPr>
              <w:t xml:space="preserve"> ve </w:t>
            </w:r>
            <w:proofErr w:type="spellStart"/>
            <w:r w:rsidRPr="006D15A7">
              <w:rPr>
                <w:rFonts w:ascii="Georgia" w:hAnsi="Georgia"/>
                <w:lang w:val="en-GB"/>
              </w:rPr>
              <w:t>uygun</w:t>
            </w:r>
            <w:proofErr w:type="spellEnd"/>
            <w:r w:rsidRPr="006D15A7">
              <w:rPr>
                <w:rFonts w:ascii="Georgia" w:hAnsi="Georgia"/>
                <w:lang w:val="en-GB"/>
              </w:rPr>
              <w:t xml:space="preserve"> </w:t>
            </w:r>
            <w:proofErr w:type="spellStart"/>
            <w:r w:rsidRPr="006D15A7">
              <w:rPr>
                <w:rFonts w:ascii="Georgia" w:hAnsi="Georgia"/>
                <w:lang w:val="en-GB"/>
              </w:rPr>
              <w:t>olarak</w:t>
            </w:r>
            <w:proofErr w:type="spellEnd"/>
            <w:r w:rsidRPr="006D15A7">
              <w:rPr>
                <w:rFonts w:ascii="Georgia" w:hAnsi="Georgia"/>
                <w:lang w:val="en-GB"/>
              </w:rPr>
              <w:t xml:space="preserve"> </w:t>
            </w:r>
            <w:proofErr w:type="spellStart"/>
            <w:r w:rsidRPr="006D15A7">
              <w:rPr>
                <w:rFonts w:ascii="Georgia" w:hAnsi="Georgia"/>
                <w:lang w:val="en-GB"/>
              </w:rPr>
              <w:t>tesis</w:t>
            </w:r>
            <w:proofErr w:type="spellEnd"/>
            <w:r w:rsidRPr="006D15A7">
              <w:rPr>
                <w:rFonts w:ascii="Georgia" w:hAnsi="Georgia"/>
                <w:lang w:val="en-GB"/>
              </w:rPr>
              <w:t xml:space="preserve"> </w:t>
            </w:r>
            <w:proofErr w:type="spellStart"/>
            <w:r w:rsidRPr="006D15A7">
              <w:rPr>
                <w:rFonts w:ascii="Georgia" w:hAnsi="Georgia"/>
                <w:lang w:val="en-GB"/>
              </w:rPr>
              <w:t>edilip</w:t>
            </w:r>
            <w:proofErr w:type="spellEnd"/>
            <w:r w:rsidRPr="006D15A7">
              <w:rPr>
                <w:rFonts w:ascii="Georgia" w:hAnsi="Georgia"/>
                <w:lang w:val="en-GB"/>
              </w:rPr>
              <w:t xml:space="preserve"> </w:t>
            </w:r>
            <w:proofErr w:type="spellStart"/>
            <w:r w:rsidRPr="006D15A7">
              <w:rPr>
                <w:rFonts w:ascii="Georgia" w:hAnsi="Georgia"/>
                <w:lang w:val="en-GB"/>
              </w:rPr>
              <w:t>edilmediğini</w:t>
            </w:r>
            <w:proofErr w:type="spellEnd"/>
            <w:r w:rsidRPr="006D15A7">
              <w:rPr>
                <w:rFonts w:ascii="Georgia" w:hAnsi="Georgia"/>
                <w:lang w:val="en-GB"/>
              </w:rPr>
              <w:t xml:space="preserve"> </w:t>
            </w:r>
            <w:proofErr w:type="spellStart"/>
            <w:r w:rsidRPr="006D15A7">
              <w:rPr>
                <w:rFonts w:ascii="Georgia" w:hAnsi="Georgia"/>
                <w:lang w:val="en-GB"/>
              </w:rPr>
              <w:t>saptamak</w:t>
            </w:r>
            <w:proofErr w:type="spellEnd"/>
            <w:r w:rsidRPr="006D15A7">
              <w:rPr>
                <w:rFonts w:ascii="Georgia" w:hAnsi="Georgia"/>
                <w:lang w:val="en-GB"/>
              </w:rPr>
              <w:t xml:space="preserve"> </w:t>
            </w:r>
            <w:proofErr w:type="spellStart"/>
            <w:r w:rsidRPr="006D15A7">
              <w:rPr>
                <w:rFonts w:ascii="Georgia" w:hAnsi="Georgia"/>
                <w:lang w:val="en-GB"/>
              </w:rPr>
              <w:t>için</w:t>
            </w:r>
            <w:proofErr w:type="spellEnd"/>
            <w:r w:rsidRPr="006D15A7">
              <w:rPr>
                <w:rFonts w:ascii="Georgia" w:hAnsi="Georgia"/>
                <w:lang w:val="en-GB"/>
              </w:rPr>
              <w:t xml:space="preserve"> </w:t>
            </w:r>
            <w:proofErr w:type="spellStart"/>
            <w:r w:rsidRPr="006D15A7">
              <w:rPr>
                <w:rFonts w:ascii="Georgia" w:hAnsi="Georgia"/>
                <w:lang w:val="en-GB"/>
              </w:rPr>
              <w:t>örneklem</w:t>
            </w:r>
            <w:proofErr w:type="spellEnd"/>
            <w:r w:rsidRPr="006D15A7">
              <w:rPr>
                <w:rFonts w:ascii="Georgia" w:hAnsi="Georgia"/>
                <w:lang w:val="en-GB"/>
              </w:rPr>
              <w:t xml:space="preserve"> </w:t>
            </w:r>
            <w:proofErr w:type="spellStart"/>
            <w:r w:rsidRPr="006D15A7">
              <w:rPr>
                <w:rFonts w:ascii="Georgia" w:hAnsi="Georgia"/>
                <w:lang w:val="en-GB"/>
              </w:rPr>
              <w:t>bazında</w:t>
            </w:r>
            <w:proofErr w:type="spellEnd"/>
            <w:r w:rsidRPr="006D15A7">
              <w:rPr>
                <w:rFonts w:ascii="Georgia" w:hAnsi="Georgia"/>
                <w:lang w:val="en-GB"/>
              </w:rPr>
              <w:t xml:space="preserve"> </w:t>
            </w:r>
            <w:proofErr w:type="spellStart"/>
            <w:r w:rsidRPr="006D15A7">
              <w:rPr>
                <w:rFonts w:ascii="Georgia" w:hAnsi="Georgia"/>
                <w:lang w:val="en-GB"/>
              </w:rPr>
              <w:t>seçtiğimiz</w:t>
            </w:r>
            <w:proofErr w:type="spellEnd"/>
            <w:r w:rsidRPr="006D15A7">
              <w:rPr>
                <w:rFonts w:ascii="Georgia" w:hAnsi="Georgia"/>
                <w:lang w:val="en-GB"/>
              </w:rPr>
              <w:t xml:space="preserve"> </w:t>
            </w:r>
            <w:proofErr w:type="spellStart"/>
            <w:r w:rsidRPr="006D15A7">
              <w:rPr>
                <w:rFonts w:ascii="Georgia" w:hAnsi="Georgia"/>
                <w:lang w:val="en-GB"/>
              </w:rPr>
              <w:t>kredi</w:t>
            </w:r>
            <w:proofErr w:type="spellEnd"/>
            <w:r w:rsidRPr="006D15A7">
              <w:rPr>
                <w:rFonts w:ascii="Georgia" w:hAnsi="Georgia"/>
                <w:lang w:val="en-GB"/>
              </w:rPr>
              <w:t xml:space="preserve"> </w:t>
            </w:r>
            <w:proofErr w:type="spellStart"/>
            <w:r w:rsidRPr="006D15A7">
              <w:rPr>
                <w:rFonts w:ascii="Georgia" w:hAnsi="Georgia"/>
                <w:lang w:val="en-GB"/>
              </w:rPr>
              <w:t>kümesi</w:t>
            </w:r>
            <w:proofErr w:type="spellEnd"/>
            <w:r w:rsidRPr="006D15A7">
              <w:rPr>
                <w:rFonts w:ascii="Georgia" w:hAnsi="Georgia"/>
                <w:lang w:val="en-GB"/>
              </w:rPr>
              <w:t xml:space="preserve"> </w:t>
            </w:r>
            <w:proofErr w:type="spellStart"/>
            <w:r w:rsidRPr="006D15A7">
              <w:rPr>
                <w:rFonts w:ascii="Georgia" w:hAnsi="Georgia"/>
                <w:lang w:val="en-GB"/>
              </w:rPr>
              <w:t>için</w:t>
            </w:r>
            <w:proofErr w:type="spellEnd"/>
            <w:r w:rsidRPr="006D15A7">
              <w:rPr>
                <w:rFonts w:ascii="Georgia" w:hAnsi="Georgia"/>
                <w:lang w:val="en-GB"/>
              </w:rPr>
              <w:t xml:space="preserve"> </w:t>
            </w:r>
            <w:proofErr w:type="spellStart"/>
            <w:r w:rsidRPr="006D15A7">
              <w:rPr>
                <w:rFonts w:ascii="Georgia" w:hAnsi="Georgia"/>
                <w:lang w:val="en-GB"/>
              </w:rPr>
              <w:t>kredi</w:t>
            </w:r>
            <w:proofErr w:type="spellEnd"/>
            <w:r w:rsidRPr="006D15A7">
              <w:rPr>
                <w:rFonts w:ascii="Georgia" w:hAnsi="Georgia"/>
                <w:lang w:val="en-GB"/>
              </w:rPr>
              <w:t xml:space="preserve"> </w:t>
            </w:r>
            <w:proofErr w:type="spellStart"/>
            <w:r w:rsidRPr="006D15A7">
              <w:rPr>
                <w:rFonts w:ascii="Georgia" w:hAnsi="Georgia"/>
                <w:lang w:val="en-GB"/>
              </w:rPr>
              <w:t>inceleme</w:t>
            </w:r>
            <w:proofErr w:type="spellEnd"/>
            <w:r w:rsidRPr="006D15A7">
              <w:rPr>
                <w:rFonts w:ascii="Georgia" w:hAnsi="Georgia"/>
                <w:lang w:val="en-GB"/>
              </w:rPr>
              <w:t xml:space="preserve"> </w:t>
            </w:r>
            <w:proofErr w:type="spellStart"/>
            <w:r w:rsidRPr="006D15A7">
              <w:rPr>
                <w:rFonts w:ascii="Georgia" w:hAnsi="Georgia"/>
                <w:lang w:val="en-GB"/>
              </w:rPr>
              <w:t>prosedürlerini</w:t>
            </w:r>
            <w:proofErr w:type="spellEnd"/>
            <w:r w:rsidRPr="006D15A7">
              <w:rPr>
                <w:rFonts w:ascii="Georgia" w:hAnsi="Georgia"/>
                <w:lang w:val="en-GB"/>
              </w:rPr>
              <w:t xml:space="preserve"> </w:t>
            </w:r>
            <w:proofErr w:type="spellStart"/>
            <w:r w:rsidRPr="006D15A7">
              <w:rPr>
                <w:rFonts w:ascii="Georgia" w:hAnsi="Georgia"/>
                <w:lang w:val="en-GB"/>
              </w:rPr>
              <w:t>gerçekleştirdik</w:t>
            </w:r>
            <w:proofErr w:type="spellEnd"/>
            <w:r w:rsidRPr="006D15A7">
              <w:rPr>
                <w:rFonts w:ascii="Georgia" w:hAnsi="Georgia"/>
                <w:lang w:val="en-GB"/>
              </w:rPr>
              <w:t>.</w:t>
            </w:r>
          </w:p>
          <w:p w14:paraId="5AAB95B0" w14:textId="77777777" w:rsidR="006D15A7" w:rsidRPr="006D15A7" w:rsidRDefault="006D15A7" w:rsidP="006D15A7">
            <w:pPr>
              <w:widowControl w:val="0"/>
              <w:numPr>
                <w:ilvl w:val="0"/>
                <w:numId w:val="111"/>
              </w:numPr>
              <w:spacing w:line="250" w:lineRule="atLeast"/>
              <w:ind w:left="349" w:hanging="349"/>
              <w:contextualSpacing/>
              <w:rPr>
                <w:rFonts w:ascii="Georgia" w:hAnsi="Georgia"/>
                <w:lang w:val="en-GB"/>
              </w:rPr>
            </w:pPr>
            <w:proofErr w:type="spellStart"/>
            <w:r w:rsidRPr="006D15A7">
              <w:rPr>
                <w:rFonts w:ascii="Georgia" w:hAnsi="Georgia"/>
                <w:lang w:val="en-GB"/>
              </w:rPr>
              <w:t>Krediler</w:t>
            </w:r>
            <w:proofErr w:type="spellEnd"/>
            <w:r w:rsidRPr="006D15A7">
              <w:rPr>
                <w:rFonts w:ascii="Georgia" w:hAnsi="Georgia"/>
                <w:lang w:val="en-GB"/>
              </w:rPr>
              <w:t xml:space="preserve"> ve </w:t>
            </w:r>
            <w:proofErr w:type="spellStart"/>
            <w:r w:rsidRPr="006D15A7">
              <w:rPr>
                <w:rFonts w:ascii="Georgia" w:hAnsi="Georgia"/>
                <w:lang w:val="en-GB"/>
              </w:rPr>
              <w:t>alacakların</w:t>
            </w:r>
            <w:proofErr w:type="spellEnd"/>
            <w:r w:rsidRPr="006D15A7">
              <w:rPr>
                <w:rFonts w:ascii="Georgia" w:hAnsi="Georgia"/>
                <w:lang w:val="en-GB"/>
              </w:rPr>
              <w:t xml:space="preserve"> </w:t>
            </w:r>
            <w:proofErr w:type="spellStart"/>
            <w:r w:rsidRPr="006D15A7">
              <w:rPr>
                <w:rFonts w:ascii="Georgia" w:hAnsi="Georgia"/>
                <w:lang w:val="en-GB"/>
              </w:rPr>
              <w:t>değer</w:t>
            </w:r>
            <w:proofErr w:type="spellEnd"/>
            <w:r w:rsidRPr="006D15A7">
              <w:rPr>
                <w:rFonts w:ascii="Georgia" w:hAnsi="Georgia"/>
                <w:lang w:val="en-GB"/>
              </w:rPr>
              <w:t xml:space="preserve"> </w:t>
            </w:r>
            <w:proofErr w:type="spellStart"/>
            <w:r w:rsidRPr="006D15A7">
              <w:rPr>
                <w:rFonts w:ascii="Georgia" w:hAnsi="Georgia"/>
                <w:lang w:val="en-GB"/>
              </w:rPr>
              <w:t>düşüklüğü</w:t>
            </w:r>
            <w:proofErr w:type="spellEnd"/>
            <w:r w:rsidRPr="006D15A7">
              <w:rPr>
                <w:rFonts w:ascii="Georgia" w:hAnsi="Georgia"/>
                <w:lang w:val="en-GB"/>
              </w:rPr>
              <w:t xml:space="preserve"> </w:t>
            </w:r>
            <w:proofErr w:type="spellStart"/>
            <w:r w:rsidRPr="006D15A7">
              <w:rPr>
                <w:rFonts w:ascii="Georgia" w:hAnsi="Georgia"/>
                <w:lang w:val="en-GB"/>
              </w:rPr>
              <w:t>karşılıklarına</w:t>
            </w:r>
            <w:proofErr w:type="spellEnd"/>
            <w:r w:rsidRPr="006D15A7">
              <w:rPr>
                <w:rFonts w:ascii="Georgia" w:hAnsi="Georgia"/>
                <w:lang w:val="en-GB"/>
              </w:rPr>
              <w:t xml:space="preserve"> </w:t>
            </w:r>
            <w:proofErr w:type="spellStart"/>
            <w:r w:rsidRPr="006D15A7">
              <w:rPr>
                <w:rFonts w:ascii="Georgia" w:hAnsi="Georgia"/>
                <w:lang w:val="en-GB"/>
              </w:rPr>
              <w:t>ilişkin</w:t>
            </w:r>
            <w:proofErr w:type="spellEnd"/>
            <w:r w:rsidRPr="006D15A7">
              <w:rPr>
                <w:rFonts w:ascii="Georgia" w:hAnsi="Georgia"/>
                <w:lang w:val="en-GB"/>
              </w:rPr>
              <w:t xml:space="preserve"> </w:t>
            </w:r>
            <w:proofErr w:type="spellStart"/>
            <w:r w:rsidRPr="006D15A7">
              <w:rPr>
                <w:rFonts w:ascii="Georgia" w:hAnsi="Georgia"/>
                <w:lang w:val="en-GB"/>
              </w:rPr>
              <w:t>konsolide</w:t>
            </w:r>
            <w:proofErr w:type="spellEnd"/>
            <w:r w:rsidRPr="006D15A7">
              <w:rPr>
                <w:rFonts w:ascii="Georgia" w:hAnsi="Georgia"/>
                <w:lang w:val="en-GB"/>
              </w:rPr>
              <w:t xml:space="preserve"> </w:t>
            </w:r>
            <w:proofErr w:type="spellStart"/>
            <w:r w:rsidRPr="006D15A7">
              <w:rPr>
                <w:rFonts w:ascii="Georgia" w:hAnsi="Georgia"/>
                <w:lang w:val="en-GB"/>
              </w:rPr>
              <w:t>olmayan</w:t>
            </w:r>
            <w:proofErr w:type="spellEnd"/>
            <w:r w:rsidRPr="006D15A7">
              <w:rPr>
                <w:rFonts w:ascii="Georgia" w:hAnsi="Georgia"/>
                <w:lang w:val="en-GB"/>
              </w:rPr>
              <w:t xml:space="preserve"> </w:t>
            </w:r>
            <w:proofErr w:type="spellStart"/>
            <w:r w:rsidRPr="006D15A7">
              <w:rPr>
                <w:rFonts w:ascii="Georgia" w:hAnsi="Georgia"/>
                <w:lang w:val="en-GB"/>
              </w:rPr>
              <w:t>finansal</w:t>
            </w:r>
            <w:proofErr w:type="spellEnd"/>
            <w:r w:rsidRPr="006D15A7">
              <w:rPr>
                <w:rFonts w:ascii="Georgia" w:hAnsi="Georgia"/>
                <w:lang w:val="en-GB"/>
              </w:rPr>
              <w:t xml:space="preserve"> </w:t>
            </w:r>
            <w:proofErr w:type="spellStart"/>
            <w:r w:rsidRPr="006D15A7">
              <w:rPr>
                <w:rFonts w:ascii="Georgia" w:hAnsi="Georgia"/>
                <w:lang w:val="en-GB"/>
              </w:rPr>
              <w:t>tablolarda</w:t>
            </w:r>
            <w:proofErr w:type="spellEnd"/>
            <w:r w:rsidRPr="006D15A7">
              <w:rPr>
                <w:rFonts w:ascii="Georgia" w:hAnsi="Georgia"/>
                <w:lang w:val="en-GB"/>
              </w:rPr>
              <w:t xml:space="preserve"> </w:t>
            </w:r>
            <w:proofErr w:type="spellStart"/>
            <w:r w:rsidRPr="006D15A7">
              <w:rPr>
                <w:rFonts w:ascii="Georgia" w:hAnsi="Georgia"/>
                <w:lang w:val="en-GB"/>
              </w:rPr>
              <w:t>yapılan</w:t>
            </w:r>
            <w:proofErr w:type="spellEnd"/>
            <w:r w:rsidRPr="006D15A7">
              <w:rPr>
                <w:rFonts w:ascii="Georgia" w:hAnsi="Georgia"/>
                <w:lang w:val="en-GB"/>
              </w:rPr>
              <w:t xml:space="preserve"> </w:t>
            </w:r>
            <w:proofErr w:type="spellStart"/>
            <w:r w:rsidRPr="006D15A7">
              <w:rPr>
                <w:rFonts w:ascii="Georgia" w:hAnsi="Georgia"/>
                <w:lang w:val="en-GB"/>
              </w:rPr>
              <w:t>açıklamaların</w:t>
            </w:r>
            <w:proofErr w:type="spellEnd"/>
            <w:r w:rsidRPr="006D15A7">
              <w:rPr>
                <w:rFonts w:ascii="Georgia" w:hAnsi="Georgia"/>
                <w:lang w:val="en-GB"/>
              </w:rPr>
              <w:t xml:space="preserve"> </w:t>
            </w:r>
            <w:proofErr w:type="spellStart"/>
            <w:r w:rsidRPr="006D15A7">
              <w:rPr>
                <w:rFonts w:ascii="Georgia" w:hAnsi="Georgia"/>
                <w:lang w:val="en-GB"/>
              </w:rPr>
              <w:t>yeterliliğini</w:t>
            </w:r>
            <w:proofErr w:type="spellEnd"/>
            <w:r w:rsidRPr="006D15A7">
              <w:rPr>
                <w:rFonts w:ascii="Georgia" w:hAnsi="Georgia"/>
                <w:lang w:val="en-GB"/>
              </w:rPr>
              <w:t xml:space="preserve"> ve </w:t>
            </w:r>
            <w:proofErr w:type="spellStart"/>
            <w:r w:rsidRPr="006D15A7">
              <w:rPr>
                <w:rFonts w:ascii="Georgia" w:hAnsi="Georgia"/>
                <w:lang w:val="en-GB"/>
              </w:rPr>
              <w:t>doğruluğunu</w:t>
            </w:r>
            <w:proofErr w:type="spellEnd"/>
            <w:r w:rsidRPr="006D15A7">
              <w:rPr>
                <w:rFonts w:ascii="Georgia" w:hAnsi="Georgia"/>
                <w:lang w:val="en-GB"/>
              </w:rPr>
              <w:t xml:space="preserve"> </w:t>
            </w:r>
            <w:proofErr w:type="spellStart"/>
            <w:r w:rsidRPr="006D15A7">
              <w:rPr>
                <w:rFonts w:ascii="Georgia" w:hAnsi="Georgia"/>
                <w:lang w:val="en-GB"/>
              </w:rPr>
              <w:t>kontrol</w:t>
            </w:r>
            <w:proofErr w:type="spellEnd"/>
            <w:r w:rsidRPr="006D15A7">
              <w:rPr>
                <w:rFonts w:ascii="Georgia" w:hAnsi="Georgia"/>
                <w:lang w:val="en-GB"/>
              </w:rPr>
              <w:t xml:space="preserve"> </w:t>
            </w:r>
            <w:proofErr w:type="spellStart"/>
            <w:r w:rsidRPr="006D15A7">
              <w:rPr>
                <w:rFonts w:ascii="Georgia" w:hAnsi="Georgia"/>
                <w:lang w:val="en-GB"/>
              </w:rPr>
              <w:t>ettik</w:t>
            </w:r>
            <w:proofErr w:type="spellEnd"/>
            <w:r w:rsidRPr="006D15A7">
              <w:rPr>
                <w:rFonts w:ascii="Georgia" w:hAnsi="Georgia"/>
                <w:lang w:val="en-GB"/>
              </w:rPr>
              <w:t>.</w:t>
            </w:r>
          </w:p>
        </w:tc>
      </w:tr>
    </w:tbl>
    <w:p w14:paraId="54C44884" w14:textId="77777777" w:rsidR="006D15A7" w:rsidRPr="006D15A7" w:rsidRDefault="006D15A7" w:rsidP="006D15A7">
      <w:pPr>
        <w:spacing w:line="240" w:lineRule="atLeast"/>
        <w:rPr>
          <w:rFonts w:ascii="Georgia" w:hAnsi="Georgia" w:cs="Arial"/>
          <w:szCs w:val="20"/>
          <w:lang w:val="en-US"/>
        </w:rPr>
      </w:pPr>
    </w:p>
    <w:p w14:paraId="091EC2C1" w14:textId="77777777" w:rsidR="006D15A7" w:rsidRPr="006D15A7" w:rsidRDefault="006D15A7" w:rsidP="006D15A7">
      <w:pPr>
        <w:spacing w:after="160" w:line="259" w:lineRule="auto"/>
        <w:rPr>
          <w:rFonts w:ascii="Georgia" w:hAnsi="Georgia" w:cs="Arial"/>
          <w:szCs w:val="20"/>
          <w:lang w:val="en-US"/>
        </w:rPr>
      </w:pPr>
      <w:r w:rsidRPr="006D15A7">
        <w:rPr>
          <w:rFonts w:ascii="Georgia" w:hAnsi="Georgia" w:cs="Arial"/>
          <w:szCs w:val="20"/>
          <w:lang w:val="en-US"/>
        </w:rPr>
        <w:br w:type="page"/>
      </w:r>
    </w:p>
    <w:tbl>
      <w:tblPr>
        <w:tblStyle w:val="PwCTableFigures21"/>
        <w:tblW w:w="5000" w:type="pct"/>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4956"/>
        <w:gridCol w:w="4438"/>
      </w:tblGrid>
      <w:tr w:rsidR="006D15A7" w:rsidRPr="006D15A7" w14:paraId="31B95195" w14:textId="77777777" w:rsidTr="00100F1F">
        <w:trPr>
          <w:cnfStyle w:val="100000000000" w:firstRow="1" w:lastRow="0" w:firstColumn="0" w:lastColumn="0" w:oddVBand="0" w:evenVBand="0" w:oddHBand="0" w:evenHBand="0" w:firstRowFirstColumn="0" w:firstRowLastColumn="0" w:lastRowFirstColumn="0" w:lastRowLastColumn="0"/>
          <w:trHeight w:val="57"/>
        </w:trPr>
        <w:tc>
          <w:tcPr>
            <w:tcW w:w="2638" w:type="pct"/>
            <w:tcBorders>
              <w:top w:val="single" w:sz="4" w:space="0" w:color="auto"/>
              <w:left w:val="single" w:sz="4" w:space="0" w:color="auto"/>
              <w:bottom w:val="single" w:sz="4" w:space="0" w:color="auto"/>
              <w:right w:val="single" w:sz="4" w:space="0" w:color="auto"/>
            </w:tcBorders>
            <w:vAlign w:val="bottom"/>
          </w:tcPr>
          <w:p w14:paraId="7C220E92" w14:textId="77777777" w:rsidR="006D15A7" w:rsidRPr="006D15A7" w:rsidRDefault="006D15A7" w:rsidP="006D15A7">
            <w:pPr>
              <w:widowControl w:val="0"/>
              <w:tabs>
                <w:tab w:val="left" w:pos="2892"/>
              </w:tabs>
              <w:spacing w:line="290" w:lineRule="atLeast"/>
              <w:rPr>
                <w:rFonts w:ascii="Georgia" w:hAnsi="Georgia"/>
                <w:i/>
                <w:lang w:val="en-GB"/>
              </w:rPr>
            </w:pPr>
            <w:proofErr w:type="spellStart"/>
            <w:r w:rsidRPr="006D15A7">
              <w:rPr>
                <w:rFonts w:ascii="Georgia" w:hAnsi="Georgia"/>
                <w:i/>
                <w:lang w:val="en-GB"/>
              </w:rPr>
              <w:lastRenderedPageBreak/>
              <w:t>Kilit</w:t>
            </w:r>
            <w:proofErr w:type="spellEnd"/>
            <w:r w:rsidRPr="006D15A7">
              <w:rPr>
                <w:rFonts w:ascii="Georgia" w:hAnsi="Georgia"/>
                <w:i/>
                <w:lang w:val="en-GB"/>
              </w:rPr>
              <w:t xml:space="preserve"> </w:t>
            </w:r>
            <w:proofErr w:type="spellStart"/>
            <w:r w:rsidRPr="006D15A7">
              <w:rPr>
                <w:rFonts w:ascii="Georgia" w:hAnsi="Georgia"/>
                <w:i/>
                <w:lang w:val="en-GB"/>
              </w:rPr>
              <w:t>Denetim</w:t>
            </w:r>
            <w:proofErr w:type="spellEnd"/>
            <w:r w:rsidRPr="006D15A7">
              <w:rPr>
                <w:rFonts w:ascii="Georgia" w:hAnsi="Georgia"/>
                <w:i/>
                <w:lang w:val="en-GB"/>
              </w:rPr>
              <w:t xml:space="preserve"> </w:t>
            </w:r>
            <w:proofErr w:type="spellStart"/>
            <w:r w:rsidRPr="006D15A7">
              <w:rPr>
                <w:rFonts w:ascii="Georgia" w:hAnsi="Georgia"/>
                <w:i/>
                <w:lang w:val="en-GB"/>
              </w:rPr>
              <w:t>Konuları</w:t>
            </w:r>
            <w:proofErr w:type="spellEnd"/>
          </w:p>
        </w:tc>
        <w:tc>
          <w:tcPr>
            <w:tcW w:w="2362" w:type="pct"/>
            <w:tcBorders>
              <w:top w:val="single" w:sz="4" w:space="0" w:color="auto"/>
              <w:left w:val="single" w:sz="4" w:space="0" w:color="auto"/>
              <w:bottom w:val="single" w:sz="4" w:space="0" w:color="auto"/>
              <w:right w:val="single" w:sz="4" w:space="0" w:color="auto"/>
            </w:tcBorders>
          </w:tcPr>
          <w:p w14:paraId="4195FA8A" w14:textId="77777777" w:rsidR="006D15A7" w:rsidRPr="006D15A7" w:rsidRDefault="006D15A7" w:rsidP="006D15A7">
            <w:pPr>
              <w:widowControl w:val="0"/>
              <w:spacing w:line="290" w:lineRule="atLeast"/>
              <w:rPr>
                <w:rFonts w:ascii="Georgia" w:hAnsi="Georgia"/>
                <w:i/>
                <w:lang w:val="en-GB"/>
              </w:rPr>
            </w:pPr>
            <w:proofErr w:type="spellStart"/>
            <w:r w:rsidRPr="006D15A7">
              <w:rPr>
                <w:rFonts w:ascii="Georgia" w:hAnsi="Georgia"/>
                <w:i/>
                <w:lang w:val="en-GB"/>
              </w:rPr>
              <w:t>Konunun</w:t>
            </w:r>
            <w:proofErr w:type="spellEnd"/>
            <w:r w:rsidRPr="006D15A7">
              <w:rPr>
                <w:rFonts w:ascii="Georgia" w:hAnsi="Georgia"/>
                <w:i/>
                <w:lang w:val="en-GB"/>
              </w:rPr>
              <w:t xml:space="preserve"> </w:t>
            </w:r>
            <w:proofErr w:type="spellStart"/>
            <w:r w:rsidRPr="006D15A7">
              <w:rPr>
                <w:rFonts w:ascii="Georgia" w:hAnsi="Georgia"/>
                <w:i/>
                <w:lang w:val="en-GB"/>
              </w:rPr>
              <w:t>Denetimde</w:t>
            </w:r>
            <w:proofErr w:type="spellEnd"/>
            <w:r w:rsidRPr="006D15A7">
              <w:rPr>
                <w:rFonts w:ascii="Georgia" w:hAnsi="Georgia"/>
                <w:i/>
                <w:lang w:val="en-GB"/>
              </w:rPr>
              <w:t xml:space="preserve"> </w:t>
            </w:r>
            <w:proofErr w:type="spellStart"/>
            <w:r w:rsidRPr="006D15A7">
              <w:rPr>
                <w:rFonts w:ascii="Georgia" w:hAnsi="Georgia"/>
                <w:i/>
                <w:lang w:val="en-GB"/>
              </w:rPr>
              <w:t>Nasıl</w:t>
            </w:r>
            <w:proofErr w:type="spellEnd"/>
            <w:r w:rsidRPr="006D15A7">
              <w:rPr>
                <w:rFonts w:ascii="Georgia" w:hAnsi="Georgia"/>
                <w:i/>
                <w:lang w:val="en-GB"/>
              </w:rPr>
              <w:t xml:space="preserve"> </w:t>
            </w:r>
            <w:proofErr w:type="spellStart"/>
            <w:r w:rsidRPr="006D15A7">
              <w:rPr>
                <w:rFonts w:ascii="Georgia" w:hAnsi="Georgia"/>
                <w:i/>
                <w:lang w:val="en-GB"/>
              </w:rPr>
              <w:t>Ele</w:t>
            </w:r>
            <w:proofErr w:type="spellEnd"/>
            <w:r w:rsidRPr="006D15A7">
              <w:rPr>
                <w:rFonts w:ascii="Georgia" w:hAnsi="Georgia"/>
                <w:i/>
                <w:lang w:val="en-GB"/>
              </w:rPr>
              <w:t xml:space="preserve"> </w:t>
            </w:r>
            <w:proofErr w:type="spellStart"/>
            <w:r w:rsidRPr="006D15A7">
              <w:rPr>
                <w:rFonts w:ascii="Georgia" w:hAnsi="Georgia"/>
                <w:i/>
                <w:lang w:val="en-GB"/>
              </w:rPr>
              <w:t>Alındığı</w:t>
            </w:r>
            <w:proofErr w:type="spellEnd"/>
          </w:p>
        </w:tc>
      </w:tr>
      <w:tr w:rsidR="006D15A7" w:rsidRPr="006D15A7" w14:paraId="2F16EA99" w14:textId="77777777" w:rsidTr="00100F1F">
        <w:trPr>
          <w:trHeight w:val="57"/>
        </w:trPr>
        <w:tc>
          <w:tcPr>
            <w:tcW w:w="2638" w:type="pct"/>
            <w:tcBorders>
              <w:top w:val="single" w:sz="4" w:space="0" w:color="auto"/>
            </w:tcBorders>
          </w:tcPr>
          <w:p w14:paraId="2D7B859D" w14:textId="77777777" w:rsidR="006D15A7" w:rsidRPr="006D15A7" w:rsidRDefault="006D15A7" w:rsidP="006D15A7">
            <w:pPr>
              <w:widowControl w:val="0"/>
              <w:spacing w:line="290" w:lineRule="atLeast"/>
              <w:ind w:left="-18"/>
              <w:rPr>
                <w:rFonts w:ascii="Georgia" w:hAnsi="Georgia" w:cs="Arial"/>
                <w:b/>
                <w:i/>
                <w:lang w:val="en-GB"/>
              </w:rPr>
            </w:pPr>
            <w:r w:rsidRPr="006D15A7">
              <w:rPr>
                <w:rFonts w:ascii="Georgia" w:hAnsi="Georgia" w:cs="Arial"/>
                <w:b/>
                <w:i/>
                <w:lang w:val="en-GB"/>
              </w:rPr>
              <w:t xml:space="preserve">TFRS 9’ un ilk </w:t>
            </w:r>
            <w:proofErr w:type="spellStart"/>
            <w:r w:rsidRPr="006D15A7">
              <w:rPr>
                <w:rFonts w:ascii="Georgia" w:hAnsi="Georgia" w:cs="Arial"/>
                <w:b/>
                <w:i/>
                <w:lang w:val="en-GB"/>
              </w:rPr>
              <w:t>kez</w:t>
            </w:r>
            <w:proofErr w:type="spellEnd"/>
            <w:r w:rsidRPr="006D15A7">
              <w:rPr>
                <w:rFonts w:ascii="Georgia" w:hAnsi="Georgia" w:cs="Arial"/>
                <w:b/>
                <w:i/>
                <w:lang w:val="en-GB"/>
              </w:rPr>
              <w:t xml:space="preserve"> </w:t>
            </w:r>
            <w:proofErr w:type="spellStart"/>
            <w:r w:rsidRPr="006D15A7">
              <w:rPr>
                <w:rFonts w:ascii="Georgia" w:hAnsi="Georgia" w:cs="Arial"/>
                <w:b/>
                <w:i/>
                <w:lang w:val="en-GB"/>
              </w:rPr>
              <w:t>uygulanması</w:t>
            </w:r>
            <w:proofErr w:type="spellEnd"/>
          </w:p>
          <w:p w14:paraId="76C1B29F" w14:textId="77777777" w:rsidR="006D15A7" w:rsidRPr="006D15A7" w:rsidRDefault="006D15A7" w:rsidP="006D15A7">
            <w:pPr>
              <w:widowControl w:val="0"/>
              <w:spacing w:line="290" w:lineRule="atLeast"/>
              <w:rPr>
                <w:rFonts w:ascii="Georgia" w:hAnsi="Georgia"/>
                <w:b/>
                <w:lang w:val="en-GB"/>
              </w:rPr>
            </w:pPr>
          </w:p>
          <w:p w14:paraId="7FEE6EC0" w14:textId="77777777" w:rsidR="006D15A7" w:rsidRPr="006D15A7" w:rsidRDefault="006D15A7" w:rsidP="006D15A7">
            <w:pPr>
              <w:widowControl w:val="0"/>
              <w:spacing w:line="290" w:lineRule="atLeast"/>
              <w:rPr>
                <w:rFonts w:ascii="Georgia" w:eastAsia="Calibri" w:hAnsi="Georgia" w:cs="Arial"/>
                <w:lang w:val="en-GB"/>
              </w:rPr>
            </w:pPr>
            <w:r w:rsidRPr="006D15A7">
              <w:rPr>
                <w:rFonts w:ascii="Georgia" w:hAnsi="Georgia"/>
                <w:lang w:val="en-GB"/>
              </w:rPr>
              <w:t xml:space="preserve">Banka, 1 </w:t>
            </w:r>
            <w:proofErr w:type="spellStart"/>
            <w:r w:rsidRPr="006D15A7">
              <w:rPr>
                <w:rFonts w:ascii="Georgia" w:hAnsi="Georgia"/>
                <w:lang w:val="en-GB"/>
              </w:rPr>
              <w:t>Temmuz</w:t>
            </w:r>
            <w:proofErr w:type="spellEnd"/>
            <w:r w:rsidRPr="006D15A7">
              <w:rPr>
                <w:rFonts w:ascii="Georgia" w:hAnsi="Georgia"/>
                <w:lang w:val="en-GB"/>
              </w:rPr>
              <w:t xml:space="preserve"> 2026 </w:t>
            </w:r>
            <w:proofErr w:type="spellStart"/>
            <w:r w:rsidRPr="006D15A7">
              <w:rPr>
                <w:rFonts w:ascii="Georgia" w:hAnsi="Georgia"/>
                <w:lang w:val="en-GB"/>
              </w:rPr>
              <w:t>itibarıyla</w:t>
            </w:r>
            <w:proofErr w:type="spellEnd"/>
            <w:r w:rsidRPr="006D15A7">
              <w:rPr>
                <w:rFonts w:ascii="Georgia" w:hAnsi="Georgia"/>
                <w:lang w:val="en-GB"/>
              </w:rPr>
              <w:t xml:space="preserve"> TFRS 9 </w:t>
            </w:r>
            <w:proofErr w:type="spellStart"/>
            <w:r w:rsidRPr="006D15A7">
              <w:rPr>
                <w:rFonts w:ascii="Georgia" w:hAnsi="Georgia"/>
                <w:lang w:val="en-GB"/>
              </w:rPr>
              <w:t>standardının</w:t>
            </w:r>
            <w:proofErr w:type="spellEnd"/>
            <w:r w:rsidRPr="006D15A7">
              <w:rPr>
                <w:rFonts w:ascii="Georgia" w:hAnsi="Georgia"/>
                <w:lang w:val="en-GB"/>
              </w:rPr>
              <w:t xml:space="preserve"> </w:t>
            </w:r>
            <w:proofErr w:type="spellStart"/>
            <w:r w:rsidRPr="006D15A7">
              <w:rPr>
                <w:rFonts w:ascii="Georgia" w:hAnsi="Georgia"/>
                <w:lang w:val="en-GB"/>
              </w:rPr>
              <w:t>değer</w:t>
            </w:r>
            <w:proofErr w:type="spellEnd"/>
            <w:r w:rsidRPr="006D15A7">
              <w:rPr>
                <w:rFonts w:ascii="Georgia" w:hAnsi="Georgia"/>
                <w:lang w:val="en-GB"/>
              </w:rPr>
              <w:t xml:space="preserve"> </w:t>
            </w:r>
            <w:proofErr w:type="spellStart"/>
            <w:r w:rsidRPr="006D15A7">
              <w:rPr>
                <w:rFonts w:ascii="Georgia" w:hAnsi="Georgia"/>
                <w:lang w:val="en-GB"/>
              </w:rPr>
              <w:t>düşüklüğüne</w:t>
            </w:r>
            <w:proofErr w:type="spellEnd"/>
            <w:r w:rsidRPr="006D15A7">
              <w:rPr>
                <w:rFonts w:ascii="Georgia" w:hAnsi="Georgia"/>
                <w:lang w:val="en-GB"/>
              </w:rPr>
              <w:t xml:space="preserve"> </w:t>
            </w:r>
            <w:proofErr w:type="spellStart"/>
            <w:r w:rsidRPr="006D15A7">
              <w:rPr>
                <w:rFonts w:ascii="Georgia" w:hAnsi="Georgia"/>
                <w:lang w:val="en-GB"/>
              </w:rPr>
              <w:t>ilişkin</w:t>
            </w:r>
            <w:proofErr w:type="spellEnd"/>
            <w:r w:rsidRPr="006D15A7">
              <w:rPr>
                <w:rFonts w:ascii="Georgia" w:hAnsi="Georgia"/>
                <w:lang w:val="en-GB"/>
              </w:rPr>
              <w:t xml:space="preserve"> </w:t>
            </w:r>
            <w:proofErr w:type="spellStart"/>
            <w:r w:rsidRPr="006D15A7">
              <w:rPr>
                <w:rFonts w:ascii="Georgia" w:hAnsi="Georgia"/>
                <w:lang w:val="en-GB"/>
              </w:rPr>
              <w:t>hükümlerini</w:t>
            </w:r>
            <w:proofErr w:type="spellEnd"/>
            <w:r w:rsidRPr="006D15A7">
              <w:rPr>
                <w:rFonts w:ascii="Georgia" w:hAnsi="Georgia"/>
                <w:lang w:val="en-GB"/>
              </w:rPr>
              <w:t xml:space="preserve"> </w:t>
            </w:r>
            <w:proofErr w:type="spellStart"/>
            <w:r w:rsidRPr="006D15A7">
              <w:rPr>
                <w:rFonts w:ascii="Georgia" w:hAnsi="Georgia"/>
                <w:lang w:val="en-GB"/>
              </w:rPr>
              <w:t>uygulamaya</w:t>
            </w:r>
            <w:proofErr w:type="spellEnd"/>
            <w:r w:rsidRPr="006D15A7">
              <w:rPr>
                <w:rFonts w:ascii="Georgia" w:hAnsi="Georgia"/>
                <w:lang w:val="en-GB"/>
              </w:rPr>
              <w:t xml:space="preserve"> </w:t>
            </w:r>
            <w:proofErr w:type="spellStart"/>
            <w:r w:rsidRPr="006D15A7">
              <w:rPr>
                <w:rFonts w:ascii="Georgia" w:hAnsi="Georgia"/>
                <w:lang w:val="en-GB"/>
              </w:rPr>
              <w:t>başlamıştır</w:t>
            </w:r>
            <w:proofErr w:type="spellEnd"/>
            <w:r w:rsidRPr="006D15A7">
              <w:rPr>
                <w:rFonts w:ascii="Georgia" w:hAnsi="Georgia"/>
                <w:lang w:val="en-GB"/>
              </w:rPr>
              <w:t xml:space="preserve">. Bu </w:t>
            </w:r>
            <w:proofErr w:type="spellStart"/>
            <w:r w:rsidRPr="006D15A7">
              <w:rPr>
                <w:rFonts w:ascii="Georgia" w:hAnsi="Georgia"/>
                <w:lang w:val="en-GB"/>
              </w:rPr>
              <w:t>geçiş</w:t>
            </w:r>
            <w:proofErr w:type="spellEnd"/>
            <w:r w:rsidRPr="006D15A7">
              <w:rPr>
                <w:rFonts w:ascii="Georgia" w:hAnsi="Georgia"/>
                <w:lang w:val="en-GB"/>
              </w:rPr>
              <w:t xml:space="preserve"> </w:t>
            </w:r>
            <w:proofErr w:type="spellStart"/>
            <w:r w:rsidRPr="006D15A7">
              <w:rPr>
                <w:rFonts w:ascii="Georgia" w:hAnsi="Georgia"/>
                <w:lang w:val="en-GB"/>
              </w:rPr>
              <w:t>finansal</w:t>
            </w:r>
            <w:proofErr w:type="spellEnd"/>
            <w:r w:rsidRPr="006D15A7">
              <w:rPr>
                <w:rFonts w:ascii="Georgia" w:hAnsi="Georgia"/>
                <w:lang w:val="en-GB"/>
              </w:rPr>
              <w:t xml:space="preserve"> </w:t>
            </w:r>
            <w:proofErr w:type="spellStart"/>
            <w:r w:rsidRPr="006D15A7">
              <w:rPr>
                <w:rFonts w:ascii="Georgia" w:hAnsi="Georgia"/>
                <w:lang w:val="en-GB"/>
              </w:rPr>
              <w:t>tablolarda</w:t>
            </w:r>
            <w:proofErr w:type="spellEnd"/>
            <w:r w:rsidRPr="006D15A7">
              <w:rPr>
                <w:rFonts w:ascii="Georgia" w:hAnsi="Georgia"/>
                <w:lang w:val="en-GB"/>
              </w:rPr>
              <w:t xml:space="preserve"> </w:t>
            </w:r>
            <w:proofErr w:type="spellStart"/>
            <w:r w:rsidRPr="006D15A7">
              <w:rPr>
                <w:rFonts w:ascii="Georgia" w:hAnsi="Georgia"/>
                <w:lang w:val="en-GB"/>
              </w:rPr>
              <w:t>daha</w:t>
            </w:r>
            <w:proofErr w:type="spellEnd"/>
            <w:r w:rsidRPr="006D15A7">
              <w:rPr>
                <w:rFonts w:ascii="Georgia" w:hAnsi="Georgia"/>
                <w:lang w:val="en-GB"/>
              </w:rPr>
              <w:t xml:space="preserve"> </w:t>
            </w:r>
            <w:proofErr w:type="spellStart"/>
            <w:r w:rsidRPr="006D15A7">
              <w:rPr>
                <w:rFonts w:ascii="Georgia" w:hAnsi="Georgia"/>
                <w:lang w:val="en-GB"/>
              </w:rPr>
              <w:t>önce</w:t>
            </w:r>
            <w:proofErr w:type="spellEnd"/>
            <w:r w:rsidRPr="006D15A7">
              <w:rPr>
                <w:rFonts w:ascii="Georgia" w:hAnsi="Georgia"/>
                <w:lang w:val="en-GB"/>
              </w:rPr>
              <w:t xml:space="preserve"> </w:t>
            </w:r>
            <w:proofErr w:type="spellStart"/>
            <w:r w:rsidRPr="006D15A7">
              <w:rPr>
                <w:rFonts w:ascii="Georgia" w:hAnsi="Georgia"/>
                <w:lang w:val="en-GB"/>
              </w:rPr>
              <w:t>muhasebeleşen</w:t>
            </w:r>
            <w:proofErr w:type="spellEnd"/>
            <w:r w:rsidRPr="006D15A7">
              <w:rPr>
                <w:rFonts w:ascii="Georgia" w:hAnsi="Georgia"/>
                <w:lang w:val="en-GB"/>
              </w:rPr>
              <w:t xml:space="preserve"> </w:t>
            </w:r>
            <w:proofErr w:type="spellStart"/>
            <w:r w:rsidRPr="006D15A7">
              <w:rPr>
                <w:rFonts w:ascii="Georgia" w:hAnsi="Georgia"/>
                <w:lang w:val="en-GB"/>
              </w:rPr>
              <w:t>tutarların</w:t>
            </w:r>
            <w:proofErr w:type="spellEnd"/>
            <w:r w:rsidRPr="006D15A7">
              <w:rPr>
                <w:rFonts w:ascii="Georgia" w:hAnsi="Georgia"/>
                <w:lang w:val="en-GB"/>
              </w:rPr>
              <w:t xml:space="preserve"> </w:t>
            </w:r>
            <w:proofErr w:type="spellStart"/>
            <w:r w:rsidRPr="006D15A7">
              <w:rPr>
                <w:rFonts w:ascii="Georgia" w:hAnsi="Georgia"/>
                <w:lang w:val="en-GB"/>
              </w:rPr>
              <w:t>düzeltilmesine</w:t>
            </w:r>
            <w:proofErr w:type="spellEnd"/>
            <w:r w:rsidRPr="006D15A7">
              <w:rPr>
                <w:rFonts w:ascii="Georgia" w:hAnsi="Georgia"/>
                <w:lang w:val="en-GB"/>
              </w:rPr>
              <w:t xml:space="preserve"> ve </w:t>
            </w:r>
            <w:proofErr w:type="spellStart"/>
            <w:r w:rsidRPr="006D15A7">
              <w:rPr>
                <w:rFonts w:ascii="Georgia" w:hAnsi="Georgia"/>
                <w:lang w:val="en-GB"/>
              </w:rPr>
              <w:t>muhasebe</w:t>
            </w:r>
            <w:proofErr w:type="spellEnd"/>
            <w:r w:rsidRPr="006D15A7">
              <w:rPr>
                <w:rFonts w:ascii="Georgia" w:hAnsi="Georgia"/>
                <w:lang w:val="en-GB"/>
              </w:rPr>
              <w:t xml:space="preserve"> </w:t>
            </w:r>
            <w:proofErr w:type="spellStart"/>
            <w:r w:rsidRPr="006D15A7">
              <w:rPr>
                <w:rFonts w:ascii="Georgia" w:hAnsi="Georgia"/>
                <w:lang w:val="en-GB"/>
              </w:rPr>
              <w:t>politikalarında</w:t>
            </w:r>
            <w:proofErr w:type="spellEnd"/>
            <w:r w:rsidRPr="006D15A7">
              <w:rPr>
                <w:rFonts w:ascii="Georgia" w:hAnsi="Georgia"/>
                <w:lang w:val="en-GB"/>
              </w:rPr>
              <w:t xml:space="preserve"> </w:t>
            </w:r>
            <w:proofErr w:type="spellStart"/>
            <w:r w:rsidRPr="006D15A7">
              <w:rPr>
                <w:rFonts w:ascii="Georgia" w:hAnsi="Georgia"/>
                <w:lang w:val="en-GB"/>
              </w:rPr>
              <w:t>değişikliklere</w:t>
            </w:r>
            <w:proofErr w:type="spellEnd"/>
            <w:r w:rsidRPr="006D15A7">
              <w:rPr>
                <w:rFonts w:ascii="Georgia" w:hAnsi="Georgia"/>
                <w:lang w:val="en-GB"/>
              </w:rPr>
              <w:t xml:space="preserve"> </w:t>
            </w:r>
            <w:proofErr w:type="spellStart"/>
            <w:r w:rsidRPr="006D15A7">
              <w:rPr>
                <w:rFonts w:ascii="Georgia" w:hAnsi="Georgia"/>
                <w:lang w:val="en-GB"/>
              </w:rPr>
              <w:t>sebep</w:t>
            </w:r>
            <w:proofErr w:type="spellEnd"/>
            <w:r w:rsidRPr="006D15A7">
              <w:rPr>
                <w:rFonts w:ascii="Georgia" w:hAnsi="Georgia"/>
                <w:lang w:val="en-GB"/>
              </w:rPr>
              <w:t xml:space="preserve"> </w:t>
            </w:r>
            <w:proofErr w:type="spellStart"/>
            <w:r w:rsidRPr="006D15A7">
              <w:rPr>
                <w:rFonts w:ascii="Georgia" w:hAnsi="Georgia"/>
                <w:lang w:val="en-GB"/>
              </w:rPr>
              <w:t>olmuştur</w:t>
            </w:r>
            <w:proofErr w:type="spellEnd"/>
            <w:r w:rsidRPr="006D15A7">
              <w:rPr>
                <w:rFonts w:ascii="Georgia" w:hAnsi="Georgia"/>
                <w:lang w:val="en-GB"/>
              </w:rPr>
              <w:t xml:space="preserve">. </w:t>
            </w:r>
            <w:proofErr w:type="spellStart"/>
            <w:r w:rsidRPr="006D15A7">
              <w:rPr>
                <w:rFonts w:ascii="Georgia" w:hAnsi="Georgia"/>
                <w:lang w:val="en-GB"/>
              </w:rPr>
              <w:t>Banka’nın</w:t>
            </w:r>
            <w:proofErr w:type="spellEnd"/>
            <w:r w:rsidRPr="006D15A7">
              <w:rPr>
                <w:rFonts w:ascii="Georgia" w:hAnsi="Georgia"/>
                <w:lang w:val="en-GB"/>
              </w:rPr>
              <w:t xml:space="preserve"> TFRS 9’u ilk </w:t>
            </w:r>
            <w:proofErr w:type="spellStart"/>
            <w:r w:rsidRPr="006D15A7">
              <w:rPr>
                <w:rFonts w:ascii="Georgia" w:hAnsi="Georgia"/>
                <w:lang w:val="en-GB"/>
              </w:rPr>
              <w:t>kez</w:t>
            </w:r>
            <w:proofErr w:type="spellEnd"/>
            <w:r w:rsidRPr="006D15A7">
              <w:rPr>
                <w:rFonts w:ascii="Georgia" w:hAnsi="Georgia"/>
                <w:lang w:val="en-GB"/>
              </w:rPr>
              <w:t xml:space="preserve"> </w:t>
            </w:r>
            <w:proofErr w:type="spellStart"/>
            <w:r w:rsidRPr="006D15A7">
              <w:rPr>
                <w:rFonts w:ascii="Georgia" w:hAnsi="Georgia"/>
                <w:lang w:val="en-GB"/>
              </w:rPr>
              <w:t>uygulamasına</w:t>
            </w:r>
            <w:proofErr w:type="spellEnd"/>
            <w:r w:rsidRPr="006D15A7">
              <w:rPr>
                <w:rFonts w:ascii="Georgia" w:hAnsi="Georgia"/>
                <w:lang w:val="en-GB"/>
              </w:rPr>
              <w:t xml:space="preserve"> </w:t>
            </w:r>
            <w:proofErr w:type="spellStart"/>
            <w:r w:rsidRPr="006D15A7">
              <w:rPr>
                <w:rFonts w:ascii="Georgia" w:hAnsi="Georgia"/>
                <w:lang w:val="en-GB"/>
              </w:rPr>
              <w:t>ilişkin</w:t>
            </w:r>
            <w:proofErr w:type="spellEnd"/>
            <w:r w:rsidRPr="006D15A7">
              <w:rPr>
                <w:rFonts w:ascii="Georgia" w:hAnsi="Georgia"/>
                <w:lang w:val="en-GB"/>
              </w:rPr>
              <w:t xml:space="preserve"> </w:t>
            </w:r>
            <w:proofErr w:type="spellStart"/>
            <w:r w:rsidRPr="006D15A7">
              <w:rPr>
                <w:rFonts w:ascii="Georgia" w:hAnsi="Georgia"/>
                <w:lang w:val="en-GB"/>
              </w:rPr>
              <w:t>etki</w:t>
            </w:r>
            <w:proofErr w:type="spellEnd"/>
            <w:r w:rsidRPr="006D15A7">
              <w:rPr>
                <w:rFonts w:ascii="Georgia" w:hAnsi="Georgia"/>
                <w:lang w:val="en-GB"/>
              </w:rPr>
              <w:t xml:space="preserve"> ve </w:t>
            </w:r>
            <w:proofErr w:type="spellStart"/>
            <w:r w:rsidRPr="006D15A7">
              <w:rPr>
                <w:rFonts w:ascii="Georgia" w:hAnsi="Georgia"/>
                <w:lang w:val="en-GB"/>
              </w:rPr>
              <w:t>açıklamalar</w:t>
            </w:r>
            <w:proofErr w:type="spellEnd"/>
            <w:r w:rsidRPr="006D15A7">
              <w:rPr>
                <w:rFonts w:ascii="Georgia" w:hAnsi="Georgia"/>
                <w:lang w:val="en-GB"/>
              </w:rPr>
              <w:t xml:space="preserve"> </w:t>
            </w:r>
            <w:proofErr w:type="spellStart"/>
            <w:r w:rsidRPr="006D15A7">
              <w:rPr>
                <w:rFonts w:ascii="Georgia" w:hAnsi="Georgia"/>
                <w:lang w:val="en-GB"/>
              </w:rPr>
              <w:t>konsolide</w:t>
            </w:r>
            <w:proofErr w:type="spellEnd"/>
            <w:r w:rsidRPr="006D15A7">
              <w:rPr>
                <w:rFonts w:ascii="Georgia" w:hAnsi="Georgia"/>
                <w:lang w:val="en-GB"/>
              </w:rPr>
              <w:t xml:space="preserve"> </w:t>
            </w:r>
            <w:proofErr w:type="spellStart"/>
            <w:r w:rsidRPr="006D15A7">
              <w:rPr>
                <w:rFonts w:ascii="Georgia" w:hAnsi="Georgia"/>
                <w:lang w:val="en-GB"/>
              </w:rPr>
              <w:t>olmayan</w:t>
            </w:r>
            <w:proofErr w:type="spellEnd"/>
            <w:r w:rsidRPr="006D15A7">
              <w:rPr>
                <w:rFonts w:ascii="Georgia" w:hAnsi="Georgia"/>
                <w:lang w:val="en-GB"/>
              </w:rPr>
              <w:t xml:space="preserve"> </w:t>
            </w:r>
            <w:proofErr w:type="spellStart"/>
            <w:r w:rsidRPr="006D15A7">
              <w:rPr>
                <w:rFonts w:ascii="Georgia" w:hAnsi="Georgia"/>
                <w:lang w:val="en-GB"/>
              </w:rPr>
              <w:t>finansal</w:t>
            </w:r>
            <w:proofErr w:type="spellEnd"/>
            <w:r w:rsidRPr="006D15A7">
              <w:rPr>
                <w:rFonts w:ascii="Georgia" w:hAnsi="Georgia"/>
                <w:lang w:val="en-GB"/>
              </w:rPr>
              <w:t xml:space="preserve"> </w:t>
            </w:r>
            <w:proofErr w:type="spellStart"/>
            <w:r w:rsidRPr="006D15A7">
              <w:rPr>
                <w:rFonts w:ascii="Georgia" w:hAnsi="Georgia"/>
                <w:lang w:val="en-GB"/>
              </w:rPr>
              <w:t>tabloların</w:t>
            </w:r>
            <w:proofErr w:type="spellEnd"/>
            <w:r w:rsidRPr="006D15A7">
              <w:rPr>
                <w:rFonts w:ascii="Georgia" w:hAnsi="Georgia"/>
                <w:lang w:val="en-GB"/>
              </w:rPr>
              <w:t xml:space="preserve"> </w:t>
            </w:r>
            <w:proofErr w:type="spellStart"/>
            <w:r w:rsidRPr="006D15A7">
              <w:rPr>
                <w:rFonts w:ascii="Georgia" w:hAnsi="Georgia"/>
                <w:lang w:val="en-GB"/>
              </w:rPr>
              <w:t>Üçüncü</w:t>
            </w:r>
            <w:proofErr w:type="spellEnd"/>
            <w:r w:rsidRPr="006D15A7">
              <w:rPr>
                <w:rFonts w:ascii="Georgia" w:hAnsi="Georgia"/>
                <w:lang w:val="en-GB"/>
              </w:rPr>
              <w:t xml:space="preserve"> </w:t>
            </w:r>
            <w:proofErr w:type="spellStart"/>
            <w:r w:rsidRPr="006D15A7">
              <w:rPr>
                <w:rFonts w:ascii="Georgia" w:hAnsi="Georgia"/>
                <w:lang w:val="en-GB"/>
              </w:rPr>
              <w:t>Bölüm</w:t>
            </w:r>
            <w:proofErr w:type="spellEnd"/>
            <w:r w:rsidRPr="006D15A7">
              <w:rPr>
                <w:rFonts w:ascii="Georgia" w:hAnsi="Georgia"/>
                <w:lang w:val="en-GB"/>
              </w:rPr>
              <w:t xml:space="preserve"> XXI. </w:t>
            </w:r>
            <w:proofErr w:type="spellStart"/>
            <w:r w:rsidRPr="006D15A7">
              <w:rPr>
                <w:rFonts w:ascii="Georgia" w:hAnsi="Georgia"/>
                <w:lang w:val="en-GB"/>
              </w:rPr>
              <w:t>numaralı</w:t>
            </w:r>
            <w:proofErr w:type="spellEnd"/>
            <w:r w:rsidRPr="006D15A7">
              <w:rPr>
                <w:rFonts w:ascii="Georgia" w:hAnsi="Georgia"/>
                <w:lang w:val="en-GB"/>
              </w:rPr>
              <w:t xml:space="preserve"> </w:t>
            </w:r>
            <w:proofErr w:type="spellStart"/>
            <w:r w:rsidRPr="006D15A7">
              <w:rPr>
                <w:rFonts w:ascii="Georgia" w:hAnsi="Georgia"/>
                <w:lang w:val="en-GB"/>
              </w:rPr>
              <w:t>dipnotta</w:t>
            </w:r>
            <w:proofErr w:type="spellEnd"/>
            <w:r w:rsidRPr="006D15A7">
              <w:rPr>
                <w:rFonts w:ascii="Georgia" w:hAnsi="Georgia"/>
                <w:lang w:val="en-GB"/>
              </w:rPr>
              <w:t xml:space="preserve"> </w:t>
            </w:r>
            <w:proofErr w:type="spellStart"/>
            <w:r w:rsidRPr="006D15A7">
              <w:rPr>
                <w:rFonts w:ascii="Georgia" w:hAnsi="Georgia"/>
                <w:lang w:val="en-GB"/>
              </w:rPr>
              <w:t>sunulmuştur</w:t>
            </w:r>
            <w:proofErr w:type="spellEnd"/>
            <w:r w:rsidRPr="006D15A7">
              <w:rPr>
                <w:rFonts w:ascii="Georgia" w:hAnsi="Georgia"/>
                <w:lang w:val="en-GB"/>
              </w:rPr>
              <w:t xml:space="preserve">. </w:t>
            </w:r>
          </w:p>
          <w:p w14:paraId="791BB8A7" w14:textId="77777777" w:rsidR="006D15A7" w:rsidRPr="006D15A7" w:rsidRDefault="006D15A7" w:rsidP="006D15A7">
            <w:pPr>
              <w:widowControl w:val="0"/>
              <w:spacing w:line="290" w:lineRule="atLeast"/>
              <w:rPr>
                <w:rFonts w:ascii="Georgia" w:hAnsi="Georgia"/>
                <w:b/>
                <w:lang w:val="en-GB"/>
              </w:rPr>
            </w:pPr>
          </w:p>
          <w:p w14:paraId="3787D714" w14:textId="77777777" w:rsidR="006D15A7" w:rsidRPr="006D15A7" w:rsidRDefault="006D15A7" w:rsidP="006D15A7">
            <w:pPr>
              <w:widowControl w:val="0"/>
              <w:spacing w:line="290" w:lineRule="atLeast"/>
              <w:rPr>
                <w:rFonts w:ascii="Georgia" w:hAnsi="Georgia"/>
                <w:lang w:val="en-GB"/>
              </w:rPr>
            </w:pPr>
            <w:r w:rsidRPr="006D15A7">
              <w:rPr>
                <w:rFonts w:ascii="Georgia" w:hAnsi="Georgia"/>
                <w:lang w:val="en-GB"/>
              </w:rPr>
              <w:t xml:space="preserve">TFRS 9 </w:t>
            </w:r>
            <w:proofErr w:type="spellStart"/>
            <w:r w:rsidRPr="006D15A7">
              <w:rPr>
                <w:rFonts w:ascii="Georgia" w:hAnsi="Georgia"/>
                <w:lang w:val="en-GB"/>
              </w:rPr>
              <w:t>geçişi</w:t>
            </w:r>
            <w:proofErr w:type="spellEnd"/>
            <w:r w:rsidRPr="006D15A7">
              <w:rPr>
                <w:rFonts w:ascii="Georgia" w:hAnsi="Georgia"/>
                <w:lang w:val="en-GB"/>
              </w:rPr>
              <w:t xml:space="preserve">, </w:t>
            </w:r>
            <w:proofErr w:type="spellStart"/>
            <w:r w:rsidRPr="006D15A7">
              <w:rPr>
                <w:rFonts w:ascii="Georgia" w:hAnsi="Georgia"/>
                <w:lang w:val="en-GB"/>
              </w:rPr>
              <w:t>krediler</w:t>
            </w:r>
            <w:proofErr w:type="spellEnd"/>
            <w:r w:rsidRPr="006D15A7">
              <w:rPr>
                <w:rFonts w:ascii="Georgia" w:hAnsi="Georgia"/>
                <w:lang w:val="en-GB"/>
              </w:rPr>
              <w:t xml:space="preserve"> ve </w:t>
            </w:r>
            <w:proofErr w:type="spellStart"/>
            <w:r w:rsidRPr="006D15A7">
              <w:rPr>
                <w:rFonts w:ascii="Georgia" w:hAnsi="Georgia"/>
                <w:lang w:val="en-GB"/>
              </w:rPr>
              <w:t>alacak</w:t>
            </w:r>
            <w:proofErr w:type="spellEnd"/>
            <w:r w:rsidRPr="006D15A7">
              <w:rPr>
                <w:rFonts w:ascii="Georgia" w:hAnsi="Georgia"/>
                <w:lang w:val="en-GB"/>
              </w:rPr>
              <w:t xml:space="preserve"> </w:t>
            </w:r>
            <w:proofErr w:type="spellStart"/>
            <w:r w:rsidRPr="006D15A7">
              <w:rPr>
                <w:rFonts w:ascii="Georgia" w:hAnsi="Georgia"/>
                <w:lang w:val="en-GB"/>
              </w:rPr>
              <w:t>karşılıklarının</w:t>
            </w:r>
            <w:proofErr w:type="spellEnd"/>
            <w:r w:rsidRPr="006D15A7">
              <w:rPr>
                <w:rFonts w:ascii="Georgia" w:hAnsi="Georgia"/>
                <w:lang w:val="en-GB"/>
              </w:rPr>
              <w:t xml:space="preserve"> </w:t>
            </w:r>
            <w:proofErr w:type="spellStart"/>
            <w:r w:rsidRPr="006D15A7">
              <w:rPr>
                <w:rFonts w:ascii="Georgia" w:hAnsi="Georgia"/>
                <w:lang w:val="en-GB"/>
              </w:rPr>
              <w:t>hesaplanmasında</w:t>
            </w:r>
            <w:proofErr w:type="spellEnd"/>
            <w:r w:rsidRPr="006D15A7">
              <w:rPr>
                <w:rFonts w:ascii="Georgia" w:hAnsi="Georgia"/>
                <w:lang w:val="en-GB"/>
              </w:rPr>
              <w:t xml:space="preserve"> </w:t>
            </w:r>
            <w:proofErr w:type="spellStart"/>
            <w:r w:rsidRPr="006D15A7">
              <w:rPr>
                <w:rFonts w:ascii="Georgia" w:hAnsi="Georgia"/>
                <w:lang w:val="en-GB"/>
              </w:rPr>
              <w:t>kullanılan</w:t>
            </w:r>
            <w:proofErr w:type="spellEnd"/>
            <w:r w:rsidRPr="006D15A7">
              <w:rPr>
                <w:rFonts w:ascii="Georgia" w:hAnsi="Georgia"/>
                <w:lang w:val="en-GB"/>
              </w:rPr>
              <w:t xml:space="preserve"> </w:t>
            </w:r>
            <w:proofErr w:type="spellStart"/>
            <w:r w:rsidRPr="006D15A7">
              <w:rPr>
                <w:rFonts w:ascii="Georgia" w:hAnsi="Georgia"/>
                <w:lang w:val="en-GB"/>
              </w:rPr>
              <w:t>karmaşık</w:t>
            </w:r>
            <w:proofErr w:type="spellEnd"/>
            <w:r w:rsidRPr="006D15A7">
              <w:rPr>
                <w:rFonts w:ascii="Georgia" w:hAnsi="Georgia"/>
                <w:lang w:val="en-GB"/>
              </w:rPr>
              <w:t xml:space="preserve"> </w:t>
            </w:r>
            <w:proofErr w:type="spellStart"/>
            <w:r w:rsidRPr="006D15A7">
              <w:rPr>
                <w:rFonts w:ascii="Georgia" w:hAnsi="Georgia"/>
                <w:lang w:val="en-GB"/>
              </w:rPr>
              <w:t>bilgi</w:t>
            </w:r>
            <w:proofErr w:type="spellEnd"/>
            <w:r w:rsidRPr="006D15A7">
              <w:rPr>
                <w:rFonts w:ascii="Georgia" w:hAnsi="Georgia"/>
                <w:lang w:val="en-GB"/>
              </w:rPr>
              <w:t xml:space="preserve"> ve </w:t>
            </w:r>
            <w:proofErr w:type="spellStart"/>
            <w:r w:rsidRPr="006D15A7">
              <w:rPr>
                <w:rFonts w:ascii="Georgia" w:hAnsi="Georgia"/>
                <w:lang w:val="en-GB"/>
              </w:rPr>
              <w:t>tahminlerde</w:t>
            </w:r>
            <w:proofErr w:type="spellEnd"/>
            <w:r w:rsidRPr="006D15A7">
              <w:rPr>
                <w:rFonts w:ascii="Georgia" w:hAnsi="Georgia"/>
                <w:lang w:val="en-GB"/>
              </w:rPr>
              <w:t xml:space="preserve"> </w:t>
            </w:r>
            <w:proofErr w:type="spellStart"/>
            <w:r w:rsidRPr="006D15A7">
              <w:rPr>
                <w:rFonts w:ascii="Georgia" w:hAnsi="Georgia"/>
                <w:lang w:val="en-GB"/>
              </w:rPr>
              <w:t>artışa</w:t>
            </w:r>
            <w:proofErr w:type="spellEnd"/>
            <w:r w:rsidRPr="006D15A7">
              <w:rPr>
                <w:rFonts w:ascii="Georgia" w:hAnsi="Georgia"/>
                <w:lang w:val="en-GB"/>
              </w:rPr>
              <w:t xml:space="preserve"> </w:t>
            </w:r>
            <w:proofErr w:type="spellStart"/>
            <w:r w:rsidRPr="006D15A7">
              <w:rPr>
                <w:rFonts w:ascii="Georgia" w:hAnsi="Georgia"/>
                <w:lang w:val="en-GB"/>
              </w:rPr>
              <w:t>sebep</w:t>
            </w:r>
            <w:proofErr w:type="spellEnd"/>
            <w:r w:rsidRPr="006D15A7">
              <w:rPr>
                <w:rFonts w:ascii="Georgia" w:hAnsi="Georgia"/>
                <w:lang w:val="en-GB"/>
              </w:rPr>
              <w:t xml:space="preserve"> </w:t>
            </w:r>
            <w:proofErr w:type="spellStart"/>
            <w:r w:rsidRPr="006D15A7">
              <w:rPr>
                <w:rFonts w:ascii="Georgia" w:hAnsi="Georgia"/>
                <w:lang w:val="en-GB"/>
              </w:rPr>
              <w:t>olmuştur</w:t>
            </w:r>
            <w:proofErr w:type="spellEnd"/>
            <w:r w:rsidRPr="006D15A7">
              <w:rPr>
                <w:rFonts w:ascii="Georgia" w:hAnsi="Georgia"/>
                <w:lang w:val="en-GB"/>
              </w:rPr>
              <w:t xml:space="preserve">. </w:t>
            </w:r>
            <w:proofErr w:type="spellStart"/>
            <w:r w:rsidRPr="006D15A7">
              <w:rPr>
                <w:rFonts w:ascii="Georgia" w:hAnsi="Georgia"/>
                <w:lang w:val="en-GB"/>
              </w:rPr>
              <w:t>Standardın</w:t>
            </w:r>
            <w:proofErr w:type="spellEnd"/>
            <w:r w:rsidRPr="006D15A7">
              <w:rPr>
                <w:rFonts w:ascii="Georgia" w:hAnsi="Georgia"/>
                <w:lang w:val="en-GB"/>
              </w:rPr>
              <w:t xml:space="preserve"> </w:t>
            </w:r>
            <w:proofErr w:type="spellStart"/>
            <w:r w:rsidRPr="006D15A7">
              <w:rPr>
                <w:rFonts w:ascii="Georgia" w:hAnsi="Georgia"/>
                <w:lang w:val="en-GB"/>
              </w:rPr>
              <w:t>değer</w:t>
            </w:r>
            <w:proofErr w:type="spellEnd"/>
            <w:r w:rsidRPr="006D15A7">
              <w:rPr>
                <w:rFonts w:ascii="Georgia" w:hAnsi="Georgia"/>
                <w:lang w:val="en-GB"/>
              </w:rPr>
              <w:t xml:space="preserve"> </w:t>
            </w:r>
            <w:proofErr w:type="spellStart"/>
            <w:r w:rsidRPr="006D15A7">
              <w:rPr>
                <w:rFonts w:ascii="Georgia" w:hAnsi="Georgia"/>
                <w:lang w:val="en-GB"/>
              </w:rPr>
              <w:t>düşüklüğü</w:t>
            </w:r>
            <w:proofErr w:type="spellEnd"/>
            <w:r w:rsidRPr="006D15A7">
              <w:rPr>
                <w:rFonts w:ascii="Georgia" w:hAnsi="Georgia"/>
                <w:lang w:val="en-GB"/>
              </w:rPr>
              <w:t xml:space="preserve"> </w:t>
            </w:r>
            <w:proofErr w:type="spellStart"/>
            <w:r w:rsidRPr="006D15A7">
              <w:rPr>
                <w:rFonts w:ascii="Georgia" w:hAnsi="Georgia"/>
                <w:lang w:val="en-GB"/>
              </w:rPr>
              <w:t>hükümlerinin</w:t>
            </w:r>
            <w:proofErr w:type="spellEnd"/>
            <w:r w:rsidRPr="006D15A7">
              <w:rPr>
                <w:rFonts w:ascii="Georgia" w:hAnsi="Georgia"/>
                <w:lang w:val="en-GB"/>
              </w:rPr>
              <w:t xml:space="preserve"> ilk </w:t>
            </w:r>
            <w:proofErr w:type="spellStart"/>
            <w:r w:rsidRPr="006D15A7">
              <w:rPr>
                <w:rFonts w:ascii="Georgia" w:hAnsi="Georgia"/>
                <w:lang w:val="en-GB"/>
              </w:rPr>
              <w:t>kez</w:t>
            </w:r>
            <w:proofErr w:type="spellEnd"/>
            <w:r w:rsidRPr="006D15A7">
              <w:rPr>
                <w:rFonts w:ascii="Georgia" w:hAnsi="Georgia"/>
                <w:lang w:val="en-GB"/>
              </w:rPr>
              <w:t xml:space="preserve"> </w:t>
            </w:r>
            <w:proofErr w:type="spellStart"/>
            <w:r w:rsidRPr="006D15A7">
              <w:rPr>
                <w:rFonts w:ascii="Georgia" w:hAnsi="Georgia"/>
                <w:lang w:val="en-GB"/>
              </w:rPr>
              <w:t>uygulanması</w:t>
            </w:r>
            <w:proofErr w:type="spellEnd"/>
            <w:r w:rsidRPr="006D15A7">
              <w:rPr>
                <w:rFonts w:ascii="Georgia" w:hAnsi="Georgia"/>
                <w:lang w:val="en-GB"/>
              </w:rPr>
              <w:t xml:space="preserve">, </w:t>
            </w:r>
            <w:proofErr w:type="spellStart"/>
            <w:r w:rsidRPr="006D15A7">
              <w:rPr>
                <w:rFonts w:ascii="Georgia" w:hAnsi="Georgia"/>
                <w:lang w:val="en-GB"/>
              </w:rPr>
              <w:t>özellikle</w:t>
            </w:r>
            <w:proofErr w:type="spellEnd"/>
            <w:r w:rsidRPr="006D15A7">
              <w:rPr>
                <w:rFonts w:ascii="Georgia" w:hAnsi="Georgia"/>
                <w:lang w:val="en-GB"/>
              </w:rPr>
              <w:t xml:space="preserve"> </w:t>
            </w:r>
            <w:proofErr w:type="spellStart"/>
            <w:r w:rsidRPr="006D15A7">
              <w:rPr>
                <w:rFonts w:ascii="Georgia" w:hAnsi="Georgia"/>
                <w:lang w:val="en-GB"/>
              </w:rPr>
              <w:t>beklenen</w:t>
            </w:r>
            <w:proofErr w:type="spellEnd"/>
            <w:r w:rsidRPr="006D15A7">
              <w:rPr>
                <w:rFonts w:ascii="Georgia" w:hAnsi="Georgia"/>
                <w:lang w:val="en-GB"/>
              </w:rPr>
              <w:t xml:space="preserve"> </w:t>
            </w:r>
            <w:proofErr w:type="spellStart"/>
            <w:r w:rsidRPr="006D15A7">
              <w:rPr>
                <w:rFonts w:ascii="Georgia" w:hAnsi="Georgia"/>
                <w:lang w:val="en-GB"/>
              </w:rPr>
              <w:t>zarar</w:t>
            </w:r>
            <w:proofErr w:type="spellEnd"/>
            <w:r w:rsidRPr="006D15A7">
              <w:rPr>
                <w:rFonts w:ascii="Georgia" w:hAnsi="Georgia"/>
                <w:lang w:val="en-GB"/>
              </w:rPr>
              <w:t xml:space="preserve"> </w:t>
            </w:r>
            <w:proofErr w:type="spellStart"/>
            <w:r w:rsidRPr="006D15A7">
              <w:rPr>
                <w:rFonts w:ascii="Georgia" w:hAnsi="Georgia"/>
                <w:lang w:val="en-GB"/>
              </w:rPr>
              <w:t>karşılıkları</w:t>
            </w:r>
            <w:proofErr w:type="spellEnd"/>
            <w:r w:rsidRPr="006D15A7">
              <w:rPr>
                <w:rFonts w:ascii="Georgia" w:hAnsi="Georgia"/>
                <w:lang w:val="en-GB"/>
              </w:rPr>
              <w:t xml:space="preserve"> </w:t>
            </w:r>
            <w:proofErr w:type="spellStart"/>
            <w:r w:rsidRPr="006D15A7">
              <w:rPr>
                <w:rFonts w:ascii="Georgia" w:hAnsi="Georgia"/>
                <w:lang w:val="en-GB"/>
              </w:rPr>
              <w:t>modelinin</w:t>
            </w:r>
            <w:proofErr w:type="spellEnd"/>
            <w:r w:rsidRPr="006D15A7">
              <w:rPr>
                <w:rFonts w:ascii="Georgia" w:hAnsi="Georgia"/>
                <w:lang w:val="en-GB"/>
              </w:rPr>
              <w:t xml:space="preserve"> </w:t>
            </w:r>
            <w:proofErr w:type="spellStart"/>
            <w:r w:rsidRPr="006D15A7">
              <w:rPr>
                <w:rFonts w:ascii="Georgia" w:hAnsi="Georgia"/>
                <w:lang w:val="en-GB"/>
              </w:rPr>
              <w:t>geliştirme</w:t>
            </w:r>
            <w:proofErr w:type="spellEnd"/>
            <w:r w:rsidRPr="006D15A7">
              <w:rPr>
                <w:rFonts w:ascii="Georgia" w:hAnsi="Georgia"/>
                <w:lang w:val="en-GB"/>
              </w:rPr>
              <w:t xml:space="preserve"> </w:t>
            </w:r>
            <w:proofErr w:type="spellStart"/>
            <w:r w:rsidRPr="006D15A7">
              <w:rPr>
                <w:rFonts w:ascii="Georgia" w:hAnsi="Georgia"/>
                <w:lang w:val="en-GB"/>
              </w:rPr>
              <w:t>safhasında</w:t>
            </w:r>
            <w:proofErr w:type="spellEnd"/>
            <w:r w:rsidRPr="006D15A7">
              <w:rPr>
                <w:rFonts w:ascii="Georgia" w:hAnsi="Georgia"/>
                <w:lang w:val="en-GB"/>
              </w:rPr>
              <w:t xml:space="preserve"> </w:t>
            </w:r>
            <w:proofErr w:type="spellStart"/>
            <w:r w:rsidRPr="006D15A7">
              <w:rPr>
                <w:rFonts w:ascii="Georgia" w:hAnsi="Georgia"/>
                <w:lang w:val="en-GB"/>
              </w:rPr>
              <w:t>önemli</w:t>
            </w:r>
            <w:proofErr w:type="spellEnd"/>
            <w:r w:rsidRPr="006D15A7">
              <w:rPr>
                <w:rFonts w:ascii="Georgia" w:hAnsi="Georgia"/>
                <w:lang w:val="en-GB"/>
              </w:rPr>
              <w:t xml:space="preserve"> </w:t>
            </w:r>
            <w:proofErr w:type="spellStart"/>
            <w:r w:rsidRPr="006D15A7">
              <w:rPr>
                <w:rFonts w:ascii="Georgia" w:hAnsi="Georgia"/>
                <w:lang w:val="en-GB"/>
              </w:rPr>
              <w:t>yargı</w:t>
            </w:r>
            <w:proofErr w:type="spellEnd"/>
            <w:r w:rsidRPr="006D15A7">
              <w:rPr>
                <w:rFonts w:ascii="Georgia" w:hAnsi="Georgia"/>
                <w:lang w:val="en-GB"/>
              </w:rPr>
              <w:t xml:space="preserve"> ve </w:t>
            </w:r>
            <w:proofErr w:type="spellStart"/>
            <w:r w:rsidRPr="006D15A7">
              <w:rPr>
                <w:rFonts w:ascii="Georgia" w:hAnsi="Georgia"/>
                <w:lang w:val="en-GB"/>
              </w:rPr>
              <w:t>yorumların</w:t>
            </w:r>
            <w:proofErr w:type="spellEnd"/>
            <w:r w:rsidRPr="006D15A7">
              <w:rPr>
                <w:rFonts w:ascii="Georgia" w:hAnsi="Georgia"/>
                <w:lang w:val="en-GB"/>
              </w:rPr>
              <w:t xml:space="preserve"> </w:t>
            </w:r>
            <w:proofErr w:type="spellStart"/>
            <w:r w:rsidRPr="006D15A7">
              <w:rPr>
                <w:rFonts w:ascii="Georgia" w:hAnsi="Georgia"/>
                <w:lang w:val="en-GB"/>
              </w:rPr>
              <w:t>kullanılmasını</w:t>
            </w:r>
            <w:proofErr w:type="spellEnd"/>
            <w:r w:rsidRPr="006D15A7">
              <w:rPr>
                <w:rFonts w:ascii="Georgia" w:hAnsi="Georgia"/>
                <w:lang w:val="en-GB"/>
              </w:rPr>
              <w:t xml:space="preserve"> </w:t>
            </w:r>
            <w:proofErr w:type="spellStart"/>
            <w:r w:rsidRPr="006D15A7">
              <w:rPr>
                <w:rFonts w:ascii="Georgia" w:hAnsi="Georgia"/>
                <w:lang w:val="en-GB"/>
              </w:rPr>
              <w:t>gerektirmiştir</w:t>
            </w:r>
            <w:proofErr w:type="spellEnd"/>
            <w:r w:rsidRPr="006D15A7">
              <w:rPr>
                <w:rFonts w:ascii="Georgia" w:hAnsi="Georgia"/>
                <w:lang w:val="en-GB"/>
              </w:rPr>
              <w:t xml:space="preserve">.  TFRS 9'un </w:t>
            </w:r>
            <w:proofErr w:type="spellStart"/>
            <w:r w:rsidRPr="006D15A7">
              <w:rPr>
                <w:rFonts w:ascii="Georgia" w:hAnsi="Georgia"/>
                <w:lang w:val="en-GB"/>
              </w:rPr>
              <w:t>benimsenmesinden</w:t>
            </w:r>
            <w:proofErr w:type="spellEnd"/>
            <w:r w:rsidRPr="006D15A7">
              <w:rPr>
                <w:rFonts w:ascii="Georgia" w:hAnsi="Georgia"/>
                <w:lang w:val="en-GB"/>
              </w:rPr>
              <w:t xml:space="preserve"> </w:t>
            </w:r>
            <w:proofErr w:type="spellStart"/>
            <w:r w:rsidRPr="006D15A7">
              <w:rPr>
                <w:rFonts w:ascii="Georgia" w:hAnsi="Georgia"/>
                <w:lang w:val="en-GB"/>
              </w:rPr>
              <w:t>kaynaklanan</w:t>
            </w:r>
            <w:proofErr w:type="spellEnd"/>
            <w:r w:rsidRPr="006D15A7">
              <w:rPr>
                <w:rFonts w:ascii="Georgia" w:hAnsi="Georgia"/>
                <w:lang w:val="en-GB"/>
              </w:rPr>
              <w:t xml:space="preserve"> </w:t>
            </w:r>
            <w:proofErr w:type="spellStart"/>
            <w:r w:rsidRPr="006D15A7">
              <w:rPr>
                <w:rFonts w:ascii="Georgia" w:hAnsi="Georgia"/>
                <w:lang w:val="en-GB"/>
              </w:rPr>
              <w:t>değişiklikler</w:t>
            </w:r>
            <w:proofErr w:type="spellEnd"/>
            <w:r w:rsidRPr="006D15A7">
              <w:rPr>
                <w:rFonts w:ascii="Georgia" w:hAnsi="Georgia"/>
                <w:lang w:val="en-GB"/>
              </w:rPr>
              <w:t xml:space="preserve"> ve </w:t>
            </w:r>
            <w:proofErr w:type="spellStart"/>
            <w:r w:rsidRPr="006D15A7">
              <w:rPr>
                <w:rFonts w:ascii="Georgia" w:hAnsi="Georgia"/>
                <w:lang w:val="en-GB"/>
              </w:rPr>
              <w:t>Banka’nın</w:t>
            </w:r>
            <w:proofErr w:type="spellEnd"/>
            <w:r w:rsidRPr="006D15A7">
              <w:rPr>
                <w:rFonts w:ascii="Georgia" w:hAnsi="Georgia"/>
                <w:lang w:val="en-GB"/>
              </w:rPr>
              <w:t xml:space="preserve"> </w:t>
            </w:r>
            <w:proofErr w:type="spellStart"/>
            <w:r w:rsidRPr="006D15A7">
              <w:rPr>
                <w:rFonts w:ascii="Georgia" w:hAnsi="Georgia"/>
                <w:lang w:val="en-GB"/>
              </w:rPr>
              <w:t>beklenen</w:t>
            </w:r>
            <w:proofErr w:type="spellEnd"/>
            <w:r w:rsidRPr="006D15A7">
              <w:rPr>
                <w:rFonts w:ascii="Georgia" w:hAnsi="Georgia"/>
                <w:lang w:val="en-GB"/>
              </w:rPr>
              <w:t xml:space="preserve"> </w:t>
            </w:r>
            <w:proofErr w:type="spellStart"/>
            <w:r w:rsidRPr="006D15A7">
              <w:rPr>
                <w:rFonts w:ascii="Georgia" w:hAnsi="Georgia"/>
                <w:lang w:val="en-GB"/>
              </w:rPr>
              <w:t>kredi</w:t>
            </w:r>
            <w:proofErr w:type="spellEnd"/>
            <w:r w:rsidRPr="006D15A7">
              <w:rPr>
                <w:rFonts w:ascii="Georgia" w:hAnsi="Georgia"/>
                <w:lang w:val="en-GB"/>
              </w:rPr>
              <w:t xml:space="preserve"> </w:t>
            </w:r>
            <w:proofErr w:type="spellStart"/>
            <w:r w:rsidRPr="006D15A7">
              <w:rPr>
                <w:rFonts w:ascii="Georgia" w:hAnsi="Georgia"/>
                <w:lang w:val="en-GB"/>
              </w:rPr>
              <w:t>zararları</w:t>
            </w:r>
            <w:proofErr w:type="spellEnd"/>
            <w:r w:rsidRPr="006D15A7">
              <w:rPr>
                <w:rFonts w:ascii="Georgia" w:hAnsi="Georgia"/>
                <w:lang w:val="en-GB"/>
              </w:rPr>
              <w:t xml:space="preserve"> </w:t>
            </w:r>
            <w:proofErr w:type="spellStart"/>
            <w:r w:rsidRPr="006D15A7">
              <w:rPr>
                <w:rFonts w:ascii="Georgia" w:hAnsi="Georgia"/>
                <w:lang w:val="en-GB"/>
              </w:rPr>
              <w:t>yaklaşımına</w:t>
            </w:r>
            <w:proofErr w:type="spellEnd"/>
            <w:r w:rsidRPr="006D15A7">
              <w:rPr>
                <w:rFonts w:ascii="Georgia" w:hAnsi="Georgia"/>
                <w:lang w:val="en-GB"/>
              </w:rPr>
              <w:t xml:space="preserve"> </w:t>
            </w:r>
            <w:proofErr w:type="spellStart"/>
            <w:r w:rsidRPr="006D15A7">
              <w:rPr>
                <w:rFonts w:ascii="Georgia" w:hAnsi="Georgia"/>
                <w:lang w:val="en-GB"/>
              </w:rPr>
              <w:t>ilgili</w:t>
            </w:r>
            <w:proofErr w:type="spellEnd"/>
            <w:r w:rsidRPr="006D15A7">
              <w:rPr>
                <w:rFonts w:ascii="Georgia" w:hAnsi="Georgia"/>
                <w:lang w:val="en-GB"/>
              </w:rPr>
              <w:t xml:space="preserve"> </w:t>
            </w:r>
            <w:proofErr w:type="spellStart"/>
            <w:r w:rsidRPr="006D15A7">
              <w:rPr>
                <w:rFonts w:ascii="Georgia" w:hAnsi="Georgia"/>
                <w:lang w:val="en-GB"/>
              </w:rPr>
              <w:t>açıklamalar</w:t>
            </w:r>
            <w:proofErr w:type="spellEnd"/>
            <w:r w:rsidRPr="006D15A7">
              <w:rPr>
                <w:rFonts w:ascii="Georgia" w:hAnsi="Georgia"/>
                <w:lang w:val="en-GB"/>
              </w:rPr>
              <w:t>, “</w:t>
            </w:r>
            <w:proofErr w:type="spellStart"/>
            <w:r w:rsidRPr="006D15A7">
              <w:rPr>
                <w:rFonts w:ascii="Georgia" w:hAnsi="Georgia"/>
                <w:lang w:val="en-GB"/>
              </w:rPr>
              <w:t>Krediler</w:t>
            </w:r>
            <w:proofErr w:type="spellEnd"/>
            <w:r w:rsidRPr="006D15A7">
              <w:rPr>
                <w:rFonts w:ascii="Georgia" w:hAnsi="Georgia"/>
                <w:lang w:val="en-GB"/>
              </w:rPr>
              <w:t xml:space="preserve"> ve </w:t>
            </w:r>
            <w:proofErr w:type="spellStart"/>
            <w:r w:rsidRPr="006D15A7">
              <w:rPr>
                <w:rFonts w:ascii="Georgia" w:hAnsi="Georgia"/>
                <w:lang w:val="en-GB"/>
              </w:rPr>
              <w:t>alacaklara</w:t>
            </w:r>
            <w:proofErr w:type="spellEnd"/>
            <w:r w:rsidRPr="006D15A7">
              <w:rPr>
                <w:rFonts w:ascii="Georgia" w:hAnsi="Georgia"/>
                <w:lang w:val="en-GB"/>
              </w:rPr>
              <w:t xml:space="preserve"> </w:t>
            </w:r>
            <w:proofErr w:type="spellStart"/>
            <w:r w:rsidRPr="006D15A7">
              <w:rPr>
                <w:rFonts w:ascii="Georgia" w:hAnsi="Georgia"/>
                <w:lang w:val="en-GB"/>
              </w:rPr>
              <w:t>ilişkin</w:t>
            </w:r>
            <w:proofErr w:type="spellEnd"/>
            <w:r w:rsidRPr="006D15A7">
              <w:rPr>
                <w:rFonts w:ascii="Georgia" w:hAnsi="Georgia"/>
                <w:lang w:val="en-GB"/>
              </w:rPr>
              <w:t xml:space="preserve"> </w:t>
            </w:r>
            <w:proofErr w:type="spellStart"/>
            <w:r w:rsidRPr="006D15A7">
              <w:rPr>
                <w:rFonts w:ascii="Georgia" w:hAnsi="Georgia"/>
                <w:lang w:val="en-GB"/>
              </w:rPr>
              <w:t>beklenen</w:t>
            </w:r>
            <w:proofErr w:type="spellEnd"/>
            <w:r w:rsidRPr="006D15A7">
              <w:rPr>
                <w:rFonts w:ascii="Georgia" w:hAnsi="Georgia"/>
                <w:lang w:val="en-GB"/>
              </w:rPr>
              <w:t xml:space="preserve"> </w:t>
            </w:r>
            <w:proofErr w:type="spellStart"/>
            <w:r w:rsidRPr="006D15A7">
              <w:rPr>
                <w:rFonts w:ascii="Georgia" w:hAnsi="Georgia"/>
                <w:lang w:val="en-GB"/>
              </w:rPr>
              <w:t>kredi</w:t>
            </w:r>
            <w:proofErr w:type="spellEnd"/>
            <w:r w:rsidRPr="006D15A7">
              <w:rPr>
                <w:rFonts w:ascii="Georgia" w:hAnsi="Georgia"/>
                <w:lang w:val="en-GB"/>
              </w:rPr>
              <w:t xml:space="preserve"> </w:t>
            </w:r>
            <w:proofErr w:type="spellStart"/>
            <w:r w:rsidRPr="006D15A7">
              <w:rPr>
                <w:rFonts w:ascii="Georgia" w:hAnsi="Georgia"/>
                <w:lang w:val="en-GB"/>
              </w:rPr>
              <w:t>zarar</w:t>
            </w:r>
            <w:proofErr w:type="spellEnd"/>
            <w:r w:rsidRPr="006D15A7">
              <w:rPr>
                <w:rFonts w:ascii="Georgia" w:hAnsi="Georgia"/>
                <w:lang w:val="en-GB"/>
              </w:rPr>
              <w:t xml:space="preserve"> </w:t>
            </w:r>
            <w:proofErr w:type="spellStart"/>
            <w:r w:rsidRPr="006D15A7">
              <w:rPr>
                <w:rFonts w:ascii="Georgia" w:hAnsi="Georgia"/>
                <w:lang w:val="en-GB"/>
              </w:rPr>
              <w:t>karşılığı</w:t>
            </w:r>
            <w:proofErr w:type="spellEnd"/>
            <w:r w:rsidRPr="006D15A7">
              <w:rPr>
                <w:rFonts w:ascii="Georgia" w:hAnsi="Georgia"/>
                <w:lang w:val="en-GB"/>
              </w:rPr>
              <w:t xml:space="preserve">” </w:t>
            </w:r>
            <w:proofErr w:type="spellStart"/>
            <w:r w:rsidRPr="006D15A7">
              <w:rPr>
                <w:rFonts w:ascii="Georgia" w:hAnsi="Georgia"/>
                <w:lang w:val="en-GB"/>
              </w:rPr>
              <w:t>başlıklı</w:t>
            </w:r>
            <w:proofErr w:type="spellEnd"/>
            <w:r w:rsidRPr="006D15A7">
              <w:rPr>
                <w:rFonts w:ascii="Georgia" w:hAnsi="Georgia"/>
                <w:lang w:val="en-GB"/>
              </w:rPr>
              <w:t xml:space="preserve"> </w:t>
            </w:r>
            <w:proofErr w:type="spellStart"/>
            <w:r w:rsidRPr="006D15A7">
              <w:rPr>
                <w:rFonts w:ascii="Georgia" w:hAnsi="Georgia"/>
                <w:lang w:val="en-GB"/>
              </w:rPr>
              <w:t>kilit</w:t>
            </w:r>
            <w:proofErr w:type="spellEnd"/>
            <w:r w:rsidRPr="006D15A7">
              <w:rPr>
                <w:rFonts w:ascii="Georgia" w:hAnsi="Georgia"/>
                <w:lang w:val="en-GB"/>
              </w:rPr>
              <w:t xml:space="preserve"> </w:t>
            </w:r>
            <w:proofErr w:type="spellStart"/>
            <w:r w:rsidRPr="006D15A7">
              <w:rPr>
                <w:rFonts w:ascii="Georgia" w:hAnsi="Georgia"/>
                <w:lang w:val="en-GB"/>
              </w:rPr>
              <w:t>denetim</w:t>
            </w:r>
            <w:proofErr w:type="spellEnd"/>
            <w:r w:rsidRPr="006D15A7">
              <w:rPr>
                <w:rFonts w:ascii="Georgia" w:hAnsi="Georgia"/>
                <w:lang w:val="en-GB"/>
              </w:rPr>
              <w:t xml:space="preserve"> </w:t>
            </w:r>
            <w:proofErr w:type="spellStart"/>
            <w:r w:rsidRPr="006D15A7">
              <w:rPr>
                <w:rFonts w:ascii="Georgia" w:hAnsi="Georgia"/>
                <w:lang w:val="en-GB"/>
              </w:rPr>
              <w:t>konusunda</w:t>
            </w:r>
            <w:proofErr w:type="spellEnd"/>
            <w:r w:rsidRPr="006D15A7">
              <w:rPr>
                <w:rFonts w:ascii="Georgia" w:hAnsi="Georgia"/>
                <w:lang w:val="en-GB"/>
              </w:rPr>
              <w:t xml:space="preserve"> </w:t>
            </w:r>
            <w:proofErr w:type="spellStart"/>
            <w:r w:rsidRPr="006D15A7">
              <w:rPr>
                <w:rFonts w:ascii="Georgia" w:hAnsi="Georgia"/>
                <w:lang w:val="en-GB"/>
              </w:rPr>
              <w:t>ayrıca</w:t>
            </w:r>
            <w:proofErr w:type="spellEnd"/>
            <w:r w:rsidRPr="006D15A7">
              <w:rPr>
                <w:rFonts w:ascii="Georgia" w:hAnsi="Georgia"/>
                <w:lang w:val="en-GB"/>
              </w:rPr>
              <w:t xml:space="preserve"> </w:t>
            </w:r>
            <w:proofErr w:type="spellStart"/>
            <w:r w:rsidRPr="006D15A7">
              <w:rPr>
                <w:rFonts w:ascii="Georgia" w:hAnsi="Georgia"/>
                <w:lang w:val="en-GB"/>
              </w:rPr>
              <w:t>yer</w:t>
            </w:r>
            <w:proofErr w:type="spellEnd"/>
            <w:r w:rsidRPr="006D15A7">
              <w:rPr>
                <w:rFonts w:ascii="Georgia" w:hAnsi="Georgia"/>
                <w:lang w:val="en-GB"/>
              </w:rPr>
              <w:t xml:space="preserve"> </w:t>
            </w:r>
            <w:proofErr w:type="spellStart"/>
            <w:r w:rsidRPr="006D15A7">
              <w:rPr>
                <w:rFonts w:ascii="Georgia" w:hAnsi="Georgia"/>
                <w:lang w:val="en-GB"/>
              </w:rPr>
              <w:t>almaktadır</w:t>
            </w:r>
            <w:proofErr w:type="spellEnd"/>
            <w:r w:rsidRPr="006D15A7">
              <w:rPr>
                <w:rFonts w:ascii="Georgia" w:hAnsi="Georgia"/>
                <w:lang w:val="en-GB"/>
              </w:rPr>
              <w:t>.</w:t>
            </w:r>
          </w:p>
          <w:p w14:paraId="7152F035" w14:textId="77777777" w:rsidR="006D15A7" w:rsidRPr="006D15A7" w:rsidRDefault="006D15A7" w:rsidP="006D15A7">
            <w:pPr>
              <w:widowControl w:val="0"/>
              <w:spacing w:line="290" w:lineRule="atLeast"/>
              <w:rPr>
                <w:rFonts w:ascii="Georgia" w:hAnsi="Georgia"/>
                <w:lang w:val="en-GB"/>
              </w:rPr>
            </w:pPr>
          </w:p>
          <w:p w14:paraId="15D60835" w14:textId="77777777" w:rsidR="006D15A7" w:rsidRPr="006D15A7" w:rsidRDefault="006D15A7" w:rsidP="006D15A7">
            <w:pPr>
              <w:widowControl w:val="0"/>
              <w:spacing w:line="290" w:lineRule="atLeast"/>
              <w:rPr>
                <w:rFonts w:ascii="Georgia" w:eastAsia="Calibri" w:hAnsi="Georgia" w:cs="Arial"/>
                <w:lang w:val="en-GB"/>
              </w:rPr>
            </w:pPr>
            <w:r w:rsidRPr="006D15A7">
              <w:rPr>
                <w:rFonts w:ascii="Georgia" w:hAnsi="Georgia"/>
                <w:lang w:val="en-GB"/>
              </w:rPr>
              <w:t xml:space="preserve">TFRS 9’un ilk </w:t>
            </w:r>
            <w:proofErr w:type="spellStart"/>
            <w:r w:rsidRPr="006D15A7">
              <w:rPr>
                <w:rFonts w:ascii="Georgia" w:hAnsi="Georgia"/>
                <w:lang w:val="en-GB"/>
              </w:rPr>
              <w:t>kez</w:t>
            </w:r>
            <w:proofErr w:type="spellEnd"/>
            <w:r w:rsidRPr="006D15A7">
              <w:rPr>
                <w:rFonts w:ascii="Georgia" w:hAnsi="Georgia"/>
                <w:lang w:val="en-GB"/>
              </w:rPr>
              <w:t xml:space="preserve"> </w:t>
            </w:r>
            <w:proofErr w:type="spellStart"/>
            <w:r w:rsidRPr="006D15A7">
              <w:rPr>
                <w:rFonts w:ascii="Georgia" w:hAnsi="Georgia"/>
                <w:lang w:val="en-GB"/>
              </w:rPr>
              <w:t>uygulanması</w:t>
            </w:r>
            <w:proofErr w:type="spellEnd"/>
            <w:r w:rsidRPr="006D15A7">
              <w:rPr>
                <w:rFonts w:ascii="Georgia" w:hAnsi="Georgia"/>
                <w:lang w:val="en-GB"/>
              </w:rPr>
              <w:t xml:space="preserve"> </w:t>
            </w:r>
            <w:proofErr w:type="spellStart"/>
            <w:r w:rsidRPr="006D15A7">
              <w:rPr>
                <w:rFonts w:ascii="Georgia" w:hAnsi="Georgia"/>
                <w:lang w:val="en-GB"/>
              </w:rPr>
              <w:t>çok</w:t>
            </w:r>
            <w:proofErr w:type="spellEnd"/>
            <w:r w:rsidRPr="006D15A7">
              <w:rPr>
                <w:rFonts w:ascii="Georgia" w:hAnsi="Georgia"/>
                <w:lang w:val="en-GB"/>
              </w:rPr>
              <w:t xml:space="preserve"> </w:t>
            </w:r>
            <w:proofErr w:type="spellStart"/>
            <w:r w:rsidRPr="006D15A7">
              <w:rPr>
                <w:rFonts w:ascii="Georgia" w:hAnsi="Georgia"/>
                <w:lang w:val="en-GB"/>
              </w:rPr>
              <w:t>sayıda</w:t>
            </w:r>
            <w:proofErr w:type="spellEnd"/>
            <w:r w:rsidRPr="006D15A7">
              <w:rPr>
                <w:rFonts w:ascii="Georgia" w:hAnsi="Georgia"/>
                <w:lang w:val="en-GB"/>
              </w:rPr>
              <w:t xml:space="preserve"> </w:t>
            </w:r>
            <w:proofErr w:type="spellStart"/>
            <w:r w:rsidRPr="006D15A7">
              <w:rPr>
                <w:rFonts w:ascii="Georgia" w:hAnsi="Georgia"/>
                <w:lang w:val="en-GB"/>
              </w:rPr>
              <w:t>yorum</w:t>
            </w:r>
            <w:proofErr w:type="spellEnd"/>
            <w:r w:rsidRPr="006D15A7">
              <w:rPr>
                <w:rFonts w:ascii="Georgia" w:hAnsi="Georgia"/>
                <w:lang w:val="en-GB"/>
              </w:rPr>
              <w:t xml:space="preserve"> ve </w:t>
            </w:r>
            <w:proofErr w:type="spellStart"/>
            <w:r w:rsidRPr="006D15A7">
              <w:rPr>
                <w:rFonts w:ascii="Georgia" w:hAnsi="Georgia"/>
                <w:lang w:val="en-GB"/>
              </w:rPr>
              <w:t>yargılara</w:t>
            </w:r>
            <w:proofErr w:type="spellEnd"/>
            <w:r w:rsidRPr="006D15A7">
              <w:rPr>
                <w:rFonts w:ascii="Georgia" w:hAnsi="Georgia"/>
                <w:lang w:val="en-GB"/>
              </w:rPr>
              <w:t xml:space="preserve"> </w:t>
            </w:r>
            <w:proofErr w:type="spellStart"/>
            <w:r w:rsidRPr="006D15A7">
              <w:rPr>
                <w:rFonts w:ascii="Georgia" w:hAnsi="Georgia"/>
                <w:lang w:val="en-GB"/>
              </w:rPr>
              <w:t>bağlı</w:t>
            </w:r>
            <w:proofErr w:type="spellEnd"/>
            <w:r w:rsidRPr="006D15A7">
              <w:rPr>
                <w:rFonts w:ascii="Georgia" w:hAnsi="Georgia"/>
                <w:lang w:val="en-GB"/>
              </w:rPr>
              <w:t xml:space="preserve"> </w:t>
            </w:r>
            <w:proofErr w:type="spellStart"/>
            <w:r w:rsidRPr="006D15A7">
              <w:rPr>
                <w:rFonts w:ascii="Georgia" w:hAnsi="Georgia"/>
                <w:lang w:val="en-GB"/>
              </w:rPr>
              <w:t>kararlar</w:t>
            </w:r>
            <w:proofErr w:type="spellEnd"/>
            <w:r w:rsidRPr="006D15A7">
              <w:rPr>
                <w:rFonts w:ascii="Georgia" w:hAnsi="Georgia"/>
                <w:lang w:val="en-GB"/>
              </w:rPr>
              <w:t xml:space="preserve"> </w:t>
            </w:r>
            <w:proofErr w:type="spellStart"/>
            <w:r w:rsidRPr="006D15A7">
              <w:rPr>
                <w:rFonts w:ascii="Georgia" w:hAnsi="Georgia"/>
                <w:lang w:val="en-GB"/>
              </w:rPr>
              <w:t>gerektirmesi</w:t>
            </w:r>
            <w:proofErr w:type="spellEnd"/>
            <w:r w:rsidRPr="006D15A7">
              <w:rPr>
                <w:rFonts w:ascii="Georgia" w:hAnsi="Georgia"/>
                <w:lang w:val="en-GB"/>
              </w:rPr>
              <w:t xml:space="preserve"> ve </w:t>
            </w:r>
            <w:proofErr w:type="spellStart"/>
            <w:r w:rsidRPr="006D15A7">
              <w:rPr>
                <w:rFonts w:ascii="Georgia" w:hAnsi="Georgia"/>
                <w:lang w:val="en-GB"/>
              </w:rPr>
              <w:t>Banka’nın</w:t>
            </w:r>
            <w:proofErr w:type="spellEnd"/>
            <w:r w:rsidRPr="006D15A7">
              <w:rPr>
                <w:rFonts w:ascii="Georgia" w:hAnsi="Georgia"/>
                <w:lang w:val="en-GB"/>
              </w:rPr>
              <w:t xml:space="preserve"> </w:t>
            </w:r>
            <w:proofErr w:type="spellStart"/>
            <w:r w:rsidRPr="006D15A7">
              <w:rPr>
                <w:rFonts w:ascii="Georgia" w:hAnsi="Georgia"/>
                <w:lang w:val="en-GB"/>
              </w:rPr>
              <w:t>finansal</w:t>
            </w:r>
            <w:proofErr w:type="spellEnd"/>
            <w:r w:rsidRPr="006D15A7">
              <w:rPr>
                <w:rFonts w:ascii="Georgia" w:hAnsi="Georgia"/>
                <w:lang w:val="en-GB"/>
              </w:rPr>
              <w:t xml:space="preserve"> </w:t>
            </w:r>
            <w:proofErr w:type="spellStart"/>
            <w:r w:rsidRPr="006D15A7">
              <w:rPr>
                <w:rFonts w:ascii="Georgia" w:hAnsi="Georgia"/>
                <w:lang w:val="en-GB"/>
              </w:rPr>
              <w:t>raporlama</w:t>
            </w:r>
            <w:proofErr w:type="spellEnd"/>
            <w:r w:rsidRPr="006D15A7">
              <w:rPr>
                <w:rFonts w:ascii="Georgia" w:hAnsi="Georgia"/>
                <w:lang w:val="en-GB"/>
              </w:rPr>
              <w:t xml:space="preserve"> </w:t>
            </w:r>
            <w:proofErr w:type="spellStart"/>
            <w:r w:rsidRPr="006D15A7">
              <w:rPr>
                <w:rFonts w:ascii="Georgia" w:hAnsi="Georgia"/>
                <w:lang w:val="en-GB"/>
              </w:rPr>
              <w:t>çerçevesinde</w:t>
            </w:r>
            <w:proofErr w:type="spellEnd"/>
            <w:r w:rsidRPr="006D15A7">
              <w:rPr>
                <w:rFonts w:ascii="Georgia" w:hAnsi="Georgia"/>
                <w:lang w:val="en-GB"/>
              </w:rPr>
              <w:t xml:space="preserve"> </w:t>
            </w:r>
            <w:proofErr w:type="spellStart"/>
            <w:r w:rsidRPr="006D15A7">
              <w:rPr>
                <w:rFonts w:ascii="Georgia" w:hAnsi="Georgia"/>
                <w:lang w:val="en-GB"/>
              </w:rPr>
              <w:t>önemli</w:t>
            </w:r>
            <w:proofErr w:type="spellEnd"/>
            <w:r w:rsidRPr="006D15A7">
              <w:rPr>
                <w:rFonts w:ascii="Georgia" w:hAnsi="Georgia"/>
                <w:lang w:val="en-GB"/>
              </w:rPr>
              <w:t xml:space="preserve"> </w:t>
            </w:r>
            <w:proofErr w:type="spellStart"/>
            <w:r w:rsidRPr="006D15A7">
              <w:rPr>
                <w:rFonts w:ascii="Georgia" w:hAnsi="Georgia"/>
                <w:lang w:val="en-GB"/>
              </w:rPr>
              <w:t>bir</w:t>
            </w:r>
            <w:proofErr w:type="spellEnd"/>
            <w:r w:rsidRPr="006D15A7">
              <w:rPr>
                <w:rFonts w:ascii="Georgia" w:hAnsi="Georgia"/>
                <w:lang w:val="en-GB"/>
              </w:rPr>
              <w:t xml:space="preserve"> </w:t>
            </w:r>
            <w:proofErr w:type="spellStart"/>
            <w:r w:rsidRPr="006D15A7">
              <w:rPr>
                <w:rFonts w:ascii="Georgia" w:hAnsi="Georgia"/>
                <w:lang w:val="en-GB"/>
              </w:rPr>
              <w:t>değişiklik</w:t>
            </w:r>
            <w:proofErr w:type="spellEnd"/>
            <w:r w:rsidRPr="006D15A7">
              <w:rPr>
                <w:rFonts w:ascii="Georgia" w:hAnsi="Georgia"/>
                <w:lang w:val="en-GB"/>
              </w:rPr>
              <w:t xml:space="preserve"> </w:t>
            </w:r>
            <w:proofErr w:type="spellStart"/>
            <w:r w:rsidRPr="006D15A7">
              <w:rPr>
                <w:rFonts w:ascii="Georgia" w:hAnsi="Georgia"/>
                <w:lang w:val="en-GB"/>
              </w:rPr>
              <w:t>olması</w:t>
            </w:r>
            <w:proofErr w:type="spellEnd"/>
            <w:r w:rsidRPr="006D15A7">
              <w:rPr>
                <w:rFonts w:ascii="Georgia" w:hAnsi="Georgia"/>
                <w:lang w:val="en-GB"/>
              </w:rPr>
              <w:t xml:space="preserve"> </w:t>
            </w:r>
            <w:proofErr w:type="spellStart"/>
            <w:r w:rsidRPr="006D15A7">
              <w:rPr>
                <w:rFonts w:ascii="Georgia" w:hAnsi="Georgia"/>
                <w:lang w:val="en-GB"/>
              </w:rPr>
              <w:t>sebebiyle</w:t>
            </w:r>
            <w:proofErr w:type="spellEnd"/>
            <w:r w:rsidRPr="006D15A7">
              <w:rPr>
                <w:rFonts w:ascii="Georgia" w:hAnsi="Georgia"/>
                <w:lang w:val="en-GB"/>
              </w:rPr>
              <w:t xml:space="preserve"> </w:t>
            </w:r>
            <w:proofErr w:type="spellStart"/>
            <w:r w:rsidRPr="006D15A7">
              <w:rPr>
                <w:rFonts w:ascii="Georgia" w:hAnsi="Georgia"/>
                <w:lang w:val="en-GB"/>
              </w:rPr>
              <w:t>tarafımızca</w:t>
            </w:r>
            <w:proofErr w:type="spellEnd"/>
            <w:r w:rsidRPr="006D15A7">
              <w:rPr>
                <w:rFonts w:ascii="Georgia" w:hAnsi="Georgia"/>
                <w:lang w:val="en-GB"/>
              </w:rPr>
              <w:t xml:space="preserve"> </w:t>
            </w:r>
            <w:proofErr w:type="spellStart"/>
            <w:r w:rsidRPr="006D15A7">
              <w:rPr>
                <w:rFonts w:ascii="Georgia" w:hAnsi="Georgia"/>
                <w:lang w:val="en-GB"/>
              </w:rPr>
              <w:t>kilit</w:t>
            </w:r>
            <w:proofErr w:type="spellEnd"/>
            <w:r w:rsidRPr="006D15A7">
              <w:rPr>
                <w:rFonts w:ascii="Georgia" w:hAnsi="Georgia"/>
                <w:lang w:val="en-GB"/>
              </w:rPr>
              <w:t xml:space="preserve"> </w:t>
            </w:r>
            <w:proofErr w:type="spellStart"/>
            <w:r w:rsidRPr="006D15A7">
              <w:rPr>
                <w:rFonts w:ascii="Georgia" w:hAnsi="Georgia"/>
                <w:lang w:val="en-GB"/>
              </w:rPr>
              <w:t>denetim</w:t>
            </w:r>
            <w:proofErr w:type="spellEnd"/>
            <w:r w:rsidRPr="006D15A7">
              <w:rPr>
                <w:rFonts w:ascii="Georgia" w:hAnsi="Georgia"/>
                <w:lang w:val="en-GB"/>
              </w:rPr>
              <w:t xml:space="preserve"> </w:t>
            </w:r>
            <w:proofErr w:type="spellStart"/>
            <w:r w:rsidRPr="006D15A7">
              <w:rPr>
                <w:rFonts w:ascii="Georgia" w:hAnsi="Georgia"/>
                <w:lang w:val="en-GB"/>
              </w:rPr>
              <w:t>konusu</w:t>
            </w:r>
            <w:proofErr w:type="spellEnd"/>
            <w:r w:rsidRPr="006D15A7">
              <w:rPr>
                <w:rFonts w:ascii="Georgia" w:hAnsi="Georgia"/>
                <w:lang w:val="en-GB"/>
              </w:rPr>
              <w:t xml:space="preserve"> </w:t>
            </w:r>
            <w:proofErr w:type="spellStart"/>
            <w:r w:rsidRPr="006D15A7">
              <w:rPr>
                <w:rFonts w:ascii="Georgia" w:hAnsi="Georgia"/>
                <w:lang w:val="en-GB"/>
              </w:rPr>
              <w:t>olarak</w:t>
            </w:r>
            <w:proofErr w:type="spellEnd"/>
            <w:r w:rsidRPr="006D15A7">
              <w:rPr>
                <w:rFonts w:ascii="Georgia" w:hAnsi="Georgia"/>
                <w:lang w:val="en-GB"/>
              </w:rPr>
              <w:t xml:space="preserve"> </w:t>
            </w:r>
            <w:proofErr w:type="spellStart"/>
            <w:r w:rsidRPr="006D15A7">
              <w:rPr>
                <w:rFonts w:ascii="Georgia" w:hAnsi="Georgia"/>
                <w:lang w:val="en-GB"/>
              </w:rPr>
              <w:t>ele</w:t>
            </w:r>
            <w:proofErr w:type="spellEnd"/>
            <w:r w:rsidRPr="006D15A7">
              <w:rPr>
                <w:rFonts w:ascii="Georgia" w:hAnsi="Georgia"/>
                <w:lang w:val="en-GB"/>
              </w:rPr>
              <w:t xml:space="preserve"> </w:t>
            </w:r>
            <w:proofErr w:type="spellStart"/>
            <w:r w:rsidRPr="006D15A7">
              <w:rPr>
                <w:rFonts w:ascii="Georgia" w:hAnsi="Georgia"/>
                <w:lang w:val="en-GB"/>
              </w:rPr>
              <w:t>alınmıştır</w:t>
            </w:r>
            <w:proofErr w:type="spellEnd"/>
            <w:r w:rsidRPr="006D15A7">
              <w:rPr>
                <w:rFonts w:ascii="Georgia" w:hAnsi="Georgia"/>
                <w:lang w:val="en-GB"/>
              </w:rPr>
              <w:t>.</w:t>
            </w:r>
          </w:p>
          <w:p w14:paraId="4F05A2E8" w14:textId="77777777" w:rsidR="006D15A7" w:rsidRPr="006D15A7" w:rsidRDefault="006D15A7" w:rsidP="006D15A7">
            <w:pPr>
              <w:widowControl w:val="0"/>
              <w:spacing w:line="290" w:lineRule="atLeast"/>
              <w:rPr>
                <w:rFonts w:ascii="Georgia" w:hAnsi="Georgia"/>
                <w:lang w:val="en-GB"/>
              </w:rPr>
            </w:pPr>
          </w:p>
          <w:p w14:paraId="26478D54" w14:textId="77777777" w:rsidR="006D15A7" w:rsidRPr="006D15A7" w:rsidRDefault="006D15A7" w:rsidP="006D15A7">
            <w:pPr>
              <w:widowControl w:val="0"/>
              <w:spacing w:line="290" w:lineRule="atLeast"/>
              <w:rPr>
                <w:rFonts w:ascii="Georgia" w:hAnsi="Georgia"/>
                <w:b/>
                <w:lang w:val="en-GB"/>
              </w:rPr>
            </w:pPr>
          </w:p>
          <w:p w14:paraId="22058A56" w14:textId="77777777" w:rsidR="006D15A7" w:rsidRPr="006D15A7" w:rsidRDefault="006D15A7" w:rsidP="006D15A7">
            <w:pPr>
              <w:widowControl w:val="0"/>
              <w:spacing w:line="290" w:lineRule="atLeast"/>
              <w:rPr>
                <w:rFonts w:ascii="Georgia" w:hAnsi="Georgia"/>
                <w:iCs/>
                <w:lang w:val="en-GB"/>
              </w:rPr>
            </w:pPr>
          </w:p>
        </w:tc>
        <w:tc>
          <w:tcPr>
            <w:tcW w:w="2362" w:type="pct"/>
            <w:tcBorders>
              <w:top w:val="single" w:sz="4" w:space="0" w:color="auto"/>
            </w:tcBorders>
          </w:tcPr>
          <w:p w14:paraId="4998CF45" w14:textId="77777777" w:rsidR="006D15A7" w:rsidRPr="006D15A7" w:rsidRDefault="006D15A7" w:rsidP="006D15A7">
            <w:pPr>
              <w:widowControl w:val="0"/>
              <w:spacing w:line="290" w:lineRule="atLeast"/>
              <w:rPr>
                <w:rFonts w:ascii="Georgia" w:hAnsi="Georgia"/>
                <w:lang w:val="en-GB"/>
              </w:rPr>
            </w:pPr>
          </w:p>
          <w:p w14:paraId="06547598" w14:textId="77777777" w:rsidR="006D15A7" w:rsidRPr="006D15A7" w:rsidRDefault="006D15A7" w:rsidP="006D15A7">
            <w:pPr>
              <w:shd w:val="clear" w:color="auto" w:fill="FFFFFF"/>
              <w:spacing w:line="290" w:lineRule="atLeast"/>
              <w:rPr>
                <w:rFonts w:ascii="Georgia" w:hAnsi="Georgia"/>
                <w:lang w:val="en-GB"/>
              </w:rPr>
            </w:pPr>
          </w:p>
          <w:p w14:paraId="712FEE6E" w14:textId="77777777" w:rsidR="006D15A7" w:rsidRPr="006D15A7" w:rsidRDefault="006D15A7" w:rsidP="006D15A7">
            <w:pPr>
              <w:shd w:val="clear" w:color="auto" w:fill="FFFFFF"/>
              <w:spacing w:line="290" w:lineRule="atLeast"/>
              <w:rPr>
                <w:rFonts w:ascii="Georgia" w:hAnsi="Georgia"/>
                <w:lang w:val="en-GB"/>
              </w:rPr>
            </w:pPr>
            <w:r w:rsidRPr="006D15A7">
              <w:rPr>
                <w:rFonts w:ascii="Georgia" w:hAnsi="Georgia"/>
                <w:lang w:val="en-GB"/>
              </w:rPr>
              <w:t xml:space="preserve">TFRS 9 </w:t>
            </w:r>
            <w:proofErr w:type="spellStart"/>
            <w:r w:rsidRPr="006D15A7">
              <w:rPr>
                <w:rFonts w:ascii="Georgia" w:hAnsi="Georgia"/>
                <w:lang w:val="en-GB"/>
              </w:rPr>
              <w:t>çerçevesinde</w:t>
            </w:r>
            <w:proofErr w:type="spellEnd"/>
            <w:r w:rsidRPr="006D15A7">
              <w:rPr>
                <w:rFonts w:ascii="Georgia" w:hAnsi="Georgia"/>
                <w:lang w:val="en-GB"/>
              </w:rPr>
              <w:t xml:space="preserve"> </w:t>
            </w:r>
            <w:proofErr w:type="spellStart"/>
            <w:r w:rsidRPr="006D15A7">
              <w:rPr>
                <w:rFonts w:ascii="Georgia" w:hAnsi="Georgia"/>
                <w:lang w:val="en-GB"/>
              </w:rPr>
              <w:t>uygulanan</w:t>
            </w:r>
            <w:proofErr w:type="spellEnd"/>
            <w:r w:rsidRPr="006D15A7">
              <w:rPr>
                <w:rFonts w:ascii="Georgia" w:hAnsi="Georgia"/>
                <w:lang w:val="en-GB"/>
              </w:rPr>
              <w:t xml:space="preserve"> </w:t>
            </w:r>
            <w:proofErr w:type="spellStart"/>
            <w:r w:rsidRPr="006D15A7">
              <w:rPr>
                <w:rFonts w:ascii="Georgia" w:hAnsi="Georgia"/>
                <w:lang w:val="en-GB"/>
              </w:rPr>
              <w:t>değer</w:t>
            </w:r>
            <w:proofErr w:type="spellEnd"/>
            <w:r w:rsidRPr="006D15A7">
              <w:rPr>
                <w:rFonts w:ascii="Georgia" w:hAnsi="Georgia"/>
                <w:lang w:val="en-GB"/>
              </w:rPr>
              <w:t xml:space="preserve"> </w:t>
            </w:r>
            <w:proofErr w:type="spellStart"/>
            <w:r w:rsidRPr="006D15A7">
              <w:rPr>
                <w:rFonts w:ascii="Georgia" w:hAnsi="Georgia"/>
                <w:lang w:val="en-GB"/>
              </w:rPr>
              <w:t>düşüklüğü</w:t>
            </w:r>
            <w:proofErr w:type="spellEnd"/>
            <w:r w:rsidRPr="006D15A7">
              <w:rPr>
                <w:rFonts w:ascii="Georgia" w:hAnsi="Georgia"/>
                <w:lang w:val="en-GB"/>
              </w:rPr>
              <w:t xml:space="preserve"> </w:t>
            </w:r>
            <w:proofErr w:type="spellStart"/>
            <w:r w:rsidRPr="006D15A7">
              <w:rPr>
                <w:rFonts w:ascii="Georgia" w:hAnsi="Georgia"/>
                <w:lang w:val="en-GB"/>
              </w:rPr>
              <w:t>yaklaşımı</w:t>
            </w:r>
            <w:proofErr w:type="spellEnd"/>
            <w:r w:rsidRPr="006D15A7">
              <w:rPr>
                <w:rFonts w:ascii="Georgia" w:hAnsi="Georgia"/>
                <w:lang w:val="en-GB"/>
              </w:rPr>
              <w:t xml:space="preserve"> ve </w:t>
            </w:r>
            <w:proofErr w:type="spellStart"/>
            <w:r w:rsidRPr="006D15A7">
              <w:rPr>
                <w:rFonts w:ascii="Georgia" w:hAnsi="Georgia"/>
                <w:lang w:val="en-GB"/>
              </w:rPr>
              <w:t>modelleriyle</w:t>
            </w:r>
            <w:proofErr w:type="spellEnd"/>
            <w:r w:rsidRPr="006D15A7">
              <w:rPr>
                <w:rFonts w:ascii="Georgia" w:hAnsi="Georgia"/>
                <w:lang w:val="en-GB"/>
              </w:rPr>
              <w:t xml:space="preserve"> </w:t>
            </w:r>
            <w:proofErr w:type="spellStart"/>
            <w:r w:rsidRPr="006D15A7">
              <w:rPr>
                <w:rFonts w:ascii="Georgia" w:hAnsi="Georgia"/>
                <w:lang w:val="en-GB"/>
              </w:rPr>
              <w:t>ilgili</w:t>
            </w:r>
            <w:proofErr w:type="spellEnd"/>
            <w:r w:rsidRPr="006D15A7">
              <w:rPr>
                <w:rFonts w:ascii="Georgia" w:hAnsi="Georgia"/>
                <w:lang w:val="en-GB"/>
              </w:rPr>
              <w:t xml:space="preserve"> </w:t>
            </w:r>
            <w:proofErr w:type="spellStart"/>
            <w:r w:rsidRPr="006D15A7">
              <w:rPr>
                <w:rFonts w:ascii="Georgia" w:hAnsi="Georgia"/>
                <w:lang w:val="en-GB"/>
              </w:rPr>
              <w:t>uygulanan</w:t>
            </w:r>
            <w:proofErr w:type="spellEnd"/>
            <w:r w:rsidRPr="006D15A7">
              <w:rPr>
                <w:rFonts w:ascii="Georgia" w:hAnsi="Georgia"/>
                <w:lang w:val="en-GB"/>
              </w:rPr>
              <w:t xml:space="preserve"> </w:t>
            </w:r>
            <w:proofErr w:type="spellStart"/>
            <w:r w:rsidRPr="006D15A7">
              <w:rPr>
                <w:rFonts w:ascii="Georgia" w:hAnsi="Georgia"/>
                <w:lang w:val="en-GB"/>
              </w:rPr>
              <w:t>denetim</w:t>
            </w:r>
            <w:proofErr w:type="spellEnd"/>
            <w:r w:rsidRPr="006D15A7">
              <w:rPr>
                <w:rFonts w:ascii="Georgia" w:hAnsi="Georgia"/>
                <w:lang w:val="en-GB"/>
              </w:rPr>
              <w:t xml:space="preserve"> </w:t>
            </w:r>
            <w:proofErr w:type="spellStart"/>
            <w:r w:rsidRPr="006D15A7">
              <w:rPr>
                <w:rFonts w:ascii="Georgia" w:hAnsi="Georgia"/>
                <w:lang w:val="en-GB"/>
              </w:rPr>
              <w:t>prosedürleri</w:t>
            </w:r>
            <w:proofErr w:type="spellEnd"/>
            <w:r w:rsidRPr="006D15A7">
              <w:rPr>
                <w:rFonts w:ascii="Georgia" w:hAnsi="Georgia"/>
                <w:lang w:val="en-GB"/>
              </w:rPr>
              <w:t xml:space="preserve"> “</w:t>
            </w:r>
            <w:proofErr w:type="spellStart"/>
            <w:r w:rsidRPr="006D15A7">
              <w:rPr>
                <w:rFonts w:ascii="Georgia" w:hAnsi="Georgia"/>
                <w:lang w:val="en-GB"/>
              </w:rPr>
              <w:t>Krediler</w:t>
            </w:r>
            <w:proofErr w:type="spellEnd"/>
            <w:r w:rsidRPr="006D15A7">
              <w:rPr>
                <w:rFonts w:ascii="Georgia" w:hAnsi="Georgia"/>
                <w:lang w:val="en-GB"/>
              </w:rPr>
              <w:t xml:space="preserve"> ve </w:t>
            </w:r>
            <w:proofErr w:type="spellStart"/>
            <w:r w:rsidRPr="006D15A7">
              <w:rPr>
                <w:rFonts w:ascii="Georgia" w:hAnsi="Georgia"/>
                <w:lang w:val="en-GB"/>
              </w:rPr>
              <w:t>alacaklara</w:t>
            </w:r>
            <w:proofErr w:type="spellEnd"/>
            <w:r w:rsidRPr="006D15A7">
              <w:rPr>
                <w:rFonts w:ascii="Georgia" w:hAnsi="Georgia"/>
                <w:lang w:val="en-GB"/>
              </w:rPr>
              <w:t xml:space="preserve"> </w:t>
            </w:r>
            <w:proofErr w:type="spellStart"/>
            <w:r w:rsidRPr="006D15A7">
              <w:rPr>
                <w:rFonts w:ascii="Georgia" w:hAnsi="Georgia"/>
                <w:lang w:val="en-GB"/>
              </w:rPr>
              <w:t>ilişkin</w:t>
            </w:r>
            <w:proofErr w:type="spellEnd"/>
            <w:r w:rsidRPr="006D15A7">
              <w:rPr>
                <w:rFonts w:ascii="Georgia" w:hAnsi="Georgia"/>
                <w:lang w:val="en-GB"/>
              </w:rPr>
              <w:t xml:space="preserve"> </w:t>
            </w:r>
            <w:proofErr w:type="spellStart"/>
            <w:r w:rsidRPr="006D15A7">
              <w:rPr>
                <w:rFonts w:ascii="Georgia" w:hAnsi="Georgia"/>
                <w:lang w:val="en-GB"/>
              </w:rPr>
              <w:t>beklenen</w:t>
            </w:r>
            <w:proofErr w:type="spellEnd"/>
            <w:r w:rsidRPr="006D15A7">
              <w:rPr>
                <w:rFonts w:ascii="Georgia" w:hAnsi="Georgia"/>
                <w:lang w:val="en-GB"/>
              </w:rPr>
              <w:t xml:space="preserve"> </w:t>
            </w:r>
            <w:proofErr w:type="spellStart"/>
            <w:r w:rsidRPr="006D15A7">
              <w:rPr>
                <w:rFonts w:ascii="Georgia" w:hAnsi="Georgia"/>
                <w:lang w:val="en-GB"/>
              </w:rPr>
              <w:t>kredi</w:t>
            </w:r>
            <w:proofErr w:type="spellEnd"/>
            <w:r w:rsidRPr="006D15A7">
              <w:rPr>
                <w:rFonts w:ascii="Georgia" w:hAnsi="Georgia"/>
                <w:lang w:val="en-GB"/>
              </w:rPr>
              <w:t xml:space="preserve"> </w:t>
            </w:r>
            <w:proofErr w:type="spellStart"/>
            <w:r w:rsidRPr="006D15A7">
              <w:rPr>
                <w:rFonts w:ascii="Georgia" w:hAnsi="Georgia"/>
                <w:lang w:val="en-GB"/>
              </w:rPr>
              <w:t>zarar</w:t>
            </w:r>
            <w:proofErr w:type="spellEnd"/>
            <w:r w:rsidRPr="006D15A7">
              <w:rPr>
                <w:rFonts w:ascii="Georgia" w:hAnsi="Georgia"/>
                <w:lang w:val="en-GB"/>
              </w:rPr>
              <w:t xml:space="preserve"> </w:t>
            </w:r>
            <w:proofErr w:type="spellStart"/>
            <w:r w:rsidRPr="006D15A7">
              <w:rPr>
                <w:rFonts w:ascii="Georgia" w:hAnsi="Georgia"/>
                <w:lang w:val="en-GB"/>
              </w:rPr>
              <w:t>karşılığı</w:t>
            </w:r>
            <w:proofErr w:type="spellEnd"/>
            <w:r w:rsidRPr="006D15A7">
              <w:rPr>
                <w:rFonts w:ascii="Georgia" w:hAnsi="Georgia"/>
                <w:lang w:val="en-GB"/>
              </w:rPr>
              <w:t xml:space="preserve">” </w:t>
            </w:r>
            <w:proofErr w:type="spellStart"/>
            <w:r w:rsidRPr="006D15A7">
              <w:rPr>
                <w:rFonts w:ascii="Georgia" w:hAnsi="Georgia"/>
                <w:lang w:val="en-GB"/>
              </w:rPr>
              <w:t>başlıklı</w:t>
            </w:r>
            <w:proofErr w:type="spellEnd"/>
            <w:r w:rsidRPr="006D15A7">
              <w:rPr>
                <w:rFonts w:ascii="Georgia" w:hAnsi="Georgia"/>
                <w:lang w:val="en-GB"/>
              </w:rPr>
              <w:t xml:space="preserve"> </w:t>
            </w:r>
            <w:proofErr w:type="spellStart"/>
            <w:r w:rsidRPr="006D15A7">
              <w:rPr>
                <w:rFonts w:ascii="Georgia" w:hAnsi="Georgia"/>
                <w:lang w:val="en-GB"/>
              </w:rPr>
              <w:t>kilit</w:t>
            </w:r>
            <w:proofErr w:type="spellEnd"/>
            <w:r w:rsidRPr="006D15A7">
              <w:rPr>
                <w:rFonts w:ascii="Georgia" w:hAnsi="Georgia"/>
                <w:lang w:val="en-GB"/>
              </w:rPr>
              <w:t xml:space="preserve"> </w:t>
            </w:r>
            <w:proofErr w:type="spellStart"/>
            <w:r w:rsidRPr="006D15A7">
              <w:rPr>
                <w:rFonts w:ascii="Georgia" w:hAnsi="Georgia"/>
                <w:lang w:val="en-GB"/>
              </w:rPr>
              <w:t>denetim</w:t>
            </w:r>
            <w:proofErr w:type="spellEnd"/>
            <w:r w:rsidRPr="006D15A7">
              <w:rPr>
                <w:rFonts w:ascii="Georgia" w:hAnsi="Georgia"/>
                <w:lang w:val="en-GB"/>
              </w:rPr>
              <w:t xml:space="preserve"> </w:t>
            </w:r>
            <w:proofErr w:type="spellStart"/>
            <w:r w:rsidRPr="006D15A7">
              <w:rPr>
                <w:rFonts w:ascii="Georgia" w:hAnsi="Georgia"/>
                <w:lang w:val="en-GB"/>
              </w:rPr>
              <w:t>konusunun</w:t>
            </w:r>
            <w:proofErr w:type="spellEnd"/>
            <w:r w:rsidRPr="006D15A7">
              <w:rPr>
                <w:rFonts w:ascii="Georgia" w:hAnsi="Georgia"/>
                <w:lang w:val="en-GB"/>
              </w:rPr>
              <w:t xml:space="preserve"> </w:t>
            </w:r>
            <w:proofErr w:type="spellStart"/>
            <w:r w:rsidRPr="006D15A7">
              <w:rPr>
                <w:rFonts w:ascii="Georgia" w:hAnsi="Georgia"/>
                <w:lang w:val="en-GB"/>
              </w:rPr>
              <w:t>denetimde</w:t>
            </w:r>
            <w:proofErr w:type="spellEnd"/>
            <w:r w:rsidRPr="006D15A7">
              <w:rPr>
                <w:rFonts w:ascii="Georgia" w:hAnsi="Georgia"/>
                <w:lang w:val="en-GB"/>
              </w:rPr>
              <w:t xml:space="preserve"> </w:t>
            </w:r>
            <w:proofErr w:type="spellStart"/>
            <w:r w:rsidRPr="006D15A7">
              <w:rPr>
                <w:rFonts w:ascii="Georgia" w:hAnsi="Georgia"/>
                <w:lang w:val="en-GB"/>
              </w:rPr>
              <w:t>nasıl</w:t>
            </w:r>
            <w:proofErr w:type="spellEnd"/>
            <w:r w:rsidRPr="006D15A7">
              <w:rPr>
                <w:rFonts w:ascii="Georgia" w:hAnsi="Georgia"/>
                <w:lang w:val="en-GB"/>
              </w:rPr>
              <w:t xml:space="preserve"> </w:t>
            </w:r>
            <w:proofErr w:type="spellStart"/>
            <w:r w:rsidRPr="006D15A7">
              <w:rPr>
                <w:rFonts w:ascii="Georgia" w:hAnsi="Georgia"/>
                <w:lang w:val="en-GB"/>
              </w:rPr>
              <w:t>ele</w:t>
            </w:r>
            <w:proofErr w:type="spellEnd"/>
            <w:r w:rsidRPr="006D15A7">
              <w:rPr>
                <w:rFonts w:ascii="Georgia" w:hAnsi="Georgia"/>
                <w:lang w:val="en-GB"/>
              </w:rPr>
              <w:t xml:space="preserve"> </w:t>
            </w:r>
            <w:proofErr w:type="spellStart"/>
            <w:r w:rsidRPr="006D15A7">
              <w:rPr>
                <w:rFonts w:ascii="Georgia" w:hAnsi="Georgia"/>
                <w:lang w:val="en-GB"/>
              </w:rPr>
              <w:t>alındığı</w:t>
            </w:r>
            <w:proofErr w:type="spellEnd"/>
            <w:r w:rsidRPr="006D15A7">
              <w:rPr>
                <w:rFonts w:ascii="Georgia" w:hAnsi="Georgia"/>
                <w:lang w:val="en-GB"/>
              </w:rPr>
              <w:t xml:space="preserve"> </w:t>
            </w:r>
            <w:proofErr w:type="spellStart"/>
            <w:r w:rsidRPr="006D15A7">
              <w:rPr>
                <w:rFonts w:ascii="Georgia" w:hAnsi="Georgia"/>
                <w:lang w:val="en-GB"/>
              </w:rPr>
              <w:t>yukarıda</w:t>
            </w:r>
            <w:proofErr w:type="spellEnd"/>
            <w:r w:rsidRPr="006D15A7">
              <w:rPr>
                <w:rFonts w:ascii="Georgia" w:hAnsi="Georgia"/>
                <w:lang w:val="en-GB"/>
              </w:rPr>
              <w:t xml:space="preserve"> </w:t>
            </w:r>
            <w:proofErr w:type="spellStart"/>
            <w:r w:rsidRPr="006D15A7">
              <w:rPr>
                <w:rFonts w:ascii="Georgia" w:hAnsi="Georgia"/>
                <w:lang w:val="en-GB"/>
              </w:rPr>
              <w:t>yer</w:t>
            </w:r>
            <w:proofErr w:type="spellEnd"/>
            <w:r w:rsidRPr="006D15A7">
              <w:rPr>
                <w:rFonts w:ascii="Georgia" w:hAnsi="Georgia"/>
                <w:lang w:val="en-GB"/>
              </w:rPr>
              <w:t xml:space="preserve"> </w:t>
            </w:r>
            <w:proofErr w:type="spellStart"/>
            <w:r w:rsidRPr="006D15A7">
              <w:rPr>
                <w:rFonts w:ascii="Georgia" w:hAnsi="Georgia"/>
                <w:lang w:val="en-GB"/>
              </w:rPr>
              <w:t>alan</w:t>
            </w:r>
            <w:proofErr w:type="spellEnd"/>
            <w:r w:rsidRPr="006D15A7">
              <w:rPr>
                <w:rFonts w:ascii="Georgia" w:hAnsi="Georgia"/>
                <w:lang w:val="en-GB"/>
              </w:rPr>
              <w:t xml:space="preserve"> </w:t>
            </w:r>
            <w:proofErr w:type="spellStart"/>
            <w:r w:rsidRPr="006D15A7">
              <w:rPr>
                <w:rFonts w:ascii="Georgia" w:hAnsi="Georgia"/>
                <w:lang w:val="en-GB"/>
              </w:rPr>
              <w:t>bölümde</w:t>
            </w:r>
            <w:proofErr w:type="spellEnd"/>
            <w:r w:rsidRPr="006D15A7">
              <w:rPr>
                <w:rFonts w:ascii="Georgia" w:hAnsi="Georgia"/>
                <w:lang w:val="en-GB"/>
              </w:rPr>
              <w:t xml:space="preserve"> </w:t>
            </w:r>
            <w:proofErr w:type="spellStart"/>
            <w:r w:rsidRPr="006D15A7">
              <w:rPr>
                <w:rFonts w:ascii="Georgia" w:hAnsi="Georgia"/>
                <w:lang w:val="en-GB"/>
              </w:rPr>
              <w:t>açıklanmıştır</w:t>
            </w:r>
            <w:proofErr w:type="spellEnd"/>
            <w:r w:rsidRPr="006D15A7">
              <w:rPr>
                <w:rFonts w:ascii="Georgia" w:hAnsi="Georgia"/>
                <w:lang w:val="en-GB"/>
              </w:rPr>
              <w:t>.</w:t>
            </w:r>
          </w:p>
          <w:p w14:paraId="56DAE43A" w14:textId="77777777" w:rsidR="006D15A7" w:rsidRPr="006D15A7" w:rsidRDefault="006D15A7" w:rsidP="006D15A7">
            <w:pPr>
              <w:shd w:val="clear" w:color="auto" w:fill="FFFFFF"/>
              <w:spacing w:line="290" w:lineRule="atLeast"/>
              <w:rPr>
                <w:rFonts w:ascii="Georgia" w:hAnsi="Georgia"/>
                <w:lang w:val="en-GB"/>
              </w:rPr>
            </w:pPr>
          </w:p>
          <w:p w14:paraId="26725F10" w14:textId="77777777" w:rsidR="006D15A7" w:rsidRPr="006D15A7" w:rsidRDefault="006D15A7" w:rsidP="006D15A7">
            <w:pPr>
              <w:spacing w:line="290" w:lineRule="atLeast"/>
              <w:rPr>
                <w:rFonts w:ascii="Georgia" w:hAnsi="Georgia"/>
                <w:lang w:val="en-GB"/>
              </w:rPr>
            </w:pPr>
            <w:r w:rsidRPr="006D15A7">
              <w:rPr>
                <w:rFonts w:ascii="Georgia" w:hAnsi="Georgia"/>
                <w:lang w:val="en-GB"/>
              </w:rPr>
              <w:t xml:space="preserve">TFRS 9’un ilk </w:t>
            </w:r>
            <w:proofErr w:type="spellStart"/>
            <w:r w:rsidRPr="006D15A7">
              <w:rPr>
                <w:rFonts w:ascii="Georgia" w:hAnsi="Georgia"/>
                <w:lang w:val="en-GB"/>
              </w:rPr>
              <w:t>kez</w:t>
            </w:r>
            <w:proofErr w:type="spellEnd"/>
            <w:r w:rsidRPr="006D15A7">
              <w:rPr>
                <w:rFonts w:ascii="Georgia" w:hAnsi="Georgia"/>
                <w:lang w:val="en-GB"/>
              </w:rPr>
              <w:t xml:space="preserve"> </w:t>
            </w:r>
            <w:proofErr w:type="spellStart"/>
            <w:r w:rsidRPr="006D15A7">
              <w:rPr>
                <w:rFonts w:ascii="Georgia" w:hAnsi="Georgia"/>
                <w:lang w:val="en-GB"/>
              </w:rPr>
              <w:t>uygulanmasına</w:t>
            </w:r>
            <w:proofErr w:type="spellEnd"/>
            <w:r w:rsidRPr="006D15A7">
              <w:rPr>
                <w:rFonts w:ascii="Georgia" w:hAnsi="Georgia"/>
                <w:lang w:val="en-GB"/>
              </w:rPr>
              <w:t xml:space="preserve"> </w:t>
            </w:r>
            <w:proofErr w:type="spellStart"/>
            <w:r w:rsidRPr="006D15A7">
              <w:rPr>
                <w:rFonts w:ascii="Georgia" w:hAnsi="Georgia"/>
                <w:lang w:val="en-GB"/>
              </w:rPr>
              <w:t>ilişkin</w:t>
            </w:r>
            <w:proofErr w:type="spellEnd"/>
            <w:r w:rsidRPr="006D15A7">
              <w:rPr>
                <w:rFonts w:ascii="Georgia" w:hAnsi="Georgia"/>
                <w:lang w:val="en-GB"/>
              </w:rPr>
              <w:t xml:space="preserve"> </w:t>
            </w:r>
            <w:proofErr w:type="spellStart"/>
            <w:r w:rsidRPr="006D15A7">
              <w:rPr>
                <w:rFonts w:ascii="Georgia" w:hAnsi="Georgia"/>
                <w:lang w:val="en-GB"/>
              </w:rPr>
              <w:t>açılış</w:t>
            </w:r>
            <w:proofErr w:type="spellEnd"/>
            <w:r w:rsidRPr="006D15A7">
              <w:rPr>
                <w:rFonts w:ascii="Georgia" w:hAnsi="Georgia"/>
                <w:lang w:val="en-GB"/>
              </w:rPr>
              <w:t xml:space="preserve"> </w:t>
            </w:r>
            <w:proofErr w:type="spellStart"/>
            <w:r w:rsidRPr="006D15A7">
              <w:rPr>
                <w:rFonts w:ascii="Georgia" w:hAnsi="Georgia"/>
                <w:lang w:val="en-GB"/>
              </w:rPr>
              <w:t>bakiyesi</w:t>
            </w:r>
            <w:proofErr w:type="spellEnd"/>
            <w:r w:rsidRPr="006D15A7">
              <w:rPr>
                <w:rFonts w:ascii="Georgia" w:hAnsi="Georgia"/>
                <w:lang w:val="en-GB"/>
              </w:rPr>
              <w:t xml:space="preserve"> </w:t>
            </w:r>
            <w:proofErr w:type="spellStart"/>
            <w:r w:rsidRPr="006D15A7">
              <w:rPr>
                <w:rFonts w:ascii="Georgia" w:hAnsi="Georgia"/>
                <w:lang w:val="en-GB"/>
              </w:rPr>
              <w:t>düzeltmelerinin</w:t>
            </w:r>
            <w:proofErr w:type="spellEnd"/>
            <w:r w:rsidRPr="006D15A7">
              <w:rPr>
                <w:rFonts w:ascii="Georgia" w:hAnsi="Georgia"/>
                <w:lang w:val="en-GB"/>
              </w:rPr>
              <w:t xml:space="preserve"> </w:t>
            </w:r>
            <w:proofErr w:type="spellStart"/>
            <w:r w:rsidRPr="006D15A7">
              <w:rPr>
                <w:rFonts w:ascii="Georgia" w:hAnsi="Georgia"/>
                <w:lang w:val="en-GB"/>
              </w:rPr>
              <w:t>uygunluğunu</w:t>
            </w:r>
            <w:proofErr w:type="spellEnd"/>
            <w:r w:rsidRPr="006D15A7">
              <w:rPr>
                <w:rFonts w:ascii="Georgia" w:hAnsi="Georgia"/>
                <w:lang w:val="en-GB"/>
              </w:rPr>
              <w:t xml:space="preserve"> ve </w:t>
            </w:r>
            <w:proofErr w:type="spellStart"/>
            <w:r w:rsidRPr="006D15A7">
              <w:rPr>
                <w:rFonts w:ascii="Georgia" w:hAnsi="Georgia"/>
                <w:lang w:val="en-GB"/>
              </w:rPr>
              <w:t>sunulan</w:t>
            </w:r>
            <w:proofErr w:type="spellEnd"/>
            <w:r w:rsidRPr="006D15A7">
              <w:rPr>
                <w:rFonts w:ascii="Georgia" w:hAnsi="Georgia"/>
                <w:lang w:val="en-GB"/>
              </w:rPr>
              <w:t xml:space="preserve"> </w:t>
            </w:r>
            <w:proofErr w:type="spellStart"/>
            <w:r w:rsidRPr="006D15A7">
              <w:rPr>
                <w:rFonts w:ascii="Georgia" w:hAnsi="Georgia"/>
                <w:lang w:val="en-GB"/>
              </w:rPr>
              <w:t>dipnotları</w:t>
            </w:r>
            <w:proofErr w:type="spellEnd"/>
            <w:r w:rsidRPr="006D15A7">
              <w:rPr>
                <w:rFonts w:ascii="Georgia" w:hAnsi="Georgia"/>
                <w:lang w:val="en-GB"/>
              </w:rPr>
              <w:t xml:space="preserve"> </w:t>
            </w:r>
            <w:proofErr w:type="spellStart"/>
            <w:r w:rsidRPr="006D15A7">
              <w:rPr>
                <w:rFonts w:ascii="Georgia" w:hAnsi="Georgia"/>
                <w:lang w:val="en-GB"/>
              </w:rPr>
              <w:t>kontrol</w:t>
            </w:r>
            <w:proofErr w:type="spellEnd"/>
            <w:r w:rsidRPr="006D15A7">
              <w:rPr>
                <w:rFonts w:ascii="Georgia" w:hAnsi="Georgia"/>
                <w:lang w:val="en-GB"/>
              </w:rPr>
              <w:t xml:space="preserve"> </w:t>
            </w:r>
            <w:proofErr w:type="spellStart"/>
            <w:r w:rsidRPr="006D15A7">
              <w:rPr>
                <w:rFonts w:ascii="Georgia" w:hAnsi="Georgia"/>
                <w:lang w:val="en-GB"/>
              </w:rPr>
              <w:t>ettik</w:t>
            </w:r>
            <w:proofErr w:type="spellEnd"/>
            <w:r w:rsidRPr="006D15A7">
              <w:rPr>
                <w:rFonts w:ascii="Georgia" w:hAnsi="Georgia"/>
                <w:lang w:val="en-GB"/>
              </w:rPr>
              <w:t>.</w:t>
            </w:r>
          </w:p>
          <w:p w14:paraId="0CB5A210" w14:textId="77777777" w:rsidR="006D15A7" w:rsidRPr="006D15A7" w:rsidRDefault="006D15A7" w:rsidP="006D15A7">
            <w:pPr>
              <w:shd w:val="clear" w:color="auto" w:fill="FFFFFF"/>
              <w:spacing w:line="290" w:lineRule="atLeast"/>
              <w:rPr>
                <w:rFonts w:ascii="Georgia" w:hAnsi="Georgia"/>
                <w:lang w:val="en-GB"/>
              </w:rPr>
            </w:pPr>
          </w:p>
        </w:tc>
      </w:tr>
    </w:tbl>
    <w:p w14:paraId="1D32BE8F" w14:textId="77777777" w:rsidR="006D15A7" w:rsidRPr="006D15A7" w:rsidRDefault="006D15A7" w:rsidP="006D15A7">
      <w:pPr>
        <w:spacing w:line="290" w:lineRule="atLeast"/>
        <w:rPr>
          <w:rFonts w:ascii="Georgia" w:hAnsi="Georgia" w:cs="Arial"/>
          <w:szCs w:val="20"/>
          <w:lang w:val="en-US"/>
        </w:rPr>
      </w:pPr>
    </w:p>
    <w:p w14:paraId="3EC538A9" w14:textId="77777777" w:rsidR="006D15A7" w:rsidRPr="006D15A7" w:rsidRDefault="006D15A7" w:rsidP="006D15A7">
      <w:pPr>
        <w:spacing w:after="160" w:line="259" w:lineRule="auto"/>
        <w:rPr>
          <w:rFonts w:ascii="Georgia" w:hAnsi="Georgia" w:cs="Arial"/>
          <w:szCs w:val="20"/>
          <w:lang w:val="en-US"/>
        </w:rPr>
      </w:pPr>
      <w:r w:rsidRPr="006D15A7">
        <w:rPr>
          <w:rFonts w:ascii="Georgia" w:hAnsi="Georgia" w:cs="Arial"/>
          <w:szCs w:val="20"/>
          <w:lang w:val="en-US"/>
        </w:rPr>
        <w:br w:type="page"/>
      </w:r>
    </w:p>
    <w:p w14:paraId="2F1B7487" w14:textId="77777777" w:rsidR="006D15A7" w:rsidRPr="006D15A7" w:rsidRDefault="006D15A7" w:rsidP="0092682E">
      <w:pPr>
        <w:numPr>
          <w:ilvl w:val="0"/>
          <w:numId w:val="108"/>
        </w:numPr>
        <w:spacing w:line="280" w:lineRule="atLeast"/>
        <w:ind w:left="540" w:hanging="540"/>
        <w:rPr>
          <w:rFonts w:ascii="Georgia" w:hAnsi="Georgia" w:cs="Arial"/>
          <w:b/>
          <w:szCs w:val="20"/>
          <w:lang w:val="en-US"/>
        </w:rPr>
      </w:pPr>
      <w:r w:rsidRPr="006D15A7">
        <w:rPr>
          <w:rFonts w:ascii="Georgia" w:hAnsi="Georgia" w:cs="Arial"/>
          <w:b/>
          <w:szCs w:val="20"/>
        </w:rPr>
        <w:lastRenderedPageBreak/>
        <w:t>Yönetimin ve Üst Yönetimden Sorumlu Olanların Konsolide Olmayan Finansal Tablolara İlişkin Sorumlulukları</w:t>
      </w:r>
    </w:p>
    <w:p w14:paraId="4B521D4F" w14:textId="77777777" w:rsidR="006D15A7" w:rsidRPr="006D15A7" w:rsidRDefault="006D15A7" w:rsidP="0092682E">
      <w:pPr>
        <w:spacing w:line="280" w:lineRule="atLeast"/>
        <w:rPr>
          <w:rFonts w:ascii="Georgia" w:hAnsi="Georgia" w:cs="Arial"/>
          <w:szCs w:val="20"/>
          <w:lang w:val="en-US"/>
        </w:rPr>
      </w:pPr>
    </w:p>
    <w:p w14:paraId="283B375E" w14:textId="77777777" w:rsidR="006D15A7" w:rsidRPr="006D15A7" w:rsidRDefault="006D15A7" w:rsidP="0092682E">
      <w:pPr>
        <w:spacing w:line="280" w:lineRule="atLeast"/>
        <w:rPr>
          <w:rFonts w:ascii="Georgia" w:hAnsi="Georgia" w:cs="Arial"/>
          <w:szCs w:val="20"/>
          <w:lang w:val="en-US"/>
        </w:rPr>
      </w:pPr>
      <w:r w:rsidRPr="006D15A7">
        <w:rPr>
          <w:rFonts w:ascii="Georgia" w:hAnsi="Georgia" w:cs="Arial"/>
          <w:szCs w:val="20"/>
        </w:rPr>
        <w:t xml:space="preserve">Banka yönetimi; konsolide olmayan finansal tabloların BDDK Muhasebe ve Finansal Raporlama </w:t>
      </w:r>
      <w:proofErr w:type="spellStart"/>
      <w:r w:rsidRPr="006D15A7">
        <w:rPr>
          <w:rFonts w:ascii="Georgia" w:hAnsi="Georgia" w:cs="Arial"/>
          <w:szCs w:val="20"/>
        </w:rPr>
        <w:t>Mevzuatı’na</w:t>
      </w:r>
      <w:proofErr w:type="spellEnd"/>
      <w:r w:rsidRPr="006D15A7">
        <w:rPr>
          <w:rFonts w:ascii="Georgia" w:hAnsi="Georgia" w:cs="Arial"/>
          <w:szCs w:val="20"/>
        </w:rPr>
        <w:t xml:space="preserve"> uygun olarak hazırlanmasından, gerçeğe uygun bir biçimde sunumundan ve hata veya hile kaynaklı önemli yanlışlık içermeyecek şekilde hazırlanması için gerekli gördüğü iç kontrolden sorumludur.</w:t>
      </w:r>
    </w:p>
    <w:p w14:paraId="02C7D88F" w14:textId="77777777" w:rsidR="006D15A7" w:rsidRPr="006D15A7" w:rsidRDefault="006D15A7" w:rsidP="0092682E">
      <w:pPr>
        <w:spacing w:line="280" w:lineRule="atLeast"/>
        <w:rPr>
          <w:rFonts w:ascii="Georgia" w:hAnsi="Georgia" w:cs="Arial"/>
          <w:szCs w:val="20"/>
          <w:lang w:val="en-US"/>
        </w:rPr>
      </w:pPr>
    </w:p>
    <w:p w14:paraId="47CB9D65" w14:textId="77777777" w:rsidR="006D15A7" w:rsidRPr="006D15A7" w:rsidRDefault="006D15A7" w:rsidP="0092682E">
      <w:pPr>
        <w:spacing w:line="280" w:lineRule="atLeast"/>
        <w:rPr>
          <w:rFonts w:ascii="Georgia" w:hAnsi="Georgia" w:cs="Arial"/>
          <w:szCs w:val="20"/>
          <w:lang w:val="en-US"/>
        </w:rPr>
      </w:pPr>
      <w:r w:rsidRPr="006D15A7">
        <w:rPr>
          <w:rFonts w:ascii="Georgia" w:hAnsi="Georgia" w:cs="Arial"/>
          <w:szCs w:val="20"/>
        </w:rPr>
        <w:t>Konsolide olmayan finansal tabloları hazırlarken yönetim; Banka’nın sürekliliğini devam ettirme kabiliyetinin değerlendirilmesinden, gerektiğinde süreklilikle ilgili hususları açıklamaktan ve Banka’yı tasfiye etme ya da ticari faaliyeti sona erdirme niyeti ya da mecburiyeti bulunmadığı sürece işletmenin sürekliliği esasını kullanmaktan sorumludur.</w:t>
      </w:r>
    </w:p>
    <w:p w14:paraId="6962156A" w14:textId="77777777" w:rsidR="006D15A7" w:rsidRPr="006D15A7" w:rsidRDefault="006D15A7" w:rsidP="0092682E">
      <w:pPr>
        <w:spacing w:line="280" w:lineRule="atLeast"/>
        <w:rPr>
          <w:rFonts w:ascii="Georgia" w:hAnsi="Georgia" w:cs="Arial"/>
          <w:szCs w:val="20"/>
          <w:lang w:val="en-US"/>
        </w:rPr>
      </w:pPr>
    </w:p>
    <w:p w14:paraId="72DC7FA9" w14:textId="77777777" w:rsidR="006D15A7" w:rsidRPr="006D15A7" w:rsidRDefault="006D15A7" w:rsidP="0092682E">
      <w:pPr>
        <w:spacing w:line="280" w:lineRule="atLeast"/>
        <w:rPr>
          <w:rFonts w:ascii="Georgia" w:hAnsi="Georgia" w:cs="Arial"/>
          <w:szCs w:val="20"/>
          <w:lang w:val="en-US"/>
        </w:rPr>
      </w:pPr>
      <w:r w:rsidRPr="006D15A7">
        <w:rPr>
          <w:rFonts w:ascii="Georgia" w:hAnsi="Georgia" w:cs="Arial"/>
          <w:szCs w:val="20"/>
        </w:rPr>
        <w:t>Üst yönetimden sorumlu olanlar, Banka’nın finansal raporlama sürecinin gözetiminden sorumludur.</w:t>
      </w:r>
    </w:p>
    <w:p w14:paraId="101A75C7" w14:textId="77777777" w:rsidR="006D15A7" w:rsidRPr="006D15A7" w:rsidRDefault="006D15A7" w:rsidP="0092682E">
      <w:pPr>
        <w:spacing w:line="280" w:lineRule="atLeast"/>
        <w:rPr>
          <w:rFonts w:ascii="Georgia" w:hAnsi="Georgia" w:cs="Arial"/>
          <w:szCs w:val="20"/>
          <w:lang w:val="en-US"/>
        </w:rPr>
      </w:pPr>
    </w:p>
    <w:p w14:paraId="6224FEAD" w14:textId="77777777" w:rsidR="006D15A7" w:rsidRPr="006D15A7" w:rsidRDefault="006D15A7" w:rsidP="0092682E">
      <w:pPr>
        <w:numPr>
          <w:ilvl w:val="0"/>
          <w:numId w:val="108"/>
        </w:numPr>
        <w:spacing w:line="280" w:lineRule="atLeast"/>
        <w:ind w:left="540" w:hanging="540"/>
        <w:rPr>
          <w:rFonts w:ascii="Georgia" w:hAnsi="Georgia" w:cs="Arial"/>
          <w:b/>
          <w:szCs w:val="20"/>
          <w:lang w:val="en-US"/>
        </w:rPr>
      </w:pPr>
      <w:r w:rsidRPr="006D15A7">
        <w:rPr>
          <w:rFonts w:ascii="Georgia" w:hAnsi="Georgia" w:cs="Arial"/>
          <w:b/>
          <w:szCs w:val="20"/>
        </w:rPr>
        <w:t>Bağımsız Denetçinin Konsolide Olmayan Finansal Tabloların Bağımsız Denetimine İlişkin Sorumlulukları</w:t>
      </w:r>
    </w:p>
    <w:p w14:paraId="404B1335" w14:textId="77777777" w:rsidR="006D15A7" w:rsidRPr="006D15A7" w:rsidRDefault="006D15A7" w:rsidP="0092682E">
      <w:pPr>
        <w:spacing w:line="280" w:lineRule="atLeast"/>
        <w:rPr>
          <w:rFonts w:ascii="Georgia" w:hAnsi="Georgia" w:cs="Arial"/>
          <w:szCs w:val="20"/>
          <w:lang w:val="en-US"/>
        </w:rPr>
      </w:pPr>
    </w:p>
    <w:p w14:paraId="1B2CA25C" w14:textId="77777777" w:rsidR="006D15A7" w:rsidRPr="006D15A7" w:rsidRDefault="006D15A7" w:rsidP="0092682E">
      <w:pPr>
        <w:spacing w:line="280" w:lineRule="atLeast"/>
        <w:rPr>
          <w:rFonts w:ascii="Georgia" w:hAnsi="Georgia" w:cs="Arial"/>
          <w:szCs w:val="20"/>
          <w:lang w:val="en-US"/>
        </w:rPr>
      </w:pPr>
      <w:r w:rsidRPr="006D15A7">
        <w:rPr>
          <w:rFonts w:ascii="Georgia" w:hAnsi="Georgia" w:cs="Arial"/>
          <w:szCs w:val="20"/>
        </w:rPr>
        <w:t>Bir bağımsız denetimde, biz bağımsız denetçilerin sorumlulukları şunlardır:</w:t>
      </w:r>
    </w:p>
    <w:p w14:paraId="1A5D6F8D" w14:textId="77777777" w:rsidR="006D15A7" w:rsidRPr="006D15A7" w:rsidRDefault="006D15A7" w:rsidP="0092682E">
      <w:pPr>
        <w:spacing w:line="280" w:lineRule="atLeast"/>
        <w:rPr>
          <w:rFonts w:ascii="Georgia" w:hAnsi="Georgia" w:cs="Arial"/>
          <w:szCs w:val="20"/>
          <w:lang w:val="en-US"/>
        </w:rPr>
      </w:pPr>
    </w:p>
    <w:p w14:paraId="0D8D3CAF" w14:textId="77777777" w:rsidR="006D15A7" w:rsidRPr="0061474C" w:rsidRDefault="006D15A7" w:rsidP="0092682E">
      <w:pPr>
        <w:spacing w:line="280" w:lineRule="atLeast"/>
        <w:rPr>
          <w:rFonts w:ascii="Georgia" w:hAnsi="Georgia" w:cs="Arial"/>
          <w:szCs w:val="20"/>
        </w:rPr>
      </w:pPr>
      <w:r w:rsidRPr="006D15A7">
        <w:rPr>
          <w:rFonts w:ascii="Georgia" w:hAnsi="Georgia" w:cs="Arial"/>
          <w:szCs w:val="20"/>
        </w:rPr>
        <w:t xml:space="preserve">Amacımız, bir bütün olarak konsolide olmayan finansal tabloların hata veya hile kaynaklı önemli yanlışlık içerip içermediğine ilişkin makul güvence elde etmek ve görüşümüzü içeren bir bağımsız denetçi raporu düzenlemektir. BDDK tarafından 2 Nisan 2015 tarihli 29314 sayılı </w:t>
      </w:r>
      <w:proofErr w:type="gramStart"/>
      <w:r w:rsidRPr="006D15A7">
        <w:rPr>
          <w:rFonts w:ascii="Georgia" w:hAnsi="Georgia" w:cs="Arial"/>
          <w:szCs w:val="20"/>
        </w:rPr>
        <w:t>Resmi</w:t>
      </w:r>
      <w:proofErr w:type="gramEnd"/>
      <w:r w:rsidRPr="006D15A7">
        <w:rPr>
          <w:rFonts w:ascii="Georgia" w:hAnsi="Georgia" w:cs="Arial"/>
          <w:szCs w:val="20"/>
        </w:rPr>
        <w:t xml:space="preserve"> Gazete’ de yayımlanan “Bankaların Bağımsız Denetimi Hakkında Yönetmelik” ve </w:t>
      </w:r>
      <w:proofErr w:type="spellStart"/>
      <w:r w:rsidRPr="006D15A7">
        <w:rPr>
          <w:rFonts w:ascii="Georgia" w:hAnsi="Georgia" w:cs="Arial"/>
          <w:szCs w:val="20"/>
        </w:rPr>
        <w:t>BDS’lere</w:t>
      </w:r>
      <w:proofErr w:type="spellEnd"/>
      <w:r w:rsidRPr="006D15A7">
        <w:rPr>
          <w:rFonts w:ascii="Georgia" w:hAnsi="Georgia" w:cs="Arial"/>
          <w:szCs w:val="20"/>
        </w:rPr>
        <w:t xml:space="preserve"> uygun olarak yürütülen bir bağımsız denetim sonucunda verilen makul güvence; yüksek bir güvence seviyesidir ancak, var olan önemli bir yanlışlığın her zaman tespit edileceğini garanti etmez. Yanlışlıklar hata veya hile kaynaklı olabilir. Yanlışlıkların, tek başına veya toplu olarak, finansal tablo kullanıcılarının bu konsolide olmayan tablolara istinaden alacakları ekonomik kararları etkilemesi makul ölçüde bekleniyorsa bu yanlışlıklar önemli olarak kabul edilir.</w:t>
      </w:r>
    </w:p>
    <w:p w14:paraId="7E5DAB7C" w14:textId="77777777" w:rsidR="006D15A7" w:rsidRPr="0061474C" w:rsidRDefault="006D15A7" w:rsidP="0092682E">
      <w:pPr>
        <w:spacing w:line="280" w:lineRule="atLeast"/>
        <w:rPr>
          <w:rFonts w:ascii="Georgia" w:hAnsi="Georgia" w:cs="Arial"/>
          <w:szCs w:val="20"/>
        </w:rPr>
      </w:pPr>
    </w:p>
    <w:p w14:paraId="6A88B0CD" w14:textId="77777777" w:rsidR="006D15A7" w:rsidRPr="006D15A7" w:rsidRDefault="006D15A7" w:rsidP="0092682E">
      <w:pPr>
        <w:spacing w:line="280" w:lineRule="atLeast"/>
        <w:rPr>
          <w:rFonts w:ascii="Georgia" w:hAnsi="Georgia" w:cs="Arial"/>
          <w:szCs w:val="20"/>
          <w:lang w:val="en-US"/>
        </w:rPr>
      </w:pPr>
      <w:r w:rsidRPr="006D15A7">
        <w:rPr>
          <w:rFonts w:ascii="Georgia" w:hAnsi="Georgia" w:cs="Arial"/>
          <w:szCs w:val="20"/>
        </w:rPr>
        <w:t xml:space="preserve">BDDK tarafından 2 Nisan 2015 tarihli 29314 sayılı </w:t>
      </w:r>
      <w:proofErr w:type="gramStart"/>
      <w:r w:rsidRPr="006D15A7">
        <w:rPr>
          <w:rFonts w:ascii="Georgia" w:hAnsi="Georgia" w:cs="Arial"/>
          <w:szCs w:val="20"/>
        </w:rPr>
        <w:t>Resmi</w:t>
      </w:r>
      <w:proofErr w:type="gramEnd"/>
      <w:r w:rsidRPr="006D15A7">
        <w:rPr>
          <w:rFonts w:ascii="Georgia" w:hAnsi="Georgia" w:cs="Arial"/>
          <w:szCs w:val="20"/>
        </w:rPr>
        <w:t xml:space="preserve"> Gazete’ de yayımlanan “Bankaların Bağımsız Denetimi Hakkında Yönetmelik” ve </w:t>
      </w:r>
      <w:proofErr w:type="spellStart"/>
      <w:r w:rsidRPr="006D15A7">
        <w:rPr>
          <w:rFonts w:ascii="Georgia" w:hAnsi="Georgia" w:cs="Arial"/>
          <w:szCs w:val="20"/>
        </w:rPr>
        <w:t>BDS’lere</w:t>
      </w:r>
      <w:proofErr w:type="spellEnd"/>
      <w:r w:rsidRPr="006D15A7">
        <w:rPr>
          <w:rFonts w:ascii="Georgia" w:hAnsi="Georgia" w:cs="Arial"/>
          <w:szCs w:val="20"/>
        </w:rPr>
        <w:t xml:space="preserve"> uygun olarak yürütülen bağımsız denetimin gereği olarak, bağımsız denetim boyunca mesleki muhakememizi kullanmakta ve mesleki şüpheciliğimizi sürdürmekteyiz. Tarafımızca ayrıca:</w:t>
      </w:r>
    </w:p>
    <w:p w14:paraId="18F392F3" w14:textId="77777777" w:rsidR="006D15A7" w:rsidRPr="006D15A7" w:rsidRDefault="006D15A7" w:rsidP="0092682E">
      <w:pPr>
        <w:spacing w:line="280" w:lineRule="atLeast"/>
        <w:rPr>
          <w:rFonts w:ascii="Georgia" w:hAnsi="Georgia" w:cs="Arial"/>
          <w:szCs w:val="20"/>
          <w:lang w:val="en-US"/>
        </w:rPr>
      </w:pPr>
    </w:p>
    <w:p w14:paraId="53592C06" w14:textId="77777777" w:rsidR="006D15A7" w:rsidRPr="006D15A7" w:rsidRDefault="006D15A7" w:rsidP="0092682E">
      <w:pPr>
        <w:numPr>
          <w:ilvl w:val="0"/>
          <w:numId w:val="110"/>
        </w:numPr>
        <w:spacing w:line="280" w:lineRule="atLeast"/>
        <w:ind w:left="567" w:hanging="567"/>
        <w:contextualSpacing/>
        <w:rPr>
          <w:rFonts w:ascii="Georgia" w:hAnsi="Georgia" w:cs="Arial"/>
          <w:szCs w:val="20"/>
        </w:rPr>
      </w:pPr>
      <w:r w:rsidRPr="006D15A7">
        <w:rPr>
          <w:rFonts w:ascii="Georgia" w:hAnsi="Georgia" w:cs="Arial"/>
          <w:szCs w:val="20"/>
        </w:rPr>
        <w:t>Konsolide olmayan finansal tablolardaki hata veya hile kaynaklı “önemli yanlışlık” riskleri belirlenmekte ve değerlendirilmekte; bu risklere karşılık veren denetim prosedürleri tasarlanmakta ve uygulanmakta ve görüşümüze dayanak teşkil edecek yeterli ve uygun denetim kanıtı elde edilmektedir. Hile; muvazaa, sahtekarlık, kasıtlı ihmal, gerçeğe aykırı beyan veya iç kontrol ihlali fiillerini içerebildiğinden, hile kaynaklı önemli bir yanlışlığı tespit edememe riski, hata kaynaklı önemli bir yanlışlığı tespit edememe riskinden yüksektir.</w:t>
      </w:r>
      <w:r w:rsidRPr="006D15A7">
        <w:rPr>
          <w:rFonts w:ascii="Georgia" w:hAnsi="Georgia" w:cs="Arial"/>
          <w:szCs w:val="20"/>
        </w:rPr>
        <w:br w:type="page"/>
      </w:r>
    </w:p>
    <w:p w14:paraId="1EFAC16A" w14:textId="77777777" w:rsidR="006D15A7" w:rsidRPr="00451D78" w:rsidRDefault="006D15A7" w:rsidP="006D15A7">
      <w:pPr>
        <w:numPr>
          <w:ilvl w:val="0"/>
          <w:numId w:val="110"/>
        </w:numPr>
        <w:spacing w:after="160" w:line="290" w:lineRule="atLeast"/>
        <w:ind w:left="567" w:hanging="567"/>
        <w:contextualSpacing/>
        <w:rPr>
          <w:rFonts w:ascii="Georgia" w:hAnsi="Georgia" w:cs="Arial"/>
          <w:szCs w:val="20"/>
        </w:rPr>
      </w:pPr>
      <w:r w:rsidRPr="006D15A7">
        <w:rPr>
          <w:rFonts w:ascii="Georgia" w:hAnsi="Georgia" w:cs="Arial"/>
          <w:szCs w:val="20"/>
        </w:rPr>
        <w:lastRenderedPageBreak/>
        <w:t>Banka’nın iç kontrolünün etkinliğine ilişkin bir görüş bildirmek amacıyla değil ama duruma uygun denetim prosedürlerini tasarlamak amacıyla denetimle ilgili iç kontrol değerlendirilmektedir.</w:t>
      </w:r>
    </w:p>
    <w:p w14:paraId="14DAD42E" w14:textId="77777777" w:rsidR="006D15A7" w:rsidRPr="00451D78" w:rsidRDefault="006D15A7" w:rsidP="006D15A7">
      <w:pPr>
        <w:spacing w:line="290" w:lineRule="atLeast"/>
        <w:ind w:left="567" w:hanging="567"/>
        <w:rPr>
          <w:rFonts w:ascii="Georgia" w:hAnsi="Georgia" w:cs="Arial"/>
          <w:szCs w:val="20"/>
        </w:rPr>
      </w:pPr>
    </w:p>
    <w:p w14:paraId="2A0AA5EE" w14:textId="77777777" w:rsidR="006D15A7" w:rsidRPr="00451D78" w:rsidRDefault="006D15A7" w:rsidP="006D15A7">
      <w:pPr>
        <w:numPr>
          <w:ilvl w:val="0"/>
          <w:numId w:val="110"/>
        </w:numPr>
        <w:spacing w:after="160" w:line="290" w:lineRule="atLeast"/>
        <w:ind w:left="567" w:hanging="567"/>
        <w:contextualSpacing/>
        <w:rPr>
          <w:rFonts w:ascii="Georgia" w:hAnsi="Georgia" w:cs="Arial"/>
          <w:szCs w:val="20"/>
        </w:rPr>
      </w:pPr>
      <w:r w:rsidRPr="006D15A7">
        <w:rPr>
          <w:rFonts w:ascii="Georgia" w:hAnsi="Georgia" w:cs="Arial"/>
          <w:szCs w:val="20"/>
        </w:rPr>
        <w:t>Yönetim tarafından kullanılan muhasebe politikalarının uygunluğu ile yapılan muhasebe tahminleri ile ilgili açıklamaların makul olup olmadığı değerlendirilmektedir.</w:t>
      </w:r>
    </w:p>
    <w:p w14:paraId="758C5E4B" w14:textId="77777777" w:rsidR="006D15A7" w:rsidRPr="00451D78" w:rsidRDefault="006D15A7" w:rsidP="006D15A7">
      <w:pPr>
        <w:spacing w:line="290" w:lineRule="atLeast"/>
        <w:ind w:left="567" w:hanging="567"/>
        <w:rPr>
          <w:rFonts w:ascii="Georgia" w:hAnsi="Georgia" w:cs="Arial"/>
          <w:szCs w:val="20"/>
        </w:rPr>
      </w:pPr>
    </w:p>
    <w:p w14:paraId="250A6459" w14:textId="77777777" w:rsidR="006D15A7" w:rsidRPr="00451D78" w:rsidRDefault="006D15A7" w:rsidP="006D15A7">
      <w:pPr>
        <w:numPr>
          <w:ilvl w:val="0"/>
          <w:numId w:val="110"/>
        </w:numPr>
        <w:spacing w:after="160" w:line="290" w:lineRule="atLeast"/>
        <w:ind w:left="567" w:hanging="567"/>
        <w:contextualSpacing/>
        <w:rPr>
          <w:rFonts w:ascii="Georgia" w:hAnsi="Georgia" w:cs="Arial"/>
          <w:szCs w:val="20"/>
        </w:rPr>
      </w:pPr>
      <w:r w:rsidRPr="006D15A7">
        <w:rPr>
          <w:rFonts w:ascii="Georgia" w:hAnsi="Georgia" w:cs="Arial"/>
          <w:szCs w:val="20"/>
        </w:rPr>
        <w:t>Elde edilen denetim kanıtlarına dayanarak Banka’nın sürekliliğini devam ettirme kabiliyetine ilişkin ciddi şüphe oluşturabilecek olay veya şartlarla ilgili önemli bir belirsizliğin mevcut olup olmadığı hakkında ve yönetimin işletmenin sürekliliği esasını kullanmasının uygunluğu hakkında sonuca varılmaktadır. Önemli bir belirsizliğin mevcut olduğu sonucuna varmamız halinde, raporumuzda, konsolide olmayan finansal tablolardaki ilgili açıklamalara dikkat çekmemiz ya da bu açıklamaların yetersiz olması durumunda olumlu görüş dışında bir görüş vermemiz gerekmektedir. Vardığımız sonuçlar, bağımsız denetçi raporu tarihine kadar elde edilen denetim kanıtlarına dayanmaktadır. Bununla birlikte, gelecekteki olay veya şartlar Banka’nın sürekliliğini sona erdirebilir.</w:t>
      </w:r>
    </w:p>
    <w:p w14:paraId="1AB882FA" w14:textId="77777777" w:rsidR="006D15A7" w:rsidRPr="00451D78" w:rsidRDefault="006D15A7" w:rsidP="006D15A7">
      <w:pPr>
        <w:spacing w:line="290" w:lineRule="atLeast"/>
        <w:ind w:left="567" w:hanging="567"/>
        <w:rPr>
          <w:rFonts w:ascii="Georgia" w:hAnsi="Georgia" w:cs="Arial"/>
          <w:szCs w:val="20"/>
        </w:rPr>
      </w:pPr>
    </w:p>
    <w:p w14:paraId="33855FBA" w14:textId="77777777" w:rsidR="006D15A7" w:rsidRPr="00451D78" w:rsidRDefault="006D15A7" w:rsidP="006D15A7">
      <w:pPr>
        <w:numPr>
          <w:ilvl w:val="0"/>
          <w:numId w:val="110"/>
        </w:numPr>
        <w:spacing w:after="160" w:line="290" w:lineRule="atLeast"/>
        <w:ind w:left="567" w:hanging="567"/>
        <w:contextualSpacing/>
        <w:rPr>
          <w:rFonts w:ascii="Georgia" w:hAnsi="Georgia" w:cs="Arial"/>
          <w:szCs w:val="20"/>
        </w:rPr>
      </w:pPr>
      <w:r w:rsidRPr="006D15A7">
        <w:rPr>
          <w:rFonts w:ascii="Georgia" w:hAnsi="Georgia" w:cs="Arial"/>
          <w:szCs w:val="20"/>
        </w:rPr>
        <w:t>Konsolide olmayan finansal tabloların açıklamaları dahil olmak üzere, genel sunumu, yapısı ve içeriği ile bu tabloların, temelini oluşturan işlem ve olayları gerçeğe uygun sunumu sağlayacak şekilde yansıtıp yansıtmadığı değerlendirilmektedir.</w:t>
      </w:r>
    </w:p>
    <w:p w14:paraId="1EB6312C" w14:textId="77777777" w:rsidR="006D15A7" w:rsidRPr="00451D78" w:rsidRDefault="006D15A7" w:rsidP="006D15A7">
      <w:pPr>
        <w:spacing w:line="290" w:lineRule="atLeast"/>
        <w:rPr>
          <w:rFonts w:ascii="Georgia" w:hAnsi="Georgia" w:cs="Arial"/>
          <w:szCs w:val="20"/>
        </w:rPr>
      </w:pPr>
    </w:p>
    <w:p w14:paraId="4E892D37" w14:textId="77777777" w:rsidR="006D15A7" w:rsidRPr="006D15A7" w:rsidRDefault="006D15A7" w:rsidP="006D15A7">
      <w:pPr>
        <w:spacing w:line="290" w:lineRule="atLeast"/>
        <w:rPr>
          <w:rFonts w:ascii="Georgia" w:hAnsi="Georgia" w:cs="Arial"/>
          <w:szCs w:val="20"/>
        </w:rPr>
      </w:pPr>
      <w:r w:rsidRPr="006D15A7">
        <w:rPr>
          <w:rFonts w:ascii="Georgia" w:hAnsi="Georgia" w:cs="Arial"/>
          <w:szCs w:val="20"/>
        </w:rPr>
        <w:t>Diğer hususların yanı sıra, denetim sırasında tespit ettiğimiz önemli iç kontrol eksiklikleri dahil olmak üzere, bağımsız denetimin planlanan kapsamı ve zamanlaması ile önemli denetim bulgularını üst yönetimden sorumlu olanlara bildirmekteyiz.</w:t>
      </w:r>
    </w:p>
    <w:p w14:paraId="7F9874B6" w14:textId="77777777" w:rsidR="006D15A7" w:rsidRPr="006D15A7" w:rsidRDefault="006D15A7" w:rsidP="006D15A7">
      <w:pPr>
        <w:spacing w:line="290" w:lineRule="atLeast"/>
        <w:rPr>
          <w:rFonts w:ascii="Georgia" w:hAnsi="Georgia" w:cs="Arial"/>
          <w:szCs w:val="20"/>
        </w:rPr>
      </w:pPr>
    </w:p>
    <w:p w14:paraId="16C2733D" w14:textId="77777777" w:rsidR="006D15A7" w:rsidRPr="006D15A7" w:rsidRDefault="006D15A7" w:rsidP="006D15A7">
      <w:pPr>
        <w:spacing w:line="290" w:lineRule="atLeast"/>
        <w:rPr>
          <w:rFonts w:ascii="Georgia" w:hAnsi="Georgia" w:cs="Arial"/>
          <w:szCs w:val="20"/>
        </w:rPr>
      </w:pPr>
      <w:r w:rsidRPr="006D15A7">
        <w:rPr>
          <w:rFonts w:ascii="Georgia" w:hAnsi="Georgia" w:cs="Arial"/>
          <w:szCs w:val="20"/>
        </w:rPr>
        <w:t>Bağımsızlığa ilişkin etik hükümlere uygunluk sağladığımızı üst yönetimden sorumlu olanlara bildirmiş bulunmaktayız. Ayrıca bağımsızlık üzerinde etkisi olduğu düşünülebilecek tüm ilişkiler ve diğer hususlar ile varsa, tehditleri ortadan kaldırmak amacıyla atılan adımlar ile alınan önlemleri üst yönetimden sorumlu olanlara iletmiş bulunmaktayız.</w:t>
      </w:r>
    </w:p>
    <w:p w14:paraId="3CCBAE39" w14:textId="77777777" w:rsidR="006D15A7" w:rsidRPr="00451D78" w:rsidRDefault="006D15A7" w:rsidP="006D15A7">
      <w:pPr>
        <w:spacing w:line="290" w:lineRule="atLeast"/>
        <w:rPr>
          <w:rFonts w:ascii="Georgia" w:hAnsi="Georgia" w:cs="Arial"/>
          <w:szCs w:val="20"/>
        </w:rPr>
      </w:pPr>
    </w:p>
    <w:p w14:paraId="6CE789FC" w14:textId="77777777" w:rsidR="006D15A7" w:rsidRPr="00451D78" w:rsidRDefault="006D15A7" w:rsidP="006D15A7">
      <w:pPr>
        <w:spacing w:line="290" w:lineRule="atLeast"/>
        <w:rPr>
          <w:rFonts w:ascii="Georgia" w:hAnsi="Georgia" w:cs="Arial"/>
          <w:szCs w:val="20"/>
        </w:rPr>
      </w:pPr>
      <w:r w:rsidRPr="006D15A7">
        <w:rPr>
          <w:rFonts w:ascii="Georgia" w:hAnsi="Georgia" w:cs="Arial"/>
          <w:szCs w:val="20"/>
        </w:rPr>
        <w:t>Üst yönetimden sorumlu olanlara bildirilen konular arasından, cari döneme ait konsolide olmayan finansal tabloların bağımsız denetiminde en çok önem arz eden konuları yani kilit denetim konularını belirlemekteyiz. Mevzuatın konunun kamuya açıklanmasına izin vermediği durumlarda veya konuyu kamuya açıklamanın doğuracağı olumsuz sonuçların, kamuya açıklamanın doğuracağı kamu yararını aşacağının makul şekilde beklendiği oldukça istisnai durumlarda, ilgili hususun bağımsız denetçi raporumuzda bildirilmemesine karar verebiliriz.</w:t>
      </w:r>
    </w:p>
    <w:p w14:paraId="09A57B1E" w14:textId="77777777" w:rsidR="006D15A7" w:rsidRPr="00451D78" w:rsidRDefault="006D15A7" w:rsidP="006D15A7">
      <w:pPr>
        <w:spacing w:after="160" w:line="259" w:lineRule="auto"/>
        <w:rPr>
          <w:rFonts w:ascii="Georgia" w:hAnsi="Georgia" w:cs="Arial"/>
          <w:szCs w:val="20"/>
        </w:rPr>
      </w:pPr>
      <w:r w:rsidRPr="00451D78">
        <w:rPr>
          <w:rFonts w:ascii="Georgia" w:hAnsi="Georgia" w:cs="Arial"/>
          <w:szCs w:val="20"/>
        </w:rPr>
        <w:br w:type="page"/>
      </w:r>
    </w:p>
    <w:p w14:paraId="2C70D709" w14:textId="77777777" w:rsidR="006D15A7" w:rsidRPr="006D15A7" w:rsidRDefault="006D15A7" w:rsidP="006D15A7">
      <w:pPr>
        <w:numPr>
          <w:ilvl w:val="0"/>
          <w:numId w:val="107"/>
        </w:numPr>
        <w:spacing w:after="160" w:line="290" w:lineRule="atLeast"/>
        <w:ind w:left="540" w:hanging="540"/>
        <w:rPr>
          <w:rFonts w:ascii="Georgia" w:hAnsi="Georgia" w:cs="Arial"/>
          <w:b/>
          <w:szCs w:val="20"/>
          <w:lang w:val="en-US"/>
        </w:rPr>
      </w:pPr>
      <w:r w:rsidRPr="006D15A7">
        <w:rPr>
          <w:rFonts w:ascii="Georgia" w:hAnsi="Georgia" w:cs="Arial"/>
          <w:b/>
          <w:szCs w:val="20"/>
        </w:rPr>
        <w:lastRenderedPageBreak/>
        <w:t>Mevzuattan Kaynaklanan Diğer Yükümlülükler</w:t>
      </w:r>
    </w:p>
    <w:p w14:paraId="7FF64364" w14:textId="77777777" w:rsidR="006D15A7" w:rsidRPr="006D15A7" w:rsidRDefault="006D15A7" w:rsidP="006D15A7">
      <w:pPr>
        <w:spacing w:line="290" w:lineRule="atLeast"/>
        <w:rPr>
          <w:rFonts w:ascii="Georgia" w:hAnsi="Georgia" w:cs="Arial"/>
          <w:szCs w:val="20"/>
          <w:lang w:val="en-US"/>
        </w:rPr>
      </w:pPr>
    </w:p>
    <w:p w14:paraId="25844C57" w14:textId="77777777" w:rsidR="006D15A7" w:rsidRPr="00451D78" w:rsidRDefault="006D15A7" w:rsidP="006D15A7">
      <w:pPr>
        <w:numPr>
          <w:ilvl w:val="0"/>
          <w:numId w:val="109"/>
        </w:numPr>
        <w:spacing w:after="160" w:line="290" w:lineRule="atLeast"/>
        <w:ind w:left="540" w:hanging="540"/>
        <w:rPr>
          <w:rFonts w:ascii="Georgia" w:hAnsi="Georgia" w:cs="Arial"/>
          <w:szCs w:val="20"/>
        </w:rPr>
      </w:pPr>
      <w:r w:rsidRPr="006D15A7">
        <w:rPr>
          <w:rFonts w:ascii="Georgia" w:hAnsi="Georgia" w:cs="Arial"/>
          <w:szCs w:val="20"/>
        </w:rPr>
        <w:t xml:space="preserve">6102 sayılı Türk Ticaret Kanunu’nun (“TTK”) 402. Maddesi’nin dördüncü fıkrası uyarınca, Banka’nın 1 </w:t>
      </w:r>
      <w:proofErr w:type="gramStart"/>
      <w:r w:rsidRPr="006D15A7">
        <w:rPr>
          <w:rFonts w:ascii="Georgia" w:hAnsi="Georgia" w:cs="Arial"/>
          <w:szCs w:val="20"/>
        </w:rPr>
        <w:t>Ocak -</w:t>
      </w:r>
      <w:proofErr w:type="gramEnd"/>
      <w:r w:rsidRPr="006D15A7">
        <w:rPr>
          <w:rFonts w:ascii="Georgia" w:hAnsi="Georgia" w:cs="Arial"/>
          <w:szCs w:val="20"/>
        </w:rPr>
        <w:t xml:space="preserve"> 31 Aralık 2025 hesap döneminde defter tutma düzeninin, kanun ile Banka esas sözleşmesinin finansal raporlamaya ilişkin hükümlerine uygun olmadığına dair önemli bir hususa rastlanmamıştır.</w:t>
      </w:r>
    </w:p>
    <w:p w14:paraId="5F716691" w14:textId="77777777" w:rsidR="006D15A7" w:rsidRPr="00451D78" w:rsidRDefault="006D15A7" w:rsidP="006D15A7">
      <w:pPr>
        <w:spacing w:line="290" w:lineRule="atLeast"/>
        <w:rPr>
          <w:rFonts w:ascii="Georgia" w:hAnsi="Georgia" w:cs="Arial"/>
          <w:szCs w:val="20"/>
        </w:rPr>
      </w:pPr>
    </w:p>
    <w:p w14:paraId="1C78B506" w14:textId="77777777" w:rsidR="006D15A7" w:rsidRPr="00451D78" w:rsidRDefault="006D15A7" w:rsidP="006D15A7">
      <w:pPr>
        <w:numPr>
          <w:ilvl w:val="0"/>
          <w:numId w:val="109"/>
        </w:numPr>
        <w:spacing w:after="160" w:line="290" w:lineRule="atLeast"/>
        <w:ind w:left="540" w:hanging="540"/>
        <w:rPr>
          <w:rFonts w:ascii="Georgia" w:hAnsi="Georgia" w:cs="Arial"/>
          <w:szCs w:val="20"/>
        </w:rPr>
      </w:pPr>
      <w:r w:rsidRPr="006D15A7">
        <w:rPr>
          <w:rFonts w:ascii="Georgia" w:hAnsi="Georgia" w:cs="Arial"/>
          <w:szCs w:val="20"/>
        </w:rPr>
        <w:t>TTK’nın 402. Maddesi’nin dördüncü fıkrası uyarınca, Yönetim Kurulu tarafımıza denetim kapsamında istenen açıklamaları yapmış ve istenen belgeleri vermiştir.</w:t>
      </w:r>
    </w:p>
    <w:p w14:paraId="5DC573AE" w14:textId="77777777" w:rsidR="006D15A7" w:rsidRPr="00451D78" w:rsidRDefault="006D15A7" w:rsidP="006D15A7">
      <w:pPr>
        <w:spacing w:line="290" w:lineRule="atLeast"/>
        <w:rPr>
          <w:rFonts w:ascii="Georgia" w:hAnsi="Georgia" w:cs="Arial"/>
          <w:szCs w:val="20"/>
        </w:rPr>
      </w:pPr>
    </w:p>
    <w:p w14:paraId="7AF3C581" w14:textId="77777777" w:rsidR="006D15A7" w:rsidRPr="00451D78" w:rsidRDefault="006D15A7" w:rsidP="006D15A7">
      <w:pPr>
        <w:spacing w:line="290" w:lineRule="atLeast"/>
        <w:rPr>
          <w:rFonts w:ascii="Georgia" w:hAnsi="Georgia" w:cs="Arial"/>
          <w:szCs w:val="20"/>
        </w:rPr>
      </w:pPr>
    </w:p>
    <w:p w14:paraId="74ECEA42" w14:textId="77777777" w:rsidR="006D15A7" w:rsidRPr="00451D78" w:rsidRDefault="006D15A7" w:rsidP="006D15A7">
      <w:pPr>
        <w:spacing w:line="290" w:lineRule="atLeast"/>
        <w:rPr>
          <w:rFonts w:ascii="Georgia" w:hAnsi="Georgia" w:cs="Arial"/>
          <w:szCs w:val="20"/>
        </w:rPr>
      </w:pPr>
      <w:proofErr w:type="spellStart"/>
      <w:r w:rsidRPr="006D15A7">
        <w:rPr>
          <w:rFonts w:ascii="Georgia" w:hAnsi="Georgia" w:cs="Arial"/>
          <w:szCs w:val="20"/>
        </w:rPr>
        <w:t>PwC</w:t>
      </w:r>
      <w:proofErr w:type="spellEnd"/>
      <w:r w:rsidRPr="006D15A7">
        <w:rPr>
          <w:rFonts w:ascii="Georgia" w:hAnsi="Georgia" w:cs="Arial"/>
          <w:szCs w:val="20"/>
        </w:rPr>
        <w:t xml:space="preserve"> Bağımsız Denetim ve</w:t>
      </w:r>
    </w:p>
    <w:p w14:paraId="3FE3E4AE" w14:textId="77777777" w:rsidR="006D15A7" w:rsidRPr="00451D78" w:rsidRDefault="006D15A7" w:rsidP="006D15A7">
      <w:pPr>
        <w:spacing w:line="290" w:lineRule="atLeast"/>
        <w:rPr>
          <w:rFonts w:ascii="Georgia" w:hAnsi="Georgia" w:cs="Arial"/>
          <w:szCs w:val="20"/>
        </w:rPr>
      </w:pPr>
      <w:r w:rsidRPr="006D15A7">
        <w:rPr>
          <w:rFonts w:ascii="Georgia" w:hAnsi="Georgia" w:cs="Arial"/>
          <w:szCs w:val="20"/>
        </w:rPr>
        <w:t>Serbest Muhasebeci Mali Müşavirlik A.Ş.</w:t>
      </w:r>
    </w:p>
    <w:p w14:paraId="24C8C70C" w14:textId="77777777" w:rsidR="006D15A7" w:rsidRPr="00451D78" w:rsidRDefault="006D15A7" w:rsidP="006D15A7">
      <w:pPr>
        <w:spacing w:line="290" w:lineRule="atLeast"/>
        <w:rPr>
          <w:rFonts w:ascii="Georgia" w:hAnsi="Georgia" w:cs="Arial"/>
          <w:szCs w:val="20"/>
        </w:rPr>
      </w:pPr>
    </w:p>
    <w:p w14:paraId="4588D70C" w14:textId="77777777" w:rsidR="006D15A7" w:rsidRPr="00451D78" w:rsidRDefault="006D15A7" w:rsidP="006D15A7">
      <w:pPr>
        <w:spacing w:line="290" w:lineRule="atLeast"/>
        <w:rPr>
          <w:rFonts w:ascii="Georgia" w:hAnsi="Georgia" w:cs="Arial"/>
          <w:szCs w:val="20"/>
        </w:rPr>
      </w:pPr>
    </w:p>
    <w:p w14:paraId="2DAED056" w14:textId="77777777" w:rsidR="006D15A7" w:rsidRPr="00451D78" w:rsidRDefault="006D15A7" w:rsidP="006D15A7">
      <w:pPr>
        <w:spacing w:line="290" w:lineRule="atLeast"/>
        <w:rPr>
          <w:rFonts w:ascii="Georgia" w:hAnsi="Georgia" w:cs="Arial"/>
          <w:szCs w:val="20"/>
        </w:rPr>
      </w:pPr>
    </w:p>
    <w:p w14:paraId="267B3914" w14:textId="77777777" w:rsidR="006D15A7" w:rsidRPr="00451D78" w:rsidRDefault="006D15A7" w:rsidP="006D15A7">
      <w:pPr>
        <w:spacing w:line="290" w:lineRule="atLeast"/>
        <w:rPr>
          <w:rFonts w:ascii="Georgia" w:hAnsi="Georgia" w:cs="Arial"/>
          <w:szCs w:val="20"/>
        </w:rPr>
      </w:pPr>
    </w:p>
    <w:p w14:paraId="604972D4" w14:textId="77777777" w:rsidR="006D15A7" w:rsidRPr="006D15A7" w:rsidRDefault="006D15A7" w:rsidP="006D15A7">
      <w:pPr>
        <w:spacing w:line="290" w:lineRule="atLeast"/>
        <w:rPr>
          <w:rFonts w:ascii="Georgia" w:hAnsi="Georgia" w:cs="Arial"/>
          <w:szCs w:val="20"/>
          <w:lang w:val="en-US"/>
        </w:rPr>
      </w:pPr>
      <w:proofErr w:type="spellStart"/>
      <w:r w:rsidRPr="006D15A7">
        <w:rPr>
          <w:rFonts w:ascii="Georgia" w:hAnsi="Georgia" w:cs="Arial"/>
          <w:szCs w:val="20"/>
        </w:rPr>
        <w:t>Talar</w:t>
      </w:r>
      <w:proofErr w:type="spellEnd"/>
      <w:r w:rsidRPr="006D15A7">
        <w:rPr>
          <w:rFonts w:ascii="Georgia" w:hAnsi="Georgia" w:cs="Arial"/>
          <w:szCs w:val="20"/>
        </w:rPr>
        <w:t xml:space="preserve"> Gül, SMMM</w:t>
      </w:r>
    </w:p>
    <w:p w14:paraId="7CC7228D" w14:textId="77777777" w:rsidR="006D15A7" w:rsidRPr="006D15A7" w:rsidRDefault="006D15A7" w:rsidP="006D15A7">
      <w:pPr>
        <w:spacing w:line="290" w:lineRule="atLeast"/>
        <w:rPr>
          <w:rFonts w:ascii="Georgia" w:hAnsi="Georgia" w:cs="Arial"/>
          <w:szCs w:val="20"/>
          <w:lang w:val="en-US"/>
        </w:rPr>
      </w:pPr>
      <w:r w:rsidRPr="006D15A7">
        <w:rPr>
          <w:rFonts w:ascii="Georgia" w:hAnsi="Georgia" w:cs="Arial"/>
          <w:szCs w:val="20"/>
        </w:rPr>
        <w:t>Sorumlu Denetçi</w:t>
      </w:r>
    </w:p>
    <w:p w14:paraId="7E857EDE" w14:textId="77777777" w:rsidR="006D15A7" w:rsidRPr="006D15A7" w:rsidRDefault="006D15A7" w:rsidP="006D15A7">
      <w:pPr>
        <w:spacing w:line="290" w:lineRule="atLeast"/>
        <w:rPr>
          <w:rFonts w:ascii="Georgia" w:hAnsi="Georgia" w:cs="Arial"/>
          <w:szCs w:val="20"/>
          <w:lang w:val="en-US"/>
        </w:rPr>
      </w:pPr>
    </w:p>
    <w:p w14:paraId="62611065" w14:textId="77777777" w:rsidR="006D15A7" w:rsidRPr="006D15A7" w:rsidRDefault="006D15A7" w:rsidP="006D15A7">
      <w:pPr>
        <w:spacing w:line="290" w:lineRule="atLeast"/>
        <w:rPr>
          <w:rFonts w:ascii="Georgia" w:hAnsi="Georgia" w:cs="Arial"/>
          <w:szCs w:val="20"/>
          <w:lang w:val="en-US"/>
        </w:rPr>
      </w:pPr>
      <w:r w:rsidRPr="006D15A7">
        <w:rPr>
          <w:rFonts w:ascii="Georgia" w:hAnsi="Georgia" w:cs="Arial"/>
          <w:szCs w:val="20"/>
        </w:rPr>
        <w:t>İstanbul, 2 Mart 2026</w:t>
      </w:r>
    </w:p>
    <w:p w14:paraId="6FD9FB88" w14:textId="77777777" w:rsidR="00122EC9" w:rsidRPr="00AC1668" w:rsidRDefault="00122EC9" w:rsidP="00122EC9">
      <w:pPr>
        <w:widowControl w:val="0"/>
        <w:autoSpaceDE w:val="0"/>
        <w:autoSpaceDN w:val="0"/>
        <w:adjustRightInd w:val="0"/>
        <w:ind w:left="284"/>
        <w:jc w:val="both"/>
        <w:rPr>
          <w:color w:val="000000"/>
        </w:rPr>
      </w:pPr>
    </w:p>
    <w:p w14:paraId="6E9E53BF" w14:textId="77777777" w:rsidR="002A3BA0" w:rsidRPr="00AC1668" w:rsidRDefault="002A3BA0" w:rsidP="00122EC9">
      <w:pPr>
        <w:widowControl w:val="0"/>
        <w:autoSpaceDE w:val="0"/>
        <w:autoSpaceDN w:val="0"/>
        <w:adjustRightInd w:val="0"/>
        <w:ind w:left="284"/>
        <w:jc w:val="both"/>
        <w:rPr>
          <w:color w:val="000000"/>
        </w:rPr>
      </w:pPr>
    </w:p>
    <w:p w14:paraId="2C84B2CD" w14:textId="18938692" w:rsidR="002A3BA0" w:rsidRPr="00AC1668" w:rsidRDefault="002A3BA0" w:rsidP="00122EC9">
      <w:pPr>
        <w:widowControl w:val="0"/>
        <w:autoSpaceDE w:val="0"/>
        <w:autoSpaceDN w:val="0"/>
        <w:adjustRightInd w:val="0"/>
        <w:ind w:left="284"/>
        <w:jc w:val="both"/>
        <w:rPr>
          <w:color w:val="000000"/>
        </w:rPr>
        <w:sectPr w:rsidR="002A3BA0" w:rsidRPr="00AC1668" w:rsidSect="0092682E">
          <w:headerReference w:type="first" r:id="rId15"/>
          <w:footerReference w:type="first" r:id="rId16"/>
          <w:footnotePr>
            <w:numRestart w:val="eachPage"/>
          </w:footnotePr>
          <w:pgSz w:w="12240" w:h="15840" w:code="1"/>
          <w:pgMar w:top="3136" w:right="851" w:bottom="1418" w:left="1985" w:header="567" w:footer="567" w:gutter="0"/>
          <w:pgNumType w:start="7"/>
          <w:cols w:space="708"/>
          <w:titlePg/>
          <w:docGrid w:linePitch="326"/>
        </w:sectPr>
      </w:pPr>
    </w:p>
    <w:p w14:paraId="0E9ABC83" w14:textId="77777777" w:rsidR="00694517" w:rsidRPr="00AC1668" w:rsidRDefault="00694517" w:rsidP="00694517">
      <w:pPr>
        <w:pStyle w:val="1tipi"/>
        <w:widowControl w:val="0"/>
        <w:jc w:val="center"/>
        <w:rPr>
          <w:rFonts w:ascii="Times New Roman" w:hAnsi="Times New Roman"/>
          <w:b/>
          <w:noProof w:val="0"/>
        </w:rPr>
      </w:pPr>
      <w:r w:rsidRPr="00AC1668">
        <w:lastRenderedPageBreak/>
        <w:t xml:space="preserve"> </w:t>
      </w:r>
    </w:p>
    <w:p w14:paraId="62AA6297" w14:textId="77777777" w:rsidR="00770782" w:rsidRPr="00AC1668" w:rsidRDefault="00770782" w:rsidP="00976CD8">
      <w:pPr>
        <w:pStyle w:val="1tipi"/>
        <w:widowControl w:val="0"/>
        <w:jc w:val="center"/>
        <w:rPr>
          <w:rFonts w:ascii="Times New Roman" w:hAnsi="Times New Roman"/>
          <w:b/>
          <w:noProof w:val="0"/>
        </w:rPr>
      </w:pPr>
    </w:p>
    <w:p w14:paraId="7B55F8F7" w14:textId="77777777" w:rsidR="00770782" w:rsidRPr="00AC1668" w:rsidRDefault="00770782" w:rsidP="00976CD8">
      <w:pPr>
        <w:pStyle w:val="1tipi"/>
        <w:widowControl w:val="0"/>
        <w:jc w:val="center"/>
        <w:rPr>
          <w:rFonts w:ascii="Times New Roman" w:hAnsi="Times New Roman"/>
          <w:b/>
          <w:noProof w:val="0"/>
        </w:rPr>
      </w:pPr>
    </w:p>
    <w:p w14:paraId="3FF24B29" w14:textId="77777777" w:rsidR="00770782" w:rsidRPr="00AC1668" w:rsidRDefault="00770782" w:rsidP="00976CD8">
      <w:pPr>
        <w:pStyle w:val="1tipi"/>
        <w:widowControl w:val="0"/>
        <w:jc w:val="center"/>
        <w:rPr>
          <w:rFonts w:ascii="Times New Roman" w:hAnsi="Times New Roman"/>
          <w:b/>
          <w:noProof w:val="0"/>
        </w:rPr>
      </w:pPr>
    </w:p>
    <w:p w14:paraId="3D9517FE" w14:textId="2C3D1F9B" w:rsidR="00770782" w:rsidRPr="0021784E" w:rsidRDefault="00770782" w:rsidP="00976CD8">
      <w:pPr>
        <w:pStyle w:val="1tipi"/>
        <w:widowControl w:val="0"/>
        <w:jc w:val="center"/>
        <w:rPr>
          <w:rFonts w:ascii="Times New Roman" w:hAnsi="Times New Roman"/>
          <w:b/>
          <w:noProof w:val="0"/>
        </w:rPr>
      </w:pPr>
      <w:r w:rsidRPr="0021784E">
        <w:rPr>
          <w:rFonts w:ascii="Times New Roman" w:hAnsi="Times New Roman"/>
          <w:b/>
          <w:noProof w:val="0"/>
        </w:rPr>
        <w:t xml:space="preserve">DÜNYA KATILIM BANKASI A.Ş.'NİN </w:t>
      </w:r>
    </w:p>
    <w:p w14:paraId="1BC63CA6" w14:textId="77777777" w:rsidR="00770782" w:rsidRPr="0021784E" w:rsidRDefault="00770782" w:rsidP="00976CD8">
      <w:pPr>
        <w:pStyle w:val="1tipi"/>
        <w:widowControl w:val="0"/>
        <w:jc w:val="center"/>
        <w:rPr>
          <w:rFonts w:ascii="Times New Roman" w:hAnsi="Times New Roman"/>
          <w:b/>
          <w:noProof w:val="0"/>
        </w:rPr>
      </w:pPr>
      <w:r w:rsidRPr="0021784E">
        <w:rPr>
          <w:rFonts w:ascii="Times New Roman" w:hAnsi="Times New Roman"/>
          <w:b/>
          <w:noProof w:val="0"/>
        </w:rPr>
        <w:t>31 ARALIK 2025 TARİHİ İTİBARIYLA HAZIRLANAN YIL SONU</w:t>
      </w:r>
    </w:p>
    <w:p w14:paraId="1F1169D3" w14:textId="77777777" w:rsidR="00770782" w:rsidRPr="00AC1668" w:rsidRDefault="00770782" w:rsidP="00976CD8">
      <w:pPr>
        <w:pStyle w:val="1tipi"/>
        <w:widowControl w:val="0"/>
        <w:jc w:val="center"/>
        <w:rPr>
          <w:rFonts w:ascii="Times New Roman" w:hAnsi="Times New Roman"/>
          <w:b/>
          <w:noProof w:val="0"/>
        </w:rPr>
      </w:pPr>
      <w:r w:rsidRPr="0021784E">
        <w:rPr>
          <w:rFonts w:ascii="Times New Roman" w:hAnsi="Times New Roman"/>
          <w:b/>
          <w:noProof w:val="0"/>
        </w:rPr>
        <w:t>KONSOLİDE OLMAYAN FİNANSAL RAPORU</w:t>
      </w:r>
    </w:p>
    <w:p w14:paraId="7A157BFF" w14:textId="77777777" w:rsidR="00770782" w:rsidRPr="00AC1668" w:rsidRDefault="00770782" w:rsidP="00976CD8">
      <w:pPr>
        <w:pStyle w:val="1tipi"/>
        <w:widowControl w:val="0"/>
        <w:tabs>
          <w:tab w:val="clear" w:pos="1134"/>
        </w:tabs>
        <w:jc w:val="center"/>
        <w:rPr>
          <w:rFonts w:ascii="Times New Roman" w:hAnsi="Times New Roman"/>
          <w:noProof w:val="0"/>
          <w:snapToGrid/>
        </w:rPr>
      </w:pPr>
    </w:p>
    <w:p w14:paraId="2542D642" w14:textId="77777777" w:rsidR="00770782" w:rsidRPr="00AC1668" w:rsidRDefault="00770782" w:rsidP="00976CD8">
      <w:pPr>
        <w:pStyle w:val="1tipi"/>
        <w:widowControl w:val="0"/>
        <w:tabs>
          <w:tab w:val="clear" w:pos="1134"/>
        </w:tabs>
        <w:jc w:val="left"/>
        <w:rPr>
          <w:rFonts w:ascii="Times New Roman" w:hAnsi="Times New Roman"/>
          <w:noProof w:val="0"/>
          <w:snapToGrid/>
          <w:szCs w:val="18"/>
        </w:rPr>
      </w:pPr>
      <w:r w:rsidRPr="00AC1668">
        <w:rPr>
          <w:rFonts w:ascii="Times New Roman" w:hAnsi="Times New Roman"/>
          <w:noProof w:val="0"/>
          <w:snapToGrid/>
          <w:szCs w:val="18"/>
        </w:rPr>
        <w:t>Banka’nın Yönetim Merkezinin Adresi</w:t>
      </w:r>
      <w:r w:rsidRPr="00AC1668">
        <w:rPr>
          <w:rFonts w:ascii="Times New Roman" w:hAnsi="Times New Roman"/>
          <w:noProof w:val="0"/>
          <w:snapToGrid/>
          <w:szCs w:val="18"/>
        </w:rPr>
        <w:tab/>
        <w:t xml:space="preserve">: </w:t>
      </w:r>
      <w:proofErr w:type="spellStart"/>
      <w:r w:rsidRPr="00AC1668">
        <w:rPr>
          <w:rFonts w:ascii="Times New Roman" w:hAnsi="Times New Roman"/>
          <w:noProof w:val="0"/>
          <w:snapToGrid/>
          <w:szCs w:val="18"/>
        </w:rPr>
        <w:t>Yamanevler</w:t>
      </w:r>
      <w:proofErr w:type="spellEnd"/>
      <w:r w:rsidRPr="00AC1668">
        <w:rPr>
          <w:rFonts w:ascii="Times New Roman" w:hAnsi="Times New Roman"/>
          <w:noProof w:val="0"/>
          <w:snapToGrid/>
          <w:szCs w:val="18"/>
        </w:rPr>
        <w:t xml:space="preserve"> Mah. Ahmet Tevfik İleri Cad. No: 22-26 İç Kapı No: 61 </w:t>
      </w:r>
    </w:p>
    <w:p w14:paraId="102255C1" w14:textId="77777777" w:rsidR="00770782" w:rsidRPr="00AC1668" w:rsidRDefault="00770782" w:rsidP="00976CD8">
      <w:pPr>
        <w:pStyle w:val="1tipi"/>
        <w:widowControl w:val="0"/>
        <w:tabs>
          <w:tab w:val="clear" w:pos="1134"/>
        </w:tabs>
        <w:ind w:left="3514"/>
        <w:jc w:val="left"/>
        <w:rPr>
          <w:rFonts w:ascii="Times New Roman" w:hAnsi="Times New Roman"/>
          <w:noProof w:val="0"/>
          <w:snapToGrid/>
          <w:szCs w:val="18"/>
        </w:rPr>
      </w:pPr>
      <w:r w:rsidRPr="00AC1668">
        <w:rPr>
          <w:rFonts w:ascii="Times New Roman" w:hAnsi="Times New Roman"/>
          <w:noProof w:val="0"/>
          <w:snapToGrid/>
          <w:szCs w:val="18"/>
        </w:rPr>
        <w:t>Ümraniye / İstanbul</w:t>
      </w:r>
    </w:p>
    <w:p w14:paraId="1040944C" w14:textId="77777777" w:rsidR="00770782" w:rsidRPr="00AC1668" w:rsidRDefault="00770782" w:rsidP="00976CD8">
      <w:pPr>
        <w:widowControl w:val="0"/>
        <w:jc w:val="both"/>
        <w:rPr>
          <w:szCs w:val="18"/>
        </w:rPr>
      </w:pPr>
      <w:r w:rsidRPr="00AC1668">
        <w:rPr>
          <w:szCs w:val="18"/>
        </w:rPr>
        <w:t>Banka’nın Telefon Numarası</w:t>
      </w:r>
      <w:r w:rsidRPr="00AC1668">
        <w:rPr>
          <w:szCs w:val="18"/>
        </w:rPr>
        <w:tab/>
      </w:r>
      <w:r w:rsidRPr="00AC1668">
        <w:rPr>
          <w:szCs w:val="18"/>
        </w:rPr>
        <w:tab/>
        <w:t>: 444 3 166</w:t>
      </w:r>
    </w:p>
    <w:p w14:paraId="1885F084" w14:textId="77777777" w:rsidR="00770782" w:rsidRPr="00AC1668" w:rsidRDefault="00770782" w:rsidP="00976CD8">
      <w:pPr>
        <w:widowControl w:val="0"/>
        <w:jc w:val="both"/>
        <w:rPr>
          <w:szCs w:val="18"/>
        </w:rPr>
      </w:pPr>
      <w:r w:rsidRPr="00AC1668">
        <w:rPr>
          <w:szCs w:val="18"/>
        </w:rPr>
        <w:t>Banka’nın İnternet Sayfası Adresi</w:t>
      </w:r>
      <w:r w:rsidRPr="00AC1668">
        <w:rPr>
          <w:szCs w:val="18"/>
        </w:rPr>
        <w:tab/>
      </w:r>
      <w:r w:rsidRPr="00AC1668">
        <w:rPr>
          <w:szCs w:val="18"/>
        </w:rPr>
        <w:tab/>
        <w:t xml:space="preserve">: www.dunyakatilim.com.tr </w:t>
      </w:r>
    </w:p>
    <w:p w14:paraId="6568C7AD" w14:textId="77777777" w:rsidR="00770782" w:rsidRPr="00AC1668" w:rsidRDefault="00770782" w:rsidP="00976CD8">
      <w:pPr>
        <w:widowControl w:val="0"/>
        <w:jc w:val="both"/>
        <w:rPr>
          <w:szCs w:val="18"/>
        </w:rPr>
      </w:pPr>
      <w:r w:rsidRPr="00AC1668">
        <w:rPr>
          <w:szCs w:val="18"/>
        </w:rPr>
        <w:t>İrtibat İçin Elektronik Posta Adresi</w:t>
      </w:r>
      <w:r w:rsidRPr="00AC1668">
        <w:rPr>
          <w:szCs w:val="18"/>
        </w:rPr>
        <w:tab/>
      </w:r>
      <w:r w:rsidRPr="00AC1668">
        <w:rPr>
          <w:szCs w:val="18"/>
        </w:rPr>
        <w:tab/>
        <w:t>: bilgi@dunyakatilim.com.tr</w:t>
      </w:r>
    </w:p>
    <w:p w14:paraId="7FC11BE0" w14:textId="77777777" w:rsidR="00770782" w:rsidRPr="00AC1668" w:rsidRDefault="00770782" w:rsidP="00976CD8">
      <w:pPr>
        <w:widowControl w:val="0"/>
        <w:jc w:val="both"/>
        <w:rPr>
          <w:szCs w:val="18"/>
        </w:rPr>
      </w:pPr>
    </w:p>
    <w:p w14:paraId="2E574D06" w14:textId="77777777" w:rsidR="00770782" w:rsidRPr="00AC1668" w:rsidRDefault="00770782" w:rsidP="00976CD8">
      <w:pPr>
        <w:widowControl w:val="0"/>
        <w:tabs>
          <w:tab w:val="left" w:pos="6120"/>
        </w:tabs>
        <w:suppressAutoHyphens/>
        <w:jc w:val="both"/>
        <w:rPr>
          <w:sz w:val="18"/>
          <w:szCs w:val="18"/>
        </w:rPr>
      </w:pPr>
      <w:r w:rsidRPr="00AC1668">
        <w:rPr>
          <w:szCs w:val="18"/>
        </w:rPr>
        <w:t>Bankacılık Düzenleme ve Denetleme Kurumu tarafından düzenlenen Bankalarca Kamuya Açıklanacak Finansal Tablolar ile Bunlara İlişkin Açıklama ve Dipnotlar Hakkında Tebliğe göre hazırlanan yıl sonu konsolide olmayan finansal rapor aşağıda yer alan bölümlerden oluşmaktadır.</w:t>
      </w:r>
    </w:p>
    <w:p w14:paraId="6632A157" w14:textId="77777777" w:rsidR="00770782" w:rsidRPr="00AC1668" w:rsidRDefault="00770782" w:rsidP="00976CD8">
      <w:pPr>
        <w:widowControl w:val="0"/>
        <w:tabs>
          <w:tab w:val="left" w:pos="6120"/>
        </w:tabs>
        <w:suppressAutoHyphens/>
        <w:jc w:val="both"/>
        <w:rPr>
          <w:sz w:val="18"/>
          <w:szCs w:val="18"/>
        </w:rPr>
      </w:pPr>
    </w:p>
    <w:p w14:paraId="3F646F5B" w14:textId="77777777" w:rsidR="00770782" w:rsidRPr="00AC1668" w:rsidRDefault="00770782" w:rsidP="00976CD8">
      <w:pPr>
        <w:widowControl w:val="0"/>
        <w:numPr>
          <w:ilvl w:val="0"/>
          <w:numId w:val="1"/>
        </w:numPr>
        <w:tabs>
          <w:tab w:val="clear" w:pos="360"/>
          <w:tab w:val="left" w:pos="561"/>
        </w:tabs>
        <w:ind w:left="561" w:hanging="561"/>
        <w:jc w:val="both"/>
        <w:rPr>
          <w:szCs w:val="20"/>
        </w:rPr>
      </w:pPr>
      <w:r w:rsidRPr="00AC1668">
        <w:rPr>
          <w:szCs w:val="20"/>
        </w:rPr>
        <w:t>BANKA HAKKINDA GENEL BİLGİLER</w:t>
      </w:r>
    </w:p>
    <w:p w14:paraId="0B10CD5B" w14:textId="77777777" w:rsidR="00770782" w:rsidRPr="00AC1668" w:rsidRDefault="00770782" w:rsidP="00976CD8">
      <w:pPr>
        <w:widowControl w:val="0"/>
        <w:numPr>
          <w:ilvl w:val="0"/>
          <w:numId w:val="1"/>
        </w:numPr>
        <w:tabs>
          <w:tab w:val="clear" w:pos="360"/>
          <w:tab w:val="left" w:pos="561"/>
        </w:tabs>
        <w:ind w:left="561" w:hanging="561"/>
        <w:jc w:val="both"/>
        <w:rPr>
          <w:szCs w:val="20"/>
        </w:rPr>
      </w:pPr>
      <w:r w:rsidRPr="00AC1668">
        <w:rPr>
          <w:szCs w:val="20"/>
        </w:rPr>
        <w:t>BANKA’NIN KONSOLİDE OLMAYAN FİNANSAL TABLOLARI</w:t>
      </w:r>
    </w:p>
    <w:p w14:paraId="1EA2C0A0" w14:textId="77777777" w:rsidR="00770782" w:rsidRPr="00AC1668" w:rsidRDefault="00770782" w:rsidP="00976CD8">
      <w:pPr>
        <w:widowControl w:val="0"/>
        <w:numPr>
          <w:ilvl w:val="0"/>
          <w:numId w:val="1"/>
        </w:numPr>
        <w:tabs>
          <w:tab w:val="clear" w:pos="360"/>
          <w:tab w:val="left" w:pos="561"/>
        </w:tabs>
        <w:ind w:left="561" w:hanging="561"/>
        <w:jc w:val="both"/>
        <w:rPr>
          <w:szCs w:val="20"/>
        </w:rPr>
      </w:pPr>
      <w:r w:rsidRPr="00AC1668">
        <w:rPr>
          <w:szCs w:val="20"/>
        </w:rPr>
        <w:t>İLGİLİ DÖNEMDE UYGULANAN MUHASEBE POLİTİKALARINA İLİŞKİN AÇIKLAMALAR</w:t>
      </w:r>
    </w:p>
    <w:p w14:paraId="64C4862D" w14:textId="77777777" w:rsidR="00770782" w:rsidRPr="00AC1668" w:rsidRDefault="00770782" w:rsidP="00976CD8">
      <w:pPr>
        <w:widowControl w:val="0"/>
        <w:numPr>
          <w:ilvl w:val="0"/>
          <w:numId w:val="1"/>
        </w:numPr>
        <w:tabs>
          <w:tab w:val="clear" w:pos="360"/>
          <w:tab w:val="left" w:pos="561"/>
        </w:tabs>
        <w:ind w:left="561" w:hanging="561"/>
        <w:jc w:val="both"/>
        <w:rPr>
          <w:szCs w:val="20"/>
        </w:rPr>
      </w:pPr>
      <w:r w:rsidRPr="00AC1668">
        <w:rPr>
          <w:szCs w:val="20"/>
        </w:rPr>
        <w:t>BANKA’NIN MALİ BÜNYESİNE VE RİSK YÖNETİMİNE İLİŞKİN BİLGİLER</w:t>
      </w:r>
    </w:p>
    <w:p w14:paraId="625C5432" w14:textId="77777777" w:rsidR="00770782" w:rsidRPr="00AC1668" w:rsidRDefault="00770782" w:rsidP="00976CD8">
      <w:pPr>
        <w:widowControl w:val="0"/>
        <w:numPr>
          <w:ilvl w:val="0"/>
          <w:numId w:val="1"/>
        </w:numPr>
        <w:tabs>
          <w:tab w:val="clear" w:pos="360"/>
          <w:tab w:val="left" w:pos="561"/>
        </w:tabs>
        <w:ind w:left="561" w:hanging="561"/>
        <w:jc w:val="both"/>
        <w:rPr>
          <w:szCs w:val="20"/>
        </w:rPr>
      </w:pPr>
      <w:r w:rsidRPr="00AC1668">
        <w:rPr>
          <w:szCs w:val="20"/>
        </w:rPr>
        <w:t>KONSOLİDE OLMAYAN FİNANSAL TABLOLARA İLİŞKİN AÇIKLAMA VE DİPNOTLAR</w:t>
      </w:r>
    </w:p>
    <w:p w14:paraId="0B16F8EE" w14:textId="77777777" w:rsidR="00770782" w:rsidRPr="00AC1668" w:rsidRDefault="00770782" w:rsidP="00976CD8">
      <w:pPr>
        <w:widowControl w:val="0"/>
        <w:numPr>
          <w:ilvl w:val="0"/>
          <w:numId w:val="1"/>
        </w:numPr>
        <w:tabs>
          <w:tab w:val="clear" w:pos="360"/>
          <w:tab w:val="left" w:pos="561"/>
        </w:tabs>
        <w:ind w:left="561" w:hanging="561"/>
        <w:jc w:val="both"/>
        <w:rPr>
          <w:szCs w:val="20"/>
        </w:rPr>
      </w:pPr>
      <w:r w:rsidRPr="00AC1668">
        <w:rPr>
          <w:szCs w:val="20"/>
        </w:rPr>
        <w:t>DİĞER AÇIKLAMALAR</w:t>
      </w:r>
    </w:p>
    <w:p w14:paraId="0B58721E" w14:textId="77777777" w:rsidR="00770782" w:rsidRPr="00AC1668" w:rsidRDefault="00770782" w:rsidP="00976CD8">
      <w:pPr>
        <w:widowControl w:val="0"/>
        <w:numPr>
          <w:ilvl w:val="0"/>
          <w:numId w:val="1"/>
        </w:numPr>
        <w:tabs>
          <w:tab w:val="clear" w:pos="360"/>
          <w:tab w:val="left" w:pos="561"/>
        </w:tabs>
        <w:ind w:left="561" w:hanging="561"/>
        <w:jc w:val="both"/>
        <w:rPr>
          <w:szCs w:val="20"/>
        </w:rPr>
      </w:pPr>
      <w:r w:rsidRPr="00AC1668">
        <w:rPr>
          <w:szCs w:val="20"/>
        </w:rPr>
        <w:t>BAĞIMSIZ DENETİM RAPORU</w:t>
      </w:r>
    </w:p>
    <w:p w14:paraId="5B1EB074" w14:textId="77777777" w:rsidR="00770782" w:rsidRPr="00AC1668" w:rsidRDefault="00770782" w:rsidP="00976CD8">
      <w:pPr>
        <w:widowControl w:val="0"/>
        <w:tabs>
          <w:tab w:val="left" w:pos="561"/>
        </w:tabs>
        <w:jc w:val="both"/>
        <w:rPr>
          <w:sz w:val="18"/>
          <w:szCs w:val="18"/>
        </w:rPr>
      </w:pPr>
    </w:p>
    <w:p w14:paraId="43643DE3" w14:textId="77777777" w:rsidR="00770782" w:rsidRPr="00AC1668" w:rsidRDefault="00770782" w:rsidP="00976CD8">
      <w:pPr>
        <w:widowControl w:val="0"/>
        <w:tabs>
          <w:tab w:val="left" w:pos="6120"/>
        </w:tabs>
        <w:suppressAutoHyphens/>
        <w:jc w:val="both"/>
        <w:rPr>
          <w:sz w:val="18"/>
          <w:szCs w:val="18"/>
        </w:rPr>
      </w:pPr>
      <w:r w:rsidRPr="00AC1668">
        <w:rPr>
          <w:szCs w:val="18"/>
        </w:rPr>
        <w:t xml:space="preserve">Bu raporda yer alan konsolide olmayan 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Pr="00AC1668">
        <w:rPr>
          <w:b/>
          <w:szCs w:val="18"/>
        </w:rPr>
        <w:t>bin Türk Lirası</w:t>
      </w:r>
      <w:r w:rsidRPr="00AC1668">
        <w:rPr>
          <w:szCs w:val="18"/>
        </w:rPr>
        <w:t xml:space="preserve"> cinsinden hazırlanmış olup, bağımsız denetime tabi tutulmuş ve ilişikte sunulmuştur.</w:t>
      </w:r>
    </w:p>
    <w:p w14:paraId="77A70EF2" w14:textId="77777777" w:rsidR="00770782" w:rsidRPr="00AC1668" w:rsidRDefault="00770782" w:rsidP="00976CD8">
      <w:pPr>
        <w:widowControl w:val="0"/>
        <w:tabs>
          <w:tab w:val="left" w:pos="6120"/>
        </w:tabs>
        <w:suppressAutoHyphens/>
        <w:jc w:val="both"/>
        <w:rPr>
          <w:sz w:val="18"/>
          <w:szCs w:val="18"/>
        </w:rPr>
      </w:pPr>
    </w:p>
    <w:p w14:paraId="5EF53FD1" w14:textId="77777777" w:rsidR="00770782" w:rsidRPr="00AC1668" w:rsidRDefault="00770782" w:rsidP="00976CD8">
      <w:pPr>
        <w:widowControl w:val="0"/>
        <w:ind w:right="249"/>
        <w:jc w:val="center"/>
        <w:rPr>
          <w:szCs w:val="20"/>
        </w:rPr>
      </w:pPr>
    </w:p>
    <w:p w14:paraId="019E0FF8" w14:textId="77777777" w:rsidR="00770782" w:rsidRPr="00AC1668" w:rsidRDefault="00770782" w:rsidP="00976CD8">
      <w:pPr>
        <w:widowControl w:val="0"/>
        <w:ind w:right="249"/>
        <w:jc w:val="center"/>
        <w:rPr>
          <w:szCs w:val="20"/>
        </w:rPr>
      </w:pPr>
    </w:p>
    <w:p w14:paraId="27D744CF" w14:textId="77777777" w:rsidR="00770782" w:rsidRPr="00AC1668" w:rsidRDefault="00770782" w:rsidP="00976CD8">
      <w:pPr>
        <w:widowControl w:val="0"/>
        <w:ind w:right="249"/>
        <w:jc w:val="center"/>
        <w:rPr>
          <w:szCs w:val="20"/>
        </w:rPr>
      </w:pPr>
    </w:p>
    <w:p w14:paraId="08777705" w14:textId="77777777" w:rsidR="00770782" w:rsidRPr="00AC1668" w:rsidRDefault="00770782" w:rsidP="00976CD8">
      <w:pPr>
        <w:widowControl w:val="0"/>
        <w:ind w:right="249"/>
        <w:jc w:val="center"/>
        <w:rPr>
          <w:szCs w:val="20"/>
        </w:rPr>
      </w:pPr>
    </w:p>
    <w:p w14:paraId="6A1DB42C" w14:textId="77777777" w:rsidR="00770782" w:rsidRPr="00AC1668" w:rsidRDefault="00770782" w:rsidP="00976CD8">
      <w:pPr>
        <w:widowControl w:val="0"/>
        <w:ind w:right="249"/>
        <w:jc w:val="center"/>
        <w:rPr>
          <w:szCs w:val="20"/>
        </w:rPr>
      </w:pPr>
    </w:p>
    <w:tbl>
      <w:tblPr>
        <w:tblW w:w="8505" w:type="dxa"/>
        <w:jc w:val="center"/>
        <w:tblLayout w:type="fixed"/>
        <w:tblLook w:val="0000" w:firstRow="0" w:lastRow="0" w:firstColumn="0" w:lastColumn="0" w:noHBand="0" w:noVBand="0"/>
      </w:tblPr>
      <w:tblGrid>
        <w:gridCol w:w="3118"/>
        <w:gridCol w:w="2694"/>
        <w:gridCol w:w="2693"/>
      </w:tblGrid>
      <w:tr w:rsidR="00770782" w:rsidRPr="00AC1668" w14:paraId="6A050656" w14:textId="77777777" w:rsidTr="00976CD8">
        <w:trPr>
          <w:trHeight w:val="397"/>
          <w:jc w:val="center"/>
        </w:trPr>
        <w:tc>
          <w:tcPr>
            <w:tcW w:w="3118" w:type="dxa"/>
          </w:tcPr>
          <w:p w14:paraId="1095EAC5" w14:textId="77777777" w:rsidR="00770782" w:rsidRPr="00AC1668" w:rsidRDefault="00770782" w:rsidP="00770782">
            <w:pPr>
              <w:ind w:left="175"/>
              <w:jc w:val="center"/>
              <w:rPr>
                <w:szCs w:val="20"/>
              </w:rPr>
            </w:pPr>
            <w:r w:rsidRPr="00AC1668">
              <w:rPr>
                <w:szCs w:val="20"/>
              </w:rPr>
              <w:t>____________________</w:t>
            </w:r>
          </w:p>
        </w:tc>
        <w:tc>
          <w:tcPr>
            <w:tcW w:w="2694" w:type="dxa"/>
          </w:tcPr>
          <w:p w14:paraId="625C3D37" w14:textId="77777777" w:rsidR="00770782" w:rsidRPr="00AC1668" w:rsidRDefault="00770782" w:rsidP="00770782">
            <w:pPr>
              <w:ind w:left="175"/>
              <w:jc w:val="center"/>
              <w:rPr>
                <w:szCs w:val="20"/>
              </w:rPr>
            </w:pPr>
            <w:r w:rsidRPr="00AC1668">
              <w:rPr>
                <w:szCs w:val="20"/>
              </w:rPr>
              <w:t>___________________</w:t>
            </w:r>
          </w:p>
        </w:tc>
        <w:tc>
          <w:tcPr>
            <w:tcW w:w="2693" w:type="dxa"/>
          </w:tcPr>
          <w:p w14:paraId="07A542EC" w14:textId="77777777" w:rsidR="00770782" w:rsidRPr="00AC1668" w:rsidRDefault="00770782" w:rsidP="00770782">
            <w:pPr>
              <w:ind w:left="175"/>
              <w:jc w:val="center"/>
              <w:rPr>
                <w:szCs w:val="20"/>
              </w:rPr>
            </w:pPr>
            <w:r w:rsidRPr="00AC1668">
              <w:rPr>
                <w:szCs w:val="20"/>
              </w:rPr>
              <w:t>___________________</w:t>
            </w:r>
          </w:p>
        </w:tc>
      </w:tr>
      <w:tr w:rsidR="00770782" w:rsidRPr="00AC1668" w14:paraId="6E8301BA" w14:textId="77777777" w:rsidTr="00976CD8">
        <w:trPr>
          <w:trHeight w:val="1023"/>
          <w:jc w:val="center"/>
        </w:trPr>
        <w:tc>
          <w:tcPr>
            <w:tcW w:w="3118" w:type="dxa"/>
          </w:tcPr>
          <w:p w14:paraId="5DD110B2" w14:textId="77777777" w:rsidR="00770782" w:rsidRPr="00AC1668" w:rsidRDefault="00770782" w:rsidP="00770782">
            <w:pPr>
              <w:ind w:left="175"/>
              <w:jc w:val="center"/>
              <w:rPr>
                <w:szCs w:val="20"/>
              </w:rPr>
            </w:pPr>
            <w:r w:rsidRPr="00AC1668">
              <w:rPr>
                <w:color w:val="000000"/>
                <w:szCs w:val="20"/>
              </w:rPr>
              <w:t>Ahmet AHLATCI</w:t>
            </w:r>
          </w:p>
          <w:p w14:paraId="387A5561" w14:textId="77777777" w:rsidR="00770782" w:rsidRPr="00AC1668" w:rsidRDefault="00770782" w:rsidP="00770782">
            <w:pPr>
              <w:ind w:left="175"/>
              <w:jc w:val="center"/>
              <w:rPr>
                <w:szCs w:val="20"/>
              </w:rPr>
            </w:pPr>
            <w:r w:rsidRPr="00AC1668">
              <w:rPr>
                <w:szCs w:val="20"/>
              </w:rPr>
              <w:t xml:space="preserve">Yönetim Kurulu Başkanı </w:t>
            </w:r>
          </w:p>
          <w:p w14:paraId="482A467A" w14:textId="77777777" w:rsidR="00770782" w:rsidRPr="00AC1668" w:rsidRDefault="00770782" w:rsidP="00770782">
            <w:pPr>
              <w:ind w:left="175"/>
              <w:jc w:val="center"/>
              <w:rPr>
                <w:szCs w:val="20"/>
              </w:rPr>
            </w:pPr>
          </w:p>
        </w:tc>
        <w:tc>
          <w:tcPr>
            <w:tcW w:w="2694" w:type="dxa"/>
          </w:tcPr>
          <w:p w14:paraId="18DE80CD" w14:textId="77777777" w:rsidR="00770782" w:rsidRPr="00AC1668" w:rsidRDefault="00770782" w:rsidP="00770782">
            <w:pPr>
              <w:ind w:left="175"/>
              <w:jc w:val="center"/>
              <w:rPr>
                <w:szCs w:val="20"/>
              </w:rPr>
            </w:pPr>
            <w:r w:rsidRPr="00AC1668">
              <w:rPr>
                <w:bCs/>
                <w:szCs w:val="20"/>
              </w:rPr>
              <w:t>Abdül Latif ÖZKAYNAK</w:t>
            </w:r>
          </w:p>
          <w:p w14:paraId="2B000114" w14:textId="77777777" w:rsidR="00770782" w:rsidRPr="00AC1668" w:rsidRDefault="00770782" w:rsidP="00770782">
            <w:pPr>
              <w:ind w:left="175"/>
              <w:jc w:val="center"/>
              <w:rPr>
                <w:szCs w:val="20"/>
              </w:rPr>
            </w:pPr>
            <w:r w:rsidRPr="00AC1668">
              <w:rPr>
                <w:szCs w:val="20"/>
              </w:rPr>
              <w:t>Yönetim Kurulu Üyesi,</w:t>
            </w:r>
          </w:p>
          <w:p w14:paraId="3A36367B" w14:textId="77777777" w:rsidR="00770782" w:rsidRPr="00AC1668" w:rsidRDefault="00770782" w:rsidP="00770782">
            <w:pPr>
              <w:ind w:left="175"/>
              <w:jc w:val="center"/>
              <w:rPr>
                <w:szCs w:val="20"/>
              </w:rPr>
            </w:pPr>
            <w:r w:rsidRPr="00AC1668">
              <w:rPr>
                <w:szCs w:val="20"/>
              </w:rPr>
              <w:t>Denetim Komitesi Başkanı</w:t>
            </w:r>
          </w:p>
          <w:p w14:paraId="4CD4DAD5" w14:textId="77777777" w:rsidR="00770782" w:rsidRPr="00AC1668" w:rsidRDefault="00770782" w:rsidP="00770782">
            <w:pPr>
              <w:ind w:left="175"/>
              <w:jc w:val="center"/>
              <w:rPr>
                <w:szCs w:val="20"/>
              </w:rPr>
            </w:pPr>
          </w:p>
        </w:tc>
        <w:tc>
          <w:tcPr>
            <w:tcW w:w="2693" w:type="dxa"/>
          </w:tcPr>
          <w:p w14:paraId="1CDC0887" w14:textId="77777777" w:rsidR="00770782" w:rsidRPr="00AC1668" w:rsidRDefault="00770782" w:rsidP="00770782">
            <w:pPr>
              <w:ind w:left="175"/>
              <w:jc w:val="center"/>
              <w:rPr>
                <w:rFonts w:eastAsia="Arial Unicode MS"/>
                <w:bCs/>
                <w:szCs w:val="20"/>
              </w:rPr>
            </w:pPr>
            <w:r w:rsidRPr="00AC1668">
              <w:rPr>
                <w:rFonts w:eastAsia="Arial Unicode MS"/>
                <w:bCs/>
                <w:szCs w:val="20"/>
              </w:rPr>
              <w:t>Mustafa ER</w:t>
            </w:r>
          </w:p>
          <w:p w14:paraId="403FF324" w14:textId="77777777" w:rsidR="00770782" w:rsidRPr="00AC1668" w:rsidRDefault="00770782" w:rsidP="00770782">
            <w:pPr>
              <w:ind w:left="175"/>
              <w:jc w:val="center"/>
              <w:rPr>
                <w:rFonts w:eastAsia="Arial Unicode MS"/>
                <w:bCs/>
                <w:szCs w:val="20"/>
              </w:rPr>
            </w:pPr>
            <w:r w:rsidRPr="00AC1668">
              <w:rPr>
                <w:rFonts w:eastAsia="Arial Unicode MS"/>
                <w:bCs/>
                <w:szCs w:val="20"/>
              </w:rPr>
              <w:t>Yönetim Kurulu Üyesi,</w:t>
            </w:r>
          </w:p>
          <w:p w14:paraId="705F8C95" w14:textId="77777777" w:rsidR="00770782" w:rsidRPr="00AC1668" w:rsidRDefault="00770782" w:rsidP="00770782">
            <w:pPr>
              <w:ind w:left="175"/>
              <w:jc w:val="center"/>
              <w:rPr>
                <w:szCs w:val="20"/>
              </w:rPr>
            </w:pPr>
            <w:r w:rsidRPr="00AC1668">
              <w:rPr>
                <w:szCs w:val="20"/>
              </w:rPr>
              <w:t>Denetim Komitesi Üyesi</w:t>
            </w:r>
          </w:p>
          <w:p w14:paraId="1CA12E89" w14:textId="77777777" w:rsidR="00770782" w:rsidRPr="00AC1668" w:rsidRDefault="00770782" w:rsidP="00770782">
            <w:pPr>
              <w:ind w:left="175"/>
              <w:jc w:val="center"/>
              <w:rPr>
                <w:szCs w:val="20"/>
              </w:rPr>
            </w:pPr>
          </w:p>
        </w:tc>
      </w:tr>
    </w:tbl>
    <w:p w14:paraId="32E6331C" w14:textId="77777777" w:rsidR="00770782" w:rsidRPr="00AC1668" w:rsidRDefault="00770782" w:rsidP="00976CD8">
      <w:pPr>
        <w:jc w:val="both"/>
        <w:rPr>
          <w:rFonts w:eastAsia="Arial Unicode MS"/>
          <w:b/>
          <w:bCs/>
          <w:szCs w:val="20"/>
        </w:rPr>
      </w:pPr>
    </w:p>
    <w:p w14:paraId="44437A6F" w14:textId="77777777" w:rsidR="00770782" w:rsidRPr="00AC1668" w:rsidRDefault="00770782" w:rsidP="00976CD8">
      <w:pPr>
        <w:jc w:val="both"/>
        <w:rPr>
          <w:rFonts w:eastAsia="Arial Unicode MS"/>
          <w:b/>
          <w:bCs/>
          <w:szCs w:val="20"/>
        </w:rPr>
      </w:pPr>
    </w:p>
    <w:p w14:paraId="6BBCD62E" w14:textId="77777777" w:rsidR="00770782" w:rsidRPr="00AC1668" w:rsidRDefault="00770782" w:rsidP="00976CD8">
      <w:pPr>
        <w:jc w:val="both"/>
        <w:rPr>
          <w:rFonts w:eastAsia="Arial Unicode MS"/>
          <w:b/>
          <w:bCs/>
          <w:szCs w:val="20"/>
        </w:rPr>
      </w:pPr>
    </w:p>
    <w:p w14:paraId="46718517" w14:textId="77777777" w:rsidR="00770782" w:rsidRPr="00AC1668" w:rsidRDefault="00770782" w:rsidP="00976CD8">
      <w:pPr>
        <w:jc w:val="both"/>
        <w:rPr>
          <w:rFonts w:eastAsia="Arial Unicode MS"/>
          <w:b/>
          <w:bCs/>
          <w:szCs w:val="20"/>
        </w:rPr>
      </w:pPr>
    </w:p>
    <w:tbl>
      <w:tblPr>
        <w:tblW w:w="8488" w:type="dxa"/>
        <w:jc w:val="center"/>
        <w:tblLook w:val="0000" w:firstRow="0" w:lastRow="0" w:firstColumn="0" w:lastColumn="0" w:noHBand="0" w:noVBand="0"/>
      </w:tblPr>
      <w:tblGrid>
        <w:gridCol w:w="3116"/>
        <w:gridCol w:w="2650"/>
        <w:gridCol w:w="2722"/>
      </w:tblGrid>
      <w:tr w:rsidR="00770782" w:rsidRPr="00AC1668" w14:paraId="5323F114" w14:textId="77777777" w:rsidTr="00976CD8">
        <w:trPr>
          <w:trHeight w:val="397"/>
          <w:jc w:val="center"/>
        </w:trPr>
        <w:tc>
          <w:tcPr>
            <w:tcW w:w="3116" w:type="dxa"/>
          </w:tcPr>
          <w:p w14:paraId="0C0BB03B" w14:textId="77777777" w:rsidR="00770782" w:rsidRPr="00AC1668" w:rsidRDefault="00770782" w:rsidP="00770782">
            <w:pPr>
              <w:jc w:val="center"/>
              <w:rPr>
                <w:szCs w:val="20"/>
              </w:rPr>
            </w:pPr>
            <w:r w:rsidRPr="00AC1668">
              <w:rPr>
                <w:szCs w:val="20"/>
              </w:rPr>
              <w:t>____________________</w:t>
            </w:r>
          </w:p>
        </w:tc>
        <w:tc>
          <w:tcPr>
            <w:tcW w:w="2650" w:type="dxa"/>
          </w:tcPr>
          <w:p w14:paraId="377477FD" w14:textId="77777777" w:rsidR="00770782" w:rsidRPr="00AC1668" w:rsidRDefault="00770782" w:rsidP="00770782">
            <w:pPr>
              <w:jc w:val="center"/>
              <w:rPr>
                <w:szCs w:val="20"/>
              </w:rPr>
            </w:pPr>
            <w:r w:rsidRPr="00AC1668">
              <w:rPr>
                <w:szCs w:val="20"/>
              </w:rPr>
              <w:t>_____________________</w:t>
            </w:r>
          </w:p>
        </w:tc>
        <w:tc>
          <w:tcPr>
            <w:tcW w:w="2722" w:type="dxa"/>
          </w:tcPr>
          <w:p w14:paraId="0A2BF35D" w14:textId="77777777" w:rsidR="00770782" w:rsidRPr="00AC1668" w:rsidRDefault="00770782" w:rsidP="00770782">
            <w:pPr>
              <w:jc w:val="center"/>
              <w:rPr>
                <w:szCs w:val="20"/>
              </w:rPr>
            </w:pPr>
            <w:r w:rsidRPr="00AC1668">
              <w:rPr>
                <w:szCs w:val="20"/>
              </w:rPr>
              <w:t>______________________</w:t>
            </w:r>
          </w:p>
        </w:tc>
      </w:tr>
      <w:tr w:rsidR="00770782" w:rsidRPr="00AC1668" w14:paraId="44F463A5" w14:textId="77777777" w:rsidTr="00976CD8">
        <w:trPr>
          <w:trHeight w:val="1073"/>
          <w:jc w:val="center"/>
        </w:trPr>
        <w:tc>
          <w:tcPr>
            <w:tcW w:w="3116" w:type="dxa"/>
          </w:tcPr>
          <w:p w14:paraId="24E4723F" w14:textId="77777777" w:rsidR="00770782" w:rsidRPr="00AC1668" w:rsidRDefault="00770782" w:rsidP="00770782">
            <w:pPr>
              <w:jc w:val="center"/>
              <w:rPr>
                <w:szCs w:val="20"/>
              </w:rPr>
            </w:pPr>
            <w:r w:rsidRPr="00AC1668">
              <w:rPr>
                <w:szCs w:val="20"/>
              </w:rPr>
              <w:t>İkram GÖKTAŞ</w:t>
            </w:r>
          </w:p>
          <w:p w14:paraId="6AFF9687" w14:textId="77777777" w:rsidR="00770782" w:rsidRPr="00AC1668" w:rsidRDefault="00770782" w:rsidP="00770782">
            <w:pPr>
              <w:jc w:val="center"/>
              <w:rPr>
                <w:szCs w:val="20"/>
              </w:rPr>
            </w:pPr>
            <w:r w:rsidRPr="00AC1668">
              <w:rPr>
                <w:szCs w:val="20"/>
              </w:rPr>
              <w:t xml:space="preserve">Yönetim Kurulu Üyesi, </w:t>
            </w:r>
          </w:p>
          <w:p w14:paraId="6A3EA95C" w14:textId="77777777" w:rsidR="00770782" w:rsidRPr="00AC1668" w:rsidRDefault="00770782" w:rsidP="00770782">
            <w:pPr>
              <w:jc w:val="center"/>
              <w:rPr>
                <w:szCs w:val="20"/>
              </w:rPr>
            </w:pPr>
            <w:r w:rsidRPr="00AC1668">
              <w:rPr>
                <w:szCs w:val="20"/>
              </w:rPr>
              <w:t>Genel Müdür</w:t>
            </w:r>
          </w:p>
        </w:tc>
        <w:tc>
          <w:tcPr>
            <w:tcW w:w="2650" w:type="dxa"/>
            <w:shd w:val="clear" w:color="auto" w:fill="FFFFFF" w:themeFill="background1"/>
          </w:tcPr>
          <w:p w14:paraId="00F4130E" w14:textId="77777777" w:rsidR="00770782" w:rsidRPr="00AC1668" w:rsidRDefault="00770782" w:rsidP="00770782">
            <w:pPr>
              <w:jc w:val="center"/>
              <w:rPr>
                <w:szCs w:val="20"/>
              </w:rPr>
            </w:pPr>
            <w:r w:rsidRPr="00AC1668">
              <w:rPr>
                <w:szCs w:val="20"/>
              </w:rPr>
              <w:t>İrfan GÜLTAŞ</w:t>
            </w:r>
          </w:p>
          <w:p w14:paraId="2E8BB164" w14:textId="77777777" w:rsidR="00770782" w:rsidRPr="00AC1668" w:rsidRDefault="00770782" w:rsidP="00770782">
            <w:pPr>
              <w:jc w:val="center"/>
              <w:rPr>
                <w:szCs w:val="20"/>
              </w:rPr>
            </w:pPr>
            <w:r w:rsidRPr="00AC1668">
              <w:rPr>
                <w:szCs w:val="20"/>
              </w:rPr>
              <w:t>Genel Müdür Yardımcısı</w:t>
            </w:r>
          </w:p>
        </w:tc>
        <w:tc>
          <w:tcPr>
            <w:tcW w:w="2722" w:type="dxa"/>
          </w:tcPr>
          <w:p w14:paraId="402110BC" w14:textId="77777777" w:rsidR="00770782" w:rsidRPr="00AC1668" w:rsidRDefault="00770782" w:rsidP="00770782">
            <w:pPr>
              <w:jc w:val="center"/>
              <w:rPr>
                <w:szCs w:val="20"/>
              </w:rPr>
            </w:pPr>
            <w:r w:rsidRPr="00AC1668">
              <w:rPr>
                <w:szCs w:val="20"/>
              </w:rPr>
              <w:t>Ertuğrul YILMAZ</w:t>
            </w:r>
          </w:p>
          <w:p w14:paraId="4F8BE59C" w14:textId="77777777" w:rsidR="00770782" w:rsidRPr="00AC1668" w:rsidRDefault="00770782" w:rsidP="00770782">
            <w:pPr>
              <w:jc w:val="center"/>
              <w:rPr>
                <w:szCs w:val="20"/>
              </w:rPr>
            </w:pPr>
            <w:r w:rsidRPr="00AC1668">
              <w:rPr>
                <w:szCs w:val="20"/>
              </w:rPr>
              <w:t>Mali İşler Direktörü</w:t>
            </w:r>
          </w:p>
        </w:tc>
      </w:tr>
    </w:tbl>
    <w:p w14:paraId="6E9F7FD7" w14:textId="77777777" w:rsidR="00770782" w:rsidRPr="00AC1668" w:rsidRDefault="00770782" w:rsidP="00976CD8"/>
    <w:p w14:paraId="77F83F35" w14:textId="77777777" w:rsidR="00770782" w:rsidRPr="00AC1668" w:rsidRDefault="00770782" w:rsidP="00976CD8">
      <w:r w:rsidRPr="00AC1668">
        <w:t>Bu finansal rapor ile ilgili olarak soruların iletilebileceği yetkili personele ilişkin bilgiler:</w:t>
      </w:r>
    </w:p>
    <w:p w14:paraId="099DC7DF" w14:textId="77777777" w:rsidR="00770782" w:rsidRPr="00AC1668" w:rsidRDefault="00770782" w:rsidP="00976CD8">
      <w:r w:rsidRPr="00AC1668">
        <w:t>Ad-</w:t>
      </w:r>
      <w:proofErr w:type="spellStart"/>
      <w:r w:rsidRPr="00AC1668">
        <w:t>Soyad</w:t>
      </w:r>
      <w:proofErr w:type="spellEnd"/>
      <w:r w:rsidRPr="00AC1668">
        <w:t>/Unvan</w:t>
      </w:r>
      <w:r w:rsidRPr="00AC1668">
        <w:tab/>
        <w:t>: Ertuğrul YILMAZ / Mali İşler Direktörü</w:t>
      </w:r>
    </w:p>
    <w:p w14:paraId="050973FB" w14:textId="77777777" w:rsidR="00770782" w:rsidRPr="00AC1668" w:rsidRDefault="00770782" w:rsidP="00976CD8">
      <w:r w:rsidRPr="00AC1668">
        <w:t>Tel No</w:t>
      </w:r>
      <w:r w:rsidRPr="00AC1668">
        <w:tab/>
      </w:r>
      <w:r w:rsidRPr="00AC1668">
        <w:tab/>
      </w:r>
      <w:r w:rsidRPr="00AC1668">
        <w:tab/>
        <w:t>: 444 3 166</w:t>
      </w:r>
    </w:p>
    <w:p w14:paraId="56B31FFA" w14:textId="77777777" w:rsidR="00770782" w:rsidRPr="00AC1668" w:rsidRDefault="00770782" w:rsidP="00770782">
      <w:pPr>
        <w:rPr>
          <w:b/>
          <w:szCs w:val="20"/>
        </w:rPr>
      </w:pPr>
    </w:p>
    <w:p w14:paraId="786D00A0" w14:textId="77777777" w:rsidR="00770782" w:rsidRPr="00AC1668" w:rsidRDefault="00770782">
      <w:r w:rsidRPr="00AC1668">
        <w:br w:type="page"/>
      </w:r>
    </w:p>
    <w:tbl>
      <w:tblPr>
        <w:tblW w:w="5080" w:type="pct"/>
        <w:tblInd w:w="-142" w:type="dxa"/>
        <w:tblLayout w:type="fixed"/>
        <w:tblLook w:val="01E0" w:firstRow="1" w:lastRow="1" w:firstColumn="1" w:lastColumn="1" w:noHBand="0" w:noVBand="0"/>
      </w:tblPr>
      <w:tblGrid>
        <w:gridCol w:w="512"/>
        <w:gridCol w:w="7993"/>
        <w:gridCol w:w="712"/>
      </w:tblGrid>
      <w:tr w:rsidR="00BA21DF" w:rsidRPr="00AC1668" w14:paraId="15708C35" w14:textId="17A65DE9" w:rsidTr="00BA21DF">
        <w:trPr>
          <w:trHeight w:val="113"/>
        </w:trPr>
        <w:tc>
          <w:tcPr>
            <w:tcW w:w="4614" w:type="pct"/>
            <w:gridSpan w:val="2"/>
            <w:vAlign w:val="center"/>
          </w:tcPr>
          <w:p w14:paraId="023063C7" w14:textId="4C8A8068" w:rsidR="00BA21DF" w:rsidRPr="00AC1668" w:rsidRDefault="00BA21DF" w:rsidP="00723331">
            <w:pPr>
              <w:ind w:left="-104"/>
              <w:jc w:val="center"/>
              <w:rPr>
                <w:sz w:val="14"/>
                <w:szCs w:val="14"/>
              </w:rPr>
            </w:pPr>
            <w:r w:rsidRPr="00AC1668">
              <w:rPr>
                <w:b/>
                <w:bCs/>
                <w:sz w:val="14"/>
                <w:szCs w:val="14"/>
              </w:rPr>
              <w:lastRenderedPageBreak/>
              <w:t>İÇİNDEKİLER</w:t>
            </w:r>
          </w:p>
        </w:tc>
        <w:tc>
          <w:tcPr>
            <w:tcW w:w="386" w:type="pct"/>
            <w:vAlign w:val="center"/>
          </w:tcPr>
          <w:p w14:paraId="646D652C" w14:textId="77777777" w:rsidR="00BA21DF" w:rsidRPr="00AC1668" w:rsidRDefault="00BA21DF" w:rsidP="00BA21DF">
            <w:pPr>
              <w:jc w:val="center"/>
              <w:rPr>
                <w:sz w:val="14"/>
                <w:szCs w:val="14"/>
                <w:highlight w:val="yellow"/>
              </w:rPr>
            </w:pPr>
          </w:p>
        </w:tc>
      </w:tr>
      <w:tr w:rsidR="00BA21DF" w:rsidRPr="00AC1668" w14:paraId="23431672" w14:textId="4A0E6523" w:rsidTr="00BA21DF">
        <w:trPr>
          <w:trHeight w:val="113"/>
        </w:trPr>
        <w:tc>
          <w:tcPr>
            <w:tcW w:w="4614" w:type="pct"/>
            <w:gridSpan w:val="2"/>
            <w:vAlign w:val="center"/>
          </w:tcPr>
          <w:p w14:paraId="7CF377AD" w14:textId="77777777" w:rsidR="00BA21DF" w:rsidRPr="00AC1668" w:rsidRDefault="00BA21DF" w:rsidP="00267780">
            <w:pPr>
              <w:widowControl w:val="0"/>
              <w:suppressAutoHyphens/>
              <w:spacing w:line="230" w:lineRule="auto"/>
              <w:ind w:left="-108"/>
              <w:jc w:val="center"/>
              <w:rPr>
                <w:b/>
                <w:sz w:val="14"/>
                <w:szCs w:val="14"/>
              </w:rPr>
            </w:pPr>
          </w:p>
        </w:tc>
        <w:tc>
          <w:tcPr>
            <w:tcW w:w="386" w:type="pct"/>
            <w:vAlign w:val="center"/>
          </w:tcPr>
          <w:p w14:paraId="254AC642" w14:textId="77777777" w:rsidR="00BA21DF" w:rsidRPr="00AC1668" w:rsidRDefault="00BA21DF" w:rsidP="00267780">
            <w:pPr>
              <w:widowControl w:val="0"/>
              <w:suppressAutoHyphens/>
              <w:spacing w:line="230" w:lineRule="auto"/>
              <w:ind w:left="-108"/>
              <w:jc w:val="center"/>
              <w:rPr>
                <w:b/>
                <w:sz w:val="14"/>
                <w:szCs w:val="14"/>
                <w:highlight w:val="yellow"/>
              </w:rPr>
            </w:pPr>
          </w:p>
        </w:tc>
      </w:tr>
      <w:tr w:rsidR="00BA21DF" w:rsidRPr="00AC1668" w14:paraId="6B3BC0CA" w14:textId="6A8D5594" w:rsidTr="00BA21DF">
        <w:trPr>
          <w:trHeight w:val="113"/>
        </w:trPr>
        <w:tc>
          <w:tcPr>
            <w:tcW w:w="4614" w:type="pct"/>
            <w:gridSpan w:val="2"/>
            <w:vAlign w:val="center"/>
          </w:tcPr>
          <w:p w14:paraId="52A05077" w14:textId="0BD67430" w:rsidR="00BA21DF" w:rsidRPr="00AC1668" w:rsidRDefault="00BA21DF" w:rsidP="00267780">
            <w:pPr>
              <w:widowControl w:val="0"/>
              <w:suppressAutoHyphens/>
              <w:spacing w:line="230" w:lineRule="auto"/>
              <w:ind w:left="-108"/>
              <w:jc w:val="center"/>
              <w:rPr>
                <w:b/>
                <w:sz w:val="14"/>
                <w:szCs w:val="14"/>
              </w:rPr>
            </w:pPr>
            <w:r w:rsidRPr="00AC1668">
              <w:rPr>
                <w:b/>
                <w:sz w:val="14"/>
                <w:szCs w:val="14"/>
              </w:rPr>
              <w:t>Birinci Bölüm</w:t>
            </w:r>
          </w:p>
        </w:tc>
        <w:tc>
          <w:tcPr>
            <w:tcW w:w="386" w:type="pct"/>
            <w:vAlign w:val="center"/>
          </w:tcPr>
          <w:p w14:paraId="4B191051" w14:textId="77777777" w:rsidR="00BA21DF" w:rsidRPr="00AC1668" w:rsidRDefault="00BA21DF" w:rsidP="00BA21DF">
            <w:pPr>
              <w:widowControl w:val="0"/>
              <w:suppressAutoHyphens/>
              <w:spacing w:line="230" w:lineRule="auto"/>
              <w:jc w:val="center"/>
              <w:rPr>
                <w:b/>
                <w:sz w:val="14"/>
                <w:szCs w:val="14"/>
                <w:highlight w:val="yellow"/>
              </w:rPr>
            </w:pPr>
          </w:p>
        </w:tc>
      </w:tr>
      <w:tr w:rsidR="00BA21DF" w:rsidRPr="00AC1668" w14:paraId="57F82DB7" w14:textId="064DA4EB" w:rsidTr="00BA21DF">
        <w:trPr>
          <w:trHeight w:val="113"/>
        </w:trPr>
        <w:tc>
          <w:tcPr>
            <w:tcW w:w="4614" w:type="pct"/>
            <w:gridSpan w:val="2"/>
            <w:vAlign w:val="center"/>
          </w:tcPr>
          <w:p w14:paraId="3B521B90" w14:textId="72FB75AD" w:rsidR="00BA21DF" w:rsidRPr="00AC1668" w:rsidRDefault="00BA21DF" w:rsidP="00267780">
            <w:pPr>
              <w:widowControl w:val="0"/>
              <w:suppressAutoHyphens/>
              <w:spacing w:line="230" w:lineRule="auto"/>
              <w:ind w:left="-108"/>
              <w:jc w:val="center"/>
              <w:rPr>
                <w:sz w:val="14"/>
                <w:szCs w:val="14"/>
              </w:rPr>
            </w:pPr>
            <w:r w:rsidRPr="00AC1668">
              <w:rPr>
                <w:b/>
                <w:sz w:val="14"/>
                <w:szCs w:val="14"/>
              </w:rPr>
              <w:t>Banka Hakkında Genel Bilgiler</w:t>
            </w:r>
          </w:p>
        </w:tc>
        <w:tc>
          <w:tcPr>
            <w:tcW w:w="386" w:type="pct"/>
            <w:vAlign w:val="center"/>
          </w:tcPr>
          <w:p w14:paraId="6BBC813E" w14:textId="77777777" w:rsidR="00BA21DF" w:rsidRPr="00AC1668" w:rsidRDefault="00BA21DF" w:rsidP="00BA21DF">
            <w:pPr>
              <w:widowControl w:val="0"/>
              <w:suppressAutoHyphens/>
              <w:spacing w:line="230" w:lineRule="auto"/>
              <w:jc w:val="center"/>
              <w:rPr>
                <w:sz w:val="14"/>
                <w:szCs w:val="14"/>
                <w:highlight w:val="yellow"/>
              </w:rPr>
            </w:pPr>
          </w:p>
        </w:tc>
      </w:tr>
      <w:tr w:rsidR="00DB58EB" w:rsidRPr="00AC1668" w14:paraId="7201B4C2" w14:textId="77777777" w:rsidTr="009164F9">
        <w:trPr>
          <w:trHeight w:val="113"/>
        </w:trPr>
        <w:tc>
          <w:tcPr>
            <w:tcW w:w="4614" w:type="pct"/>
            <w:gridSpan w:val="2"/>
          </w:tcPr>
          <w:p w14:paraId="6C64DBB8" w14:textId="77777777" w:rsidR="00DB58EB" w:rsidRPr="00AC1668" w:rsidRDefault="00DB58EB" w:rsidP="002561C7">
            <w:pPr>
              <w:widowControl w:val="0"/>
              <w:tabs>
                <w:tab w:val="right" w:pos="5040"/>
                <w:tab w:val="right" w:pos="8460"/>
              </w:tabs>
              <w:suppressAutoHyphens/>
              <w:spacing w:line="230" w:lineRule="auto"/>
              <w:ind w:left="-108"/>
              <w:jc w:val="center"/>
              <w:rPr>
                <w:b/>
                <w:sz w:val="14"/>
                <w:szCs w:val="14"/>
              </w:rPr>
            </w:pPr>
          </w:p>
        </w:tc>
        <w:tc>
          <w:tcPr>
            <w:tcW w:w="386" w:type="pct"/>
            <w:vAlign w:val="bottom"/>
          </w:tcPr>
          <w:p w14:paraId="744E117C" w14:textId="77777777" w:rsidR="00DB58EB" w:rsidRPr="00AC1668" w:rsidRDefault="00DB58EB" w:rsidP="00AC57E3">
            <w:pPr>
              <w:widowControl w:val="0"/>
              <w:suppressAutoHyphens/>
              <w:spacing w:line="230" w:lineRule="auto"/>
              <w:ind w:left="-108"/>
              <w:jc w:val="right"/>
              <w:rPr>
                <w:sz w:val="14"/>
                <w:szCs w:val="14"/>
                <w:highlight w:val="yellow"/>
              </w:rPr>
            </w:pPr>
          </w:p>
        </w:tc>
      </w:tr>
      <w:tr w:rsidR="00F5219E" w:rsidRPr="00AC1668" w14:paraId="5D8B9E86" w14:textId="77777777" w:rsidTr="009164F9">
        <w:trPr>
          <w:trHeight w:val="113"/>
        </w:trPr>
        <w:tc>
          <w:tcPr>
            <w:tcW w:w="278" w:type="pct"/>
          </w:tcPr>
          <w:p w14:paraId="66FEAD7B" w14:textId="77777777" w:rsidR="00F5219E" w:rsidRPr="00AC1668" w:rsidRDefault="00F5219E" w:rsidP="00F5219E">
            <w:pPr>
              <w:widowControl w:val="0"/>
              <w:autoSpaceDE w:val="0"/>
              <w:autoSpaceDN w:val="0"/>
              <w:adjustRightInd w:val="0"/>
              <w:spacing w:line="230" w:lineRule="auto"/>
              <w:ind w:left="-108" w:right="-162"/>
              <w:rPr>
                <w:sz w:val="14"/>
                <w:szCs w:val="14"/>
              </w:rPr>
            </w:pPr>
            <w:r w:rsidRPr="00AC1668">
              <w:rPr>
                <w:sz w:val="14"/>
                <w:szCs w:val="14"/>
              </w:rPr>
              <w:t>I.</w:t>
            </w:r>
          </w:p>
        </w:tc>
        <w:tc>
          <w:tcPr>
            <w:tcW w:w="4336" w:type="pct"/>
          </w:tcPr>
          <w:p w14:paraId="53522604" w14:textId="77777777" w:rsidR="00F5219E" w:rsidRPr="00AC1668" w:rsidRDefault="00F5219E" w:rsidP="00F5219E">
            <w:pPr>
              <w:widowControl w:val="0"/>
              <w:suppressAutoHyphens/>
              <w:spacing w:line="230" w:lineRule="auto"/>
              <w:ind w:left="-108" w:right="36"/>
              <w:jc w:val="both"/>
              <w:rPr>
                <w:sz w:val="14"/>
                <w:szCs w:val="14"/>
              </w:rPr>
            </w:pPr>
            <w:r w:rsidRPr="00AC1668">
              <w:rPr>
                <w:sz w:val="14"/>
                <w:szCs w:val="14"/>
              </w:rPr>
              <w:t>Banka’nın kuruluş tarihi, başlangıç statüsü, anılan statüde meydana gelen değişiklikleri ihtiva eden tarihçesi</w:t>
            </w:r>
          </w:p>
        </w:tc>
        <w:tc>
          <w:tcPr>
            <w:tcW w:w="386" w:type="pct"/>
            <w:vAlign w:val="bottom"/>
          </w:tcPr>
          <w:p w14:paraId="11895B98" w14:textId="1725F23B" w:rsidR="00F5219E" w:rsidRPr="00764B63" w:rsidRDefault="00F5219E" w:rsidP="00F5219E">
            <w:pPr>
              <w:widowControl w:val="0"/>
              <w:suppressAutoHyphens/>
              <w:spacing w:line="230" w:lineRule="auto"/>
              <w:ind w:left="-108"/>
              <w:jc w:val="right"/>
              <w:rPr>
                <w:sz w:val="14"/>
                <w:szCs w:val="14"/>
              </w:rPr>
            </w:pPr>
            <w:r w:rsidRPr="00764B63">
              <w:rPr>
                <w:sz w:val="14"/>
                <w:szCs w:val="14"/>
              </w:rPr>
              <w:t>1</w:t>
            </w:r>
          </w:p>
        </w:tc>
      </w:tr>
      <w:tr w:rsidR="00F5219E" w:rsidRPr="00AC1668" w14:paraId="1590379A" w14:textId="77777777" w:rsidTr="009164F9">
        <w:trPr>
          <w:trHeight w:val="113"/>
        </w:trPr>
        <w:tc>
          <w:tcPr>
            <w:tcW w:w="278" w:type="pct"/>
          </w:tcPr>
          <w:p w14:paraId="504D5F62" w14:textId="77777777" w:rsidR="00F5219E" w:rsidRPr="00AC1668" w:rsidRDefault="00F5219E" w:rsidP="00F5219E">
            <w:pPr>
              <w:widowControl w:val="0"/>
              <w:autoSpaceDE w:val="0"/>
              <w:autoSpaceDN w:val="0"/>
              <w:adjustRightInd w:val="0"/>
              <w:spacing w:line="230" w:lineRule="auto"/>
              <w:ind w:left="-108" w:right="-162"/>
              <w:rPr>
                <w:sz w:val="14"/>
                <w:szCs w:val="14"/>
              </w:rPr>
            </w:pPr>
            <w:r w:rsidRPr="00AC1668">
              <w:rPr>
                <w:sz w:val="14"/>
                <w:szCs w:val="14"/>
              </w:rPr>
              <w:t>II.</w:t>
            </w:r>
          </w:p>
        </w:tc>
        <w:tc>
          <w:tcPr>
            <w:tcW w:w="4336" w:type="pct"/>
          </w:tcPr>
          <w:p w14:paraId="4351113C" w14:textId="77777777" w:rsidR="00F5219E" w:rsidRPr="00AC1668" w:rsidRDefault="00F5219E" w:rsidP="00F5219E">
            <w:pPr>
              <w:widowControl w:val="0"/>
              <w:spacing w:line="230" w:lineRule="auto"/>
              <w:ind w:left="-108" w:right="36"/>
              <w:jc w:val="both"/>
              <w:rPr>
                <w:sz w:val="14"/>
                <w:szCs w:val="14"/>
              </w:rPr>
            </w:pPr>
            <w:r w:rsidRPr="00AC1668">
              <w:rPr>
                <w:sz w:val="14"/>
                <w:szCs w:val="14"/>
              </w:rPr>
              <w:t>Banka’nın sermaye yapısı, yönetim ve denetimini doğrudan veya dolaylı olarak tek başına veya birlikte elinde bulunduran ortakları, varsa bu hususlarda yıl içindeki değişiklikler ile dahil olduğu gruba ilişkin açıklama</w:t>
            </w:r>
          </w:p>
        </w:tc>
        <w:tc>
          <w:tcPr>
            <w:tcW w:w="386" w:type="pct"/>
            <w:vAlign w:val="bottom"/>
          </w:tcPr>
          <w:p w14:paraId="180F1473" w14:textId="6466AFA2" w:rsidR="00F5219E" w:rsidRPr="00764B63" w:rsidRDefault="00F5219E" w:rsidP="00F5219E">
            <w:pPr>
              <w:widowControl w:val="0"/>
              <w:spacing w:line="230" w:lineRule="auto"/>
              <w:ind w:left="-108"/>
              <w:jc w:val="right"/>
              <w:rPr>
                <w:sz w:val="14"/>
                <w:szCs w:val="14"/>
              </w:rPr>
            </w:pPr>
            <w:r w:rsidRPr="00764B63">
              <w:rPr>
                <w:sz w:val="14"/>
                <w:szCs w:val="14"/>
              </w:rPr>
              <w:t>1</w:t>
            </w:r>
          </w:p>
        </w:tc>
      </w:tr>
      <w:tr w:rsidR="00F5219E" w:rsidRPr="00AC1668" w14:paraId="60BE192A" w14:textId="77777777" w:rsidTr="009164F9">
        <w:trPr>
          <w:trHeight w:val="113"/>
        </w:trPr>
        <w:tc>
          <w:tcPr>
            <w:tcW w:w="278" w:type="pct"/>
          </w:tcPr>
          <w:p w14:paraId="58B1CEC8" w14:textId="77777777" w:rsidR="00F5219E" w:rsidRPr="00AC1668" w:rsidRDefault="00F5219E" w:rsidP="00F5219E">
            <w:pPr>
              <w:widowControl w:val="0"/>
              <w:autoSpaceDE w:val="0"/>
              <w:autoSpaceDN w:val="0"/>
              <w:adjustRightInd w:val="0"/>
              <w:spacing w:line="230" w:lineRule="auto"/>
              <w:ind w:left="-108" w:right="-162"/>
              <w:rPr>
                <w:sz w:val="14"/>
                <w:szCs w:val="14"/>
              </w:rPr>
            </w:pPr>
            <w:r w:rsidRPr="00AC1668">
              <w:rPr>
                <w:sz w:val="14"/>
                <w:szCs w:val="14"/>
              </w:rPr>
              <w:t>III.</w:t>
            </w:r>
          </w:p>
        </w:tc>
        <w:tc>
          <w:tcPr>
            <w:tcW w:w="4336" w:type="pct"/>
          </w:tcPr>
          <w:p w14:paraId="3856C591" w14:textId="77777777" w:rsidR="00F5219E" w:rsidRPr="00AC1668" w:rsidRDefault="00F5219E" w:rsidP="00F5219E">
            <w:pPr>
              <w:widowControl w:val="0"/>
              <w:spacing w:line="230" w:lineRule="auto"/>
              <w:ind w:left="-108" w:right="36"/>
              <w:jc w:val="both"/>
              <w:rPr>
                <w:sz w:val="14"/>
                <w:szCs w:val="14"/>
              </w:rPr>
            </w:pPr>
            <w:r w:rsidRPr="00AC1668">
              <w:rPr>
                <w:sz w:val="14"/>
                <w:szCs w:val="14"/>
              </w:rPr>
              <w:t>Banka’nın yönetim kurulu başkan ve üyeleri, denetim komitesi üyeleri ile genel müdür ve yardımcılarının varsa Banka’da sahip oldukları paylara ve sorumluluk alanlarına ilişkin açıklamalar</w:t>
            </w:r>
          </w:p>
        </w:tc>
        <w:tc>
          <w:tcPr>
            <w:tcW w:w="386" w:type="pct"/>
            <w:vAlign w:val="bottom"/>
          </w:tcPr>
          <w:p w14:paraId="73E62FA1" w14:textId="2BCE3ACB" w:rsidR="00F5219E" w:rsidRPr="00764B63" w:rsidRDefault="000B697A" w:rsidP="00F5219E">
            <w:pPr>
              <w:widowControl w:val="0"/>
              <w:spacing w:line="230" w:lineRule="auto"/>
              <w:ind w:left="-108"/>
              <w:jc w:val="right"/>
              <w:rPr>
                <w:sz w:val="14"/>
                <w:szCs w:val="14"/>
              </w:rPr>
            </w:pPr>
            <w:r w:rsidRPr="00764B63">
              <w:rPr>
                <w:sz w:val="14"/>
                <w:szCs w:val="14"/>
              </w:rPr>
              <w:t>2</w:t>
            </w:r>
          </w:p>
        </w:tc>
      </w:tr>
      <w:tr w:rsidR="00F5219E" w:rsidRPr="00AC1668" w14:paraId="61EB38C7" w14:textId="77777777" w:rsidTr="009164F9">
        <w:trPr>
          <w:trHeight w:val="113"/>
        </w:trPr>
        <w:tc>
          <w:tcPr>
            <w:tcW w:w="278" w:type="pct"/>
          </w:tcPr>
          <w:p w14:paraId="77D84CD3" w14:textId="77777777" w:rsidR="00F5219E" w:rsidRPr="00AC1668" w:rsidRDefault="00F5219E" w:rsidP="00F5219E">
            <w:pPr>
              <w:widowControl w:val="0"/>
              <w:autoSpaceDE w:val="0"/>
              <w:autoSpaceDN w:val="0"/>
              <w:adjustRightInd w:val="0"/>
              <w:spacing w:line="230" w:lineRule="auto"/>
              <w:ind w:left="-108" w:right="-162"/>
              <w:rPr>
                <w:sz w:val="14"/>
                <w:szCs w:val="14"/>
              </w:rPr>
            </w:pPr>
            <w:r w:rsidRPr="00AC1668">
              <w:rPr>
                <w:sz w:val="14"/>
                <w:szCs w:val="14"/>
              </w:rPr>
              <w:t>IV.</w:t>
            </w:r>
          </w:p>
        </w:tc>
        <w:tc>
          <w:tcPr>
            <w:tcW w:w="4336" w:type="pct"/>
          </w:tcPr>
          <w:p w14:paraId="4008426C" w14:textId="77777777" w:rsidR="00F5219E" w:rsidRPr="00AC1668" w:rsidRDefault="00F5219E" w:rsidP="00F5219E">
            <w:pPr>
              <w:widowControl w:val="0"/>
              <w:spacing w:line="230" w:lineRule="auto"/>
              <w:ind w:left="-108" w:right="36"/>
              <w:jc w:val="both"/>
              <w:rPr>
                <w:sz w:val="14"/>
                <w:szCs w:val="14"/>
              </w:rPr>
            </w:pPr>
            <w:r w:rsidRPr="00AC1668">
              <w:rPr>
                <w:sz w:val="14"/>
                <w:szCs w:val="14"/>
              </w:rPr>
              <w:t>Banka’da nitelikli paya sahip kişi ve kuruluşlara ilişkin açıklamalar</w:t>
            </w:r>
          </w:p>
        </w:tc>
        <w:tc>
          <w:tcPr>
            <w:tcW w:w="386" w:type="pct"/>
            <w:vAlign w:val="bottom"/>
          </w:tcPr>
          <w:p w14:paraId="17E9082C" w14:textId="228B03A5" w:rsidR="00F5219E" w:rsidRPr="00764B63" w:rsidRDefault="00F5219E" w:rsidP="00F5219E">
            <w:pPr>
              <w:widowControl w:val="0"/>
              <w:spacing w:line="230" w:lineRule="auto"/>
              <w:ind w:left="-108"/>
              <w:jc w:val="right"/>
              <w:rPr>
                <w:sz w:val="14"/>
                <w:szCs w:val="14"/>
              </w:rPr>
            </w:pPr>
            <w:r w:rsidRPr="00764B63">
              <w:rPr>
                <w:sz w:val="14"/>
                <w:szCs w:val="14"/>
              </w:rPr>
              <w:t>2</w:t>
            </w:r>
          </w:p>
        </w:tc>
      </w:tr>
      <w:tr w:rsidR="00F5219E" w:rsidRPr="00AC1668" w14:paraId="4369873C" w14:textId="77777777" w:rsidTr="009164F9">
        <w:trPr>
          <w:trHeight w:val="113"/>
        </w:trPr>
        <w:tc>
          <w:tcPr>
            <w:tcW w:w="278" w:type="pct"/>
          </w:tcPr>
          <w:p w14:paraId="17EE1E5C" w14:textId="77777777" w:rsidR="00F5219E" w:rsidRPr="00AC1668" w:rsidRDefault="00F5219E" w:rsidP="00F5219E">
            <w:pPr>
              <w:widowControl w:val="0"/>
              <w:autoSpaceDE w:val="0"/>
              <w:autoSpaceDN w:val="0"/>
              <w:adjustRightInd w:val="0"/>
              <w:spacing w:line="230" w:lineRule="auto"/>
              <w:ind w:left="-108" w:right="-162"/>
              <w:rPr>
                <w:sz w:val="14"/>
                <w:szCs w:val="14"/>
              </w:rPr>
            </w:pPr>
            <w:r w:rsidRPr="00AC1668">
              <w:rPr>
                <w:sz w:val="14"/>
                <w:szCs w:val="14"/>
              </w:rPr>
              <w:t>V.</w:t>
            </w:r>
          </w:p>
        </w:tc>
        <w:tc>
          <w:tcPr>
            <w:tcW w:w="4336" w:type="pct"/>
          </w:tcPr>
          <w:p w14:paraId="250F70C3" w14:textId="77777777" w:rsidR="00F5219E" w:rsidRPr="00AC1668" w:rsidRDefault="00F5219E" w:rsidP="00F5219E">
            <w:pPr>
              <w:widowControl w:val="0"/>
              <w:spacing w:line="230" w:lineRule="auto"/>
              <w:ind w:left="-108" w:right="36"/>
              <w:jc w:val="both"/>
              <w:rPr>
                <w:sz w:val="14"/>
                <w:szCs w:val="14"/>
              </w:rPr>
            </w:pPr>
            <w:r w:rsidRPr="00AC1668">
              <w:rPr>
                <w:sz w:val="14"/>
                <w:szCs w:val="14"/>
              </w:rPr>
              <w:t>Banka’nın hizmet türü ve faaliyet alanlarını içeren özet bilgi</w:t>
            </w:r>
          </w:p>
        </w:tc>
        <w:tc>
          <w:tcPr>
            <w:tcW w:w="386" w:type="pct"/>
            <w:vAlign w:val="bottom"/>
          </w:tcPr>
          <w:p w14:paraId="5C65AB4D" w14:textId="70FD057C" w:rsidR="00F5219E" w:rsidRPr="00764B63" w:rsidRDefault="00F5219E" w:rsidP="00F5219E">
            <w:pPr>
              <w:widowControl w:val="0"/>
              <w:spacing w:line="230" w:lineRule="auto"/>
              <w:ind w:left="-108"/>
              <w:jc w:val="right"/>
              <w:rPr>
                <w:sz w:val="14"/>
                <w:szCs w:val="14"/>
              </w:rPr>
            </w:pPr>
            <w:r w:rsidRPr="00764B63">
              <w:rPr>
                <w:sz w:val="14"/>
                <w:szCs w:val="14"/>
              </w:rPr>
              <w:t>2</w:t>
            </w:r>
          </w:p>
        </w:tc>
      </w:tr>
      <w:tr w:rsidR="00F5219E" w:rsidRPr="00AC1668" w14:paraId="662B6D47" w14:textId="77777777" w:rsidTr="009164F9">
        <w:trPr>
          <w:trHeight w:val="113"/>
        </w:trPr>
        <w:tc>
          <w:tcPr>
            <w:tcW w:w="278" w:type="pct"/>
          </w:tcPr>
          <w:p w14:paraId="4275CF9B" w14:textId="77777777" w:rsidR="00F5219E" w:rsidRPr="00AC1668" w:rsidRDefault="00F5219E" w:rsidP="00F5219E">
            <w:pPr>
              <w:widowControl w:val="0"/>
              <w:autoSpaceDE w:val="0"/>
              <w:autoSpaceDN w:val="0"/>
              <w:adjustRightInd w:val="0"/>
              <w:spacing w:line="230" w:lineRule="auto"/>
              <w:ind w:left="-108" w:right="-162"/>
              <w:rPr>
                <w:sz w:val="14"/>
                <w:szCs w:val="14"/>
              </w:rPr>
            </w:pPr>
            <w:r w:rsidRPr="00AC1668">
              <w:rPr>
                <w:sz w:val="14"/>
                <w:szCs w:val="14"/>
              </w:rPr>
              <w:t>VI.</w:t>
            </w:r>
          </w:p>
        </w:tc>
        <w:tc>
          <w:tcPr>
            <w:tcW w:w="4336" w:type="pct"/>
          </w:tcPr>
          <w:p w14:paraId="3CAA39BC" w14:textId="77777777" w:rsidR="00F5219E" w:rsidRPr="00AC1668" w:rsidRDefault="00F5219E" w:rsidP="00F5219E">
            <w:pPr>
              <w:widowControl w:val="0"/>
              <w:autoSpaceDE w:val="0"/>
              <w:autoSpaceDN w:val="0"/>
              <w:adjustRightInd w:val="0"/>
              <w:spacing w:line="230" w:lineRule="auto"/>
              <w:ind w:left="-108" w:right="36"/>
              <w:jc w:val="both"/>
              <w:rPr>
                <w:sz w:val="14"/>
                <w:szCs w:val="14"/>
              </w:rPr>
            </w:pPr>
            <w:r w:rsidRPr="00AC1668">
              <w:rPr>
                <w:sz w:val="14"/>
                <w:szCs w:val="14"/>
              </w:rPr>
              <w:t xml:space="preserve">Bankaların konsolide finansal tablolarının düzenlenmesine ilişkin tebliğ ile Türkiye Muhasebe Standartları gereği yapılan konsolidasyon işlemleri arasındaki farklılıklar ile tam konsolidasyona veya oransal konsolidasyona tabi tutulan, özkaynaklardan indirilen ya da bu üç yönteme dahil olmayan kuruluşlar hakkında kısa açıklama </w:t>
            </w:r>
          </w:p>
        </w:tc>
        <w:tc>
          <w:tcPr>
            <w:tcW w:w="386" w:type="pct"/>
            <w:vAlign w:val="bottom"/>
          </w:tcPr>
          <w:p w14:paraId="6975C5A0" w14:textId="7EE8CBC5" w:rsidR="00F5219E" w:rsidRPr="00764B63" w:rsidRDefault="00F5219E" w:rsidP="00F5219E">
            <w:pPr>
              <w:widowControl w:val="0"/>
              <w:suppressAutoHyphens/>
              <w:spacing w:line="230" w:lineRule="auto"/>
              <w:ind w:left="-108"/>
              <w:jc w:val="right"/>
              <w:rPr>
                <w:sz w:val="14"/>
                <w:szCs w:val="14"/>
              </w:rPr>
            </w:pPr>
            <w:r w:rsidRPr="00764B63">
              <w:rPr>
                <w:sz w:val="14"/>
                <w:szCs w:val="14"/>
              </w:rPr>
              <w:t>3</w:t>
            </w:r>
          </w:p>
        </w:tc>
      </w:tr>
      <w:tr w:rsidR="00F5219E" w:rsidRPr="00AC1668" w14:paraId="217E7F50" w14:textId="77777777" w:rsidTr="009164F9">
        <w:trPr>
          <w:trHeight w:val="113"/>
        </w:trPr>
        <w:tc>
          <w:tcPr>
            <w:tcW w:w="278" w:type="pct"/>
          </w:tcPr>
          <w:p w14:paraId="2B0C3B0C" w14:textId="77777777" w:rsidR="00F5219E" w:rsidRPr="00AC1668" w:rsidRDefault="00F5219E" w:rsidP="00F5219E">
            <w:pPr>
              <w:widowControl w:val="0"/>
              <w:autoSpaceDE w:val="0"/>
              <w:autoSpaceDN w:val="0"/>
              <w:adjustRightInd w:val="0"/>
              <w:spacing w:line="230" w:lineRule="auto"/>
              <w:ind w:left="-108" w:right="-162"/>
              <w:rPr>
                <w:sz w:val="14"/>
                <w:szCs w:val="14"/>
              </w:rPr>
            </w:pPr>
            <w:r w:rsidRPr="00AC1668">
              <w:rPr>
                <w:sz w:val="14"/>
                <w:szCs w:val="14"/>
              </w:rPr>
              <w:t>VII.</w:t>
            </w:r>
          </w:p>
        </w:tc>
        <w:tc>
          <w:tcPr>
            <w:tcW w:w="4336" w:type="pct"/>
          </w:tcPr>
          <w:p w14:paraId="0F4217AD" w14:textId="6B42898C" w:rsidR="00F5219E" w:rsidRPr="00AC1668" w:rsidRDefault="00F5219E" w:rsidP="00F5219E">
            <w:pPr>
              <w:widowControl w:val="0"/>
              <w:autoSpaceDE w:val="0"/>
              <w:autoSpaceDN w:val="0"/>
              <w:adjustRightInd w:val="0"/>
              <w:spacing w:line="230" w:lineRule="auto"/>
              <w:ind w:left="-108" w:right="36"/>
              <w:jc w:val="both"/>
              <w:rPr>
                <w:sz w:val="14"/>
                <w:szCs w:val="14"/>
              </w:rPr>
            </w:pPr>
            <w:r w:rsidRPr="00AC1668">
              <w:rPr>
                <w:sz w:val="14"/>
                <w:szCs w:val="14"/>
              </w:rPr>
              <w:t xml:space="preserve">Banka ile bağlı ortaklıkları arasında özkaynakların derhal transfer edilmesinin veya borçların geri ödenmesinin önünde mevcut veya muhtemel, fiili veya hukuki engeller </w:t>
            </w:r>
          </w:p>
        </w:tc>
        <w:tc>
          <w:tcPr>
            <w:tcW w:w="386" w:type="pct"/>
            <w:vAlign w:val="bottom"/>
          </w:tcPr>
          <w:p w14:paraId="7592F2EE" w14:textId="40C4AE1B" w:rsidR="00F5219E" w:rsidRPr="00764B63" w:rsidRDefault="00F5219E" w:rsidP="00F5219E">
            <w:pPr>
              <w:widowControl w:val="0"/>
              <w:suppressAutoHyphens/>
              <w:spacing w:line="230" w:lineRule="auto"/>
              <w:ind w:left="-108"/>
              <w:jc w:val="right"/>
              <w:rPr>
                <w:sz w:val="14"/>
                <w:szCs w:val="14"/>
              </w:rPr>
            </w:pPr>
            <w:r w:rsidRPr="00764B63">
              <w:rPr>
                <w:sz w:val="14"/>
                <w:szCs w:val="14"/>
              </w:rPr>
              <w:t>3</w:t>
            </w:r>
          </w:p>
        </w:tc>
      </w:tr>
      <w:tr w:rsidR="00F5219E" w:rsidRPr="00AC1668" w14:paraId="12807CEB" w14:textId="77777777" w:rsidTr="009164F9">
        <w:trPr>
          <w:trHeight w:val="113"/>
        </w:trPr>
        <w:tc>
          <w:tcPr>
            <w:tcW w:w="4614" w:type="pct"/>
            <w:gridSpan w:val="2"/>
          </w:tcPr>
          <w:p w14:paraId="0CE6D471" w14:textId="77777777" w:rsidR="00F5219E" w:rsidRPr="00AC1668" w:rsidRDefault="00F5219E" w:rsidP="00F5219E">
            <w:pPr>
              <w:widowControl w:val="0"/>
              <w:autoSpaceDE w:val="0"/>
              <w:autoSpaceDN w:val="0"/>
              <w:adjustRightInd w:val="0"/>
              <w:spacing w:line="230" w:lineRule="auto"/>
              <w:ind w:left="-108" w:right="-162"/>
              <w:jc w:val="center"/>
              <w:rPr>
                <w:sz w:val="14"/>
                <w:szCs w:val="14"/>
              </w:rPr>
            </w:pPr>
          </w:p>
        </w:tc>
        <w:tc>
          <w:tcPr>
            <w:tcW w:w="386" w:type="pct"/>
            <w:vAlign w:val="bottom"/>
          </w:tcPr>
          <w:p w14:paraId="0E70A542" w14:textId="77777777" w:rsidR="00F5219E" w:rsidRPr="00764B63" w:rsidRDefault="00F5219E" w:rsidP="00F5219E">
            <w:pPr>
              <w:widowControl w:val="0"/>
              <w:suppressAutoHyphens/>
              <w:spacing w:line="230" w:lineRule="auto"/>
              <w:ind w:left="-108"/>
              <w:jc w:val="right"/>
              <w:rPr>
                <w:b/>
                <w:sz w:val="14"/>
                <w:szCs w:val="14"/>
              </w:rPr>
            </w:pPr>
          </w:p>
        </w:tc>
      </w:tr>
      <w:tr w:rsidR="00BA21DF" w:rsidRPr="00AC1668" w14:paraId="08FE46A5" w14:textId="6BE3BD4F" w:rsidTr="00BA21DF">
        <w:trPr>
          <w:trHeight w:val="113"/>
        </w:trPr>
        <w:tc>
          <w:tcPr>
            <w:tcW w:w="4614" w:type="pct"/>
            <w:gridSpan w:val="2"/>
            <w:vAlign w:val="center"/>
          </w:tcPr>
          <w:p w14:paraId="7DADA0C9" w14:textId="6FD46758" w:rsidR="00BA21DF" w:rsidRPr="00AC1668" w:rsidRDefault="00BA21DF" w:rsidP="00267780">
            <w:pPr>
              <w:widowControl w:val="0"/>
              <w:suppressAutoHyphens/>
              <w:spacing w:line="230" w:lineRule="auto"/>
              <w:ind w:left="-108"/>
              <w:jc w:val="center"/>
              <w:rPr>
                <w:b/>
                <w:sz w:val="14"/>
                <w:szCs w:val="14"/>
              </w:rPr>
            </w:pPr>
            <w:r w:rsidRPr="00AC1668">
              <w:rPr>
                <w:b/>
                <w:sz w:val="14"/>
                <w:szCs w:val="14"/>
              </w:rPr>
              <w:t>İkinci Bölüm</w:t>
            </w:r>
          </w:p>
        </w:tc>
        <w:tc>
          <w:tcPr>
            <w:tcW w:w="386" w:type="pct"/>
            <w:vAlign w:val="center"/>
          </w:tcPr>
          <w:p w14:paraId="1AE26F1F" w14:textId="77777777" w:rsidR="00BA21DF" w:rsidRPr="00764B63" w:rsidRDefault="00BA21DF" w:rsidP="00BA21DF">
            <w:pPr>
              <w:widowControl w:val="0"/>
              <w:suppressAutoHyphens/>
              <w:spacing w:line="230" w:lineRule="auto"/>
              <w:jc w:val="center"/>
              <w:rPr>
                <w:b/>
                <w:sz w:val="14"/>
                <w:szCs w:val="14"/>
              </w:rPr>
            </w:pPr>
          </w:p>
        </w:tc>
      </w:tr>
      <w:tr w:rsidR="00BA21DF" w:rsidRPr="00AC1668" w14:paraId="0F93D792" w14:textId="36AF21F8" w:rsidTr="00BA21DF">
        <w:trPr>
          <w:trHeight w:val="113"/>
        </w:trPr>
        <w:tc>
          <w:tcPr>
            <w:tcW w:w="4614" w:type="pct"/>
            <w:gridSpan w:val="2"/>
            <w:vAlign w:val="center"/>
          </w:tcPr>
          <w:p w14:paraId="07E8F88C" w14:textId="2AFE09E4" w:rsidR="00BA21DF" w:rsidRPr="00AC1668" w:rsidRDefault="00BA21DF" w:rsidP="00267780">
            <w:pPr>
              <w:widowControl w:val="0"/>
              <w:suppressAutoHyphens/>
              <w:spacing w:line="230" w:lineRule="auto"/>
              <w:ind w:left="-108"/>
              <w:jc w:val="center"/>
              <w:rPr>
                <w:b/>
                <w:sz w:val="14"/>
                <w:szCs w:val="14"/>
              </w:rPr>
            </w:pPr>
            <w:r w:rsidRPr="00AC1668">
              <w:rPr>
                <w:b/>
                <w:sz w:val="14"/>
                <w:szCs w:val="14"/>
              </w:rPr>
              <w:t>Konsolide Olmayan Finansal Tablolar</w:t>
            </w:r>
          </w:p>
        </w:tc>
        <w:tc>
          <w:tcPr>
            <w:tcW w:w="386" w:type="pct"/>
            <w:vAlign w:val="center"/>
          </w:tcPr>
          <w:p w14:paraId="77B6F684" w14:textId="77777777" w:rsidR="00BA21DF" w:rsidRPr="00764B63" w:rsidRDefault="00BA21DF" w:rsidP="00BA21DF">
            <w:pPr>
              <w:widowControl w:val="0"/>
              <w:suppressAutoHyphens/>
              <w:spacing w:line="230" w:lineRule="auto"/>
              <w:jc w:val="center"/>
              <w:rPr>
                <w:b/>
                <w:sz w:val="14"/>
                <w:szCs w:val="14"/>
              </w:rPr>
            </w:pPr>
          </w:p>
        </w:tc>
      </w:tr>
      <w:tr w:rsidR="006D5B82" w:rsidRPr="00AC1668" w14:paraId="0E7559EB" w14:textId="77777777" w:rsidTr="009164F9">
        <w:trPr>
          <w:trHeight w:val="113"/>
        </w:trPr>
        <w:tc>
          <w:tcPr>
            <w:tcW w:w="4614" w:type="pct"/>
            <w:gridSpan w:val="2"/>
          </w:tcPr>
          <w:p w14:paraId="35C1C52C" w14:textId="77777777" w:rsidR="006D5B82" w:rsidRPr="00AC1668" w:rsidRDefault="006D5B82" w:rsidP="006D5B82">
            <w:pPr>
              <w:widowControl w:val="0"/>
              <w:suppressAutoHyphens/>
              <w:spacing w:line="230" w:lineRule="auto"/>
              <w:ind w:left="-108"/>
              <w:rPr>
                <w:b/>
                <w:sz w:val="14"/>
                <w:szCs w:val="14"/>
              </w:rPr>
            </w:pPr>
          </w:p>
        </w:tc>
        <w:tc>
          <w:tcPr>
            <w:tcW w:w="386" w:type="pct"/>
            <w:vAlign w:val="bottom"/>
          </w:tcPr>
          <w:p w14:paraId="65B5E73F" w14:textId="77777777" w:rsidR="006D5B82" w:rsidRPr="00764B63" w:rsidRDefault="006D5B82" w:rsidP="00AC57E3">
            <w:pPr>
              <w:widowControl w:val="0"/>
              <w:suppressAutoHyphens/>
              <w:spacing w:line="230" w:lineRule="auto"/>
              <w:ind w:left="-108"/>
              <w:jc w:val="right"/>
              <w:rPr>
                <w:b/>
                <w:sz w:val="14"/>
                <w:szCs w:val="14"/>
              </w:rPr>
            </w:pPr>
          </w:p>
        </w:tc>
      </w:tr>
      <w:tr w:rsidR="009164F9" w:rsidRPr="00AC1668" w14:paraId="1C5958DA" w14:textId="77777777" w:rsidTr="009164F9">
        <w:trPr>
          <w:trHeight w:val="113"/>
        </w:trPr>
        <w:tc>
          <w:tcPr>
            <w:tcW w:w="278" w:type="pct"/>
          </w:tcPr>
          <w:p w14:paraId="470753C7" w14:textId="77777777" w:rsidR="006D5B82" w:rsidRPr="00AC1668" w:rsidRDefault="006D5B82" w:rsidP="006D5B82">
            <w:pPr>
              <w:widowControl w:val="0"/>
              <w:autoSpaceDE w:val="0"/>
              <w:autoSpaceDN w:val="0"/>
              <w:adjustRightInd w:val="0"/>
              <w:spacing w:line="230" w:lineRule="auto"/>
              <w:ind w:left="-108" w:right="-162"/>
              <w:rPr>
                <w:sz w:val="14"/>
                <w:szCs w:val="14"/>
              </w:rPr>
            </w:pPr>
            <w:r w:rsidRPr="00AC1668">
              <w:rPr>
                <w:sz w:val="14"/>
                <w:szCs w:val="14"/>
              </w:rPr>
              <w:t>I</w:t>
            </w:r>
          </w:p>
        </w:tc>
        <w:tc>
          <w:tcPr>
            <w:tcW w:w="4336" w:type="pct"/>
          </w:tcPr>
          <w:p w14:paraId="7F25D71A" w14:textId="77777777" w:rsidR="006D5B82" w:rsidRPr="00AC1668" w:rsidRDefault="006D5B82" w:rsidP="006D5B82">
            <w:pPr>
              <w:widowControl w:val="0"/>
              <w:spacing w:line="230" w:lineRule="auto"/>
              <w:ind w:left="-108"/>
              <w:jc w:val="both"/>
              <w:rPr>
                <w:sz w:val="14"/>
                <w:szCs w:val="14"/>
              </w:rPr>
            </w:pPr>
            <w:r w:rsidRPr="00AC1668">
              <w:rPr>
                <w:sz w:val="14"/>
                <w:szCs w:val="14"/>
              </w:rPr>
              <w:t>Bilanço (Finansal durum tablosu)</w:t>
            </w:r>
          </w:p>
        </w:tc>
        <w:tc>
          <w:tcPr>
            <w:tcW w:w="386" w:type="pct"/>
            <w:vAlign w:val="bottom"/>
          </w:tcPr>
          <w:p w14:paraId="69B9EA2B" w14:textId="57550A16" w:rsidR="006D5B82" w:rsidRPr="00764B63" w:rsidRDefault="006D5B82" w:rsidP="00AC57E3">
            <w:pPr>
              <w:widowControl w:val="0"/>
              <w:spacing w:line="230" w:lineRule="auto"/>
              <w:ind w:left="-108"/>
              <w:jc w:val="right"/>
              <w:rPr>
                <w:sz w:val="14"/>
                <w:szCs w:val="14"/>
              </w:rPr>
            </w:pPr>
            <w:r w:rsidRPr="00764B63">
              <w:rPr>
                <w:sz w:val="14"/>
                <w:szCs w:val="14"/>
              </w:rPr>
              <w:t>5</w:t>
            </w:r>
          </w:p>
        </w:tc>
      </w:tr>
      <w:tr w:rsidR="009164F9" w:rsidRPr="00AC1668" w14:paraId="1CA6E620" w14:textId="77777777" w:rsidTr="009164F9">
        <w:trPr>
          <w:trHeight w:val="113"/>
        </w:trPr>
        <w:tc>
          <w:tcPr>
            <w:tcW w:w="278" w:type="pct"/>
          </w:tcPr>
          <w:p w14:paraId="2AB265E2" w14:textId="77777777" w:rsidR="006D5B82" w:rsidRPr="00AC1668" w:rsidRDefault="006D5B82" w:rsidP="006D5B82">
            <w:pPr>
              <w:widowControl w:val="0"/>
              <w:autoSpaceDE w:val="0"/>
              <w:autoSpaceDN w:val="0"/>
              <w:adjustRightInd w:val="0"/>
              <w:spacing w:line="230" w:lineRule="auto"/>
              <w:ind w:left="-108" w:right="-162"/>
              <w:rPr>
                <w:sz w:val="14"/>
                <w:szCs w:val="14"/>
              </w:rPr>
            </w:pPr>
            <w:r w:rsidRPr="00AC1668">
              <w:rPr>
                <w:sz w:val="14"/>
                <w:szCs w:val="14"/>
              </w:rPr>
              <w:t>II.</w:t>
            </w:r>
          </w:p>
        </w:tc>
        <w:tc>
          <w:tcPr>
            <w:tcW w:w="4336" w:type="pct"/>
          </w:tcPr>
          <w:p w14:paraId="18FB5BE8" w14:textId="77777777" w:rsidR="006D5B82" w:rsidRPr="00AC1668" w:rsidRDefault="006D5B82" w:rsidP="006D5B82">
            <w:pPr>
              <w:widowControl w:val="0"/>
              <w:spacing w:line="230" w:lineRule="auto"/>
              <w:ind w:left="-108"/>
              <w:jc w:val="both"/>
              <w:rPr>
                <w:sz w:val="14"/>
                <w:szCs w:val="14"/>
              </w:rPr>
            </w:pPr>
            <w:r w:rsidRPr="00AC1668">
              <w:rPr>
                <w:sz w:val="14"/>
                <w:szCs w:val="14"/>
              </w:rPr>
              <w:t>Nazım hesaplar tablosu</w:t>
            </w:r>
          </w:p>
        </w:tc>
        <w:tc>
          <w:tcPr>
            <w:tcW w:w="386" w:type="pct"/>
            <w:vAlign w:val="bottom"/>
          </w:tcPr>
          <w:p w14:paraId="7E018DB9" w14:textId="12F9BE6F" w:rsidR="006D5B82" w:rsidRPr="00764B63" w:rsidRDefault="00F21381" w:rsidP="00AC57E3">
            <w:pPr>
              <w:widowControl w:val="0"/>
              <w:spacing w:line="230" w:lineRule="auto"/>
              <w:ind w:left="-108"/>
              <w:jc w:val="right"/>
              <w:rPr>
                <w:sz w:val="14"/>
                <w:szCs w:val="14"/>
              </w:rPr>
            </w:pPr>
            <w:r w:rsidRPr="00764B63">
              <w:rPr>
                <w:sz w:val="14"/>
                <w:szCs w:val="14"/>
              </w:rPr>
              <w:t>9</w:t>
            </w:r>
          </w:p>
        </w:tc>
      </w:tr>
      <w:tr w:rsidR="009164F9" w:rsidRPr="00AC1668" w14:paraId="4E0ACD1B" w14:textId="77777777" w:rsidTr="009164F9">
        <w:trPr>
          <w:trHeight w:val="113"/>
        </w:trPr>
        <w:tc>
          <w:tcPr>
            <w:tcW w:w="278" w:type="pct"/>
          </w:tcPr>
          <w:p w14:paraId="49D70D1A" w14:textId="77777777" w:rsidR="006D5B82" w:rsidRPr="00AC1668" w:rsidRDefault="006D5B82" w:rsidP="006D5B82">
            <w:pPr>
              <w:widowControl w:val="0"/>
              <w:autoSpaceDE w:val="0"/>
              <w:autoSpaceDN w:val="0"/>
              <w:adjustRightInd w:val="0"/>
              <w:spacing w:line="230" w:lineRule="auto"/>
              <w:ind w:left="-108" w:right="-162"/>
              <w:rPr>
                <w:sz w:val="14"/>
                <w:szCs w:val="14"/>
              </w:rPr>
            </w:pPr>
            <w:r w:rsidRPr="00AC1668">
              <w:rPr>
                <w:sz w:val="14"/>
                <w:szCs w:val="14"/>
              </w:rPr>
              <w:t xml:space="preserve">III. </w:t>
            </w:r>
          </w:p>
        </w:tc>
        <w:tc>
          <w:tcPr>
            <w:tcW w:w="4336" w:type="pct"/>
          </w:tcPr>
          <w:p w14:paraId="5A1E701E" w14:textId="77777777" w:rsidR="006D5B82" w:rsidRPr="00AC1668" w:rsidRDefault="006D5B82" w:rsidP="006D5B82">
            <w:pPr>
              <w:widowControl w:val="0"/>
              <w:spacing w:line="230" w:lineRule="auto"/>
              <w:ind w:left="-108"/>
              <w:jc w:val="both"/>
              <w:rPr>
                <w:sz w:val="14"/>
                <w:szCs w:val="14"/>
              </w:rPr>
            </w:pPr>
            <w:r w:rsidRPr="00AC1668">
              <w:rPr>
                <w:sz w:val="14"/>
                <w:szCs w:val="14"/>
              </w:rPr>
              <w:t>Kar veya zarar tablosu</w:t>
            </w:r>
          </w:p>
        </w:tc>
        <w:tc>
          <w:tcPr>
            <w:tcW w:w="386" w:type="pct"/>
            <w:vAlign w:val="bottom"/>
          </w:tcPr>
          <w:p w14:paraId="5CC00849" w14:textId="21892F10" w:rsidR="006D5B82" w:rsidRPr="00764B63" w:rsidRDefault="00F55A35" w:rsidP="00AC57E3">
            <w:pPr>
              <w:widowControl w:val="0"/>
              <w:spacing w:line="230" w:lineRule="auto"/>
              <w:ind w:left="-108"/>
              <w:jc w:val="right"/>
              <w:rPr>
                <w:sz w:val="14"/>
                <w:szCs w:val="14"/>
              </w:rPr>
            </w:pPr>
            <w:r w:rsidRPr="00764B63">
              <w:rPr>
                <w:sz w:val="14"/>
                <w:szCs w:val="14"/>
              </w:rPr>
              <w:t>10</w:t>
            </w:r>
          </w:p>
        </w:tc>
      </w:tr>
      <w:tr w:rsidR="009164F9" w:rsidRPr="00AC1668" w14:paraId="7C9F4689" w14:textId="77777777" w:rsidTr="009164F9">
        <w:trPr>
          <w:trHeight w:val="113"/>
        </w:trPr>
        <w:tc>
          <w:tcPr>
            <w:tcW w:w="278" w:type="pct"/>
          </w:tcPr>
          <w:p w14:paraId="0F6B76ED" w14:textId="77777777" w:rsidR="006D5B82" w:rsidRPr="00AC1668" w:rsidRDefault="006D5B82" w:rsidP="006D5B82">
            <w:pPr>
              <w:widowControl w:val="0"/>
              <w:autoSpaceDE w:val="0"/>
              <w:autoSpaceDN w:val="0"/>
              <w:adjustRightInd w:val="0"/>
              <w:spacing w:line="230" w:lineRule="auto"/>
              <w:ind w:left="-108" w:right="-162"/>
              <w:rPr>
                <w:sz w:val="14"/>
                <w:szCs w:val="14"/>
              </w:rPr>
            </w:pPr>
            <w:r w:rsidRPr="00AC1668">
              <w:rPr>
                <w:sz w:val="14"/>
                <w:szCs w:val="14"/>
              </w:rPr>
              <w:t>IV.</w:t>
            </w:r>
          </w:p>
        </w:tc>
        <w:tc>
          <w:tcPr>
            <w:tcW w:w="4336" w:type="pct"/>
          </w:tcPr>
          <w:p w14:paraId="28BE2E14" w14:textId="77777777" w:rsidR="006D5B82" w:rsidRPr="00AC1668" w:rsidRDefault="006D5B82" w:rsidP="006D5B82">
            <w:pPr>
              <w:widowControl w:val="0"/>
              <w:spacing w:line="230" w:lineRule="auto"/>
              <w:ind w:left="-108"/>
              <w:jc w:val="both"/>
              <w:rPr>
                <w:sz w:val="14"/>
                <w:szCs w:val="14"/>
              </w:rPr>
            </w:pPr>
            <w:r w:rsidRPr="00AC1668">
              <w:rPr>
                <w:sz w:val="14"/>
                <w:szCs w:val="14"/>
              </w:rPr>
              <w:t>Kar veya zarar ve diğer kapsamlı gelir tablosu</w:t>
            </w:r>
          </w:p>
        </w:tc>
        <w:tc>
          <w:tcPr>
            <w:tcW w:w="386" w:type="pct"/>
            <w:vAlign w:val="bottom"/>
          </w:tcPr>
          <w:p w14:paraId="22FA6FC9" w14:textId="5AE465D6" w:rsidR="006D5B82" w:rsidRPr="00764B63" w:rsidRDefault="00F55A35" w:rsidP="00AC57E3">
            <w:pPr>
              <w:widowControl w:val="0"/>
              <w:spacing w:line="230" w:lineRule="auto"/>
              <w:ind w:left="-108"/>
              <w:jc w:val="right"/>
              <w:rPr>
                <w:sz w:val="14"/>
                <w:szCs w:val="14"/>
              </w:rPr>
            </w:pPr>
            <w:r w:rsidRPr="00764B63">
              <w:rPr>
                <w:sz w:val="14"/>
                <w:szCs w:val="14"/>
              </w:rPr>
              <w:t>12</w:t>
            </w:r>
          </w:p>
        </w:tc>
      </w:tr>
      <w:tr w:rsidR="009164F9" w:rsidRPr="00AC1668" w14:paraId="17117001" w14:textId="77777777" w:rsidTr="009164F9">
        <w:trPr>
          <w:trHeight w:val="113"/>
        </w:trPr>
        <w:tc>
          <w:tcPr>
            <w:tcW w:w="278" w:type="pct"/>
          </w:tcPr>
          <w:p w14:paraId="0561F1C8" w14:textId="6C624D98" w:rsidR="006D5B82" w:rsidRPr="00AC1668" w:rsidRDefault="006D5B82" w:rsidP="006D5B82">
            <w:pPr>
              <w:widowControl w:val="0"/>
              <w:autoSpaceDE w:val="0"/>
              <w:autoSpaceDN w:val="0"/>
              <w:adjustRightInd w:val="0"/>
              <w:spacing w:line="230" w:lineRule="auto"/>
              <w:ind w:left="-108" w:right="-162"/>
              <w:rPr>
                <w:sz w:val="14"/>
                <w:szCs w:val="14"/>
              </w:rPr>
            </w:pPr>
            <w:r w:rsidRPr="00AC1668">
              <w:rPr>
                <w:sz w:val="14"/>
                <w:szCs w:val="14"/>
              </w:rPr>
              <w:t>V</w:t>
            </w:r>
            <w:r w:rsidR="00AC57E3" w:rsidRPr="00AC1668">
              <w:rPr>
                <w:sz w:val="14"/>
                <w:szCs w:val="14"/>
              </w:rPr>
              <w:t>.</w:t>
            </w:r>
          </w:p>
        </w:tc>
        <w:tc>
          <w:tcPr>
            <w:tcW w:w="4336" w:type="pct"/>
          </w:tcPr>
          <w:p w14:paraId="19852A73" w14:textId="1D902821" w:rsidR="006D5B82" w:rsidRPr="00AC1668" w:rsidRDefault="006D5B82" w:rsidP="006D5B82">
            <w:pPr>
              <w:widowControl w:val="0"/>
              <w:spacing w:line="230" w:lineRule="auto"/>
              <w:ind w:left="-108"/>
              <w:jc w:val="both"/>
              <w:rPr>
                <w:sz w:val="14"/>
                <w:szCs w:val="14"/>
              </w:rPr>
            </w:pPr>
            <w:r w:rsidRPr="00AC1668">
              <w:rPr>
                <w:sz w:val="14"/>
                <w:szCs w:val="14"/>
              </w:rPr>
              <w:t>Özkaynaklar değişim tablosu</w:t>
            </w:r>
          </w:p>
        </w:tc>
        <w:tc>
          <w:tcPr>
            <w:tcW w:w="386" w:type="pct"/>
            <w:vAlign w:val="bottom"/>
          </w:tcPr>
          <w:p w14:paraId="24BA3860" w14:textId="6D90961D" w:rsidR="006D5B82" w:rsidRPr="00764B63" w:rsidRDefault="00F55A35" w:rsidP="00AC57E3">
            <w:pPr>
              <w:widowControl w:val="0"/>
              <w:spacing w:line="230" w:lineRule="auto"/>
              <w:ind w:left="-108"/>
              <w:jc w:val="right"/>
              <w:rPr>
                <w:sz w:val="14"/>
                <w:szCs w:val="14"/>
              </w:rPr>
            </w:pPr>
            <w:r w:rsidRPr="00764B63">
              <w:rPr>
                <w:sz w:val="14"/>
                <w:szCs w:val="14"/>
              </w:rPr>
              <w:t>13</w:t>
            </w:r>
          </w:p>
        </w:tc>
      </w:tr>
      <w:tr w:rsidR="009164F9" w:rsidRPr="00AC1668" w14:paraId="73081E4A" w14:textId="77777777" w:rsidTr="009164F9">
        <w:trPr>
          <w:trHeight w:val="113"/>
        </w:trPr>
        <w:tc>
          <w:tcPr>
            <w:tcW w:w="278" w:type="pct"/>
          </w:tcPr>
          <w:p w14:paraId="13028186" w14:textId="77777777" w:rsidR="006D5B82" w:rsidRPr="00AC1668" w:rsidRDefault="006D5B82" w:rsidP="006D5B82">
            <w:pPr>
              <w:widowControl w:val="0"/>
              <w:autoSpaceDE w:val="0"/>
              <w:autoSpaceDN w:val="0"/>
              <w:adjustRightInd w:val="0"/>
              <w:spacing w:line="230" w:lineRule="auto"/>
              <w:ind w:left="-108" w:right="-162"/>
              <w:rPr>
                <w:sz w:val="14"/>
                <w:szCs w:val="14"/>
              </w:rPr>
            </w:pPr>
            <w:r w:rsidRPr="00AC1668">
              <w:rPr>
                <w:sz w:val="14"/>
                <w:szCs w:val="14"/>
              </w:rPr>
              <w:t>VI.</w:t>
            </w:r>
          </w:p>
        </w:tc>
        <w:tc>
          <w:tcPr>
            <w:tcW w:w="4336" w:type="pct"/>
          </w:tcPr>
          <w:p w14:paraId="622FBD21" w14:textId="77777777" w:rsidR="006D5B82" w:rsidRPr="00AC1668" w:rsidRDefault="006D5B82" w:rsidP="006D5B82">
            <w:pPr>
              <w:widowControl w:val="0"/>
              <w:spacing w:line="230" w:lineRule="auto"/>
              <w:ind w:left="-108"/>
              <w:jc w:val="both"/>
              <w:rPr>
                <w:sz w:val="14"/>
                <w:szCs w:val="14"/>
              </w:rPr>
            </w:pPr>
            <w:r w:rsidRPr="00AC1668">
              <w:rPr>
                <w:sz w:val="14"/>
                <w:szCs w:val="14"/>
              </w:rPr>
              <w:t>Nakit akış tablosu</w:t>
            </w:r>
          </w:p>
        </w:tc>
        <w:tc>
          <w:tcPr>
            <w:tcW w:w="386" w:type="pct"/>
            <w:vAlign w:val="bottom"/>
          </w:tcPr>
          <w:p w14:paraId="5C7797D1" w14:textId="70D58938" w:rsidR="006D5B82" w:rsidRPr="00764B63" w:rsidRDefault="00F55A35" w:rsidP="00AC57E3">
            <w:pPr>
              <w:widowControl w:val="0"/>
              <w:spacing w:line="230" w:lineRule="auto"/>
              <w:ind w:left="-108"/>
              <w:jc w:val="right"/>
              <w:rPr>
                <w:sz w:val="14"/>
                <w:szCs w:val="14"/>
              </w:rPr>
            </w:pPr>
            <w:r w:rsidRPr="00764B63">
              <w:rPr>
                <w:sz w:val="14"/>
                <w:szCs w:val="14"/>
              </w:rPr>
              <w:t>15</w:t>
            </w:r>
          </w:p>
        </w:tc>
      </w:tr>
      <w:tr w:rsidR="00F55A35" w:rsidRPr="00AC1668" w14:paraId="41170B3A" w14:textId="77777777" w:rsidTr="00A145A6">
        <w:trPr>
          <w:trHeight w:val="113"/>
        </w:trPr>
        <w:tc>
          <w:tcPr>
            <w:tcW w:w="278" w:type="pct"/>
          </w:tcPr>
          <w:p w14:paraId="7510FDAF" w14:textId="2C169501" w:rsidR="00F55A35" w:rsidRPr="00AC1668" w:rsidRDefault="00F55A35" w:rsidP="00A145A6">
            <w:pPr>
              <w:widowControl w:val="0"/>
              <w:autoSpaceDE w:val="0"/>
              <w:autoSpaceDN w:val="0"/>
              <w:adjustRightInd w:val="0"/>
              <w:spacing w:line="230" w:lineRule="auto"/>
              <w:ind w:left="-108" w:right="-162"/>
              <w:rPr>
                <w:sz w:val="14"/>
                <w:szCs w:val="14"/>
              </w:rPr>
            </w:pPr>
            <w:r w:rsidRPr="00AC1668">
              <w:rPr>
                <w:sz w:val="14"/>
                <w:szCs w:val="14"/>
              </w:rPr>
              <w:t>VII.</w:t>
            </w:r>
          </w:p>
        </w:tc>
        <w:tc>
          <w:tcPr>
            <w:tcW w:w="4336" w:type="pct"/>
          </w:tcPr>
          <w:p w14:paraId="27E11F7C" w14:textId="79C73A1F" w:rsidR="00F55A35" w:rsidRPr="00AC1668" w:rsidRDefault="00F55A35" w:rsidP="00A145A6">
            <w:pPr>
              <w:widowControl w:val="0"/>
              <w:spacing w:line="230" w:lineRule="auto"/>
              <w:ind w:left="-108"/>
              <w:jc w:val="both"/>
              <w:rPr>
                <w:sz w:val="14"/>
                <w:szCs w:val="14"/>
              </w:rPr>
            </w:pPr>
            <w:r w:rsidRPr="00AC1668">
              <w:rPr>
                <w:sz w:val="14"/>
                <w:szCs w:val="14"/>
              </w:rPr>
              <w:t>Kar dağıtım tablosu</w:t>
            </w:r>
          </w:p>
        </w:tc>
        <w:tc>
          <w:tcPr>
            <w:tcW w:w="386" w:type="pct"/>
            <w:vAlign w:val="bottom"/>
          </w:tcPr>
          <w:p w14:paraId="02819AAA" w14:textId="5E6CC01A" w:rsidR="00F55A35" w:rsidRPr="00764B63" w:rsidRDefault="00F55A35" w:rsidP="00A145A6">
            <w:pPr>
              <w:widowControl w:val="0"/>
              <w:spacing w:line="230" w:lineRule="auto"/>
              <w:ind w:left="-108"/>
              <w:jc w:val="right"/>
              <w:rPr>
                <w:sz w:val="14"/>
                <w:szCs w:val="14"/>
              </w:rPr>
            </w:pPr>
            <w:r w:rsidRPr="00764B63">
              <w:rPr>
                <w:sz w:val="14"/>
                <w:szCs w:val="14"/>
              </w:rPr>
              <w:t>16</w:t>
            </w:r>
          </w:p>
        </w:tc>
      </w:tr>
      <w:tr w:rsidR="00F55A35" w:rsidRPr="00AC1668" w14:paraId="0890DB4E" w14:textId="77777777" w:rsidTr="009164F9">
        <w:trPr>
          <w:trHeight w:val="113"/>
        </w:trPr>
        <w:tc>
          <w:tcPr>
            <w:tcW w:w="4614" w:type="pct"/>
            <w:gridSpan w:val="2"/>
          </w:tcPr>
          <w:p w14:paraId="2E7B705A" w14:textId="77777777" w:rsidR="00F55A35" w:rsidRPr="00AC1668" w:rsidRDefault="00F55A35" w:rsidP="006D5B82">
            <w:pPr>
              <w:widowControl w:val="0"/>
              <w:spacing w:line="230" w:lineRule="auto"/>
              <w:ind w:left="-108"/>
              <w:rPr>
                <w:sz w:val="14"/>
                <w:szCs w:val="14"/>
              </w:rPr>
            </w:pPr>
          </w:p>
        </w:tc>
        <w:tc>
          <w:tcPr>
            <w:tcW w:w="386" w:type="pct"/>
            <w:vAlign w:val="bottom"/>
          </w:tcPr>
          <w:p w14:paraId="5091E87D" w14:textId="77777777" w:rsidR="00F55A35" w:rsidRPr="00764B63" w:rsidRDefault="00F55A35" w:rsidP="00AC57E3">
            <w:pPr>
              <w:widowControl w:val="0"/>
              <w:spacing w:line="230" w:lineRule="auto"/>
              <w:ind w:left="-108"/>
              <w:jc w:val="right"/>
              <w:rPr>
                <w:sz w:val="14"/>
                <w:szCs w:val="14"/>
              </w:rPr>
            </w:pPr>
          </w:p>
        </w:tc>
      </w:tr>
      <w:tr w:rsidR="006D5B82" w:rsidRPr="00AC1668" w14:paraId="6B06B584" w14:textId="77777777" w:rsidTr="009164F9">
        <w:trPr>
          <w:trHeight w:val="113"/>
        </w:trPr>
        <w:tc>
          <w:tcPr>
            <w:tcW w:w="4614" w:type="pct"/>
            <w:gridSpan w:val="2"/>
          </w:tcPr>
          <w:p w14:paraId="3D28A48E" w14:textId="77777777" w:rsidR="006D5B82" w:rsidRPr="00AC1668" w:rsidRDefault="006D5B82" w:rsidP="006D5B82">
            <w:pPr>
              <w:widowControl w:val="0"/>
              <w:spacing w:line="230" w:lineRule="auto"/>
              <w:ind w:left="-108"/>
              <w:rPr>
                <w:sz w:val="14"/>
                <w:szCs w:val="14"/>
              </w:rPr>
            </w:pPr>
          </w:p>
        </w:tc>
        <w:tc>
          <w:tcPr>
            <w:tcW w:w="386" w:type="pct"/>
            <w:vAlign w:val="bottom"/>
          </w:tcPr>
          <w:p w14:paraId="5B3DC04A" w14:textId="77777777" w:rsidR="006D5B82" w:rsidRPr="00764B63" w:rsidRDefault="006D5B82" w:rsidP="00AC57E3">
            <w:pPr>
              <w:widowControl w:val="0"/>
              <w:spacing w:line="230" w:lineRule="auto"/>
              <w:ind w:left="-108"/>
              <w:jc w:val="right"/>
              <w:rPr>
                <w:sz w:val="14"/>
                <w:szCs w:val="14"/>
              </w:rPr>
            </w:pPr>
          </w:p>
        </w:tc>
      </w:tr>
      <w:tr w:rsidR="00BA21DF" w:rsidRPr="00AC1668" w14:paraId="4EF40402" w14:textId="1BB51238" w:rsidTr="00BA21DF">
        <w:trPr>
          <w:trHeight w:val="113"/>
        </w:trPr>
        <w:tc>
          <w:tcPr>
            <w:tcW w:w="4614" w:type="pct"/>
            <w:gridSpan w:val="2"/>
            <w:vAlign w:val="center"/>
          </w:tcPr>
          <w:p w14:paraId="572F5C47" w14:textId="6AF26FBC" w:rsidR="00BA21DF" w:rsidRPr="00AC1668" w:rsidRDefault="00BA21DF" w:rsidP="00267780">
            <w:pPr>
              <w:widowControl w:val="0"/>
              <w:spacing w:line="230" w:lineRule="auto"/>
              <w:ind w:left="-108"/>
              <w:jc w:val="center"/>
              <w:rPr>
                <w:b/>
                <w:sz w:val="14"/>
                <w:szCs w:val="14"/>
              </w:rPr>
            </w:pPr>
            <w:r w:rsidRPr="00AC1668">
              <w:rPr>
                <w:b/>
                <w:sz w:val="14"/>
                <w:szCs w:val="14"/>
              </w:rPr>
              <w:t>Üçüncü Bölüm</w:t>
            </w:r>
          </w:p>
        </w:tc>
        <w:tc>
          <w:tcPr>
            <w:tcW w:w="386" w:type="pct"/>
            <w:vAlign w:val="center"/>
          </w:tcPr>
          <w:p w14:paraId="0C88A545" w14:textId="77777777" w:rsidR="00BA21DF" w:rsidRPr="00764B63" w:rsidRDefault="00BA21DF" w:rsidP="00BA21DF">
            <w:pPr>
              <w:widowControl w:val="0"/>
              <w:spacing w:line="230" w:lineRule="auto"/>
              <w:jc w:val="center"/>
              <w:rPr>
                <w:b/>
                <w:sz w:val="14"/>
                <w:szCs w:val="14"/>
              </w:rPr>
            </w:pPr>
          </w:p>
        </w:tc>
      </w:tr>
      <w:tr w:rsidR="00BA21DF" w:rsidRPr="00AC1668" w14:paraId="20EBA324" w14:textId="0E126C02" w:rsidTr="00BA21DF">
        <w:trPr>
          <w:trHeight w:val="113"/>
        </w:trPr>
        <w:tc>
          <w:tcPr>
            <w:tcW w:w="4614" w:type="pct"/>
            <w:gridSpan w:val="2"/>
            <w:vAlign w:val="center"/>
          </w:tcPr>
          <w:p w14:paraId="01833096" w14:textId="4D7AFFFD" w:rsidR="00BA21DF" w:rsidRPr="00AC1668" w:rsidRDefault="00BA21DF" w:rsidP="00267780">
            <w:pPr>
              <w:widowControl w:val="0"/>
              <w:spacing w:line="230" w:lineRule="auto"/>
              <w:ind w:left="-108"/>
              <w:jc w:val="center"/>
              <w:rPr>
                <w:b/>
                <w:sz w:val="14"/>
                <w:szCs w:val="14"/>
              </w:rPr>
            </w:pPr>
            <w:r w:rsidRPr="00AC1668">
              <w:rPr>
                <w:b/>
                <w:sz w:val="14"/>
                <w:szCs w:val="14"/>
              </w:rPr>
              <w:t>Muhasebe Politikalarına İlişkin Açıklamalar</w:t>
            </w:r>
          </w:p>
        </w:tc>
        <w:tc>
          <w:tcPr>
            <w:tcW w:w="386" w:type="pct"/>
            <w:vAlign w:val="center"/>
          </w:tcPr>
          <w:p w14:paraId="73C64D0F" w14:textId="77777777" w:rsidR="00BA21DF" w:rsidRPr="00764B63" w:rsidRDefault="00BA21DF" w:rsidP="00BA21DF">
            <w:pPr>
              <w:widowControl w:val="0"/>
              <w:spacing w:line="230" w:lineRule="auto"/>
              <w:jc w:val="center"/>
              <w:rPr>
                <w:b/>
                <w:sz w:val="14"/>
                <w:szCs w:val="14"/>
              </w:rPr>
            </w:pPr>
          </w:p>
        </w:tc>
      </w:tr>
      <w:tr w:rsidR="006D5B82" w:rsidRPr="00AC1668" w14:paraId="7AFD7F1F" w14:textId="77777777" w:rsidTr="00BA21DF">
        <w:trPr>
          <w:trHeight w:val="113"/>
        </w:trPr>
        <w:tc>
          <w:tcPr>
            <w:tcW w:w="4614" w:type="pct"/>
            <w:gridSpan w:val="2"/>
          </w:tcPr>
          <w:p w14:paraId="0ADE72D8" w14:textId="77777777" w:rsidR="006D5B82" w:rsidRPr="00AC1668" w:rsidRDefault="006D5B82" w:rsidP="006D5B82">
            <w:pPr>
              <w:widowControl w:val="0"/>
              <w:spacing w:line="230" w:lineRule="auto"/>
              <w:ind w:left="-108"/>
              <w:rPr>
                <w:b/>
                <w:sz w:val="14"/>
                <w:szCs w:val="14"/>
              </w:rPr>
            </w:pPr>
          </w:p>
        </w:tc>
        <w:tc>
          <w:tcPr>
            <w:tcW w:w="386" w:type="pct"/>
            <w:vAlign w:val="bottom"/>
          </w:tcPr>
          <w:p w14:paraId="12E875D7" w14:textId="77777777" w:rsidR="006D5B82" w:rsidRPr="00764B63" w:rsidRDefault="006D5B82" w:rsidP="00AC57E3">
            <w:pPr>
              <w:widowControl w:val="0"/>
              <w:spacing w:line="230" w:lineRule="auto"/>
              <w:ind w:left="-108"/>
              <w:jc w:val="right"/>
              <w:rPr>
                <w:b/>
                <w:sz w:val="14"/>
                <w:szCs w:val="14"/>
              </w:rPr>
            </w:pPr>
          </w:p>
        </w:tc>
      </w:tr>
      <w:tr w:rsidR="00F5219E" w:rsidRPr="00AC1668" w14:paraId="74AD541C" w14:textId="77777777" w:rsidTr="009164F9">
        <w:trPr>
          <w:trHeight w:val="113"/>
        </w:trPr>
        <w:tc>
          <w:tcPr>
            <w:tcW w:w="278" w:type="pct"/>
          </w:tcPr>
          <w:p w14:paraId="6A02D1CA" w14:textId="77777777" w:rsidR="00F5219E" w:rsidRPr="00AC1668" w:rsidRDefault="00F5219E" w:rsidP="00F5219E">
            <w:pPr>
              <w:widowControl w:val="0"/>
              <w:autoSpaceDE w:val="0"/>
              <w:autoSpaceDN w:val="0"/>
              <w:adjustRightInd w:val="0"/>
              <w:spacing w:line="230" w:lineRule="auto"/>
              <w:ind w:left="-108" w:right="-219"/>
              <w:rPr>
                <w:sz w:val="14"/>
                <w:szCs w:val="14"/>
              </w:rPr>
            </w:pPr>
            <w:r w:rsidRPr="00AC1668">
              <w:rPr>
                <w:sz w:val="14"/>
                <w:szCs w:val="14"/>
              </w:rPr>
              <w:t>I.</w:t>
            </w:r>
          </w:p>
        </w:tc>
        <w:tc>
          <w:tcPr>
            <w:tcW w:w="4336" w:type="pct"/>
          </w:tcPr>
          <w:p w14:paraId="09372ED8" w14:textId="77777777" w:rsidR="00F5219E" w:rsidRPr="00AC1668" w:rsidRDefault="00F5219E" w:rsidP="00F5219E">
            <w:pPr>
              <w:widowControl w:val="0"/>
              <w:spacing w:line="230" w:lineRule="auto"/>
              <w:ind w:left="-108"/>
              <w:jc w:val="both"/>
              <w:rPr>
                <w:sz w:val="14"/>
                <w:szCs w:val="14"/>
              </w:rPr>
            </w:pPr>
            <w:r w:rsidRPr="00AC1668">
              <w:rPr>
                <w:sz w:val="14"/>
                <w:szCs w:val="14"/>
              </w:rPr>
              <w:t>Sunum esaslarına ilişkin açıklamalar</w:t>
            </w:r>
          </w:p>
        </w:tc>
        <w:tc>
          <w:tcPr>
            <w:tcW w:w="386" w:type="pct"/>
            <w:vAlign w:val="bottom"/>
          </w:tcPr>
          <w:p w14:paraId="250CBCA2" w14:textId="0B2470CD" w:rsidR="00F5219E" w:rsidRPr="00764B63" w:rsidRDefault="00483A74" w:rsidP="00F5219E">
            <w:pPr>
              <w:widowControl w:val="0"/>
              <w:spacing w:line="230" w:lineRule="auto"/>
              <w:ind w:left="-108"/>
              <w:jc w:val="right"/>
              <w:rPr>
                <w:sz w:val="14"/>
                <w:szCs w:val="14"/>
              </w:rPr>
            </w:pPr>
            <w:r w:rsidRPr="00764B63">
              <w:rPr>
                <w:sz w:val="14"/>
                <w:szCs w:val="14"/>
              </w:rPr>
              <w:t>17</w:t>
            </w:r>
          </w:p>
        </w:tc>
      </w:tr>
      <w:tr w:rsidR="00F5219E" w:rsidRPr="00AC1668" w14:paraId="0DBE24F5" w14:textId="77777777" w:rsidTr="009164F9">
        <w:trPr>
          <w:trHeight w:val="113"/>
        </w:trPr>
        <w:tc>
          <w:tcPr>
            <w:tcW w:w="278" w:type="pct"/>
          </w:tcPr>
          <w:p w14:paraId="3880BE64" w14:textId="77777777" w:rsidR="00F5219E" w:rsidRPr="00AC1668" w:rsidRDefault="00F5219E" w:rsidP="00F5219E">
            <w:pPr>
              <w:widowControl w:val="0"/>
              <w:autoSpaceDE w:val="0"/>
              <w:autoSpaceDN w:val="0"/>
              <w:adjustRightInd w:val="0"/>
              <w:spacing w:line="230" w:lineRule="auto"/>
              <w:ind w:left="-108" w:right="-219"/>
              <w:rPr>
                <w:sz w:val="14"/>
                <w:szCs w:val="14"/>
              </w:rPr>
            </w:pPr>
            <w:r w:rsidRPr="00AC1668">
              <w:rPr>
                <w:sz w:val="14"/>
                <w:szCs w:val="14"/>
              </w:rPr>
              <w:t>II.</w:t>
            </w:r>
          </w:p>
        </w:tc>
        <w:tc>
          <w:tcPr>
            <w:tcW w:w="4336" w:type="pct"/>
          </w:tcPr>
          <w:p w14:paraId="3E14E4DC" w14:textId="77777777" w:rsidR="00F5219E" w:rsidRPr="00AC1668" w:rsidRDefault="00F5219E" w:rsidP="00F5219E">
            <w:pPr>
              <w:widowControl w:val="0"/>
              <w:spacing w:line="230" w:lineRule="auto"/>
              <w:ind w:left="-108"/>
              <w:jc w:val="both"/>
              <w:rPr>
                <w:sz w:val="14"/>
                <w:szCs w:val="14"/>
              </w:rPr>
            </w:pPr>
            <w:r w:rsidRPr="00AC1668">
              <w:rPr>
                <w:sz w:val="14"/>
                <w:szCs w:val="14"/>
              </w:rPr>
              <w:t>Finansal araçların kullanım stratejisi ve yabancı para cinsinden işlemlere ilişkin açıklamalar</w:t>
            </w:r>
          </w:p>
        </w:tc>
        <w:tc>
          <w:tcPr>
            <w:tcW w:w="386" w:type="pct"/>
            <w:vAlign w:val="bottom"/>
          </w:tcPr>
          <w:p w14:paraId="429CA04B" w14:textId="102CD0C2" w:rsidR="00F5219E" w:rsidRPr="00764B63" w:rsidRDefault="00483A74" w:rsidP="00F5219E">
            <w:pPr>
              <w:widowControl w:val="0"/>
              <w:spacing w:line="230" w:lineRule="auto"/>
              <w:ind w:left="-108"/>
              <w:jc w:val="right"/>
              <w:rPr>
                <w:sz w:val="14"/>
                <w:szCs w:val="14"/>
              </w:rPr>
            </w:pPr>
            <w:r w:rsidRPr="00764B63">
              <w:rPr>
                <w:sz w:val="14"/>
                <w:szCs w:val="14"/>
              </w:rPr>
              <w:t>18</w:t>
            </w:r>
          </w:p>
        </w:tc>
      </w:tr>
      <w:tr w:rsidR="00F5219E" w:rsidRPr="00AC1668" w14:paraId="1A7D8A5D" w14:textId="77777777" w:rsidTr="009164F9">
        <w:trPr>
          <w:trHeight w:val="113"/>
        </w:trPr>
        <w:tc>
          <w:tcPr>
            <w:tcW w:w="278" w:type="pct"/>
          </w:tcPr>
          <w:p w14:paraId="529C77F6" w14:textId="77777777" w:rsidR="00F5219E" w:rsidRPr="00AC1668" w:rsidRDefault="00F5219E" w:rsidP="00F5219E">
            <w:pPr>
              <w:widowControl w:val="0"/>
              <w:autoSpaceDE w:val="0"/>
              <w:autoSpaceDN w:val="0"/>
              <w:adjustRightInd w:val="0"/>
              <w:spacing w:line="230" w:lineRule="auto"/>
              <w:ind w:left="-108" w:right="-219"/>
              <w:rPr>
                <w:sz w:val="14"/>
                <w:szCs w:val="14"/>
              </w:rPr>
            </w:pPr>
            <w:r w:rsidRPr="00AC1668">
              <w:rPr>
                <w:sz w:val="14"/>
                <w:szCs w:val="14"/>
              </w:rPr>
              <w:t>III.</w:t>
            </w:r>
          </w:p>
        </w:tc>
        <w:tc>
          <w:tcPr>
            <w:tcW w:w="4336" w:type="pct"/>
          </w:tcPr>
          <w:p w14:paraId="57B2F19B" w14:textId="77777777" w:rsidR="00F5219E" w:rsidRPr="00AC1668" w:rsidRDefault="00F5219E" w:rsidP="00F5219E">
            <w:pPr>
              <w:widowControl w:val="0"/>
              <w:spacing w:line="230" w:lineRule="auto"/>
              <w:ind w:left="-108"/>
              <w:jc w:val="both"/>
              <w:rPr>
                <w:sz w:val="14"/>
                <w:szCs w:val="14"/>
              </w:rPr>
            </w:pPr>
            <w:r w:rsidRPr="00AC1668">
              <w:rPr>
                <w:sz w:val="14"/>
                <w:szCs w:val="14"/>
              </w:rPr>
              <w:t>Vadeli işlem ve opsiyon sözleşmeleri ile türev ürünlere ilişkin açıklamalar</w:t>
            </w:r>
          </w:p>
        </w:tc>
        <w:tc>
          <w:tcPr>
            <w:tcW w:w="386" w:type="pct"/>
            <w:vAlign w:val="bottom"/>
          </w:tcPr>
          <w:p w14:paraId="06EBADF7" w14:textId="23658D86" w:rsidR="00F5219E" w:rsidRPr="00764B63" w:rsidRDefault="00A2719A" w:rsidP="00F5219E">
            <w:pPr>
              <w:widowControl w:val="0"/>
              <w:spacing w:line="230" w:lineRule="auto"/>
              <w:ind w:left="-108"/>
              <w:jc w:val="right"/>
              <w:rPr>
                <w:sz w:val="14"/>
                <w:szCs w:val="14"/>
              </w:rPr>
            </w:pPr>
            <w:r w:rsidRPr="00764B63">
              <w:rPr>
                <w:sz w:val="14"/>
                <w:szCs w:val="14"/>
              </w:rPr>
              <w:t>1</w:t>
            </w:r>
            <w:r w:rsidR="00451D78" w:rsidRPr="00764B63">
              <w:rPr>
                <w:sz w:val="14"/>
                <w:szCs w:val="14"/>
              </w:rPr>
              <w:t>8</w:t>
            </w:r>
          </w:p>
        </w:tc>
      </w:tr>
      <w:tr w:rsidR="00F5219E" w:rsidRPr="00AC1668" w14:paraId="59FABE2F" w14:textId="77777777" w:rsidTr="009164F9">
        <w:trPr>
          <w:trHeight w:val="113"/>
        </w:trPr>
        <w:tc>
          <w:tcPr>
            <w:tcW w:w="278" w:type="pct"/>
          </w:tcPr>
          <w:p w14:paraId="5D31DD03" w14:textId="77777777" w:rsidR="00F5219E" w:rsidRPr="00AC1668" w:rsidRDefault="00F5219E" w:rsidP="00F5219E">
            <w:pPr>
              <w:widowControl w:val="0"/>
              <w:autoSpaceDE w:val="0"/>
              <w:autoSpaceDN w:val="0"/>
              <w:adjustRightInd w:val="0"/>
              <w:spacing w:line="230" w:lineRule="auto"/>
              <w:ind w:left="-108" w:right="-219"/>
              <w:rPr>
                <w:sz w:val="14"/>
                <w:szCs w:val="14"/>
              </w:rPr>
            </w:pPr>
            <w:r w:rsidRPr="00AC1668">
              <w:rPr>
                <w:sz w:val="14"/>
                <w:szCs w:val="14"/>
              </w:rPr>
              <w:t>IV.</w:t>
            </w:r>
          </w:p>
        </w:tc>
        <w:tc>
          <w:tcPr>
            <w:tcW w:w="4336" w:type="pct"/>
          </w:tcPr>
          <w:p w14:paraId="5CF8A404" w14:textId="275DCC2A" w:rsidR="00F5219E" w:rsidRPr="00AC1668" w:rsidRDefault="00483A74" w:rsidP="00F5219E">
            <w:pPr>
              <w:widowControl w:val="0"/>
              <w:spacing w:line="230" w:lineRule="auto"/>
              <w:ind w:left="-108"/>
              <w:jc w:val="both"/>
              <w:rPr>
                <w:sz w:val="14"/>
                <w:szCs w:val="14"/>
              </w:rPr>
            </w:pPr>
            <w:r w:rsidRPr="00AC1668">
              <w:rPr>
                <w:sz w:val="14"/>
                <w:szCs w:val="14"/>
              </w:rPr>
              <w:t>Kâr</w:t>
            </w:r>
            <w:r w:rsidR="00F5219E" w:rsidRPr="00AC1668">
              <w:rPr>
                <w:sz w:val="14"/>
                <w:szCs w:val="14"/>
              </w:rPr>
              <w:t xml:space="preserve"> payı gelir ve giderine ilişkin açıklamalar</w:t>
            </w:r>
          </w:p>
        </w:tc>
        <w:tc>
          <w:tcPr>
            <w:tcW w:w="386" w:type="pct"/>
            <w:vAlign w:val="bottom"/>
          </w:tcPr>
          <w:p w14:paraId="49B904D2" w14:textId="379AD964" w:rsidR="00F5219E" w:rsidRPr="00764B63" w:rsidRDefault="00451D78" w:rsidP="00F5219E">
            <w:pPr>
              <w:widowControl w:val="0"/>
              <w:spacing w:line="230" w:lineRule="auto"/>
              <w:ind w:left="-108"/>
              <w:jc w:val="right"/>
              <w:rPr>
                <w:sz w:val="14"/>
                <w:szCs w:val="14"/>
              </w:rPr>
            </w:pPr>
            <w:r w:rsidRPr="00764B63">
              <w:rPr>
                <w:sz w:val="14"/>
                <w:szCs w:val="14"/>
              </w:rPr>
              <w:t>19</w:t>
            </w:r>
          </w:p>
        </w:tc>
      </w:tr>
      <w:tr w:rsidR="00F5219E" w:rsidRPr="00AC1668" w14:paraId="29CE29AD" w14:textId="77777777" w:rsidTr="009164F9">
        <w:trPr>
          <w:trHeight w:val="113"/>
        </w:trPr>
        <w:tc>
          <w:tcPr>
            <w:tcW w:w="278" w:type="pct"/>
          </w:tcPr>
          <w:p w14:paraId="035EFF5F" w14:textId="77777777" w:rsidR="00F5219E" w:rsidRPr="00AC1668" w:rsidRDefault="00F5219E" w:rsidP="00F5219E">
            <w:pPr>
              <w:widowControl w:val="0"/>
              <w:autoSpaceDE w:val="0"/>
              <w:autoSpaceDN w:val="0"/>
              <w:adjustRightInd w:val="0"/>
              <w:spacing w:line="230" w:lineRule="auto"/>
              <w:ind w:left="-108" w:right="-219"/>
              <w:rPr>
                <w:sz w:val="14"/>
                <w:szCs w:val="14"/>
              </w:rPr>
            </w:pPr>
            <w:r w:rsidRPr="00AC1668">
              <w:rPr>
                <w:sz w:val="14"/>
                <w:szCs w:val="14"/>
              </w:rPr>
              <w:t>V.</w:t>
            </w:r>
          </w:p>
        </w:tc>
        <w:tc>
          <w:tcPr>
            <w:tcW w:w="4336" w:type="pct"/>
          </w:tcPr>
          <w:p w14:paraId="6E77A15F" w14:textId="77777777" w:rsidR="00F5219E" w:rsidRPr="00AC1668" w:rsidRDefault="00F5219E" w:rsidP="00F5219E">
            <w:pPr>
              <w:widowControl w:val="0"/>
              <w:spacing w:line="230" w:lineRule="auto"/>
              <w:ind w:left="-108"/>
              <w:jc w:val="both"/>
              <w:rPr>
                <w:sz w:val="14"/>
                <w:szCs w:val="14"/>
              </w:rPr>
            </w:pPr>
            <w:r w:rsidRPr="00AC1668">
              <w:rPr>
                <w:sz w:val="14"/>
                <w:szCs w:val="14"/>
              </w:rPr>
              <w:t>Ücret ve komisyon gelir ve giderlerine ilişkin açıklamalar</w:t>
            </w:r>
          </w:p>
        </w:tc>
        <w:tc>
          <w:tcPr>
            <w:tcW w:w="386" w:type="pct"/>
            <w:vAlign w:val="bottom"/>
          </w:tcPr>
          <w:p w14:paraId="7E76ACBF" w14:textId="5CC6C994" w:rsidR="00F5219E" w:rsidRPr="00764B63" w:rsidRDefault="00451D78" w:rsidP="00F5219E">
            <w:pPr>
              <w:widowControl w:val="0"/>
              <w:spacing w:line="230" w:lineRule="auto"/>
              <w:ind w:left="-108"/>
              <w:jc w:val="right"/>
              <w:rPr>
                <w:sz w:val="14"/>
                <w:szCs w:val="14"/>
              </w:rPr>
            </w:pPr>
            <w:r w:rsidRPr="00764B63">
              <w:rPr>
                <w:sz w:val="14"/>
                <w:szCs w:val="14"/>
              </w:rPr>
              <w:t>19</w:t>
            </w:r>
          </w:p>
        </w:tc>
      </w:tr>
      <w:tr w:rsidR="00F5219E" w:rsidRPr="00AC1668" w14:paraId="767D0F8C" w14:textId="77777777" w:rsidTr="009164F9">
        <w:trPr>
          <w:trHeight w:val="113"/>
        </w:trPr>
        <w:tc>
          <w:tcPr>
            <w:tcW w:w="278" w:type="pct"/>
          </w:tcPr>
          <w:p w14:paraId="6521A949" w14:textId="77777777" w:rsidR="00F5219E" w:rsidRPr="00AC1668" w:rsidRDefault="00F5219E" w:rsidP="00F5219E">
            <w:pPr>
              <w:widowControl w:val="0"/>
              <w:autoSpaceDE w:val="0"/>
              <w:autoSpaceDN w:val="0"/>
              <w:adjustRightInd w:val="0"/>
              <w:spacing w:line="230" w:lineRule="auto"/>
              <w:ind w:left="-108" w:right="-219"/>
              <w:rPr>
                <w:sz w:val="14"/>
                <w:szCs w:val="14"/>
              </w:rPr>
            </w:pPr>
            <w:r w:rsidRPr="00AC1668">
              <w:rPr>
                <w:sz w:val="14"/>
                <w:szCs w:val="14"/>
              </w:rPr>
              <w:t>VI.</w:t>
            </w:r>
          </w:p>
        </w:tc>
        <w:tc>
          <w:tcPr>
            <w:tcW w:w="4336" w:type="pct"/>
          </w:tcPr>
          <w:p w14:paraId="576854BF" w14:textId="77777777" w:rsidR="00F5219E" w:rsidRPr="00AC1668" w:rsidRDefault="00F5219E" w:rsidP="00F5219E">
            <w:pPr>
              <w:widowControl w:val="0"/>
              <w:spacing w:line="230" w:lineRule="auto"/>
              <w:ind w:left="-108"/>
              <w:jc w:val="both"/>
              <w:rPr>
                <w:sz w:val="14"/>
                <w:szCs w:val="14"/>
              </w:rPr>
            </w:pPr>
            <w:r w:rsidRPr="00AC1668">
              <w:rPr>
                <w:sz w:val="14"/>
                <w:szCs w:val="14"/>
              </w:rPr>
              <w:t>Finansal varlıklara ilişkin açıklamalar</w:t>
            </w:r>
          </w:p>
        </w:tc>
        <w:tc>
          <w:tcPr>
            <w:tcW w:w="386" w:type="pct"/>
            <w:vAlign w:val="bottom"/>
          </w:tcPr>
          <w:p w14:paraId="58880D8F" w14:textId="1305B1E4" w:rsidR="00F5219E" w:rsidRPr="00764B63" w:rsidRDefault="00886733" w:rsidP="00F5219E">
            <w:pPr>
              <w:widowControl w:val="0"/>
              <w:spacing w:line="230" w:lineRule="auto"/>
              <w:ind w:left="-108"/>
              <w:jc w:val="right"/>
              <w:rPr>
                <w:sz w:val="14"/>
                <w:szCs w:val="14"/>
              </w:rPr>
            </w:pPr>
            <w:r>
              <w:rPr>
                <w:sz w:val="14"/>
                <w:szCs w:val="14"/>
              </w:rPr>
              <w:t>19</w:t>
            </w:r>
          </w:p>
        </w:tc>
      </w:tr>
      <w:tr w:rsidR="00F5219E" w:rsidRPr="00AC1668" w14:paraId="1DFF5F32" w14:textId="77777777" w:rsidTr="009164F9">
        <w:trPr>
          <w:trHeight w:val="113"/>
        </w:trPr>
        <w:tc>
          <w:tcPr>
            <w:tcW w:w="278" w:type="pct"/>
          </w:tcPr>
          <w:p w14:paraId="36CA5D94" w14:textId="77777777" w:rsidR="00F5219E" w:rsidRPr="00AC1668" w:rsidRDefault="00F5219E" w:rsidP="00F5219E">
            <w:pPr>
              <w:widowControl w:val="0"/>
              <w:autoSpaceDE w:val="0"/>
              <w:autoSpaceDN w:val="0"/>
              <w:adjustRightInd w:val="0"/>
              <w:spacing w:line="230" w:lineRule="auto"/>
              <w:ind w:left="-108" w:right="-219"/>
              <w:rPr>
                <w:sz w:val="14"/>
                <w:szCs w:val="14"/>
              </w:rPr>
            </w:pPr>
            <w:r w:rsidRPr="00AC1668">
              <w:rPr>
                <w:sz w:val="14"/>
                <w:szCs w:val="14"/>
              </w:rPr>
              <w:t>VII.</w:t>
            </w:r>
          </w:p>
        </w:tc>
        <w:tc>
          <w:tcPr>
            <w:tcW w:w="4336" w:type="pct"/>
          </w:tcPr>
          <w:p w14:paraId="0C74CA04" w14:textId="7671A203" w:rsidR="00F5219E" w:rsidRPr="00AC1668" w:rsidRDefault="00A2719A" w:rsidP="00F5219E">
            <w:pPr>
              <w:widowControl w:val="0"/>
              <w:spacing w:line="230" w:lineRule="auto"/>
              <w:ind w:left="-108"/>
              <w:jc w:val="both"/>
              <w:rPr>
                <w:sz w:val="14"/>
                <w:szCs w:val="14"/>
              </w:rPr>
            </w:pPr>
            <w:r w:rsidRPr="00AC1668">
              <w:rPr>
                <w:sz w:val="14"/>
                <w:szCs w:val="14"/>
              </w:rPr>
              <w:t>Beklenen Zarar Karşılıklarına İlişkin Açıklamalar</w:t>
            </w:r>
          </w:p>
        </w:tc>
        <w:tc>
          <w:tcPr>
            <w:tcW w:w="386" w:type="pct"/>
            <w:vAlign w:val="bottom"/>
          </w:tcPr>
          <w:p w14:paraId="7776A75C" w14:textId="05D23D93" w:rsidR="00F5219E" w:rsidRPr="00764B63" w:rsidRDefault="00A2719A" w:rsidP="00F5219E">
            <w:pPr>
              <w:widowControl w:val="0"/>
              <w:spacing w:line="230" w:lineRule="auto"/>
              <w:ind w:left="-108"/>
              <w:jc w:val="right"/>
              <w:rPr>
                <w:sz w:val="14"/>
                <w:szCs w:val="14"/>
              </w:rPr>
            </w:pPr>
            <w:r w:rsidRPr="00764B63">
              <w:rPr>
                <w:sz w:val="14"/>
                <w:szCs w:val="14"/>
              </w:rPr>
              <w:t>2</w:t>
            </w:r>
            <w:r w:rsidR="00451D78" w:rsidRPr="00764B63">
              <w:rPr>
                <w:sz w:val="14"/>
                <w:szCs w:val="14"/>
              </w:rPr>
              <w:t>1</w:t>
            </w:r>
          </w:p>
        </w:tc>
      </w:tr>
      <w:tr w:rsidR="00F5219E" w:rsidRPr="00AC1668" w14:paraId="656A9A11" w14:textId="77777777" w:rsidTr="009164F9">
        <w:trPr>
          <w:trHeight w:val="113"/>
        </w:trPr>
        <w:tc>
          <w:tcPr>
            <w:tcW w:w="278" w:type="pct"/>
          </w:tcPr>
          <w:p w14:paraId="68F3D4DB" w14:textId="77777777" w:rsidR="00F5219E" w:rsidRPr="00AC1668" w:rsidRDefault="00F5219E" w:rsidP="00F5219E">
            <w:pPr>
              <w:widowControl w:val="0"/>
              <w:autoSpaceDE w:val="0"/>
              <w:autoSpaceDN w:val="0"/>
              <w:adjustRightInd w:val="0"/>
              <w:spacing w:line="230" w:lineRule="auto"/>
              <w:ind w:left="-108" w:right="-219"/>
              <w:rPr>
                <w:sz w:val="14"/>
                <w:szCs w:val="14"/>
              </w:rPr>
            </w:pPr>
            <w:r w:rsidRPr="00AC1668">
              <w:rPr>
                <w:sz w:val="14"/>
                <w:szCs w:val="14"/>
              </w:rPr>
              <w:t>VIII.</w:t>
            </w:r>
          </w:p>
        </w:tc>
        <w:tc>
          <w:tcPr>
            <w:tcW w:w="4336" w:type="pct"/>
          </w:tcPr>
          <w:p w14:paraId="6D39D1A3" w14:textId="77777777" w:rsidR="00F5219E" w:rsidRPr="00AC1668" w:rsidRDefault="00F5219E" w:rsidP="00F5219E">
            <w:pPr>
              <w:widowControl w:val="0"/>
              <w:spacing w:line="230" w:lineRule="auto"/>
              <w:ind w:left="-108"/>
              <w:jc w:val="both"/>
              <w:rPr>
                <w:sz w:val="14"/>
                <w:szCs w:val="14"/>
              </w:rPr>
            </w:pPr>
            <w:r w:rsidRPr="00AC1668">
              <w:rPr>
                <w:sz w:val="14"/>
                <w:szCs w:val="14"/>
              </w:rPr>
              <w:t>Finansal araçların netleştirilmesine ilişkin açıklamalar</w:t>
            </w:r>
          </w:p>
        </w:tc>
        <w:tc>
          <w:tcPr>
            <w:tcW w:w="386" w:type="pct"/>
            <w:vAlign w:val="bottom"/>
          </w:tcPr>
          <w:p w14:paraId="5E2C52A0" w14:textId="6B1879AF" w:rsidR="00F5219E" w:rsidRPr="00764B63" w:rsidRDefault="00A2719A" w:rsidP="00F5219E">
            <w:pPr>
              <w:widowControl w:val="0"/>
              <w:spacing w:line="230" w:lineRule="auto"/>
              <w:ind w:left="-108"/>
              <w:jc w:val="right"/>
              <w:rPr>
                <w:sz w:val="14"/>
                <w:szCs w:val="14"/>
              </w:rPr>
            </w:pPr>
            <w:r w:rsidRPr="00764B63">
              <w:rPr>
                <w:sz w:val="14"/>
                <w:szCs w:val="14"/>
              </w:rPr>
              <w:t>2</w:t>
            </w:r>
            <w:r w:rsidR="00451D78" w:rsidRPr="00764B63">
              <w:rPr>
                <w:sz w:val="14"/>
                <w:szCs w:val="14"/>
              </w:rPr>
              <w:t>3</w:t>
            </w:r>
          </w:p>
        </w:tc>
      </w:tr>
      <w:tr w:rsidR="00F5219E" w:rsidRPr="00AC1668" w14:paraId="5BA1E729" w14:textId="77777777" w:rsidTr="009164F9">
        <w:trPr>
          <w:trHeight w:val="113"/>
        </w:trPr>
        <w:tc>
          <w:tcPr>
            <w:tcW w:w="278" w:type="pct"/>
          </w:tcPr>
          <w:p w14:paraId="45A56521" w14:textId="77777777" w:rsidR="00F5219E" w:rsidRPr="00AC1668" w:rsidRDefault="00F5219E" w:rsidP="00F5219E">
            <w:pPr>
              <w:widowControl w:val="0"/>
              <w:autoSpaceDE w:val="0"/>
              <w:autoSpaceDN w:val="0"/>
              <w:adjustRightInd w:val="0"/>
              <w:spacing w:line="230" w:lineRule="auto"/>
              <w:ind w:left="-108" w:right="-219"/>
              <w:rPr>
                <w:sz w:val="14"/>
                <w:szCs w:val="14"/>
              </w:rPr>
            </w:pPr>
            <w:r w:rsidRPr="00AC1668">
              <w:rPr>
                <w:sz w:val="14"/>
                <w:szCs w:val="14"/>
              </w:rPr>
              <w:t>IX.</w:t>
            </w:r>
          </w:p>
        </w:tc>
        <w:tc>
          <w:tcPr>
            <w:tcW w:w="4336" w:type="pct"/>
          </w:tcPr>
          <w:p w14:paraId="75256C7D" w14:textId="77777777" w:rsidR="00F5219E" w:rsidRPr="00AC1668" w:rsidRDefault="00F5219E" w:rsidP="00F5219E">
            <w:pPr>
              <w:widowControl w:val="0"/>
              <w:spacing w:line="230" w:lineRule="auto"/>
              <w:ind w:left="-108"/>
              <w:jc w:val="both"/>
              <w:rPr>
                <w:sz w:val="14"/>
                <w:szCs w:val="14"/>
              </w:rPr>
            </w:pPr>
            <w:r w:rsidRPr="00AC1668">
              <w:rPr>
                <w:sz w:val="14"/>
                <w:szCs w:val="14"/>
              </w:rPr>
              <w:t>Satış ve geri alış anlaşmaları ve menkul değerlerin ödünç verilmesi işlemlerine ilişkin açıklamalar</w:t>
            </w:r>
          </w:p>
        </w:tc>
        <w:tc>
          <w:tcPr>
            <w:tcW w:w="386" w:type="pct"/>
            <w:vAlign w:val="bottom"/>
          </w:tcPr>
          <w:p w14:paraId="37BFFEE2" w14:textId="3602815B" w:rsidR="00F5219E" w:rsidRPr="00764B63" w:rsidRDefault="00FD58DB" w:rsidP="00F5219E">
            <w:pPr>
              <w:widowControl w:val="0"/>
              <w:spacing w:line="230" w:lineRule="auto"/>
              <w:ind w:left="-108"/>
              <w:jc w:val="right"/>
              <w:rPr>
                <w:sz w:val="14"/>
                <w:szCs w:val="14"/>
              </w:rPr>
            </w:pPr>
            <w:r w:rsidRPr="00764B63">
              <w:rPr>
                <w:sz w:val="14"/>
                <w:szCs w:val="14"/>
              </w:rPr>
              <w:t>2</w:t>
            </w:r>
            <w:r w:rsidR="00451D78" w:rsidRPr="00764B63">
              <w:rPr>
                <w:sz w:val="14"/>
                <w:szCs w:val="14"/>
              </w:rPr>
              <w:t>4</w:t>
            </w:r>
          </w:p>
        </w:tc>
      </w:tr>
      <w:tr w:rsidR="00F5219E" w:rsidRPr="00AC1668" w14:paraId="0C63B727" w14:textId="77777777" w:rsidTr="009164F9">
        <w:trPr>
          <w:trHeight w:val="113"/>
        </w:trPr>
        <w:tc>
          <w:tcPr>
            <w:tcW w:w="278" w:type="pct"/>
          </w:tcPr>
          <w:p w14:paraId="6D2DFF89" w14:textId="77777777" w:rsidR="00F5219E" w:rsidRPr="00AC1668" w:rsidRDefault="00F5219E" w:rsidP="00F5219E">
            <w:pPr>
              <w:widowControl w:val="0"/>
              <w:autoSpaceDE w:val="0"/>
              <w:autoSpaceDN w:val="0"/>
              <w:adjustRightInd w:val="0"/>
              <w:spacing w:line="230" w:lineRule="auto"/>
              <w:ind w:left="-108" w:right="-219"/>
              <w:rPr>
                <w:sz w:val="14"/>
                <w:szCs w:val="14"/>
              </w:rPr>
            </w:pPr>
            <w:r w:rsidRPr="00AC1668">
              <w:rPr>
                <w:sz w:val="14"/>
                <w:szCs w:val="14"/>
              </w:rPr>
              <w:t>X.</w:t>
            </w:r>
          </w:p>
        </w:tc>
        <w:tc>
          <w:tcPr>
            <w:tcW w:w="4336" w:type="pct"/>
          </w:tcPr>
          <w:p w14:paraId="18B11D56" w14:textId="77777777" w:rsidR="00F5219E" w:rsidRPr="00AC1668" w:rsidRDefault="00F5219E" w:rsidP="00F5219E">
            <w:pPr>
              <w:widowControl w:val="0"/>
              <w:spacing w:line="230" w:lineRule="auto"/>
              <w:ind w:left="-108"/>
              <w:jc w:val="both"/>
              <w:rPr>
                <w:sz w:val="14"/>
                <w:szCs w:val="14"/>
              </w:rPr>
            </w:pPr>
            <w:r w:rsidRPr="00AC1668">
              <w:rPr>
                <w:sz w:val="14"/>
                <w:szCs w:val="14"/>
              </w:rPr>
              <w:t>Satış amaçlı elde tutulan ve durdurulan faaliyetlere ilişkin duran varlıklar ile bu varlıklara ilişkin borçlar hakkında açıklamalar</w:t>
            </w:r>
          </w:p>
        </w:tc>
        <w:tc>
          <w:tcPr>
            <w:tcW w:w="386" w:type="pct"/>
            <w:vAlign w:val="bottom"/>
          </w:tcPr>
          <w:p w14:paraId="5DBF3BBD" w14:textId="616AC9BC" w:rsidR="00F5219E" w:rsidRPr="00764B63" w:rsidRDefault="00FD58DB" w:rsidP="00F5219E">
            <w:pPr>
              <w:widowControl w:val="0"/>
              <w:spacing w:line="230" w:lineRule="auto"/>
              <w:ind w:left="-108"/>
              <w:jc w:val="right"/>
              <w:rPr>
                <w:sz w:val="14"/>
                <w:szCs w:val="14"/>
              </w:rPr>
            </w:pPr>
            <w:r w:rsidRPr="00764B63">
              <w:rPr>
                <w:sz w:val="14"/>
                <w:szCs w:val="14"/>
              </w:rPr>
              <w:t>2</w:t>
            </w:r>
            <w:r w:rsidR="00451D78" w:rsidRPr="00764B63">
              <w:rPr>
                <w:sz w:val="14"/>
                <w:szCs w:val="14"/>
              </w:rPr>
              <w:t>4</w:t>
            </w:r>
          </w:p>
        </w:tc>
      </w:tr>
      <w:tr w:rsidR="00FD58DB" w:rsidRPr="00AC1668" w14:paraId="0F0D315C" w14:textId="77777777" w:rsidTr="00C7074D">
        <w:trPr>
          <w:trHeight w:val="113"/>
        </w:trPr>
        <w:tc>
          <w:tcPr>
            <w:tcW w:w="278" w:type="pct"/>
          </w:tcPr>
          <w:p w14:paraId="6875FF73" w14:textId="77777777" w:rsidR="00FD58DB" w:rsidRPr="00AC1668" w:rsidRDefault="00FD58DB" w:rsidP="00FD58DB">
            <w:pPr>
              <w:widowControl w:val="0"/>
              <w:autoSpaceDE w:val="0"/>
              <w:autoSpaceDN w:val="0"/>
              <w:adjustRightInd w:val="0"/>
              <w:spacing w:line="230" w:lineRule="auto"/>
              <w:ind w:left="-108" w:right="-219"/>
              <w:rPr>
                <w:sz w:val="14"/>
                <w:szCs w:val="14"/>
              </w:rPr>
            </w:pPr>
            <w:r w:rsidRPr="00AC1668">
              <w:rPr>
                <w:sz w:val="14"/>
                <w:szCs w:val="14"/>
              </w:rPr>
              <w:t>XI.</w:t>
            </w:r>
          </w:p>
        </w:tc>
        <w:tc>
          <w:tcPr>
            <w:tcW w:w="4336" w:type="pct"/>
          </w:tcPr>
          <w:p w14:paraId="11D5C608" w14:textId="77777777" w:rsidR="00FD58DB" w:rsidRPr="00AC1668" w:rsidRDefault="00FD58DB" w:rsidP="00FD58DB">
            <w:pPr>
              <w:widowControl w:val="0"/>
              <w:spacing w:line="230" w:lineRule="auto"/>
              <w:ind w:left="-108"/>
              <w:jc w:val="both"/>
              <w:rPr>
                <w:sz w:val="14"/>
                <w:szCs w:val="14"/>
              </w:rPr>
            </w:pPr>
            <w:r w:rsidRPr="00AC1668">
              <w:rPr>
                <w:sz w:val="14"/>
                <w:szCs w:val="14"/>
              </w:rPr>
              <w:t>Şerefiye ve diğer maddi olmayan duran varlıklara ilişkin açıklamalar</w:t>
            </w:r>
          </w:p>
        </w:tc>
        <w:tc>
          <w:tcPr>
            <w:tcW w:w="386" w:type="pct"/>
          </w:tcPr>
          <w:p w14:paraId="511ADFEC" w14:textId="5D41CB0B" w:rsidR="00FD58DB" w:rsidRPr="00764B63" w:rsidRDefault="00FD58DB" w:rsidP="00FD58DB">
            <w:pPr>
              <w:widowControl w:val="0"/>
              <w:spacing w:line="230" w:lineRule="auto"/>
              <w:ind w:left="-108"/>
              <w:jc w:val="right"/>
              <w:rPr>
                <w:sz w:val="14"/>
                <w:szCs w:val="14"/>
              </w:rPr>
            </w:pPr>
            <w:r w:rsidRPr="00764B63">
              <w:rPr>
                <w:sz w:val="14"/>
                <w:szCs w:val="14"/>
              </w:rPr>
              <w:t>2</w:t>
            </w:r>
            <w:r w:rsidR="00451D78" w:rsidRPr="00764B63">
              <w:rPr>
                <w:sz w:val="14"/>
                <w:szCs w:val="14"/>
              </w:rPr>
              <w:t>4</w:t>
            </w:r>
          </w:p>
        </w:tc>
      </w:tr>
      <w:tr w:rsidR="00FD58DB" w:rsidRPr="00AC1668" w14:paraId="714ACB53" w14:textId="77777777" w:rsidTr="00C7074D">
        <w:trPr>
          <w:trHeight w:val="113"/>
        </w:trPr>
        <w:tc>
          <w:tcPr>
            <w:tcW w:w="278" w:type="pct"/>
          </w:tcPr>
          <w:p w14:paraId="082B5AFC" w14:textId="77777777" w:rsidR="00FD58DB" w:rsidRPr="00AC1668" w:rsidRDefault="00FD58DB" w:rsidP="00FD58DB">
            <w:pPr>
              <w:widowControl w:val="0"/>
              <w:autoSpaceDE w:val="0"/>
              <w:autoSpaceDN w:val="0"/>
              <w:adjustRightInd w:val="0"/>
              <w:spacing w:line="230" w:lineRule="auto"/>
              <w:ind w:left="-108" w:right="-219"/>
              <w:rPr>
                <w:sz w:val="14"/>
                <w:szCs w:val="14"/>
              </w:rPr>
            </w:pPr>
            <w:r w:rsidRPr="00AC1668">
              <w:rPr>
                <w:sz w:val="14"/>
                <w:szCs w:val="14"/>
              </w:rPr>
              <w:t>XII.</w:t>
            </w:r>
          </w:p>
        </w:tc>
        <w:tc>
          <w:tcPr>
            <w:tcW w:w="4336" w:type="pct"/>
          </w:tcPr>
          <w:p w14:paraId="024E30BF" w14:textId="77777777" w:rsidR="00FD58DB" w:rsidRPr="00AC1668" w:rsidRDefault="00FD58DB" w:rsidP="00FD58DB">
            <w:pPr>
              <w:widowControl w:val="0"/>
              <w:spacing w:line="230" w:lineRule="auto"/>
              <w:ind w:left="-108"/>
              <w:jc w:val="both"/>
              <w:rPr>
                <w:sz w:val="14"/>
                <w:szCs w:val="14"/>
              </w:rPr>
            </w:pPr>
            <w:r w:rsidRPr="00AC1668">
              <w:rPr>
                <w:sz w:val="14"/>
                <w:szCs w:val="14"/>
              </w:rPr>
              <w:t>Maddi duran varlıklara ilişkin açıklamalar</w:t>
            </w:r>
          </w:p>
        </w:tc>
        <w:tc>
          <w:tcPr>
            <w:tcW w:w="386" w:type="pct"/>
          </w:tcPr>
          <w:p w14:paraId="0CB0AF89" w14:textId="5B6FD442" w:rsidR="00FD58DB" w:rsidRPr="00764B63" w:rsidRDefault="00FD58DB" w:rsidP="00FD58DB">
            <w:pPr>
              <w:widowControl w:val="0"/>
              <w:spacing w:line="230" w:lineRule="auto"/>
              <w:ind w:left="-108"/>
              <w:jc w:val="right"/>
              <w:rPr>
                <w:sz w:val="14"/>
                <w:szCs w:val="14"/>
              </w:rPr>
            </w:pPr>
            <w:r w:rsidRPr="00764B63">
              <w:rPr>
                <w:sz w:val="14"/>
                <w:szCs w:val="14"/>
              </w:rPr>
              <w:t>2</w:t>
            </w:r>
            <w:r w:rsidR="00451D78" w:rsidRPr="00764B63">
              <w:rPr>
                <w:sz w:val="14"/>
                <w:szCs w:val="14"/>
              </w:rPr>
              <w:t>5</w:t>
            </w:r>
          </w:p>
        </w:tc>
      </w:tr>
      <w:tr w:rsidR="00F5219E" w:rsidRPr="00AC1668" w14:paraId="5B8E4A09" w14:textId="77777777" w:rsidTr="009164F9">
        <w:trPr>
          <w:trHeight w:val="113"/>
        </w:trPr>
        <w:tc>
          <w:tcPr>
            <w:tcW w:w="278" w:type="pct"/>
          </w:tcPr>
          <w:p w14:paraId="5D671498" w14:textId="77777777" w:rsidR="00F5219E" w:rsidRPr="00AC1668" w:rsidRDefault="00F5219E" w:rsidP="00F5219E">
            <w:pPr>
              <w:widowControl w:val="0"/>
              <w:autoSpaceDE w:val="0"/>
              <w:autoSpaceDN w:val="0"/>
              <w:adjustRightInd w:val="0"/>
              <w:spacing w:line="230" w:lineRule="auto"/>
              <w:ind w:left="-108" w:right="-219"/>
              <w:rPr>
                <w:sz w:val="14"/>
                <w:szCs w:val="14"/>
              </w:rPr>
            </w:pPr>
            <w:r w:rsidRPr="00AC1668">
              <w:rPr>
                <w:sz w:val="14"/>
                <w:szCs w:val="14"/>
              </w:rPr>
              <w:t>XIII.</w:t>
            </w:r>
          </w:p>
        </w:tc>
        <w:tc>
          <w:tcPr>
            <w:tcW w:w="4336" w:type="pct"/>
          </w:tcPr>
          <w:p w14:paraId="568DFA09" w14:textId="77777777" w:rsidR="00F5219E" w:rsidRPr="00AC1668" w:rsidRDefault="00F5219E" w:rsidP="00F5219E">
            <w:pPr>
              <w:widowControl w:val="0"/>
              <w:spacing w:line="230" w:lineRule="auto"/>
              <w:ind w:left="-108"/>
              <w:jc w:val="both"/>
              <w:rPr>
                <w:sz w:val="14"/>
                <w:szCs w:val="14"/>
              </w:rPr>
            </w:pPr>
            <w:r w:rsidRPr="00AC1668">
              <w:rPr>
                <w:sz w:val="14"/>
                <w:szCs w:val="14"/>
              </w:rPr>
              <w:t>Kiralama işlemlerine ilişkin açıklamalar</w:t>
            </w:r>
          </w:p>
        </w:tc>
        <w:tc>
          <w:tcPr>
            <w:tcW w:w="386" w:type="pct"/>
            <w:vAlign w:val="bottom"/>
          </w:tcPr>
          <w:p w14:paraId="1FBE1DEA" w14:textId="5D9F691E" w:rsidR="00F5219E" w:rsidRPr="00764B63" w:rsidRDefault="00FD58DB" w:rsidP="00F5219E">
            <w:pPr>
              <w:widowControl w:val="0"/>
              <w:spacing w:line="230" w:lineRule="auto"/>
              <w:ind w:left="-108"/>
              <w:jc w:val="right"/>
              <w:rPr>
                <w:sz w:val="14"/>
                <w:szCs w:val="14"/>
              </w:rPr>
            </w:pPr>
            <w:r w:rsidRPr="00764B63">
              <w:rPr>
                <w:sz w:val="14"/>
                <w:szCs w:val="14"/>
              </w:rPr>
              <w:t>2</w:t>
            </w:r>
            <w:r w:rsidR="00451D78" w:rsidRPr="00764B63">
              <w:rPr>
                <w:sz w:val="14"/>
                <w:szCs w:val="14"/>
              </w:rPr>
              <w:t>5</w:t>
            </w:r>
          </w:p>
        </w:tc>
      </w:tr>
      <w:tr w:rsidR="00F5219E" w:rsidRPr="00AC1668" w14:paraId="7D4AA1D3" w14:textId="77777777" w:rsidTr="009164F9">
        <w:trPr>
          <w:trHeight w:val="113"/>
        </w:trPr>
        <w:tc>
          <w:tcPr>
            <w:tcW w:w="278" w:type="pct"/>
          </w:tcPr>
          <w:p w14:paraId="7CBB25AA" w14:textId="77777777" w:rsidR="00F5219E" w:rsidRPr="00AC1668" w:rsidRDefault="00F5219E" w:rsidP="00F5219E">
            <w:pPr>
              <w:widowControl w:val="0"/>
              <w:autoSpaceDE w:val="0"/>
              <w:autoSpaceDN w:val="0"/>
              <w:adjustRightInd w:val="0"/>
              <w:spacing w:line="230" w:lineRule="auto"/>
              <w:ind w:left="-108" w:right="-219"/>
              <w:rPr>
                <w:sz w:val="14"/>
                <w:szCs w:val="14"/>
              </w:rPr>
            </w:pPr>
            <w:r w:rsidRPr="00AC1668">
              <w:rPr>
                <w:sz w:val="14"/>
                <w:szCs w:val="14"/>
              </w:rPr>
              <w:t>XIV.</w:t>
            </w:r>
          </w:p>
        </w:tc>
        <w:tc>
          <w:tcPr>
            <w:tcW w:w="4336" w:type="pct"/>
          </w:tcPr>
          <w:p w14:paraId="32A0E844" w14:textId="77777777" w:rsidR="00F5219E" w:rsidRPr="00AC1668" w:rsidRDefault="00F5219E" w:rsidP="00F5219E">
            <w:pPr>
              <w:widowControl w:val="0"/>
              <w:spacing w:line="230" w:lineRule="auto"/>
              <w:ind w:left="-108"/>
              <w:jc w:val="both"/>
              <w:rPr>
                <w:sz w:val="14"/>
                <w:szCs w:val="14"/>
              </w:rPr>
            </w:pPr>
            <w:r w:rsidRPr="00AC1668">
              <w:rPr>
                <w:sz w:val="14"/>
                <w:szCs w:val="14"/>
              </w:rPr>
              <w:t>Karşılıklar ve koşullu yükümlülüklere ilişkin açıklamalar</w:t>
            </w:r>
          </w:p>
        </w:tc>
        <w:tc>
          <w:tcPr>
            <w:tcW w:w="386" w:type="pct"/>
            <w:vAlign w:val="bottom"/>
          </w:tcPr>
          <w:p w14:paraId="61FB35C5" w14:textId="0CAA938B" w:rsidR="00F5219E" w:rsidRPr="00764B63" w:rsidRDefault="00FD58DB" w:rsidP="00F5219E">
            <w:pPr>
              <w:widowControl w:val="0"/>
              <w:spacing w:line="230" w:lineRule="auto"/>
              <w:ind w:left="-108"/>
              <w:jc w:val="right"/>
              <w:rPr>
                <w:sz w:val="14"/>
                <w:szCs w:val="14"/>
              </w:rPr>
            </w:pPr>
            <w:r w:rsidRPr="00764B63">
              <w:rPr>
                <w:sz w:val="14"/>
                <w:szCs w:val="14"/>
              </w:rPr>
              <w:t>2</w:t>
            </w:r>
            <w:r w:rsidR="00451D78" w:rsidRPr="00764B63">
              <w:rPr>
                <w:sz w:val="14"/>
                <w:szCs w:val="14"/>
              </w:rPr>
              <w:t>7</w:t>
            </w:r>
          </w:p>
        </w:tc>
      </w:tr>
      <w:tr w:rsidR="00F5219E" w:rsidRPr="00AC1668" w14:paraId="5E018181" w14:textId="77777777" w:rsidTr="009164F9">
        <w:trPr>
          <w:trHeight w:val="113"/>
        </w:trPr>
        <w:tc>
          <w:tcPr>
            <w:tcW w:w="278" w:type="pct"/>
          </w:tcPr>
          <w:p w14:paraId="332F24FF" w14:textId="77777777" w:rsidR="00F5219E" w:rsidRPr="00AC1668" w:rsidRDefault="00F5219E" w:rsidP="00F5219E">
            <w:pPr>
              <w:widowControl w:val="0"/>
              <w:autoSpaceDE w:val="0"/>
              <w:autoSpaceDN w:val="0"/>
              <w:adjustRightInd w:val="0"/>
              <w:spacing w:line="230" w:lineRule="auto"/>
              <w:ind w:left="-108" w:right="-219"/>
              <w:rPr>
                <w:sz w:val="14"/>
                <w:szCs w:val="14"/>
              </w:rPr>
            </w:pPr>
            <w:r w:rsidRPr="00AC1668">
              <w:rPr>
                <w:sz w:val="14"/>
                <w:szCs w:val="14"/>
              </w:rPr>
              <w:t>XV.</w:t>
            </w:r>
          </w:p>
        </w:tc>
        <w:tc>
          <w:tcPr>
            <w:tcW w:w="4336" w:type="pct"/>
          </w:tcPr>
          <w:p w14:paraId="32AB2287" w14:textId="77777777" w:rsidR="00F5219E" w:rsidRPr="00AC1668" w:rsidRDefault="00F5219E" w:rsidP="00F5219E">
            <w:pPr>
              <w:widowControl w:val="0"/>
              <w:spacing w:line="230" w:lineRule="auto"/>
              <w:ind w:left="-108"/>
              <w:jc w:val="both"/>
              <w:rPr>
                <w:sz w:val="14"/>
                <w:szCs w:val="14"/>
              </w:rPr>
            </w:pPr>
            <w:r w:rsidRPr="00AC1668">
              <w:rPr>
                <w:sz w:val="14"/>
                <w:szCs w:val="14"/>
              </w:rPr>
              <w:t>Çalışanların haklarına ilişkin yükümlülüklere ilişkin açıklamalar</w:t>
            </w:r>
          </w:p>
        </w:tc>
        <w:tc>
          <w:tcPr>
            <w:tcW w:w="386" w:type="pct"/>
            <w:vAlign w:val="bottom"/>
          </w:tcPr>
          <w:p w14:paraId="6A58715A" w14:textId="7EB34E8E" w:rsidR="00F5219E" w:rsidRPr="00764B63" w:rsidRDefault="00FD58DB" w:rsidP="00F5219E">
            <w:pPr>
              <w:widowControl w:val="0"/>
              <w:tabs>
                <w:tab w:val="left" w:pos="346"/>
              </w:tabs>
              <w:spacing w:line="230" w:lineRule="auto"/>
              <w:ind w:left="-108"/>
              <w:jc w:val="right"/>
              <w:rPr>
                <w:sz w:val="14"/>
                <w:szCs w:val="14"/>
              </w:rPr>
            </w:pPr>
            <w:r w:rsidRPr="00764B63">
              <w:rPr>
                <w:sz w:val="14"/>
                <w:szCs w:val="14"/>
              </w:rPr>
              <w:t>2</w:t>
            </w:r>
            <w:r w:rsidR="00451D78" w:rsidRPr="00764B63">
              <w:rPr>
                <w:sz w:val="14"/>
                <w:szCs w:val="14"/>
              </w:rPr>
              <w:t>7</w:t>
            </w:r>
          </w:p>
        </w:tc>
      </w:tr>
      <w:tr w:rsidR="00F5219E" w:rsidRPr="00AC1668" w14:paraId="57761403" w14:textId="77777777" w:rsidTr="009164F9">
        <w:trPr>
          <w:trHeight w:val="113"/>
        </w:trPr>
        <w:tc>
          <w:tcPr>
            <w:tcW w:w="278" w:type="pct"/>
          </w:tcPr>
          <w:p w14:paraId="7AD21CB5" w14:textId="77777777" w:rsidR="00F5219E" w:rsidRPr="00AC1668" w:rsidRDefault="00F5219E" w:rsidP="00F5219E">
            <w:pPr>
              <w:widowControl w:val="0"/>
              <w:autoSpaceDE w:val="0"/>
              <w:autoSpaceDN w:val="0"/>
              <w:adjustRightInd w:val="0"/>
              <w:spacing w:line="230" w:lineRule="auto"/>
              <w:ind w:left="-108" w:right="-219"/>
              <w:rPr>
                <w:sz w:val="14"/>
                <w:szCs w:val="14"/>
              </w:rPr>
            </w:pPr>
            <w:r w:rsidRPr="00AC1668">
              <w:rPr>
                <w:sz w:val="14"/>
                <w:szCs w:val="14"/>
              </w:rPr>
              <w:t>XVI.</w:t>
            </w:r>
          </w:p>
        </w:tc>
        <w:tc>
          <w:tcPr>
            <w:tcW w:w="4336" w:type="pct"/>
          </w:tcPr>
          <w:p w14:paraId="69A44CB4" w14:textId="77777777" w:rsidR="00F5219E" w:rsidRPr="00AC1668" w:rsidRDefault="00F5219E" w:rsidP="00F5219E">
            <w:pPr>
              <w:widowControl w:val="0"/>
              <w:spacing w:line="230" w:lineRule="auto"/>
              <w:ind w:left="-108"/>
              <w:jc w:val="both"/>
              <w:rPr>
                <w:sz w:val="14"/>
                <w:szCs w:val="14"/>
              </w:rPr>
            </w:pPr>
            <w:r w:rsidRPr="00AC1668">
              <w:rPr>
                <w:sz w:val="14"/>
                <w:szCs w:val="14"/>
              </w:rPr>
              <w:t>Vergi uygulamalarına ilişkin açıklamalar</w:t>
            </w:r>
          </w:p>
        </w:tc>
        <w:tc>
          <w:tcPr>
            <w:tcW w:w="386" w:type="pct"/>
            <w:vAlign w:val="bottom"/>
          </w:tcPr>
          <w:p w14:paraId="5F1F8675" w14:textId="77162123" w:rsidR="00F5219E" w:rsidRPr="00764B63" w:rsidRDefault="00FD58DB" w:rsidP="00F5219E">
            <w:pPr>
              <w:widowControl w:val="0"/>
              <w:spacing w:line="230" w:lineRule="auto"/>
              <w:ind w:left="-108"/>
              <w:jc w:val="right"/>
              <w:rPr>
                <w:sz w:val="14"/>
                <w:szCs w:val="14"/>
              </w:rPr>
            </w:pPr>
            <w:r w:rsidRPr="00764B63">
              <w:rPr>
                <w:sz w:val="14"/>
                <w:szCs w:val="14"/>
              </w:rPr>
              <w:t>28</w:t>
            </w:r>
          </w:p>
        </w:tc>
      </w:tr>
      <w:tr w:rsidR="00F5219E" w:rsidRPr="00AC1668" w14:paraId="4414479F" w14:textId="77777777" w:rsidTr="009164F9">
        <w:trPr>
          <w:trHeight w:val="113"/>
        </w:trPr>
        <w:tc>
          <w:tcPr>
            <w:tcW w:w="278" w:type="pct"/>
          </w:tcPr>
          <w:p w14:paraId="67EAAB4D" w14:textId="77777777" w:rsidR="00F5219E" w:rsidRPr="00AC1668" w:rsidRDefault="00F5219E" w:rsidP="00F5219E">
            <w:pPr>
              <w:widowControl w:val="0"/>
              <w:autoSpaceDE w:val="0"/>
              <w:autoSpaceDN w:val="0"/>
              <w:adjustRightInd w:val="0"/>
              <w:spacing w:line="230" w:lineRule="auto"/>
              <w:ind w:left="-108" w:right="-219"/>
              <w:rPr>
                <w:sz w:val="14"/>
                <w:szCs w:val="14"/>
              </w:rPr>
            </w:pPr>
            <w:r w:rsidRPr="00AC1668">
              <w:rPr>
                <w:sz w:val="14"/>
                <w:szCs w:val="14"/>
              </w:rPr>
              <w:t>XVII.</w:t>
            </w:r>
          </w:p>
        </w:tc>
        <w:tc>
          <w:tcPr>
            <w:tcW w:w="4336" w:type="pct"/>
          </w:tcPr>
          <w:p w14:paraId="30BA9E9D" w14:textId="77777777" w:rsidR="00F5219E" w:rsidRPr="00AC1668" w:rsidRDefault="00F5219E" w:rsidP="00F5219E">
            <w:pPr>
              <w:widowControl w:val="0"/>
              <w:spacing w:line="230" w:lineRule="auto"/>
              <w:ind w:left="-108"/>
              <w:jc w:val="both"/>
              <w:rPr>
                <w:sz w:val="14"/>
                <w:szCs w:val="14"/>
              </w:rPr>
            </w:pPr>
            <w:r w:rsidRPr="00AC1668">
              <w:rPr>
                <w:sz w:val="14"/>
                <w:szCs w:val="14"/>
              </w:rPr>
              <w:t>Borçlanmalara ilişkin ilave açıklamalar</w:t>
            </w:r>
          </w:p>
        </w:tc>
        <w:tc>
          <w:tcPr>
            <w:tcW w:w="386" w:type="pct"/>
            <w:vAlign w:val="bottom"/>
          </w:tcPr>
          <w:p w14:paraId="0263A742" w14:textId="40D48522" w:rsidR="00F5219E" w:rsidRPr="00764B63" w:rsidRDefault="00FD58DB" w:rsidP="00F5219E">
            <w:pPr>
              <w:widowControl w:val="0"/>
              <w:spacing w:line="230" w:lineRule="auto"/>
              <w:ind w:left="-108"/>
              <w:jc w:val="right"/>
              <w:rPr>
                <w:sz w:val="14"/>
                <w:szCs w:val="14"/>
              </w:rPr>
            </w:pPr>
            <w:r w:rsidRPr="00764B63">
              <w:rPr>
                <w:sz w:val="14"/>
                <w:szCs w:val="14"/>
              </w:rPr>
              <w:t>31</w:t>
            </w:r>
          </w:p>
        </w:tc>
      </w:tr>
      <w:tr w:rsidR="00F5219E" w:rsidRPr="00AC1668" w14:paraId="4BE6444B" w14:textId="77777777" w:rsidTr="009164F9">
        <w:trPr>
          <w:trHeight w:val="113"/>
        </w:trPr>
        <w:tc>
          <w:tcPr>
            <w:tcW w:w="278" w:type="pct"/>
          </w:tcPr>
          <w:p w14:paraId="590C84E4" w14:textId="77777777" w:rsidR="00F5219E" w:rsidRPr="00AC1668" w:rsidRDefault="00F5219E" w:rsidP="00F5219E">
            <w:pPr>
              <w:widowControl w:val="0"/>
              <w:autoSpaceDE w:val="0"/>
              <w:autoSpaceDN w:val="0"/>
              <w:adjustRightInd w:val="0"/>
              <w:spacing w:line="230" w:lineRule="auto"/>
              <w:ind w:left="-108" w:right="-219"/>
              <w:rPr>
                <w:sz w:val="14"/>
                <w:szCs w:val="14"/>
              </w:rPr>
            </w:pPr>
            <w:r w:rsidRPr="00AC1668">
              <w:rPr>
                <w:sz w:val="14"/>
                <w:szCs w:val="14"/>
              </w:rPr>
              <w:t>XVIII.</w:t>
            </w:r>
          </w:p>
        </w:tc>
        <w:tc>
          <w:tcPr>
            <w:tcW w:w="4336" w:type="pct"/>
          </w:tcPr>
          <w:p w14:paraId="5052FF69" w14:textId="77777777" w:rsidR="00F5219E" w:rsidRPr="00AC1668" w:rsidRDefault="00F5219E" w:rsidP="00F5219E">
            <w:pPr>
              <w:widowControl w:val="0"/>
              <w:spacing w:line="230" w:lineRule="auto"/>
              <w:ind w:left="-108"/>
              <w:jc w:val="both"/>
              <w:rPr>
                <w:sz w:val="14"/>
                <w:szCs w:val="14"/>
              </w:rPr>
            </w:pPr>
            <w:r w:rsidRPr="00AC1668">
              <w:rPr>
                <w:sz w:val="14"/>
                <w:szCs w:val="14"/>
              </w:rPr>
              <w:t>İhraç edilen hisse senetlerine ilişkin açıklamalar</w:t>
            </w:r>
          </w:p>
        </w:tc>
        <w:tc>
          <w:tcPr>
            <w:tcW w:w="386" w:type="pct"/>
            <w:vAlign w:val="bottom"/>
          </w:tcPr>
          <w:p w14:paraId="1B1D3E28" w14:textId="1AC09D8C" w:rsidR="00F5219E" w:rsidRPr="00764B63" w:rsidRDefault="00FD58DB" w:rsidP="00F5219E">
            <w:pPr>
              <w:widowControl w:val="0"/>
              <w:spacing w:line="230" w:lineRule="auto"/>
              <w:ind w:left="-108"/>
              <w:jc w:val="right"/>
              <w:rPr>
                <w:sz w:val="14"/>
                <w:szCs w:val="14"/>
              </w:rPr>
            </w:pPr>
            <w:r w:rsidRPr="00764B63">
              <w:rPr>
                <w:sz w:val="14"/>
                <w:szCs w:val="14"/>
              </w:rPr>
              <w:t>3</w:t>
            </w:r>
            <w:r w:rsidR="00451D78" w:rsidRPr="00764B63">
              <w:rPr>
                <w:sz w:val="14"/>
                <w:szCs w:val="14"/>
              </w:rPr>
              <w:t>1</w:t>
            </w:r>
          </w:p>
        </w:tc>
      </w:tr>
      <w:tr w:rsidR="00FD58DB" w:rsidRPr="00AC1668" w14:paraId="281ACED9" w14:textId="77777777" w:rsidTr="001F639E">
        <w:trPr>
          <w:trHeight w:val="113"/>
        </w:trPr>
        <w:tc>
          <w:tcPr>
            <w:tcW w:w="278" w:type="pct"/>
          </w:tcPr>
          <w:p w14:paraId="5BD6E130" w14:textId="77777777" w:rsidR="00FD58DB" w:rsidRPr="00AC1668" w:rsidRDefault="00FD58DB" w:rsidP="00FD58DB">
            <w:pPr>
              <w:widowControl w:val="0"/>
              <w:autoSpaceDE w:val="0"/>
              <w:autoSpaceDN w:val="0"/>
              <w:adjustRightInd w:val="0"/>
              <w:spacing w:line="230" w:lineRule="auto"/>
              <w:ind w:left="-108" w:right="-219"/>
              <w:rPr>
                <w:sz w:val="14"/>
                <w:szCs w:val="14"/>
              </w:rPr>
            </w:pPr>
            <w:r w:rsidRPr="00AC1668">
              <w:rPr>
                <w:sz w:val="14"/>
                <w:szCs w:val="14"/>
              </w:rPr>
              <w:t>XIX.</w:t>
            </w:r>
          </w:p>
        </w:tc>
        <w:tc>
          <w:tcPr>
            <w:tcW w:w="4336" w:type="pct"/>
          </w:tcPr>
          <w:p w14:paraId="5D89D683" w14:textId="77777777" w:rsidR="00FD58DB" w:rsidRPr="00AC1668" w:rsidRDefault="00FD58DB" w:rsidP="00FD58DB">
            <w:pPr>
              <w:widowControl w:val="0"/>
              <w:spacing w:line="230" w:lineRule="auto"/>
              <w:ind w:left="-108"/>
              <w:jc w:val="both"/>
              <w:rPr>
                <w:sz w:val="14"/>
                <w:szCs w:val="14"/>
              </w:rPr>
            </w:pPr>
            <w:r w:rsidRPr="00AC1668">
              <w:rPr>
                <w:sz w:val="14"/>
                <w:szCs w:val="14"/>
              </w:rPr>
              <w:t>Aval ve kabullere ilişkin açıklamalar</w:t>
            </w:r>
          </w:p>
        </w:tc>
        <w:tc>
          <w:tcPr>
            <w:tcW w:w="386" w:type="pct"/>
          </w:tcPr>
          <w:p w14:paraId="0BF744E5" w14:textId="4E6DCE7E" w:rsidR="00FD58DB" w:rsidRPr="00764B63" w:rsidRDefault="00FD58DB" w:rsidP="00FD58DB">
            <w:pPr>
              <w:widowControl w:val="0"/>
              <w:spacing w:line="230" w:lineRule="auto"/>
              <w:ind w:left="-108"/>
              <w:jc w:val="right"/>
              <w:rPr>
                <w:sz w:val="14"/>
                <w:szCs w:val="14"/>
              </w:rPr>
            </w:pPr>
            <w:r w:rsidRPr="00764B63">
              <w:rPr>
                <w:sz w:val="14"/>
                <w:szCs w:val="14"/>
              </w:rPr>
              <w:t>3</w:t>
            </w:r>
            <w:r w:rsidR="00451D78" w:rsidRPr="00764B63">
              <w:rPr>
                <w:sz w:val="14"/>
                <w:szCs w:val="14"/>
              </w:rPr>
              <w:t>1</w:t>
            </w:r>
          </w:p>
        </w:tc>
      </w:tr>
      <w:tr w:rsidR="00FD58DB" w:rsidRPr="00AC1668" w14:paraId="3B4AE487" w14:textId="77777777" w:rsidTr="001F639E">
        <w:trPr>
          <w:trHeight w:val="113"/>
        </w:trPr>
        <w:tc>
          <w:tcPr>
            <w:tcW w:w="278" w:type="pct"/>
          </w:tcPr>
          <w:p w14:paraId="277E2384" w14:textId="77777777" w:rsidR="00FD58DB" w:rsidRPr="00AC1668" w:rsidRDefault="00FD58DB" w:rsidP="00FD58DB">
            <w:pPr>
              <w:widowControl w:val="0"/>
              <w:autoSpaceDE w:val="0"/>
              <w:autoSpaceDN w:val="0"/>
              <w:adjustRightInd w:val="0"/>
              <w:spacing w:line="230" w:lineRule="auto"/>
              <w:ind w:left="-108" w:right="-219"/>
              <w:rPr>
                <w:sz w:val="14"/>
                <w:szCs w:val="14"/>
              </w:rPr>
            </w:pPr>
            <w:r w:rsidRPr="00AC1668">
              <w:rPr>
                <w:sz w:val="14"/>
                <w:szCs w:val="14"/>
              </w:rPr>
              <w:t>XX.</w:t>
            </w:r>
          </w:p>
        </w:tc>
        <w:tc>
          <w:tcPr>
            <w:tcW w:w="4336" w:type="pct"/>
          </w:tcPr>
          <w:p w14:paraId="2D2539C6" w14:textId="77777777" w:rsidR="00FD58DB" w:rsidRPr="00AC1668" w:rsidRDefault="00FD58DB" w:rsidP="00FD58DB">
            <w:pPr>
              <w:widowControl w:val="0"/>
              <w:spacing w:line="230" w:lineRule="auto"/>
              <w:ind w:left="-108"/>
              <w:jc w:val="both"/>
              <w:rPr>
                <w:sz w:val="14"/>
                <w:szCs w:val="14"/>
              </w:rPr>
            </w:pPr>
            <w:r w:rsidRPr="00AC1668">
              <w:rPr>
                <w:sz w:val="14"/>
                <w:szCs w:val="14"/>
              </w:rPr>
              <w:t>Devlet teşviklerine ilişkin açıklamalar</w:t>
            </w:r>
          </w:p>
        </w:tc>
        <w:tc>
          <w:tcPr>
            <w:tcW w:w="386" w:type="pct"/>
          </w:tcPr>
          <w:p w14:paraId="08262AF6" w14:textId="019D7284" w:rsidR="00FD58DB" w:rsidRPr="00764B63" w:rsidRDefault="00FD58DB" w:rsidP="00FD58DB">
            <w:pPr>
              <w:widowControl w:val="0"/>
              <w:spacing w:line="230" w:lineRule="auto"/>
              <w:ind w:left="-108"/>
              <w:jc w:val="right"/>
              <w:rPr>
                <w:sz w:val="14"/>
                <w:szCs w:val="14"/>
              </w:rPr>
            </w:pPr>
            <w:r w:rsidRPr="00764B63">
              <w:rPr>
                <w:sz w:val="14"/>
                <w:szCs w:val="14"/>
              </w:rPr>
              <w:t>3</w:t>
            </w:r>
            <w:r w:rsidR="00451D78" w:rsidRPr="00764B63">
              <w:rPr>
                <w:sz w:val="14"/>
                <w:szCs w:val="14"/>
              </w:rPr>
              <w:t>1</w:t>
            </w:r>
          </w:p>
        </w:tc>
      </w:tr>
      <w:tr w:rsidR="00FD58DB" w:rsidRPr="00AC1668" w14:paraId="4685E420" w14:textId="77777777" w:rsidTr="001F639E">
        <w:trPr>
          <w:trHeight w:val="113"/>
        </w:trPr>
        <w:tc>
          <w:tcPr>
            <w:tcW w:w="278" w:type="pct"/>
          </w:tcPr>
          <w:p w14:paraId="432DDB9F" w14:textId="77777777" w:rsidR="00FD58DB" w:rsidRPr="00AC1668" w:rsidRDefault="00FD58DB" w:rsidP="00FD58DB">
            <w:pPr>
              <w:widowControl w:val="0"/>
              <w:autoSpaceDE w:val="0"/>
              <w:autoSpaceDN w:val="0"/>
              <w:adjustRightInd w:val="0"/>
              <w:spacing w:line="230" w:lineRule="auto"/>
              <w:ind w:left="-108" w:right="-219"/>
              <w:rPr>
                <w:sz w:val="14"/>
                <w:szCs w:val="14"/>
              </w:rPr>
            </w:pPr>
            <w:r w:rsidRPr="00AC1668">
              <w:rPr>
                <w:sz w:val="14"/>
                <w:szCs w:val="14"/>
              </w:rPr>
              <w:t>XXI.</w:t>
            </w:r>
          </w:p>
        </w:tc>
        <w:tc>
          <w:tcPr>
            <w:tcW w:w="4336" w:type="pct"/>
          </w:tcPr>
          <w:p w14:paraId="514F2EAA" w14:textId="7BA752DD" w:rsidR="00FD58DB" w:rsidRPr="00AC1668" w:rsidRDefault="00FD58DB" w:rsidP="00FD58DB">
            <w:pPr>
              <w:widowControl w:val="0"/>
              <w:spacing w:line="230" w:lineRule="auto"/>
              <w:ind w:left="-108"/>
              <w:jc w:val="both"/>
              <w:rPr>
                <w:sz w:val="14"/>
                <w:szCs w:val="14"/>
              </w:rPr>
            </w:pPr>
            <w:bookmarkStart w:id="2" w:name="OLE_LINK2"/>
            <w:r w:rsidRPr="00AC1668">
              <w:rPr>
                <w:sz w:val="14"/>
                <w:szCs w:val="14"/>
              </w:rPr>
              <w:t>Diğer hususlara ilişkin açıklamalar</w:t>
            </w:r>
            <w:bookmarkEnd w:id="2"/>
          </w:p>
        </w:tc>
        <w:tc>
          <w:tcPr>
            <w:tcW w:w="386" w:type="pct"/>
          </w:tcPr>
          <w:p w14:paraId="65BE09AB" w14:textId="7B547C0B" w:rsidR="00FD58DB" w:rsidRPr="00764B63" w:rsidRDefault="00FD58DB" w:rsidP="00FD58DB">
            <w:pPr>
              <w:widowControl w:val="0"/>
              <w:spacing w:line="230" w:lineRule="auto"/>
              <w:ind w:left="-108"/>
              <w:jc w:val="right"/>
              <w:rPr>
                <w:sz w:val="14"/>
                <w:szCs w:val="14"/>
              </w:rPr>
            </w:pPr>
            <w:r w:rsidRPr="00764B63">
              <w:rPr>
                <w:sz w:val="14"/>
                <w:szCs w:val="14"/>
              </w:rPr>
              <w:t>32</w:t>
            </w:r>
          </w:p>
        </w:tc>
      </w:tr>
      <w:tr w:rsidR="009164F9" w:rsidRPr="00AC1668" w14:paraId="010A31A6" w14:textId="77777777" w:rsidTr="009164F9">
        <w:trPr>
          <w:trHeight w:val="113"/>
        </w:trPr>
        <w:tc>
          <w:tcPr>
            <w:tcW w:w="278" w:type="pct"/>
          </w:tcPr>
          <w:p w14:paraId="103213A1" w14:textId="77777777" w:rsidR="006D5B82" w:rsidRPr="00AC1668" w:rsidRDefault="006D5B82" w:rsidP="006D5B82">
            <w:pPr>
              <w:widowControl w:val="0"/>
              <w:autoSpaceDE w:val="0"/>
              <w:autoSpaceDN w:val="0"/>
              <w:adjustRightInd w:val="0"/>
              <w:spacing w:line="230" w:lineRule="auto"/>
              <w:ind w:left="-108" w:right="-219"/>
              <w:rPr>
                <w:sz w:val="14"/>
                <w:szCs w:val="14"/>
              </w:rPr>
            </w:pPr>
          </w:p>
        </w:tc>
        <w:tc>
          <w:tcPr>
            <w:tcW w:w="4336" w:type="pct"/>
          </w:tcPr>
          <w:p w14:paraId="6C27B711" w14:textId="77777777" w:rsidR="006D5B82" w:rsidRPr="00AC1668" w:rsidRDefault="006D5B82" w:rsidP="006D5B82">
            <w:pPr>
              <w:widowControl w:val="0"/>
              <w:spacing w:line="230" w:lineRule="auto"/>
              <w:ind w:left="-108"/>
              <w:jc w:val="both"/>
              <w:rPr>
                <w:sz w:val="14"/>
                <w:szCs w:val="14"/>
              </w:rPr>
            </w:pPr>
          </w:p>
        </w:tc>
        <w:tc>
          <w:tcPr>
            <w:tcW w:w="386" w:type="pct"/>
            <w:vAlign w:val="bottom"/>
          </w:tcPr>
          <w:p w14:paraId="4AA6EE20" w14:textId="77777777" w:rsidR="006D5B82" w:rsidRPr="00764B63" w:rsidRDefault="006D5B82" w:rsidP="00AC57E3">
            <w:pPr>
              <w:widowControl w:val="0"/>
              <w:spacing w:line="230" w:lineRule="auto"/>
              <w:ind w:left="-108"/>
              <w:jc w:val="right"/>
              <w:rPr>
                <w:sz w:val="14"/>
                <w:szCs w:val="14"/>
              </w:rPr>
            </w:pPr>
          </w:p>
        </w:tc>
      </w:tr>
      <w:tr w:rsidR="00BA21DF" w:rsidRPr="00AC1668" w14:paraId="71E2E5A6" w14:textId="2C927182" w:rsidTr="00BA21DF">
        <w:tc>
          <w:tcPr>
            <w:tcW w:w="4614" w:type="pct"/>
            <w:gridSpan w:val="2"/>
            <w:vAlign w:val="center"/>
          </w:tcPr>
          <w:p w14:paraId="37EF497C" w14:textId="208A2516" w:rsidR="00BA21DF" w:rsidRPr="00AC1668" w:rsidRDefault="00BA21DF" w:rsidP="00267780">
            <w:pPr>
              <w:widowControl w:val="0"/>
              <w:spacing w:line="230" w:lineRule="auto"/>
              <w:ind w:left="-108"/>
              <w:jc w:val="center"/>
              <w:rPr>
                <w:b/>
                <w:sz w:val="14"/>
                <w:szCs w:val="14"/>
              </w:rPr>
            </w:pPr>
            <w:r w:rsidRPr="00AC1668">
              <w:rPr>
                <w:b/>
                <w:sz w:val="14"/>
                <w:szCs w:val="14"/>
              </w:rPr>
              <w:t>Dördüncü Bölüm</w:t>
            </w:r>
          </w:p>
        </w:tc>
        <w:tc>
          <w:tcPr>
            <w:tcW w:w="386" w:type="pct"/>
            <w:vAlign w:val="center"/>
          </w:tcPr>
          <w:p w14:paraId="091962AB" w14:textId="77777777" w:rsidR="00BA21DF" w:rsidRPr="00764B63" w:rsidRDefault="00BA21DF" w:rsidP="00BA21DF">
            <w:pPr>
              <w:widowControl w:val="0"/>
              <w:spacing w:line="230" w:lineRule="auto"/>
              <w:jc w:val="center"/>
              <w:rPr>
                <w:b/>
                <w:sz w:val="14"/>
                <w:szCs w:val="14"/>
              </w:rPr>
            </w:pPr>
          </w:p>
        </w:tc>
      </w:tr>
      <w:tr w:rsidR="00BA21DF" w:rsidRPr="00AC1668" w14:paraId="139AD083" w14:textId="29A051FF" w:rsidTr="00BA21DF">
        <w:tc>
          <w:tcPr>
            <w:tcW w:w="4614" w:type="pct"/>
            <w:gridSpan w:val="2"/>
            <w:vAlign w:val="center"/>
          </w:tcPr>
          <w:p w14:paraId="5C2F09E0" w14:textId="658F5907" w:rsidR="00BA21DF" w:rsidRPr="00AC1668" w:rsidRDefault="00BA21DF" w:rsidP="00267780">
            <w:pPr>
              <w:widowControl w:val="0"/>
              <w:spacing w:line="230" w:lineRule="auto"/>
              <w:ind w:left="-108"/>
              <w:jc w:val="center"/>
              <w:rPr>
                <w:sz w:val="14"/>
                <w:szCs w:val="14"/>
              </w:rPr>
            </w:pPr>
            <w:r w:rsidRPr="00AC1668">
              <w:rPr>
                <w:b/>
                <w:sz w:val="14"/>
                <w:szCs w:val="14"/>
              </w:rPr>
              <w:t>Mali Bünyeye ve Risk Yönetimine İlişkin Bilgiler</w:t>
            </w:r>
          </w:p>
        </w:tc>
        <w:tc>
          <w:tcPr>
            <w:tcW w:w="386" w:type="pct"/>
            <w:vAlign w:val="center"/>
          </w:tcPr>
          <w:p w14:paraId="06766D25" w14:textId="77777777" w:rsidR="00BA21DF" w:rsidRPr="00764B63" w:rsidRDefault="00BA21DF" w:rsidP="00BA21DF">
            <w:pPr>
              <w:widowControl w:val="0"/>
              <w:spacing w:line="230" w:lineRule="auto"/>
              <w:jc w:val="center"/>
              <w:rPr>
                <w:sz w:val="14"/>
                <w:szCs w:val="14"/>
              </w:rPr>
            </w:pPr>
          </w:p>
        </w:tc>
      </w:tr>
      <w:tr w:rsidR="006D5B82" w:rsidRPr="00AC1668" w14:paraId="70ADAC10" w14:textId="77777777" w:rsidTr="009164F9">
        <w:tc>
          <w:tcPr>
            <w:tcW w:w="4614" w:type="pct"/>
            <w:gridSpan w:val="2"/>
          </w:tcPr>
          <w:p w14:paraId="353DE7EA" w14:textId="77777777" w:rsidR="006D5B82" w:rsidRPr="00AC1668" w:rsidRDefault="006D5B82" w:rsidP="006D5B82">
            <w:pPr>
              <w:widowControl w:val="0"/>
              <w:spacing w:line="230" w:lineRule="auto"/>
              <w:ind w:left="-108"/>
              <w:rPr>
                <w:b/>
                <w:sz w:val="14"/>
                <w:szCs w:val="14"/>
              </w:rPr>
            </w:pPr>
          </w:p>
        </w:tc>
        <w:tc>
          <w:tcPr>
            <w:tcW w:w="386" w:type="pct"/>
            <w:vAlign w:val="bottom"/>
          </w:tcPr>
          <w:p w14:paraId="22F6C9EF" w14:textId="77777777" w:rsidR="006D5B82" w:rsidRPr="00764B63" w:rsidRDefault="006D5B82" w:rsidP="00AC57E3">
            <w:pPr>
              <w:widowControl w:val="0"/>
              <w:spacing w:line="230" w:lineRule="auto"/>
              <w:ind w:left="-108"/>
              <w:jc w:val="right"/>
              <w:rPr>
                <w:sz w:val="14"/>
                <w:szCs w:val="14"/>
              </w:rPr>
            </w:pPr>
          </w:p>
        </w:tc>
      </w:tr>
      <w:tr w:rsidR="00F5219E" w:rsidRPr="00AC1668" w14:paraId="5872908E" w14:textId="77777777" w:rsidTr="009164F9">
        <w:tc>
          <w:tcPr>
            <w:tcW w:w="278" w:type="pct"/>
          </w:tcPr>
          <w:p w14:paraId="51AEE4A3" w14:textId="77777777" w:rsidR="00F5219E" w:rsidRPr="00AC1668" w:rsidRDefault="00F5219E" w:rsidP="00F5219E">
            <w:pPr>
              <w:widowControl w:val="0"/>
              <w:autoSpaceDE w:val="0"/>
              <w:autoSpaceDN w:val="0"/>
              <w:adjustRightInd w:val="0"/>
              <w:spacing w:line="230" w:lineRule="auto"/>
              <w:ind w:left="-108" w:right="-162"/>
              <w:rPr>
                <w:sz w:val="14"/>
                <w:szCs w:val="14"/>
              </w:rPr>
            </w:pPr>
            <w:r w:rsidRPr="00AC1668">
              <w:rPr>
                <w:sz w:val="14"/>
                <w:szCs w:val="14"/>
              </w:rPr>
              <w:t>I.</w:t>
            </w:r>
          </w:p>
        </w:tc>
        <w:tc>
          <w:tcPr>
            <w:tcW w:w="4336" w:type="pct"/>
          </w:tcPr>
          <w:p w14:paraId="3D8620C0" w14:textId="0A732602" w:rsidR="00F5219E" w:rsidRPr="00AC1668" w:rsidRDefault="00F5219E" w:rsidP="00F5219E">
            <w:pPr>
              <w:widowControl w:val="0"/>
              <w:autoSpaceDE w:val="0"/>
              <w:autoSpaceDN w:val="0"/>
              <w:adjustRightInd w:val="0"/>
              <w:spacing w:line="230" w:lineRule="auto"/>
              <w:ind w:left="-108" w:right="-162"/>
              <w:jc w:val="both"/>
              <w:rPr>
                <w:sz w:val="14"/>
                <w:szCs w:val="14"/>
              </w:rPr>
            </w:pPr>
            <w:r w:rsidRPr="00AC1668">
              <w:rPr>
                <w:sz w:val="14"/>
                <w:szCs w:val="14"/>
              </w:rPr>
              <w:t>Özkaynak kalemlerine ilişkin açıklamalar</w:t>
            </w:r>
          </w:p>
        </w:tc>
        <w:tc>
          <w:tcPr>
            <w:tcW w:w="386" w:type="pct"/>
            <w:vAlign w:val="bottom"/>
          </w:tcPr>
          <w:p w14:paraId="5DA32FED" w14:textId="55C9B798" w:rsidR="00F5219E" w:rsidRPr="00764B63" w:rsidRDefault="00FD58DB" w:rsidP="00F5219E">
            <w:pPr>
              <w:widowControl w:val="0"/>
              <w:spacing w:line="230" w:lineRule="auto"/>
              <w:ind w:left="-108"/>
              <w:jc w:val="right"/>
              <w:rPr>
                <w:sz w:val="14"/>
                <w:szCs w:val="14"/>
              </w:rPr>
            </w:pPr>
            <w:r w:rsidRPr="00764B63">
              <w:rPr>
                <w:sz w:val="14"/>
                <w:szCs w:val="14"/>
              </w:rPr>
              <w:t>3</w:t>
            </w:r>
            <w:r w:rsidR="00451D78" w:rsidRPr="00764B63">
              <w:rPr>
                <w:sz w:val="14"/>
                <w:szCs w:val="14"/>
              </w:rPr>
              <w:t>3</w:t>
            </w:r>
          </w:p>
        </w:tc>
      </w:tr>
      <w:tr w:rsidR="00F5219E" w:rsidRPr="00AC1668" w14:paraId="6456185A" w14:textId="77777777" w:rsidTr="009164F9">
        <w:tc>
          <w:tcPr>
            <w:tcW w:w="278" w:type="pct"/>
          </w:tcPr>
          <w:p w14:paraId="3E208249" w14:textId="77777777" w:rsidR="00F5219E" w:rsidRPr="00AC1668" w:rsidRDefault="00F5219E" w:rsidP="00F5219E">
            <w:pPr>
              <w:widowControl w:val="0"/>
              <w:autoSpaceDE w:val="0"/>
              <w:autoSpaceDN w:val="0"/>
              <w:adjustRightInd w:val="0"/>
              <w:spacing w:line="230" w:lineRule="auto"/>
              <w:ind w:left="-108" w:right="-162"/>
              <w:rPr>
                <w:sz w:val="14"/>
                <w:szCs w:val="14"/>
              </w:rPr>
            </w:pPr>
            <w:r w:rsidRPr="00AC1668">
              <w:rPr>
                <w:sz w:val="14"/>
                <w:szCs w:val="14"/>
              </w:rPr>
              <w:t>II.</w:t>
            </w:r>
          </w:p>
        </w:tc>
        <w:tc>
          <w:tcPr>
            <w:tcW w:w="4336" w:type="pct"/>
          </w:tcPr>
          <w:p w14:paraId="0032F72D" w14:textId="77777777" w:rsidR="00F5219E" w:rsidRPr="00AC1668" w:rsidRDefault="00F5219E" w:rsidP="00F5219E">
            <w:pPr>
              <w:widowControl w:val="0"/>
              <w:autoSpaceDE w:val="0"/>
              <w:autoSpaceDN w:val="0"/>
              <w:adjustRightInd w:val="0"/>
              <w:spacing w:line="230" w:lineRule="auto"/>
              <w:ind w:left="-108"/>
              <w:jc w:val="both"/>
              <w:rPr>
                <w:sz w:val="14"/>
                <w:szCs w:val="14"/>
              </w:rPr>
            </w:pPr>
            <w:r w:rsidRPr="00AC1668">
              <w:rPr>
                <w:sz w:val="14"/>
                <w:szCs w:val="14"/>
              </w:rPr>
              <w:t>Kredi riskine ilişkin açıklamalar</w:t>
            </w:r>
          </w:p>
        </w:tc>
        <w:tc>
          <w:tcPr>
            <w:tcW w:w="386" w:type="pct"/>
            <w:vAlign w:val="bottom"/>
          </w:tcPr>
          <w:p w14:paraId="3E4125DB" w14:textId="007C35A0" w:rsidR="00F5219E" w:rsidRPr="00764B63" w:rsidRDefault="00BA21DF" w:rsidP="00F5219E">
            <w:pPr>
              <w:widowControl w:val="0"/>
              <w:tabs>
                <w:tab w:val="left" w:pos="228"/>
              </w:tabs>
              <w:autoSpaceDE w:val="0"/>
              <w:autoSpaceDN w:val="0"/>
              <w:adjustRightInd w:val="0"/>
              <w:spacing w:line="230" w:lineRule="auto"/>
              <w:ind w:left="-108"/>
              <w:jc w:val="right"/>
              <w:rPr>
                <w:sz w:val="14"/>
                <w:szCs w:val="14"/>
              </w:rPr>
            </w:pPr>
            <w:r w:rsidRPr="00764B63">
              <w:rPr>
                <w:sz w:val="14"/>
                <w:szCs w:val="14"/>
              </w:rPr>
              <w:t>36</w:t>
            </w:r>
          </w:p>
        </w:tc>
      </w:tr>
      <w:tr w:rsidR="00F5219E" w:rsidRPr="00AC1668" w14:paraId="409B7B56" w14:textId="77777777" w:rsidTr="009164F9">
        <w:tc>
          <w:tcPr>
            <w:tcW w:w="278" w:type="pct"/>
          </w:tcPr>
          <w:p w14:paraId="376F6FBA" w14:textId="0BBC9752" w:rsidR="00F5219E" w:rsidRPr="00AC1668" w:rsidRDefault="00F5219E" w:rsidP="00F5219E">
            <w:pPr>
              <w:widowControl w:val="0"/>
              <w:autoSpaceDE w:val="0"/>
              <w:autoSpaceDN w:val="0"/>
              <w:adjustRightInd w:val="0"/>
              <w:spacing w:line="230" w:lineRule="auto"/>
              <w:ind w:left="-108" w:right="-162"/>
              <w:rPr>
                <w:sz w:val="14"/>
                <w:szCs w:val="14"/>
              </w:rPr>
            </w:pPr>
            <w:r w:rsidRPr="00AC1668">
              <w:rPr>
                <w:sz w:val="14"/>
                <w:szCs w:val="14"/>
              </w:rPr>
              <w:t>III.</w:t>
            </w:r>
          </w:p>
        </w:tc>
        <w:tc>
          <w:tcPr>
            <w:tcW w:w="4336" w:type="pct"/>
          </w:tcPr>
          <w:p w14:paraId="491E16AD" w14:textId="049928B4" w:rsidR="00F5219E" w:rsidRPr="00AC1668" w:rsidRDefault="00F5219E" w:rsidP="00F5219E">
            <w:pPr>
              <w:widowControl w:val="0"/>
              <w:autoSpaceDE w:val="0"/>
              <w:autoSpaceDN w:val="0"/>
              <w:adjustRightInd w:val="0"/>
              <w:spacing w:line="230" w:lineRule="auto"/>
              <w:ind w:left="-108"/>
              <w:jc w:val="both"/>
              <w:rPr>
                <w:sz w:val="14"/>
                <w:szCs w:val="14"/>
              </w:rPr>
            </w:pPr>
            <w:r w:rsidRPr="00AC1668">
              <w:rPr>
                <w:sz w:val="14"/>
                <w:szCs w:val="14"/>
              </w:rPr>
              <w:t>Kur riskine ilişkin açıklamalar</w:t>
            </w:r>
          </w:p>
        </w:tc>
        <w:tc>
          <w:tcPr>
            <w:tcW w:w="386" w:type="pct"/>
            <w:vAlign w:val="bottom"/>
          </w:tcPr>
          <w:p w14:paraId="2258B81A" w14:textId="4A398724" w:rsidR="00F5219E" w:rsidRPr="00764B63" w:rsidRDefault="00BA21DF" w:rsidP="00F5219E">
            <w:pPr>
              <w:widowControl w:val="0"/>
              <w:tabs>
                <w:tab w:val="left" w:pos="228"/>
              </w:tabs>
              <w:autoSpaceDE w:val="0"/>
              <w:autoSpaceDN w:val="0"/>
              <w:adjustRightInd w:val="0"/>
              <w:spacing w:line="230" w:lineRule="auto"/>
              <w:ind w:left="-108"/>
              <w:jc w:val="right"/>
              <w:rPr>
                <w:sz w:val="14"/>
                <w:szCs w:val="14"/>
              </w:rPr>
            </w:pPr>
            <w:r w:rsidRPr="00764B63">
              <w:rPr>
                <w:sz w:val="14"/>
                <w:szCs w:val="14"/>
              </w:rPr>
              <w:t>47</w:t>
            </w:r>
          </w:p>
        </w:tc>
      </w:tr>
      <w:tr w:rsidR="00F5219E" w:rsidRPr="00AC1668" w14:paraId="11C7E8BB" w14:textId="77777777" w:rsidTr="009164F9">
        <w:tc>
          <w:tcPr>
            <w:tcW w:w="278" w:type="pct"/>
          </w:tcPr>
          <w:p w14:paraId="64529155" w14:textId="420A741C" w:rsidR="00F5219E" w:rsidRPr="00AC1668" w:rsidRDefault="00F5219E" w:rsidP="00F5219E">
            <w:pPr>
              <w:widowControl w:val="0"/>
              <w:autoSpaceDE w:val="0"/>
              <w:autoSpaceDN w:val="0"/>
              <w:adjustRightInd w:val="0"/>
              <w:spacing w:line="230" w:lineRule="auto"/>
              <w:ind w:left="-108" w:right="-162"/>
              <w:rPr>
                <w:sz w:val="14"/>
                <w:szCs w:val="14"/>
              </w:rPr>
            </w:pPr>
            <w:r w:rsidRPr="00AC1668">
              <w:rPr>
                <w:sz w:val="14"/>
                <w:szCs w:val="14"/>
              </w:rPr>
              <w:t>IV.</w:t>
            </w:r>
          </w:p>
        </w:tc>
        <w:tc>
          <w:tcPr>
            <w:tcW w:w="4336" w:type="pct"/>
          </w:tcPr>
          <w:p w14:paraId="4E9E53E7" w14:textId="02BB2895" w:rsidR="00F5219E" w:rsidRPr="00AC1668" w:rsidRDefault="00F5219E" w:rsidP="00F5219E">
            <w:pPr>
              <w:widowControl w:val="0"/>
              <w:autoSpaceDE w:val="0"/>
              <w:autoSpaceDN w:val="0"/>
              <w:adjustRightInd w:val="0"/>
              <w:spacing w:line="230" w:lineRule="auto"/>
              <w:ind w:left="-108"/>
              <w:jc w:val="both"/>
              <w:rPr>
                <w:sz w:val="14"/>
                <w:szCs w:val="14"/>
              </w:rPr>
            </w:pPr>
            <w:r w:rsidRPr="00AC1668">
              <w:rPr>
                <w:sz w:val="14"/>
                <w:szCs w:val="14"/>
              </w:rPr>
              <w:t>Bankacılık hesaplarından kaynaklanan hisse senedi pozisyon riskine ilişkin açıklamalar</w:t>
            </w:r>
          </w:p>
        </w:tc>
        <w:tc>
          <w:tcPr>
            <w:tcW w:w="386" w:type="pct"/>
            <w:vAlign w:val="bottom"/>
          </w:tcPr>
          <w:p w14:paraId="2B059F95" w14:textId="0FC1F0A5" w:rsidR="00F5219E" w:rsidRPr="00764B63" w:rsidRDefault="00BA21DF" w:rsidP="00F5219E">
            <w:pPr>
              <w:widowControl w:val="0"/>
              <w:tabs>
                <w:tab w:val="left" w:pos="228"/>
              </w:tabs>
              <w:autoSpaceDE w:val="0"/>
              <w:autoSpaceDN w:val="0"/>
              <w:adjustRightInd w:val="0"/>
              <w:spacing w:line="230" w:lineRule="auto"/>
              <w:ind w:left="-108"/>
              <w:jc w:val="right"/>
              <w:rPr>
                <w:sz w:val="14"/>
                <w:szCs w:val="14"/>
              </w:rPr>
            </w:pPr>
            <w:r w:rsidRPr="00764B63">
              <w:rPr>
                <w:sz w:val="14"/>
                <w:szCs w:val="14"/>
              </w:rPr>
              <w:t>50</w:t>
            </w:r>
          </w:p>
        </w:tc>
      </w:tr>
      <w:tr w:rsidR="00F5219E" w:rsidRPr="00AC1668" w14:paraId="18674694" w14:textId="77777777" w:rsidTr="009164F9">
        <w:tc>
          <w:tcPr>
            <w:tcW w:w="278" w:type="pct"/>
          </w:tcPr>
          <w:p w14:paraId="3D37F9FE" w14:textId="17F93C95" w:rsidR="00F5219E" w:rsidRPr="00AC1668" w:rsidRDefault="00F5219E" w:rsidP="00F5219E">
            <w:pPr>
              <w:widowControl w:val="0"/>
              <w:autoSpaceDE w:val="0"/>
              <w:autoSpaceDN w:val="0"/>
              <w:adjustRightInd w:val="0"/>
              <w:spacing w:line="230" w:lineRule="auto"/>
              <w:ind w:left="-108" w:right="-162"/>
              <w:rPr>
                <w:sz w:val="14"/>
                <w:szCs w:val="14"/>
              </w:rPr>
            </w:pPr>
            <w:r w:rsidRPr="00AC1668">
              <w:rPr>
                <w:sz w:val="14"/>
                <w:szCs w:val="14"/>
              </w:rPr>
              <w:t>V.</w:t>
            </w:r>
          </w:p>
        </w:tc>
        <w:tc>
          <w:tcPr>
            <w:tcW w:w="4336" w:type="pct"/>
          </w:tcPr>
          <w:p w14:paraId="277E579F" w14:textId="61108F87" w:rsidR="00F5219E" w:rsidRPr="00AC1668" w:rsidRDefault="00F5219E" w:rsidP="00F5219E">
            <w:pPr>
              <w:widowControl w:val="0"/>
              <w:autoSpaceDE w:val="0"/>
              <w:autoSpaceDN w:val="0"/>
              <w:adjustRightInd w:val="0"/>
              <w:spacing w:line="230" w:lineRule="auto"/>
              <w:ind w:left="-108"/>
              <w:jc w:val="both"/>
              <w:rPr>
                <w:sz w:val="14"/>
                <w:szCs w:val="14"/>
              </w:rPr>
            </w:pPr>
            <w:r w:rsidRPr="00AC1668">
              <w:rPr>
                <w:sz w:val="14"/>
                <w:szCs w:val="14"/>
              </w:rPr>
              <w:t>Likidite riskine ilişkin açıklamalar</w:t>
            </w:r>
          </w:p>
        </w:tc>
        <w:tc>
          <w:tcPr>
            <w:tcW w:w="386" w:type="pct"/>
            <w:vAlign w:val="bottom"/>
          </w:tcPr>
          <w:p w14:paraId="34F43A24" w14:textId="5151FFA3" w:rsidR="00F5219E" w:rsidRPr="00764B63" w:rsidRDefault="00BA21DF" w:rsidP="00F5219E">
            <w:pPr>
              <w:widowControl w:val="0"/>
              <w:tabs>
                <w:tab w:val="left" w:pos="228"/>
              </w:tabs>
              <w:autoSpaceDE w:val="0"/>
              <w:autoSpaceDN w:val="0"/>
              <w:adjustRightInd w:val="0"/>
              <w:spacing w:line="230" w:lineRule="auto"/>
              <w:ind w:left="-108"/>
              <w:jc w:val="right"/>
              <w:rPr>
                <w:sz w:val="14"/>
                <w:szCs w:val="14"/>
              </w:rPr>
            </w:pPr>
            <w:r w:rsidRPr="00764B63">
              <w:rPr>
                <w:sz w:val="14"/>
                <w:szCs w:val="14"/>
              </w:rPr>
              <w:t>50</w:t>
            </w:r>
          </w:p>
        </w:tc>
      </w:tr>
      <w:tr w:rsidR="00F5219E" w:rsidRPr="00AC1668" w14:paraId="2667D2A2" w14:textId="77777777" w:rsidTr="009164F9">
        <w:tc>
          <w:tcPr>
            <w:tcW w:w="278" w:type="pct"/>
          </w:tcPr>
          <w:p w14:paraId="4D0B6AE4" w14:textId="41511994" w:rsidR="00F5219E" w:rsidRPr="00AC1668" w:rsidRDefault="00F5219E" w:rsidP="00F5219E">
            <w:pPr>
              <w:widowControl w:val="0"/>
              <w:autoSpaceDE w:val="0"/>
              <w:autoSpaceDN w:val="0"/>
              <w:adjustRightInd w:val="0"/>
              <w:spacing w:line="230" w:lineRule="auto"/>
              <w:ind w:left="-108" w:right="-162"/>
              <w:rPr>
                <w:sz w:val="14"/>
                <w:szCs w:val="14"/>
              </w:rPr>
            </w:pPr>
            <w:r w:rsidRPr="00AC1668">
              <w:rPr>
                <w:sz w:val="14"/>
                <w:szCs w:val="14"/>
              </w:rPr>
              <w:t>VI.</w:t>
            </w:r>
          </w:p>
        </w:tc>
        <w:tc>
          <w:tcPr>
            <w:tcW w:w="4336" w:type="pct"/>
          </w:tcPr>
          <w:p w14:paraId="4A107F79" w14:textId="3D5C746E" w:rsidR="00F5219E" w:rsidRPr="00AC1668" w:rsidRDefault="00F5219E" w:rsidP="00F5219E">
            <w:pPr>
              <w:widowControl w:val="0"/>
              <w:autoSpaceDE w:val="0"/>
              <w:autoSpaceDN w:val="0"/>
              <w:adjustRightInd w:val="0"/>
              <w:spacing w:line="230" w:lineRule="auto"/>
              <w:ind w:left="-108"/>
              <w:jc w:val="both"/>
              <w:rPr>
                <w:sz w:val="14"/>
                <w:szCs w:val="14"/>
              </w:rPr>
            </w:pPr>
            <w:r w:rsidRPr="00AC1668">
              <w:rPr>
                <w:sz w:val="14"/>
                <w:szCs w:val="14"/>
              </w:rPr>
              <w:t>Kaldıraç oranına ilişkin açıklamalar</w:t>
            </w:r>
          </w:p>
        </w:tc>
        <w:tc>
          <w:tcPr>
            <w:tcW w:w="386" w:type="pct"/>
            <w:vAlign w:val="bottom"/>
          </w:tcPr>
          <w:p w14:paraId="75F72C35" w14:textId="6533D092" w:rsidR="00F5219E" w:rsidRPr="00764B63" w:rsidRDefault="00BA21DF" w:rsidP="00F5219E">
            <w:pPr>
              <w:widowControl w:val="0"/>
              <w:autoSpaceDE w:val="0"/>
              <w:autoSpaceDN w:val="0"/>
              <w:adjustRightInd w:val="0"/>
              <w:spacing w:line="230" w:lineRule="auto"/>
              <w:ind w:left="-108"/>
              <w:jc w:val="right"/>
              <w:rPr>
                <w:sz w:val="14"/>
                <w:szCs w:val="14"/>
              </w:rPr>
            </w:pPr>
            <w:r w:rsidRPr="00764B63">
              <w:rPr>
                <w:sz w:val="14"/>
                <w:szCs w:val="14"/>
              </w:rPr>
              <w:t>56</w:t>
            </w:r>
          </w:p>
        </w:tc>
      </w:tr>
      <w:tr w:rsidR="00F5219E" w:rsidRPr="00AC1668" w14:paraId="6B366064" w14:textId="77777777" w:rsidTr="009164F9">
        <w:tc>
          <w:tcPr>
            <w:tcW w:w="278" w:type="pct"/>
          </w:tcPr>
          <w:p w14:paraId="7808618C" w14:textId="75F87B49" w:rsidR="00F5219E" w:rsidRPr="00AC1668" w:rsidRDefault="00F5219E" w:rsidP="00F5219E">
            <w:pPr>
              <w:widowControl w:val="0"/>
              <w:autoSpaceDE w:val="0"/>
              <w:autoSpaceDN w:val="0"/>
              <w:adjustRightInd w:val="0"/>
              <w:spacing w:line="230" w:lineRule="auto"/>
              <w:ind w:left="-108" w:right="-162"/>
              <w:rPr>
                <w:sz w:val="14"/>
                <w:szCs w:val="14"/>
              </w:rPr>
            </w:pPr>
            <w:r w:rsidRPr="00AC1668">
              <w:rPr>
                <w:sz w:val="14"/>
                <w:szCs w:val="14"/>
              </w:rPr>
              <w:t>VII.</w:t>
            </w:r>
          </w:p>
        </w:tc>
        <w:tc>
          <w:tcPr>
            <w:tcW w:w="4336" w:type="pct"/>
          </w:tcPr>
          <w:p w14:paraId="749329BF" w14:textId="033969B0" w:rsidR="00F5219E" w:rsidRPr="00AC1668" w:rsidRDefault="00F5219E" w:rsidP="00F5219E">
            <w:pPr>
              <w:widowControl w:val="0"/>
              <w:autoSpaceDE w:val="0"/>
              <w:autoSpaceDN w:val="0"/>
              <w:adjustRightInd w:val="0"/>
              <w:spacing w:line="230" w:lineRule="auto"/>
              <w:ind w:left="-108"/>
              <w:jc w:val="both"/>
              <w:rPr>
                <w:sz w:val="14"/>
                <w:szCs w:val="14"/>
              </w:rPr>
            </w:pPr>
            <w:r w:rsidRPr="00AC1668">
              <w:rPr>
                <w:sz w:val="14"/>
                <w:szCs w:val="14"/>
              </w:rPr>
              <w:t>Finansal varlık ve borçların gerçeğe uygun değeri ile gösterilmesine ilişkin açıklamalar</w:t>
            </w:r>
          </w:p>
        </w:tc>
        <w:tc>
          <w:tcPr>
            <w:tcW w:w="386" w:type="pct"/>
            <w:vAlign w:val="bottom"/>
          </w:tcPr>
          <w:p w14:paraId="4CB5882F" w14:textId="4DB72303" w:rsidR="00F5219E" w:rsidRPr="00764B63" w:rsidRDefault="00BA21DF" w:rsidP="00F5219E">
            <w:pPr>
              <w:widowControl w:val="0"/>
              <w:autoSpaceDE w:val="0"/>
              <w:autoSpaceDN w:val="0"/>
              <w:adjustRightInd w:val="0"/>
              <w:spacing w:line="230" w:lineRule="auto"/>
              <w:ind w:left="-108"/>
              <w:jc w:val="right"/>
              <w:rPr>
                <w:sz w:val="14"/>
                <w:szCs w:val="14"/>
              </w:rPr>
            </w:pPr>
            <w:r w:rsidRPr="00764B63">
              <w:rPr>
                <w:sz w:val="14"/>
                <w:szCs w:val="14"/>
              </w:rPr>
              <w:t>57</w:t>
            </w:r>
          </w:p>
        </w:tc>
      </w:tr>
      <w:tr w:rsidR="00F5219E" w:rsidRPr="00AC1668" w14:paraId="1AC2CF76" w14:textId="77777777" w:rsidTr="009164F9">
        <w:tc>
          <w:tcPr>
            <w:tcW w:w="278" w:type="pct"/>
          </w:tcPr>
          <w:p w14:paraId="201CDD0F" w14:textId="54715B45" w:rsidR="00F5219E" w:rsidRPr="00AC1668" w:rsidRDefault="00F5219E" w:rsidP="00F5219E">
            <w:pPr>
              <w:widowControl w:val="0"/>
              <w:autoSpaceDE w:val="0"/>
              <w:autoSpaceDN w:val="0"/>
              <w:adjustRightInd w:val="0"/>
              <w:spacing w:line="230" w:lineRule="auto"/>
              <w:ind w:left="-108" w:right="-162"/>
              <w:rPr>
                <w:sz w:val="14"/>
                <w:szCs w:val="14"/>
              </w:rPr>
            </w:pPr>
            <w:r w:rsidRPr="00AC1668">
              <w:rPr>
                <w:sz w:val="14"/>
                <w:szCs w:val="14"/>
              </w:rPr>
              <w:t>VIII.</w:t>
            </w:r>
          </w:p>
        </w:tc>
        <w:tc>
          <w:tcPr>
            <w:tcW w:w="4336" w:type="pct"/>
          </w:tcPr>
          <w:p w14:paraId="0E593E53" w14:textId="4C9849B9" w:rsidR="00F5219E" w:rsidRPr="00AC1668" w:rsidRDefault="00F5219E" w:rsidP="00F5219E">
            <w:pPr>
              <w:widowControl w:val="0"/>
              <w:autoSpaceDE w:val="0"/>
              <w:autoSpaceDN w:val="0"/>
              <w:adjustRightInd w:val="0"/>
              <w:spacing w:line="230" w:lineRule="auto"/>
              <w:ind w:left="-108"/>
              <w:jc w:val="both"/>
              <w:rPr>
                <w:b/>
                <w:sz w:val="14"/>
                <w:szCs w:val="14"/>
              </w:rPr>
            </w:pPr>
            <w:r w:rsidRPr="00AC1668">
              <w:rPr>
                <w:sz w:val="14"/>
                <w:szCs w:val="14"/>
              </w:rPr>
              <w:t>Başkalarının nam ve hesabına yapılan işlemler, inanca dayalı işlemlere ilişkin açıklamalar</w:t>
            </w:r>
          </w:p>
        </w:tc>
        <w:tc>
          <w:tcPr>
            <w:tcW w:w="386" w:type="pct"/>
            <w:vAlign w:val="bottom"/>
          </w:tcPr>
          <w:p w14:paraId="10B8C0A2" w14:textId="0A98140C" w:rsidR="00F5219E" w:rsidRPr="00764B63" w:rsidRDefault="00BA21DF" w:rsidP="00F5219E">
            <w:pPr>
              <w:widowControl w:val="0"/>
              <w:autoSpaceDE w:val="0"/>
              <w:autoSpaceDN w:val="0"/>
              <w:adjustRightInd w:val="0"/>
              <w:spacing w:line="230" w:lineRule="auto"/>
              <w:ind w:left="-108"/>
              <w:jc w:val="right"/>
              <w:rPr>
                <w:sz w:val="14"/>
                <w:szCs w:val="14"/>
              </w:rPr>
            </w:pPr>
            <w:r w:rsidRPr="00764B63">
              <w:rPr>
                <w:sz w:val="14"/>
                <w:szCs w:val="14"/>
              </w:rPr>
              <w:t>58</w:t>
            </w:r>
          </w:p>
        </w:tc>
      </w:tr>
      <w:tr w:rsidR="00F5219E" w:rsidRPr="00AC1668" w14:paraId="73F37754" w14:textId="77777777" w:rsidTr="009164F9">
        <w:tc>
          <w:tcPr>
            <w:tcW w:w="278" w:type="pct"/>
          </w:tcPr>
          <w:p w14:paraId="3E9D95B8" w14:textId="49E7EB0B" w:rsidR="00F5219E" w:rsidRPr="00AC1668" w:rsidRDefault="00F5219E" w:rsidP="00F5219E">
            <w:pPr>
              <w:widowControl w:val="0"/>
              <w:autoSpaceDE w:val="0"/>
              <w:autoSpaceDN w:val="0"/>
              <w:adjustRightInd w:val="0"/>
              <w:spacing w:line="230" w:lineRule="auto"/>
              <w:ind w:left="-108" w:right="-162"/>
              <w:rPr>
                <w:sz w:val="14"/>
                <w:szCs w:val="14"/>
              </w:rPr>
            </w:pPr>
            <w:r w:rsidRPr="00AC1668">
              <w:rPr>
                <w:sz w:val="14"/>
                <w:szCs w:val="14"/>
              </w:rPr>
              <w:t>IX.</w:t>
            </w:r>
          </w:p>
        </w:tc>
        <w:tc>
          <w:tcPr>
            <w:tcW w:w="4336" w:type="pct"/>
          </w:tcPr>
          <w:p w14:paraId="3E8581FF" w14:textId="09510E50" w:rsidR="00F5219E" w:rsidRPr="00AC1668" w:rsidRDefault="00F5219E" w:rsidP="00F5219E">
            <w:pPr>
              <w:widowControl w:val="0"/>
              <w:autoSpaceDE w:val="0"/>
              <w:autoSpaceDN w:val="0"/>
              <w:adjustRightInd w:val="0"/>
              <w:spacing w:line="230" w:lineRule="auto"/>
              <w:ind w:left="-108"/>
              <w:jc w:val="both"/>
              <w:rPr>
                <w:sz w:val="14"/>
                <w:szCs w:val="14"/>
              </w:rPr>
            </w:pPr>
            <w:r w:rsidRPr="00AC1668">
              <w:rPr>
                <w:sz w:val="14"/>
                <w:szCs w:val="14"/>
              </w:rPr>
              <w:t>Risk yönetimine ilişkin açıklamalar</w:t>
            </w:r>
          </w:p>
        </w:tc>
        <w:tc>
          <w:tcPr>
            <w:tcW w:w="386" w:type="pct"/>
            <w:vAlign w:val="bottom"/>
          </w:tcPr>
          <w:p w14:paraId="22D8D86C" w14:textId="53901157" w:rsidR="00F5219E" w:rsidRPr="00764B63" w:rsidRDefault="00BA21DF" w:rsidP="00F5219E">
            <w:pPr>
              <w:widowControl w:val="0"/>
              <w:autoSpaceDE w:val="0"/>
              <w:autoSpaceDN w:val="0"/>
              <w:adjustRightInd w:val="0"/>
              <w:spacing w:line="230" w:lineRule="auto"/>
              <w:ind w:left="-108"/>
              <w:jc w:val="right"/>
              <w:rPr>
                <w:sz w:val="14"/>
                <w:szCs w:val="14"/>
              </w:rPr>
            </w:pPr>
            <w:r w:rsidRPr="00764B63">
              <w:rPr>
                <w:sz w:val="14"/>
                <w:szCs w:val="14"/>
              </w:rPr>
              <w:t>59</w:t>
            </w:r>
          </w:p>
        </w:tc>
      </w:tr>
      <w:tr w:rsidR="00F5219E" w:rsidRPr="00AC1668" w14:paraId="6B89EC8D" w14:textId="77777777" w:rsidTr="009164F9">
        <w:tc>
          <w:tcPr>
            <w:tcW w:w="278" w:type="pct"/>
          </w:tcPr>
          <w:p w14:paraId="6B648519" w14:textId="1A077EFA" w:rsidR="00F5219E" w:rsidRPr="00AC1668" w:rsidRDefault="00F5219E" w:rsidP="00F5219E">
            <w:pPr>
              <w:widowControl w:val="0"/>
              <w:autoSpaceDE w:val="0"/>
              <w:autoSpaceDN w:val="0"/>
              <w:adjustRightInd w:val="0"/>
              <w:spacing w:line="230" w:lineRule="auto"/>
              <w:ind w:left="-108" w:right="-162"/>
              <w:rPr>
                <w:sz w:val="14"/>
                <w:szCs w:val="14"/>
              </w:rPr>
            </w:pPr>
            <w:r w:rsidRPr="00AC1668">
              <w:rPr>
                <w:sz w:val="14"/>
                <w:szCs w:val="14"/>
              </w:rPr>
              <w:t>X.</w:t>
            </w:r>
          </w:p>
        </w:tc>
        <w:tc>
          <w:tcPr>
            <w:tcW w:w="4336" w:type="pct"/>
          </w:tcPr>
          <w:p w14:paraId="0A53044D" w14:textId="6A4942E3" w:rsidR="00F5219E" w:rsidRPr="00AC1668" w:rsidRDefault="00F5219E" w:rsidP="00F5219E">
            <w:pPr>
              <w:widowControl w:val="0"/>
              <w:autoSpaceDE w:val="0"/>
              <w:autoSpaceDN w:val="0"/>
              <w:adjustRightInd w:val="0"/>
              <w:spacing w:line="230" w:lineRule="auto"/>
              <w:ind w:left="-108"/>
              <w:jc w:val="both"/>
              <w:rPr>
                <w:sz w:val="14"/>
                <w:szCs w:val="14"/>
              </w:rPr>
            </w:pPr>
            <w:r w:rsidRPr="00AC1668">
              <w:rPr>
                <w:sz w:val="14"/>
                <w:szCs w:val="14"/>
              </w:rPr>
              <w:t>Faaliyet bölümlerine ilişkin açıklamalar</w:t>
            </w:r>
          </w:p>
        </w:tc>
        <w:tc>
          <w:tcPr>
            <w:tcW w:w="386" w:type="pct"/>
            <w:vAlign w:val="bottom"/>
          </w:tcPr>
          <w:p w14:paraId="2DD8A6F6" w14:textId="64DD9513" w:rsidR="00F5219E" w:rsidRPr="00764B63" w:rsidRDefault="00451D78" w:rsidP="00F5219E">
            <w:pPr>
              <w:widowControl w:val="0"/>
              <w:autoSpaceDE w:val="0"/>
              <w:autoSpaceDN w:val="0"/>
              <w:adjustRightInd w:val="0"/>
              <w:spacing w:line="230" w:lineRule="auto"/>
              <w:ind w:left="-108"/>
              <w:jc w:val="right"/>
              <w:rPr>
                <w:sz w:val="14"/>
                <w:szCs w:val="14"/>
              </w:rPr>
            </w:pPr>
            <w:r w:rsidRPr="00764B63">
              <w:rPr>
                <w:sz w:val="14"/>
                <w:szCs w:val="14"/>
              </w:rPr>
              <w:t>79</w:t>
            </w:r>
          </w:p>
        </w:tc>
      </w:tr>
      <w:tr w:rsidR="009164F9" w:rsidRPr="00AC1668" w14:paraId="2BEF1669" w14:textId="77777777" w:rsidTr="009164F9">
        <w:tc>
          <w:tcPr>
            <w:tcW w:w="278" w:type="pct"/>
          </w:tcPr>
          <w:p w14:paraId="3CA6B0E0" w14:textId="77777777" w:rsidR="006D5B82" w:rsidRPr="00AC1668" w:rsidRDefault="006D5B82" w:rsidP="006D5B82">
            <w:pPr>
              <w:widowControl w:val="0"/>
              <w:autoSpaceDE w:val="0"/>
              <w:autoSpaceDN w:val="0"/>
              <w:adjustRightInd w:val="0"/>
              <w:spacing w:line="230" w:lineRule="auto"/>
              <w:ind w:left="-108" w:right="-162"/>
              <w:rPr>
                <w:sz w:val="14"/>
                <w:szCs w:val="14"/>
              </w:rPr>
            </w:pPr>
          </w:p>
        </w:tc>
        <w:tc>
          <w:tcPr>
            <w:tcW w:w="4336" w:type="pct"/>
          </w:tcPr>
          <w:p w14:paraId="61DC4928" w14:textId="77777777" w:rsidR="006D5B82" w:rsidRPr="00AC1668" w:rsidRDefault="006D5B82" w:rsidP="006D5B82">
            <w:pPr>
              <w:widowControl w:val="0"/>
              <w:autoSpaceDE w:val="0"/>
              <w:autoSpaceDN w:val="0"/>
              <w:adjustRightInd w:val="0"/>
              <w:spacing w:line="230" w:lineRule="auto"/>
              <w:ind w:left="-108"/>
              <w:jc w:val="both"/>
              <w:rPr>
                <w:sz w:val="14"/>
                <w:szCs w:val="14"/>
              </w:rPr>
            </w:pPr>
          </w:p>
        </w:tc>
        <w:tc>
          <w:tcPr>
            <w:tcW w:w="386" w:type="pct"/>
            <w:vAlign w:val="bottom"/>
          </w:tcPr>
          <w:p w14:paraId="5AEF5DD2" w14:textId="77777777" w:rsidR="006D5B82" w:rsidRPr="00764B63" w:rsidRDefault="006D5B82" w:rsidP="00AC57E3">
            <w:pPr>
              <w:widowControl w:val="0"/>
              <w:autoSpaceDE w:val="0"/>
              <w:autoSpaceDN w:val="0"/>
              <w:adjustRightInd w:val="0"/>
              <w:spacing w:line="230" w:lineRule="auto"/>
              <w:ind w:left="-108"/>
              <w:jc w:val="right"/>
              <w:rPr>
                <w:sz w:val="14"/>
                <w:szCs w:val="14"/>
              </w:rPr>
            </w:pPr>
          </w:p>
        </w:tc>
      </w:tr>
      <w:tr w:rsidR="00BA21DF" w:rsidRPr="00AC1668" w14:paraId="455F4F71" w14:textId="79107D16" w:rsidTr="00BA21DF">
        <w:tc>
          <w:tcPr>
            <w:tcW w:w="4614" w:type="pct"/>
            <w:gridSpan w:val="2"/>
            <w:vAlign w:val="center"/>
          </w:tcPr>
          <w:p w14:paraId="047631C0" w14:textId="28A31F0C" w:rsidR="00BA21DF" w:rsidRPr="00AC1668" w:rsidRDefault="00BA21DF" w:rsidP="00267780">
            <w:pPr>
              <w:pStyle w:val="GvdeMetniGirintisi"/>
              <w:widowControl w:val="0"/>
              <w:spacing w:line="230" w:lineRule="auto"/>
              <w:ind w:right="12" w:firstLine="0"/>
              <w:jc w:val="center"/>
              <w:rPr>
                <w:b/>
                <w:sz w:val="14"/>
                <w:szCs w:val="14"/>
              </w:rPr>
            </w:pPr>
            <w:r w:rsidRPr="00AC1668">
              <w:rPr>
                <w:b/>
                <w:sz w:val="14"/>
                <w:szCs w:val="14"/>
              </w:rPr>
              <w:t>Beşinci Bölüm</w:t>
            </w:r>
          </w:p>
        </w:tc>
        <w:tc>
          <w:tcPr>
            <w:tcW w:w="386" w:type="pct"/>
            <w:vAlign w:val="center"/>
          </w:tcPr>
          <w:p w14:paraId="089B9B46" w14:textId="77777777" w:rsidR="00BA21DF" w:rsidRPr="00764B63" w:rsidRDefault="00BA21DF" w:rsidP="00BA21DF">
            <w:pPr>
              <w:pStyle w:val="GvdeMetniGirintisi"/>
              <w:widowControl w:val="0"/>
              <w:spacing w:line="230" w:lineRule="auto"/>
              <w:ind w:right="12" w:firstLine="0"/>
              <w:jc w:val="center"/>
              <w:rPr>
                <w:b/>
                <w:sz w:val="14"/>
                <w:szCs w:val="14"/>
              </w:rPr>
            </w:pPr>
          </w:p>
        </w:tc>
      </w:tr>
      <w:tr w:rsidR="00BA21DF" w:rsidRPr="00AC1668" w14:paraId="4F5F73AC" w14:textId="34F9D609" w:rsidTr="00BA21DF">
        <w:tc>
          <w:tcPr>
            <w:tcW w:w="4614" w:type="pct"/>
            <w:gridSpan w:val="2"/>
            <w:vAlign w:val="center"/>
          </w:tcPr>
          <w:p w14:paraId="279662F7" w14:textId="79BB41EB" w:rsidR="00BA21DF" w:rsidRPr="00AC1668" w:rsidRDefault="00BA21DF" w:rsidP="00267780">
            <w:pPr>
              <w:pStyle w:val="GvdeMetniGirintisi"/>
              <w:widowControl w:val="0"/>
              <w:spacing w:line="230" w:lineRule="auto"/>
              <w:ind w:right="12" w:firstLine="0"/>
              <w:jc w:val="center"/>
              <w:rPr>
                <w:sz w:val="14"/>
                <w:szCs w:val="14"/>
              </w:rPr>
            </w:pPr>
            <w:r w:rsidRPr="00AC1668">
              <w:rPr>
                <w:b/>
                <w:sz w:val="14"/>
                <w:szCs w:val="14"/>
              </w:rPr>
              <w:t>Konsolide Olmayan Finansal Tablolara İlişkin Açıklama ve Dipnotlar</w:t>
            </w:r>
          </w:p>
        </w:tc>
        <w:tc>
          <w:tcPr>
            <w:tcW w:w="386" w:type="pct"/>
            <w:vAlign w:val="center"/>
          </w:tcPr>
          <w:p w14:paraId="6F94E797" w14:textId="77777777" w:rsidR="00BA21DF" w:rsidRPr="00764B63" w:rsidRDefault="00BA21DF" w:rsidP="00BA21DF">
            <w:pPr>
              <w:pStyle w:val="GvdeMetniGirintisi"/>
              <w:widowControl w:val="0"/>
              <w:spacing w:line="230" w:lineRule="auto"/>
              <w:ind w:right="12" w:firstLine="0"/>
              <w:jc w:val="center"/>
              <w:rPr>
                <w:sz w:val="14"/>
                <w:szCs w:val="14"/>
              </w:rPr>
            </w:pPr>
          </w:p>
        </w:tc>
      </w:tr>
      <w:tr w:rsidR="006D5B82" w:rsidRPr="00AC1668" w14:paraId="324A56E9" w14:textId="77777777" w:rsidTr="00BA21DF">
        <w:tc>
          <w:tcPr>
            <w:tcW w:w="4614" w:type="pct"/>
            <w:gridSpan w:val="2"/>
          </w:tcPr>
          <w:p w14:paraId="1BE57470" w14:textId="77777777" w:rsidR="006D5B82" w:rsidRPr="00AC1668" w:rsidRDefault="006D5B82" w:rsidP="006D5B82">
            <w:pPr>
              <w:pStyle w:val="GvdeMetniGirintisi"/>
              <w:widowControl w:val="0"/>
              <w:spacing w:line="230" w:lineRule="auto"/>
              <w:ind w:left="-108" w:firstLine="0"/>
              <w:jc w:val="left"/>
              <w:rPr>
                <w:b/>
                <w:sz w:val="14"/>
                <w:szCs w:val="14"/>
              </w:rPr>
            </w:pPr>
          </w:p>
        </w:tc>
        <w:tc>
          <w:tcPr>
            <w:tcW w:w="386" w:type="pct"/>
            <w:vAlign w:val="bottom"/>
          </w:tcPr>
          <w:p w14:paraId="4CB0B631" w14:textId="77777777" w:rsidR="006D5B82" w:rsidRPr="00764B63" w:rsidRDefault="006D5B82" w:rsidP="00AC57E3">
            <w:pPr>
              <w:pStyle w:val="GvdeMetniGirintisi"/>
              <w:widowControl w:val="0"/>
              <w:spacing w:line="230" w:lineRule="auto"/>
              <w:ind w:right="12" w:firstLine="0"/>
              <w:jc w:val="right"/>
              <w:rPr>
                <w:sz w:val="14"/>
                <w:szCs w:val="14"/>
              </w:rPr>
            </w:pPr>
          </w:p>
        </w:tc>
      </w:tr>
      <w:tr w:rsidR="00F5219E" w:rsidRPr="00AC1668" w14:paraId="3E7BEA62" w14:textId="77777777" w:rsidTr="009164F9">
        <w:tc>
          <w:tcPr>
            <w:tcW w:w="278" w:type="pct"/>
          </w:tcPr>
          <w:p w14:paraId="68F4EBB4" w14:textId="295D81BA" w:rsidR="00F5219E" w:rsidRPr="00AC1668" w:rsidRDefault="00F5219E" w:rsidP="00F5219E">
            <w:pPr>
              <w:pStyle w:val="KonuBal"/>
              <w:widowControl w:val="0"/>
              <w:tabs>
                <w:tab w:val="clear" w:pos="4395"/>
              </w:tabs>
              <w:spacing w:line="230" w:lineRule="auto"/>
              <w:ind w:left="-108" w:right="-162"/>
              <w:jc w:val="left"/>
              <w:rPr>
                <w:rFonts w:ascii="Times New Roman" w:hAnsi="Times New Roman"/>
                <w:b w:val="0"/>
                <w:sz w:val="14"/>
                <w:szCs w:val="14"/>
              </w:rPr>
            </w:pPr>
            <w:r w:rsidRPr="00AC1668">
              <w:rPr>
                <w:rFonts w:ascii="Times New Roman" w:hAnsi="Times New Roman"/>
                <w:b w:val="0"/>
                <w:sz w:val="14"/>
                <w:szCs w:val="14"/>
              </w:rPr>
              <w:t>I</w:t>
            </w:r>
          </w:p>
        </w:tc>
        <w:tc>
          <w:tcPr>
            <w:tcW w:w="4336" w:type="pct"/>
          </w:tcPr>
          <w:p w14:paraId="17034809" w14:textId="77777777" w:rsidR="00F5219E" w:rsidRPr="00AC1668" w:rsidRDefault="00F5219E" w:rsidP="00F5219E">
            <w:pPr>
              <w:pStyle w:val="GvdeMetniGirintisi"/>
              <w:widowControl w:val="0"/>
              <w:spacing w:line="230" w:lineRule="auto"/>
              <w:ind w:left="-108" w:firstLine="0"/>
              <w:rPr>
                <w:sz w:val="14"/>
                <w:szCs w:val="14"/>
              </w:rPr>
            </w:pPr>
            <w:r w:rsidRPr="00AC1668">
              <w:rPr>
                <w:sz w:val="14"/>
                <w:szCs w:val="14"/>
              </w:rPr>
              <w:t>Bilançonun aktif hesaplarına ilişkin açıklama ve dipnotlar</w:t>
            </w:r>
          </w:p>
        </w:tc>
        <w:tc>
          <w:tcPr>
            <w:tcW w:w="386" w:type="pct"/>
            <w:vAlign w:val="bottom"/>
          </w:tcPr>
          <w:p w14:paraId="73EF4D78" w14:textId="1E55F3A8" w:rsidR="00F5219E" w:rsidRPr="00764B63" w:rsidRDefault="00BA21DF" w:rsidP="00F5219E">
            <w:pPr>
              <w:pStyle w:val="GvdeMetniGirintisi"/>
              <w:widowControl w:val="0"/>
              <w:spacing w:line="230" w:lineRule="auto"/>
              <w:ind w:right="12" w:firstLine="0"/>
              <w:jc w:val="right"/>
              <w:rPr>
                <w:sz w:val="14"/>
                <w:szCs w:val="14"/>
              </w:rPr>
            </w:pPr>
            <w:r w:rsidRPr="00764B63">
              <w:rPr>
                <w:sz w:val="14"/>
                <w:szCs w:val="14"/>
              </w:rPr>
              <w:t>81</w:t>
            </w:r>
          </w:p>
        </w:tc>
      </w:tr>
      <w:tr w:rsidR="00F5219E" w:rsidRPr="00AC1668" w14:paraId="09304CF5" w14:textId="77777777" w:rsidTr="009164F9">
        <w:tc>
          <w:tcPr>
            <w:tcW w:w="278" w:type="pct"/>
          </w:tcPr>
          <w:p w14:paraId="32DB79C2" w14:textId="4594F0DC" w:rsidR="00F5219E" w:rsidRPr="00AC1668" w:rsidRDefault="00F5219E" w:rsidP="00F5219E">
            <w:pPr>
              <w:pStyle w:val="KonuBal"/>
              <w:widowControl w:val="0"/>
              <w:tabs>
                <w:tab w:val="clear" w:pos="4395"/>
              </w:tabs>
              <w:spacing w:line="230" w:lineRule="auto"/>
              <w:ind w:left="-108" w:right="-162"/>
              <w:jc w:val="left"/>
              <w:rPr>
                <w:rFonts w:ascii="Times New Roman" w:hAnsi="Times New Roman"/>
                <w:b w:val="0"/>
                <w:sz w:val="14"/>
                <w:szCs w:val="14"/>
              </w:rPr>
            </w:pPr>
            <w:r w:rsidRPr="00AC1668">
              <w:rPr>
                <w:rFonts w:ascii="Times New Roman" w:hAnsi="Times New Roman"/>
                <w:b w:val="0"/>
                <w:sz w:val="14"/>
                <w:szCs w:val="14"/>
              </w:rPr>
              <w:t>II.</w:t>
            </w:r>
          </w:p>
        </w:tc>
        <w:tc>
          <w:tcPr>
            <w:tcW w:w="4336" w:type="pct"/>
          </w:tcPr>
          <w:p w14:paraId="28DADE3F" w14:textId="77777777" w:rsidR="00F5219E" w:rsidRPr="00AC1668" w:rsidRDefault="00F5219E" w:rsidP="00F5219E">
            <w:pPr>
              <w:pStyle w:val="GvdeMetniGirintisi"/>
              <w:widowControl w:val="0"/>
              <w:spacing w:line="230" w:lineRule="auto"/>
              <w:ind w:left="-108" w:firstLine="0"/>
              <w:rPr>
                <w:sz w:val="14"/>
                <w:szCs w:val="14"/>
              </w:rPr>
            </w:pPr>
            <w:r w:rsidRPr="00AC1668">
              <w:rPr>
                <w:sz w:val="14"/>
                <w:szCs w:val="14"/>
              </w:rPr>
              <w:t>Bilançonun pasif hesaplarına ilişkin açıklama ve dipnotlar</w:t>
            </w:r>
          </w:p>
        </w:tc>
        <w:tc>
          <w:tcPr>
            <w:tcW w:w="386" w:type="pct"/>
            <w:vAlign w:val="bottom"/>
          </w:tcPr>
          <w:p w14:paraId="6F8CD766" w14:textId="3C1545BA" w:rsidR="00F5219E" w:rsidRPr="00764B63" w:rsidRDefault="00BA21DF" w:rsidP="00F5219E">
            <w:pPr>
              <w:pStyle w:val="GvdeMetniGirintisi"/>
              <w:widowControl w:val="0"/>
              <w:spacing w:line="230" w:lineRule="auto"/>
              <w:ind w:right="12" w:firstLine="0"/>
              <w:jc w:val="right"/>
              <w:rPr>
                <w:sz w:val="14"/>
                <w:szCs w:val="14"/>
              </w:rPr>
            </w:pPr>
            <w:r w:rsidRPr="00764B63">
              <w:rPr>
                <w:sz w:val="14"/>
                <w:szCs w:val="14"/>
              </w:rPr>
              <w:t>10</w:t>
            </w:r>
            <w:r w:rsidR="00451D78" w:rsidRPr="00764B63">
              <w:rPr>
                <w:sz w:val="14"/>
                <w:szCs w:val="14"/>
              </w:rPr>
              <w:t>0</w:t>
            </w:r>
          </w:p>
        </w:tc>
      </w:tr>
      <w:tr w:rsidR="00F5219E" w:rsidRPr="00AC1668" w14:paraId="650712D2" w14:textId="77777777" w:rsidTr="009164F9">
        <w:tc>
          <w:tcPr>
            <w:tcW w:w="278" w:type="pct"/>
          </w:tcPr>
          <w:p w14:paraId="1D0511DF" w14:textId="6FFB12BE" w:rsidR="00F5219E" w:rsidRPr="00AC1668" w:rsidRDefault="00F5219E" w:rsidP="00F5219E">
            <w:pPr>
              <w:pStyle w:val="KonuBal"/>
              <w:widowControl w:val="0"/>
              <w:tabs>
                <w:tab w:val="clear" w:pos="4395"/>
              </w:tabs>
              <w:spacing w:line="230" w:lineRule="auto"/>
              <w:ind w:left="-108" w:right="-162"/>
              <w:jc w:val="left"/>
              <w:rPr>
                <w:rFonts w:ascii="Times New Roman" w:hAnsi="Times New Roman"/>
                <w:b w:val="0"/>
                <w:sz w:val="14"/>
                <w:szCs w:val="14"/>
              </w:rPr>
            </w:pPr>
            <w:r w:rsidRPr="00AC1668">
              <w:rPr>
                <w:rFonts w:ascii="Times New Roman" w:hAnsi="Times New Roman"/>
                <w:b w:val="0"/>
                <w:sz w:val="14"/>
                <w:szCs w:val="14"/>
              </w:rPr>
              <w:t>III.</w:t>
            </w:r>
          </w:p>
        </w:tc>
        <w:tc>
          <w:tcPr>
            <w:tcW w:w="4336" w:type="pct"/>
          </w:tcPr>
          <w:p w14:paraId="668B5AB2" w14:textId="77777777" w:rsidR="00F5219E" w:rsidRPr="00AC1668" w:rsidRDefault="00F5219E" w:rsidP="00F5219E">
            <w:pPr>
              <w:pStyle w:val="GvdeMetniGirintisi"/>
              <w:widowControl w:val="0"/>
              <w:spacing w:line="230" w:lineRule="auto"/>
              <w:ind w:left="-108" w:firstLine="0"/>
              <w:rPr>
                <w:sz w:val="14"/>
                <w:szCs w:val="14"/>
              </w:rPr>
            </w:pPr>
            <w:r w:rsidRPr="00AC1668">
              <w:rPr>
                <w:sz w:val="14"/>
                <w:szCs w:val="14"/>
              </w:rPr>
              <w:t>Nazım hesaplara ilişkin açıklama ve dipnotlar</w:t>
            </w:r>
          </w:p>
        </w:tc>
        <w:tc>
          <w:tcPr>
            <w:tcW w:w="386" w:type="pct"/>
            <w:vAlign w:val="bottom"/>
          </w:tcPr>
          <w:p w14:paraId="0B2351D5" w14:textId="11A357B6" w:rsidR="00F5219E" w:rsidRPr="00764B63" w:rsidRDefault="00BA21DF" w:rsidP="00F5219E">
            <w:pPr>
              <w:pStyle w:val="GvdeMetniGirintisi"/>
              <w:widowControl w:val="0"/>
              <w:spacing w:line="230" w:lineRule="auto"/>
              <w:ind w:right="12" w:firstLine="0"/>
              <w:jc w:val="right"/>
              <w:rPr>
                <w:sz w:val="14"/>
                <w:szCs w:val="14"/>
              </w:rPr>
            </w:pPr>
            <w:r w:rsidRPr="00764B63">
              <w:rPr>
                <w:sz w:val="14"/>
                <w:szCs w:val="14"/>
              </w:rPr>
              <w:t>11</w:t>
            </w:r>
            <w:r w:rsidR="0061474C" w:rsidRPr="00764B63">
              <w:rPr>
                <w:sz w:val="14"/>
                <w:szCs w:val="14"/>
              </w:rPr>
              <w:t>1</w:t>
            </w:r>
          </w:p>
        </w:tc>
      </w:tr>
      <w:tr w:rsidR="00F5219E" w:rsidRPr="00AC1668" w:rsidDel="00EA3D13" w14:paraId="4A2856CF" w14:textId="77777777" w:rsidTr="009164F9">
        <w:tc>
          <w:tcPr>
            <w:tcW w:w="278" w:type="pct"/>
          </w:tcPr>
          <w:p w14:paraId="5B69F634" w14:textId="57651B5E" w:rsidR="00F5219E" w:rsidRPr="00AC1668" w:rsidRDefault="00F5219E" w:rsidP="00F5219E">
            <w:pPr>
              <w:pStyle w:val="KonuBal"/>
              <w:widowControl w:val="0"/>
              <w:tabs>
                <w:tab w:val="clear" w:pos="4395"/>
              </w:tabs>
              <w:spacing w:line="230" w:lineRule="auto"/>
              <w:ind w:left="-108" w:right="-162"/>
              <w:jc w:val="left"/>
              <w:rPr>
                <w:rFonts w:ascii="Times New Roman" w:hAnsi="Times New Roman"/>
                <w:b w:val="0"/>
                <w:sz w:val="14"/>
                <w:szCs w:val="14"/>
              </w:rPr>
            </w:pPr>
            <w:r w:rsidRPr="00AC1668">
              <w:rPr>
                <w:rFonts w:ascii="Times New Roman" w:hAnsi="Times New Roman"/>
                <w:b w:val="0"/>
                <w:sz w:val="14"/>
                <w:szCs w:val="14"/>
              </w:rPr>
              <w:t>IV.</w:t>
            </w:r>
          </w:p>
        </w:tc>
        <w:tc>
          <w:tcPr>
            <w:tcW w:w="4336" w:type="pct"/>
          </w:tcPr>
          <w:p w14:paraId="0B1702A9" w14:textId="77777777" w:rsidR="00F5219E" w:rsidRPr="00AC1668" w:rsidRDefault="00F5219E" w:rsidP="00F5219E">
            <w:pPr>
              <w:pStyle w:val="GvdeMetniGirintisi"/>
              <w:widowControl w:val="0"/>
              <w:spacing w:line="230" w:lineRule="auto"/>
              <w:ind w:left="-108" w:firstLine="0"/>
              <w:rPr>
                <w:sz w:val="14"/>
                <w:szCs w:val="14"/>
              </w:rPr>
            </w:pPr>
            <w:r w:rsidRPr="00AC1668">
              <w:rPr>
                <w:sz w:val="14"/>
                <w:szCs w:val="14"/>
              </w:rPr>
              <w:t>Kar veya zarar tablosuna ilişkin açıklama ve dipnotlar</w:t>
            </w:r>
          </w:p>
        </w:tc>
        <w:tc>
          <w:tcPr>
            <w:tcW w:w="386" w:type="pct"/>
            <w:vAlign w:val="bottom"/>
          </w:tcPr>
          <w:p w14:paraId="0CCDB1BD" w14:textId="2C8C8293" w:rsidR="00F5219E" w:rsidRPr="00764B63" w:rsidRDefault="00BA21DF" w:rsidP="00F5219E">
            <w:pPr>
              <w:pStyle w:val="GvdeMetniGirintisi"/>
              <w:widowControl w:val="0"/>
              <w:spacing w:line="230" w:lineRule="auto"/>
              <w:ind w:right="12" w:firstLine="0"/>
              <w:jc w:val="right"/>
              <w:rPr>
                <w:sz w:val="14"/>
                <w:szCs w:val="14"/>
              </w:rPr>
            </w:pPr>
            <w:r w:rsidRPr="00764B63">
              <w:rPr>
                <w:sz w:val="14"/>
                <w:szCs w:val="14"/>
              </w:rPr>
              <w:t>1</w:t>
            </w:r>
            <w:r w:rsidR="0061474C" w:rsidRPr="00764B63">
              <w:rPr>
                <w:sz w:val="14"/>
                <w:szCs w:val="14"/>
              </w:rPr>
              <w:t>16</w:t>
            </w:r>
          </w:p>
        </w:tc>
      </w:tr>
      <w:tr w:rsidR="00F5219E" w:rsidRPr="00AC1668" w:rsidDel="00EA3D13" w14:paraId="2CEEF258" w14:textId="77777777" w:rsidTr="009164F9">
        <w:tc>
          <w:tcPr>
            <w:tcW w:w="278" w:type="pct"/>
          </w:tcPr>
          <w:p w14:paraId="38328D2C" w14:textId="5E6A4330" w:rsidR="00F5219E" w:rsidRPr="00AC1668" w:rsidRDefault="00F5219E" w:rsidP="00F5219E">
            <w:pPr>
              <w:pStyle w:val="KonuBal"/>
              <w:widowControl w:val="0"/>
              <w:tabs>
                <w:tab w:val="clear" w:pos="4395"/>
              </w:tabs>
              <w:spacing w:line="230" w:lineRule="auto"/>
              <w:ind w:left="-108" w:right="-162"/>
              <w:jc w:val="left"/>
              <w:rPr>
                <w:rFonts w:ascii="Times New Roman" w:hAnsi="Times New Roman"/>
                <w:b w:val="0"/>
                <w:sz w:val="14"/>
                <w:szCs w:val="14"/>
              </w:rPr>
            </w:pPr>
            <w:r w:rsidRPr="00AC1668">
              <w:rPr>
                <w:rFonts w:ascii="Times New Roman" w:hAnsi="Times New Roman"/>
                <w:b w:val="0"/>
                <w:sz w:val="14"/>
                <w:szCs w:val="14"/>
              </w:rPr>
              <w:t>V.</w:t>
            </w:r>
          </w:p>
        </w:tc>
        <w:tc>
          <w:tcPr>
            <w:tcW w:w="4336" w:type="pct"/>
          </w:tcPr>
          <w:p w14:paraId="065EB53E" w14:textId="4F0D6246" w:rsidR="00F5219E" w:rsidRPr="00AC1668" w:rsidRDefault="00F5219E" w:rsidP="00F5219E">
            <w:pPr>
              <w:pStyle w:val="GvdeMetniGirintisi"/>
              <w:widowControl w:val="0"/>
              <w:spacing w:line="230" w:lineRule="auto"/>
              <w:ind w:left="-108" w:firstLine="0"/>
              <w:rPr>
                <w:sz w:val="14"/>
                <w:szCs w:val="14"/>
              </w:rPr>
            </w:pPr>
            <w:r w:rsidRPr="00AC1668">
              <w:rPr>
                <w:sz w:val="14"/>
                <w:szCs w:val="14"/>
              </w:rPr>
              <w:t>Özkaynaklar değişim tablosuna ilişkin açıklama ve dipnotlar</w:t>
            </w:r>
          </w:p>
        </w:tc>
        <w:tc>
          <w:tcPr>
            <w:tcW w:w="386" w:type="pct"/>
            <w:vAlign w:val="bottom"/>
          </w:tcPr>
          <w:p w14:paraId="7A5BC058" w14:textId="3599D350" w:rsidR="00F5219E" w:rsidRPr="00764B63" w:rsidRDefault="00BA21DF" w:rsidP="00F5219E">
            <w:pPr>
              <w:pStyle w:val="GvdeMetniGirintisi"/>
              <w:widowControl w:val="0"/>
              <w:spacing w:line="230" w:lineRule="auto"/>
              <w:ind w:right="12" w:firstLine="0"/>
              <w:jc w:val="right"/>
              <w:rPr>
                <w:sz w:val="14"/>
                <w:szCs w:val="14"/>
              </w:rPr>
            </w:pPr>
            <w:r w:rsidRPr="00764B63">
              <w:rPr>
                <w:sz w:val="14"/>
                <w:szCs w:val="14"/>
              </w:rPr>
              <w:t>1</w:t>
            </w:r>
            <w:r w:rsidR="0061474C" w:rsidRPr="00764B63">
              <w:rPr>
                <w:sz w:val="14"/>
                <w:szCs w:val="14"/>
              </w:rPr>
              <w:t>25</w:t>
            </w:r>
          </w:p>
        </w:tc>
      </w:tr>
      <w:tr w:rsidR="00F5219E" w:rsidRPr="00AC1668" w:rsidDel="00EA3D13" w14:paraId="5A1EEA6D" w14:textId="77777777" w:rsidTr="009164F9">
        <w:tc>
          <w:tcPr>
            <w:tcW w:w="278" w:type="pct"/>
          </w:tcPr>
          <w:p w14:paraId="4D87E760" w14:textId="012E3E32" w:rsidR="00F5219E" w:rsidRPr="00AC1668" w:rsidRDefault="00F5219E" w:rsidP="00F5219E">
            <w:pPr>
              <w:pStyle w:val="KonuBal"/>
              <w:widowControl w:val="0"/>
              <w:tabs>
                <w:tab w:val="clear" w:pos="4395"/>
              </w:tabs>
              <w:spacing w:line="230" w:lineRule="auto"/>
              <w:ind w:left="-108" w:right="-162"/>
              <w:jc w:val="left"/>
              <w:rPr>
                <w:rFonts w:ascii="Times New Roman" w:hAnsi="Times New Roman"/>
                <w:b w:val="0"/>
                <w:sz w:val="14"/>
                <w:szCs w:val="14"/>
              </w:rPr>
            </w:pPr>
            <w:r w:rsidRPr="00AC1668">
              <w:rPr>
                <w:rFonts w:ascii="Times New Roman" w:hAnsi="Times New Roman"/>
                <w:b w:val="0"/>
                <w:sz w:val="14"/>
                <w:szCs w:val="14"/>
              </w:rPr>
              <w:t>VI.</w:t>
            </w:r>
          </w:p>
        </w:tc>
        <w:tc>
          <w:tcPr>
            <w:tcW w:w="4336" w:type="pct"/>
          </w:tcPr>
          <w:p w14:paraId="71C423BD" w14:textId="6734DCA4" w:rsidR="00F5219E" w:rsidRPr="00AC1668" w:rsidRDefault="00F5219E" w:rsidP="00F5219E">
            <w:pPr>
              <w:pStyle w:val="GvdeMetniGirintisi"/>
              <w:widowControl w:val="0"/>
              <w:spacing w:line="230" w:lineRule="auto"/>
              <w:ind w:left="-108" w:firstLine="0"/>
              <w:rPr>
                <w:sz w:val="14"/>
                <w:szCs w:val="14"/>
              </w:rPr>
            </w:pPr>
            <w:r w:rsidRPr="00AC1668">
              <w:rPr>
                <w:sz w:val="14"/>
                <w:szCs w:val="14"/>
              </w:rPr>
              <w:t>Nakit akış tablosuna ilişkin açıklama ve dipnotlar</w:t>
            </w:r>
          </w:p>
        </w:tc>
        <w:tc>
          <w:tcPr>
            <w:tcW w:w="386" w:type="pct"/>
            <w:vAlign w:val="bottom"/>
          </w:tcPr>
          <w:p w14:paraId="0C9C1003" w14:textId="4459B139" w:rsidR="00F5219E" w:rsidRPr="00764B63" w:rsidRDefault="00BA21DF" w:rsidP="00F5219E">
            <w:pPr>
              <w:pStyle w:val="GvdeMetniGirintisi"/>
              <w:widowControl w:val="0"/>
              <w:spacing w:line="230" w:lineRule="auto"/>
              <w:ind w:right="12" w:firstLine="0"/>
              <w:jc w:val="right"/>
              <w:rPr>
                <w:sz w:val="14"/>
                <w:szCs w:val="14"/>
              </w:rPr>
            </w:pPr>
            <w:r w:rsidRPr="00764B63">
              <w:rPr>
                <w:sz w:val="14"/>
                <w:szCs w:val="14"/>
              </w:rPr>
              <w:t>1</w:t>
            </w:r>
            <w:r w:rsidR="0061474C" w:rsidRPr="00764B63">
              <w:rPr>
                <w:sz w:val="14"/>
                <w:szCs w:val="14"/>
              </w:rPr>
              <w:t>26</w:t>
            </w:r>
          </w:p>
        </w:tc>
      </w:tr>
      <w:tr w:rsidR="00F5219E" w:rsidRPr="00AC1668" w:rsidDel="00EA3D13" w14:paraId="7ABCF8A0" w14:textId="77777777" w:rsidTr="009164F9">
        <w:tc>
          <w:tcPr>
            <w:tcW w:w="278" w:type="pct"/>
          </w:tcPr>
          <w:p w14:paraId="2233DE61" w14:textId="442EFC3E" w:rsidR="00F5219E" w:rsidRPr="00AC1668" w:rsidRDefault="00F5219E" w:rsidP="00F5219E">
            <w:pPr>
              <w:pStyle w:val="KonuBal"/>
              <w:widowControl w:val="0"/>
              <w:tabs>
                <w:tab w:val="clear" w:pos="4395"/>
              </w:tabs>
              <w:spacing w:line="230" w:lineRule="auto"/>
              <w:ind w:left="-108" w:right="-162"/>
              <w:jc w:val="left"/>
              <w:rPr>
                <w:rFonts w:ascii="Times New Roman" w:hAnsi="Times New Roman"/>
                <w:b w:val="0"/>
                <w:sz w:val="14"/>
                <w:szCs w:val="14"/>
              </w:rPr>
            </w:pPr>
            <w:r w:rsidRPr="00AC1668">
              <w:rPr>
                <w:rFonts w:ascii="Times New Roman" w:hAnsi="Times New Roman"/>
                <w:b w:val="0"/>
                <w:sz w:val="14"/>
                <w:szCs w:val="14"/>
              </w:rPr>
              <w:t>VII.</w:t>
            </w:r>
          </w:p>
        </w:tc>
        <w:tc>
          <w:tcPr>
            <w:tcW w:w="4336" w:type="pct"/>
          </w:tcPr>
          <w:p w14:paraId="3AE6F3CC" w14:textId="09399294" w:rsidR="00F5219E" w:rsidRPr="00AC1668" w:rsidRDefault="00F5219E" w:rsidP="00F5219E">
            <w:pPr>
              <w:pStyle w:val="GvdeMetniGirintisi"/>
              <w:widowControl w:val="0"/>
              <w:spacing w:line="230" w:lineRule="auto"/>
              <w:ind w:left="-108" w:firstLine="0"/>
              <w:rPr>
                <w:sz w:val="14"/>
                <w:szCs w:val="14"/>
              </w:rPr>
            </w:pPr>
            <w:r w:rsidRPr="00AC1668">
              <w:rPr>
                <w:sz w:val="14"/>
                <w:szCs w:val="14"/>
              </w:rPr>
              <w:t>Banka’nın dahil olduğu risk grubuna ilişkin açıklamalar</w:t>
            </w:r>
          </w:p>
        </w:tc>
        <w:tc>
          <w:tcPr>
            <w:tcW w:w="386" w:type="pct"/>
            <w:vAlign w:val="bottom"/>
          </w:tcPr>
          <w:p w14:paraId="4923BAAA" w14:textId="4503CF47" w:rsidR="00F5219E" w:rsidRPr="00764B63" w:rsidRDefault="00BA21DF" w:rsidP="00F5219E">
            <w:pPr>
              <w:pStyle w:val="GvdeMetniGirintisi"/>
              <w:widowControl w:val="0"/>
              <w:spacing w:line="230" w:lineRule="auto"/>
              <w:ind w:right="12" w:firstLine="0"/>
              <w:jc w:val="right"/>
              <w:rPr>
                <w:sz w:val="14"/>
                <w:szCs w:val="14"/>
              </w:rPr>
            </w:pPr>
            <w:r w:rsidRPr="00764B63">
              <w:rPr>
                <w:sz w:val="14"/>
                <w:szCs w:val="14"/>
              </w:rPr>
              <w:t>1</w:t>
            </w:r>
            <w:r w:rsidR="0061474C" w:rsidRPr="00764B63">
              <w:rPr>
                <w:sz w:val="14"/>
                <w:szCs w:val="14"/>
              </w:rPr>
              <w:t>27</w:t>
            </w:r>
          </w:p>
        </w:tc>
      </w:tr>
      <w:tr w:rsidR="00F5219E" w:rsidRPr="00AC1668" w:rsidDel="00EA3D13" w14:paraId="43F9D1B1" w14:textId="77777777" w:rsidTr="009164F9">
        <w:tc>
          <w:tcPr>
            <w:tcW w:w="278" w:type="pct"/>
          </w:tcPr>
          <w:p w14:paraId="6EF87A24" w14:textId="782E744D" w:rsidR="00F5219E" w:rsidRPr="00AC1668" w:rsidRDefault="00F5219E" w:rsidP="00F5219E">
            <w:pPr>
              <w:pStyle w:val="KonuBal"/>
              <w:widowControl w:val="0"/>
              <w:tabs>
                <w:tab w:val="clear" w:pos="4395"/>
              </w:tabs>
              <w:spacing w:line="230" w:lineRule="auto"/>
              <w:ind w:left="-108" w:right="-162"/>
              <w:jc w:val="left"/>
              <w:rPr>
                <w:rFonts w:ascii="Times New Roman" w:hAnsi="Times New Roman"/>
                <w:b w:val="0"/>
                <w:sz w:val="14"/>
                <w:szCs w:val="14"/>
              </w:rPr>
            </w:pPr>
            <w:r w:rsidRPr="00AC1668">
              <w:rPr>
                <w:rFonts w:ascii="Times New Roman" w:hAnsi="Times New Roman"/>
                <w:b w:val="0"/>
                <w:sz w:val="14"/>
                <w:szCs w:val="14"/>
              </w:rPr>
              <w:t>VIII.</w:t>
            </w:r>
          </w:p>
        </w:tc>
        <w:tc>
          <w:tcPr>
            <w:tcW w:w="4336" w:type="pct"/>
          </w:tcPr>
          <w:p w14:paraId="4D72B21C" w14:textId="211ED5FC" w:rsidR="00F5219E" w:rsidRPr="00AC1668" w:rsidRDefault="00F5219E" w:rsidP="00F5219E">
            <w:pPr>
              <w:pStyle w:val="GvdeMetniGirintisi"/>
              <w:widowControl w:val="0"/>
              <w:spacing w:line="230" w:lineRule="auto"/>
              <w:ind w:left="-108" w:firstLine="0"/>
              <w:rPr>
                <w:sz w:val="14"/>
                <w:szCs w:val="14"/>
              </w:rPr>
            </w:pPr>
            <w:r w:rsidRPr="00AC1668">
              <w:rPr>
                <w:sz w:val="14"/>
                <w:szCs w:val="14"/>
              </w:rPr>
              <w:t>Banka’nın yurtiçi, yurtdışı, kıyı bankacılığı bölgelerindeki şube veya iştirakler ile yurtdışı temsilciliklerine ilişkin açıklamalar</w:t>
            </w:r>
          </w:p>
        </w:tc>
        <w:tc>
          <w:tcPr>
            <w:tcW w:w="386" w:type="pct"/>
            <w:vAlign w:val="bottom"/>
          </w:tcPr>
          <w:p w14:paraId="4427BFE7" w14:textId="343F6F6E" w:rsidR="00F5219E" w:rsidRPr="00764B63" w:rsidRDefault="00BA21DF" w:rsidP="00F5219E">
            <w:pPr>
              <w:pStyle w:val="GvdeMetniGirintisi"/>
              <w:widowControl w:val="0"/>
              <w:spacing w:line="230" w:lineRule="auto"/>
              <w:ind w:right="12" w:firstLine="0"/>
              <w:jc w:val="right"/>
              <w:rPr>
                <w:sz w:val="14"/>
                <w:szCs w:val="14"/>
              </w:rPr>
            </w:pPr>
            <w:r w:rsidRPr="00764B63">
              <w:rPr>
                <w:sz w:val="14"/>
                <w:szCs w:val="14"/>
              </w:rPr>
              <w:t>1</w:t>
            </w:r>
            <w:r w:rsidR="0061474C" w:rsidRPr="00764B63">
              <w:rPr>
                <w:sz w:val="14"/>
                <w:szCs w:val="14"/>
              </w:rPr>
              <w:t>28</w:t>
            </w:r>
          </w:p>
        </w:tc>
      </w:tr>
      <w:tr w:rsidR="00F5219E" w:rsidRPr="00AC1668" w:rsidDel="00EA3D13" w14:paraId="15028F1C" w14:textId="77777777" w:rsidTr="009164F9">
        <w:tc>
          <w:tcPr>
            <w:tcW w:w="278" w:type="pct"/>
          </w:tcPr>
          <w:p w14:paraId="4A4C1D11" w14:textId="47DC7108" w:rsidR="00F5219E" w:rsidRPr="00AC1668" w:rsidRDefault="00F5219E" w:rsidP="00F5219E">
            <w:pPr>
              <w:pStyle w:val="KonuBal"/>
              <w:widowControl w:val="0"/>
              <w:tabs>
                <w:tab w:val="clear" w:pos="4395"/>
              </w:tabs>
              <w:spacing w:line="230" w:lineRule="auto"/>
              <w:ind w:left="-108" w:right="-162"/>
              <w:jc w:val="left"/>
              <w:rPr>
                <w:rFonts w:ascii="Times New Roman" w:hAnsi="Times New Roman"/>
                <w:b w:val="0"/>
                <w:sz w:val="14"/>
                <w:szCs w:val="14"/>
              </w:rPr>
            </w:pPr>
            <w:r w:rsidRPr="00AC1668">
              <w:rPr>
                <w:rFonts w:ascii="Times New Roman" w:hAnsi="Times New Roman"/>
                <w:b w:val="0"/>
                <w:sz w:val="14"/>
                <w:szCs w:val="14"/>
              </w:rPr>
              <w:t>IX.</w:t>
            </w:r>
          </w:p>
        </w:tc>
        <w:tc>
          <w:tcPr>
            <w:tcW w:w="4336" w:type="pct"/>
          </w:tcPr>
          <w:p w14:paraId="6503E978" w14:textId="59C3295B" w:rsidR="00F5219E" w:rsidRPr="00AC1668" w:rsidRDefault="00F5219E" w:rsidP="00F5219E">
            <w:pPr>
              <w:pStyle w:val="GvdeMetniGirintisi"/>
              <w:widowControl w:val="0"/>
              <w:spacing w:line="233" w:lineRule="auto"/>
              <w:ind w:left="-86" w:right="206" w:firstLine="0"/>
              <w:rPr>
                <w:iCs/>
                <w:sz w:val="14"/>
                <w:szCs w:val="14"/>
              </w:rPr>
            </w:pPr>
            <w:r w:rsidRPr="00AC1668">
              <w:rPr>
                <w:iCs/>
                <w:sz w:val="14"/>
                <w:szCs w:val="14"/>
              </w:rPr>
              <w:t>Bilanço sonrası hususlara ilişkin açıklama ve dipnotlar</w:t>
            </w:r>
          </w:p>
        </w:tc>
        <w:tc>
          <w:tcPr>
            <w:tcW w:w="386" w:type="pct"/>
            <w:vAlign w:val="bottom"/>
          </w:tcPr>
          <w:p w14:paraId="622087B1" w14:textId="0961D1DB" w:rsidR="00F5219E" w:rsidRPr="00764B63" w:rsidRDefault="00BA21DF" w:rsidP="00F5219E">
            <w:pPr>
              <w:pStyle w:val="GvdeMetniGirintisi"/>
              <w:widowControl w:val="0"/>
              <w:spacing w:line="230" w:lineRule="auto"/>
              <w:ind w:right="12" w:firstLine="0"/>
              <w:jc w:val="right"/>
              <w:rPr>
                <w:sz w:val="14"/>
                <w:szCs w:val="14"/>
              </w:rPr>
            </w:pPr>
            <w:r w:rsidRPr="00764B63">
              <w:rPr>
                <w:sz w:val="14"/>
                <w:szCs w:val="14"/>
              </w:rPr>
              <w:t>1</w:t>
            </w:r>
            <w:r w:rsidR="0061474C" w:rsidRPr="00764B63">
              <w:rPr>
                <w:sz w:val="14"/>
                <w:szCs w:val="14"/>
              </w:rPr>
              <w:t>28</w:t>
            </w:r>
          </w:p>
        </w:tc>
      </w:tr>
      <w:tr w:rsidR="00F27192" w:rsidRPr="00AC1668" w14:paraId="4DBD2C01" w14:textId="77777777" w:rsidTr="009164F9">
        <w:tc>
          <w:tcPr>
            <w:tcW w:w="4614" w:type="pct"/>
            <w:gridSpan w:val="2"/>
          </w:tcPr>
          <w:p w14:paraId="1C37F120" w14:textId="05B6CBA9" w:rsidR="00F27192" w:rsidRPr="00AC1668" w:rsidRDefault="00F27192" w:rsidP="00F27192">
            <w:pPr>
              <w:widowControl w:val="0"/>
              <w:spacing w:line="230" w:lineRule="auto"/>
              <w:rPr>
                <w:b/>
                <w:sz w:val="14"/>
                <w:szCs w:val="14"/>
              </w:rPr>
            </w:pPr>
          </w:p>
        </w:tc>
        <w:tc>
          <w:tcPr>
            <w:tcW w:w="386" w:type="pct"/>
            <w:vAlign w:val="bottom"/>
          </w:tcPr>
          <w:p w14:paraId="292A1039" w14:textId="77777777" w:rsidR="00F27192" w:rsidRPr="00764B63" w:rsidRDefault="00F27192" w:rsidP="00F27192">
            <w:pPr>
              <w:widowControl w:val="0"/>
              <w:spacing w:line="230" w:lineRule="auto"/>
              <w:ind w:right="12"/>
              <w:jc w:val="right"/>
              <w:rPr>
                <w:b/>
                <w:sz w:val="14"/>
                <w:szCs w:val="14"/>
              </w:rPr>
            </w:pPr>
          </w:p>
        </w:tc>
      </w:tr>
      <w:tr w:rsidR="00BA21DF" w:rsidRPr="00AC1668" w14:paraId="416FD0A6" w14:textId="23E3AF54" w:rsidTr="00BA21DF">
        <w:tc>
          <w:tcPr>
            <w:tcW w:w="4614" w:type="pct"/>
            <w:gridSpan w:val="2"/>
            <w:vAlign w:val="center"/>
          </w:tcPr>
          <w:p w14:paraId="415DAAD7" w14:textId="051E805D" w:rsidR="00BA21DF" w:rsidRPr="00AC1668" w:rsidRDefault="00BA21DF" w:rsidP="00F27192">
            <w:pPr>
              <w:widowControl w:val="0"/>
              <w:spacing w:line="230" w:lineRule="auto"/>
              <w:ind w:left="-108"/>
              <w:jc w:val="center"/>
              <w:rPr>
                <w:b/>
                <w:sz w:val="14"/>
                <w:szCs w:val="14"/>
              </w:rPr>
            </w:pPr>
            <w:r w:rsidRPr="00AC1668">
              <w:rPr>
                <w:b/>
                <w:sz w:val="14"/>
                <w:szCs w:val="14"/>
              </w:rPr>
              <w:t>Altıncı Bölüm</w:t>
            </w:r>
          </w:p>
        </w:tc>
        <w:tc>
          <w:tcPr>
            <w:tcW w:w="386" w:type="pct"/>
            <w:vAlign w:val="center"/>
          </w:tcPr>
          <w:p w14:paraId="70C9DDD0" w14:textId="77777777" w:rsidR="00BA21DF" w:rsidRPr="00764B63" w:rsidRDefault="00BA21DF" w:rsidP="00BA21DF">
            <w:pPr>
              <w:widowControl w:val="0"/>
              <w:spacing w:line="230" w:lineRule="auto"/>
              <w:jc w:val="center"/>
              <w:rPr>
                <w:b/>
                <w:sz w:val="14"/>
                <w:szCs w:val="14"/>
              </w:rPr>
            </w:pPr>
          </w:p>
        </w:tc>
      </w:tr>
      <w:tr w:rsidR="00BA21DF" w:rsidRPr="00AC1668" w14:paraId="12547CC3" w14:textId="58DD4FF0" w:rsidTr="00BA21DF">
        <w:tc>
          <w:tcPr>
            <w:tcW w:w="4614" w:type="pct"/>
            <w:gridSpan w:val="2"/>
            <w:vAlign w:val="center"/>
          </w:tcPr>
          <w:p w14:paraId="00D54F6B" w14:textId="726A0476" w:rsidR="00BA21DF" w:rsidRPr="00AC1668" w:rsidRDefault="00BA21DF" w:rsidP="00F27192">
            <w:pPr>
              <w:widowControl w:val="0"/>
              <w:spacing w:line="230" w:lineRule="auto"/>
              <w:ind w:left="-108"/>
              <w:jc w:val="center"/>
              <w:rPr>
                <w:b/>
                <w:sz w:val="14"/>
                <w:szCs w:val="14"/>
              </w:rPr>
            </w:pPr>
            <w:r w:rsidRPr="00AC1668">
              <w:rPr>
                <w:b/>
                <w:sz w:val="14"/>
                <w:szCs w:val="14"/>
              </w:rPr>
              <w:t>Diğer Açıklamalar</w:t>
            </w:r>
          </w:p>
        </w:tc>
        <w:tc>
          <w:tcPr>
            <w:tcW w:w="386" w:type="pct"/>
            <w:vAlign w:val="center"/>
          </w:tcPr>
          <w:p w14:paraId="3D50A213" w14:textId="77777777" w:rsidR="00BA21DF" w:rsidRPr="00764B63" w:rsidRDefault="00BA21DF" w:rsidP="00BA21DF">
            <w:pPr>
              <w:widowControl w:val="0"/>
              <w:spacing w:line="230" w:lineRule="auto"/>
              <w:jc w:val="center"/>
              <w:rPr>
                <w:b/>
                <w:sz w:val="14"/>
                <w:szCs w:val="14"/>
              </w:rPr>
            </w:pPr>
          </w:p>
        </w:tc>
      </w:tr>
      <w:tr w:rsidR="009164F9" w:rsidRPr="00AC1668" w14:paraId="49C865C0" w14:textId="77777777" w:rsidTr="009164F9">
        <w:tc>
          <w:tcPr>
            <w:tcW w:w="278" w:type="pct"/>
          </w:tcPr>
          <w:p w14:paraId="22290253" w14:textId="48ADB4B5" w:rsidR="005B0A27" w:rsidRPr="00AC1668" w:rsidRDefault="005B0A27" w:rsidP="00F27192">
            <w:pPr>
              <w:pStyle w:val="KonuBal"/>
              <w:widowControl w:val="0"/>
              <w:tabs>
                <w:tab w:val="clear" w:pos="4395"/>
              </w:tabs>
              <w:spacing w:line="230" w:lineRule="auto"/>
              <w:ind w:left="-108" w:right="-162"/>
              <w:jc w:val="left"/>
              <w:rPr>
                <w:rFonts w:ascii="Times New Roman" w:hAnsi="Times New Roman"/>
                <w:b w:val="0"/>
                <w:sz w:val="14"/>
                <w:szCs w:val="14"/>
              </w:rPr>
            </w:pPr>
            <w:r w:rsidRPr="00AC1668">
              <w:rPr>
                <w:rFonts w:ascii="Times New Roman" w:hAnsi="Times New Roman"/>
                <w:b w:val="0"/>
                <w:sz w:val="14"/>
                <w:szCs w:val="14"/>
              </w:rPr>
              <w:t>I.</w:t>
            </w:r>
          </w:p>
        </w:tc>
        <w:tc>
          <w:tcPr>
            <w:tcW w:w="4336" w:type="pct"/>
          </w:tcPr>
          <w:p w14:paraId="4276E355" w14:textId="77777777" w:rsidR="005B0A27" w:rsidRPr="00AC1668" w:rsidRDefault="005B0A27" w:rsidP="005B0A27">
            <w:pPr>
              <w:pStyle w:val="KonuBal"/>
              <w:widowControl w:val="0"/>
              <w:spacing w:line="230" w:lineRule="auto"/>
              <w:ind w:left="-58" w:right="-162"/>
              <w:jc w:val="left"/>
              <w:rPr>
                <w:rFonts w:ascii="Times New Roman" w:hAnsi="Times New Roman"/>
                <w:b w:val="0"/>
                <w:sz w:val="14"/>
                <w:szCs w:val="14"/>
              </w:rPr>
            </w:pPr>
            <w:r w:rsidRPr="00AC1668">
              <w:rPr>
                <w:rFonts w:ascii="Times New Roman" w:hAnsi="Times New Roman"/>
                <w:b w:val="0"/>
                <w:sz w:val="14"/>
                <w:szCs w:val="14"/>
              </w:rPr>
              <w:t>Banka’nın faaliyetlerine ilişkin diğer açıklamalar</w:t>
            </w:r>
          </w:p>
        </w:tc>
        <w:tc>
          <w:tcPr>
            <w:tcW w:w="386" w:type="pct"/>
            <w:vAlign w:val="bottom"/>
          </w:tcPr>
          <w:p w14:paraId="1A4AFC93" w14:textId="0B10334F" w:rsidR="005B0A27" w:rsidRPr="00764B63" w:rsidRDefault="00BA21DF" w:rsidP="00F27192">
            <w:pPr>
              <w:pStyle w:val="GvdeMetniGirintisi"/>
              <w:widowControl w:val="0"/>
              <w:spacing w:line="230" w:lineRule="auto"/>
              <w:ind w:right="12" w:firstLine="0"/>
              <w:jc w:val="right"/>
              <w:rPr>
                <w:sz w:val="14"/>
                <w:szCs w:val="14"/>
              </w:rPr>
            </w:pPr>
            <w:r w:rsidRPr="00764B63">
              <w:rPr>
                <w:sz w:val="14"/>
                <w:szCs w:val="14"/>
              </w:rPr>
              <w:t>1</w:t>
            </w:r>
            <w:r w:rsidR="0061474C" w:rsidRPr="00764B63">
              <w:rPr>
                <w:sz w:val="14"/>
                <w:szCs w:val="14"/>
              </w:rPr>
              <w:t>29</w:t>
            </w:r>
          </w:p>
        </w:tc>
      </w:tr>
      <w:tr w:rsidR="00F27192" w:rsidRPr="00AC1668" w14:paraId="3D22A764" w14:textId="77777777" w:rsidTr="009164F9">
        <w:tc>
          <w:tcPr>
            <w:tcW w:w="4614" w:type="pct"/>
            <w:gridSpan w:val="2"/>
          </w:tcPr>
          <w:p w14:paraId="72FC5DDA" w14:textId="77777777" w:rsidR="00F27192" w:rsidRPr="00AC1668" w:rsidRDefault="00F27192" w:rsidP="00F27192">
            <w:pPr>
              <w:widowControl w:val="0"/>
              <w:spacing w:line="230" w:lineRule="auto"/>
              <w:rPr>
                <w:bCs/>
                <w:sz w:val="14"/>
                <w:szCs w:val="14"/>
              </w:rPr>
            </w:pPr>
          </w:p>
        </w:tc>
        <w:tc>
          <w:tcPr>
            <w:tcW w:w="386" w:type="pct"/>
            <w:vAlign w:val="bottom"/>
          </w:tcPr>
          <w:p w14:paraId="56A96F60" w14:textId="1ABC98A1" w:rsidR="00F27192" w:rsidRPr="00764B63" w:rsidRDefault="00F27192" w:rsidP="00F27192">
            <w:pPr>
              <w:widowControl w:val="0"/>
              <w:spacing w:line="230" w:lineRule="auto"/>
              <w:ind w:right="12"/>
              <w:jc w:val="right"/>
              <w:rPr>
                <w:bCs/>
                <w:sz w:val="14"/>
                <w:szCs w:val="14"/>
              </w:rPr>
            </w:pPr>
          </w:p>
        </w:tc>
      </w:tr>
      <w:tr w:rsidR="00BA21DF" w:rsidRPr="00AC1668" w14:paraId="1354EB4C" w14:textId="70570924" w:rsidTr="00BA21DF">
        <w:tc>
          <w:tcPr>
            <w:tcW w:w="4614" w:type="pct"/>
            <w:gridSpan w:val="2"/>
            <w:vAlign w:val="center"/>
          </w:tcPr>
          <w:p w14:paraId="64470342" w14:textId="41A88C6F" w:rsidR="00BA21DF" w:rsidRPr="00AC1668" w:rsidRDefault="00BA21DF" w:rsidP="00F27192">
            <w:pPr>
              <w:widowControl w:val="0"/>
              <w:spacing w:line="230" w:lineRule="auto"/>
              <w:ind w:right="12"/>
              <w:jc w:val="center"/>
              <w:rPr>
                <w:b/>
                <w:sz w:val="14"/>
                <w:szCs w:val="14"/>
              </w:rPr>
            </w:pPr>
            <w:r w:rsidRPr="00AC1668">
              <w:rPr>
                <w:b/>
                <w:sz w:val="14"/>
                <w:szCs w:val="14"/>
              </w:rPr>
              <w:t>Yedinci Bölüm</w:t>
            </w:r>
          </w:p>
        </w:tc>
        <w:tc>
          <w:tcPr>
            <w:tcW w:w="386" w:type="pct"/>
            <w:vAlign w:val="center"/>
          </w:tcPr>
          <w:p w14:paraId="5606A9C1" w14:textId="77777777" w:rsidR="00BA21DF" w:rsidRPr="00764B63" w:rsidRDefault="00BA21DF" w:rsidP="00BA21DF">
            <w:pPr>
              <w:widowControl w:val="0"/>
              <w:spacing w:line="230" w:lineRule="auto"/>
              <w:ind w:right="12"/>
              <w:jc w:val="center"/>
              <w:rPr>
                <w:b/>
                <w:sz w:val="14"/>
                <w:szCs w:val="14"/>
              </w:rPr>
            </w:pPr>
          </w:p>
        </w:tc>
      </w:tr>
      <w:tr w:rsidR="00BA21DF" w:rsidRPr="00AC1668" w14:paraId="5E39EC0A" w14:textId="70B8A550" w:rsidTr="00BA21DF">
        <w:tc>
          <w:tcPr>
            <w:tcW w:w="4614" w:type="pct"/>
            <w:gridSpan w:val="2"/>
            <w:vAlign w:val="center"/>
          </w:tcPr>
          <w:p w14:paraId="4F753332" w14:textId="301950CD" w:rsidR="00BA21DF" w:rsidRPr="00AC1668" w:rsidRDefault="00BA21DF" w:rsidP="00F27192">
            <w:pPr>
              <w:widowControl w:val="0"/>
              <w:spacing w:line="230" w:lineRule="auto"/>
              <w:ind w:right="12"/>
              <w:jc w:val="center"/>
              <w:rPr>
                <w:b/>
                <w:sz w:val="14"/>
                <w:szCs w:val="14"/>
              </w:rPr>
            </w:pPr>
            <w:r w:rsidRPr="00AC1668">
              <w:rPr>
                <w:b/>
                <w:sz w:val="14"/>
                <w:szCs w:val="14"/>
              </w:rPr>
              <w:t>Bağımsız Denetim Raporu</w:t>
            </w:r>
          </w:p>
        </w:tc>
        <w:tc>
          <w:tcPr>
            <w:tcW w:w="386" w:type="pct"/>
            <w:vAlign w:val="center"/>
          </w:tcPr>
          <w:p w14:paraId="76AAE831" w14:textId="77777777" w:rsidR="00BA21DF" w:rsidRPr="00764B63" w:rsidRDefault="00BA21DF" w:rsidP="00BA21DF">
            <w:pPr>
              <w:widowControl w:val="0"/>
              <w:spacing w:line="230" w:lineRule="auto"/>
              <w:ind w:right="12"/>
              <w:jc w:val="center"/>
              <w:rPr>
                <w:b/>
                <w:sz w:val="14"/>
                <w:szCs w:val="14"/>
              </w:rPr>
            </w:pPr>
          </w:p>
        </w:tc>
      </w:tr>
      <w:tr w:rsidR="00F27192" w:rsidRPr="00AC1668" w14:paraId="3670FA62" w14:textId="77777777" w:rsidTr="009164F9">
        <w:tc>
          <w:tcPr>
            <w:tcW w:w="4614" w:type="pct"/>
            <w:gridSpan w:val="2"/>
          </w:tcPr>
          <w:p w14:paraId="125071D6" w14:textId="77777777" w:rsidR="00F27192" w:rsidRPr="00AC1668" w:rsidRDefault="00F27192" w:rsidP="00F27192">
            <w:pPr>
              <w:widowControl w:val="0"/>
              <w:spacing w:line="230" w:lineRule="auto"/>
              <w:ind w:left="-108"/>
              <w:rPr>
                <w:b/>
                <w:sz w:val="14"/>
                <w:szCs w:val="14"/>
              </w:rPr>
            </w:pPr>
          </w:p>
        </w:tc>
        <w:tc>
          <w:tcPr>
            <w:tcW w:w="386" w:type="pct"/>
            <w:vAlign w:val="bottom"/>
          </w:tcPr>
          <w:p w14:paraId="332BE806" w14:textId="77777777" w:rsidR="00F27192" w:rsidRPr="00764B63" w:rsidRDefault="00F27192" w:rsidP="00F27192">
            <w:pPr>
              <w:widowControl w:val="0"/>
              <w:spacing w:line="230" w:lineRule="auto"/>
              <w:ind w:right="12"/>
              <w:jc w:val="right"/>
              <w:rPr>
                <w:b/>
                <w:sz w:val="14"/>
                <w:szCs w:val="14"/>
              </w:rPr>
            </w:pPr>
          </w:p>
        </w:tc>
      </w:tr>
      <w:tr w:rsidR="00F5219E" w:rsidRPr="00AC1668" w14:paraId="53FE402C" w14:textId="77777777" w:rsidTr="009164F9">
        <w:trPr>
          <w:trHeight w:val="74"/>
        </w:trPr>
        <w:tc>
          <w:tcPr>
            <w:tcW w:w="278" w:type="pct"/>
          </w:tcPr>
          <w:p w14:paraId="5CA0DE52" w14:textId="355A0413" w:rsidR="00F5219E" w:rsidRPr="00AC1668" w:rsidRDefault="00F5219E" w:rsidP="00F5219E">
            <w:pPr>
              <w:pStyle w:val="KonuBal"/>
              <w:widowControl w:val="0"/>
              <w:tabs>
                <w:tab w:val="clear" w:pos="4395"/>
              </w:tabs>
              <w:spacing w:line="230" w:lineRule="auto"/>
              <w:ind w:left="-108" w:right="-162"/>
              <w:jc w:val="left"/>
              <w:rPr>
                <w:rFonts w:ascii="Times New Roman" w:hAnsi="Times New Roman"/>
                <w:b w:val="0"/>
                <w:sz w:val="14"/>
                <w:szCs w:val="14"/>
              </w:rPr>
            </w:pPr>
            <w:r w:rsidRPr="00AC1668">
              <w:rPr>
                <w:rFonts w:ascii="Times New Roman" w:hAnsi="Times New Roman"/>
                <w:b w:val="0"/>
                <w:sz w:val="14"/>
                <w:szCs w:val="14"/>
              </w:rPr>
              <w:t>I.</w:t>
            </w:r>
          </w:p>
        </w:tc>
        <w:tc>
          <w:tcPr>
            <w:tcW w:w="4336" w:type="pct"/>
          </w:tcPr>
          <w:p w14:paraId="227DE5CE" w14:textId="6AC4E435" w:rsidR="00F5219E" w:rsidRPr="00AC1668" w:rsidRDefault="00F5219E" w:rsidP="00F5219E">
            <w:pPr>
              <w:widowControl w:val="0"/>
              <w:spacing w:line="230" w:lineRule="auto"/>
              <w:ind w:left="-108"/>
              <w:rPr>
                <w:sz w:val="14"/>
                <w:szCs w:val="14"/>
              </w:rPr>
            </w:pPr>
            <w:r w:rsidRPr="00AC1668">
              <w:rPr>
                <w:sz w:val="14"/>
                <w:szCs w:val="14"/>
              </w:rPr>
              <w:t>Bağımsız denetim raporuna ilişkin olarak açıklanması gereken hususlar</w:t>
            </w:r>
          </w:p>
        </w:tc>
        <w:tc>
          <w:tcPr>
            <w:tcW w:w="386" w:type="pct"/>
            <w:vAlign w:val="bottom"/>
          </w:tcPr>
          <w:p w14:paraId="52E5C688" w14:textId="4C2322A3" w:rsidR="00F5219E" w:rsidRPr="00764B63" w:rsidRDefault="00BA21DF" w:rsidP="00F5219E">
            <w:pPr>
              <w:pStyle w:val="GvdeMetniGirintisi"/>
              <w:widowControl w:val="0"/>
              <w:spacing w:line="230" w:lineRule="auto"/>
              <w:ind w:right="12" w:firstLine="0"/>
              <w:jc w:val="right"/>
              <w:rPr>
                <w:sz w:val="14"/>
                <w:szCs w:val="14"/>
              </w:rPr>
            </w:pPr>
            <w:r w:rsidRPr="00764B63">
              <w:rPr>
                <w:sz w:val="14"/>
                <w:szCs w:val="14"/>
              </w:rPr>
              <w:t>13</w:t>
            </w:r>
            <w:r w:rsidR="0061474C" w:rsidRPr="00764B63">
              <w:rPr>
                <w:sz w:val="14"/>
                <w:szCs w:val="14"/>
              </w:rPr>
              <w:t>0</w:t>
            </w:r>
          </w:p>
        </w:tc>
      </w:tr>
      <w:tr w:rsidR="00F5219E" w:rsidRPr="00AC1668" w14:paraId="23B62651" w14:textId="77777777" w:rsidTr="009164F9">
        <w:trPr>
          <w:trHeight w:val="74"/>
        </w:trPr>
        <w:tc>
          <w:tcPr>
            <w:tcW w:w="278" w:type="pct"/>
          </w:tcPr>
          <w:p w14:paraId="3B5FF15B" w14:textId="5DE27269" w:rsidR="00F5219E" w:rsidRPr="00AC1668" w:rsidRDefault="00F5219E" w:rsidP="00F5219E">
            <w:pPr>
              <w:pStyle w:val="KonuBal"/>
              <w:widowControl w:val="0"/>
              <w:tabs>
                <w:tab w:val="clear" w:pos="4395"/>
              </w:tabs>
              <w:spacing w:line="230" w:lineRule="auto"/>
              <w:ind w:left="-108" w:right="-162"/>
              <w:jc w:val="left"/>
              <w:rPr>
                <w:rFonts w:ascii="Times New Roman" w:hAnsi="Times New Roman"/>
                <w:b w:val="0"/>
                <w:sz w:val="14"/>
                <w:szCs w:val="14"/>
              </w:rPr>
            </w:pPr>
            <w:r w:rsidRPr="00AC1668">
              <w:rPr>
                <w:rFonts w:ascii="Times New Roman" w:hAnsi="Times New Roman"/>
                <w:b w:val="0"/>
                <w:sz w:val="14"/>
                <w:szCs w:val="14"/>
              </w:rPr>
              <w:t>II.</w:t>
            </w:r>
          </w:p>
        </w:tc>
        <w:tc>
          <w:tcPr>
            <w:tcW w:w="4336" w:type="pct"/>
          </w:tcPr>
          <w:p w14:paraId="6ABAFF08" w14:textId="534C205A" w:rsidR="00F5219E" w:rsidRPr="00AC1668" w:rsidRDefault="00F5219E" w:rsidP="00F5219E">
            <w:pPr>
              <w:widowControl w:val="0"/>
              <w:spacing w:line="230" w:lineRule="auto"/>
              <w:ind w:left="-108"/>
              <w:rPr>
                <w:sz w:val="14"/>
                <w:szCs w:val="14"/>
              </w:rPr>
            </w:pPr>
            <w:r w:rsidRPr="00AC1668">
              <w:rPr>
                <w:sz w:val="14"/>
                <w:szCs w:val="14"/>
              </w:rPr>
              <w:t>Bağımsız denetçi tarafından hazırlanan açıklama ve dipnotlar</w:t>
            </w:r>
          </w:p>
        </w:tc>
        <w:tc>
          <w:tcPr>
            <w:tcW w:w="386" w:type="pct"/>
            <w:vAlign w:val="bottom"/>
          </w:tcPr>
          <w:p w14:paraId="22D6C0FB" w14:textId="1640A2D9" w:rsidR="00F5219E" w:rsidRPr="00764B63" w:rsidRDefault="00BA21DF" w:rsidP="00F5219E">
            <w:pPr>
              <w:pStyle w:val="GvdeMetniGirintisi"/>
              <w:widowControl w:val="0"/>
              <w:spacing w:line="230" w:lineRule="auto"/>
              <w:ind w:right="12" w:firstLine="0"/>
              <w:jc w:val="right"/>
              <w:rPr>
                <w:sz w:val="14"/>
                <w:szCs w:val="14"/>
              </w:rPr>
            </w:pPr>
            <w:r w:rsidRPr="00764B63">
              <w:rPr>
                <w:sz w:val="14"/>
                <w:szCs w:val="14"/>
              </w:rPr>
              <w:t>13</w:t>
            </w:r>
            <w:r w:rsidR="0061474C" w:rsidRPr="00764B63">
              <w:rPr>
                <w:sz w:val="14"/>
                <w:szCs w:val="14"/>
              </w:rPr>
              <w:t>0</w:t>
            </w:r>
          </w:p>
        </w:tc>
      </w:tr>
      <w:tr w:rsidR="00F5219E" w:rsidRPr="00AC1668" w14:paraId="5927E4C4" w14:textId="77777777" w:rsidTr="009164F9">
        <w:trPr>
          <w:trHeight w:val="74"/>
        </w:trPr>
        <w:tc>
          <w:tcPr>
            <w:tcW w:w="278" w:type="pct"/>
          </w:tcPr>
          <w:p w14:paraId="2284A6E6" w14:textId="77777777" w:rsidR="00F5219E" w:rsidRPr="00AC1668" w:rsidRDefault="00F5219E" w:rsidP="00F5219E">
            <w:pPr>
              <w:pStyle w:val="KonuBal"/>
              <w:widowControl w:val="0"/>
              <w:tabs>
                <w:tab w:val="clear" w:pos="4395"/>
              </w:tabs>
              <w:spacing w:line="230" w:lineRule="auto"/>
              <w:ind w:left="-108" w:right="-162"/>
              <w:jc w:val="left"/>
              <w:rPr>
                <w:rFonts w:ascii="Times New Roman" w:hAnsi="Times New Roman"/>
                <w:b w:val="0"/>
                <w:sz w:val="14"/>
                <w:szCs w:val="14"/>
              </w:rPr>
            </w:pPr>
          </w:p>
        </w:tc>
        <w:tc>
          <w:tcPr>
            <w:tcW w:w="4336" w:type="pct"/>
          </w:tcPr>
          <w:p w14:paraId="56039C3F" w14:textId="77777777" w:rsidR="00F5219E" w:rsidRPr="00AC1668" w:rsidRDefault="00F5219E" w:rsidP="00F5219E">
            <w:pPr>
              <w:widowControl w:val="0"/>
              <w:spacing w:line="230" w:lineRule="auto"/>
              <w:ind w:left="-108"/>
              <w:rPr>
                <w:sz w:val="14"/>
                <w:szCs w:val="14"/>
              </w:rPr>
            </w:pPr>
          </w:p>
        </w:tc>
        <w:tc>
          <w:tcPr>
            <w:tcW w:w="386" w:type="pct"/>
            <w:vAlign w:val="bottom"/>
          </w:tcPr>
          <w:p w14:paraId="638DFCCB" w14:textId="77777777" w:rsidR="00F5219E" w:rsidRPr="00764B63" w:rsidRDefault="00F5219E" w:rsidP="00F5219E">
            <w:pPr>
              <w:pStyle w:val="GvdeMetniGirintisi"/>
              <w:widowControl w:val="0"/>
              <w:spacing w:line="230" w:lineRule="auto"/>
              <w:ind w:right="12" w:firstLine="0"/>
              <w:jc w:val="right"/>
              <w:rPr>
                <w:sz w:val="14"/>
                <w:szCs w:val="14"/>
              </w:rPr>
            </w:pPr>
          </w:p>
        </w:tc>
      </w:tr>
    </w:tbl>
    <w:p w14:paraId="5447BBE7" w14:textId="58FA6FE8" w:rsidR="00D66C2A" w:rsidRPr="00AC1668" w:rsidRDefault="00D66C2A" w:rsidP="002561C7">
      <w:pPr>
        <w:pStyle w:val="GvdeMetniGirintisi"/>
        <w:widowControl w:val="0"/>
        <w:tabs>
          <w:tab w:val="left" w:pos="561"/>
          <w:tab w:val="right" w:pos="9000"/>
        </w:tabs>
        <w:spacing w:line="230" w:lineRule="auto"/>
        <w:ind w:firstLine="0"/>
        <w:rPr>
          <w:sz w:val="14"/>
          <w:szCs w:val="14"/>
        </w:rPr>
        <w:sectPr w:rsidR="00D66C2A" w:rsidRPr="00AC1668" w:rsidSect="00263CF3">
          <w:headerReference w:type="default" r:id="rId17"/>
          <w:headerReference w:type="first" r:id="rId18"/>
          <w:footerReference w:type="first" r:id="rId19"/>
          <w:pgSz w:w="11907" w:h="16840" w:code="9"/>
          <w:pgMar w:top="964" w:right="1134" w:bottom="567" w:left="1701" w:header="680" w:footer="624" w:gutter="0"/>
          <w:paperSrc w:first="7" w:other="7"/>
          <w:pgNumType w:start="2"/>
          <w:cols w:space="708"/>
          <w:titlePg/>
          <w:docGrid w:linePitch="360"/>
        </w:sectPr>
      </w:pPr>
    </w:p>
    <w:p w14:paraId="4870C7C5" w14:textId="356E297C" w:rsidR="002C6E36" w:rsidRPr="00AC1668" w:rsidRDefault="00F03980" w:rsidP="009F6E11">
      <w:pPr>
        <w:widowControl w:val="0"/>
        <w:tabs>
          <w:tab w:val="left" w:pos="720"/>
        </w:tabs>
        <w:spacing w:line="226" w:lineRule="auto"/>
        <w:ind w:left="720" w:hanging="720"/>
        <w:jc w:val="center"/>
        <w:rPr>
          <w:b/>
          <w:szCs w:val="20"/>
        </w:rPr>
      </w:pPr>
      <w:r w:rsidRPr="00AC1668">
        <w:rPr>
          <w:b/>
          <w:szCs w:val="20"/>
        </w:rPr>
        <w:lastRenderedPageBreak/>
        <w:t>BİRİNCİ BÖLÜM</w:t>
      </w:r>
    </w:p>
    <w:p w14:paraId="38B6F8C5" w14:textId="77777777" w:rsidR="00324789" w:rsidRPr="00AC1668" w:rsidRDefault="00324789" w:rsidP="009F6E11">
      <w:pPr>
        <w:widowControl w:val="0"/>
        <w:tabs>
          <w:tab w:val="left" w:pos="720"/>
        </w:tabs>
        <w:spacing w:line="226" w:lineRule="auto"/>
        <w:ind w:left="720" w:hanging="720"/>
        <w:jc w:val="both"/>
        <w:rPr>
          <w:b/>
          <w:sz w:val="16"/>
          <w:szCs w:val="16"/>
        </w:rPr>
      </w:pPr>
    </w:p>
    <w:p w14:paraId="29ACA46A" w14:textId="21C4E78D" w:rsidR="002C6E36" w:rsidRPr="00AC1668" w:rsidRDefault="000A2F98" w:rsidP="009F6E11">
      <w:pPr>
        <w:widowControl w:val="0"/>
        <w:tabs>
          <w:tab w:val="left" w:pos="720"/>
        </w:tabs>
        <w:spacing w:line="226" w:lineRule="auto"/>
        <w:ind w:left="720" w:hanging="720"/>
        <w:jc w:val="center"/>
        <w:rPr>
          <w:b/>
          <w:szCs w:val="20"/>
        </w:rPr>
      </w:pPr>
      <w:r w:rsidRPr="00AC1668">
        <w:rPr>
          <w:b/>
          <w:szCs w:val="20"/>
        </w:rPr>
        <w:t>BANKA HAKKINDA GENEL BİLGİLER</w:t>
      </w:r>
    </w:p>
    <w:p w14:paraId="4D830931" w14:textId="77777777" w:rsidR="00324789" w:rsidRPr="00AC1668" w:rsidRDefault="00324789" w:rsidP="009F6E11">
      <w:pPr>
        <w:widowControl w:val="0"/>
        <w:tabs>
          <w:tab w:val="left" w:pos="720"/>
        </w:tabs>
        <w:spacing w:line="226" w:lineRule="auto"/>
        <w:ind w:left="720" w:hanging="720"/>
        <w:jc w:val="both"/>
        <w:rPr>
          <w:b/>
          <w:sz w:val="16"/>
          <w:szCs w:val="16"/>
          <w:u w:val="single"/>
        </w:rPr>
      </w:pPr>
    </w:p>
    <w:p w14:paraId="5F2C33CC" w14:textId="43090763" w:rsidR="002C6E36" w:rsidRPr="00AC1668" w:rsidRDefault="000A2F98" w:rsidP="00212E4A">
      <w:pPr>
        <w:pStyle w:val="Balk4"/>
        <w:keepNext w:val="0"/>
        <w:widowControl w:val="0"/>
        <w:numPr>
          <w:ilvl w:val="0"/>
          <w:numId w:val="25"/>
        </w:numPr>
        <w:spacing w:line="226" w:lineRule="auto"/>
        <w:ind w:left="851" w:hanging="851"/>
        <w:rPr>
          <w:szCs w:val="20"/>
        </w:rPr>
      </w:pPr>
      <w:bookmarkStart w:id="3" w:name="_Hlk167274607"/>
      <w:r w:rsidRPr="00AC1668">
        <w:rPr>
          <w:szCs w:val="20"/>
        </w:rPr>
        <w:t>BANKA’NIN KURULUŞ TARİHİ, BAŞLANGIÇ STATÜSÜ, ANILAN STATÜDE MEYDANA GELEN DEĞİŞİKLİKLERİ İHTİVA EDEN TARİHÇESİ</w:t>
      </w:r>
    </w:p>
    <w:p w14:paraId="1070B042" w14:textId="77777777" w:rsidR="00324789" w:rsidRPr="00AC1668" w:rsidRDefault="00324789" w:rsidP="009F6E11">
      <w:pPr>
        <w:spacing w:line="226" w:lineRule="auto"/>
        <w:rPr>
          <w:sz w:val="16"/>
          <w:szCs w:val="16"/>
        </w:rPr>
      </w:pPr>
    </w:p>
    <w:p w14:paraId="27E5BF28" w14:textId="3E9A8461" w:rsidR="00030EB3" w:rsidRPr="00AC1668" w:rsidRDefault="00030EB3" w:rsidP="0015236F">
      <w:pPr>
        <w:ind w:left="851"/>
        <w:jc w:val="both"/>
      </w:pPr>
      <w:r w:rsidRPr="00AC1668">
        <w:t>Dünya Katılım Bankası Anonim Şirketi (Banka), 1984 yılında Adabank unvanıyla Anonim Şirket şeklinde kuruluşunu tamamlayarak 1985 yılında mevduat bankası olarak bankacılık faaliyetlerine başlamıştır.</w:t>
      </w:r>
      <w:r w:rsidR="00E20D73" w:rsidRPr="00AC1668">
        <w:t xml:space="preserve"> Adabank A.Ş. ortaklık hakları, yönetimi ve denetimi Bankacılık Düzenleme ve Denetleme Kurumu (BDDK) tarafından 25</w:t>
      </w:r>
      <w:r w:rsidR="008E70C0" w:rsidRPr="00AC1668">
        <w:t xml:space="preserve"> Temmuz </w:t>
      </w:r>
      <w:r w:rsidR="00E20D73" w:rsidRPr="00AC1668">
        <w:t>2003 tarihinde Tasarruf Mevduatı Sigorta Fonuna (TMSF) devredilmiştir. Tasarruf Mevduatı Sigorta Fonuna ait %96,6</w:t>
      </w:r>
      <w:r w:rsidR="002B67F3" w:rsidRPr="00AC1668">
        <w:t>8</w:t>
      </w:r>
      <w:r w:rsidR="004C6BEB" w:rsidRPr="00AC1668">
        <w:t>2340</w:t>
      </w:r>
      <w:r w:rsidR="00E20D73" w:rsidRPr="00AC1668">
        <w:t xml:space="preserve"> oranındaki hisse, ihale yoluyla satışa çıkarılmış, </w:t>
      </w:r>
      <w:r w:rsidR="003B079B" w:rsidRPr="00AC1668">
        <w:t xml:space="preserve">24 Mayıs 2023 </w:t>
      </w:r>
      <w:r w:rsidR="00EF017E" w:rsidRPr="00AC1668">
        <w:t xml:space="preserve">tarihinde </w:t>
      </w:r>
      <w:r w:rsidR="00E20D73" w:rsidRPr="00AC1668">
        <w:t xml:space="preserve">yapılan ihale sonucunda, </w:t>
      </w:r>
      <w:r w:rsidR="008E70C0" w:rsidRPr="00AC1668">
        <w:t>TMSF’ye ait hisselerin</w:t>
      </w:r>
      <w:r w:rsidR="00E20D73" w:rsidRPr="00AC1668">
        <w:t xml:space="preserve"> AHL </w:t>
      </w:r>
      <w:proofErr w:type="spellStart"/>
      <w:r w:rsidR="00E20D73" w:rsidRPr="00AC1668">
        <w:t>Ahlatcı</w:t>
      </w:r>
      <w:proofErr w:type="spellEnd"/>
      <w:r w:rsidR="00E20D73" w:rsidRPr="00AC1668">
        <w:t xml:space="preserve"> Finansal Yönetim </w:t>
      </w:r>
      <w:proofErr w:type="spellStart"/>
      <w:r w:rsidR="00E20D73" w:rsidRPr="00AC1668">
        <w:t>A.Ş.’ye</w:t>
      </w:r>
      <w:proofErr w:type="spellEnd"/>
      <w:r w:rsidR="00E20D73" w:rsidRPr="00AC1668">
        <w:t xml:space="preserve"> devredilmesine karar verilmiştir. Adabank A.Ş.’</w:t>
      </w:r>
      <w:proofErr w:type="spellStart"/>
      <w:r w:rsidR="00E20D73" w:rsidRPr="00AC1668">
        <w:t>nin</w:t>
      </w:r>
      <w:proofErr w:type="spellEnd"/>
      <w:r w:rsidR="00EF017E" w:rsidRPr="00AC1668">
        <w:t xml:space="preserve"> mevcut bankacılık niteliği olan mevduat bankası statüsü</w:t>
      </w:r>
      <w:r w:rsidR="00E20D73" w:rsidRPr="00AC1668">
        <w:t xml:space="preserve"> yapılan başvuru üzerine Bankacılık Düzenleme ve Denetleme Kurumu tarafından değerlendirilerek 23</w:t>
      </w:r>
      <w:r w:rsidR="008E70C0" w:rsidRPr="00AC1668">
        <w:t xml:space="preserve"> Kasım </w:t>
      </w:r>
      <w:r w:rsidR="00E20D73" w:rsidRPr="00AC1668">
        <w:t>2023 tarih ve 10729 sayılı kararıyla katılım bankası olarak değiştirilmiş ve bu karar 28</w:t>
      </w:r>
      <w:r w:rsidR="002B67F3" w:rsidRPr="00AC1668">
        <w:t xml:space="preserve"> Kasım </w:t>
      </w:r>
      <w:r w:rsidR="00E20D73" w:rsidRPr="00AC1668">
        <w:t>2023 tarihli ve 32383 sayılı Resmî Gazetede yayımlanarak yürürlüğe girmiştir.</w:t>
      </w:r>
      <w:r w:rsidR="008E70C0" w:rsidRPr="00AC1668">
        <w:t xml:space="preserve"> Banka’nın Adabank olan ticaret </w:t>
      </w:r>
      <w:proofErr w:type="spellStart"/>
      <w:r w:rsidR="008E70C0" w:rsidRPr="00AC1668">
        <w:t>ünvanı</w:t>
      </w:r>
      <w:proofErr w:type="spellEnd"/>
      <w:r w:rsidR="008E70C0" w:rsidRPr="00AC1668">
        <w:t xml:space="preserve"> 25 Aralık 2023 tarihinde yapılan Genel Kurul kararı ile Dünya Katılım Bankası Anonim Şirket’i olarak değiştirilmiştir.</w:t>
      </w:r>
    </w:p>
    <w:p w14:paraId="469224C0" w14:textId="77777777" w:rsidR="00030EB3" w:rsidRPr="00AC1668" w:rsidRDefault="00030EB3" w:rsidP="009F6E11">
      <w:pPr>
        <w:widowControl w:val="0"/>
        <w:spacing w:line="226" w:lineRule="auto"/>
        <w:rPr>
          <w:sz w:val="16"/>
          <w:szCs w:val="16"/>
        </w:rPr>
      </w:pPr>
    </w:p>
    <w:p w14:paraId="79B0200B" w14:textId="4C6D3363" w:rsidR="002C6E36" w:rsidRPr="00AC1668" w:rsidRDefault="000A2F98" w:rsidP="00212E4A">
      <w:pPr>
        <w:pStyle w:val="Balk4"/>
        <w:keepNext w:val="0"/>
        <w:widowControl w:val="0"/>
        <w:numPr>
          <w:ilvl w:val="0"/>
          <w:numId w:val="25"/>
        </w:numPr>
        <w:spacing w:line="226" w:lineRule="auto"/>
        <w:ind w:left="851" w:hanging="851"/>
        <w:rPr>
          <w:szCs w:val="20"/>
        </w:rPr>
      </w:pPr>
      <w:r w:rsidRPr="00AC1668">
        <w:rPr>
          <w:szCs w:val="20"/>
        </w:rPr>
        <w:t>BANKA’NIN SERMAYE YAPISI, YÖNETİM VE DENETİMİNİ DOĞRUDAN VEYA DOLAYLI OLARAK TEK BAŞINA VEYA BİRLİKTE ELİNDE BULUNDURAN ORTAKLARI, VARSA BU HUSUSLARDA YIL İÇİNDEKİ DEĞİŞİKLİKLER İLE DAHİL OLDUĞU GRUBA İLİŞKİN AÇIKLAMA</w:t>
      </w:r>
    </w:p>
    <w:p w14:paraId="7905AB0C" w14:textId="77777777" w:rsidR="00324789" w:rsidRPr="00AC1668" w:rsidRDefault="00324789" w:rsidP="009F6E11">
      <w:pPr>
        <w:spacing w:line="226" w:lineRule="auto"/>
        <w:ind w:left="-540"/>
        <w:rPr>
          <w:sz w:val="16"/>
          <w:szCs w:val="16"/>
        </w:rPr>
      </w:pPr>
    </w:p>
    <w:p w14:paraId="6BA3A358" w14:textId="62B425C8" w:rsidR="00420F11" w:rsidRPr="00AC1668" w:rsidRDefault="003B079B" w:rsidP="0015236F">
      <w:pPr>
        <w:ind w:left="851"/>
        <w:jc w:val="both"/>
      </w:pPr>
      <w:bookmarkStart w:id="4" w:name="_Hlk94776611"/>
      <w:r w:rsidRPr="00AC1668">
        <w:t xml:space="preserve">Tasarruf Mevduatı Sigorta Fonuna (Fon) ait %96,682340 oranındaki 966.823.400 adet hissesi ihale yoluyla satışa çıkarılmış, söz konusu satışa ilişkin ilanın 19.04.2023 tarihli ve 32168 sayılı </w:t>
      </w:r>
      <w:r w:rsidR="00B21AE8" w:rsidRPr="00AC1668">
        <w:t>Resmî</w:t>
      </w:r>
      <w:r w:rsidRPr="00AC1668">
        <w:t xml:space="preserve"> Gazetede yayımlanması ile satış sürecine başlanmıştır. Fon tarafından 24.05.2023 tarihinde kapalı zarf ve açık artırma usulüyle gerçekleştirilen ihale neticesinde Banka hisselerinin ilgili kurumlardan izin alınmak kaydıyla AHL </w:t>
      </w:r>
      <w:proofErr w:type="spellStart"/>
      <w:r w:rsidRPr="00AC1668">
        <w:t>Ahlatcı</w:t>
      </w:r>
      <w:proofErr w:type="spellEnd"/>
      <w:r w:rsidRPr="00AC1668">
        <w:t xml:space="preserve"> Finansal Yönetim AŞ’ye ihale edilmesine karar verilmiştir. Bu kapsamda Bankacılık Düzenleme ve Denetleme Kurulunun 14.08.2023 tarih ve 10649 sayılı kararıyla; Bankanın TMSF’ye ait %96,682340 oranındaki hissesinin AHL </w:t>
      </w:r>
      <w:proofErr w:type="spellStart"/>
      <w:r w:rsidRPr="00AC1668">
        <w:t>Ahlatcı</w:t>
      </w:r>
      <w:proofErr w:type="spellEnd"/>
      <w:r w:rsidRPr="00AC1668">
        <w:t xml:space="preserve"> Finansal Yönetim AŞ’ye devredilmesine, 5411 sayılı Bankacılık Kanununun 18’inci maddesinin birinci fıkrası ile Bankaların İzne Tabi İşlemleri ile Dolaylı Pay Sahipliğine İlişkin Yönetmeliğin 11’inci maddesinin (1) ve (2) numaralı fıkraları uyarınca izin verilmiştir. AHL </w:t>
      </w:r>
      <w:proofErr w:type="spellStart"/>
      <w:r w:rsidRPr="00AC1668">
        <w:t>Ahlatcı</w:t>
      </w:r>
      <w:proofErr w:type="spellEnd"/>
      <w:r w:rsidRPr="00AC1668">
        <w:t xml:space="preserve"> Finansal Yönetim AŞ’nin Bankadaki hissesi %96,682340 olmuş ve pay defterine işlenmiştir. </w:t>
      </w:r>
    </w:p>
    <w:p w14:paraId="341A4E5C" w14:textId="703CFE0E" w:rsidR="00DE4518" w:rsidRPr="00AC1668" w:rsidRDefault="00DE4518" w:rsidP="0015236F">
      <w:pPr>
        <w:ind w:left="851"/>
        <w:jc w:val="both"/>
      </w:pPr>
    </w:p>
    <w:p w14:paraId="19E882CF" w14:textId="77777777" w:rsidR="007468FA" w:rsidRPr="00AC1668" w:rsidRDefault="007468FA" w:rsidP="007468FA">
      <w:pPr>
        <w:ind w:left="851"/>
        <w:jc w:val="both"/>
      </w:pPr>
      <w:bookmarkStart w:id="5" w:name="_Hlk170922084"/>
      <w:r w:rsidRPr="00AC1668">
        <w:t xml:space="preserve">Bankanın, 2024 yılı içerisinde yaptığı sermaye artışlarına katılan pay sahiplerinin yaptığı nakdi sermaye ödemeleri sonucunda AHL </w:t>
      </w:r>
      <w:proofErr w:type="spellStart"/>
      <w:r w:rsidRPr="00AC1668">
        <w:t>Ahlatcı</w:t>
      </w:r>
      <w:proofErr w:type="spellEnd"/>
      <w:r w:rsidRPr="00AC1668">
        <w:t xml:space="preserve"> Finansal Yönetim AŞ’nin bankadaki payı %99,945, diğer pay sahiplerinin paylarının toplamı ise %0,055 olarak gerçekleşmiştir.</w:t>
      </w:r>
    </w:p>
    <w:p w14:paraId="07EEF7C6" w14:textId="77777777" w:rsidR="007468FA" w:rsidRPr="00AC1668" w:rsidRDefault="007468FA" w:rsidP="007468FA">
      <w:pPr>
        <w:ind w:left="851"/>
        <w:jc w:val="both"/>
      </w:pPr>
    </w:p>
    <w:p w14:paraId="575ABCE3" w14:textId="77777777" w:rsidR="009B0E8B" w:rsidRPr="00AC1668" w:rsidRDefault="009B0E8B">
      <w:r w:rsidRPr="00AC1668">
        <w:br w:type="page"/>
      </w:r>
    </w:p>
    <w:p w14:paraId="1ED6AC4B" w14:textId="77777777" w:rsidR="009B0E8B" w:rsidRPr="00AC1668" w:rsidRDefault="009B0E8B" w:rsidP="009B0E8B">
      <w:pPr>
        <w:widowControl w:val="0"/>
        <w:tabs>
          <w:tab w:val="left" w:pos="720"/>
        </w:tabs>
        <w:spacing w:line="235" w:lineRule="auto"/>
        <w:ind w:left="720" w:hanging="720"/>
        <w:rPr>
          <w:b/>
          <w:szCs w:val="20"/>
        </w:rPr>
      </w:pPr>
      <w:r w:rsidRPr="00AC1668">
        <w:rPr>
          <w:b/>
          <w:szCs w:val="20"/>
        </w:rPr>
        <w:lastRenderedPageBreak/>
        <w:t>BANKA HAKKINDA GENEL BİLGİLER (Devamı)</w:t>
      </w:r>
    </w:p>
    <w:bookmarkEnd w:id="3"/>
    <w:bookmarkEnd w:id="5"/>
    <w:p w14:paraId="6FD150E5" w14:textId="77777777" w:rsidR="00326C4A" w:rsidRPr="00AC1668" w:rsidRDefault="00326C4A" w:rsidP="009F6E11">
      <w:pPr>
        <w:spacing w:line="226" w:lineRule="auto"/>
        <w:ind w:left="851"/>
        <w:rPr>
          <w:b/>
          <w:bCs/>
          <w:sz w:val="16"/>
          <w:szCs w:val="16"/>
        </w:rPr>
      </w:pPr>
    </w:p>
    <w:bookmarkEnd w:id="4"/>
    <w:p w14:paraId="67408589" w14:textId="14592F50" w:rsidR="002C6E36" w:rsidRPr="00AC1668" w:rsidRDefault="005A25EF" w:rsidP="009F6E11">
      <w:pPr>
        <w:pStyle w:val="Balk4"/>
        <w:keepNext w:val="0"/>
        <w:widowControl w:val="0"/>
        <w:spacing w:line="226" w:lineRule="auto"/>
        <w:ind w:left="851" w:hanging="851"/>
        <w:rPr>
          <w:szCs w:val="20"/>
        </w:rPr>
      </w:pPr>
      <w:r w:rsidRPr="00AC1668">
        <w:rPr>
          <w:szCs w:val="20"/>
        </w:rPr>
        <w:t>III</w:t>
      </w:r>
      <w:r w:rsidR="001664EA" w:rsidRPr="00AC1668">
        <w:rPr>
          <w:szCs w:val="20"/>
        </w:rPr>
        <w:t>.</w:t>
      </w:r>
      <w:r w:rsidR="001664EA" w:rsidRPr="00AC1668">
        <w:rPr>
          <w:szCs w:val="20"/>
        </w:rPr>
        <w:tab/>
      </w:r>
      <w:bookmarkStart w:id="6" w:name="_Hlk110848868"/>
      <w:r w:rsidR="000A2F98" w:rsidRPr="00AC1668">
        <w:rPr>
          <w:szCs w:val="20"/>
        </w:rPr>
        <w:t>BANKA’NIN YÖNETİM KURULU BAŞKAN VE ÜYELERİ, DENETİM KOMİTESİ ÜYELERİ İLE GENEL MÜDÜR VE YARDIMCILARININ VARSA BANKA’DA SAHİP OLDUKLARI PAYLARA VE SORUMLULUK ALANLARINA İLİŞKİN AÇIKLAMALAR</w:t>
      </w:r>
    </w:p>
    <w:p w14:paraId="1AB265BE" w14:textId="77777777" w:rsidR="00324789" w:rsidRPr="00AC1668" w:rsidRDefault="00324789" w:rsidP="009F6E11">
      <w:pPr>
        <w:spacing w:line="226" w:lineRule="auto"/>
        <w:rPr>
          <w:sz w:val="16"/>
          <w:szCs w:val="16"/>
        </w:rPr>
      </w:pPr>
    </w:p>
    <w:tbl>
      <w:tblPr>
        <w:tblW w:w="4526"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816"/>
        <w:gridCol w:w="4900"/>
      </w:tblGrid>
      <w:tr w:rsidR="00326C4A" w:rsidRPr="00AC1668" w14:paraId="5DA88F84" w14:textId="77777777" w:rsidTr="00232876">
        <w:trPr>
          <w:trHeight w:val="57"/>
        </w:trPr>
        <w:tc>
          <w:tcPr>
            <w:tcW w:w="2189" w:type="pct"/>
            <w:tcBorders>
              <w:top w:val="single" w:sz="4" w:space="0" w:color="auto"/>
              <w:left w:val="single" w:sz="4" w:space="0" w:color="auto"/>
              <w:right w:val="dotted" w:sz="4" w:space="0" w:color="auto"/>
            </w:tcBorders>
            <w:vAlign w:val="bottom"/>
            <w:hideMark/>
          </w:tcPr>
          <w:p w14:paraId="2DE72C16" w14:textId="77777777" w:rsidR="00326C4A" w:rsidRPr="00AC1668" w:rsidRDefault="00326C4A" w:rsidP="00FA634F">
            <w:pPr>
              <w:spacing w:line="226" w:lineRule="auto"/>
              <w:rPr>
                <w:b/>
                <w:bCs/>
                <w:sz w:val="18"/>
                <w:szCs w:val="18"/>
              </w:rPr>
            </w:pPr>
            <w:bookmarkStart w:id="7" w:name="_Hlk133316957"/>
            <w:r w:rsidRPr="00AC1668">
              <w:rPr>
                <w:b/>
                <w:bCs/>
                <w:sz w:val="18"/>
                <w:szCs w:val="18"/>
              </w:rPr>
              <w:t>İsmi</w:t>
            </w:r>
          </w:p>
        </w:tc>
        <w:tc>
          <w:tcPr>
            <w:tcW w:w="2811" w:type="pct"/>
            <w:tcBorders>
              <w:top w:val="single" w:sz="4" w:space="0" w:color="auto"/>
              <w:left w:val="dotted" w:sz="4" w:space="0" w:color="auto"/>
              <w:right w:val="single" w:sz="4" w:space="0" w:color="auto"/>
            </w:tcBorders>
            <w:vAlign w:val="bottom"/>
            <w:hideMark/>
          </w:tcPr>
          <w:p w14:paraId="18931565" w14:textId="77777777" w:rsidR="00326C4A" w:rsidRPr="00AC1668" w:rsidRDefault="00326C4A" w:rsidP="00FA634F">
            <w:pPr>
              <w:spacing w:line="226" w:lineRule="auto"/>
              <w:rPr>
                <w:b/>
                <w:bCs/>
                <w:sz w:val="18"/>
                <w:szCs w:val="18"/>
              </w:rPr>
            </w:pPr>
            <w:r w:rsidRPr="00AC1668">
              <w:rPr>
                <w:b/>
                <w:bCs/>
                <w:sz w:val="18"/>
                <w:szCs w:val="18"/>
              </w:rPr>
              <w:t>Görevi</w:t>
            </w:r>
          </w:p>
        </w:tc>
      </w:tr>
      <w:tr w:rsidR="00326C4A" w:rsidRPr="00AC1668" w14:paraId="33E3F957" w14:textId="77777777" w:rsidTr="00232876">
        <w:trPr>
          <w:trHeight w:val="57"/>
        </w:trPr>
        <w:tc>
          <w:tcPr>
            <w:tcW w:w="2189" w:type="pct"/>
            <w:tcBorders>
              <w:top w:val="dotted" w:sz="4" w:space="0" w:color="auto"/>
              <w:left w:val="single" w:sz="4" w:space="0" w:color="auto"/>
              <w:bottom w:val="dotted" w:sz="4" w:space="0" w:color="auto"/>
              <w:right w:val="dotted" w:sz="4" w:space="0" w:color="auto"/>
            </w:tcBorders>
            <w:vAlign w:val="bottom"/>
            <w:hideMark/>
          </w:tcPr>
          <w:p w14:paraId="2696B444" w14:textId="77777777" w:rsidR="00326C4A" w:rsidRPr="00AC1668" w:rsidRDefault="00326C4A" w:rsidP="00FA634F">
            <w:pPr>
              <w:spacing w:line="226" w:lineRule="auto"/>
              <w:rPr>
                <w:b/>
                <w:bCs/>
                <w:sz w:val="18"/>
                <w:szCs w:val="18"/>
                <w:vertAlign w:val="superscript"/>
              </w:rPr>
            </w:pPr>
            <w:r w:rsidRPr="00AC1668">
              <w:rPr>
                <w:b/>
                <w:bCs/>
                <w:sz w:val="18"/>
                <w:szCs w:val="18"/>
              </w:rPr>
              <w:t xml:space="preserve">Yönetim Kurulu Üyeleri </w:t>
            </w:r>
          </w:p>
        </w:tc>
        <w:tc>
          <w:tcPr>
            <w:tcW w:w="2811" w:type="pct"/>
            <w:tcBorders>
              <w:top w:val="dotted" w:sz="4" w:space="0" w:color="auto"/>
              <w:left w:val="dotted" w:sz="4" w:space="0" w:color="auto"/>
              <w:bottom w:val="dotted" w:sz="4" w:space="0" w:color="auto"/>
              <w:right w:val="single" w:sz="4" w:space="0" w:color="auto"/>
            </w:tcBorders>
            <w:vAlign w:val="bottom"/>
            <w:hideMark/>
          </w:tcPr>
          <w:p w14:paraId="7E8E4B19" w14:textId="77777777" w:rsidR="00326C4A" w:rsidRPr="00AC1668" w:rsidRDefault="00326C4A" w:rsidP="00FA634F">
            <w:pPr>
              <w:spacing w:line="226" w:lineRule="auto"/>
              <w:rPr>
                <w:b/>
                <w:bCs/>
                <w:sz w:val="18"/>
                <w:szCs w:val="18"/>
              </w:rPr>
            </w:pPr>
            <w:r w:rsidRPr="00AC1668">
              <w:rPr>
                <w:b/>
                <w:bCs/>
                <w:sz w:val="18"/>
                <w:szCs w:val="18"/>
              </w:rPr>
              <w:t> </w:t>
            </w:r>
          </w:p>
        </w:tc>
      </w:tr>
      <w:tr w:rsidR="00326C4A" w:rsidRPr="00AC1668" w14:paraId="0F0EF78A" w14:textId="77777777" w:rsidTr="00232876">
        <w:trPr>
          <w:trHeight w:val="57"/>
        </w:trPr>
        <w:tc>
          <w:tcPr>
            <w:tcW w:w="2189" w:type="pct"/>
            <w:tcBorders>
              <w:top w:val="dotted" w:sz="4" w:space="0" w:color="auto"/>
              <w:left w:val="single" w:sz="4" w:space="0" w:color="auto"/>
              <w:bottom w:val="dotted" w:sz="4" w:space="0" w:color="auto"/>
              <w:right w:val="dotted" w:sz="4" w:space="0" w:color="auto"/>
            </w:tcBorders>
            <w:vAlign w:val="bottom"/>
            <w:hideMark/>
          </w:tcPr>
          <w:p w14:paraId="4BE150CD" w14:textId="2C7EC2ED" w:rsidR="00326C4A" w:rsidRPr="00AC1668" w:rsidRDefault="00326C4A" w:rsidP="006954CA">
            <w:pPr>
              <w:spacing w:line="226" w:lineRule="auto"/>
              <w:ind w:left="49" w:firstLineChars="189" w:firstLine="340"/>
              <w:rPr>
                <w:sz w:val="18"/>
                <w:szCs w:val="18"/>
              </w:rPr>
            </w:pPr>
            <w:r w:rsidRPr="00AC1668">
              <w:rPr>
                <w:sz w:val="18"/>
                <w:szCs w:val="18"/>
              </w:rPr>
              <w:t>Ahmet AHLATCI</w:t>
            </w:r>
          </w:p>
        </w:tc>
        <w:tc>
          <w:tcPr>
            <w:tcW w:w="2811" w:type="pct"/>
            <w:tcBorders>
              <w:top w:val="dotted" w:sz="4" w:space="0" w:color="auto"/>
              <w:left w:val="dotted" w:sz="4" w:space="0" w:color="auto"/>
              <w:bottom w:val="dotted" w:sz="4" w:space="0" w:color="auto"/>
              <w:right w:val="single" w:sz="4" w:space="0" w:color="auto"/>
            </w:tcBorders>
            <w:vAlign w:val="bottom"/>
            <w:hideMark/>
          </w:tcPr>
          <w:p w14:paraId="1DE5AC48" w14:textId="0FE3DDB0" w:rsidR="00326C4A" w:rsidRPr="00AC1668" w:rsidRDefault="002E5063" w:rsidP="00FA634F">
            <w:pPr>
              <w:spacing w:line="226" w:lineRule="auto"/>
              <w:rPr>
                <w:sz w:val="18"/>
                <w:szCs w:val="18"/>
              </w:rPr>
            </w:pPr>
            <w:r w:rsidRPr="00AC1668">
              <w:rPr>
                <w:sz w:val="18"/>
                <w:szCs w:val="18"/>
              </w:rPr>
              <w:t xml:space="preserve">Yönetim Kurulu </w:t>
            </w:r>
            <w:r w:rsidR="00326C4A" w:rsidRPr="00AC1668">
              <w:rPr>
                <w:sz w:val="18"/>
                <w:szCs w:val="18"/>
              </w:rPr>
              <w:t>Başkan</w:t>
            </w:r>
            <w:r w:rsidRPr="00AC1668">
              <w:rPr>
                <w:sz w:val="18"/>
                <w:szCs w:val="18"/>
              </w:rPr>
              <w:t>ı</w:t>
            </w:r>
          </w:p>
        </w:tc>
      </w:tr>
      <w:tr w:rsidR="00326C4A" w:rsidRPr="00AC1668" w14:paraId="50ABE616" w14:textId="77777777" w:rsidTr="00232876">
        <w:trPr>
          <w:trHeight w:val="57"/>
        </w:trPr>
        <w:tc>
          <w:tcPr>
            <w:tcW w:w="2189" w:type="pct"/>
            <w:tcBorders>
              <w:top w:val="dotted" w:sz="4" w:space="0" w:color="auto"/>
              <w:left w:val="single" w:sz="4" w:space="0" w:color="auto"/>
              <w:bottom w:val="dotted" w:sz="4" w:space="0" w:color="auto"/>
              <w:right w:val="dotted" w:sz="4" w:space="0" w:color="auto"/>
            </w:tcBorders>
            <w:vAlign w:val="bottom"/>
            <w:hideMark/>
          </w:tcPr>
          <w:p w14:paraId="4C3B1125" w14:textId="259309BD" w:rsidR="00326C4A" w:rsidRPr="00AC1668" w:rsidRDefault="00326C4A" w:rsidP="006954CA">
            <w:pPr>
              <w:spacing w:line="226" w:lineRule="auto"/>
              <w:ind w:left="49" w:firstLineChars="189" w:firstLine="340"/>
              <w:rPr>
                <w:sz w:val="18"/>
                <w:szCs w:val="18"/>
              </w:rPr>
            </w:pPr>
            <w:r w:rsidRPr="00AC1668">
              <w:rPr>
                <w:sz w:val="18"/>
                <w:szCs w:val="18"/>
              </w:rPr>
              <w:t>Murat UYSAL</w:t>
            </w:r>
          </w:p>
        </w:tc>
        <w:tc>
          <w:tcPr>
            <w:tcW w:w="2811" w:type="pct"/>
            <w:tcBorders>
              <w:top w:val="dotted" w:sz="4" w:space="0" w:color="auto"/>
              <w:left w:val="dotted" w:sz="4" w:space="0" w:color="auto"/>
              <w:bottom w:val="dotted" w:sz="4" w:space="0" w:color="auto"/>
              <w:right w:val="single" w:sz="4" w:space="0" w:color="auto"/>
            </w:tcBorders>
            <w:vAlign w:val="bottom"/>
            <w:hideMark/>
          </w:tcPr>
          <w:p w14:paraId="110D9222" w14:textId="5BC97E19" w:rsidR="00326C4A" w:rsidRPr="00AC1668" w:rsidRDefault="002E5063" w:rsidP="00FA634F">
            <w:pPr>
              <w:spacing w:line="226" w:lineRule="auto"/>
              <w:rPr>
                <w:sz w:val="18"/>
                <w:szCs w:val="18"/>
              </w:rPr>
            </w:pPr>
            <w:r w:rsidRPr="00AC1668">
              <w:rPr>
                <w:sz w:val="18"/>
                <w:szCs w:val="18"/>
              </w:rPr>
              <w:t xml:space="preserve">Yönetim Kurulu </w:t>
            </w:r>
            <w:r w:rsidR="00243A2C" w:rsidRPr="00AC1668">
              <w:rPr>
                <w:sz w:val="18"/>
                <w:szCs w:val="18"/>
              </w:rPr>
              <w:t>Başkan Vekili</w:t>
            </w:r>
          </w:p>
        </w:tc>
      </w:tr>
      <w:tr w:rsidR="00326C4A" w:rsidRPr="00AC1668" w14:paraId="7B973090" w14:textId="77777777" w:rsidTr="00232876">
        <w:trPr>
          <w:trHeight w:val="57"/>
        </w:trPr>
        <w:tc>
          <w:tcPr>
            <w:tcW w:w="2189" w:type="pct"/>
            <w:tcBorders>
              <w:top w:val="dotted" w:sz="4" w:space="0" w:color="auto"/>
              <w:left w:val="single" w:sz="4" w:space="0" w:color="auto"/>
              <w:bottom w:val="dotted" w:sz="4" w:space="0" w:color="auto"/>
              <w:right w:val="dotted" w:sz="4" w:space="0" w:color="auto"/>
            </w:tcBorders>
            <w:vAlign w:val="bottom"/>
          </w:tcPr>
          <w:p w14:paraId="797DF914" w14:textId="501330E0" w:rsidR="00326C4A" w:rsidRPr="00AC1668" w:rsidRDefault="00326C4A" w:rsidP="006954CA">
            <w:pPr>
              <w:spacing w:line="226" w:lineRule="auto"/>
              <w:ind w:left="49" w:firstLineChars="189" w:firstLine="340"/>
              <w:rPr>
                <w:sz w:val="18"/>
                <w:szCs w:val="18"/>
              </w:rPr>
            </w:pPr>
            <w:r w:rsidRPr="00AC1668">
              <w:rPr>
                <w:sz w:val="18"/>
                <w:szCs w:val="18"/>
              </w:rPr>
              <w:t>Ahmet Emin AHLATCI</w:t>
            </w:r>
          </w:p>
        </w:tc>
        <w:tc>
          <w:tcPr>
            <w:tcW w:w="2811" w:type="pct"/>
            <w:tcBorders>
              <w:top w:val="dotted" w:sz="4" w:space="0" w:color="auto"/>
              <w:left w:val="dotted" w:sz="4" w:space="0" w:color="auto"/>
              <w:bottom w:val="dotted" w:sz="4" w:space="0" w:color="auto"/>
              <w:right w:val="single" w:sz="4" w:space="0" w:color="auto"/>
            </w:tcBorders>
            <w:vAlign w:val="bottom"/>
          </w:tcPr>
          <w:p w14:paraId="70C974EA" w14:textId="12B2EE24" w:rsidR="00326C4A" w:rsidRPr="00AC1668" w:rsidRDefault="002E5063" w:rsidP="00FA634F">
            <w:pPr>
              <w:spacing w:line="226" w:lineRule="auto"/>
              <w:rPr>
                <w:sz w:val="18"/>
                <w:szCs w:val="18"/>
              </w:rPr>
            </w:pPr>
            <w:r w:rsidRPr="00AC1668">
              <w:rPr>
                <w:sz w:val="18"/>
                <w:szCs w:val="18"/>
              </w:rPr>
              <w:t xml:space="preserve">Yönetim Kurulu </w:t>
            </w:r>
            <w:r w:rsidR="00243A2C" w:rsidRPr="00AC1668">
              <w:rPr>
                <w:sz w:val="18"/>
                <w:szCs w:val="18"/>
              </w:rPr>
              <w:t>Üye</w:t>
            </w:r>
            <w:r w:rsidRPr="00AC1668">
              <w:rPr>
                <w:sz w:val="18"/>
                <w:szCs w:val="18"/>
              </w:rPr>
              <w:t>si</w:t>
            </w:r>
          </w:p>
        </w:tc>
      </w:tr>
      <w:tr w:rsidR="00326C4A" w:rsidRPr="00AC1668" w14:paraId="39502446" w14:textId="77777777" w:rsidTr="00232876">
        <w:trPr>
          <w:trHeight w:val="57"/>
        </w:trPr>
        <w:tc>
          <w:tcPr>
            <w:tcW w:w="2189" w:type="pct"/>
            <w:tcBorders>
              <w:top w:val="dotted" w:sz="4" w:space="0" w:color="auto"/>
              <w:left w:val="single" w:sz="4" w:space="0" w:color="auto"/>
              <w:bottom w:val="dotted" w:sz="4" w:space="0" w:color="auto"/>
              <w:right w:val="dotted" w:sz="4" w:space="0" w:color="auto"/>
            </w:tcBorders>
            <w:vAlign w:val="bottom"/>
          </w:tcPr>
          <w:p w14:paraId="02F688F9" w14:textId="23A9B3A6" w:rsidR="00326C4A" w:rsidRPr="00AC1668" w:rsidRDefault="00326C4A" w:rsidP="006954CA">
            <w:pPr>
              <w:spacing w:line="226" w:lineRule="auto"/>
              <w:ind w:left="49" w:firstLineChars="189" w:firstLine="340"/>
              <w:rPr>
                <w:sz w:val="18"/>
                <w:szCs w:val="18"/>
              </w:rPr>
            </w:pPr>
            <w:r w:rsidRPr="00AC1668">
              <w:rPr>
                <w:sz w:val="18"/>
                <w:szCs w:val="18"/>
              </w:rPr>
              <w:t>Rıza Tuna TURAGAY</w:t>
            </w:r>
          </w:p>
        </w:tc>
        <w:tc>
          <w:tcPr>
            <w:tcW w:w="2811" w:type="pct"/>
            <w:tcBorders>
              <w:top w:val="dotted" w:sz="4" w:space="0" w:color="auto"/>
              <w:left w:val="dotted" w:sz="4" w:space="0" w:color="auto"/>
              <w:bottom w:val="dotted" w:sz="4" w:space="0" w:color="auto"/>
              <w:right w:val="single" w:sz="4" w:space="0" w:color="auto"/>
            </w:tcBorders>
            <w:vAlign w:val="bottom"/>
          </w:tcPr>
          <w:p w14:paraId="46F17CDE" w14:textId="7FFE7C95" w:rsidR="00326C4A" w:rsidRPr="00AC1668" w:rsidRDefault="002E5063" w:rsidP="00FA634F">
            <w:pPr>
              <w:spacing w:line="226" w:lineRule="auto"/>
              <w:rPr>
                <w:sz w:val="18"/>
                <w:szCs w:val="18"/>
              </w:rPr>
            </w:pPr>
            <w:r w:rsidRPr="00AC1668">
              <w:rPr>
                <w:sz w:val="18"/>
                <w:szCs w:val="18"/>
              </w:rPr>
              <w:t>Yönetim Kurulu Üyesi</w:t>
            </w:r>
          </w:p>
        </w:tc>
      </w:tr>
      <w:tr w:rsidR="00694797" w:rsidRPr="00AC1668" w14:paraId="2ADDCCAA" w14:textId="77777777" w:rsidTr="00232876">
        <w:trPr>
          <w:trHeight w:val="57"/>
        </w:trPr>
        <w:tc>
          <w:tcPr>
            <w:tcW w:w="2189" w:type="pct"/>
            <w:tcBorders>
              <w:top w:val="dotted" w:sz="4" w:space="0" w:color="auto"/>
              <w:left w:val="single" w:sz="4" w:space="0" w:color="auto"/>
              <w:bottom w:val="dotted" w:sz="4" w:space="0" w:color="auto"/>
              <w:right w:val="dotted" w:sz="4" w:space="0" w:color="auto"/>
            </w:tcBorders>
            <w:vAlign w:val="bottom"/>
          </w:tcPr>
          <w:p w14:paraId="1A3F9453" w14:textId="0E30C9B3" w:rsidR="00694797" w:rsidRPr="00AC1668" w:rsidRDefault="00694797" w:rsidP="006954CA">
            <w:pPr>
              <w:spacing w:line="226" w:lineRule="auto"/>
              <w:ind w:left="49" w:firstLineChars="189" w:firstLine="340"/>
              <w:rPr>
                <w:sz w:val="18"/>
                <w:szCs w:val="18"/>
              </w:rPr>
            </w:pPr>
            <w:r w:rsidRPr="00AC1668">
              <w:rPr>
                <w:sz w:val="18"/>
                <w:szCs w:val="18"/>
              </w:rPr>
              <w:t xml:space="preserve">Hüseyin Kadri </w:t>
            </w:r>
            <w:r w:rsidR="00CA5D0F" w:rsidRPr="00AC1668">
              <w:rPr>
                <w:sz w:val="18"/>
                <w:szCs w:val="18"/>
              </w:rPr>
              <w:t>SAMSUNLU</w:t>
            </w:r>
          </w:p>
        </w:tc>
        <w:tc>
          <w:tcPr>
            <w:tcW w:w="2811" w:type="pct"/>
            <w:tcBorders>
              <w:top w:val="dotted" w:sz="4" w:space="0" w:color="auto"/>
              <w:left w:val="dotted" w:sz="4" w:space="0" w:color="auto"/>
              <w:bottom w:val="dotted" w:sz="4" w:space="0" w:color="auto"/>
              <w:right w:val="single" w:sz="4" w:space="0" w:color="auto"/>
            </w:tcBorders>
            <w:vAlign w:val="bottom"/>
          </w:tcPr>
          <w:p w14:paraId="142A03BB" w14:textId="7ACA70CB" w:rsidR="00694797" w:rsidRPr="00AC1668" w:rsidRDefault="00694797" w:rsidP="00694797">
            <w:pPr>
              <w:spacing w:line="226" w:lineRule="auto"/>
              <w:rPr>
                <w:sz w:val="18"/>
                <w:szCs w:val="18"/>
              </w:rPr>
            </w:pPr>
            <w:r w:rsidRPr="00AC1668">
              <w:rPr>
                <w:sz w:val="18"/>
                <w:szCs w:val="18"/>
              </w:rPr>
              <w:t>Yönetim Kurulu Üyesi</w:t>
            </w:r>
          </w:p>
        </w:tc>
      </w:tr>
      <w:tr w:rsidR="00243A2C" w:rsidRPr="00AC1668" w14:paraId="5A8E3EC5" w14:textId="77777777" w:rsidTr="00232876">
        <w:trPr>
          <w:trHeight w:val="57"/>
        </w:trPr>
        <w:tc>
          <w:tcPr>
            <w:tcW w:w="2189" w:type="pct"/>
            <w:tcBorders>
              <w:top w:val="dotted" w:sz="4" w:space="0" w:color="auto"/>
              <w:left w:val="single" w:sz="4" w:space="0" w:color="auto"/>
              <w:bottom w:val="dotted" w:sz="4" w:space="0" w:color="auto"/>
              <w:right w:val="dotted" w:sz="4" w:space="0" w:color="auto"/>
            </w:tcBorders>
            <w:vAlign w:val="bottom"/>
          </w:tcPr>
          <w:p w14:paraId="3F13A0A2" w14:textId="245189F8" w:rsidR="00243A2C" w:rsidRPr="00AC1668" w:rsidRDefault="00243A2C" w:rsidP="006954CA">
            <w:pPr>
              <w:spacing w:line="226" w:lineRule="auto"/>
              <w:ind w:left="49" w:firstLineChars="189" w:firstLine="340"/>
              <w:rPr>
                <w:sz w:val="18"/>
                <w:szCs w:val="18"/>
              </w:rPr>
            </w:pPr>
            <w:r w:rsidRPr="00AC1668">
              <w:rPr>
                <w:sz w:val="18"/>
                <w:szCs w:val="18"/>
              </w:rPr>
              <w:t>İkram GÖKTAŞ</w:t>
            </w:r>
          </w:p>
        </w:tc>
        <w:tc>
          <w:tcPr>
            <w:tcW w:w="2811" w:type="pct"/>
            <w:tcBorders>
              <w:top w:val="dotted" w:sz="4" w:space="0" w:color="auto"/>
              <w:left w:val="dotted" w:sz="4" w:space="0" w:color="auto"/>
              <w:bottom w:val="dotted" w:sz="4" w:space="0" w:color="auto"/>
              <w:right w:val="single" w:sz="4" w:space="0" w:color="auto"/>
            </w:tcBorders>
            <w:vAlign w:val="bottom"/>
          </w:tcPr>
          <w:p w14:paraId="6F062A36" w14:textId="6A6C4D36" w:rsidR="00243A2C" w:rsidRPr="00AC1668" w:rsidRDefault="002E5063" w:rsidP="00243A2C">
            <w:pPr>
              <w:spacing w:line="226" w:lineRule="auto"/>
              <w:rPr>
                <w:sz w:val="18"/>
                <w:szCs w:val="18"/>
              </w:rPr>
            </w:pPr>
            <w:r w:rsidRPr="00AC1668">
              <w:rPr>
                <w:sz w:val="18"/>
                <w:szCs w:val="18"/>
              </w:rPr>
              <w:t>Yönetim Kurulu Üyesi ve Genel Müdür</w:t>
            </w:r>
          </w:p>
        </w:tc>
      </w:tr>
      <w:tr w:rsidR="00243A2C" w:rsidRPr="00AC1668" w14:paraId="03B7848E" w14:textId="77777777" w:rsidTr="00232876">
        <w:trPr>
          <w:trHeight w:val="57"/>
        </w:trPr>
        <w:tc>
          <w:tcPr>
            <w:tcW w:w="2189" w:type="pct"/>
            <w:tcBorders>
              <w:top w:val="dotted" w:sz="4" w:space="0" w:color="auto"/>
              <w:left w:val="single" w:sz="4" w:space="0" w:color="auto"/>
              <w:bottom w:val="dotted" w:sz="4" w:space="0" w:color="auto"/>
              <w:right w:val="dotted" w:sz="4" w:space="0" w:color="auto"/>
            </w:tcBorders>
            <w:vAlign w:val="bottom"/>
            <w:hideMark/>
          </w:tcPr>
          <w:p w14:paraId="641E7923" w14:textId="77777777" w:rsidR="00243A2C" w:rsidRPr="00AC1668" w:rsidRDefault="00243A2C" w:rsidP="00A2582E">
            <w:pPr>
              <w:spacing w:line="226" w:lineRule="auto"/>
              <w:rPr>
                <w:b/>
                <w:bCs/>
                <w:sz w:val="18"/>
                <w:szCs w:val="18"/>
              </w:rPr>
            </w:pPr>
            <w:r w:rsidRPr="00AC1668">
              <w:rPr>
                <w:b/>
                <w:bCs/>
                <w:sz w:val="18"/>
                <w:szCs w:val="18"/>
              </w:rPr>
              <w:t>Denetim Komitesi Üyeleri</w:t>
            </w:r>
          </w:p>
        </w:tc>
        <w:tc>
          <w:tcPr>
            <w:tcW w:w="2811" w:type="pct"/>
            <w:tcBorders>
              <w:top w:val="dotted" w:sz="4" w:space="0" w:color="auto"/>
              <w:left w:val="dotted" w:sz="4" w:space="0" w:color="auto"/>
              <w:bottom w:val="dotted" w:sz="4" w:space="0" w:color="auto"/>
              <w:right w:val="single" w:sz="4" w:space="0" w:color="auto"/>
            </w:tcBorders>
            <w:vAlign w:val="bottom"/>
            <w:hideMark/>
          </w:tcPr>
          <w:p w14:paraId="001A1580" w14:textId="77777777" w:rsidR="00243A2C" w:rsidRPr="00AC1668" w:rsidRDefault="00243A2C" w:rsidP="00243A2C">
            <w:pPr>
              <w:spacing w:line="226" w:lineRule="auto"/>
              <w:rPr>
                <w:sz w:val="18"/>
                <w:szCs w:val="18"/>
              </w:rPr>
            </w:pPr>
            <w:r w:rsidRPr="00AC1668">
              <w:rPr>
                <w:sz w:val="18"/>
                <w:szCs w:val="18"/>
              </w:rPr>
              <w:t> </w:t>
            </w:r>
          </w:p>
        </w:tc>
      </w:tr>
      <w:tr w:rsidR="002E5063" w:rsidRPr="00AC1668" w14:paraId="3A8E0BEE" w14:textId="77777777" w:rsidTr="00232876">
        <w:trPr>
          <w:trHeight w:val="57"/>
        </w:trPr>
        <w:tc>
          <w:tcPr>
            <w:tcW w:w="2189" w:type="pct"/>
            <w:tcBorders>
              <w:top w:val="dotted" w:sz="4" w:space="0" w:color="auto"/>
              <w:left w:val="single" w:sz="4" w:space="0" w:color="auto"/>
              <w:bottom w:val="dotted" w:sz="4" w:space="0" w:color="auto"/>
              <w:right w:val="dotted" w:sz="4" w:space="0" w:color="auto"/>
            </w:tcBorders>
            <w:vAlign w:val="bottom"/>
          </w:tcPr>
          <w:p w14:paraId="3264DFC7" w14:textId="2BDB68E6" w:rsidR="002E5063" w:rsidRPr="00AC1668" w:rsidRDefault="002E5063" w:rsidP="006954CA">
            <w:pPr>
              <w:spacing w:line="226" w:lineRule="auto"/>
              <w:ind w:left="49" w:firstLineChars="189" w:firstLine="340"/>
              <w:rPr>
                <w:sz w:val="18"/>
                <w:szCs w:val="18"/>
                <w:vertAlign w:val="superscript"/>
              </w:rPr>
            </w:pPr>
            <w:r w:rsidRPr="00AC1668">
              <w:rPr>
                <w:sz w:val="18"/>
                <w:szCs w:val="18"/>
              </w:rPr>
              <w:t>Abdül Latif ÖZKAYNAK</w:t>
            </w:r>
          </w:p>
        </w:tc>
        <w:tc>
          <w:tcPr>
            <w:tcW w:w="2811" w:type="pct"/>
            <w:tcBorders>
              <w:top w:val="dotted" w:sz="4" w:space="0" w:color="auto"/>
              <w:left w:val="dotted" w:sz="4" w:space="0" w:color="auto"/>
              <w:bottom w:val="dotted" w:sz="4" w:space="0" w:color="auto"/>
              <w:right w:val="single" w:sz="4" w:space="0" w:color="auto"/>
            </w:tcBorders>
            <w:vAlign w:val="bottom"/>
            <w:hideMark/>
          </w:tcPr>
          <w:p w14:paraId="62E9B33D" w14:textId="43290FC7" w:rsidR="002E5063" w:rsidRPr="00AC1668" w:rsidRDefault="002E5063" w:rsidP="002E5063">
            <w:pPr>
              <w:spacing w:line="226" w:lineRule="auto"/>
              <w:rPr>
                <w:sz w:val="18"/>
                <w:szCs w:val="18"/>
              </w:rPr>
            </w:pPr>
            <w:r w:rsidRPr="00AC1668">
              <w:rPr>
                <w:sz w:val="18"/>
                <w:szCs w:val="18"/>
              </w:rPr>
              <w:t xml:space="preserve">Yönetim Kurulu Üyesi ve Denetim Komitesi </w:t>
            </w:r>
            <w:r w:rsidR="003257AF" w:rsidRPr="00AC1668">
              <w:rPr>
                <w:sz w:val="18"/>
                <w:szCs w:val="18"/>
              </w:rPr>
              <w:t>Başkanı</w:t>
            </w:r>
          </w:p>
        </w:tc>
      </w:tr>
      <w:tr w:rsidR="002E5063" w:rsidRPr="00AC1668" w14:paraId="47CB1A7C" w14:textId="77777777" w:rsidTr="00232876">
        <w:trPr>
          <w:trHeight w:val="57"/>
        </w:trPr>
        <w:tc>
          <w:tcPr>
            <w:tcW w:w="2189" w:type="pct"/>
            <w:tcBorders>
              <w:top w:val="dotted" w:sz="4" w:space="0" w:color="auto"/>
              <w:left w:val="single" w:sz="4" w:space="0" w:color="auto"/>
              <w:bottom w:val="dotted" w:sz="4" w:space="0" w:color="auto"/>
              <w:right w:val="dotted" w:sz="4" w:space="0" w:color="auto"/>
            </w:tcBorders>
            <w:vAlign w:val="bottom"/>
          </w:tcPr>
          <w:p w14:paraId="766C86AB" w14:textId="07037683" w:rsidR="002E5063" w:rsidRPr="00AC1668" w:rsidRDefault="002E5063" w:rsidP="006954CA">
            <w:pPr>
              <w:spacing w:line="226" w:lineRule="auto"/>
              <w:ind w:left="49" w:firstLineChars="189" w:firstLine="340"/>
              <w:rPr>
                <w:b/>
                <w:bCs/>
                <w:sz w:val="18"/>
                <w:szCs w:val="18"/>
              </w:rPr>
            </w:pPr>
            <w:r w:rsidRPr="00AC1668">
              <w:rPr>
                <w:sz w:val="18"/>
                <w:szCs w:val="18"/>
              </w:rPr>
              <w:t>Mustafa ER</w:t>
            </w:r>
          </w:p>
        </w:tc>
        <w:tc>
          <w:tcPr>
            <w:tcW w:w="2811" w:type="pct"/>
            <w:tcBorders>
              <w:top w:val="dotted" w:sz="4" w:space="0" w:color="auto"/>
              <w:left w:val="dotted" w:sz="4" w:space="0" w:color="auto"/>
              <w:bottom w:val="dotted" w:sz="4" w:space="0" w:color="auto"/>
              <w:right w:val="single" w:sz="4" w:space="0" w:color="auto"/>
            </w:tcBorders>
            <w:vAlign w:val="bottom"/>
            <w:hideMark/>
          </w:tcPr>
          <w:p w14:paraId="3C774CD3" w14:textId="1550798A" w:rsidR="002E5063" w:rsidRPr="00AC1668" w:rsidRDefault="002E5063" w:rsidP="002E5063">
            <w:pPr>
              <w:spacing w:line="226" w:lineRule="auto"/>
              <w:rPr>
                <w:sz w:val="18"/>
                <w:szCs w:val="18"/>
              </w:rPr>
            </w:pPr>
            <w:r w:rsidRPr="00AC1668">
              <w:rPr>
                <w:sz w:val="18"/>
                <w:szCs w:val="18"/>
              </w:rPr>
              <w:t>Yönetim Kurulu Üyesi ve Denetim Komitesi Üyesi</w:t>
            </w:r>
          </w:p>
        </w:tc>
      </w:tr>
      <w:tr w:rsidR="002E5063" w:rsidRPr="00AC1668" w14:paraId="38DA2248" w14:textId="77777777" w:rsidTr="00232876">
        <w:trPr>
          <w:trHeight w:val="57"/>
        </w:trPr>
        <w:tc>
          <w:tcPr>
            <w:tcW w:w="2189" w:type="pct"/>
            <w:tcBorders>
              <w:top w:val="dotted" w:sz="4" w:space="0" w:color="auto"/>
              <w:left w:val="single" w:sz="4" w:space="0" w:color="auto"/>
              <w:bottom w:val="dotted" w:sz="4" w:space="0" w:color="auto"/>
              <w:right w:val="dotted" w:sz="4" w:space="0" w:color="auto"/>
            </w:tcBorders>
            <w:vAlign w:val="bottom"/>
            <w:hideMark/>
          </w:tcPr>
          <w:p w14:paraId="55C3ED19" w14:textId="77777777" w:rsidR="002E5063" w:rsidRPr="00AC1668" w:rsidRDefault="002E5063" w:rsidP="00A2582E">
            <w:pPr>
              <w:spacing w:line="226" w:lineRule="auto"/>
              <w:rPr>
                <w:b/>
                <w:bCs/>
                <w:sz w:val="18"/>
                <w:szCs w:val="18"/>
              </w:rPr>
            </w:pPr>
            <w:r w:rsidRPr="00AC1668">
              <w:rPr>
                <w:b/>
                <w:bCs/>
                <w:sz w:val="18"/>
                <w:szCs w:val="18"/>
              </w:rPr>
              <w:t>Genel Müdür Yardımcıları</w:t>
            </w:r>
          </w:p>
        </w:tc>
        <w:tc>
          <w:tcPr>
            <w:tcW w:w="2811" w:type="pct"/>
            <w:tcBorders>
              <w:top w:val="dotted" w:sz="4" w:space="0" w:color="auto"/>
              <w:left w:val="dotted" w:sz="4" w:space="0" w:color="auto"/>
              <w:bottom w:val="dotted" w:sz="4" w:space="0" w:color="auto"/>
              <w:right w:val="single" w:sz="4" w:space="0" w:color="auto"/>
            </w:tcBorders>
            <w:vAlign w:val="bottom"/>
            <w:hideMark/>
          </w:tcPr>
          <w:p w14:paraId="586BC10E" w14:textId="77777777" w:rsidR="002E5063" w:rsidRPr="00AC1668" w:rsidRDefault="002E5063" w:rsidP="002E5063">
            <w:pPr>
              <w:spacing w:line="226" w:lineRule="auto"/>
              <w:rPr>
                <w:sz w:val="18"/>
                <w:szCs w:val="18"/>
              </w:rPr>
            </w:pPr>
            <w:r w:rsidRPr="00AC1668">
              <w:rPr>
                <w:sz w:val="18"/>
                <w:szCs w:val="18"/>
              </w:rPr>
              <w:t> </w:t>
            </w:r>
          </w:p>
        </w:tc>
      </w:tr>
      <w:tr w:rsidR="002E5063" w:rsidRPr="00AC1668" w14:paraId="334074E8" w14:textId="77777777" w:rsidTr="00232876">
        <w:trPr>
          <w:trHeight w:val="57"/>
        </w:trPr>
        <w:tc>
          <w:tcPr>
            <w:tcW w:w="2189" w:type="pct"/>
            <w:tcBorders>
              <w:top w:val="dotted" w:sz="4" w:space="0" w:color="auto"/>
              <w:left w:val="single" w:sz="4" w:space="0" w:color="auto"/>
              <w:bottom w:val="dotted" w:sz="4" w:space="0" w:color="auto"/>
              <w:right w:val="dotted" w:sz="4" w:space="0" w:color="auto"/>
            </w:tcBorders>
            <w:vAlign w:val="bottom"/>
          </w:tcPr>
          <w:p w14:paraId="23620916" w14:textId="07413F70" w:rsidR="002E5063" w:rsidRPr="00AC1668" w:rsidRDefault="002E5063" w:rsidP="006954CA">
            <w:pPr>
              <w:spacing w:line="226" w:lineRule="auto"/>
              <w:ind w:left="49" w:firstLineChars="189" w:firstLine="340"/>
              <w:rPr>
                <w:sz w:val="18"/>
                <w:szCs w:val="18"/>
              </w:rPr>
            </w:pPr>
            <w:r w:rsidRPr="00AC1668">
              <w:rPr>
                <w:sz w:val="18"/>
                <w:szCs w:val="18"/>
              </w:rPr>
              <w:t>Ahmet PARLAK</w:t>
            </w:r>
          </w:p>
        </w:tc>
        <w:tc>
          <w:tcPr>
            <w:tcW w:w="2811" w:type="pct"/>
            <w:tcBorders>
              <w:top w:val="dotted" w:sz="4" w:space="0" w:color="auto"/>
              <w:left w:val="dotted" w:sz="4" w:space="0" w:color="auto"/>
              <w:bottom w:val="dotted" w:sz="4" w:space="0" w:color="auto"/>
              <w:right w:val="single" w:sz="4" w:space="0" w:color="auto"/>
            </w:tcBorders>
            <w:vAlign w:val="bottom"/>
          </w:tcPr>
          <w:p w14:paraId="03035E2C" w14:textId="45E6ED74" w:rsidR="002E5063" w:rsidRPr="00AC1668" w:rsidRDefault="002E5063" w:rsidP="002E5063">
            <w:pPr>
              <w:spacing w:line="226" w:lineRule="auto"/>
              <w:rPr>
                <w:sz w:val="18"/>
                <w:szCs w:val="18"/>
              </w:rPr>
            </w:pPr>
            <w:r w:rsidRPr="00AC1668">
              <w:rPr>
                <w:sz w:val="18"/>
                <w:szCs w:val="18"/>
              </w:rPr>
              <w:t>Satış ve Pazarlama</w:t>
            </w:r>
          </w:p>
        </w:tc>
      </w:tr>
      <w:tr w:rsidR="002E5063" w:rsidRPr="00AC1668" w14:paraId="567E8487" w14:textId="77777777" w:rsidTr="00232876">
        <w:trPr>
          <w:trHeight w:val="57"/>
        </w:trPr>
        <w:tc>
          <w:tcPr>
            <w:tcW w:w="2189" w:type="pct"/>
            <w:tcBorders>
              <w:top w:val="dotted" w:sz="4" w:space="0" w:color="auto"/>
              <w:left w:val="single" w:sz="4" w:space="0" w:color="auto"/>
              <w:bottom w:val="dotted" w:sz="4" w:space="0" w:color="auto"/>
              <w:right w:val="dotted" w:sz="4" w:space="0" w:color="auto"/>
            </w:tcBorders>
            <w:vAlign w:val="bottom"/>
          </w:tcPr>
          <w:p w14:paraId="4AD1C798" w14:textId="3EBADA3C" w:rsidR="002E5063" w:rsidRPr="00AC1668" w:rsidRDefault="002E5063" w:rsidP="006954CA">
            <w:pPr>
              <w:spacing w:line="226" w:lineRule="auto"/>
              <w:ind w:left="49" w:firstLineChars="189" w:firstLine="340"/>
              <w:rPr>
                <w:sz w:val="18"/>
                <w:szCs w:val="18"/>
              </w:rPr>
            </w:pPr>
            <w:r w:rsidRPr="00AC1668">
              <w:rPr>
                <w:sz w:val="18"/>
                <w:szCs w:val="18"/>
              </w:rPr>
              <w:t>Alpaslan ÖZEN</w:t>
            </w:r>
          </w:p>
        </w:tc>
        <w:tc>
          <w:tcPr>
            <w:tcW w:w="2811" w:type="pct"/>
            <w:tcBorders>
              <w:top w:val="dotted" w:sz="4" w:space="0" w:color="auto"/>
              <w:left w:val="dotted" w:sz="4" w:space="0" w:color="auto"/>
              <w:bottom w:val="dotted" w:sz="4" w:space="0" w:color="auto"/>
              <w:right w:val="single" w:sz="4" w:space="0" w:color="auto"/>
            </w:tcBorders>
            <w:vAlign w:val="bottom"/>
          </w:tcPr>
          <w:p w14:paraId="6CE2DE7E" w14:textId="5A87C0DA" w:rsidR="002E5063" w:rsidRPr="00AC1668" w:rsidRDefault="002E5063" w:rsidP="002E5063">
            <w:pPr>
              <w:spacing w:line="226" w:lineRule="auto"/>
              <w:rPr>
                <w:sz w:val="18"/>
                <w:szCs w:val="18"/>
              </w:rPr>
            </w:pPr>
            <w:r w:rsidRPr="00AC1668">
              <w:rPr>
                <w:sz w:val="18"/>
                <w:szCs w:val="18"/>
              </w:rPr>
              <w:t>Hukuk ve Krediler</w:t>
            </w:r>
          </w:p>
        </w:tc>
      </w:tr>
      <w:tr w:rsidR="002E5063" w:rsidRPr="00AC1668" w14:paraId="027F340D" w14:textId="77777777" w:rsidTr="00232876">
        <w:trPr>
          <w:trHeight w:val="57"/>
        </w:trPr>
        <w:tc>
          <w:tcPr>
            <w:tcW w:w="2189" w:type="pct"/>
            <w:tcBorders>
              <w:top w:val="dotted" w:sz="4" w:space="0" w:color="auto"/>
              <w:left w:val="single" w:sz="4" w:space="0" w:color="auto"/>
              <w:bottom w:val="dotted" w:sz="4" w:space="0" w:color="auto"/>
              <w:right w:val="dotted" w:sz="4" w:space="0" w:color="auto"/>
            </w:tcBorders>
            <w:vAlign w:val="bottom"/>
          </w:tcPr>
          <w:p w14:paraId="4EAF1984" w14:textId="6BAA5E75" w:rsidR="002E5063" w:rsidRPr="00AC1668" w:rsidRDefault="002E5063" w:rsidP="006954CA">
            <w:pPr>
              <w:spacing w:line="226" w:lineRule="auto"/>
              <w:ind w:left="49" w:firstLineChars="189" w:firstLine="340"/>
              <w:rPr>
                <w:sz w:val="18"/>
                <w:szCs w:val="18"/>
              </w:rPr>
            </w:pPr>
            <w:r w:rsidRPr="00AC1668">
              <w:rPr>
                <w:sz w:val="18"/>
                <w:szCs w:val="18"/>
              </w:rPr>
              <w:t xml:space="preserve">Dr. </w:t>
            </w:r>
            <w:proofErr w:type="spellStart"/>
            <w:r w:rsidRPr="00AC1668">
              <w:rPr>
                <w:sz w:val="18"/>
                <w:szCs w:val="18"/>
              </w:rPr>
              <w:t>Eyyüp</w:t>
            </w:r>
            <w:proofErr w:type="spellEnd"/>
            <w:r w:rsidRPr="00AC1668">
              <w:rPr>
                <w:sz w:val="18"/>
                <w:szCs w:val="18"/>
              </w:rPr>
              <w:t xml:space="preserve"> YILMAZ</w:t>
            </w:r>
          </w:p>
        </w:tc>
        <w:tc>
          <w:tcPr>
            <w:tcW w:w="2811" w:type="pct"/>
            <w:tcBorders>
              <w:top w:val="dotted" w:sz="4" w:space="0" w:color="auto"/>
              <w:left w:val="dotted" w:sz="4" w:space="0" w:color="auto"/>
              <w:bottom w:val="dotted" w:sz="4" w:space="0" w:color="auto"/>
              <w:right w:val="single" w:sz="4" w:space="0" w:color="auto"/>
            </w:tcBorders>
            <w:vAlign w:val="bottom"/>
          </w:tcPr>
          <w:p w14:paraId="2E72BB11" w14:textId="69DB8FC8" w:rsidR="002E5063" w:rsidRPr="00AC1668" w:rsidRDefault="002E5063" w:rsidP="002E5063">
            <w:pPr>
              <w:spacing w:line="226" w:lineRule="auto"/>
              <w:rPr>
                <w:sz w:val="18"/>
                <w:szCs w:val="18"/>
              </w:rPr>
            </w:pPr>
            <w:r w:rsidRPr="00AC1668">
              <w:rPr>
                <w:sz w:val="18"/>
                <w:szCs w:val="18"/>
              </w:rPr>
              <w:t>İç Sistemler</w:t>
            </w:r>
          </w:p>
        </w:tc>
      </w:tr>
      <w:tr w:rsidR="002E5063" w:rsidRPr="00AC1668" w14:paraId="74374276" w14:textId="77777777" w:rsidTr="00232876">
        <w:trPr>
          <w:trHeight w:val="57"/>
        </w:trPr>
        <w:tc>
          <w:tcPr>
            <w:tcW w:w="2189" w:type="pct"/>
            <w:tcBorders>
              <w:top w:val="dotted" w:sz="4" w:space="0" w:color="auto"/>
              <w:left w:val="single" w:sz="4" w:space="0" w:color="auto"/>
              <w:bottom w:val="dotted" w:sz="4" w:space="0" w:color="auto"/>
              <w:right w:val="dotted" w:sz="4" w:space="0" w:color="auto"/>
            </w:tcBorders>
            <w:vAlign w:val="bottom"/>
          </w:tcPr>
          <w:p w14:paraId="64FC8507" w14:textId="61E406C9" w:rsidR="002E5063" w:rsidRPr="00AC1668" w:rsidRDefault="00D05CB5" w:rsidP="006954CA">
            <w:pPr>
              <w:spacing w:line="226" w:lineRule="auto"/>
              <w:ind w:left="49" w:firstLineChars="189" w:firstLine="340"/>
              <w:rPr>
                <w:sz w:val="18"/>
                <w:szCs w:val="18"/>
              </w:rPr>
            </w:pPr>
            <w:r w:rsidRPr="00AC1668">
              <w:rPr>
                <w:sz w:val="18"/>
                <w:szCs w:val="18"/>
              </w:rPr>
              <w:t xml:space="preserve">Dr. </w:t>
            </w:r>
            <w:r w:rsidR="002E5063" w:rsidRPr="00AC1668">
              <w:rPr>
                <w:sz w:val="18"/>
                <w:szCs w:val="18"/>
              </w:rPr>
              <w:t>İrfan GÜLTAŞ</w:t>
            </w:r>
          </w:p>
        </w:tc>
        <w:tc>
          <w:tcPr>
            <w:tcW w:w="2811" w:type="pct"/>
            <w:tcBorders>
              <w:top w:val="dotted" w:sz="4" w:space="0" w:color="auto"/>
              <w:left w:val="dotted" w:sz="4" w:space="0" w:color="auto"/>
              <w:bottom w:val="dotted" w:sz="4" w:space="0" w:color="auto"/>
              <w:right w:val="single" w:sz="4" w:space="0" w:color="auto"/>
            </w:tcBorders>
            <w:vAlign w:val="bottom"/>
          </w:tcPr>
          <w:p w14:paraId="46884120" w14:textId="41EE6556" w:rsidR="002E5063" w:rsidRPr="00AC1668" w:rsidRDefault="002E5063" w:rsidP="002E5063">
            <w:pPr>
              <w:spacing w:line="226" w:lineRule="auto"/>
              <w:rPr>
                <w:sz w:val="18"/>
                <w:szCs w:val="18"/>
              </w:rPr>
            </w:pPr>
            <w:r w:rsidRPr="00AC1668">
              <w:rPr>
                <w:sz w:val="18"/>
                <w:szCs w:val="18"/>
              </w:rPr>
              <w:t>Yetenek ve Kültür</w:t>
            </w:r>
          </w:p>
        </w:tc>
      </w:tr>
      <w:tr w:rsidR="002E5063" w:rsidRPr="00AC1668" w14:paraId="23493FAB" w14:textId="77777777" w:rsidTr="00232876">
        <w:trPr>
          <w:trHeight w:val="57"/>
        </w:trPr>
        <w:tc>
          <w:tcPr>
            <w:tcW w:w="2189" w:type="pct"/>
            <w:tcBorders>
              <w:top w:val="dotted" w:sz="4" w:space="0" w:color="auto"/>
              <w:left w:val="single" w:sz="4" w:space="0" w:color="auto"/>
              <w:bottom w:val="dotted" w:sz="4" w:space="0" w:color="auto"/>
              <w:right w:val="dotted" w:sz="4" w:space="0" w:color="auto"/>
            </w:tcBorders>
            <w:vAlign w:val="bottom"/>
          </w:tcPr>
          <w:p w14:paraId="06FDA0E8" w14:textId="771EA2C4" w:rsidR="002E5063" w:rsidRPr="00AC1668" w:rsidRDefault="002E5063" w:rsidP="006954CA">
            <w:pPr>
              <w:spacing w:line="226" w:lineRule="auto"/>
              <w:ind w:left="49" w:firstLineChars="189" w:firstLine="340"/>
              <w:rPr>
                <w:sz w:val="18"/>
                <w:szCs w:val="18"/>
              </w:rPr>
            </w:pPr>
            <w:r w:rsidRPr="00AC1668">
              <w:rPr>
                <w:sz w:val="18"/>
                <w:szCs w:val="18"/>
              </w:rPr>
              <w:t>Kadir DOĞUERİ</w:t>
            </w:r>
          </w:p>
        </w:tc>
        <w:tc>
          <w:tcPr>
            <w:tcW w:w="2811" w:type="pct"/>
            <w:tcBorders>
              <w:top w:val="dotted" w:sz="4" w:space="0" w:color="auto"/>
              <w:left w:val="dotted" w:sz="4" w:space="0" w:color="auto"/>
              <w:bottom w:val="dotted" w:sz="4" w:space="0" w:color="auto"/>
              <w:right w:val="single" w:sz="4" w:space="0" w:color="auto"/>
            </w:tcBorders>
            <w:vAlign w:val="bottom"/>
          </w:tcPr>
          <w:p w14:paraId="4B129775" w14:textId="08E4E440" w:rsidR="002E5063" w:rsidRPr="00AC1668" w:rsidRDefault="002E5063" w:rsidP="002E5063">
            <w:pPr>
              <w:spacing w:line="226" w:lineRule="auto"/>
              <w:rPr>
                <w:sz w:val="18"/>
                <w:szCs w:val="18"/>
              </w:rPr>
            </w:pPr>
            <w:r w:rsidRPr="00AC1668">
              <w:rPr>
                <w:sz w:val="18"/>
                <w:szCs w:val="18"/>
              </w:rPr>
              <w:t>Operasyon</w:t>
            </w:r>
          </w:p>
        </w:tc>
      </w:tr>
      <w:tr w:rsidR="002E5063" w:rsidRPr="00AC1668" w14:paraId="544DE49B" w14:textId="77777777" w:rsidTr="00FB003F">
        <w:trPr>
          <w:trHeight w:val="57"/>
        </w:trPr>
        <w:tc>
          <w:tcPr>
            <w:tcW w:w="2189" w:type="pct"/>
            <w:tcBorders>
              <w:top w:val="dotted" w:sz="4" w:space="0" w:color="auto"/>
              <w:left w:val="single" w:sz="4" w:space="0" w:color="auto"/>
              <w:bottom w:val="dotted" w:sz="4" w:space="0" w:color="auto"/>
              <w:right w:val="dotted" w:sz="4" w:space="0" w:color="auto"/>
            </w:tcBorders>
            <w:vAlign w:val="bottom"/>
          </w:tcPr>
          <w:p w14:paraId="4C1C46A2" w14:textId="3A25C849" w:rsidR="002E5063" w:rsidRPr="00AC1668" w:rsidRDefault="002E5063" w:rsidP="006954CA">
            <w:pPr>
              <w:spacing w:line="226" w:lineRule="auto"/>
              <w:ind w:left="49" w:firstLineChars="189" w:firstLine="340"/>
              <w:rPr>
                <w:sz w:val="18"/>
                <w:szCs w:val="18"/>
              </w:rPr>
            </w:pPr>
            <w:proofErr w:type="gramStart"/>
            <w:r w:rsidRPr="00AC1668">
              <w:rPr>
                <w:sz w:val="18"/>
                <w:szCs w:val="18"/>
              </w:rPr>
              <w:t>Kamil</w:t>
            </w:r>
            <w:proofErr w:type="gramEnd"/>
            <w:r w:rsidRPr="00AC1668">
              <w:rPr>
                <w:sz w:val="18"/>
                <w:szCs w:val="18"/>
              </w:rPr>
              <w:t xml:space="preserve"> KİBAR</w:t>
            </w:r>
          </w:p>
        </w:tc>
        <w:tc>
          <w:tcPr>
            <w:tcW w:w="2811" w:type="pct"/>
            <w:tcBorders>
              <w:top w:val="dotted" w:sz="4" w:space="0" w:color="auto"/>
              <w:left w:val="dotted" w:sz="4" w:space="0" w:color="auto"/>
              <w:bottom w:val="dotted" w:sz="4" w:space="0" w:color="auto"/>
              <w:right w:val="single" w:sz="4" w:space="0" w:color="auto"/>
            </w:tcBorders>
            <w:vAlign w:val="bottom"/>
          </w:tcPr>
          <w:p w14:paraId="73CE8193" w14:textId="4068971C" w:rsidR="002E5063" w:rsidRPr="00AC1668" w:rsidRDefault="002E5063" w:rsidP="002E5063">
            <w:pPr>
              <w:spacing w:line="226" w:lineRule="auto"/>
              <w:rPr>
                <w:sz w:val="18"/>
                <w:szCs w:val="18"/>
              </w:rPr>
            </w:pPr>
            <w:r w:rsidRPr="00AC1668">
              <w:rPr>
                <w:sz w:val="18"/>
                <w:szCs w:val="18"/>
              </w:rPr>
              <w:t>Hazine</w:t>
            </w:r>
            <w:r w:rsidR="001C25EA" w:rsidRPr="00AC1668">
              <w:rPr>
                <w:sz w:val="18"/>
                <w:szCs w:val="18"/>
              </w:rPr>
              <w:t xml:space="preserve"> ve Uluslararası Bankacılık</w:t>
            </w:r>
          </w:p>
        </w:tc>
      </w:tr>
      <w:tr w:rsidR="00FB003F" w:rsidRPr="00AC1668" w14:paraId="5255DE2D" w14:textId="77777777" w:rsidTr="00232876">
        <w:trPr>
          <w:trHeight w:val="57"/>
        </w:trPr>
        <w:tc>
          <w:tcPr>
            <w:tcW w:w="2189" w:type="pct"/>
            <w:tcBorders>
              <w:top w:val="dotted" w:sz="4" w:space="0" w:color="auto"/>
              <w:left w:val="single" w:sz="4" w:space="0" w:color="auto"/>
              <w:bottom w:val="single" w:sz="4" w:space="0" w:color="auto"/>
              <w:right w:val="dotted" w:sz="4" w:space="0" w:color="auto"/>
            </w:tcBorders>
            <w:vAlign w:val="bottom"/>
          </w:tcPr>
          <w:p w14:paraId="4C2B390B" w14:textId="23314ACD" w:rsidR="00FB003F" w:rsidRPr="00AC1668" w:rsidRDefault="00A42E57" w:rsidP="006954CA">
            <w:pPr>
              <w:spacing w:line="226" w:lineRule="auto"/>
              <w:ind w:left="49" w:firstLineChars="189" w:firstLine="340"/>
              <w:rPr>
                <w:sz w:val="18"/>
                <w:szCs w:val="18"/>
              </w:rPr>
            </w:pPr>
            <w:r w:rsidRPr="00AC1668">
              <w:rPr>
                <w:sz w:val="18"/>
                <w:szCs w:val="18"/>
              </w:rPr>
              <w:t>Rıfat DEREGÖZÜ</w:t>
            </w:r>
          </w:p>
        </w:tc>
        <w:tc>
          <w:tcPr>
            <w:tcW w:w="2811" w:type="pct"/>
            <w:tcBorders>
              <w:top w:val="dotted" w:sz="4" w:space="0" w:color="auto"/>
              <w:left w:val="dotted" w:sz="4" w:space="0" w:color="auto"/>
              <w:bottom w:val="single" w:sz="4" w:space="0" w:color="auto"/>
              <w:right w:val="single" w:sz="4" w:space="0" w:color="auto"/>
            </w:tcBorders>
            <w:vAlign w:val="bottom"/>
          </w:tcPr>
          <w:p w14:paraId="313827A6" w14:textId="6BA2A078" w:rsidR="00FB003F" w:rsidRPr="00AC1668" w:rsidRDefault="00A42E57" w:rsidP="002E5063">
            <w:pPr>
              <w:spacing w:line="226" w:lineRule="auto"/>
              <w:rPr>
                <w:sz w:val="18"/>
                <w:szCs w:val="18"/>
              </w:rPr>
            </w:pPr>
            <w:r w:rsidRPr="00AC1668">
              <w:rPr>
                <w:sz w:val="18"/>
                <w:szCs w:val="18"/>
              </w:rPr>
              <w:t>Bilgi Teknolojileri</w:t>
            </w:r>
          </w:p>
        </w:tc>
      </w:tr>
      <w:bookmarkEnd w:id="7"/>
    </w:tbl>
    <w:p w14:paraId="167DF912" w14:textId="77777777" w:rsidR="005838EC" w:rsidRPr="00AC1668" w:rsidRDefault="005838EC" w:rsidP="00243A2C">
      <w:pPr>
        <w:widowControl w:val="0"/>
        <w:spacing w:line="226" w:lineRule="auto"/>
        <w:ind w:left="851"/>
        <w:jc w:val="both"/>
        <w:rPr>
          <w:sz w:val="16"/>
          <w:szCs w:val="16"/>
        </w:rPr>
      </w:pPr>
    </w:p>
    <w:p w14:paraId="71937F94" w14:textId="645712C0" w:rsidR="00243A2C" w:rsidRPr="00AC1668" w:rsidRDefault="00243A2C" w:rsidP="00243A2C">
      <w:pPr>
        <w:widowControl w:val="0"/>
        <w:spacing w:line="226" w:lineRule="auto"/>
        <w:ind w:left="851"/>
        <w:jc w:val="both"/>
        <w:rPr>
          <w:szCs w:val="20"/>
        </w:rPr>
      </w:pPr>
      <w:bookmarkStart w:id="8" w:name="_Hlk205453233"/>
      <w:r w:rsidRPr="00E07D4B">
        <w:rPr>
          <w:szCs w:val="20"/>
        </w:rPr>
        <w:t xml:space="preserve">Banka’nın denetim komitesi üyeleri ile genel müdür ve yardımcılarının Banka’da sahip oldukları pay bulunmamaktadır. Yönetim kurulu başkan ve üyelerinin Bankada sahip oldukları doğrudan pay bulunmamakla birlikte, Yönetim Kurulu Başkanı Ahmet </w:t>
      </w:r>
      <w:proofErr w:type="spellStart"/>
      <w:r w:rsidRPr="00E07D4B">
        <w:rPr>
          <w:szCs w:val="20"/>
        </w:rPr>
        <w:t>A</w:t>
      </w:r>
      <w:r w:rsidR="00057F69" w:rsidRPr="00E07D4B">
        <w:rPr>
          <w:szCs w:val="20"/>
        </w:rPr>
        <w:t>H</w:t>
      </w:r>
      <w:r w:rsidRPr="00E07D4B">
        <w:rPr>
          <w:szCs w:val="20"/>
        </w:rPr>
        <w:t>LATCI’nın</w:t>
      </w:r>
      <w:proofErr w:type="spellEnd"/>
      <w:r w:rsidR="007906E7" w:rsidRPr="00E07D4B">
        <w:rPr>
          <w:szCs w:val="20"/>
        </w:rPr>
        <w:t xml:space="preserve"> yaklaşık</w:t>
      </w:r>
      <w:r w:rsidRPr="00E07D4B">
        <w:rPr>
          <w:szCs w:val="20"/>
        </w:rPr>
        <w:t xml:space="preserve"> </w:t>
      </w:r>
      <w:r w:rsidR="00EB3067" w:rsidRPr="00E07D4B">
        <w:rPr>
          <w:szCs w:val="20"/>
        </w:rPr>
        <w:t>%57,00</w:t>
      </w:r>
      <w:r w:rsidRPr="00E07D4B">
        <w:rPr>
          <w:szCs w:val="20"/>
        </w:rPr>
        <w:t xml:space="preserve"> ve Yönetim Kurulu Üyesi Ahmet Emin </w:t>
      </w:r>
      <w:proofErr w:type="spellStart"/>
      <w:r w:rsidRPr="00E07D4B">
        <w:rPr>
          <w:szCs w:val="20"/>
        </w:rPr>
        <w:t>AHLATCI’nın</w:t>
      </w:r>
      <w:proofErr w:type="spellEnd"/>
      <w:r w:rsidR="007906E7" w:rsidRPr="00E07D4B">
        <w:rPr>
          <w:szCs w:val="20"/>
        </w:rPr>
        <w:t xml:space="preserve"> yaklaşık</w:t>
      </w:r>
      <w:r w:rsidRPr="00E07D4B">
        <w:rPr>
          <w:szCs w:val="20"/>
        </w:rPr>
        <w:t xml:space="preserve"> %</w:t>
      </w:r>
      <w:r w:rsidR="007906E7" w:rsidRPr="00E07D4B">
        <w:rPr>
          <w:szCs w:val="20"/>
        </w:rPr>
        <w:t>12</w:t>
      </w:r>
      <w:r w:rsidR="00884A2C" w:rsidRPr="00E07D4B">
        <w:rPr>
          <w:szCs w:val="20"/>
        </w:rPr>
        <w:t>,0</w:t>
      </w:r>
      <w:r w:rsidR="007906E7" w:rsidRPr="00E07D4B">
        <w:rPr>
          <w:szCs w:val="20"/>
        </w:rPr>
        <w:t>9</w:t>
      </w:r>
      <w:r w:rsidRPr="00E07D4B">
        <w:rPr>
          <w:szCs w:val="20"/>
        </w:rPr>
        <w:t xml:space="preserve"> oranında dolaylı payı bulunmaktadır.</w:t>
      </w:r>
    </w:p>
    <w:p w14:paraId="7B773559" w14:textId="74EAAC3C" w:rsidR="00EB3067" w:rsidRPr="00AC1668" w:rsidRDefault="00EB3067" w:rsidP="00243A2C">
      <w:pPr>
        <w:widowControl w:val="0"/>
        <w:spacing w:line="226" w:lineRule="auto"/>
        <w:ind w:left="851"/>
        <w:jc w:val="both"/>
        <w:rPr>
          <w:sz w:val="16"/>
          <w:szCs w:val="16"/>
        </w:rPr>
      </w:pPr>
    </w:p>
    <w:p w14:paraId="5BF0A057" w14:textId="12140F0F" w:rsidR="00EB3067" w:rsidRPr="00AC1668" w:rsidRDefault="003738D7" w:rsidP="00243A2C">
      <w:pPr>
        <w:widowControl w:val="0"/>
        <w:spacing w:line="226" w:lineRule="auto"/>
        <w:ind w:left="851"/>
        <w:jc w:val="both"/>
        <w:rPr>
          <w:szCs w:val="20"/>
        </w:rPr>
      </w:pPr>
      <w:r w:rsidRPr="00AC1668">
        <w:rPr>
          <w:szCs w:val="20"/>
        </w:rPr>
        <w:t xml:space="preserve">5411 Sayılı Bankacılık Kanunu Madde 5 </w:t>
      </w:r>
      <w:r w:rsidR="009C6468" w:rsidRPr="00AC1668">
        <w:rPr>
          <w:szCs w:val="20"/>
        </w:rPr>
        <w:t>“Bu Kanunun uygulanmasında, gerçek kişilere ait dolaylı pay sahipliğinin belirlenmesinde, bir gerçek kişi ile eş ve çocuklarına ve bunların sınırsız sorumlulukla katıldıkları ortaklıklara veya bu kişi veya ortaklıkların ayrı ayrı veya birlikte kontrol ettikleri ortaklıklara ait paylar birlikte dikkate alınır. Tüzel kişilere ait dolaylı pay sahipliğinin belirlenmesinde, bunlara ait paylar ile bunların kontrol ettikleri ortaklıklara ait paylar birlikte hesaplanır.”</w:t>
      </w:r>
      <w:r w:rsidRPr="00AC1668">
        <w:rPr>
          <w:szCs w:val="20"/>
        </w:rPr>
        <w:t xml:space="preserve"> uyarınca dolaylı pay sahipliği hesaplaması yapılmıştır.</w:t>
      </w:r>
    </w:p>
    <w:bookmarkEnd w:id="8"/>
    <w:p w14:paraId="4DB5D4C8" w14:textId="53B0CC87" w:rsidR="000A2F98" w:rsidRPr="00AC1668" w:rsidRDefault="000A2F98" w:rsidP="00243A2C">
      <w:pPr>
        <w:widowControl w:val="0"/>
        <w:spacing w:line="226" w:lineRule="auto"/>
        <w:ind w:left="851"/>
        <w:jc w:val="both"/>
        <w:rPr>
          <w:sz w:val="16"/>
          <w:szCs w:val="16"/>
        </w:rPr>
      </w:pPr>
    </w:p>
    <w:p w14:paraId="5334B621" w14:textId="4358DC52" w:rsidR="000A2F98" w:rsidRPr="00AC1668" w:rsidRDefault="000A2F98" w:rsidP="00212E4A">
      <w:pPr>
        <w:pStyle w:val="ListeParagraf"/>
        <w:widowControl w:val="0"/>
        <w:numPr>
          <w:ilvl w:val="0"/>
          <w:numId w:val="26"/>
        </w:numPr>
        <w:spacing w:line="235" w:lineRule="auto"/>
        <w:ind w:left="851" w:hanging="851"/>
        <w:jc w:val="both"/>
        <w:rPr>
          <w:b/>
          <w:szCs w:val="20"/>
        </w:rPr>
      </w:pPr>
      <w:r w:rsidRPr="00AC1668">
        <w:rPr>
          <w:b/>
          <w:szCs w:val="20"/>
        </w:rPr>
        <w:t>BANKA’DA NİTELİKLİ PAYA SAHİP KİŞİ VE KURULUŞLARA İLİŞKİN AÇIKLAMALAR</w:t>
      </w:r>
    </w:p>
    <w:p w14:paraId="283BF91D" w14:textId="77777777" w:rsidR="000A2F98" w:rsidRPr="00AC1668" w:rsidRDefault="000A2F98" w:rsidP="000A2F98">
      <w:pPr>
        <w:widowControl w:val="0"/>
        <w:spacing w:line="235" w:lineRule="auto"/>
        <w:ind w:left="-540" w:right="-326"/>
        <w:jc w:val="both"/>
        <w:rPr>
          <w:b/>
          <w:sz w:val="16"/>
          <w:szCs w:val="16"/>
        </w:rPr>
      </w:pPr>
    </w:p>
    <w:tbl>
      <w:tblPr>
        <w:tblW w:w="454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342"/>
        <w:gridCol w:w="1589"/>
        <w:gridCol w:w="1591"/>
        <w:gridCol w:w="1470"/>
        <w:gridCol w:w="1757"/>
      </w:tblGrid>
      <w:tr w:rsidR="000A2F98" w:rsidRPr="00AC1668" w14:paraId="47563D75" w14:textId="77777777" w:rsidTr="00947ABE">
        <w:trPr>
          <w:trHeight w:val="217"/>
        </w:trPr>
        <w:tc>
          <w:tcPr>
            <w:tcW w:w="1338" w:type="pct"/>
            <w:tcBorders>
              <w:top w:val="single" w:sz="4" w:space="0" w:color="auto"/>
              <w:bottom w:val="single" w:sz="4" w:space="0" w:color="auto"/>
            </w:tcBorders>
            <w:noWrap/>
            <w:vAlign w:val="bottom"/>
          </w:tcPr>
          <w:p w14:paraId="1FD0A14F" w14:textId="77777777" w:rsidR="000A2F98" w:rsidRPr="00AC1668" w:rsidRDefault="000A2F98" w:rsidP="00FA634F">
            <w:pPr>
              <w:spacing w:line="226" w:lineRule="auto"/>
              <w:ind w:left="-57"/>
              <w:jc w:val="both"/>
              <w:rPr>
                <w:rFonts w:eastAsia="Arial Unicode MS"/>
                <w:b/>
                <w:sz w:val="18"/>
              </w:rPr>
            </w:pPr>
            <w:r w:rsidRPr="00AC1668">
              <w:rPr>
                <w:rFonts w:eastAsia="Arial Unicode MS"/>
                <w:b/>
                <w:sz w:val="18"/>
              </w:rPr>
              <w:t xml:space="preserve">Ad </w:t>
            </w:r>
            <w:proofErr w:type="spellStart"/>
            <w:r w:rsidRPr="00AC1668">
              <w:rPr>
                <w:rFonts w:eastAsia="Arial Unicode MS"/>
                <w:b/>
                <w:sz w:val="18"/>
              </w:rPr>
              <w:t>Soyad</w:t>
            </w:r>
            <w:proofErr w:type="spellEnd"/>
            <w:r w:rsidRPr="00AC1668">
              <w:rPr>
                <w:rFonts w:eastAsia="Arial Unicode MS"/>
                <w:b/>
                <w:sz w:val="18"/>
              </w:rPr>
              <w:t>/Ticaret Unvanı</w:t>
            </w:r>
          </w:p>
        </w:tc>
        <w:tc>
          <w:tcPr>
            <w:tcW w:w="908" w:type="pct"/>
            <w:tcBorders>
              <w:top w:val="single" w:sz="4" w:space="0" w:color="auto"/>
              <w:bottom w:val="single" w:sz="4" w:space="0" w:color="auto"/>
            </w:tcBorders>
            <w:noWrap/>
            <w:vAlign w:val="bottom"/>
          </w:tcPr>
          <w:p w14:paraId="21C90A06" w14:textId="77777777" w:rsidR="000A2F98" w:rsidRPr="00AC1668" w:rsidRDefault="000A2F98" w:rsidP="007F5BDE">
            <w:pPr>
              <w:spacing w:line="226" w:lineRule="auto"/>
              <w:ind w:left="-57" w:right="-44"/>
              <w:jc w:val="right"/>
              <w:rPr>
                <w:rFonts w:eastAsia="Arial Unicode MS"/>
                <w:b/>
                <w:sz w:val="18"/>
              </w:rPr>
            </w:pPr>
            <w:r w:rsidRPr="00AC1668">
              <w:rPr>
                <w:rFonts w:eastAsia="Arial Unicode MS"/>
                <w:b/>
                <w:sz w:val="18"/>
              </w:rPr>
              <w:t>Pay Tutarları</w:t>
            </w:r>
          </w:p>
        </w:tc>
        <w:tc>
          <w:tcPr>
            <w:tcW w:w="909" w:type="pct"/>
            <w:tcBorders>
              <w:top w:val="single" w:sz="4" w:space="0" w:color="auto"/>
              <w:bottom w:val="single" w:sz="4" w:space="0" w:color="auto"/>
            </w:tcBorders>
            <w:noWrap/>
            <w:vAlign w:val="bottom"/>
          </w:tcPr>
          <w:p w14:paraId="3892561B" w14:textId="77777777" w:rsidR="000A2F98" w:rsidRPr="00AC1668" w:rsidRDefault="000A2F98" w:rsidP="007F5BDE">
            <w:pPr>
              <w:spacing w:line="226" w:lineRule="auto"/>
              <w:ind w:left="-57" w:right="-44"/>
              <w:jc w:val="right"/>
              <w:rPr>
                <w:rFonts w:eastAsia="Arial Unicode MS"/>
                <w:b/>
                <w:sz w:val="18"/>
              </w:rPr>
            </w:pPr>
            <w:r w:rsidRPr="00AC1668">
              <w:rPr>
                <w:rFonts w:eastAsia="Arial Unicode MS"/>
                <w:b/>
                <w:sz w:val="18"/>
              </w:rPr>
              <w:t>Pay Oranı (%)</w:t>
            </w:r>
          </w:p>
        </w:tc>
        <w:tc>
          <w:tcPr>
            <w:tcW w:w="840" w:type="pct"/>
            <w:tcBorders>
              <w:top w:val="single" w:sz="4" w:space="0" w:color="auto"/>
              <w:bottom w:val="single" w:sz="4" w:space="0" w:color="auto"/>
            </w:tcBorders>
            <w:noWrap/>
            <w:vAlign w:val="bottom"/>
          </w:tcPr>
          <w:p w14:paraId="60FE200D" w14:textId="77777777" w:rsidR="000A2F98" w:rsidRPr="00AC1668" w:rsidRDefault="000A2F98" w:rsidP="007F5BDE">
            <w:pPr>
              <w:spacing w:line="226" w:lineRule="auto"/>
              <w:ind w:left="-57" w:right="-44"/>
              <w:jc w:val="right"/>
              <w:rPr>
                <w:rFonts w:eastAsia="Arial Unicode MS"/>
                <w:b/>
                <w:sz w:val="18"/>
              </w:rPr>
            </w:pPr>
            <w:r w:rsidRPr="00AC1668">
              <w:rPr>
                <w:rFonts w:eastAsia="Arial Unicode MS"/>
                <w:b/>
                <w:sz w:val="18"/>
              </w:rPr>
              <w:t>Ödenmiş Paylar</w:t>
            </w:r>
          </w:p>
        </w:tc>
        <w:tc>
          <w:tcPr>
            <w:tcW w:w="1004" w:type="pct"/>
            <w:tcBorders>
              <w:top w:val="single" w:sz="4" w:space="0" w:color="auto"/>
              <w:bottom w:val="single" w:sz="4" w:space="0" w:color="auto"/>
            </w:tcBorders>
            <w:noWrap/>
            <w:vAlign w:val="bottom"/>
          </w:tcPr>
          <w:p w14:paraId="10206F30" w14:textId="77777777" w:rsidR="000A2F98" w:rsidRPr="00AC1668" w:rsidRDefault="000A2F98" w:rsidP="007F5BDE">
            <w:pPr>
              <w:spacing w:line="226" w:lineRule="auto"/>
              <w:ind w:left="-57" w:right="-44"/>
              <w:jc w:val="right"/>
              <w:rPr>
                <w:rFonts w:eastAsia="Arial Unicode MS"/>
                <w:b/>
                <w:sz w:val="18"/>
              </w:rPr>
            </w:pPr>
            <w:r w:rsidRPr="00AC1668">
              <w:rPr>
                <w:rFonts w:eastAsia="Arial Unicode MS"/>
                <w:b/>
                <w:sz w:val="18"/>
              </w:rPr>
              <w:t>Ödenmemiş Paylar</w:t>
            </w:r>
          </w:p>
        </w:tc>
      </w:tr>
      <w:tr w:rsidR="00947ABE" w:rsidRPr="00AC1668" w14:paraId="493E2987" w14:textId="77777777" w:rsidTr="00947ABE">
        <w:trPr>
          <w:trHeight w:val="217"/>
        </w:trPr>
        <w:tc>
          <w:tcPr>
            <w:tcW w:w="1338" w:type="pct"/>
            <w:tcBorders>
              <w:top w:val="single" w:sz="4" w:space="0" w:color="auto"/>
            </w:tcBorders>
            <w:vAlign w:val="bottom"/>
          </w:tcPr>
          <w:p w14:paraId="5280941C" w14:textId="77777777" w:rsidR="00947ABE" w:rsidRPr="00AC1668" w:rsidRDefault="00947ABE" w:rsidP="00947ABE">
            <w:pPr>
              <w:spacing w:line="226" w:lineRule="auto"/>
              <w:ind w:left="-50" w:right="296"/>
              <w:jc w:val="both"/>
              <w:rPr>
                <w:rFonts w:eastAsia="Arial Unicode MS"/>
                <w:sz w:val="18"/>
              </w:rPr>
            </w:pPr>
            <w:r w:rsidRPr="00AC1668">
              <w:rPr>
                <w:sz w:val="18"/>
                <w:szCs w:val="18"/>
              </w:rPr>
              <w:t xml:space="preserve">AHL </w:t>
            </w:r>
            <w:proofErr w:type="spellStart"/>
            <w:r w:rsidRPr="00AC1668">
              <w:rPr>
                <w:sz w:val="18"/>
                <w:szCs w:val="18"/>
              </w:rPr>
              <w:t>Ahlatcı</w:t>
            </w:r>
            <w:proofErr w:type="spellEnd"/>
            <w:r w:rsidRPr="00AC1668">
              <w:rPr>
                <w:sz w:val="18"/>
                <w:szCs w:val="18"/>
              </w:rPr>
              <w:t xml:space="preserve"> Finansal Yönetim A.Ş.</w:t>
            </w:r>
          </w:p>
        </w:tc>
        <w:tc>
          <w:tcPr>
            <w:tcW w:w="908" w:type="pct"/>
            <w:tcBorders>
              <w:top w:val="single" w:sz="4" w:space="0" w:color="auto"/>
            </w:tcBorders>
            <w:noWrap/>
            <w:vAlign w:val="center"/>
          </w:tcPr>
          <w:p w14:paraId="29BED183" w14:textId="2EE5F385" w:rsidR="00947ABE" w:rsidRPr="00AC1668" w:rsidRDefault="00947ABE" w:rsidP="007F5BDE">
            <w:pPr>
              <w:pStyle w:val="SonNotMetni"/>
              <w:spacing w:line="226" w:lineRule="auto"/>
              <w:ind w:right="-44"/>
              <w:jc w:val="right"/>
              <w:rPr>
                <w:rFonts w:eastAsia="Arial Unicode MS"/>
                <w:sz w:val="18"/>
                <w:szCs w:val="18"/>
              </w:rPr>
            </w:pPr>
            <w:r w:rsidRPr="00AC1668">
              <w:rPr>
                <w:sz w:val="18"/>
                <w:szCs w:val="18"/>
              </w:rPr>
              <w:t>7.268.971</w:t>
            </w:r>
          </w:p>
        </w:tc>
        <w:tc>
          <w:tcPr>
            <w:tcW w:w="909" w:type="pct"/>
            <w:tcBorders>
              <w:top w:val="single" w:sz="4" w:space="0" w:color="auto"/>
            </w:tcBorders>
            <w:noWrap/>
            <w:vAlign w:val="center"/>
          </w:tcPr>
          <w:p w14:paraId="1878522E" w14:textId="369E6EB7" w:rsidR="00947ABE" w:rsidRPr="00AC1668" w:rsidRDefault="00947ABE" w:rsidP="007F5BDE">
            <w:pPr>
              <w:spacing w:line="226" w:lineRule="auto"/>
              <w:ind w:right="-44"/>
              <w:jc w:val="right"/>
              <w:rPr>
                <w:rFonts w:eastAsia="Arial Unicode MS"/>
                <w:sz w:val="18"/>
                <w:szCs w:val="18"/>
              </w:rPr>
            </w:pPr>
            <w:r w:rsidRPr="00AC1668">
              <w:rPr>
                <w:sz w:val="18"/>
                <w:szCs w:val="18"/>
              </w:rPr>
              <w:t>99,95</w:t>
            </w:r>
          </w:p>
        </w:tc>
        <w:tc>
          <w:tcPr>
            <w:tcW w:w="840" w:type="pct"/>
            <w:tcBorders>
              <w:top w:val="single" w:sz="4" w:space="0" w:color="auto"/>
            </w:tcBorders>
            <w:noWrap/>
            <w:vAlign w:val="center"/>
          </w:tcPr>
          <w:p w14:paraId="5AF55C0B" w14:textId="5C20E555" w:rsidR="00947ABE" w:rsidRPr="00AC1668" w:rsidRDefault="00947ABE" w:rsidP="007F5BDE">
            <w:pPr>
              <w:spacing w:line="226" w:lineRule="auto"/>
              <w:ind w:right="-44"/>
              <w:jc w:val="right"/>
              <w:rPr>
                <w:rFonts w:eastAsia="Arial Unicode MS"/>
                <w:sz w:val="18"/>
                <w:szCs w:val="18"/>
              </w:rPr>
            </w:pPr>
            <w:r w:rsidRPr="00AC1668">
              <w:rPr>
                <w:sz w:val="18"/>
                <w:szCs w:val="18"/>
              </w:rPr>
              <w:t>7.268.971</w:t>
            </w:r>
          </w:p>
        </w:tc>
        <w:tc>
          <w:tcPr>
            <w:tcW w:w="1004" w:type="pct"/>
            <w:tcBorders>
              <w:top w:val="single" w:sz="4" w:space="0" w:color="auto"/>
            </w:tcBorders>
            <w:noWrap/>
            <w:vAlign w:val="center"/>
          </w:tcPr>
          <w:p w14:paraId="11D8E7B8" w14:textId="5498A442" w:rsidR="00947ABE" w:rsidRPr="00AC1668" w:rsidRDefault="007F5BDE" w:rsidP="007F5BDE">
            <w:pPr>
              <w:spacing w:line="226" w:lineRule="auto"/>
              <w:ind w:left="567" w:right="-44"/>
              <w:jc w:val="right"/>
              <w:rPr>
                <w:rFonts w:eastAsia="Arial Unicode MS"/>
                <w:sz w:val="18"/>
                <w:szCs w:val="18"/>
              </w:rPr>
            </w:pPr>
            <w:r w:rsidRPr="00AC1668">
              <w:rPr>
                <w:sz w:val="18"/>
                <w:szCs w:val="18"/>
              </w:rPr>
              <w:t>-</w:t>
            </w:r>
          </w:p>
        </w:tc>
      </w:tr>
      <w:bookmarkEnd w:id="6"/>
    </w:tbl>
    <w:p w14:paraId="6FAB30F1" w14:textId="77777777" w:rsidR="005838EC" w:rsidRPr="00AC1668" w:rsidRDefault="005838EC" w:rsidP="009F6E11">
      <w:pPr>
        <w:pStyle w:val="GvdeMetniGirintisi"/>
        <w:widowControl w:val="0"/>
        <w:spacing w:line="235" w:lineRule="auto"/>
        <w:ind w:left="851" w:hanging="851"/>
        <w:rPr>
          <w:b/>
          <w:sz w:val="16"/>
          <w:szCs w:val="16"/>
        </w:rPr>
      </w:pPr>
    </w:p>
    <w:p w14:paraId="706F3A69" w14:textId="636D3586" w:rsidR="002C6E36" w:rsidRPr="00AC1668" w:rsidRDefault="002C6E36" w:rsidP="009F6E11">
      <w:pPr>
        <w:pStyle w:val="GvdeMetniGirintisi"/>
        <w:widowControl w:val="0"/>
        <w:spacing w:line="235" w:lineRule="auto"/>
        <w:ind w:left="851" w:hanging="851"/>
        <w:rPr>
          <w:b/>
          <w:szCs w:val="20"/>
        </w:rPr>
      </w:pPr>
      <w:r w:rsidRPr="00AC1668">
        <w:rPr>
          <w:b/>
          <w:szCs w:val="20"/>
        </w:rPr>
        <w:t>V.</w:t>
      </w:r>
      <w:r w:rsidRPr="00AC1668">
        <w:rPr>
          <w:b/>
          <w:szCs w:val="20"/>
        </w:rPr>
        <w:tab/>
      </w:r>
      <w:r w:rsidR="000A2F98" w:rsidRPr="00AC1668">
        <w:rPr>
          <w:b/>
          <w:szCs w:val="20"/>
        </w:rPr>
        <w:t>BANKA’NIN HİZMET TÜRÜ VE FAALİYET ALANLARINI İÇEREN ÖZET BİLGİ</w:t>
      </w:r>
    </w:p>
    <w:p w14:paraId="1F398E88" w14:textId="77777777" w:rsidR="00324789" w:rsidRPr="00AC1668" w:rsidRDefault="00324789" w:rsidP="009F6E11">
      <w:pPr>
        <w:pStyle w:val="GvdeMetniGirintisi"/>
        <w:widowControl w:val="0"/>
        <w:spacing w:line="235" w:lineRule="auto"/>
        <w:ind w:firstLine="0"/>
        <w:rPr>
          <w:sz w:val="16"/>
          <w:szCs w:val="16"/>
        </w:rPr>
      </w:pPr>
    </w:p>
    <w:p w14:paraId="48598D7F" w14:textId="31533384" w:rsidR="00F36B82" w:rsidRDefault="007468FA" w:rsidP="008E70C0">
      <w:pPr>
        <w:shd w:val="clear" w:color="auto" w:fill="FFFFFF" w:themeFill="background1"/>
        <w:ind w:left="868"/>
        <w:jc w:val="both"/>
        <w:rPr>
          <w:szCs w:val="20"/>
        </w:rPr>
      </w:pPr>
      <w:r w:rsidRPr="0021784E">
        <w:rPr>
          <w:szCs w:val="20"/>
        </w:rPr>
        <w:t>Banka katılım bankası olarak faizsiz bankacılık yapmaktadır. Banka</w:t>
      </w:r>
      <w:bookmarkStart w:id="9" w:name="_Hlk203740154"/>
      <w:r w:rsidRPr="0021784E">
        <w:rPr>
          <w:szCs w:val="20"/>
        </w:rPr>
        <w:t xml:space="preserve"> </w:t>
      </w:r>
      <w:r w:rsidR="003B3352" w:rsidRPr="0021784E">
        <w:rPr>
          <w:szCs w:val="20"/>
        </w:rPr>
        <w:t>31 Aralık</w:t>
      </w:r>
      <w:r w:rsidR="00932390" w:rsidRPr="0021784E">
        <w:rPr>
          <w:szCs w:val="20"/>
        </w:rPr>
        <w:t xml:space="preserve"> 2025</w:t>
      </w:r>
      <w:r w:rsidRPr="0021784E">
        <w:rPr>
          <w:szCs w:val="20"/>
        </w:rPr>
        <w:t xml:space="preserve"> </w:t>
      </w:r>
      <w:bookmarkEnd w:id="9"/>
      <w:r w:rsidRPr="0021784E">
        <w:rPr>
          <w:szCs w:val="20"/>
        </w:rPr>
        <w:t xml:space="preserve">tarihi itibarıyla </w:t>
      </w:r>
      <w:r w:rsidR="00310DEA" w:rsidRPr="0021784E">
        <w:rPr>
          <w:szCs w:val="20"/>
        </w:rPr>
        <w:t xml:space="preserve">25 </w:t>
      </w:r>
      <w:r w:rsidRPr="0021784E">
        <w:rPr>
          <w:szCs w:val="20"/>
        </w:rPr>
        <w:t>şubesi ve</w:t>
      </w:r>
      <w:r w:rsidR="00C44442">
        <w:rPr>
          <w:szCs w:val="20"/>
        </w:rPr>
        <w:t xml:space="preserve"> 509</w:t>
      </w:r>
      <w:r w:rsidR="00310DEA" w:rsidRPr="0021784E">
        <w:rPr>
          <w:szCs w:val="20"/>
        </w:rPr>
        <w:t xml:space="preserve"> </w:t>
      </w:r>
      <w:r w:rsidRPr="0021784E">
        <w:rPr>
          <w:szCs w:val="20"/>
        </w:rPr>
        <w:t xml:space="preserve">personeli ile faaliyet göstermektedir. Banka, Ana </w:t>
      </w:r>
      <w:proofErr w:type="spellStart"/>
      <w:r w:rsidRPr="0021784E">
        <w:rPr>
          <w:szCs w:val="20"/>
        </w:rPr>
        <w:t>Sözleşme’sinde</w:t>
      </w:r>
      <w:proofErr w:type="spellEnd"/>
      <w:r w:rsidRPr="0021784E">
        <w:rPr>
          <w:szCs w:val="20"/>
        </w:rPr>
        <w:t xml:space="preserve"> de belirtildiği gibi Bankacılık Kanunu</w:t>
      </w:r>
      <w:r w:rsidRPr="00AC1668">
        <w:rPr>
          <w:szCs w:val="20"/>
        </w:rPr>
        <w:t xml:space="preserve"> ve ilgili mevzuatın sınırları içinde kalmak kaydı ile; Katılım fonu kabulü, nakdî, gayri nakdî her cins ve surette kredi verme işlemleri, yurt içi ve yurt dışından fon toplama, hesaplar açma, borç alma, avans kabul etme işlemleri, bankalar, finansal kuruluşlar, şirketler ile yurt içinde ve yurt dışında ortaklık veya kâr– zarar ortaklığına girişilmesi veya sair her türlü surette iş birliği veya iştirakte bulunulması ve bu maksatla fonlar teşkil veya temin edilmesi, yürütülen faaliyetler çerçevesinde, yurt içinde veya yurt dışında, ham veya mamul madde, makine, ekipman, teçhizat, uçak, gemi ve taşınır mülkiyetine konu olabilecek her türlü mallar ile arsa, arazi, bina ve taşınmaz mülkiyetine konu olabilecek her türlü mallarla ilgili satım, trampa, bağış, takas, inşa, işletme ve benzeri işlemleri ve ilgili tescil, beyan, şerh, terkin, fek, değişiklik, düzeltme ve diğer her türlü işlemler, kira sertifikası, kâr ve zarar ortaklığı belgesi, katılma intifa senetleri, kâra iştirakli tahviller, borçlanma araçları, diğer menkul kıymetler ve sermaye piyasası araçları çıkarma işlemleri, nakdî ve </w:t>
      </w:r>
      <w:proofErr w:type="spellStart"/>
      <w:r w:rsidRPr="00AC1668">
        <w:rPr>
          <w:szCs w:val="20"/>
        </w:rPr>
        <w:t>kaydi</w:t>
      </w:r>
      <w:proofErr w:type="spellEnd"/>
      <w:r w:rsidRPr="00AC1668">
        <w:rPr>
          <w:szCs w:val="20"/>
        </w:rPr>
        <w:t xml:space="preserve"> ödeme ve fon transferi işlemleri, muhabir bankacılık veya çek hesaplarının kullanılması dahil her türlü ödeme ve tahsilat işlemleri, çek ve diğer kambiyo senetlerinin iştirası işlemleri, saklama hizmetleri, kredi kartları, banka kartları gibi her türlü ödeme vasıtalarının ihracı ve bunlarla ilgili faaliyetlerin yürütülmesi işlemleri, efektif dahil kambiyo işlemleri, para piyasası araçlarının alım satımı, kıymetli maden ve taşların alım satımı </w:t>
      </w:r>
      <w:r w:rsidR="00F36B82">
        <w:rPr>
          <w:szCs w:val="20"/>
        </w:rPr>
        <w:br w:type="page"/>
      </w:r>
    </w:p>
    <w:p w14:paraId="1662C332" w14:textId="1228A2BA" w:rsidR="009B0E8B" w:rsidRPr="00AC1668" w:rsidRDefault="009B0E8B" w:rsidP="009B0E8B">
      <w:pPr>
        <w:widowControl w:val="0"/>
        <w:tabs>
          <w:tab w:val="left" w:pos="720"/>
        </w:tabs>
        <w:spacing w:line="235" w:lineRule="auto"/>
        <w:ind w:left="720" w:hanging="720"/>
        <w:rPr>
          <w:b/>
          <w:szCs w:val="20"/>
        </w:rPr>
      </w:pPr>
      <w:r w:rsidRPr="00AC1668">
        <w:rPr>
          <w:b/>
          <w:szCs w:val="20"/>
        </w:rPr>
        <w:lastRenderedPageBreak/>
        <w:t>BANKA HAKKINDA GENEL BİLGİLER (Devamı)</w:t>
      </w:r>
    </w:p>
    <w:p w14:paraId="6E9906D6" w14:textId="272621D6" w:rsidR="009B0E8B" w:rsidRPr="00AC1668" w:rsidRDefault="009B0E8B" w:rsidP="009B0E8B">
      <w:pPr>
        <w:pStyle w:val="GvdeMetniGirintisi"/>
        <w:widowControl w:val="0"/>
        <w:spacing w:before="120" w:line="235" w:lineRule="auto"/>
        <w:ind w:left="851" w:hanging="851"/>
        <w:rPr>
          <w:b/>
          <w:szCs w:val="20"/>
        </w:rPr>
      </w:pPr>
      <w:r w:rsidRPr="00AC1668">
        <w:rPr>
          <w:b/>
          <w:szCs w:val="20"/>
        </w:rPr>
        <w:t>V.</w:t>
      </w:r>
      <w:r w:rsidRPr="00AC1668">
        <w:rPr>
          <w:b/>
          <w:szCs w:val="20"/>
        </w:rPr>
        <w:tab/>
        <w:t>BANKA’NIN HİZMET TÜRÜ VE FAALİYET ALANLARINI İÇEREN ÖZET BİLGİ (Devamı)</w:t>
      </w:r>
    </w:p>
    <w:p w14:paraId="284A1D0C" w14:textId="77777777" w:rsidR="009B0E8B" w:rsidRPr="00AC1668" w:rsidRDefault="009B0E8B" w:rsidP="008E70C0">
      <w:pPr>
        <w:shd w:val="clear" w:color="auto" w:fill="FFFFFF" w:themeFill="background1"/>
        <w:ind w:left="868"/>
        <w:jc w:val="both"/>
        <w:rPr>
          <w:szCs w:val="20"/>
        </w:rPr>
      </w:pPr>
    </w:p>
    <w:p w14:paraId="68F33A6A" w14:textId="4190153C" w:rsidR="000A2F98" w:rsidRPr="00AC1668" w:rsidRDefault="003738D7" w:rsidP="008E70C0">
      <w:pPr>
        <w:shd w:val="clear" w:color="auto" w:fill="FFFFFF" w:themeFill="background1"/>
        <w:ind w:left="868"/>
        <w:jc w:val="both"/>
        <w:rPr>
          <w:szCs w:val="20"/>
        </w:rPr>
      </w:pPr>
      <w:r w:rsidRPr="00AC1668">
        <w:rPr>
          <w:szCs w:val="20"/>
        </w:rPr>
        <w:t xml:space="preserve">veya bunların emanete alınması işlemleri, ekonomik ve finansal göstergelere, sermaye piyasası araçlarına, mala, kıymetli madenlere ve dövize dayalı; vadeli işlem sözleşmelerinin, opsiyon sözleşmelerinin, birden fazla türev aracı içeren basit veya karmaşık yapıdaki finansal araçların alım </w:t>
      </w:r>
      <w:r w:rsidR="000A2F98" w:rsidRPr="00AC1668">
        <w:rPr>
          <w:szCs w:val="20"/>
        </w:rPr>
        <w:t xml:space="preserve">satımı ve aracılık </w:t>
      </w:r>
      <w:r w:rsidR="00153D8D" w:rsidRPr="00AC1668">
        <w:rPr>
          <w:szCs w:val="20"/>
        </w:rPr>
        <w:t xml:space="preserve">işlemleri, sermaye piyasası araçlarının alım satımı ile geri alım veya satım vaadi işlemleri, daha önce ihraç edilmiş olan sermaye piyasası araçlarının aracılık maksadıyla alım satımının yürütülmesi işlemleri, başkaları lehine teminat, garanti ve sair yükümlülüklerin üstlenilmesi gibi garanti işleri, </w:t>
      </w:r>
      <w:r w:rsidR="000A2F98" w:rsidRPr="00AC1668">
        <w:rPr>
          <w:szCs w:val="20"/>
        </w:rPr>
        <w:t>Hazine Müsteşarlığı ve/veya Merkez Bankası ve kuruluş birlikleri nezdinde oluşturulan bir sözleşme kapsamında üstlenilen yükümlülükler çerçevesinde alım satım işlemlerine ilişkin piyasa yapıcılığı</w:t>
      </w:r>
      <w:r w:rsidR="00153D8D" w:rsidRPr="00AC1668">
        <w:rPr>
          <w:szCs w:val="20"/>
        </w:rPr>
        <w:t xml:space="preserve">, bankalararası piyasada </w:t>
      </w:r>
      <w:r w:rsidR="000A2F98" w:rsidRPr="00AC1668">
        <w:rPr>
          <w:szCs w:val="20"/>
        </w:rPr>
        <w:t>para alım satımı işlemlerine aracılık</w:t>
      </w:r>
      <w:r w:rsidR="00153D8D" w:rsidRPr="00AC1668">
        <w:rPr>
          <w:szCs w:val="20"/>
        </w:rPr>
        <w:t>, finansal kiralama işlemleri, sigorta acenteliği ve bireysel emeklilik aracılık hizmetleri, her türlü maddi ve gayrı maddi menkul ve gayrimenkul mallar ile bu mallar üzerinde bulunan hak, mülkiyet ve imtiyazların her türlü suretle satın alınması, kiralanması, satılması, kiraya verilmesi, yönetilmesi, geliştirilmesi, üzerinde her türlü ayni veya şahsi haklar tesis edilmesi hizmetlerini ve işlemlerini yürütür.</w:t>
      </w:r>
    </w:p>
    <w:p w14:paraId="70B6281F" w14:textId="77777777" w:rsidR="004A69CC" w:rsidRPr="00AC1668" w:rsidRDefault="004A69CC" w:rsidP="008E70C0">
      <w:pPr>
        <w:pStyle w:val="GvdeMetniGirintisi"/>
        <w:widowControl w:val="0"/>
        <w:shd w:val="clear" w:color="auto" w:fill="FFFFFF" w:themeFill="background1"/>
        <w:spacing w:line="235" w:lineRule="auto"/>
        <w:ind w:left="851" w:firstLine="0"/>
        <w:rPr>
          <w:szCs w:val="20"/>
        </w:rPr>
      </w:pPr>
    </w:p>
    <w:p w14:paraId="639FB5B9" w14:textId="18C25A93" w:rsidR="00057F69" w:rsidRPr="00AC1668" w:rsidRDefault="00E839C3" w:rsidP="008E70C0">
      <w:pPr>
        <w:widowControl w:val="0"/>
        <w:shd w:val="clear" w:color="auto" w:fill="FFFFFF" w:themeFill="background1"/>
        <w:spacing w:line="235" w:lineRule="auto"/>
        <w:ind w:left="851"/>
        <w:jc w:val="both"/>
        <w:rPr>
          <w:szCs w:val="20"/>
        </w:rPr>
      </w:pPr>
      <w:r w:rsidRPr="00AC1668">
        <w:rPr>
          <w:szCs w:val="20"/>
        </w:rPr>
        <w:t xml:space="preserve">Banka’nın yapabileceği </w:t>
      </w:r>
      <w:r w:rsidR="000A2F98" w:rsidRPr="00AC1668">
        <w:rPr>
          <w:szCs w:val="20"/>
        </w:rPr>
        <w:t xml:space="preserve">hizmet ve </w:t>
      </w:r>
      <w:r w:rsidRPr="00AC1668">
        <w:rPr>
          <w:szCs w:val="20"/>
        </w:rPr>
        <w:t xml:space="preserve">işlemler </w:t>
      </w:r>
      <w:r w:rsidR="000A2F98" w:rsidRPr="00AC1668">
        <w:rPr>
          <w:szCs w:val="20"/>
        </w:rPr>
        <w:t>yukarıda da</w:t>
      </w:r>
      <w:r w:rsidRPr="00AC1668">
        <w:rPr>
          <w:szCs w:val="20"/>
        </w:rPr>
        <w:t xml:space="preserve"> yazılı işlemlerle sınırlı değildir. Bu işlemlerden başka herhangi bir işlem yapılması Banka için faydalı görülürse, buna başlanılması, Yönetim Kurulu’nun önerisi üzerine Genel Kurul tarafından karara bağlanmasına, gerekli kanuni mercilerden onay alınması ve Ana </w:t>
      </w:r>
      <w:proofErr w:type="spellStart"/>
      <w:r w:rsidRPr="00AC1668">
        <w:rPr>
          <w:szCs w:val="20"/>
        </w:rPr>
        <w:t>Sözleşme’de</w:t>
      </w:r>
      <w:proofErr w:type="spellEnd"/>
      <w:r w:rsidRPr="00AC1668">
        <w:rPr>
          <w:szCs w:val="20"/>
        </w:rPr>
        <w:t xml:space="preserve"> değişiklik mahiyetinde olan bu kararın Ticaret Bakanlığı’nca onanmasına bağlıdır. Bu suretle tasdik olunan karar Ana </w:t>
      </w:r>
      <w:proofErr w:type="spellStart"/>
      <w:r w:rsidRPr="00AC1668">
        <w:rPr>
          <w:szCs w:val="20"/>
        </w:rPr>
        <w:t>Sözleşme’ye</w:t>
      </w:r>
      <w:proofErr w:type="spellEnd"/>
      <w:r w:rsidRPr="00AC1668">
        <w:rPr>
          <w:szCs w:val="20"/>
        </w:rPr>
        <w:t xml:space="preserve"> eklenir.</w:t>
      </w:r>
    </w:p>
    <w:p w14:paraId="7A1529AF" w14:textId="77777777" w:rsidR="00324789" w:rsidRPr="00AC1668" w:rsidRDefault="00324789" w:rsidP="009F6E11">
      <w:pPr>
        <w:widowControl w:val="0"/>
        <w:spacing w:line="235" w:lineRule="auto"/>
        <w:jc w:val="both"/>
        <w:rPr>
          <w:sz w:val="16"/>
          <w:szCs w:val="16"/>
        </w:rPr>
      </w:pPr>
    </w:p>
    <w:p w14:paraId="010B7817" w14:textId="749A8609" w:rsidR="00EC21FC" w:rsidRPr="00AC1668" w:rsidRDefault="00EC21FC" w:rsidP="009F6E11">
      <w:pPr>
        <w:pStyle w:val="BodybyBD"/>
        <w:keepLines w:val="0"/>
        <w:widowControl w:val="0"/>
        <w:tabs>
          <w:tab w:val="left" w:pos="3686"/>
        </w:tabs>
        <w:spacing w:before="0" w:after="0" w:line="235" w:lineRule="auto"/>
        <w:ind w:left="851" w:hanging="851"/>
        <w:rPr>
          <w:b/>
          <w:sz w:val="20"/>
        </w:rPr>
      </w:pPr>
      <w:bookmarkStart w:id="10" w:name="_Hlk109656036"/>
      <w:r w:rsidRPr="00AC1668">
        <w:rPr>
          <w:b/>
          <w:sz w:val="20"/>
        </w:rPr>
        <w:t>VI.</w:t>
      </w:r>
      <w:r w:rsidRPr="00AC1668">
        <w:rPr>
          <w:b/>
          <w:sz w:val="20"/>
        </w:rPr>
        <w:tab/>
      </w:r>
      <w:r w:rsidR="000A410D" w:rsidRPr="00AC1668">
        <w:rPr>
          <w:b/>
          <w:sz w:val="20"/>
        </w:rPr>
        <w:t>BANKALARIN KONSOLİDE FİNANSAL TABLOLARININ DÜZENLENMESİNE İLİŞKİN TEBLİĞ İLE TÜRKİYE MUHASEBE STANDARTLARI GEREĞİ YAPILAN KONSOLİDASYON İŞLEMLERİ ARASINDAKİ FARKLILIKLAR İLE TAM KONSOLİDASYONA VEYA ORANSAL KONSOLİDASYONA TABİ TUTULAN, ÖZKAYNAKLARDAN İNDİRİLEN YA DA BU ÜÇ YÖNTEME DAHİL OLMAYAN KURULUŞLAR HAKKINDA KISA AÇIKLAMA</w:t>
      </w:r>
    </w:p>
    <w:p w14:paraId="4672D0DC" w14:textId="77777777" w:rsidR="00324789" w:rsidRPr="00AC1668" w:rsidRDefault="00324789" w:rsidP="009F6E11">
      <w:pPr>
        <w:pStyle w:val="GvdeMetniGirintisi"/>
        <w:widowControl w:val="0"/>
        <w:spacing w:line="235" w:lineRule="auto"/>
        <w:ind w:firstLine="0"/>
        <w:rPr>
          <w:sz w:val="16"/>
          <w:szCs w:val="16"/>
        </w:rPr>
      </w:pPr>
    </w:p>
    <w:bookmarkEnd w:id="10"/>
    <w:p w14:paraId="070CA506" w14:textId="020185CF" w:rsidR="00324789" w:rsidRPr="00AC1668" w:rsidRDefault="00433201" w:rsidP="005903A3">
      <w:pPr>
        <w:pStyle w:val="GvdeMetniGirintisi"/>
        <w:widowControl w:val="0"/>
        <w:spacing w:line="235" w:lineRule="auto"/>
        <w:ind w:left="854" w:firstLine="0"/>
        <w:rPr>
          <w:szCs w:val="20"/>
          <w:lang w:eastAsia="tr-TR"/>
        </w:rPr>
      </w:pPr>
      <w:r w:rsidRPr="00AC1668">
        <w:rPr>
          <w:szCs w:val="20"/>
          <w:lang w:eastAsia="tr-TR"/>
        </w:rPr>
        <w:t xml:space="preserve">Bağlı ortaklıklar içerisinde yer alan </w:t>
      </w:r>
      <w:bookmarkStart w:id="11" w:name="_Hlk114653752"/>
      <w:r w:rsidRPr="00AC1668">
        <w:rPr>
          <w:szCs w:val="20"/>
          <w:lang w:eastAsia="tr-TR"/>
        </w:rPr>
        <w:t xml:space="preserve">Techdünya Bilişim Teknoloji ve Ticaret A.Ş. mali kuruluş olmadığından </w:t>
      </w:r>
      <w:bookmarkEnd w:id="11"/>
      <w:r w:rsidRPr="00AC1668">
        <w:rPr>
          <w:szCs w:val="20"/>
          <w:lang w:eastAsia="tr-TR"/>
        </w:rPr>
        <w:t>“Bankaların Konsolide Finansal Tablolarının Düzenlenmesine İlişkin Tebliğ” kapsamında konsolide finansal tablolarda konsolide edilmemektedir.</w:t>
      </w:r>
      <w:r w:rsidRPr="00AC1668">
        <w:t xml:space="preserve"> </w:t>
      </w:r>
      <w:r w:rsidRPr="00AC1668">
        <w:rPr>
          <w:szCs w:val="20"/>
          <w:lang w:eastAsia="tr-TR"/>
        </w:rPr>
        <w:t>Techdünya Bilişim Teknoloji ve Ticaret A.Ş dışında kalan bağlı ortaklıklar tam konsolidasyon kapsamındadır.</w:t>
      </w:r>
    </w:p>
    <w:p w14:paraId="0C9EC39F" w14:textId="77777777" w:rsidR="005903A3" w:rsidRPr="00AC1668" w:rsidRDefault="005903A3" w:rsidP="005903A3">
      <w:pPr>
        <w:pStyle w:val="GvdeMetniGirintisi"/>
        <w:widowControl w:val="0"/>
        <w:spacing w:line="235" w:lineRule="auto"/>
        <w:ind w:left="854" w:firstLine="0"/>
        <w:rPr>
          <w:szCs w:val="20"/>
          <w:lang w:eastAsia="tr-TR"/>
        </w:rPr>
      </w:pPr>
    </w:p>
    <w:p w14:paraId="28075BB5" w14:textId="137A3BC5" w:rsidR="00EC21FC" w:rsidRPr="00AC1668" w:rsidRDefault="00EC21FC" w:rsidP="009F6E11">
      <w:pPr>
        <w:pStyle w:val="BodybyBD"/>
        <w:keepLines w:val="0"/>
        <w:widowControl w:val="0"/>
        <w:spacing w:before="0" w:after="0" w:line="235" w:lineRule="auto"/>
        <w:ind w:left="851" w:hanging="851"/>
        <w:rPr>
          <w:b/>
          <w:sz w:val="20"/>
        </w:rPr>
      </w:pPr>
      <w:r w:rsidRPr="00AC1668">
        <w:rPr>
          <w:b/>
          <w:sz w:val="20"/>
        </w:rPr>
        <w:t>VII.</w:t>
      </w:r>
      <w:r w:rsidRPr="00AC1668">
        <w:rPr>
          <w:b/>
          <w:sz w:val="20"/>
        </w:rPr>
        <w:tab/>
      </w:r>
      <w:r w:rsidR="000A410D" w:rsidRPr="00AC1668">
        <w:rPr>
          <w:b/>
          <w:sz w:val="20"/>
        </w:rPr>
        <w:t>BANKA İLE BAĞLI ORTAKLIKLARI ARASINDA ÖZKAYNAKLARIN DERHAL TRANSFER EDİLMESİNİN VEYA BORÇLARIN GERİ ÖDENMESİNİN ÖNÜNDE MEVCUT VEYA MUHTEMEL, FİİLİ VEYA HUKUKİ ENGELLER</w:t>
      </w:r>
    </w:p>
    <w:p w14:paraId="77792260" w14:textId="77777777" w:rsidR="00324789" w:rsidRPr="00AC1668" w:rsidRDefault="00324789" w:rsidP="009F6E11">
      <w:pPr>
        <w:pStyle w:val="GvdeMetniGirintisi"/>
        <w:widowControl w:val="0"/>
        <w:spacing w:line="235" w:lineRule="auto"/>
        <w:ind w:firstLine="0"/>
        <w:rPr>
          <w:sz w:val="16"/>
          <w:szCs w:val="16"/>
        </w:rPr>
      </w:pPr>
    </w:p>
    <w:p w14:paraId="65F8AB31" w14:textId="77777777" w:rsidR="009A68DC" w:rsidRPr="00AC1668" w:rsidRDefault="00EC61EE" w:rsidP="009F6E11">
      <w:pPr>
        <w:pStyle w:val="GvdeMetniGirintisi"/>
        <w:widowControl w:val="0"/>
        <w:spacing w:line="235" w:lineRule="auto"/>
        <w:ind w:left="851" w:firstLine="0"/>
        <w:rPr>
          <w:szCs w:val="20"/>
        </w:rPr>
      </w:pPr>
      <w:r w:rsidRPr="00AC1668">
        <w:rPr>
          <w:szCs w:val="20"/>
        </w:rPr>
        <w:t>Banka ile bağlı ortaklıkları</w:t>
      </w:r>
      <w:r w:rsidR="00EC21FC" w:rsidRPr="00AC1668">
        <w:rPr>
          <w:szCs w:val="20"/>
        </w:rPr>
        <w:t xml:space="preserve"> arasında özkaynakların derhal</w:t>
      </w:r>
      <w:r w:rsidR="002F38A4" w:rsidRPr="00AC1668">
        <w:rPr>
          <w:szCs w:val="20"/>
        </w:rPr>
        <w:t xml:space="preserve"> transferi söz konusu değildir.</w:t>
      </w:r>
      <w:r w:rsidR="00BC6B36" w:rsidRPr="00AC1668">
        <w:rPr>
          <w:szCs w:val="20"/>
        </w:rPr>
        <w:t xml:space="preserve"> </w:t>
      </w:r>
      <w:r w:rsidRPr="00AC1668">
        <w:rPr>
          <w:szCs w:val="20"/>
        </w:rPr>
        <w:t>Banka ile bağlı ortaklıkları</w:t>
      </w:r>
      <w:r w:rsidR="00EC21FC" w:rsidRPr="00AC1668">
        <w:rPr>
          <w:szCs w:val="20"/>
        </w:rPr>
        <w:t xml:space="preserve"> arasında borçların geri ödenmesinin önünde mevcut veya muhtemel</w:t>
      </w:r>
      <w:r w:rsidR="00270205" w:rsidRPr="00AC1668">
        <w:rPr>
          <w:szCs w:val="20"/>
        </w:rPr>
        <w:t>,</w:t>
      </w:r>
      <w:r w:rsidR="00EC21FC" w:rsidRPr="00AC1668">
        <w:rPr>
          <w:szCs w:val="20"/>
        </w:rPr>
        <w:t xml:space="preserve"> fiili veya hukuki </w:t>
      </w:r>
      <w:r w:rsidR="007D2D81" w:rsidRPr="00AC1668">
        <w:rPr>
          <w:szCs w:val="20"/>
        </w:rPr>
        <w:t xml:space="preserve">bir </w:t>
      </w:r>
      <w:r w:rsidR="00EC21FC" w:rsidRPr="00AC1668">
        <w:rPr>
          <w:szCs w:val="20"/>
        </w:rPr>
        <w:t>engel bulunmamaktadır.</w:t>
      </w:r>
    </w:p>
    <w:p w14:paraId="2E40FE1A" w14:textId="77777777" w:rsidR="009A68DC" w:rsidRPr="00AC1668" w:rsidRDefault="009A68DC" w:rsidP="009F6E11">
      <w:pPr>
        <w:pStyle w:val="GvdeMetniGirintisi"/>
        <w:widowControl w:val="0"/>
        <w:spacing w:line="235" w:lineRule="auto"/>
        <w:ind w:left="851" w:firstLine="0"/>
        <w:rPr>
          <w:szCs w:val="20"/>
        </w:rPr>
      </w:pPr>
    </w:p>
    <w:p w14:paraId="39B30319" w14:textId="77777777" w:rsidR="009A68DC" w:rsidRPr="00AC1668" w:rsidRDefault="009A68DC" w:rsidP="009F6E11">
      <w:pPr>
        <w:pStyle w:val="GvdeMetniGirintisi"/>
        <w:widowControl w:val="0"/>
        <w:spacing w:line="235" w:lineRule="auto"/>
        <w:ind w:left="851" w:firstLine="0"/>
        <w:rPr>
          <w:szCs w:val="20"/>
        </w:rPr>
      </w:pPr>
    </w:p>
    <w:p w14:paraId="1BB3D517" w14:textId="77777777" w:rsidR="009A68DC" w:rsidRPr="00AC1668" w:rsidRDefault="009A68DC" w:rsidP="009F6E11">
      <w:pPr>
        <w:pStyle w:val="GvdeMetniGirintisi"/>
        <w:widowControl w:val="0"/>
        <w:spacing w:line="235" w:lineRule="auto"/>
        <w:ind w:left="851" w:firstLine="0"/>
        <w:rPr>
          <w:szCs w:val="20"/>
        </w:rPr>
      </w:pPr>
    </w:p>
    <w:p w14:paraId="448B5018" w14:textId="77777777" w:rsidR="009A68DC" w:rsidRPr="00AC1668" w:rsidRDefault="009A68DC" w:rsidP="009F6E11">
      <w:pPr>
        <w:pStyle w:val="GvdeMetniGirintisi"/>
        <w:widowControl w:val="0"/>
        <w:spacing w:line="235" w:lineRule="auto"/>
        <w:ind w:left="851" w:firstLine="0"/>
        <w:rPr>
          <w:szCs w:val="20"/>
        </w:rPr>
      </w:pPr>
    </w:p>
    <w:p w14:paraId="2CB5B8E5" w14:textId="77777777" w:rsidR="009A68DC" w:rsidRPr="00AC1668" w:rsidRDefault="009A68DC" w:rsidP="009F6E11">
      <w:pPr>
        <w:pStyle w:val="GvdeMetniGirintisi"/>
        <w:widowControl w:val="0"/>
        <w:spacing w:line="235" w:lineRule="auto"/>
        <w:ind w:left="851" w:firstLine="0"/>
        <w:rPr>
          <w:szCs w:val="20"/>
        </w:rPr>
        <w:sectPr w:rsidR="009A68DC" w:rsidRPr="00AC1668" w:rsidSect="00D767FD">
          <w:headerReference w:type="even" r:id="rId20"/>
          <w:headerReference w:type="default" r:id="rId21"/>
          <w:footerReference w:type="even" r:id="rId22"/>
          <w:footerReference w:type="default" r:id="rId23"/>
          <w:headerReference w:type="first" r:id="rId24"/>
          <w:footerReference w:type="first" r:id="rId25"/>
          <w:pgSz w:w="11907" w:h="16840" w:code="9"/>
          <w:pgMar w:top="1134" w:right="1134" w:bottom="1134" w:left="1134" w:header="851" w:footer="851" w:gutter="0"/>
          <w:pgNumType w:start="1"/>
          <w:cols w:space="720"/>
          <w:noEndnote/>
          <w:titlePg/>
          <w:docGrid w:linePitch="326"/>
        </w:sectPr>
      </w:pPr>
    </w:p>
    <w:p w14:paraId="26D2A522" w14:textId="2F8C8961" w:rsidR="002820D7" w:rsidRPr="00AC1668" w:rsidRDefault="002820D7" w:rsidP="000771F8"/>
    <w:p w14:paraId="5B27FE0B" w14:textId="77777777" w:rsidR="007B020B" w:rsidRPr="00AC1668" w:rsidRDefault="007B020B" w:rsidP="000771F8"/>
    <w:p w14:paraId="32C142B3" w14:textId="77777777" w:rsidR="007B020B" w:rsidRPr="00AC1668" w:rsidRDefault="007B020B" w:rsidP="000771F8"/>
    <w:p w14:paraId="1D663490" w14:textId="59CA4D42" w:rsidR="007B020B" w:rsidRPr="00AC1668" w:rsidRDefault="007B020B" w:rsidP="000771F8"/>
    <w:p w14:paraId="4102BBB0" w14:textId="20E71932" w:rsidR="000771F8" w:rsidRPr="00AC1668" w:rsidRDefault="000771F8" w:rsidP="000771F8"/>
    <w:p w14:paraId="5CBE46DD" w14:textId="0AB172DE" w:rsidR="000771F8" w:rsidRPr="00AC1668" w:rsidRDefault="000771F8" w:rsidP="000771F8"/>
    <w:p w14:paraId="5490554F" w14:textId="77777777" w:rsidR="000771F8" w:rsidRPr="00AC1668" w:rsidRDefault="000771F8" w:rsidP="000771F8"/>
    <w:p w14:paraId="12719E06" w14:textId="3B288AEB" w:rsidR="005903A3" w:rsidRPr="00AC1668" w:rsidRDefault="002820D7" w:rsidP="002820D7">
      <w:pPr>
        <w:pStyle w:val="GvdeMetniGirintisi"/>
        <w:widowControl w:val="0"/>
        <w:tabs>
          <w:tab w:val="left" w:pos="851"/>
        </w:tabs>
        <w:ind w:firstLine="0"/>
        <w:jc w:val="center"/>
        <w:rPr>
          <w:b/>
          <w:szCs w:val="20"/>
        </w:rPr>
      </w:pPr>
      <w:r w:rsidRPr="00AC1668">
        <w:rPr>
          <w:b/>
          <w:szCs w:val="20"/>
        </w:rPr>
        <w:t>İKİNCİ BÖLÜM</w:t>
      </w:r>
    </w:p>
    <w:p w14:paraId="2BC7F970" w14:textId="77777777" w:rsidR="005903A3" w:rsidRPr="00AC1668" w:rsidRDefault="005903A3" w:rsidP="002820D7">
      <w:pPr>
        <w:pStyle w:val="GvdeMetniGirintisi"/>
        <w:widowControl w:val="0"/>
        <w:tabs>
          <w:tab w:val="left" w:pos="851"/>
        </w:tabs>
        <w:ind w:left="851" w:firstLine="0"/>
        <w:jc w:val="center"/>
        <w:rPr>
          <w:b/>
          <w:szCs w:val="20"/>
        </w:rPr>
      </w:pPr>
    </w:p>
    <w:p w14:paraId="31B90C70" w14:textId="44557468" w:rsidR="005903A3" w:rsidRPr="00AC1668" w:rsidRDefault="002820D7" w:rsidP="002820D7">
      <w:pPr>
        <w:pStyle w:val="GvdeMetniGirintisi"/>
        <w:widowControl w:val="0"/>
        <w:ind w:left="644" w:firstLine="0"/>
        <w:jc w:val="center"/>
        <w:rPr>
          <w:b/>
          <w:szCs w:val="20"/>
        </w:rPr>
      </w:pPr>
      <w:r w:rsidRPr="00AC1668">
        <w:rPr>
          <w:b/>
          <w:szCs w:val="20"/>
        </w:rPr>
        <w:t>KONSOLİDE OLMAYAN FİNANSAL TABLOLAR</w:t>
      </w:r>
    </w:p>
    <w:p w14:paraId="231EFADB" w14:textId="77777777" w:rsidR="005903A3" w:rsidRPr="00AC1668" w:rsidRDefault="005903A3" w:rsidP="002820D7">
      <w:pPr>
        <w:pStyle w:val="GvdeMetniGirintisi"/>
        <w:widowControl w:val="0"/>
        <w:ind w:left="644" w:hanging="709"/>
        <w:jc w:val="center"/>
        <w:rPr>
          <w:b/>
          <w:szCs w:val="20"/>
        </w:rPr>
      </w:pPr>
    </w:p>
    <w:p w14:paraId="768A790C" w14:textId="3040B103" w:rsidR="005903A3" w:rsidRPr="00AC1668" w:rsidRDefault="002820D7" w:rsidP="00DF282B">
      <w:pPr>
        <w:pStyle w:val="ListeParagraf"/>
        <w:widowControl w:val="0"/>
        <w:numPr>
          <w:ilvl w:val="0"/>
          <w:numId w:val="39"/>
        </w:numPr>
        <w:ind w:left="644" w:hanging="709"/>
        <w:rPr>
          <w:szCs w:val="20"/>
        </w:rPr>
      </w:pPr>
      <w:r w:rsidRPr="00AC1668">
        <w:rPr>
          <w:szCs w:val="20"/>
        </w:rPr>
        <w:t>BİLANÇO (FİNANSAL DURUM TABLOSU)</w:t>
      </w:r>
    </w:p>
    <w:p w14:paraId="384B524D" w14:textId="05E8593B" w:rsidR="005903A3" w:rsidRPr="00AC1668" w:rsidRDefault="002820D7" w:rsidP="00DF282B">
      <w:pPr>
        <w:pStyle w:val="ListeParagraf"/>
        <w:widowControl w:val="0"/>
        <w:numPr>
          <w:ilvl w:val="0"/>
          <w:numId w:val="39"/>
        </w:numPr>
        <w:ind w:left="644" w:hanging="709"/>
        <w:rPr>
          <w:szCs w:val="20"/>
        </w:rPr>
      </w:pPr>
      <w:r w:rsidRPr="00AC1668">
        <w:rPr>
          <w:szCs w:val="20"/>
        </w:rPr>
        <w:t>NAZIM HESAPLAR TABLOSU</w:t>
      </w:r>
    </w:p>
    <w:p w14:paraId="3CA132D5" w14:textId="3B875DF3" w:rsidR="005903A3" w:rsidRPr="00AC1668" w:rsidRDefault="002820D7" w:rsidP="00DF282B">
      <w:pPr>
        <w:pStyle w:val="ListeParagraf"/>
        <w:widowControl w:val="0"/>
        <w:numPr>
          <w:ilvl w:val="0"/>
          <w:numId w:val="39"/>
        </w:numPr>
        <w:ind w:left="644" w:hanging="709"/>
        <w:rPr>
          <w:szCs w:val="20"/>
        </w:rPr>
      </w:pPr>
      <w:r w:rsidRPr="00AC1668">
        <w:rPr>
          <w:szCs w:val="20"/>
        </w:rPr>
        <w:t>KAR VEYA ZARAR TABLOSU</w:t>
      </w:r>
    </w:p>
    <w:p w14:paraId="0F27ED93" w14:textId="5D927777" w:rsidR="005903A3" w:rsidRPr="00AC1668" w:rsidRDefault="002820D7" w:rsidP="00DF282B">
      <w:pPr>
        <w:pStyle w:val="ListeParagraf"/>
        <w:widowControl w:val="0"/>
        <w:numPr>
          <w:ilvl w:val="0"/>
          <w:numId w:val="39"/>
        </w:numPr>
        <w:ind w:left="644" w:hanging="709"/>
        <w:rPr>
          <w:szCs w:val="20"/>
        </w:rPr>
      </w:pPr>
      <w:r w:rsidRPr="00AC1668">
        <w:rPr>
          <w:szCs w:val="20"/>
        </w:rPr>
        <w:t>KAR VEYA ZARAR VE DİĞER KAPSAMLI GELİR TABLOSU</w:t>
      </w:r>
    </w:p>
    <w:p w14:paraId="09D1CBDD" w14:textId="65BEC992" w:rsidR="005903A3" w:rsidRPr="00AC1668" w:rsidRDefault="002820D7" w:rsidP="00DF282B">
      <w:pPr>
        <w:pStyle w:val="ListeParagraf"/>
        <w:widowControl w:val="0"/>
        <w:numPr>
          <w:ilvl w:val="0"/>
          <w:numId w:val="39"/>
        </w:numPr>
        <w:ind w:left="644" w:hanging="709"/>
        <w:rPr>
          <w:szCs w:val="20"/>
        </w:rPr>
      </w:pPr>
      <w:r w:rsidRPr="00AC1668">
        <w:rPr>
          <w:szCs w:val="20"/>
        </w:rPr>
        <w:t>ÖZKAYNAKLAR DEĞİŞİM TABLOSU</w:t>
      </w:r>
    </w:p>
    <w:p w14:paraId="50869E3F" w14:textId="5B97EAB7" w:rsidR="005903A3" w:rsidRPr="00AC1668" w:rsidRDefault="002820D7" w:rsidP="00DF282B">
      <w:pPr>
        <w:pStyle w:val="ListeParagraf"/>
        <w:widowControl w:val="0"/>
        <w:numPr>
          <w:ilvl w:val="0"/>
          <w:numId w:val="39"/>
        </w:numPr>
        <w:ind w:left="644" w:hanging="709"/>
        <w:rPr>
          <w:szCs w:val="20"/>
        </w:rPr>
      </w:pPr>
      <w:r w:rsidRPr="00AC1668">
        <w:rPr>
          <w:szCs w:val="20"/>
        </w:rPr>
        <w:t>NAKİT AKIŞ TABLOSU</w:t>
      </w:r>
    </w:p>
    <w:p w14:paraId="30EFF11B" w14:textId="77777777" w:rsidR="00C22F4B" w:rsidRPr="0021784E" w:rsidRDefault="00C22F4B" w:rsidP="00C22F4B">
      <w:pPr>
        <w:pStyle w:val="ListeParagraf"/>
        <w:widowControl w:val="0"/>
        <w:numPr>
          <w:ilvl w:val="0"/>
          <w:numId w:val="39"/>
        </w:numPr>
        <w:ind w:left="644" w:hanging="709"/>
        <w:rPr>
          <w:szCs w:val="20"/>
        </w:rPr>
      </w:pPr>
      <w:r w:rsidRPr="0021784E">
        <w:rPr>
          <w:szCs w:val="20"/>
        </w:rPr>
        <w:t>KAR DAĞITIM TABLOSU</w:t>
      </w:r>
    </w:p>
    <w:p w14:paraId="219CE5D0" w14:textId="1B3AE897" w:rsidR="005903A3" w:rsidRPr="00AC1668" w:rsidRDefault="005903A3" w:rsidP="002820D7">
      <w:pPr>
        <w:widowControl w:val="0"/>
        <w:rPr>
          <w:szCs w:val="20"/>
        </w:rPr>
      </w:pPr>
    </w:p>
    <w:p w14:paraId="3DF99B5C" w14:textId="2BC9E7BC" w:rsidR="005903A3" w:rsidRPr="00AC1668" w:rsidRDefault="005903A3" w:rsidP="002820D7">
      <w:pPr>
        <w:widowControl w:val="0"/>
        <w:rPr>
          <w:szCs w:val="20"/>
        </w:rPr>
      </w:pPr>
    </w:p>
    <w:p w14:paraId="7BCBE837" w14:textId="58988CC6" w:rsidR="005903A3" w:rsidRPr="00AC1668" w:rsidRDefault="005903A3" w:rsidP="005903A3">
      <w:pPr>
        <w:widowControl w:val="0"/>
      </w:pPr>
    </w:p>
    <w:p w14:paraId="6F5D7F70" w14:textId="70EEE106" w:rsidR="005903A3" w:rsidRPr="00AC1668" w:rsidRDefault="005903A3" w:rsidP="005903A3">
      <w:pPr>
        <w:widowControl w:val="0"/>
      </w:pPr>
    </w:p>
    <w:p w14:paraId="173B8E68" w14:textId="62D2DC8F" w:rsidR="005903A3" w:rsidRPr="00AC1668" w:rsidRDefault="005903A3" w:rsidP="005903A3">
      <w:pPr>
        <w:widowControl w:val="0"/>
      </w:pPr>
    </w:p>
    <w:p w14:paraId="4E643D4E" w14:textId="77777777" w:rsidR="005903A3" w:rsidRPr="00AC1668" w:rsidRDefault="005903A3" w:rsidP="005903A3">
      <w:pPr>
        <w:widowControl w:val="0"/>
      </w:pPr>
    </w:p>
    <w:p w14:paraId="1673D787" w14:textId="77777777" w:rsidR="005903A3" w:rsidRPr="00AC1668" w:rsidRDefault="005903A3" w:rsidP="009F6E11">
      <w:pPr>
        <w:pStyle w:val="GvdeMetniGirintisi"/>
        <w:widowControl w:val="0"/>
        <w:spacing w:line="235" w:lineRule="auto"/>
        <w:ind w:firstLine="0"/>
        <w:rPr>
          <w:szCs w:val="20"/>
        </w:rPr>
      </w:pPr>
    </w:p>
    <w:p w14:paraId="297BEE4C" w14:textId="77777777" w:rsidR="005903A3" w:rsidRPr="00AC1668" w:rsidRDefault="005903A3" w:rsidP="009F6E11">
      <w:pPr>
        <w:pStyle w:val="GvdeMetniGirintisi"/>
        <w:widowControl w:val="0"/>
        <w:spacing w:line="235" w:lineRule="auto"/>
        <w:ind w:firstLine="0"/>
        <w:rPr>
          <w:szCs w:val="20"/>
        </w:rPr>
      </w:pPr>
    </w:p>
    <w:p w14:paraId="7A15C84A" w14:textId="4ECCFFBE" w:rsidR="005903A3" w:rsidRPr="00AC1668" w:rsidRDefault="005903A3" w:rsidP="009F6E11">
      <w:pPr>
        <w:pStyle w:val="GvdeMetniGirintisi"/>
        <w:widowControl w:val="0"/>
        <w:spacing w:line="235" w:lineRule="auto"/>
        <w:ind w:firstLine="0"/>
        <w:rPr>
          <w:szCs w:val="20"/>
        </w:rPr>
        <w:sectPr w:rsidR="005903A3" w:rsidRPr="00AC1668" w:rsidSect="00AF79D0">
          <w:headerReference w:type="first" r:id="rId26"/>
          <w:footerReference w:type="first" r:id="rId27"/>
          <w:pgSz w:w="11907" w:h="16840" w:code="9"/>
          <w:pgMar w:top="1134" w:right="1134" w:bottom="1134" w:left="1701" w:header="851" w:footer="851" w:gutter="0"/>
          <w:pgNumType w:start="1"/>
          <w:cols w:space="720"/>
          <w:noEndnote/>
          <w:titlePg/>
          <w:docGrid w:linePitch="326"/>
        </w:sectPr>
      </w:pPr>
    </w:p>
    <w:p w14:paraId="6552EBCD" w14:textId="285A500B" w:rsidR="00A74C68" w:rsidRPr="00A74C68" w:rsidRDefault="00A74C68" w:rsidP="009F6E11">
      <w:pPr>
        <w:widowControl w:val="0"/>
        <w:tabs>
          <w:tab w:val="left" w:pos="-426"/>
        </w:tabs>
        <w:ind w:left="-426" w:right="-770"/>
        <w:jc w:val="both"/>
        <w:rPr>
          <w:szCs w:val="20"/>
        </w:rPr>
      </w:pPr>
      <w:bookmarkStart w:id="14" w:name="_Hlk210210630"/>
    </w:p>
    <w:tbl>
      <w:tblPr>
        <w:tblW w:w="10201" w:type="dxa"/>
        <w:tblCellMar>
          <w:left w:w="70" w:type="dxa"/>
          <w:right w:w="70" w:type="dxa"/>
        </w:tblCellMar>
        <w:tblLook w:val="04A0" w:firstRow="1" w:lastRow="0" w:firstColumn="1" w:lastColumn="0" w:noHBand="0" w:noVBand="1"/>
      </w:tblPr>
      <w:tblGrid>
        <w:gridCol w:w="740"/>
        <w:gridCol w:w="5364"/>
        <w:gridCol w:w="926"/>
        <w:gridCol w:w="1068"/>
        <w:gridCol w:w="1015"/>
        <w:gridCol w:w="1088"/>
      </w:tblGrid>
      <w:tr w:rsidR="00A74C68" w:rsidRPr="00A74C68" w14:paraId="4FEC442C" w14:textId="77777777" w:rsidTr="00655FD0">
        <w:trPr>
          <w:divId w:val="101003176"/>
          <w:trHeight w:val="113"/>
        </w:trPr>
        <w:tc>
          <w:tcPr>
            <w:tcW w:w="6104" w:type="dxa"/>
            <w:gridSpan w:val="2"/>
            <w:vMerge w:val="restart"/>
            <w:tcBorders>
              <w:top w:val="single" w:sz="4" w:space="0" w:color="auto"/>
              <w:left w:val="single" w:sz="4" w:space="0" w:color="auto"/>
              <w:bottom w:val="single" w:sz="4" w:space="0" w:color="000000"/>
              <w:right w:val="single" w:sz="4" w:space="0" w:color="000000"/>
            </w:tcBorders>
            <w:noWrap/>
            <w:vAlign w:val="center"/>
            <w:hideMark/>
          </w:tcPr>
          <w:p w14:paraId="5AB3DF1A" w14:textId="4D5231F2" w:rsidR="00A74C68" w:rsidRPr="00A74C68" w:rsidRDefault="00A74C68" w:rsidP="00A74C68">
            <w:pPr>
              <w:jc w:val="center"/>
              <w:rPr>
                <w:b/>
                <w:bCs/>
                <w:color w:val="000000"/>
                <w:sz w:val="14"/>
                <w:szCs w:val="14"/>
              </w:rPr>
            </w:pPr>
            <w:r w:rsidRPr="00A74C68">
              <w:rPr>
                <w:b/>
                <w:bCs/>
                <w:color w:val="000000"/>
                <w:sz w:val="14"/>
                <w:szCs w:val="14"/>
              </w:rPr>
              <w:t>VARLIKLAR</w:t>
            </w:r>
          </w:p>
        </w:tc>
        <w:tc>
          <w:tcPr>
            <w:tcW w:w="926" w:type="dxa"/>
            <w:vMerge w:val="restart"/>
            <w:tcBorders>
              <w:top w:val="single" w:sz="4" w:space="0" w:color="auto"/>
              <w:left w:val="single" w:sz="4" w:space="0" w:color="auto"/>
              <w:bottom w:val="single" w:sz="4" w:space="0" w:color="000000"/>
              <w:right w:val="single" w:sz="4" w:space="0" w:color="auto"/>
            </w:tcBorders>
            <w:vAlign w:val="center"/>
            <w:hideMark/>
          </w:tcPr>
          <w:p w14:paraId="4182C19C" w14:textId="77777777" w:rsidR="00A74C68" w:rsidRPr="00A74C68" w:rsidRDefault="00A74C68" w:rsidP="00A74C68">
            <w:pPr>
              <w:jc w:val="center"/>
              <w:rPr>
                <w:b/>
                <w:bCs/>
                <w:color w:val="000000"/>
                <w:sz w:val="14"/>
                <w:szCs w:val="14"/>
              </w:rPr>
            </w:pPr>
            <w:r w:rsidRPr="00A74C68">
              <w:rPr>
                <w:b/>
                <w:bCs/>
                <w:color w:val="000000"/>
                <w:sz w:val="14"/>
                <w:szCs w:val="14"/>
              </w:rPr>
              <w:t>Dipnot (Beşinci Bölüm-I)</w:t>
            </w:r>
          </w:p>
        </w:tc>
        <w:tc>
          <w:tcPr>
            <w:tcW w:w="3171" w:type="dxa"/>
            <w:gridSpan w:val="3"/>
            <w:tcBorders>
              <w:top w:val="single" w:sz="4" w:space="0" w:color="auto"/>
              <w:left w:val="nil"/>
              <w:bottom w:val="single" w:sz="4" w:space="0" w:color="auto"/>
              <w:right w:val="single" w:sz="4" w:space="0" w:color="000000"/>
            </w:tcBorders>
            <w:vAlign w:val="bottom"/>
            <w:hideMark/>
          </w:tcPr>
          <w:p w14:paraId="504A5D5B" w14:textId="77777777" w:rsidR="00A74C68" w:rsidRPr="00A74C68" w:rsidRDefault="00A74C68" w:rsidP="00A74C68">
            <w:pPr>
              <w:jc w:val="center"/>
              <w:rPr>
                <w:b/>
                <w:bCs/>
                <w:color w:val="000000"/>
                <w:sz w:val="14"/>
                <w:szCs w:val="14"/>
              </w:rPr>
            </w:pPr>
            <w:r w:rsidRPr="00A74C68">
              <w:rPr>
                <w:b/>
                <w:bCs/>
                <w:color w:val="000000"/>
                <w:sz w:val="14"/>
                <w:szCs w:val="14"/>
              </w:rPr>
              <w:t>Cari Dönem</w:t>
            </w:r>
            <w:r w:rsidRPr="00A74C68">
              <w:rPr>
                <w:b/>
                <w:bCs/>
                <w:color w:val="000000"/>
                <w:sz w:val="14"/>
                <w:szCs w:val="14"/>
              </w:rPr>
              <w:br/>
              <w:t>31.12.2025</w:t>
            </w:r>
          </w:p>
        </w:tc>
      </w:tr>
      <w:tr w:rsidR="00A74C68" w:rsidRPr="00A74C68" w14:paraId="7C517827" w14:textId="77777777" w:rsidTr="00655FD0">
        <w:trPr>
          <w:divId w:val="101003176"/>
          <w:trHeight w:val="113"/>
        </w:trPr>
        <w:tc>
          <w:tcPr>
            <w:tcW w:w="6104" w:type="dxa"/>
            <w:gridSpan w:val="2"/>
            <w:vMerge/>
            <w:tcBorders>
              <w:top w:val="single" w:sz="4" w:space="0" w:color="auto"/>
              <w:left w:val="single" w:sz="4" w:space="0" w:color="auto"/>
              <w:bottom w:val="single" w:sz="4" w:space="0" w:color="000000"/>
              <w:right w:val="single" w:sz="4" w:space="0" w:color="000000"/>
            </w:tcBorders>
            <w:vAlign w:val="center"/>
            <w:hideMark/>
          </w:tcPr>
          <w:p w14:paraId="36003D34" w14:textId="77777777" w:rsidR="00A74C68" w:rsidRPr="00A74C68" w:rsidRDefault="00A74C68" w:rsidP="00A74C68">
            <w:pPr>
              <w:rPr>
                <w:color w:val="000000"/>
                <w:sz w:val="14"/>
                <w:szCs w:val="14"/>
              </w:rPr>
            </w:pPr>
          </w:p>
        </w:tc>
        <w:tc>
          <w:tcPr>
            <w:tcW w:w="926" w:type="dxa"/>
            <w:vMerge/>
            <w:tcBorders>
              <w:top w:val="single" w:sz="4" w:space="0" w:color="auto"/>
              <w:left w:val="single" w:sz="4" w:space="0" w:color="auto"/>
              <w:bottom w:val="single" w:sz="4" w:space="0" w:color="000000"/>
              <w:right w:val="single" w:sz="4" w:space="0" w:color="auto"/>
            </w:tcBorders>
            <w:vAlign w:val="center"/>
            <w:hideMark/>
          </w:tcPr>
          <w:p w14:paraId="4238B8FA" w14:textId="77777777" w:rsidR="00A74C68" w:rsidRPr="00A74C68" w:rsidRDefault="00A74C68" w:rsidP="00A74C68">
            <w:pPr>
              <w:rPr>
                <w:b/>
                <w:bCs/>
                <w:color w:val="000000"/>
                <w:sz w:val="14"/>
                <w:szCs w:val="14"/>
              </w:rPr>
            </w:pPr>
          </w:p>
        </w:tc>
        <w:tc>
          <w:tcPr>
            <w:tcW w:w="1068" w:type="dxa"/>
            <w:tcBorders>
              <w:top w:val="single" w:sz="4" w:space="0" w:color="auto"/>
              <w:left w:val="nil"/>
              <w:bottom w:val="single" w:sz="4" w:space="0" w:color="auto"/>
              <w:right w:val="single" w:sz="4" w:space="0" w:color="auto"/>
            </w:tcBorders>
            <w:vAlign w:val="bottom"/>
            <w:hideMark/>
          </w:tcPr>
          <w:p w14:paraId="151D146F" w14:textId="77777777" w:rsidR="00A74C68" w:rsidRPr="00A74C68" w:rsidRDefault="00A74C68" w:rsidP="00A74C68">
            <w:pPr>
              <w:jc w:val="center"/>
              <w:rPr>
                <w:b/>
                <w:bCs/>
                <w:color w:val="000000"/>
                <w:sz w:val="14"/>
                <w:szCs w:val="14"/>
              </w:rPr>
            </w:pPr>
            <w:r w:rsidRPr="00A74C68">
              <w:rPr>
                <w:b/>
                <w:bCs/>
                <w:color w:val="000000"/>
                <w:sz w:val="14"/>
                <w:szCs w:val="14"/>
              </w:rPr>
              <w:t>TP</w:t>
            </w:r>
          </w:p>
        </w:tc>
        <w:tc>
          <w:tcPr>
            <w:tcW w:w="1015" w:type="dxa"/>
            <w:tcBorders>
              <w:top w:val="single" w:sz="4" w:space="0" w:color="auto"/>
              <w:left w:val="nil"/>
              <w:bottom w:val="single" w:sz="4" w:space="0" w:color="auto"/>
              <w:right w:val="single" w:sz="4" w:space="0" w:color="auto"/>
            </w:tcBorders>
            <w:vAlign w:val="bottom"/>
            <w:hideMark/>
          </w:tcPr>
          <w:p w14:paraId="17A58FFD" w14:textId="77777777" w:rsidR="00A74C68" w:rsidRPr="00A74C68" w:rsidRDefault="00A74C68" w:rsidP="00A74C68">
            <w:pPr>
              <w:jc w:val="center"/>
              <w:rPr>
                <w:b/>
                <w:bCs/>
                <w:color w:val="000000"/>
                <w:sz w:val="14"/>
                <w:szCs w:val="14"/>
              </w:rPr>
            </w:pPr>
            <w:r w:rsidRPr="00A74C68">
              <w:rPr>
                <w:b/>
                <w:bCs/>
                <w:color w:val="000000"/>
                <w:sz w:val="14"/>
                <w:szCs w:val="14"/>
              </w:rPr>
              <w:t>YP</w:t>
            </w:r>
          </w:p>
        </w:tc>
        <w:tc>
          <w:tcPr>
            <w:tcW w:w="1088" w:type="dxa"/>
            <w:tcBorders>
              <w:top w:val="single" w:sz="4" w:space="0" w:color="auto"/>
              <w:left w:val="nil"/>
              <w:bottom w:val="single" w:sz="4" w:space="0" w:color="auto"/>
              <w:right w:val="single" w:sz="4" w:space="0" w:color="auto"/>
            </w:tcBorders>
            <w:vAlign w:val="bottom"/>
            <w:hideMark/>
          </w:tcPr>
          <w:p w14:paraId="45919016" w14:textId="77777777" w:rsidR="00A74C68" w:rsidRPr="00A74C68" w:rsidRDefault="00A74C68" w:rsidP="00A74C68">
            <w:pPr>
              <w:jc w:val="center"/>
              <w:rPr>
                <w:b/>
                <w:bCs/>
                <w:color w:val="000000"/>
                <w:sz w:val="14"/>
                <w:szCs w:val="14"/>
              </w:rPr>
            </w:pPr>
            <w:r w:rsidRPr="00A74C68">
              <w:rPr>
                <w:b/>
                <w:bCs/>
                <w:color w:val="000000"/>
                <w:sz w:val="14"/>
                <w:szCs w:val="14"/>
              </w:rPr>
              <w:t>Toplam</w:t>
            </w:r>
          </w:p>
        </w:tc>
      </w:tr>
      <w:tr w:rsidR="00A74C68" w:rsidRPr="00A74C68" w14:paraId="5538C2D5" w14:textId="77777777" w:rsidTr="00655FD0">
        <w:trPr>
          <w:divId w:val="101003176"/>
          <w:trHeight w:val="113"/>
        </w:trPr>
        <w:tc>
          <w:tcPr>
            <w:tcW w:w="740" w:type="dxa"/>
            <w:tcBorders>
              <w:top w:val="nil"/>
              <w:left w:val="single" w:sz="4" w:space="0" w:color="auto"/>
              <w:bottom w:val="nil"/>
              <w:right w:val="nil"/>
            </w:tcBorders>
            <w:noWrap/>
            <w:hideMark/>
          </w:tcPr>
          <w:p w14:paraId="5C7B5A0A" w14:textId="77777777" w:rsidR="00A74C68" w:rsidRPr="00A74C68" w:rsidRDefault="00A74C68" w:rsidP="00A74C68">
            <w:pPr>
              <w:rPr>
                <w:b/>
                <w:bCs/>
                <w:color w:val="000000"/>
                <w:sz w:val="14"/>
                <w:szCs w:val="14"/>
              </w:rPr>
            </w:pPr>
            <w:r w:rsidRPr="00A74C68">
              <w:rPr>
                <w:b/>
                <w:bCs/>
                <w:color w:val="000000"/>
                <w:sz w:val="14"/>
                <w:szCs w:val="14"/>
              </w:rPr>
              <w:t>I.</w:t>
            </w:r>
          </w:p>
        </w:tc>
        <w:tc>
          <w:tcPr>
            <w:tcW w:w="5364" w:type="dxa"/>
            <w:tcBorders>
              <w:top w:val="nil"/>
              <w:left w:val="nil"/>
              <w:bottom w:val="nil"/>
              <w:right w:val="single" w:sz="4" w:space="0" w:color="auto"/>
            </w:tcBorders>
            <w:hideMark/>
          </w:tcPr>
          <w:p w14:paraId="033A24CD" w14:textId="77777777" w:rsidR="00A74C68" w:rsidRPr="00A74C68" w:rsidRDefault="00A74C68" w:rsidP="00A74C68">
            <w:pPr>
              <w:rPr>
                <w:b/>
                <w:bCs/>
                <w:color w:val="000000"/>
                <w:sz w:val="14"/>
                <w:szCs w:val="14"/>
              </w:rPr>
            </w:pPr>
            <w:r w:rsidRPr="00A74C68">
              <w:rPr>
                <w:b/>
                <w:bCs/>
                <w:color w:val="000000"/>
                <w:sz w:val="14"/>
                <w:szCs w:val="14"/>
              </w:rPr>
              <w:t>FİNANSAL VARLIKLAR (Net)</w:t>
            </w:r>
          </w:p>
        </w:tc>
        <w:tc>
          <w:tcPr>
            <w:tcW w:w="926" w:type="dxa"/>
            <w:tcBorders>
              <w:top w:val="nil"/>
              <w:left w:val="nil"/>
              <w:bottom w:val="nil"/>
              <w:right w:val="nil"/>
            </w:tcBorders>
            <w:noWrap/>
            <w:vAlign w:val="bottom"/>
            <w:hideMark/>
          </w:tcPr>
          <w:p w14:paraId="68A286EA" w14:textId="77777777" w:rsidR="00A74C68" w:rsidRPr="00A74C68" w:rsidRDefault="00A74C68" w:rsidP="00A74C68">
            <w:pPr>
              <w:jc w:val="center"/>
              <w:rPr>
                <w:b/>
                <w:bCs/>
                <w:color w:val="000000"/>
                <w:sz w:val="14"/>
                <w:szCs w:val="14"/>
                <w:lang w:eastAsia="tr-TR"/>
              </w:rPr>
            </w:pPr>
            <w:r w:rsidRPr="00A74C68">
              <w:rPr>
                <w:b/>
                <w:bCs/>
                <w:color w:val="000000"/>
                <w:sz w:val="14"/>
                <w:szCs w:val="14"/>
                <w:lang w:eastAsia="tr-TR"/>
              </w:rPr>
              <w:t> </w:t>
            </w:r>
          </w:p>
        </w:tc>
        <w:tc>
          <w:tcPr>
            <w:tcW w:w="1068" w:type="dxa"/>
            <w:tcBorders>
              <w:top w:val="nil"/>
              <w:left w:val="single" w:sz="4" w:space="0" w:color="auto"/>
              <w:bottom w:val="nil"/>
              <w:right w:val="nil"/>
            </w:tcBorders>
            <w:shd w:val="clear" w:color="000000" w:fill="FFFFFF"/>
            <w:vAlign w:val="bottom"/>
            <w:hideMark/>
          </w:tcPr>
          <w:p w14:paraId="3E1EB2ED" w14:textId="77777777" w:rsidR="00A74C68" w:rsidRPr="00A74C68" w:rsidRDefault="00A74C68" w:rsidP="00A74C68">
            <w:pPr>
              <w:jc w:val="right"/>
              <w:rPr>
                <w:b/>
                <w:bCs/>
                <w:color w:val="000000"/>
                <w:sz w:val="14"/>
                <w:szCs w:val="14"/>
              </w:rPr>
            </w:pPr>
            <w:r w:rsidRPr="00A74C68">
              <w:rPr>
                <w:b/>
                <w:bCs/>
                <w:color w:val="000000"/>
                <w:sz w:val="14"/>
                <w:szCs w:val="14"/>
              </w:rPr>
              <w:t>9.303.170</w:t>
            </w:r>
          </w:p>
        </w:tc>
        <w:tc>
          <w:tcPr>
            <w:tcW w:w="1015" w:type="dxa"/>
            <w:tcBorders>
              <w:top w:val="nil"/>
              <w:left w:val="single" w:sz="4" w:space="0" w:color="auto"/>
              <w:bottom w:val="nil"/>
              <w:right w:val="nil"/>
            </w:tcBorders>
            <w:shd w:val="clear" w:color="000000" w:fill="FFFFFF"/>
            <w:vAlign w:val="bottom"/>
            <w:hideMark/>
          </w:tcPr>
          <w:p w14:paraId="3AC2F881" w14:textId="77777777" w:rsidR="00A74C68" w:rsidRPr="00A74C68" w:rsidRDefault="00A74C68" w:rsidP="00A74C68">
            <w:pPr>
              <w:jc w:val="right"/>
              <w:rPr>
                <w:b/>
                <w:bCs/>
                <w:color w:val="000000"/>
                <w:sz w:val="14"/>
                <w:szCs w:val="14"/>
              </w:rPr>
            </w:pPr>
            <w:r w:rsidRPr="00A74C68">
              <w:rPr>
                <w:b/>
                <w:bCs/>
                <w:color w:val="000000"/>
                <w:sz w:val="14"/>
                <w:szCs w:val="14"/>
              </w:rPr>
              <w:t>32.889.477</w:t>
            </w:r>
          </w:p>
        </w:tc>
        <w:tc>
          <w:tcPr>
            <w:tcW w:w="1088" w:type="dxa"/>
            <w:tcBorders>
              <w:top w:val="nil"/>
              <w:left w:val="single" w:sz="4" w:space="0" w:color="auto"/>
              <w:bottom w:val="nil"/>
              <w:right w:val="single" w:sz="4" w:space="0" w:color="auto"/>
            </w:tcBorders>
            <w:shd w:val="clear" w:color="000000" w:fill="FFFFFF"/>
            <w:vAlign w:val="bottom"/>
            <w:hideMark/>
          </w:tcPr>
          <w:p w14:paraId="64C42E80" w14:textId="77777777" w:rsidR="00A74C68" w:rsidRPr="00A74C68" w:rsidRDefault="00A74C68" w:rsidP="00A74C68">
            <w:pPr>
              <w:jc w:val="right"/>
              <w:rPr>
                <w:b/>
                <w:bCs/>
                <w:color w:val="000000"/>
                <w:sz w:val="14"/>
                <w:szCs w:val="14"/>
              </w:rPr>
            </w:pPr>
            <w:r w:rsidRPr="00A74C68">
              <w:rPr>
                <w:b/>
                <w:bCs/>
                <w:color w:val="000000"/>
                <w:sz w:val="14"/>
                <w:szCs w:val="14"/>
              </w:rPr>
              <w:t>42.192.647</w:t>
            </w:r>
          </w:p>
        </w:tc>
      </w:tr>
      <w:tr w:rsidR="00A74C68" w:rsidRPr="00A74C68" w14:paraId="1322024D" w14:textId="77777777" w:rsidTr="00655FD0">
        <w:trPr>
          <w:divId w:val="101003176"/>
          <w:trHeight w:val="113"/>
        </w:trPr>
        <w:tc>
          <w:tcPr>
            <w:tcW w:w="740" w:type="dxa"/>
            <w:tcBorders>
              <w:top w:val="nil"/>
              <w:left w:val="single" w:sz="4" w:space="0" w:color="auto"/>
              <w:bottom w:val="nil"/>
              <w:right w:val="nil"/>
            </w:tcBorders>
            <w:noWrap/>
            <w:hideMark/>
          </w:tcPr>
          <w:p w14:paraId="7D975984" w14:textId="77777777" w:rsidR="00A74C68" w:rsidRPr="00A74C68" w:rsidRDefault="00A74C68" w:rsidP="00A74C68">
            <w:pPr>
              <w:rPr>
                <w:b/>
                <w:bCs/>
                <w:sz w:val="14"/>
                <w:szCs w:val="14"/>
              </w:rPr>
            </w:pPr>
            <w:r w:rsidRPr="00A74C68">
              <w:rPr>
                <w:b/>
                <w:bCs/>
                <w:sz w:val="14"/>
                <w:szCs w:val="14"/>
              </w:rPr>
              <w:t>1.1</w:t>
            </w:r>
          </w:p>
        </w:tc>
        <w:tc>
          <w:tcPr>
            <w:tcW w:w="5364" w:type="dxa"/>
            <w:tcBorders>
              <w:top w:val="nil"/>
              <w:left w:val="nil"/>
              <w:bottom w:val="nil"/>
              <w:right w:val="single" w:sz="4" w:space="0" w:color="auto"/>
            </w:tcBorders>
            <w:hideMark/>
          </w:tcPr>
          <w:p w14:paraId="32520BA0" w14:textId="77777777" w:rsidR="00A74C68" w:rsidRPr="00A74C68" w:rsidRDefault="00A74C68" w:rsidP="00A74C68">
            <w:pPr>
              <w:rPr>
                <w:b/>
                <w:bCs/>
                <w:sz w:val="14"/>
                <w:szCs w:val="14"/>
              </w:rPr>
            </w:pPr>
            <w:r w:rsidRPr="00A74C68">
              <w:rPr>
                <w:b/>
                <w:bCs/>
                <w:sz w:val="14"/>
                <w:szCs w:val="14"/>
              </w:rPr>
              <w:t>Nakit ve Nakit Benzerleri</w:t>
            </w:r>
          </w:p>
        </w:tc>
        <w:tc>
          <w:tcPr>
            <w:tcW w:w="926" w:type="dxa"/>
            <w:tcBorders>
              <w:top w:val="nil"/>
              <w:left w:val="nil"/>
              <w:bottom w:val="nil"/>
              <w:right w:val="nil"/>
            </w:tcBorders>
            <w:noWrap/>
            <w:vAlign w:val="bottom"/>
            <w:hideMark/>
          </w:tcPr>
          <w:p w14:paraId="1094B78B" w14:textId="77777777" w:rsidR="00A74C68" w:rsidRPr="00A74C68" w:rsidRDefault="00A74C68" w:rsidP="00A74C68">
            <w:pPr>
              <w:jc w:val="center"/>
              <w:rPr>
                <w:b/>
                <w:bCs/>
                <w:color w:val="000000"/>
                <w:sz w:val="14"/>
                <w:szCs w:val="14"/>
              </w:rPr>
            </w:pPr>
            <w:r w:rsidRPr="00A74C68">
              <w:rPr>
                <w:b/>
                <w:bCs/>
                <w:color w:val="000000"/>
                <w:sz w:val="14"/>
                <w:szCs w:val="14"/>
              </w:rPr>
              <w:t>(1)</w:t>
            </w:r>
          </w:p>
        </w:tc>
        <w:tc>
          <w:tcPr>
            <w:tcW w:w="1068" w:type="dxa"/>
            <w:tcBorders>
              <w:top w:val="nil"/>
              <w:left w:val="single" w:sz="4" w:space="0" w:color="auto"/>
              <w:bottom w:val="nil"/>
              <w:right w:val="nil"/>
            </w:tcBorders>
            <w:shd w:val="clear" w:color="000000" w:fill="FFFFFF"/>
            <w:vAlign w:val="bottom"/>
            <w:hideMark/>
          </w:tcPr>
          <w:p w14:paraId="34520EBD" w14:textId="77777777" w:rsidR="00A74C68" w:rsidRPr="00A74C68" w:rsidRDefault="00A74C68" w:rsidP="00A74C68">
            <w:pPr>
              <w:jc w:val="right"/>
              <w:rPr>
                <w:b/>
                <w:bCs/>
                <w:color w:val="000000"/>
                <w:sz w:val="14"/>
                <w:szCs w:val="14"/>
              </w:rPr>
            </w:pPr>
            <w:r w:rsidRPr="00A74C68">
              <w:rPr>
                <w:b/>
                <w:bCs/>
                <w:color w:val="000000"/>
                <w:sz w:val="14"/>
                <w:szCs w:val="14"/>
              </w:rPr>
              <w:t>3.857.968</w:t>
            </w:r>
          </w:p>
        </w:tc>
        <w:tc>
          <w:tcPr>
            <w:tcW w:w="1015" w:type="dxa"/>
            <w:tcBorders>
              <w:top w:val="nil"/>
              <w:left w:val="single" w:sz="4" w:space="0" w:color="auto"/>
              <w:bottom w:val="nil"/>
              <w:right w:val="nil"/>
            </w:tcBorders>
            <w:shd w:val="clear" w:color="000000" w:fill="FFFFFF"/>
            <w:vAlign w:val="bottom"/>
            <w:hideMark/>
          </w:tcPr>
          <w:p w14:paraId="4B0C27D3" w14:textId="77777777" w:rsidR="00A74C68" w:rsidRPr="00A74C68" w:rsidRDefault="00A74C68" w:rsidP="00A74C68">
            <w:pPr>
              <w:jc w:val="right"/>
              <w:rPr>
                <w:b/>
                <w:bCs/>
                <w:color w:val="000000"/>
                <w:sz w:val="14"/>
                <w:szCs w:val="14"/>
              </w:rPr>
            </w:pPr>
            <w:r w:rsidRPr="00A74C68">
              <w:rPr>
                <w:b/>
                <w:bCs/>
                <w:color w:val="000000"/>
                <w:sz w:val="14"/>
                <w:szCs w:val="14"/>
              </w:rPr>
              <w:t>30.659.953</w:t>
            </w:r>
          </w:p>
        </w:tc>
        <w:tc>
          <w:tcPr>
            <w:tcW w:w="1088" w:type="dxa"/>
            <w:tcBorders>
              <w:top w:val="nil"/>
              <w:left w:val="single" w:sz="4" w:space="0" w:color="auto"/>
              <w:bottom w:val="nil"/>
              <w:right w:val="single" w:sz="4" w:space="0" w:color="auto"/>
            </w:tcBorders>
            <w:shd w:val="clear" w:color="000000" w:fill="FFFFFF"/>
            <w:vAlign w:val="bottom"/>
            <w:hideMark/>
          </w:tcPr>
          <w:p w14:paraId="2C60A837" w14:textId="77777777" w:rsidR="00A74C68" w:rsidRPr="00A74C68" w:rsidRDefault="00A74C68" w:rsidP="00A74C68">
            <w:pPr>
              <w:jc w:val="right"/>
              <w:rPr>
                <w:b/>
                <w:bCs/>
                <w:color w:val="000000"/>
                <w:sz w:val="14"/>
                <w:szCs w:val="14"/>
              </w:rPr>
            </w:pPr>
            <w:r w:rsidRPr="00A74C68">
              <w:rPr>
                <w:b/>
                <w:bCs/>
                <w:color w:val="000000"/>
                <w:sz w:val="14"/>
                <w:szCs w:val="14"/>
              </w:rPr>
              <w:t>34.517.921</w:t>
            </w:r>
          </w:p>
        </w:tc>
      </w:tr>
      <w:tr w:rsidR="00A74C68" w:rsidRPr="00A74C68" w14:paraId="786E73ED" w14:textId="77777777" w:rsidTr="00655FD0">
        <w:trPr>
          <w:divId w:val="101003176"/>
          <w:trHeight w:val="113"/>
        </w:trPr>
        <w:tc>
          <w:tcPr>
            <w:tcW w:w="740" w:type="dxa"/>
            <w:tcBorders>
              <w:top w:val="nil"/>
              <w:left w:val="single" w:sz="4" w:space="0" w:color="auto"/>
              <w:bottom w:val="nil"/>
              <w:right w:val="nil"/>
            </w:tcBorders>
            <w:noWrap/>
            <w:hideMark/>
          </w:tcPr>
          <w:p w14:paraId="1ABEFFEB" w14:textId="77777777" w:rsidR="00A74C68" w:rsidRPr="00A74C68" w:rsidRDefault="00A74C68" w:rsidP="00A74C68">
            <w:pPr>
              <w:rPr>
                <w:sz w:val="14"/>
                <w:szCs w:val="14"/>
              </w:rPr>
            </w:pPr>
            <w:r w:rsidRPr="00A74C68">
              <w:rPr>
                <w:sz w:val="14"/>
                <w:szCs w:val="14"/>
              </w:rPr>
              <w:t>1.1.1</w:t>
            </w:r>
          </w:p>
        </w:tc>
        <w:tc>
          <w:tcPr>
            <w:tcW w:w="5364" w:type="dxa"/>
            <w:tcBorders>
              <w:top w:val="nil"/>
              <w:left w:val="nil"/>
              <w:bottom w:val="nil"/>
              <w:right w:val="single" w:sz="4" w:space="0" w:color="auto"/>
            </w:tcBorders>
            <w:hideMark/>
          </w:tcPr>
          <w:p w14:paraId="2C6C99D6" w14:textId="77777777" w:rsidR="00A74C68" w:rsidRPr="00A74C68" w:rsidRDefault="00A74C68" w:rsidP="00A74C68">
            <w:pPr>
              <w:rPr>
                <w:sz w:val="14"/>
                <w:szCs w:val="14"/>
              </w:rPr>
            </w:pPr>
            <w:r w:rsidRPr="00A74C68">
              <w:rPr>
                <w:sz w:val="14"/>
                <w:szCs w:val="14"/>
              </w:rPr>
              <w:t>Nakit Değerler ve Merkez Bankası</w:t>
            </w:r>
          </w:p>
        </w:tc>
        <w:tc>
          <w:tcPr>
            <w:tcW w:w="926" w:type="dxa"/>
            <w:tcBorders>
              <w:top w:val="nil"/>
              <w:left w:val="nil"/>
              <w:bottom w:val="nil"/>
              <w:right w:val="nil"/>
            </w:tcBorders>
            <w:noWrap/>
            <w:vAlign w:val="bottom"/>
            <w:hideMark/>
          </w:tcPr>
          <w:p w14:paraId="5D567ACF" w14:textId="77777777" w:rsidR="00A74C68" w:rsidRPr="00A74C68" w:rsidRDefault="00A74C68" w:rsidP="00A74C68">
            <w:pPr>
              <w:jc w:val="center"/>
              <w:rPr>
                <w:b/>
                <w:bCs/>
                <w:color w:val="000000"/>
                <w:sz w:val="14"/>
                <w:szCs w:val="14"/>
                <w:lang w:eastAsia="tr-TR"/>
              </w:rPr>
            </w:pPr>
            <w:r w:rsidRPr="00A74C68">
              <w:rPr>
                <w:b/>
                <w:bCs/>
                <w:color w:val="000000"/>
                <w:sz w:val="14"/>
                <w:szCs w:val="14"/>
                <w:lang w:eastAsia="tr-TR"/>
              </w:rPr>
              <w:t> </w:t>
            </w:r>
          </w:p>
        </w:tc>
        <w:tc>
          <w:tcPr>
            <w:tcW w:w="1068" w:type="dxa"/>
            <w:tcBorders>
              <w:top w:val="nil"/>
              <w:left w:val="single" w:sz="4" w:space="0" w:color="auto"/>
              <w:bottom w:val="nil"/>
              <w:right w:val="nil"/>
            </w:tcBorders>
            <w:shd w:val="clear" w:color="000000" w:fill="FFFFFF"/>
            <w:vAlign w:val="bottom"/>
            <w:hideMark/>
          </w:tcPr>
          <w:p w14:paraId="59B24FC2" w14:textId="77777777" w:rsidR="00A74C68" w:rsidRPr="00A74C68" w:rsidRDefault="00A74C68" w:rsidP="00A74C68">
            <w:pPr>
              <w:jc w:val="right"/>
              <w:rPr>
                <w:color w:val="000000"/>
                <w:sz w:val="14"/>
                <w:szCs w:val="14"/>
              </w:rPr>
            </w:pPr>
            <w:r w:rsidRPr="00A74C68">
              <w:rPr>
                <w:color w:val="000000"/>
                <w:sz w:val="14"/>
                <w:szCs w:val="14"/>
              </w:rPr>
              <w:t>2.074.723</w:t>
            </w:r>
          </w:p>
        </w:tc>
        <w:tc>
          <w:tcPr>
            <w:tcW w:w="1015" w:type="dxa"/>
            <w:tcBorders>
              <w:top w:val="nil"/>
              <w:left w:val="single" w:sz="4" w:space="0" w:color="auto"/>
              <w:bottom w:val="nil"/>
              <w:right w:val="nil"/>
            </w:tcBorders>
            <w:shd w:val="clear" w:color="000000" w:fill="FFFFFF"/>
            <w:vAlign w:val="bottom"/>
            <w:hideMark/>
          </w:tcPr>
          <w:p w14:paraId="28AAA948" w14:textId="77777777" w:rsidR="00A74C68" w:rsidRPr="00A74C68" w:rsidRDefault="00A74C68" w:rsidP="00A74C68">
            <w:pPr>
              <w:jc w:val="right"/>
              <w:rPr>
                <w:color w:val="000000"/>
                <w:sz w:val="14"/>
                <w:szCs w:val="14"/>
              </w:rPr>
            </w:pPr>
            <w:r w:rsidRPr="00A74C68">
              <w:rPr>
                <w:color w:val="000000"/>
                <w:sz w:val="14"/>
                <w:szCs w:val="14"/>
              </w:rPr>
              <w:t>23.932.817</w:t>
            </w:r>
          </w:p>
        </w:tc>
        <w:tc>
          <w:tcPr>
            <w:tcW w:w="1088" w:type="dxa"/>
            <w:tcBorders>
              <w:top w:val="nil"/>
              <w:left w:val="single" w:sz="4" w:space="0" w:color="auto"/>
              <w:bottom w:val="nil"/>
              <w:right w:val="single" w:sz="4" w:space="0" w:color="auto"/>
            </w:tcBorders>
            <w:shd w:val="clear" w:color="000000" w:fill="FFFFFF"/>
            <w:vAlign w:val="bottom"/>
            <w:hideMark/>
          </w:tcPr>
          <w:p w14:paraId="362D06E6" w14:textId="77777777" w:rsidR="00A74C68" w:rsidRPr="00A74C68" w:rsidRDefault="00A74C68" w:rsidP="00A74C68">
            <w:pPr>
              <w:jc w:val="right"/>
              <w:rPr>
                <w:color w:val="000000"/>
                <w:sz w:val="14"/>
                <w:szCs w:val="14"/>
              </w:rPr>
            </w:pPr>
            <w:r w:rsidRPr="00A74C68">
              <w:rPr>
                <w:color w:val="000000"/>
                <w:sz w:val="14"/>
                <w:szCs w:val="14"/>
              </w:rPr>
              <w:t>26.007.540</w:t>
            </w:r>
          </w:p>
        </w:tc>
      </w:tr>
      <w:tr w:rsidR="00A74C68" w:rsidRPr="00A74C68" w14:paraId="1FDE752E" w14:textId="77777777" w:rsidTr="00655FD0">
        <w:trPr>
          <w:divId w:val="101003176"/>
          <w:trHeight w:val="113"/>
        </w:trPr>
        <w:tc>
          <w:tcPr>
            <w:tcW w:w="740" w:type="dxa"/>
            <w:tcBorders>
              <w:top w:val="nil"/>
              <w:left w:val="single" w:sz="4" w:space="0" w:color="auto"/>
              <w:bottom w:val="nil"/>
              <w:right w:val="nil"/>
            </w:tcBorders>
            <w:noWrap/>
            <w:hideMark/>
          </w:tcPr>
          <w:p w14:paraId="40624B27" w14:textId="77777777" w:rsidR="00A74C68" w:rsidRPr="00A74C68" w:rsidRDefault="00A74C68" w:rsidP="00A74C68">
            <w:pPr>
              <w:rPr>
                <w:sz w:val="14"/>
                <w:szCs w:val="14"/>
              </w:rPr>
            </w:pPr>
            <w:r w:rsidRPr="00A74C68">
              <w:rPr>
                <w:sz w:val="14"/>
                <w:szCs w:val="14"/>
              </w:rPr>
              <w:t>1.1.2</w:t>
            </w:r>
          </w:p>
        </w:tc>
        <w:tc>
          <w:tcPr>
            <w:tcW w:w="5364" w:type="dxa"/>
            <w:tcBorders>
              <w:top w:val="nil"/>
              <w:left w:val="nil"/>
              <w:bottom w:val="nil"/>
              <w:right w:val="single" w:sz="4" w:space="0" w:color="auto"/>
            </w:tcBorders>
            <w:hideMark/>
          </w:tcPr>
          <w:p w14:paraId="15E9DAFB" w14:textId="77777777" w:rsidR="00A74C68" w:rsidRPr="00A74C68" w:rsidRDefault="00A74C68" w:rsidP="00A74C68">
            <w:pPr>
              <w:rPr>
                <w:sz w:val="14"/>
                <w:szCs w:val="14"/>
              </w:rPr>
            </w:pPr>
            <w:r w:rsidRPr="00A74C68">
              <w:rPr>
                <w:sz w:val="14"/>
                <w:szCs w:val="14"/>
              </w:rPr>
              <w:t>Bankalar</w:t>
            </w:r>
          </w:p>
        </w:tc>
        <w:tc>
          <w:tcPr>
            <w:tcW w:w="926" w:type="dxa"/>
            <w:tcBorders>
              <w:top w:val="nil"/>
              <w:left w:val="nil"/>
              <w:bottom w:val="nil"/>
              <w:right w:val="nil"/>
            </w:tcBorders>
            <w:noWrap/>
            <w:vAlign w:val="bottom"/>
            <w:hideMark/>
          </w:tcPr>
          <w:p w14:paraId="4782916C" w14:textId="77777777" w:rsidR="00A74C68" w:rsidRPr="00A74C68" w:rsidRDefault="00A74C68" w:rsidP="00A74C68">
            <w:pPr>
              <w:jc w:val="center"/>
              <w:rPr>
                <w:b/>
                <w:bCs/>
                <w:color w:val="000000"/>
                <w:sz w:val="14"/>
                <w:szCs w:val="14"/>
                <w:lang w:eastAsia="tr-TR"/>
              </w:rPr>
            </w:pPr>
            <w:r w:rsidRPr="00A74C68">
              <w:rPr>
                <w:b/>
                <w:bCs/>
                <w:color w:val="000000"/>
                <w:sz w:val="14"/>
                <w:szCs w:val="14"/>
                <w:lang w:eastAsia="tr-TR"/>
              </w:rPr>
              <w:t> </w:t>
            </w:r>
          </w:p>
        </w:tc>
        <w:tc>
          <w:tcPr>
            <w:tcW w:w="1068" w:type="dxa"/>
            <w:tcBorders>
              <w:top w:val="nil"/>
              <w:left w:val="single" w:sz="4" w:space="0" w:color="auto"/>
              <w:bottom w:val="nil"/>
              <w:right w:val="nil"/>
            </w:tcBorders>
            <w:shd w:val="clear" w:color="000000" w:fill="FFFFFF"/>
            <w:vAlign w:val="bottom"/>
            <w:hideMark/>
          </w:tcPr>
          <w:p w14:paraId="7711A596" w14:textId="77777777" w:rsidR="00A74C68" w:rsidRPr="00A74C68" w:rsidRDefault="00A74C68" w:rsidP="00A74C68">
            <w:pPr>
              <w:jc w:val="right"/>
              <w:rPr>
                <w:color w:val="000000"/>
                <w:sz w:val="14"/>
                <w:szCs w:val="14"/>
              </w:rPr>
            </w:pPr>
            <w:r w:rsidRPr="00A74C68">
              <w:rPr>
                <w:color w:val="000000"/>
                <w:sz w:val="14"/>
                <w:szCs w:val="14"/>
              </w:rPr>
              <w:t>1.783.444</w:t>
            </w:r>
          </w:p>
        </w:tc>
        <w:tc>
          <w:tcPr>
            <w:tcW w:w="1015" w:type="dxa"/>
            <w:tcBorders>
              <w:top w:val="nil"/>
              <w:left w:val="single" w:sz="4" w:space="0" w:color="auto"/>
              <w:bottom w:val="nil"/>
              <w:right w:val="nil"/>
            </w:tcBorders>
            <w:shd w:val="clear" w:color="000000" w:fill="FFFFFF"/>
            <w:vAlign w:val="bottom"/>
            <w:hideMark/>
          </w:tcPr>
          <w:p w14:paraId="7B0A6506" w14:textId="77777777" w:rsidR="00A74C68" w:rsidRPr="00A74C68" w:rsidRDefault="00A74C68" w:rsidP="00A74C68">
            <w:pPr>
              <w:jc w:val="right"/>
              <w:rPr>
                <w:color w:val="000000"/>
                <w:sz w:val="14"/>
                <w:szCs w:val="14"/>
              </w:rPr>
            </w:pPr>
            <w:r w:rsidRPr="00A74C68">
              <w:rPr>
                <w:color w:val="000000"/>
                <w:sz w:val="14"/>
                <w:szCs w:val="14"/>
              </w:rPr>
              <w:t>6.727.522</w:t>
            </w:r>
          </w:p>
        </w:tc>
        <w:tc>
          <w:tcPr>
            <w:tcW w:w="1088" w:type="dxa"/>
            <w:tcBorders>
              <w:top w:val="nil"/>
              <w:left w:val="single" w:sz="4" w:space="0" w:color="auto"/>
              <w:bottom w:val="nil"/>
              <w:right w:val="single" w:sz="4" w:space="0" w:color="auto"/>
            </w:tcBorders>
            <w:shd w:val="clear" w:color="000000" w:fill="FFFFFF"/>
            <w:vAlign w:val="bottom"/>
            <w:hideMark/>
          </w:tcPr>
          <w:p w14:paraId="58D288FF" w14:textId="77777777" w:rsidR="00A74C68" w:rsidRPr="00A74C68" w:rsidRDefault="00A74C68" w:rsidP="00A74C68">
            <w:pPr>
              <w:jc w:val="right"/>
              <w:rPr>
                <w:color w:val="000000"/>
                <w:sz w:val="14"/>
                <w:szCs w:val="14"/>
              </w:rPr>
            </w:pPr>
            <w:r w:rsidRPr="00A74C68">
              <w:rPr>
                <w:color w:val="000000"/>
                <w:sz w:val="14"/>
                <w:szCs w:val="14"/>
              </w:rPr>
              <w:t>8.510.966</w:t>
            </w:r>
          </w:p>
        </w:tc>
      </w:tr>
      <w:tr w:rsidR="00A74C68" w:rsidRPr="00A74C68" w14:paraId="7EABFCCB" w14:textId="77777777" w:rsidTr="00655FD0">
        <w:trPr>
          <w:divId w:val="101003176"/>
          <w:trHeight w:val="113"/>
        </w:trPr>
        <w:tc>
          <w:tcPr>
            <w:tcW w:w="740" w:type="dxa"/>
            <w:tcBorders>
              <w:top w:val="nil"/>
              <w:left w:val="single" w:sz="4" w:space="0" w:color="auto"/>
              <w:bottom w:val="nil"/>
              <w:right w:val="nil"/>
            </w:tcBorders>
            <w:noWrap/>
            <w:hideMark/>
          </w:tcPr>
          <w:p w14:paraId="344237AF" w14:textId="77777777" w:rsidR="00A74C68" w:rsidRPr="00A74C68" w:rsidRDefault="00A74C68" w:rsidP="00A74C68">
            <w:pPr>
              <w:rPr>
                <w:sz w:val="14"/>
                <w:szCs w:val="14"/>
              </w:rPr>
            </w:pPr>
            <w:r w:rsidRPr="00A74C68">
              <w:rPr>
                <w:sz w:val="14"/>
                <w:szCs w:val="14"/>
              </w:rPr>
              <w:t>1.1.3</w:t>
            </w:r>
          </w:p>
        </w:tc>
        <w:tc>
          <w:tcPr>
            <w:tcW w:w="5364" w:type="dxa"/>
            <w:tcBorders>
              <w:top w:val="nil"/>
              <w:left w:val="nil"/>
              <w:bottom w:val="nil"/>
              <w:right w:val="single" w:sz="4" w:space="0" w:color="auto"/>
            </w:tcBorders>
            <w:hideMark/>
          </w:tcPr>
          <w:p w14:paraId="6B5F0379" w14:textId="77777777" w:rsidR="00A74C68" w:rsidRPr="00A74C68" w:rsidRDefault="00A74C68" w:rsidP="00A74C68">
            <w:pPr>
              <w:rPr>
                <w:sz w:val="14"/>
                <w:szCs w:val="14"/>
              </w:rPr>
            </w:pPr>
            <w:r w:rsidRPr="00A74C68">
              <w:rPr>
                <w:sz w:val="14"/>
                <w:szCs w:val="14"/>
              </w:rPr>
              <w:t>Para Piyasalarından Alacaklar</w:t>
            </w:r>
          </w:p>
        </w:tc>
        <w:tc>
          <w:tcPr>
            <w:tcW w:w="926" w:type="dxa"/>
            <w:tcBorders>
              <w:top w:val="nil"/>
              <w:left w:val="nil"/>
              <w:bottom w:val="nil"/>
              <w:right w:val="nil"/>
            </w:tcBorders>
            <w:noWrap/>
            <w:vAlign w:val="bottom"/>
            <w:hideMark/>
          </w:tcPr>
          <w:p w14:paraId="37151D10" w14:textId="77777777" w:rsidR="00A74C68" w:rsidRPr="00A74C68" w:rsidRDefault="00A74C68" w:rsidP="00A74C68">
            <w:pPr>
              <w:jc w:val="center"/>
              <w:rPr>
                <w:b/>
                <w:bCs/>
                <w:color w:val="000000"/>
                <w:sz w:val="14"/>
                <w:szCs w:val="14"/>
                <w:lang w:eastAsia="tr-TR"/>
              </w:rPr>
            </w:pPr>
            <w:r w:rsidRPr="00A74C68">
              <w:rPr>
                <w:b/>
                <w:bCs/>
                <w:color w:val="000000"/>
                <w:sz w:val="14"/>
                <w:szCs w:val="14"/>
                <w:lang w:eastAsia="tr-TR"/>
              </w:rPr>
              <w:t> </w:t>
            </w:r>
          </w:p>
        </w:tc>
        <w:tc>
          <w:tcPr>
            <w:tcW w:w="1068" w:type="dxa"/>
            <w:tcBorders>
              <w:top w:val="nil"/>
              <w:left w:val="single" w:sz="4" w:space="0" w:color="auto"/>
              <w:bottom w:val="nil"/>
              <w:right w:val="nil"/>
            </w:tcBorders>
            <w:shd w:val="clear" w:color="000000" w:fill="FFFFFF"/>
            <w:vAlign w:val="bottom"/>
            <w:hideMark/>
          </w:tcPr>
          <w:p w14:paraId="4008BC10" w14:textId="77777777" w:rsidR="00A74C68" w:rsidRPr="00A74C68" w:rsidRDefault="00A74C68" w:rsidP="00A74C68">
            <w:pPr>
              <w:jc w:val="right"/>
              <w:rPr>
                <w:color w:val="000000"/>
                <w:sz w:val="14"/>
                <w:szCs w:val="14"/>
              </w:rPr>
            </w:pPr>
            <w:r w:rsidRPr="00A74C68">
              <w:rPr>
                <w:color w:val="000000"/>
                <w:sz w:val="14"/>
                <w:szCs w:val="14"/>
              </w:rPr>
              <w:t>-</w:t>
            </w:r>
          </w:p>
        </w:tc>
        <w:tc>
          <w:tcPr>
            <w:tcW w:w="1015" w:type="dxa"/>
            <w:tcBorders>
              <w:top w:val="nil"/>
              <w:left w:val="single" w:sz="4" w:space="0" w:color="auto"/>
              <w:bottom w:val="nil"/>
              <w:right w:val="nil"/>
            </w:tcBorders>
            <w:shd w:val="clear" w:color="000000" w:fill="FFFFFF"/>
            <w:vAlign w:val="bottom"/>
            <w:hideMark/>
          </w:tcPr>
          <w:p w14:paraId="2A239611" w14:textId="77777777" w:rsidR="00A74C68" w:rsidRPr="00A74C68" w:rsidRDefault="00A74C68" w:rsidP="00A74C68">
            <w:pPr>
              <w:jc w:val="right"/>
              <w:rPr>
                <w:color w:val="000000"/>
                <w:sz w:val="14"/>
                <w:szCs w:val="14"/>
              </w:rPr>
            </w:pPr>
            <w:r w:rsidRPr="00A74C68">
              <w:rPr>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3240E55D" w14:textId="77777777" w:rsidR="00A74C68" w:rsidRPr="00A74C68" w:rsidRDefault="00A74C68" w:rsidP="00A74C68">
            <w:pPr>
              <w:jc w:val="right"/>
              <w:rPr>
                <w:color w:val="000000"/>
                <w:sz w:val="14"/>
                <w:szCs w:val="14"/>
              </w:rPr>
            </w:pPr>
            <w:r w:rsidRPr="00A74C68">
              <w:rPr>
                <w:color w:val="000000"/>
                <w:sz w:val="14"/>
                <w:szCs w:val="14"/>
              </w:rPr>
              <w:t>-</w:t>
            </w:r>
          </w:p>
        </w:tc>
      </w:tr>
      <w:tr w:rsidR="00A74C68" w:rsidRPr="00A74C68" w14:paraId="098FF636" w14:textId="77777777" w:rsidTr="00655FD0">
        <w:trPr>
          <w:divId w:val="101003176"/>
          <w:trHeight w:val="113"/>
        </w:trPr>
        <w:tc>
          <w:tcPr>
            <w:tcW w:w="740" w:type="dxa"/>
            <w:tcBorders>
              <w:top w:val="nil"/>
              <w:left w:val="single" w:sz="4" w:space="0" w:color="auto"/>
              <w:bottom w:val="nil"/>
              <w:right w:val="nil"/>
            </w:tcBorders>
            <w:noWrap/>
            <w:hideMark/>
          </w:tcPr>
          <w:p w14:paraId="270DFA0C" w14:textId="77777777" w:rsidR="00A74C68" w:rsidRPr="00A74C68" w:rsidRDefault="00A74C68" w:rsidP="00A74C68">
            <w:pPr>
              <w:rPr>
                <w:sz w:val="14"/>
                <w:szCs w:val="14"/>
              </w:rPr>
            </w:pPr>
            <w:r w:rsidRPr="00A74C68">
              <w:rPr>
                <w:sz w:val="14"/>
                <w:szCs w:val="14"/>
              </w:rPr>
              <w:t>1.1.4</w:t>
            </w:r>
          </w:p>
        </w:tc>
        <w:tc>
          <w:tcPr>
            <w:tcW w:w="5364" w:type="dxa"/>
            <w:tcBorders>
              <w:top w:val="nil"/>
              <w:left w:val="nil"/>
              <w:bottom w:val="nil"/>
              <w:right w:val="single" w:sz="4" w:space="0" w:color="auto"/>
            </w:tcBorders>
            <w:noWrap/>
            <w:hideMark/>
          </w:tcPr>
          <w:p w14:paraId="5E3E7367" w14:textId="77777777" w:rsidR="00A74C68" w:rsidRPr="00A74C68" w:rsidRDefault="00A74C68" w:rsidP="00A74C68">
            <w:pPr>
              <w:rPr>
                <w:sz w:val="14"/>
                <w:szCs w:val="14"/>
                <w:lang w:eastAsia="tr-TR"/>
              </w:rPr>
            </w:pPr>
            <w:r w:rsidRPr="00A74C68">
              <w:rPr>
                <w:sz w:val="14"/>
                <w:szCs w:val="14"/>
              </w:rPr>
              <w:t>Beklenen Zarar Karşılıkları</w:t>
            </w:r>
            <w:r w:rsidRPr="00A74C68">
              <w:rPr>
                <w:sz w:val="14"/>
                <w:szCs w:val="14"/>
                <w:lang w:eastAsia="tr-TR"/>
              </w:rPr>
              <w:t xml:space="preserve"> (-)</w:t>
            </w:r>
          </w:p>
        </w:tc>
        <w:tc>
          <w:tcPr>
            <w:tcW w:w="926" w:type="dxa"/>
            <w:tcBorders>
              <w:top w:val="nil"/>
              <w:left w:val="nil"/>
              <w:bottom w:val="nil"/>
              <w:right w:val="nil"/>
            </w:tcBorders>
            <w:noWrap/>
            <w:vAlign w:val="bottom"/>
            <w:hideMark/>
          </w:tcPr>
          <w:p w14:paraId="1CDE167A" w14:textId="77777777" w:rsidR="00A74C68" w:rsidRPr="00A74C68" w:rsidRDefault="00A74C68" w:rsidP="00A74C68">
            <w:pPr>
              <w:jc w:val="center"/>
              <w:rPr>
                <w:color w:val="000000"/>
                <w:sz w:val="14"/>
                <w:szCs w:val="14"/>
              </w:rPr>
            </w:pPr>
            <w:r w:rsidRPr="00A74C68">
              <w:rPr>
                <w:color w:val="000000"/>
                <w:sz w:val="14"/>
                <w:szCs w:val="14"/>
              </w:rPr>
              <w:t> </w:t>
            </w:r>
          </w:p>
        </w:tc>
        <w:tc>
          <w:tcPr>
            <w:tcW w:w="1068" w:type="dxa"/>
            <w:tcBorders>
              <w:top w:val="nil"/>
              <w:left w:val="single" w:sz="4" w:space="0" w:color="auto"/>
              <w:bottom w:val="nil"/>
              <w:right w:val="nil"/>
            </w:tcBorders>
            <w:shd w:val="clear" w:color="000000" w:fill="FFFFFF"/>
            <w:vAlign w:val="bottom"/>
            <w:hideMark/>
          </w:tcPr>
          <w:p w14:paraId="0F111AEB" w14:textId="77777777" w:rsidR="00A74C68" w:rsidRPr="00A74C68" w:rsidRDefault="00A74C68" w:rsidP="00A74C68">
            <w:pPr>
              <w:jc w:val="right"/>
              <w:rPr>
                <w:color w:val="000000"/>
                <w:sz w:val="14"/>
                <w:szCs w:val="14"/>
              </w:rPr>
            </w:pPr>
            <w:r w:rsidRPr="00A74C68">
              <w:rPr>
                <w:color w:val="000000"/>
                <w:sz w:val="14"/>
                <w:szCs w:val="14"/>
              </w:rPr>
              <w:t>199</w:t>
            </w:r>
          </w:p>
        </w:tc>
        <w:tc>
          <w:tcPr>
            <w:tcW w:w="1015" w:type="dxa"/>
            <w:tcBorders>
              <w:top w:val="nil"/>
              <w:left w:val="single" w:sz="4" w:space="0" w:color="auto"/>
              <w:bottom w:val="nil"/>
              <w:right w:val="nil"/>
            </w:tcBorders>
            <w:shd w:val="clear" w:color="000000" w:fill="FFFFFF"/>
            <w:vAlign w:val="bottom"/>
            <w:hideMark/>
          </w:tcPr>
          <w:p w14:paraId="1E425F9F" w14:textId="77777777" w:rsidR="00A74C68" w:rsidRPr="00A74C68" w:rsidRDefault="00A74C68" w:rsidP="00A74C68">
            <w:pPr>
              <w:jc w:val="right"/>
              <w:rPr>
                <w:color w:val="000000"/>
                <w:sz w:val="14"/>
                <w:szCs w:val="14"/>
              </w:rPr>
            </w:pPr>
            <w:r w:rsidRPr="00A74C68">
              <w:rPr>
                <w:color w:val="000000"/>
                <w:sz w:val="14"/>
                <w:szCs w:val="14"/>
              </w:rPr>
              <w:t>386</w:t>
            </w:r>
          </w:p>
        </w:tc>
        <w:tc>
          <w:tcPr>
            <w:tcW w:w="1088" w:type="dxa"/>
            <w:tcBorders>
              <w:top w:val="nil"/>
              <w:left w:val="single" w:sz="4" w:space="0" w:color="auto"/>
              <w:bottom w:val="nil"/>
              <w:right w:val="single" w:sz="4" w:space="0" w:color="auto"/>
            </w:tcBorders>
            <w:shd w:val="clear" w:color="000000" w:fill="FFFFFF"/>
            <w:vAlign w:val="bottom"/>
            <w:hideMark/>
          </w:tcPr>
          <w:p w14:paraId="735B1DB7" w14:textId="77777777" w:rsidR="00A74C68" w:rsidRPr="00A74C68" w:rsidRDefault="00A74C68" w:rsidP="00A74C68">
            <w:pPr>
              <w:jc w:val="right"/>
              <w:rPr>
                <w:color w:val="000000"/>
                <w:sz w:val="14"/>
                <w:szCs w:val="14"/>
              </w:rPr>
            </w:pPr>
            <w:r w:rsidRPr="00A74C68">
              <w:rPr>
                <w:color w:val="000000"/>
                <w:sz w:val="14"/>
                <w:szCs w:val="14"/>
              </w:rPr>
              <w:t>585</w:t>
            </w:r>
          </w:p>
        </w:tc>
      </w:tr>
      <w:tr w:rsidR="00A74C68" w:rsidRPr="00A74C68" w14:paraId="7EE93F44" w14:textId="77777777" w:rsidTr="00655FD0">
        <w:trPr>
          <w:divId w:val="101003176"/>
          <w:trHeight w:val="113"/>
        </w:trPr>
        <w:tc>
          <w:tcPr>
            <w:tcW w:w="740" w:type="dxa"/>
            <w:tcBorders>
              <w:top w:val="nil"/>
              <w:left w:val="single" w:sz="4" w:space="0" w:color="auto"/>
              <w:bottom w:val="nil"/>
              <w:right w:val="nil"/>
            </w:tcBorders>
            <w:noWrap/>
            <w:hideMark/>
          </w:tcPr>
          <w:p w14:paraId="72E52B7D" w14:textId="77777777" w:rsidR="00A74C68" w:rsidRPr="00A74C68" w:rsidRDefault="00A74C68" w:rsidP="00A74C68">
            <w:pPr>
              <w:rPr>
                <w:b/>
                <w:bCs/>
                <w:sz w:val="14"/>
                <w:szCs w:val="14"/>
              </w:rPr>
            </w:pPr>
            <w:r w:rsidRPr="00A74C68">
              <w:rPr>
                <w:b/>
                <w:bCs/>
                <w:sz w:val="14"/>
                <w:szCs w:val="14"/>
              </w:rPr>
              <w:t>1.2</w:t>
            </w:r>
          </w:p>
        </w:tc>
        <w:tc>
          <w:tcPr>
            <w:tcW w:w="5364" w:type="dxa"/>
            <w:tcBorders>
              <w:top w:val="nil"/>
              <w:left w:val="nil"/>
              <w:bottom w:val="nil"/>
              <w:right w:val="single" w:sz="4" w:space="0" w:color="auto"/>
            </w:tcBorders>
            <w:hideMark/>
          </w:tcPr>
          <w:p w14:paraId="5CC24B40" w14:textId="77777777" w:rsidR="00A74C68" w:rsidRPr="00A74C68" w:rsidRDefault="00A74C68" w:rsidP="00A74C68">
            <w:pPr>
              <w:rPr>
                <w:b/>
                <w:bCs/>
                <w:sz w:val="14"/>
                <w:szCs w:val="14"/>
                <w:lang w:eastAsia="tr-TR"/>
              </w:rPr>
            </w:pPr>
            <w:r w:rsidRPr="00A74C68">
              <w:rPr>
                <w:b/>
                <w:bCs/>
                <w:sz w:val="14"/>
                <w:szCs w:val="14"/>
              </w:rPr>
              <w:t xml:space="preserve">Gerçeğe Uygun Değer </w:t>
            </w:r>
            <w:r w:rsidRPr="00A74C68">
              <w:rPr>
                <w:b/>
                <w:bCs/>
                <w:sz w:val="14"/>
                <w:szCs w:val="14"/>
                <w:lang w:eastAsia="tr-TR"/>
              </w:rPr>
              <w:t>Farkı Kâr Zarara Yansıtılan Finansal Varlıklar</w:t>
            </w:r>
          </w:p>
        </w:tc>
        <w:tc>
          <w:tcPr>
            <w:tcW w:w="926" w:type="dxa"/>
            <w:tcBorders>
              <w:top w:val="nil"/>
              <w:left w:val="nil"/>
              <w:bottom w:val="nil"/>
              <w:right w:val="nil"/>
            </w:tcBorders>
            <w:noWrap/>
            <w:vAlign w:val="bottom"/>
            <w:hideMark/>
          </w:tcPr>
          <w:p w14:paraId="24CDC55F" w14:textId="77777777" w:rsidR="00A74C68" w:rsidRPr="00A74C68" w:rsidRDefault="00A74C68" w:rsidP="00A74C68">
            <w:pPr>
              <w:jc w:val="center"/>
              <w:rPr>
                <w:b/>
                <w:bCs/>
                <w:color w:val="000000"/>
                <w:sz w:val="14"/>
                <w:szCs w:val="14"/>
                <w:lang w:eastAsia="tr-TR"/>
              </w:rPr>
            </w:pPr>
            <w:r w:rsidRPr="00A74C68">
              <w:rPr>
                <w:b/>
                <w:bCs/>
                <w:color w:val="000000"/>
                <w:sz w:val="14"/>
                <w:szCs w:val="14"/>
                <w:lang w:eastAsia="tr-TR"/>
              </w:rPr>
              <w:t>(2)</w:t>
            </w:r>
          </w:p>
        </w:tc>
        <w:tc>
          <w:tcPr>
            <w:tcW w:w="1068" w:type="dxa"/>
            <w:tcBorders>
              <w:top w:val="nil"/>
              <w:left w:val="single" w:sz="4" w:space="0" w:color="auto"/>
              <w:bottom w:val="nil"/>
              <w:right w:val="nil"/>
            </w:tcBorders>
            <w:shd w:val="clear" w:color="000000" w:fill="FFFFFF"/>
            <w:vAlign w:val="bottom"/>
            <w:hideMark/>
          </w:tcPr>
          <w:p w14:paraId="05198F4D" w14:textId="77777777" w:rsidR="00A74C68" w:rsidRPr="00A74C68" w:rsidRDefault="00A74C68" w:rsidP="00A74C68">
            <w:pPr>
              <w:jc w:val="right"/>
              <w:rPr>
                <w:b/>
                <w:bCs/>
                <w:color w:val="000000"/>
                <w:sz w:val="14"/>
                <w:szCs w:val="14"/>
              </w:rPr>
            </w:pPr>
            <w:r w:rsidRPr="00A74C68">
              <w:rPr>
                <w:b/>
                <w:bCs/>
                <w:color w:val="000000"/>
                <w:sz w:val="14"/>
                <w:szCs w:val="14"/>
              </w:rPr>
              <w:t>1.339.304</w:t>
            </w:r>
          </w:p>
        </w:tc>
        <w:tc>
          <w:tcPr>
            <w:tcW w:w="1015" w:type="dxa"/>
            <w:tcBorders>
              <w:top w:val="nil"/>
              <w:left w:val="single" w:sz="4" w:space="0" w:color="auto"/>
              <w:bottom w:val="nil"/>
              <w:right w:val="nil"/>
            </w:tcBorders>
            <w:shd w:val="clear" w:color="000000" w:fill="FFFFFF"/>
            <w:vAlign w:val="bottom"/>
            <w:hideMark/>
          </w:tcPr>
          <w:p w14:paraId="409B42E2" w14:textId="77777777" w:rsidR="00A74C68" w:rsidRPr="00A74C68" w:rsidRDefault="00A74C68" w:rsidP="00A74C68">
            <w:pPr>
              <w:jc w:val="right"/>
              <w:rPr>
                <w:b/>
                <w:bCs/>
                <w:color w:val="000000"/>
                <w:sz w:val="14"/>
                <w:szCs w:val="14"/>
              </w:rPr>
            </w:pPr>
            <w:r w:rsidRPr="00A74C68">
              <w:rPr>
                <w:b/>
                <w:bCs/>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1F619DA3" w14:textId="77777777" w:rsidR="00A74C68" w:rsidRPr="00A74C68" w:rsidRDefault="00A74C68" w:rsidP="00A74C68">
            <w:pPr>
              <w:jc w:val="right"/>
              <w:rPr>
                <w:b/>
                <w:bCs/>
                <w:color w:val="000000"/>
                <w:sz w:val="14"/>
                <w:szCs w:val="14"/>
              </w:rPr>
            </w:pPr>
            <w:r w:rsidRPr="00A74C68">
              <w:rPr>
                <w:b/>
                <w:bCs/>
                <w:color w:val="000000"/>
                <w:sz w:val="14"/>
                <w:szCs w:val="14"/>
              </w:rPr>
              <w:t>1.339.304</w:t>
            </w:r>
          </w:p>
        </w:tc>
      </w:tr>
      <w:tr w:rsidR="00A74C68" w:rsidRPr="00A74C68" w14:paraId="6ADD4797" w14:textId="77777777" w:rsidTr="00655FD0">
        <w:trPr>
          <w:divId w:val="101003176"/>
          <w:trHeight w:val="113"/>
        </w:trPr>
        <w:tc>
          <w:tcPr>
            <w:tcW w:w="740" w:type="dxa"/>
            <w:tcBorders>
              <w:top w:val="nil"/>
              <w:left w:val="single" w:sz="4" w:space="0" w:color="auto"/>
              <w:bottom w:val="nil"/>
              <w:right w:val="nil"/>
            </w:tcBorders>
            <w:noWrap/>
            <w:hideMark/>
          </w:tcPr>
          <w:p w14:paraId="552D17BA" w14:textId="77777777" w:rsidR="00A74C68" w:rsidRPr="00A74C68" w:rsidRDefault="00A74C68" w:rsidP="00A74C68">
            <w:pPr>
              <w:rPr>
                <w:sz w:val="14"/>
                <w:szCs w:val="14"/>
              </w:rPr>
            </w:pPr>
            <w:r w:rsidRPr="00A74C68">
              <w:rPr>
                <w:sz w:val="14"/>
                <w:szCs w:val="14"/>
              </w:rPr>
              <w:t>1.2.1</w:t>
            </w:r>
          </w:p>
        </w:tc>
        <w:tc>
          <w:tcPr>
            <w:tcW w:w="5364" w:type="dxa"/>
            <w:tcBorders>
              <w:top w:val="nil"/>
              <w:left w:val="nil"/>
              <w:bottom w:val="nil"/>
              <w:right w:val="single" w:sz="4" w:space="0" w:color="auto"/>
            </w:tcBorders>
            <w:hideMark/>
          </w:tcPr>
          <w:p w14:paraId="3DF41682" w14:textId="77777777" w:rsidR="00A74C68" w:rsidRPr="00A74C68" w:rsidRDefault="00A74C68" w:rsidP="00A74C68">
            <w:pPr>
              <w:rPr>
                <w:sz w:val="14"/>
                <w:szCs w:val="14"/>
              </w:rPr>
            </w:pPr>
            <w:r w:rsidRPr="00A74C68">
              <w:rPr>
                <w:sz w:val="14"/>
                <w:szCs w:val="14"/>
              </w:rPr>
              <w:t>Devlet Borçlanma Senetleri</w:t>
            </w:r>
          </w:p>
        </w:tc>
        <w:tc>
          <w:tcPr>
            <w:tcW w:w="926" w:type="dxa"/>
            <w:tcBorders>
              <w:top w:val="nil"/>
              <w:left w:val="nil"/>
              <w:bottom w:val="nil"/>
              <w:right w:val="nil"/>
            </w:tcBorders>
            <w:noWrap/>
            <w:vAlign w:val="bottom"/>
            <w:hideMark/>
          </w:tcPr>
          <w:p w14:paraId="58104E32" w14:textId="77777777" w:rsidR="00A74C68" w:rsidRPr="00A74C68" w:rsidRDefault="00A74C68" w:rsidP="00A74C68">
            <w:pPr>
              <w:jc w:val="center"/>
              <w:rPr>
                <w:color w:val="000000"/>
                <w:sz w:val="14"/>
                <w:szCs w:val="14"/>
                <w:lang w:eastAsia="tr-TR"/>
              </w:rPr>
            </w:pPr>
            <w:r w:rsidRPr="00A74C68">
              <w:rPr>
                <w:color w:val="000000"/>
                <w:sz w:val="14"/>
                <w:szCs w:val="14"/>
                <w:lang w:eastAsia="tr-TR"/>
              </w:rPr>
              <w:t> </w:t>
            </w:r>
          </w:p>
        </w:tc>
        <w:tc>
          <w:tcPr>
            <w:tcW w:w="1068" w:type="dxa"/>
            <w:tcBorders>
              <w:top w:val="nil"/>
              <w:left w:val="single" w:sz="4" w:space="0" w:color="auto"/>
              <w:bottom w:val="nil"/>
              <w:right w:val="nil"/>
            </w:tcBorders>
            <w:shd w:val="clear" w:color="000000" w:fill="FFFFFF"/>
            <w:vAlign w:val="bottom"/>
            <w:hideMark/>
          </w:tcPr>
          <w:p w14:paraId="0494AD42" w14:textId="77777777" w:rsidR="00A74C68" w:rsidRPr="00A74C68" w:rsidRDefault="00A74C68" w:rsidP="00A74C68">
            <w:pPr>
              <w:jc w:val="right"/>
              <w:rPr>
                <w:color w:val="000000"/>
                <w:sz w:val="14"/>
                <w:szCs w:val="14"/>
              </w:rPr>
            </w:pPr>
            <w:r w:rsidRPr="00A74C68">
              <w:rPr>
                <w:color w:val="000000"/>
                <w:sz w:val="14"/>
                <w:szCs w:val="14"/>
              </w:rPr>
              <w:t>-</w:t>
            </w:r>
          </w:p>
        </w:tc>
        <w:tc>
          <w:tcPr>
            <w:tcW w:w="1015" w:type="dxa"/>
            <w:tcBorders>
              <w:top w:val="nil"/>
              <w:left w:val="single" w:sz="4" w:space="0" w:color="auto"/>
              <w:bottom w:val="nil"/>
              <w:right w:val="nil"/>
            </w:tcBorders>
            <w:shd w:val="clear" w:color="000000" w:fill="FFFFFF"/>
            <w:vAlign w:val="bottom"/>
            <w:hideMark/>
          </w:tcPr>
          <w:p w14:paraId="56C76F54" w14:textId="77777777" w:rsidR="00A74C68" w:rsidRPr="00A74C68" w:rsidRDefault="00A74C68" w:rsidP="00A74C68">
            <w:pPr>
              <w:jc w:val="right"/>
              <w:rPr>
                <w:color w:val="000000"/>
                <w:sz w:val="14"/>
                <w:szCs w:val="14"/>
              </w:rPr>
            </w:pPr>
            <w:r w:rsidRPr="00A74C68">
              <w:rPr>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3C06C5C1" w14:textId="77777777" w:rsidR="00A74C68" w:rsidRPr="00A74C68" w:rsidRDefault="00A74C68" w:rsidP="00A74C68">
            <w:pPr>
              <w:jc w:val="right"/>
              <w:rPr>
                <w:color w:val="000000"/>
                <w:sz w:val="14"/>
                <w:szCs w:val="14"/>
              </w:rPr>
            </w:pPr>
            <w:r w:rsidRPr="00A74C68">
              <w:rPr>
                <w:color w:val="000000"/>
                <w:sz w:val="14"/>
                <w:szCs w:val="14"/>
              </w:rPr>
              <w:t>-</w:t>
            </w:r>
          </w:p>
        </w:tc>
      </w:tr>
      <w:tr w:rsidR="00A74C68" w:rsidRPr="00A74C68" w14:paraId="26C6652B" w14:textId="77777777" w:rsidTr="00655FD0">
        <w:trPr>
          <w:divId w:val="101003176"/>
          <w:trHeight w:val="113"/>
        </w:trPr>
        <w:tc>
          <w:tcPr>
            <w:tcW w:w="740" w:type="dxa"/>
            <w:tcBorders>
              <w:top w:val="nil"/>
              <w:left w:val="single" w:sz="4" w:space="0" w:color="auto"/>
              <w:bottom w:val="nil"/>
              <w:right w:val="nil"/>
            </w:tcBorders>
            <w:noWrap/>
            <w:hideMark/>
          </w:tcPr>
          <w:p w14:paraId="46105AD3" w14:textId="77777777" w:rsidR="00A74C68" w:rsidRPr="00A74C68" w:rsidRDefault="00A74C68" w:rsidP="00A74C68">
            <w:pPr>
              <w:rPr>
                <w:sz w:val="14"/>
                <w:szCs w:val="14"/>
              </w:rPr>
            </w:pPr>
            <w:r w:rsidRPr="00A74C68">
              <w:rPr>
                <w:sz w:val="14"/>
                <w:szCs w:val="14"/>
              </w:rPr>
              <w:t>1.2.2</w:t>
            </w:r>
          </w:p>
        </w:tc>
        <w:tc>
          <w:tcPr>
            <w:tcW w:w="5364" w:type="dxa"/>
            <w:tcBorders>
              <w:top w:val="nil"/>
              <w:left w:val="nil"/>
              <w:bottom w:val="nil"/>
              <w:right w:val="single" w:sz="4" w:space="0" w:color="auto"/>
            </w:tcBorders>
            <w:hideMark/>
          </w:tcPr>
          <w:p w14:paraId="7C792AF0" w14:textId="77777777" w:rsidR="00A74C68" w:rsidRPr="00A74C68" w:rsidRDefault="00A74C68" w:rsidP="00A74C68">
            <w:pPr>
              <w:rPr>
                <w:sz w:val="14"/>
                <w:szCs w:val="14"/>
                <w:lang w:eastAsia="tr-TR"/>
              </w:rPr>
            </w:pPr>
            <w:r w:rsidRPr="00A74C68">
              <w:rPr>
                <w:sz w:val="14"/>
                <w:szCs w:val="14"/>
              </w:rPr>
              <w:t xml:space="preserve">Sermayede Payı Temsil </w:t>
            </w:r>
            <w:r w:rsidRPr="00A74C68">
              <w:rPr>
                <w:sz w:val="14"/>
                <w:szCs w:val="14"/>
                <w:lang w:eastAsia="tr-TR"/>
              </w:rPr>
              <w:t>Eden Menkul Değerler</w:t>
            </w:r>
          </w:p>
        </w:tc>
        <w:tc>
          <w:tcPr>
            <w:tcW w:w="926" w:type="dxa"/>
            <w:tcBorders>
              <w:top w:val="nil"/>
              <w:left w:val="nil"/>
              <w:bottom w:val="nil"/>
              <w:right w:val="nil"/>
            </w:tcBorders>
            <w:noWrap/>
            <w:vAlign w:val="bottom"/>
            <w:hideMark/>
          </w:tcPr>
          <w:p w14:paraId="4F7134AB" w14:textId="77777777" w:rsidR="00A74C68" w:rsidRPr="00A74C68" w:rsidRDefault="00A74C68" w:rsidP="00A74C68">
            <w:pPr>
              <w:jc w:val="center"/>
              <w:rPr>
                <w:color w:val="000000"/>
                <w:sz w:val="14"/>
                <w:szCs w:val="14"/>
                <w:lang w:eastAsia="tr-TR"/>
              </w:rPr>
            </w:pPr>
            <w:r w:rsidRPr="00A74C68">
              <w:rPr>
                <w:color w:val="000000"/>
                <w:sz w:val="14"/>
                <w:szCs w:val="14"/>
                <w:lang w:eastAsia="tr-TR"/>
              </w:rPr>
              <w:t> </w:t>
            </w:r>
          </w:p>
        </w:tc>
        <w:tc>
          <w:tcPr>
            <w:tcW w:w="1068" w:type="dxa"/>
            <w:tcBorders>
              <w:top w:val="nil"/>
              <w:left w:val="single" w:sz="4" w:space="0" w:color="auto"/>
              <w:bottom w:val="nil"/>
              <w:right w:val="nil"/>
            </w:tcBorders>
            <w:shd w:val="clear" w:color="000000" w:fill="FFFFFF"/>
            <w:vAlign w:val="bottom"/>
            <w:hideMark/>
          </w:tcPr>
          <w:p w14:paraId="44FE6B26" w14:textId="77777777" w:rsidR="00A74C68" w:rsidRPr="00A74C68" w:rsidRDefault="00A74C68" w:rsidP="00A74C68">
            <w:pPr>
              <w:jc w:val="right"/>
              <w:rPr>
                <w:color w:val="000000"/>
                <w:sz w:val="14"/>
                <w:szCs w:val="14"/>
              </w:rPr>
            </w:pPr>
            <w:r w:rsidRPr="00A74C68">
              <w:rPr>
                <w:color w:val="000000"/>
                <w:sz w:val="14"/>
                <w:szCs w:val="14"/>
              </w:rPr>
              <w:t>15</w:t>
            </w:r>
          </w:p>
        </w:tc>
        <w:tc>
          <w:tcPr>
            <w:tcW w:w="1015" w:type="dxa"/>
            <w:tcBorders>
              <w:top w:val="nil"/>
              <w:left w:val="single" w:sz="4" w:space="0" w:color="auto"/>
              <w:bottom w:val="nil"/>
              <w:right w:val="nil"/>
            </w:tcBorders>
            <w:shd w:val="clear" w:color="000000" w:fill="FFFFFF"/>
            <w:vAlign w:val="bottom"/>
            <w:hideMark/>
          </w:tcPr>
          <w:p w14:paraId="6F616146" w14:textId="77777777" w:rsidR="00A74C68" w:rsidRPr="00A74C68" w:rsidRDefault="00A74C68" w:rsidP="00A74C68">
            <w:pPr>
              <w:jc w:val="right"/>
              <w:rPr>
                <w:color w:val="000000"/>
                <w:sz w:val="14"/>
                <w:szCs w:val="14"/>
              </w:rPr>
            </w:pPr>
            <w:r w:rsidRPr="00A74C68">
              <w:rPr>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05DDBDC8" w14:textId="77777777" w:rsidR="00A74C68" w:rsidRPr="00A74C68" w:rsidRDefault="00A74C68" w:rsidP="00A74C68">
            <w:pPr>
              <w:jc w:val="right"/>
              <w:rPr>
                <w:color w:val="000000"/>
                <w:sz w:val="14"/>
                <w:szCs w:val="14"/>
              </w:rPr>
            </w:pPr>
            <w:r w:rsidRPr="00A74C68">
              <w:rPr>
                <w:color w:val="000000"/>
                <w:sz w:val="14"/>
                <w:szCs w:val="14"/>
              </w:rPr>
              <w:t>15</w:t>
            </w:r>
          </w:p>
        </w:tc>
      </w:tr>
      <w:tr w:rsidR="00A74C68" w:rsidRPr="00A74C68" w14:paraId="7E9534CF" w14:textId="77777777" w:rsidTr="00655FD0">
        <w:trPr>
          <w:divId w:val="101003176"/>
          <w:trHeight w:val="113"/>
        </w:trPr>
        <w:tc>
          <w:tcPr>
            <w:tcW w:w="740" w:type="dxa"/>
            <w:tcBorders>
              <w:top w:val="nil"/>
              <w:left w:val="single" w:sz="4" w:space="0" w:color="auto"/>
              <w:bottom w:val="nil"/>
              <w:right w:val="nil"/>
            </w:tcBorders>
            <w:noWrap/>
            <w:hideMark/>
          </w:tcPr>
          <w:p w14:paraId="2423EF5A" w14:textId="77777777" w:rsidR="00A74C68" w:rsidRPr="00A74C68" w:rsidRDefault="00A74C68" w:rsidP="00A74C68">
            <w:pPr>
              <w:rPr>
                <w:sz w:val="14"/>
                <w:szCs w:val="14"/>
              </w:rPr>
            </w:pPr>
            <w:r w:rsidRPr="00A74C68">
              <w:rPr>
                <w:sz w:val="14"/>
                <w:szCs w:val="14"/>
              </w:rPr>
              <w:t>1.2.3</w:t>
            </w:r>
          </w:p>
        </w:tc>
        <w:tc>
          <w:tcPr>
            <w:tcW w:w="5364" w:type="dxa"/>
            <w:tcBorders>
              <w:top w:val="nil"/>
              <w:left w:val="nil"/>
              <w:bottom w:val="nil"/>
              <w:right w:val="single" w:sz="4" w:space="0" w:color="auto"/>
            </w:tcBorders>
            <w:hideMark/>
          </w:tcPr>
          <w:p w14:paraId="11A2032D" w14:textId="77777777" w:rsidR="00A74C68" w:rsidRPr="00A74C68" w:rsidRDefault="00A74C68" w:rsidP="00A74C68">
            <w:pPr>
              <w:rPr>
                <w:sz w:val="14"/>
                <w:szCs w:val="14"/>
              </w:rPr>
            </w:pPr>
            <w:r w:rsidRPr="00A74C68">
              <w:rPr>
                <w:sz w:val="14"/>
                <w:szCs w:val="14"/>
              </w:rPr>
              <w:t>Diğer Finansal Varlıklar</w:t>
            </w:r>
          </w:p>
        </w:tc>
        <w:tc>
          <w:tcPr>
            <w:tcW w:w="926" w:type="dxa"/>
            <w:tcBorders>
              <w:top w:val="nil"/>
              <w:left w:val="nil"/>
              <w:bottom w:val="nil"/>
              <w:right w:val="nil"/>
            </w:tcBorders>
            <w:noWrap/>
            <w:vAlign w:val="bottom"/>
            <w:hideMark/>
          </w:tcPr>
          <w:p w14:paraId="0F6080A9" w14:textId="77777777" w:rsidR="00A74C68" w:rsidRPr="00A74C68" w:rsidRDefault="00A74C68" w:rsidP="00A74C68">
            <w:pPr>
              <w:jc w:val="center"/>
              <w:rPr>
                <w:color w:val="000000"/>
                <w:sz w:val="14"/>
                <w:szCs w:val="14"/>
              </w:rPr>
            </w:pPr>
            <w:r w:rsidRPr="00A74C68">
              <w:rPr>
                <w:color w:val="000000"/>
                <w:sz w:val="14"/>
                <w:szCs w:val="14"/>
              </w:rPr>
              <w:t> </w:t>
            </w:r>
          </w:p>
        </w:tc>
        <w:tc>
          <w:tcPr>
            <w:tcW w:w="1068" w:type="dxa"/>
            <w:tcBorders>
              <w:top w:val="nil"/>
              <w:left w:val="single" w:sz="4" w:space="0" w:color="auto"/>
              <w:bottom w:val="nil"/>
              <w:right w:val="nil"/>
            </w:tcBorders>
            <w:shd w:val="clear" w:color="000000" w:fill="FFFFFF"/>
            <w:vAlign w:val="bottom"/>
            <w:hideMark/>
          </w:tcPr>
          <w:p w14:paraId="0434866D" w14:textId="77777777" w:rsidR="00A74C68" w:rsidRPr="00A74C68" w:rsidRDefault="00A74C68" w:rsidP="00A74C68">
            <w:pPr>
              <w:jc w:val="right"/>
              <w:rPr>
                <w:color w:val="000000"/>
                <w:sz w:val="14"/>
                <w:szCs w:val="14"/>
              </w:rPr>
            </w:pPr>
            <w:r w:rsidRPr="00A74C68">
              <w:rPr>
                <w:color w:val="000000"/>
                <w:sz w:val="14"/>
                <w:szCs w:val="14"/>
              </w:rPr>
              <w:t>1.339.289</w:t>
            </w:r>
          </w:p>
        </w:tc>
        <w:tc>
          <w:tcPr>
            <w:tcW w:w="1015" w:type="dxa"/>
            <w:tcBorders>
              <w:top w:val="nil"/>
              <w:left w:val="single" w:sz="4" w:space="0" w:color="auto"/>
              <w:bottom w:val="nil"/>
              <w:right w:val="nil"/>
            </w:tcBorders>
            <w:shd w:val="clear" w:color="000000" w:fill="FFFFFF"/>
            <w:vAlign w:val="bottom"/>
            <w:hideMark/>
          </w:tcPr>
          <w:p w14:paraId="6E15AB75" w14:textId="77777777" w:rsidR="00A74C68" w:rsidRPr="00A74C68" w:rsidRDefault="00A74C68" w:rsidP="00A74C68">
            <w:pPr>
              <w:jc w:val="right"/>
              <w:rPr>
                <w:color w:val="000000"/>
                <w:sz w:val="14"/>
                <w:szCs w:val="14"/>
              </w:rPr>
            </w:pPr>
            <w:r w:rsidRPr="00A74C68">
              <w:rPr>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505F999E" w14:textId="77777777" w:rsidR="00A74C68" w:rsidRPr="00A74C68" w:rsidRDefault="00A74C68" w:rsidP="00A74C68">
            <w:pPr>
              <w:jc w:val="right"/>
              <w:rPr>
                <w:color w:val="000000"/>
                <w:sz w:val="14"/>
                <w:szCs w:val="14"/>
              </w:rPr>
            </w:pPr>
            <w:r w:rsidRPr="00A74C68">
              <w:rPr>
                <w:color w:val="000000"/>
                <w:sz w:val="14"/>
                <w:szCs w:val="14"/>
              </w:rPr>
              <w:t>1.339.289</w:t>
            </w:r>
          </w:p>
        </w:tc>
      </w:tr>
      <w:tr w:rsidR="00A74C68" w:rsidRPr="00A74C68" w14:paraId="60446600" w14:textId="77777777" w:rsidTr="00655FD0">
        <w:trPr>
          <w:divId w:val="101003176"/>
          <w:trHeight w:val="113"/>
        </w:trPr>
        <w:tc>
          <w:tcPr>
            <w:tcW w:w="740" w:type="dxa"/>
            <w:tcBorders>
              <w:top w:val="nil"/>
              <w:left w:val="single" w:sz="4" w:space="0" w:color="auto"/>
              <w:bottom w:val="nil"/>
              <w:right w:val="nil"/>
            </w:tcBorders>
            <w:noWrap/>
            <w:hideMark/>
          </w:tcPr>
          <w:p w14:paraId="3D17F76A" w14:textId="77777777" w:rsidR="00A74C68" w:rsidRPr="00A74C68" w:rsidRDefault="00A74C68" w:rsidP="00A74C68">
            <w:pPr>
              <w:rPr>
                <w:b/>
                <w:bCs/>
                <w:sz w:val="14"/>
                <w:szCs w:val="14"/>
              </w:rPr>
            </w:pPr>
            <w:r w:rsidRPr="00A74C68">
              <w:rPr>
                <w:b/>
                <w:bCs/>
                <w:sz w:val="14"/>
                <w:szCs w:val="14"/>
              </w:rPr>
              <w:t>1.3</w:t>
            </w:r>
          </w:p>
        </w:tc>
        <w:tc>
          <w:tcPr>
            <w:tcW w:w="5364" w:type="dxa"/>
            <w:tcBorders>
              <w:top w:val="nil"/>
              <w:left w:val="nil"/>
              <w:bottom w:val="nil"/>
              <w:right w:val="single" w:sz="4" w:space="0" w:color="auto"/>
            </w:tcBorders>
            <w:hideMark/>
          </w:tcPr>
          <w:p w14:paraId="5B7B6E0E" w14:textId="77777777" w:rsidR="00A74C68" w:rsidRPr="00A74C68" w:rsidRDefault="00A74C68" w:rsidP="00A74C68">
            <w:pPr>
              <w:rPr>
                <w:b/>
                <w:bCs/>
                <w:sz w:val="14"/>
                <w:szCs w:val="14"/>
                <w:lang w:eastAsia="tr-TR"/>
              </w:rPr>
            </w:pPr>
            <w:r w:rsidRPr="00A74C68">
              <w:rPr>
                <w:b/>
                <w:bCs/>
                <w:sz w:val="14"/>
                <w:szCs w:val="14"/>
              </w:rPr>
              <w:t xml:space="preserve">Gerçeğe Uygun Değer </w:t>
            </w:r>
            <w:r w:rsidRPr="00A74C68">
              <w:rPr>
                <w:b/>
                <w:bCs/>
                <w:sz w:val="14"/>
                <w:szCs w:val="14"/>
                <w:lang w:eastAsia="tr-TR"/>
              </w:rPr>
              <w:t>Farkı Diğer Kapsamlı Gelire Yansıtılan Finansal Varlıklar</w:t>
            </w:r>
          </w:p>
        </w:tc>
        <w:tc>
          <w:tcPr>
            <w:tcW w:w="926" w:type="dxa"/>
            <w:tcBorders>
              <w:top w:val="nil"/>
              <w:left w:val="nil"/>
              <w:bottom w:val="nil"/>
              <w:right w:val="nil"/>
            </w:tcBorders>
            <w:noWrap/>
            <w:vAlign w:val="bottom"/>
            <w:hideMark/>
          </w:tcPr>
          <w:p w14:paraId="2939F30B" w14:textId="77777777" w:rsidR="00A74C68" w:rsidRPr="00A74C68" w:rsidRDefault="00A74C68" w:rsidP="00A74C68">
            <w:pPr>
              <w:jc w:val="center"/>
              <w:rPr>
                <w:b/>
                <w:bCs/>
                <w:color w:val="000000"/>
                <w:sz w:val="14"/>
                <w:szCs w:val="14"/>
                <w:lang w:eastAsia="tr-TR"/>
              </w:rPr>
            </w:pPr>
            <w:r w:rsidRPr="00A74C68">
              <w:rPr>
                <w:b/>
                <w:bCs/>
                <w:color w:val="000000"/>
                <w:sz w:val="14"/>
                <w:szCs w:val="14"/>
                <w:lang w:eastAsia="tr-TR"/>
              </w:rPr>
              <w:t>(3)</w:t>
            </w:r>
          </w:p>
        </w:tc>
        <w:tc>
          <w:tcPr>
            <w:tcW w:w="1068" w:type="dxa"/>
            <w:tcBorders>
              <w:top w:val="nil"/>
              <w:left w:val="single" w:sz="4" w:space="0" w:color="auto"/>
              <w:bottom w:val="nil"/>
              <w:right w:val="nil"/>
            </w:tcBorders>
            <w:shd w:val="clear" w:color="000000" w:fill="FFFFFF"/>
            <w:vAlign w:val="bottom"/>
            <w:hideMark/>
          </w:tcPr>
          <w:p w14:paraId="2F2DAC50" w14:textId="77777777" w:rsidR="00A74C68" w:rsidRPr="00A74C68" w:rsidRDefault="00A74C68" w:rsidP="00A74C68">
            <w:pPr>
              <w:jc w:val="right"/>
              <w:rPr>
                <w:b/>
                <w:bCs/>
                <w:color w:val="000000"/>
                <w:sz w:val="14"/>
                <w:szCs w:val="14"/>
              </w:rPr>
            </w:pPr>
            <w:r w:rsidRPr="00A74C68">
              <w:rPr>
                <w:b/>
                <w:bCs/>
                <w:color w:val="000000"/>
                <w:sz w:val="14"/>
                <w:szCs w:val="14"/>
              </w:rPr>
              <w:t>3.972.560</w:t>
            </w:r>
          </w:p>
        </w:tc>
        <w:tc>
          <w:tcPr>
            <w:tcW w:w="1015" w:type="dxa"/>
            <w:tcBorders>
              <w:top w:val="nil"/>
              <w:left w:val="single" w:sz="4" w:space="0" w:color="auto"/>
              <w:bottom w:val="nil"/>
              <w:right w:val="nil"/>
            </w:tcBorders>
            <w:shd w:val="clear" w:color="000000" w:fill="FFFFFF"/>
            <w:vAlign w:val="bottom"/>
            <w:hideMark/>
          </w:tcPr>
          <w:p w14:paraId="06383F33" w14:textId="77777777" w:rsidR="00A74C68" w:rsidRPr="00A74C68" w:rsidRDefault="00A74C68" w:rsidP="00A74C68">
            <w:pPr>
              <w:jc w:val="right"/>
              <w:rPr>
                <w:b/>
                <w:bCs/>
                <w:color w:val="000000"/>
                <w:sz w:val="14"/>
                <w:szCs w:val="14"/>
              </w:rPr>
            </w:pPr>
            <w:r w:rsidRPr="00A74C68">
              <w:rPr>
                <w:b/>
                <w:bCs/>
                <w:color w:val="000000"/>
                <w:sz w:val="14"/>
                <w:szCs w:val="14"/>
              </w:rPr>
              <w:t>1.215.297</w:t>
            </w:r>
          </w:p>
        </w:tc>
        <w:tc>
          <w:tcPr>
            <w:tcW w:w="1088" w:type="dxa"/>
            <w:tcBorders>
              <w:top w:val="nil"/>
              <w:left w:val="single" w:sz="4" w:space="0" w:color="auto"/>
              <w:bottom w:val="nil"/>
              <w:right w:val="single" w:sz="4" w:space="0" w:color="auto"/>
            </w:tcBorders>
            <w:shd w:val="clear" w:color="000000" w:fill="FFFFFF"/>
            <w:vAlign w:val="bottom"/>
            <w:hideMark/>
          </w:tcPr>
          <w:p w14:paraId="36DD3B9A" w14:textId="77777777" w:rsidR="00A74C68" w:rsidRPr="00A74C68" w:rsidRDefault="00A74C68" w:rsidP="00A74C68">
            <w:pPr>
              <w:jc w:val="right"/>
              <w:rPr>
                <w:b/>
                <w:bCs/>
                <w:color w:val="000000"/>
                <w:sz w:val="14"/>
                <w:szCs w:val="14"/>
              </w:rPr>
            </w:pPr>
            <w:r w:rsidRPr="00A74C68">
              <w:rPr>
                <w:b/>
                <w:bCs/>
                <w:color w:val="000000"/>
                <w:sz w:val="14"/>
                <w:szCs w:val="14"/>
              </w:rPr>
              <w:t>5.187.857</w:t>
            </w:r>
          </w:p>
        </w:tc>
      </w:tr>
      <w:tr w:rsidR="00A74C68" w:rsidRPr="00A74C68" w14:paraId="7E35E66F" w14:textId="77777777" w:rsidTr="00655FD0">
        <w:trPr>
          <w:divId w:val="101003176"/>
          <w:trHeight w:val="113"/>
        </w:trPr>
        <w:tc>
          <w:tcPr>
            <w:tcW w:w="740" w:type="dxa"/>
            <w:tcBorders>
              <w:top w:val="nil"/>
              <w:left w:val="single" w:sz="4" w:space="0" w:color="auto"/>
              <w:bottom w:val="nil"/>
              <w:right w:val="nil"/>
            </w:tcBorders>
            <w:noWrap/>
            <w:hideMark/>
          </w:tcPr>
          <w:p w14:paraId="3B09ECC9" w14:textId="77777777" w:rsidR="00A74C68" w:rsidRPr="00A74C68" w:rsidRDefault="00A74C68" w:rsidP="00A74C68">
            <w:pPr>
              <w:rPr>
                <w:sz w:val="14"/>
                <w:szCs w:val="14"/>
              </w:rPr>
            </w:pPr>
            <w:r w:rsidRPr="00A74C68">
              <w:rPr>
                <w:sz w:val="14"/>
                <w:szCs w:val="14"/>
              </w:rPr>
              <w:t>1.3.1</w:t>
            </w:r>
          </w:p>
        </w:tc>
        <w:tc>
          <w:tcPr>
            <w:tcW w:w="5364" w:type="dxa"/>
            <w:tcBorders>
              <w:top w:val="nil"/>
              <w:left w:val="nil"/>
              <w:bottom w:val="nil"/>
              <w:right w:val="single" w:sz="4" w:space="0" w:color="auto"/>
            </w:tcBorders>
            <w:hideMark/>
          </w:tcPr>
          <w:p w14:paraId="06CDAC3F" w14:textId="77777777" w:rsidR="00A74C68" w:rsidRPr="00A74C68" w:rsidRDefault="00A74C68" w:rsidP="00A74C68">
            <w:pPr>
              <w:rPr>
                <w:sz w:val="14"/>
                <w:szCs w:val="14"/>
              </w:rPr>
            </w:pPr>
            <w:r w:rsidRPr="00A74C68">
              <w:rPr>
                <w:sz w:val="14"/>
                <w:szCs w:val="14"/>
              </w:rPr>
              <w:t>Devlet Borçlanma Senetleri</w:t>
            </w:r>
          </w:p>
        </w:tc>
        <w:tc>
          <w:tcPr>
            <w:tcW w:w="926" w:type="dxa"/>
            <w:tcBorders>
              <w:top w:val="nil"/>
              <w:left w:val="nil"/>
              <w:bottom w:val="nil"/>
              <w:right w:val="nil"/>
            </w:tcBorders>
            <w:noWrap/>
            <w:vAlign w:val="bottom"/>
            <w:hideMark/>
          </w:tcPr>
          <w:p w14:paraId="1B559C78" w14:textId="77777777" w:rsidR="00A74C68" w:rsidRPr="00A74C68" w:rsidRDefault="00A74C68" w:rsidP="00A74C68">
            <w:pPr>
              <w:jc w:val="center"/>
              <w:rPr>
                <w:b/>
                <w:bCs/>
                <w:color w:val="000000"/>
                <w:sz w:val="14"/>
                <w:szCs w:val="14"/>
                <w:lang w:eastAsia="tr-TR"/>
              </w:rPr>
            </w:pPr>
            <w:r w:rsidRPr="00A74C68">
              <w:rPr>
                <w:b/>
                <w:bCs/>
                <w:color w:val="000000"/>
                <w:sz w:val="14"/>
                <w:szCs w:val="14"/>
                <w:lang w:eastAsia="tr-TR"/>
              </w:rPr>
              <w:t> </w:t>
            </w:r>
          </w:p>
        </w:tc>
        <w:tc>
          <w:tcPr>
            <w:tcW w:w="1068" w:type="dxa"/>
            <w:tcBorders>
              <w:top w:val="nil"/>
              <w:left w:val="single" w:sz="4" w:space="0" w:color="auto"/>
              <w:bottom w:val="nil"/>
              <w:right w:val="nil"/>
            </w:tcBorders>
            <w:shd w:val="clear" w:color="000000" w:fill="FFFFFF"/>
            <w:vAlign w:val="bottom"/>
            <w:hideMark/>
          </w:tcPr>
          <w:p w14:paraId="3E60682F" w14:textId="77777777" w:rsidR="00A74C68" w:rsidRPr="00A74C68" w:rsidRDefault="00A74C68" w:rsidP="00A74C68">
            <w:pPr>
              <w:jc w:val="right"/>
              <w:rPr>
                <w:color w:val="000000"/>
                <w:sz w:val="14"/>
                <w:szCs w:val="14"/>
              </w:rPr>
            </w:pPr>
            <w:r w:rsidRPr="00A74C68">
              <w:rPr>
                <w:color w:val="000000"/>
                <w:sz w:val="14"/>
                <w:szCs w:val="14"/>
              </w:rPr>
              <w:t>3.915.053</w:t>
            </w:r>
          </w:p>
        </w:tc>
        <w:tc>
          <w:tcPr>
            <w:tcW w:w="1015" w:type="dxa"/>
            <w:tcBorders>
              <w:top w:val="nil"/>
              <w:left w:val="single" w:sz="4" w:space="0" w:color="auto"/>
              <w:bottom w:val="nil"/>
              <w:right w:val="nil"/>
            </w:tcBorders>
            <w:shd w:val="clear" w:color="000000" w:fill="FFFFFF"/>
            <w:vAlign w:val="bottom"/>
            <w:hideMark/>
          </w:tcPr>
          <w:p w14:paraId="13899C95" w14:textId="77777777" w:rsidR="00A74C68" w:rsidRPr="00A74C68" w:rsidRDefault="00A74C68" w:rsidP="00A74C68">
            <w:pPr>
              <w:jc w:val="right"/>
              <w:rPr>
                <w:color w:val="000000"/>
                <w:sz w:val="14"/>
                <w:szCs w:val="14"/>
              </w:rPr>
            </w:pPr>
            <w:r w:rsidRPr="00A74C68">
              <w:rPr>
                <w:color w:val="000000"/>
                <w:sz w:val="14"/>
                <w:szCs w:val="14"/>
              </w:rPr>
              <w:t>1.065.256</w:t>
            </w:r>
          </w:p>
        </w:tc>
        <w:tc>
          <w:tcPr>
            <w:tcW w:w="1088" w:type="dxa"/>
            <w:tcBorders>
              <w:top w:val="nil"/>
              <w:left w:val="single" w:sz="4" w:space="0" w:color="auto"/>
              <w:bottom w:val="nil"/>
              <w:right w:val="single" w:sz="4" w:space="0" w:color="auto"/>
            </w:tcBorders>
            <w:shd w:val="clear" w:color="000000" w:fill="FFFFFF"/>
            <w:vAlign w:val="bottom"/>
            <w:hideMark/>
          </w:tcPr>
          <w:p w14:paraId="2148BAE0" w14:textId="77777777" w:rsidR="00A74C68" w:rsidRPr="00A74C68" w:rsidRDefault="00A74C68" w:rsidP="00A74C68">
            <w:pPr>
              <w:jc w:val="right"/>
              <w:rPr>
                <w:color w:val="000000"/>
                <w:sz w:val="14"/>
                <w:szCs w:val="14"/>
              </w:rPr>
            </w:pPr>
            <w:r w:rsidRPr="00A74C68">
              <w:rPr>
                <w:color w:val="000000"/>
                <w:sz w:val="14"/>
                <w:szCs w:val="14"/>
              </w:rPr>
              <w:t>4.980.309</w:t>
            </w:r>
          </w:p>
        </w:tc>
      </w:tr>
      <w:tr w:rsidR="00A74C68" w:rsidRPr="00A74C68" w14:paraId="3CD1F07A" w14:textId="77777777" w:rsidTr="00655FD0">
        <w:trPr>
          <w:divId w:val="101003176"/>
          <w:trHeight w:val="113"/>
        </w:trPr>
        <w:tc>
          <w:tcPr>
            <w:tcW w:w="740" w:type="dxa"/>
            <w:tcBorders>
              <w:top w:val="nil"/>
              <w:left w:val="single" w:sz="4" w:space="0" w:color="auto"/>
              <w:bottom w:val="nil"/>
              <w:right w:val="nil"/>
            </w:tcBorders>
            <w:noWrap/>
            <w:hideMark/>
          </w:tcPr>
          <w:p w14:paraId="74D61FF7" w14:textId="77777777" w:rsidR="00A74C68" w:rsidRPr="00A74C68" w:rsidRDefault="00A74C68" w:rsidP="00A74C68">
            <w:pPr>
              <w:rPr>
                <w:sz w:val="14"/>
                <w:szCs w:val="14"/>
              </w:rPr>
            </w:pPr>
            <w:r w:rsidRPr="00A74C68">
              <w:rPr>
                <w:sz w:val="14"/>
                <w:szCs w:val="14"/>
              </w:rPr>
              <w:t>1.3.2</w:t>
            </w:r>
          </w:p>
        </w:tc>
        <w:tc>
          <w:tcPr>
            <w:tcW w:w="5364" w:type="dxa"/>
            <w:tcBorders>
              <w:top w:val="nil"/>
              <w:left w:val="nil"/>
              <w:bottom w:val="nil"/>
              <w:right w:val="single" w:sz="4" w:space="0" w:color="auto"/>
            </w:tcBorders>
            <w:hideMark/>
          </w:tcPr>
          <w:p w14:paraId="55953972" w14:textId="77777777" w:rsidR="00A74C68" w:rsidRPr="00A74C68" w:rsidRDefault="00A74C68" w:rsidP="00A74C68">
            <w:pPr>
              <w:rPr>
                <w:sz w:val="14"/>
                <w:szCs w:val="14"/>
                <w:lang w:eastAsia="tr-TR"/>
              </w:rPr>
            </w:pPr>
            <w:r w:rsidRPr="00A74C68">
              <w:rPr>
                <w:sz w:val="14"/>
                <w:szCs w:val="14"/>
              </w:rPr>
              <w:t xml:space="preserve">Sermayede Payı Temsil </w:t>
            </w:r>
            <w:r w:rsidRPr="00A74C68">
              <w:rPr>
                <w:sz w:val="14"/>
                <w:szCs w:val="14"/>
                <w:lang w:eastAsia="tr-TR"/>
              </w:rPr>
              <w:t>Eden Menkul Değerler</w:t>
            </w:r>
          </w:p>
        </w:tc>
        <w:tc>
          <w:tcPr>
            <w:tcW w:w="926" w:type="dxa"/>
            <w:tcBorders>
              <w:top w:val="nil"/>
              <w:left w:val="nil"/>
              <w:bottom w:val="nil"/>
              <w:right w:val="nil"/>
            </w:tcBorders>
            <w:noWrap/>
            <w:vAlign w:val="bottom"/>
            <w:hideMark/>
          </w:tcPr>
          <w:p w14:paraId="58C9A7D9" w14:textId="77777777" w:rsidR="00A74C68" w:rsidRPr="00A74C68" w:rsidRDefault="00A74C68" w:rsidP="00A74C68">
            <w:pPr>
              <w:jc w:val="center"/>
              <w:rPr>
                <w:b/>
                <w:bCs/>
                <w:color w:val="000000"/>
                <w:sz w:val="14"/>
                <w:szCs w:val="14"/>
                <w:lang w:eastAsia="tr-TR"/>
              </w:rPr>
            </w:pPr>
            <w:r w:rsidRPr="00A74C68">
              <w:rPr>
                <w:color w:val="000000"/>
                <w:sz w:val="14"/>
                <w:szCs w:val="14"/>
                <w:lang w:eastAsia="tr-TR"/>
              </w:rPr>
              <w:t> </w:t>
            </w:r>
          </w:p>
        </w:tc>
        <w:tc>
          <w:tcPr>
            <w:tcW w:w="1068" w:type="dxa"/>
            <w:tcBorders>
              <w:top w:val="nil"/>
              <w:left w:val="single" w:sz="4" w:space="0" w:color="auto"/>
              <w:bottom w:val="nil"/>
              <w:right w:val="nil"/>
            </w:tcBorders>
            <w:shd w:val="clear" w:color="000000" w:fill="FFFFFF"/>
            <w:vAlign w:val="bottom"/>
            <w:hideMark/>
          </w:tcPr>
          <w:p w14:paraId="4B391D14" w14:textId="77777777" w:rsidR="00A74C68" w:rsidRPr="00A74C68" w:rsidRDefault="00A74C68" w:rsidP="00A74C68">
            <w:pPr>
              <w:jc w:val="right"/>
              <w:rPr>
                <w:color w:val="000000"/>
                <w:sz w:val="14"/>
                <w:szCs w:val="14"/>
              </w:rPr>
            </w:pPr>
            <w:r w:rsidRPr="00A74C68">
              <w:rPr>
                <w:color w:val="000000"/>
                <w:sz w:val="14"/>
                <w:szCs w:val="14"/>
              </w:rPr>
              <w:t>-</w:t>
            </w:r>
          </w:p>
        </w:tc>
        <w:tc>
          <w:tcPr>
            <w:tcW w:w="1015" w:type="dxa"/>
            <w:tcBorders>
              <w:top w:val="nil"/>
              <w:left w:val="single" w:sz="4" w:space="0" w:color="auto"/>
              <w:bottom w:val="nil"/>
              <w:right w:val="nil"/>
            </w:tcBorders>
            <w:shd w:val="clear" w:color="000000" w:fill="FFFFFF"/>
            <w:vAlign w:val="bottom"/>
            <w:hideMark/>
          </w:tcPr>
          <w:p w14:paraId="691D5BA9" w14:textId="77777777" w:rsidR="00A74C68" w:rsidRPr="00A74C68" w:rsidRDefault="00A74C68" w:rsidP="00A74C68">
            <w:pPr>
              <w:jc w:val="right"/>
              <w:rPr>
                <w:color w:val="000000"/>
                <w:sz w:val="14"/>
                <w:szCs w:val="14"/>
              </w:rPr>
            </w:pPr>
            <w:r w:rsidRPr="00A74C68">
              <w:rPr>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2652429B" w14:textId="77777777" w:rsidR="00A74C68" w:rsidRPr="00A74C68" w:rsidRDefault="00A74C68" w:rsidP="00A74C68">
            <w:pPr>
              <w:jc w:val="right"/>
              <w:rPr>
                <w:color w:val="000000"/>
                <w:sz w:val="14"/>
                <w:szCs w:val="14"/>
              </w:rPr>
            </w:pPr>
            <w:r w:rsidRPr="00A74C68">
              <w:rPr>
                <w:color w:val="000000"/>
                <w:sz w:val="14"/>
                <w:szCs w:val="14"/>
              </w:rPr>
              <w:t>-</w:t>
            </w:r>
          </w:p>
        </w:tc>
      </w:tr>
      <w:tr w:rsidR="00A74C68" w:rsidRPr="00A74C68" w14:paraId="2492DCBD" w14:textId="77777777" w:rsidTr="00655FD0">
        <w:trPr>
          <w:divId w:val="101003176"/>
          <w:trHeight w:val="113"/>
        </w:trPr>
        <w:tc>
          <w:tcPr>
            <w:tcW w:w="740" w:type="dxa"/>
            <w:tcBorders>
              <w:top w:val="nil"/>
              <w:left w:val="single" w:sz="4" w:space="0" w:color="auto"/>
              <w:bottom w:val="nil"/>
              <w:right w:val="nil"/>
            </w:tcBorders>
            <w:noWrap/>
            <w:hideMark/>
          </w:tcPr>
          <w:p w14:paraId="5D034CB0" w14:textId="77777777" w:rsidR="00A74C68" w:rsidRPr="00A74C68" w:rsidRDefault="00A74C68" w:rsidP="00A74C68">
            <w:pPr>
              <w:rPr>
                <w:sz w:val="14"/>
                <w:szCs w:val="14"/>
              </w:rPr>
            </w:pPr>
            <w:r w:rsidRPr="00A74C68">
              <w:rPr>
                <w:sz w:val="14"/>
                <w:szCs w:val="14"/>
              </w:rPr>
              <w:t>1.3.3</w:t>
            </w:r>
          </w:p>
        </w:tc>
        <w:tc>
          <w:tcPr>
            <w:tcW w:w="5364" w:type="dxa"/>
            <w:tcBorders>
              <w:top w:val="nil"/>
              <w:left w:val="nil"/>
              <w:bottom w:val="nil"/>
              <w:right w:val="single" w:sz="4" w:space="0" w:color="auto"/>
            </w:tcBorders>
            <w:hideMark/>
          </w:tcPr>
          <w:p w14:paraId="62A1EA01" w14:textId="77777777" w:rsidR="00A74C68" w:rsidRPr="00A74C68" w:rsidRDefault="00A74C68" w:rsidP="00A74C68">
            <w:pPr>
              <w:rPr>
                <w:sz w:val="14"/>
                <w:szCs w:val="14"/>
              </w:rPr>
            </w:pPr>
            <w:r w:rsidRPr="00A74C68">
              <w:rPr>
                <w:sz w:val="14"/>
                <w:szCs w:val="14"/>
              </w:rPr>
              <w:t>Diğer Finansal Varlıklar</w:t>
            </w:r>
          </w:p>
        </w:tc>
        <w:tc>
          <w:tcPr>
            <w:tcW w:w="926" w:type="dxa"/>
            <w:tcBorders>
              <w:top w:val="nil"/>
              <w:left w:val="nil"/>
              <w:bottom w:val="nil"/>
              <w:right w:val="nil"/>
            </w:tcBorders>
            <w:noWrap/>
            <w:vAlign w:val="bottom"/>
            <w:hideMark/>
          </w:tcPr>
          <w:p w14:paraId="789B220B" w14:textId="77777777" w:rsidR="00A74C68" w:rsidRPr="00A74C68" w:rsidRDefault="00A74C68" w:rsidP="00A74C68">
            <w:pPr>
              <w:jc w:val="center"/>
              <w:rPr>
                <w:color w:val="000000"/>
                <w:sz w:val="14"/>
                <w:szCs w:val="14"/>
              </w:rPr>
            </w:pPr>
            <w:r w:rsidRPr="00A74C68">
              <w:rPr>
                <w:color w:val="000000"/>
                <w:sz w:val="14"/>
                <w:szCs w:val="14"/>
              </w:rPr>
              <w:t> </w:t>
            </w:r>
          </w:p>
        </w:tc>
        <w:tc>
          <w:tcPr>
            <w:tcW w:w="1068" w:type="dxa"/>
            <w:tcBorders>
              <w:top w:val="nil"/>
              <w:left w:val="single" w:sz="4" w:space="0" w:color="auto"/>
              <w:bottom w:val="nil"/>
              <w:right w:val="nil"/>
            </w:tcBorders>
            <w:shd w:val="clear" w:color="000000" w:fill="FFFFFF"/>
            <w:vAlign w:val="bottom"/>
            <w:hideMark/>
          </w:tcPr>
          <w:p w14:paraId="7275FF99" w14:textId="77777777" w:rsidR="00A74C68" w:rsidRPr="00A74C68" w:rsidRDefault="00A74C68" w:rsidP="00A74C68">
            <w:pPr>
              <w:jc w:val="right"/>
              <w:rPr>
                <w:color w:val="000000"/>
                <w:sz w:val="14"/>
                <w:szCs w:val="14"/>
              </w:rPr>
            </w:pPr>
            <w:r w:rsidRPr="00A74C68">
              <w:rPr>
                <w:color w:val="000000"/>
                <w:sz w:val="14"/>
                <w:szCs w:val="14"/>
              </w:rPr>
              <w:t>57.507</w:t>
            </w:r>
          </w:p>
        </w:tc>
        <w:tc>
          <w:tcPr>
            <w:tcW w:w="1015" w:type="dxa"/>
            <w:tcBorders>
              <w:top w:val="nil"/>
              <w:left w:val="single" w:sz="4" w:space="0" w:color="auto"/>
              <w:bottom w:val="nil"/>
              <w:right w:val="nil"/>
            </w:tcBorders>
            <w:shd w:val="clear" w:color="000000" w:fill="FFFFFF"/>
            <w:vAlign w:val="bottom"/>
            <w:hideMark/>
          </w:tcPr>
          <w:p w14:paraId="33DB774F" w14:textId="77777777" w:rsidR="00A74C68" w:rsidRPr="00A74C68" w:rsidRDefault="00A74C68" w:rsidP="00A74C68">
            <w:pPr>
              <w:jc w:val="right"/>
              <w:rPr>
                <w:color w:val="000000"/>
                <w:sz w:val="14"/>
                <w:szCs w:val="14"/>
              </w:rPr>
            </w:pPr>
            <w:r w:rsidRPr="00A74C68">
              <w:rPr>
                <w:color w:val="000000"/>
                <w:sz w:val="14"/>
                <w:szCs w:val="14"/>
              </w:rPr>
              <w:t>150.041</w:t>
            </w:r>
          </w:p>
        </w:tc>
        <w:tc>
          <w:tcPr>
            <w:tcW w:w="1088" w:type="dxa"/>
            <w:tcBorders>
              <w:top w:val="nil"/>
              <w:left w:val="single" w:sz="4" w:space="0" w:color="auto"/>
              <w:bottom w:val="nil"/>
              <w:right w:val="single" w:sz="4" w:space="0" w:color="auto"/>
            </w:tcBorders>
            <w:shd w:val="clear" w:color="000000" w:fill="FFFFFF"/>
            <w:vAlign w:val="bottom"/>
            <w:hideMark/>
          </w:tcPr>
          <w:p w14:paraId="057CECBE" w14:textId="77777777" w:rsidR="00A74C68" w:rsidRPr="00A74C68" w:rsidRDefault="00A74C68" w:rsidP="00A74C68">
            <w:pPr>
              <w:jc w:val="right"/>
              <w:rPr>
                <w:color w:val="000000"/>
                <w:sz w:val="14"/>
                <w:szCs w:val="14"/>
              </w:rPr>
            </w:pPr>
            <w:r w:rsidRPr="00A74C68">
              <w:rPr>
                <w:color w:val="000000"/>
                <w:sz w:val="14"/>
                <w:szCs w:val="14"/>
              </w:rPr>
              <w:t>207.548</w:t>
            </w:r>
          </w:p>
        </w:tc>
      </w:tr>
      <w:tr w:rsidR="00A74C68" w:rsidRPr="00A74C68" w14:paraId="43AC86C3" w14:textId="77777777" w:rsidTr="00655FD0">
        <w:trPr>
          <w:divId w:val="101003176"/>
          <w:trHeight w:val="113"/>
        </w:trPr>
        <w:tc>
          <w:tcPr>
            <w:tcW w:w="740" w:type="dxa"/>
            <w:tcBorders>
              <w:top w:val="nil"/>
              <w:left w:val="single" w:sz="4" w:space="0" w:color="auto"/>
              <w:bottom w:val="nil"/>
              <w:right w:val="nil"/>
            </w:tcBorders>
            <w:noWrap/>
            <w:hideMark/>
          </w:tcPr>
          <w:p w14:paraId="312AFC7A" w14:textId="77777777" w:rsidR="00A74C68" w:rsidRPr="00A74C68" w:rsidRDefault="00A74C68" w:rsidP="00A74C68">
            <w:pPr>
              <w:rPr>
                <w:b/>
                <w:bCs/>
                <w:sz w:val="14"/>
                <w:szCs w:val="14"/>
              </w:rPr>
            </w:pPr>
            <w:r w:rsidRPr="00A74C68">
              <w:rPr>
                <w:b/>
                <w:bCs/>
                <w:sz w:val="14"/>
                <w:szCs w:val="14"/>
              </w:rPr>
              <w:t>1.4</w:t>
            </w:r>
          </w:p>
        </w:tc>
        <w:tc>
          <w:tcPr>
            <w:tcW w:w="5364" w:type="dxa"/>
            <w:tcBorders>
              <w:top w:val="nil"/>
              <w:left w:val="nil"/>
              <w:bottom w:val="nil"/>
              <w:right w:val="single" w:sz="4" w:space="0" w:color="auto"/>
            </w:tcBorders>
            <w:hideMark/>
          </w:tcPr>
          <w:p w14:paraId="5924A88A" w14:textId="77777777" w:rsidR="00A74C68" w:rsidRPr="00A74C68" w:rsidRDefault="00A74C68" w:rsidP="00A74C68">
            <w:pPr>
              <w:rPr>
                <w:b/>
                <w:bCs/>
                <w:sz w:val="14"/>
                <w:szCs w:val="14"/>
              </w:rPr>
            </w:pPr>
            <w:r w:rsidRPr="00A74C68">
              <w:rPr>
                <w:b/>
                <w:bCs/>
                <w:sz w:val="14"/>
                <w:szCs w:val="14"/>
              </w:rPr>
              <w:t>Türev Finansal Varlıklar</w:t>
            </w:r>
          </w:p>
        </w:tc>
        <w:tc>
          <w:tcPr>
            <w:tcW w:w="926" w:type="dxa"/>
            <w:tcBorders>
              <w:top w:val="nil"/>
              <w:left w:val="nil"/>
              <w:bottom w:val="nil"/>
              <w:right w:val="nil"/>
            </w:tcBorders>
            <w:noWrap/>
            <w:vAlign w:val="bottom"/>
            <w:hideMark/>
          </w:tcPr>
          <w:p w14:paraId="6E629643" w14:textId="77777777" w:rsidR="00A74C68" w:rsidRPr="00A74C68" w:rsidRDefault="00A74C68" w:rsidP="00A74C68">
            <w:pPr>
              <w:jc w:val="center"/>
              <w:rPr>
                <w:b/>
                <w:bCs/>
                <w:color w:val="000000"/>
                <w:sz w:val="14"/>
                <w:szCs w:val="14"/>
                <w:lang w:eastAsia="tr-TR"/>
              </w:rPr>
            </w:pPr>
            <w:r w:rsidRPr="00A74C68">
              <w:rPr>
                <w:b/>
                <w:bCs/>
                <w:color w:val="000000"/>
                <w:sz w:val="14"/>
                <w:szCs w:val="14"/>
                <w:lang w:eastAsia="tr-TR"/>
              </w:rPr>
              <w:t>(5)</w:t>
            </w:r>
          </w:p>
        </w:tc>
        <w:tc>
          <w:tcPr>
            <w:tcW w:w="1068" w:type="dxa"/>
            <w:tcBorders>
              <w:top w:val="nil"/>
              <w:left w:val="single" w:sz="4" w:space="0" w:color="auto"/>
              <w:bottom w:val="nil"/>
              <w:right w:val="nil"/>
            </w:tcBorders>
            <w:shd w:val="clear" w:color="000000" w:fill="FFFFFF"/>
            <w:vAlign w:val="bottom"/>
            <w:hideMark/>
          </w:tcPr>
          <w:p w14:paraId="572B8A44" w14:textId="77777777" w:rsidR="00A74C68" w:rsidRPr="00A74C68" w:rsidRDefault="00A74C68" w:rsidP="00A74C68">
            <w:pPr>
              <w:jc w:val="right"/>
              <w:rPr>
                <w:b/>
                <w:bCs/>
                <w:color w:val="000000"/>
                <w:sz w:val="14"/>
                <w:szCs w:val="14"/>
              </w:rPr>
            </w:pPr>
            <w:r w:rsidRPr="00A74C68">
              <w:rPr>
                <w:b/>
                <w:bCs/>
                <w:color w:val="000000"/>
                <w:sz w:val="14"/>
                <w:szCs w:val="14"/>
              </w:rPr>
              <w:t>133.338</w:t>
            </w:r>
          </w:p>
        </w:tc>
        <w:tc>
          <w:tcPr>
            <w:tcW w:w="1015" w:type="dxa"/>
            <w:tcBorders>
              <w:top w:val="nil"/>
              <w:left w:val="single" w:sz="4" w:space="0" w:color="auto"/>
              <w:bottom w:val="nil"/>
              <w:right w:val="nil"/>
            </w:tcBorders>
            <w:shd w:val="clear" w:color="000000" w:fill="FFFFFF"/>
            <w:vAlign w:val="bottom"/>
            <w:hideMark/>
          </w:tcPr>
          <w:p w14:paraId="3C642B58" w14:textId="77777777" w:rsidR="00A74C68" w:rsidRPr="00A74C68" w:rsidRDefault="00A74C68" w:rsidP="00A74C68">
            <w:pPr>
              <w:jc w:val="right"/>
              <w:rPr>
                <w:b/>
                <w:bCs/>
                <w:color w:val="000000"/>
                <w:sz w:val="14"/>
                <w:szCs w:val="14"/>
              </w:rPr>
            </w:pPr>
            <w:r w:rsidRPr="00A74C68">
              <w:rPr>
                <w:b/>
                <w:bCs/>
                <w:color w:val="000000"/>
                <w:sz w:val="14"/>
                <w:szCs w:val="14"/>
              </w:rPr>
              <w:t>1.014.227</w:t>
            </w:r>
          </w:p>
        </w:tc>
        <w:tc>
          <w:tcPr>
            <w:tcW w:w="1088" w:type="dxa"/>
            <w:tcBorders>
              <w:top w:val="nil"/>
              <w:left w:val="single" w:sz="4" w:space="0" w:color="auto"/>
              <w:bottom w:val="nil"/>
              <w:right w:val="single" w:sz="4" w:space="0" w:color="auto"/>
            </w:tcBorders>
            <w:shd w:val="clear" w:color="000000" w:fill="FFFFFF"/>
            <w:vAlign w:val="bottom"/>
            <w:hideMark/>
          </w:tcPr>
          <w:p w14:paraId="69DFA43C" w14:textId="77777777" w:rsidR="00A74C68" w:rsidRPr="00A74C68" w:rsidRDefault="00A74C68" w:rsidP="00A74C68">
            <w:pPr>
              <w:jc w:val="right"/>
              <w:rPr>
                <w:b/>
                <w:bCs/>
                <w:color w:val="000000"/>
                <w:sz w:val="14"/>
                <w:szCs w:val="14"/>
              </w:rPr>
            </w:pPr>
            <w:r w:rsidRPr="00A74C68">
              <w:rPr>
                <w:b/>
                <w:bCs/>
                <w:color w:val="000000"/>
                <w:sz w:val="14"/>
                <w:szCs w:val="14"/>
              </w:rPr>
              <w:t>1.147.565</w:t>
            </w:r>
          </w:p>
        </w:tc>
      </w:tr>
      <w:tr w:rsidR="00A74C68" w:rsidRPr="00A74C68" w14:paraId="2CF6D4F1" w14:textId="77777777" w:rsidTr="00655FD0">
        <w:trPr>
          <w:divId w:val="101003176"/>
          <w:trHeight w:val="113"/>
        </w:trPr>
        <w:tc>
          <w:tcPr>
            <w:tcW w:w="740" w:type="dxa"/>
            <w:tcBorders>
              <w:top w:val="nil"/>
              <w:left w:val="single" w:sz="4" w:space="0" w:color="auto"/>
              <w:bottom w:val="nil"/>
              <w:right w:val="nil"/>
            </w:tcBorders>
            <w:noWrap/>
            <w:hideMark/>
          </w:tcPr>
          <w:p w14:paraId="4CBAAF12" w14:textId="77777777" w:rsidR="00A74C68" w:rsidRPr="00A74C68" w:rsidRDefault="00A74C68" w:rsidP="00A74C68">
            <w:pPr>
              <w:rPr>
                <w:sz w:val="14"/>
                <w:szCs w:val="14"/>
              </w:rPr>
            </w:pPr>
            <w:r w:rsidRPr="00A74C68">
              <w:rPr>
                <w:sz w:val="14"/>
                <w:szCs w:val="14"/>
              </w:rPr>
              <w:t>1.4.1</w:t>
            </w:r>
          </w:p>
        </w:tc>
        <w:tc>
          <w:tcPr>
            <w:tcW w:w="5364" w:type="dxa"/>
            <w:tcBorders>
              <w:top w:val="nil"/>
              <w:left w:val="nil"/>
              <w:bottom w:val="nil"/>
              <w:right w:val="single" w:sz="4" w:space="0" w:color="auto"/>
            </w:tcBorders>
            <w:hideMark/>
          </w:tcPr>
          <w:p w14:paraId="30DB2347" w14:textId="77777777" w:rsidR="00A74C68" w:rsidRPr="00A74C68" w:rsidRDefault="00A74C68" w:rsidP="00A74C68">
            <w:pPr>
              <w:rPr>
                <w:sz w:val="14"/>
                <w:szCs w:val="14"/>
              </w:rPr>
            </w:pPr>
            <w:r w:rsidRPr="00A74C68">
              <w:rPr>
                <w:sz w:val="14"/>
                <w:szCs w:val="14"/>
              </w:rPr>
              <w:t>Türev Finansal Varlıkların Gerçeğe Uygun Değer Farkı Kar Zarara Yansıtılan Kısmı</w:t>
            </w:r>
          </w:p>
        </w:tc>
        <w:tc>
          <w:tcPr>
            <w:tcW w:w="926" w:type="dxa"/>
            <w:tcBorders>
              <w:top w:val="nil"/>
              <w:left w:val="nil"/>
              <w:bottom w:val="nil"/>
              <w:right w:val="nil"/>
            </w:tcBorders>
            <w:noWrap/>
            <w:vAlign w:val="bottom"/>
            <w:hideMark/>
          </w:tcPr>
          <w:p w14:paraId="61E5172F" w14:textId="77777777" w:rsidR="00A74C68" w:rsidRPr="00A74C68" w:rsidRDefault="00A74C68" w:rsidP="00A74C68">
            <w:pPr>
              <w:jc w:val="center"/>
              <w:rPr>
                <w:color w:val="000000"/>
                <w:sz w:val="14"/>
                <w:szCs w:val="14"/>
                <w:lang w:eastAsia="tr-TR"/>
              </w:rPr>
            </w:pPr>
            <w:r w:rsidRPr="00A74C68">
              <w:rPr>
                <w:color w:val="000000"/>
                <w:sz w:val="14"/>
                <w:szCs w:val="14"/>
                <w:lang w:eastAsia="tr-TR"/>
              </w:rPr>
              <w:t> </w:t>
            </w:r>
          </w:p>
        </w:tc>
        <w:tc>
          <w:tcPr>
            <w:tcW w:w="1068" w:type="dxa"/>
            <w:tcBorders>
              <w:top w:val="nil"/>
              <w:left w:val="single" w:sz="4" w:space="0" w:color="auto"/>
              <w:bottom w:val="nil"/>
              <w:right w:val="nil"/>
            </w:tcBorders>
            <w:shd w:val="clear" w:color="000000" w:fill="FFFFFF"/>
            <w:vAlign w:val="bottom"/>
            <w:hideMark/>
          </w:tcPr>
          <w:p w14:paraId="2CB74F5A" w14:textId="77777777" w:rsidR="00A74C68" w:rsidRPr="00A74C68" w:rsidRDefault="00A74C68" w:rsidP="00A74C68">
            <w:pPr>
              <w:jc w:val="right"/>
              <w:rPr>
                <w:color w:val="000000"/>
                <w:sz w:val="14"/>
                <w:szCs w:val="14"/>
              </w:rPr>
            </w:pPr>
            <w:r w:rsidRPr="00A74C68">
              <w:rPr>
                <w:color w:val="000000"/>
                <w:sz w:val="14"/>
                <w:szCs w:val="14"/>
              </w:rPr>
              <w:t>133.338</w:t>
            </w:r>
          </w:p>
        </w:tc>
        <w:tc>
          <w:tcPr>
            <w:tcW w:w="1015" w:type="dxa"/>
            <w:tcBorders>
              <w:top w:val="nil"/>
              <w:left w:val="single" w:sz="4" w:space="0" w:color="auto"/>
              <w:bottom w:val="nil"/>
              <w:right w:val="nil"/>
            </w:tcBorders>
            <w:shd w:val="clear" w:color="000000" w:fill="FFFFFF"/>
            <w:vAlign w:val="bottom"/>
            <w:hideMark/>
          </w:tcPr>
          <w:p w14:paraId="0F6BEB0B" w14:textId="77777777" w:rsidR="00A74C68" w:rsidRPr="00A74C68" w:rsidRDefault="00A74C68" w:rsidP="00A74C68">
            <w:pPr>
              <w:jc w:val="right"/>
              <w:rPr>
                <w:color w:val="000000"/>
                <w:sz w:val="14"/>
                <w:szCs w:val="14"/>
              </w:rPr>
            </w:pPr>
            <w:r w:rsidRPr="00A74C68">
              <w:rPr>
                <w:color w:val="000000"/>
                <w:sz w:val="14"/>
                <w:szCs w:val="14"/>
              </w:rPr>
              <w:t>1.014.227</w:t>
            </w:r>
          </w:p>
        </w:tc>
        <w:tc>
          <w:tcPr>
            <w:tcW w:w="1088" w:type="dxa"/>
            <w:tcBorders>
              <w:top w:val="nil"/>
              <w:left w:val="single" w:sz="4" w:space="0" w:color="auto"/>
              <w:bottom w:val="nil"/>
              <w:right w:val="single" w:sz="4" w:space="0" w:color="auto"/>
            </w:tcBorders>
            <w:shd w:val="clear" w:color="000000" w:fill="FFFFFF"/>
            <w:vAlign w:val="bottom"/>
            <w:hideMark/>
          </w:tcPr>
          <w:p w14:paraId="3A24B314" w14:textId="77777777" w:rsidR="00A74C68" w:rsidRPr="00A74C68" w:rsidRDefault="00A74C68" w:rsidP="00A74C68">
            <w:pPr>
              <w:jc w:val="right"/>
              <w:rPr>
                <w:color w:val="000000"/>
                <w:sz w:val="14"/>
                <w:szCs w:val="14"/>
              </w:rPr>
            </w:pPr>
            <w:r w:rsidRPr="00A74C68">
              <w:rPr>
                <w:color w:val="000000"/>
                <w:sz w:val="14"/>
                <w:szCs w:val="14"/>
              </w:rPr>
              <w:t>1.147.565</w:t>
            </w:r>
          </w:p>
        </w:tc>
      </w:tr>
      <w:tr w:rsidR="00A74C68" w:rsidRPr="00A74C68" w14:paraId="6D058F47" w14:textId="77777777" w:rsidTr="00655FD0">
        <w:trPr>
          <w:divId w:val="101003176"/>
          <w:trHeight w:val="113"/>
        </w:trPr>
        <w:tc>
          <w:tcPr>
            <w:tcW w:w="740" w:type="dxa"/>
            <w:tcBorders>
              <w:top w:val="nil"/>
              <w:left w:val="single" w:sz="4" w:space="0" w:color="auto"/>
              <w:bottom w:val="nil"/>
              <w:right w:val="nil"/>
            </w:tcBorders>
            <w:noWrap/>
            <w:hideMark/>
          </w:tcPr>
          <w:p w14:paraId="1453F0C1" w14:textId="77777777" w:rsidR="00A74C68" w:rsidRPr="00A74C68" w:rsidRDefault="00A74C68" w:rsidP="00A74C68">
            <w:pPr>
              <w:rPr>
                <w:color w:val="000000"/>
                <w:sz w:val="14"/>
                <w:szCs w:val="14"/>
              </w:rPr>
            </w:pPr>
            <w:r w:rsidRPr="00A74C68">
              <w:rPr>
                <w:color w:val="000000"/>
                <w:sz w:val="14"/>
                <w:szCs w:val="14"/>
              </w:rPr>
              <w:t>1.4.2</w:t>
            </w:r>
          </w:p>
        </w:tc>
        <w:tc>
          <w:tcPr>
            <w:tcW w:w="5364" w:type="dxa"/>
            <w:tcBorders>
              <w:top w:val="nil"/>
              <w:left w:val="nil"/>
              <w:bottom w:val="nil"/>
              <w:right w:val="single" w:sz="4" w:space="0" w:color="auto"/>
            </w:tcBorders>
            <w:hideMark/>
          </w:tcPr>
          <w:p w14:paraId="7347CF5D" w14:textId="77777777" w:rsidR="00A74C68" w:rsidRPr="00A74C68" w:rsidRDefault="00A74C68" w:rsidP="00A74C68">
            <w:pPr>
              <w:rPr>
                <w:sz w:val="14"/>
                <w:szCs w:val="14"/>
                <w:lang w:eastAsia="tr-TR"/>
              </w:rPr>
            </w:pPr>
            <w:r w:rsidRPr="00A74C68">
              <w:rPr>
                <w:color w:val="000000"/>
                <w:sz w:val="14"/>
                <w:szCs w:val="14"/>
              </w:rPr>
              <w:t xml:space="preserve">Türev Finansal Varlıkların Gerçeğe Uygun Değer Farkı Diğer Kapsamlı </w:t>
            </w:r>
            <w:r w:rsidRPr="00A74C68">
              <w:rPr>
                <w:sz w:val="14"/>
                <w:szCs w:val="14"/>
                <w:lang w:eastAsia="tr-TR"/>
              </w:rPr>
              <w:t>Gelire Yansıtılan Kısmı</w:t>
            </w:r>
          </w:p>
        </w:tc>
        <w:tc>
          <w:tcPr>
            <w:tcW w:w="926" w:type="dxa"/>
            <w:tcBorders>
              <w:top w:val="nil"/>
              <w:left w:val="nil"/>
              <w:bottom w:val="nil"/>
              <w:right w:val="nil"/>
            </w:tcBorders>
            <w:noWrap/>
            <w:vAlign w:val="bottom"/>
            <w:hideMark/>
          </w:tcPr>
          <w:p w14:paraId="24EB05EB" w14:textId="77777777" w:rsidR="00A74C68" w:rsidRPr="00A74C68" w:rsidRDefault="00A74C68" w:rsidP="00A74C68">
            <w:pPr>
              <w:jc w:val="center"/>
              <w:rPr>
                <w:color w:val="000000"/>
                <w:sz w:val="14"/>
                <w:szCs w:val="14"/>
                <w:lang w:eastAsia="tr-TR"/>
              </w:rPr>
            </w:pPr>
            <w:r w:rsidRPr="00A74C68">
              <w:rPr>
                <w:color w:val="000000"/>
                <w:sz w:val="14"/>
                <w:szCs w:val="14"/>
                <w:lang w:eastAsia="tr-TR"/>
              </w:rPr>
              <w:t> </w:t>
            </w:r>
          </w:p>
        </w:tc>
        <w:tc>
          <w:tcPr>
            <w:tcW w:w="1068" w:type="dxa"/>
            <w:tcBorders>
              <w:top w:val="nil"/>
              <w:left w:val="single" w:sz="4" w:space="0" w:color="auto"/>
              <w:bottom w:val="nil"/>
              <w:right w:val="nil"/>
            </w:tcBorders>
            <w:shd w:val="clear" w:color="000000" w:fill="FFFFFF"/>
            <w:vAlign w:val="bottom"/>
            <w:hideMark/>
          </w:tcPr>
          <w:p w14:paraId="674EC7D5" w14:textId="77777777" w:rsidR="00A74C68" w:rsidRPr="00A74C68" w:rsidRDefault="00A74C68" w:rsidP="00A74C68">
            <w:pPr>
              <w:jc w:val="right"/>
              <w:rPr>
                <w:color w:val="000000"/>
                <w:sz w:val="14"/>
                <w:szCs w:val="14"/>
              </w:rPr>
            </w:pPr>
            <w:r w:rsidRPr="00A74C68">
              <w:rPr>
                <w:color w:val="000000"/>
                <w:sz w:val="14"/>
                <w:szCs w:val="14"/>
              </w:rPr>
              <w:t>-</w:t>
            </w:r>
          </w:p>
        </w:tc>
        <w:tc>
          <w:tcPr>
            <w:tcW w:w="1015" w:type="dxa"/>
            <w:tcBorders>
              <w:top w:val="nil"/>
              <w:left w:val="single" w:sz="4" w:space="0" w:color="auto"/>
              <w:bottom w:val="nil"/>
              <w:right w:val="nil"/>
            </w:tcBorders>
            <w:shd w:val="clear" w:color="000000" w:fill="FFFFFF"/>
            <w:vAlign w:val="bottom"/>
            <w:hideMark/>
          </w:tcPr>
          <w:p w14:paraId="545530D0" w14:textId="77777777" w:rsidR="00A74C68" w:rsidRPr="00A74C68" w:rsidRDefault="00A74C68" w:rsidP="00A74C68">
            <w:pPr>
              <w:jc w:val="right"/>
              <w:rPr>
                <w:color w:val="000000"/>
                <w:sz w:val="14"/>
                <w:szCs w:val="14"/>
              </w:rPr>
            </w:pPr>
            <w:r w:rsidRPr="00A74C68">
              <w:rPr>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633E6DC2" w14:textId="77777777" w:rsidR="00A74C68" w:rsidRPr="00A74C68" w:rsidRDefault="00A74C68" w:rsidP="00A74C68">
            <w:pPr>
              <w:jc w:val="right"/>
              <w:rPr>
                <w:color w:val="000000"/>
                <w:sz w:val="14"/>
                <w:szCs w:val="14"/>
              </w:rPr>
            </w:pPr>
            <w:r w:rsidRPr="00A74C68">
              <w:rPr>
                <w:color w:val="000000"/>
                <w:sz w:val="14"/>
                <w:szCs w:val="14"/>
              </w:rPr>
              <w:t>-</w:t>
            </w:r>
          </w:p>
        </w:tc>
      </w:tr>
      <w:tr w:rsidR="00A74C68" w:rsidRPr="00A74C68" w14:paraId="689335BA" w14:textId="77777777" w:rsidTr="00655FD0">
        <w:trPr>
          <w:divId w:val="101003176"/>
          <w:trHeight w:val="113"/>
        </w:trPr>
        <w:tc>
          <w:tcPr>
            <w:tcW w:w="740" w:type="dxa"/>
            <w:tcBorders>
              <w:top w:val="nil"/>
              <w:left w:val="single" w:sz="4" w:space="0" w:color="auto"/>
              <w:bottom w:val="nil"/>
              <w:right w:val="nil"/>
            </w:tcBorders>
            <w:noWrap/>
            <w:hideMark/>
          </w:tcPr>
          <w:p w14:paraId="095694E7" w14:textId="77777777" w:rsidR="00A74C68" w:rsidRPr="00A74C68" w:rsidRDefault="00A74C68" w:rsidP="00A74C68">
            <w:pPr>
              <w:rPr>
                <w:b/>
                <w:bCs/>
                <w:color w:val="000000"/>
                <w:sz w:val="14"/>
                <w:szCs w:val="14"/>
                <w:lang w:eastAsia="tr-TR"/>
              </w:rPr>
            </w:pPr>
            <w:r w:rsidRPr="00A74C68">
              <w:rPr>
                <w:b/>
                <w:bCs/>
                <w:sz w:val="14"/>
                <w:szCs w:val="14"/>
              </w:rPr>
              <w:t>II.</w:t>
            </w:r>
          </w:p>
        </w:tc>
        <w:tc>
          <w:tcPr>
            <w:tcW w:w="5364" w:type="dxa"/>
            <w:tcBorders>
              <w:top w:val="nil"/>
              <w:left w:val="nil"/>
              <w:bottom w:val="nil"/>
              <w:right w:val="single" w:sz="4" w:space="0" w:color="auto"/>
            </w:tcBorders>
            <w:hideMark/>
          </w:tcPr>
          <w:p w14:paraId="599B0A01" w14:textId="77777777" w:rsidR="00A74C68" w:rsidRPr="00A74C68" w:rsidRDefault="00A74C68" w:rsidP="00A74C68">
            <w:pPr>
              <w:rPr>
                <w:b/>
                <w:bCs/>
                <w:color w:val="000000"/>
                <w:sz w:val="14"/>
                <w:szCs w:val="14"/>
                <w:lang w:eastAsia="tr-TR"/>
              </w:rPr>
            </w:pPr>
            <w:r w:rsidRPr="00A74C68">
              <w:rPr>
                <w:b/>
                <w:bCs/>
                <w:sz w:val="14"/>
                <w:szCs w:val="14"/>
              </w:rPr>
              <w:t xml:space="preserve">İTFA </w:t>
            </w:r>
            <w:r w:rsidRPr="00A74C68">
              <w:rPr>
                <w:b/>
                <w:bCs/>
                <w:color w:val="000000"/>
                <w:sz w:val="14"/>
                <w:szCs w:val="14"/>
                <w:lang w:eastAsia="tr-TR"/>
              </w:rPr>
              <w:t>EDİLMİŞ MALİYETİ İLE ÖLÇÜLEN FİNANSAL VARLIKLAR (Net)</w:t>
            </w:r>
          </w:p>
        </w:tc>
        <w:tc>
          <w:tcPr>
            <w:tcW w:w="926" w:type="dxa"/>
            <w:tcBorders>
              <w:top w:val="nil"/>
              <w:left w:val="nil"/>
              <w:bottom w:val="nil"/>
              <w:right w:val="nil"/>
            </w:tcBorders>
            <w:noWrap/>
            <w:vAlign w:val="bottom"/>
            <w:hideMark/>
          </w:tcPr>
          <w:p w14:paraId="2BDBA906" w14:textId="77777777" w:rsidR="00A74C68" w:rsidRPr="00A74C68" w:rsidRDefault="00A74C68" w:rsidP="00A74C68">
            <w:pPr>
              <w:jc w:val="center"/>
              <w:rPr>
                <w:b/>
                <w:bCs/>
                <w:color w:val="000000"/>
                <w:sz w:val="14"/>
                <w:szCs w:val="14"/>
              </w:rPr>
            </w:pPr>
            <w:r w:rsidRPr="00A74C68">
              <w:rPr>
                <w:b/>
                <w:bCs/>
                <w:color w:val="000000"/>
                <w:sz w:val="14"/>
                <w:szCs w:val="14"/>
              </w:rPr>
              <w:t> </w:t>
            </w:r>
          </w:p>
        </w:tc>
        <w:tc>
          <w:tcPr>
            <w:tcW w:w="1068" w:type="dxa"/>
            <w:tcBorders>
              <w:top w:val="nil"/>
              <w:left w:val="single" w:sz="4" w:space="0" w:color="auto"/>
              <w:bottom w:val="nil"/>
              <w:right w:val="nil"/>
            </w:tcBorders>
            <w:shd w:val="clear" w:color="000000" w:fill="FFFFFF"/>
            <w:vAlign w:val="bottom"/>
            <w:hideMark/>
          </w:tcPr>
          <w:p w14:paraId="24F00ACC" w14:textId="77777777" w:rsidR="00A74C68" w:rsidRPr="00A74C68" w:rsidRDefault="00A74C68" w:rsidP="00A74C68">
            <w:pPr>
              <w:jc w:val="right"/>
              <w:rPr>
                <w:b/>
                <w:bCs/>
                <w:color w:val="000000"/>
                <w:sz w:val="14"/>
                <w:szCs w:val="14"/>
              </w:rPr>
            </w:pPr>
            <w:r w:rsidRPr="00A74C68">
              <w:rPr>
                <w:b/>
                <w:bCs/>
                <w:color w:val="000000"/>
                <w:sz w:val="14"/>
                <w:szCs w:val="14"/>
              </w:rPr>
              <w:t>33.215.099</w:t>
            </w:r>
          </w:p>
        </w:tc>
        <w:tc>
          <w:tcPr>
            <w:tcW w:w="1015" w:type="dxa"/>
            <w:tcBorders>
              <w:top w:val="nil"/>
              <w:left w:val="single" w:sz="4" w:space="0" w:color="auto"/>
              <w:bottom w:val="nil"/>
              <w:right w:val="nil"/>
            </w:tcBorders>
            <w:shd w:val="clear" w:color="000000" w:fill="FFFFFF"/>
            <w:vAlign w:val="bottom"/>
            <w:hideMark/>
          </w:tcPr>
          <w:p w14:paraId="27DAEFC1" w14:textId="77777777" w:rsidR="00A74C68" w:rsidRPr="00A74C68" w:rsidRDefault="00A74C68" w:rsidP="00A74C68">
            <w:pPr>
              <w:jc w:val="right"/>
              <w:rPr>
                <w:b/>
                <w:bCs/>
                <w:color w:val="000000"/>
                <w:sz w:val="14"/>
                <w:szCs w:val="14"/>
              </w:rPr>
            </w:pPr>
            <w:r w:rsidRPr="00A74C68">
              <w:rPr>
                <w:b/>
                <w:bCs/>
                <w:color w:val="000000"/>
                <w:sz w:val="14"/>
                <w:szCs w:val="14"/>
              </w:rPr>
              <w:t>21.838.473</w:t>
            </w:r>
          </w:p>
        </w:tc>
        <w:tc>
          <w:tcPr>
            <w:tcW w:w="1088" w:type="dxa"/>
            <w:tcBorders>
              <w:top w:val="nil"/>
              <w:left w:val="single" w:sz="4" w:space="0" w:color="auto"/>
              <w:bottom w:val="nil"/>
              <w:right w:val="single" w:sz="4" w:space="0" w:color="auto"/>
            </w:tcBorders>
            <w:shd w:val="clear" w:color="000000" w:fill="FFFFFF"/>
            <w:vAlign w:val="bottom"/>
            <w:hideMark/>
          </w:tcPr>
          <w:p w14:paraId="152C8912" w14:textId="77777777" w:rsidR="00A74C68" w:rsidRPr="00A74C68" w:rsidRDefault="00A74C68" w:rsidP="00A74C68">
            <w:pPr>
              <w:jc w:val="right"/>
              <w:rPr>
                <w:b/>
                <w:bCs/>
                <w:color w:val="000000"/>
                <w:sz w:val="14"/>
                <w:szCs w:val="14"/>
              </w:rPr>
            </w:pPr>
            <w:r w:rsidRPr="00A74C68">
              <w:rPr>
                <w:b/>
                <w:bCs/>
                <w:color w:val="000000"/>
                <w:sz w:val="14"/>
                <w:szCs w:val="14"/>
              </w:rPr>
              <w:t>55.053.572</w:t>
            </w:r>
          </w:p>
        </w:tc>
      </w:tr>
      <w:tr w:rsidR="00A74C68" w:rsidRPr="00A74C68" w14:paraId="6C0A88BC" w14:textId="77777777" w:rsidTr="00655FD0">
        <w:trPr>
          <w:divId w:val="101003176"/>
          <w:trHeight w:val="113"/>
        </w:trPr>
        <w:tc>
          <w:tcPr>
            <w:tcW w:w="740" w:type="dxa"/>
            <w:tcBorders>
              <w:top w:val="nil"/>
              <w:left w:val="single" w:sz="4" w:space="0" w:color="auto"/>
              <w:bottom w:val="nil"/>
              <w:right w:val="nil"/>
            </w:tcBorders>
            <w:noWrap/>
            <w:hideMark/>
          </w:tcPr>
          <w:p w14:paraId="728117A1" w14:textId="77777777" w:rsidR="00A74C68" w:rsidRPr="00A74C68" w:rsidRDefault="00A74C68" w:rsidP="00A74C68">
            <w:pPr>
              <w:rPr>
                <w:b/>
                <w:bCs/>
                <w:sz w:val="14"/>
                <w:szCs w:val="14"/>
              </w:rPr>
            </w:pPr>
            <w:r w:rsidRPr="00A74C68">
              <w:rPr>
                <w:b/>
                <w:bCs/>
                <w:sz w:val="14"/>
                <w:szCs w:val="14"/>
              </w:rPr>
              <w:t>2.1</w:t>
            </w:r>
          </w:p>
        </w:tc>
        <w:tc>
          <w:tcPr>
            <w:tcW w:w="5364" w:type="dxa"/>
            <w:tcBorders>
              <w:top w:val="nil"/>
              <w:left w:val="nil"/>
              <w:bottom w:val="nil"/>
              <w:right w:val="single" w:sz="4" w:space="0" w:color="auto"/>
            </w:tcBorders>
            <w:hideMark/>
          </w:tcPr>
          <w:p w14:paraId="5D746D61" w14:textId="77777777" w:rsidR="00A74C68" w:rsidRPr="00A74C68" w:rsidRDefault="00A74C68" w:rsidP="00A74C68">
            <w:pPr>
              <w:rPr>
                <w:b/>
                <w:bCs/>
                <w:sz w:val="14"/>
                <w:szCs w:val="14"/>
              </w:rPr>
            </w:pPr>
            <w:r w:rsidRPr="00A74C68">
              <w:rPr>
                <w:b/>
                <w:bCs/>
                <w:sz w:val="14"/>
                <w:szCs w:val="14"/>
              </w:rPr>
              <w:t>Krediler</w:t>
            </w:r>
          </w:p>
        </w:tc>
        <w:tc>
          <w:tcPr>
            <w:tcW w:w="926" w:type="dxa"/>
            <w:tcBorders>
              <w:top w:val="nil"/>
              <w:left w:val="nil"/>
              <w:bottom w:val="nil"/>
              <w:right w:val="nil"/>
            </w:tcBorders>
            <w:noWrap/>
            <w:vAlign w:val="bottom"/>
            <w:hideMark/>
          </w:tcPr>
          <w:p w14:paraId="5694FFAC" w14:textId="77777777" w:rsidR="00A74C68" w:rsidRPr="00A74C68" w:rsidRDefault="00A74C68" w:rsidP="00A74C68">
            <w:pPr>
              <w:jc w:val="center"/>
              <w:rPr>
                <w:b/>
                <w:bCs/>
                <w:color w:val="000000"/>
                <w:sz w:val="14"/>
                <w:szCs w:val="14"/>
                <w:lang w:eastAsia="tr-TR"/>
              </w:rPr>
            </w:pPr>
            <w:r w:rsidRPr="00A74C68">
              <w:rPr>
                <w:b/>
                <w:bCs/>
                <w:color w:val="000000"/>
                <w:sz w:val="14"/>
                <w:szCs w:val="14"/>
                <w:lang w:eastAsia="tr-TR"/>
              </w:rPr>
              <w:t>(6)</w:t>
            </w:r>
          </w:p>
        </w:tc>
        <w:tc>
          <w:tcPr>
            <w:tcW w:w="1068" w:type="dxa"/>
            <w:tcBorders>
              <w:top w:val="nil"/>
              <w:left w:val="single" w:sz="4" w:space="0" w:color="auto"/>
              <w:bottom w:val="nil"/>
              <w:right w:val="nil"/>
            </w:tcBorders>
            <w:shd w:val="clear" w:color="000000" w:fill="FFFFFF"/>
            <w:vAlign w:val="bottom"/>
            <w:hideMark/>
          </w:tcPr>
          <w:p w14:paraId="2D2156BB" w14:textId="77777777" w:rsidR="00A74C68" w:rsidRPr="00A74C68" w:rsidRDefault="00A74C68" w:rsidP="00A74C68">
            <w:pPr>
              <w:jc w:val="right"/>
              <w:rPr>
                <w:b/>
                <w:bCs/>
                <w:color w:val="000000"/>
                <w:sz w:val="14"/>
                <w:szCs w:val="14"/>
              </w:rPr>
            </w:pPr>
            <w:r w:rsidRPr="00A74C68">
              <w:rPr>
                <w:b/>
                <w:bCs/>
                <w:color w:val="000000"/>
                <w:sz w:val="14"/>
                <w:szCs w:val="14"/>
              </w:rPr>
              <w:t>32.247.801</w:t>
            </w:r>
          </w:p>
        </w:tc>
        <w:tc>
          <w:tcPr>
            <w:tcW w:w="1015" w:type="dxa"/>
            <w:tcBorders>
              <w:top w:val="nil"/>
              <w:left w:val="single" w:sz="4" w:space="0" w:color="auto"/>
              <w:bottom w:val="nil"/>
              <w:right w:val="nil"/>
            </w:tcBorders>
            <w:shd w:val="clear" w:color="000000" w:fill="FFFFFF"/>
            <w:vAlign w:val="bottom"/>
            <w:hideMark/>
          </w:tcPr>
          <w:p w14:paraId="73091753" w14:textId="77777777" w:rsidR="00A74C68" w:rsidRPr="00A74C68" w:rsidRDefault="00A74C68" w:rsidP="00A74C68">
            <w:pPr>
              <w:jc w:val="right"/>
              <w:rPr>
                <w:b/>
                <w:bCs/>
                <w:color w:val="000000"/>
                <w:sz w:val="14"/>
                <w:szCs w:val="14"/>
              </w:rPr>
            </w:pPr>
            <w:r w:rsidRPr="00A74C68">
              <w:rPr>
                <w:b/>
                <w:bCs/>
                <w:color w:val="000000"/>
                <w:sz w:val="14"/>
                <w:szCs w:val="14"/>
              </w:rPr>
              <w:t>20.010.348</w:t>
            </w:r>
          </w:p>
        </w:tc>
        <w:tc>
          <w:tcPr>
            <w:tcW w:w="1088" w:type="dxa"/>
            <w:tcBorders>
              <w:top w:val="nil"/>
              <w:left w:val="single" w:sz="4" w:space="0" w:color="auto"/>
              <w:bottom w:val="nil"/>
              <w:right w:val="single" w:sz="4" w:space="0" w:color="auto"/>
            </w:tcBorders>
            <w:shd w:val="clear" w:color="000000" w:fill="FFFFFF"/>
            <w:vAlign w:val="bottom"/>
            <w:hideMark/>
          </w:tcPr>
          <w:p w14:paraId="3ED0D1B9" w14:textId="77777777" w:rsidR="00A74C68" w:rsidRPr="00A74C68" w:rsidRDefault="00A74C68" w:rsidP="00A74C68">
            <w:pPr>
              <w:jc w:val="right"/>
              <w:rPr>
                <w:b/>
                <w:bCs/>
                <w:color w:val="000000"/>
                <w:sz w:val="14"/>
                <w:szCs w:val="14"/>
              </w:rPr>
            </w:pPr>
            <w:r w:rsidRPr="00A74C68">
              <w:rPr>
                <w:b/>
                <w:bCs/>
                <w:color w:val="000000"/>
                <w:sz w:val="14"/>
                <w:szCs w:val="14"/>
              </w:rPr>
              <w:t>52.258.149</w:t>
            </w:r>
          </w:p>
        </w:tc>
      </w:tr>
      <w:tr w:rsidR="00A74C68" w:rsidRPr="00A74C68" w14:paraId="00D81AA8" w14:textId="77777777" w:rsidTr="00655FD0">
        <w:trPr>
          <w:divId w:val="101003176"/>
          <w:trHeight w:val="113"/>
        </w:trPr>
        <w:tc>
          <w:tcPr>
            <w:tcW w:w="740" w:type="dxa"/>
            <w:tcBorders>
              <w:top w:val="nil"/>
              <w:left w:val="single" w:sz="4" w:space="0" w:color="auto"/>
              <w:bottom w:val="nil"/>
              <w:right w:val="nil"/>
            </w:tcBorders>
            <w:noWrap/>
            <w:hideMark/>
          </w:tcPr>
          <w:p w14:paraId="6B2C8F07" w14:textId="77777777" w:rsidR="00A74C68" w:rsidRPr="00A74C68" w:rsidRDefault="00A74C68" w:rsidP="00A74C68">
            <w:pPr>
              <w:rPr>
                <w:b/>
                <w:bCs/>
                <w:sz w:val="14"/>
                <w:szCs w:val="14"/>
              </w:rPr>
            </w:pPr>
            <w:r w:rsidRPr="00A74C68">
              <w:rPr>
                <w:b/>
                <w:bCs/>
                <w:sz w:val="14"/>
                <w:szCs w:val="14"/>
              </w:rPr>
              <w:t>2.2</w:t>
            </w:r>
          </w:p>
        </w:tc>
        <w:tc>
          <w:tcPr>
            <w:tcW w:w="5364" w:type="dxa"/>
            <w:tcBorders>
              <w:top w:val="nil"/>
              <w:left w:val="nil"/>
              <w:bottom w:val="nil"/>
              <w:right w:val="single" w:sz="4" w:space="0" w:color="auto"/>
            </w:tcBorders>
            <w:hideMark/>
          </w:tcPr>
          <w:p w14:paraId="2777EDC4" w14:textId="77777777" w:rsidR="00A74C68" w:rsidRPr="00A74C68" w:rsidRDefault="00A74C68" w:rsidP="00A74C68">
            <w:pPr>
              <w:rPr>
                <w:b/>
                <w:bCs/>
                <w:sz w:val="14"/>
                <w:szCs w:val="14"/>
              </w:rPr>
            </w:pPr>
            <w:r w:rsidRPr="00A74C68">
              <w:rPr>
                <w:b/>
                <w:bCs/>
                <w:sz w:val="14"/>
                <w:szCs w:val="14"/>
              </w:rPr>
              <w:t>Kiralama İşlemlerinden Alacaklar</w:t>
            </w:r>
          </w:p>
        </w:tc>
        <w:tc>
          <w:tcPr>
            <w:tcW w:w="926" w:type="dxa"/>
            <w:tcBorders>
              <w:top w:val="nil"/>
              <w:left w:val="nil"/>
              <w:bottom w:val="nil"/>
              <w:right w:val="nil"/>
            </w:tcBorders>
            <w:noWrap/>
            <w:vAlign w:val="bottom"/>
            <w:hideMark/>
          </w:tcPr>
          <w:p w14:paraId="3EE9332C" w14:textId="77777777" w:rsidR="00A74C68" w:rsidRPr="00A74C68" w:rsidRDefault="00A74C68" w:rsidP="00A74C68">
            <w:pPr>
              <w:jc w:val="center"/>
              <w:rPr>
                <w:b/>
                <w:bCs/>
                <w:color w:val="000000"/>
                <w:sz w:val="14"/>
                <w:szCs w:val="14"/>
              </w:rPr>
            </w:pPr>
            <w:r w:rsidRPr="00A74C68">
              <w:rPr>
                <w:b/>
                <w:bCs/>
                <w:color w:val="000000"/>
                <w:sz w:val="14"/>
                <w:szCs w:val="14"/>
              </w:rPr>
              <w:t>(7)</w:t>
            </w:r>
          </w:p>
        </w:tc>
        <w:tc>
          <w:tcPr>
            <w:tcW w:w="1068" w:type="dxa"/>
            <w:tcBorders>
              <w:top w:val="nil"/>
              <w:left w:val="single" w:sz="4" w:space="0" w:color="auto"/>
              <w:bottom w:val="nil"/>
              <w:right w:val="nil"/>
            </w:tcBorders>
            <w:shd w:val="clear" w:color="000000" w:fill="FFFFFF"/>
            <w:vAlign w:val="bottom"/>
            <w:hideMark/>
          </w:tcPr>
          <w:p w14:paraId="135CF6F4" w14:textId="77777777" w:rsidR="00A74C68" w:rsidRPr="00A74C68" w:rsidRDefault="00A74C68" w:rsidP="00A74C68">
            <w:pPr>
              <w:jc w:val="right"/>
              <w:rPr>
                <w:b/>
                <w:bCs/>
                <w:color w:val="000000"/>
                <w:sz w:val="14"/>
                <w:szCs w:val="14"/>
              </w:rPr>
            </w:pPr>
            <w:r w:rsidRPr="00A74C68">
              <w:rPr>
                <w:b/>
                <w:bCs/>
                <w:color w:val="000000"/>
                <w:sz w:val="14"/>
                <w:szCs w:val="14"/>
              </w:rPr>
              <w:t>513.391</w:t>
            </w:r>
          </w:p>
        </w:tc>
        <w:tc>
          <w:tcPr>
            <w:tcW w:w="1015" w:type="dxa"/>
            <w:tcBorders>
              <w:top w:val="nil"/>
              <w:left w:val="single" w:sz="4" w:space="0" w:color="auto"/>
              <w:bottom w:val="nil"/>
              <w:right w:val="nil"/>
            </w:tcBorders>
            <w:shd w:val="clear" w:color="000000" w:fill="FFFFFF"/>
            <w:vAlign w:val="bottom"/>
            <w:hideMark/>
          </w:tcPr>
          <w:p w14:paraId="707AAB8E" w14:textId="77777777" w:rsidR="00A74C68" w:rsidRPr="00A74C68" w:rsidRDefault="00A74C68" w:rsidP="00A74C68">
            <w:pPr>
              <w:jc w:val="right"/>
              <w:rPr>
                <w:b/>
                <w:bCs/>
                <w:color w:val="000000"/>
                <w:sz w:val="14"/>
                <w:szCs w:val="14"/>
              </w:rPr>
            </w:pPr>
            <w:r w:rsidRPr="00A74C68">
              <w:rPr>
                <w:b/>
                <w:bCs/>
                <w:color w:val="000000"/>
                <w:sz w:val="14"/>
                <w:szCs w:val="14"/>
              </w:rPr>
              <w:t>2.070.830</w:t>
            </w:r>
          </w:p>
        </w:tc>
        <w:tc>
          <w:tcPr>
            <w:tcW w:w="1088" w:type="dxa"/>
            <w:tcBorders>
              <w:top w:val="nil"/>
              <w:left w:val="single" w:sz="4" w:space="0" w:color="auto"/>
              <w:bottom w:val="nil"/>
              <w:right w:val="single" w:sz="4" w:space="0" w:color="auto"/>
            </w:tcBorders>
            <w:shd w:val="clear" w:color="000000" w:fill="FFFFFF"/>
            <w:vAlign w:val="bottom"/>
            <w:hideMark/>
          </w:tcPr>
          <w:p w14:paraId="2D145A47" w14:textId="77777777" w:rsidR="00A74C68" w:rsidRPr="00A74C68" w:rsidRDefault="00A74C68" w:rsidP="00A74C68">
            <w:pPr>
              <w:jc w:val="right"/>
              <w:rPr>
                <w:b/>
                <w:bCs/>
                <w:color w:val="000000"/>
                <w:sz w:val="14"/>
                <w:szCs w:val="14"/>
              </w:rPr>
            </w:pPr>
            <w:r w:rsidRPr="00A74C68">
              <w:rPr>
                <w:b/>
                <w:bCs/>
                <w:color w:val="000000"/>
                <w:sz w:val="14"/>
                <w:szCs w:val="14"/>
              </w:rPr>
              <w:t>2.584.221</w:t>
            </w:r>
          </w:p>
        </w:tc>
      </w:tr>
      <w:tr w:rsidR="00A74C68" w:rsidRPr="00263F8A" w14:paraId="2C294248" w14:textId="77777777" w:rsidTr="00655FD0">
        <w:trPr>
          <w:divId w:val="101003176"/>
          <w:trHeight w:val="113"/>
        </w:trPr>
        <w:tc>
          <w:tcPr>
            <w:tcW w:w="740" w:type="dxa"/>
            <w:tcBorders>
              <w:top w:val="nil"/>
              <w:left w:val="single" w:sz="4" w:space="0" w:color="auto"/>
              <w:bottom w:val="nil"/>
              <w:right w:val="nil"/>
            </w:tcBorders>
            <w:noWrap/>
            <w:hideMark/>
          </w:tcPr>
          <w:p w14:paraId="7D834FBB" w14:textId="77777777" w:rsidR="00A74C68" w:rsidRPr="00263F8A" w:rsidRDefault="00A74C68" w:rsidP="00A74C68">
            <w:pPr>
              <w:rPr>
                <w:b/>
                <w:bCs/>
                <w:sz w:val="14"/>
                <w:szCs w:val="14"/>
              </w:rPr>
            </w:pPr>
            <w:r w:rsidRPr="00263F8A">
              <w:rPr>
                <w:b/>
                <w:bCs/>
                <w:sz w:val="14"/>
                <w:szCs w:val="14"/>
              </w:rPr>
              <w:t>2.3</w:t>
            </w:r>
          </w:p>
        </w:tc>
        <w:tc>
          <w:tcPr>
            <w:tcW w:w="5364" w:type="dxa"/>
            <w:tcBorders>
              <w:top w:val="nil"/>
              <w:left w:val="nil"/>
              <w:bottom w:val="nil"/>
              <w:right w:val="single" w:sz="4" w:space="0" w:color="auto"/>
            </w:tcBorders>
            <w:hideMark/>
          </w:tcPr>
          <w:p w14:paraId="3196BBB0" w14:textId="77777777" w:rsidR="00A74C68" w:rsidRPr="00263F8A" w:rsidRDefault="00A74C68" w:rsidP="00A74C68">
            <w:pPr>
              <w:rPr>
                <w:b/>
                <w:bCs/>
                <w:sz w:val="14"/>
                <w:szCs w:val="14"/>
                <w:lang w:eastAsia="tr-TR"/>
              </w:rPr>
            </w:pPr>
            <w:r w:rsidRPr="00263F8A">
              <w:rPr>
                <w:b/>
                <w:bCs/>
                <w:sz w:val="14"/>
                <w:szCs w:val="14"/>
              </w:rPr>
              <w:t xml:space="preserve">İtfa Edilmiş Maliyeti </w:t>
            </w:r>
            <w:r w:rsidRPr="00263F8A">
              <w:rPr>
                <w:b/>
                <w:bCs/>
                <w:sz w:val="14"/>
                <w:szCs w:val="14"/>
                <w:lang w:eastAsia="tr-TR"/>
              </w:rPr>
              <w:t>ile Ölçülen Finansal Varlıklar</w:t>
            </w:r>
          </w:p>
        </w:tc>
        <w:tc>
          <w:tcPr>
            <w:tcW w:w="926" w:type="dxa"/>
            <w:tcBorders>
              <w:top w:val="nil"/>
              <w:left w:val="nil"/>
              <w:bottom w:val="nil"/>
              <w:right w:val="nil"/>
            </w:tcBorders>
            <w:noWrap/>
            <w:vAlign w:val="bottom"/>
            <w:hideMark/>
          </w:tcPr>
          <w:p w14:paraId="7EAB0C9A" w14:textId="77777777" w:rsidR="00A74C68" w:rsidRPr="00263F8A" w:rsidRDefault="00A74C68" w:rsidP="00A74C68">
            <w:pPr>
              <w:jc w:val="center"/>
              <w:rPr>
                <w:b/>
                <w:bCs/>
                <w:color w:val="000000"/>
                <w:sz w:val="14"/>
                <w:szCs w:val="14"/>
                <w:lang w:eastAsia="tr-TR"/>
              </w:rPr>
            </w:pPr>
            <w:r w:rsidRPr="00263F8A">
              <w:rPr>
                <w:b/>
                <w:bCs/>
                <w:color w:val="000000"/>
                <w:sz w:val="14"/>
                <w:szCs w:val="14"/>
                <w:lang w:eastAsia="tr-TR"/>
              </w:rPr>
              <w:t>(4)</w:t>
            </w:r>
          </w:p>
        </w:tc>
        <w:tc>
          <w:tcPr>
            <w:tcW w:w="1068" w:type="dxa"/>
            <w:tcBorders>
              <w:top w:val="nil"/>
              <w:left w:val="single" w:sz="4" w:space="0" w:color="auto"/>
              <w:bottom w:val="nil"/>
              <w:right w:val="nil"/>
            </w:tcBorders>
            <w:shd w:val="clear" w:color="000000" w:fill="FFFFFF"/>
            <w:vAlign w:val="bottom"/>
            <w:hideMark/>
          </w:tcPr>
          <w:p w14:paraId="030F5C98" w14:textId="77777777" w:rsidR="00A74C68" w:rsidRPr="00263F8A" w:rsidRDefault="00A74C68" w:rsidP="00A74C68">
            <w:pPr>
              <w:jc w:val="right"/>
              <w:rPr>
                <w:b/>
                <w:bCs/>
                <w:color w:val="000000"/>
                <w:sz w:val="14"/>
                <w:szCs w:val="14"/>
              </w:rPr>
            </w:pPr>
            <w:r w:rsidRPr="00263F8A">
              <w:rPr>
                <w:b/>
                <w:bCs/>
                <w:color w:val="000000"/>
                <w:sz w:val="14"/>
                <w:szCs w:val="14"/>
              </w:rPr>
              <w:t>750.636</w:t>
            </w:r>
          </w:p>
        </w:tc>
        <w:tc>
          <w:tcPr>
            <w:tcW w:w="1015" w:type="dxa"/>
            <w:tcBorders>
              <w:top w:val="nil"/>
              <w:left w:val="single" w:sz="4" w:space="0" w:color="auto"/>
              <w:bottom w:val="nil"/>
              <w:right w:val="nil"/>
            </w:tcBorders>
            <w:shd w:val="clear" w:color="000000" w:fill="FFFFFF"/>
            <w:vAlign w:val="bottom"/>
            <w:hideMark/>
          </w:tcPr>
          <w:p w14:paraId="7F5FF560" w14:textId="77777777" w:rsidR="00A74C68" w:rsidRPr="00263F8A" w:rsidRDefault="00A74C68" w:rsidP="00A74C68">
            <w:pPr>
              <w:jc w:val="right"/>
              <w:rPr>
                <w:b/>
                <w:bCs/>
                <w:color w:val="000000"/>
                <w:sz w:val="14"/>
                <w:szCs w:val="14"/>
              </w:rPr>
            </w:pPr>
            <w:r w:rsidRPr="00263F8A">
              <w:rPr>
                <w:b/>
                <w:bCs/>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1F5572FE" w14:textId="77777777" w:rsidR="00A74C68" w:rsidRPr="00263F8A" w:rsidRDefault="00A74C68" w:rsidP="00A74C68">
            <w:pPr>
              <w:jc w:val="right"/>
              <w:rPr>
                <w:b/>
                <w:bCs/>
                <w:color w:val="000000"/>
                <w:sz w:val="14"/>
                <w:szCs w:val="14"/>
              </w:rPr>
            </w:pPr>
            <w:r w:rsidRPr="00263F8A">
              <w:rPr>
                <w:b/>
                <w:bCs/>
                <w:color w:val="000000"/>
                <w:sz w:val="14"/>
                <w:szCs w:val="14"/>
              </w:rPr>
              <w:t>750.636</w:t>
            </w:r>
          </w:p>
        </w:tc>
      </w:tr>
      <w:tr w:rsidR="00A74C68" w:rsidRPr="00A74C68" w14:paraId="25364317" w14:textId="77777777" w:rsidTr="00655FD0">
        <w:trPr>
          <w:divId w:val="101003176"/>
          <w:trHeight w:val="113"/>
        </w:trPr>
        <w:tc>
          <w:tcPr>
            <w:tcW w:w="740" w:type="dxa"/>
            <w:tcBorders>
              <w:top w:val="nil"/>
              <w:left w:val="single" w:sz="4" w:space="0" w:color="auto"/>
              <w:bottom w:val="nil"/>
              <w:right w:val="nil"/>
            </w:tcBorders>
            <w:noWrap/>
            <w:hideMark/>
          </w:tcPr>
          <w:p w14:paraId="45E08CFD" w14:textId="77777777" w:rsidR="00A74C68" w:rsidRPr="00A74C68" w:rsidRDefault="00A74C68" w:rsidP="00A74C68">
            <w:pPr>
              <w:rPr>
                <w:sz w:val="14"/>
                <w:szCs w:val="14"/>
              </w:rPr>
            </w:pPr>
            <w:r w:rsidRPr="00A74C68">
              <w:rPr>
                <w:sz w:val="14"/>
                <w:szCs w:val="14"/>
              </w:rPr>
              <w:t>2.3.1</w:t>
            </w:r>
          </w:p>
        </w:tc>
        <w:tc>
          <w:tcPr>
            <w:tcW w:w="5364" w:type="dxa"/>
            <w:tcBorders>
              <w:top w:val="nil"/>
              <w:left w:val="nil"/>
              <w:bottom w:val="nil"/>
              <w:right w:val="single" w:sz="4" w:space="0" w:color="auto"/>
            </w:tcBorders>
            <w:hideMark/>
          </w:tcPr>
          <w:p w14:paraId="528D8EAA" w14:textId="77777777" w:rsidR="00A74C68" w:rsidRPr="00A74C68" w:rsidRDefault="00A74C68" w:rsidP="00A74C68">
            <w:pPr>
              <w:rPr>
                <w:sz w:val="14"/>
                <w:szCs w:val="14"/>
              </w:rPr>
            </w:pPr>
            <w:r w:rsidRPr="00A74C68">
              <w:rPr>
                <w:sz w:val="14"/>
                <w:szCs w:val="14"/>
              </w:rPr>
              <w:t>Devlet Borçlanma Senetleri</w:t>
            </w:r>
          </w:p>
        </w:tc>
        <w:tc>
          <w:tcPr>
            <w:tcW w:w="926" w:type="dxa"/>
            <w:tcBorders>
              <w:top w:val="nil"/>
              <w:left w:val="nil"/>
              <w:bottom w:val="nil"/>
              <w:right w:val="single" w:sz="4" w:space="0" w:color="auto"/>
            </w:tcBorders>
            <w:noWrap/>
            <w:vAlign w:val="bottom"/>
            <w:hideMark/>
          </w:tcPr>
          <w:p w14:paraId="1BA6F7E9" w14:textId="77777777" w:rsidR="00A74C68" w:rsidRPr="00A74C68" w:rsidRDefault="00A74C68" w:rsidP="00A74C68">
            <w:pPr>
              <w:jc w:val="center"/>
              <w:rPr>
                <w:color w:val="000000"/>
                <w:sz w:val="14"/>
                <w:szCs w:val="14"/>
                <w:lang w:eastAsia="tr-TR"/>
              </w:rPr>
            </w:pPr>
            <w:r w:rsidRPr="00A74C68">
              <w:rPr>
                <w:color w:val="000000"/>
                <w:sz w:val="14"/>
                <w:szCs w:val="14"/>
                <w:lang w:eastAsia="tr-TR"/>
              </w:rPr>
              <w:t> </w:t>
            </w:r>
          </w:p>
        </w:tc>
        <w:tc>
          <w:tcPr>
            <w:tcW w:w="1068" w:type="dxa"/>
            <w:tcBorders>
              <w:top w:val="nil"/>
              <w:left w:val="nil"/>
              <w:bottom w:val="nil"/>
              <w:right w:val="nil"/>
            </w:tcBorders>
            <w:shd w:val="clear" w:color="000000" w:fill="FFFFFF"/>
            <w:vAlign w:val="bottom"/>
            <w:hideMark/>
          </w:tcPr>
          <w:p w14:paraId="6F816B8D" w14:textId="77777777" w:rsidR="00A74C68" w:rsidRPr="00A74C68" w:rsidRDefault="00A74C68" w:rsidP="00A74C68">
            <w:pPr>
              <w:jc w:val="right"/>
              <w:rPr>
                <w:color w:val="000000"/>
                <w:sz w:val="14"/>
                <w:szCs w:val="14"/>
              </w:rPr>
            </w:pPr>
            <w:r w:rsidRPr="00A74C68">
              <w:rPr>
                <w:color w:val="000000"/>
                <w:sz w:val="14"/>
                <w:szCs w:val="14"/>
              </w:rPr>
              <w:t>750.636</w:t>
            </w:r>
          </w:p>
        </w:tc>
        <w:tc>
          <w:tcPr>
            <w:tcW w:w="1015" w:type="dxa"/>
            <w:tcBorders>
              <w:top w:val="nil"/>
              <w:left w:val="single" w:sz="4" w:space="0" w:color="auto"/>
              <w:bottom w:val="nil"/>
              <w:right w:val="nil"/>
            </w:tcBorders>
            <w:shd w:val="clear" w:color="000000" w:fill="FFFFFF"/>
            <w:vAlign w:val="bottom"/>
            <w:hideMark/>
          </w:tcPr>
          <w:p w14:paraId="5307EC1E" w14:textId="77777777" w:rsidR="00A74C68" w:rsidRPr="00A74C68" w:rsidRDefault="00A74C68" w:rsidP="00A74C68">
            <w:pPr>
              <w:jc w:val="right"/>
              <w:rPr>
                <w:color w:val="000000"/>
                <w:sz w:val="14"/>
                <w:szCs w:val="14"/>
              </w:rPr>
            </w:pPr>
            <w:r w:rsidRPr="00A74C68">
              <w:rPr>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71FA2A50" w14:textId="77777777" w:rsidR="00A74C68" w:rsidRPr="00A74C68" w:rsidRDefault="00A74C68" w:rsidP="00A74C68">
            <w:pPr>
              <w:jc w:val="right"/>
              <w:rPr>
                <w:color w:val="000000"/>
                <w:sz w:val="14"/>
                <w:szCs w:val="14"/>
              </w:rPr>
            </w:pPr>
            <w:r w:rsidRPr="00A74C68">
              <w:rPr>
                <w:color w:val="000000"/>
                <w:sz w:val="14"/>
                <w:szCs w:val="14"/>
              </w:rPr>
              <w:t>750.636</w:t>
            </w:r>
          </w:p>
        </w:tc>
      </w:tr>
      <w:tr w:rsidR="00A74C68" w:rsidRPr="00A74C68" w14:paraId="15324D60" w14:textId="77777777" w:rsidTr="00655FD0">
        <w:trPr>
          <w:divId w:val="101003176"/>
          <w:trHeight w:val="113"/>
        </w:trPr>
        <w:tc>
          <w:tcPr>
            <w:tcW w:w="740" w:type="dxa"/>
            <w:tcBorders>
              <w:top w:val="nil"/>
              <w:left w:val="single" w:sz="4" w:space="0" w:color="auto"/>
              <w:bottom w:val="nil"/>
              <w:right w:val="nil"/>
            </w:tcBorders>
            <w:noWrap/>
            <w:hideMark/>
          </w:tcPr>
          <w:p w14:paraId="2DB87EEE" w14:textId="77777777" w:rsidR="00A74C68" w:rsidRPr="00A74C68" w:rsidRDefault="00A74C68" w:rsidP="00A74C68">
            <w:pPr>
              <w:rPr>
                <w:sz w:val="14"/>
                <w:szCs w:val="14"/>
              </w:rPr>
            </w:pPr>
            <w:r w:rsidRPr="00A74C68">
              <w:rPr>
                <w:sz w:val="14"/>
                <w:szCs w:val="14"/>
              </w:rPr>
              <w:t>2.3.2</w:t>
            </w:r>
          </w:p>
        </w:tc>
        <w:tc>
          <w:tcPr>
            <w:tcW w:w="5364" w:type="dxa"/>
            <w:tcBorders>
              <w:top w:val="nil"/>
              <w:left w:val="nil"/>
              <w:bottom w:val="nil"/>
              <w:right w:val="single" w:sz="4" w:space="0" w:color="auto"/>
            </w:tcBorders>
            <w:hideMark/>
          </w:tcPr>
          <w:p w14:paraId="19EA456F" w14:textId="77777777" w:rsidR="00A74C68" w:rsidRPr="00A74C68" w:rsidRDefault="00A74C68" w:rsidP="00A74C68">
            <w:pPr>
              <w:rPr>
                <w:sz w:val="14"/>
                <w:szCs w:val="14"/>
                <w:lang w:eastAsia="tr-TR"/>
              </w:rPr>
            </w:pPr>
            <w:r w:rsidRPr="00A74C68">
              <w:rPr>
                <w:sz w:val="14"/>
                <w:szCs w:val="14"/>
              </w:rPr>
              <w:t xml:space="preserve">Diğer Finansal </w:t>
            </w:r>
            <w:r w:rsidRPr="00A74C68">
              <w:rPr>
                <w:sz w:val="14"/>
                <w:szCs w:val="14"/>
                <w:lang w:eastAsia="tr-TR"/>
              </w:rPr>
              <w:t>Varlıklar</w:t>
            </w:r>
          </w:p>
        </w:tc>
        <w:tc>
          <w:tcPr>
            <w:tcW w:w="926" w:type="dxa"/>
            <w:tcBorders>
              <w:top w:val="nil"/>
              <w:left w:val="nil"/>
              <w:bottom w:val="nil"/>
              <w:right w:val="nil"/>
            </w:tcBorders>
            <w:noWrap/>
            <w:vAlign w:val="bottom"/>
            <w:hideMark/>
          </w:tcPr>
          <w:p w14:paraId="4B76660D" w14:textId="77777777" w:rsidR="00A74C68" w:rsidRPr="00A74C68" w:rsidRDefault="00A74C68" w:rsidP="00A74C68">
            <w:pPr>
              <w:jc w:val="center"/>
              <w:rPr>
                <w:color w:val="000000"/>
                <w:sz w:val="14"/>
                <w:szCs w:val="14"/>
                <w:lang w:eastAsia="tr-TR"/>
              </w:rPr>
            </w:pPr>
            <w:r w:rsidRPr="00A74C68">
              <w:rPr>
                <w:color w:val="000000"/>
                <w:sz w:val="14"/>
                <w:szCs w:val="14"/>
                <w:lang w:eastAsia="tr-TR"/>
              </w:rPr>
              <w:t> </w:t>
            </w:r>
          </w:p>
        </w:tc>
        <w:tc>
          <w:tcPr>
            <w:tcW w:w="1068" w:type="dxa"/>
            <w:tcBorders>
              <w:top w:val="nil"/>
              <w:left w:val="single" w:sz="4" w:space="0" w:color="auto"/>
              <w:bottom w:val="nil"/>
              <w:right w:val="nil"/>
            </w:tcBorders>
            <w:shd w:val="clear" w:color="000000" w:fill="FFFFFF"/>
            <w:vAlign w:val="bottom"/>
            <w:hideMark/>
          </w:tcPr>
          <w:p w14:paraId="1835D971" w14:textId="77777777" w:rsidR="00A74C68" w:rsidRPr="00A74C68" w:rsidRDefault="00A74C68" w:rsidP="00A74C68">
            <w:pPr>
              <w:jc w:val="right"/>
              <w:rPr>
                <w:color w:val="000000"/>
                <w:sz w:val="14"/>
                <w:szCs w:val="14"/>
              </w:rPr>
            </w:pPr>
            <w:r w:rsidRPr="00A74C68">
              <w:rPr>
                <w:color w:val="000000"/>
                <w:sz w:val="14"/>
                <w:szCs w:val="14"/>
              </w:rPr>
              <w:t>-</w:t>
            </w:r>
          </w:p>
        </w:tc>
        <w:tc>
          <w:tcPr>
            <w:tcW w:w="1015" w:type="dxa"/>
            <w:tcBorders>
              <w:top w:val="nil"/>
              <w:left w:val="single" w:sz="4" w:space="0" w:color="auto"/>
              <w:bottom w:val="nil"/>
              <w:right w:val="nil"/>
            </w:tcBorders>
            <w:shd w:val="clear" w:color="000000" w:fill="FFFFFF"/>
            <w:vAlign w:val="bottom"/>
            <w:hideMark/>
          </w:tcPr>
          <w:p w14:paraId="64E379EC" w14:textId="77777777" w:rsidR="00A74C68" w:rsidRPr="00A74C68" w:rsidRDefault="00A74C68" w:rsidP="00A74C68">
            <w:pPr>
              <w:jc w:val="right"/>
              <w:rPr>
                <w:color w:val="000000"/>
                <w:sz w:val="14"/>
                <w:szCs w:val="14"/>
              </w:rPr>
            </w:pPr>
            <w:r w:rsidRPr="00A74C68">
              <w:rPr>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05C94395" w14:textId="77777777" w:rsidR="00A74C68" w:rsidRPr="00A74C68" w:rsidRDefault="00A74C68" w:rsidP="00A74C68">
            <w:pPr>
              <w:jc w:val="right"/>
              <w:rPr>
                <w:color w:val="000000"/>
                <w:sz w:val="14"/>
                <w:szCs w:val="14"/>
              </w:rPr>
            </w:pPr>
            <w:r w:rsidRPr="00A74C68">
              <w:rPr>
                <w:color w:val="000000"/>
                <w:sz w:val="14"/>
                <w:szCs w:val="14"/>
              </w:rPr>
              <w:t>-</w:t>
            </w:r>
          </w:p>
        </w:tc>
      </w:tr>
      <w:tr w:rsidR="00A74C68" w:rsidRPr="00A74C68" w14:paraId="52AE68CE" w14:textId="77777777" w:rsidTr="00655FD0">
        <w:trPr>
          <w:divId w:val="101003176"/>
          <w:trHeight w:val="113"/>
        </w:trPr>
        <w:tc>
          <w:tcPr>
            <w:tcW w:w="740" w:type="dxa"/>
            <w:tcBorders>
              <w:top w:val="nil"/>
              <w:left w:val="single" w:sz="4" w:space="0" w:color="auto"/>
              <w:bottom w:val="nil"/>
              <w:right w:val="nil"/>
            </w:tcBorders>
            <w:noWrap/>
            <w:hideMark/>
          </w:tcPr>
          <w:p w14:paraId="45CF0FBA" w14:textId="77777777" w:rsidR="00A74C68" w:rsidRPr="00A74C68" w:rsidRDefault="00A74C68" w:rsidP="00A74C68">
            <w:pPr>
              <w:rPr>
                <w:b/>
                <w:bCs/>
                <w:sz w:val="14"/>
                <w:szCs w:val="14"/>
              </w:rPr>
            </w:pPr>
            <w:r w:rsidRPr="00A74C68">
              <w:rPr>
                <w:b/>
                <w:bCs/>
                <w:sz w:val="14"/>
                <w:szCs w:val="14"/>
              </w:rPr>
              <w:t>2.4</w:t>
            </w:r>
          </w:p>
        </w:tc>
        <w:tc>
          <w:tcPr>
            <w:tcW w:w="5364" w:type="dxa"/>
            <w:tcBorders>
              <w:top w:val="nil"/>
              <w:left w:val="nil"/>
              <w:bottom w:val="nil"/>
              <w:right w:val="single" w:sz="4" w:space="0" w:color="auto"/>
            </w:tcBorders>
            <w:noWrap/>
            <w:hideMark/>
          </w:tcPr>
          <w:p w14:paraId="339B20B9" w14:textId="77777777" w:rsidR="00A74C68" w:rsidRPr="00A74C68" w:rsidRDefault="00A74C68" w:rsidP="00A74C68">
            <w:pPr>
              <w:rPr>
                <w:b/>
                <w:bCs/>
                <w:sz w:val="14"/>
                <w:szCs w:val="14"/>
                <w:lang w:eastAsia="tr-TR"/>
              </w:rPr>
            </w:pPr>
            <w:r w:rsidRPr="00A74C68">
              <w:rPr>
                <w:b/>
                <w:bCs/>
                <w:sz w:val="14"/>
                <w:szCs w:val="14"/>
              </w:rPr>
              <w:t>Beklenen Zarar Karşılıkları</w:t>
            </w:r>
            <w:r w:rsidRPr="00A74C68">
              <w:rPr>
                <w:b/>
                <w:bCs/>
                <w:sz w:val="14"/>
                <w:szCs w:val="14"/>
                <w:lang w:eastAsia="tr-TR"/>
              </w:rPr>
              <w:t xml:space="preserve"> (-)</w:t>
            </w:r>
          </w:p>
        </w:tc>
        <w:tc>
          <w:tcPr>
            <w:tcW w:w="926" w:type="dxa"/>
            <w:tcBorders>
              <w:top w:val="nil"/>
              <w:left w:val="nil"/>
              <w:bottom w:val="nil"/>
              <w:right w:val="nil"/>
            </w:tcBorders>
            <w:noWrap/>
            <w:vAlign w:val="bottom"/>
            <w:hideMark/>
          </w:tcPr>
          <w:p w14:paraId="61431DFD" w14:textId="77777777" w:rsidR="00A74C68" w:rsidRPr="00A74C68" w:rsidRDefault="00A74C68" w:rsidP="00A74C68">
            <w:pPr>
              <w:jc w:val="center"/>
              <w:rPr>
                <w:b/>
                <w:bCs/>
                <w:color w:val="000000"/>
                <w:sz w:val="14"/>
                <w:szCs w:val="14"/>
                <w:lang w:eastAsia="tr-TR"/>
              </w:rPr>
            </w:pPr>
            <w:r w:rsidRPr="00A74C68">
              <w:rPr>
                <w:b/>
                <w:bCs/>
                <w:color w:val="000000"/>
                <w:sz w:val="14"/>
                <w:szCs w:val="14"/>
                <w:lang w:eastAsia="tr-TR"/>
              </w:rPr>
              <w:t> </w:t>
            </w:r>
          </w:p>
        </w:tc>
        <w:tc>
          <w:tcPr>
            <w:tcW w:w="1068" w:type="dxa"/>
            <w:tcBorders>
              <w:top w:val="nil"/>
              <w:left w:val="single" w:sz="4" w:space="0" w:color="auto"/>
              <w:bottom w:val="nil"/>
              <w:right w:val="nil"/>
            </w:tcBorders>
            <w:shd w:val="clear" w:color="000000" w:fill="FFFFFF"/>
            <w:vAlign w:val="bottom"/>
            <w:hideMark/>
          </w:tcPr>
          <w:p w14:paraId="66E2695F" w14:textId="77777777" w:rsidR="00A74C68" w:rsidRPr="00A74C68" w:rsidRDefault="00A74C68" w:rsidP="00A74C68">
            <w:pPr>
              <w:jc w:val="right"/>
              <w:rPr>
                <w:b/>
                <w:bCs/>
                <w:color w:val="000000"/>
                <w:sz w:val="14"/>
                <w:szCs w:val="14"/>
              </w:rPr>
            </w:pPr>
            <w:r w:rsidRPr="00A74C68">
              <w:rPr>
                <w:b/>
                <w:bCs/>
                <w:color w:val="000000"/>
                <w:sz w:val="14"/>
                <w:szCs w:val="14"/>
              </w:rPr>
              <w:t>296.729</w:t>
            </w:r>
          </w:p>
        </w:tc>
        <w:tc>
          <w:tcPr>
            <w:tcW w:w="1015" w:type="dxa"/>
            <w:tcBorders>
              <w:top w:val="nil"/>
              <w:left w:val="single" w:sz="4" w:space="0" w:color="auto"/>
              <w:bottom w:val="nil"/>
              <w:right w:val="nil"/>
            </w:tcBorders>
            <w:shd w:val="clear" w:color="000000" w:fill="FFFFFF"/>
            <w:vAlign w:val="bottom"/>
            <w:hideMark/>
          </w:tcPr>
          <w:p w14:paraId="16F14206" w14:textId="77777777" w:rsidR="00A74C68" w:rsidRPr="00A74C68" w:rsidRDefault="00A74C68" w:rsidP="00A74C68">
            <w:pPr>
              <w:jc w:val="right"/>
              <w:rPr>
                <w:b/>
                <w:bCs/>
                <w:color w:val="000000"/>
                <w:sz w:val="14"/>
                <w:szCs w:val="14"/>
              </w:rPr>
            </w:pPr>
            <w:r w:rsidRPr="00A74C68">
              <w:rPr>
                <w:b/>
                <w:bCs/>
                <w:color w:val="000000"/>
                <w:sz w:val="14"/>
                <w:szCs w:val="14"/>
              </w:rPr>
              <w:t>242.705</w:t>
            </w:r>
          </w:p>
        </w:tc>
        <w:tc>
          <w:tcPr>
            <w:tcW w:w="1088" w:type="dxa"/>
            <w:tcBorders>
              <w:top w:val="nil"/>
              <w:left w:val="single" w:sz="4" w:space="0" w:color="auto"/>
              <w:bottom w:val="nil"/>
              <w:right w:val="single" w:sz="4" w:space="0" w:color="auto"/>
            </w:tcBorders>
            <w:shd w:val="clear" w:color="000000" w:fill="FFFFFF"/>
            <w:vAlign w:val="bottom"/>
            <w:hideMark/>
          </w:tcPr>
          <w:p w14:paraId="407E91DC" w14:textId="77777777" w:rsidR="00A74C68" w:rsidRPr="00A74C68" w:rsidRDefault="00A74C68" w:rsidP="00A74C68">
            <w:pPr>
              <w:jc w:val="right"/>
              <w:rPr>
                <w:b/>
                <w:bCs/>
                <w:color w:val="000000"/>
                <w:sz w:val="14"/>
                <w:szCs w:val="14"/>
              </w:rPr>
            </w:pPr>
            <w:r w:rsidRPr="00A74C68">
              <w:rPr>
                <w:b/>
                <w:bCs/>
                <w:color w:val="000000"/>
                <w:sz w:val="14"/>
                <w:szCs w:val="14"/>
              </w:rPr>
              <w:t>539.434</w:t>
            </w:r>
          </w:p>
        </w:tc>
      </w:tr>
      <w:tr w:rsidR="00A74C68" w:rsidRPr="00A74C68" w14:paraId="2EEDD5EF" w14:textId="77777777" w:rsidTr="00655FD0">
        <w:trPr>
          <w:divId w:val="101003176"/>
          <w:trHeight w:val="113"/>
        </w:trPr>
        <w:tc>
          <w:tcPr>
            <w:tcW w:w="740" w:type="dxa"/>
            <w:tcBorders>
              <w:top w:val="nil"/>
              <w:left w:val="single" w:sz="4" w:space="0" w:color="auto"/>
              <w:bottom w:val="nil"/>
              <w:right w:val="nil"/>
            </w:tcBorders>
            <w:noWrap/>
            <w:hideMark/>
          </w:tcPr>
          <w:p w14:paraId="07F79668" w14:textId="77777777" w:rsidR="00A74C68" w:rsidRPr="00A74C68" w:rsidRDefault="00A74C68" w:rsidP="00A74C68">
            <w:pPr>
              <w:rPr>
                <w:b/>
                <w:bCs/>
                <w:color w:val="000000"/>
                <w:sz w:val="14"/>
                <w:szCs w:val="14"/>
              </w:rPr>
            </w:pPr>
            <w:r w:rsidRPr="00A74C68">
              <w:rPr>
                <w:b/>
                <w:bCs/>
                <w:color w:val="000000"/>
                <w:sz w:val="14"/>
                <w:szCs w:val="14"/>
              </w:rPr>
              <w:t>III.</w:t>
            </w:r>
          </w:p>
        </w:tc>
        <w:tc>
          <w:tcPr>
            <w:tcW w:w="5364" w:type="dxa"/>
            <w:tcBorders>
              <w:top w:val="nil"/>
              <w:left w:val="nil"/>
              <w:bottom w:val="nil"/>
              <w:right w:val="single" w:sz="4" w:space="0" w:color="auto"/>
            </w:tcBorders>
            <w:noWrap/>
            <w:hideMark/>
          </w:tcPr>
          <w:p w14:paraId="4051D904" w14:textId="77777777" w:rsidR="00A74C68" w:rsidRPr="00A74C68" w:rsidRDefault="00A74C68" w:rsidP="00A74C68">
            <w:pPr>
              <w:rPr>
                <w:b/>
                <w:bCs/>
                <w:color w:val="000000"/>
                <w:sz w:val="14"/>
                <w:szCs w:val="14"/>
              </w:rPr>
            </w:pPr>
            <w:r w:rsidRPr="00A74C68">
              <w:rPr>
                <w:b/>
                <w:bCs/>
                <w:color w:val="000000"/>
                <w:sz w:val="14"/>
                <w:szCs w:val="14"/>
              </w:rPr>
              <w:t>SATIŞ AMAÇLI ELDE TUTULAN VE DURDURULAN FAALİYETLERE İLİŞKİN DURAN VARLIKLAR (Net)</w:t>
            </w:r>
          </w:p>
        </w:tc>
        <w:tc>
          <w:tcPr>
            <w:tcW w:w="926" w:type="dxa"/>
            <w:tcBorders>
              <w:top w:val="nil"/>
              <w:left w:val="nil"/>
              <w:bottom w:val="nil"/>
              <w:right w:val="single" w:sz="4" w:space="0" w:color="auto"/>
            </w:tcBorders>
            <w:noWrap/>
            <w:vAlign w:val="bottom"/>
            <w:hideMark/>
          </w:tcPr>
          <w:p w14:paraId="1EFF4200" w14:textId="77777777" w:rsidR="00A74C68" w:rsidRPr="00A74C68" w:rsidRDefault="00A74C68" w:rsidP="00A74C68">
            <w:pPr>
              <w:jc w:val="center"/>
              <w:rPr>
                <w:b/>
                <w:bCs/>
                <w:color w:val="000000"/>
                <w:sz w:val="14"/>
                <w:szCs w:val="14"/>
                <w:lang w:eastAsia="tr-TR"/>
              </w:rPr>
            </w:pPr>
            <w:r w:rsidRPr="00A74C68">
              <w:rPr>
                <w:b/>
                <w:bCs/>
                <w:color w:val="000000"/>
                <w:sz w:val="14"/>
                <w:szCs w:val="14"/>
                <w:lang w:eastAsia="tr-TR"/>
              </w:rPr>
              <w:t> </w:t>
            </w:r>
          </w:p>
        </w:tc>
        <w:tc>
          <w:tcPr>
            <w:tcW w:w="1068" w:type="dxa"/>
            <w:tcBorders>
              <w:top w:val="nil"/>
              <w:left w:val="nil"/>
              <w:bottom w:val="nil"/>
              <w:right w:val="nil"/>
            </w:tcBorders>
            <w:shd w:val="clear" w:color="000000" w:fill="FFFFFF"/>
            <w:vAlign w:val="bottom"/>
            <w:hideMark/>
          </w:tcPr>
          <w:p w14:paraId="4193C1C8" w14:textId="77777777" w:rsidR="00A74C68" w:rsidRPr="00A74C68" w:rsidRDefault="00A74C68" w:rsidP="00A74C68">
            <w:pPr>
              <w:jc w:val="right"/>
              <w:rPr>
                <w:b/>
                <w:bCs/>
                <w:color w:val="000000"/>
                <w:sz w:val="14"/>
                <w:szCs w:val="14"/>
              </w:rPr>
            </w:pPr>
            <w:r w:rsidRPr="00A74C68">
              <w:rPr>
                <w:b/>
                <w:bCs/>
                <w:color w:val="000000"/>
                <w:sz w:val="14"/>
                <w:szCs w:val="14"/>
              </w:rPr>
              <w:t>-</w:t>
            </w:r>
          </w:p>
        </w:tc>
        <w:tc>
          <w:tcPr>
            <w:tcW w:w="1015" w:type="dxa"/>
            <w:tcBorders>
              <w:top w:val="nil"/>
              <w:left w:val="single" w:sz="4" w:space="0" w:color="auto"/>
              <w:bottom w:val="nil"/>
              <w:right w:val="nil"/>
            </w:tcBorders>
            <w:shd w:val="clear" w:color="000000" w:fill="FFFFFF"/>
            <w:vAlign w:val="bottom"/>
            <w:hideMark/>
          </w:tcPr>
          <w:p w14:paraId="5C7DEFF2" w14:textId="77777777" w:rsidR="00A74C68" w:rsidRPr="00A74C68" w:rsidRDefault="00A74C68" w:rsidP="00A74C68">
            <w:pPr>
              <w:jc w:val="right"/>
              <w:rPr>
                <w:b/>
                <w:bCs/>
                <w:color w:val="000000"/>
                <w:sz w:val="14"/>
                <w:szCs w:val="14"/>
              </w:rPr>
            </w:pPr>
            <w:r w:rsidRPr="00A74C68">
              <w:rPr>
                <w:b/>
                <w:bCs/>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666AEC08" w14:textId="77777777" w:rsidR="00A74C68" w:rsidRPr="00A74C68" w:rsidRDefault="00A74C68" w:rsidP="00A74C68">
            <w:pPr>
              <w:jc w:val="right"/>
              <w:rPr>
                <w:b/>
                <w:bCs/>
                <w:color w:val="000000"/>
                <w:sz w:val="14"/>
                <w:szCs w:val="14"/>
              </w:rPr>
            </w:pPr>
            <w:r w:rsidRPr="00A74C68">
              <w:rPr>
                <w:b/>
                <w:bCs/>
                <w:color w:val="000000"/>
                <w:sz w:val="14"/>
                <w:szCs w:val="14"/>
              </w:rPr>
              <w:t>-</w:t>
            </w:r>
          </w:p>
        </w:tc>
      </w:tr>
      <w:tr w:rsidR="00A74C68" w:rsidRPr="00A74C68" w14:paraId="2C4C4FE9" w14:textId="77777777" w:rsidTr="00655FD0">
        <w:trPr>
          <w:divId w:val="101003176"/>
          <w:trHeight w:val="113"/>
        </w:trPr>
        <w:tc>
          <w:tcPr>
            <w:tcW w:w="740" w:type="dxa"/>
            <w:tcBorders>
              <w:top w:val="nil"/>
              <w:left w:val="single" w:sz="4" w:space="0" w:color="auto"/>
              <w:bottom w:val="nil"/>
              <w:right w:val="nil"/>
            </w:tcBorders>
            <w:noWrap/>
            <w:hideMark/>
          </w:tcPr>
          <w:p w14:paraId="7535024B" w14:textId="77777777" w:rsidR="00A74C68" w:rsidRPr="00A74C68" w:rsidRDefault="00A74C68" w:rsidP="00A74C68">
            <w:pPr>
              <w:rPr>
                <w:sz w:val="14"/>
                <w:szCs w:val="14"/>
              </w:rPr>
            </w:pPr>
            <w:r w:rsidRPr="00A74C68">
              <w:rPr>
                <w:sz w:val="14"/>
                <w:szCs w:val="14"/>
              </w:rPr>
              <w:t>3.1</w:t>
            </w:r>
          </w:p>
        </w:tc>
        <w:tc>
          <w:tcPr>
            <w:tcW w:w="5364" w:type="dxa"/>
            <w:tcBorders>
              <w:top w:val="nil"/>
              <w:left w:val="nil"/>
              <w:bottom w:val="nil"/>
              <w:right w:val="single" w:sz="4" w:space="0" w:color="auto"/>
            </w:tcBorders>
            <w:hideMark/>
          </w:tcPr>
          <w:p w14:paraId="0DA5FA99" w14:textId="77777777" w:rsidR="00A74C68" w:rsidRPr="00A74C68" w:rsidRDefault="00A74C68" w:rsidP="00A74C68">
            <w:pPr>
              <w:rPr>
                <w:sz w:val="14"/>
                <w:szCs w:val="14"/>
              </w:rPr>
            </w:pPr>
            <w:r w:rsidRPr="00A74C68">
              <w:rPr>
                <w:sz w:val="14"/>
                <w:szCs w:val="14"/>
              </w:rPr>
              <w:t>Satış Amaçlı</w:t>
            </w:r>
          </w:p>
        </w:tc>
        <w:tc>
          <w:tcPr>
            <w:tcW w:w="926" w:type="dxa"/>
            <w:tcBorders>
              <w:top w:val="nil"/>
              <w:left w:val="nil"/>
              <w:bottom w:val="nil"/>
              <w:right w:val="single" w:sz="4" w:space="0" w:color="auto"/>
            </w:tcBorders>
            <w:noWrap/>
            <w:vAlign w:val="bottom"/>
            <w:hideMark/>
          </w:tcPr>
          <w:p w14:paraId="338B8318" w14:textId="77777777" w:rsidR="00A74C68" w:rsidRPr="00A74C68" w:rsidRDefault="00A74C68" w:rsidP="00A74C68">
            <w:pPr>
              <w:jc w:val="center"/>
              <w:rPr>
                <w:b/>
                <w:bCs/>
                <w:color w:val="000000"/>
                <w:sz w:val="14"/>
                <w:szCs w:val="14"/>
                <w:lang w:eastAsia="tr-TR"/>
              </w:rPr>
            </w:pPr>
            <w:r w:rsidRPr="00A74C68">
              <w:rPr>
                <w:b/>
                <w:bCs/>
                <w:color w:val="000000"/>
                <w:sz w:val="14"/>
                <w:szCs w:val="14"/>
                <w:lang w:eastAsia="tr-TR"/>
              </w:rPr>
              <w:t> </w:t>
            </w:r>
          </w:p>
        </w:tc>
        <w:tc>
          <w:tcPr>
            <w:tcW w:w="1068" w:type="dxa"/>
            <w:tcBorders>
              <w:top w:val="nil"/>
              <w:left w:val="nil"/>
              <w:bottom w:val="nil"/>
              <w:right w:val="nil"/>
            </w:tcBorders>
            <w:shd w:val="clear" w:color="000000" w:fill="FFFFFF"/>
            <w:vAlign w:val="bottom"/>
            <w:hideMark/>
          </w:tcPr>
          <w:p w14:paraId="0A30FC73" w14:textId="77777777" w:rsidR="00A74C68" w:rsidRPr="00A74C68" w:rsidRDefault="00A74C68" w:rsidP="00A74C68">
            <w:pPr>
              <w:jc w:val="right"/>
              <w:rPr>
                <w:color w:val="000000"/>
                <w:sz w:val="14"/>
                <w:szCs w:val="14"/>
              </w:rPr>
            </w:pPr>
            <w:r w:rsidRPr="00A74C68">
              <w:rPr>
                <w:color w:val="000000"/>
                <w:sz w:val="14"/>
                <w:szCs w:val="14"/>
              </w:rPr>
              <w:t>-</w:t>
            </w:r>
          </w:p>
        </w:tc>
        <w:tc>
          <w:tcPr>
            <w:tcW w:w="1015" w:type="dxa"/>
            <w:tcBorders>
              <w:top w:val="nil"/>
              <w:left w:val="single" w:sz="4" w:space="0" w:color="auto"/>
              <w:bottom w:val="nil"/>
              <w:right w:val="nil"/>
            </w:tcBorders>
            <w:shd w:val="clear" w:color="000000" w:fill="FFFFFF"/>
            <w:vAlign w:val="bottom"/>
            <w:hideMark/>
          </w:tcPr>
          <w:p w14:paraId="14517B42" w14:textId="77777777" w:rsidR="00A74C68" w:rsidRPr="00A74C68" w:rsidRDefault="00A74C68" w:rsidP="00A74C68">
            <w:pPr>
              <w:jc w:val="right"/>
              <w:rPr>
                <w:color w:val="000000"/>
                <w:sz w:val="14"/>
                <w:szCs w:val="14"/>
              </w:rPr>
            </w:pPr>
            <w:r w:rsidRPr="00A74C68">
              <w:rPr>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14F23E4A" w14:textId="77777777" w:rsidR="00A74C68" w:rsidRPr="00A74C68" w:rsidRDefault="00A74C68" w:rsidP="00A74C68">
            <w:pPr>
              <w:jc w:val="right"/>
              <w:rPr>
                <w:color w:val="000000"/>
                <w:sz w:val="14"/>
                <w:szCs w:val="14"/>
              </w:rPr>
            </w:pPr>
            <w:r w:rsidRPr="00A74C68">
              <w:rPr>
                <w:color w:val="000000"/>
                <w:sz w:val="14"/>
                <w:szCs w:val="14"/>
              </w:rPr>
              <w:t>-</w:t>
            </w:r>
          </w:p>
        </w:tc>
      </w:tr>
      <w:tr w:rsidR="00A74C68" w:rsidRPr="00A74C68" w14:paraId="30A11B6A" w14:textId="77777777" w:rsidTr="00655FD0">
        <w:trPr>
          <w:divId w:val="101003176"/>
          <w:trHeight w:val="113"/>
        </w:trPr>
        <w:tc>
          <w:tcPr>
            <w:tcW w:w="740" w:type="dxa"/>
            <w:tcBorders>
              <w:top w:val="nil"/>
              <w:left w:val="single" w:sz="4" w:space="0" w:color="auto"/>
              <w:bottom w:val="nil"/>
              <w:right w:val="nil"/>
            </w:tcBorders>
            <w:noWrap/>
            <w:hideMark/>
          </w:tcPr>
          <w:p w14:paraId="06A26BE0" w14:textId="77777777" w:rsidR="00A74C68" w:rsidRPr="00A74C68" w:rsidRDefault="00A74C68" w:rsidP="00A74C68">
            <w:pPr>
              <w:rPr>
                <w:sz w:val="14"/>
                <w:szCs w:val="14"/>
              </w:rPr>
            </w:pPr>
            <w:r w:rsidRPr="00A74C68">
              <w:rPr>
                <w:sz w:val="14"/>
                <w:szCs w:val="14"/>
              </w:rPr>
              <w:t>3.2</w:t>
            </w:r>
          </w:p>
        </w:tc>
        <w:tc>
          <w:tcPr>
            <w:tcW w:w="5364" w:type="dxa"/>
            <w:tcBorders>
              <w:top w:val="nil"/>
              <w:left w:val="nil"/>
              <w:bottom w:val="nil"/>
              <w:right w:val="single" w:sz="4" w:space="0" w:color="auto"/>
            </w:tcBorders>
            <w:hideMark/>
          </w:tcPr>
          <w:p w14:paraId="201115C4" w14:textId="77777777" w:rsidR="00A74C68" w:rsidRPr="00A74C68" w:rsidRDefault="00A74C68" w:rsidP="00A74C68">
            <w:pPr>
              <w:rPr>
                <w:sz w:val="14"/>
                <w:szCs w:val="14"/>
              </w:rPr>
            </w:pPr>
            <w:r w:rsidRPr="00A74C68">
              <w:rPr>
                <w:sz w:val="14"/>
                <w:szCs w:val="14"/>
              </w:rPr>
              <w:t>Durdurulan Faaliyetlere İlişkin</w:t>
            </w:r>
          </w:p>
        </w:tc>
        <w:tc>
          <w:tcPr>
            <w:tcW w:w="926" w:type="dxa"/>
            <w:tcBorders>
              <w:top w:val="nil"/>
              <w:left w:val="nil"/>
              <w:bottom w:val="nil"/>
              <w:right w:val="single" w:sz="4" w:space="0" w:color="auto"/>
            </w:tcBorders>
            <w:noWrap/>
            <w:vAlign w:val="bottom"/>
            <w:hideMark/>
          </w:tcPr>
          <w:p w14:paraId="4A7CCC2E" w14:textId="77777777" w:rsidR="00A74C68" w:rsidRPr="00A74C68" w:rsidRDefault="00A74C68" w:rsidP="00A74C68">
            <w:pPr>
              <w:jc w:val="center"/>
              <w:rPr>
                <w:b/>
                <w:bCs/>
                <w:color w:val="000000"/>
                <w:sz w:val="14"/>
                <w:szCs w:val="14"/>
                <w:lang w:eastAsia="tr-TR"/>
              </w:rPr>
            </w:pPr>
            <w:r w:rsidRPr="00A74C68">
              <w:rPr>
                <w:b/>
                <w:bCs/>
                <w:color w:val="000000"/>
                <w:sz w:val="14"/>
                <w:szCs w:val="14"/>
                <w:lang w:eastAsia="tr-TR"/>
              </w:rPr>
              <w:t> </w:t>
            </w:r>
          </w:p>
        </w:tc>
        <w:tc>
          <w:tcPr>
            <w:tcW w:w="1068" w:type="dxa"/>
            <w:tcBorders>
              <w:top w:val="nil"/>
              <w:left w:val="nil"/>
              <w:bottom w:val="nil"/>
              <w:right w:val="nil"/>
            </w:tcBorders>
            <w:shd w:val="clear" w:color="000000" w:fill="FFFFFF"/>
            <w:vAlign w:val="bottom"/>
            <w:hideMark/>
          </w:tcPr>
          <w:p w14:paraId="30B1E198" w14:textId="77777777" w:rsidR="00A74C68" w:rsidRPr="00A74C68" w:rsidRDefault="00A74C68" w:rsidP="00A74C68">
            <w:pPr>
              <w:jc w:val="right"/>
              <w:rPr>
                <w:color w:val="000000"/>
                <w:sz w:val="14"/>
                <w:szCs w:val="14"/>
              </w:rPr>
            </w:pPr>
            <w:r w:rsidRPr="00A74C68">
              <w:rPr>
                <w:color w:val="000000"/>
                <w:sz w:val="14"/>
                <w:szCs w:val="14"/>
              </w:rPr>
              <w:t>-</w:t>
            </w:r>
          </w:p>
        </w:tc>
        <w:tc>
          <w:tcPr>
            <w:tcW w:w="1015" w:type="dxa"/>
            <w:tcBorders>
              <w:top w:val="nil"/>
              <w:left w:val="single" w:sz="4" w:space="0" w:color="auto"/>
              <w:bottom w:val="nil"/>
              <w:right w:val="nil"/>
            </w:tcBorders>
            <w:shd w:val="clear" w:color="000000" w:fill="FFFFFF"/>
            <w:vAlign w:val="bottom"/>
            <w:hideMark/>
          </w:tcPr>
          <w:p w14:paraId="332858BD" w14:textId="77777777" w:rsidR="00A74C68" w:rsidRPr="00A74C68" w:rsidRDefault="00A74C68" w:rsidP="00A74C68">
            <w:pPr>
              <w:jc w:val="right"/>
              <w:rPr>
                <w:color w:val="000000"/>
                <w:sz w:val="14"/>
                <w:szCs w:val="14"/>
              </w:rPr>
            </w:pPr>
            <w:r w:rsidRPr="00A74C68">
              <w:rPr>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2DE1204E" w14:textId="77777777" w:rsidR="00A74C68" w:rsidRPr="00A74C68" w:rsidRDefault="00A74C68" w:rsidP="00A74C68">
            <w:pPr>
              <w:jc w:val="right"/>
              <w:rPr>
                <w:color w:val="000000"/>
                <w:sz w:val="14"/>
                <w:szCs w:val="14"/>
              </w:rPr>
            </w:pPr>
            <w:r w:rsidRPr="00A74C68">
              <w:rPr>
                <w:color w:val="000000"/>
                <w:sz w:val="14"/>
                <w:szCs w:val="14"/>
              </w:rPr>
              <w:t>-</w:t>
            </w:r>
          </w:p>
        </w:tc>
      </w:tr>
      <w:tr w:rsidR="00A74C68" w:rsidRPr="00A74C68" w14:paraId="1EE8C473" w14:textId="77777777" w:rsidTr="00655FD0">
        <w:trPr>
          <w:divId w:val="101003176"/>
          <w:trHeight w:val="113"/>
        </w:trPr>
        <w:tc>
          <w:tcPr>
            <w:tcW w:w="740" w:type="dxa"/>
            <w:tcBorders>
              <w:top w:val="nil"/>
              <w:left w:val="single" w:sz="4" w:space="0" w:color="auto"/>
              <w:bottom w:val="nil"/>
              <w:right w:val="nil"/>
            </w:tcBorders>
            <w:noWrap/>
            <w:hideMark/>
          </w:tcPr>
          <w:p w14:paraId="2FA58B7F" w14:textId="77777777" w:rsidR="00A74C68" w:rsidRPr="00A74C68" w:rsidRDefault="00A74C68" w:rsidP="00A74C68">
            <w:pPr>
              <w:rPr>
                <w:b/>
                <w:bCs/>
                <w:color w:val="000000"/>
                <w:sz w:val="14"/>
                <w:szCs w:val="14"/>
              </w:rPr>
            </w:pPr>
            <w:r w:rsidRPr="00A74C68">
              <w:rPr>
                <w:b/>
                <w:bCs/>
                <w:color w:val="000000"/>
                <w:sz w:val="14"/>
                <w:szCs w:val="14"/>
              </w:rPr>
              <w:t>IV.</w:t>
            </w:r>
          </w:p>
        </w:tc>
        <w:tc>
          <w:tcPr>
            <w:tcW w:w="5364" w:type="dxa"/>
            <w:tcBorders>
              <w:top w:val="nil"/>
              <w:left w:val="nil"/>
              <w:bottom w:val="nil"/>
              <w:right w:val="single" w:sz="4" w:space="0" w:color="auto"/>
            </w:tcBorders>
            <w:hideMark/>
          </w:tcPr>
          <w:p w14:paraId="7CE566BE" w14:textId="77777777" w:rsidR="00A74C68" w:rsidRPr="00A74C68" w:rsidRDefault="00A74C68" w:rsidP="00A74C68">
            <w:pPr>
              <w:rPr>
                <w:b/>
                <w:bCs/>
                <w:color w:val="000000"/>
                <w:sz w:val="14"/>
                <w:szCs w:val="14"/>
              </w:rPr>
            </w:pPr>
            <w:r w:rsidRPr="00A74C68">
              <w:rPr>
                <w:b/>
                <w:bCs/>
                <w:color w:val="000000"/>
                <w:sz w:val="14"/>
                <w:szCs w:val="14"/>
              </w:rPr>
              <w:t>ORTAKLIK YATIRIMLARI</w:t>
            </w:r>
          </w:p>
        </w:tc>
        <w:tc>
          <w:tcPr>
            <w:tcW w:w="926" w:type="dxa"/>
            <w:tcBorders>
              <w:top w:val="nil"/>
              <w:left w:val="nil"/>
              <w:bottom w:val="nil"/>
              <w:right w:val="single" w:sz="4" w:space="0" w:color="auto"/>
            </w:tcBorders>
            <w:noWrap/>
            <w:vAlign w:val="bottom"/>
            <w:hideMark/>
          </w:tcPr>
          <w:p w14:paraId="07A37E8A" w14:textId="77777777" w:rsidR="00A74C68" w:rsidRPr="00A74C68" w:rsidRDefault="00A74C68" w:rsidP="00A74C68">
            <w:pPr>
              <w:jc w:val="center"/>
              <w:rPr>
                <w:b/>
                <w:bCs/>
                <w:color w:val="000000"/>
                <w:sz w:val="14"/>
                <w:szCs w:val="14"/>
              </w:rPr>
            </w:pPr>
            <w:r w:rsidRPr="00A74C68">
              <w:rPr>
                <w:b/>
                <w:bCs/>
                <w:color w:val="000000"/>
                <w:sz w:val="14"/>
                <w:szCs w:val="14"/>
              </w:rPr>
              <w:t>(10)</w:t>
            </w:r>
          </w:p>
        </w:tc>
        <w:tc>
          <w:tcPr>
            <w:tcW w:w="1068" w:type="dxa"/>
            <w:tcBorders>
              <w:top w:val="nil"/>
              <w:left w:val="nil"/>
              <w:bottom w:val="nil"/>
              <w:right w:val="nil"/>
            </w:tcBorders>
            <w:shd w:val="clear" w:color="000000" w:fill="FFFFFF"/>
            <w:vAlign w:val="bottom"/>
            <w:hideMark/>
          </w:tcPr>
          <w:p w14:paraId="263A1CD2" w14:textId="77777777" w:rsidR="00A74C68" w:rsidRPr="00A74C68" w:rsidRDefault="00A74C68" w:rsidP="00A74C68">
            <w:pPr>
              <w:jc w:val="right"/>
              <w:rPr>
                <w:b/>
                <w:bCs/>
                <w:color w:val="000000"/>
                <w:sz w:val="14"/>
                <w:szCs w:val="14"/>
              </w:rPr>
            </w:pPr>
            <w:r w:rsidRPr="00A74C68">
              <w:rPr>
                <w:b/>
                <w:bCs/>
                <w:color w:val="000000"/>
                <w:sz w:val="14"/>
                <w:szCs w:val="14"/>
              </w:rPr>
              <w:t>655.250</w:t>
            </w:r>
          </w:p>
        </w:tc>
        <w:tc>
          <w:tcPr>
            <w:tcW w:w="1015" w:type="dxa"/>
            <w:tcBorders>
              <w:top w:val="nil"/>
              <w:left w:val="single" w:sz="4" w:space="0" w:color="auto"/>
              <w:bottom w:val="nil"/>
              <w:right w:val="nil"/>
            </w:tcBorders>
            <w:shd w:val="clear" w:color="000000" w:fill="FFFFFF"/>
            <w:vAlign w:val="bottom"/>
            <w:hideMark/>
          </w:tcPr>
          <w:p w14:paraId="1E706FF8" w14:textId="77777777" w:rsidR="00A74C68" w:rsidRPr="00A74C68" w:rsidRDefault="00A74C68" w:rsidP="00A74C68">
            <w:pPr>
              <w:jc w:val="right"/>
              <w:rPr>
                <w:b/>
                <w:bCs/>
                <w:color w:val="000000"/>
                <w:sz w:val="14"/>
                <w:szCs w:val="14"/>
              </w:rPr>
            </w:pPr>
            <w:r w:rsidRPr="00A74C68">
              <w:rPr>
                <w:b/>
                <w:bCs/>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5A84421A" w14:textId="77777777" w:rsidR="00A74C68" w:rsidRPr="00A74C68" w:rsidRDefault="00A74C68" w:rsidP="00A74C68">
            <w:pPr>
              <w:jc w:val="right"/>
              <w:rPr>
                <w:b/>
                <w:bCs/>
                <w:color w:val="000000"/>
                <w:sz w:val="14"/>
                <w:szCs w:val="14"/>
              </w:rPr>
            </w:pPr>
            <w:r w:rsidRPr="00A74C68">
              <w:rPr>
                <w:b/>
                <w:bCs/>
                <w:color w:val="000000"/>
                <w:sz w:val="14"/>
                <w:szCs w:val="14"/>
              </w:rPr>
              <w:t>655.250</w:t>
            </w:r>
          </w:p>
        </w:tc>
      </w:tr>
      <w:tr w:rsidR="00A74C68" w:rsidRPr="00A74C68" w14:paraId="39D49B53" w14:textId="77777777" w:rsidTr="00655FD0">
        <w:trPr>
          <w:divId w:val="101003176"/>
          <w:trHeight w:val="113"/>
        </w:trPr>
        <w:tc>
          <w:tcPr>
            <w:tcW w:w="740" w:type="dxa"/>
            <w:tcBorders>
              <w:top w:val="nil"/>
              <w:left w:val="single" w:sz="4" w:space="0" w:color="auto"/>
              <w:bottom w:val="nil"/>
              <w:right w:val="nil"/>
            </w:tcBorders>
            <w:noWrap/>
            <w:hideMark/>
          </w:tcPr>
          <w:p w14:paraId="62C543EC" w14:textId="77777777" w:rsidR="00A74C68" w:rsidRPr="00A74C68" w:rsidRDefault="00A74C68" w:rsidP="00A74C68">
            <w:pPr>
              <w:rPr>
                <w:b/>
                <w:bCs/>
                <w:sz w:val="14"/>
                <w:szCs w:val="14"/>
              </w:rPr>
            </w:pPr>
            <w:r w:rsidRPr="00A74C68">
              <w:rPr>
                <w:b/>
                <w:bCs/>
                <w:sz w:val="14"/>
                <w:szCs w:val="14"/>
              </w:rPr>
              <w:t>4.1</w:t>
            </w:r>
          </w:p>
        </w:tc>
        <w:tc>
          <w:tcPr>
            <w:tcW w:w="5364" w:type="dxa"/>
            <w:tcBorders>
              <w:top w:val="nil"/>
              <w:left w:val="nil"/>
              <w:bottom w:val="nil"/>
              <w:right w:val="single" w:sz="4" w:space="0" w:color="auto"/>
            </w:tcBorders>
            <w:hideMark/>
          </w:tcPr>
          <w:p w14:paraId="44CB8DE6" w14:textId="77777777" w:rsidR="00A74C68" w:rsidRPr="00A74C68" w:rsidRDefault="00A74C68" w:rsidP="00A74C68">
            <w:pPr>
              <w:rPr>
                <w:b/>
                <w:bCs/>
                <w:sz w:val="14"/>
                <w:szCs w:val="14"/>
              </w:rPr>
            </w:pPr>
            <w:r w:rsidRPr="00A74C68">
              <w:rPr>
                <w:b/>
                <w:bCs/>
                <w:sz w:val="14"/>
                <w:szCs w:val="14"/>
              </w:rPr>
              <w:t>İştirakler (Net)</w:t>
            </w:r>
          </w:p>
        </w:tc>
        <w:tc>
          <w:tcPr>
            <w:tcW w:w="926" w:type="dxa"/>
            <w:tcBorders>
              <w:top w:val="nil"/>
              <w:left w:val="nil"/>
              <w:bottom w:val="nil"/>
              <w:right w:val="single" w:sz="4" w:space="0" w:color="auto"/>
            </w:tcBorders>
            <w:noWrap/>
            <w:vAlign w:val="bottom"/>
            <w:hideMark/>
          </w:tcPr>
          <w:p w14:paraId="500F903D" w14:textId="77777777" w:rsidR="00A74C68" w:rsidRPr="00A74C68" w:rsidRDefault="00A74C68" w:rsidP="00A74C68">
            <w:pPr>
              <w:jc w:val="center"/>
              <w:rPr>
                <w:b/>
                <w:bCs/>
                <w:color w:val="000000"/>
                <w:sz w:val="14"/>
                <w:szCs w:val="14"/>
                <w:lang w:eastAsia="tr-TR"/>
              </w:rPr>
            </w:pPr>
            <w:r w:rsidRPr="00A74C68">
              <w:rPr>
                <w:b/>
                <w:bCs/>
                <w:color w:val="000000"/>
                <w:sz w:val="14"/>
                <w:szCs w:val="14"/>
                <w:lang w:eastAsia="tr-TR"/>
              </w:rPr>
              <w:t> </w:t>
            </w:r>
          </w:p>
        </w:tc>
        <w:tc>
          <w:tcPr>
            <w:tcW w:w="1068" w:type="dxa"/>
            <w:tcBorders>
              <w:top w:val="nil"/>
              <w:left w:val="nil"/>
              <w:bottom w:val="nil"/>
              <w:right w:val="nil"/>
            </w:tcBorders>
            <w:shd w:val="clear" w:color="000000" w:fill="FFFFFF"/>
            <w:vAlign w:val="bottom"/>
            <w:hideMark/>
          </w:tcPr>
          <w:p w14:paraId="001D4C48" w14:textId="77777777" w:rsidR="00A74C68" w:rsidRPr="00A74C68" w:rsidRDefault="00A74C68" w:rsidP="00A74C68">
            <w:pPr>
              <w:jc w:val="right"/>
              <w:rPr>
                <w:b/>
                <w:bCs/>
                <w:color w:val="000000"/>
                <w:sz w:val="14"/>
                <w:szCs w:val="14"/>
              </w:rPr>
            </w:pPr>
            <w:r w:rsidRPr="00A74C68">
              <w:rPr>
                <w:b/>
                <w:bCs/>
                <w:color w:val="000000"/>
                <w:sz w:val="14"/>
                <w:szCs w:val="14"/>
              </w:rPr>
              <w:t>-</w:t>
            </w:r>
          </w:p>
        </w:tc>
        <w:tc>
          <w:tcPr>
            <w:tcW w:w="1015" w:type="dxa"/>
            <w:tcBorders>
              <w:top w:val="nil"/>
              <w:left w:val="single" w:sz="4" w:space="0" w:color="auto"/>
              <w:bottom w:val="nil"/>
              <w:right w:val="nil"/>
            </w:tcBorders>
            <w:shd w:val="clear" w:color="000000" w:fill="FFFFFF"/>
            <w:vAlign w:val="bottom"/>
            <w:hideMark/>
          </w:tcPr>
          <w:p w14:paraId="7F040AA5" w14:textId="77777777" w:rsidR="00A74C68" w:rsidRPr="00A74C68" w:rsidRDefault="00A74C68" w:rsidP="00A74C68">
            <w:pPr>
              <w:jc w:val="right"/>
              <w:rPr>
                <w:b/>
                <w:bCs/>
                <w:color w:val="000000"/>
                <w:sz w:val="14"/>
                <w:szCs w:val="14"/>
              </w:rPr>
            </w:pPr>
            <w:r w:rsidRPr="00A74C68">
              <w:rPr>
                <w:b/>
                <w:bCs/>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59194764" w14:textId="77777777" w:rsidR="00A74C68" w:rsidRPr="00A74C68" w:rsidRDefault="00A74C68" w:rsidP="00A74C68">
            <w:pPr>
              <w:jc w:val="right"/>
              <w:rPr>
                <w:b/>
                <w:bCs/>
                <w:color w:val="000000"/>
                <w:sz w:val="14"/>
                <w:szCs w:val="14"/>
              </w:rPr>
            </w:pPr>
            <w:r w:rsidRPr="00A74C68">
              <w:rPr>
                <w:b/>
                <w:bCs/>
                <w:color w:val="000000"/>
                <w:sz w:val="14"/>
                <w:szCs w:val="14"/>
              </w:rPr>
              <w:t>-</w:t>
            </w:r>
          </w:p>
        </w:tc>
      </w:tr>
      <w:tr w:rsidR="00A74C68" w:rsidRPr="00A74C68" w14:paraId="3E1D64D2" w14:textId="77777777" w:rsidTr="00655FD0">
        <w:trPr>
          <w:divId w:val="101003176"/>
          <w:trHeight w:val="113"/>
        </w:trPr>
        <w:tc>
          <w:tcPr>
            <w:tcW w:w="740" w:type="dxa"/>
            <w:tcBorders>
              <w:top w:val="nil"/>
              <w:left w:val="single" w:sz="4" w:space="0" w:color="auto"/>
              <w:bottom w:val="nil"/>
              <w:right w:val="nil"/>
            </w:tcBorders>
            <w:noWrap/>
            <w:hideMark/>
          </w:tcPr>
          <w:p w14:paraId="2C578A62" w14:textId="77777777" w:rsidR="00A74C68" w:rsidRPr="00A74C68" w:rsidRDefault="00A74C68" w:rsidP="00A74C68">
            <w:pPr>
              <w:rPr>
                <w:sz w:val="14"/>
                <w:szCs w:val="14"/>
              </w:rPr>
            </w:pPr>
            <w:r w:rsidRPr="00A74C68">
              <w:rPr>
                <w:sz w:val="14"/>
                <w:szCs w:val="14"/>
              </w:rPr>
              <w:t>4.1.1</w:t>
            </w:r>
          </w:p>
        </w:tc>
        <w:tc>
          <w:tcPr>
            <w:tcW w:w="5364" w:type="dxa"/>
            <w:tcBorders>
              <w:top w:val="nil"/>
              <w:left w:val="nil"/>
              <w:bottom w:val="nil"/>
              <w:right w:val="single" w:sz="4" w:space="0" w:color="auto"/>
            </w:tcBorders>
            <w:hideMark/>
          </w:tcPr>
          <w:p w14:paraId="3564932A" w14:textId="77777777" w:rsidR="00A74C68" w:rsidRPr="00A74C68" w:rsidRDefault="00A74C68" w:rsidP="00A74C68">
            <w:pPr>
              <w:rPr>
                <w:sz w:val="14"/>
                <w:szCs w:val="14"/>
              </w:rPr>
            </w:pPr>
            <w:r w:rsidRPr="00A74C68">
              <w:rPr>
                <w:sz w:val="14"/>
                <w:szCs w:val="14"/>
              </w:rPr>
              <w:t>Özkaynak Yöntemine Göre Değerlenenler</w:t>
            </w:r>
          </w:p>
        </w:tc>
        <w:tc>
          <w:tcPr>
            <w:tcW w:w="926" w:type="dxa"/>
            <w:tcBorders>
              <w:top w:val="nil"/>
              <w:left w:val="nil"/>
              <w:bottom w:val="nil"/>
              <w:right w:val="single" w:sz="4" w:space="0" w:color="auto"/>
            </w:tcBorders>
            <w:noWrap/>
            <w:vAlign w:val="bottom"/>
            <w:hideMark/>
          </w:tcPr>
          <w:p w14:paraId="6E6E899F" w14:textId="77777777" w:rsidR="00A74C68" w:rsidRPr="00A74C68" w:rsidRDefault="00A74C68" w:rsidP="00A74C68">
            <w:pPr>
              <w:jc w:val="center"/>
              <w:rPr>
                <w:b/>
                <w:bCs/>
                <w:color w:val="000000"/>
                <w:sz w:val="14"/>
                <w:szCs w:val="14"/>
                <w:lang w:eastAsia="tr-TR"/>
              </w:rPr>
            </w:pPr>
            <w:r w:rsidRPr="00A74C68">
              <w:rPr>
                <w:b/>
                <w:bCs/>
                <w:color w:val="000000"/>
                <w:sz w:val="14"/>
                <w:szCs w:val="14"/>
                <w:lang w:eastAsia="tr-TR"/>
              </w:rPr>
              <w:t> </w:t>
            </w:r>
          </w:p>
        </w:tc>
        <w:tc>
          <w:tcPr>
            <w:tcW w:w="1068" w:type="dxa"/>
            <w:tcBorders>
              <w:top w:val="nil"/>
              <w:left w:val="nil"/>
              <w:bottom w:val="nil"/>
              <w:right w:val="nil"/>
            </w:tcBorders>
            <w:shd w:val="clear" w:color="000000" w:fill="FFFFFF"/>
            <w:vAlign w:val="bottom"/>
            <w:hideMark/>
          </w:tcPr>
          <w:p w14:paraId="21A29106" w14:textId="77777777" w:rsidR="00A74C68" w:rsidRPr="00A74C68" w:rsidRDefault="00A74C68" w:rsidP="00A74C68">
            <w:pPr>
              <w:jc w:val="right"/>
              <w:rPr>
                <w:color w:val="000000"/>
                <w:sz w:val="14"/>
                <w:szCs w:val="14"/>
              </w:rPr>
            </w:pPr>
            <w:r w:rsidRPr="00A74C68">
              <w:rPr>
                <w:color w:val="000000"/>
                <w:sz w:val="14"/>
                <w:szCs w:val="14"/>
              </w:rPr>
              <w:t>-</w:t>
            </w:r>
          </w:p>
        </w:tc>
        <w:tc>
          <w:tcPr>
            <w:tcW w:w="1015" w:type="dxa"/>
            <w:tcBorders>
              <w:top w:val="nil"/>
              <w:left w:val="single" w:sz="4" w:space="0" w:color="auto"/>
              <w:bottom w:val="nil"/>
              <w:right w:val="nil"/>
            </w:tcBorders>
            <w:shd w:val="clear" w:color="000000" w:fill="FFFFFF"/>
            <w:vAlign w:val="bottom"/>
            <w:hideMark/>
          </w:tcPr>
          <w:p w14:paraId="74A25B2F" w14:textId="77777777" w:rsidR="00A74C68" w:rsidRPr="00A74C68" w:rsidRDefault="00A74C68" w:rsidP="00A74C68">
            <w:pPr>
              <w:jc w:val="right"/>
              <w:rPr>
                <w:color w:val="000000"/>
                <w:sz w:val="14"/>
                <w:szCs w:val="14"/>
              </w:rPr>
            </w:pPr>
            <w:r w:rsidRPr="00A74C68">
              <w:rPr>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13910945" w14:textId="77777777" w:rsidR="00A74C68" w:rsidRPr="00A74C68" w:rsidRDefault="00A74C68" w:rsidP="00A74C68">
            <w:pPr>
              <w:jc w:val="right"/>
              <w:rPr>
                <w:color w:val="000000"/>
                <w:sz w:val="14"/>
                <w:szCs w:val="14"/>
              </w:rPr>
            </w:pPr>
            <w:r w:rsidRPr="00A74C68">
              <w:rPr>
                <w:color w:val="000000"/>
                <w:sz w:val="14"/>
                <w:szCs w:val="14"/>
              </w:rPr>
              <w:t>-</w:t>
            </w:r>
          </w:p>
        </w:tc>
      </w:tr>
      <w:tr w:rsidR="00A74C68" w:rsidRPr="00A74C68" w14:paraId="4BC76EF8" w14:textId="77777777" w:rsidTr="00655FD0">
        <w:trPr>
          <w:divId w:val="101003176"/>
          <w:trHeight w:val="113"/>
        </w:trPr>
        <w:tc>
          <w:tcPr>
            <w:tcW w:w="740" w:type="dxa"/>
            <w:tcBorders>
              <w:top w:val="nil"/>
              <w:left w:val="single" w:sz="4" w:space="0" w:color="auto"/>
              <w:bottom w:val="nil"/>
              <w:right w:val="nil"/>
            </w:tcBorders>
            <w:noWrap/>
            <w:hideMark/>
          </w:tcPr>
          <w:p w14:paraId="08B1B471" w14:textId="77777777" w:rsidR="00A74C68" w:rsidRPr="00A74C68" w:rsidRDefault="00A74C68" w:rsidP="00A74C68">
            <w:pPr>
              <w:rPr>
                <w:sz w:val="14"/>
                <w:szCs w:val="14"/>
              </w:rPr>
            </w:pPr>
            <w:r w:rsidRPr="00A74C68">
              <w:rPr>
                <w:sz w:val="14"/>
                <w:szCs w:val="14"/>
              </w:rPr>
              <w:t>4.1.2</w:t>
            </w:r>
          </w:p>
        </w:tc>
        <w:tc>
          <w:tcPr>
            <w:tcW w:w="5364" w:type="dxa"/>
            <w:tcBorders>
              <w:top w:val="nil"/>
              <w:left w:val="nil"/>
              <w:bottom w:val="nil"/>
              <w:right w:val="single" w:sz="4" w:space="0" w:color="auto"/>
            </w:tcBorders>
            <w:hideMark/>
          </w:tcPr>
          <w:p w14:paraId="246418F6" w14:textId="77777777" w:rsidR="00A74C68" w:rsidRPr="00A74C68" w:rsidRDefault="00A74C68" w:rsidP="00A74C68">
            <w:pPr>
              <w:rPr>
                <w:sz w:val="14"/>
                <w:szCs w:val="14"/>
              </w:rPr>
            </w:pPr>
            <w:r w:rsidRPr="00A74C68">
              <w:rPr>
                <w:sz w:val="14"/>
                <w:szCs w:val="14"/>
              </w:rPr>
              <w:t>Konsolide Edilmeyenler</w:t>
            </w:r>
          </w:p>
        </w:tc>
        <w:tc>
          <w:tcPr>
            <w:tcW w:w="926" w:type="dxa"/>
            <w:tcBorders>
              <w:top w:val="nil"/>
              <w:left w:val="nil"/>
              <w:bottom w:val="nil"/>
              <w:right w:val="single" w:sz="4" w:space="0" w:color="auto"/>
            </w:tcBorders>
            <w:noWrap/>
            <w:vAlign w:val="bottom"/>
            <w:hideMark/>
          </w:tcPr>
          <w:p w14:paraId="2F1E5AE7" w14:textId="77777777" w:rsidR="00A74C68" w:rsidRPr="00A74C68" w:rsidRDefault="00A74C68" w:rsidP="00A74C68">
            <w:pPr>
              <w:jc w:val="center"/>
              <w:rPr>
                <w:b/>
                <w:bCs/>
                <w:color w:val="000000"/>
                <w:sz w:val="14"/>
                <w:szCs w:val="14"/>
                <w:lang w:eastAsia="tr-TR"/>
              </w:rPr>
            </w:pPr>
            <w:r w:rsidRPr="00A74C68">
              <w:rPr>
                <w:b/>
                <w:bCs/>
                <w:color w:val="000000"/>
                <w:sz w:val="14"/>
                <w:szCs w:val="14"/>
                <w:lang w:eastAsia="tr-TR"/>
              </w:rPr>
              <w:t> </w:t>
            </w:r>
          </w:p>
        </w:tc>
        <w:tc>
          <w:tcPr>
            <w:tcW w:w="1068" w:type="dxa"/>
            <w:tcBorders>
              <w:top w:val="nil"/>
              <w:left w:val="nil"/>
              <w:bottom w:val="nil"/>
              <w:right w:val="nil"/>
            </w:tcBorders>
            <w:shd w:val="clear" w:color="000000" w:fill="FFFFFF"/>
            <w:vAlign w:val="bottom"/>
            <w:hideMark/>
          </w:tcPr>
          <w:p w14:paraId="3A9218F9" w14:textId="77777777" w:rsidR="00A74C68" w:rsidRPr="00A74C68" w:rsidRDefault="00A74C68" w:rsidP="00A74C68">
            <w:pPr>
              <w:jc w:val="right"/>
              <w:rPr>
                <w:color w:val="000000"/>
                <w:sz w:val="14"/>
                <w:szCs w:val="14"/>
              </w:rPr>
            </w:pPr>
            <w:r w:rsidRPr="00A74C68">
              <w:rPr>
                <w:color w:val="000000"/>
                <w:sz w:val="14"/>
                <w:szCs w:val="14"/>
              </w:rPr>
              <w:t>-</w:t>
            </w:r>
          </w:p>
        </w:tc>
        <w:tc>
          <w:tcPr>
            <w:tcW w:w="1015" w:type="dxa"/>
            <w:tcBorders>
              <w:top w:val="nil"/>
              <w:left w:val="single" w:sz="4" w:space="0" w:color="auto"/>
              <w:bottom w:val="nil"/>
              <w:right w:val="nil"/>
            </w:tcBorders>
            <w:shd w:val="clear" w:color="000000" w:fill="FFFFFF"/>
            <w:vAlign w:val="bottom"/>
            <w:hideMark/>
          </w:tcPr>
          <w:p w14:paraId="11D4E61F" w14:textId="77777777" w:rsidR="00A74C68" w:rsidRPr="00A74C68" w:rsidRDefault="00A74C68" w:rsidP="00A74C68">
            <w:pPr>
              <w:jc w:val="right"/>
              <w:rPr>
                <w:color w:val="000000"/>
                <w:sz w:val="14"/>
                <w:szCs w:val="14"/>
              </w:rPr>
            </w:pPr>
            <w:r w:rsidRPr="00A74C68">
              <w:rPr>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2F8CE8B0" w14:textId="77777777" w:rsidR="00A74C68" w:rsidRPr="00A74C68" w:rsidRDefault="00A74C68" w:rsidP="00A74C68">
            <w:pPr>
              <w:jc w:val="right"/>
              <w:rPr>
                <w:color w:val="000000"/>
                <w:sz w:val="14"/>
                <w:szCs w:val="14"/>
              </w:rPr>
            </w:pPr>
            <w:r w:rsidRPr="00A74C68">
              <w:rPr>
                <w:color w:val="000000"/>
                <w:sz w:val="14"/>
                <w:szCs w:val="14"/>
              </w:rPr>
              <w:t>-</w:t>
            </w:r>
          </w:p>
        </w:tc>
      </w:tr>
      <w:tr w:rsidR="00A74C68" w:rsidRPr="00A74C68" w14:paraId="4C7BB008" w14:textId="77777777" w:rsidTr="00655FD0">
        <w:trPr>
          <w:divId w:val="101003176"/>
          <w:trHeight w:val="113"/>
        </w:trPr>
        <w:tc>
          <w:tcPr>
            <w:tcW w:w="740" w:type="dxa"/>
            <w:tcBorders>
              <w:top w:val="nil"/>
              <w:left w:val="single" w:sz="4" w:space="0" w:color="auto"/>
              <w:bottom w:val="nil"/>
              <w:right w:val="nil"/>
            </w:tcBorders>
            <w:noWrap/>
            <w:hideMark/>
          </w:tcPr>
          <w:p w14:paraId="3CF9016D" w14:textId="77777777" w:rsidR="00A74C68" w:rsidRPr="00A74C68" w:rsidRDefault="00A74C68" w:rsidP="00A74C68">
            <w:pPr>
              <w:rPr>
                <w:b/>
                <w:bCs/>
                <w:sz w:val="14"/>
                <w:szCs w:val="14"/>
              </w:rPr>
            </w:pPr>
            <w:r w:rsidRPr="00A74C68">
              <w:rPr>
                <w:b/>
                <w:bCs/>
                <w:sz w:val="14"/>
                <w:szCs w:val="14"/>
              </w:rPr>
              <w:t>4.2</w:t>
            </w:r>
          </w:p>
        </w:tc>
        <w:tc>
          <w:tcPr>
            <w:tcW w:w="5364" w:type="dxa"/>
            <w:tcBorders>
              <w:top w:val="nil"/>
              <w:left w:val="nil"/>
              <w:bottom w:val="nil"/>
              <w:right w:val="single" w:sz="4" w:space="0" w:color="auto"/>
            </w:tcBorders>
            <w:hideMark/>
          </w:tcPr>
          <w:p w14:paraId="37B88A90" w14:textId="77777777" w:rsidR="00A74C68" w:rsidRPr="00A74C68" w:rsidRDefault="00A74C68" w:rsidP="00A74C68">
            <w:pPr>
              <w:rPr>
                <w:b/>
                <w:bCs/>
                <w:sz w:val="14"/>
                <w:szCs w:val="14"/>
              </w:rPr>
            </w:pPr>
            <w:r w:rsidRPr="00A74C68">
              <w:rPr>
                <w:b/>
                <w:bCs/>
                <w:sz w:val="14"/>
                <w:szCs w:val="14"/>
              </w:rPr>
              <w:t>Bağlı Ortaklıklar (Net)</w:t>
            </w:r>
          </w:p>
        </w:tc>
        <w:tc>
          <w:tcPr>
            <w:tcW w:w="926" w:type="dxa"/>
            <w:tcBorders>
              <w:top w:val="nil"/>
              <w:left w:val="nil"/>
              <w:bottom w:val="nil"/>
              <w:right w:val="single" w:sz="4" w:space="0" w:color="auto"/>
            </w:tcBorders>
            <w:noWrap/>
            <w:vAlign w:val="bottom"/>
            <w:hideMark/>
          </w:tcPr>
          <w:p w14:paraId="3DA89998" w14:textId="77777777" w:rsidR="00A74C68" w:rsidRPr="00A74C68" w:rsidRDefault="00A74C68" w:rsidP="00A74C68">
            <w:pPr>
              <w:jc w:val="center"/>
              <w:rPr>
                <w:b/>
                <w:bCs/>
                <w:color w:val="000000"/>
                <w:sz w:val="14"/>
                <w:szCs w:val="14"/>
              </w:rPr>
            </w:pPr>
            <w:r w:rsidRPr="00A74C68">
              <w:rPr>
                <w:b/>
                <w:bCs/>
                <w:color w:val="000000"/>
                <w:sz w:val="14"/>
                <w:szCs w:val="14"/>
              </w:rPr>
              <w:t>(10)</w:t>
            </w:r>
          </w:p>
        </w:tc>
        <w:tc>
          <w:tcPr>
            <w:tcW w:w="1068" w:type="dxa"/>
            <w:tcBorders>
              <w:top w:val="nil"/>
              <w:left w:val="nil"/>
              <w:bottom w:val="nil"/>
              <w:right w:val="nil"/>
            </w:tcBorders>
            <w:shd w:val="clear" w:color="000000" w:fill="FFFFFF"/>
            <w:vAlign w:val="bottom"/>
            <w:hideMark/>
          </w:tcPr>
          <w:p w14:paraId="0819298C" w14:textId="77777777" w:rsidR="00A74C68" w:rsidRPr="00A74C68" w:rsidRDefault="00A74C68" w:rsidP="00A74C68">
            <w:pPr>
              <w:jc w:val="right"/>
              <w:rPr>
                <w:b/>
                <w:bCs/>
                <w:color w:val="000000"/>
                <w:sz w:val="14"/>
                <w:szCs w:val="14"/>
              </w:rPr>
            </w:pPr>
            <w:r w:rsidRPr="00A74C68">
              <w:rPr>
                <w:b/>
                <w:bCs/>
                <w:color w:val="000000"/>
                <w:sz w:val="14"/>
                <w:szCs w:val="14"/>
              </w:rPr>
              <w:t>655.250</w:t>
            </w:r>
          </w:p>
        </w:tc>
        <w:tc>
          <w:tcPr>
            <w:tcW w:w="1015" w:type="dxa"/>
            <w:tcBorders>
              <w:top w:val="nil"/>
              <w:left w:val="single" w:sz="4" w:space="0" w:color="auto"/>
              <w:bottom w:val="nil"/>
              <w:right w:val="nil"/>
            </w:tcBorders>
            <w:shd w:val="clear" w:color="000000" w:fill="FFFFFF"/>
            <w:vAlign w:val="bottom"/>
            <w:hideMark/>
          </w:tcPr>
          <w:p w14:paraId="485BA4B8" w14:textId="77777777" w:rsidR="00A74C68" w:rsidRPr="00A74C68" w:rsidRDefault="00A74C68" w:rsidP="00A74C68">
            <w:pPr>
              <w:jc w:val="right"/>
              <w:rPr>
                <w:b/>
                <w:bCs/>
                <w:color w:val="000000"/>
                <w:sz w:val="14"/>
                <w:szCs w:val="14"/>
              </w:rPr>
            </w:pPr>
            <w:r w:rsidRPr="00A74C68">
              <w:rPr>
                <w:b/>
                <w:bCs/>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7ECAFDE8" w14:textId="77777777" w:rsidR="00A74C68" w:rsidRPr="00A74C68" w:rsidRDefault="00A74C68" w:rsidP="00A74C68">
            <w:pPr>
              <w:jc w:val="right"/>
              <w:rPr>
                <w:b/>
                <w:bCs/>
                <w:color w:val="000000"/>
                <w:sz w:val="14"/>
                <w:szCs w:val="14"/>
              </w:rPr>
            </w:pPr>
            <w:r w:rsidRPr="00A74C68">
              <w:rPr>
                <w:b/>
                <w:bCs/>
                <w:color w:val="000000"/>
                <w:sz w:val="14"/>
                <w:szCs w:val="14"/>
              </w:rPr>
              <w:t>655.250</w:t>
            </w:r>
          </w:p>
        </w:tc>
      </w:tr>
      <w:tr w:rsidR="00A74C68" w:rsidRPr="00A74C68" w14:paraId="57C8641E" w14:textId="77777777" w:rsidTr="00655FD0">
        <w:trPr>
          <w:divId w:val="101003176"/>
          <w:trHeight w:val="113"/>
        </w:trPr>
        <w:tc>
          <w:tcPr>
            <w:tcW w:w="740" w:type="dxa"/>
            <w:tcBorders>
              <w:top w:val="nil"/>
              <w:left w:val="single" w:sz="4" w:space="0" w:color="auto"/>
              <w:bottom w:val="nil"/>
              <w:right w:val="nil"/>
            </w:tcBorders>
            <w:noWrap/>
            <w:hideMark/>
          </w:tcPr>
          <w:p w14:paraId="401CFB66" w14:textId="77777777" w:rsidR="00A74C68" w:rsidRPr="00A74C68" w:rsidRDefault="00A74C68" w:rsidP="00A74C68">
            <w:pPr>
              <w:rPr>
                <w:sz w:val="14"/>
                <w:szCs w:val="14"/>
              </w:rPr>
            </w:pPr>
            <w:r w:rsidRPr="00A74C68">
              <w:rPr>
                <w:sz w:val="14"/>
                <w:szCs w:val="14"/>
              </w:rPr>
              <w:t>4.2.1</w:t>
            </w:r>
          </w:p>
        </w:tc>
        <w:tc>
          <w:tcPr>
            <w:tcW w:w="5364" w:type="dxa"/>
            <w:tcBorders>
              <w:top w:val="nil"/>
              <w:left w:val="nil"/>
              <w:bottom w:val="nil"/>
              <w:right w:val="single" w:sz="4" w:space="0" w:color="auto"/>
            </w:tcBorders>
            <w:hideMark/>
          </w:tcPr>
          <w:p w14:paraId="32E53F63" w14:textId="77777777" w:rsidR="00A74C68" w:rsidRPr="00A74C68" w:rsidRDefault="00A74C68" w:rsidP="00A74C68">
            <w:pPr>
              <w:rPr>
                <w:sz w:val="14"/>
                <w:szCs w:val="14"/>
              </w:rPr>
            </w:pPr>
            <w:r w:rsidRPr="00A74C68">
              <w:rPr>
                <w:sz w:val="14"/>
                <w:szCs w:val="14"/>
              </w:rPr>
              <w:t>Konsolide Edilmeyen Mali Ortaklıklar</w:t>
            </w:r>
          </w:p>
        </w:tc>
        <w:tc>
          <w:tcPr>
            <w:tcW w:w="926" w:type="dxa"/>
            <w:tcBorders>
              <w:top w:val="nil"/>
              <w:left w:val="nil"/>
              <w:bottom w:val="nil"/>
              <w:right w:val="single" w:sz="4" w:space="0" w:color="auto"/>
            </w:tcBorders>
            <w:noWrap/>
            <w:vAlign w:val="bottom"/>
            <w:hideMark/>
          </w:tcPr>
          <w:p w14:paraId="1FBD8FCF" w14:textId="77777777" w:rsidR="00A74C68" w:rsidRPr="00A74C68" w:rsidRDefault="00A74C68" w:rsidP="00A74C68">
            <w:pPr>
              <w:jc w:val="center"/>
              <w:rPr>
                <w:color w:val="000000"/>
                <w:sz w:val="14"/>
                <w:szCs w:val="14"/>
                <w:lang w:eastAsia="tr-TR"/>
              </w:rPr>
            </w:pPr>
            <w:r w:rsidRPr="00A74C68">
              <w:rPr>
                <w:color w:val="000000"/>
                <w:sz w:val="14"/>
                <w:szCs w:val="14"/>
                <w:lang w:eastAsia="tr-TR"/>
              </w:rPr>
              <w:t>(10)</w:t>
            </w:r>
          </w:p>
        </w:tc>
        <w:tc>
          <w:tcPr>
            <w:tcW w:w="1068" w:type="dxa"/>
            <w:tcBorders>
              <w:top w:val="nil"/>
              <w:left w:val="nil"/>
              <w:bottom w:val="nil"/>
              <w:right w:val="nil"/>
            </w:tcBorders>
            <w:shd w:val="clear" w:color="000000" w:fill="FFFFFF"/>
            <w:vAlign w:val="bottom"/>
            <w:hideMark/>
          </w:tcPr>
          <w:p w14:paraId="4642BFAE" w14:textId="77777777" w:rsidR="00A74C68" w:rsidRPr="00A74C68" w:rsidRDefault="00A74C68" w:rsidP="00A74C68">
            <w:pPr>
              <w:jc w:val="right"/>
              <w:rPr>
                <w:color w:val="000000"/>
                <w:sz w:val="14"/>
                <w:szCs w:val="14"/>
              </w:rPr>
            </w:pPr>
            <w:r w:rsidRPr="00A74C68">
              <w:rPr>
                <w:color w:val="000000"/>
                <w:sz w:val="14"/>
                <w:szCs w:val="14"/>
              </w:rPr>
              <w:t>650.250</w:t>
            </w:r>
          </w:p>
        </w:tc>
        <w:tc>
          <w:tcPr>
            <w:tcW w:w="1015" w:type="dxa"/>
            <w:tcBorders>
              <w:top w:val="nil"/>
              <w:left w:val="single" w:sz="4" w:space="0" w:color="auto"/>
              <w:bottom w:val="nil"/>
              <w:right w:val="nil"/>
            </w:tcBorders>
            <w:shd w:val="clear" w:color="000000" w:fill="FFFFFF"/>
            <w:vAlign w:val="bottom"/>
            <w:hideMark/>
          </w:tcPr>
          <w:p w14:paraId="09C05AFE" w14:textId="77777777" w:rsidR="00A74C68" w:rsidRPr="00A74C68" w:rsidRDefault="00A74C68" w:rsidP="00A74C68">
            <w:pPr>
              <w:jc w:val="right"/>
              <w:rPr>
                <w:color w:val="000000"/>
                <w:sz w:val="14"/>
                <w:szCs w:val="14"/>
              </w:rPr>
            </w:pPr>
            <w:r w:rsidRPr="00A74C68">
              <w:rPr>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336F8184" w14:textId="77777777" w:rsidR="00A74C68" w:rsidRPr="00A74C68" w:rsidRDefault="00A74C68" w:rsidP="00A74C68">
            <w:pPr>
              <w:jc w:val="right"/>
              <w:rPr>
                <w:color w:val="000000"/>
                <w:sz w:val="14"/>
                <w:szCs w:val="14"/>
              </w:rPr>
            </w:pPr>
            <w:r w:rsidRPr="00A74C68">
              <w:rPr>
                <w:color w:val="000000"/>
                <w:sz w:val="14"/>
                <w:szCs w:val="14"/>
              </w:rPr>
              <w:t>650.250</w:t>
            </w:r>
          </w:p>
        </w:tc>
      </w:tr>
      <w:tr w:rsidR="00A74C68" w:rsidRPr="00A74C68" w14:paraId="7336C06E" w14:textId="77777777" w:rsidTr="00655FD0">
        <w:trPr>
          <w:divId w:val="101003176"/>
          <w:trHeight w:val="113"/>
        </w:trPr>
        <w:tc>
          <w:tcPr>
            <w:tcW w:w="740" w:type="dxa"/>
            <w:tcBorders>
              <w:top w:val="nil"/>
              <w:left w:val="single" w:sz="4" w:space="0" w:color="auto"/>
              <w:bottom w:val="nil"/>
              <w:right w:val="nil"/>
            </w:tcBorders>
            <w:noWrap/>
            <w:hideMark/>
          </w:tcPr>
          <w:p w14:paraId="3DB5B175" w14:textId="77777777" w:rsidR="00A74C68" w:rsidRPr="00A74C68" w:rsidRDefault="00A74C68" w:rsidP="00A74C68">
            <w:pPr>
              <w:rPr>
                <w:sz w:val="14"/>
                <w:szCs w:val="14"/>
              </w:rPr>
            </w:pPr>
            <w:r w:rsidRPr="00A74C68">
              <w:rPr>
                <w:sz w:val="14"/>
                <w:szCs w:val="14"/>
              </w:rPr>
              <w:t>4.2.2</w:t>
            </w:r>
          </w:p>
        </w:tc>
        <w:tc>
          <w:tcPr>
            <w:tcW w:w="5364" w:type="dxa"/>
            <w:tcBorders>
              <w:top w:val="nil"/>
              <w:left w:val="nil"/>
              <w:bottom w:val="nil"/>
              <w:right w:val="single" w:sz="4" w:space="0" w:color="auto"/>
            </w:tcBorders>
            <w:hideMark/>
          </w:tcPr>
          <w:p w14:paraId="7E65B82E" w14:textId="77777777" w:rsidR="00A74C68" w:rsidRPr="00A74C68" w:rsidRDefault="00A74C68" w:rsidP="00A74C68">
            <w:pPr>
              <w:rPr>
                <w:sz w:val="14"/>
                <w:szCs w:val="14"/>
              </w:rPr>
            </w:pPr>
            <w:r w:rsidRPr="00A74C68">
              <w:rPr>
                <w:sz w:val="14"/>
                <w:szCs w:val="14"/>
              </w:rPr>
              <w:t>Konsolide Edilmeyen Mali Olmayan Ortaklıklar</w:t>
            </w:r>
          </w:p>
        </w:tc>
        <w:tc>
          <w:tcPr>
            <w:tcW w:w="926" w:type="dxa"/>
            <w:tcBorders>
              <w:top w:val="nil"/>
              <w:left w:val="nil"/>
              <w:bottom w:val="nil"/>
              <w:right w:val="single" w:sz="4" w:space="0" w:color="auto"/>
            </w:tcBorders>
            <w:noWrap/>
            <w:vAlign w:val="bottom"/>
            <w:hideMark/>
          </w:tcPr>
          <w:p w14:paraId="1F57C562" w14:textId="77777777" w:rsidR="00A74C68" w:rsidRPr="00A74C68" w:rsidRDefault="00A74C68" w:rsidP="00A74C68">
            <w:pPr>
              <w:jc w:val="center"/>
              <w:rPr>
                <w:color w:val="000000"/>
                <w:sz w:val="14"/>
                <w:szCs w:val="14"/>
              </w:rPr>
            </w:pPr>
            <w:r w:rsidRPr="00A74C68">
              <w:rPr>
                <w:color w:val="000000"/>
                <w:sz w:val="14"/>
                <w:szCs w:val="14"/>
              </w:rPr>
              <w:t>(10)</w:t>
            </w:r>
          </w:p>
        </w:tc>
        <w:tc>
          <w:tcPr>
            <w:tcW w:w="1068" w:type="dxa"/>
            <w:tcBorders>
              <w:top w:val="nil"/>
              <w:left w:val="nil"/>
              <w:bottom w:val="nil"/>
              <w:right w:val="nil"/>
            </w:tcBorders>
            <w:shd w:val="clear" w:color="000000" w:fill="FFFFFF"/>
            <w:vAlign w:val="bottom"/>
            <w:hideMark/>
          </w:tcPr>
          <w:p w14:paraId="053C0012" w14:textId="77777777" w:rsidR="00A74C68" w:rsidRPr="00A74C68" w:rsidRDefault="00A74C68" w:rsidP="00A74C68">
            <w:pPr>
              <w:jc w:val="right"/>
              <w:rPr>
                <w:color w:val="000000"/>
                <w:sz w:val="14"/>
                <w:szCs w:val="14"/>
              </w:rPr>
            </w:pPr>
            <w:r w:rsidRPr="00A74C68">
              <w:rPr>
                <w:color w:val="000000"/>
                <w:sz w:val="14"/>
                <w:szCs w:val="14"/>
              </w:rPr>
              <w:t>5.000</w:t>
            </w:r>
          </w:p>
        </w:tc>
        <w:tc>
          <w:tcPr>
            <w:tcW w:w="1015" w:type="dxa"/>
            <w:tcBorders>
              <w:top w:val="nil"/>
              <w:left w:val="single" w:sz="4" w:space="0" w:color="auto"/>
              <w:bottom w:val="nil"/>
              <w:right w:val="nil"/>
            </w:tcBorders>
            <w:shd w:val="clear" w:color="000000" w:fill="FFFFFF"/>
            <w:vAlign w:val="bottom"/>
            <w:hideMark/>
          </w:tcPr>
          <w:p w14:paraId="69DB603E" w14:textId="77777777" w:rsidR="00A74C68" w:rsidRPr="00A74C68" w:rsidRDefault="00A74C68" w:rsidP="00A74C68">
            <w:pPr>
              <w:jc w:val="right"/>
              <w:rPr>
                <w:color w:val="000000"/>
                <w:sz w:val="14"/>
                <w:szCs w:val="14"/>
              </w:rPr>
            </w:pPr>
            <w:r w:rsidRPr="00A74C68">
              <w:rPr>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20082316" w14:textId="77777777" w:rsidR="00A74C68" w:rsidRPr="00A74C68" w:rsidRDefault="00A74C68" w:rsidP="00A74C68">
            <w:pPr>
              <w:jc w:val="right"/>
              <w:rPr>
                <w:color w:val="000000"/>
                <w:sz w:val="14"/>
                <w:szCs w:val="14"/>
              </w:rPr>
            </w:pPr>
            <w:r w:rsidRPr="00A74C68">
              <w:rPr>
                <w:color w:val="000000"/>
                <w:sz w:val="14"/>
                <w:szCs w:val="14"/>
              </w:rPr>
              <w:t>5.000</w:t>
            </w:r>
          </w:p>
        </w:tc>
      </w:tr>
      <w:tr w:rsidR="00A74C68" w:rsidRPr="00A74C68" w14:paraId="71DFE755" w14:textId="77777777" w:rsidTr="00655FD0">
        <w:trPr>
          <w:divId w:val="101003176"/>
          <w:trHeight w:val="113"/>
        </w:trPr>
        <w:tc>
          <w:tcPr>
            <w:tcW w:w="740" w:type="dxa"/>
            <w:tcBorders>
              <w:top w:val="nil"/>
              <w:left w:val="single" w:sz="4" w:space="0" w:color="auto"/>
              <w:bottom w:val="nil"/>
              <w:right w:val="nil"/>
            </w:tcBorders>
            <w:noWrap/>
            <w:hideMark/>
          </w:tcPr>
          <w:p w14:paraId="16813A11" w14:textId="77777777" w:rsidR="00A74C68" w:rsidRPr="00A74C68" w:rsidRDefault="00A74C68" w:rsidP="00A74C68">
            <w:pPr>
              <w:rPr>
                <w:b/>
                <w:bCs/>
                <w:sz w:val="14"/>
                <w:szCs w:val="14"/>
              </w:rPr>
            </w:pPr>
            <w:r w:rsidRPr="00A74C68">
              <w:rPr>
                <w:b/>
                <w:bCs/>
                <w:sz w:val="14"/>
                <w:szCs w:val="14"/>
              </w:rPr>
              <w:t>4.3</w:t>
            </w:r>
          </w:p>
        </w:tc>
        <w:tc>
          <w:tcPr>
            <w:tcW w:w="5364" w:type="dxa"/>
            <w:tcBorders>
              <w:top w:val="nil"/>
              <w:left w:val="nil"/>
              <w:bottom w:val="nil"/>
              <w:right w:val="single" w:sz="4" w:space="0" w:color="auto"/>
            </w:tcBorders>
            <w:hideMark/>
          </w:tcPr>
          <w:p w14:paraId="769D6C9F" w14:textId="77777777" w:rsidR="00A74C68" w:rsidRPr="00A74C68" w:rsidRDefault="00A74C68" w:rsidP="00A74C68">
            <w:pPr>
              <w:rPr>
                <w:b/>
                <w:bCs/>
                <w:sz w:val="14"/>
                <w:szCs w:val="14"/>
              </w:rPr>
            </w:pPr>
            <w:r w:rsidRPr="00A74C68">
              <w:rPr>
                <w:b/>
                <w:bCs/>
                <w:sz w:val="14"/>
                <w:szCs w:val="14"/>
              </w:rPr>
              <w:t>Birlikte Kontrol Edilen Ortaklıklar (İş Ortaklıkları) (Net)</w:t>
            </w:r>
          </w:p>
        </w:tc>
        <w:tc>
          <w:tcPr>
            <w:tcW w:w="926" w:type="dxa"/>
            <w:tcBorders>
              <w:top w:val="nil"/>
              <w:left w:val="nil"/>
              <w:bottom w:val="nil"/>
              <w:right w:val="single" w:sz="4" w:space="0" w:color="auto"/>
            </w:tcBorders>
            <w:noWrap/>
            <w:vAlign w:val="bottom"/>
            <w:hideMark/>
          </w:tcPr>
          <w:p w14:paraId="105D16C9" w14:textId="77777777" w:rsidR="00A74C68" w:rsidRPr="00A74C68" w:rsidRDefault="00A74C68" w:rsidP="00A74C68">
            <w:pPr>
              <w:jc w:val="center"/>
              <w:rPr>
                <w:b/>
                <w:bCs/>
                <w:color w:val="000000"/>
                <w:sz w:val="14"/>
                <w:szCs w:val="14"/>
                <w:lang w:eastAsia="tr-TR"/>
              </w:rPr>
            </w:pPr>
            <w:r w:rsidRPr="00A74C68">
              <w:rPr>
                <w:b/>
                <w:bCs/>
                <w:color w:val="000000"/>
                <w:sz w:val="14"/>
                <w:szCs w:val="14"/>
                <w:lang w:eastAsia="tr-TR"/>
              </w:rPr>
              <w:t> </w:t>
            </w:r>
          </w:p>
        </w:tc>
        <w:tc>
          <w:tcPr>
            <w:tcW w:w="1068" w:type="dxa"/>
            <w:tcBorders>
              <w:top w:val="nil"/>
              <w:left w:val="nil"/>
              <w:bottom w:val="nil"/>
              <w:right w:val="nil"/>
            </w:tcBorders>
            <w:shd w:val="clear" w:color="000000" w:fill="FFFFFF"/>
            <w:vAlign w:val="bottom"/>
            <w:hideMark/>
          </w:tcPr>
          <w:p w14:paraId="5E3FDCC8" w14:textId="77777777" w:rsidR="00A74C68" w:rsidRPr="00A74C68" w:rsidRDefault="00A74C68" w:rsidP="00A74C68">
            <w:pPr>
              <w:jc w:val="right"/>
              <w:rPr>
                <w:b/>
                <w:bCs/>
                <w:color w:val="000000"/>
                <w:sz w:val="14"/>
                <w:szCs w:val="14"/>
              </w:rPr>
            </w:pPr>
            <w:r w:rsidRPr="00A74C68">
              <w:rPr>
                <w:b/>
                <w:bCs/>
                <w:color w:val="000000"/>
                <w:sz w:val="14"/>
                <w:szCs w:val="14"/>
              </w:rPr>
              <w:t>-</w:t>
            </w:r>
          </w:p>
        </w:tc>
        <w:tc>
          <w:tcPr>
            <w:tcW w:w="1015" w:type="dxa"/>
            <w:tcBorders>
              <w:top w:val="nil"/>
              <w:left w:val="single" w:sz="4" w:space="0" w:color="auto"/>
              <w:bottom w:val="nil"/>
              <w:right w:val="nil"/>
            </w:tcBorders>
            <w:shd w:val="clear" w:color="000000" w:fill="FFFFFF"/>
            <w:vAlign w:val="bottom"/>
            <w:hideMark/>
          </w:tcPr>
          <w:p w14:paraId="5305D499" w14:textId="77777777" w:rsidR="00A74C68" w:rsidRPr="00A74C68" w:rsidRDefault="00A74C68" w:rsidP="00A74C68">
            <w:pPr>
              <w:jc w:val="right"/>
              <w:rPr>
                <w:b/>
                <w:bCs/>
                <w:color w:val="000000"/>
                <w:sz w:val="14"/>
                <w:szCs w:val="14"/>
              </w:rPr>
            </w:pPr>
            <w:r w:rsidRPr="00A74C68">
              <w:rPr>
                <w:b/>
                <w:bCs/>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21B9D9A9" w14:textId="77777777" w:rsidR="00A74C68" w:rsidRPr="00A74C68" w:rsidRDefault="00A74C68" w:rsidP="00A74C68">
            <w:pPr>
              <w:jc w:val="right"/>
              <w:rPr>
                <w:b/>
                <w:bCs/>
                <w:color w:val="000000"/>
                <w:sz w:val="14"/>
                <w:szCs w:val="14"/>
              </w:rPr>
            </w:pPr>
            <w:r w:rsidRPr="00A74C68">
              <w:rPr>
                <w:b/>
                <w:bCs/>
                <w:color w:val="000000"/>
                <w:sz w:val="14"/>
                <w:szCs w:val="14"/>
              </w:rPr>
              <w:t>-</w:t>
            </w:r>
          </w:p>
        </w:tc>
      </w:tr>
      <w:tr w:rsidR="00A74C68" w:rsidRPr="00A74C68" w14:paraId="116BA3D8" w14:textId="77777777" w:rsidTr="00655FD0">
        <w:trPr>
          <w:divId w:val="101003176"/>
          <w:trHeight w:val="113"/>
        </w:trPr>
        <w:tc>
          <w:tcPr>
            <w:tcW w:w="740" w:type="dxa"/>
            <w:tcBorders>
              <w:top w:val="nil"/>
              <w:left w:val="single" w:sz="4" w:space="0" w:color="auto"/>
              <w:bottom w:val="nil"/>
              <w:right w:val="nil"/>
            </w:tcBorders>
            <w:noWrap/>
            <w:hideMark/>
          </w:tcPr>
          <w:p w14:paraId="35BA97E6" w14:textId="77777777" w:rsidR="00A74C68" w:rsidRPr="00A74C68" w:rsidRDefault="00A74C68" w:rsidP="00A74C68">
            <w:pPr>
              <w:rPr>
                <w:sz w:val="14"/>
                <w:szCs w:val="14"/>
              </w:rPr>
            </w:pPr>
            <w:r w:rsidRPr="00A74C68">
              <w:rPr>
                <w:sz w:val="14"/>
                <w:szCs w:val="14"/>
              </w:rPr>
              <w:t>4.3.1</w:t>
            </w:r>
          </w:p>
        </w:tc>
        <w:tc>
          <w:tcPr>
            <w:tcW w:w="5364" w:type="dxa"/>
            <w:tcBorders>
              <w:top w:val="nil"/>
              <w:left w:val="nil"/>
              <w:bottom w:val="nil"/>
              <w:right w:val="single" w:sz="4" w:space="0" w:color="auto"/>
            </w:tcBorders>
            <w:hideMark/>
          </w:tcPr>
          <w:p w14:paraId="52621B4F" w14:textId="77777777" w:rsidR="00A74C68" w:rsidRPr="00A74C68" w:rsidRDefault="00A74C68" w:rsidP="00A74C68">
            <w:pPr>
              <w:rPr>
                <w:sz w:val="14"/>
                <w:szCs w:val="14"/>
              </w:rPr>
            </w:pPr>
            <w:r w:rsidRPr="00A74C68">
              <w:rPr>
                <w:sz w:val="14"/>
                <w:szCs w:val="14"/>
              </w:rPr>
              <w:t>Özkaynak Yöntemine Göre Değerlenenler</w:t>
            </w:r>
          </w:p>
        </w:tc>
        <w:tc>
          <w:tcPr>
            <w:tcW w:w="926" w:type="dxa"/>
            <w:tcBorders>
              <w:top w:val="nil"/>
              <w:left w:val="nil"/>
              <w:bottom w:val="nil"/>
              <w:right w:val="single" w:sz="4" w:space="0" w:color="auto"/>
            </w:tcBorders>
            <w:noWrap/>
            <w:vAlign w:val="bottom"/>
            <w:hideMark/>
          </w:tcPr>
          <w:p w14:paraId="18BE8DDA" w14:textId="77777777" w:rsidR="00A74C68" w:rsidRPr="00A74C68" w:rsidRDefault="00A74C68" w:rsidP="00A74C68">
            <w:pPr>
              <w:jc w:val="center"/>
              <w:rPr>
                <w:b/>
                <w:bCs/>
                <w:color w:val="000000"/>
                <w:sz w:val="14"/>
                <w:szCs w:val="14"/>
                <w:lang w:eastAsia="tr-TR"/>
              </w:rPr>
            </w:pPr>
            <w:r w:rsidRPr="00A74C68">
              <w:rPr>
                <w:b/>
                <w:bCs/>
                <w:color w:val="000000"/>
                <w:sz w:val="14"/>
                <w:szCs w:val="14"/>
                <w:lang w:eastAsia="tr-TR"/>
              </w:rPr>
              <w:t> </w:t>
            </w:r>
          </w:p>
        </w:tc>
        <w:tc>
          <w:tcPr>
            <w:tcW w:w="1068" w:type="dxa"/>
            <w:tcBorders>
              <w:top w:val="nil"/>
              <w:left w:val="nil"/>
              <w:bottom w:val="nil"/>
              <w:right w:val="nil"/>
            </w:tcBorders>
            <w:shd w:val="clear" w:color="000000" w:fill="FFFFFF"/>
            <w:vAlign w:val="bottom"/>
            <w:hideMark/>
          </w:tcPr>
          <w:p w14:paraId="6154AA1A" w14:textId="77777777" w:rsidR="00A74C68" w:rsidRPr="00A74C68" w:rsidRDefault="00A74C68" w:rsidP="00A74C68">
            <w:pPr>
              <w:jc w:val="right"/>
              <w:rPr>
                <w:color w:val="000000"/>
                <w:sz w:val="14"/>
                <w:szCs w:val="14"/>
              </w:rPr>
            </w:pPr>
            <w:r w:rsidRPr="00A74C68">
              <w:rPr>
                <w:color w:val="000000"/>
                <w:sz w:val="14"/>
                <w:szCs w:val="14"/>
              </w:rPr>
              <w:t>-</w:t>
            </w:r>
          </w:p>
        </w:tc>
        <w:tc>
          <w:tcPr>
            <w:tcW w:w="1015" w:type="dxa"/>
            <w:tcBorders>
              <w:top w:val="nil"/>
              <w:left w:val="single" w:sz="4" w:space="0" w:color="auto"/>
              <w:bottom w:val="nil"/>
              <w:right w:val="nil"/>
            </w:tcBorders>
            <w:shd w:val="clear" w:color="000000" w:fill="FFFFFF"/>
            <w:vAlign w:val="bottom"/>
            <w:hideMark/>
          </w:tcPr>
          <w:p w14:paraId="080E9359" w14:textId="77777777" w:rsidR="00A74C68" w:rsidRPr="00A74C68" w:rsidRDefault="00A74C68" w:rsidP="00A74C68">
            <w:pPr>
              <w:jc w:val="right"/>
              <w:rPr>
                <w:color w:val="000000"/>
                <w:sz w:val="14"/>
                <w:szCs w:val="14"/>
              </w:rPr>
            </w:pPr>
            <w:r w:rsidRPr="00A74C68">
              <w:rPr>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32376006" w14:textId="77777777" w:rsidR="00A74C68" w:rsidRPr="00A74C68" w:rsidRDefault="00A74C68" w:rsidP="00A74C68">
            <w:pPr>
              <w:jc w:val="right"/>
              <w:rPr>
                <w:color w:val="000000"/>
                <w:sz w:val="14"/>
                <w:szCs w:val="14"/>
              </w:rPr>
            </w:pPr>
            <w:r w:rsidRPr="00A74C68">
              <w:rPr>
                <w:color w:val="000000"/>
                <w:sz w:val="14"/>
                <w:szCs w:val="14"/>
              </w:rPr>
              <w:t>-</w:t>
            </w:r>
          </w:p>
        </w:tc>
      </w:tr>
      <w:tr w:rsidR="00A74C68" w:rsidRPr="00A74C68" w14:paraId="45175BEA" w14:textId="77777777" w:rsidTr="00655FD0">
        <w:trPr>
          <w:divId w:val="101003176"/>
          <w:trHeight w:val="113"/>
        </w:trPr>
        <w:tc>
          <w:tcPr>
            <w:tcW w:w="740" w:type="dxa"/>
            <w:tcBorders>
              <w:top w:val="nil"/>
              <w:left w:val="single" w:sz="4" w:space="0" w:color="auto"/>
              <w:bottom w:val="nil"/>
              <w:right w:val="nil"/>
            </w:tcBorders>
            <w:noWrap/>
            <w:hideMark/>
          </w:tcPr>
          <w:p w14:paraId="69794AE4" w14:textId="77777777" w:rsidR="00A74C68" w:rsidRPr="00A74C68" w:rsidRDefault="00A74C68" w:rsidP="00A74C68">
            <w:pPr>
              <w:rPr>
                <w:sz w:val="14"/>
                <w:szCs w:val="14"/>
              </w:rPr>
            </w:pPr>
            <w:r w:rsidRPr="00A74C68">
              <w:rPr>
                <w:sz w:val="14"/>
                <w:szCs w:val="14"/>
              </w:rPr>
              <w:t>4.3.2</w:t>
            </w:r>
          </w:p>
        </w:tc>
        <w:tc>
          <w:tcPr>
            <w:tcW w:w="5364" w:type="dxa"/>
            <w:tcBorders>
              <w:top w:val="nil"/>
              <w:left w:val="nil"/>
              <w:bottom w:val="nil"/>
              <w:right w:val="single" w:sz="4" w:space="0" w:color="auto"/>
            </w:tcBorders>
            <w:hideMark/>
          </w:tcPr>
          <w:p w14:paraId="6D3AFA39" w14:textId="77777777" w:rsidR="00A74C68" w:rsidRPr="00A74C68" w:rsidRDefault="00A74C68" w:rsidP="00A74C68">
            <w:pPr>
              <w:rPr>
                <w:sz w:val="14"/>
                <w:szCs w:val="14"/>
              </w:rPr>
            </w:pPr>
            <w:r w:rsidRPr="00A74C68">
              <w:rPr>
                <w:sz w:val="14"/>
                <w:szCs w:val="14"/>
              </w:rPr>
              <w:t>Konsolide Edilmeyenler</w:t>
            </w:r>
          </w:p>
        </w:tc>
        <w:tc>
          <w:tcPr>
            <w:tcW w:w="926" w:type="dxa"/>
            <w:tcBorders>
              <w:top w:val="nil"/>
              <w:left w:val="nil"/>
              <w:bottom w:val="nil"/>
              <w:right w:val="single" w:sz="4" w:space="0" w:color="auto"/>
            </w:tcBorders>
            <w:noWrap/>
            <w:vAlign w:val="bottom"/>
            <w:hideMark/>
          </w:tcPr>
          <w:p w14:paraId="0A9E3E0B" w14:textId="77777777" w:rsidR="00A74C68" w:rsidRPr="00811132" w:rsidRDefault="00A74C68" w:rsidP="00A74C68">
            <w:pPr>
              <w:jc w:val="center"/>
              <w:rPr>
                <w:b/>
                <w:bCs/>
                <w:color w:val="000000"/>
                <w:sz w:val="14"/>
                <w:szCs w:val="14"/>
                <w:lang w:eastAsia="tr-TR"/>
              </w:rPr>
            </w:pPr>
            <w:r w:rsidRPr="00811132">
              <w:rPr>
                <w:b/>
                <w:bCs/>
                <w:color w:val="000000"/>
                <w:sz w:val="14"/>
                <w:szCs w:val="14"/>
                <w:lang w:eastAsia="tr-TR"/>
              </w:rPr>
              <w:t> </w:t>
            </w:r>
          </w:p>
        </w:tc>
        <w:tc>
          <w:tcPr>
            <w:tcW w:w="1068" w:type="dxa"/>
            <w:tcBorders>
              <w:top w:val="nil"/>
              <w:left w:val="nil"/>
              <w:bottom w:val="nil"/>
              <w:right w:val="nil"/>
            </w:tcBorders>
            <w:shd w:val="clear" w:color="000000" w:fill="FFFFFF"/>
            <w:vAlign w:val="bottom"/>
            <w:hideMark/>
          </w:tcPr>
          <w:p w14:paraId="73BEDDAC" w14:textId="77777777" w:rsidR="00A74C68" w:rsidRPr="00A74C68" w:rsidRDefault="00A74C68" w:rsidP="00A74C68">
            <w:pPr>
              <w:jc w:val="right"/>
              <w:rPr>
                <w:color w:val="000000"/>
                <w:sz w:val="14"/>
                <w:szCs w:val="14"/>
              </w:rPr>
            </w:pPr>
            <w:r w:rsidRPr="00A74C68">
              <w:rPr>
                <w:color w:val="000000"/>
                <w:sz w:val="14"/>
                <w:szCs w:val="14"/>
              </w:rPr>
              <w:t>-</w:t>
            </w:r>
          </w:p>
        </w:tc>
        <w:tc>
          <w:tcPr>
            <w:tcW w:w="1015" w:type="dxa"/>
            <w:tcBorders>
              <w:top w:val="nil"/>
              <w:left w:val="single" w:sz="4" w:space="0" w:color="auto"/>
              <w:bottom w:val="nil"/>
              <w:right w:val="nil"/>
            </w:tcBorders>
            <w:shd w:val="clear" w:color="000000" w:fill="FFFFFF"/>
            <w:vAlign w:val="bottom"/>
            <w:hideMark/>
          </w:tcPr>
          <w:p w14:paraId="7C4AF9BB" w14:textId="77777777" w:rsidR="00A74C68" w:rsidRPr="00A74C68" w:rsidRDefault="00A74C68" w:rsidP="00A74C68">
            <w:pPr>
              <w:jc w:val="right"/>
              <w:rPr>
                <w:color w:val="000000"/>
                <w:sz w:val="14"/>
                <w:szCs w:val="14"/>
              </w:rPr>
            </w:pPr>
            <w:r w:rsidRPr="00A74C68">
              <w:rPr>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635B6AA6" w14:textId="77777777" w:rsidR="00A74C68" w:rsidRPr="00A74C68" w:rsidRDefault="00A74C68" w:rsidP="00A74C68">
            <w:pPr>
              <w:jc w:val="right"/>
              <w:rPr>
                <w:color w:val="000000"/>
                <w:sz w:val="14"/>
                <w:szCs w:val="14"/>
              </w:rPr>
            </w:pPr>
            <w:r w:rsidRPr="00A74C68">
              <w:rPr>
                <w:color w:val="000000"/>
                <w:sz w:val="14"/>
                <w:szCs w:val="14"/>
              </w:rPr>
              <w:t>-</w:t>
            </w:r>
          </w:p>
        </w:tc>
      </w:tr>
      <w:tr w:rsidR="00655FD0" w:rsidRPr="00A74C68" w14:paraId="01E3AE95" w14:textId="77777777" w:rsidTr="00655FD0">
        <w:trPr>
          <w:divId w:val="101003176"/>
          <w:trHeight w:val="113"/>
        </w:trPr>
        <w:tc>
          <w:tcPr>
            <w:tcW w:w="740" w:type="dxa"/>
            <w:tcBorders>
              <w:top w:val="nil"/>
              <w:left w:val="single" w:sz="4" w:space="0" w:color="auto"/>
              <w:bottom w:val="nil"/>
              <w:right w:val="nil"/>
            </w:tcBorders>
            <w:noWrap/>
            <w:hideMark/>
          </w:tcPr>
          <w:p w14:paraId="2C2DF248" w14:textId="77777777" w:rsidR="00655FD0" w:rsidRPr="00A74C68" w:rsidRDefault="00655FD0" w:rsidP="00655FD0">
            <w:pPr>
              <w:rPr>
                <w:b/>
                <w:bCs/>
                <w:color w:val="000000"/>
                <w:sz w:val="14"/>
                <w:szCs w:val="14"/>
              </w:rPr>
            </w:pPr>
            <w:r w:rsidRPr="00A74C68">
              <w:rPr>
                <w:b/>
                <w:bCs/>
                <w:color w:val="000000"/>
                <w:sz w:val="14"/>
                <w:szCs w:val="14"/>
              </w:rPr>
              <w:t>V.</w:t>
            </w:r>
          </w:p>
        </w:tc>
        <w:tc>
          <w:tcPr>
            <w:tcW w:w="5364" w:type="dxa"/>
            <w:tcBorders>
              <w:top w:val="nil"/>
              <w:left w:val="nil"/>
              <w:bottom w:val="nil"/>
              <w:right w:val="single" w:sz="4" w:space="0" w:color="auto"/>
            </w:tcBorders>
            <w:hideMark/>
          </w:tcPr>
          <w:p w14:paraId="79B47890" w14:textId="77777777" w:rsidR="00655FD0" w:rsidRPr="00A74C68" w:rsidRDefault="00655FD0" w:rsidP="00655FD0">
            <w:pPr>
              <w:rPr>
                <w:b/>
                <w:bCs/>
                <w:color w:val="000000"/>
                <w:sz w:val="14"/>
                <w:szCs w:val="14"/>
              </w:rPr>
            </w:pPr>
            <w:r w:rsidRPr="00A74C68">
              <w:rPr>
                <w:b/>
                <w:bCs/>
                <w:color w:val="000000"/>
                <w:sz w:val="14"/>
                <w:szCs w:val="14"/>
              </w:rPr>
              <w:t>MADDİ DURAN VARLIKLAR (Net)</w:t>
            </w:r>
          </w:p>
        </w:tc>
        <w:tc>
          <w:tcPr>
            <w:tcW w:w="926" w:type="dxa"/>
            <w:tcBorders>
              <w:top w:val="nil"/>
              <w:left w:val="nil"/>
              <w:bottom w:val="nil"/>
              <w:right w:val="single" w:sz="4" w:space="0" w:color="auto"/>
            </w:tcBorders>
            <w:noWrap/>
            <w:vAlign w:val="bottom"/>
            <w:hideMark/>
          </w:tcPr>
          <w:p w14:paraId="1B82264C" w14:textId="4E74235F" w:rsidR="00655FD0" w:rsidRPr="00811132" w:rsidRDefault="00655FD0" w:rsidP="00655FD0">
            <w:pPr>
              <w:jc w:val="center"/>
              <w:rPr>
                <w:b/>
                <w:bCs/>
                <w:color w:val="000000"/>
                <w:sz w:val="14"/>
                <w:szCs w:val="14"/>
                <w:lang w:eastAsia="tr-TR"/>
              </w:rPr>
            </w:pPr>
            <w:r w:rsidRPr="00811132">
              <w:rPr>
                <w:b/>
                <w:bCs/>
                <w:color w:val="000000"/>
                <w:sz w:val="14"/>
                <w:szCs w:val="14"/>
                <w:lang w:eastAsia="tr-TR"/>
              </w:rPr>
              <w:t>(12)</w:t>
            </w:r>
          </w:p>
        </w:tc>
        <w:tc>
          <w:tcPr>
            <w:tcW w:w="1068" w:type="dxa"/>
            <w:tcBorders>
              <w:top w:val="nil"/>
              <w:left w:val="nil"/>
              <w:bottom w:val="nil"/>
              <w:right w:val="nil"/>
            </w:tcBorders>
            <w:shd w:val="clear" w:color="000000" w:fill="FFFFFF"/>
            <w:vAlign w:val="bottom"/>
            <w:hideMark/>
          </w:tcPr>
          <w:p w14:paraId="6B04005B" w14:textId="77777777" w:rsidR="00655FD0" w:rsidRPr="00A74C68" w:rsidRDefault="00655FD0" w:rsidP="00655FD0">
            <w:pPr>
              <w:jc w:val="right"/>
              <w:rPr>
                <w:b/>
                <w:bCs/>
                <w:color w:val="000000"/>
                <w:sz w:val="14"/>
                <w:szCs w:val="14"/>
              </w:rPr>
            </w:pPr>
            <w:r w:rsidRPr="00A74C68">
              <w:rPr>
                <w:b/>
                <w:bCs/>
                <w:color w:val="000000"/>
                <w:sz w:val="14"/>
                <w:szCs w:val="14"/>
              </w:rPr>
              <w:t>922.074</w:t>
            </w:r>
          </w:p>
        </w:tc>
        <w:tc>
          <w:tcPr>
            <w:tcW w:w="1015" w:type="dxa"/>
            <w:tcBorders>
              <w:top w:val="nil"/>
              <w:left w:val="single" w:sz="4" w:space="0" w:color="auto"/>
              <w:bottom w:val="nil"/>
              <w:right w:val="nil"/>
            </w:tcBorders>
            <w:shd w:val="clear" w:color="000000" w:fill="FFFFFF"/>
            <w:vAlign w:val="bottom"/>
            <w:hideMark/>
          </w:tcPr>
          <w:p w14:paraId="138E9F98" w14:textId="77777777" w:rsidR="00655FD0" w:rsidRPr="00A74C68" w:rsidRDefault="00655FD0" w:rsidP="00655FD0">
            <w:pPr>
              <w:jc w:val="right"/>
              <w:rPr>
                <w:b/>
                <w:bCs/>
                <w:color w:val="000000"/>
                <w:sz w:val="14"/>
                <w:szCs w:val="14"/>
              </w:rPr>
            </w:pPr>
            <w:r w:rsidRPr="00A74C68">
              <w:rPr>
                <w:b/>
                <w:bCs/>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618D397F" w14:textId="77777777" w:rsidR="00655FD0" w:rsidRPr="00A74C68" w:rsidRDefault="00655FD0" w:rsidP="00655FD0">
            <w:pPr>
              <w:jc w:val="right"/>
              <w:rPr>
                <w:b/>
                <w:bCs/>
                <w:color w:val="000000"/>
                <w:sz w:val="14"/>
                <w:szCs w:val="14"/>
              </w:rPr>
            </w:pPr>
            <w:r w:rsidRPr="00A74C68">
              <w:rPr>
                <w:b/>
                <w:bCs/>
                <w:color w:val="000000"/>
                <w:sz w:val="14"/>
                <w:szCs w:val="14"/>
              </w:rPr>
              <w:t>922.074</w:t>
            </w:r>
          </w:p>
        </w:tc>
      </w:tr>
      <w:tr w:rsidR="00655FD0" w:rsidRPr="00A74C68" w14:paraId="135EC2FA" w14:textId="77777777" w:rsidTr="00655FD0">
        <w:trPr>
          <w:divId w:val="101003176"/>
          <w:trHeight w:val="113"/>
        </w:trPr>
        <w:tc>
          <w:tcPr>
            <w:tcW w:w="740" w:type="dxa"/>
            <w:tcBorders>
              <w:top w:val="nil"/>
              <w:left w:val="single" w:sz="4" w:space="0" w:color="auto"/>
              <w:bottom w:val="nil"/>
              <w:right w:val="nil"/>
            </w:tcBorders>
            <w:noWrap/>
            <w:hideMark/>
          </w:tcPr>
          <w:p w14:paraId="16AD3DC2" w14:textId="77777777" w:rsidR="00655FD0" w:rsidRPr="00A74C68" w:rsidRDefault="00655FD0" w:rsidP="00655FD0">
            <w:pPr>
              <w:rPr>
                <w:b/>
                <w:bCs/>
                <w:color w:val="000000"/>
                <w:sz w:val="14"/>
                <w:szCs w:val="14"/>
              </w:rPr>
            </w:pPr>
            <w:r w:rsidRPr="00A74C68">
              <w:rPr>
                <w:b/>
                <w:bCs/>
                <w:color w:val="000000"/>
                <w:sz w:val="14"/>
                <w:szCs w:val="14"/>
              </w:rPr>
              <w:t>VI.</w:t>
            </w:r>
          </w:p>
        </w:tc>
        <w:tc>
          <w:tcPr>
            <w:tcW w:w="5364" w:type="dxa"/>
            <w:tcBorders>
              <w:top w:val="nil"/>
              <w:left w:val="nil"/>
              <w:bottom w:val="nil"/>
              <w:right w:val="single" w:sz="4" w:space="0" w:color="auto"/>
            </w:tcBorders>
            <w:hideMark/>
          </w:tcPr>
          <w:p w14:paraId="0F26F4BA" w14:textId="77777777" w:rsidR="00655FD0" w:rsidRPr="00A74C68" w:rsidRDefault="00655FD0" w:rsidP="00655FD0">
            <w:pPr>
              <w:rPr>
                <w:b/>
                <w:bCs/>
                <w:color w:val="000000"/>
                <w:sz w:val="14"/>
                <w:szCs w:val="14"/>
              </w:rPr>
            </w:pPr>
            <w:r w:rsidRPr="00A74C68">
              <w:rPr>
                <w:b/>
                <w:bCs/>
                <w:color w:val="000000"/>
                <w:sz w:val="14"/>
                <w:szCs w:val="14"/>
              </w:rPr>
              <w:t>MADDİ OLMAYAN DURAN VARLIKLAR (Net)</w:t>
            </w:r>
          </w:p>
        </w:tc>
        <w:tc>
          <w:tcPr>
            <w:tcW w:w="926" w:type="dxa"/>
            <w:tcBorders>
              <w:top w:val="nil"/>
              <w:left w:val="nil"/>
              <w:bottom w:val="nil"/>
              <w:right w:val="single" w:sz="4" w:space="0" w:color="auto"/>
            </w:tcBorders>
            <w:noWrap/>
            <w:vAlign w:val="bottom"/>
            <w:hideMark/>
          </w:tcPr>
          <w:p w14:paraId="6487455B" w14:textId="6B3C1E63" w:rsidR="00655FD0" w:rsidRPr="00811132" w:rsidRDefault="00655FD0" w:rsidP="00655FD0">
            <w:pPr>
              <w:jc w:val="center"/>
              <w:rPr>
                <w:b/>
                <w:bCs/>
                <w:color w:val="000000"/>
                <w:sz w:val="14"/>
                <w:szCs w:val="14"/>
                <w:lang w:eastAsia="tr-TR"/>
              </w:rPr>
            </w:pPr>
            <w:r w:rsidRPr="00811132">
              <w:rPr>
                <w:b/>
                <w:bCs/>
                <w:color w:val="000000"/>
                <w:sz w:val="14"/>
                <w:szCs w:val="14"/>
                <w:lang w:eastAsia="tr-TR"/>
              </w:rPr>
              <w:t>(13)</w:t>
            </w:r>
          </w:p>
        </w:tc>
        <w:tc>
          <w:tcPr>
            <w:tcW w:w="1068" w:type="dxa"/>
            <w:tcBorders>
              <w:top w:val="nil"/>
              <w:left w:val="nil"/>
              <w:bottom w:val="nil"/>
              <w:right w:val="nil"/>
            </w:tcBorders>
            <w:shd w:val="clear" w:color="000000" w:fill="FFFFFF"/>
            <w:vAlign w:val="bottom"/>
            <w:hideMark/>
          </w:tcPr>
          <w:p w14:paraId="347CA055" w14:textId="77777777" w:rsidR="00655FD0" w:rsidRPr="00A74C68" w:rsidRDefault="00655FD0" w:rsidP="00655FD0">
            <w:pPr>
              <w:jc w:val="right"/>
              <w:rPr>
                <w:b/>
                <w:bCs/>
                <w:color w:val="000000"/>
                <w:sz w:val="14"/>
                <w:szCs w:val="14"/>
              </w:rPr>
            </w:pPr>
            <w:r w:rsidRPr="00A74C68">
              <w:rPr>
                <w:b/>
                <w:bCs/>
                <w:color w:val="000000"/>
                <w:sz w:val="14"/>
                <w:szCs w:val="14"/>
              </w:rPr>
              <w:t>457.990</w:t>
            </w:r>
          </w:p>
        </w:tc>
        <w:tc>
          <w:tcPr>
            <w:tcW w:w="1015" w:type="dxa"/>
            <w:tcBorders>
              <w:top w:val="nil"/>
              <w:left w:val="single" w:sz="4" w:space="0" w:color="auto"/>
              <w:bottom w:val="nil"/>
              <w:right w:val="nil"/>
            </w:tcBorders>
            <w:shd w:val="clear" w:color="000000" w:fill="FFFFFF"/>
            <w:vAlign w:val="bottom"/>
            <w:hideMark/>
          </w:tcPr>
          <w:p w14:paraId="2C1FA26A" w14:textId="77777777" w:rsidR="00655FD0" w:rsidRPr="00A74C68" w:rsidRDefault="00655FD0" w:rsidP="00655FD0">
            <w:pPr>
              <w:jc w:val="right"/>
              <w:rPr>
                <w:b/>
                <w:bCs/>
                <w:color w:val="000000"/>
                <w:sz w:val="14"/>
                <w:szCs w:val="14"/>
              </w:rPr>
            </w:pPr>
            <w:r w:rsidRPr="00A74C68">
              <w:rPr>
                <w:b/>
                <w:bCs/>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54A68590" w14:textId="77777777" w:rsidR="00655FD0" w:rsidRPr="00A74C68" w:rsidRDefault="00655FD0" w:rsidP="00655FD0">
            <w:pPr>
              <w:jc w:val="right"/>
              <w:rPr>
                <w:b/>
                <w:bCs/>
                <w:color w:val="000000"/>
                <w:sz w:val="14"/>
                <w:szCs w:val="14"/>
              </w:rPr>
            </w:pPr>
            <w:r w:rsidRPr="00A74C68">
              <w:rPr>
                <w:b/>
                <w:bCs/>
                <w:color w:val="000000"/>
                <w:sz w:val="14"/>
                <w:szCs w:val="14"/>
              </w:rPr>
              <w:t>457.990</w:t>
            </w:r>
          </w:p>
        </w:tc>
      </w:tr>
      <w:tr w:rsidR="00A74C68" w:rsidRPr="00A74C68" w14:paraId="74526EAF" w14:textId="77777777" w:rsidTr="00655FD0">
        <w:trPr>
          <w:divId w:val="101003176"/>
          <w:trHeight w:val="113"/>
        </w:trPr>
        <w:tc>
          <w:tcPr>
            <w:tcW w:w="740" w:type="dxa"/>
            <w:tcBorders>
              <w:top w:val="nil"/>
              <w:left w:val="single" w:sz="4" w:space="0" w:color="auto"/>
              <w:bottom w:val="nil"/>
              <w:right w:val="nil"/>
            </w:tcBorders>
            <w:noWrap/>
            <w:hideMark/>
          </w:tcPr>
          <w:p w14:paraId="356AA63F" w14:textId="77777777" w:rsidR="00A74C68" w:rsidRPr="00A74C68" w:rsidRDefault="00A74C68" w:rsidP="00A74C68">
            <w:pPr>
              <w:rPr>
                <w:sz w:val="14"/>
                <w:szCs w:val="14"/>
              </w:rPr>
            </w:pPr>
            <w:r w:rsidRPr="00A74C68">
              <w:rPr>
                <w:sz w:val="14"/>
                <w:szCs w:val="14"/>
              </w:rPr>
              <w:t>6.1</w:t>
            </w:r>
          </w:p>
        </w:tc>
        <w:tc>
          <w:tcPr>
            <w:tcW w:w="5364" w:type="dxa"/>
            <w:tcBorders>
              <w:top w:val="nil"/>
              <w:left w:val="nil"/>
              <w:bottom w:val="nil"/>
              <w:right w:val="single" w:sz="4" w:space="0" w:color="auto"/>
            </w:tcBorders>
            <w:hideMark/>
          </w:tcPr>
          <w:p w14:paraId="577885EB" w14:textId="77777777" w:rsidR="00A74C68" w:rsidRPr="00A74C68" w:rsidRDefault="00A74C68" w:rsidP="00A74C68">
            <w:pPr>
              <w:rPr>
                <w:sz w:val="14"/>
                <w:szCs w:val="14"/>
              </w:rPr>
            </w:pPr>
            <w:r w:rsidRPr="00A74C68">
              <w:rPr>
                <w:sz w:val="14"/>
                <w:szCs w:val="14"/>
              </w:rPr>
              <w:t>Şerefiye</w:t>
            </w:r>
          </w:p>
        </w:tc>
        <w:tc>
          <w:tcPr>
            <w:tcW w:w="926" w:type="dxa"/>
            <w:tcBorders>
              <w:top w:val="nil"/>
              <w:left w:val="nil"/>
              <w:bottom w:val="nil"/>
              <w:right w:val="single" w:sz="4" w:space="0" w:color="auto"/>
            </w:tcBorders>
            <w:noWrap/>
            <w:vAlign w:val="bottom"/>
            <w:hideMark/>
          </w:tcPr>
          <w:p w14:paraId="45B669B4" w14:textId="77777777" w:rsidR="00A74C68" w:rsidRPr="00A74C68" w:rsidRDefault="00A74C68" w:rsidP="00A74C68">
            <w:pPr>
              <w:jc w:val="center"/>
              <w:rPr>
                <w:b/>
                <w:bCs/>
                <w:color w:val="000000"/>
                <w:sz w:val="14"/>
                <w:szCs w:val="14"/>
                <w:lang w:eastAsia="tr-TR"/>
              </w:rPr>
            </w:pPr>
            <w:r w:rsidRPr="00A74C68">
              <w:rPr>
                <w:b/>
                <w:bCs/>
                <w:color w:val="000000"/>
                <w:sz w:val="14"/>
                <w:szCs w:val="14"/>
                <w:lang w:eastAsia="tr-TR"/>
              </w:rPr>
              <w:t> </w:t>
            </w:r>
          </w:p>
        </w:tc>
        <w:tc>
          <w:tcPr>
            <w:tcW w:w="1068" w:type="dxa"/>
            <w:tcBorders>
              <w:top w:val="nil"/>
              <w:left w:val="nil"/>
              <w:bottom w:val="nil"/>
              <w:right w:val="nil"/>
            </w:tcBorders>
            <w:shd w:val="clear" w:color="000000" w:fill="FFFFFF"/>
            <w:vAlign w:val="bottom"/>
            <w:hideMark/>
          </w:tcPr>
          <w:p w14:paraId="0201F65C" w14:textId="77777777" w:rsidR="00A74C68" w:rsidRPr="00A74C68" w:rsidRDefault="00A74C68" w:rsidP="00A74C68">
            <w:pPr>
              <w:jc w:val="right"/>
              <w:rPr>
                <w:color w:val="000000"/>
                <w:sz w:val="14"/>
                <w:szCs w:val="14"/>
              </w:rPr>
            </w:pPr>
            <w:r w:rsidRPr="00A74C68">
              <w:rPr>
                <w:color w:val="000000"/>
                <w:sz w:val="14"/>
                <w:szCs w:val="14"/>
              </w:rPr>
              <w:t>-</w:t>
            </w:r>
          </w:p>
        </w:tc>
        <w:tc>
          <w:tcPr>
            <w:tcW w:w="1015" w:type="dxa"/>
            <w:tcBorders>
              <w:top w:val="nil"/>
              <w:left w:val="single" w:sz="4" w:space="0" w:color="auto"/>
              <w:bottom w:val="nil"/>
              <w:right w:val="nil"/>
            </w:tcBorders>
            <w:shd w:val="clear" w:color="000000" w:fill="FFFFFF"/>
            <w:vAlign w:val="bottom"/>
            <w:hideMark/>
          </w:tcPr>
          <w:p w14:paraId="2054E457" w14:textId="77777777" w:rsidR="00A74C68" w:rsidRPr="00A74C68" w:rsidRDefault="00A74C68" w:rsidP="00A74C68">
            <w:pPr>
              <w:jc w:val="right"/>
              <w:rPr>
                <w:color w:val="000000"/>
                <w:sz w:val="14"/>
                <w:szCs w:val="14"/>
              </w:rPr>
            </w:pPr>
            <w:r w:rsidRPr="00A74C68">
              <w:rPr>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73C8AAEE" w14:textId="77777777" w:rsidR="00A74C68" w:rsidRPr="00A74C68" w:rsidRDefault="00A74C68" w:rsidP="00A74C68">
            <w:pPr>
              <w:jc w:val="right"/>
              <w:rPr>
                <w:color w:val="000000"/>
                <w:sz w:val="14"/>
                <w:szCs w:val="14"/>
              </w:rPr>
            </w:pPr>
            <w:r w:rsidRPr="00A74C68">
              <w:rPr>
                <w:color w:val="000000"/>
                <w:sz w:val="14"/>
                <w:szCs w:val="14"/>
              </w:rPr>
              <w:t>-</w:t>
            </w:r>
          </w:p>
        </w:tc>
      </w:tr>
      <w:tr w:rsidR="00A74C68" w:rsidRPr="00A74C68" w14:paraId="0C728D7E" w14:textId="77777777" w:rsidTr="00655FD0">
        <w:trPr>
          <w:divId w:val="101003176"/>
          <w:trHeight w:val="113"/>
        </w:trPr>
        <w:tc>
          <w:tcPr>
            <w:tcW w:w="740" w:type="dxa"/>
            <w:tcBorders>
              <w:top w:val="nil"/>
              <w:left w:val="single" w:sz="4" w:space="0" w:color="auto"/>
              <w:bottom w:val="nil"/>
              <w:right w:val="nil"/>
            </w:tcBorders>
            <w:noWrap/>
            <w:hideMark/>
          </w:tcPr>
          <w:p w14:paraId="196D2417" w14:textId="77777777" w:rsidR="00A74C68" w:rsidRPr="00A74C68" w:rsidRDefault="00A74C68" w:rsidP="00A74C68">
            <w:pPr>
              <w:rPr>
                <w:sz w:val="14"/>
                <w:szCs w:val="14"/>
              </w:rPr>
            </w:pPr>
            <w:r w:rsidRPr="00A74C68">
              <w:rPr>
                <w:sz w:val="14"/>
                <w:szCs w:val="14"/>
              </w:rPr>
              <w:t>6.2</w:t>
            </w:r>
          </w:p>
        </w:tc>
        <w:tc>
          <w:tcPr>
            <w:tcW w:w="5364" w:type="dxa"/>
            <w:tcBorders>
              <w:top w:val="nil"/>
              <w:left w:val="nil"/>
              <w:bottom w:val="nil"/>
              <w:right w:val="single" w:sz="4" w:space="0" w:color="auto"/>
            </w:tcBorders>
            <w:hideMark/>
          </w:tcPr>
          <w:p w14:paraId="0B0E4B38" w14:textId="77777777" w:rsidR="00A74C68" w:rsidRPr="00A74C68" w:rsidRDefault="00A74C68" w:rsidP="00A74C68">
            <w:pPr>
              <w:rPr>
                <w:sz w:val="14"/>
                <w:szCs w:val="14"/>
              </w:rPr>
            </w:pPr>
            <w:r w:rsidRPr="00A74C68">
              <w:rPr>
                <w:sz w:val="14"/>
                <w:szCs w:val="14"/>
              </w:rPr>
              <w:t>Diğer</w:t>
            </w:r>
          </w:p>
        </w:tc>
        <w:tc>
          <w:tcPr>
            <w:tcW w:w="926" w:type="dxa"/>
            <w:tcBorders>
              <w:top w:val="nil"/>
              <w:left w:val="nil"/>
              <w:bottom w:val="nil"/>
              <w:right w:val="single" w:sz="4" w:space="0" w:color="auto"/>
            </w:tcBorders>
            <w:noWrap/>
            <w:vAlign w:val="bottom"/>
            <w:hideMark/>
          </w:tcPr>
          <w:p w14:paraId="3E68540C" w14:textId="77777777" w:rsidR="00A74C68" w:rsidRPr="00A74C68" w:rsidRDefault="00A74C68" w:rsidP="00A74C68">
            <w:pPr>
              <w:jc w:val="center"/>
              <w:rPr>
                <w:b/>
                <w:bCs/>
                <w:color w:val="000000"/>
                <w:sz w:val="14"/>
                <w:szCs w:val="14"/>
                <w:lang w:eastAsia="tr-TR"/>
              </w:rPr>
            </w:pPr>
            <w:r w:rsidRPr="00A74C68">
              <w:rPr>
                <w:b/>
                <w:bCs/>
                <w:color w:val="000000"/>
                <w:sz w:val="14"/>
                <w:szCs w:val="14"/>
                <w:lang w:eastAsia="tr-TR"/>
              </w:rPr>
              <w:t> </w:t>
            </w:r>
          </w:p>
        </w:tc>
        <w:tc>
          <w:tcPr>
            <w:tcW w:w="1068" w:type="dxa"/>
            <w:tcBorders>
              <w:top w:val="nil"/>
              <w:left w:val="nil"/>
              <w:bottom w:val="nil"/>
              <w:right w:val="nil"/>
            </w:tcBorders>
            <w:shd w:val="clear" w:color="000000" w:fill="FFFFFF"/>
            <w:vAlign w:val="bottom"/>
            <w:hideMark/>
          </w:tcPr>
          <w:p w14:paraId="436D2CBF" w14:textId="77777777" w:rsidR="00A74C68" w:rsidRPr="00A74C68" w:rsidRDefault="00A74C68" w:rsidP="00A74C68">
            <w:pPr>
              <w:jc w:val="right"/>
              <w:rPr>
                <w:color w:val="000000"/>
                <w:sz w:val="14"/>
                <w:szCs w:val="14"/>
              </w:rPr>
            </w:pPr>
            <w:r w:rsidRPr="00A74C68">
              <w:rPr>
                <w:color w:val="000000"/>
                <w:sz w:val="14"/>
                <w:szCs w:val="14"/>
              </w:rPr>
              <w:t>457.990</w:t>
            </w:r>
          </w:p>
        </w:tc>
        <w:tc>
          <w:tcPr>
            <w:tcW w:w="1015" w:type="dxa"/>
            <w:tcBorders>
              <w:top w:val="nil"/>
              <w:left w:val="single" w:sz="4" w:space="0" w:color="auto"/>
              <w:bottom w:val="nil"/>
              <w:right w:val="nil"/>
            </w:tcBorders>
            <w:shd w:val="clear" w:color="000000" w:fill="FFFFFF"/>
            <w:vAlign w:val="bottom"/>
            <w:hideMark/>
          </w:tcPr>
          <w:p w14:paraId="4E5A73CD" w14:textId="77777777" w:rsidR="00A74C68" w:rsidRPr="00A74C68" w:rsidRDefault="00A74C68" w:rsidP="00A74C68">
            <w:pPr>
              <w:jc w:val="right"/>
              <w:rPr>
                <w:color w:val="000000"/>
                <w:sz w:val="14"/>
                <w:szCs w:val="14"/>
              </w:rPr>
            </w:pPr>
            <w:r w:rsidRPr="00A74C68">
              <w:rPr>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7F196632" w14:textId="77777777" w:rsidR="00A74C68" w:rsidRPr="00A74C68" w:rsidRDefault="00A74C68" w:rsidP="00A74C68">
            <w:pPr>
              <w:jc w:val="right"/>
              <w:rPr>
                <w:color w:val="000000"/>
                <w:sz w:val="14"/>
                <w:szCs w:val="14"/>
              </w:rPr>
            </w:pPr>
            <w:r w:rsidRPr="00A74C68">
              <w:rPr>
                <w:color w:val="000000"/>
                <w:sz w:val="14"/>
                <w:szCs w:val="14"/>
              </w:rPr>
              <w:t>457.990</w:t>
            </w:r>
          </w:p>
        </w:tc>
      </w:tr>
      <w:tr w:rsidR="00A74C68" w:rsidRPr="00A74C68" w14:paraId="51BB5545" w14:textId="77777777" w:rsidTr="00655FD0">
        <w:trPr>
          <w:divId w:val="101003176"/>
          <w:trHeight w:val="113"/>
        </w:trPr>
        <w:tc>
          <w:tcPr>
            <w:tcW w:w="740" w:type="dxa"/>
            <w:tcBorders>
              <w:top w:val="nil"/>
              <w:left w:val="single" w:sz="4" w:space="0" w:color="auto"/>
              <w:bottom w:val="nil"/>
              <w:right w:val="nil"/>
            </w:tcBorders>
            <w:noWrap/>
            <w:hideMark/>
          </w:tcPr>
          <w:p w14:paraId="21AAE208" w14:textId="77777777" w:rsidR="00A74C68" w:rsidRPr="00A74C68" w:rsidRDefault="00A74C68" w:rsidP="00A74C68">
            <w:pPr>
              <w:rPr>
                <w:b/>
                <w:bCs/>
                <w:color w:val="000000"/>
                <w:sz w:val="14"/>
                <w:szCs w:val="14"/>
              </w:rPr>
            </w:pPr>
            <w:r w:rsidRPr="00A74C68">
              <w:rPr>
                <w:b/>
                <w:bCs/>
                <w:color w:val="000000"/>
                <w:sz w:val="14"/>
                <w:szCs w:val="14"/>
              </w:rPr>
              <w:t>VII.</w:t>
            </w:r>
          </w:p>
        </w:tc>
        <w:tc>
          <w:tcPr>
            <w:tcW w:w="5364" w:type="dxa"/>
            <w:tcBorders>
              <w:top w:val="nil"/>
              <w:left w:val="nil"/>
              <w:bottom w:val="nil"/>
              <w:right w:val="single" w:sz="4" w:space="0" w:color="auto"/>
            </w:tcBorders>
            <w:hideMark/>
          </w:tcPr>
          <w:p w14:paraId="33AE1CC8" w14:textId="77777777" w:rsidR="00A74C68" w:rsidRPr="00A74C68" w:rsidRDefault="00A74C68" w:rsidP="00A74C68">
            <w:pPr>
              <w:rPr>
                <w:b/>
                <w:bCs/>
                <w:color w:val="000000"/>
                <w:sz w:val="14"/>
                <w:szCs w:val="14"/>
              </w:rPr>
            </w:pPr>
            <w:r w:rsidRPr="00A74C68">
              <w:rPr>
                <w:b/>
                <w:bCs/>
                <w:color w:val="000000"/>
                <w:sz w:val="14"/>
                <w:szCs w:val="14"/>
              </w:rPr>
              <w:t>YATIRIM AMAÇLI GAYRİMENKULLER (Net)</w:t>
            </w:r>
          </w:p>
        </w:tc>
        <w:tc>
          <w:tcPr>
            <w:tcW w:w="926" w:type="dxa"/>
            <w:tcBorders>
              <w:top w:val="nil"/>
              <w:left w:val="nil"/>
              <w:bottom w:val="nil"/>
              <w:right w:val="single" w:sz="4" w:space="0" w:color="auto"/>
            </w:tcBorders>
            <w:noWrap/>
            <w:vAlign w:val="bottom"/>
            <w:hideMark/>
          </w:tcPr>
          <w:p w14:paraId="3992F042" w14:textId="77777777" w:rsidR="00A74C68" w:rsidRPr="00A74C68" w:rsidRDefault="00A74C68" w:rsidP="00A74C68">
            <w:pPr>
              <w:jc w:val="center"/>
              <w:rPr>
                <w:b/>
                <w:bCs/>
                <w:color w:val="000000"/>
                <w:sz w:val="14"/>
                <w:szCs w:val="14"/>
              </w:rPr>
            </w:pPr>
            <w:r w:rsidRPr="00A74C68">
              <w:rPr>
                <w:b/>
                <w:bCs/>
                <w:color w:val="000000"/>
                <w:sz w:val="14"/>
                <w:szCs w:val="14"/>
              </w:rPr>
              <w:t>(14)</w:t>
            </w:r>
          </w:p>
        </w:tc>
        <w:tc>
          <w:tcPr>
            <w:tcW w:w="1068" w:type="dxa"/>
            <w:tcBorders>
              <w:top w:val="nil"/>
              <w:left w:val="nil"/>
              <w:bottom w:val="nil"/>
              <w:right w:val="nil"/>
            </w:tcBorders>
            <w:shd w:val="clear" w:color="000000" w:fill="FFFFFF"/>
            <w:vAlign w:val="bottom"/>
            <w:hideMark/>
          </w:tcPr>
          <w:p w14:paraId="5517F861" w14:textId="77777777" w:rsidR="00A74C68" w:rsidRPr="00A74C68" w:rsidRDefault="00A74C68" w:rsidP="00A74C68">
            <w:pPr>
              <w:jc w:val="right"/>
              <w:rPr>
                <w:b/>
                <w:bCs/>
                <w:color w:val="000000"/>
                <w:sz w:val="14"/>
                <w:szCs w:val="14"/>
              </w:rPr>
            </w:pPr>
            <w:r w:rsidRPr="00A74C68">
              <w:rPr>
                <w:b/>
                <w:bCs/>
                <w:color w:val="000000"/>
                <w:sz w:val="14"/>
                <w:szCs w:val="14"/>
              </w:rPr>
              <w:t>-</w:t>
            </w:r>
          </w:p>
        </w:tc>
        <w:tc>
          <w:tcPr>
            <w:tcW w:w="1015" w:type="dxa"/>
            <w:tcBorders>
              <w:top w:val="nil"/>
              <w:left w:val="single" w:sz="4" w:space="0" w:color="auto"/>
              <w:bottom w:val="nil"/>
              <w:right w:val="nil"/>
            </w:tcBorders>
            <w:shd w:val="clear" w:color="000000" w:fill="FFFFFF"/>
            <w:vAlign w:val="bottom"/>
            <w:hideMark/>
          </w:tcPr>
          <w:p w14:paraId="13A08A5E" w14:textId="77777777" w:rsidR="00A74C68" w:rsidRPr="00A74C68" w:rsidRDefault="00A74C68" w:rsidP="00A74C68">
            <w:pPr>
              <w:jc w:val="right"/>
              <w:rPr>
                <w:b/>
                <w:bCs/>
                <w:color w:val="000000"/>
                <w:sz w:val="14"/>
                <w:szCs w:val="14"/>
              </w:rPr>
            </w:pPr>
            <w:r w:rsidRPr="00A74C68">
              <w:rPr>
                <w:b/>
                <w:bCs/>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10E8E58F" w14:textId="77777777" w:rsidR="00A74C68" w:rsidRPr="00A74C68" w:rsidRDefault="00A74C68" w:rsidP="00A74C68">
            <w:pPr>
              <w:jc w:val="right"/>
              <w:rPr>
                <w:b/>
                <w:bCs/>
                <w:color w:val="000000"/>
                <w:sz w:val="14"/>
                <w:szCs w:val="14"/>
              </w:rPr>
            </w:pPr>
            <w:r w:rsidRPr="00A74C68">
              <w:rPr>
                <w:b/>
                <w:bCs/>
                <w:color w:val="000000"/>
                <w:sz w:val="14"/>
                <w:szCs w:val="14"/>
              </w:rPr>
              <w:t>-</w:t>
            </w:r>
          </w:p>
        </w:tc>
      </w:tr>
      <w:tr w:rsidR="00A74C68" w:rsidRPr="00A74C68" w14:paraId="2C913E6D" w14:textId="77777777" w:rsidTr="00655FD0">
        <w:trPr>
          <w:divId w:val="101003176"/>
          <w:trHeight w:val="113"/>
        </w:trPr>
        <w:tc>
          <w:tcPr>
            <w:tcW w:w="740" w:type="dxa"/>
            <w:tcBorders>
              <w:top w:val="nil"/>
              <w:left w:val="single" w:sz="4" w:space="0" w:color="auto"/>
              <w:bottom w:val="nil"/>
              <w:right w:val="nil"/>
            </w:tcBorders>
            <w:noWrap/>
            <w:hideMark/>
          </w:tcPr>
          <w:p w14:paraId="1AC32C5C" w14:textId="77777777" w:rsidR="00A74C68" w:rsidRPr="00A74C68" w:rsidRDefault="00A74C68" w:rsidP="00A74C68">
            <w:pPr>
              <w:rPr>
                <w:b/>
                <w:bCs/>
                <w:color w:val="000000"/>
                <w:sz w:val="14"/>
                <w:szCs w:val="14"/>
              </w:rPr>
            </w:pPr>
            <w:r w:rsidRPr="00A74C68">
              <w:rPr>
                <w:b/>
                <w:bCs/>
                <w:color w:val="000000"/>
                <w:sz w:val="14"/>
                <w:szCs w:val="14"/>
              </w:rPr>
              <w:t>VIII.</w:t>
            </w:r>
          </w:p>
        </w:tc>
        <w:tc>
          <w:tcPr>
            <w:tcW w:w="5364" w:type="dxa"/>
            <w:tcBorders>
              <w:top w:val="nil"/>
              <w:left w:val="nil"/>
              <w:bottom w:val="nil"/>
              <w:right w:val="single" w:sz="4" w:space="0" w:color="auto"/>
            </w:tcBorders>
            <w:hideMark/>
          </w:tcPr>
          <w:p w14:paraId="4C89754D" w14:textId="77777777" w:rsidR="00A74C68" w:rsidRPr="00A74C68" w:rsidRDefault="00A74C68" w:rsidP="00A74C68">
            <w:pPr>
              <w:rPr>
                <w:b/>
                <w:bCs/>
                <w:color w:val="000000"/>
                <w:sz w:val="14"/>
                <w:szCs w:val="14"/>
              </w:rPr>
            </w:pPr>
            <w:r w:rsidRPr="00A74C68">
              <w:rPr>
                <w:b/>
                <w:bCs/>
                <w:color w:val="000000"/>
                <w:sz w:val="14"/>
                <w:szCs w:val="14"/>
              </w:rPr>
              <w:t>CARİ VERGİ VARLIĞI</w:t>
            </w:r>
          </w:p>
        </w:tc>
        <w:tc>
          <w:tcPr>
            <w:tcW w:w="926" w:type="dxa"/>
            <w:tcBorders>
              <w:top w:val="nil"/>
              <w:left w:val="nil"/>
              <w:bottom w:val="nil"/>
              <w:right w:val="single" w:sz="4" w:space="0" w:color="auto"/>
            </w:tcBorders>
            <w:noWrap/>
            <w:vAlign w:val="bottom"/>
            <w:hideMark/>
          </w:tcPr>
          <w:p w14:paraId="5065E76F" w14:textId="77777777" w:rsidR="00A74C68" w:rsidRPr="00A74C68" w:rsidRDefault="00A74C68" w:rsidP="00A74C68">
            <w:pPr>
              <w:jc w:val="center"/>
              <w:rPr>
                <w:b/>
                <w:bCs/>
                <w:color w:val="000000"/>
                <w:sz w:val="14"/>
                <w:szCs w:val="14"/>
                <w:lang w:eastAsia="tr-TR"/>
              </w:rPr>
            </w:pPr>
            <w:r w:rsidRPr="00A74C68">
              <w:rPr>
                <w:b/>
                <w:bCs/>
                <w:color w:val="000000"/>
                <w:sz w:val="14"/>
                <w:szCs w:val="14"/>
                <w:lang w:eastAsia="tr-TR"/>
              </w:rPr>
              <w:t> </w:t>
            </w:r>
          </w:p>
        </w:tc>
        <w:tc>
          <w:tcPr>
            <w:tcW w:w="1068" w:type="dxa"/>
            <w:tcBorders>
              <w:top w:val="nil"/>
              <w:left w:val="nil"/>
              <w:bottom w:val="nil"/>
              <w:right w:val="nil"/>
            </w:tcBorders>
            <w:shd w:val="clear" w:color="000000" w:fill="FFFFFF"/>
            <w:vAlign w:val="bottom"/>
            <w:hideMark/>
          </w:tcPr>
          <w:p w14:paraId="706C6CB5" w14:textId="77777777" w:rsidR="00A74C68" w:rsidRPr="00A74C68" w:rsidRDefault="00A74C68" w:rsidP="00A74C68">
            <w:pPr>
              <w:jc w:val="right"/>
              <w:rPr>
                <w:b/>
                <w:bCs/>
                <w:color w:val="000000"/>
                <w:sz w:val="14"/>
                <w:szCs w:val="14"/>
              </w:rPr>
            </w:pPr>
            <w:r w:rsidRPr="00A74C68">
              <w:rPr>
                <w:b/>
                <w:bCs/>
                <w:color w:val="000000"/>
                <w:sz w:val="14"/>
                <w:szCs w:val="14"/>
              </w:rPr>
              <w:t>7.944</w:t>
            </w:r>
          </w:p>
        </w:tc>
        <w:tc>
          <w:tcPr>
            <w:tcW w:w="1015" w:type="dxa"/>
            <w:tcBorders>
              <w:top w:val="nil"/>
              <w:left w:val="single" w:sz="4" w:space="0" w:color="auto"/>
              <w:bottom w:val="nil"/>
              <w:right w:val="nil"/>
            </w:tcBorders>
            <w:shd w:val="clear" w:color="000000" w:fill="FFFFFF"/>
            <w:vAlign w:val="bottom"/>
            <w:hideMark/>
          </w:tcPr>
          <w:p w14:paraId="0A933E5D" w14:textId="77777777" w:rsidR="00A74C68" w:rsidRPr="00A74C68" w:rsidRDefault="00A74C68" w:rsidP="00A74C68">
            <w:pPr>
              <w:jc w:val="right"/>
              <w:rPr>
                <w:b/>
                <w:bCs/>
                <w:color w:val="000000"/>
                <w:sz w:val="14"/>
                <w:szCs w:val="14"/>
              </w:rPr>
            </w:pPr>
            <w:r w:rsidRPr="00A74C68">
              <w:rPr>
                <w:b/>
                <w:bCs/>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4DCC2AC2" w14:textId="77777777" w:rsidR="00A74C68" w:rsidRPr="00A74C68" w:rsidRDefault="00A74C68" w:rsidP="00A74C68">
            <w:pPr>
              <w:jc w:val="right"/>
              <w:rPr>
                <w:b/>
                <w:bCs/>
                <w:color w:val="000000"/>
                <w:sz w:val="14"/>
                <w:szCs w:val="14"/>
              </w:rPr>
            </w:pPr>
            <w:r w:rsidRPr="00A74C68">
              <w:rPr>
                <w:b/>
                <w:bCs/>
                <w:color w:val="000000"/>
                <w:sz w:val="14"/>
                <w:szCs w:val="14"/>
              </w:rPr>
              <w:t>7.944</w:t>
            </w:r>
          </w:p>
        </w:tc>
      </w:tr>
      <w:tr w:rsidR="00A74C68" w:rsidRPr="00A74C68" w14:paraId="7ACE3384" w14:textId="77777777" w:rsidTr="00655FD0">
        <w:trPr>
          <w:divId w:val="101003176"/>
          <w:trHeight w:val="113"/>
        </w:trPr>
        <w:tc>
          <w:tcPr>
            <w:tcW w:w="740" w:type="dxa"/>
            <w:tcBorders>
              <w:top w:val="nil"/>
              <w:left w:val="single" w:sz="4" w:space="0" w:color="auto"/>
              <w:bottom w:val="nil"/>
              <w:right w:val="nil"/>
            </w:tcBorders>
            <w:noWrap/>
            <w:hideMark/>
          </w:tcPr>
          <w:p w14:paraId="5B14AF4B" w14:textId="77777777" w:rsidR="00A74C68" w:rsidRPr="00A74C68" w:rsidRDefault="00A74C68" w:rsidP="00A74C68">
            <w:pPr>
              <w:rPr>
                <w:b/>
                <w:bCs/>
                <w:color w:val="000000"/>
                <w:sz w:val="14"/>
                <w:szCs w:val="14"/>
              </w:rPr>
            </w:pPr>
            <w:r w:rsidRPr="00A74C68">
              <w:rPr>
                <w:b/>
                <w:bCs/>
                <w:color w:val="000000"/>
                <w:sz w:val="14"/>
                <w:szCs w:val="14"/>
              </w:rPr>
              <w:t>IX.</w:t>
            </w:r>
          </w:p>
        </w:tc>
        <w:tc>
          <w:tcPr>
            <w:tcW w:w="5364" w:type="dxa"/>
            <w:tcBorders>
              <w:top w:val="nil"/>
              <w:left w:val="nil"/>
              <w:bottom w:val="nil"/>
              <w:right w:val="single" w:sz="4" w:space="0" w:color="auto"/>
            </w:tcBorders>
            <w:hideMark/>
          </w:tcPr>
          <w:p w14:paraId="4395A5F7" w14:textId="77777777" w:rsidR="00A74C68" w:rsidRPr="00A74C68" w:rsidRDefault="00A74C68" w:rsidP="00A74C68">
            <w:pPr>
              <w:rPr>
                <w:b/>
                <w:bCs/>
                <w:color w:val="000000"/>
                <w:sz w:val="14"/>
                <w:szCs w:val="14"/>
              </w:rPr>
            </w:pPr>
            <w:r w:rsidRPr="00A74C68">
              <w:rPr>
                <w:b/>
                <w:bCs/>
                <w:color w:val="000000"/>
                <w:sz w:val="14"/>
                <w:szCs w:val="14"/>
              </w:rPr>
              <w:t>ERTELENMİŞ VERGİ VARLIĞI</w:t>
            </w:r>
          </w:p>
        </w:tc>
        <w:tc>
          <w:tcPr>
            <w:tcW w:w="926" w:type="dxa"/>
            <w:tcBorders>
              <w:top w:val="nil"/>
              <w:left w:val="nil"/>
              <w:bottom w:val="nil"/>
              <w:right w:val="single" w:sz="4" w:space="0" w:color="auto"/>
            </w:tcBorders>
            <w:noWrap/>
            <w:vAlign w:val="bottom"/>
            <w:hideMark/>
          </w:tcPr>
          <w:p w14:paraId="5F0CC6C6" w14:textId="2350454F" w:rsidR="00A74C68" w:rsidRPr="00A74C68" w:rsidRDefault="00A74C68" w:rsidP="00A74C68">
            <w:pPr>
              <w:jc w:val="center"/>
              <w:rPr>
                <w:b/>
                <w:bCs/>
                <w:color w:val="000000"/>
                <w:sz w:val="14"/>
                <w:szCs w:val="14"/>
              </w:rPr>
            </w:pPr>
          </w:p>
        </w:tc>
        <w:tc>
          <w:tcPr>
            <w:tcW w:w="1068" w:type="dxa"/>
            <w:tcBorders>
              <w:top w:val="nil"/>
              <w:left w:val="nil"/>
              <w:bottom w:val="nil"/>
              <w:right w:val="nil"/>
            </w:tcBorders>
            <w:shd w:val="clear" w:color="000000" w:fill="FFFFFF"/>
            <w:vAlign w:val="bottom"/>
            <w:hideMark/>
          </w:tcPr>
          <w:p w14:paraId="0832962A" w14:textId="77777777" w:rsidR="00A74C68" w:rsidRPr="00A74C68" w:rsidRDefault="00A74C68" w:rsidP="00A74C68">
            <w:pPr>
              <w:jc w:val="right"/>
              <w:rPr>
                <w:b/>
                <w:bCs/>
                <w:color w:val="000000"/>
                <w:sz w:val="14"/>
                <w:szCs w:val="14"/>
              </w:rPr>
            </w:pPr>
            <w:r w:rsidRPr="00A74C68">
              <w:rPr>
                <w:b/>
                <w:bCs/>
                <w:color w:val="000000"/>
                <w:sz w:val="14"/>
                <w:szCs w:val="14"/>
              </w:rPr>
              <w:t>-</w:t>
            </w:r>
          </w:p>
        </w:tc>
        <w:tc>
          <w:tcPr>
            <w:tcW w:w="1015" w:type="dxa"/>
            <w:tcBorders>
              <w:top w:val="nil"/>
              <w:left w:val="single" w:sz="4" w:space="0" w:color="auto"/>
              <w:bottom w:val="nil"/>
              <w:right w:val="nil"/>
            </w:tcBorders>
            <w:shd w:val="clear" w:color="000000" w:fill="FFFFFF"/>
            <w:vAlign w:val="bottom"/>
            <w:hideMark/>
          </w:tcPr>
          <w:p w14:paraId="17B782E1" w14:textId="77777777" w:rsidR="00A74C68" w:rsidRPr="00A74C68" w:rsidRDefault="00A74C68" w:rsidP="00A74C68">
            <w:pPr>
              <w:jc w:val="right"/>
              <w:rPr>
                <w:b/>
                <w:bCs/>
                <w:color w:val="000000"/>
                <w:sz w:val="14"/>
                <w:szCs w:val="14"/>
              </w:rPr>
            </w:pPr>
            <w:r w:rsidRPr="00A74C68">
              <w:rPr>
                <w:b/>
                <w:bCs/>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7624BF5C" w14:textId="77777777" w:rsidR="00A74C68" w:rsidRPr="00A74C68" w:rsidRDefault="00A74C68" w:rsidP="00A74C68">
            <w:pPr>
              <w:jc w:val="right"/>
              <w:rPr>
                <w:b/>
                <w:bCs/>
                <w:color w:val="000000"/>
                <w:sz w:val="14"/>
                <w:szCs w:val="14"/>
              </w:rPr>
            </w:pPr>
            <w:r w:rsidRPr="00A74C68">
              <w:rPr>
                <w:b/>
                <w:bCs/>
                <w:color w:val="000000"/>
                <w:sz w:val="14"/>
                <w:szCs w:val="14"/>
              </w:rPr>
              <w:t>-</w:t>
            </w:r>
          </w:p>
        </w:tc>
      </w:tr>
      <w:tr w:rsidR="00A74C68" w:rsidRPr="00A74C68" w14:paraId="39BC5E98" w14:textId="77777777" w:rsidTr="00655FD0">
        <w:trPr>
          <w:divId w:val="101003176"/>
          <w:trHeight w:val="113"/>
        </w:trPr>
        <w:tc>
          <w:tcPr>
            <w:tcW w:w="740" w:type="dxa"/>
            <w:tcBorders>
              <w:top w:val="nil"/>
              <w:left w:val="single" w:sz="4" w:space="0" w:color="auto"/>
              <w:bottom w:val="nil"/>
              <w:right w:val="nil"/>
            </w:tcBorders>
            <w:noWrap/>
            <w:hideMark/>
          </w:tcPr>
          <w:p w14:paraId="539B3BF9" w14:textId="77777777" w:rsidR="00A74C68" w:rsidRPr="00A74C68" w:rsidRDefault="00A74C68" w:rsidP="00A74C68">
            <w:pPr>
              <w:rPr>
                <w:b/>
                <w:bCs/>
                <w:color w:val="000000"/>
                <w:sz w:val="14"/>
                <w:szCs w:val="14"/>
              </w:rPr>
            </w:pPr>
            <w:r w:rsidRPr="00A74C68">
              <w:rPr>
                <w:b/>
                <w:bCs/>
                <w:color w:val="000000"/>
                <w:sz w:val="14"/>
                <w:szCs w:val="14"/>
              </w:rPr>
              <w:t>X.</w:t>
            </w:r>
          </w:p>
        </w:tc>
        <w:tc>
          <w:tcPr>
            <w:tcW w:w="5364" w:type="dxa"/>
            <w:tcBorders>
              <w:top w:val="nil"/>
              <w:left w:val="nil"/>
              <w:bottom w:val="nil"/>
              <w:right w:val="single" w:sz="4" w:space="0" w:color="auto"/>
            </w:tcBorders>
            <w:hideMark/>
          </w:tcPr>
          <w:p w14:paraId="0558A464" w14:textId="77777777" w:rsidR="00A74C68" w:rsidRPr="00A74C68" w:rsidRDefault="00A74C68" w:rsidP="00A74C68">
            <w:pPr>
              <w:rPr>
                <w:b/>
                <w:bCs/>
                <w:color w:val="000000"/>
                <w:sz w:val="14"/>
                <w:szCs w:val="14"/>
              </w:rPr>
            </w:pPr>
            <w:r w:rsidRPr="00A74C68">
              <w:rPr>
                <w:b/>
                <w:bCs/>
                <w:color w:val="000000"/>
                <w:sz w:val="14"/>
                <w:szCs w:val="14"/>
              </w:rPr>
              <w:t>DİĞER AKTİFLER</w:t>
            </w:r>
          </w:p>
        </w:tc>
        <w:tc>
          <w:tcPr>
            <w:tcW w:w="926" w:type="dxa"/>
            <w:tcBorders>
              <w:top w:val="nil"/>
              <w:left w:val="nil"/>
              <w:bottom w:val="nil"/>
              <w:right w:val="nil"/>
            </w:tcBorders>
            <w:noWrap/>
            <w:vAlign w:val="bottom"/>
            <w:hideMark/>
          </w:tcPr>
          <w:p w14:paraId="34A73724" w14:textId="77777777" w:rsidR="00A74C68" w:rsidRPr="00A74C68" w:rsidRDefault="00A74C68" w:rsidP="00A74C68">
            <w:pPr>
              <w:jc w:val="center"/>
              <w:rPr>
                <w:b/>
                <w:bCs/>
                <w:color w:val="000000"/>
                <w:sz w:val="14"/>
                <w:szCs w:val="14"/>
              </w:rPr>
            </w:pPr>
            <w:r w:rsidRPr="00A74C68">
              <w:rPr>
                <w:b/>
                <w:bCs/>
                <w:color w:val="000000"/>
                <w:sz w:val="14"/>
                <w:szCs w:val="14"/>
              </w:rPr>
              <w:t>(16)</w:t>
            </w:r>
          </w:p>
        </w:tc>
        <w:tc>
          <w:tcPr>
            <w:tcW w:w="1068" w:type="dxa"/>
            <w:tcBorders>
              <w:top w:val="nil"/>
              <w:left w:val="single" w:sz="4" w:space="0" w:color="auto"/>
              <w:bottom w:val="nil"/>
              <w:right w:val="nil"/>
            </w:tcBorders>
            <w:shd w:val="clear" w:color="000000" w:fill="FFFFFF"/>
            <w:vAlign w:val="bottom"/>
            <w:hideMark/>
          </w:tcPr>
          <w:p w14:paraId="0DFB3D5E" w14:textId="77777777" w:rsidR="00A74C68" w:rsidRPr="00A74C68" w:rsidRDefault="00A74C68" w:rsidP="00A74C68">
            <w:pPr>
              <w:jc w:val="right"/>
              <w:rPr>
                <w:b/>
                <w:bCs/>
                <w:color w:val="000000"/>
                <w:sz w:val="14"/>
                <w:szCs w:val="14"/>
              </w:rPr>
            </w:pPr>
            <w:r w:rsidRPr="00A74C68">
              <w:rPr>
                <w:b/>
                <w:bCs/>
                <w:color w:val="000000"/>
                <w:sz w:val="14"/>
                <w:szCs w:val="14"/>
              </w:rPr>
              <w:t>385.437</w:t>
            </w:r>
          </w:p>
        </w:tc>
        <w:tc>
          <w:tcPr>
            <w:tcW w:w="1015" w:type="dxa"/>
            <w:tcBorders>
              <w:top w:val="nil"/>
              <w:left w:val="single" w:sz="4" w:space="0" w:color="auto"/>
              <w:bottom w:val="nil"/>
              <w:right w:val="nil"/>
            </w:tcBorders>
            <w:shd w:val="clear" w:color="000000" w:fill="FFFFFF"/>
            <w:vAlign w:val="bottom"/>
            <w:hideMark/>
          </w:tcPr>
          <w:p w14:paraId="7A6DF817" w14:textId="77777777" w:rsidR="00A74C68" w:rsidRPr="00A74C68" w:rsidRDefault="00A74C68" w:rsidP="00A74C68">
            <w:pPr>
              <w:jc w:val="right"/>
              <w:rPr>
                <w:b/>
                <w:bCs/>
                <w:color w:val="000000"/>
                <w:sz w:val="14"/>
                <w:szCs w:val="14"/>
              </w:rPr>
            </w:pPr>
            <w:r w:rsidRPr="00A74C68">
              <w:rPr>
                <w:b/>
                <w:bCs/>
                <w:color w:val="000000"/>
                <w:sz w:val="14"/>
                <w:szCs w:val="14"/>
              </w:rPr>
              <w:t>3.240</w:t>
            </w:r>
          </w:p>
        </w:tc>
        <w:tc>
          <w:tcPr>
            <w:tcW w:w="1088" w:type="dxa"/>
            <w:tcBorders>
              <w:top w:val="nil"/>
              <w:left w:val="single" w:sz="4" w:space="0" w:color="auto"/>
              <w:bottom w:val="nil"/>
              <w:right w:val="single" w:sz="4" w:space="0" w:color="auto"/>
            </w:tcBorders>
            <w:shd w:val="clear" w:color="000000" w:fill="FFFFFF"/>
            <w:vAlign w:val="bottom"/>
            <w:hideMark/>
          </w:tcPr>
          <w:p w14:paraId="67D38C5B" w14:textId="77777777" w:rsidR="00A74C68" w:rsidRPr="00A74C68" w:rsidRDefault="00A74C68" w:rsidP="00A74C68">
            <w:pPr>
              <w:jc w:val="right"/>
              <w:rPr>
                <w:b/>
                <w:bCs/>
                <w:color w:val="000000"/>
                <w:sz w:val="14"/>
                <w:szCs w:val="14"/>
              </w:rPr>
            </w:pPr>
            <w:r w:rsidRPr="00A74C68">
              <w:rPr>
                <w:b/>
                <w:bCs/>
                <w:color w:val="000000"/>
                <w:sz w:val="14"/>
                <w:szCs w:val="14"/>
              </w:rPr>
              <w:t>388.677</w:t>
            </w:r>
          </w:p>
        </w:tc>
      </w:tr>
      <w:tr w:rsidR="00A74C68" w:rsidRPr="00A74C68" w14:paraId="4779C881" w14:textId="77777777" w:rsidTr="00655FD0">
        <w:trPr>
          <w:divId w:val="101003176"/>
          <w:trHeight w:val="113"/>
        </w:trPr>
        <w:tc>
          <w:tcPr>
            <w:tcW w:w="740" w:type="dxa"/>
            <w:tcBorders>
              <w:top w:val="nil"/>
              <w:left w:val="single" w:sz="4" w:space="0" w:color="auto"/>
              <w:bottom w:val="nil"/>
              <w:right w:val="nil"/>
            </w:tcBorders>
            <w:noWrap/>
            <w:hideMark/>
          </w:tcPr>
          <w:p w14:paraId="0A85B767" w14:textId="77777777" w:rsidR="00A74C68" w:rsidRPr="00A74C68" w:rsidRDefault="00A74C68" w:rsidP="00A74C68">
            <w:pPr>
              <w:rPr>
                <w:b/>
                <w:bCs/>
                <w:color w:val="000000"/>
                <w:sz w:val="14"/>
                <w:szCs w:val="14"/>
              </w:rPr>
            </w:pPr>
            <w:r w:rsidRPr="00A74C68">
              <w:rPr>
                <w:b/>
                <w:bCs/>
                <w:color w:val="000000"/>
                <w:sz w:val="14"/>
                <w:szCs w:val="14"/>
              </w:rPr>
              <w:t> </w:t>
            </w:r>
          </w:p>
        </w:tc>
        <w:tc>
          <w:tcPr>
            <w:tcW w:w="5364" w:type="dxa"/>
            <w:tcBorders>
              <w:top w:val="nil"/>
              <w:left w:val="nil"/>
              <w:bottom w:val="nil"/>
              <w:right w:val="single" w:sz="4" w:space="0" w:color="auto"/>
            </w:tcBorders>
            <w:hideMark/>
          </w:tcPr>
          <w:p w14:paraId="46D99726" w14:textId="77777777" w:rsidR="00A74C68" w:rsidRPr="00A74C68" w:rsidRDefault="00A74C68" w:rsidP="00A74C68">
            <w:pPr>
              <w:rPr>
                <w:b/>
                <w:bCs/>
                <w:color w:val="000000"/>
                <w:sz w:val="14"/>
                <w:szCs w:val="14"/>
              </w:rPr>
            </w:pPr>
            <w:r w:rsidRPr="00A74C68">
              <w:rPr>
                <w:b/>
                <w:bCs/>
                <w:color w:val="000000"/>
                <w:sz w:val="14"/>
                <w:szCs w:val="14"/>
              </w:rPr>
              <w:t> </w:t>
            </w:r>
          </w:p>
        </w:tc>
        <w:tc>
          <w:tcPr>
            <w:tcW w:w="926" w:type="dxa"/>
            <w:tcBorders>
              <w:top w:val="nil"/>
              <w:left w:val="nil"/>
              <w:bottom w:val="single" w:sz="4" w:space="0" w:color="auto"/>
              <w:right w:val="single" w:sz="4" w:space="0" w:color="auto"/>
            </w:tcBorders>
            <w:noWrap/>
            <w:vAlign w:val="bottom"/>
            <w:hideMark/>
          </w:tcPr>
          <w:p w14:paraId="24887781" w14:textId="77777777" w:rsidR="00A74C68" w:rsidRPr="00A74C68" w:rsidRDefault="00A74C68" w:rsidP="00A74C68">
            <w:pPr>
              <w:jc w:val="center"/>
              <w:rPr>
                <w:b/>
                <w:bCs/>
                <w:color w:val="000000"/>
                <w:sz w:val="14"/>
                <w:szCs w:val="14"/>
                <w:lang w:eastAsia="tr-TR"/>
              </w:rPr>
            </w:pPr>
            <w:r w:rsidRPr="00A74C68">
              <w:rPr>
                <w:b/>
                <w:bCs/>
                <w:color w:val="000000"/>
                <w:sz w:val="14"/>
                <w:szCs w:val="14"/>
                <w:lang w:eastAsia="tr-TR"/>
              </w:rPr>
              <w:t> </w:t>
            </w:r>
          </w:p>
        </w:tc>
        <w:tc>
          <w:tcPr>
            <w:tcW w:w="1068" w:type="dxa"/>
            <w:tcBorders>
              <w:top w:val="nil"/>
              <w:left w:val="nil"/>
              <w:bottom w:val="single" w:sz="4" w:space="0" w:color="auto"/>
              <w:right w:val="single" w:sz="4" w:space="0" w:color="auto"/>
            </w:tcBorders>
            <w:vAlign w:val="bottom"/>
            <w:hideMark/>
          </w:tcPr>
          <w:p w14:paraId="225D5C84" w14:textId="77777777" w:rsidR="00A74C68" w:rsidRPr="00A74C68" w:rsidRDefault="00A74C68" w:rsidP="00A74C68">
            <w:pPr>
              <w:jc w:val="right"/>
              <w:rPr>
                <w:b/>
                <w:bCs/>
                <w:color w:val="000000"/>
                <w:sz w:val="14"/>
                <w:szCs w:val="14"/>
              </w:rPr>
            </w:pPr>
            <w:r w:rsidRPr="00A74C68">
              <w:rPr>
                <w:b/>
                <w:bCs/>
                <w:color w:val="000000"/>
                <w:sz w:val="14"/>
                <w:szCs w:val="14"/>
              </w:rPr>
              <w:t> </w:t>
            </w:r>
          </w:p>
        </w:tc>
        <w:tc>
          <w:tcPr>
            <w:tcW w:w="1015" w:type="dxa"/>
            <w:tcBorders>
              <w:top w:val="nil"/>
              <w:left w:val="nil"/>
              <w:bottom w:val="single" w:sz="4" w:space="0" w:color="auto"/>
              <w:right w:val="single" w:sz="4" w:space="0" w:color="auto"/>
            </w:tcBorders>
            <w:vAlign w:val="bottom"/>
            <w:hideMark/>
          </w:tcPr>
          <w:p w14:paraId="72B306D2" w14:textId="77777777" w:rsidR="00A74C68" w:rsidRPr="00A74C68" w:rsidRDefault="00A74C68" w:rsidP="00A74C68">
            <w:pPr>
              <w:jc w:val="right"/>
              <w:rPr>
                <w:b/>
                <w:bCs/>
                <w:color w:val="000000"/>
                <w:sz w:val="14"/>
                <w:szCs w:val="14"/>
              </w:rPr>
            </w:pPr>
            <w:r w:rsidRPr="00A74C68">
              <w:rPr>
                <w:b/>
                <w:bCs/>
                <w:color w:val="000000"/>
                <w:sz w:val="14"/>
                <w:szCs w:val="14"/>
              </w:rPr>
              <w:t> </w:t>
            </w:r>
          </w:p>
        </w:tc>
        <w:tc>
          <w:tcPr>
            <w:tcW w:w="1088" w:type="dxa"/>
            <w:tcBorders>
              <w:top w:val="nil"/>
              <w:left w:val="nil"/>
              <w:bottom w:val="single" w:sz="4" w:space="0" w:color="auto"/>
              <w:right w:val="single" w:sz="4" w:space="0" w:color="auto"/>
            </w:tcBorders>
            <w:vAlign w:val="bottom"/>
            <w:hideMark/>
          </w:tcPr>
          <w:p w14:paraId="5919A272" w14:textId="77777777" w:rsidR="00A74C68" w:rsidRPr="00A74C68" w:rsidRDefault="00A74C68" w:rsidP="00A74C68">
            <w:pPr>
              <w:jc w:val="right"/>
              <w:rPr>
                <w:b/>
                <w:bCs/>
                <w:color w:val="000000"/>
                <w:sz w:val="14"/>
                <w:szCs w:val="14"/>
              </w:rPr>
            </w:pPr>
            <w:r w:rsidRPr="00A74C68">
              <w:rPr>
                <w:b/>
                <w:bCs/>
                <w:color w:val="000000"/>
                <w:sz w:val="14"/>
                <w:szCs w:val="14"/>
              </w:rPr>
              <w:t> </w:t>
            </w:r>
          </w:p>
        </w:tc>
      </w:tr>
      <w:tr w:rsidR="00A74C68" w:rsidRPr="00A74C68" w14:paraId="6D849DFC" w14:textId="77777777" w:rsidTr="00655FD0">
        <w:trPr>
          <w:divId w:val="101003176"/>
          <w:trHeight w:val="113"/>
        </w:trPr>
        <w:tc>
          <w:tcPr>
            <w:tcW w:w="740" w:type="dxa"/>
            <w:tcBorders>
              <w:top w:val="single" w:sz="4" w:space="0" w:color="auto"/>
              <w:left w:val="single" w:sz="4" w:space="0" w:color="auto"/>
              <w:bottom w:val="single" w:sz="4" w:space="0" w:color="auto"/>
              <w:right w:val="nil"/>
            </w:tcBorders>
            <w:noWrap/>
            <w:hideMark/>
          </w:tcPr>
          <w:p w14:paraId="260DD595" w14:textId="77777777" w:rsidR="00A74C68" w:rsidRPr="00A74C68" w:rsidRDefault="00A74C68" w:rsidP="00A74C68">
            <w:pPr>
              <w:rPr>
                <w:b/>
                <w:bCs/>
                <w:sz w:val="14"/>
                <w:szCs w:val="14"/>
              </w:rPr>
            </w:pPr>
            <w:r w:rsidRPr="00A74C68">
              <w:rPr>
                <w:b/>
                <w:bCs/>
                <w:sz w:val="14"/>
                <w:szCs w:val="14"/>
              </w:rPr>
              <w:t> </w:t>
            </w:r>
          </w:p>
        </w:tc>
        <w:tc>
          <w:tcPr>
            <w:tcW w:w="5364" w:type="dxa"/>
            <w:tcBorders>
              <w:top w:val="single" w:sz="4" w:space="0" w:color="auto"/>
              <w:left w:val="nil"/>
              <w:bottom w:val="single" w:sz="4" w:space="0" w:color="auto"/>
              <w:right w:val="single" w:sz="4" w:space="0" w:color="auto"/>
            </w:tcBorders>
            <w:hideMark/>
          </w:tcPr>
          <w:p w14:paraId="7BC76B00" w14:textId="77777777" w:rsidR="00A74C68" w:rsidRPr="00A74C68" w:rsidRDefault="00A74C68" w:rsidP="00A74C68">
            <w:pPr>
              <w:rPr>
                <w:b/>
                <w:bCs/>
                <w:sz w:val="14"/>
                <w:szCs w:val="14"/>
              </w:rPr>
            </w:pPr>
            <w:r w:rsidRPr="00A74C68">
              <w:rPr>
                <w:b/>
                <w:bCs/>
                <w:sz w:val="14"/>
                <w:szCs w:val="14"/>
              </w:rPr>
              <w:t>VARLIKLAR TOPLAMI</w:t>
            </w:r>
          </w:p>
        </w:tc>
        <w:tc>
          <w:tcPr>
            <w:tcW w:w="926" w:type="dxa"/>
            <w:tcBorders>
              <w:top w:val="single" w:sz="4" w:space="0" w:color="auto"/>
              <w:left w:val="nil"/>
              <w:bottom w:val="single" w:sz="4" w:space="0" w:color="auto"/>
              <w:right w:val="single" w:sz="4" w:space="0" w:color="auto"/>
            </w:tcBorders>
            <w:noWrap/>
            <w:vAlign w:val="bottom"/>
            <w:hideMark/>
          </w:tcPr>
          <w:p w14:paraId="2C60CFD8" w14:textId="77777777" w:rsidR="00A74C68" w:rsidRPr="00A74C68" w:rsidRDefault="00A74C68" w:rsidP="00A74C68">
            <w:pPr>
              <w:jc w:val="center"/>
              <w:rPr>
                <w:b/>
                <w:bCs/>
                <w:sz w:val="14"/>
                <w:szCs w:val="14"/>
                <w:lang w:eastAsia="tr-TR"/>
              </w:rPr>
            </w:pPr>
            <w:r w:rsidRPr="00A74C68">
              <w:rPr>
                <w:b/>
                <w:bCs/>
                <w:sz w:val="14"/>
                <w:szCs w:val="14"/>
                <w:lang w:eastAsia="tr-TR"/>
              </w:rPr>
              <w:t> </w:t>
            </w:r>
          </w:p>
        </w:tc>
        <w:tc>
          <w:tcPr>
            <w:tcW w:w="1068" w:type="dxa"/>
            <w:tcBorders>
              <w:top w:val="single" w:sz="4" w:space="0" w:color="auto"/>
              <w:left w:val="nil"/>
              <w:bottom w:val="single" w:sz="4" w:space="0" w:color="auto"/>
              <w:right w:val="single" w:sz="4" w:space="0" w:color="auto"/>
            </w:tcBorders>
            <w:shd w:val="clear" w:color="000000" w:fill="FFFFFF"/>
            <w:vAlign w:val="bottom"/>
            <w:hideMark/>
          </w:tcPr>
          <w:p w14:paraId="19125A3A" w14:textId="77777777" w:rsidR="00A74C68" w:rsidRPr="00A74C68" w:rsidRDefault="00A74C68" w:rsidP="00A74C68">
            <w:pPr>
              <w:jc w:val="right"/>
              <w:rPr>
                <w:b/>
                <w:bCs/>
                <w:color w:val="000000"/>
                <w:sz w:val="14"/>
                <w:szCs w:val="14"/>
              </w:rPr>
            </w:pPr>
            <w:r w:rsidRPr="00A74C68">
              <w:rPr>
                <w:b/>
                <w:bCs/>
                <w:color w:val="000000"/>
                <w:sz w:val="14"/>
                <w:szCs w:val="14"/>
              </w:rPr>
              <w:t>44.946.964</w:t>
            </w:r>
          </w:p>
        </w:tc>
        <w:tc>
          <w:tcPr>
            <w:tcW w:w="1015" w:type="dxa"/>
            <w:tcBorders>
              <w:top w:val="single" w:sz="4" w:space="0" w:color="auto"/>
              <w:left w:val="nil"/>
              <w:bottom w:val="single" w:sz="4" w:space="0" w:color="auto"/>
              <w:right w:val="single" w:sz="4" w:space="0" w:color="auto"/>
            </w:tcBorders>
            <w:shd w:val="clear" w:color="000000" w:fill="FFFFFF"/>
            <w:vAlign w:val="bottom"/>
            <w:hideMark/>
          </w:tcPr>
          <w:p w14:paraId="701C24DB" w14:textId="77777777" w:rsidR="00A74C68" w:rsidRPr="00A74C68" w:rsidRDefault="00A74C68" w:rsidP="00A74C68">
            <w:pPr>
              <w:jc w:val="right"/>
              <w:rPr>
                <w:b/>
                <w:bCs/>
                <w:color w:val="000000"/>
                <w:sz w:val="14"/>
                <w:szCs w:val="14"/>
              </w:rPr>
            </w:pPr>
            <w:r w:rsidRPr="00A74C68">
              <w:rPr>
                <w:b/>
                <w:bCs/>
                <w:color w:val="000000"/>
                <w:sz w:val="14"/>
                <w:szCs w:val="14"/>
              </w:rPr>
              <w:t>54.731.190</w:t>
            </w:r>
          </w:p>
        </w:tc>
        <w:tc>
          <w:tcPr>
            <w:tcW w:w="1088" w:type="dxa"/>
            <w:tcBorders>
              <w:top w:val="single" w:sz="4" w:space="0" w:color="auto"/>
              <w:left w:val="nil"/>
              <w:bottom w:val="single" w:sz="4" w:space="0" w:color="auto"/>
              <w:right w:val="single" w:sz="4" w:space="0" w:color="auto"/>
            </w:tcBorders>
            <w:shd w:val="clear" w:color="000000" w:fill="FFFFFF"/>
            <w:vAlign w:val="bottom"/>
            <w:hideMark/>
          </w:tcPr>
          <w:p w14:paraId="02BED1D6" w14:textId="77777777" w:rsidR="00A74C68" w:rsidRPr="00A74C68" w:rsidRDefault="00A74C68" w:rsidP="00A74C68">
            <w:pPr>
              <w:jc w:val="right"/>
              <w:rPr>
                <w:b/>
                <w:bCs/>
                <w:color w:val="000000"/>
                <w:sz w:val="14"/>
                <w:szCs w:val="14"/>
              </w:rPr>
            </w:pPr>
            <w:r w:rsidRPr="00A74C68">
              <w:rPr>
                <w:b/>
                <w:bCs/>
                <w:color w:val="000000"/>
                <w:sz w:val="14"/>
                <w:szCs w:val="14"/>
              </w:rPr>
              <w:t>99.678.154</w:t>
            </w:r>
          </w:p>
        </w:tc>
      </w:tr>
    </w:tbl>
    <w:p w14:paraId="55F0AD57" w14:textId="22EAE4DA" w:rsidR="004C39E5" w:rsidRPr="00AC1668" w:rsidRDefault="004C39E5" w:rsidP="009F6E11">
      <w:pPr>
        <w:widowControl w:val="0"/>
        <w:tabs>
          <w:tab w:val="left" w:pos="-426"/>
        </w:tabs>
        <w:ind w:left="-426" w:right="-770"/>
        <w:jc w:val="both"/>
        <w:rPr>
          <w:sz w:val="18"/>
          <w:szCs w:val="18"/>
        </w:rPr>
      </w:pPr>
    </w:p>
    <w:bookmarkEnd w:id="14"/>
    <w:p w14:paraId="58F9356B" w14:textId="77777777" w:rsidR="005E26C2" w:rsidRPr="00AC1668" w:rsidRDefault="005E26C2" w:rsidP="005E26C2">
      <w:pPr>
        <w:widowControl w:val="0"/>
        <w:tabs>
          <w:tab w:val="left" w:pos="-426"/>
        </w:tabs>
        <w:ind w:right="-1"/>
        <w:jc w:val="both"/>
        <w:rPr>
          <w:sz w:val="18"/>
          <w:szCs w:val="18"/>
        </w:rPr>
      </w:pPr>
      <w:r w:rsidRPr="00AC1668">
        <w:rPr>
          <w:sz w:val="18"/>
          <w:szCs w:val="18"/>
        </w:rPr>
        <w:t>Banka, 1 Temmuz 2025 tarihi itibarıyla TFRS 9 Finansal Araçlar standardının değer düşüklüğüne ilişkin hükümlerini uygulamaya başlamış olup, önceki dönem finansal tabloları BDDK tarafından açıklanmış olan TFRS 9 uygulamayan bankalar için geçerli olan finansal tablo formatında sunulduğu için önceki dönem finansal tablo ve dipnotları yeniden düzenlenmemiş olup, ayrı olarak gösterilmiştir.</w:t>
      </w:r>
    </w:p>
    <w:p w14:paraId="134117E8" w14:textId="77777777" w:rsidR="00E90C60" w:rsidRPr="00AC1668" w:rsidRDefault="00E90C60" w:rsidP="00E90C60">
      <w:pPr>
        <w:widowControl w:val="0"/>
        <w:tabs>
          <w:tab w:val="left" w:pos="-426"/>
        </w:tabs>
        <w:ind w:right="-770"/>
        <w:jc w:val="both"/>
        <w:rPr>
          <w:sz w:val="18"/>
          <w:szCs w:val="18"/>
        </w:rPr>
      </w:pPr>
    </w:p>
    <w:p w14:paraId="5E6CD406" w14:textId="77777777" w:rsidR="00E90C60" w:rsidRPr="00AC1668" w:rsidRDefault="00E90C60" w:rsidP="00E90C60">
      <w:pPr>
        <w:widowControl w:val="0"/>
        <w:tabs>
          <w:tab w:val="left" w:pos="-426"/>
        </w:tabs>
        <w:ind w:right="-770"/>
        <w:jc w:val="both"/>
        <w:rPr>
          <w:sz w:val="18"/>
          <w:szCs w:val="18"/>
        </w:rPr>
      </w:pPr>
    </w:p>
    <w:p w14:paraId="63D855B5" w14:textId="7119EA92" w:rsidR="00E90C60" w:rsidRPr="00AC1668" w:rsidRDefault="00E90C60" w:rsidP="00E90C60">
      <w:pPr>
        <w:widowControl w:val="0"/>
        <w:tabs>
          <w:tab w:val="left" w:pos="-426"/>
        </w:tabs>
        <w:ind w:right="-770"/>
        <w:jc w:val="both"/>
        <w:rPr>
          <w:sz w:val="18"/>
          <w:szCs w:val="18"/>
        </w:rPr>
      </w:pPr>
    </w:p>
    <w:p w14:paraId="0A48D30F" w14:textId="26D5AF35" w:rsidR="0011757C" w:rsidRPr="00AC1668" w:rsidRDefault="0011757C" w:rsidP="00E90C60">
      <w:pPr>
        <w:widowControl w:val="0"/>
        <w:tabs>
          <w:tab w:val="left" w:pos="-426"/>
        </w:tabs>
        <w:ind w:right="-770"/>
        <w:jc w:val="both"/>
        <w:rPr>
          <w:sz w:val="18"/>
          <w:szCs w:val="18"/>
        </w:rPr>
      </w:pPr>
    </w:p>
    <w:p w14:paraId="6EAF460A" w14:textId="551ED9E7" w:rsidR="0011757C" w:rsidRPr="00AC1668" w:rsidRDefault="0011757C" w:rsidP="00E90C60">
      <w:pPr>
        <w:widowControl w:val="0"/>
        <w:tabs>
          <w:tab w:val="left" w:pos="-426"/>
        </w:tabs>
        <w:ind w:right="-770"/>
        <w:jc w:val="both"/>
        <w:rPr>
          <w:sz w:val="18"/>
          <w:szCs w:val="18"/>
        </w:rPr>
      </w:pPr>
    </w:p>
    <w:p w14:paraId="1B9A5EE4" w14:textId="0C3720DB" w:rsidR="0011757C" w:rsidRPr="00AC1668" w:rsidRDefault="0011757C" w:rsidP="00E90C60">
      <w:pPr>
        <w:widowControl w:val="0"/>
        <w:tabs>
          <w:tab w:val="left" w:pos="-426"/>
        </w:tabs>
        <w:ind w:right="-770"/>
        <w:jc w:val="both"/>
        <w:rPr>
          <w:sz w:val="18"/>
          <w:szCs w:val="18"/>
        </w:rPr>
      </w:pPr>
    </w:p>
    <w:p w14:paraId="39F424BC" w14:textId="77777777" w:rsidR="0011757C" w:rsidRPr="00AC1668" w:rsidRDefault="0011757C" w:rsidP="00E90C60">
      <w:pPr>
        <w:widowControl w:val="0"/>
        <w:tabs>
          <w:tab w:val="left" w:pos="-426"/>
        </w:tabs>
        <w:ind w:right="-770"/>
        <w:jc w:val="both"/>
        <w:rPr>
          <w:sz w:val="18"/>
          <w:szCs w:val="18"/>
        </w:rPr>
      </w:pPr>
    </w:p>
    <w:p w14:paraId="7861A7C4" w14:textId="77777777" w:rsidR="003700F4" w:rsidRPr="00AC1668" w:rsidRDefault="003700F4" w:rsidP="00E90C60">
      <w:pPr>
        <w:widowControl w:val="0"/>
        <w:tabs>
          <w:tab w:val="left" w:pos="-426"/>
        </w:tabs>
        <w:ind w:right="-770"/>
        <w:jc w:val="both"/>
        <w:rPr>
          <w:sz w:val="18"/>
          <w:szCs w:val="18"/>
        </w:rPr>
      </w:pPr>
    </w:p>
    <w:p w14:paraId="6E7FC7C9" w14:textId="77777777" w:rsidR="00E90C60" w:rsidRDefault="00E90C60" w:rsidP="00E90C60">
      <w:pPr>
        <w:widowControl w:val="0"/>
        <w:tabs>
          <w:tab w:val="left" w:pos="-426"/>
        </w:tabs>
        <w:ind w:right="-770"/>
        <w:jc w:val="both"/>
        <w:rPr>
          <w:sz w:val="18"/>
          <w:szCs w:val="18"/>
        </w:rPr>
      </w:pPr>
    </w:p>
    <w:p w14:paraId="5566D010" w14:textId="77777777" w:rsidR="00F36B82" w:rsidRDefault="00F36B82" w:rsidP="00E90C60">
      <w:pPr>
        <w:widowControl w:val="0"/>
        <w:tabs>
          <w:tab w:val="left" w:pos="-426"/>
        </w:tabs>
        <w:ind w:right="-770"/>
        <w:jc w:val="both"/>
        <w:rPr>
          <w:sz w:val="18"/>
          <w:szCs w:val="18"/>
        </w:rPr>
      </w:pPr>
    </w:p>
    <w:p w14:paraId="5A69B349" w14:textId="77777777" w:rsidR="00F36B82" w:rsidRDefault="00F36B82" w:rsidP="00E90C60">
      <w:pPr>
        <w:widowControl w:val="0"/>
        <w:tabs>
          <w:tab w:val="left" w:pos="-426"/>
        </w:tabs>
        <w:ind w:right="-770"/>
        <w:jc w:val="both"/>
        <w:rPr>
          <w:sz w:val="18"/>
          <w:szCs w:val="18"/>
        </w:rPr>
      </w:pPr>
    </w:p>
    <w:p w14:paraId="0DEB0794" w14:textId="77777777" w:rsidR="00F36B82" w:rsidRDefault="00F36B82" w:rsidP="00E90C60">
      <w:pPr>
        <w:widowControl w:val="0"/>
        <w:tabs>
          <w:tab w:val="left" w:pos="-426"/>
        </w:tabs>
        <w:ind w:right="-770"/>
        <w:jc w:val="both"/>
        <w:rPr>
          <w:sz w:val="18"/>
          <w:szCs w:val="18"/>
        </w:rPr>
      </w:pPr>
    </w:p>
    <w:p w14:paraId="52117335" w14:textId="77777777" w:rsidR="00F36B82" w:rsidRPr="00AC1668" w:rsidRDefault="00F36B82" w:rsidP="00E90C60">
      <w:pPr>
        <w:widowControl w:val="0"/>
        <w:tabs>
          <w:tab w:val="left" w:pos="-426"/>
        </w:tabs>
        <w:ind w:right="-770"/>
        <w:jc w:val="both"/>
        <w:rPr>
          <w:sz w:val="18"/>
          <w:szCs w:val="18"/>
        </w:rPr>
      </w:pPr>
    </w:p>
    <w:p w14:paraId="6E51B202" w14:textId="77777777" w:rsidR="00E90C60" w:rsidRPr="00AC1668" w:rsidRDefault="00E90C60" w:rsidP="00E90C60">
      <w:pPr>
        <w:widowControl w:val="0"/>
        <w:tabs>
          <w:tab w:val="left" w:pos="-426"/>
        </w:tabs>
        <w:ind w:right="-770"/>
        <w:jc w:val="both"/>
        <w:rPr>
          <w:sz w:val="18"/>
          <w:szCs w:val="18"/>
        </w:rPr>
      </w:pPr>
    </w:p>
    <w:p w14:paraId="5FFC3DF3" w14:textId="77777777" w:rsidR="00EA10F4" w:rsidRPr="00AC1668" w:rsidRDefault="00EA10F4" w:rsidP="00E90C60">
      <w:pPr>
        <w:widowControl w:val="0"/>
        <w:tabs>
          <w:tab w:val="left" w:pos="-426"/>
        </w:tabs>
        <w:ind w:right="-770"/>
        <w:jc w:val="both"/>
        <w:rPr>
          <w:sz w:val="18"/>
          <w:szCs w:val="18"/>
        </w:rPr>
      </w:pPr>
    </w:p>
    <w:p w14:paraId="0E4E878D" w14:textId="77777777" w:rsidR="00EA10F4" w:rsidRPr="00AC1668" w:rsidRDefault="00EA10F4" w:rsidP="00E90C60">
      <w:pPr>
        <w:widowControl w:val="0"/>
        <w:tabs>
          <w:tab w:val="left" w:pos="-426"/>
        </w:tabs>
        <w:ind w:right="-770"/>
        <w:jc w:val="both"/>
        <w:rPr>
          <w:sz w:val="18"/>
          <w:szCs w:val="18"/>
        </w:rPr>
      </w:pPr>
    </w:p>
    <w:p w14:paraId="55FA535B" w14:textId="77777777" w:rsidR="00E90C60" w:rsidRPr="00AC1668" w:rsidRDefault="00E90C60" w:rsidP="00E90C60">
      <w:pPr>
        <w:widowControl w:val="0"/>
        <w:tabs>
          <w:tab w:val="left" w:pos="-426"/>
        </w:tabs>
        <w:ind w:right="-770"/>
        <w:jc w:val="both"/>
        <w:rPr>
          <w:sz w:val="18"/>
          <w:szCs w:val="18"/>
        </w:rPr>
      </w:pPr>
    </w:p>
    <w:p w14:paraId="29CC2CA9" w14:textId="022ACB65" w:rsidR="0064066B" w:rsidRPr="00AC1668" w:rsidRDefault="00E90C60" w:rsidP="00F36B82">
      <w:pPr>
        <w:widowControl w:val="0"/>
        <w:jc w:val="center"/>
        <w:rPr>
          <w:szCs w:val="20"/>
        </w:rPr>
      </w:pPr>
      <w:r w:rsidRPr="00AC1668">
        <w:rPr>
          <w:szCs w:val="20"/>
        </w:rPr>
        <w:t>İlişikteki açıklama ve dipnotlar bu finansal tabloların tamamlayıcı bir parçasıdır</w:t>
      </w:r>
      <w:r w:rsidR="0075225D" w:rsidRPr="00AC1668">
        <w:rPr>
          <w:szCs w:val="20"/>
        </w:rPr>
        <w:t>.</w:t>
      </w:r>
      <w:r w:rsidR="003700F4" w:rsidRPr="00AC1668">
        <w:rPr>
          <w:szCs w:val="20"/>
        </w:rPr>
        <w:br w:type="page"/>
      </w:r>
    </w:p>
    <w:p w14:paraId="2654AD1E" w14:textId="77777777" w:rsidR="0064066B" w:rsidRPr="00AC1668" w:rsidRDefault="0064066B">
      <w:pPr>
        <w:rPr>
          <w:szCs w:val="20"/>
        </w:rPr>
      </w:pPr>
    </w:p>
    <w:tbl>
      <w:tblPr>
        <w:tblW w:w="10183" w:type="dxa"/>
        <w:tblCellMar>
          <w:left w:w="70" w:type="dxa"/>
          <w:right w:w="70" w:type="dxa"/>
        </w:tblCellMar>
        <w:tblLook w:val="04A0" w:firstRow="1" w:lastRow="0" w:firstColumn="1" w:lastColumn="0" w:noHBand="0" w:noVBand="1"/>
      </w:tblPr>
      <w:tblGrid>
        <w:gridCol w:w="566"/>
        <w:gridCol w:w="6517"/>
        <w:gridCol w:w="709"/>
        <w:gridCol w:w="770"/>
        <w:gridCol w:w="771"/>
        <w:gridCol w:w="850"/>
      </w:tblGrid>
      <w:tr w:rsidR="0064066B" w:rsidRPr="00AC1668" w14:paraId="59625CDD" w14:textId="77777777" w:rsidTr="00234709">
        <w:trPr>
          <w:trHeight w:val="113"/>
        </w:trPr>
        <w:tc>
          <w:tcPr>
            <w:tcW w:w="7083" w:type="dxa"/>
            <w:gridSpan w:val="2"/>
            <w:vMerge w:val="restart"/>
            <w:tcBorders>
              <w:top w:val="single" w:sz="4" w:space="0" w:color="auto"/>
              <w:left w:val="single" w:sz="4" w:space="0" w:color="auto"/>
              <w:bottom w:val="single" w:sz="4" w:space="0" w:color="000000"/>
              <w:right w:val="single" w:sz="4" w:space="0" w:color="000000"/>
            </w:tcBorders>
            <w:noWrap/>
            <w:vAlign w:val="center"/>
            <w:hideMark/>
          </w:tcPr>
          <w:p w14:paraId="19820CBA" w14:textId="77777777" w:rsidR="0064066B" w:rsidRPr="00AC1668" w:rsidRDefault="0064066B" w:rsidP="00B76AD4">
            <w:pPr>
              <w:jc w:val="center"/>
              <w:rPr>
                <w:b/>
                <w:bCs/>
                <w:color w:val="000000"/>
                <w:sz w:val="14"/>
                <w:szCs w:val="14"/>
              </w:rPr>
            </w:pPr>
            <w:r w:rsidRPr="00AC1668">
              <w:rPr>
                <w:b/>
                <w:bCs/>
                <w:color w:val="000000"/>
                <w:sz w:val="14"/>
                <w:szCs w:val="14"/>
              </w:rPr>
              <w:t>VARLIKLAR</w:t>
            </w:r>
          </w:p>
        </w:tc>
        <w:tc>
          <w:tcPr>
            <w:tcW w:w="709" w:type="dxa"/>
            <w:vMerge w:val="restart"/>
            <w:tcBorders>
              <w:top w:val="single" w:sz="4" w:space="0" w:color="auto"/>
              <w:left w:val="single" w:sz="4" w:space="0" w:color="auto"/>
              <w:bottom w:val="single" w:sz="4" w:space="0" w:color="000000"/>
              <w:right w:val="single" w:sz="4" w:space="0" w:color="auto"/>
            </w:tcBorders>
            <w:vAlign w:val="center"/>
            <w:hideMark/>
          </w:tcPr>
          <w:p w14:paraId="2D2EF138" w14:textId="77777777" w:rsidR="0064066B" w:rsidRPr="00AC1668" w:rsidRDefault="0064066B" w:rsidP="00B76AD4">
            <w:pPr>
              <w:jc w:val="center"/>
              <w:rPr>
                <w:b/>
                <w:bCs/>
                <w:color w:val="000000"/>
                <w:sz w:val="14"/>
                <w:szCs w:val="14"/>
              </w:rPr>
            </w:pPr>
            <w:r w:rsidRPr="00AC1668">
              <w:rPr>
                <w:b/>
                <w:bCs/>
                <w:color w:val="000000"/>
                <w:sz w:val="14"/>
                <w:szCs w:val="14"/>
              </w:rPr>
              <w:t>Dipnot (Beşinci Bölüm-I)</w:t>
            </w:r>
          </w:p>
        </w:tc>
        <w:tc>
          <w:tcPr>
            <w:tcW w:w="2391" w:type="dxa"/>
            <w:gridSpan w:val="3"/>
            <w:tcBorders>
              <w:top w:val="single" w:sz="4" w:space="0" w:color="auto"/>
              <w:left w:val="nil"/>
              <w:bottom w:val="single" w:sz="4" w:space="0" w:color="auto"/>
              <w:right w:val="single" w:sz="4" w:space="0" w:color="000000"/>
            </w:tcBorders>
            <w:vAlign w:val="bottom"/>
            <w:hideMark/>
          </w:tcPr>
          <w:p w14:paraId="0A181821" w14:textId="77777777" w:rsidR="0064066B" w:rsidRPr="00D275DF" w:rsidRDefault="0064066B" w:rsidP="00B76AD4">
            <w:pPr>
              <w:jc w:val="center"/>
              <w:rPr>
                <w:b/>
                <w:bCs/>
                <w:color w:val="000000"/>
                <w:sz w:val="14"/>
                <w:szCs w:val="14"/>
                <w:vertAlign w:val="superscript"/>
              </w:rPr>
            </w:pPr>
            <w:r w:rsidRPr="00D275DF">
              <w:rPr>
                <w:b/>
                <w:bCs/>
                <w:color w:val="000000"/>
                <w:sz w:val="14"/>
                <w:szCs w:val="14"/>
              </w:rPr>
              <w:t>Önceki Dönem</w:t>
            </w:r>
            <w:r w:rsidRPr="00D275DF">
              <w:rPr>
                <w:b/>
                <w:bCs/>
                <w:color w:val="000000"/>
                <w:sz w:val="14"/>
                <w:szCs w:val="14"/>
              </w:rPr>
              <w:br/>
              <w:t>31.12.2024</w:t>
            </w:r>
          </w:p>
        </w:tc>
      </w:tr>
      <w:tr w:rsidR="0064066B" w:rsidRPr="00AC1668" w14:paraId="3EC41359" w14:textId="77777777" w:rsidTr="00234709">
        <w:trPr>
          <w:trHeight w:val="113"/>
        </w:trPr>
        <w:tc>
          <w:tcPr>
            <w:tcW w:w="7083" w:type="dxa"/>
            <w:gridSpan w:val="2"/>
            <w:vMerge/>
            <w:tcBorders>
              <w:top w:val="single" w:sz="4" w:space="0" w:color="auto"/>
              <w:left w:val="single" w:sz="4" w:space="0" w:color="auto"/>
              <w:bottom w:val="single" w:sz="4" w:space="0" w:color="000000"/>
              <w:right w:val="single" w:sz="4" w:space="0" w:color="000000"/>
            </w:tcBorders>
            <w:vAlign w:val="center"/>
            <w:hideMark/>
          </w:tcPr>
          <w:p w14:paraId="2D9170F0" w14:textId="77777777" w:rsidR="0064066B" w:rsidRPr="00AC1668" w:rsidRDefault="0064066B" w:rsidP="00B76AD4">
            <w:pPr>
              <w:rPr>
                <w:color w:val="000000"/>
                <w:sz w:val="14"/>
                <w:szCs w:val="14"/>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14:paraId="3FA67B2F" w14:textId="77777777" w:rsidR="0064066B" w:rsidRPr="00AC1668" w:rsidRDefault="0064066B" w:rsidP="00B76AD4">
            <w:pPr>
              <w:rPr>
                <w:b/>
                <w:bCs/>
                <w:color w:val="000000"/>
                <w:sz w:val="14"/>
                <w:szCs w:val="14"/>
              </w:rPr>
            </w:pPr>
          </w:p>
        </w:tc>
        <w:tc>
          <w:tcPr>
            <w:tcW w:w="770" w:type="dxa"/>
            <w:tcBorders>
              <w:top w:val="single" w:sz="4" w:space="0" w:color="auto"/>
              <w:left w:val="nil"/>
              <w:bottom w:val="single" w:sz="4" w:space="0" w:color="auto"/>
              <w:right w:val="single" w:sz="4" w:space="0" w:color="auto"/>
            </w:tcBorders>
            <w:vAlign w:val="bottom"/>
            <w:hideMark/>
          </w:tcPr>
          <w:p w14:paraId="5C8EB780" w14:textId="77777777" w:rsidR="0064066B" w:rsidRPr="00D275DF" w:rsidRDefault="0064066B" w:rsidP="00B76AD4">
            <w:pPr>
              <w:jc w:val="center"/>
              <w:rPr>
                <w:b/>
                <w:bCs/>
                <w:color w:val="000000"/>
                <w:sz w:val="14"/>
                <w:szCs w:val="14"/>
              </w:rPr>
            </w:pPr>
            <w:r w:rsidRPr="00D275DF">
              <w:rPr>
                <w:b/>
                <w:bCs/>
                <w:color w:val="000000"/>
                <w:sz w:val="14"/>
                <w:szCs w:val="14"/>
              </w:rPr>
              <w:t>TP</w:t>
            </w:r>
          </w:p>
        </w:tc>
        <w:tc>
          <w:tcPr>
            <w:tcW w:w="771" w:type="dxa"/>
            <w:tcBorders>
              <w:top w:val="single" w:sz="4" w:space="0" w:color="auto"/>
              <w:left w:val="nil"/>
              <w:bottom w:val="single" w:sz="4" w:space="0" w:color="auto"/>
              <w:right w:val="single" w:sz="4" w:space="0" w:color="auto"/>
            </w:tcBorders>
            <w:vAlign w:val="bottom"/>
            <w:hideMark/>
          </w:tcPr>
          <w:p w14:paraId="6A2293AC" w14:textId="77777777" w:rsidR="0064066B" w:rsidRPr="00D275DF" w:rsidRDefault="0064066B" w:rsidP="00B76AD4">
            <w:pPr>
              <w:jc w:val="center"/>
              <w:rPr>
                <w:b/>
                <w:bCs/>
                <w:color w:val="000000"/>
                <w:sz w:val="14"/>
                <w:szCs w:val="14"/>
              </w:rPr>
            </w:pPr>
            <w:r w:rsidRPr="00D275DF">
              <w:rPr>
                <w:b/>
                <w:bCs/>
                <w:color w:val="000000"/>
                <w:sz w:val="14"/>
                <w:szCs w:val="14"/>
              </w:rPr>
              <w:t>YP</w:t>
            </w:r>
          </w:p>
        </w:tc>
        <w:tc>
          <w:tcPr>
            <w:tcW w:w="850" w:type="dxa"/>
            <w:tcBorders>
              <w:top w:val="single" w:sz="4" w:space="0" w:color="auto"/>
              <w:left w:val="nil"/>
              <w:bottom w:val="single" w:sz="4" w:space="0" w:color="auto"/>
              <w:right w:val="single" w:sz="4" w:space="0" w:color="auto"/>
            </w:tcBorders>
            <w:vAlign w:val="bottom"/>
            <w:hideMark/>
          </w:tcPr>
          <w:p w14:paraId="4B881615" w14:textId="77777777" w:rsidR="0064066B" w:rsidRPr="00D275DF" w:rsidRDefault="0064066B" w:rsidP="00B76AD4">
            <w:pPr>
              <w:jc w:val="center"/>
              <w:rPr>
                <w:b/>
                <w:bCs/>
                <w:color w:val="000000"/>
                <w:sz w:val="14"/>
                <w:szCs w:val="14"/>
              </w:rPr>
            </w:pPr>
            <w:r w:rsidRPr="00D275DF">
              <w:rPr>
                <w:b/>
                <w:bCs/>
                <w:color w:val="000000"/>
                <w:sz w:val="14"/>
                <w:szCs w:val="14"/>
              </w:rPr>
              <w:t>Toplam</w:t>
            </w:r>
          </w:p>
        </w:tc>
      </w:tr>
      <w:tr w:rsidR="0064066B" w:rsidRPr="00AC1668" w14:paraId="65C45E1E" w14:textId="77777777" w:rsidTr="00234709">
        <w:trPr>
          <w:trHeight w:val="113"/>
        </w:trPr>
        <w:tc>
          <w:tcPr>
            <w:tcW w:w="566" w:type="dxa"/>
            <w:tcBorders>
              <w:top w:val="nil"/>
              <w:left w:val="single" w:sz="4" w:space="0" w:color="auto"/>
              <w:bottom w:val="nil"/>
              <w:right w:val="nil"/>
            </w:tcBorders>
            <w:noWrap/>
            <w:hideMark/>
          </w:tcPr>
          <w:p w14:paraId="03271082" w14:textId="77777777" w:rsidR="0064066B" w:rsidRPr="00AC1668" w:rsidRDefault="0064066B" w:rsidP="00B76AD4">
            <w:pPr>
              <w:rPr>
                <w:b/>
                <w:bCs/>
                <w:color w:val="000000"/>
                <w:sz w:val="14"/>
                <w:szCs w:val="14"/>
              </w:rPr>
            </w:pPr>
            <w:r w:rsidRPr="00AC1668">
              <w:rPr>
                <w:b/>
                <w:bCs/>
                <w:color w:val="000000"/>
                <w:sz w:val="14"/>
                <w:szCs w:val="14"/>
              </w:rPr>
              <w:t>I.</w:t>
            </w:r>
          </w:p>
        </w:tc>
        <w:tc>
          <w:tcPr>
            <w:tcW w:w="6517" w:type="dxa"/>
            <w:tcBorders>
              <w:top w:val="nil"/>
              <w:left w:val="nil"/>
              <w:bottom w:val="nil"/>
              <w:right w:val="single" w:sz="4" w:space="0" w:color="auto"/>
            </w:tcBorders>
            <w:hideMark/>
          </w:tcPr>
          <w:p w14:paraId="0CB0F02B" w14:textId="77777777" w:rsidR="0064066B" w:rsidRPr="00AC1668" w:rsidRDefault="0064066B" w:rsidP="00B76AD4">
            <w:pPr>
              <w:rPr>
                <w:b/>
                <w:bCs/>
                <w:color w:val="000000"/>
                <w:sz w:val="14"/>
                <w:szCs w:val="14"/>
              </w:rPr>
            </w:pPr>
            <w:r w:rsidRPr="00AC1668">
              <w:rPr>
                <w:b/>
                <w:bCs/>
                <w:color w:val="000000"/>
                <w:sz w:val="14"/>
                <w:szCs w:val="14"/>
              </w:rPr>
              <w:t>FİNANSAL VARLIKLAR (Net)</w:t>
            </w:r>
          </w:p>
        </w:tc>
        <w:tc>
          <w:tcPr>
            <w:tcW w:w="709" w:type="dxa"/>
            <w:tcBorders>
              <w:top w:val="nil"/>
              <w:left w:val="nil"/>
              <w:bottom w:val="nil"/>
              <w:right w:val="nil"/>
            </w:tcBorders>
            <w:noWrap/>
            <w:vAlign w:val="bottom"/>
            <w:hideMark/>
          </w:tcPr>
          <w:p w14:paraId="7AFA6A27" w14:textId="77777777" w:rsidR="0064066B" w:rsidRPr="00AC1668" w:rsidRDefault="0064066B" w:rsidP="00B76AD4">
            <w:pPr>
              <w:jc w:val="center"/>
              <w:rPr>
                <w:b/>
                <w:bCs/>
                <w:color w:val="000000"/>
                <w:sz w:val="16"/>
                <w:szCs w:val="16"/>
                <w:lang w:eastAsia="tr-TR"/>
              </w:rPr>
            </w:pPr>
            <w:r w:rsidRPr="00AC1668">
              <w:rPr>
                <w:b/>
                <w:bCs/>
                <w:color w:val="000000"/>
                <w:sz w:val="14"/>
                <w:szCs w:val="14"/>
                <w:lang w:eastAsia="tr-TR"/>
              </w:rPr>
              <w:t> </w:t>
            </w:r>
          </w:p>
        </w:tc>
        <w:tc>
          <w:tcPr>
            <w:tcW w:w="770" w:type="dxa"/>
            <w:tcBorders>
              <w:top w:val="nil"/>
              <w:left w:val="single" w:sz="4" w:space="0" w:color="auto"/>
              <w:bottom w:val="nil"/>
              <w:right w:val="nil"/>
            </w:tcBorders>
            <w:shd w:val="clear" w:color="000000" w:fill="FFFFFF"/>
            <w:vAlign w:val="bottom"/>
            <w:hideMark/>
          </w:tcPr>
          <w:p w14:paraId="646D2DF6" w14:textId="77777777" w:rsidR="0064066B" w:rsidRPr="00D275DF" w:rsidRDefault="0064066B" w:rsidP="00B76AD4">
            <w:pPr>
              <w:jc w:val="right"/>
              <w:rPr>
                <w:b/>
                <w:bCs/>
                <w:color w:val="000000"/>
                <w:sz w:val="14"/>
                <w:szCs w:val="14"/>
              </w:rPr>
            </w:pPr>
            <w:r w:rsidRPr="00D275DF">
              <w:rPr>
                <w:b/>
                <w:bCs/>
                <w:color w:val="000000"/>
                <w:sz w:val="14"/>
                <w:szCs w:val="14"/>
              </w:rPr>
              <w:t>3.206.650</w:t>
            </w:r>
          </w:p>
        </w:tc>
        <w:tc>
          <w:tcPr>
            <w:tcW w:w="771" w:type="dxa"/>
            <w:tcBorders>
              <w:top w:val="nil"/>
              <w:left w:val="single" w:sz="4" w:space="0" w:color="auto"/>
              <w:bottom w:val="nil"/>
              <w:right w:val="nil"/>
            </w:tcBorders>
            <w:shd w:val="clear" w:color="000000" w:fill="FFFFFF"/>
            <w:vAlign w:val="bottom"/>
            <w:hideMark/>
          </w:tcPr>
          <w:p w14:paraId="4B892197" w14:textId="77777777" w:rsidR="0064066B" w:rsidRPr="00D275DF" w:rsidRDefault="0064066B" w:rsidP="00B76AD4">
            <w:pPr>
              <w:jc w:val="right"/>
              <w:rPr>
                <w:b/>
                <w:bCs/>
                <w:color w:val="000000"/>
                <w:sz w:val="14"/>
                <w:szCs w:val="14"/>
              </w:rPr>
            </w:pPr>
            <w:r w:rsidRPr="00D275DF">
              <w:rPr>
                <w:b/>
                <w:bCs/>
                <w:color w:val="000000"/>
                <w:sz w:val="14"/>
                <w:szCs w:val="14"/>
              </w:rPr>
              <w:t>6.994.991</w:t>
            </w:r>
          </w:p>
        </w:tc>
        <w:tc>
          <w:tcPr>
            <w:tcW w:w="850" w:type="dxa"/>
            <w:tcBorders>
              <w:top w:val="nil"/>
              <w:left w:val="single" w:sz="4" w:space="0" w:color="auto"/>
              <w:bottom w:val="nil"/>
              <w:right w:val="single" w:sz="4" w:space="0" w:color="auto"/>
            </w:tcBorders>
            <w:shd w:val="clear" w:color="000000" w:fill="FFFFFF"/>
            <w:vAlign w:val="bottom"/>
            <w:hideMark/>
          </w:tcPr>
          <w:p w14:paraId="66DA74EC" w14:textId="77777777" w:rsidR="0064066B" w:rsidRPr="00D275DF" w:rsidRDefault="0064066B" w:rsidP="00B76AD4">
            <w:pPr>
              <w:jc w:val="right"/>
              <w:rPr>
                <w:b/>
                <w:bCs/>
                <w:color w:val="000000"/>
                <w:sz w:val="14"/>
                <w:szCs w:val="14"/>
              </w:rPr>
            </w:pPr>
            <w:r w:rsidRPr="00D275DF">
              <w:rPr>
                <w:b/>
                <w:bCs/>
                <w:color w:val="000000"/>
                <w:sz w:val="14"/>
                <w:szCs w:val="14"/>
              </w:rPr>
              <w:t>10.201.641</w:t>
            </w:r>
          </w:p>
        </w:tc>
      </w:tr>
      <w:tr w:rsidR="0064066B" w:rsidRPr="00AC1668" w14:paraId="297F859E" w14:textId="77777777" w:rsidTr="00234709">
        <w:trPr>
          <w:trHeight w:val="113"/>
        </w:trPr>
        <w:tc>
          <w:tcPr>
            <w:tcW w:w="566" w:type="dxa"/>
            <w:tcBorders>
              <w:top w:val="nil"/>
              <w:left w:val="single" w:sz="4" w:space="0" w:color="auto"/>
              <w:bottom w:val="nil"/>
              <w:right w:val="nil"/>
            </w:tcBorders>
            <w:noWrap/>
            <w:hideMark/>
          </w:tcPr>
          <w:p w14:paraId="395BA3AE" w14:textId="77777777" w:rsidR="0064066B" w:rsidRPr="00AC1668" w:rsidRDefault="0064066B" w:rsidP="00B76AD4">
            <w:pPr>
              <w:rPr>
                <w:b/>
                <w:bCs/>
                <w:sz w:val="14"/>
                <w:szCs w:val="14"/>
              </w:rPr>
            </w:pPr>
            <w:r w:rsidRPr="00AC1668">
              <w:rPr>
                <w:b/>
                <w:bCs/>
                <w:sz w:val="14"/>
                <w:szCs w:val="14"/>
              </w:rPr>
              <w:t>1.1</w:t>
            </w:r>
          </w:p>
        </w:tc>
        <w:tc>
          <w:tcPr>
            <w:tcW w:w="6517" w:type="dxa"/>
            <w:tcBorders>
              <w:top w:val="nil"/>
              <w:left w:val="nil"/>
              <w:bottom w:val="nil"/>
              <w:right w:val="single" w:sz="4" w:space="0" w:color="auto"/>
            </w:tcBorders>
            <w:hideMark/>
          </w:tcPr>
          <w:p w14:paraId="0BA30A94" w14:textId="77777777" w:rsidR="0064066B" w:rsidRPr="00AC1668" w:rsidRDefault="0064066B" w:rsidP="00B76AD4">
            <w:pPr>
              <w:rPr>
                <w:b/>
                <w:bCs/>
                <w:sz w:val="14"/>
                <w:szCs w:val="14"/>
              </w:rPr>
            </w:pPr>
            <w:r w:rsidRPr="00AC1668">
              <w:rPr>
                <w:b/>
                <w:bCs/>
                <w:sz w:val="14"/>
                <w:szCs w:val="14"/>
              </w:rPr>
              <w:t>Nakit ve Nakit Benzerleri</w:t>
            </w:r>
          </w:p>
        </w:tc>
        <w:tc>
          <w:tcPr>
            <w:tcW w:w="709" w:type="dxa"/>
            <w:tcBorders>
              <w:top w:val="nil"/>
              <w:left w:val="nil"/>
              <w:bottom w:val="nil"/>
              <w:right w:val="nil"/>
            </w:tcBorders>
            <w:noWrap/>
            <w:vAlign w:val="bottom"/>
            <w:hideMark/>
          </w:tcPr>
          <w:p w14:paraId="08D9845E" w14:textId="77777777" w:rsidR="0064066B" w:rsidRPr="00811132" w:rsidRDefault="0064066B" w:rsidP="00B76AD4">
            <w:pPr>
              <w:jc w:val="center"/>
              <w:rPr>
                <w:b/>
                <w:bCs/>
                <w:color w:val="000000"/>
                <w:sz w:val="14"/>
                <w:szCs w:val="14"/>
              </w:rPr>
            </w:pPr>
            <w:r w:rsidRPr="00811132">
              <w:rPr>
                <w:b/>
                <w:bCs/>
                <w:color w:val="000000"/>
                <w:sz w:val="14"/>
                <w:szCs w:val="14"/>
              </w:rPr>
              <w:t>(1)</w:t>
            </w:r>
          </w:p>
        </w:tc>
        <w:tc>
          <w:tcPr>
            <w:tcW w:w="770" w:type="dxa"/>
            <w:tcBorders>
              <w:top w:val="nil"/>
              <w:left w:val="single" w:sz="4" w:space="0" w:color="auto"/>
              <w:bottom w:val="nil"/>
              <w:right w:val="nil"/>
            </w:tcBorders>
            <w:shd w:val="clear" w:color="000000" w:fill="FFFFFF"/>
            <w:vAlign w:val="bottom"/>
            <w:hideMark/>
          </w:tcPr>
          <w:p w14:paraId="17E304ED" w14:textId="77777777" w:rsidR="0064066B" w:rsidRPr="00D275DF" w:rsidRDefault="0064066B" w:rsidP="00B76AD4">
            <w:pPr>
              <w:jc w:val="right"/>
              <w:rPr>
                <w:b/>
                <w:bCs/>
                <w:color w:val="000000"/>
                <w:sz w:val="14"/>
                <w:szCs w:val="14"/>
              </w:rPr>
            </w:pPr>
            <w:r w:rsidRPr="00D275DF">
              <w:rPr>
                <w:b/>
                <w:bCs/>
                <w:color w:val="000000"/>
                <w:sz w:val="14"/>
                <w:szCs w:val="14"/>
              </w:rPr>
              <w:t>2.235.506</w:t>
            </w:r>
          </w:p>
        </w:tc>
        <w:tc>
          <w:tcPr>
            <w:tcW w:w="771" w:type="dxa"/>
            <w:tcBorders>
              <w:top w:val="nil"/>
              <w:left w:val="single" w:sz="4" w:space="0" w:color="auto"/>
              <w:bottom w:val="nil"/>
              <w:right w:val="nil"/>
            </w:tcBorders>
            <w:shd w:val="clear" w:color="000000" w:fill="FFFFFF"/>
            <w:vAlign w:val="bottom"/>
            <w:hideMark/>
          </w:tcPr>
          <w:p w14:paraId="7B40C8DE" w14:textId="77777777" w:rsidR="0064066B" w:rsidRPr="00D275DF" w:rsidRDefault="0064066B" w:rsidP="00B76AD4">
            <w:pPr>
              <w:jc w:val="right"/>
              <w:rPr>
                <w:b/>
                <w:bCs/>
                <w:color w:val="000000"/>
                <w:sz w:val="14"/>
                <w:szCs w:val="14"/>
              </w:rPr>
            </w:pPr>
            <w:r w:rsidRPr="00D275DF">
              <w:rPr>
                <w:b/>
                <w:bCs/>
                <w:color w:val="000000"/>
                <w:sz w:val="14"/>
                <w:szCs w:val="14"/>
              </w:rPr>
              <w:t>6.846.120</w:t>
            </w:r>
          </w:p>
        </w:tc>
        <w:tc>
          <w:tcPr>
            <w:tcW w:w="850" w:type="dxa"/>
            <w:tcBorders>
              <w:top w:val="nil"/>
              <w:left w:val="single" w:sz="4" w:space="0" w:color="auto"/>
              <w:bottom w:val="nil"/>
              <w:right w:val="single" w:sz="4" w:space="0" w:color="auto"/>
            </w:tcBorders>
            <w:shd w:val="clear" w:color="000000" w:fill="FFFFFF"/>
            <w:vAlign w:val="bottom"/>
            <w:hideMark/>
          </w:tcPr>
          <w:p w14:paraId="7F66E581" w14:textId="77777777" w:rsidR="0064066B" w:rsidRPr="00D275DF" w:rsidRDefault="0064066B" w:rsidP="00B76AD4">
            <w:pPr>
              <w:jc w:val="right"/>
              <w:rPr>
                <w:b/>
                <w:bCs/>
                <w:color w:val="000000"/>
                <w:sz w:val="14"/>
                <w:szCs w:val="14"/>
              </w:rPr>
            </w:pPr>
            <w:r w:rsidRPr="00D275DF">
              <w:rPr>
                <w:b/>
                <w:bCs/>
                <w:color w:val="000000"/>
                <w:sz w:val="14"/>
                <w:szCs w:val="14"/>
              </w:rPr>
              <w:t>9.081.626</w:t>
            </w:r>
          </w:p>
        </w:tc>
      </w:tr>
      <w:tr w:rsidR="0064066B" w:rsidRPr="00AC1668" w14:paraId="6708F0D2" w14:textId="77777777" w:rsidTr="00234709">
        <w:trPr>
          <w:trHeight w:val="113"/>
        </w:trPr>
        <w:tc>
          <w:tcPr>
            <w:tcW w:w="566" w:type="dxa"/>
            <w:tcBorders>
              <w:top w:val="nil"/>
              <w:left w:val="single" w:sz="4" w:space="0" w:color="auto"/>
              <w:bottom w:val="nil"/>
              <w:right w:val="nil"/>
            </w:tcBorders>
            <w:noWrap/>
            <w:hideMark/>
          </w:tcPr>
          <w:p w14:paraId="1C35CCB3" w14:textId="77777777" w:rsidR="0064066B" w:rsidRPr="00AC1668" w:rsidRDefault="0064066B" w:rsidP="00B76AD4">
            <w:pPr>
              <w:rPr>
                <w:sz w:val="14"/>
                <w:szCs w:val="14"/>
              </w:rPr>
            </w:pPr>
            <w:r w:rsidRPr="00AC1668">
              <w:rPr>
                <w:sz w:val="14"/>
                <w:szCs w:val="14"/>
              </w:rPr>
              <w:t>1.1.1</w:t>
            </w:r>
          </w:p>
        </w:tc>
        <w:tc>
          <w:tcPr>
            <w:tcW w:w="6517" w:type="dxa"/>
            <w:tcBorders>
              <w:top w:val="nil"/>
              <w:left w:val="nil"/>
              <w:bottom w:val="nil"/>
              <w:right w:val="single" w:sz="4" w:space="0" w:color="auto"/>
            </w:tcBorders>
            <w:hideMark/>
          </w:tcPr>
          <w:p w14:paraId="56FAC1BF" w14:textId="77777777" w:rsidR="0064066B" w:rsidRPr="00AC1668" w:rsidRDefault="0064066B" w:rsidP="00B76AD4">
            <w:pPr>
              <w:rPr>
                <w:sz w:val="14"/>
                <w:szCs w:val="14"/>
              </w:rPr>
            </w:pPr>
            <w:r w:rsidRPr="00AC1668">
              <w:rPr>
                <w:sz w:val="14"/>
                <w:szCs w:val="14"/>
              </w:rPr>
              <w:t>Nakit Değerler ve Merkez Bankası</w:t>
            </w:r>
          </w:p>
        </w:tc>
        <w:tc>
          <w:tcPr>
            <w:tcW w:w="709" w:type="dxa"/>
            <w:tcBorders>
              <w:top w:val="nil"/>
              <w:left w:val="nil"/>
              <w:bottom w:val="nil"/>
              <w:right w:val="nil"/>
            </w:tcBorders>
            <w:noWrap/>
            <w:vAlign w:val="bottom"/>
            <w:hideMark/>
          </w:tcPr>
          <w:p w14:paraId="6CE7AA9B" w14:textId="77777777" w:rsidR="0064066B" w:rsidRPr="00811132" w:rsidRDefault="0064066B" w:rsidP="00B76AD4">
            <w:pPr>
              <w:jc w:val="center"/>
              <w:rPr>
                <w:b/>
                <w:bCs/>
                <w:color w:val="000000"/>
                <w:sz w:val="16"/>
                <w:szCs w:val="16"/>
                <w:lang w:eastAsia="tr-TR"/>
              </w:rPr>
            </w:pPr>
            <w:r w:rsidRPr="00811132">
              <w:rPr>
                <w:b/>
                <w:bCs/>
                <w:color w:val="000000"/>
                <w:sz w:val="14"/>
                <w:szCs w:val="14"/>
                <w:lang w:eastAsia="tr-TR"/>
              </w:rPr>
              <w:t> </w:t>
            </w:r>
          </w:p>
        </w:tc>
        <w:tc>
          <w:tcPr>
            <w:tcW w:w="770" w:type="dxa"/>
            <w:tcBorders>
              <w:top w:val="nil"/>
              <w:left w:val="single" w:sz="4" w:space="0" w:color="auto"/>
              <w:bottom w:val="nil"/>
              <w:right w:val="nil"/>
            </w:tcBorders>
            <w:shd w:val="clear" w:color="000000" w:fill="FFFFFF"/>
            <w:vAlign w:val="bottom"/>
            <w:hideMark/>
          </w:tcPr>
          <w:p w14:paraId="7288F232" w14:textId="77777777" w:rsidR="0064066B" w:rsidRPr="00D275DF" w:rsidRDefault="0064066B" w:rsidP="00B76AD4">
            <w:pPr>
              <w:jc w:val="right"/>
              <w:rPr>
                <w:color w:val="000000"/>
                <w:sz w:val="14"/>
                <w:szCs w:val="14"/>
              </w:rPr>
            </w:pPr>
            <w:r w:rsidRPr="00D275DF">
              <w:rPr>
                <w:color w:val="000000"/>
                <w:sz w:val="14"/>
                <w:szCs w:val="14"/>
              </w:rPr>
              <w:t>610.479</w:t>
            </w:r>
          </w:p>
        </w:tc>
        <w:tc>
          <w:tcPr>
            <w:tcW w:w="771" w:type="dxa"/>
            <w:tcBorders>
              <w:top w:val="nil"/>
              <w:left w:val="single" w:sz="4" w:space="0" w:color="auto"/>
              <w:bottom w:val="nil"/>
              <w:right w:val="nil"/>
            </w:tcBorders>
            <w:shd w:val="clear" w:color="000000" w:fill="FFFFFF"/>
            <w:vAlign w:val="bottom"/>
            <w:hideMark/>
          </w:tcPr>
          <w:p w14:paraId="0AC057BC" w14:textId="77777777" w:rsidR="0064066B" w:rsidRPr="00D275DF" w:rsidRDefault="0064066B" w:rsidP="00B76AD4">
            <w:pPr>
              <w:jc w:val="right"/>
              <w:rPr>
                <w:color w:val="000000"/>
                <w:sz w:val="14"/>
                <w:szCs w:val="14"/>
              </w:rPr>
            </w:pPr>
            <w:r w:rsidRPr="00D275DF">
              <w:rPr>
                <w:color w:val="000000"/>
                <w:sz w:val="14"/>
                <w:szCs w:val="14"/>
              </w:rPr>
              <w:t>4.033.526</w:t>
            </w:r>
          </w:p>
        </w:tc>
        <w:tc>
          <w:tcPr>
            <w:tcW w:w="850" w:type="dxa"/>
            <w:tcBorders>
              <w:top w:val="nil"/>
              <w:left w:val="single" w:sz="4" w:space="0" w:color="auto"/>
              <w:bottom w:val="nil"/>
              <w:right w:val="single" w:sz="4" w:space="0" w:color="auto"/>
            </w:tcBorders>
            <w:shd w:val="clear" w:color="000000" w:fill="FFFFFF"/>
            <w:vAlign w:val="bottom"/>
            <w:hideMark/>
          </w:tcPr>
          <w:p w14:paraId="0FF28C9C" w14:textId="77777777" w:rsidR="0064066B" w:rsidRPr="00D275DF" w:rsidRDefault="0064066B" w:rsidP="00B76AD4">
            <w:pPr>
              <w:jc w:val="right"/>
              <w:rPr>
                <w:color w:val="000000"/>
                <w:sz w:val="14"/>
                <w:szCs w:val="14"/>
              </w:rPr>
            </w:pPr>
            <w:r w:rsidRPr="00D275DF">
              <w:rPr>
                <w:color w:val="000000"/>
                <w:sz w:val="14"/>
                <w:szCs w:val="14"/>
              </w:rPr>
              <w:t>4.644.005</w:t>
            </w:r>
          </w:p>
        </w:tc>
      </w:tr>
      <w:tr w:rsidR="0064066B" w:rsidRPr="00AC1668" w14:paraId="3C9FFD7A" w14:textId="77777777" w:rsidTr="00234709">
        <w:trPr>
          <w:trHeight w:val="113"/>
        </w:trPr>
        <w:tc>
          <w:tcPr>
            <w:tcW w:w="566" w:type="dxa"/>
            <w:tcBorders>
              <w:top w:val="nil"/>
              <w:left w:val="single" w:sz="4" w:space="0" w:color="auto"/>
              <w:bottom w:val="nil"/>
              <w:right w:val="nil"/>
            </w:tcBorders>
            <w:noWrap/>
            <w:hideMark/>
          </w:tcPr>
          <w:p w14:paraId="5D0B9250" w14:textId="77777777" w:rsidR="0064066B" w:rsidRPr="00AC1668" w:rsidRDefault="0064066B" w:rsidP="00B76AD4">
            <w:pPr>
              <w:rPr>
                <w:sz w:val="14"/>
                <w:szCs w:val="14"/>
              </w:rPr>
            </w:pPr>
            <w:r w:rsidRPr="00AC1668">
              <w:rPr>
                <w:sz w:val="14"/>
                <w:szCs w:val="14"/>
              </w:rPr>
              <w:t>1.1.2</w:t>
            </w:r>
          </w:p>
        </w:tc>
        <w:tc>
          <w:tcPr>
            <w:tcW w:w="6517" w:type="dxa"/>
            <w:tcBorders>
              <w:top w:val="nil"/>
              <w:left w:val="nil"/>
              <w:bottom w:val="nil"/>
              <w:right w:val="single" w:sz="4" w:space="0" w:color="auto"/>
            </w:tcBorders>
            <w:hideMark/>
          </w:tcPr>
          <w:p w14:paraId="1FF8E1BA" w14:textId="77777777" w:rsidR="0064066B" w:rsidRPr="00AC1668" w:rsidRDefault="0064066B" w:rsidP="00B76AD4">
            <w:pPr>
              <w:rPr>
                <w:sz w:val="14"/>
                <w:szCs w:val="14"/>
              </w:rPr>
            </w:pPr>
            <w:r w:rsidRPr="00AC1668">
              <w:rPr>
                <w:sz w:val="14"/>
                <w:szCs w:val="14"/>
              </w:rPr>
              <w:t>Bankalar</w:t>
            </w:r>
          </w:p>
        </w:tc>
        <w:tc>
          <w:tcPr>
            <w:tcW w:w="709" w:type="dxa"/>
            <w:tcBorders>
              <w:top w:val="nil"/>
              <w:left w:val="nil"/>
              <w:bottom w:val="nil"/>
              <w:right w:val="nil"/>
            </w:tcBorders>
            <w:noWrap/>
            <w:vAlign w:val="bottom"/>
            <w:hideMark/>
          </w:tcPr>
          <w:p w14:paraId="29F86E2B" w14:textId="77777777" w:rsidR="0064066B" w:rsidRPr="00811132" w:rsidRDefault="0064066B" w:rsidP="00B76AD4">
            <w:pPr>
              <w:jc w:val="center"/>
              <w:rPr>
                <w:b/>
                <w:bCs/>
                <w:color w:val="000000"/>
                <w:sz w:val="16"/>
                <w:szCs w:val="16"/>
                <w:lang w:eastAsia="tr-TR"/>
              </w:rPr>
            </w:pPr>
            <w:r w:rsidRPr="00811132">
              <w:rPr>
                <w:b/>
                <w:bCs/>
                <w:color w:val="000000"/>
                <w:sz w:val="14"/>
                <w:szCs w:val="14"/>
                <w:lang w:eastAsia="tr-TR"/>
              </w:rPr>
              <w:t> </w:t>
            </w:r>
          </w:p>
        </w:tc>
        <w:tc>
          <w:tcPr>
            <w:tcW w:w="770" w:type="dxa"/>
            <w:tcBorders>
              <w:top w:val="nil"/>
              <w:left w:val="single" w:sz="4" w:space="0" w:color="auto"/>
              <w:bottom w:val="nil"/>
              <w:right w:val="nil"/>
            </w:tcBorders>
            <w:shd w:val="clear" w:color="000000" w:fill="FFFFFF"/>
            <w:vAlign w:val="bottom"/>
            <w:hideMark/>
          </w:tcPr>
          <w:p w14:paraId="5C54AED4" w14:textId="77777777" w:rsidR="0064066B" w:rsidRPr="00D275DF" w:rsidRDefault="0064066B" w:rsidP="00B76AD4">
            <w:pPr>
              <w:jc w:val="right"/>
              <w:rPr>
                <w:color w:val="000000"/>
                <w:sz w:val="14"/>
                <w:szCs w:val="14"/>
              </w:rPr>
            </w:pPr>
            <w:r w:rsidRPr="00D275DF">
              <w:rPr>
                <w:color w:val="000000"/>
                <w:sz w:val="14"/>
                <w:szCs w:val="14"/>
              </w:rPr>
              <w:t>1.625.027</w:t>
            </w:r>
          </w:p>
        </w:tc>
        <w:tc>
          <w:tcPr>
            <w:tcW w:w="771" w:type="dxa"/>
            <w:tcBorders>
              <w:top w:val="nil"/>
              <w:left w:val="single" w:sz="4" w:space="0" w:color="auto"/>
              <w:bottom w:val="nil"/>
              <w:right w:val="nil"/>
            </w:tcBorders>
            <w:shd w:val="clear" w:color="000000" w:fill="FFFFFF"/>
            <w:vAlign w:val="bottom"/>
            <w:hideMark/>
          </w:tcPr>
          <w:p w14:paraId="37C3F081" w14:textId="77777777" w:rsidR="0064066B" w:rsidRPr="00D275DF" w:rsidRDefault="0064066B" w:rsidP="00B76AD4">
            <w:pPr>
              <w:jc w:val="right"/>
              <w:rPr>
                <w:color w:val="000000"/>
                <w:sz w:val="14"/>
                <w:szCs w:val="14"/>
              </w:rPr>
            </w:pPr>
            <w:r w:rsidRPr="00D275DF">
              <w:rPr>
                <w:color w:val="000000"/>
                <w:sz w:val="14"/>
                <w:szCs w:val="14"/>
              </w:rPr>
              <w:t>2.812.594</w:t>
            </w:r>
          </w:p>
        </w:tc>
        <w:tc>
          <w:tcPr>
            <w:tcW w:w="850" w:type="dxa"/>
            <w:tcBorders>
              <w:top w:val="nil"/>
              <w:left w:val="single" w:sz="4" w:space="0" w:color="auto"/>
              <w:bottom w:val="nil"/>
              <w:right w:val="single" w:sz="4" w:space="0" w:color="auto"/>
            </w:tcBorders>
            <w:shd w:val="clear" w:color="000000" w:fill="FFFFFF"/>
            <w:vAlign w:val="bottom"/>
            <w:hideMark/>
          </w:tcPr>
          <w:p w14:paraId="72EE5782" w14:textId="77777777" w:rsidR="0064066B" w:rsidRPr="00D275DF" w:rsidRDefault="0064066B" w:rsidP="00B76AD4">
            <w:pPr>
              <w:jc w:val="right"/>
              <w:rPr>
                <w:color w:val="000000"/>
                <w:sz w:val="14"/>
                <w:szCs w:val="14"/>
              </w:rPr>
            </w:pPr>
            <w:r w:rsidRPr="00D275DF">
              <w:rPr>
                <w:color w:val="000000"/>
                <w:sz w:val="14"/>
                <w:szCs w:val="14"/>
              </w:rPr>
              <w:t>4.437.621</w:t>
            </w:r>
          </w:p>
        </w:tc>
      </w:tr>
      <w:tr w:rsidR="0064066B" w:rsidRPr="00AC1668" w14:paraId="5B1A23C0" w14:textId="77777777" w:rsidTr="00234709">
        <w:trPr>
          <w:trHeight w:val="113"/>
        </w:trPr>
        <w:tc>
          <w:tcPr>
            <w:tcW w:w="566" w:type="dxa"/>
            <w:tcBorders>
              <w:top w:val="nil"/>
              <w:left w:val="single" w:sz="4" w:space="0" w:color="auto"/>
              <w:bottom w:val="nil"/>
              <w:right w:val="nil"/>
            </w:tcBorders>
            <w:noWrap/>
            <w:hideMark/>
          </w:tcPr>
          <w:p w14:paraId="60CC16D9" w14:textId="77777777" w:rsidR="0064066B" w:rsidRPr="00AC1668" w:rsidRDefault="0064066B" w:rsidP="00B76AD4">
            <w:pPr>
              <w:rPr>
                <w:sz w:val="14"/>
                <w:szCs w:val="14"/>
              </w:rPr>
            </w:pPr>
            <w:r w:rsidRPr="00AC1668">
              <w:rPr>
                <w:sz w:val="14"/>
                <w:szCs w:val="14"/>
              </w:rPr>
              <w:t>1.1.3</w:t>
            </w:r>
          </w:p>
        </w:tc>
        <w:tc>
          <w:tcPr>
            <w:tcW w:w="6517" w:type="dxa"/>
            <w:tcBorders>
              <w:top w:val="nil"/>
              <w:left w:val="nil"/>
              <w:bottom w:val="nil"/>
              <w:right w:val="single" w:sz="4" w:space="0" w:color="auto"/>
            </w:tcBorders>
            <w:hideMark/>
          </w:tcPr>
          <w:p w14:paraId="10956165" w14:textId="77777777" w:rsidR="0064066B" w:rsidRPr="00AC1668" w:rsidRDefault="0064066B" w:rsidP="00B76AD4">
            <w:pPr>
              <w:rPr>
                <w:sz w:val="14"/>
                <w:szCs w:val="14"/>
              </w:rPr>
            </w:pPr>
            <w:r w:rsidRPr="00AC1668">
              <w:rPr>
                <w:sz w:val="14"/>
                <w:szCs w:val="14"/>
              </w:rPr>
              <w:t>Para Piyasalarından Alacaklar</w:t>
            </w:r>
          </w:p>
        </w:tc>
        <w:tc>
          <w:tcPr>
            <w:tcW w:w="709" w:type="dxa"/>
            <w:tcBorders>
              <w:top w:val="nil"/>
              <w:left w:val="nil"/>
              <w:bottom w:val="nil"/>
              <w:right w:val="nil"/>
            </w:tcBorders>
            <w:noWrap/>
            <w:vAlign w:val="bottom"/>
            <w:hideMark/>
          </w:tcPr>
          <w:p w14:paraId="4DC61C02" w14:textId="77777777" w:rsidR="0064066B" w:rsidRPr="00811132" w:rsidRDefault="0064066B" w:rsidP="00B76AD4">
            <w:pPr>
              <w:jc w:val="center"/>
              <w:rPr>
                <w:b/>
                <w:bCs/>
                <w:color w:val="000000"/>
                <w:sz w:val="16"/>
                <w:szCs w:val="16"/>
                <w:lang w:eastAsia="tr-TR"/>
              </w:rPr>
            </w:pPr>
            <w:r w:rsidRPr="00811132">
              <w:rPr>
                <w:b/>
                <w:bCs/>
                <w:color w:val="000000"/>
                <w:sz w:val="14"/>
                <w:szCs w:val="14"/>
                <w:lang w:eastAsia="tr-TR"/>
              </w:rPr>
              <w:t> </w:t>
            </w:r>
          </w:p>
        </w:tc>
        <w:tc>
          <w:tcPr>
            <w:tcW w:w="770" w:type="dxa"/>
            <w:tcBorders>
              <w:top w:val="nil"/>
              <w:left w:val="single" w:sz="4" w:space="0" w:color="auto"/>
              <w:bottom w:val="nil"/>
              <w:right w:val="nil"/>
            </w:tcBorders>
            <w:shd w:val="clear" w:color="000000" w:fill="FFFFFF"/>
            <w:vAlign w:val="bottom"/>
            <w:hideMark/>
          </w:tcPr>
          <w:p w14:paraId="61C38758" w14:textId="77777777" w:rsidR="0064066B" w:rsidRPr="00D275DF" w:rsidRDefault="0064066B" w:rsidP="00B76AD4">
            <w:pPr>
              <w:jc w:val="right"/>
              <w:rPr>
                <w:color w:val="000000"/>
                <w:sz w:val="14"/>
                <w:szCs w:val="14"/>
              </w:rPr>
            </w:pPr>
            <w:r w:rsidRPr="00D275DF">
              <w:rPr>
                <w:color w:val="000000"/>
                <w:sz w:val="14"/>
                <w:szCs w:val="14"/>
              </w:rPr>
              <w:t>-</w:t>
            </w:r>
          </w:p>
        </w:tc>
        <w:tc>
          <w:tcPr>
            <w:tcW w:w="771" w:type="dxa"/>
            <w:tcBorders>
              <w:top w:val="nil"/>
              <w:left w:val="single" w:sz="4" w:space="0" w:color="auto"/>
              <w:bottom w:val="nil"/>
              <w:right w:val="nil"/>
            </w:tcBorders>
            <w:shd w:val="clear" w:color="000000" w:fill="FFFFFF"/>
            <w:vAlign w:val="bottom"/>
            <w:hideMark/>
          </w:tcPr>
          <w:p w14:paraId="252C1EDA" w14:textId="77777777" w:rsidR="0064066B" w:rsidRPr="00D275DF" w:rsidRDefault="0064066B" w:rsidP="00B76AD4">
            <w:pPr>
              <w:jc w:val="right"/>
              <w:rPr>
                <w:color w:val="000000"/>
                <w:sz w:val="14"/>
                <w:szCs w:val="14"/>
              </w:rPr>
            </w:pPr>
            <w:r w:rsidRPr="00D275DF">
              <w:rPr>
                <w:color w:val="000000"/>
                <w:sz w:val="14"/>
                <w:szCs w:val="14"/>
              </w:rPr>
              <w:t>-</w:t>
            </w:r>
          </w:p>
        </w:tc>
        <w:tc>
          <w:tcPr>
            <w:tcW w:w="850" w:type="dxa"/>
            <w:tcBorders>
              <w:top w:val="nil"/>
              <w:left w:val="single" w:sz="4" w:space="0" w:color="auto"/>
              <w:bottom w:val="nil"/>
              <w:right w:val="single" w:sz="4" w:space="0" w:color="auto"/>
            </w:tcBorders>
            <w:shd w:val="clear" w:color="000000" w:fill="FFFFFF"/>
            <w:vAlign w:val="bottom"/>
            <w:hideMark/>
          </w:tcPr>
          <w:p w14:paraId="28A8498B" w14:textId="77777777" w:rsidR="0064066B" w:rsidRPr="00D275DF" w:rsidRDefault="0064066B" w:rsidP="00B76AD4">
            <w:pPr>
              <w:jc w:val="right"/>
              <w:rPr>
                <w:color w:val="000000"/>
                <w:sz w:val="14"/>
                <w:szCs w:val="14"/>
              </w:rPr>
            </w:pPr>
            <w:r w:rsidRPr="00D275DF">
              <w:rPr>
                <w:color w:val="000000"/>
                <w:sz w:val="14"/>
                <w:szCs w:val="14"/>
              </w:rPr>
              <w:t>-</w:t>
            </w:r>
          </w:p>
        </w:tc>
      </w:tr>
      <w:tr w:rsidR="0064066B" w:rsidRPr="00AC1668" w14:paraId="3474A9D5" w14:textId="77777777" w:rsidTr="00234709">
        <w:trPr>
          <w:trHeight w:val="113"/>
        </w:trPr>
        <w:tc>
          <w:tcPr>
            <w:tcW w:w="566" w:type="dxa"/>
            <w:tcBorders>
              <w:top w:val="nil"/>
              <w:left w:val="single" w:sz="4" w:space="0" w:color="auto"/>
              <w:bottom w:val="nil"/>
              <w:right w:val="nil"/>
            </w:tcBorders>
            <w:noWrap/>
            <w:hideMark/>
          </w:tcPr>
          <w:p w14:paraId="14DA56D1" w14:textId="77777777" w:rsidR="0064066B" w:rsidRPr="00AC1668" w:rsidRDefault="0064066B" w:rsidP="00B76AD4">
            <w:pPr>
              <w:rPr>
                <w:b/>
                <w:bCs/>
                <w:sz w:val="14"/>
                <w:szCs w:val="14"/>
              </w:rPr>
            </w:pPr>
            <w:r w:rsidRPr="00AC1668">
              <w:rPr>
                <w:b/>
                <w:bCs/>
                <w:sz w:val="14"/>
                <w:szCs w:val="14"/>
              </w:rPr>
              <w:t>1.2</w:t>
            </w:r>
          </w:p>
        </w:tc>
        <w:tc>
          <w:tcPr>
            <w:tcW w:w="6517" w:type="dxa"/>
            <w:tcBorders>
              <w:top w:val="nil"/>
              <w:left w:val="nil"/>
              <w:bottom w:val="nil"/>
              <w:right w:val="single" w:sz="4" w:space="0" w:color="auto"/>
            </w:tcBorders>
            <w:hideMark/>
          </w:tcPr>
          <w:p w14:paraId="17415024" w14:textId="77777777" w:rsidR="0064066B" w:rsidRPr="00AC1668" w:rsidRDefault="0064066B" w:rsidP="00B76AD4">
            <w:pPr>
              <w:rPr>
                <w:b/>
                <w:bCs/>
                <w:sz w:val="14"/>
                <w:szCs w:val="14"/>
              </w:rPr>
            </w:pPr>
            <w:r w:rsidRPr="00AC1668">
              <w:rPr>
                <w:b/>
                <w:bCs/>
                <w:sz w:val="14"/>
                <w:szCs w:val="14"/>
              </w:rPr>
              <w:t>Gerçeğe Uygun Değer Farkı Kâr Zarara Yansıtılan Finansal Varlıklar</w:t>
            </w:r>
          </w:p>
        </w:tc>
        <w:tc>
          <w:tcPr>
            <w:tcW w:w="709" w:type="dxa"/>
            <w:tcBorders>
              <w:top w:val="nil"/>
              <w:left w:val="nil"/>
              <w:bottom w:val="nil"/>
              <w:right w:val="nil"/>
            </w:tcBorders>
            <w:noWrap/>
            <w:vAlign w:val="bottom"/>
            <w:hideMark/>
          </w:tcPr>
          <w:p w14:paraId="3FAC421B" w14:textId="77777777" w:rsidR="0064066B" w:rsidRPr="00811132" w:rsidRDefault="0064066B" w:rsidP="00B76AD4">
            <w:pPr>
              <w:jc w:val="center"/>
              <w:rPr>
                <w:b/>
                <w:bCs/>
                <w:color w:val="000000"/>
                <w:sz w:val="14"/>
                <w:szCs w:val="14"/>
              </w:rPr>
            </w:pPr>
            <w:r w:rsidRPr="00811132">
              <w:rPr>
                <w:b/>
                <w:bCs/>
                <w:color w:val="000000"/>
                <w:sz w:val="14"/>
                <w:szCs w:val="14"/>
              </w:rPr>
              <w:t>(2)</w:t>
            </w:r>
          </w:p>
        </w:tc>
        <w:tc>
          <w:tcPr>
            <w:tcW w:w="770" w:type="dxa"/>
            <w:tcBorders>
              <w:top w:val="nil"/>
              <w:left w:val="single" w:sz="4" w:space="0" w:color="auto"/>
              <w:bottom w:val="nil"/>
              <w:right w:val="nil"/>
            </w:tcBorders>
            <w:shd w:val="clear" w:color="000000" w:fill="FFFFFF"/>
            <w:vAlign w:val="bottom"/>
            <w:hideMark/>
          </w:tcPr>
          <w:p w14:paraId="5D316D74" w14:textId="77777777" w:rsidR="0064066B" w:rsidRPr="00D275DF" w:rsidRDefault="0064066B" w:rsidP="00B76AD4">
            <w:pPr>
              <w:jc w:val="right"/>
              <w:rPr>
                <w:b/>
                <w:bCs/>
                <w:color w:val="000000"/>
                <w:sz w:val="14"/>
                <w:szCs w:val="14"/>
              </w:rPr>
            </w:pPr>
            <w:r w:rsidRPr="00D275DF">
              <w:rPr>
                <w:b/>
                <w:bCs/>
                <w:color w:val="000000"/>
                <w:sz w:val="14"/>
                <w:szCs w:val="14"/>
              </w:rPr>
              <w:t>962</w:t>
            </w:r>
          </w:p>
        </w:tc>
        <w:tc>
          <w:tcPr>
            <w:tcW w:w="771" w:type="dxa"/>
            <w:tcBorders>
              <w:top w:val="nil"/>
              <w:left w:val="single" w:sz="4" w:space="0" w:color="auto"/>
              <w:bottom w:val="nil"/>
              <w:right w:val="nil"/>
            </w:tcBorders>
            <w:shd w:val="clear" w:color="000000" w:fill="FFFFFF"/>
            <w:vAlign w:val="bottom"/>
            <w:hideMark/>
          </w:tcPr>
          <w:p w14:paraId="4C40E790" w14:textId="77777777" w:rsidR="0064066B" w:rsidRPr="00D275DF" w:rsidRDefault="0064066B" w:rsidP="00B76AD4">
            <w:pPr>
              <w:jc w:val="right"/>
              <w:rPr>
                <w:b/>
                <w:bCs/>
                <w:color w:val="000000"/>
                <w:sz w:val="14"/>
                <w:szCs w:val="14"/>
              </w:rPr>
            </w:pPr>
            <w:r w:rsidRPr="00D275DF">
              <w:rPr>
                <w:b/>
                <w:bCs/>
                <w:color w:val="000000"/>
                <w:sz w:val="14"/>
                <w:szCs w:val="14"/>
              </w:rPr>
              <w:t>132.336</w:t>
            </w:r>
          </w:p>
        </w:tc>
        <w:tc>
          <w:tcPr>
            <w:tcW w:w="850" w:type="dxa"/>
            <w:tcBorders>
              <w:top w:val="nil"/>
              <w:left w:val="single" w:sz="4" w:space="0" w:color="auto"/>
              <w:bottom w:val="nil"/>
              <w:right w:val="single" w:sz="4" w:space="0" w:color="auto"/>
            </w:tcBorders>
            <w:shd w:val="clear" w:color="000000" w:fill="FFFFFF"/>
            <w:vAlign w:val="bottom"/>
            <w:hideMark/>
          </w:tcPr>
          <w:p w14:paraId="710052C8" w14:textId="77777777" w:rsidR="0064066B" w:rsidRPr="00D275DF" w:rsidRDefault="0064066B" w:rsidP="00B76AD4">
            <w:pPr>
              <w:jc w:val="right"/>
              <w:rPr>
                <w:b/>
                <w:bCs/>
                <w:color w:val="000000"/>
                <w:sz w:val="14"/>
                <w:szCs w:val="14"/>
              </w:rPr>
            </w:pPr>
            <w:r w:rsidRPr="00D275DF">
              <w:rPr>
                <w:b/>
                <w:bCs/>
                <w:color w:val="000000"/>
                <w:sz w:val="14"/>
                <w:szCs w:val="14"/>
              </w:rPr>
              <w:t>133.298</w:t>
            </w:r>
          </w:p>
        </w:tc>
      </w:tr>
      <w:tr w:rsidR="0064066B" w:rsidRPr="00AC1668" w14:paraId="2AFBB77F" w14:textId="77777777" w:rsidTr="00234709">
        <w:trPr>
          <w:trHeight w:val="113"/>
        </w:trPr>
        <w:tc>
          <w:tcPr>
            <w:tcW w:w="566" w:type="dxa"/>
            <w:tcBorders>
              <w:top w:val="nil"/>
              <w:left w:val="single" w:sz="4" w:space="0" w:color="auto"/>
              <w:bottom w:val="nil"/>
              <w:right w:val="nil"/>
            </w:tcBorders>
            <w:noWrap/>
            <w:hideMark/>
          </w:tcPr>
          <w:p w14:paraId="7AA42EDC" w14:textId="77777777" w:rsidR="0064066B" w:rsidRPr="00AC1668" w:rsidRDefault="0064066B" w:rsidP="00B76AD4">
            <w:pPr>
              <w:rPr>
                <w:sz w:val="14"/>
                <w:szCs w:val="14"/>
              </w:rPr>
            </w:pPr>
            <w:r w:rsidRPr="00AC1668">
              <w:rPr>
                <w:sz w:val="14"/>
                <w:szCs w:val="14"/>
              </w:rPr>
              <w:t>1.2.1</w:t>
            </w:r>
          </w:p>
        </w:tc>
        <w:tc>
          <w:tcPr>
            <w:tcW w:w="6517" w:type="dxa"/>
            <w:tcBorders>
              <w:top w:val="nil"/>
              <w:left w:val="nil"/>
              <w:bottom w:val="nil"/>
              <w:right w:val="single" w:sz="4" w:space="0" w:color="auto"/>
            </w:tcBorders>
            <w:hideMark/>
          </w:tcPr>
          <w:p w14:paraId="07A6B000" w14:textId="77777777" w:rsidR="0064066B" w:rsidRPr="00AC1668" w:rsidRDefault="0064066B" w:rsidP="00B76AD4">
            <w:pPr>
              <w:rPr>
                <w:sz w:val="14"/>
                <w:szCs w:val="14"/>
              </w:rPr>
            </w:pPr>
            <w:r w:rsidRPr="00AC1668">
              <w:rPr>
                <w:sz w:val="14"/>
                <w:szCs w:val="14"/>
              </w:rPr>
              <w:t>Devlet Borçlanma Senetleri</w:t>
            </w:r>
          </w:p>
        </w:tc>
        <w:tc>
          <w:tcPr>
            <w:tcW w:w="709" w:type="dxa"/>
            <w:tcBorders>
              <w:top w:val="nil"/>
              <w:left w:val="nil"/>
              <w:bottom w:val="nil"/>
              <w:right w:val="nil"/>
            </w:tcBorders>
            <w:noWrap/>
            <w:vAlign w:val="bottom"/>
            <w:hideMark/>
          </w:tcPr>
          <w:p w14:paraId="20BAB011" w14:textId="77777777" w:rsidR="0064066B" w:rsidRPr="00811132" w:rsidRDefault="0064066B" w:rsidP="00B76AD4">
            <w:pPr>
              <w:jc w:val="center"/>
              <w:rPr>
                <w:b/>
                <w:bCs/>
                <w:color w:val="000000"/>
                <w:sz w:val="16"/>
                <w:szCs w:val="16"/>
                <w:lang w:eastAsia="tr-TR"/>
              </w:rPr>
            </w:pPr>
            <w:r w:rsidRPr="00811132">
              <w:rPr>
                <w:b/>
                <w:bCs/>
                <w:color w:val="000000"/>
                <w:sz w:val="14"/>
                <w:szCs w:val="14"/>
                <w:lang w:eastAsia="tr-TR"/>
              </w:rPr>
              <w:t> </w:t>
            </w:r>
          </w:p>
        </w:tc>
        <w:tc>
          <w:tcPr>
            <w:tcW w:w="770" w:type="dxa"/>
            <w:tcBorders>
              <w:top w:val="nil"/>
              <w:left w:val="single" w:sz="4" w:space="0" w:color="auto"/>
              <w:bottom w:val="nil"/>
              <w:right w:val="nil"/>
            </w:tcBorders>
            <w:shd w:val="clear" w:color="000000" w:fill="FFFFFF"/>
            <w:vAlign w:val="bottom"/>
            <w:hideMark/>
          </w:tcPr>
          <w:p w14:paraId="6647314A" w14:textId="77777777" w:rsidR="0064066B" w:rsidRPr="00D275DF" w:rsidRDefault="0064066B" w:rsidP="00B76AD4">
            <w:pPr>
              <w:jc w:val="right"/>
              <w:rPr>
                <w:color w:val="000000"/>
                <w:sz w:val="14"/>
                <w:szCs w:val="14"/>
              </w:rPr>
            </w:pPr>
            <w:r w:rsidRPr="00D275DF">
              <w:rPr>
                <w:color w:val="000000"/>
                <w:sz w:val="14"/>
                <w:szCs w:val="14"/>
              </w:rPr>
              <w:t>-</w:t>
            </w:r>
          </w:p>
        </w:tc>
        <w:tc>
          <w:tcPr>
            <w:tcW w:w="771" w:type="dxa"/>
            <w:tcBorders>
              <w:top w:val="nil"/>
              <w:left w:val="single" w:sz="4" w:space="0" w:color="auto"/>
              <w:bottom w:val="nil"/>
              <w:right w:val="nil"/>
            </w:tcBorders>
            <w:shd w:val="clear" w:color="000000" w:fill="FFFFFF"/>
            <w:vAlign w:val="bottom"/>
            <w:hideMark/>
          </w:tcPr>
          <w:p w14:paraId="543ACD3B" w14:textId="77777777" w:rsidR="0064066B" w:rsidRPr="00D275DF" w:rsidRDefault="0064066B" w:rsidP="00B76AD4">
            <w:pPr>
              <w:jc w:val="right"/>
              <w:rPr>
                <w:color w:val="000000"/>
                <w:sz w:val="14"/>
                <w:szCs w:val="14"/>
              </w:rPr>
            </w:pPr>
            <w:r w:rsidRPr="00D275DF">
              <w:rPr>
                <w:color w:val="000000"/>
                <w:sz w:val="14"/>
                <w:szCs w:val="14"/>
              </w:rPr>
              <w:t>-</w:t>
            </w:r>
          </w:p>
        </w:tc>
        <w:tc>
          <w:tcPr>
            <w:tcW w:w="850" w:type="dxa"/>
            <w:tcBorders>
              <w:top w:val="nil"/>
              <w:left w:val="single" w:sz="4" w:space="0" w:color="auto"/>
              <w:bottom w:val="nil"/>
              <w:right w:val="single" w:sz="4" w:space="0" w:color="auto"/>
            </w:tcBorders>
            <w:shd w:val="clear" w:color="000000" w:fill="FFFFFF"/>
            <w:vAlign w:val="bottom"/>
            <w:hideMark/>
          </w:tcPr>
          <w:p w14:paraId="6EE0391B" w14:textId="77777777" w:rsidR="0064066B" w:rsidRPr="00D275DF" w:rsidRDefault="0064066B" w:rsidP="00B76AD4">
            <w:pPr>
              <w:jc w:val="right"/>
              <w:rPr>
                <w:color w:val="000000"/>
                <w:sz w:val="14"/>
                <w:szCs w:val="14"/>
              </w:rPr>
            </w:pPr>
            <w:r w:rsidRPr="00D275DF">
              <w:rPr>
                <w:color w:val="000000"/>
                <w:sz w:val="14"/>
                <w:szCs w:val="14"/>
              </w:rPr>
              <w:t>-</w:t>
            </w:r>
          </w:p>
        </w:tc>
      </w:tr>
      <w:tr w:rsidR="0064066B" w:rsidRPr="00AC1668" w14:paraId="426A264A" w14:textId="77777777" w:rsidTr="00234709">
        <w:trPr>
          <w:trHeight w:val="113"/>
        </w:trPr>
        <w:tc>
          <w:tcPr>
            <w:tcW w:w="566" w:type="dxa"/>
            <w:tcBorders>
              <w:top w:val="nil"/>
              <w:left w:val="single" w:sz="4" w:space="0" w:color="auto"/>
              <w:bottom w:val="nil"/>
              <w:right w:val="nil"/>
            </w:tcBorders>
            <w:noWrap/>
            <w:hideMark/>
          </w:tcPr>
          <w:p w14:paraId="15BB5230" w14:textId="77777777" w:rsidR="0064066B" w:rsidRPr="00AC1668" w:rsidRDefault="0064066B" w:rsidP="00B76AD4">
            <w:pPr>
              <w:rPr>
                <w:sz w:val="14"/>
                <w:szCs w:val="14"/>
              </w:rPr>
            </w:pPr>
            <w:r w:rsidRPr="00AC1668">
              <w:rPr>
                <w:sz w:val="14"/>
                <w:szCs w:val="14"/>
              </w:rPr>
              <w:t>1.2.2</w:t>
            </w:r>
          </w:p>
        </w:tc>
        <w:tc>
          <w:tcPr>
            <w:tcW w:w="6517" w:type="dxa"/>
            <w:tcBorders>
              <w:top w:val="nil"/>
              <w:left w:val="nil"/>
              <w:bottom w:val="nil"/>
              <w:right w:val="single" w:sz="4" w:space="0" w:color="auto"/>
            </w:tcBorders>
            <w:hideMark/>
          </w:tcPr>
          <w:p w14:paraId="4E4CC71D" w14:textId="77777777" w:rsidR="0064066B" w:rsidRPr="00AC1668" w:rsidRDefault="0064066B" w:rsidP="00B76AD4">
            <w:pPr>
              <w:rPr>
                <w:sz w:val="14"/>
                <w:szCs w:val="14"/>
              </w:rPr>
            </w:pPr>
            <w:r w:rsidRPr="00AC1668">
              <w:rPr>
                <w:sz w:val="14"/>
                <w:szCs w:val="14"/>
              </w:rPr>
              <w:t>Sermayede Payı Temsil Eden Menkul Değerler</w:t>
            </w:r>
          </w:p>
        </w:tc>
        <w:tc>
          <w:tcPr>
            <w:tcW w:w="709" w:type="dxa"/>
            <w:tcBorders>
              <w:top w:val="nil"/>
              <w:left w:val="nil"/>
              <w:bottom w:val="nil"/>
              <w:right w:val="nil"/>
            </w:tcBorders>
            <w:noWrap/>
            <w:vAlign w:val="bottom"/>
            <w:hideMark/>
          </w:tcPr>
          <w:p w14:paraId="727F8EE8" w14:textId="77777777" w:rsidR="0064066B" w:rsidRPr="00811132" w:rsidRDefault="0064066B" w:rsidP="00B76AD4">
            <w:pPr>
              <w:jc w:val="center"/>
              <w:rPr>
                <w:b/>
                <w:bCs/>
                <w:color w:val="000000"/>
                <w:sz w:val="16"/>
                <w:szCs w:val="16"/>
                <w:lang w:eastAsia="tr-TR"/>
              </w:rPr>
            </w:pPr>
            <w:r w:rsidRPr="00811132">
              <w:rPr>
                <w:b/>
                <w:bCs/>
                <w:color w:val="000000"/>
                <w:sz w:val="14"/>
                <w:szCs w:val="14"/>
                <w:lang w:eastAsia="tr-TR"/>
              </w:rPr>
              <w:t> </w:t>
            </w:r>
          </w:p>
        </w:tc>
        <w:tc>
          <w:tcPr>
            <w:tcW w:w="770" w:type="dxa"/>
            <w:tcBorders>
              <w:top w:val="nil"/>
              <w:left w:val="single" w:sz="4" w:space="0" w:color="auto"/>
              <w:bottom w:val="nil"/>
              <w:right w:val="nil"/>
            </w:tcBorders>
            <w:shd w:val="clear" w:color="000000" w:fill="FFFFFF"/>
            <w:vAlign w:val="bottom"/>
            <w:hideMark/>
          </w:tcPr>
          <w:p w14:paraId="50E0266B" w14:textId="77777777" w:rsidR="0064066B" w:rsidRPr="00D275DF" w:rsidRDefault="0064066B" w:rsidP="00B76AD4">
            <w:pPr>
              <w:jc w:val="right"/>
              <w:rPr>
                <w:color w:val="000000"/>
                <w:sz w:val="14"/>
                <w:szCs w:val="14"/>
              </w:rPr>
            </w:pPr>
            <w:r w:rsidRPr="00D275DF">
              <w:rPr>
                <w:color w:val="000000"/>
                <w:sz w:val="14"/>
                <w:szCs w:val="14"/>
              </w:rPr>
              <w:t>15</w:t>
            </w:r>
          </w:p>
        </w:tc>
        <w:tc>
          <w:tcPr>
            <w:tcW w:w="771" w:type="dxa"/>
            <w:tcBorders>
              <w:top w:val="nil"/>
              <w:left w:val="single" w:sz="4" w:space="0" w:color="auto"/>
              <w:bottom w:val="nil"/>
              <w:right w:val="nil"/>
            </w:tcBorders>
            <w:shd w:val="clear" w:color="000000" w:fill="FFFFFF"/>
            <w:vAlign w:val="bottom"/>
            <w:hideMark/>
          </w:tcPr>
          <w:p w14:paraId="422EAEFD" w14:textId="77777777" w:rsidR="0064066B" w:rsidRPr="00D275DF" w:rsidRDefault="0064066B" w:rsidP="00B76AD4">
            <w:pPr>
              <w:jc w:val="right"/>
              <w:rPr>
                <w:color w:val="000000"/>
                <w:sz w:val="14"/>
                <w:szCs w:val="14"/>
              </w:rPr>
            </w:pPr>
            <w:r w:rsidRPr="00D275DF">
              <w:rPr>
                <w:color w:val="000000"/>
                <w:sz w:val="14"/>
                <w:szCs w:val="14"/>
              </w:rPr>
              <w:t>-</w:t>
            </w:r>
          </w:p>
        </w:tc>
        <w:tc>
          <w:tcPr>
            <w:tcW w:w="850" w:type="dxa"/>
            <w:tcBorders>
              <w:top w:val="nil"/>
              <w:left w:val="single" w:sz="4" w:space="0" w:color="auto"/>
              <w:bottom w:val="nil"/>
              <w:right w:val="single" w:sz="4" w:space="0" w:color="auto"/>
            </w:tcBorders>
            <w:shd w:val="clear" w:color="000000" w:fill="FFFFFF"/>
            <w:vAlign w:val="bottom"/>
            <w:hideMark/>
          </w:tcPr>
          <w:p w14:paraId="13FBEAC4" w14:textId="77777777" w:rsidR="0064066B" w:rsidRPr="00D275DF" w:rsidRDefault="0064066B" w:rsidP="00B76AD4">
            <w:pPr>
              <w:jc w:val="right"/>
              <w:rPr>
                <w:color w:val="000000"/>
                <w:sz w:val="14"/>
                <w:szCs w:val="14"/>
              </w:rPr>
            </w:pPr>
            <w:r w:rsidRPr="00D275DF">
              <w:rPr>
                <w:color w:val="000000"/>
                <w:sz w:val="14"/>
                <w:szCs w:val="14"/>
              </w:rPr>
              <w:t>15</w:t>
            </w:r>
          </w:p>
        </w:tc>
      </w:tr>
      <w:tr w:rsidR="0064066B" w:rsidRPr="00AC1668" w14:paraId="7139A4A5" w14:textId="77777777" w:rsidTr="00234709">
        <w:trPr>
          <w:trHeight w:val="113"/>
        </w:trPr>
        <w:tc>
          <w:tcPr>
            <w:tcW w:w="566" w:type="dxa"/>
            <w:tcBorders>
              <w:top w:val="nil"/>
              <w:left w:val="single" w:sz="4" w:space="0" w:color="auto"/>
              <w:bottom w:val="nil"/>
              <w:right w:val="nil"/>
            </w:tcBorders>
            <w:noWrap/>
            <w:hideMark/>
          </w:tcPr>
          <w:p w14:paraId="7D4BAA7D" w14:textId="77777777" w:rsidR="0064066B" w:rsidRPr="00AC1668" w:rsidRDefault="0064066B" w:rsidP="00B76AD4">
            <w:pPr>
              <w:rPr>
                <w:sz w:val="14"/>
                <w:szCs w:val="14"/>
              </w:rPr>
            </w:pPr>
            <w:r w:rsidRPr="00AC1668">
              <w:rPr>
                <w:sz w:val="14"/>
                <w:szCs w:val="14"/>
              </w:rPr>
              <w:t>1.2.3</w:t>
            </w:r>
          </w:p>
        </w:tc>
        <w:tc>
          <w:tcPr>
            <w:tcW w:w="6517" w:type="dxa"/>
            <w:tcBorders>
              <w:top w:val="nil"/>
              <w:left w:val="nil"/>
              <w:bottom w:val="nil"/>
              <w:right w:val="single" w:sz="4" w:space="0" w:color="auto"/>
            </w:tcBorders>
            <w:hideMark/>
          </w:tcPr>
          <w:p w14:paraId="5AD873CC" w14:textId="77777777" w:rsidR="0064066B" w:rsidRPr="00AC1668" w:rsidRDefault="0064066B" w:rsidP="00B76AD4">
            <w:pPr>
              <w:rPr>
                <w:sz w:val="14"/>
                <w:szCs w:val="14"/>
              </w:rPr>
            </w:pPr>
            <w:r w:rsidRPr="00AC1668">
              <w:rPr>
                <w:sz w:val="14"/>
                <w:szCs w:val="14"/>
              </w:rPr>
              <w:t>Diğer Finansal Varlıklar</w:t>
            </w:r>
          </w:p>
        </w:tc>
        <w:tc>
          <w:tcPr>
            <w:tcW w:w="709" w:type="dxa"/>
            <w:tcBorders>
              <w:top w:val="nil"/>
              <w:left w:val="nil"/>
              <w:bottom w:val="nil"/>
              <w:right w:val="nil"/>
            </w:tcBorders>
            <w:noWrap/>
            <w:vAlign w:val="bottom"/>
            <w:hideMark/>
          </w:tcPr>
          <w:p w14:paraId="3CDF32A6" w14:textId="77777777" w:rsidR="0064066B" w:rsidRPr="00811132" w:rsidRDefault="0064066B" w:rsidP="00B76AD4">
            <w:pPr>
              <w:jc w:val="center"/>
              <w:rPr>
                <w:b/>
                <w:bCs/>
                <w:color w:val="000000"/>
                <w:sz w:val="16"/>
                <w:szCs w:val="16"/>
                <w:lang w:eastAsia="tr-TR"/>
              </w:rPr>
            </w:pPr>
            <w:r w:rsidRPr="00811132">
              <w:rPr>
                <w:b/>
                <w:bCs/>
                <w:color w:val="000000"/>
                <w:sz w:val="14"/>
                <w:szCs w:val="14"/>
                <w:lang w:eastAsia="tr-TR"/>
              </w:rPr>
              <w:t> </w:t>
            </w:r>
          </w:p>
        </w:tc>
        <w:tc>
          <w:tcPr>
            <w:tcW w:w="770" w:type="dxa"/>
            <w:tcBorders>
              <w:top w:val="nil"/>
              <w:left w:val="single" w:sz="4" w:space="0" w:color="auto"/>
              <w:bottom w:val="nil"/>
              <w:right w:val="nil"/>
            </w:tcBorders>
            <w:shd w:val="clear" w:color="000000" w:fill="FFFFFF"/>
            <w:vAlign w:val="bottom"/>
            <w:hideMark/>
          </w:tcPr>
          <w:p w14:paraId="25694E9C" w14:textId="77777777" w:rsidR="0064066B" w:rsidRPr="00D275DF" w:rsidRDefault="0064066B" w:rsidP="00B76AD4">
            <w:pPr>
              <w:jc w:val="right"/>
              <w:rPr>
                <w:color w:val="000000"/>
                <w:sz w:val="14"/>
                <w:szCs w:val="14"/>
              </w:rPr>
            </w:pPr>
            <w:r w:rsidRPr="00D275DF">
              <w:rPr>
                <w:color w:val="000000"/>
                <w:sz w:val="14"/>
                <w:szCs w:val="14"/>
              </w:rPr>
              <w:t>947</w:t>
            </w:r>
          </w:p>
        </w:tc>
        <w:tc>
          <w:tcPr>
            <w:tcW w:w="771" w:type="dxa"/>
            <w:tcBorders>
              <w:top w:val="nil"/>
              <w:left w:val="single" w:sz="4" w:space="0" w:color="auto"/>
              <w:bottom w:val="nil"/>
              <w:right w:val="nil"/>
            </w:tcBorders>
            <w:shd w:val="clear" w:color="000000" w:fill="FFFFFF"/>
            <w:vAlign w:val="bottom"/>
            <w:hideMark/>
          </w:tcPr>
          <w:p w14:paraId="53F98858" w14:textId="77777777" w:rsidR="0064066B" w:rsidRPr="00D275DF" w:rsidRDefault="0064066B" w:rsidP="00B76AD4">
            <w:pPr>
              <w:jc w:val="right"/>
              <w:rPr>
                <w:color w:val="000000"/>
                <w:sz w:val="14"/>
                <w:szCs w:val="14"/>
              </w:rPr>
            </w:pPr>
            <w:r w:rsidRPr="00D275DF">
              <w:rPr>
                <w:color w:val="000000"/>
                <w:sz w:val="14"/>
                <w:szCs w:val="14"/>
              </w:rPr>
              <w:t>132.336</w:t>
            </w:r>
          </w:p>
        </w:tc>
        <w:tc>
          <w:tcPr>
            <w:tcW w:w="850" w:type="dxa"/>
            <w:tcBorders>
              <w:top w:val="nil"/>
              <w:left w:val="single" w:sz="4" w:space="0" w:color="auto"/>
              <w:bottom w:val="nil"/>
              <w:right w:val="single" w:sz="4" w:space="0" w:color="auto"/>
            </w:tcBorders>
            <w:shd w:val="clear" w:color="000000" w:fill="FFFFFF"/>
            <w:vAlign w:val="bottom"/>
            <w:hideMark/>
          </w:tcPr>
          <w:p w14:paraId="26F0715C" w14:textId="77777777" w:rsidR="0064066B" w:rsidRPr="00D275DF" w:rsidRDefault="0064066B" w:rsidP="00B76AD4">
            <w:pPr>
              <w:jc w:val="right"/>
              <w:rPr>
                <w:color w:val="000000"/>
                <w:sz w:val="14"/>
                <w:szCs w:val="14"/>
              </w:rPr>
            </w:pPr>
            <w:r w:rsidRPr="00D275DF">
              <w:rPr>
                <w:color w:val="000000"/>
                <w:sz w:val="14"/>
                <w:szCs w:val="14"/>
              </w:rPr>
              <w:t>133.283</w:t>
            </w:r>
          </w:p>
        </w:tc>
      </w:tr>
      <w:tr w:rsidR="0064066B" w:rsidRPr="00AC1668" w14:paraId="78AA3129" w14:textId="77777777" w:rsidTr="00234709">
        <w:trPr>
          <w:trHeight w:val="113"/>
        </w:trPr>
        <w:tc>
          <w:tcPr>
            <w:tcW w:w="566" w:type="dxa"/>
            <w:tcBorders>
              <w:top w:val="nil"/>
              <w:left w:val="single" w:sz="4" w:space="0" w:color="auto"/>
              <w:bottom w:val="nil"/>
              <w:right w:val="nil"/>
            </w:tcBorders>
            <w:noWrap/>
            <w:hideMark/>
          </w:tcPr>
          <w:p w14:paraId="4B6E400F" w14:textId="77777777" w:rsidR="0064066B" w:rsidRPr="00AC1668" w:rsidRDefault="0064066B" w:rsidP="00B76AD4">
            <w:pPr>
              <w:rPr>
                <w:b/>
                <w:bCs/>
                <w:sz w:val="14"/>
                <w:szCs w:val="14"/>
              </w:rPr>
            </w:pPr>
            <w:r w:rsidRPr="00AC1668">
              <w:rPr>
                <w:b/>
                <w:bCs/>
                <w:sz w:val="14"/>
                <w:szCs w:val="14"/>
              </w:rPr>
              <w:t>1.3</w:t>
            </w:r>
          </w:p>
        </w:tc>
        <w:tc>
          <w:tcPr>
            <w:tcW w:w="6517" w:type="dxa"/>
            <w:tcBorders>
              <w:top w:val="nil"/>
              <w:left w:val="nil"/>
              <w:bottom w:val="nil"/>
              <w:right w:val="single" w:sz="4" w:space="0" w:color="auto"/>
            </w:tcBorders>
            <w:hideMark/>
          </w:tcPr>
          <w:p w14:paraId="5F9C4B80" w14:textId="77777777" w:rsidR="0064066B" w:rsidRPr="00AC1668" w:rsidRDefault="0064066B" w:rsidP="00B76AD4">
            <w:pPr>
              <w:rPr>
                <w:b/>
                <w:bCs/>
                <w:sz w:val="14"/>
                <w:szCs w:val="14"/>
              </w:rPr>
            </w:pPr>
            <w:r w:rsidRPr="00AC1668">
              <w:rPr>
                <w:b/>
                <w:bCs/>
                <w:sz w:val="14"/>
                <w:szCs w:val="14"/>
              </w:rPr>
              <w:t>Gerçeğe Uygun Değer Farkı Diğer Kapsamlı Gelire Yansıtılan Finansal Varlıklar</w:t>
            </w:r>
          </w:p>
        </w:tc>
        <w:tc>
          <w:tcPr>
            <w:tcW w:w="709" w:type="dxa"/>
            <w:tcBorders>
              <w:top w:val="nil"/>
              <w:left w:val="nil"/>
              <w:bottom w:val="nil"/>
              <w:right w:val="nil"/>
            </w:tcBorders>
            <w:noWrap/>
            <w:vAlign w:val="bottom"/>
            <w:hideMark/>
          </w:tcPr>
          <w:p w14:paraId="0A09555B" w14:textId="77777777" w:rsidR="0064066B" w:rsidRPr="00811132" w:rsidRDefault="0064066B" w:rsidP="00B76AD4">
            <w:pPr>
              <w:jc w:val="center"/>
              <w:rPr>
                <w:b/>
                <w:bCs/>
                <w:color w:val="000000"/>
                <w:sz w:val="14"/>
                <w:szCs w:val="14"/>
              </w:rPr>
            </w:pPr>
            <w:r w:rsidRPr="00811132">
              <w:rPr>
                <w:b/>
                <w:bCs/>
                <w:color w:val="000000"/>
                <w:sz w:val="14"/>
                <w:szCs w:val="14"/>
              </w:rPr>
              <w:t>(3)</w:t>
            </w:r>
          </w:p>
        </w:tc>
        <w:tc>
          <w:tcPr>
            <w:tcW w:w="770" w:type="dxa"/>
            <w:tcBorders>
              <w:top w:val="nil"/>
              <w:left w:val="single" w:sz="4" w:space="0" w:color="auto"/>
              <w:bottom w:val="nil"/>
              <w:right w:val="nil"/>
            </w:tcBorders>
            <w:shd w:val="clear" w:color="000000" w:fill="FFFFFF"/>
            <w:vAlign w:val="bottom"/>
            <w:hideMark/>
          </w:tcPr>
          <w:p w14:paraId="2378DFBB" w14:textId="77777777" w:rsidR="0064066B" w:rsidRPr="00D275DF" w:rsidRDefault="0064066B" w:rsidP="00B76AD4">
            <w:pPr>
              <w:jc w:val="right"/>
              <w:rPr>
                <w:b/>
                <w:bCs/>
                <w:color w:val="000000"/>
                <w:sz w:val="14"/>
                <w:szCs w:val="14"/>
              </w:rPr>
            </w:pPr>
            <w:r w:rsidRPr="00D275DF">
              <w:rPr>
                <w:b/>
                <w:bCs/>
                <w:color w:val="000000"/>
                <w:sz w:val="14"/>
                <w:szCs w:val="14"/>
              </w:rPr>
              <w:t>964.443</w:t>
            </w:r>
          </w:p>
        </w:tc>
        <w:tc>
          <w:tcPr>
            <w:tcW w:w="771" w:type="dxa"/>
            <w:tcBorders>
              <w:top w:val="nil"/>
              <w:left w:val="single" w:sz="4" w:space="0" w:color="auto"/>
              <w:bottom w:val="nil"/>
              <w:right w:val="nil"/>
            </w:tcBorders>
            <w:shd w:val="clear" w:color="000000" w:fill="FFFFFF"/>
            <w:vAlign w:val="bottom"/>
            <w:hideMark/>
          </w:tcPr>
          <w:p w14:paraId="6F2BC40D" w14:textId="77777777" w:rsidR="0064066B" w:rsidRPr="00D275DF" w:rsidRDefault="0064066B" w:rsidP="00B76AD4">
            <w:pPr>
              <w:jc w:val="right"/>
              <w:rPr>
                <w:b/>
                <w:bCs/>
                <w:color w:val="000000"/>
                <w:sz w:val="14"/>
                <w:szCs w:val="14"/>
              </w:rPr>
            </w:pPr>
            <w:r w:rsidRPr="00D275DF">
              <w:rPr>
                <w:b/>
                <w:bCs/>
                <w:color w:val="000000"/>
                <w:sz w:val="14"/>
                <w:szCs w:val="14"/>
              </w:rPr>
              <w:t>-</w:t>
            </w:r>
          </w:p>
        </w:tc>
        <w:tc>
          <w:tcPr>
            <w:tcW w:w="850" w:type="dxa"/>
            <w:tcBorders>
              <w:top w:val="nil"/>
              <w:left w:val="single" w:sz="4" w:space="0" w:color="auto"/>
              <w:bottom w:val="nil"/>
              <w:right w:val="single" w:sz="4" w:space="0" w:color="auto"/>
            </w:tcBorders>
            <w:shd w:val="clear" w:color="000000" w:fill="FFFFFF"/>
            <w:vAlign w:val="bottom"/>
            <w:hideMark/>
          </w:tcPr>
          <w:p w14:paraId="7D0D0C9F" w14:textId="77777777" w:rsidR="0064066B" w:rsidRPr="00D275DF" w:rsidRDefault="0064066B" w:rsidP="00B76AD4">
            <w:pPr>
              <w:jc w:val="right"/>
              <w:rPr>
                <w:b/>
                <w:bCs/>
                <w:color w:val="000000"/>
                <w:sz w:val="14"/>
                <w:szCs w:val="14"/>
              </w:rPr>
            </w:pPr>
            <w:r w:rsidRPr="00D275DF">
              <w:rPr>
                <w:b/>
                <w:bCs/>
                <w:color w:val="000000"/>
                <w:sz w:val="14"/>
                <w:szCs w:val="14"/>
              </w:rPr>
              <w:t>964.443</w:t>
            </w:r>
          </w:p>
        </w:tc>
      </w:tr>
      <w:tr w:rsidR="0064066B" w:rsidRPr="00AC1668" w14:paraId="12A1689D" w14:textId="77777777" w:rsidTr="00234709">
        <w:trPr>
          <w:trHeight w:val="113"/>
        </w:trPr>
        <w:tc>
          <w:tcPr>
            <w:tcW w:w="566" w:type="dxa"/>
            <w:tcBorders>
              <w:top w:val="nil"/>
              <w:left w:val="single" w:sz="4" w:space="0" w:color="auto"/>
              <w:bottom w:val="nil"/>
              <w:right w:val="nil"/>
            </w:tcBorders>
            <w:noWrap/>
            <w:hideMark/>
          </w:tcPr>
          <w:p w14:paraId="342CE669" w14:textId="77777777" w:rsidR="0064066B" w:rsidRPr="00AC1668" w:rsidRDefault="0064066B" w:rsidP="00B76AD4">
            <w:pPr>
              <w:rPr>
                <w:sz w:val="14"/>
                <w:szCs w:val="14"/>
              </w:rPr>
            </w:pPr>
            <w:r w:rsidRPr="00AC1668">
              <w:rPr>
                <w:sz w:val="14"/>
                <w:szCs w:val="14"/>
              </w:rPr>
              <w:t>1.3.1</w:t>
            </w:r>
          </w:p>
        </w:tc>
        <w:tc>
          <w:tcPr>
            <w:tcW w:w="6517" w:type="dxa"/>
            <w:tcBorders>
              <w:top w:val="nil"/>
              <w:left w:val="nil"/>
              <w:bottom w:val="nil"/>
              <w:right w:val="single" w:sz="4" w:space="0" w:color="auto"/>
            </w:tcBorders>
            <w:hideMark/>
          </w:tcPr>
          <w:p w14:paraId="39900F01" w14:textId="77777777" w:rsidR="0064066B" w:rsidRPr="00AC1668" w:rsidRDefault="0064066B" w:rsidP="00B76AD4">
            <w:pPr>
              <w:rPr>
                <w:sz w:val="14"/>
                <w:szCs w:val="14"/>
              </w:rPr>
            </w:pPr>
            <w:r w:rsidRPr="00AC1668">
              <w:rPr>
                <w:sz w:val="14"/>
                <w:szCs w:val="14"/>
              </w:rPr>
              <w:t>Devlet Borçlanma Senetleri</w:t>
            </w:r>
          </w:p>
        </w:tc>
        <w:tc>
          <w:tcPr>
            <w:tcW w:w="709" w:type="dxa"/>
            <w:tcBorders>
              <w:top w:val="nil"/>
              <w:left w:val="nil"/>
              <w:bottom w:val="nil"/>
              <w:right w:val="nil"/>
            </w:tcBorders>
            <w:noWrap/>
            <w:vAlign w:val="bottom"/>
            <w:hideMark/>
          </w:tcPr>
          <w:p w14:paraId="669C706E" w14:textId="77777777" w:rsidR="0064066B" w:rsidRPr="00811132" w:rsidRDefault="0064066B" w:rsidP="00B76AD4">
            <w:pPr>
              <w:jc w:val="center"/>
              <w:rPr>
                <w:b/>
                <w:bCs/>
                <w:color w:val="000000"/>
                <w:sz w:val="16"/>
                <w:szCs w:val="16"/>
                <w:lang w:eastAsia="tr-TR"/>
              </w:rPr>
            </w:pPr>
            <w:r w:rsidRPr="00811132">
              <w:rPr>
                <w:b/>
                <w:bCs/>
                <w:color w:val="000000"/>
                <w:sz w:val="14"/>
                <w:szCs w:val="14"/>
                <w:lang w:eastAsia="tr-TR"/>
              </w:rPr>
              <w:t> </w:t>
            </w:r>
          </w:p>
        </w:tc>
        <w:tc>
          <w:tcPr>
            <w:tcW w:w="770" w:type="dxa"/>
            <w:tcBorders>
              <w:top w:val="nil"/>
              <w:left w:val="single" w:sz="4" w:space="0" w:color="auto"/>
              <w:bottom w:val="nil"/>
              <w:right w:val="nil"/>
            </w:tcBorders>
            <w:shd w:val="clear" w:color="000000" w:fill="FFFFFF"/>
            <w:vAlign w:val="bottom"/>
            <w:hideMark/>
          </w:tcPr>
          <w:p w14:paraId="43A92793" w14:textId="77777777" w:rsidR="0064066B" w:rsidRPr="00D275DF" w:rsidRDefault="0064066B" w:rsidP="00B76AD4">
            <w:pPr>
              <w:jc w:val="right"/>
              <w:rPr>
                <w:color w:val="000000"/>
                <w:sz w:val="14"/>
                <w:szCs w:val="14"/>
              </w:rPr>
            </w:pPr>
            <w:r w:rsidRPr="00D275DF">
              <w:rPr>
                <w:color w:val="000000"/>
                <w:sz w:val="14"/>
                <w:szCs w:val="14"/>
              </w:rPr>
              <w:t>964.443</w:t>
            </w:r>
          </w:p>
        </w:tc>
        <w:tc>
          <w:tcPr>
            <w:tcW w:w="771" w:type="dxa"/>
            <w:tcBorders>
              <w:top w:val="nil"/>
              <w:left w:val="single" w:sz="4" w:space="0" w:color="auto"/>
              <w:bottom w:val="nil"/>
              <w:right w:val="nil"/>
            </w:tcBorders>
            <w:shd w:val="clear" w:color="000000" w:fill="FFFFFF"/>
            <w:vAlign w:val="bottom"/>
            <w:hideMark/>
          </w:tcPr>
          <w:p w14:paraId="4B60008D" w14:textId="77777777" w:rsidR="0064066B" w:rsidRPr="00D275DF" w:rsidRDefault="0064066B" w:rsidP="00B76AD4">
            <w:pPr>
              <w:jc w:val="right"/>
              <w:rPr>
                <w:color w:val="000000"/>
                <w:sz w:val="14"/>
                <w:szCs w:val="14"/>
              </w:rPr>
            </w:pPr>
            <w:r w:rsidRPr="00D275DF">
              <w:rPr>
                <w:color w:val="000000"/>
                <w:sz w:val="14"/>
                <w:szCs w:val="14"/>
              </w:rPr>
              <w:t>-</w:t>
            </w:r>
          </w:p>
        </w:tc>
        <w:tc>
          <w:tcPr>
            <w:tcW w:w="850" w:type="dxa"/>
            <w:tcBorders>
              <w:top w:val="nil"/>
              <w:left w:val="single" w:sz="4" w:space="0" w:color="auto"/>
              <w:bottom w:val="nil"/>
              <w:right w:val="single" w:sz="4" w:space="0" w:color="auto"/>
            </w:tcBorders>
            <w:shd w:val="clear" w:color="000000" w:fill="FFFFFF"/>
            <w:vAlign w:val="bottom"/>
            <w:hideMark/>
          </w:tcPr>
          <w:p w14:paraId="3D020C5F" w14:textId="77777777" w:rsidR="0064066B" w:rsidRPr="00D275DF" w:rsidRDefault="0064066B" w:rsidP="00B76AD4">
            <w:pPr>
              <w:jc w:val="right"/>
              <w:rPr>
                <w:color w:val="000000"/>
                <w:sz w:val="14"/>
                <w:szCs w:val="14"/>
              </w:rPr>
            </w:pPr>
            <w:r w:rsidRPr="00D275DF">
              <w:rPr>
                <w:color w:val="000000"/>
                <w:sz w:val="14"/>
                <w:szCs w:val="14"/>
              </w:rPr>
              <w:t>964.443</w:t>
            </w:r>
          </w:p>
        </w:tc>
      </w:tr>
      <w:tr w:rsidR="0064066B" w:rsidRPr="00AC1668" w14:paraId="170FBD28" w14:textId="77777777" w:rsidTr="00234709">
        <w:trPr>
          <w:trHeight w:val="113"/>
        </w:trPr>
        <w:tc>
          <w:tcPr>
            <w:tcW w:w="566" w:type="dxa"/>
            <w:tcBorders>
              <w:top w:val="nil"/>
              <w:left w:val="single" w:sz="4" w:space="0" w:color="auto"/>
              <w:bottom w:val="nil"/>
              <w:right w:val="nil"/>
            </w:tcBorders>
            <w:noWrap/>
            <w:hideMark/>
          </w:tcPr>
          <w:p w14:paraId="5537092E" w14:textId="77777777" w:rsidR="0064066B" w:rsidRPr="00AC1668" w:rsidRDefault="0064066B" w:rsidP="00B76AD4">
            <w:pPr>
              <w:rPr>
                <w:sz w:val="14"/>
                <w:szCs w:val="14"/>
              </w:rPr>
            </w:pPr>
            <w:r w:rsidRPr="00AC1668">
              <w:rPr>
                <w:sz w:val="14"/>
                <w:szCs w:val="14"/>
              </w:rPr>
              <w:t>1.3.2</w:t>
            </w:r>
          </w:p>
        </w:tc>
        <w:tc>
          <w:tcPr>
            <w:tcW w:w="6517" w:type="dxa"/>
            <w:tcBorders>
              <w:top w:val="nil"/>
              <w:left w:val="nil"/>
              <w:bottom w:val="nil"/>
              <w:right w:val="single" w:sz="4" w:space="0" w:color="auto"/>
            </w:tcBorders>
            <w:hideMark/>
          </w:tcPr>
          <w:p w14:paraId="3B6801C1" w14:textId="77777777" w:rsidR="0064066B" w:rsidRPr="00AC1668" w:rsidRDefault="0064066B" w:rsidP="00B76AD4">
            <w:pPr>
              <w:rPr>
                <w:sz w:val="14"/>
                <w:szCs w:val="14"/>
              </w:rPr>
            </w:pPr>
            <w:r w:rsidRPr="00AC1668">
              <w:rPr>
                <w:sz w:val="14"/>
                <w:szCs w:val="14"/>
              </w:rPr>
              <w:t>Sermayede Payı Temsil Eden Menkul Değerler</w:t>
            </w:r>
          </w:p>
        </w:tc>
        <w:tc>
          <w:tcPr>
            <w:tcW w:w="709" w:type="dxa"/>
            <w:tcBorders>
              <w:top w:val="nil"/>
              <w:left w:val="nil"/>
              <w:bottom w:val="nil"/>
              <w:right w:val="nil"/>
            </w:tcBorders>
            <w:noWrap/>
            <w:vAlign w:val="bottom"/>
            <w:hideMark/>
          </w:tcPr>
          <w:p w14:paraId="20180D00" w14:textId="77777777" w:rsidR="0064066B" w:rsidRPr="00811132" w:rsidRDefault="0064066B" w:rsidP="00B76AD4">
            <w:pPr>
              <w:jc w:val="center"/>
              <w:rPr>
                <w:b/>
                <w:bCs/>
                <w:color w:val="000000"/>
                <w:sz w:val="16"/>
                <w:szCs w:val="16"/>
                <w:lang w:eastAsia="tr-TR"/>
              </w:rPr>
            </w:pPr>
            <w:r w:rsidRPr="00811132">
              <w:rPr>
                <w:b/>
                <w:bCs/>
                <w:color w:val="000000"/>
                <w:sz w:val="14"/>
                <w:szCs w:val="14"/>
                <w:lang w:eastAsia="tr-TR"/>
              </w:rPr>
              <w:t> </w:t>
            </w:r>
          </w:p>
        </w:tc>
        <w:tc>
          <w:tcPr>
            <w:tcW w:w="770" w:type="dxa"/>
            <w:tcBorders>
              <w:top w:val="nil"/>
              <w:left w:val="single" w:sz="4" w:space="0" w:color="auto"/>
              <w:bottom w:val="nil"/>
              <w:right w:val="nil"/>
            </w:tcBorders>
            <w:shd w:val="clear" w:color="000000" w:fill="FFFFFF"/>
            <w:vAlign w:val="bottom"/>
            <w:hideMark/>
          </w:tcPr>
          <w:p w14:paraId="2C8284DD" w14:textId="77777777" w:rsidR="0064066B" w:rsidRPr="00D275DF" w:rsidRDefault="0064066B" w:rsidP="00B76AD4">
            <w:pPr>
              <w:jc w:val="right"/>
              <w:rPr>
                <w:color w:val="000000"/>
                <w:sz w:val="14"/>
                <w:szCs w:val="14"/>
              </w:rPr>
            </w:pPr>
            <w:r w:rsidRPr="00D275DF">
              <w:rPr>
                <w:color w:val="000000"/>
                <w:sz w:val="14"/>
                <w:szCs w:val="14"/>
              </w:rPr>
              <w:t>-</w:t>
            </w:r>
          </w:p>
        </w:tc>
        <w:tc>
          <w:tcPr>
            <w:tcW w:w="771" w:type="dxa"/>
            <w:tcBorders>
              <w:top w:val="nil"/>
              <w:left w:val="single" w:sz="4" w:space="0" w:color="auto"/>
              <w:bottom w:val="nil"/>
              <w:right w:val="nil"/>
            </w:tcBorders>
            <w:shd w:val="clear" w:color="000000" w:fill="FFFFFF"/>
            <w:vAlign w:val="bottom"/>
            <w:hideMark/>
          </w:tcPr>
          <w:p w14:paraId="262FCD2E" w14:textId="77777777" w:rsidR="0064066B" w:rsidRPr="00D275DF" w:rsidRDefault="0064066B" w:rsidP="00B76AD4">
            <w:pPr>
              <w:jc w:val="right"/>
              <w:rPr>
                <w:color w:val="000000"/>
                <w:sz w:val="14"/>
                <w:szCs w:val="14"/>
              </w:rPr>
            </w:pPr>
            <w:r w:rsidRPr="00D275DF">
              <w:rPr>
                <w:color w:val="000000"/>
                <w:sz w:val="14"/>
                <w:szCs w:val="14"/>
              </w:rPr>
              <w:t>-</w:t>
            </w:r>
          </w:p>
        </w:tc>
        <w:tc>
          <w:tcPr>
            <w:tcW w:w="850" w:type="dxa"/>
            <w:tcBorders>
              <w:top w:val="nil"/>
              <w:left w:val="single" w:sz="4" w:space="0" w:color="auto"/>
              <w:bottom w:val="nil"/>
              <w:right w:val="single" w:sz="4" w:space="0" w:color="auto"/>
            </w:tcBorders>
            <w:shd w:val="clear" w:color="000000" w:fill="FFFFFF"/>
            <w:vAlign w:val="bottom"/>
            <w:hideMark/>
          </w:tcPr>
          <w:p w14:paraId="12DF2EB6" w14:textId="77777777" w:rsidR="0064066B" w:rsidRPr="00D275DF" w:rsidRDefault="0064066B" w:rsidP="00B76AD4">
            <w:pPr>
              <w:jc w:val="right"/>
              <w:rPr>
                <w:color w:val="000000"/>
                <w:sz w:val="14"/>
                <w:szCs w:val="14"/>
              </w:rPr>
            </w:pPr>
            <w:r w:rsidRPr="00D275DF">
              <w:rPr>
                <w:color w:val="000000"/>
                <w:sz w:val="14"/>
                <w:szCs w:val="14"/>
              </w:rPr>
              <w:t>-</w:t>
            </w:r>
          </w:p>
        </w:tc>
      </w:tr>
      <w:tr w:rsidR="0064066B" w:rsidRPr="00AC1668" w14:paraId="2EEF1A3B" w14:textId="77777777" w:rsidTr="00234709">
        <w:trPr>
          <w:trHeight w:val="113"/>
        </w:trPr>
        <w:tc>
          <w:tcPr>
            <w:tcW w:w="566" w:type="dxa"/>
            <w:tcBorders>
              <w:top w:val="nil"/>
              <w:left w:val="single" w:sz="4" w:space="0" w:color="auto"/>
              <w:bottom w:val="nil"/>
              <w:right w:val="nil"/>
            </w:tcBorders>
            <w:noWrap/>
            <w:hideMark/>
          </w:tcPr>
          <w:p w14:paraId="51D8747B" w14:textId="77777777" w:rsidR="0064066B" w:rsidRPr="00AC1668" w:rsidRDefault="0064066B" w:rsidP="00B76AD4">
            <w:pPr>
              <w:rPr>
                <w:sz w:val="14"/>
                <w:szCs w:val="14"/>
              </w:rPr>
            </w:pPr>
            <w:r w:rsidRPr="00AC1668">
              <w:rPr>
                <w:sz w:val="14"/>
                <w:szCs w:val="14"/>
              </w:rPr>
              <w:t>1.3.3</w:t>
            </w:r>
          </w:p>
        </w:tc>
        <w:tc>
          <w:tcPr>
            <w:tcW w:w="6517" w:type="dxa"/>
            <w:tcBorders>
              <w:top w:val="nil"/>
              <w:left w:val="nil"/>
              <w:bottom w:val="nil"/>
              <w:right w:val="single" w:sz="4" w:space="0" w:color="auto"/>
            </w:tcBorders>
            <w:hideMark/>
          </w:tcPr>
          <w:p w14:paraId="77F9816D" w14:textId="77777777" w:rsidR="0064066B" w:rsidRPr="00AC1668" w:rsidRDefault="0064066B" w:rsidP="00B76AD4">
            <w:pPr>
              <w:rPr>
                <w:sz w:val="14"/>
                <w:szCs w:val="14"/>
              </w:rPr>
            </w:pPr>
            <w:r w:rsidRPr="00AC1668">
              <w:rPr>
                <w:sz w:val="14"/>
                <w:szCs w:val="14"/>
              </w:rPr>
              <w:t>Diğer Finansal Varlıklar</w:t>
            </w:r>
          </w:p>
        </w:tc>
        <w:tc>
          <w:tcPr>
            <w:tcW w:w="709" w:type="dxa"/>
            <w:tcBorders>
              <w:top w:val="nil"/>
              <w:left w:val="nil"/>
              <w:bottom w:val="nil"/>
              <w:right w:val="nil"/>
            </w:tcBorders>
            <w:noWrap/>
            <w:vAlign w:val="bottom"/>
            <w:hideMark/>
          </w:tcPr>
          <w:p w14:paraId="39E71E45" w14:textId="77777777" w:rsidR="0064066B" w:rsidRPr="00811132" w:rsidRDefault="0064066B" w:rsidP="00B76AD4">
            <w:pPr>
              <w:jc w:val="center"/>
              <w:rPr>
                <w:b/>
                <w:bCs/>
                <w:color w:val="000000"/>
                <w:sz w:val="16"/>
                <w:szCs w:val="16"/>
                <w:lang w:eastAsia="tr-TR"/>
              </w:rPr>
            </w:pPr>
            <w:r w:rsidRPr="00811132">
              <w:rPr>
                <w:color w:val="000000"/>
                <w:sz w:val="14"/>
                <w:szCs w:val="14"/>
                <w:lang w:eastAsia="tr-TR"/>
              </w:rPr>
              <w:t> </w:t>
            </w:r>
          </w:p>
        </w:tc>
        <w:tc>
          <w:tcPr>
            <w:tcW w:w="770" w:type="dxa"/>
            <w:tcBorders>
              <w:top w:val="nil"/>
              <w:left w:val="single" w:sz="4" w:space="0" w:color="auto"/>
              <w:bottom w:val="nil"/>
              <w:right w:val="nil"/>
            </w:tcBorders>
            <w:shd w:val="clear" w:color="000000" w:fill="FFFFFF"/>
            <w:vAlign w:val="bottom"/>
            <w:hideMark/>
          </w:tcPr>
          <w:p w14:paraId="4ECB1029" w14:textId="77777777" w:rsidR="0064066B" w:rsidRPr="00D275DF" w:rsidRDefault="0064066B" w:rsidP="00B76AD4">
            <w:pPr>
              <w:jc w:val="right"/>
              <w:rPr>
                <w:color w:val="000000"/>
                <w:sz w:val="14"/>
                <w:szCs w:val="14"/>
              </w:rPr>
            </w:pPr>
            <w:r w:rsidRPr="00D275DF">
              <w:rPr>
                <w:color w:val="000000"/>
                <w:sz w:val="14"/>
                <w:szCs w:val="14"/>
              </w:rPr>
              <w:t>-</w:t>
            </w:r>
          </w:p>
        </w:tc>
        <w:tc>
          <w:tcPr>
            <w:tcW w:w="771" w:type="dxa"/>
            <w:tcBorders>
              <w:top w:val="nil"/>
              <w:left w:val="single" w:sz="4" w:space="0" w:color="auto"/>
              <w:bottom w:val="nil"/>
              <w:right w:val="nil"/>
            </w:tcBorders>
            <w:shd w:val="clear" w:color="000000" w:fill="FFFFFF"/>
            <w:vAlign w:val="bottom"/>
            <w:hideMark/>
          </w:tcPr>
          <w:p w14:paraId="5F37C3F1" w14:textId="77777777" w:rsidR="0064066B" w:rsidRPr="00D275DF" w:rsidRDefault="0064066B" w:rsidP="00B76AD4">
            <w:pPr>
              <w:jc w:val="right"/>
              <w:rPr>
                <w:color w:val="000000"/>
                <w:sz w:val="14"/>
                <w:szCs w:val="14"/>
              </w:rPr>
            </w:pPr>
            <w:r w:rsidRPr="00D275DF">
              <w:rPr>
                <w:color w:val="000000"/>
                <w:sz w:val="14"/>
                <w:szCs w:val="14"/>
              </w:rPr>
              <w:t>-</w:t>
            </w:r>
          </w:p>
        </w:tc>
        <w:tc>
          <w:tcPr>
            <w:tcW w:w="850" w:type="dxa"/>
            <w:tcBorders>
              <w:top w:val="nil"/>
              <w:left w:val="single" w:sz="4" w:space="0" w:color="auto"/>
              <w:bottom w:val="nil"/>
              <w:right w:val="single" w:sz="4" w:space="0" w:color="auto"/>
            </w:tcBorders>
            <w:shd w:val="clear" w:color="000000" w:fill="FFFFFF"/>
            <w:vAlign w:val="bottom"/>
            <w:hideMark/>
          </w:tcPr>
          <w:p w14:paraId="7964E697" w14:textId="77777777" w:rsidR="0064066B" w:rsidRPr="00D275DF" w:rsidRDefault="0064066B" w:rsidP="00B76AD4">
            <w:pPr>
              <w:jc w:val="right"/>
              <w:rPr>
                <w:color w:val="000000"/>
                <w:sz w:val="14"/>
                <w:szCs w:val="14"/>
              </w:rPr>
            </w:pPr>
            <w:r w:rsidRPr="00D275DF">
              <w:rPr>
                <w:color w:val="000000"/>
                <w:sz w:val="14"/>
                <w:szCs w:val="14"/>
              </w:rPr>
              <w:t>-</w:t>
            </w:r>
          </w:p>
        </w:tc>
      </w:tr>
      <w:tr w:rsidR="0064066B" w:rsidRPr="00AC1668" w14:paraId="25E4FCD2" w14:textId="77777777" w:rsidTr="00234709">
        <w:trPr>
          <w:trHeight w:val="113"/>
        </w:trPr>
        <w:tc>
          <w:tcPr>
            <w:tcW w:w="566" w:type="dxa"/>
            <w:tcBorders>
              <w:top w:val="nil"/>
              <w:left w:val="single" w:sz="4" w:space="0" w:color="auto"/>
              <w:bottom w:val="nil"/>
              <w:right w:val="nil"/>
            </w:tcBorders>
            <w:noWrap/>
            <w:hideMark/>
          </w:tcPr>
          <w:p w14:paraId="25CE0827" w14:textId="77777777" w:rsidR="0064066B" w:rsidRPr="00AC1668" w:rsidRDefault="0064066B" w:rsidP="00B76AD4">
            <w:pPr>
              <w:rPr>
                <w:b/>
                <w:bCs/>
                <w:sz w:val="14"/>
                <w:szCs w:val="14"/>
              </w:rPr>
            </w:pPr>
            <w:r w:rsidRPr="00AC1668">
              <w:rPr>
                <w:b/>
                <w:bCs/>
                <w:sz w:val="14"/>
                <w:szCs w:val="14"/>
              </w:rPr>
              <w:t>1.4</w:t>
            </w:r>
          </w:p>
        </w:tc>
        <w:tc>
          <w:tcPr>
            <w:tcW w:w="6517" w:type="dxa"/>
            <w:tcBorders>
              <w:top w:val="nil"/>
              <w:left w:val="nil"/>
              <w:bottom w:val="nil"/>
              <w:right w:val="single" w:sz="4" w:space="0" w:color="auto"/>
            </w:tcBorders>
            <w:hideMark/>
          </w:tcPr>
          <w:p w14:paraId="6C1B74EA" w14:textId="77777777" w:rsidR="0064066B" w:rsidRPr="00AC1668" w:rsidRDefault="0064066B" w:rsidP="00B76AD4">
            <w:pPr>
              <w:rPr>
                <w:b/>
                <w:bCs/>
                <w:sz w:val="14"/>
                <w:szCs w:val="14"/>
              </w:rPr>
            </w:pPr>
            <w:r w:rsidRPr="00AC1668">
              <w:rPr>
                <w:b/>
                <w:bCs/>
                <w:sz w:val="14"/>
                <w:szCs w:val="14"/>
              </w:rPr>
              <w:t>Türev Finansal Varlıklar</w:t>
            </w:r>
          </w:p>
        </w:tc>
        <w:tc>
          <w:tcPr>
            <w:tcW w:w="709" w:type="dxa"/>
            <w:tcBorders>
              <w:top w:val="nil"/>
              <w:left w:val="nil"/>
              <w:bottom w:val="nil"/>
              <w:right w:val="nil"/>
            </w:tcBorders>
            <w:noWrap/>
            <w:vAlign w:val="bottom"/>
            <w:hideMark/>
          </w:tcPr>
          <w:p w14:paraId="74613069" w14:textId="77777777" w:rsidR="0064066B" w:rsidRPr="00811132" w:rsidRDefault="0064066B" w:rsidP="00B76AD4">
            <w:pPr>
              <w:jc w:val="center"/>
              <w:rPr>
                <w:b/>
                <w:bCs/>
                <w:color w:val="000000"/>
                <w:sz w:val="14"/>
                <w:szCs w:val="14"/>
              </w:rPr>
            </w:pPr>
            <w:r w:rsidRPr="00811132">
              <w:rPr>
                <w:b/>
                <w:bCs/>
                <w:color w:val="000000"/>
                <w:sz w:val="14"/>
                <w:szCs w:val="14"/>
              </w:rPr>
              <w:t>(5)</w:t>
            </w:r>
          </w:p>
        </w:tc>
        <w:tc>
          <w:tcPr>
            <w:tcW w:w="770" w:type="dxa"/>
            <w:tcBorders>
              <w:top w:val="nil"/>
              <w:left w:val="single" w:sz="4" w:space="0" w:color="auto"/>
              <w:bottom w:val="nil"/>
              <w:right w:val="nil"/>
            </w:tcBorders>
            <w:shd w:val="clear" w:color="000000" w:fill="FFFFFF"/>
            <w:vAlign w:val="bottom"/>
            <w:hideMark/>
          </w:tcPr>
          <w:p w14:paraId="5B365C43" w14:textId="77777777" w:rsidR="0064066B" w:rsidRPr="00D275DF" w:rsidRDefault="0064066B" w:rsidP="00B76AD4">
            <w:pPr>
              <w:jc w:val="right"/>
              <w:rPr>
                <w:b/>
                <w:bCs/>
                <w:color w:val="000000"/>
                <w:sz w:val="14"/>
                <w:szCs w:val="14"/>
              </w:rPr>
            </w:pPr>
            <w:r w:rsidRPr="00D275DF">
              <w:rPr>
                <w:b/>
                <w:bCs/>
                <w:color w:val="000000"/>
                <w:sz w:val="14"/>
                <w:szCs w:val="14"/>
              </w:rPr>
              <w:t>5.739</w:t>
            </w:r>
          </w:p>
        </w:tc>
        <w:tc>
          <w:tcPr>
            <w:tcW w:w="771" w:type="dxa"/>
            <w:tcBorders>
              <w:top w:val="nil"/>
              <w:left w:val="single" w:sz="4" w:space="0" w:color="auto"/>
              <w:bottom w:val="nil"/>
              <w:right w:val="nil"/>
            </w:tcBorders>
            <w:shd w:val="clear" w:color="000000" w:fill="FFFFFF"/>
            <w:vAlign w:val="bottom"/>
            <w:hideMark/>
          </w:tcPr>
          <w:p w14:paraId="4F7E4D8E" w14:textId="77777777" w:rsidR="0064066B" w:rsidRPr="00D275DF" w:rsidRDefault="0064066B" w:rsidP="00B76AD4">
            <w:pPr>
              <w:jc w:val="right"/>
              <w:rPr>
                <w:b/>
                <w:bCs/>
                <w:color w:val="000000"/>
                <w:sz w:val="14"/>
                <w:szCs w:val="14"/>
              </w:rPr>
            </w:pPr>
            <w:r w:rsidRPr="00D275DF">
              <w:rPr>
                <w:b/>
                <w:bCs/>
                <w:color w:val="000000"/>
                <w:sz w:val="14"/>
                <w:szCs w:val="14"/>
              </w:rPr>
              <w:t>16.535</w:t>
            </w:r>
          </w:p>
        </w:tc>
        <w:tc>
          <w:tcPr>
            <w:tcW w:w="850" w:type="dxa"/>
            <w:tcBorders>
              <w:top w:val="nil"/>
              <w:left w:val="single" w:sz="4" w:space="0" w:color="auto"/>
              <w:bottom w:val="nil"/>
              <w:right w:val="single" w:sz="4" w:space="0" w:color="auto"/>
            </w:tcBorders>
            <w:shd w:val="clear" w:color="000000" w:fill="FFFFFF"/>
            <w:vAlign w:val="bottom"/>
            <w:hideMark/>
          </w:tcPr>
          <w:p w14:paraId="3B722AE9" w14:textId="77777777" w:rsidR="0064066B" w:rsidRPr="00D275DF" w:rsidRDefault="0064066B" w:rsidP="00B76AD4">
            <w:pPr>
              <w:jc w:val="right"/>
              <w:rPr>
                <w:b/>
                <w:bCs/>
                <w:color w:val="000000"/>
                <w:sz w:val="14"/>
                <w:szCs w:val="14"/>
              </w:rPr>
            </w:pPr>
            <w:r w:rsidRPr="00D275DF">
              <w:rPr>
                <w:b/>
                <w:bCs/>
                <w:color w:val="000000"/>
                <w:sz w:val="14"/>
                <w:szCs w:val="14"/>
              </w:rPr>
              <w:t>22.274</w:t>
            </w:r>
          </w:p>
        </w:tc>
      </w:tr>
      <w:tr w:rsidR="0064066B" w:rsidRPr="00AC1668" w14:paraId="1A4753B8" w14:textId="77777777" w:rsidTr="00234709">
        <w:trPr>
          <w:trHeight w:val="113"/>
        </w:trPr>
        <w:tc>
          <w:tcPr>
            <w:tcW w:w="566" w:type="dxa"/>
            <w:tcBorders>
              <w:top w:val="nil"/>
              <w:left w:val="single" w:sz="4" w:space="0" w:color="auto"/>
              <w:bottom w:val="nil"/>
              <w:right w:val="nil"/>
            </w:tcBorders>
            <w:noWrap/>
            <w:hideMark/>
          </w:tcPr>
          <w:p w14:paraId="5CC3C566" w14:textId="77777777" w:rsidR="0064066B" w:rsidRPr="00AC1668" w:rsidRDefault="0064066B" w:rsidP="00B76AD4">
            <w:pPr>
              <w:rPr>
                <w:sz w:val="14"/>
                <w:szCs w:val="14"/>
              </w:rPr>
            </w:pPr>
            <w:r w:rsidRPr="00AC1668">
              <w:rPr>
                <w:sz w:val="14"/>
                <w:szCs w:val="14"/>
              </w:rPr>
              <w:t>1.4.1</w:t>
            </w:r>
          </w:p>
        </w:tc>
        <w:tc>
          <w:tcPr>
            <w:tcW w:w="6517" w:type="dxa"/>
            <w:tcBorders>
              <w:top w:val="nil"/>
              <w:left w:val="nil"/>
              <w:bottom w:val="nil"/>
              <w:right w:val="single" w:sz="4" w:space="0" w:color="auto"/>
            </w:tcBorders>
            <w:hideMark/>
          </w:tcPr>
          <w:p w14:paraId="5D78D456" w14:textId="77777777" w:rsidR="0064066B" w:rsidRPr="00AC1668" w:rsidRDefault="0064066B" w:rsidP="00B76AD4">
            <w:pPr>
              <w:rPr>
                <w:sz w:val="14"/>
                <w:szCs w:val="14"/>
              </w:rPr>
            </w:pPr>
            <w:r w:rsidRPr="00AC1668">
              <w:rPr>
                <w:sz w:val="14"/>
                <w:szCs w:val="14"/>
              </w:rPr>
              <w:t>Türev Finansal Varlıkların Gerçeğe Uygun Değer Farkı Kar Zarara Yansıtılan Kısmı</w:t>
            </w:r>
          </w:p>
        </w:tc>
        <w:tc>
          <w:tcPr>
            <w:tcW w:w="709" w:type="dxa"/>
            <w:tcBorders>
              <w:top w:val="nil"/>
              <w:left w:val="nil"/>
              <w:bottom w:val="nil"/>
              <w:right w:val="nil"/>
            </w:tcBorders>
            <w:noWrap/>
            <w:vAlign w:val="bottom"/>
            <w:hideMark/>
          </w:tcPr>
          <w:p w14:paraId="7F76D1DD" w14:textId="77777777" w:rsidR="0064066B" w:rsidRPr="00811132" w:rsidRDefault="0064066B" w:rsidP="00B76AD4">
            <w:pPr>
              <w:jc w:val="center"/>
              <w:rPr>
                <w:b/>
                <w:bCs/>
                <w:color w:val="000000"/>
                <w:sz w:val="16"/>
                <w:szCs w:val="16"/>
                <w:lang w:eastAsia="tr-TR"/>
              </w:rPr>
            </w:pPr>
            <w:r w:rsidRPr="00811132">
              <w:rPr>
                <w:b/>
                <w:bCs/>
                <w:color w:val="000000"/>
                <w:sz w:val="14"/>
                <w:szCs w:val="14"/>
                <w:lang w:eastAsia="tr-TR"/>
              </w:rPr>
              <w:t> </w:t>
            </w:r>
          </w:p>
        </w:tc>
        <w:tc>
          <w:tcPr>
            <w:tcW w:w="770" w:type="dxa"/>
            <w:tcBorders>
              <w:top w:val="nil"/>
              <w:left w:val="single" w:sz="4" w:space="0" w:color="auto"/>
              <w:bottom w:val="nil"/>
              <w:right w:val="nil"/>
            </w:tcBorders>
            <w:shd w:val="clear" w:color="000000" w:fill="FFFFFF"/>
            <w:vAlign w:val="bottom"/>
            <w:hideMark/>
          </w:tcPr>
          <w:p w14:paraId="4660AA47" w14:textId="77777777" w:rsidR="0064066B" w:rsidRPr="00D275DF" w:rsidRDefault="0064066B" w:rsidP="00B76AD4">
            <w:pPr>
              <w:jc w:val="right"/>
              <w:rPr>
                <w:color w:val="000000"/>
                <w:sz w:val="14"/>
                <w:szCs w:val="14"/>
              </w:rPr>
            </w:pPr>
            <w:r w:rsidRPr="00D275DF">
              <w:rPr>
                <w:color w:val="000000"/>
                <w:sz w:val="14"/>
                <w:szCs w:val="14"/>
              </w:rPr>
              <w:t>5.739</w:t>
            </w:r>
          </w:p>
        </w:tc>
        <w:tc>
          <w:tcPr>
            <w:tcW w:w="771" w:type="dxa"/>
            <w:tcBorders>
              <w:top w:val="nil"/>
              <w:left w:val="single" w:sz="4" w:space="0" w:color="auto"/>
              <w:bottom w:val="nil"/>
              <w:right w:val="nil"/>
            </w:tcBorders>
            <w:shd w:val="clear" w:color="000000" w:fill="FFFFFF"/>
            <w:vAlign w:val="bottom"/>
            <w:hideMark/>
          </w:tcPr>
          <w:p w14:paraId="05714CE6" w14:textId="77777777" w:rsidR="0064066B" w:rsidRPr="00D275DF" w:rsidRDefault="0064066B" w:rsidP="00B76AD4">
            <w:pPr>
              <w:jc w:val="right"/>
              <w:rPr>
                <w:color w:val="000000"/>
                <w:sz w:val="14"/>
                <w:szCs w:val="14"/>
              </w:rPr>
            </w:pPr>
            <w:r w:rsidRPr="00D275DF">
              <w:rPr>
                <w:color w:val="000000"/>
                <w:sz w:val="14"/>
                <w:szCs w:val="14"/>
              </w:rPr>
              <w:t>16.535</w:t>
            </w:r>
          </w:p>
        </w:tc>
        <w:tc>
          <w:tcPr>
            <w:tcW w:w="850" w:type="dxa"/>
            <w:tcBorders>
              <w:top w:val="nil"/>
              <w:left w:val="single" w:sz="4" w:space="0" w:color="auto"/>
              <w:bottom w:val="nil"/>
              <w:right w:val="single" w:sz="4" w:space="0" w:color="auto"/>
            </w:tcBorders>
            <w:shd w:val="clear" w:color="000000" w:fill="FFFFFF"/>
            <w:vAlign w:val="bottom"/>
            <w:hideMark/>
          </w:tcPr>
          <w:p w14:paraId="669FC4A1" w14:textId="77777777" w:rsidR="0064066B" w:rsidRPr="00D275DF" w:rsidRDefault="0064066B" w:rsidP="00B76AD4">
            <w:pPr>
              <w:jc w:val="right"/>
              <w:rPr>
                <w:color w:val="000000"/>
                <w:sz w:val="14"/>
                <w:szCs w:val="14"/>
              </w:rPr>
            </w:pPr>
            <w:r w:rsidRPr="00D275DF">
              <w:rPr>
                <w:color w:val="000000"/>
                <w:sz w:val="14"/>
                <w:szCs w:val="14"/>
              </w:rPr>
              <w:t>22.274</w:t>
            </w:r>
          </w:p>
        </w:tc>
      </w:tr>
      <w:tr w:rsidR="0064066B" w:rsidRPr="00AC1668" w14:paraId="7B349F6A" w14:textId="77777777" w:rsidTr="00234709">
        <w:trPr>
          <w:trHeight w:val="113"/>
        </w:trPr>
        <w:tc>
          <w:tcPr>
            <w:tcW w:w="566" w:type="dxa"/>
            <w:tcBorders>
              <w:top w:val="nil"/>
              <w:left w:val="single" w:sz="4" w:space="0" w:color="auto"/>
              <w:bottom w:val="nil"/>
              <w:right w:val="nil"/>
            </w:tcBorders>
            <w:noWrap/>
            <w:hideMark/>
          </w:tcPr>
          <w:p w14:paraId="3D637DA8" w14:textId="77777777" w:rsidR="0064066B" w:rsidRPr="00AC1668" w:rsidRDefault="0064066B" w:rsidP="00B76AD4">
            <w:pPr>
              <w:rPr>
                <w:sz w:val="14"/>
                <w:szCs w:val="14"/>
              </w:rPr>
            </w:pPr>
            <w:r w:rsidRPr="00AC1668">
              <w:rPr>
                <w:sz w:val="14"/>
                <w:szCs w:val="14"/>
              </w:rPr>
              <w:t>1.4.2</w:t>
            </w:r>
          </w:p>
        </w:tc>
        <w:tc>
          <w:tcPr>
            <w:tcW w:w="6517" w:type="dxa"/>
            <w:tcBorders>
              <w:top w:val="nil"/>
              <w:left w:val="nil"/>
              <w:bottom w:val="nil"/>
              <w:right w:val="single" w:sz="4" w:space="0" w:color="auto"/>
            </w:tcBorders>
            <w:hideMark/>
          </w:tcPr>
          <w:p w14:paraId="2CD85845" w14:textId="77777777" w:rsidR="0064066B" w:rsidRPr="00AC1668" w:rsidRDefault="0064066B" w:rsidP="00B76AD4">
            <w:pPr>
              <w:rPr>
                <w:sz w:val="14"/>
                <w:szCs w:val="14"/>
              </w:rPr>
            </w:pPr>
            <w:r w:rsidRPr="00AC1668">
              <w:rPr>
                <w:sz w:val="14"/>
                <w:szCs w:val="14"/>
              </w:rPr>
              <w:t>Türev Finansal Varlıkların Gerçeğe Uygun Değer Farkı Diğer Kapsamlı Gelire Yansıtılan Kısmı</w:t>
            </w:r>
          </w:p>
        </w:tc>
        <w:tc>
          <w:tcPr>
            <w:tcW w:w="709" w:type="dxa"/>
            <w:tcBorders>
              <w:top w:val="nil"/>
              <w:left w:val="nil"/>
              <w:bottom w:val="nil"/>
              <w:right w:val="nil"/>
            </w:tcBorders>
            <w:noWrap/>
            <w:vAlign w:val="bottom"/>
            <w:hideMark/>
          </w:tcPr>
          <w:p w14:paraId="02BF186D" w14:textId="77777777" w:rsidR="0064066B" w:rsidRPr="00811132" w:rsidRDefault="0064066B" w:rsidP="00B76AD4">
            <w:pPr>
              <w:jc w:val="center"/>
              <w:rPr>
                <w:b/>
                <w:bCs/>
                <w:color w:val="000000"/>
                <w:sz w:val="16"/>
                <w:szCs w:val="16"/>
                <w:lang w:eastAsia="tr-TR"/>
              </w:rPr>
            </w:pPr>
            <w:r w:rsidRPr="00811132">
              <w:rPr>
                <w:b/>
                <w:bCs/>
                <w:color w:val="000000"/>
                <w:sz w:val="14"/>
                <w:szCs w:val="14"/>
                <w:lang w:eastAsia="tr-TR"/>
              </w:rPr>
              <w:t> </w:t>
            </w:r>
          </w:p>
        </w:tc>
        <w:tc>
          <w:tcPr>
            <w:tcW w:w="770" w:type="dxa"/>
            <w:tcBorders>
              <w:top w:val="nil"/>
              <w:left w:val="single" w:sz="4" w:space="0" w:color="auto"/>
              <w:bottom w:val="nil"/>
              <w:right w:val="nil"/>
            </w:tcBorders>
            <w:shd w:val="clear" w:color="000000" w:fill="FFFFFF"/>
            <w:vAlign w:val="bottom"/>
            <w:hideMark/>
          </w:tcPr>
          <w:p w14:paraId="6A136F38" w14:textId="77777777" w:rsidR="0064066B" w:rsidRPr="00D275DF" w:rsidRDefault="0064066B" w:rsidP="00B76AD4">
            <w:pPr>
              <w:jc w:val="right"/>
              <w:rPr>
                <w:color w:val="000000"/>
                <w:sz w:val="14"/>
                <w:szCs w:val="14"/>
              </w:rPr>
            </w:pPr>
            <w:r w:rsidRPr="00D275DF">
              <w:rPr>
                <w:color w:val="000000"/>
                <w:sz w:val="14"/>
                <w:szCs w:val="14"/>
              </w:rPr>
              <w:t>-</w:t>
            </w:r>
          </w:p>
        </w:tc>
        <w:tc>
          <w:tcPr>
            <w:tcW w:w="771" w:type="dxa"/>
            <w:tcBorders>
              <w:top w:val="nil"/>
              <w:left w:val="single" w:sz="4" w:space="0" w:color="auto"/>
              <w:bottom w:val="nil"/>
              <w:right w:val="nil"/>
            </w:tcBorders>
            <w:shd w:val="clear" w:color="000000" w:fill="FFFFFF"/>
            <w:vAlign w:val="bottom"/>
            <w:hideMark/>
          </w:tcPr>
          <w:p w14:paraId="069EB0F5" w14:textId="77777777" w:rsidR="0064066B" w:rsidRPr="00D275DF" w:rsidRDefault="0064066B" w:rsidP="00B76AD4">
            <w:pPr>
              <w:jc w:val="right"/>
              <w:rPr>
                <w:color w:val="000000"/>
                <w:sz w:val="14"/>
                <w:szCs w:val="14"/>
              </w:rPr>
            </w:pPr>
            <w:r w:rsidRPr="00D275DF">
              <w:rPr>
                <w:color w:val="000000"/>
                <w:sz w:val="14"/>
                <w:szCs w:val="14"/>
              </w:rPr>
              <w:t>-</w:t>
            </w:r>
          </w:p>
        </w:tc>
        <w:tc>
          <w:tcPr>
            <w:tcW w:w="850" w:type="dxa"/>
            <w:tcBorders>
              <w:top w:val="nil"/>
              <w:left w:val="single" w:sz="4" w:space="0" w:color="auto"/>
              <w:bottom w:val="nil"/>
              <w:right w:val="single" w:sz="4" w:space="0" w:color="auto"/>
            </w:tcBorders>
            <w:shd w:val="clear" w:color="000000" w:fill="FFFFFF"/>
            <w:vAlign w:val="bottom"/>
            <w:hideMark/>
          </w:tcPr>
          <w:p w14:paraId="10F752EA" w14:textId="77777777" w:rsidR="0064066B" w:rsidRPr="00D275DF" w:rsidRDefault="0064066B" w:rsidP="00B76AD4">
            <w:pPr>
              <w:jc w:val="right"/>
              <w:rPr>
                <w:color w:val="000000"/>
                <w:sz w:val="14"/>
                <w:szCs w:val="14"/>
              </w:rPr>
            </w:pPr>
            <w:r w:rsidRPr="00D275DF">
              <w:rPr>
                <w:color w:val="000000"/>
                <w:sz w:val="14"/>
                <w:szCs w:val="14"/>
              </w:rPr>
              <w:t>-</w:t>
            </w:r>
          </w:p>
        </w:tc>
      </w:tr>
      <w:tr w:rsidR="0064066B" w:rsidRPr="00AC1668" w14:paraId="5FF5C64C" w14:textId="77777777" w:rsidTr="00234709">
        <w:trPr>
          <w:trHeight w:val="113"/>
        </w:trPr>
        <w:tc>
          <w:tcPr>
            <w:tcW w:w="566" w:type="dxa"/>
            <w:tcBorders>
              <w:top w:val="nil"/>
              <w:left w:val="single" w:sz="4" w:space="0" w:color="auto"/>
              <w:bottom w:val="nil"/>
              <w:right w:val="nil"/>
            </w:tcBorders>
            <w:noWrap/>
            <w:hideMark/>
          </w:tcPr>
          <w:p w14:paraId="2CD49F7E" w14:textId="77777777" w:rsidR="0064066B" w:rsidRPr="00AC1668" w:rsidRDefault="0064066B" w:rsidP="00B76AD4">
            <w:pPr>
              <w:rPr>
                <w:b/>
                <w:bCs/>
                <w:color w:val="000000"/>
                <w:sz w:val="14"/>
                <w:szCs w:val="14"/>
              </w:rPr>
            </w:pPr>
            <w:r w:rsidRPr="00AC1668">
              <w:rPr>
                <w:b/>
                <w:bCs/>
                <w:color w:val="000000"/>
                <w:sz w:val="14"/>
                <w:szCs w:val="14"/>
              </w:rPr>
              <w:t>II.</w:t>
            </w:r>
          </w:p>
        </w:tc>
        <w:tc>
          <w:tcPr>
            <w:tcW w:w="6517" w:type="dxa"/>
            <w:tcBorders>
              <w:top w:val="nil"/>
              <w:left w:val="nil"/>
              <w:bottom w:val="nil"/>
              <w:right w:val="single" w:sz="4" w:space="0" w:color="auto"/>
            </w:tcBorders>
            <w:hideMark/>
          </w:tcPr>
          <w:p w14:paraId="73F77385" w14:textId="77777777" w:rsidR="0064066B" w:rsidRPr="00AC1668" w:rsidRDefault="0064066B" w:rsidP="00B76AD4">
            <w:pPr>
              <w:rPr>
                <w:b/>
                <w:bCs/>
                <w:color w:val="000000"/>
                <w:sz w:val="14"/>
                <w:szCs w:val="14"/>
              </w:rPr>
            </w:pPr>
            <w:r w:rsidRPr="00AC1668">
              <w:rPr>
                <w:b/>
                <w:bCs/>
                <w:color w:val="000000"/>
                <w:sz w:val="14"/>
                <w:szCs w:val="14"/>
              </w:rPr>
              <w:t>İTFA EDİLMİŞ MALİYETİ İLE ÖLÇÜLEN FİNANSAL VARLIKLAR (Net)</w:t>
            </w:r>
          </w:p>
        </w:tc>
        <w:tc>
          <w:tcPr>
            <w:tcW w:w="709" w:type="dxa"/>
            <w:tcBorders>
              <w:top w:val="nil"/>
              <w:left w:val="nil"/>
              <w:bottom w:val="nil"/>
              <w:right w:val="nil"/>
            </w:tcBorders>
            <w:noWrap/>
            <w:vAlign w:val="bottom"/>
            <w:hideMark/>
          </w:tcPr>
          <w:p w14:paraId="7717B1D8" w14:textId="77777777" w:rsidR="0064066B" w:rsidRPr="00811132" w:rsidRDefault="0064066B" w:rsidP="00B76AD4">
            <w:pPr>
              <w:jc w:val="center"/>
              <w:rPr>
                <w:b/>
                <w:bCs/>
                <w:color w:val="000000"/>
                <w:sz w:val="16"/>
                <w:szCs w:val="16"/>
                <w:lang w:eastAsia="tr-TR"/>
              </w:rPr>
            </w:pPr>
            <w:r w:rsidRPr="00811132">
              <w:rPr>
                <w:b/>
                <w:bCs/>
                <w:color w:val="000000"/>
                <w:sz w:val="14"/>
                <w:szCs w:val="14"/>
                <w:lang w:eastAsia="tr-TR"/>
              </w:rPr>
              <w:t> </w:t>
            </w:r>
          </w:p>
        </w:tc>
        <w:tc>
          <w:tcPr>
            <w:tcW w:w="770" w:type="dxa"/>
            <w:tcBorders>
              <w:top w:val="nil"/>
              <w:left w:val="single" w:sz="4" w:space="0" w:color="auto"/>
              <w:bottom w:val="nil"/>
              <w:right w:val="nil"/>
            </w:tcBorders>
            <w:shd w:val="clear" w:color="000000" w:fill="FFFFFF"/>
            <w:vAlign w:val="bottom"/>
            <w:hideMark/>
          </w:tcPr>
          <w:p w14:paraId="7FEDD47E" w14:textId="77777777" w:rsidR="0064066B" w:rsidRPr="00D275DF" w:rsidRDefault="0064066B" w:rsidP="00B76AD4">
            <w:pPr>
              <w:jc w:val="right"/>
              <w:rPr>
                <w:b/>
                <w:bCs/>
                <w:color w:val="000000"/>
                <w:sz w:val="14"/>
                <w:szCs w:val="14"/>
              </w:rPr>
            </w:pPr>
            <w:r w:rsidRPr="00D275DF">
              <w:rPr>
                <w:b/>
                <w:bCs/>
                <w:color w:val="000000"/>
                <w:sz w:val="14"/>
                <w:szCs w:val="14"/>
              </w:rPr>
              <w:t>16.311.239</w:t>
            </w:r>
          </w:p>
        </w:tc>
        <w:tc>
          <w:tcPr>
            <w:tcW w:w="771" w:type="dxa"/>
            <w:tcBorders>
              <w:top w:val="nil"/>
              <w:left w:val="single" w:sz="4" w:space="0" w:color="auto"/>
              <w:bottom w:val="nil"/>
              <w:right w:val="nil"/>
            </w:tcBorders>
            <w:shd w:val="clear" w:color="000000" w:fill="FFFFFF"/>
            <w:vAlign w:val="bottom"/>
            <w:hideMark/>
          </w:tcPr>
          <w:p w14:paraId="61FDDDA8" w14:textId="77777777" w:rsidR="0064066B" w:rsidRPr="00D275DF" w:rsidRDefault="0064066B" w:rsidP="00B76AD4">
            <w:pPr>
              <w:jc w:val="right"/>
              <w:rPr>
                <w:b/>
                <w:bCs/>
                <w:color w:val="000000"/>
                <w:sz w:val="14"/>
                <w:szCs w:val="14"/>
              </w:rPr>
            </w:pPr>
            <w:r w:rsidRPr="00D275DF">
              <w:rPr>
                <w:b/>
                <w:bCs/>
                <w:color w:val="000000"/>
                <w:sz w:val="14"/>
                <w:szCs w:val="14"/>
              </w:rPr>
              <w:t>7.113.893</w:t>
            </w:r>
          </w:p>
        </w:tc>
        <w:tc>
          <w:tcPr>
            <w:tcW w:w="850" w:type="dxa"/>
            <w:tcBorders>
              <w:top w:val="nil"/>
              <w:left w:val="single" w:sz="4" w:space="0" w:color="auto"/>
              <w:bottom w:val="nil"/>
              <w:right w:val="single" w:sz="4" w:space="0" w:color="auto"/>
            </w:tcBorders>
            <w:shd w:val="clear" w:color="000000" w:fill="FFFFFF"/>
            <w:vAlign w:val="bottom"/>
            <w:hideMark/>
          </w:tcPr>
          <w:p w14:paraId="632D67D8" w14:textId="77777777" w:rsidR="0064066B" w:rsidRPr="00D275DF" w:rsidRDefault="0064066B" w:rsidP="00B76AD4">
            <w:pPr>
              <w:jc w:val="right"/>
              <w:rPr>
                <w:b/>
                <w:bCs/>
                <w:color w:val="000000"/>
                <w:sz w:val="14"/>
                <w:szCs w:val="14"/>
              </w:rPr>
            </w:pPr>
            <w:r w:rsidRPr="00D275DF">
              <w:rPr>
                <w:b/>
                <w:bCs/>
                <w:color w:val="000000"/>
                <w:sz w:val="14"/>
                <w:szCs w:val="14"/>
              </w:rPr>
              <w:t>23.425.132</w:t>
            </w:r>
          </w:p>
        </w:tc>
      </w:tr>
      <w:tr w:rsidR="0064066B" w:rsidRPr="00AC1668" w14:paraId="540D90CF" w14:textId="77777777" w:rsidTr="00234709">
        <w:trPr>
          <w:trHeight w:val="113"/>
        </w:trPr>
        <w:tc>
          <w:tcPr>
            <w:tcW w:w="566" w:type="dxa"/>
            <w:tcBorders>
              <w:top w:val="nil"/>
              <w:left w:val="single" w:sz="4" w:space="0" w:color="auto"/>
              <w:bottom w:val="nil"/>
              <w:right w:val="nil"/>
            </w:tcBorders>
            <w:noWrap/>
            <w:hideMark/>
          </w:tcPr>
          <w:p w14:paraId="72C542F9" w14:textId="77777777" w:rsidR="0064066B" w:rsidRPr="00AC1668" w:rsidRDefault="0064066B" w:rsidP="00B76AD4">
            <w:pPr>
              <w:rPr>
                <w:b/>
                <w:bCs/>
                <w:sz w:val="14"/>
                <w:szCs w:val="14"/>
              </w:rPr>
            </w:pPr>
            <w:r w:rsidRPr="00AC1668">
              <w:rPr>
                <w:b/>
                <w:bCs/>
                <w:sz w:val="14"/>
                <w:szCs w:val="14"/>
              </w:rPr>
              <w:t>2.1</w:t>
            </w:r>
          </w:p>
        </w:tc>
        <w:tc>
          <w:tcPr>
            <w:tcW w:w="6517" w:type="dxa"/>
            <w:tcBorders>
              <w:top w:val="nil"/>
              <w:left w:val="nil"/>
              <w:bottom w:val="nil"/>
              <w:right w:val="single" w:sz="4" w:space="0" w:color="auto"/>
            </w:tcBorders>
            <w:hideMark/>
          </w:tcPr>
          <w:p w14:paraId="14A743D8" w14:textId="77777777" w:rsidR="0064066B" w:rsidRPr="00AC1668" w:rsidRDefault="0064066B" w:rsidP="00B76AD4">
            <w:pPr>
              <w:rPr>
                <w:b/>
                <w:bCs/>
                <w:sz w:val="14"/>
                <w:szCs w:val="14"/>
              </w:rPr>
            </w:pPr>
            <w:r w:rsidRPr="00AC1668">
              <w:rPr>
                <w:b/>
                <w:bCs/>
                <w:sz w:val="14"/>
                <w:szCs w:val="14"/>
              </w:rPr>
              <w:t>Krediler</w:t>
            </w:r>
          </w:p>
        </w:tc>
        <w:tc>
          <w:tcPr>
            <w:tcW w:w="709" w:type="dxa"/>
            <w:tcBorders>
              <w:top w:val="nil"/>
              <w:left w:val="nil"/>
              <w:bottom w:val="nil"/>
              <w:right w:val="nil"/>
            </w:tcBorders>
            <w:noWrap/>
            <w:vAlign w:val="bottom"/>
            <w:hideMark/>
          </w:tcPr>
          <w:p w14:paraId="6FE272D5" w14:textId="77777777" w:rsidR="0064066B" w:rsidRPr="00811132" w:rsidRDefault="0064066B" w:rsidP="00B76AD4">
            <w:pPr>
              <w:jc w:val="center"/>
              <w:rPr>
                <w:b/>
                <w:bCs/>
                <w:color w:val="000000"/>
                <w:sz w:val="14"/>
                <w:szCs w:val="14"/>
              </w:rPr>
            </w:pPr>
            <w:r w:rsidRPr="00811132">
              <w:rPr>
                <w:b/>
                <w:bCs/>
                <w:color w:val="000000"/>
                <w:sz w:val="14"/>
                <w:szCs w:val="14"/>
              </w:rPr>
              <w:t>(6)</w:t>
            </w:r>
          </w:p>
        </w:tc>
        <w:tc>
          <w:tcPr>
            <w:tcW w:w="770" w:type="dxa"/>
            <w:tcBorders>
              <w:top w:val="nil"/>
              <w:left w:val="single" w:sz="4" w:space="0" w:color="auto"/>
              <w:bottom w:val="nil"/>
              <w:right w:val="nil"/>
            </w:tcBorders>
            <w:shd w:val="clear" w:color="000000" w:fill="FFFFFF"/>
            <w:vAlign w:val="bottom"/>
            <w:hideMark/>
          </w:tcPr>
          <w:p w14:paraId="1F213AC2" w14:textId="77777777" w:rsidR="0064066B" w:rsidRPr="00D275DF" w:rsidRDefault="0064066B" w:rsidP="00B76AD4">
            <w:pPr>
              <w:jc w:val="right"/>
              <w:rPr>
                <w:b/>
                <w:bCs/>
                <w:color w:val="000000"/>
                <w:sz w:val="14"/>
                <w:szCs w:val="14"/>
              </w:rPr>
            </w:pPr>
            <w:r w:rsidRPr="00D275DF">
              <w:rPr>
                <w:b/>
                <w:bCs/>
                <w:color w:val="000000"/>
                <w:sz w:val="14"/>
                <w:szCs w:val="14"/>
              </w:rPr>
              <w:t>15.915.566</w:t>
            </w:r>
          </w:p>
        </w:tc>
        <w:tc>
          <w:tcPr>
            <w:tcW w:w="771" w:type="dxa"/>
            <w:tcBorders>
              <w:top w:val="nil"/>
              <w:left w:val="single" w:sz="4" w:space="0" w:color="auto"/>
              <w:bottom w:val="nil"/>
              <w:right w:val="nil"/>
            </w:tcBorders>
            <w:shd w:val="clear" w:color="000000" w:fill="FFFFFF"/>
            <w:vAlign w:val="bottom"/>
            <w:hideMark/>
          </w:tcPr>
          <w:p w14:paraId="58D7F52C" w14:textId="77777777" w:rsidR="0064066B" w:rsidRPr="00D275DF" w:rsidRDefault="0064066B" w:rsidP="00B76AD4">
            <w:pPr>
              <w:jc w:val="right"/>
              <w:rPr>
                <w:b/>
                <w:bCs/>
                <w:color w:val="000000"/>
                <w:sz w:val="14"/>
                <w:szCs w:val="14"/>
              </w:rPr>
            </w:pPr>
            <w:r w:rsidRPr="00D275DF">
              <w:rPr>
                <w:b/>
                <w:bCs/>
                <w:color w:val="000000"/>
                <w:sz w:val="14"/>
                <w:szCs w:val="14"/>
              </w:rPr>
              <w:t>7.113.893</w:t>
            </w:r>
          </w:p>
        </w:tc>
        <w:tc>
          <w:tcPr>
            <w:tcW w:w="850" w:type="dxa"/>
            <w:tcBorders>
              <w:top w:val="nil"/>
              <w:left w:val="single" w:sz="4" w:space="0" w:color="auto"/>
              <w:bottom w:val="nil"/>
              <w:right w:val="single" w:sz="4" w:space="0" w:color="auto"/>
            </w:tcBorders>
            <w:shd w:val="clear" w:color="000000" w:fill="FFFFFF"/>
            <w:vAlign w:val="bottom"/>
            <w:hideMark/>
          </w:tcPr>
          <w:p w14:paraId="6FE58ADF" w14:textId="77777777" w:rsidR="0064066B" w:rsidRPr="00D275DF" w:rsidRDefault="0064066B" w:rsidP="00B76AD4">
            <w:pPr>
              <w:jc w:val="right"/>
              <w:rPr>
                <w:b/>
                <w:bCs/>
                <w:color w:val="000000"/>
                <w:sz w:val="14"/>
                <w:szCs w:val="14"/>
              </w:rPr>
            </w:pPr>
            <w:r w:rsidRPr="00D275DF">
              <w:rPr>
                <w:b/>
                <w:bCs/>
                <w:color w:val="000000"/>
                <w:sz w:val="14"/>
                <w:szCs w:val="14"/>
              </w:rPr>
              <w:t>23.029.459</w:t>
            </w:r>
          </w:p>
        </w:tc>
      </w:tr>
      <w:tr w:rsidR="0064066B" w:rsidRPr="00AC1668" w14:paraId="5576A852" w14:textId="77777777" w:rsidTr="00234709">
        <w:trPr>
          <w:trHeight w:val="113"/>
        </w:trPr>
        <w:tc>
          <w:tcPr>
            <w:tcW w:w="566" w:type="dxa"/>
            <w:tcBorders>
              <w:top w:val="nil"/>
              <w:left w:val="single" w:sz="4" w:space="0" w:color="auto"/>
              <w:bottom w:val="nil"/>
              <w:right w:val="nil"/>
            </w:tcBorders>
            <w:noWrap/>
            <w:hideMark/>
          </w:tcPr>
          <w:p w14:paraId="27794285" w14:textId="77777777" w:rsidR="0064066B" w:rsidRPr="00AC1668" w:rsidRDefault="0064066B" w:rsidP="00B76AD4">
            <w:pPr>
              <w:rPr>
                <w:b/>
                <w:bCs/>
                <w:sz w:val="14"/>
                <w:szCs w:val="14"/>
              </w:rPr>
            </w:pPr>
            <w:r w:rsidRPr="00AC1668">
              <w:rPr>
                <w:b/>
                <w:bCs/>
                <w:sz w:val="14"/>
                <w:szCs w:val="14"/>
              </w:rPr>
              <w:t>2.2</w:t>
            </w:r>
          </w:p>
        </w:tc>
        <w:tc>
          <w:tcPr>
            <w:tcW w:w="6517" w:type="dxa"/>
            <w:tcBorders>
              <w:top w:val="nil"/>
              <w:left w:val="nil"/>
              <w:bottom w:val="nil"/>
              <w:right w:val="single" w:sz="4" w:space="0" w:color="auto"/>
            </w:tcBorders>
            <w:hideMark/>
          </w:tcPr>
          <w:p w14:paraId="71F9C2AD" w14:textId="77777777" w:rsidR="0064066B" w:rsidRPr="00AC1668" w:rsidRDefault="0064066B" w:rsidP="00B76AD4">
            <w:pPr>
              <w:rPr>
                <w:b/>
                <w:bCs/>
                <w:sz w:val="14"/>
                <w:szCs w:val="14"/>
              </w:rPr>
            </w:pPr>
            <w:r w:rsidRPr="00AC1668">
              <w:rPr>
                <w:b/>
                <w:bCs/>
                <w:sz w:val="14"/>
                <w:szCs w:val="14"/>
              </w:rPr>
              <w:t>Kiralama İşlemlerinden Alacaklar</w:t>
            </w:r>
          </w:p>
        </w:tc>
        <w:tc>
          <w:tcPr>
            <w:tcW w:w="709" w:type="dxa"/>
            <w:tcBorders>
              <w:top w:val="nil"/>
              <w:left w:val="nil"/>
              <w:bottom w:val="nil"/>
              <w:right w:val="nil"/>
            </w:tcBorders>
            <w:noWrap/>
            <w:vAlign w:val="bottom"/>
            <w:hideMark/>
          </w:tcPr>
          <w:p w14:paraId="15AE694D" w14:textId="77777777" w:rsidR="0064066B" w:rsidRPr="00811132" w:rsidRDefault="0064066B" w:rsidP="00B76AD4">
            <w:pPr>
              <w:jc w:val="center"/>
              <w:rPr>
                <w:b/>
                <w:bCs/>
                <w:color w:val="000000"/>
                <w:sz w:val="14"/>
                <w:szCs w:val="14"/>
                <w:lang w:eastAsia="tr-TR"/>
              </w:rPr>
            </w:pPr>
            <w:r w:rsidRPr="00811132">
              <w:rPr>
                <w:b/>
                <w:bCs/>
                <w:color w:val="000000"/>
                <w:sz w:val="14"/>
                <w:szCs w:val="14"/>
                <w:lang w:eastAsia="tr-TR"/>
              </w:rPr>
              <w:t>(7)</w:t>
            </w:r>
          </w:p>
        </w:tc>
        <w:tc>
          <w:tcPr>
            <w:tcW w:w="770" w:type="dxa"/>
            <w:tcBorders>
              <w:top w:val="nil"/>
              <w:left w:val="single" w:sz="4" w:space="0" w:color="auto"/>
              <w:bottom w:val="nil"/>
              <w:right w:val="nil"/>
            </w:tcBorders>
            <w:shd w:val="clear" w:color="000000" w:fill="FFFFFF"/>
            <w:vAlign w:val="bottom"/>
            <w:hideMark/>
          </w:tcPr>
          <w:p w14:paraId="69723895" w14:textId="77777777" w:rsidR="0064066B" w:rsidRPr="00D275DF" w:rsidRDefault="0064066B" w:rsidP="00B76AD4">
            <w:pPr>
              <w:jc w:val="right"/>
              <w:rPr>
                <w:b/>
                <w:bCs/>
                <w:color w:val="000000"/>
                <w:sz w:val="14"/>
                <w:szCs w:val="14"/>
              </w:rPr>
            </w:pPr>
            <w:r w:rsidRPr="00D275DF">
              <w:rPr>
                <w:b/>
                <w:bCs/>
                <w:color w:val="000000"/>
                <w:sz w:val="14"/>
                <w:szCs w:val="14"/>
              </w:rPr>
              <w:t>4.363</w:t>
            </w:r>
          </w:p>
        </w:tc>
        <w:tc>
          <w:tcPr>
            <w:tcW w:w="771" w:type="dxa"/>
            <w:tcBorders>
              <w:top w:val="nil"/>
              <w:left w:val="single" w:sz="4" w:space="0" w:color="auto"/>
              <w:bottom w:val="nil"/>
              <w:right w:val="nil"/>
            </w:tcBorders>
            <w:shd w:val="clear" w:color="000000" w:fill="FFFFFF"/>
            <w:vAlign w:val="bottom"/>
            <w:hideMark/>
          </w:tcPr>
          <w:p w14:paraId="5DF1969A" w14:textId="77777777" w:rsidR="0064066B" w:rsidRPr="00D275DF" w:rsidRDefault="0064066B" w:rsidP="00B76AD4">
            <w:pPr>
              <w:jc w:val="right"/>
              <w:rPr>
                <w:b/>
                <w:bCs/>
                <w:color w:val="000000"/>
                <w:sz w:val="14"/>
                <w:szCs w:val="14"/>
              </w:rPr>
            </w:pPr>
            <w:r w:rsidRPr="00D275DF">
              <w:rPr>
                <w:b/>
                <w:bCs/>
                <w:color w:val="000000"/>
                <w:sz w:val="14"/>
                <w:szCs w:val="14"/>
              </w:rPr>
              <w:t>-</w:t>
            </w:r>
          </w:p>
        </w:tc>
        <w:tc>
          <w:tcPr>
            <w:tcW w:w="850" w:type="dxa"/>
            <w:tcBorders>
              <w:top w:val="nil"/>
              <w:left w:val="single" w:sz="4" w:space="0" w:color="auto"/>
              <w:bottom w:val="nil"/>
              <w:right w:val="single" w:sz="4" w:space="0" w:color="auto"/>
            </w:tcBorders>
            <w:shd w:val="clear" w:color="000000" w:fill="FFFFFF"/>
            <w:vAlign w:val="bottom"/>
            <w:hideMark/>
          </w:tcPr>
          <w:p w14:paraId="182B700F" w14:textId="77777777" w:rsidR="0064066B" w:rsidRPr="00D275DF" w:rsidRDefault="0064066B" w:rsidP="00B76AD4">
            <w:pPr>
              <w:jc w:val="right"/>
              <w:rPr>
                <w:b/>
                <w:bCs/>
                <w:color w:val="000000"/>
                <w:sz w:val="14"/>
                <w:szCs w:val="14"/>
              </w:rPr>
            </w:pPr>
            <w:r w:rsidRPr="00D275DF">
              <w:rPr>
                <w:b/>
                <w:bCs/>
                <w:color w:val="000000"/>
                <w:sz w:val="14"/>
                <w:szCs w:val="14"/>
              </w:rPr>
              <w:t>4.363</w:t>
            </w:r>
          </w:p>
        </w:tc>
      </w:tr>
      <w:tr w:rsidR="0064066B" w:rsidRPr="00AC1668" w14:paraId="351C2907" w14:textId="77777777" w:rsidTr="00234709">
        <w:trPr>
          <w:trHeight w:val="113"/>
        </w:trPr>
        <w:tc>
          <w:tcPr>
            <w:tcW w:w="566" w:type="dxa"/>
            <w:tcBorders>
              <w:top w:val="nil"/>
              <w:left w:val="single" w:sz="4" w:space="0" w:color="auto"/>
              <w:bottom w:val="nil"/>
              <w:right w:val="nil"/>
            </w:tcBorders>
            <w:noWrap/>
            <w:hideMark/>
          </w:tcPr>
          <w:p w14:paraId="44242675" w14:textId="77777777" w:rsidR="0064066B" w:rsidRPr="00AC1668" w:rsidRDefault="0064066B" w:rsidP="00B76AD4">
            <w:pPr>
              <w:rPr>
                <w:b/>
                <w:bCs/>
                <w:sz w:val="14"/>
                <w:szCs w:val="14"/>
              </w:rPr>
            </w:pPr>
            <w:r w:rsidRPr="00AC1668">
              <w:rPr>
                <w:b/>
                <w:bCs/>
                <w:sz w:val="14"/>
                <w:szCs w:val="14"/>
              </w:rPr>
              <w:t>2.3</w:t>
            </w:r>
          </w:p>
        </w:tc>
        <w:tc>
          <w:tcPr>
            <w:tcW w:w="6517" w:type="dxa"/>
            <w:tcBorders>
              <w:top w:val="nil"/>
              <w:left w:val="nil"/>
              <w:bottom w:val="nil"/>
              <w:right w:val="single" w:sz="4" w:space="0" w:color="auto"/>
            </w:tcBorders>
            <w:hideMark/>
          </w:tcPr>
          <w:p w14:paraId="39E43A16" w14:textId="77777777" w:rsidR="0064066B" w:rsidRPr="00AC1668" w:rsidRDefault="0064066B" w:rsidP="00B76AD4">
            <w:pPr>
              <w:rPr>
                <w:b/>
                <w:bCs/>
                <w:sz w:val="14"/>
                <w:szCs w:val="14"/>
              </w:rPr>
            </w:pPr>
            <w:r w:rsidRPr="00AC1668">
              <w:rPr>
                <w:b/>
                <w:bCs/>
                <w:sz w:val="14"/>
                <w:szCs w:val="14"/>
              </w:rPr>
              <w:t>İtfa Edilmiş Maliyeti ile Ölçülen Finansal Varlıklar</w:t>
            </w:r>
          </w:p>
        </w:tc>
        <w:tc>
          <w:tcPr>
            <w:tcW w:w="709" w:type="dxa"/>
            <w:tcBorders>
              <w:top w:val="nil"/>
              <w:left w:val="nil"/>
              <w:bottom w:val="nil"/>
              <w:right w:val="nil"/>
            </w:tcBorders>
            <w:noWrap/>
            <w:vAlign w:val="bottom"/>
            <w:hideMark/>
          </w:tcPr>
          <w:p w14:paraId="039520D5" w14:textId="77777777" w:rsidR="0064066B" w:rsidRPr="00811132" w:rsidRDefault="0064066B" w:rsidP="00B76AD4">
            <w:pPr>
              <w:jc w:val="center"/>
              <w:rPr>
                <w:b/>
                <w:bCs/>
                <w:color w:val="000000"/>
                <w:sz w:val="14"/>
                <w:szCs w:val="14"/>
              </w:rPr>
            </w:pPr>
            <w:r w:rsidRPr="00811132">
              <w:rPr>
                <w:b/>
                <w:bCs/>
                <w:color w:val="000000"/>
                <w:sz w:val="14"/>
                <w:szCs w:val="14"/>
              </w:rPr>
              <w:t>(4)</w:t>
            </w:r>
          </w:p>
        </w:tc>
        <w:tc>
          <w:tcPr>
            <w:tcW w:w="770" w:type="dxa"/>
            <w:tcBorders>
              <w:top w:val="nil"/>
              <w:left w:val="single" w:sz="4" w:space="0" w:color="auto"/>
              <w:bottom w:val="nil"/>
              <w:right w:val="nil"/>
            </w:tcBorders>
            <w:shd w:val="clear" w:color="000000" w:fill="FFFFFF"/>
            <w:vAlign w:val="bottom"/>
            <w:hideMark/>
          </w:tcPr>
          <w:p w14:paraId="00DB5051" w14:textId="77777777" w:rsidR="0064066B" w:rsidRPr="00D275DF" w:rsidRDefault="0064066B" w:rsidP="00B76AD4">
            <w:pPr>
              <w:jc w:val="right"/>
              <w:rPr>
                <w:b/>
                <w:bCs/>
                <w:color w:val="000000"/>
                <w:sz w:val="14"/>
                <w:szCs w:val="14"/>
              </w:rPr>
            </w:pPr>
            <w:r w:rsidRPr="00D275DF">
              <w:rPr>
                <w:b/>
                <w:bCs/>
                <w:color w:val="000000"/>
                <w:sz w:val="14"/>
                <w:szCs w:val="14"/>
              </w:rPr>
              <w:t>391.310</w:t>
            </w:r>
          </w:p>
        </w:tc>
        <w:tc>
          <w:tcPr>
            <w:tcW w:w="771" w:type="dxa"/>
            <w:tcBorders>
              <w:top w:val="nil"/>
              <w:left w:val="single" w:sz="4" w:space="0" w:color="auto"/>
              <w:bottom w:val="nil"/>
              <w:right w:val="nil"/>
            </w:tcBorders>
            <w:shd w:val="clear" w:color="000000" w:fill="FFFFFF"/>
            <w:vAlign w:val="bottom"/>
            <w:hideMark/>
          </w:tcPr>
          <w:p w14:paraId="78A4D4EA" w14:textId="77777777" w:rsidR="0064066B" w:rsidRPr="00D275DF" w:rsidRDefault="0064066B" w:rsidP="00B76AD4">
            <w:pPr>
              <w:jc w:val="right"/>
              <w:rPr>
                <w:b/>
                <w:bCs/>
                <w:color w:val="000000"/>
                <w:sz w:val="14"/>
                <w:szCs w:val="14"/>
              </w:rPr>
            </w:pPr>
            <w:r w:rsidRPr="00D275DF">
              <w:rPr>
                <w:b/>
                <w:bCs/>
                <w:color w:val="000000"/>
                <w:sz w:val="14"/>
                <w:szCs w:val="14"/>
              </w:rPr>
              <w:t>-</w:t>
            </w:r>
          </w:p>
        </w:tc>
        <w:tc>
          <w:tcPr>
            <w:tcW w:w="850" w:type="dxa"/>
            <w:tcBorders>
              <w:top w:val="nil"/>
              <w:left w:val="single" w:sz="4" w:space="0" w:color="auto"/>
              <w:bottom w:val="nil"/>
              <w:right w:val="single" w:sz="4" w:space="0" w:color="auto"/>
            </w:tcBorders>
            <w:shd w:val="clear" w:color="000000" w:fill="FFFFFF"/>
            <w:vAlign w:val="bottom"/>
            <w:hideMark/>
          </w:tcPr>
          <w:p w14:paraId="66891CA1" w14:textId="77777777" w:rsidR="0064066B" w:rsidRPr="00D275DF" w:rsidRDefault="0064066B" w:rsidP="00B76AD4">
            <w:pPr>
              <w:jc w:val="right"/>
              <w:rPr>
                <w:b/>
                <w:bCs/>
                <w:color w:val="000000"/>
                <w:sz w:val="14"/>
                <w:szCs w:val="14"/>
              </w:rPr>
            </w:pPr>
            <w:r w:rsidRPr="00D275DF">
              <w:rPr>
                <w:b/>
                <w:bCs/>
                <w:color w:val="000000"/>
                <w:sz w:val="14"/>
                <w:szCs w:val="14"/>
              </w:rPr>
              <w:t>391.310</w:t>
            </w:r>
          </w:p>
        </w:tc>
      </w:tr>
      <w:tr w:rsidR="0064066B" w:rsidRPr="00AC1668" w14:paraId="2EA94383" w14:textId="77777777" w:rsidTr="00234709">
        <w:trPr>
          <w:trHeight w:val="113"/>
        </w:trPr>
        <w:tc>
          <w:tcPr>
            <w:tcW w:w="566" w:type="dxa"/>
            <w:tcBorders>
              <w:top w:val="nil"/>
              <w:left w:val="single" w:sz="4" w:space="0" w:color="auto"/>
              <w:bottom w:val="nil"/>
              <w:right w:val="nil"/>
            </w:tcBorders>
            <w:noWrap/>
            <w:hideMark/>
          </w:tcPr>
          <w:p w14:paraId="145EB189" w14:textId="77777777" w:rsidR="0064066B" w:rsidRPr="00AC1668" w:rsidRDefault="0064066B" w:rsidP="00B76AD4">
            <w:pPr>
              <w:rPr>
                <w:sz w:val="14"/>
                <w:szCs w:val="14"/>
              </w:rPr>
            </w:pPr>
            <w:r w:rsidRPr="00AC1668">
              <w:rPr>
                <w:sz w:val="14"/>
                <w:szCs w:val="14"/>
              </w:rPr>
              <w:t>2.3.1</w:t>
            </w:r>
          </w:p>
        </w:tc>
        <w:tc>
          <w:tcPr>
            <w:tcW w:w="6517" w:type="dxa"/>
            <w:tcBorders>
              <w:top w:val="nil"/>
              <w:left w:val="nil"/>
              <w:bottom w:val="nil"/>
              <w:right w:val="single" w:sz="4" w:space="0" w:color="auto"/>
            </w:tcBorders>
            <w:hideMark/>
          </w:tcPr>
          <w:p w14:paraId="0FCD8CE5" w14:textId="77777777" w:rsidR="0064066B" w:rsidRPr="00AC1668" w:rsidRDefault="0064066B" w:rsidP="00B76AD4">
            <w:pPr>
              <w:rPr>
                <w:sz w:val="14"/>
                <w:szCs w:val="14"/>
              </w:rPr>
            </w:pPr>
            <w:r w:rsidRPr="00AC1668">
              <w:rPr>
                <w:sz w:val="14"/>
                <w:szCs w:val="14"/>
              </w:rPr>
              <w:t>Devlet Borçlanma Senetleri</w:t>
            </w:r>
          </w:p>
        </w:tc>
        <w:tc>
          <w:tcPr>
            <w:tcW w:w="709" w:type="dxa"/>
            <w:tcBorders>
              <w:top w:val="nil"/>
              <w:left w:val="nil"/>
              <w:bottom w:val="nil"/>
              <w:right w:val="nil"/>
            </w:tcBorders>
            <w:noWrap/>
            <w:vAlign w:val="bottom"/>
            <w:hideMark/>
          </w:tcPr>
          <w:p w14:paraId="5BA2E28A" w14:textId="77777777" w:rsidR="0064066B" w:rsidRPr="00811132" w:rsidRDefault="0064066B" w:rsidP="00B76AD4">
            <w:pPr>
              <w:jc w:val="center"/>
              <w:rPr>
                <w:b/>
                <w:bCs/>
                <w:color w:val="000000"/>
                <w:sz w:val="16"/>
                <w:szCs w:val="16"/>
                <w:lang w:eastAsia="tr-TR"/>
              </w:rPr>
            </w:pPr>
            <w:r w:rsidRPr="00811132">
              <w:rPr>
                <w:b/>
                <w:bCs/>
                <w:color w:val="000000"/>
                <w:sz w:val="14"/>
                <w:szCs w:val="14"/>
                <w:lang w:eastAsia="tr-TR"/>
              </w:rPr>
              <w:t> </w:t>
            </w:r>
          </w:p>
        </w:tc>
        <w:tc>
          <w:tcPr>
            <w:tcW w:w="770" w:type="dxa"/>
            <w:tcBorders>
              <w:top w:val="nil"/>
              <w:left w:val="single" w:sz="4" w:space="0" w:color="auto"/>
              <w:bottom w:val="nil"/>
              <w:right w:val="nil"/>
            </w:tcBorders>
            <w:shd w:val="clear" w:color="000000" w:fill="FFFFFF"/>
            <w:vAlign w:val="bottom"/>
            <w:hideMark/>
          </w:tcPr>
          <w:p w14:paraId="11478F88" w14:textId="77777777" w:rsidR="0064066B" w:rsidRPr="00D275DF" w:rsidRDefault="0064066B" w:rsidP="00B76AD4">
            <w:pPr>
              <w:jc w:val="right"/>
              <w:rPr>
                <w:color w:val="000000"/>
                <w:sz w:val="14"/>
                <w:szCs w:val="14"/>
              </w:rPr>
            </w:pPr>
            <w:r w:rsidRPr="00D275DF">
              <w:rPr>
                <w:color w:val="000000"/>
                <w:sz w:val="14"/>
                <w:szCs w:val="14"/>
              </w:rPr>
              <w:t>391.310</w:t>
            </w:r>
          </w:p>
        </w:tc>
        <w:tc>
          <w:tcPr>
            <w:tcW w:w="771" w:type="dxa"/>
            <w:tcBorders>
              <w:top w:val="nil"/>
              <w:left w:val="single" w:sz="4" w:space="0" w:color="auto"/>
              <w:bottom w:val="nil"/>
              <w:right w:val="nil"/>
            </w:tcBorders>
            <w:shd w:val="clear" w:color="000000" w:fill="FFFFFF"/>
            <w:vAlign w:val="bottom"/>
            <w:hideMark/>
          </w:tcPr>
          <w:p w14:paraId="015A0FFA" w14:textId="77777777" w:rsidR="0064066B" w:rsidRPr="00D275DF" w:rsidRDefault="0064066B" w:rsidP="00B76AD4">
            <w:pPr>
              <w:jc w:val="right"/>
              <w:rPr>
                <w:color w:val="000000"/>
                <w:sz w:val="14"/>
                <w:szCs w:val="14"/>
              </w:rPr>
            </w:pPr>
            <w:r w:rsidRPr="00D275DF">
              <w:rPr>
                <w:color w:val="000000"/>
                <w:sz w:val="14"/>
                <w:szCs w:val="14"/>
              </w:rPr>
              <w:t>-</w:t>
            </w:r>
          </w:p>
        </w:tc>
        <w:tc>
          <w:tcPr>
            <w:tcW w:w="850" w:type="dxa"/>
            <w:tcBorders>
              <w:top w:val="nil"/>
              <w:left w:val="single" w:sz="4" w:space="0" w:color="auto"/>
              <w:bottom w:val="nil"/>
              <w:right w:val="single" w:sz="4" w:space="0" w:color="auto"/>
            </w:tcBorders>
            <w:shd w:val="clear" w:color="000000" w:fill="FFFFFF"/>
            <w:vAlign w:val="bottom"/>
            <w:hideMark/>
          </w:tcPr>
          <w:p w14:paraId="7723ACCE" w14:textId="77777777" w:rsidR="0064066B" w:rsidRPr="00D275DF" w:rsidRDefault="0064066B" w:rsidP="00B76AD4">
            <w:pPr>
              <w:jc w:val="right"/>
              <w:rPr>
                <w:color w:val="000000"/>
                <w:sz w:val="14"/>
                <w:szCs w:val="14"/>
              </w:rPr>
            </w:pPr>
            <w:r w:rsidRPr="00D275DF">
              <w:rPr>
                <w:color w:val="000000"/>
                <w:sz w:val="14"/>
                <w:szCs w:val="14"/>
              </w:rPr>
              <w:t>391.310</w:t>
            </w:r>
          </w:p>
        </w:tc>
      </w:tr>
      <w:tr w:rsidR="0064066B" w:rsidRPr="00AC1668" w14:paraId="04D42B98" w14:textId="77777777" w:rsidTr="00234709">
        <w:trPr>
          <w:trHeight w:val="113"/>
        </w:trPr>
        <w:tc>
          <w:tcPr>
            <w:tcW w:w="566" w:type="dxa"/>
            <w:tcBorders>
              <w:top w:val="nil"/>
              <w:left w:val="single" w:sz="4" w:space="0" w:color="auto"/>
              <w:bottom w:val="nil"/>
              <w:right w:val="nil"/>
            </w:tcBorders>
            <w:noWrap/>
            <w:hideMark/>
          </w:tcPr>
          <w:p w14:paraId="2E8FD487" w14:textId="77777777" w:rsidR="0064066B" w:rsidRPr="00AC1668" w:rsidRDefault="0064066B" w:rsidP="00B76AD4">
            <w:pPr>
              <w:rPr>
                <w:sz w:val="14"/>
                <w:szCs w:val="14"/>
              </w:rPr>
            </w:pPr>
            <w:r w:rsidRPr="00AC1668">
              <w:rPr>
                <w:sz w:val="14"/>
                <w:szCs w:val="14"/>
              </w:rPr>
              <w:t>2.3.2</w:t>
            </w:r>
          </w:p>
        </w:tc>
        <w:tc>
          <w:tcPr>
            <w:tcW w:w="6517" w:type="dxa"/>
            <w:tcBorders>
              <w:top w:val="nil"/>
              <w:left w:val="nil"/>
              <w:bottom w:val="nil"/>
              <w:right w:val="single" w:sz="4" w:space="0" w:color="auto"/>
            </w:tcBorders>
            <w:hideMark/>
          </w:tcPr>
          <w:p w14:paraId="5ED91403" w14:textId="77777777" w:rsidR="0064066B" w:rsidRPr="00AC1668" w:rsidRDefault="0064066B" w:rsidP="00B76AD4">
            <w:pPr>
              <w:rPr>
                <w:sz w:val="14"/>
                <w:szCs w:val="14"/>
              </w:rPr>
            </w:pPr>
            <w:r w:rsidRPr="00AC1668">
              <w:rPr>
                <w:sz w:val="14"/>
                <w:szCs w:val="14"/>
              </w:rPr>
              <w:t>Diğer Finansal Varlıklar</w:t>
            </w:r>
          </w:p>
        </w:tc>
        <w:tc>
          <w:tcPr>
            <w:tcW w:w="709" w:type="dxa"/>
            <w:tcBorders>
              <w:top w:val="nil"/>
              <w:left w:val="nil"/>
              <w:bottom w:val="nil"/>
              <w:right w:val="single" w:sz="4" w:space="0" w:color="auto"/>
            </w:tcBorders>
            <w:noWrap/>
            <w:vAlign w:val="bottom"/>
            <w:hideMark/>
          </w:tcPr>
          <w:p w14:paraId="48E1902E" w14:textId="77777777" w:rsidR="0064066B" w:rsidRPr="00811132" w:rsidRDefault="0064066B" w:rsidP="00B76AD4">
            <w:pPr>
              <w:jc w:val="center"/>
              <w:rPr>
                <w:b/>
                <w:bCs/>
                <w:color w:val="000000"/>
                <w:sz w:val="16"/>
                <w:szCs w:val="16"/>
                <w:lang w:eastAsia="tr-TR"/>
              </w:rPr>
            </w:pPr>
            <w:r w:rsidRPr="00811132">
              <w:rPr>
                <w:b/>
                <w:bCs/>
                <w:color w:val="000000"/>
                <w:sz w:val="14"/>
                <w:szCs w:val="14"/>
                <w:lang w:eastAsia="tr-TR"/>
              </w:rPr>
              <w:t> </w:t>
            </w:r>
          </w:p>
        </w:tc>
        <w:tc>
          <w:tcPr>
            <w:tcW w:w="770" w:type="dxa"/>
            <w:tcBorders>
              <w:top w:val="nil"/>
              <w:left w:val="single" w:sz="4" w:space="0" w:color="auto"/>
              <w:bottom w:val="nil"/>
              <w:right w:val="nil"/>
            </w:tcBorders>
            <w:shd w:val="clear" w:color="000000" w:fill="FFFFFF"/>
            <w:vAlign w:val="bottom"/>
            <w:hideMark/>
          </w:tcPr>
          <w:p w14:paraId="0442F951" w14:textId="77777777" w:rsidR="0064066B" w:rsidRPr="00D275DF" w:rsidRDefault="0064066B" w:rsidP="00B76AD4">
            <w:pPr>
              <w:jc w:val="right"/>
              <w:rPr>
                <w:color w:val="000000"/>
                <w:sz w:val="14"/>
                <w:szCs w:val="14"/>
              </w:rPr>
            </w:pPr>
            <w:r w:rsidRPr="00D275DF">
              <w:rPr>
                <w:color w:val="000000"/>
                <w:sz w:val="14"/>
                <w:szCs w:val="14"/>
              </w:rPr>
              <w:t>-</w:t>
            </w:r>
          </w:p>
        </w:tc>
        <w:tc>
          <w:tcPr>
            <w:tcW w:w="771" w:type="dxa"/>
            <w:tcBorders>
              <w:top w:val="nil"/>
              <w:left w:val="single" w:sz="4" w:space="0" w:color="auto"/>
              <w:bottom w:val="nil"/>
              <w:right w:val="nil"/>
            </w:tcBorders>
            <w:shd w:val="clear" w:color="000000" w:fill="FFFFFF"/>
            <w:vAlign w:val="bottom"/>
            <w:hideMark/>
          </w:tcPr>
          <w:p w14:paraId="18634C5B" w14:textId="77777777" w:rsidR="0064066B" w:rsidRPr="00D275DF" w:rsidRDefault="0064066B" w:rsidP="00B76AD4">
            <w:pPr>
              <w:jc w:val="right"/>
              <w:rPr>
                <w:color w:val="000000"/>
                <w:sz w:val="14"/>
                <w:szCs w:val="14"/>
              </w:rPr>
            </w:pPr>
            <w:r w:rsidRPr="00D275DF">
              <w:rPr>
                <w:color w:val="000000"/>
                <w:sz w:val="14"/>
                <w:szCs w:val="14"/>
              </w:rPr>
              <w:t>-</w:t>
            </w:r>
          </w:p>
        </w:tc>
        <w:tc>
          <w:tcPr>
            <w:tcW w:w="850" w:type="dxa"/>
            <w:tcBorders>
              <w:top w:val="nil"/>
              <w:left w:val="single" w:sz="4" w:space="0" w:color="auto"/>
              <w:bottom w:val="nil"/>
              <w:right w:val="single" w:sz="4" w:space="0" w:color="auto"/>
            </w:tcBorders>
            <w:shd w:val="clear" w:color="000000" w:fill="FFFFFF"/>
            <w:vAlign w:val="bottom"/>
            <w:hideMark/>
          </w:tcPr>
          <w:p w14:paraId="3474EDD1" w14:textId="77777777" w:rsidR="0064066B" w:rsidRPr="00D275DF" w:rsidRDefault="0064066B" w:rsidP="00B76AD4">
            <w:pPr>
              <w:jc w:val="right"/>
              <w:rPr>
                <w:color w:val="000000"/>
                <w:sz w:val="14"/>
                <w:szCs w:val="14"/>
              </w:rPr>
            </w:pPr>
            <w:r w:rsidRPr="00D275DF">
              <w:rPr>
                <w:color w:val="000000"/>
                <w:sz w:val="14"/>
                <w:szCs w:val="14"/>
              </w:rPr>
              <w:t>-</w:t>
            </w:r>
          </w:p>
        </w:tc>
      </w:tr>
      <w:tr w:rsidR="0064066B" w:rsidRPr="00AC1668" w14:paraId="51F4D02A" w14:textId="77777777" w:rsidTr="00234709">
        <w:trPr>
          <w:trHeight w:val="113"/>
        </w:trPr>
        <w:tc>
          <w:tcPr>
            <w:tcW w:w="566" w:type="dxa"/>
            <w:tcBorders>
              <w:top w:val="nil"/>
              <w:left w:val="single" w:sz="4" w:space="0" w:color="auto"/>
              <w:bottom w:val="nil"/>
              <w:right w:val="nil"/>
            </w:tcBorders>
            <w:noWrap/>
            <w:hideMark/>
          </w:tcPr>
          <w:p w14:paraId="5A991054" w14:textId="77777777" w:rsidR="0064066B" w:rsidRPr="00AC1668" w:rsidRDefault="0064066B" w:rsidP="00B76AD4">
            <w:pPr>
              <w:rPr>
                <w:b/>
                <w:bCs/>
                <w:sz w:val="14"/>
                <w:szCs w:val="14"/>
              </w:rPr>
            </w:pPr>
            <w:r w:rsidRPr="00AC1668">
              <w:rPr>
                <w:b/>
                <w:bCs/>
                <w:sz w:val="14"/>
                <w:szCs w:val="14"/>
              </w:rPr>
              <w:t>2.4</w:t>
            </w:r>
          </w:p>
        </w:tc>
        <w:tc>
          <w:tcPr>
            <w:tcW w:w="6517" w:type="dxa"/>
            <w:tcBorders>
              <w:top w:val="nil"/>
              <w:left w:val="nil"/>
              <w:bottom w:val="nil"/>
              <w:right w:val="single" w:sz="4" w:space="0" w:color="auto"/>
            </w:tcBorders>
            <w:hideMark/>
          </w:tcPr>
          <w:p w14:paraId="3D144381" w14:textId="77777777" w:rsidR="0064066B" w:rsidRPr="00AC1668" w:rsidRDefault="0064066B" w:rsidP="00B76AD4">
            <w:pPr>
              <w:rPr>
                <w:b/>
                <w:bCs/>
                <w:sz w:val="14"/>
                <w:szCs w:val="14"/>
              </w:rPr>
            </w:pPr>
            <w:r w:rsidRPr="00AC1668">
              <w:rPr>
                <w:b/>
                <w:bCs/>
                <w:sz w:val="14"/>
                <w:szCs w:val="14"/>
              </w:rPr>
              <w:t>Donuk Alacaklar</w:t>
            </w:r>
          </w:p>
        </w:tc>
        <w:tc>
          <w:tcPr>
            <w:tcW w:w="709" w:type="dxa"/>
            <w:tcBorders>
              <w:top w:val="nil"/>
              <w:left w:val="nil"/>
              <w:bottom w:val="nil"/>
              <w:right w:val="nil"/>
            </w:tcBorders>
            <w:noWrap/>
            <w:vAlign w:val="bottom"/>
            <w:hideMark/>
          </w:tcPr>
          <w:p w14:paraId="4D6E6F4C" w14:textId="77777777" w:rsidR="0064066B" w:rsidRPr="00811132" w:rsidRDefault="0064066B" w:rsidP="00B76AD4">
            <w:pPr>
              <w:jc w:val="center"/>
              <w:rPr>
                <w:b/>
                <w:bCs/>
                <w:color w:val="000000"/>
                <w:sz w:val="16"/>
                <w:szCs w:val="16"/>
                <w:lang w:eastAsia="tr-TR"/>
              </w:rPr>
            </w:pPr>
            <w:r w:rsidRPr="00811132">
              <w:rPr>
                <w:b/>
                <w:bCs/>
                <w:color w:val="000000"/>
                <w:sz w:val="14"/>
                <w:szCs w:val="14"/>
                <w:lang w:eastAsia="tr-TR"/>
              </w:rPr>
              <w:t> </w:t>
            </w:r>
          </w:p>
        </w:tc>
        <w:tc>
          <w:tcPr>
            <w:tcW w:w="770" w:type="dxa"/>
            <w:tcBorders>
              <w:top w:val="nil"/>
              <w:left w:val="single" w:sz="4" w:space="0" w:color="auto"/>
              <w:bottom w:val="nil"/>
              <w:right w:val="nil"/>
            </w:tcBorders>
            <w:shd w:val="clear" w:color="000000" w:fill="FFFFFF"/>
            <w:vAlign w:val="bottom"/>
            <w:hideMark/>
          </w:tcPr>
          <w:p w14:paraId="01FF5753" w14:textId="77777777" w:rsidR="0064066B" w:rsidRPr="00D275DF" w:rsidRDefault="0064066B" w:rsidP="00B76AD4">
            <w:pPr>
              <w:jc w:val="right"/>
              <w:rPr>
                <w:b/>
                <w:bCs/>
                <w:color w:val="000000"/>
                <w:sz w:val="14"/>
                <w:szCs w:val="14"/>
              </w:rPr>
            </w:pPr>
            <w:r w:rsidRPr="00D275DF">
              <w:rPr>
                <w:b/>
                <w:bCs/>
                <w:color w:val="000000"/>
                <w:sz w:val="14"/>
                <w:szCs w:val="14"/>
              </w:rPr>
              <w:t>-</w:t>
            </w:r>
          </w:p>
        </w:tc>
        <w:tc>
          <w:tcPr>
            <w:tcW w:w="771" w:type="dxa"/>
            <w:tcBorders>
              <w:top w:val="nil"/>
              <w:left w:val="single" w:sz="4" w:space="0" w:color="auto"/>
              <w:bottom w:val="nil"/>
              <w:right w:val="nil"/>
            </w:tcBorders>
            <w:shd w:val="clear" w:color="000000" w:fill="FFFFFF"/>
            <w:vAlign w:val="bottom"/>
            <w:hideMark/>
          </w:tcPr>
          <w:p w14:paraId="3BC5C79F" w14:textId="77777777" w:rsidR="0064066B" w:rsidRPr="00D275DF" w:rsidRDefault="0064066B" w:rsidP="00B76AD4">
            <w:pPr>
              <w:jc w:val="right"/>
              <w:rPr>
                <w:b/>
                <w:bCs/>
                <w:color w:val="000000"/>
                <w:sz w:val="14"/>
                <w:szCs w:val="14"/>
              </w:rPr>
            </w:pPr>
            <w:r w:rsidRPr="00D275DF">
              <w:rPr>
                <w:b/>
                <w:bCs/>
                <w:color w:val="000000"/>
                <w:sz w:val="14"/>
                <w:szCs w:val="14"/>
              </w:rPr>
              <w:t>-</w:t>
            </w:r>
          </w:p>
        </w:tc>
        <w:tc>
          <w:tcPr>
            <w:tcW w:w="850" w:type="dxa"/>
            <w:tcBorders>
              <w:top w:val="nil"/>
              <w:left w:val="single" w:sz="4" w:space="0" w:color="auto"/>
              <w:bottom w:val="nil"/>
              <w:right w:val="single" w:sz="4" w:space="0" w:color="auto"/>
            </w:tcBorders>
            <w:shd w:val="clear" w:color="000000" w:fill="FFFFFF"/>
            <w:vAlign w:val="bottom"/>
            <w:hideMark/>
          </w:tcPr>
          <w:p w14:paraId="2D87E8A5" w14:textId="77777777" w:rsidR="0064066B" w:rsidRPr="00D275DF" w:rsidRDefault="0064066B" w:rsidP="00B76AD4">
            <w:pPr>
              <w:jc w:val="right"/>
              <w:rPr>
                <w:b/>
                <w:bCs/>
                <w:color w:val="000000"/>
                <w:sz w:val="14"/>
                <w:szCs w:val="14"/>
              </w:rPr>
            </w:pPr>
            <w:r w:rsidRPr="00D275DF">
              <w:rPr>
                <w:b/>
                <w:bCs/>
                <w:color w:val="000000"/>
                <w:sz w:val="14"/>
                <w:szCs w:val="14"/>
              </w:rPr>
              <w:t>-</w:t>
            </w:r>
          </w:p>
        </w:tc>
      </w:tr>
      <w:tr w:rsidR="0064066B" w:rsidRPr="00AC1668" w14:paraId="215963FE" w14:textId="77777777" w:rsidTr="00234709">
        <w:trPr>
          <w:trHeight w:val="113"/>
        </w:trPr>
        <w:tc>
          <w:tcPr>
            <w:tcW w:w="566" w:type="dxa"/>
            <w:tcBorders>
              <w:top w:val="nil"/>
              <w:left w:val="single" w:sz="4" w:space="0" w:color="auto"/>
              <w:bottom w:val="nil"/>
              <w:right w:val="nil"/>
            </w:tcBorders>
            <w:noWrap/>
            <w:hideMark/>
          </w:tcPr>
          <w:p w14:paraId="37E2CD60" w14:textId="77777777" w:rsidR="0064066B" w:rsidRPr="00AC1668" w:rsidRDefault="0064066B" w:rsidP="00B76AD4">
            <w:pPr>
              <w:rPr>
                <w:b/>
                <w:bCs/>
                <w:sz w:val="14"/>
                <w:szCs w:val="14"/>
              </w:rPr>
            </w:pPr>
            <w:r w:rsidRPr="00AC1668">
              <w:rPr>
                <w:b/>
                <w:bCs/>
                <w:sz w:val="14"/>
                <w:szCs w:val="14"/>
              </w:rPr>
              <w:t>2.5</w:t>
            </w:r>
          </w:p>
        </w:tc>
        <w:tc>
          <w:tcPr>
            <w:tcW w:w="6517" w:type="dxa"/>
            <w:tcBorders>
              <w:top w:val="nil"/>
              <w:left w:val="nil"/>
              <w:bottom w:val="nil"/>
              <w:right w:val="single" w:sz="4" w:space="0" w:color="auto"/>
            </w:tcBorders>
            <w:hideMark/>
          </w:tcPr>
          <w:p w14:paraId="12EDA7DB" w14:textId="77777777" w:rsidR="0064066B" w:rsidRPr="00AC1668" w:rsidRDefault="0064066B" w:rsidP="00B76AD4">
            <w:pPr>
              <w:rPr>
                <w:b/>
                <w:bCs/>
                <w:sz w:val="14"/>
                <w:szCs w:val="14"/>
              </w:rPr>
            </w:pPr>
            <w:r w:rsidRPr="00AC1668">
              <w:rPr>
                <w:b/>
                <w:bCs/>
                <w:sz w:val="14"/>
                <w:szCs w:val="14"/>
              </w:rPr>
              <w:t>Özel Karşılıklar (-)</w:t>
            </w:r>
          </w:p>
        </w:tc>
        <w:tc>
          <w:tcPr>
            <w:tcW w:w="709" w:type="dxa"/>
            <w:tcBorders>
              <w:top w:val="nil"/>
              <w:left w:val="nil"/>
              <w:bottom w:val="nil"/>
              <w:right w:val="nil"/>
            </w:tcBorders>
            <w:noWrap/>
            <w:vAlign w:val="bottom"/>
            <w:hideMark/>
          </w:tcPr>
          <w:p w14:paraId="424D3714" w14:textId="77777777" w:rsidR="0064066B" w:rsidRPr="00811132" w:rsidRDefault="0064066B" w:rsidP="00B76AD4">
            <w:pPr>
              <w:jc w:val="center"/>
              <w:rPr>
                <w:b/>
                <w:bCs/>
                <w:color w:val="000000"/>
                <w:sz w:val="16"/>
                <w:szCs w:val="16"/>
                <w:lang w:eastAsia="tr-TR"/>
              </w:rPr>
            </w:pPr>
            <w:r w:rsidRPr="00811132">
              <w:rPr>
                <w:b/>
                <w:bCs/>
                <w:color w:val="000000"/>
                <w:sz w:val="14"/>
                <w:szCs w:val="14"/>
                <w:lang w:eastAsia="tr-TR"/>
              </w:rPr>
              <w:t> </w:t>
            </w:r>
          </w:p>
        </w:tc>
        <w:tc>
          <w:tcPr>
            <w:tcW w:w="770" w:type="dxa"/>
            <w:tcBorders>
              <w:top w:val="nil"/>
              <w:left w:val="single" w:sz="4" w:space="0" w:color="auto"/>
              <w:bottom w:val="nil"/>
              <w:right w:val="nil"/>
            </w:tcBorders>
            <w:shd w:val="clear" w:color="000000" w:fill="FFFFFF"/>
            <w:vAlign w:val="bottom"/>
            <w:hideMark/>
          </w:tcPr>
          <w:p w14:paraId="1C5B39BC" w14:textId="77777777" w:rsidR="0064066B" w:rsidRPr="00D275DF" w:rsidRDefault="0064066B" w:rsidP="00B76AD4">
            <w:pPr>
              <w:jc w:val="right"/>
              <w:rPr>
                <w:b/>
                <w:bCs/>
                <w:color w:val="000000"/>
                <w:sz w:val="14"/>
                <w:szCs w:val="14"/>
              </w:rPr>
            </w:pPr>
            <w:r w:rsidRPr="00D275DF">
              <w:rPr>
                <w:b/>
                <w:bCs/>
                <w:color w:val="000000"/>
                <w:sz w:val="14"/>
                <w:szCs w:val="14"/>
              </w:rPr>
              <w:t>-</w:t>
            </w:r>
          </w:p>
        </w:tc>
        <w:tc>
          <w:tcPr>
            <w:tcW w:w="771" w:type="dxa"/>
            <w:tcBorders>
              <w:top w:val="nil"/>
              <w:left w:val="single" w:sz="4" w:space="0" w:color="auto"/>
              <w:bottom w:val="nil"/>
              <w:right w:val="nil"/>
            </w:tcBorders>
            <w:shd w:val="clear" w:color="000000" w:fill="FFFFFF"/>
            <w:vAlign w:val="bottom"/>
            <w:hideMark/>
          </w:tcPr>
          <w:p w14:paraId="72C29A8A" w14:textId="77777777" w:rsidR="0064066B" w:rsidRPr="00D275DF" w:rsidRDefault="0064066B" w:rsidP="00B76AD4">
            <w:pPr>
              <w:jc w:val="right"/>
              <w:rPr>
                <w:b/>
                <w:bCs/>
                <w:color w:val="000000"/>
                <w:sz w:val="14"/>
                <w:szCs w:val="14"/>
              </w:rPr>
            </w:pPr>
            <w:r w:rsidRPr="00D275DF">
              <w:rPr>
                <w:b/>
                <w:bCs/>
                <w:color w:val="000000"/>
                <w:sz w:val="14"/>
                <w:szCs w:val="14"/>
              </w:rPr>
              <w:t>-</w:t>
            </w:r>
          </w:p>
        </w:tc>
        <w:tc>
          <w:tcPr>
            <w:tcW w:w="850" w:type="dxa"/>
            <w:tcBorders>
              <w:top w:val="nil"/>
              <w:left w:val="single" w:sz="4" w:space="0" w:color="auto"/>
              <w:bottom w:val="nil"/>
              <w:right w:val="single" w:sz="4" w:space="0" w:color="auto"/>
            </w:tcBorders>
            <w:shd w:val="clear" w:color="000000" w:fill="FFFFFF"/>
            <w:vAlign w:val="bottom"/>
            <w:hideMark/>
          </w:tcPr>
          <w:p w14:paraId="2EAF97A5" w14:textId="77777777" w:rsidR="0064066B" w:rsidRPr="00D275DF" w:rsidRDefault="0064066B" w:rsidP="00B76AD4">
            <w:pPr>
              <w:jc w:val="right"/>
              <w:rPr>
                <w:b/>
                <w:bCs/>
                <w:color w:val="000000"/>
                <w:sz w:val="14"/>
                <w:szCs w:val="14"/>
              </w:rPr>
            </w:pPr>
            <w:r w:rsidRPr="00D275DF">
              <w:rPr>
                <w:b/>
                <w:bCs/>
                <w:color w:val="000000"/>
                <w:sz w:val="14"/>
                <w:szCs w:val="14"/>
              </w:rPr>
              <w:t>-</w:t>
            </w:r>
          </w:p>
        </w:tc>
      </w:tr>
      <w:tr w:rsidR="0064066B" w:rsidRPr="00AC1668" w14:paraId="6B672EE7" w14:textId="77777777" w:rsidTr="00234709">
        <w:trPr>
          <w:trHeight w:val="113"/>
        </w:trPr>
        <w:tc>
          <w:tcPr>
            <w:tcW w:w="566" w:type="dxa"/>
            <w:tcBorders>
              <w:top w:val="nil"/>
              <w:left w:val="single" w:sz="4" w:space="0" w:color="auto"/>
              <w:bottom w:val="nil"/>
              <w:right w:val="nil"/>
            </w:tcBorders>
            <w:noWrap/>
            <w:hideMark/>
          </w:tcPr>
          <w:p w14:paraId="7D5DD2F3" w14:textId="77777777" w:rsidR="0064066B" w:rsidRPr="00AC1668" w:rsidRDefault="0064066B" w:rsidP="00B76AD4">
            <w:pPr>
              <w:rPr>
                <w:b/>
                <w:bCs/>
                <w:color w:val="000000"/>
                <w:sz w:val="14"/>
                <w:szCs w:val="14"/>
              </w:rPr>
            </w:pPr>
            <w:r w:rsidRPr="00AC1668">
              <w:rPr>
                <w:b/>
                <w:bCs/>
                <w:color w:val="000000"/>
                <w:sz w:val="14"/>
                <w:szCs w:val="14"/>
              </w:rPr>
              <w:t>III.</w:t>
            </w:r>
          </w:p>
        </w:tc>
        <w:tc>
          <w:tcPr>
            <w:tcW w:w="6517" w:type="dxa"/>
            <w:tcBorders>
              <w:top w:val="nil"/>
              <w:left w:val="nil"/>
              <w:bottom w:val="nil"/>
              <w:right w:val="single" w:sz="4" w:space="0" w:color="auto"/>
            </w:tcBorders>
            <w:hideMark/>
          </w:tcPr>
          <w:p w14:paraId="13729FA7" w14:textId="77777777" w:rsidR="0064066B" w:rsidRPr="00AC1668" w:rsidRDefault="0064066B" w:rsidP="00B76AD4">
            <w:pPr>
              <w:rPr>
                <w:b/>
                <w:bCs/>
                <w:color w:val="000000"/>
                <w:sz w:val="14"/>
                <w:szCs w:val="14"/>
              </w:rPr>
            </w:pPr>
            <w:r w:rsidRPr="00AC1668">
              <w:rPr>
                <w:b/>
                <w:bCs/>
                <w:color w:val="000000"/>
                <w:sz w:val="14"/>
                <w:szCs w:val="14"/>
              </w:rPr>
              <w:t>SATIŞ AMAÇLI ELDE TUTULAN VE DURDURULAN FAALİYETLERE İLİŞKİN DURAN VARLIKLAR (Net)</w:t>
            </w:r>
          </w:p>
        </w:tc>
        <w:tc>
          <w:tcPr>
            <w:tcW w:w="709" w:type="dxa"/>
            <w:tcBorders>
              <w:top w:val="nil"/>
              <w:left w:val="nil"/>
              <w:bottom w:val="nil"/>
              <w:right w:val="single" w:sz="4" w:space="0" w:color="auto"/>
            </w:tcBorders>
            <w:noWrap/>
            <w:vAlign w:val="bottom"/>
            <w:hideMark/>
          </w:tcPr>
          <w:p w14:paraId="2F638862" w14:textId="77777777" w:rsidR="0064066B" w:rsidRPr="00811132" w:rsidRDefault="0064066B" w:rsidP="00B76AD4">
            <w:pPr>
              <w:jc w:val="center"/>
              <w:rPr>
                <w:b/>
                <w:bCs/>
                <w:color w:val="000000"/>
                <w:sz w:val="16"/>
                <w:szCs w:val="16"/>
                <w:lang w:eastAsia="tr-TR"/>
              </w:rPr>
            </w:pPr>
            <w:r w:rsidRPr="00811132">
              <w:rPr>
                <w:b/>
                <w:bCs/>
                <w:color w:val="000000"/>
                <w:sz w:val="14"/>
                <w:szCs w:val="14"/>
                <w:lang w:eastAsia="tr-TR"/>
              </w:rPr>
              <w:t> </w:t>
            </w:r>
          </w:p>
        </w:tc>
        <w:tc>
          <w:tcPr>
            <w:tcW w:w="770" w:type="dxa"/>
            <w:tcBorders>
              <w:top w:val="nil"/>
              <w:left w:val="single" w:sz="4" w:space="0" w:color="auto"/>
              <w:bottom w:val="nil"/>
              <w:right w:val="nil"/>
            </w:tcBorders>
            <w:shd w:val="clear" w:color="000000" w:fill="FFFFFF"/>
            <w:vAlign w:val="bottom"/>
            <w:hideMark/>
          </w:tcPr>
          <w:p w14:paraId="69458E41" w14:textId="77777777" w:rsidR="0064066B" w:rsidRPr="00D275DF" w:rsidRDefault="0064066B" w:rsidP="00B76AD4">
            <w:pPr>
              <w:jc w:val="right"/>
              <w:rPr>
                <w:b/>
                <w:bCs/>
                <w:color w:val="000000"/>
                <w:sz w:val="14"/>
                <w:szCs w:val="14"/>
              </w:rPr>
            </w:pPr>
            <w:r w:rsidRPr="00D275DF">
              <w:rPr>
                <w:b/>
                <w:bCs/>
                <w:color w:val="000000"/>
                <w:sz w:val="14"/>
                <w:szCs w:val="14"/>
              </w:rPr>
              <w:t>-</w:t>
            </w:r>
          </w:p>
        </w:tc>
        <w:tc>
          <w:tcPr>
            <w:tcW w:w="771" w:type="dxa"/>
            <w:tcBorders>
              <w:top w:val="nil"/>
              <w:left w:val="single" w:sz="4" w:space="0" w:color="auto"/>
              <w:bottom w:val="nil"/>
              <w:right w:val="nil"/>
            </w:tcBorders>
            <w:shd w:val="clear" w:color="000000" w:fill="FFFFFF"/>
            <w:vAlign w:val="bottom"/>
            <w:hideMark/>
          </w:tcPr>
          <w:p w14:paraId="2C6F303A" w14:textId="77777777" w:rsidR="0064066B" w:rsidRPr="00D275DF" w:rsidRDefault="0064066B" w:rsidP="00B76AD4">
            <w:pPr>
              <w:jc w:val="right"/>
              <w:rPr>
                <w:b/>
                <w:bCs/>
                <w:color w:val="000000"/>
                <w:sz w:val="14"/>
                <w:szCs w:val="14"/>
              </w:rPr>
            </w:pPr>
            <w:r w:rsidRPr="00D275DF">
              <w:rPr>
                <w:b/>
                <w:bCs/>
                <w:color w:val="000000"/>
                <w:sz w:val="14"/>
                <w:szCs w:val="14"/>
              </w:rPr>
              <w:t>-</w:t>
            </w:r>
          </w:p>
        </w:tc>
        <w:tc>
          <w:tcPr>
            <w:tcW w:w="850" w:type="dxa"/>
            <w:tcBorders>
              <w:top w:val="nil"/>
              <w:left w:val="single" w:sz="4" w:space="0" w:color="auto"/>
              <w:bottom w:val="nil"/>
              <w:right w:val="single" w:sz="4" w:space="0" w:color="auto"/>
            </w:tcBorders>
            <w:shd w:val="clear" w:color="000000" w:fill="FFFFFF"/>
            <w:vAlign w:val="bottom"/>
            <w:hideMark/>
          </w:tcPr>
          <w:p w14:paraId="4099E807" w14:textId="77777777" w:rsidR="0064066B" w:rsidRPr="00D275DF" w:rsidRDefault="0064066B" w:rsidP="00B76AD4">
            <w:pPr>
              <w:jc w:val="right"/>
              <w:rPr>
                <w:b/>
                <w:bCs/>
                <w:color w:val="000000"/>
                <w:sz w:val="14"/>
                <w:szCs w:val="14"/>
              </w:rPr>
            </w:pPr>
            <w:r w:rsidRPr="00D275DF">
              <w:rPr>
                <w:b/>
                <w:bCs/>
                <w:color w:val="000000"/>
                <w:sz w:val="14"/>
                <w:szCs w:val="14"/>
              </w:rPr>
              <w:t>-</w:t>
            </w:r>
          </w:p>
        </w:tc>
      </w:tr>
      <w:tr w:rsidR="0064066B" w:rsidRPr="00AC1668" w14:paraId="690058DE" w14:textId="77777777" w:rsidTr="00234709">
        <w:trPr>
          <w:trHeight w:val="113"/>
        </w:trPr>
        <w:tc>
          <w:tcPr>
            <w:tcW w:w="566" w:type="dxa"/>
            <w:tcBorders>
              <w:top w:val="nil"/>
              <w:left w:val="single" w:sz="4" w:space="0" w:color="auto"/>
              <w:bottom w:val="nil"/>
              <w:right w:val="nil"/>
            </w:tcBorders>
            <w:noWrap/>
            <w:hideMark/>
          </w:tcPr>
          <w:p w14:paraId="707F565E" w14:textId="77777777" w:rsidR="0064066B" w:rsidRPr="00AC1668" w:rsidRDefault="0064066B" w:rsidP="00B76AD4">
            <w:pPr>
              <w:rPr>
                <w:sz w:val="14"/>
                <w:szCs w:val="14"/>
              </w:rPr>
            </w:pPr>
            <w:r w:rsidRPr="00AC1668">
              <w:rPr>
                <w:sz w:val="14"/>
                <w:szCs w:val="14"/>
              </w:rPr>
              <w:t>3.1</w:t>
            </w:r>
          </w:p>
        </w:tc>
        <w:tc>
          <w:tcPr>
            <w:tcW w:w="6517" w:type="dxa"/>
            <w:tcBorders>
              <w:top w:val="nil"/>
              <w:left w:val="nil"/>
              <w:bottom w:val="nil"/>
              <w:right w:val="single" w:sz="4" w:space="0" w:color="auto"/>
            </w:tcBorders>
            <w:hideMark/>
          </w:tcPr>
          <w:p w14:paraId="60213721" w14:textId="77777777" w:rsidR="0064066B" w:rsidRPr="00AC1668" w:rsidRDefault="0064066B" w:rsidP="00B76AD4">
            <w:pPr>
              <w:rPr>
                <w:sz w:val="14"/>
                <w:szCs w:val="14"/>
              </w:rPr>
            </w:pPr>
            <w:r w:rsidRPr="00AC1668">
              <w:rPr>
                <w:sz w:val="14"/>
                <w:szCs w:val="14"/>
              </w:rPr>
              <w:t>Satış Amaçlı</w:t>
            </w:r>
          </w:p>
        </w:tc>
        <w:tc>
          <w:tcPr>
            <w:tcW w:w="709" w:type="dxa"/>
            <w:tcBorders>
              <w:top w:val="nil"/>
              <w:left w:val="nil"/>
              <w:bottom w:val="nil"/>
              <w:right w:val="single" w:sz="4" w:space="0" w:color="auto"/>
            </w:tcBorders>
            <w:noWrap/>
            <w:vAlign w:val="bottom"/>
            <w:hideMark/>
          </w:tcPr>
          <w:p w14:paraId="754CC4E0" w14:textId="77777777" w:rsidR="0064066B" w:rsidRPr="00811132" w:rsidRDefault="0064066B" w:rsidP="00B76AD4">
            <w:pPr>
              <w:jc w:val="center"/>
              <w:rPr>
                <w:b/>
                <w:bCs/>
                <w:color w:val="000000"/>
                <w:sz w:val="16"/>
                <w:szCs w:val="16"/>
                <w:lang w:eastAsia="tr-TR"/>
              </w:rPr>
            </w:pPr>
            <w:r w:rsidRPr="00811132">
              <w:rPr>
                <w:b/>
                <w:bCs/>
                <w:color w:val="000000"/>
                <w:sz w:val="14"/>
                <w:szCs w:val="14"/>
                <w:lang w:eastAsia="tr-TR"/>
              </w:rPr>
              <w:t> </w:t>
            </w:r>
          </w:p>
        </w:tc>
        <w:tc>
          <w:tcPr>
            <w:tcW w:w="770" w:type="dxa"/>
            <w:tcBorders>
              <w:top w:val="nil"/>
              <w:left w:val="single" w:sz="4" w:space="0" w:color="auto"/>
              <w:bottom w:val="nil"/>
              <w:right w:val="nil"/>
            </w:tcBorders>
            <w:shd w:val="clear" w:color="000000" w:fill="FFFFFF"/>
            <w:vAlign w:val="bottom"/>
            <w:hideMark/>
          </w:tcPr>
          <w:p w14:paraId="402C0E2F" w14:textId="77777777" w:rsidR="0064066B" w:rsidRPr="00D275DF" w:rsidRDefault="0064066B" w:rsidP="00B76AD4">
            <w:pPr>
              <w:jc w:val="right"/>
              <w:rPr>
                <w:color w:val="000000"/>
                <w:sz w:val="14"/>
                <w:szCs w:val="14"/>
              </w:rPr>
            </w:pPr>
            <w:r w:rsidRPr="00D275DF">
              <w:rPr>
                <w:color w:val="000000"/>
                <w:sz w:val="14"/>
                <w:szCs w:val="14"/>
              </w:rPr>
              <w:t>-</w:t>
            </w:r>
          </w:p>
        </w:tc>
        <w:tc>
          <w:tcPr>
            <w:tcW w:w="771" w:type="dxa"/>
            <w:tcBorders>
              <w:top w:val="nil"/>
              <w:left w:val="single" w:sz="4" w:space="0" w:color="auto"/>
              <w:bottom w:val="nil"/>
              <w:right w:val="nil"/>
            </w:tcBorders>
            <w:shd w:val="clear" w:color="000000" w:fill="FFFFFF"/>
            <w:vAlign w:val="bottom"/>
            <w:hideMark/>
          </w:tcPr>
          <w:p w14:paraId="7528EBB3" w14:textId="77777777" w:rsidR="0064066B" w:rsidRPr="00D275DF" w:rsidRDefault="0064066B" w:rsidP="00B76AD4">
            <w:pPr>
              <w:jc w:val="right"/>
              <w:rPr>
                <w:color w:val="000000"/>
                <w:sz w:val="14"/>
                <w:szCs w:val="14"/>
              </w:rPr>
            </w:pPr>
            <w:r w:rsidRPr="00D275DF">
              <w:rPr>
                <w:color w:val="000000"/>
                <w:sz w:val="14"/>
                <w:szCs w:val="14"/>
              </w:rPr>
              <w:t>-</w:t>
            </w:r>
          </w:p>
        </w:tc>
        <w:tc>
          <w:tcPr>
            <w:tcW w:w="850" w:type="dxa"/>
            <w:tcBorders>
              <w:top w:val="nil"/>
              <w:left w:val="single" w:sz="4" w:space="0" w:color="auto"/>
              <w:bottom w:val="nil"/>
              <w:right w:val="single" w:sz="4" w:space="0" w:color="auto"/>
            </w:tcBorders>
            <w:shd w:val="clear" w:color="000000" w:fill="FFFFFF"/>
            <w:vAlign w:val="bottom"/>
            <w:hideMark/>
          </w:tcPr>
          <w:p w14:paraId="3DE72EEF" w14:textId="77777777" w:rsidR="0064066B" w:rsidRPr="00D275DF" w:rsidRDefault="0064066B" w:rsidP="00B76AD4">
            <w:pPr>
              <w:jc w:val="right"/>
              <w:rPr>
                <w:color w:val="000000"/>
                <w:sz w:val="14"/>
                <w:szCs w:val="14"/>
              </w:rPr>
            </w:pPr>
            <w:r w:rsidRPr="00D275DF">
              <w:rPr>
                <w:color w:val="000000"/>
                <w:sz w:val="14"/>
                <w:szCs w:val="14"/>
              </w:rPr>
              <w:t>-</w:t>
            </w:r>
          </w:p>
        </w:tc>
      </w:tr>
      <w:tr w:rsidR="0064066B" w:rsidRPr="00AC1668" w14:paraId="7E4CD2B8" w14:textId="77777777" w:rsidTr="00234709">
        <w:trPr>
          <w:trHeight w:val="113"/>
        </w:trPr>
        <w:tc>
          <w:tcPr>
            <w:tcW w:w="566" w:type="dxa"/>
            <w:tcBorders>
              <w:top w:val="nil"/>
              <w:left w:val="single" w:sz="4" w:space="0" w:color="auto"/>
              <w:bottom w:val="nil"/>
              <w:right w:val="nil"/>
            </w:tcBorders>
            <w:noWrap/>
            <w:hideMark/>
          </w:tcPr>
          <w:p w14:paraId="4D5E38E1" w14:textId="77777777" w:rsidR="0064066B" w:rsidRPr="00AC1668" w:rsidRDefault="0064066B" w:rsidP="00B76AD4">
            <w:pPr>
              <w:rPr>
                <w:sz w:val="14"/>
                <w:szCs w:val="14"/>
              </w:rPr>
            </w:pPr>
            <w:r w:rsidRPr="00AC1668">
              <w:rPr>
                <w:sz w:val="14"/>
                <w:szCs w:val="14"/>
              </w:rPr>
              <w:t>3.2</w:t>
            </w:r>
          </w:p>
        </w:tc>
        <w:tc>
          <w:tcPr>
            <w:tcW w:w="6517" w:type="dxa"/>
            <w:tcBorders>
              <w:top w:val="nil"/>
              <w:left w:val="nil"/>
              <w:bottom w:val="nil"/>
              <w:right w:val="single" w:sz="4" w:space="0" w:color="auto"/>
            </w:tcBorders>
            <w:hideMark/>
          </w:tcPr>
          <w:p w14:paraId="32B8EFB9" w14:textId="77777777" w:rsidR="0064066B" w:rsidRPr="00AC1668" w:rsidRDefault="0064066B" w:rsidP="00B76AD4">
            <w:pPr>
              <w:rPr>
                <w:sz w:val="14"/>
                <w:szCs w:val="14"/>
              </w:rPr>
            </w:pPr>
            <w:r w:rsidRPr="00AC1668">
              <w:rPr>
                <w:sz w:val="14"/>
                <w:szCs w:val="14"/>
              </w:rPr>
              <w:t>Durdurulan Faaliyetlere İlişkin</w:t>
            </w:r>
          </w:p>
        </w:tc>
        <w:tc>
          <w:tcPr>
            <w:tcW w:w="709" w:type="dxa"/>
            <w:tcBorders>
              <w:top w:val="nil"/>
              <w:left w:val="nil"/>
              <w:bottom w:val="nil"/>
              <w:right w:val="single" w:sz="4" w:space="0" w:color="auto"/>
            </w:tcBorders>
            <w:noWrap/>
            <w:vAlign w:val="bottom"/>
            <w:hideMark/>
          </w:tcPr>
          <w:p w14:paraId="7BD159D4" w14:textId="77777777" w:rsidR="0064066B" w:rsidRPr="00811132" w:rsidRDefault="0064066B" w:rsidP="00B76AD4">
            <w:pPr>
              <w:jc w:val="center"/>
              <w:rPr>
                <w:b/>
                <w:bCs/>
                <w:color w:val="000000"/>
                <w:sz w:val="16"/>
                <w:szCs w:val="16"/>
                <w:lang w:eastAsia="tr-TR"/>
              </w:rPr>
            </w:pPr>
            <w:r w:rsidRPr="00811132">
              <w:rPr>
                <w:b/>
                <w:bCs/>
                <w:color w:val="000000"/>
                <w:sz w:val="14"/>
                <w:szCs w:val="14"/>
                <w:lang w:eastAsia="tr-TR"/>
              </w:rPr>
              <w:t> </w:t>
            </w:r>
          </w:p>
        </w:tc>
        <w:tc>
          <w:tcPr>
            <w:tcW w:w="770" w:type="dxa"/>
            <w:tcBorders>
              <w:top w:val="nil"/>
              <w:left w:val="single" w:sz="4" w:space="0" w:color="auto"/>
              <w:bottom w:val="nil"/>
              <w:right w:val="nil"/>
            </w:tcBorders>
            <w:shd w:val="clear" w:color="000000" w:fill="FFFFFF"/>
            <w:vAlign w:val="bottom"/>
            <w:hideMark/>
          </w:tcPr>
          <w:p w14:paraId="13B4BB3E" w14:textId="77777777" w:rsidR="0064066B" w:rsidRPr="00D275DF" w:rsidRDefault="0064066B" w:rsidP="00B76AD4">
            <w:pPr>
              <w:jc w:val="right"/>
              <w:rPr>
                <w:color w:val="000000"/>
                <w:sz w:val="14"/>
                <w:szCs w:val="14"/>
              </w:rPr>
            </w:pPr>
            <w:r w:rsidRPr="00D275DF">
              <w:rPr>
                <w:color w:val="000000"/>
                <w:sz w:val="14"/>
                <w:szCs w:val="14"/>
              </w:rPr>
              <w:t>-</w:t>
            </w:r>
          </w:p>
        </w:tc>
        <w:tc>
          <w:tcPr>
            <w:tcW w:w="771" w:type="dxa"/>
            <w:tcBorders>
              <w:top w:val="nil"/>
              <w:left w:val="single" w:sz="4" w:space="0" w:color="auto"/>
              <w:bottom w:val="nil"/>
              <w:right w:val="nil"/>
            </w:tcBorders>
            <w:shd w:val="clear" w:color="000000" w:fill="FFFFFF"/>
            <w:vAlign w:val="bottom"/>
            <w:hideMark/>
          </w:tcPr>
          <w:p w14:paraId="177FF4A5" w14:textId="77777777" w:rsidR="0064066B" w:rsidRPr="00D275DF" w:rsidRDefault="0064066B" w:rsidP="00B76AD4">
            <w:pPr>
              <w:jc w:val="right"/>
              <w:rPr>
                <w:color w:val="000000"/>
                <w:sz w:val="14"/>
                <w:szCs w:val="14"/>
              </w:rPr>
            </w:pPr>
            <w:r w:rsidRPr="00D275DF">
              <w:rPr>
                <w:color w:val="000000"/>
                <w:sz w:val="14"/>
                <w:szCs w:val="14"/>
              </w:rPr>
              <w:t>-</w:t>
            </w:r>
          </w:p>
        </w:tc>
        <w:tc>
          <w:tcPr>
            <w:tcW w:w="850" w:type="dxa"/>
            <w:tcBorders>
              <w:top w:val="nil"/>
              <w:left w:val="single" w:sz="4" w:space="0" w:color="auto"/>
              <w:bottom w:val="nil"/>
              <w:right w:val="single" w:sz="4" w:space="0" w:color="auto"/>
            </w:tcBorders>
            <w:shd w:val="clear" w:color="000000" w:fill="FFFFFF"/>
            <w:vAlign w:val="bottom"/>
            <w:hideMark/>
          </w:tcPr>
          <w:p w14:paraId="22D91D7C" w14:textId="77777777" w:rsidR="0064066B" w:rsidRPr="00D275DF" w:rsidRDefault="0064066B" w:rsidP="00B76AD4">
            <w:pPr>
              <w:jc w:val="right"/>
              <w:rPr>
                <w:color w:val="000000"/>
                <w:sz w:val="14"/>
                <w:szCs w:val="14"/>
              </w:rPr>
            </w:pPr>
            <w:r w:rsidRPr="00D275DF">
              <w:rPr>
                <w:color w:val="000000"/>
                <w:sz w:val="14"/>
                <w:szCs w:val="14"/>
              </w:rPr>
              <w:t>-</w:t>
            </w:r>
          </w:p>
        </w:tc>
      </w:tr>
      <w:tr w:rsidR="0064066B" w:rsidRPr="00AC1668" w14:paraId="398DE2C4" w14:textId="77777777" w:rsidTr="00234709">
        <w:trPr>
          <w:trHeight w:val="113"/>
        </w:trPr>
        <w:tc>
          <w:tcPr>
            <w:tcW w:w="566" w:type="dxa"/>
            <w:tcBorders>
              <w:top w:val="nil"/>
              <w:left w:val="single" w:sz="4" w:space="0" w:color="auto"/>
              <w:bottom w:val="nil"/>
              <w:right w:val="nil"/>
            </w:tcBorders>
            <w:noWrap/>
            <w:hideMark/>
          </w:tcPr>
          <w:p w14:paraId="643CD148" w14:textId="77777777" w:rsidR="0064066B" w:rsidRPr="00AC1668" w:rsidRDefault="0064066B" w:rsidP="00B76AD4">
            <w:pPr>
              <w:rPr>
                <w:b/>
                <w:bCs/>
                <w:color w:val="000000"/>
                <w:sz w:val="14"/>
                <w:szCs w:val="14"/>
              </w:rPr>
            </w:pPr>
            <w:r w:rsidRPr="00AC1668">
              <w:rPr>
                <w:b/>
                <w:bCs/>
                <w:color w:val="000000"/>
                <w:sz w:val="14"/>
                <w:szCs w:val="14"/>
              </w:rPr>
              <w:t>IV.</w:t>
            </w:r>
          </w:p>
        </w:tc>
        <w:tc>
          <w:tcPr>
            <w:tcW w:w="6517" w:type="dxa"/>
            <w:tcBorders>
              <w:top w:val="nil"/>
              <w:left w:val="nil"/>
              <w:bottom w:val="nil"/>
              <w:right w:val="single" w:sz="4" w:space="0" w:color="auto"/>
            </w:tcBorders>
            <w:hideMark/>
          </w:tcPr>
          <w:p w14:paraId="0C359B7D" w14:textId="77777777" w:rsidR="0064066B" w:rsidRPr="00AC1668" w:rsidRDefault="0064066B" w:rsidP="00B76AD4">
            <w:pPr>
              <w:rPr>
                <w:b/>
                <w:bCs/>
                <w:color w:val="000000"/>
                <w:sz w:val="14"/>
                <w:szCs w:val="14"/>
              </w:rPr>
            </w:pPr>
            <w:r w:rsidRPr="00AC1668">
              <w:rPr>
                <w:b/>
                <w:bCs/>
                <w:color w:val="000000"/>
                <w:sz w:val="14"/>
                <w:szCs w:val="14"/>
              </w:rPr>
              <w:t>ORTAKLIK YATIRIMLARI</w:t>
            </w:r>
          </w:p>
        </w:tc>
        <w:tc>
          <w:tcPr>
            <w:tcW w:w="709" w:type="dxa"/>
            <w:tcBorders>
              <w:top w:val="nil"/>
              <w:left w:val="nil"/>
              <w:bottom w:val="nil"/>
              <w:right w:val="single" w:sz="4" w:space="0" w:color="auto"/>
            </w:tcBorders>
            <w:noWrap/>
            <w:vAlign w:val="bottom"/>
            <w:hideMark/>
          </w:tcPr>
          <w:p w14:paraId="7F9AC633" w14:textId="77777777" w:rsidR="0064066B" w:rsidRPr="00811132" w:rsidRDefault="0064066B" w:rsidP="00B76AD4">
            <w:pPr>
              <w:jc w:val="center"/>
              <w:rPr>
                <w:b/>
                <w:bCs/>
                <w:color w:val="000000"/>
                <w:sz w:val="14"/>
                <w:szCs w:val="14"/>
              </w:rPr>
            </w:pPr>
            <w:r w:rsidRPr="00811132">
              <w:rPr>
                <w:b/>
                <w:bCs/>
                <w:color w:val="000000"/>
                <w:sz w:val="14"/>
                <w:szCs w:val="14"/>
              </w:rPr>
              <w:t>(10)</w:t>
            </w:r>
          </w:p>
        </w:tc>
        <w:tc>
          <w:tcPr>
            <w:tcW w:w="770" w:type="dxa"/>
            <w:tcBorders>
              <w:top w:val="nil"/>
              <w:left w:val="single" w:sz="4" w:space="0" w:color="auto"/>
              <w:bottom w:val="nil"/>
              <w:right w:val="nil"/>
            </w:tcBorders>
            <w:shd w:val="clear" w:color="000000" w:fill="FFFFFF"/>
            <w:vAlign w:val="bottom"/>
            <w:hideMark/>
          </w:tcPr>
          <w:p w14:paraId="53F655BE" w14:textId="77777777" w:rsidR="0064066B" w:rsidRPr="00D275DF" w:rsidRDefault="0064066B" w:rsidP="00B76AD4">
            <w:pPr>
              <w:jc w:val="right"/>
              <w:rPr>
                <w:b/>
                <w:bCs/>
                <w:color w:val="000000"/>
                <w:sz w:val="14"/>
                <w:szCs w:val="14"/>
              </w:rPr>
            </w:pPr>
            <w:r w:rsidRPr="00D275DF">
              <w:rPr>
                <w:b/>
                <w:bCs/>
                <w:color w:val="000000"/>
                <w:sz w:val="14"/>
                <w:szCs w:val="14"/>
              </w:rPr>
              <w:t>1.250</w:t>
            </w:r>
          </w:p>
        </w:tc>
        <w:tc>
          <w:tcPr>
            <w:tcW w:w="771" w:type="dxa"/>
            <w:tcBorders>
              <w:top w:val="nil"/>
              <w:left w:val="single" w:sz="4" w:space="0" w:color="auto"/>
              <w:bottom w:val="nil"/>
              <w:right w:val="nil"/>
            </w:tcBorders>
            <w:shd w:val="clear" w:color="000000" w:fill="FFFFFF"/>
            <w:vAlign w:val="bottom"/>
            <w:hideMark/>
          </w:tcPr>
          <w:p w14:paraId="2C4430DE" w14:textId="77777777" w:rsidR="0064066B" w:rsidRPr="00D275DF" w:rsidRDefault="0064066B" w:rsidP="00B76AD4">
            <w:pPr>
              <w:jc w:val="right"/>
              <w:rPr>
                <w:b/>
                <w:bCs/>
                <w:color w:val="000000"/>
                <w:sz w:val="14"/>
                <w:szCs w:val="14"/>
              </w:rPr>
            </w:pPr>
            <w:r w:rsidRPr="00D275DF">
              <w:rPr>
                <w:b/>
                <w:bCs/>
                <w:color w:val="000000"/>
                <w:sz w:val="14"/>
                <w:szCs w:val="14"/>
              </w:rPr>
              <w:t>-</w:t>
            </w:r>
          </w:p>
        </w:tc>
        <w:tc>
          <w:tcPr>
            <w:tcW w:w="850" w:type="dxa"/>
            <w:tcBorders>
              <w:top w:val="nil"/>
              <w:left w:val="single" w:sz="4" w:space="0" w:color="auto"/>
              <w:bottom w:val="nil"/>
              <w:right w:val="single" w:sz="4" w:space="0" w:color="auto"/>
            </w:tcBorders>
            <w:shd w:val="clear" w:color="000000" w:fill="FFFFFF"/>
            <w:vAlign w:val="bottom"/>
            <w:hideMark/>
          </w:tcPr>
          <w:p w14:paraId="4F137C21" w14:textId="77777777" w:rsidR="0064066B" w:rsidRPr="00D275DF" w:rsidRDefault="0064066B" w:rsidP="00B76AD4">
            <w:pPr>
              <w:jc w:val="right"/>
              <w:rPr>
                <w:b/>
                <w:bCs/>
                <w:color w:val="000000"/>
                <w:sz w:val="14"/>
                <w:szCs w:val="14"/>
              </w:rPr>
            </w:pPr>
            <w:r w:rsidRPr="00D275DF">
              <w:rPr>
                <w:b/>
                <w:bCs/>
                <w:color w:val="000000"/>
                <w:sz w:val="14"/>
                <w:szCs w:val="14"/>
              </w:rPr>
              <w:t>1.250</w:t>
            </w:r>
          </w:p>
        </w:tc>
      </w:tr>
      <w:tr w:rsidR="0064066B" w:rsidRPr="00AC1668" w14:paraId="7143D268" w14:textId="77777777" w:rsidTr="00234709">
        <w:trPr>
          <w:trHeight w:val="113"/>
        </w:trPr>
        <w:tc>
          <w:tcPr>
            <w:tcW w:w="566" w:type="dxa"/>
            <w:tcBorders>
              <w:top w:val="nil"/>
              <w:left w:val="single" w:sz="4" w:space="0" w:color="auto"/>
              <w:bottom w:val="nil"/>
              <w:right w:val="nil"/>
            </w:tcBorders>
            <w:noWrap/>
            <w:hideMark/>
          </w:tcPr>
          <w:p w14:paraId="13415ECF" w14:textId="77777777" w:rsidR="0064066B" w:rsidRPr="00AC1668" w:rsidRDefault="0064066B" w:rsidP="00B76AD4">
            <w:pPr>
              <w:rPr>
                <w:b/>
                <w:bCs/>
                <w:sz w:val="14"/>
                <w:szCs w:val="14"/>
              </w:rPr>
            </w:pPr>
            <w:r w:rsidRPr="00AC1668">
              <w:rPr>
                <w:b/>
                <w:bCs/>
                <w:sz w:val="14"/>
                <w:szCs w:val="14"/>
              </w:rPr>
              <w:t>4.1</w:t>
            </w:r>
          </w:p>
        </w:tc>
        <w:tc>
          <w:tcPr>
            <w:tcW w:w="6517" w:type="dxa"/>
            <w:tcBorders>
              <w:top w:val="nil"/>
              <w:left w:val="nil"/>
              <w:bottom w:val="nil"/>
              <w:right w:val="single" w:sz="4" w:space="0" w:color="auto"/>
            </w:tcBorders>
            <w:hideMark/>
          </w:tcPr>
          <w:p w14:paraId="4DDEEA5D" w14:textId="77777777" w:rsidR="0064066B" w:rsidRPr="00AC1668" w:rsidRDefault="0064066B" w:rsidP="00B76AD4">
            <w:pPr>
              <w:rPr>
                <w:b/>
                <w:bCs/>
                <w:sz w:val="14"/>
                <w:szCs w:val="14"/>
              </w:rPr>
            </w:pPr>
            <w:r w:rsidRPr="00AC1668">
              <w:rPr>
                <w:b/>
                <w:bCs/>
                <w:sz w:val="14"/>
                <w:szCs w:val="14"/>
              </w:rPr>
              <w:t>İştirakler (Net)</w:t>
            </w:r>
          </w:p>
        </w:tc>
        <w:tc>
          <w:tcPr>
            <w:tcW w:w="709" w:type="dxa"/>
            <w:tcBorders>
              <w:top w:val="nil"/>
              <w:left w:val="nil"/>
              <w:bottom w:val="nil"/>
              <w:right w:val="single" w:sz="4" w:space="0" w:color="auto"/>
            </w:tcBorders>
            <w:noWrap/>
            <w:vAlign w:val="bottom"/>
            <w:hideMark/>
          </w:tcPr>
          <w:p w14:paraId="7BD1D057" w14:textId="77777777" w:rsidR="0064066B" w:rsidRPr="00811132" w:rsidRDefault="0064066B" w:rsidP="00B76AD4">
            <w:pPr>
              <w:jc w:val="center"/>
              <w:rPr>
                <w:b/>
                <w:bCs/>
                <w:color w:val="000000"/>
                <w:sz w:val="16"/>
                <w:szCs w:val="16"/>
                <w:lang w:eastAsia="tr-TR"/>
              </w:rPr>
            </w:pPr>
            <w:r w:rsidRPr="00811132">
              <w:rPr>
                <w:b/>
                <w:bCs/>
                <w:color w:val="000000"/>
                <w:sz w:val="14"/>
                <w:szCs w:val="14"/>
                <w:lang w:eastAsia="tr-TR"/>
              </w:rPr>
              <w:t> </w:t>
            </w:r>
          </w:p>
        </w:tc>
        <w:tc>
          <w:tcPr>
            <w:tcW w:w="770" w:type="dxa"/>
            <w:tcBorders>
              <w:top w:val="nil"/>
              <w:left w:val="single" w:sz="4" w:space="0" w:color="auto"/>
              <w:bottom w:val="nil"/>
              <w:right w:val="nil"/>
            </w:tcBorders>
            <w:shd w:val="clear" w:color="000000" w:fill="FFFFFF"/>
            <w:vAlign w:val="bottom"/>
            <w:hideMark/>
          </w:tcPr>
          <w:p w14:paraId="73645675" w14:textId="77777777" w:rsidR="0064066B" w:rsidRPr="00D275DF" w:rsidRDefault="0064066B" w:rsidP="00B76AD4">
            <w:pPr>
              <w:jc w:val="right"/>
              <w:rPr>
                <w:b/>
                <w:bCs/>
                <w:color w:val="000000"/>
                <w:sz w:val="14"/>
                <w:szCs w:val="14"/>
              </w:rPr>
            </w:pPr>
            <w:r w:rsidRPr="00D275DF">
              <w:rPr>
                <w:b/>
                <w:bCs/>
                <w:color w:val="000000"/>
                <w:sz w:val="14"/>
                <w:szCs w:val="14"/>
              </w:rPr>
              <w:t>-</w:t>
            </w:r>
          </w:p>
        </w:tc>
        <w:tc>
          <w:tcPr>
            <w:tcW w:w="771" w:type="dxa"/>
            <w:tcBorders>
              <w:top w:val="nil"/>
              <w:left w:val="single" w:sz="4" w:space="0" w:color="auto"/>
              <w:bottom w:val="nil"/>
              <w:right w:val="nil"/>
            </w:tcBorders>
            <w:shd w:val="clear" w:color="000000" w:fill="FFFFFF"/>
            <w:vAlign w:val="bottom"/>
            <w:hideMark/>
          </w:tcPr>
          <w:p w14:paraId="6B55BF70" w14:textId="77777777" w:rsidR="0064066B" w:rsidRPr="00D275DF" w:rsidRDefault="0064066B" w:rsidP="00B76AD4">
            <w:pPr>
              <w:jc w:val="right"/>
              <w:rPr>
                <w:b/>
                <w:bCs/>
                <w:color w:val="000000"/>
                <w:sz w:val="14"/>
                <w:szCs w:val="14"/>
              </w:rPr>
            </w:pPr>
            <w:r w:rsidRPr="00D275DF">
              <w:rPr>
                <w:b/>
                <w:bCs/>
                <w:color w:val="000000"/>
                <w:sz w:val="14"/>
                <w:szCs w:val="14"/>
              </w:rPr>
              <w:t>-</w:t>
            </w:r>
          </w:p>
        </w:tc>
        <w:tc>
          <w:tcPr>
            <w:tcW w:w="850" w:type="dxa"/>
            <w:tcBorders>
              <w:top w:val="nil"/>
              <w:left w:val="single" w:sz="4" w:space="0" w:color="auto"/>
              <w:bottom w:val="nil"/>
              <w:right w:val="single" w:sz="4" w:space="0" w:color="auto"/>
            </w:tcBorders>
            <w:shd w:val="clear" w:color="000000" w:fill="FFFFFF"/>
            <w:vAlign w:val="bottom"/>
            <w:hideMark/>
          </w:tcPr>
          <w:p w14:paraId="539E0C1F" w14:textId="77777777" w:rsidR="0064066B" w:rsidRPr="00D275DF" w:rsidRDefault="0064066B" w:rsidP="00B76AD4">
            <w:pPr>
              <w:jc w:val="right"/>
              <w:rPr>
                <w:b/>
                <w:bCs/>
                <w:color w:val="000000"/>
                <w:sz w:val="14"/>
                <w:szCs w:val="14"/>
              </w:rPr>
            </w:pPr>
            <w:r w:rsidRPr="00D275DF">
              <w:rPr>
                <w:b/>
                <w:bCs/>
                <w:color w:val="000000"/>
                <w:sz w:val="14"/>
                <w:szCs w:val="14"/>
              </w:rPr>
              <w:t>-</w:t>
            </w:r>
          </w:p>
        </w:tc>
      </w:tr>
      <w:tr w:rsidR="0064066B" w:rsidRPr="00AC1668" w14:paraId="55574D62" w14:textId="77777777" w:rsidTr="00234709">
        <w:trPr>
          <w:trHeight w:val="113"/>
        </w:trPr>
        <w:tc>
          <w:tcPr>
            <w:tcW w:w="566" w:type="dxa"/>
            <w:tcBorders>
              <w:top w:val="nil"/>
              <w:left w:val="single" w:sz="4" w:space="0" w:color="auto"/>
              <w:bottom w:val="nil"/>
              <w:right w:val="nil"/>
            </w:tcBorders>
            <w:noWrap/>
            <w:hideMark/>
          </w:tcPr>
          <w:p w14:paraId="51EBD51E" w14:textId="77777777" w:rsidR="0064066B" w:rsidRPr="00AC1668" w:rsidRDefault="0064066B" w:rsidP="00B76AD4">
            <w:pPr>
              <w:rPr>
                <w:sz w:val="14"/>
                <w:szCs w:val="14"/>
              </w:rPr>
            </w:pPr>
            <w:r w:rsidRPr="00AC1668">
              <w:rPr>
                <w:sz w:val="14"/>
                <w:szCs w:val="14"/>
              </w:rPr>
              <w:t>4.1.1</w:t>
            </w:r>
          </w:p>
        </w:tc>
        <w:tc>
          <w:tcPr>
            <w:tcW w:w="6517" w:type="dxa"/>
            <w:tcBorders>
              <w:top w:val="nil"/>
              <w:left w:val="nil"/>
              <w:bottom w:val="nil"/>
              <w:right w:val="single" w:sz="4" w:space="0" w:color="auto"/>
            </w:tcBorders>
            <w:hideMark/>
          </w:tcPr>
          <w:p w14:paraId="5F5BCB1F" w14:textId="77777777" w:rsidR="0064066B" w:rsidRPr="00AC1668" w:rsidRDefault="0064066B" w:rsidP="00B76AD4">
            <w:pPr>
              <w:rPr>
                <w:sz w:val="14"/>
                <w:szCs w:val="14"/>
              </w:rPr>
            </w:pPr>
            <w:r w:rsidRPr="00AC1668">
              <w:rPr>
                <w:sz w:val="14"/>
                <w:szCs w:val="14"/>
              </w:rPr>
              <w:t>Özkaynak Yöntemine Göre Değerlenenler</w:t>
            </w:r>
          </w:p>
        </w:tc>
        <w:tc>
          <w:tcPr>
            <w:tcW w:w="709" w:type="dxa"/>
            <w:tcBorders>
              <w:top w:val="nil"/>
              <w:left w:val="nil"/>
              <w:bottom w:val="nil"/>
              <w:right w:val="single" w:sz="4" w:space="0" w:color="auto"/>
            </w:tcBorders>
            <w:noWrap/>
            <w:vAlign w:val="bottom"/>
            <w:hideMark/>
          </w:tcPr>
          <w:p w14:paraId="5F8C3B54" w14:textId="77777777" w:rsidR="0064066B" w:rsidRPr="00811132" w:rsidRDefault="0064066B" w:rsidP="00B76AD4">
            <w:pPr>
              <w:jc w:val="center"/>
              <w:rPr>
                <w:b/>
                <w:bCs/>
                <w:color w:val="000000"/>
                <w:sz w:val="16"/>
                <w:szCs w:val="16"/>
                <w:lang w:eastAsia="tr-TR"/>
              </w:rPr>
            </w:pPr>
            <w:r w:rsidRPr="00811132">
              <w:rPr>
                <w:b/>
                <w:bCs/>
                <w:color w:val="000000"/>
                <w:sz w:val="14"/>
                <w:szCs w:val="14"/>
                <w:lang w:eastAsia="tr-TR"/>
              </w:rPr>
              <w:t> </w:t>
            </w:r>
          </w:p>
        </w:tc>
        <w:tc>
          <w:tcPr>
            <w:tcW w:w="770" w:type="dxa"/>
            <w:tcBorders>
              <w:top w:val="nil"/>
              <w:left w:val="single" w:sz="4" w:space="0" w:color="auto"/>
              <w:bottom w:val="nil"/>
              <w:right w:val="nil"/>
            </w:tcBorders>
            <w:shd w:val="clear" w:color="000000" w:fill="FFFFFF"/>
            <w:vAlign w:val="bottom"/>
            <w:hideMark/>
          </w:tcPr>
          <w:p w14:paraId="59D05745" w14:textId="77777777" w:rsidR="0064066B" w:rsidRPr="00D275DF" w:rsidRDefault="0064066B" w:rsidP="00B76AD4">
            <w:pPr>
              <w:jc w:val="right"/>
              <w:rPr>
                <w:color w:val="000000"/>
                <w:sz w:val="14"/>
                <w:szCs w:val="14"/>
              </w:rPr>
            </w:pPr>
            <w:r w:rsidRPr="00D275DF">
              <w:rPr>
                <w:color w:val="000000"/>
                <w:sz w:val="14"/>
                <w:szCs w:val="14"/>
              </w:rPr>
              <w:t>-</w:t>
            </w:r>
          </w:p>
        </w:tc>
        <w:tc>
          <w:tcPr>
            <w:tcW w:w="771" w:type="dxa"/>
            <w:tcBorders>
              <w:top w:val="nil"/>
              <w:left w:val="single" w:sz="4" w:space="0" w:color="auto"/>
              <w:bottom w:val="nil"/>
              <w:right w:val="nil"/>
            </w:tcBorders>
            <w:shd w:val="clear" w:color="000000" w:fill="FFFFFF"/>
            <w:vAlign w:val="bottom"/>
            <w:hideMark/>
          </w:tcPr>
          <w:p w14:paraId="28B0DF8A" w14:textId="77777777" w:rsidR="0064066B" w:rsidRPr="00D275DF" w:rsidRDefault="0064066B" w:rsidP="00B76AD4">
            <w:pPr>
              <w:jc w:val="right"/>
              <w:rPr>
                <w:color w:val="000000"/>
                <w:sz w:val="14"/>
                <w:szCs w:val="14"/>
              </w:rPr>
            </w:pPr>
            <w:r w:rsidRPr="00D275DF">
              <w:rPr>
                <w:color w:val="000000"/>
                <w:sz w:val="14"/>
                <w:szCs w:val="14"/>
              </w:rPr>
              <w:t>-</w:t>
            </w:r>
          </w:p>
        </w:tc>
        <w:tc>
          <w:tcPr>
            <w:tcW w:w="850" w:type="dxa"/>
            <w:tcBorders>
              <w:top w:val="nil"/>
              <w:left w:val="single" w:sz="4" w:space="0" w:color="auto"/>
              <w:bottom w:val="nil"/>
              <w:right w:val="single" w:sz="4" w:space="0" w:color="auto"/>
            </w:tcBorders>
            <w:shd w:val="clear" w:color="000000" w:fill="FFFFFF"/>
            <w:vAlign w:val="bottom"/>
            <w:hideMark/>
          </w:tcPr>
          <w:p w14:paraId="247C7312" w14:textId="77777777" w:rsidR="0064066B" w:rsidRPr="00D275DF" w:rsidRDefault="0064066B" w:rsidP="00B76AD4">
            <w:pPr>
              <w:jc w:val="right"/>
              <w:rPr>
                <w:color w:val="000000"/>
                <w:sz w:val="14"/>
                <w:szCs w:val="14"/>
              </w:rPr>
            </w:pPr>
            <w:r w:rsidRPr="00D275DF">
              <w:rPr>
                <w:color w:val="000000"/>
                <w:sz w:val="14"/>
                <w:szCs w:val="14"/>
              </w:rPr>
              <w:t>-</w:t>
            </w:r>
          </w:p>
        </w:tc>
      </w:tr>
      <w:tr w:rsidR="0064066B" w:rsidRPr="00AC1668" w14:paraId="228C030A" w14:textId="77777777" w:rsidTr="00234709">
        <w:trPr>
          <w:trHeight w:val="113"/>
        </w:trPr>
        <w:tc>
          <w:tcPr>
            <w:tcW w:w="566" w:type="dxa"/>
            <w:tcBorders>
              <w:top w:val="nil"/>
              <w:left w:val="single" w:sz="4" w:space="0" w:color="auto"/>
              <w:bottom w:val="nil"/>
              <w:right w:val="nil"/>
            </w:tcBorders>
            <w:noWrap/>
            <w:hideMark/>
          </w:tcPr>
          <w:p w14:paraId="11408C42" w14:textId="77777777" w:rsidR="0064066B" w:rsidRPr="00AC1668" w:rsidRDefault="0064066B" w:rsidP="00B76AD4">
            <w:pPr>
              <w:rPr>
                <w:sz w:val="14"/>
                <w:szCs w:val="14"/>
              </w:rPr>
            </w:pPr>
            <w:r w:rsidRPr="00AC1668">
              <w:rPr>
                <w:sz w:val="14"/>
                <w:szCs w:val="14"/>
              </w:rPr>
              <w:t>4.1.2</w:t>
            </w:r>
          </w:p>
        </w:tc>
        <w:tc>
          <w:tcPr>
            <w:tcW w:w="6517" w:type="dxa"/>
            <w:tcBorders>
              <w:top w:val="nil"/>
              <w:left w:val="nil"/>
              <w:bottom w:val="nil"/>
              <w:right w:val="single" w:sz="4" w:space="0" w:color="auto"/>
            </w:tcBorders>
            <w:hideMark/>
          </w:tcPr>
          <w:p w14:paraId="745189C7" w14:textId="77777777" w:rsidR="0064066B" w:rsidRPr="00AC1668" w:rsidRDefault="0064066B" w:rsidP="00B76AD4">
            <w:pPr>
              <w:rPr>
                <w:sz w:val="14"/>
                <w:szCs w:val="14"/>
              </w:rPr>
            </w:pPr>
            <w:r w:rsidRPr="00AC1668">
              <w:rPr>
                <w:sz w:val="14"/>
                <w:szCs w:val="14"/>
              </w:rPr>
              <w:t>Konsolide Edilmeyenler</w:t>
            </w:r>
          </w:p>
        </w:tc>
        <w:tc>
          <w:tcPr>
            <w:tcW w:w="709" w:type="dxa"/>
            <w:tcBorders>
              <w:top w:val="nil"/>
              <w:left w:val="nil"/>
              <w:bottom w:val="nil"/>
              <w:right w:val="single" w:sz="4" w:space="0" w:color="auto"/>
            </w:tcBorders>
            <w:noWrap/>
            <w:vAlign w:val="bottom"/>
            <w:hideMark/>
          </w:tcPr>
          <w:p w14:paraId="771F9445" w14:textId="77777777" w:rsidR="0064066B" w:rsidRPr="00811132" w:rsidRDefault="0064066B" w:rsidP="00B76AD4">
            <w:pPr>
              <w:jc w:val="center"/>
              <w:rPr>
                <w:b/>
                <w:bCs/>
                <w:color w:val="000000"/>
                <w:sz w:val="16"/>
                <w:szCs w:val="16"/>
                <w:lang w:eastAsia="tr-TR"/>
              </w:rPr>
            </w:pPr>
            <w:r w:rsidRPr="00811132">
              <w:rPr>
                <w:b/>
                <w:bCs/>
                <w:color w:val="000000"/>
                <w:sz w:val="14"/>
                <w:szCs w:val="14"/>
                <w:lang w:eastAsia="tr-TR"/>
              </w:rPr>
              <w:t> </w:t>
            </w:r>
          </w:p>
        </w:tc>
        <w:tc>
          <w:tcPr>
            <w:tcW w:w="770" w:type="dxa"/>
            <w:tcBorders>
              <w:top w:val="nil"/>
              <w:left w:val="single" w:sz="4" w:space="0" w:color="auto"/>
              <w:bottom w:val="nil"/>
              <w:right w:val="nil"/>
            </w:tcBorders>
            <w:shd w:val="clear" w:color="000000" w:fill="FFFFFF"/>
            <w:vAlign w:val="bottom"/>
            <w:hideMark/>
          </w:tcPr>
          <w:p w14:paraId="7FB55367" w14:textId="77777777" w:rsidR="0064066B" w:rsidRPr="00D275DF" w:rsidRDefault="0064066B" w:rsidP="00B76AD4">
            <w:pPr>
              <w:jc w:val="right"/>
              <w:rPr>
                <w:color w:val="000000"/>
                <w:sz w:val="14"/>
                <w:szCs w:val="14"/>
              </w:rPr>
            </w:pPr>
            <w:r w:rsidRPr="00D275DF">
              <w:rPr>
                <w:color w:val="000000"/>
                <w:sz w:val="14"/>
                <w:szCs w:val="14"/>
              </w:rPr>
              <w:t>-</w:t>
            </w:r>
          </w:p>
        </w:tc>
        <w:tc>
          <w:tcPr>
            <w:tcW w:w="771" w:type="dxa"/>
            <w:tcBorders>
              <w:top w:val="nil"/>
              <w:left w:val="single" w:sz="4" w:space="0" w:color="auto"/>
              <w:bottom w:val="nil"/>
              <w:right w:val="nil"/>
            </w:tcBorders>
            <w:shd w:val="clear" w:color="000000" w:fill="FFFFFF"/>
            <w:vAlign w:val="bottom"/>
            <w:hideMark/>
          </w:tcPr>
          <w:p w14:paraId="6A4D8CCD" w14:textId="77777777" w:rsidR="0064066B" w:rsidRPr="00D275DF" w:rsidRDefault="0064066B" w:rsidP="00B76AD4">
            <w:pPr>
              <w:jc w:val="right"/>
              <w:rPr>
                <w:color w:val="000000"/>
                <w:sz w:val="14"/>
                <w:szCs w:val="14"/>
              </w:rPr>
            </w:pPr>
            <w:r w:rsidRPr="00D275DF">
              <w:rPr>
                <w:color w:val="000000"/>
                <w:sz w:val="14"/>
                <w:szCs w:val="14"/>
              </w:rPr>
              <w:t>-</w:t>
            </w:r>
          </w:p>
        </w:tc>
        <w:tc>
          <w:tcPr>
            <w:tcW w:w="850" w:type="dxa"/>
            <w:tcBorders>
              <w:top w:val="nil"/>
              <w:left w:val="single" w:sz="4" w:space="0" w:color="auto"/>
              <w:bottom w:val="nil"/>
              <w:right w:val="single" w:sz="4" w:space="0" w:color="auto"/>
            </w:tcBorders>
            <w:shd w:val="clear" w:color="000000" w:fill="FFFFFF"/>
            <w:vAlign w:val="bottom"/>
            <w:hideMark/>
          </w:tcPr>
          <w:p w14:paraId="3C1F9460" w14:textId="77777777" w:rsidR="0064066B" w:rsidRPr="00D275DF" w:rsidRDefault="0064066B" w:rsidP="00B76AD4">
            <w:pPr>
              <w:jc w:val="right"/>
              <w:rPr>
                <w:color w:val="000000"/>
                <w:sz w:val="14"/>
                <w:szCs w:val="14"/>
              </w:rPr>
            </w:pPr>
            <w:r w:rsidRPr="00D275DF">
              <w:rPr>
                <w:color w:val="000000"/>
                <w:sz w:val="14"/>
                <w:szCs w:val="14"/>
              </w:rPr>
              <w:t>-</w:t>
            </w:r>
          </w:p>
        </w:tc>
      </w:tr>
      <w:tr w:rsidR="0064066B" w:rsidRPr="00AC1668" w14:paraId="7A69A366" w14:textId="77777777" w:rsidTr="00234709">
        <w:trPr>
          <w:trHeight w:val="113"/>
        </w:trPr>
        <w:tc>
          <w:tcPr>
            <w:tcW w:w="566" w:type="dxa"/>
            <w:tcBorders>
              <w:top w:val="nil"/>
              <w:left w:val="single" w:sz="4" w:space="0" w:color="auto"/>
              <w:bottom w:val="nil"/>
              <w:right w:val="nil"/>
            </w:tcBorders>
            <w:noWrap/>
            <w:hideMark/>
          </w:tcPr>
          <w:p w14:paraId="705D5A24" w14:textId="77777777" w:rsidR="0064066B" w:rsidRPr="00AC1668" w:rsidRDefault="0064066B" w:rsidP="00B76AD4">
            <w:pPr>
              <w:rPr>
                <w:b/>
                <w:bCs/>
                <w:sz w:val="14"/>
                <w:szCs w:val="14"/>
              </w:rPr>
            </w:pPr>
            <w:r w:rsidRPr="00AC1668">
              <w:rPr>
                <w:b/>
                <w:bCs/>
                <w:sz w:val="14"/>
                <w:szCs w:val="14"/>
              </w:rPr>
              <w:t>4.2</w:t>
            </w:r>
          </w:p>
        </w:tc>
        <w:tc>
          <w:tcPr>
            <w:tcW w:w="6517" w:type="dxa"/>
            <w:tcBorders>
              <w:top w:val="nil"/>
              <w:left w:val="nil"/>
              <w:bottom w:val="nil"/>
              <w:right w:val="single" w:sz="4" w:space="0" w:color="auto"/>
            </w:tcBorders>
            <w:hideMark/>
          </w:tcPr>
          <w:p w14:paraId="48580A2B" w14:textId="77777777" w:rsidR="0064066B" w:rsidRPr="00AC1668" w:rsidRDefault="0064066B" w:rsidP="00B76AD4">
            <w:pPr>
              <w:rPr>
                <w:b/>
                <w:bCs/>
                <w:sz w:val="14"/>
                <w:szCs w:val="14"/>
              </w:rPr>
            </w:pPr>
            <w:r w:rsidRPr="00AC1668">
              <w:rPr>
                <w:b/>
                <w:bCs/>
                <w:sz w:val="14"/>
                <w:szCs w:val="14"/>
              </w:rPr>
              <w:t>Bağlı Ortaklıklar (Net)</w:t>
            </w:r>
          </w:p>
        </w:tc>
        <w:tc>
          <w:tcPr>
            <w:tcW w:w="709" w:type="dxa"/>
            <w:tcBorders>
              <w:top w:val="nil"/>
              <w:left w:val="nil"/>
              <w:bottom w:val="nil"/>
              <w:right w:val="single" w:sz="4" w:space="0" w:color="auto"/>
            </w:tcBorders>
            <w:noWrap/>
            <w:vAlign w:val="bottom"/>
            <w:hideMark/>
          </w:tcPr>
          <w:p w14:paraId="748AED75" w14:textId="77777777" w:rsidR="0064066B" w:rsidRPr="00811132" w:rsidRDefault="0064066B" w:rsidP="00B76AD4">
            <w:pPr>
              <w:jc w:val="center"/>
              <w:rPr>
                <w:b/>
                <w:bCs/>
                <w:color w:val="000000"/>
                <w:sz w:val="14"/>
                <w:szCs w:val="14"/>
              </w:rPr>
            </w:pPr>
            <w:r w:rsidRPr="00811132">
              <w:rPr>
                <w:b/>
                <w:bCs/>
                <w:color w:val="000000"/>
                <w:sz w:val="14"/>
                <w:szCs w:val="14"/>
              </w:rPr>
              <w:t>(10)</w:t>
            </w:r>
          </w:p>
        </w:tc>
        <w:tc>
          <w:tcPr>
            <w:tcW w:w="770" w:type="dxa"/>
            <w:tcBorders>
              <w:top w:val="nil"/>
              <w:left w:val="single" w:sz="4" w:space="0" w:color="auto"/>
              <w:bottom w:val="nil"/>
              <w:right w:val="nil"/>
            </w:tcBorders>
            <w:shd w:val="clear" w:color="000000" w:fill="FFFFFF"/>
            <w:vAlign w:val="bottom"/>
            <w:hideMark/>
          </w:tcPr>
          <w:p w14:paraId="019779D2" w14:textId="77777777" w:rsidR="0064066B" w:rsidRPr="00D275DF" w:rsidRDefault="0064066B" w:rsidP="00B76AD4">
            <w:pPr>
              <w:jc w:val="right"/>
              <w:rPr>
                <w:b/>
                <w:bCs/>
                <w:color w:val="000000"/>
                <w:sz w:val="14"/>
                <w:szCs w:val="14"/>
              </w:rPr>
            </w:pPr>
            <w:r w:rsidRPr="00D275DF">
              <w:rPr>
                <w:b/>
                <w:bCs/>
                <w:color w:val="000000"/>
                <w:sz w:val="14"/>
                <w:szCs w:val="14"/>
              </w:rPr>
              <w:t>1.250</w:t>
            </w:r>
          </w:p>
        </w:tc>
        <w:tc>
          <w:tcPr>
            <w:tcW w:w="771" w:type="dxa"/>
            <w:tcBorders>
              <w:top w:val="nil"/>
              <w:left w:val="single" w:sz="4" w:space="0" w:color="auto"/>
              <w:bottom w:val="nil"/>
              <w:right w:val="nil"/>
            </w:tcBorders>
            <w:shd w:val="clear" w:color="000000" w:fill="FFFFFF"/>
            <w:vAlign w:val="bottom"/>
            <w:hideMark/>
          </w:tcPr>
          <w:p w14:paraId="2B2913A7" w14:textId="77777777" w:rsidR="0064066B" w:rsidRPr="00D275DF" w:rsidRDefault="0064066B" w:rsidP="00B76AD4">
            <w:pPr>
              <w:jc w:val="right"/>
              <w:rPr>
                <w:b/>
                <w:bCs/>
                <w:color w:val="000000"/>
                <w:sz w:val="14"/>
                <w:szCs w:val="14"/>
              </w:rPr>
            </w:pPr>
            <w:r w:rsidRPr="00D275DF">
              <w:rPr>
                <w:b/>
                <w:bCs/>
                <w:color w:val="000000"/>
                <w:sz w:val="14"/>
                <w:szCs w:val="14"/>
              </w:rPr>
              <w:t>-</w:t>
            </w:r>
          </w:p>
        </w:tc>
        <w:tc>
          <w:tcPr>
            <w:tcW w:w="850" w:type="dxa"/>
            <w:tcBorders>
              <w:top w:val="nil"/>
              <w:left w:val="single" w:sz="4" w:space="0" w:color="auto"/>
              <w:bottom w:val="nil"/>
              <w:right w:val="single" w:sz="4" w:space="0" w:color="auto"/>
            </w:tcBorders>
            <w:shd w:val="clear" w:color="000000" w:fill="FFFFFF"/>
            <w:vAlign w:val="bottom"/>
            <w:hideMark/>
          </w:tcPr>
          <w:p w14:paraId="61E3C782" w14:textId="77777777" w:rsidR="0064066B" w:rsidRPr="00D275DF" w:rsidRDefault="0064066B" w:rsidP="00B76AD4">
            <w:pPr>
              <w:jc w:val="right"/>
              <w:rPr>
                <w:b/>
                <w:bCs/>
                <w:color w:val="000000"/>
                <w:sz w:val="14"/>
                <w:szCs w:val="14"/>
              </w:rPr>
            </w:pPr>
            <w:r w:rsidRPr="00D275DF">
              <w:rPr>
                <w:b/>
                <w:bCs/>
                <w:color w:val="000000"/>
                <w:sz w:val="14"/>
                <w:szCs w:val="14"/>
              </w:rPr>
              <w:t>1.250</w:t>
            </w:r>
          </w:p>
        </w:tc>
      </w:tr>
      <w:tr w:rsidR="0064066B" w:rsidRPr="00AC1668" w14:paraId="07C9778D" w14:textId="77777777" w:rsidTr="00234709">
        <w:trPr>
          <w:trHeight w:val="113"/>
        </w:trPr>
        <w:tc>
          <w:tcPr>
            <w:tcW w:w="566" w:type="dxa"/>
            <w:tcBorders>
              <w:top w:val="nil"/>
              <w:left w:val="single" w:sz="4" w:space="0" w:color="auto"/>
              <w:bottom w:val="nil"/>
              <w:right w:val="nil"/>
            </w:tcBorders>
            <w:noWrap/>
            <w:hideMark/>
          </w:tcPr>
          <w:p w14:paraId="41AE680E" w14:textId="77777777" w:rsidR="0064066B" w:rsidRPr="00AC1668" w:rsidRDefault="0064066B" w:rsidP="00B76AD4">
            <w:pPr>
              <w:rPr>
                <w:sz w:val="14"/>
                <w:szCs w:val="14"/>
              </w:rPr>
            </w:pPr>
            <w:r w:rsidRPr="00AC1668">
              <w:rPr>
                <w:sz w:val="14"/>
                <w:szCs w:val="14"/>
              </w:rPr>
              <w:t>4.2.1</w:t>
            </w:r>
          </w:p>
        </w:tc>
        <w:tc>
          <w:tcPr>
            <w:tcW w:w="6517" w:type="dxa"/>
            <w:tcBorders>
              <w:top w:val="nil"/>
              <w:left w:val="nil"/>
              <w:bottom w:val="nil"/>
              <w:right w:val="single" w:sz="4" w:space="0" w:color="auto"/>
            </w:tcBorders>
            <w:hideMark/>
          </w:tcPr>
          <w:p w14:paraId="5ADABF6B" w14:textId="77777777" w:rsidR="0064066B" w:rsidRPr="00AC1668" w:rsidRDefault="0064066B" w:rsidP="00B76AD4">
            <w:pPr>
              <w:rPr>
                <w:sz w:val="14"/>
                <w:szCs w:val="14"/>
              </w:rPr>
            </w:pPr>
            <w:r w:rsidRPr="00AC1668">
              <w:rPr>
                <w:sz w:val="14"/>
                <w:szCs w:val="14"/>
              </w:rPr>
              <w:t>Konsolide Edilmeyen Mali Ortaklıklar</w:t>
            </w:r>
          </w:p>
        </w:tc>
        <w:tc>
          <w:tcPr>
            <w:tcW w:w="709" w:type="dxa"/>
            <w:tcBorders>
              <w:top w:val="nil"/>
              <w:left w:val="nil"/>
              <w:bottom w:val="nil"/>
              <w:right w:val="single" w:sz="4" w:space="0" w:color="auto"/>
            </w:tcBorders>
            <w:noWrap/>
            <w:vAlign w:val="bottom"/>
            <w:hideMark/>
          </w:tcPr>
          <w:p w14:paraId="14EE6003" w14:textId="77777777" w:rsidR="0064066B" w:rsidRPr="00811132" w:rsidRDefault="0064066B" w:rsidP="00B76AD4">
            <w:pPr>
              <w:jc w:val="center"/>
              <w:rPr>
                <w:color w:val="000000"/>
                <w:sz w:val="16"/>
                <w:szCs w:val="16"/>
                <w:lang w:eastAsia="tr-TR"/>
              </w:rPr>
            </w:pPr>
            <w:r w:rsidRPr="00811132">
              <w:rPr>
                <w:color w:val="000000"/>
                <w:sz w:val="14"/>
                <w:szCs w:val="14"/>
              </w:rPr>
              <w:t>(10)</w:t>
            </w:r>
          </w:p>
        </w:tc>
        <w:tc>
          <w:tcPr>
            <w:tcW w:w="770" w:type="dxa"/>
            <w:tcBorders>
              <w:top w:val="nil"/>
              <w:left w:val="single" w:sz="4" w:space="0" w:color="auto"/>
              <w:bottom w:val="nil"/>
              <w:right w:val="nil"/>
            </w:tcBorders>
            <w:shd w:val="clear" w:color="000000" w:fill="FFFFFF"/>
            <w:vAlign w:val="bottom"/>
            <w:hideMark/>
          </w:tcPr>
          <w:p w14:paraId="4D2EBCE0" w14:textId="77777777" w:rsidR="0064066B" w:rsidRPr="00D275DF" w:rsidRDefault="0064066B" w:rsidP="00B76AD4">
            <w:pPr>
              <w:jc w:val="right"/>
              <w:rPr>
                <w:color w:val="000000"/>
                <w:sz w:val="14"/>
                <w:szCs w:val="14"/>
              </w:rPr>
            </w:pPr>
            <w:r w:rsidRPr="00D275DF">
              <w:rPr>
                <w:color w:val="000000"/>
                <w:sz w:val="14"/>
                <w:szCs w:val="14"/>
              </w:rPr>
              <w:t>-</w:t>
            </w:r>
          </w:p>
        </w:tc>
        <w:tc>
          <w:tcPr>
            <w:tcW w:w="771" w:type="dxa"/>
            <w:tcBorders>
              <w:top w:val="nil"/>
              <w:left w:val="single" w:sz="4" w:space="0" w:color="auto"/>
              <w:bottom w:val="nil"/>
              <w:right w:val="nil"/>
            </w:tcBorders>
            <w:shd w:val="clear" w:color="000000" w:fill="FFFFFF"/>
            <w:vAlign w:val="bottom"/>
            <w:hideMark/>
          </w:tcPr>
          <w:p w14:paraId="1510C288" w14:textId="77777777" w:rsidR="0064066B" w:rsidRPr="00D275DF" w:rsidRDefault="0064066B" w:rsidP="00B76AD4">
            <w:pPr>
              <w:jc w:val="right"/>
              <w:rPr>
                <w:color w:val="000000"/>
                <w:sz w:val="14"/>
                <w:szCs w:val="14"/>
              </w:rPr>
            </w:pPr>
            <w:r w:rsidRPr="00D275DF">
              <w:rPr>
                <w:color w:val="000000"/>
                <w:sz w:val="14"/>
                <w:szCs w:val="14"/>
              </w:rPr>
              <w:t>-</w:t>
            </w:r>
          </w:p>
        </w:tc>
        <w:tc>
          <w:tcPr>
            <w:tcW w:w="850" w:type="dxa"/>
            <w:tcBorders>
              <w:top w:val="nil"/>
              <w:left w:val="single" w:sz="4" w:space="0" w:color="auto"/>
              <w:bottom w:val="nil"/>
              <w:right w:val="single" w:sz="4" w:space="0" w:color="auto"/>
            </w:tcBorders>
            <w:shd w:val="clear" w:color="000000" w:fill="FFFFFF"/>
            <w:vAlign w:val="bottom"/>
            <w:hideMark/>
          </w:tcPr>
          <w:p w14:paraId="3F039720" w14:textId="77777777" w:rsidR="0064066B" w:rsidRPr="00D275DF" w:rsidRDefault="0064066B" w:rsidP="00B76AD4">
            <w:pPr>
              <w:jc w:val="right"/>
              <w:rPr>
                <w:color w:val="000000"/>
                <w:sz w:val="14"/>
                <w:szCs w:val="14"/>
              </w:rPr>
            </w:pPr>
            <w:r w:rsidRPr="00D275DF">
              <w:rPr>
                <w:color w:val="000000"/>
                <w:sz w:val="14"/>
                <w:szCs w:val="14"/>
              </w:rPr>
              <w:t>-</w:t>
            </w:r>
          </w:p>
        </w:tc>
      </w:tr>
      <w:tr w:rsidR="0064066B" w:rsidRPr="00AC1668" w14:paraId="7F6330C8" w14:textId="77777777" w:rsidTr="00234709">
        <w:trPr>
          <w:trHeight w:val="113"/>
        </w:trPr>
        <w:tc>
          <w:tcPr>
            <w:tcW w:w="566" w:type="dxa"/>
            <w:tcBorders>
              <w:top w:val="nil"/>
              <w:left w:val="single" w:sz="4" w:space="0" w:color="auto"/>
              <w:bottom w:val="nil"/>
              <w:right w:val="nil"/>
            </w:tcBorders>
            <w:noWrap/>
            <w:hideMark/>
          </w:tcPr>
          <w:p w14:paraId="56FC164A" w14:textId="77777777" w:rsidR="0064066B" w:rsidRPr="00AC1668" w:rsidRDefault="0064066B" w:rsidP="00B76AD4">
            <w:pPr>
              <w:rPr>
                <w:sz w:val="14"/>
                <w:szCs w:val="14"/>
              </w:rPr>
            </w:pPr>
            <w:r w:rsidRPr="00AC1668">
              <w:rPr>
                <w:sz w:val="14"/>
                <w:szCs w:val="14"/>
              </w:rPr>
              <w:t>4.2.2</w:t>
            </w:r>
          </w:p>
        </w:tc>
        <w:tc>
          <w:tcPr>
            <w:tcW w:w="6517" w:type="dxa"/>
            <w:tcBorders>
              <w:top w:val="nil"/>
              <w:left w:val="nil"/>
              <w:bottom w:val="nil"/>
              <w:right w:val="single" w:sz="4" w:space="0" w:color="auto"/>
            </w:tcBorders>
            <w:hideMark/>
          </w:tcPr>
          <w:p w14:paraId="1FF00C52" w14:textId="77777777" w:rsidR="0064066B" w:rsidRPr="00AC1668" w:rsidRDefault="0064066B" w:rsidP="00B76AD4">
            <w:pPr>
              <w:rPr>
                <w:sz w:val="14"/>
                <w:szCs w:val="14"/>
              </w:rPr>
            </w:pPr>
            <w:r w:rsidRPr="00AC1668">
              <w:rPr>
                <w:sz w:val="14"/>
                <w:szCs w:val="14"/>
              </w:rPr>
              <w:t>Konsolide Edilmeyen Mali Olmayan Ortaklıklar</w:t>
            </w:r>
          </w:p>
        </w:tc>
        <w:tc>
          <w:tcPr>
            <w:tcW w:w="709" w:type="dxa"/>
            <w:tcBorders>
              <w:top w:val="nil"/>
              <w:left w:val="nil"/>
              <w:bottom w:val="nil"/>
              <w:right w:val="single" w:sz="4" w:space="0" w:color="auto"/>
            </w:tcBorders>
            <w:noWrap/>
            <w:vAlign w:val="bottom"/>
            <w:hideMark/>
          </w:tcPr>
          <w:p w14:paraId="57156DCB" w14:textId="77777777" w:rsidR="0064066B" w:rsidRPr="00811132" w:rsidRDefault="0064066B" w:rsidP="00B76AD4">
            <w:pPr>
              <w:jc w:val="center"/>
              <w:rPr>
                <w:color w:val="000000"/>
                <w:sz w:val="14"/>
                <w:szCs w:val="14"/>
              </w:rPr>
            </w:pPr>
            <w:r w:rsidRPr="00811132">
              <w:rPr>
                <w:color w:val="000000"/>
                <w:sz w:val="14"/>
                <w:szCs w:val="14"/>
              </w:rPr>
              <w:t>(10)</w:t>
            </w:r>
          </w:p>
        </w:tc>
        <w:tc>
          <w:tcPr>
            <w:tcW w:w="770" w:type="dxa"/>
            <w:tcBorders>
              <w:top w:val="nil"/>
              <w:left w:val="single" w:sz="4" w:space="0" w:color="auto"/>
              <w:bottom w:val="nil"/>
              <w:right w:val="nil"/>
            </w:tcBorders>
            <w:shd w:val="clear" w:color="000000" w:fill="FFFFFF"/>
            <w:vAlign w:val="bottom"/>
            <w:hideMark/>
          </w:tcPr>
          <w:p w14:paraId="1255EE44" w14:textId="77777777" w:rsidR="0064066B" w:rsidRPr="00D275DF" w:rsidRDefault="0064066B" w:rsidP="00B76AD4">
            <w:pPr>
              <w:jc w:val="right"/>
              <w:rPr>
                <w:color w:val="000000"/>
                <w:sz w:val="14"/>
                <w:szCs w:val="14"/>
              </w:rPr>
            </w:pPr>
            <w:r w:rsidRPr="00D275DF">
              <w:rPr>
                <w:color w:val="000000"/>
                <w:sz w:val="14"/>
                <w:szCs w:val="14"/>
              </w:rPr>
              <w:t>1.250</w:t>
            </w:r>
          </w:p>
        </w:tc>
        <w:tc>
          <w:tcPr>
            <w:tcW w:w="771" w:type="dxa"/>
            <w:tcBorders>
              <w:top w:val="nil"/>
              <w:left w:val="single" w:sz="4" w:space="0" w:color="auto"/>
              <w:bottom w:val="nil"/>
              <w:right w:val="nil"/>
            </w:tcBorders>
            <w:shd w:val="clear" w:color="000000" w:fill="FFFFFF"/>
            <w:vAlign w:val="bottom"/>
            <w:hideMark/>
          </w:tcPr>
          <w:p w14:paraId="05A26F17" w14:textId="77777777" w:rsidR="0064066B" w:rsidRPr="00D275DF" w:rsidRDefault="0064066B" w:rsidP="00B76AD4">
            <w:pPr>
              <w:jc w:val="right"/>
              <w:rPr>
                <w:color w:val="000000"/>
                <w:sz w:val="14"/>
                <w:szCs w:val="14"/>
              </w:rPr>
            </w:pPr>
            <w:r w:rsidRPr="00D275DF">
              <w:rPr>
                <w:color w:val="000000"/>
                <w:sz w:val="14"/>
                <w:szCs w:val="14"/>
              </w:rPr>
              <w:t>-</w:t>
            </w:r>
          </w:p>
        </w:tc>
        <w:tc>
          <w:tcPr>
            <w:tcW w:w="850" w:type="dxa"/>
            <w:tcBorders>
              <w:top w:val="nil"/>
              <w:left w:val="single" w:sz="4" w:space="0" w:color="auto"/>
              <w:bottom w:val="nil"/>
              <w:right w:val="single" w:sz="4" w:space="0" w:color="auto"/>
            </w:tcBorders>
            <w:shd w:val="clear" w:color="000000" w:fill="FFFFFF"/>
            <w:vAlign w:val="bottom"/>
            <w:hideMark/>
          </w:tcPr>
          <w:p w14:paraId="438C7B4E" w14:textId="77777777" w:rsidR="0064066B" w:rsidRPr="00D275DF" w:rsidRDefault="0064066B" w:rsidP="00B76AD4">
            <w:pPr>
              <w:jc w:val="right"/>
              <w:rPr>
                <w:color w:val="000000"/>
                <w:sz w:val="14"/>
                <w:szCs w:val="14"/>
              </w:rPr>
            </w:pPr>
            <w:r w:rsidRPr="00D275DF">
              <w:rPr>
                <w:color w:val="000000"/>
                <w:sz w:val="14"/>
                <w:szCs w:val="14"/>
              </w:rPr>
              <w:t>1.250</w:t>
            </w:r>
          </w:p>
        </w:tc>
      </w:tr>
      <w:tr w:rsidR="0064066B" w:rsidRPr="00AC1668" w14:paraId="502603DA" w14:textId="77777777" w:rsidTr="00234709">
        <w:trPr>
          <w:trHeight w:val="113"/>
        </w:trPr>
        <w:tc>
          <w:tcPr>
            <w:tcW w:w="566" w:type="dxa"/>
            <w:tcBorders>
              <w:top w:val="nil"/>
              <w:left w:val="single" w:sz="4" w:space="0" w:color="auto"/>
              <w:bottom w:val="nil"/>
              <w:right w:val="nil"/>
            </w:tcBorders>
            <w:noWrap/>
            <w:hideMark/>
          </w:tcPr>
          <w:p w14:paraId="1B535382" w14:textId="77777777" w:rsidR="0064066B" w:rsidRPr="00AC1668" w:rsidRDefault="0064066B" w:rsidP="00B76AD4">
            <w:pPr>
              <w:rPr>
                <w:b/>
                <w:bCs/>
                <w:sz w:val="14"/>
                <w:szCs w:val="14"/>
              </w:rPr>
            </w:pPr>
            <w:r w:rsidRPr="00AC1668">
              <w:rPr>
                <w:b/>
                <w:bCs/>
                <w:sz w:val="14"/>
                <w:szCs w:val="14"/>
              </w:rPr>
              <w:t>4.3</w:t>
            </w:r>
          </w:p>
        </w:tc>
        <w:tc>
          <w:tcPr>
            <w:tcW w:w="6517" w:type="dxa"/>
            <w:tcBorders>
              <w:top w:val="nil"/>
              <w:left w:val="nil"/>
              <w:bottom w:val="nil"/>
              <w:right w:val="single" w:sz="4" w:space="0" w:color="auto"/>
            </w:tcBorders>
            <w:hideMark/>
          </w:tcPr>
          <w:p w14:paraId="66B75699" w14:textId="77777777" w:rsidR="0064066B" w:rsidRPr="00AC1668" w:rsidRDefault="0064066B" w:rsidP="00B76AD4">
            <w:pPr>
              <w:rPr>
                <w:b/>
                <w:bCs/>
                <w:sz w:val="14"/>
                <w:szCs w:val="14"/>
              </w:rPr>
            </w:pPr>
            <w:r w:rsidRPr="00AC1668">
              <w:rPr>
                <w:b/>
                <w:bCs/>
                <w:sz w:val="14"/>
                <w:szCs w:val="14"/>
              </w:rPr>
              <w:t>Birlikte Kontrol Edilen Ortaklıklar (İş Ortaklıkları) (Net)</w:t>
            </w:r>
          </w:p>
        </w:tc>
        <w:tc>
          <w:tcPr>
            <w:tcW w:w="709" w:type="dxa"/>
            <w:tcBorders>
              <w:top w:val="nil"/>
              <w:left w:val="nil"/>
              <w:bottom w:val="nil"/>
              <w:right w:val="single" w:sz="4" w:space="0" w:color="auto"/>
            </w:tcBorders>
            <w:noWrap/>
            <w:vAlign w:val="bottom"/>
            <w:hideMark/>
          </w:tcPr>
          <w:p w14:paraId="22822A83" w14:textId="77777777" w:rsidR="0064066B" w:rsidRPr="00811132" w:rsidRDefault="0064066B" w:rsidP="00B76AD4">
            <w:pPr>
              <w:jc w:val="center"/>
              <w:rPr>
                <w:b/>
                <w:bCs/>
                <w:color w:val="000000"/>
                <w:sz w:val="16"/>
                <w:szCs w:val="16"/>
                <w:lang w:eastAsia="tr-TR"/>
              </w:rPr>
            </w:pPr>
            <w:r w:rsidRPr="00811132">
              <w:rPr>
                <w:b/>
                <w:bCs/>
                <w:color w:val="000000"/>
                <w:sz w:val="14"/>
                <w:szCs w:val="14"/>
                <w:lang w:eastAsia="tr-TR"/>
              </w:rPr>
              <w:t> </w:t>
            </w:r>
          </w:p>
        </w:tc>
        <w:tc>
          <w:tcPr>
            <w:tcW w:w="770" w:type="dxa"/>
            <w:tcBorders>
              <w:top w:val="nil"/>
              <w:left w:val="single" w:sz="4" w:space="0" w:color="auto"/>
              <w:bottom w:val="nil"/>
              <w:right w:val="nil"/>
            </w:tcBorders>
            <w:shd w:val="clear" w:color="000000" w:fill="FFFFFF"/>
            <w:vAlign w:val="bottom"/>
            <w:hideMark/>
          </w:tcPr>
          <w:p w14:paraId="71299F85" w14:textId="77777777" w:rsidR="0064066B" w:rsidRPr="00D275DF" w:rsidRDefault="0064066B" w:rsidP="00B76AD4">
            <w:pPr>
              <w:jc w:val="right"/>
              <w:rPr>
                <w:b/>
                <w:bCs/>
                <w:color w:val="000000"/>
                <w:sz w:val="14"/>
                <w:szCs w:val="14"/>
              </w:rPr>
            </w:pPr>
            <w:r w:rsidRPr="00D275DF">
              <w:rPr>
                <w:b/>
                <w:bCs/>
                <w:color w:val="000000"/>
                <w:sz w:val="14"/>
                <w:szCs w:val="14"/>
              </w:rPr>
              <w:t>-</w:t>
            </w:r>
          </w:p>
        </w:tc>
        <w:tc>
          <w:tcPr>
            <w:tcW w:w="771" w:type="dxa"/>
            <w:tcBorders>
              <w:top w:val="nil"/>
              <w:left w:val="single" w:sz="4" w:space="0" w:color="auto"/>
              <w:bottom w:val="nil"/>
              <w:right w:val="nil"/>
            </w:tcBorders>
            <w:shd w:val="clear" w:color="000000" w:fill="FFFFFF"/>
            <w:vAlign w:val="bottom"/>
            <w:hideMark/>
          </w:tcPr>
          <w:p w14:paraId="64D9A8D3" w14:textId="77777777" w:rsidR="0064066B" w:rsidRPr="00D275DF" w:rsidRDefault="0064066B" w:rsidP="00B76AD4">
            <w:pPr>
              <w:jc w:val="right"/>
              <w:rPr>
                <w:b/>
                <w:bCs/>
                <w:color w:val="000000"/>
                <w:sz w:val="14"/>
                <w:szCs w:val="14"/>
              </w:rPr>
            </w:pPr>
            <w:r w:rsidRPr="00D275DF">
              <w:rPr>
                <w:b/>
                <w:bCs/>
                <w:color w:val="000000"/>
                <w:sz w:val="14"/>
                <w:szCs w:val="14"/>
              </w:rPr>
              <w:t>-</w:t>
            </w:r>
          </w:p>
        </w:tc>
        <w:tc>
          <w:tcPr>
            <w:tcW w:w="850" w:type="dxa"/>
            <w:tcBorders>
              <w:top w:val="nil"/>
              <w:left w:val="single" w:sz="4" w:space="0" w:color="auto"/>
              <w:bottom w:val="nil"/>
              <w:right w:val="single" w:sz="4" w:space="0" w:color="auto"/>
            </w:tcBorders>
            <w:shd w:val="clear" w:color="000000" w:fill="FFFFFF"/>
            <w:vAlign w:val="bottom"/>
            <w:hideMark/>
          </w:tcPr>
          <w:p w14:paraId="0D2E9C12" w14:textId="77777777" w:rsidR="0064066B" w:rsidRPr="00D275DF" w:rsidRDefault="0064066B" w:rsidP="00B76AD4">
            <w:pPr>
              <w:jc w:val="right"/>
              <w:rPr>
                <w:b/>
                <w:bCs/>
                <w:color w:val="000000"/>
                <w:sz w:val="14"/>
                <w:szCs w:val="14"/>
              </w:rPr>
            </w:pPr>
            <w:r w:rsidRPr="00D275DF">
              <w:rPr>
                <w:b/>
                <w:bCs/>
                <w:color w:val="000000"/>
                <w:sz w:val="14"/>
                <w:szCs w:val="14"/>
              </w:rPr>
              <w:t>-</w:t>
            </w:r>
          </w:p>
        </w:tc>
      </w:tr>
      <w:tr w:rsidR="0064066B" w:rsidRPr="00AC1668" w14:paraId="77E96457" w14:textId="77777777" w:rsidTr="00234709">
        <w:trPr>
          <w:trHeight w:val="113"/>
        </w:trPr>
        <w:tc>
          <w:tcPr>
            <w:tcW w:w="566" w:type="dxa"/>
            <w:tcBorders>
              <w:top w:val="nil"/>
              <w:left w:val="single" w:sz="4" w:space="0" w:color="auto"/>
              <w:bottom w:val="nil"/>
              <w:right w:val="nil"/>
            </w:tcBorders>
            <w:noWrap/>
            <w:hideMark/>
          </w:tcPr>
          <w:p w14:paraId="5D6EAD91" w14:textId="77777777" w:rsidR="0064066B" w:rsidRPr="00AC1668" w:rsidRDefault="0064066B" w:rsidP="00B76AD4">
            <w:pPr>
              <w:rPr>
                <w:sz w:val="14"/>
                <w:szCs w:val="14"/>
              </w:rPr>
            </w:pPr>
            <w:r w:rsidRPr="00AC1668">
              <w:rPr>
                <w:sz w:val="14"/>
                <w:szCs w:val="14"/>
              </w:rPr>
              <w:t>4.3.1</w:t>
            </w:r>
          </w:p>
        </w:tc>
        <w:tc>
          <w:tcPr>
            <w:tcW w:w="6517" w:type="dxa"/>
            <w:tcBorders>
              <w:top w:val="nil"/>
              <w:left w:val="nil"/>
              <w:bottom w:val="nil"/>
              <w:right w:val="single" w:sz="4" w:space="0" w:color="auto"/>
            </w:tcBorders>
            <w:hideMark/>
          </w:tcPr>
          <w:p w14:paraId="7A0578AD" w14:textId="77777777" w:rsidR="0064066B" w:rsidRPr="00AC1668" w:rsidRDefault="0064066B" w:rsidP="00B76AD4">
            <w:pPr>
              <w:rPr>
                <w:sz w:val="14"/>
                <w:szCs w:val="14"/>
              </w:rPr>
            </w:pPr>
            <w:r w:rsidRPr="00AC1668">
              <w:rPr>
                <w:sz w:val="14"/>
                <w:szCs w:val="14"/>
              </w:rPr>
              <w:t>Özkaynak Yöntemine Göre Değerlenenler</w:t>
            </w:r>
          </w:p>
        </w:tc>
        <w:tc>
          <w:tcPr>
            <w:tcW w:w="709" w:type="dxa"/>
            <w:tcBorders>
              <w:top w:val="nil"/>
              <w:left w:val="nil"/>
              <w:bottom w:val="nil"/>
              <w:right w:val="single" w:sz="4" w:space="0" w:color="auto"/>
            </w:tcBorders>
            <w:noWrap/>
            <w:vAlign w:val="bottom"/>
            <w:hideMark/>
          </w:tcPr>
          <w:p w14:paraId="3EF37F5B" w14:textId="77777777" w:rsidR="0064066B" w:rsidRPr="00811132" w:rsidRDefault="0064066B" w:rsidP="00B76AD4">
            <w:pPr>
              <w:jc w:val="center"/>
              <w:rPr>
                <w:b/>
                <w:bCs/>
                <w:color w:val="000000"/>
                <w:sz w:val="16"/>
                <w:szCs w:val="16"/>
                <w:lang w:eastAsia="tr-TR"/>
              </w:rPr>
            </w:pPr>
            <w:r w:rsidRPr="00811132">
              <w:rPr>
                <w:b/>
                <w:bCs/>
                <w:color w:val="000000"/>
                <w:sz w:val="14"/>
                <w:szCs w:val="14"/>
                <w:lang w:eastAsia="tr-TR"/>
              </w:rPr>
              <w:t> </w:t>
            </w:r>
          </w:p>
        </w:tc>
        <w:tc>
          <w:tcPr>
            <w:tcW w:w="770" w:type="dxa"/>
            <w:tcBorders>
              <w:top w:val="nil"/>
              <w:left w:val="single" w:sz="4" w:space="0" w:color="auto"/>
              <w:bottom w:val="nil"/>
              <w:right w:val="nil"/>
            </w:tcBorders>
            <w:shd w:val="clear" w:color="000000" w:fill="FFFFFF"/>
            <w:vAlign w:val="bottom"/>
            <w:hideMark/>
          </w:tcPr>
          <w:p w14:paraId="6B588978" w14:textId="77777777" w:rsidR="0064066B" w:rsidRPr="00D275DF" w:rsidRDefault="0064066B" w:rsidP="00B76AD4">
            <w:pPr>
              <w:jc w:val="right"/>
              <w:rPr>
                <w:color w:val="000000"/>
                <w:sz w:val="14"/>
                <w:szCs w:val="14"/>
              </w:rPr>
            </w:pPr>
            <w:r w:rsidRPr="00D275DF">
              <w:rPr>
                <w:color w:val="000000"/>
                <w:sz w:val="14"/>
                <w:szCs w:val="14"/>
              </w:rPr>
              <w:t>-</w:t>
            </w:r>
          </w:p>
        </w:tc>
        <w:tc>
          <w:tcPr>
            <w:tcW w:w="771" w:type="dxa"/>
            <w:tcBorders>
              <w:top w:val="nil"/>
              <w:left w:val="single" w:sz="4" w:space="0" w:color="auto"/>
              <w:bottom w:val="nil"/>
              <w:right w:val="nil"/>
            </w:tcBorders>
            <w:shd w:val="clear" w:color="000000" w:fill="FFFFFF"/>
            <w:vAlign w:val="bottom"/>
            <w:hideMark/>
          </w:tcPr>
          <w:p w14:paraId="3E9EA885" w14:textId="77777777" w:rsidR="0064066B" w:rsidRPr="00D275DF" w:rsidRDefault="0064066B" w:rsidP="00B76AD4">
            <w:pPr>
              <w:jc w:val="right"/>
              <w:rPr>
                <w:color w:val="000000"/>
                <w:sz w:val="14"/>
                <w:szCs w:val="14"/>
              </w:rPr>
            </w:pPr>
            <w:r w:rsidRPr="00D275DF">
              <w:rPr>
                <w:color w:val="000000"/>
                <w:sz w:val="14"/>
                <w:szCs w:val="14"/>
              </w:rPr>
              <w:t>-</w:t>
            </w:r>
          </w:p>
        </w:tc>
        <w:tc>
          <w:tcPr>
            <w:tcW w:w="850" w:type="dxa"/>
            <w:tcBorders>
              <w:top w:val="nil"/>
              <w:left w:val="single" w:sz="4" w:space="0" w:color="auto"/>
              <w:bottom w:val="nil"/>
              <w:right w:val="single" w:sz="4" w:space="0" w:color="auto"/>
            </w:tcBorders>
            <w:shd w:val="clear" w:color="000000" w:fill="FFFFFF"/>
            <w:vAlign w:val="bottom"/>
            <w:hideMark/>
          </w:tcPr>
          <w:p w14:paraId="67B3CDC1" w14:textId="77777777" w:rsidR="0064066B" w:rsidRPr="00D275DF" w:rsidRDefault="0064066B" w:rsidP="00B76AD4">
            <w:pPr>
              <w:jc w:val="right"/>
              <w:rPr>
                <w:color w:val="000000"/>
                <w:sz w:val="14"/>
                <w:szCs w:val="14"/>
              </w:rPr>
            </w:pPr>
            <w:r w:rsidRPr="00D275DF">
              <w:rPr>
                <w:color w:val="000000"/>
                <w:sz w:val="14"/>
                <w:szCs w:val="14"/>
              </w:rPr>
              <w:t>-</w:t>
            </w:r>
          </w:p>
        </w:tc>
      </w:tr>
      <w:tr w:rsidR="0064066B" w:rsidRPr="00AC1668" w14:paraId="2A319F4C" w14:textId="77777777" w:rsidTr="00234709">
        <w:trPr>
          <w:trHeight w:val="113"/>
        </w:trPr>
        <w:tc>
          <w:tcPr>
            <w:tcW w:w="566" w:type="dxa"/>
            <w:tcBorders>
              <w:top w:val="nil"/>
              <w:left w:val="single" w:sz="4" w:space="0" w:color="auto"/>
              <w:bottom w:val="nil"/>
              <w:right w:val="nil"/>
            </w:tcBorders>
            <w:noWrap/>
            <w:hideMark/>
          </w:tcPr>
          <w:p w14:paraId="4FBB47C7" w14:textId="77777777" w:rsidR="0064066B" w:rsidRPr="00AC1668" w:rsidRDefault="0064066B" w:rsidP="00B76AD4">
            <w:pPr>
              <w:rPr>
                <w:sz w:val="14"/>
                <w:szCs w:val="14"/>
              </w:rPr>
            </w:pPr>
            <w:r w:rsidRPr="00AC1668">
              <w:rPr>
                <w:sz w:val="14"/>
                <w:szCs w:val="14"/>
              </w:rPr>
              <w:t>4.3.2</w:t>
            </w:r>
          </w:p>
        </w:tc>
        <w:tc>
          <w:tcPr>
            <w:tcW w:w="6517" w:type="dxa"/>
            <w:tcBorders>
              <w:top w:val="nil"/>
              <w:left w:val="nil"/>
              <w:bottom w:val="nil"/>
              <w:right w:val="single" w:sz="4" w:space="0" w:color="auto"/>
            </w:tcBorders>
            <w:hideMark/>
          </w:tcPr>
          <w:p w14:paraId="5EBD85F7" w14:textId="77777777" w:rsidR="0064066B" w:rsidRPr="00AC1668" w:rsidRDefault="0064066B" w:rsidP="00B76AD4">
            <w:pPr>
              <w:rPr>
                <w:sz w:val="14"/>
                <w:szCs w:val="14"/>
              </w:rPr>
            </w:pPr>
            <w:r w:rsidRPr="00AC1668">
              <w:rPr>
                <w:sz w:val="14"/>
                <w:szCs w:val="14"/>
              </w:rPr>
              <w:t>Konsolide Edilmeyenler</w:t>
            </w:r>
          </w:p>
        </w:tc>
        <w:tc>
          <w:tcPr>
            <w:tcW w:w="709" w:type="dxa"/>
            <w:tcBorders>
              <w:top w:val="nil"/>
              <w:left w:val="nil"/>
              <w:bottom w:val="nil"/>
              <w:right w:val="single" w:sz="4" w:space="0" w:color="auto"/>
            </w:tcBorders>
            <w:noWrap/>
            <w:vAlign w:val="bottom"/>
            <w:hideMark/>
          </w:tcPr>
          <w:p w14:paraId="27C94B6B" w14:textId="77777777" w:rsidR="0064066B" w:rsidRPr="00811132" w:rsidRDefault="0064066B" w:rsidP="00B76AD4">
            <w:pPr>
              <w:jc w:val="center"/>
              <w:rPr>
                <w:b/>
                <w:bCs/>
                <w:color w:val="000000"/>
                <w:sz w:val="16"/>
                <w:szCs w:val="16"/>
                <w:lang w:eastAsia="tr-TR"/>
              </w:rPr>
            </w:pPr>
            <w:r w:rsidRPr="00811132">
              <w:rPr>
                <w:b/>
                <w:bCs/>
                <w:color w:val="000000"/>
                <w:sz w:val="14"/>
                <w:szCs w:val="14"/>
                <w:lang w:eastAsia="tr-TR"/>
              </w:rPr>
              <w:t> </w:t>
            </w:r>
          </w:p>
        </w:tc>
        <w:tc>
          <w:tcPr>
            <w:tcW w:w="770" w:type="dxa"/>
            <w:tcBorders>
              <w:top w:val="nil"/>
              <w:left w:val="single" w:sz="4" w:space="0" w:color="auto"/>
              <w:bottom w:val="nil"/>
              <w:right w:val="nil"/>
            </w:tcBorders>
            <w:shd w:val="clear" w:color="000000" w:fill="FFFFFF"/>
            <w:vAlign w:val="bottom"/>
            <w:hideMark/>
          </w:tcPr>
          <w:p w14:paraId="5079B6B2" w14:textId="77777777" w:rsidR="0064066B" w:rsidRPr="00D275DF" w:rsidRDefault="0064066B" w:rsidP="00B76AD4">
            <w:pPr>
              <w:jc w:val="right"/>
              <w:rPr>
                <w:color w:val="000000"/>
                <w:sz w:val="14"/>
                <w:szCs w:val="14"/>
              </w:rPr>
            </w:pPr>
            <w:r w:rsidRPr="00D275DF">
              <w:rPr>
                <w:color w:val="000000"/>
                <w:sz w:val="14"/>
                <w:szCs w:val="14"/>
              </w:rPr>
              <w:t>-</w:t>
            </w:r>
          </w:p>
        </w:tc>
        <w:tc>
          <w:tcPr>
            <w:tcW w:w="771" w:type="dxa"/>
            <w:tcBorders>
              <w:top w:val="nil"/>
              <w:left w:val="single" w:sz="4" w:space="0" w:color="auto"/>
              <w:bottom w:val="nil"/>
              <w:right w:val="nil"/>
            </w:tcBorders>
            <w:shd w:val="clear" w:color="000000" w:fill="FFFFFF"/>
            <w:vAlign w:val="bottom"/>
            <w:hideMark/>
          </w:tcPr>
          <w:p w14:paraId="6862BD14" w14:textId="77777777" w:rsidR="0064066B" w:rsidRPr="00D275DF" w:rsidRDefault="0064066B" w:rsidP="00B76AD4">
            <w:pPr>
              <w:jc w:val="right"/>
              <w:rPr>
                <w:color w:val="000000"/>
                <w:sz w:val="14"/>
                <w:szCs w:val="14"/>
              </w:rPr>
            </w:pPr>
            <w:r w:rsidRPr="00D275DF">
              <w:rPr>
                <w:color w:val="000000"/>
                <w:sz w:val="14"/>
                <w:szCs w:val="14"/>
              </w:rPr>
              <w:t>-</w:t>
            </w:r>
          </w:p>
        </w:tc>
        <w:tc>
          <w:tcPr>
            <w:tcW w:w="850" w:type="dxa"/>
            <w:tcBorders>
              <w:top w:val="nil"/>
              <w:left w:val="single" w:sz="4" w:space="0" w:color="auto"/>
              <w:bottom w:val="nil"/>
              <w:right w:val="single" w:sz="4" w:space="0" w:color="auto"/>
            </w:tcBorders>
            <w:shd w:val="clear" w:color="000000" w:fill="FFFFFF"/>
            <w:vAlign w:val="bottom"/>
            <w:hideMark/>
          </w:tcPr>
          <w:p w14:paraId="2EFC901E" w14:textId="77777777" w:rsidR="0064066B" w:rsidRPr="00D275DF" w:rsidRDefault="0064066B" w:rsidP="00B76AD4">
            <w:pPr>
              <w:jc w:val="right"/>
              <w:rPr>
                <w:color w:val="000000"/>
                <w:sz w:val="14"/>
                <w:szCs w:val="14"/>
              </w:rPr>
            </w:pPr>
            <w:r w:rsidRPr="00D275DF">
              <w:rPr>
                <w:color w:val="000000"/>
                <w:sz w:val="14"/>
                <w:szCs w:val="14"/>
              </w:rPr>
              <w:t>-</w:t>
            </w:r>
          </w:p>
        </w:tc>
      </w:tr>
      <w:tr w:rsidR="00655FD0" w:rsidRPr="00AC1668" w14:paraId="54D697D5" w14:textId="77777777" w:rsidTr="00234709">
        <w:trPr>
          <w:trHeight w:val="113"/>
        </w:trPr>
        <w:tc>
          <w:tcPr>
            <w:tcW w:w="566" w:type="dxa"/>
            <w:tcBorders>
              <w:top w:val="nil"/>
              <w:left w:val="single" w:sz="4" w:space="0" w:color="auto"/>
              <w:bottom w:val="nil"/>
              <w:right w:val="nil"/>
            </w:tcBorders>
            <w:noWrap/>
            <w:hideMark/>
          </w:tcPr>
          <w:p w14:paraId="4CB8FCA0" w14:textId="77777777" w:rsidR="00655FD0" w:rsidRPr="00AC1668" w:rsidRDefault="00655FD0" w:rsidP="00655FD0">
            <w:pPr>
              <w:rPr>
                <w:b/>
                <w:bCs/>
                <w:color w:val="000000"/>
                <w:sz w:val="14"/>
                <w:szCs w:val="14"/>
              </w:rPr>
            </w:pPr>
            <w:r w:rsidRPr="00AC1668">
              <w:rPr>
                <w:b/>
                <w:bCs/>
                <w:color w:val="000000"/>
                <w:sz w:val="14"/>
                <w:szCs w:val="14"/>
              </w:rPr>
              <w:t>V.</w:t>
            </w:r>
          </w:p>
        </w:tc>
        <w:tc>
          <w:tcPr>
            <w:tcW w:w="6517" w:type="dxa"/>
            <w:tcBorders>
              <w:top w:val="nil"/>
              <w:left w:val="nil"/>
              <w:bottom w:val="nil"/>
              <w:right w:val="single" w:sz="4" w:space="0" w:color="auto"/>
            </w:tcBorders>
            <w:hideMark/>
          </w:tcPr>
          <w:p w14:paraId="6FC0740B" w14:textId="77777777" w:rsidR="00655FD0" w:rsidRPr="00AC1668" w:rsidRDefault="00655FD0" w:rsidP="00655FD0">
            <w:pPr>
              <w:rPr>
                <w:b/>
                <w:bCs/>
                <w:color w:val="000000"/>
                <w:sz w:val="14"/>
                <w:szCs w:val="14"/>
              </w:rPr>
            </w:pPr>
            <w:r w:rsidRPr="00AC1668">
              <w:rPr>
                <w:b/>
                <w:bCs/>
                <w:color w:val="000000"/>
                <w:sz w:val="14"/>
                <w:szCs w:val="14"/>
              </w:rPr>
              <w:t>MADDİ DURAN VARLIKLAR (Net)</w:t>
            </w:r>
          </w:p>
        </w:tc>
        <w:tc>
          <w:tcPr>
            <w:tcW w:w="709" w:type="dxa"/>
            <w:tcBorders>
              <w:top w:val="nil"/>
              <w:left w:val="nil"/>
              <w:bottom w:val="nil"/>
              <w:right w:val="single" w:sz="4" w:space="0" w:color="auto"/>
            </w:tcBorders>
            <w:noWrap/>
            <w:vAlign w:val="bottom"/>
            <w:hideMark/>
          </w:tcPr>
          <w:p w14:paraId="4530B5BE" w14:textId="243EA67E" w:rsidR="00655FD0" w:rsidRPr="00811132" w:rsidRDefault="00655FD0" w:rsidP="00655FD0">
            <w:pPr>
              <w:jc w:val="center"/>
              <w:rPr>
                <w:b/>
                <w:bCs/>
                <w:color w:val="000000"/>
                <w:sz w:val="16"/>
                <w:szCs w:val="16"/>
                <w:lang w:eastAsia="tr-TR"/>
              </w:rPr>
            </w:pPr>
            <w:r w:rsidRPr="00811132">
              <w:rPr>
                <w:b/>
                <w:bCs/>
                <w:color w:val="000000"/>
                <w:sz w:val="14"/>
                <w:szCs w:val="14"/>
                <w:lang w:eastAsia="tr-TR"/>
              </w:rPr>
              <w:t>(12)</w:t>
            </w:r>
          </w:p>
        </w:tc>
        <w:tc>
          <w:tcPr>
            <w:tcW w:w="770" w:type="dxa"/>
            <w:tcBorders>
              <w:top w:val="nil"/>
              <w:left w:val="single" w:sz="4" w:space="0" w:color="auto"/>
              <w:bottom w:val="nil"/>
              <w:right w:val="nil"/>
            </w:tcBorders>
            <w:shd w:val="clear" w:color="000000" w:fill="FFFFFF"/>
            <w:vAlign w:val="bottom"/>
            <w:hideMark/>
          </w:tcPr>
          <w:p w14:paraId="5B7C9BD2" w14:textId="77777777" w:rsidR="00655FD0" w:rsidRPr="00D275DF" w:rsidRDefault="00655FD0" w:rsidP="00655FD0">
            <w:pPr>
              <w:jc w:val="right"/>
              <w:rPr>
                <w:b/>
                <w:bCs/>
                <w:color w:val="000000"/>
                <w:sz w:val="14"/>
                <w:szCs w:val="14"/>
              </w:rPr>
            </w:pPr>
            <w:r w:rsidRPr="00D275DF">
              <w:rPr>
                <w:b/>
                <w:bCs/>
                <w:color w:val="000000"/>
                <w:sz w:val="14"/>
                <w:szCs w:val="14"/>
              </w:rPr>
              <w:t>490.907</w:t>
            </w:r>
          </w:p>
        </w:tc>
        <w:tc>
          <w:tcPr>
            <w:tcW w:w="771" w:type="dxa"/>
            <w:tcBorders>
              <w:top w:val="nil"/>
              <w:left w:val="single" w:sz="4" w:space="0" w:color="auto"/>
              <w:bottom w:val="nil"/>
              <w:right w:val="nil"/>
            </w:tcBorders>
            <w:shd w:val="clear" w:color="000000" w:fill="FFFFFF"/>
            <w:vAlign w:val="bottom"/>
            <w:hideMark/>
          </w:tcPr>
          <w:p w14:paraId="5672A326" w14:textId="77777777" w:rsidR="00655FD0" w:rsidRPr="00D275DF" w:rsidRDefault="00655FD0" w:rsidP="00655FD0">
            <w:pPr>
              <w:jc w:val="right"/>
              <w:rPr>
                <w:b/>
                <w:bCs/>
                <w:color w:val="000000"/>
                <w:sz w:val="14"/>
                <w:szCs w:val="14"/>
              </w:rPr>
            </w:pPr>
            <w:r w:rsidRPr="00D275DF">
              <w:rPr>
                <w:b/>
                <w:bCs/>
                <w:color w:val="000000"/>
                <w:sz w:val="14"/>
                <w:szCs w:val="14"/>
              </w:rPr>
              <w:t>-</w:t>
            </w:r>
          </w:p>
        </w:tc>
        <w:tc>
          <w:tcPr>
            <w:tcW w:w="850" w:type="dxa"/>
            <w:tcBorders>
              <w:top w:val="nil"/>
              <w:left w:val="single" w:sz="4" w:space="0" w:color="auto"/>
              <w:bottom w:val="nil"/>
              <w:right w:val="single" w:sz="4" w:space="0" w:color="auto"/>
            </w:tcBorders>
            <w:shd w:val="clear" w:color="000000" w:fill="FFFFFF"/>
            <w:vAlign w:val="bottom"/>
            <w:hideMark/>
          </w:tcPr>
          <w:p w14:paraId="06E9DD2C" w14:textId="77777777" w:rsidR="00655FD0" w:rsidRPr="00D275DF" w:rsidRDefault="00655FD0" w:rsidP="00655FD0">
            <w:pPr>
              <w:jc w:val="right"/>
              <w:rPr>
                <w:b/>
                <w:bCs/>
                <w:color w:val="000000"/>
                <w:sz w:val="14"/>
                <w:szCs w:val="14"/>
              </w:rPr>
            </w:pPr>
            <w:r w:rsidRPr="00D275DF">
              <w:rPr>
                <w:b/>
                <w:bCs/>
                <w:color w:val="000000"/>
                <w:sz w:val="14"/>
                <w:szCs w:val="14"/>
              </w:rPr>
              <w:t>490.907</w:t>
            </w:r>
          </w:p>
        </w:tc>
      </w:tr>
      <w:tr w:rsidR="00655FD0" w:rsidRPr="00AC1668" w14:paraId="3BA8D683" w14:textId="77777777" w:rsidTr="00234709">
        <w:trPr>
          <w:trHeight w:val="113"/>
        </w:trPr>
        <w:tc>
          <w:tcPr>
            <w:tcW w:w="566" w:type="dxa"/>
            <w:tcBorders>
              <w:top w:val="nil"/>
              <w:left w:val="single" w:sz="4" w:space="0" w:color="auto"/>
              <w:bottom w:val="nil"/>
              <w:right w:val="nil"/>
            </w:tcBorders>
            <w:noWrap/>
            <w:hideMark/>
          </w:tcPr>
          <w:p w14:paraId="478B9EB8" w14:textId="77777777" w:rsidR="00655FD0" w:rsidRPr="00AC1668" w:rsidRDefault="00655FD0" w:rsidP="00655FD0">
            <w:pPr>
              <w:rPr>
                <w:b/>
                <w:bCs/>
                <w:color w:val="000000"/>
                <w:sz w:val="14"/>
                <w:szCs w:val="14"/>
              </w:rPr>
            </w:pPr>
            <w:r w:rsidRPr="00AC1668">
              <w:rPr>
                <w:b/>
                <w:bCs/>
                <w:color w:val="000000"/>
                <w:sz w:val="14"/>
                <w:szCs w:val="14"/>
              </w:rPr>
              <w:t>VI.</w:t>
            </w:r>
          </w:p>
        </w:tc>
        <w:tc>
          <w:tcPr>
            <w:tcW w:w="6517" w:type="dxa"/>
            <w:tcBorders>
              <w:top w:val="nil"/>
              <w:left w:val="nil"/>
              <w:bottom w:val="nil"/>
              <w:right w:val="single" w:sz="4" w:space="0" w:color="auto"/>
            </w:tcBorders>
            <w:hideMark/>
          </w:tcPr>
          <w:p w14:paraId="5254D89A" w14:textId="77777777" w:rsidR="00655FD0" w:rsidRPr="00AC1668" w:rsidRDefault="00655FD0" w:rsidP="00655FD0">
            <w:pPr>
              <w:rPr>
                <w:b/>
                <w:bCs/>
                <w:color w:val="000000"/>
                <w:sz w:val="14"/>
                <w:szCs w:val="14"/>
              </w:rPr>
            </w:pPr>
            <w:r w:rsidRPr="00AC1668">
              <w:rPr>
                <w:b/>
                <w:bCs/>
                <w:color w:val="000000"/>
                <w:sz w:val="14"/>
                <w:szCs w:val="14"/>
              </w:rPr>
              <w:t>MADDİ OLMAYAN DURAN VARLIKLAR (Net)</w:t>
            </w:r>
          </w:p>
        </w:tc>
        <w:tc>
          <w:tcPr>
            <w:tcW w:w="709" w:type="dxa"/>
            <w:tcBorders>
              <w:top w:val="nil"/>
              <w:left w:val="nil"/>
              <w:bottom w:val="nil"/>
              <w:right w:val="single" w:sz="4" w:space="0" w:color="auto"/>
            </w:tcBorders>
            <w:noWrap/>
            <w:vAlign w:val="bottom"/>
            <w:hideMark/>
          </w:tcPr>
          <w:p w14:paraId="1C066B08" w14:textId="398DB055" w:rsidR="00655FD0" w:rsidRPr="00811132" w:rsidRDefault="00655FD0" w:rsidP="00655FD0">
            <w:pPr>
              <w:jc w:val="center"/>
              <w:rPr>
                <w:b/>
                <w:bCs/>
                <w:color w:val="000000"/>
                <w:sz w:val="16"/>
                <w:szCs w:val="16"/>
                <w:lang w:eastAsia="tr-TR"/>
              </w:rPr>
            </w:pPr>
            <w:r w:rsidRPr="00811132">
              <w:rPr>
                <w:b/>
                <w:bCs/>
                <w:color w:val="000000"/>
                <w:sz w:val="14"/>
                <w:szCs w:val="14"/>
                <w:lang w:eastAsia="tr-TR"/>
              </w:rPr>
              <w:t>(13)</w:t>
            </w:r>
          </w:p>
        </w:tc>
        <w:tc>
          <w:tcPr>
            <w:tcW w:w="770" w:type="dxa"/>
            <w:tcBorders>
              <w:top w:val="nil"/>
              <w:left w:val="single" w:sz="4" w:space="0" w:color="auto"/>
              <w:bottom w:val="nil"/>
              <w:right w:val="nil"/>
            </w:tcBorders>
            <w:shd w:val="clear" w:color="000000" w:fill="FFFFFF"/>
            <w:vAlign w:val="bottom"/>
            <w:hideMark/>
          </w:tcPr>
          <w:p w14:paraId="5A1C2AA0" w14:textId="77777777" w:rsidR="00655FD0" w:rsidRPr="00D275DF" w:rsidRDefault="00655FD0" w:rsidP="00655FD0">
            <w:pPr>
              <w:jc w:val="right"/>
              <w:rPr>
                <w:b/>
                <w:bCs/>
                <w:color w:val="000000"/>
                <w:sz w:val="14"/>
                <w:szCs w:val="14"/>
              </w:rPr>
            </w:pPr>
            <w:r w:rsidRPr="00D275DF">
              <w:rPr>
                <w:b/>
                <w:bCs/>
                <w:color w:val="000000"/>
                <w:sz w:val="14"/>
                <w:szCs w:val="14"/>
              </w:rPr>
              <w:t>212.558</w:t>
            </w:r>
          </w:p>
        </w:tc>
        <w:tc>
          <w:tcPr>
            <w:tcW w:w="771" w:type="dxa"/>
            <w:tcBorders>
              <w:top w:val="nil"/>
              <w:left w:val="single" w:sz="4" w:space="0" w:color="auto"/>
              <w:bottom w:val="nil"/>
              <w:right w:val="nil"/>
            </w:tcBorders>
            <w:shd w:val="clear" w:color="000000" w:fill="FFFFFF"/>
            <w:vAlign w:val="bottom"/>
            <w:hideMark/>
          </w:tcPr>
          <w:p w14:paraId="059C178B" w14:textId="77777777" w:rsidR="00655FD0" w:rsidRPr="00D275DF" w:rsidRDefault="00655FD0" w:rsidP="00655FD0">
            <w:pPr>
              <w:jc w:val="right"/>
              <w:rPr>
                <w:b/>
                <w:bCs/>
                <w:color w:val="000000"/>
                <w:sz w:val="14"/>
                <w:szCs w:val="14"/>
              </w:rPr>
            </w:pPr>
            <w:r w:rsidRPr="00D275DF">
              <w:rPr>
                <w:b/>
                <w:bCs/>
                <w:color w:val="000000"/>
                <w:sz w:val="14"/>
                <w:szCs w:val="14"/>
              </w:rPr>
              <w:t>-</w:t>
            </w:r>
          </w:p>
        </w:tc>
        <w:tc>
          <w:tcPr>
            <w:tcW w:w="850" w:type="dxa"/>
            <w:tcBorders>
              <w:top w:val="nil"/>
              <w:left w:val="single" w:sz="4" w:space="0" w:color="auto"/>
              <w:bottom w:val="nil"/>
              <w:right w:val="single" w:sz="4" w:space="0" w:color="auto"/>
            </w:tcBorders>
            <w:shd w:val="clear" w:color="000000" w:fill="FFFFFF"/>
            <w:vAlign w:val="bottom"/>
            <w:hideMark/>
          </w:tcPr>
          <w:p w14:paraId="503FD3B0" w14:textId="77777777" w:rsidR="00655FD0" w:rsidRPr="00D275DF" w:rsidRDefault="00655FD0" w:rsidP="00655FD0">
            <w:pPr>
              <w:jc w:val="right"/>
              <w:rPr>
                <w:b/>
                <w:bCs/>
                <w:color w:val="000000"/>
                <w:sz w:val="14"/>
                <w:szCs w:val="14"/>
              </w:rPr>
            </w:pPr>
            <w:r w:rsidRPr="00D275DF">
              <w:rPr>
                <w:b/>
                <w:bCs/>
                <w:color w:val="000000"/>
                <w:sz w:val="14"/>
                <w:szCs w:val="14"/>
              </w:rPr>
              <w:t>212.558</w:t>
            </w:r>
          </w:p>
        </w:tc>
      </w:tr>
      <w:tr w:rsidR="0064066B" w:rsidRPr="00AC1668" w14:paraId="5A095FA4" w14:textId="77777777" w:rsidTr="00234709">
        <w:trPr>
          <w:trHeight w:val="113"/>
        </w:trPr>
        <w:tc>
          <w:tcPr>
            <w:tcW w:w="566" w:type="dxa"/>
            <w:tcBorders>
              <w:top w:val="nil"/>
              <w:left w:val="single" w:sz="4" w:space="0" w:color="auto"/>
              <w:bottom w:val="nil"/>
              <w:right w:val="nil"/>
            </w:tcBorders>
            <w:noWrap/>
            <w:hideMark/>
          </w:tcPr>
          <w:p w14:paraId="573A35AE" w14:textId="77777777" w:rsidR="0064066B" w:rsidRPr="00AC1668" w:rsidRDefault="0064066B" w:rsidP="00B76AD4">
            <w:pPr>
              <w:rPr>
                <w:sz w:val="14"/>
                <w:szCs w:val="14"/>
              </w:rPr>
            </w:pPr>
            <w:r w:rsidRPr="00AC1668">
              <w:rPr>
                <w:sz w:val="14"/>
                <w:szCs w:val="14"/>
              </w:rPr>
              <w:t>6.1</w:t>
            </w:r>
          </w:p>
        </w:tc>
        <w:tc>
          <w:tcPr>
            <w:tcW w:w="6517" w:type="dxa"/>
            <w:tcBorders>
              <w:top w:val="nil"/>
              <w:left w:val="nil"/>
              <w:bottom w:val="nil"/>
              <w:right w:val="single" w:sz="4" w:space="0" w:color="auto"/>
            </w:tcBorders>
            <w:hideMark/>
          </w:tcPr>
          <w:p w14:paraId="6F2A4919" w14:textId="77777777" w:rsidR="0064066B" w:rsidRPr="00AC1668" w:rsidRDefault="0064066B" w:rsidP="00B76AD4">
            <w:pPr>
              <w:rPr>
                <w:sz w:val="14"/>
                <w:szCs w:val="14"/>
              </w:rPr>
            </w:pPr>
            <w:r w:rsidRPr="00AC1668">
              <w:rPr>
                <w:sz w:val="14"/>
                <w:szCs w:val="14"/>
              </w:rPr>
              <w:t>Şerefiye</w:t>
            </w:r>
          </w:p>
        </w:tc>
        <w:tc>
          <w:tcPr>
            <w:tcW w:w="709" w:type="dxa"/>
            <w:tcBorders>
              <w:top w:val="nil"/>
              <w:left w:val="nil"/>
              <w:bottom w:val="nil"/>
              <w:right w:val="single" w:sz="4" w:space="0" w:color="auto"/>
            </w:tcBorders>
            <w:noWrap/>
            <w:vAlign w:val="bottom"/>
            <w:hideMark/>
          </w:tcPr>
          <w:p w14:paraId="44432BB5" w14:textId="77777777" w:rsidR="0064066B" w:rsidRPr="00811132" w:rsidRDefault="0064066B" w:rsidP="00B76AD4">
            <w:pPr>
              <w:jc w:val="center"/>
              <w:rPr>
                <w:b/>
                <w:bCs/>
                <w:color w:val="000000"/>
                <w:sz w:val="16"/>
                <w:szCs w:val="16"/>
                <w:lang w:eastAsia="tr-TR"/>
              </w:rPr>
            </w:pPr>
            <w:r w:rsidRPr="00811132">
              <w:rPr>
                <w:b/>
                <w:bCs/>
                <w:color w:val="000000"/>
                <w:sz w:val="14"/>
                <w:szCs w:val="14"/>
                <w:lang w:eastAsia="tr-TR"/>
              </w:rPr>
              <w:t> </w:t>
            </w:r>
          </w:p>
        </w:tc>
        <w:tc>
          <w:tcPr>
            <w:tcW w:w="770" w:type="dxa"/>
            <w:tcBorders>
              <w:top w:val="nil"/>
              <w:left w:val="single" w:sz="4" w:space="0" w:color="auto"/>
              <w:bottom w:val="nil"/>
              <w:right w:val="nil"/>
            </w:tcBorders>
            <w:shd w:val="clear" w:color="000000" w:fill="FFFFFF"/>
            <w:vAlign w:val="bottom"/>
            <w:hideMark/>
          </w:tcPr>
          <w:p w14:paraId="7690CC77" w14:textId="77777777" w:rsidR="0064066B" w:rsidRPr="00D275DF" w:rsidRDefault="0064066B" w:rsidP="00B76AD4">
            <w:pPr>
              <w:jc w:val="right"/>
              <w:rPr>
                <w:color w:val="000000"/>
                <w:sz w:val="14"/>
                <w:szCs w:val="14"/>
              </w:rPr>
            </w:pPr>
            <w:r w:rsidRPr="00D275DF">
              <w:rPr>
                <w:color w:val="000000"/>
                <w:sz w:val="14"/>
                <w:szCs w:val="14"/>
              </w:rPr>
              <w:t>-</w:t>
            </w:r>
          </w:p>
        </w:tc>
        <w:tc>
          <w:tcPr>
            <w:tcW w:w="771" w:type="dxa"/>
            <w:tcBorders>
              <w:top w:val="nil"/>
              <w:left w:val="single" w:sz="4" w:space="0" w:color="auto"/>
              <w:bottom w:val="nil"/>
              <w:right w:val="nil"/>
            </w:tcBorders>
            <w:shd w:val="clear" w:color="000000" w:fill="FFFFFF"/>
            <w:vAlign w:val="bottom"/>
            <w:hideMark/>
          </w:tcPr>
          <w:p w14:paraId="2C00E6A5" w14:textId="77777777" w:rsidR="0064066B" w:rsidRPr="00D275DF" w:rsidRDefault="0064066B" w:rsidP="00B76AD4">
            <w:pPr>
              <w:jc w:val="right"/>
              <w:rPr>
                <w:color w:val="000000"/>
                <w:sz w:val="14"/>
                <w:szCs w:val="14"/>
              </w:rPr>
            </w:pPr>
            <w:r w:rsidRPr="00D275DF">
              <w:rPr>
                <w:color w:val="000000"/>
                <w:sz w:val="14"/>
                <w:szCs w:val="14"/>
              </w:rPr>
              <w:t>-</w:t>
            </w:r>
          </w:p>
        </w:tc>
        <w:tc>
          <w:tcPr>
            <w:tcW w:w="850" w:type="dxa"/>
            <w:tcBorders>
              <w:top w:val="nil"/>
              <w:left w:val="single" w:sz="4" w:space="0" w:color="auto"/>
              <w:bottom w:val="nil"/>
              <w:right w:val="single" w:sz="4" w:space="0" w:color="auto"/>
            </w:tcBorders>
            <w:shd w:val="clear" w:color="000000" w:fill="FFFFFF"/>
            <w:vAlign w:val="bottom"/>
            <w:hideMark/>
          </w:tcPr>
          <w:p w14:paraId="399D13B2" w14:textId="77777777" w:rsidR="0064066B" w:rsidRPr="00D275DF" w:rsidRDefault="0064066B" w:rsidP="00B76AD4">
            <w:pPr>
              <w:jc w:val="right"/>
              <w:rPr>
                <w:color w:val="000000"/>
                <w:sz w:val="14"/>
                <w:szCs w:val="14"/>
              </w:rPr>
            </w:pPr>
            <w:r w:rsidRPr="00D275DF">
              <w:rPr>
                <w:color w:val="000000"/>
                <w:sz w:val="14"/>
                <w:szCs w:val="14"/>
              </w:rPr>
              <w:t>-</w:t>
            </w:r>
          </w:p>
        </w:tc>
      </w:tr>
      <w:tr w:rsidR="0064066B" w:rsidRPr="00AC1668" w14:paraId="0D049EE3" w14:textId="77777777" w:rsidTr="00234709">
        <w:trPr>
          <w:trHeight w:val="113"/>
        </w:trPr>
        <w:tc>
          <w:tcPr>
            <w:tcW w:w="566" w:type="dxa"/>
            <w:tcBorders>
              <w:top w:val="nil"/>
              <w:left w:val="single" w:sz="4" w:space="0" w:color="auto"/>
              <w:bottom w:val="nil"/>
              <w:right w:val="nil"/>
            </w:tcBorders>
            <w:noWrap/>
            <w:hideMark/>
          </w:tcPr>
          <w:p w14:paraId="34A6F776" w14:textId="77777777" w:rsidR="0064066B" w:rsidRPr="00AC1668" w:rsidRDefault="0064066B" w:rsidP="00B76AD4">
            <w:pPr>
              <w:rPr>
                <w:sz w:val="14"/>
                <w:szCs w:val="14"/>
              </w:rPr>
            </w:pPr>
            <w:r w:rsidRPr="00AC1668">
              <w:rPr>
                <w:sz w:val="14"/>
                <w:szCs w:val="14"/>
              </w:rPr>
              <w:t>6.2</w:t>
            </w:r>
          </w:p>
        </w:tc>
        <w:tc>
          <w:tcPr>
            <w:tcW w:w="6517" w:type="dxa"/>
            <w:tcBorders>
              <w:top w:val="nil"/>
              <w:left w:val="nil"/>
              <w:bottom w:val="nil"/>
              <w:right w:val="single" w:sz="4" w:space="0" w:color="auto"/>
            </w:tcBorders>
            <w:hideMark/>
          </w:tcPr>
          <w:p w14:paraId="04703E64" w14:textId="77777777" w:rsidR="0064066B" w:rsidRPr="00AC1668" w:rsidRDefault="0064066B" w:rsidP="00B76AD4">
            <w:pPr>
              <w:rPr>
                <w:sz w:val="14"/>
                <w:szCs w:val="14"/>
              </w:rPr>
            </w:pPr>
            <w:r w:rsidRPr="00AC1668">
              <w:rPr>
                <w:sz w:val="14"/>
                <w:szCs w:val="14"/>
              </w:rPr>
              <w:t>Diğer</w:t>
            </w:r>
          </w:p>
        </w:tc>
        <w:tc>
          <w:tcPr>
            <w:tcW w:w="709" w:type="dxa"/>
            <w:tcBorders>
              <w:top w:val="nil"/>
              <w:left w:val="nil"/>
              <w:bottom w:val="nil"/>
              <w:right w:val="single" w:sz="4" w:space="0" w:color="auto"/>
            </w:tcBorders>
            <w:noWrap/>
            <w:vAlign w:val="bottom"/>
            <w:hideMark/>
          </w:tcPr>
          <w:p w14:paraId="6116319B" w14:textId="77777777" w:rsidR="0064066B" w:rsidRPr="00811132" w:rsidRDefault="0064066B" w:rsidP="00B76AD4">
            <w:pPr>
              <w:jc w:val="center"/>
              <w:rPr>
                <w:b/>
                <w:bCs/>
                <w:color w:val="000000"/>
                <w:sz w:val="16"/>
                <w:szCs w:val="16"/>
                <w:lang w:eastAsia="tr-TR"/>
              </w:rPr>
            </w:pPr>
            <w:r w:rsidRPr="00811132">
              <w:rPr>
                <w:b/>
                <w:bCs/>
                <w:color w:val="000000"/>
                <w:sz w:val="14"/>
                <w:szCs w:val="14"/>
                <w:lang w:eastAsia="tr-TR"/>
              </w:rPr>
              <w:t> </w:t>
            </w:r>
          </w:p>
        </w:tc>
        <w:tc>
          <w:tcPr>
            <w:tcW w:w="770" w:type="dxa"/>
            <w:tcBorders>
              <w:top w:val="nil"/>
              <w:left w:val="single" w:sz="4" w:space="0" w:color="auto"/>
              <w:bottom w:val="nil"/>
              <w:right w:val="nil"/>
            </w:tcBorders>
            <w:shd w:val="clear" w:color="000000" w:fill="FFFFFF"/>
            <w:vAlign w:val="bottom"/>
            <w:hideMark/>
          </w:tcPr>
          <w:p w14:paraId="50AD0137" w14:textId="77777777" w:rsidR="0064066B" w:rsidRPr="00D275DF" w:rsidRDefault="0064066B" w:rsidP="00B76AD4">
            <w:pPr>
              <w:jc w:val="right"/>
              <w:rPr>
                <w:color w:val="000000"/>
                <w:sz w:val="14"/>
                <w:szCs w:val="14"/>
              </w:rPr>
            </w:pPr>
            <w:r w:rsidRPr="00D275DF">
              <w:rPr>
                <w:color w:val="000000"/>
                <w:sz w:val="14"/>
                <w:szCs w:val="14"/>
              </w:rPr>
              <w:t>212.558</w:t>
            </w:r>
          </w:p>
        </w:tc>
        <w:tc>
          <w:tcPr>
            <w:tcW w:w="771" w:type="dxa"/>
            <w:tcBorders>
              <w:top w:val="nil"/>
              <w:left w:val="single" w:sz="4" w:space="0" w:color="auto"/>
              <w:bottom w:val="nil"/>
              <w:right w:val="nil"/>
            </w:tcBorders>
            <w:shd w:val="clear" w:color="000000" w:fill="FFFFFF"/>
            <w:vAlign w:val="bottom"/>
            <w:hideMark/>
          </w:tcPr>
          <w:p w14:paraId="1814756C" w14:textId="77777777" w:rsidR="0064066B" w:rsidRPr="00D275DF" w:rsidRDefault="0064066B" w:rsidP="00B76AD4">
            <w:pPr>
              <w:jc w:val="right"/>
              <w:rPr>
                <w:color w:val="000000"/>
                <w:sz w:val="14"/>
                <w:szCs w:val="14"/>
              </w:rPr>
            </w:pPr>
            <w:r w:rsidRPr="00D275DF">
              <w:rPr>
                <w:color w:val="000000"/>
                <w:sz w:val="14"/>
                <w:szCs w:val="14"/>
              </w:rPr>
              <w:t>-</w:t>
            </w:r>
          </w:p>
        </w:tc>
        <w:tc>
          <w:tcPr>
            <w:tcW w:w="850" w:type="dxa"/>
            <w:tcBorders>
              <w:top w:val="nil"/>
              <w:left w:val="single" w:sz="4" w:space="0" w:color="auto"/>
              <w:bottom w:val="nil"/>
              <w:right w:val="single" w:sz="4" w:space="0" w:color="auto"/>
            </w:tcBorders>
            <w:shd w:val="clear" w:color="000000" w:fill="FFFFFF"/>
            <w:vAlign w:val="bottom"/>
            <w:hideMark/>
          </w:tcPr>
          <w:p w14:paraId="63E96CED" w14:textId="77777777" w:rsidR="0064066B" w:rsidRPr="00D275DF" w:rsidRDefault="0064066B" w:rsidP="00B76AD4">
            <w:pPr>
              <w:jc w:val="right"/>
              <w:rPr>
                <w:color w:val="000000"/>
                <w:sz w:val="14"/>
                <w:szCs w:val="14"/>
              </w:rPr>
            </w:pPr>
            <w:r w:rsidRPr="00D275DF">
              <w:rPr>
                <w:color w:val="000000"/>
                <w:sz w:val="14"/>
                <w:szCs w:val="14"/>
              </w:rPr>
              <w:t>212.558</w:t>
            </w:r>
          </w:p>
        </w:tc>
      </w:tr>
      <w:tr w:rsidR="0064066B" w:rsidRPr="00AC1668" w14:paraId="198BB0FE" w14:textId="77777777" w:rsidTr="00234709">
        <w:trPr>
          <w:trHeight w:val="113"/>
        </w:trPr>
        <w:tc>
          <w:tcPr>
            <w:tcW w:w="566" w:type="dxa"/>
            <w:tcBorders>
              <w:top w:val="nil"/>
              <w:left w:val="single" w:sz="4" w:space="0" w:color="auto"/>
              <w:bottom w:val="nil"/>
              <w:right w:val="nil"/>
            </w:tcBorders>
            <w:noWrap/>
            <w:hideMark/>
          </w:tcPr>
          <w:p w14:paraId="05501554" w14:textId="77777777" w:rsidR="0064066B" w:rsidRPr="00AC1668" w:rsidRDefault="0064066B" w:rsidP="00B76AD4">
            <w:pPr>
              <w:rPr>
                <w:b/>
                <w:bCs/>
                <w:color w:val="000000"/>
                <w:sz w:val="14"/>
                <w:szCs w:val="14"/>
              </w:rPr>
            </w:pPr>
            <w:r w:rsidRPr="00AC1668">
              <w:rPr>
                <w:b/>
                <w:bCs/>
                <w:color w:val="000000"/>
                <w:sz w:val="14"/>
                <w:szCs w:val="14"/>
              </w:rPr>
              <w:t>VII.</w:t>
            </w:r>
          </w:p>
        </w:tc>
        <w:tc>
          <w:tcPr>
            <w:tcW w:w="6517" w:type="dxa"/>
            <w:tcBorders>
              <w:top w:val="nil"/>
              <w:left w:val="nil"/>
              <w:bottom w:val="nil"/>
              <w:right w:val="single" w:sz="4" w:space="0" w:color="auto"/>
            </w:tcBorders>
            <w:hideMark/>
          </w:tcPr>
          <w:p w14:paraId="6C4EE718" w14:textId="77777777" w:rsidR="0064066B" w:rsidRPr="00AC1668" w:rsidRDefault="0064066B" w:rsidP="00B76AD4">
            <w:pPr>
              <w:rPr>
                <w:b/>
                <w:bCs/>
                <w:color w:val="000000"/>
                <w:sz w:val="14"/>
                <w:szCs w:val="14"/>
              </w:rPr>
            </w:pPr>
            <w:r w:rsidRPr="00AC1668">
              <w:rPr>
                <w:b/>
                <w:bCs/>
                <w:color w:val="000000"/>
                <w:sz w:val="14"/>
                <w:szCs w:val="14"/>
              </w:rPr>
              <w:t>YATIRIM AMAÇLI GAYRİMENKULLER (Net)</w:t>
            </w:r>
          </w:p>
        </w:tc>
        <w:tc>
          <w:tcPr>
            <w:tcW w:w="709" w:type="dxa"/>
            <w:tcBorders>
              <w:top w:val="nil"/>
              <w:left w:val="nil"/>
              <w:bottom w:val="nil"/>
              <w:right w:val="single" w:sz="4" w:space="0" w:color="auto"/>
            </w:tcBorders>
            <w:noWrap/>
            <w:vAlign w:val="bottom"/>
            <w:hideMark/>
          </w:tcPr>
          <w:p w14:paraId="2A046AAC" w14:textId="77777777" w:rsidR="0064066B" w:rsidRPr="00811132" w:rsidRDefault="0064066B" w:rsidP="00B76AD4">
            <w:pPr>
              <w:jc w:val="center"/>
              <w:rPr>
                <w:b/>
                <w:bCs/>
                <w:color w:val="000000"/>
                <w:sz w:val="14"/>
                <w:szCs w:val="14"/>
              </w:rPr>
            </w:pPr>
            <w:r w:rsidRPr="00811132">
              <w:rPr>
                <w:b/>
                <w:bCs/>
                <w:color w:val="000000"/>
                <w:sz w:val="14"/>
                <w:szCs w:val="14"/>
              </w:rPr>
              <w:t>(14)</w:t>
            </w:r>
          </w:p>
        </w:tc>
        <w:tc>
          <w:tcPr>
            <w:tcW w:w="770" w:type="dxa"/>
            <w:tcBorders>
              <w:top w:val="nil"/>
              <w:left w:val="single" w:sz="4" w:space="0" w:color="auto"/>
              <w:bottom w:val="nil"/>
              <w:right w:val="nil"/>
            </w:tcBorders>
            <w:shd w:val="clear" w:color="000000" w:fill="FFFFFF"/>
            <w:vAlign w:val="bottom"/>
            <w:hideMark/>
          </w:tcPr>
          <w:p w14:paraId="1F75136D" w14:textId="77777777" w:rsidR="0064066B" w:rsidRPr="00D275DF" w:rsidRDefault="0064066B" w:rsidP="00B76AD4">
            <w:pPr>
              <w:jc w:val="right"/>
              <w:rPr>
                <w:b/>
                <w:bCs/>
                <w:color w:val="000000"/>
                <w:sz w:val="14"/>
                <w:szCs w:val="14"/>
              </w:rPr>
            </w:pPr>
            <w:r w:rsidRPr="00D275DF">
              <w:rPr>
                <w:b/>
                <w:bCs/>
                <w:color w:val="000000"/>
                <w:sz w:val="14"/>
                <w:szCs w:val="14"/>
              </w:rPr>
              <w:t>-</w:t>
            </w:r>
          </w:p>
        </w:tc>
        <w:tc>
          <w:tcPr>
            <w:tcW w:w="771" w:type="dxa"/>
            <w:tcBorders>
              <w:top w:val="nil"/>
              <w:left w:val="single" w:sz="4" w:space="0" w:color="auto"/>
              <w:bottom w:val="nil"/>
              <w:right w:val="nil"/>
            </w:tcBorders>
            <w:shd w:val="clear" w:color="000000" w:fill="FFFFFF"/>
            <w:vAlign w:val="bottom"/>
            <w:hideMark/>
          </w:tcPr>
          <w:p w14:paraId="697701C1" w14:textId="77777777" w:rsidR="0064066B" w:rsidRPr="00D275DF" w:rsidRDefault="0064066B" w:rsidP="00B76AD4">
            <w:pPr>
              <w:jc w:val="right"/>
              <w:rPr>
                <w:b/>
                <w:bCs/>
                <w:color w:val="000000"/>
                <w:sz w:val="14"/>
                <w:szCs w:val="14"/>
              </w:rPr>
            </w:pPr>
            <w:r w:rsidRPr="00D275DF">
              <w:rPr>
                <w:b/>
                <w:bCs/>
                <w:color w:val="000000"/>
                <w:sz w:val="14"/>
                <w:szCs w:val="14"/>
              </w:rPr>
              <w:t>-</w:t>
            </w:r>
          </w:p>
        </w:tc>
        <w:tc>
          <w:tcPr>
            <w:tcW w:w="850" w:type="dxa"/>
            <w:tcBorders>
              <w:top w:val="nil"/>
              <w:left w:val="single" w:sz="4" w:space="0" w:color="auto"/>
              <w:bottom w:val="nil"/>
              <w:right w:val="single" w:sz="4" w:space="0" w:color="auto"/>
            </w:tcBorders>
            <w:shd w:val="clear" w:color="000000" w:fill="FFFFFF"/>
            <w:vAlign w:val="bottom"/>
            <w:hideMark/>
          </w:tcPr>
          <w:p w14:paraId="158B3C0E" w14:textId="77777777" w:rsidR="0064066B" w:rsidRPr="00D275DF" w:rsidRDefault="0064066B" w:rsidP="00B76AD4">
            <w:pPr>
              <w:jc w:val="right"/>
              <w:rPr>
                <w:b/>
                <w:bCs/>
                <w:color w:val="000000"/>
                <w:sz w:val="14"/>
                <w:szCs w:val="14"/>
              </w:rPr>
            </w:pPr>
            <w:r w:rsidRPr="00D275DF">
              <w:rPr>
                <w:b/>
                <w:bCs/>
                <w:color w:val="000000"/>
                <w:sz w:val="14"/>
                <w:szCs w:val="14"/>
              </w:rPr>
              <w:t>-</w:t>
            </w:r>
          </w:p>
        </w:tc>
      </w:tr>
      <w:tr w:rsidR="0064066B" w:rsidRPr="00AC1668" w14:paraId="4CEAF5D8" w14:textId="77777777" w:rsidTr="00234709">
        <w:trPr>
          <w:trHeight w:val="113"/>
        </w:trPr>
        <w:tc>
          <w:tcPr>
            <w:tcW w:w="566" w:type="dxa"/>
            <w:tcBorders>
              <w:top w:val="nil"/>
              <w:left w:val="single" w:sz="4" w:space="0" w:color="auto"/>
              <w:bottom w:val="nil"/>
              <w:right w:val="nil"/>
            </w:tcBorders>
            <w:noWrap/>
            <w:hideMark/>
          </w:tcPr>
          <w:p w14:paraId="1F11B3D4" w14:textId="77777777" w:rsidR="0064066B" w:rsidRPr="00AC1668" w:rsidRDefault="0064066B" w:rsidP="00B76AD4">
            <w:pPr>
              <w:rPr>
                <w:b/>
                <w:bCs/>
                <w:color w:val="000000"/>
                <w:sz w:val="14"/>
                <w:szCs w:val="14"/>
              </w:rPr>
            </w:pPr>
            <w:r w:rsidRPr="00AC1668">
              <w:rPr>
                <w:b/>
                <w:bCs/>
                <w:color w:val="000000"/>
                <w:sz w:val="14"/>
                <w:szCs w:val="14"/>
              </w:rPr>
              <w:t>VIII.</w:t>
            </w:r>
          </w:p>
        </w:tc>
        <w:tc>
          <w:tcPr>
            <w:tcW w:w="6517" w:type="dxa"/>
            <w:tcBorders>
              <w:top w:val="nil"/>
              <w:left w:val="nil"/>
              <w:bottom w:val="nil"/>
              <w:right w:val="single" w:sz="4" w:space="0" w:color="auto"/>
            </w:tcBorders>
            <w:hideMark/>
          </w:tcPr>
          <w:p w14:paraId="052C7E4C" w14:textId="77777777" w:rsidR="0064066B" w:rsidRPr="00AC1668" w:rsidRDefault="0064066B" w:rsidP="00B76AD4">
            <w:pPr>
              <w:rPr>
                <w:b/>
                <w:bCs/>
                <w:color w:val="000000"/>
                <w:sz w:val="14"/>
                <w:szCs w:val="14"/>
              </w:rPr>
            </w:pPr>
            <w:r w:rsidRPr="00AC1668">
              <w:rPr>
                <w:b/>
                <w:bCs/>
                <w:color w:val="000000"/>
                <w:sz w:val="14"/>
                <w:szCs w:val="14"/>
              </w:rPr>
              <w:t>CARİ VERGİ VARLIĞI</w:t>
            </w:r>
          </w:p>
        </w:tc>
        <w:tc>
          <w:tcPr>
            <w:tcW w:w="709" w:type="dxa"/>
            <w:tcBorders>
              <w:top w:val="nil"/>
              <w:left w:val="nil"/>
              <w:bottom w:val="nil"/>
              <w:right w:val="single" w:sz="4" w:space="0" w:color="auto"/>
            </w:tcBorders>
            <w:noWrap/>
            <w:vAlign w:val="bottom"/>
            <w:hideMark/>
          </w:tcPr>
          <w:p w14:paraId="16F5D884" w14:textId="77777777" w:rsidR="0064066B" w:rsidRPr="00811132" w:rsidRDefault="0064066B" w:rsidP="00B76AD4">
            <w:pPr>
              <w:jc w:val="center"/>
              <w:rPr>
                <w:b/>
                <w:bCs/>
                <w:color w:val="000000"/>
                <w:sz w:val="16"/>
                <w:szCs w:val="16"/>
                <w:lang w:eastAsia="tr-TR"/>
              </w:rPr>
            </w:pPr>
            <w:r w:rsidRPr="00811132">
              <w:rPr>
                <w:b/>
                <w:bCs/>
                <w:color w:val="000000"/>
                <w:sz w:val="14"/>
                <w:szCs w:val="14"/>
                <w:lang w:eastAsia="tr-TR"/>
              </w:rPr>
              <w:t> </w:t>
            </w:r>
          </w:p>
        </w:tc>
        <w:tc>
          <w:tcPr>
            <w:tcW w:w="770" w:type="dxa"/>
            <w:tcBorders>
              <w:top w:val="nil"/>
              <w:left w:val="single" w:sz="4" w:space="0" w:color="auto"/>
              <w:bottom w:val="nil"/>
              <w:right w:val="nil"/>
            </w:tcBorders>
            <w:shd w:val="clear" w:color="000000" w:fill="FFFFFF"/>
            <w:vAlign w:val="bottom"/>
            <w:hideMark/>
          </w:tcPr>
          <w:p w14:paraId="746E5639" w14:textId="77777777" w:rsidR="0064066B" w:rsidRPr="00D275DF" w:rsidRDefault="0064066B" w:rsidP="00B76AD4">
            <w:pPr>
              <w:jc w:val="right"/>
              <w:rPr>
                <w:b/>
                <w:bCs/>
                <w:color w:val="000000"/>
                <w:sz w:val="14"/>
                <w:szCs w:val="14"/>
              </w:rPr>
            </w:pPr>
            <w:r w:rsidRPr="00D275DF">
              <w:rPr>
                <w:b/>
                <w:bCs/>
                <w:color w:val="000000"/>
                <w:sz w:val="14"/>
                <w:szCs w:val="14"/>
              </w:rPr>
              <w:t>34</w:t>
            </w:r>
          </w:p>
        </w:tc>
        <w:tc>
          <w:tcPr>
            <w:tcW w:w="771" w:type="dxa"/>
            <w:tcBorders>
              <w:top w:val="nil"/>
              <w:left w:val="single" w:sz="4" w:space="0" w:color="auto"/>
              <w:bottom w:val="nil"/>
              <w:right w:val="nil"/>
            </w:tcBorders>
            <w:shd w:val="clear" w:color="000000" w:fill="FFFFFF"/>
            <w:vAlign w:val="bottom"/>
            <w:hideMark/>
          </w:tcPr>
          <w:p w14:paraId="47EEB8F3" w14:textId="77777777" w:rsidR="0064066B" w:rsidRPr="00D275DF" w:rsidRDefault="0064066B" w:rsidP="00B76AD4">
            <w:pPr>
              <w:jc w:val="right"/>
              <w:rPr>
                <w:b/>
                <w:bCs/>
                <w:color w:val="000000"/>
                <w:sz w:val="14"/>
                <w:szCs w:val="14"/>
              </w:rPr>
            </w:pPr>
            <w:r w:rsidRPr="00D275DF">
              <w:rPr>
                <w:b/>
                <w:bCs/>
                <w:color w:val="000000"/>
                <w:sz w:val="14"/>
                <w:szCs w:val="14"/>
              </w:rPr>
              <w:t>-</w:t>
            </w:r>
          </w:p>
        </w:tc>
        <w:tc>
          <w:tcPr>
            <w:tcW w:w="850" w:type="dxa"/>
            <w:tcBorders>
              <w:top w:val="nil"/>
              <w:left w:val="single" w:sz="4" w:space="0" w:color="auto"/>
              <w:bottom w:val="nil"/>
              <w:right w:val="single" w:sz="4" w:space="0" w:color="auto"/>
            </w:tcBorders>
            <w:shd w:val="clear" w:color="000000" w:fill="FFFFFF"/>
            <w:vAlign w:val="bottom"/>
            <w:hideMark/>
          </w:tcPr>
          <w:p w14:paraId="2C3A2004" w14:textId="77777777" w:rsidR="0064066B" w:rsidRPr="00D275DF" w:rsidRDefault="0064066B" w:rsidP="00B76AD4">
            <w:pPr>
              <w:jc w:val="right"/>
              <w:rPr>
                <w:b/>
                <w:bCs/>
                <w:color w:val="000000"/>
                <w:sz w:val="14"/>
                <w:szCs w:val="14"/>
              </w:rPr>
            </w:pPr>
            <w:r w:rsidRPr="00D275DF">
              <w:rPr>
                <w:b/>
                <w:bCs/>
                <w:color w:val="000000"/>
                <w:sz w:val="14"/>
                <w:szCs w:val="14"/>
              </w:rPr>
              <w:t>34</w:t>
            </w:r>
          </w:p>
        </w:tc>
      </w:tr>
      <w:tr w:rsidR="0064066B" w:rsidRPr="00AC1668" w14:paraId="76B399B3" w14:textId="77777777" w:rsidTr="00234709">
        <w:trPr>
          <w:trHeight w:val="113"/>
        </w:trPr>
        <w:tc>
          <w:tcPr>
            <w:tcW w:w="566" w:type="dxa"/>
            <w:tcBorders>
              <w:top w:val="nil"/>
              <w:left w:val="single" w:sz="4" w:space="0" w:color="auto"/>
              <w:bottom w:val="nil"/>
              <w:right w:val="nil"/>
            </w:tcBorders>
            <w:noWrap/>
            <w:hideMark/>
          </w:tcPr>
          <w:p w14:paraId="6CE648BE" w14:textId="77777777" w:rsidR="0064066B" w:rsidRPr="00AC1668" w:rsidRDefault="0064066B" w:rsidP="00B76AD4">
            <w:pPr>
              <w:rPr>
                <w:b/>
                <w:bCs/>
                <w:color w:val="000000"/>
                <w:sz w:val="14"/>
                <w:szCs w:val="14"/>
              </w:rPr>
            </w:pPr>
            <w:r w:rsidRPr="00AC1668">
              <w:rPr>
                <w:b/>
                <w:bCs/>
                <w:color w:val="000000"/>
                <w:sz w:val="14"/>
                <w:szCs w:val="14"/>
              </w:rPr>
              <w:t>IX.</w:t>
            </w:r>
          </w:p>
        </w:tc>
        <w:tc>
          <w:tcPr>
            <w:tcW w:w="6517" w:type="dxa"/>
            <w:tcBorders>
              <w:top w:val="nil"/>
              <w:left w:val="nil"/>
              <w:bottom w:val="nil"/>
              <w:right w:val="single" w:sz="4" w:space="0" w:color="auto"/>
            </w:tcBorders>
            <w:hideMark/>
          </w:tcPr>
          <w:p w14:paraId="598182BB" w14:textId="77777777" w:rsidR="0064066B" w:rsidRPr="00AC1668" w:rsidRDefault="0064066B" w:rsidP="00B76AD4">
            <w:pPr>
              <w:rPr>
                <w:b/>
                <w:bCs/>
                <w:color w:val="000000"/>
                <w:sz w:val="14"/>
                <w:szCs w:val="14"/>
              </w:rPr>
            </w:pPr>
            <w:r w:rsidRPr="00AC1668">
              <w:rPr>
                <w:b/>
                <w:bCs/>
                <w:color w:val="000000"/>
                <w:sz w:val="14"/>
                <w:szCs w:val="14"/>
              </w:rPr>
              <w:t>ERTELENMİŞ VERGİ VARLIĞI</w:t>
            </w:r>
          </w:p>
        </w:tc>
        <w:tc>
          <w:tcPr>
            <w:tcW w:w="709" w:type="dxa"/>
            <w:tcBorders>
              <w:top w:val="nil"/>
              <w:left w:val="nil"/>
              <w:bottom w:val="nil"/>
              <w:right w:val="single" w:sz="4" w:space="0" w:color="auto"/>
            </w:tcBorders>
            <w:noWrap/>
            <w:vAlign w:val="bottom"/>
            <w:hideMark/>
          </w:tcPr>
          <w:p w14:paraId="58811460" w14:textId="597FA789" w:rsidR="0064066B" w:rsidRPr="00811132" w:rsidRDefault="0064066B" w:rsidP="00B76AD4">
            <w:pPr>
              <w:jc w:val="center"/>
              <w:rPr>
                <w:b/>
                <w:bCs/>
                <w:color w:val="000000"/>
                <w:sz w:val="14"/>
                <w:szCs w:val="14"/>
              </w:rPr>
            </w:pPr>
          </w:p>
        </w:tc>
        <w:tc>
          <w:tcPr>
            <w:tcW w:w="770" w:type="dxa"/>
            <w:tcBorders>
              <w:top w:val="nil"/>
              <w:left w:val="single" w:sz="4" w:space="0" w:color="auto"/>
              <w:bottom w:val="nil"/>
              <w:right w:val="nil"/>
            </w:tcBorders>
            <w:shd w:val="clear" w:color="000000" w:fill="FFFFFF"/>
            <w:vAlign w:val="bottom"/>
            <w:hideMark/>
          </w:tcPr>
          <w:p w14:paraId="219F50A7" w14:textId="77777777" w:rsidR="0064066B" w:rsidRPr="00D275DF" w:rsidRDefault="0064066B" w:rsidP="00B76AD4">
            <w:pPr>
              <w:jc w:val="right"/>
              <w:rPr>
                <w:b/>
                <w:bCs/>
                <w:color w:val="000000"/>
                <w:sz w:val="14"/>
                <w:szCs w:val="14"/>
              </w:rPr>
            </w:pPr>
            <w:r w:rsidRPr="00D275DF">
              <w:rPr>
                <w:b/>
                <w:bCs/>
                <w:color w:val="000000"/>
                <w:sz w:val="14"/>
                <w:szCs w:val="14"/>
              </w:rPr>
              <w:t>77.838</w:t>
            </w:r>
          </w:p>
        </w:tc>
        <w:tc>
          <w:tcPr>
            <w:tcW w:w="771" w:type="dxa"/>
            <w:tcBorders>
              <w:top w:val="nil"/>
              <w:left w:val="single" w:sz="4" w:space="0" w:color="auto"/>
              <w:bottom w:val="nil"/>
              <w:right w:val="nil"/>
            </w:tcBorders>
            <w:shd w:val="clear" w:color="000000" w:fill="FFFFFF"/>
            <w:vAlign w:val="bottom"/>
            <w:hideMark/>
          </w:tcPr>
          <w:p w14:paraId="77E5D1EF" w14:textId="77777777" w:rsidR="0064066B" w:rsidRPr="00D275DF" w:rsidRDefault="0064066B" w:rsidP="00B76AD4">
            <w:pPr>
              <w:jc w:val="right"/>
              <w:rPr>
                <w:b/>
                <w:bCs/>
                <w:color w:val="000000"/>
                <w:sz w:val="14"/>
                <w:szCs w:val="14"/>
              </w:rPr>
            </w:pPr>
            <w:r w:rsidRPr="00D275DF">
              <w:rPr>
                <w:b/>
                <w:bCs/>
                <w:color w:val="000000"/>
                <w:sz w:val="14"/>
                <w:szCs w:val="14"/>
              </w:rPr>
              <w:t>-</w:t>
            </w:r>
          </w:p>
        </w:tc>
        <w:tc>
          <w:tcPr>
            <w:tcW w:w="850" w:type="dxa"/>
            <w:tcBorders>
              <w:top w:val="nil"/>
              <w:left w:val="single" w:sz="4" w:space="0" w:color="auto"/>
              <w:bottom w:val="nil"/>
              <w:right w:val="single" w:sz="4" w:space="0" w:color="auto"/>
            </w:tcBorders>
            <w:shd w:val="clear" w:color="000000" w:fill="FFFFFF"/>
            <w:vAlign w:val="bottom"/>
            <w:hideMark/>
          </w:tcPr>
          <w:p w14:paraId="46B3B1AA" w14:textId="77777777" w:rsidR="0064066B" w:rsidRPr="00D275DF" w:rsidRDefault="0064066B" w:rsidP="00B76AD4">
            <w:pPr>
              <w:jc w:val="right"/>
              <w:rPr>
                <w:b/>
                <w:bCs/>
                <w:color w:val="000000"/>
                <w:sz w:val="14"/>
                <w:szCs w:val="14"/>
              </w:rPr>
            </w:pPr>
            <w:r w:rsidRPr="00D275DF">
              <w:rPr>
                <w:b/>
                <w:bCs/>
                <w:color w:val="000000"/>
                <w:sz w:val="14"/>
                <w:szCs w:val="14"/>
              </w:rPr>
              <w:t>77.838</w:t>
            </w:r>
          </w:p>
        </w:tc>
      </w:tr>
      <w:tr w:rsidR="0064066B" w:rsidRPr="00AC1668" w14:paraId="64FE15CC" w14:textId="77777777" w:rsidTr="00234709">
        <w:trPr>
          <w:trHeight w:val="113"/>
        </w:trPr>
        <w:tc>
          <w:tcPr>
            <w:tcW w:w="566" w:type="dxa"/>
            <w:tcBorders>
              <w:top w:val="nil"/>
              <w:left w:val="single" w:sz="4" w:space="0" w:color="auto"/>
              <w:bottom w:val="nil"/>
              <w:right w:val="nil"/>
            </w:tcBorders>
            <w:noWrap/>
            <w:hideMark/>
          </w:tcPr>
          <w:p w14:paraId="631C6B26" w14:textId="77777777" w:rsidR="0064066B" w:rsidRPr="00AC1668" w:rsidRDefault="0064066B" w:rsidP="00B76AD4">
            <w:pPr>
              <w:rPr>
                <w:b/>
                <w:bCs/>
                <w:color w:val="000000"/>
                <w:sz w:val="14"/>
                <w:szCs w:val="14"/>
              </w:rPr>
            </w:pPr>
            <w:r w:rsidRPr="00AC1668">
              <w:rPr>
                <w:b/>
                <w:bCs/>
                <w:color w:val="000000"/>
                <w:sz w:val="14"/>
                <w:szCs w:val="14"/>
              </w:rPr>
              <w:t>X.</w:t>
            </w:r>
          </w:p>
        </w:tc>
        <w:tc>
          <w:tcPr>
            <w:tcW w:w="6517" w:type="dxa"/>
            <w:tcBorders>
              <w:top w:val="nil"/>
              <w:left w:val="nil"/>
              <w:bottom w:val="nil"/>
              <w:right w:val="single" w:sz="4" w:space="0" w:color="auto"/>
            </w:tcBorders>
            <w:hideMark/>
          </w:tcPr>
          <w:p w14:paraId="54478C36" w14:textId="77777777" w:rsidR="0064066B" w:rsidRPr="00AC1668" w:rsidRDefault="0064066B" w:rsidP="00B76AD4">
            <w:pPr>
              <w:rPr>
                <w:b/>
                <w:bCs/>
                <w:color w:val="000000"/>
                <w:sz w:val="14"/>
                <w:szCs w:val="14"/>
              </w:rPr>
            </w:pPr>
            <w:r w:rsidRPr="00AC1668">
              <w:rPr>
                <w:b/>
                <w:bCs/>
                <w:color w:val="000000"/>
                <w:sz w:val="14"/>
                <w:szCs w:val="14"/>
              </w:rPr>
              <w:t>DİĞER AKTİFLER</w:t>
            </w:r>
          </w:p>
        </w:tc>
        <w:tc>
          <w:tcPr>
            <w:tcW w:w="709" w:type="dxa"/>
            <w:tcBorders>
              <w:top w:val="nil"/>
              <w:left w:val="nil"/>
              <w:bottom w:val="nil"/>
              <w:right w:val="nil"/>
            </w:tcBorders>
            <w:noWrap/>
            <w:vAlign w:val="bottom"/>
            <w:hideMark/>
          </w:tcPr>
          <w:p w14:paraId="57DAD3AD" w14:textId="77777777" w:rsidR="0064066B" w:rsidRPr="00811132" w:rsidRDefault="0064066B" w:rsidP="00B76AD4">
            <w:pPr>
              <w:jc w:val="center"/>
              <w:rPr>
                <w:b/>
                <w:bCs/>
                <w:color w:val="000000"/>
                <w:sz w:val="14"/>
                <w:szCs w:val="14"/>
              </w:rPr>
            </w:pPr>
            <w:r w:rsidRPr="00811132">
              <w:rPr>
                <w:b/>
                <w:bCs/>
                <w:color w:val="000000"/>
                <w:sz w:val="14"/>
                <w:szCs w:val="14"/>
              </w:rPr>
              <w:t>(16)</w:t>
            </w:r>
          </w:p>
        </w:tc>
        <w:tc>
          <w:tcPr>
            <w:tcW w:w="770" w:type="dxa"/>
            <w:tcBorders>
              <w:top w:val="nil"/>
              <w:left w:val="single" w:sz="4" w:space="0" w:color="auto"/>
              <w:bottom w:val="nil"/>
              <w:right w:val="nil"/>
            </w:tcBorders>
            <w:shd w:val="clear" w:color="000000" w:fill="FFFFFF"/>
            <w:vAlign w:val="bottom"/>
            <w:hideMark/>
          </w:tcPr>
          <w:p w14:paraId="69E5FD58" w14:textId="77777777" w:rsidR="0064066B" w:rsidRPr="00D275DF" w:rsidRDefault="0064066B" w:rsidP="00B76AD4">
            <w:pPr>
              <w:jc w:val="right"/>
              <w:rPr>
                <w:b/>
                <w:bCs/>
                <w:color w:val="000000"/>
                <w:sz w:val="14"/>
                <w:szCs w:val="14"/>
              </w:rPr>
            </w:pPr>
            <w:r w:rsidRPr="00D275DF">
              <w:rPr>
                <w:b/>
                <w:bCs/>
                <w:color w:val="000000"/>
                <w:sz w:val="14"/>
                <w:szCs w:val="14"/>
              </w:rPr>
              <w:t>225.797</w:t>
            </w:r>
          </w:p>
        </w:tc>
        <w:tc>
          <w:tcPr>
            <w:tcW w:w="771" w:type="dxa"/>
            <w:tcBorders>
              <w:top w:val="nil"/>
              <w:left w:val="single" w:sz="4" w:space="0" w:color="auto"/>
              <w:bottom w:val="nil"/>
              <w:right w:val="nil"/>
            </w:tcBorders>
            <w:shd w:val="clear" w:color="000000" w:fill="FFFFFF"/>
            <w:vAlign w:val="bottom"/>
            <w:hideMark/>
          </w:tcPr>
          <w:p w14:paraId="373503AB" w14:textId="77777777" w:rsidR="0064066B" w:rsidRPr="00D275DF" w:rsidRDefault="0064066B" w:rsidP="00B76AD4">
            <w:pPr>
              <w:jc w:val="right"/>
              <w:rPr>
                <w:b/>
                <w:bCs/>
                <w:color w:val="000000"/>
                <w:sz w:val="14"/>
                <w:szCs w:val="14"/>
              </w:rPr>
            </w:pPr>
            <w:r w:rsidRPr="00D275DF">
              <w:rPr>
                <w:b/>
                <w:bCs/>
                <w:color w:val="000000"/>
                <w:sz w:val="14"/>
                <w:szCs w:val="14"/>
              </w:rPr>
              <w:t>-</w:t>
            </w:r>
          </w:p>
        </w:tc>
        <w:tc>
          <w:tcPr>
            <w:tcW w:w="850" w:type="dxa"/>
            <w:tcBorders>
              <w:top w:val="nil"/>
              <w:left w:val="single" w:sz="4" w:space="0" w:color="auto"/>
              <w:bottom w:val="nil"/>
              <w:right w:val="single" w:sz="4" w:space="0" w:color="auto"/>
            </w:tcBorders>
            <w:shd w:val="clear" w:color="000000" w:fill="FFFFFF"/>
            <w:vAlign w:val="bottom"/>
            <w:hideMark/>
          </w:tcPr>
          <w:p w14:paraId="07DA83C7" w14:textId="77777777" w:rsidR="0064066B" w:rsidRPr="00D275DF" w:rsidRDefault="0064066B" w:rsidP="00B76AD4">
            <w:pPr>
              <w:jc w:val="right"/>
              <w:rPr>
                <w:b/>
                <w:bCs/>
                <w:color w:val="000000"/>
                <w:sz w:val="14"/>
                <w:szCs w:val="14"/>
              </w:rPr>
            </w:pPr>
            <w:r w:rsidRPr="00D275DF">
              <w:rPr>
                <w:b/>
                <w:bCs/>
                <w:color w:val="000000"/>
                <w:sz w:val="14"/>
                <w:szCs w:val="14"/>
              </w:rPr>
              <w:t>225.797</w:t>
            </w:r>
          </w:p>
        </w:tc>
      </w:tr>
      <w:tr w:rsidR="0064066B" w:rsidRPr="00AC1668" w14:paraId="1EEC0445" w14:textId="77777777" w:rsidTr="00234709">
        <w:trPr>
          <w:trHeight w:val="113"/>
        </w:trPr>
        <w:tc>
          <w:tcPr>
            <w:tcW w:w="566" w:type="dxa"/>
            <w:tcBorders>
              <w:top w:val="nil"/>
              <w:left w:val="single" w:sz="4" w:space="0" w:color="auto"/>
              <w:bottom w:val="nil"/>
              <w:right w:val="nil"/>
            </w:tcBorders>
            <w:noWrap/>
            <w:hideMark/>
          </w:tcPr>
          <w:p w14:paraId="02972F45" w14:textId="77777777" w:rsidR="0064066B" w:rsidRPr="00AC1668" w:rsidRDefault="0064066B" w:rsidP="00B76AD4">
            <w:pPr>
              <w:rPr>
                <w:b/>
                <w:bCs/>
                <w:color w:val="000000"/>
                <w:sz w:val="14"/>
                <w:szCs w:val="14"/>
              </w:rPr>
            </w:pPr>
            <w:r w:rsidRPr="00AC1668">
              <w:rPr>
                <w:b/>
                <w:bCs/>
                <w:color w:val="000000"/>
                <w:sz w:val="14"/>
                <w:szCs w:val="14"/>
              </w:rPr>
              <w:t> </w:t>
            </w:r>
          </w:p>
        </w:tc>
        <w:tc>
          <w:tcPr>
            <w:tcW w:w="6517" w:type="dxa"/>
            <w:tcBorders>
              <w:top w:val="nil"/>
              <w:left w:val="nil"/>
              <w:bottom w:val="nil"/>
              <w:right w:val="single" w:sz="4" w:space="0" w:color="auto"/>
            </w:tcBorders>
            <w:hideMark/>
          </w:tcPr>
          <w:p w14:paraId="7CFD1CB7" w14:textId="77777777" w:rsidR="0064066B" w:rsidRPr="00AC1668" w:rsidRDefault="0064066B" w:rsidP="00B76AD4">
            <w:pPr>
              <w:rPr>
                <w:b/>
                <w:bCs/>
                <w:color w:val="000000"/>
                <w:sz w:val="14"/>
                <w:szCs w:val="14"/>
              </w:rPr>
            </w:pPr>
            <w:r w:rsidRPr="00AC1668">
              <w:rPr>
                <w:b/>
                <w:bCs/>
                <w:color w:val="000000"/>
                <w:sz w:val="14"/>
                <w:szCs w:val="14"/>
              </w:rPr>
              <w:t> </w:t>
            </w:r>
          </w:p>
        </w:tc>
        <w:tc>
          <w:tcPr>
            <w:tcW w:w="709" w:type="dxa"/>
            <w:tcBorders>
              <w:top w:val="nil"/>
              <w:left w:val="nil"/>
              <w:bottom w:val="single" w:sz="4" w:space="0" w:color="auto"/>
              <w:right w:val="single" w:sz="4" w:space="0" w:color="auto"/>
            </w:tcBorders>
            <w:noWrap/>
            <w:vAlign w:val="bottom"/>
            <w:hideMark/>
          </w:tcPr>
          <w:p w14:paraId="15439099" w14:textId="77777777" w:rsidR="0064066B" w:rsidRPr="00811132" w:rsidRDefault="0064066B" w:rsidP="00B76AD4">
            <w:pPr>
              <w:jc w:val="center"/>
              <w:rPr>
                <w:b/>
                <w:bCs/>
                <w:color w:val="000000"/>
                <w:sz w:val="16"/>
                <w:szCs w:val="16"/>
                <w:lang w:eastAsia="tr-TR"/>
              </w:rPr>
            </w:pPr>
            <w:r w:rsidRPr="00811132">
              <w:rPr>
                <w:b/>
                <w:bCs/>
                <w:color w:val="000000"/>
                <w:sz w:val="14"/>
                <w:szCs w:val="14"/>
                <w:lang w:eastAsia="tr-TR"/>
              </w:rPr>
              <w:t> </w:t>
            </w:r>
          </w:p>
        </w:tc>
        <w:tc>
          <w:tcPr>
            <w:tcW w:w="770" w:type="dxa"/>
            <w:tcBorders>
              <w:top w:val="nil"/>
              <w:left w:val="nil"/>
              <w:bottom w:val="single" w:sz="4" w:space="0" w:color="auto"/>
              <w:right w:val="single" w:sz="4" w:space="0" w:color="auto"/>
            </w:tcBorders>
            <w:vAlign w:val="bottom"/>
            <w:hideMark/>
          </w:tcPr>
          <w:p w14:paraId="2CFBB0F8" w14:textId="77777777" w:rsidR="0064066B" w:rsidRPr="00D275DF" w:rsidRDefault="0064066B" w:rsidP="00B76AD4">
            <w:pPr>
              <w:jc w:val="right"/>
              <w:rPr>
                <w:b/>
                <w:bCs/>
                <w:color w:val="000000"/>
                <w:sz w:val="14"/>
                <w:szCs w:val="14"/>
              </w:rPr>
            </w:pPr>
            <w:r w:rsidRPr="00D275DF">
              <w:rPr>
                <w:b/>
                <w:bCs/>
                <w:color w:val="000000"/>
                <w:sz w:val="14"/>
                <w:szCs w:val="14"/>
              </w:rPr>
              <w:t> </w:t>
            </w:r>
          </w:p>
        </w:tc>
        <w:tc>
          <w:tcPr>
            <w:tcW w:w="771" w:type="dxa"/>
            <w:tcBorders>
              <w:top w:val="nil"/>
              <w:left w:val="nil"/>
              <w:bottom w:val="single" w:sz="4" w:space="0" w:color="auto"/>
              <w:right w:val="single" w:sz="4" w:space="0" w:color="auto"/>
            </w:tcBorders>
            <w:vAlign w:val="bottom"/>
            <w:hideMark/>
          </w:tcPr>
          <w:p w14:paraId="4EC0DF8D" w14:textId="77777777" w:rsidR="0064066B" w:rsidRPr="00D275DF" w:rsidRDefault="0064066B" w:rsidP="00B76AD4">
            <w:pPr>
              <w:jc w:val="right"/>
              <w:rPr>
                <w:b/>
                <w:bCs/>
                <w:color w:val="000000"/>
                <w:sz w:val="14"/>
                <w:szCs w:val="14"/>
              </w:rPr>
            </w:pPr>
            <w:r w:rsidRPr="00D275DF">
              <w:rPr>
                <w:b/>
                <w:bCs/>
                <w:color w:val="000000"/>
                <w:sz w:val="14"/>
                <w:szCs w:val="14"/>
              </w:rPr>
              <w:t> </w:t>
            </w:r>
          </w:p>
        </w:tc>
        <w:tc>
          <w:tcPr>
            <w:tcW w:w="850" w:type="dxa"/>
            <w:tcBorders>
              <w:top w:val="nil"/>
              <w:left w:val="nil"/>
              <w:bottom w:val="single" w:sz="4" w:space="0" w:color="auto"/>
              <w:right w:val="single" w:sz="4" w:space="0" w:color="auto"/>
            </w:tcBorders>
            <w:vAlign w:val="bottom"/>
            <w:hideMark/>
          </w:tcPr>
          <w:p w14:paraId="584D0CAC" w14:textId="77777777" w:rsidR="0064066B" w:rsidRPr="00D275DF" w:rsidRDefault="0064066B" w:rsidP="00B76AD4">
            <w:pPr>
              <w:jc w:val="right"/>
              <w:rPr>
                <w:b/>
                <w:bCs/>
                <w:color w:val="000000"/>
                <w:sz w:val="14"/>
                <w:szCs w:val="14"/>
              </w:rPr>
            </w:pPr>
            <w:r w:rsidRPr="00D275DF">
              <w:rPr>
                <w:b/>
                <w:bCs/>
                <w:color w:val="000000"/>
                <w:sz w:val="14"/>
                <w:szCs w:val="14"/>
              </w:rPr>
              <w:t> </w:t>
            </w:r>
          </w:p>
        </w:tc>
      </w:tr>
      <w:tr w:rsidR="0064066B" w:rsidRPr="00AC1668" w14:paraId="6D7B6C87" w14:textId="77777777" w:rsidTr="00234709">
        <w:trPr>
          <w:trHeight w:val="113"/>
        </w:trPr>
        <w:tc>
          <w:tcPr>
            <w:tcW w:w="566" w:type="dxa"/>
            <w:tcBorders>
              <w:top w:val="single" w:sz="4" w:space="0" w:color="auto"/>
              <w:left w:val="single" w:sz="4" w:space="0" w:color="auto"/>
              <w:bottom w:val="single" w:sz="4" w:space="0" w:color="auto"/>
              <w:right w:val="nil"/>
            </w:tcBorders>
            <w:noWrap/>
            <w:hideMark/>
          </w:tcPr>
          <w:p w14:paraId="5F6C801D" w14:textId="77777777" w:rsidR="0064066B" w:rsidRPr="00AC1668" w:rsidRDefault="0064066B" w:rsidP="00B76AD4">
            <w:pPr>
              <w:rPr>
                <w:b/>
                <w:bCs/>
                <w:sz w:val="14"/>
                <w:szCs w:val="14"/>
              </w:rPr>
            </w:pPr>
            <w:r w:rsidRPr="00AC1668">
              <w:rPr>
                <w:b/>
                <w:bCs/>
                <w:sz w:val="14"/>
                <w:szCs w:val="14"/>
              </w:rPr>
              <w:t> </w:t>
            </w:r>
          </w:p>
        </w:tc>
        <w:tc>
          <w:tcPr>
            <w:tcW w:w="6517" w:type="dxa"/>
            <w:tcBorders>
              <w:top w:val="single" w:sz="4" w:space="0" w:color="auto"/>
              <w:left w:val="nil"/>
              <w:bottom w:val="single" w:sz="4" w:space="0" w:color="auto"/>
              <w:right w:val="single" w:sz="4" w:space="0" w:color="auto"/>
            </w:tcBorders>
            <w:hideMark/>
          </w:tcPr>
          <w:p w14:paraId="607BC973" w14:textId="77777777" w:rsidR="0064066B" w:rsidRPr="00AC1668" w:rsidRDefault="0064066B" w:rsidP="00B76AD4">
            <w:pPr>
              <w:rPr>
                <w:b/>
                <w:bCs/>
                <w:sz w:val="14"/>
                <w:szCs w:val="14"/>
              </w:rPr>
            </w:pPr>
            <w:r w:rsidRPr="00AC1668">
              <w:rPr>
                <w:b/>
                <w:bCs/>
                <w:sz w:val="14"/>
                <w:szCs w:val="14"/>
              </w:rPr>
              <w:t>VARLIKLAR TOPLAMI</w:t>
            </w:r>
          </w:p>
        </w:tc>
        <w:tc>
          <w:tcPr>
            <w:tcW w:w="709" w:type="dxa"/>
            <w:tcBorders>
              <w:top w:val="single" w:sz="4" w:space="0" w:color="auto"/>
              <w:left w:val="nil"/>
              <w:bottom w:val="single" w:sz="4" w:space="0" w:color="auto"/>
              <w:right w:val="single" w:sz="4" w:space="0" w:color="auto"/>
            </w:tcBorders>
            <w:noWrap/>
            <w:vAlign w:val="bottom"/>
            <w:hideMark/>
          </w:tcPr>
          <w:p w14:paraId="07EC36B8" w14:textId="77777777" w:rsidR="0064066B" w:rsidRPr="00811132" w:rsidRDefault="0064066B" w:rsidP="00B76AD4">
            <w:pPr>
              <w:jc w:val="center"/>
              <w:rPr>
                <w:b/>
                <w:bCs/>
                <w:sz w:val="16"/>
                <w:szCs w:val="16"/>
                <w:lang w:eastAsia="tr-TR"/>
              </w:rPr>
            </w:pPr>
            <w:r w:rsidRPr="00811132">
              <w:rPr>
                <w:b/>
                <w:bCs/>
                <w:sz w:val="14"/>
                <w:szCs w:val="14"/>
                <w:lang w:eastAsia="tr-TR"/>
              </w:rPr>
              <w:t> </w:t>
            </w:r>
          </w:p>
        </w:tc>
        <w:tc>
          <w:tcPr>
            <w:tcW w:w="770" w:type="dxa"/>
            <w:tcBorders>
              <w:top w:val="single" w:sz="4" w:space="0" w:color="auto"/>
              <w:left w:val="nil"/>
              <w:bottom w:val="single" w:sz="4" w:space="0" w:color="auto"/>
              <w:right w:val="single" w:sz="4" w:space="0" w:color="auto"/>
            </w:tcBorders>
            <w:shd w:val="clear" w:color="000000" w:fill="FFFFFF"/>
            <w:vAlign w:val="bottom"/>
            <w:hideMark/>
          </w:tcPr>
          <w:p w14:paraId="3F271710" w14:textId="77777777" w:rsidR="0064066B" w:rsidRPr="00D275DF" w:rsidRDefault="0064066B" w:rsidP="00B76AD4">
            <w:pPr>
              <w:jc w:val="right"/>
              <w:rPr>
                <w:b/>
                <w:bCs/>
                <w:color w:val="000000"/>
                <w:sz w:val="14"/>
                <w:szCs w:val="14"/>
              </w:rPr>
            </w:pPr>
            <w:r w:rsidRPr="00D275DF">
              <w:rPr>
                <w:b/>
                <w:bCs/>
                <w:color w:val="000000"/>
                <w:sz w:val="14"/>
                <w:szCs w:val="14"/>
              </w:rPr>
              <w:t>20.526.273</w:t>
            </w:r>
          </w:p>
        </w:tc>
        <w:tc>
          <w:tcPr>
            <w:tcW w:w="771" w:type="dxa"/>
            <w:tcBorders>
              <w:top w:val="single" w:sz="4" w:space="0" w:color="auto"/>
              <w:left w:val="nil"/>
              <w:bottom w:val="single" w:sz="4" w:space="0" w:color="auto"/>
              <w:right w:val="single" w:sz="4" w:space="0" w:color="auto"/>
            </w:tcBorders>
            <w:shd w:val="clear" w:color="000000" w:fill="FFFFFF"/>
            <w:vAlign w:val="bottom"/>
            <w:hideMark/>
          </w:tcPr>
          <w:p w14:paraId="59ACA331" w14:textId="77777777" w:rsidR="0064066B" w:rsidRPr="00D275DF" w:rsidRDefault="0064066B" w:rsidP="00B76AD4">
            <w:pPr>
              <w:jc w:val="right"/>
              <w:rPr>
                <w:b/>
                <w:bCs/>
                <w:color w:val="000000"/>
                <w:sz w:val="14"/>
                <w:szCs w:val="14"/>
              </w:rPr>
            </w:pPr>
            <w:r w:rsidRPr="00D275DF">
              <w:rPr>
                <w:b/>
                <w:bCs/>
                <w:color w:val="000000"/>
                <w:sz w:val="14"/>
                <w:szCs w:val="14"/>
              </w:rPr>
              <w:t>14.108.884</w:t>
            </w:r>
          </w:p>
        </w:tc>
        <w:tc>
          <w:tcPr>
            <w:tcW w:w="850" w:type="dxa"/>
            <w:tcBorders>
              <w:top w:val="single" w:sz="4" w:space="0" w:color="auto"/>
              <w:left w:val="nil"/>
              <w:bottom w:val="single" w:sz="4" w:space="0" w:color="auto"/>
              <w:right w:val="single" w:sz="4" w:space="0" w:color="auto"/>
            </w:tcBorders>
            <w:shd w:val="clear" w:color="000000" w:fill="FFFFFF"/>
            <w:vAlign w:val="bottom"/>
            <w:hideMark/>
          </w:tcPr>
          <w:p w14:paraId="4EFD7B99" w14:textId="77777777" w:rsidR="0064066B" w:rsidRPr="00D275DF" w:rsidRDefault="0064066B" w:rsidP="00B76AD4">
            <w:pPr>
              <w:jc w:val="right"/>
              <w:rPr>
                <w:b/>
                <w:bCs/>
                <w:color w:val="000000"/>
                <w:sz w:val="14"/>
                <w:szCs w:val="14"/>
              </w:rPr>
            </w:pPr>
            <w:r w:rsidRPr="00D275DF">
              <w:rPr>
                <w:b/>
                <w:bCs/>
                <w:color w:val="000000"/>
                <w:sz w:val="14"/>
                <w:szCs w:val="14"/>
              </w:rPr>
              <w:t>34.635.157</w:t>
            </w:r>
          </w:p>
        </w:tc>
      </w:tr>
    </w:tbl>
    <w:p w14:paraId="60D7FE9A" w14:textId="77777777" w:rsidR="00234709" w:rsidRPr="00AC1668" w:rsidRDefault="00234709">
      <w:pPr>
        <w:rPr>
          <w:szCs w:val="20"/>
        </w:rPr>
      </w:pPr>
    </w:p>
    <w:p w14:paraId="3B3AAC4F" w14:textId="77777777" w:rsidR="009D2E02" w:rsidRPr="00AC1668" w:rsidRDefault="009D2E02" w:rsidP="009D2E02">
      <w:pPr>
        <w:widowControl w:val="0"/>
        <w:tabs>
          <w:tab w:val="left" w:pos="-426"/>
        </w:tabs>
        <w:ind w:right="-1"/>
        <w:jc w:val="both"/>
        <w:rPr>
          <w:sz w:val="18"/>
          <w:szCs w:val="18"/>
        </w:rPr>
      </w:pPr>
      <w:r w:rsidRPr="00AC1668">
        <w:rPr>
          <w:sz w:val="18"/>
          <w:szCs w:val="18"/>
        </w:rPr>
        <w:t>Banka, 1 Temmuz 2025 tarihi itibarıyla TFRS 9 Finansal Araçlar standardının değer düşüklüğüne ilişkin hükümlerini uygulamaya başlamış olup, önceki dönem finansal tabloları BDDK tarafından açıklanmış olan TFRS 9 uygulamayan bankalar için geçerli olan finansal tablo formatında sunulduğu için önceki dönem finansal tablo ve dipnotları yeniden düzenlenmemiş olup, ayrı olarak gösterilmiştir.</w:t>
      </w:r>
    </w:p>
    <w:p w14:paraId="53A6FC76" w14:textId="77777777" w:rsidR="00234709" w:rsidRPr="00AC1668" w:rsidRDefault="00234709" w:rsidP="00234709">
      <w:pPr>
        <w:widowControl w:val="0"/>
        <w:tabs>
          <w:tab w:val="left" w:pos="-426"/>
        </w:tabs>
        <w:ind w:right="-770"/>
        <w:jc w:val="both"/>
        <w:rPr>
          <w:sz w:val="18"/>
          <w:szCs w:val="18"/>
        </w:rPr>
      </w:pPr>
    </w:p>
    <w:p w14:paraId="48300C9D" w14:textId="77777777" w:rsidR="00234709" w:rsidRPr="00AC1668" w:rsidRDefault="00234709" w:rsidP="00234709">
      <w:pPr>
        <w:widowControl w:val="0"/>
        <w:tabs>
          <w:tab w:val="left" w:pos="-426"/>
        </w:tabs>
        <w:ind w:right="-770"/>
        <w:jc w:val="both"/>
        <w:rPr>
          <w:sz w:val="18"/>
          <w:szCs w:val="18"/>
        </w:rPr>
      </w:pPr>
    </w:p>
    <w:p w14:paraId="7660C364" w14:textId="77777777" w:rsidR="00234709" w:rsidRPr="00AC1668" w:rsidRDefault="00234709" w:rsidP="00234709">
      <w:pPr>
        <w:widowControl w:val="0"/>
        <w:tabs>
          <w:tab w:val="left" w:pos="-426"/>
        </w:tabs>
        <w:ind w:right="-770"/>
        <w:jc w:val="both"/>
        <w:rPr>
          <w:sz w:val="18"/>
          <w:szCs w:val="18"/>
        </w:rPr>
      </w:pPr>
    </w:p>
    <w:p w14:paraId="7934C3CB" w14:textId="77777777" w:rsidR="00234709" w:rsidRPr="00AC1668" w:rsidRDefault="00234709" w:rsidP="00234709">
      <w:pPr>
        <w:widowControl w:val="0"/>
        <w:tabs>
          <w:tab w:val="left" w:pos="-426"/>
        </w:tabs>
        <w:ind w:right="-770"/>
        <w:jc w:val="both"/>
        <w:rPr>
          <w:sz w:val="18"/>
          <w:szCs w:val="18"/>
        </w:rPr>
      </w:pPr>
    </w:p>
    <w:p w14:paraId="7848354F" w14:textId="77777777" w:rsidR="00234709" w:rsidRPr="00AC1668" w:rsidRDefault="00234709" w:rsidP="00234709">
      <w:pPr>
        <w:widowControl w:val="0"/>
        <w:tabs>
          <w:tab w:val="left" w:pos="-426"/>
        </w:tabs>
        <w:ind w:right="-770"/>
        <w:jc w:val="both"/>
        <w:rPr>
          <w:sz w:val="18"/>
          <w:szCs w:val="18"/>
        </w:rPr>
      </w:pPr>
    </w:p>
    <w:p w14:paraId="05320D91" w14:textId="77777777" w:rsidR="00234709" w:rsidRPr="00AC1668" w:rsidRDefault="00234709" w:rsidP="00234709">
      <w:pPr>
        <w:widowControl w:val="0"/>
        <w:tabs>
          <w:tab w:val="left" w:pos="-426"/>
        </w:tabs>
        <w:ind w:right="-770"/>
        <w:jc w:val="both"/>
        <w:rPr>
          <w:sz w:val="18"/>
          <w:szCs w:val="18"/>
        </w:rPr>
      </w:pPr>
    </w:p>
    <w:p w14:paraId="6C3F1C82" w14:textId="77777777" w:rsidR="00234709" w:rsidRPr="00AC1668" w:rsidRDefault="00234709" w:rsidP="00234709">
      <w:pPr>
        <w:widowControl w:val="0"/>
        <w:tabs>
          <w:tab w:val="left" w:pos="-426"/>
        </w:tabs>
        <w:ind w:right="-770"/>
        <w:jc w:val="both"/>
        <w:rPr>
          <w:sz w:val="18"/>
          <w:szCs w:val="18"/>
        </w:rPr>
      </w:pPr>
    </w:p>
    <w:p w14:paraId="4C35A734" w14:textId="77777777" w:rsidR="00234709" w:rsidRDefault="00234709" w:rsidP="00234709">
      <w:pPr>
        <w:widowControl w:val="0"/>
        <w:tabs>
          <w:tab w:val="left" w:pos="-426"/>
        </w:tabs>
        <w:ind w:right="-770"/>
        <w:jc w:val="both"/>
        <w:rPr>
          <w:sz w:val="18"/>
          <w:szCs w:val="18"/>
        </w:rPr>
      </w:pPr>
    </w:p>
    <w:p w14:paraId="27E162CE" w14:textId="77777777" w:rsidR="00F36B82" w:rsidRDefault="00F36B82" w:rsidP="00234709">
      <w:pPr>
        <w:widowControl w:val="0"/>
        <w:tabs>
          <w:tab w:val="left" w:pos="-426"/>
        </w:tabs>
        <w:ind w:right="-770"/>
        <w:jc w:val="both"/>
        <w:rPr>
          <w:sz w:val="18"/>
          <w:szCs w:val="18"/>
        </w:rPr>
      </w:pPr>
    </w:p>
    <w:p w14:paraId="471688A6" w14:textId="77777777" w:rsidR="00F36B82" w:rsidRDefault="00F36B82" w:rsidP="00234709">
      <w:pPr>
        <w:widowControl w:val="0"/>
        <w:tabs>
          <w:tab w:val="left" w:pos="-426"/>
        </w:tabs>
        <w:ind w:right="-770"/>
        <w:jc w:val="both"/>
        <w:rPr>
          <w:sz w:val="18"/>
          <w:szCs w:val="18"/>
        </w:rPr>
      </w:pPr>
    </w:p>
    <w:p w14:paraId="7BFA5CEE" w14:textId="77777777" w:rsidR="00F36B82" w:rsidRDefault="00F36B82" w:rsidP="00234709">
      <w:pPr>
        <w:widowControl w:val="0"/>
        <w:tabs>
          <w:tab w:val="left" w:pos="-426"/>
        </w:tabs>
        <w:ind w:right="-770"/>
        <w:jc w:val="both"/>
        <w:rPr>
          <w:sz w:val="18"/>
          <w:szCs w:val="18"/>
        </w:rPr>
      </w:pPr>
    </w:p>
    <w:p w14:paraId="0588B534" w14:textId="77777777" w:rsidR="00F36B82" w:rsidRDefault="00F36B82" w:rsidP="00234709">
      <w:pPr>
        <w:widowControl w:val="0"/>
        <w:tabs>
          <w:tab w:val="left" w:pos="-426"/>
        </w:tabs>
        <w:ind w:right="-770"/>
        <w:jc w:val="both"/>
        <w:rPr>
          <w:sz w:val="18"/>
          <w:szCs w:val="18"/>
        </w:rPr>
      </w:pPr>
    </w:p>
    <w:p w14:paraId="4BDBFA78" w14:textId="77777777" w:rsidR="00F36B82" w:rsidRPr="00AC1668" w:rsidRDefault="00F36B82" w:rsidP="00234709">
      <w:pPr>
        <w:widowControl w:val="0"/>
        <w:tabs>
          <w:tab w:val="left" w:pos="-426"/>
        </w:tabs>
        <w:ind w:right="-770"/>
        <w:jc w:val="both"/>
        <w:rPr>
          <w:sz w:val="18"/>
          <w:szCs w:val="18"/>
        </w:rPr>
      </w:pPr>
    </w:p>
    <w:p w14:paraId="415C5905" w14:textId="77777777" w:rsidR="00234709" w:rsidRPr="00AC1668" w:rsidRDefault="00234709" w:rsidP="00234709">
      <w:pPr>
        <w:widowControl w:val="0"/>
        <w:tabs>
          <w:tab w:val="left" w:pos="-426"/>
        </w:tabs>
        <w:ind w:right="-770"/>
        <w:jc w:val="both"/>
        <w:rPr>
          <w:sz w:val="18"/>
          <w:szCs w:val="18"/>
        </w:rPr>
      </w:pPr>
    </w:p>
    <w:p w14:paraId="0ECFFA93" w14:textId="77777777" w:rsidR="00234709" w:rsidRPr="00AC1668" w:rsidRDefault="00234709" w:rsidP="00234709">
      <w:pPr>
        <w:widowControl w:val="0"/>
        <w:tabs>
          <w:tab w:val="left" w:pos="-426"/>
        </w:tabs>
        <w:ind w:right="-770"/>
        <w:jc w:val="both"/>
        <w:rPr>
          <w:sz w:val="18"/>
          <w:szCs w:val="18"/>
        </w:rPr>
      </w:pPr>
    </w:p>
    <w:p w14:paraId="5BCC8024" w14:textId="77777777" w:rsidR="00234709" w:rsidRPr="00AC1668" w:rsidRDefault="00234709" w:rsidP="00234709">
      <w:pPr>
        <w:widowControl w:val="0"/>
        <w:tabs>
          <w:tab w:val="left" w:pos="-426"/>
        </w:tabs>
        <w:ind w:right="-770"/>
        <w:jc w:val="both"/>
        <w:rPr>
          <w:sz w:val="18"/>
          <w:szCs w:val="18"/>
        </w:rPr>
      </w:pPr>
    </w:p>
    <w:p w14:paraId="4F5CBB65" w14:textId="77777777" w:rsidR="00234709" w:rsidRPr="00AC1668" w:rsidRDefault="00234709" w:rsidP="00234709">
      <w:pPr>
        <w:widowControl w:val="0"/>
        <w:tabs>
          <w:tab w:val="left" w:pos="-426"/>
        </w:tabs>
        <w:ind w:right="-770"/>
        <w:jc w:val="both"/>
        <w:rPr>
          <w:sz w:val="18"/>
          <w:szCs w:val="18"/>
        </w:rPr>
      </w:pPr>
    </w:p>
    <w:p w14:paraId="338DF51F" w14:textId="77777777" w:rsidR="00234709" w:rsidRPr="00AC1668" w:rsidRDefault="00234709" w:rsidP="00234709">
      <w:pPr>
        <w:widowControl w:val="0"/>
        <w:tabs>
          <w:tab w:val="left" w:pos="-426"/>
        </w:tabs>
        <w:ind w:right="-770"/>
        <w:jc w:val="both"/>
        <w:rPr>
          <w:sz w:val="18"/>
          <w:szCs w:val="18"/>
        </w:rPr>
      </w:pPr>
    </w:p>
    <w:p w14:paraId="68018186" w14:textId="77777777" w:rsidR="00234709" w:rsidRPr="00AC1668" w:rsidRDefault="00234709" w:rsidP="00234709">
      <w:pPr>
        <w:widowControl w:val="0"/>
        <w:jc w:val="center"/>
        <w:rPr>
          <w:szCs w:val="20"/>
        </w:rPr>
      </w:pPr>
      <w:r w:rsidRPr="00AC1668">
        <w:rPr>
          <w:szCs w:val="20"/>
        </w:rPr>
        <w:t>İlişikteki açıklama ve dipnotlar bu finansal tabloların tamamlayıcı bir parçasıdır.</w:t>
      </w:r>
    </w:p>
    <w:p w14:paraId="6322F640" w14:textId="146E26ED" w:rsidR="0064066B" w:rsidRPr="00AC1668" w:rsidRDefault="0064066B">
      <w:pPr>
        <w:rPr>
          <w:szCs w:val="20"/>
        </w:rPr>
      </w:pPr>
      <w:r w:rsidRPr="00AC1668">
        <w:rPr>
          <w:szCs w:val="20"/>
        </w:rPr>
        <w:br w:type="page"/>
      </w:r>
    </w:p>
    <w:p w14:paraId="6A59DFEA" w14:textId="5AD7C69A" w:rsidR="00A74C68" w:rsidRPr="00A74C68" w:rsidRDefault="00A74C68" w:rsidP="00A74C68">
      <w:pPr>
        <w:widowControl w:val="0"/>
        <w:jc w:val="center"/>
        <w:rPr>
          <w:szCs w:val="20"/>
        </w:rPr>
      </w:pPr>
    </w:p>
    <w:tbl>
      <w:tblPr>
        <w:tblW w:w="5003" w:type="pct"/>
        <w:tblCellMar>
          <w:left w:w="70" w:type="dxa"/>
          <w:right w:w="70" w:type="dxa"/>
        </w:tblCellMar>
        <w:tblLook w:val="04A0" w:firstRow="1" w:lastRow="0" w:firstColumn="1" w:lastColumn="0" w:noHBand="0" w:noVBand="1"/>
      </w:tblPr>
      <w:tblGrid>
        <w:gridCol w:w="853"/>
        <w:gridCol w:w="4811"/>
        <w:gridCol w:w="1038"/>
        <w:gridCol w:w="1043"/>
        <w:gridCol w:w="1136"/>
        <w:gridCol w:w="1320"/>
      </w:tblGrid>
      <w:tr w:rsidR="00A74C68" w:rsidRPr="00A74C68" w14:paraId="31F367AF" w14:textId="77777777" w:rsidTr="00263F8A">
        <w:trPr>
          <w:divId w:val="282467830"/>
          <w:trHeight w:val="20"/>
        </w:trPr>
        <w:tc>
          <w:tcPr>
            <w:tcW w:w="2775" w:type="pct"/>
            <w:gridSpan w:val="2"/>
            <w:vMerge w:val="restart"/>
            <w:tcBorders>
              <w:top w:val="single" w:sz="4" w:space="0" w:color="auto"/>
              <w:left w:val="single" w:sz="4" w:space="0" w:color="auto"/>
              <w:bottom w:val="single" w:sz="4" w:space="0" w:color="000000"/>
              <w:right w:val="nil"/>
            </w:tcBorders>
            <w:shd w:val="clear" w:color="000000" w:fill="FFFFFF"/>
            <w:vAlign w:val="center"/>
            <w:hideMark/>
          </w:tcPr>
          <w:p w14:paraId="74D220E0" w14:textId="1D6943C7" w:rsidR="00A74C68" w:rsidRPr="00A74C68" w:rsidRDefault="00A74C68" w:rsidP="00A74C68">
            <w:pPr>
              <w:jc w:val="center"/>
              <w:rPr>
                <w:b/>
                <w:bCs/>
                <w:color w:val="000000"/>
                <w:sz w:val="14"/>
                <w:szCs w:val="14"/>
              </w:rPr>
            </w:pPr>
            <w:r w:rsidRPr="00A74C68">
              <w:rPr>
                <w:b/>
                <w:bCs/>
                <w:color w:val="000000"/>
                <w:sz w:val="14"/>
                <w:szCs w:val="14"/>
              </w:rPr>
              <w:t>YÜKÜMLÜLÜKLER</w:t>
            </w:r>
          </w:p>
        </w:tc>
        <w:tc>
          <w:tcPr>
            <w:tcW w:w="509" w:type="pct"/>
            <w:vMerge w:val="restart"/>
            <w:tcBorders>
              <w:top w:val="single" w:sz="4" w:space="0" w:color="auto"/>
              <w:left w:val="single" w:sz="4" w:space="0" w:color="auto"/>
              <w:bottom w:val="single" w:sz="4" w:space="0" w:color="000000"/>
              <w:right w:val="single" w:sz="4" w:space="0" w:color="auto"/>
            </w:tcBorders>
            <w:vAlign w:val="center"/>
            <w:hideMark/>
          </w:tcPr>
          <w:p w14:paraId="3C4439E5" w14:textId="77777777" w:rsidR="00A74C68" w:rsidRPr="00A74C68" w:rsidRDefault="00A74C68" w:rsidP="00A74C68">
            <w:pPr>
              <w:jc w:val="center"/>
              <w:rPr>
                <w:b/>
                <w:bCs/>
                <w:color w:val="000000"/>
                <w:sz w:val="14"/>
                <w:szCs w:val="14"/>
              </w:rPr>
            </w:pPr>
            <w:r w:rsidRPr="00A74C68">
              <w:rPr>
                <w:b/>
                <w:bCs/>
                <w:color w:val="000000"/>
                <w:sz w:val="14"/>
                <w:szCs w:val="14"/>
              </w:rPr>
              <w:t>Dipnot (Beşinci Bölüm-II)</w:t>
            </w:r>
          </w:p>
        </w:tc>
        <w:tc>
          <w:tcPr>
            <w:tcW w:w="1716" w:type="pct"/>
            <w:gridSpan w:val="3"/>
            <w:tcBorders>
              <w:top w:val="single" w:sz="4" w:space="0" w:color="auto"/>
              <w:left w:val="nil"/>
              <w:bottom w:val="single" w:sz="4" w:space="0" w:color="auto"/>
              <w:right w:val="single" w:sz="4" w:space="0" w:color="000000"/>
            </w:tcBorders>
            <w:vAlign w:val="bottom"/>
            <w:hideMark/>
          </w:tcPr>
          <w:p w14:paraId="206DDE3C" w14:textId="77777777" w:rsidR="00A74C68" w:rsidRPr="00A74C68" w:rsidRDefault="00A74C68" w:rsidP="00A74C68">
            <w:pPr>
              <w:jc w:val="center"/>
              <w:rPr>
                <w:b/>
                <w:bCs/>
                <w:color w:val="000000"/>
                <w:sz w:val="14"/>
                <w:szCs w:val="14"/>
              </w:rPr>
            </w:pPr>
            <w:r w:rsidRPr="00A74C68">
              <w:rPr>
                <w:b/>
                <w:bCs/>
                <w:color w:val="000000"/>
                <w:sz w:val="14"/>
                <w:szCs w:val="14"/>
              </w:rPr>
              <w:t>Cari Dönem</w:t>
            </w:r>
            <w:r w:rsidRPr="00A74C68">
              <w:rPr>
                <w:b/>
                <w:bCs/>
                <w:color w:val="000000"/>
                <w:sz w:val="14"/>
                <w:szCs w:val="14"/>
              </w:rPr>
              <w:br/>
              <w:t>31.12.2025</w:t>
            </w:r>
          </w:p>
        </w:tc>
      </w:tr>
      <w:tr w:rsidR="00A74C68" w:rsidRPr="00A74C68" w14:paraId="2DA38FA7" w14:textId="77777777" w:rsidTr="00263F8A">
        <w:trPr>
          <w:divId w:val="282467830"/>
          <w:trHeight w:val="20"/>
        </w:trPr>
        <w:tc>
          <w:tcPr>
            <w:tcW w:w="2775" w:type="pct"/>
            <w:gridSpan w:val="2"/>
            <w:vMerge/>
            <w:tcBorders>
              <w:top w:val="single" w:sz="4" w:space="0" w:color="auto"/>
              <w:left w:val="single" w:sz="4" w:space="0" w:color="auto"/>
              <w:bottom w:val="single" w:sz="4" w:space="0" w:color="000000"/>
              <w:right w:val="nil"/>
            </w:tcBorders>
            <w:vAlign w:val="center"/>
            <w:hideMark/>
          </w:tcPr>
          <w:p w14:paraId="61DD6DC7" w14:textId="77777777" w:rsidR="00A74C68" w:rsidRPr="00A74C68" w:rsidRDefault="00A74C68" w:rsidP="00A74C68">
            <w:pPr>
              <w:rPr>
                <w:b/>
                <w:bCs/>
                <w:color w:val="000000"/>
                <w:sz w:val="14"/>
                <w:szCs w:val="14"/>
              </w:rPr>
            </w:pPr>
          </w:p>
        </w:tc>
        <w:tc>
          <w:tcPr>
            <w:tcW w:w="509" w:type="pct"/>
            <w:vMerge/>
            <w:tcBorders>
              <w:top w:val="single" w:sz="4" w:space="0" w:color="auto"/>
              <w:left w:val="single" w:sz="4" w:space="0" w:color="auto"/>
              <w:bottom w:val="single" w:sz="4" w:space="0" w:color="000000"/>
              <w:right w:val="single" w:sz="4" w:space="0" w:color="auto"/>
            </w:tcBorders>
            <w:vAlign w:val="center"/>
            <w:hideMark/>
          </w:tcPr>
          <w:p w14:paraId="06C956E5" w14:textId="77777777" w:rsidR="00A74C68" w:rsidRPr="00A74C68" w:rsidRDefault="00A74C68" w:rsidP="00A74C68">
            <w:pPr>
              <w:rPr>
                <w:b/>
                <w:bCs/>
                <w:color w:val="000000"/>
                <w:sz w:val="14"/>
                <w:szCs w:val="14"/>
              </w:rPr>
            </w:pPr>
          </w:p>
        </w:tc>
        <w:tc>
          <w:tcPr>
            <w:tcW w:w="511" w:type="pct"/>
            <w:tcBorders>
              <w:top w:val="single" w:sz="4" w:space="0" w:color="auto"/>
              <w:left w:val="nil"/>
              <w:bottom w:val="nil"/>
              <w:right w:val="single" w:sz="4" w:space="0" w:color="auto"/>
            </w:tcBorders>
            <w:vAlign w:val="center"/>
            <w:hideMark/>
          </w:tcPr>
          <w:p w14:paraId="75173C5F" w14:textId="77777777" w:rsidR="00A74C68" w:rsidRPr="00A74C68" w:rsidRDefault="00A74C68" w:rsidP="00A74C68">
            <w:pPr>
              <w:jc w:val="center"/>
              <w:rPr>
                <w:b/>
                <w:bCs/>
                <w:color w:val="000000"/>
                <w:sz w:val="14"/>
                <w:szCs w:val="14"/>
              </w:rPr>
            </w:pPr>
            <w:r w:rsidRPr="00A74C68">
              <w:rPr>
                <w:b/>
                <w:bCs/>
                <w:color w:val="000000"/>
                <w:sz w:val="14"/>
                <w:szCs w:val="14"/>
              </w:rPr>
              <w:t>TP</w:t>
            </w:r>
          </w:p>
        </w:tc>
        <w:tc>
          <w:tcPr>
            <w:tcW w:w="557" w:type="pct"/>
            <w:tcBorders>
              <w:top w:val="single" w:sz="4" w:space="0" w:color="auto"/>
              <w:left w:val="nil"/>
              <w:bottom w:val="nil"/>
              <w:right w:val="single" w:sz="4" w:space="0" w:color="auto"/>
            </w:tcBorders>
            <w:vAlign w:val="center"/>
            <w:hideMark/>
          </w:tcPr>
          <w:p w14:paraId="1773F6A9" w14:textId="77777777" w:rsidR="00A74C68" w:rsidRPr="00A74C68" w:rsidRDefault="00A74C68" w:rsidP="00A74C68">
            <w:pPr>
              <w:jc w:val="center"/>
              <w:rPr>
                <w:b/>
                <w:bCs/>
                <w:color w:val="000000"/>
                <w:sz w:val="14"/>
                <w:szCs w:val="14"/>
              </w:rPr>
            </w:pPr>
            <w:r w:rsidRPr="00A74C68">
              <w:rPr>
                <w:b/>
                <w:bCs/>
                <w:color w:val="000000"/>
                <w:sz w:val="14"/>
                <w:szCs w:val="14"/>
              </w:rPr>
              <w:t>YP</w:t>
            </w:r>
          </w:p>
        </w:tc>
        <w:tc>
          <w:tcPr>
            <w:tcW w:w="648" w:type="pct"/>
            <w:tcBorders>
              <w:top w:val="single" w:sz="4" w:space="0" w:color="auto"/>
              <w:left w:val="nil"/>
              <w:bottom w:val="nil"/>
              <w:right w:val="single" w:sz="4" w:space="0" w:color="auto"/>
            </w:tcBorders>
            <w:vAlign w:val="center"/>
            <w:hideMark/>
          </w:tcPr>
          <w:p w14:paraId="56CA6578" w14:textId="77777777" w:rsidR="00A74C68" w:rsidRPr="00A74C68" w:rsidRDefault="00A74C68" w:rsidP="00A74C68">
            <w:pPr>
              <w:jc w:val="center"/>
              <w:rPr>
                <w:b/>
                <w:bCs/>
                <w:color w:val="000000"/>
                <w:sz w:val="14"/>
                <w:szCs w:val="14"/>
              </w:rPr>
            </w:pPr>
            <w:r w:rsidRPr="00A74C68">
              <w:rPr>
                <w:b/>
                <w:bCs/>
                <w:color w:val="000000"/>
                <w:sz w:val="14"/>
                <w:szCs w:val="14"/>
              </w:rPr>
              <w:t>Toplam</w:t>
            </w:r>
          </w:p>
        </w:tc>
      </w:tr>
      <w:tr w:rsidR="00A74C68" w:rsidRPr="00A74C68" w14:paraId="1DDE8B0E" w14:textId="77777777" w:rsidTr="00263F8A">
        <w:trPr>
          <w:divId w:val="282467830"/>
          <w:trHeight w:val="20"/>
        </w:trPr>
        <w:tc>
          <w:tcPr>
            <w:tcW w:w="418" w:type="pct"/>
            <w:tcBorders>
              <w:top w:val="nil"/>
              <w:left w:val="single" w:sz="4" w:space="0" w:color="auto"/>
              <w:bottom w:val="nil"/>
              <w:right w:val="nil"/>
            </w:tcBorders>
            <w:vAlign w:val="center"/>
            <w:hideMark/>
          </w:tcPr>
          <w:p w14:paraId="76CAB216" w14:textId="77777777" w:rsidR="00A74C68" w:rsidRPr="00A74C68" w:rsidRDefault="00A74C68" w:rsidP="00A74C68">
            <w:pPr>
              <w:jc w:val="both"/>
              <w:rPr>
                <w:b/>
                <w:bCs/>
                <w:color w:val="000000"/>
                <w:sz w:val="14"/>
                <w:szCs w:val="14"/>
              </w:rPr>
            </w:pPr>
            <w:r w:rsidRPr="00A74C68">
              <w:rPr>
                <w:b/>
                <w:bCs/>
                <w:color w:val="000000"/>
                <w:sz w:val="14"/>
                <w:szCs w:val="14"/>
              </w:rPr>
              <w:t> </w:t>
            </w:r>
          </w:p>
        </w:tc>
        <w:tc>
          <w:tcPr>
            <w:tcW w:w="2358" w:type="pct"/>
            <w:tcBorders>
              <w:top w:val="nil"/>
              <w:left w:val="nil"/>
              <w:bottom w:val="nil"/>
              <w:right w:val="nil"/>
            </w:tcBorders>
            <w:noWrap/>
            <w:vAlign w:val="center"/>
            <w:hideMark/>
          </w:tcPr>
          <w:p w14:paraId="591EED94" w14:textId="77777777" w:rsidR="00A74C68" w:rsidRPr="00A74C68" w:rsidRDefault="00A74C68" w:rsidP="00A74C68">
            <w:pPr>
              <w:jc w:val="both"/>
              <w:rPr>
                <w:b/>
                <w:bCs/>
                <w:color w:val="000000"/>
                <w:sz w:val="14"/>
                <w:szCs w:val="14"/>
              </w:rPr>
            </w:pPr>
          </w:p>
        </w:tc>
        <w:tc>
          <w:tcPr>
            <w:tcW w:w="509" w:type="pct"/>
            <w:tcBorders>
              <w:top w:val="single" w:sz="4" w:space="0" w:color="auto"/>
              <w:left w:val="single" w:sz="4" w:space="0" w:color="auto"/>
              <w:bottom w:val="nil"/>
              <w:right w:val="single" w:sz="4" w:space="0" w:color="auto"/>
            </w:tcBorders>
            <w:vAlign w:val="center"/>
            <w:hideMark/>
          </w:tcPr>
          <w:p w14:paraId="128D1CB6" w14:textId="77777777" w:rsidR="00A74C68" w:rsidRPr="00A74C68" w:rsidRDefault="00A74C68" w:rsidP="00A74C68">
            <w:pPr>
              <w:jc w:val="right"/>
              <w:rPr>
                <w:b/>
                <w:bCs/>
                <w:color w:val="000000"/>
                <w:sz w:val="14"/>
                <w:szCs w:val="14"/>
              </w:rPr>
            </w:pPr>
            <w:r w:rsidRPr="00A74C68">
              <w:rPr>
                <w:b/>
                <w:bCs/>
                <w:color w:val="000000"/>
                <w:sz w:val="14"/>
                <w:szCs w:val="14"/>
              </w:rPr>
              <w:t> </w:t>
            </w:r>
          </w:p>
        </w:tc>
        <w:tc>
          <w:tcPr>
            <w:tcW w:w="511" w:type="pct"/>
            <w:tcBorders>
              <w:top w:val="single" w:sz="4" w:space="0" w:color="auto"/>
              <w:left w:val="nil"/>
              <w:bottom w:val="nil"/>
              <w:right w:val="nil"/>
            </w:tcBorders>
            <w:vAlign w:val="center"/>
            <w:hideMark/>
          </w:tcPr>
          <w:p w14:paraId="4A9332B4" w14:textId="77777777" w:rsidR="00A74C68" w:rsidRPr="00A74C68" w:rsidRDefault="00A74C68" w:rsidP="00A74C68">
            <w:pPr>
              <w:jc w:val="right"/>
              <w:rPr>
                <w:b/>
                <w:bCs/>
                <w:color w:val="000000"/>
                <w:sz w:val="14"/>
                <w:szCs w:val="14"/>
              </w:rPr>
            </w:pPr>
            <w:r w:rsidRPr="00A74C68">
              <w:rPr>
                <w:b/>
                <w:bCs/>
                <w:color w:val="000000"/>
                <w:sz w:val="14"/>
                <w:szCs w:val="14"/>
              </w:rPr>
              <w:t> </w:t>
            </w:r>
          </w:p>
        </w:tc>
        <w:tc>
          <w:tcPr>
            <w:tcW w:w="557" w:type="pct"/>
            <w:tcBorders>
              <w:top w:val="single" w:sz="4" w:space="0" w:color="auto"/>
              <w:left w:val="single" w:sz="4" w:space="0" w:color="auto"/>
              <w:bottom w:val="nil"/>
              <w:right w:val="single" w:sz="4" w:space="0" w:color="auto"/>
            </w:tcBorders>
            <w:vAlign w:val="center"/>
            <w:hideMark/>
          </w:tcPr>
          <w:p w14:paraId="0C0D1343" w14:textId="77777777" w:rsidR="00A74C68" w:rsidRPr="00A74C68" w:rsidRDefault="00A74C68" w:rsidP="00A74C68">
            <w:pPr>
              <w:jc w:val="right"/>
              <w:rPr>
                <w:b/>
                <w:bCs/>
                <w:color w:val="000000"/>
                <w:sz w:val="14"/>
                <w:szCs w:val="14"/>
              </w:rPr>
            </w:pPr>
            <w:r w:rsidRPr="00A74C68">
              <w:rPr>
                <w:b/>
                <w:bCs/>
                <w:color w:val="000000"/>
                <w:sz w:val="14"/>
                <w:szCs w:val="14"/>
              </w:rPr>
              <w:t> </w:t>
            </w:r>
          </w:p>
        </w:tc>
        <w:tc>
          <w:tcPr>
            <w:tcW w:w="648" w:type="pct"/>
            <w:tcBorders>
              <w:top w:val="single" w:sz="4" w:space="0" w:color="auto"/>
              <w:left w:val="nil"/>
              <w:bottom w:val="nil"/>
              <w:right w:val="single" w:sz="4" w:space="0" w:color="auto"/>
            </w:tcBorders>
            <w:vAlign w:val="center"/>
            <w:hideMark/>
          </w:tcPr>
          <w:p w14:paraId="6CA8AC15" w14:textId="77777777" w:rsidR="00A74C68" w:rsidRPr="00A74C68" w:rsidRDefault="00A74C68" w:rsidP="00A74C68">
            <w:pPr>
              <w:jc w:val="right"/>
              <w:rPr>
                <w:b/>
                <w:bCs/>
                <w:color w:val="000000"/>
                <w:sz w:val="14"/>
                <w:szCs w:val="14"/>
              </w:rPr>
            </w:pPr>
            <w:r w:rsidRPr="00A74C68">
              <w:rPr>
                <w:b/>
                <w:bCs/>
                <w:color w:val="000000"/>
                <w:sz w:val="14"/>
                <w:szCs w:val="14"/>
              </w:rPr>
              <w:t> </w:t>
            </w:r>
          </w:p>
        </w:tc>
      </w:tr>
      <w:tr w:rsidR="00A74C68" w:rsidRPr="00A74C68" w14:paraId="6E5D4525" w14:textId="77777777" w:rsidTr="00263F8A">
        <w:trPr>
          <w:divId w:val="282467830"/>
          <w:trHeight w:val="20"/>
        </w:trPr>
        <w:tc>
          <w:tcPr>
            <w:tcW w:w="418" w:type="pct"/>
            <w:tcBorders>
              <w:top w:val="nil"/>
              <w:left w:val="single" w:sz="4" w:space="0" w:color="auto"/>
              <w:bottom w:val="nil"/>
              <w:right w:val="nil"/>
            </w:tcBorders>
            <w:noWrap/>
            <w:hideMark/>
          </w:tcPr>
          <w:p w14:paraId="7D896170" w14:textId="77777777" w:rsidR="00A74C68" w:rsidRPr="00A74C68" w:rsidRDefault="00A74C68" w:rsidP="00A74C68">
            <w:pPr>
              <w:rPr>
                <w:b/>
                <w:bCs/>
                <w:color w:val="000000"/>
                <w:sz w:val="14"/>
                <w:szCs w:val="14"/>
              </w:rPr>
            </w:pPr>
            <w:r w:rsidRPr="00A74C68">
              <w:rPr>
                <w:b/>
                <w:bCs/>
                <w:color w:val="000000"/>
                <w:sz w:val="14"/>
                <w:szCs w:val="14"/>
              </w:rPr>
              <w:t>I.</w:t>
            </w:r>
          </w:p>
        </w:tc>
        <w:tc>
          <w:tcPr>
            <w:tcW w:w="2358" w:type="pct"/>
            <w:tcBorders>
              <w:top w:val="nil"/>
              <w:left w:val="nil"/>
              <w:bottom w:val="nil"/>
              <w:right w:val="nil"/>
            </w:tcBorders>
            <w:hideMark/>
          </w:tcPr>
          <w:p w14:paraId="1A6BFF39" w14:textId="77777777" w:rsidR="00A74C68" w:rsidRPr="00A74C68" w:rsidRDefault="00A74C68" w:rsidP="00A74C68">
            <w:pPr>
              <w:rPr>
                <w:b/>
                <w:bCs/>
                <w:color w:val="000000"/>
                <w:sz w:val="14"/>
                <w:szCs w:val="14"/>
              </w:rPr>
            </w:pPr>
            <w:r w:rsidRPr="00A74C68">
              <w:rPr>
                <w:b/>
                <w:bCs/>
                <w:color w:val="000000"/>
                <w:sz w:val="14"/>
                <w:szCs w:val="14"/>
              </w:rPr>
              <w:t>TOPLANAN FONLAR</w:t>
            </w:r>
          </w:p>
        </w:tc>
        <w:tc>
          <w:tcPr>
            <w:tcW w:w="509" w:type="pct"/>
            <w:tcBorders>
              <w:top w:val="nil"/>
              <w:left w:val="single" w:sz="4" w:space="0" w:color="auto"/>
              <w:bottom w:val="nil"/>
              <w:right w:val="single" w:sz="4" w:space="0" w:color="auto"/>
            </w:tcBorders>
            <w:vAlign w:val="bottom"/>
            <w:hideMark/>
          </w:tcPr>
          <w:p w14:paraId="3C2AF929" w14:textId="77777777" w:rsidR="00A74C68" w:rsidRPr="00A74C68" w:rsidRDefault="00A74C68" w:rsidP="00A74C68">
            <w:pPr>
              <w:jc w:val="center"/>
              <w:rPr>
                <w:b/>
                <w:bCs/>
                <w:color w:val="000000"/>
                <w:sz w:val="14"/>
                <w:szCs w:val="14"/>
              </w:rPr>
            </w:pPr>
            <w:r w:rsidRPr="00A74C68">
              <w:rPr>
                <w:b/>
                <w:bCs/>
                <w:color w:val="000000"/>
                <w:sz w:val="14"/>
                <w:szCs w:val="14"/>
              </w:rPr>
              <w:t>(1)</w:t>
            </w:r>
          </w:p>
        </w:tc>
        <w:tc>
          <w:tcPr>
            <w:tcW w:w="511" w:type="pct"/>
            <w:tcBorders>
              <w:top w:val="nil"/>
              <w:left w:val="nil"/>
              <w:bottom w:val="nil"/>
              <w:right w:val="nil"/>
            </w:tcBorders>
            <w:shd w:val="clear" w:color="000000" w:fill="FFFFFF"/>
            <w:vAlign w:val="bottom"/>
            <w:hideMark/>
          </w:tcPr>
          <w:p w14:paraId="57A5705C" w14:textId="77777777" w:rsidR="00A74C68" w:rsidRPr="00A74C68" w:rsidRDefault="00A74C68" w:rsidP="00A74C68">
            <w:pPr>
              <w:jc w:val="right"/>
              <w:rPr>
                <w:b/>
                <w:bCs/>
                <w:color w:val="000000"/>
                <w:sz w:val="14"/>
                <w:szCs w:val="14"/>
              </w:rPr>
            </w:pPr>
            <w:r w:rsidRPr="00A74C68">
              <w:rPr>
                <w:b/>
                <w:bCs/>
                <w:color w:val="000000"/>
                <w:sz w:val="14"/>
                <w:szCs w:val="14"/>
              </w:rPr>
              <w:t>21.895.080</w:t>
            </w:r>
          </w:p>
        </w:tc>
        <w:tc>
          <w:tcPr>
            <w:tcW w:w="557" w:type="pct"/>
            <w:tcBorders>
              <w:top w:val="nil"/>
              <w:left w:val="single" w:sz="4" w:space="0" w:color="auto"/>
              <w:bottom w:val="nil"/>
              <w:right w:val="single" w:sz="4" w:space="0" w:color="auto"/>
            </w:tcBorders>
            <w:shd w:val="clear" w:color="000000" w:fill="FFFFFF"/>
            <w:vAlign w:val="bottom"/>
            <w:hideMark/>
          </w:tcPr>
          <w:p w14:paraId="00D46ACB" w14:textId="77777777" w:rsidR="00A74C68" w:rsidRPr="00A74C68" w:rsidRDefault="00A74C68" w:rsidP="00A74C68">
            <w:pPr>
              <w:jc w:val="right"/>
              <w:rPr>
                <w:b/>
                <w:bCs/>
                <w:color w:val="000000"/>
                <w:sz w:val="14"/>
                <w:szCs w:val="14"/>
              </w:rPr>
            </w:pPr>
            <w:r w:rsidRPr="00A74C68">
              <w:rPr>
                <w:b/>
                <w:bCs/>
                <w:color w:val="000000"/>
                <w:sz w:val="14"/>
                <w:szCs w:val="14"/>
              </w:rPr>
              <w:t>54.571.694</w:t>
            </w:r>
          </w:p>
        </w:tc>
        <w:tc>
          <w:tcPr>
            <w:tcW w:w="648" w:type="pct"/>
            <w:tcBorders>
              <w:top w:val="nil"/>
              <w:left w:val="nil"/>
              <w:bottom w:val="nil"/>
              <w:right w:val="single" w:sz="4" w:space="0" w:color="auto"/>
            </w:tcBorders>
            <w:shd w:val="clear" w:color="000000" w:fill="FFFFFF"/>
            <w:vAlign w:val="bottom"/>
            <w:hideMark/>
          </w:tcPr>
          <w:p w14:paraId="70119A67" w14:textId="77777777" w:rsidR="00A74C68" w:rsidRPr="00A74C68" w:rsidRDefault="00A74C68" w:rsidP="00A74C68">
            <w:pPr>
              <w:jc w:val="right"/>
              <w:rPr>
                <w:b/>
                <w:bCs/>
                <w:color w:val="000000"/>
                <w:sz w:val="14"/>
                <w:szCs w:val="14"/>
              </w:rPr>
            </w:pPr>
            <w:r w:rsidRPr="00A74C68">
              <w:rPr>
                <w:b/>
                <w:bCs/>
                <w:color w:val="000000"/>
                <w:sz w:val="14"/>
                <w:szCs w:val="14"/>
              </w:rPr>
              <w:t>76.466.774</w:t>
            </w:r>
          </w:p>
        </w:tc>
      </w:tr>
      <w:tr w:rsidR="00A74C68" w:rsidRPr="00A74C68" w14:paraId="61EB2C84" w14:textId="77777777" w:rsidTr="00263F8A">
        <w:trPr>
          <w:divId w:val="282467830"/>
          <w:trHeight w:val="20"/>
        </w:trPr>
        <w:tc>
          <w:tcPr>
            <w:tcW w:w="418" w:type="pct"/>
            <w:tcBorders>
              <w:top w:val="nil"/>
              <w:left w:val="single" w:sz="4" w:space="0" w:color="auto"/>
              <w:bottom w:val="nil"/>
              <w:right w:val="nil"/>
            </w:tcBorders>
            <w:noWrap/>
            <w:hideMark/>
          </w:tcPr>
          <w:p w14:paraId="0B329F32" w14:textId="77777777" w:rsidR="00A74C68" w:rsidRPr="00A74C68" w:rsidRDefault="00A74C68" w:rsidP="00A74C68">
            <w:pPr>
              <w:rPr>
                <w:b/>
                <w:bCs/>
                <w:color w:val="000000"/>
                <w:sz w:val="14"/>
                <w:szCs w:val="14"/>
              </w:rPr>
            </w:pPr>
            <w:r w:rsidRPr="00A74C68">
              <w:rPr>
                <w:b/>
                <w:bCs/>
                <w:color w:val="000000"/>
                <w:sz w:val="14"/>
                <w:szCs w:val="14"/>
              </w:rPr>
              <w:t>II.</w:t>
            </w:r>
          </w:p>
        </w:tc>
        <w:tc>
          <w:tcPr>
            <w:tcW w:w="2358" w:type="pct"/>
            <w:tcBorders>
              <w:top w:val="nil"/>
              <w:left w:val="nil"/>
              <w:bottom w:val="nil"/>
              <w:right w:val="nil"/>
            </w:tcBorders>
            <w:hideMark/>
          </w:tcPr>
          <w:p w14:paraId="3011F34B" w14:textId="77777777" w:rsidR="00A74C68" w:rsidRPr="00A74C68" w:rsidRDefault="00A74C68" w:rsidP="00A74C68">
            <w:pPr>
              <w:rPr>
                <w:b/>
                <w:bCs/>
                <w:color w:val="000000"/>
                <w:sz w:val="14"/>
                <w:szCs w:val="14"/>
              </w:rPr>
            </w:pPr>
            <w:r w:rsidRPr="00A74C68">
              <w:rPr>
                <w:b/>
                <w:bCs/>
                <w:color w:val="000000"/>
                <w:sz w:val="14"/>
                <w:szCs w:val="14"/>
              </w:rPr>
              <w:t>ALINAN KREDİLER</w:t>
            </w:r>
          </w:p>
        </w:tc>
        <w:tc>
          <w:tcPr>
            <w:tcW w:w="509" w:type="pct"/>
            <w:tcBorders>
              <w:top w:val="nil"/>
              <w:left w:val="single" w:sz="4" w:space="0" w:color="auto"/>
              <w:bottom w:val="nil"/>
              <w:right w:val="single" w:sz="4" w:space="0" w:color="auto"/>
            </w:tcBorders>
            <w:vAlign w:val="bottom"/>
            <w:hideMark/>
          </w:tcPr>
          <w:p w14:paraId="3BAF4B94" w14:textId="77777777" w:rsidR="00A74C68" w:rsidRPr="00A74C68" w:rsidRDefault="00A74C68" w:rsidP="00A74C68">
            <w:pPr>
              <w:jc w:val="center"/>
              <w:rPr>
                <w:b/>
                <w:bCs/>
                <w:color w:val="000000"/>
                <w:sz w:val="14"/>
                <w:szCs w:val="14"/>
                <w:lang w:eastAsia="tr-TR"/>
              </w:rPr>
            </w:pPr>
            <w:r w:rsidRPr="00A74C68">
              <w:rPr>
                <w:b/>
                <w:bCs/>
                <w:color w:val="000000"/>
                <w:sz w:val="14"/>
                <w:szCs w:val="14"/>
              </w:rPr>
              <w:t>(2</w:t>
            </w:r>
            <w:r w:rsidRPr="00A74C68">
              <w:rPr>
                <w:b/>
                <w:bCs/>
                <w:color w:val="000000"/>
                <w:sz w:val="14"/>
                <w:szCs w:val="14"/>
                <w:lang w:eastAsia="tr-TR"/>
              </w:rPr>
              <w:t>)</w:t>
            </w:r>
          </w:p>
        </w:tc>
        <w:tc>
          <w:tcPr>
            <w:tcW w:w="511" w:type="pct"/>
            <w:tcBorders>
              <w:top w:val="nil"/>
              <w:left w:val="nil"/>
              <w:bottom w:val="nil"/>
              <w:right w:val="nil"/>
            </w:tcBorders>
            <w:shd w:val="clear" w:color="000000" w:fill="FFFFFF"/>
            <w:vAlign w:val="bottom"/>
            <w:hideMark/>
          </w:tcPr>
          <w:p w14:paraId="4EF3439B" w14:textId="77777777" w:rsidR="00A74C68" w:rsidRPr="00A74C68" w:rsidRDefault="00A74C68" w:rsidP="00A74C68">
            <w:pPr>
              <w:jc w:val="right"/>
              <w:rPr>
                <w:b/>
                <w:bCs/>
                <w:color w:val="000000"/>
                <w:sz w:val="14"/>
                <w:szCs w:val="14"/>
              </w:rPr>
            </w:pPr>
            <w:r w:rsidRPr="00A74C68">
              <w:rPr>
                <w:b/>
                <w:bCs/>
                <w:color w:val="000000"/>
                <w:sz w:val="14"/>
                <w:szCs w:val="14"/>
              </w:rPr>
              <w:t>5.185.314</w:t>
            </w:r>
          </w:p>
        </w:tc>
        <w:tc>
          <w:tcPr>
            <w:tcW w:w="557" w:type="pct"/>
            <w:tcBorders>
              <w:top w:val="nil"/>
              <w:left w:val="single" w:sz="4" w:space="0" w:color="auto"/>
              <w:bottom w:val="nil"/>
              <w:right w:val="single" w:sz="4" w:space="0" w:color="auto"/>
            </w:tcBorders>
            <w:shd w:val="clear" w:color="000000" w:fill="FFFFFF"/>
            <w:vAlign w:val="bottom"/>
            <w:hideMark/>
          </w:tcPr>
          <w:p w14:paraId="65757F27" w14:textId="77777777" w:rsidR="00A74C68" w:rsidRPr="00A74C68" w:rsidRDefault="00A74C68" w:rsidP="00A74C68">
            <w:pPr>
              <w:jc w:val="right"/>
              <w:rPr>
                <w:b/>
                <w:bCs/>
                <w:color w:val="000000"/>
                <w:sz w:val="14"/>
                <w:szCs w:val="14"/>
              </w:rPr>
            </w:pPr>
            <w:r w:rsidRPr="00A74C68">
              <w:rPr>
                <w:b/>
                <w:bCs/>
                <w:color w:val="000000"/>
                <w:sz w:val="14"/>
                <w:szCs w:val="14"/>
              </w:rPr>
              <w:t>587.753</w:t>
            </w:r>
          </w:p>
        </w:tc>
        <w:tc>
          <w:tcPr>
            <w:tcW w:w="648" w:type="pct"/>
            <w:tcBorders>
              <w:top w:val="nil"/>
              <w:left w:val="nil"/>
              <w:bottom w:val="nil"/>
              <w:right w:val="single" w:sz="4" w:space="0" w:color="auto"/>
            </w:tcBorders>
            <w:shd w:val="clear" w:color="000000" w:fill="FFFFFF"/>
            <w:vAlign w:val="bottom"/>
            <w:hideMark/>
          </w:tcPr>
          <w:p w14:paraId="679BDFF2" w14:textId="77777777" w:rsidR="00A74C68" w:rsidRPr="00A74C68" w:rsidRDefault="00A74C68" w:rsidP="00A74C68">
            <w:pPr>
              <w:jc w:val="right"/>
              <w:rPr>
                <w:b/>
                <w:bCs/>
                <w:color w:val="000000"/>
                <w:sz w:val="14"/>
                <w:szCs w:val="14"/>
              </w:rPr>
            </w:pPr>
            <w:r w:rsidRPr="00A74C68">
              <w:rPr>
                <w:b/>
                <w:bCs/>
                <w:color w:val="000000"/>
                <w:sz w:val="14"/>
                <w:szCs w:val="14"/>
              </w:rPr>
              <w:t>5.773.067</w:t>
            </w:r>
          </w:p>
        </w:tc>
      </w:tr>
      <w:tr w:rsidR="00A74C68" w:rsidRPr="00A74C68" w14:paraId="46E4F176" w14:textId="77777777" w:rsidTr="00263F8A">
        <w:trPr>
          <w:divId w:val="282467830"/>
          <w:trHeight w:val="20"/>
        </w:trPr>
        <w:tc>
          <w:tcPr>
            <w:tcW w:w="418" w:type="pct"/>
            <w:tcBorders>
              <w:top w:val="nil"/>
              <w:left w:val="single" w:sz="4" w:space="0" w:color="auto"/>
              <w:bottom w:val="nil"/>
              <w:right w:val="nil"/>
            </w:tcBorders>
            <w:noWrap/>
            <w:hideMark/>
          </w:tcPr>
          <w:p w14:paraId="1617A97C" w14:textId="77777777" w:rsidR="00A74C68" w:rsidRPr="00A74C68" w:rsidRDefault="00A74C68" w:rsidP="00A74C68">
            <w:pPr>
              <w:rPr>
                <w:b/>
                <w:bCs/>
                <w:color w:val="000000"/>
                <w:sz w:val="14"/>
                <w:szCs w:val="14"/>
              </w:rPr>
            </w:pPr>
            <w:r w:rsidRPr="00A74C68">
              <w:rPr>
                <w:b/>
                <w:bCs/>
                <w:color w:val="000000"/>
                <w:sz w:val="14"/>
                <w:szCs w:val="14"/>
              </w:rPr>
              <w:t>III.</w:t>
            </w:r>
          </w:p>
        </w:tc>
        <w:tc>
          <w:tcPr>
            <w:tcW w:w="2358" w:type="pct"/>
            <w:tcBorders>
              <w:top w:val="nil"/>
              <w:left w:val="nil"/>
              <w:bottom w:val="nil"/>
              <w:right w:val="nil"/>
            </w:tcBorders>
            <w:hideMark/>
          </w:tcPr>
          <w:p w14:paraId="24CDB23F" w14:textId="77777777" w:rsidR="00A74C68" w:rsidRPr="00A74C68" w:rsidRDefault="00A74C68" w:rsidP="00A74C68">
            <w:pPr>
              <w:rPr>
                <w:b/>
                <w:bCs/>
                <w:color w:val="000000"/>
                <w:sz w:val="14"/>
                <w:szCs w:val="14"/>
              </w:rPr>
            </w:pPr>
            <w:r w:rsidRPr="00A74C68">
              <w:rPr>
                <w:b/>
                <w:bCs/>
                <w:color w:val="000000"/>
                <w:sz w:val="14"/>
                <w:szCs w:val="14"/>
              </w:rPr>
              <w:t>PARA PİYASALARINA BORÇLAR</w:t>
            </w:r>
          </w:p>
        </w:tc>
        <w:tc>
          <w:tcPr>
            <w:tcW w:w="509" w:type="pct"/>
            <w:tcBorders>
              <w:top w:val="nil"/>
              <w:left w:val="single" w:sz="4" w:space="0" w:color="auto"/>
              <w:bottom w:val="nil"/>
              <w:right w:val="single" w:sz="4" w:space="0" w:color="auto"/>
            </w:tcBorders>
            <w:vAlign w:val="bottom"/>
            <w:hideMark/>
          </w:tcPr>
          <w:p w14:paraId="023BD735"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511" w:type="pct"/>
            <w:tcBorders>
              <w:top w:val="nil"/>
              <w:left w:val="nil"/>
              <w:bottom w:val="nil"/>
              <w:right w:val="nil"/>
            </w:tcBorders>
            <w:shd w:val="clear" w:color="000000" w:fill="FFFFFF"/>
            <w:vAlign w:val="bottom"/>
            <w:hideMark/>
          </w:tcPr>
          <w:p w14:paraId="4CBBC832" w14:textId="77777777" w:rsidR="00A74C68" w:rsidRPr="00A74C68" w:rsidRDefault="00A74C68" w:rsidP="00A74C68">
            <w:pPr>
              <w:jc w:val="right"/>
              <w:rPr>
                <w:b/>
                <w:bCs/>
                <w:color w:val="000000"/>
                <w:sz w:val="14"/>
                <w:szCs w:val="14"/>
              </w:rPr>
            </w:pPr>
            <w:r w:rsidRPr="00A74C68">
              <w:rPr>
                <w:b/>
                <w:bCs/>
                <w:color w:val="000000"/>
                <w:sz w:val="14"/>
                <w:szCs w:val="14"/>
              </w:rPr>
              <w:t>-</w:t>
            </w:r>
          </w:p>
        </w:tc>
        <w:tc>
          <w:tcPr>
            <w:tcW w:w="557" w:type="pct"/>
            <w:tcBorders>
              <w:top w:val="nil"/>
              <w:left w:val="single" w:sz="4" w:space="0" w:color="auto"/>
              <w:bottom w:val="nil"/>
              <w:right w:val="single" w:sz="4" w:space="0" w:color="auto"/>
            </w:tcBorders>
            <w:shd w:val="clear" w:color="000000" w:fill="FFFFFF"/>
            <w:vAlign w:val="bottom"/>
            <w:hideMark/>
          </w:tcPr>
          <w:p w14:paraId="5AFC0BFE" w14:textId="77777777" w:rsidR="00A74C68" w:rsidRPr="00A74C68" w:rsidRDefault="00A74C68" w:rsidP="00A74C68">
            <w:pPr>
              <w:jc w:val="right"/>
              <w:rPr>
                <w:b/>
                <w:bCs/>
                <w:color w:val="000000"/>
                <w:sz w:val="14"/>
                <w:szCs w:val="14"/>
              </w:rPr>
            </w:pPr>
            <w:r w:rsidRPr="00A74C68">
              <w:rPr>
                <w:b/>
                <w:bCs/>
                <w:color w:val="000000"/>
                <w:sz w:val="14"/>
                <w:szCs w:val="14"/>
              </w:rPr>
              <w:t>-</w:t>
            </w:r>
          </w:p>
        </w:tc>
        <w:tc>
          <w:tcPr>
            <w:tcW w:w="648" w:type="pct"/>
            <w:tcBorders>
              <w:top w:val="nil"/>
              <w:left w:val="nil"/>
              <w:bottom w:val="nil"/>
              <w:right w:val="single" w:sz="4" w:space="0" w:color="auto"/>
            </w:tcBorders>
            <w:shd w:val="clear" w:color="000000" w:fill="FFFFFF"/>
            <w:vAlign w:val="bottom"/>
            <w:hideMark/>
          </w:tcPr>
          <w:p w14:paraId="1264FA59" w14:textId="77777777" w:rsidR="00A74C68" w:rsidRPr="00A74C68" w:rsidRDefault="00A74C68" w:rsidP="00A74C68">
            <w:pPr>
              <w:jc w:val="right"/>
              <w:rPr>
                <w:b/>
                <w:bCs/>
                <w:color w:val="000000"/>
                <w:sz w:val="14"/>
                <w:szCs w:val="14"/>
              </w:rPr>
            </w:pPr>
            <w:r w:rsidRPr="00A74C68">
              <w:rPr>
                <w:b/>
                <w:bCs/>
                <w:color w:val="000000"/>
                <w:sz w:val="14"/>
                <w:szCs w:val="14"/>
              </w:rPr>
              <w:t>-</w:t>
            </w:r>
          </w:p>
        </w:tc>
      </w:tr>
      <w:tr w:rsidR="00A74C68" w:rsidRPr="00A74C68" w14:paraId="19099D5E" w14:textId="77777777" w:rsidTr="00263F8A">
        <w:trPr>
          <w:divId w:val="282467830"/>
          <w:trHeight w:val="20"/>
        </w:trPr>
        <w:tc>
          <w:tcPr>
            <w:tcW w:w="418" w:type="pct"/>
            <w:tcBorders>
              <w:top w:val="nil"/>
              <w:left w:val="single" w:sz="4" w:space="0" w:color="auto"/>
              <w:bottom w:val="nil"/>
              <w:right w:val="nil"/>
            </w:tcBorders>
            <w:noWrap/>
            <w:hideMark/>
          </w:tcPr>
          <w:p w14:paraId="5810207F" w14:textId="77777777" w:rsidR="00A74C68" w:rsidRPr="00A74C68" w:rsidRDefault="00A74C68" w:rsidP="00A74C68">
            <w:pPr>
              <w:rPr>
                <w:b/>
                <w:bCs/>
                <w:color w:val="000000"/>
                <w:sz w:val="14"/>
                <w:szCs w:val="14"/>
              </w:rPr>
            </w:pPr>
            <w:r w:rsidRPr="00A74C68">
              <w:rPr>
                <w:b/>
                <w:bCs/>
                <w:color w:val="000000"/>
                <w:sz w:val="14"/>
                <w:szCs w:val="14"/>
              </w:rPr>
              <w:t>IV.</w:t>
            </w:r>
          </w:p>
        </w:tc>
        <w:tc>
          <w:tcPr>
            <w:tcW w:w="2358" w:type="pct"/>
            <w:tcBorders>
              <w:top w:val="nil"/>
              <w:left w:val="nil"/>
              <w:bottom w:val="nil"/>
              <w:right w:val="nil"/>
            </w:tcBorders>
            <w:hideMark/>
          </w:tcPr>
          <w:p w14:paraId="7DBB7FCD" w14:textId="77777777" w:rsidR="00A74C68" w:rsidRPr="00A74C68" w:rsidRDefault="00A74C68" w:rsidP="00A74C68">
            <w:pPr>
              <w:rPr>
                <w:b/>
                <w:bCs/>
                <w:color w:val="000000"/>
                <w:sz w:val="14"/>
                <w:szCs w:val="14"/>
              </w:rPr>
            </w:pPr>
            <w:r w:rsidRPr="00A74C68">
              <w:rPr>
                <w:b/>
                <w:bCs/>
                <w:color w:val="000000"/>
                <w:sz w:val="14"/>
                <w:szCs w:val="14"/>
              </w:rPr>
              <w:t xml:space="preserve">İHRAÇ EDİLEN MENKUL KIYMETLER (Net)  </w:t>
            </w:r>
          </w:p>
        </w:tc>
        <w:tc>
          <w:tcPr>
            <w:tcW w:w="509" w:type="pct"/>
            <w:tcBorders>
              <w:top w:val="nil"/>
              <w:left w:val="single" w:sz="4" w:space="0" w:color="auto"/>
              <w:bottom w:val="nil"/>
              <w:right w:val="single" w:sz="4" w:space="0" w:color="auto"/>
            </w:tcBorders>
            <w:vAlign w:val="bottom"/>
            <w:hideMark/>
          </w:tcPr>
          <w:p w14:paraId="1D22C93F"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511" w:type="pct"/>
            <w:tcBorders>
              <w:top w:val="nil"/>
              <w:left w:val="nil"/>
              <w:bottom w:val="nil"/>
              <w:right w:val="nil"/>
            </w:tcBorders>
            <w:shd w:val="clear" w:color="000000" w:fill="FFFFFF"/>
            <w:vAlign w:val="bottom"/>
            <w:hideMark/>
          </w:tcPr>
          <w:p w14:paraId="5A8F2D68" w14:textId="77777777" w:rsidR="00A74C68" w:rsidRPr="00A74C68" w:rsidRDefault="00A74C68" w:rsidP="00A74C68">
            <w:pPr>
              <w:jc w:val="right"/>
              <w:rPr>
                <w:b/>
                <w:bCs/>
                <w:color w:val="000000"/>
                <w:sz w:val="14"/>
                <w:szCs w:val="14"/>
              </w:rPr>
            </w:pPr>
            <w:r w:rsidRPr="00A74C68">
              <w:rPr>
                <w:b/>
                <w:bCs/>
                <w:color w:val="000000"/>
                <w:sz w:val="14"/>
                <w:szCs w:val="14"/>
              </w:rPr>
              <w:t>-</w:t>
            </w:r>
          </w:p>
        </w:tc>
        <w:tc>
          <w:tcPr>
            <w:tcW w:w="557" w:type="pct"/>
            <w:tcBorders>
              <w:top w:val="nil"/>
              <w:left w:val="single" w:sz="4" w:space="0" w:color="auto"/>
              <w:bottom w:val="nil"/>
              <w:right w:val="single" w:sz="4" w:space="0" w:color="auto"/>
            </w:tcBorders>
            <w:shd w:val="clear" w:color="000000" w:fill="FFFFFF"/>
            <w:vAlign w:val="bottom"/>
            <w:hideMark/>
          </w:tcPr>
          <w:p w14:paraId="41CDDF79" w14:textId="77777777" w:rsidR="00A74C68" w:rsidRPr="00A74C68" w:rsidRDefault="00A74C68" w:rsidP="00A74C68">
            <w:pPr>
              <w:jc w:val="right"/>
              <w:rPr>
                <w:b/>
                <w:bCs/>
                <w:color w:val="000000"/>
                <w:sz w:val="14"/>
                <w:szCs w:val="14"/>
              </w:rPr>
            </w:pPr>
            <w:r w:rsidRPr="00A74C68">
              <w:rPr>
                <w:b/>
                <w:bCs/>
                <w:color w:val="000000"/>
                <w:sz w:val="14"/>
                <w:szCs w:val="14"/>
              </w:rPr>
              <w:t>-</w:t>
            </w:r>
          </w:p>
        </w:tc>
        <w:tc>
          <w:tcPr>
            <w:tcW w:w="648" w:type="pct"/>
            <w:tcBorders>
              <w:top w:val="nil"/>
              <w:left w:val="nil"/>
              <w:bottom w:val="nil"/>
              <w:right w:val="single" w:sz="4" w:space="0" w:color="auto"/>
            </w:tcBorders>
            <w:shd w:val="clear" w:color="000000" w:fill="FFFFFF"/>
            <w:vAlign w:val="bottom"/>
            <w:hideMark/>
          </w:tcPr>
          <w:p w14:paraId="120305FE" w14:textId="77777777" w:rsidR="00A74C68" w:rsidRPr="00A74C68" w:rsidRDefault="00A74C68" w:rsidP="00A74C68">
            <w:pPr>
              <w:jc w:val="right"/>
              <w:rPr>
                <w:b/>
                <w:bCs/>
                <w:color w:val="000000"/>
                <w:sz w:val="14"/>
                <w:szCs w:val="14"/>
              </w:rPr>
            </w:pPr>
            <w:r w:rsidRPr="00A74C68">
              <w:rPr>
                <w:b/>
                <w:bCs/>
                <w:color w:val="000000"/>
                <w:sz w:val="14"/>
                <w:szCs w:val="14"/>
              </w:rPr>
              <w:t>-</w:t>
            </w:r>
          </w:p>
        </w:tc>
      </w:tr>
      <w:tr w:rsidR="00A74C68" w:rsidRPr="00A74C68" w14:paraId="34AB4F50" w14:textId="77777777" w:rsidTr="00263F8A">
        <w:trPr>
          <w:divId w:val="282467830"/>
          <w:trHeight w:val="20"/>
        </w:trPr>
        <w:tc>
          <w:tcPr>
            <w:tcW w:w="418" w:type="pct"/>
            <w:tcBorders>
              <w:top w:val="nil"/>
              <w:left w:val="single" w:sz="4" w:space="0" w:color="auto"/>
              <w:bottom w:val="nil"/>
              <w:right w:val="nil"/>
            </w:tcBorders>
            <w:noWrap/>
            <w:hideMark/>
          </w:tcPr>
          <w:p w14:paraId="20E6EC8D" w14:textId="77777777" w:rsidR="00A74C68" w:rsidRPr="00A74C68" w:rsidRDefault="00A74C68" w:rsidP="00A74C68">
            <w:pPr>
              <w:rPr>
                <w:b/>
                <w:bCs/>
                <w:color w:val="000000"/>
                <w:sz w:val="14"/>
                <w:szCs w:val="14"/>
              </w:rPr>
            </w:pPr>
            <w:r w:rsidRPr="00A74C68">
              <w:rPr>
                <w:b/>
                <w:bCs/>
                <w:color w:val="000000"/>
                <w:sz w:val="14"/>
                <w:szCs w:val="14"/>
              </w:rPr>
              <w:t>V.</w:t>
            </w:r>
          </w:p>
        </w:tc>
        <w:tc>
          <w:tcPr>
            <w:tcW w:w="2358" w:type="pct"/>
            <w:tcBorders>
              <w:top w:val="nil"/>
              <w:left w:val="nil"/>
              <w:bottom w:val="nil"/>
              <w:right w:val="nil"/>
            </w:tcBorders>
            <w:hideMark/>
          </w:tcPr>
          <w:p w14:paraId="560DA90D" w14:textId="77777777" w:rsidR="00A74C68" w:rsidRPr="00A74C68" w:rsidRDefault="00A74C68" w:rsidP="00A74C68">
            <w:pPr>
              <w:rPr>
                <w:b/>
                <w:bCs/>
                <w:color w:val="000000"/>
                <w:sz w:val="14"/>
                <w:szCs w:val="14"/>
              </w:rPr>
            </w:pPr>
            <w:r w:rsidRPr="00A74C68">
              <w:rPr>
                <w:b/>
                <w:bCs/>
                <w:color w:val="000000"/>
                <w:sz w:val="14"/>
                <w:szCs w:val="14"/>
              </w:rPr>
              <w:t>GERÇEĞE UYGUN DEĞER FARKI KAR ZARARA YANSITILAN FİNANSAL YÜKÜMLÜLÜKLER</w:t>
            </w:r>
          </w:p>
        </w:tc>
        <w:tc>
          <w:tcPr>
            <w:tcW w:w="509" w:type="pct"/>
            <w:tcBorders>
              <w:top w:val="nil"/>
              <w:left w:val="single" w:sz="4" w:space="0" w:color="auto"/>
              <w:bottom w:val="nil"/>
              <w:right w:val="single" w:sz="4" w:space="0" w:color="auto"/>
            </w:tcBorders>
            <w:vAlign w:val="bottom"/>
            <w:hideMark/>
          </w:tcPr>
          <w:p w14:paraId="651B2AAB"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511" w:type="pct"/>
            <w:tcBorders>
              <w:top w:val="nil"/>
              <w:left w:val="nil"/>
              <w:bottom w:val="nil"/>
              <w:right w:val="nil"/>
            </w:tcBorders>
            <w:shd w:val="clear" w:color="000000" w:fill="FFFFFF"/>
            <w:vAlign w:val="bottom"/>
            <w:hideMark/>
          </w:tcPr>
          <w:p w14:paraId="5E40BEE1" w14:textId="77777777" w:rsidR="00A74C68" w:rsidRPr="00A74C68" w:rsidRDefault="00A74C68" w:rsidP="00A74C68">
            <w:pPr>
              <w:jc w:val="right"/>
              <w:rPr>
                <w:b/>
                <w:bCs/>
                <w:color w:val="000000"/>
                <w:sz w:val="14"/>
                <w:szCs w:val="14"/>
              </w:rPr>
            </w:pPr>
            <w:r w:rsidRPr="00A74C68">
              <w:rPr>
                <w:b/>
                <w:bCs/>
                <w:color w:val="000000"/>
                <w:sz w:val="14"/>
                <w:szCs w:val="14"/>
              </w:rPr>
              <w:t>-</w:t>
            </w:r>
          </w:p>
        </w:tc>
        <w:tc>
          <w:tcPr>
            <w:tcW w:w="557" w:type="pct"/>
            <w:tcBorders>
              <w:top w:val="nil"/>
              <w:left w:val="single" w:sz="4" w:space="0" w:color="auto"/>
              <w:bottom w:val="nil"/>
              <w:right w:val="single" w:sz="4" w:space="0" w:color="auto"/>
            </w:tcBorders>
            <w:shd w:val="clear" w:color="000000" w:fill="FFFFFF"/>
            <w:vAlign w:val="bottom"/>
            <w:hideMark/>
          </w:tcPr>
          <w:p w14:paraId="74E7B8FE" w14:textId="77777777" w:rsidR="00A74C68" w:rsidRPr="00A74C68" w:rsidRDefault="00A74C68" w:rsidP="00A74C68">
            <w:pPr>
              <w:jc w:val="right"/>
              <w:rPr>
                <w:b/>
                <w:bCs/>
                <w:color w:val="000000"/>
                <w:sz w:val="14"/>
                <w:szCs w:val="14"/>
              </w:rPr>
            </w:pPr>
            <w:r w:rsidRPr="00A74C68">
              <w:rPr>
                <w:b/>
                <w:bCs/>
                <w:color w:val="000000"/>
                <w:sz w:val="14"/>
                <w:szCs w:val="14"/>
              </w:rPr>
              <w:t>-</w:t>
            </w:r>
          </w:p>
        </w:tc>
        <w:tc>
          <w:tcPr>
            <w:tcW w:w="648" w:type="pct"/>
            <w:tcBorders>
              <w:top w:val="nil"/>
              <w:left w:val="nil"/>
              <w:bottom w:val="nil"/>
              <w:right w:val="single" w:sz="4" w:space="0" w:color="auto"/>
            </w:tcBorders>
            <w:shd w:val="clear" w:color="000000" w:fill="FFFFFF"/>
            <w:vAlign w:val="bottom"/>
            <w:hideMark/>
          </w:tcPr>
          <w:p w14:paraId="78B0E0C1" w14:textId="77777777" w:rsidR="00A74C68" w:rsidRPr="00A74C68" w:rsidRDefault="00A74C68" w:rsidP="00A74C68">
            <w:pPr>
              <w:jc w:val="right"/>
              <w:rPr>
                <w:b/>
                <w:bCs/>
                <w:color w:val="000000"/>
                <w:sz w:val="14"/>
                <w:szCs w:val="14"/>
              </w:rPr>
            </w:pPr>
            <w:r w:rsidRPr="00A74C68">
              <w:rPr>
                <w:b/>
                <w:bCs/>
                <w:color w:val="000000"/>
                <w:sz w:val="14"/>
                <w:szCs w:val="14"/>
              </w:rPr>
              <w:t>-</w:t>
            </w:r>
          </w:p>
        </w:tc>
      </w:tr>
      <w:tr w:rsidR="00A74C68" w:rsidRPr="00A74C68" w14:paraId="5F923421" w14:textId="77777777" w:rsidTr="00263F8A">
        <w:trPr>
          <w:divId w:val="282467830"/>
          <w:trHeight w:val="20"/>
        </w:trPr>
        <w:tc>
          <w:tcPr>
            <w:tcW w:w="418" w:type="pct"/>
            <w:tcBorders>
              <w:top w:val="nil"/>
              <w:left w:val="single" w:sz="4" w:space="0" w:color="auto"/>
              <w:bottom w:val="nil"/>
              <w:right w:val="nil"/>
            </w:tcBorders>
            <w:noWrap/>
            <w:hideMark/>
          </w:tcPr>
          <w:p w14:paraId="2B0E8C00" w14:textId="77777777" w:rsidR="00A74C68" w:rsidRPr="00A74C68" w:rsidRDefault="00A74C68" w:rsidP="00A74C68">
            <w:pPr>
              <w:rPr>
                <w:b/>
                <w:bCs/>
                <w:color w:val="000000"/>
                <w:sz w:val="14"/>
                <w:szCs w:val="14"/>
              </w:rPr>
            </w:pPr>
            <w:r w:rsidRPr="00A74C68">
              <w:rPr>
                <w:b/>
                <w:bCs/>
                <w:color w:val="000000"/>
                <w:sz w:val="14"/>
                <w:szCs w:val="14"/>
              </w:rPr>
              <w:t>VI.</w:t>
            </w:r>
          </w:p>
        </w:tc>
        <w:tc>
          <w:tcPr>
            <w:tcW w:w="2358" w:type="pct"/>
            <w:tcBorders>
              <w:top w:val="nil"/>
              <w:left w:val="nil"/>
              <w:bottom w:val="nil"/>
              <w:right w:val="nil"/>
            </w:tcBorders>
            <w:hideMark/>
          </w:tcPr>
          <w:p w14:paraId="681DB0F7" w14:textId="77777777" w:rsidR="00A74C68" w:rsidRPr="00A74C68" w:rsidRDefault="00A74C68" w:rsidP="00A74C68">
            <w:pPr>
              <w:rPr>
                <w:b/>
                <w:bCs/>
                <w:color w:val="000000"/>
                <w:sz w:val="14"/>
                <w:szCs w:val="14"/>
              </w:rPr>
            </w:pPr>
            <w:r w:rsidRPr="00A74C68">
              <w:rPr>
                <w:b/>
                <w:bCs/>
                <w:color w:val="000000"/>
                <w:sz w:val="14"/>
                <w:szCs w:val="14"/>
              </w:rPr>
              <w:t>TÜREV FİNANSAL YÜKÜMLÜLÜKLER</w:t>
            </w:r>
          </w:p>
        </w:tc>
        <w:tc>
          <w:tcPr>
            <w:tcW w:w="509" w:type="pct"/>
            <w:tcBorders>
              <w:top w:val="nil"/>
              <w:left w:val="single" w:sz="4" w:space="0" w:color="auto"/>
              <w:bottom w:val="nil"/>
              <w:right w:val="single" w:sz="4" w:space="0" w:color="auto"/>
            </w:tcBorders>
            <w:vAlign w:val="bottom"/>
            <w:hideMark/>
          </w:tcPr>
          <w:p w14:paraId="561AF32F" w14:textId="77777777" w:rsidR="00A74C68" w:rsidRPr="00A74C68" w:rsidRDefault="00A74C68" w:rsidP="00A74C68">
            <w:pPr>
              <w:jc w:val="center"/>
              <w:rPr>
                <w:b/>
                <w:bCs/>
                <w:color w:val="000000"/>
                <w:sz w:val="14"/>
                <w:szCs w:val="14"/>
                <w:lang w:eastAsia="tr-TR"/>
              </w:rPr>
            </w:pPr>
            <w:r w:rsidRPr="00A74C68">
              <w:rPr>
                <w:b/>
                <w:bCs/>
                <w:color w:val="000000"/>
                <w:sz w:val="14"/>
                <w:szCs w:val="14"/>
              </w:rPr>
              <w:t>(</w:t>
            </w:r>
            <w:r w:rsidRPr="00A74C68">
              <w:rPr>
                <w:b/>
                <w:bCs/>
                <w:color w:val="000000"/>
                <w:sz w:val="14"/>
                <w:szCs w:val="14"/>
                <w:lang w:eastAsia="tr-TR"/>
              </w:rPr>
              <w:t>3)</w:t>
            </w:r>
          </w:p>
        </w:tc>
        <w:tc>
          <w:tcPr>
            <w:tcW w:w="511" w:type="pct"/>
            <w:tcBorders>
              <w:top w:val="nil"/>
              <w:left w:val="nil"/>
              <w:bottom w:val="nil"/>
              <w:right w:val="nil"/>
            </w:tcBorders>
            <w:shd w:val="clear" w:color="000000" w:fill="FFFFFF"/>
            <w:vAlign w:val="bottom"/>
            <w:hideMark/>
          </w:tcPr>
          <w:p w14:paraId="62F02ACA" w14:textId="77777777" w:rsidR="00A74C68" w:rsidRPr="00A74C68" w:rsidRDefault="00A74C68" w:rsidP="00A74C68">
            <w:pPr>
              <w:jc w:val="right"/>
              <w:rPr>
                <w:b/>
                <w:bCs/>
                <w:color w:val="000000"/>
                <w:sz w:val="14"/>
                <w:szCs w:val="14"/>
              </w:rPr>
            </w:pPr>
            <w:r w:rsidRPr="00A74C68">
              <w:rPr>
                <w:b/>
                <w:bCs/>
                <w:color w:val="000000"/>
                <w:sz w:val="14"/>
                <w:szCs w:val="14"/>
              </w:rPr>
              <w:t>49.294</w:t>
            </w:r>
          </w:p>
        </w:tc>
        <w:tc>
          <w:tcPr>
            <w:tcW w:w="557" w:type="pct"/>
            <w:tcBorders>
              <w:top w:val="nil"/>
              <w:left w:val="single" w:sz="4" w:space="0" w:color="auto"/>
              <w:bottom w:val="nil"/>
              <w:right w:val="single" w:sz="4" w:space="0" w:color="auto"/>
            </w:tcBorders>
            <w:shd w:val="clear" w:color="000000" w:fill="FFFFFF"/>
            <w:vAlign w:val="bottom"/>
            <w:hideMark/>
          </w:tcPr>
          <w:p w14:paraId="32A6639F" w14:textId="77777777" w:rsidR="00A74C68" w:rsidRPr="00A74C68" w:rsidRDefault="00A74C68" w:rsidP="00A74C68">
            <w:pPr>
              <w:jc w:val="right"/>
              <w:rPr>
                <w:b/>
                <w:bCs/>
                <w:color w:val="000000"/>
                <w:sz w:val="14"/>
                <w:szCs w:val="14"/>
              </w:rPr>
            </w:pPr>
            <w:r w:rsidRPr="00A74C68">
              <w:rPr>
                <w:b/>
                <w:bCs/>
                <w:color w:val="000000"/>
                <w:sz w:val="14"/>
                <w:szCs w:val="14"/>
              </w:rPr>
              <w:t>1.001.393</w:t>
            </w:r>
          </w:p>
        </w:tc>
        <w:tc>
          <w:tcPr>
            <w:tcW w:w="648" w:type="pct"/>
            <w:tcBorders>
              <w:top w:val="nil"/>
              <w:left w:val="nil"/>
              <w:bottom w:val="nil"/>
              <w:right w:val="single" w:sz="4" w:space="0" w:color="auto"/>
            </w:tcBorders>
            <w:shd w:val="clear" w:color="000000" w:fill="FFFFFF"/>
            <w:vAlign w:val="bottom"/>
            <w:hideMark/>
          </w:tcPr>
          <w:p w14:paraId="3448953E" w14:textId="77777777" w:rsidR="00A74C68" w:rsidRPr="00A74C68" w:rsidRDefault="00A74C68" w:rsidP="00A74C68">
            <w:pPr>
              <w:jc w:val="right"/>
              <w:rPr>
                <w:b/>
                <w:bCs/>
                <w:color w:val="000000"/>
                <w:sz w:val="14"/>
                <w:szCs w:val="14"/>
              </w:rPr>
            </w:pPr>
            <w:r w:rsidRPr="00A74C68">
              <w:rPr>
                <w:b/>
                <w:bCs/>
                <w:color w:val="000000"/>
                <w:sz w:val="14"/>
                <w:szCs w:val="14"/>
              </w:rPr>
              <w:t>1.050.687</w:t>
            </w:r>
          </w:p>
        </w:tc>
      </w:tr>
      <w:tr w:rsidR="00A74C68" w:rsidRPr="00A74C68" w14:paraId="77C234CB" w14:textId="77777777" w:rsidTr="00263F8A">
        <w:trPr>
          <w:divId w:val="282467830"/>
          <w:trHeight w:val="20"/>
        </w:trPr>
        <w:tc>
          <w:tcPr>
            <w:tcW w:w="418" w:type="pct"/>
            <w:tcBorders>
              <w:top w:val="nil"/>
              <w:left w:val="single" w:sz="4" w:space="0" w:color="auto"/>
              <w:bottom w:val="nil"/>
              <w:right w:val="nil"/>
            </w:tcBorders>
            <w:noWrap/>
            <w:hideMark/>
          </w:tcPr>
          <w:p w14:paraId="06E6B035" w14:textId="77777777" w:rsidR="00A74C68" w:rsidRPr="00A74C68" w:rsidRDefault="00A74C68" w:rsidP="00A74C68">
            <w:pPr>
              <w:rPr>
                <w:color w:val="000000"/>
                <w:sz w:val="14"/>
                <w:szCs w:val="14"/>
              </w:rPr>
            </w:pPr>
            <w:r w:rsidRPr="00A74C68">
              <w:rPr>
                <w:color w:val="000000"/>
                <w:sz w:val="14"/>
                <w:szCs w:val="14"/>
              </w:rPr>
              <w:t>6.1</w:t>
            </w:r>
          </w:p>
        </w:tc>
        <w:tc>
          <w:tcPr>
            <w:tcW w:w="2358" w:type="pct"/>
            <w:tcBorders>
              <w:top w:val="nil"/>
              <w:left w:val="nil"/>
              <w:bottom w:val="nil"/>
              <w:right w:val="nil"/>
            </w:tcBorders>
            <w:hideMark/>
          </w:tcPr>
          <w:p w14:paraId="5B02890A" w14:textId="77777777" w:rsidR="00A74C68" w:rsidRPr="00A74C68" w:rsidRDefault="00A74C68" w:rsidP="00A74C68">
            <w:pPr>
              <w:rPr>
                <w:color w:val="000000"/>
                <w:sz w:val="14"/>
                <w:szCs w:val="14"/>
              </w:rPr>
            </w:pPr>
            <w:r w:rsidRPr="00A74C68">
              <w:rPr>
                <w:color w:val="000000"/>
                <w:sz w:val="14"/>
                <w:szCs w:val="14"/>
              </w:rPr>
              <w:t>Türev Finansal Yükümlülüklerin Gerçeğe Uygun Değer Farkı Kar Zarara Yansıtılan Kısmı</w:t>
            </w:r>
          </w:p>
        </w:tc>
        <w:tc>
          <w:tcPr>
            <w:tcW w:w="509" w:type="pct"/>
            <w:tcBorders>
              <w:top w:val="nil"/>
              <w:left w:val="single" w:sz="4" w:space="0" w:color="auto"/>
              <w:bottom w:val="nil"/>
              <w:right w:val="single" w:sz="4" w:space="0" w:color="auto"/>
            </w:tcBorders>
            <w:vAlign w:val="bottom"/>
            <w:hideMark/>
          </w:tcPr>
          <w:p w14:paraId="0B502FC9" w14:textId="77777777" w:rsidR="00A74C68" w:rsidRPr="00A74C68" w:rsidRDefault="00A74C68" w:rsidP="00A74C68">
            <w:pPr>
              <w:jc w:val="center"/>
              <w:rPr>
                <w:color w:val="000000"/>
                <w:sz w:val="14"/>
                <w:szCs w:val="14"/>
                <w:lang w:eastAsia="tr-TR"/>
              </w:rPr>
            </w:pPr>
            <w:r w:rsidRPr="00A74C68">
              <w:rPr>
                <w:color w:val="000000"/>
                <w:sz w:val="14"/>
                <w:szCs w:val="14"/>
              </w:rPr>
              <w:t> </w:t>
            </w:r>
          </w:p>
        </w:tc>
        <w:tc>
          <w:tcPr>
            <w:tcW w:w="511" w:type="pct"/>
            <w:tcBorders>
              <w:top w:val="nil"/>
              <w:left w:val="nil"/>
              <w:bottom w:val="nil"/>
              <w:right w:val="nil"/>
            </w:tcBorders>
            <w:shd w:val="clear" w:color="000000" w:fill="FFFFFF"/>
            <w:vAlign w:val="bottom"/>
            <w:hideMark/>
          </w:tcPr>
          <w:p w14:paraId="1E45DBC2" w14:textId="77777777" w:rsidR="00A74C68" w:rsidRPr="00A74C68" w:rsidRDefault="00A74C68" w:rsidP="00A74C68">
            <w:pPr>
              <w:jc w:val="right"/>
              <w:rPr>
                <w:color w:val="000000"/>
                <w:sz w:val="14"/>
                <w:szCs w:val="14"/>
              </w:rPr>
            </w:pPr>
            <w:r w:rsidRPr="00A74C68">
              <w:rPr>
                <w:color w:val="000000"/>
                <w:sz w:val="14"/>
                <w:szCs w:val="14"/>
              </w:rPr>
              <w:t>49.294</w:t>
            </w:r>
          </w:p>
        </w:tc>
        <w:tc>
          <w:tcPr>
            <w:tcW w:w="557" w:type="pct"/>
            <w:tcBorders>
              <w:top w:val="nil"/>
              <w:left w:val="single" w:sz="4" w:space="0" w:color="auto"/>
              <w:bottom w:val="nil"/>
              <w:right w:val="single" w:sz="4" w:space="0" w:color="auto"/>
            </w:tcBorders>
            <w:shd w:val="clear" w:color="000000" w:fill="FFFFFF"/>
            <w:vAlign w:val="bottom"/>
            <w:hideMark/>
          </w:tcPr>
          <w:p w14:paraId="790C5B9E" w14:textId="77777777" w:rsidR="00A74C68" w:rsidRPr="00A74C68" w:rsidRDefault="00A74C68" w:rsidP="00A74C68">
            <w:pPr>
              <w:jc w:val="right"/>
              <w:rPr>
                <w:color w:val="000000"/>
                <w:sz w:val="14"/>
                <w:szCs w:val="14"/>
              </w:rPr>
            </w:pPr>
            <w:r w:rsidRPr="00A74C68">
              <w:rPr>
                <w:color w:val="000000"/>
                <w:sz w:val="14"/>
                <w:szCs w:val="14"/>
              </w:rPr>
              <w:t>1.001.393</w:t>
            </w:r>
          </w:p>
        </w:tc>
        <w:tc>
          <w:tcPr>
            <w:tcW w:w="648" w:type="pct"/>
            <w:tcBorders>
              <w:top w:val="nil"/>
              <w:left w:val="nil"/>
              <w:bottom w:val="nil"/>
              <w:right w:val="single" w:sz="4" w:space="0" w:color="auto"/>
            </w:tcBorders>
            <w:shd w:val="clear" w:color="000000" w:fill="FFFFFF"/>
            <w:vAlign w:val="bottom"/>
            <w:hideMark/>
          </w:tcPr>
          <w:p w14:paraId="6A23BACD" w14:textId="77777777" w:rsidR="00A74C68" w:rsidRPr="00A74C68" w:rsidRDefault="00A74C68" w:rsidP="00A74C68">
            <w:pPr>
              <w:jc w:val="right"/>
              <w:rPr>
                <w:color w:val="000000"/>
                <w:sz w:val="14"/>
                <w:szCs w:val="14"/>
              </w:rPr>
            </w:pPr>
            <w:r w:rsidRPr="00A74C68">
              <w:rPr>
                <w:color w:val="000000"/>
                <w:sz w:val="14"/>
                <w:szCs w:val="14"/>
              </w:rPr>
              <w:t>1.050.687</w:t>
            </w:r>
          </w:p>
        </w:tc>
      </w:tr>
      <w:tr w:rsidR="00A74C68" w:rsidRPr="00A74C68" w14:paraId="26F7D03C" w14:textId="77777777" w:rsidTr="00263F8A">
        <w:trPr>
          <w:divId w:val="282467830"/>
          <w:trHeight w:val="20"/>
        </w:trPr>
        <w:tc>
          <w:tcPr>
            <w:tcW w:w="418" w:type="pct"/>
            <w:tcBorders>
              <w:top w:val="nil"/>
              <w:left w:val="single" w:sz="4" w:space="0" w:color="auto"/>
              <w:bottom w:val="nil"/>
              <w:right w:val="nil"/>
            </w:tcBorders>
            <w:noWrap/>
            <w:hideMark/>
          </w:tcPr>
          <w:p w14:paraId="70704648" w14:textId="77777777" w:rsidR="00A74C68" w:rsidRPr="00A74C68" w:rsidRDefault="00A74C68" w:rsidP="00A74C68">
            <w:pPr>
              <w:rPr>
                <w:color w:val="000000"/>
                <w:sz w:val="14"/>
                <w:szCs w:val="14"/>
              </w:rPr>
            </w:pPr>
            <w:r w:rsidRPr="00A74C68">
              <w:rPr>
                <w:color w:val="000000"/>
                <w:sz w:val="14"/>
                <w:szCs w:val="14"/>
              </w:rPr>
              <w:t>6.2</w:t>
            </w:r>
          </w:p>
        </w:tc>
        <w:tc>
          <w:tcPr>
            <w:tcW w:w="2358" w:type="pct"/>
            <w:tcBorders>
              <w:top w:val="nil"/>
              <w:left w:val="nil"/>
              <w:bottom w:val="nil"/>
              <w:right w:val="nil"/>
            </w:tcBorders>
            <w:hideMark/>
          </w:tcPr>
          <w:p w14:paraId="1E451FC9" w14:textId="77777777" w:rsidR="00A74C68" w:rsidRPr="00A74C68" w:rsidRDefault="00A74C68" w:rsidP="00A74C68">
            <w:pPr>
              <w:rPr>
                <w:color w:val="000000"/>
                <w:sz w:val="14"/>
                <w:szCs w:val="14"/>
              </w:rPr>
            </w:pPr>
            <w:r w:rsidRPr="00A74C68">
              <w:rPr>
                <w:color w:val="000000"/>
                <w:sz w:val="14"/>
                <w:szCs w:val="14"/>
              </w:rPr>
              <w:t>Türev Finansal Yükümlülüklerin Gerçeğe Uygun Değer Farkı Diğer Kapsamlı Gelire Yansıtılan Kısmı</w:t>
            </w:r>
          </w:p>
        </w:tc>
        <w:tc>
          <w:tcPr>
            <w:tcW w:w="509" w:type="pct"/>
            <w:tcBorders>
              <w:top w:val="nil"/>
              <w:left w:val="single" w:sz="4" w:space="0" w:color="auto"/>
              <w:bottom w:val="nil"/>
              <w:right w:val="single" w:sz="4" w:space="0" w:color="auto"/>
            </w:tcBorders>
            <w:vAlign w:val="bottom"/>
            <w:hideMark/>
          </w:tcPr>
          <w:p w14:paraId="5CE11D96" w14:textId="77777777" w:rsidR="00A74C68" w:rsidRPr="00A74C68" w:rsidRDefault="00A74C68" w:rsidP="00A74C68">
            <w:pPr>
              <w:jc w:val="center"/>
              <w:rPr>
                <w:color w:val="000000"/>
                <w:sz w:val="14"/>
                <w:szCs w:val="14"/>
                <w:lang w:eastAsia="tr-TR"/>
              </w:rPr>
            </w:pPr>
            <w:r w:rsidRPr="00A74C68">
              <w:rPr>
                <w:color w:val="000000"/>
                <w:sz w:val="14"/>
                <w:szCs w:val="14"/>
              </w:rPr>
              <w:t> </w:t>
            </w:r>
          </w:p>
        </w:tc>
        <w:tc>
          <w:tcPr>
            <w:tcW w:w="511" w:type="pct"/>
            <w:tcBorders>
              <w:top w:val="nil"/>
              <w:left w:val="nil"/>
              <w:bottom w:val="nil"/>
              <w:right w:val="nil"/>
            </w:tcBorders>
            <w:shd w:val="clear" w:color="000000" w:fill="FFFFFF"/>
            <w:vAlign w:val="bottom"/>
            <w:hideMark/>
          </w:tcPr>
          <w:p w14:paraId="4338ECD7" w14:textId="77777777" w:rsidR="00A74C68" w:rsidRPr="00A74C68" w:rsidRDefault="00A74C68" w:rsidP="00A74C68">
            <w:pPr>
              <w:jc w:val="right"/>
              <w:rPr>
                <w:color w:val="000000"/>
                <w:sz w:val="14"/>
                <w:szCs w:val="14"/>
              </w:rPr>
            </w:pPr>
            <w:r w:rsidRPr="00A74C68">
              <w:rPr>
                <w:color w:val="000000"/>
                <w:sz w:val="14"/>
                <w:szCs w:val="14"/>
              </w:rPr>
              <w:t>-</w:t>
            </w:r>
          </w:p>
        </w:tc>
        <w:tc>
          <w:tcPr>
            <w:tcW w:w="557" w:type="pct"/>
            <w:tcBorders>
              <w:top w:val="nil"/>
              <w:left w:val="single" w:sz="4" w:space="0" w:color="auto"/>
              <w:bottom w:val="nil"/>
              <w:right w:val="single" w:sz="4" w:space="0" w:color="auto"/>
            </w:tcBorders>
            <w:shd w:val="clear" w:color="000000" w:fill="FFFFFF"/>
            <w:vAlign w:val="bottom"/>
            <w:hideMark/>
          </w:tcPr>
          <w:p w14:paraId="79E2DCC7" w14:textId="77777777" w:rsidR="00A74C68" w:rsidRPr="00A74C68" w:rsidRDefault="00A74C68" w:rsidP="00A74C68">
            <w:pPr>
              <w:jc w:val="right"/>
              <w:rPr>
                <w:color w:val="000000"/>
                <w:sz w:val="14"/>
                <w:szCs w:val="14"/>
              </w:rPr>
            </w:pPr>
            <w:r w:rsidRPr="00A74C68">
              <w:rPr>
                <w:color w:val="000000"/>
                <w:sz w:val="14"/>
                <w:szCs w:val="14"/>
              </w:rPr>
              <w:t>-</w:t>
            </w:r>
          </w:p>
        </w:tc>
        <w:tc>
          <w:tcPr>
            <w:tcW w:w="648" w:type="pct"/>
            <w:tcBorders>
              <w:top w:val="nil"/>
              <w:left w:val="nil"/>
              <w:bottom w:val="nil"/>
              <w:right w:val="single" w:sz="4" w:space="0" w:color="auto"/>
            </w:tcBorders>
            <w:shd w:val="clear" w:color="000000" w:fill="FFFFFF"/>
            <w:vAlign w:val="bottom"/>
            <w:hideMark/>
          </w:tcPr>
          <w:p w14:paraId="0F3CB4FC" w14:textId="77777777" w:rsidR="00A74C68" w:rsidRPr="00A74C68" w:rsidRDefault="00A74C68" w:rsidP="00A74C68">
            <w:pPr>
              <w:jc w:val="right"/>
              <w:rPr>
                <w:color w:val="000000"/>
                <w:sz w:val="14"/>
                <w:szCs w:val="14"/>
              </w:rPr>
            </w:pPr>
            <w:r w:rsidRPr="00A74C68">
              <w:rPr>
                <w:color w:val="000000"/>
                <w:sz w:val="14"/>
                <w:szCs w:val="14"/>
              </w:rPr>
              <w:t>-</w:t>
            </w:r>
          </w:p>
        </w:tc>
      </w:tr>
      <w:tr w:rsidR="00A74C68" w:rsidRPr="00A74C68" w14:paraId="490AB9F9" w14:textId="77777777" w:rsidTr="00263F8A">
        <w:trPr>
          <w:divId w:val="282467830"/>
          <w:trHeight w:val="20"/>
        </w:trPr>
        <w:tc>
          <w:tcPr>
            <w:tcW w:w="418" w:type="pct"/>
            <w:tcBorders>
              <w:top w:val="nil"/>
              <w:left w:val="single" w:sz="4" w:space="0" w:color="auto"/>
              <w:bottom w:val="nil"/>
              <w:right w:val="nil"/>
            </w:tcBorders>
            <w:noWrap/>
            <w:hideMark/>
          </w:tcPr>
          <w:p w14:paraId="0BFC597A" w14:textId="77777777" w:rsidR="00A74C68" w:rsidRPr="00A74C68" w:rsidRDefault="00A74C68" w:rsidP="00A74C68">
            <w:pPr>
              <w:rPr>
                <w:b/>
                <w:bCs/>
                <w:color w:val="000000"/>
                <w:sz w:val="14"/>
                <w:szCs w:val="14"/>
              </w:rPr>
            </w:pPr>
            <w:r w:rsidRPr="00A74C68">
              <w:rPr>
                <w:b/>
                <w:bCs/>
                <w:color w:val="000000"/>
                <w:sz w:val="14"/>
                <w:szCs w:val="14"/>
              </w:rPr>
              <w:t>VII.</w:t>
            </w:r>
          </w:p>
        </w:tc>
        <w:tc>
          <w:tcPr>
            <w:tcW w:w="2358" w:type="pct"/>
            <w:tcBorders>
              <w:top w:val="nil"/>
              <w:left w:val="nil"/>
              <w:bottom w:val="nil"/>
              <w:right w:val="nil"/>
            </w:tcBorders>
            <w:hideMark/>
          </w:tcPr>
          <w:p w14:paraId="6B016254" w14:textId="77777777" w:rsidR="00A74C68" w:rsidRPr="00A74C68" w:rsidRDefault="00A74C68" w:rsidP="00A74C68">
            <w:pPr>
              <w:rPr>
                <w:b/>
                <w:bCs/>
                <w:color w:val="000000"/>
                <w:sz w:val="14"/>
                <w:szCs w:val="14"/>
              </w:rPr>
            </w:pPr>
            <w:r w:rsidRPr="00A74C68">
              <w:rPr>
                <w:b/>
                <w:bCs/>
                <w:color w:val="000000"/>
                <w:sz w:val="14"/>
                <w:szCs w:val="14"/>
              </w:rPr>
              <w:t>KİRALAMA İŞLEMLERİNDEN YÜKÜMLÜLÜKLER</w:t>
            </w:r>
          </w:p>
        </w:tc>
        <w:tc>
          <w:tcPr>
            <w:tcW w:w="509" w:type="pct"/>
            <w:tcBorders>
              <w:top w:val="nil"/>
              <w:left w:val="single" w:sz="4" w:space="0" w:color="auto"/>
              <w:bottom w:val="nil"/>
              <w:right w:val="single" w:sz="4" w:space="0" w:color="auto"/>
            </w:tcBorders>
            <w:vAlign w:val="bottom"/>
            <w:hideMark/>
          </w:tcPr>
          <w:p w14:paraId="2F261585" w14:textId="77777777" w:rsidR="00A74C68" w:rsidRPr="00A74C68" w:rsidRDefault="00A74C68" w:rsidP="00A74C68">
            <w:pPr>
              <w:jc w:val="center"/>
              <w:rPr>
                <w:b/>
                <w:bCs/>
                <w:color w:val="000000"/>
                <w:sz w:val="14"/>
                <w:szCs w:val="14"/>
              </w:rPr>
            </w:pPr>
            <w:r w:rsidRPr="00A74C68">
              <w:rPr>
                <w:b/>
                <w:bCs/>
                <w:color w:val="000000"/>
                <w:sz w:val="14"/>
                <w:szCs w:val="14"/>
              </w:rPr>
              <w:t>(4)</w:t>
            </w:r>
          </w:p>
        </w:tc>
        <w:tc>
          <w:tcPr>
            <w:tcW w:w="511" w:type="pct"/>
            <w:tcBorders>
              <w:top w:val="nil"/>
              <w:left w:val="nil"/>
              <w:bottom w:val="nil"/>
              <w:right w:val="nil"/>
            </w:tcBorders>
            <w:shd w:val="clear" w:color="000000" w:fill="FFFFFF"/>
            <w:vAlign w:val="bottom"/>
            <w:hideMark/>
          </w:tcPr>
          <w:p w14:paraId="63146376" w14:textId="77777777" w:rsidR="00A74C68" w:rsidRPr="00A74C68" w:rsidRDefault="00A74C68" w:rsidP="00A74C68">
            <w:pPr>
              <w:jc w:val="right"/>
              <w:rPr>
                <w:b/>
                <w:bCs/>
                <w:color w:val="000000"/>
                <w:sz w:val="14"/>
                <w:szCs w:val="14"/>
              </w:rPr>
            </w:pPr>
            <w:r w:rsidRPr="00A74C68">
              <w:rPr>
                <w:b/>
                <w:bCs/>
                <w:color w:val="000000"/>
                <w:sz w:val="14"/>
                <w:szCs w:val="14"/>
              </w:rPr>
              <w:t>219.968</w:t>
            </w:r>
          </w:p>
        </w:tc>
        <w:tc>
          <w:tcPr>
            <w:tcW w:w="557" w:type="pct"/>
            <w:tcBorders>
              <w:top w:val="nil"/>
              <w:left w:val="single" w:sz="4" w:space="0" w:color="auto"/>
              <w:bottom w:val="nil"/>
              <w:right w:val="single" w:sz="4" w:space="0" w:color="auto"/>
            </w:tcBorders>
            <w:shd w:val="clear" w:color="000000" w:fill="FFFFFF"/>
            <w:vAlign w:val="bottom"/>
            <w:hideMark/>
          </w:tcPr>
          <w:p w14:paraId="20387F09" w14:textId="77777777" w:rsidR="00A74C68" w:rsidRPr="00A74C68" w:rsidRDefault="00A74C68" w:rsidP="00A74C68">
            <w:pPr>
              <w:jc w:val="right"/>
              <w:rPr>
                <w:b/>
                <w:bCs/>
                <w:color w:val="000000"/>
                <w:sz w:val="14"/>
                <w:szCs w:val="14"/>
              </w:rPr>
            </w:pPr>
            <w:r w:rsidRPr="00A74C68">
              <w:rPr>
                <w:b/>
                <w:bCs/>
                <w:color w:val="000000"/>
                <w:sz w:val="14"/>
                <w:szCs w:val="14"/>
              </w:rPr>
              <w:t>-</w:t>
            </w:r>
          </w:p>
        </w:tc>
        <w:tc>
          <w:tcPr>
            <w:tcW w:w="648" w:type="pct"/>
            <w:tcBorders>
              <w:top w:val="nil"/>
              <w:left w:val="nil"/>
              <w:bottom w:val="nil"/>
              <w:right w:val="single" w:sz="4" w:space="0" w:color="auto"/>
            </w:tcBorders>
            <w:shd w:val="clear" w:color="000000" w:fill="FFFFFF"/>
            <w:vAlign w:val="bottom"/>
            <w:hideMark/>
          </w:tcPr>
          <w:p w14:paraId="326E3597" w14:textId="77777777" w:rsidR="00A74C68" w:rsidRPr="00A74C68" w:rsidRDefault="00A74C68" w:rsidP="00A74C68">
            <w:pPr>
              <w:jc w:val="right"/>
              <w:rPr>
                <w:b/>
                <w:bCs/>
                <w:color w:val="000000"/>
                <w:sz w:val="14"/>
                <w:szCs w:val="14"/>
              </w:rPr>
            </w:pPr>
            <w:r w:rsidRPr="00A74C68">
              <w:rPr>
                <w:b/>
                <w:bCs/>
                <w:color w:val="000000"/>
                <w:sz w:val="14"/>
                <w:szCs w:val="14"/>
              </w:rPr>
              <w:t>219.968</w:t>
            </w:r>
          </w:p>
        </w:tc>
      </w:tr>
      <w:tr w:rsidR="00A74C68" w:rsidRPr="00A74C68" w14:paraId="4457D7A6" w14:textId="77777777" w:rsidTr="00263F8A">
        <w:trPr>
          <w:divId w:val="282467830"/>
          <w:trHeight w:val="20"/>
        </w:trPr>
        <w:tc>
          <w:tcPr>
            <w:tcW w:w="418" w:type="pct"/>
            <w:tcBorders>
              <w:top w:val="nil"/>
              <w:left w:val="single" w:sz="4" w:space="0" w:color="auto"/>
              <w:bottom w:val="nil"/>
              <w:right w:val="nil"/>
            </w:tcBorders>
            <w:noWrap/>
            <w:hideMark/>
          </w:tcPr>
          <w:p w14:paraId="3B8D5050" w14:textId="77777777" w:rsidR="00A74C68" w:rsidRPr="00A74C68" w:rsidRDefault="00A74C68" w:rsidP="00A74C68">
            <w:pPr>
              <w:rPr>
                <w:b/>
                <w:bCs/>
                <w:color w:val="000000"/>
                <w:sz w:val="14"/>
                <w:szCs w:val="14"/>
              </w:rPr>
            </w:pPr>
            <w:r w:rsidRPr="00A74C68">
              <w:rPr>
                <w:b/>
                <w:bCs/>
                <w:color w:val="000000"/>
                <w:sz w:val="14"/>
                <w:szCs w:val="14"/>
              </w:rPr>
              <w:t xml:space="preserve">VIII. </w:t>
            </w:r>
          </w:p>
        </w:tc>
        <w:tc>
          <w:tcPr>
            <w:tcW w:w="2358" w:type="pct"/>
            <w:tcBorders>
              <w:top w:val="nil"/>
              <w:left w:val="nil"/>
              <w:bottom w:val="nil"/>
              <w:right w:val="nil"/>
            </w:tcBorders>
            <w:hideMark/>
          </w:tcPr>
          <w:p w14:paraId="374ED226" w14:textId="77777777" w:rsidR="00A74C68" w:rsidRPr="00A74C68" w:rsidRDefault="00A74C68" w:rsidP="00A74C68">
            <w:pPr>
              <w:rPr>
                <w:b/>
                <w:bCs/>
                <w:color w:val="000000"/>
                <w:sz w:val="14"/>
                <w:szCs w:val="14"/>
              </w:rPr>
            </w:pPr>
            <w:r w:rsidRPr="00A74C68">
              <w:rPr>
                <w:b/>
                <w:bCs/>
                <w:color w:val="000000"/>
                <w:sz w:val="14"/>
                <w:szCs w:val="14"/>
              </w:rPr>
              <w:t>KARŞILIKLAR</w:t>
            </w:r>
          </w:p>
        </w:tc>
        <w:tc>
          <w:tcPr>
            <w:tcW w:w="509" w:type="pct"/>
            <w:tcBorders>
              <w:top w:val="nil"/>
              <w:left w:val="single" w:sz="4" w:space="0" w:color="auto"/>
              <w:bottom w:val="nil"/>
              <w:right w:val="single" w:sz="4" w:space="0" w:color="auto"/>
            </w:tcBorders>
            <w:vAlign w:val="bottom"/>
            <w:hideMark/>
          </w:tcPr>
          <w:p w14:paraId="65E0C169" w14:textId="77777777" w:rsidR="00A74C68" w:rsidRPr="00A74C68" w:rsidRDefault="00A74C68" w:rsidP="00A74C68">
            <w:pPr>
              <w:jc w:val="center"/>
              <w:rPr>
                <w:b/>
                <w:bCs/>
                <w:color w:val="000000"/>
                <w:sz w:val="14"/>
                <w:szCs w:val="14"/>
              </w:rPr>
            </w:pPr>
            <w:r w:rsidRPr="00A74C68">
              <w:rPr>
                <w:b/>
                <w:bCs/>
                <w:color w:val="000000"/>
                <w:sz w:val="14"/>
                <w:szCs w:val="14"/>
              </w:rPr>
              <w:t>(6)</w:t>
            </w:r>
          </w:p>
        </w:tc>
        <w:tc>
          <w:tcPr>
            <w:tcW w:w="511" w:type="pct"/>
            <w:tcBorders>
              <w:top w:val="nil"/>
              <w:left w:val="nil"/>
              <w:bottom w:val="nil"/>
              <w:right w:val="nil"/>
            </w:tcBorders>
            <w:shd w:val="clear" w:color="000000" w:fill="FFFFFF"/>
            <w:vAlign w:val="bottom"/>
            <w:hideMark/>
          </w:tcPr>
          <w:p w14:paraId="7A68CF87" w14:textId="77777777" w:rsidR="00A74C68" w:rsidRPr="00A74C68" w:rsidRDefault="00A74C68" w:rsidP="00A74C68">
            <w:pPr>
              <w:jc w:val="right"/>
              <w:rPr>
                <w:b/>
                <w:bCs/>
                <w:color w:val="000000"/>
                <w:sz w:val="14"/>
                <w:szCs w:val="14"/>
              </w:rPr>
            </w:pPr>
            <w:r w:rsidRPr="00A74C68">
              <w:rPr>
                <w:b/>
                <w:bCs/>
                <w:color w:val="000000"/>
                <w:sz w:val="14"/>
                <w:szCs w:val="14"/>
              </w:rPr>
              <w:t>444.870</w:t>
            </w:r>
          </w:p>
        </w:tc>
        <w:tc>
          <w:tcPr>
            <w:tcW w:w="557" w:type="pct"/>
            <w:tcBorders>
              <w:top w:val="nil"/>
              <w:left w:val="single" w:sz="4" w:space="0" w:color="auto"/>
              <w:bottom w:val="nil"/>
              <w:right w:val="single" w:sz="4" w:space="0" w:color="auto"/>
            </w:tcBorders>
            <w:shd w:val="clear" w:color="000000" w:fill="FFFFFF"/>
            <w:vAlign w:val="bottom"/>
            <w:hideMark/>
          </w:tcPr>
          <w:p w14:paraId="21EE6DF3" w14:textId="77777777" w:rsidR="00A74C68" w:rsidRPr="00A74C68" w:rsidRDefault="00A74C68" w:rsidP="00A74C68">
            <w:pPr>
              <w:jc w:val="right"/>
              <w:rPr>
                <w:b/>
                <w:bCs/>
                <w:color w:val="000000"/>
                <w:sz w:val="14"/>
                <w:szCs w:val="14"/>
              </w:rPr>
            </w:pPr>
            <w:r w:rsidRPr="00A74C68">
              <w:rPr>
                <w:b/>
                <w:bCs/>
                <w:color w:val="000000"/>
                <w:sz w:val="14"/>
                <w:szCs w:val="14"/>
              </w:rPr>
              <w:t>139.063</w:t>
            </w:r>
          </w:p>
        </w:tc>
        <w:tc>
          <w:tcPr>
            <w:tcW w:w="648" w:type="pct"/>
            <w:tcBorders>
              <w:top w:val="nil"/>
              <w:left w:val="nil"/>
              <w:bottom w:val="nil"/>
              <w:right w:val="single" w:sz="4" w:space="0" w:color="auto"/>
            </w:tcBorders>
            <w:shd w:val="clear" w:color="000000" w:fill="FFFFFF"/>
            <w:vAlign w:val="bottom"/>
            <w:hideMark/>
          </w:tcPr>
          <w:p w14:paraId="52FCB926" w14:textId="77777777" w:rsidR="00A74C68" w:rsidRPr="00A74C68" w:rsidRDefault="00A74C68" w:rsidP="00A74C68">
            <w:pPr>
              <w:jc w:val="right"/>
              <w:rPr>
                <w:b/>
                <w:bCs/>
                <w:color w:val="000000"/>
                <w:sz w:val="14"/>
                <w:szCs w:val="14"/>
              </w:rPr>
            </w:pPr>
            <w:r w:rsidRPr="00A74C68">
              <w:rPr>
                <w:b/>
                <w:bCs/>
                <w:color w:val="000000"/>
                <w:sz w:val="14"/>
                <w:szCs w:val="14"/>
              </w:rPr>
              <w:t>583.933</w:t>
            </w:r>
          </w:p>
        </w:tc>
      </w:tr>
      <w:tr w:rsidR="00A74C68" w:rsidRPr="00A74C68" w14:paraId="502E9589" w14:textId="77777777" w:rsidTr="00263F8A">
        <w:trPr>
          <w:divId w:val="282467830"/>
          <w:trHeight w:val="20"/>
        </w:trPr>
        <w:tc>
          <w:tcPr>
            <w:tcW w:w="418" w:type="pct"/>
            <w:tcBorders>
              <w:top w:val="nil"/>
              <w:left w:val="single" w:sz="4" w:space="0" w:color="auto"/>
              <w:bottom w:val="nil"/>
              <w:right w:val="nil"/>
            </w:tcBorders>
            <w:noWrap/>
            <w:hideMark/>
          </w:tcPr>
          <w:p w14:paraId="78F8C3E8" w14:textId="77777777" w:rsidR="00A74C68" w:rsidRPr="00A74C68" w:rsidRDefault="00A74C68" w:rsidP="00A74C68">
            <w:pPr>
              <w:rPr>
                <w:color w:val="000000"/>
                <w:sz w:val="14"/>
                <w:szCs w:val="14"/>
              </w:rPr>
            </w:pPr>
            <w:r w:rsidRPr="00A74C68">
              <w:rPr>
                <w:color w:val="000000"/>
                <w:sz w:val="14"/>
                <w:szCs w:val="14"/>
              </w:rPr>
              <w:t>8.2</w:t>
            </w:r>
          </w:p>
        </w:tc>
        <w:tc>
          <w:tcPr>
            <w:tcW w:w="2358" w:type="pct"/>
            <w:tcBorders>
              <w:top w:val="nil"/>
              <w:left w:val="nil"/>
              <w:bottom w:val="nil"/>
              <w:right w:val="nil"/>
            </w:tcBorders>
            <w:hideMark/>
          </w:tcPr>
          <w:p w14:paraId="7A809BDB" w14:textId="77777777" w:rsidR="00A74C68" w:rsidRPr="00A74C68" w:rsidRDefault="00A74C68" w:rsidP="00A74C68">
            <w:pPr>
              <w:rPr>
                <w:color w:val="000000"/>
                <w:sz w:val="14"/>
                <w:szCs w:val="14"/>
                <w:lang w:eastAsia="tr-TR"/>
              </w:rPr>
            </w:pPr>
            <w:r w:rsidRPr="00A74C68">
              <w:rPr>
                <w:color w:val="000000"/>
                <w:sz w:val="14"/>
                <w:szCs w:val="14"/>
              </w:rPr>
              <w:t xml:space="preserve">Yeniden Yapılanma </w:t>
            </w:r>
            <w:r w:rsidRPr="00A74C68">
              <w:rPr>
                <w:color w:val="000000"/>
                <w:sz w:val="14"/>
                <w:szCs w:val="14"/>
                <w:lang w:eastAsia="tr-TR"/>
              </w:rPr>
              <w:t>Karşılığı</w:t>
            </w:r>
          </w:p>
        </w:tc>
        <w:tc>
          <w:tcPr>
            <w:tcW w:w="509" w:type="pct"/>
            <w:tcBorders>
              <w:top w:val="nil"/>
              <w:left w:val="single" w:sz="4" w:space="0" w:color="auto"/>
              <w:bottom w:val="nil"/>
              <w:right w:val="single" w:sz="4" w:space="0" w:color="auto"/>
            </w:tcBorders>
            <w:vAlign w:val="bottom"/>
            <w:hideMark/>
          </w:tcPr>
          <w:p w14:paraId="32E81513" w14:textId="77777777" w:rsidR="00A74C68" w:rsidRPr="00A74C68" w:rsidRDefault="00A74C68" w:rsidP="00A74C68">
            <w:pPr>
              <w:jc w:val="center"/>
              <w:rPr>
                <w:color w:val="000000"/>
                <w:sz w:val="14"/>
                <w:szCs w:val="14"/>
                <w:lang w:eastAsia="tr-TR"/>
              </w:rPr>
            </w:pPr>
            <w:r w:rsidRPr="00A74C68">
              <w:rPr>
                <w:color w:val="000000"/>
                <w:sz w:val="14"/>
                <w:szCs w:val="14"/>
              </w:rPr>
              <w:t> </w:t>
            </w:r>
          </w:p>
        </w:tc>
        <w:tc>
          <w:tcPr>
            <w:tcW w:w="511" w:type="pct"/>
            <w:tcBorders>
              <w:top w:val="nil"/>
              <w:left w:val="nil"/>
              <w:bottom w:val="nil"/>
              <w:right w:val="nil"/>
            </w:tcBorders>
            <w:shd w:val="clear" w:color="000000" w:fill="FFFFFF"/>
            <w:vAlign w:val="bottom"/>
            <w:hideMark/>
          </w:tcPr>
          <w:p w14:paraId="0C7D3EC4" w14:textId="77777777" w:rsidR="00A74C68" w:rsidRPr="00A74C68" w:rsidRDefault="00A74C68" w:rsidP="00A74C68">
            <w:pPr>
              <w:jc w:val="right"/>
              <w:rPr>
                <w:color w:val="000000"/>
                <w:sz w:val="14"/>
                <w:szCs w:val="14"/>
              </w:rPr>
            </w:pPr>
            <w:r w:rsidRPr="00A74C68">
              <w:rPr>
                <w:color w:val="000000"/>
                <w:sz w:val="14"/>
                <w:szCs w:val="14"/>
              </w:rPr>
              <w:t>-</w:t>
            </w:r>
          </w:p>
        </w:tc>
        <w:tc>
          <w:tcPr>
            <w:tcW w:w="557" w:type="pct"/>
            <w:tcBorders>
              <w:top w:val="nil"/>
              <w:left w:val="single" w:sz="4" w:space="0" w:color="auto"/>
              <w:bottom w:val="nil"/>
              <w:right w:val="single" w:sz="4" w:space="0" w:color="auto"/>
            </w:tcBorders>
            <w:shd w:val="clear" w:color="000000" w:fill="FFFFFF"/>
            <w:vAlign w:val="bottom"/>
            <w:hideMark/>
          </w:tcPr>
          <w:p w14:paraId="3BDD95E8" w14:textId="77777777" w:rsidR="00A74C68" w:rsidRPr="00A74C68" w:rsidRDefault="00A74C68" w:rsidP="00A74C68">
            <w:pPr>
              <w:jc w:val="right"/>
              <w:rPr>
                <w:color w:val="000000"/>
                <w:sz w:val="14"/>
                <w:szCs w:val="14"/>
              </w:rPr>
            </w:pPr>
            <w:r w:rsidRPr="00A74C68">
              <w:rPr>
                <w:color w:val="000000"/>
                <w:sz w:val="14"/>
                <w:szCs w:val="14"/>
              </w:rPr>
              <w:t>-</w:t>
            </w:r>
          </w:p>
        </w:tc>
        <w:tc>
          <w:tcPr>
            <w:tcW w:w="648" w:type="pct"/>
            <w:tcBorders>
              <w:top w:val="nil"/>
              <w:left w:val="nil"/>
              <w:bottom w:val="nil"/>
              <w:right w:val="single" w:sz="4" w:space="0" w:color="auto"/>
            </w:tcBorders>
            <w:shd w:val="clear" w:color="000000" w:fill="FFFFFF"/>
            <w:vAlign w:val="bottom"/>
            <w:hideMark/>
          </w:tcPr>
          <w:p w14:paraId="3ECCC1AB" w14:textId="77777777" w:rsidR="00A74C68" w:rsidRPr="00A74C68" w:rsidRDefault="00A74C68" w:rsidP="00A74C68">
            <w:pPr>
              <w:jc w:val="right"/>
              <w:rPr>
                <w:color w:val="000000"/>
                <w:sz w:val="14"/>
                <w:szCs w:val="14"/>
              </w:rPr>
            </w:pPr>
            <w:r w:rsidRPr="00A74C68">
              <w:rPr>
                <w:color w:val="000000"/>
                <w:sz w:val="14"/>
                <w:szCs w:val="14"/>
              </w:rPr>
              <w:t>-</w:t>
            </w:r>
          </w:p>
        </w:tc>
      </w:tr>
      <w:tr w:rsidR="00A74C68" w:rsidRPr="00A74C68" w14:paraId="23ED6C8D" w14:textId="77777777" w:rsidTr="00263F8A">
        <w:trPr>
          <w:divId w:val="282467830"/>
          <w:trHeight w:val="20"/>
        </w:trPr>
        <w:tc>
          <w:tcPr>
            <w:tcW w:w="418" w:type="pct"/>
            <w:tcBorders>
              <w:top w:val="nil"/>
              <w:left w:val="single" w:sz="4" w:space="0" w:color="auto"/>
              <w:bottom w:val="nil"/>
              <w:right w:val="nil"/>
            </w:tcBorders>
            <w:noWrap/>
            <w:hideMark/>
          </w:tcPr>
          <w:p w14:paraId="262B8F80" w14:textId="77777777" w:rsidR="00A74C68" w:rsidRPr="00A74C68" w:rsidRDefault="00A74C68" w:rsidP="00A74C68">
            <w:pPr>
              <w:rPr>
                <w:color w:val="000000"/>
                <w:sz w:val="14"/>
                <w:szCs w:val="14"/>
              </w:rPr>
            </w:pPr>
            <w:r w:rsidRPr="00A74C68">
              <w:rPr>
                <w:color w:val="000000"/>
                <w:sz w:val="14"/>
                <w:szCs w:val="14"/>
              </w:rPr>
              <w:t>8.3</w:t>
            </w:r>
          </w:p>
        </w:tc>
        <w:tc>
          <w:tcPr>
            <w:tcW w:w="2358" w:type="pct"/>
            <w:tcBorders>
              <w:top w:val="nil"/>
              <w:left w:val="nil"/>
              <w:bottom w:val="nil"/>
              <w:right w:val="nil"/>
            </w:tcBorders>
            <w:hideMark/>
          </w:tcPr>
          <w:p w14:paraId="702CD619" w14:textId="77777777" w:rsidR="00A74C68" w:rsidRPr="00A74C68" w:rsidRDefault="00A74C68" w:rsidP="00A74C68">
            <w:pPr>
              <w:rPr>
                <w:color w:val="000000"/>
                <w:sz w:val="14"/>
                <w:szCs w:val="14"/>
              </w:rPr>
            </w:pPr>
            <w:r w:rsidRPr="00A74C68">
              <w:rPr>
                <w:color w:val="000000"/>
                <w:sz w:val="14"/>
                <w:szCs w:val="14"/>
              </w:rPr>
              <w:t>Çalışan Hakları Karşılığı</w:t>
            </w:r>
          </w:p>
        </w:tc>
        <w:tc>
          <w:tcPr>
            <w:tcW w:w="509" w:type="pct"/>
            <w:tcBorders>
              <w:top w:val="nil"/>
              <w:left w:val="single" w:sz="4" w:space="0" w:color="auto"/>
              <w:bottom w:val="nil"/>
              <w:right w:val="single" w:sz="4" w:space="0" w:color="auto"/>
            </w:tcBorders>
            <w:vAlign w:val="bottom"/>
            <w:hideMark/>
          </w:tcPr>
          <w:p w14:paraId="031E6A8E" w14:textId="77777777" w:rsidR="00A74C68" w:rsidRPr="00A74C68" w:rsidRDefault="00A74C68" w:rsidP="00A74C68">
            <w:pPr>
              <w:jc w:val="center"/>
              <w:rPr>
                <w:color w:val="000000"/>
                <w:sz w:val="14"/>
                <w:szCs w:val="14"/>
                <w:lang w:eastAsia="tr-TR"/>
              </w:rPr>
            </w:pPr>
            <w:r w:rsidRPr="00A74C68">
              <w:rPr>
                <w:color w:val="000000"/>
                <w:sz w:val="14"/>
                <w:szCs w:val="14"/>
              </w:rPr>
              <w:t> </w:t>
            </w:r>
          </w:p>
        </w:tc>
        <w:tc>
          <w:tcPr>
            <w:tcW w:w="511" w:type="pct"/>
            <w:tcBorders>
              <w:top w:val="nil"/>
              <w:left w:val="nil"/>
              <w:bottom w:val="nil"/>
              <w:right w:val="nil"/>
            </w:tcBorders>
            <w:shd w:val="clear" w:color="000000" w:fill="FFFFFF"/>
            <w:vAlign w:val="bottom"/>
            <w:hideMark/>
          </w:tcPr>
          <w:p w14:paraId="40EA8B99" w14:textId="77777777" w:rsidR="00A74C68" w:rsidRPr="00A74C68" w:rsidRDefault="00A74C68" w:rsidP="00A74C68">
            <w:pPr>
              <w:jc w:val="right"/>
              <w:rPr>
                <w:color w:val="000000"/>
                <w:sz w:val="14"/>
                <w:szCs w:val="14"/>
              </w:rPr>
            </w:pPr>
            <w:r w:rsidRPr="00A74C68">
              <w:rPr>
                <w:color w:val="000000"/>
                <w:sz w:val="14"/>
                <w:szCs w:val="14"/>
              </w:rPr>
              <w:t>315.083</w:t>
            </w:r>
          </w:p>
        </w:tc>
        <w:tc>
          <w:tcPr>
            <w:tcW w:w="557" w:type="pct"/>
            <w:tcBorders>
              <w:top w:val="nil"/>
              <w:left w:val="single" w:sz="4" w:space="0" w:color="auto"/>
              <w:bottom w:val="nil"/>
              <w:right w:val="single" w:sz="4" w:space="0" w:color="auto"/>
            </w:tcBorders>
            <w:shd w:val="clear" w:color="000000" w:fill="FFFFFF"/>
            <w:vAlign w:val="bottom"/>
            <w:hideMark/>
          </w:tcPr>
          <w:p w14:paraId="00FA4767" w14:textId="77777777" w:rsidR="00A74C68" w:rsidRPr="00A74C68" w:rsidRDefault="00A74C68" w:rsidP="00A74C68">
            <w:pPr>
              <w:jc w:val="right"/>
              <w:rPr>
                <w:color w:val="000000"/>
                <w:sz w:val="14"/>
                <w:szCs w:val="14"/>
              </w:rPr>
            </w:pPr>
            <w:r w:rsidRPr="00A74C68">
              <w:rPr>
                <w:color w:val="000000"/>
                <w:sz w:val="14"/>
                <w:szCs w:val="14"/>
              </w:rPr>
              <w:t>-</w:t>
            </w:r>
          </w:p>
        </w:tc>
        <w:tc>
          <w:tcPr>
            <w:tcW w:w="648" w:type="pct"/>
            <w:tcBorders>
              <w:top w:val="nil"/>
              <w:left w:val="nil"/>
              <w:bottom w:val="nil"/>
              <w:right w:val="single" w:sz="4" w:space="0" w:color="auto"/>
            </w:tcBorders>
            <w:shd w:val="clear" w:color="000000" w:fill="FFFFFF"/>
            <w:vAlign w:val="bottom"/>
            <w:hideMark/>
          </w:tcPr>
          <w:p w14:paraId="1C91E43B" w14:textId="77777777" w:rsidR="00A74C68" w:rsidRPr="00A74C68" w:rsidRDefault="00A74C68" w:rsidP="00A74C68">
            <w:pPr>
              <w:jc w:val="right"/>
              <w:rPr>
                <w:color w:val="000000"/>
                <w:sz w:val="14"/>
                <w:szCs w:val="14"/>
              </w:rPr>
            </w:pPr>
            <w:r w:rsidRPr="00A74C68">
              <w:rPr>
                <w:color w:val="000000"/>
                <w:sz w:val="14"/>
                <w:szCs w:val="14"/>
              </w:rPr>
              <w:t>315.083</w:t>
            </w:r>
          </w:p>
        </w:tc>
      </w:tr>
      <w:tr w:rsidR="00A74C68" w:rsidRPr="00A74C68" w14:paraId="7F9970EA" w14:textId="77777777" w:rsidTr="00263F8A">
        <w:trPr>
          <w:divId w:val="282467830"/>
          <w:trHeight w:val="20"/>
        </w:trPr>
        <w:tc>
          <w:tcPr>
            <w:tcW w:w="418" w:type="pct"/>
            <w:tcBorders>
              <w:top w:val="nil"/>
              <w:left w:val="single" w:sz="4" w:space="0" w:color="auto"/>
              <w:bottom w:val="nil"/>
              <w:right w:val="nil"/>
            </w:tcBorders>
            <w:noWrap/>
            <w:hideMark/>
          </w:tcPr>
          <w:p w14:paraId="666A1647" w14:textId="77777777" w:rsidR="00A74C68" w:rsidRPr="00A74C68" w:rsidRDefault="00A74C68" w:rsidP="00A74C68">
            <w:pPr>
              <w:rPr>
                <w:color w:val="000000"/>
                <w:sz w:val="14"/>
                <w:szCs w:val="14"/>
              </w:rPr>
            </w:pPr>
            <w:r w:rsidRPr="00A74C68">
              <w:rPr>
                <w:color w:val="000000"/>
                <w:sz w:val="14"/>
                <w:szCs w:val="14"/>
              </w:rPr>
              <w:t>8.4</w:t>
            </w:r>
          </w:p>
        </w:tc>
        <w:tc>
          <w:tcPr>
            <w:tcW w:w="2358" w:type="pct"/>
            <w:tcBorders>
              <w:top w:val="nil"/>
              <w:left w:val="nil"/>
              <w:bottom w:val="nil"/>
              <w:right w:val="nil"/>
            </w:tcBorders>
            <w:hideMark/>
          </w:tcPr>
          <w:p w14:paraId="0EE59B11" w14:textId="77777777" w:rsidR="00A74C68" w:rsidRPr="00A74C68" w:rsidRDefault="00A74C68" w:rsidP="00A74C68">
            <w:pPr>
              <w:rPr>
                <w:color w:val="000000"/>
                <w:sz w:val="14"/>
                <w:szCs w:val="14"/>
                <w:lang w:eastAsia="tr-TR"/>
              </w:rPr>
            </w:pPr>
            <w:r w:rsidRPr="00A74C68">
              <w:rPr>
                <w:color w:val="000000"/>
                <w:sz w:val="14"/>
                <w:szCs w:val="14"/>
              </w:rPr>
              <w:t xml:space="preserve">Sigorta Teknik Karşılıkları </w:t>
            </w:r>
            <w:r w:rsidRPr="00A74C68">
              <w:rPr>
                <w:color w:val="000000"/>
                <w:sz w:val="14"/>
                <w:szCs w:val="14"/>
                <w:lang w:eastAsia="tr-TR"/>
              </w:rPr>
              <w:t>(Net)</w:t>
            </w:r>
          </w:p>
        </w:tc>
        <w:tc>
          <w:tcPr>
            <w:tcW w:w="509" w:type="pct"/>
            <w:tcBorders>
              <w:top w:val="nil"/>
              <w:left w:val="single" w:sz="4" w:space="0" w:color="auto"/>
              <w:bottom w:val="nil"/>
              <w:right w:val="single" w:sz="4" w:space="0" w:color="auto"/>
            </w:tcBorders>
            <w:vAlign w:val="bottom"/>
            <w:hideMark/>
          </w:tcPr>
          <w:p w14:paraId="197AA150" w14:textId="77777777" w:rsidR="00A74C68" w:rsidRPr="00A74C68" w:rsidRDefault="00A74C68" w:rsidP="00A74C68">
            <w:pPr>
              <w:jc w:val="center"/>
              <w:rPr>
                <w:color w:val="000000"/>
                <w:sz w:val="14"/>
                <w:szCs w:val="14"/>
                <w:lang w:eastAsia="tr-TR"/>
              </w:rPr>
            </w:pPr>
            <w:r w:rsidRPr="00A74C68">
              <w:rPr>
                <w:color w:val="000000"/>
                <w:sz w:val="14"/>
                <w:szCs w:val="14"/>
              </w:rPr>
              <w:t> </w:t>
            </w:r>
          </w:p>
        </w:tc>
        <w:tc>
          <w:tcPr>
            <w:tcW w:w="511" w:type="pct"/>
            <w:tcBorders>
              <w:top w:val="nil"/>
              <w:left w:val="nil"/>
              <w:bottom w:val="nil"/>
              <w:right w:val="nil"/>
            </w:tcBorders>
            <w:shd w:val="clear" w:color="000000" w:fill="FFFFFF"/>
            <w:vAlign w:val="bottom"/>
            <w:hideMark/>
          </w:tcPr>
          <w:p w14:paraId="108B2E24" w14:textId="77777777" w:rsidR="00A74C68" w:rsidRPr="00A74C68" w:rsidRDefault="00A74C68" w:rsidP="00A74C68">
            <w:pPr>
              <w:jc w:val="right"/>
              <w:rPr>
                <w:color w:val="000000"/>
                <w:sz w:val="14"/>
                <w:szCs w:val="14"/>
              </w:rPr>
            </w:pPr>
            <w:r w:rsidRPr="00A74C68">
              <w:rPr>
                <w:color w:val="000000"/>
                <w:sz w:val="14"/>
                <w:szCs w:val="14"/>
              </w:rPr>
              <w:t>-</w:t>
            </w:r>
          </w:p>
        </w:tc>
        <w:tc>
          <w:tcPr>
            <w:tcW w:w="557" w:type="pct"/>
            <w:tcBorders>
              <w:top w:val="nil"/>
              <w:left w:val="single" w:sz="4" w:space="0" w:color="auto"/>
              <w:bottom w:val="nil"/>
              <w:right w:val="single" w:sz="4" w:space="0" w:color="auto"/>
            </w:tcBorders>
            <w:shd w:val="clear" w:color="000000" w:fill="FFFFFF"/>
            <w:vAlign w:val="bottom"/>
            <w:hideMark/>
          </w:tcPr>
          <w:p w14:paraId="4675D7C5" w14:textId="77777777" w:rsidR="00A74C68" w:rsidRPr="00A74C68" w:rsidRDefault="00A74C68" w:rsidP="00A74C68">
            <w:pPr>
              <w:jc w:val="right"/>
              <w:rPr>
                <w:color w:val="000000"/>
                <w:sz w:val="14"/>
                <w:szCs w:val="14"/>
              </w:rPr>
            </w:pPr>
            <w:r w:rsidRPr="00A74C68">
              <w:rPr>
                <w:color w:val="000000"/>
                <w:sz w:val="14"/>
                <w:szCs w:val="14"/>
              </w:rPr>
              <w:t>-</w:t>
            </w:r>
          </w:p>
        </w:tc>
        <w:tc>
          <w:tcPr>
            <w:tcW w:w="648" w:type="pct"/>
            <w:tcBorders>
              <w:top w:val="nil"/>
              <w:left w:val="nil"/>
              <w:bottom w:val="nil"/>
              <w:right w:val="single" w:sz="4" w:space="0" w:color="auto"/>
            </w:tcBorders>
            <w:shd w:val="clear" w:color="000000" w:fill="FFFFFF"/>
            <w:vAlign w:val="bottom"/>
            <w:hideMark/>
          </w:tcPr>
          <w:p w14:paraId="31E37F5A" w14:textId="77777777" w:rsidR="00A74C68" w:rsidRPr="00A74C68" w:rsidRDefault="00A74C68" w:rsidP="00A74C68">
            <w:pPr>
              <w:jc w:val="right"/>
              <w:rPr>
                <w:color w:val="000000"/>
                <w:sz w:val="14"/>
                <w:szCs w:val="14"/>
              </w:rPr>
            </w:pPr>
            <w:r w:rsidRPr="00A74C68">
              <w:rPr>
                <w:color w:val="000000"/>
                <w:sz w:val="14"/>
                <w:szCs w:val="14"/>
              </w:rPr>
              <w:t>-</w:t>
            </w:r>
          </w:p>
        </w:tc>
      </w:tr>
      <w:tr w:rsidR="00A74C68" w:rsidRPr="00A74C68" w14:paraId="73E40164" w14:textId="77777777" w:rsidTr="00263F8A">
        <w:trPr>
          <w:divId w:val="282467830"/>
          <w:trHeight w:val="20"/>
        </w:trPr>
        <w:tc>
          <w:tcPr>
            <w:tcW w:w="418" w:type="pct"/>
            <w:tcBorders>
              <w:top w:val="nil"/>
              <w:left w:val="single" w:sz="4" w:space="0" w:color="auto"/>
              <w:bottom w:val="nil"/>
              <w:right w:val="nil"/>
            </w:tcBorders>
            <w:noWrap/>
            <w:hideMark/>
          </w:tcPr>
          <w:p w14:paraId="3C8DBD50" w14:textId="77777777" w:rsidR="00A74C68" w:rsidRPr="00A74C68" w:rsidRDefault="00A74C68" w:rsidP="00A74C68">
            <w:pPr>
              <w:rPr>
                <w:color w:val="000000"/>
                <w:sz w:val="14"/>
                <w:szCs w:val="14"/>
              </w:rPr>
            </w:pPr>
            <w:r w:rsidRPr="00A74C68">
              <w:rPr>
                <w:color w:val="000000"/>
                <w:sz w:val="14"/>
                <w:szCs w:val="14"/>
              </w:rPr>
              <w:t>8.5</w:t>
            </w:r>
          </w:p>
        </w:tc>
        <w:tc>
          <w:tcPr>
            <w:tcW w:w="2358" w:type="pct"/>
            <w:tcBorders>
              <w:top w:val="nil"/>
              <w:left w:val="nil"/>
              <w:bottom w:val="nil"/>
              <w:right w:val="nil"/>
            </w:tcBorders>
            <w:hideMark/>
          </w:tcPr>
          <w:p w14:paraId="24A48D17" w14:textId="77777777" w:rsidR="00A74C68" w:rsidRPr="00A74C68" w:rsidRDefault="00A74C68" w:rsidP="00A74C68">
            <w:pPr>
              <w:rPr>
                <w:color w:val="000000"/>
                <w:sz w:val="14"/>
                <w:szCs w:val="14"/>
              </w:rPr>
            </w:pPr>
            <w:r w:rsidRPr="00A74C68">
              <w:rPr>
                <w:color w:val="000000"/>
                <w:sz w:val="14"/>
                <w:szCs w:val="14"/>
              </w:rPr>
              <w:t>Diğer Karşılıklar</w:t>
            </w:r>
          </w:p>
        </w:tc>
        <w:tc>
          <w:tcPr>
            <w:tcW w:w="509" w:type="pct"/>
            <w:tcBorders>
              <w:top w:val="nil"/>
              <w:left w:val="single" w:sz="4" w:space="0" w:color="auto"/>
              <w:bottom w:val="nil"/>
              <w:right w:val="single" w:sz="4" w:space="0" w:color="auto"/>
            </w:tcBorders>
            <w:vAlign w:val="bottom"/>
            <w:hideMark/>
          </w:tcPr>
          <w:p w14:paraId="57C57BD4" w14:textId="77777777" w:rsidR="00A74C68" w:rsidRPr="00A74C68" w:rsidRDefault="00A74C68" w:rsidP="00A74C68">
            <w:pPr>
              <w:jc w:val="center"/>
              <w:rPr>
                <w:color w:val="000000"/>
                <w:sz w:val="14"/>
                <w:szCs w:val="14"/>
                <w:lang w:eastAsia="tr-TR"/>
              </w:rPr>
            </w:pPr>
            <w:r w:rsidRPr="00A74C68">
              <w:rPr>
                <w:color w:val="000000"/>
                <w:sz w:val="14"/>
                <w:szCs w:val="14"/>
              </w:rPr>
              <w:t> </w:t>
            </w:r>
          </w:p>
        </w:tc>
        <w:tc>
          <w:tcPr>
            <w:tcW w:w="511" w:type="pct"/>
            <w:tcBorders>
              <w:top w:val="nil"/>
              <w:left w:val="nil"/>
              <w:bottom w:val="nil"/>
              <w:right w:val="nil"/>
            </w:tcBorders>
            <w:shd w:val="clear" w:color="000000" w:fill="FFFFFF"/>
            <w:vAlign w:val="bottom"/>
            <w:hideMark/>
          </w:tcPr>
          <w:p w14:paraId="4E2C5100" w14:textId="77777777" w:rsidR="00A74C68" w:rsidRPr="00A74C68" w:rsidRDefault="00A74C68" w:rsidP="00A74C68">
            <w:pPr>
              <w:jc w:val="right"/>
              <w:rPr>
                <w:color w:val="000000"/>
                <w:sz w:val="14"/>
                <w:szCs w:val="14"/>
              </w:rPr>
            </w:pPr>
            <w:r w:rsidRPr="00A74C68">
              <w:rPr>
                <w:color w:val="000000"/>
                <w:sz w:val="14"/>
                <w:szCs w:val="14"/>
              </w:rPr>
              <w:t>129.787</w:t>
            </w:r>
          </w:p>
        </w:tc>
        <w:tc>
          <w:tcPr>
            <w:tcW w:w="557" w:type="pct"/>
            <w:tcBorders>
              <w:top w:val="nil"/>
              <w:left w:val="single" w:sz="4" w:space="0" w:color="auto"/>
              <w:bottom w:val="nil"/>
              <w:right w:val="single" w:sz="4" w:space="0" w:color="auto"/>
            </w:tcBorders>
            <w:shd w:val="clear" w:color="000000" w:fill="FFFFFF"/>
            <w:vAlign w:val="bottom"/>
            <w:hideMark/>
          </w:tcPr>
          <w:p w14:paraId="152C56CD" w14:textId="77777777" w:rsidR="00A74C68" w:rsidRPr="00A74C68" w:rsidRDefault="00A74C68" w:rsidP="00A74C68">
            <w:pPr>
              <w:jc w:val="right"/>
              <w:rPr>
                <w:color w:val="000000"/>
                <w:sz w:val="14"/>
                <w:szCs w:val="14"/>
              </w:rPr>
            </w:pPr>
            <w:r w:rsidRPr="00A74C68">
              <w:rPr>
                <w:color w:val="000000"/>
                <w:sz w:val="14"/>
                <w:szCs w:val="14"/>
              </w:rPr>
              <w:t>139.063</w:t>
            </w:r>
          </w:p>
        </w:tc>
        <w:tc>
          <w:tcPr>
            <w:tcW w:w="648" w:type="pct"/>
            <w:tcBorders>
              <w:top w:val="nil"/>
              <w:left w:val="nil"/>
              <w:bottom w:val="nil"/>
              <w:right w:val="single" w:sz="4" w:space="0" w:color="auto"/>
            </w:tcBorders>
            <w:shd w:val="clear" w:color="000000" w:fill="FFFFFF"/>
            <w:vAlign w:val="bottom"/>
            <w:hideMark/>
          </w:tcPr>
          <w:p w14:paraId="610ABC3B" w14:textId="77777777" w:rsidR="00A74C68" w:rsidRPr="00A74C68" w:rsidRDefault="00A74C68" w:rsidP="00A74C68">
            <w:pPr>
              <w:jc w:val="right"/>
              <w:rPr>
                <w:color w:val="000000"/>
                <w:sz w:val="14"/>
                <w:szCs w:val="14"/>
              </w:rPr>
            </w:pPr>
            <w:r w:rsidRPr="00A74C68">
              <w:rPr>
                <w:color w:val="000000"/>
                <w:sz w:val="14"/>
                <w:szCs w:val="14"/>
              </w:rPr>
              <w:t>268.850</w:t>
            </w:r>
          </w:p>
        </w:tc>
      </w:tr>
      <w:tr w:rsidR="00A74C68" w:rsidRPr="00A74C68" w14:paraId="66D761B7" w14:textId="77777777" w:rsidTr="00263F8A">
        <w:trPr>
          <w:divId w:val="282467830"/>
          <w:trHeight w:val="20"/>
        </w:trPr>
        <w:tc>
          <w:tcPr>
            <w:tcW w:w="418" w:type="pct"/>
            <w:tcBorders>
              <w:top w:val="nil"/>
              <w:left w:val="single" w:sz="4" w:space="0" w:color="auto"/>
              <w:bottom w:val="nil"/>
              <w:right w:val="nil"/>
            </w:tcBorders>
            <w:noWrap/>
            <w:hideMark/>
          </w:tcPr>
          <w:p w14:paraId="0D1650FE" w14:textId="77777777" w:rsidR="00A74C68" w:rsidRPr="00A74C68" w:rsidRDefault="00A74C68" w:rsidP="00A74C68">
            <w:pPr>
              <w:rPr>
                <w:b/>
                <w:bCs/>
                <w:color w:val="000000"/>
                <w:sz w:val="14"/>
                <w:szCs w:val="14"/>
                <w:lang w:eastAsia="tr-TR"/>
              </w:rPr>
            </w:pPr>
            <w:r w:rsidRPr="00A74C68">
              <w:rPr>
                <w:b/>
                <w:bCs/>
                <w:color w:val="000000"/>
                <w:sz w:val="14"/>
                <w:szCs w:val="14"/>
              </w:rPr>
              <w:t>IX.</w:t>
            </w:r>
          </w:p>
        </w:tc>
        <w:tc>
          <w:tcPr>
            <w:tcW w:w="2358" w:type="pct"/>
            <w:tcBorders>
              <w:top w:val="nil"/>
              <w:left w:val="nil"/>
              <w:bottom w:val="nil"/>
              <w:right w:val="nil"/>
            </w:tcBorders>
            <w:hideMark/>
          </w:tcPr>
          <w:p w14:paraId="2C2DD6E6" w14:textId="77777777" w:rsidR="00A74C68" w:rsidRPr="00A74C68" w:rsidRDefault="00A74C68" w:rsidP="00A74C68">
            <w:pPr>
              <w:rPr>
                <w:b/>
                <w:bCs/>
                <w:color w:val="000000"/>
                <w:sz w:val="14"/>
                <w:szCs w:val="14"/>
                <w:lang w:eastAsia="tr-TR"/>
              </w:rPr>
            </w:pPr>
            <w:r w:rsidRPr="00A74C68">
              <w:rPr>
                <w:b/>
                <w:bCs/>
                <w:color w:val="000000"/>
                <w:sz w:val="14"/>
                <w:szCs w:val="14"/>
              </w:rPr>
              <w:t xml:space="preserve">CARİ VERGİ </w:t>
            </w:r>
            <w:r w:rsidRPr="00A74C68">
              <w:rPr>
                <w:b/>
                <w:bCs/>
                <w:color w:val="000000"/>
                <w:sz w:val="14"/>
                <w:szCs w:val="14"/>
                <w:lang w:eastAsia="tr-TR"/>
              </w:rPr>
              <w:t>BORCU</w:t>
            </w:r>
          </w:p>
        </w:tc>
        <w:tc>
          <w:tcPr>
            <w:tcW w:w="509" w:type="pct"/>
            <w:tcBorders>
              <w:top w:val="nil"/>
              <w:left w:val="single" w:sz="4" w:space="0" w:color="auto"/>
              <w:bottom w:val="nil"/>
              <w:right w:val="single" w:sz="4" w:space="0" w:color="auto"/>
            </w:tcBorders>
            <w:vAlign w:val="bottom"/>
            <w:hideMark/>
          </w:tcPr>
          <w:p w14:paraId="7599F8FD" w14:textId="77777777" w:rsidR="00A74C68" w:rsidRPr="00A74C68" w:rsidRDefault="00A74C68" w:rsidP="00A74C68">
            <w:pPr>
              <w:jc w:val="center"/>
              <w:rPr>
                <w:b/>
                <w:bCs/>
                <w:color w:val="000000"/>
                <w:sz w:val="14"/>
                <w:szCs w:val="14"/>
                <w:lang w:eastAsia="tr-TR"/>
              </w:rPr>
            </w:pPr>
            <w:r w:rsidRPr="00A74C68">
              <w:rPr>
                <w:b/>
                <w:bCs/>
                <w:color w:val="000000"/>
                <w:sz w:val="14"/>
                <w:szCs w:val="14"/>
              </w:rPr>
              <w:t>(</w:t>
            </w:r>
            <w:r w:rsidRPr="00A74C68">
              <w:rPr>
                <w:b/>
                <w:bCs/>
                <w:color w:val="000000"/>
                <w:sz w:val="14"/>
                <w:szCs w:val="14"/>
                <w:lang w:eastAsia="tr-TR"/>
              </w:rPr>
              <w:t>7)</w:t>
            </w:r>
          </w:p>
        </w:tc>
        <w:tc>
          <w:tcPr>
            <w:tcW w:w="511" w:type="pct"/>
            <w:tcBorders>
              <w:top w:val="nil"/>
              <w:left w:val="nil"/>
              <w:bottom w:val="nil"/>
              <w:right w:val="nil"/>
            </w:tcBorders>
            <w:shd w:val="clear" w:color="000000" w:fill="FFFFFF"/>
            <w:vAlign w:val="bottom"/>
            <w:hideMark/>
          </w:tcPr>
          <w:p w14:paraId="2EF1EE08" w14:textId="77777777" w:rsidR="00A74C68" w:rsidRPr="00A74C68" w:rsidRDefault="00A74C68" w:rsidP="00A74C68">
            <w:pPr>
              <w:jc w:val="right"/>
              <w:rPr>
                <w:b/>
                <w:bCs/>
                <w:color w:val="000000"/>
                <w:sz w:val="14"/>
                <w:szCs w:val="14"/>
              </w:rPr>
            </w:pPr>
            <w:r w:rsidRPr="00A74C68">
              <w:rPr>
                <w:b/>
                <w:bCs/>
                <w:color w:val="000000"/>
                <w:sz w:val="14"/>
                <w:szCs w:val="14"/>
              </w:rPr>
              <w:t>402.872</w:t>
            </w:r>
          </w:p>
        </w:tc>
        <w:tc>
          <w:tcPr>
            <w:tcW w:w="557" w:type="pct"/>
            <w:tcBorders>
              <w:top w:val="nil"/>
              <w:left w:val="single" w:sz="4" w:space="0" w:color="auto"/>
              <w:bottom w:val="nil"/>
              <w:right w:val="single" w:sz="4" w:space="0" w:color="auto"/>
            </w:tcBorders>
            <w:shd w:val="clear" w:color="000000" w:fill="FFFFFF"/>
            <w:vAlign w:val="bottom"/>
            <w:hideMark/>
          </w:tcPr>
          <w:p w14:paraId="124586F2" w14:textId="77777777" w:rsidR="00A74C68" w:rsidRPr="00A74C68" w:rsidRDefault="00A74C68" w:rsidP="00A74C68">
            <w:pPr>
              <w:jc w:val="right"/>
              <w:rPr>
                <w:b/>
                <w:bCs/>
                <w:color w:val="000000"/>
                <w:sz w:val="14"/>
                <w:szCs w:val="14"/>
              </w:rPr>
            </w:pPr>
            <w:r w:rsidRPr="00A74C68">
              <w:rPr>
                <w:b/>
                <w:bCs/>
                <w:color w:val="000000"/>
                <w:sz w:val="14"/>
                <w:szCs w:val="14"/>
              </w:rPr>
              <w:t>-</w:t>
            </w:r>
          </w:p>
        </w:tc>
        <w:tc>
          <w:tcPr>
            <w:tcW w:w="648" w:type="pct"/>
            <w:tcBorders>
              <w:top w:val="nil"/>
              <w:left w:val="nil"/>
              <w:bottom w:val="nil"/>
              <w:right w:val="single" w:sz="4" w:space="0" w:color="auto"/>
            </w:tcBorders>
            <w:shd w:val="clear" w:color="000000" w:fill="FFFFFF"/>
            <w:vAlign w:val="bottom"/>
            <w:hideMark/>
          </w:tcPr>
          <w:p w14:paraId="1056A3D2" w14:textId="77777777" w:rsidR="00A74C68" w:rsidRPr="00A74C68" w:rsidRDefault="00A74C68" w:rsidP="00A74C68">
            <w:pPr>
              <w:jc w:val="right"/>
              <w:rPr>
                <w:b/>
                <w:bCs/>
                <w:color w:val="000000"/>
                <w:sz w:val="14"/>
                <w:szCs w:val="14"/>
              </w:rPr>
            </w:pPr>
            <w:r w:rsidRPr="00A74C68">
              <w:rPr>
                <w:b/>
                <w:bCs/>
                <w:color w:val="000000"/>
                <w:sz w:val="14"/>
                <w:szCs w:val="14"/>
              </w:rPr>
              <w:t>402.872</w:t>
            </w:r>
          </w:p>
        </w:tc>
      </w:tr>
      <w:tr w:rsidR="00A74C68" w:rsidRPr="00A74C68" w14:paraId="72DE05CC" w14:textId="77777777" w:rsidTr="00263F8A">
        <w:trPr>
          <w:divId w:val="282467830"/>
          <w:trHeight w:val="20"/>
        </w:trPr>
        <w:tc>
          <w:tcPr>
            <w:tcW w:w="418" w:type="pct"/>
            <w:tcBorders>
              <w:top w:val="nil"/>
              <w:left w:val="single" w:sz="4" w:space="0" w:color="auto"/>
              <w:bottom w:val="nil"/>
              <w:right w:val="nil"/>
            </w:tcBorders>
            <w:noWrap/>
            <w:hideMark/>
          </w:tcPr>
          <w:p w14:paraId="6FCC8CAF" w14:textId="77777777" w:rsidR="00A74C68" w:rsidRPr="00A74C68" w:rsidRDefault="00A74C68" w:rsidP="00A74C68">
            <w:pPr>
              <w:rPr>
                <w:b/>
                <w:bCs/>
                <w:color w:val="000000"/>
                <w:sz w:val="14"/>
                <w:szCs w:val="14"/>
              </w:rPr>
            </w:pPr>
            <w:r w:rsidRPr="00A74C68">
              <w:rPr>
                <w:b/>
                <w:bCs/>
                <w:color w:val="000000"/>
                <w:sz w:val="14"/>
                <w:szCs w:val="14"/>
              </w:rPr>
              <w:t>X.</w:t>
            </w:r>
          </w:p>
        </w:tc>
        <w:tc>
          <w:tcPr>
            <w:tcW w:w="2358" w:type="pct"/>
            <w:tcBorders>
              <w:top w:val="nil"/>
              <w:left w:val="nil"/>
              <w:bottom w:val="nil"/>
              <w:right w:val="nil"/>
            </w:tcBorders>
            <w:hideMark/>
          </w:tcPr>
          <w:p w14:paraId="153E024C" w14:textId="77777777" w:rsidR="00A74C68" w:rsidRPr="00A74C68" w:rsidRDefault="00A74C68" w:rsidP="00A74C68">
            <w:pPr>
              <w:rPr>
                <w:b/>
                <w:bCs/>
                <w:color w:val="000000"/>
                <w:sz w:val="14"/>
                <w:szCs w:val="14"/>
              </w:rPr>
            </w:pPr>
            <w:r w:rsidRPr="00A74C68">
              <w:rPr>
                <w:b/>
                <w:bCs/>
                <w:color w:val="000000"/>
                <w:sz w:val="14"/>
                <w:szCs w:val="14"/>
              </w:rPr>
              <w:t>ERTELENMİŞ VERGİ BORCU</w:t>
            </w:r>
          </w:p>
        </w:tc>
        <w:tc>
          <w:tcPr>
            <w:tcW w:w="509" w:type="pct"/>
            <w:tcBorders>
              <w:top w:val="nil"/>
              <w:left w:val="single" w:sz="4" w:space="0" w:color="auto"/>
              <w:bottom w:val="nil"/>
              <w:right w:val="single" w:sz="4" w:space="0" w:color="auto"/>
            </w:tcBorders>
            <w:vAlign w:val="bottom"/>
            <w:hideMark/>
          </w:tcPr>
          <w:p w14:paraId="06EAE6AB" w14:textId="702BBF0F" w:rsidR="00A74C68" w:rsidRPr="00A74C68" w:rsidRDefault="00AB77A8" w:rsidP="00A74C68">
            <w:pPr>
              <w:jc w:val="center"/>
              <w:rPr>
                <w:b/>
                <w:bCs/>
                <w:color w:val="000000"/>
                <w:sz w:val="14"/>
                <w:szCs w:val="14"/>
              </w:rPr>
            </w:pPr>
            <w:r>
              <w:rPr>
                <w:b/>
                <w:bCs/>
                <w:color w:val="000000"/>
                <w:sz w:val="14"/>
                <w:szCs w:val="14"/>
              </w:rPr>
              <w:t>(8)</w:t>
            </w:r>
          </w:p>
        </w:tc>
        <w:tc>
          <w:tcPr>
            <w:tcW w:w="511" w:type="pct"/>
            <w:tcBorders>
              <w:top w:val="nil"/>
              <w:left w:val="nil"/>
              <w:bottom w:val="nil"/>
              <w:right w:val="nil"/>
            </w:tcBorders>
            <w:shd w:val="clear" w:color="000000" w:fill="FFFFFF"/>
            <w:vAlign w:val="bottom"/>
            <w:hideMark/>
          </w:tcPr>
          <w:p w14:paraId="7C9FE56A" w14:textId="77777777" w:rsidR="00A74C68" w:rsidRPr="00A74C68" w:rsidRDefault="00A74C68" w:rsidP="00A74C68">
            <w:pPr>
              <w:jc w:val="right"/>
              <w:rPr>
                <w:b/>
                <w:bCs/>
                <w:color w:val="000000"/>
                <w:sz w:val="14"/>
                <w:szCs w:val="14"/>
              </w:rPr>
            </w:pPr>
            <w:r w:rsidRPr="00A74C68">
              <w:rPr>
                <w:b/>
                <w:bCs/>
                <w:color w:val="000000"/>
                <w:sz w:val="14"/>
                <w:szCs w:val="14"/>
              </w:rPr>
              <w:t>79.485</w:t>
            </w:r>
          </w:p>
        </w:tc>
        <w:tc>
          <w:tcPr>
            <w:tcW w:w="557" w:type="pct"/>
            <w:tcBorders>
              <w:top w:val="nil"/>
              <w:left w:val="single" w:sz="4" w:space="0" w:color="auto"/>
              <w:bottom w:val="nil"/>
              <w:right w:val="single" w:sz="4" w:space="0" w:color="auto"/>
            </w:tcBorders>
            <w:shd w:val="clear" w:color="000000" w:fill="FFFFFF"/>
            <w:vAlign w:val="bottom"/>
            <w:hideMark/>
          </w:tcPr>
          <w:p w14:paraId="1D3115A9" w14:textId="77777777" w:rsidR="00A74C68" w:rsidRPr="00A74C68" w:rsidRDefault="00A74C68" w:rsidP="00A74C68">
            <w:pPr>
              <w:jc w:val="right"/>
              <w:rPr>
                <w:b/>
                <w:bCs/>
                <w:color w:val="000000"/>
                <w:sz w:val="14"/>
                <w:szCs w:val="14"/>
              </w:rPr>
            </w:pPr>
            <w:r w:rsidRPr="00A74C68">
              <w:rPr>
                <w:b/>
                <w:bCs/>
                <w:color w:val="000000"/>
                <w:sz w:val="14"/>
                <w:szCs w:val="14"/>
              </w:rPr>
              <w:t>-</w:t>
            </w:r>
          </w:p>
        </w:tc>
        <w:tc>
          <w:tcPr>
            <w:tcW w:w="648" w:type="pct"/>
            <w:tcBorders>
              <w:top w:val="nil"/>
              <w:left w:val="nil"/>
              <w:bottom w:val="nil"/>
              <w:right w:val="single" w:sz="4" w:space="0" w:color="auto"/>
            </w:tcBorders>
            <w:shd w:val="clear" w:color="000000" w:fill="FFFFFF"/>
            <w:vAlign w:val="bottom"/>
            <w:hideMark/>
          </w:tcPr>
          <w:p w14:paraId="7F18BB7F" w14:textId="77777777" w:rsidR="00A74C68" w:rsidRPr="00A74C68" w:rsidRDefault="00A74C68" w:rsidP="00A74C68">
            <w:pPr>
              <w:jc w:val="right"/>
              <w:rPr>
                <w:b/>
                <w:bCs/>
                <w:color w:val="000000"/>
                <w:sz w:val="14"/>
                <w:szCs w:val="14"/>
              </w:rPr>
            </w:pPr>
            <w:r w:rsidRPr="00A74C68">
              <w:rPr>
                <w:b/>
                <w:bCs/>
                <w:color w:val="000000"/>
                <w:sz w:val="14"/>
                <w:szCs w:val="14"/>
              </w:rPr>
              <w:t>79.485</w:t>
            </w:r>
          </w:p>
        </w:tc>
      </w:tr>
      <w:tr w:rsidR="00A74C68" w:rsidRPr="00A74C68" w14:paraId="2D775B81" w14:textId="77777777" w:rsidTr="00263F8A">
        <w:trPr>
          <w:divId w:val="282467830"/>
          <w:trHeight w:val="20"/>
        </w:trPr>
        <w:tc>
          <w:tcPr>
            <w:tcW w:w="418" w:type="pct"/>
            <w:tcBorders>
              <w:top w:val="nil"/>
              <w:left w:val="single" w:sz="4" w:space="0" w:color="auto"/>
              <w:bottom w:val="nil"/>
              <w:right w:val="nil"/>
            </w:tcBorders>
            <w:noWrap/>
            <w:hideMark/>
          </w:tcPr>
          <w:p w14:paraId="4A915D51" w14:textId="77777777" w:rsidR="00A74C68" w:rsidRPr="00A74C68" w:rsidRDefault="00A74C68" w:rsidP="00A74C68">
            <w:pPr>
              <w:rPr>
                <w:b/>
                <w:bCs/>
                <w:color w:val="000000"/>
                <w:sz w:val="14"/>
                <w:szCs w:val="14"/>
              </w:rPr>
            </w:pPr>
            <w:r w:rsidRPr="00A74C68">
              <w:rPr>
                <w:b/>
                <w:bCs/>
                <w:color w:val="000000"/>
                <w:sz w:val="14"/>
                <w:szCs w:val="14"/>
              </w:rPr>
              <w:t>XI.</w:t>
            </w:r>
          </w:p>
        </w:tc>
        <w:tc>
          <w:tcPr>
            <w:tcW w:w="2358" w:type="pct"/>
            <w:tcBorders>
              <w:top w:val="nil"/>
              <w:left w:val="nil"/>
              <w:bottom w:val="nil"/>
              <w:right w:val="nil"/>
            </w:tcBorders>
            <w:hideMark/>
          </w:tcPr>
          <w:p w14:paraId="45B5D028" w14:textId="77777777" w:rsidR="00A74C68" w:rsidRPr="00A74C68" w:rsidRDefault="00A74C68" w:rsidP="00A74C68">
            <w:pPr>
              <w:rPr>
                <w:b/>
                <w:bCs/>
                <w:color w:val="000000"/>
                <w:sz w:val="14"/>
                <w:szCs w:val="14"/>
                <w:lang w:eastAsia="tr-TR"/>
              </w:rPr>
            </w:pPr>
            <w:r w:rsidRPr="00A74C68">
              <w:rPr>
                <w:b/>
                <w:bCs/>
                <w:color w:val="000000"/>
                <w:sz w:val="14"/>
                <w:szCs w:val="14"/>
              </w:rPr>
              <w:t xml:space="preserve">SATIŞ AMAÇLI ELDE </w:t>
            </w:r>
            <w:r w:rsidRPr="00A74C68">
              <w:rPr>
                <w:b/>
                <w:bCs/>
                <w:color w:val="000000"/>
                <w:sz w:val="14"/>
                <w:szCs w:val="14"/>
                <w:lang w:eastAsia="tr-TR"/>
              </w:rPr>
              <w:t>TUTULAN VE DURDURULAN FAALİYETLERE İLİŞKİN DURAN VARLIK BORÇLARI (Net)</w:t>
            </w:r>
          </w:p>
        </w:tc>
        <w:tc>
          <w:tcPr>
            <w:tcW w:w="509" w:type="pct"/>
            <w:tcBorders>
              <w:top w:val="nil"/>
              <w:left w:val="single" w:sz="4" w:space="0" w:color="auto"/>
              <w:bottom w:val="nil"/>
              <w:right w:val="single" w:sz="4" w:space="0" w:color="auto"/>
            </w:tcBorders>
            <w:vAlign w:val="bottom"/>
            <w:hideMark/>
          </w:tcPr>
          <w:p w14:paraId="6AFF5F4D"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511" w:type="pct"/>
            <w:tcBorders>
              <w:top w:val="nil"/>
              <w:left w:val="nil"/>
              <w:bottom w:val="nil"/>
              <w:right w:val="nil"/>
            </w:tcBorders>
            <w:shd w:val="clear" w:color="000000" w:fill="FFFFFF"/>
            <w:vAlign w:val="bottom"/>
            <w:hideMark/>
          </w:tcPr>
          <w:p w14:paraId="61F805D5" w14:textId="77777777" w:rsidR="00A74C68" w:rsidRPr="00A74C68" w:rsidRDefault="00A74C68" w:rsidP="00A74C68">
            <w:pPr>
              <w:jc w:val="right"/>
              <w:rPr>
                <w:b/>
                <w:bCs/>
                <w:color w:val="000000"/>
                <w:sz w:val="14"/>
                <w:szCs w:val="14"/>
              </w:rPr>
            </w:pPr>
            <w:r w:rsidRPr="00A74C68">
              <w:rPr>
                <w:b/>
                <w:bCs/>
                <w:color w:val="000000"/>
                <w:sz w:val="14"/>
                <w:szCs w:val="14"/>
              </w:rPr>
              <w:t>-</w:t>
            </w:r>
          </w:p>
        </w:tc>
        <w:tc>
          <w:tcPr>
            <w:tcW w:w="557" w:type="pct"/>
            <w:tcBorders>
              <w:top w:val="nil"/>
              <w:left w:val="single" w:sz="4" w:space="0" w:color="auto"/>
              <w:bottom w:val="nil"/>
              <w:right w:val="single" w:sz="4" w:space="0" w:color="auto"/>
            </w:tcBorders>
            <w:shd w:val="clear" w:color="000000" w:fill="FFFFFF"/>
            <w:vAlign w:val="bottom"/>
            <w:hideMark/>
          </w:tcPr>
          <w:p w14:paraId="030495C6" w14:textId="77777777" w:rsidR="00A74C68" w:rsidRPr="00A74C68" w:rsidRDefault="00A74C68" w:rsidP="00A74C68">
            <w:pPr>
              <w:jc w:val="right"/>
              <w:rPr>
                <w:b/>
                <w:bCs/>
                <w:color w:val="000000"/>
                <w:sz w:val="14"/>
                <w:szCs w:val="14"/>
              </w:rPr>
            </w:pPr>
            <w:r w:rsidRPr="00A74C68">
              <w:rPr>
                <w:b/>
                <w:bCs/>
                <w:color w:val="000000"/>
                <w:sz w:val="14"/>
                <w:szCs w:val="14"/>
              </w:rPr>
              <w:t>-</w:t>
            </w:r>
          </w:p>
        </w:tc>
        <w:tc>
          <w:tcPr>
            <w:tcW w:w="648" w:type="pct"/>
            <w:tcBorders>
              <w:top w:val="nil"/>
              <w:left w:val="nil"/>
              <w:bottom w:val="nil"/>
              <w:right w:val="single" w:sz="4" w:space="0" w:color="auto"/>
            </w:tcBorders>
            <w:shd w:val="clear" w:color="000000" w:fill="FFFFFF"/>
            <w:vAlign w:val="bottom"/>
            <w:hideMark/>
          </w:tcPr>
          <w:p w14:paraId="61F274CA" w14:textId="77777777" w:rsidR="00A74C68" w:rsidRPr="00A74C68" w:rsidRDefault="00A74C68" w:rsidP="00A74C68">
            <w:pPr>
              <w:jc w:val="right"/>
              <w:rPr>
                <w:b/>
                <w:bCs/>
                <w:color w:val="000000"/>
                <w:sz w:val="14"/>
                <w:szCs w:val="14"/>
              </w:rPr>
            </w:pPr>
            <w:r w:rsidRPr="00A74C68">
              <w:rPr>
                <w:b/>
                <w:bCs/>
                <w:color w:val="000000"/>
                <w:sz w:val="14"/>
                <w:szCs w:val="14"/>
              </w:rPr>
              <w:t>-</w:t>
            </w:r>
          </w:p>
        </w:tc>
      </w:tr>
      <w:tr w:rsidR="00A74C68" w:rsidRPr="00A74C68" w14:paraId="3D02A288" w14:textId="77777777" w:rsidTr="00263F8A">
        <w:trPr>
          <w:divId w:val="282467830"/>
          <w:trHeight w:val="20"/>
        </w:trPr>
        <w:tc>
          <w:tcPr>
            <w:tcW w:w="418" w:type="pct"/>
            <w:tcBorders>
              <w:top w:val="nil"/>
              <w:left w:val="single" w:sz="4" w:space="0" w:color="auto"/>
              <w:bottom w:val="nil"/>
              <w:right w:val="nil"/>
            </w:tcBorders>
            <w:noWrap/>
            <w:hideMark/>
          </w:tcPr>
          <w:p w14:paraId="56FE207B" w14:textId="77777777" w:rsidR="00A74C68" w:rsidRPr="00A74C68" w:rsidRDefault="00A74C68" w:rsidP="00A74C68">
            <w:pPr>
              <w:rPr>
                <w:color w:val="000000"/>
                <w:sz w:val="14"/>
                <w:szCs w:val="14"/>
              </w:rPr>
            </w:pPr>
            <w:r w:rsidRPr="00A74C68">
              <w:rPr>
                <w:color w:val="000000"/>
                <w:sz w:val="14"/>
                <w:szCs w:val="14"/>
              </w:rPr>
              <w:t>11.1</w:t>
            </w:r>
          </w:p>
        </w:tc>
        <w:tc>
          <w:tcPr>
            <w:tcW w:w="2358" w:type="pct"/>
            <w:tcBorders>
              <w:top w:val="nil"/>
              <w:left w:val="nil"/>
              <w:bottom w:val="nil"/>
              <w:right w:val="nil"/>
            </w:tcBorders>
            <w:hideMark/>
          </w:tcPr>
          <w:p w14:paraId="6E30E67F" w14:textId="77777777" w:rsidR="00A74C68" w:rsidRPr="00A74C68" w:rsidRDefault="00A74C68" w:rsidP="00A74C68">
            <w:pPr>
              <w:rPr>
                <w:color w:val="000000"/>
                <w:sz w:val="14"/>
                <w:szCs w:val="14"/>
              </w:rPr>
            </w:pPr>
            <w:r w:rsidRPr="00A74C68">
              <w:rPr>
                <w:color w:val="000000"/>
                <w:sz w:val="14"/>
                <w:szCs w:val="14"/>
              </w:rPr>
              <w:t xml:space="preserve">Satış Amaçlı </w:t>
            </w:r>
          </w:p>
        </w:tc>
        <w:tc>
          <w:tcPr>
            <w:tcW w:w="509" w:type="pct"/>
            <w:tcBorders>
              <w:top w:val="nil"/>
              <w:left w:val="single" w:sz="4" w:space="0" w:color="auto"/>
              <w:bottom w:val="nil"/>
              <w:right w:val="single" w:sz="4" w:space="0" w:color="auto"/>
            </w:tcBorders>
            <w:vAlign w:val="bottom"/>
            <w:hideMark/>
          </w:tcPr>
          <w:p w14:paraId="650791D7" w14:textId="77777777" w:rsidR="00A74C68" w:rsidRPr="00A74C68" w:rsidRDefault="00A74C68" w:rsidP="00A74C68">
            <w:pPr>
              <w:jc w:val="center"/>
              <w:rPr>
                <w:color w:val="000000"/>
                <w:sz w:val="14"/>
                <w:szCs w:val="14"/>
                <w:lang w:eastAsia="tr-TR"/>
              </w:rPr>
            </w:pPr>
            <w:r w:rsidRPr="00A74C68">
              <w:rPr>
                <w:color w:val="000000"/>
                <w:sz w:val="14"/>
                <w:szCs w:val="14"/>
              </w:rPr>
              <w:t> </w:t>
            </w:r>
          </w:p>
        </w:tc>
        <w:tc>
          <w:tcPr>
            <w:tcW w:w="511" w:type="pct"/>
            <w:tcBorders>
              <w:top w:val="nil"/>
              <w:left w:val="nil"/>
              <w:bottom w:val="nil"/>
              <w:right w:val="nil"/>
            </w:tcBorders>
            <w:shd w:val="clear" w:color="000000" w:fill="FFFFFF"/>
            <w:vAlign w:val="bottom"/>
            <w:hideMark/>
          </w:tcPr>
          <w:p w14:paraId="6E72E11C" w14:textId="77777777" w:rsidR="00A74C68" w:rsidRPr="00A74C68" w:rsidRDefault="00A74C68" w:rsidP="00A74C68">
            <w:pPr>
              <w:jc w:val="right"/>
              <w:rPr>
                <w:color w:val="000000"/>
                <w:sz w:val="14"/>
                <w:szCs w:val="14"/>
              </w:rPr>
            </w:pPr>
            <w:r w:rsidRPr="00A74C68">
              <w:rPr>
                <w:color w:val="000000"/>
                <w:sz w:val="14"/>
                <w:szCs w:val="14"/>
              </w:rPr>
              <w:t>-</w:t>
            </w:r>
          </w:p>
        </w:tc>
        <w:tc>
          <w:tcPr>
            <w:tcW w:w="557" w:type="pct"/>
            <w:tcBorders>
              <w:top w:val="nil"/>
              <w:left w:val="single" w:sz="4" w:space="0" w:color="auto"/>
              <w:bottom w:val="nil"/>
              <w:right w:val="single" w:sz="4" w:space="0" w:color="auto"/>
            </w:tcBorders>
            <w:shd w:val="clear" w:color="000000" w:fill="FFFFFF"/>
            <w:vAlign w:val="bottom"/>
            <w:hideMark/>
          </w:tcPr>
          <w:p w14:paraId="4832E09D" w14:textId="77777777" w:rsidR="00A74C68" w:rsidRPr="00A74C68" w:rsidRDefault="00A74C68" w:rsidP="00A74C68">
            <w:pPr>
              <w:jc w:val="right"/>
              <w:rPr>
                <w:color w:val="000000"/>
                <w:sz w:val="14"/>
                <w:szCs w:val="14"/>
              </w:rPr>
            </w:pPr>
            <w:r w:rsidRPr="00A74C68">
              <w:rPr>
                <w:color w:val="000000"/>
                <w:sz w:val="14"/>
                <w:szCs w:val="14"/>
              </w:rPr>
              <w:t>-</w:t>
            </w:r>
          </w:p>
        </w:tc>
        <w:tc>
          <w:tcPr>
            <w:tcW w:w="648" w:type="pct"/>
            <w:tcBorders>
              <w:top w:val="nil"/>
              <w:left w:val="nil"/>
              <w:bottom w:val="nil"/>
              <w:right w:val="single" w:sz="4" w:space="0" w:color="auto"/>
            </w:tcBorders>
            <w:shd w:val="clear" w:color="000000" w:fill="FFFFFF"/>
            <w:vAlign w:val="bottom"/>
            <w:hideMark/>
          </w:tcPr>
          <w:p w14:paraId="62DFC12C" w14:textId="77777777" w:rsidR="00A74C68" w:rsidRPr="00A74C68" w:rsidRDefault="00A74C68" w:rsidP="00A74C68">
            <w:pPr>
              <w:jc w:val="right"/>
              <w:rPr>
                <w:color w:val="000000"/>
                <w:sz w:val="14"/>
                <w:szCs w:val="14"/>
              </w:rPr>
            </w:pPr>
            <w:r w:rsidRPr="00A74C68">
              <w:rPr>
                <w:color w:val="000000"/>
                <w:sz w:val="14"/>
                <w:szCs w:val="14"/>
              </w:rPr>
              <w:t>-</w:t>
            </w:r>
          </w:p>
        </w:tc>
      </w:tr>
      <w:tr w:rsidR="00A74C68" w:rsidRPr="00A74C68" w14:paraId="76D3A87D" w14:textId="77777777" w:rsidTr="00263F8A">
        <w:trPr>
          <w:divId w:val="282467830"/>
          <w:trHeight w:val="20"/>
        </w:trPr>
        <w:tc>
          <w:tcPr>
            <w:tcW w:w="418" w:type="pct"/>
            <w:tcBorders>
              <w:top w:val="nil"/>
              <w:left w:val="single" w:sz="4" w:space="0" w:color="auto"/>
              <w:bottom w:val="nil"/>
              <w:right w:val="nil"/>
            </w:tcBorders>
            <w:noWrap/>
            <w:hideMark/>
          </w:tcPr>
          <w:p w14:paraId="29220450" w14:textId="77777777" w:rsidR="00A74C68" w:rsidRPr="00A74C68" w:rsidRDefault="00A74C68" w:rsidP="00A74C68">
            <w:pPr>
              <w:rPr>
                <w:color w:val="000000"/>
                <w:sz w:val="14"/>
                <w:szCs w:val="14"/>
              </w:rPr>
            </w:pPr>
            <w:r w:rsidRPr="00A74C68">
              <w:rPr>
                <w:color w:val="000000"/>
                <w:sz w:val="14"/>
                <w:szCs w:val="14"/>
              </w:rPr>
              <w:t>11.2</w:t>
            </w:r>
          </w:p>
        </w:tc>
        <w:tc>
          <w:tcPr>
            <w:tcW w:w="2358" w:type="pct"/>
            <w:tcBorders>
              <w:top w:val="nil"/>
              <w:left w:val="nil"/>
              <w:bottom w:val="nil"/>
              <w:right w:val="nil"/>
            </w:tcBorders>
            <w:hideMark/>
          </w:tcPr>
          <w:p w14:paraId="190C40CA" w14:textId="77777777" w:rsidR="00A74C68" w:rsidRPr="00A74C68" w:rsidRDefault="00A74C68" w:rsidP="00A74C68">
            <w:pPr>
              <w:rPr>
                <w:color w:val="000000"/>
                <w:sz w:val="14"/>
                <w:szCs w:val="14"/>
                <w:lang w:eastAsia="tr-TR"/>
              </w:rPr>
            </w:pPr>
            <w:r w:rsidRPr="00A74C68">
              <w:rPr>
                <w:color w:val="000000"/>
                <w:sz w:val="14"/>
                <w:szCs w:val="14"/>
              </w:rPr>
              <w:t>Durdurulan Faaliyetlere İlişkin</w:t>
            </w:r>
          </w:p>
        </w:tc>
        <w:tc>
          <w:tcPr>
            <w:tcW w:w="509" w:type="pct"/>
            <w:tcBorders>
              <w:top w:val="nil"/>
              <w:left w:val="single" w:sz="4" w:space="0" w:color="auto"/>
              <w:bottom w:val="nil"/>
              <w:right w:val="single" w:sz="4" w:space="0" w:color="auto"/>
            </w:tcBorders>
            <w:vAlign w:val="bottom"/>
            <w:hideMark/>
          </w:tcPr>
          <w:p w14:paraId="061E430D" w14:textId="77777777" w:rsidR="00A74C68" w:rsidRPr="00A74C68" w:rsidRDefault="00A74C68" w:rsidP="00A74C68">
            <w:pPr>
              <w:jc w:val="center"/>
              <w:rPr>
                <w:color w:val="000000"/>
                <w:sz w:val="14"/>
                <w:szCs w:val="14"/>
                <w:lang w:eastAsia="tr-TR"/>
              </w:rPr>
            </w:pPr>
            <w:r w:rsidRPr="00A74C68">
              <w:rPr>
                <w:color w:val="000000"/>
                <w:sz w:val="14"/>
                <w:szCs w:val="14"/>
              </w:rPr>
              <w:t> </w:t>
            </w:r>
          </w:p>
        </w:tc>
        <w:tc>
          <w:tcPr>
            <w:tcW w:w="511" w:type="pct"/>
            <w:tcBorders>
              <w:top w:val="nil"/>
              <w:left w:val="nil"/>
              <w:bottom w:val="nil"/>
              <w:right w:val="nil"/>
            </w:tcBorders>
            <w:shd w:val="clear" w:color="000000" w:fill="FFFFFF"/>
            <w:vAlign w:val="bottom"/>
            <w:hideMark/>
          </w:tcPr>
          <w:p w14:paraId="51FF1001" w14:textId="77777777" w:rsidR="00A74C68" w:rsidRPr="00A74C68" w:rsidRDefault="00A74C68" w:rsidP="00A74C68">
            <w:pPr>
              <w:jc w:val="right"/>
              <w:rPr>
                <w:color w:val="000000"/>
                <w:sz w:val="14"/>
                <w:szCs w:val="14"/>
              </w:rPr>
            </w:pPr>
            <w:r w:rsidRPr="00A74C68">
              <w:rPr>
                <w:color w:val="000000"/>
                <w:sz w:val="14"/>
                <w:szCs w:val="14"/>
              </w:rPr>
              <w:t>-</w:t>
            </w:r>
          </w:p>
        </w:tc>
        <w:tc>
          <w:tcPr>
            <w:tcW w:w="557" w:type="pct"/>
            <w:tcBorders>
              <w:top w:val="nil"/>
              <w:left w:val="single" w:sz="4" w:space="0" w:color="auto"/>
              <w:bottom w:val="nil"/>
              <w:right w:val="single" w:sz="4" w:space="0" w:color="auto"/>
            </w:tcBorders>
            <w:shd w:val="clear" w:color="000000" w:fill="FFFFFF"/>
            <w:vAlign w:val="bottom"/>
            <w:hideMark/>
          </w:tcPr>
          <w:p w14:paraId="4115DEBD" w14:textId="77777777" w:rsidR="00A74C68" w:rsidRPr="00A74C68" w:rsidRDefault="00A74C68" w:rsidP="00A74C68">
            <w:pPr>
              <w:jc w:val="right"/>
              <w:rPr>
                <w:color w:val="000000"/>
                <w:sz w:val="14"/>
                <w:szCs w:val="14"/>
              </w:rPr>
            </w:pPr>
            <w:r w:rsidRPr="00A74C68">
              <w:rPr>
                <w:color w:val="000000"/>
                <w:sz w:val="14"/>
                <w:szCs w:val="14"/>
              </w:rPr>
              <w:t>-</w:t>
            </w:r>
          </w:p>
        </w:tc>
        <w:tc>
          <w:tcPr>
            <w:tcW w:w="648" w:type="pct"/>
            <w:tcBorders>
              <w:top w:val="nil"/>
              <w:left w:val="nil"/>
              <w:bottom w:val="nil"/>
              <w:right w:val="single" w:sz="4" w:space="0" w:color="auto"/>
            </w:tcBorders>
            <w:shd w:val="clear" w:color="000000" w:fill="FFFFFF"/>
            <w:vAlign w:val="bottom"/>
            <w:hideMark/>
          </w:tcPr>
          <w:p w14:paraId="7F0ED378" w14:textId="77777777" w:rsidR="00A74C68" w:rsidRPr="00A74C68" w:rsidRDefault="00A74C68" w:rsidP="00A74C68">
            <w:pPr>
              <w:jc w:val="right"/>
              <w:rPr>
                <w:color w:val="000000"/>
                <w:sz w:val="14"/>
                <w:szCs w:val="14"/>
              </w:rPr>
            </w:pPr>
            <w:r w:rsidRPr="00A74C68">
              <w:rPr>
                <w:color w:val="000000"/>
                <w:sz w:val="14"/>
                <w:szCs w:val="14"/>
              </w:rPr>
              <w:t>-</w:t>
            </w:r>
          </w:p>
        </w:tc>
      </w:tr>
      <w:tr w:rsidR="00A74C68" w:rsidRPr="00A74C68" w14:paraId="06ABD55C" w14:textId="77777777" w:rsidTr="00263F8A">
        <w:trPr>
          <w:divId w:val="282467830"/>
          <w:trHeight w:val="20"/>
        </w:trPr>
        <w:tc>
          <w:tcPr>
            <w:tcW w:w="418" w:type="pct"/>
            <w:tcBorders>
              <w:top w:val="nil"/>
              <w:left w:val="single" w:sz="4" w:space="0" w:color="auto"/>
              <w:bottom w:val="nil"/>
              <w:right w:val="nil"/>
            </w:tcBorders>
            <w:noWrap/>
            <w:hideMark/>
          </w:tcPr>
          <w:p w14:paraId="30F3B407" w14:textId="77777777" w:rsidR="00A74C68" w:rsidRPr="00A74C68" w:rsidRDefault="00A74C68" w:rsidP="00A74C68">
            <w:pPr>
              <w:rPr>
                <w:b/>
                <w:bCs/>
                <w:color w:val="000000"/>
                <w:sz w:val="14"/>
                <w:szCs w:val="14"/>
                <w:lang w:eastAsia="tr-TR"/>
              </w:rPr>
            </w:pPr>
            <w:r w:rsidRPr="00A74C68">
              <w:rPr>
                <w:b/>
                <w:bCs/>
                <w:color w:val="000000"/>
                <w:sz w:val="14"/>
                <w:szCs w:val="14"/>
              </w:rPr>
              <w:t>XII.</w:t>
            </w:r>
          </w:p>
        </w:tc>
        <w:tc>
          <w:tcPr>
            <w:tcW w:w="2358" w:type="pct"/>
            <w:tcBorders>
              <w:top w:val="nil"/>
              <w:left w:val="nil"/>
              <w:bottom w:val="nil"/>
              <w:right w:val="nil"/>
            </w:tcBorders>
            <w:hideMark/>
          </w:tcPr>
          <w:p w14:paraId="104E4AAF" w14:textId="77777777" w:rsidR="00A74C68" w:rsidRPr="00A74C68" w:rsidRDefault="00A74C68" w:rsidP="00A74C68">
            <w:pPr>
              <w:rPr>
                <w:b/>
                <w:bCs/>
                <w:color w:val="000000"/>
                <w:sz w:val="14"/>
                <w:szCs w:val="14"/>
                <w:lang w:eastAsia="tr-TR"/>
              </w:rPr>
            </w:pPr>
            <w:r w:rsidRPr="00A74C68">
              <w:rPr>
                <w:b/>
                <w:bCs/>
                <w:color w:val="000000"/>
                <w:sz w:val="14"/>
                <w:szCs w:val="14"/>
              </w:rPr>
              <w:t xml:space="preserve">SERMAYE BENZERİ BORÇLANMA </w:t>
            </w:r>
            <w:r w:rsidRPr="00A74C68">
              <w:rPr>
                <w:b/>
                <w:bCs/>
                <w:color w:val="000000"/>
                <w:sz w:val="14"/>
                <w:szCs w:val="14"/>
                <w:lang w:eastAsia="tr-TR"/>
              </w:rPr>
              <w:t>ARAÇLARI</w:t>
            </w:r>
          </w:p>
        </w:tc>
        <w:tc>
          <w:tcPr>
            <w:tcW w:w="509" w:type="pct"/>
            <w:tcBorders>
              <w:top w:val="nil"/>
              <w:left w:val="single" w:sz="4" w:space="0" w:color="auto"/>
              <w:bottom w:val="nil"/>
              <w:right w:val="single" w:sz="4" w:space="0" w:color="auto"/>
            </w:tcBorders>
            <w:vAlign w:val="bottom"/>
            <w:hideMark/>
          </w:tcPr>
          <w:p w14:paraId="2693E2C2" w14:textId="114B29AF" w:rsidR="00A74C68" w:rsidRPr="00A74C68" w:rsidRDefault="00A74C68" w:rsidP="00A74C68">
            <w:pPr>
              <w:jc w:val="center"/>
              <w:rPr>
                <w:b/>
                <w:bCs/>
                <w:color w:val="000000"/>
                <w:sz w:val="14"/>
                <w:szCs w:val="14"/>
                <w:lang w:eastAsia="tr-TR"/>
              </w:rPr>
            </w:pPr>
          </w:p>
        </w:tc>
        <w:tc>
          <w:tcPr>
            <w:tcW w:w="511" w:type="pct"/>
            <w:tcBorders>
              <w:top w:val="nil"/>
              <w:left w:val="nil"/>
              <w:bottom w:val="nil"/>
              <w:right w:val="nil"/>
            </w:tcBorders>
            <w:shd w:val="clear" w:color="000000" w:fill="FFFFFF"/>
            <w:vAlign w:val="bottom"/>
            <w:hideMark/>
          </w:tcPr>
          <w:p w14:paraId="126EF563" w14:textId="77777777" w:rsidR="00A74C68" w:rsidRPr="00A74C68" w:rsidRDefault="00A74C68" w:rsidP="00A74C68">
            <w:pPr>
              <w:jc w:val="right"/>
              <w:rPr>
                <w:b/>
                <w:bCs/>
                <w:color w:val="000000"/>
                <w:sz w:val="14"/>
                <w:szCs w:val="14"/>
              </w:rPr>
            </w:pPr>
            <w:r w:rsidRPr="00A74C68">
              <w:rPr>
                <w:b/>
                <w:bCs/>
                <w:color w:val="000000"/>
                <w:sz w:val="14"/>
                <w:szCs w:val="14"/>
              </w:rPr>
              <w:t>-</w:t>
            </w:r>
          </w:p>
        </w:tc>
        <w:tc>
          <w:tcPr>
            <w:tcW w:w="557" w:type="pct"/>
            <w:tcBorders>
              <w:top w:val="nil"/>
              <w:left w:val="single" w:sz="4" w:space="0" w:color="auto"/>
              <w:bottom w:val="nil"/>
              <w:right w:val="single" w:sz="4" w:space="0" w:color="auto"/>
            </w:tcBorders>
            <w:shd w:val="clear" w:color="000000" w:fill="FFFFFF"/>
            <w:vAlign w:val="bottom"/>
            <w:hideMark/>
          </w:tcPr>
          <w:p w14:paraId="45C88053" w14:textId="77777777" w:rsidR="00A74C68" w:rsidRPr="00A74C68" w:rsidRDefault="00A74C68" w:rsidP="00A74C68">
            <w:pPr>
              <w:jc w:val="right"/>
              <w:rPr>
                <w:b/>
                <w:bCs/>
                <w:color w:val="000000"/>
                <w:sz w:val="14"/>
                <w:szCs w:val="14"/>
              </w:rPr>
            </w:pPr>
            <w:r w:rsidRPr="00A74C68">
              <w:rPr>
                <w:b/>
                <w:bCs/>
                <w:color w:val="000000"/>
                <w:sz w:val="14"/>
                <w:szCs w:val="14"/>
              </w:rPr>
              <w:t>-</w:t>
            </w:r>
          </w:p>
        </w:tc>
        <w:tc>
          <w:tcPr>
            <w:tcW w:w="648" w:type="pct"/>
            <w:tcBorders>
              <w:top w:val="nil"/>
              <w:left w:val="nil"/>
              <w:bottom w:val="nil"/>
              <w:right w:val="single" w:sz="4" w:space="0" w:color="auto"/>
            </w:tcBorders>
            <w:shd w:val="clear" w:color="000000" w:fill="FFFFFF"/>
            <w:vAlign w:val="bottom"/>
            <w:hideMark/>
          </w:tcPr>
          <w:p w14:paraId="37EFD42F" w14:textId="77777777" w:rsidR="00A74C68" w:rsidRPr="00A74C68" w:rsidRDefault="00A74C68" w:rsidP="00A74C68">
            <w:pPr>
              <w:jc w:val="right"/>
              <w:rPr>
                <w:b/>
                <w:bCs/>
                <w:color w:val="000000"/>
                <w:sz w:val="14"/>
                <w:szCs w:val="14"/>
              </w:rPr>
            </w:pPr>
            <w:r w:rsidRPr="00A74C68">
              <w:rPr>
                <w:b/>
                <w:bCs/>
                <w:color w:val="000000"/>
                <w:sz w:val="14"/>
                <w:szCs w:val="14"/>
              </w:rPr>
              <w:t>-</w:t>
            </w:r>
          </w:p>
        </w:tc>
      </w:tr>
      <w:tr w:rsidR="00A74C68" w:rsidRPr="00A74C68" w14:paraId="5AF2118A" w14:textId="77777777" w:rsidTr="00263F8A">
        <w:trPr>
          <w:divId w:val="282467830"/>
          <w:trHeight w:val="20"/>
        </w:trPr>
        <w:tc>
          <w:tcPr>
            <w:tcW w:w="418" w:type="pct"/>
            <w:tcBorders>
              <w:top w:val="nil"/>
              <w:left w:val="single" w:sz="4" w:space="0" w:color="auto"/>
              <w:bottom w:val="nil"/>
              <w:right w:val="nil"/>
            </w:tcBorders>
            <w:noWrap/>
            <w:hideMark/>
          </w:tcPr>
          <w:p w14:paraId="0924EC70" w14:textId="77777777" w:rsidR="00A74C68" w:rsidRPr="00A74C68" w:rsidRDefault="00A74C68" w:rsidP="00A74C68">
            <w:pPr>
              <w:rPr>
                <w:color w:val="000000"/>
                <w:sz w:val="14"/>
                <w:szCs w:val="14"/>
              </w:rPr>
            </w:pPr>
            <w:r w:rsidRPr="00A74C68">
              <w:rPr>
                <w:color w:val="000000"/>
                <w:sz w:val="14"/>
                <w:szCs w:val="14"/>
              </w:rPr>
              <w:t>12.1</w:t>
            </w:r>
          </w:p>
        </w:tc>
        <w:tc>
          <w:tcPr>
            <w:tcW w:w="2358" w:type="pct"/>
            <w:tcBorders>
              <w:top w:val="nil"/>
              <w:left w:val="nil"/>
              <w:bottom w:val="nil"/>
              <w:right w:val="nil"/>
            </w:tcBorders>
            <w:hideMark/>
          </w:tcPr>
          <w:p w14:paraId="688F3923" w14:textId="77777777" w:rsidR="00A74C68" w:rsidRPr="00A74C68" w:rsidRDefault="00A74C68" w:rsidP="00A74C68">
            <w:pPr>
              <w:rPr>
                <w:color w:val="000000"/>
                <w:sz w:val="14"/>
                <w:szCs w:val="14"/>
              </w:rPr>
            </w:pPr>
            <w:r w:rsidRPr="00A74C68">
              <w:rPr>
                <w:color w:val="000000"/>
                <w:sz w:val="14"/>
                <w:szCs w:val="14"/>
              </w:rPr>
              <w:t>Krediler</w:t>
            </w:r>
          </w:p>
        </w:tc>
        <w:tc>
          <w:tcPr>
            <w:tcW w:w="509" w:type="pct"/>
            <w:tcBorders>
              <w:top w:val="nil"/>
              <w:left w:val="single" w:sz="4" w:space="0" w:color="auto"/>
              <w:bottom w:val="nil"/>
              <w:right w:val="single" w:sz="4" w:space="0" w:color="auto"/>
            </w:tcBorders>
            <w:vAlign w:val="bottom"/>
            <w:hideMark/>
          </w:tcPr>
          <w:p w14:paraId="598FD33F" w14:textId="77777777" w:rsidR="00A74C68" w:rsidRPr="00A74C68" w:rsidRDefault="00A74C68" w:rsidP="00A74C68">
            <w:pPr>
              <w:jc w:val="center"/>
              <w:rPr>
                <w:color w:val="000000"/>
                <w:sz w:val="14"/>
                <w:szCs w:val="14"/>
              </w:rPr>
            </w:pPr>
            <w:r w:rsidRPr="00A74C68">
              <w:rPr>
                <w:color w:val="000000"/>
                <w:sz w:val="14"/>
                <w:szCs w:val="14"/>
              </w:rPr>
              <w:t> </w:t>
            </w:r>
          </w:p>
        </w:tc>
        <w:tc>
          <w:tcPr>
            <w:tcW w:w="511" w:type="pct"/>
            <w:tcBorders>
              <w:top w:val="nil"/>
              <w:left w:val="nil"/>
              <w:bottom w:val="nil"/>
              <w:right w:val="nil"/>
            </w:tcBorders>
            <w:shd w:val="clear" w:color="000000" w:fill="FFFFFF"/>
            <w:vAlign w:val="bottom"/>
            <w:hideMark/>
          </w:tcPr>
          <w:p w14:paraId="7DA8086D" w14:textId="77777777" w:rsidR="00A74C68" w:rsidRPr="00A74C68" w:rsidRDefault="00A74C68" w:rsidP="00A74C68">
            <w:pPr>
              <w:jc w:val="right"/>
              <w:rPr>
                <w:color w:val="000000"/>
                <w:sz w:val="14"/>
                <w:szCs w:val="14"/>
              </w:rPr>
            </w:pPr>
            <w:r w:rsidRPr="00A74C68">
              <w:rPr>
                <w:color w:val="000000"/>
                <w:sz w:val="14"/>
                <w:szCs w:val="14"/>
              </w:rPr>
              <w:t>-</w:t>
            </w:r>
          </w:p>
        </w:tc>
        <w:tc>
          <w:tcPr>
            <w:tcW w:w="557" w:type="pct"/>
            <w:tcBorders>
              <w:top w:val="nil"/>
              <w:left w:val="single" w:sz="4" w:space="0" w:color="auto"/>
              <w:bottom w:val="nil"/>
              <w:right w:val="single" w:sz="4" w:space="0" w:color="auto"/>
            </w:tcBorders>
            <w:shd w:val="clear" w:color="000000" w:fill="FFFFFF"/>
            <w:vAlign w:val="bottom"/>
            <w:hideMark/>
          </w:tcPr>
          <w:p w14:paraId="3258370F" w14:textId="77777777" w:rsidR="00A74C68" w:rsidRPr="00A74C68" w:rsidRDefault="00A74C68" w:rsidP="00A74C68">
            <w:pPr>
              <w:jc w:val="right"/>
              <w:rPr>
                <w:color w:val="000000"/>
                <w:sz w:val="14"/>
                <w:szCs w:val="14"/>
              </w:rPr>
            </w:pPr>
            <w:r w:rsidRPr="00A74C68">
              <w:rPr>
                <w:color w:val="000000"/>
                <w:sz w:val="14"/>
                <w:szCs w:val="14"/>
              </w:rPr>
              <w:t>-</w:t>
            </w:r>
          </w:p>
        </w:tc>
        <w:tc>
          <w:tcPr>
            <w:tcW w:w="648" w:type="pct"/>
            <w:tcBorders>
              <w:top w:val="nil"/>
              <w:left w:val="nil"/>
              <w:bottom w:val="nil"/>
              <w:right w:val="single" w:sz="4" w:space="0" w:color="auto"/>
            </w:tcBorders>
            <w:shd w:val="clear" w:color="000000" w:fill="FFFFFF"/>
            <w:vAlign w:val="bottom"/>
            <w:hideMark/>
          </w:tcPr>
          <w:p w14:paraId="7D44FEDB" w14:textId="77777777" w:rsidR="00A74C68" w:rsidRPr="00A74C68" w:rsidRDefault="00A74C68" w:rsidP="00A74C68">
            <w:pPr>
              <w:jc w:val="right"/>
              <w:rPr>
                <w:color w:val="000000"/>
                <w:sz w:val="14"/>
                <w:szCs w:val="14"/>
              </w:rPr>
            </w:pPr>
            <w:r w:rsidRPr="00A74C68">
              <w:rPr>
                <w:color w:val="000000"/>
                <w:sz w:val="14"/>
                <w:szCs w:val="14"/>
              </w:rPr>
              <w:t>-</w:t>
            </w:r>
          </w:p>
        </w:tc>
      </w:tr>
      <w:tr w:rsidR="00A74C68" w:rsidRPr="00A74C68" w14:paraId="4B8C3CC9" w14:textId="77777777" w:rsidTr="00263F8A">
        <w:trPr>
          <w:divId w:val="282467830"/>
          <w:trHeight w:val="20"/>
        </w:trPr>
        <w:tc>
          <w:tcPr>
            <w:tcW w:w="418" w:type="pct"/>
            <w:tcBorders>
              <w:top w:val="nil"/>
              <w:left w:val="single" w:sz="4" w:space="0" w:color="auto"/>
              <w:bottom w:val="nil"/>
              <w:right w:val="nil"/>
            </w:tcBorders>
            <w:noWrap/>
            <w:hideMark/>
          </w:tcPr>
          <w:p w14:paraId="1397D040" w14:textId="77777777" w:rsidR="00A74C68" w:rsidRPr="00A74C68" w:rsidRDefault="00A74C68" w:rsidP="00A74C68">
            <w:pPr>
              <w:rPr>
                <w:color w:val="000000"/>
                <w:sz w:val="14"/>
                <w:szCs w:val="14"/>
              </w:rPr>
            </w:pPr>
            <w:r w:rsidRPr="00A74C68">
              <w:rPr>
                <w:color w:val="000000"/>
                <w:sz w:val="14"/>
                <w:szCs w:val="14"/>
              </w:rPr>
              <w:t>12.2</w:t>
            </w:r>
          </w:p>
        </w:tc>
        <w:tc>
          <w:tcPr>
            <w:tcW w:w="2358" w:type="pct"/>
            <w:tcBorders>
              <w:top w:val="nil"/>
              <w:left w:val="nil"/>
              <w:bottom w:val="nil"/>
              <w:right w:val="nil"/>
            </w:tcBorders>
            <w:hideMark/>
          </w:tcPr>
          <w:p w14:paraId="421CD70E" w14:textId="77777777" w:rsidR="00A74C68" w:rsidRPr="00A74C68" w:rsidRDefault="00A74C68" w:rsidP="00A74C68">
            <w:pPr>
              <w:rPr>
                <w:color w:val="000000"/>
                <w:sz w:val="14"/>
                <w:szCs w:val="14"/>
                <w:lang w:eastAsia="tr-TR"/>
              </w:rPr>
            </w:pPr>
            <w:r w:rsidRPr="00A74C68">
              <w:rPr>
                <w:color w:val="000000"/>
                <w:sz w:val="14"/>
                <w:szCs w:val="14"/>
              </w:rPr>
              <w:t xml:space="preserve">Diğer </w:t>
            </w:r>
            <w:r w:rsidRPr="00A74C68">
              <w:rPr>
                <w:color w:val="000000"/>
                <w:sz w:val="14"/>
                <w:szCs w:val="14"/>
                <w:lang w:eastAsia="tr-TR"/>
              </w:rPr>
              <w:t>Borçlanma Araçları</w:t>
            </w:r>
          </w:p>
        </w:tc>
        <w:tc>
          <w:tcPr>
            <w:tcW w:w="509" w:type="pct"/>
            <w:tcBorders>
              <w:top w:val="nil"/>
              <w:left w:val="single" w:sz="4" w:space="0" w:color="auto"/>
              <w:bottom w:val="nil"/>
              <w:right w:val="single" w:sz="4" w:space="0" w:color="auto"/>
            </w:tcBorders>
            <w:vAlign w:val="bottom"/>
            <w:hideMark/>
          </w:tcPr>
          <w:p w14:paraId="67730994" w14:textId="77777777" w:rsidR="00A74C68" w:rsidRPr="00A74C68" w:rsidRDefault="00A74C68" w:rsidP="00A74C68">
            <w:pPr>
              <w:jc w:val="center"/>
              <w:rPr>
                <w:color w:val="000000"/>
                <w:sz w:val="14"/>
                <w:szCs w:val="14"/>
                <w:lang w:eastAsia="tr-TR"/>
              </w:rPr>
            </w:pPr>
            <w:r w:rsidRPr="00A74C68">
              <w:rPr>
                <w:color w:val="000000"/>
                <w:sz w:val="14"/>
                <w:szCs w:val="14"/>
              </w:rPr>
              <w:t> </w:t>
            </w:r>
          </w:p>
        </w:tc>
        <w:tc>
          <w:tcPr>
            <w:tcW w:w="511" w:type="pct"/>
            <w:tcBorders>
              <w:top w:val="nil"/>
              <w:left w:val="nil"/>
              <w:bottom w:val="nil"/>
              <w:right w:val="nil"/>
            </w:tcBorders>
            <w:shd w:val="clear" w:color="000000" w:fill="FFFFFF"/>
            <w:vAlign w:val="bottom"/>
            <w:hideMark/>
          </w:tcPr>
          <w:p w14:paraId="43435645" w14:textId="77777777" w:rsidR="00A74C68" w:rsidRPr="00A74C68" w:rsidRDefault="00A74C68" w:rsidP="00A74C68">
            <w:pPr>
              <w:jc w:val="right"/>
              <w:rPr>
                <w:color w:val="000000"/>
                <w:sz w:val="14"/>
                <w:szCs w:val="14"/>
              </w:rPr>
            </w:pPr>
            <w:r w:rsidRPr="00A74C68">
              <w:rPr>
                <w:color w:val="000000"/>
                <w:sz w:val="14"/>
                <w:szCs w:val="14"/>
              </w:rPr>
              <w:t>-</w:t>
            </w:r>
          </w:p>
        </w:tc>
        <w:tc>
          <w:tcPr>
            <w:tcW w:w="557" w:type="pct"/>
            <w:tcBorders>
              <w:top w:val="nil"/>
              <w:left w:val="single" w:sz="4" w:space="0" w:color="auto"/>
              <w:bottom w:val="nil"/>
              <w:right w:val="single" w:sz="4" w:space="0" w:color="auto"/>
            </w:tcBorders>
            <w:shd w:val="clear" w:color="000000" w:fill="FFFFFF"/>
            <w:vAlign w:val="bottom"/>
            <w:hideMark/>
          </w:tcPr>
          <w:p w14:paraId="0951774D" w14:textId="77777777" w:rsidR="00A74C68" w:rsidRPr="00A74C68" w:rsidRDefault="00A74C68" w:rsidP="00A74C68">
            <w:pPr>
              <w:jc w:val="right"/>
              <w:rPr>
                <w:color w:val="000000"/>
                <w:sz w:val="14"/>
                <w:szCs w:val="14"/>
              </w:rPr>
            </w:pPr>
            <w:r w:rsidRPr="00A74C68">
              <w:rPr>
                <w:color w:val="000000"/>
                <w:sz w:val="14"/>
                <w:szCs w:val="14"/>
              </w:rPr>
              <w:t>-</w:t>
            </w:r>
          </w:p>
        </w:tc>
        <w:tc>
          <w:tcPr>
            <w:tcW w:w="648" w:type="pct"/>
            <w:tcBorders>
              <w:top w:val="nil"/>
              <w:left w:val="nil"/>
              <w:bottom w:val="nil"/>
              <w:right w:val="single" w:sz="4" w:space="0" w:color="auto"/>
            </w:tcBorders>
            <w:shd w:val="clear" w:color="000000" w:fill="FFFFFF"/>
            <w:vAlign w:val="bottom"/>
            <w:hideMark/>
          </w:tcPr>
          <w:p w14:paraId="155A7D79" w14:textId="77777777" w:rsidR="00A74C68" w:rsidRPr="00A74C68" w:rsidRDefault="00A74C68" w:rsidP="00A74C68">
            <w:pPr>
              <w:jc w:val="right"/>
              <w:rPr>
                <w:color w:val="000000"/>
                <w:sz w:val="14"/>
                <w:szCs w:val="14"/>
              </w:rPr>
            </w:pPr>
            <w:r w:rsidRPr="00A74C68">
              <w:rPr>
                <w:color w:val="000000"/>
                <w:sz w:val="14"/>
                <w:szCs w:val="14"/>
              </w:rPr>
              <w:t>-</w:t>
            </w:r>
          </w:p>
        </w:tc>
      </w:tr>
      <w:tr w:rsidR="00A74C68" w:rsidRPr="00A74C68" w14:paraId="6575519B" w14:textId="77777777" w:rsidTr="00263F8A">
        <w:trPr>
          <w:divId w:val="282467830"/>
          <w:trHeight w:val="20"/>
        </w:trPr>
        <w:tc>
          <w:tcPr>
            <w:tcW w:w="418" w:type="pct"/>
            <w:tcBorders>
              <w:top w:val="nil"/>
              <w:left w:val="single" w:sz="4" w:space="0" w:color="auto"/>
              <w:bottom w:val="nil"/>
              <w:right w:val="nil"/>
            </w:tcBorders>
            <w:noWrap/>
            <w:hideMark/>
          </w:tcPr>
          <w:p w14:paraId="5E04BCD7" w14:textId="77777777" w:rsidR="00A74C68" w:rsidRPr="00A74C68" w:rsidRDefault="00A74C68" w:rsidP="00A74C68">
            <w:pPr>
              <w:rPr>
                <w:b/>
                <w:bCs/>
                <w:color w:val="000000"/>
                <w:sz w:val="14"/>
                <w:szCs w:val="14"/>
                <w:lang w:eastAsia="tr-TR"/>
              </w:rPr>
            </w:pPr>
            <w:r w:rsidRPr="00A74C68">
              <w:rPr>
                <w:b/>
                <w:bCs/>
                <w:color w:val="000000"/>
                <w:sz w:val="14"/>
                <w:szCs w:val="14"/>
              </w:rPr>
              <w:t>XIII.</w:t>
            </w:r>
          </w:p>
        </w:tc>
        <w:tc>
          <w:tcPr>
            <w:tcW w:w="2358" w:type="pct"/>
            <w:tcBorders>
              <w:top w:val="nil"/>
              <w:left w:val="nil"/>
              <w:bottom w:val="nil"/>
              <w:right w:val="nil"/>
            </w:tcBorders>
            <w:hideMark/>
          </w:tcPr>
          <w:p w14:paraId="76CD6B6E" w14:textId="77777777" w:rsidR="00A74C68" w:rsidRPr="00A74C68" w:rsidRDefault="00A74C68" w:rsidP="00A74C68">
            <w:pPr>
              <w:rPr>
                <w:b/>
                <w:bCs/>
                <w:color w:val="000000"/>
                <w:sz w:val="14"/>
                <w:szCs w:val="14"/>
              </w:rPr>
            </w:pPr>
            <w:r w:rsidRPr="00A74C68">
              <w:rPr>
                <w:b/>
                <w:bCs/>
                <w:color w:val="000000"/>
                <w:sz w:val="14"/>
                <w:szCs w:val="14"/>
              </w:rPr>
              <w:t>DİĞER YÜKÜMLÜLÜKLER</w:t>
            </w:r>
          </w:p>
        </w:tc>
        <w:tc>
          <w:tcPr>
            <w:tcW w:w="509" w:type="pct"/>
            <w:tcBorders>
              <w:top w:val="nil"/>
              <w:left w:val="single" w:sz="4" w:space="0" w:color="auto"/>
              <w:bottom w:val="nil"/>
              <w:right w:val="single" w:sz="4" w:space="0" w:color="auto"/>
            </w:tcBorders>
            <w:vAlign w:val="bottom"/>
            <w:hideMark/>
          </w:tcPr>
          <w:p w14:paraId="419F474F" w14:textId="661E9920" w:rsidR="00A74C68" w:rsidRPr="00A74C68" w:rsidRDefault="00A74C68" w:rsidP="00A74C68">
            <w:pPr>
              <w:jc w:val="center"/>
              <w:rPr>
                <w:b/>
                <w:bCs/>
                <w:color w:val="000000"/>
                <w:sz w:val="14"/>
                <w:szCs w:val="14"/>
                <w:lang w:eastAsia="tr-TR"/>
              </w:rPr>
            </w:pPr>
            <w:r w:rsidRPr="00A74C68">
              <w:rPr>
                <w:b/>
                <w:bCs/>
                <w:color w:val="000000"/>
                <w:sz w:val="14"/>
                <w:szCs w:val="14"/>
              </w:rPr>
              <w:t>(</w:t>
            </w:r>
            <w:r w:rsidRPr="00A74C68">
              <w:rPr>
                <w:b/>
                <w:bCs/>
                <w:color w:val="000000"/>
                <w:sz w:val="14"/>
                <w:szCs w:val="14"/>
                <w:lang w:eastAsia="tr-TR"/>
              </w:rPr>
              <w:t>1</w:t>
            </w:r>
            <w:r w:rsidR="00F74751">
              <w:rPr>
                <w:b/>
                <w:bCs/>
                <w:color w:val="000000"/>
                <w:sz w:val="14"/>
                <w:szCs w:val="14"/>
                <w:lang w:eastAsia="tr-TR"/>
              </w:rPr>
              <w:t>1</w:t>
            </w:r>
            <w:r w:rsidRPr="00A74C68">
              <w:rPr>
                <w:b/>
                <w:bCs/>
                <w:color w:val="000000"/>
                <w:sz w:val="14"/>
                <w:szCs w:val="14"/>
                <w:lang w:eastAsia="tr-TR"/>
              </w:rPr>
              <w:t>)</w:t>
            </w:r>
          </w:p>
        </w:tc>
        <w:tc>
          <w:tcPr>
            <w:tcW w:w="511" w:type="pct"/>
            <w:tcBorders>
              <w:top w:val="nil"/>
              <w:left w:val="nil"/>
              <w:bottom w:val="nil"/>
              <w:right w:val="nil"/>
            </w:tcBorders>
            <w:shd w:val="clear" w:color="000000" w:fill="FFFFFF"/>
            <w:vAlign w:val="bottom"/>
            <w:hideMark/>
          </w:tcPr>
          <w:p w14:paraId="167F6E5B" w14:textId="77777777" w:rsidR="00A74C68" w:rsidRPr="00A74C68" w:rsidRDefault="00A74C68" w:rsidP="00A74C68">
            <w:pPr>
              <w:jc w:val="right"/>
              <w:rPr>
                <w:b/>
                <w:bCs/>
                <w:color w:val="000000"/>
                <w:sz w:val="14"/>
                <w:szCs w:val="14"/>
              </w:rPr>
            </w:pPr>
            <w:r w:rsidRPr="00A74C68">
              <w:rPr>
                <w:b/>
                <w:bCs/>
                <w:color w:val="000000"/>
                <w:sz w:val="14"/>
                <w:szCs w:val="14"/>
              </w:rPr>
              <w:t>464.178</w:t>
            </w:r>
          </w:p>
        </w:tc>
        <w:tc>
          <w:tcPr>
            <w:tcW w:w="557" w:type="pct"/>
            <w:tcBorders>
              <w:top w:val="nil"/>
              <w:left w:val="single" w:sz="4" w:space="0" w:color="auto"/>
              <w:bottom w:val="nil"/>
              <w:right w:val="single" w:sz="4" w:space="0" w:color="auto"/>
            </w:tcBorders>
            <w:shd w:val="clear" w:color="000000" w:fill="FFFFFF"/>
            <w:vAlign w:val="bottom"/>
            <w:hideMark/>
          </w:tcPr>
          <w:p w14:paraId="31B94591" w14:textId="77777777" w:rsidR="00A74C68" w:rsidRPr="00A74C68" w:rsidRDefault="00A74C68" w:rsidP="00A74C68">
            <w:pPr>
              <w:jc w:val="right"/>
              <w:rPr>
                <w:b/>
                <w:bCs/>
                <w:color w:val="000000"/>
                <w:sz w:val="14"/>
                <w:szCs w:val="14"/>
              </w:rPr>
            </w:pPr>
            <w:r w:rsidRPr="00A74C68">
              <w:rPr>
                <w:b/>
                <w:bCs/>
                <w:color w:val="000000"/>
                <w:sz w:val="14"/>
                <w:szCs w:val="14"/>
              </w:rPr>
              <w:t>5.163.762</w:t>
            </w:r>
          </w:p>
        </w:tc>
        <w:tc>
          <w:tcPr>
            <w:tcW w:w="648" w:type="pct"/>
            <w:tcBorders>
              <w:top w:val="nil"/>
              <w:left w:val="nil"/>
              <w:bottom w:val="nil"/>
              <w:right w:val="single" w:sz="4" w:space="0" w:color="auto"/>
            </w:tcBorders>
            <w:shd w:val="clear" w:color="000000" w:fill="FFFFFF"/>
            <w:vAlign w:val="bottom"/>
            <w:hideMark/>
          </w:tcPr>
          <w:p w14:paraId="2BAEA178" w14:textId="77777777" w:rsidR="00A74C68" w:rsidRPr="00A74C68" w:rsidRDefault="00A74C68" w:rsidP="00A74C68">
            <w:pPr>
              <w:jc w:val="right"/>
              <w:rPr>
                <w:b/>
                <w:bCs/>
                <w:color w:val="000000"/>
                <w:sz w:val="14"/>
                <w:szCs w:val="14"/>
              </w:rPr>
            </w:pPr>
            <w:r w:rsidRPr="00A74C68">
              <w:rPr>
                <w:b/>
                <w:bCs/>
                <w:color w:val="000000"/>
                <w:sz w:val="14"/>
                <w:szCs w:val="14"/>
              </w:rPr>
              <w:t>5.627.940</w:t>
            </w:r>
          </w:p>
        </w:tc>
      </w:tr>
      <w:tr w:rsidR="00A74C68" w:rsidRPr="00A74C68" w14:paraId="25D3C35C" w14:textId="77777777" w:rsidTr="00263F8A">
        <w:trPr>
          <w:divId w:val="282467830"/>
          <w:trHeight w:val="20"/>
        </w:trPr>
        <w:tc>
          <w:tcPr>
            <w:tcW w:w="418" w:type="pct"/>
            <w:tcBorders>
              <w:top w:val="nil"/>
              <w:left w:val="single" w:sz="4" w:space="0" w:color="auto"/>
              <w:bottom w:val="nil"/>
              <w:right w:val="nil"/>
            </w:tcBorders>
            <w:noWrap/>
            <w:hideMark/>
          </w:tcPr>
          <w:p w14:paraId="60C89F6B" w14:textId="77777777" w:rsidR="00A74C68" w:rsidRPr="00A74C68" w:rsidRDefault="00A74C68" w:rsidP="00A74C68">
            <w:pPr>
              <w:rPr>
                <w:b/>
                <w:bCs/>
                <w:color w:val="000000"/>
                <w:sz w:val="14"/>
                <w:szCs w:val="14"/>
              </w:rPr>
            </w:pPr>
            <w:r w:rsidRPr="00A74C68">
              <w:rPr>
                <w:b/>
                <w:bCs/>
                <w:color w:val="000000"/>
                <w:sz w:val="14"/>
                <w:szCs w:val="14"/>
              </w:rPr>
              <w:t>XIV.</w:t>
            </w:r>
          </w:p>
        </w:tc>
        <w:tc>
          <w:tcPr>
            <w:tcW w:w="2358" w:type="pct"/>
            <w:tcBorders>
              <w:top w:val="nil"/>
              <w:left w:val="nil"/>
              <w:bottom w:val="nil"/>
              <w:right w:val="nil"/>
            </w:tcBorders>
            <w:hideMark/>
          </w:tcPr>
          <w:p w14:paraId="0B98AC3B" w14:textId="77777777" w:rsidR="00A74C68" w:rsidRPr="00A74C68" w:rsidRDefault="00A74C68" w:rsidP="00A74C68">
            <w:pPr>
              <w:rPr>
                <w:b/>
                <w:bCs/>
                <w:color w:val="000000"/>
                <w:sz w:val="14"/>
                <w:szCs w:val="14"/>
              </w:rPr>
            </w:pPr>
            <w:r w:rsidRPr="00A74C68">
              <w:rPr>
                <w:b/>
                <w:bCs/>
                <w:color w:val="000000"/>
                <w:sz w:val="14"/>
                <w:szCs w:val="14"/>
              </w:rPr>
              <w:t>ÖZKAYNAKLAR</w:t>
            </w:r>
          </w:p>
        </w:tc>
        <w:tc>
          <w:tcPr>
            <w:tcW w:w="509" w:type="pct"/>
            <w:tcBorders>
              <w:top w:val="nil"/>
              <w:left w:val="single" w:sz="4" w:space="0" w:color="auto"/>
              <w:bottom w:val="nil"/>
              <w:right w:val="single" w:sz="4" w:space="0" w:color="auto"/>
            </w:tcBorders>
            <w:vAlign w:val="bottom"/>
            <w:hideMark/>
          </w:tcPr>
          <w:p w14:paraId="7B141D89" w14:textId="1610AD8A" w:rsidR="00A74C68" w:rsidRPr="00A74C68" w:rsidRDefault="00A74C68" w:rsidP="00A74C68">
            <w:pPr>
              <w:jc w:val="center"/>
              <w:rPr>
                <w:b/>
                <w:bCs/>
                <w:color w:val="000000"/>
                <w:sz w:val="14"/>
                <w:szCs w:val="14"/>
              </w:rPr>
            </w:pPr>
            <w:r w:rsidRPr="00A74C68">
              <w:rPr>
                <w:b/>
                <w:bCs/>
                <w:color w:val="000000"/>
                <w:sz w:val="14"/>
                <w:szCs w:val="14"/>
              </w:rPr>
              <w:t>(1</w:t>
            </w:r>
            <w:r w:rsidR="00F74751">
              <w:rPr>
                <w:b/>
                <w:bCs/>
                <w:color w:val="000000"/>
                <w:sz w:val="14"/>
                <w:szCs w:val="14"/>
              </w:rPr>
              <w:t>2</w:t>
            </w:r>
            <w:r w:rsidRPr="00A74C68">
              <w:rPr>
                <w:b/>
                <w:bCs/>
                <w:color w:val="000000"/>
                <w:sz w:val="14"/>
                <w:szCs w:val="14"/>
              </w:rPr>
              <w:t>)</w:t>
            </w:r>
          </w:p>
        </w:tc>
        <w:tc>
          <w:tcPr>
            <w:tcW w:w="511" w:type="pct"/>
            <w:tcBorders>
              <w:top w:val="nil"/>
              <w:left w:val="nil"/>
              <w:bottom w:val="nil"/>
              <w:right w:val="nil"/>
            </w:tcBorders>
            <w:shd w:val="clear" w:color="000000" w:fill="FFFFFF"/>
            <w:vAlign w:val="bottom"/>
            <w:hideMark/>
          </w:tcPr>
          <w:p w14:paraId="4DBE0342" w14:textId="77777777" w:rsidR="00A74C68" w:rsidRPr="00A74C68" w:rsidRDefault="00A74C68" w:rsidP="00A74C68">
            <w:pPr>
              <w:jc w:val="right"/>
              <w:rPr>
                <w:b/>
                <w:bCs/>
                <w:color w:val="000000"/>
                <w:sz w:val="14"/>
                <w:szCs w:val="14"/>
              </w:rPr>
            </w:pPr>
            <w:r w:rsidRPr="00A74C68">
              <w:rPr>
                <w:b/>
                <w:bCs/>
                <w:color w:val="000000"/>
                <w:sz w:val="14"/>
                <w:szCs w:val="14"/>
              </w:rPr>
              <w:t>9.455.782</w:t>
            </w:r>
          </w:p>
        </w:tc>
        <w:tc>
          <w:tcPr>
            <w:tcW w:w="557" w:type="pct"/>
            <w:tcBorders>
              <w:top w:val="nil"/>
              <w:left w:val="single" w:sz="4" w:space="0" w:color="auto"/>
              <w:bottom w:val="nil"/>
              <w:right w:val="single" w:sz="4" w:space="0" w:color="auto"/>
            </w:tcBorders>
            <w:shd w:val="clear" w:color="000000" w:fill="FFFFFF"/>
            <w:vAlign w:val="bottom"/>
            <w:hideMark/>
          </w:tcPr>
          <w:p w14:paraId="0D8FE9CD" w14:textId="77777777" w:rsidR="00A74C68" w:rsidRPr="00A74C68" w:rsidRDefault="00A74C68" w:rsidP="00A74C68">
            <w:pPr>
              <w:jc w:val="right"/>
              <w:rPr>
                <w:b/>
                <w:bCs/>
                <w:color w:val="000000"/>
                <w:sz w:val="14"/>
                <w:szCs w:val="14"/>
              </w:rPr>
            </w:pPr>
            <w:r w:rsidRPr="00A74C68">
              <w:rPr>
                <w:b/>
                <w:bCs/>
                <w:color w:val="000000"/>
                <w:sz w:val="14"/>
                <w:szCs w:val="14"/>
              </w:rPr>
              <w:t>17.646</w:t>
            </w:r>
          </w:p>
        </w:tc>
        <w:tc>
          <w:tcPr>
            <w:tcW w:w="648" w:type="pct"/>
            <w:tcBorders>
              <w:top w:val="nil"/>
              <w:left w:val="nil"/>
              <w:bottom w:val="nil"/>
              <w:right w:val="single" w:sz="4" w:space="0" w:color="auto"/>
            </w:tcBorders>
            <w:shd w:val="clear" w:color="000000" w:fill="FFFFFF"/>
            <w:vAlign w:val="bottom"/>
            <w:hideMark/>
          </w:tcPr>
          <w:p w14:paraId="65090362" w14:textId="77777777" w:rsidR="00A74C68" w:rsidRPr="00A74C68" w:rsidRDefault="00A74C68" w:rsidP="00A74C68">
            <w:pPr>
              <w:jc w:val="right"/>
              <w:rPr>
                <w:b/>
                <w:bCs/>
                <w:color w:val="000000"/>
                <w:sz w:val="14"/>
                <w:szCs w:val="14"/>
                <w:lang w:eastAsia="tr-TR"/>
              </w:rPr>
            </w:pPr>
            <w:r w:rsidRPr="00A74C68">
              <w:rPr>
                <w:b/>
                <w:bCs/>
                <w:color w:val="000000"/>
                <w:sz w:val="14"/>
                <w:szCs w:val="14"/>
              </w:rPr>
              <w:t>9.473.428</w:t>
            </w:r>
          </w:p>
        </w:tc>
      </w:tr>
      <w:tr w:rsidR="00A74C68" w:rsidRPr="009B7E9E" w14:paraId="2BB70624" w14:textId="77777777" w:rsidTr="00263F8A">
        <w:trPr>
          <w:divId w:val="282467830"/>
          <w:trHeight w:val="20"/>
        </w:trPr>
        <w:tc>
          <w:tcPr>
            <w:tcW w:w="418" w:type="pct"/>
            <w:tcBorders>
              <w:top w:val="nil"/>
              <w:left w:val="single" w:sz="4" w:space="0" w:color="auto"/>
              <w:bottom w:val="nil"/>
              <w:right w:val="nil"/>
            </w:tcBorders>
            <w:noWrap/>
            <w:hideMark/>
          </w:tcPr>
          <w:p w14:paraId="47FA6475" w14:textId="77777777" w:rsidR="00A74C68" w:rsidRPr="009B7E9E" w:rsidRDefault="00A74C68" w:rsidP="00A74C68">
            <w:pPr>
              <w:rPr>
                <w:color w:val="000000"/>
                <w:sz w:val="14"/>
                <w:szCs w:val="14"/>
              </w:rPr>
            </w:pPr>
            <w:r w:rsidRPr="009B7E9E">
              <w:rPr>
                <w:color w:val="000000"/>
                <w:sz w:val="14"/>
                <w:szCs w:val="14"/>
              </w:rPr>
              <w:t>14.1</w:t>
            </w:r>
          </w:p>
        </w:tc>
        <w:tc>
          <w:tcPr>
            <w:tcW w:w="2358" w:type="pct"/>
            <w:tcBorders>
              <w:top w:val="nil"/>
              <w:left w:val="nil"/>
              <w:bottom w:val="nil"/>
              <w:right w:val="nil"/>
            </w:tcBorders>
            <w:hideMark/>
          </w:tcPr>
          <w:p w14:paraId="6BECB3A5" w14:textId="77777777" w:rsidR="00A74C68" w:rsidRPr="009B7E9E" w:rsidRDefault="00A74C68" w:rsidP="00A74C68">
            <w:pPr>
              <w:rPr>
                <w:color w:val="000000"/>
                <w:sz w:val="14"/>
                <w:szCs w:val="14"/>
                <w:lang w:eastAsia="tr-TR"/>
              </w:rPr>
            </w:pPr>
            <w:r w:rsidRPr="009B7E9E">
              <w:rPr>
                <w:color w:val="000000"/>
                <w:sz w:val="14"/>
                <w:szCs w:val="14"/>
              </w:rPr>
              <w:t xml:space="preserve">Ödenmiş </w:t>
            </w:r>
            <w:r w:rsidRPr="009B7E9E">
              <w:rPr>
                <w:color w:val="000000"/>
                <w:sz w:val="14"/>
                <w:szCs w:val="14"/>
                <w:lang w:eastAsia="tr-TR"/>
              </w:rPr>
              <w:t>Sermaye</w:t>
            </w:r>
          </w:p>
        </w:tc>
        <w:tc>
          <w:tcPr>
            <w:tcW w:w="509" w:type="pct"/>
            <w:tcBorders>
              <w:top w:val="nil"/>
              <w:left w:val="single" w:sz="4" w:space="0" w:color="auto"/>
              <w:bottom w:val="nil"/>
              <w:right w:val="single" w:sz="4" w:space="0" w:color="auto"/>
            </w:tcBorders>
            <w:vAlign w:val="bottom"/>
            <w:hideMark/>
          </w:tcPr>
          <w:p w14:paraId="72B4A44B" w14:textId="77777777" w:rsidR="00A74C68" w:rsidRPr="009B7E9E" w:rsidRDefault="00A74C68" w:rsidP="00A74C68">
            <w:pPr>
              <w:jc w:val="center"/>
              <w:rPr>
                <w:color w:val="000000"/>
                <w:sz w:val="14"/>
                <w:szCs w:val="14"/>
              </w:rPr>
            </w:pPr>
            <w:r w:rsidRPr="009B7E9E">
              <w:rPr>
                <w:color w:val="000000"/>
                <w:sz w:val="14"/>
                <w:szCs w:val="14"/>
              </w:rPr>
              <w:t> </w:t>
            </w:r>
          </w:p>
        </w:tc>
        <w:tc>
          <w:tcPr>
            <w:tcW w:w="511" w:type="pct"/>
            <w:tcBorders>
              <w:top w:val="nil"/>
              <w:left w:val="nil"/>
              <w:bottom w:val="nil"/>
              <w:right w:val="nil"/>
            </w:tcBorders>
            <w:shd w:val="clear" w:color="000000" w:fill="FFFFFF"/>
            <w:vAlign w:val="bottom"/>
            <w:hideMark/>
          </w:tcPr>
          <w:p w14:paraId="170FCC0E" w14:textId="77777777" w:rsidR="00A74C68" w:rsidRPr="009B7E9E" w:rsidRDefault="00A74C68" w:rsidP="00A74C68">
            <w:pPr>
              <w:jc w:val="right"/>
              <w:rPr>
                <w:color w:val="000000"/>
                <w:sz w:val="14"/>
                <w:szCs w:val="14"/>
              </w:rPr>
            </w:pPr>
            <w:r w:rsidRPr="009B7E9E">
              <w:rPr>
                <w:color w:val="000000"/>
                <w:sz w:val="14"/>
                <w:szCs w:val="14"/>
              </w:rPr>
              <w:t>7.272.337</w:t>
            </w:r>
          </w:p>
        </w:tc>
        <w:tc>
          <w:tcPr>
            <w:tcW w:w="557" w:type="pct"/>
            <w:tcBorders>
              <w:top w:val="nil"/>
              <w:left w:val="single" w:sz="4" w:space="0" w:color="auto"/>
              <w:bottom w:val="nil"/>
              <w:right w:val="single" w:sz="4" w:space="0" w:color="auto"/>
            </w:tcBorders>
            <w:shd w:val="clear" w:color="000000" w:fill="FFFFFF"/>
            <w:vAlign w:val="bottom"/>
            <w:hideMark/>
          </w:tcPr>
          <w:p w14:paraId="541403D6" w14:textId="77777777" w:rsidR="00A74C68" w:rsidRPr="009B7E9E" w:rsidRDefault="00A74C68" w:rsidP="00A74C68">
            <w:pPr>
              <w:jc w:val="right"/>
              <w:rPr>
                <w:color w:val="000000"/>
                <w:sz w:val="14"/>
                <w:szCs w:val="14"/>
              </w:rPr>
            </w:pPr>
            <w:r w:rsidRPr="009B7E9E">
              <w:rPr>
                <w:color w:val="000000"/>
                <w:sz w:val="14"/>
                <w:szCs w:val="14"/>
              </w:rPr>
              <w:t>-</w:t>
            </w:r>
          </w:p>
        </w:tc>
        <w:tc>
          <w:tcPr>
            <w:tcW w:w="648" w:type="pct"/>
            <w:tcBorders>
              <w:top w:val="nil"/>
              <w:left w:val="nil"/>
              <w:bottom w:val="nil"/>
              <w:right w:val="single" w:sz="4" w:space="0" w:color="auto"/>
            </w:tcBorders>
            <w:shd w:val="clear" w:color="000000" w:fill="FFFFFF"/>
            <w:vAlign w:val="bottom"/>
            <w:hideMark/>
          </w:tcPr>
          <w:p w14:paraId="1EE3FEE9" w14:textId="77777777" w:rsidR="00A74C68" w:rsidRPr="009B7E9E" w:rsidRDefault="00A74C68" w:rsidP="00A74C68">
            <w:pPr>
              <w:jc w:val="right"/>
              <w:rPr>
                <w:color w:val="000000"/>
                <w:sz w:val="14"/>
                <w:szCs w:val="14"/>
              </w:rPr>
            </w:pPr>
            <w:r w:rsidRPr="009B7E9E">
              <w:rPr>
                <w:color w:val="000000"/>
                <w:sz w:val="14"/>
                <w:szCs w:val="14"/>
              </w:rPr>
              <w:t>7.272.337</w:t>
            </w:r>
          </w:p>
        </w:tc>
      </w:tr>
      <w:tr w:rsidR="00A74C68" w:rsidRPr="009B7E9E" w14:paraId="04A3201E" w14:textId="77777777" w:rsidTr="00263F8A">
        <w:trPr>
          <w:divId w:val="282467830"/>
          <w:trHeight w:val="20"/>
        </w:trPr>
        <w:tc>
          <w:tcPr>
            <w:tcW w:w="418" w:type="pct"/>
            <w:tcBorders>
              <w:top w:val="nil"/>
              <w:left w:val="single" w:sz="4" w:space="0" w:color="auto"/>
              <w:bottom w:val="nil"/>
              <w:right w:val="nil"/>
            </w:tcBorders>
            <w:noWrap/>
            <w:hideMark/>
          </w:tcPr>
          <w:p w14:paraId="27735039" w14:textId="77777777" w:rsidR="00A74C68" w:rsidRPr="009B7E9E" w:rsidRDefault="00A74C68" w:rsidP="00A74C68">
            <w:pPr>
              <w:rPr>
                <w:color w:val="000000"/>
                <w:sz w:val="14"/>
                <w:szCs w:val="14"/>
              </w:rPr>
            </w:pPr>
            <w:r w:rsidRPr="009B7E9E">
              <w:rPr>
                <w:color w:val="000000"/>
                <w:sz w:val="14"/>
                <w:szCs w:val="14"/>
              </w:rPr>
              <w:t>14.2</w:t>
            </w:r>
          </w:p>
        </w:tc>
        <w:tc>
          <w:tcPr>
            <w:tcW w:w="2358" w:type="pct"/>
            <w:tcBorders>
              <w:top w:val="nil"/>
              <w:left w:val="nil"/>
              <w:bottom w:val="nil"/>
              <w:right w:val="nil"/>
            </w:tcBorders>
            <w:hideMark/>
          </w:tcPr>
          <w:p w14:paraId="0DD95694" w14:textId="77777777" w:rsidR="00A74C68" w:rsidRPr="009B7E9E" w:rsidRDefault="00A74C68" w:rsidP="00A74C68">
            <w:pPr>
              <w:rPr>
                <w:color w:val="000000"/>
                <w:sz w:val="14"/>
                <w:szCs w:val="14"/>
              </w:rPr>
            </w:pPr>
            <w:r w:rsidRPr="009B7E9E">
              <w:rPr>
                <w:color w:val="000000"/>
                <w:sz w:val="14"/>
                <w:szCs w:val="14"/>
              </w:rPr>
              <w:t>Sermaye Yedekleri</w:t>
            </w:r>
          </w:p>
        </w:tc>
        <w:tc>
          <w:tcPr>
            <w:tcW w:w="509" w:type="pct"/>
            <w:tcBorders>
              <w:top w:val="nil"/>
              <w:left w:val="single" w:sz="4" w:space="0" w:color="auto"/>
              <w:bottom w:val="nil"/>
              <w:right w:val="single" w:sz="4" w:space="0" w:color="auto"/>
            </w:tcBorders>
            <w:vAlign w:val="bottom"/>
            <w:hideMark/>
          </w:tcPr>
          <w:p w14:paraId="65DB2442" w14:textId="77777777" w:rsidR="00A74C68" w:rsidRPr="009B7E9E" w:rsidRDefault="00A74C68" w:rsidP="00A74C68">
            <w:pPr>
              <w:jc w:val="center"/>
              <w:rPr>
                <w:color w:val="000000"/>
                <w:sz w:val="14"/>
                <w:szCs w:val="14"/>
                <w:lang w:eastAsia="tr-TR"/>
              </w:rPr>
            </w:pPr>
            <w:r w:rsidRPr="009B7E9E">
              <w:rPr>
                <w:color w:val="000000"/>
                <w:sz w:val="14"/>
                <w:szCs w:val="14"/>
              </w:rPr>
              <w:t> </w:t>
            </w:r>
          </w:p>
        </w:tc>
        <w:tc>
          <w:tcPr>
            <w:tcW w:w="511" w:type="pct"/>
            <w:tcBorders>
              <w:top w:val="nil"/>
              <w:left w:val="nil"/>
              <w:bottom w:val="nil"/>
              <w:right w:val="nil"/>
            </w:tcBorders>
            <w:shd w:val="clear" w:color="000000" w:fill="FFFFFF"/>
            <w:vAlign w:val="bottom"/>
            <w:hideMark/>
          </w:tcPr>
          <w:p w14:paraId="230AF688" w14:textId="65C92DB9" w:rsidR="00A74C68" w:rsidRPr="009B7E9E" w:rsidRDefault="00263F8A" w:rsidP="00A74C68">
            <w:pPr>
              <w:jc w:val="right"/>
              <w:rPr>
                <w:color w:val="000000"/>
                <w:sz w:val="14"/>
                <w:szCs w:val="14"/>
              </w:rPr>
            </w:pPr>
            <w:r w:rsidRPr="009B7E9E">
              <w:rPr>
                <w:color w:val="000000"/>
                <w:sz w:val="14"/>
                <w:szCs w:val="14"/>
              </w:rPr>
              <w:t>-</w:t>
            </w:r>
          </w:p>
        </w:tc>
        <w:tc>
          <w:tcPr>
            <w:tcW w:w="557" w:type="pct"/>
            <w:tcBorders>
              <w:top w:val="nil"/>
              <w:left w:val="single" w:sz="4" w:space="0" w:color="auto"/>
              <w:bottom w:val="nil"/>
              <w:right w:val="single" w:sz="4" w:space="0" w:color="auto"/>
            </w:tcBorders>
            <w:shd w:val="clear" w:color="000000" w:fill="FFFFFF"/>
            <w:vAlign w:val="bottom"/>
            <w:hideMark/>
          </w:tcPr>
          <w:p w14:paraId="76A0913A" w14:textId="60948C18" w:rsidR="00A74C68" w:rsidRPr="009B7E9E" w:rsidRDefault="00263F8A" w:rsidP="00A74C68">
            <w:pPr>
              <w:jc w:val="right"/>
              <w:rPr>
                <w:color w:val="000000"/>
                <w:sz w:val="14"/>
                <w:szCs w:val="14"/>
              </w:rPr>
            </w:pPr>
            <w:r w:rsidRPr="009B7E9E">
              <w:rPr>
                <w:color w:val="000000"/>
                <w:sz w:val="14"/>
                <w:szCs w:val="14"/>
              </w:rPr>
              <w:t>-</w:t>
            </w:r>
          </w:p>
        </w:tc>
        <w:tc>
          <w:tcPr>
            <w:tcW w:w="648" w:type="pct"/>
            <w:tcBorders>
              <w:top w:val="nil"/>
              <w:left w:val="nil"/>
              <w:bottom w:val="nil"/>
              <w:right w:val="single" w:sz="4" w:space="0" w:color="auto"/>
            </w:tcBorders>
            <w:shd w:val="clear" w:color="000000" w:fill="FFFFFF"/>
            <w:vAlign w:val="bottom"/>
            <w:hideMark/>
          </w:tcPr>
          <w:p w14:paraId="08F04566" w14:textId="779793EE" w:rsidR="00A74C68" w:rsidRPr="009B7E9E" w:rsidRDefault="00263F8A" w:rsidP="00A74C68">
            <w:pPr>
              <w:jc w:val="right"/>
              <w:rPr>
                <w:color w:val="000000"/>
                <w:sz w:val="14"/>
                <w:szCs w:val="14"/>
              </w:rPr>
            </w:pPr>
            <w:r w:rsidRPr="009B7E9E">
              <w:rPr>
                <w:color w:val="000000"/>
                <w:sz w:val="14"/>
                <w:szCs w:val="14"/>
              </w:rPr>
              <w:t>-</w:t>
            </w:r>
          </w:p>
        </w:tc>
      </w:tr>
      <w:tr w:rsidR="00A74C68" w:rsidRPr="009B7E9E" w14:paraId="4B9505B8" w14:textId="77777777" w:rsidTr="00263F8A">
        <w:trPr>
          <w:divId w:val="282467830"/>
          <w:trHeight w:val="20"/>
        </w:trPr>
        <w:tc>
          <w:tcPr>
            <w:tcW w:w="418" w:type="pct"/>
            <w:tcBorders>
              <w:top w:val="nil"/>
              <w:left w:val="single" w:sz="4" w:space="0" w:color="auto"/>
              <w:bottom w:val="nil"/>
              <w:right w:val="nil"/>
            </w:tcBorders>
            <w:noWrap/>
            <w:hideMark/>
          </w:tcPr>
          <w:p w14:paraId="0113CC02" w14:textId="77777777" w:rsidR="00A74C68" w:rsidRPr="009B7E9E" w:rsidRDefault="00A74C68" w:rsidP="00A74C68">
            <w:pPr>
              <w:rPr>
                <w:color w:val="000000"/>
                <w:sz w:val="14"/>
                <w:szCs w:val="14"/>
              </w:rPr>
            </w:pPr>
            <w:r w:rsidRPr="009B7E9E">
              <w:rPr>
                <w:color w:val="000000"/>
                <w:sz w:val="14"/>
                <w:szCs w:val="14"/>
              </w:rPr>
              <w:t>14.2.1</w:t>
            </w:r>
          </w:p>
        </w:tc>
        <w:tc>
          <w:tcPr>
            <w:tcW w:w="2358" w:type="pct"/>
            <w:tcBorders>
              <w:top w:val="nil"/>
              <w:left w:val="nil"/>
              <w:bottom w:val="nil"/>
              <w:right w:val="nil"/>
            </w:tcBorders>
            <w:hideMark/>
          </w:tcPr>
          <w:p w14:paraId="6F862989" w14:textId="77777777" w:rsidR="00A74C68" w:rsidRPr="009B7E9E" w:rsidRDefault="00A74C68" w:rsidP="00A74C68">
            <w:pPr>
              <w:rPr>
                <w:color w:val="000000"/>
                <w:sz w:val="14"/>
                <w:szCs w:val="14"/>
                <w:lang w:eastAsia="tr-TR"/>
              </w:rPr>
            </w:pPr>
            <w:r w:rsidRPr="009B7E9E">
              <w:rPr>
                <w:color w:val="000000"/>
                <w:sz w:val="14"/>
                <w:szCs w:val="14"/>
              </w:rPr>
              <w:t xml:space="preserve">Hisse Senedi </w:t>
            </w:r>
            <w:r w:rsidRPr="009B7E9E">
              <w:rPr>
                <w:color w:val="000000"/>
                <w:sz w:val="14"/>
                <w:szCs w:val="14"/>
                <w:lang w:eastAsia="tr-TR"/>
              </w:rPr>
              <w:t>İhraç Primleri</w:t>
            </w:r>
          </w:p>
        </w:tc>
        <w:tc>
          <w:tcPr>
            <w:tcW w:w="509" w:type="pct"/>
            <w:tcBorders>
              <w:top w:val="nil"/>
              <w:left w:val="single" w:sz="4" w:space="0" w:color="auto"/>
              <w:bottom w:val="nil"/>
              <w:right w:val="single" w:sz="4" w:space="0" w:color="auto"/>
            </w:tcBorders>
            <w:vAlign w:val="bottom"/>
            <w:hideMark/>
          </w:tcPr>
          <w:p w14:paraId="08F4718C" w14:textId="77777777" w:rsidR="00A74C68" w:rsidRPr="009B7E9E" w:rsidRDefault="00A74C68" w:rsidP="00A74C68">
            <w:pPr>
              <w:jc w:val="center"/>
              <w:rPr>
                <w:color w:val="000000"/>
                <w:sz w:val="14"/>
                <w:szCs w:val="14"/>
                <w:lang w:eastAsia="tr-TR"/>
              </w:rPr>
            </w:pPr>
            <w:r w:rsidRPr="009B7E9E">
              <w:rPr>
                <w:color w:val="000000"/>
                <w:sz w:val="14"/>
                <w:szCs w:val="14"/>
              </w:rPr>
              <w:t> </w:t>
            </w:r>
          </w:p>
        </w:tc>
        <w:tc>
          <w:tcPr>
            <w:tcW w:w="511" w:type="pct"/>
            <w:tcBorders>
              <w:top w:val="nil"/>
              <w:left w:val="nil"/>
              <w:bottom w:val="nil"/>
              <w:right w:val="nil"/>
            </w:tcBorders>
            <w:shd w:val="clear" w:color="000000" w:fill="FFFFFF"/>
            <w:vAlign w:val="bottom"/>
            <w:hideMark/>
          </w:tcPr>
          <w:p w14:paraId="24B4C1C8" w14:textId="77777777" w:rsidR="00A74C68" w:rsidRPr="009B7E9E" w:rsidRDefault="00A74C68" w:rsidP="00A74C68">
            <w:pPr>
              <w:jc w:val="right"/>
              <w:rPr>
                <w:color w:val="000000"/>
                <w:sz w:val="14"/>
                <w:szCs w:val="14"/>
              </w:rPr>
            </w:pPr>
            <w:r w:rsidRPr="009B7E9E">
              <w:rPr>
                <w:color w:val="000000"/>
                <w:sz w:val="14"/>
                <w:szCs w:val="14"/>
              </w:rPr>
              <w:t>-</w:t>
            </w:r>
          </w:p>
        </w:tc>
        <w:tc>
          <w:tcPr>
            <w:tcW w:w="557" w:type="pct"/>
            <w:tcBorders>
              <w:top w:val="nil"/>
              <w:left w:val="single" w:sz="4" w:space="0" w:color="auto"/>
              <w:bottom w:val="nil"/>
              <w:right w:val="single" w:sz="4" w:space="0" w:color="auto"/>
            </w:tcBorders>
            <w:shd w:val="clear" w:color="000000" w:fill="FFFFFF"/>
            <w:vAlign w:val="bottom"/>
            <w:hideMark/>
          </w:tcPr>
          <w:p w14:paraId="457AD8CB" w14:textId="77777777" w:rsidR="00A74C68" w:rsidRPr="009B7E9E" w:rsidRDefault="00A74C68" w:rsidP="00A74C68">
            <w:pPr>
              <w:jc w:val="right"/>
              <w:rPr>
                <w:color w:val="000000"/>
                <w:sz w:val="14"/>
                <w:szCs w:val="14"/>
              </w:rPr>
            </w:pPr>
            <w:r w:rsidRPr="009B7E9E">
              <w:rPr>
                <w:color w:val="000000"/>
                <w:sz w:val="14"/>
                <w:szCs w:val="14"/>
              </w:rPr>
              <w:t>-</w:t>
            </w:r>
          </w:p>
        </w:tc>
        <w:tc>
          <w:tcPr>
            <w:tcW w:w="648" w:type="pct"/>
            <w:tcBorders>
              <w:top w:val="nil"/>
              <w:left w:val="nil"/>
              <w:bottom w:val="nil"/>
              <w:right w:val="single" w:sz="4" w:space="0" w:color="auto"/>
            </w:tcBorders>
            <w:shd w:val="clear" w:color="000000" w:fill="FFFFFF"/>
            <w:vAlign w:val="bottom"/>
            <w:hideMark/>
          </w:tcPr>
          <w:p w14:paraId="14DBB3FF" w14:textId="77777777" w:rsidR="00A74C68" w:rsidRPr="009B7E9E" w:rsidRDefault="00A74C68" w:rsidP="00A74C68">
            <w:pPr>
              <w:jc w:val="right"/>
              <w:rPr>
                <w:color w:val="000000"/>
                <w:sz w:val="14"/>
                <w:szCs w:val="14"/>
              </w:rPr>
            </w:pPr>
            <w:r w:rsidRPr="009B7E9E">
              <w:rPr>
                <w:color w:val="000000"/>
                <w:sz w:val="14"/>
                <w:szCs w:val="14"/>
              </w:rPr>
              <w:t>-</w:t>
            </w:r>
          </w:p>
        </w:tc>
      </w:tr>
      <w:tr w:rsidR="00A74C68" w:rsidRPr="009B7E9E" w14:paraId="58E6A9A3" w14:textId="77777777" w:rsidTr="00263F8A">
        <w:trPr>
          <w:divId w:val="282467830"/>
          <w:trHeight w:val="20"/>
        </w:trPr>
        <w:tc>
          <w:tcPr>
            <w:tcW w:w="418" w:type="pct"/>
            <w:tcBorders>
              <w:top w:val="nil"/>
              <w:left w:val="single" w:sz="4" w:space="0" w:color="auto"/>
              <w:bottom w:val="nil"/>
              <w:right w:val="nil"/>
            </w:tcBorders>
            <w:noWrap/>
            <w:hideMark/>
          </w:tcPr>
          <w:p w14:paraId="2F0933A5" w14:textId="77777777" w:rsidR="00A74C68" w:rsidRPr="009B7E9E" w:rsidRDefault="00A74C68" w:rsidP="00A74C68">
            <w:pPr>
              <w:rPr>
                <w:color w:val="000000"/>
                <w:sz w:val="14"/>
                <w:szCs w:val="14"/>
              </w:rPr>
            </w:pPr>
            <w:r w:rsidRPr="009B7E9E">
              <w:rPr>
                <w:color w:val="000000"/>
                <w:sz w:val="14"/>
                <w:szCs w:val="14"/>
              </w:rPr>
              <w:t>14.2.2</w:t>
            </w:r>
          </w:p>
        </w:tc>
        <w:tc>
          <w:tcPr>
            <w:tcW w:w="2358" w:type="pct"/>
            <w:tcBorders>
              <w:top w:val="nil"/>
              <w:left w:val="nil"/>
              <w:bottom w:val="nil"/>
              <w:right w:val="nil"/>
            </w:tcBorders>
            <w:hideMark/>
          </w:tcPr>
          <w:p w14:paraId="0F0F0594" w14:textId="77777777" w:rsidR="00A74C68" w:rsidRPr="009B7E9E" w:rsidRDefault="00A74C68" w:rsidP="00A74C68">
            <w:pPr>
              <w:rPr>
                <w:color w:val="000000"/>
                <w:sz w:val="14"/>
                <w:szCs w:val="14"/>
              </w:rPr>
            </w:pPr>
            <w:r w:rsidRPr="009B7E9E">
              <w:rPr>
                <w:color w:val="000000"/>
                <w:sz w:val="14"/>
                <w:szCs w:val="14"/>
              </w:rPr>
              <w:t>Hisse Senedi İptal Kârları</w:t>
            </w:r>
          </w:p>
        </w:tc>
        <w:tc>
          <w:tcPr>
            <w:tcW w:w="509" w:type="pct"/>
            <w:tcBorders>
              <w:top w:val="nil"/>
              <w:left w:val="single" w:sz="4" w:space="0" w:color="auto"/>
              <w:bottom w:val="nil"/>
              <w:right w:val="single" w:sz="4" w:space="0" w:color="auto"/>
            </w:tcBorders>
            <w:vAlign w:val="bottom"/>
            <w:hideMark/>
          </w:tcPr>
          <w:p w14:paraId="4E55C0ED" w14:textId="77777777" w:rsidR="00A74C68" w:rsidRPr="009B7E9E" w:rsidRDefault="00A74C68" w:rsidP="00A74C68">
            <w:pPr>
              <w:jc w:val="center"/>
              <w:rPr>
                <w:color w:val="000000"/>
                <w:sz w:val="14"/>
                <w:szCs w:val="14"/>
                <w:lang w:eastAsia="tr-TR"/>
              </w:rPr>
            </w:pPr>
            <w:r w:rsidRPr="009B7E9E">
              <w:rPr>
                <w:color w:val="000000"/>
                <w:sz w:val="14"/>
                <w:szCs w:val="14"/>
              </w:rPr>
              <w:t> </w:t>
            </w:r>
          </w:p>
        </w:tc>
        <w:tc>
          <w:tcPr>
            <w:tcW w:w="511" w:type="pct"/>
            <w:tcBorders>
              <w:top w:val="nil"/>
              <w:left w:val="nil"/>
              <w:bottom w:val="nil"/>
              <w:right w:val="nil"/>
            </w:tcBorders>
            <w:shd w:val="clear" w:color="000000" w:fill="FFFFFF"/>
            <w:vAlign w:val="bottom"/>
            <w:hideMark/>
          </w:tcPr>
          <w:p w14:paraId="4AD72CD9" w14:textId="77777777" w:rsidR="00A74C68" w:rsidRPr="009B7E9E" w:rsidRDefault="00A74C68" w:rsidP="00A74C68">
            <w:pPr>
              <w:jc w:val="right"/>
              <w:rPr>
                <w:color w:val="000000"/>
                <w:sz w:val="14"/>
                <w:szCs w:val="14"/>
              </w:rPr>
            </w:pPr>
            <w:r w:rsidRPr="009B7E9E">
              <w:rPr>
                <w:color w:val="000000"/>
                <w:sz w:val="14"/>
                <w:szCs w:val="14"/>
              </w:rPr>
              <w:t>-</w:t>
            </w:r>
          </w:p>
        </w:tc>
        <w:tc>
          <w:tcPr>
            <w:tcW w:w="557" w:type="pct"/>
            <w:tcBorders>
              <w:top w:val="nil"/>
              <w:left w:val="single" w:sz="4" w:space="0" w:color="auto"/>
              <w:bottom w:val="nil"/>
              <w:right w:val="single" w:sz="4" w:space="0" w:color="auto"/>
            </w:tcBorders>
            <w:shd w:val="clear" w:color="000000" w:fill="FFFFFF"/>
            <w:vAlign w:val="bottom"/>
            <w:hideMark/>
          </w:tcPr>
          <w:p w14:paraId="3BE05820" w14:textId="77777777" w:rsidR="00A74C68" w:rsidRPr="009B7E9E" w:rsidRDefault="00A74C68" w:rsidP="00A74C68">
            <w:pPr>
              <w:jc w:val="right"/>
              <w:rPr>
                <w:color w:val="000000"/>
                <w:sz w:val="14"/>
                <w:szCs w:val="14"/>
              </w:rPr>
            </w:pPr>
            <w:r w:rsidRPr="009B7E9E">
              <w:rPr>
                <w:color w:val="000000"/>
                <w:sz w:val="14"/>
                <w:szCs w:val="14"/>
              </w:rPr>
              <w:t>-</w:t>
            </w:r>
          </w:p>
        </w:tc>
        <w:tc>
          <w:tcPr>
            <w:tcW w:w="648" w:type="pct"/>
            <w:tcBorders>
              <w:top w:val="nil"/>
              <w:left w:val="nil"/>
              <w:bottom w:val="nil"/>
              <w:right w:val="single" w:sz="4" w:space="0" w:color="auto"/>
            </w:tcBorders>
            <w:shd w:val="clear" w:color="000000" w:fill="FFFFFF"/>
            <w:vAlign w:val="bottom"/>
            <w:hideMark/>
          </w:tcPr>
          <w:p w14:paraId="28A18E8E" w14:textId="77777777" w:rsidR="00A74C68" w:rsidRPr="009B7E9E" w:rsidRDefault="00A74C68" w:rsidP="00A74C68">
            <w:pPr>
              <w:jc w:val="right"/>
              <w:rPr>
                <w:color w:val="000000"/>
                <w:sz w:val="14"/>
                <w:szCs w:val="14"/>
              </w:rPr>
            </w:pPr>
            <w:r w:rsidRPr="009B7E9E">
              <w:rPr>
                <w:color w:val="000000"/>
                <w:sz w:val="14"/>
                <w:szCs w:val="14"/>
              </w:rPr>
              <w:t>-</w:t>
            </w:r>
          </w:p>
        </w:tc>
      </w:tr>
      <w:tr w:rsidR="00A74C68" w:rsidRPr="009B7E9E" w14:paraId="0FB39280" w14:textId="77777777" w:rsidTr="00263F8A">
        <w:trPr>
          <w:divId w:val="282467830"/>
          <w:trHeight w:val="20"/>
        </w:trPr>
        <w:tc>
          <w:tcPr>
            <w:tcW w:w="418" w:type="pct"/>
            <w:tcBorders>
              <w:top w:val="nil"/>
              <w:left w:val="single" w:sz="4" w:space="0" w:color="auto"/>
              <w:bottom w:val="nil"/>
              <w:right w:val="nil"/>
            </w:tcBorders>
            <w:noWrap/>
            <w:hideMark/>
          </w:tcPr>
          <w:p w14:paraId="2406BA11" w14:textId="77777777" w:rsidR="00A74C68" w:rsidRPr="009B7E9E" w:rsidRDefault="00A74C68" w:rsidP="00A74C68">
            <w:pPr>
              <w:rPr>
                <w:color w:val="000000"/>
                <w:sz w:val="14"/>
                <w:szCs w:val="14"/>
              </w:rPr>
            </w:pPr>
            <w:r w:rsidRPr="009B7E9E">
              <w:rPr>
                <w:color w:val="000000"/>
                <w:sz w:val="14"/>
                <w:szCs w:val="14"/>
              </w:rPr>
              <w:t>14.2.3</w:t>
            </w:r>
          </w:p>
        </w:tc>
        <w:tc>
          <w:tcPr>
            <w:tcW w:w="2358" w:type="pct"/>
            <w:tcBorders>
              <w:top w:val="nil"/>
              <w:left w:val="nil"/>
              <w:bottom w:val="nil"/>
              <w:right w:val="nil"/>
            </w:tcBorders>
            <w:hideMark/>
          </w:tcPr>
          <w:p w14:paraId="311CEE93" w14:textId="77777777" w:rsidR="00A74C68" w:rsidRPr="009B7E9E" w:rsidRDefault="00A74C68" w:rsidP="00A74C68">
            <w:pPr>
              <w:rPr>
                <w:color w:val="000000"/>
                <w:sz w:val="14"/>
                <w:szCs w:val="14"/>
              </w:rPr>
            </w:pPr>
            <w:r w:rsidRPr="009B7E9E">
              <w:rPr>
                <w:color w:val="000000"/>
                <w:sz w:val="14"/>
                <w:szCs w:val="14"/>
              </w:rPr>
              <w:t>Diğer Sermaye Yedekleri</w:t>
            </w:r>
          </w:p>
        </w:tc>
        <w:tc>
          <w:tcPr>
            <w:tcW w:w="509" w:type="pct"/>
            <w:tcBorders>
              <w:top w:val="nil"/>
              <w:left w:val="single" w:sz="4" w:space="0" w:color="auto"/>
              <w:bottom w:val="nil"/>
              <w:right w:val="single" w:sz="4" w:space="0" w:color="auto"/>
            </w:tcBorders>
            <w:vAlign w:val="bottom"/>
            <w:hideMark/>
          </w:tcPr>
          <w:p w14:paraId="3DF9536C" w14:textId="77777777" w:rsidR="00A74C68" w:rsidRPr="009B7E9E" w:rsidRDefault="00A74C68" w:rsidP="00A74C68">
            <w:pPr>
              <w:jc w:val="center"/>
              <w:rPr>
                <w:color w:val="000000"/>
                <w:sz w:val="14"/>
                <w:szCs w:val="14"/>
                <w:lang w:eastAsia="tr-TR"/>
              </w:rPr>
            </w:pPr>
            <w:r w:rsidRPr="009B7E9E">
              <w:rPr>
                <w:color w:val="000000"/>
                <w:sz w:val="14"/>
                <w:szCs w:val="14"/>
              </w:rPr>
              <w:t> </w:t>
            </w:r>
          </w:p>
        </w:tc>
        <w:tc>
          <w:tcPr>
            <w:tcW w:w="511" w:type="pct"/>
            <w:tcBorders>
              <w:top w:val="nil"/>
              <w:left w:val="nil"/>
              <w:bottom w:val="nil"/>
              <w:right w:val="nil"/>
            </w:tcBorders>
            <w:shd w:val="clear" w:color="000000" w:fill="FFFFFF"/>
            <w:vAlign w:val="bottom"/>
            <w:hideMark/>
          </w:tcPr>
          <w:p w14:paraId="21021DCB" w14:textId="06C4EC41" w:rsidR="00A74C68" w:rsidRPr="009B7E9E" w:rsidRDefault="00263F8A" w:rsidP="00A74C68">
            <w:pPr>
              <w:jc w:val="right"/>
              <w:rPr>
                <w:color w:val="000000"/>
                <w:sz w:val="14"/>
                <w:szCs w:val="14"/>
              </w:rPr>
            </w:pPr>
            <w:r w:rsidRPr="009B7E9E">
              <w:rPr>
                <w:color w:val="000000"/>
                <w:sz w:val="14"/>
                <w:szCs w:val="14"/>
              </w:rPr>
              <w:t>-</w:t>
            </w:r>
          </w:p>
        </w:tc>
        <w:tc>
          <w:tcPr>
            <w:tcW w:w="557" w:type="pct"/>
            <w:tcBorders>
              <w:top w:val="nil"/>
              <w:left w:val="single" w:sz="4" w:space="0" w:color="auto"/>
              <w:bottom w:val="nil"/>
              <w:right w:val="single" w:sz="4" w:space="0" w:color="auto"/>
            </w:tcBorders>
            <w:shd w:val="clear" w:color="000000" w:fill="FFFFFF"/>
            <w:vAlign w:val="bottom"/>
            <w:hideMark/>
          </w:tcPr>
          <w:p w14:paraId="693DBA21" w14:textId="57361C67" w:rsidR="00A74C68" w:rsidRPr="009B7E9E" w:rsidRDefault="00263F8A" w:rsidP="00A74C68">
            <w:pPr>
              <w:jc w:val="right"/>
              <w:rPr>
                <w:color w:val="000000"/>
                <w:sz w:val="14"/>
                <w:szCs w:val="14"/>
              </w:rPr>
            </w:pPr>
            <w:r w:rsidRPr="009B7E9E">
              <w:rPr>
                <w:color w:val="000000"/>
                <w:sz w:val="14"/>
                <w:szCs w:val="14"/>
              </w:rPr>
              <w:t>-</w:t>
            </w:r>
          </w:p>
        </w:tc>
        <w:tc>
          <w:tcPr>
            <w:tcW w:w="648" w:type="pct"/>
            <w:tcBorders>
              <w:top w:val="nil"/>
              <w:left w:val="nil"/>
              <w:bottom w:val="nil"/>
              <w:right w:val="single" w:sz="4" w:space="0" w:color="auto"/>
            </w:tcBorders>
            <w:shd w:val="clear" w:color="000000" w:fill="FFFFFF"/>
            <w:vAlign w:val="bottom"/>
            <w:hideMark/>
          </w:tcPr>
          <w:p w14:paraId="001A6579" w14:textId="2E0FAA4C" w:rsidR="00A74C68" w:rsidRPr="009B7E9E" w:rsidRDefault="00263F8A" w:rsidP="00A74C68">
            <w:pPr>
              <w:jc w:val="right"/>
              <w:rPr>
                <w:color w:val="000000"/>
                <w:sz w:val="14"/>
                <w:szCs w:val="14"/>
              </w:rPr>
            </w:pPr>
            <w:r w:rsidRPr="009B7E9E">
              <w:rPr>
                <w:color w:val="000000"/>
                <w:sz w:val="14"/>
                <w:szCs w:val="14"/>
              </w:rPr>
              <w:t>-</w:t>
            </w:r>
          </w:p>
        </w:tc>
      </w:tr>
      <w:tr w:rsidR="00A74C68" w:rsidRPr="009B7E9E" w14:paraId="5CF0B46F" w14:textId="77777777" w:rsidTr="00263F8A">
        <w:trPr>
          <w:divId w:val="282467830"/>
          <w:trHeight w:val="20"/>
        </w:trPr>
        <w:tc>
          <w:tcPr>
            <w:tcW w:w="418" w:type="pct"/>
            <w:tcBorders>
              <w:top w:val="nil"/>
              <w:left w:val="single" w:sz="4" w:space="0" w:color="auto"/>
              <w:bottom w:val="nil"/>
              <w:right w:val="nil"/>
            </w:tcBorders>
            <w:noWrap/>
            <w:hideMark/>
          </w:tcPr>
          <w:p w14:paraId="7707ED2C" w14:textId="77777777" w:rsidR="00A74C68" w:rsidRPr="009B7E9E" w:rsidRDefault="00A74C68" w:rsidP="00A74C68">
            <w:pPr>
              <w:rPr>
                <w:color w:val="000000"/>
                <w:sz w:val="14"/>
                <w:szCs w:val="14"/>
              </w:rPr>
            </w:pPr>
            <w:r w:rsidRPr="009B7E9E">
              <w:rPr>
                <w:color w:val="000000"/>
                <w:sz w:val="14"/>
                <w:szCs w:val="14"/>
              </w:rPr>
              <w:t>14.3</w:t>
            </w:r>
          </w:p>
        </w:tc>
        <w:tc>
          <w:tcPr>
            <w:tcW w:w="2358" w:type="pct"/>
            <w:tcBorders>
              <w:top w:val="nil"/>
              <w:left w:val="nil"/>
              <w:bottom w:val="nil"/>
              <w:right w:val="nil"/>
            </w:tcBorders>
            <w:hideMark/>
          </w:tcPr>
          <w:p w14:paraId="0622B3CB" w14:textId="77777777" w:rsidR="00A74C68" w:rsidRPr="009B7E9E" w:rsidRDefault="00A74C68" w:rsidP="00A74C68">
            <w:pPr>
              <w:rPr>
                <w:color w:val="000000"/>
                <w:sz w:val="14"/>
                <w:szCs w:val="14"/>
                <w:lang w:eastAsia="tr-TR"/>
              </w:rPr>
            </w:pPr>
            <w:r w:rsidRPr="009B7E9E">
              <w:rPr>
                <w:color w:val="000000"/>
                <w:sz w:val="14"/>
                <w:szCs w:val="14"/>
              </w:rPr>
              <w:t xml:space="preserve">Kâr veya Zararda </w:t>
            </w:r>
            <w:r w:rsidRPr="009B7E9E">
              <w:rPr>
                <w:color w:val="000000"/>
                <w:sz w:val="14"/>
                <w:szCs w:val="14"/>
                <w:lang w:eastAsia="tr-TR"/>
              </w:rPr>
              <w:t>Yeniden Sınıflandırılmayacak Birikmiş Diğer Kapsamlı Gelirler veya Giderler</w:t>
            </w:r>
          </w:p>
        </w:tc>
        <w:tc>
          <w:tcPr>
            <w:tcW w:w="509" w:type="pct"/>
            <w:tcBorders>
              <w:top w:val="nil"/>
              <w:left w:val="single" w:sz="4" w:space="0" w:color="auto"/>
              <w:bottom w:val="nil"/>
              <w:right w:val="single" w:sz="4" w:space="0" w:color="auto"/>
            </w:tcBorders>
            <w:vAlign w:val="bottom"/>
            <w:hideMark/>
          </w:tcPr>
          <w:p w14:paraId="7C5833B5" w14:textId="77777777" w:rsidR="00A74C68" w:rsidRPr="009B7E9E" w:rsidRDefault="00A74C68" w:rsidP="00A74C68">
            <w:pPr>
              <w:jc w:val="center"/>
              <w:rPr>
                <w:color w:val="000000"/>
                <w:sz w:val="14"/>
                <w:szCs w:val="14"/>
                <w:lang w:eastAsia="tr-TR"/>
              </w:rPr>
            </w:pPr>
            <w:r w:rsidRPr="009B7E9E">
              <w:rPr>
                <w:color w:val="000000"/>
                <w:sz w:val="14"/>
                <w:szCs w:val="14"/>
              </w:rPr>
              <w:t> </w:t>
            </w:r>
          </w:p>
        </w:tc>
        <w:tc>
          <w:tcPr>
            <w:tcW w:w="511" w:type="pct"/>
            <w:tcBorders>
              <w:top w:val="nil"/>
              <w:left w:val="nil"/>
              <w:bottom w:val="nil"/>
              <w:right w:val="nil"/>
            </w:tcBorders>
            <w:shd w:val="clear" w:color="000000" w:fill="FFFFFF"/>
            <w:vAlign w:val="bottom"/>
            <w:hideMark/>
          </w:tcPr>
          <w:p w14:paraId="5EC49319" w14:textId="77777777" w:rsidR="00A74C68" w:rsidRPr="009B7E9E" w:rsidRDefault="00A74C68" w:rsidP="00A74C68">
            <w:pPr>
              <w:jc w:val="right"/>
              <w:rPr>
                <w:color w:val="000000"/>
                <w:sz w:val="14"/>
                <w:szCs w:val="14"/>
                <w:lang w:eastAsia="tr-TR"/>
              </w:rPr>
            </w:pPr>
            <w:r w:rsidRPr="009B7E9E">
              <w:rPr>
                <w:color w:val="000000"/>
                <w:sz w:val="14"/>
                <w:szCs w:val="14"/>
              </w:rPr>
              <w:t>(5.126</w:t>
            </w:r>
            <w:r w:rsidRPr="009B7E9E">
              <w:rPr>
                <w:color w:val="000000"/>
                <w:sz w:val="14"/>
                <w:szCs w:val="14"/>
                <w:lang w:eastAsia="tr-TR"/>
              </w:rPr>
              <w:t>)</w:t>
            </w:r>
          </w:p>
        </w:tc>
        <w:tc>
          <w:tcPr>
            <w:tcW w:w="557" w:type="pct"/>
            <w:tcBorders>
              <w:top w:val="nil"/>
              <w:left w:val="single" w:sz="4" w:space="0" w:color="auto"/>
              <w:bottom w:val="nil"/>
              <w:right w:val="single" w:sz="4" w:space="0" w:color="auto"/>
            </w:tcBorders>
            <w:shd w:val="clear" w:color="000000" w:fill="FFFFFF"/>
            <w:vAlign w:val="bottom"/>
            <w:hideMark/>
          </w:tcPr>
          <w:p w14:paraId="364C1919" w14:textId="77777777" w:rsidR="00A74C68" w:rsidRPr="009B7E9E" w:rsidRDefault="00A74C68" w:rsidP="00A74C68">
            <w:pPr>
              <w:jc w:val="right"/>
              <w:rPr>
                <w:color w:val="000000"/>
                <w:sz w:val="14"/>
                <w:szCs w:val="14"/>
              </w:rPr>
            </w:pPr>
            <w:r w:rsidRPr="009B7E9E">
              <w:rPr>
                <w:color w:val="000000"/>
                <w:sz w:val="14"/>
                <w:szCs w:val="14"/>
              </w:rPr>
              <w:t>-</w:t>
            </w:r>
          </w:p>
        </w:tc>
        <w:tc>
          <w:tcPr>
            <w:tcW w:w="648" w:type="pct"/>
            <w:tcBorders>
              <w:top w:val="nil"/>
              <w:left w:val="nil"/>
              <w:bottom w:val="nil"/>
              <w:right w:val="single" w:sz="4" w:space="0" w:color="auto"/>
            </w:tcBorders>
            <w:shd w:val="clear" w:color="000000" w:fill="FFFFFF"/>
            <w:vAlign w:val="bottom"/>
            <w:hideMark/>
          </w:tcPr>
          <w:p w14:paraId="206BA6F4" w14:textId="77777777" w:rsidR="00A74C68" w:rsidRPr="009B7E9E" w:rsidRDefault="00A74C68" w:rsidP="00A74C68">
            <w:pPr>
              <w:jc w:val="right"/>
              <w:rPr>
                <w:color w:val="000000"/>
                <w:sz w:val="14"/>
                <w:szCs w:val="14"/>
                <w:lang w:eastAsia="tr-TR"/>
              </w:rPr>
            </w:pPr>
            <w:r w:rsidRPr="009B7E9E">
              <w:rPr>
                <w:color w:val="000000"/>
                <w:sz w:val="14"/>
                <w:szCs w:val="14"/>
              </w:rPr>
              <w:t>(5.126</w:t>
            </w:r>
            <w:r w:rsidRPr="009B7E9E">
              <w:rPr>
                <w:color w:val="000000"/>
                <w:sz w:val="14"/>
                <w:szCs w:val="14"/>
                <w:lang w:eastAsia="tr-TR"/>
              </w:rPr>
              <w:t>)</w:t>
            </w:r>
          </w:p>
        </w:tc>
      </w:tr>
      <w:tr w:rsidR="00263F8A" w:rsidRPr="009B7E9E" w14:paraId="5DCECAA6" w14:textId="77777777" w:rsidTr="00263F8A">
        <w:trPr>
          <w:divId w:val="282467830"/>
          <w:trHeight w:val="20"/>
        </w:trPr>
        <w:tc>
          <w:tcPr>
            <w:tcW w:w="418" w:type="pct"/>
            <w:tcBorders>
              <w:top w:val="nil"/>
              <w:left w:val="single" w:sz="4" w:space="0" w:color="auto"/>
              <w:bottom w:val="nil"/>
              <w:right w:val="nil"/>
            </w:tcBorders>
            <w:noWrap/>
            <w:hideMark/>
          </w:tcPr>
          <w:p w14:paraId="1946DF57" w14:textId="77777777" w:rsidR="00263F8A" w:rsidRPr="009B7E9E" w:rsidRDefault="00263F8A" w:rsidP="00263F8A">
            <w:pPr>
              <w:rPr>
                <w:color w:val="000000"/>
                <w:sz w:val="14"/>
                <w:szCs w:val="14"/>
              </w:rPr>
            </w:pPr>
            <w:r w:rsidRPr="009B7E9E">
              <w:rPr>
                <w:color w:val="000000"/>
                <w:sz w:val="14"/>
                <w:szCs w:val="14"/>
              </w:rPr>
              <w:t>14.4</w:t>
            </w:r>
          </w:p>
        </w:tc>
        <w:tc>
          <w:tcPr>
            <w:tcW w:w="2358" w:type="pct"/>
            <w:tcBorders>
              <w:top w:val="nil"/>
              <w:left w:val="nil"/>
              <w:bottom w:val="nil"/>
              <w:right w:val="nil"/>
            </w:tcBorders>
            <w:hideMark/>
          </w:tcPr>
          <w:p w14:paraId="4EF2DE5A" w14:textId="77777777" w:rsidR="00263F8A" w:rsidRPr="009B7E9E" w:rsidRDefault="00263F8A" w:rsidP="00263F8A">
            <w:pPr>
              <w:rPr>
                <w:color w:val="000000"/>
                <w:sz w:val="14"/>
                <w:szCs w:val="14"/>
              </w:rPr>
            </w:pPr>
            <w:r w:rsidRPr="009B7E9E">
              <w:rPr>
                <w:color w:val="000000"/>
                <w:sz w:val="14"/>
                <w:szCs w:val="14"/>
              </w:rPr>
              <w:t>Kâr veya Zararda Yeniden Sınıflandırılacak Birikmiş Diğer Kapsamlı Gelirler veya Giderler</w:t>
            </w:r>
          </w:p>
        </w:tc>
        <w:tc>
          <w:tcPr>
            <w:tcW w:w="509" w:type="pct"/>
            <w:tcBorders>
              <w:top w:val="nil"/>
              <w:left w:val="single" w:sz="4" w:space="0" w:color="auto"/>
              <w:bottom w:val="nil"/>
              <w:right w:val="single" w:sz="4" w:space="0" w:color="auto"/>
            </w:tcBorders>
            <w:vAlign w:val="bottom"/>
            <w:hideMark/>
          </w:tcPr>
          <w:p w14:paraId="5649030D" w14:textId="77777777" w:rsidR="00263F8A" w:rsidRPr="009B7E9E" w:rsidRDefault="00263F8A" w:rsidP="00263F8A">
            <w:pPr>
              <w:jc w:val="center"/>
              <w:rPr>
                <w:color w:val="000000"/>
                <w:sz w:val="14"/>
                <w:szCs w:val="14"/>
                <w:lang w:eastAsia="tr-TR"/>
              </w:rPr>
            </w:pPr>
            <w:r w:rsidRPr="009B7E9E">
              <w:rPr>
                <w:color w:val="000000"/>
                <w:sz w:val="14"/>
                <w:szCs w:val="14"/>
              </w:rPr>
              <w:t> </w:t>
            </w:r>
          </w:p>
        </w:tc>
        <w:tc>
          <w:tcPr>
            <w:tcW w:w="511" w:type="pct"/>
            <w:tcBorders>
              <w:top w:val="nil"/>
              <w:left w:val="nil"/>
              <w:bottom w:val="nil"/>
              <w:right w:val="nil"/>
            </w:tcBorders>
            <w:shd w:val="clear" w:color="000000" w:fill="FFFFFF"/>
            <w:vAlign w:val="bottom"/>
            <w:hideMark/>
          </w:tcPr>
          <w:p w14:paraId="4A06FA31" w14:textId="2101B1F0" w:rsidR="00263F8A" w:rsidRPr="009B7E9E" w:rsidRDefault="00263F8A" w:rsidP="00263F8A">
            <w:pPr>
              <w:jc w:val="right"/>
              <w:rPr>
                <w:color w:val="000000"/>
                <w:sz w:val="14"/>
                <w:szCs w:val="14"/>
              </w:rPr>
            </w:pPr>
            <w:r w:rsidRPr="009B7E9E">
              <w:rPr>
                <w:sz w:val="14"/>
                <w:szCs w:val="14"/>
              </w:rPr>
              <w:t>43.428</w:t>
            </w:r>
          </w:p>
        </w:tc>
        <w:tc>
          <w:tcPr>
            <w:tcW w:w="557" w:type="pct"/>
            <w:tcBorders>
              <w:top w:val="nil"/>
              <w:left w:val="single" w:sz="4" w:space="0" w:color="auto"/>
              <w:bottom w:val="nil"/>
              <w:right w:val="single" w:sz="4" w:space="0" w:color="auto"/>
            </w:tcBorders>
            <w:shd w:val="clear" w:color="000000" w:fill="FFFFFF"/>
            <w:vAlign w:val="bottom"/>
            <w:hideMark/>
          </w:tcPr>
          <w:p w14:paraId="08B8F5EE" w14:textId="6FC03307" w:rsidR="00263F8A" w:rsidRPr="009B7E9E" w:rsidRDefault="00263F8A" w:rsidP="00263F8A">
            <w:pPr>
              <w:jc w:val="right"/>
              <w:rPr>
                <w:color w:val="000000"/>
                <w:sz w:val="14"/>
                <w:szCs w:val="14"/>
              </w:rPr>
            </w:pPr>
            <w:r w:rsidRPr="009B7E9E">
              <w:rPr>
                <w:sz w:val="14"/>
                <w:szCs w:val="14"/>
              </w:rPr>
              <w:t>17.646</w:t>
            </w:r>
          </w:p>
        </w:tc>
        <w:tc>
          <w:tcPr>
            <w:tcW w:w="648" w:type="pct"/>
            <w:tcBorders>
              <w:top w:val="nil"/>
              <w:left w:val="nil"/>
              <w:bottom w:val="nil"/>
              <w:right w:val="single" w:sz="4" w:space="0" w:color="auto"/>
            </w:tcBorders>
            <w:shd w:val="clear" w:color="000000" w:fill="FFFFFF"/>
            <w:vAlign w:val="bottom"/>
            <w:hideMark/>
          </w:tcPr>
          <w:p w14:paraId="3ABF73EB" w14:textId="34E2E069" w:rsidR="00263F8A" w:rsidRPr="009B7E9E" w:rsidRDefault="00263F8A" w:rsidP="00263F8A">
            <w:pPr>
              <w:jc w:val="right"/>
              <w:rPr>
                <w:color w:val="000000"/>
                <w:sz w:val="14"/>
                <w:szCs w:val="14"/>
              </w:rPr>
            </w:pPr>
            <w:r w:rsidRPr="009B7E9E">
              <w:rPr>
                <w:sz w:val="14"/>
                <w:szCs w:val="14"/>
              </w:rPr>
              <w:t>61.074</w:t>
            </w:r>
          </w:p>
        </w:tc>
      </w:tr>
      <w:tr w:rsidR="00A74C68" w:rsidRPr="00A74C68" w14:paraId="0F8E30A1" w14:textId="77777777" w:rsidTr="00263F8A">
        <w:trPr>
          <w:divId w:val="282467830"/>
          <w:trHeight w:val="20"/>
        </w:trPr>
        <w:tc>
          <w:tcPr>
            <w:tcW w:w="418" w:type="pct"/>
            <w:tcBorders>
              <w:top w:val="nil"/>
              <w:left w:val="single" w:sz="4" w:space="0" w:color="auto"/>
              <w:bottom w:val="nil"/>
              <w:right w:val="nil"/>
            </w:tcBorders>
            <w:noWrap/>
            <w:hideMark/>
          </w:tcPr>
          <w:p w14:paraId="614118B2" w14:textId="77777777" w:rsidR="00A74C68" w:rsidRPr="009B7E9E" w:rsidRDefault="00A74C68" w:rsidP="00A74C68">
            <w:pPr>
              <w:rPr>
                <w:color w:val="000000"/>
                <w:sz w:val="14"/>
                <w:szCs w:val="14"/>
              </w:rPr>
            </w:pPr>
            <w:r w:rsidRPr="009B7E9E">
              <w:rPr>
                <w:color w:val="000000"/>
                <w:sz w:val="14"/>
                <w:szCs w:val="14"/>
              </w:rPr>
              <w:t>14.5</w:t>
            </w:r>
          </w:p>
        </w:tc>
        <w:tc>
          <w:tcPr>
            <w:tcW w:w="2358" w:type="pct"/>
            <w:tcBorders>
              <w:top w:val="nil"/>
              <w:left w:val="nil"/>
              <w:bottom w:val="nil"/>
              <w:right w:val="nil"/>
            </w:tcBorders>
            <w:hideMark/>
          </w:tcPr>
          <w:p w14:paraId="195D4F11" w14:textId="77777777" w:rsidR="00A74C68" w:rsidRPr="009B7E9E" w:rsidRDefault="00A74C68" w:rsidP="00A74C68">
            <w:pPr>
              <w:rPr>
                <w:color w:val="000000"/>
                <w:sz w:val="14"/>
                <w:szCs w:val="14"/>
              </w:rPr>
            </w:pPr>
            <w:r w:rsidRPr="009B7E9E">
              <w:rPr>
                <w:color w:val="000000"/>
                <w:sz w:val="14"/>
                <w:szCs w:val="14"/>
              </w:rPr>
              <w:t>Kâr Yedekleri</w:t>
            </w:r>
          </w:p>
        </w:tc>
        <w:tc>
          <w:tcPr>
            <w:tcW w:w="509" w:type="pct"/>
            <w:tcBorders>
              <w:top w:val="nil"/>
              <w:left w:val="single" w:sz="4" w:space="0" w:color="auto"/>
              <w:bottom w:val="nil"/>
              <w:right w:val="single" w:sz="4" w:space="0" w:color="auto"/>
            </w:tcBorders>
            <w:vAlign w:val="bottom"/>
            <w:hideMark/>
          </w:tcPr>
          <w:p w14:paraId="2BAEEFF5" w14:textId="77777777" w:rsidR="00A74C68" w:rsidRPr="009B7E9E" w:rsidRDefault="00A74C68" w:rsidP="00A74C68">
            <w:pPr>
              <w:jc w:val="center"/>
              <w:rPr>
                <w:color w:val="000000"/>
                <w:sz w:val="14"/>
                <w:szCs w:val="14"/>
                <w:lang w:eastAsia="tr-TR"/>
              </w:rPr>
            </w:pPr>
            <w:r w:rsidRPr="009B7E9E">
              <w:rPr>
                <w:color w:val="000000"/>
                <w:sz w:val="14"/>
                <w:szCs w:val="14"/>
              </w:rPr>
              <w:t> </w:t>
            </w:r>
          </w:p>
        </w:tc>
        <w:tc>
          <w:tcPr>
            <w:tcW w:w="511" w:type="pct"/>
            <w:tcBorders>
              <w:top w:val="nil"/>
              <w:left w:val="nil"/>
              <w:bottom w:val="nil"/>
              <w:right w:val="nil"/>
            </w:tcBorders>
            <w:shd w:val="clear" w:color="000000" w:fill="FFFFFF"/>
            <w:vAlign w:val="bottom"/>
            <w:hideMark/>
          </w:tcPr>
          <w:p w14:paraId="713846FE" w14:textId="77777777" w:rsidR="00A74C68" w:rsidRPr="009B7E9E" w:rsidRDefault="00A74C68" w:rsidP="00A74C68">
            <w:pPr>
              <w:jc w:val="right"/>
              <w:rPr>
                <w:color w:val="000000"/>
                <w:sz w:val="14"/>
                <w:szCs w:val="14"/>
              </w:rPr>
            </w:pPr>
            <w:r w:rsidRPr="009B7E9E">
              <w:rPr>
                <w:color w:val="000000"/>
                <w:sz w:val="14"/>
                <w:szCs w:val="14"/>
              </w:rPr>
              <w:t>67.594</w:t>
            </w:r>
          </w:p>
        </w:tc>
        <w:tc>
          <w:tcPr>
            <w:tcW w:w="557" w:type="pct"/>
            <w:tcBorders>
              <w:top w:val="nil"/>
              <w:left w:val="single" w:sz="4" w:space="0" w:color="auto"/>
              <w:bottom w:val="nil"/>
              <w:right w:val="single" w:sz="4" w:space="0" w:color="auto"/>
            </w:tcBorders>
            <w:shd w:val="clear" w:color="000000" w:fill="FFFFFF"/>
            <w:vAlign w:val="bottom"/>
            <w:hideMark/>
          </w:tcPr>
          <w:p w14:paraId="170878EF" w14:textId="77777777" w:rsidR="00A74C68" w:rsidRPr="009B7E9E" w:rsidRDefault="00A74C68" w:rsidP="00A74C68">
            <w:pPr>
              <w:jc w:val="right"/>
              <w:rPr>
                <w:color w:val="000000"/>
                <w:sz w:val="14"/>
                <w:szCs w:val="14"/>
              </w:rPr>
            </w:pPr>
            <w:r w:rsidRPr="009B7E9E">
              <w:rPr>
                <w:color w:val="000000"/>
                <w:sz w:val="14"/>
                <w:szCs w:val="14"/>
              </w:rPr>
              <w:t>-</w:t>
            </w:r>
          </w:p>
        </w:tc>
        <w:tc>
          <w:tcPr>
            <w:tcW w:w="648" w:type="pct"/>
            <w:tcBorders>
              <w:top w:val="nil"/>
              <w:left w:val="nil"/>
              <w:bottom w:val="nil"/>
              <w:right w:val="single" w:sz="4" w:space="0" w:color="auto"/>
            </w:tcBorders>
            <w:shd w:val="clear" w:color="000000" w:fill="FFFFFF"/>
            <w:vAlign w:val="bottom"/>
            <w:hideMark/>
          </w:tcPr>
          <w:p w14:paraId="3B1429A3" w14:textId="77777777" w:rsidR="00A74C68" w:rsidRPr="00A74C68" w:rsidRDefault="00A74C68" w:rsidP="00A74C68">
            <w:pPr>
              <w:jc w:val="right"/>
              <w:rPr>
                <w:color w:val="000000"/>
                <w:sz w:val="14"/>
                <w:szCs w:val="14"/>
              </w:rPr>
            </w:pPr>
            <w:r w:rsidRPr="009B7E9E">
              <w:rPr>
                <w:color w:val="000000"/>
                <w:sz w:val="14"/>
                <w:szCs w:val="14"/>
              </w:rPr>
              <w:t>67.594</w:t>
            </w:r>
          </w:p>
        </w:tc>
      </w:tr>
      <w:tr w:rsidR="00A74C68" w:rsidRPr="00A74C68" w14:paraId="1983EAE8" w14:textId="77777777" w:rsidTr="00263F8A">
        <w:trPr>
          <w:divId w:val="282467830"/>
          <w:trHeight w:val="20"/>
        </w:trPr>
        <w:tc>
          <w:tcPr>
            <w:tcW w:w="418" w:type="pct"/>
            <w:tcBorders>
              <w:top w:val="nil"/>
              <w:left w:val="single" w:sz="4" w:space="0" w:color="auto"/>
              <w:bottom w:val="nil"/>
              <w:right w:val="nil"/>
            </w:tcBorders>
            <w:noWrap/>
            <w:hideMark/>
          </w:tcPr>
          <w:p w14:paraId="5CEC3EDE" w14:textId="77777777" w:rsidR="00A74C68" w:rsidRPr="00A74C68" w:rsidRDefault="00A74C68" w:rsidP="00A74C68">
            <w:pPr>
              <w:rPr>
                <w:color w:val="000000"/>
                <w:sz w:val="14"/>
                <w:szCs w:val="14"/>
              </w:rPr>
            </w:pPr>
            <w:r w:rsidRPr="00A74C68">
              <w:rPr>
                <w:color w:val="000000"/>
                <w:sz w:val="14"/>
                <w:szCs w:val="14"/>
              </w:rPr>
              <w:t>14.5.1</w:t>
            </w:r>
          </w:p>
        </w:tc>
        <w:tc>
          <w:tcPr>
            <w:tcW w:w="2358" w:type="pct"/>
            <w:tcBorders>
              <w:top w:val="nil"/>
              <w:left w:val="nil"/>
              <w:bottom w:val="nil"/>
              <w:right w:val="nil"/>
            </w:tcBorders>
            <w:hideMark/>
          </w:tcPr>
          <w:p w14:paraId="6E34B532" w14:textId="77777777" w:rsidR="00A74C68" w:rsidRPr="00A74C68" w:rsidRDefault="00A74C68" w:rsidP="00A74C68">
            <w:pPr>
              <w:rPr>
                <w:color w:val="000000"/>
                <w:sz w:val="14"/>
                <w:szCs w:val="14"/>
              </w:rPr>
            </w:pPr>
            <w:r w:rsidRPr="00A74C68">
              <w:rPr>
                <w:color w:val="000000"/>
                <w:sz w:val="14"/>
                <w:szCs w:val="14"/>
              </w:rPr>
              <w:t>Yasal Yedekler</w:t>
            </w:r>
          </w:p>
        </w:tc>
        <w:tc>
          <w:tcPr>
            <w:tcW w:w="509" w:type="pct"/>
            <w:tcBorders>
              <w:top w:val="nil"/>
              <w:left w:val="single" w:sz="4" w:space="0" w:color="auto"/>
              <w:bottom w:val="nil"/>
              <w:right w:val="single" w:sz="4" w:space="0" w:color="auto"/>
            </w:tcBorders>
            <w:vAlign w:val="bottom"/>
            <w:hideMark/>
          </w:tcPr>
          <w:p w14:paraId="7718243D" w14:textId="77777777" w:rsidR="00A74C68" w:rsidRPr="00A74C68" w:rsidRDefault="00A74C68" w:rsidP="00A74C68">
            <w:pPr>
              <w:jc w:val="center"/>
              <w:rPr>
                <w:color w:val="000000"/>
                <w:sz w:val="14"/>
                <w:szCs w:val="14"/>
                <w:lang w:eastAsia="tr-TR"/>
              </w:rPr>
            </w:pPr>
            <w:r w:rsidRPr="00A74C68">
              <w:rPr>
                <w:color w:val="000000"/>
                <w:sz w:val="14"/>
                <w:szCs w:val="14"/>
              </w:rPr>
              <w:t> </w:t>
            </w:r>
          </w:p>
        </w:tc>
        <w:tc>
          <w:tcPr>
            <w:tcW w:w="511" w:type="pct"/>
            <w:tcBorders>
              <w:top w:val="nil"/>
              <w:left w:val="nil"/>
              <w:bottom w:val="nil"/>
              <w:right w:val="nil"/>
            </w:tcBorders>
            <w:shd w:val="clear" w:color="000000" w:fill="FFFFFF"/>
            <w:vAlign w:val="bottom"/>
            <w:hideMark/>
          </w:tcPr>
          <w:p w14:paraId="743339B5" w14:textId="77777777" w:rsidR="00A74C68" w:rsidRPr="00A74C68" w:rsidRDefault="00A74C68" w:rsidP="00A74C68">
            <w:pPr>
              <w:jc w:val="right"/>
              <w:rPr>
                <w:color w:val="000000"/>
                <w:sz w:val="14"/>
                <w:szCs w:val="14"/>
              </w:rPr>
            </w:pPr>
            <w:r w:rsidRPr="00A74C68">
              <w:rPr>
                <w:color w:val="000000"/>
                <w:sz w:val="14"/>
                <w:szCs w:val="14"/>
              </w:rPr>
              <w:t>67.030</w:t>
            </w:r>
          </w:p>
        </w:tc>
        <w:tc>
          <w:tcPr>
            <w:tcW w:w="557" w:type="pct"/>
            <w:tcBorders>
              <w:top w:val="nil"/>
              <w:left w:val="single" w:sz="4" w:space="0" w:color="auto"/>
              <w:bottom w:val="nil"/>
              <w:right w:val="single" w:sz="4" w:space="0" w:color="auto"/>
            </w:tcBorders>
            <w:shd w:val="clear" w:color="000000" w:fill="FFFFFF"/>
            <w:vAlign w:val="bottom"/>
            <w:hideMark/>
          </w:tcPr>
          <w:p w14:paraId="6C39D734" w14:textId="77777777" w:rsidR="00A74C68" w:rsidRPr="00A74C68" w:rsidRDefault="00A74C68" w:rsidP="00A74C68">
            <w:pPr>
              <w:jc w:val="right"/>
              <w:rPr>
                <w:color w:val="000000"/>
                <w:sz w:val="14"/>
                <w:szCs w:val="14"/>
              </w:rPr>
            </w:pPr>
            <w:r w:rsidRPr="00A74C68">
              <w:rPr>
                <w:color w:val="000000"/>
                <w:sz w:val="14"/>
                <w:szCs w:val="14"/>
              </w:rPr>
              <w:t>-</w:t>
            </w:r>
          </w:p>
        </w:tc>
        <w:tc>
          <w:tcPr>
            <w:tcW w:w="648" w:type="pct"/>
            <w:tcBorders>
              <w:top w:val="nil"/>
              <w:left w:val="nil"/>
              <w:bottom w:val="nil"/>
              <w:right w:val="single" w:sz="4" w:space="0" w:color="auto"/>
            </w:tcBorders>
            <w:shd w:val="clear" w:color="000000" w:fill="FFFFFF"/>
            <w:vAlign w:val="bottom"/>
            <w:hideMark/>
          </w:tcPr>
          <w:p w14:paraId="0201C8E0" w14:textId="77777777" w:rsidR="00A74C68" w:rsidRPr="00A74C68" w:rsidRDefault="00A74C68" w:rsidP="00A74C68">
            <w:pPr>
              <w:jc w:val="right"/>
              <w:rPr>
                <w:color w:val="000000"/>
                <w:sz w:val="14"/>
                <w:szCs w:val="14"/>
              </w:rPr>
            </w:pPr>
            <w:r w:rsidRPr="00A74C68">
              <w:rPr>
                <w:color w:val="000000"/>
                <w:sz w:val="14"/>
                <w:szCs w:val="14"/>
              </w:rPr>
              <w:t>67.030</w:t>
            </w:r>
          </w:p>
        </w:tc>
      </w:tr>
      <w:tr w:rsidR="00A74C68" w:rsidRPr="00A74C68" w14:paraId="3F263C4E" w14:textId="77777777" w:rsidTr="00263F8A">
        <w:trPr>
          <w:divId w:val="282467830"/>
          <w:trHeight w:val="20"/>
        </w:trPr>
        <w:tc>
          <w:tcPr>
            <w:tcW w:w="418" w:type="pct"/>
            <w:tcBorders>
              <w:top w:val="nil"/>
              <w:left w:val="single" w:sz="4" w:space="0" w:color="auto"/>
              <w:bottom w:val="nil"/>
              <w:right w:val="nil"/>
            </w:tcBorders>
            <w:noWrap/>
            <w:hideMark/>
          </w:tcPr>
          <w:p w14:paraId="74D77C3B" w14:textId="77777777" w:rsidR="00A74C68" w:rsidRPr="00A74C68" w:rsidRDefault="00A74C68" w:rsidP="00A74C68">
            <w:pPr>
              <w:rPr>
                <w:color w:val="000000"/>
                <w:sz w:val="14"/>
                <w:szCs w:val="14"/>
              </w:rPr>
            </w:pPr>
            <w:r w:rsidRPr="00A74C68">
              <w:rPr>
                <w:color w:val="000000"/>
                <w:sz w:val="14"/>
                <w:szCs w:val="14"/>
              </w:rPr>
              <w:t>14.5.2</w:t>
            </w:r>
          </w:p>
        </w:tc>
        <w:tc>
          <w:tcPr>
            <w:tcW w:w="2358" w:type="pct"/>
            <w:tcBorders>
              <w:top w:val="nil"/>
              <w:left w:val="nil"/>
              <w:bottom w:val="nil"/>
              <w:right w:val="nil"/>
            </w:tcBorders>
            <w:hideMark/>
          </w:tcPr>
          <w:p w14:paraId="09C5CBE3" w14:textId="77777777" w:rsidR="00A74C68" w:rsidRPr="00A74C68" w:rsidRDefault="00A74C68" w:rsidP="00A74C68">
            <w:pPr>
              <w:rPr>
                <w:color w:val="000000"/>
                <w:sz w:val="14"/>
                <w:szCs w:val="14"/>
              </w:rPr>
            </w:pPr>
            <w:r w:rsidRPr="00A74C68">
              <w:rPr>
                <w:color w:val="000000"/>
                <w:sz w:val="14"/>
                <w:szCs w:val="14"/>
              </w:rPr>
              <w:t>Statü Yedekleri</w:t>
            </w:r>
          </w:p>
        </w:tc>
        <w:tc>
          <w:tcPr>
            <w:tcW w:w="509" w:type="pct"/>
            <w:tcBorders>
              <w:top w:val="nil"/>
              <w:left w:val="single" w:sz="4" w:space="0" w:color="auto"/>
              <w:bottom w:val="nil"/>
              <w:right w:val="single" w:sz="4" w:space="0" w:color="auto"/>
            </w:tcBorders>
            <w:vAlign w:val="bottom"/>
            <w:hideMark/>
          </w:tcPr>
          <w:p w14:paraId="042B7F09" w14:textId="77777777" w:rsidR="00A74C68" w:rsidRPr="00A74C68" w:rsidRDefault="00A74C68" w:rsidP="00A74C68">
            <w:pPr>
              <w:jc w:val="center"/>
              <w:rPr>
                <w:color w:val="000000"/>
                <w:sz w:val="14"/>
                <w:szCs w:val="14"/>
                <w:lang w:eastAsia="tr-TR"/>
              </w:rPr>
            </w:pPr>
            <w:r w:rsidRPr="00A74C68">
              <w:rPr>
                <w:color w:val="000000"/>
                <w:sz w:val="14"/>
                <w:szCs w:val="14"/>
              </w:rPr>
              <w:t> </w:t>
            </w:r>
          </w:p>
        </w:tc>
        <w:tc>
          <w:tcPr>
            <w:tcW w:w="511" w:type="pct"/>
            <w:tcBorders>
              <w:top w:val="nil"/>
              <w:left w:val="nil"/>
              <w:bottom w:val="nil"/>
              <w:right w:val="nil"/>
            </w:tcBorders>
            <w:shd w:val="clear" w:color="000000" w:fill="FFFFFF"/>
            <w:vAlign w:val="bottom"/>
            <w:hideMark/>
          </w:tcPr>
          <w:p w14:paraId="13B53F42" w14:textId="77777777" w:rsidR="00A74C68" w:rsidRPr="00A74C68" w:rsidRDefault="00A74C68" w:rsidP="00A74C68">
            <w:pPr>
              <w:jc w:val="right"/>
              <w:rPr>
                <w:color w:val="000000"/>
                <w:sz w:val="14"/>
                <w:szCs w:val="14"/>
              </w:rPr>
            </w:pPr>
            <w:r w:rsidRPr="00A74C68">
              <w:rPr>
                <w:color w:val="000000"/>
                <w:sz w:val="14"/>
                <w:szCs w:val="14"/>
              </w:rPr>
              <w:t>-</w:t>
            </w:r>
          </w:p>
        </w:tc>
        <w:tc>
          <w:tcPr>
            <w:tcW w:w="557" w:type="pct"/>
            <w:tcBorders>
              <w:top w:val="nil"/>
              <w:left w:val="single" w:sz="4" w:space="0" w:color="auto"/>
              <w:bottom w:val="nil"/>
              <w:right w:val="single" w:sz="4" w:space="0" w:color="auto"/>
            </w:tcBorders>
            <w:shd w:val="clear" w:color="000000" w:fill="FFFFFF"/>
            <w:vAlign w:val="bottom"/>
            <w:hideMark/>
          </w:tcPr>
          <w:p w14:paraId="2B48894A" w14:textId="77777777" w:rsidR="00A74C68" w:rsidRPr="00A74C68" w:rsidRDefault="00A74C68" w:rsidP="00A74C68">
            <w:pPr>
              <w:jc w:val="right"/>
              <w:rPr>
                <w:color w:val="000000"/>
                <w:sz w:val="14"/>
                <w:szCs w:val="14"/>
              </w:rPr>
            </w:pPr>
            <w:r w:rsidRPr="00A74C68">
              <w:rPr>
                <w:color w:val="000000"/>
                <w:sz w:val="14"/>
                <w:szCs w:val="14"/>
              </w:rPr>
              <w:t>-</w:t>
            </w:r>
          </w:p>
        </w:tc>
        <w:tc>
          <w:tcPr>
            <w:tcW w:w="648" w:type="pct"/>
            <w:tcBorders>
              <w:top w:val="nil"/>
              <w:left w:val="nil"/>
              <w:bottom w:val="nil"/>
              <w:right w:val="single" w:sz="4" w:space="0" w:color="auto"/>
            </w:tcBorders>
            <w:shd w:val="clear" w:color="000000" w:fill="FFFFFF"/>
            <w:vAlign w:val="bottom"/>
            <w:hideMark/>
          </w:tcPr>
          <w:p w14:paraId="18C7AC35" w14:textId="77777777" w:rsidR="00A74C68" w:rsidRPr="00A74C68" w:rsidRDefault="00A74C68" w:rsidP="00A74C68">
            <w:pPr>
              <w:jc w:val="right"/>
              <w:rPr>
                <w:color w:val="000000"/>
                <w:sz w:val="14"/>
                <w:szCs w:val="14"/>
              </w:rPr>
            </w:pPr>
            <w:r w:rsidRPr="00A74C68">
              <w:rPr>
                <w:color w:val="000000"/>
                <w:sz w:val="14"/>
                <w:szCs w:val="14"/>
              </w:rPr>
              <w:t>-</w:t>
            </w:r>
          </w:p>
        </w:tc>
      </w:tr>
      <w:tr w:rsidR="00A74C68" w:rsidRPr="00A74C68" w14:paraId="03332574" w14:textId="77777777" w:rsidTr="00263F8A">
        <w:trPr>
          <w:divId w:val="282467830"/>
          <w:trHeight w:val="20"/>
        </w:trPr>
        <w:tc>
          <w:tcPr>
            <w:tcW w:w="418" w:type="pct"/>
            <w:tcBorders>
              <w:top w:val="nil"/>
              <w:left w:val="single" w:sz="4" w:space="0" w:color="auto"/>
              <w:bottom w:val="nil"/>
              <w:right w:val="nil"/>
            </w:tcBorders>
            <w:noWrap/>
            <w:hideMark/>
          </w:tcPr>
          <w:p w14:paraId="38E44804" w14:textId="77777777" w:rsidR="00A74C68" w:rsidRPr="00A74C68" w:rsidRDefault="00A74C68" w:rsidP="00A74C68">
            <w:pPr>
              <w:rPr>
                <w:color w:val="000000"/>
                <w:sz w:val="14"/>
                <w:szCs w:val="14"/>
              </w:rPr>
            </w:pPr>
            <w:r w:rsidRPr="00A74C68">
              <w:rPr>
                <w:color w:val="000000"/>
                <w:sz w:val="14"/>
                <w:szCs w:val="14"/>
              </w:rPr>
              <w:t>14.5.3</w:t>
            </w:r>
          </w:p>
        </w:tc>
        <w:tc>
          <w:tcPr>
            <w:tcW w:w="2358" w:type="pct"/>
            <w:tcBorders>
              <w:top w:val="nil"/>
              <w:left w:val="nil"/>
              <w:bottom w:val="nil"/>
              <w:right w:val="nil"/>
            </w:tcBorders>
            <w:hideMark/>
          </w:tcPr>
          <w:p w14:paraId="28AB8677" w14:textId="77777777" w:rsidR="00A74C68" w:rsidRPr="00A74C68" w:rsidRDefault="00A74C68" w:rsidP="00A74C68">
            <w:pPr>
              <w:rPr>
                <w:color w:val="000000"/>
                <w:sz w:val="14"/>
                <w:szCs w:val="14"/>
              </w:rPr>
            </w:pPr>
            <w:r w:rsidRPr="00A74C68">
              <w:rPr>
                <w:color w:val="000000"/>
                <w:sz w:val="14"/>
                <w:szCs w:val="14"/>
              </w:rPr>
              <w:t>Olağanüstü Yedekler</w:t>
            </w:r>
          </w:p>
        </w:tc>
        <w:tc>
          <w:tcPr>
            <w:tcW w:w="509" w:type="pct"/>
            <w:tcBorders>
              <w:top w:val="nil"/>
              <w:left w:val="single" w:sz="4" w:space="0" w:color="auto"/>
              <w:bottom w:val="nil"/>
              <w:right w:val="single" w:sz="4" w:space="0" w:color="auto"/>
            </w:tcBorders>
            <w:vAlign w:val="bottom"/>
            <w:hideMark/>
          </w:tcPr>
          <w:p w14:paraId="575241DF" w14:textId="77777777" w:rsidR="00A74C68" w:rsidRPr="00A74C68" w:rsidRDefault="00A74C68" w:rsidP="00A74C68">
            <w:pPr>
              <w:jc w:val="center"/>
              <w:rPr>
                <w:color w:val="000000"/>
                <w:sz w:val="14"/>
                <w:szCs w:val="14"/>
                <w:lang w:eastAsia="tr-TR"/>
              </w:rPr>
            </w:pPr>
            <w:r w:rsidRPr="00A74C68">
              <w:rPr>
                <w:color w:val="000000"/>
                <w:sz w:val="14"/>
                <w:szCs w:val="14"/>
              </w:rPr>
              <w:t> </w:t>
            </w:r>
          </w:p>
        </w:tc>
        <w:tc>
          <w:tcPr>
            <w:tcW w:w="511" w:type="pct"/>
            <w:tcBorders>
              <w:top w:val="nil"/>
              <w:left w:val="nil"/>
              <w:bottom w:val="nil"/>
              <w:right w:val="nil"/>
            </w:tcBorders>
            <w:shd w:val="clear" w:color="000000" w:fill="FFFFFF"/>
            <w:vAlign w:val="bottom"/>
            <w:hideMark/>
          </w:tcPr>
          <w:p w14:paraId="09B5DC29" w14:textId="77777777" w:rsidR="00A74C68" w:rsidRPr="00A74C68" w:rsidRDefault="00A74C68" w:rsidP="00A74C68">
            <w:pPr>
              <w:jc w:val="right"/>
              <w:rPr>
                <w:color w:val="000000"/>
                <w:sz w:val="14"/>
                <w:szCs w:val="14"/>
              </w:rPr>
            </w:pPr>
            <w:r w:rsidRPr="00A74C68">
              <w:rPr>
                <w:color w:val="000000"/>
                <w:sz w:val="14"/>
                <w:szCs w:val="14"/>
              </w:rPr>
              <w:t>564</w:t>
            </w:r>
          </w:p>
        </w:tc>
        <w:tc>
          <w:tcPr>
            <w:tcW w:w="557" w:type="pct"/>
            <w:tcBorders>
              <w:top w:val="nil"/>
              <w:left w:val="single" w:sz="4" w:space="0" w:color="auto"/>
              <w:bottom w:val="nil"/>
              <w:right w:val="single" w:sz="4" w:space="0" w:color="auto"/>
            </w:tcBorders>
            <w:shd w:val="clear" w:color="000000" w:fill="FFFFFF"/>
            <w:vAlign w:val="bottom"/>
            <w:hideMark/>
          </w:tcPr>
          <w:p w14:paraId="20CBC3B3" w14:textId="77777777" w:rsidR="00A74C68" w:rsidRPr="00A74C68" w:rsidRDefault="00A74C68" w:rsidP="00A74C68">
            <w:pPr>
              <w:jc w:val="right"/>
              <w:rPr>
                <w:color w:val="000000"/>
                <w:sz w:val="14"/>
                <w:szCs w:val="14"/>
              </w:rPr>
            </w:pPr>
            <w:r w:rsidRPr="00A74C68">
              <w:rPr>
                <w:color w:val="000000"/>
                <w:sz w:val="14"/>
                <w:szCs w:val="14"/>
              </w:rPr>
              <w:t>-</w:t>
            </w:r>
          </w:p>
        </w:tc>
        <w:tc>
          <w:tcPr>
            <w:tcW w:w="648" w:type="pct"/>
            <w:tcBorders>
              <w:top w:val="nil"/>
              <w:left w:val="nil"/>
              <w:bottom w:val="nil"/>
              <w:right w:val="single" w:sz="4" w:space="0" w:color="auto"/>
            </w:tcBorders>
            <w:shd w:val="clear" w:color="000000" w:fill="FFFFFF"/>
            <w:vAlign w:val="bottom"/>
            <w:hideMark/>
          </w:tcPr>
          <w:p w14:paraId="441F6359" w14:textId="77777777" w:rsidR="00A74C68" w:rsidRPr="00A74C68" w:rsidRDefault="00A74C68" w:rsidP="00A74C68">
            <w:pPr>
              <w:jc w:val="right"/>
              <w:rPr>
                <w:color w:val="000000"/>
                <w:sz w:val="14"/>
                <w:szCs w:val="14"/>
              </w:rPr>
            </w:pPr>
            <w:r w:rsidRPr="00A74C68">
              <w:rPr>
                <w:color w:val="000000"/>
                <w:sz w:val="14"/>
                <w:szCs w:val="14"/>
              </w:rPr>
              <w:t>564</w:t>
            </w:r>
          </w:p>
        </w:tc>
      </w:tr>
      <w:tr w:rsidR="00A74C68" w:rsidRPr="00A74C68" w14:paraId="3CB2B524" w14:textId="77777777" w:rsidTr="00263F8A">
        <w:trPr>
          <w:divId w:val="282467830"/>
          <w:trHeight w:val="20"/>
        </w:trPr>
        <w:tc>
          <w:tcPr>
            <w:tcW w:w="418" w:type="pct"/>
            <w:tcBorders>
              <w:top w:val="nil"/>
              <w:left w:val="single" w:sz="4" w:space="0" w:color="auto"/>
              <w:bottom w:val="nil"/>
              <w:right w:val="nil"/>
            </w:tcBorders>
            <w:noWrap/>
            <w:hideMark/>
          </w:tcPr>
          <w:p w14:paraId="5C3077A1" w14:textId="77777777" w:rsidR="00A74C68" w:rsidRPr="00A74C68" w:rsidRDefault="00A74C68" w:rsidP="00A74C68">
            <w:pPr>
              <w:rPr>
                <w:color w:val="000000"/>
                <w:sz w:val="14"/>
                <w:szCs w:val="14"/>
              </w:rPr>
            </w:pPr>
            <w:r w:rsidRPr="00A74C68">
              <w:rPr>
                <w:color w:val="000000"/>
                <w:sz w:val="14"/>
                <w:szCs w:val="14"/>
              </w:rPr>
              <w:t>14.5.4</w:t>
            </w:r>
          </w:p>
        </w:tc>
        <w:tc>
          <w:tcPr>
            <w:tcW w:w="2358" w:type="pct"/>
            <w:tcBorders>
              <w:top w:val="nil"/>
              <w:left w:val="nil"/>
              <w:bottom w:val="nil"/>
              <w:right w:val="nil"/>
            </w:tcBorders>
            <w:hideMark/>
          </w:tcPr>
          <w:p w14:paraId="4A6A46F0" w14:textId="77777777" w:rsidR="00A74C68" w:rsidRPr="00A74C68" w:rsidRDefault="00A74C68" w:rsidP="00A74C68">
            <w:pPr>
              <w:rPr>
                <w:color w:val="000000"/>
                <w:sz w:val="14"/>
                <w:szCs w:val="14"/>
                <w:lang w:eastAsia="tr-TR"/>
              </w:rPr>
            </w:pPr>
            <w:r w:rsidRPr="00A74C68">
              <w:rPr>
                <w:color w:val="000000"/>
                <w:sz w:val="14"/>
                <w:szCs w:val="14"/>
              </w:rPr>
              <w:t xml:space="preserve">Diğer Kâr </w:t>
            </w:r>
            <w:r w:rsidRPr="00A74C68">
              <w:rPr>
                <w:color w:val="000000"/>
                <w:sz w:val="14"/>
                <w:szCs w:val="14"/>
                <w:lang w:eastAsia="tr-TR"/>
              </w:rPr>
              <w:t>Yedekleri</w:t>
            </w:r>
          </w:p>
        </w:tc>
        <w:tc>
          <w:tcPr>
            <w:tcW w:w="509" w:type="pct"/>
            <w:tcBorders>
              <w:top w:val="nil"/>
              <w:left w:val="single" w:sz="4" w:space="0" w:color="auto"/>
              <w:bottom w:val="nil"/>
              <w:right w:val="single" w:sz="4" w:space="0" w:color="auto"/>
            </w:tcBorders>
            <w:vAlign w:val="bottom"/>
            <w:hideMark/>
          </w:tcPr>
          <w:p w14:paraId="6A3041CC" w14:textId="77777777" w:rsidR="00A74C68" w:rsidRPr="00A74C68" w:rsidRDefault="00A74C68" w:rsidP="00A74C68">
            <w:pPr>
              <w:jc w:val="center"/>
              <w:rPr>
                <w:color w:val="000000"/>
                <w:sz w:val="14"/>
                <w:szCs w:val="14"/>
                <w:lang w:eastAsia="tr-TR"/>
              </w:rPr>
            </w:pPr>
            <w:r w:rsidRPr="00A74C68">
              <w:rPr>
                <w:color w:val="000000"/>
                <w:sz w:val="14"/>
                <w:szCs w:val="14"/>
              </w:rPr>
              <w:t> </w:t>
            </w:r>
          </w:p>
        </w:tc>
        <w:tc>
          <w:tcPr>
            <w:tcW w:w="511" w:type="pct"/>
            <w:tcBorders>
              <w:top w:val="nil"/>
              <w:left w:val="nil"/>
              <w:bottom w:val="nil"/>
              <w:right w:val="nil"/>
            </w:tcBorders>
            <w:shd w:val="clear" w:color="000000" w:fill="FFFFFF"/>
            <w:vAlign w:val="bottom"/>
            <w:hideMark/>
          </w:tcPr>
          <w:p w14:paraId="58591C6E" w14:textId="77777777" w:rsidR="00A74C68" w:rsidRPr="00A74C68" w:rsidRDefault="00A74C68" w:rsidP="00A74C68">
            <w:pPr>
              <w:jc w:val="right"/>
              <w:rPr>
                <w:color w:val="000000"/>
                <w:sz w:val="14"/>
                <w:szCs w:val="14"/>
              </w:rPr>
            </w:pPr>
            <w:r w:rsidRPr="00A74C68">
              <w:rPr>
                <w:color w:val="000000"/>
                <w:sz w:val="14"/>
                <w:szCs w:val="14"/>
              </w:rPr>
              <w:t>-</w:t>
            </w:r>
          </w:p>
        </w:tc>
        <w:tc>
          <w:tcPr>
            <w:tcW w:w="557" w:type="pct"/>
            <w:tcBorders>
              <w:top w:val="nil"/>
              <w:left w:val="single" w:sz="4" w:space="0" w:color="auto"/>
              <w:bottom w:val="nil"/>
              <w:right w:val="single" w:sz="4" w:space="0" w:color="auto"/>
            </w:tcBorders>
            <w:shd w:val="clear" w:color="000000" w:fill="FFFFFF"/>
            <w:vAlign w:val="bottom"/>
            <w:hideMark/>
          </w:tcPr>
          <w:p w14:paraId="6DA48252" w14:textId="77777777" w:rsidR="00A74C68" w:rsidRPr="00A74C68" w:rsidRDefault="00A74C68" w:rsidP="00A74C68">
            <w:pPr>
              <w:jc w:val="right"/>
              <w:rPr>
                <w:color w:val="000000"/>
                <w:sz w:val="14"/>
                <w:szCs w:val="14"/>
              </w:rPr>
            </w:pPr>
            <w:r w:rsidRPr="00A74C68">
              <w:rPr>
                <w:color w:val="000000"/>
                <w:sz w:val="14"/>
                <w:szCs w:val="14"/>
              </w:rPr>
              <w:t>-</w:t>
            </w:r>
          </w:p>
        </w:tc>
        <w:tc>
          <w:tcPr>
            <w:tcW w:w="648" w:type="pct"/>
            <w:tcBorders>
              <w:top w:val="nil"/>
              <w:left w:val="nil"/>
              <w:bottom w:val="nil"/>
              <w:right w:val="single" w:sz="4" w:space="0" w:color="auto"/>
            </w:tcBorders>
            <w:shd w:val="clear" w:color="000000" w:fill="FFFFFF"/>
            <w:vAlign w:val="bottom"/>
            <w:hideMark/>
          </w:tcPr>
          <w:p w14:paraId="5B28863D" w14:textId="77777777" w:rsidR="00A74C68" w:rsidRPr="00A74C68" w:rsidRDefault="00A74C68" w:rsidP="00A74C68">
            <w:pPr>
              <w:jc w:val="right"/>
              <w:rPr>
                <w:color w:val="000000"/>
                <w:sz w:val="14"/>
                <w:szCs w:val="14"/>
              </w:rPr>
            </w:pPr>
            <w:r w:rsidRPr="00A74C68">
              <w:rPr>
                <w:color w:val="000000"/>
                <w:sz w:val="14"/>
                <w:szCs w:val="14"/>
              </w:rPr>
              <w:t>-</w:t>
            </w:r>
          </w:p>
        </w:tc>
      </w:tr>
      <w:tr w:rsidR="00A74C68" w:rsidRPr="00A74C68" w14:paraId="2B6B1BEB" w14:textId="77777777" w:rsidTr="00263F8A">
        <w:trPr>
          <w:divId w:val="282467830"/>
          <w:trHeight w:val="20"/>
        </w:trPr>
        <w:tc>
          <w:tcPr>
            <w:tcW w:w="418" w:type="pct"/>
            <w:tcBorders>
              <w:top w:val="nil"/>
              <w:left w:val="single" w:sz="4" w:space="0" w:color="auto"/>
              <w:bottom w:val="nil"/>
              <w:right w:val="nil"/>
            </w:tcBorders>
            <w:noWrap/>
            <w:hideMark/>
          </w:tcPr>
          <w:p w14:paraId="2EDBFDE5" w14:textId="77777777" w:rsidR="00A74C68" w:rsidRPr="00A74C68" w:rsidRDefault="00A74C68" w:rsidP="00A74C68">
            <w:pPr>
              <w:rPr>
                <w:color w:val="000000"/>
                <w:sz w:val="14"/>
                <w:szCs w:val="14"/>
              </w:rPr>
            </w:pPr>
            <w:r w:rsidRPr="00A74C68">
              <w:rPr>
                <w:color w:val="000000"/>
                <w:sz w:val="14"/>
                <w:szCs w:val="14"/>
              </w:rPr>
              <w:t>14.6</w:t>
            </w:r>
          </w:p>
        </w:tc>
        <w:tc>
          <w:tcPr>
            <w:tcW w:w="2358" w:type="pct"/>
            <w:tcBorders>
              <w:top w:val="nil"/>
              <w:left w:val="nil"/>
              <w:bottom w:val="nil"/>
              <w:right w:val="nil"/>
            </w:tcBorders>
            <w:hideMark/>
          </w:tcPr>
          <w:p w14:paraId="48A80F89" w14:textId="77777777" w:rsidR="00A74C68" w:rsidRPr="00A74C68" w:rsidRDefault="00A74C68" w:rsidP="00A74C68">
            <w:pPr>
              <w:rPr>
                <w:color w:val="000000"/>
                <w:sz w:val="14"/>
                <w:szCs w:val="14"/>
              </w:rPr>
            </w:pPr>
            <w:r w:rsidRPr="00A74C68">
              <w:rPr>
                <w:color w:val="000000"/>
                <w:sz w:val="14"/>
                <w:szCs w:val="14"/>
              </w:rPr>
              <w:t>Kâr veya Zarar</w:t>
            </w:r>
          </w:p>
        </w:tc>
        <w:tc>
          <w:tcPr>
            <w:tcW w:w="509" w:type="pct"/>
            <w:tcBorders>
              <w:top w:val="nil"/>
              <w:left w:val="single" w:sz="4" w:space="0" w:color="auto"/>
              <w:bottom w:val="nil"/>
              <w:right w:val="single" w:sz="4" w:space="0" w:color="auto"/>
            </w:tcBorders>
            <w:vAlign w:val="bottom"/>
            <w:hideMark/>
          </w:tcPr>
          <w:p w14:paraId="7268D056" w14:textId="77777777" w:rsidR="00A74C68" w:rsidRPr="00A74C68" w:rsidRDefault="00A74C68" w:rsidP="00A74C68">
            <w:pPr>
              <w:jc w:val="center"/>
              <w:rPr>
                <w:color w:val="000000"/>
                <w:sz w:val="14"/>
                <w:szCs w:val="14"/>
                <w:lang w:eastAsia="tr-TR"/>
              </w:rPr>
            </w:pPr>
            <w:r w:rsidRPr="00A74C68">
              <w:rPr>
                <w:color w:val="000000"/>
                <w:sz w:val="14"/>
                <w:szCs w:val="14"/>
              </w:rPr>
              <w:t> </w:t>
            </w:r>
          </w:p>
        </w:tc>
        <w:tc>
          <w:tcPr>
            <w:tcW w:w="511" w:type="pct"/>
            <w:tcBorders>
              <w:top w:val="nil"/>
              <w:left w:val="nil"/>
              <w:bottom w:val="nil"/>
              <w:right w:val="nil"/>
            </w:tcBorders>
            <w:shd w:val="clear" w:color="000000" w:fill="FFFFFF"/>
            <w:vAlign w:val="bottom"/>
            <w:hideMark/>
          </w:tcPr>
          <w:p w14:paraId="3A0D5DB7" w14:textId="77777777" w:rsidR="00A74C68" w:rsidRPr="00A74C68" w:rsidRDefault="00A74C68" w:rsidP="00A74C68">
            <w:pPr>
              <w:jc w:val="right"/>
              <w:rPr>
                <w:color w:val="000000"/>
                <w:sz w:val="14"/>
                <w:szCs w:val="14"/>
              </w:rPr>
            </w:pPr>
            <w:r w:rsidRPr="00A74C68">
              <w:rPr>
                <w:color w:val="000000"/>
                <w:sz w:val="14"/>
                <w:szCs w:val="14"/>
              </w:rPr>
              <w:t>2.077.549</w:t>
            </w:r>
          </w:p>
        </w:tc>
        <w:tc>
          <w:tcPr>
            <w:tcW w:w="557" w:type="pct"/>
            <w:tcBorders>
              <w:top w:val="nil"/>
              <w:left w:val="single" w:sz="4" w:space="0" w:color="auto"/>
              <w:bottom w:val="nil"/>
              <w:right w:val="single" w:sz="4" w:space="0" w:color="auto"/>
            </w:tcBorders>
            <w:shd w:val="clear" w:color="000000" w:fill="FFFFFF"/>
            <w:vAlign w:val="bottom"/>
            <w:hideMark/>
          </w:tcPr>
          <w:p w14:paraId="2DD113AB" w14:textId="77777777" w:rsidR="00A74C68" w:rsidRPr="00A74C68" w:rsidRDefault="00A74C68" w:rsidP="00A74C68">
            <w:pPr>
              <w:jc w:val="right"/>
              <w:rPr>
                <w:color w:val="000000"/>
                <w:sz w:val="14"/>
                <w:szCs w:val="14"/>
              </w:rPr>
            </w:pPr>
            <w:r w:rsidRPr="00A74C68">
              <w:rPr>
                <w:color w:val="000000"/>
                <w:sz w:val="14"/>
                <w:szCs w:val="14"/>
              </w:rPr>
              <w:t>-</w:t>
            </w:r>
          </w:p>
        </w:tc>
        <w:tc>
          <w:tcPr>
            <w:tcW w:w="648" w:type="pct"/>
            <w:tcBorders>
              <w:top w:val="nil"/>
              <w:left w:val="nil"/>
              <w:bottom w:val="nil"/>
              <w:right w:val="single" w:sz="4" w:space="0" w:color="auto"/>
            </w:tcBorders>
            <w:shd w:val="clear" w:color="000000" w:fill="FFFFFF"/>
            <w:vAlign w:val="bottom"/>
            <w:hideMark/>
          </w:tcPr>
          <w:p w14:paraId="48EC46F6" w14:textId="77777777" w:rsidR="00A74C68" w:rsidRPr="00A74C68" w:rsidRDefault="00A74C68" w:rsidP="00A74C68">
            <w:pPr>
              <w:jc w:val="right"/>
              <w:rPr>
                <w:color w:val="000000"/>
                <w:sz w:val="14"/>
                <w:szCs w:val="14"/>
              </w:rPr>
            </w:pPr>
            <w:r w:rsidRPr="00A74C68">
              <w:rPr>
                <w:color w:val="000000"/>
                <w:sz w:val="14"/>
                <w:szCs w:val="14"/>
              </w:rPr>
              <w:t>2.077.549</w:t>
            </w:r>
          </w:p>
        </w:tc>
      </w:tr>
      <w:tr w:rsidR="00A74C68" w:rsidRPr="00A74C68" w14:paraId="24643D55" w14:textId="77777777" w:rsidTr="00263F8A">
        <w:trPr>
          <w:divId w:val="282467830"/>
          <w:trHeight w:val="20"/>
        </w:trPr>
        <w:tc>
          <w:tcPr>
            <w:tcW w:w="418" w:type="pct"/>
            <w:tcBorders>
              <w:top w:val="nil"/>
              <w:left w:val="single" w:sz="4" w:space="0" w:color="auto"/>
              <w:bottom w:val="nil"/>
              <w:right w:val="nil"/>
            </w:tcBorders>
            <w:noWrap/>
            <w:hideMark/>
          </w:tcPr>
          <w:p w14:paraId="471AC3F6" w14:textId="77777777" w:rsidR="00A74C68" w:rsidRPr="00A74C68" w:rsidRDefault="00A74C68" w:rsidP="00A74C68">
            <w:pPr>
              <w:rPr>
                <w:color w:val="000000"/>
                <w:sz w:val="14"/>
                <w:szCs w:val="14"/>
              </w:rPr>
            </w:pPr>
            <w:r w:rsidRPr="00A74C68">
              <w:rPr>
                <w:color w:val="000000"/>
                <w:sz w:val="14"/>
                <w:szCs w:val="14"/>
              </w:rPr>
              <w:t>14.6.1</w:t>
            </w:r>
          </w:p>
        </w:tc>
        <w:tc>
          <w:tcPr>
            <w:tcW w:w="2358" w:type="pct"/>
            <w:tcBorders>
              <w:top w:val="nil"/>
              <w:left w:val="nil"/>
              <w:bottom w:val="nil"/>
              <w:right w:val="nil"/>
            </w:tcBorders>
            <w:hideMark/>
          </w:tcPr>
          <w:p w14:paraId="68DC9A0B" w14:textId="77777777" w:rsidR="00A74C68" w:rsidRPr="00A74C68" w:rsidRDefault="00A74C68" w:rsidP="00A74C68">
            <w:pPr>
              <w:rPr>
                <w:color w:val="000000"/>
                <w:sz w:val="14"/>
                <w:szCs w:val="14"/>
                <w:lang w:eastAsia="tr-TR"/>
              </w:rPr>
            </w:pPr>
            <w:r w:rsidRPr="00A74C68">
              <w:rPr>
                <w:color w:val="000000"/>
                <w:sz w:val="14"/>
                <w:szCs w:val="14"/>
              </w:rPr>
              <w:t xml:space="preserve">Geçmiş Yıllar Kâr </w:t>
            </w:r>
            <w:r w:rsidRPr="00A74C68">
              <w:rPr>
                <w:color w:val="000000"/>
                <w:sz w:val="14"/>
                <w:szCs w:val="14"/>
                <w:lang w:eastAsia="tr-TR"/>
              </w:rPr>
              <w:t>veya Zararı</w:t>
            </w:r>
          </w:p>
        </w:tc>
        <w:tc>
          <w:tcPr>
            <w:tcW w:w="509" w:type="pct"/>
            <w:tcBorders>
              <w:top w:val="nil"/>
              <w:left w:val="single" w:sz="4" w:space="0" w:color="auto"/>
              <w:bottom w:val="nil"/>
              <w:right w:val="single" w:sz="4" w:space="0" w:color="auto"/>
            </w:tcBorders>
            <w:vAlign w:val="bottom"/>
            <w:hideMark/>
          </w:tcPr>
          <w:p w14:paraId="720E847D" w14:textId="77777777" w:rsidR="00A74C68" w:rsidRPr="00A74C68" w:rsidRDefault="00A74C68" w:rsidP="00A74C68">
            <w:pPr>
              <w:jc w:val="center"/>
              <w:rPr>
                <w:color w:val="000000"/>
                <w:sz w:val="14"/>
                <w:szCs w:val="14"/>
                <w:lang w:eastAsia="tr-TR"/>
              </w:rPr>
            </w:pPr>
            <w:r w:rsidRPr="00A74C68">
              <w:rPr>
                <w:color w:val="000000"/>
                <w:sz w:val="14"/>
                <w:szCs w:val="14"/>
              </w:rPr>
              <w:t> </w:t>
            </w:r>
          </w:p>
        </w:tc>
        <w:tc>
          <w:tcPr>
            <w:tcW w:w="511" w:type="pct"/>
            <w:tcBorders>
              <w:top w:val="nil"/>
              <w:left w:val="nil"/>
              <w:bottom w:val="nil"/>
              <w:right w:val="nil"/>
            </w:tcBorders>
            <w:shd w:val="clear" w:color="000000" w:fill="FFFFFF"/>
            <w:vAlign w:val="bottom"/>
            <w:hideMark/>
          </w:tcPr>
          <w:p w14:paraId="31FDB037" w14:textId="77777777" w:rsidR="00A74C68" w:rsidRPr="00A74C68" w:rsidRDefault="00A74C68" w:rsidP="00A74C68">
            <w:pPr>
              <w:jc w:val="right"/>
              <w:rPr>
                <w:color w:val="000000"/>
                <w:sz w:val="14"/>
                <w:szCs w:val="14"/>
              </w:rPr>
            </w:pPr>
            <w:r w:rsidRPr="00A74C68">
              <w:rPr>
                <w:color w:val="000000"/>
                <w:sz w:val="14"/>
                <w:szCs w:val="14"/>
              </w:rPr>
              <w:t>20.338</w:t>
            </w:r>
          </w:p>
        </w:tc>
        <w:tc>
          <w:tcPr>
            <w:tcW w:w="557" w:type="pct"/>
            <w:tcBorders>
              <w:top w:val="nil"/>
              <w:left w:val="single" w:sz="4" w:space="0" w:color="auto"/>
              <w:bottom w:val="nil"/>
              <w:right w:val="single" w:sz="4" w:space="0" w:color="auto"/>
            </w:tcBorders>
            <w:shd w:val="clear" w:color="000000" w:fill="FFFFFF"/>
            <w:vAlign w:val="bottom"/>
            <w:hideMark/>
          </w:tcPr>
          <w:p w14:paraId="6C5DEABF" w14:textId="77777777" w:rsidR="00A74C68" w:rsidRPr="00A74C68" w:rsidRDefault="00A74C68" w:rsidP="00A74C68">
            <w:pPr>
              <w:jc w:val="right"/>
              <w:rPr>
                <w:color w:val="000000"/>
                <w:sz w:val="14"/>
                <w:szCs w:val="14"/>
              </w:rPr>
            </w:pPr>
            <w:r w:rsidRPr="00A74C68">
              <w:rPr>
                <w:color w:val="000000"/>
                <w:sz w:val="14"/>
                <w:szCs w:val="14"/>
              </w:rPr>
              <w:t>-</w:t>
            </w:r>
          </w:p>
        </w:tc>
        <w:tc>
          <w:tcPr>
            <w:tcW w:w="648" w:type="pct"/>
            <w:tcBorders>
              <w:top w:val="nil"/>
              <w:left w:val="nil"/>
              <w:bottom w:val="nil"/>
              <w:right w:val="single" w:sz="4" w:space="0" w:color="auto"/>
            </w:tcBorders>
            <w:shd w:val="clear" w:color="000000" w:fill="FFFFFF"/>
            <w:vAlign w:val="bottom"/>
            <w:hideMark/>
          </w:tcPr>
          <w:p w14:paraId="6A038723" w14:textId="77777777" w:rsidR="00A74C68" w:rsidRPr="00A74C68" w:rsidRDefault="00A74C68" w:rsidP="00A74C68">
            <w:pPr>
              <w:jc w:val="right"/>
              <w:rPr>
                <w:color w:val="000000"/>
                <w:sz w:val="14"/>
                <w:szCs w:val="14"/>
              </w:rPr>
            </w:pPr>
            <w:r w:rsidRPr="00A74C68">
              <w:rPr>
                <w:color w:val="000000"/>
                <w:sz w:val="14"/>
                <w:szCs w:val="14"/>
              </w:rPr>
              <w:t>20.338</w:t>
            </w:r>
          </w:p>
        </w:tc>
      </w:tr>
      <w:tr w:rsidR="00A74C68" w:rsidRPr="00A74C68" w14:paraId="1F30479B" w14:textId="77777777" w:rsidTr="00263F8A">
        <w:trPr>
          <w:divId w:val="282467830"/>
          <w:trHeight w:val="20"/>
        </w:trPr>
        <w:tc>
          <w:tcPr>
            <w:tcW w:w="418" w:type="pct"/>
            <w:tcBorders>
              <w:top w:val="nil"/>
              <w:left w:val="single" w:sz="4" w:space="0" w:color="auto"/>
              <w:bottom w:val="nil"/>
              <w:right w:val="nil"/>
            </w:tcBorders>
            <w:noWrap/>
            <w:hideMark/>
          </w:tcPr>
          <w:p w14:paraId="3491A3C5" w14:textId="77777777" w:rsidR="00A74C68" w:rsidRPr="00A74C68" w:rsidRDefault="00A74C68" w:rsidP="00A74C68">
            <w:pPr>
              <w:rPr>
                <w:color w:val="000000"/>
                <w:sz w:val="14"/>
                <w:szCs w:val="14"/>
              </w:rPr>
            </w:pPr>
            <w:r w:rsidRPr="00A74C68">
              <w:rPr>
                <w:color w:val="000000"/>
                <w:sz w:val="14"/>
                <w:szCs w:val="14"/>
              </w:rPr>
              <w:t>14.6.2</w:t>
            </w:r>
          </w:p>
        </w:tc>
        <w:tc>
          <w:tcPr>
            <w:tcW w:w="2358" w:type="pct"/>
            <w:tcBorders>
              <w:top w:val="nil"/>
              <w:left w:val="nil"/>
              <w:bottom w:val="nil"/>
              <w:right w:val="nil"/>
            </w:tcBorders>
            <w:hideMark/>
          </w:tcPr>
          <w:p w14:paraId="524497C1" w14:textId="77777777" w:rsidR="00A74C68" w:rsidRPr="00A74C68" w:rsidRDefault="00A74C68" w:rsidP="00A74C68">
            <w:pPr>
              <w:rPr>
                <w:color w:val="000000"/>
                <w:sz w:val="14"/>
                <w:szCs w:val="14"/>
              </w:rPr>
            </w:pPr>
            <w:r w:rsidRPr="00A74C68">
              <w:rPr>
                <w:color w:val="000000"/>
                <w:sz w:val="14"/>
                <w:szCs w:val="14"/>
              </w:rPr>
              <w:t>Dönem Net Kâr veya Zararı</w:t>
            </w:r>
          </w:p>
        </w:tc>
        <w:tc>
          <w:tcPr>
            <w:tcW w:w="509" w:type="pct"/>
            <w:tcBorders>
              <w:top w:val="nil"/>
              <w:left w:val="single" w:sz="4" w:space="0" w:color="auto"/>
              <w:bottom w:val="nil"/>
              <w:right w:val="single" w:sz="4" w:space="0" w:color="auto"/>
            </w:tcBorders>
            <w:vAlign w:val="bottom"/>
            <w:hideMark/>
          </w:tcPr>
          <w:p w14:paraId="2C7EA320" w14:textId="77777777" w:rsidR="00A74C68" w:rsidRPr="00A74C68" w:rsidRDefault="00A74C68" w:rsidP="00A74C68">
            <w:pPr>
              <w:jc w:val="center"/>
              <w:rPr>
                <w:color w:val="000000"/>
                <w:sz w:val="14"/>
                <w:szCs w:val="14"/>
                <w:lang w:eastAsia="tr-TR"/>
              </w:rPr>
            </w:pPr>
            <w:r w:rsidRPr="00A74C68">
              <w:rPr>
                <w:color w:val="000000"/>
                <w:sz w:val="14"/>
                <w:szCs w:val="14"/>
              </w:rPr>
              <w:t> </w:t>
            </w:r>
          </w:p>
        </w:tc>
        <w:tc>
          <w:tcPr>
            <w:tcW w:w="511" w:type="pct"/>
            <w:tcBorders>
              <w:top w:val="nil"/>
              <w:left w:val="nil"/>
              <w:bottom w:val="nil"/>
              <w:right w:val="nil"/>
            </w:tcBorders>
            <w:shd w:val="clear" w:color="000000" w:fill="FFFFFF"/>
            <w:vAlign w:val="bottom"/>
            <w:hideMark/>
          </w:tcPr>
          <w:p w14:paraId="1144DE91" w14:textId="77777777" w:rsidR="00A74C68" w:rsidRPr="00A74C68" w:rsidRDefault="00A74C68" w:rsidP="00A74C68">
            <w:pPr>
              <w:jc w:val="right"/>
              <w:rPr>
                <w:color w:val="000000"/>
                <w:sz w:val="14"/>
                <w:szCs w:val="14"/>
              </w:rPr>
            </w:pPr>
            <w:r w:rsidRPr="00A74C68">
              <w:rPr>
                <w:color w:val="000000"/>
                <w:sz w:val="14"/>
                <w:szCs w:val="14"/>
              </w:rPr>
              <w:t>2.057.211</w:t>
            </w:r>
          </w:p>
        </w:tc>
        <w:tc>
          <w:tcPr>
            <w:tcW w:w="557" w:type="pct"/>
            <w:tcBorders>
              <w:top w:val="nil"/>
              <w:left w:val="single" w:sz="4" w:space="0" w:color="auto"/>
              <w:bottom w:val="nil"/>
              <w:right w:val="single" w:sz="4" w:space="0" w:color="auto"/>
            </w:tcBorders>
            <w:shd w:val="clear" w:color="000000" w:fill="FFFFFF"/>
            <w:vAlign w:val="bottom"/>
            <w:hideMark/>
          </w:tcPr>
          <w:p w14:paraId="1A1B0F49" w14:textId="77777777" w:rsidR="00A74C68" w:rsidRPr="00A74C68" w:rsidRDefault="00A74C68" w:rsidP="00A74C68">
            <w:pPr>
              <w:jc w:val="right"/>
              <w:rPr>
                <w:color w:val="000000"/>
                <w:sz w:val="14"/>
                <w:szCs w:val="14"/>
              </w:rPr>
            </w:pPr>
            <w:r w:rsidRPr="00A74C68">
              <w:rPr>
                <w:color w:val="000000"/>
                <w:sz w:val="14"/>
                <w:szCs w:val="14"/>
              </w:rPr>
              <w:t>-</w:t>
            </w:r>
          </w:p>
        </w:tc>
        <w:tc>
          <w:tcPr>
            <w:tcW w:w="648" w:type="pct"/>
            <w:tcBorders>
              <w:top w:val="nil"/>
              <w:left w:val="nil"/>
              <w:bottom w:val="nil"/>
              <w:right w:val="single" w:sz="4" w:space="0" w:color="auto"/>
            </w:tcBorders>
            <w:shd w:val="clear" w:color="000000" w:fill="FFFFFF"/>
            <w:vAlign w:val="bottom"/>
            <w:hideMark/>
          </w:tcPr>
          <w:p w14:paraId="1B261640" w14:textId="77777777" w:rsidR="00A74C68" w:rsidRPr="00A74C68" w:rsidRDefault="00A74C68" w:rsidP="00A74C68">
            <w:pPr>
              <w:jc w:val="right"/>
              <w:rPr>
                <w:color w:val="000000"/>
                <w:sz w:val="14"/>
                <w:szCs w:val="14"/>
              </w:rPr>
            </w:pPr>
            <w:r w:rsidRPr="00A74C68">
              <w:rPr>
                <w:color w:val="000000"/>
                <w:sz w:val="14"/>
                <w:szCs w:val="14"/>
              </w:rPr>
              <w:t>2.057.211</w:t>
            </w:r>
          </w:p>
        </w:tc>
      </w:tr>
      <w:tr w:rsidR="00A74C68" w:rsidRPr="00A74C68" w14:paraId="106C68D2" w14:textId="77777777" w:rsidTr="00263F8A">
        <w:trPr>
          <w:divId w:val="282467830"/>
          <w:trHeight w:val="20"/>
        </w:trPr>
        <w:tc>
          <w:tcPr>
            <w:tcW w:w="418" w:type="pct"/>
            <w:tcBorders>
              <w:top w:val="nil"/>
              <w:left w:val="single" w:sz="4" w:space="0" w:color="auto"/>
              <w:bottom w:val="single" w:sz="4" w:space="0" w:color="auto"/>
              <w:right w:val="nil"/>
            </w:tcBorders>
            <w:noWrap/>
            <w:hideMark/>
          </w:tcPr>
          <w:p w14:paraId="1A37BB2F" w14:textId="77777777" w:rsidR="00A74C68" w:rsidRPr="00A74C68" w:rsidRDefault="00A74C68" w:rsidP="00A74C68">
            <w:pPr>
              <w:rPr>
                <w:color w:val="000000"/>
                <w:sz w:val="14"/>
                <w:szCs w:val="14"/>
              </w:rPr>
            </w:pPr>
            <w:r w:rsidRPr="00A74C68">
              <w:rPr>
                <w:color w:val="000000"/>
                <w:sz w:val="14"/>
                <w:szCs w:val="14"/>
              </w:rPr>
              <w:t> </w:t>
            </w:r>
          </w:p>
        </w:tc>
        <w:tc>
          <w:tcPr>
            <w:tcW w:w="2358" w:type="pct"/>
            <w:tcBorders>
              <w:top w:val="nil"/>
              <w:left w:val="nil"/>
              <w:bottom w:val="single" w:sz="4" w:space="0" w:color="auto"/>
              <w:right w:val="nil"/>
            </w:tcBorders>
            <w:hideMark/>
          </w:tcPr>
          <w:p w14:paraId="6714C48D" w14:textId="77777777" w:rsidR="00A74C68" w:rsidRPr="00A74C68" w:rsidRDefault="00A74C68" w:rsidP="00A74C68">
            <w:pPr>
              <w:rPr>
                <w:color w:val="000000"/>
                <w:sz w:val="14"/>
                <w:szCs w:val="14"/>
              </w:rPr>
            </w:pPr>
          </w:p>
        </w:tc>
        <w:tc>
          <w:tcPr>
            <w:tcW w:w="509" w:type="pct"/>
            <w:tcBorders>
              <w:top w:val="nil"/>
              <w:left w:val="single" w:sz="4" w:space="0" w:color="auto"/>
              <w:bottom w:val="single" w:sz="4" w:space="0" w:color="auto"/>
              <w:right w:val="single" w:sz="4" w:space="0" w:color="auto"/>
            </w:tcBorders>
            <w:vAlign w:val="bottom"/>
            <w:hideMark/>
          </w:tcPr>
          <w:p w14:paraId="22C54432" w14:textId="77777777" w:rsidR="00A74C68" w:rsidRPr="00A74C68" w:rsidRDefault="00A74C68" w:rsidP="00A74C68">
            <w:pPr>
              <w:jc w:val="center"/>
              <w:rPr>
                <w:color w:val="000000"/>
                <w:sz w:val="14"/>
                <w:szCs w:val="14"/>
                <w:lang w:eastAsia="tr-TR"/>
              </w:rPr>
            </w:pPr>
            <w:r w:rsidRPr="00A74C68">
              <w:rPr>
                <w:color w:val="000000"/>
                <w:sz w:val="14"/>
                <w:szCs w:val="14"/>
              </w:rPr>
              <w:t> </w:t>
            </w:r>
          </w:p>
        </w:tc>
        <w:tc>
          <w:tcPr>
            <w:tcW w:w="511" w:type="pct"/>
            <w:tcBorders>
              <w:top w:val="nil"/>
              <w:left w:val="nil"/>
              <w:bottom w:val="single" w:sz="4" w:space="0" w:color="auto"/>
              <w:right w:val="nil"/>
            </w:tcBorders>
            <w:shd w:val="clear" w:color="000000" w:fill="FFFFFF"/>
            <w:vAlign w:val="bottom"/>
            <w:hideMark/>
          </w:tcPr>
          <w:p w14:paraId="04D5E605" w14:textId="77777777" w:rsidR="00A74C68" w:rsidRPr="00A74C68" w:rsidRDefault="00A74C68" w:rsidP="00A74C68">
            <w:pPr>
              <w:jc w:val="right"/>
              <w:rPr>
                <w:color w:val="000000"/>
                <w:sz w:val="14"/>
                <w:szCs w:val="14"/>
              </w:rPr>
            </w:pPr>
            <w:r w:rsidRPr="00A74C68">
              <w:rPr>
                <w:color w:val="000000"/>
                <w:sz w:val="14"/>
                <w:szCs w:val="14"/>
              </w:rPr>
              <w:t> </w:t>
            </w:r>
          </w:p>
        </w:tc>
        <w:tc>
          <w:tcPr>
            <w:tcW w:w="557" w:type="pct"/>
            <w:tcBorders>
              <w:top w:val="nil"/>
              <w:left w:val="single" w:sz="4" w:space="0" w:color="auto"/>
              <w:bottom w:val="single" w:sz="4" w:space="0" w:color="auto"/>
              <w:right w:val="single" w:sz="4" w:space="0" w:color="auto"/>
            </w:tcBorders>
            <w:shd w:val="clear" w:color="000000" w:fill="FFFFFF"/>
            <w:vAlign w:val="bottom"/>
            <w:hideMark/>
          </w:tcPr>
          <w:p w14:paraId="1CE5F59B" w14:textId="77777777" w:rsidR="00A74C68" w:rsidRPr="00A74C68" w:rsidRDefault="00A74C68" w:rsidP="00A74C68">
            <w:pPr>
              <w:jc w:val="right"/>
              <w:rPr>
                <w:b/>
                <w:bCs/>
                <w:color w:val="000000"/>
                <w:sz w:val="14"/>
                <w:szCs w:val="14"/>
              </w:rPr>
            </w:pPr>
            <w:r w:rsidRPr="00A74C68">
              <w:rPr>
                <w:b/>
                <w:bCs/>
                <w:color w:val="000000"/>
                <w:sz w:val="14"/>
                <w:szCs w:val="14"/>
              </w:rPr>
              <w:t> </w:t>
            </w:r>
          </w:p>
        </w:tc>
        <w:tc>
          <w:tcPr>
            <w:tcW w:w="648" w:type="pct"/>
            <w:tcBorders>
              <w:top w:val="nil"/>
              <w:left w:val="nil"/>
              <w:bottom w:val="single" w:sz="4" w:space="0" w:color="auto"/>
              <w:right w:val="single" w:sz="4" w:space="0" w:color="auto"/>
            </w:tcBorders>
            <w:shd w:val="clear" w:color="000000" w:fill="FFFFFF"/>
            <w:vAlign w:val="bottom"/>
            <w:hideMark/>
          </w:tcPr>
          <w:p w14:paraId="3D0C0018" w14:textId="77777777" w:rsidR="00A74C68" w:rsidRPr="00A74C68" w:rsidRDefault="00A74C68" w:rsidP="00A74C68">
            <w:pPr>
              <w:jc w:val="right"/>
              <w:rPr>
                <w:color w:val="000000"/>
                <w:sz w:val="14"/>
                <w:szCs w:val="14"/>
              </w:rPr>
            </w:pPr>
            <w:r w:rsidRPr="00A74C68">
              <w:rPr>
                <w:color w:val="000000"/>
                <w:sz w:val="14"/>
                <w:szCs w:val="14"/>
              </w:rPr>
              <w:t> </w:t>
            </w:r>
          </w:p>
        </w:tc>
      </w:tr>
      <w:tr w:rsidR="00A74C68" w:rsidRPr="00A74C68" w14:paraId="3AB9E422" w14:textId="77777777" w:rsidTr="00263F8A">
        <w:trPr>
          <w:divId w:val="282467830"/>
          <w:trHeight w:val="20"/>
        </w:trPr>
        <w:tc>
          <w:tcPr>
            <w:tcW w:w="418" w:type="pct"/>
            <w:tcBorders>
              <w:top w:val="single" w:sz="4" w:space="0" w:color="auto"/>
              <w:left w:val="single" w:sz="4" w:space="0" w:color="auto"/>
              <w:bottom w:val="single" w:sz="4" w:space="0" w:color="auto"/>
              <w:right w:val="nil"/>
            </w:tcBorders>
            <w:noWrap/>
            <w:hideMark/>
          </w:tcPr>
          <w:p w14:paraId="29FDFA6F" w14:textId="77777777" w:rsidR="00A74C68" w:rsidRPr="00A74C68" w:rsidRDefault="00A74C68" w:rsidP="00A74C68">
            <w:pPr>
              <w:rPr>
                <w:b/>
                <w:bCs/>
                <w:color w:val="000000"/>
                <w:sz w:val="14"/>
                <w:szCs w:val="14"/>
              </w:rPr>
            </w:pPr>
            <w:r w:rsidRPr="00A74C68">
              <w:rPr>
                <w:b/>
                <w:bCs/>
                <w:color w:val="000000"/>
                <w:sz w:val="14"/>
                <w:szCs w:val="14"/>
              </w:rPr>
              <w:t> </w:t>
            </w:r>
          </w:p>
        </w:tc>
        <w:tc>
          <w:tcPr>
            <w:tcW w:w="2358" w:type="pct"/>
            <w:tcBorders>
              <w:top w:val="single" w:sz="4" w:space="0" w:color="auto"/>
              <w:left w:val="nil"/>
              <w:bottom w:val="single" w:sz="4" w:space="0" w:color="auto"/>
              <w:right w:val="nil"/>
            </w:tcBorders>
            <w:hideMark/>
          </w:tcPr>
          <w:p w14:paraId="0F7D4C5E" w14:textId="77777777" w:rsidR="00A74C68" w:rsidRPr="00A74C68" w:rsidRDefault="00A74C68" w:rsidP="00A74C68">
            <w:pPr>
              <w:rPr>
                <w:b/>
                <w:bCs/>
                <w:sz w:val="14"/>
                <w:szCs w:val="14"/>
                <w:lang w:eastAsia="tr-TR"/>
              </w:rPr>
            </w:pPr>
            <w:r w:rsidRPr="00A74C68">
              <w:rPr>
                <w:b/>
                <w:bCs/>
                <w:color w:val="000000"/>
                <w:sz w:val="14"/>
                <w:szCs w:val="14"/>
              </w:rPr>
              <w:t>YÜKÜMLÜLÜKLER</w:t>
            </w:r>
            <w:r w:rsidRPr="00A74C68">
              <w:rPr>
                <w:b/>
                <w:bCs/>
                <w:sz w:val="14"/>
                <w:szCs w:val="14"/>
                <w:lang w:eastAsia="tr-TR"/>
              </w:rPr>
              <w:t xml:space="preserve"> TOPLAMI</w:t>
            </w:r>
          </w:p>
        </w:tc>
        <w:tc>
          <w:tcPr>
            <w:tcW w:w="509" w:type="pct"/>
            <w:tcBorders>
              <w:top w:val="single" w:sz="4" w:space="0" w:color="auto"/>
              <w:left w:val="single" w:sz="4" w:space="0" w:color="auto"/>
              <w:bottom w:val="single" w:sz="4" w:space="0" w:color="auto"/>
              <w:right w:val="single" w:sz="4" w:space="0" w:color="auto"/>
            </w:tcBorders>
            <w:vAlign w:val="bottom"/>
            <w:hideMark/>
          </w:tcPr>
          <w:p w14:paraId="54E77608"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511" w:type="pct"/>
            <w:tcBorders>
              <w:top w:val="single" w:sz="4" w:space="0" w:color="auto"/>
              <w:left w:val="nil"/>
              <w:bottom w:val="single" w:sz="4" w:space="0" w:color="auto"/>
              <w:right w:val="nil"/>
            </w:tcBorders>
            <w:vAlign w:val="bottom"/>
            <w:hideMark/>
          </w:tcPr>
          <w:p w14:paraId="4EA80079" w14:textId="77777777" w:rsidR="00A74C68" w:rsidRPr="00A74C68" w:rsidRDefault="00A74C68" w:rsidP="00A74C68">
            <w:pPr>
              <w:jc w:val="right"/>
              <w:rPr>
                <w:b/>
                <w:bCs/>
                <w:color w:val="000000"/>
                <w:sz w:val="14"/>
                <w:szCs w:val="14"/>
              </w:rPr>
            </w:pPr>
            <w:r w:rsidRPr="00A74C68">
              <w:rPr>
                <w:b/>
                <w:bCs/>
                <w:color w:val="000000"/>
                <w:sz w:val="14"/>
                <w:szCs w:val="14"/>
              </w:rPr>
              <w:t>38.196.843</w:t>
            </w:r>
          </w:p>
        </w:tc>
        <w:tc>
          <w:tcPr>
            <w:tcW w:w="557" w:type="pct"/>
            <w:tcBorders>
              <w:top w:val="single" w:sz="4" w:space="0" w:color="auto"/>
              <w:left w:val="single" w:sz="4" w:space="0" w:color="auto"/>
              <w:bottom w:val="single" w:sz="4" w:space="0" w:color="auto"/>
              <w:right w:val="single" w:sz="4" w:space="0" w:color="auto"/>
            </w:tcBorders>
            <w:vAlign w:val="bottom"/>
            <w:hideMark/>
          </w:tcPr>
          <w:p w14:paraId="1E270D8E" w14:textId="77777777" w:rsidR="00A74C68" w:rsidRPr="00A74C68" w:rsidRDefault="00A74C68" w:rsidP="00A74C68">
            <w:pPr>
              <w:jc w:val="right"/>
              <w:rPr>
                <w:b/>
                <w:bCs/>
                <w:color w:val="000000"/>
                <w:sz w:val="14"/>
                <w:szCs w:val="14"/>
              </w:rPr>
            </w:pPr>
            <w:r w:rsidRPr="00A74C68">
              <w:rPr>
                <w:b/>
                <w:bCs/>
                <w:color w:val="000000"/>
                <w:sz w:val="14"/>
                <w:szCs w:val="14"/>
              </w:rPr>
              <w:t>61.481.311</w:t>
            </w:r>
          </w:p>
        </w:tc>
        <w:tc>
          <w:tcPr>
            <w:tcW w:w="648" w:type="pct"/>
            <w:tcBorders>
              <w:top w:val="single" w:sz="4" w:space="0" w:color="auto"/>
              <w:left w:val="nil"/>
              <w:bottom w:val="single" w:sz="4" w:space="0" w:color="auto"/>
              <w:right w:val="single" w:sz="4" w:space="0" w:color="auto"/>
            </w:tcBorders>
            <w:vAlign w:val="bottom"/>
            <w:hideMark/>
          </w:tcPr>
          <w:p w14:paraId="5B3FD421" w14:textId="77777777" w:rsidR="00A74C68" w:rsidRPr="00A74C68" w:rsidRDefault="00A74C68" w:rsidP="00A74C68">
            <w:pPr>
              <w:jc w:val="right"/>
              <w:rPr>
                <w:b/>
                <w:bCs/>
                <w:color w:val="000000"/>
                <w:sz w:val="14"/>
                <w:szCs w:val="14"/>
              </w:rPr>
            </w:pPr>
            <w:r w:rsidRPr="00A74C68">
              <w:rPr>
                <w:b/>
                <w:bCs/>
                <w:color w:val="000000"/>
                <w:sz w:val="14"/>
                <w:szCs w:val="14"/>
              </w:rPr>
              <w:t>99.678.154</w:t>
            </w:r>
          </w:p>
        </w:tc>
      </w:tr>
    </w:tbl>
    <w:p w14:paraId="5BD33DBD" w14:textId="23AA6455" w:rsidR="00C175F8" w:rsidRPr="00AC1668" w:rsidRDefault="00C175F8" w:rsidP="00C175F8">
      <w:pPr>
        <w:widowControl w:val="0"/>
        <w:tabs>
          <w:tab w:val="left" w:pos="-426"/>
        </w:tabs>
        <w:ind w:left="-426"/>
        <w:jc w:val="center"/>
        <w:rPr>
          <w:szCs w:val="20"/>
        </w:rPr>
      </w:pPr>
    </w:p>
    <w:p w14:paraId="7F42665F" w14:textId="77777777" w:rsidR="009D2E02" w:rsidRPr="00AC1668" w:rsidRDefault="009D2E02" w:rsidP="009D2E02">
      <w:pPr>
        <w:widowControl w:val="0"/>
        <w:tabs>
          <w:tab w:val="left" w:pos="-426"/>
        </w:tabs>
        <w:ind w:right="-1"/>
        <w:jc w:val="both"/>
        <w:rPr>
          <w:sz w:val="18"/>
          <w:szCs w:val="18"/>
        </w:rPr>
      </w:pPr>
      <w:r w:rsidRPr="00AC1668">
        <w:rPr>
          <w:sz w:val="18"/>
          <w:szCs w:val="18"/>
        </w:rPr>
        <w:t>Banka, 1 Temmuz 2025 tarihi itibarıyla TFRS 9 Finansal Araçlar standardının değer düşüklüğüne ilişkin hükümlerini uygulamaya başlamış olup, önceki dönem finansal tabloları BDDK tarafından açıklanmış olan TFRS 9 uygulamayan bankalar için geçerli olan finansal tablo formatında sunulduğu için önceki dönem finansal tablo ve dipnotları yeniden düzenlenmemiş olup, ayrı olarak gösterilmiştir.</w:t>
      </w:r>
    </w:p>
    <w:p w14:paraId="362B7F8C" w14:textId="77777777" w:rsidR="00C175F8" w:rsidRPr="00AC1668" w:rsidRDefault="00C175F8" w:rsidP="001F1B63">
      <w:pPr>
        <w:widowControl w:val="0"/>
        <w:tabs>
          <w:tab w:val="left" w:pos="-426"/>
        </w:tabs>
        <w:ind w:left="-426"/>
        <w:jc w:val="center"/>
      </w:pPr>
    </w:p>
    <w:p w14:paraId="189F7497" w14:textId="77777777" w:rsidR="00A10966" w:rsidRPr="00AC1668" w:rsidRDefault="00A10966" w:rsidP="001F1B63">
      <w:pPr>
        <w:widowControl w:val="0"/>
        <w:jc w:val="center"/>
        <w:rPr>
          <w:szCs w:val="20"/>
        </w:rPr>
      </w:pPr>
    </w:p>
    <w:p w14:paraId="363EFA7F" w14:textId="77777777" w:rsidR="00531A1F" w:rsidRPr="00AC1668" w:rsidRDefault="00531A1F" w:rsidP="001F1B63">
      <w:pPr>
        <w:widowControl w:val="0"/>
        <w:jc w:val="center"/>
        <w:rPr>
          <w:szCs w:val="20"/>
        </w:rPr>
      </w:pPr>
    </w:p>
    <w:p w14:paraId="52A13F7E" w14:textId="77777777" w:rsidR="00A10966" w:rsidRPr="00AC1668" w:rsidRDefault="00A10966" w:rsidP="001F1B63">
      <w:pPr>
        <w:widowControl w:val="0"/>
        <w:jc w:val="center"/>
        <w:rPr>
          <w:szCs w:val="20"/>
        </w:rPr>
      </w:pPr>
    </w:p>
    <w:p w14:paraId="72935E25" w14:textId="77777777" w:rsidR="001F1B63" w:rsidRPr="00AC1668" w:rsidRDefault="001F1B63" w:rsidP="001F1B63">
      <w:pPr>
        <w:widowControl w:val="0"/>
        <w:jc w:val="center"/>
        <w:rPr>
          <w:szCs w:val="20"/>
        </w:rPr>
      </w:pPr>
    </w:p>
    <w:p w14:paraId="12014256" w14:textId="66321C75" w:rsidR="001F1B63" w:rsidRPr="00AC1668" w:rsidRDefault="001F1B63" w:rsidP="001F1B63">
      <w:pPr>
        <w:widowControl w:val="0"/>
        <w:jc w:val="center"/>
        <w:rPr>
          <w:szCs w:val="20"/>
        </w:rPr>
      </w:pPr>
    </w:p>
    <w:p w14:paraId="2B7A9E61" w14:textId="1A1ABBF8" w:rsidR="0011757C" w:rsidRPr="00AC1668" w:rsidRDefault="0011757C" w:rsidP="001F1B63">
      <w:pPr>
        <w:widowControl w:val="0"/>
        <w:jc w:val="center"/>
        <w:rPr>
          <w:szCs w:val="20"/>
        </w:rPr>
      </w:pPr>
    </w:p>
    <w:p w14:paraId="0EA9CC93" w14:textId="2319CEB7" w:rsidR="0011757C" w:rsidRPr="00AC1668" w:rsidRDefault="0011757C" w:rsidP="001F1B63">
      <w:pPr>
        <w:widowControl w:val="0"/>
        <w:jc w:val="center"/>
        <w:rPr>
          <w:szCs w:val="20"/>
        </w:rPr>
      </w:pPr>
    </w:p>
    <w:p w14:paraId="301BF582" w14:textId="3BA64A74" w:rsidR="0011757C" w:rsidRPr="00AC1668" w:rsidRDefault="0011757C" w:rsidP="001F1B63">
      <w:pPr>
        <w:widowControl w:val="0"/>
        <w:jc w:val="center"/>
        <w:rPr>
          <w:szCs w:val="20"/>
        </w:rPr>
      </w:pPr>
    </w:p>
    <w:p w14:paraId="75830FE4" w14:textId="4005902B" w:rsidR="0011757C" w:rsidRDefault="0011757C" w:rsidP="001F1B63">
      <w:pPr>
        <w:widowControl w:val="0"/>
        <w:jc w:val="center"/>
        <w:rPr>
          <w:szCs w:val="20"/>
        </w:rPr>
      </w:pPr>
    </w:p>
    <w:p w14:paraId="2E1D10CB" w14:textId="77777777" w:rsidR="00F36B82" w:rsidRDefault="00F36B82" w:rsidP="001F1B63">
      <w:pPr>
        <w:widowControl w:val="0"/>
        <w:jc w:val="center"/>
        <w:rPr>
          <w:szCs w:val="20"/>
        </w:rPr>
      </w:pPr>
    </w:p>
    <w:p w14:paraId="7D98C5BC" w14:textId="77777777" w:rsidR="00F36B82" w:rsidRPr="00AC1668" w:rsidRDefault="00F36B82" w:rsidP="001F1B63">
      <w:pPr>
        <w:widowControl w:val="0"/>
        <w:jc w:val="center"/>
        <w:rPr>
          <w:szCs w:val="20"/>
        </w:rPr>
      </w:pPr>
    </w:p>
    <w:p w14:paraId="3078A2A8" w14:textId="1F04C320" w:rsidR="0011757C" w:rsidRPr="00AC1668" w:rsidRDefault="0011757C" w:rsidP="001F1B63">
      <w:pPr>
        <w:widowControl w:val="0"/>
        <w:jc w:val="center"/>
        <w:rPr>
          <w:szCs w:val="20"/>
        </w:rPr>
      </w:pPr>
    </w:p>
    <w:p w14:paraId="14BE7007" w14:textId="68DC885E" w:rsidR="0011757C" w:rsidRPr="00AC1668" w:rsidRDefault="0011757C" w:rsidP="001F1B63">
      <w:pPr>
        <w:widowControl w:val="0"/>
        <w:jc w:val="center"/>
        <w:rPr>
          <w:szCs w:val="20"/>
        </w:rPr>
      </w:pPr>
    </w:p>
    <w:p w14:paraId="6F687774" w14:textId="15BBA045" w:rsidR="0011757C" w:rsidRPr="00AC1668" w:rsidRDefault="0011757C" w:rsidP="001F1B63">
      <w:pPr>
        <w:widowControl w:val="0"/>
        <w:jc w:val="center"/>
        <w:rPr>
          <w:szCs w:val="20"/>
        </w:rPr>
      </w:pPr>
    </w:p>
    <w:p w14:paraId="5A0025BF" w14:textId="77777777" w:rsidR="0011757C" w:rsidRPr="00AC1668" w:rsidRDefault="0011757C" w:rsidP="001F1B63">
      <w:pPr>
        <w:widowControl w:val="0"/>
        <w:jc w:val="center"/>
        <w:rPr>
          <w:szCs w:val="20"/>
        </w:rPr>
      </w:pPr>
    </w:p>
    <w:p w14:paraId="7916EA2B" w14:textId="77777777" w:rsidR="0048261E" w:rsidRPr="00AC1668" w:rsidRDefault="0048261E" w:rsidP="001F1B63">
      <w:pPr>
        <w:widowControl w:val="0"/>
        <w:jc w:val="center"/>
        <w:rPr>
          <w:szCs w:val="20"/>
        </w:rPr>
      </w:pPr>
    </w:p>
    <w:p w14:paraId="17EB30C7" w14:textId="5124A6E8" w:rsidR="0064066B" w:rsidRPr="00AC1668" w:rsidRDefault="009C2076" w:rsidP="00F36B82">
      <w:pPr>
        <w:widowControl w:val="0"/>
        <w:jc w:val="center"/>
        <w:rPr>
          <w:szCs w:val="20"/>
        </w:rPr>
      </w:pPr>
      <w:r w:rsidRPr="00AC1668">
        <w:rPr>
          <w:szCs w:val="20"/>
        </w:rPr>
        <w:t>İlişikteki açıklama ve dipnotlar bu finansal tabloların tamamlayıcı bir parçasıdır.</w:t>
      </w:r>
      <w:r w:rsidR="0064066B" w:rsidRPr="00AC1668">
        <w:rPr>
          <w:szCs w:val="20"/>
        </w:rPr>
        <w:br w:type="page"/>
      </w:r>
    </w:p>
    <w:p w14:paraId="3E60FC27" w14:textId="77777777" w:rsidR="0064066B" w:rsidRPr="00AC1668" w:rsidRDefault="0064066B">
      <w:pPr>
        <w:rPr>
          <w:szCs w:val="20"/>
        </w:rPr>
      </w:pPr>
    </w:p>
    <w:tbl>
      <w:tblPr>
        <w:tblW w:w="5000" w:type="pct"/>
        <w:tblCellMar>
          <w:left w:w="70" w:type="dxa"/>
          <w:right w:w="70" w:type="dxa"/>
        </w:tblCellMar>
        <w:tblLook w:val="04A0" w:firstRow="1" w:lastRow="0" w:firstColumn="1" w:lastColumn="0" w:noHBand="0" w:noVBand="1"/>
      </w:tblPr>
      <w:tblGrid>
        <w:gridCol w:w="622"/>
        <w:gridCol w:w="6209"/>
        <w:gridCol w:w="756"/>
        <w:gridCol w:w="826"/>
        <w:gridCol w:w="809"/>
        <w:gridCol w:w="973"/>
      </w:tblGrid>
      <w:tr w:rsidR="0064066B" w:rsidRPr="00AC1668" w14:paraId="6D4E1D8C" w14:textId="77777777" w:rsidTr="00234709">
        <w:trPr>
          <w:trHeight w:val="20"/>
        </w:trPr>
        <w:tc>
          <w:tcPr>
            <w:tcW w:w="3350" w:type="pct"/>
            <w:gridSpan w:val="2"/>
            <w:vMerge w:val="restart"/>
            <w:tcBorders>
              <w:top w:val="single" w:sz="4" w:space="0" w:color="auto"/>
              <w:left w:val="single" w:sz="4" w:space="0" w:color="auto"/>
              <w:bottom w:val="single" w:sz="4" w:space="0" w:color="000000"/>
              <w:right w:val="nil"/>
            </w:tcBorders>
            <w:shd w:val="clear" w:color="000000" w:fill="FFFFFF"/>
            <w:vAlign w:val="center"/>
            <w:hideMark/>
          </w:tcPr>
          <w:p w14:paraId="29B6382A" w14:textId="77777777" w:rsidR="0064066B" w:rsidRPr="00AC1668" w:rsidRDefault="0064066B" w:rsidP="00B76AD4">
            <w:pPr>
              <w:jc w:val="center"/>
              <w:rPr>
                <w:b/>
                <w:bCs/>
                <w:color w:val="000000"/>
                <w:sz w:val="14"/>
                <w:szCs w:val="14"/>
              </w:rPr>
            </w:pPr>
            <w:r w:rsidRPr="00AC1668">
              <w:rPr>
                <w:b/>
                <w:bCs/>
                <w:color w:val="000000"/>
                <w:sz w:val="14"/>
                <w:szCs w:val="14"/>
              </w:rPr>
              <w:t>YÜKÜMLÜLÜKLER</w:t>
            </w:r>
          </w:p>
        </w:tc>
        <w:tc>
          <w:tcPr>
            <w:tcW w:w="371" w:type="pct"/>
            <w:vMerge w:val="restart"/>
            <w:tcBorders>
              <w:top w:val="single" w:sz="4" w:space="0" w:color="auto"/>
              <w:left w:val="single" w:sz="4" w:space="0" w:color="auto"/>
              <w:bottom w:val="single" w:sz="4" w:space="0" w:color="000000"/>
              <w:right w:val="single" w:sz="4" w:space="0" w:color="auto"/>
            </w:tcBorders>
            <w:vAlign w:val="center"/>
            <w:hideMark/>
          </w:tcPr>
          <w:p w14:paraId="4E956E7C" w14:textId="77777777" w:rsidR="0064066B" w:rsidRPr="00AC1668" w:rsidRDefault="0064066B" w:rsidP="00B76AD4">
            <w:pPr>
              <w:jc w:val="center"/>
              <w:rPr>
                <w:b/>
                <w:bCs/>
                <w:color w:val="000000"/>
                <w:sz w:val="14"/>
                <w:szCs w:val="14"/>
              </w:rPr>
            </w:pPr>
            <w:r w:rsidRPr="00AC1668">
              <w:rPr>
                <w:b/>
                <w:bCs/>
                <w:color w:val="000000"/>
                <w:sz w:val="14"/>
                <w:szCs w:val="14"/>
              </w:rPr>
              <w:t>Dipnot (Beşinci Bölüm-II)</w:t>
            </w:r>
          </w:p>
        </w:tc>
        <w:tc>
          <w:tcPr>
            <w:tcW w:w="1279" w:type="pct"/>
            <w:gridSpan w:val="3"/>
            <w:tcBorders>
              <w:top w:val="single" w:sz="4" w:space="0" w:color="auto"/>
              <w:left w:val="nil"/>
              <w:bottom w:val="single" w:sz="4" w:space="0" w:color="auto"/>
              <w:right w:val="single" w:sz="4" w:space="0" w:color="000000"/>
            </w:tcBorders>
            <w:vAlign w:val="bottom"/>
            <w:hideMark/>
          </w:tcPr>
          <w:p w14:paraId="399391D3" w14:textId="77777777" w:rsidR="0064066B" w:rsidRPr="00D275DF" w:rsidRDefault="0064066B" w:rsidP="00B76AD4">
            <w:pPr>
              <w:jc w:val="center"/>
              <w:rPr>
                <w:b/>
                <w:bCs/>
                <w:color w:val="000000"/>
                <w:sz w:val="14"/>
                <w:szCs w:val="14"/>
              </w:rPr>
            </w:pPr>
            <w:r w:rsidRPr="00D275DF">
              <w:rPr>
                <w:b/>
                <w:bCs/>
                <w:color w:val="000000"/>
                <w:sz w:val="14"/>
                <w:szCs w:val="14"/>
              </w:rPr>
              <w:t>Önceki Dönem</w:t>
            </w:r>
            <w:r w:rsidRPr="00D275DF">
              <w:rPr>
                <w:b/>
                <w:bCs/>
                <w:color w:val="000000"/>
                <w:sz w:val="14"/>
                <w:szCs w:val="14"/>
              </w:rPr>
              <w:br/>
              <w:t>31.12.2024</w:t>
            </w:r>
          </w:p>
        </w:tc>
      </w:tr>
      <w:tr w:rsidR="0064066B" w:rsidRPr="00AC1668" w14:paraId="6A11A02C" w14:textId="77777777" w:rsidTr="00234709">
        <w:trPr>
          <w:trHeight w:val="20"/>
        </w:trPr>
        <w:tc>
          <w:tcPr>
            <w:tcW w:w="3350" w:type="pct"/>
            <w:gridSpan w:val="2"/>
            <w:vMerge/>
            <w:tcBorders>
              <w:top w:val="single" w:sz="4" w:space="0" w:color="auto"/>
              <w:left w:val="single" w:sz="4" w:space="0" w:color="auto"/>
              <w:bottom w:val="single" w:sz="4" w:space="0" w:color="000000"/>
              <w:right w:val="nil"/>
            </w:tcBorders>
            <w:vAlign w:val="center"/>
            <w:hideMark/>
          </w:tcPr>
          <w:p w14:paraId="68D07227" w14:textId="77777777" w:rsidR="0064066B" w:rsidRPr="00AC1668" w:rsidRDefault="0064066B" w:rsidP="00B76AD4">
            <w:pPr>
              <w:rPr>
                <w:b/>
                <w:bCs/>
                <w:color w:val="000000"/>
                <w:sz w:val="14"/>
                <w:szCs w:val="14"/>
              </w:rPr>
            </w:pPr>
          </w:p>
        </w:tc>
        <w:tc>
          <w:tcPr>
            <w:tcW w:w="371" w:type="pct"/>
            <w:vMerge/>
            <w:tcBorders>
              <w:top w:val="single" w:sz="4" w:space="0" w:color="auto"/>
              <w:left w:val="single" w:sz="4" w:space="0" w:color="auto"/>
              <w:bottom w:val="single" w:sz="4" w:space="0" w:color="000000"/>
              <w:right w:val="single" w:sz="4" w:space="0" w:color="auto"/>
            </w:tcBorders>
            <w:vAlign w:val="center"/>
            <w:hideMark/>
          </w:tcPr>
          <w:p w14:paraId="1FB82A65" w14:textId="77777777" w:rsidR="0064066B" w:rsidRPr="00AC1668" w:rsidRDefault="0064066B" w:rsidP="00B76AD4">
            <w:pPr>
              <w:rPr>
                <w:b/>
                <w:bCs/>
                <w:color w:val="000000"/>
                <w:sz w:val="14"/>
                <w:szCs w:val="14"/>
              </w:rPr>
            </w:pPr>
          </w:p>
        </w:tc>
        <w:tc>
          <w:tcPr>
            <w:tcW w:w="405" w:type="pct"/>
            <w:tcBorders>
              <w:top w:val="single" w:sz="4" w:space="0" w:color="auto"/>
              <w:left w:val="nil"/>
              <w:bottom w:val="nil"/>
              <w:right w:val="single" w:sz="4" w:space="0" w:color="auto"/>
            </w:tcBorders>
            <w:vAlign w:val="center"/>
            <w:hideMark/>
          </w:tcPr>
          <w:p w14:paraId="42CC610C" w14:textId="77777777" w:rsidR="0064066B" w:rsidRPr="00D275DF" w:rsidRDefault="0064066B" w:rsidP="00B76AD4">
            <w:pPr>
              <w:jc w:val="center"/>
              <w:rPr>
                <w:b/>
                <w:bCs/>
                <w:color w:val="000000"/>
                <w:sz w:val="14"/>
                <w:szCs w:val="14"/>
              </w:rPr>
            </w:pPr>
            <w:r w:rsidRPr="00D275DF">
              <w:rPr>
                <w:b/>
                <w:bCs/>
                <w:color w:val="000000"/>
                <w:sz w:val="14"/>
                <w:szCs w:val="14"/>
              </w:rPr>
              <w:t>TP</w:t>
            </w:r>
          </w:p>
        </w:tc>
        <w:tc>
          <w:tcPr>
            <w:tcW w:w="397" w:type="pct"/>
            <w:tcBorders>
              <w:top w:val="single" w:sz="4" w:space="0" w:color="auto"/>
              <w:left w:val="nil"/>
              <w:bottom w:val="nil"/>
              <w:right w:val="single" w:sz="4" w:space="0" w:color="auto"/>
            </w:tcBorders>
            <w:vAlign w:val="center"/>
            <w:hideMark/>
          </w:tcPr>
          <w:p w14:paraId="35B3F2C9" w14:textId="77777777" w:rsidR="0064066B" w:rsidRPr="00D275DF" w:rsidRDefault="0064066B" w:rsidP="00B76AD4">
            <w:pPr>
              <w:jc w:val="center"/>
              <w:rPr>
                <w:b/>
                <w:bCs/>
                <w:color w:val="000000"/>
                <w:sz w:val="14"/>
                <w:szCs w:val="14"/>
              </w:rPr>
            </w:pPr>
            <w:r w:rsidRPr="00D275DF">
              <w:rPr>
                <w:b/>
                <w:bCs/>
                <w:color w:val="000000"/>
                <w:sz w:val="14"/>
                <w:szCs w:val="14"/>
              </w:rPr>
              <w:t>YP</w:t>
            </w:r>
          </w:p>
        </w:tc>
        <w:tc>
          <w:tcPr>
            <w:tcW w:w="477" w:type="pct"/>
            <w:tcBorders>
              <w:top w:val="single" w:sz="4" w:space="0" w:color="auto"/>
              <w:left w:val="nil"/>
              <w:bottom w:val="nil"/>
              <w:right w:val="single" w:sz="4" w:space="0" w:color="auto"/>
            </w:tcBorders>
            <w:vAlign w:val="center"/>
            <w:hideMark/>
          </w:tcPr>
          <w:p w14:paraId="5375D24C" w14:textId="77777777" w:rsidR="0064066B" w:rsidRPr="00D275DF" w:rsidRDefault="0064066B" w:rsidP="00B76AD4">
            <w:pPr>
              <w:jc w:val="center"/>
              <w:rPr>
                <w:b/>
                <w:bCs/>
                <w:color w:val="000000"/>
                <w:sz w:val="14"/>
                <w:szCs w:val="14"/>
              </w:rPr>
            </w:pPr>
            <w:r w:rsidRPr="00D275DF">
              <w:rPr>
                <w:b/>
                <w:bCs/>
                <w:color w:val="000000"/>
                <w:sz w:val="14"/>
                <w:szCs w:val="14"/>
              </w:rPr>
              <w:t>Toplam</w:t>
            </w:r>
          </w:p>
        </w:tc>
      </w:tr>
      <w:tr w:rsidR="0064066B" w:rsidRPr="00AC1668" w14:paraId="6BC76432" w14:textId="77777777" w:rsidTr="00234709">
        <w:trPr>
          <w:trHeight w:val="20"/>
        </w:trPr>
        <w:tc>
          <w:tcPr>
            <w:tcW w:w="305" w:type="pct"/>
            <w:tcBorders>
              <w:top w:val="nil"/>
              <w:left w:val="single" w:sz="4" w:space="0" w:color="auto"/>
              <w:bottom w:val="nil"/>
              <w:right w:val="nil"/>
            </w:tcBorders>
            <w:vAlign w:val="center"/>
            <w:hideMark/>
          </w:tcPr>
          <w:p w14:paraId="413AADC6" w14:textId="77777777" w:rsidR="0064066B" w:rsidRPr="00AC1668" w:rsidRDefault="0064066B" w:rsidP="00B76AD4">
            <w:pPr>
              <w:jc w:val="both"/>
              <w:rPr>
                <w:b/>
                <w:bCs/>
                <w:color w:val="000000"/>
                <w:sz w:val="14"/>
                <w:szCs w:val="14"/>
              </w:rPr>
            </w:pPr>
            <w:r w:rsidRPr="00AC1668">
              <w:rPr>
                <w:b/>
                <w:bCs/>
                <w:color w:val="000000"/>
                <w:sz w:val="14"/>
                <w:szCs w:val="14"/>
              </w:rPr>
              <w:t> </w:t>
            </w:r>
          </w:p>
        </w:tc>
        <w:tc>
          <w:tcPr>
            <w:tcW w:w="3045" w:type="pct"/>
            <w:tcBorders>
              <w:top w:val="nil"/>
              <w:left w:val="nil"/>
              <w:bottom w:val="nil"/>
              <w:right w:val="nil"/>
            </w:tcBorders>
            <w:noWrap/>
            <w:vAlign w:val="center"/>
            <w:hideMark/>
          </w:tcPr>
          <w:p w14:paraId="03294D17" w14:textId="77777777" w:rsidR="0064066B" w:rsidRPr="00AC1668" w:rsidRDefault="0064066B" w:rsidP="00B76AD4">
            <w:pPr>
              <w:jc w:val="both"/>
              <w:rPr>
                <w:b/>
                <w:bCs/>
                <w:color w:val="000000"/>
                <w:sz w:val="14"/>
                <w:szCs w:val="14"/>
              </w:rPr>
            </w:pPr>
          </w:p>
        </w:tc>
        <w:tc>
          <w:tcPr>
            <w:tcW w:w="371" w:type="pct"/>
            <w:tcBorders>
              <w:top w:val="single" w:sz="4" w:space="0" w:color="auto"/>
              <w:left w:val="single" w:sz="4" w:space="0" w:color="auto"/>
              <w:bottom w:val="nil"/>
              <w:right w:val="single" w:sz="4" w:space="0" w:color="auto"/>
            </w:tcBorders>
            <w:vAlign w:val="center"/>
            <w:hideMark/>
          </w:tcPr>
          <w:p w14:paraId="627F1BC2" w14:textId="77777777" w:rsidR="0064066B" w:rsidRPr="00AC1668" w:rsidRDefault="0064066B" w:rsidP="00B76AD4">
            <w:pPr>
              <w:jc w:val="right"/>
              <w:rPr>
                <w:b/>
                <w:bCs/>
                <w:color w:val="000000"/>
                <w:sz w:val="14"/>
                <w:szCs w:val="14"/>
              </w:rPr>
            </w:pPr>
            <w:r w:rsidRPr="00AC1668">
              <w:rPr>
                <w:b/>
                <w:bCs/>
                <w:color w:val="000000"/>
                <w:sz w:val="14"/>
                <w:szCs w:val="14"/>
              </w:rPr>
              <w:t> </w:t>
            </w:r>
          </w:p>
        </w:tc>
        <w:tc>
          <w:tcPr>
            <w:tcW w:w="405" w:type="pct"/>
            <w:tcBorders>
              <w:top w:val="single" w:sz="4" w:space="0" w:color="auto"/>
              <w:left w:val="nil"/>
              <w:bottom w:val="nil"/>
              <w:right w:val="single" w:sz="4" w:space="0" w:color="auto"/>
            </w:tcBorders>
            <w:vAlign w:val="center"/>
            <w:hideMark/>
          </w:tcPr>
          <w:p w14:paraId="1B52ABE6" w14:textId="77777777" w:rsidR="0064066B" w:rsidRPr="00D275DF" w:rsidRDefault="0064066B" w:rsidP="00B76AD4">
            <w:pPr>
              <w:jc w:val="right"/>
              <w:rPr>
                <w:b/>
                <w:bCs/>
                <w:color w:val="000000"/>
                <w:sz w:val="14"/>
                <w:szCs w:val="14"/>
              </w:rPr>
            </w:pPr>
            <w:r w:rsidRPr="00D275DF">
              <w:rPr>
                <w:b/>
                <w:bCs/>
                <w:color w:val="000000"/>
                <w:sz w:val="14"/>
                <w:szCs w:val="14"/>
              </w:rPr>
              <w:t> </w:t>
            </w:r>
          </w:p>
        </w:tc>
        <w:tc>
          <w:tcPr>
            <w:tcW w:w="397" w:type="pct"/>
            <w:tcBorders>
              <w:top w:val="single" w:sz="4" w:space="0" w:color="auto"/>
              <w:left w:val="nil"/>
              <w:bottom w:val="nil"/>
              <w:right w:val="single" w:sz="4" w:space="0" w:color="auto"/>
            </w:tcBorders>
            <w:vAlign w:val="center"/>
            <w:hideMark/>
          </w:tcPr>
          <w:p w14:paraId="4D99635B" w14:textId="77777777" w:rsidR="0064066B" w:rsidRPr="00D275DF" w:rsidRDefault="0064066B" w:rsidP="00B76AD4">
            <w:pPr>
              <w:jc w:val="right"/>
              <w:rPr>
                <w:b/>
                <w:bCs/>
                <w:color w:val="000000"/>
                <w:sz w:val="14"/>
                <w:szCs w:val="14"/>
              </w:rPr>
            </w:pPr>
            <w:r w:rsidRPr="00D275DF">
              <w:rPr>
                <w:b/>
                <w:bCs/>
                <w:color w:val="000000"/>
                <w:sz w:val="14"/>
                <w:szCs w:val="14"/>
              </w:rPr>
              <w:t> </w:t>
            </w:r>
          </w:p>
        </w:tc>
        <w:tc>
          <w:tcPr>
            <w:tcW w:w="477" w:type="pct"/>
            <w:tcBorders>
              <w:top w:val="single" w:sz="4" w:space="0" w:color="auto"/>
              <w:left w:val="nil"/>
              <w:bottom w:val="nil"/>
              <w:right w:val="single" w:sz="4" w:space="0" w:color="auto"/>
            </w:tcBorders>
            <w:vAlign w:val="center"/>
            <w:hideMark/>
          </w:tcPr>
          <w:p w14:paraId="10857ADF" w14:textId="77777777" w:rsidR="0064066B" w:rsidRPr="00D275DF" w:rsidRDefault="0064066B" w:rsidP="00B76AD4">
            <w:pPr>
              <w:jc w:val="right"/>
              <w:rPr>
                <w:b/>
                <w:bCs/>
                <w:color w:val="000000"/>
                <w:sz w:val="14"/>
                <w:szCs w:val="14"/>
              </w:rPr>
            </w:pPr>
            <w:r w:rsidRPr="00D275DF">
              <w:rPr>
                <w:b/>
                <w:bCs/>
                <w:color w:val="000000"/>
                <w:sz w:val="14"/>
                <w:szCs w:val="14"/>
              </w:rPr>
              <w:t> </w:t>
            </w:r>
          </w:p>
        </w:tc>
      </w:tr>
      <w:tr w:rsidR="0064066B" w:rsidRPr="00AC1668" w14:paraId="6BFAC81C" w14:textId="77777777" w:rsidTr="00234709">
        <w:trPr>
          <w:trHeight w:val="20"/>
        </w:trPr>
        <w:tc>
          <w:tcPr>
            <w:tcW w:w="305" w:type="pct"/>
            <w:tcBorders>
              <w:top w:val="nil"/>
              <w:left w:val="single" w:sz="4" w:space="0" w:color="auto"/>
              <w:bottom w:val="nil"/>
              <w:right w:val="nil"/>
            </w:tcBorders>
            <w:noWrap/>
            <w:hideMark/>
          </w:tcPr>
          <w:p w14:paraId="5B5BD24A" w14:textId="77777777" w:rsidR="0064066B" w:rsidRPr="00AC1668" w:rsidRDefault="0064066B" w:rsidP="00B76AD4">
            <w:pPr>
              <w:rPr>
                <w:b/>
                <w:bCs/>
                <w:color w:val="000000"/>
                <w:sz w:val="14"/>
                <w:szCs w:val="14"/>
              </w:rPr>
            </w:pPr>
            <w:r w:rsidRPr="00AC1668">
              <w:rPr>
                <w:b/>
                <w:bCs/>
                <w:color w:val="000000"/>
                <w:sz w:val="14"/>
                <w:szCs w:val="14"/>
              </w:rPr>
              <w:t>I.</w:t>
            </w:r>
          </w:p>
        </w:tc>
        <w:tc>
          <w:tcPr>
            <w:tcW w:w="3045" w:type="pct"/>
            <w:tcBorders>
              <w:top w:val="nil"/>
              <w:left w:val="nil"/>
              <w:bottom w:val="nil"/>
              <w:right w:val="nil"/>
            </w:tcBorders>
            <w:hideMark/>
          </w:tcPr>
          <w:p w14:paraId="6C9F5219" w14:textId="77777777" w:rsidR="0064066B" w:rsidRPr="00AC1668" w:rsidRDefault="0064066B" w:rsidP="00B76AD4">
            <w:pPr>
              <w:rPr>
                <w:b/>
                <w:bCs/>
                <w:color w:val="000000"/>
                <w:sz w:val="14"/>
                <w:szCs w:val="14"/>
              </w:rPr>
            </w:pPr>
            <w:r w:rsidRPr="00AC1668">
              <w:rPr>
                <w:b/>
                <w:bCs/>
                <w:color w:val="000000"/>
                <w:sz w:val="14"/>
                <w:szCs w:val="14"/>
              </w:rPr>
              <w:t>TOPLANAN FONLAR</w:t>
            </w:r>
          </w:p>
        </w:tc>
        <w:tc>
          <w:tcPr>
            <w:tcW w:w="371" w:type="pct"/>
            <w:tcBorders>
              <w:top w:val="nil"/>
              <w:left w:val="single" w:sz="4" w:space="0" w:color="auto"/>
              <w:bottom w:val="nil"/>
              <w:right w:val="single" w:sz="4" w:space="0" w:color="auto"/>
            </w:tcBorders>
            <w:vAlign w:val="bottom"/>
            <w:hideMark/>
          </w:tcPr>
          <w:p w14:paraId="371D7488" w14:textId="77777777" w:rsidR="0064066B" w:rsidRPr="00AC1668" w:rsidRDefault="0064066B" w:rsidP="00B76AD4">
            <w:pPr>
              <w:jc w:val="center"/>
              <w:rPr>
                <w:b/>
                <w:bCs/>
                <w:color w:val="000000"/>
                <w:sz w:val="14"/>
                <w:szCs w:val="14"/>
              </w:rPr>
            </w:pPr>
            <w:r w:rsidRPr="00AC1668">
              <w:rPr>
                <w:b/>
                <w:bCs/>
                <w:color w:val="000000"/>
                <w:sz w:val="14"/>
                <w:szCs w:val="14"/>
              </w:rPr>
              <w:t>(1)</w:t>
            </w:r>
          </w:p>
        </w:tc>
        <w:tc>
          <w:tcPr>
            <w:tcW w:w="405" w:type="pct"/>
            <w:tcBorders>
              <w:top w:val="nil"/>
              <w:left w:val="nil"/>
              <w:bottom w:val="nil"/>
              <w:right w:val="single" w:sz="4" w:space="0" w:color="auto"/>
            </w:tcBorders>
            <w:shd w:val="clear" w:color="000000" w:fill="FFFFFF"/>
            <w:vAlign w:val="bottom"/>
            <w:hideMark/>
          </w:tcPr>
          <w:p w14:paraId="01DD6735" w14:textId="77777777" w:rsidR="0064066B" w:rsidRPr="00D275DF" w:rsidRDefault="0064066B" w:rsidP="00B76AD4">
            <w:pPr>
              <w:jc w:val="right"/>
              <w:rPr>
                <w:b/>
                <w:bCs/>
                <w:color w:val="000000"/>
                <w:sz w:val="14"/>
                <w:szCs w:val="14"/>
              </w:rPr>
            </w:pPr>
            <w:r w:rsidRPr="00D275DF">
              <w:rPr>
                <w:b/>
                <w:bCs/>
                <w:color w:val="000000"/>
                <w:sz w:val="14"/>
                <w:szCs w:val="14"/>
              </w:rPr>
              <w:t>13.422.152</w:t>
            </w:r>
          </w:p>
        </w:tc>
        <w:tc>
          <w:tcPr>
            <w:tcW w:w="397" w:type="pct"/>
            <w:tcBorders>
              <w:top w:val="nil"/>
              <w:left w:val="nil"/>
              <w:bottom w:val="nil"/>
              <w:right w:val="single" w:sz="4" w:space="0" w:color="auto"/>
            </w:tcBorders>
            <w:shd w:val="clear" w:color="000000" w:fill="FFFFFF"/>
            <w:vAlign w:val="bottom"/>
            <w:hideMark/>
          </w:tcPr>
          <w:p w14:paraId="25CCFB93" w14:textId="77777777" w:rsidR="0064066B" w:rsidRPr="00D275DF" w:rsidRDefault="0064066B" w:rsidP="00B76AD4">
            <w:pPr>
              <w:jc w:val="right"/>
              <w:rPr>
                <w:b/>
                <w:bCs/>
                <w:color w:val="000000"/>
                <w:sz w:val="14"/>
                <w:szCs w:val="14"/>
              </w:rPr>
            </w:pPr>
            <w:r w:rsidRPr="00D275DF">
              <w:rPr>
                <w:b/>
                <w:bCs/>
                <w:color w:val="000000"/>
                <w:sz w:val="14"/>
                <w:szCs w:val="14"/>
              </w:rPr>
              <w:t>10.402.557</w:t>
            </w:r>
          </w:p>
        </w:tc>
        <w:tc>
          <w:tcPr>
            <w:tcW w:w="477" w:type="pct"/>
            <w:tcBorders>
              <w:top w:val="nil"/>
              <w:left w:val="nil"/>
              <w:bottom w:val="nil"/>
              <w:right w:val="single" w:sz="4" w:space="0" w:color="auto"/>
            </w:tcBorders>
            <w:shd w:val="clear" w:color="000000" w:fill="FFFFFF"/>
            <w:vAlign w:val="bottom"/>
            <w:hideMark/>
          </w:tcPr>
          <w:p w14:paraId="43DC0D66" w14:textId="77777777" w:rsidR="0064066B" w:rsidRPr="00D275DF" w:rsidRDefault="0064066B" w:rsidP="00B76AD4">
            <w:pPr>
              <w:jc w:val="right"/>
              <w:rPr>
                <w:b/>
                <w:bCs/>
                <w:color w:val="000000"/>
                <w:sz w:val="14"/>
                <w:szCs w:val="14"/>
              </w:rPr>
            </w:pPr>
            <w:r w:rsidRPr="00D275DF">
              <w:rPr>
                <w:b/>
                <w:bCs/>
                <w:color w:val="000000"/>
                <w:sz w:val="14"/>
                <w:szCs w:val="14"/>
              </w:rPr>
              <w:t>23.824.709</w:t>
            </w:r>
          </w:p>
        </w:tc>
      </w:tr>
      <w:tr w:rsidR="0064066B" w:rsidRPr="00AC1668" w14:paraId="0E4DCAEF" w14:textId="77777777" w:rsidTr="00234709">
        <w:trPr>
          <w:trHeight w:val="20"/>
        </w:trPr>
        <w:tc>
          <w:tcPr>
            <w:tcW w:w="305" w:type="pct"/>
            <w:tcBorders>
              <w:top w:val="nil"/>
              <w:left w:val="single" w:sz="4" w:space="0" w:color="auto"/>
              <w:bottom w:val="nil"/>
              <w:right w:val="nil"/>
            </w:tcBorders>
            <w:noWrap/>
            <w:hideMark/>
          </w:tcPr>
          <w:p w14:paraId="0EDBD402" w14:textId="77777777" w:rsidR="0064066B" w:rsidRPr="00AC1668" w:rsidRDefault="0064066B" w:rsidP="00B76AD4">
            <w:pPr>
              <w:rPr>
                <w:b/>
                <w:bCs/>
                <w:color w:val="000000"/>
                <w:sz w:val="14"/>
                <w:szCs w:val="14"/>
              </w:rPr>
            </w:pPr>
            <w:r w:rsidRPr="00AC1668">
              <w:rPr>
                <w:b/>
                <w:bCs/>
                <w:color w:val="000000"/>
                <w:sz w:val="14"/>
                <w:szCs w:val="14"/>
              </w:rPr>
              <w:t>II.</w:t>
            </w:r>
          </w:p>
        </w:tc>
        <w:tc>
          <w:tcPr>
            <w:tcW w:w="3045" w:type="pct"/>
            <w:tcBorders>
              <w:top w:val="nil"/>
              <w:left w:val="nil"/>
              <w:bottom w:val="nil"/>
              <w:right w:val="nil"/>
            </w:tcBorders>
            <w:hideMark/>
          </w:tcPr>
          <w:p w14:paraId="226111B1" w14:textId="77777777" w:rsidR="0064066B" w:rsidRPr="00AC1668" w:rsidRDefault="0064066B" w:rsidP="00B76AD4">
            <w:pPr>
              <w:rPr>
                <w:b/>
                <w:bCs/>
                <w:color w:val="000000"/>
                <w:sz w:val="14"/>
                <w:szCs w:val="14"/>
              </w:rPr>
            </w:pPr>
            <w:r w:rsidRPr="00AC1668">
              <w:rPr>
                <w:b/>
                <w:bCs/>
                <w:color w:val="000000"/>
                <w:sz w:val="14"/>
                <w:szCs w:val="14"/>
              </w:rPr>
              <w:t>ALINAN KREDİLER</w:t>
            </w:r>
          </w:p>
        </w:tc>
        <w:tc>
          <w:tcPr>
            <w:tcW w:w="371" w:type="pct"/>
            <w:tcBorders>
              <w:top w:val="nil"/>
              <w:left w:val="single" w:sz="4" w:space="0" w:color="auto"/>
              <w:bottom w:val="nil"/>
              <w:right w:val="single" w:sz="4" w:space="0" w:color="auto"/>
            </w:tcBorders>
            <w:vAlign w:val="bottom"/>
            <w:hideMark/>
          </w:tcPr>
          <w:p w14:paraId="00F0794A" w14:textId="77777777" w:rsidR="0064066B" w:rsidRPr="00AC1668" w:rsidRDefault="0064066B" w:rsidP="00B76AD4">
            <w:pPr>
              <w:jc w:val="center"/>
              <w:rPr>
                <w:b/>
                <w:bCs/>
                <w:color w:val="000000"/>
                <w:sz w:val="14"/>
                <w:szCs w:val="14"/>
                <w:lang w:eastAsia="tr-TR"/>
              </w:rPr>
            </w:pPr>
            <w:r w:rsidRPr="00AC1668">
              <w:rPr>
                <w:b/>
                <w:bCs/>
                <w:color w:val="000000"/>
                <w:sz w:val="14"/>
                <w:szCs w:val="14"/>
              </w:rPr>
              <w:t>(2</w:t>
            </w:r>
            <w:r w:rsidRPr="00AC1668">
              <w:rPr>
                <w:b/>
                <w:bCs/>
                <w:color w:val="000000"/>
                <w:sz w:val="14"/>
                <w:szCs w:val="14"/>
                <w:lang w:eastAsia="tr-TR"/>
              </w:rPr>
              <w:t>)</w:t>
            </w:r>
          </w:p>
        </w:tc>
        <w:tc>
          <w:tcPr>
            <w:tcW w:w="405" w:type="pct"/>
            <w:tcBorders>
              <w:top w:val="nil"/>
              <w:left w:val="nil"/>
              <w:bottom w:val="nil"/>
              <w:right w:val="single" w:sz="4" w:space="0" w:color="auto"/>
            </w:tcBorders>
            <w:shd w:val="clear" w:color="000000" w:fill="FFFFFF"/>
            <w:vAlign w:val="bottom"/>
            <w:hideMark/>
          </w:tcPr>
          <w:p w14:paraId="693B5073" w14:textId="77777777" w:rsidR="0064066B" w:rsidRPr="00D275DF" w:rsidRDefault="0064066B" w:rsidP="00B76AD4">
            <w:pPr>
              <w:jc w:val="right"/>
              <w:rPr>
                <w:b/>
                <w:bCs/>
                <w:color w:val="000000"/>
                <w:sz w:val="14"/>
                <w:szCs w:val="14"/>
              </w:rPr>
            </w:pPr>
            <w:r w:rsidRPr="00D275DF">
              <w:rPr>
                <w:b/>
                <w:bCs/>
                <w:color w:val="000000"/>
                <w:sz w:val="14"/>
                <w:szCs w:val="14"/>
              </w:rPr>
              <w:t>85.110</w:t>
            </w:r>
          </w:p>
        </w:tc>
        <w:tc>
          <w:tcPr>
            <w:tcW w:w="397" w:type="pct"/>
            <w:tcBorders>
              <w:top w:val="nil"/>
              <w:left w:val="nil"/>
              <w:bottom w:val="nil"/>
              <w:right w:val="single" w:sz="4" w:space="0" w:color="auto"/>
            </w:tcBorders>
            <w:shd w:val="clear" w:color="000000" w:fill="FFFFFF"/>
            <w:vAlign w:val="bottom"/>
            <w:hideMark/>
          </w:tcPr>
          <w:p w14:paraId="238A4B4F" w14:textId="77777777" w:rsidR="0064066B" w:rsidRPr="00D275DF" w:rsidRDefault="0064066B" w:rsidP="00B76AD4">
            <w:pPr>
              <w:jc w:val="right"/>
              <w:rPr>
                <w:b/>
                <w:bCs/>
                <w:color w:val="000000"/>
                <w:sz w:val="14"/>
                <w:szCs w:val="14"/>
              </w:rPr>
            </w:pPr>
            <w:r w:rsidRPr="00D275DF">
              <w:rPr>
                <w:b/>
                <w:bCs/>
                <w:color w:val="000000"/>
                <w:sz w:val="14"/>
                <w:szCs w:val="14"/>
              </w:rPr>
              <w:t>1.837.130</w:t>
            </w:r>
          </w:p>
        </w:tc>
        <w:tc>
          <w:tcPr>
            <w:tcW w:w="477" w:type="pct"/>
            <w:tcBorders>
              <w:top w:val="nil"/>
              <w:left w:val="nil"/>
              <w:bottom w:val="nil"/>
              <w:right w:val="single" w:sz="4" w:space="0" w:color="auto"/>
            </w:tcBorders>
            <w:shd w:val="clear" w:color="000000" w:fill="FFFFFF"/>
            <w:vAlign w:val="bottom"/>
            <w:hideMark/>
          </w:tcPr>
          <w:p w14:paraId="0B77CF06" w14:textId="77777777" w:rsidR="0064066B" w:rsidRPr="00D275DF" w:rsidRDefault="0064066B" w:rsidP="00B76AD4">
            <w:pPr>
              <w:jc w:val="right"/>
              <w:rPr>
                <w:b/>
                <w:bCs/>
                <w:color w:val="000000"/>
                <w:sz w:val="14"/>
                <w:szCs w:val="14"/>
              </w:rPr>
            </w:pPr>
            <w:r w:rsidRPr="00D275DF">
              <w:rPr>
                <w:b/>
                <w:bCs/>
                <w:color w:val="000000"/>
                <w:sz w:val="14"/>
                <w:szCs w:val="14"/>
              </w:rPr>
              <w:t>1.922.240</w:t>
            </w:r>
          </w:p>
        </w:tc>
      </w:tr>
      <w:tr w:rsidR="0064066B" w:rsidRPr="00AC1668" w14:paraId="1ED1BEE6" w14:textId="77777777" w:rsidTr="00234709">
        <w:trPr>
          <w:trHeight w:val="20"/>
        </w:trPr>
        <w:tc>
          <w:tcPr>
            <w:tcW w:w="305" w:type="pct"/>
            <w:tcBorders>
              <w:top w:val="nil"/>
              <w:left w:val="single" w:sz="4" w:space="0" w:color="auto"/>
              <w:bottom w:val="nil"/>
              <w:right w:val="nil"/>
            </w:tcBorders>
            <w:noWrap/>
            <w:hideMark/>
          </w:tcPr>
          <w:p w14:paraId="596EFDAD" w14:textId="77777777" w:rsidR="0064066B" w:rsidRPr="00AC1668" w:rsidRDefault="0064066B" w:rsidP="00B76AD4">
            <w:pPr>
              <w:rPr>
                <w:b/>
                <w:bCs/>
                <w:color w:val="000000"/>
                <w:sz w:val="14"/>
                <w:szCs w:val="14"/>
              </w:rPr>
            </w:pPr>
            <w:r w:rsidRPr="00AC1668">
              <w:rPr>
                <w:b/>
                <w:bCs/>
                <w:color w:val="000000"/>
                <w:sz w:val="14"/>
                <w:szCs w:val="14"/>
              </w:rPr>
              <w:t>III.</w:t>
            </w:r>
          </w:p>
        </w:tc>
        <w:tc>
          <w:tcPr>
            <w:tcW w:w="3045" w:type="pct"/>
            <w:tcBorders>
              <w:top w:val="nil"/>
              <w:left w:val="nil"/>
              <w:bottom w:val="nil"/>
              <w:right w:val="nil"/>
            </w:tcBorders>
            <w:hideMark/>
          </w:tcPr>
          <w:p w14:paraId="1206C14C" w14:textId="77777777" w:rsidR="0064066B" w:rsidRPr="00AC1668" w:rsidRDefault="0064066B" w:rsidP="00B76AD4">
            <w:pPr>
              <w:rPr>
                <w:b/>
                <w:bCs/>
                <w:color w:val="000000"/>
                <w:sz w:val="14"/>
                <w:szCs w:val="14"/>
              </w:rPr>
            </w:pPr>
            <w:r w:rsidRPr="00AC1668">
              <w:rPr>
                <w:b/>
                <w:bCs/>
                <w:color w:val="000000"/>
                <w:sz w:val="14"/>
                <w:szCs w:val="14"/>
              </w:rPr>
              <w:t>PARA PİYASALARINA BORÇLAR</w:t>
            </w:r>
          </w:p>
        </w:tc>
        <w:tc>
          <w:tcPr>
            <w:tcW w:w="371" w:type="pct"/>
            <w:tcBorders>
              <w:top w:val="nil"/>
              <w:left w:val="single" w:sz="4" w:space="0" w:color="auto"/>
              <w:bottom w:val="nil"/>
              <w:right w:val="single" w:sz="4" w:space="0" w:color="auto"/>
            </w:tcBorders>
            <w:vAlign w:val="bottom"/>
            <w:hideMark/>
          </w:tcPr>
          <w:p w14:paraId="28324638" w14:textId="77777777" w:rsidR="0064066B" w:rsidRPr="00AC1668" w:rsidRDefault="0064066B" w:rsidP="00B76AD4">
            <w:pPr>
              <w:jc w:val="center"/>
              <w:rPr>
                <w:b/>
                <w:bCs/>
                <w:color w:val="000000"/>
                <w:sz w:val="14"/>
                <w:szCs w:val="14"/>
                <w:lang w:eastAsia="tr-TR"/>
              </w:rPr>
            </w:pPr>
            <w:r w:rsidRPr="00AC1668">
              <w:rPr>
                <w:b/>
                <w:bCs/>
                <w:color w:val="000000"/>
                <w:sz w:val="14"/>
                <w:szCs w:val="14"/>
              </w:rPr>
              <w:t> </w:t>
            </w:r>
          </w:p>
        </w:tc>
        <w:tc>
          <w:tcPr>
            <w:tcW w:w="405" w:type="pct"/>
            <w:tcBorders>
              <w:top w:val="nil"/>
              <w:left w:val="nil"/>
              <w:bottom w:val="nil"/>
              <w:right w:val="single" w:sz="4" w:space="0" w:color="auto"/>
            </w:tcBorders>
            <w:shd w:val="clear" w:color="000000" w:fill="FFFFFF"/>
            <w:vAlign w:val="bottom"/>
            <w:hideMark/>
          </w:tcPr>
          <w:p w14:paraId="0611461C" w14:textId="77777777" w:rsidR="0064066B" w:rsidRPr="00D275DF" w:rsidRDefault="0064066B" w:rsidP="00B76AD4">
            <w:pPr>
              <w:jc w:val="right"/>
              <w:rPr>
                <w:b/>
                <w:bCs/>
                <w:color w:val="000000"/>
                <w:sz w:val="14"/>
                <w:szCs w:val="14"/>
              </w:rPr>
            </w:pPr>
            <w:r w:rsidRPr="00D275DF">
              <w:rPr>
                <w:b/>
                <w:bCs/>
                <w:color w:val="000000"/>
                <w:sz w:val="14"/>
                <w:szCs w:val="14"/>
              </w:rPr>
              <w:t>480.631</w:t>
            </w:r>
          </w:p>
        </w:tc>
        <w:tc>
          <w:tcPr>
            <w:tcW w:w="397" w:type="pct"/>
            <w:tcBorders>
              <w:top w:val="nil"/>
              <w:left w:val="nil"/>
              <w:bottom w:val="nil"/>
              <w:right w:val="single" w:sz="4" w:space="0" w:color="auto"/>
            </w:tcBorders>
            <w:shd w:val="clear" w:color="000000" w:fill="FFFFFF"/>
            <w:vAlign w:val="bottom"/>
            <w:hideMark/>
          </w:tcPr>
          <w:p w14:paraId="5FBB548C" w14:textId="77777777" w:rsidR="0064066B" w:rsidRPr="00D275DF" w:rsidRDefault="0064066B" w:rsidP="00B76AD4">
            <w:pPr>
              <w:jc w:val="right"/>
              <w:rPr>
                <w:b/>
                <w:bCs/>
                <w:color w:val="000000"/>
                <w:sz w:val="14"/>
                <w:szCs w:val="14"/>
              </w:rPr>
            </w:pPr>
            <w:r w:rsidRPr="00D275DF">
              <w:rPr>
                <w:b/>
                <w:bCs/>
                <w:color w:val="000000"/>
                <w:sz w:val="14"/>
                <w:szCs w:val="14"/>
              </w:rPr>
              <w:t>-</w:t>
            </w:r>
          </w:p>
        </w:tc>
        <w:tc>
          <w:tcPr>
            <w:tcW w:w="477" w:type="pct"/>
            <w:tcBorders>
              <w:top w:val="nil"/>
              <w:left w:val="nil"/>
              <w:bottom w:val="nil"/>
              <w:right w:val="single" w:sz="4" w:space="0" w:color="auto"/>
            </w:tcBorders>
            <w:shd w:val="clear" w:color="000000" w:fill="FFFFFF"/>
            <w:vAlign w:val="bottom"/>
            <w:hideMark/>
          </w:tcPr>
          <w:p w14:paraId="30A7576D" w14:textId="77777777" w:rsidR="0064066B" w:rsidRPr="00D275DF" w:rsidRDefault="0064066B" w:rsidP="00B76AD4">
            <w:pPr>
              <w:jc w:val="right"/>
              <w:rPr>
                <w:b/>
                <w:bCs/>
                <w:color w:val="000000"/>
                <w:sz w:val="14"/>
                <w:szCs w:val="14"/>
              </w:rPr>
            </w:pPr>
            <w:r w:rsidRPr="00D275DF">
              <w:rPr>
                <w:b/>
                <w:bCs/>
                <w:color w:val="000000"/>
                <w:sz w:val="14"/>
                <w:szCs w:val="14"/>
              </w:rPr>
              <w:t>480.631</w:t>
            </w:r>
          </w:p>
        </w:tc>
      </w:tr>
      <w:tr w:rsidR="0064066B" w:rsidRPr="00AC1668" w14:paraId="2D506192" w14:textId="77777777" w:rsidTr="00234709">
        <w:trPr>
          <w:trHeight w:val="20"/>
        </w:trPr>
        <w:tc>
          <w:tcPr>
            <w:tcW w:w="305" w:type="pct"/>
            <w:tcBorders>
              <w:top w:val="nil"/>
              <w:left w:val="single" w:sz="4" w:space="0" w:color="auto"/>
              <w:bottom w:val="nil"/>
              <w:right w:val="nil"/>
            </w:tcBorders>
            <w:noWrap/>
            <w:hideMark/>
          </w:tcPr>
          <w:p w14:paraId="6F955046" w14:textId="77777777" w:rsidR="0064066B" w:rsidRPr="00AC1668" w:rsidRDefault="0064066B" w:rsidP="00B76AD4">
            <w:pPr>
              <w:rPr>
                <w:b/>
                <w:bCs/>
                <w:color w:val="000000"/>
                <w:sz w:val="14"/>
                <w:szCs w:val="14"/>
              </w:rPr>
            </w:pPr>
            <w:r w:rsidRPr="00AC1668">
              <w:rPr>
                <w:b/>
                <w:bCs/>
                <w:color w:val="000000"/>
                <w:sz w:val="14"/>
                <w:szCs w:val="14"/>
              </w:rPr>
              <w:t>IV.</w:t>
            </w:r>
          </w:p>
        </w:tc>
        <w:tc>
          <w:tcPr>
            <w:tcW w:w="3045" w:type="pct"/>
            <w:tcBorders>
              <w:top w:val="nil"/>
              <w:left w:val="nil"/>
              <w:bottom w:val="nil"/>
              <w:right w:val="nil"/>
            </w:tcBorders>
            <w:hideMark/>
          </w:tcPr>
          <w:p w14:paraId="4E357BA6" w14:textId="77777777" w:rsidR="0064066B" w:rsidRPr="00AC1668" w:rsidRDefault="0064066B" w:rsidP="00B76AD4">
            <w:pPr>
              <w:rPr>
                <w:b/>
                <w:bCs/>
                <w:color w:val="000000"/>
                <w:sz w:val="14"/>
                <w:szCs w:val="14"/>
              </w:rPr>
            </w:pPr>
            <w:r w:rsidRPr="00AC1668">
              <w:rPr>
                <w:b/>
                <w:bCs/>
                <w:color w:val="000000"/>
                <w:sz w:val="14"/>
                <w:szCs w:val="14"/>
              </w:rPr>
              <w:t xml:space="preserve">İHRAÇ EDİLEN MENKUL KIYMETLER (Net)  </w:t>
            </w:r>
          </w:p>
        </w:tc>
        <w:tc>
          <w:tcPr>
            <w:tcW w:w="371" w:type="pct"/>
            <w:tcBorders>
              <w:top w:val="nil"/>
              <w:left w:val="single" w:sz="4" w:space="0" w:color="auto"/>
              <w:bottom w:val="nil"/>
              <w:right w:val="single" w:sz="4" w:space="0" w:color="auto"/>
            </w:tcBorders>
            <w:vAlign w:val="bottom"/>
            <w:hideMark/>
          </w:tcPr>
          <w:p w14:paraId="74D570A2" w14:textId="77777777" w:rsidR="0064066B" w:rsidRPr="00AC1668" w:rsidRDefault="0064066B" w:rsidP="00B76AD4">
            <w:pPr>
              <w:jc w:val="center"/>
              <w:rPr>
                <w:b/>
                <w:bCs/>
                <w:color w:val="000000"/>
                <w:sz w:val="14"/>
                <w:szCs w:val="14"/>
                <w:lang w:eastAsia="tr-TR"/>
              </w:rPr>
            </w:pPr>
            <w:r w:rsidRPr="00AC1668">
              <w:rPr>
                <w:b/>
                <w:bCs/>
                <w:color w:val="000000"/>
                <w:sz w:val="14"/>
                <w:szCs w:val="14"/>
              </w:rPr>
              <w:t> </w:t>
            </w:r>
          </w:p>
        </w:tc>
        <w:tc>
          <w:tcPr>
            <w:tcW w:w="405" w:type="pct"/>
            <w:tcBorders>
              <w:top w:val="nil"/>
              <w:left w:val="nil"/>
              <w:bottom w:val="nil"/>
              <w:right w:val="single" w:sz="4" w:space="0" w:color="auto"/>
            </w:tcBorders>
            <w:shd w:val="clear" w:color="000000" w:fill="FFFFFF"/>
            <w:vAlign w:val="bottom"/>
            <w:hideMark/>
          </w:tcPr>
          <w:p w14:paraId="025DFD97" w14:textId="77777777" w:rsidR="0064066B" w:rsidRPr="00D275DF" w:rsidRDefault="0064066B" w:rsidP="00B76AD4">
            <w:pPr>
              <w:jc w:val="right"/>
              <w:rPr>
                <w:b/>
                <w:bCs/>
                <w:color w:val="000000"/>
                <w:sz w:val="14"/>
                <w:szCs w:val="14"/>
              </w:rPr>
            </w:pPr>
            <w:r w:rsidRPr="00D275DF">
              <w:rPr>
                <w:b/>
                <w:bCs/>
                <w:color w:val="000000"/>
                <w:sz w:val="14"/>
                <w:szCs w:val="14"/>
              </w:rPr>
              <w:t>-</w:t>
            </w:r>
          </w:p>
        </w:tc>
        <w:tc>
          <w:tcPr>
            <w:tcW w:w="397" w:type="pct"/>
            <w:tcBorders>
              <w:top w:val="nil"/>
              <w:left w:val="nil"/>
              <w:bottom w:val="nil"/>
              <w:right w:val="single" w:sz="4" w:space="0" w:color="auto"/>
            </w:tcBorders>
            <w:shd w:val="clear" w:color="000000" w:fill="FFFFFF"/>
            <w:vAlign w:val="bottom"/>
            <w:hideMark/>
          </w:tcPr>
          <w:p w14:paraId="6AD63B4E" w14:textId="77777777" w:rsidR="0064066B" w:rsidRPr="00D275DF" w:rsidRDefault="0064066B" w:rsidP="00B76AD4">
            <w:pPr>
              <w:jc w:val="right"/>
              <w:rPr>
                <w:b/>
                <w:bCs/>
                <w:color w:val="000000"/>
                <w:sz w:val="14"/>
                <w:szCs w:val="14"/>
              </w:rPr>
            </w:pPr>
            <w:r w:rsidRPr="00D275DF">
              <w:rPr>
                <w:b/>
                <w:bCs/>
                <w:color w:val="000000"/>
                <w:sz w:val="14"/>
                <w:szCs w:val="14"/>
              </w:rPr>
              <w:t>-</w:t>
            </w:r>
          </w:p>
        </w:tc>
        <w:tc>
          <w:tcPr>
            <w:tcW w:w="477" w:type="pct"/>
            <w:tcBorders>
              <w:top w:val="nil"/>
              <w:left w:val="nil"/>
              <w:bottom w:val="nil"/>
              <w:right w:val="single" w:sz="4" w:space="0" w:color="auto"/>
            </w:tcBorders>
            <w:shd w:val="clear" w:color="000000" w:fill="FFFFFF"/>
            <w:vAlign w:val="bottom"/>
            <w:hideMark/>
          </w:tcPr>
          <w:p w14:paraId="37AE1B0C" w14:textId="77777777" w:rsidR="0064066B" w:rsidRPr="00D275DF" w:rsidRDefault="0064066B" w:rsidP="00B76AD4">
            <w:pPr>
              <w:jc w:val="right"/>
              <w:rPr>
                <w:b/>
                <w:bCs/>
                <w:color w:val="000000"/>
                <w:sz w:val="14"/>
                <w:szCs w:val="14"/>
              </w:rPr>
            </w:pPr>
            <w:r w:rsidRPr="00D275DF">
              <w:rPr>
                <w:b/>
                <w:bCs/>
                <w:color w:val="000000"/>
                <w:sz w:val="14"/>
                <w:szCs w:val="14"/>
              </w:rPr>
              <w:t>-</w:t>
            </w:r>
          </w:p>
        </w:tc>
      </w:tr>
      <w:tr w:rsidR="0064066B" w:rsidRPr="00AC1668" w14:paraId="09AD5B12" w14:textId="77777777" w:rsidTr="00234709">
        <w:trPr>
          <w:trHeight w:val="20"/>
        </w:trPr>
        <w:tc>
          <w:tcPr>
            <w:tcW w:w="305" w:type="pct"/>
            <w:tcBorders>
              <w:top w:val="nil"/>
              <w:left w:val="single" w:sz="4" w:space="0" w:color="auto"/>
              <w:bottom w:val="nil"/>
              <w:right w:val="nil"/>
            </w:tcBorders>
            <w:noWrap/>
            <w:hideMark/>
          </w:tcPr>
          <w:p w14:paraId="7FBBD914" w14:textId="77777777" w:rsidR="0064066B" w:rsidRPr="00AC1668" w:rsidRDefault="0064066B" w:rsidP="00B76AD4">
            <w:pPr>
              <w:rPr>
                <w:b/>
                <w:bCs/>
                <w:color w:val="000000"/>
                <w:sz w:val="14"/>
                <w:szCs w:val="14"/>
              </w:rPr>
            </w:pPr>
            <w:r w:rsidRPr="00AC1668">
              <w:rPr>
                <w:b/>
                <w:bCs/>
                <w:color w:val="000000"/>
                <w:sz w:val="14"/>
                <w:szCs w:val="14"/>
              </w:rPr>
              <w:t>V.</w:t>
            </w:r>
          </w:p>
        </w:tc>
        <w:tc>
          <w:tcPr>
            <w:tcW w:w="3045" w:type="pct"/>
            <w:tcBorders>
              <w:top w:val="nil"/>
              <w:left w:val="nil"/>
              <w:bottom w:val="nil"/>
              <w:right w:val="nil"/>
            </w:tcBorders>
            <w:hideMark/>
          </w:tcPr>
          <w:p w14:paraId="6483D990" w14:textId="77777777" w:rsidR="0064066B" w:rsidRPr="00AC1668" w:rsidRDefault="0064066B" w:rsidP="00B76AD4">
            <w:pPr>
              <w:rPr>
                <w:b/>
                <w:bCs/>
                <w:color w:val="000000"/>
                <w:sz w:val="14"/>
                <w:szCs w:val="14"/>
              </w:rPr>
            </w:pPr>
            <w:r w:rsidRPr="00AC1668">
              <w:rPr>
                <w:b/>
                <w:bCs/>
                <w:color w:val="000000"/>
                <w:sz w:val="14"/>
                <w:szCs w:val="14"/>
              </w:rPr>
              <w:t>GERÇEĞE UYGUN DEĞER FARKI KAR ZARARA YANSITILAN FİNANSAL YÜKÜMLÜLÜKLER</w:t>
            </w:r>
          </w:p>
        </w:tc>
        <w:tc>
          <w:tcPr>
            <w:tcW w:w="371" w:type="pct"/>
            <w:tcBorders>
              <w:top w:val="nil"/>
              <w:left w:val="single" w:sz="4" w:space="0" w:color="auto"/>
              <w:bottom w:val="nil"/>
              <w:right w:val="single" w:sz="4" w:space="0" w:color="auto"/>
            </w:tcBorders>
            <w:vAlign w:val="bottom"/>
            <w:hideMark/>
          </w:tcPr>
          <w:p w14:paraId="313E488C" w14:textId="77777777" w:rsidR="0064066B" w:rsidRPr="00AC1668" w:rsidRDefault="0064066B" w:rsidP="00B76AD4">
            <w:pPr>
              <w:jc w:val="center"/>
              <w:rPr>
                <w:b/>
                <w:bCs/>
                <w:color w:val="000000"/>
                <w:sz w:val="14"/>
                <w:szCs w:val="14"/>
                <w:lang w:eastAsia="tr-TR"/>
              </w:rPr>
            </w:pPr>
            <w:r w:rsidRPr="00AC1668">
              <w:rPr>
                <w:b/>
                <w:bCs/>
                <w:color w:val="000000"/>
                <w:sz w:val="14"/>
                <w:szCs w:val="14"/>
              </w:rPr>
              <w:t> </w:t>
            </w:r>
          </w:p>
        </w:tc>
        <w:tc>
          <w:tcPr>
            <w:tcW w:w="405" w:type="pct"/>
            <w:tcBorders>
              <w:top w:val="nil"/>
              <w:left w:val="nil"/>
              <w:bottom w:val="nil"/>
              <w:right w:val="single" w:sz="4" w:space="0" w:color="auto"/>
            </w:tcBorders>
            <w:shd w:val="clear" w:color="000000" w:fill="FFFFFF"/>
            <w:vAlign w:val="bottom"/>
            <w:hideMark/>
          </w:tcPr>
          <w:p w14:paraId="5ECA651B" w14:textId="77777777" w:rsidR="0064066B" w:rsidRPr="00D275DF" w:rsidRDefault="0064066B" w:rsidP="00B76AD4">
            <w:pPr>
              <w:jc w:val="right"/>
              <w:rPr>
                <w:b/>
                <w:bCs/>
                <w:color w:val="000000"/>
                <w:sz w:val="14"/>
                <w:szCs w:val="14"/>
              </w:rPr>
            </w:pPr>
            <w:r w:rsidRPr="00D275DF">
              <w:rPr>
                <w:b/>
                <w:bCs/>
                <w:color w:val="000000"/>
                <w:sz w:val="14"/>
                <w:szCs w:val="14"/>
              </w:rPr>
              <w:t>-</w:t>
            </w:r>
          </w:p>
        </w:tc>
        <w:tc>
          <w:tcPr>
            <w:tcW w:w="397" w:type="pct"/>
            <w:tcBorders>
              <w:top w:val="nil"/>
              <w:left w:val="nil"/>
              <w:bottom w:val="nil"/>
              <w:right w:val="single" w:sz="4" w:space="0" w:color="auto"/>
            </w:tcBorders>
            <w:shd w:val="clear" w:color="000000" w:fill="FFFFFF"/>
            <w:vAlign w:val="bottom"/>
            <w:hideMark/>
          </w:tcPr>
          <w:p w14:paraId="15959560" w14:textId="77777777" w:rsidR="0064066B" w:rsidRPr="00D275DF" w:rsidRDefault="0064066B" w:rsidP="00B76AD4">
            <w:pPr>
              <w:jc w:val="right"/>
              <w:rPr>
                <w:b/>
                <w:bCs/>
                <w:color w:val="000000"/>
                <w:sz w:val="14"/>
                <w:szCs w:val="14"/>
              </w:rPr>
            </w:pPr>
            <w:r w:rsidRPr="00D275DF">
              <w:rPr>
                <w:b/>
                <w:bCs/>
                <w:color w:val="000000"/>
                <w:sz w:val="14"/>
                <w:szCs w:val="14"/>
              </w:rPr>
              <w:t>-</w:t>
            </w:r>
          </w:p>
        </w:tc>
        <w:tc>
          <w:tcPr>
            <w:tcW w:w="477" w:type="pct"/>
            <w:tcBorders>
              <w:top w:val="nil"/>
              <w:left w:val="nil"/>
              <w:bottom w:val="nil"/>
              <w:right w:val="single" w:sz="4" w:space="0" w:color="auto"/>
            </w:tcBorders>
            <w:shd w:val="clear" w:color="000000" w:fill="FFFFFF"/>
            <w:vAlign w:val="bottom"/>
            <w:hideMark/>
          </w:tcPr>
          <w:p w14:paraId="2690522D" w14:textId="77777777" w:rsidR="0064066B" w:rsidRPr="00D275DF" w:rsidRDefault="0064066B" w:rsidP="00B76AD4">
            <w:pPr>
              <w:jc w:val="right"/>
              <w:rPr>
                <w:b/>
                <w:bCs/>
                <w:color w:val="000000"/>
                <w:sz w:val="14"/>
                <w:szCs w:val="14"/>
              </w:rPr>
            </w:pPr>
            <w:r w:rsidRPr="00D275DF">
              <w:rPr>
                <w:b/>
                <w:bCs/>
                <w:color w:val="000000"/>
                <w:sz w:val="14"/>
                <w:szCs w:val="14"/>
              </w:rPr>
              <w:t>-</w:t>
            </w:r>
          </w:p>
        </w:tc>
      </w:tr>
      <w:tr w:rsidR="0064066B" w:rsidRPr="00AC1668" w14:paraId="796618F0" w14:textId="77777777" w:rsidTr="00234709">
        <w:trPr>
          <w:trHeight w:val="20"/>
        </w:trPr>
        <w:tc>
          <w:tcPr>
            <w:tcW w:w="305" w:type="pct"/>
            <w:tcBorders>
              <w:top w:val="nil"/>
              <w:left w:val="single" w:sz="4" w:space="0" w:color="auto"/>
              <w:bottom w:val="nil"/>
              <w:right w:val="nil"/>
            </w:tcBorders>
            <w:noWrap/>
            <w:hideMark/>
          </w:tcPr>
          <w:p w14:paraId="5A8B8965" w14:textId="77777777" w:rsidR="0064066B" w:rsidRPr="00AC1668" w:rsidRDefault="0064066B" w:rsidP="00B76AD4">
            <w:pPr>
              <w:rPr>
                <w:b/>
                <w:bCs/>
                <w:color w:val="000000"/>
                <w:sz w:val="14"/>
                <w:szCs w:val="14"/>
              </w:rPr>
            </w:pPr>
            <w:r w:rsidRPr="00AC1668">
              <w:rPr>
                <w:b/>
                <w:bCs/>
                <w:color w:val="000000"/>
                <w:sz w:val="14"/>
                <w:szCs w:val="14"/>
              </w:rPr>
              <w:t>VI.</w:t>
            </w:r>
          </w:p>
        </w:tc>
        <w:tc>
          <w:tcPr>
            <w:tcW w:w="3045" w:type="pct"/>
            <w:tcBorders>
              <w:top w:val="nil"/>
              <w:left w:val="nil"/>
              <w:bottom w:val="nil"/>
              <w:right w:val="nil"/>
            </w:tcBorders>
            <w:hideMark/>
          </w:tcPr>
          <w:p w14:paraId="3622C8F3" w14:textId="77777777" w:rsidR="0064066B" w:rsidRPr="00AC1668" w:rsidRDefault="0064066B" w:rsidP="00B76AD4">
            <w:pPr>
              <w:rPr>
                <w:b/>
                <w:bCs/>
                <w:color w:val="000000"/>
                <w:sz w:val="14"/>
                <w:szCs w:val="14"/>
              </w:rPr>
            </w:pPr>
            <w:r w:rsidRPr="00AC1668">
              <w:rPr>
                <w:b/>
                <w:bCs/>
                <w:color w:val="000000"/>
                <w:sz w:val="14"/>
                <w:szCs w:val="14"/>
              </w:rPr>
              <w:t>TÜREV FİNANSAL YÜKÜMLÜLÜKLER</w:t>
            </w:r>
          </w:p>
        </w:tc>
        <w:tc>
          <w:tcPr>
            <w:tcW w:w="371" w:type="pct"/>
            <w:tcBorders>
              <w:top w:val="nil"/>
              <w:left w:val="single" w:sz="4" w:space="0" w:color="auto"/>
              <w:bottom w:val="nil"/>
              <w:right w:val="single" w:sz="4" w:space="0" w:color="auto"/>
            </w:tcBorders>
            <w:vAlign w:val="bottom"/>
            <w:hideMark/>
          </w:tcPr>
          <w:p w14:paraId="6F83E346" w14:textId="77777777" w:rsidR="0064066B" w:rsidRPr="00AC1668" w:rsidRDefault="0064066B" w:rsidP="00B76AD4">
            <w:pPr>
              <w:jc w:val="center"/>
              <w:rPr>
                <w:b/>
                <w:bCs/>
                <w:color w:val="000000"/>
                <w:sz w:val="14"/>
                <w:szCs w:val="14"/>
                <w:lang w:eastAsia="tr-TR"/>
              </w:rPr>
            </w:pPr>
            <w:r w:rsidRPr="00AC1668">
              <w:rPr>
                <w:b/>
                <w:bCs/>
                <w:color w:val="000000"/>
                <w:sz w:val="14"/>
                <w:szCs w:val="14"/>
              </w:rPr>
              <w:t>(</w:t>
            </w:r>
            <w:r w:rsidRPr="00AC1668">
              <w:rPr>
                <w:b/>
                <w:bCs/>
                <w:color w:val="000000"/>
                <w:sz w:val="14"/>
                <w:szCs w:val="14"/>
                <w:lang w:eastAsia="tr-TR"/>
              </w:rPr>
              <w:t>3)</w:t>
            </w:r>
          </w:p>
        </w:tc>
        <w:tc>
          <w:tcPr>
            <w:tcW w:w="405" w:type="pct"/>
            <w:tcBorders>
              <w:top w:val="nil"/>
              <w:left w:val="nil"/>
              <w:bottom w:val="nil"/>
              <w:right w:val="single" w:sz="4" w:space="0" w:color="auto"/>
            </w:tcBorders>
            <w:shd w:val="clear" w:color="000000" w:fill="FFFFFF"/>
            <w:vAlign w:val="bottom"/>
            <w:hideMark/>
          </w:tcPr>
          <w:p w14:paraId="13A4DFA7" w14:textId="77777777" w:rsidR="0064066B" w:rsidRPr="00D275DF" w:rsidRDefault="0064066B" w:rsidP="00B76AD4">
            <w:pPr>
              <w:jc w:val="right"/>
              <w:rPr>
                <w:b/>
                <w:bCs/>
                <w:color w:val="000000"/>
                <w:sz w:val="14"/>
                <w:szCs w:val="14"/>
              </w:rPr>
            </w:pPr>
            <w:r w:rsidRPr="00D275DF">
              <w:rPr>
                <w:b/>
                <w:bCs/>
                <w:color w:val="000000"/>
                <w:sz w:val="14"/>
                <w:szCs w:val="14"/>
              </w:rPr>
              <w:t>72</w:t>
            </w:r>
          </w:p>
        </w:tc>
        <w:tc>
          <w:tcPr>
            <w:tcW w:w="397" w:type="pct"/>
            <w:tcBorders>
              <w:top w:val="nil"/>
              <w:left w:val="nil"/>
              <w:bottom w:val="nil"/>
              <w:right w:val="single" w:sz="4" w:space="0" w:color="auto"/>
            </w:tcBorders>
            <w:shd w:val="clear" w:color="000000" w:fill="FFFFFF"/>
            <w:vAlign w:val="bottom"/>
            <w:hideMark/>
          </w:tcPr>
          <w:p w14:paraId="3724BDD2" w14:textId="77777777" w:rsidR="0064066B" w:rsidRPr="00D275DF" w:rsidRDefault="0064066B" w:rsidP="00B76AD4">
            <w:pPr>
              <w:jc w:val="right"/>
              <w:rPr>
                <w:b/>
                <w:bCs/>
                <w:color w:val="000000"/>
                <w:sz w:val="14"/>
                <w:szCs w:val="14"/>
              </w:rPr>
            </w:pPr>
            <w:r w:rsidRPr="00D275DF">
              <w:rPr>
                <w:b/>
                <w:bCs/>
                <w:color w:val="000000"/>
                <w:sz w:val="14"/>
                <w:szCs w:val="14"/>
              </w:rPr>
              <w:t>26.074</w:t>
            </w:r>
          </w:p>
        </w:tc>
        <w:tc>
          <w:tcPr>
            <w:tcW w:w="477" w:type="pct"/>
            <w:tcBorders>
              <w:top w:val="nil"/>
              <w:left w:val="nil"/>
              <w:bottom w:val="nil"/>
              <w:right w:val="single" w:sz="4" w:space="0" w:color="auto"/>
            </w:tcBorders>
            <w:shd w:val="clear" w:color="000000" w:fill="FFFFFF"/>
            <w:vAlign w:val="bottom"/>
            <w:hideMark/>
          </w:tcPr>
          <w:p w14:paraId="1792E4F4" w14:textId="77777777" w:rsidR="0064066B" w:rsidRPr="00D275DF" w:rsidRDefault="0064066B" w:rsidP="00B76AD4">
            <w:pPr>
              <w:jc w:val="right"/>
              <w:rPr>
                <w:b/>
                <w:bCs/>
                <w:color w:val="000000"/>
                <w:sz w:val="14"/>
                <w:szCs w:val="14"/>
              </w:rPr>
            </w:pPr>
            <w:r w:rsidRPr="00D275DF">
              <w:rPr>
                <w:b/>
                <w:bCs/>
                <w:color w:val="000000"/>
                <w:sz w:val="14"/>
                <w:szCs w:val="14"/>
              </w:rPr>
              <w:t>26.146</w:t>
            </w:r>
          </w:p>
        </w:tc>
      </w:tr>
      <w:tr w:rsidR="0064066B" w:rsidRPr="00AC1668" w14:paraId="1BC96229" w14:textId="77777777" w:rsidTr="00234709">
        <w:trPr>
          <w:trHeight w:val="20"/>
        </w:trPr>
        <w:tc>
          <w:tcPr>
            <w:tcW w:w="305" w:type="pct"/>
            <w:tcBorders>
              <w:top w:val="nil"/>
              <w:left w:val="single" w:sz="4" w:space="0" w:color="auto"/>
              <w:bottom w:val="nil"/>
              <w:right w:val="nil"/>
            </w:tcBorders>
            <w:noWrap/>
            <w:hideMark/>
          </w:tcPr>
          <w:p w14:paraId="5CD7A725" w14:textId="77777777" w:rsidR="0064066B" w:rsidRPr="00AC1668" w:rsidRDefault="0064066B" w:rsidP="00B76AD4">
            <w:pPr>
              <w:rPr>
                <w:color w:val="000000"/>
                <w:sz w:val="14"/>
                <w:szCs w:val="14"/>
              </w:rPr>
            </w:pPr>
            <w:r w:rsidRPr="00AC1668">
              <w:rPr>
                <w:color w:val="000000"/>
                <w:sz w:val="14"/>
                <w:szCs w:val="14"/>
              </w:rPr>
              <w:t>6.1</w:t>
            </w:r>
          </w:p>
        </w:tc>
        <w:tc>
          <w:tcPr>
            <w:tcW w:w="3045" w:type="pct"/>
            <w:tcBorders>
              <w:top w:val="nil"/>
              <w:left w:val="nil"/>
              <w:bottom w:val="nil"/>
              <w:right w:val="nil"/>
            </w:tcBorders>
            <w:hideMark/>
          </w:tcPr>
          <w:p w14:paraId="58342F4D" w14:textId="77777777" w:rsidR="0064066B" w:rsidRPr="00AC1668" w:rsidRDefault="0064066B" w:rsidP="00B76AD4">
            <w:pPr>
              <w:rPr>
                <w:color w:val="000000"/>
                <w:sz w:val="14"/>
                <w:szCs w:val="14"/>
              </w:rPr>
            </w:pPr>
            <w:r w:rsidRPr="00AC1668">
              <w:rPr>
                <w:color w:val="000000"/>
                <w:sz w:val="14"/>
                <w:szCs w:val="14"/>
              </w:rPr>
              <w:t>Türev Finansal Yükümlülüklerin Gerçeğe Uygun Değer Farkı Kar Zarara Yansıtılan Kısmı</w:t>
            </w:r>
          </w:p>
        </w:tc>
        <w:tc>
          <w:tcPr>
            <w:tcW w:w="371" w:type="pct"/>
            <w:tcBorders>
              <w:top w:val="nil"/>
              <w:left w:val="single" w:sz="4" w:space="0" w:color="auto"/>
              <w:bottom w:val="nil"/>
              <w:right w:val="single" w:sz="4" w:space="0" w:color="auto"/>
            </w:tcBorders>
            <w:vAlign w:val="bottom"/>
            <w:hideMark/>
          </w:tcPr>
          <w:p w14:paraId="65077649" w14:textId="77777777" w:rsidR="0064066B" w:rsidRPr="00AC1668" w:rsidRDefault="0064066B" w:rsidP="00B76AD4">
            <w:pPr>
              <w:jc w:val="center"/>
              <w:rPr>
                <w:color w:val="000000"/>
                <w:sz w:val="14"/>
                <w:szCs w:val="14"/>
                <w:lang w:eastAsia="tr-TR"/>
              </w:rPr>
            </w:pPr>
            <w:r w:rsidRPr="00AC1668">
              <w:rPr>
                <w:color w:val="000000"/>
                <w:sz w:val="14"/>
                <w:szCs w:val="14"/>
              </w:rPr>
              <w:t> </w:t>
            </w:r>
          </w:p>
        </w:tc>
        <w:tc>
          <w:tcPr>
            <w:tcW w:w="405" w:type="pct"/>
            <w:tcBorders>
              <w:top w:val="nil"/>
              <w:left w:val="nil"/>
              <w:bottom w:val="nil"/>
              <w:right w:val="single" w:sz="4" w:space="0" w:color="auto"/>
            </w:tcBorders>
            <w:shd w:val="clear" w:color="000000" w:fill="FFFFFF"/>
            <w:vAlign w:val="bottom"/>
            <w:hideMark/>
          </w:tcPr>
          <w:p w14:paraId="2FD41AEE" w14:textId="77777777" w:rsidR="0064066B" w:rsidRPr="00D275DF" w:rsidRDefault="0064066B" w:rsidP="00B76AD4">
            <w:pPr>
              <w:jc w:val="right"/>
              <w:rPr>
                <w:color w:val="000000"/>
                <w:sz w:val="14"/>
                <w:szCs w:val="14"/>
              </w:rPr>
            </w:pPr>
            <w:r w:rsidRPr="00D275DF">
              <w:rPr>
                <w:color w:val="000000"/>
                <w:sz w:val="14"/>
                <w:szCs w:val="14"/>
              </w:rPr>
              <w:t>72</w:t>
            </w:r>
          </w:p>
        </w:tc>
        <w:tc>
          <w:tcPr>
            <w:tcW w:w="397" w:type="pct"/>
            <w:tcBorders>
              <w:top w:val="nil"/>
              <w:left w:val="nil"/>
              <w:bottom w:val="nil"/>
              <w:right w:val="single" w:sz="4" w:space="0" w:color="auto"/>
            </w:tcBorders>
            <w:shd w:val="clear" w:color="000000" w:fill="FFFFFF"/>
            <w:vAlign w:val="bottom"/>
            <w:hideMark/>
          </w:tcPr>
          <w:p w14:paraId="7719DF38" w14:textId="77777777" w:rsidR="0064066B" w:rsidRPr="00D275DF" w:rsidRDefault="0064066B" w:rsidP="00B76AD4">
            <w:pPr>
              <w:jc w:val="right"/>
              <w:rPr>
                <w:color w:val="000000"/>
                <w:sz w:val="14"/>
                <w:szCs w:val="14"/>
              </w:rPr>
            </w:pPr>
            <w:r w:rsidRPr="00D275DF">
              <w:rPr>
                <w:color w:val="000000"/>
                <w:sz w:val="14"/>
                <w:szCs w:val="14"/>
              </w:rPr>
              <w:t>26.074</w:t>
            </w:r>
          </w:p>
        </w:tc>
        <w:tc>
          <w:tcPr>
            <w:tcW w:w="477" w:type="pct"/>
            <w:tcBorders>
              <w:top w:val="nil"/>
              <w:left w:val="nil"/>
              <w:bottom w:val="nil"/>
              <w:right w:val="single" w:sz="4" w:space="0" w:color="auto"/>
            </w:tcBorders>
            <w:shd w:val="clear" w:color="000000" w:fill="FFFFFF"/>
            <w:vAlign w:val="bottom"/>
            <w:hideMark/>
          </w:tcPr>
          <w:p w14:paraId="3695617A" w14:textId="77777777" w:rsidR="0064066B" w:rsidRPr="00D275DF" w:rsidRDefault="0064066B" w:rsidP="00B76AD4">
            <w:pPr>
              <w:jc w:val="right"/>
              <w:rPr>
                <w:color w:val="000000"/>
                <w:sz w:val="14"/>
                <w:szCs w:val="14"/>
              </w:rPr>
            </w:pPr>
            <w:r w:rsidRPr="00D275DF">
              <w:rPr>
                <w:color w:val="000000"/>
                <w:sz w:val="14"/>
                <w:szCs w:val="14"/>
              </w:rPr>
              <w:t>26.146</w:t>
            </w:r>
          </w:p>
        </w:tc>
      </w:tr>
      <w:tr w:rsidR="0064066B" w:rsidRPr="00AC1668" w14:paraId="56ED25E6" w14:textId="77777777" w:rsidTr="00234709">
        <w:trPr>
          <w:trHeight w:val="20"/>
        </w:trPr>
        <w:tc>
          <w:tcPr>
            <w:tcW w:w="305" w:type="pct"/>
            <w:tcBorders>
              <w:top w:val="nil"/>
              <w:left w:val="single" w:sz="4" w:space="0" w:color="auto"/>
              <w:bottom w:val="nil"/>
              <w:right w:val="nil"/>
            </w:tcBorders>
            <w:noWrap/>
            <w:hideMark/>
          </w:tcPr>
          <w:p w14:paraId="17C77465" w14:textId="77777777" w:rsidR="0064066B" w:rsidRPr="00AC1668" w:rsidRDefault="0064066B" w:rsidP="00B76AD4">
            <w:pPr>
              <w:rPr>
                <w:color w:val="000000"/>
                <w:sz w:val="14"/>
                <w:szCs w:val="14"/>
              </w:rPr>
            </w:pPr>
            <w:r w:rsidRPr="00AC1668">
              <w:rPr>
                <w:color w:val="000000"/>
                <w:sz w:val="14"/>
                <w:szCs w:val="14"/>
              </w:rPr>
              <w:t>6.2</w:t>
            </w:r>
          </w:p>
        </w:tc>
        <w:tc>
          <w:tcPr>
            <w:tcW w:w="3045" w:type="pct"/>
            <w:tcBorders>
              <w:top w:val="nil"/>
              <w:left w:val="nil"/>
              <w:bottom w:val="nil"/>
              <w:right w:val="nil"/>
            </w:tcBorders>
            <w:hideMark/>
          </w:tcPr>
          <w:p w14:paraId="59C914B1" w14:textId="77777777" w:rsidR="0064066B" w:rsidRPr="00AC1668" w:rsidRDefault="0064066B" w:rsidP="00B76AD4">
            <w:pPr>
              <w:rPr>
                <w:color w:val="000000"/>
                <w:sz w:val="14"/>
                <w:szCs w:val="14"/>
              </w:rPr>
            </w:pPr>
            <w:r w:rsidRPr="00AC1668">
              <w:rPr>
                <w:color w:val="000000"/>
                <w:sz w:val="14"/>
                <w:szCs w:val="14"/>
              </w:rPr>
              <w:t>Türev Finansal Yükümlülüklerin Gerçeğe Uygun Değer Farkı Diğer Kapsamlı Gelire Yansıtılan Kısmı</w:t>
            </w:r>
          </w:p>
        </w:tc>
        <w:tc>
          <w:tcPr>
            <w:tcW w:w="371" w:type="pct"/>
            <w:tcBorders>
              <w:top w:val="nil"/>
              <w:left w:val="single" w:sz="4" w:space="0" w:color="auto"/>
              <w:bottom w:val="nil"/>
              <w:right w:val="single" w:sz="4" w:space="0" w:color="auto"/>
            </w:tcBorders>
            <w:vAlign w:val="bottom"/>
            <w:hideMark/>
          </w:tcPr>
          <w:p w14:paraId="122BA784" w14:textId="77777777" w:rsidR="0064066B" w:rsidRPr="00AC1668" w:rsidRDefault="0064066B" w:rsidP="00B76AD4">
            <w:pPr>
              <w:jc w:val="center"/>
              <w:rPr>
                <w:color w:val="000000"/>
                <w:sz w:val="14"/>
                <w:szCs w:val="14"/>
                <w:lang w:eastAsia="tr-TR"/>
              </w:rPr>
            </w:pPr>
            <w:r w:rsidRPr="00AC1668">
              <w:rPr>
                <w:color w:val="000000"/>
                <w:sz w:val="14"/>
                <w:szCs w:val="14"/>
              </w:rPr>
              <w:t> </w:t>
            </w:r>
          </w:p>
        </w:tc>
        <w:tc>
          <w:tcPr>
            <w:tcW w:w="405" w:type="pct"/>
            <w:tcBorders>
              <w:top w:val="nil"/>
              <w:left w:val="nil"/>
              <w:bottom w:val="nil"/>
              <w:right w:val="single" w:sz="4" w:space="0" w:color="auto"/>
            </w:tcBorders>
            <w:shd w:val="clear" w:color="000000" w:fill="FFFFFF"/>
            <w:vAlign w:val="bottom"/>
            <w:hideMark/>
          </w:tcPr>
          <w:p w14:paraId="25C5A7B2" w14:textId="77777777" w:rsidR="0064066B" w:rsidRPr="00D275DF" w:rsidRDefault="0064066B" w:rsidP="00B76AD4">
            <w:pPr>
              <w:jc w:val="right"/>
              <w:rPr>
                <w:color w:val="000000"/>
                <w:sz w:val="14"/>
                <w:szCs w:val="14"/>
              </w:rPr>
            </w:pPr>
            <w:r w:rsidRPr="00D275DF">
              <w:rPr>
                <w:color w:val="000000"/>
                <w:sz w:val="14"/>
                <w:szCs w:val="14"/>
              </w:rPr>
              <w:t>-</w:t>
            </w:r>
          </w:p>
        </w:tc>
        <w:tc>
          <w:tcPr>
            <w:tcW w:w="397" w:type="pct"/>
            <w:tcBorders>
              <w:top w:val="nil"/>
              <w:left w:val="nil"/>
              <w:bottom w:val="nil"/>
              <w:right w:val="single" w:sz="4" w:space="0" w:color="auto"/>
            </w:tcBorders>
            <w:shd w:val="clear" w:color="000000" w:fill="FFFFFF"/>
            <w:vAlign w:val="bottom"/>
            <w:hideMark/>
          </w:tcPr>
          <w:p w14:paraId="2ABF1D20" w14:textId="77777777" w:rsidR="0064066B" w:rsidRPr="00D275DF" w:rsidRDefault="0064066B" w:rsidP="00B76AD4">
            <w:pPr>
              <w:jc w:val="right"/>
              <w:rPr>
                <w:color w:val="000000"/>
                <w:sz w:val="14"/>
                <w:szCs w:val="14"/>
              </w:rPr>
            </w:pPr>
            <w:r w:rsidRPr="00D275DF">
              <w:rPr>
                <w:color w:val="000000"/>
                <w:sz w:val="14"/>
                <w:szCs w:val="14"/>
              </w:rPr>
              <w:t>-</w:t>
            </w:r>
          </w:p>
        </w:tc>
        <w:tc>
          <w:tcPr>
            <w:tcW w:w="477" w:type="pct"/>
            <w:tcBorders>
              <w:top w:val="nil"/>
              <w:left w:val="nil"/>
              <w:bottom w:val="nil"/>
              <w:right w:val="single" w:sz="4" w:space="0" w:color="auto"/>
            </w:tcBorders>
            <w:shd w:val="clear" w:color="000000" w:fill="FFFFFF"/>
            <w:vAlign w:val="bottom"/>
            <w:hideMark/>
          </w:tcPr>
          <w:p w14:paraId="00CD16B7" w14:textId="77777777" w:rsidR="0064066B" w:rsidRPr="00D275DF" w:rsidRDefault="0064066B" w:rsidP="00B76AD4">
            <w:pPr>
              <w:jc w:val="right"/>
              <w:rPr>
                <w:color w:val="000000"/>
                <w:sz w:val="14"/>
                <w:szCs w:val="14"/>
              </w:rPr>
            </w:pPr>
            <w:r w:rsidRPr="00D275DF">
              <w:rPr>
                <w:color w:val="000000"/>
                <w:sz w:val="14"/>
                <w:szCs w:val="14"/>
              </w:rPr>
              <w:t>-</w:t>
            </w:r>
          </w:p>
        </w:tc>
      </w:tr>
      <w:tr w:rsidR="0064066B" w:rsidRPr="00AC1668" w14:paraId="3B3BCF4B" w14:textId="77777777" w:rsidTr="00234709">
        <w:trPr>
          <w:trHeight w:val="20"/>
        </w:trPr>
        <w:tc>
          <w:tcPr>
            <w:tcW w:w="305" w:type="pct"/>
            <w:tcBorders>
              <w:top w:val="nil"/>
              <w:left w:val="single" w:sz="4" w:space="0" w:color="auto"/>
              <w:bottom w:val="nil"/>
              <w:right w:val="nil"/>
            </w:tcBorders>
            <w:noWrap/>
            <w:hideMark/>
          </w:tcPr>
          <w:p w14:paraId="62D3C3F7" w14:textId="77777777" w:rsidR="0064066B" w:rsidRPr="00AC1668" w:rsidRDefault="0064066B" w:rsidP="00B76AD4">
            <w:pPr>
              <w:rPr>
                <w:b/>
                <w:bCs/>
                <w:color w:val="000000"/>
                <w:sz w:val="14"/>
                <w:szCs w:val="14"/>
              </w:rPr>
            </w:pPr>
            <w:r w:rsidRPr="00AC1668">
              <w:rPr>
                <w:b/>
                <w:bCs/>
                <w:color w:val="000000"/>
                <w:sz w:val="14"/>
                <w:szCs w:val="14"/>
              </w:rPr>
              <w:t>VII.</w:t>
            </w:r>
          </w:p>
        </w:tc>
        <w:tc>
          <w:tcPr>
            <w:tcW w:w="3045" w:type="pct"/>
            <w:tcBorders>
              <w:top w:val="nil"/>
              <w:left w:val="nil"/>
              <w:bottom w:val="nil"/>
              <w:right w:val="nil"/>
            </w:tcBorders>
            <w:hideMark/>
          </w:tcPr>
          <w:p w14:paraId="7111D71C" w14:textId="77777777" w:rsidR="0064066B" w:rsidRPr="00AC1668" w:rsidRDefault="0064066B" w:rsidP="00B76AD4">
            <w:pPr>
              <w:rPr>
                <w:b/>
                <w:bCs/>
                <w:color w:val="000000"/>
                <w:sz w:val="14"/>
                <w:szCs w:val="14"/>
              </w:rPr>
            </w:pPr>
            <w:r w:rsidRPr="00AC1668">
              <w:rPr>
                <w:b/>
                <w:bCs/>
                <w:color w:val="000000"/>
                <w:sz w:val="14"/>
                <w:szCs w:val="14"/>
              </w:rPr>
              <w:t>KİRALAMA İŞLEMLERİNDEN YÜKÜMLÜLÜKLER</w:t>
            </w:r>
          </w:p>
        </w:tc>
        <w:tc>
          <w:tcPr>
            <w:tcW w:w="371" w:type="pct"/>
            <w:tcBorders>
              <w:top w:val="nil"/>
              <w:left w:val="single" w:sz="4" w:space="0" w:color="auto"/>
              <w:bottom w:val="nil"/>
              <w:right w:val="single" w:sz="4" w:space="0" w:color="auto"/>
            </w:tcBorders>
            <w:vAlign w:val="bottom"/>
            <w:hideMark/>
          </w:tcPr>
          <w:p w14:paraId="54763B17" w14:textId="77777777" w:rsidR="0064066B" w:rsidRPr="00AC1668" w:rsidRDefault="0064066B" w:rsidP="00B76AD4">
            <w:pPr>
              <w:jc w:val="center"/>
              <w:rPr>
                <w:b/>
                <w:bCs/>
                <w:color w:val="000000"/>
                <w:sz w:val="14"/>
                <w:szCs w:val="14"/>
              </w:rPr>
            </w:pPr>
            <w:r w:rsidRPr="00AC1668">
              <w:rPr>
                <w:b/>
                <w:bCs/>
                <w:color w:val="000000"/>
                <w:sz w:val="14"/>
                <w:szCs w:val="14"/>
              </w:rPr>
              <w:t>(4)</w:t>
            </w:r>
          </w:p>
        </w:tc>
        <w:tc>
          <w:tcPr>
            <w:tcW w:w="405" w:type="pct"/>
            <w:tcBorders>
              <w:top w:val="nil"/>
              <w:left w:val="nil"/>
              <w:bottom w:val="nil"/>
              <w:right w:val="single" w:sz="4" w:space="0" w:color="auto"/>
            </w:tcBorders>
            <w:shd w:val="clear" w:color="000000" w:fill="FFFFFF"/>
            <w:vAlign w:val="bottom"/>
            <w:hideMark/>
          </w:tcPr>
          <w:p w14:paraId="3C0A2451" w14:textId="77777777" w:rsidR="0064066B" w:rsidRPr="00D275DF" w:rsidRDefault="0064066B" w:rsidP="00B76AD4">
            <w:pPr>
              <w:jc w:val="right"/>
              <w:rPr>
                <w:b/>
                <w:bCs/>
                <w:color w:val="000000"/>
                <w:sz w:val="14"/>
                <w:szCs w:val="14"/>
              </w:rPr>
            </w:pPr>
            <w:r w:rsidRPr="00D275DF">
              <w:rPr>
                <w:b/>
                <w:bCs/>
                <w:color w:val="000000"/>
                <w:sz w:val="14"/>
                <w:szCs w:val="14"/>
              </w:rPr>
              <w:t>118.104</w:t>
            </w:r>
          </w:p>
        </w:tc>
        <w:tc>
          <w:tcPr>
            <w:tcW w:w="397" w:type="pct"/>
            <w:tcBorders>
              <w:top w:val="nil"/>
              <w:left w:val="nil"/>
              <w:bottom w:val="nil"/>
              <w:right w:val="single" w:sz="4" w:space="0" w:color="auto"/>
            </w:tcBorders>
            <w:shd w:val="clear" w:color="000000" w:fill="FFFFFF"/>
            <w:vAlign w:val="bottom"/>
            <w:hideMark/>
          </w:tcPr>
          <w:p w14:paraId="6C200905" w14:textId="77777777" w:rsidR="0064066B" w:rsidRPr="00D275DF" w:rsidRDefault="0064066B" w:rsidP="00B76AD4">
            <w:pPr>
              <w:jc w:val="right"/>
              <w:rPr>
                <w:b/>
                <w:bCs/>
                <w:color w:val="000000"/>
                <w:sz w:val="14"/>
                <w:szCs w:val="14"/>
              </w:rPr>
            </w:pPr>
            <w:r w:rsidRPr="00D275DF">
              <w:rPr>
                <w:b/>
                <w:bCs/>
                <w:color w:val="000000"/>
                <w:sz w:val="14"/>
                <w:szCs w:val="14"/>
              </w:rPr>
              <w:t>-</w:t>
            </w:r>
          </w:p>
        </w:tc>
        <w:tc>
          <w:tcPr>
            <w:tcW w:w="477" w:type="pct"/>
            <w:tcBorders>
              <w:top w:val="nil"/>
              <w:left w:val="nil"/>
              <w:bottom w:val="nil"/>
              <w:right w:val="single" w:sz="4" w:space="0" w:color="auto"/>
            </w:tcBorders>
            <w:shd w:val="clear" w:color="000000" w:fill="FFFFFF"/>
            <w:vAlign w:val="bottom"/>
            <w:hideMark/>
          </w:tcPr>
          <w:p w14:paraId="2406FD9A" w14:textId="77777777" w:rsidR="0064066B" w:rsidRPr="00D275DF" w:rsidRDefault="0064066B" w:rsidP="00B76AD4">
            <w:pPr>
              <w:jc w:val="right"/>
              <w:rPr>
                <w:b/>
                <w:bCs/>
                <w:color w:val="000000"/>
                <w:sz w:val="14"/>
                <w:szCs w:val="14"/>
              </w:rPr>
            </w:pPr>
            <w:r w:rsidRPr="00D275DF">
              <w:rPr>
                <w:b/>
                <w:bCs/>
                <w:color w:val="000000"/>
                <w:sz w:val="14"/>
                <w:szCs w:val="14"/>
              </w:rPr>
              <w:t>118.104</w:t>
            </w:r>
          </w:p>
        </w:tc>
      </w:tr>
      <w:tr w:rsidR="0064066B" w:rsidRPr="00AC1668" w14:paraId="4C7CC2D3" w14:textId="77777777" w:rsidTr="00234709">
        <w:trPr>
          <w:trHeight w:val="20"/>
        </w:trPr>
        <w:tc>
          <w:tcPr>
            <w:tcW w:w="305" w:type="pct"/>
            <w:tcBorders>
              <w:top w:val="nil"/>
              <w:left w:val="single" w:sz="4" w:space="0" w:color="auto"/>
              <w:bottom w:val="nil"/>
              <w:right w:val="nil"/>
            </w:tcBorders>
            <w:noWrap/>
            <w:hideMark/>
          </w:tcPr>
          <w:p w14:paraId="008C3BA1" w14:textId="77777777" w:rsidR="0064066B" w:rsidRPr="00AC1668" w:rsidRDefault="0064066B" w:rsidP="00B76AD4">
            <w:pPr>
              <w:rPr>
                <w:b/>
                <w:bCs/>
                <w:color w:val="000000"/>
                <w:sz w:val="14"/>
                <w:szCs w:val="14"/>
              </w:rPr>
            </w:pPr>
            <w:r w:rsidRPr="00AC1668">
              <w:rPr>
                <w:b/>
                <w:bCs/>
                <w:color w:val="000000"/>
                <w:sz w:val="14"/>
                <w:szCs w:val="14"/>
              </w:rPr>
              <w:t xml:space="preserve">VIII. </w:t>
            </w:r>
          </w:p>
        </w:tc>
        <w:tc>
          <w:tcPr>
            <w:tcW w:w="3045" w:type="pct"/>
            <w:tcBorders>
              <w:top w:val="nil"/>
              <w:left w:val="nil"/>
              <w:bottom w:val="nil"/>
              <w:right w:val="nil"/>
            </w:tcBorders>
            <w:hideMark/>
          </w:tcPr>
          <w:p w14:paraId="1ED838A0" w14:textId="77777777" w:rsidR="0064066B" w:rsidRPr="00AC1668" w:rsidRDefault="0064066B" w:rsidP="00B76AD4">
            <w:pPr>
              <w:rPr>
                <w:b/>
                <w:bCs/>
                <w:color w:val="000000"/>
                <w:sz w:val="14"/>
                <w:szCs w:val="14"/>
              </w:rPr>
            </w:pPr>
            <w:r w:rsidRPr="00AC1668">
              <w:rPr>
                <w:b/>
                <w:bCs/>
                <w:color w:val="000000"/>
                <w:sz w:val="14"/>
                <w:szCs w:val="14"/>
              </w:rPr>
              <w:t>KARŞILIKLAR</w:t>
            </w:r>
          </w:p>
        </w:tc>
        <w:tc>
          <w:tcPr>
            <w:tcW w:w="371" w:type="pct"/>
            <w:tcBorders>
              <w:top w:val="nil"/>
              <w:left w:val="single" w:sz="4" w:space="0" w:color="auto"/>
              <w:bottom w:val="nil"/>
              <w:right w:val="single" w:sz="4" w:space="0" w:color="auto"/>
            </w:tcBorders>
            <w:vAlign w:val="bottom"/>
            <w:hideMark/>
          </w:tcPr>
          <w:p w14:paraId="68012140" w14:textId="77777777" w:rsidR="0064066B" w:rsidRPr="00AC1668" w:rsidRDefault="0064066B" w:rsidP="00B76AD4">
            <w:pPr>
              <w:jc w:val="center"/>
              <w:rPr>
                <w:b/>
                <w:bCs/>
                <w:color w:val="000000"/>
                <w:sz w:val="14"/>
                <w:szCs w:val="14"/>
              </w:rPr>
            </w:pPr>
            <w:r w:rsidRPr="00AC1668">
              <w:rPr>
                <w:b/>
                <w:bCs/>
                <w:color w:val="000000"/>
                <w:sz w:val="14"/>
                <w:szCs w:val="14"/>
              </w:rPr>
              <w:t>(6)</w:t>
            </w:r>
          </w:p>
        </w:tc>
        <w:tc>
          <w:tcPr>
            <w:tcW w:w="405" w:type="pct"/>
            <w:tcBorders>
              <w:top w:val="nil"/>
              <w:left w:val="nil"/>
              <w:bottom w:val="nil"/>
              <w:right w:val="single" w:sz="4" w:space="0" w:color="auto"/>
            </w:tcBorders>
            <w:shd w:val="clear" w:color="000000" w:fill="FFFFFF"/>
            <w:vAlign w:val="bottom"/>
            <w:hideMark/>
          </w:tcPr>
          <w:p w14:paraId="61E692A7" w14:textId="77777777" w:rsidR="0064066B" w:rsidRPr="00D275DF" w:rsidRDefault="0064066B" w:rsidP="00B76AD4">
            <w:pPr>
              <w:jc w:val="right"/>
              <w:rPr>
                <w:b/>
                <w:bCs/>
                <w:color w:val="000000"/>
                <w:sz w:val="14"/>
                <w:szCs w:val="14"/>
              </w:rPr>
            </w:pPr>
            <w:r w:rsidRPr="00D275DF">
              <w:rPr>
                <w:b/>
                <w:bCs/>
                <w:color w:val="000000"/>
                <w:sz w:val="14"/>
                <w:szCs w:val="14"/>
              </w:rPr>
              <w:t>283.059</w:t>
            </w:r>
          </w:p>
        </w:tc>
        <w:tc>
          <w:tcPr>
            <w:tcW w:w="397" w:type="pct"/>
            <w:tcBorders>
              <w:top w:val="nil"/>
              <w:left w:val="nil"/>
              <w:bottom w:val="nil"/>
              <w:right w:val="single" w:sz="4" w:space="0" w:color="auto"/>
            </w:tcBorders>
            <w:shd w:val="clear" w:color="000000" w:fill="FFFFFF"/>
            <w:vAlign w:val="bottom"/>
            <w:hideMark/>
          </w:tcPr>
          <w:p w14:paraId="6594F84B" w14:textId="77777777" w:rsidR="0064066B" w:rsidRPr="00D275DF" w:rsidRDefault="0064066B" w:rsidP="00B76AD4">
            <w:pPr>
              <w:jc w:val="right"/>
              <w:rPr>
                <w:b/>
                <w:bCs/>
                <w:color w:val="000000"/>
                <w:sz w:val="14"/>
                <w:szCs w:val="14"/>
              </w:rPr>
            </w:pPr>
            <w:r w:rsidRPr="00D275DF">
              <w:rPr>
                <w:b/>
                <w:bCs/>
                <w:color w:val="000000"/>
                <w:sz w:val="14"/>
                <w:szCs w:val="14"/>
              </w:rPr>
              <w:t>116.012</w:t>
            </w:r>
          </w:p>
        </w:tc>
        <w:tc>
          <w:tcPr>
            <w:tcW w:w="477" w:type="pct"/>
            <w:tcBorders>
              <w:top w:val="nil"/>
              <w:left w:val="nil"/>
              <w:bottom w:val="nil"/>
              <w:right w:val="single" w:sz="4" w:space="0" w:color="auto"/>
            </w:tcBorders>
            <w:shd w:val="clear" w:color="000000" w:fill="FFFFFF"/>
            <w:vAlign w:val="bottom"/>
            <w:hideMark/>
          </w:tcPr>
          <w:p w14:paraId="1F06371B" w14:textId="77777777" w:rsidR="0064066B" w:rsidRPr="00D275DF" w:rsidRDefault="0064066B" w:rsidP="00B76AD4">
            <w:pPr>
              <w:jc w:val="right"/>
              <w:rPr>
                <w:b/>
                <w:bCs/>
                <w:color w:val="000000"/>
                <w:sz w:val="14"/>
                <w:szCs w:val="14"/>
              </w:rPr>
            </w:pPr>
            <w:r w:rsidRPr="00D275DF">
              <w:rPr>
                <w:b/>
                <w:bCs/>
                <w:color w:val="000000"/>
                <w:sz w:val="14"/>
                <w:szCs w:val="14"/>
              </w:rPr>
              <w:t>399.071</w:t>
            </w:r>
          </w:p>
        </w:tc>
      </w:tr>
      <w:tr w:rsidR="0064066B" w:rsidRPr="00AC1668" w14:paraId="633FCF86" w14:textId="77777777" w:rsidTr="00234709">
        <w:trPr>
          <w:trHeight w:val="20"/>
        </w:trPr>
        <w:tc>
          <w:tcPr>
            <w:tcW w:w="305" w:type="pct"/>
            <w:tcBorders>
              <w:top w:val="nil"/>
              <w:left w:val="single" w:sz="4" w:space="0" w:color="auto"/>
              <w:bottom w:val="nil"/>
              <w:right w:val="nil"/>
            </w:tcBorders>
            <w:noWrap/>
            <w:hideMark/>
          </w:tcPr>
          <w:p w14:paraId="694B0572" w14:textId="77777777" w:rsidR="0064066B" w:rsidRPr="00AC1668" w:rsidRDefault="0064066B" w:rsidP="00B76AD4">
            <w:pPr>
              <w:rPr>
                <w:color w:val="000000"/>
                <w:sz w:val="14"/>
                <w:szCs w:val="14"/>
              </w:rPr>
            </w:pPr>
            <w:r w:rsidRPr="00AC1668">
              <w:rPr>
                <w:color w:val="000000"/>
                <w:sz w:val="14"/>
                <w:szCs w:val="14"/>
              </w:rPr>
              <w:t>8.1</w:t>
            </w:r>
          </w:p>
        </w:tc>
        <w:tc>
          <w:tcPr>
            <w:tcW w:w="3045" w:type="pct"/>
            <w:tcBorders>
              <w:top w:val="nil"/>
              <w:left w:val="nil"/>
              <w:bottom w:val="nil"/>
              <w:right w:val="nil"/>
            </w:tcBorders>
            <w:hideMark/>
          </w:tcPr>
          <w:p w14:paraId="7E1CDCB9" w14:textId="77777777" w:rsidR="0064066B" w:rsidRPr="00AC1668" w:rsidRDefault="0064066B" w:rsidP="00B76AD4">
            <w:pPr>
              <w:rPr>
                <w:color w:val="000000"/>
                <w:sz w:val="14"/>
                <w:szCs w:val="14"/>
              </w:rPr>
            </w:pPr>
            <w:r w:rsidRPr="00AC1668">
              <w:rPr>
                <w:color w:val="000000"/>
                <w:sz w:val="14"/>
                <w:szCs w:val="14"/>
              </w:rPr>
              <w:t>Genel Karşılıklar</w:t>
            </w:r>
          </w:p>
        </w:tc>
        <w:tc>
          <w:tcPr>
            <w:tcW w:w="371" w:type="pct"/>
            <w:tcBorders>
              <w:top w:val="nil"/>
              <w:left w:val="single" w:sz="4" w:space="0" w:color="auto"/>
              <w:bottom w:val="nil"/>
              <w:right w:val="single" w:sz="4" w:space="0" w:color="auto"/>
            </w:tcBorders>
            <w:vAlign w:val="bottom"/>
            <w:hideMark/>
          </w:tcPr>
          <w:p w14:paraId="344C9E24" w14:textId="77777777" w:rsidR="0064066B" w:rsidRPr="00AC1668" w:rsidRDefault="0064066B" w:rsidP="00B76AD4">
            <w:pPr>
              <w:jc w:val="center"/>
              <w:rPr>
                <w:color w:val="000000"/>
                <w:sz w:val="14"/>
                <w:szCs w:val="14"/>
                <w:lang w:eastAsia="tr-TR"/>
              </w:rPr>
            </w:pPr>
            <w:r w:rsidRPr="00AC1668">
              <w:rPr>
                <w:color w:val="000000"/>
                <w:sz w:val="14"/>
                <w:szCs w:val="14"/>
              </w:rPr>
              <w:t> </w:t>
            </w:r>
          </w:p>
        </w:tc>
        <w:tc>
          <w:tcPr>
            <w:tcW w:w="405" w:type="pct"/>
            <w:tcBorders>
              <w:top w:val="nil"/>
              <w:left w:val="nil"/>
              <w:bottom w:val="nil"/>
              <w:right w:val="single" w:sz="4" w:space="0" w:color="auto"/>
            </w:tcBorders>
            <w:shd w:val="clear" w:color="000000" w:fill="FFFFFF"/>
            <w:vAlign w:val="bottom"/>
            <w:hideMark/>
          </w:tcPr>
          <w:p w14:paraId="66C15DC6" w14:textId="77777777" w:rsidR="0064066B" w:rsidRPr="00D275DF" w:rsidRDefault="0064066B" w:rsidP="00B76AD4">
            <w:pPr>
              <w:jc w:val="right"/>
              <w:rPr>
                <w:color w:val="000000"/>
                <w:sz w:val="14"/>
                <w:szCs w:val="14"/>
              </w:rPr>
            </w:pPr>
            <w:r w:rsidRPr="00D275DF">
              <w:rPr>
                <w:color w:val="000000"/>
                <w:sz w:val="14"/>
                <w:szCs w:val="14"/>
              </w:rPr>
              <w:t>253.923</w:t>
            </w:r>
          </w:p>
        </w:tc>
        <w:tc>
          <w:tcPr>
            <w:tcW w:w="397" w:type="pct"/>
            <w:tcBorders>
              <w:top w:val="nil"/>
              <w:left w:val="nil"/>
              <w:bottom w:val="nil"/>
              <w:right w:val="single" w:sz="4" w:space="0" w:color="auto"/>
            </w:tcBorders>
            <w:shd w:val="clear" w:color="000000" w:fill="FFFFFF"/>
            <w:vAlign w:val="bottom"/>
            <w:hideMark/>
          </w:tcPr>
          <w:p w14:paraId="23375BCF" w14:textId="77777777" w:rsidR="0064066B" w:rsidRPr="00D275DF" w:rsidRDefault="0064066B" w:rsidP="00B76AD4">
            <w:pPr>
              <w:jc w:val="right"/>
              <w:rPr>
                <w:color w:val="000000"/>
                <w:sz w:val="14"/>
                <w:szCs w:val="14"/>
              </w:rPr>
            </w:pPr>
            <w:r w:rsidRPr="00D275DF">
              <w:rPr>
                <w:color w:val="000000"/>
                <w:sz w:val="14"/>
                <w:szCs w:val="14"/>
              </w:rPr>
              <w:t>116.012</w:t>
            </w:r>
          </w:p>
        </w:tc>
        <w:tc>
          <w:tcPr>
            <w:tcW w:w="477" w:type="pct"/>
            <w:tcBorders>
              <w:top w:val="nil"/>
              <w:left w:val="nil"/>
              <w:bottom w:val="nil"/>
              <w:right w:val="single" w:sz="4" w:space="0" w:color="auto"/>
            </w:tcBorders>
            <w:shd w:val="clear" w:color="000000" w:fill="FFFFFF"/>
            <w:vAlign w:val="bottom"/>
            <w:hideMark/>
          </w:tcPr>
          <w:p w14:paraId="1DC9D6BD" w14:textId="77777777" w:rsidR="0064066B" w:rsidRPr="00D275DF" w:rsidRDefault="0064066B" w:rsidP="00B76AD4">
            <w:pPr>
              <w:jc w:val="right"/>
              <w:rPr>
                <w:color w:val="000000"/>
                <w:sz w:val="14"/>
                <w:szCs w:val="14"/>
              </w:rPr>
            </w:pPr>
            <w:r w:rsidRPr="00D275DF">
              <w:rPr>
                <w:color w:val="000000"/>
                <w:sz w:val="14"/>
                <w:szCs w:val="14"/>
              </w:rPr>
              <w:t>369.935</w:t>
            </w:r>
          </w:p>
        </w:tc>
      </w:tr>
      <w:tr w:rsidR="0064066B" w:rsidRPr="00AC1668" w14:paraId="593CCF20" w14:textId="77777777" w:rsidTr="00234709">
        <w:trPr>
          <w:trHeight w:val="20"/>
        </w:trPr>
        <w:tc>
          <w:tcPr>
            <w:tcW w:w="305" w:type="pct"/>
            <w:tcBorders>
              <w:top w:val="nil"/>
              <w:left w:val="single" w:sz="4" w:space="0" w:color="auto"/>
              <w:bottom w:val="nil"/>
              <w:right w:val="nil"/>
            </w:tcBorders>
            <w:noWrap/>
            <w:hideMark/>
          </w:tcPr>
          <w:p w14:paraId="220930BB" w14:textId="77777777" w:rsidR="0064066B" w:rsidRPr="00AC1668" w:rsidRDefault="0064066B" w:rsidP="00B76AD4">
            <w:pPr>
              <w:rPr>
                <w:color w:val="000000"/>
                <w:sz w:val="14"/>
                <w:szCs w:val="14"/>
              </w:rPr>
            </w:pPr>
            <w:r w:rsidRPr="00AC1668">
              <w:rPr>
                <w:color w:val="000000"/>
                <w:sz w:val="14"/>
                <w:szCs w:val="14"/>
              </w:rPr>
              <w:t>8.2</w:t>
            </w:r>
          </w:p>
        </w:tc>
        <w:tc>
          <w:tcPr>
            <w:tcW w:w="3045" w:type="pct"/>
            <w:tcBorders>
              <w:top w:val="nil"/>
              <w:left w:val="nil"/>
              <w:bottom w:val="nil"/>
              <w:right w:val="nil"/>
            </w:tcBorders>
            <w:hideMark/>
          </w:tcPr>
          <w:p w14:paraId="559F42BC" w14:textId="77777777" w:rsidR="0064066B" w:rsidRPr="00AC1668" w:rsidRDefault="0064066B" w:rsidP="00B76AD4">
            <w:pPr>
              <w:rPr>
                <w:color w:val="000000"/>
                <w:sz w:val="14"/>
                <w:szCs w:val="14"/>
              </w:rPr>
            </w:pPr>
            <w:r w:rsidRPr="00AC1668">
              <w:rPr>
                <w:color w:val="000000"/>
                <w:sz w:val="14"/>
                <w:szCs w:val="14"/>
              </w:rPr>
              <w:t>Yeniden Yapılanma Karşılığı</w:t>
            </w:r>
          </w:p>
        </w:tc>
        <w:tc>
          <w:tcPr>
            <w:tcW w:w="371" w:type="pct"/>
            <w:tcBorders>
              <w:top w:val="nil"/>
              <w:left w:val="single" w:sz="4" w:space="0" w:color="auto"/>
              <w:bottom w:val="nil"/>
              <w:right w:val="single" w:sz="4" w:space="0" w:color="auto"/>
            </w:tcBorders>
            <w:vAlign w:val="bottom"/>
            <w:hideMark/>
          </w:tcPr>
          <w:p w14:paraId="59D0071A" w14:textId="77777777" w:rsidR="0064066B" w:rsidRPr="00AC1668" w:rsidRDefault="0064066B" w:rsidP="00B76AD4">
            <w:pPr>
              <w:jc w:val="center"/>
              <w:rPr>
                <w:color w:val="000000"/>
                <w:sz w:val="14"/>
                <w:szCs w:val="14"/>
                <w:lang w:eastAsia="tr-TR"/>
              </w:rPr>
            </w:pPr>
            <w:r w:rsidRPr="00AC1668">
              <w:rPr>
                <w:color w:val="000000"/>
                <w:sz w:val="14"/>
                <w:szCs w:val="14"/>
              </w:rPr>
              <w:t> </w:t>
            </w:r>
          </w:p>
        </w:tc>
        <w:tc>
          <w:tcPr>
            <w:tcW w:w="405" w:type="pct"/>
            <w:tcBorders>
              <w:top w:val="nil"/>
              <w:left w:val="nil"/>
              <w:bottom w:val="nil"/>
              <w:right w:val="single" w:sz="4" w:space="0" w:color="auto"/>
            </w:tcBorders>
            <w:shd w:val="clear" w:color="000000" w:fill="FFFFFF"/>
            <w:vAlign w:val="bottom"/>
            <w:hideMark/>
          </w:tcPr>
          <w:p w14:paraId="6980BD96" w14:textId="77777777" w:rsidR="0064066B" w:rsidRPr="00D275DF" w:rsidRDefault="0064066B" w:rsidP="00B76AD4">
            <w:pPr>
              <w:jc w:val="right"/>
              <w:rPr>
                <w:color w:val="000000"/>
                <w:sz w:val="14"/>
                <w:szCs w:val="14"/>
              </w:rPr>
            </w:pPr>
            <w:r w:rsidRPr="00D275DF">
              <w:rPr>
                <w:color w:val="000000"/>
                <w:sz w:val="14"/>
                <w:szCs w:val="14"/>
              </w:rPr>
              <w:t>-</w:t>
            </w:r>
          </w:p>
        </w:tc>
        <w:tc>
          <w:tcPr>
            <w:tcW w:w="397" w:type="pct"/>
            <w:tcBorders>
              <w:top w:val="nil"/>
              <w:left w:val="nil"/>
              <w:bottom w:val="nil"/>
              <w:right w:val="single" w:sz="4" w:space="0" w:color="auto"/>
            </w:tcBorders>
            <w:shd w:val="clear" w:color="000000" w:fill="FFFFFF"/>
            <w:vAlign w:val="bottom"/>
            <w:hideMark/>
          </w:tcPr>
          <w:p w14:paraId="0AF617B6" w14:textId="77777777" w:rsidR="0064066B" w:rsidRPr="00D275DF" w:rsidRDefault="0064066B" w:rsidP="00B76AD4">
            <w:pPr>
              <w:jc w:val="right"/>
              <w:rPr>
                <w:color w:val="000000"/>
                <w:sz w:val="14"/>
                <w:szCs w:val="14"/>
              </w:rPr>
            </w:pPr>
            <w:r w:rsidRPr="00D275DF">
              <w:rPr>
                <w:color w:val="000000"/>
                <w:sz w:val="14"/>
                <w:szCs w:val="14"/>
              </w:rPr>
              <w:t>-</w:t>
            </w:r>
          </w:p>
        </w:tc>
        <w:tc>
          <w:tcPr>
            <w:tcW w:w="477" w:type="pct"/>
            <w:tcBorders>
              <w:top w:val="nil"/>
              <w:left w:val="nil"/>
              <w:bottom w:val="nil"/>
              <w:right w:val="single" w:sz="4" w:space="0" w:color="auto"/>
            </w:tcBorders>
            <w:shd w:val="clear" w:color="000000" w:fill="FFFFFF"/>
            <w:vAlign w:val="bottom"/>
            <w:hideMark/>
          </w:tcPr>
          <w:p w14:paraId="1DF84A08" w14:textId="77777777" w:rsidR="0064066B" w:rsidRPr="00D275DF" w:rsidRDefault="0064066B" w:rsidP="00B76AD4">
            <w:pPr>
              <w:jc w:val="right"/>
              <w:rPr>
                <w:color w:val="000000"/>
                <w:sz w:val="14"/>
                <w:szCs w:val="14"/>
              </w:rPr>
            </w:pPr>
            <w:r w:rsidRPr="00D275DF">
              <w:rPr>
                <w:color w:val="000000"/>
                <w:sz w:val="14"/>
                <w:szCs w:val="14"/>
              </w:rPr>
              <w:t>-</w:t>
            </w:r>
          </w:p>
        </w:tc>
      </w:tr>
      <w:tr w:rsidR="0064066B" w:rsidRPr="00AC1668" w14:paraId="37938EE0" w14:textId="77777777" w:rsidTr="00234709">
        <w:trPr>
          <w:trHeight w:val="20"/>
        </w:trPr>
        <w:tc>
          <w:tcPr>
            <w:tcW w:w="305" w:type="pct"/>
            <w:tcBorders>
              <w:top w:val="nil"/>
              <w:left w:val="single" w:sz="4" w:space="0" w:color="auto"/>
              <w:bottom w:val="nil"/>
              <w:right w:val="nil"/>
            </w:tcBorders>
            <w:noWrap/>
            <w:hideMark/>
          </w:tcPr>
          <w:p w14:paraId="0CE2DDA3" w14:textId="77777777" w:rsidR="0064066B" w:rsidRPr="00AC1668" w:rsidRDefault="0064066B" w:rsidP="00B76AD4">
            <w:pPr>
              <w:rPr>
                <w:color w:val="000000"/>
                <w:sz w:val="14"/>
                <w:szCs w:val="14"/>
              </w:rPr>
            </w:pPr>
            <w:r w:rsidRPr="00AC1668">
              <w:rPr>
                <w:color w:val="000000"/>
                <w:sz w:val="14"/>
                <w:szCs w:val="14"/>
              </w:rPr>
              <w:t>8.3</w:t>
            </w:r>
          </w:p>
        </w:tc>
        <w:tc>
          <w:tcPr>
            <w:tcW w:w="3045" w:type="pct"/>
            <w:tcBorders>
              <w:top w:val="nil"/>
              <w:left w:val="nil"/>
              <w:bottom w:val="nil"/>
              <w:right w:val="nil"/>
            </w:tcBorders>
            <w:hideMark/>
          </w:tcPr>
          <w:p w14:paraId="765D75FA" w14:textId="77777777" w:rsidR="0064066B" w:rsidRPr="00AC1668" w:rsidRDefault="0064066B" w:rsidP="00B76AD4">
            <w:pPr>
              <w:rPr>
                <w:color w:val="000000"/>
                <w:sz w:val="14"/>
                <w:szCs w:val="14"/>
              </w:rPr>
            </w:pPr>
            <w:r w:rsidRPr="00AC1668">
              <w:rPr>
                <w:color w:val="000000"/>
                <w:sz w:val="14"/>
                <w:szCs w:val="14"/>
              </w:rPr>
              <w:t>Çalışan Hakları Karşılığı</w:t>
            </w:r>
          </w:p>
        </w:tc>
        <w:tc>
          <w:tcPr>
            <w:tcW w:w="371" w:type="pct"/>
            <w:tcBorders>
              <w:top w:val="nil"/>
              <w:left w:val="single" w:sz="4" w:space="0" w:color="auto"/>
              <w:bottom w:val="nil"/>
              <w:right w:val="single" w:sz="4" w:space="0" w:color="auto"/>
            </w:tcBorders>
            <w:vAlign w:val="bottom"/>
            <w:hideMark/>
          </w:tcPr>
          <w:p w14:paraId="7A83E7C3" w14:textId="77777777" w:rsidR="0064066B" w:rsidRPr="00AC1668" w:rsidRDefault="0064066B" w:rsidP="00B76AD4">
            <w:pPr>
              <w:jc w:val="center"/>
              <w:rPr>
                <w:color w:val="000000"/>
                <w:sz w:val="14"/>
                <w:szCs w:val="14"/>
                <w:lang w:eastAsia="tr-TR"/>
              </w:rPr>
            </w:pPr>
            <w:r w:rsidRPr="00AC1668">
              <w:rPr>
                <w:color w:val="000000"/>
                <w:sz w:val="14"/>
                <w:szCs w:val="14"/>
              </w:rPr>
              <w:t> </w:t>
            </w:r>
          </w:p>
        </w:tc>
        <w:tc>
          <w:tcPr>
            <w:tcW w:w="405" w:type="pct"/>
            <w:tcBorders>
              <w:top w:val="nil"/>
              <w:left w:val="nil"/>
              <w:bottom w:val="nil"/>
              <w:right w:val="single" w:sz="4" w:space="0" w:color="auto"/>
            </w:tcBorders>
            <w:shd w:val="clear" w:color="000000" w:fill="FFFFFF"/>
            <w:vAlign w:val="bottom"/>
            <w:hideMark/>
          </w:tcPr>
          <w:p w14:paraId="2924B0D2" w14:textId="77777777" w:rsidR="0064066B" w:rsidRPr="00D275DF" w:rsidRDefault="0064066B" w:rsidP="00B76AD4">
            <w:pPr>
              <w:jc w:val="right"/>
              <w:rPr>
                <w:color w:val="000000"/>
                <w:sz w:val="14"/>
                <w:szCs w:val="14"/>
              </w:rPr>
            </w:pPr>
            <w:r w:rsidRPr="00D275DF">
              <w:rPr>
                <w:color w:val="000000"/>
                <w:sz w:val="14"/>
                <w:szCs w:val="14"/>
              </w:rPr>
              <w:t>29.085</w:t>
            </w:r>
          </w:p>
        </w:tc>
        <w:tc>
          <w:tcPr>
            <w:tcW w:w="397" w:type="pct"/>
            <w:tcBorders>
              <w:top w:val="nil"/>
              <w:left w:val="nil"/>
              <w:bottom w:val="nil"/>
              <w:right w:val="single" w:sz="4" w:space="0" w:color="auto"/>
            </w:tcBorders>
            <w:shd w:val="clear" w:color="000000" w:fill="FFFFFF"/>
            <w:vAlign w:val="bottom"/>
            <w:hideMark/>
          </w:tcPr>
          <w:p w14:paraId="7FA042CD" w14:textId="77777777" w:rsidR="0064066B" w:rsidRPr="00D275DF" w:rsidRDefault="0064066B" w:rsidP="00B76AD4">
            <w:pPr>
              <w:jc w:val="right"/>
              <w:rPr>
                <w:color w:val="000000"/>
                <w:sz w:val="14"/>
                <w:szCs w:val="14"/>
              </w:rPr>
            </w:pPr>
            <w:r w:rsidRPr="00D275DF">
              <w:rPr>
                <w:color w:val="000000"/>
                <w:sz w:val="14"/>
                <w:szCs w:val="14"/>
              </w:rPr>
              <w:t>-</w:t>
            </w:r>
          </w:p>
        </w:tc>
        <w:tc>
          <w:tcPr>
            <w:tcW w:w="477" w:type="pct"/>
            <w:tcBorders>
              <w:top w:val="nil"/>
              <w:left w:val="nil"/>
              <w:bottom w:val="nil"/>
              <w:right w:val="single" w:sz="4" w:space="0" w:color="auto"/>
            </w:tcBorders>
            <w:shd w:val="clear" w:color="000000" w:fill="FFFFFF"/>
            <w:vAlign w:val="bottom"/>
            <w:hideMark/>
          </w:tcPr>
          <w:p w14:paraId="422F9C7F" w14:textId="77777777" w:rsidR="0064066B" w:rsidRPr="00D275DF" w:rsidRDefault="0064066B" w:rsidP="00B76AD4">
            <w:pPr>
              <w:jc w:val="right"/>
              <w:rPr>
                <w:color w:val="000000"/>
                <w:sz w:val="14"/>
                <w:szCs w:val="14"/>
              </w:rPr>
            </w:pPr>
            <w:r w:rsidRPr="00D275DF">
              <w:rPr>
                <w:color w:val="000000"/>
                <w:sz w:val="14"/>
                <w:szCs w:val="14"/>
              </w:rPr>
              <w:t>29.085</w:t>
            </w:r>
          </w:p>
        </w:tc>
      </w:tr>
      <w:tr w:rsidR="0064066B" w:rsidRPr="00AC1668" w14:paraId="10C7E053" w14:textId="77777777" w:rsidTr="00234709">
        <w:trPr>
          <w:trHeight w:val="20"/>
        </w:trPr>
        <w:tc>
          <w:tcPr>
            <w:tcW w:w="305" w:type="pct"/>
            <w:tcBorders>
              <w:top w:val="nil"/>
              <w:left w:val="single" w:sz="4" w:space="0" w:color="auto"/>
              <w:bottom w:val="nil"/>
              <w:right w:val="nil"/>
            </w:tcBorders>
            <w:noWrap/>
            <w:hideMark/>
          </w:tcPr>
          <w:p w14:paraId="32DCFFF1" w14:textId="77777777" w:rsidR="0064066B" w:rsidRPr="00AC1668" w:rsidRDefault="0064066B" w:rsidP="00B76AD4">
            <w:pPr>
              <w:rPr>
                <w:color w:val="000000"/>
                <w:sz w:val="14"/>
                <w:szCs w:val="14"/>
              </w:rPr>
            </w:pPr>
            <w:r w:rsidRPr="00AC1668">
              <w:rPr>
                <w:color w:val="000000"/>
                <w:sz w:val="14"/>
                <w:szCs w:val="14"/>
              </w:rPr>
              <w:t>8.4</w:t>
            </w:r>
          </w:p>
        </w:tc>
        <w:tc>
          <w:tcPr>
            <w:tcW w:w="3045" w:type="pct"/>
            <w:tcBorders>
              <w:top w:val="nil"/>
              <w:left w:val="nil"/>
              <w:bottom w:val="nil"/>
              <w:right w:val="nil"/>
            </w:tcBorders>
            <w:hideMark/>
          </w:tcPr>
          <w:p w14:paraId="63538ED9" w14:textId="77777777" w:rsidR="0064066B" w:rsidRPr="00AC1668" w:rsidRDefault="0064066B" w:rsidP="00B76AD4">
            <w:pPr>
              <w:rPr>
                <w:color w:val="000000"/>
                <w:sz w:val="14"/>
                <w:szCs w:val="14"/>
              </w:rPr>
            </w:pPr>
            <w:r w:rsidRPr="00AC1668">
              <w:rPr>
                <w:color w:val="000000"/>
                <w:sz w:val="14"/>
                <w:szCs w:val="14"/>
              </w:rPr>
              <w:t>Sigorta Teknik Karşılıkları (Net)</w:t>
            </w:r>
          </w:p>
        </w:tc>
        <w:tc>
          <w:tcPr>
            <w:tcW w:w="371" w:type="pct"/>
            <w:tcBorders>
              <w:top w:val="nil"/>
              <w:left w:val="single" w:sz="4" w:space="0" w:color="auto"/>
              <w:bottom w:val="nil"/>
              <w:right w:val="single" w:sz="4" w:space="0" w:color="auto"/>
            </w:tcBorders>
            <w:vAlign w:val="bottom"/>
            <w:hideMark/>
          </w:tcPr>
          <w:p w14:paraId="179C13EB" w14:textId="77777777" w:rsidR="0064066B" w:rsidRPr="00AC1668" w:rsidRDefault="0064066B" w:rsidP="00B76AD4">
            <w:pPr>
              <w:jc w:val="center"/>
              <w:rPr>
                <w:color w:val="000000"/>
                <w:sz w:val="14"/>
                <w:szCs w:val="14"/>
                <w:lang w:eastAsia="tr-TR"/>
              </w:rPr>
            </w:pPr>
            <w:r w:rsidRPr="00AC1668">
              <w:rPr>
                <w:color w:val="000000"/>
                <w:sz w:val="14"/>
                <w:szCs w:val="14"/>
              </w:rPr>
              <w:t> </w:t>
            </w:r>
          </w:p>
        </w:tc>
        <w:tc>
          <w:tcPr>
            <w:tcW w:w="405" w:type="pct"/>
            <w:tcBorders>
              <w:top w:val="nil"/>
              <w:left w:val="nil"/>
              <w:bottom w:val="nil"/>
              <w:right w:val="single" w:sz="4" w:space="0" w:color="auto"/>
            </w:tcBorders>
            <w:shd w:val="clear" w:color="000000" w:fill="FFFFFF"/>
            <w:vAlign w:val="bottom"/>
            <w:hideMark/>
          </w:tcPr>
          <w:p w14:paraId="7D9713FD" w14:textId="77777777" w:rsidR="0064066B" w:rsidRPr="00D275DF" w:rsidRDefault="0064066B" w:rsidP="00B76AD4">
            <w:pPr>
              <w:jc w:val="right"/>
              <w:rPr>
                <w:color w:val="000000"/>
                <w:sz w:val="14"/>
                <w:szCs w:val="14"/>
              </w:rPr>
            </w:pPr>
            <w:r w:rsidRPr="00D275DF">
              <w:rPr>
                <w:color w:val="000000"/>
                <w:sz w:val="14"/>
                <w:szCs w:val="14"/>
              </w:rPr>
              <w:t>-</w:t>
            </w:r>
          </w:p>
        </w:tc>
        <w:tc>
          <w:tcPr>
            <w:tcW w:w="397" w:type="pct"/>
            <w:tcBorders>
              <w:top w:val="nil"/>
              <w:left w:val="nil"/>
              <w:bottom w:val="nil"/>
              <w:right w:val="single" w:sz="4" w:space="0" w:color="auto"/>
            </w:tcBorders>
            <w:shd w:val="clear" w:color="000000" w:fill="FFFFFF"/>
            <w:vAlign w:val="bottom"/>
            <w:hideMark/>
          </w:tcPr>
          <w:p w14:paraId="27E6C43A" w14:textId="77777777" w:rsidR="0064066B" w:rsidRPr="00D275DF" w:rsidRDefault="0064066B" w:rsidP="00B76AD4">
            <w:pPr>
              <w:jc w:val="right"/>
              <w:rPr>
                <w:color w:val="000000"/>
                <w:sz w:val="14"/>
                <w:szCs w:val="14"/>
              </w:rPr>
            </w:pPr>
            <w:r w:rsidRPr="00D275DF">
              <w:rPr>
                <w:color w:val="000000"/>
                <w:sz w:val="14"/>
                <w:szCs w:val="14"/>
              </w:rPr>
              <w:t>-</w:t>
            </w:r>
          </w:p>
        </w:tc>
        <w:tc>
          <w:tcPr>
            <w:tcW w:w="477" w:type="pct"/>
            <w:tcBorders>
              <w:top w:val="nil"/>
              <w:left w:val="nil"/>
              <w:bottom w:val="nil"/>
              <w:right w:val="single" w:sz="4" w:space="0" w:color="auto"/>
            </w:tcBorders>
            <w:shd w:val="clear" w:color="000000" w:fill="FFFFFF"/>
            <w:vAlign w:val="bottom"/>
            <w:hideMark/>
          </w:tcPr>
          <w:p w14:paraId="5B02AD86" w14:textId="77777777" w:rsidR="0064066B" w:rsidRPr="00D275DF" w:rsidRDefault="0064066B" w:rsidP="00B76AD4">
            <w:pPr>
              <w:jc w:val="right"/>
              <w:rPr>
                <w:color w:val="000000"/>
                <w:sz w:val="14"/>
                <w:szCs w:val="14"/>
              </w:rPr>
            </w:pPr>
            <w:r w:rsidRPr="00D275DF">
              <w:rPr>
                <w:color w:val="000000"/>
                <w:sz w:val="14"/>
                <w:szCs w:val="14"/>
              </w:rPr>
              <w:t>-</w:t>
            </w:r>
          </w:p>
        </w:tc>
      </w:tr>
      <w:tr w:rsidR="0064066B" w:rsidRPr="00AC1668" w14:paraId="20F72BBD" w14:textId="77777777" w:rsidTr="00234709">
        <w:trPr>
          <w:trHeight w:val="20"/>
        </w:trPr>
        <w:tc>
          <w:tcPr>
            <w:tcW w:w="305" w:type="pct"/>
            <w:tcBorders>
              <w:top w:val="nil"/>
              <w:left w:val="single" w:sz="4" w:space="0" w:color="auto"/>
              <w:bottom w:val="nil"/>
              <w:right w:val="nil"/>
            </w:tcBorders>
            <w:noWrap/>
            <w:hideMark/>
          </w:tcPr>
          <w:p w14:paraId="5EF5802E" w14:textId="77777777" w:rsidR="0064066B" w:rsidRPr="00AC1668" w:rsidRDefault="0064066B" w:rsidP="00B76AD4">
            <w:pPr>
              <w:rPr>
                <w:color w:val="000000"/>
                <w:sz w:val="14"/>
                <w:szCs w:val="14"/>
              </w:rPr>
            </w:pPr>
            <w:r w:rsidRPr="00AC1668">
              <w:rPr>
                <w:color w:val="000000"/>
                <w:sz w:val="14"/>
                <w:szCs w:val="14"/>
              </w:rPr>
              <w:t>8.5</w:t>
            </w:r>
          </w:p>
        </w:tc>
        <w:tc>
          <w:tcPr>
            <w:tcW w:w="3045" w:type="pct"/>
            <w:tcBorders>
              <w:top w:val="nil"/>
              <w:left w:val="nil"/>
              <w:bottom w:val="nil"/>
              <w:right w:val="nil"/>
            </w:tcBorders>
            <w:hideMark/>
          </w:tcPr>
          <w:p w14:paraId="0B434F1D" w14:textId="77777777" w:rsidR="0064066B" w:rsidRPr="00AC1668" w:rsidRDefault="0064066B" w:rsidP="00B76AD4">
            <w:pPr>
              <w:rPr>
                <w:color w:val="000000"/>
                <w:sz w:val="14"/>
                <w:szCs w:val="14"/>
              </w:rPr>
            </w:pPr>
            <w:r w:rsidRPr="00AC1668">
              <w:rPr>
                <w:color w:val="000000"/>
                <w:sz w:val="14"/>
                <w:szCs w:val="14"/>
              </w:rPr>
              <w:t>Diğer Karşılıklar</w:t>
            </w:r>
          </w:p>
        </w:tc>
        <w:tc>
          <w:tcPr>
            <w:tcW w:w="371" w:type="pct"/>
            <w:tcBorders>
              <w:top w:val="nil"/>
              <w:left w:val="single" w:sz="4" w:space="0" w:color="auto"/>
              <w:bottom w:val="nil"/>
              <w:right w:val="single" w:sz="4" w:space="0" w:color="auto"/>
            </w:tcBorders>
            <w:vAlign w:val="bottom"/>
            <w:hideMark/>
          </w:tcPr>
          <w:p w14:paraId="303EBC51" w14:textId="77777777" w:rsidR="0064066B" w:rsidRPr="00AC1668" w:rsidRDefault="0064066B" w:rsidP="00B76AD4">
            <w:pPr>
              <w:jc w:val="center"/>
              <w:rPr>
                <w:color w:val="000000"/>
                <w:sz w:val="14"/>
                <w:szCs w:val="14"/>
                <w:lang w:eastAsia="tr-TR"/>
              </w:rPr>
            </w:pPr>
            <w:r w:rsidRPr="00AC1668">
              <w:rPr>
                <w:color w:val="000000"/>
                <w:sz w:val="14"/>
                <w:szCs w:val="14"/>
              </w:rPr>
              <w:t> </w:t>
            </w:r>
          </w:p>
        </w:tc>
        <w:tc>
          <w:tcPr>
            <w:tcW w:w="405" w:type="pct"/>
            <w:tcBorders>
              <w:top w:val="nil"/>
              <w:left w:val="nil"/>
              <w:bottom w:val="nil"/>
              <w:right w:val="single" w:sz="4" w:space="0" w:color="auto"/>
            </w:tcBorders>
            <w:shd w:val="clear" w:color="000000" w:fill="FFFFFF"/>
            <w:vAlign w:val="bottom"/>
            <w:hideMark/>
          </w:tcPr>
          <w:p w14:paraId="7DAD0BBB" w14:textId="77777777" w:rsidR="0064066B" w:rsidRPr="00D275DF" w:rsidRDefault="0064066B" w:rsidP="00B76AD4">
            <w:pPr>
              <w:jc w:val="right"/>
              <w:rPr>
                <w:color w:val="000000"/>
                <w:sz w:val="14"/>
                <w:szCs w:val="14"/>
              </w:rPr>
            </w:pPr>
            <w:r w:rsidRPr="00D275DF">
              <w:rPr>
                <w:color w:val="000000"/>
                <w:sz w:val="14"/>
                <w:szCs w:val="14"/>
              </w:rPr>
              <w:t>51</w:t>
            </w:r>
          </w:p>
        </w:tc>
        <w:tc>
          <w:tcPr>
            <w:tcW w:w="397" w:type="pct"/>
            <w:tcBorders>
              <w:top w:val="nil"/>
              <w:left w:val="nil"/>
              <w:bottom w:val="nil"/>
              <w:right w:val="single" w:sz="4" w:space="0" w:color="auto"/>
            </w:tcBorders>
            <w:shd w:val="clear" w:color="000000" w:fill="FFFFFF"/>
            <w:vAlign w:val="bottom"/>
            <w:hideMark/>
          </w:tcPr>
          <w:p w14:paraId="72A8000A" w14:textId="77777777" w:rsidR="0064066B" w:rsidRPr="00D275DF" w:rsidRDefault="0064066B" w:rsidP="00B76AD4">
            <w:pPr>
              <w:jc w:val="right"/>
              <w:rPr>
                <w:color w:val="000000"/>
                <w:sz w:val="14"/>
                <w:szCs w:val="14"/>
              </w:rPr>
            </w:pPr>
            <w:r w:rsidRPr="00D275DF">
              <w:rPr>
                <w:color w:val="000000"/>
                <w:sz w:val="14"/>
                <w:szCs w:val="14"/>
              </w:rPr>
              <w:t>-</w:t>
            </w:r>
          </w:p>
        </w:tc>
        <w:tc>
          <w:tcPr>
            <w:tcW w:w="477" w:type="pct"/>
            <w:tcBorders>
              <w:top w:val="nil"/>
              <w:left w:val="nil"/>
              <w:bottom w:val="nil"/>
              <w:right w:val="single" w:sz="4" w:space="0" w:color="auto"/>
            </w:tcBorders>
            <w:shd w:val="clear" w:color="000000" w:fill="FFFFFF"/>
            <w:vAlign w:val="bottom"/>
            <w:hideMark/>
          </w:tcPr>
          <w:p w14:paraId="32166A42" w14:textId="77777777" w:rsidR="0064066B" w:rsidRPr="00D275DF" w:rsidRDefault="0064066B" w:rsidP="00B76AD4">
            <w:pPr>
              <w:jc w:val="right"/>
              <w:rPr>
                <w:color w:val="000000"/>
                <w:sz w:val="14"/>
                <w:szCs w:val="14"/>
              </w:rPr>
            </w:pPr>
            <w:r w:rsidRPr="00D275DF">
              <w:rPr>
                <w:color w:val="000000"/>
                <w:sz w:val="14"/>
                <w:szCs w:val="14"/>
              </w:rPr>
              <w:t>51</w:t>
            </w:r>
          </w:p>
        </w:tc>
      </w:tr>
      <w:tr w:rsidR="0064066B" w:rsidRPr="00AC1668" w14:paraId="2798E931" w14:textId="77777777" w:rsidTr="00234709">
        <w:trPr>
          <w:trHeight w:val="20"/>
        </w:trPr>
        <w:tc>
          <w:tcPr>
            <w:tcW w:w="305" w:type="pct"/>
            <w:tcBorders>
              <w:top w:val="nil"/>
              <w:left w:val="single" w:sz="4" w:space="0" w:color="auto"/>
              <w:bottom w:val="nil"/>
              <w:right w:val="nil"/>
            </w:tcBorders>
            <w:noWrap/>
            <w:hideMark/>
          </w:tcPr>
          <w:p w14:paraId="4555A942" w14:textId="77777777" w:rsidR="0064066B" w:rsidRPr="00AC1668" w:rsidRDefault="0064066B" w:rsidP="00B76AD4">
            <w:pPr>
              <w:rPr>
                <w:b/>
                <w:bCs/>
                <w:color w:val="000000"/>
                <w:sz w:val="14"/>
                <w:szCs w:val="14"/>
              </w:rPr>
            </w:pPr>
            <w:r w:rsidRPr="00AC1668">
              <w:rPr>
                <w:b/>
                <w:bCs/>
                <w:color w:val="000000"/>
                <w:sz w:val="14"/>
                <w:szCs w:val="14"/>
              </w:rPr>
              <w:t>IX.</w:t>
            </w:r>
          </w:p>
        </w:tc>
        <w:tc>
          <w:tcPr>
            <w:tcW w:w="3045" w:type="pct"/>
            <w:tcBorders>
              <w:top w:val="nil"/>
              <w:left w:val="nil"/>
              <w:bottom w:val="nil"/>
              <w:right w:val="nil"/>
            </w:tcBorders>
            <w:hideMark/>
          </w:tcPr>
          <w:p w14:paraId="024B1A47" w14:textId="77777777" w:rsidR="0064066B" w:rsidRPr="00AC1668" w:rsidRDefault="0064066B" w:rsidP="00B76AD4">
            <w:pPr>
              <w:rPr>
                <w:b/>
                <w:bCs/>
                <w:color w:val="000000"/>
                <w:sz w:val="14"/>
                <w:szCs w:val="14"/>
              </w:rPr>
            </w:pPr>
            <w:r w:rsidRPr="00AC1668">
              <w:rPr>
                <w:b/>
                <w:bCs/>
                <w:color w:val="000000"/>
                <w:sz w:val="14"/>
                <w:szCs w:val="14"/>
              </w:rPr>
              <w:t>CARİ VERGİ BORCU</w:t>
            </w:r>
          </w:p>
        </w:tc>
        <w:tc>
          <w:tcPr>
            <w:tcW w:w="371" w:type="pct"/>
            <w:tcBorders>
              <w:top w:val="nil"/>
              <w:left w:val="single" w:sz="4" w:space="0" w:color="auto"/>
              <w:bottom w:val="nil"/>
              <w:right w:val="single" w:sz="4" w:space="0" w:color="auto"/>
            </w:tcBorders>
            <w:vAlign w:val="bottom"/>
            <w:hideMark/>
          </w:tcPr>
          <w:p w14:paraId="163BCC58" w14:textId="77777777" w:rsidR="0064066B" w:rsidRPr="00AC1668" w:rsidRDefault="0064066B" w:rsidP="00B76AD4">
            <w:pPr>
              <w:jc w:val="center"/>
              <w:rPr>
                <w:b/>
                <w:bCs/>
                <w:color w:val="000000"/>
                <w:sz w:val="14"/>
                <w:szCs w:val="14"/>
              </w:rPr>
            </w:pPr>
            <w:r w:rsidRPr="00AC1668">
              <w:rPr>
                <w:b/>
                <w:bCs/>
                <w:color w:val="000000"/>
                <w:sz w:val="14"/>
                <w:szCs w:val="14"/>
              </w:rPr>
              <w:t>(7)</w:t>
            </w:r>
          </w:p>
        </w:tc>
        <w:tc>
          <w:tcPr>
            <w:tcW w:w="405" w:type="pct"/>
            <w:tcBorders>
              <w:top w:val="nil"/>
              <w:left w:val="nil"/>
              <w:bottom w:val="nil"/>
              <w:right w:val="single" w:sz="4" w:space="0" w:color="auto"/>
            </w:tcBorders>
            <w:shd w:val="clear" w:color="000000" w:fill="FFFFFF"/>
            <w:vAlign w:val="bottom"/>
            <w:hideMark/>
          </w:tcPr>
          <w:p w14:paraId="6671DD97" w14:textId="77777777" w:rsidR="0064066B" w:rsidRPr="00D275DF" w:rsidRDefault="0064066B" w:rsidP="00B76AD4">
            <w:pPr>
              <w:jc w:val="right"/>
              <w:rPr>
                <w:b/>
                <w:bCs/>
                <w:color w:val="000000"/>
                <w:sz w:val="14"/>
                <w:szCs w:val="14"/>
              </w:rPr>
            </w:pPr>
            <w:r w:rsidRPr="00D275DF">
              <w:rPr>
                <w:b/>
                <w:bCs/>
                <w:color w:val="000000"/>
                <w:sz w:val="14"/>
                <w:szCs w:val="14"/>
              </w:rPr>
              <w:t>299.527</w:t>
            </w:r>
          </w:p>
        </w:tc>
        <w:tc>
          <w:tcPr>
            <w:tcW w:w="397" w:type="pct"/>
            <w:tcBorders>
              <w:top w:val="nil"/>
              <w:left w:val="nil"/>
              <w:bottom w:val="nil"/>
              <w:right w:val="single" w:sz="4" w:space="0" w:color="auto"/>
            </w:tcBorders>
            <w:shd w:val="clear" w:color="000000" w:fill="FFFFFF"/>
            <w:vAlign w:val="bottom"/>
            <w:hideMark/>
          </w:tcPr>
          <w:p w14:paraId="394EDB4C" w14:textId="77777777" w:rsidR="0064066B" w:rsidRPr="00D275DF" w:rsidRDefault="0064066B" w:rsidP="00B76AD4">
            <w:pPr>
              <w:jc w:val="right"/>
              <w:rPr>
                <w:b/>
                <w:bCs/>
                <w:color w:val="000000"/>
                <w:sz w:val="14"/>
                <w:szCs w:val="14"/>
              </w:rPr>
            </w:pPr>
            <w:r w:rsidRPr="00D275DF">
              <w:rPr>
                <w:b/>
                <w:bCs/>
                <w:color w:val="000000"/>
                <w:sz w:val="14"/>
                <w:szCs w:val="14"/>
              </w:rPr>
              <w:t>-</w:t>
            </w:r>
          </w:p>
        </w:tc>
        <w:tc>
          <w:tcPr>
            <w:tcW w:w="477" w:type="pct"/>
            <w:tcBorders>
              <w:top w:val="nil"/>
              <w:left w:val="nil"/>
              <w:bottom w:val="nil"/>
              <w:right w:val="single" w:sz="4" w:space="0" w:color="auto"/>
            </w:tcBorders>
            <w:shd w:val="clear" w:color="000000" w:fill="FFFFFF"/>
            <w:vAlign w:val="bottom"/>
            <w:hideMark/>
          </w:tcPr>
          <w:p w14:paraId="213FCC9A" w14:textId="77777777" w:rsidR="0064066B" w:rsidRPr="00D275DF" w:rsidRDefault="0064066B" w:rsidP="00B76AD4">
            <w:pPr>
              <w:jc w:val="right"/>
              <w:rPr>
                <w:b/>
                <w:bCs/>
                <w:color w:val="000000"/>
                <w:sz w:val="14"/>
                <w:szCs w:val="14"/>
              </w:rPr>
            </w:pPr>
            <w:r w:rsidRPr="00D275DF">
              <w:rPr>
                <w:b/>
                <w:bCs/>
                <w:color w:val="000000"/>
                <w:sz w:val="14"/>
                <w:szCs w:val="14"/>
              </w:rPr>
              <w:t>299.527</w:t>
            </w:r>
          </w:p>
        </w:tc>
      </w:tr>
      <w:tr w:rsidR="0064066B" w:rsidRPr="00AC1668" w14:paraId="2F104580" w14:textId="77777777" w:rsidTr="00234709">
        <w:trPr>
          <w:trHeight w:val="20"/>
        </w:trPr>
        <w:tc>
          <w:tcPr>
            <w:tcW w:w="305" w:type="pct"/>
            <w:tcBorders>
              <w:top w:val="nil"/>
              <w:left w:val="single" w:sz="4" w:space="0" w:color="auto"/>
              <w:bottom w:val="nil"/>
              <w:right w:val="nil"/>
            </w:tcBorders>
            <w:noWrap/>
            <w:hideMark/>
          </w:tcPr>
          <w:p w14:paraId="3036CDF3" w14:textId="77777777" w:rsidR="0064066B" w:rsidRPr="00AC1668" w:rsidRDefault="0064066B" w:rsidP="00B76AD4">
            <w:pPr>
              <w:rPr>
                <w:b/>
                <w:bCs/>
                <w:color w:val="000000"/>
                <w:sz w:val="14"/>
                <w:szCs w:val="14"/>
              </w:rPr>
            </w:pPr>
            <w:r w:rsidRPr="00AC1668">
              <w:rPr>
                <w:b/>
                <w:bCs/>
                <w:color w:val="000000"/>
                <w:sz w:val="14"/>
                <w:szCs w:val="14"/>
              </w:rPr>
              <w:t>X.</w:t>
            </w:r>
          </w:p>
        </w:tc>
        <w:tc>
          <w:tcPr>
            <w:tcW w:w="3045" w:type="pct"/>
            <w:tcBorders>
              <w:top w:val="nil"/>
              <w:left w:val="nil"/>
              <w:bottom w:val="nil"/>
              <w:right w:val="nil"/>
            </w:tcBorders>
            <w:hideMark/>
          </w:tcPr>
          <w:p w14:paraId="4187B241" w14:textId="77777777" w:rsidR="0064066B" w:rsidRPr="00AC1668" w:rsidRDefault="0064066B" w:rsidP="00B76AD4">
            <w:pPr>
              <w:rPr>
                <w:b/>
                <w:bCs/>
                <w:color w:val="000000"/>
                <w:sz w:val="14"/>
                <w:szCs w:val="14"/>
              </w:rPr>
            </w:pPr>
            <w:r w:rsidRPr="00AC1668">
              <w:rPr>
                <w:b/>
                <w:bCs/>
                <w:color w:val="000000"/>
                <w:sz w:val="14"/>
                <w:szCs w:val="14"/>
              </w:rPr>
              <w:t>ERTELENMİŞ VERGİ BORCU</w:t>
            </w:r>
          </w:p>
        </w:tc>
        <w:tc>
          <w:tcPr>
            <w:tcW w:w="371" w:type="pct"/>
            <w:tcBorders>
              <w:top w:val="nil"/>
              <w:left w:val="single" w:sz="4" w:space="0" w:color="auto"/>
              <w:bottom w:val="nil"/>
              <w:right w:val="single" w:sz="4" w:space="0" w:color="auto"/>
            </w:tcBorders>
            <w:vAlign w:val="bottom"/>
            <w:hideMark/>
          </w:tcPr>
          <w:p w14:paraId="0DCE2C53" w14:textId="02BBE953" w:rsidR="0064066B" w:rsidRPr="00AC1668" w:rsidRDefault="0064066B" w:rsidP="00B76AD4">
            <w:pPr>
              <w:jc w:val="center"/>
              <w:rPr>
                <w:b/>
                <w:bCs/>
                <w:color w:val="000000"/>
                <w:sz w:val="14"/>
                <w:szCs w:val="14"/>
                <w:lang w:eastAsia="tr-TR"/>
              </w:rPr>
            </w:pPr>
            <w:r w:rsidRPr="00AC1668">
              <w:rPr>
                <w:b/>
                <w:bCs/>
                <w:color w:val="000000"/>
                <w:sz w:val="14"/>
                <w:szCs w:val="14"/>
              </w:rPr>
              <w:t> </w:t>
            </w:r>
            <w:r w:rsidR="00F74751">
              <w:rPr>
                <w:b/>
                <w:bCs/>
                <w:color w:val="000000"/>
                <w:sz w:val="14"/>
                <w:szCs w:val="14"/>
              </w:rPr>
              <w:t>(8)</w:t>
            </w:r>
          </w:p>
        </w:tc>
        <w:tc>
          <w:tcPr>
            <w:tcW w:w="405" w:type="pct"/>
            <w:tcBorders>
              <w:top w:val="nil"/>
              <w:left w:val="nil"/>
              <w:bottom w:val="nil"/>
              <w:right w:val="single" w:sz="4" w:space="0" w:color="auto"/>
            </w:tcBorders>
            <w:shd w:val="clear" w:color="000000" w:fill="FFFFFF"/>
            <w:vAlign w:val="bottom"/>
            <w:hideMark/>
          </w:tcPr>
          <w:p w14:paraId="5D602C58" w14:textId="77777777" w:rsidR="0064066B" w:rsidRPr="00D275DF" w:rsidRDefault="0064066B" w:rsidP="00B76AD4">
            <w:pPr>
              <w:jc w:val="right"/>
              <w:rPr>
                <w:b/>
                <w:bCs/>
                <w:color w:val="000000"/>
                <w:sz w:val="14"/>
                <w:szCs w:val="14"/>
              </w:rPr>
            </w:pPr>
            <w:r w:rsidRPr="00D275DF">
              <w:rPr>
                <w:b/>
                <w:bCs/>
                <w:color w:val="000000"/>
                <w:sz w:val="14"/>
                <w:szCs w:val="14"/>
              </w:rPr>
              <w:t>-</w:t>
            </w:r>
          </w:p>
        </w:tc>
        <w:tc>
          <w:tcPr>
            <w:tcW w:w="397" w:type="pct"/>
            <w:tcBorders>
              <w:top w:val="nil"/>
              <w:left w:val="nil"/>
              <w:bottom w:val="nil"/>
              <w:right w:val="single" w:sz="4" w:space="0" w:color="auto"/>
            </w:tcBorders>
            <w:shd w:val="clear" w:color="000000" w:fill="FFFFFF"/>
            <w:vAlign w:val="bottom"/>
            <w:hideMark/>
          </w:tcPr>
          <w:p w14:paraId="4D9209DA" w14:textId="77777777" w:rsidR="0064066B" w:rsidRPr="00D275DF" w:rsidRDefault="0064066B" w:rsidP="00B76AD4">
            <w:pPr>
              <w:jc w:val="right"/>
              <w:rPr>
                <w:b/>
                <w:bCs/>
                <w:color w:val="000000"/>
                <w:sz w:val="14"/>
                <w:szCs w:val="14"/>
              </w:rPr>
            </w:pPr>
            <w:r w:rsidRPr="00D275DF">
              <w:rPr>
                <w:b/>
                <w:bCs/>
                <w:color w:val="000000"/>
                <w:sz w:val="14"/>
                <w:szCs w:val="14"/>
              </w:rPr>
              <w:t>-</w:t>
            </w:r>
          </w:p>
        </w:tc>
        <w:tc>
          <w:tcPr>
            <w:tcW w:w="477" w:type="pct"/>
            <w:tcBorders>
              <w:top w:val="nil"/>
              <w:left w:val="nil"/>
              <w:bottom w:val="nil"/>
              <w:right w:val="single" w:sz="4" w:space="0" w:color="auto"/>
            </w:tcBorders>
            <w:shd w:val="clear" w:color="000000" w:fill="FFFFFF"/>
            <w:vAlign w:val="bottom"/>
            <w:hideMark/>
          </w:tcPr>
          <w:p w14:paraId="7690E0E2" w14:textId="77777777" w:rsidR="0064066B" w:rsidRPr="00D275DF" w:rsidRDefault="0064066B" w:rsidP="00B76AD4">
            <w:pPr>
              <w:jc w:val="right"/>
              <w:rPr>
                <w:b/>
                <w:bCs/>
                <w:color w:val="000000"/>
                <w:sz w:val="14"/>
                <w:szCs w:val="14"/>
              </w:rPr>
            </w:pPr>
            <w:r w:rsidRPr="00D275DF">
              <w:rPr>
                <w:b/>
                <w:bCs/>
                <w:color w:val="000000"/>
                <w:sz w:val="14"/>
                <w:szCs w:val="14"/>
              </w:rPr>
              <w:t>-</w:t>
            </w:r>
          </w:p>
        </w:tc>
      </w:tr>
      <w:tr w:rsidR="0064066B" w:rsidRPr="00AC1668" w14:paraId="1B2759A8" w14:textId="77777777" w:rsidTr="00234709">
        <w:trPr>
          <w:trHeight w:val="20"/>
        </w:trPr>
        <w:tc>
          <w:tcPr>
            <w:tcW w:w="305" w:type="pct"/>
            <w:tcBorders>
              <w:top w:val="nil"/>
              <w:left w:val="single" w:sz="4" w:space="0" w:color="auto"/>
              <w:bottom w:val="nil"/>
              <w:right w:val="nil"/>
            </w:tcBorders>
            <w:noWrap/>
            <w:hideMark/>
          </w:tcPr>
          <w:p w14:paraId="1E46FBAB" w14:textId="77777777" w:rsidR="0064066B" w:rsidRPr="00AC1668" w:rsidRDefault="0064066B" w:rsidP="00B76AD4">
            <w:pPr>
              <w:rPr>
                <w:b/>
                <w:bCs/>
                <w:color w:val="000000"/>
                <w:sz w:val="14"/>
                <w:szCs w:val="14"/>
              </w:rPr>
            </w:pPr>
            <w:r w:rsidRPr="00AC1668">
              <w:rPr>
                <w:b/>
                <w:bCs/>
                <w:color w:val="000000"/>
                <w:sz w:val="14"/>
                <w:szCs w:val="14"/>
              </w:rPr>
              <w:t>XI.</w:t>
            </w:r>
          </w:p>
        </w:tc>
        <w:tc>
          <w:tcPr>
            <w:tcW w:w="3045" w:type="pct"/>
            <w:tcBorders>
              <w:top w:val="nil"/>
              <w:left w:val="nil"/>
              <w:bottom w:val="nil"/>
              <w:right w:val="nil"/>
            </w:tcBorders>
            <w:hideMark/>
          </w:tcPr>
          <w:p w14:paraId="2431A37E" w14:textId="77777777" w:rsidR="0064066B" w:rsidRPr="00AC1668" w:rsidRDefault="0064066B" w:rsidP="00B76AD4">
            <w:pPr>
              <w:rPr>
                <w:b/>
                <w:bCs/>
                <w:color w:val="000000"/>
                <w:sz w:val="14"/>
                <w:szCs w:val="14"/>
              </w:rPr>
            </w:pPr>
            <w:r w:rsidRPr="00AC1668">
              <w:rPr>
                <w:b/>
                <w:bCs/>
                <w:color w:val="000000"/>
                <w:sz w:val="14"/>
                <w:szCs w:val="14"/>
              </w:rPr>
              <w:t>SATIŞ AMAÇLI ELDE TUTULAN VE DURDURULAN FAALİYETLERE İLİŞKİN DURAN VARLIK BORÇLARI (Net)</w:t>
            </w:r>
          </w:p>
        </w:tc>
        <w:tc>
          <w:tcPr>
            <w:tcW w:w="371" w:type="pct"/>
            <w:tcBorders>
              <w:top w:val="nil"/>
              <w:left w:val="single" w:sz="4" w:space="0" w:color="auto"/>
              <w:bottom w:val="nil"/>
              <w:right w:val="single" w:sz="4" w:space="0" w:color="auto"/>
            </w:tcBorders>
            <w:vAlign w:val="bottom"/>
            <w:hideMark/>
          </w:tcPr>
          <w:p w14:paraId="1F59E07B" w14:textId="77777777" w:rsidR="0064066B" w:rsidRPr="00AC1668" w:rsidRDefault="0064066B" w:rsidP="00B76AD4">
            <w:pPr>
              <w:jc w:val="center"/>
              <w:rPr>
                <w:b/>
                <w:bCs/>
                <w:color w:val="000000"/>
                <w:sz w:val="14"/>
                <w:szCs w:val="14"/>
                <w:lang w:eastAsia="tr-TR"/>
              </w:rPr>
            </w:pPr>
            <w:r w:rsidRPr="00AC1668">
              <w:rPr>
                <w:b/>
                <w:bCs/>
                <w:color w:val="000000"/>
                <w:sz w:val="14"/>
                <w:szCs w:val="14"/>
              </w:rPr>
              <w:t> </w:t>
            </w:r>
          </w:p>
        </w:tc>
        <w:tc>
          <w:tcPr>
            <w:tcW w:w="405" w:type="pct"/>
            <w:tcBorders>
              <w:top w:val="nil"/>
              <w:left w:val="nil"/>
              <w:bottom w:val="nil"/>
              <w:right w:val="single" w:sz="4" w:space="0" w:color="auto"/>
            </w:tcBorders>
            <w:shd w:val="clear" w:color="000000" w:fill="FFFFFF"/>
            <w:vAlign w:val="bottom"/>
            <w:hideMark/>
          </w:tcPr>
          <w:p w14:paraId="7F74F493" w14:textId="77777777" w:rsidR="0064066B" w:rsidRPr="00D275DF" w:rsidRDefault="0064066B" w:rsidP="00B76AD4">
            <w:pPr>
              <w:jc w:val="right"/>
              <w:rPr>
                <w:b/>
                <w:bCs/>
                <w:color w:val="000000"/>
                <w:sz w:val="14"/>
                <w:szCs w:val="14"/>
              </w:rPr>
            </w:pPr>
            <w:r w:rsidRPr="00D275DF">
              <w:rPr>
                <w:b/>
                <w:bCs/>
                <w:color w:val="000000"/>
                <w:sz w:val="14"/>
                <w:szCs w:val="14"/>
              </w:rPr>
              <w:t>-</w:t>
            </w:r>
          </w:p>
        </w:tc>
        <w:tc>
          <w:tcPr>
            <w:tcW w:w="397" w:type="pct"/>
            <w:tcBorders>
              <w:top w:val="nil"/>
              <w:left w:val="nil"/>
              <w:bottom w:val="nil"/>
              <w:right w:val="single" w:sz="4" w:space="0" w:color="auto"/>
            </w:tcBorders>
            <w:shd w:val="clear" w:color="000000" w:fill="FFFFFF"/>
            <w:vAlign w:val="bottom"/>
            <w:hideMark/>
          </w:tcPr>
          <w:p w14:paraId="44D79D12" w14:textId="77777777" w:rsidR="0064066B" w:rsidRPr="00D275DF" w:rsidRDefault="0064066B" w:rsidP="00B76AD4">
            <w:pPr>
              <w:jc w:val="right"/>
              <w:rPr>
                <w:b/>
                <w:bCs/>
                <w:color w:val="000000"/>
                <w:sz w:val="14"/>
                <w:szCs w:val="14"/>
              </w:rPr>
            </w:pPr>
            <w:r w:rsidRPr="00D275DF">
              <w:rPr>
                <w:b/>
                <w:bCs/>
                <w:color w:val="000000"/>
                <w:sz w:val="14"/>
                <w:szCs w:val="14"/>
              </w:rPr>
              <w:t>-</w:t>
            </w:r>
          </w:p>
        </w:tc>
        <w:tc>
          <w:tcPr>
            <w:tcW w:w="477" w:type="pct"/>
            <w:tcBorders>
              <w:top w:val="nil"/>
              <w:left w:val="nil"/>
              <w:bottom w:val="nil"/>
              <w:right w:val="single" w:sz="4" w:space="0" w:color="auto"/>
            </w:tcBorders>
            <w:shd w:val="clear" w:color="000000" w:fill="FFFFFF"/>
            <w:vAlign w:val="bottom"/>
            <w:hideMark/>
          </w:tcPr>
          <w:p w14:paraId="1EB18426" w14:textId="77777777" w:rsidR="0064066B" w:rsidRPr="00D275DF" w:rsidRDefault="0064066B" w:rsidP="00B76AD4">
            <w:pPr>
              <w:jc w:val="right"/>
              <w:rPr>
                <w:b/>
                <w:bCs/>
                <w:color w:val="000000"/>
                <w:sz w:val="14"/>
                <w:szCs w:val="14"/>
              </w:rPr>
            </w:pPr>
            <w:r w:rsidRPr="00D275DF">
              <w:rPr>
                <w:b/>
                <w:bCs/>
                <w:color w:val="000000"/>
                <w:sz w:val="14"/>
                <w:szCs w:val="14"/>
              </w:rPr>
              <w:t>-</w:t>
            </w:r>
          </w:p>
        </w:tc>
      </w:tr>
      <w:tr w:rsidR="0064066B" w:rsidRPr="00AC1668" w14:paraId="068D684B" w14:textId="77777777" w:rsidTr="00234709">
        <w:trPr>
          <w:trHeight w:val="20"/>
        </w:trPr>
        <w:tc>
          <w:tcPr>
            <w:tcW w:w="305" w:type="pct"/>
            <w:tcBorders>
              <w:top w:val="nil"/>
              <w:left w:val="single" w:sz="4" w:space="0" w:color="auto"/>
              <w:bottom w:val="nil"/>
              <w:right w:val="nil"/>
            </w:tcBorders>
            <w:noWrap/>
            <w:hideMark/>
          </w:tcPr>
          <w:p w14:paraId="4FA7502E" w14:textId="77777777" w:rsidR="0064066B" w:rsidRPr="00AC1668" w:rsidRDefault="0064066B" w:rsidP="00B76AD4">
            <w:pPr>
              <w:rPr>
                <w:color w:val="000000"/>
                <w:sz w:val="14"/>
                <w:szCs w:val="14"/>
              </w:rPr>
            </w:pPr>
            <w:r w:rsidRPr="00AC1668">
              <w:rPr>
                <w:color w:val="000000"/>
                <w:sz w:val="14"/>
                <w:szCs w:val="14"/>
              </w:rPr>
              <w:t>11.1</w:t>
            </w:r>
          </w:p>
        </w:tc>
        <w:tc>
          <w:tcPr>
            <w:tcW w:w="3045" w:type="pct"/>
            <w:tcBorders>
              <w:top w:val="nil"/>
              <w:left w:val="nil"/>
              <w:bottom w:val="nil"/>
              <w:right w:val="nil"/>
            </w:tcBorders>
            <w:hideMark/>
          </w:tcPr>
          <w:p w14:paraId="60BBDFDB" w14:textId="77777777" w:rsidR="0064066B" w:rsidRPr="00AC1668" w:rsidRDefault="0064066B" w:rsidP="00B76AD4">
            <w:pPr>
              <w:rPr>
                <w:color w:val="000000"/>
                <w:sz w:val="14"/>
                <w:szCs w:val="14"/>
              </w:rPr>
            </w:pPr>
            <w:r w:rsidRPr="00AC1668">
              <w:rPr>
                <w:color w:val="000000"/>
                <w:sz w:val="14"/>
                <w:szCs w:val="14"/>
              </w:rPr>
              <w:t xml:space="preserve">Satış Amaçlı </w:t>
            </w:r>
          </w:p>
        </w:tc>
        <w:tc>
          <w:tcPr>
            <w:tcW w:w="371" w:type="pct"/>
            <w:tcBorders>
              <w:top w:val="nil"/>
              <w:left w:val="single" w:sz="4" w:space="0" w:color="auto"/>
              <w:bottom w:val="nil"/>
              <w:right w:val="single" w:sz="4" w:space="0" w:color="auto"/>
            </w:tcBorders>
            <w:vAlign w:val="bottom"/>
            <w:hideMark/>
          </w:tcPr>
          <w:p w14:paraId="2287CB06" w14:textId="77777777" w:rsidR="0064066B" w:rsidRPr="00AC1668" w:rsidRDefault="0064066B" w:rsidP="00B76AD4">
            <w:pPr>
              <w:jc w:val="center"/>
              <w:rPr>
                <w:b/>
                <w:bCs/>
                <w:color w:val="000000"/>
                <w:sz w:val="14"/>
                <w:szCs w:val="14"/>
                <w:lang w:eastAsia="tr-TR"/>
              </w:rPr>
            </w:pPr>
            <w:r w:rsidRPr="00AC1668">
              <w:rPr>
                <w:b/>
                <w:bCs/>
                <w:color w:val="000000"/>
                <w:sz w:val="14"/>
                <w:szCs w:val="14"/>
              </w:rPr>
              <w:t> </w:t>
            </w:r>
          </w:p>
        </w:tc>
        <w:tc>
          <w:tcPr>
            <w:tcW w:w="405" w:type="pct"/>
            <w:tcBorders>
              <w:top w:val="nil"/>
              <w:left w:val="nil"/>
              <w:bottom w:val="nil"/>
              <w:right w:val="single" w:sz="4" w:space="0" w:color="auto"/>
            </w:tcBorders>
            <w:shd w:val="clear" w:color="000000" w:fill="FFFFFF"/>
            <w:vAlign w:val="bottom"/>
            <w:hideMark/>
          </w:tcPr>
          <w:p w14:paraId="5C0618ED" w14:textId="77777777" w:rsidR="0064066B" w:rsidRPr="00D275DF" w:rsidRDefault="0064066B" w:rsidP="00B76AD4">
            <w:pPr>
              <w:jc w:val="right"/>
              <w:rPr>
                <w:color w:val="000000"/>
                <w:sz w:val="14"/>
                <w:szCs w:val="14"/>
              </w:rPr>
            </w:pPr>
            <w:r w:rsidRPr="00D275DF">
              <w:rPr>
                <w:color w:val="000000"/>
                <w:sz w:val="14"/>
                <w:szCs w:val="14"/>
              </w:rPr>
              <w:t>-</w:t>
            </w:r>
          </w:p>
        </w:tc>
        <w:tc>
          <w:tcPr>
            <w:tcW w:w="397" w:type="pct"/>
            <w:tcBorders>
              <w:top w:val="nil"/>
              <w:left w:val="nil"/>
              <w:bottom w:val="nil"/>
              <w:right w:val="single" w:sz="4" w:space="0" w:color="auto"/>
            </w:tcBorders>
            <w:shd w:val="clear" w:color="000000" w:fill="FFFFFF"/>
            <w:vAlign w:val="bottom"/>
            <w:hideMark/>
          </w:tcPr>
          <w:p w14:paraId="70F727C4" w14:textId="77777777" w:rsidR="0064066B" w:rsidRPr="00D275DF" w:rsidRDefault="0064066B" w:rsidP="00B76AD4">
            <w:pPr>
              <w:jc w:val="right"/>
              <w:rPr>
                <w:color w:val="000000"/>
                <w:sz w:val="14"/>
                <w:szCs w:val="14"/>
              </w:rPr>
            </w:pPr>
            <w:r w:rsidRPr="00D275DF">
              <w:rPr>
                <w:color w:val="000000"/>
                <w:sz w:val="14"/>
                <w:szCs w:val="14"/>
              </w:rPr>
              <w:t>-</w:t>
            </w:r>
          </w:p>
        </w:tc>
        <w:tc>
          <w:tcPr>
            <w:tcW w:w="477" w:type="pct"/>
            <w:tcBorders>
              <w:top w:val="nil"/>
              <w:left w:val="nil"/>
              <w:bottom w:val="nil"/>
              <w:right w:val="single" w:sz="4" w:space="0" w:color="auto"/>
            </w:tcBorders>
            <w:shd w:val="clear" w:color="000000" w:fill="FFFFFF"/>
            <w:vAlign w:val="bottom"/>
            <w:hideMark/>
          </w:tcPr>
          <w:p w14:paraId="54BD8B14" w14:textId="77777777" w:rsidR="0064066B" w:rsidRPr="00D275DF" w:rsidRDefault="0064066B" w:rsidP="00B76AD4">
            <w:pPr>
              <w:jc w:val="right"/>
              <w:rPr>
                <w:color w:val="000000"/>
                <w:sz w:val="14"/>
                <w:szCs w:val="14"/>
              </w:rPr>
            </w:pPr>
            <w:r w:rsidRPr="00D275DF">
              <w:rPr>
                <w:color w:val="000000"/>
                <w:sz w:val="14"/>
                <w:szCs w:val="14"/>
              </w:rPr>
              <w:t>-</w:t>
            </w:r>
          </w:p>
        </w:tc>
      </w:tr>
      <w:tr w:rsidR="0064066B" w:rsidRPr="00AC1668" w14:paraId="39417591" w14:textId="77777777" w:rsidTr="00234709">
        <w:trPr>
          <w:trHeight w:val="20"/>
        </w:trPr>
        <w:tc>
          <w:tcPr>
            <w:tcW w:w="305" w:type="pct"/>
            <w:tcBorders>
              <w:top w:val="nil"/>
              <w:left w:val="single" w:sz="4" w:space="0" w:color="auto"/>
              <w:bottom w:val="nil"/>
              <w:right w:val="nil"/>
            </w:tcBorders>
            <w:noWrap/>
            <w:hideMark/>
          </w:tcPr>
          <w:p w14:paraId="79E6B98B" w14:textId="77777777" w:rsidR="0064066B" w:rsidRPr="00AC1668" w:rsidRDefault="0064066B" w:rsidP="00B76AD4">
            <w:pPr>
              <w:rPr>
                <w:color w:val="000000"/>
                <w:sz w:val="14"/>
                <w:szCs w:val="14"/>
              </w:rPr>
            </w:pPr>
            <w:r w:rsidRPr="00AC1668">
              <w:rPr>
                <w:color w:val="000000"/>
                <w:sz w:val="14"/>
                <w:szCs w:val="14"/>
              </w:rPr>
              <w:t>11.2</w:t>
            </w:r>
          </w:p>
        </w:tc>
        <w:tc>
          <w:tcPr>
            <w:tcW w:w="3045" w:type="pct"/>
            <w:tcBorders>
              <w:top w:val="nil"/>
              <w:left w:val="nil"/>
              <w:bottom w:val="nil"/>
              <w:right w:val="nil"/>
            </w:tcBorders>
            <w:hideMark/>
          </w:tcPr>
          <w:p w14:paraId="23690175" w14:textId="77777777" w:rsidR="0064066B" w:rsidRPr="00AC1668" w:rsidRDefault="0064066B" w:rsidP="00B76AD4">
            <w:pPr>
              <w:rPr>
                <w:color w:val="000000"/>
                <w:sz w:val="14"/>
                <w:szCs w:val="14"/>
              </w:rPr>
            </w:pPr>
            <w:r w:rsidRPr="00AC1668">
              <w:rPr>
                <w:color w:val="000000"/>
                <w:sz w:val="14"/>
                <w:szCs w:val="14"/>
              </w:rPr>
              <w:t>Durdurulan Faaliyetlere İlişkin</w:t>
            </w:r>
          </w:p>
        </w:tc>
        <w:tc>
          <w:tcPr>
            <w:tcW w:w="371" w:type="pct"/>
            <w:tcBorders>
              <w:top w:val="nil"/>
              <w:left w:val="single" w:sz="4" w:space="0" w:color="auto"/>
              <w:bottom w:val="nil"/>
              <w:right w:val="single" w:sz="4" w:space="0" w:color="auto"/>
            </w:tcBorders>
            <w:vAlign w:val="bottom"/>
            <w:hideMark/>
          </w:tcPr>
          <w:p w14:paraId="0E69B801" w14:textId="77777777" w:rsidR="0064066B" w:rsidRPr="00AC1668" w:rsidRDefault="0064066B" w:rsidP="00B76AD4">
            <w:pPr>
              <w:jc w:val="center"/>
              <w:rPr>
                <w:b/>
                <w:bCs/>
                <w:color w:val="000000"/>
                <w:sz w:val="14"/>
                <w:szCs w:val="14"/>
                <w:lang w:eastAsia="tr-TR"/>
              </w:rPr>
            </w:pPr>
            <w:r w:rsidRPr="00AC1668">
              <w:rPr>
                <w:b/>
                <w:bCs/>
                <w:color w:val="000000"/>
                <w:sz w:val="14"/>
                <w:szCs w:val="14"/>
              </w:rPr>
              <w:t> </w:t>
            </w:r>
          </w:p>
        </w:tc>
        <w:tc>
          <w:tcPr>
            <w:tcW w:w="405" w:type="pct"/>
            <w:tcBorders>
              <w:top w:val="nil"/>
              <w:left w:val="nil"/>
              <w:bottom w:val="nil"/>
              <w:right w:val="single" w:sz="4" w:space="0" w:color="auto"/>
            </w:tcBorders>
            <w:shd w:val="clear" w:color="000000" w:fill="FFFFFF"/>
            <w:vAlign w:val="bottom"/>
            <w:hideMark/>
          </w:tcPr>
          <w:p w14:paraId="3E137B88" w14:textId="77777777" w:rsidR="0064066B" w:rsidRPr="00D275DF" w:rsidRDefault="0064066B" w:rsidP="00B76AD4">
            <w:pPr>
              <w:jc w:val="right"/>
              <w:rPr>
                <w:color w:val="000000"/>
                <w:sz w:val="14"/>
                <w:szCs w:val="14"/>
              </w:rPr>
            </w:pPr>
            <w:r w:rsidRPr="00D275DF">
              <w:rPr>
                <w:color w:val="000000"/>
                <w:sz w:val="14"/>
                <w:szCs w:val="14"/>
              </w:rPr>
              <w:t>-</w:t>
            </w:r>
          </w:p>
        </w:tc>
        <w:tc>
          <w:tcPr>
            <w:tcW w:w="397" w:type="pct"/>
            <w:tcBorders>
              <w:top w:val="nil"/>
              <w:left w:val="nil"/>
              <w:bottom w:val="nil"/>
              <w:right w:val="single" w:sz="4" w:space="0" w:color="auto"/>
            </w:tcBorders>
            <w:shd w:val="clear" w:color="000000" w:fill="FFFFFF"/>
            <w:vAlign w:val="bottom"/>
            <w:hideMark/>
          </w:tcPr>
          <w:p w14:paraId="0C76DC63" w14:textId="77777777" w:rsidR="0064066B" w:rsidRPr="00D275DF" w:rsidRDefault="0064066B" w:rsidP="00B76AD4">
            <w:pPr>
              <w:jc w:val="right"/>
              <w:rPr>
                <w:color w:val="000000"/>
                <w:sz w:val="14"/>
                <w:szCs w:val="14"/>
              </w:rPr>
            </w:pPr>
            <w:r w:rsidRPr="00D275DF">
              <w:rPr>
                <w:color w:val="000000"/>
                <w:sz w:val="14"/>
                <w:szCs w:val="14"/>
              </w:rPr>
              <w:t>-</w:t>
            </w:r>
          </w:p>
        </w:tc>
        <w:tc>
          <w:tcPr>
            <w:tcW w:w="477" w:type="pct"/>
            <w:tcBorders>
              <w:top w:val="nil"/>
              <w:left w:val="nil"/>
              <w:bottom w:val="nil"/>
              <w:right w:val="single" w:sz="4" w:space="0" w:color="auto"/>
            </w:tcBorders>
            <w:shd w:val="clear" w:color="000000" w:fill="FFFFFF"/>
            <w:vAlign w:val="bottom"/>
            <w:hideMark/>
          </w:tcPr>
          <w:p w14:paraId="46F17C7C" w14:textId="77777777" w:rsidR="0064066B" w:rsidRPr="00D275DF" w:rsidRDefault="0064066B" w:rsidP="00B76AD4">
            <w:pPr>
              <w:jc w:val="right"/>
              <w:rPr>
                <w:color w:val="000000"/>
                <w:sz w:val="14"/>
                <w:szCs w:val="14"/>
              </w:rPr>
            </w:pPr>
            <w:r w:rsidRPr="00D275DF">
              <w:rPr>
                <w:color w:val="000000"/>
                <w:sz w:val="14"/>
                <w:szCs w:val="14"/>
              </w:rPr>
              <w:t>-</w:t>
            </w:r>
          </w:p>
        </w:tc>
      </w:tr>
      <w:tr w:rsidR="0064066B" w:rsidRPr="00AC1668" w14:paraId="634F52E0" w14:textId="77777777" w:rsidTr="00234709">
        <w:trPr>
          <w:trHeight w:val="20"/>
        </w:trPr>
        <w:tc>
          <w:tcPr>
            <w:tcW w:w="305" w:type="pct"/>
            <w:tcBorders>
              <w:top w:val="nil"/>
              <w:left w:val="single" w:sz="4" w:space="0" w:color="auto"/>
              <w:bottom w:val="nil"/>
              <w:right w:val="nil"/>
            </w:tcBorders>
            <w:noWrap/>
            <w:hideMark/>
          </w:tcPr>
          <w:p w14:paraId="1F481152" w14:textId="77777777" w:rsidR="0064066B" w:rsidRPr="00AC1668" w:rsidRDefault="0064066B" w:rsidP="00B76AD4">
            <w:pPr>
              <w:rPr>
                <w:b/>
                <w:bCs/>
                <w:color w:val="000000"/>
                <w:sz w:val="14"/>
                <w:szCs w:val="14"/>
              </w:rPr>
            </w:pPr>
            <w:r w:rsidRPr="00AC1668">
              <w:rPr>
                <w:b/>
                <w:bCs/>
                <w:color w:val="000000"/>
                <w:sz w:val="14"/>
                <w:szCs w:val="14"/>
              </w:rPr>
              <w:t>XII.</w:t>
            </w:r>
          </w:p>
        </w:tc>
        <w:tc>
          <w:tcPr>
            <w:tcW w:w="3045" w:type="pct"/>
            <w:tcBorders>
              <w:top w:val="nil"/>
              <w:left w:val="nil"/>
              <w:bottom w:val="nil"/>
              <w:right w:val="nil"/>
            </w:tcBorders>
            <w:hideMark/>
          </w:tcPr>
          <w:p w14:paraId="2ACD41DE" w14:textId="77777777" w:rsidR="0064066B" w:rsidRPr="00AC1668" w:rsidRDefault="0064066B" w:rsidP="00B76AD4">
            <w:pPr>
              <w:rPr>
                <w:b/>
                <w:bCs/>
                <w:color w:val="000000"/>
                <w:sz w:val="14"/>
                <w:szCs w:val="14"/>
              </w:rPr>
            </w:pPr>
            <w:r w:rsidRPr="00AC1668">
              <w:rPr>
                <w:b/>
                <w:bCs/>
                <w:color w:val="000000"/>
                <w:sz w:val="14"/>
                <w:szCs w:val="14"/>
              </w:rPr>
              <w:t>SERMAYE BENZERİ BORÇLANMA ARAÇLARI</w:t>
            </w:r>
          </w:p>
        </w:tc>
        <w:tc>
          <w:tcPr>
            <w:tcW w:w="371" w:type="pct"/>
            <w:tcBorders>
              <w:top w:val="nil"/>
              <w:left w:val="single" w:sz="4" w:space="0" w:color="auto"/>
              <w:bottom w:val="nil"/>
              <w:right w:val="single" w:sz="4" w:space="0" w:color="auto"/>
            </w:tcBorders>
            <w:vAlign w:val="bottom"/>
            <w:hideMark/>
          </w:tcPr>
          <w:p w14:paraId="1F64BBA4" w14:textId="0B8ADC2B" w:rsidR="0064066B" w:rsidRPr="00AC1668" w:rsidRDefault="0064066B" w:rsidP="00B76AD4">
            <w:pPr>
              <w:jc w:val="center"/>
              <w:rPr>
                <w:b/>
                <w:bCs/>
                <w:color w:val="000000"/>
                <w:sz w:val="14"/>
                <w:szCs w:val="14"/>
              </w:rPr>
            </w:pPr>
          </w:p>
        </w:tc>
        <w:tc>
          <w:tcPr>
            <w:tcW w:w="405" w:type="pct"/>
            <w:tcBorders>
              <w:top w:val="nil"/>
              <w:left w:val="nil"/>
              <w:bottom w:val="nil"/>
              <w:right w:val="single" w:sz="4" w:space="0" w:color="auto"/>
            </w:tcBorders>
            <w:shd w:val="clear" w:color="000000" w:fill="FFFFFF"/>
            <w:vAlign w:val="bottom"/>
            <w:hideMark/>
          </w:tcPr>
          <w:p w14:paraId="3C65395C" w14:textId="77777777" w:rsidR="0064066B" w:rsidRPr="00D275DF" w:rsidRDefault="0064066B" w:rsidP="00B76AD4">
            <w:pPr>
              <w:jc w:val="right"/>
              <w:rPr>
                <w:b/>
                <w:bCs/>
                <w:color w:val="000000"/>
                <w:sz w:val="14"/>
                <w:szCs w:val="14"/>
              </w:rPr>
            </w:pPr>
            <w:r w:rsidRPr="00D275DF">
              <w:rPr>
                <w:b/>
                <w:bCs/>
                <w:color w:val="000000"/>
                <w:sz w:val="14"/>
                <w:szCs w:val="14"/>
              </w:rPr>
              <w:t>-</w:t>
            </w:r>
          </w:p>
        </w:tc>
        <w:tc>
          <w:tcPr>
            <w:tcW w:w="397" w:type="pct"/>
            <w:tcBorders>
              <w:top w:val="nil"/>
              <w:left w:val="nil"/>
              <w:bottom w:val="nil"/>
              <w:right w:val="single" w:sz="4" w:space="0" w:color="auto"/>
            </w:tcBorders>
            <w:shd w:val="clear" w:color="000000" w:fill="FFFFFF"/>
            <w:vAlign w:val="bottom"/>
            <w:hideMark/>
          </w:tcPr>
          <w:p w14:paraId="1256436F" w14:textId="77777777" w:rsidR="0064066B" w:rsidRPr="00D275DF" w:rsidRDefault="0064066B" w:rsidP="00B76AD4">
            <w:pPr>
              <w:jc w:val="right"/>
              <w:rPr>
                <w:b/>
                <w:bCs/>
                <w:color w:val="000000"/>
                <w:sz w:val="14"/>
                <w:szCs w:val="14"/>
              </w:rPr>
            </w:pPr>
            <w:r w:rsidRPr="00D275DF">
              <w:rPr>
                <w:b/>
                <w:bCs/>
                <w:color w:val="000000"/>
                <w:sz w:val="14"/>
                <w:szCs w:val="14"/>
              </w:rPr>
              <w:t>-</w:t>
            </w:r>
          </w:p>
        </w:tc>
        <w:tc>
          <w:tcPr>
            <w:tcW w:w="477" w:type="pct"/>
            <w:tcBorders>
              <w:top w:val="nil"/>
              <w:left w:val="nil"/>
              <w:bottom w:val="nil"/>
              <w:right w:val="single" w:sz="4" w:space="0" w:color="auto"/>
            </w:tcBorders>
            <w:shd w:val="clear" w:color="000000" w:fill="FFFFFF"/>
            <w:vAlign w:val="bottom"/>
            <w:hideMark/>
          </w:tcPr>
          <w:p w14:paraId="1265B7F8" w14:textId="77777777" w:rsidR="0064066B" w:rsidRPr="00D275DF" w:rsidRDefault="0064066B" w:rsidP="00B76AD4">
            <w:pPr>
              <w:jc w:val="right"/>
              <w:rPr>
                <w:b/>
                <w:bCs/>
                <w:color w:val="000000"/>
                <w:sz w:val="14"/>
                <w:szCs w:val="14"/>
              </w:rPr>
            </w:pPr>
            <w:r w:rsidRPr="00D275DF">
              <w:rPr>
                <w:b/>
                <w:bCs/>
                <w:color w:val="000000"/>
                <w:sz w:val="14"/>
                <w:szCs w:val="14"/>
              </w:rPr>
              <w:t>-</w:t>
            </w:r>
          </w:p>
        </w:tc>
      </w:tr>
      <w:tr w:rsidR="0064066B" w:rsidRPr="00AC1668" w14:paraId="05C2752E" w14:textId="77777777" w:rsidTr="00234709">
        <w:trPr>
          <w:trHeight w:val="20"/>
        </w:trPr>
        <w:tc>
          <w:tcPr>
            <w:tcW w:w="305" w:type="pct"/>
            <w:tcBorders>
              <w:top w:val="nil"/>
              <w:left w:val="single" w:sz="4" w:space="0" w:color="auto"/>
              <w:bottom w:val="nil"/>
              <w:right w:val="nil"/>
            </w:tcBorders>
            <w:noWrap/>
            <w:hideMark/>
          </w:tcPr>
          <w:p w14:paraId="752B3489" w14:textId="77777777" w:rsidR="0064066B" w:rsidRPr="00AC1668" w:rsidRDefault="0064066B" w:rsidP="00B76AD4">
            <w:pPr>
              <w:rPr>
                <w:color w:val="000000"/>
                <w:sz w:val="14"/>
                <w:szCs w:val="14"/>
              </w:rPr>
            </w:pPr>
            <w:r w:rsidRPr="00AC1668">
              <w:rPr>
                <w:color w:val="000000"/>
                <w:sz w:val="14"/>
                <w:szCs w:val="14"/>
              </w:rPr>
              <w:t>12.1</w:t>
            </w:r>
          </w:p>
        </w:tc>
        <w:tc>
          <w:tcPr>
            <w:tcW w:w="3045" w:type="pct"/>
            <w:tcBorders>
              <w:top w:val="nil"/>
              <w:left w:val="nil"/>
              <w:bottom w:val="nil"/>
              <w:right w:val="nil"/>
            </w:tcBorders>
            <w:hideMark/>
          </w:tcPr>
          <w:p w14:paraId="158B71D2" w14:textId="77777777" w:rsidR="0064066B" w:rsidRPr="00AC1668" w:rsidRDefault="0064066B" w:rsidP="00B76AD4">
            <w:pPr>
              <w:rPr>
                <w:color w:val="000000"/>
                <w:sz w:val="14"/>
                <w:szCs w:val="14"/>
              </w:rPr>
            </w:pPr>
            <w:r w:rsidRPr="00AC1668">
              <w:rPr>
                <w:color w:val="000000"/>
                <w:sz w:val="14"/>
                <w:szCs w:val="14"/>
              </w:rPr>
              <w:t>Krediler</w:t>
            </w:r>
          </w:p>
        </w:tc>
        <w:tc>
          <w:tcPr>
            <w:tcW w:w="371" w:type="pct"/>
            <w:tcBorders>
              <w:top w:val="nil"/>
              <w:left w:val="single" w:sz="4" w:space="0" w:color="auto"/>
              <w:bottom w:val="nil"/>
              <w:right w:val="single" w:sz="4" w:space="0" w:color="auto"/>
            </w:tcBorders>
            <w:vAlign w:val="bottom"/>
            <w:hideMark/>
          </w:tcPr>
          <w:p w14:paraId="219A371E" w14:textId="77777777" w:rsidR="0064066B" w:rsidRPr="00AC1668" w:rsidRDefault="0064066B" w:rsidP="00B76AD4">
            <w:pPr>
              <w:jc w:val="center"/>
              <w:rPr>
                <w:color w:val="000000"/>
                <w:sz w:val="14"/>
                <w:szCs w:val="14"/>
                <w:lang w:eastAsia="tr-TR"/>
              </w:rPr>
            </w:pPr>
            <w:r w:rsidRPr="00AC1668">
              <w:rPr>
                <w:color w:val="000000"/>
                <w:sz w:val="14"/>
                <w:szCs w:val="14"/>
              </w:rPr>
              <w:t> </w:t>
            </w:r>
          </w:p>
        </w:tc>
        <w:tc>
          <w:tcPr>
            <w:tcW w:w="405" w:type="pct"/>
            <w:tcBorders>
              <w:top w:val="nil"/>
              <w:left w:val="nil"/>
              <w:bottom w:val="nil"/>
              <w:right w:val="single" w:sz="4" w:space="0" w:color="auto"/>
            </w:tcBorders>
            <w:shd w:val="clear" w:color="000000" w:fill="FFFFFF"/>
            <w:vAlign w:val="bottom"/>
            <w:hideMark/>
          </w:tcPr>
          <w:p w14:paraId="64C10098" w14:textId="77777777" w:rsidR="0064066B" w:rsidRPr="00D275DF" w:rsidRDefault="0064066B" w:rsidP="00B76AD4">
            <w:pPr>
              <w:jc w:val="right"/>
              <w:rPr>
                <w:color w:val="000000"/>
                <w:sz w:val="14"/>
                <w:szCs w:val="14"/>
              </w:rPr>
            </w:pPr>
            <w:r w:rsidRPr="00D275DF">
              <w:rPr>
                <w:color w:val="000000"/>
                <w:sz w:val="14"/>
                <w:szCs w:val="14"/>
              </w:rPr>
              <w:t>-</w:t>
            </w:r>
          </w:p>
        </w:tc>
        <w:tc>
          <w:tcPr>
            <w:tcW w:w="397" w:type="pct"/>
            <w:tcBorders>
              <w:top w:val="nil"/>
              <w:left w:val="nil"/>
              <w:bottom w:val="nil"/>
              <w:right w:val="single" w:sz="4" w:space="0" w:color="auto"/>
            </w:tcBorders>
            <w:shd w:val="clear" w:color="000000" w:fill="FFFFFF"/>
            <w:vAlign w:val="bottom"/>
            <w:hideMark/>
          </w:tcPr>
          <w:p w14:paraId="5B40B284" w14:textId="77777777" w:rsidR="0064066B" w:rsidRPr="00D275DF" w:rsidRDefault="0064066B" w:rsidP="00B76AD4">
            <w:pPr>
              <w:jc w:val="right"/>
              <w:rPr>
                <w:color w:val="000000"/>
                <w:sz w:val="14"/>
                <w:szCs w:val="14"/>
              </w:rPr>
            </w:pPr>
            <w:r w:rsidRPr="00D275DF">
              <w:rPr>
                <w:color w:val="000000"/>
                <w:sz w:val="14"/>
                <w:szCs w:val="14"/>
              </w:rPr>
              <w:t>-</w:t>
            </w:r>
          </w:p>
        </w:tc>
        <w:tc>
          <w:tcPr>
            <w:tcW w:w="477" w:type="pct"/>
            <w:tcBorders>
              <w:top w:val="nil"/>
              <w:left w:val="nil"/>
              <w:bottom w:val="nil"/>
              <w:right w:val="single" w:sz="4" w:space="0" w:color="auto"/>
            </w:tcBorders>
            <w:shd w:val="clear" w:color="000000" w:fill="FFFFFF"/>
            <w:vAlign w:val="bottom"/>
            <w:hideMark/>
          </w:tcPr>
          <w:p w14:paraId="5C0D4FFD" w14:textId="77777777" w:rsidR="0064066B" w:rsidRPr="00D275DF" w:rsidRDefault="0064066B" w:rsidP="00B76AD4">
            <w:pPr>
              <w:jc w:val="right"/>
              <w:rPr>
                <w:color w:val="000000"/>
                <w:sz w:val="14"/>
                <w:szCs w:val="14"/>
              </w:rPr>
            </w:pPr>
            <w:r w:rsidRPr="00D275DF">
              <w:rPr>
                <w:color w:val="000000"/>
                <w:sz w:val="14"/>
                <w:szCs w:val="14"/>
              </w:rPr>
              <w:t>-</w:t>
            </w:r>
          </w:p>
        </w:tc>
      </w:tr>
      <w:tr w:rsidR="0064066B" w:rsidRPr="00AC1668" w14:paraId="6BB47845" w14:textId="77777777" w:rsidTr="00234709">
        <w:trPr>
          <w:trHeight w:val="20"/>
        </w:trPr>
        <w:tc>
          <w:tcPr>
            <w:tcW w:w="305" w:type="pct"/>
            <w:tcBorders>
              <w:top w:val="nil"/>
              <w:left w:val="single" w:sz="4" w:space="0" w:color="auto"/>
              <w:bottom w:val="nil"/>
              <w:right w:val="nil"/>
            </w:tcBorders>
            <w:noWrap/>
            <w:hideMark/>
          </w:tcPr>
          <w:p w14:paraId="10161824" w14:textId="77777777" w:rsidR="0064066B" w:rsidRPr="00AC1668" w:rsidRDefault="0064066B" w:rsidP="00B76AD4">
            <w:pPr>
              <w:rPr>
                <w:color w:val="000000"/>
                <w:sz w:val="14"/>
                <w:szCs w:val="14"/>
              </w:rPr>
            </w:pPr>
            <w:r w:rsidRPr="00AC1668">
              <w:rPr>
                <w:color w:val="000000"/>
                <w:sz w:val="14"/>
                <w:szCs w:val="14"/>
              </w:rPr>
              <w:t>12.2</w:t>
            </w:r>
          </w:p>
        </w:tc>
        <w:tc>
          <w:tcPr>
            <w:tcW w:w="3045" w:type="pct"/>
            <w:tcBorders>
              <w:top w:val="nil"/>
              <w:left w:val="nil"/>
              <w:bottom w:val="nil"/>
              <w:right w:val="nil"/>
            </w:tcBorders>
            <w:hideMark/>
          </w:tcPr>
          <w:p w14:paraId="3AA8D9EC" w14:textId="77777777" w:rsidR="0064066B" w:rsidRPr="00AC1668" w:rsidRDefault="0064066B" w:rsidP="00B76AD4">
            <w:pPr>
              <w:rPr>
                <w:color w:val="000000"/>
                <w:sz w:val="14"/>
                <w:szCs w:val="14"/>
              </w:rPr>
            </w:pPr>
            <w:r w:rsidRPr="00AC1668">
              <w:rPr>
                <w:color w:val="000000"/>
                <w:sz w:val="14"/>
                <w:szCs w:val="14"/>
              </w:rPr>
              <w:t>Diğer Borçlanma Araçları</w:t>
            </w:r>
          </w:p>
        </w:tc>
        <w:tc>
          <w:tcPr>
            <w:tcW w:w="371" w:type="pct"/>
            <w:tcBorders>
              <w:top w:val="nil"/>
              <w:left w:val="single" w:sz="4" w:space="0" w:color="auto"/>
              <w:bottom w:val="nil"/>
              <w:right w:val="single" w:sz="4" w:space="0" w:color="auto"/>
            </w:tcBorders>
            <w:vAlign w:val="bottom"/>
            <w:hideMark/>
          </w:tcPr>
          <w:p w14:paraId="7ABCF917" w14:textId="77777777" w:rsidR="0064066B" w:rsidRPr="00AC1668" w:rsidRDefault="0064066B" w:rsidP="00B76AD4">
            <w:pPr>
              <w:jc w:val="center"/>
              <w:rPr>
                <w:color w:val="000000"/>
                <w:sz w:val="14"/>
                <w:szCs w:val="14"/>
                <w:lang w:eastAsia="tr-TR"/>
              </w:rPr>
            </w:pPr>
            <w:r w:rsidRPr="00AC1668">
              <w:rPr>
                <w:color w:val="000000"/>
                <w:sz w:val="14"/>
                <w:szCs w:val="14"/>
              </w:rPr>
              <w:t> </w:t>
            </w:r>
          </w:p>
        </w:tc>
        <w:tc>
          <w:tcPr>
            <w:tcW w:w="405" w:type="pct"/>
            <w:tcBorders>
              <w:top w:val="nil"/>
              <w:left w:val="nil"/>
              <w:bottom w:val="nil"/>
              <w:right w:val="single" w:sz="4" w:space="0" w:color="auto"/>
            </w:tcBorders>
            <w:shd w:val="clear" w:color="000000" w:fill="FFFFFF"/>
            <w:vAlign w:val="bottom"/>
            <w:hideMark/>
          </w:tcPr>
          <w:p w14:paraId="29CCCF8E" w14:textId="77777777" w:rsidR="0064066B" w:rsidRPr="00D275DF" w:rsidRDefault="0064066B" w:rsidP="00B76AD4">
            <w:pPr>
              <w:jc w:val="right"/>
              <w:rPr>
                <w:color w:val="000000"/>
                <w:sz w:val="14"/>
                <w:szCs w:val="14"/>
              </w:rPr>
            </w:pPr>
            <w:r w:rsidRPr="00D275DF">
              <w:rPr>
                <w:color w:val="000000"/>
                <w:sz w:val="14"/>
                <w:szCs w:val="14"/>
              </w:rPr>
              <w:t>-</w:t>
            </w:r>
          </w:p>
        </w:tc>
        <w:tc>
          <w:tcPr>
            <w:tcW w:w="397" w:type="pct"/>
            <w:tcBorders>
              <w:top w:val="nil"/>
              <w:left w:val="nil"/>
              <w:bottom w:val="nil"/>
              <w:right w:val="single" w:sz="4" w:space="0" w:color="auto"/>
            </w:tcBorders>
            <w:shd w:val="clear" w:color="000000" w:fill="FFFFFF"/>
            <w:vAlign w:val="bottom"/>
            <w:hideMark/>
          </w:tcPr>
          <w:p w14:paraId="314339D4" w14:textId="77777777" w:rsidR="0064066B" w:rsidRPr="00D275DF" w:rsidRDefault="0064066B" w:rsidP="00B76AD4">
            <w:pPr>
              <w:jc w:val="right"/>
              <w:rPr>
                <w:color w:val="000000"/>
                <w:sz w:val="14"/>
                <w:szCs w:val="14"/>
              </w:rPr>
            </w:pPr>
            <w:r w:rsidRPr="00D275DF">
              <w:rPr>
                <w:color w:val="000000"/>
                <w:sz w:val="14"/>
                <w:szCs w:val="14"/>
              </w:rPr>
              <w:t>-</w:t>
            </w:r>
          </w:p>
        </w:tc>
        <w:tc>
          <w:tcPr>
            <w:tcW w:w="477" w:type="pct"/>
            <w:tcBorders>
              <w:top w:val="nil"/>
              <w:left w:val="nil"/>
              <w:bottom w:val="nil"/>
              <w:right w:val="single" w:sz="4" w:space="0" w:color="auto"/>
            </w:tcBorders>
            <w:shd w:val="clear" w:color="000000" w:fill="FFFFFF"/>
            <w:vAlign w:val="bottom"/>
            <w:hideMark/>
          </w:tcPr>
          <w:p w14:paraId="7B0E392D" w14:textId="77777777" w:rsidR="0064066B" w:rsidRPr="00D275DF" w:rsidRDefault="0064066B" w:rsidP="00B76AD4">
            <w:pPr>
              <w:jc w:val="right"/>
              <w:rPr>
                <w:color w:val="000000"/>
                <w:sz w:val="14"/>
                <w:szCs w:val="14"/>
              </w:rPr>
            </w:pPr>
            <w:r w:rsidRPr="00D275DF">
              <w:rPr>
                <w:color w:val="000000"/>
                <w:sz w:val="14"/>
                <w:szCs w:val="14"/>
              </w:rPr>
              <w:t>-</w:t>
            </w:r>
          </w:p>
        </w:tc>
      </w:tr>
      <w:tr w:rsidR="0064066B" w:rsidRPr="00AC1668" w14:paraId="082B2FB7" w14:textId="77777777" w:rsidTr="00234709">
        <w:trPr>
          <w:trHeight w:val="20"/>
        </w:trPr>
        <w:tc>
          <w:tcPr>
            <w:tcW w:w="305" w:type="pct"/>
            <w:tcBorders>
              <w:top w:val="nil"/>
              <w:left w:val="single" w:sz="4" w:space="0" w:color="auto"/>
              <w:bottom w:val="nil"/>
              <w:right w:val="nil"/>
            </w:tcBorders>
            <w:noWrap/>
            <w:hideMark/>
          </w:tcPr>
          <w:p w14:paraId="0576D1E7" w14:textId="77777777" w:rsidR="0064066B" w:rsidRPr="00AC1668" w:rsidRDefault="0064066B" w:rsidP="00B76AD4">
            <w:pPr>
              <w:rPr>
                <w:b/>
                <w:bCs/>
                <w:color w:val="000000"/>
                <w:sz w:val="14"/>
                <w:szCs w:val="14"/>
              </w:rPr>
            </w:pPr>
            <w:r w:rsidRPr="00AC1668">
              <w:rPr>
                <w:b/>
                <w:bCs/>
                <w:color w:val="000000"/>
                <w:sz w:val="14"/>
                <w:szCs w:val="14"/>
              </w:rPr>
              <w:t>XIII.</w:t>
            </w:r>
          </w:p>
        </w:tc>
        <w:tc>
          <w:tcPr>
            <w:tcW w:w="3045" w:type="pct"/>
            <w:tcBorders>
              <w:top w:val="nil"/>
              <w:left w:val="nil"/>
              <w:bottom w:val="nil"/>
              <w:right w:val="nil"/>
            </w:tcBorders>
            <w:hideMark/>
          </w:tcPr>
          <w:p w14:paraId="3A5F2E82" w14:textId="77777777" w:rsidR="0064066B" w:rsidRPr="00AC1668" w:rsidRDefault="0064066B" w:rsidP="00B76AD4">
            <w:pPr>
              <w:rPr>
                <w:b/>
                <w:bCs/>
                <w:color w:val="000000"/>
                <w:sz w:val="14"/>
                <w:szCs w:val="14"/>
              </w:rPr>
            </w:pPr>
            <w:r w:rsidRPr="00AC1668">
              <w:rPr>
                <w:b/>
                <w:bCs/>
                <w:color w:val="000000"/>
                <w:sz w:val="14"/>
                <w:szCs w:val="14"/>
              </w:rPr>
              <w:t>DİĞER YÜKÜMLÜLÜKLER</w:t>
            </w:r>
          </w:p>
        </w:tc>
        <w:tc>
          <w:tcPr>
            <w:tcW w:w="371" w:type="pct"/>
            <w:tcBorders>
              <w:top w:val="nil"/>
              <w:left w:val="single" w:sz="4" w:space="0" w:color="auto"/>
              <w:bottom w:val="nil"/>
              <w:right w:val="single" w:sz="4" w:space="0" w:color="auto"/>
            </w:tcBorders>
            <w:vAlign w:val="bottom"/>
            <w:hideMark/>
          </w:tcPr>
          <w:p w14:paraId="708815C7" w14:textId="7F33C888" w:rsidR="0064066B" w:rsidRPr="00AC1668" w:rsidRDefault="0064066B" w:rsidP="00B76AD4">
            <w:pPr>
              <w:jc w:val="center"/>
              <w:rPr>
                <w:b/>
                <w:bCs/>
                <w:color w:val="000000"/>
                <w:sz w:val="14"/>
                <w:szCs w:val="14"/>
              </w:rPr>
            </w:pPr>
            <w:r w:rsidRPr="00AC1668">
              <w:rPr>
                <w:b/>
                <w:bCs/>
                <w:color w:val="000000"/>
                <w:sz w:val="14"/>
                <w:szCs w:val="14"/>
              </w:rPr>
              <w:t>(1</w:t>
            </w:r>
            <w:r w:rsidR="00F74751">
              <w:rPr>
                <w:b/>
                <w:bCs/>
                <w:color w:val="000000"/>
                <w:sz w:val="14"/>
                <w:szCs w:val="14"/>
              </w:rPr>
              <w:t>1</w:t>
            </w:r>
            <w:r w:rsidRPr="00AC1668">
              <w:rPr>
                <w:b/>
                <w:bCs/>
                <w:color w:val="000000"/>
                <w:sz w:val="14"/>
                <w:szCs w:val="14"/>
              </w:rPr>
              <w:t>)</w:t>
            </w:r>
          </w:p>
        </w:tc>
        <w:tc>
          <w:tcPr>
            <w:tcW w:w="405" w:type="pct"/>
            <w:tcBorders>
              <w:top w:val="nil"/>
              <w:left w:val="nil"/>
              <w:bottom w:val="nil"/>
              <w:right w:val="single" w:sz="4" w:space="0" w:color="auto"/>
            </w:tcBorders>
            <w:shd w:val="clear" w:color="000000" w:fill="FFFFFF"/>
            <w:vAlign w:val="bottom"/>
            <w:hideMark/>
          </w:tcPr>
          <w:p w14:paraId="6097E63B" w14:textId="77777777" w:rsidR="0064066B" w:rsidRPr="00D275DF" w:rsidRDefault="0064066B" w:rsidP="00B76AD4">
            <w:pPr>
              <w:jc w:val="right"/>
              <w:rPr>
                <w:b/>
                <w:bCs/>
                <w:color w:val="000000"/>
                <w:sz w:val="14"/>
                <w:szCs w:val="14"/>
              </w:rPr>
            </w:pPr>
            <w:r w:rsidRPr="00D275DF">
              <w:rPr>
                <w:b/>
                <w:bCs/>
                <w:color w:val="000000"/>
                <w:sz w:val="14"/>
                <w:szCs w:val="14"/>
              </w:rPr>
              <w:t>208.385</w:t>
            </w:r>
          </w:p>
        </w:tc>
        <w:tc>
          <w:tcPr>
            <w:tcW w:w="397" w:type="pct"/>
            <w:tcBorders>
              <w:top w:val="nil"/>
              <w:left w:val="nil"/>
              <w:bottom w:val="nil"/>
              <w:right w:val="single" w:sz="4" w:space="0" w:color="auto"/>
            </w:tcBorders>
            <w:shd w:val="clear" w:color="000000" w:fill="FFFFFF"/>
            <w:vAlign w:val="bottom"/>
            <w:hideMark/>
          </w:tcPr>
          <w:p w14:paraId="3E685F91" w14:textId="77777777" w:rsidR="0064066B" w:rsidRPr="00D275DF" w:rsidRDefault="0064066B" w:rsidP="00B76AD4">
            <w:pPr>
              <w:jc w:val="right"/>
              <w:rPr>
                <w:b/>
                <w:bCs/>
                <w:color w:val="000000"/>
                <w:sz w:val="14"/>
                <w:szCs w:val="14"/>
              </w:rPr>
            </w:pPr>
            <w:r w:rsidRPr="00D275DF">
              <w:rPr>
                <w:b/>
                <w:bCs/>
                <w:color w:val="000000"/>
                <w:sz w:val="14"/>
                <w:szCs w:val="14"/>
              </w:rPr>
              <w:t>14.254</w:t>
            </w:r>
          </w:p>
        </w:tc>
        <w:tc>
          <w:tcPr>
            <w:tcW w:w="477" w:type="pct"/>
            <w:tcBorders>
              <w:top w:val="nil"/>
              <w:left w:val="nil"/>
              <w:bottom w:val="nil"/>
              <w:right w:val="single" w:sz="4" w:space="0" w:color="auto"/>
            </w:tcBorders>
            <w:shd w:val="clear" w:color="000000" w:fill="FFFFFF"/>
            <w:vAlign w:val="bottom"/>
            <w:hideMark/>
          </w:tcPr>
          <w:p w14:paraId="45271A5D" w14:textId="77777777" w:rsidR="0064066B" w:rsidRPr="00D275DF" w:rsidRDefault="0064066B" w:rsidP="00B76AD4">
            <w:pPr>
              <w:jc w:val="right"/>
              <w:rPr>
                <w:b/>
                <w:bCs/>
                <w:color w:val="000000"/>
                <w:sz w:val="14"/>
                <w:szCs w:val="14"/>
              </w:rPr>
            </w:pPr>
            <w:r w:rsidRPr="00D275DF">
              <w:rPr>
                <w:b/>
                <w:bCs/>
                <w:color w:val="000000"/>
                <w:sz w:val="14"/>
                <w:szCs w:val="14"/>
              </w:rPr>
              <w:t>222.639</w:t>
            </w:r>
          </w:p>
        </w:tc>
      </w:tr>
      <w:tr w:rsidR="0064066B" w:rsidRPr="00AC1668" w14:paraId="4432B155" w14:textId="77777777" w:rsidTr="00234709">
        <w:trPr>
          <w:trHeight w:val="20"/>
        </w:trPr>
        <w:tc>
          <w:tcPr>
            <w:tcW w:w="305" w:type="pct"/>
            <w:tcBorders>
              <w:top w:val="nil"/>
              <w:left w:val="single" w:sz="4" w:space="0" w:color="auto"/>
              <w:bottom w:val="nil"/>
              <w:right w:val="nil"/>
            </w:tcBorders>
            <w:noWrap/>
            <w:hideMark/>
          </w:tcPr>
          <w:p w14:paraId="7BD22F5B" w14:textId="77777777" w:rsidR="0064066B" w:rsidRPr="00AC1668" w:rsidRDefault="0064066B" w:rsidP="00B76AD4">
            <w:pPr>
              <w:rPr>
                <w:b/>
                <w:bCs/>
                <w:color w:val="000000"/>
                <w:sz w:val="14"/>
                <w:szCs w:val="14"/>
              </w:rPr>
            </w:pPr>
            <w:r w:rsidRPr="00AC1668">
              <w:rPr>
                <w:b/>
                <w:bCs/>
                <w:color w:val="000000"/>
                <w:sz w:val="14"/>
                <w:szCs w:val="14"/>
              </w:rPr>
              <w:t>XIV.</w:t>
            </w:r>
          </w:p>
        </w:tc>
        <w:tc>
          <w:tcPr>
            <w:tcW w:w="3045" w:type="pct"/>
            <w:tcBorders>
              <w:top w:val="nil"/>
              <w:left w:val="nil"/>
              <w:bottom w:val="nil"/>
              <w:right w:val="nil"/>
            </w:tcBorders>
            <w:hideMark/>
          </w:tcPr>
          <w:p w14:paraId="496FB8E2" w14:textId="77777777" w:rsidR="0064066B" w:rsidRPr="00AC1668" w:rsidRDefault="0064066B" w:rsidP="00B76AD4">
            <w:pPr>
              <w:rPr>
                <w:b/>
                <w:bCs/>
                <w:color w:val="000000"/>
                <w:sz w:val="14"/>
                <w:szCs w:val="14"/>
              </w:rPr>
            </w:pPr>
            <w:r w:rsidRPr="00AC1668">
              <w:rPr>
                <w:b/>
                <w:bCs/>
                <w:color w:val="000000"/>
                <w:sz w:val="14"/>
                <w:szCs w:val="14"/>
              </w:rPr>
              <w:t>ÖZKAYNAKLAR</w:t>
            </w:r>
          </w:p>
        </w:tc>
        <w:tc>
          <w:tcPr>
            <w:tcW w:w="371" w:type="pct"/>
            <w:tcBorders>
              <w:top w:val="nil"/>
              <w:left w:val="single" w:sz="4" w:space="0" w:color="auto"/>
              <w:bottom w:val="nil"/>
              <w:right w:val="single" w:sz="4" w:space="0" w:color="auto"/>
            </w:tcBorders>
            <w:vAlign w:val="bottom"/>
            <w:hideMark/>
          </w:tcPr>
          <w:p w14:paraId="5E1495A2" w14:textId="3BE683D6" w:rsidR="0064066B" w:rsidRPr="00AC1668" w:rsidRDefault="0064066B" w:rsidP="00B76AD4">
            <w:pPr>
              <w:jc w:val="center"/>
              <w:rPr>
                <w:b/>
                <w:bCs/>
                <w:color w:val="000000"/>
                <w:sz w:val="14"/>
                <w:szCs w:val="14"/>
              </w:rPr>
            </w:pPr>
            <w:r w:rsidRPr="00AC1668">
              <w:rPr>
                <w:b/>
                <w:bCs/>
                <w:color w:val="000000"/>
                <w:sz w:val="14"/>
                <w:szCs w:val="14"/>
              </w:rPr>
              <w:t>(1</w:t>
            </w:r>
            <w:r w:rsidR="00F74751">
              <w:rPr>
                <w:b/>
                <w:bCs/>
                <w:color w:val="000000"/>
                <w:sz w:val="14"/>
                <w:szCs w:val="14"/>
              </w:rPr>
              <w:t>2</w:t>
            </w:r>
            <w:r w:rsidRPr="00AC1668">
              <w:rPr>
                <w:b/>
                <w:bCs/>
                <w:color w:val="000000"/>
                <w:sz w:val="14"/>
                <w:szCs w:val="14"/>
              </w:rPr>
              <w:t>)</w:t>
            </w:r>
          </w:p>
        </w:tc>
        <w:tc>
          <w:tcPr>
            <w:tcW w:w="405" w:type="pct"/>
            <w:tcBorders>
              <w:top w:val="nil"/>
              <w:left w:val="nil"/>
              <w:bottom w:val="nil"/>
              <w:right w:val="single" w:sz="4" w:space="0" w:color="auto"/>
            </w:tcBorders>
            <w:shd w:val="clear" w:color="000000" w:fill="FFFFFF"/>
            <w:vAlign w:val="bottom"/>
            <w:hideMark/>
          </w:tcPr>
          <w:p w14:paraId="3B67B97F" w14:textId="77777777" w:rsidR="0064066B" w:rsidRPr="00D275DF" w:rsidRDefault="0064066B" w:rsidP="00B76AD4">
            <w:pPr>
              <w:jc w:val="right"/>
              <w:rPr>
                <w:b/>
                <w:bCs/>
                <w:color w:val="000000"/>
                <w:sz w:val="14"/>
                <w:szCs w:val="14"/>
              </w:rPr>
            </w:pPr>
            <w:r w:rsidRPr="00D275DF">
              <w:rPr>
                <w:b/>
                <w:bCs/>
                <w:color w:val="000000"/>
                <w:sz w:val="14"/>
                <w:szCs w:val="14"/>
              </w:rPr>
              <w:t>7.342.090</w:t>
            </w:r>
          </w:p>
        </w:tc>
        <w:tc>
          <w:tcPr>
            <w:tcW w:w="397" w:type="pct"/>
            <w:tcBorders>
              <w:top w:val="nil"/>
              <w:left w:val="nil"/>
              <w:bottom w:val="nil"/>
              <w:right w:val="single" w:sz="4" w:space="0" w:color="auto"/>
            </w:tcBorders>
            <w:shd w:val="clear" w:color="000000" w:fill="FFFFFF"/>
            <w:vAlign w:val="bottom"/>
            <w:hideMark/>
          </w:tcPr>
          <w:p w14:paraId="15441003" w14:textId="77777777" w:rsidR="0064066B" w:rsidRPr="00D275DF" w:rsidRDefault="0064066B" w:rsidP="00B76AD4">
            <w:pPr>
              <w:jc w:val="right"/>
              <w:rPr>
                <w:b/>
                <w:bCs/>
                <w:color w:val="000000"/>
                <w:sz w:val="14"/>
                <w:szCs w:val="14"/>
              </w:rPr>
            </w:pPr>
            <w:r w:rsidRPr="00D275DF">
              <w:rPr>
                <w:b/>
                <w:bCs/>
                <w:color w:val="000000"/>
                <w:sz w:val="14"/>
                <w:szCs w:val="14"/>
              </w:rPr>
              <w:t>-</w:t>
            </w:r>
          </w:p>
        </w:tc>
        <w:tc>
          <w:tcPr>
            <w:tcW w:w="477" w:type="pct"/>
            <w:tcBorders>
              <w:top w:val="nil"/>
              <w:left w:val="nil"/>
              <w:bottom w:val="nil"/>
              <w:right w:val="single" w:sz="4" w:space="0" w:color="auto"/>
            </w:tcBorders>
            <w:shd w:val="clear" w:color="000000" w:fill="FFFFFF"/>
            <w:vAlign w:val="bottom"/>
            <w:hideMark/>
          </w:tcPr>
          <w:p w14:paraId="6F26F284" w14:textId="77777777" w:rsidR="0064066B" w:rsidRPr="00D275DF" w:rsidRDefault="0064066B" w:rsidP="00B76AD4">
            <w:pPr>
              <w:jc w:val="right"/>
              <w:rPr>
                <w:b/>
                <w:bCs/>
                <w:color w:val="000000"/>
                <w:sz w:val="14"/>
                <w:szCs w:val="14"/>
              </w:rPr>
            </w:pPr>
            <w:r w:rsidRPr="00D275DF">
              <w:rPr>
                <w:b/>
                <w:bCs/>
                <w:color w:val="000000"/>
                <w:sz w:val="14"/>
                <w:szCs w:val="14"/>
              </w:rPr>
              <w:t>7.342.090</w:t>
            </w:r>
          </w:p>
        </w:tc>
      </w:tr>
      <w:tr w:rsidR="0064066B" w:rsidRPr="00AC1668" w14:paraId="2515822D" w14:textId="77777777" w:rsidTr="00234709">
        <w:trPr>
          <w:trHeight w:val="20"/>
        </w:trPr>
        <w:tc>
          <w:tcPr>
            <w:tcW w:w="305" w:type="pct"/>
            <w:tcBorders>
              <w:top w:val="nil"/>
              <w:left w:val="single" w:sz="4" w:space="0" w:color="auto"/>
              <w:bottom w:val="nil"/>
              <w:right w:val="nil"/>
            </w:tcBorders>
            <w:noWrap/>
            <w:hideMark/>
          </w:tcPr>
          <w:p w14:paraId="67C9DBA0" w14:textId="77777777" w:rsidR="0064066B" w:rsidRPr="00AC1668" w:rsidRDefault="0064066B" w:rsidP="00B76AD4">
            <w:pPr>
              <w:rPr>
                <w:color w:val="000000"/>
                <w:sz w:val="14"/>
                <w:szCs w:val="14"/>
              </w:rPr>
            </w:pPr>
            <w:r w:rsidRPr="00AC1668">
              <w:rPr>
                <w:color w:val="000000"/>
                <w:sz w:val="14"/>
                <w:szCs w:val="14"/>
              </w:rPr>
              <w:t>14.1</w:t>
            </w:r>
          </w:p>
        </w:tc>
        <w:tc>
          <w:tcPr>
            <w:tcW w:w="3045" w:type="pct"/>
            <w:tcBorders>
              <w:top w:val="nil"/>
              <w:left w:val="nil"/>
              <w:bottom w:val="nil"/>
              <w:right w:val="nil"/>
            </w:tcBorders>
            <w:hideMark/>
          </w:tcPr>
          <w:p w14:paraId="45FB697C" w14:textId="77777777" w:rsidR="0064066B" w:rsidRPr="00AC1668" w:rsidRDefault="0064066B" w:rsidP="00B76AD4">
            <w:pPr>
              <w:rPr>
                <w:color w:val="000000"/>
                <w:sz w:val="14"/>
                <w:szCs w:val="14"/>
              </w:rPr>
            </w:pPr>
            <w:r w:rsidRPr="00AC1668">
              <w:rPr>
                <w:color w:val="000000"/>
                <w:sz w:val="14"/>
                <w:szCs w:val="14"/>
              </w:rPr>
              <w:t>Ödenmiş Sermaye</w:t>
            </w:r>
          </w:p>
        </w:tc>
        <w:tc>
          <w:tcPr>
            <w:tcW w:w="371" w:type="pct"/>
            <w:tcBorders>
              <w:top w:val="nil"/>
              <w:left w:val="single" w:sz="4" w:space="0" w:color="auto"/>
              <w:bottom w:val="nil"/>
              <w:right w:val="single" w:sz="4" w:space="0" w:color="auto"/>
            </w:tcBorders>
            <w:vAlign w:val="bottom"/>
            <w:hideMark/>
          </w:tcPr>
          <w:p w14:paraId="590A8426" w14:textId="77777777" w:rsidR="0064066B" w:rsidRPr="00AC1668" w:rsidRDefault="0064066B" w:rsidP="00B76AD4">
            <w:pPr>
              <w:jc w:val="center"/>
              <w:rPr>
                <w:color w:val="000000"/>
                <w:sz w:val="14"/>
                <w:szCs w:val="14"/>
                <w:lang w:eastAsia="tr-TR"/>
              </w:rPr>
            </w:pPr>
            <w:r w:rsidRPr="00AC1668">
              <w:rPr>
                <w:color w:val="000000"/>
                <w:sz w:val="14"/>
                <w:szCs w:val="14"/>
              </w:rPr>
              <w:t> </w:t>
            </w:r>
          </w:p>
        </w:tc>
        <w:tc>
          <w:tcPr>
            <w:tcW w:w="405" w:type="pct"/>
            <w:tcBorders>
              <w:top w:val="nil"/>
              <w:left w:val="nil"/>
              <w:bottom w:val="nil"/>
              <w:right w:val="single" w:sz="4" w:space="0" w:color="auto"/>
            </w:tcBorders>
            <w:shd w:val="clear" w:color="000000" w:fill="FFFFFF"/>
            <w:vAlign w:val="bottom"/>
            <w:hideMark/>
          </w:tcPr>
          <w:p w14:paraId="5966B488" w14:textId="77777777" w:rsidR="0064066B" w:rsidRPr="00D275DF" w:rsidRDefault="0064066B" w:rsidP="00B76AD4">
            <w:pPr>
              <w:jc w:val="right"/>
              <w:rPr>
                <w:color w:val="000000"/>
                <w:sz w:val="14"/>
                <w:szCs w:val="14"/>
              </w:rPr>
            </w:pPr>
            <w:r w:rsidRPr="00D275DF">
              <w:rPr>
                <w:color w:val="000000"/>
                <w:sz w:val="14"/>
                <w:szCs w:val="14"/>
              </w:rPr>
              <w:t>5.999.337</w:t>
            </w:r>
          </w:p>
        </w:tc>
        <w:tc>
          <w:tcPr>
            <w:tcW w:w="397" w:type="pct"/>
            <w:tcBorders>
              <w:top w:val="nil"/>
              <w:left w:val="nil"/>
              <w:bottom w:val="nil"/>
              <w:right w:val="single" w:sz="4" w:space="0" w:color="auto"/>
            </w:tcBorders>
            <w:shd w:val="clear" w:color="000000" w:fill="FFFFFF"/>
            <w:vAlign w:val="bottom"/>
            <w:hideMark/>
          </w:tcPr>
          <w:p w14:paraId="5428AFCE" w14:textId="77777777" w:rsidR="0064066B" w:rsidRPr="00D275DF" w:rsidRDefault="0064066B" w:rsidP="00B76AD4">
            <w:pPr>
              <w:jc w:val="right"/>
              <w:rPr>
                <w:color w:val="000000"/>
                <w:sz w:val="14"/>
                <w:szCs w:val="14"/>
              </w:rPr>
            </w:pPr>
            <w:r w:rsidRPr="00D275DF">
              <w:rPr>
                <w:color w:val="000000"/>
                <w:sz w:val="14"/>
                <w:szCs w:val="14"/>
              </w:rPr>
              <w:t>-</w:t>
            </w:r>
          </w:p>
        </w:tc>
        <w:tc>
          <w:tcPr>
            <w:tcW w:w="477" w:type="pct"/>
            <w:tcBorders>
              <w:top w:val="nil"/>
              <w:left w:val="nil"/>
              <w:bottom w:val="nil"/>
              <w:right w:val="single" w:sz="4" w:space="0" w:color="auto"/>
            </w:tcBorders>
            <w:shd w:val="clear" w:color="000000" w:fill="FFFFFF"/>
            <w:vAlign w:val="bottom"/>
            <w:hideMark/>
          </w:tcPr>
          <w:p w14:paraId="37ED48FA" w14:textId="77777777" w:rsidR="0064066B" w:rsidRPr="00D275DF" w:rsidRDefault="0064066B" w:rsidP="00B76AD4">
            <w:pPr>
              <w:jc w:val="right"/>
              <w:rPr>
                <w:color w:val="000000"/>
                <w:sz w:val="14"/>
                <w:szCs w:val="14"/>
              </w:rPr>
            </w:pPr>
            <w:r w:rsidRPr="00D275DF">
              <w:rPr>
                <w:color w:val="000000"/>
                <w:sz w:val="14"/>
                <w:szCs w:val="14"/>
              </w:rPr>
              <w:t>5.999.337</w:t>
            </w:r>
          </w:p>
        </w:tc>
      </w:tr>
      <w:tr w:rsidR="0064066B" w:rsidRPr="00AC1668" w14:paraId="59CB5AEF" w14:textId="77777777" w:rsidTr="00234709">
        <w:trPr>
          <w:trHeight w:val="20"/>
        </w:trPr>
        <w:tc>
          <w:tcPr>
            <w:tcW w:w="305" w:type="pct"/>
            <w:tcBorders>
              <w:top w:val="nil"/>
              <w:left w:val="single" w:sz="4" w:space="0" w:color="auto"/>
              <w:bottom w:val="nil"/>
              <w:right w:val="nil"/>
            </w:tcBorders>
            <w:noWrap/>
            <w:hideMark/>
          </w:tcPr>
          <w:p w14:paraId="452FCCA4" w14:textId="77777777" w:rsidR="0064066B" w:rsidRPr="00AC1668" w:rsidRDefault="0064066B" w:rsidP="00B76AD4">
            <w:pPr>
              <w:rPr>
                <w:color w:val="000000"/>
                <w:sz w:val="14"/>
                <w:szCs w:val="14"/>
              </w:rPr>
            </w:pPr>
            <w:r w:rsidRPr="00AC1668">
              <w:rPr>
                <w:color w:val="000000"/>
                <w:sz w:val="14"/>
                <w:szCs w:val="14"/>
              </w:rPr>
              <w:t>14.2</w:t>
            </w:r>
          </w:p>
        </w:tc>
        <w:tc>
          <w:tcPr>
            <w:tcW w:w="3045" w:type="pct"/>
            <w:tcBorders>
              <w:top w:val="nil"/>
              <w:left w:val="nil"/>
              <w:bottom w:val="nil"/>
              <w:right w:val="nil"/>
            </w:tcBorders>
            <w:hideMark/>
          </w:tcPr>
          <w:p w14:paraId="55CA96AE" w14:textId="77777777" w:rsidR="0064066B" w:rsidRPr="00AC1668" w:rsidRDefault="0064066B" w:rsidP="00B76AD4">
            <w:pPr>
              <w:rPr>
                <w:color w:val="000000"/>
                <w:sz w:val="14"/>
                <w:szCs w:val="14"/>
              </w:rPr>
            </w:pPr>
            <w:r w:rsidRPr="00AC1668">
              <w:rPr>
                <w:color w:val="000000"/>
                <w:sz w:val="14"/>
                <w:szCs w:val="14"/>
              </w:rPr>
              <w:t>Sermaye Yedekleri</w:t>
            </w:r>
          </w:p>
        </w:tc>
        <w:tc>
          <w:tcPr>
            <w:tcW w:w="371" w:type="pct"/>
            <w:tcBorders>
              <w:top w:val="nil"/>
              <w:left w:val="single" w:sz="4" w:space="0" w:color="auto"/>
              <w:bottom w:val="nil"/>
              <w:right w:val="single" w:sz="4" w:space="0" w:color="auto"/>
            </w:tcBorders>
            <w:vAlign w:val="bottom"/>
            <w:hideMark/>
          </w:tcPr>
          <w:p w14:paraId="580368A7" w14:textId="77777777" w:rsidR="0064066B" w:rsidRPr="00AC1668" w:rsidRDefault="0064066B" w:rsidP="00B76AD4">
            <w:pPr>
              <w:jc w:val="center"/>
              <w:rPr>
                <w:color w:val="000000"/>
                <w:sz w:val="14"/>
                <w:szCs w:val="14"/>
                <w:lang w:eastAsia="tr-TR"/>
              </w:rPr>
            </w:pPr>
            <w:r w:rsidRPr="00AC1668">
              <w:rPr>
                <w:color w:val="000000"/>
                <w:sz w:val="14"/>
                <w:szCs w:val="14"/>
              </w:rPr>
              <w:t> </w:t>
            </w:r>
          </w:p>
        </w:tc>
        <w:tc>
          <w:tcPr>
            <w:tcW w:w="405" w:type="pct"/>
            <w:tcBorders>
              <w:top w:val="nil"/>
              <w:left w:val="nil"/>
              <w:bottom w:val="nil"/>
              <w:right w:val="single" w:sz="4" w:space="0" w:color="auto"/>
            </w:tcBorders>
            <w:shd w:val="clear" w:color="000000" w:fill="FFFFFF"/>
            <w:vAlign w:val="bottom"/>
            <w:hideMark/>
          </w:tcPr>
          <w:p w14:paraId="27360381" w14:textId="77777777" w:rsidR="0064066B" w:rsidRPr="00D275DF" w:rsidRDefault="0064066B" w:rsidP="00B76AD4">
            <w:pPr>
              <w:jc w:val="right"/>
              <w:rPr>
                <w:color w:val="000000"/>
                <w:sz w:val="14"/>
                <w:szCs w:val="14"/>
              </w:rPr>
            </w:pPr>
            <w:r w:rsidRPr="00D275DF">
              <w:rPr>
                <w:color w:val="000000"/>
                <w:sz w:val="14"/>
                <w:szCs w:val="14"/>
              </w:rPr>
              <w:t>-</w:t>
            </w:r>
          </w:p>
        </w:tc>
        <w:tc>
          <w:tcPr>
            <w:tcW w:w="397" w:type="pct"/>
            <w:tcBorders>
              <w:top w:val="nil"/>
              <w:left w:val="nil"/>
              <w:bottom w:val="nil"/>
              <w:right w:val="single" w:sz="4" w:space="0" w:color="auto"/>
            </w:tcBorders>
            <w:shd w:val="clear" w:color="000000" w:fill="FFFFFF"/>
            <w:vAlign w:val="bottom"/>
            <w:hideMark/>
          </w:tcPr>
          <w:p w14:paraId="5E313F08" w14:textId="77777777" w:rsidR="0064066B" w:rsidRPr="00D275DF" w:rsidRDefault="0064066B" w:rsidP="00B76AD4">
            <w:pPr>
              <w:jc w:val="right"/>
              <w:rPr>
                <w:color w:val="000000"/>
                <w:sz w:val="14"/>
                <w:szCs w:val="14"/>
              </w:rPr>
            </w:pPr>
            <w:r w:rsidRPr="00D275DF">
              <w:rPr>
                <w:color w:val="000000"/>
                <w:sz w:val="14"/>
                <w:szCs w:val="14"/>
              </w:rPr>
              <w:t>-</w:t>
            </w:r>
          </w:p>
        </w:tc>
        <w:tc>
          <w:tcPr>
            <w:tcW w:w="477" w:type="pct"/>
            <w:tcBorders>
              <w:top w:val="nil"/>
              <w:left w:val="nil"/>
              <w:bottom w:val="nil"/>
              <w:right w:val="single" w:sz="4" w:space="0" w:color="auto"/>
            </w:tcBorders>
            <w:shd w:val="clear" w:color="000000" w:fill="FFFFFF"/>
            <w:vAlign w:val="bottom"/>
            <w:hideMark/>
          </w:tcPr>
          <w:p w14:paraId="224C0793" w14:textId="77777777" w:rsidR="0064066B" w:rsidRPr="00D275DF" w:rsidRDefault="0064066B" w:rsidP="00B76AD4">
            <w:pPr>
              <w:jc w:val="right"/>
              <w:rPr>
                <w:color w:val="000000"/>
                <w:sz w:val="14"/>
                <w:szCs w:val="14"/>
              </w:rPr>
            </w:pPr>
            <w:r w:rsidRPr="00D275DF">
              <w:rPr>
                <w:color w:val="000000"/>
                <w:sz w:val="14"/>
                <w:szCs w:val="14"/>
              </w:rPr>
              <w:t>-</w:t>
            </w:r>
          </w:p>
        </w:tc>
      </w:tr>
      <w:tr w:rsidR="0064066B" w:rsidRPr="00AC1668" w14:paraId="7B60FA00" w14:textId="77777777" w:rsidTr="00234709">
        <w:trPr>
          <w:trHeight w:val="20"/>
        </w:trPr>
        <w:tc>
          <w:tcPr>
            <w:tcW w:w="305" w:type="pct"/>
            <w:tcBorders>
              <w:top w:val="nil"/>
              <w:left w:val="single" w:sz="4" w:space="0" w:color="auto"/>
              <w:bottom w:val="nil"/>
              <w:right w:val="nil"/>
            </w:tcBorders>
            <w:noWrap/>
            <w:hideMark/>
          </w:tcPr>
          <w:p w14:paraId="696C5611" w14:textId="77777777" w:rsidR="0064066B" w:rsidRPr="00AC1668" w:rsidRDefault="0064066B" w:rsidP="00B76AD4">
            <w:pPr>
              <w:rPr>
                <w:color w:val="000000"/>
                <w:sz w:val="14"/>
                <w:szCs w:val="14"/>
              </w:rPr>
            </w:pPr>
            <w:r w:rsidRPr="00AC1668">
              <w:rPr>
                <w:color w:val="000000"/>
                <w:sz w:val="14"/>
                <w:szCs w:val="14"/>
              </w:rPr>
              <w:t>14.2.1</w:t>
            </w:r>
          </w:p>
        </w:tc>
        <w:tc>
          <w:tcPr>
            <w:tcW w:w="3045" w:type="pct"/>
            <w:tcBorders>
              <w:top w:val="nil"/>
              <w:left w:val="nil"/>
              <w:bottom w:val="nil"/>
              <w:right w:val="nil"/>
            </w:tcBorders>
            <w:hideMark/>
          </w:tcPr>
          <w:p w14:paraId="7C2EC2CF" w14:textId="77777777" w:rsidR="0064066B" w:rsidRPr="00AC1668" w:rsidRDefault="0064066B" w:rsidP="00B76AD4">
            <w:pPr>
              <w:rPr>
                <w:color w:val="000000"/>
                <w:sz w:val="14"/>
                <w:szCs w:val="14"/>
              </w:rPr>
            </w:pPr>
            <w:r w:rsidRPr="00AC1668">
              <w:rPr>
                <w:color w:val="000000"/>
                <w:sz w:val="14"/>
                <w:szCs w:val="14"/>
              </w:rPr>
              <w:t>Hisse Senedi İhraç Primleri</w:t>
            </w:r>
          </w:p>
        </w:tc>
        <w:tc>
          <w:tcPr>
            <w:tcW w:w="371" w:type="pct"/>
            <w:tcBorders>
              <w:top w:val="nil"/>
              <w:left w:val="single" w:sz="4" w:space="0" w:color="auto"/>
              <w:bottom w:val="nil"/>
              <w:right w:val="single" w:sz="4" w:space="0" w:color="auto"/>
            </w:tcBorders>
            <w:vAlign w:val="bottom"/>
            <w:hideMark/>
          </w:tcPr>
          <w:p w14:paraId="28F469F9" w14:textId="77777777" w:rsidR="0064066B" w:rsidRPr="00AC1668" w:rsidRDefault="0064066B" w:rsidP="00B76AD4">
            <w:pPr>
              <w:jc w:val="center"/>
              <w:rPr>
                <w:color w:val="000000"/>
                <w:sz w:val="14"/>
                <w:szCs w:val="14"/>
                <w:lang w:eastAsia="tr-TR"/>
              </w:rPr>
            </w:pPr>
            <w:r w:rsidRPr="00AC1668">
              <w:rPr>
                <w:color w:val="000000"/>
                <w:sz w:val="14"/>
                <w:szCs w:val="14"/>
              </w:rPr>
              <w:t> </w:t>
            </w:r>
          </w:p>
        </w:tc>
        <w:tc>
          <w:tcPr>
            <w:tcW w:w="405" w:type="pct"/>
            <w:tcBorders>
              <w:top w:val="nil"/>
              <w:left w:val="nil"/>
              <w:bottom w:val="nil"/>
              <w:right w:val="single" w:sz="4" w:space="0" w:color="auto"/>
            </w:tcBorders>
            <w:shd w:val="clear" w:color="000000" w:fill="FFFFFF"/>
            <w:vAlign w:val="bottom"/>
            <w:hideMark/>
          </w:tcPr>
          <w:p w14:paraId="532E7775" w14:textId="77777777" w:rsidR="0064066B" w:rsidRPr="00D275DF" w:rsidRDefault="0064066B" w:rsidP="00B76AD4">
            <w:pPr>
              <w:jc w:val="right"/>
              <w:rPr>
                <w:color w:val="000000"/>
                <w:sz w:val="14"/>
                <w:szCs w:val="14"/>
              </w:rPr>
            </w:pPr>
            <w:r w:rsidRPr="00D275DF">
              <w:rPr>
                <w:color w:val="000000"/>
                <w:sz w:val="14"/>
                <w:szCs w:val="14"/>
              </w:rPr>
              <w:t>-</w:t>
            </w:r>
          </w:p>
        </w:tc>
        <w:tc>
          <w:tcPr>
            <w:tcW w:w="397" w:type="pct"/>
            <w:tcBorders>
              <w:top w:val="nil"/>
              <w:left w:val="nil"/>
              <w:bottom w:val="nil"/>
              <w:right w:val="single" w:sz="4" w:space="0" w:color="auto"/>
            </w:tcBorders>
            <w:shd w:val="clear" w:color="000000" w:fill="FFFFFF"/>
            <w:vAlign w:val="bottom"/>
            <w:hideMark/>
          </w:tcPr>
          <w:p w14:paraId="38A9A37D" w14:textId="77777777" w:rsidR="0064066B" w:rsidRPr="00D275DF" w:rsidRDefault="0064066B" w:rsidP="00B76AD4">
            <w:pPr>
              <w:jc w:val="right"/>
              <w:rPr>
                <w:color w:val="000000"/>
                <w:sz w:val="14"/>
                <w:szCs w:val="14"/>
              </w:rPr>
            </w:pPr>
            <w:r w:rsidRPr="00D275DF">
              <w:rPr>
                <w:color w:val="000000"/>
                <w:sz w:val="14"/>
                <w:szCs w:val="14"/>
              </w:rPr>
              <w:t>-</w:t>
            </w:r>
          </w:p>
        </w:tc>
        <w:tc>
          <w:tcPr>
            <w:tcW w:w="477" w:type="pct"/>
            <w:tcBorders>
              <w:top w:val="nil"/>
              <w:left w:val="nil"/>
              <w:bottom w:val="nil"/>
              <w:right w:val="single" w:sz="4" w:space="0" w:color="auto"/>
            </w:tcBorders>
            <w:shd w:val="clear" w:color="000000" w:fill="FFFFFF"/>
            <w:vAlign w:val="bottom"/>
            <w:hideMark/>
          </w:tcPr>
          <w:p w14:paraId="5EF1C009" w14:textId="77777777" w:rsidR="0064066B" w:rsidRPr="00D275DF" w:rsidRDefault="0064066B" w:rsidP="00B76AD4">
            <w:pPr>
              <w:jc w:val="right"/>
              <w:rPr>
                <w:color w:val="000000"/>
                <w:sz w:val="14"/>
                <w:szCs w:val="14"/>
              </w:rPr>
            </w:pPr>
            <w:r w:rsidRPr="00D275DF">
              <w:rPr>
                <w:color w:val="000000"/>
                <w:sz w:val="14"/>
                <w:szCs w:val="14"/>
              </w:rPr>
              <w:t>-</w:t>
            </w:r>
          </w:p>
        </w:tc>
      </w:tr>
      <w:tr w:rsidR="0064066B" w:rsidRPr="00AC1668" w14:paraId="21FB3D6E" w14:textId="77777777" w:rsidTr="00234709">
        <w:trPr>
          <w:trHeight w:val="20"/>
        </w:trPr>
        <w:tc>
          <w:tcPr>
            <w:tcW w:w="305" w:type="pct"/>
            <w:tcBorders>
              <w:top w:val="nil"/>
              <w:left w:val="single" w:sz="4" w:space="0" w:color="auto"/>
              <w:bottom w:val="nil"/>
              <w:right w:val="nil"/>
            </w:tcBorders>
            <w:noWrap/>
            <w:hideMark/>
          </w:tcPr>
          <w:p w14:paraId="5263BEF2" w14:textId="77777777" w:rsidR="0064066B" w:rsidRPr="00AC1668" w:rsidRDefault="0064066B" w:rsidP="00B76AD4">
            <w:pPr>
              <w:rPr>
                <w:color w:val="000000"/>
                <w:sz w:val="14"/>
                <w:szCs w:val="14"/>
              </w:rPr>
            </w:pPr>
            <w:r w:rsidRPr="00AC1668">
              <w:rPr>
                <w:color w:val="000000"/>
                <w:sz w:val="14"/>
                <w:szCs w:val="14"/>
              </w:rPr>
              <w:t>14.2.2</w:t>
            </w:r>
          </w:p>
        </w:tc>
        <w:tc>
          <w:tcPr>
            <w:tcW w:w="3045" w:type="pct"/>
            <w:tcBorders>
              <w:top w:val="nil"/>
              <w:left w:val="nil"/>
              <w:bottom w:val="nil"/>
              <w:right w:val="nil"/>
            </w:tcBorders>
            <w:hideMark/>
          </w:tcPr>
          <w:p w14:paraId="57A127F3" w14:textId="77777777" w:rsidR="0064066B" w:rsidRPr="00AC1668" w:rsidRDefault="0064066B" w:rsidP="00B76AD4">
            <w:pPr>
              <w:rPr>
                <w:color w:val="000000"/>
                <w:sz w:val="14"/>
                <w:szCs w:val="14"/>
              </w:rPr>
            </w:pPr>
            <w:r w:rsidRPr="00AC1668">
              <w:rPr>
                <w:color w:val="000000"/>
                <w:sz w:val="14"/>
                <w:szCs w:val="14"/>
              </w:rPr>
              <w:t>Hisse Senedi İptal Kârları</w:t>
            </w:r>
          </w:p>
        </w:tc>
        <w:tc>
          <w:tcPr>
            <w:tcW w:w="371" w:type="pct"/>
            <w:tcBorders>
              <w:top w:val="nil"/>
              <w:left w:val="single" w:sz="4" w:space="0" w:color="auto"/>
              <w:bottom w:val="nil"/>
              <w:right w:val="single" w:sz="4" w:space="0" w:color="auto"/>
            </w:tcBorders>
            <w:vAlign w:val="bottom"/>
            <w:hideMark/>
          </w:tcPr>
          <w:p w14:paraId="5C866D8B" w14:textId="77777777" w:rsidR="0064066B" w:rsidRPr="00AC1668" w:rsidRDefault="0064066B" w:rsidP="00B76AD4">
            <w:pPr>
              <w:jc w:val="center"/>
              <w:rPr>
                <w:color w:val="000000"/>
                <w:sz w:val="14"/>
                <w:szCs w:val="14"/>
                <w:lang w:eastAsia="tr-TR"/>
              </w:rPr>
            </w:pPr>
            <w:r w:rsidRPr="00AC1668">
              <w:rPr>
                <w:color w:val="000000"/>
                <w:sz w:val="14"/>
                <w:szCs w:val="14"/>
              </w:rPr>
              <w:t> </w:t>
            </w:r>
          </w:p>
        </w:tc>
        <w:tc>
          <w:tcPr>
            <w:tcW w:w="405" w:type="pct"/>
            <w:tcBorders>
              <w:top w:val="nil"/>
              <w:left w:val="nil"/>
              <w:bottom w:val="nil"/>
              <w:right w:val="single" w:sz="4" w:space="0" w:color="auto"/>
            </w:tcBorders>
            <w:shd w:val="clear" w:color="000000" w:fill="FFFFFF"/>
            <w:vAlign w:val="bottom"/>
            <w:hideMark/>
          </w:tcPr>
          <w:p w14:paraId="78586D70" w14:textId="77777777" w:rsidR="0064066B" w:rsidRPr="00D275DF" w:rsidRDefault="0064066B" w:rsidP="00B76AD4">
            <w:pPr>
              <w:jc w:val="right"/>
              <w:rPr>
                <w:color w:val="000000"/>
                <w:sz w:val="14"/>
                <w:szCs w:val="14"/>
              </w:rPr>
            </w:pPr>
            <w:r w:rsidRPr="00D275DF">
              <w:rPr>
                <w:color w:val="000000"/>
                <w:sz w:val="14"/>
                <w:szCs w:val="14"/>
              </w:rPr>
              <w:t>-</w:t>
            </w:r>
          </w:p>
        </w:tc>
        <w:tc>
          <w:tcPr>
            <w:tcW w:w="397" w:type="pct"/>
            <w:tcBorders>
              <w:top w:val="nil"/>
              <w:left w:val="nil"/>
              <w:bottom w:val="nil"/>
              <w:right w:val="single" w:sz="4" w:space="0" w:color="auto"/>
            </w:tcBorders>
            <w:shd w:val="clear" w:color="000000" w:fill="FFFFFF"/>
            <w:vAlign w:val="bottom"/>
            <w:hideMark/>
          </w:tcPr>
          <w:p w14:paraId="736B5EBD" w14:textId="77777777" w:rsidR="0064066B" w:rsidRPr="00D275DF" w:rsidRDefault="0064066B" w:rsidP="00B76AD4">
            <w:pPr>
              <w:jc w:val="right"/>
              <w:rPr>
                <w:color w:val="000000"/>
                <w:sz w:val="14"/>
                <w:szCs w:val="14"/>
              </w:rPr>
            </w:pPr>
            <w:r w:rsidRPr="00D275DF">
              <w:rPr>
                <w:color w:val="000000"/>
                <w:sz w:val="14"/>
                <w:szCs w:val="14"/>
              </w:rPr>
              <w:t>-</w:t>
            </w:r>
          </w:p>
        </w:tc>
        <w:tc>
          <w:tcPr>
            <w:tcW w:w="477" w:type="pct"/>
            <w:tcBorders>
              <w:top w:val="nil"/>
              <w:left w:val="nil"/>
              <w:bottom w:val="nil"/>
              <w:right w:val="single" w:sz="4" w:space="0" w:color="auto"/>
            </w:tcBorders>
            <w:shd w:val="clear" w:color="000000" w:fill="FFFFFF"/>
            <w:vAlign w:val="bottom"/>
            <w:hideMark/>
          </w:tcPr>
          <w:p w14:paraId="791E7F01" w14:textId="77777777" w:rsidR="0064066B" w:rsidRPr="00D275DF" w:rsidRDefault="0064066B" w:rsidP="00B76AD4">
            <w:pPr>
              <w:jc w:val="right"/>
              <w:rPr>
                <w:color w:val="000000"/>
                <w:sz w:val="14"/>
                <w:szCs w:val="14"/>
              </w:rPr>
            </w:pPr>
            <w:r w:rsidRPr="00D275DF">
              <w:rPr>
                <w:color w:val="000000"/>
                <w:sz w:val="14"/>
                <w:szCs w:val="14"/>
              </w:rPr>
              <w:t>-</w:t>
            </w:r>
          </w:p>
        </w:tc>
      </w:tr>
      <w:tr w:rsidR="0064066B" w:rsidRPr="00AC1668" w14:paraId="791353F1" w14:textId="77777777" w:rsidTr="00234709">
        <w:trPr>
          <w:trHeight w:val="20"/>
        </w:trPr>
        <w:tc>
          <w:tcPr>
            <w:tcW w:w="305" w:type="pct"/>
            <w:tcBorders>
              <w:top w:val="nil"/>
              <w:left w:val="single" w:sz="4" w:space="0" w:color="auto"/>
              <w:bottom w:val="nil"/>
              <w:right w:val="nil"/>
            </w:tcBorders>
            <w:noWrap/>
            <w:hideMark/>
          </w:tcPr>
          <w:p w14:paraId="3E706660" w14:textId="77777777" w:rsidR="0064066B" w:rsidRPr="00AC1668" w:rsidRDefault="0064066B" w:rsidP="00B76AD4">
            <w:pPr>
              <w:rPr>
                <w:color w:val="000000"/>
                <w:sz w:val="14"/>
                <w:szCs w:val="14"/>
              </w:rPr>
            </w:pPr>
            <w:r w:rsidRPr="00AC1668">
              <w:rPr>
                <w:color w:val="000000"/>
                <w:sz w:val="14"/>
                <w:szCs w:val="14"/>
              </w:rPr>
              <w:t>14.2.3</w:t>
            </w:r>
          </w:p>
        </w:tc>
        <w:tc>
          <w:tcPr>
            <w:tcW w:w="3045" w:type="pct"/>
            <w:tcBorders>
              <w:top w:val="nil"/>
              <w:left w:val="nil"/>
              <w:bottom w:val="nil"/>
              <w:right w:val="nil"/>
            </w:tcBorders>
            <w:hideMark/>
          </w:tcPr>
          <w:p w14:paraId="79143A4D" w14:textId="77777777" w:rsidR="0064066B" w:rsidRPr="00AC1668" w:rsidRDefault="0064066B" w:rsidP="00B76AD4">
            <w:pPr>
              <w:rPr>
                <w:color w:val="000000"/>
                <w:sz w:val="14"/>
                <w:szCs w:val="14"/>
              </w:rPr>
            </w:pPr>
            <w:r w:rsidRPr="00AC1668">
              <w:rPr>
                <w:color w:val="000000"/>
                <w:sz w:val="14"/>
                <w:szCs w:val="14"/>
              </w:rPr>
              <w:t>Diğer Sermaye Yedekleri</w:t>
            </w:r>
          </w:p>
        </w:tc>
        <w:tc>
          <w:tcPr>
            <w:tcW w:w="371" w:type="pct"/>
            <w:tcBorders>
              <w:top w:val="nil"/>
              <w:left w:val="single" w:sz="4" w:space="0" w:color="auto"/>
              <w:bottom w:val="nil"/>
              <w:right w:val="single" w:sz="4" w:space="0" w:color="auto"/>
            </w:tcBorders>
            <w:vAlign w:val="bottom"/>
            <w:hideMark/>
          </w:tcPr>
          <w:p w14:paraId="180D9C7A" w14:textId="77777777" w:rsidR="0064066B" w:rsidRPr="00AC1668" w:rsidRDefault="0064066B" w:rsidP="00B76AD4">
            <w:pPr>
              <w:jc w:val="center"/>
              <w:rPr>
                <w:color w:val="000000"/>
                <w:sz w:val="14"/>
                <w:szCs w:val="14"/>
                <w:lang w:eastAsia="tr-TR"/>
              </w:rPr>
            </w:pPr>
            <w:r w:rsidRPr="00AC1668">
              <w:rPr>
                <w:color w:val="000000"/>
                <w:sz w:val="14"/>
                <w:szCs w:val="14"/>
              </w:rPr>
              <w:t> </w:t>
            </w:r>
          </w:p>
        </w:tc>
        <w:tc>
          <w:tcPr>
            <w:tcW w:w="405" w:type="pct"/>
            <w:tcBorders>
              <w:top w:val="nil"/>
              <w:left w:val="nil"/>
              <w:bottom w:val="nil"/>
              <w:right w:val="single" w:sz="4" w:space="0" w:color="auto"/>
            </w:tcBorders>
            <w:shd w:val="clear" w:color="000000" w:fill="FFFFFF"/>
            <w:vAlign w:val="bottom"/>
            <w:hideMark/>
          </w:tcPr>
          <w:p w14:paraId="2F36981E" w14:textId="77777777" w:rsidR="0064066B" w:rsidRPr="00D275DF" w:rsidRDefault="0064066B" w:rsidP="00B76AD4">
            <w:pPr>
              <w:jc w:val="right"/>
              <w:rPr>
                <w:color w:val="000000"/>
                <w:sz w:val="14"/>
                <w:szCs w:val="14"/>
              </w:rPr>
            </w:pPr>
            <w:r w:rsidRPr="00D275DF">
              <w:rPr>
                <w:color w:val="000000"/>
                <w:sz w:val="14"/>
                <w:szCs w:val="14"/>
              </w:rPr>
              <w:t>-</w:t>
            </w:r>
          </w:p>
        </w:tc>
        <w:tc>
          <w:tcPr>
            <w:tcW w:w="397" w:type="pct"/>
            <w:tcBorders>
              <w:top w:val="nil"/>
              <w:left w:val="nil"/>
              <w:bottom w:val="nil"/>
              <w:right w:val="single" w:sz="4" w:space="0" w:color="auto"/>
            </w:tcBorders>
            <w:shd w:val="clear" w:color="000000" w:fill="FFFFFF"/>
            <w:vAlign w:val="bottom"/>
            <w:hideMark/>
          </w:tcPr>
          <w:p w14:paraId="5C7679A8" w14:textId="77777777" w:rsidR="0064066B" w:rsidRPr="00D275DF" w:rsidRDefault="0064066B" w:rsidP="00B76AD4">
            <w:pPr>
              <w:jc w:val="right"/>
              <w:rPr>
                <w:color w:val="000000"/>
                <w:sz w:val="14"/>
                <w:szCs w:val="14"/>
              </w:rPr>
            </w:pPr>
            <w:r w:rsidRPr="00D275DF">
              <w:rPr>
                <w:color w:val="000000"/>
                <w:sz w:val="14"/>
                <w:szCs w:val="14"/>
              </w:rPr>
              <w:t>-</w:t>
            </w:r>
          </w:p>
        </w:tc>
        <w:tc>
          <w:tcPr>
            <w:tcW w:w="477" w:type="pct"/>
            <w:tcBorders>
              <w:top w:val="nil"/>
              <w:left w:val="nil"/>
              <w:bottom w:val="nil"/>
              <w:right w:val="single" w:sz="4" w:space="0" w:color="auto"/>
            </w:tcBorders>
            <w:shd w:val="clear" w:color="000000" w:fill="FFFFFF"/>
            <w:vAlign w:val="bottom"/>
            <w:hideMark/>
          </w:tcPr>
          <w:p w14:paraId="48261C2A" w14:textId="77777777" w:rsidR="0064066B" w:rsidRPr="00D275DF" w:rsidRDefault="0064066B" w:rsidP="00B76AD4">
            <w:pPr>
              <w:jc w:val="right"/>
              <w:rPr>
                <w:color w:val="000000"/>
                <w:sz w:val="14"/>
                <w:szCs w:val="14"/>
              </w:rPr>
            </w:pPr>
            <w:r w:rsidRPr="00D275DF">
              <w:rPr>
                <w:color w:val="000000"/>
                <w:sz w:val="14"/>
                <w:szCs w:val="14"/>
              </w:rPr>
              <w:t>-</w:t>
            </w:r>
          </w:p>
        </w:tc>
      </w:tr>
      <w:tr w:rsidR="0064066B" w:rsidRPr="00AC1668" w14:paraId="7E16EC0F" w14:textId="77777777" w:rsidTr="00234709">
        <w:trPr>
          <w:trHeight w:val="20"/>
        </w:trPr>
        <w:tc>
          <w:tcPr>
            <w:tcW w:w="305" w:type="pct"/>
            <w:tcBorders>
              <w:top w:val="nil"/>
              <w:left w:val="single" w:sz="4" w:space="0" w:color="auto"/>
              <w:bottom w:val="nil"/>
              <w:right w:val="nil"/>
            </w:tcBorders>
            <w:noWrap/>
            <w:hideMark/>
          </w:tcPr>
          <w:p w14:paraId="758838D6" w14:textId="77777777" w:rsidR="0064066B" w:rsidRPr="00AC1668" w:rsidRDefault="0064066B" w:rsidP="00B76AD4">
            <w:pPr>
              <w:rPr>
                <w:color w:val="000000"/>
                <w:sz w:val="14"/>
                <w:szCs w:val="14"/>
              </w:rPr>
            </w:pPr>
            <w:r w:rsidRPr="00AC1668">
              <w:rPr>
                <w:color w:val="000000"/>
                <w:sz w:val="14"/>
                <w:szCs w:val="14"/>
              </w:rPr>
              <w:t>14.3</w:t>
            </w:r>
          </w:p>
        </w:tc>
        <w:tc>
          <w:tcPr>
            <w:tcW w:w="3045" w:type="pct"/>
            <w:tcBorders>
              <w:top w:val="nil"/>
              <w:left w:val="nil"/>
              <w:bottom w:val="nil"/>
              <w:right w:val="nil"/>
            </w:tcBorders>
            <w:hideMark/>
          </w:tcPr>
          <w:p w14:paraId="05F9665A" w14:textId="77777777" w:rsidR="0064066B" w:rsidRPr="00AC1668" w:rsidRDefault="0064066B" w:rsidP="00B76AD4">
            <w:pPr>
              <w:rPr>
                <w:color w:val="000000"/>
                <w:sz w:val="14"/>
                <w:szCs w:val="14"/>
              </w:rPr>
            </w:pPr>
            <w:r w:rsidRPr="00AC1668">
              <w:rPr>
                <w:color w:val="000000"/>
                <w:sz w:val="14"/>
                <w:szCs w:val="14"/>
              </w:rPr>
              <w:t>Kâr veya Zararda Yeniden Sınıflandırılmayacak Birikmiş Diğer Kapsamlı Gelirler veya Giderler</w:t>
            </w:r>
          </w:p>
        </w:tc>
        <w:tc>
          <w:tcPr>
            <w:tcW w:w="371" w:type="pct"/>
            <w:tcBorders>
              <w:top w:val="nil"/>
              <w:left w:val="single" w:sz="4" w:space="0" w:color="auto"/>
              <w:bottom w:val="nil"/>
              <w:right w:val="single" w:sz="4" w:space="0" w:color="auto"/>
            </w:tcBorders>
            <w:vAlign w:val="bottom"/>
            <w:hideMark/>
          </w:tcPr>
          <w:p w14:paraId="4BD840DE" w14:textId="77777777" w:rsidR="0064066B" w:rsidRPr="00AC1668" w:rsidRDefault="0064066B" w:rsidP="00B76AD4">
            <w:pPr>
              <w:jc w:val="center"/>
              <w:rPr>
                <w:color w:val="000000"/>
                <w:sz w:val="14"/>
                <w:szCs w:val="14"/>
                <w:lang w:eastAsia="tr-TR"/>
              </w:rPr>
            </w:pPr>
            <w:r w:rsidRPr="00AC1668">
              <w:rPr>
                <w:color w:val="000000"/>
                <w:sz w:val="14"/>
                <w:szCs w:val="14"/>
              </w:rPr>
              <w:t> </w:t>
            </w:r>
          </w:p>
        </w:tc>
        <w:tc>
          <w:tcPr>
            <w:tcW w:w="405" w:type="pct"/>
            <w:tcBorders>
              <w:top w:val="nil"/>
              <w:left w:val="nil"/>
              <w:bottom w:val="nil"/>
              <w:right w:val="single" w:sz="4" w:space="0" w:color="auto"/>
            </w:tcBorders>
            <w:shd w:val="clear" w:color="000000" w:fill="FFFFFF"/>
            <w:vAlign w:val="bottom"/>
            <w:hideMark/>
          </w:tcPr>
          <w:p w14:paraId="77010DE7" w14:textId="77777777" w:rsidR="0064066B" w:rsidRPr="00D275DF" w:rsidRDefault="0064066B" w:rsidP="00B76AD4">
            <w:pPr>
              <w:jc w:val="right"/>
              <w:rPr>
                <w:color w:val="000000"/>
                <w:sz w:val="14"/>
                <w:szCs w:val="14"/>
              </w:rPr>
            </w:pPr>
            <w:r w:rsidRPr="00D275DF">
              <w:rPr>
                <w:color w:val="000000"/>
                <w:sz w:val="14"/>
                <w:szCs w:val="14"/>
              </w:rPr>
              <w:t>(6.144)</w:t>
            </w:r>
          </w:p>
        </w:tc>
        <w:tc>
          <w:tcPr>
            <w:tcW w:w="397" w:type="pct"/>
            <w:tcBorders>
              <w:top w:val="nil"/>
              <w:left w:val="nil"/>
              <w:bottom w:val="nil"/>
              <w:right w:val="single" w:sz="4" w:space="0" w:color="auto"/>
            </w:tcBorders>
            <w:shd w:val="clear" w:color="000000" w:fill="FFFFFF"/>
            <w:vAlign w:val="bottom"/>
            <w:hideMark/>
          </w:tcPr>
          <w:p w14:paraId="7E7F3C5E" w14:textId="77777777" w:rsidR="0064066B" w:rsidRPr="00D275DF" w:rsidRDefault="0064066B" w:rsidP="00B76AD4">
            <w:pPr>
              <w:jc w:val="right"/>
              <w:rPr>
                <w:color w:val="000000"/>
                <w:sz w:val="14"/>
                <w:szCs w:val="14"/>
              </w:rPr>
            </w:pPr>
            <w:r w:rsidRPr="00D275DF">
              <w:rPr>
                <w:color w:val="000000"/>
                <w:sz w:val="14"/>
                <w:szCs w:val="14"/>
              </w:rPr>
              <w:t>-</w:t>
            </w:r>
          </w:p>
        </w:tc>
        <w:tc>
          <w:tcPr>
            <w:tcW w:w="477" w:type="pct"/>
            <w:tcBorders>
              <w:top w:val="nil"/>
              <w:left w:val="nil"/>
              <w:bottom w:val="nil"/>
              <w:right w:val="single" w:sz="4" w:space="0" w:color="auto"/>
            </w:tcBorders>
            <w:shd w:val="clear" w:color="000000" w:fill="FFFFFF"/>
            <w:vAlign w:val="bottom"/>
            <w:hideMark/>
          </w:tcPr>
          <w:p w14:paraId="723BE040" w14:textId="77777777" w:rsidR="0064066B" w:rsidRPr="00D275DF" w:rsidRDefault="0064066B" w:rsidP="00B76AD4">
            <w:pPr>
              <w:jc w:val="right"/>
              <w:rPr>
                <w:color w:val="000000"/>
                <w:sz w:val="14"/>
                <w:szCs w:val="14"/>
              </w:rPr>
            </w:pPr>
            <w:r w:rsidRPr="00D275DF">
              <w:rPr>
                <w:color w:val="000000"/>
                <w:sz w:val="14"/>
                <w:szCs w:val="14"/>
              </w:rPr>
              <w:t>(6.144)</w:t>
            </w:r>
          </w:p>
        </w:tc>
      </w:tr>
      <w:tr w:rsidR="0064066B" w:rsidRPr="00AC1668" w14:paraId="2F8DBEC1" w14:textId="77777777" w:rsidTr="00234709">
        <w:trPr>
          <w:trHeight w:val="20"/>
        </w:trPr>
        <w:tc>
          <w:tcPr>
            <w:tcW w:w="305" w:type="pct"/>
            <w:tcBorders>
              <w:top w:val="nil"/>
              <w:left w:val="single" w:sz="4" w:space="0" w:color="auto"/>
              <w:bottom w:val="nil"/>
              <w:right w:val="nil"/>
            </w:tcBorders>
            <w:noWrap/>
            <w:hideMark/>
          </w:tcPr>
          <w:p w14:paraId="506B028B" w14:textId="77777777" w:rsidR="0064066B" w:rsidRPr="00AC1668" w:rsidRDefault="0064066B" w:rsidP="00B76AD4">
            <w:pPr>
              <w:rPr>
                <w:color w:val="000000"/>
                <w:sz w:val="14"/>
                <w:szCs w:val="14"/>
              </w:rPr>
            </w:pPr>
            <w:r w:rsidRPr="00AC1668">
              <w:rPr>
                <w:color w:val="000000"/>
                <w:sz w:val="14"/>
                <w:szCs w:val="14"/>
              </w:rPr>
              <w:t>14.4</w:t>
            </w:r>
          </w:p>
        </w:tc>
        <w:tc>
          <w:tcPr>
            <w:tcW w:w="3045" w:type="pct"/>
            <w:tcBorders>
              <w:top w:val="nil"/>
              <w:left w:val="nil"/>
              <w:bottom w:val="nil"/>
              <w:right w:val="nil"/>
            </w:tcBorders>
            <w:hideMark/>
          </w:tcPr>
          <w:p w14:paraId="344D7B85" w14:textId="77777777" w:rsidR="0064066B" w:rsidRPr="00AC1668" w:rsidRDefault="0064066B" w:rsidP="00B76AD4">
            <w:pPr>
              <w:rPr>
                <w:color w:val="000000"/>
                <w:sz w:val="14"/>
                <w:szCs w:val="14"/>
              </w:rPr>
            </w:pPr>
            <w:r w:rsidRPr="00AC1668">
              <w:rPr>
                <w:color w:val="000000"/>
                <w:sz w:val="14"/>
                <w:szCs w:val="14"/>
              </w:rPr>
              <w:t>Kâr veya Zararda Yeniden Sınıflandırılacak Birikmiş Diğer Kapsamlı Gelirler veya Giderler</w:t>
            </w:r>
          </w:p>
        </w:tc>
        <w:tc>
          <w:tcPr>
            <w:tcW w:w="371" w:type="pct"/>
            <w:tcBorders>
              <w:top w:val="nil"/>
              <w:left w:val="single" w:sz="4" w:space="0" w:color="auto"/>
              <w:bottom w:val="nil"/>
              <w:right w:val="single" w:sz="4" w:space="0" w:color="auto"/>
            </w:tcBorders>
            <w:vAlign w:val="bottom"/>
            <w:hideMark/>
          </w:tcPr>
          <w:p w14:paraId="1B885BCF" w14:textId="77777777" w:rsidR="0064066B" w:rsidRPr="00AC1668" w:rsidRDefault="0064066B" w:rsidP="00B76AD4">
            <w:pPr>
              <w:jc w:val="center"/>
              <w:rPr>
                <w:color w:val="000000"/>
                <w:sz w:val="14"/>
                <w:szCs w:val="14"/>
                <w:lang w:eastAsia="tr-TR"/>
              </w:rPr>
            </w:pPr>
            <w:r w:rsidRPr="00AC1668">
              <w:rPr>
                <w:color w:val="000000"/>
                <w:sz w:val="14"/>
                <w:szCs w:val="14"/>
              </w:rPr>
              <w:t> </w:t>
            </w:r>
          </w:p>
        </w:tc>
        <w:tc>
          <w:tcPr>
            <w:tcW w:w="405" w:type="pct"/>
            <w:tcBorders>
              <w:top w:val="nil"/>
              <w:left w:val="nil"/>
              <w:bottom w:val="nil"/>
              <w:right w:val="single" w:sz="4" w:space="0" w:color="auto"/>
            </w:tcBorders>
            <w:shd w:val="clear" w:color="000000" w:fill="FFFFFF"/>
            <w:vAlign w:val="bottom"/>
            <w:hideMark/>
          </w:tcPr>
          <w:p w14:paraId="485B9CAC" w14:textId="77777777" w:rsidR="0064066B" w:rsidRPr="00D275DF" w:rsidRDefault="0064066B" w:rsidP="00B76AD4">
            <w:pPr>
              <w:jc w:val="right"/>
              <w:rPr>
                <w:color w:val="000000"/>
                <w:sz w:val="14"/>
                <w:szCs w:val="14"/>
              </w:rPr>
            </w:pPr>
            <w:r w:rsidRPr="00D275DF">
              <w:rPr>
                <w:color w:val="000000"/>
                <w:sz w:val="14"/>
                <w:szCs w:val="14"/>
              </w:rPr>
              <w:t>8.303</w:t>
            </w:r>
          </w:p>
        </w:tc>
        <w:tc>
          <w:tcPr>
            <w:tcW w:w="397" w:type="pct"/>
            <w:tcBorders>
              <w:top w:val="nil"/>
              <w:left w:val="nil"/>
              <w:bottom w:val="nil"/>
              <w:right w:val="single" w:sz="4" w:space="0" w:color="auto"/>
            </w:tcBorders>
            <w:shd w:val="clear" w:color="000000" w:fill="FFFFFF"/>
            <w:vAlign w:val="bottom"/>
            <w:hideMark/>
          </w:tcPr>
          <w:p w14:paraId="7D96402E" w14:textId="77777777" w:rsidR="0064066B" w:rsidRPr="00D275DF" w:rsidRDefault="0064066B" w:rsidP="00B76AD4">
            <w:pPr>
              <w:jc w:val="right"/>
              <w:rPr>
                <w:color w:val="000000"/>
                <w:sz w:val="14"/>
                <w:szCs w:val="14"/>
              </w:rPr>
            </w:pPr>
            <w:r w:rsidRPr="00D275DF">
              <w:rPr>
                <w:color w:val="000000"/>
                <w:sz w:val="14"/>
                <w:szCs w:val="14"/>
              </w:rPr>
              <w:t>-</w:t>
            </w:r>
          </w:p>
        </w:tc>
        <w:tc>
          <w:tcPr>
            <w:tcW w:w="477" w:type="pct"/>
            <w:tcBorders>
              <w:top w:val="nil"/>
              <w:left w:val="nil"/>
              <w:bottom w:val="nil"/>
              <w:right w:val="single" w:sz="4" w:space="0" w:color="auto"/>
            </w:tcBorders>
            <w:shd w:val="clear" w:color="000000" w:fill="FFFFFF"/>
            <w:vAlign w:val="bottom"/>
            <w:hideMark/>
          </w:tcPr>
          <w:p w14:paraId="082932C7" w14:textId="77777777" w:rsidR="0064066B" w:rsidRPr="00D275DF" w:rsidRDefault="0064066B" w:rsidP="00B76AD4">
            <w:pPr>
              <w:jc w:val="right"/>
              <w:rPr>
                <w:color w:val="000000"/>
                <w:sz w:val="14"/>
                <w:szCs w:val="14"/>
              </w:rPr>
            </w:pPr>
            <w:r w:rsidRPr="00D275DF">
              <w:rPr>
                <w:color w:val="000000"/>
                <w:sz w:val="14"/>
                <w:szCs w:val="14"/>
              </w:rPr>
              <w:t>8.303</w:t>
            </w:r>
          </w:p>
        </w:tc>
      </w:tr>
      <w:tr w:rsidR="0064066B" w:rsidRPr="00AC1668" w14:paraId="751EA825" w14:textId="77777777" w:rsidTr="00234709">
        <w:trPr>
          <w:trHeight w:val="20"/>
        </w:trPr>
        <w:tc>
          <w:tcPr>
            <w:tcW w:w="305" w:type="pct"/>
            <w:tcBorders>
              <w:top w:val="nil"/>
              <w:left w:val="single" w:sz="4" w:space="0" w:color="auto"/>
              <w:bottom w:val="nil"/>
              <w:right w:val="nil"/>
            </w:tcBorders>
            <w:noWrap/>
            <w:hideMark/>
          </w:tcPr>
          <w:p w14:paraId="6BDBD05F" w14:textId="77777777" w:rsidR="0064066B" w:rsidRPr="00AC1668" w:rsidRDefault="0064066B" w:rsidP="00B76AD4">
            <w:pPr>
              <w:rPr>
                <w:color w:val="000000"/>
                <w:sz w:val="14"/>
                <w:szCs w:val="14"/>
              </w:rPr>
            </w:pPr>
            <w:r w:rsidRPr="00AC1668">
              <w:rPr>
                <w:color w:val="000000"/>
                <w:sz w:val="14"/>
                <w:szCs w:val="14"/>
              </w:rPr>
              <w:t>14.5</w:t>
            </w:r>
          </w:p>
        </w:tc>
        <w:tc>
          <w:tcPr>
            <w:tcW w:w="3045" w:type="pct"/>
            <w:tcBorders>
              <w:top w:val="nil"/>
              <w:left w:val="nil"/>
              <w:bottom w:val="nil"/>
              <w:right w:val="nil"/>
            </w:tcBorders>
            <w:hideMark/>
          </w:tcPr>
          <w:p w14:paraId="6AD5B9AE" w14:textId="77777777" w:rsidR="0064066B" w:rsidRPr="00AC1668" w:rsidRDefault="0064066B" w:rsidP="00B76AD4">
            <w:pPr>
              <w:rPr>
                <w:color w:val="000000"/>
                <w:sz w:val="14"/>
                <w:szCs w:val="14"/>
              </w:rPr>
            </w:pPr>
            <w:r w:rsidRPr="00AC1668">
              <w:rPr>
                <w:color w:val="000000"/>
                <w:sz w:val="14"/>
                <w:szCs w:val="14"/>
              </w:rPr>
              <w:t>Kâr Yedekleri</w:t>
            </w:r>
          </w:p>
        </w:tc>
        <w:tc>
          <w:tcPr>
            <w:tcW w:w="371" w:type="pct"/>
            <w:tcBorders>
              <w:top w:val="nil"/>
              <w:left w:val="single" w:sz="4" w:space="0" w:color="auto"/>
              <w:bottom w:val="nil"/>
              <w:right w:val="single" w:sz="4" w:space="0" w:color="auto"/>
            </w:tcBorders>
            <w:vAlign w:val="bottom"/>
            <w:hideMark/>
          </w:tcPr>
          <w:p w14:paraId="24413B14" w14:textId="77777777" w:rsidR="0064066B" w:rsidRPr="00AC1668" w:rsidRDefault="0064066B" w:rsidP="00B76AD4">
            <w:pPr>
              <w:jc w:val="center"/>
              <w:rPr>
                <w:color w:val="000000"/>
                <w:sz w:val="14"/>
                <w:szCs w:val="14"/>
                <w:lang w:eastAsia="tr-TR"/>
              </w:rPr>
            </w:pPr>
            <w:r w:rsidRPr="00AC1668">
              <w:rPr>
                <w:color w:val="000000"/>
                <w:sz w:val="14"/>
                <w:szCs w:val="14"/>
              </w:rPr>
              <w:t> </w:t>
            </w:r>
          </w:p>
        </w:tc>
        <w:tc>
          <w:tcPr>
            <w:tcW w:w="405" w:type="pct"/>
            <w:tcBorders>
              <w:top w:val="nil"/>
              <w:left w:val="nil"/>
              <w:bottom w:val="nil"/>
              <w:right w:val="single" w:sz="4" w:space="0" w:color="auto"/>
            </w:tcBorders>
            <w:shd w:val="clear" w:color="000000" w:fill="FFFFFF"/>
            <w:vAlign w:val="bottom"/>
            <w:hideMark/>
          </w:tcPr>
          <w:p w14:paraId="1779A3D6" w14:textId="77777777" w:rsidR="0064066B" w:rsidRPr="00D275DF" w:rsidRDefault="0064066B" w:rsidP="00B76AD4">
            <w:pPr>
              <w:jc w:val="right"/>
              <w:rPr>
                <w:color w:val="000000"/>
                <w:sz w:val="14"/>
                <w:szCs w:val="14"/>
              </w:rPr>
            </w:pPr>
            <w:r w:rsidRPr="00D275DF">
              <w:rPr>
                <w:color w:val="000000"/>
                <w:sz w:val="14"/>
                <w:szCs w:val="14"/>
              </w:rPr>
              <w:t>-</w:t>
            </w:r>
          </w:p>
        </w:tc>
        <w:tc>
          <w:tcPr>
            <w:tcW w:w="397" w:type="pct"/>
            <w:tcBorders>
              <w:top w:val="nil"/>
              <w:left w:val="nil"/>
              <w:bottom w:val="nil"/>
              <w:right w:val="single" w:sz="4" w:space="0" w:color="auto"/>
            </w:tcBorders>
            <w:shd w:val="clear" w:color="000000" w:fill="FFFFFF"/>
            <w:vAlign w:val="bottom"/>
            <w:hideMark/>
          </w:tcPr>
          <w:p w14:paraId="308F0908" w14:textId="77777777" w:rsidR="0064066B" w:rsidRPr="00D275DF" w:rsidRDefault="0064066B" w:rsidP="00B76AD4">
            <w:pPr>
              <w:jc w:val="right"/>
              <w:rPr>
                <w:color w:val="000000"/>
                <w:sz w:val="14"/>
                <w:szCs w:val="14"/>
              </w:rPr>
            </w:pPr>
            <w:r w:rsidRPr="00D275DF">
              <w:rPr>
                <w:color w:val="000000"/>
                <w:sz w:val="14"/>
                <w:szCs w:val="14"/>
              </w:rPr>
              <w:t>-</w:t>
            </w:r>
          </w:p>
        </w:tc>
        <w:tc>
          <w:tcPr>
            <w:tcW w:w="477" w:type="pct"/>
            <w:tcBorders>
              <w:top w:val="nil"/>
              <w:left w:val="nil"/>
              <w:bottom w:val="nil"/>
              <w:right w:val="single" w:sz="4" w:space="0" w:color="auto"/>
            </w:tcBorders>
            <w:shd w:val="clear" w:color="000000" w:fill="FFFFFF"/>
            <w:vAlign w:val="bottom"/>
            <w:hideMark/>
          </w:tcPr>
          <w:p w14:paraId="7A5A4BE6" w14:textId="77777777" w:rsidR="0064066B" w:rsidRPr="00D275DF" w:rsidRDefault="0064066B" w:rsidP="00B76AD4">
            <w:pPr>
              <w:jc w:val="right"/>
              <w:rPr>
                <w:color w:val="000000"/>
                <w:sz w:val="14"/>
                <w:szCs w:val="14"/>
              </w:rPr>
            </w:pPr>
            <w:r w:rsidRPr="00D275DF">
              <w:rPr>
                <w:color w:val="000000"/>
                <w:sz w:val="14"/>
                <w:szCs w:val="14"/>
              </w:rPr>
              <w:t>-</w:t>
            </w:r>
          </w:p>
        </w:tc>
      </w:tr>
      <w:tr w:rsidR="0064066B" w:rsidRPr="00AC1668" w14:paraId="7B295FF3" w14:textId="77777777" w:rsidTr="00234709">
        <w:trPr>
          <w:trHeight w:val="20"/>
        </w:trPr>
        <w:tc>
          <w:tcPr>
            <w:tcW w:w="305" w:type="pct"/>
            <w:tcBorders>
              <w:top w:val="nil"/>
              <w:left w:val="single" w:sz="4" w:space="0" w:color="auto"/>
              <w:bottom w:val="nil"/>
              <w:right w:val="nil"/>
            </w:tcBorders>
            <w:noWrap/>
            <w:hideMark/>
          </w:tcPr>
          <w:p w14:paraId="34257B5E" w14:textId="77777777" w:rsidR="0064066B" w:rsidRPr="00AC1668" w:rsidRDefault="0064066B" w:rsidP="00B76AD4">
            <w:pPr>
              <w:rPr>
                <w:color w:val="000000"/>
                <w:sz w:val="14"/>
                <w:szCs w:val="14"/>
              </w:rPr>
            </w:pPr>
            <w:r w:rsidRPr="00AC1668">
              <w:rPr>
                <w:color w:val="000000"/>
                <w:sz w:val="14"/>
                <w:szCs w:val="14"/>
              </w:rPr>
              <w:t>14.5.1</w:t>
            </w:r>
          </w:p>
        </w:tc>
        <w:tc>
          <w:tcPr>
            <w:tcW w:w="3045" w:type="pct"/>
            <w:tcBorders>
              <w:top w:val="nil"/>
              <w:left w:val="nil"/>
              <w:bottom w:val="nil"/>
              <w:right w:val="nil"/>
            </w:tcBorders>
            <w:hideMark/>
          </w:tcPr>
          <w:p w14:paraId="1CFA9C98" w14:textId="77777777" w:rsidR="0064066B" w:rsidRPr="00AC1668" w:rsidRDefault="0064066B" w:rsidP="00B76AD4">
            <w:pPr>
              <w:rPr>
                <w:color w:val="000000"/>
                <w:sz w:val="14"/>
                <w:szCs w:val="14"/>
              </w:rPr>
            </w:pPr>
            <w:r w:rsidRPr="00AC1668">
              <w:rPr>
                <w:color w:val="000000"/>
                <w:sz w:val="14"/>
                <w:szCs w:val="14"/>
              </w:rPr>
              <w:t>Yasal Yedekler</w:t>
            </w:r>
          </w:p>
        </w:tc>
        <w:tc>
          <w:tcPr>
            <w:tcW w:w="371" w:type="pct"/>
            <w:tcBorders>
              <w:top w:val="nil"/>
              <w:left w:val="single" w:sz="4" w:space="0" w:color="auto"/>
              <w:bottom w:val="nil"/>
              <w:right w:val="single" w:sz="4" w:space="0" w:color="auto"/>
            </w:tcBorders>
            <w:vAlign w:val="bottom"/>
            <w:hideMark/>
          </w:tcPr>
          <w:p w14:paraId="555625B8" w14:textId="77777777" w:rsidR="0064066B" w:rsidRPr="00AC1668" w:rsidRDefault="0064066B" w:rsidP="00B76AD4">
            <w:pPr>
              <w:jc w:val="center"/>
              <w:rPr>
                <w:color w:val="000000"/>
                <w:sz w:val="14"/>
                <w:szCs w:val="14"/>
                <w:lang w:eastAsia="tr-TR"/>
              </w:rPr>
            </w:pPr>
            <w:r w:rsidRPr="00AC1668">
              <w:rPr>
                <w:color w:val="000000"/>
                <w:sz w:val="14"/>
                <w:szCs w:val="14"/>
              </w:rPr>
              <w:t> </w:t>
            </w:r>
          </w:p>
        </w:tc>
        <w:tc>
          <w:tcPr>
            <w:tcW w:w="405" w:type="pct"/>
            <w:tcBorders>
              <w:top w:val="nil"/>
              <w:left w:val="nil"/>
              <w:bottom w:val="nil"/>
              <w:right w:val="single" w:sz="4" w:space="0" w:color="auto"/>
            </w:tcBorders>
            <w:shd w:val="clear" w:color="000000" w:fill="FFFFFF"/>
            <w:vAlign w:val="bottom"/>
            <w:hideMark/>
          </w:tcPr>
          <w:p w14:paraId="7E509438" w14:textId="77777777" w:rsidR="0064066B" w:rsidRPr="00D275DF" w:rsidRDefault="0064066B" w:rsidP="00B76AD4">
            <w:pPr>
              <w:jc w:val="right"/>
              <w:rPr>
                <w:color w:val="000000"/>
                <w:sz w:val="14"/>
                <w:szCs w:val="14"/>
              </w:rPr>
            </w:pPr>
            <w:r w:rsidRPr="00D275DF">
              <w:rPr>
                <w:color w:val="000000"/>
                <w:sz w:val="14"/>
                <w:szCs w:val="14"/>
              </w:rPr>
              <w:t>-</w:t>
            </w:r>
          </w:p>
        </w:tc>
        <w:tc>
          <w:tcPr>
            <w:tcW w:w="397" w:type="pct"/>
            <w:tcBorders>
              <w:top w:val="nil"/>
              <w:left w:val="nil"/>
              <w:bottom w:val="nil"/>
              <w:right w:val="single" w:sz="4" w:space="0" w:color="auto"/>
            </w:tcBorders>
            <w:shd w:val="clear" w:color="000000" w:fill="FFFFFF"/>
            <w:vAlign w:val="bottom"/>
            <w:hideMark/>
          </w:tcPr>
          <w:p w14:paraId="74531A02" w14:textId="77777777" w:rsidR="0064066B" w:rsidRPr="00D275DF" w:rsidRDefault="0064066B" w:rsidP="00B76AD4">
            <w:pPr>
              <w:jc w:val="right"/>
              <w:rPr>
                <w:color w:val="000000"/>
                <w:sz w:val="14"/>
                <w:szCs w:val="14"/>
              </w:rPr>
            </w:pPr>
            <w:r w:rsidRPr="00D275DF">
              <w:rPr>
                <w:color w:val="000000"/>
                <w:sz w:val="14"/>
                <w:szCs w:val="14"/>
              </w:rPr>
              <w:t>-</w:t>
            </w:r>
          </w:p>
        </w:tc>
        <w:tc>
          <w:tcPr>
            <w:tcW w:w="477" w:type="pct"/>
            <w:tcBorders>
              <w:top w:val="nil"/>
              <w:left w:val="nil"/>
              <w:bottom w:val="nil"/>
              <w:right w:val="single" w:sz="4" w:space="0" w:color="auto"/>
            </w:tcBorders>
            <w:shd w:val="clear" w:color="000000" w:fill="FFFFFF"/>
            <w:vAlign w:val="bottom"/>
            <w:hideMark/>
          </w:tcPr>
          <w:p w14:paraId="3319ADB2" w14:textId="77777777" w:rsidR="0064066B" w:rsidRPr="00D275DF" w:rsidRDefault="0064066B" w:rsidP="00B76AD4">
            <w:pPr>
              <w:jc w:val="right"/>
              <w:rPr>
                <w:color w:val="000000"/>
                <w:sz w:val="14"/>
                <w:szCs w:val="14"/>
              </w:rPr>
            </w:pPr>
            <w:r w:rsidRPr="00D275DF">
              <w:rPr>
                <w:color w:val="000000"/>
                <w:sz w:val="14"/>
                <w:szCs w:val="14"/>
              </w:rPr>
              <w:t>-</w:t>
            </w:r>
          </w:p>
        </w:tc>
      </w:tr>
      <w:tr w:rsidR="0064066B" w:rsidRPr="00AC1668" w14:paraId="43364CCF" w14:textId="77777777" w:rsidTr="00234709">
        <w:trPr>
          <w:trHeight w:val="20"/>
        </w:trPr>
        <w:tc>
          <w:tcPr>
            <w:tcW w:w="305" w:type="pct"/>
            <w:tcBorders>
              <w:top w:val="nil"/>
              <w:left w:val="single" w:sz="4" w:space="0" w:color="auto"/>
              <w:bottom w:val="nil"/>
              <w:right w:val="nil"/>
            </w:tcBorders>
            <w:noWrap/>
            <w:hideMark/>
          </w:tcPr>
          <w:p w14:paraId="7D52E8C1" w14:textId="77777777" w:rsidR="0064066B" w:rsidRPr="00AC1668" w:rsidRDefault="0064066B" w:rsidP="00B76AD4">
            <w:pPr>
              <w:rPr>
                <w:color w:val="000000"/>
                <w:sz w:val="14"/>
                <w:szCs w:val="14"/>
              </w:rPr>
            </w:pPr>
            <w:r w:rsidRPr="00AC1668">
              <w:rPr>
                <w:color w:val="000000"/>
                <w:sz w:val="14"/>
                <w:szCs w:val="14"/>
              </w:rPr>
              <w:t>14.5.2</w:t>
            </w:r>
          </w:p>
        </w:tc>
        <w:tc>
          <w:tcPr>
            <w:tcW w:w="3045" w:type="pct"/>
            <w:tcBorders>
              <w:top w:val="nil"/>
              <w:left w:val="nil"/>
              <w:bottom w:val="nil"/>
              <w:right w:val="nil"/>
            </w:tcBorders>
            <w:hideMark/>
          </w:tcPr>
          <w:p w14:paraId="70B84180" w14:textId="77777777" w:rsidR="0064066B" w:rsidRPr="00AC1668" w:rsidRDefault="0064066B" w:rsidP="00B76AD4">
            <w:pPr>
              <w:rPr>
                <w:color w:val="000000"/>
                <w:sz w:val="14"/>
                <w:szCs w:val="14"/>
              </w:rPr>
            </w:pPr>
            <w:r w:rsidRPr="00AC1668">
              <w:rPr>
                <w:color w:val="000000"/>
                <w:sz w:val="14"/>
                <w:szCs w:val="14"/>
              </w:rPr>
              <w:t>Statü Yedekleri</w:t>
            </w:r>
          </w:p>
        </w:tc>
        <w:tc>
          <w:tcPr>
            <w:tcW w:w="371" w:type="pct"/>
            <w:tcBorders>
              <w:top w:val="nil"/>
              <w:left w:val="single" w:sz="4" w:space="0" w:color="auto"/>
              <w:bottom w:val="nil"/>
              <w:right w:val="single" w:sz="4" w:space="0" w:color="auto"/>
            </w:tcBorders>
            <w:vAlign w:val="bottom"/>
            <w:hideMark/>
          </w:tcPr>
          <w:p w14:paraId="67B5C269" w14:textId="77777777" w:rsidR="0064066B" w:rsidRPr="00AC1668" w:rsidRDefault="0064066B" w:rsidP="00B76AD4">
            <w:pPr>
              <w:jc w:val="center"/>
              <w:rPr>
                <w:color w:val="000000"/>
                <w:sz w:val="14"/>
                <w:szCs w:val="14"/>
                <w:lang w:eastAsia="tr-TR"/>
              </w:rPr>
            </w:pPr>
            <w:r w:rsidRPr="00AC1668">
              <w:rPr>
                <w:color w:val="000000"/>
                <w:sz w:val="14"/>
                <w:szCs w:val="14"/>
              </w:rPr>
              <w:t> </w:t>
            </w:r>
          </w:p>
        </w:tc>
        <w:tc>
          <w:tcPr>
            <w:tcW w:w="405" w:type="pct"/>
            <w:tcBorders>
              <w:top w:val="nil"/>
              <w:left w:val="nil"/>
              <w:bottom w:val="nil"/>
              <w:right w:val="single" w:sz="4" w:space="0" w:color="auto"/>
            </w:tcBorders>
            <w:shd w:val="clear" w:color="000000" w:fill="FFFFFF"/>
            <w:vAlign w:val="bottom"/>
            <w:hideMark/>
          </w:tcPr>
          <w:p w14:paraId="6E990719" w14:textId="77777777" w:rsidR="0064066B" w:rsidRPr="00D275DF" w:rsidRDefault="0064066B" w:rsidP="00B76AD4">
            <w:pPr>
              <w:jc w:val="right"/>
              <w:rPr>
                <w:color w:val="000000"/>
                <w:sz w:val="14"/>
                <w:szCs w:val="14"/>
              </w:rPr>
            </w:pPr>
            <w:r w:rsidRPr="00D275DF">
              <w:rPr>
                <w:color w:val="000000"/>
                <w:sz w:val="14"/>
                <w:szCs w:val="14"/>
              </w:rPr>
              <w:t>-</w:t>
            </w:r>
          </w:p>
        </w:tc>
        <w:tc>
          <w:tcPr>
            <w:tcW w:w="397" w:type="pct"/>
            <w:tcBorders>
              <w:top w:val="nil"/>
              <w:left w:val="nil"/>
              <w:bottom w:val="nil"/>
              <w:right w:val="single" w:sz="4" w:space="0" w:color="auto"/>
            </w:tcBorders>
            <w:shd w:val="clear" w:color="000000" w:fill="FFFFFF"/>
            <w:vAlign w:val="bottom"/>
            <w:hideMark/>
          </w:tcPr>
          <w:p w14:paraId="7FB2299D" w14:textId="77777777" w:rsidR="0064066B" w:rsidRPr="00D275DF" w:rsidRDefault="0064066B" w:rsidP="00B76AD4">
            <w:pPr>
              <w:jc w:val="right"/>
              <w:rPr>
                <w:color w:val="000000"/>
                <w:sz w:val="14"/>
                <w:szCs w:val="14"/>
              </w:rPr>
            </w:pPr>
            <w:r w:rsidRPr="00D275DF">
              <w:rPr>
                <w:color w:val="000000"/>
                <w:sz w:val="14"/>
                <w:szCs w:val="14"/>
              </w:rPr>
              <w:t>-</w:t>
            </w:r>
          </w:p>
        </w:tc>
        <w:tc>
          <w:tcPr>
            <w:tcW w:w="477" w:type="pct"/>
            <w:tcBorders>
              <w:top w:val="nil"/>
              <w:left w:val="nil"/>
              <w:bottom w:val="nil"/>
              <w:right w:val="single" w:sz="4" w:space="0" w:color="auto"/>
            </w:tcBorders>
            <w:shd w:val="clear" w:color="000000" w:fill="FFFFFF"/>
            <w:vAlign w:val="bottom"/>
            <w:hideMark/>
          </w:tcPr>
          <w:p w14:paraId="70F35CA6" w14:textId="77777777" w:rsidR="0064066B" w:rsidRPr="00D275DF" w:rsidRDefault="0064066B" w:rsidP="00B76AD4">
            <w:pPr>
              <w:jc w:val="right"/>
              <w:rPr>
                <w:color w:val="000000"/>
                <w:sz w:val="14"/>
                <w:szCs w:val="14"/>
              </w:rPr>
            </w:pPr>
            <w:r w:rsidRPr="00D275DF">
              <w:rPr>
                <w:color w:val="000000"/>
                <w:sz w:val="14"/>
                <w:szCs w:val="14"/>
              </w:rPr>
              <w:t>-</w:t>
            </w:r>
          </w:p>
        </w:tc>
      </w:tr>
      <w:tr w:rsidR="0064066B" w:rsidRPr="00AC1668" w14:paraId="1B021A07" w14:textId="77777777" w:rsidTr="00234709">
        <w:trPr>
          <w:trHeight w:val="20"/>
        </w:trPr>
        <w:tc>
          <w:tcPr>
            <w:tcW w:w="305" w:type="pct"/>
            <w:tcBorders>
              <w:top w:val="nil"/>
              <w:left w:val="single" w:sz="4" w:space="0" w:color="auto"/>
              <w:bottom w:val="nil"/>
              <w:right w:val="nil"/>
            </w:tcBorders>
            <w:noWrap/>
            <w:hideMark/>
          </w:tcPr>
          <w:p w14:paraId="152D6875" w14:textId="77777777" w:rsidR="0064066B" w:rsidRPr="00AC1668" w:rsidRDefault="0064066B" w:rsidP="00B76AD4">
            <w:pPr>
              <w:rPr>
                <w:color w:val="000000"/>
                <w:sz w:val="14"/>
                <w:szCs w:val="14"/>
              </w:rPr>
            </w:pPr>
            <w:r w:rsidRPr="00AC1668">
              <w:rPr>
                <w:color w:val="000000"/>
                <w:sz w:val="14"/>
                <w:szCs w:val="14"/>
              </w:rPr>
              <w:t>14.5.3</w:t>
            </w:r>
          </w:p>
        </w:tc>
        <w:tc>
          <w:tcPr>
            <w:tcW w:w="3045" w:type="pct"/>
            <w:tcBorders>
              <w:top w:val="nil"/>
              <w:left w:val="nil"/>
              <w:bottom w:val="nil"/>
              <w:right w:val="nil"/>
            </w:tcBorders>
            <w:hideMark/>
          </w:tcPr>
          <w:p w14:paraId="0A0D2062" w14:textId="77777777" w:rsidR="0064066B" w:rsidRPr="00AC1668" w:rsidRDefault="0064066B" w:rsidP="00B76AD4">
            <w:pPr>
              <w:rPr>
                <w:color w:val="000000"/>
                <w:sz w:val="14"/>
                <w:szCs w:val="14"/>
              </w:rPr>
            </w:pPr>
            <w:r w:rsidRPr="00AC1668">
              <w:rPr>
                <w:color w:val="000000"/>
                <w:sz w:val="14"/>
                <w:szCs w:val="14"/>
              </w:rPr>
              <w:t>Olağanüstü Yedekler</w:t>
            </w:r>
          </w:p>
        </w:tc>
        <w:tc>
          <w:tcPr>
            <w:tcW w:w="371" w:type="pct"/>
            <w:tcBorders>
              <w:top w:val="nil"/>
              <w:left w:val="single" w:sz="4" w:space="0" w:color="auto"/>
              <w:bottom w:val="nil"/>
              <w:right w:val="single" w:sz="4" w:space="0" w:color="auto"/>
            </w:tcBorders>
            <w:vAlign w:val="bottom"/>
            <w:hideMark/>
          </w:tcPr>
          <w:p w14:paraId="349FF4D8" w14:textId="77777777" w:rsidR="0064066B" w:rsidRPr="00AC1668" w:rsidRDefault="0064066B" w:rsidP="00B76AD4">
            <w:pPr>
              <w:jc w:val="center"/>
              <w:rPr>
                <w:color w:val="000000"/>
                <w:sz w:val="14"/>
                <w:szCs w:val="14"/>
                <w:lang w:eastAsia="tr-TR"/>
              </w:rPr>
            </w:pPr>
            <w:r w:rsidRPr="00AC1668">
              <w:rPr>
                <w:color w:val="000000"/>
                <w:sz w:val="14"/>
                <w:szCs w:val="14"/>
              </w:rPr>
              <w:t> </w:t>
            </w:r>
          </w:p>
        </w:tc>
        <w:tc>
          <w:tcPr>
            <w:tcW w:w="405" w:type="pct"/>
            <w:tcBorders>
              <w:top w:val="nil"/>
              <w:left w:val="nil"/>
              <w:bottom w:val="nil"/>
              <w:right w:val="single" w:sz="4" w:space="0" w:color="auto"/>
            </w:tcBorders>
            <w:shd w:val="clear" w:color="000000" w:fill="FFFFFF"/>
            <w:vAlign w:val="bottom"/>
            <w:hideMark/>
          </w:tcPr>
          <w:p w14:paraId="5956E5C9" w14:textId="77777777" w:rsidR="0064066B" w:rsidRPr="00D275DF" w:rsidRDefault="0064066B" w:rsidP="00B76AD4">
            <w:pPr>
              <w:jc w:val="right"/>
              <w:rPr>
                <w:color w:val="000000"/>
                <w:sz w:val="14"/>
                <w:szCs w:val="14"/>
              </w:rPr>
            </w:pPr>
            <w:r w:rsidRPr="00D275DF">
              <w:rPr>
                <w:color w:val="000000"/>
                <w:sz w:val="14"/>
                <w:szCs w:val="14"/>
              </w:rPr>
              <w:t>-</w:t>
            </w:r>
          </w:p>
        </w:tc>
        <w:tc>
          <w:tcPr>
            <w:tcW w:w="397" w:type="pct"/>
            <w:tcBorders>
              <w:top w:val="nil"/>
              <w:left w:val="nil"/>
              <w:bottom w:val="nil"/>
              <w:right w:val="single" w:sz="4" w:space="0" w:color="auto"/>
            </w:tcBorders>
            <w:shd w:val="clear" w:color="000000" w:fill="FFFFFF"/>
            <w:vAlign w:val="bottom"/>
            <w:hideMark/>
          </w:tcPr>
          <w:p w14:paraId="75BA402F" w14:textId="77777777" w:rsidR="0064066B" w:rsidRPr="00D275DF" w:rsidRDefault="0064066B" w:rsidP="00B76AD4">
            <w:pPr>
              <w:jc w:val="right"/>
              <w:rPr>
                <w:color w:val="000000"/>
                <w:sz w:val="14"/>
                <w:szCs w:val="14"/>
              </w:rPr>
            </w:pPr>
            <w:r w:rsidRPr="00D275DF">
              <w:rPr>
                <w:color w:val="000000"/>
                <w:sz w:val="14"/>
                <w:szCs w:val="14"/>
              </w:rPr>
              <w:t>-</w:t>
            </w:r>
          </w:p>
        </w:tc>
        <w:tc>
          <w:tcPr>
            <w:tcW w:w="477" w:type="pct"/>
            <w:tcBorders>
              <w:top w:val="nil"/>
              <w:left w:val="nil"/>
              <w:bottom w:val="nil"/>
              <w:right w:val="single" w:sz="4" w:space="0" w:color="auto"/>
            </w:tcBorders>
            <w:shd w:val="clear" w:color="000000" w:fill="FFFFFF"/>
            <w:vAlign w:val="bottom"/>
            <w:hideMark/>
          </w:tcPr>
          <w:p w14:paraId="053D480F" w14:textId="77777777" w:rsidR="0064066B" w:rsidRPr="00D275DF" w:rsidRDefault="0064066B" w:rsidP="00B76AD4">
            <w:pPr>
              <w:jc w:val="right"/>
              <w:rPr>
                <w:color w:val="000000"/>
                <w:sz w:val="14"/>
                <w:szCs w:val="14"/>
              </w:rPr>
            </w:pPr>
            <w:r w:rsidRPr="00D275DF">
              <w:rPr>
                <w:color w:val="000000"/>
                <w:sz w:val="14"/>
                <w:szCs w:val="14"/>
              </w:rPr>
              <w:t>-</w:t>
            </w:r>
          </w:p>
        </w:tc>
      </w:tr>
      <w:tr w:rsidR="0064066B" w:rsidRPr="00AC1668" w14:paraId="04AB712D" w14:textId="77777777" w:rsidTr="00234709">
        <w:trPr>
          <w:trHeight w:val="20"/>
        </w:trPr>
        <w:tc>
          <w:tcPr>
            <w:tcW w:w="305" w:type="pct"/>
            <w:tcBorders>
              <w:top w:val="nil"/>
              <w:left w:val="single" w:sz="4" w:space="0" w:color="auto"/>
              <w:bottom w:val="nil"/>
              <w:right w:val="nil"/>
            </w:tcBorders>
            <w:noWrap/>
            <w:hideMark/>
          </w:tcPr>
          <w:p w14:paraId="3AAD4952" w14:textId="77777777" w:rsidR="0064066B" w:rsidRPr="00AC1668" w:rsidRDefault="0064066B" w:rsidP="00B76AD4">
            <w:pPr>
              <w:rPr>
                <w:color w:val="000000"/>
                <w:sz w:val="14"/>
                <w:szCs w:val="14"/>
              </w:rPr>
            </w:pPr>
            <w:r w:rsidRPr="00AC1668">
              <w:rPr>
                <w:color w:val="000000"/>
                <w:sz w:val="14"/>
                <w:szCs w:val="14"/>
              </w:rPr>
              <w:t>14.5.4</w:t>
            </w:r>
          </w:p>
        </w:tc>
        <w:tc>
          <w:tcPr>
            <w:tcW w:w="3045" w:type="pct"/>
            <w:tcBorders>
              <w:top w:val="nil"/>
              <w:left w:val="nil"/>
              <w:bottom w:val="nil"/>
              <w:right w:val="nil"/>
            </w:tcBorders>
            <w:hideMark/>
          </w:tcPr>
          <w:p w14:paraId="24E2B345" w14:textId="77777777" w:rsidR="0064066B" w:rsidRPr="00AC1668" w:rsidRDefault="0064066B" w:rsidP="00B76AD4">
            <w:pPr>
              <w:rPr>
                <w:color w:val="000000"/>
                <w:sz w:val="14"/>
                <w:szCs w:val="14"/>
              </w:rPr>
            </w:pPr>
            <w:r w:rsidRPr="00AC1668">
              <w:rPr>
                <w:color w:val="000000"/>
                <w:sz w:val="14"/>
                <w:szCs w:val="14"/>
              </w:rPr>
              <w:t>Diğer Kâr Yedekleri</w:t>
            </w:r>
          </w:p>
        </w:tc>
        <w:tc>
          <w:tcPr>
            <w:tcW w:w="371" w:type="pct"/>
            <w:tcBorders>
              <w:top w:val="nil"/>
              <w:left w:val="single" w:sz="4" w:space="0" w:color="auto"/>
              <w:bottom w:val="nil"/>
              <w:right w:val="single" w:sz="4" w:space="0" w:color="auto"/>
            </w:tcBorders>
            <w:vAlign w:val="bottom"/>
            <w:hideMark/>
          </w:tcPr>
          <w:p w14:paraId="280427CC" w14:textId="77777777" w:rsidR="0064066B" w:rsidRPr="00AC1668" w:rsidRDefault="0064066B" w:rsidP="00B76AD4">
            <w:pPr>
              <w:jc w:val="center"/>
              <w:rPr>
                <w:color w:val="000000"/>
                <w:sz w:val="14"/>
                <w:szCs w:val="14"/>
                <w:lang w:eastAsia="tr-TR"/>
              </w:rPr>
            </w:pPr>
            <w:r w:rsidRPr="00AC1668">
              <w:rPr>
                <w:color w:val="000000"/>
                <w:sz w:val="14"/>
                <w:szCs w:val="14"/>
              </w:rPr>
              <w:t> </w:t>
            </w:r>
          </w:p>
        </w:tc>
        <w:tc>
          <w:tcPr>
            <w:tcW w:w="405" w:type="pct"/>
            <w:tcBorders>
              <w:top w:val="nil"/>
              <w:left w:val="nil"/>
              <w:bottom w:val="nil"/>
              <w:right w:val="single" w:sz="4" w:space="0" w:color="auto"/>
            </w:tcBorders>
            <w:shd w:val="clear" w:color="000000" w:fill="FFFFFF"/>
            <w:vAlign w:val="bottom"/>
            <w:hideMark/>
          </w:tcPr>
          <w:p w14:paraId="1E2F6AD9" w14:textId="77777777" w:rsidR="0064066B" w:rsidRPr="00D275DF" w:rsidRDefault="0064066B" w:rsidP="00B76AD4">
            <w:pPr>
              <w:jc w:val="right"/>
              <w:rPr>
                <w:color w:val="000000"/>
                <w:sz w:val="14"/>
                <w:szCs w:val="14"/>
              </w:rPr>
            </w:pPr>
            <w:r w:rsidRPr="00D275DF">
              <w:rPr>
                <w:color w:val="000000"/>
                <w:sz w:val="14"/>
                <w:szCs w:val="14"/>
              </w:rPr>
              <w:t>-</w:t>
            </w:r>
          </w:p>
        </w:tc>
        <w:tc>
          <w:tcPr>
            <w:tcW w:w="397" w:type="pct"/>
            <w:tcBorders>
              <w:top w:val="nil"/>
              <w:left w:val="nil"/>
              <w:bottom w:val="nil"/>
              <w:right w:val="single" w:sz="4" w:space="0" w:color="auto"/>
            </w:tcBorders>
            <w:shd w:val="clear" w:color="000000" w:fill="FFFFFF"/>
            <w:vAlign w:val="bottom"/>
            <w:hideMark/>
          </w:tcPr>
          <w:p w14:paraId="1C22C5C6" w14:textId="77777777" w:rsidR="0064066B" w:rsidRPr="00D275DF" w:rsidRDefault="0064066B" w:rsidP="00B76AD4">
            <w:pPr>
              <w:jc w:val="right"/>
              <w:rPr>
                <w:color w:val="000000"/>
                <w:sz w:val="14"/>
                <w:szCs w:val="14"/>
              </w:rPr>
            </w:pPr>
            <w:r w:rsidRPr="00D275DF">
              <w:rPr>
                <w:color w:val="000000"/>
                <w:sz w:val="14"/>
                <w:szCs w:val="14"/>
              </w:rPr>
              <w:t>-</w:t>
            </w:r>
          </w:p>
        </w:tc>
        <w:tc>
          <w:tcPr>
            <w:tcW w:w="477" w:type="pct"/>
            <w:tcBorders>
              <w:top w:val="nil"/>
              <w:left w:val="nil"/>
              <w:bottom w:val="nil"/>
              <w:right w:val="single" w:sz="4" w:space="0" w:color="auto"/>
            </w:tcBorders>
            <w:shd w:val="clear" w:color="000000" w:fill="FFFFFF"/>
            <w:vAlign w:val="bottom"/>
            <w:hideMark/>
          </w:tcPr>
          <w:p w14:paraId="7D0A0695" w14:textId="77777777" w:rsidR="0064066B" w:rsidRPr="00D275DF" w:rsidRDefault="0064066B" w:rsidP="00B76AD4">
            <w:pPr>
              <w:jc w:val="right"/>
              <w:rPr>
                <w:color w:val="000000"/>
                <w:sz w:val="14"/>
                <w:szCs w:val="14"/>
              </w:rPr>
            </w:pPr>
            <w:r w:rsidRPr="00D275DF">
              <w:rPr>
                <w:color w:val="000000"/>
                <w:sz w:val="14"/>
                <w:szCs w:val="14"/>
              </w:rPr>
              <w:t>-</w:t>
            </w:r>
          </w:p>
        </w:tc>
      </w:tr>
      <w:tr w:rsidR="0064066B" w:rsidRPr="00AC1668" w14:paraId="7694409C" w14:textId="77777777" w:rsidTr="00234709">
        <w:trPr>
          <w:trHeight w:val="20"/>
        </w:trPr>
        <w:tc>
          <w:tcPr>
            <w:tcW w:w="305" w:type="pct"/>
            <w:tcBorders>
              <w:top w:val="nil"/>
              <w:left w:val="single" w:sz="4" w:space="0" w:color="auto"/>
              <w:bottom w:val="nil"/>
              <w:right w:val="nil"/>
            </w:tcBorders>
            <w:noWrap/>
            <w:hideMark/>
          </w:tcPr>
          <w:p w14:paraId="40218651" w14:textId="77777777" w:rsidR="0064066B" w:rsidRPr="00AC1668" w:rsidRDefault="0064066B" w:rsidP="00B76AD4">
            <w:pPr>
              <w:rPr>
                <w:color w:val="000000"/>
                <w:sz w:val="14"/>
                <w:szCs w:val="14"/>
              </w:rPr>
            </w:pPr>
            <w:r w:rsidRPr="00AC1668">
              <w:rPr>
                <w:color w:val="000000"/>
                <w:sz w:val="14"/>
                <w:szCs w:val="14"/>
              </w:rPr>
              <w:t>14.6</w:t>
            </w:r>
          </w:p>
        </w:tc>
        <w:tc>
          <w:tcPr>
            <w:tcW w:w="3045" w:type="pct"/>
            <w:tcBorders>
              <w:top w:val="nil"/>
              <w:left w:val="nil"/>
              <w:bottom w:val="nil"/>
              <w:right w:val="nil"/>
            </w:tcBorders>
            <w:hideMark/>
          </w:tcPr>
          <w:p w14:paraId="612AA964" w14:textId="77777777" w:rsidR="0064066B" w:rsidRPr="00AC1668" w:rsidRDefault="0064066B" w:rsidP="00B76AD4">
            <w:pPr>
              <w:rPr>
                <w:color w:val="000000"/>
                <w:sz w:val="14"/>
                <w:szCs w:val="14"/>
              </w:rPr>
            </w:pPr>
            <w:r w:rsidRPr="00AC1668">
              <w:rPr>
                <w:color w:val="000000"/>
                <w:sz w:val="14"/>
                <w:szCs w:val="14"/>
              </w:rPr>
              <w:t>Kâr veya Zarar</w:t>
            </w:r>
          </w:p>
        </w:tc>
        <w:tc>
          <w:tcPr>
            <w:tcW w:w="371" w:type="pct"/>
            <w:tcBorders>
              <w:top w:val="nil"/>
              <w:left w:val="single" w:sz="4" w:space="0" w:color="auto"/>
              <w:bottom w:val="nil"/>
              <w:right w:val="single" w:sz="4" w:space="0" w:color="auto"/>
            </w:tcBorders>
            <w:vAlign w:val="bottom"/>
            <w:hideMark/>
          </w:tcPr>
          <w:p w14:paraId="3CB1449C" w14:textId="77777777" w:rsidR="0064066B" w:rsidRPr="00AC1668" w:rsidRDefault="0064066B" w:rsidP="00B76AD4">
            <w:pPr>
              <w:jc w:val="center"/>
              <w:rPr>
                <w:color w:val="000000"/>
                <w:sz w:val="14"/>
                <w:szCs w:val="14"/>
                <w:lang w:eastAsia="tr-TR"/>
              </w:rPr>
            </w:pPr>
            <w:r w:rsidRPr="00AC1668">
              <w:rPr>
                <w:color w:val="000000"/>
                <w:sz w:val="14"/>
                <w:szCs w:val="14"/>
              </w:rPr>
              <w:t> </w:t>
            </w:r>
          </w:p>
        </w:tc>
        <w:tc>
          <w:tcPr>
            <w:tcW w:w="405" w:type="pct"/>
            <w:tcBorders>
              <w:top w:val="nil"/>
              <w:left w:val="nil"/>
              <w:bottom w:val="nil"/>
              <w:right w:val="single" w:sz="4" w:space="0" w:color="auto"/>
            </w:tcBorders>
            <w:shd w:val="clear" w:color="000000" w:fill="FFFFFF"/>
            <w:vAlign w:val="bottom"/>
            <w:hideMark/>
          </w:tcPr>
          <w:p w14:paraId="41E0CA2B" w14:textId="77777777" w:rsidR="0064066B" w:rsidRPr="00D275DF" w:rsidRDefault="0064066B" w:rsidP="00B76AD4">
            <w:pPr>
              <w:jc w:val="right"/>
              <w:rPr>
                <w:color w:val="000000"/>
                <w:sz w:val="14"/>
                <w:szCs w:val="14"/>
              </w:rPr>
            </w:pPr>
            <w:r w:rsidRPr="00D275DF">
              <w:rPr>
                <w:color w:val="000000"/>
                <w:sz w:val="14"/>
                <w:szCs w:val="14"/>
              </w:rPr>
              <w:t>1.340.594</w:t>
            </w:r>
          </w:p>
        </w:tc>
        <w:tc>
          <w:tcPr>
            <w:tcW w:w="397" w:type="pct"/>
            <w:tcBorders>
              <w:top w:val="nil"/>
              <w:left w:val="nil"/>
              <w:bottom w:val="nil"/>
              <w:right w:val="single" w:sz="4" w:space="0" w:color="auto"/>
            </w:tcBorders>
            <w:shd w:val="clear" w:color="000000" w:fill="FFFFFF"/>
            <w:vAlign w:val="bottom"/>
            <w:hideMark/>
          </w:tcPr>
          <w:p w14:paraId="67B8A7EA" w14:textId="77777777" w:rsidR="0064066B" w:rsidRPr="00D275DF" w:rsidRDefault="0064066B" w:rsidP="00B76AD4">
            <w:pPr>
              <w:jc w:val="right"/>
              <w:rPr>
                <w:color w:val="000000"/>
                <w:sz w:val="14"/>
                <w:szCs w:val="14"/>
              </w:rPr>
            </w:pPr>
            <w:r w:rsidRPr="00D275DF">
              <w:rPr>
                <w:color w:val="000000"/>
                <w:sz w:val="14"/>
                <w:szCs w:val="14"/>
              </w:rPr>
              <w:t>-</w:t>
            </w:r>
          </w:p>
        </w:tc>
        <w:tc>
          <w:tcPr>
            <w:tcW w:w="477" w:type="pct"/>
            <w:tcBorders>
              <w:top w:val="nil"/>
              <w:left w:val="nil"/>
              <w:bottom w:val="nil"/>
              <w:right w:val="single" w:sz="4" w:space="0" w:color="auto"/>
            </w:tcBorders>
            <w:shd w:val="clear" w:color="000000" w:fill="FFFFFF"/>
            <w:vAlign w:val="bottom"/>
            <w:hideMark/>
          </w:tcPr>
          <w:p w14:paraId="320EA31C" w14:textId="77777777" w:rsidR="0064066B" w:rsidRPr="00D275DF" w:rsidRDefault="0064066B" w:rsidP="00B76AD4">
            <w:pPr>
              <w:jc w:val="right"/>
              <w:rPr>
                <w:color w:val="000000"/>
                <w:sz w:val="14"/>
                <w:szCs w:val="14"/>
              </w:rPr>
            </w:pPr>
            <w:r w:rsidRPr="00D275DF">
              <w:rPr>
                <w:color w:val="000000"/>
                <w:sz w:val="14"/>
                <w:szCs w:val="14"/>
              </w:rPr>
              <w:t>1.340.594</w:t>
            </w:r>
          </w:p>
        </w:tc>
      </w:tr>
      <w:tr w:rsidR="0064066B" w:rsidRPr="00AC1668" w14:paraId="3C914E1D" w14:textId="77777777" w:rsidTr="00234709">
        <w:trPr>
          <w:trHeight w:val="20"/>
        </w:trPr>
        <w:tc>
          <w:tcPr>
            <w:tcW w:w="305" w:type="pct"/>
            <w:tcBorders>
              <w:top w:val="nil"/>
              <w:left w:val="single" w:sz="4" w:space="0" w:color="auto"/>
              <w:bottom w:val="nil"/>
              <w:right w:val="nil"/>
            </w:tcBorders>
            <w:noWrap/>
            <w:hideMark/>
          </w:tcPr>
          <w:p w14:paraId="307F9FE7" w14:textId="77777777" w:rsidR="0064066B" w:rsidRPr="00AC1668" w:rsidRDefault="0064066B" w:rsidP="00B76AD4">
            <w:pPr>
              <w:rPr>
                <w:color w:val="000000"/>
                <w:sz w:val="14"/>
                <w:szCs w:val="14"/>
              </w:rPr>
            </w:pPr>
            <w:r w:rsidRPr="00AC1668">
              <w:rPr>
                <w:color w:val="000000"/>
                <w:sz w:val="14"/>
                <w:szCs w:val="14"/>
              </w:rPr>
              <w:t>14.6.1</w:t>
            </w:r>
          </w:p>
        </w:tc>
        <w:tc>
          <w:tcPr>
            <w:tcW w:w="3045" w:type="pct"/>
            <w:tcBorders>
              <w:top w:val="nil"/>
              <w:left w:val="nil"/>
              <w:bottom w:val="nil"/>
              <w:right w:val="nil"/>
            </w:tcBorders>
            <w:hideMark/>
          </w:tcPr>
          <w:p w14:paraId="2B2624E1" w14:textId="77777777" w:rsidR="0064066B" w:rsidRPr="00AC1668" w:rsidRDefault="0064066B" w:rsidP="00B76AD4">
            <w:pPr>
              <w:rPr>
                <w:color w:val="000000"/>
                <w:sz w:val="14"/>
                <w:szCs w:val="14"/>
              </w:rPr>
            </w:pPr>
            <w:r w:rsidRPr="00AC1668">
              <w:rPr>
                <w:color w:val="000000"/>
                <w:sz w:val="14"/>
                <w:szCs w:val="14"/>
              </w:rPr>
              <w:t>Geçmiş Yıllar Kâr veya Zararı</w:t>
            </w:r>
          </w:p>
        </w:tc>
        <w:tc>
          <w:tcPr>
            <w:tcW w:w="371" w:type="pct"/>
            <w:tcBorders>
              <w:top w:val="nil"/>
              <w:left w:val="single" w:sz="4" w:space="0" w:color="auto"/>
              <w:bottom w:val="nil"/>
              <w:right w:val="single" w:sz="4" w:space="0" w:color="auto"/>
            </w:tcBorders>
            <w:vAlign w:val="bottom"/>
            <w:hideMark/>
          </w:tcPr>
          <w:p w14:paraId="71619BE9" w14:textId="77777777" w:rsidR="0064066B" w:rsidRPr="00AC1668" w:rsidRDefault="0064066B" w:rsidP="00B76AD4">
            <w:pPr>
              <w:jc w:val="center"/>
              <w:rPr>
                <w:color w:val="000000"/>
                <w:sz w:val="14"/>
                <w:szCs w:val="14"/>
                <w:lang w:eastAsia="tr-TR"/>
              </w:rPr>
            </w:pPr>
            <w:r w:rsidRPr="00AC1668">
              <w:rPr>
                <w:color w:val="000000"/>
                <w:sz w:val="14"/>
                <w:szCs w:val="14"/>
              </w:rPr>
              <w:t> </w:t>
            </w:r>
          </w:p>
        </w:tc>
        <w:tc>
          <w:tcPr>
            <w:tcW w:w="405" w:type="pct"/>
            <w:tcBorders>
              <w:top w:val="nil"/>
              <w:left w:val="nil"/>
              <w:bottom w:val="nil"/>
              <w:right w:val="single" w:sz="4" w:space="0" w:color="auto"/>
            </w:tcBorders>
            <w:shd w:val="clear" w:color="000000" w:fill="FFFFFF"/>
            <w:vAlign w:val="bottom"/>
            <w:hideMark/>
          </w:tcPr>
          <w:p w14:paraId="6E64EBD0" w14:textId="77777777" w:rsidR="0064066B" w:rsidRPr="00D275DF" w:rsidRDefault="0064066B" w:rsidP="00B76AD4">
            <w:pPr>
              <w:jc w:val="right"/>
              <w:rPr>
                <w:color w:val="000000"/>
                <w:sz w:val="14"/>
                <w:szCs w:val="14"/>
              </w:rPr>
            </w:pPr>
            <w:r w:rsidRPr="00D275DF">
              <w:rPr>
                <w:color w:val="000000"/>
                <w:sz w:val="14"/>
                <w:szCs w:val="14"/>
              </w:rPr>
              <w:t>(13.048)</w:t>
            </w:r>
          </w:p>
        </w:tc>
        <w:tc>
          <w:tcPr>
            <w:tcW w:w="397" w:type="pct"/>
            <w:tcBorders>
              <w:top w:val="nil"/>
              <w:left w:val="nil"/>
              <w:bottom w:val="nil"/>
              <w:right w:val="single" w:sz="4" w:space="0" w:color="auto"/>
            </w:tcBorders>
            <w:shd w:val="clear" w:color="000000" w:fill="FFFFFF"/>
            <w:vAlign w:val="bottom"/>
            <w:hideMark/>
          </w:tcPr>
          <w:p w14:paraId="30B7884B" w14:textId="77777777" w:rsidR="0064066B" w:rsidRPr="00D275DF" w:rsidRDefault="0064066B" w:rsidP="00B76AD4">
            <w:pPr>
              <w:jc w:val="right"/>
              <w:rPr>
                <w:color w:val="000000"/>
                <w:sz w:val="14"/>
                <w:szCs w:val="14"/>
              </w:rPr>
            </w:pPr>
            <w:r w:rsidRPr="00D275DF">
              <w:rPr>
                <w:color w:val="000000"/>
                <w:sz w:val="14"/>
                <w:szCs w:val="14"/>
              </w:rPr>
              <w:t>-</w:t>
            </w:r>
          </w:p>
        </w:tc>
        <w:tc>
          <w:tcPr>
            <w:tcW w:w="477" w:type="pct"/>
            <w:tcBorders>
              <w:top w:val="nil"/>
              <w:left w:val="nil"/>
              <w:bottom w:val="nil"/>
              <w:right w:val="single" w:sz="4" w:space="0" w:color="auto"/>
            </w:tcBorders>
            <w:shd w:val="clear" w:color="000000" w:fill="FFFFFF"/>
            <w:vAlign w:val="bottom"/>
            <w:hideMark/>
          </w:tcPr>
          <w:p w14:paraId="0BF4774C" w14:textId="77777777" w:rsidR="0064066B" w:rsidRPr="00D275DF" w:rsidRDefault="0064066B" w:rsidP="00B76AD4">
            <w:pPr>
              <w:jc w:val="right"/>
              <w:rPr>
                <w:color w:val="000000"/>
                <w:sz w:val="14"/>
                <w:szCs w:val="14"/>
              </w:rPr>
            </w:pPr>
            <w:r w:rsidRPr="00D275DF">
              <w:rPr>
                <w:color w:val="000000"/>
                <w:sz w:val="14"/>
                <w:szCs w:val="14"/>
              </w:rPr>
              <w:t>(13.048)</w:t>
            </w:r>
          </w:p>
        </w:tc>
      </w:tr>
      <w:tr w:rsidR="0064066B" w:rsidRPr="00AC1668" w14:paraId="7E976A88" w14:textId="77777777" w:rsidTr="00234709">
        <w:trPr>
          <w:trHeight w:val="20"/>
        </w:trPr>
        <w:tc>
          <w:tcPr>
            <w:tcW w:w="305" w:type="pct"/>
            <w:tcBorders>
              <w:top w:val="nil"/>
              <w:left w:val="single" w:sz="4" w:space="0" w:color="auto"/>
              <w:bottom w:val="nil"/>
              <w:right w:val="nil"/>
            </w:tcBorders>
            <w:noWrap/>
            <w:hideMark/>
          </w:tcPr>
          <w:p w14:paraId="2D6E8E85" w14:textId="77777777" w:rsidR="0064066B" w:rsidRPr="00AC1668" w:rsidRDefault="0064066B" w:rsidP="00B76AD4">
            <w:pPr>
              <w:rPr>
                <w:color w:val="000000"/>
                <w:sz w:val="14"/>
                <w:szCs w:val="14"/>
              </w:rPr>
            </w:pPr>
            <w:r w:rsidRPr="00AC1668">
              <w:rPr>
                <w:color w:val="000000"/>
                <w:sz w:val="14"/>
                <w:szCs w:val="14"/>
              </w:rPr>
              <w:t>14.6.2</w:t>
            </w:r>
          </w:p>
        </w:tc>
        <w:tc>
          <w:tcPr>
            <w:tcW w:w="3045" w:type="pct"/>
            <w:tcBorders>
              <w:top w:val="nil"/>
              <w:left w:val="nil"/>
              <w:bottom w:val="nil"/>
              <w:right w:val="nil"/>
            </w:tcBorders>
            <w:hideMark/>
          </w:tcPr>
          <w:p w14:paraId="055E51F2" w14:textId="77777777" w:rsidR="0064066B" w:rsidRPr="00AC1668" w:rsidRDefault="0064066B" w:rsidP="00B76AD4">
            <w:pPr>
              <w:rPr>
                <w:color w:val="000000"/>
                <w:sz w:val="14"/>
                <w:szCs w:val="14"/>
              </w:rPr>
            </w:pPr>
            <w:r w:rsidRPr="00AC1668">
              <w:rPr>
                <w:color w:val="000000"/>
                <w:sz w:val="14"/>
                <w:szCs w:val="14"/>
              </w:rPr>
              <w:t>Dönem Net Kâr veya Zararı</w:t>
            </w:r>
          </w:p>
        </w:tc>
        <w:tc>
          <w:tcPr>
            <w:tcW w:w="371" w:type="pct"/>
            <w:tcBorders>
              <w:top w:val="nil"/>
              <w:left w:val="single" w:sz="4" w:space="0" w:color="auto"/>
              <w:bottom w:val="nil"/>
              <w:right w:val="single" w:sz="4" w:space="0" w:color="auto"/>
            </w:tcBorders>
            <w:vAlign w:val="bottom"/>
            <w:hideMark/>
          </w:tcPr>
          <w:p w14:paraId="0E7A6B49" w14:textId="77777777" w:rsidR="0064066B" w:rsidRPr="00AC1668" w:rsidRDefault="0064066B" w:rsidP="00B76AD4">
            <w:pPr>
              <w:jc w:val="center"/>
              <w:rPr>
                <w:color w:val="000000"/>
                <w:sz w:val="14"/>
                <w:szCs w:val="14"/>
                <w:lang w:eastAsia="tr-TR"/>
              </w:rPr>
            </w:pPr>
            <w:r w:rsidRPr="00AC1668">
              <w:rPr>
                <w:color w:val="000000"/>
                <w:sz w:val="14"/>
                <w:szCs w:val="14"/>
              </w:rPr>
              <w:t> </w:t>
            </w:r>
          </w:p>
        </w:tc>
        <w:tc>
          <w:tcPr>
            <w:tcW w:w="405" w:type="pct"/>
            <w:tcBorders>
              <w:top w:val="nil"/>
              <w:left w:val="nil"/>
              <w:bottom w:val="nil"/>
              <w:right w:val="single" w:sz="4" w:space="0" w:color="auto"/>
            </w:tcBorders>
            <w:shd w:val="clear" w:color="000000" w:fill="FFFFFF"/>
            <w:vAlign w:val="bottom"/>
            <w:hideMark/>
          </w:tcPr>
          <w:p w14:paraId="30F1E64A" w14:textId="77777777" w:rsidR="0064066B" w:rsidRPr="00D275DF" w:rsidRDefault="0064066B" w:rsidP="00B76AD4">
            <w:pPr>
              <w:jc w:val="right"/>
              <w:rPr>
                <w:color w:val="000000"/>
                <w:sz w:val="14"/>
                <w:szCs w:val="14"/>
              </w:rPr>
            </w:pPr>
            <w:r w:rsidRPr="00D275DF">
              <w:rPr>
                <w:color w:val="000000"/>
                <w:sz w:val="14"/>
                <w:szCs w:val="14"/>
              </w:rPr>
              <w:t>1.353.642</w:t>
            </w:r>
          </w:p>
        </w:tc>
        <w:tc>
          <w:tcPr>
            <w:tcW w:w="397" w:type="pct"/>
            <w:tcBorders>
              <w:top w:val="nil"/>
              <w:left w:val="nil"/>
              <w:bottom w:val="nil"/>
              <w:right w:val="single" w:sz="4" w:space="0" w:color="auto"/>
            </w:tcBorders>
            <w:shd w:val="clear" w:color="000000" w:fill="FFFFFF"/>
            <w:vAlign w:val="bottom"/>
            <w:hideMark/>
          </w:tcPr>
          <w:p w14:paraId="4B1C60FA" w14:textId="77777777" w:rsidR="0064066B" w:rsidRPr="00D275DF" w:rsidRDefault="0064066B" w:rsidP="00B76AD4">
            <w:pPr>
              <w:jc w:val="right"/>
              <w:rPr>
                <w:color w:val="000000"/>
                <w:sz w:val="14"/>
                <w:szCs w:val="14"/>
              </w:rPr>
            </w:pPr>
            <w:r w:rsidRPr="00D275DF">
              <w:rPr>
                <w:color w:val="000000"/>
                <w:sz w:val="14"/>
                <w:szCs w:val="14"/>
              </w:rPr>
              <w:t>-</w:t>
            </w:r>
          </w:p>
        </w:tc>
        <w:tc>
          <w:tcPr>
            <w:tcW w:w="477" w:type="pct"/>
            <w:tcBorders>
              <w:top w:val="nil"/>
              <w:left w:val="nil"/>
              <w:bottom w:val="nil"/>
              <w:right w:val="single" w:sz="4" w:space="0" w:color="auto"/>
            </w:tcBorders>
            <w:shd w:val="clear" w:color="000000" w:fill="FFFFFF"/>
            <w:vAlign w:val="bottom"/>
            <w:hideMark/>
          </w:tcPr>
          <w:p w14:paraId="1AC12439" w14:textId="77777777" w:rsidR="0064066B" w:rsidRPr="00D275DF" w:rsidRDefault="0064066B" w:rsidP="00B76AD4">
            <w:pPr>
              <w:jc w:val="right"/>
              <w:rPr>
                <w:color w:val="000000"/>
                <w:sz w:val="14"/>
                <w:szCs w:val="14"/>
              </w:rPr>
            </w:pPr>
            <w:r w:rsidRPr="00D275DF">
              <w:rPr>
                <w:color w:val="000000"/>
                <w:sz w:val="14"/>
                <w:szCs w:val="14"/>
              </w:rPr>
              <w:t>1.353.642</w:t>
            </w:r>
          </w:p>
        </w:tc>
      </w:tr>
      <w:tr w:rsidR="0064066B" w:rsidRPr="00AC1668" w14:paraId="2D2B81E9" w14:textId="77777777" w:rsidTr="00234709">
        <w:trPr>
          <w:trHeight w:val="20"/>
        </w:trPr>
        <w:tc>
          <w:tcPr>
            <w:tcW w:w="305" w:type="pct"/>
            <w:tcBorders>
              <w:top w:val="nil"/>
              <w:left w:val="single" w:sz="4" w:space="0" w:color="auto"/>
              <w:bottom w:val="single" w:sz="4" w:space="0" w:color="auto"/>
              <w:right w:val="nil"/>
            </w:tcBorders>
            <w:noWrap/>
            <w:hideMark/>
          </w:tcPr>
          <w:p w14:paraId="11DEDCB8" w14:textId="77777777" w:rsidR="0064066B" w:rsidRPr="00AC1668" w:rsidRDefault="0064066B" w:rsidP="00B76AD4">
            <w:pPr>
              <w:rPr>
                <w:color w:val="000000"/>
                <w:sz w:val="14"/>
                <w:szCs w:val="14"/>
              </w:rPr>
            </w:pPr>
            <w:r w:rsidRPr="00AC1668">
              <w:rPr>
                <w:color w:val="000000"/>
                <w:sz w:val="14"/>
                <w:szCs w:val="14"/>
              </w:rPr>
              <w:t> </w:t>
            </w:r>
          </w:p>
        </w:tc>
        <w:tc>
          <w:tcPr>
            <w:tcW w:w="3045" w:type="pct"/>
            <w:tcBorders>
              <w:top w:val="nil"/>
              <w:left w:val="nil"/>
              <w:bottom w:val="nil"/>
              <w:right w:val="nil"/>
            </w:tcBorders>
            <w:hideMark/>
          </w:tcPr>
          <w:p w14:paraId="2DC63551" w14:textId="77777777" w:rsidR="0064066B" w:rsidRPr="00AC1668" w:rsidRDefault="0064066B" w:rsidP="00B76AD4">
            <w:pPr>
              <w:rPr>
                <w:color w:val="000000"/>
                <w:sz w:val="14"/>
                <w:szCs w:val="14"/>
              </w:rPr>
            </w:pPr>
          </w:p>
        </w:tc>
        <w:tc>
          <w:tcPr>
            <w:tcW w:w="371" w:type="pct"/>
            <w:tcBorders>
              <w:top w:val="nil"/>
              <w:left w:val="single" w:sz="4" w:space="0" w:color="auto"/>
              <w:bottom w:val="nil"/>
              <w:right w:val="single" w:sz="4" w:space="0" w:color="auto"/>
            </w:tcBorders>
            <w:vAlign w:val="bottom"/>
            <w:hideMark/>
          </w:tcPr>
          <w:p w14:paraId="27F8404A" w14:textId="77777777" w:rsidR="0064066B" w:rsidRPr="00AC1668" w:rsidRDefault="0064066B" w:rsidP="00B76AD4">
            <w:pPr>
              <w:jc w:val="center"/>
              <w:rPr>
                <w:color w:val="000000"/>
                <w:sz w:val="14"/>
                <w:szCs w:val="14"/>
                <w:lang w:eastAsia="tr-TR"/>
              </w:rPr>
            </w:pPr>
            <w:r w:rsidRPr="00AC1668">
              <w:rPr>
                <w:color w:val="000000"/>
                <w:sz w:val="14"/>
                <w:szCs w:val="14"/>
              </w:rPr>
              <w:t> </w:t>
            </w:r>
          </w:p>
        </w:tc>
        <w:tc>
          <w:tcPr>
            <w:tcW w:w="405" w:type="pct"/>
            <w:tcBorders>
              <w:top w:val="nil"/>
              <w:left w:val="nil"/>
              <w:bottom w:val="nil"/>
              <w:right w:val="single" w:sz="4" w:space="0" w:color="auto"/>
            </w:tcBorders>
            <w:vAlign w:val="bottom"/>
            <w:hideMark/>
          </w:tcPr>
          <w:p w14:paraId="2083372E" w14:textId="77777777" w:rsidR="0064066B" w:rsidRPr="00D275DF" w:rsidRDefault="0064066B" w:rsidP="00B76AD4">
            <w:pPr>
              <w:jc w:val="right"/>
              <w:rPr>
                <w:color w:val="000000"/>
                <w:sz w:val="14"/>
                <w:szCs w:val="14"/>
              </w:rPr>
            </w:pPr>
            <w:r w:rsidRPr="00D275DF">
              <w:rPr>
                <w:color w:val="000000"/>
                <w:sz w:val="14"/>
                <w:szCs w:val="14"/>
              </w:rPr>
              <w:t> </w:t>
            </w:r>
          </w:p>
        </w:tc>
        <w:tc>
          <w:tcPr>
            <w:tcW w:w="397" w:type="pct"/>
            <w:tcBorders>
              <w:top w:val="nil"/>
              <w:left w:val="nil"/>
              <w:bottom w:val="nil"/>
              <w:right w:val="single" w:sz="4" w:space="0" w:color="auto"/>
            </w:tcBorders>
            <w:vAlign w:val="bottom"/>
            <w:hideMark/>
          </w:tcPr>
          <w:p w14:paraId="64E8986E" w14:textId="77777777" w:rsidR="0064066B" w:rsidRPr="00D275DF" w:rsidRDefault="0064066B" w:rsidP="00B76AD4">
            <w:pPr>
              <w:jc w:val="right"/>
              <w:rPr>
                <w:color w:val="000000"/>
                <w:sz w:val="14"/>
                <w:szCs w:val="14"/>
              </w:rPr>
            </w:pPr>
            <w:r w:rsidRPr="00D275DF">
              <w:rPr>
                <w:color w:val="000000"/>
                <w:sz w:val="14"/>
                <w:szCs w:val="14"/>
              </w:rPr>
              <w:t> </w:t>
            </w:r>
          </w:p>
        </w:tc>
        <w:tc>
          <w:tcPr>
            <w:tcW w:w="477" w:type="pct"/>
            <w:tcBorders>
              <w:top w:val="nil"/>
              <w:left w:val="nil"/>
              <w:bottom w:val="nil"/>
              <w:right w:val="single" w:sz="4" w:space="0" w:color="auto"/>
            </w:tcBorders>
            <w:vAlign w:val="bottom"/>
            <w:hideMark/>
          </w:tcPr>
          <w:p w14:paraId="4A2CA10E" w14:textId="77777777" w:rsidR="0064066B" w:rsidRPr="00D275DF" w:rsidRDefault="0064066B" w:rsidP="00B76AD4">
            <w:pPr>
              <w:jc w:val="right"/>
              <w:rPr>
                <w:color w:val="000000"/>
                <w:sz w:val="14"/>
                <w:szCs w:val="14"/>
              </w:rPr>
            </w:pPr>
            <w:r w:rsidRPr="00D275DF">
              <w:rPr>
                <w:color w:val="000000"/>
                <w:sz w:val="14"/>
                <w:szCs w:val="14"/>
              </w:rPr>
              <w:t> </w:t>
            </w:r>
          </w:p>
        </w:tc>
      </w:tr>
      <w:tr w:rsidR="0064066B" w:rsidRPr="00AC1668" w14:paraId="099D4872" w14:textId="77777777" w:rsidTr="00234709">
        <w:trPr>
          <w:trHeight w:val="20"/>
        </w:trPr>
        <w:tc>
          <w:tcPr>
            <w:tcW w:w="305" w:type="pct"/>
            <w:tcBorders>
              <w:top w:val="single" w:sz="4" w:space="0" w:color="auto"/>
              <w:left w:val="single" w:sz="4" w:space="0" w:color="auto"/>
              <w:bottom w:val="single" w:sz="4" w:space="0" w:color="auto"/>
            </w:tcBorders>
            <w:noWrap/>
            <w:hideMark/>
          </w:tcPr>
          <w:p w14:paraId="792389BA" w14:textId="77777777" w:rsidR="0064066B" w:rsidRPr="00AC1668" w:rsidRDefault="0064066B" w:rsidP="00B76AD4">
            <w:pPr>
              <w:rPr>
                <w:b/>
                <w:bCs/>
                <w:sz w:val="14"/>
                <w:szCs w:val="14"/>
              </w:rPr>
            </w:pPr>
            <w:r w:rsidRPr="00AC1668">
              <w:rPr>
                <w:b/>
                <w:bCs/>
                <w:sz w:val="14"/>
                <w:szCs w:val="14"/>
              </w:rPr>
              <w:t> </w:t>
            </w:r>
          </w:p>
        </w:tc>
        <w:tc>
          <w:tcPr>
            <w:tcW w:w="3045" w:type="pct"/>
            <w:tcBorders>
              <w:top w:val="single" w:sz="4" w:space="0" w:color="auto"/>
              <w:left w:val="nil"/>
              <w:bottom w:val="single" w:sz="4" w:space="0" w:color="auto"/>
              <w:right w:val="nil"/>
            </w:tcBorders>
            <w:hideMark/>
          </w:tcPr>
          <w:p w14:paraId="6367ACB7" w14:textId="77777777" w:rsidR="0064066B" w:rsidRPr="00AC1668" w:rsidRDefault="0064066B" w:rsidP="00B76AD4">
            <w:pPr>
              <w:rPr>
                <w:b/>
                <w:bCs/>
                <w:sz w:val="14"/>
                <w:szCs w:val="14"/>
              </w:rPr>
            </w:pPr>
            <w:r w:rsidRPr="00AC1668">
              <w:rPr>
                <w:b/>
                <w:bCs/>
                <w:sz w:val="14"/>
                <w:szCs w:val="14"/>
              </w:rPr>
              <w:t>YÜKÜMLÜLÜKLER TOPLAMI</w:t>
            </w:r>
          </w:p>
        </w:tc>
        <w:tc>
          <w:tcPr>
            <w:tcW w:w="371" w:type="pct"/>
            <w:tcBorders>
              <w:top w:val="single" w:sz="4" w:space="0" w:color="auto"/>
              <w:left w:val="single" w:sz="4" w:space="0" w:color="auto"/>
              <w:bottom w:val="single" w:sz="4" w:space="0" w:color="auto"/>
              <w:right w:val="single" w:sz="4" w:space="0" w:color="auto"/>
            </w:tcBorders>
            <w:vAlign w:val="bottom"/>
            <w:hideMark/>
          </w:tcPr>
          <w:p w14:paraId="1B59C3F8" w14:textId="77777777" w:rsidR="0064066B" w:rsidRPr="00AC1668" w:rsidRDefault="0064066B" w:rsidP="00B76AD4">
            <w:pPr>
              <w:jc w:val="center"/>
              <w:rPr>
                <w:color w:val="000000"/>
                <w:sz w:val="14"/>
                <w:szCs w:val="14"/>
                <w:lang w:eastAsia="tr-TR"/>
              </w:rPr>
            </w:pPr>
            <w:r w:rsidRPr="00AC1668">
              <w:rPr>
                <w:color w:val="000000"/>
                <w:sz w:val="14"/>
                <w:szCs w:val="14"/>
              </w:rPr>
              <w:t> </w:t>
            </w:r>
          </w:p>
        </w:tc>
        <w:tc>
          <w:tcPr>
            <w:tcW w:w="405" w:type="pct"/>
            <w:tcBorders>
              <w:top w:val="single" w:sz="4" w:space="0" w:color="auto"/>
              <w:left w:val="nil"/>
              <w:bottom w:val="single" w:sz="4" w:space="0" w:color="auto"/>
              <w:right w:val="single" w:sz="4" w:space="0" w:color="auto"/>
            </w:tcBorders>
            <w:shd w:val="clear" w:color="000000" w:fill="FFFFFF"/>
            <w:vAlign w:val="bottom"/>
            <w:hideMark/>
          </w:tcPr>
          <w:p w14:paraId="46DD73C3" w14:textId="77777777" w:rsidR="0064066B" w:rsidRPr="00D275DF" w:rsidRDefault="0064066B" w:rsidP="00B76AD4">
            <w:pPr>
              <w:jc w:val="right"/>
              <w:rPr>
                <w:b/>
                <w:bCs/>
                <w:color w:val="000000"/>
                <w:sz w:val="14"/>
                <w:szCs w:val="14"/>
              </w:rPr>
            </w:pPr>
            <w:r w:rsidRPr="00D275DF">
              <w:rPr>
                <w:b/>
                <w:bCs/>
                <w:color w:val="000000"/>
                <w:sz w:val="14"/>
                <w:szCs w:val="14"/>
              </w:rPr>
              <w:t>22.239.130</w:t>
            </w:r>
          </w:p>
        </w:tc>
        <w:tc>
          <w:tcPr>
            <w:tcW w:w="397" w:type="pct"/>
            <w:tcBorders>
              <w:top w:val="single" w:sz="4" w:space="0" w:color="auto"/>
              <w:left w:val="nil"/>
              <w:bottom w:val="single" w:sz="4" w:space="0" w:color="auto"/>
              <w:right w:val="single" w:sz="4" w:space="0" w:color="auto"/>
            </w:tcBorders>
            <w:shd w:val="clear" w:color="000000" w:fill="FFFFFF"/>
            <w:vAlign w:val="bottom"/>
            <w:hideMark/>
          </w:tcPr>
          <w:p w14:paraId="38AED2DC" w14:textId="77777777" w:rsidR="0064066B" w:rsidRPr="00D275DF" w:rsidRDefault="0064066B" w:rsidP="00B76AD4">
            <w:pPr>
              <w:jc w:val="right"/>
              <w:rPr>
                <w:b/>
                <w:bCs/>
                <w:color w:val="000000"/>
                <w:sz w:val="14"/>
                <w:szCs w:val="14"/>
              </w:rPr>
            </w:pPr>
            <w:r w:rsidRPr="00D275DF">
              <w:rPr>
                <w:b/>
                <w:bCs/>
                <w:color w:val="000000"/>
                <w:sz w:val="14"/>
                <w:szCs w:val="14"/>
              </w:rPr>
              <w:t>12.396.027</w:t>
            </w:r>
          </w:p>
        </w:tc>
        <w:tc>
          <w:tcPr>
            <w:tcW w:w="477" w:type="pct"/>
            <w:tcBorders>
              <w:top w:val="single" w:sz="4" w:space="0" w:color="auto"/>
              <w:left w:val="nil"/>
              <w:bottom w:val="single" w:sz="4" w:space="0" w:color="auto"/>
              <w:right w:val="single" w:sz="4" w:space="0" w:color="auto"/>
            </w:tcBorders>
            <w:shd w:val="clear" w:color="000000" w:fill="FFFFFF"/>
            <w:vAlign w:val="bottom"/>
            <w:hideMark/>
          </w:tcPr>
          <w:p w14:paraId="25DC25A7" w14:textId="77777777" w:rsidR="0064066B" w:rsidRPr="00D275DF" w:rsidRDefault="0064066B" w:rsidP="00B76AD4">
            <w:pPr>
              <w:jc w:val="right"/>
              <w:rPr>
                <w:b/>
                <w:bCs/>
                <w:color w:val="000000"/>
                <w:sz w:val="14"/>
                <w:szCs w:val="14"/>
              </w:rPr>
            </w:pPr>
            <w:r w:rsidRPr="00D275DF">
              <w:rPr>
                <w:b/>
                <w:bCs/>
                <w:color w:val="000000"/>
                <w:sz w:val="14"/>
                <w:szCs w:val="14"/>
              </w:rPr>
              <w:t>34.635.157</w:t>
            </w:r>
          </w:p>
        </w:tc>
      </w:tr>
    </w:tbl>
    <w:p w14:paraId="5CBBC814" w14:textId="77777777" w:rsidR="00234709" w:rsidRPr="00AC1668" w:rsidRDefault="00234709" w:rsidP="0064066B">
      <w:pPr>
        <w:rPr>
          <w:szCs w:val="20"/>
        </w:rPr>
      </w:pPr>
    </w:p>
    <w:p w14:paraId="52F00225" w14:textId="77777777" w:rsidR="009D2E02" w:rsidRPr="00AC1668" w:rsidRDefault="009D2E02" w:rsidP="009D2E02">
      <w:pPr>
        <w:widowControl w:val="0"/>
        <w:tabs>
          <w:tab w:val="left" w:pos="-426"/>
        </w:tabs>
        <w:ind w:right="-1"/>
        <w:jc w:val="both"/>
        <w:rPr>
          <w:sz w:val="18"/>
          <w:szCs w:val="18"/>
        </w:rPr>
      </w:pPr>
      <w:r w:rsidRPr="00AC1668">
        <w:rPr>
          <w:sz w:val="18"/>
          <w:szCs w:val="18"/>
        </w:rPr>
        <w:t>Banka, 1 Temmuz 2025 tarihi itibarıyla TFRS 9 Finansal Araçlar standardının değer düşüklüğüne ilişkin hükümlerini uygulamaya başlamış olup, önceki dönem finansal tabloları BDDK tarafından açıklanmış olan TFRS 9 uygulamayan bankalar için geçerli olan finansal tablo formatında sunulduğu için önceki dönem finansal tablo ve dipnotları yeniden düzenlenmemiş olup, ayrı olarak gösterilmiştir.</w:t>
      </w:r>
    </w:p>
    <w:p w14:paraId="7534AE10" w14:textId="77777777" w:rsidR="00234709" w:rsidRPr="00AC1668" w:rsidRDefault="00234709" w:rsidP="00234709">
      <w:pPr>
        <w:widowControl w:val="0"/>
        <w:tabs>
          <w:tab w:val="left" w:pos="-426"/>
        </w:tabs>
        <w:ind w:left="-426"/>
        <w:jc w:val="center"/>
      </w:pPr>
    </w:p>
    <w:p w14:paraId="01068F95" w14:textId="77777777" w:rsidR="00234709" w:rsidRPr="00AC1668" w:rsidRDefault="00234709" w:rsidP="00234709">
      <w:pPr>
        <w:widowControl w:val="0"/>
        <w:jc w:val="center"/>
        <w:rPr>
          <w:szCs w:val="20"/>
        </w:rPr>
      </w:pPr>
    </w:p>
    <w:p w14:paraId="73BEECAA" w14:textId="77777777" w:rsidR="00234709" w:rsidRPr="00AC1668" w:rsidRDefault="00234709" w:rsidP="00234709">
      <w:pPr>
        <w:widowControl w:val="0"/>
        <w:jc w:val="center"/>
        <w:rPr>
          <w:szCs w:val="20"/>
        </w:rPr>
      </w:pPr>
    </w:p>
    <w:p w14:paraId="7E8A3608" w14:textId="77777777" w:rsidR="00234709" w:rsidRPr="00AC1668" w:rsidRDefault="00234709" w:rsidP="00234709">
      <w:pPr>
        <w:widowControl w:val="0"/>
        <w:jc w:val="center"/>
        <w:rPr>
          <w:szCs w:val="20"/>
        </w:rPr>
      </w:pPr>
    </w:p>
    <w:p w14:paraId="1747DB74" w14:textId="77777777" w:rsidR="00234709" w:rsidRPr="00AC1668" w:rsidRDefault="00234709" w:rsidP="00234709">
      <w:pPr>
        <w:widowControl w:val="0"/>
        <w:jc w:val="center"/>
        <w:rPr>
          <w:szCs w:val="20"/>
        </w:rPr>
      </w:pPr>
    </w:p>
    <w:p w14:paraId="3ABA9F13" w14:textId="77777777" w:rsidR="00234709" w:rsidRDefault="00234709" w:rsidP="00234709">
      <w:pPr>
        <w:widowControl w:val="0"/>
        <w:jc w:val="center"/>
        <w:rPr>
          <w:szCs w:val="20"/>
        </w:rPr>
      </w:pPr>
    </w:p>
    <w:p w14:paraId="738B5114" w14:textId="77777777" w:rsidR="00F36B82" w:rsidRDefault="00F36B82" w:rsidP="00234709">
      <w:pPr>
        <w:widowControl w:val="0"/>
        <w:jc w:val="center"/>
        <w:rPr>
          <w:szCs w:val="20"/>
        </w:rPr>
      </w:pPr>
    </w:p>
    <w:p w14:paraId="4DB0DAB0" w14:textId="77777777" w:rsidR="00F36B82" w:rsidRPr="00AC1668" w:rsidRDefault="00F36B82" w:rsidP="00234709">
      <w:pPr>
        <w:widowControl w:val="0"/>
        <w:jc w:val="center"/>
        <w:rPr>
          <w:szCs w:val="20"/>
        </w:rPr>
      </w:pPr>
    </w:p>
    <w:p w14:paraId="24755CA4" w14:textId="77777777" w:rsidR="00234709" w:rsidRPr="00AC1668" w:rsidRDefault="00234709" w:rsidP="00234709">
      <w:pPr>
        <w:widowControl w:val="0"/>
        <w:jc w:val="center"/>
        <w:rPr>
          <w:szCs w:val="20"/>
        </w:rPr>
      </w:pPr>
    </w:p>
    <w:p w14:paraId="456FD705" w14:textId="77777777" w:rsidR="00234709" w:rsidRPr="00AC1668" w:rsidRDefault="00234709" w:rsidP="00234709">
      <w:pPr>
        <w:widowControl w:val="0"/>
        <w:jc w:val="center"/>
        <w:rPr>
          <w:szCs w:val="20"/>
        </w:rPr>
      </w:pPr>
    </w:p>
    <w:p w14:paraId="6E98B3AE" w14:textId="77777777" w:rsidR="00234709" w:rsidRPr="00AC1668" w:rsidRDefault="00234709" w:rsidP="00234709">
      <w:pPr>
        <w:widowControl w:val="0"/>
        <w:jc w:val="center"/>
        <w:rPr>
          <w:szCs w:val="20"/>
        </w:rPr>
      </w:pPr>
    </w:p>
    <w:p w14:paraId="73320462" w14:textId="77777777" w:rsidR="00234709" w:rsidRPr="00AC1668" w:rsidRDefault="00234709" w:rsidP="00234709">
      <w:pPr>
        <w:widowControl w:val="0"/>
        <w:jc w:val="center"/>
        <w:rPr>
          <w:szCs w:val="20"/>
        </w:rPr>
      </w:pPr>
    </w:p>
    <w:p w14:paraId="60DF0C46" w14:textId="77777777" w:rsidR="00234709" w:rsidRPr="00AC1668" w:rsidRDefault="00234709" w:rsidP="00234709">
      <w:pPr>
        <w:widowControl w:val="0"/>
        <w:jc w:val="center"/>
        <w:rPr>
          <w:szCs w:val="20"/>
        </w:rPr>
      </w:pPr>
    </w:p>
    <w:p w14:paraId="67E6D030" w14:textId="77777777" w:rsidR="00234709" w:rsidRPr="00AC1668" w:rsidRDefault="00234709" w:rsidP="00234709">
      <w:pPr>
        <w:widowControl w:val="0"/>
        <w:jc w:val="center"/>
        <w:rPr>
          <w:szCs w:val="20"/>
        </w:rPr>
      </w:pPr>
    </w:p>
    <w:p w14:paraId="1CCDBDD2" w14:textId="77777777" w:rsidR="00234709" w:rsidRPr="00AC1668" w:rsidRDefault="00234709" w:rsidP="00234709">
      <w:pPr>
        <w:widowControl w:val="0"/>
        <w:jc w:val="center"/>
        <w:rPr>
          <w:szCs w:val="20"/>
        </w:rPr>
      </w:pPr>
    </w:p>
    <w:p w14:paraId="1BF7E8D9" w14:textId="77777777" w:rsidR="00234709" w:rsidRPr="00AC1668" w:rsidRDefault="00234709" w:rsidP="00234709">
      <w:pPr>
        <w:widowControl w:val="0"/>
        <w:jc w:val="center"/>
        <w:rPr>
          <w:szCs w:val="20"/>
        </w:rPr>
      </w:pPr>
    </w:p>
    <w:p w14:paraId="10AC9238" w14:textId="77777777" w:rsidR="00234709" w:rsidRPr="00AC1668" w:rsidRDefault="00234709" w:rsidP="00234709">
      <w:pPr>
        <w:widowControl w:val="0"/>
        <w:jc w:val="center"/>
        <w:rPr>
          <w:szCs w:val="20"/>
        </w:rPr>
      </w:pPr>
    </w:p>
    <w:p w14:paraId="47722976" w14:textId="77777777" w:rsidR="00234709" w:rsidRPr="00AC1668" w:rsidRDefault="00234709" w:rsidP="00234709">
      <w:pPr>
        <w:widowControl w:val="0"/>
        <w:jc w:val="center"/>
        <w:rPr>
          <w:szCs w:val="20"/>
        </w:rPr>
      </w:pPr>
      <w:r w:rsidRPr="00AC1668">
        <w:rPr>
          <w:szCs w:val="20"/>
        </w:rPr>
        <w:t>İlişikteki açıklama ve dipnotlar bu finansal tabloların tamamlayıcı bir parçasıdır.</w:t>
      </w:r>
    </w:p>
    <w:p w14:paraId="0A66FDF9" w14:textId="6CF3B6E1" w:rsidR="00CA2BAE" w:rsidRPr="00AC1668" w:rsidRDefault="0064066B" w:rsidP="0064066B">
      <w:pPr>
        <w:rPr>
          <w:szCs w:val="20"/>
        </w:rPr>
      </w:pPr>
      <w:r w:rsidRPr="00AC1668">
        <w:rPr>
          <w:szCs w:val="20"/>
        </w:rPr>
        <w:br w:type="page"/>
      </w:r>
    </w:p>
    <w:p w14:paraId="2CBD9891" w14:textId="76753B0B" w:rsidR="0064066B" w:rsidRPr="00AC1668" w:rsidRDefault="0064066B" w:rsidP="00484E86">
      <w:pPr>
        <w:widowControl w:val="0"/>
        <w:rPr>
          <w:szCs w:val="20"/>
        </w:rPr>
        <w:sectPr w:rsidR="0064066B" w:rsidRPr="00AC1668" w:rsidSect="003D5CB7">
          <w:headerReference w:type="even" r:id="rId28"/>
          <w:headerReference w:type="default" r:id="rId29"/>
          <w:footerReference w:type="even" r:id="rId30"/>
          <w:footerReference w:type="default" r:id="rId31"/>
          <w:headerReference w:type="first" r:id="rId32"/>
          <w:footerReference w:type="first" r:id="rId33"/>
          <w:type w:val="nextColumn"/>
          <w:pgSz w:w="11907" w:h="16840" w:code="9"/>
          <w:pgMar w:top="851" w:right="851" w:bottom="851" w:left="851" w:header="851" w:footer="851" w:gutter="0"/>
          <w:pgNumType w:start="5"/>
          <w:cols w:space="720"/>
          <w:noEndnote/>
          <w:titlePg/>
          <w:docGrid w:linePitch="326"/>
        </w:sectPr>
      </w:pPr>
    </w:p>
    <w:p w14:paraId="6420DB1C" w14:textId="15F64464" w:rsidR="00A74C68" w:rsidRPr="00A74C68" w:rsidRDefault="00A74C68" w:rsidP="00C907C3">
      <w:pPr>
        <w:widowControl w:val="0"/>
        <w:jc w:val="center"/>
        <w:rPr>
          <w:szCs w:val="20"/>
        </w:rPr>
      </w:pPr>
    </w:p>
    <w:tbl>
      <w:tblPr>
        <w:tblW w:w="5000" w:type="pct"/>
        <w:tblCellMar>
          <w:left w:w="70" w:type="dxa"/>
          <w:right w:w="70" w:type="dxa"/>
        </w:tblCellMar>
        <w:tblLook w:val="04A0" w:firstRow="1" w:lastRow="0" w:firstColumn="1" w:lastColumn="0" w:noHBand="0" w:noVBand="1"/>
      </w:tblPr>
      <w:tblGrid>
        <w:gridCol w:w="525"/>
        <w:gridCol w:w="3655"/>
        <w:gridCol w:w="671"/>
        <w:gridCol w:w="945"/>
        <w:gridCol w:w="840"/>
        <w:gridCol w:w="945"/>
        <w:gridCol w:w="840"/>
        <w:gridCol w:w="840"/>
        <w:gridCol w:w="934"/>
      </w:tblGrid>
      <w:tr w:rsidR="00A74C68" w:rsidRPr="00A74C68" w14:paraId="22070D42" w14:textId="77777777" w:rsidTr="00A74C68">
        <w:trPr>
          <w:divId w:val="153886216"/>
          <w:trHeight w:val="20"/>
        </w:trPr>
        <w:tc>
          <w:tcPr>
            <w:tcW w:w="205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B867C5F" w14:textId="0D006B4B" w:rsidR="00A74C68" w:rsidRPr="00A74C68" w:rsidRDefault="00A74C68" w:rsidP="00A74C68">
            <w:pPr>
              <w:jc w:val="center"/>
              <w:rPr>
                <w:b/>
                <w:bCs/>
                <w:color w:val="000000"/>
                <w:sz w:val="14"/>
                <w:szCs w:val="14"/>
              </w:rPr>
            </w:pPr>
            <w:r w:rsidRPr="00A74C68">
              <w:rPr>
                <w:b/>
                <w:bCs/>
                <w:color w:val="000000"/>
                <w:sz w:val="14"/>
                <w:szCs w:val="14"/>
              </w:rPr>
              <w:t>NAZIM HESAPLAR TABLOSU</w:t>
            </w:r>
          </w:p>
        </w:tc>
        <w:tc>
          <w:tcPr>
            <w:tcW w:w="329" w:type="pct"/>
            <w:vMerge w:val="restart"/>
            <w:tcBorders>
              <w:top w:val="single" w:sz="4" w:space="0" w:color="auto"/>
              <w:left w:val="single" w:sz="4" w:space="0" w:color="auto"/>
              <w:bottom w:val="single" w:sz="4" w:space="0" w:color="000000"/>
              <w:right w:val="single" w:sz="4" w:space="0" w:color="auto"/>
            </w:tcBorders>
            <w:vAlign w:val="bottom"/>
            <w:hideMark/>
          </w:tcPr>
          <w:p w14:paraId="615E12C4" w14:textId="77777777" w:rsidR="00A74C68" w:rsidRPr="00A74C68" w:rsidRDefault="00A74C68" w:rsidP="00A74C68">
            <w:pPr>
              <w:jc w:val="center"/>
              <w:rPr>
                <w:b/>
                <w:bCs/>
                <w:color w:val="000000"/>
                <w:sz w:val="14"/>
                <w:szCs w:val="14"/>
              </w:rPr>
            </w:pPr>
            <w:r w:rsidRPr="00A74C68">
              <w:rPr>
                <w:b/>
                <w:bCs/>
                <w:color w:val="000000"/>
                <w:sz w:val="14"/>
                <w:szCs w:val="14"/>
              </w:rPr>
              <w:t>Dipnot (Beşinci Bölüm-III)</w:t>
            </w:r>
          </w:p>
        </w:tc>
        <w:tc>
          <w:tcPr>
            <w:tcW w:w="1338" w:type="pct"/>
            <w:gridSpan w:val="3"/>
            <w:tcBorders>
              <w:top w:val="single" w:sz="4" w:space="0" w:color="auto"/>
              <w:left w:val="nil"/>
              <w:bottom w:val="single" w:sz="4" w:space="0" w:color="auto"/>
              <w:right w:val="single" w:sz="4" w:space="0" w:color="000000"/>
            </w:tcBorders>
            <w:vAlign w:val="bottom"/>
            <w:hideMark/>
          </w:tcPr>
          <w:p w14:paraId="7102C344" w14:textId="77777777" w:rsidR="00A74C68" w:rsidRPr="00A74C68" w:rsidRDefault="00A74C68" w:rsidP="00A74C68">
            <w:pPr>
              <w:jc w:val="center"/>
              <w:rPr>
                <w:b/>
                <w:bCs/>
                <w:color w:val="000000"/>
                <w:sz w:val="14"/>
                <w:szCs w:val="14"/>
              </w:rPr>
            </w:pPr>
            <w:r w:rsidRPr="00A74C68">
              <w:rPr>
                <w:b/>
                <w:bCs/>
                <w:color w:val="000000"/>
                <w:sz w:val="14"/>
                <w:szCs w:val="14"/>
              </w:rPr>
              <w:t>Cari Dönem</w:t>
            </w:r>
            <w:r w:rsidRPr="00A74C68">
              <w:rPr>
                <w:b/>
                <w:bCs/>
                <w:color w:val="000000"/>
                <w:sz w:val="14"/>
                <w:szCs w:val="14"/>
              </w:rPr>
              <w:br/>
              <w:t>31.12.2025</w:t>
            </w:r>
          </w:p>
        </w:tc>
        <w:tc>
          <w:tcPr>
            <w:tcW w:w="1282" w:type="pct"/>
            <w:gridSpan w:val="3"/>
            <w:tcBorders>
              <w:top w:val="single" w:sz="4" w:space="0" w:color="auto"/>
              <w:left w:val="nil"/>
              <w:bottom w:val="single" w:sz="4" w:space="0" w:color="auto"/>
              <w:right w:val="single" w:sz="4" w:space="0" w:color="000000"/>
            </w:tcBorders>
            <w:vAlign w:val="bottom"/>
            <w:hideMark/>
          </w:tcPr>
          <w:p w14:paraId="1209EE48" w14:textId="77777777" w:rsidR="00A74C68" w:rsidRPr="00A74C68" w:rsidRDefault="00A74C68" w:rsidP="00A74C68">
            <w:pPr>
              <w:jc w:val="center"/>
              <w:rPr>
                <w:b/>
                <w:bCs/>
                <w:color w:val="000000"/>
                <w:sz w:val="14"/>
                <w:szCs w:val="14"/>
                <w:lang w:eastAsia="tr-TR"/>
              </w:rPr>
            </w:pPr>
            <w:r w:rsidRPr="00A74C68">
              <w:rPr>
                <w:b/>
                <w:bCs/>
                <w:color w:val="000000"/>
                <w:sz w:val="14"/>
                <w:szCs w:val="14"/>
                <w:lang w:eastAsia="tr-TR"/>
              </w:rPr>
              <w:t>Önceki Dönem</w:t>
            </w:r>
            <w:r w:rsidRPr="00A74C68">
              <w:rPr>
                <w:b/>
                <w:bCs/>
                <w:color w:val="000000"/>
                <w:sz w:val="14"/>
                <w:szCs w:val="14"/>
                <w:lang w:eastAsia="tr-TR"/>
              </w:rPr>
              <w:br/>
              <w:t>31.12.2024</w:t>
            </w:r>
          </w:p>
        </w:tc>
      </w:tr>
      <w:tr w:rsidR="00A74C68" w:rsidRPr="00A74C68" w14:paraId="16579513" w14:textId="77777777" w:rsidTr="00A74C68">
        <w:trPr>
          <w:divId w:val="153886216"/>
          <w:trHeight w:val="20"/>
        </w:trPr>
        <w:tc>
          <w:tcPr>
            <w:tcW w:w="2050" w:type="pct"/>
            <w:gridSpan w:val="2"/>
            <w:vMerge/>
            <w:tcBorders>
              <w:top w:val="single" w:sz="4" w:space="0" w:color="auto"/>
              <w:left w:val="single" w:sz="4" w:space="0" w:color="auto"/>
              <w:bottom w:val="single" w:sz="4" w:space="0" w:color="auto"/>
              <w:right w:val="single" w:sz="4" w:space="0" w:color="auto"/>
            </w:tcBorders>
            <w:vAlign w:val="center"/>
            <w:hideMark/>
          </w:tcPr>
          <w:p w14:paraId="0394734C" w14:textId="77777777" w:rsidR="00A74C68" w:rsidRPr="00A74C68" w:rsidRDefault="00A74C68" w:rsidP="00A74C68">
            <w:pPr>
              <w:rPr>
                <w:b/>
                <w:bCs/>
                <w:color w:val="000000"/>
                <w:sz w:val="14"/>
                <w:szCs w:val="14"/>
              </w:rPr>
            </w:pPr>
          </w:p>
        </w:tc>
        <w:tc>
          <w:tcPr>
            <w:tcW w:w="329" w:type="pct"/>
            <w:vMerge/>
            <w:tcBorders>
              <w:top w:val="single" w:sz="4" w:space="0" w:color="auto"/>
              <w:left w:val="single" w:sz="4" w:space="0" w:color="auto"/>
              <w:bottom w:val="single" w:sz="4" w:space="0" w:color="000000"/>
              <w:right w:val="single" w:sz="4" w:space="0" w:color="auto"/>
            </w:tcBorders>
            <w:vAlign w:val="center"/>
            <w:hideMark/>
          </w:tcPr>
          <w:p w14:paraId="7117E7AC" w14:textId="77777777" w:rsidR="00A74C68" w:rsidRPr="00A74C68" w:rsidRDefault="00A74C68" w:rsidP="00A74C68">
            <w:pPr>
              <w:rPr>
                <w:b/>
                <w:bCs/>
                <w:color w:val="000000"/>
                <w:sz w:val="14"/>
                <w:szCs w:val="14"/>
              </w:rPr>
            </w:pPr>
          </w:p>
        </w:tc>
        <w:tc>
          <w:tcPr>
            <w:tcW w:w="463" w:type="pct"/>
            <w:tcBorders>
              <w:top w:val="single" w:sz="4" w:space="0" w:color="auto"/>
              <w:left w:val="nil"/>
              <w:bottom w:val="single" w:sz="4" w:space="0" w:color="auto"/>
              <w:right w:val="single" w:sz="4" w:space="0" w:color="auto"/>
            </w:tcBorders>
            <w:vAlign w:val="center"/>
            <w:hideMark/>
          </w:tcPr>
          <w:p w14:paraId="3D1FB31C" w14:textId="77777777" w:rsidR="00A74C68" w:rsidRPr="00A74C68" w:rsidRDefault="00A74C68" w:rsidP="00A74C68">
            <w:pPr>
              <w:jc w:val="center"/>
              <w:rPr>
                <w:b/>
                <w:bCs/>
                <w:color w:val="000000"/>
                <w:sz w:val="14"/>
                <w:szCs w:val="14"/>
              </w:rPr>
            </w:pPr>
            <w:r w:rsidRPr="00A74C68">
              <w:rPr>
                <w:b/>
                <w:bCs/>
                <w:color w:val="000000"/>
                <w:sz w:val="14"/>
                <w:szCs w:val="14"/>
              </w:rPr>
              <w:t>TP</w:t>
            </w:r>
          </w:p>
        </w:tc>
        <w:tc>
          <w:tcPr>
            <w:tcW w:w="412" w:type="pct"/>
            <w:tcBorders>
              <w:top w:val="single" w:sz="4" w:space="0" w:color="auto"/>
              <w:left w:val="nil"/>
              <w:bottom w:val="single" w:sz="4" w:space="0" w:color="auto"/>
              <w:right w:val="single" w:sz="4" w:space="0" w:color="auto"/>
            </w:tcBorders>
            <w:vAlign w:val="center"/>
            <w:hideMark/>
          </w:tcPr>
          <w:p w14:paraId="04271C4E" w14:textId="77777777" w:rsidR="00A74C68" w:rsidRPr="00A74C68" w:rsidRDefault="00A74C68" w:rsidP="00A74C68">
            <w:pPr>
              <w:jc w:val="center"/>
              <w:rPr>
                <w:b/>
                <w:bCs/>
                <w:color w:val="000000"/>
                <w:sz w:val="14"/>
                <w:szCs w:val="14"/>
              </w:rPr>
            </w:pPr>
            <w:r w:rsidRPr="00A74C68">
              <w:rPr>
                <w:b/>
                <w:bCs/>
                <w:color w:val="000000"/>
                <w:sz w:val="14"/>
                <w:szCs w:val="14"/>
              </w:rPr>
              <w:t>YP</w:t>
            </w:r>
          </w:p>
        </w:tc>
        <w:tc>
          <w:tcPr>
            <w:tcW w:w="463" w:type="pct"/>
            <w:tcBorders>
              <w:top w:val="single" w:sz="4" w:space="0" w:color="auto"/>
              <w:left w:val="nil"/>
              <w:bottom w:val="single" w:sz="4" w:space="0" w:color="auto"/>
              <w:right w:val="single" w:sz="4" w:space="0" w:color="auto"/>
            </w:tcBorders>
            <w:vAlign w:val="center"/>
            <w:hideMark/>
          </w:tcPr>
          <w:p w14:paraId="6B759BB9" w14:textId="77777777" w:rsidR="00A74C68" w:rsidRPr="00A74C68" w:rsidRDefault="00A74C68" w:rsidP="00A74C68">
            <w:pPr>
              <w:jc w:val="center"/>
              <w:rPr>
                <w:b/>
                <w:bCs/>
                <w:color w:val="000000"/>
                <w:sz w:val="14"/>
                <w:szCs w:val="14"/>
              </w:rPr>
            </w:pPr>
            <w:r w:rsidRPr="00A74C68">
              <w:rPr>
                <w:b/>
                <w:bCs/>
                <w:color w:val="000000"/>
                <w:sz w:val="14"/>
                <w:szCs w:val="14"/>
              </w:rPr>
              <w:t>Toplam</w:t>
            </w:r>
          </w:p>
        </w:tc>
        <w:tc>
          <w:tcPr>
            <w:tcW w:w="412" w:type="pct"/>
            <w:tcBorders>
              <w:top w:val="single" w:sz="4" w:space="0" w:color="auto"/>
              <w:left w:val="nil"/>
              <w:bottom w:val="single" w:sz="4" w:space="0" w:color="auto"/>
              <w:right w:val="single" w:sz="4" w:space="0" w:color="auto"/>
            </w:tcBorders>
            <w:vAlign w:val="center"/>
            <w:hideMark/>
          </w:tcPr>
          <w:p w14:paraId="19E3FBAD" w14:textId="77777777" w:rsidR="00A74C68" w:rsidRPr="00A74C68" w:rsidRDefault="00A74C68" w:rsidP="00A74C68">
            <w:pPr>
              <w:jc w:val="center"/>
              <w:rPr>
                <w:b/>
                <w:bCs/>
                <w:color w:val="000000"/>
                <w:sz w:val="14"/>
                <w:szCs w:val="14"/>
                <w:lang w:eastAsia="tr-TR"/>
              </w:rPr>
            </w:pPr>
            <w:r w:rsidRPr="00A74C68">
              <w:rPr>
                <w:b/>
                <w:bCs/>
                <w:color w:val="000000"/>
                <w:sz w:val="14"/>
                <w:szCs w:val="14"/>
                <w:lang w:eastAsia="tr-TR"/>
              </w:rPr>
              <w:t>TP</w:t>
            </w:r>
          </w:p>
        </w:tc>
        <w:tc>
          <w:tcPr>
            <w:tcW w:w="412" w:type="pct"/>
            <w:tcBorders>
              <w:top w:val="single" w:sz="4" w:space="0" w:color="auto"/>
              <w:left w:val="nil"/>
              <w:bottom w:val="single" w:sz="4" w:space="0" w:color="auto"/>
              <w:right w:val="single" w:sz="4" w:space="0" w:color="auto"/>
            </w:tcBorders>
            <w:vAlign w:val="center"/>
            <w:hideMark/>
          </w:tcPr>
          <w:p w14:paraId="5A3ACBE0" w14:textId="77777777" w:rsidR="00A74C68" w:rsidRPr="00A74C68" w:rsidRDefault="00A74C68" w:rsidP="00A74C68">
            <w:pPr>
              <w:jc w:val="center"/>
              <w:rPr>
                <w:b/>
                <w:bCs/>
                <w:color w:val="000000"/>
                <w:sz w:val="14"/>
                <w:szCs w:val="14"/>
                <w:lang w:eastAsia="tr-TR"/>
              </w:rPr>
            </w:pPr>
            <w:r w:rsidRPr="00A74C68">
              <w:rPr>
                <w:b/>
                <w:bCs/>
                <w:color w:val="000000"/>
                <w:sz w:val="14"/>
                <w:szCs w:val="14"/>
                <w:lang w:eastAsia="tr-TR"/>
              </w:rPr>
              <w:t>YP</w:t>
            </w:r>
          </w:p>
        </w:tc>
        <w:tc>
          <w:tcPr>
            <w:tcW w:w="458" w:type="pct"/>
            <w:tcBorders>
              <w:top w:val="single" w:sz="4" w:space="0" w:color="auto"/>
              <w:left w:val="nil"/>
              <w:bottom w:val="single" w:sz="4" w:space="0" w:color="auto"/>
              <w:right w:val="single" w:sz="4" w:space="0" w:color="auto"/>
            </w:tcBorders>
            <w:vAlign w:val="center"/>
            <w:hideMark/>
          </w:tcPr>
          <w:p w14:paraId="1CAC3AC7" w14:textId="77777777" w:rsidR="00A74C68" w:rsidRPr="00A74C68" w:rsidRDefault="00A74C68" w:rsidP="00A74C68">
            <w:pPr>
              <w:jc w:val="center"/>
              <w:rPr>
                <w:b/>
                <w:bCs/>
                <w:color w:val="000000"/>
                <w:sz w:val="14"/>
                <w:szCs w:val="14"/>
                <w:lang w:eastAsia="tr-TR"/>
              </w:rPr>
            </w:pPr>
            <w:r w:rsidRPr="00A74C68">
              <w:rPr>
                <w:b/>
                <w:bCs/>
                <w:color w:val="000000"/>
                <w:sz w:val="14"/>
                <w:szCs w:val="14"/>
                <w:lang w:eastAsia="tr-TR"/>
              </w:rPr>
              <w:t>Toplam</w:t>
            </w:r>
          </w:p>
        </w:tc>
      </w:tr>
      <w:tr w:rsidR="00A74C68" w:rsidRPr="00A74C68" w14:paraId="119C2C5A" w14:textId="77777777" w:rsidTr="00A74C68">
        <w:trPr>
          <w:divId w:val="153886216"/>
          <w:trHeight w:val="20"/>
        </w:trPr>
        <w:tc>
          <w:tcPr>
            <w:tcW w:w="257" w:type="pct"/>
            <w:tcBorders>
              <w:top w:val="nil"/>
              <w:left w:val="single" w:sz="4" w:space="0" w:color="auto"/>
              <w:bottom w:val="nil"/>
              <w:right w:val="nil"/>
            </w:tcBorders>
            <w:hideMark/>
          </w:tcPr>
          <w:p w14:paraId="38FEB6E5" w14:textId="77777777" w:rsidR="00A74C68" w:rsidRPr="00A74C68" w:rsidRDefault="00A74C68" w:rsidP="00A74C68">
            <w:pPr>
              <w:jc w:val="both"/>
              <w:rPr>
                <w:color w:val="000000"/>
                <w:sz w:val="14"/>
                <w:szCs w:val="14"/>
              </w:rPr>
            </w:pPr>
            <w:r w:rsidRPr="00A74C68">
              <w:rPr>
                <w:color w:val="000000"/>
                <w:sz w:val="14"/>
                <w:szCs w:val="14"/>
              </w:rPr>
              <w:t xml:space="preserve"> </w:t>
            </w:r>
          </w:p>
        </w:tc>
        <w:tc>
          <w:tcPr>
            <w:tcW w:w="1793" w:type="pct"/>
            <w:tcBorders>
              <w:top w:val="single" w:sz="4" w:space="0" w:color="auto"/>
              <w:left w:val="nil"/>
              <w:bottom w:val="nil"/>
              <w:right w:val="nil"/>
            </w:tcBorders>
            <w:hideMark/>
          </w:tcPr>
          <w:p w14:paraId="1EBB437D" w14:textId="77777777" w:rsidR="00A74C68" w:rsidRPr="00A74C68" w:rsidRDefault="00A74C68" w:rsidP="00A74C68">
            <w:pPr>
              <w:jc w:val="both"/>
              <w:rPr>
                <w:color w:val="000000"/>
                <w:sz w:val="14"/>
                <w:szCs w:val="14"/>
              </w:rPr>
            </w:pPr>
            <w:r w:rsidRPr="00A74C68">
              <w:rPr>
                <w:color w:val="000000"/>
                <w:sz w:val="14"/>
                <w:szCs w:val="14"/>
              </w:rPr>
              <w:t xml:space="preserve"> </w:t>
            </w:r>
          </w:p>
        </w:tc>
        <w:tc>
          <w:tcPr>
            <w:tcW w:w="329" w:type="pct"/>
            <w:tcBorders>
              <w:top w:val="single" w:sz="4" w:space="0" w:color="auto"/>
              <w:left w:val="single" w:sz="4" w:space="0" w:color="auto"/>
              <w:bottom w:val="nil"/>
              <w:right w:val="single" w:sz="4" w:space="0" w:color="auto"/>
            </w:tcBorders>
            <w:vAlign w:val="bottom"/>
            <w:hideMark/>
          </w:tcPr>
          <w:p w14:paraId="1118D327" w14:textId="77777777" w:rsidR="00A74C68" w:rsidRPr="00A74C68" w:rsidRDefault="00A74C68" w:rsidP="00A74C68">
            <w:pPr>
              <w:jc w:val="right"/>
              <w:rPr>
                <w:b/>
                <w:bCs/>
                <w:color w:val="000000"/>
                <w:sz w:val="14"/>
                <w:szCs w:val="14"/>
              </w:rPr>
            </w:pPr>
            <w:r w:rsidRPr="00A74C68">
              <w:rPr>
                <w:b/>
                <w:bCs/>
                <w:color w:val="000000"/>
                <w:sz w:val="14"/>
                <w:szCs w:val="14"/>
              </w:rPr>
              <w:t> </w:t>
            </w:r>
          </w:p>
        </w:tc>
        <w:tc>
          <w:tcPr>
            <w:tcW w:w="463" w:type="pct"/>
            <w:tcBorders>
              <w:top w:val="single" w:sz="4" w:space="0" w:color="auto"/>
              <w:left w:val="nil"/>
              <w:bottom w:val="nil"/>
              <w:right w:val="single" w:sz="4" w:space="0" w:color="auto"/>
            </w:tcBorders>
            <w:noWrap/>
            <w:vAlign w:val="bottom"/>
            <w:hideMark/>
          </w:tcPr>
          <w:p w14:paraId="00693040" w14:textId="77777777" w:rsidR="00A74C68" w:rsidRPr="00A74C68" w:rsidRDefault="00A74C68" w:rsidP="00A74C68">
            <w:pPr>
              <w:jc w:val="right"/>
              <w:rPr>
                <w:color w:val="000000"/>
                <w:sz w:val="14"/>
                <w:szCs w:val="14"/>
              </w:rPr>
            </w:pPr>
            <w:r w:rsidRPr="00A74C68">
              <w:rPr>
                <w:color w:val="000000"/>
                <w:sz w:val="14"/>
                <w:szCs w:val="14"/>
              </w:rPr>
              <w:t> </w:t>
            </w:r>
          </w:p>
        </w:tc>
        <w:tc>
          <w:tcPr>
            <w:tcW w:w="412" w:type="pct"/>
            <w:tcBorders>
              <w:top w:val="single" w:sz="4" w:space="0" w:color="auto"/>
              <w:left w:val="nil"/>
              <w:bottom w:val="nil"/>
              <w:right w:val="single" w:sz="4" w:space="0" w:color="auto"/>
            </w:tcBorders>
            <w:noWrap/>
            <w:vAlign w:val="bottom"/>
            <w:hideMark/>
          </w:tcPr>
          <w:p w14:paraId="5E6CB9C0" w14:textId="77777777" w:rsidR="00A74C68" w:rsidRPr="00A74C68" w:rsidRDefault="00A74C68" w:rsidP="00A74C68">
            <w:pPr>
              <w:jc w:val="right"/>
              <w:rPr>
                <w:color w:val="000000"/>
                <w:sz w:val="14"/>
                <w:szCs w:val="14"/>
              </w:rPr>
            </w:pPr>
            <w:r w:rsidRPr="00A74C68">
              <w:rPr>
                <w:color w:val="000000"/>
                <w:sz w:val="14"/>
                <w:szCs w:val="14"/>
              </w:rPr>
              <w:t> </w:t>
            </w:r>
          </w:p>
        </w:tc>
        <w:tc>
          <w:tcPr>
            <w:tcW w:w="463" w:type="pct"/>
            <w:tcBorders>
              <w:top w:val="single" w:sz="4" w:space="0" w:color="auto"/>
              <w:left w:val="nil"/>
              <w:bottom w:val="nil"/>
              <w:right w:val="single" w:sz="4" w:space="0" w:color="auto"/>
            </w:tcBorders>
            <w:noWrap/>
            <w:vAlign w:val="bottom"/>
            <w:hideMark/>
          </w:tcPr>
          <w:p w14:paraId="0C1EE4EE" w14:textId="77777777" w:rsidR="00A74C68" w:rsidRPr="00A74C68" w:rsidRDefault="00A74C68" w:rsidP="00A74C68">
            <w:pPr>
              <w:jc w:val="right"/>
              <w:rPr>
                <w:color w:val="000000"/>
                <w:sz w:val="14"/>
                <w:szCs w:val="14"/>
              </w:rPr>
            </w:pPr>
            <w:r w:rsidRPr="00A74C68">
              <w:rPr>
                <w:color w:val="000000"/>
                <w:sz w:val="14"/>
                <w:szCs w:val="14"/>
              </w:rPr>
              <w:t> </w:t>
            </w:r>
          </w:p>
        </w:tc>
        <w:tc>
          <w:tcPr>
            <w:tcW w:w="412" w:type="pct"/>
            <w:tcBorders>
              <w:top w:val="single" w:sz="4" w:space="0" w:color="auto"/>
              <w:left w:val="nil"/>
              <w:bottom w:val="nil"/>
              <w:right w:val="single" w:sz="4" w:space="0" w:color="auto"/>
            </w:tcBorders>
            <w:noWrap/>
            <w:vAlign w:val="bottom"/>
            <w:hideMark/>
          </w:tcPr>
          <w:p w14:paraId="184128B9" w14:textId="77777777" w:rsidR="00A74C68" w:rsidRPr="00A74C68" w:rsidRDefault="00A74C68" w:rsidP="00A74C68">
            <w:pPr>
              <w:jc w:val="right"/>
              <w:rPr>
                <w:color w:val="000000"/>
                <w:sz w:val="14"/>
                <w:szCs w:val="14"/>
                <w:lang w:eastAsia="tr-TR"/>
              </w:rPr>
            </w:pPr>
            <w:r w:rsidRPr="00A74C68">
              <w:rPr>
                <w:color w:val="000000"/>
                <w:sz w:val="14"/>
                <w:szCs w:val="14"/>
                <w:lang w:eastAsia="tr-TR"/>
              </w:rPr>
              <w:t> </w:t>
            </w:r>
          </w:p>
        </w:tc>
        <w:tc>
          <w:tcPr>
            <w:tcW w:w="412" w:type="pct"/>
            <w:tcBorders>
              <w:top w:val="single" w:sz="4" w:space="0" w:color="auto"/>
              <w:left w:val="nil"/>
              <w:bottom w:val="nil"/>
              <w:right w:val="single" w:sz="4" w:space="0" w:color="auto"/>
            </w:tcBorders>
            <w:noWrap/>
            <w:vAlign w:val="bottom"/>
            <w:hideMark/>
          </w:tcPr>
          <w:p w14:paraId="16C405C5" w14:textId="77777777" w:rsidR="00A74C68" w:rsidRPr="00A74C68" w:rsidRDefault="00A74C68" w:rsidP="00A74C68">
            <w:pPr>
              <w:jc w:val="right"/>
              <w:rPr>
                <w:color w:val="000000"/>
                <w:sz w:val="14"/>
                <w:szCs w:val="14"/>
                <w:lang w:eastAsia="tr-TR"/>
              </w:rPr>
            </w:pPr>
            <w:r w:rsidRPr="00A74C68">
              <w:rPr>
                <w:color w:val="000000"/>
                <w:sz w:val="14"/>
                <w:szCs w:val="14"/>
                <w:lang w:eastAsia="tr-TR"/>
              </w:rPr>
              <w:t> </w:t>
            </w:r>
          </w:p>
        </w:tc>
        <w:tc>
          <w:tcPr>
            <w:tcW w:w="458" w:type="pct"/>
            <w:tcBorders>
              <w:top w:val="single" w:sz="4" w:space="0" w:color="auto"/>
              <w:left w:val="nil"/>
              <w:bottom w:val="nil"/>
              <w:right w:val="single" w:sz="4" w:space="0" w:color="auto"/>
            </w:tcBorders>
            <w:noWrap/>
            <w:vAlign w:val="bottom"/>
            <w:hideMark/>
          </w:tcPr>
          <w:p w14:paraId="791E11C2" w14:textId="77777777" w:rsidR="00A74C68" w:rsidRPr="00A74C68" w:rsidRDefault="00A74C68" w:rsidP="00A74C68">
            <w:pPr>
              <w:jc w:val="right"/>
              <w:rPr>
                <w:color w:val="000000"/>
                <w:sz w:val="14"/>
                <w:szCs w:val="14"/>
                <w:lang w:eastAsia="tr-TR"/>
              </w:rPr>
            </w:pPr>
            <w:r w:rsidRPr="00A74C68">
              <w:rPr>
                <w:color w:val="000000"/>
                <w:sz w:val="14"/>
                <w:szCs w:val="14"/>
                <w:lang w:eastAsia="tr-TR"/>
              </w:rPr>
              <w:t> </w:t>
            </w:r>
          </w:p>
        </w:tc>
      </w:tr>
      <w:tr w:rsidR="00A74C68" w:rsidRPr="00A74C68" w14:paraId="50FCD250" w14:textId="77777777" w:rsidTr="00A74C68">
        <w:trPr>
          <w:divId w:val="153886216"/>
          <w:trHeight w:val="20"/>
        </w:trPr>
        <w:tc>
          <w:tcPr>
            <w:tcW w:w="257" w:type="pct"/>
            <w:tcBorders>
              <w:top w:val="nil"/>
              <w:left w:val="single" w:sz="4" w:space="0" w:color="auto"/>
              <w:bottom w:val="nil"/>
              <w:right w:val="nil"/>
            </w:tcBorders>
            <w:hideMark/>
          </w:tcPr>
          <w:p w14:paraId="2F5E2953" w14:textId="77777777" w:rsidR="00A74C68" w:rsidRPr="00A74C68" w:rsidRDefault="00A74C68" w:rsidP="00A74C68">
            <w:pPr>
              <w:rPr>
                <w:b/>
                <w:bCs/>
                <w:sz w:val="14"/>
                <w:szCs w:val="14"/>
              </w:rPr>
            </w:pPr>
            <w:r w:rsidRPr="00A74C68">
              <w:rPr>
                <w:b/>
                <w:bCs/>
                <w:sz w:val="14"/>
                <w:szCs w:val="14"/>
              </w:rPr>
              <w:t>A.</w:t>
            </w:r>
          </w:p>
        </w:tc>
        <w:tc>
          <w:tcPr>
            <w:tcW w:w="1793" w:type="pct"/>
            <w:tcBorders>
              <w:top w:val="nil"/>
              <w:left w:val="nil"/>
              <w:bottom w:val="nil"/>
              <w:right w:val="nil"/>
            </w:tcBorders>
            <w:hideMark/>
          </w:tcPr>
          <w:p w14:paraId="4A642A92" w14:textId="77777777" w:rsidR="00A74C68" w:rsidRPr="00A74C68" w:rsidRDefault="00A74C68" w:rsidP="00A74C68">
            <w:pPr>
              <w:rPr>
                <w:b/>
                <w:bCs/>
                <w:sz w:val="14"/>
                <w:szCs w:val="14"/>
              </w:rPr>
            </w:pPr>
            <w:r w:rsidRPr="00A74C68">
              <w:rPr>
                <w:b/>
                <w:bCs/>
                <w:sz w:val="14"/>
                <w:szCs w:val="14"/>
              </w:rPr>
              <w:t>BİLANÇO DIŞI YÜKÜMLÜLÜKLER (I+II+III)</w:t>
            </w:r>
          </w:p>
        </w:tc>
        <w:tc>
          <w:tcPr>
            <w:tcW w:w="329" w:type="pct"/>
            <w:tcBorders>
              <w:top w:val="nil"/>
              <w:left w:val="single" w:sz="4" w:space="0" w:color="auto"/>
              <w:bottom w:val="nil"/>
              <w:right w:val="single" w:sz="4" w:space="0" w:color="auto"/>
            </w:tcBorders>
            <w:vAlign w:val="bottom"/>
            <w:hideMark/>
          </w:tcPr>
          <w:p w14:paraId="7FC1FF92"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507690C1" w14:textId="77777777" w:rsidR="00A74C68" w:rsidRPr="00A74C68" w:rsidRDefault="00A74C68" w:rsidP="00A74C68">
            <w:pPr>
              <w:jc w:val="right"/>
              <w:rPr>
                <w:b/>
                <w:bCs/>
                <w:color w:val="000000"/>
                <w:sz w:val="14"/>
                <w:szCs w:val="14"/>
              </w:rPr>
            </w:pPr>
            <w:r w:rsidRPr="00A74C68">
              <w:rPr>
                <w:b/>
                <w:bCs/>
                <w:color w:val="000000"/>
                <w:sz w:val="14"/>
                <w:szCs w:val="14"/>
              </w:rPr>
              <w:t>44.100.847</w:t>
            </w:r>
          </w:p>
        </w:tc>
        <w:tc>
          <w:tcPr>
            <w:tcW w:w="412" w:type="pct"/>
            <w:tcBorders>
              <w:top w:val="nil"/>
              <w:left w:val="nil"/>
              <w:bottom w:val="nil"/>
              <w:right w:val="single" w:sz="4" w:space="0" w:color="auto"/>
            </w:tcBorders>
            <w:shd w:val="clear" w:color="000000" w:fill="FFFFFF"/>
            <w:noWrap/>
            <w:vAlign w:val="bottom"/>
            <w:hideMark/>
          </w:tcPr>
          <w:p w14:paraId="6F9C1ABF" w14:textId="77777777" w:rsidR="00A74C68" w:rsidRPr="00A74C68" w:rsidRDefault="00A74C68" w:rsidP="00A74C68">
            <w:pPr>
              <w:jc w:val="right"/>
              <w:rPr>
                <w:b/>
                <w:bCs/>
                <w:color w:val="000000"/>
                <w:sz w:val="14"/>
                <w:szCs w:val="14"/>
              </w:rPr>
            </w:pPr>
            <w:r w:rsidRPr="00A74C68">
              <w:rPr>
                <w:b/>
                <w:bCs/>
                <w:color w:val="000000"/>
                <w:sz w:val="14"/>
                <w:szCs w:val="14"/>
              </w:rPr>
              <w:t>314.960.950</w:t>
            </w:r>
          </w:p>
        </w:tc>
        <w:tc>
          <w:tcPr>
            <w:tcW w:w="463" w:type="pct"/>
            <w:tcBorders>
              <w:top w:val="nil"/>
              <w:left w:val="nil"/>
              <w:bottom w:val="nil"/>
              <w:right w:val="single" w:sz="4" w:space="0" w:color="auto"/>
            </w:tcBorders>
            <w:shd w:val="clear" w:color="000000" w:fill="FFFFFF"/>
            <w:noWrap/>
            <w:vAlign w:val="bottom"/>
            <w:hideMark/>
          </w:tcPr>
          <w:p w14:paraId="52BAFB09" w14:textId="77777777" w:rsidR="00A74C68" w:rsidRPr="00A74C68" w:rsidRDefault="00A74C68" w:rsidP="00A74C68">
            <w:pPr>
              <w:jc w:val="right"/>
              <w:rPr>
                <w:b/>
                <w:bCs/>
                <w:color w:val="000000"/>
                <w:sz w:val="14"/>
                <w:szCs w:val="14"/>
              </w:rPr>
            </w:pPr>
            <w:r w:rsidRPr="00A74C68">
              <w:rPr>
                <w:b/>
                <w:bCs/>
                <w:color w:val="000000"/>
                <w:sz w:val="14"/>
                <w:szCs w:val="14"/>
              </w:rPr>
              <w:t>359.061.797</w:t>
            </w:r>
          </w:p>
        </w:tc>
        <w:tc>
          <w:tcPr>
            <w:tcW w:w="412" w:type="pct"/>
            <w:tcBorders>
              <w:top w:val="nil"/>
              <w:left w:val="nil"/>
              <w:bottom w:val="nil"/>
              <w:right w:val="single" w:sz="4" w:space="0" w:color="auto"/>
            </w:tcBorders>
            <w:noWrap/>
            <w:vAlign w:val="bottom"/>
            <w:hideMark/>
          </w:tcPr>
          <w:p w14:paraId="6A3D669A"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11.606.340</w:t>
            </w:r>
          </w:p>
        </w:tc>
        <w:tc>
          <w:tcPr>
            <w:tcW w:w="412" w:type="pct"/>
            <w:tcBorders>
              <w:top w:val="nil"/>
              <w:left w:val="nil"/>
              <w:bottom w:val="nil"/>
              <w:right w:val="single" w:sz="4" w:space="0" w:color="auto"/>
            </w:tcBorders>
            <w:noWrap/>
            <w:vAlign w:val="bottom"/>
            <w:hideMark/>
          </w:tcPr>
          <w:p w14:paraId="50961615"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23.036.734</w:t>
            </w:r>
          </w:p>
        </w:tc>
        <w:tc>
          <w:tcPr>
            <w:tcW w:w="458" w:type="pct"/>
            <w:tcBorders>
              <w:top w:val="nil"/>
              <w:left w:val="nil"/>
              <w:bottom w:val="nil"/>
              <w:right w:val="single" w:sz="4" w:space="0" w:color="auto"/>
            </w:tcBorders>
            <w:noWrap/>
            <w:vAlign w:val="bottom"/>
            <w:hideMark/>
          </w:tcPr>
          <w:p w14:paraId="28DA124D"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34.643.074</w:t>
            </w:r>
          </w:p>
        </w:tc>
      </w:tr>
      <w:tr w:rsidR="00A74C68" w:rsidRPr="00A74C68" w14:paraId="494715C9" w14:textId="77777777" w:rsidTr="00A74C68">
        <w:trPr>
          <w:divId w:val="153886216"/>
          <w:trHeight w:val="20"/>
        </w:trPr>
        <w:tc>
          <w:tcPr>
            <w:tcW w:w="257" w:type="pct"/>
            <w:tcBorders>
              <w:top w:val="nil"/>
              <w:left w:val="single" w:sz="4" w:space="0" w:color="auto"/>
              <w:bottom w:val="nil"/>
              <w:right w:val="nil"/>
            </w:tcBorders>
            <w:hideMark/>
          </w:tcPr>
          <w:p w14:paraId="0E1D25B3" w14:textId="77777777" w:rsidR="00A74C68" w:rsidRPr="00A74C68" w:rsidRDefault="00A74C68" w:rsidP="00A74C68">
            <w:pPr>
              <w:rPr>
                <w:b/>
                <w:bCs/>
                <w:color w:val="000000"/>
                <w:sz w:val="14"/>
                <w:szCs w:val="14"/>
              </w:rPr>
            </w:pPr>
            <w:r w:rsidRPr="00A74C68">
              <w:rPr>
                <w:b/>
                <w:bCs/>
                <w:color w:val="000000"/>
                <w:sz w:val="14"/>
                <w:szCs w:val="14"/>
              </w:rPr>
              <w:t>I.</w:t>
            </w:r>
          </w:p>
        </w:tc>
        <w:tc>
          <w:tcPr>
            <w:tcW w:w="1793" w:type="pct"/>
            <w:tcBorders>
              <w:top w:val="nil"/>
              <w:left w:val="nil"/>
              <w:bottom w:val="nil"/>
              <w:right w:val="nil"/>
            </w:tcBorders>
            <w:hideMark/>
          </w:tcPr>
          <w:p w14:paraId="0F3C0751" w14:textId="77777777" w:rsidR="00A74C68" w:rsidRPr="00A74C68" w:rsidRDefault="00A74C68" w:rsidP="00A74C68">
            <w:pPr>
              <w:rPr>
                <w:b/>
                <w:bCs/>
                <w:color w:val="000000"/>
                <w:sz w:val="14"/>
                <w:szCs w:val="14"/>
              </w:rPr>
            </w:pPr>
            <w:r w:rsidRPr="00A74C68">
              <w:rPr>
                <w:b/>
                <w:bCs/>
                <w:color w:val="000000"/>
                <w:sz w:val="14"/>
                <w:szCs w:val="14"/>
              </w:rPr>
              <w:t>GARANTİ VE KEFALETLER</w:t>
            </w:r>
          </w:p>
        </w:tc>
        <w:tc>
          <w:tcPr>
            <w:tcW w:w="329" w:type="pct"/>
            <w:tcBorders>
              <w:top w:val="nil"/>
              <w:left w:val="single" w:sz="4" w:space="0" w:color="auto"/>
              <w:bottom w:val="nil"/>
              <w:right w:val="single" w:sz="4" w:space="0" w:color="auto"/>
            </w:tcBorders>
            <w:vAlign w:val="bottom"/>
            <w:hideMark/>
          </w:tcPr>
          <w:p w14:paraId="0CF16640" w14:textId="77777777" w:rsidR="00A74C68" w:rsidRPr="00A74C68" w:rsidRDefault="00A74C68" w:rsidP="00A74C68">
            <w:pPr>
              <w:jc w:val="center"/>
              <w:rPr>
                <w:b/>
                <w:bCs/>
                <w:color w:val="000000"/>
                <w:sz w:val="14"/>
                <w:szCs w:val="14"/>
              </w:rPr>
            </w:pPr>
            <w:r w:rsidRPr="00A74C68">
              <w:rPr>
                <w:b/>
                <w:bCs/>
                <w:color w:val="000000"/>
                <w:sz w:val="14"/>
                <w:szCs w:val="14"/>
              </w:rPr>
              <w:t>(1)</w:t>
            </w:r>
          </w:p>
        </w:tc>
        <w:tc>
          <w:tcPr>
            <w:tcW w:w="463" w:type="pct"/>
            <w:tcBorders>
              <w:top w:val="nil"/>
              <w:left w:val="nil"/>
              <w:bottom w:val="nil"/>
              <w:right w:val="single" w:sz="4" w:space="0" w:color="auto"/>
            </w:tcBorders>
            <w:shd w:val="clear" w:color="000000" w:fill="FFFFFF"/>
            <w:noWrap/>
            <w:vAlign w:val="bottom"/>
            <w:hideMark/>
          </w:tcPr>
          <w:p w14:paraId="23EC6517" w14:textId="77777777" w:rsidR="00A74C68" w:rsidRPr="00A74C68" w:rsidRDefault="00A74C68" w:rsidP="00A74C68">
            <w:pPr>
              <w:jc w:val="right"/>
              <w:rPr>
                <w:b/>
                <w:bCs/>
                <w:color w:val="000000"/>
                <w:sz w:val="14"/>
                <w:szCs w:val="14"/>
              </w:rPr>
            </w:pPr>
            <w:r w:rsidRPr="00A74C68">
              <w:rPr>
                <w:b/>
                <w:bCs/>
                <w:color w:val="000000"/>
                <w:sz w:val="14"/>
                <w:szCs w:val="14"/>
              </w:rPr>
              <w:t>17.474.788</w:t>
            </w:r>
          </w:p>
        </w:tc>
        <w:tc>
          <w:tcPr>
            <w:tcW w:w="412" w:type="pct"/>
            <w:tcBorders>
              <w:top w:val="nil"/>
              <w:left w:val="nil"/>
              <w:bottom w:val="nil"/>
              <w:right w:val="single" w:sz="4" w:space="0" w:color="auto"/>
            </w:tcBorders>
            <w:shd w:val="clear" w:color="000000" w:fill="FFFFFF"/>
            <w:noWrap/>
            <w:vAlign w:val="bottom"/>
            <w:hideMark/>
          </w:tcPr>
          <w:p w14:paraId="3EEEF3E7" w14:textId="77777777" w:rsidR="00A74C68" w:rsidRPr="00A74C68" w:rsidRDefault="00A74C68" w:rsidP="00A74C68">
            <w:pPr>
              <w:jc w:val="right"/>
              <w:rPr>
                <w:b/>
                <w:bCs/>
                <w:color w:val="000000"/>
                <w:sz w:val="14"/>
                <w:szCs w:val="14"/>
              </w:rPr>
            </w:pPr>
            <w:r w:rsidRPr="00A74C68">
              <w:rPr>
                <w:b/>
                <w:bCs/>
                <w:color w:val="000000"/>
                <w:sz w:val="14"/>
                <w:szCs w:val="14"/>
              </w:rPr>
              <w:t>8.205.895</w:t>
            </w:r>
          </w:p>
        </w:tc>
        <w:tc>
          <w:tcPr>
            <w:tcW w:w="463" w:type="pct"/>
            <w:tcBorders>
              <w:top w:val="nil"/>
              <w:left w:val="nil"/>
              <w:bottom w:val="nil"/>
              <w:right w:val="single" w:sz="4" w:space="0" w:color="auto"/>
            </w:tcBorders>
            <w:shd w:val="clear" w:color="000000" w:fill="FFFFFF"/>
            <w:noWrap/>
            <w:vAlign w:val="bottom"/>
            <w:hideMark/>
          </w:tcPr>
          <w:p w14:paraId="700FC8DF" w14:textId="77777777" w:rsidR="00A74C68" w:rsidRPr="00A74C68" w:rsidRDefault="00A74C68" w:rsidP="00A74C68">
            <w:pPr>
              <w:jc w:val="right"/>
              <w:rPr>
                <w:b/>
                <w:bCs/>
                <w:color w:val="000000"/>
                <w:sz w:val="14"/>
                <w:szCs w:val="14"/>
              </w:rPr>
            </w:pPr>
            <w:r w:rsidRPr="00A74C68">
              <w:rPr>
                <w:b/>
                <w:bCs/>
                <w:color w:val="000000"/>
                <w:sz w:val="14"/>
                <w:szCs w:val="14"/>
              </w:rPr>
              <w:t>25.680.683</w:t>
            </w:r>
          </w:p>
        </w:tc>
        <w:tc>
          <w:tcPr>
            <w:tcW w:w="412" w:type="pct"/>
            <w:tcBorders>
              <w:top w:val="nil"/>
              <w:left w:val="nil"/>
              <w:bottom w:val="nil"/>
              <w:right w:val="single" w:sz="4" w:space="0" w:color="auto"/>
            </w:tcBorders>
            <w:noWrap/>
            <w:vAlign w:val="bottom"/>
            <w:hideMark/>
          </w:tcPr>
          <w:p w14:paraId="2899F8B1"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5.279.730</w:t>
            </w:r>
          </w:p>
        </w:tc>
        <w:tc>
          <w:tcPr>
            <w:tcW w:w="412" w:type="pct"/>
            <w:tcBorders>
              <w:top w:val="nil"/>
              <w:left w:val="nil"/>
              <w:bottom w:val="nil"/>
              <w:right w:val="single" w:sz="4" w:space="0" w:color="auto"/>
            </w:tcBorders>
            <w:noWrap/>
            <w:vAlign w:val="bottom"/>
            <w:hideMark/>
          </w:tcPr>
          <w:p w14:paraId="35E66482"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2.055.984</w:t>
            </w:r>
          </w:p>
        </w:tc>
        <w:tc>
          <w:tcPr>
            <w:tcW w:w="458" w:type="pct"/>
            <w:tcBorders>
              <w:top w:val="nil"/>
              <w:left w:val="nil"/>
              <w:bottom w:val="nil"/>
              <w:right w:val="single" w:sz="4" w:space="0" w:color="auto"/>
            </w:tcBorders>
            <w:noWrap/>
            <w:vAlign w:val="bottom"/>
            <w:hideMark/>
          </w:tcPr>
          <w:p w14:paraId="62AAB0A2"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7.335.714</w:t>
            </w:r>
          </w:p>
        </w:tc>
      </w:tr>
      <w:tr w:rsidR="00A74C68" w:rsidRPr="00A74C68" w14:paraId="395FAAB9" w14:textId="77777777" w:rsidTr="00A74C68">
        <w:trPr>
          <w:divId w:val="153886216"/>
          <w:trHeight w:val="20"/>
        </w:trPr>
        <w:tc>
          <w:tcPr>
            <w:tcW w:w="257" w:type="pct"/>
            <w:tcBorders>
              <w:top w:val="nil"/>
              <w:left w:val="single" w:sz="4" w:space="0" w:color="auto"/>
              <w:bottom w:val="nil"/>
              <w:right w:val="nil"/>
            </w:tcBorders>
            <w:hideMark/>
          </w:tcPr>
          <w:p w14:paraId="471B9F2E" w14:textId="77777777" w:rsidR="00A74C68" w:rsidRPr="00A74C68" w:rsidRDefault="00A74C68" w:rsidP="00A74C68">
            <w:pPr>
              <w:rPr>
                <w:color w:val="000000"/>
                <w:sz w:val="14"/>
                <w:szCs w:val="14"/>
              </w:rPr>
            </w:pPr>
            <w:r w:rsidRPr="00A74C68">
              <w:rPr>
                <w:color w:val="000000"/>
                <w:sz w:val="14"/>
                <w:szCs w:val="14"/>
              </w:rPr>
              <w:t>1.1</w:t>
            </w:r>
          </w:p>
        </w:tc>
        <w:tc>
          <w:tcPr>
            <w:tcW w:w="1793" w:type="pct"/>
            <w:tcBorders>
              <w:top w:val="nil"/>
              <w:left w:val="nil"/>
              <w:bottom w:val="nil"/>
              <w:right w:val="nil"/>
            </w:tcBorders>
            <w:hideMark/>
          </w:tcPr>
          <w:p w14:paraId="09B6756A" w14:textId="77777777" w:rsidR="00A74C68" w:rsidRPr="00A74C68" w:rsidRDefault="00A74C68" w:rsidP="00A74C68">
            <w:pPr>
              <w:rPr>
                <w:color w:val="000000"/>
                <w:sz w:val="14"/>
                <w:szCs w:val="14"/>
              </w:rPr>
            </w:pPr>
            <w:r w:rsidRPr="00A74C68">
              <w:rPr>
                <w:color w:val="000000"/>
                <w:sz w:val="14"/>
                <w:szCs w:val="14"/>
              </w:rPr>
              <w:t>Teminat Mektupları</w:t>
            </w:r>
          </w:p>
        </w:tc>
        <w:tc>
          <w:tcPr>
            <w:tcW w:w="329" w:type="pct"/>
            <w:tcBorders>
              <w:top w:val="nil"/>
              <w:left w:val="single" w:sz="4" w:space="0" w:color="auto"/>
              <w:bottom w:val="nil"/>
              <w:right w:val="single" w:sz="4" w:space="0" w:color="auto"/>
            </w:tcBorders>
            <w:vAlign w:val="bottom"/>
            <w:hideMark/>
          </w:tcPr>
          <w:p w14:paraId="37C324D9"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54695B4B" w14:textId="77777777" w:rsidR="00A74C68" w:rsidRPr="00A74C68" w:rsidRDefault="00A74C68" w:rsidP="00A74C68">
            <w:pPr>
              <w:jc w:val="right"/>
              <w:rPr>
                <w:color w:val="000000"/>
                <w:sz w:val="14"/>
                <w:szCs w:val="14"/>
              </w:rPr>
            </w:pPr>
            <w:r w:rsidRPr="00A74C68">
              <w:rPr>
                <w:color w:val="000000"/>
                <w:sz w:val="14"/>
                <w:szCs w:val="14"/>
              </w:rPr>
              <w:t>17.474.788</w:t>
            </w:r>
          </w:p>
        </w:tc>
        <w:tc>
          <w:tcPr>
            <w:tcW w:w="412" w:type="pct"/>
            <w:tcBorders>
              <w:top w:val="nil"/>
              <w:left w:val="nil"/>
              <w:bottom w:val="nil"/>
              <w:right w:val="single" w:sz="4" w:space="0" w:color="auto"/>
            </w:tcBorders>
            <w:shd w:val="clear" w:color="000000" w:fill="FFFFFF"/>
            <w:noWrap/>
            <w:vAlign w:val="bottom"/>
            <w:hideMark/>
          </w:tcPr>
          <w:p w14:paraId="68E02A81" w14:textId="77777777" w:rsidR="00A74C68" w:rsidRPr="00A74C68" w:rsidRDefault="00A74C68" w:rsidP="00A74C68">
            <w:pPr>
              <w:jc w:val="right"/>
              <w:rPr>
                <w:color w:val="000000"/>
                <w:sz w:val="14"/>
                <w:szCs w:val="14"/>
              </w:rPr>
            </w:pPr>
            <w:r w:rsidRPr="00A74C68">
              <w:rPr>
                <w:color w:val="000000"/>
                <w:sz w:val="14"/>
                <w:szCs w:val="14"/>
              </w:rPr>
              <w:t>7.574.633</w:t>
            </w:r>
          </w:p>
        </w:tc>
        <w:tc>
          <w:tcPr>
            <w:tcW w:w="463" w:type="pct"/>
            <w:tcBorders>
              <w:top w:val="nil"/>
              <w:left w:val="nil"/>
              <w:bottom w:val="nil"/>
              <w:right w:val="single" w:sz="4" w:space="0" w:color="auto"/>
            </w:tcBorders>
            <w:shd w:val="clear" w:color="000000" w:fill="FFFFFF"/>
            <w:noWrap/>
            <w:vAlign w:val="bottom"/>
            <w:hideMark/>
          </w:tcPr>
          <w:p w14:paraId="7ACB8408" w14:textId="77777777" w:rsidR="00A74C68" w:rsidRPr="00A74C68" w:rsidRDefault="00A74C68" w:rsidP="00A74C68">
            <w:pPr>
              <w:jc w:val="right"/>
              <w:rPr>
                <w:color w:val="000000"/>
                <w:sz w:val="14"/>
                <w:szCs w:val="14"/>
              </w:rPr>
            </w:pPr>
            <w:r w:rsidRPr="00A74C68">
              <w:rPr>
                <w:color w:val="000000"/>
                <w:sz w:val="14"/>
                <w:szCs w:val="14"/>
              </w:rPr>
              <w:t>25.049.421</w:t>
            </w:r>
          </w:p>
        </w:tc>
        <w:tc>
          <w:tcPr>
            <w:tcW w:w="412" w:type="pct"/>
            <w:tcBorders>
              <w:top w:val="nil"/>
              <w:left w:val="nil"/>
              <w:bottom w:val="nil"/>
              <w:right w:val="single" w:sz="4" w:space="0" w:color="auto"/>
            </w:tcBorders>
            <w:noWrap/>
            <w:vAlign w:val="bottom"/>
            <w:hideMark/>
          </w:tcPr>
          <w:p w14:paraId="6C9519B2" w14:textId="77777777" w:rsidR="00A74C68" w:rsidRPr="00A74C68" w:rsidRDefault="00A74C68" w:rsidP="00A74C68">
            <w:pPr>
              <w:jc w:val="right"/>
              <w:rPr>
                <w:color w:val="000000"/>
                <w:sz w:val="14"/>
                <w:szCs w:val="14"/>
                <w:lang w:eastAsia="tr-TR"/>
              </w:rPr>
            </w:pPr>
            <w:r w:rsidRPr="00A74C68">
              <w:rPr>
                <w:color w:val="000000"/>
                <w:sz w:val="14"/>
                <w:szCs w:val="14"/>
                <w:lang w:eastAsia="tr-TR"/>
              </w:rPr>
              <w:t>5.279.730</w:t>
            </w:r>
          </w:p>
        </w:tc>
        <w:tc>
          <w:tcPr>
            <w:tcW w:w="412" w:type="pct"/>
            <w:tcBorders>
              <w:top w:val="nil"/>
              <w:left w:val="nil"/>
              <w:bottom w:val="nil"/>
              <w:right w:val="single" w:sz="4" w:space="0" w:color="auto"/>
            </w:tcBorders>
            <w:noWrap/>
            <w:vAlign w:val="bottom"/>
            <w:hideMark/>
          </w:tcPr>
          <w:p w14:paraId="2F07A5FF" w14:textId="77777777" w:rsidR="00A74C68" w:rsidRPr="00A74C68" w:rsidRDefault="00A74C68" w:rsidP="00A74C68">
            <w:pPr>
              <w:jc w:val="right"/>
              <w:rPr>
                <w:color w:val="000000"/>
                <w:sz w:val="14"/>
                <w:szCs w:val="14"/>
                <w:lang w:eastAsia="tr-TR"/>
              </w:rPr>
            </w:pPr>
            <w:r w:rsidRPr="00A74C68">
              <w:rPr>
                <w:color w:val="000000"/>
                <w:sz w:val="14"/>
                <w:szCs w:val="14"/>
                <w:lang w:eastAsia="tr-TR"/>
              </w:rPr>
              <w:t>2.055.984</w:t>
            </w:r>
          </w:p>
        </w:tc>
        <w:tc>
          <w:tcPr>
            <w:tcW w:w="458" w:type="pct"/>
            <w:tcBorders>
              <w:top w:val="nil"/>
              <w:left w:val="nil"/>
              <w:bottom w:val="nil"/>
              <w:right w:val="single" w:sz="4" w:space="0" w:color="auto"/>
            </w:tcBorders>
            <w:noWrap/>
            <w:vAlign w:val="bottom"/>
            <w:hideMark/>
          </w:tcPr>
          <w:p w14:paraId="5377E381" w14:textId="77777777" w:rsidR="00A74C68" w:rsidRPr="00A74C68" w:rsidRDefault="00A74C68" w:rsidP="00A74C68">
            <w:pPr>
              <w:jc w:val="right"/>
              <w:rPr>
                <w:color w:val="000000"/>
                <w:sz w:val="14"/>
                <w:szCs w:val="14"/>
                <w:lang w:eastAsia="tr-TR"/>
              </w:rPr>
            </w:pPr>
            <w:r w:rsidRPr="00A74C68">
              <w:rPr>
                <w:color w:val="000000"/>
                <w:sz w:val="14"/>
                <w:szCs w:val="14"/>
                <w:lang w:eastAsia="tr-TR"/>
              </w:rPr>
              <w:t>7.335.714</w:t>
            </w:r>
          </w:p>
        </w:tc>
      </w:tr>
      <w:tr w:rsidR="00A74C68" w:rsidRPr="00A74C68" w14:paraId="2B6FAF51" w14:textId="77777777" w:rsidTr="00A74C68">
        <w:trPr>
          <w:divId w:val="153886216"/>
          <w:trHeight w:val="20"/>
        </w:trPr>
        <w:tc>
          <w:tcPr>
            <w:tcW w:w="257" w:type="pct"/>
            <w:tcBorders>
              <w:top w:val="nil"/>
              <w:left w:val="single" w:sz="4" w:space="0" w:color="auto"/>
              <w:bottom w:val="nil"/>
              <w:right w:val="nil"/>
            </w:tcBorders>
            <w:hideMark/>
          </w:tcPr>
          <w:p w14:paraId="26255366" w14:textId="77777777" w:rsidR="00A74C68" w:rsidRPr="00A74C68" w:rsidRDefault="00A74C68" w:rsidP="00A74C68">
            <w:pPr>
              <w:rPr>
                <w:color w:val="000000"/>
                <w:sz w:val="14"/>
                <w:szCs w:val="14"/>
              </w:rPr>
            </w:pPr>
            <w:r w:rsidRPr="00A74C68">
              <w:rPr>
                <w:color w:val="000000"/>
                <w:sz w:val="14"/>
                <w:szCs w:val="14"/>
              </w:rPr>
              <w:t>1.1.1</w:t>
            </w:r>
          </w:p>
        </w:tc>
        <w:tc>
          <w:tcPr>
            <w:tcW w:w="1793" w:type="pct"/>
            <w:tcBorders>
              <w:top w:val="nil"/>
              <w:left w:val="nil"/>
              <w:bottom w:val="nil"/>
              <w:right w:val="nil"/>
            </w:tcBorders>
            <w:hideMark/>
          </w:tcPr>
          <w:p w14:paraId="00FD41E1" w14:textId="77777777" w:rsidR="00A74C68" w:rsidRPr="00A74C68" w:rsidRDefault="00A74C68" w:rsidP="00A74C68">
            <w:pPr>
              <w:rPr>
                <w:color w:val="000000"/>
                <w:sz w:val="14"/>
                <w:szCs w:val="14"/>
              </w:rPr>
            </w:pPr>
            <w:r w:rsidRPr="00A74C68">
              <w:rPr>
                <w:color w:val="000000"/>
                <w:sz w:val="14"/>
                <w:szCs w:val="14"/>
              </w:rPr>
              <w:t>Devlet İhale Kanunu Kapsamına Girenler</w:t>
            </w:r>
          </w:p>
        </w:tc>
        <w:tc>
          <w:tcPr>
            <w:tcW w:w="329" w:type="pct"/>
            <w:tcBorders>
              <w:top w:val="nil"/>
              <w:left w:val="single" w:sz="4" w:space="0" w:color="auto"/>
              <w:bottom w:val="nil"/>
              <w:right w:val="single" w:sz="4" w:space="0" w:color="auto"/>
            </w:tcBorders>
            <w:vAlign w:val="bottom"/>
            <w:hideMark/>
          </w:tcPr>
          <w:p w14:paraId="0ED515B4"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1FAE6061" w14:textId="77777777" w:rsidR="00A74C68" w:rsidRPr="00A74C68" w:rsidRDefault="00A74C68" w:rsidP="00A74C68">
            <w:pPr>
              <w:jc w:val="right"/>
              <w:rPr>
                <w:color w:val="000000"/>
                <w:sz w:val="14"/>
                <w:szCs w:val="14"/>
              </w:rPr>
            </w:pPr>
            <w:r w:rsidRPr="00A74C68">
              <w:rPr>
                <w:color w:val="000000"/>
                <w:sz w:val="14"/>
                <w:szCs w:val="14"/>
              </w:rPr>
              <w:t>7.145.473</w:t>
            </w:r>
          </w:p>
        </w:tc>
        <w:tc>
          <w:tcPr>
            <w:tcW w:w="412" w:type="pct"/>
            <w:tcBorders>
              <w:top w:val="nil"/>
              <w:left w:val="nil"/>
              <w:bottom w:val="nil"/>
              <w:right w:val="single" w:sz="4" w:space="0" w:color="auto"/>
            </w:tcBorders>
            <w:shd w:val="clear" w:color="000000" w:fill="FFFFFF"/>
            <w:noWrap/>
            <w:vAlign w:val="bottom"/>
            <w:hideMark/>
          </w:tcPr>
          <w:p w14:paraId="7FB41AE0" w14:textId="77777777" w:rsidR="00A74C68" w:rsidRPr="00A74C68" w:rsidRDefault="00A74C68" w:rsidP="00A74C68">
            <w:pPr>
              <w:jc w:val="right"/>
              <w:rPr>
                <w:color w:val="000000"/>
                <w:sz w:val="14"/>
                <w:szCs w:val="14"/>
              </w:rPr>
            </w:pPr>
            <w:r w:rsidRPr="00A74C68">
              <w:rPr>
                <w:color w:val="000000"/>
                <w:sz w:val="14"/>
                <w:szCs w:val="14"/>
              </w:rPr>
              <w:t>823.556</w:t>
            </w:r>
          </w:p>
        </w:tc>
        <w:tc>
          <w:tcPr>
            <w:tcW w:w="463" w:type="pct"/>
            <w:tcBorders>
              <w:top w:val="nil"/>
              <w:left w:val="nil"/>
              <w:bottom w:val="nil"/>
              <w:right w:val="single" w:sz="4" w:space="0" w:color="auto"/>
            </w:tcBorders>
            <w:shd w:val="clear" w:color="000000" w:fill="FFFFFF"/>
            <w:noWrap/>
            <w:vAlign w:val="bottom"/>
            <w:hideMark/>
          </w:tcPr>
          <w:p w14:paraId="3B77FD52" w14:textId="77777777" w:rsidR="00A74C68" w:rsidRPr="00A74C68" w:rsidRDefault="00A74C68" w:rsidP="00A74C68">
            <w:pPr>
              <w:jc w:val="right"/>
              <w:rPr>
                <w:color w:val="000000"/>
                <w:sz w:val="14"/>
                <w:szCs w:val="14"/>
              </w:rPr>
            </w:pPr>
            <w:r w:rsidRPr="00A74C68">
              <w:rPr>
                <w:color w:val="000000"/>
                <w:sz w:val="14"/>
                <w:szCs w:val="14"/>
              </w:rPr>
              <w:t>7.969.029</w:t>
            </w:r>
          </w:p>
        </w:tc>
        <w:tc>
          <w:tcPr>
            <w:tcW w:w="412" w:type="pct"/>
            <w:tcBorders>
              <w:top w:val="nil"/>
              <w:left w:val="nil"/>
              <w:bottom w:val="nil"/>
              <w:right w:val="single" w:sz="4" w:space="0" w:color="auto"/>
            </w:tcBorders>
            <w:noWrap/>
            <w:vAlign w:val="bottom"/>
            <w:hideMark/>
          </w:tcPr>
          <w:p w14:paraId="053E1147" w14:textId="77777777" w:rsidR="00A74C68" w:rsidRPr="00A74C68" w:rsidRDefault="00A74C68" w:rsidP="00A74C68">
            <w:pPr>
              <w:jc w:val="right"/>
              <w:rPr>
                <w:color w:val="000000"/>
                <w:sz w:val="14"/>
                <w:szCs w:val="14"/>
                <w:lang w:eastAsia="tr-TR"/>
              </w:rPr>
            </w:pPr>
            <w:r w:rsidRPr="00A74C68">
              <w:rPr>
                <w:color w:val="000000"/>
                <w:sz w:val="14"/>
                <w:szCs w:val="14"/>
                <w:lang w:eastAsia="tr-TR"/>
              </w:rPr>
              <w:t>2.419.186</w:t>
            </w:r>
          </w:p>
        </w:tc>
        <w:tc>
          <w:tcPr>
            <w:tcW w:w="412" w:type="pct"/>
            <w:tcBorders>
              <w:top w:val="nil"/>
              <w:left w:val="nil"/>
              <w:bottom w:val="nil"/>
              <w:right w:val="single" w:sz="4" w:space="0" w:color="auto"/>
            </w:tcBorders>
            <w:noWrap/>
            <w:vAlign w:val="bottom"/>
            <w:hideMark/>
          </w:tcPr>
          <w:p w14:paraId="39298625" w14:textId="77777777" w:rsidR="00A74C68" w:rsidRPr="00A74C68" w:rsidRDefault="00A74C68" w:rsidP="00A74C68">
            <w:pPr>
              <w:jc w:val="right"/>
              <w:rPr>
                <w:color w:val="000000"/>
                <w:sz w:val="14"/>
                <w:szCs w:val="14"/>
                <w:lang w:eastAsia="tr-TR"/>
              </w:rPr>
            </w:pPr>
            <w:r w:rsidRPr="00A74C68">
              <w:rPr>
                <w:color w:val="000000"/>
                <w:sz w:val="14"/>
                <w:szCs w:val="14"/>
                <w:lang w:eastAsia="tr-TR"/>
              </w:rPr>
              <w:t>190.451</w:t>
            </w:r>
          </w:p>
        </w:tc>
        <w:tc>
          <w:tcPr>
            <w:tcW w:w="458" w:type="pct"/>
            <w:tcBorders>
              <w:top w:val="nil"/>
              <w:left w:val="nil"/>
              <w:bottom w:val="nil"/>
              <w:right w:val="single" w:sz="4" w:space="0" w:color="auto"/>
            </w:tcBorders>
            <w:noWrap/>
            <w:vAlign w:val="bottom"/>
            <w:hideMark/>
          </w:tcPr>
          <w:p w14:paraId="090BF982" w14:textId="77777777" w:rsidR="00A74C68" w:rsidRPr="00A74C68" w:rsidRDefault="00A74C68" w:rsidP="00A74C68">
            <w:pPr>
              <w:jc w:val="right"/>
              <w:rPr>
                <w:color w:val="000000"/>
                <w:sz w:val="14"/>
                <w:szCs w:val="14"/>
                <w:lang w:eastAsia="tr-TR"/>
              </w:rPr>
            </w:pPr>
            <w:r w:rsidRPr="00A74C68">
              <w:rPr>
                <w:color w:val="000000"/>
                <w:sz w:val="14"/>
                <w:szCs w:val="14"/>
                <w:lang w:eastAsia="tr-TR"/>
              </w:rPr>
              <w:t>2.609.637</w:t>
            </w:r>
          </w:p>
        </w:tc>
      </w:tr>
      <w:tr w:rsidR="00A74C68" w:rsidRPr="00A74C68" w14:paraId="40CDEF5C" w14:textId="77777777" w:rsidTr="00A74C68">
        <w:trPr>
          <w:divId w:val="153886216"/>
          <w:trHeight w:val="20"/>
        </w:trPr>
        <w:tc>
          <w:tcPr>
            <w:tcW w:w="257" w:type="pct"/>
            <w:tcBorders>
              <w:top w:val="nil"/>
              <w:left w:val="single" w:sz="4" w:space="0" w:color="auto"/>
              <w:bottom w:val="nil"/>
              <w:right w:val="nil"/>
            </w:tcBorders>
            <w:hideMark/>
          </w:tcPr>
          <w:p w14:paraId="76A58E04" w14:textId="77777777" w:rsidR="00A74C68" w:rsidRPr="00A74C68" w:rsidRDefault="00A74C68" w:rsidP="00A74C68">
            <w:pPr>
              <w:rPr>
                <w:color w:val="000000"/>
                <w:sz w:val="14"/>
                <w:szCs w:val="14"/>
              </w:rPr>
            </w:pPr>
            <w:r w:rsidRPr="00A74C68">
              <w:rPr>
                <w:color w:val="000000"/>
                <w:sz w:val="14"/>
                <w:szCs w:val="14"/>
              </w:rPr>
              <w:t>1.1.2</w:t>
            </w:r>
          </w:p>
        </w:tc>
        <w:tc>
          <w:tcPr>
            <w:tcW w:w="1793" w:type="pct"/>
            <w:tcBorders>
              <w:top w:val="nil"/>
              <w:left w:val="nil"/>
              <w:bottom w:val="nil"/>
              <w:right w:val="nil"/>
            </w:tcBorders>
            <w:hideMark/>
          </w:tcPr>
          <w:p w14:paraId="48461641" w14:textId="77777777" w:rsidR="00A74C68" w:rsidRPr="00A74C68" w:rsidRDefault="00A74C68" w:rsidP="00A74C68">
            <w:pPr>
              <w:rPr>
                <w:color w:val="000000"/>
                <w:sz w:val="14"/>
                <w:szCs w:val="14"/>
              </w:rPr>
            </w:pPr>
            <w:r w:rsidRPr="00A74C68">
              <w:rPr>
                <w:color w:val="000000"/>
                <w:sz w:val="14"/>
                <w:szCs w:val="14"/>
              </w:rPr>
              <w:t>Dış Ticaret İşlemleri Dolayısıyla Verilenler</w:t>
            </w:r>
          </w:p>
        </w:tc>
        <w:tc>
          <w:tcPr>
            <w:tcW w:w="329" w:type="pct"/>
            <w:tcBorders>
              <w:top w:val="nil"/>
              <w:left w:val="single" w:sz="4" w:space="0" w:color="auto"/>
              <w:bottom w:val="nil"/>
              <w:right w:val="single" w:sz="4" w:space="0" w:color="auto"/>
            </w:tcBorders>
            <w:vAlign w:val="bottom"/>
            <w:hideMark/>
          </w:tcPr>
          <w:p w14:paraId="43D09D8B"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3538C6D9"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5E313524" w14:textId="77777777" w:rsidR="00A74C68" w:rsidRPr="00A74C68" w:rsidRDefault="00A74C68" w:rsidP="00A74C68">
            <w:pPr>
              <w:jc w:val="right"/>
              <w:rPr>
                <w:color w:val="000000"/>
                <w:sz w:val="14"/>
                <w:szCs w:val="14"/>
              </w:rPr>
            </w:pPr>
            <w:r w:rsidRPr="00A74C68">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20D09CC4"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noWrap/>
            <w:vAlign w:val="bottom"/>
            <w:hideMark/>
          </w:tcPr>
          <w:p w14:paraId="7E1ADA40"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6733BB4A"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46A4F168"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159ED0C8" w14:textId="77777777" w:rsidTr="00A74C68">
        <w:trPr>
          <w:divId w:val="153886216"/>
          <w:trHeight w:val="20"/>
        </w:trPr>
        <w:tc>
          <w:tcPr>
            <w:tcW w:w="257" w:type="pct"/>
            <w:tcBorders>
              <w:top w:val="nil"/>
              <w:left w:val="single" w:sz="4" w:space="0" w:color="auto"/>
              <w:bottom w:val="nil"/>
              <w:right w:val="nil"/>
            </w:tcBorders>
            <w:hideMark/>
          </w:tcPr>
          <w:p w14:paraId="37646853" w14:textId="77777777" w:rsidR="00A74C68" w:rsidRPr="00A74C68" w:rsidRDefault="00A74C68" w:rsidP="00A74C68">
            <w:pPr>
              <w:rPr>
                <w:color w:val="000000"/>
                <w:sz w:val="14"/>
                <w:szCs w:val="14"/>
              </w:rPr>
            </w:pPr>
            <w:r w:rsidRPr="00A74C68">
              <w:rPr>
                <w:color w:val="000000"/>
                <w:sz w:val="14"/>
                <w:szCs w:val="14"/>
              </w:rPr>
              <w:t>1.1.3</w:t>
            </w:r>
          </w:p>
        </w:tc>
        <w:tc>
          <w:tcPr>
            <w:tcW w:w="1793" w:type="pct"/>
            <w:tcBorders>
              <w:top w:val="nil"/>
              <w:left w:val="nil"/>
              <w:bottom w:val="nil"/>
              <w:right w:val="nil"/>
            </w:tcBorders>
            <w:hideMark/>
          </w:tcPr>
          <w:p w14:paraId="22031212" w14:textId="77777777" w:rsidR="00A74C68" w:rsidRPr="00A74C68" w:rsidRDefault="00A74C68" w:rsidP="00A74C68">
            <w:pPr>
              <w:rPr>
                <w:color w:val="000000"/>
                <w:sz w:val="14"/>
                <w:szCs w:val="14"/>
              </w:rPr>
            </w:pPr>
            <w:r w:rsidRPr="00A74C68">
              <w:rPr>
                <w:color w:val="000000"/>
                <w:sz w:val="14"/>
                <w:szCs w:val="14"/>
              </w:rPr>
              <w:t>Diğer Teminat Mektupları</w:t>
            </w:r>
          </w:p>
        </w:tc>
        <w:tc>
          <w:tcPr>
            <w:tcW w:w="329" w:type="pct"/>
            <w:tcBorders>
              <w:top w:val="nil"/>
              <w:left w:val="single" w:sz="4" w:space="0" w:color="auto"/>
              <w:bottom w:val="nil"/>
              <w:right w:val="single" w:sz="4" w:space="0" w:color="auto"/>
            </w:tcBorders>
            <w:vAlign w:val="bottom"/>
            <w:hideMark/>
          </w:tcPr>
          <w:p w14:paraId="6AD8EED0"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1F4E9D32" w14:textId="77777777" w:rsidR="00A74C68" w:rsidRPr="00A74C68" w:rsidRDefault="00A74C68" w:rsidP="00A74C68">
            <w:pPr>
              <w:jc w:val="right"/>
              <w:rPr>
                <w:color w:val="000000"/>
                <w:sz w:val="14"/>
                <w:szCs w:val="14"/>
              </w:rPr>
            </w:pPr>
            <w:r w:rsidRPr="00A74C68">
              <w:rPr>
                <w:color w:val="000000"/>
                <w:sz w:val="14"/>
                <w:szCs w:val="14"/>
              </w:rPr>
              <w:t>10.329.315</w:t>
            </w:r>
          </w:p>
        </w:tc>
        <w:tc>
          <w:tcPr>
            <w:tcW w:w="412" w:type="pct"/>
            <w:tcBorders>
              <w:top w:val="nil"/>
              <w:left w:val="nil"/>
              <w:bottom w:val="nil"/>
              <w:right w:val="single" w:sz="4" w:space="0" w:color="auto"/>
            </w:tcBorders>
            <w:shd w:val="clear" w:color="000000" w:fill="FFFFFF"/>
            <w:noWrap/>
            <w:vAlign w:val="bottom"/>
            <w:hideMark/>
          </w:tcPr>
          <w:p w14:paraId="25F155EA" w14:textId="77777777" w:rsidR="00A74C68" w:rsidRPr="00A74C68" w:rsidRDefault="00A74C68" w:rsidP="00A74C68">
            <w:pPr>
              <w:jc w:val="right"/>
              <w:rPr>
                <w:color w:val="000000"/>
                <w:sz w:val="14"/>
                <w:szCs w:val="14"/>
              </w:rPr>
            </w:pPr>
            <w:r w:rsidRPr="00A74C68">
              <w:rPr>
                <w:color w:val="000000"/>
                <w:sz w:val="14"/>
                <w:szCs w:val="14"/>
              </w:rPr>
              <w:t>6.751.077</w:t>
            </w:r>
          </w:p>
        </w:tc>
        <w:tc>
          <w:tcPr>
            <w:tcW w:w="463" w:type="pct"/>
            <w:tcBorders>
              <w:top w:val="nil"/>
              <w:left w:val="nil"/>
              <w:bottom w:val="nil"/>
              <w:right w:val="single" w:sz="4" w:space="0" w:color="auto"/>
            </w:tcBorders>
            <w:shd w:val="clear" w:color="000000" w:fill="FFFFFF"/>
            <w:noWrap/>
            <w:vAlign w:val="bottom"/>
            <w:hideMark/>
          </w:tcPr>
          <w:p w14:paraId="3679C82D" w14:textId="77777777" w:rsidR="00A74C68" w:rsidRPr="00A74C68" w:rsidRDefault="00A74C68" w:rsidP="00A74C68">
            <w:pPr>
              <w:jc w:val="right"/>
              <w:rPr>
                <w:color w:val="000000"/>
                <w:sz w:val="14"/>
                <w:szCs w:val="14"/>
              </w:rPr>
            </w:pPr>
            <w:r w:rsidRPr="00A74C68">
              <w:rPr>
                <w:color w:val="000000"/>
                <w:sz w:val="14"/>
                <w:szCs w:val="14"/>
              </w:rPr>
              <w:t>17.080.392</w:t>
            </w:r>
          </w:p>
        </w:tc>
        <w:tc>
          <w:tcPr>
            <w:tcW w:w="412" w:type="pct"/>
            <w:tcBorders>
              <w:top w:val="nil"/>
              <w:left w:val="nil"/>
              <w:bottom w:val="nil"/>
              <w:right w:val="single" w:sz="4" w:space="0" w:color="auto"/>
            </w:tcBorders>
            <w:noWrap/>
            <w:vAlign w:val="bottom"/>
            <w:hideMark/>
          </w:tcPr>
          <w:p w14:paraId="79013BD6" w14:textId="77777777" w:rsidR="00A74C68" w:rsidRPr="00A74C68" w:rsidRDefault="00A74C68" w:rsidP="00A74C68">
            <w:pPr>
              <w:jc w:val="right"/>
              <w:rPr>
                <w:color w:val="000000"/>
                <w:sz w:val="14"/>
                <w:szCs w:val="14"/>
                <w:lang w:eastAsia="tr-TR"/>
              </w:rPr>
            </w:pPr>
            <w:r w:rsidRPr="00A74C68">
              <w:rPr>
                <w:color w:val="000000"/>
                <w:sz w:val="14"/>
                <w:szCs w:val="14"/>
                <w:lang w:eastAsia="tr-TR"/>
              </w:rPr>
              <w:t>2.860.544</w:t>
            </w:r>
          </w:p>
        </w:tc>
        <w:tc>
          <w:tcPr>
            <w:tcW w:w="412" w:type="pct"/>
            <w:tcBorders>
              <w:top w:val="nil"/>
              <w:left w:val="nil"/>
              <w:bottom w:val="nil"/>
              <w:right w:val="single" w:sz="4" w:space="0" w:color="auto"/>
            </w:tcBorders>
            <w:noWrap/>
            <w:vAlign w:val="bottom"/>
            <w:hideMark/>
          </w:tcPr>
          <w:p w14:paraId="3F618A9C" w14:textId="77777777" w:rsidR="00A74C68" w:rsidRPr="00A74C68" w:rsidRDefault="00A74C68" w:rsidP="00A74C68">
            <w:pPr>
              <w:jc w:val="right"/>
              <w:rPr>
                <w:color w:val="000000"/>
                <w:sz w:val="14"/>
                <w:szCs w:val="14"/>
                <w:lang w:eastAsia="tr-TR"/>
              </w:rPr>
            </w:pPr>
            <w:r w:rsidRPr="00A74C68">
              <w:rPr>
                <w:color w:val="000000"/>
                <w:sz w:val="14"/>
                <w:szCs w:val="14"/>
                <w:lang w:eastAsia="tr-TR"/>
              </w:rPr>
              <w:t>1.865.533</w:t>
            </w:r>
          </w:p>
        </w:tc>
        <w:tc>
          <w:tcPr>
            <w:tcW w:w="458" w:type="pct"/>
            <w:tcBorders>
              <w:top w:val="nil"/>
              <w:left w:val="nil"/>
              <w:bottom w:val="nil"/>
              <w:right w:val="single" w:sz="4" w:space="0" w:color="auto"/>
            </w:tcBorders>
            <w:noWrap/>
            <w:vAlign w:val="bottom"/>
            <w:hideMark/>
          </w:tcPr>
          <w:p w14:paraId="1C0F64E8" w14:textId="77777777" w:rsidR="00A74C68" w:rsidRPr="00A74C68" w:rsidRDefault="00A74C68" w:rsidP="00A74C68">
            <w:pPr>
              <w:jc w:val="right"/>
              <w:rPr>
                <w:color w:val="000000"/>
                <w:sz w:val="14"/>
                <w:szCs w:val="14"/>
                <w:lang w:eastAsia="tr-TR"/>
              </w:rPr>
            </w:pPr>
            <w:r w:rsidRPr="00A74C68">
              <w:rPr>
                <w:color w:val="000000"/>
                <w:sz w:val="14"/>
                <w:szCs w:val="14"/>
                <w:lang w:eastAsia="tr-TR"/>
              </w:rPr>
              <w:t>4.726.077</w:t>
            </w:r>
          </w:p>
        </w:tc>
      </w:tr>
      <w:tr w:rsidR="00A74C68" w:rsidRPr="00A74C68" w14:paraId="686F262F" w14:textId="77777777" w:rsidTr="00A74C68">
        <w:trPr>
          <w:divId w:val="153886216"/>
          <w:trHeight w:val="20"/>
        </w:trPr>
        <w:tc>
          <w:tcPr>
            <w:tcW w:w="257" w:type="pct"/>
            <w:tcBorders>
              <w:top w:val="nil"/>
              <w:left w:val="single" w:sz="4" w:space="0" w:color="auto"/>
              <w:bottom w:val="nil"/>
              <w:right w:val="nil"/>
            </w:tcBorders>
            <w:hideMark/>
          </w:tcPr>
          <w:p w14:paraId="08BC3A7D" w14:textId="77777777" w:rsidR="00A74C68" w:rsidRPr="00A74C68" w:rsidRDefault="00A74C68" w:rsidP="00A74C68">
            <w:pPr>
              <w:rPr>
                <w:color w:val="000000"/>
                <w:sz w:val="14"/>
                <w:szCs w:val="14"/>
              </w:rPr>
            </w:pPr>
            <w:r w:rsidRPr="00A74C68">
              <w:rPr>
                <w:color w:val="000000"/>
                <w:sz w:val="14"/>
                <w:szCs w:val="14"/>
              </w:rPr>
              <w:t>1.2.</w:t>
            </w:r>
          </w:p>
        </w:tc>
        <w:tc>
          <w:tcPr>
            <w:tcW w:w="1793" w:type="pct"/>
            <w:tcBorders>
              <w:top w:val="nil"/>
              <w:left w:val="nil"/>
              <w:bottom w:val="nil"/>
              <w:right w:val="nil"/>
            </w:tcBorders>
            <w:hideMark/>
          </w:tcPr>
          <w:p w14:paraId="381C78DF" w14:textId="77777777" w:rsidR="00A74C68" w:rsidRPr="00A74C68" w:rsidRDefault="00A74C68" w:rsidP="00A74C68">
            <w:pPr>
              <w:rPr>
                <w:color w:val="000000"/>
                <w:sz w:val="14"/>
                <w:szCs w:val="14"/>
              </w:rPr>
            </w:pPr>
            <w:r w:rsidRPr="00A74C68">
              <w:rPr>
                <w:color w:val="000000"/>
                <w:sz w:val="14"/>
                <w:szCs w:val="14"/>
              </w:rPr>
              <w:t>Banka Kredileri</w:t>
            </w:r>
          </w:p>
        </w:tc>
        <w:tc>
          <w:tcPr>
            <w:tcW w:w="329" w:type="pct"/>
            <w:tcBorders>
              <w:top w:val="nil"/>
              <w:left w:val="single" w:sz="4" w:space="0" w:color="auto"/>
              <w:bottom w:val="nil"/>
              <w:right w:val="single" w:sz="4" w:space="0" w:color="auto"/>
            </w:tcBorders>
            <w:vAlign w:val="bottom"/>
            <w:hideMark/>
          </w:tcPr>
          <w:p w14:paraId="3755C3FA"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704C13CD"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31A09257" w14:textId="77777777" w:rsidR="00A74C68" w:rsidRPr="00A74C68" w:rsidRDefault="00A74C68" w:rsidP="00A74C68">
            <w:pPr>
              <w:jc w:val="right"/>
              <w:rPr>
                <w:color w:val="000000"/>
                <w:sz w:val="14"/>
                <w:szCs w:val="14"/>
              </w:rPr>
            </w:pPr>
            <w:r w:rsidRPr="00A74C68">
              <w:rPr>
                <w:color w:val="000000"/>
                <w:sz w:val="14"/>
                <w:szCs w:val="14"/>
              </w:rPr>
              <w:t>41.029</w:t>
            </w:r>
          </w:p>
        </w:tc>
        <w:tc>
          <w:tcPr>
            <w:tcW w:w="463" w:type="pct"/>
            <w:tcBorders>
              <w:top w:val="nil"/>
              <w:left w:val="nil"/>
              <w:bottom w:val="nil"/>
              <w:right w:val="single" w:sz="4" w:space="0" w:color="auto"/>
            </w:tcBorders>
            <w:shd w:val="clear" w:color="000000" w:fill="FFFFFF"/>
            <w:noWrap/>
            <w:vAlign w:val="bottom"/>
            <w:hideMark/>
          </w:tcPr>
          <w:p w14:paraId="781AD89D" w14:textId="77777777" w:rsidR="00A74C68" w:rsidRPr="00A74C68" w:rsidRDefault="00A74C68" w:rsidP="00A74C68">
            <w:pPr>
              <w:jc w:val="right"/>
              <w:rPr>
                <w:color w:val="000000"/>
                <w:sz w:val="14"/>
                <w:szCs w:val="14"/>
              </w:rPr>
            </w:pPr>
            <w:r w:rsidRPr="00A74C68">
              <w:rPr>
                <w:color w:val="000000"/>
                <w:sz w:val="14"/>
                <w:szCs w:val="14"/>
              </w:rPr>
              <w:t>41.029</w:t>
            </w:r>
          </w:p>
        </w:tc>
        <w:tc>
          <w:tcPr>
            <w:tcW w:w="412" w:type="pct"/>
            <w:tcBorders>
              <w:top w:val="nil"/>
              <w:left w:val="nil"/>
              <w:bottom w:val="nil"/>
              <w:right w:val="single" w:sz="4" w:space="0" w:color="auto"/>
            </w:tcBorders>
            <w:noWrap/>
            <w:vAlign w:val="bottom"/>
            <w:hideMark/>
          </w:tcPr>
          <w:p w14:paraId="38F4E40A"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25DD27C7"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304BD675"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04367852" w14:textId="77777777" w:rsidTr="00A74C68">
        <w:trPr>
          <w:divId w:val="153886216"/>
          <w:trHeight w:val="20"/>
        </w:trPr>
        <w:tc>
          <w:tcPr>
            <w:tcW w:w="257" w:type="pct"/>
            <w:tcBorders>
              <w:top w:val="nil"/>
              <w:left w:val="single" w:sz="4" w:space="0" w:color="auto"/>
              <w:bottom w:val="nil"/>
              <w:right w:val="nil"/>
            </w:tcBorders>
            <w:hideMark/>
          </w:tcPr>
          <w:p w14:paraId="0B18D78F" w14:textId="77777777" w:rsidR="00A74C68" w:rsidRPr="00A74C68" w:rsidRDefault="00A74C68" w:rsidP="00A74C68">
            <w:pPr>
              <w:rPr>
                <w:color w:val="000000"/>
                <w:sz w:val="14"/>
                <w:szCs w:val="14"/>
              </w:rPr>
            </w:pPr>
            <w:r w:rsidRPr="00A74C68">
              <w:rPr>
                <w:color w:val="000000"/>
                <w:sz w:val="14"/>
                <w:szCs w:val="14"/>
              </w:rPr>
              <w:t>1.2.1.</w:t>
            </w:r>
          </w:p>
        </w:tc>
        <w:tc>
          <w:tcPr>
            <w:tcW w:w="1793" w:type="pct"/>
            <w:tcBorders>
              <w:top w:val="nil"/>
              <w:left w:val="nil"/>
              <w:bottom w:val="nil"/>
              <w:right w:val="nil"/>
            </w:tcBorders>
            <w:hideMark/>
          </w:tcPr>
          <w:p w14:paraId="53122D70" w14:textId="77777777" w:rsidR="00A74C68" w:rsidRPr="00A74C68" w:rsidRDefault="00A74C68" w:rsidP="00A74C68">
            <w:pPr>
              <w:rPr>
                <w:color w:val="000000"/>
                <w:sz w:val="14"/>
                <w:szCs w:val="14"/>
              </w:rPr>
            </w:pPr>
            <w:r w:rsidRPr="00A74C68">
              <w:rPr>
                <w:color w:val="000000"/>
                <w:sz w:val="14"/>
                <w:szCs w:val="14"/>
              </w:rPr>
              <w:t>İthalat Kabul Kredileri</w:t>
            </w:r>
          </w:p>
        </w:tc>
        <w:tc>
          <w:tcPr>
            <w:tcW w:w="329" w:type="pct"/>
            <w:tcBorders>
              <w:top w:val="nil"/>
              <w:left w:val="single" w:sz="4" w:space="0" w:color="auto"/>
              <w:bottom w:val="nil"/>
              <w:right w:val="single" w:sz="4" w:space="0" w:color="auto"/>
            </w:tcBorders>
            <w:vAlign w:val="bottom"/>
            <w:hideMark/>
          </w:tcPr>
          <w:p w14:paraId="7B660D22"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1512BD54"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0AF5E941" w14:textId="77777777" w:rsidR="00A74C68" w:rsidRPr="00A74C68" w:rsidRDefault="00A74C68" w:rsidP="00A74C68">
            <w:pPr>
              <w:jc w:val="right"/>
              <w:rPr>
                <w:color w:val="000000"/>
                <w:sz w:val="14"/>
                <w:szCs w:val="14"/>
              </w:rPr>
            </w:pPr>
            <w:r w:rsidRPr="00A74C68">
              <w:rPr>
                <w:color w:val="000000"/>
                <w:sz w:val="14"/>
                <w:szCs w:val="14"/>
              </w:rPr>
              <w:t>41.029</w:t>
            </w:r>
          </w:p>
        </w:tc>
        <w:tc>
          <w:tcPr>
            <w:tcW w:w="463" w:type="pct"/>
            <w:tcBorders>
              <w:top w:val="nil"/>
              <w:left w:val="nil"/>
              <w:bottom w:val="nil"/>
              <w:right w:val="single" w:sz="4" w:space="0" w:color="auto"/>
            </w:tcBorders>
            <w:shd w:val="clear" w:color="000000" w:fill="FFFFFF"/>
            <w:noWrap/>
            <w:vAlign w:val="bottom"/>
            <w:hideMark/>
          </w:tcPr>
          <w:p w14:paraId="17021CC3" w14:textId="77777777" w:rsidR="00A74C68" w:rsidRPr="00A74C68" w:rsidRDefault="00A74C68" w:rsidP="00A74C68">
            <w:pPr>
              <w:jc w:val="right"/>
              <w:rPr>
                <w:color w:val="000000"/>
                <w:sz w:val="14"/>
                <w:szCs w:val="14"/>
              </w:rPr>
            </w:pPr>
            <w:r w:rsidRPr="00A74C68">
              <w:rPr>
                <w:color w:val="000000"/>
                <w:sz w:val="14"/>
                <w:szCs w:val="14"/>
              </w:rPr>
              <w:t>41.029</w:t>
            </w:r>
          </w:p>
        </w:tc>
        <w:tc>
          <w:tcPr>
            <w:tcW w:w="412" w:type="pct"/>
            <w:tcBorders>
              <w:top w:val="nil"/>
              <w:left w:val="nil"/>
              <w:bottom w:val="nil"/>
              <w:right w:val="single" w:sz="4" w:space="0" w:color="auto"/>
            </w:tcBorders>
            <w:noWrap/>
            <w:vAlign w:val="bottom"/>
            <w:hideMark/>
          </w:tcPr>
          <w:p w14:paraId="47161684"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356AB034"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58F68418"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1104E8D7" w14:textId="77777777" w:rsidTr="00A74C68">
        <w:trPr>
          <w:divId w:val="153886216"/>
          <w:trHeight w:val="20"/>
        </w:trPr>
        <w:tc>
          <w:tcPr>
            <w:tcW w:w="257" w:type="pct"/>
            <w:tcBorders>
              <w:top w:val="nil"/>
              <w:left w:val="single" w:sz="4" w:space="0" w:color="auto"/>
              <w:bottom w:val="nil"/>
              <w:right w:val="nil"/>
            </w:tcBorders>
            <w:hideMark/>
          </w:tcPr>
          <w:p w14:paraId="38B28EF9" w14:textId="77777777" w:rsidR="00A74C68" w:rsidRPr="00A74C68" w:rsidRDefault="00A74C68" w:rsidP="00A74C68">
            <w:pPr>
              <w:rPr>
                <w:color w:val="000000"/>
                <w:sz w:val="14"/>
                <w:szCs w:val="14"/>
              </w:rPr>
            </w:pPr>
            <w:r w:rsidRPr="00A74C68">
              <w:rPr>
                <w:color w:val="000000"/>
                <w:sz w:val="14"/>
                <w:szCs w:val="14"/>
              </w:rPr>
              <w:t>1.2.2.</w:t>
            </w:r>
          </w:p>
        </w:tc>
        <w:tc>
          <w:tcPr>
            <w:tcW w:w="1793" w:type="pct"/>
            <w:tcBorders>
              <w:top w:val="nil"/>
              <w:left w:val="nil"/>
              <w:bottom w:val="nil"/>
              <w:right w:val="nil"/>
            </w:tcBorders>
            <w:hideMark/>
          </w:tcPr>
          <w:p w14:paraId="3523AE3D" w14:textId="77777777" w:rsidR="00A74C68" w:rsidRPr="00A74C68" w:rsidRDefault="00A74C68" w:rsidP="00A74C68">
            <w:pPr>
              <w:rPr>
                <w:color w:val="000000"/>
                <w:sz w:val="14"/>
                <w:szCs w:val="14"/>
              </w:rPr>
            </w:pPr>
            <w:r w:rsidRPr="00A74C68">
              <w:rPr>
                <w:color w:val="000000"/>
                <w:sz w:val="14"/>
                <w:szCs w:val="14"/>
              </w:rPr>
              <w:t>Diğer Banka Kabulleri</w:t>
            </w:r>
          </w:p>
        </w:tc>
        <w:tc>
          <w:tcPr>
            <w:tcW w:w="329" w:type="pct"/>
            <w:tcBorders>
              <w:top w:val="nil"/>
              <w:left w:val="single" w:sz="4" w:space="0" w:color="auto"/>
              <w:bottom w:val="nil"/>
              <w:right w:val="single" w:sz="4" w:space="0" w:color="auto"/>
            </w:tcBorders>
            <w:vAlign w:val="bottom"/>
            <w:hideMark/>
          </w:tcPr>
          <w:p w14:paraId="34E03473"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1848F4E6"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41E7DC38" w14:textId="77777777" w:rsidR="00A74C68" w:rsidRPr="00A74C68" w:rsidRDefault="00A74C68" w:rsidP="00A74C68">
            <w:pPr>
              <w:jc w:val="right"/>
              <w:rPr>
                <w:color w:val="000000"/>
                <w:sz w:val="14"/>
                <w:szCs w:val="14"/>
              </w:rPr>
            </w:pPr>
            <w:r w:rsidRPr="00A74C68">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76F820D0"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noWrap/>
            <w:vAlign w:val="bottom"/>
            <w:hideMark/>
          </w:tcPr>
          <w:p w14:paraId="280FCEEA"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0181AA86"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66777D0A"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2817216D" w14:textId="77777777" w:rsidTr="00A74C68">
        <w:trPr>
          <w:divId w:val="153886216"/>
          <w:trHeight w:val="20"/>
        </w:trPr>
        <w:tc>
          <w:tcPr>
            <w:tcW w:w="257" w:type="pct"/>
            <w:tcBorders>
              <w:top w:val="nil"/>
              <w:left w:val="single" w:sz="4" w:space="0" w:color="auto"/>
              <w:bottom w:val="nil"/>
              <w:right w:val="nil"/>
            </w:tcBorders>
            <w:hideMark/>
          </w:tcPr>
          <w:p w14:paraId="046536E2" w14:textId="77777777" w:rsidR="00A74C68" w:rsidRPr="00A74C68" w:rsidRDefault="00A74C68" w:rsidP="00A74C68">
            <w:pPr>
              <w:rPr>
                <w:color w:val="000000"/>
                <w:sz w:val="14"/>
                <w:szCs w:val="14"/>
              </w:rPr>
            </w:pPr>
            <w:r w:rsidRPr="00A74C68">
              <w:rPr>
                <w:color w:val="000000"/>
                <w:sz w:val="14"/>
                <w:szCs w:val="14"/>
              </w:rPr>
              <w:t>1.3.</w:t>
            </w:r>
          </w:p>
        </w:tc>
        <w:tc>
          <w:tcPr>
            <w:tcW w:w="1793" w:type="pct"/>
            <w:tcBorders>
              <w:top w:val="nil"/>
              <w:left w:val="nil"/>
              <w:bottom w:val="nil"/>
              <w:right w:val="nil"/>
            </w:tcBorders>
            <w:hideMark/>
          </w:tcPr>
          <w:p w14:paraId="39F7271C" w14:textId="77777777" w:rsidR="00A74C68" w:rsidRPr="00A74C68" w:rsidRDefault="00A74C68" w:rsidP="00A74C68">
            <w:pPr>
              <w:rPr>
                <w:color w:val="000000"/>
                <w:sz w:val="14"/>
                <w:szCs w:val="14"/>
              </w:rPr>
            </w:pPr>
            <w:r w:rsidRPr="00A74C68">
              <w:rPr>
                <w:color w:val="000000"/>
                <w:sz w:val="14"/>
                <w:szCs w:val="14"/>
              </w:rPr>
              <w:t>Akreditifler</w:t>
            </w:r>
          </w:p>
        </w:tc>
        <w:tc>
          <w:tcPr>
            <w:tcW w:w="329" w:type="pct"/>
            <w:tcBorders>
              <w:top w:val="nil"/>
              <w:left w:val="single" w:sz="4" w:space="0" w:color="auto"/>
              <w:bottom w:val="nil"/>
              <w:right w:val="single" w:sz="4" w:space="0" w:color="auto"/>
            </w:tcBorders>
            <w:vAlign w:val="bottom"/>
            <w:hideMark/>
          </w:tcPr>
          <w:p w14:paraId="59A4410D"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0D606E6F"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47796294" w14:textId="77777777" w:rsidR="00A74C68" w:rsidRPr="00A74C68" w:rsidRDefault="00A74C68" w:rsidP="00A74C68">
            <w:pPr>
              <w:jc w:val="right"/>
              <w:rPr>
                <w:color w:val="000000"/>
                <w:sz w:val="14"/>
                <w:szCs w:val="14"/>
              </w:rPr>
            </w:pPr>
            <w:r w:rsidRPr="00A74C68">
              <w:rPr>
                <w:color w:val="000000"/>
                <w:sz w:val="14"/>
                <w:szCs w:val="14"/>
              </w:rPr>
              <w:t>590.233</w:t>
            </w:r>
          </w:p>
        </w:tc>
        <w:tc>
          <w:tcPr>
            <w:tcW w:w="463" w:type="pct"/>
            <w:tcBorders>
              <w:top w:val="nil"/>
              <w:left w:val="nil"/>
              <w:bottom w:val="nil"/>
              <w:right w:val="single" w:sz="4" w:space="0" w:color="auto"/>
            </w:tcBorders>
            <w:shd w:val="clear" w:color="000000" w:fill="FFFFFF"/>
            <w:noWrap/>
            <w:vAlign w:val="bottom"/>
            <w:hideMark/>
          </w:tcPr>
          <w:p w14:paraId="16C7A1D5" w14:textId="77777777" w:rsidR="00A74C68" w:rsidRPr="00A74C68" w:rsidRDefault="00A74C68" w:rsidP="00A74C68">
            <w:pPr>
              <w:jc w:val="right"/>
              <w:rPr>
                <w:color w:val="000000"/>
                <w:sz w:val="14"/>
                <w:szCs w:val="14"/>
              </w:rPr>
            </w:pPr>
            <w:r w:rsidRPr="00A74C68">
              <w:rPr>
                <w:color w:val="000000"/>
                <w:sz w:val="14"/>
                <w:szCs w:val="14"/>
              </w:rPr>
              <w:t>590.233</w:t>
            </w:r>
          </w:p>
        </w:tc>
        <w:tc>
          <w:tcPr>
            <w:tcW w:w="412" w:type="pct"/>
            <w:tcBorders>
              <w:top w:val="nil"/>
              <w:left w:val="nil"/>
              <w:bottom w:val="nil"/>
              <w:right w:val="single" w:sz="4" w:space="0" w:color="auto"/>
            </w:tcBorders>
            <w:noWrap/>
            <w:vAlign w:val="bottom"/>
            <w:hideMark/>
          </w:tcPr>
          <w:p w14:paraId="03982899"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7F5A1C3E"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3EFA6C3C"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1DAFB990" w14:textId="77777777" w:rsidTr="00A74C68">
        <w:trPr>
          <w:divId w:val="153886216"/>
          <w:trHeight w:val="20"/>
        </w:trPr>
        <w:tc>
          <w:tcPr>
            <w:tcW w:w="257" w:type="pct"/>
            <w:tcBorders>
              <w:top w:val="nil"/>
              <w:left w:val="single" w:sz="4" w:space="0" w:color="auto"/>
              <w:bottom w:val="nil"/>
              <w:right w:val="nil"/>
            </w:tcBorders>
            <w:hideMark/>
          </w:tcPr>
          <w:p w14:paraId="1A6A0E18" w14:textId="77777777" w:rsidR="00A74C68" w:rsidRPr="00A74C68" w:rsidRDefault="00A74C68" w:rsidP="00A74C68">
            <w:pPr>
              <w:rPr>
                <w:color w:val="000000"/>
                <w:sz w:val="14"/>
                <w:szCs w:val="14"/>
              </w:rPr>
            </w:pPr>
            <w:r w:rsidRPr="00A74C68">
              <w:rPr>
                <w:color w:val="000000"/>
                <w:sz w:val="14"/>
                <w:szCs w:val="14"/>
              </w:rPr>
              <w:t>1.3.1.</w:t>
            </w:r>
          </w:p>
        </w:tc>
        <w:tc>
          <w:tcPr>
            <w:tcW w:w="1793" w:type="pct"/>
            <w:tcBorders>
              <w:top w:val="nil"/>
              <w:left w:val="nil"/>
              <w:bottom w:val="nil"/>
              <w:right w:val="nil"/>
            </w:tcBorders>
            <w:hideMark/>
          </w:tcPr>
          <w:p w14:paraId="71AB6ABC" w14:textId="77777777" w:rsidR="00A74C68" w:rsidRPr="00A74C68" w:rsidRDefault="00A74C68" w:rsidP="00A74C68">
            <w:pPr>
              <w:rPr>
                <w:color w:val="000000"/>
                <w:sz w:val="14"/>
                <w:szCs w:val="14"/>
              </w:rPr>
            </w:pPr>
            <w:r w:rsidRPr="00A74C68">
              <w:rPr>
                <w:color w:val="000000"/>
                <w:sz w:val="14"/>
                <w:szCs w:val="14"/>
              </w:rPr>
              <w:t>Belgeli Akreditifler</w:t>
            </w:r>
          </w:p>
        </w:tc>
        <w:tc>
          <w:tcPr>
            <w:tcW w:w="329" w:type="pct"/>
            <w:tcBorders>
              <w:top w:val="nil"/>
              <w:left w:val="single" w:sz="4" w:space="0" w:color="auto"/>
              <w:bottom w:val="nil"/>
              <w:right w:val="single" w:sz="4" w:space="0" w:color="auto"/>
            </w:tcBorders>
            <w:vAlign w:val="bottom"/>
            <w:hideMark/>
          </w:tcPr>
          <w:p w14:paraId="582A9B17"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758CB7AA"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326EEDB1" w14:textId="77777777" w:rsidR="00A74C68" w:rsidRPr="00A74C68" w:rsidRDefault="00A74C68" w:rsidP="00A74C68">
            <w:pPr>
              <w:jc w:val="right"/>
              <w:rPr>
                <w:color w:val="000000"/>
                <w:sz w:val="14"/>
                <w:szCs w:val="14"/>
              </w:rPr>
            </w:pPr>
            <w:r w:rsidRPr="00A74C68">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64A17FBB"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noWrap/>
            <w:vAlign w:val="bottom"/>
            <w:hideMark/>
          </w:tcPr>
          <w:p w14:paraId="22AE205F"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0D1CA485"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1EE04B26"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0D646F1D" w14:textId="77777777" w:rsidTr="00A74C68">
        <w:trPr>
          <w:divId w:val="153886216"/>
          <w:trHeight w:val="20"/>
        </w:trPr>
        <w:tc>
          <w:tcPr>
            <w:tcW w:w="257" w:type="pct"/>
            <w:tcBorders>
              <w:top w:val="nil"/>
              <w:left w:val="single" w:sz="4" w:space="0" w:color="auto"/>
              <w:bottom w:val="nil"/>
              <w:right w:val="nil"/>
            </w:tcBorders>
            <w:hideMark/>
          </w:tcPr>
          <w:p w14:paraId="796E8B19" w14:textId="77777777" w:rsidR="00A74C68" w:rsidRPr="00A74C68" w:rsidRDefault="00A74C68" w:rsidP="00A74C68">
            <w:pPr>
              <w:rPr>
                <w:color w:val="000000"/>
                <w:sz w:val="14"/>
                <w:szCs w:val="14"/>
              </w:rPr>
            </w:pPr>
            <w:r w:rsidRPr="00A74C68">
              <w:rPr>
                <w:color w:val="000000"/>
                <w:sz w:val="14"/>
                <w:szCs w:val="14"/>
              </w:rPr>
              <w:t>1.3.2.</w:t>
            </w:r>
          </w:p>
        </w:tc>
        <w:tc>
          <w:tcPr>
            <w:tcW w:w="1793" w:type="pct"/>
            <w:tcBorders>
              <w:top w:val="nil"/>
              <w:left w:val="nil"/>
              <w:bottom w:val="nil"/>
              <w:right w:val="nil"/>
            </w:tcBorders>
            <w:hideMark/>
          </w:tcPr>
          <w:p w14:paraId="20DB2A5B" w14:textId="77777777" w:rsidR="00A74C68" w:rsidRPr="00A74C68" w:rsidRDefault="00A74C68" w:rsidP="00A74C68">
            <w:pPr>
              <w:rPr>
                <w:color w:val="000000"/>
                <w:sz w:val="14"/>
                <w:szCs w:val="14"/>
              </w:rPr>
            </w:pPr>
            <w:r w:rsidRPr="00A74C68">
              <w:rPr>
                <w:color w:val="000000"/>
                <w:sz w:val="14"/>
                <w:szCs w:val="14"/>
              </w:rPr>
              <w:t>Diğer Akreditifler</w:t>
            </w:r>
          </w:p>
        </w:tc>
        <w:tc>
          <w:tcPr>
            <w:tcW w:w="329" w:type="pct"/>
            <w:tcBorders>
              <w:top w:val="nil"/>
              <w:left w:val="single" w:sz="4" w:space="0" w:color="auto"/>
              <w:bottom w:val="nil"/>
              <w:right w:val="single" w:sz="4" w:space="0" w:color="auto"/>
            </w:tcBorders>
            <w:vAlign w:val="bottom"/>
            <w:hideMark/>
          </w:tcPr>
          <w:p w14:paraId="12F4AAAC"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4F443225"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06448EFC" w14:textId="77777777" w:rsidR="00A74C68" w:rsidRPr="00A74C68" w:rsidRDefault="00A74C68" w:rsidP="00A74C68">
            <w:pPr>
              <w:jc w:val="right"/>
              <w:rPr>
                <w:color w:val="000000"/>
                <w:sz w:val="14"/>
                <w:szCs w:val="14"/>
              </w:rPr>
            </w:pPr>
            <w:r w:rsidRPr="00A74C68">
              <w:rPr>
                <w:color w:val="000000"/>
                <w:sz w:val="14"/>
                <w:szCs w:val="14"/>
              </w:rPr>
              <w:t>590.233</w:t>
            </w:r>
          </w:p>
        </w:tc>
        <w:tc>
          <w:tcPr>
            <w:tcW w:w="463" w:type="pct"/>
            <w:tcBorders>
              <w:top w:val="nil"/>
              <w:left w:val="nil"/>
              <w:bottom w:val="nil"/>
              <w:right w:val="single" w:sz="4" w:space="0" w:color="auto"/>
            </w:tcBorders>
            <w:shd w:val="clear" w:color="000000" w:fill="FFFFFF"/>
            <w:noWrap/>
            <w:vAlign w:val="bottom"/>
            <w:hideMark/>
          </w:tcPr>
          <w:p w14:paraId="0F2E0F59" w14:textId="77777777" w:rsidR="00A74C68" w:rsidRPr="00A74C68" w:rsidRDefault="00A74C68" w:rsidP="00A74C68">
            <w:pPr>
              <w:jc w:val="right"/>
              <w:rPr>
                <w:color w:val="000000"/>
                <w:sz w:val="14"/>
                <w:szCs w:val="14"/>
              </w:rPr>
            </w:pPr>
            <w:r w:rsidRPr="00A74C68">
              <w:rPr>
                <w:color w:val="000000"/>
                <w:sz w:val="14"/>
                <w:szCs w:val="14"/>
              </w:rPr>
              <w:t>590.233</w:t>
            </w:r>
          </w:p>
        </w:tc>
        <w:tc>
          <w:tcPr>
            <w:tcW w:w="412" w:type="pct"/>
            <w:tcBorders>
              <w:top w:val="nil"/>
              <w:left w:val="nil"/>
              <w:bottom w:val="nil"/>
              <w:right w:val="single" w:sz="4" w:space="0" w:color="auto"/>
            </w:tcBorders>
            <w:noWrap/>
            <w:vAlign w:val="bottom"/>
            <w:hideMark/>
          </w:tcPr>
          <w:p w14:paraId="750F8CD7"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709B0731"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066FE302"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2134FE81" w14:textId="77777777" w:rsidTr="00A74C68">
        <w:trPr>
          <w:divId w:val="153886216"/>
          <w:trHeight w:val="20"/>
        </w:trPr>
        <w:tc>
          <w:tcPr>
            <w:tcW w:w="257" w:type="pct"/>
            <w:tcBorders>
              <w:top w:val="nil"/>
              <w:left w:val="single" w:sz="4" w:space="0" w:color="auto"/>
              <w:bottom w:val="nil"/>
              <w:right w:val="nil"/>
            </w:tcBorders>
            <w:hideMark/>
          </w:tcPr>
          <w:p w14:paraId="61076587" w14:textId="77777777" w:rsidR="00A74C68" w:rsidRPr="00A74C68" w:rsidRDefault="00A74C68" w:rsidP="00A74C68">
            <w:pPr>
              <w:rPr>
                <w:color w:val="000000"/>
                <w:sz w:val="14"/>
                <w:szCs w:val="14"/>
              </w:rPr>
            </w:pPr>
            <w:r w:rsidRPr="00A74C68">
              <w:rPr>
                <w:color w:val="000000"/>
                <w:sz w:val="14"/>
                <w:szCs w:val="14"/>
              </w:rPr>
              <w:t>1.4.</w:t>
            </w:r>
          </w:p>
        </w:tc>
        <w:tc>
          <w:tcPr>
            <w:tcW w:w="1793" w:type="pct"/>
            <w:tcBorders>
              <w:top w:val="nil"/>
              <w:left w:val="nil"/>
              <w:bottom w:val="nil"/>
              <w:right w:val="nil"/>
            </w:tcBorders>
            <w:hideMark/>
          </w:tcPr>
          <w:p w14:paraId="73CEDC82" w14:textId="77777777" w:rsidR="00A74C68" w:rsidRPr="00A74C68" w:rsidRDefault="00A74C68" w:rsidP="00A74C68">
            <w:pPr>
              <w:rPr>
                <w:color w:val="000000"/>
                <w:sz w:val="14"/>
                <w:szCs w:val="14"/>
              </w:rPr>
            </w:pPr>
            <w:r w:rsidRPr="00A74C68">
              <w:rPr>
                <w:color w:val="000000"/>
                <w:sz w:val="14"/>
                <w:szCs w:val="14"/>
              </w:rPr>
              <w:t>Garanti Verilen Prefinansmanlar</w:t>
            </w:r>
          </w:p>
        </w:tc>
        <w:tc>
          <w:tcPr>
            <w:tcW w:w="329" w:type="pct"/>
            <w:tcBorders>
              <w:top w:val="nil"/>
              <w:left w:val="single" w:sz="4" w:space="0" w:color="auto"/>
              <w:bottom w:val="nil"/>
              <w:right w:val="single" w:sz="4" w:space="0" w:color="auto"/>
            </w:tcBorders>
            <w:vAlign w:val="bottom"/>
            <w:hideMark/>
          </w:tcPr>
          <w:p w14:paraId="61EE59B7"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0FF4B04D"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391C4640" w14:textId="77777777" w:rsidR="00A74C68" w:rsidRPr="00A74C68" w:rsidRDefault="00A74C68" w:rsidP="00A74C68">
            <w:pPr>
              <w:jc w:val="right"/>
              <w:rPr>
                <w:color w:val="000000"/>
                <w:sz w:val="14"/>
                <w:szCs w:val="14"/>
              </w:rPr>
            </w:pPr>
            <w:r w:rsidRPr="00A74C68">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0CBFDBA5"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noWrap/>
            <w:vAlign w:val="bottom"/>
            <w:hideMark/>
          </w:tcPr>
          <w:p w14:paraId="375A0CFA"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14B0A9F7"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587525B9"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6AAB1D9C" w14:textId="77777777" w:rsidTr="00A74C68">
        <w:trPr>
          <w:divId w:val="153886216"/>
          <w:trHeight w:val="20"/>
        </w:trPr>
        <w:tc>
          <w:tcPr>
            <w:tcW w:w="257" w:type="pct"/>
            <w:tcBorders>
              <w:top w:val="nil"/>
              <w:left w:val="single" w:sz="4" w:space="0" w:color="auto"/>
              <w:bottom w:val="nil"/>
              <w:right w:val="nil"/>
            </w:tcBorders>
            <w:hideMark/>
          </w:tcPr>
          <w:p w14:paraId="09145B9B" w14:textId="77777777" w:rsidR="00A74C68" w:rsidRPr="00A74C68" w:rsidRDefault="00A74C68" w:rsidP="00A74C68">
            <w:pPr>
              <w:rPr>
                <w:color w:val="000000"/>
                <w:sz w:val="14"/>
                <w:szCs w:val="14"/>
              </w:rPr>
            </w:pPr>
            <w:r w:rsidRPr="00A74C68">
              <w:rPr>
                <w:color w:val="000000"/>
                <w:sz w:val="14"/>
                <w:szCs w:val="14"/>
              </w:rPr>
              <w:t>1.5.</w:t>
            </w:r>
          </w:p>
        </w:tc>
        <w:tc>
          <w:tcPr>
            <w:tcW w:w="1793" w:type="pct"/>
            <w:tcBorders>
              <w:top w:val="nil"/>
              <w:left w:val="nil"/>
              <w:bottom w:val="nil"/>
              <w:right w:val="nil"/>
            </w:tcBorders>
            <w:hideMark/>
          </w:tcPr>
          <w:p w14:paraId="6D0AFA62" w14:textId="77777777" w:rsidR="00A74C68" w:rsidRPr="00A74C68" w:rsidRDefault="00A74C68" w:rsidP="00A74C68">
            <w:pPr>
              <w:rPr>
                <w:color w:val="000000"/>
                <w:sz w:val="14"/>
                <w:szCs w:val="14"/>
              </w:rPr>
            </w:pPr>
            <w:r w:rsidRPr="00A74C68">
              <w:rPr>
                <w:color w:val="000000"/>
                <w:sz w:val="14"/>
                <w:szCs w:val="14"/>
              </w:rPr>
              <w:t>Cirolar</w:t>
            </w:r>
          </w:p>
        </w:tc>
        <w:tc>
          <w:tcPr>
            <w:tcW w:w="329" w:type="pct"/>
            <w:tcBorders>
              <w:top w:val="nil"/>
              <w:left w:val="single" w:sz="4" w:space="0" w:color="auto"/>
              <w:bottom w:val="nil"/>
              <w:right w:val="single" w:sz="4" w:space="0" w:color="auto"/>
            </w:tcBorders>
            <w:vAlign w:val="bottom"/>
            <w:hideMark/>
          </w:tcPr>
          <w:p w14:paraId="593480D4"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4E3F2F57"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6907ECC7" w14:textId="77777777" w:rsidR="00A74C68" w:rsidRPr="00A74C68" w:rsidRDefault="00A74C68" w:rsidP="00A74C68">
            <w:pPr>
              <w:jc w:val="right"/>
              <w:rPr>
                <w:color w:val="000000"/>
                <w:sz w:val="14"/>
                <w:szCs w:val="14"/>
              </w:rPr>
            </w:pPr>
            <w:r w:rsidRPr="00A74C68">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701375C4"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noWrap/>
            <w:vAlign w:val="bottom"/>
            <w:hideMark/>
          </w:tcPr>
          <w:p w14:paraId="3599DA7D"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6A5FB1AB"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742FD92A"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05910ADA" w14:textId="77777777" w:rsidTr="00A74C68">
        <w:trPr>
          <w:divId w:val="153886216"/>
          <w:trHeight w:val="20"/>
        </w:trPr>
        <w:tc>
          <w:tcPr>
            <w:tcW w:w="257" w:type="pct"/>
            <w:tcBorders>
              <w:top w:val="nil"/>
              <w:left w:val="single" w:sz="4" w:space="0" w:color="auto"/>
              <w:bottom w:val="nil"/>
              <w:right w:val="nil"/>
            </w:tcBorders>
            <w:hideMark/>
          </w:tcPr>
          <w:p w14:paraId="419BE587" w14:textId="77777777" w:rsidR="00A74C68" w:rsidRPr="00A74C68" w:rsidRDefault="00A74C68" w:rsidP="00A74C68">
            <w:pPr>
              <w:rPr>
                <w:color w:val="000000"/>
                <w:sz w:val="14"/>
                <w:szCs w:val="14"/>
              </w:rPr>
            </w:pPr>
            <w:r w:rsidRPr="00A74C68">
              <w:rPr>
                <w:color w:val="000000"/>
                <w:sz w:val="14"/>
                <w:szCs w:val="14"/>
              </w:rPr>
              <w:t>1.5.1.</w:t>
            </w:r>
          </w:p>
        </w:tc>
        <w:tc>
          <w:tcPr>
            <w:tcW w:w="1793" w:type="pct"/>
            <w:tcBorders>
              <w:top w:val="nil"/>
              <w:left w:val="nil"/>
              <w:bottom w:val="nil"/>
              <w:right w:val="nil"/>
            </w:tcBorders>
            <w:hideMark/>
          </w:tcPr>
          <w:p w14:paraId="14C14F8D" w14:textId="77777777" w:rsidR="00A74C68" w:rsidRPr="00A74C68" w:rsidRDefault="00A74C68" w:rsidP="00A74C68">
            <w:pPr>
              <w:rPr>
                <w:color w:val="000000"/>
                <w:sz w:val="14"/>
                <w:szCs w:val="14"/>
              </w:rPr>
            </w:pPr>
            <w:r w:rsidRPr="00A74C68">
              <w:rPr>
                <w:color w:val="000000"/>
                <w:sz w:val="14"/>
                <w:szCs w:val="14"/>
              </w:rPr>
              <w:t>T.C. Merkez Bankasına Cirolar</w:t>
            </w:r>
          </w:p>
        </w:tc>
        <w:tc>
          <w:tcPr>
            <w:tcW w:w="329" w:type="pct"/>
            <w:tcBorders>
              <w:top w:val="nil"/>
              <w:left w:val="single" w:sz="4" w:space="0" w:color="auto"/>
              <w:bottom w:val="nil"/>
              <w:right w:val="single" w:sz="4" w:space="0" w:color="auto"/>
            </w:tcBorders>
            <w:vAlign w:val="bottom"/>
            <w:hideMark/>
          </w:tcPr>
          <w:p w14:paraId="57159017"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7145A136"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1746932D" w14:textId="77777777" w:rsidR="00A74C68" w:rsidRPr="00A74C68" w:rsidRDefault="00A74C68" w:rsidP="00A74C68">
            <w:pPr>
              <w:jc w:val="right"/>
              <w:rPr>
                <w:color w:val="000000"/>
                <w:sz w:val="14"/>
                <w:szCs w:val="14"/>
              </w:rPr>
            </w:pPr>
            <w:r w:rsidRPr="00A74C68">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0988D0E2"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noWrap/>
            <w:vAlign w:val="bottom"/>
            <w:hideMark/>
          </w:tcPr>
          <w:p w14:paraId="60C23608"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159FB922"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2B8E1A3B"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45AB97C0" w14:textId="77777777" w:rsidTr="00A74C68">
        <w:trPr>
          <w:divId w:val="153886216"/>
          <w:trHeight w:val="20"/>
        </w:trPr>
        <w:tc>
          <w:tcPr>
            <w:tcW w:w="257" w:type="pct"/>
            <w:tcBorders>
              <w:top w:val="nil"/>
              <w:left w:val="single" w:sz="4" w:space="0" w:color="auto"/>
              <w:bottom w:val="nil"/>
              <w:right w:val="nil"/>
            </w:tcBorders>
            <w:hideMark/>
          </w:tcPr>
          <w:p w14:paraId="2859F043" w14:textId="77777777" w:rsidR="00A74C68" w:rsidRPr="00A74C68" w:rsidRDefault="00A74C68" w:rsidP="00A74C68">
            <w:pPr>
              <w:rPr>
                <w:color w:val="000000"/>
                <w:sz w:val="14"/>
                <w:szCs w:val="14"/>
              </w:rPr>
            </w:pPr>
            <w:r w:rsidRPr="00A74C68">
              <w:rPr>
                <w:color w:val="000000"/>
                <w:sz w:val="14"/>
                <w:szCs w:val="14"/>
              </w:rPr>
              <w:t>1.5.2.</w:t>
            </w:r>
          </w:p>
        </w:tc>
        <w:tc>
          <w:tcPr>
            <w:tcW w:w="1793" w:type="pct"/>
            <w:tcBorders>
              <w:top w:val="nil"/>
              <w:left w:val="nil"/>
              <w:bottom w:val="nil"/>
              <w:right w:val="nil"/>
            </w:tcBorders>
            <w:hideMark/>
          </w:tcPr>
          <w:p w14:paraId="1D63147B" w14:textId="77777777" w:rsidR="00A74C68" w:rsidRPr="00A74C68" w:rsidRDefault="00A74C68" w:rsidP="00A74C68">
            <w:pPr>
              <w:rPr>
                <w:color w:val="000000"/>
                <w:sz w:val="14"/>
                <w:szCs w:val="14"/>
              </w:rPr>
            </w:pPr>
            <w:r w:rsidRPr="00A74C68">
              <w:rPr>
                <w:color w:val="000000"/>
                <w:sz w:val="14"/>
                <w:szCs w:val="14"/>
              </w:rPr>
              <w:t>Diğer Cirolar</w:t>
            </w:r>
          </w:p>
        </w:tc>
        <w:tc>
          <w:tcPr>
            <w:tcW w:w="329" w:type="pct"/>
            <w:tcBorders>
              <w:top w:val="nil"/>
              <w:left w:val="single" w:sz="4" w:space="0" w:color="auto"/>
              <w:bottom w:val="nil"/>
              <w:right w:val="single" w:sz="4" w:space="0" w:color="auto"/>
            </w:tcBorders>
            <w:vAlign w:val="bottom"/>
            <w:hideMark/>
          </w:tcPr>
          <w:p w14:paraId="7D1579DD"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3BF1028E"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27FBD163" w14:textId="77777777" w:rsidR="00A74C68" w:rsidRPr="00A74C68" w:rsidRDefault="00A74C68" w:rsidP="00A74C68">
            <w:pPr>
              <w:jc w:val="right"/>
              <w:rPr>
                <w:color w:val="000000"/>
                <w:sz w:val="14"/>
                <w:szCs w:val="14"/>
              </w:rPr>
            </w:pPr>
            <w:r w:rsidRPr="00A74C68">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029C879A"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noWrap/>
            <w:vAlign w:val="bottom"/>
            <w:hideMark/>
          </w:tcPr>
          <w:p w14:paraId="4A0AE11B"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1E6AB190"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7E2AA93D"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57F876A2" w14:textId="77777777" w:rsidTr="00A74C68">
        <w:trPr>
          <w:divId w:val="153886216"/>
          <w:trHeight w:val="20"/>
        </w:trPr>
        <w:tc>
          <w:tcPr>
            <w:tcW w:w="257" w:type="pct"/>
            <w:tcBorders>
              <w:top w:val="nil"/>
              <w:left w:val="single" w:sz="4" w:space="0" w:color="auto"/>
              <w:bottom w:val="nil"/>
              <w:right w:val="nil"/>
            </w:tcBorders>
            <w:hideMark/>
          </w:tcPr>
          <w:p w14:paraId="62E96DB3" w14:textId="77777777" w:rsidR="00A74C68" w:rsidRPr="00A74C68" w:rsidRDefault="00A74C68" w:rsidP="00A74C68">
            <w:pPr>
              <w:rPr>
                <w:color w:val="000000"/>
                <w:sz w:val="14"/>
                <w:szCs w:val="14"/>
              </w:rPr>
            </w:pPr>
            <w:r w:rsidRPr="00A74C68">
              <w:rPr>
                <w:color w:val="000000"/>
                <w:sz w:val="14"/>
                <w:szCs w:val="14"/>
              </w:rPr>
              <w:t>1.6.</w:t>
            </w:r>
          </w:p>
        </w:tc>
        <w:tc>
          <w:tcPr>
            <w:tcW w:w="1793" w:type="pct"/>
            <w:tcBorders>
              <w:top w:val="nil"/>
              <w:left w:val="nil"/>
              <w:bottom w:val="nil"/>
              <w:right w:val="nil"/>
            </w:tcBorders>
            <w:hideMark/>
          </w:tcPr>
          <w:p w14:paraId="30225AC6" w14:textId="77777777" w:rsidR="00A74C68" w:rsidRPr="00A74C68" w:rsidRDefault="00A74C68" w:rsidP="00A74C68">
            <w:pPr>
              <w:rPr>
                <w:color w:val="000000"/>
                <w:sz w:val="14"/>
                <w:szCs w:val="14"/>
              </w:rPr>
            </w:pPr>
            <w:r w:rsidRPr="00A74C68">
              <w:rPr>
                <w:color w:val="000000"/>
                <w:sz w:val="14"/>
                <w:szCs w:val="14"/>
              </w:rPr>
              <w:t>Diğer Garantilerimizden</w:t>
            </w:r>
          </w:p>
        </w:tc>
        <w:tc>
          <w:tcPr>
            <w:tcW w:w="329" w:type="pct"/>
            <w:tcBorders>
              <w:top w:val="nil"/>
              <w:left w:val="single" w:sz="4" w:space="0" w:color="auto"/>
              <w:bottom w:val="nil"/>
              <w:right w:val="single" w:sz="4" w:space="0" w:color="auto"/>
            </w:tcBorders>
            <w:vAlign w:val="bottom"/>
            <w:hideMark/>
          </w:tcPr>
          <w:p w14:paraId="3101233D"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13B1B5AD"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23937183" w14:textId="77777777" w:rsidR="00A74C68" w:rsidRPr="00A74C68" w:rsidRDefault="00A74C68" w:rsidP="00A74C68">
            <w:pPr>
              <w:jc w:val="right"/>
              <w:rPr>
                <w:color w:val="000000"/>
                <w:sz w:val="14"/>
                <w:szCs w:val="14"/>
              </w:rPr>
            </w:pPr>
            <w:r w:rsidRPr="00A74C68">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6A7662E3"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noWrap/>
            <w:vAlign w:val="bottom"/>
            <w:hideMark/>
          </w:tcPr>
          <w:p w14:paraId="5ABC966C"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0FE3A606"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2B64E02A"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36AB5A46" w14:textId="77777777" w:rsidTr="00A74C68">
        <w:trPr>
          <w:divId w:val="153886216"/>
          <w:trHeight w:val="20"/>
        </w:trPr>
        <w:tc>
          <w:tcPr>
            <w:tcW w:w="257" w:type="pct"/>
            <w:tcBorders>
              <w:top w:val="nil"/>
              <w:left w:val="single" w:sz="4" w:space="0" w:color="auto"/>
              <w:bottom w:val="nil"/>
              <w:right w:val="nil"/>
            </w:tcBorders>
            <w:hideMark/>
          </w:tcPr>
          <w:p w14:paraId="71EC1AB6" w14:textId="77777777" w:rsidR="00A74C68" w:rsidRPr="00A74C68" w:rsidRDefault="00A74C68" w:rsidP="00A74C68">
            <w:pPr>
              <w:rPr>
                <w:color w:val="000000"/>
                <w:sz w:val="14"/>
                <w:szCs w:val="14"/>
              </w:rPr>
            </w:pPr>
            <w:r w:rsidRPr="00A74C68">
              <w:rPr>
                <w:color w:val="000000"/>
                <w:sz w:val="14"/>
                <w:szCs w:val="14"/>
              </w:rPr>
              <w:t>1.7.</w:t>
            </w:r>
          </w:p>
        </w:tc>
        <w:tc>
          <w:tcPr>
            <w:tcW w:w="1793" w:type="pct"/>
            <w:tcBorders>
              <w:top w:val="nil"/>
              <w:left w:val="nil"/>
              <w:bottom w:val="nil"/>
              <w:right w:val="nil"/>
            </w:tcBorders>
            <w:hideMark/>
          </w:tcPr>
          <w:p w14:paraId="09C9AD9C" w14:textId="77777777" w:rsidR="00A74C68" w:rsidRPr="00A74C68" w:rsidRDefault="00A74C68" w:rsidP="00A74C68">
            <w:pPr>
              <w:rPr>
                <w:color w:val="000000"/>
                <w:sz w:val="14"/>
                <w:szCs w:val="14"/>
              </w:rPr>
            </w:pPr>
            <w:r w:rsidRPr="00A74C68">
              <w:rPr>
                <w:color w:val="000000"/>
                <w:sz w:val="14"/>
                <w:szCs w:val="14"/>
              </w:rPr>
              <w:t>Diğer Kefaletlerimizden</w:t>
            </w:r>
          </w:p>
        </w:tc>
        <w:tc>
          <w:tcPr>
            <w:tcW w:w="329" w:type="pct"/>
            <w:tcBorders>
              <w:top w:val="nil"/>
              <w:left w:val="single" w:sz="4" w:space="0" w:color="auto"/>
              <w:bottom w:val="nil"/>
              <w:right w:val="single" w:sz="4" w:space="0" w:color="auto"/>
            </w:tcBorders>
            <w:vAlign w:val="bottom"/>
            <w:hideMark/>
          </w:tcPr>
          <w:p w14:paraId="1915E5F5"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7823A8E4"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0B131836" w14:textId="77777777" w:rsidR="00A74C68" w:rsidRPr="00A74C68" w:rsidRDefault="00A74C68" w:rsidP="00A74C68">
            <w:pPr>
              <w:jc w:val="right"/>
              <w:rPr>
                <w:color w:val="000000"/>
                <w:sz w:val="14"/>
                <w:szCs w:val="14"/>
              </w:rPr>
            </w:pPr>
            <w:r w:rsidRPr="00A74C68">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769479F3"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noWrap/>
            <w:vAlign w:val="bottom"/>
            <w:hideMark/>
          </w:tcPr>
          <w:p w14:paraId="3917512B"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4E91BC0E"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47E85255"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3932884A" w14:textId="77777777" w:rsidTr="00A74C68">
        <w:trPr>
          <w:divId w:val="153886216"/>
          <w:trHeight w:val="20"/>
        </w:trPr>
        <w:tc>
          <w:tcPr>
            <w:tcW w:w="257" w:type="pct"/>
            <w:tcBorders>
              <w:top w:val="nil"/>
              <w:left w:val="single" w:sz="4" w:space="0" w:color="auto"/>
              <w:bottom w:val="nil"/>
              <w:right w:val="nil"/>
            </w:tcBorders>
            <w:hideMark/>
          </w:tcPr>
          <w:p w14:paraId="66B30FA3" w14:textId="77777777" w:rsidR="00A74C68" w:rsidRPr="00A74C68" w:rsidRDefault="00A74C68" w:rsidP="00A74C68">
            <w:pPr>
              <w:rPr>
                <w:b/>
                <w:bCs/>
                <w:color w:val="000000"/>
                <w:sz w:val="14"/>
                <w:szCs w:val="14"/>
              </w:rPr>
            </w:pPr>
            <w:r w:rsidRPr="00A74C68">
              <w:rPr>
                <w:b/>
                <w:bCs/>
                <w:color w:val="000000"/>
                <w:sz w:val="14"/>
                <w:szCs w:val="14"/>
              </w:rPr>
              <w:t>II.</w:t>
            </w:r>
          </w:p>
        </w:tc>
        <w:tc>
          <w:tcPr>
            <w:tcW w:w="1793" w:type="pct"/>
            <w:tcBorders>
              <w:top w:val="nil"/>
              <w:left w:val="nil"/>
              <w:bottom w:val="nil"/>
              <w:right w:val="nil"/>
            </w:tcBorders>
            <w:hideMark/>
          </w:tcPr>
          <w:p w14:paraId="7E6BC2BE" w14:textId="77777777" w:rsidR="00A74C68" w:rsidRPr="00A74C68" w:rsidRDefault="00A74C68" w:rsidP="00A74C68">
            <w:pPr>
              <w:rPr>
                <w:b/>
                <w:bCs/>
                <w:color w:val="000000"/>
                <w:sz w:val="14"/>
                <w:szCs w:val="14"/>
              </w:rPr>
            </w:pPr>
            <w:r w:rsidRPr="00A74C68">
              <w:rPr>
                <w:b/>
                <w:bCs/>
                <w:color w:val="000000"/>
                <w:sz w:val="14"/>
                <w:szCs w:val="14"/>
              </w:rPr>
              <w:t>TAAHHÜTLER</w:t>
            </w:r>
          </w:p>
        </w:tc>
        <w:tc>
          <w:tcPr>
            <w:tcW w:w="329" w:type="pct"/>
            <w:tcBorders>
              <w:top w:val="nil"/>
              <w:left w:val="single" w:sz="4" w:space="0" w:color="auto"/>
              <w:bottom w:val="nil"/>
              <w:right w:val="single" w:sz="4" w:space="0" w:color="auto"/>
            </w:tcBorders>
            <w:vAlign w:val="bottom"/>
            <w:hideMark/>
          </w:tcPr>
          <w:p w14:paraId="071AEDC3" w14:textId="77777777" w:rsidR="00A74C68" w:rsidRPr="00A74C68" w:rsidRDefault="00A74C68" w:rsidP="00A74C68">
            <w:pPr>
              <w:jc w:val="center"/>
              <w:rPr>
                <w:b/>
                <w:bCs/>
                <w:color w:val="000000"/>
                <w:sz w:val="14"/>
                <w:szCs w:val="14"/>
              </w:rPr>
            </w:pPr>
            <w:r w:rsidRPr="00A74C68">
              <w:rPr>
                <w:b/>
                <w:bCs/>
                <w:color w:val="000000"/>
                <w:sz w:val="14"/>
                <w:szCs w:val="14"/>
              </w:rPr>
              <w:t>(1)</w:t>
            </w:r>
          </w:p>
        </w:tc>
        <w:tc>
          <w:tcPr>
            <w:tcW w:w="463" w:type="pct"/>
            <w:tcBorders>
              <w:top w:val="nil"/>
              <w:left w:val="nil"/>
              <w:bottom w:val="nil"/>
              <w:right w:val="single" w:sz="4" w:space="0" w:color="auto"/>
            </w:tcBorders>
            <w:shd w:val="clear" w:color="000000" w:fill="FFFFFF"/>
            <w:noWrap/>
            <w:vAlign w:val="bottom"/>
            <w:hideMark/>
          </w:tcPr>
          <w:p w14:paraId="2F1FF356" w14:textId="77777777" w:rsidR="00A74C68" w:rsidRPr="00A74C68" w:rsidRDefault="00A74C68" w:rsidP="00A74C68">
            <w:pPr>
              <w:jc w:val="right"/>
              <w:rPr>
                <w:b/>
                <w:bCs/>
                <w:color w:val="000000"/>
                <w:sz w:val="14"/>
                <w:szCs w:val="14"/>
              </w:rPr>
            </w:pPr>
            <w:r w:rsidRPr="00A74C68">
              <w:rPr>
                <w:b/>
                <w:bCs/>
                <w:color w:val="000000"/>
                <w:sz w:val="14"/>
                <w:szCs w:val="14"/>
              </w:rPr>
              <w:t>7.444.588</w:t>
            </w:r>
          </w:p>
        </w:tc>
        <w:tc>
          <w:tcPr>
            <w:tcW w:w="412" w:type="pct"/>
            <w:tcBorders>
              <w:top w:val="nil"/>
              <w:left w:val="nil"/>
              <w:bottom w:val="nil"/>
              <w:right w:val="single" w:sz="4" w:space="0" w:color="auto"/>
            </w:tcBorders>
            <w:shd w:val="clear" w:color="000000" w:fill="FFFFFF"/>
            <w:noWrap/>
            <w:vAlign w:val="bottom"/>
            <w:hideMark/>
          </w:tcPr>
          <w:p w14:paraId="77C6E522" w14:textId="77777777" w:rsidR="00A74C68" w:rsidRPr="00A74C68" w:rsidRDefault="00A74C68" w:rsidP="00A74C68">
            <w:pPr>
              <w:jc w:val="right"/>
              <w:rPr>
                <w:b/>
                <w:bCs/>
                <w:color w:val="000000"/>
                <w:sz w:val="14"/>
                <w:szCs w:val="14"/>
              </w:rPr>
            </w:pPr>
            <w:r w:rsidRPr="00A74C68">
              <w:rPr>
                <w:b/>
                <w:bCs/>
                <w:color w:val="000000"/>
                <w:sz w:val="14"/>
                <w:szCs w:val="14"/>
              </w:rPr>
              <w:t>51.693.736</w:t>
            </w:r>
          </w:p>
        </w:tc>
        <w:tc>
          <w:tcPr>
            <w:tcW w:w="463" w:type="pct"/>
            <w:tcBorders>
              <w:top w:val="nil"/>
              <w:left w:val="nil"/>
              <w:bottom w:val="nil"/>
              <w:right w:val="single" w:sz="4" w:space="0" w:color="auto"/>
            </w:tcBorders>
            <w:shd w:val="clear" w:color="000000" w:fill="FFFFFF"/>
            <w:noWrap/>
            <w:vAlign w:val="bottom"/>
            <w:hideMark/>
          </w:tcPr>
          <w:p w14:paraId="245140B7" w14:textId="77777777" w:rsidR="00A74C68" w:rsidRPr="00A74C68" w:rsidRDefault="00A74C68" w:rsidP="00A74C68">
            <w:pPr>
              <w:jc w:val="right"/>
              <w:rPr>
                <w:b/>
                <w:bCs/>
                <w:color w:val="000000"/>
                <w:sz w:val="14"/>
                <w:szCs w:val="14"/>
              </w:rPr>
            </w:pPr>
            <w:r w:rsidRPr="00A74C68">
              <w:rPr>
                <w:b/>
                <w:bCs/>
                <w:color w:val="000000"/>
                <w:sz w:val="14"/>
                <w:szCs w:val="14"/>
              </w:rPr>
              <w:t>59.138.324</w:t>
            </w:r>
          </w:p>
        </w:tc>
        <w:tc>
          <w:tcPr>
            <w:tcW w:w="412" w:type="pct"/>
            <w:tcBorders>
              <w:top w:val="nil"/>
              <w:left w:val="nil"/>
              <w:bottom w:val="nil"/>
              <w:right w:val="single" w:sz="4" w:space="0" w:color="auto"/>
            </w:tcBorders>
            <w:noWrap/>
            <w:vAlign w:val="bottom"/>
            <w:hideMark/>
          </w:tcPr>
          <w:p w14:paraId="5C2C6D97"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3.486.632</w:t>
            </w:r>
          </w:p>
        </w:tc>
        <w:tc>
          <w:tcPr>
            <w:tcW w:w="412" w:type="pct"/>
            <w:tcBorders>
              <w:top w:val="nil"/>
              <w:left w:val="nil"/>
              <w:bottom w:val="nil"/>
              <w:right w:val="single" w:sz="4" w:space="0" w:color="auto"/>
            </w:tcBorders>
            <w:noWrap/>
            <w:vAlign w:val="bottom"/>
            <w:hideMark/>
          </w:tcPr>
          <w:p w14:paraId="2F753424"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8.452.651</w:t>
            </w:r>
          </w:p>
        </w:tc>
        <w:tc>
          <w:tcPr>
            <w:tcW w:w="458" w:type="pct"/>
            <w:tcBorders>
              <w:top w:val="nil"/>
              <w:left w:val="nil"/>
              <w:bottom w:val="nil"/>
              <w:right w:val="single" w:sz="4" w:space="0" w:color="auto"/>
            </w:tcBorders>
            <w:noWrap/>
            <w:vAlign w:val="bottom"/>
            <w:hideMark/>
          </w:tcPr>
          <w:p w14:paraId="3E5E0D57"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11.939.283</w:t>
            </w:r>
          </w:p>
        </w:tc>
      </w:tr>
      <w:tr w:rsidR="00A74C68" w:rsidRPr="00A74C68" w14:paraId="0DA124F2" w14:textId="77777777" w:rsidTr="00A74C68">
        <w:trPr>
          <w:divId w:val="153886216"/>
          <w:trHeight w:val="20"/>
        </w:trPr>
        <w:tc>
          <w:tcPr>
            <w:tcW w:w="257" w:type="pct"/>
            <w:tcBorders>
              <w:top w:val="nil"/>
              <w:left w:val="single" w:sz="4" w:space="0" w:color="auto"/>
              <w:bottom w:val="nil"/>
              <w:right w:val="nil"/>
            </w:tcBorders>
            <w:hideMark/>
          </w:tcPr>
          <w:p w14:paraId="62A355DF" w14:textId="77777777" w:rsidR="00A74C68" w:rsidRPr="00A74C68" w:rsidRDefault="00A74C68" w:rsidP="00A74C68">
            <w:pPr>
              <w:rPr>
                <w:color w:val="000000"/>
                <w:sz w:val="14"/>
                <w:szCs w:val="14"/>
              </w:rPr>
            </w:pPr>
            <w:r w:rsidRPr="00A74C68">
              <w:rPr>
                <w:color w:val="000000"/>
                <w:sz w:val="14"/>
                <w:szCs w:val="14"/>
              </w:rPr>
              <w:t>2.1.</w:t>
            </w:r>
          </w:p>
        </w:tc>
        <w:tc>
          <w:tcPr>
            <w:tcW w:w="1793" w:type="pct"/>
            <w:tcBorders>
              <w:top w:val="nil"/>
              <w:left w:val="nil"/>
              <w:bottom w:val="nil"/>
              <w:right w:val="nil"/>
            </w:tcBorders>
            <w:hideMark/>
          </w:tcPr>
          <w:p w14:paraId="2F2247CB" w14:textId="77777777" w:rsidR="00A74C68" w:rsidRPr="00A74C68" w:rsidRDefault="00A74C68" w:rsidP="00A74C68">
            <w:pPr>
              <w:rPr>
                <w:color w:val="000000"/>
                <w:sz w:val="14"/>
                <w:szCs w:val="14"/>
              </w:rPr>
            </w:pPr>
            <w:r w:rsidRPr="00A74C68">
              <w:rPr>
                <w:color w:val="000000"/>
                <w:sz w:val="14"/>
                <w:szCs w:val="14"/>
              </w:rPr>
              <w:t>Cayılamaz Taahhütler</w:t>
            </w:r>
          </w:p>
        </w:tc>
        <w:tc>
          <w:tcPr>
            <w:tcW w:w="329" w:type="pct"/>
            <w:tcBorders>
              <w:top w:val="nil"/>
              <w:left w:val="single" w:sz="4" w:space="0" w:color="auto"/>
              <w:bottom w:val="nil"/>
              <w:right w:val="single" w:sz="4" w:space="0" w:color="auto"/>
            </w:tcBorders>
            <w:vAlign w:val="bottom"/>
            <w:hideMark/>
          </w:tcPr>
          <w:p w14:paraId="51291348"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2FD59782" w14:textId="77777777" w:rsidR="00A74C68" w:rsidRPr="00A74C68" w:rsidRDefault="00A74C68" w:rsidP="00A74C68">
            <w:pPr>
              <w:jc w:val="right"/>
              <w:rPr>
                <w:color w:val="000000"/>
                <w:sz w:val="14"/>
                <w:szCs w:val="14"/>
              </w:rPr>
            </w:pPr>
            <w:r w:rsidRPr="00A74C68">
              <w:rPr>
                <w:color w:val="000000"/>
                <w:sz w:val="14"/>
                <w:szCs w:val="14"/>
              </w:rPr>
              <w:t>7.444.588</w:t>
            </w:r>
          </w:p>
        </w:tc>
        <w:tc>
          <w:tcPr>
            <w:tcW w:w="412" w:type="pct"/>
            <w:tcBorders>
              <w:top w:val="nil"/>
              <w:left w:val="nil"/>
              <w:bottom w:val="nil"/>
              <w:right w:val="single" w:sz="4" w:space="0" w:color="auto"/>
            </w:tcBorders>
            <w:shd w:val="clear" w:color="000000" w:fill="FFFFFF"/>
            <w:noWrap/>
            <w:vAlign w:val="bottom"/>
            <w:hideMark/>
          </w:tcPr>
          <w:p w14:paraId="302234B6" w14:textId="77777777" w:rsidR="00A74C68" w:rsidRPr="00A74C68" w:rsidRDefault="00A74C68" w:rsidP="00A74C68">
            <w:pPr>
              <w:jc w:val="right"/>
              <w:rPr>
                <w:color w:val="000000"/>
                <w:sz w:val="14"/>
                <w:szCs w:val="14"/>
              </w:rPr>
            </w:pPr>
            <w:r w:rsidRPr="00A74C68">
              <w:rPr>
                <w:color w:val="000000"/>
                <w:sz w:val="14"/>
                <w:szCs w:val="14"/>
              </w:rPr>
              <w:t>51.693.736</w:t>
            </w:r>
          </w:p>
        </w:tc>
        <w:tc>
          <w:tcPr>
            <w:tcW w:w="463" w:type="pct"/>
            <w:tcBorders>
              <w:top w:val="nil"/>
              <w:left w:val="nil"/>
              <w:bottom w:val="nil"/>
              <w:right w:val="single" w:sz="4" w:space="0" w:color="auto"/>
            </w:tcBorders>
            <w:shd w:val="clear" w:color="000000" w:fill="FFFFFF"/>
            <w:noWrap/>
            <w:vAlign w:val="bottom"/>
            <w:hideMark/>
          </w:tcPr>
          <w:p w14:paraId="2B4D05D5" w14:textId="77777777" w:rsidR="00A74C68" w:rsidRPr="00A74C68" w:rsidRDefault="00A74C68" w:rsidP="00A74C68">
            <w:pPr>
              <w:jc w:val="right"/>
              <w:rPr>
                <w:color w:val="000000"/>
                <w:sz w:val="14"/>
                <w:szCs w:val="14"/>
              </w:rPr>
            </w:pPr>
            <w:r w:rsidRPr="00A74C68">
              <w:rPr>
                <w:color w:val="000000"/>
                <w:sz w:val="14"/>
                <w:szCs w:val="14"/>
              </w:rPr>
              <w:t>59.138.324</w:t>
            </w:r>
          </w:p>
        </w:tc>
        <w:tc>
          <w:tcPr>
            <w:tcW w:w="412" w:type="pct"/>
            <w:tcBorders>
              <w:top w:val="nil"/>
              <w:left w:val="nil"/>
              <w:bottom w:val="nil"/>
              <w:right w:val="single" w:sz="4" w:space="0" w:color="auto"/>
            </w:tcBorders>
            <w:noWrap/>
            <w:vAlign w:val="bottom"/>
            <w:hideMark/>
          </w:tcPr>
          <w:p w14:paraId="44E57C71" w14:textId="77777777" w:rsidR="00A74C68" w:rsidRPr="00A74C68" w:rsidRDefault="00A74C68" w:rsidP="00A74C68">
            <w:pPr>
              <w:jc w:val="right"/>
              <w:rPr>
                <w:color w:val="000000"/>
                <w:sz w:val="14"/>
                <w:szCs w:val="14"/>
                <w:lang w:eastAsia="tr-TR"/>
              </w:rPr>
            </w:pPr>
            <w:r w:rsidRPr="00A74C68">
              <w:rPr>
                <w:color w:val="000000"/>
                <w:sz w:val="14"/>
                <w:szCs w:val="14"/>
                <w:lang w:eastAsia="tr-TR"/>
              </w:rPr>
              <w:t>3.486.632</w:t>
            </w:r>
          </w:p>
        </w:tc>
        <w:tc>
          <w:tcPr>
            <w:tcW w:w="412" w:type="pct"/>
            <w:tcBorders>
              <w:top w:val="nil"/>
              <w:left w:val="nil"/>
              <w:bottom w:val="nil"/>
              <w:right w:val="single" w:sz="4" w:space="0" w:color="auto"/>
            </w:tcBorders>
            <w:noWrap/>
            <w:vAlign w:val="bottom"/>
            <w:hideMark/>
          </w:tcPr>
          <w:p w14:paraId="32E3E081" w14:textId="77777777" w:rsidR="00A74C68" w:rsidRPr="00A74C68" w:rsidRDefault="00A74C68" w:rsidP="00A74C68">
            <w:pPr>
              <w:jc w:val="right"/>
              <w:rPr>
                <w:color w:val="000000"/>
                <w:sz w:val="14"/>
                <w:szCs w:val="14"/>
                <w:lang w:eastAsia="tr-TR"/>
              </w:rPr>
            </w:pPr>
            <w:r w:rsidRPr="00A74C68">
              <w:rPr>
                <w:color w:val="000000"/>
                <w:sz w:val="14"/>
                <w:szCs w:val="14"/>
                <w:lang w:eastAsia="tr-TR"/>
              </w:rPr>
              <w:t>8.452.651</w:t>
            </w:r>
          </w:p>
        </w:tc>
        <w:tc>
          <w:tcPr>
            <w:tcW w:w="458" w:type="pct"/>
            <w:tcBorders>
              <w:top w:val="nil"/>
              <w:left w:val="nil"/>
              <w:bottom w:val="nil"/>
              <w:right w:val="single" w:sz="4" w:space="0" w:color="auto"/>
            </w:tcBorders>
            <w:noWrap/>
            <w:vAlign w:val="bottom"/>
            <w:hideMark/>
          </w:tcPr>
          <w:p w14:paraId="6B288C74" w14:textId="77777777" w:rsidR="00A74C68" w:rsidRPr="00A74C68" w:rsidRDefault="00A74C68" w:rsidP="00A74C68">
            <w:pPr>
              <w:jc w:val="right"/>
              <w:rPr>
                <w:color w:val="000000"/>
                <w:sz w:val="14"/>
                <w:szCs w:val="14"/>
                <w:lang w:eastAsia="tr-TR"/>
              </w:rPr>
            </w:pPr>
            <w:r w:rsidRPr="00A74C68">
              <w:rPr>
                <w:color w:val="000000"/>
                <w:sz w:val="14"/>
                <w:szCs w:val="14"/>
                <w:lang w:eastAsia="tr-TR"/>
              </w:rPr>
              <w:t>11.939.283</w:t>
            </w:r>
          </w:p>
        </w:tc>
      </w:tr>
      <w:tr w:rsidR="00A74C68" w:rsidRPr="00A74C68" w14:paraId="1B53E1B2" w14:textId="77777777" w:rsidTr="00A74C68">
        <w:trPr>
          <w:divId w:val="153886216"/>
          <w:trHeight w:val="20"/>
        </w:trPr>
        <w:tc>
          <w:tcPr>
            <w:tcW w:w="257" w:type="pct"/>
            <w:tcBorders>
              <w:top w:val="nil"/>
              <w:left w:val="single" w:sz="4" w:space="0" w:color="auto"/>
              <w:bottom w:val="nil"/>
              <w:right w:val="nil"/>
            </w:tcBorders>
            <w:hideMark/>
          </w:tcPr>
          <w:p w14:paraId="7A13137B" w14:textId="77777777" w:rsidR="00A74C68" w:rsidRPr="00A74C68" w:rsidRDefault="00A74C68" w:rsidP="00A74C68">
            <w:pPr>
              <w:rPr>
                <w:color w:val="000000"/>
                <w:sz w:val="14"/>
                <w:szCs w:val="14"/>
              </w:rPr>
            </w:pPr>
            <w:r w:rsidRPr="00A74C68">
              <w:rPr>
                <w:color w:val="000000"/>
                <w:sz w:val="14"/>
                <w:szCs w:val="14"/>
              </w:rPr>
              <w:t>2.1.1.</w:t>
            </w:r>
          </w:p>
        </w:tc>
        <w:tc>
          <w:tcPr>
            <w:tcW w:w="1793" w:type="pct"/>
            <w:tcBorders>
              <w:top w:val="nil"/>
              <w:left w:val="nil"/>
              <w:bottom w:val="nil"/>
              <w:right w:val="nil"/>
            </w:tcBorders>
            <w:hideMark/>
          </w:tcPr>
          <w:p w14:paraId="48DF3F08" w14:textId="77777777" w:rsidR="00A74C68" w:rsidRPr="00A74C68" w:rsidRDefault="00A74C68" w:rsidP="00A74C68">
            <w:pPr>
              <w:rPr>
                <w:color w:val="000000"/>
                <w:sz w:val="14"/>
                <w:szCs w:val="14"/>
              </w:rPr>
            </w:pPr>
            <w:r w:rsidRPr="00A74C68">
              <w:rPr>
                <w:color w:val="000000"/>
                <w:sz w:val="14"/>
                <w:szCs w:val="14"/>
              </w:rPr>
              <w:t>Vadeli Aktif Değerler Alım-Satım Taahhütleri</w:t>
            </w:r>
          </w:p>
        </w:tc>
        <w:tc>
          <w:tcPr>
            <w:tcW w:w="329" w:type="pct"/>
            <w:tcBorders>
              <w:top w:val="nil"/>
              <w:left w:val="single" w:sz="4" w:space="0" w:color="auto"/>
              <w:bottom w:val="nil"/>
              <w:right w:val="single" w:sz="4" w:space="0" w:color="auto"/>
            </w:tcBorders>
            <w:vAlign w:val="bottom"/>
            <w:hideMark/>
          </w:tcPr>
          <w:p w14:paraId="3781FEBB"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11162A32" w14:textId="77777777" w:rsidR="00A74C68" w:rsidRPr="00A74C68" w:rsidRDefault="00A74C68" w:rsidP="00A74C68">
            <w:pPr>
              <w:jc w:val="right"/>
              <w:rPr>
                <w:color w:val="000000"/>
                <w:sz w:val="14"/>
                <w:szCs w:val="14"/>
              </w:rPr>
            </w:pPr>
            <w:r w:rsidRPr="00A74C68">
              <w:rPr>
                <w:color w:val="000000"/>
                <w:sz w:val="14"/>
                <w:szCs w:val="14"/>
              </w:rPr>
              <w:t>7.116.658</w:t>
            </w:r>
          </w:p>
        </w:tc>
        <w:tc>
          <w:tcPr>
            <w:tcW w:w="412" w:type="pct"/>
            <w:tcBorders>
              <w:top w:val="nil"/>
              <w:left w:val="nil"/>
              <w:bottom w:val="nil"/>
              <w:right w:val="single" w:sz="4" w:space="0" w:color="auto"/>
            </w:tcBorders>
            <w:shd w:val="clear" w:color="000000" w:fill="FFFFFF"/>
            <w:noWrap/>
            <w:vAlign w:val="bottom"/>
            <w:hideMark/>
          </w:tcPr>
          <w:p w14:paraId="1A5D86F9" w14:textId="77777777" w:rsidR="00A74C68" w:rsidRPr="00A74C68" w:rsidRDefault="00A74C68" w:rsidP="00A74C68">
            <w:pPr>
              <w:jc w:val="right"/>
              <w:rPr>
                <w:color w:val="000000"/>
                <w:sz w:val="14"/>
                <w:szCs w:val="14"/>
              </w:rPr>
            </w:pPr>
            <w:r w:rsidRPr="00A74C68">
              <w:rPr>
                <w:color w:val="000000"/>
                <w:sz w:val="14"/>
                <w:szCs w:val="14"/>
              </w:rPr>
              <w:t>51.693.736</w:t>
            </w:r>
          </w:p>
        </w:tc>
        <w:tc>
          <w:tcPr>
            <w:tcW w:w="463" w:type="pct"/>
            <w:tcBorders>
              <w:top w:val="nil"/>
              <w:left w:val="nil"/>
              <w:bottom w:val="nil"/>
              <w:right w:val="single" w:sz="4" w:space="0" w:color="auto"/>
            </w:tcBorders>
            <w:shd w:val="clear" w:color="000000" w:fill="FFFFFF"/>
            <w:noWrap/>
            <w:vAlign w:val="bottom"/>
            <w:hideMark/>
          </w:tcPr>
          <w:p w14:paraId="110FCAE3" w14:textId="77777777" w:rsidR="00A74C68" w:rsidRPr="00A74C68" w:rsidRDefault="00A74C68" w:rsidP="00A74C68">
            <w:pPr>
              <w:jc w:val="right"/>
              <w:rPr>
                <w:color w:val="000000"/>
                <w:sz w:val="14"/>
                <w:szCs w:val="14"/>
              </w:rPr>
            </w:pPr>
            <w:r w:rsidRPr="00A74C68">
              <w:rPr>
                <w:color w:val="000000"/>
                <w:sz w:val="14"/>
                <w:szCs w:val="14"/>
              </w:rPr>
              <w:t>58.810.394</w:t>
            </w:r>
          </w:p>
        </w:tc>
        <w:tc>
          <w:tcPr>
            <w:tcW w:w="412" w:type="pct"/>
            <w:tcBorders>
              <w:top w:val="nil"/>
              <w:left w:val="nil"/>
              <w:bottom w:val="nil"/>
              <w:right w:val="single" w:sz="4" w:space="0" w:color="auto"/>
            </w:tcBorders>
            <w:noWrap/>
            <w:vAlign w:val="bottom"/>
            <w:hideMark/>
          </w:tcPr>
          <w:p w14:paraId="25E7246F" w14:textId="77777777" w:rsidR="00A74C68" w:rsidRPr="00A74C68" w:rsidRDefault="00A74C68" w:rsidP="00A74C68">
            <w:pPr>
              <w:jc w:val="right"/>
              <w:rPr>
                <w:color w:val="000000"/>
                <w:sz w:val="14"/>
                <w:szCs w:val="14"/>
                <w:lang w:eastAsia="tr-TR"/>
              </w:rPr>
            </w:pPr>
            <w:r w:rsidRPr="00A74C68">
              <w:rPr>
                <w:color w:val="000000"/>
                <w:sz w:val="14"/>
                <w:szCs w:val="14"/>
                <w:lang w:eastAsia="tr-TR"/>
              </w:rPr>
              <w:t>3.486.632</w:t>
            </w:r>
          </w:p>
        </w:tc>
        <w:tc>
          <w:tcPr>
            <w:tcW w:w="412" w:type="pct"/>
            <w:tcBorders>
              <w:top w:val="nil"/>
              <w:left w:val="nil"/>
              <w:bottom w:val="nil"/>
              <w:right w:val="single" w:sz="4" w:space="0" w:color="auto"/>
            </w:tcBorders>
            <w:noWrap/>
            <w:vAlign w:val="bottom"/>
            <w:hideMark/>
          </w:tcPr>
          <w:p w14:paraId="2F6D721E" w14:textId="77777777" w:rsidR="00A74C68" w:rsidRPr="00A74C68" w:rsidRDefault="00A74C68" w:rsidP="00A74C68">
            <w:pPr>
              <w:jc w:val="right"/>
              <w:rPr>
                <w:color w:val="000000"/>
                <w:sz w:val="14"/>
                <w:szCs w:val="14"/>
                <w:lang w:eastAsia="tr-TR"/>
              </w:rPr>
            </w:pPr>
            <w:r w:rsidRPr="00A74C68">
              <w:rPr>
                <w:color w:val="000000"/>
                <w:sz w:val="14"/>
                <w:szCs w:val="14"/>
                <w:lang w:eastAsia="tr-TR"/>
              </w:rPr>
              <w:t>8.452.651</w:t>
            </w:r>
          </w:p>
        </w:tc>
        <w:tc>
          <w:tcPr>
            <w:tcW w:w="458" w:type="pct"/>
            <w:tcBorders>
              <w:top w:val="nil"/>
              <w:left w:val="nil"/>
              <w:bottom w:val="nil"/>
              <w:right w:val="single" w:sz="4" w:space="0" w:color="auto"/>
            </w:tcBorders>
            <w:noWrap/>
            <w:vAlign w:val="bottom"/>
            <w:hideMark/>
          </w:tcPr>
          <w:p w14:paraId="14BFC0CB" w14:textId="77777777" w:rsidR="00A74C68" w:rsidRPr="00A74C68" w:rsidRDefault="00A74C68" w:rsidP="00A74C68">
            <w:pPr>
              <w:jc w:val="right"/>
              <w:rPr>
                <w:color w:val="000000"/>
                <w:sz w:val="14"/>
                <w:szCs w:val="14"/>
                <w:lang w:eastAsia="tr-TR"/>
              </w:rPr>
            </w:pPr>
            <w:r w:rsidRPr="00A74C68">
              <w:rPr>
                <w:color w:val="000000"/>
                <w:sz w:val="14"/>
                <w:szCs w:val="14"/>
                <w:lang w:eastAsia="tr-TR"/>
              </w:rPr>
              <w:t>11.939.283</w:t>
            </w:r>
          </w:p>
        </w:tc>
      </w:tr>
      <w:tr w:rsidR="00A74C68" w:rsidRPr="00A74C68" w14:paraId="2C4F4D14" w14:textId="77777777" w:rsidTr="00A74C68">
        <w:trPr>
          <w:divId w:val="153886216"/>
          <w:trHeight w:val="20"/>
        </w:trPr>
        <w:tc>
          <w:tcPr>
            <w:tcW w:w="257" w:type="pct"/>
            <w:tcBorders>
              <w:top w:val="nil"/>
              <w:left w:val="single" w:sz="4" w:space="0" w:color="auto"/>
              <w:bottom w:val="nil"/>
              <w:right w:val="nil"/>
            </w:tcBorders>
            <w:hideMark/>
          </w:tcPr>
          <w:p w14:paraId="7C063B1C" w14:textId="77777777" w:rsidR="00A74C68" w:rsidRPr="00A74C68" w:rsidRDefault="00A74C68" w:rsidP="00A74C68">
            <w:pPr>
              <w:rPr>
                <w:color w:val="000000"/>
                <w:sz w:val="14"/>
                <w:szCs w:val="14"/>
              </w:rPr>
            </w:pPr>
            <w:r w:rsidRPr="00A74C68">
              <w:rPr>
                <w:color w:val="000000"/>
                <w:sz w:val="14"/>
                <w:szCs w:val="14"/>
              </w:rPr>
              <w:t>2.1.2.</w:t>
            </w:r>
          </w:p>
        </w:tc>
        <w:tc>
          <w:tcPr>
            <w:tcW w:w="1793" w:type="pct"/>
            <w:tcBorders>
              <w:top w:val="nil"/>
              <w:left w:val="nil"/>
              <w:bottom w:val="nil"/>
              <w:right w:val="nil"/>
            </w:tcBorders>
            <w:hideMark/>
          </w:tcPr>
          <w:p w14:paraId="16168C06" w14:textId="77777777" w:rsidR="00A74C68" w:rsidRPr="00A74C68" w:rsidRDefault="00A74C68" w:rsidP="00A74C68">
            <w:pPr>
              <w:rPr>
                <w:color w:val="000000"/>
                <w:sz w:val="14"/>
                <w:szCs w:val="14"/>
              </w:rPr>
            </w:pPr>
            <w:r w:rsidRPr="00A74C68">
              <w:rPr>
                <w:color w:val="000000"/>
                <w:sz w:val="14"/>
                <w:szCs w:val="14"/>
              </w:rPr>
              <w:t xml:space="preserve">İştir. ve Bağ. Ort. Ser. </w:t>
            </w:r>
            <w:proofErr w:type="spellStart"/>
            <w:r w:rsidRPr="00A74C68">
              <w:rPr>
                <w:color w:val="000000"/>
                <w:sz w:val="14"/>
                <w:szCs w:val="14"/>
              </w:rPr>
              <w:t>İşt</w:t>
            </w:r>
            <w:proofErr w:type="spellEnd"/>
            <w:r w:rsidRPr="00A74C68">
              <w:rPr>
                <w:color w:val="000000"/>
                <w:sz w:val="14"/>
                <w:szCs w:val="14"/>
              </w:rPr>
              <w:t xml:space="preserve">. Taahhütleri </w:t>
            </w:r>
          </w:p>
        </w:tc>
        <w:tc>
          <w:tcPr>
            <w:tcW w:w="329" w:type="pct"/>
            <w:tcBorders>
              <w:top w:val="nil"/>
              <w:left w:val="single" w:sz="4" w:space="0" w:color="auto"/>
              <w:bottom w:val="nil"/>
              <w:right w:val="single" w:sz="4" w:space="0" w:color="auto"/>
            </w:tcBorders>
            <w:vAlign w:val="bottom"/>
            <w:hideMark/>
          </w:tcPr>
          <w:p w14:paraId="7A06768D"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64FEFE26"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2568EC9F" w14:textId="77777777" w:rsidR="00A74C68" w:rsidRPr="00A74C68" w:rsidRDefault="00A74C68" w:rsidP="00A74C68">
            <w:pPr>
              <w:jc w:val="right"/>
              <w:rPr>
                <w:color w:val="000000"/>
                <w:sz w:val="14"/>
                <w:szCs w:val="14"/>
              </w:rPr>
            </w:pPr>
            <w:r w:rsidRPr="00A74C68">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454A4A0E"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noWrap/>
            <w:vAlign w:val="bottom"/>
            <w:hideMark/>
          </w:tcPr>
          <w:p w14:paraId="4E07E110"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1F5204D2"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288FB63F"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0D10419B" w14:textId="77777777" w:rsidTr="00A74C68">
        <w:trPr>
          <w:divId w:val="153886216"/>
          <w:trHeight w:val="20"/>
        </w:trPr>
        <w:tc>
          <w:tcPr>
            <w:tcW w:w="257" w:type="pct"/>
            <w:tcBorders>
              <w:top w:val="nil"/>
              <w:left w:val="single" w:sz="4" w:space="0" w:color="auto"/>
              <w:bottom w:val="nil"/>
              <w:right w:val="nil"/>
            </w:tcBorders>
            <w:hideMark/>
          </w:tcPr>
          <w:p w14:paraId="794CC8F6" w14:textId="77777777" w:rsidR="00A74C68" w:rsidRPr="00A74C68" w:rsidRDefault="00A74C68" w:rsidP="00A74C68">
            <w:pPr>
              <w:rPr>
                <w:color w:val="000000"/>
                <w:sz w:val="14"/>
                <w:szCs w:val="14"/>
              </w:rPr>
            </w:pPr>
            <w:r w:rsidRPr="00A74C68">
              <w:rPr>
                <w:color w:val="000000"/>
                <w:sz w:val="14"/>
                <w:szCs w:val="14"/>
              </w:rPr>
              <w:t>2.1.3.</w:t>
            </w:r>
          </w:p>
        </w:tc>
        <w:tc>
          <w:tcPr>
            <w:tcW w:w="1793" w:type="pct"/>
            <w:tcBorders>
              <w:top w:val="nil"/>
              <w:left w:val="nil"/>
              <w:bottom w:val="nil"/>
              <w:right w:val="nil"/>
            </w:tcBorders>
            <w:hideMark/>
          </w:tcPr>
          <w:p w14:paraId="11C67743" w14:textId="77777777" w:rsidR="00A74C68" w:rsidRPr="00A74C68" w:rsidRDefault="00A74C68" w:rsidP="00A74C68">
            <w:pPr>
              <w:rPr>
                <w:color w:val="000000"/>
                <w:sz w:val="14"/>
                <w:szCs w:val="14"/>
              </w:rPr>
            </w:pPr>
            <w:r w:rsidRPr="00A74C68">
              <w:rPr>
                <w:color w:val="000000"/>
                <w:sz w:val="14"/>
                <w:szCs w:val="14"/>
              </w:rPr>
              <w:t>Kullandırma Garantili Kredi Tahsis Taahhütleri</w:t>
            </w:r>
          </w:p>
        </w:tc>
        <w:tc>
          <w:tcPr>
            <w:tcW w:w="329" w:type="pct"/>
            <w:tcBorders>
              <w:top w:val="nil"/>
              <w:left w:val="single" w:sz="4" w:space="0" w:color="auto"/>
              <w:bottom w:val="nil"/>
              <w:right w:val="single" w:sz="4" w:space="0" w:color="auto"/>
            </w:tcBorders>
            <w:vAlign w:val="bottom"/>
            <w:hideMark/>
          </w:tcPr>
          <w:p w14:paraId="05D9FC6B"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16B53565"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40CE10B9" w14:textId="77777777" w:rsidR="00A74C68" w:rsidRPr="00A74C68" w:rsidRDefault="00A74C68" w:rsidP="00A74C68">
            <w:pPr>
              <w:jc w:val="right"/>
              <w:rPr>
                <w:color w:val="000000"/>
                <w:sz w:val="14"/>
                <w:szCs w:val="14"/>
              </w:rPr>
            </w:pPr>
            <w:r w:rsidRPr="00A74C68">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3C64696A"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noWrap/>
            <w:vAlign w:val="bottom"/>
            <w:hideMark/>
          </w:tcPr>
          <w:p w14:paraId="732CEA09"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1D1B5601"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3CBF2C38"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6D4930B8" w14:textId="77777777" w:rsidTr="00A74C68">
        <w:trPr>
          <w:divId w:val="153886216"/>
          <w:trHeight w:val="20"/>
        </w:trPr>
        <w:tc>
          <w:tcPr>
            <w:tcW w:w="257" w:type="pct"/>
            <w:tcBorders>
              <w:top w:val="nil"/>
              <w:left w:val="single" w:sz="4" w:space="0" w:color="auto"/>
              <w:bottom w:val="nil"/>
              <w:right w:val="nil"/>
            </w:tcBorders>
            <w:hideMark/>
          </w:tcPr>
          <w:p w14:paraId="43B181F1" w14:textId="77777777" w:rsidR="00A74C68" w:rsidRPr="00A74C68" w:rsidRDefault="00A74C68" w:rsidP="00A74C68">
            <w:pPr>
              <w:rPr>
                <w:color w:val="000000"/>
                <w:sz w:val="14"/>
                <w:szCs w:val="14"/>
              </w:rPr>
            </w:pPr>
            <w:r w:rsidRPr="00A74C68">
              <w:rPr>
                <w:color w:val="000000"/>
                <w:sz w:val="14"/>
                <w:szCs w:val="14"/>
              </w:rPr>
              <w:t>2.1.4.</w:t>
            </w:r>
          </w:p>
        </w:tc>
        <w:tc>
          <w:tcPr>
            <w:tcW w:w="1793" w:type="pct"/>
            <w:tcBorders>
              <w:top w:val="nil"/>
              <w:left w:val="nil"/>
              <w:bottom w:val="nil"/>
              <w:right w:val="nil"/>
            </w:tcBorders>
            <w:hideMark/>
          </w:tcPr>
          <w:p w14:paraId="0BD2E1F5" w14:textId="77777777" w:rsidR="00A74C68" w:rsidRPr="00A74C68" w:rsidRDefault="00A74C68" w:rsidP="00A74C68">
            <w:pPr>
              <w:rPr>
                <w:color w:val="000000"/>
                <w:sz w:val="14"/>
                <w:szCs w:val="14"/>
              </w:rPr>
            </w:pPr>
            <w:r w:rsidRPr="00A74C68">
              <w:rPr>
                <w:color w:val="000000"/>
                <w:sz w:val="14"/>
                <w:szCs w:val="14"/>
              </w:rPr>
              <w:t>Menkul Kıymet İhracına Aracılık Taahhütleri</w:t>
            </w:r>
          </w:p>
        </w:tc>
        <w:tc>
          <w:tcPr>
            <w:tcW w:w="329" w:type="pct"/>
            <w:tcBorders>
              <w:top w:val="nil"/>
              <w:left w:val="single" w:sz="4" w:space="0" w:color="auto"/>
              <w:bottom w:val="nil"/>
              <w:right w:val="single" w:sz="4" w:space="0" w:color="auto"/>
            </w:tcBorders>
            <w:vAlign w:val="bottom"/>
            <w:hideMark/>
          </w:tcPr>
          <w:p w14:paraId="34331A98"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2790019A"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5A9A3641" w14:textId="77777777" w:rsidR="00A74C68" w:rsidRPr="00A74C68" w:rsidRDefault="00A74C68" w:rsidP="00A74C68">
            <w:pPr>
              <w:jc w:val="right"/>
              <w:rPr>
                <w:color w:val="000000"/>
                <w:sz w:val="14"/>
                <w:szCs w:val="14"/>
              </w:rPr>
            </w:pPr>
            <w:r w:rsidRPr="00A74C68">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69203620"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noWrap/>
            <w:vAlign w:val="bottom"/>
            <w:hideMark/>
          </w:tcPr>
          <w:p w14:paraId="13C953A7"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2D9AE1F8"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29DBB8B1"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30D70342" w14:textId="77777777" w:rsidTr="00A74C68">
        <w:trPr>
          <w:divId w:val="153886216"/>
          <w:trHeight w:val="20"/>
        </w:trPr>
        <w:tc>
          <w:tcPr>
            <w:tcW w:w="257" w:type="pct"/>
            <w:tcBorders>
              <w:top w:val="nil"/>
              <w:left w:val="single" w:sz="4" w:space="0" w:color="auto"/>
              <w:bottom w:val="nil"/>
              <w:right w:val="nil"/>
            </w:tcBorders>
            <w:hideMark/>
          </w:tcPr>
          <w:p w14:paraId="2BDEFB8E" w14:textId="77777777" w:rsidR="00A74C68" w:rsidRPr="00A74C68" w:rsidRDefault="00A74C68" w:rsidP="00A74C68">
            <w:pPr>
              <w:rPr>
                <w:color w:val="000000"/>
                <w:sz w:val="14"/>
                <w:szCs w:val="14"/>
              </w:rPr>
            </w:pPr>
            <w:r w:rsidRPr="00A74C68">
              <w:rPr>
                <w:color w:val="000000"/>
                <w:sz w:val="14"/>
                <w:szCs w:val="14"/>
              </w:rPr>
              <w:t>2.1.5.</w:t>
            </w:r>
          </w:p>
        </w:tc>
        <w:tc>
          <w:tcPr>
            <w:tcW w:w="1793" w:type="pct"/>
            <w:tcBorders>
              <w:top w:val="nil"/>
              <w:left w:val="nil"/>
              <w:bottom w:val="nil"/>
              <w:right w:val="nil"/>
            </w:tcBorders>
            <w:hideMark/>
          </w:tcPr>
          <w:p w14:paraId="2465420A" w14:textId="77777777" w:rsidR="00A74C68" w:rsidRPr="00A74C68" w:rsidRDefault="00A74C68" w:rsidP="00A74C68">
            <w:pPr>
              <w:rPr>
                <w:color w:val="000000"/>
                <w:sz w:val="14"/>
                <w:szCs w:val="14"/>
              </w:rPr>
            </w:pPr>
            <w:r w:rsidRPr="00A74C68">
              <w:rPr>
                <w:color w:val="000000"/>
                <w:sz w:val="14"/>
                <w:szCs w:val="14"/>
              </w:rPr>
              <w:t>Zorunlu Karşılık Ödeme Taahhüdü</w:t>
            </w:r>
          </w:p>
        </w:tc>
        <w:tc>
          <w:tcPr>
            <w:tcW w:w="329" w:type="pct"/>
            <w:tcBorders>
              <w:top w:val="nil"/>
              <w:left w:val="single" w:sz="4" w:space="0" w:color="auto"/>
              <w:bottom w:val="nil"/>
              <w:right w:val="single" w:sz="4" w:space="0" w:color="auto"/>
            </w:tcBorders>
            <w:vAlign w:val="bottom"/>
            <w:hideMark/>
          </w:tcPr>
          <w:p w14:paraId="5BA35019"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2344C073"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1F97CECD" w14:textId="77777777" w:rsidR="00A74C68" w:rsidRPr="00A74C68" w:rsidRDefault="00A74C68" w:rsidP="00A74C68">
            <w:pPr>
              <w:jc w:val="right"/>
              <w:rPr>
                <w:color w:val="000000"/>
                <w:sz w:val="14"/>
                <w:szCs w:val="14"/>
              </w:rPr>
            </w:pPr>
            <w:r w:rsidRPr="00A74C68">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1DE54BD7"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noWrap/>
            <w:vAlign w:val="bottom"/>
            <w:hideMark/>
          </w:tcPr>
          <w:p w14:paraId="009B47E2"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6021553C"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79CFB81C"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40A1A4A1" w14:textId="77777777" w:rsidTr="00A74C68">
        <w:trPr>
          <w:divId w:val="153886216"/>
          <w:trHeight w:val="20"/>
        </w:trPr>
        <w:tc>
          <w:tcPr>
            <w:tcW w:w="257" w:type="pct"/>
            <w:tcBorders>
              <w:top w:val="nil"/>
              <w:left w:val="single" w:sz="4" w:space="0" w:color="auto"/>
              <w:bottom w:val="nil"/>
              <w:right w:val="nil"/>
            </w:tcBorders>
            <w:hideMark/>
          </w:tcPr>
          <w:p w14:paraId="43A4C2D5" w14:textId="77777777" w:rsidR="00A74C68" w:rsidRPr="00A74C68" w:rsidRDefault="00A74C68" w:rsidP="00A74C68">
            <w:pPr>
              <w:rPr>
                <w:color w:val="000000"/>
                <w:sz w:val="14"/>
                <w:szCs w:val="14"/>
              </w:rPr>
            </w:pPr>
            <w:r w:rsidRPr="00A74C68">
              <w:rPr>
                <w:color w:val="000000"/>
                <w:sz w:val="14"/>
                <w:szCs w:val="14"/>
              </w:rPr>
              <w:t>2.1.6.</w:t>
            </w:r>
          </w:p>
        </w:tc>
        <w:tc>
          <w:tcPr>
            <w:tcW w:w="1793" w:type="pct"/>
            <w:tcBorders>
              <w:top w:val="nil"/>
              <w:left w:val="nil"/>
              <w:bottom w:val="nil"/>
              <w:right w:val="nil"/>
            </w:tcBorders>
            <w:hideMark/>
          </w:tcPr>
          <w:p w14:paraId="22D346A3" w14:textId="77777777" w:rsidR="00A74C68" w:rsidRPr="00A74C68" w:rsidRDefault="00A74C68" w:rsidP="00A74C68">
            <w:pPr>
              <w:rPr>
                <w:color w:val="000000"/>
                <w:sz w:val="14"/>
                <w:szCs w:val="14"/>
              </w:rPr>
            </w:pPr>
            <w:r w:rsidRPr="00A74C68">
              <w:rPr>
                <w:color w:val="000000"/>
                <w:sz w:val="14"/>
                <w:szCs w:val="14"/>
              </w:rPr>
              <w:t>Çekler İçin Ödeme Taahhütleri</w:t>
            </w:r>
          </w:p>
        </w:tc>
        <w:tc>
          <w:tcPr>
            <w:tcW w:w="329" w:type="pct"/>
            <w:tcBorders>
              <w:top w:val="nil"/>
              <w:left w:val="single" w:sz="4" w:space="0" w:color="auto"/>
              <w:bottom w:val="nil"/>
              <w:right w:val="single" w:sz="4" w:space="0" w:color="auto"/>
            </w:tcBorders>
            <w:vAlign w:val="bottom"/>
            <w:hideMark/>
          </w:tcPr>
          <w:p w14:paraId="1E49AC37"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0B607B06" w14:textId="77777777" w:rsidR="00A74C68" w:rsidRPr="00A74C68" w:rsidRDefault="00A74C68" w:rsidP="00A74C68">
            <w:pPr>
              <w:jc w:val="right"/>
              <w:rPr>
                <w:color w:val="000000"/>
                <w:sz w:val="14"/>
                <w:szCs w:val="14"/>
              </w:rPr>
            </w:pPr>
            <w:r w:rsidRPr="00A74C68">
              <w:rPr>
                <w:color w:val="000000"/>
                <w:sz w:val="14"/>
                <w:szCs w:val="14"/>
              </w:rPr>
              <w:t>39.923</w:t>
            </w:r>
          </w:p>
        </w:tc>
        <w:tc>
          <w:tcPr>
            <w:tcW w:w="412" w:type="pct"/>
            <w:tcBorders>
              <w:top w:val="nil"/>
              <w:left w:val="nil"/>
              <w:bottom w:val="nil"/>
              <w:right w:val="single" w:sz="4" w:space="0" w:color="auto"/>
            </w:tcBorders>
            <w:shd w:val="clear" w:color="000000" w:fill="FFFFFF"/>
            <w:noWrap/>
            <w:vAlign w:val="bottom"/>
            <w:hideMark/>
          </w:tcPr>
          <w:p w14:paraId="0F5C3BC5" w14:textId="77777777" w:rsidR="00A74C68" w:rsidRPr="00A74C68" w:rsidRDefault="00A74C68" w:rsidP="00A74C68">
            <w:pPr>
              <w:jc w:val="right"/>
              <w:rPr>
                <w:color w:val="000000"/>
                <w:sz w:val="14"/>
                <w:szCs w:val="14"/>
              </w:rPr>
            </w:pPr>
            <w:r w:rsidRPr="00A74C68">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606DBCF2" w14:textId="77777777" w:rsidR="00A74C68" w:rsidRPr="00A74C68" w:rsidRDefault="00A74C68" w:rsidP="00A74C68">
            <w:pPr>
              <w:jc w:val="right"/>
              <w:rPr>
                <w:color w:val="000000"/>
                <w:sz w:val="14"/>
                <w:szCs w:val="14"/>
              </w:rPr>
            </w:pPr>
            <w:r w:rsidRPr="00A74C68">
              <w:rPr>
                <w:color w:val="000000"/>
                <w:sz w:val="14"/>
                <w:szCs w:val="14"/>
              </w:rPr>
              <w:t>39.923</w:t>
            </w:r>
          </w:p>
        </w:tc>
        <w:tc>
          <w:tcPr>
            <w:tcW w:w="412" w:type="pct"/>
            <w:tcBorders>
              <w:top w:val="nil"/>
              <w:left w:val="nil"/>
              <w:bottom w:val="nil"/>
              <w:right w:val="single" w:sz="4" w:space="0" w:color="auto"/>
            </w:tcBorders>
            <w:noWrap/>
            <w:vAlign w:val="bottom"/>
            <w:hideMark/>
          </w:tcPr>
          <w:p w14:paraId="6CF67B95"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46F00401"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00D68464"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10790E6A" w14:textId="77777777" w:rsidTr="00A74C68">
        <w:trPr>
          <w:divId w:val="153886216"/>
          <w:trHeight w:val="20"/>
        </w:trPr>
        <w:tc>
          <w:tcPr>
            <w:tcW w:w="257" w:type="pct"/>
            <w:tcBorders>
              <w:top w:val="nil"/>
              <w:left w:val="single" w:sz="4" w:space="0" w:color="auto"/>
              <w:bottom w:val="nil"/>
              <w:right w:val="nil"/>
            </w:tcBorders>
            <w:hideMark/>
          </w:tcPr>
          <w:p w14:paraId="14358617" w14:textId="77777777" w:rsidR="00A74C68" w:rsidRPr="00A74C68" w:rsidRDefault="00A74C68" w:rsidP="00A74C68">
            <w:pPr>
              <w:rPr>
                <w:color w:val="000000"/>
                <w:sz w:val="14"/>
                <w:szCs w:val="14"/>
              </w:rPr>
            </w:pPr>
            <w:r w:rsidRPr="00A74C68">
              <w:rPr>
                <w:color w:val="000000"/>
                <w:sz w:val="14"/>
                <w:szCs w:val="14"/>
              </w:rPr>
              <w:t>2.1.7.</w:t>
            </w:r>
          </w:p>
        </w:tc>
        <w:tc>
          <w:tcPr>
            <w:tcW w:w="1793" w:type="pct"/>
            <w:tcBorders>
              <w:top w:val="nil"/>
              <w:left w:val="nil"/>
              <w:bottom w:val="nil"/>
              <w:right w:val="nil"/>
            </w:tcBorders>
            <w:hideMark/>
          </w:tcPr>
          <w:p w14:paraId="6465D7E0" w14:textId="77777777" w:rsidR="00A74C68" w:rsidRPr="00A74C68" w:rsidRDefault="00A74C68" w:rsidP="00A74C68">
            <w:pPr>
              <w:rPr>
                <w:color w:val="000000"/>
                <w:sz w:val="14"/>
                <w:szCs w:val="14"/>
              </w:rPr>
            </w:pPr>
            <w:r w:rsidRPr="00A74C68">
              <w:rPr>
                <w:color w:val="000000"/>
                <w:sz w:val="14"/>
                <w:szCs w:val="14"/>
              </w:rPr>
              <w:t xml:space="preserve">İhracat Taahhütlerinden Kaynaklanan Vergi </w:t>
            </w:r>
            <w:proofErr w:type="gramStart"/>
            <w:r w:rsidRPr="00A74C68">
              <w:rPr>
                <w:color w:val="000000"/>
                <w:sz w:val="14"/>
                <w:szCs w:val="14"/>
              </w:rPr>
              <w:t>Ve</w:t>
            </w:r>
            <w:proofErr w:type="gramEnd"/>
            <w:r w:rsidRPr="00A74C68">
              <w:rPr>
                <w:color w:val="000000"/>
                <w:sz w:val="14"/>
                <w:szCs w:val="14"/>
              </w:rPr>
              <w:t xml:space="preserve"> Fon Yükümlülükleri</w:t>
            </w:r>
          </w:p>
        </w:tc>
        <w:tc>
          <w:tcPr>
            <w:tcW w:w="329" w:type="pct"/>
            <w:tcBorders>
              <w:top w:val="nil"/>
              <w:left w:val="single" w:sz="4" w:space="0" w:color="auto"/>
              <w:bottom w:val="nil"/>
              <w:right w:val="single" w:sz="4" w:space="0" w:color="auto"/>
            </w:tcBorders>
            <w:vAlign w:val="bottom"/>
            <w:hideMark/>
          </w:tcPr>
          <w:p w14:paraId="32179D11"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4EF17635"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2050B1B6" w14:textId="77777777" w:rsidR="00A74C68" w:rsidRPr="00A74C68" w:rsidRDefault="00A74C68" w:rsidP="00A74C68">
            <w:pPr>
              <w:jc w:val="right"/>
              <w:rPr>
                <w:color w:val="000000"/>
                <w:sz w:val="14"/>
                <w:szCs w:val="14"/>
              </w:rPr>
            </w:pPr>
            <w:r w:rsidRPr="00A74C68">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52BE6084"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noWrap/>
            <w:vAlign w:val="bottom"/>
            <w:hideMark/>
          </w:tcPr>
          <w:p w14:paraId="6C899A24"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75EB5062"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5F77C2CD"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167D46BB" w14:textId="77777777" w:rsidTr="00A74C68">
        <w:trPr>
          <w:divId w:val="153886216"/>
          <w:trHeight w:val="20"/>
        </w:trPr>
        <w:tc>
          <w:tcPr>
            <w:tcW w:w="257" w:type="pct"/>
            <w:tcBorders>
              <w:top w:val="nil"/>
              <w:left w:val="single" w:sz="4" w:space="0" w:color="auto"/>
              <w:bottom w:val="nil"/>
              <w:right w:val="nil"/>
            </w:tcBorders>
            <w:hideMark/>
          </w:tcPr>
          <w:p w14:paraId="0F2AA71E" w14:textId="77777777" w:rsidR="00A74C68" w:rsidRPr="00A74C68" w:rsidRDefault="00A74C68" w:rsidP="00A74C68">
            <w:pPr>
              <w:rPr>
                <w:color w:val="000000"/>
                <w:sz w:val="14"/>
                <w:szCs w:val="14"/>
              </w:rPr>
            </w:pPr>
            <w:r w:rsidRPr="00A74C68">
              <w:rPr>
                <w:color w:val="000000"/>
                <w:sz w:val="14"/>
                <w:szCs w:val="14"/>
              </w:rPr>
              <w:t>2.1.8.</w:t>
            </w:r>
          </w:p>
        </w:tc>
        <w:tc>
          <w:tcPr>
            <w:tcW w:w="1793" w:type="pct"/>
            <w:tcBorders>
              <w:top w:val="nil"/>
              <w:left w:val="nil"/>
              <w:bottom w:val="nil"/>
              <w:right w:val="nil"/>
            </w:tcBorders>
            <w:hideMark/>
          </w:tcPr>
          <w:p w14:paraId="7259DC9F" w14:textId="77777777" w:rsidR="00A74C68" w:rsidRPr="00A74C68" w:rsidRDefault="00A74C68" w:rsidP="00A74C68">
            <w:pPr>
              <w:rPr>
                <w:color w:val="000000"/>
                <w:sz w:val="14"/>
                <w:szCs w:val="14"/>
              </w:rPr>
            </w:pPr>
            <w:r w:rsidRPr="00A74C68">
              <w:rPr>
                <w:color w:val="000000"/>
                <w:sz w:val="14"/>
                <w:szCs w:val="14"/>
              </w:rPr>
              <w:t>Kredi Kartı Harcama Limit Taahhütleri</w:t>
            </w:r>
          </w:p>
        </w:tc>
        <w:tc>
          <w:tcPr>
            <w:tcW w:w="329" w:type="pct"/>
            <w:tcBorders>
              <w:top w:val="nil"/>
              <w:left w:val="single" w:sz="4" w:space="0" w:color="auto"/>
              <w:bottom w:val="nil"/>
              <w:right w:val="single" w:sz="4" w:space="0" w:color="auto"/>
            </w:tcBorders>
            <w:vAlign w:val="bottom"/>
            <w:hideMark/>
          </w:tcPr>
          <w:p w14:paraId="7C71BED6"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32B31A58" w14:textId="77777777" w:rsidR="00A74C68" w:rsidRPr="00A74C68" w:rsidRDefault="00A74C68" w:rsidP="00A74C68">
            <w:pPr>
              <w:jc w:val="right"/>
              <w:rPr>
                <w:color w:val="000000"/>
                <w:sz w:val="14"/>
                <w:szCs w:val="14"/>
              </w:rPr>
            </w:pPr>
            <w:r w:rsidRPr="00A74C68">
              <w:rPr>
                <w:color w:val="000000"/>
                <w:sz w:val="14"/>
                <w:szCs w:val="14"/>
              </w:rPr>
              <w:t>288.007</w:t>
            </w:r>
          </w:p>
        </w:tc>
        <w:tc>
          <w:tcPr>
            <w:tcW w:w="412" w:type="pct"/>
            <w:tcBorders>
              <w:top w:val="nil"/>
              <w:left w:val="nil"/>
              <w:bottom w:val="nil"/>
              <w:right w:val="single" w:sz="4" w:space="0" w:color="auto"/>
            </w:tcBorders>
            <w:shd w:val="clear" w:color="000000" w:fill="FFFFFF"/>
            <w:noWrap/>
            <w:vAlign w:val="bottom"/>
            <w:hideMark/>
          </w:tcPr>
          <w:p w14:paraId="1C066C86" w14:textId="77777777" w:rsidR="00A74C68" w:rsidRPr="00A74C68" w:rsidRDefault="00A74C68" w:rsidP="00A74C68">
            <w:pPr>
              <w:jc w:val="right"/>
              <w:rPr>
                <w:color w:val="000000"/>
                <w:sz w:val="14"/>
                <w:szCs w:val="14"/>
              </w:rPr>
            </w:pPr>
            <w:r w:rsidRPr="00A74C68">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3D7E2041" w14:textId="77777777" w:rsidR="00A74C68" w:rsidRPr="00A74C68" w:rsidRDefault="00A74C68" w:rsidP="00A74C68">
            <w:pPr>
              <w:jc w:val="right"/>
              <w:rPr>
                <w:color w:val="000000"/>
                <w:sz w:val="14"/>
                <w:szCs w:val="14"/>
              </w:rPr>
            </w:pPr>
            <w:r w:rsidRPr="00A74C68">
              <w:rPr>
                <w:color w:val="000000"/>
                <w:sz w:val="14"/>
                <w:szCs w:val="14"/>
              </w:rPr>
              <w:t>288.007</w:t>
            </w:r>
          </w:p>
        </w:tc>
        <w:tc>
          <w:tcPr>
            <w:tcW w:w="412" w:type="pct"/>
            <w:tcBorders>
              <w:top w:val="nil"/>
              <w:left w:val="nil"/>
              <w:bottom w:val="nil"/>
              <w:right w:val="single" w:sz="4" w:space="0" w:color="auto"/>
            </w:tcBorders>
            <w:noWrap/>
            <w:vAlign w:val="bottom"/>
            <w:hideMark/>
          </w:tcPr>
          <w:p w14:paraId="2AA833B5"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11D47548"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1EA40C6C"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310EF925" w14:textId="77777777" w:rsidTr="00A74C68">
        <w:trPr>
          <w:divId w:val="153886216"/>
          <w:trHeight w:val="20"/>
        </w:trPr>
        <w:tc>
          <w:tcPr>
            <w:tcW w:w="257" w:type="pct"/>
            <w:tcBorders>
              <w:top w:val="nil"/>
              <w:left w:val="single" w:sz="4" w:space="0" w:color="auto"/>
              <w:bottom w:val="nil"/>
              <w:right w:val="nil"/>
            </w:tcBorders>
            <w:hideMark/>
          </w:tcPr>
          <w:p w14:paraId="5F0F2FF3" w14:textId="77777777" w:rsidR="00A74C68" w:rsidRPr="00A74C68" w:rsidRDefault="00A74C68" w:rsidP="00A74C68">
            <w:pPr>
              <w:rPr>
                <w:color w:val="000000"/>
                <w:sz w:val="14"/>
                <w:szCs w:val="14"/>
              </w:rPr>
            </w:pPr>
            <w:r w:rsidRPr="00A74C68">
              <w:rPr>
                <w:color w:val="000000"/>
                <w:sz w:val="14"/>
                <w:szCs w:val="14"/>
              </w:rPr>
              <w:t>2.1.9.</w:t>
            </w:r>
          </w:p>
        </w:tc>
        <w:tc>
          <w:tcPr>
            <w:tcW w:w="1793" w:type="pct"/>
            <w:tcBorders>
              <w:top w:val="nil"/>
              <w:left w:val="nil"/>
              <w:bottom w:val="nil"/>
              <w:right w:val="nil"/>
            </w:tcBorders>
            <w:hideMark/>
          </w:tcPr>
          <w:p w14:paraId="64AF6A12" w14:textId="77777777" w:rsidR="00A74C68" w:rsidRPr="00A74C68" w:rsidRDefault="00A74C68" w:rsidP="00A74C68">
            <w:pPr>
              <w:rPr>
                <w:color w:val="000000"/>
                <w:sz w:val="14"/>
                <w:szCs w:val="14"/>
              </w:rPr>
            </w:pPr>
            <w:r w:rsidRPr="00A74C68">
              <w:rPr>
                <w:color w:val="000000"/>
                <w:sz w:val="14"/>
                <w:szCs w:val="14"/>
              </w:rPr>
              <w:t>Kredi Kartları ve Bankacılık Hizmetlerine İlişkin Promosyon Uygulama Taahhütleri</w:t>
            </w:r>
          </w:p>
        </w:tc>
        <w:tc>
          <w:tcPr>
            <w:tcW w:w="329" w:type="pct"/>
            <w:tcBorders>
              <w:top w:val="nil"/>
              <w:left w:val="single" w:sz="4" w:space="0" w:color="auto"/>
              <w:bottom w:val="nil"/>
              <w:right w:val="single" w:sz="4" w:space="0" w:color="auto"/>
            </w:tcBorders>
            <w:vAlign w:val="bottom"/>
            <w:hideMark/>
          </w:tcPr>
          <w:p w14:paraId="38852ADA"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67C9BFC4"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41CEA27C" w14:textId="77777777" w:rsidR="00A74C68" w:rsidRPr="00A74C68" w:rsidRDefault="00A74C68" w:rsidP="00A74C68">
            <w:pPr>
              <w:jc w:val="right"/>
              <w:rPr>
                <w:color w:val="000000"/>
                <w:sz w:val="14"/>
                <w:szCs w:val="14"/>
              </w:rPr>
            </w:pPr>
            <w:r w:rsidRPr="00A74C68">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2F3C588C"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noWrap/>
            <w:vAlign w:val="bottom"/>
            <w:hideMark/>
          </w:tcPr>
          <w:p w14:paraId="391DC31C"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45D2D141"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43B27A69"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67257FE1" w14:textId="77777777" w:rsidTr="00A74C68">
        <w:trPr>
          <w:divId w:val="153886216"/>
          <w:trHeight w:val="20"/>
        </w:trPr>
        <w:tc>
          <w:tcPr>
            <w:tcW w:w="257" w:type="pct"/>
            <w:tcBorders>
              <w:top w:val="nil"/>
              <w:left w:val="single" w:sz="4" w:space="0" w:color="auto"/>
              <w:bottom w:val="nil"/>
              <w:right w:val="nil"/>
            </w:tcBorders>
            <w:hideMark/>
          </w:tcPr>
          <w:p w14:paraId="2678C29B" w14:textId="77777777" w:rsidR="00A74C68" w:rsidRPr="00A74C68" w:rsidRDefault="00A74C68" w:rsidP="00A74C68">
            <w:pPr>
              <w:rPr>
                <w:color w:val="000000"/>
                <w:sz w:val="14"/>
                <w:szCs w:val="14"/>
              </w:rPr>
            </w:pPr>
            <w:r w:rsidRPr="00A74C68">
              <w:rPr>
                <w:color w:val="000000"/>
                <w:sz w:val="14"/>
                <w:szCs w:val="14"/>
              </w:rPr>
              <w:t>2.1.10.</w:t>
            </w:r>
          </w:p>
        </w:tc>
        <w:tc>
          <w:tcPr>
            <w:tcW w:w="1793" w:type="pct"/>
            <w:tcBorders>
              <w:top w:val="nil"/>
              <w:left w:val="nil"/>
              <w:bottom w:val="nil"/>
              <w:right w:val="nil"/>
            </w:tcBorders>
            <w:hideMark/>
          </w:tcPr>
          <w:p w14:paraId="01CE76B3" w14:textId="77777777" w:rsidR="00A74C68" w:rsidRPr="00A74C68" w:rsidRDefault="00A74C68" w:rsidP="00A74C68">
            <w:pPr>
              <w:rPr>
                <w:color w:val="000000"/>
                <w:sz w:val="14"/>
                <w:szCs w:val="14"/>
              </w:rPr>
            </w:pPr>
            <w:r w:rsidRPr="00A74C68">
              <w:rPr>
                <w:color w:val="000000"/>
                <w:sz w:val="14"/>
                <w:szCs w:val="14"/>
              </w:rPr>
              <w:t>Açığa Menkul Kıymet Satış Taahhütlerinden Alacaklar</w:t>
            </w:r>
          </w:p>
        </w:tc>
        <w:tc>
          <w:tcPr>
            <w:tcW w:w="329" w:type="pct"/>
            <w:tcBorders>
              <w:top w:val="nil"/>
              <w:left w:val="single" w:sz="4" w:space="0" w:color="auto"/>
              <w:bottom w:val="nil"/>
              <w:right w:val="single" w:sz="4" w:space="0" w:color="auto"/>
            </w:tcBorders>
            <w:vAlign w:val="bottom"/>
            <w:hideMark/>
          </w:tcPr>
          <w:p w14:paraId="68AC61F4"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3836BEEF"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2747B9E2" w14:textId="77777777" w:rsidR="00A74C68" w:rsidRPr="00A74C68" w:rsidRDefault="00A74C68" w:rsidP="00A74C68">
            <w:pPr>
              <w:jc w:val="right"/>
              <w:rPr>
                <w:color w:val="000000"/>
                <w:sz w:val="14"/>
                <w:szCs w:val="14"/>
              </w:rPr>
            </w:pPr>
            <w:r w:rsidRPr="00A74C68">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05B2CB87"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noWrap/>
            <w:vAlign w:val="bottom"/>
            <w:hideMark/>
          </w:tcPr>
          <w:p w14:paraId="3736A4E7"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466107DC"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137769E0"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62DDDB0E" w14:textId="77777777" w:rsidTr="00A74C68">
        <w:trPr>
          <w:divId w:val="153886216"/>
          <w:trHeight w:val="20"/>
        </w:trPr>
        <w:tc>
          <w:tcPr>
            <w:tcW w:w="257" w:type="pct"/>
            <w:tcBorders>
              <w:top w:val="nil"/>
              <w:left w:val="single" w:sz="4" w:space="0" w:color="auto"/>
              <w:bottom w:val="nil"/>
              <w:right w:val="nil"/>
            </w:tcBorders>
            <w:hideMark/>
          </w:tcPr>
          <w:p w14:paraId="24A7BBD9" w14:textId="77777777" w:rsidR="00A74C68" w:rsidRPr="00A74C68" w:rsidRDefault="00A74C68" w:rsidP="00A74C68">
            <w:pPr>
              <w:rPr>
                <w:color w:val="000000"/>
                <w:sz w:val="14"/>
                <w:szCs w:val="14"/>
              </w:rPr>
            </w:pPr>
            <w:r w:rsidRPr="00A74C68">
              <w:rPr>
                <w:color w:val="000000"/>
                <w:sz w:val="14"/>
                <w:szCs w:val="14"/>
              </w:rPr>
              <w:t>2.1.11.</w:t>
            </w:r>
          </w:p>
        </w:tc>
        <w:tc>
          <w:tcPr>
            <w:tcW w:w="1793" w:type="pct"/>
            <w:tcBorders>
              <w:top w:val="nil"/>
              <w:left w:val="nil"/>
              <w:bottom w:val="nil"/>
              <w:right w:val="nil"/>
            </w:tcBorders>
            <w:hideMark/>
          </w:tcPr>
          <w:p w14:paraId="51DE36E4" w14:textId="77777777" w:rsidR="00A74C68" w:rsidRPr="00A74C68" w:rsidRDefault="00A74C68" w:rsidP="00A74C68">
            <w:pPr>
              <w:rPr>
                <w:color w:val="000000"/>
                <w:sz w:val="14"/>
                <w:szCs w:val="14"/>
              </w:rPr>
            </w:pPr>
            <w:r w:rsidRPr="00A74C68">
              <w:rPr>
                <w:color w:val="000000"/>
                <w:sz w:val="14"/>
                <w:szCs w:val="14"/>
              </w:rPr>
              <w:t>Açığa Menkul Kıymet Satış Taahhütlerinden Borçlar</w:t>
            </w:r>
          </w:p>
        </w:tc>
        <w:tc>
          <w:tcPr>
            <w:tcW w:w="329" w:type="pct"/>
            <w:tcBorders>
              <w:top w:val="nil"/>
              <w:left w:val="single" w:sz="4" w:space="0" w:color="auto"/>
              <w:bottom w:val="nil"/>
              <w:right w:val="single" w:sz="4" w:space="0" w:color="auto"/>
            </w:tcBorders>
            <w:vAlign w:val="bottom"/>
            <w:hideMark/>
          </w:tcPr>
          <w:p w14:paraId="54ECB878"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186DC629"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4657E252" w14:textId="77777777" w:rsidR="00A74C68" w:rsidRPr="00A74C68" w:rsidRDefault="00A74C68" w:rsidP="00A74C68">
            <w:pPr>
              <w:jc w:val="right"/>
              <w:rPr>
                <w:color w:val="000000"/>
                <w:sz w:val="14"/>
                <w:szCs w:val="14"/>
              </w:rPr>
            </w:pPr>
            <w:r w:rsidRPr="00A74C68">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34922BF2"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noWrap/>
            <w:vAlign w:val="bottom"/>
            <w:hideMark/>
          </w:tcPr>
          <w:p w14:paraId="66ACB9AE"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0B5C2F17"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6A8747E4"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0CE60EFD" w14:textId="77777777" w:rsidTr="00A74C68">
        <w:trPr>
          <w:divId w:val="153886216"/>
          <w:trHeight w:val="20"/>
        </w:trPr>
        <w:tc>
          <w:tcPr>
            <w:tcW w:w="257" w:type="pct"/>
            <w:tcBorders>
              <w:top w:val="nil"/>
              <w:left w:val="single" w:sz="4" w:space="0" w:color="auto"/>
              <w:bottom w:val="nil"/>
              <w:right w:val="nil"/>
            </w:tcBorders>
            <w:hideMark/>
          </w:tcPr>
          <w:p w14:paraId="74299122" w14:textId="77777777" w:rsidR="00A74C68" w:rsidRPr="00A74C68" w:rsidRDefault="00A74C68" w:rsidP="00A74C68">
            <w:pPr>
              <w:rPr>
                <w:color w:val="000000"/>
                <w:sz w:val="14"/>
                <w:szCs w:val="14"/>
              </w:rPr>
            </w:pPr>
            <w:r w:rsidRPr="00A74C68">
              <w:rPr>
                <w:color w:val="000000"/>
                <w:sz w:val="14"/>
                <w:szCs w:val="14"/>
              </w:rPr>
              <w:t>2.1.12.</w:t>
            </w:r>
          </w:p>
        </w:tc>
        <w:tc>
          <w:tcPr>
            <w:tcW w:w="1793" w:type="pct"/>
            <w:tcBorders>
              <w:top w:val="nil"/>
              <w:left w:val="nil"/>
              <w:bottom w:val="nil"/>
              <w:right w:val="nil"/>
            </w:tcBorders>
            <w:hideMark/>
          </w:tcPr>
          <w:p w14:paraId="79B1B883" w14:textId="77777777" w:rsidR="00A74C68" w:rsidRPr="00A74C68" w:rsidRDefault="00A74C68" w:rsidP="00A74C68">
            <w:pPr>
              <w:rPr>
                <w:color w:val="000000"/>
                <w:sz w:val="14"/>
                <w:szCs w:val="14"/>
              </w:rPr>
            </w:pPr>
            <w:r w:rsidRPr="00A74C68">
              <w:rPr>
                <w:color w:val="000000"/>
                <w:sz w:val="14"/>
                <w:szCs w:val="14"/>
              </w:rPr>
              <w:t>Diğer Cayılamaz Taahhütler</w:t>
            </w:r>
          </w:p>
        </w:tc>
        <w:tc>
          <w:tcPr>
            <w:tcW w:w="329" w:type="pct"/>
            <w:tcBorders>
              <w:top w:val="nil"/>
              <w:left w:val="single" w:sz="4" w:space="0" w:color="auto"/>
              <w:bottom w:val="nil"/>
              <w:right w:val="single" w:sz="4" w:space="0" w:color="auto"/>
            </w:tcBorders>
            <w:vAlign w:val="bottom"/>
            <w:hideMark/>
          </w:tcPr>
          <w:p w14:paraId="320080D6"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585B6656"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4571CDDB" w14:textId="77777777" w:rsidR="00A74C68" w:rsidRPr="00A74C68" w:rsidRDefault="00A74C68" w:rsidP="00A74C68">
            <w:pPr>
              <w:jc w:val="right"/>
              <w:rPr>
                <w:color w:val="000000"/>
                <w:sz w:val="14"/>
                <w:szCs w:val="14"/>
              </w:rPr>
            </w:pPr>
            <w:r w:rsidRPr="00A74C68">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39F31184"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noWrap/>
            <w:vAlign w:val="bottom"/>
            <w:hideMark/>
          </w:tcPr>
          <w:p w14:paraId="3CF3CF51"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70653283"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754FAE7E"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7B55EA3D" w14:textId="77777777" w:rsidTr="00A74C68">
        <w:trPr>
          <w:divId w:val="153886216"/>
          <w:trHeight w:val="20"/>
        </w:trPr>
        <w:tc>
          <w:tcPr>
            <w:tcW w:w="257" w:type="pct"/>
            <w:tcBorders>
              <w:top w:val="nil"/>
              <w:left w:val="single" w:sz="4" w:space="0" w:color="auto"/>
              <w:bottom w:val="nil"/>
              <w:right w:val="nil"/>
            </w:tcBorders>
            <w:hideMark/>
          </w:tcPr>
          <w:p w14:paraId="70D9B315" w14:textId="77777777" w:rsidR="00A74C68" w:rsidRPr="00A74C68" w:rsidRDefault="00A74C68" w:rsidP="00A74C68">
            <w:pPr>
              <w:rPr>
                <w:color w:val="000000"/>
                <w:sz w:val="14"/>
                <w:szCs w:val="14"/>
              </w:rPr>
            </w:pPr>
            <w:r w:rsidRPr="00A74C68">
              <w:rPr>
                <w:color w:val="000000"/>
                <w:sz w:val="14"/>
                <w:szCs w:val="14"/>
              </w:rPr>
              <w:t>2.2.</w:t>
            </w:r>
          </w:p>
        </w:tc>
        <w:tc>
          <w:tcPr>
            <w:tcW w:w="1793" w:type="pct"/>
            <w:tcBorders>
              <w:top w:val="nil"/>
              <w:left w:val="nil"/>
              <w:bottom w:val="nil"/>
              <w:right w:val="nil"/>
            </w:tcBorders>
            <w:hideMark/>
          </w:tcPr>
          <w:p w14:paraId="6AB82F27" w14:textId="77777777" w:rsidR="00A74C68" w:rsidRPr="00A74C68" w:rsidRDefault="00A74C68" w:rsidP="00A74C68">
            <w:pPr>
              <w:rPr>
                <w:color w:val="000000"/>
                <w:sz w:val="14"/>
                <w:szCs w:val="14"/>
              </w:rPr>
            </w:pPr>
            <w:r w:rsidRPr="00A74C68">
              <w:rPr>
                <w:color w:val="000000"/>
                <w:sz w:val="14"/>
                <w:szCs w:val="14"/>
              </w:rPr>
              <w:t>Cayılabilir Taahhütler</w:t>
            </w:r>
          </w:p>
        </w:tc>
        <w:tc>
          <w:tcPr>
            <w:tcW w:w="329" w:type="pct"/>
            <w:tcBorders>
              <w:top w:val="nil"/>
              <w:left w:val="single" w:sz="4" w:space="0" w:color="auto"/>
              <w:bottom w:val="nil"/>
              <w:right w:val="single" w:sz="4" w:space="0" w:color="auto"/>
            </w:tcBorders>
            <w:vAlign w:val="bottom"/>
            <w:hideMark/>
          </w:tcPr>
          <w:p w14:paraId="36F5D531"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10009378"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01260DD5" w14:textId="77777777" w:rsidR="00A74C68" w:rsidRPr="00A74C68" w:rsidRDefault="00A74C68" w:rsidP="00A74C68">
            <w:pPr>
              <w:jc w:val="right"/>
              <w:rPr>
                <w:color w:val="000000"/>
                <w:sz w:val="14"/>
                <w:szCs w:val="14"/>
              </w:rPr>
            </w:pPr>
            <w:r w:rsidRPr="00A74C68">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2BED5070"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noWrap/>
            <w:vAlign w:val="bottom"/>
            <w:hideMark/>
          </w:tcPr>
          <w:p w14:paraId="4A33AB09"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3B354F26"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072A42EB"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0EA7CAAA" w14:textId="77777777" w:rsidTr="00A74C68">
        <w:trPr>
          <w:divId w:val="153886216"/>
          <w:trHeight w:val="20"/>
        </w:trPr>
        <w:tc>
          <w:tcPr>
            <w:tcW w:w="257" w:type="pct"/>
            <w:tcBorders>
              <w:top w:val="nil"/>
              <w:left w:val="single" w:sz="4" w:space="0" w:color="auto"/>
              <w:bottom w:val="nil"/>
              <w:right w:val="nil"/>
            </w:tcBorders>
            <w:hideMark/>
          </w:tcPr>
          <w:p w14:paraId="2A082132" w14:textId="77777777" w:rsidR="00A74C68" w:rsidRPr="00A74C68" w:rsidRDefault="00A74C68" w:rsidP="00A74C68">
            <w:pPr>
              <w:rPr>
                <w:color w:val="000000"/>
                <w:sz w:val="14"/>
                <w:szCs w:val="14"/>
              </w:rPr>
            </w:pPr>
            <w:r w:rsidRPr="00A74C68">
              <w:rPr>
                <w:color w:val="000000"/>
                <w:sz w:val="14"/>
                <w:szCs w:val="14"/>
              </w:rPr>
              <w:t>2.2.1.</w:t>
            </w:r>
          </w:p>
        </w:tc>
        <w:tc>
          <w:tcPr>
            <w:tcW w:w="1793" w:type="pct"/>
            <w:tcBorders>
              <w:top w:val="nil"/>
              <w:left w:val="nil"/>
              <w:bottom w:val="nil"/>
              <w:right w:val="nil"/>
            </w:tcBorders>
            <w:hideMark/>
          </w:tcPr>
          <w:p w14:paraId="14EE3889" w14:textId="77777777" w:rsidR="00A74C68" w:rsidRPr="00A74C68" w:rsidRDefault="00A74C68" w:rsidP="00A74C68">
            <w:pPr>
              <w:rPr>
                <w:color w:val="000000"/>
                <w:sz w:val="14"/>
                <w:szCs w:val="14"/>
              </w:rPr>
            </w:pPr>
            <w:r w:rsidRPr="00A74C68">
              <w:rPr>
                <w:color w:val="000000"/>
                <w:sz w:val="14"/>
                <w:szCs w:val="14"/>
              </w:rPr>
              <w:t>Cayılabilir Kredi Tahsis Taahhütleri</w:t>
            </w:r>
          </w:p>
        </w:tc>
        <w:tc>
          <w:tcPr>
            <w:tcW w:w="329" w:type="pct"/>
            <w:tcBorders>
              <w:top w:val="nil"/>
              <w:left w:val="single" w:sz="4" w:space="0" w:color="auto"/>
              <w:bottom w:val="nil"/>
              <w:right w:val="single" w:sz="4" w:space="0" w:color="auto"/>
            </w:tcBorders>
            <w:vAlign w:val="bottom"/>
            <w:hideMark/>
          </w:tcPr>
          <w:p w14:paraId="11FB8A2F"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79F0D934"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27C99F92" w14:textId="77777777" w:rsidR="00A74C68" w:rsidRPr="00A74C68" w:rsidRDefault="00A74C68" w:rsidP="00A74C68">
            <w:pPr>
              <w:jc w:val="right"/>
              <w:rPr>
                <w:color w:val="000000"/>
                <w:sz w:val="14"/>
                <w:szCs w:val="14"/>
              </w:rPr>
            </w:pPr>
            <w:r w:rsidRPr="00A74C68">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7CFB6B4B"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noWrap/>
            <w:vAlign w:val="bottom"/>
            <w:hideMark/>
          </w:tcPr>
          <w:p w14:paraId="5450127B"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1EE1EACD"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5BF98673"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1ACF0F18" w14:textId="77777777" w:rsidTr="00A74C68">
        <w:trPr>
          <w:divId w:val="153886216"/>
          <w:trHeight w:val="20"/>
        </w:trPr>
        <w:tc>
          <w:tcPr>
            <w:tcW w:w="257" w:type="pct"/>
            <w:tcBorders>
              <w:top w:val="nil"/>
              <w:left w:val="single" w:sz="4" w:space="0" w:color="auto"/>
              <w:bottom w:val="nil"/>
              <w:right w:val="nil"/>
            </w:tcBorders>
            <w:hideMark/>
          </w:tcPr>
          <w:p w14:paraId="561689EA" w14:textId="77777777" w:rsidR="00A74C68" w:rsidRPr="00A74C68" w:rsidRDefault="00A74C68" w:rsidP="00A74C68">
            <w:pPr>
              <w:rPr>
                <w:color w:val="000000"/>
                <w:sz w:val="14"/>
                <w:szCs w:val="14"/>
              </w:rPr>
            </w:pPr>
            <w:r w:rsidRPr="00A74C68">
              <w:rPr>
                <w:color w:val="000000"/>
                <w:sz w:val="14"/>
                <w:szCs w:val="14"/>
              </w:rPr>
              <w:t>2.2.2.</w:t>
            </w:r>
          </w:p>
        </w:tc>
        <w:tc>
          <w:tcPr>
            <w:tcW w:w="1793" w:type="pct"/>
            <w:tcBorders>
              <w:top w:val="nil"/>
              <w:left w:val="nil"/>
              <w:bottom w:val="nil"/>
              <w:right w:val="nil"/>
            </w:tcBorders>
            <w:hideMark/>
          </w:tcPr>
          <w:p w14:paraId="39B5ABA7" w14:textId="77777777" w:rsidR="00A74C68" w:rsidRPr="00A74C68" w:rsidRDefault="00A74C68" w:rsidP="00A74C68">
            <w:pPr>
              <w:rPr>
                <w:color w:val="000000"/>
                <w:sz w:val="14"/>
                <w:szCs w:val="14"/>
              </w:rPr>
            </w:pPr>
            <w:r w:rsidRPr="00A74C68">
              <w:rPr>
                <w:color w:val="000000"/>
                <w:sz w:val="14"/>
                <w:szCs w:val="14"/>
              </w:rPr>
              <w:t>Diğer Cayılabilir Taahhütler</w:t>
            </w:r>
          </w:p>
        </w:tc>
        <w:tc>
          <w:tcPr>
            <w:tcW w:w="329" w:type="pct"/>
            <w:tcBorders>
              <w:top w:val="nil"/>
              <w:left w:val="single" w:sz="4" w:space="0" w:color="auto"/>
              <w:bottom w:val="nil"/>
              <w:right w:val="single" w:sz="4" w:space="0" w:color="auto"/>
            </w:tcBorders>
            <w:vAlign w:val="bottom"/>
            <w:hideMark/>
          </w:tcPr>
          <w:p w14:paraId="0986F0C0"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18CEA961"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4B44A77C" w14:textId="77777777" w:rsidR="00A74C68" w:rsidRPr="00A74C68" w:rsidRDefault="00A74C68" w:rsidP="00A74C68">
            <w:pPr>
              <w:jc w:val="right"/>
              <w:rPr>
                <w:color w:val="000000"/>
                <w:sz w:val="14"/>
                <w:szCs w:val="14"/>
              </w:rPr>
            </w:pPr>
            <w:r w:rsidRPr="00A74C68">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23DA1132"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noWrap/>
            <w:vAlign w:val="bottom"/>
            <w:hideMark/>
          </w:tcPr>
          <w:p w14:paraId="7FD27A23"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48A47BCA"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692DBD96"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4C635883" w14:textId="77777777" w:rsidTr="00A74C68">
        <w:trPr>
          <w:divId w:val="153886216"/>
          <w:trHeight w:val="20"/>
        </w:trPr>
        <w:tc>
          <w:tcPr>
            <w:tcW w:w="257" w:type="pct"/>
            <w:tcBorders>
              <w:top w:val="nil"/>
              <w:left w:val="single" w:sz="4" w:space="0" w:color="auto"/>
              <w:bottom w:val="nil"/>
              <w:right w:val="nil"/>
            </w:tcBorders>
            <w:hideMark/>
          </w:tcPr>
          <w:p w14:paraId="1482B8E7" w14:textId="77777777" w:rsidR="00A74C68" w:rsidRPr="00A74C68" w:rsidRDefault="00A74C68" w:rsidP="00A74C68">
            <w:pPr>
              <w:rPr>
                <w:b/>
                <w:bCs/>
                <w:color w:val="000000"/>
                <w:sz w:val="14"/>
                <w:szCs w:val="14"/>
              </w:rPr>
            </w:pPr>
            <w:r w:rsidRPr="00A74C68">
              <w:rPr>
                <w:b/>
                <w:bCs/>
                <w:color w:val="000000"/>
                <w:sz w:val="14"/>
                <w:szCs w:val="14"/>
              </w:rPr>
              <w:t>III.</w:t>
            </w:r>
          </w:p>
        </w:tc>
        <w:tc>
          <w:tcPr>
            <w:tcW w:w="1793" w:type="pct"/>
            <w:tcBorders>
              <w:top w:val="nil"/>
              <w:left w:val="nil"/>
              <w:bottom w:val="nil"/>
              <w:right w:val="nil"/>
            </w:tcBorders>
            <w:hideMark/>
          </w:tcPr>
          <w:p w14:paraId="75FC3DB2" w14:textId="77777777" w:rsidR="00A74C68" w:rsidRPr="00A74C68" w:rsidRDefault="00A74C68" w:rsidP="00A74C68">
            <w:pPr>
              <w:rPr>
                <w:b/>
                <w:bCs/>
                <w:color w:val="000000"/>
                <w:sz w:val="14"/>
                <w:szCs w:val="14"/>
              </w:rPr>
            </w:pPr>
            <w:r w:rsidRPr="00A74C68">
              <w:rPr>
                <w:b/>
                <w:bCs/>
                <w:color w:val="000000"/>
                <w:sz w:val="14"/>
                <w:szCs w:val="14"/>
              </w:rPr>
              <w:t>TÜREV FİNANSAL ARAÇLAR</w:t>
            </w:r>
          </w:p>
        </w:tc>
        <w:tc>
          <w:tcPr>
            <w:tcW w:w="329" w:type="pct"/>
            <w:tcBorders>
              <w:top w:val="nil"/>
              <w:left w:val="single" w:sz="4" w:space="0" w:color="auto"/>
              <w:bottom w:val="nil"/>
              <w:right w:val="single" w:sz="4" w:space="0" w:color="auto"/>
            </w:tcBorders>
            <w:vAlign w:val="bottom"/>
            <w:hideMark/>
          </w:tcPr>
          <w:p w14:paraId="68D7D650" w14:textId="77777777" w:rsidR="00A74C68" w:rsidRPr="00A74C68" w:rsidRDefault="00A74C68" w:rsidP="00A74C68">
            <w:pPr>
              <w:jc w:val="center"/>
              <w:rPr>
                <w:b/>
                <w:bCs/>
                <w:color w:val="000000"/>
                <w:sz w:val="14"/>
                <w:szCs w:val="14"/>
                <w:lang w:eastAsia="tr-TR"/>
              </w:rPr>
            </w:pPr>
            <w:r w:rsidRPr="00A74C68">
              <w:rPr>
                <w:b/>
                <w:bCs/>
                <w:color w:val="000000"/>
                <w:sz w:val="14"/>
                <w:szCs w:val="14"/>
              </w:rPr>
              <w:t>(</w:t>
            </w:r>
            <w:r w:rsidRPr="00A74C68">
              <w:rPr>
                <w:b/>
                <w:bCs/>
                <w:color w:val="000000"/>
                <w:sz w:val="14"/>
                <w:szCs w:val="14"/>
                <w:lang w:eastAsia="tr-TR"/>
              </w:rPr>
              <w:t>2)</w:t>
            </w:r>
          </w:p>
        </w:tc>
        <w:tc>
          <w:tcPr>
            <w:tcW w:w="463" w:type="pct"/>
            <w:tcBorders>
              <w:top w:val="nil"/>
              <w:left w:val="nil"/>
              <w:bottom w:val="nil"/>
              <w:right w:val="single" w:sz="4" w:space="0" w:color="auto"/>
            </w:tcBorders>
            <w:shd w:val="clear" w:color="000000" w:fill="FFFFFF"/>
            <w:noWrap/>
            <w:vAlign w:val="bottom"/>
            <w:hideMark/>
          </w:tcPr>
          <w:p w14:paraId="3B45B69F" w14:textId="77777777" w:rsidR="00A74C68" w:rsidRPr="00A74C68" w:rsidRDefault="00A74C68" w:rsidP="00A74C68">
            <w:pPr>
              <w:jc w:val="right"/>
              <w:rPr>
                <w:b/>
                <w:bCs/>
                <w:color w:val="000000"/>
                <w:sz w:val="14"/>
                <w:szCs w:val="14"/>
              </w:rPr>
            </w:pPr>
            <w:r w:rsidRPr="00A74C68">
              <w:rPr>
                <w:b/>
                <w:bCs/>
                <w:color w:val="000000"/>
                <w:sz w:val="14"/>
                <w:szCs w:val="14"/>
              </w:rPr>
              <w:t>19.181.471</w:t>
            </w:r>
          </w:p>
        </w:tc>
        <w:tc>
          <w:tcPr>
            <w:tcW w:w="412" w:type="pct"/>
            <w:tcBorders>
              <w:top w:val="nil"/>
              <w:left w:val="nil"/>
              <w:bottom w:val="nil"/>
              <w:right w:val="single" w:sz="4" w:space="0" w:color="auto"/>
            </w:tcBorders>
            <w:shd w:val="clear" w:color="000000" w:fill="FFFFFF"/>
            <w:noWrap/>
            <w:vAlign w:val="bottom"/>
            <w:hideMark/>
          </w:tcPr>
          <w:p w14:paraId="7C7BB964" w14:textId="77777777" w:rsidR="00A74C68" w:rsidRPr="00A74C68" w:rsidRDefault="00A74C68" w:rsidP="00A74C68">
            <w:pPr>
              <w:jc w:val="right"/>
              <w:rPr>
                <w:b/>
                <w:bCs/>
                <w:color w:val="000000"/>
                <w:sz w:val="14"/>
                <w:szCs w:val="14"/>
              </w:rPr>
            </w:pPr>
            <w:r w:rsidRPr="00A74C68">
              <w:rPr>
                <w:b/>
                <w:bCs/>
                <w:color w:val="000000"/>
                <w:sz w:val="14"/>
                <w:szCs w:val="14"/>
              </w:rPr>
              <w:t>255.061.319</w:t>
            </w:r>
          </w:p>
        </w:tc>
        <w:tc>
          <w:tcPr>
            <w:tcW w:w="463" w:type="pct"/>
            <w:tcBorders>
              <w:top w:val="nil"/>
              <w:left w:val="nil"/>
              <w:bottom w:val="nil"/>
              <w:right w:val="single" w:sz="4" w:space="0" w:color="auto"/>
            </w:tcBorders>
            <w:shd w:val="clear" w:color="000000" w:fill="FFFFFF"/>
            <w:noWrap/>
            <w:vAlign w:val="bottom"/>
            <w:hideMark/>
          </w:tcPr>
          <w:p w14:paraId="3184240B" w14:textId="77777777" w:rsidR="00A74C68" w:rsidRPr="00A74C68" w:rsidRDefault="00A74C68" w:rsidP="00A74C68">
            <w:pPr>
              <w:jc w:val="right"/>
              <w:rPr>
                <w:b/>
                <w:bCs/>
                <w:color w:val="000000"/>
                <w:sz w:val="14"/>
                <w:szCs w:val="14"/>
              </w:rPr>
            </w:pPr>
            <w:r w:rsidRPr="00A74C68">
              <w:rPr>
                <w:b/>
                <w:bCs/>
                <w:color w:val="000000"/>
                <w:sz w:val="14"/>
                <w:szCs w:val="14"/>
              </w:rPr>
              <w:t>274.242.790</w:t>
            </w:r>
          </w:p>
        </w:tc>
        <w:tc>
          <w:tcPr>
            <w:tcW w:w="412" w:type="pct"/>
            <w:tcBorders>
              <w:top w:val="nil"/>
              <w:left w:val="nil"/>
              <w:bottom w:val="nil"/>
              <w:right w:val="single" w:sz="4" w:space="0" w:color="auto"/>
            </w:tcBorders>
            <w:noWrap/>
            <w:vAlign w:val="bottom"/>
            <w:hideMark/>
          </w:tcPr>
          <w:p w14:paraId="3567976F"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2.839.978</w:t>
            </w:r>
          </w:p>
        </w:tc>
        <w:tc>
          <w:tcPr>
            <w:tcW w:w="412" w:type="pct"/>
            <w:tcBorders>
              <w:top w:val="nil"/>
              <w:left w:val="nil"/>
              <w:bottom w:val="nil"/>
              <w:right w:val="single" w:sz="4" w:space="0" w:color="auto"/>
            </w:tcBorders>
            <w:noWrap/>
            <w:vAlign w:val="bottom"/>
            <w:hideMark/>
          </w:tcPr>
          <w:p w14:paraId="62294434"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12.528.099</w:t>
            </w:r>
          </w:p>
        </w:tc>
        <w:tc>
          <w:tcPr>
            <w:tcW w:w="458" w:type="pct"/>
            <w:tcBorders>
              <w:top w:val="nil"/>
              <w:left w:val="nil"/>
              <w:bottom w:val="nil"/>
              <w:right w:val="single" w:sz="4" w:space="0" w:color="auto"/>
            </w:tcBorders>
            <w:noWrap/>
            <w:vAlign w:val="bottom"/>
            <w:hideMark/>
          </w:tcPr>
          <w:p w14:paraId="642A78A6"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15.368.077</w:t>
            </w:r>
          </w:p>
        </w:tc>
      </w:tr>
      <w:tr w:rsidR="00A74C68" w:rsidRPr="00A74C68" w14:paraId="3BFE7FE7" w14:textId="77777777" w:rsidTr="00A74C68">
        <w:trPr>
          <w:divId w:val="153886216"/>
          <w:trHeight w:val="20"/>
        </w:trPr>
        <w:tc>
          <w:tcPr>
            <w:tcW w:w="257" w:type="pct"/>
            <w:tcBorders>
              <w:top w:val="nil"/>
              <w:left w:val="single" w:sz="4" w:space="0" w:color="auto"/>
              <w:bottom w:val="nil"/>
              <w:right w:val="nil"/>
            </w:tcBorders>
            <w:hideMark/>
          </w:tcPr>
          <w:p w14:paraId="1A477C20" w14:textId="77777777" w:rsidR="00A74C68" w:rsidRPr="00A74C68" w:rsidRDefault="00A74C68" w:rsidP="00A74C68">
            <w:pPr>
              <w:rPr>
                <w:color w:val="000000"/>
                <w:sz w:val="14"/>
                <w:szCs w:val="14"/>
              </w:rPr>
            </w:pPr>
            <w:r w:rsidRPr="00A74C68">
              <w:rPr>
                <w:color w:val="000000"/>
                <w:sz w:val="14"/>
                <w:szCs w:val="14"/>
              </w:rPr>
              <w:t>3.1.</w:t>
            </w:r>
          </w:p>
        </w:tc>
        <w:tc>
          <w:tcPr>
            <w:tcW w:w="1793" w:type="pct"/>
            <w:tcBorders>
              <w:top w:val="nil"/>
              <w:left w:val="nil"/>
              <w:bottom w:val="nil"/>
              <w:right w:val="nil"/>
            </w:tcBorders>
            <w:hideMark/>
          </w:tcPr>
          <w:p w14:paraId="437185A2" w14:textId="77777777" w:rsidR="00A74C68" w:rsidRPr="00A74C68" w:rsidRDefault="00A74C68" w:rsidP="00A74C68">
            <w:pPr>
              <w:rPr>
                <w:color w:val="000000"/>
                <w:sz w:val="14"/>
                <w:szCs w:val="14"/>
              </w:rPr>
            </w:pPr>
            <w:r w:rsidRPr="00A74C68">
              <w:rPr>
                <w:color w:val="000000"/>
                <w:sz w:val="14"/>
                <w:szCs w:val="14"/>
              </w:rPr>
              <w:t>Riskten Korunma Amaçlı Türev Finansal Araçlar</w:t>
            </w:r>
          </w:p>
        </w:tc>
        <w:tc>
          <w:tcPr>
            <w:tcW w:w="329" w:type="pct"/>
            <w:tcBorders>
              <w:top w:val="nil"/>
              <w:left w:val="single" w:sz="4" w:space="0" w:color="auto"/>
              <w:bottom w:val="nil"/>
              <w:right w:val="single" w:sz="4" w:space="0" w:color="auto"/>
            </w:tcBorders>
            <w:vAlign w:val="bottom"/>
            <w:hideMark/>
          </w:tcPr>
          <w:p w14:paraId="75205F8E"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75FEC444"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49BC644E" w14:textId="77777777" w:rsidR="00A74C68" w:rsidRPr="00A74C68" w:rsidRDefault="00A74C68" w:rsidP="00A74C68">
            <w:pPr>
              <w:jc w:val="right"/>
              <w:rPr>
                <w:color w:val="000000"/>
                <w:sz w:val="14"/>
                <w:szCs w:val="14"/>
              </w:rPr>
            </w:pPr>
            <w:r w:rsidRPr="00A74C68">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5B60EB10"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noWrap/>
            <w:vAlign w:val="bottom"/>
            <w:hideMark/>
          </w:tcPr>
          <w:p w14:paraId="30269FC7"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54CC5C66"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3F019D5B"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040BFA97" w14:textId="77777777" w:rsidTr="00A74C68">
        <w:trPr>
          <w:divId w:val="153886216"/>
          <w:trHeight w:val="20"/>
        </w:trPr>
        <w:tc>
          <w:tcPr>
            <w:tcW w:w="257" w:type="pct"/>
            <w:tcBorders>
              <w:top w:val="nil"/>
              <w:left w:val="single" w:sz="4" w:space="0" w:color="auto"/>
              <w:bottom w:val="nil"/>
              <w:right w:val="nil"/>
            </w:tcBorders>
            <w:hideMark/>
          </w:tcPr>
          <w:p w14:paraId="2D7DA493" w14:textId="77777777" w:rsidR="00A74C68" w:rsidRPr="00A74C68" w:rsidRDefault="00A74C68" w:rsidP="00A74C68">
            <w:pPr>
              <w:rPr>
                <w:color w:val="000000"/>
                <w:sz w:val="14"/>
                <w:szCs w:val="14"/>
              </w:rPr>
            </w:pPr>
            <w:r w:rsidRPr="00A74C68">
              <w:rPr>
                <w:color w:val="000000"/>
                <w:sz w:val="14"/>
                <w:szCs w:val="14"/>
              </w:rPr>
              <w:t>3.1.1.</w:t>
            </w:r>
          </w:p>
        </w:tc>
        <w:tc>
          <w:tcPr>
            <w:tcW w:w="1793" w:type="pct"/>
            <w:tcBorders>
              <w:top w:val="nil"/>
              <w:left w:val="nil"/>
              <w:bottom w:val="nil"/>
              <w:right w:val="nil"/>
            </w:tcBorders>
            <w:hideMark/>
          </w:tcPr>
          <w:p w14:paraId="481F6535" w14:textId="77777777" w:rsidR="00A74C68" w:rsidRPr="00A74C68" w:rsidRDefault="00A74C68" w:rsidP="00A74C68">
            <w:pPr>
              <w:rPr>
                <w:color w:val="000000"/>
                <w:sz w:val="14"/>
                <w:szCs w:val="14"/>
              </w:rPr>
            </w:pPr>
            <w:r w:rsidRPr="00A74C68">
              <w:rPr>
                <w:color w:val="000000"/>
                <w:sz w:val="14"/>
                <w:szCs w:val="14"/>
              </w:rPr>
              <w:t>Gerçeğe Uygun Değer Riskinden Korunma Amaçlı İşlemler</w:t>
            </w:r>
          </w:p>
        </w:tc>
        <w:tc>
          <w:tcPr>
            <w:tcW w:w="329" w:type="pct"/>
            <w:tcBorders>
              <w:top w:val="nil"/>
              <w:left w:val="single" w:sz="4" w:space="0" w:color="auto"/>
              <w:bottom w:val="nil"/>
              <w:right w:val="single" w:sz="4" w:space="0" w:color="auto"/>
            </w:tcBorders>
            <w:vAlign w:val="bottom"/>
            <w:hideMark/>
          </w:tcPr>
          <w:p w14:paraId="777A78DE"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307BDBF4"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1AB1EA7F" w14:textId="77777777" w:rsidR="00A74C68" w:rsidRPr="00A74C68" w:rsidRDefault="00A74C68" w:rsidP="00A74C68">
            <w:pPr>
              <w:jc w:val="right"/>
              <w:rPr>
                <w:color w:val="000000"/>
                <w:sz w:val="14"/>
                <w:szCs w:val="14"/>
              </w:rPr>
            </w:pPr>
            <w:r w:rsidRPr="00A74C68">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367DCF39"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noWrap/>
            <w:vAlign w:val="bottom"/>
            <w:hideMark/>
          </w:tcPr>
          <w:p w14:paraId="13838352"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37518A73"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4E393751"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3698F7BB" w14:textId="77777777" w:rsidTr="00A74C68">
        <w:trPr>
          <w:divId w:val="153886216"/>
          <w:trHeight w:val="20"/>
        </w:trPr>
        <w:tc>
          <w:tcPr>
            <w:tcW w:w="257" w:type="pct"/>
            <w:tcBorders>
              <w:top w:val="nil"/>
              <w:left w:val="single" w:sz="4" w:space="0" w:color="auto"/>
              <w:bottom w:val="nil"/>
              <w:right w:val="nil"/>
            </w:tcBorders>
            <w:hideMark/>
          </w:tcPr>
          <w:p w14:paraId="5A99365D" w14:textId="77777777" w:rsidR="00A74C68" w:rsidRPr="00A74C68" w:rsidRDefault="00A74C68" w:rsidP="00A74C68">
            <w:pPr>
              <w:rPr>
                <w:color w:val="000000"/>
                <w:sz w:val="14"/>
                <w:szCs w:val="14"/>
              </w:rPr>
            </w:pPr>
            <w:r w:rsidRPr="00A74C68">
              <w:rPr>
                <w:color w:val="000000"/>
                <w:sz w:val="14"/>
                <w:szCs w:val="14"/>
              </w:rPr>
              <w:t>3.1.2.</w:t>
            </w:r>
          </w:p>
        </w:tc>
        <w:tc>
          <w:tcPr>
            <w:tcW w:w="1793" w:type="pct"/>
            <w:tcBorders>
              <w:top w:val="nil"/>
              <w:left w:val="nil"/>
              <w:bottom w:val="nil"/>
              <w:right w:val="nil"/>
            </w:tcBorders>
            <w:hideMark/>
          </w:tcPr>
          <w:p w14:paraId="42C780E0" w14:textId="77777777" w:rsidR="00A74C68" w:rsidRPr="00A74C68" w:rsidRDefault="00A74C68" w:rsidP="00A74C68">
            <w:pPr>
              <w:rPr>
                <w:color w:val="000000"/>
                <w:sz w:val="14"/>
                <w:szCs w:val="14"/>
              </w:rPr>
            </w:pPr>
            <w:r w:rsidRPr="00A74C68">
              <w:rPr>
                <w:color w:val="000000"/>
                <w:sz w:val="14"/>
                <w:szCs w:val="14"/>
              </w:rPr>
              <w:t>Nakit Akış Riskinden Korunma Amaçlı İşlemler</w:t>
            </w:r>
          </w:p>
        </w:tc>
        <w:tc>
          <w:tcPr>
            <w:tcW w:w="329" w:type="pct"/>
            <w:tcBorders>
              <w:top w:val="nil"/>
              <w:left w:val="single" w:sz="4" w:space="0" w:color="auto"/>
              <w:bottom w:val="nil"/>
              <w:right w:val="single" w:sz="4" w:space="0" w:color="auto"/>
            </w:tcBorders>
            <w:vAlign w:val="bottom"/>
            <w:hideMark/>
          </w:tcPr>
          <w:p w14:paraId="7AA7EB36"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16F76EA8"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2D5CD635" w14:textId="77777777" w:rsidR="00A74C68" w:rsidRPr="00A74C68" w:rsidRDefault="00A74C68" w:rsidP="00A74C68">
            <w:pPr>
              <w:jc w:val="right"/>
              <w:rPr>
                <w:color w:val="000000"/>
                <w:sz w:val="14"/>
                <w:szCs w:val="14"/>
              </w:rPr>
            </w:pPr>
            <w:r w:rsidRPr="00A74C68">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5D928B6A"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noWrap/>
            <w:vAlign w:val="bottom"/>
            <w:hideMark/>
          </w:tcPr>
          <w:p w14:paraId="59FB4B61"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1887BB55"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2A2A5F5B"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2C9F83E0" w14:textId="77777777" w:rsidTr="00A74C68">
        <w:trPr>
          <w:divId w:val="153886216"/>
          <w:trHeight w:val="20"/>
        </w:trPr>
        <w:tc>
          <w:tcPr>
            <w:tcW w:w="257" w:type="pct"/>
            <w:tcBorders>
              <w:top w:val="nil"/>
              <w:left w:val="single" w:sz="4" w:space="0" w:color="auto"/>
              <w:bottom w:val="nil"/>
              <w:right w:val="nil"/>
            </w:tcBorders>
            <w:hideMark/>
          </w:tcPr>
          <w:p w14:paraId="25649A53" w14:textId="77777777" w:rsidR="00A74C68" w:rsidRPr="00A74C68" w:rsidRDefault="00A74C68" w:rsidP="00A74C68">
            <w:pPr>
              <w:rPr>
                <w:color w:val="000000"/>
                <w:sz w:val="14"/>
                <w:szCs w:val="14"/>
              </w:rPr>
            </w:pPr>
            <w:r w:rsidRPr="00A74C68">
              <w:rPr>
                <w:color w:val="000000"/>
                <w:sz w:val="14"/>
                <w:szCs w:val="14"/>
              </w:rPr>
              <w:t>3.1.3.</w:t>
            </w:r>
          </w:p>
        </w:tc>
        <w:tc>
          <w:tcPr>
            <w:tcW w:w="1793" w:type="pct"/>
            <w:tcBorders>
              <w:top w:val="nil"/>
              <w:left w:val="nil"/>
              <w:bottom w:val="nil"/>
              <w:right w:val="nil"/>
            </w:tcBorders>
            <w:hideMark/>
          </w:tcPr>
          <w:p w14:paraId="1F813061" w14:textId="77777777" w:rsidR="00A74C68" w:rsidRPr="00A74C68" w:rsidRDefault="00A74C68" w:rsidP="00A74C68">
            <w:pPr>
              <w:rPr>
                <w:color w:val="000000"/>
                <w:sz w:val="14"/>
                <w:szCs w:val="14"/>
              </w:rPr>
            </w:pPr>
            <w:r w:rsidRPr="00A74C68">
              <w:rPr>
                <w:color w:val="000000"/>
                <w:sz w:val="14"/>
                <w:szCs w:val="14"/>
              </w:rPr>
              <w:t>Yurtdışındaki Net Yatırım Riskinden Korunma Amaçlı İşlemler</w:t>
            </w:r>
          </w:p>
        </w:tc>
        <w:tc>
          <w:tcPr>
            <w:tcW w:w="329" w:type="pct"/>
            <w:tcBorders>
              <w:top w:val="nil"/>
              <w:left w:val="single" w:sz="4" w:space="0" w:color="auto"/>
              <w:bottom w:val="nil"/>
              <w:right w:val="single" w:sz="4" w:space="0" w:color="auto"/>
            </w:tcBorders>
            <w:vAlign w:val="bottom"/>
            <w:hideMark/>
          </w:tcPr>
          <w:p w14:paraId="3A29C4FE"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6F771040"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45B74822" w14:textId="77777777" w:rsidR="00A74C68" w:rsidRPr="00A74C68" w:rsidRDefault="00A74C68" w:rsidP="00A74C68">
            <w:pPr>
              <w:jc w:val="right"/>
              <w:rPr>
                <w:color w:val="000000"/>
                <w:sz w:val="14"/>
                <w:szCs w:val="14"/>
              </w:rPr>
            </w:pPr>
            <w:r w:rsidRPr="00A74C68">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235714F3"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noWrap/>
            <w:vAlign w:val="bottom"/>
            <w:hideMark/>
          </w:tcPr>
          <w:p w14:paraId="5ECB6486"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3BDC5600"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0EDC185E"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4C34304F" w14:textId="77777777" w:rsidTr="00A74C68">
        <w:trPr>
          <w:divId w:val="153886216"/>
          <w:trHeight w:val="20"/>
        </w:trPr>
        <w:tc>
          <w:tcPr>
            <w:tcW w:w="257" w:type="pct"/>
            <w:tcBorders>
              <w:top w:val="nil"/>
              <w:left w:val="single" w:sz="4" w:space="0" w:color="auto"/>
              <w:bottom w:val="nil"/>
              <w:right w:val="nil"/>
            </w:tcBorders>
            <w:hideMark/>
          </w:tcPr>
          <w:p w14:paraId="7E92E4EA" w14:textId="77777777" w:rsidR="00A74C68" w:rsidRPr="00A74C68" w:rsidRDefault="00A74C68" w:rsidP="00A74C68">
            <w:pPr>
              <w:rPr>
                <w:color w:val="000000"/>
                <w:sz w:val="14"/>
                <w:szCs w:val="14"/>
              </w:rPr>
            </w:pPr>
            <w:r w:rsidRPr="00A74C68">
              <w:rPr>
                <w:color w:val="000000"/>
                <w:sz w:val="14"/>
                <w:szCs w:val="14"/>
              </w:rPr>
              <w:t>3.2.</w:t>
            </w:r>
          </w:p>
        </w:tc>
        <w:tc>
          <w:tcPr>
            <w:tcW w:w="1793" w:type="pct"/>
            <w:tcBorders>
              <w:top w:val="nil"/>
              <w:left w:val="nil"/>
              <w:bottom w:val="nil"/>
              <w:right w:val="nil"/>
            </w:tcBorders>
            <w:hideMark/>
          </w:tcPr>
          <w:p w14:paraId="6464DC38" w14:textId="77777777" w:rsidR="00A74C68" w:rsidRPr="00A74C68" w:rsidRDefault="00A74C68" w:rsidP="00A74C68">
            <w:pPr>
              <w:rPr>
                <w:color w:val="000000"/>
                <w:sz w:val="14"/>
                <w:szCs w:val="14"/>
              </w:rPr>
            </w:pPr>
            <w:r w:rsidRPr="00A74C68">
              <w:rPr>
                <w:color w:val="000000"/>
                <w:sz w:val="14"/>
                <w:szCs w:val="14"/>
              </w:rPr>
              <w:t>Alım Satım Amaçlı Türev Finansal Araçlar</w:t>
            </w:r>
          </w:p>
        </w:tc>
        <w:tc>
          <w:tcPr>
            <w:tcW w:w="329" w:type="pct"/>
            <w:tcBorders>
              <w:top w:val="nil"/>
              <w:left w:val="single" w:sz="4" w:space="0" w:color="auto"/>
              <w:bottom w:val="nil"/>
              <w:right w:val="single" w:sz="4" w:space="0" w:color="auto"/>
            </w:tcBorders>
            <w:vAlign w:val="bottom"/>
            <w:hideMark/>
          </w:tcPr>
          <w:p w14:paraId="0C6129E3"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06909F44" w14:textId="77777777" w:rsidR="00A74C68" w:rsidRPr="00A74C68" w:rsidRDefault="00A74C68" w:rsidP="00A74C68">
            <w:pPr>
              <w:jc w:val="right"/>
              <w:rPr>
                <w:color w:val="000000"/>
                <w:sz w:val="14"/>
                <w:szCs w:val="14"/>
              </w:rPr>
            </w:pPr>
            <w:r w:rsidRPr="00A74C68">
              <w:rPr>
                <w:color w:val="000000"/>
                <w:sz w:val="14"/>
                <w:szCs w:val="14"/>
              </w:rPr>
              <w:t>19.181.471</w:t>
            </w:r>
          </w:p>
        </w:tc>
        <w:tc>
          <w:tcPr>
            <w:tcW w:w="412" w:type="pct"/>
            <w:tcBorders>
              <w:top w:val="nil"/>
              <w:left w:val="nil"/>
              <w:bottom w:val="nil"/>
              <w:right w:val="single" w:sz="4" w:space="0" w:color="auto"/>
            </w:tcBorders>
            <w:shd w:val="clear" w:color="000000" w:fill="FFFFFF"/>
            <w:noWrap/>
            <w:vAlign w:val="bottom"/>
            <w:hideMark/>
          </w:tcPr>
          <w:p w14:paraId="753AB736" w14:textId="77777777" w:rsidR="00A74C68" w:rsidRPr="00A74C68" w:rsidRDefault="00A74C68" w:rsidP="00A74C68">
            <w:pPr>
              <w:jc w:val="right"/>
              <w:rPr>
                <w:color w:val="000000"/>
                <w:sz w:val="14"/>
                <w:szCs w:val="14"/>
              </w:rPr>
            </w:pPr>
            <w:r w:rsidRPr="00A74C68">
              <w:rPr>
                <w:color w:val="000000"/>
                <w:sz w:val="14"/>
                <w:szCs w:val="14"/>
              </w:rPr>
              <w:t>255.061.319</w:t>
            </w:r>
          </w:p>
        </w:tc>
        <w:tc>
          <w:tcPr>
            <w:tcW w:w="463" w:type="pct"/>
            <w:tcBorders>
              <w:top w:val="nil"/>
              <w:left w:val="nil"/>
              <w:bottom w:val="nil"/>
              <w:right w:val="single" w:sz="4" w:space="0" w:color="auto"/>
            </w:tcBorders>
            <w:shd w:val="clear" w:color="000000" w:fill="FFFFFF"/>
            <w:noWrap/>
            <w:vAlign w:val="bottom"/>
            <w:hideMark/>
          </w:tcPr>
          <w:p w14:paraId="689385B4" w14:textId="77777777" w:rsidR="00A74C68" w:rsidRPr="00A74C68" w:rsidRDefault="00A74C68" w:rsidP="00A74C68">
            <w:pPr>
              <w:jc w:val="right"/>
              <w:rPr>
                <w:color w:val="000000"/>
                <w:sz w:val="14"/>
                <w:szCs w:val="14"/>
              </w:rPr>
            </w:pPr>
            <w:r w:rsidRPr="00A74C68">
              <w:rPr>
                <w:color w:val="000000"/>
                <w:sz w:val="14"/>
                <w:szCs w:val="14"/>
              </w:rPr>
              <w:t>274.242.790</w:t>
            </w:r>
          </w:p>
        </w:tc>
        <w:tc>
          <w:tcPr>
            <w:tcW w:w="412" w:type="pct"/>
            <w:tcBorders>
              <w:top w:val="nil"/>
              <w:left w:val="nil"/>
              <w:bottom w:val="nil"/>
              <w:right w:val="single" w:sz="4" w:space="0" w:color="auto"/>
            </w:tcBorders>
            <w:noWrap/>
            <w:vAlign w:val="bottom"/>
            <w:hideMark/>
          </w:tcPr>
          <w:p w14:paraId="7E7D4A97" w14:textId="77777777" w:rsidR="00A74C68" w:rsidRPr="00A74C68" w:rsidRDefault="00A74C68" w:rsidP="00A74C68">
            <w:pPr>
              <w:jc w:val="right"/>
              <w:rPr>
                <w:color w:val="000000"/>
                <w:sz w:val="14"/>
                <w:szCs w:val="14"/>
                <w:lang w:eastAsia="tr-TR"/>
              </w:rPr>
            </w:pPr>
            <w:r w:rsidRPr="00A74C68">
              <w:rPr>
                <w:color w:val="000000"/>
                <w:sz w:val="14"/>
                <w:szCs w:val="14"/>
                <w:lang w:eastAsia="tr-TR"/>
              </w:rPr>
              <w:t>2.839.978</w:t>
            </w:r>
          </w:p>
        </w:tc>
        <w:tc>
          <w:tcPr>
            <w:tcW w:w="412" w:type="pct"/>
            <w:tcBorders>
              <w:top w:val="nil"/>
              <w:left w:val="nil"/>
              <w:bottom w:val="nil"/>
              <w:right w:val="single" w:sz="4" w:space="0" w:color="auto"/>
            </w:tcBorders>
            <w:noWrap/>
            <w:vAlign w:val="bottom"/>
            <w:hideMark/>
          </w:tcPr>
          <w:p w14:paraId="27A37AE4" w14:textId="77777777" w:rsidR="00A74C68" w:rsidRPr="00A74C68" w:rsidRDefault="00A74C68" w:rsidP="00A74C68">
            <w:pPr>
              <w:jc w:val="right"/>
              <w:rPr>
                <w:color w:val="000000"/>
                <w:sz w:val="14"/>
                <w:szCs w:val="14"/>
                <w:lang w:eastAsia="tr-TR"/>
              </w:rPr>
            </w:pPr>
            <w:r w:rsidRPr="00A74C68">
              <w:rPr>
                <w:color w:val="000000"/>
                <w:sz w:val="14"/>
                <w:szCs w:val="14"/>
                <w:lang w:eastAsia="tr-TR"/>
              </w:rPr>
              <w:t>12.528.099</w:t>
            </w:r>
          </w:p>
        </w:tc>
        <w:tc>
          <w:tcPr>
            <w:tcW w:w="458" w:type="pct"/>
            <w:tcBorders>
              <w:top w:val="nil"/>
              <w:left w:val="nil"/>
              <w:bottom w:val="nil"/>
              <w:right w:val="single" w:sz="4" w:space="0" w:color="auto"/>
            </w:tcBorders>
            <w:noWrap/>
            <w:vAlign w:val="bottom"/>
            <w:hideMark/>
          </w:tcPr>
          <w:p w14:paraId="45AE565E" w14:textId="77777777" w:rsidR="00A74C68" w:rsidRPr="00A74C68" w:rsidRDefault="00A74C68" w:rsidP="00A74C68">
            <w:pPr>
              <w:jc w:val="right"/>
              <w:rPr>
                <w:color w:val="000000"/>
                <w:sz w:val="14"/>
                <w:szCs w:val="14"/>
                <w:lang w:eastAsia="tr-TR"/>
              </w:rPr>
            </w:pPr>
            <w:r w:rsidRPr="00A74C68">
              <w:rPr>
                <w:color w:val="000000"/>
                <w:sz w:val="14"/>
                <w:szCs w:val="14"/>
                <w:lang w:eastAsia="tr-TR"/>
              </w:rPr>
              <w:t>15.368.077</w:t>
            </w:r>
          </w:p>
        </w:tc>
      </w:tr>
      <w:tr w:rsidR="00A74C68" w:rsidRPr="00A74C68" w14:paraId="0E2115E0" w14:textId="77777777" w:rsidTr="00A74C68">
        <w:trPr>
          <w:divId w:val="153886216"/>
          <w:trHeight w:val="20"/>
        </w:trPr>
        <w:tc>
          <w:tcPr>
            <w:tcW w:w="257" w:type="pct"/>
            <w:tcBorders>
              <w:top w:val="nil"/>
              <w:left w:val="single" w:sz="4" w:space="0" w:color="auto"/>
              <w:bottom w:val="nil"/>
              <w:right w:val="nil"/>
            </w:tcBorders>
            <w:hideMark/>
          </w:tcPr>
          <w:p w14:paraId="092E3094" w14:textId="77777777" w:rsidR="00A74C68" w:rsidRPr="00A74C68" w:rsidRDefault="00A74C68" w:rsidP="00A74C68">
            <w:pPr>
              <w:rPr>
                <w:color w:val="000000"/>
                <w:sz w:val="14"/>
                <w:szCs w:val="14"/>
              </w:rPr>
            </w:pPr>
            <w:r w:rsidRPr="00A74C68">
              <w:rPr>
                <w:color w:val="000000"/>
                <w:sz w:val="14"/>
                <w:szCs w:val="14"/>
              </w:rPr>
              <w:t>3.2.1</w:t>
            </w:r>
          </w:p>
        </w:tc>
        <w:tc>
          <w:tcPr>
            <w:tcW w:w="1793" w:type="pct"/>
            <w:tcBorders>
              <w:top w:val="nil"/>
              <w:left w:val="nil"/>
              <w:bottom w:val="nil"/>
              <w:right w:val="nil"/>
            </w:tcBorders>
            <w:hideMark/>
          </w:tcPr>
          <w:p w14:paraId="4C0A4421" w14:textId="77777777" w:rsidR="00A74C68" w:rsidRPr="00A74C68" w:rsidRDefault="00A74C68" w:rsidP="00A74C68">
            <w:pPr>
              <w:rPr>
                <w:color w:val="000000"/>
                <w:sz w:val="14"/>
                <w:szCs w:val="14"/>
              </w:rPr>
            </w:pPr>
            <w:r w:rsidRPr="00A74C68">
              <w:rPr>
                <w:color w:val="000000"/>
                <w:sz w:val="14"/>
                <w:szCs w:val="14"/>
              </w:rPr>
              <w:t>Vadeli Alım-Satım İşlemleri</w:t>
            </w:r>
          </w:p>
        </w:tc>
        <w:tc>
          <w:tcPr>
            <w:tcW w:w="329" w:type="pct"/>
            <w:tcBorders>
              <w:top w:val="nil"/>
              <w:left w:val="single" w:sz="4" w:space="0" w:color="auto"/>
              <w:bottom w:val="nil"/>
              <w:right w:val="single" w:sz="4" w:space="0" w:color="auto"/>
            </w:tcBorders>
            <w:vAlign w:val="bottom"/>
            <w:hideMark/>
          </w:tcPr>
          <w:p w14:paraId="40E47FD4"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1908B9B1" w14:textId="77777777" w:rsidR="00A74C68" w:rsidRPr="00A74C68" w:rsidRDefault="00A74C68" w:rsidP="00A74C68">
            <w:pPr>
              <w:jc w:val="right"/>
              <w:rPr>
                <w:color w:val="000000"/>
                <w:sz w:val="14"/>
                <w:szCs w:val="14"/>
              </w:rPr>
            </w:pPr>
            <w:r w:rsidRPr="00A74C68">
              <w:rPr>
                <w:color w:val="000000"/>
                <w:sz w:val="14"/>
                <w:szCs w:val="14"/>
              </w:rPr>
              <w:t>11.915.771</w:t>
            </w:r>
          </w:p>
        </w:tc>
        <w:tc>
          <w:tcPr>
            <w:tcW w:w="412" w:type="pct"/>
            <w:tcBorders>
              <w:top w:val="nil"/>
              <w:left w:val="nil"/>
              <w:bottom w:val="nil"/>
              <w:right w:val="single" w:sz="4" w:space="0" w:color="auto"/>
            </w:tcBorders>
            <w:shd w:val="clear" w:color="000000" w:fill="FFFFFF"/>
            <w:noWrap/>
            <w:vAlign w:val="bottom"/>
            <w:hideMark/>
          </w:tcPr>
          <w:p w14:paraId="7EC86E53" w14:textId="77777777" w:rsidR="00A74C68" w:rsidRPr="00A74C68" w:rsidRDefault="00A74C68" w:rsidP="00A74C68">
            <w:pPr>
              <w:jc w:val="right"/>
              <w:rPr>
                <w:color w:val="000000"/>
                <w:sz w:val="14"/>
                <w:szCs w:val="14"/>
              </w:rPr>
            </w:pPr>
            <w:r w:rsidRPr="00A74C68">
              <w:rPr>
                <w:color w:val="000000"/>
                <w:sz w:val="14"/>
                <w:szCs w:val="14"/>
              </w:rPr>
              <w:t>126.380.608</w:t>
            </w:r>
          </w:p>
        </w:tc>
        <w:tc>
          <w:tcPr>
            <w:tcW w:w="463" w:type="pct"/>
            <w:tcBorders>
              <w:top w:val="nil"/>
              <w:left w:val="nil"/>
              <w:bottom w:val="nil"/>
              <w:right w:val="single" w:sz="4" w:space="0" w:color="auto"/>
            </w:tcBorders>
            <w:shd w:val="clear" w:color="000000" w:fill="FFFFFF"/>
            <w:noWrap/>
            <w:vAlign w:val="bottom"/>
            <w:hideMark/>
          </w:tcPr>
          <w:p w14:paraId="6A3D5ABD" w14:textId="77777777" w:rsidR="00A74C68" w:rsidRPr="00A74C68" w:rsidRDefault="00A74C68" w:rsidP="00A74C68">
            <w:pPr>
              <w:jc w:val="right"/>
              <w:rPr>
                <w:color w:val="000000"/>
                <w:sz w:val="14"/>
                <w:szCs w:val="14"/>
              </w:rPr>
            </w:pPr>
            <w:r w:rsidRPr="00A74C68">
              <w:rPr>
                <w:color w:val="000000"/>
                <w:sz w:val="14"/>
                <w:szCs w:val="14"/>
              </w:rPr>
              <w:t>138.296.379</w:t>
            </w:r>
          </w:p>
        </w:tc>
        <w:tc>
          <w:tcPr>
            <w:tcW w:w="412" w:type="pct"/>
            <w:tcBorders>
              <w:top w:val="nil"/>
              <w:left w:val="nil"/>
              <w:bottom w:val="nil"/>
              <w:right w:val="single" w:sz="4" w:space="0" w:color="auto"/>
            </w:tcBorders>
            <w:noWrap/>
            <w:vAlign w:val="bottom"/>
            <w:hideMark/>
          </w:tcPr>
          <w:p w14:paraId="4ECEF6C6" w14:textId="77777777" w:rsidR="00A74C68" w:rsidRPr="00A74C68" w:rsidRDefault="00A74C68" w:rsidP="00A74C68">
            <w:pPr>
              <w:jc w:val="right"/>
              <w:rPr>
                <w:color w:val="000000"/>
                <w:sz w:val="14"/>
                <w:szCs w:val="14"/>
                <w:lang w:eastAsia="tr-TR"/>
              </w:rPr>
            </w:pPr>
            <w:r w:rsidRPr="00A74C68">
              <w:rPr>
                <w:color w:val="000000"/>
                <w:sz w:val="14"/>
                <w:szCs w:val="14"/>
                <w:lang w:eastAsia="tr-TR"/>
              </w:rPr>
              <w:t>190.312</w:t>
            </w:r>
          </w:p>
        </w:tc>
        <w:tc>
          <w:tcPr>
            <w:tcW w:w="412" w:type="pct"/>
            <w:tcBorders>
              <w:top w:val="nil"/>
              <w:left w:val="nil"/>
              <w:bottom w:val="nil"/>
              <w:right w:val="single" w:sz="4" w:space="0" w:color="auto"/>
            </w:tcBorders>
            <w:noWrap/>
            <w:vAlign w:val="bottom"/>
            <w:hideMark/>
          </w:tcPr>
          <w:p w14:paraId="74DDFC44" w14:textId="77777777" w:rsidR="00A74C68" w:rsidRPr="00A74C68" w:rsidRDefault="00A74C68" w:rsidP="00A74C68">
            <w:pPr>
              <w:jc w:val="right"/>
              <w:rPr>
                <w:color w:val="000000"/>
                <w:sz w:val="14"/>
                <w:szCs w:val="14"/>
                <w:lang w:eastAsia="tr-TR"/>
              </w:rPr>
            </w:pPr>
            <w:r w:rsidRPr="00A74C68">
              <w:rPr>
                <w:color w:val="000000"/>
                <w:sz w:val="14"/>
                <w:szCs w:val="14"/>
                <w:lang w:eastAsia="tr-TR"/>
              </w:rPr>
              <w:t>4.920.698</w:t>
            </w:r>
          </w:p>
        </w:tc>
        <w:tc>
          <w:tcPr>
            <w:tcW w:w="458" w:type="pct"/>
            <w:tcBorders>
              <w:top w:val="nil"/>
              <w:left w:val="nil"/>
              <w:bottom w:val="nil"/>
              <w:right w:val="single" w:sz="4" w:space="0" w:color="auto"/>
            </w:tcBorders>
            <w:noWrap/>
            <w:vAlign w:val="bottom"/>
            <w:hideMark/>
          </w:tcPr>
          <w:p w14:paraId="0323C3F4" w14:textId="77777777" w:rsidR="00A74C68" w:rsidRPr="00A74C68" w:rsidRDefault="00A74C68" w:rsidP="00A74C68">
            <w:pPr>
              <w:jc w:val="right"/>
              <w:rPr>
                <w:color w:val="000000"/>
                <w:sz w:val="14"/>
                <w:szCs w:val="14"/>
                <w:lang w:eastAsia="tr-TR"/>
              </w:rPr>
            </w:pPr>
            <w:r w:rsidRPr="00A74C68">
              <w:rPr>
                <w:color w:val="000000"/>
                <w:sz w:val="14"/>
                <w:szCs w:val="14"/>
                <w:lang w:eastAsia="tr-TR"/>
              </w:rPr>
              <w:t>5.111.010</w:t>
            </w:r>
          </w:p>
        </w:tc>
      </w:tr>
      <w:tr w:rsidR="00A74C68" w:rsidRPr="00A74C68" w14:paraId="26BAC20D" w14:textId="77777777" w:rsidTr="00A74C68">
        <w:trPr>
          <w:divId w:val="153886216"/>
          <w:trHeight w:val="20"/>
        </w:trPr>
        <w:tc>
          <w:tcPr>
            <w:tcW w:w="257" w:type="pct"/>
            <w:tcBorders>
              <w:top w:val="nil"/>
              <w:left w:val="single" w:sz="4" w:space="0" w:color="auto"/>
              <w:bottom w:val="nil"/>
              <w:right w:val="nil"/>
            </w:tcBorders>
            <w:hideMark/>
          </w:tcPr>
          <w:p w14:paraId="2650E8A1" w14:textId="77777777" w:rsidR="00A74C68" w:rsidRPr="00A74C68" w:rsidRDefault="00A74C68" w:rsidP="00A74C68">
            <w:pPr>
              <w:rPr>
                <w:color w:val="000000"/>
                <w:sz w:val="14"/>
                <w:szCs w:val="14"/>
              </w:rPr>
            </w:pPr>
            <w:r w:rsidRPr="00A74C68">
              <w:rPr>
                <w:color w:val="000000"/>
                <w:sz w:val="14"/>
                <w:szCs w:val="14"/>
              </w:rPr>
              <w:t>3.2.1.1</w:t>
            </w:r>
          </w:p>
        </w:tc>
        <w:tc>
          <w:tcPr>
            <w:tcW w:w="1793" w:type="pct"/>
            <w:tcBorders>
              <w:top w:val="nil"/>
              <w:left w:val="nil"/>
              <w:bottom w:val="nil"/>
              <w:right w:val="nil"/>
            </w:tcBorders>
            <w:hideMark/>
          </w:tcPr>
          <w:p w14:paraId="08F92017" w14:textId="77777777" w:rsidR="00A74C68" w:rsidRPr="00A74C68" w:rsidRDefault="00A74C68" w:rsidP="00A74C68">
            <w:pPr>
              <w:rPr>
                <w:color w:val="000000"/>
                <w:sz w:val="14"/>
                <w:szCs w:val="14"/>
              </w:rPr>
            </w:pPr>
            <w:r w:rsidRPr="00A74C68">
              <w:rPr>
                <w:color w:val="000000"/>
                <w:sz w:val="14"/>
                <w:szCs w:val="14"/>
              </w:rPr>
              <w:t>Vadeli Döviz Alım İşlemleri</w:t>
            </w:r>
          </w:p>
        </w:tc>
        <w:tc>
          <w:tcPr>
            <w:tcW w:w="329" w:type="pct"/>
            <w:tcBorders>
              <w:top w:val="nil"/>
              <w:left w:val="single" w:sz="4" w:space="0" w:color="auto"/>
              <w:bottom w:val="nil"/>
              <w:right w:val="single" w:sz="4" w:space="0" w:color="auto"/>
            </w:tcBorders>
            <w:vAlign w:val="bottom"/>
            <w:hideMark/>
          </w:tcPr>
          <w:p w14:paraId="5850BD4A"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2C7A9CCC" w14:textId="77777777" w:rsidR="00A74C68" w:rsidRPr="00A74C68" w:rsidRDefault="00A74C68" w:rsidP="00A74C68">
            <w:pPr>
              <w:jc w:val="right"/>
              <w:rPr>
                <w:color w:val="000000"/>
                <w:sz w:val="14"/>
                <w:szCs w:val="14"/>
              </w:rPr>
            </w:pPr>
            <w:r w:rsidRPr="00A74C68">
              <w:rPr>
                <w:color w:val="000000"/>
                <w:sz w:val="14"/>
                <w:szCs w:val="14"/>
              </w:rPr>
              <w:t>1.866.348</w:t>
            </w:r>
          </w:p>
        </w:tc>
        <w:tc>
          <w:tcPr>
            <w:tcW w:w="412" w:type="pct"/>
            <w:tcBorders>
              <w:top w:val="nil"/>
              <w:left w:val="nil"/>
              <w:bottom w:val="nil"/>
              <w:right w:val="single" w:sz="4" w:space="0" w:color="auto"/>
            </w:tcBorders>
            <w:shd w:val="clear" w:color="000000" w:fill="FFFFFF"/>
            <w:noWrap/>
            <w:vAlign w:val="bottom"/>
            <w:hideMark/>
          </w:tcPr>
          <w:p w14:paraId="76DDFA93" w14:textId="77777777" w:rsidR="00A74C68" w:rsidRPr="00A74C68" w:rsidRDefault="00A74C68" w:rsidP="00A74C68">
            <w:pPr>
              <w:jc w:val="right"/>
              <w:rPr>
                <w:color w:val="000000"/>
                <w:sz w:val="14"/>
                <w:szCs w:val="14"/>
              </w:rPr>
            </w:pPr>
            <w:r w:rsidRPr="00A74C68">
              <w:rPr>
                <w:color w:val="000000"/>
                <w:sz w:val="14"/>
                <w:szCs w:val="14"/>
              </w:rPr>
              <w:t>66.982.294</w:t>
            </w:r>
          </w:p>
        </w:tc>
        <w:tc>
          <w:tcPr>
            <w:tcW w:w="463" w:type="pct"/>
            <w:tcBorders>
              <w:top w:val="nil"/>
              <w:left w:val="nil"/>
              <w:bottom w:val="nil"/>
              <w:right w:val="single" w:sz="4" w:space="0" w:color="auto"/>
            </w:tcBorders>
            <w:shd w:val="clear" w:color="000000" w:fill="FFFFFF"/>
            <w:noWrap/>
            <w:vAlign w:val="bottom"/>
            <w:hideMark/>
          </w:tcPr>
          <w:p w14:paraId="3CE2C9A5" w14:textId="77777777" w:rsidR="00A74C68" w:rsidRPr="00A74C68" w:rsidRDefault="00A74C68" w:rsidP="00A74C68">
            <w:pPr>
              <w:jc w:val="right"/>
              <w:rPr>
                <w:color w:val="000000"/>
                <w:sz w:val="14"/>
                <w:szCs w:val="14"/>
              </w:rPr>
            </w:pPr>
            <w:r w:rsidRPr="00A74C68">
              <w:rPr>
                <w:color w:val="000000"/>
                <w:sz w:val="14"/>
                <w:szCs w:val="14"/>
              </w:rPr>
              <w:t>68.848.642</w:t>
            </w:r>
          </w:p>
        </w:tc>
        <w:tc>
          <w:tcPr>
            <w:tcW w:w="412" w:type="pct"/>
            <w:tcBorders>
              <w:top w:val="nil"/>
              <w:left w:val="nil"/>
              <w:bottom w:val="nil"/>
              <w:right w:val="single" w:sz="4" w:space="0" w:color="auto"/>
            </w:tcBorders>
            <w:noWrap/>
            <w:vAlign w:val="bottom"/>
            <w:hideMark/>
          </w:tcPr>
          <w:p w14:paraId="635E9CAD" w14:textId="77777777" w:rsidR="00A74C68" w:rsidRPr="00A74C68" w:rsidRDefault="00A74C68" w:rsidP="00A74C68">
            <w:pPr>
              <w:jc w:val="right"/>
              <w:rPr>
                <w:color w:val="000000"/>
                <w:sz w:val="14"/>
                <w:szCs w:val="14"/>
                <w:lang w:eastAsia="tr-TR"/>
              </w:rPr>
            </w:pPr>
            <w:r w:rsidRPr="00A74C68">
              <w:rPr>
                <w:color w:val="000000"/>
                <w:sz w:val="14"/>
                <w:szCs w:val="14"/>
                <w:lang w:eastAsia="tr-TR"/>
              </w:rPr>
              <w:t>142.480</w:t>
            </w:r>
          </w:p>
        </w:tc>
        <w:tc>
          <w:tcPr>
            <w:tcW w:w="412" w:type="pct"/>
            <w:tcBorders>
              <w:top w:val="nil"/>
              <w:left w:val="nil"/>
              <w:bottom w:val="nil"/>
              <w:right w:val="single" w:sz="4" w:space="0" w:color="auto"/>
            </w:tcBorders>
            <w:noWrap/>
            <w:vAlign w:val="bottom"/>
            <w:hideMark/>
          </w:tcPr>
          <w:p w14:paraId="3FAD7B9A" w14:textId="77777777" w:rsidR="00A74C68" w:rsidRPr="00A74C68" w:rsidRDefault="00A74C68" w:rsidP="00A74C68">
            <w:pPr>
              <w:jc w:val="right"/>
              <w:rPr>
                <w:color w:val="000000"/>
                <w:sz w:val="14"/>
                <w:szCs w:val="14"/>
                <w:lang w:eastAsia="tr-TR"/>
              </w:rPr>
            </w:pPr>
            <w:r w:rsidRPr="00A74C68">
              <w:rPr>
                <w:color w:val="000000"/>
                <w:sz w:val="14"/>
                <w:szCs w:val="14"/>
                <w:lang w:eastAsia="tr-TR"/>
              </w:rPr>
              <w:t>2.406.393</w:t>
            </w:r>
          </w:p>
        </w:tc>
        <w:tc>
          <w:tcPr>
            <w:tcW w:w="458" w:type="pct"/>
            <w:tcBorders>
              <w:top w:val="nil"/>
              <w:left w:val="nil"/>
              <w:bottom w:val="nil"/>
              <w:right w:val="single" w:sz="4" w:space="0" w:color="auto"/>
            </w:tcBorders>
            <w:noWrap/>
            <w:vAlign w:val="bottom"/>
            <w:hideMark/>
          </w:tcPr>
          <w:p w14:paraId="7D6BAC37" w14:textId="77777777" w:rsidR="00A74C68" w:rsidRPr="00A74C68" w:rsidRDefault="00A74C68" w:rsidP="00A74C68">
            <w:pPr>
              <w:jc w:val="right"/>
              <w:rPr>
                <w:color w:val="000000"/>
                <w:sz w:val="14"/>
                <w:szCs w:val="14"/>
                <w:lang w:eastAsia="tr-TR"/>
              </w:rPr>
            </w:pPr>
            <w:r w:rsidRPr="00A74C68">
              <w:rPr>
                <w:color w:val="000000"/>
                <w:sz w:val="14"/>
                <w:szCs w:val="14"/>
                <w:lang w:eastAsia="tr-TR"/>
              </w:rPr>
              <w:t>2.548.873</w:t>
            </w:r>
          </w:p>
        </w:tc>
      </w:tr>
      <w:tr w:rsidR="00A74C68" w:rsidRPr="00A74C68" w14:paraId="36EBC6C2" w14:textId="77777777" w:rsidTr="00A74C68">
        <w:trPr>
          <w:divId w:val="153886216"/>
          <w:trHeight w:val="20"/>
        </w:trPr>
        <w:tc>
          <w:tcPr>
            <w:tcW w:w="257" w:type="pct"/>
            <w:tcBorders>
              <w:top w:val="nil"/>
              <w:left w:val="single" w:sz="4" w:space="0" w:color="auto"/>
              <w:bottom w:val="nil"/>
              <w:right w:val="nil"/>
            </w:tcBorders>
            <w:hideMark/>
          </w:tcPr>
          <w:p w14:paraId="65B3412A" w14:textId="77777777" w:rsidR="00A74C68" w:rsidRPr="00A74C68" w:rsidRDefault="00A74C68" w:rsidP="00A74C68">
            <w:pPr>
              <w:rPr>
                <w:color w:val="000000"/>
                <w:sz w:val="14"/>
                <w:szCs w:val="14"/>
              </w:rPr>
            </w:pPr>
            <w:r w:rsidRPr="00A74C68">
              <w:rPr>
                <w:color w:val="000000"/>
                <w:sz w:val="14"/>
                <w:szCs w:val="14"/>
              </w:rPr>
              <w:t>3.2.1.2</w:t>
            </w:r>
          </w:p>
        </w:tc>
        <w:tc>
          <w:tcPr>
            <w:tcW w:w="1793" w:type="pct"/>
            <w:tcBorders>
              <w:top w:val="nil"/>
              <w:left w:val="nil"/>
              <w:bottom w:val="nil"/>
              <w:right w:val="nil"/>
            </w:tcBorders>
            <w:hideMark/>
          </w:tcPr>
          <w:p w14:paraId="28D7DD4C" w14:textId="77777777" w:rsidR="00A74C68" w:rsidRPr="00A74C68" w:rsidRDefault="00A74C68" w:rsidP="00A74C68">
            <w:pPr>
              <w:rPr>
                <w:color w:val="000000"/>
                <w:sz w:val="14"/>
                <w:szCs w:val="14"/>
              </w:rPr>
            </w:pPr>
            <w:r w:rsidRPr="00A74C68">
              <w:rPr>
                <w:color w:val="000000"/>
                <w:sz w:val="14"/>
                <w:szCs w:val="14"/>
              </w:rPr>
              <w:t>Vadeli Döviz Satım İşlemleri</w:t>
            </w:r>
          </w:p>
        </w:tc>
        <w:tc>
          <w:tcPr>
            <w:tcW w:w="329" w:type="pct"/>
            <w:tcBorders>
              <w:top w:val="nil"/>
              <w:left w:val="single" w:sz="4" w:space="0" w:color="auto"/>
              <w:bottom w:val="nil"/>
              <w:right w:val="single" w:sz="4" w:space="0" w:color="auto"/>
            </w:tcBorders>
            <w:vAlign w:val="bottom"/>
            <w:hideMark/>
          </w:tcPr>
          <w:p w14:paraId="7C517BCE"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5D078DD0" w14:textId="77777777" w:rsidR="00A74C68" w:rsidRPr="00A74C68" w:rsidRDefault="00A74C68" w:rsidP="00A74C68">
            <w:pPr>
              <w:jc w:val="right"/>
              <w:rPr>
                <w:color w:val="000000"/>
                <w:sz w:val="14"/>
                <w:szCs w:val="14"/>
              </w:rPr>
            </w:pPr>
            <w:r w:rsidRPr="00A74C68">
              <w:rPr>
                <w:color w:val="000000"/>
                <w:sz w:val="14"/>
                <w:szCs w:val="14"/>
              </w:rPr>
              <w:t>10.049.423</w:t>
            </w:r>
          </w:p>
        </w:tc>
        <w:tc>
          <w:tcPr>
            <w:tcW w:w="412" w:type="pct"/>
            <w:tcBorders>
              <w:top w:val="nil"/>
              <w:left w:val="nil"/>
              <w:bottom w:val="nil"/>
              <w:right w:val="single" w:sz="4" w:space="0" w:color="auto"/>
            </w:tcBorders>
            <w:shd w:val="clear" w:color="000000" w:fill="FFFFFF"/>
            <w:noWrap/>
            <w:vAlign w:val="bottom"/>
            <w:hideMark/>
          </w:tcPr>
          <w:p w14:paraId="05D847B2" w14:textId="77777777" w:rsidR="00A74C68" w:rsidRPr="00A74C68" w:rsidRDefault="00A74C68" w:rsidP="00A74C68">
            <w:pPr>
              <w:jc w:val="right"/>
              <w:rPr>
                <w:color w:val="000000"/>
                <w:sz w:val="14"/>
                <w:szCs w:val="14"/>
              </w:rPr>
            </w:pPr>
            <w:r w:rsidRPr="00A74C68">
              <w:rPr>
                <w:color w:val="000000"/>
                <w:sz w:val="14"/>
                <w:szCs w:val="14"/>
              </w:rPr>
              <w:t>59.398.314</w:t>
            </w:r>
          </w:p>
        </w:tc>
        <w:tc>
          <w:tcPr>
            <w:tcW w:w="463" w:type="pct"/>
            <w:tcBorders>
              <w:top w:val="nil"/>
              <w:left w:val="nil"/>
              <w:bottom w:val="nil"/>
              <w:right w:val="single" w:sz="4" w:space="0" w:color="auto"/>
            </w:tcBorders>
            <w:shd w:val="clear" w:color="000000" w:fill="FFFFFF"/>
            <w:noWrap/>
            <w:vAlign w:val="bottom"/>
            <w:hideMark/>
          </w:tcPr>
          <w:p w14:paraId="5543370D" w14:textId="77777777" w:rsidR="00A74C68" w:rsidRPr="00A74C68" w:rsidRDefault="00A74C68" w:rsidP="00A74C68">
            <w:pPr>
              <w:jc w:val="right"/>
              <w:rPr>
                <w:color w:val="000000"/>
                <w:sz w:val="14"/>
                <w:szCs w:val="14"/>
              </w:rPr>
            </w:pPr>
            <w:r w:rsidRPr="00A74C68">
              <w:rPr>
                <w:color w:val="000000"/>
                <w:sz w:val="14"/>
                <w:szCs w:val="14"/>
              </w:rPr>
              <w:t>69.447.737</w:t>
            </w:r>
          </w:p>
        </w:tc>
        <w:tc>
          <w:tcPr>
            <w:tcW w:w="412" w:type="pct"/>
            <w:tcBorders>
              <w:top w:val="nil"/>
              <w:left w:val="nil"/>
              <w:bottom w:val="nil"/>
              <w:right w:val="single" w:sz="4" w:space="0" w:color="auto"/>
            </w:tcBorders>
            <w:noWrap/>
            <w:vAlign w:val="bottom"/>
            <w:hideMark/>
          </w:tcPr>
          <w:p w14:paraId="0EA3E131" w14:textId="77777777" w:rsidR="00A74C68" w:rsidRPr="00A74C68" w:rsidRDefault="00A74C68" w:rsidP="00A74C68">
            <w:pPr>
              <w:jc w:val="right"/>
              <w:rPr>
                <w:color w:val="000000"/>
                <w:sz w:val="14"/>
                <w:szCs w:val="14"/>
                <w:lang w:eastAsia="tr-TR"/>
              </w:rPr>
            </w:pPr>
            <w:r w:rsidRPr="00A74C68">
              <w:rPr>
                <w:color w:val="000000"/>
                <w:sz w:val="14"/>
                <w:szCs w:val="14"/>
                <w:lang w:eastAsia="tr-TR"/>
              </w:rPr>
              <w:t>47.832</w:t>
            </w:r>
          </w:p>
        </w:tc>
        <w:tc>
          <w:tcPr>
            <w:tcW w:w="412" w:type="pct"/>
            <w:tcBorders>
              <w:top w:val="nil"/>
              <w:left w:val="nil"/>
              <w:bottom w:val="nil"/>
              <w:right w:val="single" w:sz="4" w:space="0" w:color="auto"/>
            </w:tcBorders>
            <w:noWrap/>
            <w:vAlign w:val="bottom"/>
            <w:hideMark/>
          </w:tcPr>
          <w:p w14:paraId="4002C4C1" w14:textId="77777777" w:rsidR="00A74C68" w:rsidRPr="00A74C68" w:rsidRDefault="00A74C68" w:rsidP="00A74C68">
            <w:pPr>
              <w:jc w:val="right"/>
              <w:rPr>
                <w:color w:val="000000"/>
                <w:sz w:val="14"/>
                <w:szCs w:val="14"/>
                <w:lang w:eastAsia="tr-TR"/>
              </w:rPr>
            </w:pPr>
            <w:r w:rsidRPr="00A74C68">
              <w:rPr>
                <w:color w:val="000000"/>
                <w:sz w:val="14"/>
                <w:szCs w:val="14"/>
                <w:lang w:eastAsia="tr-TR"/>
              </w:rPr>
              <w:t>2.514.305</w:t>
            </w:r>
          </w:p>
        </w:tc>
        <w:tc>
          <w:tcPr>
            <w:tcW w:w="458" w:type="pct"/>
            <w:tcBorders>
              <w:top w:val="nil"/>
              <w:left w:val="nil"/>
              <w:bottom w:val="nil"/>
              <w:right w:val="single" w:sz="4" w:space="0" w:color="auto"/>
            </w:tcBorders>
            <w:noWrap/>
            <w:vAlign w:val="bottom"/>
            <w:hideMark/>
          </w:tcPr>
          <w:p w14:paraId="4543038B" w14:textId="77777777" w:rsidR="00A74C68" w:rsidRPr="00A74C68" w:rsidRDefault="00A74C68" w:rsidP="00A74C68">
            <w:pPr>
              <w:jc w:val="right"/>
              <w:rPr>
                <w:color w:val="000000"/>
                <w:sz w:val="14"/>
                <w:szCs w:val="14"/>
                <w:lang w:eastAsia="tr-TR"/>
              </w:rPr>
            </w:pPr>
            <w:r w:rsidRPr="00A74C68">
              <w:rPr>
                <w:color w:val="000000"/>
                <w:sz w:val="14"/>
                <w:szCs w:val="14"/>
                <w:lang w:eastAsia="tr-TR"/>
              </w:rPr>
              <w:t>2.562.137</w:t>
            </w:r>
          </w:p>
        </w:tc>
      </w:tr>
      <w:tr w:rsidR="00A74C68" w:rsidRPr="00A74C68" w14:paraId="3D87783A" w14:textId="77777777" w:rsidTr="00A74C68">
        <w:trPr>
          <w:divId w:val="153886216"/>
          <w:trHeight w:val="20"/>
        </w:trPr>
        <w:tc>
          <w:tcPr>
            <w:tcW w:w="257" w:type="pct"/>
            <w:tcBorders>
              <w:top w:val="nil"/>
              <w:left w:val="single" w:sz="4" w:space="0" w:color="auto"/>
              <w:bottom w:val="nil"/>
              <w:right w:val="nil"/>
            </w:tcBorders>
            <w:hideMark/>
          </w:tcPr>
          <w:p w14:paraId="0E34E376" w14:textId="77777777" w:rsidR="00A74C68" w:rsidRPr="00A74C68" w:rsidRDefault="00A74C68" w:rsidP="00A74C68">
            <w:pPr>
              <w:rPr>
                <w:color w:val="000000"/>
                <w:sz w:val="14"/>
                <w:szCs w:val="14"/>
              </w:rPr>
            </w:pPr>
            <w:r w:rsidRPr="00A74C68">
              <w:rPr>
                <w:color w:val="000000"/>
                <w:sz w:val="14"/>
                <w:szCs w:val="14"/>
              </w:rPr>
              <w:t>3.2.2.</w:t>
            </w:r>
          </w:p>
        </w:tc>
        <w:tc>
          <w:tcPr>
            <w:tcW w:w="1793" w:type="pct"/>
            <w:tcBorders>
              <w:top w:val="nil"/>
              <w:left w:val="nil"/>
              <w:bottom w:val="nil"/>
              <w:right w:val="nil"/>
            </w:tcBorders>
            <w:hideMark/>
          </w:tcPr>
          <w:p w14:paraId="1E06D752" w14:textId="77777777" w:rsidR="00A74C68" w:rsidRPr="00A74C68" w:rsidRDefault="00A74C68" w:rsidP="00A74C68">
            <w:pPr>
              <w:rPr>
                <w:color w:val="000000"/>
                <w:sz w:val="14"/>
                <w:szCs w:val="14"/>
              </w:rPr>
            </w:pPr>
            <w:r w:rsidRPr="00A74C68">
              <w:rPr>
                <w:color w:val="000000"/>
                <w:sz w:val="14"/>
                <w:szCs w:val="14"/>
              </w:rPr>
              <w:t>Diğer Vadeli Alım-Satım İşlemleri</w:t>
            </w:r>
          </w:p>
        </w:tc>
        <w:tc>
          <w:tcPr>
            <w:tcW w:w="329" w:type="pct"/>
            <w:tcBorders>
              <w:top w:val="nil"/>
              <w:left w:val="single" w:sz="4" w:space="0" w:color="auto"/>
              <w:bottom w:val="nil"/>
              <w:right w:val="single" w:sz="4" w:space="0" w:color="auto"/>
            </w:tcBorders>
            <w:vAlign w:val="bottom"/>
            <w:hideMark/>
          </w:tcPr>
          <w:p w14:paraId="077F3A23"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36E5FFEC" w14:textId="77777777" w:rsidR="00A74C68" w:rsidRPr="00A74C68" w:rsidRDefault="00A74C68" w:rsidP="00A74C68">
            <w:pPr>
              <w:jc w:val="right"/>
              <w:rPr>
                <w:color w:val="000000"/>
                <w:sz w:val="14"/>
                <w:szCs w:val="14"/>
              </w:rPr>
            </w:pPr>
            <w:r w:rsidRPr="00A74C68">
              <w:rPr>
                <w:color w:val="000000"/>
                <w:sz w:val="14"/>
                <w:szCs w:val="14"/>
              </w:rPr>
              <w:t>7.265.700</w:t>
            </w:r>
          </w:p>
        </w:tc>
        <w:tc>
          <w:tcPr>
            <w:tcW w:w="412" w:type="pct"/>
            <w:tcBorders>
              <w:top w:val="nil"/>
              <w:left w:val="nil"/>
              <w:bottom w:val="nil"/>
              <w:right w:val="single" w:sz="4" w:space="0" w:color="auto"/>
            </w:tcBorders>
            <w:shd w:val="clear" w:color="000000" w:fill="FFFFFF"/>
            <w:noWrap/>
            <w:vAlign w:val="bottom"/>
            <w:hideMark/>
          </w:tcPr>
          <w:p w14:paraId="3097C4D8" w14:textId="77777777" w:rsidR="00A74C68" w:rsidRPr="00A74C68" w:rsidRDefault="00A74C68" w:rsidP="00A74C68">
            <w:pPr>
              <w:jc w:val="right"/>
              <w:rPr>
                <w:color w:val="000000"/>
                <w:sz w:val="14"/>
                <w:szCs w:val="14"/>
              </w:rPr>
            </w:pPr>
            <w:r w:rsidRPr="00A74C68">
              <w:rPr>
                <w:color w:val="000000"/>
                <w:sz w:val="14"/>
                <w:szCs w:val="14"/>
              </w:rPr>
              <w:t>128.680.711</w:t>
            </w:r>
          </w:p>
        </w:tc>
        <w:tc>
          <w:tcPr>
            <w:tcW w:w="463" w:type="pct"/>
            <w:tcBorders>
              <w:top w:val="nil"/>
              <w:left w:val="nil"/>
              <w:bottom w:val="nil"/>
              <w:right w:val="single" w:sz="4" w:space="0" w:color="auto"/>
            </w:tcBorders>
            <w:shd w:val="clear" w:color="000000" w:fill="FFFFFF"/>
            <w:noWrap/>
            <w:vAlign w:val="bottom"/>
            <w:hideMark/>
          </w:tcPr>
          <w:p w14:paraId="49677094" w14:textId="77777777" w:rsidR="00A74C68" w:rsidRPr="00A74C68" w:rsidRDefault="00A74C68" w:rsidP="00A74C68">
            <w:pPr>
              <w:jc w:val="right"/>
              <w:rPr>
                <w:color w:val="000000"/>
                <w:sz w:val="14"/>
                <w:szCs w:val="14"/>
              </w:rPr>
            </w:pPr>
            <w:r w:rsidRPr="00A74C68">
              <w:rPr>
                <w:color w:val="000000"/>
                <w:sz w:val="14"/>
                <w:szCs w:val="14"/>
              </w:rPr>
              <w:t>135.946.411</w:t>
            </w:r>
          </w:p>
        </w:tc>
        <w:tc>
          <w:tcPr>
            <w:tcW w:w="412" w:type="pct"/>
            <w:tcBorders>
              <w:top w:val="nil"/>
              <w:left w:val="nil"/>
              <w:bottom w:val="nil"/>
              <w:right w:val="single" w:sz="4" w:space="0" w:color="auto"/>
            </w:tcBorders>
            <w:noWrap/>
            <w:vAlign w:val="bottom"/>
            <w:hideMark/>
          </w:tcPr>
          <w:p w14:paraId="2056BD00" w14:textId="77777777" w:rsidR="00A74C68" w:rsidRPr="00A74C68" w:rsidRDefault="00A74C68" w:rsidP="00A74C68">
            <w:pPr>
              <w:jc w:val="right"/>
              <w:rPr>
                <w:color w:val="000000"/>
                <w:sz w:val="14"/>
                <w:szCs w:val="14"/>
                <w:lang w:eastAsia="tr-TR"/>
              </w:rPr>
            </w:pPr>
            <w:r w:rsidRPr="00A74C68">
              <w:rPr>
                <w:color w:val="000000"/>
                <w:sz w:val="14"/>
                <w:szCs w:val="14"/>
                <w:lang w:eastAsia="tr-TR"/>
              </w:rPr>
              <w:t>2.649.666</w:t>
            </w:r>
          </w:p>
        </w:tc>
        <w:tc>
          <w:tcPr>
            <w:tcW w:w="412" w:type="pct"/>
            <w:tcBorders>
              <w:top w:val="nil"/>
              <w:left w:val="nil"/>
              <w:bottom w:val="nil"/>
              <w:right w:val="single" w:sz="4" w:space="0" w:color="auto"/>
            </w:tcBorders>
            <w:noWrap/>
            <w:vAlign w:val="bottom"/>
            <w:hideMark/>
          </w:tcPr>
          <w:p w14:paraId="3A9D7DAB" w14:textId="77777777" w:rsidR="00A74C68" w:rsidRPr="00A74C68" w:rsidRDefault="00A74C68" w:rsidP="00A74C68">
            <w:pPr>
              <w:jc w:val="right"/>
              <w:rPr>
                <w:color w:val="000000"/>
                <w:sz w:val="14"/>
                <w:szCs w:val="14"/>
                <w:lang w:eastAsia="tr-TR"/>
              </w:rPr>
            </w:pPr>
            <w:r w:rsidRPr="00A74C68">
              <w:rPr>
                <w:color w:val="000000"/>
                <w:sz w:val="14"/>
                <w:szCs w:val="14"/>
                <w:lang w:eastAsia="tr-TR"/>
              </w:rPr>
              <w:t>7.607.401</w:t>
            </w:r>
          </w:p>
        </w:tc>
        <w:tc>
          <w:tcPr>
            <w:tcW w:w="458" w:type="pct"/>
            <w:tcBorders>
              <w:top w:val="nil"/>
              <w:left w:val="nil"/>
              <w:bottom w:val="nil"/>
              <w:right w:val="single" w:sz="4" w:space="0" w:color="auto"/>
            </w:tcBorders>
            <w:noWrap/>
            <w:vAlign w:val="bottom"/>
            <w:hideMark/>
          </w:tcPr>
          <w:p w14:paraId="46EAECB3" w14:textId="77777777" w:rsidR="00A74C68" w:rsidRPr="00A74C68" w:rsidRDefault="00A74C68" w:rsidP="00A74C68">
            <w:pPr>
              <w:jc w:val="right"/>
              <w:rPr>
                <w:color w:val="000000"/>
                <w:sz w:val="14"/>
                <w:szCs w:val="14"/>
                <w:lang w:eastAsia="tr-TR"/>
              </w:rPr>
            </w:pPr>
            <w:r w:rsidRPr="00A74C68">
              <w:rPr>
                <w:color w:val="000000"/>
                <w:sz w:val="14"/>
                <w:szCs w:val="14"/>
                <w:lang w:eastAsia="tr-TR"/>
              </w:rPr>
              <w:t>10.257.067</w:t>
            </w:r>
          </w:p>
        </w:tc>
      </w:tr>
      <w:tr w:rsidR="00A74C68" w:rsidRPr="00A74C68" w14:paraId="6F56FD53" w14:textId="77777777" w:rsidTr="00A74C68">
        <w:trPr>
          <w:divId w:val="153886216"/>
          <w:trHeight w:val="20"/>
        </w:trPr>
        <w:tc>
          <w:tcPr>
            <w:tcW w:w="257" w:type="pct"/>
            <w:tcBorders>
              <w:top w:val="nil"/>
              <w:left w:val="single" w:sz="4" w:space="0" w:color="auto"/>
              <w:bottom w:val="nil"/>
              <w:right w:val="nil"/>
            </w:tcBorders>
            <w:hideMark/>
          </w:tcPr>
          <w:p w14:paraId="111C23D0" w14:textId="77777777" w:rsidR="00A74C68" w:rsidRPr="00A74C68" w:rsidRDefault="00A74C68" w:rsidP="00A74C68">
            <w:pPr>
              <w:rPr>
                <w:color w:val="000000"/>
                <w:sz w:val="14"/>
                <w:szCs w:val="14"/>
              </w:rPr>
            </w:pPr>
            <w:r w:rsidRPr="00A74C68">
              <w:rPr>
                <w:color w:val="000000"/>
                <w:sz w:val="14"/>
                <w:szCs w:val="14"/>
              </w:rPr>
              <w:t>3.3.</w:t>
            </w:r>
          </w:p>
        </w:tc>
        <w:tc>
          <w:tcPr>
            <w:tcW w:w="1793" w:type="pct"/>
            <w:tcBorders>
              <w:top w:val="nil"/>
              <w:left w:val="nil"/>
              <w:bottom w:val="nil"/>
              <w:right w:val="nil"/>
            </w:tcBorders>
            <w:hideMark/>
          </w:tcPr>
          <w:p w14:paraId="7F9694C3" w14:textId="77777777" w:rsidR="00A74C68" w:rsidRPr="00A74C68" w:rsidRDefault="00A74C68" w:rsidP="00A74C68">
            <w:pPr>
              <w:rPr>
                <w:color w:val="000000"/>
                <w:sz w:val="14"/>
                <w:szCs w:val="14"/>
              </w:rPr>
            </w:pPr>
            <w:r w:rsidRPr="00A74C68">
              <w:rPr>
                <w:color w:val="000000"/>
                <w:sz w:val="14"/>
                <w:szCs w:val="14"/>
              </w:rPr>
              <w:t>Diğer</w:t>
            </w:r>
          </w:p>
        </w:tc>
        <w:tc>
          <w:tcPr>
            <w:tcW w:w="329" w:type="pct"/>
            <w:tcBorders>
              <w:top w:val="nil"/>
              <w:left w:val="single" w:sz="4" w:space="0" w:color="auto"/>
              <w:bottom w:val="nil"/>
              <w:right w:val="single" w:sz="4" w:space="0" w:color="auto"/>
            </w:tcBorders>
            <w:vAlign w:val="bottom"/>
            <w:hideMark/>
          </w:tcPr>
          <w:p w14:paraId="4ED5F181"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009EB4AA"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63858638" w14:textId="77777777" w:rsidR="00A74C68" w:rsidRPr="00A74C68" w:rsidRDefault="00A74C68" w:rsidP="00A74C68">
            <w:pPr>
              <w:jc w:val="right"/>
              <w:rPr>
                <w:color w:val="000000"/>
                <w:sz w:val="14"/>
                <w:szCs w:val="14"/>
              </w:rPr>
            </w:pPr>
            <w:r w:rsidRPr="00A74C68">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147AEF7C"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noWrap/>
            <w:vAlign w:val="bottom"/>
            <w:hideMark/>
          </w:tcPr>
          <w:p w14:paraId="4B421E85"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4299B02E"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1D08A2B7"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58C5015D" w14:textId="77777777" w:rsidTr="00A74C68">
        <w:trPr>
          <w:divId w:val="153886216"/>
          <w:trHeight w:val="20"/>
        </w:trPr>
        <w:tc>
          <w:tcPr>
            <w:tcW w:w="257" w:type="pct"/>
            <w:tcBorders>
              <w:top w:val="nil"/>
              <w:left w:val="single" w:sz="4" w:space="0" w:color="auto"/>
              <w:bottom w:val="nil"/>
              <w:right w:val="nil"/>
            </w:tcBorders>
            <w:hideMark/>
          </w:tcPr>
          <w:p w14:paraId="774157DA" w14:textId="77777777" w:rsidR="00A74C68" w:rsidRPr="00A74C68" w:rsidRDefault="00A74C68" w:rsidP="00A74C68">
            <w:pPr>
              <w:rPr>
                <w:b/>
                <w:bCs/>
                <w:color w:val="000000"/>
                <w:sz w:val="14"/>
                <w:szCs w:val="14"/>
              </w:rPr>
            </w:pPr>
            <w:r w:rsidRPr="00A74C68">
              <w:rPr>
                <w:b/>
                <w:bCs/>
                <w:color w:val="000000"/>
                <w:sz w:val="14"/>
                <w:szCs w:val="14"/>
              </w:rPr>
              <w:t>B.</w:t>
            </w:r>
          </w:p>
        </w:tc>
        <w:tc>
          <w:tcPr>
            <w:tcW w:w="1793" w:type="pct"/>
            <w:tcBorders>
              <w:top w:val="nil"/>
              <w:left w:val="nil"/>
              <w:bottom w:val="nil"/>
              <w:right w:val="nil"/>
            </w:tcBorders>
            <w:hideMark/>
          </w:tcPr>
          <w:p w14:paraId="20D44C65" w14:textId="77777777" w:rsidR="00A74C68" w:rsidRPr="00A74C68" w:rsidRDefault="00A74C68" w:rsidP="00A74C68">
            <w:pPr>
              <w:rPr>
                <w:b/>
                <w:bCs/>
                <w:color w:val="000000"/>
                <w:sz w:val="14"/>
                <w:szCs w:val="14"/>
              </w:rPr>
            </w:pPr>
            <w:r w:rsidRPr="00A74C68">
              <w:rPr>
                <w:b/>
                <w:bCs/>
                <w:color w:val="000000"/>
                <w:sz w:val="14"/>
                <w:szCs w:val="14"/>
              </w:rPr>
              <w:t>EMANET VE REHİNLİ KIYMETLER (IV + V+VI)</w:t>
            </w:r>
          </w:p>
        </w:tc>
        <w:tc>
          <w:tcPr>
            <w:tcW w:w="329" w:type="pct"/>
            <w:tcBorders>
              <w:top w:val="nil"/>
              <w:left w:val="single" w:sz="4" w:space="0" w:color="auto"/>
              <w:bottom w:val="nil"/>
              <w:right w:val="single" w:sz="4" w:space="0" w:color="auto"/>
            </w:tcBorders>
            <w:vAlign w:val="bottom"/>
            <w:hideMark/>
          </w:tcPr>
          <w:p w14:paraId="0B837E75"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4E971815" w14:textId="77777777" w:rsidR="00A74C68" w:rsidRPr="00A74C68" w:rsidRDefault="00A74C68" w:rsidP="00A74C68">
            <w:pPr>
              <w:jc w:val="right"/>
              <w:rPr>
                <w:b/>
                <w:bCs/>
                <w:color w:val="000000"/>
                <w:sz w:val="14"/>
                <w:szCs w:val="14"/>
              </w:rPr>
            </w:pPr>
            <w:r w:rsidRPr="00A74C68">
              <w:rPr>
                <w:b/>
                <w:bCs/>
                <w:color w:val="000000"/>
                <w:sz w:val="14"/>
                <w:szCs w:val="14"/>
              </w:rPr>
              <w:t>988.535.257</w:t>
            </w:r>
          </w:p>
        </w:tc>
        <w:tc>
          <w:tcPr>
            <w:tcW w:w="412" w:type="pct"/>
            <w:tcBorders>
              <w:top w:val="nil"/>
              <w:left w:val="nil"/>
              <w:bottom w:val="nil"/>
              <w:right w:val="single" w:sz="4" w:space="0" w:color="auto"/>
            </w:tcBorders>
            <w:shd w:val="clear" w:color="000000" w:fill="FFFFFF"/>
            <w:noWrap/>
            <w:vAlign w:val="bottom"/>
            <w:hideMark/>
          </w:tcPr>
          <w:p w14:paraId="1583C5B5" w14:textId="77777777" w:rsidR="00A74C68" w:rsidRPr="00A74C68" w:rsidRDefault="00A74C68" w:rsidP="00A74C68">
            <w:pPr>
              <w:jc w:val="right"/>
              <w:rPr>
                <w:b/>
                <w:bCs/>
                <w:color w:val="000000"/>
                <w:sz w:val="14"/>
                <w:szCs w:val="14"/>
              </w:rPr>
            </w:pPr>
            <w:r w:rsidRPr="00A74C68">
              <w:rPr>
                <w:b/>
                <w:bCs/>
                <w:color w:val="000000"/>
                <w:sz w:val="14"/>
                <w:szCs w:val="14"/>
              </w:rPr>
              <w:t>378.019.442</w:t>
            </w:r>
          </w:p>
        </w:tc>
        <w:tc>
          <w:tcPr>
            <w:tcW w:w="463" w:type="pct"/>
            <w:tcBorders>
              <w:top w:val="nil"/>
              <w:left w:val="nil"/>
              <w:bottom w:val="nil"/>
              <w:right w:val="single" w:sz="4" w:space="0" w:color="auto"/>
            </w:tcBorders>
            <w:shd w:val="clear" w:color="000000" w:fill="FFFFFF"/>
            <w:noWrap/>
            <w:vAlign w:val="bottom"/>
            <w:hideMark/>
          </w:tcPr>
          <w:p w14:paraId="7B446FB1" w14:textId="77777777" w:rsidR="00A74C68" w:rsidRPr="00A74C68" w:rsidRDefault="00A74C68" w:rsidP="00A74C68">
            <w:pPr>
              <w:jc w:val="right"/>
              <w:rPr>
                <w:b/>
                <w:bCs/>
                <w:color w:val="000000"/>
                <w:sz w:val="14"/>
                <w:szCs w:val="14"/>
              </w:rPr>
            </w:pPr>
            <w:r w:rsidRPr="00A74C68">
              <w:rPr>
                <w:b/>
                <w:bCs/>
                <w:color w:val="000000"/>
                <w:sz w:val="14"/>
                <w:szCs w:val="14"/>
              </w:rPr>
              <w:t>1.366.554.699</w:t>
            </w:r>
          </w:p>
        </w:tc>
        <w:tc>
          <w:tcPr>
            <w:tcW w:w="412" w:type="pct"/>
            <w:tcBorders>
              <w:top w:val="nil"/>
              <w:left w:val="nil"/>
              <w:bottom w:val="nil"/>
              <w:right w:val="single" w:sz="4" w:space="0" w:color="auto"/>
            </w:tcBorders>
            <w:noWrap/>
            <w:vAlign w:val="bottom"/>
            <w:hideMark/>
          </w:tcPr>
          <w:p w14:paraId="0B7DC952"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365.912.543</w:t>
            </w:r>
          </w:p>
        </w:tc>
        <w:tc>
          <w:tcPr>
            <w:tcW w:w="412" w:type="pct"/>
            <w:tcBorders>
              <w:top w:val="nil"/>
              <w:left w:val="nil"/>
              <w:bottom w:val="nil"/>
              <w:right w:val="single" w:sz="4" w:space="0" w:color="auto"/>
            </w:tcBorders>
            <w:noWrap/>
            <w:vAlign w:val="bottom"/>
            <w:hideMark/>
          </w:tcPr>
          <w:p w14:paraId="73A1178B"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173.681.823</w:t>
            </w:r>
          </w:p>
        </w:tc>
        <w:tc>
          <w:tcPr>
            <w:tcW w:w="458" w:type="pct"/>
            <w:tcBorders>
              <w:top w:val="nil"/>
              <w:left w:val="nil"/>
              <w:bottom w:val="nil"/>
              <w:right w:val="single" w:sz="4" w:space="0" w:color="auto"/>
            </w:tcBorders>
            <w:noWrap/>
            <w:vAlign w:val="bottom"/>
            <w:hideMark/>
          </w:tcPr>
          <w:p w14:paraId="061117A6"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539.594.366</w:t>
            </w:r>
          </w:p>
        </w:tc>
      </w:tr>
      <w:tr w:rsidR="00A74C68" w:rsidRPr="00A74C68" w14:paraId="700168AC" w14:textId="77777777" w:rsidTr="00A74C68">
        <w:trPr>
          <w:divId w:val="153886216"/>
          <w:trHeight w:val="20"/>
        </w:trPr>
        <w:tc>
          <w:tcPr>
            <w:tcW w:w="257" w:type="pct"/>
            <w:tcBorders>
              <w:top w:val="nil"/>
              <w:left w:val="single" w:sz="4" w:space="0" w:color="auto"/>
              <w:bottom w:val="nil"/>
              <w:right w:val="nil"/>
            </w:tcBorders>
            <w:hideMark/>
          </w:tcPr>
          <w:p w14:paraId="18D22042" w14:textId="77777777" w:rsidR="00A74C68" w:rsidRPr="00A74C68" w:rsidRDefault="00A74C68" w:rsidP="00A74C68">
            <w:pPr>
              <w:rPr>
                <w:b/>
                <w:bCs/>
                <w:color w:val="000000"/>
                <w:sz w:val="14"/>
                <w:szCs w:val="14"/>
              </w:rPr>
            </w:pPr>
            <w:r w:rsidRPr="00A74C68">
              <w:rPr>
                <w:b/>
                <w:bCs/>
                <w:color w:val="000000"/>
                <w:sz w:val="14"/>
                <w:szCs w:val="14"/>
              </w:rPr>
              <w:t>IV.</w:t>
            </w:r>
          </w:p>
        </w:tc>
        <w:tc>
          <w:tcPr>
            <w:tcW w:w="1793" w:type="pct"/>
            <w:tcBorders>
              <w:top w:val="nil"/>
              <w:left w:val="nil"/>
              <w:bottom w:val="nil"/>
              <w:right w:val="nil"/>
            </w:tcBorders>
            <w:hideMark/>
          </w:tcPr>
          <w:p w14:paraId="502C44CA" w14:textId="77777777" w:rsidR="00A74C68" w:rsidRPr="00A74C68" w:rsidRDefault="00A74C68" w:rsidP="00A74C68">
            <w:pPr>
              <w:rPr>
                <w:b/>
                <w:bCs/>
                <w:color w:val="000000"/>
                <w:sz w:val="14"/>
                <w:szCs w:val="14"/>
              </w:rPr>
            </w:pPr>
            <w:r w:rsidRPr="00A74C68">
              <w:rPr>
                <w:b/>
                <w:bCs/>
                <w:color w:val="000000"/>
                <w:sz w:val="14"/>
                <w:szCs w:val="14"/>
              </w:rPr>
              <w:t>EMANET KIYMETLER</w:t>
            </w:r>
          </w:p>
        </w:tc>
        <w:tc>
          <w:tcPr>
            <w:tcW w:w="329" w:type="pct"/>
            <w:tcBorders>
              <w:top w:val="nil"/>
              <w:left w:val="single" w:sz="4" w:space="0" w:color="auto"/>
              <w:bottom w:val="nil"/>
              <w:right w:val="single" w:sz="4" w:space="0" w:color="auto"/>
            </w:tcBorders>
            <w:vAlign w:val="bottom"/>
            <w:hideMark/>
          </w:tcPr>
          <w:p w14:paraId="4D57D7CB"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3DFE5B7E" w14:textId="77777777" w:rsidR="00A74C68" w:rsidRPr="00A74C68" w:rsidRDefault="00A74C68" w:rsidP="00A74C68">
            <w:pPr>
              <w:jc w:val="right"/>
              <w:rPr>
                <w:b/>
                <w:bCs/>
                <w:color w:val="000000"/>
                <w:sz w:val="14"/>
                <w:szCs w:val="14"/>
              </w:rPr>
            </w:pPr>
            <w:r w:rsidRPr="00A74C68">
              <w:rPr>
                <w:b/>
                <w:bCs/>
                <w:color w:val="000000"/>
                <w:sz w:val="14"/>
                <w:szCs w:val="14"/>
              </w:rPr>
              <w:t>5.888.035</w:t>
            </w:r>
          </w:p>
        </w:tc>
        <w:tc>
          <w:tcPr>
            <w:tcW w:w="412" w:type="pct"/>
            <w:tcBorders>
              <w:top w:val="nil"/>
              <w:left w:val="nil"/>
              <w:bottom w:val="nil"/>
              <w:right w:val="single" w:sz="4" w:space="0" w:color="auto"/>
            </w:tcBorders>
            <w:shd w:val="clear" w:color="000000" w:fill="FFFFFF"/>
            <w:noWrap/>
            <w:vAlign w:val="bottom"/>
            <w:hideMark/>
          </w:tcPr>
          <w:p w14:paraId="6208B4F5" w14:textId="77777777" w:rsidR="00A74C68" w:rsidRPr="00A74C68" w:rsidRDefault="00A74C68" w:rsidP="00A74C68">
            <w:pPr>
              <w:jc w:val="right"/>
              <w:rPr>
                <w:b/>
                <w:bCs/>
                <w:color w:val="000000"/>
                <w:sz w:val="14"/>
                <w:szCs w:val="14"/>
              </w:rPr>
            </w:pPr>
            <w:r w:rsidRPr="00A74C68">
              <w:rPr>
                <w:b/>
                <w:bCs/>
                <w:color w:val="000000"/>
                <w:sz w:val="14"/>
                <w:szCs w:val="14"/>
              </w:rPr>
              <w:t>31.481</w:t>
            </w:r>
          </w:p>
        </w:tc>
        <w:tc>
          <w:tcPr>
            <w:tcW w:w="463" w:type="pct"/>
            <w:tcBorders>
              <w:top w:val="nil"/>
              <w:left w:val="nil"/>
              <w:bottom w:val="nil"/>
              <w:right w:val="single" w:sz="4" w:space="0" w:color="auto"/>
            </w:tcBorders>
            <w:shd w:val="clear" w:color="000000" w:fill="FFFFFF"/>
            <w:noWrap/>
            <w:vAlign w:val="bottom"/>
            <w:hideMark/>
          </w:tcPr>
          <w:p w14:paraId="03130016" w14:textId="77777777" w:rsidR="00A74C68" w:rsidRPr="00A74C68" w:rsidRDefault="00A74C68" w:rsidP="00A74C68">
            <w:pPr>
              <w:jc w:val="right"/>
              <w:rPr>
                <w:b/>
                <w:bCs/>
                <w:color w:val="000000"/>
                <w:sz w:val="14"/>
                <w:szCs w:val="14"/>
              </w:rPr>
            </w:pPr>
            <w:r w:rsidRPr="00A74C68">
              <w:rPr>
                <w:b/>
                <w:bCs/>
                <w:color w:val="000000"/>
                <w:sz w:val="14"/>
                <w:szCs w:val="14"/>
              </w:rPr>
              <w:t>5.919.516</w:t>
            </w:r>
          </w:p>
        </w:tc>
        <w:tc>
          <w:tcPr>
            <w:tcW w:w="412" w:type="pct"/>
            <w:tcBorders>
              <w:top w:val="nil"/>
              <w:left w:val="nil"/>
              <w:bottom w:val="nil"/>
              <w:right w:val="single" w:sz="4" w:space="0" w:color="auto"/>
            </w:tcBorders>
            <w:noWrap/>
            <w:vAlign w:val="bottom"/>
            <w:hideMark/>
          </w:tcPr>
          <w:p w14:paraId="0AF700BF"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733.732</w:t>
            </w:r>
          </w:p>
        </w:tc>
        <w:tc>
          <w:tcPr>
            <w:tcW w:w="412" w:type="pct"/>
            <w:tcBorders>
              <w:top w:val="nil"/>
              <w:left w:val="nil"/>
              <w:bottom w:val="nil"/>
              <w:right w:val="single" w:sz="4" w:space="0" w:color="auto"/>
            </w:tcBorders>
            <w:noWrap/>
            <w:vAlign w:val="bottom"/>
            <w:hideMark/>
          </w:tcPr>
          <w:p w14:paraId="40E44E12"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w:t>
            </w:r>
          </w:p>
        </w:tc>
        <w:tc>
          <w:tcPr>
            <w:tcW w:w="458" w:type="pct"/>
            <w:tcBorders>
              <w:top w:val="nil"/>
              <w:left w:val="nil"/>
              <w:bottom w:val="nil"/>
              <w:right w:val="single" w:sz="4" w:space="0" w:color="auto"/>
            </w:tcBorders>
            <w:noWrap/>
            <w:vAlign w:val="bottom"/>
            <w:hideMark/>
          </w:tcPr>
          <w:p w14:paraId="1193D93B"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733.732</w:t>
            </w:r>
          </w:p>
        </w:tc>
      </w:tr>
      <w:tr w:rsidR="00A74C68" w:rsidRPr="00A74C68" w14:paraId="2ED1378D" w14:textId="77777777" w:rsidTr="00A74C68">
        <w:trPr>
          <w:divId w:val="153886216"/>
          <w:trHeight w:val="20"/>
        </w:trPr>
        <w:tc>
          <w:tcPr>
            <w:tcW w:w="257" w:type="pct"/>
            <w:tcBorders>
              <w:top w:val="nil"/>
              <w:left w:val="single" w:sz="4" w:space="0" w:color="auto"/>
              <w:bottom w:val="nil"/>
              <w:right w:val="nil"/>
            </w:tcBorders>
            <w:hideMark/>
          </w:tcPr>
          <w:p w14:paraId="01199030" w14:textId="77777777" w:rsidR="00A74C68" w:rsidRPr="00A74C68" w:rsidRDefault="00A74C68" w:rsidP="00A74C68">
            <w:pPr>
              <w:rPr>
                <w:color w:val="000000"/>
                <w:sz w:val="14"/>
                <w:szCs w:val="14"/>
              </w:rPr>
            </w:pPr>
            <w:r w:rsidRPr="00A74C68">
              <w:rPr>
                <w:color w:val="000000"/>
                <w:sz w:val="14"/>
                <w:szCs w:val="14"/>
              </w:rPr>
              <w:t>4.1.</w:t>
            </w:r>
          </w:p>
        </w:tc>
        <w:tc>
          <w:tcPr>
            <w:tcW w:w="1793" w:type="pct"/>
            <w:tcBorders>
              <w:top w:val="nil"/>
              <w:left w:val="nil"/>
              <w:bottom w:val="nil"/>
              <w:right w:val="nil"/>
            </w:tcBorders>
            <w:hideMark/>
          </w:tcPr>
          <w:p w14:paraId="4CBD4519" w14:textId="77777777" w:rsidR="00A74C68" w:rsidRPr="00A74C68" w:rsidRDefault="00A74C68" w:rsidP="00A74C68">
            <w:pPr>
              <w:rPr>
                <w:color w:val="000000"/>
                <w:sz w:val="14"/>
                <w:szCs w:val="14"/>
              </w:rPr>
            </w:pPr>
            <w:r w:rsidRPr="00A74C68">
              <w:rPr>
                <w:color w:val="000000"/>
                <w:sz w:val="14"/>
                <w:szCs w:val="14"/>
              </w:rPr>
              <w:t xml:space="preserve">Müşteri Fon </w:t>
            </w:r>
            <w:proofErr w:type="gramStart"/>
            <w:r w:rsidRPr="00A74C68">
              <w:rPr>
                <w:color w:val="000000"/>
                <w:sz w:val="14"/>
                <w:szCs w:val="14"/>
              </w:rPr>
              <w:t>Ve</w:t>
            </w:r>
            <w:proofErr w:type="gramEnd"/>
            <w:r w:rsidRPr="00A74C68">
              <w:rPr>
                <w:color w:val="000000"/>
                <w:sz w:val="14"/>
                <w:szCs w:val="14"/>
              </w:rPr>
              <w:t xml:space="preserve"> Portföy Mevcutları</w:t>
            </w:r>
          </w:p>
        </w:tc>
        <w:tc>
          <w:tcPr>
            <w:tcW w:w="329" w:type="pct"/>
            <w:tcBorders>
              <w:top w:val="nil"/>
              <w:left w:val="single" w:sz="4" w:space="0" w:color="auto"/>
              <w:bottom w:val="nil"/>
              <w:right w:val="single" w:sz="4" w:space="0" w:color="auto"/>
            </w:tcBorders>
            <w:vAlign w:val="bottom"/>
            <w:hideMark/>
          </w:tcPr>
          <w:p w14:paraId="1410AAC0"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5E733E72" w14:textId="77777777" w:rsidR="00A74C68" w:rsidRPr="00A74C68" w:rsidRDefault="00A74C68" w:rsidP="00A74C68">
            <w:pPr>
              <w:jc w:val="right"/>
              <w:rPr>
                <w:color w:val="000000"/>
                <w:sz w:val="14"/>
                <w:szCs w:val="14"/>
              </w:rPr>
            </w:pPr>
            <w:r w:rsidRPr="00A74C68">
              <w:rPr>
                <w:color w:val="000000"/>
                <w:sz w:val="14"/>
                <w:szCs w:val="14"/>
              </w:rPr>
              <w:t>4.413.845</w:t>
            </w:r>
          </w:p>
        </w:tc>
        <w:tc>
          <w:tcPr>
            <w:tcW w:w="412" w:type="pct"/>
            <w:tcBorders>
              <w:top w:val="nil"/>
              <w:left w:val="nil"/>
              <w:bottom w:val="nil"/>
              <w:right w:val="single" w:sz="4" w:space="0" w:color="auto"/>
            </w:tcBorders>
            <w:shd w:val="clear" w:color="000000" w:fill="FFFFFF"/>
            <w:noWrap/>
            <w:vAlign w:val="bottom"/>
            <w:hideMark/>
          </w:tcPr>
          <w:p w14:paraId="062F8C2F" w14:textId="77777777" w:rsidR="00A74C68" w:rsidRPr="00A74C68" w:rsidRDefault="00A74C68" w:rsidP="00A74C68">
            <w:pPr>
              <w:jc w:val="right"/>
              <w:rPr>
                <w:color w:val="000000"/>
                <w:sz w:val="14"/>
                <w:szCs w:val="14"/>
              </w:rPr>
            </w:pPr>
            <w:r w:rsidRPr="00A74C68">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6921A8B6" w14:textId="77777777" w:rsidR="00A74C68" w:rsidRPr="00A74C68" w:rsidRDefault="00A74C68" w:rsidP="00A74C68">
            <w:pPr>
              <w:jc w:val="right"/>
              <w:rPr>
                <w:color w:val="000000"/>
                <w:sz w:val="14"/>
                <w:szCs w:val="14"/>
              </w:rPr>
            </w:pPr>
            <w:r w:rsidRPr="00A74C68">
              <w:rPr>
                <w:color w:val="000000"/>
                <w:sz w:val="14"/>
                <w:szCs w:val="14"/>
              </w:rPr>
              <w:t>4.413.845</w:t>
            </w:r>
          </w:p>
        </w:tc>
        <w:tc>
          <w:tcPr>
            <w:tcW w:w="412" w:type="pct"/>
            <w:tcBorders>
              <w:top w:val="nil"/>
              <w:left w:val="nil"/>
              <w:bottom w:val="nil"/>
              <w:right w:val="single" w:sz="4" w:space="0" w:color="auto"/>
            </w:tcBorders>
            <w:noWrap/>
            <w:vAlign w:val="bottom"/>
            <w:hideMark/>
          </w:tcPr>
          <w:p w14:paraId="4B522C74"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2A802BEB"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12219EAE"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2A6F18EB" w14:textId="77777777" w:rsidTr="00A74C68">
        <w:trPr>
          <w:divId w:val="153886216"/>
          <w:trHeight w:val="20"/>
        </w:trPr>
        <w:tc>
          <w:tcPr>
            <w:tcW w:w="257" w:type="pct"/>
            <w:tcBorders>
              <w:top w:val="nil"/>
              <w:left w:val="single" w:sz="4" w:space="0" w:color="auto"/>
              <w:bottom w:val="nil"/>
              <w:right w:val="nil"/>
            </w:tcBorders>
            <w:hideMark/>
          </w:tcPr>
          <w:p w14:paraId="2B4CFADC" w14:textId="77777777" w:rsidR="00A74C68" w:rsidRPr="00A74C68" w:rsidRDefault="00A74C68" w:rsidP="00A74C68">
            <w:pPr>
              <w:rPr>
                <w:color w:val="000000"/>
                <w:sz w:val="14"/>
                <w:szCs w:val="14"/>
              </w:rPr>
            </w:pPr>
            <w:r w:rsidRPr="00A74C68">
              <w:rPr>
                <w:color w:val="000000"/>
                <w:sz w:val="14"/>
                <w:szCs w:val="14"/>
              </w:rPr>
              <w:t>4.2.</w:t>
            </w:r>
          </w:p>
        </w:tc>
        <w:tc>
          <w:tcPr>
            <w:tcW w:w="1793" w:type="pct"/>
            <w:tcBorders>
              <w:top w:val="nil"/>
              <w:left w:val="nil"/>
              <w:bottom w:val="nil"/>
              <w:right w:val="nil"/>
            </w:tcBorders>
            <w:hideMark/>
          </w:tcPr>
          <w:p w14:paraId="43408D35" w14:textId="77777777" w:rsidR="00A74C68" w:rsidRPr="00A74C68" w:rsidRDefault="00A74C68" w:rsidP="00A74C68">
            <w:pPr>
              <w:rPr>
                <w:color w:val="000000"/>
                <w:sz w:val="14"/>
                <w:szCs w:val="14"/>
              </w:rPr>
            </w:pPr>
            <w:r w:rsidRPr="00A74C68">
              <w:rPr>
                <w:color w:val="000000"/>
                <w:sz w:val="14"/>
                <w:szCs w:val="14"/>
              </w:rPr>
              <w:t>Emanete Alınan Menkul Değerler</w:t>
            </w:r>
          </w:p>
        </w:tc>
        <w:tc>
          <w:tcPr>
            <w:tcW w:w="329" w:type="pct"/>
            <w:tcBorders>
              <w:top w:val="nil"/>
              <w:left w:val="single" w:sz="4" w:space="0" w:color="auto"/>
              <w:bottom w:val="nil"/>
              <w:right w:val="single" w:sz="4" w:space="0" w:color="auto"/>
            </w:tcBorders>
            <w:vAlign w:val="bottom"/>
            <w:hideMark/>
          </w:tcPr>
          <w:p w14:paraId="1E760871"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312E96E4"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635F7960" w14:textId="77777777" w:rsidR="00A74C68" w:rsidRPr="00A74C68" w:rsidRDefault="00A74C68" w:rsidP="00A74C68">
            <w:pPr>
              <w:jc w:val="right"/>
              <w:rPr>
                <w:color w:val="000000"/>
                <w:sz w:val="14"/>
                <w:szCs w:val="14"/>
              </w:rPr>
            </w:pPr>
            <w:r w:rsidRPr="00A74C68">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60C03BD4"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noWrap/>
            <w:vAlign w:val="bottom"/>
            <w:hideMark/>
          </w:tcPr>
          <w:p w14:paraId="49C419B1"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031A87CD"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2BD8778D"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67840D61" w14:textId="77777777" w:rsidTr="00A74C68">
        <w:trPr>
          <w:divId w:val="153886216"/>
          <w:trHeight w:val="20"/>
        </w:trPr>
        <w:tc>
          <w:tcPr>
            <w:tcW w:w="257" w:type="pct"/>
            <w:tcBorders>
              <w:top w:val="nil"/>
              <w:left w:val="single" w:sz="4" w:space="0" w:color="auto"/>
              <w:bottom w:val="nil"/>
              <w:right w:val="nil"/>
            </w:tcBorders>
            <w:hideMark/>
          </w:tcPr>
          <w:p w14:paraId="031BBECD" w14:textId="77777777" w:rsidR="00A74C68" w:rsidRPr="00A74C68" w:rsidRDefault="00A74C68" w:rsidP="00A74C68">
            <w:pPr>
              <w:rPr>
                <w:color w:val="000000"/>
                <w:sz w:val="14"/>
                <w:szCs w:val="14"/>
              </w:rPr>
            </w:pPr>
            <w:r w:rsidRPr="00A74C68">
              <w:rPr>
                <w:color w:val="000000"/>
                <w:sz w:val="14"/>
                <w:szCs w:val="14"/>
              </w:rPr>
              <w:t>4.3.</w:t>
            </w:r>
          </w:p>
        </w:tc>
        <w:tc>
          <w:tcPr>
            <w:tcW w:w="1793" w:type="pct"/>
            <w:tcBorders>
              <w:top w:val="nil"/>
              <w:left w:val="nil"/>
              <w:bottom w:val="nil"/>
              <w:right w:val="nil"/>
            </w:tcBorders>
            <w:hideMark/>
          </w:tcPr>
          <w:p w14:paraId="5A736044" w14:textId="77777777" w:rsidR="00A74C68" w:rsidRPr="00A74C68" w:rsidRDefault="00A74C68" w:rsidP="00A74C68">
            <w:pPr>
              <w:rPr>
                <w:color w:val="000000"/>
                <w:sz w:val="14"/>
                <w:szCs w:val="14"/>
              </w:rPr>
            </w:pPr>
            <w:r w:rsidRPr="00A74C68">
              <w:rPr>
                <w:color w:val="000000"/>
                <w:sz w:val="14"/>
                <w:szCs w:val="14"/>
              </w:rPr>
              <w:t>Tahsile Alınan Çekler</w:t>
            </w:r>
          </w:p>
        </w:tc>
        <w:tc>
          <w:tcPr>
            <w:tcW w:w="329" w:type="pct"/>
            <w:tcBorders>
              <w:top w:val="nil"/>
              <w:left w:val="single" w:sz="4" w:space="0" w:color="auto"/>
              <w:bottom w:val="nil"/>
              <w:right w:val="single" w:sz="4" w:space="0" w:color="auto"/>
            </w:tcBorders>
            <w:vAlign w:val="bottom"/>
            <w:hideMark/>
          </w:tcPr>
          <w:p w14:paraId="1740E77A"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2FFCE479" w14:textId="77777777" w:rsidR="00A74C68" w:rsidRPr="00A74C68" w:rsidRDefault="00A74C68" w:rsidP="00A74C68">
            <w:pPr>
              <w:jc w:val="right"/>
              <w:rPr>
                <w:color w:val="000000"/>
                <w:sz w:val="14"/>
                <w:szCs w:val="14"/>
              </w:rPr>
            </w:pPr>
            <w:r w:rsidRPr="00A74C68">
              <w:rPr>
                <w:color w:val="000000"/>
                <w:sz w:val="14"/>
                <w:szCs w:val="14"/>
              </w:rPr>
              <w:t>1.474.190</w:t>
            </w:r>
          </w:p>
        </w:tc>
        <w:tc>
          <w:tcPr>
            <w:tcW w:w="412" w:type="pct"/>
            <w:tcBorders>
              <w:top w:val="nil"/>
              <w:left w:val="nil"/>
              <w:bottom w:val="nil"/>
              <w:right w:val="single" w:sz="4" w:space="0" w:color="auto"/>
            </w:tcBorders>
            <w:shd w:val="clear" w:color="000000" w:fill="FFFFFF"/>
            <w:noWrap/>
            <w:vAlign w:val="bottom"/>
            <w:hideMark/>
          </w:tcPr>
          <w:p w14:paraId="13D5D5CB" w14:textId="77777777" w:rsidR="00A74C68" w:rsidRPr="00A74C68" w:rsidRDefault="00A74C68" w:rsidP="00A74C68">
            <w:pPr>
              <w:jc w:val="right"/>
              <w:rPr>
                <w:color w:val="000000"/>
                <w:sz w:val="14"/>
                <w:szCs w:val="14"/>
              </w:rPr>
            </w:pPr>
            <w:r w:rsidRPr="00A74C68">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0D778C70" w14:textId="77777777" w:rsidR="00A74C68" w:rsidRPr="00A74C68" w:rsidRDefault="00A74C68" w:rsidP="00A74C68">
            <w:pPr>
              <w:jc w:val="right"/>
              <w:rPr>
                <w:color w:val="000000"/>
                <w:sz w:val="14"/>
                <w:szCs w:val="14"/>
              </w:rPr>
            </w:pPr>
            <w:r w:rsidRPr="00A74C68">
              <w:rPr>
                <w:color w:val="000000"/>
                <w:sz w:val="14"/>
                <w:szCs w:val="14"/>
              </w:rPr>
              <w:t>1.474.190</w:t>
            </w:r>
          </w:p>
        </w:tc>
        <w:tc>
          <w:tcPr>
            <w:tcW w:w="412" w:type="pct"/>
            <w:tcBorders>
              <w:top w:val="nil"/>
              <w:left w:val="nil"/>
              <w:bottom w:val="nil"/>
              <w:right w:val="single" w:sz="4" w:space="0" w:color="auto"/>
            </w:tcBorders>
            <w:noWrap/>
            <w:vAlign w:val="bottom"/>
            <w:hideMark/>
          </w:tcPr>
          <w:p w14:paraId="3E53674D" w14:textId="77777777" w:rsidR="00A74C68" w:rsidRPr="00A74C68" w:rsidRDefault="00A74C68" w:rsidP="00A74C68">
            <w:pPr>
              <w:jc w:val="right"/>
              <w:rPr>
                <w:color w:val="000000"/>
                <w:sz w:val="14"/>
                <w:szCs w:val="14"/>
                <w:lang w:eastAsia="tr-TR"/>
              </w:rPr>
            </w:pPr>
            <w:r w:rsidRPr="00A74C68">
              <w:rPr>
                <w:color w:val="000000"/>
                <w:sz w:val="14"/>
                <w:szCs w:val="14"/>
                <w:lang w:eastAsia="tr-TR"/>
              </w:rPr>
              <w:t>733.732</w:t>
            </w:r>
          </w:p>
        </w:tc>
        <w:tc>
          <w:tcPr>
            <w:tcW w:w="412" w:type="pct"/>
            <w:tcBorders>
              <w:top w:val="nil"/>
              <w:left w:val="nil"/>
              <w:bottom w:val="nil"/>
              <w:right w:val="single" w:sz="4" w:space="0" w:color="auto"/>
            </w:tcBorders>
            <w:noWrap/>
            <w:vAlign w:val="bottom"/>
            <w:hideMark/>
          </w:tcPr>
          <w:p w14:paraId="20AEBACF"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6A4155C3" w14:textId="77777777" w:rsidR="00A74C68" w:rsidRPr="00A74C68" w:rsidRDefault="00A74C68" w:rsidP="00A74C68">
            <w:pPr>
              <w:jc w:val="right"/>
              <w:rPr>
                <w:color w:val="000000"/>
                <w:sz w:val="14"/>
                <w:szCs w:val="14"/>
                <w:lang w:eastAsia="tr-TR"/>
              </w:rPr>
            </w:pPr>
            <w:r w:rsidRPr="00A74C68">
              <w:rPr>
                <w:color w:val="000000"/>
                <w:sz w:val="14"/>
                <w:szCs w:val="14"/>
                <w:lang w:eastAsia="tr-TR"/>
              </w:rPr>
              <w:t>733.732</w:t>
            </w:r>
          </w:p>
        </w:tc>
      </w:tr>
      <w:tr w:rsidR="00A74C68" w:rsidRPr="00A74C68" w14:paraId="24416877" w14:textId="77777777" w:rsidTr="00A74C68">
        <w:trPr>
          <w:divId w:val="153886216"/>
          <w:trHeight w:val="20"/>
        </w:trPr>
        <w:tc>
          <w:tcPr>
            <w:tcW w:w="257" w:type="pct"/>
            <w:tcBorders>
              <w:top w:val="nil"/>
              <w:left w:val="single" w:sz="4" w:space="0" w:color="auto"/>
              <w:bottom w:val="nil"/>
              <w:right w:val="nil"/>
            </w:tcBorders>
            <w:hideMark/>
          </w:tcPr>
          <w:p w14:paraId="50021F86" w14:textId="77777777" w:rsidR="00A74C68" w:rsidRPr="00A74C68" w:rsidRDefault="00A74C68" w:rsidP="00A74C68">
            <w:pPr>
              <w:rPr>
                <w:color w:val="000000"/>
                <w:sz w:val="14"/>
                <w:szCs w:val="14"/>
              </w:rPr>
            </w:pPr>
            <w:r w:rsidRPr="00A74C68">
              <w:rPr>
                <w:color w:val="000000"/>
                <w:sz w:val="14"/>
                <w:szCs w:val="14"/>
              </w:rPr>
              <w:t>4.4.</w:t>
            </w:r>
          </w:p>
        </w:tc>
        <w:tc>
          <w:tcPr>
            <w:tcW w:w="1793" w:type="pct"/>
            <w:tcBorders>
              <w:top w:val="nil"/>
              <w:left w:val="nil"/>
              <w:bottom w:val="nil"/>
              <w:right w:val="nil"/>
            </w:tcBorders>
            <w:hideMark/>
          </w:tcPr>
          <w:p w14:paraId="7C8036FC" w14:textId="77777777" w:rsidR="00A74C68" w:rsidRPr="00A74C68" w:rsidRDefault="00A74C68" w:rsidP="00A74C68">
            <w:pPr>
              <w:rPr>
                <w:color w:val="000000"/>
                <w:sz w:val="14"/>
                <w:szCs w:val="14"/>
              </w:rPr>
            </w:pPr>
            <w:r w:rsidRPr="00A74C68">
              <w:rPr>
                <w:color w:val="000000"/>
                <w:sz w:val="14"/>
                <w:szCs w:val="14"/>
              </w:rPr>
              <w:t>Tahsile Alınan Ticari Senetler</w:t>
            </w:r>
          </w:p>
        </w:tc>
        <w:tc>
          <w:tcPr>
            <w:tcW w:w="329" w:type="pct"/>
            <w:tcBorders>
              <w:top w:val="nil"/>
              <w:left w:val="single" w:sz="4" w:space="0" w:color="auto"/>
              <w:bottom w:val="nil"/>
              <w:right w:val="single" w:sz="4" w:space="0" w:color="auto"/>
            </w:tcBorders>
            <w:vAlign w:val="bottom"/>
            <w:hideMark/>
          </w:tcPr>
          <w:p w14:paraId="5DCA638C"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3859D165"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68C2D9DE" w14:textId="77777777" w:rsidR="00A74C68" w:rsidRPr="00A74C68" w:rsidRDefault="00A74C68" w:rsidP="00A74C68">
            <w:pPr>
              <w:jc w:val="right"/>
              <w:rPr>
                <w:color w:val="000000"/>
                <w:sz w:val="14"/>
                <w:szCs w:val="14"/>
              </w:rPr>
            </w:pPr>
            <w:r w:rsidRPr="00A74C68">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162D131C"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noWrap/>
            <w:vAlign w:val="bottom"/>
            <w:hideMark/>
          </w:tcPr>
          <w:p w14:paraId="5A42DD81"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523890E1"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5F1ADA9B"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6E81CBE6" w14:textId="77777777" w:rsidTr="00A74C68">
        <w:trPr>
          <w:divId w:val="153886216"/>
          <w:trHeight w:val="20"/>
        </w:trPr>
        <w:tc>
          <w:tcPr>
            <w:tcW w:w="257" w:type="pct"/>
            <w:tcBorders>
              <w:top w:val="nil"/>
              <w:left w:val="single" w:sz="4" w:space="0" w:color="auto"/>
              <w:bottom w:val="nil"/>
              <w:right w:val="nil"/>
            </w:tcBorders>
            <w:hideMark/>
          </w:tcPr>
          <w:p w14:paraId="7C51763E" w14:textId="77777777" w:rsidR="00A74C68" w:rsidRPr="00A74C68" w:rsidRDefault="00A74C68" w:rsidP="00A74C68">
            <w:pPr>
              <w:rPr>
                <w:color w:val="000000"/>
                <w:sz w:val="14"/>
                <w:szCs w:val="14"/>
              </w:rPr>
            </w:pPr>
            <w:r w:rsidRPr="00A74C68">
              <w:rPr>
                <w:color w:val="000000"/>
                <w:sz w:val="14"/>
                <w:szCs w:val="14"/>
              </w:rPr>
              <w:t>4.5.</w:t>
            </w:r>
          </w:p>
        </w:tc>
        <w:tc>
          <w:tcPr>
            <w:tcW w:w="1793" w:type="pct"/>
            <w:tcBorders>
              <w:top w:val="nil"/>
              <w:left w:val="nil"/>
              <w:bottom w:val="nil"/>
              <w:right w:val="nil"/>
            </w:tcBorders>
            <w:hideMark/>
          </w:tcPr>
          <w:p w14:paraId="5C3220A2" w14:textId="77777777" w:rsidR="00A74C68" w:rsidRPr="00A74C68" w:rsidRDefault="00A74C68" w:rsidP="00A74C68">
            <w:pPr>
              <w:rPr>
                <w:color w:val="000000"/>
                <w:sz w:val="14"/>
                <w:szCs w:val="14"/>
              </w:rPr>
            </w:pPr>
            <w:r w:rsidRPr="00A74C68">
              <w:rPr>
                <w:color w:val="000000"/>
                <w:sz w:val="14"/>
                <w:szCs w:val="14"/>
              </w:rPr>
              <w:t>Tahsile Alınan Diğer Kıymetler</w:t>
            </w:r>
          </w:p>
        </w:tc>
        <w:tc>
          <w:tcPr>
            <w:tcW w:w="329" w:type="pct"/>
            <w:tcBorders>
              <w:top w:val="nil"/>
              <w:left w:val="single" w:sz="4" w:space="0" w:color="auto"/>
              <w:bottom w:val="nil"/>
              <w:right w:val="single" w:sz="4" w:space="0" w:color="auto"/>
            </w:tcBorders>
            <w:vAlign w:val="bottom"/>
            <w:hideMark/>
          </w:tcPr>
          <w:p w14:paraId="0A1AC74A"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405C0C98"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265BEB3A" w14:textId="77777777" w:rsidR="00A74C68" w:rsidRPr="00A74C68" w:rsidRDefault="00A74C68" w:rsidP="00A74C68">
            <w:pPr>
              <w:jc w:val="right"/>
              <w:rPr>
                <w:color w:val="000000"/>
                <w:sz w:val="14"/>
                <w:szCs w:val="14"/>
              </w:rPr>
            </w:pPr>
            <w:r w:rsidRPr="00A74C68">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2F5BD8E7"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noWrap/>
            <w:vAlign w:val="bottom"/>
            <w:hideMark/>
          </w:tcPr>
          <w:p w14:paraId="719CDEAC"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2A1754A3"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5C16B745"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2E0EB09E" w14:textId="77777777" w:rsidTr="00A74C68">
        <w:trPr>
          <w:divId w:val="153886216"/>
          <w:trHeight w:val="20"/>
        </w:trPr>
        <w:tc>
          <w:tcPr>
            <w:tcW w:w="257" w:type="pct"/>
            <w:tcBorders>
              <w:top w:val="nil"/>
              <w:left w:val="single" w:sz="4" w:space="0" w:color="auto"/>
              <w:bottom w:val="nil"/>
              <w:right w:val="nil"/>
            </w:tcBorders>
            <w:hideMark/>
          </w:tcPr>
          <w:p w14:paraId="04781DBC" w14:textId="77777777" w:rsidR="00A74C68" w:rsidRPr="00A74C68" w:rsidRDefault="00A74C68" w:rsidP="00A74C68">
            <w:pPr>
              <w:rPr>
                <w:color w:val="000000"/>
                <w:sz w:val="14"/>
                <w:szCs w:val="14"/>
              </w:rPr>
            </w:pPr>
            <w:r w:rsidRPr="00A74C68">
              <w:rPr>
                <w:color w:val="000000"/>
                <w:sz w:val="14"/>
                <w:szCs w:val="14"/>
              </w:rPr>
              <w:t>4.6.</w:t>
            </w:r>
          </w:p>
        </w:tc>
        <w:tc>
          <w:tcPr>
            <w:tcW w:w="1793" w:type="pct"/>
            <w:tcBorders>
              <w:top w:val="nil"/>
              <w:left w:val="nil"/>
              <w:bottom w:val="nil"/>
              <w:right w:val="nil"/>
            </w:tcBorders>
            <w:hideMark/>
          </w:tcPr>
          <w:p w14:paraId="0F196D6C" w14:textId="77777777" w:rsidR="00A74C68" w:rsidRPr="00A74C68" w:rsidRDefault="00A74C68" w:rsidP="00A74C68">
            <w:pPr>
              <w:rPr>
                <w:color w:val="000000"/>
                <w:sz w:val="14"/>
                <w:szCs w:val="14"/>
              </w:rPr>
            </w:pPr>
            <w:r w:rsidRPr="00A74C68">
              <w:rPr>
                <w:color w:val="000000"/>
                <w:sz w:val="14"/>
                <w:szCs w:val="14"/>
              </w:rPr>
              <w:t>İhracına Aracı Olunan Kıymetler</w:t>
            </w:r>
          </w:p>
        </w:tc>
        <w:tc>
          <w:tcPr>
            <w:tcW w:w="329" w:type="pct"/>
            <w:tcBorders>
              <w:top w:val="nil"/>
              <w:left w:val="single" w:sz="4" w:space="0" w:color="auto"/>
              <w:bottom w:val="nil"/>
              <w:right w:val="single" w:sz="4" w:space="0" w:color="auto"/>
            </w:tcBorders>
            <w:vAlign w:val="bottom"/>
            <w:hideMark/>
          </w:tcPr>
          <w:p w14:paraId="5D877D95"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31E9A38F"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6B346409" w14:textId="77777777" w:rsidR="00A74C68" w:rsidRPr="00A74C68" w:rsidRDefault="00A74C68" w:rsidP="00A74C68">
            <w:pPr>
              <w:jc w:val="right"/>
              <w:rPr>
                <w:color w:val="000000"/>
                <w:sz w:val="14"/>
                <w:szCs w:val="14"/>
              </w:rPr>
            </w:pPr>
            <w:r w:rsidRPr="00A74C68">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53EEAB39"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noWrap/>
            <w:vAlign w:val="bottom"/>
            <w:hideMark/>
          </w:tcPr>
          <w:p w14:paraId="062B9096"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50568D07"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236D2AC6"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6DF1A21B" w14:textId="77777777" w:rsidTr="00A74C68">
        <w:trPr>
          <w:divId w:val="153886216"/>
          <w:trHeight w:val="20"/>
        </w:trPr>
        <w:tc>
          <w:tcPr>
            <w:tcW w:w="257" w:type="pct"/>
            <w:tcBorders>
              <w:top w:val="nil"/>
              <w:left w:val="single" w:sz="4" w:space="0" w:color="auto"/>
              <w:bottom w:val="nil"/>
              <w:right w:val="nil"/>
            </w:tcBorders>
            <w:hideMark/>
          </w:tcPr>
          <w:p w14:paraId="049A6A34" w14:textId="77777777" w:rsidR="00A74C68" w:rsidRPr="00A74C68" w:rsidRDefault="00A74C68" w:rsidP="00A74C68">
            <w:pPr>
              <w:rPr>
                <w:color w:val="000000"/>
                <w:sz w:val="14"/>
                <w:szCs w:val="14"/>
              </w:rPr>
            </w:pPr>
            <w:r w:rsidRPr="00A74C68">
              <w:rPr>
                <w:color w:val="000000"/>
                <w:sz w:val="14"/>
                <w:szCs w:val="14"/>
              </w:rPr>
              <w:t>4.7.</w:t>
            </w:r>
          </w:p>
        </w:tc>
        <w:tc>
          <w:tcPr>
            <w:tcW w:w="1793" w:type="pct"/>
            <w:tcBorders>
              <w:top w:val="nil"/>
              <w:left w:val="nil"/>
              <w:bottom w:val="nil"/>
              <w:right w:val="nil"/>
            </w:tcBorders>
            <w:hideMark/>
          </w:tcPr>
          <w:p w14:paraId="32E90756" w14:textId="77777777" w:rsidR="00A74C68" w:rsidRPr="00A74C68" w:rsidRDefault="00A74C68" w:rsidP="00A74C68">
            <w:pPr>
              <w:rPr>
                <w:color w:val="000000"/>
                <w:sz w:val="14"/>
                <w:szCs w:val="14"/>
              </w:rPr>
            </w:pPr>
            <w:r w:rsidRPr="00A74C68">
              <w:rPr>
                <w:color w:val="000000"/>
                <w:sz w:val="14"/>
                <w:szCs w:val="14"/>
              </w:rPr>
              <w:t>Diğer Emanet Kıymetler</w:t>
            </w:r>
          </w:p>
        </w:tc>
        <w:tc>
          <w:tcPr>
            <w:tcW w:w="329" w:type="pct"/>
            <w:tcBorders>
              <w:top w:val="nil"/>
              <w:left w:val="single" w:sz="4" w:space="0" w:color="auto"/>
              <w:bottom w:val="nil"/>
              <w:right w:val="single" w:sz="4" w:space="0" w:color="auto"/>
            </w:tcBorders>
            <w:vAlign w:val="bottom"/>
            <w:hideMark/>
          </w:tcPr>
          <w:p w14:paraId="30CB3BCB"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7FC1B482"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4536D04B" w14:textId="77777777" w:rsidR="00A74C68" w:rsidRPr="00A74C68" w:rsidRDefault="00A74C68" w:rsidP="00A74C68">
            <w:pPr>
              <w:jc w:val="right"/>
              <w:rPr>
                <w:color w:val="000000"/>
                <w:sz w:val="14"/>
                <w:szCs w:val="14"/>
              </w:rPr>
            </w:pPr>
            <w:r w:rsidRPr="00A74C68">
              <w:rPr>
                <w:color w:val="000000"/>
                <w:sz w:val="14"/>
                <w:szCs w:val="14"/>
              </w:rPr>
              <w:t>31.481</w:t>
            </w:r>
          </w:p>
        </w:tc>
        <w:tc>
          <w:tcPr>
            <w:tcW w:w="463" w:type="pct"/>
            <w:tcBorders>
              <w:top w:val="nil"/>
              <w:left w:val="nil"/>
              <w:bottom w:val="nil"/>
              <w:right w:val="single" w:sz="4" w:space="0" w:color="auto"/>
            </w:tcBorders>
            <w:shd w:val="clear" w:color="000000" w:fill="FFFFFF"/>
            <w:noWrap/>
            <w:vAlign w:val="bottom"/>
            <w:hideMark/>
          </w:tcPr>
          <w:p w14:paraId="62E1AAD4" w14:textId="77777777" w:rsidR="00A74C68" w:rsidRPr="00A74C68" w:rsidRDefault="00A74C68" w:rsidP="00A74C68">
            <w:pPr>
              <w:jc w:val="right"/>
              <w:rPr>
                <w:color w:val="000000"/>
                <w:sz w:val="14"/>
                <w:szCs w:val="14"/>
              </w:rPr>
            </w:pPr>
            <w:r w:rsidRPr="00A74C68">
              <w:rPr>
                <w:color w:val="000000"/>
                <w:sz w:val="14"/>
                <w:szCs w:val="14"/>
              </w:rPr>
              <w:t>31.481</w:t>
            </w:r>
          </w:p>
        </w:tc>
        <w:tc>
          <w:tcPr>
            <w:tcW w:w="412" w:type="pct"/>
            <w:tcBorders>
              <w:top w:val="nil"/>
              <w:left w:val="nil"/>
              <w:bottom w:val="nil"/>
              <w:right w:val="single" w:sz="4" w:space="0" w:color="auto"/>
            </w:tcBorders>
            <w:noWrap/>
            <w:vAlign w:val="bottom"/>
            <w:hideMark/>
          </w:tcPr>
          <w:p w14:paraId="06638234"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3286A9AE"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7328592A"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1B749CAE" w14:textId="77777777" w:rsidTr="00A74C68">
        <w:trPr>
          <w:divId w:val="153886216"/>
          <w:trHeight w:val="20"/>
        </w:trPr>
        <w:tc>
          <w:tcPr>
            <w:tcW w:w="257" w:type="pct"/>
            <w:tcBorders>
              <w:top w:val="nil"/>
              <w:left w:val="single" w:sz="4" w:space="0" w:color="auto"/>
              <w:bottom w:val="nil"/>
              <w:right w:val="nil"/>
            </w:tcBorders>
            <w:hideMark/>
          </w:tcPr>
          <w:p w14:paraId="69E4DDC4" w14:textId="77777777" w:rsidR="00A74C68" w:rsidRPr="00A74C68" w:rsidRDefault="00A74C68" w:rsidP="00A74C68">
            <w:pPr>
              <w:rPr>
                <w:color w:val="000000"/>
                <w:sz w:val="14"/>
                <w:szCs w:val="14"/>
              </w:rPr>
            </w:pPr>
            <w:r w:rsidRPr="00A74C68">
              <w:rPr>
                <w:color w:val="000000"/>
                <w:sz w:val="14"/>
                <w:szCs w:val="14"/>
              </w:rPr>
              <w:t>4.8.</w:t>
            </w:r>
          </w:p>
        </w:tc>
        <w:tc>
          <w:tcPr>
            <w:tcW w:w="1793" w:type="pct"/>
            <w:tcBorders>
              <w:top w:val="nil"/>
              <w:left w:val="nil"/>
              <w:bottom w:val="nil"/>
              <w:right w:val="nil"/>
            </w:tcBorders>
            <w:hideMark/>
          </w:tcPr>
          <w:p w14:paraId="0C1CA111" w14:textId="77777777" w:rsidR="00A74C68" w:rsidRPr="00A74C68" w:rsidRDefault="00A74C68" w:rsidP="00A74C68">
            <w:pPr>
              <w:rPr>
                <w:color w:val="000000"/>
                <w:sz w:val="14"/>
                <w:szCs w:val="14"/>
              </w:rPr>
            </w:pPr>
            <w:r w:rsidRPr="00A74C68">
              <w:rPr>
                <w:color w:val="000000"/>
                <w:sz w:val="14"/>
                <w:szCs w:val="14"/>
              </w:rPr>
              <w:t>Emanet Kıymet Alanlar</w:t>
            </w:r>
          </w:p>
        </w:tc>
        <w:tc>
          <w:tcPr>
            <w:tcW w:w="329" w:type="pct"/>
            <w:tcBorders>
              <w:top w:val="nil"/>
              <w:left w:val="single" w:sz="4" w:space="0" w:color="auto"/>
              <w:bottom w:val="nil"/>
              <w:right w:val="single" w:sz="4" w:space="0" w:color="auto"/>
            </w:tcBorders>
            <w:vAlign w:val="bottom"/>
            <w:hideMark/>
          </w:tcPr>
          <w:p w14:paraId="415BBC21"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774D053E"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60CF11C2" w14:textId="77777777" w:rsidR="00A74C68" w:rsidRPr="00A74C68" w:rsidRDefault="00A74C68" w:rsidP="00A74C68">
            <w:pPr>
              <w:jc w:val="right"/>
              <w:rPr>
                <w:color w:val="000000"/>
                <w:sz w:val="14"/>
                <w:szCs w:val="14"/>
              </w:rPr>
            </w:pPr>
            <w:r w:rsidRPr="00A74C68">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02E93199"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noWrap/>
            <w:vAlign w:val="bottom"/>
            <w:hideMark/>
          </w:tcPr>
          <w:p w14:paraId="47206032"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40173F0D"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56DA9AE1"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70643798" w14:textId="77777777" w:rsidTr="00A74C68">
        <w:trPr>
          <w:divId w:val="153886216"/>
          <w:trHeight w:val="20"/>
        </w:trPr>
        <w:tc>
          <w:tcPr>
            <w:tcW w:w="257" w:type="pct"/>
            <w:tcBorders>
              <w:top w:val="nil"/>
              <w:left w:val="single" w:sz="4" w:space="0" w:color="auto"/>
              <w:bottom w:val="nil"/>
              <w:right w:val="nil"/>
            </w:tcBorders>
            <w:hideMark/>
          </w:tcPr>
          <w:p w14:paraId="63AB8B1D" w14:textId="77777777" w:rsidR="00A74C68" w:rsidRPr="00A74C68" w:rsidRDefault="00A74C68" w:rsidP="00A74C68">
            <w:pPr>
              <w:rPr>
                <w:b/>
                <w:bCs/>
                <w:color w:val="000000"/>
                <w:sz w:val="14"/>
                <w:szCs w:val="14"/>
              </w:rPr>
            </w:pPr>
            <w:r w:rsidRPr="00A74C68">
              <w:rPr>
                <w:b/>
                <w:bCs/>
                <w:color w:val="000000"/>
                <w:sz w:val="14"/>
                <w:szCs w:val="14"/>
              </w:rPr>
              <w:t>V.</w:t>
            </w:r>
          </w:p>
        </w:tc>
        <w:tc>
          <w:tcPr>
            <w:tcW w:w="1793" w:type="pct"/>
            <w:tcBorders>
              <w:top w:val="nil"/>
              <w:left w:val="nil"/>
              <w:bottom w:val="nil"/>
              <w:right w:val="nil"/>
            </w:tcBorders>
            <w:hideMark/>
          </w:tcPr>
          <w:p w14:paraId="4704B173" w14:textId="77777777" w:rsidR="00A74C68" w:rsidRPr="00A74C68" w:rsidRDefault="00A74C68" w:rsidP="00A74C68">
            <w:pPr>
              <w:rPr>
                <w:b/>
                <w:bCs/>
                <w:color w:val="000000"/>
                <w:sz w:val="14"/>
                <w:szCs w:val="14"/>
              </w:rPr>
            </w:pPr>
            <w:r w:rsidRPr="00A74C68">
              <w:rPr>
                <w:b/>
                <w:bCs/>
                <w:color w:val="000000"/>
                <w:sz w:val="14"/>
                <w:szCs w:val="14"/>
              </w:rPr>
              <w:t>REHİNLİ KIYMETLER</w:t>
            </w:r>
          </w:p>
        </w:tc>
        <w:tc>
          <w:tcPr>
            <w:tcW w:w="329" w:type="pct"/>
            <w:tcBorders>
              <w:top w:val="nil"/>
              <w:left w:val="single" w:sz="4" w:space="0" w:color="auto"/>
              <w:bottom w:val="nil"/>
              <w:right w:val="single" w:sz="4" w:space="0" w:color="auto"/>
            </w:tcBorders>
            <w:vAlign w:val="bottom"/>
            <w:hideMark/>
          </w:tcPr>
          <w:p w14:paraId="1A18616C"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345E1B24" w14:textId="77777777" w:rsidR="00A74C68" w:rsidRPr="00A74C68" w:rsidRDefault="00A74C68" w:rsidP="00A74C68">
            <w:pPr>
              <w:jc w:val="right"/>
              <w:rPr>
                <w:b/>
                <w:bCs/>
                <w:color w:val="000000"/>
                <w:sz w:val="14"/>
                <w:szCs w:val="14"/>
              </w:rPr>
            </w:pPr>
            <w:r w:rsidRPr="00A74C68">
              <w:rPr>
                <w:b/>
                <w:bCs/>
                <w:color w:val="000000"/>
                <w:sz w:val="14"/>
                <w:szCs w:val="14"/>
              </w:rPr>
              <w:t>982.647.222</w:t>
            </w:r>
          </w:p>
        </w:tc>
        <w:tc>
          <w:tcPr>
            <w:tcW w:w="412" w:type="pct"/>
            <w:tcBorders>
              <w:top w:val="nil"/>
              <w:left w:val="nil"/>
              <w:bottom w:val="nil"/>
              <w:right w:val="single" w:sz="4" w:space="0" w:color="auto"/>
            </w:tcBorders>
            <w:shd w:val="clear" w:color="000000" w:fill="FFFFFF"/>
            <w:noWrap/>
            <w:vAlign w:val="bottom"/>
            <w:hideMark/>
          </w:tcPr>
          <w:p w14:paraId="194402AE" w14:textId="77777777" w:rsidR="00A74C68" w:rsidRPr="00A74C68" w:rsidRDefault="00A74C68" w:rsidP="00A74C68">
            <w:pPr>
              <w:jc w:val="right"/>
              <w:rPr>
                <w:b/>
                <w:bCs/>
                <w:color w:val="000000"/>
                <w:sz w:val="14"/>
                <w:szCs w:val="14"/>
              </w:rPr>
            </w:pPr>
            <w:r w:rsidRPr="00A74C68">
              <w:rPr>
                <w:b/>
                <w:bCs/>
                <w:color w:val="000000"/>
                <w:sz w:val="14"/>
                <w:szCs w:val="14"/>
              </w:rPr>
              <w:t>377.987.961</w:t>
            </w:r>
          </w:p>
        </w:tc>
        <w:tc>
          <w:tcPr>
            <w:tcW w:w="463" w:type="pct"/>
            <w:tcBorders>
              <w:top w:val="nil"/>
              <w:left w:val="nil"/>
              <w:bottom w:val="nil"/>
              <w:right w:val="single" w:sz="4" w:space="0" w:color="auto"/>
            </w:tcBorders>
            <w:shd w:val="clear" w:color="000000" w:fill="FFFFFF"/>
            <w:noWrap/>
            <w:vAlign w:val="bottom"/>
            <w:hideMark/>
          </w:tcPr>
          <w:p w14:paraId="61279571" w14:textId="77777777" w:rsidR="00A74C68" w:rsidRPr="00A74C68" w:rsidRDefault="00A74C68" w:rsidP="00A74C68">
            <w:pPr>
              <w:jc w:val="right"/>
              <w:rPr>
                <w:b/>
                <w:bCs/>
                <w:color w:val="000000"/>
                <w:sz w:val="14"/>
                <w:szCs w:val="14"/>
              </w:rPr>
            </w:pPr>
            <w:r w:rsidRPr="00A74C68">
              <w:rPr>
                <w:b/>
                <w:bCs/>
                <w:color w:val="000000"/>
                <w:sz w:val="14"/>
                <w:szCs w:val="14"/>
              </w:rPr>
              <w:t>1.360.635.183</w:t>
            </w:r>
          </w:p>
        </w:tc>
        <w:tc>
          <w:tcPr>
            <w:tcW w:w="412" w:type="pct"/>
            <w:tcBorders>
              <w:top w:val="nil"/>
              <w:left w:val="nil"/>
              <w:bottom w:val="nil"/>
              <w:right w:val="single" w:sz="4" w:space="0" w:color="auto"/>
            </w:tcBorders>
            <w:noWrap/>
            <w:vAlign w:val="bottom"/>
            <w:hideMark/>
          </w:tcPr>
          <w:p w14:paraId="469CEDC9"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365.178.811</w:t>
            </w:r>
          </w:p>
        </w:tc>
        <w:tc>
          <w:tcPr>
            <w:tcW w:w="412" w:type="pct"/>
            <w:tcBorders>
              <w:top w:val="nil"/>
              <w:left w:val="nil"/>
              <w:bottom w:val="nil"/>
              <w:right w:val="single" w:sz="4" w:space="0" w:color="auto"/>
            </w:tcBorders>
            <w:noWrap/>
            <w:vAlign w:val="bottom"/>
            <w:hideMark/>
          </w:tcPr>
          <w:p w14:paraId="0D5B1AC7"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173.681.823</w:t>
            </w:r>
          </w:p>
        </w:tc>
        <w:tc>
          <w:tcPr>
            <w:tcW w:w="458" w:type="pct"/>
            <w:tcBorders>
              <w:top w:val="nil"/>
              <w:left w:val="nil"/>
              <w:bottom w:val="nil"/>
              <w:right w:val="single" w:sz="4" w:space="0" w:color="auto"/>
            </w:tcBorders>
            <w:noWrap/>
            <w:vAlign w:val="bottom"/>
            <w:hideMark/>
          </w:tcPr>
          <w:p w14:paraId="7B1F0733"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538.860.634</w:t>
            </w:r>
          </w:p>
        </w:tc>
      </w:tr>
      <w:tr w:rsidR="00A74C68" w:rsidRPr="00A74C68" w14:paraId="3F7DC6FB" w14:textId="77777777" w:rsidTr="00A74C68">
        <w:trPr>
          <w:divId w:val="153886216"/>
          <w:trHeight w:val="20"/>
        </w:trPr>
        <w:tc>
          <w:tcPr>
            <w:tcW w:w="257" w:type="pct"/>
            <w:tcBorders>
              <w:top w:val="nil"/>
              <w:left w:val="single" w:sz="4" w:space="0" w:color="auto"/>
              <w:bottom w:val="nil"/>
              <w:right w:val="nil"/>
            </w:tcBorders>
            <w:hideMark/>
          </w:tcPr>
          <w:p w14:paraId="4FB5BD07" w14:textId="77777777" w:rsidR="00A74C68" w:rsidRPr="00A74C68" w:rsidRDefault="00A74C68" w:rsidP="00A74C68">
            <w:pPr>
              <w:rPr>
                <w:color w:val="000000"/>
                <w:sz w:val="14"/>
                <w:szCs w:val="14"/>
              </w:rPr>
            </w:pPr>
            <w:r w:rsidRPr="00A74C68">
              <w:rPr>
                <w:color w:val="000000"/>
                <w:sz w:val="14"/>
                <w:szCs w:val="14"/>
              </w:rPr>
              <w:t>5.1.</w:t>
            </w:r>
          </w:p>
        </w:tc>
        <w:tc>
          <w:tcPr>
            <w:tcW w:w="1793" w:type="pct"/>
            <w:tcBorders>
              <w:top w:val="nil"/>
              <w:left w:val="nil"/>
              <w:bottom w:val="nil"/>
              <w:right w:val="nil"/>
            </w:tcBorders>
            <w:hideMark/>
          </w:tcPr>
          <w:p w14:paraId="0A21844C" w14:textId="77777777" w:rsidR="00A74C68" w:rsidRPr="00A74C68" w:rsidRDefault="00A74C68" w:rsidP="00A74C68">
            <w:pPr>
              <w:rPr>
                <w:color w:val="000000"/>
                <w:sz w:val="14"/>
                <w:szCs w:val="14"/>
              </w:rPr>
            </w:pPr>
            <w:r w:rsidRPr="00A74C68">
              <w:rPr>
                <w:color w:val="000000"/>
                <w:sz w:val="14"/>
                <w:szCs w:val="14"/>
              </w:rPr>
              <w:t>Menkul Kıymetler</w:t>
            </w:r>
          </w:p>
        </w:tc>
        <w:tc>
          <w:tcPr>
            <w:tcW w:w="329" w:type="pct"/>
            <w:tcBorders>
              <w:top w:val="nil"/>
              <w:left w:val="single" w:sz="4" w:space="0" w:color="auto"/>
              <w:bottom w:val="nil"/>
              <w:right w:val="single" w:sz="4" w:space="0" w:color="auto"/>
            </w:tcBorders>
            <w:vAlign w:val="bottom"/>
            <w:hideMark/>
          </w:tcPr>
          <w:p w14:paraId="42DD076A"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34724301"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1E813A82" w14:textId="77777777" w:rsidR="00A74C68" w:rsidRPr="00A74C68" w:rsidRDefault="00A74C68" w:rsidP="00A74C68">
            <w:pPr>
              <w:jc w:val="right"/>
              <w:rPr>
                <w:color w:val="000000"/>
                <w:sz w:val="14"/>
                <w:szCs w:val="14"/>
              </w:rPr>
            </w:pPr>
            <w:r w:rsidRPr="00A74C68">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5EAE4918"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noWrap/>
            <w:vAlign w:val="bottom"/>
            <w:hideMark/>
          </w:tcPr>
          <w:p w14:paraId="5F36FC94"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5B8491F4"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07E035D4"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13BF8D91" w14:textId="77777777" w:rsidTr="00A74C68">
        <w:trPr>
          <w:divId w:val="153886216"/>
          <w:trHeight w:val="20"/>
        </w:trPr>
        <w:tc>
          <w:tcPr>
            <w:tcW w:w="257" w:type="pct"/>
            <w:tcBorders>
              <w:top w:val="nil"/>
              <w:left w:val="single" w:sz="4" w:space="0" w:color="auto"/>
              <w:bottom w:val="nil"/>
              <w:right w:val="nil"/>
            </w:tcBorders>
            <w:hideMark/>
          </w:tcPr>
          <w:p w14:paraId="5747512A" w14:textId="77777777" w:rsidR="00A74C68" w:rsidRPr="00A74C68" w:rsidRDefault="00A74C68" w:rsidP="00A74C68">
            <w:pPr>
              <w:rPr>
                <w:color w:val="000000"/>
                <w:sz w:val="14"/>
                <w:szCs w:val="14"/>
              </w:rPr>
            </w:pPr>
            <w:r w:rsidRPr="00A74C68">
              <w:rPr>
                <w:color w:val="000000"/>
                <w:sz w:val="14"/>
                <w:szCs w:val="14"/>
              </w:rPr>
              <w:t>5.2.</w:t>
            </w:r>
          </w:p>
        </w:tc>
        <w:tc>
          <w:tcPr>
            <w:tcW w:w="1793" w:type="pct"/>
            <w:tcBorders>
              <w:top w:val="nil"/>
              <w:left w:val="nil"/>
              <w:bottom w:val="nil"/>
              <w:right w:val="nil"/>
            </w:tcBorders>
            <w:hideMark/>
          </w:tcPr>
          <w:p w14:paraId="6601AB1F" w14:textId="77777777" w:rsidR="00A74C68" w:rsidRPr="00A74C68" w:rsidRDefault="00A74C68" w:rsidP="00A74C68">
            <w:pPr>
              <w:rPr>
                <w:color w:val="000000"/>
                <w:sz w:val="14"/>
                <w:szCs w:val="14"/>
              </w:rPr>
            </w:pPr>
            <w:r w:rsidRPr="00A74C68">
              <w:rPr>
                <w:color w:val="000000"/>
                <w:sz w:val="14"/>
                <w:szCs w:val="14"/>
              </w:rPr>
              <w:t>Teminat Senetleri</w:t>
            </w:r>
          </w:p>
        </w:tc>
        <w:tc>
          <w:tcPr>
            <w:tcW w:w="329" w:type="pct"/>
            <w:tcBorders>
              <w:top w:val="nil"/>
              <w:left w:val="single" w:sz="4" w:space="0" w:color="auto"/>
              <w:bottom w:val="nil"/>
              <w:right w:val="single" w:sz="4" w:space="0" w:color="auto"/>
            </w:tcBorders>
            <w:vAlign w:val="bottom"/>
            <w:hideMark/>
          </w:tcPr>
          <w:p w14:paraId="690EAF8F"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7371DEFB" w14:textId="77777777" w:rsidR="00A74C68" w:rsidRPr="00A74C68" w:rsidRDefault="00A74C68" w:rsidP="00A74C68">
            <w:pPr>
              <w:jc w:val="right"/>
              <w:rPr>
                <w:color w:val="000000"/>
                <w:sz w:val="14"/>
                <w:szCs w:val="14"/>
              </w:rPr>
            </w:pPr>
            <w:r w:rsidRPr="00A74C68">
              <w:rPr>
                <w:color w:val="000000"/>
                <w:sz w:val="14"/>
                <w:szCs w:val="14"/>
              </w:rPr>
              <w:t>150.899.347</w:t>
            </w:r>
          </w:p>
        </w:tc>
        <w:tc>
          <w:tcPr>
            <w:tcW w:w="412" w:type="pct"/>
            <w:tcBorders>
              <w:top w:val="nil"/>
              <w:left w:val="nil"/>
              <w:bottom w:val="nil"/>
              <w:right w:val="single" w:sz="4" w:space="0" w:color="auto"/>
            </w:tcBorders>
            <w:shd w:val="clear" w:color="000000" w:fill="FFFFFF"/>
            <w:noWrap/>
            <w:vAlign w:val="bottom"/>
            <w:hideMark/>
          </w:tcPr>
          <w:p w14:paraId="728441CF" w14:textId="77777777" w:rsidR="00A74C68" w:rsidRPr="00A74C68" w:rsidRDefault="00A74C68" w:rsidP="00A74C68">
            <w:pPr>
              <w:jc w:val="right"/>
              <w:rPr>
                <w:color w:val="000000"/>
                <w:sz w:val="14"/>
                <w:szCs w:val="14"/>
              </w:rPr>
            </w:pPr>
            <w:r w:rsidRPr="00A74C68">
              <w:rPr>
                <w:color w:val="000000"/>
                <w:sz w:val="14"/>
                <w:szCs w:val="14"/>
              </w:rPr>
              <w:t>1.508.577</w:t>
            </w:r>
          </w:p>
        </w:tc>
        <w:tc>
          <w:tcPr>
            <w:tcW w:w="463" w:type="pct"/>
            <w:tcBorders>
              <w:top w:val="nil"/>
              <w:left w:val="nil"/>
              <w:bottom w:val="nil"/>
              <w:right w:val="single" w:sz="4" w:space="0" w:color="auto"/>
            </w:tcBorders>
            <w:shd w:val="clear" w:color="000000" w:fill="FFFFFF"/>
            <w:noWrap/>
            <w:vAlign w:val="bottom"/>
            <w:hideMark/>
          </w:tcPr>
          <w:p w14:paraId="56DDA180" w14:textId="77777777" w:rsidR="00A74C68" w:rsidRPr="00A74C68" w:rsidRDefault="00A74C68" w:rsidP="00A74C68">
            <w:pPr>
              <w:jc w:val="right"/>
              <w:rPr>
                <w:color w:val="000000"/>
                <w:sz w:val="14"/>
                <w:szCs w:val="14"/>
              </w:rPr>
            </w:pPr>
            <w:r w:rsidRPr="00A74C68">
              <w:rPr>
                <w:color w:val="000000"/>
                <w:sz w:val="14"/>
                <w:szCs w:val="14"/>
              </w:rPr>
              <w:t>152.407.924</w:t>
            </w:r>
          </w:p>
        </w:tc>
        <w:tc>
          <w:tcPr>
            <w:tcW w:w="412" w:type="pct"/>
            <w:tcBorders>
              <w:top w:val="nil"/>
              <w:left w:val="nil"/>
              <w:bottom w:val="nil"/>
              <w:right w:val="single" w:sz="4" w:space="0" w:color="auto"/>
            </w:tcBorders>
            <w:noWrap/>
            <w:vAlign w:val="bottom"/>
            <w:hideMark/>
          </w:tcPr>
          <w:p w14:paraId="0F899CB8" w14:textId="77777777" w:rsidR="00A74C68" w:rsidRPr="00A74C68" w:rsidRDefault="00A74C68" w:rsidP="00A74C68">
            <w:pPr>
              <w:jc w:val="right"/>
              <w:rPr>
                <w:color w:val="000000"/>
                <w:sz w:val="14"/>
                <w:szCs w:val="14"/>
                <w:lang w:eastAsia="tr-TR"/>
              </w:rPr>
            </w:pPr>
            <w:r w:rsidRPr="00A74C68">
              <w:rPr>
                <w:color w:val="000000"/>
                <w:sz w:val="14"/>
                <w:szCs w:val="14"/>
                <w:lang w:eastAsia="tr-TR"/>
              </w:rPr>
              <w:t>48.939.242</w:t>
            </w:r>
          </w:p>
        </w:tc>
        <w:tc>
          <w:tcPr>
            <w:tcW w:w="412" w:type="pct"/>
            <w:tcBorders>
              <w:top w:val="nil"/>
              <w:left w:val="nil"/>
              <w:bottom w:val="nil"/>
              <w:right w:val="single" w:sz="4" w:space="0" w:color="auto"/>
            </w:tcBorders>
            <w:noWrap/>
            <w:vAlign w:val="bottom"/>
            <w:hideMark/>
          </w:tcPr>
          <w:p w14:paraId="2D4E03EE"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24F98712" w14:textId="77777777" w:rsidR="00A74C68" w:rsidRPr="00A74C68" w:rsidRDefault="00A74C68" w:rsidP="00A74C68">
            <w:pPr>
              <w:jc w:val="right"/>
              <w:rPr>
                <w:color w:val="000000"/>
                <w:sz w:val="14"/>
                <w:szCs w:val="14"/>
                <w:lang w:eastAsia="tr-TR"/>
              </w:rPr>
            </w:pPr>
            <w:r w:rsidRPr="00A74C68">
              <w:rPr>
                <w:color w:val="000000"/>
                <w:sz w:val="14"/>
                <w:szCs w:val="14"/>
                <w:lang w:eastAsia="tr-TR"/>
              </w:rPr>
              <w:t>48.939.242</w:t>
            </w:r>
          </w:p>
        </w:tc>
      </w:tr>
      <w:tr w:rsidR="00A74C68" w:rsidRPr="00A74C68" w14:paraId="7C3AE8D0" w14:textId="77777777" w:rsidTr="00A74C68">
        <w:trPr>
          <w:divId w:val="153886216"/>
          <w:trHeight w:val="20"/>
        </w:trPr>
        <w:tc>
          <w:tcPr>
            <w:tcW w:w="257" w:type="pct"/>
            <w:tcBorders>
              <w:top w:val="nil"/>
              <w:left w:val="single" w:sz="4" w:space="0" w:color="auto"/>
              <w:bottom w:val="nil"/>
              <w:right w:val="nil"/>
            </w:tcBorders>
            <w:hideMark/>
          </w:tcPr>
          <w:p w14:paraId="36A6A6DA" w14:textId="77777777" w:rsidR="00A74C68" w:rsidRPr="00A74C68" w:rsidRDefault="00A74C68" w:rsidP="00A74C68">
            <w:pPr>
              <w:rPr>
                <w:color w:val="000000"/>
                <w:sz w:val="14"/>
                <w:szCs w:val="14"/>
              </w:rPr>
            </w:pPr>
            <w:r w:rsidRPr="00A74C68">
              <w:rPr>
                <w:color w:val="000000"/>
                <w:sz w:val="14"/>
                <w:szCs w:val="14"/>
              </w:rPr>
              <w:t>5.3.</w:t>
            </w:r>
          </w:p>
        </w:tc>
        <w:tc>
          <w:tcPr>
            <w:tcW w:w="1793" w:type="pct"/>
            <w:tcBorders>
              <w:top w:val="nil"/>
              <w:left w:val="nil"/>
              <w:bottom w:val="nil"/>
              <w:right w:val="nil"/>
            </w:tcBorders>
            <w:hideMark/>
          </w:tcPr>
          <w:p w14:paraId="325BD55C" w14:textId="77777777" w:rsidR="00A74C68" w:rsidRPr="00A74C68" w:rsidRDefault="00A74C68" w:rsidP="00A74C68">
            <w:pPr>
              <w:rPr>
                <w:color w:val="000000"/>
                <w:sz w:val="14"/>
                <w:szCs w:val="14"/>
              </w:rPr>
            </w:pPr>
            <w:r w:rsidRPr="00A74C68">
              <w:rPr>
                <w:color w:val="000000"/>
                <w:sz w:val="14"/>
                <w:szCs w:val="14"/>
              </w:rPr>
              <w:t>Emtia</w:t>
            </w:r>
          </w:p>
        </w:tc>
        <w:tc>
          <w:tcPr>
            <w:tcW w:w="329" w:type="pct"/>
            <w:tcBorders>
              <w:top w:val="nil"/>
              <w:left w:val="single" w:sz="4" w:space="0" w:color="auto"/>
              <w:bottom w:val="nil"/>
              <w:right w:val="single" w:sz="4" w:space="0" w:color="auto"/>
            </w:tcBorders>
            <w:vAlign w:val="bottom"/>
            <w:hideMark/>
          </w:tcPr>
          <w:p w14:paraId="0814EDF0"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25F8B68D" w14:textId="77777777" w:rsidR="00A74C68" w:rsidRPr="00A74C68" w:rsidRDefault="00A74C68" w:rsidP="00A74C68">
            <w:pPr>
              <w:jc w:val="right"/>
              <w:rPr>
                <w:color w:val="000000"/>
                <w:sz w:val="14"/>
                <w:szCs w:val="14"/>
              </w:rPr>
            </w:pPr>
            <w:r w:rsidRPr="00A74C68">
              <w:rPr>
                <w:color w:val="000000"/>
                <w:sz w:val="14"/>
                <w:szCs w:val="14"/>
              </w:rPr>
              <w:t>4.059.008</w:t>
            </w:r>
          </w:p>
        </w:tc>
        <w:tc>
          <w:tcPr>
            <w:tcW w:w="412" w:type="pct"/>
            <w:tcBorders>
              <w:top w:val="nil"/>
              <w:left w:val="nil"/>
              <w:bottom w:val="nil"/>
              <w:right w:val="single" w:sz="4" w:space="0" w:color="auto"/>
            </w:tcBorders>
            <w:shd w:val="clear" w:color="000000" w:fill="FFFFFF"/>
            <w:noWrap/>
            <w:vAlign w:val="bottom"/>
            <w:hideMark/>
          </w:tcPr>
          <w:p w14:paraId="51801910" w14:textId="77777777" w:rsidR="00A74C68" w:rsidRPr="00A74C68" w:rsidRDefault="00A74C68" w:rsidP="00A74C68">
            <w:pPr>
              <w:jc w:val="right"/>
              <w:rPr>
                <w:color w:val="000000"/>
                <w:sz w:val="14"/>
                <w:szCs w:val="14"/>
              </w:rPr>
            </w:pPr>
            <w:r w:rsidRPr="00A74C68">
              <w:rPr>
                <w:color w:val="000000"/>
                <w:sz w:val="14"/>
                <w:szCs w:val="14"/>
              </w:rPr>
              <w:t>389.716</w:t>
            </w:r>
          </w:p>
        </w:tc>
        <w:tc>
          <w:tcPr>
            <w:tcW w:w="463" w:type="pct"/>
            <w:tcBorders>
              <w:top w:val="nil"/>
              <w:left w:val="nil"/>
              <w:bottom w:val="nil"/>
              <w:right w:val="single" w:sz="4" w:space="0" w:color="auto"/>
            </w:tcBorders>
            <w:shd w:val="clear" w:color="000000" w:fill="FFFFFF"/>
            <w:noWrap/>
            <w:vAlign w:val="bottom"/>
            <w:hideMark/>
          </w:tcPr>
          <w:p w14:paraId="3A4E4C7C" w14:textId="77777777" w:rsidR="00A74C68" w:rsidRPr="00A74C68" w:rsidRDefault="00A74C68" w:rsidP="00A74C68">
            <w:pPr>
              <w:jc w:val="right"/>
              <w:rPr>
                <w:color w:val="000000"/>
                <w:sz w:val="14"/>
                <w:szCs w:val="14"/>
              </w:rPr>
            </w:pPr>
            <w:r w:rsidRPr="00A74C68">
              <w:rPr>
                <w:color w:val="000000"/>
                <w:sz w:val="14"/>
                <w:szCs w:val="14"/>
              </w:rPr>
              <w:t>4.448.724</w:t>
            </w:r>
          </w:p>
        </w:tc>
        <w:tc>
          <w:tcPr>
            <w:tcW w:w="412" w:type="pct"/>
            <w:tcBorders>
              <w:top w:val="nil"/>
              <w:left w:val="nil"/>
              <w:bottom w:val="nil"/>
              <w:right w:val="single" w:sz="4" w:space="0" w:color="auto"/>
            </w:tcBorders>
            <w:noWrap/>
            <w:vAlign w:val="bottom"/>
            <w:hideMark/>
          </w:tcPr>
          <w:p w14:paraId="68D90A6F" w14:textId="77777777" w:rsidR="00A74C68" w:rsidRPr="00A74C68" w:rsidRDefault="00A74C68" w:rsidP="00A74C68">
            <w:pPr>
              <w:jc w:val="right"/>
              <w:rPr>
                <w:color w:val="000000"/>
                <w:sz w:val="14"/>
                <w:szCs w:val="14"/>
                <w:lang w:eastAsia="tr-TR"/>
              </w:rPr>
            </w:pPr>
            <w:r w:rsidRPr="00A74C68">
              <w:rPr>
                <w:color w:val="000000"/>
                <w:sz w:val="14"/>
                <w:szCs w:val="14"/>
                <w:lang w:eastAsia="tr-TR"/>
              </w:rPr>
              <w:t>1.939.752</w:t>
            </w:r>
          </w:p>
        </w:tc>
        <w:tc>
          <w:tcPr>
            <w:tcW w:w="412" w:type="pct"/>
            <w:tcBorders>
              <w:top w:val="nil"/>
              <w:left w:val="nil"/>
              <w:bottom w:val="nil"/>
              <w:right w:val="single" w:sz="4" w:space="0" w:color="auto"/>
            </w:tcBorders>
            <w:noWrap/>
            <w:vAlign w:val="bottom"/>
            <w:hideMark/>
          </w:tcPr>
          <w:p w14:paraId="697238E9" w14:textId="77777777" w:rsidR="00A74C68" w:rsidRPr="00A74C68" w:rsidRDefault="00A74C68" w:rsidP="00A74C68">
            <w:pPr>
              <w:jc w:val="right"/>
              <w:rPr>
                <w:color w:val="000000"/>
                <w:sz w:val="14"/>
                <w:szCs w:val="14"/>
                <w:lang w:eastAsia="tr-TR"/>
              </w:rPr>
            </w:pPr>
            <w:r w:rsidRPr="00A74C68">
              <w:rPr>
                <w:color w:val="000000"/>
                <w:sz w:val="14"/>
                <w:szCs w:val="14"/>
                <w:lang w:eastAsia="tr-TR"/>
              </w:rPr>
              <w:t>323.937</w:t>
            </w:r>
          </w:p>
        </w:tc>
        <w:tc>
          <w:tcPr>
            <w:tcW w:w="458" w:type="pct"/>
            <w:tcBorders>
              <w:top w:val="nil"/>
              <w:left w:val="nil"/>
              <w:bottom w:val="nil"/>
              <w:right w:val="single" w:sz="4" w:space="0" w:color="auto"/>
            </w:tcBorders>
            <w:noWrap/>
            <w:vAlign w:val="bottom"/>
            <w:hideMark/>
          </w:tcPr>
          <w:p w14:paraId="5DFE34C2" w14:textId="77777777" w:rsidR="00A74C68" w:rsidRPr="00A74C68" w:rsidRDefault="00A74C68" w:rsidP="00A74C68">
            <w:pPr>
              <w:jc w:val="right"/>
              <w:rPr>
                <w:color w:val="000000"/>
                <w:sz w:val="14"/>
                <w:szCs w:val="14"/>
                <w:lang w:eastAsia="tr-TR"/>
              </w:rPr>
            </w:pPr>
            <w:r w:rsidRPr="00A74C68">
              <w:rPr>
                <w:color w:val="000000"/>
                <w:sz w:val="14"/>
                <w:szCs w:val="14"/>
                <w:lang w:eastAsia="tr-TR"/>
              </w:rPr>
              <w:t>2.263.689</w:t>
            </w:r>
          </w:p>
        </w:tc>
      </w:tr>
      <w:tr w:rsidR="00A74C68" w:rsidRPr="00A74C68" w14:paraId="319AF9CB" w14:textId="77777777" w:rsidTr="00A74C68">
        <w:trPr>
          <w:divId w:val="153886216"/>
          <w:trHeight w:val="20"/>
        </w:trPr>
        <w:tc>
          <w:tcPr>
            <w:tcW w:w="257" w:type="pct"/>
            <w:tcBorders>
              <w:top w:val="nil"/>
              <w:left w:val="single" w:sz="4" w:space="0" w:color="auto"/>
              <w:bottom w:val="nil"/>
              <w:right w:val="nil"/>
            </w:tcBorders>
            <w:hideMark/>
          </w:tcPr>
          <w:p w14:paraId="7B027ACE" w14:textId="77777777" w:rsidR="00A74C68" w:rsidRPr="00A74C68" w:rsidRDefault="00A74C68" w:rsidP="00A74C68">
            <w:pPr>
              <w:rPr>
                <w:color w:val="000000"/>
                <w:sz w:val="14"/>
                <w:szCs w:val="14"/>
              </w:rPr>
            </w:pPr>
            <w:r w:rsidRPr="00A74C68">
              <w:rPr>
                <w:color w:val="000000"/>
                <w:sz w:val="14"/>
                <w:szCs w:val="14"/>
              </w:rPr>
              <w:t>5.4.</w:t>
            </w:r>
          </w:p>
        </w:tc>
        <w:tc>
          <w:tcPr>
            <w:tcW w:w="1793" w:type="pct"/>
            <w:tcBorders>
              <w:top w:val="nil"/>
              <w:left w:val="nil"/>
              <w:bottom w:val="nil"/>
              <w:right w:val="nil"/>
            </w:tcBorders>
            <w:hideMark/>
          </w:tcPr>
          <w:p w14:paraId="292E2BCC" w14:textId="77777777" w:rsidR="00A74C68" w:rsidRPr="00A74C68" w:rsidRDefault="00A74C68" w:rsidP="00A74C68">
            <w:pPr>
              <w:rPr>
                <w:color w:val="000000"/>
                <w:sz w:val="14"/>
                <w:szCs w:val="14"/>
              </w:rPr>
            </w:pPr>
            <w:r w:rsidRPr="00A74C68">
              <w:rPr>
                <w:color w:val="000000"/>
                <w:sz w:val="14"/>
                <w:szCs w:val="14"/>
              </w:rPr>
              <w:t>Varant</w:t>
            </w:r>
          </w:p>
        </w:tc>
        <w:tc>
          <w:tcPr>
            <w:tcW w:w="329" w:type="pct"/>
            <w:tcBorders>
              <w:top w:val="nil"/>
              <w:left w:val="single" w:sz="4" w:space="0" w:color="auto"/>
              <w:bottom w:val="nil"/>
              <w:right w:val="single" w:sz="4" w:space="0" w:color="auto"/>
            </w:tcBorders>
            <w:vAlign w:val="bottom"/>
            <w:hideMark/>
          </w:tcPr>
          <w:p w14:paraId="6B52E76E"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66855B3F"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250A7C7F" w14:textId="77777777" w:rsidR="00A74C68" w:rsidRPr="00A74C68" w:rsidRDefault="00A74C68" w:rsidP="00A74C68">
            <w:pPr>
              <w:jc w:val="right"/>
              <w:rPr>
                <w:color w:val="000000"/>
                <w:sz w:val="14"/>
                <w:szCs w:val="14"/>
              </w:rPr>
            </w:pPr>
            <w:r w:rsidRPr="00A74C68">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1E56CA3D"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noWrap/>
            <w:vAlign w:val="bottom"/>
            <w:hideMark/>
          </w:tcPr>
          <w:p w14:paraId="02993F2F"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4C19AA51"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0FA7C0C5"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16746B5B" w14:textId="77777777" w:rsidTr="00A74C68">
        <w:trPr>
          <w:divId w:val="153886216"/>
          <w:trHeight w:val="20"/>
        </w:trPr>
        <w:tc>
          <w:tcPr>
            <w:tcW w:w="257" w:type="pct"/>
            <w:tcBorders>
              <w:top w:val="nil"/>
              <w:left w:val="single" w:sz="4" w:space="0" w:color="auto"/>
              <w:bottom w:val="nil"/>
              <w:right w:val="nil"/>
            </w:tcBorders>
            <w:hideMark/>
          </w:tcPr>
          <w:p w14:paraId="216DAB60" w14:textId="77777777" w:rsidR="00A74C68" w:rsidRPr="00A74C68" w:rsidRDefault="00A74C68" w:rsidP="00A74C68">
            <w:pPr>
              <w:rPr>
                <w:color w:val="000000"/>
                <w:sz w:val="14"/>
                <w:szCs w:val="14"/>
              </w:rPr>
            </w:pPr>
            <w:r w:rsidRPr="00A74C68">
              <w:rPr>
                <w:color w:val="000000"/>
                <w:sz w:val="14"/>
                <w:szCs w:val="14"/>
              </w:rPr>
              <w:t>5.5.</w:t>
            </w:r>
          </w:p>
        </w:tc>
        <w:tc>
          <w:tcPr>
            <w:tcW w:w="1793" w:type="pct"/>
            <w:tcBorders>
              <w:top w:val="nil"/>
              <w:left w:val="nil"/>
              <w:bottom w:val="nil"/>
              <w:right w:val="nil"/>
            </w:tcBorders>
            <w:hideMark/>
          </w:tcPr>
          <w:p w14:paraId="0754586C" w14:textId="77777777" w:rsidR="00A74C68" w:rsidRPr="00A74C68" w:rsidRDefault="00A74C68" w:rsidP="00A74C68">
            <w:pPr>
              <w:rPr>
                <w:color w:val="000000"/>
                <w:sz w:val="14"/>
                <w:szCs w:val="14"/>
              </w:rPr>
            </w:pPr>
            <w:r w:rsidRPr="00A74C68">
              <w:rPr>
                <w:color w:val="000000"/>
                <w:sz w:val="14"/>
                <w:szCs w:val="14"/>
              </w:rPr>
              <w:t>Gayrimenkul</w:t>
            </w:r>
          </w:p>
        </w:tc>
        <w:tc>
          <w:tcPr>
            <w:tcW w:w="329" w:type="pct"/>
            <w:tcBorders>
              <w:top w:val="nil"/>
              <w:left w:val="single" w:sz="4" w:space="0" w:color="auto"/>
              <w:bottom w:val="nil"/>
              <w:right w:val="single" w:sz="4" w:space="0" w:color="auto"/>
            </w:tcBorders>
            <w:vAlign w:val="bottom"/>
            <w:hideMark/>
          </w:tcPr>
          <w:p w14:paraId="49D0D2D8"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6B35775E" w14:textId="77777777" w:rsidR="00A74C68" w:rsidRPr="00A74C68" w:rsidRDefault="00A74C68" w:rsidP="00A74C68">
            <w:pPr>
              <w:jc w:val="right"/>
              <w:rPr>
                <w:color w:val="000000"/>
                <w:sz w:val="14"/>
                <w:szCs w:val="14"/>
              </w:rPr>
            </w:pPr>
            <w:r w:rsidRPr="00A74C68">
              <w:rPr>
                <w:color w:val="000000"/>
                <w:sz w:val="14"/>
                <w:szCs w:val="14"/>
              </w:rPr>
              <w:t>55.160.800</w:t>
            </w:r>
          </w:p>
        </w:tc>
        <w:tc>
          <w:tcPr>
            <w:tcW w:w="412" w:type="pct"/>
            <w:tcBorders>
              <w:top w:val="nil"/>
              <w:left w:val="nil"/>
              <w:bottom w:val="nil"/>
              <w:right w:val="single" w:sz="4" w:space="0" w:color="auto"/>
            </w:tcBorders>
            <w:shd w:val="clear" w:color="000000" w:fill="FFFFFF"/>
            <w:noWrap/>
            <w:vAlign w:val="bottom"/>
            <w:hideMark/>
          </w:tcPr>
          <w:p w14:paraId="7D313540" w14:textId="77777777" w:rsidR="00A74C68" w:rsidRPr="00A74C68" w:rsidRDefault="00A74C68" w:rsidP="00A74C68">
            <w:pPr>
              <w:jc w:val="right"/>
              <w:rPr>
                <w:color w:val="000000"/>
                <w:sz w:val="14"/>
                <w:szCs w:val="14"/>
              </w:rPr>
            </w:pPr>
            <w:r w:rsidRPr="00A74C68">
              <w:rPr>
                <w:color w:val="000000"/>
                <w:sz w:val="14"/>
                <w:szCs w:val="14"/>
              </w:rPr>
              <w:t>2.142.285</w:t>
            </w:r>
          </w:p>
        </w:tc>
        <w:tc>
          <w:tcPr>
            <w:tcW w:w="463" w:type="pct"/>
            <w:tcBorders>
              <w:top w:val="nil"/>
              <w:left w:val="nil"/>
              <w:bottom w:val="nil"/>
              <w:right w:val="single" w:sz="4" w:space="0" w:color="auto"/>
            </w:tcBorders>
            <w:shd w:val="clear" w:color="000000" w:fill="FFFFFF"/>
            <w:noWrap/>
            <w:vAlign w:val="bottom"/>
            <w:hideMark/>
          </w:tcPr>
          <w:p w14:paraId="63D4CBDD" w14:textId="77777777" w:rsidR="00A74C68" w:rsidRPr="00A74C68" w:rsidRDefault="00A74C68" w:rsidP="00A74C68">
            <w:pPr>
              <w:jc w:val="right"/>
              <w:rPr>
                <w:color w:val="000000"/>
                <w:sz w:val="14"/>
                <w:szCs w:val="14"/>
              </w:rPr>
            </w:pPr>
            <w:r w:rsidRPr="00A74C68">
              <w:rPr>
                <w:color w:val="000000"/>
                <w:sz w:val="14"/>
                <w:szCs w:val="14"/>
              </w:rPr>
              <w:t>57.303.085</w:t>
            </w:r>
          </w:p>
        </w:tc>
        <w:tc>
          <w:tcPr>
            <w:tcW w:w="412" w:type="pct"/>
            <w:tcBorders>
              <w:top w:val="nil"/>
              <w:left w:val="nil"/>
              <w:bottom w:val="nil"/>
              <w:right w:val="single" w:sz="4" w:space="0" w:color="auto"/>
            </w:tcBorders>
            <w:noWrap/>
            <w:vAlign w:val="bottom"/>
            <w:hideMark/>
          </w:tcPr>
          <w:p w14:paraId="759DC19C" w14:textId="77777777" w:rsidR="00A74C68" w:rsidRPr="00A74C68" w:rsidRDefault="00A74C68" w:rsidP="00A74C68">
            <w:pPr>
              <w:jc w:val="right"/>
              <w:rPr>
                <w:color w:val="000000"/>
                <w:sz w:val="14"/>
                <w:szCs w:val="14"/>
                <w:lang w:eastAsia="tr-TR"/>
              </w:rPr>
            </w:pPr>
            <w:r w:rsidRPr="00A74C68">
              <w:rPr>
                <w:color w:val="000000"/>
                <w:sz w:val="14"/>
                <w:szCs w:val="14"/>
                <w:lang w:eastAsia="tr-TR"/>
              </w:rPr>
              <w:t>9.763.000</w:t>
            </w:r>
          </w:p>
        </w:tc>
        <w:tc>
          <w:tcPr>
            <w:tcW w:w="412" w:type="pct"/>
            <w:tcBorders>
              <w:top w:val="nil"/>
              <w:left w:val="nil"/>
              <w:bottom w:val="nil"/>
              <w:right w:val="single" w:sz="4" w:space="0" w:color="auto"/>
            </w:tcBorders>
            <w:noWrap/>
            <w:vAlign w:val="bottom"/>
            <w:hideMark/>
          </w:tcPr>
          <w:p w14:paraId="40198631"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2E3DDDD8" w14:textId="77777777" w:rsidR="00A74C68" w:rsidRPr="00A74C68" w:rsidRDefault="00A74C68" w:rsidP="00A74C68">
            <w:pPr>
              <w:jc w:val="right"/>
              <w:rPr>
                <w:color w:val="000000"/>
                <w:sz w:val="14"/>
                <w:szCs w:val="14"/>
                <w:lang w:eastAsia="tr-TR"/>
              </w:rPr>
            </w:pPr>
            <w:r w:rsidRPr="00A74C68">
              <w:rPr>
                <w:color w:val="000000"/>
                <w:sz w:val="14"/>
                <w:szCs w:val="14"/>
                <w:lang w:eastAsia="tr-TR"/>
              </w:rPr>
              <w:t>9.763.000</w:t>
            </w:r>
          </w:p>
        </w:tc>
      </w:tr>
      <w:tr w:rsidR="00A74C68" w:rsidRPr="00A74C68" w14:paraId="11EE49F6" w14:textId="77777777" w:rsidTr="00A74C68">
        <w:trPr>
          <w:divId w:val="153886216"/>
          <w:trHeight w:val="20"/>
        </w:trPr>
        <w:tc>
          <w:tcPr>
            <w:tcW w:w="257" w:type="pct"/>
            <w:tcBorders>
              <w:top w:val="nil"/>
              <w:left w:val="single" w:sz="4" w:space="0" w:color="auto"/>
              <w:bottom w:val="nil"/>
              <w:right w:val="nil"/>
            </w:tcBorders>
            <w:hideMark/>
          </w:tcPr>
          <w:p w14:paraId="0B474B44" w14:textId="77777777" w:rsidR="00A74C68" w:rsidRPr="00A74C68" w:rsidRDefault="00A74C68" w:rsidP="00A74C68">
            <w:pPr>
              <w:rPr>
                <w:color w:val="000000"/>
                <w:sz w:val="14"/>
                <w:szCs w:val="14"/>
              </w:rPr>
            </w:pPr>
            <w:r w:rsidRPr="00A74C68">
              <w:rPr>
                <w:color w:val="000000"/>
                <w:sz w:val="14"/>
                <w:szCs w:val="14"/>
              </w:rPr>
              <w:t>5.6.</w:t>
            </w:r>
          </w:p>
        </w:tc>
        <w:tc>
          <w:tcPr>
            <w:tcW w:w="1793" w:type="pct"/>
            <w:tcBorders>
              <w:top w:val="nil"/>
              <w:left w:val="nil"/>
              <w:bottom w:val="nil"/>
              <w:right w:val="nil"/>
            </w:tcBorders>
            <w:hideMark/>
          </w:tcPr>
          <w:p w14:paraId="491F34F0" w14:textId="77777777" w:rsidR="00A74C68" w:rsidRPr="00A74C68" w:rsidRDefault="00A74C68" w:rsidP="00A74C68">
            <w:pPr>
              <w:rPr>
                <w:color w:val="000000"/>
                <w:sz w:val="14"/>
                <w:szCs w:val="14"/>
              </w:rPr>
            </w:pPr>
            <w:r w:rsidRPr="00A74C68">
              <w:rPr>
                <w:color w:val="000000"/>
                <w:sz w:val="14"/>
                <w:szCs w:val="14"/>
              </w:rPr>
              <w:t>Diğer Rehinli Kıymetler</w:t>
            </w:r>
          </w:p>
        </w:tc>
        <w:tc>
          <w:tcPr>
            <w:tcW w:w="329" w:type="pct"/>
            <w:tcBorders>
              <w:top w:val="nil"/>
              <w:left w:val="single" w:sz="4" w:space="0" w:color="auto"/>
              <w:bottom w:val="nil"/>
              <w:right w:val="single" w:sz="4" w:space="0" w:color="auto"/>
            </w:tcBorders>
            <w:vAlign w:val="bottom"/>
            <w:hideMark/>
          </w:tcPr>
          <w:p w14:paraId="4D3EAEBB"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78C22A13" w14:textId="77777777" w:rsidR="00A74C68" w:rsidRPr="00A74C68" w:rsidRDefault="00A74C68" w:rsidP="00A74C68">
            <w:pPr>
              <w:jc w:val="right"/>
              <w:rPr>
                <w:color w:val="000000"/>
                <w:sz w:val="14"/>
                <w:szCs w:val="14"/>
              </w:rPr>
            </w:pPr>
            <w:r w:rsidRPr="00A74C68">
              <w:rPr>
                <w:color w:val="000000"/>
                <w:sz w:val="14"/>
                <w:szCs w:val="14"/>
              </w:rPr>
              <w:t>772.528.037</w:t>
            </w:r>
          </w:p>
        </w:tc>
        <w:tc>
          <w:tcPr>
            <w:tcW w:w="412" w:type="pct"/>
            <w:tcBorders>
              <w:top w:val="nil"/>
              <w:left w:val="nil"/>
              <w:bottom w:val="nil"/>
              <w:right w:val="single" w:sz="4" w:space="0" w:color="auto"/>
            </w:tcBorders>
            <w:shd w:val="clear" w:color="000000" w:fill="FFFFFF"/>
            <w:noWrap/>
            <w:vAlign w:val="bottom"/>
            <w:hideMark/>
          </w:tcPr>
          <w:p w14:paraId="4BD51B8E" w14:textId="77777777" w:rsidR="00A74C68" w:rsidRPr="00A74C68" w:rsidRDefault="00A74C68" w:rsidP="00A74C68">
            <w:pPr>
              <w:jc w:val="right"/>
              <w:rPr>
                <w:color w:val="000000"/>
                <w:sz w:val="14"/>
                <w:szCs w:val="14"/>
              </w:rPr>
            </w:pPr>
            <w:r w:rsidRPr="00A74C68">
              <w:rPr>
                <w:color w:val="000000"/>
                <w:sz w:val="14"/>
                <w:szCs w:val="14"/>
              </w:rPr>
              <w:t>373.947.383</w:t>
            </w:r>
          </w:p>
        </w:tc>
        <w:tc>
          <w:tcPr>
            <w:tcW w:w="463" w:type="pct"/>
            <w:tcBorders>
              <w:top w:val="nil"/>
              <w:left w:val="nil"/>
              <w:bottom w:val="nil"/>
              <w:right w:val="single" w:sz="4" w:space="0" w:color="auto"/>
            </w:tcBorders>
            <w:shd w:val="clear" w:color="000000" w:fill="FFFFFF"/>
            <w:noWrap/>
            <w:vAlign w:val="bottom"/>
            <w:hideMark/>
          </w:tcPr>
          <w:p w14:paraId="498EEBC7" w14:textId="77777777" w:rsidR="00A74C68" w:rsidRPr="00A74C68" w:rsidRDefault="00A74C68" w:rsidP="00A74C68">
            <w:pPr>
              <w:jc w:val="right"/>
              <w:rPr>
                <w:color w:val="000000"/>
                <w:sz w:val="14"/>
                <w:szCs w:val="14"/>
              </w:rPr>
            </w:pPr>
            <w:r w:rsidRPr="00A74C68">
              <w:rPr>
                <w:color w:val="000000"/>
                <w:sz w:val="14"/>
                <w:szCs w:val="14"/>
              </w:rPr>
              <w:t>1.146.475.420</w:t>
            </w:r>
          </w:p>
        </w:tc>
        <w:tc>
          <w:tcPr>
            <w:tcW w:w="412" w:type="pct"/>
            <w:tcBorders>
              <w:top w:val="nil"/>
              <w:left w:val="nil"/>
              <w:bottom w:val="nil"/>
              <w:right w:val="single" w:sz="4" w:space="0" w:color="auto"/>
            </w:tcBorders>
            <w:noWrap/>
            <w:vAlign w:val="bottom"/>
            <w:hideMark/>
          </w:tcPr>
          <w:p w14:paraId="0AF81F4B" w14:textId="77777777" w:rsidR="00A74C68" w:rsidRPr="00A74C68" w:rsidRDefault="00A74C68" w:rsidP="00A74C68">
            <w:pPr>
              <w:jc w:val="right"/>
              <w:rPr>
                <w:color w:val="000000"/>
                <w:sz w:val="14"/>
                <w:szCs w:val="14"/>
                <w:lang w:eastAsia="tr-TR"/>
              </w:rPr>
            </w:pPr>
            <w:r w:rsidRPr="00A74C68">
              <w:rPr>
                <w:color w:val="000000"/>
                <w:sz w:val="14"/>
                <w:szCs w:val="14"/>
                <w:lang w:eastAsia="tr-TR"/>
              </w:rPr>
              <w:t>304.536.787</w:t>
            </w:r>
          </w:p>
        </w:tc>
        <w:tc>
          <w:tcPr>
            <w:tcW w:w="412" w:type="pct"/>
            <w:tcBorders>
              <w:top w:val="nil"/>
              <w:left w:val="nil"/>
              <w:bottom w:val="nil"/>
              <w:right w:val="single" w:sz="4" w:space="0" w:color="auto"/>
            </w:tcBorders>
            <w:noWrap/>
            <w:vAlign w:val="bottom"/>
            <w:hideMark/>
          </w:tcPr>
          <w:p w14:paraId="6BD5263B" w14:textId="77777777" w:rsidR="00A74C68" w:rsidRPr="00A74C68" w:rsidRDefault="00A74C68" w:rsidP="00A74C68">
            <w:pPr>
              <w:jc w:val="right"/>
              <w:rPr>
                <w:color w:val="000000"/>
                <w:sz w:val="14"/>
                <w:szCs w:val="14"/>
                <w:lang w:eastAsia="tr-TR"/>
              </w:rPr>
            </w:pPr>
            <w:r w:rsidRPr="00A74C68">
              <w:rPr>
                <w:color w:val="000000"/>
                <w:sz w:val="14"/>
                <w:szCs w:val="14"/>
                <w:lang w:eastAsia="tr-TR"/>
              </w:rPr>
              <w:t>173.357.886</w:t>
            </w:r>
          </w:p>
        </w:tc>
        <w:tc>
          <w:tcPr>
            <w:tcW w:w="458" w:type="pct"/>
            <w:tcBorders>
              <w:top w:val="nil"/>
              <w:left w:val="nil"/>
              <w:bottom w:val="nil"/>
              <w:right w:val="single" w:sz="4" w:space="0" w:color="auto"/>
            </w:tcBorders>
            <w:noWrap/>
            <w:vAlign w:val="bottom"/>
            <w:hideMark/>
          </w:tcPr>
          <w:p w14:paraId="6B28A928" w14:textId="77777777" w:rsidR="00A74C68" w:rsidRPr="00A74C68" w:rsidRDefault="00A74C68" w:rsidP="00A74C68">
            <w:pPr>
              <w:jc w:val="right"/>
              <w:rPr>
                <w:color w:val="000000"/>
                <w:sz w:val="14"/>
                <w:szCs w:val="14"/>
                <w:lang w:eastAsia="tr-TR"/>
              </w:rPr>
            </w:pPr>
            <w:r w:rsidRPr="00A74C68">
              <w:rPr>
                <w:color w:val="000000"/>
                <w:sz w:val="14"/>
                <w:szCs w:val="14"/>
                <w:lang w:eastAsia="tr-TR"/>
              </w:rPr>
              <w:t>477.894.673</w:t>
            </w:r>
          </w:p>
        </w:tc>
      </w:tr>
      <w:tr w:rsidR="00A74C68" w:rsidRPr="00A74C68" w14:paraId="397DB90B" w14:textId="77777777" w:rsidTr="00A74C68">
        <w:trPr>
          <w:divId w:val="153886216"/>
          <w:trHeight w:val="20"/>
        </w:trPr>
        <w:tc>
          <w:tcPr>
            <w:tcW w:w="257" w:type="pct"/>
            <w:tcBorders>
              <w:top w:val="nil"/>
              <w:left w:val="single" w:sz="4" w:space="0" w:color="auto"/>
              <w:bottom w:val="nil"/>
              <w:right w:val="nil"/>
            </w:tcBorders>
            <w:hideMark/>
          </w:tcPr>
          <w:p w14:paraId="7D982187" w14:textId="77777777" w:rsidR="00A74C68" w:rsidRPr="00A74C68" w:rsidRDefault="00A74C68" w:rsidP="00A74C68">
            <w:pPr>
              <w:rPr>
                <w:color w:val="000000"/>
                <w:sz w:val="14"/>
                <w:szCs w:val="14"/>
              </w:rPr>
            </w:pPr>
            <w:r w:rsidRPr="00A74C68">
              <w:rPr>
                <w:color w:val="000000"/>
                <w:sz w:val="14"/>
                <w:szCs w:val="14"/>
              </w:rPr>
              <w:t>5.7.</w:t>
            </w:r>
          </w:p>
        </w:tc>
        <w:tc>
          <w:tcPr>
            <w:tcW w:w="1793" w:type="pct"/>
            <w:tcBorders>
              <w:top w:val="nil"/>
              <w:left w:val="nil"/>
              <w:bottom w:val="nil"/>
              <w:right w:val="nil"/>
            </w:tcBorders>
            <w:hideMark/>
          </w:tcPr>
          <w:p w14:paraId="504B3CF7" w14:textId="77777777" w:rsidR="00A74C68" w:rsidRPr="00A74C68" w:rsidRDefault="00A74C68" w:rsidP="00A74C68">
            <w:pPr>
              <w:rPr>
                <w:color w:val="000000"/>
                <w:sz w:val="14"/>
                <w:szCs w:val="14"/>
              </w:rPr>
            </w:pPr>
            <w:r w:rsidRPr="00A74C68">
              <w:rPr>
                <w:color w:val="000000"/>
                <w:sz w:val="14"/>
                <w:szCs w:val="14"/>
              </w:rPr>
              <w:t>Rehinli Kıymet Alanlar</w:t>
            </w:r>
          </w:p>
        </w:tc>
        <w:tc>
          <w:tcPr>
            <w:tcW w:w="329" w:type="pct"/>
            <w:tcBorders>
              <w:top w:val="nil"/>
              <w:left w:val="single" w:sz="4" w:space="0" w:color="auto"/>
              <w:bottom w:val="nil"/>
              <w:right w:val="single" w:sz="4" w:space="0" w:color="auto"/>
            </w:tcBorders>
            <w:vAlign w:val="bottom"/>
            <w:hideMark/>
          </w:tcPr>
          <w:p w14:paraId="716EB28F"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3EC50831" w14:textId="77777777" w:rsidR="00A74C68" w:rsidRPr="00A74C68" w:rsidRDefault="00A74C68" w:rsidP="00A74C68">
            <w:pPr>
              <w:jc w:val="right"/>
              <w:rPr>
                <w:color w:val="000000"/>
                <w:sz w:val="14"/>
                <w:szCs w:val="14"/>
              </w:rPr>
            </w:pPr>
            <w:r w:rsidRPr="00A74C68">
              <w:rPr>
                <w:color w:val="000000"/>
                <w:sz w:val="14"/>
                <w:szCs w:val="14"/>
              </w:rPr>
              <w:t>30</w:t>
            </w:r>
          </w:p>
        </w:tc>
        <w:tc>
          <w:tcPr>
            <w:tcW w:w="412" w:type="pct"/>
            <w:tcBorders>
              <w:top w:val="nil"/>
              <w:left w:val="nil"/>
              <w:bottom w:val="nil"/>
              <w:right w:val="single" w:sz="4" w:space="0" w:color="auto"/>
            </w:tcBorders>
            <w:shd w:val="clear" w:color="000000" w:fill="FFFFFF"/>
            <w:noWrap/>
            <w:vAlign w:val="bottom"/>
            <w:hideMark/>
          </w:tcPr>
          <w:p w14:paraId="27D81D8A" w14:textId="77777777" w:rsidR="00A74C68" w:rsidRPr="00A74C68" w:rsidRDefault="00A74C68" w:rsidP="00A74C68">
            <w:pPr>
              <w:jc w:val="right"/>
              <w:rPr>
                <w:color w:val="000000"/>
                <w:sz w:val="14"/>
                <w:szCs w:val="14"/>
              </w:rPr>
            </w:pPr>
            <w:r w:rsidRPr="00A74C68">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28F1F387" w14:textId="77777777" w:rsidR="00A74C68" w:rsidRPr="00A74C68" w:rsidRDefault="00A74C68" w:rsidP="00A74C68">
            <w:pPr>
              <w:jc w:val="right"/>
              <w:rPr>
                <w:color w:val="000000"/>
                <w:sz w:val="14"/>
                <w:szCs w:val="14"/>
              </w:rPr>
            </w:pPr>
            <w:r w:rsidRPr="00A74C68">
              <w:rPr>
                <w:color w:val="000000"/>
                <w:sz w:val="14"/>
                <w:szCs w:val="14"/>
              </w:rPr>
              <w:t>30</w:t>
            </w:r>
          </w:p>
        </w:tc>
        <w:tc>
          <w:tcPr>
            <w:tcW w:w="412" w:type="pct"/>
            <w:tcBorders>
              <w:top w:val="nil"/>
              <w:left w:val="nil"/>
              <w:bottom w:val="nil"/>
              <w:right w:val="single" w:sz="4" w:space="0" w:color="auto"/>
            </w:tcBorders>
            <w:noWrap/>
            <w:vAlign w:val="bottom"/>
            <w:hideMark/>
          </w:tcPr>
          <w:p w14:paraId="651844F4" w14:textId="77777777" w:rsidR="00A74C68" w:rsidRPr="00A74C68" w:rsidRDefault="00A74C68" w:rsidP="00A74C68">
            <w:pPr>
              <w:jc w:val="right"/>
              <w:rPr>
                <w:color w:val="000000"/>
                <w:sz w:val="14"/>
                <w:szCs w:val="14"/>
                <w:lang w:eastAsia="tr-TR"/>
              </w:rPr>
            </w:pPr>
            <w:r w:rsidRPr="00A74C68">
              <w:rPr>
                <w:color w:val="000000"/>
                <w:sz w:val="14"/>
                <w:szCs w:val="14"/>
                <w:lang w:eastAsia="tr-TR"/>
              </w:rPr>
              <w:t>30</w:t>
            </w:r>
          </w:p>
        </w:tc>
        <w:tc>
          <w:tcPr>
            <w:tcW w:w="412" w:type="pct"/>
            <w:tcBorders>
              <w:top w:val="nil"/>
              <w:left w:val="nil"/>
              <w:bottom w:val="nil"/>
              <w:right w:val="single" w:sz="4" w:space="0" w:color="auto"/>
            </w:tcBorders>
            <w:noWrap/>
            <w:vAlign w:val="bottom"/>
            <w:hideMark/>
          </w:tcPr>
          <w:p w14:paraId="6F1A2658"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593DF8C6" w14:textId="77777777" w:rsidR="00A74C68" w:rsidRPr="00A74C68" w:rsidRDefault="00A74C68" w:rsidP="00A74C68">
            <w:pPr>
              <w:jc w:val="right"/>
              <w:rPr>
                <w:color w:val="000000"/>
                <w:sz w:val="14"/>
                <w:szCs w:val="14"/>
                <w:lang w:eastAsia="tr-TR"/>
              </w:rPr>
            </w:pPr>
            <w:r w:rsidRPr="00A74C68">
              <w:rPr>
                <w:color w:val="000000"/>
                <w:sz w:val="14"/>
                <w:szCs w:val="14"/>
                <w:lang w:eastAsia="tr-TR"/>
              </w:rPr>
              <w:t>30</w:t>
            </w:r>
          </w:p>
        </w:tc>
      </w:tr>
      <w:tr w:rsidR="00A74C68" w:rsidRPr="00A74C68" w14:paraId="6AE86DD1" w14:textId="77777777" w:rsidTr="00A74C68">
        <w:trPr>
          <w:divId w:val="153886216"/>
          <w:trHeight w:val="20"/>
        </w:trPr>
        <w:tc>
          <w:tcPr>
            <w:tcW w:w="257" w:type="pct"/>
            <w:tcBorders>
              <w:top w:val="nil"/>
              <w:left w:val="single" w:sz="4" w:space="0" w:color="auto"/>
              <w:bottom w:val="nil"/>
              <w:right w:val="nil"/>
            </w:tcBorders>
            <w:hideMark/>
          </w:tcPr>
          <w:p w14:paraId="2730B12A" w14:textId="77777777" w:rsidR="00A74C68" w:rsidRPr="00A74C68" w:rsidRDefault="00A74C68" w:rsidP="00A74C68">
            <w:pPr>
              <w:rPr>
                <w:b/>
                <w:bCs/>
                <w:color w:val="000000"/>
                <w:sz w:val="14"/>
                <w:szCs w:val="14"/>
              </w:rPr>
            </w:pPr>
            <w:r w:rsidRPr="00A74C68">
              <w:rPr>
                <w:b/>
                <w:bCs/>
                <w:color w:val="000000"/>
                <w:sz w:val="14"/>
                <w:szCs w:val="14"/>
              </w:rPr>
              <w:t>VI.</w:t>
            </w:r>
          </w:p>
        </w:tc>
        <w:tc>
          <w:tcPr>
            <w:tcW w:w="1793" w:type="pct"/>
            <w:tcBorders>
              <w:top w:val="nil"/>
              <w:left w:val="nil"/>
              <w:bottom w:val="nil"/>
              <w:right w:val="nil"/>
            </w:tcBorders>
            <w:hideMark/>
          </w:tcPr>
          <w:p w14:paraId="12096DC1" w14:textId="77777777" w:rsidR="00A74C68" w:rsidRPr="00A74C68" w:rsidRDefault="00A74C68" w:rsidP="00A74C68">
            <w:pPr>
              <w:rPr>
                <w:b/>
                <w:bCs/>
                <w:color w:val="000000"/>
                <w:sz w:val="14"/>
                <w:szCs w:val="14"/>
              </w:rPr>
            </w:pPr>
            <w:r w:rsidRPr="00A74C68">
              <w:rPr>
                <w:b/>
                <w:bCs/>
                <w:color w:val="000000"/>
                <w:sz w:val="14"/>
                <w:szCs w:val="14"/>
              </w:rPr>
              <w:t>KABUL EDİLEN AVALLER VE KEFALETLER</w:t>
            </w:r>
          </w:p>
        </w:tc>
        <w:tc>
          <w:tcPr>
            <w:tcW w:w="329" w:type="pct"/>
            <w:tcBorders>
              <w:top w:val="nil"/>
              <w:left w:val="single" w:sz="4" w:space="0" w:color="auto"/>
              <w:bottom w:val="nil"/>
              <w:right w:val="single" w:sz="4" w:space="0" w:color="auto"/>
            </w:tcBorders>
            <w:vAlign w:val="bottom"/>
            <w:hideMark/>
          </w:tcPr>
          <w:p w14:paraId="0EC44242"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nil"/>
              <w:right w:val="single" w:sz="4" w:space="0" w:color="auto"/>
            </w:tcBorders>
            <w:shd w:val="clear" w:color="000000" w:fill="FFFFFF"/>
            <w:noWrap/>
            <w:vAlign w:val="bottom"/>
            <w:hideMark/>
          </w:tcPr>
          <w:p w14:paraId="1A2E99D9"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shd w:val="clear" w:color="000000" w:fill="FFFFFF"/>
            <w:noWrap/>
            <w:vAlign w:val="bottom"/>
            <w:hideMark/>
          </w:tcPr>
          <w:p w14:paraId="08D0D255" w14:textId="77777777" w:rsidR="00A74C68" w:rsidRPr="00A74C68" w:rsidRDefault="00A74C68" w:rsidP="00A74C68">
            <w:pPr>
              <w:jc w:val="right"/>
              <w:rPr>
                <w:color w:val="000000"/>
                <w:sz w:val="14"/>
                <w:szCs w:val="14"/>
              </w:rPr>
            </w:pPr>
            <w:r w:rsidRPr="00A74C68">
              <w:rPr>
                <w:color w:val="000000"/>
                <w:sz w:val="14"/>
                <w:szCs w:val="14"/>
              </w:rPr>
              <w:t>-</w:t>
            </w:r>
          </w:p>
        </w:tc>
        <w:tc>
          <w:tcPr>
            <w:tcW w:w="463" w:type="pct"/>
            <w:tcBorders>
              <w:top w:val="nil"/>
              <w:left w:val="nil"/>
              <w:bottom w:val="nil"/>
              <w:right w:val="single" w:sz="4" w:space="0" w:color="auto"/>
            </w:tcBorders>
            <w:shd w:val="clear" w:color="000000" w:fill="FFFFFF"/>
            <w:noWrap/>
            <w:vAlign w:val="bottom"/>
            <w:hideMark/>
          </w:tcPr>
          <w:p w14:paraId="4E21B8B5" w14:textId="77777777" w:rsidR="00A74C68" w:rsidRPr="00A74C68" w:rsidRDefault="00A74C68" w:rsidP="00A74C68">
            <w:pPr>
              <w:jc w:val="right"/>
              <w:rPr>
                <w:color w:val="000000"/>
                <w:sz w:val="14"/>
                <w:szCs w:val="14"/>
              </w:rPr>
            </w:pPr>
            <w:r w:rsidRPr="00A74C68">
              <w:rPr>
                <w:color w:val="000000"/>
                <w:sz w:val="14"/>
                <w:szCs w:val="14"/>
              </w:rPr>
              <w:t>-</w:t>
            </w:r>
          </w:p>
        </w:tc>
        <w:tc>
          <w:tcPr>
            <w:tcW w:w="412" w:type="pct"/>
            <w:tcBorders>
              <w:top w:val="nil"/>
              <w:left w:val="nil"/>
              <w:bottom w:val="nil"/>
              <w:right w:val="single" w:sz="4" w:space="0" w:color="auto"/>
            </w:tcBorders>
            <w:noWrap/>
            <w:vAlign w:val="bottom"/>
            <w:hideMark/>
          </w:tcPr>
          <w:p w14:paraId="7EB7C992"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12" w:type="pct"/>
            <w:tcBorders>
              <w:top w:val="nil"/>
              <w:left w:val="nil"/>
              <w:bottom w:val="nil"/>
              <w:right w:val="single" w:sz="4" w:space="0" w:color="auto"/>
            </w:tcBorders>
            <w:noWrap/>
            <w:vAlign w:val="bottom"/>
            <w:hideMark/>
          </w:tcPr>
          <w:p w14:paraId="6BBCF3BA"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c>
          <w:tcPr>
            <w:tcW w:w="458" w:type="pct"/>
            <w:tcBorders>
              <w:top w:val="nil"/>
              <w:left w:val="nil"/>
              <w:bottom w:val="nil"/>
              <w:right w:val="single" w:sz="4" w:space="0" w:color="auto"/>
            </w:tcBorders>
            <w:noWrap/>
            <w:vAlign w:val="bottom"/>
            <w:hideMark/>
          </w:tcPr>
          <w:p w14:paraId="4ADF12FE"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1A3CFC05" w14:textId="77777777" w:rsidTr="00A74C68">
        <w:trPr>
          <w:divId w:val="153886216"/>
          <w:trHeight w:val="20"/>
        </w:trPr>
        <w:tc>
          <w:tcPr>
            <w:tcW w:w="257" w:type="pct"/>
            <w:tcBorders>
              <w:top w:val="nil"/>
              <w:left w:val="single" w:sz="4" w:space="0" w:color="auto"/>
              <w:bottom w:val="single" w:sz="4" w:space="0" w:color="auto"/>
              <w:right w:val="nil"/>
            </w:tcBorders>
            <w:hideMark/>
          </w:tcPr>
          <w:p w14:paraId="71C9D911" w14:textId="77777777" w:rsidR="00A74C68" w:rsidRPr="00A74C68" w:rsidRDefault="00A74C68" w:rsidP="00A74C68">
            <w:pPr>
              <w:rPr>
                <w:color w:val="000000"/>
                <w:sz w:val="14"/>
                <w:szCs w:val="14"/>
              </w:rPr>
            </w:pPr>
            <w:r w:rsidRPr="00A74C68">
              <w:rPr>
                <w:color w:val="000000"/>
                <w:sz w:val="14"/>
                <w:szCs w:val="14"/>
              </w:rPr>
              <w:t> </w:t>
            </w:r>
          </w:p>
        </w:tc>
        <w:tc>
          <w:tcPr>
            <w:tcW w:w="1793" w:type="pct"/>
            <w:tcBorders>
              <w:top w:val="nil"/>
              <w:left w:val="nil"/>
              <w:bottom w:val="single" w:sz="4" w:space="0" w:color="auto"/>
              <w:right w:val="nil"/>
            </w:tcBorders>
            <w:hideMark/>
          </w:tcPr>
          <w:p w14:paraId="679961FA" w14:textId="77777777" w:rsidR="00A74C68" w:rsidRPr="00A74C68" w:rsidRDefault="00A74C68" w:rsidP="00A74C68">
            <w:pPr>
              <w:rPr>
                <w:color w:val="000000"/>
                <w:sz w:val="14"/>
                <w:szCs w:val="14"/>
              </w:rPr>
            </w:pPr>
            <w:r w:rsidRPr="00A74C68">
              <w:rPr>
                <w:color w:val="000000"/>
                <w:sz w:val="14"/>
                <w:szCs w:val="14"/>
              </w:rPr>
              <w:t> </w:t>
            </w:r>
          </w:p>
        </w:tc>
        <w:tc>
          <w:tcPr>
            <w:tcW w:w="329" w:type="pct"/>
            <w:tcBorders>
              <w:top w:val="nil"/>
              <w:left w:val="single" w:sz="4" w:space="0" w:color="auto"/>
              <w:bottom w:val="single" w:sz="4" w:space="0" w:color="auto"/>
              <w:right w:val="single" w:sz="4" w:space="0" w:color="auto"/>
            </w:tcBorders>
            <w:vAlign w:val="bottom"/>
            <w:hideMark/>
          </w:tcPr>
          <w:p w14:paraId="025096F4"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single" w:sz="4" w:space="0" w:color="auto"/>
              <w:right w:val="single" w:sz="4" w:space="0" w:color="auto"/>
            </w:tcBorders>
            <w:vAlign w:val="bottom"/>
            <w:hideMark/>
          </w:tcPr>
          <w:p w14:paraId="68BBCE07" w14:textId="77777777" w:rsidR="00A74C68" w:rsidRPr="00A74C68" w:rsidRDefault="00A74C68" w:rsidP="00A74C68">
            <w:pPr>
              <w:jc w:val="right"/>
              <w:rPr>
                <w:color w:val="000000"/>
                <w:sz w:val="14"/>
                <w:szCs w:val="14"/>
              </w:rPr>
            </w:pPr>
            <w:r w:rsidRPr="00A74C68">
              <w:rPr>
                <w:color w:val="000000"/>
                <w:sz w:val="14"/>
                <w:szCs w:val="14"/>
              </w:rPr>
              <w:t> </w:t>
            </w:r>
          </w:p>
        </w:tc>
        <w:tc>
          <w:tcPr>
            <w:tcW w:w="412" w:type="pct"/>
            <w:tcBorders>
              <w:top w:val="nil"/>
              <w:left w:val="nil"/>
              <w:bottom w:val="single" w:sz="4" w:space="0" w:color="auto"/>
              <w:right w:val="single" w:sz="4" w:space="0" w:color="auto"/>
            </w:tcBorders>
            <w:vAlign w:val="bottom"/>
            <w:hideMark/>
          </w:tcPr>
          <w:p w14:paraId="07DBD603" w14:textId="77777777" w:rsidR="00A74C68" w:rsidRPr="00A74C68" w:rsidRDefault="00A74C68" w:rsidP="00A74C68">
            <w:pPr>
              <w:jc w:val="right"/>
              <w:rPr>
                <w:color w:val="000000"/>
                <w:sz w:val="14"/>
                <w:szCs w:val="14"/>
              </w:rPr>
            </w:pPr>
            <w:r w:rsidRPr="00A74C68">
              <w:rPr>
                <w:color w:val="000000"/>
                <w:sz w:val="14"/>
                <w:szCs w:val="14"/>
              </w:rPr>
              <w:t> </w:t>
            </w:r>
          </w:p>
        </w:tc>
        <w:tc>
          <w:tcPr>
            <w:tcW w:w="463" w:type="pct"/>
            <w:tcBorders>
              <w:top w:val="nil"/>
              <w:left w:val="nil"/>
              <w:bottom w:val="single" w:sz="4" w:space="0" w:color="auto"/>
              <w:right w:val="single" w:sz="4" w:space="0" w:color="auto"/>
            </w:tcBorders>
            <w:vAlign w:val="bottom"/>
            <w:hideMark/>
          </w:tcPr>
          <w:p w14:paraId="17ADF80D" w14:textId="77777777" w:rsidR="00A74C68" w:rsidRPr="00A74C68" w:rsidRDefault="00A74C68" w:rsidP="00A74C68">
            <w:pPr>
              <w:jc w:val="right"/>
              <w:rPr>
                <w:color w:val="000000"/>
                <w:sz w:val="14"/>
                <w:szCs w:val="14"/>
              </w:rPr>
            </w:pPr>
            <w:r w:rsidRPr="00A74C68">
              <w:rPr>
                <w:color w:val="000000"/>
                <w:sz w:val="14"/>
                <w:szCs w:val="14"/>
              </w:rPr>
              <w:t> </w:t>
            </w:r>
          </w:p>
        </w:tc>
        <w:tc>
          <w:tcPr>
            <w:tcW w:w="412" w:type="pct"/>
            <w:tcBorders>
              <w:top w:val="nil"/>
              <w:left w:val="nil"/>
              <w:bottom w:val="single" w:sz="4" w:space="0" w:color="auto"/>
              <w:right w:val="single" w:sz="4" w:space="0" w:color="auto"/>
            </w:tcBorders>
            <w:vAlign w:val="bottom"/>
            <w:hideMark/>
          </w:tcPr>
          <w:p w14:paraId="0811BEBA" w14:textId="77777777" w:rsidR="00A74C68" w:rsidRPr="00A74C68" w:rsidRDefault="00A74C68" w:rsidP="00A74C68">
            <w:pPr>
              <w:jc w:val="right"/>
              <w:rPr>
                <w:color w:val="000000"/>
                <w:sz w:val="14"/>
                <w:szCs w:val="14"/>
                <w:lang w:eastAsia="tr-TR"/>
              </w:rPr>
            </w:pPr>
            <w:r w:rsidRPr="00A74C68">
              <w:rPr>
                <w:color w:val="000000"/>
                <w:sz w:val="14"/>
                <w:szCs w:val="14"/>
                <w:lang w:eastAsia="tr-TR"/>
              </w:rPr>
              <w:t> </w:t>
            </w:r>
          </w:p>
        </w:tc>
        <w:tc>
          <w:tcPr>
            <w:tcW w:w="412" w:type="pct"/>
            <w:tcBorders>
              <w:top w:val="nil"/>
              <w:left w:val="nil"/>
              <w:bottom w:val="single" w:sz="4" w:space="0" w:color="auto"/>
              <w:right w:val="single" w:sz="4" w:space="0" w:color="auto"/>
            </w:tcBorders>
            <w:vAlign w:val="bottom"/>
            <w:hideMark/>
          </w:tcPr>
          <w:p w14:paraId="2BCE9B4C" w14:textId="77777777" w:rsidR="00A74C68" w:rsidRPr="00A74C68" w:rsidRDefault="00A74C68" w:rsidP="00A74C68">
            <w:pPr>
              <w:jc w:val="right"/>
              <w:rPr>
                <w:color w:val="000000"/>
                <w:sz w:val="14"/>
                <w:szCs w:val="14"/>
                <w:lang w:eastAsia="tr-TR"/>
              </w:rPr>
            </w:pPr>
            <w:r w:rsidRPr="00A74C68">
              <w:rPr>
                <w:color w:val="000000"/>
                <w:sz w:val="14"/>
                <w:szCs w:val="14"/>
                <w:lang w:eastAsia="tr-TR"/>
              </w:rPr>
              <w:t> </w:t>
            </w:r>
          </w:p>
        </w:tc>
        <w:tc>
          <w:tcPr>
            <w:tcW w:w="458" w:type="pct"/>
            <w:tcBorders>
              <w:top w:val="nil"/>
              <w:left w:val="nil"/>
              <w:bottom w:val="single" w:sz="4" w:space="0" w:color="auto"/>
              <w:right w:val="single" w:sz="4" w:space="0" w:color="auto"/>
            </w:tcBorders>
            <w:vAlign w:val="bottom"/>
            <w:hideMark/>
          </w:tcPr>
          <w:p w14:paraId="30286F27" w14:textId="77777777" w:rsidR="00A74C68" w:rsidRPr="00A74C68" w:rsidRDefault="00A74C68" w:rsidP="00A74C68">
            <w:pPr>
              <w:jc w:val="right"/>
              <w:rPr>
                <w:color w:val="000000"/>
                <w:sz w:val="14"/>
                <w:szCs w:val="14"/>
                <w:lang w:eastAsia="tr-TR"/>
              </w:rPr>
            </w:pPr>
            <w:r w:rsidRPr="00A74C68">
              <w:rPr>
                <w:color w:val="000000"/>
                <w:sz w:val="14"/>
                <w:szCs w:val="14"/>
                <w:lang w:eastAsia="tr-TR"/>
              </w:rPr>
              <w:t> </w:t>
            </w:r>
          </w:p>
        </w:tc>
      </w:tr>
      <w:tr w:rsidR="00A74C68" w:rsidRPr="00A74C68" w14:paraId="15D5D633" w14:textId="77777777" w:rsidTr="00A74C68">
        <w:trPr>
          <w:divId w:val="153886216"/>
          <w:trHeight w:val="20"/>
        </w:trPr>
        <w:tc>
          <w:tcPr>
            <w:tcW w:w="257" w:type="pct"/>
            <w:tcBorders>
              <w:top w:val="nil"/>
              <w:left w:val="single" w:sz="4" w:space="0" w:color="auto"/>
              <w:bottom w:val="single" w:sz="4" w:space="0" w:color="auto"/>
              <w:right w:val="nil"/>
            </w:tcBorders>
            <w:hideMark/>
          </w:tcPr>
          <w:p w14:paraId="309CFEEB" w14:textId="77777777" w:rsidR="00A74C68" w:rsidRPr="00A74C68" w:rsidRDefault="00A74C68" w:rsidP="00A74C68">
            <w:pPr>
              <w:rPr>
                <w:color w:val="000000"/>
                <w:sz w:val="14"/>
                <w:szCs w:val="14"/>
              </w:rPr>
            </w:pPr>
            <w:r w:rsidRPr="00A74C68">
              <w:rPr>
                <w:color w:val="000000"/>
                <w:sz w:val="14"/>
                <w:szCs w:val="14"/>
              </w:rPr>
              <w:t> </w:t>
            </w:r>
          </w:p>
        </w:tc>
        <w:tc>
          <w:tcPr>
            <w:tcW w:w="1793" w:type="pct"/>
            <w:tcBorders>
              <w:top w:val="nil"/>
              <w:left w:val="nil"/>
              <w:bottom w:val="single" w:sz="4" w:space="0" w:color="auto"/>
              <w:right w:val="nil"/>
            </w:tcBorders>
            <w:hideMark/>
          </w:tcPr>
          <w:p w14:paraId="11EC5291" w14:textId="77777777" w:rsidR="00A74C68" w:rsidRPr="00A74C68" w:rsidRDefault="00A74C68" w:rsidP="00A74C68">
            <w:pPr>
              <w:rPr>
                <w:b/>
                <w:bCs/>
                <w:color w:val="000000"/>
                <w:sz w:val="14"/>
                <w:szCs w:val="14"/>
              </w:rPr>
            </w:pPr>
            <w:r w:rsidRPr="00A74C68">
              <w:rPr>
                <w:b/>
                <w:bCs/>
                <w:color w:val="000000"/>
                <w:sz w:val="14"/>
                <w:szCs w:val="14"/>
              </w:rPr>
              <w:t>BİLANÇO DIŞI HESAPLAR TOPLAMI (A+B)</w:t>
            </w:r>
          </w:p>
        </w:tc>
        <w:tc>
          <w:tcPr>
            <w:tcW w:w="329" w:type="pct"/>
            <w:tcBorders>
              <w:top w:val="nil"/>
              <w:left w:val="single" w:sz="4" w:space="0" w:color="auto"/>
              <w:bottom w:val="single" w:sz="4" w:space="0" w:color="auto"/>
              <w:right w:val="single" w:sz="4" w:space="0" w:color="auto"/>
            </w:tcBorders>
            <w:vAlign w:val="bottom"/>
            <w:hideMark/>
          </w:tcPr>
          <w:p w14:paraId="32284C4F" w14:textId="77777777" w:rsidR="00A74C68" w:rsidRPr="00A74C68" w:rsidRDefault="00A74C68" w:rsidP="00A74C68">
            <w:pPr>
              <w:jc w:val="center"/>
              <w:rPr>
                <w:b/>
                <w:bCs/>
                <w:color w:val="000000"/>
                <w:sz w:val="14"/>
                <w:szCs w:val="14"/>
                <w:lang w:eastAsia="tr-TR"/>
              </w:rPr>
            </w:pPr>
            <w:r w:rsidRPr="00A74C68">
              <w:rPr>
                <w:b/>
                <w:bCs/>
                <w:color w:val="000000"/>
                <w:sz w:val="14"/>
                <w:szCs w:val="14"/>
              </w:rPr>
              <w:t> </w:t>
            </w:r>
          </w:p>
        </w:tc>
        <w:tc>
          <w:tcPr>
            <w:tcW w:w="463" w:type="pct"/>
            <w:tcBorders>
              <w:top w:val="nil"/>
              <w:left w:val="nil"/>
              <w:bottom w:val="single" w:sz="4" w:space="0" w:color="auto"/>
              <w:right w:val="single" w:sz="4" w:space="0" w:color="auto"/>
            </w:tcBorders>
            <w:shd w:val="clear" w:color="000000" w:fill="FFFFFF"/>
            <w:vAlign w:val="bottom"/>
            <w:hideMark/>
          </w:tcPr>
          <w:p w14:paraId="4F043F0D" w14:textId="77777777" w:rsidR="00A74C68" w:rsidRPr="00A74C68" w:rsidRDefault="00A74C68" w:rsidP="00A74C68">
            <w:pPr>
              <w:jc w:val="right"/>
              <w:rPr>
                <w:b/>
                <w:bCs/>
                <w:color w:val="000000"/>
                <w:sz w:val="14"/>
                <w:szCs w:val="14"/>
              </w:rPr>
            </w:pPr>
            <w:r w:rsidRPr="00A74C68">
              <w:rPr>
                <w:b/>
                <w:bCs/>
                <w:color w:val="000000"/>
                <w:sz w:val="14"/>
                <w:szCs w:val="14"/>
              </w:rPr>
              <w:t>1.032.636.104</w:t>
            </w:r>
          </w:p>
        </w:tc>
        <w:tc>
          <w:tcPr>
            <w:tcW w:w="412" w:type="pct"/>
            <w:tcBorders>
              <w:top w:val="nil"/>
              <w:left w:val="nil"/>
              <w:bottom w:val="single" w:sz="4" w:space="0" w:color="auto"/>
              <w:right w:val="single" w:sz="4" w:space="0" w:color="auto"/>
            </w:tcBorders>
            <w:shd w:val="clear" w:color="000000" w:fill="FFFFFF"/>
            <w:vAlign w:val="bottom"/>
            <w:hideMark/>
          </w:tcPr>
          <w:p w14:paraId="70F3B315" w14:textId="77777777" w:rsidR="00A74C68" w:rsidRPr="00A74C68" w:rsidRDefault="00A74C68" w:rsidP="00A74C68">
            <w:pPr>
              <w:jc w:val="right"/>
              <w:rPr>
                <w:b/>
                <w:bCs/>
                <w:color w:val="000000"/>
                <w:sz w:val="14"/>
                <w:szCs w:val="14"/>
              </w:rPr>
            </w:pPr>
            <w:r w:rsidRPr="00A74C68">
              <w:rPr>
                <w:b/>
                <w:bCs/>
                <w:color w:val="000000"/>
                <w:sz w:val="14"/>
                <w:szCs w:val="14"/>
              </w:rPr>
              <w:t>692.980.392</w:t>
            </w:r>
          </w:p>
        </w:tc>
        <w:tc>
          <w:tcPr>
            <w:tcW w:w="463" w:type="pct"/>
            <w:tcBorders>
              <w:top w:val="nil"/>
              <w:left w:val="nil"/>
              <w:bottom w:val="single" w:sz="4" w:space="0" w:color="auto"/>
              <w:right w:val="single" w:sz="4" w:space="0" w:color="auto"/>
            </w:tcBorders>
            <w:shd w:val="clear" w:color="000000" w:fill="FFFFFF"/>
            <w:vAlign w:val="bottom"/>
            <w:hideMark/>
          </w:tcPr>
          <w:p w14:paraId="502A12E8" w14:textId="77777777" w:rsidR="00A74C68" w:rsidRPr="00A74C68" w:rsidRDefault="00A74C68" w:rsidP="00A74C68">
            <w:pPr>
              <w:jc w:val="right"/>
              <w:rPr>
                <w:b/>
                <w:bCs/>
                <w:color w:val="000000"/>
                <w:sz w:val="14"/>
                <w:szCs w:val="14"/>
              </w:rPr>
            </w:pPr>
            <w:r w:rsidRPr="00A74C68">
              <w:rPr>
                <w:b/>
                <w:bCs/>
                <w:color w:val="000000"/>
                <w:sz w:val="14"/>
                <w:szCs w:val="14"/>
              </w:rPr>
              <w:t>1.725.616.496</w:t>
            </w:r>
          </w:p>
        </w:tc>
        <w:tc>
          <w:tcPr>
            <w:tcW w:w="412" w:type="pct"/>
            <w:tcBorders>
              <w:top w:val="nil"/>
              <w:left w:val="nil"/>
              <w:bottom w:val="single" w:sz="4" w:space="0" w:color="auto"/>
              <w:right w:val="single" w:sz="4" w:space="0" w:color="auto"/>
            </w:tcBorders>
            <w:vAlign w:val="bottom"/>
            <w:hideMark/>
          </w:tcPr>
          <w:p w14:paraId="792425DF"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377.518.883</w:t>
            </w:r>
          </w:p>
        </w:tc>
        <w:tc>
          <w:tcPr>
            <w:tcW w:w="412" w:type="pct"/>
            <w:tcBorders>
              <w:top w:val="nil"/>
              <w:left w:val="nil"/>
              <w:bottom w:val="single" w:sz="4" w:space="0" w:color="auto"/>
              <w:right w:val="single" w:sz="4" w:space="0" w:color="auto"/>
            </w:tcBorders>
            <w:vAlign w:val="bottom"/>
            <w:hideMark/>
          </w:tcPr>
          <w:p w14:paraId="7ACDC2CF"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196.718.557</w:t>
            </w:r>
          </w:p>
        </w:tc>
        <w:tc>
          <w:tcPr>
            <w:tcW w:w="458" w:type="pct"/>
            <w:tcBorders>
              <w:top w:val="nil"/>
              <w:left w:val="nil"/>
              <w:bottom w:val="single" w:sz="4" w:space="0" w:color="auto"/>
              <w:right w:val="single" w:sz="4" w:space="0" w:color="auto"/>
            </w:tcBorders>
            <w:vAlign w:val="bottom"/>
            <w:hideMark/>
          </w:tcPr>
          <w:p w14:paraId="42B7877E"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574.237.440</w:t>
            </w:r>
          </w:p>
        </w:tc>
      </w:tr>
    </w:tbl>
    <w:p w14:paraId="354B0EEC" w14:textId="1A6B0046" w:rsidR="001E0764" w:rsidRDefault="001E0764" w:rsidP="00C907C3">
      <w:pPr>
        <w:widowControl w:val="0"/>
        <w:jc w:val="center"/>
      </w:pPr>
    </w:p>
    <w:p w14:paraId="0348907A" w14:textId="77777777" w:rsidR="00F36B82" w:rsidRPr="00AC1668" w:rsidRDefault="00F36B82" w:rsidP="00C907C3">
      <w:pPr>
        <w:widowControl w:val="0"/>
        <w:jc w:val="center"/>
      </w:pPr>
    </w:p>
    <w:p w14:paraId="0FCADBF6" w14:textId="77777777" w:rsidR="00D61417" w:rsidRPr="00AC1668" w:rsidRDefault="00D61417" w:rsidP="009D2E02">
      <w:pPr>
        <w:widowControl w:val="0"/>
        <w:rPr>
          <w:szCs w:val="20"/>
        </w:rPr>
      </w:pPr>
    </w:p>
    <w:p w14:paraId="35473388" w14:textId="7AC92AF5" w:rsidR="00C907C3" w:rsidRPr="00AC1668" w:rsidRDefault="005214DA" w:rsidP="00C907C3">
      <w:pPr>
        <w:widowControl w:val="0"/>
        <w:jc w:val="center"/>
        <w:rPr>
          <w:szCs w:val="20"/>
        </w:rPr>
      </w:pPr>
      <w:r w:rsidRPr="00AC1668">
        <w:rPr>
          <w:szCs w:val="20"/>
        </w:rPr>
        <w:t>İlişikteki açıklama ve dipnotlar bu finansal tabloların tamamlayıcı bir parçasıdır.</w:t>
      </w:r>
    </w:p>
    <w:p w14:paraId="23AF3647" w14:textId="505C8763" w:rsidR="00234709" w:rsidRPr="00AC1668" w:rsidRDefault="00234709" w:rsidP="00234709">
      <w:pPr>
        <w:sectPr w:rsidR="00234709" w:rsidRPr="00AC1668" w:rsidSect="00CA6446">
          <w:headerReference w:type="even" r:id="rId34"/>
          <w:headerReference w:type="default" r:id="rId35"/>
          <w:footerReference w:type="even" r:id="rId36"/>
          <w:footerReference w:type="default" r:id="rId37"/>
          <w:headerReference w:type="first" r:id="rId38"/>
          <w:type w:val="nextColumn"/>
          <w:pgSz w:w="11907" w:h="16840" w:code="9"/>
          <w:pgMar w:top="851" w:right="851" w:bottom="851" w:left="851" w:header="851" w:footer="851" w:gutter="0"/>
          <w:cols w:space="720"/>
          <w:noEndnote/>
          <w:titlePg/>
          <w:docGrid w:linePitch="326"/>
        </w:sectPr>
      </w:pPr>
    </w:p>
    <w:p w14:paraId="7D2C9556" w14:textId="4C6A05BD" w:rsidR="00A74C68" w:rsidRPr="00A74C68" w:rsidRDefault="00A74C68" w:rsidP="009F6E11">
      <w:pPr>
        <w:widowControl w:val="0"/>
        <w:jc w:val="center"/>
        <w:rPr>
          <w:szCs w:val="20"/>
        </w:rPr>
      </w:pPr>
    </w:p>
    <w:tbl>
      <w:tblPr>
        <w:tblW w:w="5000" w:type="pct"/>
        <w:tblCellMar>
          <w:left w:w="70" w:type="dxa"/>
          <w:right w:w="70" w:type="dxa"/>
        </w:tblCellMar>
        <w:tblLook w:val="04A0" w:firstRow="1" w:lastRow="0" w:firstColumn="1" w:lastColumn="0" w:noHBand="0" w:noVBand="1"/>
      </w:tblPr>
      <w:tblGrid>
        <w:gridCol w:w="775"/>
        <w:gridCol w:w="6586"/>
        <w:gridCol w:w="995"/>
        <w:gridCol w:w="1839"/>
      </w:tblGrid>
      <w:tr w:rsidR="00A74C68" w:rsidRPr="00A74C68" w14:paraId="2174C912" w14:textId="77777777" w:rsidTr="00A74C68">
        <w:trPr>
          <w:divId w:val="1875266624"/>
          <w:trHeight w:val="20"/>
        </w:trPr>
        <w:tc>
          <w:tcPr>
            <w:tcW w:w="3610" w:type="pct"/>
            <w:gridSpan w:val="2"/>
            <w:tcBorders>
              <w:top w:val="single" w:sz="4" w:space="0" w:color="auto"/>
              <w:left w:val="single" w:sz="4" w:space="0" w:color="auto"/>
              <w:bottom w:val="single" w:sz="4" w:space="0" w:color="auto"/>
              <w:right w:val="single" w:sz="4" w:space="0" w:color="000000"/>
            </w:tcBorders>
            <w:vAlign w:val="center"/>
            <w:hideMark/>
          </w:tcPr>
          <w:p w14:paraId="4E692634" w14:textId="11978741" w:rsidR="00A74C68" w:rsidRPr="00A74C68" w:rsidRDefault="00A74C68" w:rsidP="00A74C68">
            <w:pPr>
              <w:jc w:val="center"/>
              <w:rPr>
                <w:b/>
                <w:bCs/>
                <w:color w:val="000000"/>
                <w:sz w:val="14"/>
                <w:szCs w:val="14"/>
                <w:lang w:eastAsia="tr-TR"/>
              </w:rPr>
            </w:pPr>
            <w:r w:rsidRPr="00A74C68">
              <w:rPr>
                <w:b/>
                <w:bCs/>
                <w:sz w:val="14"/>
                <w:szCs w:val="14"/>
              </w:rPr>
              <w:t xml:space="preserve">KAR </w:t>
            </w:r>
            <w:r w:rsidRPr="00A74C68">
              <w:rPr>
                <w:b/>
                <w:bCs/>
                <w:color w:val="000000"/>
                <w:sz w:val="14"/>
                <w:szCs w:val="14"/>
                <w:lang w:eastAsia="tr-TR"/>
              </w:rPr>
              <w:t>VEYA ZARAR TABLOSU</w:t>
            </w:r>
          </w:p>
        </w:tc>
        <w:tc>
          <w:tcPr>
            <w:tcW w:w="488" w:type="pct"/>
            <w:tcBorders>
              <w:top w:val="single" w:sz="4" w:space="0" w:color="auto"/>
              <w:left w:val="nil"/>
              <w:bottom w:val="single" w:sz="4" w:space="0" w:color="auto"/>
              <w:right w:val="single" w:sz="4" w:space="0" w:color="auto"/>
            </w:tcBorders>
            <w:vAlign w:val="center"/>
            <w:hideMark/>
          </w:tcPr>
          <w:p w14:paraId="32EB8709" w14:textId="77777777" w:rsidR="00A74C68" w:rsidRPr="00510F3F" w:rsidRDefault="00A74C68" w:rsidP="00A74C68">
            <w:pPr>
              <w:jc w:val="center"/>
              <w:rPr>
                <w:b/>
                <w:bCs/>
                <w:sz w:val="14"/>
                <w:szCs w:val="14"/>
              </w:rPr>
            </w:pPr>
            <w:r w:rsidRPr="00510F3F">
              <w:rPr>
                <w:b/>
                <w:bCs/>
                <w:sz w:val="14"/>
                <w:szCs w:val="14"/>
              </w:rPr>
              <w:t>Dipnot (Beşinci Bölüm-IV)</w:t>
            </w:r>
          </w:p>
        </w:tc>
        <w:tc>
          <w:tcPr>
            <w:tcW w:w="902" w:type="pct"/>
            <w:tcBorders>
              <w:top w:val="single" w:sz="4" w:space="0" w:color="auto"/>
              <w:left w:val="nil"/>
              <w:bottom w:val="single" w:sz="4" w:space="0" w:color="auto"/>
              <w:right w:val="single" w:sz="4" w:space="0" w:color="auto"/>
            </w:tcBorders>
            <w:vAlign w:val="bottom"/>
            <w:hideMark/>
          </w:tcPr>
          <w:p w14:paraId="10A83E90"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Cari Dönem</w:t>
            </w:r>
            <w:r w:rsidRPr="00A74C68">
              <w:rPr>
                <w:b/>
                <w:bCs/>
                <w:color w:val="000000"/>
                <w:sz w:val="14"/>
                <w:szCs w:val="14"/>
                <w:lang w:eastAsia="tr-TR"/>
              </w:rPr>
              <w:br/>
              <w:t>1 Ocak - 31 Aralık 2025</w:t>
            </w:r>
          </w:p>
        </w:tc>
      </w:tr>
      <w:tr w:rsidR="00A74C68" w:rsidRPr="00A74C68" w14:paraId="75C059E7" w14:textId="77777777" w:rsidTr="00A74C68">
        <w:trPr>
          <w:divId w:val="1875266624"/>
          <w:trHeight w:val="20"/>
        </w:trPr>
        <w:tc>
          <w:tcPr>
            <w:tcW w:w="380" w:type="pct"/>
            <w:tcBorders>
              <w:top w:val="nil"/>
              <w:left w:val="single" w:sz="4" w:space="0" w:color="auto"/>
              <w:bottom w:val="nil"/>
              <w:right w:val="nil"/>
            </w:tcBorders>
            <w:noWrap/>
            <w:hideMark/>
          </w:tcPr>
          <w:p w14:paraId="18527834" w14:textId="77777777" w:rsidR="00A74C68" w:rsidRPr="00A74C68" w:rsidRDefault="00A74C68" w:rsidP="00A74C68">
            <w:pPr>
              <w:rPr>
                <w:b/>
                <w:bCs/>
                <w:color w:val="000000"/>
                <w:sz w:val="14"/>
                <w:szCs w:val="14"/>
                <w:lang w:eastAsia="tr-TR"/>
              </w:rPr>
            </w:pPr>
            <w:r w:rsidRPr="00A74C68">
              <w:rPr>
                <w:b/>
                <w:bCs/>
                <w:sz w:val="14"/>
                <w:szCs w:val="14"/>
              </w:rPr>
              <w:t>I.</w:t>
            </w:r>
          </w:p>
        </w:tc>
        <w:tc>
          <w:tcPr>
            <w:tcW w:w="3230" w:type="pct"/>
            <w:tcBorders>
              <w:top w:val="single" w:sz="4" w:space="0" w:color="auto"/>
              <w:left w:val="nil"/>
              <w:bottom w:val="nil"/>
              <w:right w:val="nil"/>
            </w:tcBorders>
            <w:hideMark/>
          </w:tcPr>
          <w:p w14:paraId="2EDA335D" w14:textId="77777777" w:rsidR="00A74C68" w:rsidRPr="00A74C68" w:rsidRDefault="00A74C68" w:rsidP="00A74C68">
            <w:pPr>
              <w:rPr>
                <w:b/>
                <w:bCs/>
                <w:color w:val="000000"/>
                <w:sz w:val="14"/>
                <w:szCs w:val="14"/>
                <w:lang w:eastAsia="tr-TR"/>
              </w:rPr>
            </w:pPr>
            <w:r w:rsidRPr="00A74C68">
              <w:rPr>
                <w:b/>
                <w:bCs/>
                <w:sz w:val="14"/>
                <w:szCs w:val="14"/>
              </w:rPr>
              <w:t>KÂR PAYI</w:t>
            </w:r>
            <w:r w:rsidRPr="00A74C68">
              <w:rPr>
                <w:b/>
                <w:bCs/>
                <w:color w:val="000000"/>
                <w:sz w:val="14"/>
                <w:szCs w:val="14"/>
                <w:lang w:eastAsia="tr-TR"/>
              </w:rPr>
              <w:t xml:space="preserve"> GELİRLERİ  </w:t>
            </w:r>
          </w:p>
        </w:tc>
        <w:tc>
          <w:tcPr>
            <w:tcW w:w="488" w:type="pct"/>
            <w:tcBorders>
              <w:top w:val="single" w:sz="4" w:space="0" w:color="auto"/>
              <w:left w:val="single" w:sz="4" w:space="0" w:color="auto"/>
              <w:bottom w:val="nil"/>
              <w:right w:val="single" w:sz="4" w:space="0" w:color="auto"/>
            </w:tcBorders>
            <w:vAlign w:val="bottom"/>
            <w:hideMark/>
          </w:tcPr>
          <w:p w14:paraId="03F153C6" w14:textId="77777777" w:rsidR="00A74C68" w:rsidRPr="00510F3F" w:rsidRDefault="00A74C68" w:rsidP="00A74C68">
            <w:pPr>
              <w:jc w:val="center"/>
              <w:rPr>
                <w:b/>
                <w:bCs/>
                <w:sz w:val="14"/>
                <w:szCs w:val="14"/>
              </w:rPr>
            </w:pPr>
            <w:r w:rsidRPr="00510F3F">
              <w:rPr>
                <w:b/>
                <w:bCs/>
                <w:sz w:val="14"/>
                <w:szCs w:val="14"/>
              </w:rPr>
              <w:t>(1)</w:t>
            </w:r>
          </w:p>
        </w:tc>
        <w:tc>
          <w:tcPr>
            <w:tcW w:w="902" w:type="pct"/>
            <w:tcBorders>
              <w:top w:val="nil"/>
              <w:left w:val="nil"/>
              <w:bottom w:val="nil"/>
              <w:right w:val="single" w:sz="4" w:space="0" w:color="auto"/>
            </w:tcBorders>
            <w:vAlign w:val="bottom"/>
            <w:hideMark/>
          </w:tcPr>
          <w:p w14:paraId="5C27965D"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12.377.611</w:t>
            </w:r>
          </w:p>
        </w:tc>
      </w:tr>
      <w:tr w:rsidR="00A74C68" w:rsidRPr="00A74C68" w14:paraId="5A0E9399" w14:textId="77777777" w:rsidTr="00A74C68">
        <w:trPr>
          <w:divId w:val="1875266624"/>
          <w:trHeight w:val="20"/>
        </w:trPr>
        <w:tc>
          <w:tcPr>
            <w:tcW w:w="380" w:type="pct"/>
            <w:tcBorders>
              <w:top w:val="nil"/>
              <w:left w:val="single" w:sz="4" w:space="0" w:color="auto"/>
              <w:bottom w:val="nil"/>
              <w:right w:val="nil"/>
            </w:tcBorders>
            <w:noWrap/>
            <w:hideMark/>
          </w:tcPr>
          <w:p w14:paraId="6F45F73D" w14:textId="77777777" w:rsidR="00A74C68" w:rsidRPr="00A74C68" w:rsidRDefault="00A74C68" w:rsidP="00A74C68">
            <w:pPr>
              <w:rPr>
                <w:sz w:val="14"/>
                <w:szCs w:val="14"/>
              </w:rPr>
            </w:pPr>
            <w:r w:rsidRPr="00A74C68">
              <w:rPr>
                <w:sz w:val="14"/>
                <w:szCs w:val="14"/>
              </w:rPr>
              <w:t>1.1</w:t>
            </w:r>
          </w:p>
        </w:tc>
        <w:tc>
          <w:tcPr>
            <w:tcW w:w="3230" w:type="pct"/>
            <w:tcBorders>
              <w:top w:val="nil"/>
              <w:left w:val="nil"/>
              <w:bottom w:val="nil"/>
              <w:right w:val="nil"/>
            </w:tcBorders>
            <w:hideMark/>
          </w:tcPr>
          <w:p w14:paraId="6A2AD6F8" w14:textId="77777777" w:rsidR="00A74C68" w:rsidRPr="00A74C68" w:rsidRDefault="00A74C68" w:rsidP="00A74C68">
            <w:pPr>
              <w:rPr>
                <w:color w:val="000000"/>
                <w:sz w:val="14"/>
                <w:szCs w:val="14"/>
                <w:lang w:eastAsia="tr-TR"/>
              </w:rPr>
            </w:pPr>
            <w:r w:rsidRPr="00A74C68">
              <w:rPr>
                <w:sz w:val="14"/>
                <w:szCs w:val="14"/>
              </w:rPr>
              <w:t xml:space="preserve">Kredilerden </w:t>
            </w:r>
            <w:r w:rsidRPr="00A74C68">
              <w:rPr>
                <w:color w:val="000000"/>
                <w:sz w:val="14"/>
                <w:szCs w:val="14"/>
                <w:lang w:eastAsia="tr-TR"/>
              </w:rPr>
              <w:t>Alınan Kâr Payları</w:t>
            </w:r>
          </w:p>
        </w:tc>
        <w:tc>
          <w:tcPr>
            <w:tcW w:w="488" w:type="pct"/>
            <w:tcBorders>
              <w:top w:val="nil"/>
              <w:left w:val="single" w:sz="4" w:space="0" w:color="auto"/>
              <w:bottom w:val="nil"/>
              <w:right w:val="single" w:sz="4" w:space="0" w:color="auto"/>
            </w:tcBorders>
            <w:vAlign w:val="bottom"/>
            <w:hideMark/>
          </w:tcPr>
          <w:p w14:paraId="0885D305"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bottom w:val="nil"/>
              <w:right w:val="single" w:sz="4" w:space="0" w:color="auto"/>
            </w:tcBorders>
            <w:vAlign w:val="bottom"/>
            <w:hideMark/>
          </w:tcPr>
          <w:p w14:paraId="10FD2203" w14:textId="77777777" w:rsidR="00A74C68" w:rsidRPr="00A74C68" w:rsidRDefault="00A74C68" w:rsidP="00A74C68">
            <w:pPr>
              <w:jc w:val="right"/>
              <w:rPr>
                <w:color w:val="000000"/>
                <w:sz w:val="14"/>
                <w:szCs w:val="14"/>
                <w:lang w:eastAsia="tr-TR"/>
              </w:rPr>
            </w:pPr>
            <w:r w:rsidRPr="00A74C68">
              <w:rPr>
                <w:color w:val="000000"/>
                <w:sz w:val="14"/>
                <w:szCs w:val="14"/>
                <w:lang w:eastAsia="tr-TR"/>
              </w:rPr>
              <w:t>10.645.375</w:t>
            </w:r>
          </w:p>
        </w:tc>
      </w:tr>
      <w:tr w:rsidR="00A74C68" w:rsidRPr="00A74C68" w14:paraId="5A812350" w14:textId="77777777" w:rsidTr="00A74C68">
        <w:trPr>
          <w:divId w:val="1875266624"/>
          <w:trHeight w:val="20"/>
        </w:trPr>
        <w:tc>
          <w:tcPr>
            <w:tcW w:w="380" w:type="pct"/>
            <w:tcBorders>
              <w:top w:val="nil"/>
              <w:left w:val="single" w:sz="4" w:space="0" w:color="auto"/>
              <w:bottom w:val="nil"/>
              <w:right w:val="nil"/>
            </w:tcBorders>
            <w:noWrap/>
            <w:hideMark/>
          </w:tcPr>
          <w:p w14:paraId="7C412B7F" w14:textId="77777777" w:rsidR="00A74C68" w:rsidRPr="00A74C68" w:rsidRDefault="00A74C68" w:rsidP="00A74C68">
            <w:pPr>
              <w:rPr>
                <w:sz w:val="14"/>
                <w:szCs w:val="14"/>
              </w:rPr>
            </w:pPr>
            <w:r w:rsidRPr="00A74C68">
              <w:rPr>
                <w:sz w:val="14"/>
                <w:szCs w:val="14"/>
              </w:rPr>
              <w:t>1.2</w:t>
            </w:r>
          </w:p>
        </w:tc>
        <w:tc>
          <w:tcPr>
            <w:tcW w:w="3230" w:type="pct"/>
            <w:tcBorders>
              <w:top w:val="nil"/>
              <w:left w:val="nil"/>
              <w:bottom w:val="nil"/>
              <w:right w:val="nil"/>
            </w:tcBorders>
            <w:hideMark/>
          </w:tcPr>
          <w:p w14:paraId="6B2E9BF3" w14:textId="77777777" w:rsidR="00A74C68" w:rsidRPr="00A74C68" w:rsidRDefault="00A74C68" w:rsidP="00A74C68">
            <w:pPr>
              <w:rPr>
                <w:color w:val="000000"/>
                <w:sz w:val="14"/>
                <w:szCs w:val="14"/>
                <w:lang w:eastAsia="tr-TR"/>
              </w:rPr>
            </w:pPr>
            <w:r w:rsidRPr="00A74C68">
              <w:rPr>
                <w:sz w:val="14"/>
                <w:szCs w:val="14"/>
              </w:rPr>
              <w:t xml:space="preserve">Zorunlu </w:t>
            </w:r>
            <w:r w:rsidRPr="00A74C68">
              <w:rPr>
                <w:color w:val="000000"/>
                <w:sz w:val="14"/>
                <w:szCs w:val="14"/>
                <w:lang w:eastAsia="tr-TR"/>
              </w:rPr>
              <w:t>Karşılıklardan Alınan Gelirler</w:t>
            </w:r>
          </w:p>
        </w:tc>
        <w:tc>
          <w:tcPr>
            <w:tcW w:w="488" w:type="pct"/>
            <w:tcBorders>
              <w:top w:val="nil"/>
              <w:left w:val="single" w:sz="4" w:space="0" w:color="auto"/>
              <w:bottom w:val="nil"/>
              <w:right w:val="single" w:sz="4" w:space="0" w:color="auto"/>
            </w:tcBorders>
            <w:vAlign w:val="bottom"/>
            <w:hideMark/>
          </w:tcPr>
          <w:p w14:paraId="76219A02"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bottom w:val="nil"/>
              <w:right w:val="single" w:sz="4" w:space="0" w:color="auto"/>
            </w:tcBorders>
            <w:vAlign w:val="bottom"/>
            <w:hideMark/>
          </w:tcPr>
          <w:p w14:paraId="021E2BC0" w14:textId="77777777" w:rsidR="00A74C68" w:rsidRPr="00A74C68" w:rsidRDefault="00A74C68" w:rsidP="00A74C68">
            <w:pPr>
              <w:jc w:val="right"/>
              <w:rPr>
                <w:color w:val="000000"/>
                <w:sz w:val="14"/>
                <w:szCs w:val="14"/>
                <w:lang w:eastAsia="tr-TR"/>
              </w:rPr>
            </w:pPr>
            <w:r w:rsidRPr="00A74C68">
              <w:rPr>
                <w:color w:val="000000"/>
                <w:sz w:val="14"/>
                <w:szCs w:val="14"/>
                <w:lang w:eastAsia="tr-TR"/>
              </w:rPr>
              <w:t>555.012</w:t>
            </w:r>
          </w:p>
        </w:tc>
      </w:tr>
      <w:tr w:rsidR="00A74C68" w:rsidRPr="00A74C68" w14:paraId="75B8D719" w14:textId="77777777" w:rsidTr="00A74C68">
        <w:trPr>
          <w:divId w:val="1875266624"/>
          <w:trHeight w:val="20"/>
        </w:trPr>
        <w:tc>
          <w:tcPr>
            <w:tcW w:w="380" w:type="pct"/>
            <w:tcBorders>
              <w:top w:val="nil"/>
              <w:left w:val="single" w:sz="4" w:space="0" w:color="auto"/>
              <w:bottom w:val="nil"/>
              <w:right w:val="nil"/>
            </w:tcBorders>
            <w:noWrap/>
            <w:hideMark/>
          </w:tcPr>
          <w:p w14:paraId="2734A79B" w14:textId="77777777" w:rsidR="00A74C68" w:rsidRPr="00A74C68" w:rsidRDefault="00A74C68" w:rsidP="00A74C68">
            <w:pPr>
              <w:rPr>
                <w:sz w:val="14"/>
                <w:szCs w:val="14"/>
              </w:rPr>
            </w:pPr>
            <w:r w:rsidRPr="00A74C68">
              <w:rPr>
                <w:sz w:val="14"/>
                <w:szCs w:val="14"/>
              </w:rPr>
              <w:t>1.3</w:t>
            </w:r>
          </w:p>
        </w:tc>
        <w:tc>
          <w:tcPr>
            <w:tcW w:w="3230" w:type="pct"/>
            <w:tcBorders>
              <w:top w:val="nil"/>
              <w:left w:val="nil"/>
              <w:bottom w:val="nil"/>
              <w:right w:val="nil"/>
            </w:tcBorders>
            <w:hideMark/>
          </w:tcPr>
          <w:p w14:paraId="2A0EB33C" w14:textId="77777777" w:rsidR="00A74C68" w:rsidRPr="00A74C68" w:rsidRDefault="00A74C68" w:rsidP="00A74C68">
            <w:pPr>
              <w:rPr>
                <w:color w:val="000000"/>
                <w:sz w:val="14"/>
                <w:szCs w:val="14"/>
                <w:lang w:eastAsia="tr-TR"/>
              </w:rPr>
            </w:pPr>
            <w:r w:rsidRPr="00A74C68">
              <w:rPr>
                <w:sz w:val="14"/>
                <w:szCs w:val="14"/>
              </w:rPr>
              <w:t xml:space="preserve">Bankalardan </w:t>
            </w:r>
            <w:r w:rsidRPr="00A74C68">
              <w:rPr>
                <w:color w:val="000000"/>
                <w:sz w:val="14"/>
                <w:szCs w:val="14"/>
                <w:lang w:eastAsia="tr-TR"/>
              </w:rPr>
              <w:t>Alınan Gelirler</w:t>
            </w:r>
          </w:p>
        </w:tc>
        <w:tc>
          <w:tcPr>
            <w:tcW w:w="488" w:type="pct"/>
            <w:tcBorders>
              <w:top w:val="nil"/>
              <w:left w:val="single" w:sz="4" w:space="0" w:color="auto"/>
              <w:bottom w:val="nil"/>
              <w:right w:val="single" w:sz="4" w:space="0" w:color="auto"/>
            </w:tcBorders>
            <w:vAlign w:val="bottom"/>
            <w:hideMark/>
          </w:tcPr>
          <w:p w14:paraId="10FEDB0B"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bottom w:val="nil"/>
              <w:right w:val="single" w:sz="4" w:space="0" w:color="auto"/>
            </w:tcBorders>
            <w:vAlign w:val="bottom"/>
            <w:hideMark/>
          </w:tcPr>
          <w:p w14:paraId="1C25EB19" w14:textId="77777777" w:rsidR="00A74C68" w:rsidRPr="00A74C68" w:rsidRDefault="00A74C68" w:rsidP="00A74C68">
            <w:pPr>
              <w:jc w:val="right"/>
              <w:rPr>
                <w:color w:val="000000"/>
                <w:sz w:val="14"/>
                <w:szCs w:val="14"/>
                <w:lang w:eastAsia="tr-TR"/>
              </w:rPr>
            </w:pPr>
            <w:r w:rsidRPr="00A74C68">
              <w:rPr>
                <w:color w:val="000000"/>
                <w:sz w:val="14"/>
                <w:szCs w:val="14"/>
                <w:lang w:eastAsia="tr-TR"/>
              </w:rPr>
              <w:t>77.533</w:t>
            </w:r>
          </w:p>
        </w:tc>
      </w:tr>
      <w:tr w:rsidR="00A74C68" w:rsidRPr="00A74C68" w14:paraId="3F1C5178" w14:textId="77777777" w:rsidTr="00A74C68">
        <w:trPr>
          <w:divId w:val="1875266624"/>
          <w:trHeight w:val="20"/>
        </w:trPr>
        <w:tc>
          <w:tcPr>
            <w:tcW w:w="380" w:type="pct"/>
            <w:tcBorders>
              <w:top w:val="nil"/>
              <w:left w:val="single" w:sz="4" w:space="0" w:color="auto"/>
              <w:bottom w:val="nil"/>
              <w:right w:val="nil"/>
            </w:tcBorders>
            <w:noWrap/>
            <w:hideMark/>
          </w:tcPr>
          <w:p w14:paraId="4F20E30D" w14:textId="77777777" w:rsidR="00A74C68" w:rsidRPr="00A74C68" w:rsidRDefault="00A74C68" w:rsidP="00A74C68">
            <w:pPr>
              <w:rPr>
                <w:sz w:val="14"/>
                <w:szCs w:val="14"/>
              </w:rPr>
            </w:pPr>
            <w:r w:rsidRPr="00A74C68">
              <w:rPr>
                <w:sz w:val="14"/>
                <w:szCs w:val="14"/>
              </w:rPr>
              <w:t>1.4</w:t>
            </w:r>
          </w:p>
        </w:tc>
        <w:tc>
          <w:tcPr>
            <w:tcW w:w="3230" w:type="pct"/>
            <w:tcBorders>
              <w:top w:val="nil"/>
              <w:left w:val="nil"/>
              <w:bottom w:val="nil"/>
              <w:right w:val="nil"/>
            </w:tcBorders>
            <w:hideMark/>
          </w:tcPr>
          <w:p w14:paraId="3BB34510" w14:textId="77777777" w:rsidR="00A74C68" w:rsidRPr="00A74C68" w:rsidRDefault="00A74C68" w:rsidP="00A74C68">
            <w:pPr>
              <w:rPr>
                <w:color w:val="000000"/>
                <w:sz w:val="14"/>
                <w:szCs w:val="14"/>
                <w:lang w:eastAsia="tr-TR"/>
              </w:rPr>
            </w:pPr>
            <w:r w:rsidRPr="00A74C68">
              <w:rPr>
                <w:sz w:val="14"/>
                <w:szCs w:val="14"/>
              </w:rPr>
              <w:t xml:space="preserve">Para </w:t>
            </w:r>
            <w:r w:rsidRPr="00A74C68">
              <w:rPr>
                <w:color w:val="000000"/>
                <w:sz w:val="14"/>
                <w:szCs w:val="14"/>
                <w:lang w:eastAsia="tr-TR"/>
              </w:rPr>
              <w:t>Piyasası İşlemlerinden Alınan Gelirler</w:t>
            </w:r>
          </w:p>
        </w:tc>
        <w:tc>
          <w:tcPr>
            <w:tcW w:w="488" w:type="pct"/>
            <w:tcBorders>
              <w:top w:val="nil"/>
              <w:left w:val="single" w:sz="4" w:space="0" w:color="auto"/>
              <w:bottom w:val="nil"/>
              <w:right w:val="single" w:sz="4" w:space="0" w:color="auto"/>
            </w:tcBorders>
            <w:vAlign w:val="bottom"/>
            <w:hideMark/>
          </w:tcPr>
          <w:p w14:paraId="676D3A65"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bottom w:val="nil"/>
              <w:right w:val="single" w:sz="4" w:space="0" w:color="auto"/>
            </w:tcBorders>
            <w:vAlign w:val="bottom"/>
            <w:hideMark/>
          </w:tcPr>
          <w:p w14:paraId="64662EBF"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0F1E95D1" w14:textId="77777777" w:rsidTr="00A74C68">
        <w:trPr>
          <w:divId w:val="1875266624"/>
          <w:trHeight w:val="20"/>
        </w:trPr>
        <w:tc>
          <w:tcPr>
            <w:tcW w:w="380" w:type="pct"/>
            <w:tcBorders>
              <w:top w:val="nil"/>
              <w:left w:val="single" w:sz="4" w:space="0" w:color="auto"/>
              <w:bottom w:val="nil"/>
              <w:right w:val="nil"/>
            </w:tcBorders>
            <w:noWrap/>
            <w:hideMark/>
          </w:tcPr>
          <w:p w14:paraId="3C6E3AA4" w14:textId="77777777" w:rsidR="00A74C68" w:rsidRPr="00A74C68" w:rsidRDefault="00A74C68" w:rsidP="00A74C68">
            <w:pPr>
              <w:rPr>
                <w:sz w:val="14"/>
                <w:szCs w:val="14"/>
              </w:rPr>
            </w:pPr>
            <w:r w:rsidRPr="00A74C68">
              <w:rPr>
                <w:sz w:val="14"/>
                <w:szCs w:val="14"/>
              </w:rPr>
              <w:t>1.5</w:t>
            </w:r>
          </w:p>
        </w:tc>
        <w:tc>
          <w:tcPr>
            <w:tcW w:w="3230" w:type="pct"/>
            <w:tcBorders>
              <w:top w:val="nil"/>
              <w:left w:val="nil"/>
              <w:bottom w:val="nil"/>
              <w:right w:val="nil"/>
            </w:tcBorders>
            <w:hideMark/>
          </w:tcPr>
          <w:p w14:paraId="6BCC7B72" w14:textId="77777777" w:rsidR="00A74C68" w:rsidRPr="00A74C68" w:rsidRDefault="00A74C68" w:rsidP="00A74C68">
            <w:pPr>
              <w:rPr>
                <w:color w:val="000000"/>
                <w:sz w:val="14"/>
                <w:szCs w:val="14"/>
                <w:lang w:eastAsia="tr-TR"/>
              </w:rPr>
            </w:pPr>
            <w:r w:rsidRPr="00A74C68">
              <w:rPr>
                <w:sz w:val="14"/>
                <w:szCs w:val="14"/>
              </w:rPr>
              <w:t xml:space="preserve">Menkul </w:t>
            </w:r>
            <w:r w:rsidRPr="00A74C68">
              <w:rPr>
                <w:color w:val="000000"/>
                <w:sz w:val="14"/>
                <w:szCs w:val="14"/>
                <w:lang w:eastAsia="tr-TR"/>
              </w:rPr>
              <w:t>Değerlerden Alınan Gelirler</w:t>
            </w:r>
          </w:p>
        </w:tc>
        <w:tc>
          <w:tcPr>
            <w:tcW w:w="488" w:type="pct"/>
            <w:tcBorders>
              <w:top w:val="nil"/>
              <w:left w:val="single" w:sz="4" w:space="0" w:color="auto"/>
              <w:bottom w:val="nil"/>
              <w:right w:val="single" w:sz="4" w:space="0" w:color="auto"/>
            </w:tcBorders>
            <w:vAlign w:val="bottom"/>
            <w:hideMark/>
          </w:tcPr>
          <w:p w14:paraId="1EA8A466"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bottom w:val="nil"/>
              <w:right w:val="single" w:sz="4" w:space="0" w:color="auto"/>
            </w:tcBorders>
            <w:vAlign w:val="bottom"/>
            <w:hideMark/>
          </w:tcPr>
          <w:p w14:paraId="46B7AAC1" w14:textId="77777777" w:rsidR="00A74C68" w:rsidRPr="00A74C68" w:rsidRDefault="00A74C68" w:rsidP="00A74C68">
            <w:pPr>
              <w:jc w:val="right"/>
              <w:rPr>
                <w:color w:val="000000"/>
                <w:sz w:val="14"/>
                <w:szCs w:val="14"/>
                <w:lang w:eastAsia="tr-TR"/>
              </w:rPr>
            </w:pPr>
            <w:r w:rsidRPr="00A74C68">
              <w:rPr>
                <w:color w:val="000000"/>
                <w:sz w:val="14"/>
                <w:szCs w:val="14"/>
                <w:lang w:eastAsia="tr-TR"/>
              </w:rPr>
              <w:t>873.497</w:t>
            </w:r>
          </w:p>
        </w:tc>
      </w:tr>
      <w:tr w:rsidR="00A74C68" w:rsidRPr="00A74C68" w14:paraId="76355B95" w14:textId="77777777" w:rsidTr="00A74C68">
        <w:trPr>
          <w:divId w:val="1875266624"/>
          <w:trHeight w:val="20"/>
        </w:trPr>
        <w:tc>
          <w:tcPr>
            <w:tcW w:w="380" w:type="pct"/>
            <w:tcBorders>
              <w:top w:val="nil"/>
              <w:left w:val="single" w:sz="4" w:space="0" w:color="auto"/>
              <w:bottom w:val="nil"/>
              <w:right w:val="nil"/>
            </w:tcBorders>
            <w:noWrap/>
            <w:hideMark/>
          </w:tcPr>
          <w:p w14:paraId="23663564" w14:textId="77777777" w:rsidR="00A74C68" w:rsidRPr="00A74C68" w:rsidRDefault="00A74C68" w:rsidP="00A74C68">
            <w:pPr>
              <w:rPr>
                <w:sz w:val="14"/>
                <w:szCs w:val="14"/>
              </w:rPr>
            </w:pPr>
            <w:r w:rsidRPr="00A74C68">
              <w:rPr>
                <w:sz w:val="14"/>
                <w:szCs w:val="14"/>
              </w:rPr>
              <w:t>1.5.1</w:t>
            </w:r>
          </w:p>
        </w:tc>
        <w:tc>
          <w:tcPr>
            <w:tcW w:w="3230" w:type="pct"/>
            <w:tcBorders>
              <w:top w:val="nil"/>
              <w:left w:val="nil"/>
              <w:bottom w:val="nil"/>
              <w:right w:val="nil"/>
            </w:tcBorders>
            <w:hideMark/>
          </w:tcPr>
          <w:p w14:paraId="231AF53A" w14:textId="77777777" w:rsidR="00A74C68" w:rsidRPr="00A74C68" w:rsidRDefault="00A74C68" w:rsidP="00A74C68">
            <w:pPr>
              <w:rPr>
                <w:color w:val="000000"/>
                <w:sz w:val="14"/>
                <w:szCs w:val="14"/>
                <w:lang w:eastAsia="tr-TR"/>
              </w:rPr>
            </w:pPr>
            <w:r w:rsidRPr="00A74C68">
              <w:rPr>
                <w:sz w:val="14"/>
                <w:szCs w:val="14"/>
              </w:rPr>
              <w:t xml:space="preserve">Gerçeğe </w:t>
            </w:r>
            <w:r w:rsidRPr="00A74C68">
              <w:rPr>
                <w:color w:val="000000"/>
                <w:sz w:val="14"/>
                <w:szCs w:val="14"/>
                <w:lang w:eastAsia="tr-TR"/>
              </w:rPr>
              <w:t>Uygun Değer Farkı Kar Zarara Yansıtılanlar</w:t>
            </w:r>
          </w:p>
        </w:tc>
        <w:tc>
          <w:tcPr>
            <w:tcW w:w="488" w:type="pct"/>
            <w:tcBorders>
              <w:top w:val="nil"/>
              <w:left w:val="single" w:sz="4" w:space="0" w:color="auto"/>
              <w:bottom w:val="nil"/>
              <w:right w:val="single" w:sz="4" w:space="0" w:color="auto"/>
            </w:tcBorders>
            <w:vAlign w:val="bottom"/>
            <w:hideMark/>
          </w:tcPr>
          <w:p w14:paraId="5C3E78E0"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bottom w:val="nil"/>
              <w:right w:val="single" w:sz="4" w:space="0" w:color="auto"/>
            </w:tcBorders>
            <w:vAlign w:val="bottom"/>
            <w:hideMark/>
          </w:tcPr>
          <w:p w14:paraId="63B01C2A" w14:textId="77777777" w:rsidR="00A74C68" w:rsidRPr="00A74C68" w:rsidRDefault="00A74C68" w:rsidP="00A74C68">
            <w:pPr>
              <w:jc w:val="right"/>
              <w:rPr>
                <w:color w:val="000000"/>
                <w:sz w:val="14"/>
                <w:szCs w:val="14"/>
                <w:lang w:eastAsia="tr-TR"/>
              </w:rPr>
            </w:pPr>
            <w:r w:rsidRPr="00A74C68">
              <w:rPr>
                <w:color w:val="000000"/>
                <w:sz w:val="14"/>
                <w:szCs w:val="14"/>
                <w:lang w:eastAsia="tr-TR"/>
              </w:rPr>
              <w:t>4.155</w:t>
            </w:r>
          </w:p>
        </w:tc>
      </w:tr>
      <w:tr w:rsidR="00A74C68" w:rsidRPr="00A74C68" w14:paraId="79100658" w14:textId="77777777" w:rsidTr="00A74C68">
        <w:trPr>
          <w:divId w:val="1875266624"/>
          <w:trHeight w:val="20"/>
        </w:trPr>
        <w:tc>
          <w:tcPr>
            <w:tcW w:w="380" w:type="pct"/>
            <w:tcBorders>
              <w:top w:val="nil"/>
              <w:left w:val="single" w:sz="4" w:space="0" w:color="auto"/>
              <w:bottom w:val="nil"/>
              <w:right w:val="nil"/>
            </w:tcBorders>
            <w:noWrap/>
            <w:hideMark/>
          </w:tcPr>
          <w:p w14:paraId="78076BA5" w14:textId="77777777" w:rsidR="00A74C68" w:rsidRPr="00A74C68" w:rsidRDefault="00A74C68" w:rsidP="00A74C68">
            <w:pPr>
              <w:rPr>
                <w:sz w:val="14"/>
                <w:szCs w:val="14"/>
              </w:rPr>
            </w:pPr>
            <w:r w:rsidRPr="00A74C68">
              <w:rPr>
                <w:sz w:val="14"/>
                <w:szCs w:val="14"/>
              </w:rPr>
              <w:t>1.5.2</w:t>
            </w:r>
          </w:p>
        </w:tc>
        <w:tc>
          <w:tcPr>
            <w:tcW w:w="3230" w:type="pct"/>
            <w:tcBorders>
              <w:top w:val="nil"/>
              <w:left w:val="nil"/>
              <w:bottom w:val="nil"/>
              <w:right w:val="nil"/>
            </w:tcBorders>
            <w:hideMark/>
          </w:tcPr>
          <w:p w14:paraId="4FB99758" w14:textId="77777777" w:rsidR="00A74C68" w:rsidRPr="00A74C68" w:rsidRDefault="00A74C68" w:rsidP="00A74C68">
            <w:pPr>
              <w:rPr>
                <w:color w:val="000000"/>
                <w:sz w:val="14"/>
                <w:szCs w:val="14"/>
                <w:lang w:eastAsia="tr-TR"/>
              </w:rPr>
            </w:pPr>
            <w:r w:rsidRPr="00A74C68">
              <w:rPr>
                <w:sz w:val="14"/>
                <w:szCs w:val="14"/>
              </w:rPr>
              <w:t xml:space="preserve">Gerçeğe </w:t>
            </w:r>
            <w:r w:rsidRPr="00A74C68">
              <w:rPr>
                <w:color w:val="000000"/>
                <w:sz w:val="14"/>
                <w:szCs w:val="14"/>
                <w:lang w:eastAsia="tr-TR"/>
              </w:rPr>
              <w:t>Uygun Değer Farkı Diğer Kapsamlı Gelire Yansıtılanlar</w:t>
            </w:r>
          </w:p>
        </w:tc>
        <w:tc>
          <w:tcPr>
            <w:tcW w:w="488" w:type="pct"/>
            <w:tcBorders>
              <w:top w:val="nil"/>
              <w:left w:val="single" w:sz="4" w:space="0" w:color="auto"/>
              <w:bottom w:val="nil"/>
              <w:right w:val="single" w:sz="4" w:space="0" w:color="auto"/>
            </w:tcBorders>
            <w:vAlign w:val="bottom"/>
            <w:hideMark/>
          </w:tcPr>
          <w:p w14:paraId="1DEFF54B"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bottom w:val="nil"/>
              <w:right w:val="single" w:sz="4" w:space="0" w:color="auto"/>
            </w:tcBorders>
            <w:vAlign w:val="bottom"/>
            <w:hideMark/>
          </w:tcPr>
          <w:p w14:paraId="19A20E6C" w14:textId="77777777" w:rsidR="00A74C68" w:rsidRPr="00A74C68" w:rsidRDefault="00A74C68" w:rsidP="00A74C68">
            <w:pPr>
              <w:jc w:val="right"/>
              <w:rPr>
                <w:color w:val="000000"/>
                <w:sz w:val="14"/>
                <w:szCs w:val="14"/>
                <w:lang w:eastAsia="tr-TR"/>
              </w:rPr>
            </w:pPr>
            <w:r w:rsidRPr="00A74C68">
              <w:rPr>
                <w:color w:val="000000"/>
                <w:sz w:val="14"/>
                <w:szCs w:val="14"/>
                <w:lang w:eastAsia="tr-TR"/>
              </w:rPr>
              <w:t>664.097</w:t>
            </w:r>
          </w:p>
        </w:tc>
      </w:tr>
      <w:tr w:rsidR="00A74C68" w:rsidRPr="00A74C68" w14:paraId="5478D85C" w14:textId="77777777" w:rsidTr="00A74C68">
        <w:trPr>
          <w:divId w:val="1875266624"/>
          <w:trHeight w:val="20"/>
        </w:trPr>
        <w:tc>
          <w:tcPr>
            <w:tcW w:w="380" w:type="pct"/>
            <w:tcBorders>
              <w:top w:val="nil"/>
              <w:left w:val="single" w:sz="4" w:space="0" w:color="auto"/>
              <w:bottom w:val="nil"/>
              <w:right w:val="nil"/>
            </w:tcBorders>
            <w:noWrap/>
            <w:hideMark/>
          </w:tcPr>
          <w:p w14:paraId="76D05840" w14:textId="77777777" w:rsidR="00A74C68" w:rsidRPr="00A74C68" w:rsidRDefault="00A74C68" w:rsidP="00A74C68">
            <w:pPr>
              <w:rPr>
                <w:sz w:val="14"/>
                <w:szCs w:val="14"/>
              </w:rPr>
            </w:pPr>
            <w:r w:rsidRPr="00A74C68">
              <w:rPr>
                <w:sz w:val="14"/>
                <w:szCs w:val="14"/>
              </w:rPr>
              <w:t>1.5.3</w:t>
            </w:r>
          </w:p>
        </w:tc>
        <w:tc>
          <w:tcPr>
            <w:tcW w:w="3230" w:type="pct"/>
            <w:tcBorders>
              <w:top w:val="nil"/>
              <w:left w:val="nil"/>
              <w:bottom w:val="nil"/>
              <w:right w:val="nil"/>
            </w:tcBorders>
            <w:hideMark/>
          </w:tcPr>
          <w:p w14:paraId="31D679E0" w14:textId="77777777" w:rsidR="00A74C68" w:rsidRPr="00A74C68" w:rsidRDefault="00A74C68" w:rsidP="00A74C68">
            <w:pPr>
              <w:rPr>
                <w:color w:val="000000"/>
                <w:sz w:val="14"/>
                <w:szCs w:val="14"/>
                <w:lang w:eastAsia="tr-TR"/>
              </w:rPr>
            </w:pPr>
            <w:r w:rsidRPr="00A74C68">
              <w:rPr>
                <w:sz w:val="14"/>
                <w:szCs w:val="14"/>
              </w:rPr>
              <w:t xml:space="preserve">İtfa </w:t>
            </w:r>
            <w:r w:rsidRPr="00A74C68">
              <w:rPr>
                <w:color w:val="000000"/>
                <w:sz w:val="14"/>
                <w:szCs w:val="14"/>
                <w:lang w:eastAsia="tr-TR"/>
              </w:rPr>
              <w:t xml:space="preserve">Edilmiş Maliyeti </w:t>
            </w:r>
            <w:proofErr w:type="gramStart"/>
            <w:r w:rsidRPr="00A74C68">
              <w:rPr>
                <w:color w:val="000000"/>
                <w:sz w:val="14"/>
                <w:szCs w:val="14"/>
                <w:lang w:eastAsia="tr-TR"/>
              </w:rPr>
              <w:t>İle</w:t>
            </w:r>
            <w:proofErr w:type="gramEnd"/>
            <w:r w:rsidRPr="00A74C68">
              <w:rPr>
                <w:color w:val="000000"/>
                <w:sz w:val="14"/>
                <w:szCs w:val="14"/>
                <w:lang w:eastAsia="tr-TR"/>
              </w:rPr>
              <w:t xml:space="preserve"> Ölçülenler</w:t>
            </w:r>
          </w:p>
        </w:tc>
        <w:tc>
          <w:tcPr>
            <w:tcW w:w="488" w:type="pct"/>
            <w:tcBorders>
              <w:top w:val="nil"/>
              <w:left w:val="single" w:sz="4" w:space="0" w:color="auto"/>
              <w:bottom w:val="nil"/>
              <w:right w:val="single" w:sz="4" w:space="0" w:color="auto"/>
            </w:tcBorders>
            <w:vAlign w:val="bottom"/>
            <w:hideMark/>
          </w:tcPr>
          <w:p w14:paraId="0C0E4C23"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bottom w:val="nil"/>
              <w:right w:val="single" w:sz="4" w:space="0" w:color="auto"/>
            </w:tcBorders>
            <w:vAlign w:val="bottom"/>
            <w:hideMark/>
          </w:tcPr>
          <w:p w14:paraId="1B8B9250" w14:textId="77777777" w:rsidR="00A74C68" w:rsidRPr="00A74C68" w:rsidRDefault="00A74C68" w:rsidP="00A74C68">
            <w:pPr>
              <w:jc w:val="right"/>
              <w:rPr>
                <w:color w:val="000000"/>
                <w:sz w:val="14"/>
                <w:szCs w:val="14"/>
                <w:lang w:eastAsia="tr-TR"/>
              </w:rPr>
            </w:pPr>
            <w:r w:rsidRPr="00A74C68">
              <w:rPr>
                <w:color w:val="000000"/>
                <w:sz w:val="14"/>
                <w:szCs w:val="14"/>
                <w:lang w:eastAsia="tr-TR"/>
              </w:rPr>
              <w:t>205.245</w:t>
            </w:r>
          </w:p>
        </w:tc>
      </w:tr>
      <w:tr w:rsidR="00A74C68" w:rsidRPr="00A74C68" w14:paraId="1CE60387" w14:textId="77777777" w:rsidTr="00A74C68">
        <w:trPr>
          <w:divId w:val="1875266624"/>
          <w:trHeight w:val="20"/>
        </w:trPr>
        <w:tc>
          <w:tcPr>
            <w:tcW w:w="380" w:type="pct"/>
            <w:tcBorders>
              <w:top w:val="nil"/>
              <w:left w:val="single" w:sz="4" w:space="0" w:color="auto"/>
              <w:bottom w:val="nil"/>
              <w:right w:val="nil"/>
            </w:tcBorders>
            <w:noWrap/>
            <w:hideMark/>
          </w:tcPr>
          <w:p w14:paraId="3B111E55" w14:textId="77777777" w:rsidR="00A74C68" w:rsidRPr="00A74C68" w:rsidRDefault="00A74C68" w:rsidP="00A74C68">
            <w:pPr>
              <w:rPr>
                <w:sz w:val="14"/>
                <w:szCs w:val="14"/>
              </w:rPr>
            </w:pPr>
            <w:r w:rsidRPr="00A74C68">
              <w:rPr>
                <w:sz w:val="14"/>
                <w:szCs w:val="14"/>
              </w:rPr>
              <w:t>1.6</w:t>
            </w:r>
          </w:p>
        </w:tc>
        <w:tc>
          <w:tcPr>
            <w:tcW w:w="3230" w:type="pct"/>
            <w:tcBorders>
              <w:top w:val="nil"/>
              <w:left w:val="nil"/>
              <w:bottom w:val="nil"/>
              <w:right w:val="nil"/>
            </w:tcBorders>
            <w:hideMark/>
          </w:tcPr>
          <w:p w14:paraId="1AC585B6" w14:textId="77777777" w:rsidR="00A74C68" w:rsidRPr="00A74C68" w:rsidRDefault="00A74C68" w:rsidP="00A74C68">
            <w:pPr>
              <w:rPr>
                <w:color w:val="000000"/>
                <w:sz w:val="14"/>
                <w:szCs w:val="14"/>
                <w:lang w:eastAsia="tr-TR"/>
              </w:rPr>
            </w:pPr>
            <w:r w:rsidRPr="00A74C68">
              <w:rPr>
                <w:sz w:val="14"/>
                <w:szCs w:val="14"/>
              </w:rPr>
              <w:t xml:space="preserve">Finansal </w:t>
            </w:r>
            <w:r w:rsidRPr="00A74C68">
              <w:rPr>
                <w:color w:val="000000"/>
                <w:sz w:val="14"/>
                <w:szCs w:val="14"/>
                <w:lang w:eastAsia="tr-TR"/>
              </w:rPr>
              <w:t>Kiralama Gelirleri</w:t>
            </w:r>
          </w:p>
        </w:tc>
        <w:tc>
          <w:tcPr>
            <w:tcW w:w="488" w:type="pct"/>
            <w:tcBorders>
              <w:top w:val="nil"/>
              <w:left w:val="single" w:sz="4" w:space="0" w:color="auto"/>
              <w:bottom w:val="nil"/>
              <w:right w:val="single" w:sz="4" w:space="0" w:color="auto"/>
            </w:tcBorders>
            <w:vAlign w:val="bottom"/>
            <w:hideMark/>
          </w:tcPr>
          <w:p w14:paraId="26A76100"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bottom w:val="nil"/>
              <w:right w:val="single" w:sz="4" w:space="0" w:color="auto"/>
            </w:tcBorders>
            <w:vAlign w:val="bottom"/>
            <w:hideMark/>
          </w:tcPr>
          <w:p w14:paraId="7E40F438" w14:textId="77777777" w:rsidR="00A74C68" w:rsidRPr="00A74C68" w:rsidRDefault="00A74C68" w:rsidP="00A74C68">
            <w:pPr>
              <w:jc w:val="right"/>
              <w:rPr>
                <w:color w:val="000000"/>
                <w:sz w:val="14"/>
                <w:szCs w:val="14"/>
                <w:lang w:eastAsia="tr-TR"/>
              </w:rPr>
            </w:pPr>
            <w:r w:rsidRPr="00A74C68">
              <w:rPr>
                <w:color w:val="000000"/>
                <w:sz w:val="14"/>
                <w:szCs w:val="14"/>
                <w:lang w:eastAsia="tr-TR"/>
              </w:rPr>
              <w:t>225.380</w:t>
            </w:r>
          </w:p>
        </w:tc>
      </w:tr>
      <w:tr w:rsidR="00A74C68" w:rsidRPr="00A74C68" w14:paraId="74FD2BE1" w14:textId="77777777" w:rsidTr="00A74C68">
        <w:trPr>
          <w:divId w:val="1875266624"/>
          <w:trHeight w:val="20"/>
        </w:trPr>
        <w:tc>
          <w:tcPr>
            <w:tcW w:w="380" w:type="pct"/>
            <w:tcBorders>
              <w:top w:val="nil"/>
              <w:left w:val="single" w:sz="4" w:space="0" w:color="auto"/>
              <w:bottom w:val="nil"/>
              <w:right w:val="nil"/>
            </w:tcBorders>
            <w:noWrap/>
            <w:hideMark/>
          </w:tcPr>
          <w:p w14:paraId="3F221D32" w14:textId="77777777" w:rsidR="00A74C68" w:rsidRPr="00A74C68" w:rsidRDefault="00A74C68" w:rsidP="00A74C68">
            <w:pPr>
              <w:rPr>
                <w:sz w:val="14"/>
                <w:szCs w:val="14"/>
              </w:rPr>
            </w:pPr>
            <w:r w:rsidRPr="00A74C68">
              <w:rPr>
                <w:sz w:val="14"/>
                <w:szCs w:val="14"/>
              </w:rPr>
              <w:t>1.7</w:t>
            </w:r>
          </w:p>
        </w:tc>
        <w:tc>
          <w:tcPr>
            <w:tcW w:w="3230" w:type="pct"/>
            <w:tcBorders>
              <w:top w:val="nil"/>
              <w:left w:val="nil"/>
              <w:bottom w:val="nil"/>
              <w:right w:val="nil"/>
            </w:tcBorders>
            <w:hideMark/>
          </w:tcPr>
          <w:p w14:paraId="1AC6E820" w14:textId="77777777" w:rsidR="00A74C68" w:rsidRPr="00A74C68" w:rsidRDefault="00A74C68" w:rsidP="00A74C68">
            <w:pPr>
              <w:rPr>
                <w:color w:val="000000"/>
                <w:sz w:val="14"/>
                <w:szCs w:val="14"/>
                <w:lang w:eastAsia="tr-TR"/>
              </w:rPr>
            </w:pPr>
            <w:r w:rsidRPr="00A74C68">
              <w:rPr>
                <w:sz w:val="14"/>
                <w:szCs w:val="14"/>
              </w:rPr>
              <w:t xml:space="preserve">Diğer </w:t>
            </w:r>
            <w:r w:rsidRPr="00A74C68">
              <w:rPr>
                <w:color w:val="000000"/>
                <w:sz w:val="14"/>
                <w:szCs w:val="14"/>
                <w:lang w:eastAsia="tr-TR"/>
              </w:rPr>
              <w:t xml:space="preserve">Kâr Payı Gelirleri  </w:t>
            </w:r>
          </w:p>
        </w:tc>
        <w:tc>
          <w:tcPr>
            <w:tcW w:w="488" w:type="pct"/>
            <w:tcBorders>
              <w:top w:val="nil"/>
              <w:left w:val="single" w:sz="4" w:space="0" w:color="auto"/>
              <w:bottom w:val="nil"/>
              <w:right w:val="single" w:sz="4" w:space="0" w:color="auto"/>
            </w:tcBorders>
            <w:vAlign w:val="bottom"/>
            <w:hideMark/>
          </w:tcPr>
          <w:p w14:paraId="5BC3C8BF"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bottom w:val="nil"/>
              <w:right w:val="single" w:sz="4" w:space="0" w:color="auto"/>
            </w:tcBorders>
            <w:vAlign w:val="bottom"/>
            <w:hideMark/>
          </w:tcPr>
          <w:p w14:paraId="00F93F47" w14:textId="77777777" w:rsidR="00A74C68" w:rsidRPr="00A74C68" w:rsidRDefault="00A74C68" w:rsidP="00A74C68">
            <w:pPr>
              <w:jc w:val="right"/>
              <w:rPr>
                <w:color w:val="000000"/>
                <w:sz w:val="14"/>
                <w:szCs w:val="14"/>
                <w:lang w:eastAsia="tr-TR"/>
              </w:rPr>
            </w:pPr>
            <w:r w:rsidRPr="00A74C68">
              <w:rPr>
                <w:color w:val="000000"/>
                <w:sz w:val="14"/>
                <w:szCs w:val="14"/>
                <w:lang w:eastAsia="tr-TR"/>
              </w:rPr>
              <w:t>814</w:t>
            </w:r>
          </w:p>
        </w:tc>
      </w:tr>
      <w:tr w:rsidR="00A74C68" w:rsidRPr="00A74C68" w14:paraId="71B1A412" w14:textId="77777777" w:rsidTr="00A74C68">
        <w:trPr>
          <w:divId w:val="1875266624"/>
          <w:trHeight w:val="20"/>
        </w:trPr>
        <w:tc>
          <w:tcPr>
            <w:tcW w:w="380" w:type="pct"/>
            <w:tcBorders>
              <w:top w:val="nil"/>
              <w:left w:val="single" w:sz="4" w:space="0" w:color="auto"/>
              <w:bottom w:val="nil"/>
              <w:right w:val="nil"/>
            </w:tcBorders>
            <w:noWrap/>
            <w:hideMark/>
          </w:tcPr>
          <w:p w14:paraId="2F895392" w14:textId="77777777" w:rsidR="00A74C68" w:rsidRPr="00A74C68" w:rsidRDefault="00A74C68" w:rsidP="00A74C68">
            <w:pPr>
              <w:rPr>
                <w:b/>
                <w:bCs/>
                <w:color w:val="000000"/>
                <w:sz w:val="14"/>
                <w:szCs w:val="14"/>
                <w:lang w:eastAsia="tr-TR"/>
              </w:rPr>
            </w:pPr>
            <w:r w:rsidRPr="00A74C68">
              <w:rPr>
                <w:b/>
                <w:bCs/>
                <w:sz w:val="14"/>
                <w:szCs w:val="14"/>
              </w:rPr>
              <w:t>II.</w:t>
            </w:r>
          </w:p>
        </w:tc>
        <w:tc>
          <w:tcPr>
            <w:tcW w:w="3230" w:type="pct"/>
            <w:tcBorders>
              <w:top w:val="nil"/>
              <w:left w:val="nil"/>
              <w:bottom w:val="nil"/>
              <w:right w:val="nil"/>
            </w:tcBorders>
            <w:hideMark/>
          </w:tcPr>
          <w:p w14:paraId="4257DE95" w14:textId="77777777" w:rsidR="00A74C68" w:rsidRPr="00A74C68" w:rsidRDefault="00A74C68" w:rsidP="00A74C68">
            <w:pPr>
              <w:rPr>
                <w:b/>
                <w:bCs/>
                <w:color w:val="000000"/>
                <w:sz w:val="14"/>
                <w:szCs w:val="14"/>
                <w:lang w:eastAsia="tr-TR"/>
              </w:rPr>
            </w:pPr>
            <w:r w:rsidRPr="00A74C68">
              <w:rPr>
                <w:b/>
                <w:bCs/>
                <w:sz w:val="14"/>
                <w:szCs w:val="14"/>
              </w:rPr>
              <w:t>KÂR PAYI</w:t>
            </w:r>
            <w:r w:rsidRPr="00A74C68">
              <w:rPr>
                <w:b/>
                <w:bCs/>
                <w:color w:val="000000"/>
                <w:sz w:val="14"/>
                <w:szCs w:val="14"/>
                <w:lang w:eastAsia="tr-TR"/>
              </w:rPr>
              <w:t xml:space="preserve"> GİDERLERİ (-)  </w:t>
            </w:r>
          </w:p>
        </w:tc>
        <w:tc>
          <w:tcPr>
            <w:tcW w:w="488" w:type="pct"/>
            <w:tcBorders>
              <w:top w:val="nil"/>
              <w:left w:val="single" w:sz="4" w:space="0" w:color="auto"/>
              <w:bottom w:val="nil"/>
              <w:right w:val="single" w:sz="4" w:space="0" w:color="auto"/>
            </w:tcBorders>
            <w:vAlign w:val="bottom"/>
            <w:hideMark/>
          </w:tcPr>
          <w:p w14:paraId="4002CC1A" w14:textId="77777777" w:rsidR="00A74C68" w:rsidRPr="00510F3F" w:rsidRDefault="00A74C68" w:rsidP="00A74C68">
            <w:pPr>
              <w:jc w:val="center"/>
              <w:rPr>
                <w:b/>
                <w:bCs/>
                <w:sz w:val="14"/>
                <w:szCs w:val="14"/>
              </w:rPr>
            </w:pPr>
            <w:r w:rsidRPr="00510F3F">
              <w:rPr>
                <w:b/>
                <w:bCs/>
                <w:sz w:val="14"/>
                <w:szCs w:val="14"/>
              </w:rPr>
              <w:t>(2)</w:t>
            </w:r>
          </w:p>
        </w:tc>
        <w:tc>
          <w:tcPr>
            <w:tcW w:w="902" w:type="pct"/>
            <w:tcBorders>
              <w:top w:val="nil"/>
              <w:left w:val="nil"/>
              <w:bottom w:val="nil"/>
              <w:right w:val="single" w:sz="4" w:space="0" w:color="auto"/>
            </w:tcBorders>
            <w:vAlign w:val="bottom"/>
            <w:hideMark/>
          </w:tcPr>
          <w:p w14:paraId="465CD058"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6.909.578</w:t>
            </w:r>
          </w:p>
        </w:tc>
      </w:tr>
      <w:tr w:rsidR="00A74C68" w:rsidRPr="00A74C68" w14:paraId="67737C06" w14:textId="77777777" w:rsidTr="00A74C68">
        <w:trPr>
          <w:divId w:val="1875266624"/>
          <w:trHeight w:val="20"/>
        </w:trPr>
        <w:tc>
          <w:tcPr>
            <w:tcW w:w="380" w:type="pct"/>
            <w:tcBorders>
              <w:top w:val="nil"/>
              <w:left w:val="single" w:sz="4" w:space="0" w:color="auto"/>
              <w:bottom w:val="nil"/>
              <w:right w:val="nil"/>
            </w:tcBorders>
            <w:noWrap/>
            <w:hideMark/>
          </w:tcPr>
          <w:p w14:paraId="46F03A27" w14:textId="77777777" w:rsidR="00A74C68" w:rsidRPr="00A74C68" w:rsidRDefault="00A74C68" w:rsidP="00A74C68">
            <w:pPr>
              <w:rPr>
                <w:sz w:val="14"/>
                <w:szCs w:val="14"/>
              </w:rPr>
            </w:pPr>
            <w:r w:rsidRPr="00A74C68">
              <w:rPr>
                <w:sz w:val="14"/>
                <w:szCs w:val="14"/>
              </w:rPr>
              <w:t>2.1</w:t>
            </w:r>
          </w:p>
        </w:tc>
        <w:tc>
          <w:tcPr>
            <w:tcW w:w="3230" w:type="pct"/>
            <w:tcBorders>
              <w:top w:val="nil"/>
              <w:left w:val="nil"/>
              <w:bottom w:val="nil"/>
              <w:right w:val="nil"/>
            </w:tcBorders>
            <w:hideMark/>
          </w:tcPr>
          <w:p w14:paraId="08F3CE80" w14:textId="77777777" w:rsidR="00A74C68" w:rsidRPr="00A74C68" w:rsidRDefault="00A74C68" w:rsidP="00A74C68">
            <w:pPr>
              <w:rPr>
                <w:color w:val="000000"/>
                <w:sz w:val="14"/>
                <w:szCs w:val="14"/>
                <w:lang w:eastAsia="tr-TR"/>
              </w:rPr>
            </w:pPr>
            <w:r w:rsidRPr="00A74C68">
              <w:rPr>
                <w:sz w:val="14"/>
                <w:szCs w:val="14"/>
              </w:rPr>
              <w:t xml:space="preserve">Katılma </w:t>
            </w:r>
            <w:r w:rsidRPr="00A74C68">
              <w:rPr>
                <w:color w:val="000000"/>
                <w:sz w:val="14"/>
                <w:szCs w:val="14"/>
                <w:lang w:eastAsia="tr-TR"/>
              </w:rPr>
              <w:t>Hesaplarına Verilen Kâr Payları</w:t>
            </w:r>
          </w:p>
        </w:tc>
        <w:tc>
          <w:tcPr>
            <w:tcW w:w="488" w:type="pct"/>
            <w:tcBorders>
              <w:top w:val="nil"/>
              <w:left w:val="single" w:sz="4" w:space="0" w:color="auto"/>
              <w:bottom w:val="nil"/>
              <w:right w:val="single" w:sz="4" w:space="0" w:color="auto"/>
            </w:tcBorders>
            <w:vAlign w:val="bottom"/>
            <w:hideMark/>
          </w:tcPr>
          <w:p w14:paraId="0C45C04C"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bottom w:val="nil"/>
              <w:right w:val="single" w:sz="4" w:space="0" w:color="auto"/>
            </w:tcBorders>
            <w:vAlign w:val="bottom"/>
            <w:hideMark/>
          </w:tcPr>
          <w:p w14:paraId="6AEED522" w14:textId="77777777" w:rsidR="00A74C68" w:rsidRPr="00A74C68" w:rsidRDefault="00A74C68" w:rsidP="00A74C68">
            <w:pPr>
              <w:jc w:val="right"/>
              <w:rPr>
                <w:color w:val="000000"/>
                <w:sz w:val="14"/>
                <w:szCs w:val="14"/>
                <w:lang w:eastAsia="tr-TR"/>
              </w:rPr>
            </w:pPr>
            <w:r w:rsidRPr="00A74C68">
              <w:rPr>
                <w:color w:val="000000"/>
                <w:sz w:val="14"/>
                <w:szCs w:val="14"/>
                <w:lang w:eastAsia="tr-TR"/>
              </w:rPr>
              <w:t>6.408.942</w:t>
            </w:r>
          </w:p>
        </w:tc>
      </w:tr>
      <w:tr w:rsidR="00A74C68" w:rsidRPr="00A74C68" w14:paraId="723D453F" w14:textId="77777777" w:rsidTr="00A74C68">
        <w:trPr>
          <w:divId w:val="1875266624"/>
          <w:trHeight w:val="20"/>
        </w:trPr>
        <w:tc>
          <w:tcPr>
            <w:tcW w:w="380" w:type="pct"/>
            <w:tcBorders>
              <w:top w:val="nil"/>
              <w:left w:val="single" w:sz="4" w:space="0" w:color="auto"/>
              <w:bottom w:val="nil"/>
              <w:right w:val="nil"/>
            </w:tcBorders>
            <w:noWrap/>
            <w:hideMark/>
          </w:tcPr>
          <w:p w14:paraId="5469E9FD" w14:textId="77777777" w:rsidR="00A74C68" w:rsidRPr="00A74C68" w:rsidRDefault="00A74C68" w:rsidP="00A74C68">
            <w:pPr>
              <w:rPr>
                <w:sz w:val="14"/>
                <w:szCs w:val="14"/>
              </w:rPr>
            </w:pPr>
            <w:r w:rsidRPr="00A74C68">
              <w:rPr>
                <w:sz w:val="14"/>
                <w:szCs w:val="14"/>
              </w:rPr>
              <w:t>2.2</w:t>
            </w:r>
          </w:p>
        </w:tc>
        <w:tc>
          <w:tcPr>
            <w:tcW w:w="3230" w:type="pct"/>
            <w:tcBorders>
              <w:top w:val="nil"/>
              <w:left w:val="nil"/>
              <w:bottom w:val="nil"/>
              <w:right w:val="nil"/>
            </w:tcBorders>
            <w:hideMark/>
          </w:tcPr>
          <w:p w14:paraId="7E4279C1" w14:textId="77777777" w:rsidR="00A74C68" w:rsidRPr="00A74C68" w:rsidRDefault="00A74C68" w:rsidP="00A74C68">
            <w:pPr>
              <w:rPr>
                <w:color w:val="000000"/>
                <w:sz w:val="14"/>
                <w:szCs w:val="14"/>
                <w:lang w:eastAsia="tr-TR"/>
              </w:rPr>
            </w:pPr>
            <w:r w:rsidRPr="00A74C68">
              <w:rPr>
                <w:sz w:val="14"/>
                <w:szCs w:val="14"/>
              </w:rPr>
              <w:t xml:space="preserve">Kullanılan </w:t>
            </w:r>
            <w:r w:rsidRPr="00A74C68">
              <w:rPr>
                <w:color w:val="000000"/>
                <w:sz w:val="14"/>
                <w:szCs w:val="14"/>
                <w:lang w:eastAsia="tr-TR"/>
              </w:rPr>
              <w:t xml:space="preserve">Kredilere Verilen Kâr Payları </w:t>
            </w:r>
          </w:p>
        </w:tc>
        <w:tc>
          <w:tcPr>
            <w:tcW w:w="488" w:type="pct"/>
            <w:tcBorders>
              <w:top w:val="nil"/>
              <w:left w:val="single" w:sz="4" w:space="0" w:color="auto"/>
              <w:bottom w:val="nil"/>
              <w:right w:val="single" w:sz="4" w:space="0" w:color="auto"/>
            </w:tcBorders>
            <w:vAlign w:val="bottom"/>
            <w:hideMark/>
          </w:tcPr>
          <w:p w14:paraId="5745E210"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bottom w:val="nil"/>
              <w:right w:val="single" w:sz="4" w:space="0" w:color="auto"/>
            </w:tcBorders>
            <w:vAlign w:val="bottom"/>
            <w:hideMark/>
          </w:tcPr>
          <w:p w14:paraId="2EFE70E1" w14:textId="77777777" w:rsidR="00A74C68" w:rsidRPr="00A74C68" w:rsidRDefault="00A74C68" w:rsidP="00A74C68">
            <w:pPr>
              <w:jc w:val="right"/>
              <w:rPr>
                <w:color w:val="000000"/>
                <w:sz w:val="14"/>
                <w:szCs w:val="14"/>
                <w:lang w:eastAsia="tr-TR"/>
              </w:rPr>
            </w:pPr>
            <w:r w:rsidRPr="00A74C68">
              <w:rPr>
                <w:color w:val="000000"/>
                <w:sz w:val="14"/>
                <w:szCs w:val="14"/>
                <w:lang w:eastAsia="tr-TR"/>
              </w:rPr>
              <w:t>423.277</w:t>
            </w:r>
          </w:p>
        </w:tc>
      </w:tr>
      <w:tr w:rsidR="00A74C68" w:rsidRPr="00A74C68" w14:paraId="21B179A4" w14:textId="77777777" w:rsidTr="00A74C68">
        <w:trPr>
          <w:divId w:val="1875266624"/>
          <w:trHeight w:val="20"/>
        </w:trPr>
        <w:tc>
          <w:tcPr>
            <w:tcW w:w="380" w:type="pct"/>
            <w:tcBorders>
              <w:top w:val="nil"/>
              <w:left w:val="single" w:sz="4" w:space="0" w:color="auto"/>
              <w:bottom w:val="nil"/>
              <w:right w:val="nil"/>
            </w:tcBorders>
            <w:noWrap/>
            <w:hideMark/>
          </w:tcPr>
          <w:p w14:paraId="3396761A" w14:textId="77777777" w:rsidR="00A74C68" w:rsidRPr="00A74C68" w:rsidRDefault="00A74C68" w:rsidP="00A74C68">
            <w:pPr>
              <w:rPr>
                <w:sz w:val="14"/>
                <w:szCs w:val="14"/>
              </w:rPr>
            </w:pPr>
            <w:r w:rsidRPr="00A74C68">
              <w:rPr>
                <w:sz w:val="14"/>
                <w:szCs w:val="14"/>
              </w:rPr>
              <w:t>2.3</w:t>
            </w:r>
          </w:p>
        </w:tc>
        <w:tc>
          <w:tcPr>
            <w:tcW w:w="3230" w:type="pct"/>
            <w:tcBorders>
              <w:top w:val="nil"/>
              <w:left w:val="nil"/>
              <w:bottom w:val="nil"/>
              <w:right w:val="nil"/>
            </w:tcBorders>
            <w:hideMark/>
          </w:tcPr>
          <w:p w14:paraId="2E3D92CC" w14:textId="77777777" w:rsidR="00A74C68" w:rsidRPr="00A74C68" w:rsidRDefault="00A74C68" w:rsidP="00A74C68">
            <w:pPr>
              <w:rPr>
                <w:color w:val="000000"/>
                <w:sz w:val="14"/>
                <w:szCs w:val="14"/>
                <w:lang w:eastAsia="tr-TR"/>
              </w:rPr>
            </w:pPr>
            <w:r w:rsidRPr="00A74C68">
              <w:rPr>
                <w:sz w:val="14"/>
                <w:szCs w:val="14"/>
              </w:rPr>
              <w:t xml:space="preserve">Para </w:t>
            </w:r>
            <w:r w:rsidRPr="00A74C68">
              <w:rPr>
                <w:color w:val="000000"/>
                <w:sz w:val="14"/>
                <w:szCs w:val="14"/>
                <w:lang w:eastAsia="tr-TR"/>
              </w:rPr>
              <w:t>Piyasası İşlemlerine Verilen Kâr Payları</w:t>
            </w:r>
          </w:p>
        </w:tc>
        <w:tc>
          <w:tcPr>
            <w:tcW w:w="488" w:type="pct"/>
            <w:tcBorders>
              <w:top w:val="nil"/>
              <w:left w:val="single" w:sz="4" w:space="0" w:color="auto"/>
              <w:bottom w:val="nil"/>
              <w:right w:val="single" w:sz="4" w:space="0" w:color="auto"/>
            </w:tcBorders>
            <w:vAlign w:val="bottom"/>
            <w:hideMark/>
          </w:tcPr>
          <w:p w14:paraId="0B355D4D"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bottom w:val="nil"/>
              <w:right w:val="single" w:sz="4" w:space="0" w:color="auto"/>
            </w:tcBorders>
            <w:vAlign w:val="bottom"/>
            <w:hideMark/>
          </w:tcPr>
          <w:p w14:paraId="19490780" w14:textId="77777777" w:rsidR="00A74C68" w:rsidRPr="00A74C68" w:rsidRDefault="00A74C68" w:rsidP="00A74C68">
            <w:pPr>
              <w:jc w:val="right"/>
              <w:rPr>
                <w:color w:val="000000"/>
                <w:sz w:val="14"/>
                <w:szCs w:val="14"/>
                <w:lang w:eastAsia="tr-TR"/>
              </w:rPr>
            </w:pPr>
            <w:r w:rsidRPr="00A74C68">
              <w:rPr>
                <w:color w:val="000000"/>
                <w:sz w:val="14"/>
                <w:szCs w:val="14"/>
                <w:lang w:eastAsia="tr-TR"/>
              </w:rPr>
              <w:t>37.997</w:t>
            </w:r>
          </w:p>
        </w:tc>
      </w:tr>
      <w:tr w:rsidR="00A74C68" w:rsidRPr="00A74C68" w14:paraId="32139BA4" w14:textId="77777777" w:rsidTr="00A74C68">
        <w:trPr>
          <w:divId w:val="1875266624"/>
          <w:trHeight w:val="20"/>
        </w:trPr>
        <w:tc>
          <w:tcPr>
            <w:tcW w:w="380" w:type="pct"/>
            <w:tcBorders>
              <w:top w:val="nil"/>
              <w:left w:val="single" w:sz="4" w:space="0" w:color="auto"/>
              <w:bottom w:val="nil"/>
              <w:right w:val="nil"/>
            </w:tcBorders>
            <w:noWrap/>
            <w:hideMark/>
          </w:tcPr>
          <w:p w14:paraId="30944EA3" w14:textId="77777777" w:rsidR="00A74C68" w:rsidRPr="00A74C68" w:rsidRDefault="00A74C68" w:rsidP="00A74C68">
            <w:pPr>
              <w:rPr>
                <w:sz w:val="14"/>
                <w:szCs w:val="14"/>
              </w:rPr>
            </w:pPr>
            <w:r w:rsidRPr="00A74C68">
              <w:rPr>
                <w:sz w:val="14"/>
                <w:szCs w:val="14"/>
              </w:rPr>
              <w:t>2.4</w:t>
            </w:r>
          </w:p>
        </w:tc>
        <w:tc>
          <w:tcPr>
            <w:tcW w:w="3230" w:type="pct"/>
            <w:tcBorders>
              <w:top w:val="nil"/>
              <w:left w:val="nil"/>
              <w:bottom w:val="nil"/>
              <w:right w:val="nil"/>
            </w:tcBorders>
            <w:hideMark/>
          </w:tcPr>
          <w:p w14:paraId="449996AF" w14:textId="77777777" w:rsidR="00A74C68" w:rsidRPr="00A74C68" w:rsidRDefault="00A74C68" w:rsidP="00A74C68">
            <w:pPr>
              <w:rPr>
                <w:color w:val="000000"/>
                <w:sz w:val="14"/>
                <w:szCs w:val="14"/>
                <w:lang w:eastAsia="tr-TR"/>
              </w:rPr>
            </w:pPr>
            <w:r w:rsidRPr="00A74C68">
              <w:rPr>
                <w:sz w:val="14"/>
                <w:szCs w:val="14"/>
              </w:rPr>
              <w:t xml:space="preserve">İhraç </w:t>
            </w:r>
            <w:r w:rsidRPr="00A74C68">
              <w:rPr>
                <w:color w:val="000000"/>
                <w:sz w:val="14"/>
                <w:szCs w:val="14"/>
                <w:lang w:eastAsia="tr-TR"/>
              </w:rPr>
              <w:t>Edilen Menkul Kıymetlere Verilen Kâr Payları</w:t>
            </w:r>
          </w:p>
        </w:tc>
        <w:tc>
          <w:tcPr>
            <w:tcW w:w="488" w:type="pct"/>
            <w:tcBorders>
              <w:top w:val="nil"/>
              <w:left w:val="single" w:sz="4" w:space="0" w:color="auto"/>
              <w:bottom w:val="nil"/>
              <w:right w:val="single" w:sz="4" w:space="0" w:color="auto"/>
            </w:tcBorders>
            <w:vAlign w:val="bottom"/>
            <w:hideMark/>
          </w:tcPr>
          <w:p w14:paraId="53369EC0"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bottom w:val="nil"/>
              <w:right w:val="single" w:sz="4" w:space="0" w:color="auto"/>
            </w:tcBorders>
            <w:vAlign w:val="bottom"/>
            <w:hideMark/>
          </w:tcPr>
          <w:p w14:paraId="71750A28"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6AD3C4BA" w14:textId="77777777" w:rsidTr="00A74C68">
        <w:trPr>
          <w:divId w:val="1875266624"/>
          <w:trHeight w:val="20"/>
        </w:trPr>
        <w:tc>
          <w:tcPr>
            <w:tcW w:w="380" w:type="pct"/>
            <w:tcBorders>
              <w:top w:val="nil"/>
              <w:left w:val="single" w:sz="4" w:space="0" w:color="auto"/>
              <w:bottom w:val="nil"/>
              <w:right w:val="nil"/>
            </w:tcBorders>
            <w:noWrap/>
            <w:hideMark/>
          </w:tcPr>
          <w:p w14:paraId="3546A6D7" w14:textId="77777777" w:rsidR="00A74C68" w:rsidRPr="00A74C68" w:rsidRDefault="00A74C68" w:rsidP="00A74C68">
            <w:pPr>
              <w:rPr>
                <w:sz w:val="14"/>
                <w:szCs w:val="14"/>
              </w:rPr>
            </w:pPr>
            <w:r w:rsidRPr="00A74C68">
              <w:rPr>
                <w:sz w:val="14"/>
                <w:szCs w:val="14"/>
              </w:rPr>
              <w:t>2.5</w:t>
            </w:r>
          </w:p>
        </w:tc>
        <w:tc>
          <w:tcPr>
            <w:tcW w:w="3230" w:type="pct"/>
            <w:tcBorders>
              <w:top w:val="nil"/>
              <w:left w:val="nil"/>
              <w:bottom w:val="nil"/>
              <w:right w:val="nil"/>
            </w:tcBorders>
            <w:hideMark/>
          </w:tcPr>
          <w:p w14:paraId="727B4BC9" w14:textId="77777777" w:rsidR="00A74C68" w:rsidRPr="00A74C68" w:rsidRDefault="00A74C68" w:rsidP="00A74C68">
            <w:pPr>
              <w:rPr>
                <w:color w:val="000000"/>
                <w:sz w:val="14"/>
                <w:szCs w:val="14"/>
                <w:lang w:eastAsia="tr-TR"/>
              </w:rPr>
            </w:pPr>
            <w:r w:rsidRPr="00A74C68">
              <w:rPr>
                <w:sz w:val="14"/>
                <w:szCs w:val="14"/>
              </w:rPr>
              <w:t xml:space="preserve">Kiralama </w:t>
            </w:r>
            <w:r w:rsidRPr="00A74C68">
              <w:rPr>
                <w:color w:val="000000"/>
                <w:sz w:val="14"/>
                <w:szCs w:val="14"/>
                <w:lang w:eastAsia="tr-TR"/>
              </w:rPr>
              <w:t>Kâr Payı Giderleri</w:t>
            </w:r>
          </w:p>
        </w:tc>
        <w:tc>
          <w:tcPr>
            <w:tcW w:w="488" w:type="pct"/>
            <w:tcBorders>
              <w:top w:val="nil"/>
              <w:left w:val="single" w:sz="4" w:space="0" w:color="auto"/>
              <w:bottom w:val="nil"/>
              <w:right w:val="single" w:sz="4" w:space="0" w:color="auto"/>
            </w:tcBorders>
            <w:vAlign w:val="bottom"/>
            <w:hideMark/>
          </w:tcPr>
          <w:p w14:paraId="7F175B5F"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bottom w:val="nil"/>
              <w:right w:val="single" w:sz="4" w:space="0" w:color="auto"/>
            </w:tcBorders>
            <w:vAlign w:val="bottom"/>
            <w:hideMark/>
          </w:tcPr>
          <w:p w14:paraId="3E19475E" w14:textId="77777777" w:rsidR="00A74C68" w:rsidRPr="00A74C68" w:rsidRDefault="00A74C68" w:rsidP="00A74C68">
            <w:pPr>
              <w:jc w:val="right"/>
              <w:rPr>
                <w:color w:val="000000"/>
                <w:sz w:val="14"/>
                <w:szCs w:val="14"/>
                <w:lang w:eastAsia="tr-TR"/>
              </w:rPr>
            </w:pPr>
            <w:r w:rsidRPr="00A74C68">
              <w:rPr>
                <w:color w:val="000000"/>
                <w:sz w:val="14"/>
                <w:szCs w:val="14"/>
                <w:lang w:eastAsia="tr-TR"/>
              </w:rPr>
              <w:t>39.362</w:t>
            </w:r>
          </w:p>
        </w:tc>
      </w:tr>
      <w:tr w:rsidR="00A74C68" w:rsidRPr="00A74C68" w14:paraId="599B96E1" w14:textId="77777777" w:rsidTr="00A74C68">
        <w:trPr>
          <w:divId w:val="1875266624"/>
          <w:trHeight w:val="20"/>
        </w:trPr>
        <w:tc>
          <w:tcPr>
            <w:tcW w:w="380" w:type="pct"/>
            <w:tcBorders>
              <w:top w:val="nil"/>
              <w:left w:val="single" w:sz="4" w:space="0" w:color="auto"/>
              <w:bottom w:val="nil"/>
              <w:right w:val="nil"/>
            </w:tcBorders>
            <w:noWrap/>
            <w:hideMark/>
          </w:tcPr>
          <w:p w14:paraId="592EFCC5" w14:textId="77777777" w:rsidR="00A74C68" w:rsidRPr="00A74C68" w:rsidRDefault="00A74C68" w:rsidP="00A74C68">
            <w:pPr>
              <w:rPr>
                <w:sz w:val="14"/>
                <w:szCs w:val="14"/>
              </w:rPr>
            </w:pPr>
            <w:r w:rsidRPr="00A74C68">
              <w:rPr>
                <w:sz w:val="14"/>
                <w:szCs w:val="14"/>
              </w:rPr>
              <w:t>2.6</w:t>
            </w:r>
          </w:p>
        </w:tc>
        <w:tc>
          <w:tcPr>
            <w:tcW w:w="3230" w:type="pct"/>
            <w:tcBorders>
              <w:top w:val="nil"/>
              <w:left w:val="nil"/>
              <w:bottom w:val="nil"/>
              <w:right w:val="nil"/>
            </w:tcBorders>
            <w:hideMark/>
          </w:tcPr>
          <w:p w14:paraId="7AA3EC4D" w14:textId="77777777" w:rsidR="00A74C68" w:rsidRPr="00A74C68" w:rsidRDefault="00A74C68" w:rsidP="00A74C68">
            <w:pPr>
              <w:rPr>
                <w:color w:val="000000"/>
                <w:sz w:val="14"/>
                <w:szCs w:val="14"/>
                <w:lang w:eastAsia="tr-TR"/>
              </w:rPr>
            </w:pPr>
            <w:r w:rsidRPr="00A74C68">
              <w:rPr>
                <w:sz w:val="14"/>
                <w:szCs w:val="14"/>
              </w:rPr>
              <w:t xml:space="preserve">Diğer </w:t>
            </w:r>
            <w:r w:rsidRPr="00A74C68">
              <w:rPr>
                <w:color w:val="000000"/>
                <w:sz w:val="14"/>
                <w:szCs w:val="14"/>
                <w:lang w:eastAsia="tr-TR"/>
              </w:rPr>
              <w:t xml:space="preserve">Kâr Payı Giderleri  </w:t>
            </w:r>
          </w:p>
        </w:tc>
        <w:tc>
          <w:tcPr>
            <w:tcW w:w="488" w:type="pct"/>
            <w:tcBorders>
              <w:top w:val="nil"/>
              <w:left w:val="single" w:sz="4" w:space="0" w:color="auto"/>
              <w:bottom w:val="nil"/>
              <w:right w:val="single" w:sz="4" w:space="0" w:color="auto"/>
            </w:tcBorders>
            <w:vAlign w:val="bottom"/>
            <w:hideMark/>
          </w:tcPr>
          <w:p w14:paraId="7DAD44E6"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bottom w:val="nil"/>
              <w:right w:val="single" w:sz="4" w:space="0" w:color="auto"/>
            </w:tcBorders>
            <w:vAlign w:val="bottom"/>
            <w:hideMark/>
          </w:tcPr>
          <w:p w14:paraId="7B39205D"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3674F0FD" w14:textId="77777777" w:rsidTr="00A74C68">
        <w:trPr>
          <w:divId w:val="1875266624"/>
          <w:trHeight w:val="20"/>
        </w:trPr>
        <w:tc>
          <w:tcPr>
            <w:tcW w:w="380" w:type="pct"/>
            <w:tcBorders>
              <w:top w:val="nil"/>
              <w:left w:val="single" w:sz="4" w:space="0" w:color="auto"/>
              <w:bottom w:val="nil"/>
              <w:right w:val="nil"/>
            </w:tcBorders>
            <w:noWrap/>
            <w:hideMark/>
          </w:tcPr>
          <w:p w14:paraId="40F822C2" w14:textId="77777777" w:rsidR="00A74C68" w:rsidRPr="00A74C68" w:rsidRDefault="00A74C68" w:rsidP="00A74C68">
            <w:pPr>
              <w:rPr>
                <w:b/>
                <w:bCs/>
                <w:color w:val="000000"/>
                <w:sz w:val="14"/>
                <w:szCs w:val="14"/>
                <w:lang w:eastAsia="tr-TR"/>
              </w:rPr>
            </w:pPr>
            <w:r w:rsidRPr="00A74C68">
              <w:rPr>
                <w:b/>
                <w:bCs/>
                <w:sz w:val="14"/>
                <w:szCs w:val="14"/>
              </w:rPr>
              <w:t>III.</w:t>
            </w:r>
          </w:p>
        </w:tc>
        <w:tc>
          <w:tcPr>
            <w:tcW w:w="3230" w:type="pct"/>
            <w:tcBorders>
              <w:top w:val="nil"/>
              <w:left w:val="nil"/>
              <w:bottom w:val="nil"/>
              <w:right w:val="nil"/>
            </w:tcBorders>
            <w:hideMark/>
          </w:tcPr>
          <w:p w14:paraId="0A5A5155" w14:textId="77777777" w:rsidR="00A74C68" w:rsidRPr="00A74C68" w:rsidRDefault="00A74C68" w:rsidP="00A74C68">
            <w:pPr>
              <w:rPr>
                <w:b/>
                <w:bCs/>
                <w:color w:val="000000"/>
                <w:sz w:val="14"/>
                <w:szCs w:val="14"/>
                <w:lang w:eastAsia="tr-TR"/>
              </w:rPr>
            </w:pPr>
            <w:r w:rsidRPr="00A74C68">
              <w:rPr>
                <w:b/>
                <w:bCs/>
                <w:sz w:val="14"/>
                <w:szCs w:val="14"/>
              </w:rPr>
              <w:t>NET KÂR</w:t>
            </w:r>
            <w:r w:rsidRPr="00A74C68">
              <w:rPr>
                <w:b/>
                <w:bCs/>
                <w:color w:val="000000"/>
                <w:sz w:val="14"/>
                <w:szCs w:val="14"/>
                <w:lang w:eastAsia="tr-TR"/>
              </w:rPr>
              <w:t xml:space="preserve"> PAYI GELİRİ/GİDERİ (I - II)</w:t>
            </w:r>
          </w:p>
        </w:tc>
        <w:tc>
          <w:tcPr>
            <w:tcW w:w="488" w:type="pct"/>
            <w:tcBorders>
              <w:top w:val="nil"/>
              <w:left w:val="single" w:sz="4" w:space="0" w:color="auto"/>
              <w:bottom w:val="nil"/>
              <w:right w:val="single" w:sz="4" w:space="0" w:color="auto"/>
            </w:tcBorders>
            <w:vAlign w:val="bottom"/>
            <w:hideMark/>
          </w:tcPr>
          <w:p w14:paraId="45EEF016"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bottom w:val="nil"/>
              <w:right w:val="single" w:sz="4" w:space="0" w:color="auto"/>
            </w:tcBorders>
            <w:vAlign w:val="bottom"/>
            <w:hideMark/>
          </w:tcPr>
          <w:p w14:paraId="7A7D5D65"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5.468.033</w:t>
            </w:r>
          </w:p>
        </w:tc>
      </w:tr>
      <w:tr w:rsidR="00A74C68" w:rsidRPr="00A74C68" w14:paraId="61472104" w14:textId="77777777" w:rsidTr="00A74C68">
        <w:trPr>
          <w:divId w:val="1875266624"/>
          <w:trHeight w:val="20"/>
        </w:trPr>
        <w:tc>
          <w:tcPr>
            <w:tcW w:w="380" w:type="pct"/>
            <w:tcBorders>
              <w:top w:val="nil"/>
              <w:left w:val="single" w:sz="4" w:space="0" w:color="auto"/>
              <w:bottom w:val="nil"/>
              <w:right w:val="nil"/>
            </w:tcBorders>
            <w:noWrap/>
            <w:hideMark/>
          </w:tcPr>
          <w:p w14:paraId="3F4DF925" w14:textId="77777777" w:rsidR="00A74C68" w:rsidRPr="00A74C68" w:rsidRDefault="00A74C68" w:rsidP="00A74C68">
            <w:pPr>
              <w:rPr>
                <w:b/>
                <w:bCs/>
                <w:color w:val="000000"/>
                <w:sz w:val="14"/>
                <w:szCs w:val="14"/>
                <w:lang w:eastAsia="tr-TR"/>
              </w:rPr>
            </w:pPr>
            <w:r w:rsidRPr="00A74C68">
              <w:rPr>
                <w:b/>
                <w:bCs/>
                <w:sz w:val="14"/>
                <w:szCs w:val="14"/>
              </w:rPr>
              <w:t>IV.</w:t>
            </w:r>
          </w:p>
        </w:tc>
        <w:tc>
          <w:tcPr>
            <w:tcW w:w="3230" w:type="pct"/>
            <w:tcBorders>
              <w:top w:val="nil"/>
              <w:left w:val="nil"/>
              <w:bottom w:val="nil"/>
              <w:right w:val="nil"/>
            </w:tcBorders>
            <w:hideMark/>
          </w:tcPr>
          <w:p w14:paraId="2D5BD51D" w14:textId="77777777" w:rsidR="00A74C68" w:rsidRPr="00A74C68" w:rsidRDefault="00A74C68" w:rsidP="00A74C68">
            <w:pPr>
              <w:rPr>
                <w:b/>
                <w:bCs/>
                <w:color w:val="000000"/>
                <w:sz w:val="14"/>
                <w:szCs w:val="14"/>
                <w:lang w:eastAsia="tr-TR"/>
              </w:rPr>
            </w:pPr>
            <w:r w:rsidRPr="00A74C68">
              <w:rPr>
                <w:b/>
                <w:bCs/>
                <w:sz w:val="14"/>
                <w:szCs w:val="14"/>
              </w:rPr>
              <w:t>NET ÜCRET</w:t>
            </w:r>
            <w:r w:rsidRPr="00A74C68">
              <w:rPr>
                <w:b/>
                <w:bCs/>
                <w:color w:val="000000"/>
                <w:sz w:val="14"/>
                <w:szCs w:val="14"/>
                <w:lang w:eastAsia="tr-TR"/>
              </w:rPr>
              <w:t xml:space="preserve"> VE KOMİSYON GELİRLERİ/GİDERLERİ</w:t>
            </w:r>
          </w:p>
        </w:tc>
        <w:tc>
          <w:tcPr>
            <w:tcW w:w="488" w:type="pct"/>
            <w:tcBorders>
              <w:top w:val="nil"/>
              <w:left w:val="single" w:sz="4" w:space="0" w:color="auto"/>
              <w:bottom w:val="nil"/>
              <w:right w:val="single" w:sz="4" w:space="0" w:color="auto"/>
            </w:tcBorders>
            <w:vAlign w:val="bottom"/>
            <w:hideMark/>
          </w:tcPr>
          <w:p w14:paraId="370B76C1" w14:textId="77777777" w:rsidR="00A74C68" w:rsidRPr="00510F3F" w:rsidRDefault="00A74C68" w:rsidP="00A74C68">
            <w:pPr>
              <w:jc w:val="center"/>
              <w:rPr>
                <w:b/>
                <w:bCs/>
                <w:sz w:val="14"/>
                <w:szCs w:val="14"/>
              </w:rPr>
            </w:pPr>
            <w:r w:rsidRPr="00510F3F">
              <w:rPr>
                <w:b/>
                <w:bCs/>
                <w:sz w:val="14"/>
                <w:szCs w:val="14"/>
              </w:rPr>
              <w:t>(3)</w:t>
            </w:r>
          </w:p>
        </w:tc>
        <w:tc>
          <w:tcPr>
            <w:tcW w:w="902" w:type="pct"/>
            <w:tcBorders>
              <w:top w:val="nil"/>
              <w:left w:val="nil"/>
              <w:bottom w:val="nil"/>
              <w:right w:val="single" w:sz="4" w:space="0" w:color="auto"/>
            </w:tcBorders>
            <w:vAlign w:val="bottom"/>
            <w:hideMark/>
          </w:tcPr>
          <w:p w14:paraId="4DD78CF3"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740.698</w:t>
            </w:r>
          </w:p>
        </w:tc>
      </w:tr>
      <w:tr w:rsidR="00A74C68" w:rsidRPr="00A74C68" w14:paraId="00B487BE" w14:textId="77777777" w:rsidTr="00A74C68">
        <w:trPr>
          <w:divId w:val="1875266624"/>
          <w:trHeight w:val="20"/>
        </w:trPr>
        <w:tc>
          <w:tcPr>
            <w:tcW w:w="380" w:type="pct"/>
            <w:tcBorders>
              <w:top w:val="nil"/>
              <w:left w:val="single" w:sz="4" w:space="0" w:color="auto"/>
              <w:bottom w:val="nil"/>
              <w:right w:val="nil"/>
            </w:tcBorders>
            <w:noWrap/>
            <w:hideMark/>
          </w:tcPr>
          <w:p w14:paraId="00CA6F06" w14:textId="77777777" w:rsidR="00A74C68" w:rsidRPr="00A74C68" w:rsidRDefault="00A74C68" w:rsidP="00A74C68">
            <w:pPr>
              <w:rPr>
                <w:sz w:val="14"/>
                <w:szCs w:val="14"/>
              </w:rPr>
            </w:pPr>
            <w:r w:rsidRPr="00A74C68">
              <w:rPr>
                <w:sz w:val="14"/>
                <w:szCs w:val="14"/>
              </w:rPr>
              <w:t>4.1</w:t>
            </w:r>
          </w:p>
        </w:tc>
        <w:tc>
          <w:tcPr>
            <w:tcW w:w="3230" w:type="pct"/>
            <w:tcBorders>
              <w:top w:val="nil"/>
              <w:left w:val="nil"/>
              <w:bottom w:val="nil"/>
              <w:right w:val="nil"/>
            </w:tcBorders>
            <w:hideMark/>
          </w:tcPr>
          <w:p w14:paraId="7111E11D" w14:textId="77777777" w:rsidR="00A74C68" w:rsidRPr="00A74C68" w:rsidRDefault="00A74C68" w:rsidP="00A74C68">
            <w:pPr>
              <w:rPr>
                <w:color w:val="000000"/>
                <w:sz w:val="14"/>
                <w:szCs w:val="14"/>
                <w:lang w:eastAsia="tr-TR"/>
              </w:rPr>
            </w:pPr>
            <w:r w:rsidRPr="00A74C68">
              <w:rPr>
                <w:sz w:val="14"/>
                <w:szCs w:val="14"/>
              </w:rPr>
              <w:t xml:space="preserve">Alınan </w:t>
            </w:r>
            <w:r w:rsidRPr="00A74C68">
              <w:rPr>
                <w:color w:val="000000"/>
                <w:sz w:val="14"/>
                <w:szCs w:val="14"/>
                <w:lang w:eastAsia="tr-TR"/>
              </w:rPr>
              <w:t>Ücret ve Komisyonlar</w:t>
            </w:r>
          </w:p>
        </w:tc>
        <w:tc>
          <w:tcPr>
            <w:tcW w:w="488" w:type="pct"/>
            <w:tcBorders>
              <w:top w:val="nil"/>
              <w:left w:val="single" w:sz="4" w:space="0" w:color="auto"/>
              <w:bottom w:val="nil"/>
              <w:right w:val="single" w:sz="4" w:space="0" w:color="auto"/>
            </w:tcBorders>
            <w:vAlign w:val="bottom"/>
            <w:hideMark/>
          </w:tcPr>
          <w:p w14:paraId="55F60E9F"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bottom w:val="nil"/>
              <w:right w:val="single" w:sz="4" w:space="0" w:color="auto"/>
            </w:tcBorders>
            <w:vAlign w:val="bottom"/>
            <w:hideMark/>
          </w:tcPr>
          <w:p w14:paraId="5B9BBD28" w14:textId="77777777" w:rsidR="00A74C68" w:rsidRPr="00A74C68" w:rsidRDefault="00A74C68" w:rsidP="00A74C68">
            <w:pPr>
              <w:jc w:val="right"/>
              <w:rPr>
                <w:color w:val="000000"/>
                <w:sz w:val="14"/>
                <w:szCs w:val="14"/>
                <w:lang w:eastAsia="tr-TR"/>
              </w:rPr>
            </w:pPr>
            <w:r w:rsidRPr="00A74C68">
              <w:rPr>
                <w:color w:val="000000"/>
                <w:sz w:val="14"/>
                <w:szCs w:val="14"/>
                <w:lang w:eastAsia="tr-TR"/>
              </w:rPr>
              <w:t>903.333</w:t>
            </w:r>
          </w:p>
        </w:tc>
      </w:tr>
      <w:tr w:rsidR="00A74C68" w:rsidRPr="00A74C68" w14:paraId="4A383338" w14:textId="77777777" w:rsidTr="00A74C68">
        <w:trPr>
          <w:divId w:val="1875266624"/>
          <w:trHeight w:val="20"/>
        </w:trPr>
        <w:tc>
          <w:tcPr>
            <w:tcW w:w="380" w:type="pct"/>
            <w:tcBorders>
              <w:top w:val="nil"/>
              <w:left w:val="single" w:sz="4" w:space="0" w:color="auto"/>
              <w:bottom w:val="nil"/>
              <w:right w:val="nil"/>
            </w:tcBorders>
            <w:noWrap/>
            <w:hideMark/>
          </w:tcPr>
          <w:p w14:paraId="28C84031" w14:textId="77777777" w:rsidR="00A74C68" w:rsidRPr="00A74C68" w:rsidRDefault="00A74C68" w:rsidP="00A74C68">
            <w:pPr>
              <w:rPr>
                <w:sz w:val="14"/>
                <w:szCs w:val="14"/>
              </w:rPr>
            </w:pPr>
            <w:r w:rsidRPr="00A74C68">
              <w:rPr>
                <w:sz w:val="14"/>
                <w:szCs w:val="14"/>
              </w:rPr>
              <w:t>4.1.1</w:t>
            </w:r>
          </w:p>
        </w:tc>
        <w:tc>
          <w:tcPr>
            <w:tcW w:w="3230" w:type="pct"/>
            <w:tcBorders>
              <w:top w:val="nil"/>
              <w:left w:val="nil"/>
              <w:bottom w:val="nil"/>
              <w:right w:val="nil"/>
            </w:tcBorders>
            <w:hideMark/>
          </w:tcPr>
          <w:p w14:paraId="25536C2C" w14:textId="77777777" w:rsidR="00A74C68" w:rsidRPr="00A74C68" w:rsidRDefault="00A74C68" w:rsidP="00A74C68">
            <w:pPr>
              <w:rPr>
                <w:color w:val="000000"/>
                <w:sz w:val="14"/>
                <w:szCs w:val="14"/>
                <w:lang w:eastAsia="tr-TR"/>
              </w:rPr>
            </w:pPr>
            <w:r w:rsidRPr="00A74C68">
              <w:rPr>
                <w:sz w:val="14"/>
                <w:szCs w:val="14"/>
              </w:rPr>
              <w:t xml:space="preserve">Gayri </w:t>
            </w:r>
            <w:r w:rsidRPr="00A74C68">
              <w:rPr>
                <w:color w:val="000000"/>
                <w:sz w:val="14"/>
                <w:szCs w:val="14"/>
                <w:lang w:eastAsia="tr-TR"/>
              </w:rPr>
              <w:t>Nakdi Kredilerden</w:t>
            </w:r>
          </w:p>
        </w:tc>
        <w:tc>
          <w:tcPr>
            <w:tcW w:w="488" w:type="pct"/>
            <w:tcBorders>
              <w:top w:val="nil"/>
              <w:left w:val="single" w:sz="4" w:space="0" w:color="auto"/>
              <w:bottom w:val="nil"/>
              <w:right w:val="single" w:sz="4" w:space="0" w:color="auto"/>
            </w:tcBorders>
            <w:vAlign w:val="bottom"/>
            <w:hideMark/>
          </w:tcPr>
          <w:p w14:paraId="0C69A732"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bottom w:val="nil"/>
              <w:right w:val="single" w:sz="4" w:space="0" w:color="auto"/>
            </w:tcBorders>
            <w:vAlign w:val="bottom"/>
            <w:hideMark/>
          </w:tcPr>
          <w:p w14:paraId="4C3FE4C5" w14:textId="77777777" w:rsidR="00A74C68" w:rsidRPr="00A74C68" w:rsidRDefault="00A74C68" w:rsidP="00A74C68">
            <w:pPr>
              <w:jc w:val="right"/>
              <w:rPr>
                <w:color w:val="000000"/>
                <w:sz w:val="14"/>
                <w:szCs w:val="14"/>
                <w:lang w:eastAsia="tr-TR"/>
              </w:rPr>
            </w:pPr>
            <w:r w:rsidRPr="00A74C68">
              <w:rPr>
                <w:color w:val="000000"/>
                <w:sz w:val="14"/>
                <w:szCs w:val="14"/>
                <w:lang w:eastAsia="tr-TR"/>
              </w:rPr>
              <w:t>130.794</w:t>
            </w:r>
          </w:p>
        </w:tc>
      </w:tr>
      <w:tr w:rsidR="00A74C68" w:rsidRPr="00A74C68" w14:paraId="0024B0B5" w14:textId="77777777" w:rsidTr="00A74C68">
        <w:trPr>
          <w:divId w:val="1875266624"/>
          <w:trHeight w:val="20"/>
        </w:trPr>
        <w:tc>
          <w:tcPr>
            <w:tcW w:w="380" w:type="pct"/>
            <w:tcBorders>
              <w:top w:val="nil"/>
              <w:left w:val="single" w:sz="4" w:space="0" w:color="auto"/>
              <w:bottom w:val="nil"/>
              <w:right w:val="nil"/>
            </w:tcBorders>
            <w:noWrap/>
            <w:hideMark/>
          </w:tcPr>
          <w:p w14:paraId="6911BED0" w14:textId="77777777" w:rsidR="00A74C68" w:rsidRPr="00A74C68" w:rsidRDefault="00A74C68" w:rsidP="00A74C68">
            <w:pPr>
              <w:rPr>
                <w:sz w:val="14"/>
                <w:szCs w:val="14"/>
              </w:rPr>
            </w:pPr>
            <w:r w:rsidRPr="00A74C68">
              <w:rPr>
                <w:sz w:val="14"/>
                <w:szCs w:val="14"/>
              </w:rPr>
              <w:t>4.1.2</w:t>
            </w:r>
          </w:p>
        </w:tc>
        <w:tc>
          <w:tcPr>
            <w:tcW w:w="3230" w:type="pct"/>
            <w:tcBorders>
              <w:top w:val="nil"/>
              <w:left w:val="nil"/>
              <w:bottom w:val="nil"/>
              <w:right w:val="nil"/>
            </w:tcBorders>
            <w:hideMark/>
          </w:tcPr>
          <w:p w14:paraId="68D218BD" w14:textId="77777777" w:rsidR="00A74C68" w:rsidRPr="00A74C68" w:rsidRDefault="00A74C68" w:rsidP="00A74C68">
            <w:pPr>
              <w:rPr>
                <w:sz w:val="14"/>
                <w:szCs w:val="14"/>
              </w:rPr>
            </w:pPr>
            <w:r w:rsidRPr="00A74C68">
              <w:rPr>
                <w:sz w:val="14"/>
                <w:szCs w:val="14"/>
              </w:rPr>
              <w:t>Diğer</w:t>
            </w:r>
          </w:p>
        </w:tc>
        <w:tc>
          <w:tcPr>
            <w:tcW w:w="488" w:type="pct"/>
            <w:tcBorders>
              <w:top w:val="nil"/>
              <w:left w:val="single" w:sz="4" w:space="0" w:color="auto"/>
              <w:bottom w:val="nil"/>
              <w:right w:val="single" w:sz="4" w:space="0" w:color="auto"/>
            </w:tcBorders>
            <w:vAlign w:val="bottom"/>
            <w:hideMark/>
          </w:tcPr>
          <w:p w14:paraId="5F0BE911"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bottom w:val="nil"/>
              <w:right w:val="single" w:sz="4" w:space="0" w:color="auto"/>
            </w:tcBorders>
            <w:vAlign w:val="bottom"/>
            <w:hideMark/>
          </w:tcPr>
          <w:p w14:paraId="66F92C48" w14:textId="77777777" w:rsidR="00A74C68" w:rsidRPr="00A74C68" w:rsidRDefault="00A74C68" w:rsidP="00A74C68">
            <w:pPr>
              <w:jc w:val="right"/>
              <w:rPr>
                <w:color w:val="000000"/>
                <w:sz w:val="14"/>
                <w:szCs w:val="14"/>
                <w:lang w:eastAsia="tr-TR"/>
              </w:rPr>
            </w:pPr>
            <w:r w:rsidRPr="00A74C68">
              <w:rPr>
                <w:color w:val="000000"/>
                <w:sz w:val="14"/>
                <w:szCs w:val="14"/>
                <w:lang w:eastAsia="tr-TR"/>
              </w:rPr>
              <w:t>772.539</w:t>
            </w:r>
          </w:p>
        </w:tc>
      </w:tr>
      <w:tr w:rsidR="00A74C68" w:rsidRPr="00A74C68" w14:paraId="0D6828B9" w14:textId="77777777" w:rsidTr="00A74C68">
        <w:trPr>
          <w:divId w:val="1875266624"/>
          <w:trHeight w:val="20"/>
        </w:trPr>
        <w:tc>
          <w:tcPr>
            <w:tcW w:w="380" w:type="pct"/>
            <w:tcBorders>
              <w:top w:val="nil"/>
              <w:left w:val="single" w:sz="4" w:space="0" w:color="auto"/>
              <w:bottom w:val="nil"/>
              <w:right w:val="nil"/>
            </w:tcBorders>
            <w:noWrap/>
            <w:hideMark/>
          </w:tcPr>
          <w:p w14:paraId="1A9BCE79" w14:textId="77777777" w:rsidR="00A74C68" w:rsidRPr="00A74C68" w:rsidRDefault="00A74C68" w:rsidP="00A74C68">
            <w:pPr>
              <w:rPr>
                <w:sz w:val="14"/>
                <w:szCs w:val="14"/>
              </w:rPr>
            </w:pPr>
            <w:r w:rsidRPr="00A74C68">
              <w:rPr>
                <w:sz w:val="14"/>
                <w:szCs w:val="14"/>
              </w:rPr>
              <w:t>4.2</w:t>
            </w:r>
          </w:p>
        </w:tc>
        <w:tc>
          <w:tcPr>
            <w:tcW w:w="3230" w:type="pct"/>
            <w:tcBorders>
              <w:top w:val="nil"/>
              <w:left w:val="nil"/>
              <w:bottom w:val="nil"/>
              <w:right w:val="nil"/>
            </w:tcBorders>
            <w:hideMark/>
          </w:tcPr>
          <w:p w14:paraId="664CACB5" w14:textId="77777777" w:rsidR="00A74C68" w:rsidRPr="00A74C68" w:rsidRDefault="00A74C68" w:rsidP="00A74C68">
            <w:pPr>
              <w:rPr>
                <w:color w:val="000000"/>
                <w:sz w:val="14"/>
                <w:szCs w:val="14"/>
                <w:lang w:eastAsia="tr-TR"/>
              </w:rPr>
            </w:pPr>
            <w:r w:rsidRPr="00A74C68">
              <w:rPr>
                <w:sz w:val="14"/>
                <w:szCs w:val="14"/>
              </w:rPr>
              <w:t xml:space="preserve">Verilen </w:t>
            </w:r>
            <w:r w:rsidRPr="00A74C68">
              <w:rPr>
                <w:color w:val="000000"/>
                <w:sz w:val="14"/>
                <w:szCs w:val="14"/>
                <w:lang w:eastAsia="tr-TR"/>
              </w:rPr>
              <w:t>Ücret ve Komisyonlar (-)</w:t>
            </w:r>
          </w:p>
        </w:tc>
        <w:tc>
          <w:tcPr>
            <w:tcW w:w="488" w:type="pct"/>
            <w:tcBorders>
              <w:top w:val="nil"/>
              <w:left w:val="single" w:sz="4" w:space="0" w:color="auto"/>
              <w:bottom w:val="nil"/>
              <w:right w:val="single" w:sz="4" w:space="0" w:color="auto"/>
            </w:tcBorders>
            <w:vAlign w:val="bottom"/>
            <w:hideMark/>
          </w:tcPr>
          <w:p w14:paraId="268A7F2B"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bottom w:val="nil"/>
              <w:right w:val="single" w:sz="4" w:space="0" w:color="auto"/>
            </w:tcBorders>
            <w:vAlign w:val="bottom"/>
            <w:hideMark/>
          </w:tcPr>
          <w:p w14:paraId="2A3D5164" w14:textId="77777777" w:rsidR="00A74C68" w:rsidRPr="00A74C68" w:rsidRDefault="00A74C68" w:rsidP="00A74C68">
            <w:pPr>
              <w:jc w:val="right"/>
              <w:rPr>
                <w:color w:val="000000"/>
                <w:sz w:val="14"/>
                <w:szCs w:val="14"/>
                <w:lang w:eastAsia="tr-TR"/>
              </w:rPr>
            </w:pPr>
            <w:r w:rsidRPr="00A74C68">
              <w:rPr>
                <w:color w:val="000000"/>
                <w:sz w:val="14"/>
                <w:szCs w:val="14"/>
                <w:lang w:eastAsia="tr-TR"/>
              </w:rPr>
              <w:t>162.635</w:t>
            </w:r>
          </w:p>
        </w:tc>
      </w:tr>
      <w:tr w:rsidR="00A74C68" w:rsidRPr="00A74C68" w14:paraId="156D75D8" w14:textId="77777777" w:rsidTr="00A74C68">
        <w:trPr>
          <w:divId w:val="1875266624"/>
          <w:trHeight w:val="20"/>
        </w:trPr>
        <w:tc>
          <w:tcPr>
            <w:tcW w:w="380" w:type="pct"/>
            <w:tcBorders>
              <w:top w:val="nil"/>
              <w:left w:val="single" w:sz="4" w:space="0" w:color="auto"/>
              <w:bottom w:val="nil"/>
              <w:right w:val="nil"/>
            </w:tcBorders>
            <w:noWrap/>
            <w:hideMark/>
          </w:tcPr>
          <w:p w14:paraId="6FEEE7F1" w14:textId="77777777" w:rsidR="00A74C68" w:rsidRPr="00A74C68" w:rsidRDefault="00A74C68" w:rsidP="00A74C68">
            <w:pPr>
              <w:rPr>
                <w:sz w:val="14"/>
                <w:szCs w:val="14"/>
              </w:rPr>
            </w:pPr>
            <w:r w:rsidRPr="00A74C68">
              <w:rPr>
                <w:sz w:val="14"/>
                <w:szCs w:val="14"/>
              </w:rPr>
              <w:t>4.2.1</w:t>
            </w:r>
          </w:p>
        </w:tc>
        <w:tc>
          <w:tcPr>
            <w:tcW w:w="3230" w:type="pct"/>
            <w:tcBorders>
              <w:top w:val="nil"/>
              <w:left w:val="nil"/>
              <w:bottom w:val="nil"/>
              <w:right w:val="nil"/>
            </w:tcBorders>
            <w:hideMark/>
          </w:tcPr>
          <w:p w14:paraId="3B45053B" w14:textId="77777777" w:rsidR="00A74C68" w:rsidRPr="00A74C68" w:rsidRDefault="00A74C68" w:rsidP="00A74C68">
            <w:pPr>
              <w:rPr>
                <w:color w:val="000000"/>
                <w:sz w:val="14"/>
                <w:szCs w:val="14"/>
                <w:lang w:eastAsia="tr-TR"/>
              </w:rPr>
            </w:pPr>
            <w:r w:rsidRPr="00A74C68">
              <w:rPr>
                <w:sz w:val="14"/>
                <w:szCs w:val="14"/>
              </w:rPr>
              <w:t xml:space="preserve">Gayri </w:t>
            </w:r>
            <w:r w:rsidRPr="00A74C68">
              <w:rPr>
                <w:color w:val="000000"/>
                <w:sz w:val="14"/>
                <w:szCs w:val="14"/>
                <w:lang w:eastAsia="tr-TR"/>
              </w:rPr>
              <w:t>Nakdi Kredilere</w:t>
            </w:r>
          </w:p>
        </w:tc>
        <w:tc>
          <w:tcPr>
            <w:tcW w:w="488" w:type="pct"/>
            <w:tcBorders>
              <w:top w:val="nil"/>
              <w:left w:val="single" w:sz="4" w:space="0" w:color="auto"/>
              <w:bottom w:val="nil"/>
              <w:right w:val="single" w:sz="4" w:space="0" w:color="auto"/>
            </w:tcBorders>
            <w:vAlign w:val="bottom"/>
            <w:hideMark/>
          </w:tcPr>
          <w:p w14:paraId="61E68BDD"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bottom w:val="nil"/>
              <w:right w:val="single" w:sz="4" w:space="0" w:color="auto"/>
            </w:tcBorders>
            <w:vAlign w:val="bottom"/>
            <w:hideMark/>
          </w:tcPr>
          <w:p w14:paraId="6490788C" w14:textId="77777777" w:rsidR="00A74C68" w:rsidRPr="00A74C68" w:rsidRDefault="00A74C68" w:rsidP="00A74C68">
            <w:pPr>
              <w:jc w:val="right"/>
              <w:rPr>
                <w:color w:val="000000"/>
                <w:sz w:val="14"/>
                <w:szCs w:val="14"/>
                <w:lang w:eastAsia="tr-TR"/>
              </w:rPr>
            </w:pPr>
            <w:r w:rsidRPr="00A74C68">
              <w:rPr>
                <w:color w:val="000000"/>
                <w:sz w:val="14"/>
                <w:szCs w:val="14"/>
                <w:lang w:eastAsia="tr-TR"/>
              </w:rPr>
              <w:t>2.450</w:t>
            </w:r>
          </w:p>
        </w:tc>
      </w:tr>
      <w:tr w:rsidR="00A74C68" w:rsidRPr="00A74C68" w14:paraId="64E2ED4E" w14:textId="77777777" w:rsidTr="00A74C68">
        <w:trPr>
          <w:divId w:val="1875266624"/>
          <w:trHeight w:val="20"/>
        </w:trPr>
        <w:tc>
          <w:tcPr>
            <w:tcW w:w="380" w:type="pct"/>
            <w:tcBorders>
              <w:top w:val="nil"/>
              <w:left w:val="single" w:sz="4" w:space="0" w:color="auto"/>
              <w:bottom w:val="nil"/>
              <w:right w:val="nil"/>
            </w:tcBorders>
            <w:noWrap/>
            <w:hideMark/>
          </w:tcPr>
          <w:p w14:paraId="234E90EC" w14:textId="77777777" w:rsidR="00A74C68" w:rsidRPr="00A74C68" w:rsidRDefault="00A74C68" w:rsidP="00A74C68">
            <w:pPr>
              <w:rPr>
                <w:sz w:val="14"/>
                <w:szCs w:val="14"/>
              </w:rPr>
            </w:pPr>
            <w:r w:rsidRPr="00A74C68">
              <w:rPr>
                <w:sz w:val="14"/>
                <w:szCs w:val="14"/>
              </w:rPr>
              <w:t>4.2.2</w:t>
            </w:r>
          </w:p>
        </w:tc>
        <w:tc>
          <w:tcPr>
            <w:tcW w:w="3230" w:type="pct"/>
            <w:tcBorders>
              <w:top w:val="nil"/>
              <w:left w:val="nil"/>
              <w:bottom w:val="nil"/>
              <w:right w:val="nil"/>
            </w:tcBorders>
            <w:hideMark/>
          </w:tcPr>
          <w:p w14:paraId="181A8315" w14:textId="77777777" w:rsidR="00A74C68" w:rsidRPr="00A74C68" w:rsidRDefault="00A74C68" w:rsidP="00A74C68">
            <w:pPr>
              <w:rPr>
                <w:sz w:val="14"/>
                <w:szCs w:val="14"/>
              </w:rPr>
            </w:pPr>
            <w:r w:rsidRPr="00A74C68">
              <w:rPr>
                <w:sz w:val="14"/>
                <w:szCs w:val="14"/>
              </w:rPr>
              <w:t>Diğer</w:t>
            </w:r>
          </w:p>
        </w:tc>
        <w:tc>
          <w:tcPr>
            <w:tcW w:w="488" w:type="pct"/>
            <w:tcBorders>
              <w:top w:val="nil"/>
              <w:left w:val="single" w:sz="4" w:space="0" w:color="auto"/>
              <w:bottom w:val="nil"/>
              <w:right w:val="single" w:sz="4" w:space="0" w:color="auto"/>
            </w:tcBorders>
            <w:vAlign w:val="bottom"/>
            <w:hideMark/>
          </w:tcPr>
          <w:p w14:paraId="4C236BD5"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bottom w:val="nil"/>
              <w:right w:val="single" w:sz="4" w:space="0" w:color="auto"/>
            </w:tcBorders>
            <w:vAlign w:val="bottom"/>
            <w:hideMark/>
          </w:tcPr>
          <w:p w14:paraId="05ECB4DB" w14:textId="77777777" w:rsidR="00A74C68" w:rsidRPr="00A74C68" w:rsidRDefault="00A74C68" w:rsidP="00A74C68">
            <w:pPr>
              <w:jc w:val="right"/>
              <w:rPr>
                <w:color w:val="000000"/>
                <w:sz w:val="14"/>
                <w:szCs w:val="14"/>
                <w:lang w:eastAsia="tr-TR"/>
              </w:rPr>
            </w:pPr>
            <w:r w:rsidRPr="00A74C68">
              <w:rPr>
                <w:color w:val="000000"/>
                <w:sz w:val="14"/>
                <w:szCs w:val="14"/>
                <w:lang w:eastAsia="tr-TR"/>
              </w:rPr>
              <w:t>160.185</w:t>
            </w:r>
          </w:p>
        </w:tc>
      </w:tr>
      <w:tr w:rsidR="00A74C68" w:rsidRPr="00A74C68" w14:paraId="0F0007CA" w14:textId="77777777" w:rsidTr="00A74C68">
        <w:trPr>
          <w:divId w:val="1875266624"/>
          <w:trHeight w:val="20"/>
        </w:trPr>
        <w:tc>
          <w:tcPr>
            <w:tcW w:w="380" w:type="pct"/>
            <w:tcBorders>
              <w:top w:val="nil"/>
              <w:left w:val="single" w:sz="4" w:space="0" w:color="auto"/>
              <w:bottom w:val="nil"/>
              <w:right w:val="nil"/>
            </w:tcBorders>
            <w:noWrap/>
            <w:hideMark/>
          </w:tcPr>
          <w:p w14:paraId="70B6A891" w14:textId="77777777" w:rsidR="00A74C68" w:rsidRPr="00A74C68" w:rsidRDefault="00A74C68" w:rsidP="00A74C68">
            <w:pPr>
              <w:rPr>
                <w:b/>
                <w:bCs/>
                <w:color w:val="000000"/>
                <w:sz w:val="14"/>
                <w:szCs w:val="14"/>
                <w:lang w:eastAsia="tr-TR"/>
              </w:rPr>
            </w:pPr>
            <w:r w:rsidRPr="00A74C68">
              <w:rPr>
                <w:b/>
                <w:bCs/>
                <w:sz w:val="14"/>
                <w:szCs w:val="14"/>
              </w:rPr>
              <w:t>V.</w:t>
            </w:r>
          </w:p>
        </w:tc>
        <w:tc>
          <w:tcPr>
            <w:tcW w:w="3230" w:type="pct"/>
            <w:tcBorders>
              <w:top w:val="nil"/>
              <w:left w:val="nil"/>
              <w:bottom w:val="nil"/>
              <w:right w:val="nil"/>
            </w:tcBorders>
            <w:hideMark/>
          </w:tcPr>
          <w:p w14:paraId="2A6DBDB6" w14:textId="77777777" w:rsidR="00A74C68" w:rsidRPr="00A74C68" w:rsidRDefault="00A74C68" w:rsidP="00A74C68">
            <w:pPr>
              <w:rPr>
                <w:b/>
                <w:bCs/>
                <w:color w:val="000000"/>
                <w:sz w:val="14"/>
                <w:szCs w:val="14"/>
                <w:lang w:eastAsia="tr-TR"/>
              </w:rPr>
            </w:pPr>
            <w:r w:rsidRPr="00A74C68">
              <w:rPr>
                <w:b/>
                <w:bCs/>
                <w:sz w:val="14"/>
                <w:szCs w:val="14"/>
              </w:rPr>
              <w:t>TEMETTÜ GELİRLERİ</w:t>
            </w:r>
          </w:p>
        </w:tc>
        <w:tc>
          <w:tcPr>
            <w:tcW w:w="488" w:type="pct"/>
            <w:tcBorders>
              <w:top w:val="nil"/>
              <w:left w:val="single" w:sz="4" w:space="0" w:color="auto"/>
              <w:bottom w:val="nil"/>
              <w:right w:val="single" w:sz="4" w:space="0" w:color="auto"/>
            </w:tcBorders>
            <w:vAlign w:val="bottom"/>
            <w:hideMark/>
          </w:tcPr>
          <w:p w14:paraId="4F13AC7C" w14:textId="77777777" w:rsidR="00A74C68" w:rsidRPr="00510F3F" w:rsidRDefault="00A74C68" w:rsidP="00A74C68">
            <w:pPr>
              <w:jc w:val="center"/>
              <w:rPr>
                <w:b/>
                <w:bCs/>
                <w:sz w:val="14"/>
                <w:szCs w:val="14"/>
              </w:rPr>
            </w:pPr>
            <w:r w:rsidRPr="00510F3F">
              <w:rPr>
                <w:b/>
                <w:bCs/>
                <w:sz w:val="14"/>
                <w:szCs w:val="14"/>
              </w:rPr>
              <w:t>(4)</w:t>
            </w:r>
          </w:p>
        </w:tc>
        <w:tc>
          <w:tcPr>
            <w:tcW w:w="902" w:type="pct"/>
            <w:tcBorders>
              <w:top w:val="nil"/>
              <w:left w:val="nil"/>
              <w:bottom w:val="nil"/>
              <w:right w:val="single" w:sz="4" w:space="0" w:color="auto"/>
            </w:tcBorders>
            <w:vAlign w:val="bottom"/>
            <w:hideMark/>
          </w:tcPr>
          <w:p w14:paraId="40CCE1D2"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87</w:t>
            </w:r>
          </w:p>
        </w:tc>
      </w:tr>
      <w:tr w:rsidR="00A74C68" w:rsidRPr="00A74C68" w14:paraId="3DCE95CD" w14:textId="77777777" w:rsidTr="00A74C68">
        <w:trPr>
          <w:divId w:val="1875266624"/>
          <w:trHeight w:val="20"/>
        </w:trPr>
        <w:tc>
          <w:tcPr>
            <w:tcW w:w="380" w:type="pct"/>
            <w:tcBorders>
              <w:top w:val="nil"/>
              <w:left w:val="single" w:sz="4" w:space="0" w:color="auto"/>
              <w:bottom w:val="nil"/>
              <w:right w:val="nil"/>
            </w:tcBorders>
            <w:noWrap/>
            <w:hideMark/>
          </w:tcPr>
          <w:p w14:paraId="0F378356" w14:textId="77777777" w:rsidR="00A74C68" w:rsidRPr="00A74C68" w:rsidRDefault="00A74C68" w:rsidP="00A74C68">
            <w:pPr>
              <w:rPr>
                <w:b/>
                <w:bCs/>
                <w:color w:val="000000"/>
                <w:sz w:val="14"/>
                <w:szCs w:val="14"/>
                <w:lang w:eastAsia="tr-TR"/>
              </w:rPr>
            </w:pPr>
            <w:r w:rsidRPr="00A74C68">
              <w:rPr>
                <w:b/>
                <w:bCs/>
                <w:sz w:val="14"/>
                <w:szCs w:val="14"/>
              </w:rPr>
              <w:t>VI.</w:t>
            </w:r>
          </w:p>
        </w:tc>
        <w:tc>
          <w:tcPr>
            <w:tcW w:w="3230" w:type="pct"/>
            <w:tcBorders>
              <w:top w:val="nil"/>
              <w:left w:val="nil"/>
              <w:bottom w:val="nil"/>
              <w:right w:val="nil"/>
            </w:tcBorders>
            <w:hideMark/>
          </w:tcPr>
          <w:p w14:paraId="5FB6417F" w14:textId="77777777" w:rsidR="00A74C68" w:rsidRPr="00A74C68" w:rsidRDefault="00A74C68" w:rsidP="00A74C68">
            <w:pPr>
              <w:rPr>
                <w:b/>
                <w:bCs/>
                <w:color w:val="000000"/>
                <w:sz w:val="14"/>
                <w:szCs w:val="14"/>
                <w:lang w:eastAsia="tr-TR"/>
              </w:rPr>
            </w:pPr>
            <w:r w:rsidRPr="00A74C68">
              <w:rPr>
                <w:b/>
                <w:bCs/>
                <w:sz w:val="14"/>
                <w:szCs w:val="14"/>
              </w:rPr>
              <w:t>TİCARİ KAR</w:t>
            </w:r>
            <w:r w:rsidRPr="00A74C68">
              <w:rPr>
                <w:b/>
                <w:bCs/>
                <w:color w:val="000000"/>
                <w:sz w:val="14"/>
                <w:szCs w:val="14"/>
                <w:lang w:eastAsia="tr-TR"/>
              </w:rPr>
              <w:t>/ZARAR (Net)</w:t>
            </w:r>
          </w:p>
        </w:tc>
        <w:tc>
          <w:tcPr>
            <w:tcW w:w="488" w:type="pct"/>
            <w:tcBorders>
              <w:top w:val="nil"/>
              <w:left w:val="single" w:sz="4" w:space="0" w:color="auto"/>
              <w:bottom w:val="nil"/>
              <w:right w:val="single" w:sz="4" w:space="0" w:color="auto"/>
            </w:tcBorders>
            <w:vAlign w:val="bottom"/>
            <w:hideMark/>
          </w:tcPr>
          <w:p w14:paraId="6DFB9B5F" w14:textId="77777777" w:rsidR="00A74C68" w:rsidRPr="00510F3F" w:rsidRDefault="00A74C68" w:rsidP="00A74C68">
            <w:pPr>
              <w:jc w:val="center"/>
              <w:rPr>
                <w:b/>
                <w:bCs/>
                <w:sz w:val="14"/>
                <w:szCs w:val="14"/>
              </w:rPr>
            </w:pPr>
            <w:r w:rsidRPr="00510F3F">
              <w:rPr>
                <w:b/>
                <w:bCs/>
                <w:sz w:val="14"/>
                <w:szCs w:val="14"/>
              </w:rPr>
              <w:t>(5)</w:t>
            </w:r>
          </w:p>
        </w:tc>
        <w:tc>
          <w:tcPr>
            <w:tcW w:w="902" w:type="pct"/>
            <w:tcBorders>
              <w:top w:val="nil"/>
              <w:left w:val="nil"/>
              <w:bottom w:val="nil"/>
              <w:right w:val="single" w:sz="4" w:space="0" w:color="auto"/>
            </w:tcBorders>
            <w:vAlign w:val="bottom"/>
            <w:hideMark/>
          </w:tcPr>
          <w:p w14:paraId="68847D7A"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212.488</w:t>
            </w:r>
          </w:p>
        </w:tc>
      </w:tr>
      <w:tr w:rsidR="00A74C68" w:rsidRPr="00471CBA" w14:paraId="6B5C02AD" w14:textId="77777777" w:rsidTr="00A74C68">
        <w:trPr>
          <w:divId w:val="1875266624"/>
          <w:trHeight w:val="20"/>
        </w:trPr>
        <w:tc>
          <w:tcPr>
            <w:tcW w:w="380" w:type="pct"/>
            <w:tcBorders>
              <w:top w:val="nil"/>
              <w:left w:val="single" w:sz="4" w:space="0" w:color="auto"/>
              <w:bottom w:val="nil"/>
              <w:right w:val="nil"/>
            </w:tcBorders>
            <w:noWrap/>
            <w:hideMark/>
          </w:tcPr>
          <w:p w14:paraId="3955A334" w14:textId="77777777" w:rsidR="00A74C68" w:rsidRPr="00471CBA" w:rsidRDefault="00A74C68" w:rsidP="00A74C68">
            <w:pPr>
              <w:rPr>
                <w:sz w:val="14"/>
                <w:szCs w:val="14"/>
              </w:rPr>
            </w:pPr>
            <w:r w:rsidRPr="00471CBA">
              <w:rPr>
                <w:sz w:val="14"/>
                <w:szCs w:val="14"/>
              </w:rPr>
              <w:t>6.1</w:t>
            </w:r>
          </w:p>
        </w:tc>
        <w:tc>
          <w:tcPr>
            <w:tcW w:w="3230" w:type="pct"/>
            <w:tcBorders>
              <w:top w:val="nil"/>
              <w:left w:val="nil"/>
              <w:bottom w:val="nil"/>
              <w:right w:val="nil"/>
            </w:tcBorders>
            <w:hideMark/>
          </w:tcPr>
          <w:p w14:paraId="2562D18B" w14:textId="77777777" w:rsidR="00A74C68" w:rsidRPr="00471CBA" w:rsidRDefault="00A74C68" w:rsidP="00A74C68">
            <w:pPr>
              <w:rPr>
                <w:color w:val="000000"/>
                <w:sz w:val="14"/>
                <w:szCs w:val="14"/>
                <w:lang w:eastAsia="tr-TR"/>
              </w:rPr>
            </w:pPr>
            <w:r w:rsidRPr="00471CBA">
              <w:rPr>
                <w:sz w:val="14"/>
                <w:szCs w:val="14"/>
              </w:rPr>
              <w:t xml:space="preserve">Sermaye </w:t>
            </w:r>
            <w:r w:rsidRPr="00471CBA">
              <w:rPr>
                <w:color w:val="000000"/>
                <w:sz w:val="14"/>
                <w:szCs w:val="14"/>
                <w:lang w:eastAsia="tr-TR"/>
              </w:rPr>
              <w:t xml:space="preserve">Piyasası İşlemleri Kârı/Zararı </w:t>
            </w:r>
          </w:p>
        </w:tc>
        <w:tc>
          <w:tcPr>
            <w:tcW w:w="488" w:type="pct"/>
            <w:tcBorders>
              <w:top w:val="nil"/>
              <w:left w:val="single" w:sz="4" w:space="0" w:color="auto"/>
              <w:bottom w:val="nil"/>
              <w:right w:val="single" w:sz="4" w:space="0" w:color="auto"/>
            </w:tcBorders>
            <w:vAlign w:val="bottom"/>
            <w:hideMark/>
          </w:tcPr>
          <w:p w14:paraId="5B0D7831" w14:textId="77777777" w:rsidR="00A74C68" w:rsidRPr="00471CBA" w:rsidRDefault="00A74C68" w:rsidP="00A74C68">
            <w:pPr>
              <w:jc w:val="center"/>
              <w:rPr>
                <w:color w:val="000000"/>
                <w:sz w:val="18"/>
                <w:szCs w:val="18"/>
                <w:lang w:eastAsia="tr-TR"/>
              </w:rPr>
            </w:pPr>
            <w:r w:rsidRPr="00471CBA">
              <w:rPr>
                <w:sz w:val="14"/>
                <w:szCs w:val="14"/>
              </w:rPr>
              <w:t> </w:t>
            </w:r>
          </w:p>
        </w:tc>
        <w:tc>
          <w:tcPr>
            <w:tcW w:w="902" w:type="pct"/>
            <w:tcBorders>
              <w:top w:val="nil"/>
              <w:left w:val="nil"/>
              <w:bottom w:val="nil"/>
              <w:right w:val="single" w:sz="4" w:space="0" w:color="auto"/>
            </w:tcBorders>
            <w:vAlign w:val="bottom"/>
            <w:hideMark/>
          </w:tcPr>
          <w:p w14:paraId="2EC8E092" w14:textId="77777777" w:rsidR="00A74C68" w:rsidRPr="00471CBA" w:rsidRDefault="00A74C68" w:rsidP="00A74C68">
            <w:pPr>
              <w:jc w:val="right"/>
              <w:rPr>
                <w:color w:val="000000"/>
                <w:sz w:val="14"/>
                <w:szCs w:val="14"/>
                <w:lang w:eastAsia="tr-TR"/>
              </w:rPr>
            </w:pPr>
            <w:r w:rsidRPr="00471CBA">
              <w:rPr>
                <w:color w:val="000000"/>
                <w:sz w:val="14"/>
                <w:szCs w:val="14"/>
                <w:lang w:eastAsia="tr-TR"/>
              </w:rPr>
              <w:t>360.008</w:t>
            </w:r>
          </w:p>
        </w:tc>
      </w:tr>
      <w:tr w:rsidR="00A74C68" w:rsidRPr="00A74C68" w14:paraId="7597B88B" w14:textId="77777777" w:rsidTr="00A74C68">
        <w:trPr>
          <w:divId w:val="1875266624"/>
          <w:trHeight w:val="20"/>
        </w:trPr>
        <w:tc>
          <w:tcPr>
            <w:tcW w:w="380" w:type="pct"/>
            <w:tcBorders>
              <w:top w:val="nil"/>
              <w:left w:val="single" w:sz="4" w:space="0" w:color="auto"/>
              <w:bottom w:val="nil"/>
              <w:right w:val="nil"/>
            </w:tcBorders>
            <w:noWrap/>
            <w:hideMark/>
          </w:tcPr>
          <w:p w14:paraId="43DF852F" w14:textId="77777777" w:rsidR="00A74C68" w:rsidRPr="00A74C68" w:rsidRDefault="00A74C68" w:rsidP="00A74C68">
            <w:pPr>
              <w:rPr>
                <w:sz w:val="14"/>
                <w:szCs w:val="14"/>
              </w:rPr>
            </w:pPr>
            <w:r w:rsidRPr="00A74C68">
              <w:rPr>
                <w:sz w:val="14"/>
                <w:szCs w:val="14"/>
              </w:rPr>
              <w:t>6.2</w:t>
            </w:r>
          </w:p>
        </w:tc>
        <w:tc>
          <w:tcPr>
            <w:tcW w:w="3230" w:type="pct"/>
            <w:tcBorders>
              <w:top w:val="nil"/>
              <w:left w:val="nil"/>
              <w:bottom w:val="nil"/>
              <w:right w:val="nil"/>
            </w:tcBorders>
            <w:hideMark/>
          </w:tcPr>
          <w:p w14:paraId="710529EC" w14:textId="77777777" w:rsidR="00A74C68" w:rsidRPr="00A74C68" w:rsidRDefault="00A74C68" w:rsidP="00A74C68">
            <w:pPr>
              <w:rPr>
                <w:color w:val="000000"/>
                <w:sz w:val="14"/>
                <w:szCs w:val="14"/>
                <w:lang w:eastAsia="tr-TR"/>
              </w:rPr>
            </w:pPr>
            <w:r w:rsidRPr="00A74C68">
              <w:rPr>
                <w:sz w:val="14"/>
                <w:szCs w:val="14"/>
              </w:rPr>
              <w:t xml:space="preserve">Türev </w:t>
            </w:r>
            <w:r w:rsidRPr="00A74C68">
              <w:rPr>
                <w:color w:val="000000"/>
                <w:sz w:val="14"/>
                <w:szCs w:val="14"/>
                <w:lang w:eastAsia="tr-TR"/>
              </w:rPr>
              <w:t>Finansal İşlemlerden Kâr/Zarar</w:t>
            </w:r>
          </w:p>
        </w:tc>
        <w:tc>
          <w:tcPr>
            <w:tcW w:w="488" w:type="pct"/>
            <w:tcBorders>
              <w:top w:val="nil"/>
              <w:left w:val="single" w:sz="4" w:space="0" w:color="auto"/>
              <w:bottom w:val="nil"/>
              <w:right w:val="single" w:sz="4" w:space="0" w:color="auto"/>
            </w:tcBorders>
            <w:vAlign w:val="bottom"/>
            <w:hideMark/>
          </w:tcPr>
          <w:p w14:paraId="6E26385F"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bottom w:val="nil"/>
              <w:right w:val="single" w:sz="4" w:space="0" w:color="auto"/>
            </w:tcBorders>
            <w:vAlign w:val="bottom"/>
            <w:hideMark/>
          </w:tcPr>
          <w:p w14:paraId="4B4D753E" w14:textId="77777777" w:rsidR="00A74C68" w:rsidRPr="00A74C68" w:rsidRDefault="00A74C68" w:rsidP="00A74C68">
            <w:pPr>
              <w:jc w:val="right"/>
              <w:rPr>
                <w:sz w:val="14"/>
                <w:szCs w:val="14"/>
                <w:lang w:eastAsia="tr-TR"/>
              </w:rPr>
            </w:pPr>
            <w:r w:rsidRPr="00A74C68">
              <w:rPr>
                <w:sz w:val="14"/>
                <w:szCs w:val="14"/>
                <w:lang w:eastAsia="tr-TR"/>
              </w:rPr>
              <w:t>(1.465.344)</w:t>
            </w:r>
          </w:p>
        </w:tc>
      </w:tr>
      <w:tr w:rsidR="00A74C68" w:rsidRPr="00A74C68" w14:paraId="0741E08F" w14:textId="77777777" w:rsidTr="00A74C68">
        <w:trPr>
          <w:divId w:val="1875266624"/>
          <w:trHeight w:val="20"/>
        </w:trPr>
        <w:tc>
          <w:tcPr>
            <w:tcW w:w="380" w:type="pct"/>
            <w:tcBorders>
              <w:top w:val="nil"/>
              <w:left w:val="single" w:sz="4" w:space="0" w:color="auto"/>
              <w:bottom w:val="nil"/>
              <w:right w:val="nil"/>
            </w:tcBorders>
            <w:noWrap/>
            <w:hideMark/>
          </w:tcPr>
          <w:p w14:paraId="588F9159" w14:textId="77777777" w:rsidR="00A74C68" w:rsidRPr="00A74C68" w:rsidRDefault="00A74C68" w:rsidP="00A74C68">
            <w:pPr>
              <w:rPr>
                <w:sz w:val="14"/>
                <w:szCs w:val="14"/>
              </w:rPr>
            </w:pPr>
            <w:r w:rsidRPr="00A74C68">
              <w:rPr>
                <w:sz w:val="14"/>
                <w:szCs w:val="14"/>
              </w:rPr>
              <w:t>6.3</w:t>
            </w:r>
          </w:p>
        </w:tc>
        <w:tc>
          <w:tcPr>
            <w:tcW w:w="3230" w:type="pct"/>
            <w:tcBorders>
              <w:top w:val="nil"/>
              <w:left w:val="nil"/>
              <w:bottom w:val="nil"/>
              <w:right w:val="nil"/>
            </w:tcBorders>
            <w:hideMark/>
          </w:tcPr>
          <w:p w14:paraId="16C7F00E" w14:textId="77777777" w:rsidR="00A74C68" w:rsidRPr="00A74C68" w:rsidRDefault="00A74C68" w:rsidP="00A74C68">
            <w:pPr>
              <w:rPr>
                <w:color w:val="000000"/>
                <w:sz w:val="14"/>
                <w:szCs w:val="14"/>
                <w:lang w:eastAsia="tr-TR"/>
              </w:rPr>
            </w:pPr>
            <w:r w:rsidRPr="00A74C68">
              <w:rPr>
                <w:sz w:val="14"/>
                <w:szCs w:val="14"/>
              </w:rPr>
              <w:t xml:space="preserve">Kambiyo </w:t>
            </w:r>
            <w:r w:rsidRPr="00A74C68">
              <w:rPr>
                <w:color w:val="000000"/>
                <w:sz w:val="14"/>
                <w:szCs w:val="14"/>
                <w:lang w:eastAsia="tr-TR"/>
              </w:rPr>
              <w:t xml:space="preserve">İşlemleri Kârı/Zararı </w:t>
            </w:r>
          </w:p>
        </w:tc>
        <w:tc>
          <w:tcPr>
            <w:tcW w:w="488" w:type="pct"/>
            <w:tcBorders>
              <w:top w:val="nil"/>
              <w:left w:val="single" w:sz="4" w:space="0" w:color="auto"/>
              <w:bottom w:val="nil"/>
              <w:right w:val="single" w:sz="4" w:space="0" w:color="auto"/>
            </w:tcBorders>
            <w:vAlign w:val="bottom"/>
            <w:hideMark/>
          </w:tcPr>
          <w:p w14:paraId="0F511212"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bottom w:val="nil"/>
              <w:right w:val="single" w:sz="4" w:space="0" w:color="auto"/>
            </w:tcBorders>
            <w:vAlign w:val="bottom"/>
            <w:hideMark/>
          </w:tcPr>
          <w:p w14:paraId="342EECDE" w14:textId="77777777" w:rsidR="00A74C68" w:rsidRPr="00A74C68" w:rsidRDefault="00A74C68" w:rsidP="00A74C68">
            <w:pPr>
              <w:jc w:val="right"/>
              <w:rPr>
                <w:sz w:val="14"/>
                <w:szCs w:val="14"/>
                <w:lang w:eastAsia="tr-TR"/>
              </w:rPr>
            </w:pPr>
            <w:r w:rsidRPr="00A74C68">
              <w:rPr>
                <w:sz w:val="14"/>
                <w:szCs w:val="14"/>
                <w:lang w:eastAsia="tr-TR"/>
              </w:rPr>
              <w:t>1.317.824</w:t>
            </w:r>
          </w:p>
        </w:tc>
      </w:tr>
      <w:tr w:rsidR="00A74C68" w:rsidRPr="00A74C68" w14:paraId="181B1206" w14:textId="77777777" w:rsidTr="00A74C68">
        <w:trPr>
          <w:divId w:val="1875266624"/>
          <w:trHeight w:val="20"/>
        </w:trPr>
        <w:tc>
          <w:tcPr>
            <w:tcW w:w="380" w:type="pct"/>
            <w:tcBorders>
              <w:top w:val="nil"/>
              <w:left w:val="single" w:sz="4" w:space="0" w:color="auto"/>
              <w:bottom w:val="nil"/>
              <w:right w:val="nil"/>
            </w:tcBorders>
            <w:noWrap/>
            <w:hideMark/>
          </w:tcPr>
          <w:p w14:paraId="0550949C" w14:textId="77777777" w:rsidR="00A74C68" w:rsidRPr="00A74C68" w:rsidRDefault="00A74C68" w:rsidP="00A74C68">
            <w:pPr>
              <w:rPr>
                <w:b/>
                <w:bCs/>
                <w:color w:val="000000"/>
                <w:sz w:val="14"/>
                <w:szCs w:val="14"/>
                <w:lang w:eastAsia="tr-TR"/>
              </w:rPr>
            </w:pPr>
            <w:r w:rsidRPr="00A74C68">
              <w:rPr>
                <w:b/>
                <w:bCs/>
                <w:sz w:val="14"/>
                <w:szCs w:val="14"/>
              </w:rPr>
              <w:t>VII.</w:t>
            </w:r>
          </w:p>
        </w:tc>
        <w:tc>
          <w:tcPr>
            <w:tcW w:w="3230" w:type="pct"/>
            <w:tcBorders>
              <w:top w:val="nil"/>
              <w:left w:val="nil"/>
              <w:bottom w:val="nil"/>
              <w:right w:val="nil"/>
            </w:tcBorders>
            <w:hideMark/>
          </w:tcPr>
          <w:p w14:paraId="7F61E329" w14:textId="77777777" w:rsidR="00A74C68" w:rsidRPr="00A74C68" w:rsidRDefault="00A74C68" w:rsidP="00A74C68">
            <w:pPr>
              <w:rPr>
                <w:b/>
                <w:bCs/>
                <w:color w:val="000000"/>
                <w:sz w:val="14"/>
                <w:szCs w:val="14"/>
                <w:lang w:eastAsia="tr-TR"/>
              </w:rPr>
            </w:pPr>
            <w:r w:rsidRPr="00A74C68">
              <w:rPr>
                <w:b/>
                <w:bCs/>
                <w:sz w:val="14"/>
                <w:szCs w:val="14"/>
              </w:rPr>
              <w:t>DİĞER FAALİYET</w:t>
            </w:r>
            <w:r w:rsidRPr="00A74C68">
              <w:rPr>
                <w:b/>
                <w:bCs/>
                <w:color w:val="000000"/>
                <w:sz w:val="14"/>
                <w:szCs w:val="14"/>
                <w:lang w:eastAsia="tr-TR"/>
              </w:rPr>
              <w:t xml:space="preserve"> GELİRLERİ</w:t>
            </w:r>
          </w:p>
        </w:tc>
        <w:tc>
          <w:tcPr>
            <w:tcW w:w="488" w:type="pct"/>
            <w:tcBorders>
              <w:top w:val="nil"/>
              <w:left w:val="single" w:sz="4" w:space="0" w:color="auto"/>
              <w:bottom w:val="nil"/>
              <w:right w:val="single" w:sz="4" w:space="0" w:color="auto"/>
            </w:tcBorders>
            <w:vAlign w:val="bottom"/>
            <w:hideMark/>
          </w:tcPr>
          <w:p w14:paraId="69548877" w14:textId="77777777" w:rsidR="00A74C68" w:rsidRPr="00510F3F" w:rsidRDefault="00A74C68" w:rsidP="00A74C68">
            <w:pPr>
              <w:jc w:val="center"/>
              <w:rPr>
                <w:b/>
                <w:bCs/>
                <w:sz w:val="14"/>
                <w:szCs w:val="14"/>
              </w:rPr>
            </w:pPr>
            <w:r w:rsidRPr="00510F3F">
              <w:rPr>
                <w:b/>
                <w:bCs/>
                <w:sz w:val="14"/>
                <w:szCs w:val="14"/>
              </w:rPr>
              <w:t>(6)</w:t>
            </w:r>
          </w:p>
        </w:tc>
        <w:tc>
          <w:tcPr>
            <w:tcW w:w="902" w:type="pct"/>
            <w:tcBorders>
              <w:top w:val="nil"/>
              <w:left w:val="nil"/>
              <w:bottom w:val="nil"/>
              <w:right w:val="single" w:sz="4" w:space="0" w:color="auto"/>
            </w:tcBorders>
            <w:vAlign w:val="bottom"/>
            <w:hideMark/>
          </w:tcPr>
          <w:p w14:paraId="6B041EB6" w14:textId="77777777" w:rsidR="00A74C68" w:rsidRPr="00A74C68" w:rsidRDefault="00A74C68" w:rsidP="00A74C68">
            <w:pPr>
              <w:jc w:val="right"/>
              <w:rPr>
                <w:sz w:val="14"/>
                <w:szCs w:val="14"/>
                <w:lang w:eastAsia="tr-TR"/>
              </w:rPr>
            </w:pPr>
            <w:r w:rsidRPr="00A74C68">
              <w:rPr>
                <w:sz w:val="14"/>
                <w:szCs w:val="14"/>
                <w:lang w:eastAsia="tr-TR"/>
              </w:rPr>
              <w:t>340.711</w:t>
            </w:r>
          </w:p>
        </w:tc>
      </w:tr>
      <w:tr w:rsidR="00A74C68" w:rsidRPr="00A74C68" w14:paraId="509678C2" w14:textId="77777777" w:rsidTr="00A74C68">
        <w:trPr>
          <w:divId w:val="1875266624"/>
          <w:trHeight w:val="20"/>
        </w:trPr>
        <w:tc>
          <w:tcPr>
            <w:tcW w:w="380" w:type="pct"/>
            <w:tcBorders>
              <w:top w:val="nil"/>
              <w:left w:val="single" w:sz="4" w:space="0" w:color="auto"/>
              <w:bottom w:val="nil"/>
              <w:right w:val="nil"/>
            </w:tcBorders>
            <w:noWrap/>
            <w:hideMark/>
          </w:tcPr>
          <w:p w14:paraId="618F24DA" w14:textId="77777777" w:rsidR="00A74C68" w:rsidRPr="00A74C68" w:rsidRDefault="00A74C68" w:rsidP="00A74C68">
            <w:pPr>
              <w:rPr>
                <w:b/>
                <w:bCs/>
                <w:color w:val="000000"/>
                <w:sz w:val="14"/>
                <w:szCs w:val="14"/>
                <w:lang w:eastAsia="tr-TR"/>
              </w:rPr>
            </w:pPr>
            <w:r w:rsidRPr="00A74C68">
              <w:rPr>
                <w:b/>
                <w:bCs/>
                <w:sz w:val="14"/>
                <w:szCs w:val="14"/>
              </w:rPr>
              <w:t>VIII.</w:t>
            </w:r>
          </w:p>
        </w:tc>
        <w:tc>
          <w:tcPr>
            <w:tcW w:w="3230" w:type="pct"/>
            <w:tcBorders>
              <w:top w:val="nil"/>
              <w:left w:val="nil"/>
              <w:bottom w:val="nil"/>
              <w:right w:val="nil"/>
            </w:tcBorders>
            <w:hideMark/>
          </w:tcPr>
          <w:p w14:paraId="4B85B3A2" w14:textId="77777777" w:rsidR="00A74C68" w:rsidRPr="00A74C68" w:rsidRDefault="00A74C68" w:rsidP="00A74C68">
            <w:pPr>
              <w:rPr>
                <w:b/>
                <w:bCs/>
                <w:color w:val="000000"/>
                <w:sz w:val="14"/>
                <w:szCs w:val="14"/>
                <w:lang w:eastAsia="tr-TR"/>
              </w:rPr>
            </w:pPr>
            <w:r w:rsidRPr="00A74C68">
              <w:rPr>
                <w:b/>
                <w:bCs/>
                <w:sz w:val="14"/>
                <w:szCs w:val="14"/>
              </w:rPr>
              <w:t>FAALİYET BRÜT</w:t>
            </w:r>
            <w:r w:rsidRPr="00A74C68">
              <w:rPr>
                <w:b/>
                <w:bCs/>
                <w:color w:val="000000"/>
                <w:sz w:val="14"/>
                <w:szCs w:val="14"/>
                <w:lang w:eastAsia="tr-TR"/>
              </w:rPr>
              <w:t xml:space="preserve"> KÂRI (III+IV+V+VI+VII)</w:t>
            </w:r>
          </w:p>
        </w:tc>
        <w:tc>
          <w:tcPr>
            <w:tcW w:w="488" w:type="pct"/>
            <w:tcBorders>
              <w:top w:val="nil"/>
              <w:left w:val="single" w:sz="4" w:space="0" w:color="auto"/>
              <w:bottom w:val="nil"/>
              <w:right w:val="single" w:sz="4" w:space="0" w:color="auto"/>
            </w:tcBorders>
            <w:vAlign w:val="bottom"/>
            <w:hideMark/>
          </w:tcPr>
          <w:p w14:paraId="63493207" w14:textId="77777777" w:rsidR="00A74C68" w:rsidRPr="00510F3F" w:rsidRDefault="00A74C68" w:rsidP="00A74C68">
            <w:pPr>
              <w:jc w:val="center"/>
              <w:rPr>
                <w:color w:val="000000"/>
                <w:sz w:val="18"/>
                <w:szCs w:val="18"/>
                <w:lang w:eastAsia="tr-TR"/>
              </w:rPr>
            </w:pPr>
            <w:r w:rsidRPr="00510F3F">
              <w:rPr>
                <w:b/>
                <w:bCs/>
                <w:sz w:val="14"/>
                <w:szCs w:val="14"/>
              </w:rPr>
              <w:t> </w:t>
            </w:r>
          </w:p>
        </w:tc>
        <w:tc>
          <w:tcPr>
            <w:tcW w:w="902" w:type="pct"/>
            <w:tcBorders>
              <w:top w:val="nil"/>
              <w:left w:val="nil"/>
              <w:bottom w:val="nil"/>
              <w:right w:val="single" w:sz="4" w:space="0" w:color="auto"/>
            </w:tcBorders>
            <w:vAlign w:val="bottom"/>
            <w:hideMark/>
          </w:tcPr>
          <w:p w14:paraId="0A113121"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6.762.017</w:t>
            </w:r>
          </w:p>
        </w:tc>
      </w:tr>
      <w:tr w:rsidR="00A74C68" w:rsidRPr="00A74C68" w14:paraId="3A234564" w14:textId="77777777" w:rsidTr="00A74C68">
        <w:trPr>
          <w:divId w:val="1875266624"/>
          <w:trHeight w:val="20"/>
        </w:trPr>
        <w:tc>
          <w:tcPr>
            <w:tcW w:w="380" w:type="pct"/>
            <w:tcBorders>
              <w:top w:val="nil"/>
              <w:left w:val="single" w:sz="4" w:space="0" w:color="auto"/>
              <w:bottom w:val="nil"/>
              <w:right w:val="nil"/>
            </w:tcBorders>
            <w:noWrap/>
            <w:hideMark/>
          </w:tcPr>
          <w:p w14:paraId="37A3860A" w14:textId="77777777" w:rsidR="00A74C68" w:rsidRPr="00A74C68" w:rsidRDefault="00A74C68" w:rsidP="00A74C68">
            <w:pPr>
              <w:rPr>
                <w:b/>
                <w:bCs/>
                <w:color w:val="000000"/>
                <w:sz w:val="14"/>
                <w:szCs w:val="14"/>
                <w:lang w:eastAsia="tr-TR"/>
              </w:rPr>
            </w:pPr>
            <w:r w:rsidRPr="00A74C68">
              <w:rPr>
                <w:b/>
                <w:bCs/>
                <w:sz w:val="14"/>
                <w:szCs w:val="14"/>
              </w:rPr>
              <w:t>IX.</w:t>
            </w:r>
          </w:p>
        </w:tc>
        <w:tc>
          <w:tcPr>
            <w:tcW w:w="3230" w:type="pct"/>
            <w:tcBorders>
              <w:top w:val="nil"/>
              <w:left w:val="nil"/>
              <w:bottom w:val="nil"/>
              <w:right w:val="nil"/>
            </w:tcBorders>
            <w:hideMark/>
          </w:tcPr>
          <w:p w14:paraId="175A0620" w14:textId="77777777" w:rsidR="00A74C68" w:rsidRPr="00A74C68" w:rsidRDefault="00A74C68" w:rsidP="00A74C68">
            <w:pPr>
              <w:rPr>
                <w:b/>
                <w:bCs/>
                <w:color w:val="000000"/>
                <w:sz w:val="14"/>
                <w:szCs w:val="14"/>
                <w:lang w:eastAsia="tr-TR"/>
              </w:rPr>
            </w:pPr>
            <w:r w:rsidRPr="00A74C68">
              <w:rPr>
                <w:b/>
                <w:bCs/>
                <w:sz w:val="14"/>
                <w:szCs w:val="14"/>
              </w:rPr>
              <w:t>BEKLENEN ZARAR</w:t>
            </w:r>
            <w:r w:rsidRPr="00A74C68">
              <w:rPr>
                <w:b/>
                <w:bCs/>
                <w:color w:val="000000"/>
                <w:sz w:val="14"/>
                <w:szCs w:val="14"/>
                <w:lang w:eastAsia="tr-TR"/>
              </w:rPr>
              <w:t xml:space="preserve"> KARŞILIKLARI GİDERLERİ (-)</w:t>
            </w:r>
          </w:p>
        </w:tc>
        <w:tc>
          <w:tcPr>
            <w:tcW w:w="488" w:type="pct"/>
            <w:tcBorders>
              <w:top w:val="nil"/>
              <w:left w:val="single" w:sz="4" w:space="0" w:color="auto"/>
              <w:bottom w:val="nil"/>
              <w:right w:val="single" w:sz="4" w:space="0" w:color="auto"/>
            </w:tcBorders>
            <w:vAlign w:val="bottom"/>
            <w:hideMark/>
          </w:tcPr>
          <w:p w14:paraId="73A9C0F4" w14:textId="77777777" w:rsidR="00A74C68" w:rsidRPr="00510F3F" w:rsidRDefault="00A74C68" w:rsidP="00A74C68">
            <w:pPr>
              <w:jc w:val="center"/>
              <w:rPr>
                <w:sz w:val="14"/>
                <w:szCs w:val="14"/>
                <w:lang w:eastAsia="tr-TR"/>
              </w:rPr>
            </w:pPr>
            <w:r w:rsidRPr="00510F3F">
              <w:rPr>
                <w:b/>
                <w:bCs/>
                <w:sz w:val="14"/>
                <w:szCs w:val="14"/>
              </w:rPr>
              <w:t>(7</w:t>
            </w:r>
            <w:r w:rsidRPr="00510F3F">
              <w:rPr>
                <w:sz w:val="14"/>
                <w:szCs w:val="14"/>
                <w:lang w:eastAsia="tr-TR"/>
              </w:rPr>
              <w:t>)</w:t>
            </w:r>
          </w:p>
        </w:tc>
        <w:tc>
          <w:tcPr>
            <w:tcW w:w="902" w:type="pct"/>
            <w:tcBorders>
              <w:top w:val="nil"/>
              <w:left w:val="nil"/>
              <w:bottom w:val="nil"/>
              <w:right w:val="single" w:sz="4" w:space="0" w:color="auto"/>
            </w:tcBorders>
            <w:vAlign w:val="bottom"/>
            <w:hideMark/>
          </w:tcPr>
          <w:p w14:paraId="525C4DD8"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672.422</w:t>
            </w:r>
          </w:p>
        </w:tc>
      </w:tr>
      <w:tr w:rsidR="00A74C68" w:rsidRPr="00A74C68" w14:paraId="542D13F5" w14:textId="77777777" w:rsidTr="00A74C68">
        <w:trPr>
          <w:divId w:val="1875266624"/>
          <w:trHeight w:val="20"/>
        </w:trPr>
        <w:tc>
          <w:tcPr>
            <w:tcW w:w="380" w:type="pct"/>
            <w:tcBorders>
              <w:top w:val="nil"/>
              <w:left w:val="single" w:sz="4" w:space="0" w:color="auto"/>
              <w:bottom w:val="nil"/>
              <w:right w:val="nil"/>
            </w:tcBorders>
            <w:noWrap/>
            <w:hideMark/>
          </w:tcPr>
          <w:p w14:paraId="7629D2B5" w14:textId="77777777" w:rsidR="00A74C68" w:rsidRPr="00A74C68" w:rsidRDefault="00A74C68" w:rsidP="00A74C68">
            <w:pPr>
              <w:rPr>
                <w:b/>
                <w:bCs/>
                <w:color w:val="000000"/>
                <w:sz w:val="14"/>
                <w:szCs w:val="14"/>
                <w:lang w:eastAsia="tr-TR"/>
              </w:rPr>
            </w:pPr>
            <w:r w:rsidRPr="00A74C68">
              <w:rPr>
                <w:b/>
                <w:bCs/>
                <w:sz w:val="14"/>
                <w:szCs w:val="14"/>
              </w:rPr>
              <w:t>X.</w:t>
            </w:r>
          </w:p>
        </w:tc>
        <w:tc>
          <w:tcPr>
            <w:tcW w:w="3230" w:type="pct"/>
            <w:tcBorders>
              <w:top w:val="nil"/>
              <w:left w:val="nil"/>
              <w:bottom w:val="nil"/>
              <w:right w:val="nil"/>
            </w:tcBorders>
            <w:hideMark/>
          </w:tcPr>
          <w:p w14:paraId="3D857199" w14:textId="77777777" w:rsidR="00A74C68" w:rsidRPr="00A74C68" w:rsidRDefault="00A74C68" w:rsidP="00A74C68">
            <w:pPr>
              <w:rPr>
                <w:b/>
                <w:bCs/>
                <w:color w:val="000000"/>
                <w:sz w:val="14"/>
                <w:szCs w:val="14"/>
                <w:lang w:eastAsia="tr-TR"/>
              </w:rPr>
            </w:pPr>
            <w:r w:rsidRPr="00A74C68">
              <w:rPr>
                <w:b/>
                <w:bCs/>
                <w:sz w:val="14"/>
                <w:szCs w:val="14"/>
              </w:rPr>
              <w:t>DİĞER KARŞILIK</w:t>
            </w:r>
            <w:r w:rsidRPr="00A74C68">
              <w:rPr>
                <w:b/>
                <w:bCs/>
                <w:color w:val="000000"/>
                <w:sz w:val="14"/>
                <w:szCs w:val="14"/>
                <w:lang w:eastAsia="tr-TR"/>
              </w:rPr>
              <w:t xml:space="preserve"> GİDERLERİ (-)</w:t>
            </w:r>
          </w:p>
        </w:tc>
        <w:tc>
          <w:tcPr>
            <w:tcW w:w="488" w:type="pct"/>
            <w:tcBorders>
              <w:top w:val="nil"/>
              <w:left w:val="single" w:sz="4" w:space="0" w:color="auto"/>
              <w:bottom w:val="nil"/>
              <w:right w:val="single" w:sz="4" w:space="0" w:color="auto"/>
            </w:tcBorders>
            <w:vAlign w:val="bottom"/>
            <w:hideMark/>
          </w:tcPr>
          <w:p w14:paraId="4363E08F" w14:textId="77777777" w:rsidR="00A74C68" w:rsidRPr="00510F3F" w:rsidRDefault="00A74C68" w:rsidP="00A74C68">
            <w:pPr>
              <w:jc w:val="center"/>
              <w:rPr>
                <w:color w:val="000000"/>
                <w:sz w:val="18"/>
                <w:szCs w:val="18"/>
                <w:lang w:eastAsia="tr-TR"/>
              </w:rPr>
            </w:pPr>
            <w:r w:rsidRPr="00510F3F">
              <w:rPr>
                <w:b/>
                <w:bCs/>
                <w:sz w:val="14"/>
                <w:szCs w:val="14"/>
              </w:rPr>
              <w:t> </w:t>
            </w:r>
          </w:p>
        </w:tc>
        <w:tc>
          <w:tcPr>
            <w:tcW w:w="902" w:type="pct"/>
            <w:tcBorders>
              <w:top w:val="nil"/>
              <w:left w:val="nil"/>
              <w:bottom w:val="nil"/>
              <w:right w:val="single" w:sz="4" w:space="0" w:color="auto"/>
            </w:tcBorders>
            <w:vAlign w:val="bottom"/>
            <w:hideMark/>
          </w:tcPr>
          <w:p w14:paraId="69AAAFF4"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383.578</w:t>
            </w:r>
          </w:p>
        </w:tc>
      </w:tr>
      <w:tr w:rsidR="00A74C68" w:rsidRPr="00A74C68" w14:paraId="31995BCF" w14:textId="77777777" w:rsidTr="00A74C68">
        <w:trPr>
          <w:divId w:val="1875266624"/>
          <w:trHeight w:val="20"/>
        </w:trPr>
        <w:tc>
          <w:tcPr>
            <w:tcW w:w="380" w:type="pct"/>
            <w:tcBorders>
              <w:top w:val="nil"/>
              <w:left w:val="single" w:sz="4" w:space="0" w:color="auto"/>
              <w:bottom w:val="nil"/>
              <w:right w:val="nil"/>
            </w:tcBorders>
            <w:noWrap/>
            <w:hideMark/>
          </w:tcPr>
          <w:p w14:paraId="6063828E" w14:textId="77777777" w:rsidR="00A74C68" w:rsidRPr="00A74C68" w:rsidRDefault="00A74C68" w:rsidP="00A74C68">
            <w:pPr>
              <w:rPr>
                <w:b/>
                <w:bCs/>
                <w:color w:val="000000"/>
                <w:sz w:val="14"/>
                <w:szCs w:val="14"/>
                <w:lang w:eastAsia="tr-TR"/>
              </w:rPr>
            </w:pPr>
            <w:r w:rsidRPr="00A74C68">
              <w:rPr>
                <w:b/>
                <w:bCs/>
                <w:sz w:val="14"/>
                <w:szCs w:val="14"/>
              </w:rPr>
              <w:t>XI.</w:t>
            </w:r>
          </w:p>
        </w:tc>
        <w:tc>
          <w:tcPr>
            <w:tcW w:w="3230" w:type="pct"/>
            <w:tcBorders>
              <w:top w:val="nil"/>
              <w:left w:val="nil"/>
              <w:bottom w:val="nil"/>
              <w:right w:val="nil"/>
            </w:tcBorders>
            <w:hideMark/>
          </w:tcPr>
          <w:p w14:paraId="649478A5" w14:textId="77777777" w:rsidR="00A74C68" w:rsidRPr="00A74C68" w:rsidRDefault="00A74C68" w:rsidP="00A74C68">
            <w:pPr>
              <w:rPr>
                <w:b/>
                <w:bCs/>
                <w:color w:val="000000"/>
                <w:sz w:val="14"/>
                <w:szCs w:val="14"/>
                <w:lang w:eastAsia="tr-TR"/>
              </w:rPr>
            </w:pPr>
            <w:r w:rsidRPr="00A74C68">
              <w:rPr>
                <w:b/>
                <w:bCs/>
                <w:sz w:val="14"/>
                <w:szCs w:val="14"/>
              </w:rPr>
              <w:t>PERSONEL GİDERLERİ</w:t>
            </w:r>
            <w:r w:rsidRPr="00A74C68">
              <w:rPr>
                <w:b/>
                <w:bCs/>
                <w:color w:val="000000"/>
                <w:sz w:val="14"/>
                <w:szCs w:val="14"/>
                <w:lang w:eastAsia="tr-TR"/>
              </w:rPr>
              <w:t xml:space="preserve"> (-)</w:t>
            </w:r>
          </w:p>
        </w:tc>
        <w:tc>
          <w:tcPr>
            <w:tcW w:w="488" w:type="pct"/>
            <w:tcBorders>
              <w:top w:val="nil"/>
              <w:left w:val="single" w:sz="4" w:space="0" w:color="auto"/>
              <w:bottom w:val="nil"/>
              <w:right w:val="single" w:sz="4" w:space="0" w:color="auto"/>
            </w:tcBorders>
            <w:vAlign w:val="bottom"/>
            <w:hideMark/>
          </w:tcPr>
          <w:p w14:paraId="2EE543D5" w14:textId="77777777" w:rsidR="00A74C68" w:rsidRPr="00510F3F" w:rsidRDefault="00A74C68" w:rsidP="00A74C68">
            <w:pPr>
              <w:jc w:val="center"/>
              <w:rPr>
                <w:color w:val="000000"/>
                <w:sz w:val="18"/>
                <w:szCs w:val="18"/>
                <w:lang w:eastAsia="tr-TR"/>
              </w:rPr>
            </w:pPr>
            <w:r w:rsidRPr="00510F3F">
              <w:rPr>
                <w:b/>
                <w:bCs/>
                <w:sz w:val="14"/>
                <w:szCs w:val="14"/>
              </w:rPr>
              <w:t> </w:t>
            </w:r>
          </w:p>
        </w:tc>
        <w:tc>
          <w:tcPr>
            <w:tcW w:w="902" w:type="pct"/>
            <w:tcBorders>
              <w:top w:val="nil"/>
              <w:left w:val="nil"/>
              <w:bottom w:val="nil"/>
              <w:right w:val="single" w:sz="4" w:space="0" w:color="auto"/>
            </w:tcBorders>
            <w:vAlign w:val="bottom"/>
            <w:hideMark/>
          </w:tcPr>
          <w:p w14:paraId="2C681FD1"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1.872.834</w:t>
            </w:r>
          </w:p>
        </w:tc>
      </w:tr>
      <w:tr w:rsidR="00A74C68" w:rsidRPr="00A74C68" w14:paraId="75E75120" w14:textId="77777777" w:rsidTr="00A74C68">
        <w:trPr>
          <w:divId w:val="1875266624"/>
          <w:trHeight w:val="20"/>
        </w:trPr>
        <w:tc>
          <w:tcPr>
            <w:tcW w:w="380" w:type="pct"/>
            <w:tcBorders>
              <w:top w:val="nil"/>
              <w:left w:val="single" w:sz="4" w:space="0" w:color="auto"/>
              <w:bottom w:val="nil"/>
              <w:right w:val="nil"/>
            </w:tcBorders>
            <w:noWrap/>
            <w:hideMark/>
          </w:tcPr>
          <w:p w14:paraId="6363E798" w14:textId="77777777" w:rsidR="00A74C68" w:rsidRPr="00A74C68" w:rsidRDefault="00A74C68" w:rsidP="00A74C68">
            <w:pPr>
              <w:rPr>
                <w:b/>
                <w:bCs/>
                <w:color w:val="000000"/>
                <w:sz w:val="14"/>
                <w:szCs w:val="14"/>
                <w:lang w:eastAsia="tr-TR"/>
              </w:rPr>
            </w:pPr>
            <w:r w:rsidRPr="00A74C68">
              <w:rPr>
                <w:b/>
                <w:bCs/>
                <w:sz w:val="14"/>
                <w:szCs w:val="14"/>
              </w:rPr>
              <w:t>XII.</w:t>
            </w:r>
          </w:p>
        </w:tc>
        <w:tc>
          <w:tcPr>
            <w:tcW w:w="3230" w:type="pct"/>
            <w:tcBorders>
              <w:top w:val="nil"/>
              <w:left w:val="nil"/>
              <w:bottom w:val="nil"/>
              <w:right w:val="nil"/>
            </w:tcBorders>
            <w:hideMark/>
          </w:tcPr>
          <w:p w14:paraId="0AB8926E" w14:textId="77777777" w:rsidR="00A74C68" w:rsidRPr="00A74C68" w:rsidRDefault="00A74C68" w:rsidP="00A74C68">
            <w:pPr>
              <w:rPr>
                <w:b/>
                <w:bCs/>
                <w:color w:val="000000"/>
                <w:sz w:val="14"/>
                <w:szCs w:val="14"/>
                <w:lang w:eastAsia="tr-TR"/>
              </w:rPr>
            </w:pPr>
            <w:r w:rsidRPr="00A74C68">
              <w:rPr>
                <w:b/>
                <w:bCs/>
                <w:sz w:val="14"/>
                <w:szCs w:val="14"/>
              </w:rPr>
              <w:t>DİĞER FAALİYET</w:t>
            </w:r>
            <w:r w:rsidRPr="00A74C68">
              <w:rPr>
                <w:b/>
                <w:bCs/>
                <w:color w:val="000000"/>
                <w:sz w:val="14"/>
                <w:szCs w:val="14"/>
                <w:lang w:eastAsia="tr-TR"/>
              </w:rPr>
              <w:t xml:space="preserve"> GİDERLERİ (-)</w:t>
            </w:r>
          </w:p>
        </w:tc>
        <w:tc>
          <w:tcPr>
            <w:tcW w:w="488" w:type="pct"/>
            <w:tcBorders>
              <w:top w:val="nil"/>
              <w:left w:val="single" w:sz="4" w:space="0" w:color="auto"/>
              <w:bottom w:val="nil"/>
              <w:right w:val="single" w:sz="4" w:space="0" w:color="auto"/>
            </w:tcBorders>
            <w:vAlign w:val="bottom"/>
            <w:hideMark/>
          </w:tcPr>
          <w:p w14:paraId="65D64220" w14:textId="77777777" w:rsidR="00A74C68" w:rsidRPr="00510F3F" w:rsidRDefault="00A74C68" w:rsidP="00A74C68">
            <w:pPr>
              <w:jc w:val="center"/>
              <w:rPr>
                <w:b/>
                <w:bCs/>
                <w:color w:val="000000"/>
                <w:sz w:val="14"/>
                <w:szCs w:val="14"/>
                <w:lang w:eastAsia="tr-TR"/>
              </w:rPr>
            </w:pPr>
            <w:r w:rsidRPr="00510F3F">
              <w:rPr>
                <w:b/>
                <w:bCs/>
                <w:sz w:val="14"/>
                <w:szCs w:val="14"/>
              </w:rPr>
              <w:t>(8</w:t>
            </w:r>
            <w:r w:rsidRPr="00510F3F">
              <w:rPr>
                <w:b/>
                <w:bCs/>
                <w:color w:val="000000"/>
                <w:sz w:val="14"/>
                <w:szCs w:val="14"/>
                <w:lang w:eastAsia="tr-TR"/>
              </w:rPr>
              <w:t>)</w:t>
            </w:r>
          </w:p>
        </w:tc>
        <w:tc>
          <w:tcPr>
            <w:tcW w:w="902" w:type="pct"/>
            <w:tcBorders>
              <w:top w:val="nil"/>
              <w:left w:val="nil"/>
              <w:bottom w:val="nil"/>
              <w:right w:val="single" w:sz="4" w:space="0" w:color="auto"/>
            </w:tcBorders>
            <w:vAlign w:val="bottom"/>
            <w:hideMark/>
          </w:tcPr>
          <w:p w14:paraId="67B3C05B"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1.078.000</w:t>
            </w:r>
          </w:p>
        </w:tc>
      </w:tr>
      <w:tr w:rsidR="00A74C68" w:rsidRPr="00A74C68" w14:paraId="7B56CEAC" w14:textId="77777777" w:rsidTr="00A74C68">
        <w:trPr>
          <w:divId w:val="1875266624"/>
          <w:trHeight w:val="20"/>
        </w:trPr>
        <w:tc>
          <w:tcPr>
            <w:tcW w:w="380" w:type="pct"/>
            <w:tcBorders>
              <w:top w:val="nil"/>
              <w:left w:val="single" w:sz="4" w:space="0" w:color="auto"/>
              <w:bottom w:val="nil"/>
              <w:right w:val="nil"/>
            </w:tcBorders>
            <w:noWrap/>
            <w:hideMark/>
          </w:tcPr>
          <w:p w14:paraId="4620324F" w14:textId="77777777" w:rsidR="00A74C68" w:rsidRPr="00A74C68" w:rsidRDefault="00A74C68" w:rsidP="00A74C68">
            <w:pPr>
              <w:rPr>
                <w:b/>
                <w:bCs/>
                <w:color w:val="000000"/>
                <w:sz w:val="14"/>
                <w:szCs w:val="14"/>
                <w:lang w:eastAsia="tr-TR"/>
              </w:rPr>
            </w:pPr>
            <w:r w:rsidRPr="00A74C68">
              <w:rPr>
                <w:b/>
                <w:bCs/>
                <w:sz w:val="14"/>
                <w:szCs w:val="14"/>
              </w:rPr>
              <w:t>XIII.</w:t>
            </w:r>
          </w:p>
        </w:tc>
        <w:tc>
          <w:tcPr>
            <w:tcW w:w="3230" w:type="pct"/>
            <w:tcBorders>
              <w:top w:val="nil"/>
              <w:left w:val="nil"/>
              <w:bottom w:val="nil"/>
              <w:right w:val="nil"/>
            </w:tcBorders>
            <w:hideMark/>
          </w:tcPr>
          <w:p w14:paraId="5C36D9F0" w14:textId="77777777" w:rsidR="00A74C68" w:rsidRPr="00A74C68" w:rsidRDefault="00A74C68" w:rsidP="00A74C68">
            <w:pPr>
              <w:rPr>
                <w:b/>
                <w:bCs/>
                <w:color w:val="000000"/>
                <w:sz w:val="14"/>
                <w:szCs w:val="14"/>
                <w:lang w:eastAsia="tr-TR"/>
              </w:rPr>
            </w:pPr>
            <w:r w:rsidRPr="00A74C68">
              <w:rPr>
                <w:b/>
                <w:bCs/>
                <w:sz w:val="14"/>
                <w:szCs w:val="14"/>
              </w:rPr>
              <w:t>NET FAALİYET</w:t>
            </w:r>
            <w:r w:rsidRPr="00A74C68">
              <w:rPr>
                <w:b/>
                <w:bCs/>
                <w:color w:val="000000"/>
                <w:sz w:val="14"/>
                <w:szCs w:val="14"/>
                <w:lang w:eastAsia="tr-TR"/>
              </w:rPr>
              <w:t xml:space="preserve"> KÂRI/ZARARI (VIII-IX-X-XI-XII)</w:t>
            </w:r>
          </w:p>
        </w:tc>
        <w:tc>
          <w:tcPr>
            <w:tcW w:w="488" w:type="pct"/>
            <w:tcBorders>
              <w:top w:val="nil"/>
              <w:left w:val="single" w:sz="4" w:space="0" w:color="auto"/>
              <w:bottom w:val="nil"/>
              <w:right w:val="single" w:sz="4" w:space="0" w:color="auto"/>
            </w:tcBorders>
            <w:vAlign w:val="bottom"/>
            <w:hideMark/>
          </w:tcPr>
          <w:p w14:paraId="3F53B2D7" w14:textId="77777777" w:rsidR="00A74C68" w:rsidRPr="00510F3F" w:rsidRDefault="00A74C68" w:rsidP="00A74C68">
            <w:pPr>
              <w:jc w:val="center"/>
              <w:rPr>
                <w:color w:val="000000"/>
                <w:sz w:val="18"/>
                <w:szCs w:val="18"/>
                <w:lang w:eastAsia="tr-TR"/>
              </w:rPr>
            </w:pPr>
            <w:r w:rsidRPr="00510F3F">
              <w:rPr>
                <w:b/>
                <w:bCs/>
                <w:sz w:val="14"/>
                <w:szCs w:val="14"/>
              </w:rPr>
              <w:t> </w:t>
            </w:r>
          </w:p>
        </w:tc>
        <w:tc>
          <w:tcPr>
            <w:tcW w:w="902" w:type="pct"/>
            <w:tcBorders>
              <w:top w:val="nil"/>
              <w:left w:val="nil"/>
              <w:bottom w:val="nil"/>
              <w:right w:val="single" w:sz="4" w:space="0" w:color="auto"/>
            </w:tcBorders>
            <w:vAlign w:val="bottom"/>
            <w:hideMark/>
          </w:tcPr>
          <w:p w14:paraId="0900B61B"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2.755.183</w:t>
            </w:r>
          </w:p>
        </w:tc>
      </w:tr>
      <w:tr w:rsidR="00A74C68" w:rsidRPr="00A74C68" w14:paraId="254DC709" w14:textId="77777777" w:rsidTr="00A74C68">
        <w:trPr>
          <w:divId w:val="1875266624"/>
          <w:trHeight w:val="20"/>
        </w:trPr>
        <w:tc>
          <w:tcPr>
            <w:tcW w:w="380" w:type="pct"/>
            <w:tcBorders>
              <w:top w:val="nil"/>
              <w:left w:val="single" w:sz="4" w:space="0" w:color="auto"/>
              <w:bottom w:val="nil"/>
              <w:right w:val="nil"/>
            </w:tcBorders>
            <w:noWrap/>
            <w:hideMark/>
          </w:tcPr>
          <w:p w14:paraId="4C438469" w14:textId="77777777" w:rsidR="00A74C68" w:rsidRPr="00A74C68" w:rsidRDefault="00A74C68" w:rsidP="00A74C68">
            <w:pPr>
              <w:rPr>
                <w:b/>
                <w:bCs/>
                <w:color w:val="000000"/>
                <w:sz w:val="14"/>
                <w:szCs w:val="14"/>
                <w:lang w:eastAsia="tr-TR"/>
              </w:rPr>
            </w:pPr>
            <w:r w:rsidRPr="00A74C68">
              <w:rPr>
                <w:b/>
                <w:bCs/>
                <w:sz w:val="14"/>
                <w:szCs w:val="14"/>
              </w:rPr>
              <w:t>XIV.</w:t>
            </w:r>
          </w:p>
        </w:tc>
        <w:tc>
          <w:tcPr>
            <w:tcW w:w="3230" w:type="pct"/>
            <w:tcBorders>
              <w:top w:val="nil"/>
              <w:left w:val="nil"/>
              <w:bottom w:val="nil"/>
              <w:right w:val="nil"/>
            </w:tcBorders>
            <w:hideMark/>
          </w:tcPr>
          <w:p w14:paraId="553B8796" w14:textId="77777777" w:rsidR="00A74C68" w:rsidRPr="00A74C68" w:rsidRDefault="00A74C68" w:rsidP="00A74C68">
            <w:pPr>
              <w:rPr>
                <w:b/>
                <w:bCs/>
                <w:color w:val="000000"/>
                <w:sz w:val="14"/>
                <w:szCs w:val="14"/>
                <w:lang w:eastAsia="tr-TR"/>
              </w:rPr>
            </w:pPr>
            <w:r w:rsidRPr="00A74C68">
              <w:rPr>
                <w:b/>
                <w:bCs/>
                <w:sz w:val="14"/>
                <w:szCs w:val="14"/>
              </w:rPr>
              <w:t>BİRLEŞME İŞLEMİ</w:t>
            </w:r>
            <w:r w:rsidRPr="00A74C68">
              <w:rPr>
                <w:b/>
                <w:bCs/>
                <w:color w:val="000000"/>
                <w:sz w:val="14"/>
                <w:szCs w:val="14"/>
                <w:lang w:eastAsia="tr-TR"/>
              </w:rPr>
              <w:t xml:space="preserve"> SONRASINDA GELİR OLARAK KAYDEDİLEN FAZLALIK TUTARI</w:t>
            </w:r>
          </w:p>
        </w:tc>
        <w:tc>
          <w:tcPr>
            <w:tcW w:w="488" w:type="pct"/>
            <w:tcBorders>
              <w:top w:val="nil"/>
              <w:left w:val="single" w:sz="4" w:space="0" w:color="auto"/>
              <w:bottom w:val="nil"/>
              <w:right w:val="single" w:sz="4" w:space="0" w:color="auto"/>
            </w:tcBorders>
            <w:vAlign w:val="bottom"/>
            <w:hideMark/>
          </w:tcPr>
          <w:p w14:paraId="67CD5E5B" w14:textId="77777777" w:rsidR="00A74C68" w:rsidRPr="00510F3F" w:rsidRDefault="00A74C68" w:rsidP="00A74C68">
            <w:pPr>
              <w:jc w:val="center"/>
              <w:rPr>
                <w:color w:val="000000"/>
                <w:sz w:val="18"/>
                <w:szCs w:val="18"/>
                <w:lang w:eastAsia="tr-TR"/>
              </w:rPr>
            </w:pPr>
            <w:r w:rsidRPr="00510F3F">
              <w:rPr>
                <w:b/>
                <w:bCs/>
                <w:sz w:val="14"/>
                <w:szCs w:val="14"/>
              </w:rPr>
              <w:t> </w:t>
            </w:r>
          </w:p>
        </w:tc>
        <w:tc>
          <w:tcPr>
            <w:tcW w:w="902" w:type="pct"/>
            <w:tcBorders>
              <w:top w:val="nil"/>
              <w:left w:val="nil"/>
              <w:bottom w:val="nil"/>
              <w:right w:val="single" w:sz="4" w:space="0" w:color="auto"/>
            </w:tcBorders>
            <w:vAlign w:val="bottom"/>
            <w:hideMark/>
          </w:tcPr>
          <w:p w14:paraId="4CA9B33B"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35E87261" w14:textId="77777777" w:rsidTr="00A74C68">
        <w:trPr>
          <w:divId w:val="1875266624"/>
          <w:trHeight w:val="20"/>
        </w:trPr>
        <w:tc>
          <w:tcPr>
            <w:tcW w:w="380" w:type="pct"/>
            <w:tcBorders>
              <w:top w:val="nil"/>
              <w:left w:val="single" w:sz="4" w:space="0" w:color="auto"/>
              <w:bottom w:val="nil"/>
              <w:right w:val="nil"/>
            </w:tcBorders>
            <w:noWrap/>
            <w:hideMark/>
          </w:tcPr>
          <w:p w14:paraId="33D96DA0" w14:textId="77777777" w:rsidR="00A74C68" w:rsidRPr="00A74C68" w:rsidRDefault="00A74C68" w:rsidP="00A74C68">
            <w:pPr>
              <w:rPr>
                <w:b/>
                <w:bCs/>
                <w:color w:val="000000"/>
                <w:sz w:val="14"/>
                <w:szCs w:val="14"/>
                <w:lang w:eastAsia="tr-TR"/>
              </w:rPr>
            </w:pPr>
            <w:r w:rsidRPr="00A74C68">
              <w:rPr>
                <w:b/>
                <w:bCs/>
                <w:sz w:val="14"/>
                <w:szCs w:val="14"/>
              </w:rPr>
              <w:t>XV.</w:t>
            </w:r>
          </w:p>
        </w:tc>
        <w:tc>
          <w:tcPr>
            <w:tcW w:w="3230" w:type="pct"/>
            <w:tcBorders>
              <w:top w:val="nil"/>
              <w:left w:val="nil"/>
              <w:bottom w:val="nil"/>
              <w:right w:val="nil"/>
            </w:tcBorders>
            <w:hideMark/>
          </w:tcPr>
          <w:p w14:paraId="374F664C" w14:textId="77777777" w:rsidR="00A74C68" w:rsidRPr="00A74C68" w:rsidRDefault="00A74C68" w:rsidP="00A74C68">
            <w:pPr>
              <w:rPr>
                <w:b/>
                <w:bCs/>
                <w:color w:val="000000"/>
                <w:sz w:val="14"/>
                <w:szCs w:val="14"/>
                <w:lang w:eastAsia="tr-TR"/>
              </w:rPr>
            </w:pPr>
            <w:r w:rsidRPr="00A74C68">
              <w:rPr>
                <w:b/>
                <w:bCs/>
                <w:sz w:val="14"/>
                <w:szCs w:val="14"/>
              </w:rPr>
              <w:t>ÖZKAYNAK YÖNTEMİ</w:t>
            </w:r>
            <w:r w:rsidRPr="00A74C68">
              <w:rPr>
                <w:b/>
                <w:bCs/>
                <w:color w:val="000000"/>
                <w:sz w:val="14"/>
                <w:szCs w:val="14"/>
                <w:lang w:eastAsia="tr-TR"/>
              </w:rPr>
              <w:t xml:space="preserve"> UYGULANAN ORTAKLIKLARDAN KÂR/ZARAR</w:t>
            </w:r>
          </w:p>
        </w:tc>
        <w:tc>
          <w:tcPr>
            <w:tcW w:w="488" w:type="pct"/>
            <w:tcBorders>
              <w:top w:val="nil"/>
              <w:left w:val="single" w:sz="4" w:space="0" w:color="auto"/>
              <w:bottom w:val="nil"/>
              <w:right w:val="single" w:sz="4" w:space="0" w:color="auto"/>
            </w:tcBorders>
            <w:vAlign w:val="bottom"/>
            <w:hideMark/>
          </w:tcPr>
          <w:p w14:paraId="7C143CE9" w14:textId="77777777" w:rsidR="00A74C68" w:rsidRPr="00510F3F" w:rsidRDefault="00A74C68" w:rsidP="00A74C68">
            <w:pPr>
              <w:jc w:val="center"/>
              <w:rPr>
                <w:color w:val="000000"/>
                <w:sz w:val="18"/>
                <w:szCs w:val="18"/>
                <w:lang w:eastAsia="tr-TR"/>
              </w:rPr>
            </w:pPr>
            <w:r w:rsidRPr="00510F3F">
              <w:rPr>
                <w:b/>
                <w:bCs/>
                <w:sz w:val="14"/>
                <w:szCs w:val="14"/>
              </w:rPr>
              <w:t> </w:t>
            </w:r>
          </w:p>
        </w:tc>
        <w:tc>
          <w:tcPr>
            <w:tcW w:w="902" w:type="pct"/>
            <w:tcBorders>
              <w:top w:val="nil"/>
              <w:left w:val="nil"/>
              <w:bottom w:val="nil"/>
              <w:right w:val="single" w:sz="4" w:space="0" w:color="auto"/>
            </w:tcBorders>
            <w:vAlign w:val="bottom"/>
            <w:hideMark/>
          </w:tcPr>
          <w:p w14:paraId="2F71A58A"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w:t>
            </w:r>
          </w:p>
        </w:tc>
      </w:tr>
      <w:tr w:rsidR="00A74C68" w:rsidRPr="00A74C68" w14:paraId="0D81DB3A" w14:textId="77777777" w:rsidTr="00A74C68">
        <w:trPr>
          <w:divId w:val="1875266624"/>
          <w:trHeight w:val="20"/>
        </w:trPr>
        <w:tc>
          <w:tcPr>
            <w:tcW w:w="380" w:type="pct"/>
            <w:tcBorders>
              <w:top w:val="nil"/>
              <w:left w:val="single" w:sz="4" w:space="0" w:color="auto"/>
              <w:bottom w:val="nil"/>
              <w:right w:val="nil"/>
            </w:tcBorders>
            <w:noWrap/>
            <w:hideMark/>
          </w:tcPr>
          <w:p w14:paraId="3178C583" w14:textId="77777777" w:rsidR="00A74C68" w:rsidRPr="00A74C68" w:rsidRDefault="00A74C68" w:rsidP="00A74C68">
            <w:pPr>
              <w:rPr>
                <w:b/>
                <w:bCs/>
                <w:color w:val="000000"/>
                <w:sz w:val="14"/>
                <w:szCs w:val="14"/>
                <w:lang w:eastAsia="tr-TR"/>
              </w:rPr>
            </w:pPr>
            <w:r w:rsidRPr="00A74C68">
              <w:rPr>
                <w:b/>
                <w:bCs/>
                <w:sz w:val="14"/>
                <w:szCs w:val="14"/>
              </w:rPr>
              <w:t>XVI.</w:t>
            </w:r>
          </w:p>
        </w:tc>
        <w:tc>
          <w:tcPr>
            <w:tcW w:w="3230" w:type="pct"/>
            <w:tcBorders>
              <w:top w:val="nil"/>
              <w:left w:val="nil"/>
              <w:bottom w:val="nil"/>
              <w:right w:val="nil"/>
            </w:tcBorders>
            <w:hideMark/>
          </w:tcPr>
          <w:p w14:paraId="013DF701" w14:textId="77777777" w:rsidR="00A74C68" w:rsidRPr="00A74C68" w:rsidRDefault="00A74C68" w:rsidP="00A74C68">
            <w:pPr>
              <w:rPr>
                <w:b/>
                <w:bCs/>
                <w:color w:val="000000"/>
                <w:sz w:val="14"/>
                <w:szCs w:val="14"/>
                <w:lang w:eastAsia="tr-TR"/>
              </w:rPr>
            </w:pPr>
            <w:r w:rsidRPr="00A74C68">
              <w:rPr>
                <w:b/>
                <w:bCs/>
                <w:sz w:val="14"/>
                <w:szCs w:val="14"/>
              </w:rPr>
              <w:t>NET PARASAL</w:t>
            </w:r>
            <w:r w:rsidRPr="00A74C68">
              <w:rPr>
                <w:b/>
                <w:bCs/>
                <w:color w:val="000000"/>
                <w:sz w:val="14"/>
                <w:szCs w:val="14"/>
                <w:lang w:eastAsia="tr-TR"/>
              </w:rPr>
              <w:t xml:space="preserve"> POZİSYON KÂRI/ZARARI</w:t>
            </w:r>
          </w:p>
        </w:tc>
        <w:tc>
          <w:tcPr>
            <w:tcW w:w="488" w:type="pct"/>
            <w:tcBorders>
              <w:top w:val="nil"/>
              <w:left w:val="single" w:sz="4" w:space="0" w:color="auto"/>
              <w:bottom w:val="nil"/>
              <w:right w:val="single" w:sz="4" w:space="0" w:color="auto"/>
            </w:tcBorders>
            <w:vAlign w:val="bottom"/>
            <w:hideMark/>
          </w:tcPr>
          <w:p w14:paraId="41398E9F" w14:textId="77777777" w:rsidR="00A74C68" w:rsidRPr="00510F3F" w:rsidRDefault="00A74C68" w:rsidP="00A74C68">
            <w:pPr>
              <w:jc w:val="center"/>
              <w:rPr>
                <w:color w:val="000000"/>
                <w:sz w:val="18"/>
                <w:szCs w:val="18"/>
                <w:lang w:eastAsia="tr-TR"/>
              </w:rPr>
            </w:pPr>
            <w:r w:rsidRPr="00510F3F">
              <w:rPr>
                <w:b/>
                <w:bCs/>
                <w:sz w:val="14"/>
                <w:szCs w:val="14"/>
              </w:rPr>
              <w:t> </w:t>
            </w:r>
          </w:p>
        </w:tc>
        <w:tc>
          <w:tcPr>
            <w:tcW w:w="902" w:type="pct"/>
            <w:tcBorders>
              <w:top w:val="nil"/>
              <w:left w:val="nil"/>
              <w:bottom w:val="nil"/>
              <w:right w:val="single" w:sz="4" w:space="0" w:color="auto"/>
            </w:tcBorders>
            <w:vAlign w:val="bottom"/>
            <w:hideMark/>
          </w:tcPr>
          <w:p w14:paraId="58213883"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4220A81C" w14:textId="77777777" w:rsidTr="00A74C68">
        <w:trPr>
          <w:divId w:val="1875266624"/>
          <w:trHeight w:val="20"/>
        </w:trPr>
        <w:tc>
          <w:tcPr>
            <w:tcW w:w="380" w:type="pct"/>
            <w:tcBorders>
              <w:top w:val="nil"/>
              <w:left w:val="single" w:sz="4" w:space="0" w:color="auto"/>
              <w:bottom w:val="nil"/>
              <w:right w:val="nil"/>
            </w:tcBorders>
            <w:noWrap/>
            <w:hideMark/>
          </w:tcPr>
          <w:p w14:paraId="49C3E72F" w14:textId="77777777" w:rsidR="00A74C68" w:rsidRPr="00A74C68" w:rsidRDefault="00A74C68" w:rsidP="00A74C68">
            <w:pPr>
              <w:rPr>
                <w:b/>
                <w:bCs/>
                <w:color w:val="000000"/>
                <w:sz w:val="14"/>
                <w:szCs w:val="14"/>
                <w:lang w:eastAsia="tr-TR"/>
              </w:rPr>
            </w:pPr>
            <w:r w:rsidRPr="00A74C68">
              <w:rPr>
                <w:b/>
                <w:bCs/>
                <w:sz w:val="14"/>
                <w:szCs w:val="14"/>
              </w:rPr>
              <w:t>XVII.</w:t>
            </w:r>
          </w:p>
        </w:tc>
        <w:tc>
          <w:tcPr>
            <w:tcW w:w="3230" w:type="pct"/>
            <w:tcBorders>
              <w:top w:val="nil"/>
              <w:left w:val="nil"/>
              <w:bottom w:val="nil"/>
              <w:right w:val="nil"/>
            </w:tcBorders>
            <w:hideMark/>
          </w:tcPr>
          <w:p w14:paraId="7B88C8DE" w14:textId="77777777" w:rsidR="00A74C68" w:rsidRPr="00A74C68" w:rsidRDefault="00A74C68" w:rsidP="00A74C68">
            <w:pPr>
              <w:rPr>
                <w:b/>
                <w:bCs/>
                <w:color w:val="000000"/>
                <w:sz w:val="14"/>
                <w:szCs w:val="14"/>
                <w:lang w:eastAsia="tr-TR"/>
              </w:rPr>
            </w:pPr>
            <w:r w:rsidRPr="00A74C68">
              <w:rPr>
                <w:b/>
                <w:bCs/>
                <w:sz w:val="14"/>
                <w:szCs w:val="14"/>
              </w:rPr>
              <w:t>SÜRDÜRÜLEN FAALİYETLER</w:t>
            </w:r>
            <w:r w:rsidRPr="00A74C68">
              <w:rPr>
                <w:b/>
                <w:bCs/>
                <w:color w:val="000000"/>
                <w:sz w:val="14"/>
                <w:szCs w:val="14"/>
                <w:lang w:eastAsia="tr-TR"/>
              </w:rPr>
              <w:t xml:space="preserve"> VERGİ ÖNCESİ K/Z (XIII+...+XVI)</w:t>
            </w:r>
          </w:p>
        </w:tc>
        <w:tc>
          <w:tcPr>
            <w:tcW w:w="488" w:type="pct"/>
            <w:tcBorders>
              <w:top w:val="nil"/>
              <w:left w:val="single" w:sz="4" w:space="0" w:color="auto"/>
              <w:bottom w:val="nil"/>
              <w:right w:val="single" w:sz="4" w:space="0" w:color="auto"/>
            </w:tcBorders>
            <w:vAlign w:val="bottom"/>
            <w:hideMark/>
          </w:tcPr>
          <w:p w14:paraId="498EE1D6" w14:textId="04731514" w:rsidR="00A74C68" w:rsidRPr="00510F3F" w:rsidRDefault="00A74C68" w:rsidP="00A74C68">
            <w:pPr>
              <w:jc w:val="center"/>
              <w:rPr>
                <w:color w:val="000000"/>
                <w:sz w:val="18"/>
                <w:szCs w:val="18"/>
                <w:lang w:eastAsia="tr-TR"/>
              </w:rPr>
            </w:pPr>
            <w:r w:rsidRPr="00510F3F">
              <w:rPr>
                <w:b/>
                <w:bCs/>
                <w:sz w:val="14"/>
                <w:szCs w:val="14"/>
              </w:rPr>
              <w:t> </w:t>
            </w:r>
            <w:r w:rsidR="007A65ED" w:rsidRPr="007A65ED">
              <w:rPr>
                <w:b/>
                <w:bCs/>
                <w:sz w:val="14"/>
                <w:szCs w:val="14"/>
              </w:rPr>
              <w:t>(10</w:t>
            </w:r>
            <w:r w:rsidR="007A65ED" w:rsidRPr="007A65ED">
              <w:rPr>
                <w:b/>
                <w:bCs/>
                <w:color w:val="000000"/>
                <w:sz w:val="14"/>
                <w:szCs w:val="14"/>
                <w:lang w:eastAsia="tr-TR"/>
              </w:rPr>
              <w:t>)</w:t>
            </w:r>
          </w:p>
        </w:tc>
        <w:tc>
          <w:tcPr>
            <w:tcW w:w="902" w:type="pct"/>
            <w:tcBorders>
              <w:top w:val="nil"/>
              <w:left w:val="nil"/>
              <w:bottom w:val="nil"/>
              <w:right w:val="single" w:sz="4" w:space="0" w:color="auto"/>
            </w:tcBorders>
            <w:vAlign w:val="bottom"/>
            <w:hideMark/>
          </w:tcPr>
          <w:p w14:paraId="097AABE2"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2.755.183</w:t>
            </w:r>
          </w:p>
        </w:tc>
      </w:tr>
      <w:tr w:rsidR="00A74C68" w:rsidRPr="007A65ED" w14:paraId="3AC09598" w14:textId="77777777" w:rsidTr="00A74C68">
        <w:trPr>
          <w:divId w:val="1875266624"/>
          <w:trHeight w:val="20"/>
        </w:trPr>
        <w:tc>
          <w:tcPr>
            <w:tcW w:w="380" w:type="pct"/>
            <w:tcBorders>
              <w:top w:val="nil"/>
              <w:left w:val="single" w:sz="4" w:space="0" w:color="auto"/>
              <w:bottom w:val="nil"/>
              <w:right w:val="nil"/>
            </w:tcBorders>
            <w:noWrap/>
            <w:hideMark/>
          </w:tcPr>
          <w:p w14:paraId="79DE1E0C" w14:textId="77777777" w:rsidR="00A74C68" w:rsidRPr="007A65ED" w:rsidRDefault="00A74C68" w:rsidP="00A74C68">
            <w:pPr>
              <w:rPr>
                <w:b/>
                <w:bCs/>
                <w:color w:val="000000"/>
                <w:sz w:val="14"/>
                <w:szCs w:val="14"/>
                <w:lang w:eastAsia="tr-TR"/>
              </w:rPr>
            </w:pPr>
            <w:r w:rsidRPr="007A65ED">
              <w:rPr>
                <w:b/>
                <w:bCs/>
                <w:sz w:val="14"/>
                <w:szCs w:val="14"/>
              </w:rPr>
              <w:t>XVIII.</w:t>
            </w:r>
            <w:r w:rsidRPr="007A65ED">
              <w:rPr>
                <w:b/>
                <w:bCs/>
                <w:color w:val="000000"/>
                <w:sz w:val="14"/>
                <w:szCs w:val="14"/>
                <w:lang w:eastAsia="tr-TR"/>
              </w:rPr>
              <w:t xml:space="preserve"> </w:t>
            </w:r>
          </w:p>
        </w:tc>
        <w:tc>
          <w:tcPr>
            <w:tcW w:w="3230" w:type="pct"/>
            <w:tcBorders>
              <w:top w:val="nil"/>
              <w:left w:val="nil"/>
              <w:bottom w:val="nil"/>
              <w:right w:val="nil"/>
            </w:tcBorders>
            <w:hideMark/>
          </w:tcPr>
          <w:p w14:paraId="5933B76E" w14:textId="77777777" w:rsidR="00A74C68" w:rsidRPr="007A65ED" w:rsidRDefault="00A74C68" w:rsidP="00A74C68">
            <w:pPr>
              <w:rPr>
                <w:b/>
                <w:bCs/>
                <w:color w:val="000000"/>
                <w:sz w:val="14"/>
                <w:szCs w:val="14"/>
                <w:lang w:eastAsia="tr-TR"/>
              </w:rPr>
            </w:pPr>
            <w:r w:rsidRPr="007A65ED">
              <w:rPr>
                <w:b/>
                <w:bCs/>
                <w:sz w:val="14"/>
                <w:szCs w:val="14"/>
              </w:rPr>
              <w:t xml:space="preserve">SÜRDÜRÜLEN FAALİYETLER </w:t>
            </w:r>
            <w:r w:rsidRPr="007A65ED">
              <w:rPr>
                <w:b/>
                <w:bCs/>
                <w:color w:val="000000"/>
                <w:sz w:val="14"/>
                <w:szCs w:val="14"/>
                <w:lang w:eastAsia="tr-TR"/>
              </w:rPr>
              <w:t>VERGİ KARŞILIĞI (±)</w:t>
            </w:r>
          </w:p>
        </w:tc>
        <w:tc>
          <w:tcPr>
            <w:tcW w:w="488" w:type="pct"/>
            <w:tcBorders>
              <w:top w:val="nil"/>
              <w:left w:val="single" w:sz="4" w:space="0" w:color="auto"/>
              <w:bottom w:val="nil"/>
              <w:right w:val="single" w:sz="4" w:space="0" w:color="auto"/>
            </w:tcBorders>
            <w:vAlign w:val="bottom"/>
            <w:hideMark/>
          </w:tcPr>
          <w:p w14:paraId="3010E794" w14:textId="6DF89F44" w:rsidR="00A74C68" w:rsidRPr="007A65ED" w:rsidRDefault="00A74C68" w:rsidP="00A74C68">
            <w:pPr>
              <w:jc w:val="center"/>
              <w:rPr>
                <w:b/>
                <w:bCs/>
                <w:color w:val="000000"/>
                <w:sz w:val="14"/>
                <w:szCs w:val="14"/>
                <w:lang w:eastAsia="tr-TR"/>
              </w:rPr>
            </w:pPr>
            <w:r w:rsidRPr="007A65ED">
              <w:rPr>
                <w:b/>
                <w:bCs/>
                <w:sz w:val="14"/>
                <w:szCs w:val="14"/>
              </w:rPr>
              <w:t>(1</w:t>
            </w:r>
            <w:r w:rsidR="007A65ED">
              <w:rPr>
                <w:b/>
                <w:bCs/>
                <w:sz w:val="14"/>
                <w:szCs w:val="14"/>
              </w:rPr>
              <w:t>1</w:t>
            </w:r>
            <w:r w:rsidRPr="007A65ED">
              <w:rPr>
                <w:b/>
                <w:bCs/>
                <w:color w:val="000000"/>
                <w:sz w:val="14"/>
                <w:szCs w:val="14"/>
                <w:lang w:eastAsia="tr-TR"/>
              </w:rPr>
              <w:t>)</w:t>
            </w:r>
          </w:p>
        </w:tc>
        <w:tc>
          <w:tcPr>
            <w:tcW w:w="902" w:type="pct"/>
            <w:tcBorders>
              <w:top w:val="nil"/>
              <w:left w:val="nil"/>
              <w:bottom w:val="nil"/>
              <w:right w:val="single" w:sz="4" w:space="0" w:color="auto"/>
            </w:tcBorders>
            <w:vAlign w:val="bottom"/>
            <w:hideMark/>
          </w:tcPr>
          <w:p w14:paraId="1390F2D5" w14:textId="77777777" w:rsidR="00A74C68" w:rsidRPr="007A65ED" w:rsidRDefault="00A74C68" w:rsidP="00A74C68">
            <w:pPr>
              <w:jc w:val="right"/>
              <w:rPr>
                <w:b/>
                <w:bCs/>
                <w:color w:val="000000"/>
                <w:sz w:val="14"/>
                <w:szCs w:val="14"/>
                <w:lang w:eastAsia="tr-TR"/>
              </w:rPr>
            </w:pPr>
            <w:r w:rsidRPr="007A65ED">
              <w:rPr>
                <w:b/>
                <w:bCs/>
                <w:color w:val="000000"/>
                <w:sz w:val="14"/>
                <w:szCs w:val="14"/>
                <w:lang w:eastAsia="tr-TR"/>
              </w:rPr>
              <w:t>697.972</w:t>
            </w:r>
          </w:p>
        </w:tc>
      </w:tr>
      <w:tr w:rsidR="00A74C68" w:rsidRPr="00A74C68" w14:paraId="59DDE9D8" w14:textId="77777777" w:rsidTr="00A74C68">
        <w:trPr>
          <w:divId w:val="1875266624"/>
          <w:trHeight w:val="20"/>
        </w:trPr>
        <w:tc>
          <w:tcPr>
            <w:tcW w:w="380" w:type="pct"/>
            <w:tcBorders>
              <w:top w:val="nil"/>
              <w:left w:val="single" w:sz="4" w:space="0" w:color="auto"/>
              <w:bottom w:val="nil"/>
              <w:right w:val="nil"/>
            </w:tcBorders>
            <w:noWrap/>
            <w:hideMark/>
          </w:tcPr>
          <w:p w14:paraId="0937B540" w14:textId="77777777" w:rsidR="00A74C68" w:rsidRPr="00A74C68" w:rsidRDefault="00A74C68" w:rsidP="00A74C68">
            <w:pPr>
              <w:rPr>
                <w:sz w:val="14"/>
                <w:szCs w:val="14"/>
              </w:rPr>
            </w:pPr>
            <w:r w:rsidRPr="00A74C68">
              <w:rPr>
                <w:sz w:val="14"/>
                <w:szCs w:val="14"/>
              </w:rPr>
              <w:t>18.1</w:t>
            </w:r>
          </w:p>
        </w:tc>
        <w:tc>
          <w:tcPr>
            <w:tcW w:w="3230" w:type="pct"/>
            <w:tcBorders>
              <w:top w:val="nil"/>
              <w:left w:val="nil"/>
              <w:bottom w:val="nil"/>
              <w:right w:val="nil"/>
            </w:tcBorders>
            <w:hideMark/>
          </w:tcPr>
          <w:p w14:paraId="3931013D" w14:textId="77777777" w:rsidR="00A74C68" w:rsidRPr="00A74C68" w:rsidRDefault="00A74C68" w:rsidP="00A74C68">
            <w:pPr>
              <w:rPr>
                <w:color w:val="000000"/>
                <w:sz w:val="14"/>
                <w:szCs w:val="14"/>
                <w:lang w:eastAsia="tr-TR"/>
              </w:rPr>
            </w:pPr>
            <w:r w:rsidRPr="00A74C68">
              <w:rPr>
                <w:sz w:val="14"/>
                <w:szCs w:val="14"/>
              </w:rPr>
              <w:t xml:space="preserve">Cari </w:t>
            </w:r>
            <w:r w:rsidRPr="00A74C68">
              <w:rPr>
                <w:color w:val="000000"/>
                <w:sz w:val="14"/>
                <w:szCs w:val="14"/>
                <w:lang w:eastAsia="tr-TR"/>
              </w:rPr>
              <w:t>Vergi Karşılığı</w:t>
            </w:r>
          </w:p>
        </w:tc>
        <w:tc>
          <w:tcPr>
            <w:tcW w:w="488" w:type="pct"/>
            <w:tcBorders>
              <w:top w:val="nil"/>
              <w:left w:val="single" w:sz="4" w:space="0" w:color="auto"/>
              <w:bottom w:val="nil"/>
              <w:right w:val="single" w:sz="4" w:space="0" w:color="auto"/>
            </w:tcBorders>
            <w:vAlign w:val="bottom"/>
            <w:hideMark/>
          </w:tcPr>
          <w:p w14:paraId="28094259"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bottom w:val="nil"/>
              <w:right w:val="single" w:sz="4" w:space="0" w:color="auto"/>
            </w:tcBorders>
            <w:vAlign w:val="bottom"/>
            <w:hideMark/>
          </w:tcPr>
          <w:p w14:paraId="06432B39" w14:textId="77777777" w:rsidR="00A74C68" w:rsidRPr="00A74C68" w:rsidRDefault="00A74C68" w:rsidP="00A74C68">
            <w:pPr>
              <w:jc w:val="right"/>
              <w:rPr>
                <w:color w:val="000000"/>
                <w:sz w:val="14"/>
                <w:szCs w:val="14"/>
                <w:lang w:eastAsia="tr-TR"/>
              </w:rPr>
            </w:pPr>
            <w:r w:rsidRPr="00A74C68">
              <w:rPr>
                <w:color w:val="000000"/>
                <w:sz w:val="14"/>
                <w:szCs w:val="14"/>
                <w:lang w:eastAsia="tr-TR"/>
              </w:rPr>
              <w:t>572.085</w:t>
            </w:r>
          </w:p>
        </w:tc>
      </w:tr>
      <w:tr w:rsidR="00A74C68" w:rsidRPr="00A74C68" w14:paraId="0EA74894" w14:textId="77777777" w:rsidTr="00A74C68">
        <w:trPr>
          <w:divId w:val="1875266624"/>
          <w:trHeight w:val="20"/>
        </w:trPr>
        <w:tc>
          <w:tcPr>
            <w:tcW w:w="380" w:type="pct"/>
            <w:tcBorders>
              <w:top w:val="nil"/>
              <w:left w:val="single" w:sz="4" w:space="0" w:color="auto"/>
              <w:bottom w:val="nil"/>
              <w:right w:val="nil"/>
            </w:tcBorders>
            <w:noWrap/>
            <w:hideMark/>
          </w:tcPr>
          <w:p w14:paraId="3160EFE4" w14:textId="77777777" w:rsidR="00A74C68" w:rsidRPr="00A74C68" w:rsidRDefault="00A74C68" w:rsidP="00A74C68">
            <w:pPr>
              <w:rPr>
                <w:sz w:val="14"/>
                <w:szCs w:val="14"/>
              </w:rPr>
            </w:pPr>
            <w:r w:rsidRPr="00A74C68">
              <w:rPr>
                <w:sz w:val="14"/>
                <w:szCs w:val="14"/>
              </w:rPr>
              <w:t>18.2</w:t>
            </w:r>
          </w:p>
        </w:tc>
        <w:tc>
          <w:tcPr>
            <w:tcW w:w="3230" w:type="pct"/>
            <w:tcBorders>
              <w:top w:val="nil"/>
              <w:left w:val="nil"/>
              <w:bottom w:val="nil"/>
              <w:right w:val="nil"/>
            </w:tcBorders>
            <w:hideMark/>
          </w:tcPr>
          <w:p w14:paraId="6EDFD14C" w14:textId="77777777" w:rsidR="00A74C68" w:rsidRPr="00A74C68" w:rsidRDefault="00A74C68" w:rsidP="00A74C68">
            <w:pPr>
              <w:rPr>
                <w:color w:val="000000"/>
                <w:sz w:val="14"/>
                <w:szCs w:val="14"/>
                <w:lang w:eastAsia="tr-TR"/>
              </w:rPr>
            </w:pPr>
            <w:r w:rsidRPr="00A74C68">
              <w:rPr>
                <w:sz w:val="14"/>
                <w:szCs w:val="14"/>
              </w:rPr>
              <w:t xml:space="preserve">Ertelenmiş </w:t>
            </w:r>
            <w:r w:rsidRPr="00A74C68">
              <w:rPr>
                <w:color w:val="000000"/>
                <w:sz w:val="14"/>
                <w:szCs w:val="14"/>
                <w:lang w:eastAsia="tr-TR"/>
              </w:rPr>
              <w:t>Vergi Gider Etkisi (+)</w:t>
            </w:r>
          </w:p>
        </w:tc>
        <w:tc>
          <w:tcPr>
            <w:tcW w:w="488" w:type="pct"/>
            <w:tcBorders>
              <w:top w:val="nil"/>
              <w:left w:val="single" w:sz="4" w:space="0" w:color="auto"/>
              <w:bottom w:val="nil"/>
              <w:right w:val="single" w:sz="4" w:space="0" w:color="auto"/>
            </w:tcBorders>
            <w:vAlign w:val="bottom"/>
            <w:hideMark/>
          </w:tcPr>
          <w:p w14:paraId="1B6D37CA"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bottom w:val="nil"/>
              <w:right w:val="single" w:sz="4" w:space="0" w:color="auto"/>
            </w:tcBorders>
            <w:vAlign w:val="bottom"/>
            <w:hideMark/>
          </w:tcPr>
          <w:p w14:paraId="4801F881" w14:textId="77777777" w:rsidR="00A74C68" w:rsidRPr="00A74C68" w:rsidRDefault="00A74C68" w:rsidP="00A74C68">
            <w:pPr>
              <w:jc w:val="right"/>
              <w:rPr>
                <w:color w:val="000000"/>
                <w:sz w:val="14"/>
                <w:szCs w:val="14"/>
                <w:lang w:eastAsia="tr-TR"/>
              </w:rPr>
            </w:pPr>
            <w:r w:rsidRPr="00A74C68">
              <w:rPr>
                <w:color w:val="000000"/>
                <w:sz w:val="14"/>
                <w:szCs w:val="14"/>
                <w:lang w:eastAsia="tr-TR"/>
              </w:rPr>
              <w:t>766.326</w:t>
            </w:r>
          </w:p>
        </w:tc>
      </w:tr>
      <w:tr w:rsidR="00A74C68" w:rsidRPr="00A74C68" w14:paraId="1A79224F" w14:textId="77777777" w:rsidTr="00A74C68">
        <w:trPr>
          <w:divId w:val="1875266624"/>
          <w:trHeight w:val="20"/>
        </w:trPr>
        <w:tc>
          <w:tcPr>
            <w:tcW w:w="380" w:type="pct"/>
            <w:tcBorders>
              <w:top w:val="nil"/>
              <w:left w:val="single" w:sz="4" w:space="0" w:color="auto"/>
              <w:bottom w:val="nil"/>
              <w:right w:val="nil"/>
            </w:tcBorders>
            <w:noWrap/>
            <w:hideMark/>
          </w:tcPr>
          <w:p w14:paraId="429815D4" w14:textId="77777777" w:rsidR="00A74C68" w:rsidRPr="00A74C68" w:rsidRDefault="00A74C68" w:rsidP="00A74C68">
            <w:pPr>
              <w:rPr>
                <w:b/>
                <w:bCs/>
                <w:sz w:val="14"/>
                <w:szCs w:val="14"/>
              </w:rPr>
            </w:pPr>
            <w:r w:rsidRPr="00A74C68">
              <w:rPr>
                <w:b/>
                <w:bCs/>
                <w:sz w:val="14"/>
                <w:szCs w:val="14"/>
              </w:rPr>
              <w:t>18.3</w:t>
            </w:r>
          </w:p>
        </w:tc>
        <w:tc>
          <w:tcPr>
            <w:tcW w:w="3230" w:type="pct"/>
            <w:tcBorders>
              <w:top w:val="nil"/>
              <w:left w:val="nil"/>
              <w:bottom w:val="nil"/>
              <w:right w:val="nil"/>
            </w:tcBorders>
            <w:hideMark/>
          </w:tcPr>
          <w:p w14:paraId="5F8A4B78" w14:textId="77777777" w:rsidR="00A74C68" w:rsidRPr="00A74C68" w:rsidRDefault="00A74C68" w:rsidP="00A74C68">
            <w:pPr>
              <w:rPr>
                <w:color w:val="000000"/>
                <w:sz w:val="14"/>
                <w:szCs w:val="14"/>
                <w:lang w:eastAsia="tr-TR"/>
              </w:rPr>
            </w:pPr>
            <w:r w:rsidRPr="00A74C68">
              <w:rPr>
                <w:b/>
                <w:bCs/>
                <w:sz w:val="14"/>
                <w:szCs w:val="14"/>
              </w:rPr>
              <w:t xml:space="preserve">Ertelenmiş </w:t>
            </w:r>
            <w:r w:rsidRPr="00A74C68">
              <w:rPr>
                <w:color w:val="000000"/>
                <w:sz w:val="14"/>
                <w:szCs w:val="14"/>
                <w:lang w:eastAsia="tr-TR"/>
              </w:rPr>
              <w:t>Vergi Gelir Etkisi (-)</w:t>
            </w:r>
          </w:p>
        </w:tc>
        <w:tc>
          <w:tcPr>
            <w:tcW w:w="488" w:type="pct"/>
            <w:tcBorders>
              <w:top w:val="nil"/>
              <w:left w:val="single" w:sz="4" w:space="0" w:color="auto"/>
              <w:bottom w:val="nil"/>
              <w:right w:val="single" w:sz="4" w:space="0" w:color="auto"/>
            </w:tcBorders>
            <w:vAlign w:val="bottom"/>
            <w:hideMark/>
          </w:tcPr>
          <w:p w14:paraId="577E122F"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bottom w:val="nil"/>
              <w:right w:val="single" w:sz="4" w:space="0" w:color="auto"/>
            </w:tcBorders>
            <w:vAlign w:val="bottom"/>
            <w:hideMark/>
          </w:tcPr>
          <w:p w14:paraId="1A8C7BE1" w14:textId="77777777" w:rsidR="00A74C68" w:rsidRPr="00A74C68" w:rsidRDefault="00A74C68" w:rsidP="00A74C68">
            <w:pPr>
              <w:jc w:val="right"/>
              <w:rPr>
                <w:color w:val="000000"/>
                <w:sz w:val="14"/>
                <w:szCs w:val="14"/>
                <w:lang w:eastAsia="tr-TR"/>
              </w:rPr>
            </w:pPr>
            <w:r w:rsidRPr="00A74C68">
              <w:rPr>
                <w:color w:val="000000"/>
                <w:sz w:val="14"/>
                <w:szCs w:val="14"/>
                <w:lang w:eastAsia="tr-TR"/>
              </w:rPr>
              <w:t>640.439</w:t>
            </w:r>
          </w:p>
        </w:tc>
      </w:tr>
      <w:tr w:rsidR="00A74C68" w:rsidRPr="00A74C68" w14:paraId="223FD7D2" w14:textId="77777777" w:rsidTr="00A74C68">
        <w:trPr>
          <w:divId w:val="1875266624"/>
          <w:trHeight w:val="20"/>
        </w:trPr>
        <w:tc>
          <w:tcPr>
            <w:tcW w:w="380" w:type="pct"/>
            <w:tcBorders>
              <w:top w:val="nil"/>
              <w:left w:val="single" w:sz="4" w:space="0" w:color="auto"/>
              <w:bottom w:val="nil"/>
              <w:right w:val="nil"/>
            </w:tcBorders>
            <w:noWrap/>
            <w:hideMark/>
          </w:tcPr>
          <w:p w14:paraId="3425F3B0" w14:textId="77777777" w:rsidR="00A74C68" w:rsidRPr="00A74C68" w:rsidRDefault="00A74C68" w:rsidP="00A74C68">
            <w:pPr>
              <w:rPr>
                <w:b/>
                <w:bCs/>
                <w:color w:val="000000"/>
                <w:sz w:val="14"/>
                <w:szCs w:val="14"/>
                <w:lang w:eastAsia="tr-TR"/>
              </w:rPr>
            </w:pPr>
            <w:r w:rsidRPr="00A74C68">
              <w:rPr>
                <w:b/>
                <w:bCs/>
                <w:sz w:val="14"/>
                <w:szCs w:val="14"/>
              </w:rPr>
              <w:t>XIX.</w:t>
            </w:r>
          </w:p>
        </w:tc>
        <w:tc>
          <w:tcPr>
            <w:tcW w:w="3230" w:type="pct"/>
            <w:tcBorders>
              <w:top w:val="nil"/>
              <w:left w:val="nil"/>
              <w:bottom w:val="nil"/>
              <w:right w:val="nil"/>
            </w:tcBorders>
            <w:hideMark/>
          </w:tcPr>
          <w:p w14:paraId="2F026940" w14:textId="77777777" w:rsidR="00A74C68" w:rsidRPr="00A74C68" w:rsidRDefault="00A74C68" w:rsidP="00A74C68">
            <w:pPr>
              <w:rPr>
                <w:b/>
                <w:bCs/>
                <w:color w:val="000000"/>
                <w:sz w:val="14"/>
                <w:szCs w:val="14"/>
                <w:lang w:eastAsia="tr-TR"/>
              </w:rPr>
            </w:pPr>
            <w:r w:rsidRPr="00A74C68">
              <w:rPr>
                <w:b/>
                <w:bCs/>
                <w:sz w:val="14"/>
                <w:szCs w:val="14"/>
              </w:rPr>
              <w:t>SÜRDÜRÜLEN FAALİYETLER</w:t>
            </w:r>
            <w:r w:rsidRPr="00A74C68">
              <w:rPr>
                <w:b/>
                <w:bCs/>
                <w:color w:val="000000"/>
                <w:sz w:val="14"/>
                <w:szCs w:val="14"/>
                <w:lang w:eastAsia="tr-TR"/>
              </w:rPr>
              <w:t xml:space="preserve"> DÖNEM NET K/Z (XVII±XVIII)</w:t>
            </w:r>
          </w:p>
        </w:tc>
        <w:tc>
          <w:tcPr>
            <w:tcW w:w="488" w:type="pct"/>
            <w:tcBorders>
              <w:top w:val="nil"/>
              <w:left w:val="single" w:sz="4" w:space="0" w:color="auto"/>
              <w:bottom w:val="nil"/>
              <w:right w:val="single" w:sz="4" w:space="0" w:color="auto"/>
            </w:tcBorders>
            <w:vAlign w:val="bottom"/>
            <w:hideMark/>
          </w:tcPr>
          <w:p w14:paraId="0A8C8C94"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bottom w:val="nil"/>
              <w:right w:val="single" w:sz="4" w:space="0" w:color="auto"/>
            </w:tcBorders>
            <w:vAlign w:val="bottom"/>
            <w:hideMark/>
          </w:tcPr>
          <w:p w14:paraId="4CF9B274"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2.057.211</w:t>
            </w:r>
          </w:p>
        </w:tc>
      </w:tr>
      <w:tr w:rsidR="00A74C68" w:rsidRPr="00A74C68" w14:paraId="1785ACEF" w14:textId="77777777" w:rsidTr="00A74C68">
        <w:trPr>
          <w:divId w:val="1875266624"/>
          <w:trHeight w:val="20"/>
        </w:trPr>
        <w:tc>
          <w:tcPr>
            <w:tcW w:w="380" w:type="pct"/>
            <w:tcBorders>
              <w:top w:val="nil"/>
              <w:left w:val="single" w:sz="4" w:space="0" w:color="auto"/>
              <w:bottom w:val="nil"/>
              <w:right w:val="nil"/>
            </w:tcBorders>
            <w:noWrap/>
            <w:hideMark/>
          </w:tcPr>
          <w:p w14:paraId="0647584D" w14:textId="77777777" w:rsidR="00A74C68" w:rsidRPr="00A74C68" w:rsidRDefault="00A74C68" w:rsidP="00A74C68">
            <w:pPr>
              <w:rPr>
                <w:b/>
                <w:bCs/>
                <w:color w:val="000000"/>
                <w:sz w:val="14"/>
                <w:szCs w:val="14"/>
                <w:lang w:eastAsia="tr-TR"/>
              </w:rPr>
            </w:pPr>
            <w:r w:rsidRPr="00A74C68">
              <w:rPr>
                <w:sz w:val="14"/>
                <w:szCs w:val="14"/>
              </w:rPr>
              <w:t>XX.</w:t>
            </w:r>
          </w:p>
        </w:tc>
        <w:tc>
          <w:tcPr>
            <w:tcW w:w="3230" w:type="pct"/>
            <w:tcBorders>
              <w:top w:val="nil"/>
              <w:left w:val="nil"/>
              <w:bottom w:val="nil"/>
              <w:right w:val="nil"/>
            </w:tcBorders>
            <w:hideMark/>
          </w:tcPr>
          <w:p w14:paraId="7A13409C" w14:textId="77777777" w:rsidR="00A74C68" w:rsidRPr="00A74C68" w:rsidRDefault="00A74C68" w:rsidP="00A74C68">
            <w:pPr>
              <w:rPr>
                <w:b/>
                <w:bCs/>
                <w:color w:val="000000"/>
                <w:sz w:val="14"/>
                <w:szCs w:val="14"/>
                <w:lang w:eastAsia="tr-TR"/>
              </w:rPr>
            </w:pPr>
            <w:r w:rsidRPr="00A74C68">
              <w:rPr>
                <w:sz w:val="14"/>
                <w:szCs w:val="14"/>
              </w:rPr>
              <w:t>DURDURULAN FAALİYETLERDEN</w:t>
            </w:r>
            <w:r w:rsidRPr="00A74C68">
              <w:rPr>
                <w:b/>
                <w:bCs/>
                <w:color w:val="000000"/>
                <w:sz w:val="14"/>
                <w:szCs w:val="14"/>
                <w:lang w:eastAsia="tr-TR"/>
              </w:rPr>
              <w:t xml:space="preserve"> GELİRLER</w:t>
            </w:r>
          </w:p>
        </w:tc>
        <w:tc>
          <w:tcPr>
            <w:tcW w:w="488" w:type="pct"/>
            <w:tcBorders>
              <w:top w:val="nil"/>
              <w:left w:val="single" w:sz="4" w:space="0" w:color="auto"/>
              <w:bottom w:val="nil"/>
              <w:right w:val="single" w:sz="4" w:space="0" w:color="auto"/>
            </w:tcBorders>
            <w:vAlign w:val="bottom"/>
            <w:hideMark/>
          </w:tcPr>
          <w:p w14:paraId="4FA29B2E"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bottom w:val="nil"/>
              <w:right w:val="single" w:sz="4" w:space="0" w:color="auto"/>
            </w:tcBorders>
            <w:vAlign w:val="bottom"/>
            <w:hideMark/>
          </w:tcPr>
          <w:p w14:paraId="2C280CF4"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w:t>
            </w:r>
          </w:p>
        </w:tc>
      </w:tr>
      <w:tr w:rsidR="00A74C68" w:rsidRPr="00A74C68" w14:paraId="1459E9C8" w14:textId="77777777" w:rsidTr="00A74C68">
        <w:trPr>
          <w:divId w:val="1875266624"/>
          <w:trHeight w:val="20"/>
        </w:trPr>
        <w:tc>
          <w:tcPr>
            <w:tcW w:w="380" w:type="pct"/>
            <w:tcBorders>
              <w:top w:val="nil"/>
              <w:left w:val="single" w:sz="4" w:space="0" w:color="auto"/>
              <w:bottom w:val="nil"/>
              <w:right w:val="nil"/>
            </w:tcBorders>
            <w:noWrap/>
            <w:hideMark/>
          </w:tcPr>
          <w:p w14:paraId="7E47FA74" w14:textId="77777777" w:rsidR="00A74C68" w:rsidRPr="00A74C68" w:rsidRDefault="00A74C68" w:rsidP="00A74C68">
            <w:pPr>
              <w:rPr>
                <w:sz w:val="14"/>
                <w:szCs w:val="14"/>
              </w:rPr>
            </w:pPr>
            <w:r w:rsidRPr="00A74C68">
              <w:rPr>
                <w:sz w:val="14"/>
                <w:szCs w:val="14"/>
              </w:rPr>
              <w:t>20.1</w:t>
            </w:r>
          </w:p>
        </w:tc>
        <w:tc>
          <w:tcPr>
            <w:tcW w:w="3230" w:type="pct"/>
            <w:tcBorders>
              <w:top w:val="nil"/>
              <w:left w:val="nil"/>
              <w:bottom w:val="nil"/>
              <w:right w:val="nil"/>
            </w:tcBorders>
            <w:hideMark/>
          </w:tcPr>
          <w:p w14:paraId="2A6025BC" w14:textId="77777777" w:rsidR="00A74C68" w:rsidRPr="00A74C68" w:rsidRDefault="00A74C68" w:rsidP="00A74C68">
            <w:pPr>
              <w:rPr>
                <w:color w:val="000000"/>
                <w:sz w:val="14"/>
                <w:szCs w:val="14"/>
                <w:lang w:eastAsia="tr-TR"/>
              </w:rPr>
            </w:pPr>
            <w:r w:rsidRPr="00A74C68">
              <w:rPr>
                <w:sz w:val="14"/>
                <w:szCs w:val="14"/>
              </w:rPr>
              <w:t xml:space="preserve">Satış </w:t>
            </w:r>
            <w:r w:rsidRPr="00A74C68">
              <w:rPr>
                <w:color w:val="000000"/>
                <w:sz w:val="14"/>
                <w:szCs w:val="14"/>
                <w:lang w:eastAsia="tr-TR"/>
              </w:rPr>
              <w:t>Amaçlı Elde Tutulan Duran Varlık Gelirleri</w:t>
            </w:r>
          </w:p>
        </w:tc>
        <w:tc>
          <w:tcPr>
            <w:tcW w:w="488" w:type="pct"/>
            <w:tcBorders>
              <w:top w:val="nil"/>
              <w:left w:val="single" w:sz="4" w:space="0" w:color="auto"/>
              <w:bottom w:val="nil"/>
              <w:right w:val="single" w:sz="4" w:space="0" w:color="auto"/>
            </w:tcBorders>
            <w:vAlign w:val="bottom"/>
            <w:hideMark/>
          </w:tcPr>
          <w:p w14:paraId="45945EDC"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bottom w:val="nil"/>
              <w:right w:val="single" w:sz="4" w:space="0" w:color="auto"/>
            </w:tcBorders>
            <w:vAlign w:val="bottom"/>
            <w:hideMark/>
          </w:tcPr>
          <w:p w14:paraId="6807F549"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0C8AE532" w14:textId="77777777" w:rsidTr="00A74C68">
        <w:trPr>
          <w:divId w:val="1875266624"/>
          <w:trHeight w:val="20"/>
        </w:trPr>
        <w:tc>
          <w:tcPr>
            <w:tcW w:w="380" w:type="pct"/>
            <w:tcBorders>
              <w:top w:val="nil"/>
              <w:left w:val="single" w:sz="4" w:space="0" w:color="auto"/>
              <w:bottom w:val="nil"/>
              <w:right w:val="nil"/>
            </w:tcBorders>
            <w:noWrap/>
            <w:hideMark/>
          </w:tcPr>
          <w:p w14:paraId="586A6596" w14:textId="77777777" w:rsidR="00A74C68" w:rsidRPr="00A74C68" w:rsidRDefault="00A74C68" w:rsidP="00A74C68">
            <w:pPr>
              <w:rPr>
                <w:sz w:val="14"/>
                <w:szCs w:val="14"/>
              </w:rPr>
            </w:pPr>
            <w:r w:rsidRPr="00A74C68">
              <w:rPr>
                <w:sz w:val="14"/>
                <w:szCs w:val="14"/>
              </w:rPr>
              <w:t>20.2</w:t>
            </w:r>
          </w:p>
        </w:tc>
        <w:tc>
          <w:tcPr>
            <w:tcW w:w="3230" w:type="pct"/>
            <w:tcBorders>
              <w:top w:val="nil"/>
              <w:left w:val="nil"/>
              <w:bottom w:val="nil"/>
              <w:right w:val="nil"/>
            </w:tcBorders>
            <w:hideMark/>
          </w:tcPr>
          <w:p w14:paraId="04C813B9" w14:textId="77777777" w:rsidR="00A74C68" w:rsidRPr="00A74C68" w:rsidRDefault="00A74C68" w:rsidP="00A74C68">
            <w:pPr>
              <w:rPr>
                <w:color w:val="000000"/>
                <w:sz w:val="14"/>
                <w:szCs w:val="14"/>
                <w:lang w:eastAsia="tr-TR"/>
              </w:rPr>
            </w:pPr>
            <w:r w:rsidRPr="00A74C68">
              <w:rPr>
                <w:sz w:val="14"/>
                <w:szCs w:val="14"/>
              </w:rPr>
              <w:t>İştirak,</w:t>
            </w:r>
            <w:r w:rsidRPr="00A74C68">
              <w:rPr>
                <w:color w:val="000000"/>
                <w:sz w:val="14"/>
                <w:szCs w:val="14"/>
                <w:lang w:eastAsia="tr-TR"/>
              </w:rPr>
              <w:t xml:space="preserve"> Bağlı Ortaklık ve Birlikte Kontrol Edilen Ortaklıklar (İş Ort.) Satış Karları</w:t>
            </w:r>
          </w:p>
        </w:tc>
        <w:tc>
          <w:tcPr>
            <w:tcW w:w="488" w:type="pct"/>
            <w:tcBorders>
              <w:top w:val="nil"/>
              <w:left w:val="single" w:sz="4" w:space="0" w:color="auto"/>
              <w:bottom w:val="nil"/>
              <w:right w:val="single" w:sz="4" w:space="0" w:color="auto"/>
            </w:tcBorders>
            <w:vAlign w:val="bottom"/>
            <w:hideMark/>
          </w:tcPr>
          <w:p w14:paraId="0AA946B9"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bottom w:val="nil"/>
              <w:right w:val="single" w:sz="4" w:space="0" w:color="auto"/>
            </w:tcBorders>
            <w:vAlign w:val="bottom"/>
            <w:hideMark/>
          </w:tcPr>
          <w:p w14:paraId="1B0AE89F"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1F8F3011" w14:textId="77777777" w:rsidTr="00A74C68">
        <w:trPr>
          <w:divId w:val="1875266624"/>
          <w:trHeight w:val="20"/>
        </w:trPr>
        <w:tc>
          <w:tcPr>
            <w:tcW w:w="380" w:type="pct"/>
            <w:tcBorders>
              <w:top w:val="nil"/>
              <w:left w:val="single" w:sz="4" w:space="0" w:color="auto"/>
              <w:bottom w:val="nil"/>
              <w:right w:val="nil"/>
            </w:tcBorders>
            <w:noWrap/>
            <w:hideMark/>
          </w:tcPr>
          <w:p w14:paraId="478762F0" w14:textId="77777777" w:rsidR="00A74C68" w:rsidRPr="00A74C68" w:rsidRDefault="00A74C68" w:rsidP="00A74C68">
            <w:pPr>
              <w:rPr>
                <w:b/>
                <w:bCs/>
                <w:sz w:val="14"/>
                <w:szCs w:val="14"/>
              </w:rPr>
            </w:pPr>
            <w:r w:rsidRPr="00A74C68">
              <w:rPr>
                <w:b/>
                <w:bCs/>
                <w:sz w:val="14"/>
                <w:szCs w:val="14"/>
              </w:rPr>
              <w:t>20.3</w:t>
            </w:r>
          </w:p>
        </w:tc>
        <w:tc>
          <w:tcPr>
            <w:tcW w:w="3230" w:type="pct"/>
            <w:tcBorders>
              <w:top w:val="nil"/>
              <w:left w:val="nil"/>
              <w:bottom w:val="nil"/>
              <w:right w:val="nil"/>
            </w:tcBorders>
            <w:hideMark/>
          </w:tcPr>
          <w:p w14:paraId="2FEB7EBC" w14:textId="77777777" w:rsidR="00A74C68" w:rsidRPr="00A74C68" w:rsidRDefault="00A74C68" w:rsidP="00A74C68">
            <w:pPr>
              <w:rPr>
                <w:color w:val="000000"/>
                <w:sz w:val="14"/>
                <w:szCs w:val="14"/>
                <w:lang w:eastAsia="tr-TR"/>
              </w:rPr>
            </w:pPr>
            <w:r w:rsidRPr="00A74C68">
              <w:rPr>
                <w:b/>
                <w:bCs/>
                <w:sz w:val="14"/>
                <w:szCs w:val="14"/>
              </w:rPr>
              <w:t xml:space="preserve">Diğer </w:t>
            </w:r>
            <w:r w:rsidRPr="00A74C68">
              <w:rPr>
                <w:color w:val="000000"/>
                <w:sz w:val="14"/>
                <w:szCs w:val="14"/>
                <w:lang w:eastAsia="tr-TR"/>
              </w:rPr>
              <w:t>Durdurulan Faaliyet Gelirleri</w:t>
            </w:r>
          </w:p>
        </w:tc>
        <w:tc>
          <w:tcPr>
            <w:tcW w:w="488" w:type="pct"/>
            <w:tcBorders>
              <w:top w:val="nil"/>
              <w:left w:val="single" w:sz="4" w:space="0" w:color="auto"/>
              <w:bottom w:val="nil"/>
              <w:right w:val="single" w:sz="4" w:space="0" w:color="auto"/>
            </w:tcBorders>
            <w:vAlign w:val="bottom"/>
            <w:hideMark/>
          </w:tcPr>
          <w:p w14:paraId="7869BB33"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bottom w:val="nil"/>
              <w:right w:val="single" w:sz="4" w:space="0" w:color="auto"/>
            </w:tcBorders>
            <w:vAlign w:val="bottom"/>
            <w:hideMark/>
          </w:tcPr>
          <w:p w14:paraId="0B3F899E"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494610A8" w14:textId="77777777" w:rsidTr="00A74C68">
        <w:trPr>
          <w:divId w:val="1875266624"/>
          <w:trHeight w:val="20"/>
        </w:trPr>
        <w:tc>
          <w:tcPr>
            <w:tcW w:w="380" w:type="pct"/>
            <w:tcBorders>
              <w:top w:val="nil"/>
              <w:left w:val="single" w:sz="4" w:space="0" w:color="auto"/>
              <w:bottom w:val="nil"/>
              <w:right w:val="nil"/>
            </w:tcBorders>
            <w:noWrap/>
            <w:hideMark/>
          </w:tcPr>
          <w:p w14:paraId="5333C275" w14:textId="77777777" w:rsidR="00A74C68" w:rsidRPr="00A74C68" w:rsidRDefault="00A74C68" w:rsidP="00A74C68">
            <w:pPr>
              <w:rPr>
                <w:b/>
                <w:bCs/>
                <w:color w:val="000000"/>
                <w:sz w:val="14"/>
                <w:szCs w:val="14"/>
                <w:lang w:eastAsia="tr-TR"/>
              </w:rPr>
            </w:pPr>
            <w:r w:rsidRPr="00A74C68">
              <w:rPr>
                <w:sz w:val="14"/>
                <w:szCs w:val="14"/>
              </w:rPr>
              <w:t>XXI.</w:t>
            </w:r>
          </w:p>
        </w:tc>
        <w:tc>
          <w:tcPr>
            <w:tcW w:w="3230" w:type="pct"/>
            <w:tcBorders>
              <w:top w:val="nil"/>
              <w:left w:val="nil"/>
              <w:bottom w:val="nil"/>
              <w:right w:val="nil"/>
            </w:tcBorders>
            <w:hideMark/>
          </w:tcPr>
          <w:p w14:paraId="03B7EAE2" w14:textId="77777777" w:rsidR="00A74C68" w:rsidRPr="00A74C68" w:rsidRDefault="00A74C68" w:rsidP="00A74C68">
            <w:pPr>
              <w:rPr>
                <w:b/>
                <w:bCs/>
                <w:color w:val="000000"/>
                <w:sz w:val="14"/>
                <w:szCs w:val="14"/>
                <w:lang w:eastAsia="tr-TR"/>
              </w:rPr>
            </w:pPr>
            <w:r w:rsidRPr="00A74C68">
              <w:rPr>
                <w:sz w:val="14"/>
                <w:szCs w:val="14"/>
              </w:rPr>
              <w:t>DURDURULAN FAALİYETLERDEN</w:t>
            </w:r>
            <w:r w:rsidRPr="00A74C68">
              <w:rPr>
                <w:b/>
                <w:bCs/>
                <w:color w:val="000000"/>
                <w:sz w:val="14"/>
                <w:szCs w:val="14"/>
                <w:lang w:eastAsia="tr-TR"/>
              </w:rPr>
              <w:t xml:space="preserve"> GİDERLER (-)</w:t>
            </w:r>
          </w:p>
        </w:tc>
        <w:tc>
          <w:tcPr>
            <w:tcW w:w="488" w:type="pct"/>
            <w:tcBorders>
              <w:top w:val="nil"/>
              <w:left w:val="single" w:sz="4" w:space="0" w:color="auto"/>
              <w:bottom w:val="nil"/>
              <w:right w:val="single" w:sz="4" w:space="0" w:color="auto"/>
            </w:tcBorders>
            <w:vAlign w:val="bottom"/>
            <w:hideMark/>
          </w:tcPr>
          <w:p w14:paraId="41BA948D"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bottom w:val="nil"/>
              <w:right w:val="single" w:sz="4" w:space="0" w:color="auto"/>
            </w:tcBorders>
            <w:vAlign w:val="bottom"/>
            <w:hideMark/>
          </w:tcPr>
          <w:p w14:paraId="2DE1C4C2"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w:t>
            </w:r>
          </w:p>
        </w:tc>
      </w:tr>
      <w:tr w:rsidR="00A74C68" w:rsidRPr="00A74C68" w14:paraId="1F94BC8D" w14:textId="77777777" w:rsidTr="00A74C68">
        <w:trPr>
          <w:divId w:val="1875266624"/>
          <w:trHeight w:val="20"/>
        </w:trPr>
        <w:tc>
          <w:tcPr>
            <w:tcW w:w="380" w:type="pct"/>
            <w:tcBorders>
              <w:top w:val="nil"/>
              <w:left w:val="single" w:sz="4" w:space="0" w:color="auto"/>
              <w:bottom w:val="nil"/>
              <w:right w:val="nil"/>
            </w:tcBorders>
            <w:noWrap/>
            <w:hideMark/>
          </w:tcPr>
          <w:p w14:paraId="1FF9D021" w14:textId="77777777" w:rsidR="00A74C68" w:rsidRPr="00A74C68" w:rsidRDefault="00A74C68" w:rsidP="00A74C68">
            <w:pPr>
              <w:rPr>
                <w:sz w:val="14"/>
                <w:szCs w:val="14"/>
              </w:rPr>
            </w:pPr>
            <w:r w:rsidRPr="00A74C68">
              <w:rPr>
                <w:sz w:val="14"/>
                <w:szCs w:val="14"/>
              </w:rPr>
              <w:t>21.1</w:t>
            </w:r>
          </w:p>
        </w:tc>
        <w:tc>
          <w:tcPr>
            <w:tcW w:w="3230" w:type="pct"/>
            <w:tcBorders>
              <w:top w:val="nil"/>
              <w:left w:val="nil"/>
              <w:bottom w:val="nil"/>
              <w:right w:val="nil"/>
            </w:tcBorders>
            <w:hideMark/>
          </w:tcPr>
          <w:p w14:paraId="4DB24653" w14:textId="77777777" w:rsidR="00A74C68" w:rsidRPr="00A74C68" w:rsidRDefault="00A74C68" w:rsidP="00A74C68">
            <w:pPr>
              <w:rPr>
                <w:color w:val="000000"/>
                <w:sz w:val="14"/>
                <w:szCs w:val="14"/>
                <w:lang w:eastAsia="tr-TR"/>
              </w:rPr>
            </w:pPr>
            <w:r w:rsidRPr="00A74C68">
              <w:rPr>
                <w:sz w:val="14"/>
                <w:szCs w:val="14"/>
              </w:rPr>
              <w:t xml:space="preserve">Satış </w:t>
            </w:r>
            <w:r w:rsidRPr="00A74C68">
              <w:rPr>
                <w:color w:val="000000"/>
                <w:sz w:val="14"/>
                <w:szCs w:val="14"/>
                <w:lang w:eastAsia="tr-TR"/>
              </w:rPr>
              <w:t>Amaçlı Elde Tutulan Duran Varlık Giderleri</w:t>
            </w:r>
          </w:p>
        </w:tc>
        <w:tc>
          <w:tcPr>
            <w:tcW w:w="488" w:type="pct"/>
            <w:tcBorders>
              <w:top w:val="nil"/>
              <w:left w:val="single" w:sz="4" w:space="0" w:color="auto"/>
              <w:bottom w:val="nil"/>
              <w:right w:val="single" w:sz="4" w:space="0" w:color="auto"/>
            </w:tcBorders>
            <w:vAlign w:val="bottom"/>
            <w:hideMark/>
          </w:tcPr>
          <w:p w14:paraId="4B40AACE"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bottom w:val="nil"/>
              <w:right w:val="single" w:sz="4" w:space="0" w:color="auto"/>
            </w:tcBorders>
            <w:vAlign w:val="bottom"/>
            <w:hideMark/>
          </w:tcPr>
          <w:p w14:paraId="0AE573B6"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113FC4C7" w14:textId="77777777" w:rsidTr="00A74C68">
        <w:trPr>
          <w:divId w:val="1875266624"/>
          <w:trHeight w:val="20"/>
        </w:trPr>
        <w:tc>
          <w:tcPr>
            <w:tcW w:w="380" w:type="pct"/>
            <w:tcBorders>
              <w:top w:val="nil"/>
              <w:left w:val="single" w:sz="4" w:space="0" w:color="auto"/>
              <w:bottom w:val="nil"/>
              <w:right w:val="nil"/>
            </w:tcBorders>
            <w:noWrap/>
            <w:hideMark/>
          </w:tcPr>
          <w:p w14:paraId="28121FE0" w14:textId="77777777" w:rsidR="00A74C68" w:rsidRPr="00A74C68" w:rsidRDefault="00A74C68" w:rsidP="00A74C68">
            <w:pPr>
              <w:rPr>
                <w:sz w:val="14"/>
                <w:szCs w:val="14"/>
              </w:rPr>
            </w:pPr>
            <w:r w:rsidRPr="00A74C68">
              <w:rPr>
                <w:sz w:val="14"/>
                <w:szCs w:val="14"/>
              </w:rPr>
              <w:t>21.2</w:t>
            </w:r>
          </w:p>
        </w:tc>
        <w:tc>
          <w:tcPr>
            <w:tcW w:w="3230" w:type="pct"/>
            <w:tcBorders>
              <w:top w:val="nil"/>
              <w:left w:val="nil"/>
              <w:bottom w:val="nil"/>
              <w:right w:val="nil"/>
            </w:tcBorders>
            <w:hideMark/>
          </w:tcPr>
          <w:p w14:paraId="5A5DA61F" w14:textId="77777777" w:rsidR="00A74C68" w:rsidRPr="00A74C68" w:rsidRDefault="00A74C68" w:rsidP="00A74C68">
            <w:pPr>
              <w:rPr>
                <w:color w:val="000000"/>
                <w:sz w:val="14"/>
                <w:szCs w:val="14"/>
                <w:lang w:eastAsia="tr-TR"/>
              </w:rPr>
            </w:pPr>
            <w:r w:rsidRPr="00A74C68">
              <w:rPr>
                <w:sz w:val="14"/>
                <w:szCs w:val="14"/>
              </w:rPr>
              <w:t>İştirak,</w:t>
            </w:r>
            <w:r w:rsidRPr="00A74C68">
              <w:rPr>
                <w:color w:val="000000"/>
                <w:sz w:val="14"/>
                <w:szCs w:val="14"/>
                <w:lang w:eastAsia="tr-TR"/>
              </w:rPr>
              <w:t xml:space="preserve"> Bağlı Ortaklık ve Birlikte Kontrol Edilen Ortaklıklar (İş Ort.) Satış Zararları</w:t>
            </w:r>
          </w:p>
        </w:tc>
        <w:tc>
          <w:tcPr>
            <w:tcW w:w="488" w:type="pct"/>
            <w:tcBorders>
              <w:top w:val="nil"/>
              <w:left w:val="single" w:sz="4" w:space="0" w:color="auto"/>
              <w:bottom w:val="nil"/>
              <w:right w:val="single" w:sz="4" w:space="0" w:color="auto"/>
            </w:tcBorders>
            <w:vAlign w:val="bottom"/>
            <w:hideMark/>
          </w:tcPr>
          <w:p w14:paraId="55BAD39E"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bottom w:val="nil"/>
              <w:right w:val="single" w:sz="4" w:space="0" w:color="auto"/>
            </w:tcBorders>
            <w:vAlign w:val="bottom"/>
            <w:hideMark/>
          </w:tcPr>
          <w:p w14:paraId="7B5544DD"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40E1CAD9" w14:textId="77777777" w:rsidTr="00A74C68">
        <w:trPr>
          <w:divId w:val="1875266624"/>
          <w:trHeight w:val="20"/>
        </w:trPr>
        <w:tc>
          <w:tcPr>
            <w:tcW w:w="380" w:type="pct"/>
            <w:tcBorders>
              <w:top w:val="nil"/>
              <w:left w:val="single" w:sz="4" w:space="0" w:color="auto"/>
              <w:bottom w:val="nil"/>
              <w:right w:val="nil"/>
            </w:tcBorders>
            <w:noWrap/>
            <w:hideMark/>
          </w:tcPr>
          <w:p w14:paraId="566CCEBF" w14:textId="77777777" w:rsidR="00A74C68" w:rsidRPr="00A74C68" w:rsidRDefault="00A74C68" w:rsidP="00A74C68">
            <w:pPr>
              <w:rPr>
                <w:b/>
                <w:bCs/>
                <w:sz w:val="14"/>
                <w:szCs w:val="14"/>
              </w:rPr>
            </w:pPr>
            <w:r w:rsidRPr="00A74C68">
              <w:rPr>
                <w:b/>
                <w:bCs/>
                <w:sz w:val="14"/>
                <w:szCs w:val="14"/>
              </w:rPr>
              <w:t>21.3</w:t>
            </w:r>
          </w:p>
        </w:tc>
        <w:tc>
          <w:tcPr>
            <w:tcW w:w="3230" w:type="pct"/>
            <w:tcBorders>
              <w:top w:val="nil"/>
              <w:left w:val="nil"/>
              <w:bottom w:val="nil"/>
              <w:right w:val="nil"/>
            </w:tcBorders>
            <w:hideMark/>
          </w:tcPr>
          <w:p w14:paraId="27446807" w14:textId="77777777" w:rsidR="00A74C68" w:rsidRPr="00A74C68" w:rsidRDefault="00A74C68" w:rsidP="00A74C68">
            <w:pPr>
              <w:rPr>
                <w:color w:val="000000"/>
                <w:sz w:val="14"/>
                <w:szCs w:val="14"/>
                <w:lang w:eastAsia="tr-TR"/>
              </w:rPr>
            </w:pPr>
            <w:r w:rsidRPr="00A74C68">
              <w:rPr>
                <w:b/>
                <w:bCs/>
                <w:sz w:val="14"/>
                <w:szCs w:val="14"/>
              </w:rPr>
              <w:t xml:space="preserve">Diğer </w:t>
            </w:r>
            <w:r w:rsidRPr="00A74C68">
              <w:rPr>
                <w:color w:val="000000"/>
                <w:sz w:val="14"/>
                <w:szCs w:val="14"/>
                <w:lang w:eastAsia="tr-TR"/>
              </w:rPr>
              <w:t>Durdurulan Faaliyet Giderleri</w:t>
            </w:r>
          </w:p>
        </w:tc>
        <w:tc>
          <w:tcPr>
            <w:tcW w:w="488" w:type="pct"/>
            <w:tcBorders>
              <w:top w:val="nil"/>
              <w:left w:val="single" w:sz="4" w:space="0" w:color="auto"/>
              <w:bottom w:val="nil"/>
              <w:right w:val="single" w:sz="4" w:space="0" w:color="auto"/>
            </w:tcBorders>
            <w:vAlign w:val="bottom"/>
            <w:hideMark/>
          </w:tcPr>
          <w:p w14:paraId="0657AAF0"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bottom w:val="nil"/>
              <w:right w:val="single" w:sz="4" w:space="0" w:color="auto"/>
            </w:tcBorders>
            <w:vAlign w:val="bottom"/>
            <w:hideMark/>
          </w:tcPr>
          <w:p w14:paraId="6C457D38"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5AC17E5A" w14:textId="77777777" w:rsidTr="00A74C68">
        <w:trPr>
          <w:divId w:val="1875266624"/>
          <w:trHeight w:val="20"/>
        </w:trPr>
        <w:tc>
          <w:tcPr>
            <w:tcW w:w="380" w:type="pct"/>
            <w:tcBorders>
              <w:top w:val="nil"/>
              <w:left w:val="single" w:sz="4" w:space="0" w:color="auto"/>
              <w:bottom w:val="nil"/>
              <w:right w:val="nil"/>
            </w:tcBorders>
            <w:noWrap/>
            <w:hideMark/>
          </w:tcPr>
          <w:p w14:paraId="312FCA43" w14:textId="77777777" w:rsidR="00A74C68" w:rsidRPr="00A74C68" w:rsidRDefault="00A74C68" w:rsidP="00A74C68">
            <w:pPr>
              <w:rPr>
                <w:b/>
                <w:bCs/>
                <w:color w:val="000000"/>
                <w:sz w:val="14"/>
                <w:szCs w:val="14"/>
                <w:lang w:eastAsia="tr-TR"/>
              </w:rPr>
            </w:pPr>
            <w:r w:rsidRPr="00A74C68">
              <w:rPr>
                <w:b/>
                <w:bCs/>
                <w:sz w:val="14"/>
                <w:szCs w:val="14"/>
              </w:rPr>
              <w:t>XXII.</w:t>
            </w:r>
          </w:p>
        </w:tc>
        <w:tc>
          <w:tcPr>
            <w:tcW w:w="3230" w:type="pct"/>
            <w:tcBorders>
              <w:top w:val="nil"/>
              <w:left w:val="nil"/>
              <w:bottom w:val="nil"/>
              <w:right w:val="nil"/>
            </w:tcBorders>
            <w:hideMark/>
          </w:tcPr>
          <w:p w14:paraId="116F479B" w14:textId="77777777" w:rsidR="00A74C68" w:rsidRPr="00A74C68" w:rsidRDefault="00A74C68" w:rsidP="00A74C68">
            <w:pPr>
              <w:rPr>
                <w:b/>
                <w:bCs/>
                <w:color w:val="000000"/>
                <w:sz w:val="14"/>
                <w:szCs w:val="14"/>
                <w:lang w:eastAsia="tr-TR"/>
              </w:rPr>
            </w:pPr>
            <w:r w:rsidRPr="00A74C68">
              <w:rPr>
                <w:b/>
                <w:bCs/>
                <w:sz w:val="14"/>
                <w:szCs w:val="14"/>
              </w:rPr>
              <w:t>DURDURULAN FAALİYETLER</w:t>
            </w:r>
            <w:r w:rsidRPr="00A74C68">
              <w:rPr>
                <w:b/>
                <w:bCs/>
                <w:color w:val="000000"/>
                <w:sz w:val="14"/>
                <w:szCs w:val="14"/>
                <w:lang w:eastAsia="tr-TR"/>
              </w:rPr>
              <w:t xml:space="preserve"> VERGİ ÖNCESİ K/Z (XX-XXI)</w:t>
            </w:r>
          </w:p>
        </w:tc>
        <w:tc>
          <w:tcPr>
            <w:tcW w:w="488" w:type="pct"/>
            <w:tcBorders>
              <w:top w:val="nil"/>
              <w:left w:val="single" w:sz="4" w:space="0" w:color="auto"/>
              <w:bottom w:val="nil"/>
              <w:right w:val="single" w:sz="4" w:space="0" w:color="auto"/>
            </w:tcBorders>
            <w:vAlign w:val="bottom"/>
            <w:hideMark/>
          </w:tcPr>
          <w:p w14:paraId="751AC1EC"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bottom w:val="nil"/>
              <w:right w:val="single" w:sz="4" w:space="0" w:color="auto"/>
            </w:tcBorders>
            <w:vAlign w:val="bottom"/>
            <w:hideMark/>
          </w:tcPr>
          <w:p w14:paraId="1E8E78EA"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w:t>
            </w:r>
          </w:p>
        </w:tc>
      </w:tr>
      <w:tr w:rsidR="00A74C68" w:rsidRPr="00A74C68" w14:paraId="0F1FC584" w14:textId="77777777" w:rsidTr="00A74C68">
        <w:trPr>
          <w:divId w:val="1875266624"/>
          <w:trHeight w:val="20"/>
        </w:trPr>
        <w:tc>
          <w:tcPr>
            <w:tcW w:w="380" w:type="pct"/>
            <w:tcBorders>
              <w:top w:val="nil"/>
              <w:left w:val="single" w:sz="4" w:space="0" w:color="auto"/>
              <w:bottom w:val="nil"/>
              <w:right w:val="nil"/>
            </w:tcBorders>
            <w:noWrap/>
            <w:hideMark/>
          </w:tcPr>
          <w:p w14:paraId="4C191843" w14:textId="77777777" w:rsidR="00A74C68" w:rsidRPr="00A74C68" w:rsidRDefault="00A74C68" w:rsidP="00A74C68">
            <w:pPr>
              <w:rPr>
                <w:b/>
                <w:bCs/>
                <w:color w:val="000000"/>
                <w:sz w:val="14"/>
                <w:szCs w:val="14"/>
                <w:lang w:eastAsia="tr-TR"/>
              </w:rPr>
            </w:pPr>
            <w:r w:rsidRPr="00A74C68">
              <w:rPr>
                <w:sz w:val="14"/>
                <w:szCs w:val="14"/>
              </w:rPr>
              <w:t>XXIII.</w:t>
            </w:r>
          </w:p>
        </w:tc>
        <w:tc>
          <w:tcPr>
            <w:tcW w:w="3230" w:type="pct"/>
            <w:tcBorders>
              <w:top w:val="nil"/>
              <w:left w:val="nil"/>
              <w:bottom w:val="nil"/>
              <w:right w:val="nil"/>
            </w:tcBorders>
            <w:hideMark/>
          </w:tcPr>
          <w:p w14:paraId="79C4ACCF" w14:textId="77777777" w:rsidR="00A74C68" w:rsidRPr="00A74C68" w:rsidRDefault="00A74C68" w:rsidP="00A74C68">
            <w:pPr>
              <w:rPr>
                <w:b/>
                <w:bCs/>
                <w:color w:val="000000"/>
                <w:sz w:val="14"/>
                <w:szCs w:val="14"/>
                <w:lang w:eastAsia="tr-TR"/>
              </w:rPr>
            </w:pPr>
            <w:r w:rsidRPr="00A74C68">
              <w:rPr>
                <w:sz w:val="14"/>
                <w:szCs w:val="14"/>
              </w:rPr>
              <w:t>DURDURULAN FAALİYETLER</w:t>
            </w:r>
            <w:r w:rsidRPr="00A74C68">
              <w:rPr>
                <w:b/>
                <w:bCs/>
                <w:color w:val="000000"/>
                <w:sz w:val="14"/>
                <w:szCs w:val="14"/>
                <w:lang w:eastAsia="tr-TR"/>
              </w:rPr>
              <w:t xml:space="preserve"> VERGİ KARŞILIĞI (±)</w:t>
            </w:r>
          </w:p>
        </w:tc>
        <w:tc>
          <w:tcPr>
            <w:tcW w:w="488" w:type="pct"/>
            <w:tcBorders>
              <w:top w:val="nil"/>
              <w:left w:val="single" w:sz="4" w:space="0" w:color="auto"/>
              <w:bottom w:val="nil"/>
              <w:right w:val="single" w:sz="4" w:space="0" w:color="auto"/>
            </w:tcBorders>
            <w:vAlign w:val="bottom"/>
            <w:hideMark/>
          </w:tcPr>
          <w:p w14:paraId="092685AD"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bottom w:val="nil"/>
              <w:right w:val="single" w:sz="4" w:space="0" w:color="auto"/>
            </w:tcBorders>
            <w:vAlign w:val="bottom"/>
            <w:hideMark/>
          </w:tcPr>
          <w:p w14:paraId="25E2F6B8"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w:t>
            </w:r>
          </w:p>
        </w:tc>
      </w:tr>
      <w:tr w:rsidR="00A74C68" w:rsidRPr="00A74C68" w14:paraId="65051478" w14:textId="77777777" w:rsidTr="00A74C68">
        <w:trPr>
          <w:divId w:val="1875266624"/>
          <w:trHeight w:val="20"/>
        </w:trPr>
        <w:tc>
          <w:tcPr>
            <w:tcW w:w="380" w:type="pct"/>
            <w:tcBorders>
              <w:top w:val="nil"/>
              <w:left w:val="single" w:sz="4" w:space="0" w:color="auto"/>
              <w:bottom w:val="nil"/>
              <w:right w:val="nil"/>
            </w:tcBorders>
            <w:noWrap/>
            <w:hideMark/>
          </w:tcPr>
          <w:p w14:paraId="50E9162B" w14:textId="77777777" w:rsidR="00A74C68" w:rsidRPr="00A74C68" w:rsidRDefault="00A74C68" w:rsidP="00A74C68">
            <w:pPr>
              <w:rPr>
                <w:sz w:val="14"/>
                <w:szCs w:val="14"/>
              </w:rPr>
            </w:pPr>
            <w:r w:rsidRPr="00A74C68">
              <w:rPr>
                <w:sz w:val="14"/>
                <w:szCs w:val="14"/>
              </w:rPr>
              <w:t>23.1</w:t>
            </w:r>
          </w:p>
        </w:tc>
        <w:tc>
          <w:tcPr>
            <w:tcW w:w="3230" w:type="pct"/>
            <w:tcBorders>
              <w:top w:val="nil"/>
              <w:left w:val="nil"/>
              <w:bottom w:val="nil"/>
              <w:right w:val="nil"/>
            </w:tcBorders>
            <w:hideMark/>
          </w:tcPr>
          <w:p w14:paraId="190458D3" w14:textId="77777777" w:rsidR="00A74C68" w:rsidRPr="00A74C68" w:rsidRDefault="00A74C68" w:rsidP="00A74C68">
            <w:pPr>
              <w:rPr>
                <w:color w:val="000000"/>
                <w:sz w:val="14"/>
                <w:szCs w:val="14"/>
                <w:lang w:eastAsia="tr-TR"/>
              </w:rPr>
            </w:pPr>
            <w:r w:rsidRPr="00A74C68">
              <w:rPr>
                <w:sz w:val="14"/>
                <w:szCs w:val="14"/>
              </w:rPr>
              <w:t xml:space="preserve">Cari </w:t>
            </w:r>
            <w:r w:rsidRPr="00A74C68">
              <w:rPr>
                <w:color w:val="000000"/>
                <w:sz w:val="14"/>
                <w:szCs w:val="14"/>
                <w:lang w:eastAsia="tr-TR"/>
              </w:rPr>
              <w:t>Vergi Karşılığı</w:t>
            </w:r>
          </w:p>
        </w:tc>
        <w:tc>
          <w:tcPr>
            <w:tcW w:w="488" w:type="pct"/>
            <w:tcBorders>
              <w:top w:val="nil"/>
              <w:left w:val="single" w:sz="4" w:space="0" w:color="auto"/>
              <w:bottom w:val="nil"/>
              <w:right w:val="single" w:sz="4" w:space="0" w:color="auto"/>
            </w:tcBorders>
            <w:vAlign w:val="bottom"/>
            <w:hideMark/>
          </w:tcPr>
          <w:p w14:paraId="56D04B07"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bottom w:val="nil"/>
              <w:right w:val="single" w:sz="4" w:space="0" w:color="auto"/>
            </w:tcBorders>
            <w:vAlign w:val="bottom"/>
            <w:hideMark/>
          </w:tcPr>
          <w:p w14:paraId="0FDB241D"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1E228C31" w14:textId="77777777" w:rsidTr="00A74C68">
        <w:trPr>
          <w:divId w:val="1875266624"/>
          <w:trHeight w:val="20"/>
        </w:trPr>
        <w:tc>
          <w:tcPr>
            <w:tcW w:w="380" w:type="pct"/>
            <w:tcBorders>
              <w:top w:val="nil"/>
              <w:left w:val="single" w:sz="4" w:space="0" w:color="auto"/>
              <w:bottom w:val="nil"/>
              <w:right w:val="nil"/>
            </w:tcBorders>
            <w:noWrap/>
            <w:hideMark/>
          </w:tcPr>
          <w:p w14:paraId="0EEF38AE" w14:textId="77777777" w:rsidR="00A74C68" w:rsidRPr="00A74C68" w:rsidRDefault="00A74C68" w:rsidP="00A74C68">
            <w:pPr>
              <w:rPr>
                <w:sz w:val="14"/>
                <w:szCs w:val="14"/>
              </w:rPr>
            </w:pPr>
            <w:r w:rsidRPr="00A74C68">
              <w:rPr>
                <w:sz w:val="14"/>
                <w:szCs w:val="14"/>
              </w:rPr>
              <w:t>23.2</w:t>
            </w:r>
          </w:p>
        </w:tc>
        <w:tc>
          <w:tcPr>
            <w:tcW w:w="3230" w:type="pct"/>
            <w:tcBorders>
              <w:top w:val="nil"/>
              <w:left w:val="nil"/>
              <w:bottom w:val="nil"/>
              <w:right w:val="nil"/>
            </w:tcBorders>
            <w:hideMark/>
          </w:tcPr>
          <w:p w14:paraId="0A5E3312" w14:textId="77777777" w:rsidR="00A74C68" w:rsidRPr="00A74C68" w:rsidRDefault="00A74C68" w:rsidP="00A74C68">
            <w:pPr>
              <w:rPr>
                <w:color w:val="000000"/>
                <w:sz w:val="14"/>
                <w:szCs w:val="14"/>
                <w:lang w:eastAsia="tr-TR"/>
              </w:rPr>
            </w:pPr>
            <w:r w:rsidRPr="00A74C68">
              <w:rPr>
                <w:sz w:val="14"/>
                <w:szCs w:val="14"/>
              </w:rPr>
              <w:t xml:space="preserve">Ertelenmiş </w:t>
            </w:r>
            <w:r w:rsidRPr="00A74C68">
              <w:rPr>
                <w:color w:val="000000"/>
                <w:sz w:val="14"/>
                <w:szCs w:val="14"/>
                <w:lang w:eastAsia="tr-TR"/>
              </w:rPr>
              <w:t>Vergi Gider Etkisi (+)</w:t>
            </w:r>
          </w:p>
        </w:tc>
        <w:tc>
          <w:tcPr>
            <w:tcW w:w="488" w:type="pct"/>
            <w:tcBorders>
              <w:top w:val="nil"/>
              <w:left w:val="single" w:sz="4" w:space="0" w:color="auto"/>
              <w:bottom w:val="nil"/>
              <w:right w:val="single" w:sz="4" w:space="0" w:color="auto"/>
            </w:tcBorders>
            <w:vAlign w:val="bottom"/>
            <w:hideMark/>
          </w:tcPr>
          <w:p w14:paraId="5AD9F46E"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bottom w:val="nil"/>
              <w:right w:val="single" w:sz="4" w:space="0" w:color="auto"/>
            </w:tcBorders>
            <w:vAlign w:val="bottom"/>
            <w:hideMark/>
          </w:tcPr>
          <w:p w14:paraId="76831752"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3B04BA1F" w14:textId="77777777" w:rsidTr="00A74C68">
        <w:trPr>
          <w:divId w:val="1875266624"/>
          <w:trHeight w:val="20"/>
        </w:trPr>
        <w:tc>
          <w:tcPr>
            <w:tcW w:w="380" w:type="pct"/>
            <w:tcBorders>
              <w:top w:val="nil"/>
              <w:left w:val="single" w:sz="4" w:space="0" w:color="auto"/>
              <w:bottom w:val="nil"/>
              <w:right w:val="nil"/>
            </w:tcBorders>
            <w:noWrap/>
            <w:hideMark/>
          </w:tcPr>
          <w:p w14:paraId="2E6900C1" w14:textId="77777777" w:rsidR="00A74C68" w:rsidRPr="00A74C68" w:rsidRDefault="00A74C68" w:rsidP="00A74C68">
            <w:pPr>
              <w:rPr>
                <w:b/>
                <w:bCs/>
                <w:sz w:val="14"/>
                <w:szCs w:val="14"/>
              </w:rPr>
            </w:pPr>
            <w:r w:rsidRPr="00A74C68">
              <w:rPr>
                <w:b/>
                <w:bCs/>
                <w:sz w:val="14"/>
                <w:szCs w:val="14"/>
              </w:rPr>
              <w:t>23.3</w:t>
            </w:r>
          </w:p>
        </w:tc>
        <w:tc>
          <w:tcPr>
            <w:tcW w:w="3230" w:type="pct"/>
            <w:tcBorders>
              <w:top w:val="nil"/>
              <w:left w:val="nil"/>
              <w:bottom w:val="nil"/>
              <w:right w:val="nil"/>
            </w:tcBorders>
            <w:hideMark/>
          </w:tcPr>
          <w:p w14:paraId="0D4EB47F" w14:textId="77777777" w:rsidR="00A74C68" w:rsidRPr="00A74C68" w:rsidRDefault="00A74C68" w:rsidP="00A74C68">
            <w:pPr>
              <w:rPr>
                <w:color w:val="000000"/>
                <w:sz w:val="14"/>
                <w:szCs w:val="14"/>
                <w:lang w:eastAsia="tr-TR"/>
              </w:rPr>
            </w:pPr>
            <w:r w:rsidRPr="00A74C68">
              <w:rPr>
                <w:b/>
                <w:bCs/>
                <w:sz w:val="14"/>
                <w:szCs w:val="14"/>
              </w:rPr>
              <w:t xml:space="preserve">Ertelenmiş </w:t>
            </w:r>
            <w:r w:rsidRPr="00A74C68">
              <w:rPr>
                <w:color w:val="000000"/>
                <w:sz w:val="14"/>
                <w:szCs w:val="14"/>
                <w:lang w:eastAsia="tr-TR"/>
              </w:rPr>
              <w:t>Vergi Gelir Etkisi (-)</w:t>
            </w:r>
          </w:p>
        </w:tc>
        <w:tc>
          <w:tcPr>
            <w:tcW w:w="488" w:type="pct"/>
            <w:tcBorders>
              <w:top w:val="nil"/>
              <w:left w:val="single" w:sz="4" w:space="0" w:color="auto"/>
              <w:bottom w:val="nil"/>
              <w:right w:val="single" w:sz="4" w:space="0" w:color="auto"/>
            </w:tcBorders>
            <w:vAlign w:val="bottom"/>
            <w:hideMark/>
          </w:tcPr>
          <w:p w14:paraId="1F6F3173"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bottom w:val="nil"/>
              <w:right w:val="single" w:sz="4" w:space="0" w:color="auto"/>
            </w:tcBorders>
            <w:vAlign w:val="bottom"/>
            <w:hideMark/>
          </w:tcPr>
          <w:p w14:paraId="07C8BCEE" w14:textId="77777777" w:rsidR="00A74C68" w:rsidRPr="00A74C68" w:rsidRDefault="00A74C68" w:rsidP="00A74C68">
            <w:pPr>
              <w:jc w:val="right"/>
              <w:rPr>
                <w:color w:val="000000"/>
                <w:sz w:val="14"/>
                <w:szCs w:val="14"/>
                <w:lang w:eastAsia="tr-TR"/>
              </w:rPr>
            </w:pPr>
            <w:r w:rsidRPr="00A74C68">
              <w:rPr>
                <w:color w:val="000000"/>
                <w:sz w:val="14"/>
                <w:szCs w:val="14"/>
                <w:lang w:eastAsia="tr-TR"/>
              </w:rPr>
              <w:t>-</w:t>
            </w:r>
          </w:p>
        </w:tc>
      </w:tr>
      <w:tr w:rsidR="00A74C68" w:rsidRPr="00A74C68" w14:paraId="74E1FBFB" w14:textId="77777777" w:rsidTr="00A74C68">
        <w:trPr>
          <w:divId w:val="1875266624"/>
          <w:trHeight w:val="20"/>
        </w:trPr>
        <w:tc>
          <w:tcPr>
            <w:tcW w:w="380" w:type="pct"/>
            <w:tcBorders>
              <w:top w:val="nil"/>
              <w:left w:val="single" w:sz="4" w:space="0" w:color="auto"/>
              <w:right w:val="nil"/>
            </w:tcBorders>
            <w:noWrap/>
            <w:hideMark/>
          </w:tcPr>
          <w:p w14:paraId="3F6511ED" w14:textId="77777777" w:rsidR="00A74C68" w:rsidRPr="00A74C68" w:rsidRDefault="00A74C68" w:rsidP="00A74C68">
            <w:pPr>
              <w:rPr>
                <w:b/>
                <w:bCs/>
                <w:color w:val="000000"/>
                <w:sz w:val="14"/>
                <w:szCs w:val="14"/>
                <w:lang w:eastAsia="tr-TR"/>
              </w:rPr>
            </w:pPr>
            <w:r w:rsidRPr="00A74C68">
              <w:rPr>
                <w:b/>
                <w:bCs/>
                <w:sz w:val="14"/>
                <w:szCs w:val="14"/>
              </w:rPr>
              <w:t>XXIV.</w:t>
            </w:r>
          </w:p>
        </w:tc>
        <w:tc>
          <w:tcPr>
            <w:tcW w:w="3230" w:type="pct"/>
            <w:tcBorders>
              <w:top w:val="nil"/>
              <w:left w:val="nil"/>
              <w:right w:val="nil"/>
            </w:tcBorders>
            <w:hideMark/>
          </w:tcPr>
          <w:p w14:paraId="236D82B2" w14:textId="77777777" w:rsidR="00A74C68" w:rsidRPr="00A74C68" w:rsidRDefault="00A74C68" w:rsidP="00A74C68">
            <w:pPr>
              <w:rPr>
                <w:b/>
                <w:bCs/>
                <w:color w:val="000000"/>
                <w:sz w:val="14"/>
                <w:szCs w:val="14"/>
                <w:lang w:eastAsia="tr-TR"/>
              </w:rPr>
            </w:pPr>
            <w:r w:rsidRPr="00A74C68">
              <w:rPr>
                <w:b/>
                <w:bCs/>
                <w:sz w:val="14"/>
                <w:szCs w:val="14"/>
              </w:rPr>
              <w:t>DURDURULAN FAALİYETLER</w:t>
            </w:r>
            <w:r w:rsidRPr="00A74C68">
              <w:rPr>
                <w:b/>
                <w:bCs/>
                <w:color w:val="000000"/>
                <w:sz w:val="14"/>
                <w:szCs w:val="14"/>
                <w:lang w:eastAsia="tr-TR"/>
              </w:rPr>
              <w:t xml:space="preserve"> DÖNEM NET K/Z (XXII±XXIII)</w:t>
            </w:r>
          </w:p>
        </w:tc>
        <w:tc>
          <w:tcPr>
            <w:tcW w:w="488" w:type="pct"/>
            <w:tcBorders>
              <w:top w:val="nil"/>
              <w:left w:val="single" w:sz="4" w:space="0" w:color="auto"/>
              <w:right w:val="single" w:sz="4" w:space="0" w:color="auto"/>
            </w:tcBorders>
            <w:vAlign w:val="bottom"/>
            <w:hideMark/>
          </w:tcPr>
          <w:p w14:paraId="3B3BB916"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right w:val="single" w:sz="4" w:space="0" w:color="auto"/>
            </w:tcBorders>
            <w:vAlign w:val="bottom"/>
            <w:hideMark/>
          </w:tcPr>
          <w:p w14:paraId="7D385356"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w:t>
            </w:r>
          </w:p>
        </w:tc>
      </w:tr>
      <w:tr w:rsidR="00A74C68" w:rsidRPr="00A74C68" w14:paraId="193CE68B" w14:textId="77777777" w:rsidTr="00A74C68">
        <w:trPr>
          <w:divId w:val="1875266624"/>
          <w:trHeight w:val="20"/>
        </w:trPr>
        <w:tc>
          <w:tcPr>
            <w:tcW w:w="380" w:type="pct"/>
            <w:tcBorders>
              <w:top w:val="nil"/>
              <w:left w:val="single" w:sz="4" w:space="0" w:color="auto"/>
              <w:right w:val="nil"/>
            </w:tcBorders>
            <w:noWrap/>
            <w:hideMark/>
          </w:tcPr>
          <w:p w14:paraId="1C8CC233" w14:textId="77777777" w:rsidR="00A74C68" w:rsidRPr="00A74C68" w:rsidRDefault="00A74C68" w:rsidP="00A74C68">
            <w:pPr>
              <w:rPr>
                <w:b/>
                <w:bCs/>
                <w:color w:val="000000"/>
                <w:sz w:val="14"/>
                <w:szCs w:val="14"/>
                <w:lang w:eastAsia="tr-TR"/>
              </w:rPr>
            </w:pPr>
            <w:r w:rsidRPr="00A74C68">
              <w:rPr>
                <w:sz w:val="14"/>
                <w:szCs w:val="14"/>
              </w:rPr>
              <w:t>XXV.</w:t>
            </w:r>
          </w:p>
        </w:tc>
        <w:tc>
          <w:tcPr>
            <w:tcW w:w="3230" w:type="pct"/>
            <w:tcBorders>
              <w:top w:val="nil"/>
              <w:left w:val="nil"/>
              <w:right w:val="nil"/>
            </w:tcBorders>
            <w:hideMark/>
          </w:tcPr>
          <w:p w14:paraId="5F02D54C" w14:textId="77777777" w:rsidR="00A74C68" w:rsidRPr="00A74C68" w:rsidRDefault="00A74C68" w:rsidP="00A74C68">
            <w:pPr>
              <w:rPr>
                <w:b/>
                <w:bCs/>
                <w:color w:val="000000"/>
                <w:sz w:val="14"/>
                <w:szCs w:val="14"/>
                <w:lang w:eastAsia="tr-TR"/>
              </w:rPr>
            </w:pPr>
            <w:r w:rsidRPr="00A74C68">
              <w:rPr>
                <w:sz w:val="14"/>
                <w:szCs w:val="14"/>
              </w:rPr>
              <w:t>DÖNEM NET</w:t>
            </w:r>
            <w:r w:rsidRPr="00A74C68">
              <w:rPr>
                <w:b/>
                <w:bCs/>
                <w:color w:val="000000"/>
                <w:sz w:val="14"/>
                <w:szCs w:val="14"/>
                <w:lang w:eastAsia="tr-TR"/>
              </w:rPr>
              <w:t xml:space="preserve"> KARI/ZARARI (XIX+XXIV)</w:t>
            </w:r>
          </w:p>
        </w:tc>
        <w:tc>
          <w:tcPr>
            <w:tcW w:w="488" w:type="pct"/>
            <w:tcBorders>
              <w:top w:val="nil"/>
              <w:left w:val="single" w:sz="4" w:space="0" w:color="auto"/>
              <w:right w:val="single" w:sz="4" w:space="0" w:color="auto"/>
            </w:tcBorders>
            <w:vAlign w:val="bottom"/>
            <w:hideMark/>
          </w:tcPr>
          <w:p w14:paraId="0ABDBC59" w14:textId="77777777" w:rsidR="00A74C68" w:rsidRPr="00510F3F" w:rsidRDefault="00A74C68" w:rsidP="00A74C68">
            <w:pPr>
              <w:jc w:val="center"/>
              <w:rPr>
                <w:color w:val="000000"/>
                <w:sz w:val="18"/>
                <w:szCs w:val="18"/>
                <w:lang w:eastAsia="tr-TR"/>
              </w:rPr>
            </w:pPr>
            <w:r w:rsidRPr="00510F3F">
              <w:rPr>
                <w:sz w:val="14"/>
                <w:szCs w:val="14"/>
              </w:rPr>
              <w:t> </w:t>
            </w:r>
          </w:p>
        </w:tc>
        <w:tc>
          <w:tcPr>
            <w:tcW w:w="902" w:type="pct"/>
            <w:tcBorders>
              <w:top w:val="nil"/>
              <w:left w:val="nil"/>
              <w:right w:val="single" w:sz="4" w:space="0" w:color="auto"/>
            </w:tcBorders>
            <w:vAlign w:val="bottom"/>
            <w:hideMark/>
          </w:tcPr>
          <w:p w14:paraId="2BEF5FDA" w14:textId="77777777" w:rsidR="00A74C68" w:rsidRPr="00A74C68" w:rsidRDefault="00A74C68" w:rsidP="00A74C68">
            <w:pPr>
              <w:jc w:val="right"/>
              <w:rPr>
                <w:b/>
                <w:bCs/>
                <w:color w:val="000000"/>
                <w:sz w:val="14"/>
                <w:szCs w:val="14"/>
                <w:lang w:eastAsia="tr-TR"/>
              </w:rPr>
            </w:pPr>
            <w:r w:rsidRPr="00A74C68">
              <w:rPr>
                <w:b/>
                <w:bCs/>
                <w:color w:val="000000"/>
                <w:sz w:val="14"/>
                <w:szCs w:val="14"/>
                <w:lang w:eastAsia="tr-TR"/>
              </w:rPr>
              <w:t>2.057.211</w:t>
            </w:r>
          </w:p>
        </w:tc>
      </w:tr>
      <w:tr w:rsidR="00A74C68" w:rsidRPr="00A74C68" w14:paraId="61522E28" w14:textId="77777777" w:rsidTr="00A74C68">
        <w:trPr>
          <w:divId w:val="1875266624"/>
          <w:trHeight w:val="135"/>
        </w:trPr>
        <w:tc>
          <w:tcPr>
            <w:tcW w:w="380" w:type="pct"/>
            <w:tcBorders>
              <w:left w:val="single" w:sz="4" w:space="0" w:color="auto"/>
              <w:bottom w:val="single" w:sz="4" w:space="0" w:color="auto"/>
            </w:tcBorders>
            <w:noWrap/>
            <w:hideMark/>
          </w:tcPr>
          <w:p w14:paraId="50652CC0" w14:textId="77777777" w:rsidR="00A74C68" w:rsidRPr="00A74C68" w:rsidRDefault="00A74C68" w:rsidP="00A74C68">
            <w:pPr>
              <w:rPr>
                <w:color w:val="BFBFBF"/>
                <w:sz w:val="14"/>
                <w:szCs w:val="14"/>
                <w:lang w:eastAsia="tr-TR"/>
              </w:rPr>
            </w:pPr>
            <w:r w:rsidRPr="00A74C68">
              <w:rPr>
                <w:color w:val="BFBFBF"/>
                <w:sz w:val="14"/>
                <w:szCs w:val="14"/>
                <w:lang w:eastAsia="tr-TR"/>
              </w:rPr>
              <w:t> </w:t>
            </w:r>
          </w:p>
        </w:tc>
        <w:tc>
          <w:tcPr>
            <w:tcW w:w="3230" w:type="pct"/>
            <w:tcBorders>
              <w:bottom w:val="single" w:sz="4" w:space="0" w:color="auto"/>
              <w:right w:val="single" w:sz="4" w:space="0" w:color="auto"/>
            </w:tcBorders>
            <w:hideMark/>
          </w:tcPr>
          <w:p w14:paraId="54729BD0" w14:textId="77777777" w:rsidR="00A74C68" w:rsidRPr="009B7E9E" w:rsidRDefault="00A74C68" w:rsidP="00A74C68">
            <w:pPr>
              <w:rPr>
                <w:color w:val="000000"/>
                <w:sz w:val="14"/>
                <w:szCs w:val="14"/>
                <w:lang w:eastAsia="tr-TR"/>
              </w:rPr>
            </w:pPr>
            <w:r w:rsidRPr="009B7E9E">
              <w:rPr>
                <w:color w:val="000000"/>
                <w:sz w:val="14"/>
                <w:szCs w:val="14"/>
                <w:lang w:eastAsia="tr-TR"/>
              </w:rPr>
              <w:t>Hisse Başına Kâr / Zarar</w:t>
            </w:r>
          </w:p>
        </w:tc>
        <w:tc>
          <w:tcPr>
            <w:tcW w:w="488" w:type="pct"/>
            <w:tcBorders>
              <w:left w:val="single" w:sz="4" w:space="0" w:color="auto"/>
              <w:bottom w:val="single" w:sz="4" w:space="0" w:color="auto"/>
              <w:right w:val="single" w:sz="4" w:space="0" w:color="auto"/>
            </w:tcBorders>
            <w:vAlign w:val="bottom"/>
            <w:hideMark/>
          </w:tcPr>
          <w:p w14:paraId="4BD06124" w14:textId="77777777" w:rsidR="00A74C68" w:rsidRPr="009B7E9E" w:rsidRDefault="00A74C68" w:rsidP="00A74C68">
            <w:pPr>
              <w:jc w:val="center"/>
              <w:rPr>
                <w:color w:val="000000"/>
                <w:sz w:val="18"/>
                <w:szCs w:val="18"/>
                <w:lang w:eastAsia="tr-TR"/>
              </w:rPr>
            </w:pPr>
            <w:r w:rsidRPr="009B7E9E">
              <w:rPr>
                <w:color w:val="000000"/>
                <w:sz w:val="14"/>
                <w:szCs w:val="14"/>
                <w:lang w:eastAsia="tr-TR"/>
              </w:rPr>
              <w:t> </w:t>
            </w:r>
          </w:p>
        </w:tc>
        <w:tc>
          <w:tcPr>
            <w:tcW w:w="902" w:type="pct"/>
            <w:tcBorders>
              <w:left w:val="single" w:sz="4" w:space="0" w:color="auto"/>
              <w:bottom w:val="single" w:sz="4" w:space="0" w:color="auto"/>
              <w:right w:val="single" w:sz="4" w:space="0" w:color="auto"/>
            </w:tcBorders>
            <w:vAlign w:val="bottom"/>
            <w:hideMark/>
          </w:tcPr>
          <w:p w14:paraId="142B6F1B" w14:textId="79439D64" w:rsidR="00A74C68" w:rsidRPr="00A74C68" w:rsidRDefault="00471CBA" w:rsidP="00A74C68">
            <w:pPr>
              <w:jc w:val="right"/>
              <w:rPr>
                <w:b/>
                <w:bCs/>
                <w:color w:val="000000"/>
                <w:sz w:val="14"/>
                <w:szCs w:val="14"/>
                <w:lang w:eastAsia="tr-TR"/>
              </w:rPr>
            </w:pPr>
            <w:r w:rsidRPr="009B7E9E">
              <w:rPr>
                <w:b/>
                <w:bCs/>
                <w:color w:val="000000"/>
                <w:sz w:val="14"/>
                <w:szCs w:val="14"/>
                <w:lang w:eastAsia="tr-TR"/>
              </w:rPr>
              <w:t>0,28288</w:t>
            </w:r>
          </w:p>
        </w:tc>
      </w:tr>
    </w:tbl>
    <w:p w14:paraId="520C46CD" w14:textId="6221F968" w:rsidR="003E61C4" w:rsidRPr="00AC1668" w:rsidRDefault="003E61C4" w:rsidP="009F6E11">
      <w:pPr>
        <w:widowControl w:val="0"/>
        <w:jc w:val="center"/>
        <w:rPr>
          <w:szCs w:val="20"/>
        </w:rPr>
      </w:pPr>
    </w:p>
    <w:p w14:paraId="31A9DEDD" w14:textId="77777777" w:rsidR="009D2E02" w:rsidRPr="00471CBA" w:rsidRDefault="009D2E02" w:rsidP="009D2E02">
      <w:pPr>
        <w:widowControl w:val="0"/>
        <w:tabs>
          <w:tab w:val="left" w:pos="-426"/>
        </w:tabs>
        <w:ind w:right="-1"/>
        <w:jc w:val="both"/>
        <w:rPr>
          <w:sz w:val="18"/>
          <w:szCs w:val="18"/>
        </w:rPr>
      </w:pPr>
      <w:r w:rsidRPr="00471CBA">
        <w:rPr>
          <w:sz w:val="18"/>
          <w:szCs w:val="18"/>
        </w:rPr>
        <w:t>Banka, 1 Temmuz 2025 tarihi itibarıyla TFRS 9 Finansal Araçlar standardının değer düşüklüğüne ilişkin hükümlerini uygulamaya başlamış olup, önceki dönem finansal tabloları BDDK tarafından açıklanmış olan TFRS 9 uygulamayan bankalar için geçerli olan finansal tablo formatında sunulduğu için önceki dönem finansal tablo ve dipnotları yeniden düzenlenmemiş olup, ayrı olarak gösterilmiştir.</w:t>
      </w:r>
    </w:p>
    <w:p w14:paraId="19EFF96D" w14:textId="77777777" w:rsidR="00D245A8" w:rsidRPr="00471CBA" w:rsidRDefault="00D245A8" w:rsidP="001B6D11">
      <w:pPr>
        <w:widowControl w:val="0"/>
        <w:jc w:val="center"/>
        <w:rPr>
          <w:szCs w:val="20"/>
        </w:rPr>
      </w:pPr>
    </w:p>
    <w:p w14:paraId="0CDDA73D" w14:textId="77777777" w:rsidR="00D245A8" w:rsidRDefault="00D245A8" w:rsidP="001B6D11">
      <w:pPr>
        <w:widowControl w:val="0"/>
        <w:jc w:val="center"/>
        <w:rPr>
          <w:szCs w:val="20"/>
        </w:rPr>
      </w:pPr>
    </w:p>
    <w:p w14:paraId="22D29B7D" w14:textId="77777777" w:rsidR="00F36B82" w:rsidRDefault="00F36B82" w:rsidP="001B6D11">
      <w:pPr>
        <w:widowControl w:val="0"/>
        <w:jc w:val="center"/>
        <w:rPr>
          <w:szCs w:val="20"/>
        </w:rPr>
      </w:pPr>
    </w:p>
    <w:p w14:paraId="1953B828" w14:textId="77777777" w:rsidR="00F36B82" w:rsidRDefault="00F36B82" w:rsidP="001B6D11">
      <w:pPr>
        <w:widowControl w:val="0"/>
        <w:jc w:val="center"/>
        <w:rPr>
          <w:szCs w:val="20"/>
        </w:rPr>
      </w:pPr>
    </w:p>
    <w:p w14:paraId="31EB33FC" w14:textId="77777777" w:rsidR="00F36B82" w:rsidRPr="00471CBA" w:rsidRDefault="00F36B82" w:rsidP="001B6D11">
      <w:pPr>
        <w:widowControl w:val="0"/>
        <w:jc w:val="center"/>
        <w:rPr>
          <w:szCs w:val="20"/>
        </w:rPr>
      </w:pPr>
    </w:p>
    <w:p w14:paraId="0F1E809F" w14:textId="1DE9080B" w:rsidR="00482A8C" w:rsidRPr="00471CBA" w:rsidRDefault="00E85D26" w:rsidP="009F6E11">
      <w:pPr>
        <w:widowControl w:val="0"/>
        <w:jc w:val="center"/>
        <w:rPr>
          <w:szCs w:val="20"/>
        </w:rPr>
      </w:pPr>
      <w:r w:rsidRPr="00471CBA">
        <w:rPr>
          <w:szCs w:val="20"/>
        </w:rPr>
        <w:t>İlişikteki açıklama ve dipnotlar bu finansal tabloların tamamlayıcı bir parçasıdır.</w:t>
      </w:r>
    </w:p>
    <w:p w14:paraId="0006FFF1" w14:textId="6D2BBA9D" w:rsidR="0064066B" w:rsidRPr="00471CBA" w:rsidRDefault="0064066B">
      <w:pPr>
        <w:rPr>
          <w:sz w:val="16"/>
          <w:szCs w:val="16"/>
        </w:rPr>
      </w:pPr>
      <w:r w:rsidRPr="00471CBA">
        <w:rPr>
          <w:sz w:val="16"/>
          <w:szCs w:val="16"/>
        </w:rPr>
        <w:br w:type="page"/>
      </w:r>
    </w:p>
    <w:tbl>
      <w:tblPr>
        <w:tblW w:w="5000" w:type="pct"/>
        <w:tblCellMar>
          <w:left w:w="70" w:type="dxa"/>
          <w:right w:w="70" w:type="dxa"/>
        </w:tblCellMar>
        <w:tblLook w:val="04A0" w:firstRow="1" w:lastRow="0" w:firstColumn="1" w:lastColumn="0" w:noHBand="0" w:noVBand="1"/>
      </w:tblPr>
      <w:tblGrid>
        <w:gridCol w:w="666"/>
        <w:gridCol w:w="6996"/>
        <w:gridCol w:w="924"/>
        <w:gridCol w:w="1609"/>
      </w:tblGrid>
      <w:tr w:rsidR="0089682B" w:rsidRPr="00471CBA" w14:paraId="41A43F48" w14:textId="77777777" w:rsidTr="005459F7">
        <w:trPr>
          <w:trHeight w:val="20"/>
        </w:trPr>
        <w:tc>
          <w:tcPr>
            <w:tcW w:w="3758" w:type="pct"/>
            <w:gridSpan w:val="2"/>
            <w:tcBorders>
              <w:top w:val="single" w:sz="4" w:space="0" w:color="auto"/>
              <w:left w:val="single" w:sz="4" w:space="0" w:color="auto"/>
              <w:bottom w:val="single" w:sz="4" w:space="0" w:color="auto"/>
              <w:right w:val="single" w:sz="4" w:space="0" w:color="000000"/>
            </w:tcBorders>
            <w:vAlign w:val="center"/>
            <w:hideMark/>
          </w:tcPr>
          <w:p w14:paraId="65B7FE9A" w14:textId="77777777" w:rsidR="0089682B" w:rsidRPr="00471CBA" w:rsidRDefault="0089682B" w:rsidP="00B76AD4">
            <w:pPr>
              <w:jc w:val="center"/>
              <w:rPr>
                <w:b/>
                <w:bCs/>
                <w:color w:val="000000"/>
                <w:sz w:val="14"/>
                <w:szCs w:val="14"/>
              </w:rPr>
            </w:pPr>
            <w:r w:rsidRPr="00471CBA">
              <w:rPr>
                <w:b/>
                <w:bCs/>
                <w:color w:val="000000"/>
                <w:sz w:val="14"/>
                <w:szCs w:val="14"/>
              </w:rPr>
              <w:lastRenderedPageBreak/>
              <w:t>KAR VEYA ZARAR TABLOSU</w:t>
            </w:r>
          </w:p>
        </w:tc>
        <w:tc>
          <w:tcPr>
            <w:tcW w:w="453" w:type="pct"/>
            <w:tcBorders>
              <w:top w:val="single" w:sz="4" w:space="0" w:color="auto"/>
              <w:left w:val="nil"/>
              <w:bottom w:val="single" w:sz="4" w:space="0" w:color="auto"/>
              <w:right w:val="single" w:sz="4" w:space="0" w:color="auto"/>
            </w:tcBorders>
            <w:vAlign w:val="center"/>
            <w:hideMark/>
          </w:tcPr>
          <w:p w14:paraId="5EAF42D8" w14:textId="77777777" w:rsidR="0089682B" w:rsidRPr="00471CBA" w:rsidRDefault="0089682B" w:rsidP="00B76AD4">
            <w:pPr>
              <w:jc w:val="center"/>
              <w:rPr>
                <w:b/>
                <w:bCs/>
                <w:color w:val="000000"/>
                <w:sz w:val="14"/>
                <w:szCs w:val="14"/>
              </w:rPr>
            </w:pPr>
            <w:r w:rsidRPr="00471CBA">
              <w:rPr>
                <w:b/>
                <w:bCs/>
                <w:color w:val="000000"/>
                <w:sz w:val="14"/>
                <w:szCs w:val="14"/>
              </w:rPr>
              <w:t>Dipnot (Beşinci Bölüm-IV)</w:t>
            </w:r>
          </w:p>
        </w:tc>
        <w:tc>
          <w:tcPr>
            <w:tcW w:w="789" w:type="pct"/>
            <w:tcBorders>
              <w:top w:val="single" w:sz="4" w:space="0" w:color="auto"/>
              <w:left w:val="nil"/>
              <w:bottom w:val="single" w:sz="4" w:space="0" w:color="auto"/>
              <w:right w:val="single" w:sz="4" w:space="0" w:color="auto"/>
            </w:tcBorders>
            <w:vAlign w:val="bottom"/>
            <w:hideMark/>
          </w:tcPr>
          <w:p w14:paraId="5B877D20" w14:textId="77D82CA8" w:rsidR="005459F7" w:rsidRPr="00471CBA" w:rsidRDefault="005459F7" w:rsidP="003F1F4E">
            <w:pPr>
              <w:jc w:val="right"/>
              <w:rPr>
                <w:b/>
                <w:bCs/>
                <w:color w:val="000000"/>
                <w:sz w:val="14"/>
                <w:szCs w:val="14"/>
              </w:rPr>
            </w:pPr>
            <w:r w:rsidRPr="00471CBA">
              <w:rPr>
                <w:b/>
                <w:bCs/>
                <w:color w:val="000000"/>
                <w:sz w:val="14"/>
                <w:szCs w:val="14"/>
              </w:rPr>
              <w:t>Önceki Dönem</w:t>
            </w:r>
          </w:p>
          <w:p w14:paraId="04A43DB3" w14:textId="165F27D3" w:rsidR="0089682B" w:rsidRPr="00471CBA" w:rsidRDefault="005459F7" w:rsidP="003F1F4E">
            <w:pPr>
              <w:jc w:val="right"/>
              <w:rPr>
                <w:b/>
                <w:bCs/>
                <w:color w:val="000000"/>
                <w:sz w:val="14"/>
                <w:szCs w:val="14"/>
                <w:vertAlign w:val="superscript"/>
              </w:rPr>
            </w:pPr>
            <w:r w:rsidRPr="00471CBA">
              <w:rPr>
                <w:b/>
                <w:bCs/>
                <w:color w:val="000000"/>
                <w:sz w:val="14"/>
                <w:szCs w:val="14"/>
              </w:rPr>
              <w:t>1 Ocak - 31 Aralık 2024</w:t>
            </w:r>
          </w:p>
        </w:tc>
      </w:tr>
      <w:tr w:rsidR="005459F7" w:rsidRPr="00471CBA" w14:paraId="6963613F" w14:textId="77777777" w:rsidTr="005459F7">
        <w:trPr>
          <w:trHeight w:val="20"/>
        </w:trPr>
        <w:tc>
          <w:tcPr>
            <w:tcW w:w="327" w:type="pct"/>
            <w:tcBorders>
              <w:top w:val="nil"/>
              <w:left w:val="single" w:sz="4" w:space="0" w:color="auto"/>
              <w:bottom w:val="nil"/>
              <w:right w:val="nil"/>
            </w:tcBorders>
            <w:noWrap/>
            <w:hideMark/>
          </w:tcPr>
          <w:p w14:paraId="551C8DF6" w14:textId="77777777" w:rsidR="005459F7" w:rsidRPr="00471CBA" w:rsidRDefault="005459F7" w:rsidP="005459F7">
            <w:pPr>
              <w:rPr>
                <w:b/>
                <w:bCs/>
                <w:color w:val="000000"/>
                <w:sz w:val="14"/>
                <w:szCs w:val="14"/>
              </w:rPr>
            </w:pPr>
            <w:r w:rsidRPr="00471CBA">
              <w:rPr>
                <w:b/>
                <w:bCs/>
                <w:color w:val="000000"/>
                <w:sz w:val="14"/>
                <w:szCs w:val="14"/>
              </w:rPr>
              <w:t>I.</w:t>
            </w:r>
          </w:p>
        </w:tc>
        <w:tc>
          <w:tcPr>
            <w:tcW w:w="3431" w:type="pct"/>
            <w:tcBorders>
              <w:top w:val="single" w:sz="4" w:space="0" w:color="auto"/>
              <w:left w:val="nil"/>
              <w:bottom w:val="nil"/>
              <w:right w:val="nil"/>
            </w:tcBorders>
            <w:hideMark/>
          </w:tcPr>
          <w:p w14:paraId="437F0A48" w14:textId="77777777" w:rsidR="005459F7" w:rsidRPr="00471CBA" w:rsidRDefault="005459F7" w:rsidP="005459F7">
            <w:pPr>
              <w:rPr>
                <w:b/>
                <w:bCs/>
                <w:color w:val="000000"/>
                <w:sz w:val="14"/>
                <w:szCs w:val="14"/>
              </w:rPr>
            </w:pPr>
            <w:r w:rsidRPr="00471CBA">
              <w:rPr>
                <w:b/>
                <w:bCs/>
                <w:color w:val="000000"/>
                <w:sz w:val="14"/>
                <w:szCs w:val="14"/>
              </w:rPr>
              <w:t xml:space="preserve">KÂR PAYI GELİRLERİ  </w:t>
            </w:r>
          </w:p>
        </w:tc>
        <w:tc>
          <w:tcPr>
            <w:tcW w:w="453" w:type="pct"/>
            <w:tcBorders>
              <w:top w:val="single" w:sz="4" w:space="0" w:color="auto"/>
              <w:left w:val="single" w:sz="4" w:space="0" w:color="auto"/>
              <w:bottom w:val="nil"/>
              <w:right w:val="single" w:sz="4" w:space="0" w:color="auto"/>
            </w:tcBorders>
            <w:hideMark/>
          </w:tcPr>
          <w:p w14:paraId="7BBA45EB" w14:textId="470736A1" w:rsidR="005459F7" w:rsidRPr="00471CBA" w:rsidRDefault="005459F7" w:rsidP="005459F7">
            <w:pPr>
              <w:jc w:val="center"/>
              <w:rPr>
                <w:b/>
                <w:bCs/>
                <w:color w:val="000000"/>
                <w:sz w:val="14"/>
                <w:szCs w:val="14"/>
              </w:rPr>
            </w:pPr>
            <w:r w:rsidRPr="00471CBA">
              <w:rPr>
                <w:b/>
                <w:bCs/>
                <w:color w:val="000000"/>
                <w:sz w:val="14"/>
                <w:szCs w:val="14"/>
              </w:rPr>
              <w:t>(1)</w:t>
            </w:r>
          </w:p>
        </w:tc>
        <w:tc>
          <w:tcPr>
            <w:tcW w:w="789" w:type="pct"/>
            <w:tcBorders>
              <w:top w:val="nil"/>
              <w:left w:val="nil"/>
              <w:bottom w:val="nil"/>
              <w:right w:val="single" w:sz="4" w:space="0" w:color="auto"/>
            </w:tcBorders>
            <w:vAlign w:val="bottom"/>
            <w:hideMark/>
          </w:tcPr>
          <w:p w14:paraId="34193970" w14:textId="55488A67" w:rsidR="005459F7" w:rsidRPr="00471CBA" w:rsidRDefault="005459F7" w:rsidP="005459F7">
            <w:pPr>
              <w:jc w:val="right"/>
              <w:rPr>
                <w:b/>
                <w:bCs/>
                <w:color w:val="000000"/>
                <w:sz w:val="14"/>
                <w:szCs w:val="14"/>
              </w:rPr>
            </w:pPr>
            <w:r w:rsidRPr="00471CBA">
              <w:rPr>
                <w:b/>
                <w:bCs/>
                <w:color w:val="000000"/>
                <w:sz w:val="14"/>
                <w:szCs w:val="14"/>
              </w:rPr>
              <w:t>3.662.048</w:t>
            </w:r>
          </w:p>
        </w:tc>
      </w:tr>
      <w:tr w:rsidR="005459F7" w:rsidRPr="00471CBA" w14:paraId="210ACAA3" w14:textId="77777777" w:rsidTr="005459F7">
        <w:trPr>
          <w:trHeight w:val="20"/>
        </w:trPr>
        <w:tc>
          <w:tcPr>
            <w:tcW w:w="327" w:type="pct"/>
            <w:tcBorders>
              <w:top w:val="nil"/>
              <w:left w:val="single" w:sz="4" w:space="0" w:color="auto"/>
              <w:bottom w:val="nil"/>
              <w:right w:val="nil"/>
            </w:tcBorders>
            <w:noWrap/>
            <w:hideMark/>
          </w:tcPr>
          <w:p w14:paraId="24969F68" w14:textId="77777777" w:rsidR="005459F7" w:rsidRPr="00471CBA" w:rsidRDefault="005459F7" w:rsidP="005459F7">
            <w:pPr>
              <w:rPr>
                <w:color w:val="000000"/>
                <w:sz w:val="14"/>
                <w:szCs w:val="14"/>
              </w:rPr>
            </w:pPr>
            <w:r w:rsidRPr="00471CBA">
              <w:rPr>
                <w:color w:val="000000"/>
                <w:sz w:val="14"/>
                <w:szCs w:val="14"/>
              </w:rPr>
              <w:t>1.1</w:t>
            </w:r>
          </w:p>
        </w:tc>
        <w:tc>
          <w:tcPr>
            <w:tcW w:w="3431" w:type="pct"/>
            <w:tcBorders>
              <w:top w:val="nil"/>
              <w:left w:val="nil"/>
              <w:bottom w:val="nil"/>
              <w:right w:val="nil"/>
            </w:tcBorders>
            <w:hideMark/>
          </w:tcPr>
          <w:p w14:paraId="416E1360" w14:textId="77777777" w:rsidR="005459F7" w:rsidRPr="00471CBA" w:rsidRDefault="005459F7" w:rsidP="005459F7">
            <w:pPr>
              <w:rPr>
                <w:color w:val="000000"/>
                <w:sz w:val="14"/>
                <w:szCs w:val="14"/>
              </w:rPr>
            </w:pPr>
            <w:r w:rsidRPr="00471CBA">
              <w:rPr>
                <w:color w:val="000000"/>
                <w:sz w:val="14"/>
                <w:szCs w:val="14"/>
              </w:rPr>
              <w:t>Kredilerden Alınan Kâr Payları</w:t>
            </w:r>
          </w:p>
        </w:tc>
        <w:tc>
          <w:tcPr>
            <w:tcW w:w="453" w:type="pct"/>
            <w:tcBorders>
              <w:top w:val="nil"/>
              <w:left w:val="single" w:sz="4" w:space="0" w:color="auto"/>
              <w:bottom w:val="nil"/>
              <w:right w:val="single" w:sz="4" w:space="0" w:color="auto"/>
            </w:tcBorders>
            <w:hideMark/>
          </w:tcPr>
          <w:p w14:paraId="36EA255D" w14:textId="23C6F518"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4FA8324E" w14:textId="24D7555E" w:rsidR="005459F7" w:rsidRPr="00471CBA" w:rsidRDefault="005459F7" w:rsidP="005459F7">
            <w:pPr>
              <w:jc w:val="right"/>
              <w:rPr>
                <w:color w:val="000000"/>
                <w:sz w:val="14"/>
                <w:szCs w:val="14"/>
              </w:rPr>
            </w:pPr>
            <w:r w:rsidRPr="00471CBA">
              <w:rPr>
                <w:color w:val="000000"/>
                <w:sz w:val="14"/>
                <w:szCs w:val="14"/>
              </w:rPr>
              <w:t>2.995.052</w:t>
            </w:r>
          </w:p>
        </w:tc>
      </w:tr>
      <w:tr w:rsidR="005459F7" w:rsidRPr="00471CBA" w14:paraId="1C8945C6" w14:textId="77777777" w:rsidTr="005459F7">
        <w:trPr>
          <w:trHeight w:val="20"/>
        </w:trPr>
        <w:tc>
          <w:tcPr>
            <w:tcW w:w="327" w:type="pct"/>
            <w:tcBorders>
              <w:top w:val="nil"/>
              <w:left w:val="single" w:sz="4" w:space="0" w:color="auto"/>
              <w:bottom w:val="nil"/>
              <w:right w:val="nil"/>
            </w:tcBorders>
            <w:noWrap/>
            <w:hideMark/>
          </w:tcPr>
          <w:p w14:paraId="360C9A39" w14:textId="77777777" w:rsidR="005459F7" w:rsidRPr="00471CBA" w:rsidRDefault="005459F7" w:rsidP="005459F7">
            <w:pPr>
              <w:rPr>
                <w:color w:val="000000"/>
                <w:sz w:val="14"/>
                <w:szCs w:val="14"/>
              </w:rPr>
            </w:pPr>
            <w:r w:rsidRPr="00471CBA">
              <w:rPr>
                <w:color w:val="000000"/>
                <w:sz w:val="14"/>
                <w:szCs w:val="14"/>
              </w:rPr>
              <w:t>1.2</w:t>
            </w:r>
          </w:p>
        </w:tc>
        <w:tc>
          <w:tcPr>
            <w:tcW w:w="3431" w:type="pct"/>
            <w:tcBorders>
              <w:top w:val="nil"/>
              <w:left w:val="nil"/>
              <w:bottom w:val="nil"/>
              <w:right w:val="nil"/>
            </w:tcBorders>
            <w:hideMark/>
          </w:tcPr>
          <w:p w14:paraId="1C85405F" w14:textId="77777777" w:rsidR="005459F7" w:rsidRPr="00471CBA" w:rsidRDefault="005459F7" w:rsidP="005459F7">
            <w:pPr>
              <w:rPr>
                <w:color w:val="000000"/>
                <w:sz w:val="14"/>
                <w:szCs w:val="14"/>
              </w:rPr>
            </w:pPr>
            <w:r w:rsidRPr="00471CBA">
              <w:rPr>
                <w:color w:val="000000"/>
                <w:sz w:val="14"/>
                <w:szCs w:val="14"/>
              </w:rPr>
              <w:t>Zorunlu Karşılıklardan Alınan Gelirler</w:t>
            </w:r>
          </w:p>
        </w:tc>
        <w:tc>
          <w:tcPr>
            <w:tcW w:w="453" w:type="pct"/>
            <w:tcBorders>
              <w:top w:val="nil"/>
              <w:left w:val="single" w:sz="4" w:space="0" w:color="auto"/>
              <w:bottom w:val="nil"/>
              <w:right w:val="single" w:sz="4" w:space="0" w:color="auto"/>
            </w:tcBorders>
            <w:hideMark/>
          </w:tcPr>
          <w:p w14:paraId="3F0330D0" w14:textId="40E17E47"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78746D28" w14:textId="5CE2E8CC" w:rsidR="005459F7" w:rsidRPr="00471CBA" w:rsidRDefault="005459F7" w:rsidP="005459F7">
            <w:pPr>
              <w:jc w:val="right"/>
              <w:rPr>
                <w:color w:val="000000"/>
                <w:sz w:val="14"/>
                <w:szCs w:val="14"/>
              </w:rPr>
            </w:pPr>
            <w:r w:rsidRPr="00471CBA">
              <w:rPr>
                <w:color w:val="000000"/>
                <w:sz w:val="14"/>
                <w:szCs w:val="14"/>
              </w:rPr>
              <w:t>48.654</w:t>
            </w:r>
          </w:p>
        </w:tc>
      </w:tr>
      <w:tr w:rsidR="005459F7" w:rsidRPr="00471CBA" w14:paraId="47AE3CBD" w14:textId="77777777" w:rsidTr="005459F7">
        <w:trPr>
          <w:trHeight w:val="20"/>
        </w:trPr>
        <w:tc>
          <w:tcPr>
            <w:tcW w:w="327" w:type="pct"/>
            <w:tcBorders>
              <w:top w:val="nil"/>
              <w:left w:val="single" w:sz="4" w:space="0" w:color="auto"/>
              <w:bottom w:val="nil"/>
              <w:right w:val="nil"/>
            </w:tcBorders>
            <w:noWrap/>
            <w:hideMark/>
          </w:tcPr>
          <w:p w14:paraId="5946884E" w14:textId="77777777" w:rsidR="005459F7" w:rsidRPr="00471CBA" w:rsidRDefault="005459F7" w:rsidP="005459F7">
            <w:pPr>
              <w:rPr>
                <w:color w:val="000000"/>
                <w:sz w:val="14"/>
                <w:szCs w:val="14"/>
              </w:rPr>
            </w:pPr>
            <w:r w:rsidRPr="00471CBA">
              <w:rPr>
                <w:color w:val="000000"/>
                <w:sz w:val="14"/>
                <w:szCs w:val="14"/>
              </w:rPr>
              <w:t>1.3</w:t>
            </w:r>
          </w:p>
        </w:tc>
        <w:tc>
          <w:tcPr>
            <w:tcW w:w="3431" w:type="pct"/>
            <w:tcBorders>
              <w:top w:val="nil"/>
              <w:left w:val="nil"/>
              <w:bottom w:val="nil"/>
              <w:right w:val="nil"/>
            </w:tcBorders>
            <w:hideMark/>
          </w:tcPr>
          <w:p w14:paraId="01E80E34" w14:textId="77777777" w:rsidR="005459F7" w:rsidRPr="00471CBA" w:rsidRDefault="005459F7" w:rsidP="005459F7">
            <w:pPr>
              <w:rPr>
                <w:color w:val="000000"/>
                <w:sz w:val="14"/>
                <w:szCs w:val="14"/>
              </w:rPr>
            </w:pPr>
            <w:r w:rsidRPr="00471CBA">
              <w:rPr>
                <w:color w:val="000000"/>
                <w:sz w:val="14"/>
                <w:szCs w:val="14"/>
              </w:rPr>
              <w:t>Bankalardan Alınan Gelirler</w:t>
            </w:r>
          </w:p>
        </w:tc>
        <w:tc>
          <w:tcPr>
            <w:tcW w:w="453" w:type="pct"/>
            <w:tcBorders>
              <w:top w:val="nil"/>
              <w:left w:val="single" w:sz="4" w:space="0" w:color="auto"/>
              <w:bottom w:val="nil"/>
              <w:right w:val="single" w:sz="4" w:space="0" w:color="auto"/>
            </w:tcBorders>
            <w:hideMark/>
          </w:tcPr>
          <w:p w14:paraId="3E7589A7" w14:textId="7999684E"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3E2E9E51" w14:textId="6FA52130" w:rsidR="005459F7" w:rsidRPr="00471CBA" w:rsidRDefault="005459F7" w:rsidP="005459F7">
            <w:pPr>
              <w:jc w:val="right"/>
              <w:rPr>
                <w:color w:val="000000"/>
                <w:sz w:val="14"/>
                <w:szCs w:val="14"/>
              </w:rPr>
            </w:pPr>
            <w:r w:rsidRPr="00471CBA">
              <w:rPr>
                <w:color w:val="000000"/>
                <w:sz w:val="14"/>
                <w:szCs w:val="14"/>
              </w:rPr>
              <w:t>396.020</w:t>
            </w:r>
          </w:p>
        </w:tc>
      </w:tr>
      <w:tr w:rsidR="005459F7" w:rsidRPr="00471CBA" w14:paraId="4CA29A49" w14:textId="77777777" w:rsidTr="005459F7">
        <w:trPr>
          <w:trHeight w:val="20"/>
        </w:trPr>
        <w:tc>
          <w:tcPr>
            <w:tcW w:w="327" w:type="pct"/>
            <w:tcBorders>
              <w:top w:val="nil"/>
              <w:left w:val="single" w:sz="4" w:space="0" w:color="auto"/>
              <w:bottom w:val="nil"/>
              <w:right w:val="nil"/>
            </w:tcBorders>
            <w:noWrap/>
            <w:hideMark/>
          </w:tcPr>
          <w:p w14:paraId="025CF01C" w14:textId="77777777" w:rsidR="005459F7" w:rsidRPr="00471CBA" w:rsidRDefault="005459F7" w:rsidP="005459F7">
            <w:pPr>
              <w:rPr>
                <w:color w:val="000000"/>
                <w:sz w:val="14"/>
                <w:szCs w:val="14"/>
              </w:rPr>
            </w:pPr>
            <w:r w:rsidRPr="00471CBA">
              <w:rPr>
                <w:color w:val="000000"/>
                <w:sz w:val="14"/>
                <w:szCs w:val="14"/>
              </w:rPr>
              <w:t>1.4</w:t>
            </w:r>
          </w:p>
        </w:tc>
        <w:tc>
          <w:tcPr>
            <w:tcW w:w="3431" w:type="pct"/>
            <w:tcBorders>
              <w:top w:val="nil"/>
              <w:left w:val="nil"/>
              <w:bottom w:val="nil"/>
              <w:right w:val="nil"/>
            </w:tcBorders>
            <w:hideMark/>
          </w:tcPr>
          <w:p w14:paraId="427426A8" w14:textId="77777777" w:rsidR="005459F7" w:rsidRPr="00471CBA" w:rsidRDefault="005459F7" w:rsidP="005459F7">
            <w:pPr>
              <w:rPr>
                <w:color w:val="000000"/>
                <w:sz w:val="14"/>
                <w:szCs w:val="14"/>
              </w:rPr>
            </w:pPr>
            <w:r w:rsidRPr="00471CBA">
              <w:rPr>
                <w:color w:val="000000"/>
                <w:sz w:val="14"/>
                <w:szCs w:val="14"/>
              </w:rPr>
              <w:t>Para Piyasası İşlemlerinden Alınan Gelirler</w:t>
            </w:r>
          </w:p>
        </w:tc>
        <w:tc>
          <w:tcPr>
            <w:tcW w:w="453" w:type="pct"/>
            <w:tcBorders>
              <w:top w:val="nil"/>
              <w:left w:val="single" w:sz="4" w:space="0" w:color="auto"/>
              <w:bottom w:val="nil"/>
              <w:right w:val="single" w:sz="4" w:space="0" w:color="auto"/>
            </w:tcBorders>
            <w:hideMark/>
          </w:tcPr>
          <w:p w14:paraId="7CFBD59E" w14:textId="213841BD"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643F1664" w14:textId="2F8EBEA6" w:rsidR="005459F7" w:rsidRPr="00471CBA" w:rsidRDefault="005459F7" w:rsidP="005459F7">
            <w:pPr>
              <w:jc w:val="right"/>
              <w:rPr>
                <w:color w:val="000000"/>
                <w:sz w:val="14"/>
                <w:szCs w:val="14"/>
              </w:rPr>
            </w:pPr>
            <w:r w:rsidRPr="00471CBA">
              <w:rPr>
                <w:color w:val="000000"/>
                <w:sz w:val="14"/>
                <w:szCs w:val="14"/>
              </w:rPr>
              <w:t>5.336</w:t>
            </w:r>
          </w:p>
        </w:tc>
      </w:tr>
      <w:tr w:rsidR="005459F7" w:rsidRPr="00471CBA" w14:paraId="1861AAEB" w14:textId="77777777" w:rsidTr="005459F7">
        <w:trPr>
          <w:trHeight w:val="20"/>
        </w:trPr>
        <w:tc>
          <w:tcPr>
            <w:tcW w:w="327" w:type="pct"/>
            <w:tcBorders>
              <w:top w:val="nil"/>
              <w:left w:val="single" w:sz="4" w:space="0" w:color="auto"/>
              <w:bottom w:val="nil"/>
              <w:right w:val="nil"/>
            </w:tcBorders>
            <w:noWrap/>
            <w:hideMark/>
          </w:tcPr>
          <w:p w14:paraId="1505D397" w14:textId="77777777" w:rsidR="005459F7" w:rsidRPr="00471CBA" w:rsidRDefault="005459F7" w:rsidP="005459F7">
            <w:pPr>
              <w:rPr>
                <w:color w:val="000000"/>
                <w:sz w:val="14"/>
                <w:szCs w:val="14"/>
              </w:rPr>
            </w:pPr>
            <w:r w:rsidRPr="00471CBA">
              <w:rPr>
                <w:color w:val="000000"/>
                <w:sz w:val="14"/>
                <w:szCs w:val="14"/>
              </w:rPr>
              <w:t>1.5</w:t>
            </w:r>
          </w:p>
        </w:tc>
        <w:tc>
          <w:tcPr>
            <w:tcW w:w="3431" w:type="pct"/>
            <w:tcBorders>
              <w:top w:val="nil"/>
              <w:left w:val="nil"/>
              <w:bottom w:val="nil"/>
              <w:right w:val="nil"/>
            </w:tcBorders>
            <w:hideMark/>
          </w:tcPr>
          <w:p w14:paraId="1B92FF01" w14:textId="77777777" w:rsidR="005459F7" w:rsidRPr="00471CBA" w:rsidRDefault="005459F7" w:rsidP="005459F7">
            <w:pPr>
              <w:rPr>
                <w:color w:val="000000"/>
                <w:sz w:val="14"/>
                <w:szCs w:val="14"/>
              </w:rPr>
            </w:pPr>
            <w:r w:rsidRPr="00471CBA">
              <w:rPr>
                <w:color w:val="000000"/>
                <w:sz w:val="14"/>
                <w:szCs w:val="14"/>
              </w:rPr>
              <w:t>Menkul Değerlerden Alınan Gelirler</w:t>
            </w:r>
          </w:p>
        </w:tc>
        <w:tc>
          <w:tcPr>
            <w:tcW w:w="453" w:type="pct"/>
            <w:tcBorders>
              <w:top w:val="nil"/>
              <w:left w:val="single" w:sz="4" w:space="0" w:color="auto"/>
              <w:bottom w:val="nil"/>
              <w:right w:val="single" w:sz="4" w:space="0" w:color="auto"/>
            </w:tcBorders>
            <w:hideMark/>
          </w:tcPr>
          <w:p w14:paraId="714D9736" w14:textId="0D997329"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48AEE841" w14:textId="7FC503EF" w:rsidR="005459F7" w:rsidRPr="00471CBA" w:rsidRDefault="005459F7" w:rsidP="005459F7">
            <w:pPr>
              <w:jc w:val="right"/>
              <w:rPr>
                <w:color w:val="000000"/>
                <w:sz w:val="14"/>
                <w:szCs w:val="14"/>
              </w:rPr>
            </w:pPr>
            <w:r w:rsidRPr="00471CBA">
              <w:rPr>
                <w:color w:val="000000"/>
                <w:sz w:val="14"/>
                <w:szCs w:val="14"/>
              </w:rPr>
              <w:t>216.103</w:t>
            </w:r>
          </w:p>
        </w:tc>
      </w:tr>
      <w:tr w:rsidR="005459F7" w:rsidRPr="00471CBA" w14:paraId="5C4E9910" w14:textId="77777777" w:rsidTr="005459F7">
        <w:trPr>
          <w:trHeight w:val="20"/>
        </w:trPr>
        <w:tc>
          <w:tcPr>
            <w:tcW w:w="327" w:type="pct"/>
            <w:tcBorders>
              <w:top w:val="nil"/>
              <w:left w:val="single" w:sz="4" w:space="0" w:color="auto"/>
              <w:bottom w:val="nil"/>
              <w:right w:val="nil"/>
            </w:tcBorders>
            <w:noWrap/>
            <w:hideMark/>
          </w:tcPr>
          <w:p w14:paraId="75E6B10A" w14:textId="77777777" w:rsidR="005459F7" w:rsidRPr="00471CBA" w:rsidRDefault="005459F7" w:rsidP="005459F7">
            <w:pPr>
              <w:rPr>
                <w:color w:val="000000"/>
                <w:sz w:val="14"/>
                <w:szCs w:val="14"/>
              </w:rPr>
            </w:pPr>
            <w:r w:rsidRPr="00471CBA">
              <w:rPr>
                <w:color w:val="000000"/>
                <w:sz w:val="14"/>
                <w:szCs w:val="14"/>
              </w:rPr>
              <w:t>1.5.1</w:t>
            </w:r>
          </w:p>
        </w:tc>
        <w:tc>
          <w:tcPr>
            <w:tcW w:w="3431" w:type="pct"/>
            <w:tcBorders>
              <w:top w:val="nil"/>
              <w:left w:val="nil"/>
              <w:bottom w:val="nil"/>
              <w:right w:val="nil"/>
            </w:tcBorders>
            <w:hideMark/>
          </w:tcPr>
          <w:p w14:paraId="2E22CB43" w14:textId="77777777" w:rsidR="005459F7" w:rsidRPr="00471CBA" w:rsidRDefault="005459F7" w:rsidP="005459F7">
            <w:pPr>
              <w:rPr>
                <w:color w:val="000000"/>
                <w:sz w:val="14"/>
                <w:szCs w:val="14"/>
              </w:rPr>
            </w:pPr>
            <w:r w:rsidRPr="00471CBA">
              <w:rPr>
                <w:color w:val="000000"/>
                <w:sz w:val="14"/>
                <w:szCs w:val="14"/>
              </w:rPr>
              <w:t>Gerçeğe Uygun Değer Farkı Kar Zarara Yansıtılanlar</w:t>
            </w:r>
          </w:p>
        </w:tc>
        <w:tc>
          <w:tcPr>
            <w:tcW w:w="453" w:type="pct"/>
            <w:tcBorders>
              <w:top w:val="nil"/>
              <w:left w:val="single" w:sz="4" w:space="0" w:color="auto"/>
              <w:bottom w:val="nil"/>
              <w:right w:val="single" w:sz="4" w:space="0" w:color="auto"/>
            </w:tcBorders>
            <w:hideMark/>
          </w:tcPr>
          <w:p w14:paraId="07DCA249" w14:textId="3A35230E"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364A6EF0" w14:textId="32C65E85" w:rsidR="005459F7" w:rsidRPr="00471CBA" w:rsidRDefault="005459F7" w:rsidP="005459F7">
            <w:pPr>
              <w:jc w:val="right"/>
              <w:rPr>
                <w:color w:val="000000"/>
                <w:sz w:val="14"/>
                <w:szCs w:val="14"/>
              </w:rPr>
            </w:pPr>
            <w:r w:rsidRPr="00471CBA">
              <w:rPr>
                <w:color w:val="000000"/>
                <w:sz w:val="14"/>
                <w:szCs w:val="14"/>
              </w:rPr>
              <w:t>333</w:t>
            </w:r>
          </w:p>
        </w:tc>
      </w:tr>
      <w:tr w:rsidR="005459F7" w:rsidRPr="00471CBA" w14:paraId="7AE9BC6E" w14:textId="77777777" w:rsidTr="005459F7">
        <w:trPr>
          <w:trHeight w:val="20"/>
        </w:trPr>
        <w:tc>
          <w:tcPr>
            <w:tcW w:w="327" w:type="pct"/>
            <w:tcBorders>
              <w:top w:val="nil"/>
              <w:left w:val="single" w:sz="4" w:space="0" w:color="auto"/>
              <w:bottom w:val="nil"/>
              <w:right w:val="nil"/>
            </w:tcBorders>
            <w:noWrap/>
            <w:hideMark/>
          </w:tcPr>
          <w:p w14:paraId="4E52F0D3" w14:textId="77777777" w:rsidR="005459F7" w:rsidRPr="00471CBA" w:rsidRDefault="005459F7" w:rsidP="005459F7">
            <w:pPr>
              <w:rPr>
                <w:color w:val="000000"/>
                <w:sz w:val="14"/>
                <w:szCs w:val="14"/>
              </w:rPr>
            </w:pPr>
            <w:r w:rsidRPr="00471CBA">
              <w:rPr>
                <w:color w:val="000000"/>
                <w:sz w:val="14"/>
                <w:szCs w:val="14"/>
              </w:rPr>
              <w:t>1.5.2</w:t>
            </w:r>
          </w:p>
        </w:tc>
        <w:tc>
          <w:tcPr>
            <w:tcW w:w="3431" w:type="pct"/>
            <w:tcBorders>
              <w:top w:val="nil"/>
              <w:left w:val="nil"/>
              <w:bottom w:val="nil"/>
              <w:right w:val="nil"/>
            </w:tcBorders>
            <w:hideMark/>
          </w:tcPr>
          <w:p w14:paraId="5EEDABB6" w14:textId="77777777" w:rsidR="005459F7" w:rsidRPr="00471CBA" w:rsidRDefault="005459F7" w:rsidP="005459F7">
            <w:pPr>
              <w:rPr>
                <w:color w:val="000000"/>
                <w:sz w:val="14"/>
                <w:szCs w:val="14"/>
              </w:rPr>
            </w:pPr>
            <w:r w:rsidRPr="00471CBA">
              <w:rPr>
                <w:color w:val="000000"/>
                <w:sz w:val="14"/>
                <w:szCs w:val="14"/>
              </w:rPr>
              <w:t>Gerçeğe Uygun Değer Farkı Diğer Kapsamlı Gelire Yansıtılanlar</w:t>
            </w:r>
          </w:p>
        </w:tc>
        <w:tc>
          <w:tcPr>
            <w:tcW w:w="453" w:type="pct"/>
            <w:tcBorders>
              <w:top w:val="nil"/>
              <w:left w:val="single" w:sz="4" w:space="0" w:color="auto"/>
              <w:bottom w:val="nil"/>
              <w:right w:val="single" w:sz="4" w:space="0" w:color="auto"/>
            </w:tcBorders>
            <w:hideMark/>
          </w:tcPr>
          <w:p w14:paraId="5EE155E2" w14:textId="47699F59"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05A8A71B" w14:textId="05BC9D01" w:rsidR="005459F7" w:rsidRPr="00471CBA" w:rsidRDefault="005459F7" w:rsidP="005459F7">
            <w:pPr>
              <w:jc w:val="right"/>
              <w:rPr>
                <w:color w:val="000000"/>
                <w:sz w:val="14"/>
                <w:szCs w:val="14"/>
              </w:rPr>
            </w:pPr>
            <w:r w:rsidRPr="00471CBA">
              <w:rPr>
                <w:color w:val="000000"/>
                <w:sz w:val="14"/>
                <w:szCs w:val="14"/>
              </w:rPr>
              <w:t>121.965</w:t>
            </w:r>
          </w:p>
        </w:tc>
      </w:tr>
      <w:tr w:rsidR="005459F7" w:rsidRPr="00471CBA" w14:paraId="1F6A3259" w14:textId="77777777" w:rsidTr="005459F7">
        <w:trPr>
          <w:trHeight w:val="20"/>
        </w:trPr>
        <w:tc>
          <w:tcPr>
            <w:tcW w:w="327" w:type="pct"/>
            <w:tcBorders>
              <w:top w:val="nil"/>
              <w:left w:val="single" w:sz="4" w:space="0" w:color="auto"/>
              <w:bottom w:val="nil"/>
              <w:right w:val="nil"/>
            </w:tcBorders>
            <w:noWrap/>
            <w:hideMark/>
          </w:tcPr>
          <w:p w14:paraId="73EEB6A1" w14:textId="77777777" w:rsidR="005459F7" w:rsidRPr="00471CBA" w:rsidRDefault="005459F7" w:rsidP="005459F7">
            <w:pPr>
              <w:rPr>
                <w:color w:val="000000"/>
                <w:sz w:val="14"/>
                <w:szCs w:val="14"/>
              </w:rPr>
            </w:pPr>
            <w:r w:rsidRPr="00471CBA">
              <w:rPr>
                <w:color w:val="000000"/>
                <w:sz w:val="14"/>
                <w:szCs w:val="14"/>
              </w:rPr>
              <w:t>1.5.3</w:t>
            </w:r>
          </w:p>
        </w:tc>
        <w:tc>
          <w:tcPr>
            <w:tcW w:w="3431" w:type="pct"/>
            <w:tcBorders>
              <w:top w:val="nil"/>
              <w:left w:val="nil"/>
              <w:bottom w:val="nil"/>
              <w:right w:val="nil"/>
            </w:tcBorders>
            <w:hideMark/>
          </w:tcPr>
          <w:p w14:paraId="27E12345" w14:textId="77777777" w:rsidR="005459F7" w:rsidRPr="00471CBA" w:rsidRDefault="005459F7" w:rsidP="005459F7">
            <w:pPr>
              <w:rPr>
                <w:color w:val="000000"/>
                <w:sz w:val="14"/>
                <w:szCs w:val="14"/>
              </w:rPr>
            </w:pPr>
            <w:r w:rsidRPr="00471CBA">
              <w:rPr>
                <w:color w:val="000000"/>
                <w:sz w:val="14"/>
                <w:szCs w:val="14"/>
              </w:rPr>
              <w:t xml:space="preserve">İtfa Edilmiş Maliyeti </w:t>
            </w:r>
            <w:proofErr w:type="gramStart"/>
            <w:r w:rsidRPr="00471CBA">
              <w:rPr>
                <w:color w:val="000000"/>
                <w:sz w:val="14"/>
                <w:szCs w:val="14"/>
              </w:rPr>
              <w:t>İle</w:t>
            </w:r>
            <w:proofErr w:type="gramEnd"/>
            <w:r w:rsidRPr="00471CBA">
              <w:rPr>
                <w:color w:val="000000"/>
                <w:sz w:val="14"/>
                <w:szCs w:val="14"/>
              </w:rPr>
              <w:t xml:space="preserve"> Ölçülenler</w:t>
            </w:r>
          </w:p>
        </w:tc>
        <w:tc>
          <w:tcPr>
            <w:tcW w:w="453" w:type="pct"/>
            <w:tcBorders>
              <w:top w:val="nil"/>
              <w:left w:val="single" w:sz="4" w:space="0" w:color="auto"/>
              <w:bottom w:val="nil"/>
              <w:right w:val="single" w:sz="4" w:space="0" w:color="auto"/>
            </w:tcBorders>
            <w:hideMark/>
          </w:tcPr>
          <w:p w14:paraId="0312CD63" w14:textId="3919FA48"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035DEEBD" w14:textId="7C1B1E84" w:rsidR="005459F7" w:rsidRPr="00471CBA" w:rsidRDefault="005459F7" w:rsidP="005459F7">
            <w:pPr>
              <w:jc w:val="right"/>
              <w:rPr>
                <w:color w:val="000000"/>
                <w:sz w:val="14"/>
                <w:szCs w:val="14"/>
              </w:rPr>
            </w:pPr>
            <w:r w:rsidRPr="00471CBA">
              <w:rPr>
                <w:color w:val="000000"/>
                <w:sz w:val="14"/>
                <w:szCs w:val="14"/>
              </w:rPr>
              <w:t>93.805</w:t>
            </w:r>
          </w:p>
        </w:tc>
      </w:tr>
      <w:tr w:rsidR="005459F7" w:rsidRPr="00471CBA" w14:paraId="2E6EEED8" w14:textId="77777777" w:rsidTr="005459F7">
        <w:trPr>
          <w:trHeight w:val="20"/>
        </w:trPr>
        <w:tc>
          <w:tcPr>
            <w:tcW w:w="327" w:type="pct"/>
            <w:tcBorders>
              <w:top w:val="nil"/>
              <w:left w:val="single" w:sz="4" w:space="0" w:color="auto"/>
              <w:bottom w:val="nil"/>
              <w:right w:val="nil"/>
            </w:tcBorders>
            <w:noWrap/>
            <w:hideMark/>
          </w:tcPr>
          <w:p w14:paraId="481A46C4" w14:textId="77777777" w:rsidR="005459F7" w:rsidRPr="00471CBA" w:rsidRDefault="005459F7" w:rsidP="005459F7">
            <w:pPr>
              <w:rPr>
                <w:color w:val="000000"/>
                <w:sz w:val="14"/>
                <w:szCs w:val="14"/>
              </w:rPr>
            </w:pPr>
            <w:r w:rsidRPr="00471CBA">
              <w:rPr>
                <w:color w:val="000000"/>
                <w:sz w:val="14"/>
                <w:szCs w:val="14"/>
              </w:rPr>
              <w:t>1.6</w:t>
            </w:r>
          </w:p>
        </w:tc>
        <w:tc>
          <w:tcPr>
            <w:tcW w:w="3431" w:type="pct"/>
            <w:tcBorders>
              <w:top w:val="nil"/>
              <w:left w:val="nil"/>
              <w:bottom w:val="nil"/>
              <w:right w:val="nil"/>
            </w:tcBorders>
            <w:hideMark/>
          </w:tcPr>
          <w:p w14:paraId="33199D27" w14:textId="77777777" w:rsidR="005459F7" w:rsidRPr="00471CBA" w:rsidRDefault="005459F7" w:rsidP="005459F7">
            <w:pPr>
              <w:rPr>
                <w:color w:val="000000"/>
                <w:sz w:val="14"/>
                <w:szCs w:val="14"/>
              </w:rPr>
            </w:pPr>
            <w:r w:rsidRPr="00471CBA">
              <w:rPr>
                <w:color w:val="000000"/>
                <w:sz w:val="14"/>
                <w:szCs w:val="14"/>
              </w:rPr>
              <w:t>Finansal Kiralama Gelirleri</w:t>
            </w:r>
          </w:p>
        </w:tc>
        <w:tc>
          <w:tcPr>
            <w:tcW w:w="453" w:type="pct"/>
            <w:tcBorders>
              <w:top w:val="nil"/>
              <w:left w:val="single" w:sz="4" w:space="0" w:color="auto"/>
              <w:bottom w:val="nil"/>
              <w:right w:val="single" w:sz="4" w:space="0" w:color="auto"/>
            </w:tcBorders>
            <w:hideMark/>
          </w:tcPr>
          <w:p w14:paraId="78AEB3BC" w14:textId="29D76067"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613239F1" w14:textId="226D0351" w:rsidR="005459F7" w:rsidRPr="00471CBA" w:rsidRDefault="005459F7" w:rsidP="005459F7">
            <w:pPr>
              <w:jc w:val="right"/>
              <w:rPr>
                <w:color w:val="000000"/>
                <w:sz w:val="14"/>
                <w:szCs w:val="14"/>
              </w:rPr>
            </w:pPr>
            <w:r w:rsidRPr="00471CBA">
              <w:rPr>
                <w:color w:val="000000"/>
                <w:sz w:val="14"/>
                <w:szCs w:val="14"/>
              </w:rPr>
              <w:t>883</w:t>
            </w:r>
          </w:p>
        </w:tc>
      </w:tr>
      <w:tr w:rsidR="005459F7" w:rsidRPr="00471CBA" w14:paraId="526EA7DE" w14:textId="77777777" w:rsidTr="005459F7">
        <w:trPr>
          <w:trHeight w:val="20"/>
        </w:trPr>
        <w:tc>
          <w:tcPr>
            <w:tcW w:w="327" w:type="pct"/>
            <w:tcBorders>
              <w:top w:val="nil"/>
              <w:left w:val="single" w:sz="4" w:space="0" w:color="auto"/>
              <w:bottom w:val="nil"/>
              <w:right w:val="nil"/>
            </w:tcBorders>
            <w:noWrap/>
            <w:hideMark/>
          </w:tcPr>
          <w:p w14:paraId="70CD986D" w14:textId="77777777" w:rsidR="005459F7" w:rsidRPr="00471CBA" w:rsidRDefault="005459F7" w:rsidP="005459F7">
            <w:pPr>
              <w:rPr>
                <w:color w:val="000000"/>
                <w:sz w:val="14"/>
                <w:szCs w:val="14"/>
              </w:rPr>
            </w:pPr>
            <w:r w:rsidRPr="00471CBA">
              <w:rPr>
                <w:color w:val="000000"/>
                <w:sz w:val="14"/>
                <w:szCs w:val="14"/>
              </w:rPr>
              <w:t>1.7</w:t>
            </w:r>
          </w:p>
        </w:tc>
        <w:tc>
          <w:tcPr>
            <w:tcW w:w="3431" w:type="pct"/>
            <w:tcBorders>
              <w:top w:val="nil"/>
              <w:left w:val="nil"/>
              <w:bottom w:val="nil"/>
              <w:right w:val="nil"/>
            </w:tcBorders>
            <w:hideMark/>
          </w:tcPr>
          <w:p w14:paraId="1A5D8423" w14:textId="77777777" w:rsidR="005459F7" w:rsidRPr="00471CBA" w:rsidRDefault="005459F7" w:rsidP="005459F7">
            <w:pPr>
              <w:rPr>
                <w:color w:val="000000"/>
                <w:sz w:val="14"/>
                <w:szCs w:val="14"/>
              </w:rPr>
            </w:pPr>
            <w:r w:rsidRPr="00471CBA">
              <w:rPr>
                <w:color w:val="000000"/>
                <w:sz w:val="14"/>
                <w:szCs w:val="14"/>
              </w:rPr>
              <w:t xml:space="preserve">Diğer Kâr Payı Gelirleri  </w:t>
            </w:r>
          </w:p>
        </w:tc>
        <w:tc>
          <w:tcPr>
            <w:tcW w:w="453" w:type="pct"/>
            <w:tcBorders>
              <w:top w:val="nil"/>
              <w:left w:val="single" w:sz="4" w:space="0" w:color="auto"/>
              <w:bottom w:val="nil"/>
              <w:right w:val="single" w:sz="4" w:space="0" w:color="auto"/>
            </w:tcBorders>
            <w:hideMark/>
          </w:tcPr>
          <w:p w14:paraId="10A2F3FB" w14:textId="63D89C4D"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56769FAD" w14:textId="4A791C60" w:rsidR="005459F7" w:rsidRPr="00471CBA" w:rsidRDefault="005459F7" w:rsidP="005459F7">
            <w:pPr>
              <w:jc w:val="right"/>
              <w:rPr>
                <w:color w:val="000000"/>
                <w:sz w:val="14"/>
                <w:szCs w:val="14"/>
              </w:rPr>
            </w:pPr>
            <w:r w:rsidRPr="00471CBA">
              <w:rPr>
                <w:color w:val="000000"/>
                <w:sz w:val="14"/>
                <w:szCs w:val="14"/>
              </w:rPr>
              <w:t>-</w:t>
            </w:r>
          </w:p>
        </w:tc>
      </w:tr>
      <w:tr w:rsidR="005459F7" w:rsidRPr="00471CBA" w14:paraId="44C46A7C" w14:textId="77777777" w:rsidTr="005459F7">
        <w:trPr>
          <w:trHeight w:val="20"/>
        </w:trPr>
        <w:tc>
          <w:tcPr>
            <w:tcW w:w="327" w:type="pct"/>
            <w:tcBorders>
              <w:top w:val="nil"/>
              <w:left w:val="single" w:sz="4" w:space="0" w:color="auto"/>
              <w:bottom w:val="nil"/>
              <w:right w:val="nil"/>
            </w:tcBorders>
            <w:noWrap/>
            <w:hideMark/>
          </w:tcPr>
          <w:p w14:paraId="7A2ABF98" w14:textId="77777777" w:rsidR="005459F7" w:rsidRPr="00471CBA" w:rsidRDefault="005459F7" w:rsidP="005459F7">
            <w:pPr>
              <w:rPr>
                <w:b/>
                <w:bCs/>
                <w:color w:val="000000"/>
                <w:sz w:val="14"/>
                <w:szCs w:val="14"/>
              </w:rPr>
            </w:pPr>
            <w:r w:rsidRPr="00471CBA">
              <w:rPr>
                <w:b/>
                <w:bCs/>
                <w:color w:val="000000"/>
                <w:sz w:val="14"/>
                <w:szCs w:val="14"/>
              </w:rPr>
              <w:t>II.</w:t>
            </w:r>
          </w:p>
        </w:tc>
        <w:tc>
          <w:tcPr>
            <w:tcW w:w="3431" w:type="pct"/>
            <w:tcBorders>
              <w:top w:val="nil"/>
              <w:left w:val="nil"/>
              <w:bottom w:val="nil"/>
              <w:right w:val="nil"/>
            </w:tcBorders>
            <w:hideMark/>
          </w:tcPr>
          <w:p w14:paraId="55052327" w14:textId="77777777" w:rsidR="005459F7" w:rsidRPr="00471CBA" w:rsidRDefault="005459F7" w:rsidP="005459F7">
            <w:pPr>
              <w:rPr>
                <w:b/>
                <w:bCs/>
                <w:color w:val="000000"/>
                <w:sz w:val="14"/>
                <w:szCs w:val="14"/>
              </w:rPr>
            </w:pPr>
            <w:r w:rsidRPr="00471CBA">
              <w:rPr>
                <w:b/>
                <w:bCs/>
                <w:color w:val="000000"/>
                <w:sz w:val="14"/>
                <w:szCs w:val="14"/>
              </w:rPr>
              <w:t xml:space="preserve">KÂR PAYI GİDERLERİ (-)  </w:t>
            </w:r>
          </w:p>
        </w:tc>
        <w:tc>
          <w:tcPr>
            <w:tcW w:w="453" w:type="pct"/>
            <w:tcBorders>
              <w:top w:val="nil"/>
              <w:left w:val="single" w:sz="4" w:space="0" w:color="auto"/>
              <w:bottom w:val="nil"/>
              <w:right w:val="single" w:sz="4" w:space="0" w:color="auto"/>
            </w:tcBorders>
            <w:hideMark/>
          </w:tcPr>
          <w:p w14:paraId="41226F9A" w14:textId="4536ABF9" w:rsidR="005459F7" w:rsidRPr="00471CBA" w:rsidRDefault="005459F7" w:rsidP="005459F7">
            <w:pPr>
              <w:jc w:val="center"/>
              <w:rPr>
                <w:b/>
                <w:bCs/>
                <w:color w:val="000000"/>
                <w:sz w:val="14"/>
                <w:szCs w:val="14"/>
              </w:rPr>
            </w:pPr>
            <w:r w:rsidRPr="00471CBA">
              <w:rPr>
                <w:b/>
                <w:bCs/>
                <w:color w:val="000000"/>
                <w:sz w:val="14"/>
                <w:szCs w:val="14"/>
              </w:rPr>
              <w:t>(2)</w:t>
            </w:r>
          </w:p>
        </w:tc>
        <w:tc>
          <w:tcPr>
            <w:tcW w:w="789" w:type="pct"/>
            <w:tcBorders>
              <w:top w:val="nil"/>
              <w:left w:val="nil"/>
              <w:bottom w:val="nil"/>
              <w:right w:val="single" w:sz="4" w:space="0" w:color="auto"/>
            </w:tcBorders>
            <w:vAlign w:val="bottom"/>
            <w:hideMark/>
          </w:tcPr>
          <w:p w14:paraId="61203804" w14:textId="36B3260D" w:rsidR="005459F7" w:rsidRPr="00471CBA" w:rsidRDefault="005459F7" w:rsidP="005459F7">
            <w:pPr>
              <w:jc w:val="right"/>
              <w:rPr>
                <w:b/>
                <w:bCs/>
                <w:color w:val="000000"/>
                <w:sz w:val="14"/>
                <w:szCs w:val="14"/>
              </w:rPr>
            </w:pPr>
            <w:r w:rsidRPr="00471CBA">
              <w:rPr>
                <w:b/>
                <w:bCs/>
                <w:color w:val="000000"/>
                <w:sz w:val="14"/>
                <w:szCs w:val="14"/>
              </w:rPr>
              <w:t>2.059.455</w:t>
            </w:r>
          </w:p>
        </w:tc>
      </w:tr>
      <w:tr w:rsidR="005459F7" w:rsidRPr="00471CBA" w14:paraId="7469148F" w14:textId="77777777" w:rsidTr="005459F7">
        <w:trPr>
          <w:trHeight w:val="20"/>
        </w:trPr>
        <w:tc>
          <w:tcPr>
            <w:tcW w:w="327" w:type="pct"/>
            <w:tcBorders>
              <w:top w:val="nil"/>
              <w:left w:val="single" w:sz="4" w:space="0" w:color="auto"/>
              <w:bottom w:val="nil"/>
              <w:right w:val="nil"/>
            </w:tcBorders>
            <w:noWrap/>
            <w:hideMark/>
          </w:tcPr>
          <w:p w14:paraId="3E35DFCD" w14:textId="77777777" w:rsidR="005459F7" w:rsidRPr="00471CBA" w:rsidRDefault="005459F7" w:rsidP="005459F7">
            <w:pPr>
              <w:rPr>
                <w:color w:val="000000"/>
                <w:sz w:val="14"/>
                <w:szCs w:val="14"/>
              </w:rPr>
            </w:pPr>
            <w:r w:rsidRPr="00471CBA">
              <w:rPr>
                <w:color w:val="000000"/>
                <w:sz w:val="14"/>
                <w:szCs w:val="14"/>
              </w:rPr>
              <w:t>2.1</w:t>
            </w:r>
          </w:p>
        </w:tc>
        <w:tc>
          <w:tcPr>
            <w:tcW w:w="3431" w:type="pct"/>
            <w:tcBorders>
              <w:top w:val="nil"/>
              <w:left w:val="nil"/>
              <w:bottom w:val="nil"/>
              <w:right w:val="nil"/>
            </w:tcBorders>
            <w:hideMark/>
          </w:tcPr>
          <w:p w14:paraId="33D7A3A0" w14:textId="77777777" w:rsidR="005459F7" w:rsidRPr="00471CBA" w:rsidRDefault="005459F7" w:rsidP="005459F7">
            <w:pPr>
              <w:rPr>
                <w:color w:val="000000"/>
                <w:sz w:val="14"/>
                <w:szCs w:val="14"/>
              </w:rPr>
            </w:pPr>
            <w:r w:rsidRPr="00471CBA">
              <w:rPr>
                <w:color w:val="000000"/>
                <w:sz w:val="14"/>
                <w:szCs w:val="14"/>
              </w:rPr>
              <w:t>Katılma Hesaplarına Verilen Kâr Payları</w:t>
            </w:r>
          </w:p>
        </w:tc>
        <w:tc>
          <w:tcPr>
            <w:tcW w:w="453" w:type="pct"/>
            <w:tcBorders>
              <w:top w:val="nil"/>
              <w:left w:val="single" w:sz="4" w:space="0" w:color="auto"/>
              <w:bottom w:val="nil"/>
              <w:right w:val="single" w:sz="4" w:space="0" w:color="auto"/>
            </w:tcBorders>
            <w:hideMark/>
          </w:tcPr>
          <w:p w14:paraId="72ACF708" w14:textId="302587A2"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708DD9CD" w14:textId="3571D7E1" w:rsidR="005459F7" w:rsidRPr="00471CBA" w:rsidRDefault="005459F7" w:rsidP="005459F7">
            <w:pPr>
              <w:jc w:val="right"/>
              <w:rPr>
                <w:color w:val="000000"/>
                <w:sz w:val="14"/>
                <w:szCs w:val="14"/>
              </w:rPr>
            </w:pPr>
            <w:r w:rsidRPr="00471CBA">
              <w:rPr>
                <w:color w:val="000000"/>
                <w:sz w:val="14"/>
                <w:szCs w:val="14"/>
              </w:rPr>
              <w:t>1.986.035</w:t>
            </w:r>
          </w:p>
        </w:tc>
      </w:tr>
      <w:tr w:rsidR="005459F7" w:rsidRPr="00471CBA" w14:paraId="538309CF" w14:textId="77777777" w:rsidTr="005459F7">
        <w:trPr>
          <w:trHeight w:val="20"/>
        </w:trPr>
        <w:tc>
          <w:tcPr>
            <w:tcW w:w="327" w:type="pct"/>
            <w:tcBorders>
              <w:top w:val="nil"/>
              <w:left w:val="single" w:sz="4" w:space="0" w:color="auto"/>
              <w:bottom w:val="nil"/>
              <w:right w:val="nil"/>
            </w:tcBorders>
            <w:noWrap/>
            <w:hideMark/>
          </w:tcPr>
          <w:p w14:paraId="7E46BB11" w14:textId="77777777" w:rsidR="005459F7" w:rsidRPr="00471CBA" w:rsidRDefault="005459F7" w:rsidP="005459F7">
            <w:pPr>
              <w:rPr>
                <w:color w:val="000000"/>
                <w:sz w:val="14"/>
                <w:szCs w:val="14"/>
              </w:rPr>
            </w:pPr>
            <w:r w:rsidRPr="00471CBA">
              <w:rPr>
                <w:color w:val="000000"/>
                <w:sz w:val="14"/>
                <w:szCs w:val="14"/>
              </w:rPr>
              <w:t>2.2</w:t>
            </w:r>
          </w:p>
        </w:tc>
        <w:tc>
          <w:tcPr>
            <w:tcW w:w="3431" w:type="pct"/>
            <w:tcBorders>
              <w:top w:val="nil"/>
              <w:left w:val="nil"/>
              <w:bottom w:val="nil"/>
              <w:right w:val="nil"/>
            </w:tcBorders>
            <w:hideMark/>
          </w:tcPr>
          <w:p w14:paraId="7A836499" w14:textId="77777777" w:rsidR="005459F7" w:rsidRPr="00471CBA" w:rsidRDefault="005459F7" w:rsidP="005459F7">
            <w:pPr>
              <w:rPr>
                <w:color w:val="000000"/>
                <w:sz w:val="14"/>
                <w:szCs w:val="14"/>
              </w:rPr>
            </w:pPr>
            <w:r w:rsidRPr="00471CBA">
              <w:rPr>
                <w:color w:val="000000"/>
                <w:sz w:val="14"/>
                <w:szCs w:val="14"/>
              </w:rPr>
              <w:t xml:space="preserve">Kullanılan Kredilere Verilen Kâr Payları </w:t>
            </w:r>
          </w:p>
        </w:tc>
        <w:tc>
          <w:tcPr>
            <w:tcW w:w="453" w:type="pct"/>
            <w:tcBorders>
              <w:top w:val="nil"/>
              <w:left w:val="single" w:sz="4" w:space="0" w:color="auto"/>
              <w:bottom w:val="nil"/>
              <w:right w:val="single" w:sz="4" w:space="0" w:color="auto"/>
            </w:tcBorders>
            <w:hideMark/>
          </w:tcPr>
          <w:p w14:paraId="1DB7314D" w14:textId="4E322CA3"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17EB2A39" w14:textId="459C6F65" w:rsidR="005459F7" w:rsidRPr="00471CBA" w:rsidRDefault="005459F7" w:rsidP="005459F7">
            <w:pPr>
              <w:jc w:val="right"/>
              <w:rPr>
                <w:color w:val="000000"/>
                <w:sz w:val="14"/>
                <w:szCs w:val="14"/>
              </w:rPr>
            </w:pPr>
            <w:r w:rsidRPr="00471CBA">
              <w:rPr>
                <w:color w:val="000000"/>
                <w:sz w:val="14"/>
                <w:szCs w:val="14"/>
              </w:rPr>
              <w:t>58.950</w:t>
            </w:r>
          </w:p>
        </w:tc>
      </w:tr>
      <w:tr w:rsidR="005459F7" w:rsidRPr="00471CBA" w14:paraId="35F77153" w14:textId="77777777" w:rsidTr="005459F7">
        <w:trPr>
          <w:trHeight w:val="20"/>
        </w:trPr>
        <w:tc>
          <w:tcPr>
            <w:tcW w:w="327" w:type="pct"/>
            <w:tcBorders>
              <w:top w:val="nil"/>
              <w:left w:val="single" w:sz="4" w:space="0" w:color="auto"/>
              <w:bottom w:val="nil"/>
              <w:right w:val="nil"/>
            </w:tcBorders>
            <w:noWrap/>
            <w:hideMark/>
          </w:tcPr>
          <w:p w14:paraId="651C1DD1" w14:textId="77777777" w:rsidR="005459F7" w:rsidRPr="00471CBA" w:rsidRDefault="005459F7" w:rsidP="005459F7">
            <w:pPr>
              <w:rPr>
                <w:color w:val="000000"/>
                <w:sz w:val="14"/>
                <w:szCs w:val="14"/>
              </w:rPr>
            </w:pPr>
            <w:r w:rsidRPr="00471CBA">
              <w:rPr>
                <w:color w:val="000000"/>
                <w:sz w:val="14"/>
                <w:szCs w:val="14"/>
              </w:rPr>
              <w:t>2.3</w:t>
            </w:r>
          </w:p>
        </w:tc>
        <w:tc>
          <w:tcPr>
            <w:tcW w:w="3431" w:type="pct"/>
            <w:tcBorders>
              <w:top w:val="nil"/>
              <w:left w:val="nil"/>
              <w:bottom w:val="nil"/>
              <w:right w:val="nil"/>
            </w:tcBorders>
            <w:hideMark/>
          </w:tcPr>
          <w:p w14:paraId="02B0D00B" w14:textId="77777777" w:rsidR="005459F7" w:rsidRPr="00471CBA" w:rsidRDefault="005459F7" w:rsidP="005459F7">
            <w:pPr>
              <w:rPr>
                <w:color w:val="000000"/>
                <w:sz w:val="14"/>
                <w:szCs w:val="14"/>
              </w:rPr>
            </w:pPr>
            <w:r w:rsidRPr="00471CBA">
              <w:rPr>
                <w:color w:val="000000"/>
                <w:sz w:val="14"/>
                <w:szCs w:val="14"/>
              </w:rPr>
              <w:t>Para Piyasası İşlemlerine Verilen Kâr Payları</w:t>
            </w:r>
          </w:p>
        </w:tc>
        <w:tc>
          <w:tcPr>
            <w:tcW w:w="453" w:type="pct"/>
            <w:tcBorders>
              <w:top w:val="nil"/>
              <w:left w:val="single" w:sz="4" w:space="0" w:color="auto"/>
              <w:bottom w:val="nil"/>
              <w:right w:val="single" w:sz="4" w:space="0" w:color="auto"/>
            </w:tcBorders>
            <w:hideMark/>
          </w:tcPr>
          <w:p w14:paraId="5429E5CD" w14:textId="10F2F7AB"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6661BEF7" w14:textId="23F06DAF" w:rsidR="005459F7" w:rsidRPr="00471CBA" w:rsidRDefault="005459F7" w:rsidP="005459F7">
            <w:pPr>
              <w:jc w:val="right"/>
              <w:rPr>
                <w:color w:val="000000"/>
                <w:sz w:val="14"/>
                <w:szCs w:val="14"/>
              </w:rPr>
            </w:pPr>
            <w:r w:rsidRPr="00471CBA">
              <w:rPr>
                <w:color w:val="000000"/>
                <w:sz w:val="14"/>
                <w:szCs w:val="14"/>
              </w:rPr>
              <w:t>646</w:t>
            </w:r>
          </w:p>
        </w:tc>
      </w:tr>
      <w:tr w:rsidR="005459F7" w:rsidRPr="00471CBA" w14:paraId="63E268DB" w14:textId="77777777" w:rsidTr="005459F7">
        <w:trPr>
          <w:trHeight w:val="20"/>
        </w:trPr>
        <w:tc>
          <w:tcPr>
            <w:tcW w:w="327" w:type="pct"/>
            <w:tcBorders>
              <w:top w:val="nil"/>
              <w:left w:val="single" w:sz="4" w:space="0" w:color="auto"/>
              <w:bottom w:val="nil"/>
              <w:right w:val="nil"/>
            </w:tcBorders>
            <w:noWrap/>
            <w:hideMark/>
          </w:tcPr>
          <w:p w14:paraId="70C35CD5" w14:textId="77777777" w:rsidR="005459F7" w:rsidRPr="00471CBA" w:rsidRDefault="005459F7" w:rsidP="005459F7">
            <w:pPr>
              <w:rPr>
                <w:color w:val="000000"/>
                <w:sz w:val="14"/>
                <w:szCs w:val="14"/>
              </w:rPr>
            </w:pPr>
            <w:r w:rsidRPr="00471CBA">
              <w:rPr>
                <w:color w:val="000000"/>
                <w:sz w:val="14"/>
                <w:szCs w:val="14"/>
              </w:rPr>
              <w:t>2.4</w:t>
            </w:r>
          </w:p>
        </w:tc>
        <w:tc>
          <w:tcPr>
            <w:tcW w:w="3431" w:type="pct"/>
            <w:tcBorders>
              <w:top w:val="nil"/>
              <w:left w:val="nil"/>
              <w:bottom w:val="nil"/>
              <w:right w:val="nil"/>
            </w:tcBorders>
            <w:hideMark/>
          </w:tcPr>
          <w:p w14:paraId="11CD55DC" w14:textId="77777777" w:rsidR="005459F7" w:rsidRPr="00471CBA" w:rsidRDefault="005459F7" w:rsidP="005459F7">
            <w:pPr>
              <w:rPr>
                <w:color w:val="000000"/>
                <w:sz w:val="14"/>
                <w:szCs w:val="14"/>
              </w:rPr>
            </w:pPr>
            <w:r w:rsidRPr="00471CBA">
              <w:rPr>
                <w:color w:val="000000"/>
                <w:sz w:val="14"/>
                <w:szCs w:val="14"/>
              </w:rPr>
              <w:t>İhraç Edilen Menkul Kıymetlere Verilen Kâr Payları</w:t>
            </w:r>
          </w:p>
        </w:tc>
        <w:tc>
          <w:tcPr>
            <w:tcW w:w="453" w:type="pct"/>
            <w:tcBorders>
              <w:top w:val="nil"/>
              <w:left w:val="single" w:sz="4" w:space="0" w:color="auto"/>
              <w:bottom w:val="nil"/>
              <w:right w:val="single" w:sz="4" w:space="0" w:color="auto"/>
            </w:tcBorders>
            <w:hideMark/>
          </w:tcPr>
          <w:p w14:paraId="0D63A3C7" w14:textId="4B4BEAA2"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428ECE61" w14:textId="3DDFCE05" w:rsidR="005459F7" w:rsidRPr="00471CBA" w:rsidRDefault="005459F7" w:rsidP="005459F7">
            <w:pPr>
              <w:jc w:val="right"/>
              <w:rPr>
                <w:color w:val="000000"/>
                <w:sz w:val="14"/>
                <w:szCs w:val="14"/>
              </w:rPr>
            </w:pPr>
            <w:r w:rsidRPr="00471CBA">
              <w:rPr>
                <w:color w:val="000000"/>
                <w:sz w:val="14"/>
                <w:szCs w:val="14"/>
              </w:rPr>
              <w:t>-</w:t>
            </w:r>
          </w:p>
        </w:tc>
      </w:tr>
      <w:tr w:rsidR="005459F7" w:rsidRPr="00471CBA" w14:paraId="06B8B11C" w14:textId="77777777" w:rsidTr="005459F7">
        <w:trPr>
          <w:trHeight w:val="20"/>
        </w:trPr>
        <w:tc>
          <w:tcPr>
            <w:tcW w:w="327" w:type="pct"/>
            <w:tcBorders>
              <w:top w:val="nil"/>
              <w:left w:val="single" w:sz="4" w:space="0" w:color="auto"/>
              <w:bottom w:val="nil"/>
              <w:right w:val="nil"/>
            </w:tcBorders>
            <w:noWrap/>
            <w:hideMark/>
          </w:tcPr>
          <w:p w14:paraId="7FDD7318" w14:textId="77777777" w:rsidR="005459F7" w:rsidRPr="00471CBA" w:rsidRDefault="005459F7" w:rsidP="005459F7">
            <w:pPr>
              <w:rPr>
                <w:color w:val="000000"/>
                <w:sz w:val="14"/>
                <w:szCs w:val="14"/>
              </w:rPr>
            </w:pPr>
            <w:r w:rsidRPr="00471CBA">
              <w:rPr>
                <w:color w:val="000000"/>
                <w:sz w:val="14"/>
                <w:szCs w:val="14"/>
              </w:rPr>
              <w:t>2.5</w:t>
            </w:r>
          </w:p>
        </w:tc>
        <w:tc>
          <w:tcPr>
            <w:tcW w:w="3431" w:type="pct"/>
            <w:tcBorders>
              <w:top w:val="nil"/>
              <w:left w:val="nil"/>
              <w:bottom w:val="nil"/>
              <w:right w:val="nil"/>
            </w:tcBorders>
            <w:hideMark/>
          </w:tcPr>
          <w:p w14:paraId="6D95623E" w14:textId="77777777" w:rsidR="005459F7" w:rsidRPr="00471CBA" w:rsidRDefault="005459F7" w:rsidP="005459F7">
            <w:pPr>
              <w:rPr>
                <w:color w:val="000000"/>
                <w:sz w:val="14"/>
                <w:szCs w:val="14"/>
              </w:rPr>
            </w:pPr>
            <w:r w:rsidRPr="00471CBA">
              <w:rPr>
                <w:color w:val="000000"/>
                <w:sz w:val="14"/>
                <w:szCs w:val="14"/>
              </w:rPr>
              <w:t>Kiralama Kâr Payı Giderleri</w:t>
            </w:r>
          </w:p>
        </w:tc>
        <w:tc>
          <w:tcPr>
            <w:tcW w:w="453" w:type="pct"/>
            <w:tcBorders>
              <w:top w:val="nil"/>
              <w:left w:val="single" w:sz="4" w:space="0" w:color="auto"/>
              <w:bottom w:val="nil"/>
              <w:right w:val="single" w:sz="4" w:space="0" w:color="auto"/>
            </w:tcBorders>
            <w:hideMark/>
          </w:tcPr>
          <w:p w14:paraId="16E6CE8D" w14:textId="7653496C"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2F8EAB99" w14:textId="25A1B6EF" w:rsidR="005459F7" w:rsidRPr="00471CBA" w:rsidRDefault="005459F7" w:rsidP="005459F7">
            <w:pPr>
              <w:jc w:val="right"/>
              <w:rPr>
                <w:color w:val="000000"/>
                <w:sz w:val="14"/>
                <w:szCs w:val="14"/>
              </w:rPr>
            </w:pPr>
            <w:r w:rsidRPr="00471CBA">
              <w:rPr>
                <w:color w:val="000000"/>
                <w:sz w:val="14"/>
                <w:szCs w:val="14"/>
              </w:rPr>
              <w:t>13.824</w:t>
            </w:r>
          </w:p>
        </w:tc>
      </w:tr>
      <w:tr w:rsidR="005459F7" w:rsidRPr="00471CBA" w14:paraId="63AD3CC6" w14:textId="77777777" w:rsidTr="005459F7">
        <w:trPr>
          <w:trHeight w:val="20"/>
        </w:trPr>
        <w:tc>
          <w:tcPr>
            <w:tcW w:w="327" w:type="pct"/>
            <w:tcBorders>
              <w:top w:val="nil"/>
              <w:left w:val="single" w:sz="4" w:space="0" w:color="auto"/>
              <w:bottom w:val="nil"/>
              <w:right w:val="nil"/>
            </w:tcBorders>
            <w:noWrap/>
            <w:hideMark/>
          </w:tcPr>
          <w:p w14:paraId="766F2B87" w14:textId="77777777" w:rsidR="005459F7" w:rsidRPr="00471CBA" w:rsidRDefault="005459F7" w:rsidP="005459F7">
            <w:pPr>
              <w:rPr>
                <w:color w:val="000000"/>
                <w:sz w:val="14"/>
                <w:szCs w:val="14"/>
              </w:rPr>
            </w:pPr>
            <w:r w:rsidRPr="00471CBA">
              <w:rPr>
                <w:color w:val="000000"/>
                <w:sz w:val="14"/>
                <w:szCs w:val="14"/>
              </w:rPr>
              <w:t>2.6</w:t>
            </w:r>
          </w:p>
        </w:tc>
        <w:tc>
          <w:tcPr>
            <w:tcW w:w="3431" w:type="pct"/>
            <w:tcBorders>
              <w:top w:val="nil"/>
              <w:left w:val="nil"/>
              <w:bottom w:val="nil"/>
              <w:right w:val="nil"/>
            </w:tcBorders>
            <w:hideMark/>
          </w:tcPr>
          <w:p w14:paraId="21E5C844" w14:textId="77777777" w:rsidR="005459F7" w:rsidRPr="00471CBA" w:rsidRDefault="005459F7" w:rsidP="005459F7">
            <w:pPr>
              <w:rPr>
                <w:color w:val="000000"/>
                <w:sz w:val="14"/>
                <w:szCs w:val="14"/>
              </w:rPr>
            </w:pPr>
            <w:r w:rsidRPr="00471CBA">
              <w:rPr>
                <w:color w:val="000000"/>
                <w:sz w:val="14"/>
                <w:szCs w:val="14"/>
              </w:rPr>
              <w:t xml:space="preserve">Diğer Kâr Payı Giderleri  </w:t>
            </w:r>
          </w:p>
        </w:tc>
        <w:tc>
          <w:tcPr>
            <w:tcW w:w="453" w:type="pct"/>
            <w:tcBorders>
              <w:top w:val="nil"/>
              <w:left w:val="single" w:sz="4" w:space="0" w:color="auto"/>
              <w:bottom w:val="nil"/>
              <w:right w:val="single" w:sz="4" w:space="0" w:color="auto"/>
            </w:tcBorders>
            <w:hideMark/>
          </w:tcPr>
          <w:p w14:paraId="074093AD" w14:textId="6E0FB74F"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536E0573" w14:textId="2BE190EA" w:rsidR="005459F7" w:rsidRPr="00471CBA" w:rsidRDefault="005459F7" w:rsidP="005459F7">
            <w:pPr>
              <w:jc w:val="right"/>
              <w:rPr>
                <w:color w:val="000000"/>
                <w:sz w:val="14"/>
                <w:szCs w:val="14"/>
              </w:rPr>
            </w:pPr>
            <w:r w:rsidRPr="00471CBA">
              <w:rPr>
                <w:color w:val="000000"/>
                <w:sz w:val="14"/>
                <w:szCs w:val="14"/>
              </w:rPr>
              <w:t>-</w:t>
            </w:r>
          </w:p>
        </w:tc>
      </w:tr>
      <w:tr w:rsidR="005459F7" w:rsidRPr="00471CBA" w14:paraId="7433F6AD" w14:textId="77777777" w:rsidTr="005459F7">
        <w:trPr>
          <w:trHeight w:val="20"/>
        </w:trPr>
        <w:tc>
          <w:tcPr>
            <w:tcW w:w="327" w:type="pct"/>
            <w:tcBorders>
              <w:top w:val="nil"/>
              <w:left w:val="single" w:sz="4" w:space="0" w:color="auto"/>
              <w:bottom w:val="nil"/>
              <w:right w:val="nil"/>
            </w:tcBorders>
            <w:noWrap/>
            <w:hideMark/>
          </w:tcPr>
          <w:p w14:paraId="08016328" w14:textId="77777777" w:rsidR="005459F7" w:rsidRPr="00471CBA" w:rsidRDefault="005459F7" w:rsidP="005459F7">
            <w:pPr>
              <w:rPr>
                <w:b/>
                <w:bCs/>
                <w:color w:val="000000"/>
                <w:sz w:val="14"/>
                <w:szCs w:val="14"/>
              </w:rPr>
            </w:pPr>
            <w:r w:rsidRPr="00471CBA">
              <w:rPr>
                <w:b/>
                <w:bCs/>
                <w:color w:val="000000"/>
                <w:sz w:val="14"/>
                <w:szCs w:val="14"/>
              </w:rPr>
              <w:t>III.</w:t>
            </w:r>
          </w:p>
        </w:tc>
        <w:tc>
          <w:tcPr>
            <w:tcW w:w="3431" w:type="pct"/>
            <w:tcBorders>
              <w:top w:val="nil"/>
              <w:left w:val="nil"/>
              <w:bottom w:val="nil"/>
              <w:right w:val="nil"/>
            </w:tcBorders>
            <w:hideMark/>
          </w:tcPr>
          <w:p w14:paraId="3845A63C" w14:textId="77777777" w:rsidR="005459F7" w:rsidRPr="00471CBA" w:rsidRDefault="005459F7" w:rsidP="005459F7">
            <w:pPr>
              <w:rPr>
                <w:b/>
                <w:bCs/>
                <w:color w:val="000000"/>
                <w:sz w:val="14"/>
                <w:szCs w:val="14"/>
              </w:rPr>
            </w:pPr>
            <w:r w:rsidRPr="00471CBA">
              <w:rPr>
                <w:b/>
                <w:bCs/>
                <w:color w:val="000000"/>
                <w:sz w:val="14"/>
                <w:szCs w:val="14"/>
              </w:rPr>
              <w:t>NET KÂR PAYI GELİRİ/GİDERİ (I - II)</w:t>
            </w:r>
          </w:p>
        </w:tc>
        <w:tc>
          <w:tcPr>
            <w:tcW w:w="453" w:type="pct"/>
            <w:tcBorders>
              <w:top w:val="nil"/>
              <w:left w:val="single" w:sz="4" w:space="0" w:color="auto"/>
              <w:bottom w:val="nil"/>
              <w:right w:val="single" w:sz="4" w:space="0" w:color="auto"/>
            </w:tcBorders>
            <w:hideMark/>
          </w:tcPr>
          <w:p w14:paraId="6307282F" w14:textId="014304F6"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249D6B7E" w14:textId="48F2FD3B" w:rsidR="005459F7" w:rsidRPr="00471CBA" w:rsidRDefault="005459F7" w:rsidP="005459F7">
            <w:pPr>
              <w:jc w:val="right"/>
              <w:rPr>
                <w:b/>
                <w:bCs/>
                <w:color w:val="000000"/>
                <w:sz w:val="14"/>
                <w:szCs w:val="14"/>
              </w:rPr>
            </w:pPr>
            <w:r w:rsidRPr="00471CBA">
              <w:rPr>
                <w:b/>
                <w:bCs/>
                <w:color w:val="000000"/>
                <w:sz w:val="14"/>
                <w:szCs w:val="14"/>
              </w:rPr>
              <w:t>1.602.593</w:t>
            </w:r>
          </w:p>
        </w:tc>
      </w:tr>
      <w:tr w:rsidR="005459F7" w:rsidRPr="00471CBA" w14:paraId="340A5CAC" w14:textId="77777777" w:rsidTr="005459F7">
        <w:trPr>
          <w:trHeight w:val="20"/>
        </w:trPr>
        <w:tc>
          <w:tcPr>
            <w:tcW w:w="327" w:type="pct"/>
            <w:tcBorders>
              <w:top w:val="nil"/>
              <w:left w:val="single" w:sz="4" w:space="0" w:color="auto"/>
              <w:bottom w:val="nil"/>
              <w:right w:val="nil"/>
            </w:tcBorders>
            <w:noWrap/>
            <w:hideMark/>
          </w:tcPr>
          <w:p w14:paraId="088B3852" w14:textId="77777777" w:rsidR="005459F7" w:rsidRPr="00471CBA" w:rsidRDefault="005459F7" w:rsidP="005459F7">
            <w:pPr>
              <w:rPr>
                <w:b/>
                <w:bCs/>
                <w:color w:val="000000"/>
                <w:sz w:val="14"/>
                <w:szCs w:val="14"/>
              </w:rPr>
            </w:pPr>
            <w:r w:rsidRPr="00471CBA">
              <w:rPr>
                <w:b/>
                <w:bCs/>
                <w:color w:val="000000"/>
                <w:sz w:val="14"/>
                <w:szCs w:val="14"/>
              </w:rPr>
              <w:t>IV.</w:t>
            </w:r>
          </w:p>
        </w:tc>
        <w:tc>
          <w:tcPr>
            <w:tcW w:w="3431" w:type="pct"/>
            <w:tcBorders>
              <w:top w:val="nil"/>
              <w:left w:val="nil"/>
              <w:bottom w:val="nil"/>
              <w:right w:val="nil"/>
            </w:tcBorders>
            <w:hideMark/>
          </w:tcPr>
          <w:p w14:paraId="5FFC63CD" w14:textId="77777777" w:rsidR="005459F7" w:rsidRPr="00471CBA" w:rsidRDefault="005459F7" w:rsidP="005459F7">
            <w:pPr>
              <w:rPr>
                <w:b/>
                <w:bCs/>
                <w:color w:val="000000"/>
                <w:sz w:val="14"/>
                <w:szCs w:val="14"/>
              </w:rPr>
            </w:pPr>
            <w:r w:rsidRPr="00471CBA">
              <w:rPr>
                <w:b/>
                <w:bCs/>
                <w:color w:val="000000"/>
                <w:sz w:val="14"/>
                <w:szCs w:val="14"/>
              </w:rPr>
              <w:t>NET ÜCRET VE KOMİSYON GELİRLERİ/GİDERLERİ</w:t>
            </w:r>
          </w:p>
        </w:tc>
        <w:tc>
          <w:tcPr>
            <w:tcW w:w="453" w:type="pct"/>
            <w:tcBorders>
              <w:top w:val="nil"/>
              <w:left w:val="single" w:sz="4" w:space="0" w:color="auto"/>
              <w:bottom w:val="nil"/>
              <w:right w:val="single" w:sz="4" w:space="0" w:color="auto"/>
            </w:tcBorders>
            <w:hideMark/>
          </w:tcPr>
          <w:p w14:paraId="708D8A48" w14:textId="198C71AB" w:rsidR="005459F7" w:rsidRPr="00471CBA" w:rsidRDefault="005459F7" w:rsidP="005459F7">
            <w:pPr>
              <w:jc w:val="center"/>
              <w:rPr>
                <w:b/>
                <w:bCs/>
                <w:color w:val="000000"/>
                <w:sz w:val="14"/>
                <w:szCs w:val="14"/>
              </w:rPr>
            </w:pPr>
            <w:r w:rsidRPr="00471CBA">
              <w:rPr>
                <w:b/>
                <w:bCs/>
                <w:color w:val="000000"/>
                <w:sz w:val="14"/>
                <w:szCs w:val="14"/>
              </w:rPr>
              <w:t>(3)</w:t>
            </w:r>
          </w:p>
        </w:tc>
        <w:tc>
          <w:tcPr>
            <w:tcW w:w="789" w:type="pct"/>
            <w:tcBorders>
              <w:top w:val="nil"/>
              <w:left w:val="nil"/>
              <w:bottom w:val="nil"/>
              <w:right w:val="single" w:sz="4" w:space="0" w:color="auto"/>
            </w:tcBorders>
            <w:vAlign w:val="bottom"/>
            <w:hideMark/>
          </w:tcPr>
          <w:p w14:paraId="00FEF20F" w14:textId="37AEACC3" w:rsidR="005459F7" w:rsidRPr="00471CBA" w:rsidRDefault="005459F7" w:rsidP="005459F7">
            <w:pPr>
              <w:jc w:val="right"/>
              <w:rPr>
                <w:b/>
                <w:bCs/>
                <w:color w:val="000000"/>
                <w:sz w:val="14"/>
                <w:szCs w:val="14"/>
              </w:rPr>
            </w:pPr>
            <w:r w:rsidRPr="00471CBA">
              <w:rPr>
                <w:b/>
                <w:bCs/>
                <w:color w:val="000000"/>
                <w:sz w:val="14"/>
                <w:szCs w:val="14"/>
              </w:rPr>
              <w:t>188.995</w:t>
            </w:r>
          </w:p>
        </w:tc>
      </w:tr>
      <w:tr w:rsidR="005459F7" w:rsidRPr="00471CBA" w14:paraId="418BCC66" w14:textId="77777777" w:rsidTr="005459F7">
        <w:trPr>
          <w:trHeight w:val="20"/>
        </w:trPr>
        <w:tc>
          <w:tcPr>
            <w:tcW w:w="327" w:type="pct"/>
            <w:tcBorders>
              <w:top w:val="nil"/>
              <w:left w:val="single" w:sz="4" w:space="0" w:color="auto"/>
              <w:bottom w:val="nil"/>
              <w:right w:val="nil"/>
            </w:tcBorders>
            <w:noWrap/>
            <w:hideMark/>
          </w:tcPr>
          <w:p w14:paraId="0C91FE2A" w14:textId="77777777" w:rsidR="005459F7" w:rsidRPr="00471CBA" w:rsidRDefault="005459F7" w:rsidP="005459F7">
            <w:pPr>
              <w:rPr>
                <w:color w:val="000000"/>
                <w:sz w:val="14"/>
                <w:szCs w:val="14"/>
              </w:rPr>
            </w:pPr>
            <w:r w:rsidRPr="00471CBA">
              <w:rPr>
                <w:color w:val="000000"/>
                <w:sz w:val="14"/>
                <w:szCs w:val="14"/>
              </w:rPr>
              <w:t>4.1</w:t>
            </w:r>
          </w:p>
        </w:tc>
        <w:tc>
          <w:tcPr>
            <w:tcW w:w="3431" w:type="pct"/>
            <w:tcBorders>
              <w:top w:val="nil"/>
              <w:left w:val="nil"/>
              <w:bottom w:val="nil"/>
              <w:right w:val="nil"/>
            </w:tcBorders>
            <w:hideMark/>
          </w:tcPr>
          <w:p w14:paraId="57D05644" w14:textId="77777777" w:rsidR="005459F7" w:rsidRPr="00471CBA" w:rsidRDefault="005459F7" w:rsidP="005459F7">
            <w:pPr>
              <w:rPr>
                <w:color w:val="000000"/>
                <w:sz w:val="14"/>
                <w:szCs w:val="14"/>
              </w:rPr>
            </w:pPr>
            <w:r w:rsidRPr="00471CBA">
              <w:rPr>
                <w:color w:val="000000"/>
                <w:sz w:val="14"/>
                <w:szCs w:val="14"/>
              </w:rPr>
              <w:t>Alınan Ücret ve Komisyonlar</w:t>
            </w:r>
          </w:p>
        </w:tc>
        <w:tc>
          <w:tcPr>
            <w:tcW w:w="453" w:type="pct"/>
            <w:tcBorders>
              <w:top w:val="nil"/>
              <w:left w:val="single" w:sz="4" w:space="0" w:color="auto"/>
              <w:bottom w:val="nil"/>
              <w:right w:val="single" w:sz="4" w:space="0" w:color="auto"/>
            </w:tcBorders>
            <w:hideMark/>
          </w:tcPr>
          <w:p w14:paraId="6E8A53B4" w14:textId="37177396"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4BBA1AE6" w14:textId="10E01E46" w:rsidR="005459F7" w:rsidRPr="00471CBA" w:rsidRDefault="005459F7" w:rsidP="005459F7">
            <w:pPr>
              <w:jc w:val="right"/>
              <w:rPr>
                <w:color w:val="000000"/>
                <w:sz w:val="14"/>
                <w:szCs w:val="14"/>
              </w:rPr>
            </w:pPr>
            <w:r w:rsidRPr="00471CBA">
              <w:rPr>
                <w:color w:val="000000"/>
                <w:sz w:val="14"/>
                <w:szCs w:val="14"/>
              </w:rPr>
              <w:t>199.196</w:t>
            </w:r>
          </w:p>
        </w:tc>
      </w:tr>
      <w:tr w:rsidR="005459F7" w:rsidRPr="00471CBA" w14:paraId="67A7A463" w14:textId="77777777" w:rsidTr="005459F7">
        <w:trPr>
          <w:trHeight w:val="20"/>
        </w:trPr>
        <w:tc>
          <w:tcPr>
            <w:tcW w:w="327" w:type="pct"/>
            <w:tcBorders>
              <w:top w:val="nil"/>
              <w:left w:val="single" w:sz="4" w:space="0" w:color="auto"/>
              <w:bottom w:val="nil"/>
              <w:right w:val="nil"/>
            </w:tcBorders>
            <w:noWrap/>
            <w:hideMark/>
          </w:tcPr>
          <w:p w14:paraId="2B2D390D" w14:textId="77777777" w:rsidR="005459F7" w:rsidRPr="00471CBA" w:rsidRDefault="005459F7" w:rsidP="005459F7">
            <w:pPr>
              <w:rPr>
                <w:color w:val="000000"/>
                <w:sz w:val="14"/>
                <w:szCs w:val="14"/>
              </w:rPr>
            </w:pPr>
            <w:r w:rsidRPr="00471CBA">
              <w:rPr>
                <w:color w:val="000000"/>
                <w:sz w:val="14"/>
                <w:szCs w:val="14"/>
              </w:rPr>
              <w:t>4.1.1</w:t>
            </w:r>
          </w:p>
        </w:tc>
        <w:tc>
          <w:tcPr>
            <w:tcW w:w="3431" w:type="pct"/>
            <w:tcBorders>
              <w:top w:val="nil"/>
              <w:left w:val="nil"/>
              <w:bottom w:val="nil"/>
              <w:right w:val="nil"/>
            </w:tcBorders>
            <w:hideMark/>
          </w:tcPr>
          <w:p w14:paraId="00F272F4" w14:textId="77777777" w:rsidR="005459F7" w:rsidRPr="00471CBA" w:rsidRDefault="005459F7" w:rsidP="005459F7">
            <w:pPr>
              <w:rPr>
                <w:color w:val="000000"/>
                <w:sz w:val="14"/>
                <w:szCs w:val="14"/>
              </w:rPr>
            </w:pPr>
            <w:r w:rsidRPr="00471CBA">
              <w:rPr>
                <w:color w:val="000000"/>
                <w:sz w:val="14"/>
                <w:szCs w:val="14"/>
              </w:rPr>
              <w:t>Gayri Nakdi Kredilerden</w:t>
            </w:r>
          </w:p>
        </w:tc>
        <w:tc>
          <w:tcPr>
            <w:tcW w:w="453" w:type="pct"/>
            <w:tcBorders>
              <w:top w:val="nil"/>
              <w:left w:val="single" w:sz="4" w:space="0" w:color="auto"/>
              <w:bottom w:val="nil"/>
              <w:right w:val="single" w:sz="4" w:space="0" w:color="auto"/>
            </w:tcBorders>
            <w:hideMark/>
          </w:tcPr>
          <w:p w14:paraId="7030BC33" w14:textId="7CCDE8F5"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18B0EE43" w14:textId="766F9AE7" w:rsidR="005459F7" w:rsidRPr="00471CBA" w:rsidRDefault="005459F7" w:rsidP="005459F7">
            <w:pPr>
              <w:jc w:val="right"/>
              <w:rPr>
                <w:color w:val="000000"/>
                <w:sz w:val="14"/>
                <w:szCs w:val="14"/>
              </w:rPr>
            </w:pPr>
            <w:r w:rsidRPr="00471CBA">
              <w:rPr>
                <w:color w:val="000000"/>
                <w:sz w:val="14"/>
                <w:szCs w:val="14"/>
              </w:rPr>
              <w:t>17.736</w:t>
            </w:r>
          </w:p>
        </w:tc>
      </w:tr>
      <w:tr w:rsidR="005459F7" w:rsidRPr="00471CBA" w14:paraId="19ED189A" w14:textId="77777777" w:rsidTr="005459F7">
        <w:trPr>
          <w:trHeight w:val="20"/>
        </w:trPr>
        <w:tc>
          <w:tcPr>
            <w:tcW w:w="327" w:type="pct"/>
            <w:tcBorders>
              <w:top w:val="nil"/>
              <w:left w:val="single" w:sz="4" w:space="0" w:color="auto"/>
              <w:bottom w:val="nil"/>
              <w:right w:val="nil"/>
            </w:tcBorders>
            <w:noWrap/>
            <w:hideMark/>
          </w:tcPr>
          <w:p w14:paraId="255A63BA" w14:textId="77777777" w:rsidR="005459F7" w:rsidRPr="00471CBA" w:rsidRDefault="005459F7" w:rsidP="005459F7">
            <w:pPr>
              <w:rPr>
                <w:color w:val="000000"/>
                <w:sz w:val="14"/>
                <w:szCs w:val="14"/>
              </w:rPr>
            </w:pPr>
            <w:r w:rsidRPr="00471CBA">
              <w:rPr>
                <w:color w:val="000000"/>
                <w:sz w:val="14"/>
                <w:szCs w:val="14"/>
              </w:rPr>
              <w:t>4.1.2</w:t>
            </w:r>
          </w:p>
        </w:tc>
        <w:tc>
          <w:tcPr>
            <w:tcW w:w="3431" w:type="pct"/>
            <w:tcBorders>
              <w:top w:val="nil"/>
              <w:left w:val="nil"/>
              <w:bottom w:val="nil"/>
              <w:right w:val="nil"/>
            </w:tcBorders>
            <w:hideMark/>
          </w:tcPr>
          <w:p w14:paraId="17B0906B" w14:textId="77777777" w:rsidR="005459F7" w:rsidRPr="00471CBA" w:rsidRDefault="005459F7" w:rsidP="005459F7">
            <w:pPr>
              <w:rPr>
                <w:color w:val="000000"/>
                <w:sz w:val="14"/>
                <w:szCs w:val="14"/>
              </w:rPr>
            </w:pPr>
            <w:r w:rsidRPr="00471CBA">
              <w:rPr>
                <w:color w:val="000000"/>
                <w:sz w:val="14"/>
                <w:szCs w:val="14"/>
              </w:rPr>
              <w:t>Diğer</w:t>
            </w:r>
          </w:p>
        </w:tc>
        <w:tc>
          <w:tcPr>
            <w:tcW w:w="453" w:type="pct"/>
            <w:tcBorders>
              <w:top w:val="nil"/>
              <w:left w:val="single" w:sz="4" w:space="0" w:color="auto"/>
              <w:bottom w:val="nil"/>
              <w:right w:val="single" w:sz="4" w:space="0" w:color="auto"/>
            </w:tcBorders>
            <w:hideMark/>
          </w:tcPr>
          <w:p w14:paraId="6BA11509" w14:textId="54018B13"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1DB0F501" w14:textId="10DF060E" w:rsidR="005459F7" w:rsidRPr="00471CBA" w:rsidRDefault="005459F7" w:rsidP="005459F7">
            <w:pPr>
              <w:jc w:val="right"/>
              <w:rPr>
                <w:color w:val="000000"/>
                <w:sz w:val="14"/>
                <w:szCs w:val="14"/>
              </w:rPr>
            </w:pPr>
            <w:r w:rsidRPr="00471CBA">
              <w:rPr>
                <w:color w:val="000000"/>
                <w:sz w:val="14"/>
                <w:szCs w:val="14"/>
              </w:rPr>
              <w:t>181.460</w:t>
            </w:r>
          </w:p>
        </w:tc>
      </w:tr>
      <w:tr w:rsidR="005459F7" w:rsidRPr="00471CBA" w14:paraId="4C613520" w14:textId="77777777" w:rsidTr="005459F7">
        <w:trPr>
          <w:trHeight w:val="20"/>
        </w:trPr>
        <w:tc>
          <w:tcPr>
            <w:tcW w:w="327" w:type="pct"/>
            <w:tcBorders>
              <w:top w:val="nil"/>
              <w:left w:val="single" w:sz="4" w:space="0" w:color="auto"/>
              <w:bottom w:val="nil"/>
              <w:right w:val="nil"/>
            </w:tcBorders>
            <w:noWrap/>
            <w:hideMark/>
          </w:tcPr>
          <w:p w14:paraId="37D59CF2" w14:textId="77777777" w:rsidR="005459F7" w:rsidRPr="00471CBA" w:rsidRDefault="005459F7" w:rsidP="005459F7">
            <w:pPr>
              <w:rPr>
                <w:color w:val="000000"/>
                <w:sz w:val="14"/>
                <w:szCs w:val="14"/>
              </w:rPr>
            </w:pPr>
            <w:r w:rsidRPr="00471CBA">
              <w:rPr>
                <w:color w:val="000000"/>
                <w:sz w:val="14"/>
                <w:szCs w:val="14"/>
              </w:rPr>
              <w:t>4.2</w:t>
            </w:r>
          </w:p>
        </w:tc>
        <w:tc>
          <w:tcPr>
            <w:tcW w:w="3431" w:type="pct"/>
            <w:tcBorders>
              <w:top w:val="nil"/>
              <w:left w:val="nil"/>
              <w:bottom w:val="nil"/>
              <w:right w:val="nil"/>
            </w:tcBorders>
            <w:hideMark/>
          </w:tcPr>
          <w:p w14:paraId="18F2B0F4" w14:textId="77777777" w:rsidR="005459F7" w:rsidRPr="00471CBA" w:rsidRDefault="005459F7" w:rsidP="005459F7">
            <w:pPr>
              <w:rPr>
                <w:color w:val="000000"/>
                <w:sz w:val="14"/>
                <w:szCs w:val="14"/>
              </w:rPr>
            </w:pPr>
            <w:r w:rsidRPr="00471CBA">
              <w:rPr>
                <w:color w:val="000000"/>
                <w:sz w:val="14"/>
                <w:szCs w:val="14"/>
              </w:rPr>
              <w:t>Verilen Ücret ve Komisyonlar (-)</w:t>
            </w:r>
          </w:p>
        </w:tc>
        <w:tc>
          <w:tcPr>
            <w:tcW w:w="453" w:type="pct"/>
            <w:tcBorders>
              <w:top w:val="nil"/>
              <w:left w:val="single" w:sz="4" w:space="0" w:color="auto"/>
              <w:bottom w:val="nil"/>
              <w:right w:val="single" w:sz="4" w:space="0" w:color="auto"/>
            </w:tcBorders>
            <w:hideMark/>
          </w:tcPr>
          <w:p w14:paraId="317B4D98" w14:textId="01D2DDCF"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625C8899" w14:textId="750B874A" w:rsidR="005459F7" w:rsidRPr="00471CBA" w:rsidRDefault="005459F7" w:rsidP="005459F7">
            <w:pPr>
              <w:jc w:val="right"/>
              <w:rPr>
                <w:color w:val="000000"/>
                <w:sz w:val="14"/>
                <w:szCs w:val="14"/>
              </w:rPr>
            </w:pPr>
            <w:r w:rsidRPr="00471CBA">
              <w:rPr>
                <w:color w:val="000000"/>
                <w:sz w:val="14"/>
                <w:szCs w:val="14"/>
              </w:rPr>
              <w:t>10.201</w:t>
            </w:r>
          </w:p>
        </w:tc>
      </w:tr>
      <w:tr w:rsidR="005459F7" w:rsidRPr="00471CBA" w14:paraId="1FEE290A" w14:textId="77777777" w:rsidTr="005459F7">
        <w:trPr>
          <w:trHeight w:val="20"/>
        </w:trPr>
        <w:tc>
          <w:tcPr>
            <w:tcW w:w="327" w:type="pct"/>
            <w:tcBorders>
              <w:top w:val="nil"/>
              <w:left w:val="single" w:sz="4" w:space="0" w:color="auto"/>
              <w:bottom w:val="nil"/>
              <w:right w:val="nil"/>
            </w:tcBorders>
            <w:noWrap/>
            <w:hideMark/>
          </w:tcPr>
          <w:p w14:paraId="483FF6A6" w14:textId="77777777" w:rsidR="005459F7" w:rsidRPr="00471CBA" w:rsidRDefault="005459F7" w:rsidP="005459F7">
            <w:pPr>
              <w:rPr>
                <w:color w:val="000000"/>
                <w:sz w:val="14"/>
                <w:szCs w:val="14"/>
              </w:rPr>
            </w:pPr>
            <w:r w:rsidRPr="00471CBA">
              <w:rPr>
                <w:color w:val="000000"/>
                <w:sz w:val="14"/>
                <w:szCs w:val="14"/>
              </w:rPr>
              <w:t>4.2.1</w:t>
            </w:r>
          </w:p>
        </w:tc>
        <w:tc>
          <w:tcPr>
            <w:tcW w:w="3431" w:type="pct"/>
            <w:tcBorders>
              <w:top w:val="nil"/>
              <w:left w:val="nil"/>
              <w:bottom w:val="nil"/>
              <w:right w:val="nil"/>
            </w:tcBorders>
            <w:hideMark/>
          </w:tcPr>
          <w:p w14:paraId="58E618F7" w14:textId="77777777" w:rsidR="005459F7" w:rsidRPr="00471CBA" w:rsidRDefault="005459F7" w:rsidP="005459F7">
            <w:pPr>
              <w:rPr>
                <w:color w:val="000000"/>
                <w:sz w:val="14"/>
                <w:szCs w:val="14"/>
              </w:rPr>
            </w:pPr>
            <w:r w:rsidRPr="00471CBA">
              <w:rPr>
                <w:color w:val="000000"/>
                <w:sz w:val="14"/>
                <w:szCs w:val="14"/>
              </w:rPr>
              <w:t>Gayri Nakdi Kredilere</w:t>
            </w:r>
          </w:p>
        </w:tc>
        <w:tc>
          <w:tcPr>
            <w:tcW w:w="453" w:type="pct"/>
            <w:tcBorders>
              <w:top w:val="nil"/>
              <w:left w:val="single" w:sz="4" w:space="0" w:color="auto"/>
              <w:bottom w:val="nil"/>
              <w:right w:val="single" w:sz="4" w:space="0" w:color="auto"/>
            </w:tcBorders>
            <w:hideMark/>
          </w:tcPr>
          <w:p w14:paraId="0E58B3B2" w14:textId="244961E7"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7BF25FB8" w14:textId="0BA35DD2" w:rsidR="005459F7" w:rsidRPr="00471CBA" w:rsidRDefault="005459F7" w:rsidP="005459F7">
            <w:pPr>
              <w:jc w:val="right"/>
              <w:rPr>
                <w:color w:val="000000"/>
                <w:sz w:val="14"/>
                <w:szCs w:val="14"/>
              </w:rPr>
            </w:pPr>
            <w:r w:rsidRPr="00471CBA">
              <w:rPr>
                <w:color w:val="000000"/>
                <w:sz w:val="14"/>
                <w:szCs w:val="14"/>
              </w:rPr>
              <w:t>915</w:t>
            </w:r>
          </w:p>
        </w:tc>
      </w:tr>
      <w:tr w:rsidR="005459F7" w:rsidRPr="00471CBA" w14:paraId="2F2FE463" w14:textId="77777777" w:rsidTr="005459F7">
        <w:trPr>
          <w:trHeight w:val="20"/>
        </w:trPr>
        <w:tc>
          <w:tcPr>
            <w:tcW w:w="327" w:type="pct"/>
            <w:tcBorders>
              <w:top w:val="nil"/>
              <w:left w:val="single" w:sz="4" w:space="0" w:color="auto"/>
              <w:bottom w:val="nil"/>
              <w:right w:val="nil"/>
            </w:tcBorders>
            <w:noWrap/>
            <w:hideMark/>
          </w:tcPr>
          <w:p w14:paraId="0EA93B1A" w14:textId="77777777" w:rsidR="005459F7" w:rsidRPr="00471CBA" w:rsidRDefault="005459F7" w:rsidP="005459F7">
            <w:pPr>
              <w:rPr>
                <w:color w:val="000000"/>
                <w:sz w:val="14"/>
                <w:szCs w:val="14"/>
              </w:rPr>
            </w:pPr>
            <w:r w:rsidRPr="00471CBA">
              <w:rPr>
                <w:color w:val="000000"/>
                <w:sz w:val="14"/>
                <w:szCs w:val="14"/>
              </w:rPr>
              <w:t>4.2.2</w:t>
            </w:r>
          </w:p>
        </w:tc>
        <w:tc>
          <w:tcPr>
            <w:tcW w:w="3431" w:type="pct"/>
            <w:tcBorders>
              <w:top w:val="nil"/>
              <w:left w:val="nil"/>
              <w:bottom w:val="nil"/>
              <w:right w:val="nil"/>
            </w:tcBorders>
            <w:hideMark/>
          </w:tcPr>
          <w:p w14:paraId="0D4D1F74" w14:textId="77777777" w:rsidR="005459F7" w:rsidRPr="00471CBA" w:rsidRDefault="005459F7" w:rsidP="005459F7">
            <w:pPr>
              <w:rPr>
                <w:color w:val="000000"/>
                <w:sz w:val="14"/>
                <w:szCs w:val="14"/>
              </w:rPr>
            </w:pPr>
            <w:r w:rsidRPr="00471CBA">
              <w:rPr>
                <w:color w:val="000000"/>
                <w:sz w:val="14"/>
                <w:szCs w:val="14"/>
              </w:rPr>
              <w:t>Diğer</w:t>
            </w:r>
          </w:p>
        </w:tc>
        <w:tc>
          <w:tcPr>
            <w:tcW w:w="453" w:type="pct"/>
            <w:tcBorders>
              <w:top w:val="nil"/>
              <w:left w:val="single" w:sz="4" w:space="0" w:color="auto"/>
              <w:bottom w:val="nil"/>
              <w:right w:val="single" w:sz="4" w:space="0" w:color="auto"/>
            </w:tcBorders>
            <w:hideMark/>
          </w:tcPr>
          <w:p w14:paraId="62BC51CC" w14:textId="2DC94F3E"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6D9AE2D6" w14:textId="3D504E6F" w:rsidR="005459F7" w:rsidRPr="00471CBA" w:rsidRDefault="005459F7" w:rsidP="005459F7">
            <w:pPr>
              <w:jc w:val="right"/>
              <w:rPr>
                <w:color w:val="000000"/>
                <w:sz w:val="14"/>
                <w:szCs w:val="14"/>
              </w:rPr>
            </w:pPr>
            <w:r w:rsidRPr="00471CBA">
              <w:rPr>
                <w:color w:val="000000"/>
                <w:sz w:val="14"/>
                <w:szCs w:val="14"/>
              </w:rPr>
              <w:t>9.286</w:t>
            </w:r>
          </w:p>
        </w:tc>
      </w:tr>
      <w:tr w:rsidR="005459F7" w:rsidRPr="00471CBA" w14:paraId="63053ADE" w14:textId="77777777" w:rsidTr="005459F7">
        <w:trPr>
          <w:trHeight w:val="20"/>
        </w:trPr>
        <w:tc>
          <w:tcPr>
            <w:tcW w:w="327" w:type="pct"/>
            <w:tcBorders>
              <w:top w:val="nil"/>
              <w:left w:val="single" w:sz="4" w:space="0" w:color="auto"/>
              <w:bottom w:val="nil"/>
              <w:right w:val="nil"/>
            </w:tcBorders>
            <w:noWrap/>
            <w:hideMark/>
          </w:tcPr>
          <w:p w14:paraId="5B596ADA" w14:textId="77777777" w:rsidR="005459F7" w:rsidRPr="00471CBA" w:rsidRDefault="005459F7" w:rsidP="005459F7">
            <w:pPr>
              <w:rPr>
                <w:b/>
                <w:bCs/>
                <w:color w:val="000000"/>
                <w:sz w:val="14"/>
                <w:szCs w:val="14"/>
              </w:rPr>
            </w:pPr>
            <w:r w:rsidRPr="00471CBA">
              <w:rPr>
                <w:b/>
                <w:bCs/>
                <w:color w:val="000000"/>
                <w:sz w:val="14"/>
                <w:szCs w:val="14"/>
              </w:rPr>
              <w:t>V.</w:t>
            </w:r>
          </w:p>
        </w:tc>
        <w:tc>
          <w:tcPr>
            <w:tcW w:w="3431" w:type="pct"/>
            <w:tcBorders>
              <w:top w:val="nil"/>
              <w:left w:val="nil"/>
              <w:bottom w:val="nil"/>
              <w:right w:val="nil"/>
            </w:tcBorders>
            <w:hideMark/>
          </w:tcPr>
          <w:p w14:paraId="10651294" w14:textId="77777777" w:rsidR="005459F7" w:rsidRPr="00471CBA" w:rsidRDefault="005459F7" w:rsidP="005459F7">
            <w:pPr>
              <w:rPr>
                <w:b/>
                <w:bCs/>
                <w:color w:val="000000"/>
                <w:sz w:val="14"/>
                <w:szCs w:val="14"/>
              </w:rPr>
            </w:pPr>
            <w:r w:rsidRPr="00471CBA">
              <w:rPr>
                <w:b/>
                <w:bCs/>
                <w:color w:val="000000"/>
                <w:sz w:val="14"/>
                <w:szCs w:val="14"/>
              </w:rPr>
              <w:t>TEMETTÜ GELİRLERİ</w:t>
            </w:r>
          </w:p>
        </w:tc>
        <w:tc>
          <w:tcPr>
            <w:tcW w:w="453" w:type="pct"/>
            <w:tcBorders>
              <w:top w:val="nil"/>
              <w:left w:val="single" w:sz="4" w:space="0" w:color="auto"/>
              <w:bottom w:val="nil"/>
              <w:right w:val="single" w:sz="4" w:space="0" w:color="auto"/>
            </w:tcBorders>
            <w:hideMark/>
          </w:tcPr>
          <w:p w14:paraId="10866207" w14:textId="745E8C3B" w:rsidR="005459F7" w:rsidRPr="00471CBA" w:rsidRDefault="005459F7" w:rsidP="005459F7">
            <w:pPr>
              <w:jc w:val="center"/>
              <w:rPr>
                <w:b/>
                <w:bCs/>
                <w:color w:val="000000"/>
                <w:sz w:val="14"/>
                <w:szCs w:val="14"/>
              </w:rPr>
            </w:pPr>
            <w:r w:rsidRPr="00471CBA">
              <w:rPr>
                <w:b/>
                <w:bCs/>
                <w:color w:val="000000"/>
                <w:sz w:val="14"/>
                <w:szCs w:val="14"/>
              </w:rPr>
              <w:t>(4)</w:t>
            </w:r>
          </w:p>
        </w:tc>
        <w:tc>
          <w:tcPr>
            <w:tcW w:w="789" w:type="pct"/>
            <w:tcBorders>
              <w:top w:val="nil"/>
              <w:left w:val="nil"/>
              <w:bottom w:val="nil"/>
              <w:right w:val="single" w:sz="4" w:space="0" w:color="auto"/>
            </w:tcBorders>
            <w:vAlign w:val="bottom"/>
            <w:hideMark/>
          </w:tcPr>
          <w:p w14:paraId="0E6B6B1B" w14:textId="4C184E1B" w:rsidR="005459F7" w:rsidRPr="00471CBA" w:rsidRDefault="005459F7" w:rsidP="005459F7">
            <w:pPr>
              <w:jc w:val="right"/>
              <w:rPr>
                <w:b/>
                <w:bCs/>
                <w:color w:val="000000"/>
                <w:sz w:val="14"/>
                <w:szCs w:val="14"/>
              </w:rPr>
            </w:pPr>
            <w:r w:rsidRPr="00471CBA">
              <w:rPr>
                <w:b/>
                <w:bCs/>
                <w:color w:val="000000"/>
                <w:sz w:val="14"/>
                <w:szCs w:val="14"/>
              </w:rPr>
              <w:t>52</w:t>
            </w:r>
          </w:p>
        </w:tc>
      </w:tr>
      <w:tr w:rsidR="005459F7" w:rsidRPr="00471CBA" w14:paraId="2CFF2359" w14:textId="77777777" w:rsidTr="005459F7">
        <w:trPr>
          <w:trHeight w:val="20"/>
        </w:trPr>
        <w:tc>
          <w:tcPr>
            <w:tcW w:w="327" w:type="pct"/>
            <w:tcBorders>
              <w:top w:val="nil"/>
              <w:left w:val="single" w:sz="4" w:space="0" w:color="auto"/>
              <w:bottom w:val="nil"/>
              <w:right w:val="nil"/>
            </w:tcBorders>
            <w:noWrap/>
            <w:hideMark/>
          </w:tcPr>
          <w:p w14:paraId="5AB053ED" w14:textId="77777777" w:rsidR="005459F7" w:rsidRPr="00471CBA" w:rsidRDefault="005459F7" w:rsidP="005459F7">
            <w:pPr>
              <w:rPr>
                <w:b/>
                <w:bCs/>
                <w:color w:val="000000"/>
                <w:sz w:val="14"/>
                <w:szCs w:val="14"/>
              </w:rPr>
            </w:pPr>
            <w:r w:rsidRPr="00471CBA">
              <w:rPr>
                <w:b/>
                <w:bCs/>
                <w:color w:val="000000"/>
                <w:sz w:val="14"/>
                <w:szCs w:val="14"/>
              </w:rPr>
              <w:t>VI.</w:t>
            </w:r>
          </w:p>
        </w:tc>
        <w:tc>
          <w:tcPr>
            <w:tcW w:w="3431" w:type="pct"/>
            <w:tcBorders>
              <w:top w:val="nil"/>
              <w:left w:val="nil"/>
              <w:bottom w:val="nil"/>
              <w:right w:val="nil"/>
            </w:tcBorders>
            <w:hideMark/>
          </w:tcPr>
          <w:p w14:paraId="39909FE9" w14:textId="77777777" w:rsidR="005459F7" w:rsidRPr="00471CBA" w:rsidRDefault="005459F7" w:rsidP="005459F7">
            <w:pPr>
              <w:rPr>
                <w:b/>
                <w:bCs/>
                <w:color w:val="000000"/>
                <w:sz w:val="14"/>
                <w:szCs w:val="14"/>
              </w:rPr>
            </w:pPr>
            <w:r w:rsidRPr="00471CBA">
              <w:rPr>
                <w:b/>
                <w:bCs/>
                <w:color w:val="000000"/>
                <w:sz w:val="14"/>
                <w:szCs w:val="14"/>
              </w:rPr>
              <w:t>TİCARİ KAR/ZARAR (Net)</w:t>
            </w:r>
          </w:p>
        </w:tc>
        <w:tc>
          <w:tcPr>
            <w:tcW w:w="453" w:type="pct"/>
            <w:tcBorders>
              <w:top w:val="nil"/>
              <w:left w:val="single" w:sz="4" w:space="0" w:color="auto"/>
              <w:bottom w:val="nil"/>
              <w:right w:val="single" w:sz="4" w:space="0" w:color="auto"/>
            </w:tcBorders>
            <w:hideMark/>
          </w:tcPr>
          <w:p w14:paraId="7C538E4C" w14:textId="5739A6B9" w:rsidR="005459F7" w:rsidRPr="00471CBA" w:rsidRDefault="005459F7" w:rsidP="005459F7">
            <w:pPr>
              <w:jc w:val="center"/>
              <w:rPr>
                <w:b/>
                <w:bCs/>
                <w:color w:val="000000"/>
                <w:sz w:val="14"/>
                <w:szCs w:val="14"/>
              </w:rPr>
            </w:pPr>
            <w:r w:rsidRPr="00471CBA">
              <w:rPr>
                <w:b/>
                <w:bCs/>
                <w:color w:val="000000"/>
                <w:sz w:val="14"/>
                <w:szCs w:val="14"/>
              </w:rPr>
              <w:t>(5)</w:t>
            </w:r>
          </w:p>
        </w:tc>
        <w:tc>
          <w:tcPr>
            <w:tcW w:w="789" w:type="pct"/>
            <w:tcBorders>
              <w:top w:val="nil"/>
              <w:left w:val="nil"/>
              <w:bottom w:val="nil"/>
              <w:right w:val="single" w:sz="4" w:space="0" w:color="auto"/>
            </w:tcBorders>
            <w:vAlign w:val="bottom"/>
            <w:hideMark/>
          </w:tcPr>
          <w:p w14:paraId="2C8705F4" w14:textId="657AAF00" w:rsidR="005459F7" w:rsidRPr="00471CBA" w:rsidRDefault="005459F7" w:rsidP="005459F7">
            <w:pPr>
              <w:jc w:val="right"/>
              <w:rPr>
                <w:b/>
                <w:bCs/>
                <w:color w:val="000000"/>
                <w:sz w:val="14"/>
                <w:szCs w:val="14"/>
              </w:rPr>
            </w:pPr>
            <w:r w:rsidRPr="00471CBA">
              <w:rPr>
                <w:b/>
                <w:bCs/>
                <w:color w:val="000000"/>
                <w:sz w:val="14"/>
                <w:szCs w:val="14"/>
              </w:rPr>
              <w:t>1.379.654</w:t>
            </w:r>
          </w:p>
        </w:tc>
      </w:tr>
      <w:tr w:rsidR="005459F7" w:rsidRPr="00471CBA" w14:paraId="10DE7869" w14:textId="77777777" w:rsidTr="005459F7">
        <w:trPr>
          <w:trHeight w:val="20"/>
        </w:trPr>
        <w:tc>
          <w:tcPr>
            <w:tcW w:w="327" w:type="pct"/>
            <w:tcBorders>
              <w:top w:val="nil"/>
              <w:left w:val="single" w:sz="4" w:space="0" w:color="auto"/>
              <w:bottom w:val="nil"/>
              <w:right w:val="nil"/>
            </w:tcBorders>
            <w:noWrap/>
            <w:hideMark/>
          </w:tcPr>
          <w:p w14:paraId="52FBC767" w14:textId="77777777" w:rsidR="005459F7" w:rsidRPr="00471CBA" w:rsidRDefault="005459F7" w:rsidP="005459F7">
            <w:pPr>
              <w:rPr>
                <w:color w:val="000000"/>
                <w:sz w:val="14"/>
                <w:szCs w:val="14"/>
              </w:rPr>
            </w:pPr>
            <w:r w:rsidRPr="00471CBA">
              <w:rPr>
                <w:color w:val="000000"/>
                <w:sz w:val="14"/>
                <w:szCs w:val="14"/>
              </w:rPr>
              <w:t>6.1</w:t>
            </w:r>
          </w:p>
        </w:tc>
        <w:tc>
          <w:tcPr>
            <w:tcW w:w="3431" w:type="pct"/>
            <w:tcBorders>
              <w:top w:val="nil"/>
              <w:left w:val="nil"/>
              <w:bottom w:val="nil"/>
              <w:right w:val="nil"/>
            </w:tcBorders>
            <w:hideMark/>
          </w:tcPr>
          <w:p w14:paraId="201D8B7E" w14:textId="77777777" w:rsidR="005459F7" w:rsidRPr="00471CBA" w:rsidRDefault="005459F7" w:rsidP="005459F7">
            <w:pPr>
              <w:rPr>
                <w:color w:val="000000"/>
                <w:sz w:val="14"/>
                <w:szCs w:val="14"/>
              </w:rPr>
            </w:pPr>
            <w:r w:rsidRPr="00471CBA">
              <w:rPr>
                <w:color w:val="000000"/>
                <w:sz w:val="14"/>
                <w:szCs w:val="14"/>
              </w:rPr>
              <w:t xml:space="preserve">Sermaye Piyasası İşlemleri Kârı/Zararı </w:t>
            </w:r>
          </w:p>
        </w:tc>
        <w:tc>
          <w:tcPr>
            <w:tcW w:w="453" w:type="pct"/>
            <w:tcBorders>
              <w:top w:val="nil"/>
              <w:left w:val="single" w:sz="4" w:space="0" w:color="auto"/>
              <w:bottom w:val="nil"/>
              <w:right w:val="single" w:sz="4" w:space="0" w:color="auto"/>
            </w:tcBorders>
            <w:hideMark/>
          </w:tcPr>
          <w:p w14:paraId="287D28C8" w14:textId="2E5123B1"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6492497C" w14:textId="32B86B6A" w:rsidR="005459F7" w:rsidRPr="00471CBA" w:rsidRDefault="005459F7" w:rsidP="005459F7">
            <w:pPr>
              <w:jc w:val="right"/>
              <w:rPr>
                <w:color w:val="000000"/>
                <w:sz w:val="14"/>
                <w:szCs w:val="14"/>
              </w:rPr>
            </w:pPr>
            <w:r w:rsidRPr="00471CBA">
              <w:rPr>
                <w:color w:val="000000"/>
                <w:sz w:val="14"/>
                <w:szCs w:val="14"/>
              </w:rPr>
              <w:t>806.661</w:t>
            </w:r>
          </w:p>
        </w:tc>
      </w:tr>
      <w:tr w:rsidR="005459F7" w:rsidRPr="00471CBA" w14:paraId="67382930" w14:textId="77777777" w:rsidTr="005459F7">
        <w:trPr>
          <w:trHeight w:val="20"/>
        </w:trPr>
        <w:tc>
          <w:tcPr>
            <w:tcW w:w="327" w:type="pct"/>
            <w:tcBorders>
              <w:top w:val="nil"/>
              <w:left w:val="single" w:sz="4" w:space="0" w:color="auto"/>
              <w:bottom w:val="nil"/>
              <w:right w:val="nil"/>
            </w:tcBorders>
            <w:noWrap/>
            <w:hideMark/>
          </w:tcPr>
          <w:p w14:paraId="41BE1A0E" w14:textId="77777777" w:rsidR="005459F7" w:rsidRPr="00471CBA" w:rsidRDefault="005459F7" w:rsidP="005459F7">
            <w:pPr>
              <w:rPr>
                <w:color w:val="000000"/>
                <w:sz w:val="14"/>
                <w:szCs w:val="14"/>
              </w:rPr>
            </w:pPr>
            <w:r w:rsidRPr="00471CBA">
              <w:rPr>
                <w:color w:val="000000"/>
                <w:sz w:val="14"/>
                <w:szCs w:val="14"/>
              </w:rPr>
              <w:t>6.2</w:t>
            </w:r>
          </w:p>
        </w:tc>
        <w:tc>
          <w:tcPr>
            <w:tcW w:w="3431" w:type="pct"/>
            <w:tcBorders>
              <w:top w:val="nil"/>
              <w:left w:val="nil"/>
              <w:bottom w:val="nil"/>
              <w:right w:val="nil"/>
            </w:tcBorders>
            <w:hideMark/>
          </w:tcPr>
          <w:p w14:paraId="34FA509F" w14:textId="77777777" w:rsidR="005459F7" w:rsidRPr="00471CBA" w:rsidRDefault="005459F7" w:rsidP="005459F7">
            <w:pPr>
              <w:rPr>
                <w:color w:val="000000"/>
                <w:sz w:val="14"/>
                <w:szCs w:val="14"/>
              </w:rPr>
            </w:pPr>
            <w:r w:rsidRPr="00471CBA">
              <w:rPr>
                <w:color w:val="000000"/>
                <w:sz w:val="14"/>
                <w:szCs w:val="14"/>
              </w:rPr>
              <w:t>Türev Finansal İşlemlerden Kâr/Zarar</w:t>
            </w:r>
          </w:p>
        </w:tc>
        <w:tc>
          <w:tcPr>
            <w:tcW w:w="453" w:type="pct"/>
            <w:tcBorders>
              <w:top w:val="nil"/>
              <w:left w:val="single" w:sz="4" w:space="0" w:color="auto"/>
              <w:bottom w:val="nil"/>
              <w:right w:val="single" w:sz="4" w:space="0" w:color="auto"/>
            </w:tcBorders>
            <w:hideMark/>
          </w:tcPr>
          <w:p w14:paraId="01F3ACD2" w14:textId="05AB091D"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7C39AB95" w14:textId="681DEFF3" w:rsidR="005459F7" w:rsidRPr="00471CBA" w:rsidRDefault="005459F7" w:rsidP="005459F7">
            <w:pPr>
              <w:jc w:val="right"/>
              <w:rPr>
                <w:sz w:val="14"/>
                <w:szCs w:val="14"/>
              </w:rPr>
            </w:pPr>
            <w:r w:rsidRPr="00471CBA">
              <w:rPr>
                <w:sz w:val="14"/>
                <w:szCs w:val="14"/>
              </w:rPr>
              <w:t>454.341</w:t>
            </w:r>
          </w:p>
        </w:tc>
      </w:tr>
      <w:tr w:rsidR="005459F7" w:rsidRPr="00471CBA" w14:paraId="3AAF2E13" w14:textId="77777777" w:rsidTr="005459F7">
        <w:trPr>
          <w:trHeight w:val="20"/>
        </w:trPr>
        <w:tc>
          <w:tcPr>
            <w:tcW w:w="327" w:type="pct"/>
            <w:tcBorders>
              <w:top w:val="nil"/>
              <w:left w:val="single" w:sz="4" w:space="0" w:color="auto"/>
              <w:bottom w:val="nil"/>
              <w:right w:val="nil"/>
            </w:tcBorders>
            <w:noWrap/>
            <w:hideMark/>
          </w:tcPr>
          <w:p w14:paraId="70911510" w14:textId="77777777" w:rsidR="005459F7" w:rsidRPr="00471CBA" w:rsidRDefault="005459F7" w:rsidP="005459F7">
            <w:pPr>
              <w:rPr>
                <w:color w:val="000000"/>
                <w:sz w:val="14"/>
                <w:szCs w:val="14"/>
              </w:rPr>
            </w:pPr>
            <w:r w:rsidRPr="00471CBA">
              <w:rPr>
                <w:color w:val="000000"/>
                <w:sz w:val="14"/>
                <w:szCs w:val="14"/>
              </w:rPr>
              <w:t>6.3</w:t>
            </w:r>
          </w:p>
        </w:tc>
        <w:tc>
          <w:tcPr>
            <w:tcW w:w="3431" w:type="pct"/>
            <w:tcBorders>
              <w:top w:val="nil"/>
              <w:left w:val="nil"/>
              <w:bottom w:val="nil"/>
              <w:right w:val="nil"/>
            </w:tcBorders>
            <w:hideMark/>
          </w:tcPr>
          <w:p w14:paraId="08E205F8" w14:textId="77777777" w:rsidR="005459F7" w:rsidRPr="00471CBA" w:rsidRDefault="005459F7" w:rsidP="005459F7">
            <w:pPr>
              <w:rPr>
                <w:color w:val="000000"/>
                <w:sz w:val="14"/>
                <w:szCs w:val="14"/>
              </w:rPr>
            </w:pPr>
            <w:r w:rsidRPr="00471CBA">
              <w:rPr>
                <w:color w:val="000000"/>
                <w:sz w:val="14"/>
                <w:szCs w:val="14"/>
              </w:rPr>
              <w:t xml:space="preserve">Kambiyo İşlemleri Kârı/Zararı </w:t>
            </w:r>
          </w:p>
        </w:tc>
        <w:tc>
          <w:tcPr>
            <w:tcW w:w="453" w:type="pct"/>
            <w:tcBorders>
              <w:top w:val="nil"/>
              <w:left w:val="single" w:sz="4" w:space="0" w:color="auto"/>
              <w:bottom w:val="nil"/>
              <w:right w:val="single" w:sz="4" w:space="0" w:color="auto"/>
            </w:tcBorders>
            <w:hideMark/>
          </w:tcPr>
          <w:p w14:paraId="620BB802" w14:textId="78CB8B7F"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769F186A" w14:textId="059BD18D" w:rsidR="005459F7" w:rsidRPr="00471CBA" w:rsidRDefault="005459F7" w:rsidP="005459F7">
            <w:pPr>
              <w:jc w:val="right"/>
              <w:rPr>
                <w:sz w:val="14"/>
                <w:szCs w:val="14"/>
              </w:rPr>
            </w:pPr>
            <w:r w:rsidRPr="00471CBA">
              <w:rPr>
                <w:sz w:val="14"/>
                <w:szCs w:val="14"/>
              </w:rPr>
              <w:t>118.652</w:t>
            </w:r>
          </w:p>
        </w:tc>
      </w:tr>
      <w:tr w:rsidR="005459F7" w:rsidRPr="00471CBA" w14:paraId="13F6DD65" w14:textId="77777777" w:rsidTr="005459F7">
        <w:trPr>
          <w:trHeight w:val="20"/>
        </w:trPr>
        <w:tc>
          <w:tcPr>
            <w:tcW w:w="327" w:type="pct"/>
            <w:tcBorders>
              <w:top w:val="nil"/>
              <w:left w:val="single" w:sz="4" w:space="0" w:color="auto"/>
              <w:bottom w:val="nil"/>
              <w:right w:val="nil"/>
            </w:tcBorders>
            <w:noWrap/>
            <w:hideMark/>
          </w:tcPr>
          <w:p w14:paraId="6D877241" w14:textId="77777777" w:rsidR="005459F7" w:rsidRPr="00471CBA" w:rsidRDefault="005459F7" w:rsidP="005459F7">
            <w:pPr>
              <w:rPr>
                <w:b/>
                <w:bCs/>
                <w:color w:val="000000"/>
                <w:sz w:val="14"/>
                <w:szCs w:val="14"/>
              </w:rPr>
            </w:pPr>
            <w:r w:rsidRPr="00471CBA">
              <w:rPr>
                <w:b/>
                <w:bCs/>
                <w:color w:val="000000"/>
                <w:sz w:val="14"/>
                <w:szCs w:val="14"/>
              </w:rPr>
              <w:t>VII.</w:t>
            </w:r>
          </w:p>
        </w:tc>
        <w:tc>
          <w:tcPr>
            <w:tcW w:w="3431" w:type="pct"/>
            <w:tcBorders>
              <w:top w:val="nil"/>
              <w:left w:val="nil"/>
              <w:bottom w:val="nil"/>
              <w:right w:val="nil"/>
            </w:tcBorders>
            <w:hideMark/>
          </w:tcPr>
          <w:p w14:paraId="00372246" w14:textId="77777777" w:rsidR="005459F7" w:rsidRPr="00471CBA" w:rsidRDefault="005459F7" w:rsidP="005459F7">
            <w:pPr>
              <w:rPr>
                <w:b/>
                <w:bCs/>
                <w:color w:val="000000"/>
                <w:sz w:val="14"/>
                <w:szCs w:val="14"/>
              </w:rPr>
            </w:pPr>
            <w:r w:rsidRPr="00471CBA">
              <w:rPr>
                <w:b/>
                <w:bCs/>
                <w:color w:val="000000"/>
                <w:sz w:val="14"/>
                <w:szCs w:val="14"/>
              </w:rPr>
              <w:t>DİĞER FAALİYET GELİRLERİ</w:t>
            </w:r>
          </w:p>
        </w:tc>
        <w:tc>
          <w:tcPr>
            <w:tcW w:w="453" w:type="pct"/>
            <w:tcBorders>
              <w:top w:val="nil"/>
              <w:left w:val="single" w:sz="4" w:space="0" w:color="auto"/>
              <w:bottom w:val="nil"/>
              <w:right w:val="single" w:sz="4" w:space="0" w:color="auto"/>
            </w:tcBorders>
            <w:hideMark/>
          </w:tcPr>
          <w:p w14:paraId="5E2A983E" w14:textId="5BD59E77" w:rsidR="005459F7" w:rsidRPr="00471CBA" w:rsidRDefault="005459F7" w:rsidP="005459F7">
            <w:pPr>
              <w:jc w:val="center"/>
              <w:rPr>
                <w:b/>
                <w:bCs/>
                <w:color w:val="000000"/>
                <w:sz w:val="14"/>
                <w:szCs w:val="14"/>
              </w:rPr>
            </w:pPr>
            <w:r w:rsidRPr="00471CBA">
              <w:rPr>
                <w:b/>
                <w:bCs/>
                <w:color w:val="000000"/>
                <w:sz w:val="14"/>
                <w:szCs w:val="14"/>
              </w:rPr>
              <w:t>(6)</w:t>
            </w:r>
          </w:p>
        </w:tc>
        <w:tc>
          <w:tcPr>
            <w:tcW w:w="789" w:type="pct"/>
            <w:tcBorders>
              <w:top w:val="nil"/>
              <w:left w:val="nil"/>
              <w:bottom w:val="nil"/>
              <w:right w:val="single" w:sz="4" w:space="0" w:color="auto"/>
            </w:tcBorders>
            <w:vAlign w:val="bottom"/>
            <w:hideMark/>
          </w:tcPr>
          <w:p w14:paraId="231F60F0" w14:textId="374BB12B" w:rsidR="005459F7" w:rsidRPr="00471CBA" w:rsidRDefault="005459F7" w:rsidP="005459F7">
            <w:pPr>
              <w:jc w:val="right"/>
              <w:rPr>
                <w:b/>
                <w:bCs/>
                <w:sz w:val="14"/>
                <w:szCs w:val="14"/>
              </w:rPr>
            </w:pPr>
            <w:r w:rsidRPr="00471CBA">
              <w:rPr>
                <w:b/>
                <w:bCs/>
                <w:sz w:val="14"/>
                <w:szCs w:val="14"/>
              </w:rPr>
              <w:t>12.725</w:t>
            </w:r>
          </w:p>
        </w:tc>
      </w:tr>
      <w:tr w:rsidR="005459F7" w:rsidRPr="00471CBA" w14:paraId="388DE2DF" w14:textId="77777777" w:rsidTr="005459F7">
        <w:trPr>
          <w:trHeight w:val="20"/>
        </w:trPr>
        <w:tc>
          <w:tcPr>
            <w:tcW w:w="327" w:type="pct"/>
            <w:tcBorders>
              <w:top w:val="nil"/>
              <w:left w:val="single" w:sz="4" w:space="0" w:color="auto"/>
              <w:bottom w:val="nil"/>
              <w:right w:val="nil"/>
            </w:tcBorders>
            <w:noWrap/>
            <w:hideMark/>
          </w:tcPr>
          <w:p w14:paraId="009838CC" w14:textId="77777777" w:rsidR="005459F7" w:rsidRPr="00471CBA" w:rsidRDefault="005459F7" w:rsidP="005459F7">
            <w:pPr>
              <w:rPr>
                <w:b/>
                <w:bCs/>
                <w:color w:val="000000"/>
                <w:sz w:val="14"/>
                <w:szCs w:val="14"/>
              </w:rPr>
            </w:pPr>
            <w:r w:rsidRPr="00471CBA">
              <w:rPr>
                <w:b/>
                <w:bCs/>
                <w:color w:val="000000"/>
                <w:sz w:val="14"/>
                <w:szCs w:val="14"/>
              </w:rPr>
              <w:t>VIII.</w:t>
            </w:r>
          </w:p>
        </w:tc>
        <w:tc>
          <w:tcPr>
            <w:tcW w:w="3431" w:type="pct"/>
            <w:tcBorders>
              <w:top w:val="nil"/>
              <w:left w:val="nil"/>
              <w:bottom w:val="nil"/>
              <w:right w:val="nil"/>
            </w:tcBorders>
            <w:hideMark/>
          </w:tcPr>
          <w:p w14:paraId="6AC79A10" w14:textId="77777777" w:rsidR="005459F7" w:rsidRPr="00471CBA" w:rsidRDefault="005459F7" w:rsidP="005459F7">
            <w:pPr>
              <w:rPr>
                <w:b/>
                <w:bCs/>
                <w:color w:val="000000"/>
                <w:sz w:val="14"/>
                <w:szCs w:val="14"/>
              </w:rPr>
            </w:pPr>
            <w:r w:rsidRPr="00471CBA">
              <w:rPr>
                <w:b/>
                <w:bCs/>
                <w:color w:val="000000"/>
                <w:sz w:val="14"/>
                <w:szCs w:val="14"/>
              </w:rPr>
              <w:t>FAALİYET BRÜT KÂRI (III+IV+V+VI+VII)</w:t>
            </w:r>
          </w:p>
        </w:tc>
        <w:tc>
          <w:tcPr>
            <w:tcW w:w="453" w:type="pct"/>
            <w:tcBorders>
              <w:top w:val="nil"/>
              <w:left w:val="single" w:sz="4" w:space="0" w:color="auto"/>
              <w:bottom w:val="nil"/>
              <w:right w:val="single" w:sz="4" w:space="0" w:color="auto"/>
            </w:tcBorders>
            <w:hideMark/>
          </w:tcPr>
          <w:p w14:paraId="066E3B3F" w14:textId="258F4462" w:rsidR="005459F7" w:rsidRPr="00471CBA" w:rsidRDefault="005459F7" w:rsidP="005459F7">
            <w:pPr>
              <w:jc w:val="center"/>
              <w:rPr>
                <w:b/>
                <w:bCs/>
                <w:color w:val="000000"/>
                <w:sz w:val="14"/>
                <w:szCs w:val="14"/>
              </w:rPr>
            </w:pPr>
            <w:r w:rsidRPr="00471CBA">
              <w:rPr>
                <w:b/>
                <w:bCs/>
                <w:color w:val="000000"/>
                <w:sz w:val="14"/>
                <w:szCs w:val="14"/>
              </w:rPr>
              <w:t> </w:t>
            </w:r>
          </w:p>
        </w:tc>
        <w:tc>
          <w:tcPr>
            <w:tcW w:w="789" w:type="pct"/>
            <w:tcBorders>
              <w:top w:val="nil"/>
              <w:left w:val="nil"/>
              <w:bottom w:val="nil"/>
              <w:right w:val="single" w:sz="4" w:space="0" w:color="auto"/>
            </w:tcBorders>
            <w:vAlign w:val="bottom"/>
            <w:hideMark/>
          </w:tcPr>
          <w:p w14:paraId="4DE3A066" w14:textId="05BB110B" w:rsidR="005459F7" w:rsidRPr="00471CBA" w:rsidRDefault="005459F7" w:rsidP="005459F7">
            <w:pPr>
              <w:jc w:val="right"/>
              <w:rPr>
                <w:b/>
                <w:bCs/>
                <w:color w:val="000000"/>
                <w:sz w:val="14"/>
                <w:szCs w:val="14"/>
              </w:rPr>
            </w:pPr>
            <w:r w:rsidRPr="00471CBA">
              <w:rPr>
                <w:b/>
                <w:bCs/>
                <w:color w:val="000000"/>
                <w:sz w:val="14"/>
                <w:szCs w:val="14"/>
              </w:rPr>
              <w:t>3.184.019</w:t>
            </w:r>
          </w:p>
        </w:tc>
      </w:tr>
      <w:tr w:rsidR="005459F7" w:rsidRPr="00471CBA" w14:paraId="7BFA1ABC" w14:textId="77777777" w:rsidTr="005459F7">
        <w:trPr>
          <w:trHeight w:val="20"/>
        </w:trPr>
        <w:tc>
          <w:tcPr>
            <w:tcW w:w="327" w:type="pct"/>
            <w:tcBorders>
              <w:top w:val="nil"/>
              <w:left w:val="single" w:sz="4" w:space="0" w:color="auto"/>
              <w:bottom w:val="nil"/>
              <w:right w:val="nil"/>
            </w:tcBorders>
            <w:noWrap/>
            <w:hideMark/>
          </w:tcPr>
          <w:p w14:paraId="364547B3" w14:textId="77777777" w:rsidR="005459F7" w:rsidRPr="00471CBA" w:rsidRDefault="005459F7" w:rsidP="005459F7">
            <w:pPr>
              <w:rPr>
                <w:b/>
                <w:bCs/>
                <w:color w:val="000000"/>
                <w:sz w:val="14"/>
                <w:szCs w:val="14"/>
              </w:rPr>
            </w:pPr>
            <w:r w:rsidRPr="00471CBA">
              <w:rPr>
                <w:b/>
                <w:bCs/>
                <w:color w:val="000000"/>
                <w:sz w:val="14"/>
                <w:szCs w:val="14"/>
              </w:rPr>
              <w:t>IX.</w:t>
            </w:r>
          </w:p>
        </w:tc>
        <w:tc>
          <w:tcPr>
            <w:tcW w:w="3431" w:type="pct"/>
            <w:tcBorders>
              <w:top w:val="nil"/>
              <w:left w:val="nil"/>
              <w:bottom w:val="nil"/>
              <w:right w:val="nil"/>
            </w:tcBorders>
            <w:hideMark/>
          </w:tcPr>
          <w:p w14:paraId="1ADC6AD5" w14:textId="77777777" w:rsidR="005459F7" w:rsidRPr="00471CBA" w:rsidRDefault="005459F7" w:rsidP="005459F7">
            <w:pPr>
              <w:rPr>
                <w:b/>
                <w:bCs/>
                <w:color w:val="000000"/>
                <w:sz w:val="14"/>
                <w:szCs w:val="14"/>
              </w:rPr>
            </w:pPr>
            <w:r w:rsidRPr="00471CBA">
              <w:rPr>
                <w:b/>
                <w:bCs/>
                <w:color w:val="000000"/>
                <w:sz w:val="14"/>
                <w:szCs w:val="14"/>
              </w:rPr>
              <w:t>KREDİ KARŞILIKLARI (-)</w:t>
            </w:r>
          </w:p>
        </w:tc>
        <w:tc>
          <w:tcPr>
            <w:tcW w:w="453" w:type="pct"/>
            <w:tcBorders>
              <w:top w:val="nil"/>
              <w:left w:val="single" w:sz="4" w:space="0" w:color="auto"/>
              <w:bottom w:val="nil"/>
              <w:right w:val="single" w:sz="4" w:space="0" w:color="auto"/>
            </w:tcBorders>
            <w:hideMark/>
          </w:tcPr>
          <w:p w14:paraId="14FB27D3" w14:textId="58ED792A" w:rsidR="005459F7" w:rsidRPr="00471CBA" w:rsidRDefault="005459F7" w:rsidP="005459F7">
            <w:pPr>
              <w:jc w:val="center"/>
              <w:rPr>
                <w:b/>
                <w:bCs/>
                <w:color w:val="000000"/>
                <w:sz w:val="14"/>
                <w:szCs w:val="14"/>
              </w:rPr>
            </w:pPr>
            <w:r w:rsidRPr="00471CBA">
              <w:rPr>
                <w:b/>
                <w:bCs/>
                <w:color w:val="000000"/>
                <w:sz w:val="14"/>
                <w:szCs w:val="14"/>
              </w:rPr>
              <w:t>(7</w:t>
            </w:r>
            <w:r w:rsidRPr="00471CBA">
              <w:rPr>
                <w:color w:val="000000"/>
                <w:sz w:val="18"/>
                <w:szCs w:val="18"/>
                <w:lang w:eastAsia="tr-TR"/>
              </w:rPr>
              <w:t>)</w:t>
            </w:r>
          </w:p>
        </w:tc>
        <w:tc>
          <w:tcPr>
            <w:tcW w:w="789" w:type="pct"/>
            <w:tcBorders>
              <w:top w:val="nil"/>
              <w:left w:val="nil"/>
              <w:bottom w:val="nil"/>
              <w:right w:val="single" w:sz="4" w:space="0" w:color="auto"/>
            </w:tcBorders>
            <w:vAlign w:val="bottom"/>
            <w:hideMark/>
          </w:tcPr>
          <w:p w14:paraId="02339735" w14:textId="37655F10" w:rsidR="005459F7" w:rsidRPr="00471CBA" w:rsidRDefault="005459F7" w:rsidP="005459F7">
            <w:pPr>
              <w:jc w:val="right"/>
              <w:rPr>
                <w:b/>
                <w:bCs/>
                <w:color w:val="000000"/>
                <w:sz w:val="14"/>
                <w:szCs w:val="14"/>
              </w:rPr>
            </w:pPr>
            <w:r w:rsidRPr="00471CBA">
              <w:rPr>
                <w:b/>
                <w:bCs/>
                <w:color w:val="000000"/>
                <w:sz w:val="14"/>
                <w:szCs w:val="14"/>
              </w:rPr>
              <w:t>369.935</w:t>
            </w:r>
          </w:p>
        </w:tc>
      </w:tr>
      <w:tr w:rsidR="005459F7" w:rsidRPr="00471CBA" w14:paraId="15919741" w14:textId="77777777" w:rsidTr="005459F7">
        <w:trPr>
          <w:trHeight w:val="20"/>
        </w:trPr>
        <w:tc>
          <w:tcPr>
            <w:tcW w:w="327" w:type="pct"/>
            <w:tcBorders>
              <w:top w:val="nil"/>
              <w:left w:val="single" w:sz="4" w:space="0" w:color="auto"/>
              <w:bottom w:val="nil"/>
              <w:right w:val="nil"/>
            </w:tcBorders>
            <w:noWrap/>
            <w:hideMark/>
          </w:tcPr>
          <w:p w14:paraId="44E092CF" w14:textId="77777777" w:rsidR="005459F7" w:rsidRPr="00471CBA" w:rsidRDefault="005459F7" w:rsidP="005459F7">
            <w:pPr>
              <w:rPr>
                <w:b/>
                <w:bCs/>
                <w:color w:val="000000"/>
                <w:sz w:val="14"/>
                <w:szCs w:val="14"/>
              </w:rPr>
            </w:pPr>
            <w:r w:rsidRPr="00471CBA">
              <w:rPr>
                <w:b/>
                <w:bCs/>
                <w:color w:val="000000"/>
                <w:sz w:val="14"/>
                <w:szCs w:val="14"/>
              </w:rPr>
              <w:t>X.</w:t>
            </w:r>
          </w:p>
        </w:tc>
        <w:tc>
          <w:tcPr>
            <w:tcW w:w="3431" w:type="pct"/>
            <w:tcBorders>
              <w:top w:val="nil"/>
              <w:left w:val="nil"/>
              <w:bottom w:val="nil"/>
              <w:right w:val="nil"/>
            </w:tcBorders>
            <w:hideMark/>
          </w:tcPr>
          <w:p w14:paraId="766CFA6B" w14:textId="77777777" w:rsidR="005459F7" w:rsidRPr="00471CBA" w:rsidRDefault="005459F7" w:rsidP="005459F7">
            <w:pPr>
              <w:rPr>
                <w:b/>
                <w:bCs/>
                <w:color w:val="000000"/>
                <w:sz w:val="14"/>
                <w:szCs w:val="14"/>
              </w:rPr>
            </w:pPr>
            <w:r w:rsidRPr="00471CBA">
              <w:rPr>
                <w:b/>
                <w:bCs/>
                <w:color w:val="000000"/>
                <w:sz w:val="14"/>
                <w:szCs w:val="14"/>
              </w:rPr>
              <w:t>PERSONEL GİDERLERİ (-)</w:t>
            </w:r>
          </w:p>
        </w:tc>
        <w:tc>
          <w:tcPr>
            <w:tcW w:w="453" w:type="pct"/>
            <w:tcBorders>
              <w:top w:val="nil"/>
              <w:left w:val="single" w:sz="4" w:space="0" w:color="auto"/>
              <w:bottom w:val="nil"/>
              <w:right w:val="single" w:sz="4" w:space="0" w:color="auto"/>
            </w:tcBorders>
            <w:hideMark/>
          </w:tcPr>
          <w:p w14:paraId="4DCFD84D" w14:textId="65F8BE0D" w:rsidR="005459F7" w:rsidRPr="00471CBA" w:rsidRDefault="005459F7" w:rsidP="005459F7">
            <w:pPr>
              <w:jc w:val="center"/>
              <w:rPr>
                <w:b/>
                <w:bCs/>
                <w:color w:val="000000"/>
                <w:sz w:val="14"/>
                <w:szCs w:val="14"/>
              </w:rPr>
            </w:pPr>
            <w:r w:rsidRPr="00471CBA">
              <w:rPr>
                <w:b/>
                <w:bCs/>
                <w:color w:val="000000"/>
                <w:sz w:val="14"/>
                <w:szCs w:val="14"/>
              </w:rPr>
              <w:t> </w:t>
            </w:r>
          </w:p>
        </w:tc>
        <w:tc>
          <w:tcPr>
            <w:tcW w:w="789" w:type="pct"/>
            <w:tcBorders>
              <w:top w:val="nil"/>
              <w:left w:val="nil"/>
              <w:bottom w:val="nil"/>
              <w:right w:val="single" w:sz="4" w:space="0" w:color="auto"/>
            </w:tcBorders>
            <w:vAlign w:val="bottom"/>
            <w:hideMark/>
          </w:tcPr>
          <w:p w14:paraId="39A9DE83" w14:textId="1A129C54" w:rsidR="005459F7" w:rsidRPr="00471CBA" w:rsidRDefault="005459F7" w:rsidP="005459F7">
            <w:pPr>
              <w:jc w:val="right"/>
              <w:rPr>
                <w:b/>
                <w:bCs/>
                <w:color w:val="000000"/>
                <w:sz w:val="14"/>
                <w:szCs w:val="14"/>
              </w:rPr>
            </w:pPr>
            <w:r w:rsidRPr="00471CBA">
              <w:rPr>
                <w:b/>
                <w:bCs/>
                <w:color w:val="000000"/>
                <w:sz w:val="14"/>
                <w:szCs w:val="14"/>
              </w:rPr>
              <w:t>765.031</w:t>
            </w:r>
          </w:p>
        </w:tc>
      </w:tr>
      <w:tr w:rsidR="005459F7" w:rsidRPr="00471CBA" w14:paraId="0BB5D2F6" w14:textId="77777777" w:rsidTr="005459F7">
        <w:trPr>
          <w:trHeight w:val="20"/>
        </w:trPr>
        <w:tc>
          <w:tcPr>
            <w:tcW w:w="327" w:type="pct"/>
            <w:tcBorders>
              <w:top w:val="nil"/>
              <w:left w:val="single" w:sz="4" w:space="0" w:color="auto"/>
              <w:bottom w:val="nil"/>
              <w:right w:val="nil"/>
            </w:tcBorders>
            <w:noWrap/>
            <w:hideMark/>
          </w:tcPr>
          <w:p w14:paraId="0D644DF7" w14:textId="77777777" w:rsidR="005459F7" w:rsidRPr="00471CBA" w:rsidRDefault="005459F7" w:rsidP="005459F7">
            <w:pPr>
              <w:rPr>
                <w:b/>
                <w:bCs/>
                <w:color w:val="000000"/>
                <w:sz w:val="14"/>
                <w:szCs w:val="14"/>
              </w:rPr>
            </w:pPr>
            <w:r w:rsidRPr="00471CBA">
              <w:rPr>
                <w:b/>
                <w:bCs/>
                <w:color w:val="000000"/>
                <w:sz w:val="14"/>
                <w:szCs w:val="14"/>
              </w:rPr>
              <w:t>XI.</w:t>
            </w:r>
          </w:p>
        </w:tc>
        <w:tc>
          <w:tcPr>
            <w:tcW w:w="3431" w:type="pct"/>
            <w:tcBorders>
              <w:top w:val="nil"/>
              <w:left w:val="nil"/>
              <w:bottom w:val="nil"/>
              <w:right w:val="nil"/>
            </w:tcBorders>
            <w:hideMark/>
          </w:tcPr>
          <w:p w14:paraId="5C0FBCCB" w14:textId="77777777" w:rsidR="005459F7" w:rsidRPr="00471CBA" w:rsidRDefault="005459F7" w:rsidP="005459F7">
            <w:pPr>
              <w:rPr>
                <w:b/>
                <w:bCs/>
                <w:color w:val="000000"/>
                <w:sz w:val="14"/>
                <w:szCs w:val="14"/>
              </w:rPr>
            </w:pPr>
            <w:r w:rsidRPr="00471CBA">
              <w:rPr>
                <w:b/>
                <w:bCs/>
                <w:color w:val="000000"/>
                <w:sz w:val="14"/>
                <w:szCs w:val="14"/>
              </w:rPr>
              <w:t>DİĞER FAALİYET GİDERLERİ (-)</w:t>
            </w:r>
          </w:p>
        </w:tc>
        <w:tc>
          <w:tcPr>
            <w:tcW w:w="453" w:type="pct"/>
            <w:tcBorders>
              <w:top w:val="nil"/>
              <w:left w:val="single" w:sz="4" w:space="0" w:color="auto"/>
              <w:bottom w:val="nil"/>
              <w:right w:val="single" w:sz="4" w:space="0" w:color="auto"/>
            </w:tcBorders>
            <w:hideMark/>
          </w:tcPr>
          <w:p w14:paraId="62CA9D32" w14:textId="51CC773B" w:rsidR="005459F7" w:rsidRPr="00471CBA" w:rsidRDefault="005459F7" w:rsidP="005459F7">
            <w:pPr>
              <w:jc w:val="center"/>
              <w:rPr>
                <w:b/>
                <w:bCs/>
                <w:color w:val="000000"/>
                <w:sz w:val="14"/>
                <w:szCs w:val="14"/>
              </w:rPr>
            </w:pPr>
            <w:r w:rsidRPr="00471CBA">
              <w:rPr>
                <w:b/>
                <w:bCs/>
                <w:color w:val="000000"/>
                <w:sz w:val="14"/>
                <w:szCs w:val="14"/>
              </w:rPr>
              <w:t>(8)</w:t>
            </w:r>
          </w:p>
        </w:tc>
        <w:tc>
          <w:tcPr>
            <w:tcW w:w="789" w:type="pct"/>
            <w:tcBorders>
              <w:top w:val="nil"/>
              <w:left w:val="nil"/>
              <w:bottom w:val="nil"/>
              <w:right w:val="single" w:sz="4" w:space="0" w:color="auto"/>
            </w:tcBorders>
            <w:vAlign w:val="bottom"/>
            <w:hideMark/>
          </w:tcPr>
          <w:p w14:paraId="11FD851F" w14:textId="248B5E19" w:rsidR="005459F7" w:rsidRPr="00471CBA" w:rsidRDefault="005459F7" w:rsidP="005459F7">
            <w:pPr>
              <w:jc w:val="right"/>
              <w:rPr>
                <w:b/>
                <w:bCs/>
                <w:color w:val="000000"/>
                <w:sz w:val="14"/>
                <w:szCs w:val="14"/>
              </w:rPr>
            </w:pPr>
            <w:r w:rsidRPr="00471CBA">
              <w:rPr>
                <w:b/>
                <w:bCs/>
                <w:color w:val="000000"/>
                <w:sz w:val="14"/>
                <w:szCs w:val="14"/>
              </w:rPr>
              <w:t>432.818</w:t>
            </w:r>
          </w:p>
        </w:tc>
      </w:tr>
      <w:tr w:rsidR="005459F7" w:rsidRPr="00471CBA" w14:paraId="3F7F489B" w14:textId="77777777" w:rsidTr="005459F7">
        <w:trPr>
          <w:trHeight w:val="20"/>
        </w:trPr>
        <w:tc>
          <w:tcPr>
            <w:tcW w:w="327" w:type="pct"/>
            <w:tcBorders>
              <w:top w:val="nil"/>
              <w:left w:val="single" w:sz="4" w:space="0" w:color="auto"/>
              <w:bottom w:val="nil"/>
              <w:right w:val="nil"/>
            </w:tcBorders>
            <w:noWrap/>
            <w:hideMark/>
          </w:tcPr>
          <w:p w14:paraId="596AEA5A" w14:textId="77777777" w:rsidR="005459F7" w:rsidRPr="00471CBA" w:rsidRDefault="005459F7" w:rsidP="005459F7">
            <w:pPr>
              <w:rPr>
                <w:b/>
                <w:bCs/>
                <w:color w:val="000000"/>
                <w:sz w:val="14"/>
                <w:szCs w:val="14"/>
              </w:rPr>
            </w:pPr>
            <w:r w:rsidRPr="00471CBA">
              <w:rPr>
                <w:b/>
                <w:bCs/>
                <w:color w:val="000000"/>
                <w:sz w:val="14"/>
                <w:szCs w:val="14"/>
              </w:rPr>
              <w:t>XII.</w:t>
            </w:r>
          </w:p>
        </w:tc>
        <w:tc>
          <w:tcPr>
            <w:tcW w:w="3431" w:type="pct"/>
            <w:tcBorders>
              <w:top w:val="nil"/>
              <w:left w:val="nil"/>
              <w:bottom w:val="nil"/>
              <w:right w:val="nil"/>
            </w:tcBorders>
            <w:hideMark/>
          </w:tcPr>
          <w:p w14:paraId="75AD675E" w14:textId="77777777" w:rsidR="005459F7" w:rsidRPr="00471CBA" w:rsidRDefault="005459F7" w:rsidP="005459F7">
            <w:pPr>
              <w:rPr>
                <w:b/>
                <w:bCs/>
                <w:color w:val="000000"/>
                <w:sz w:val="14"/>
                <w:szCs w:val="14"/>
              </w:rPr>
            </w:pPr>
            <w:r w:rsidRPr="00471CBA">
              <w:rPr>
                <w:b/>
                <w:bCs/>
                <w:color w:val="000000"/>
                <w:sz w:val="14"/>
                <w:szCs w:val="14"/>
              </w:rPr>
              <w:t>NET FAALİYET KÂRI/ZARARI (VIII-IX-X-XI-XII)</w:t>
            </w:r>
          </w:p>
        </w:tc>
        <w:tc>
          <w:tcPr>
            <w:tcW w:w="453" w:type="pct"/>
            <w:tcBorders>
              <w:top w:val="nil"/>
              <w:left w:val="single" w:sz="4" w:space="0" w:color="auto"/>
              <w:bottom w:val="nil"/>
              <w:right w:val="single" w:sz="4" w:space="0" w:color="auto"/>
            </w:tcBorders>
            <w:hideMark/>
          </w:tcPr>
          <w:p w14:paraId="186377D6" w14:textId="1C558F88" w:rsidR="005459F7" w:rsidRPr="00471CBA" w:rsidRDefault="005459F7" w:rsidP="005459F7">
            <w:pPr>
              <w:jc w:val="center"/>
              <w:rPr>
                <w:b/>
                <w:bCs/>
                <w:color w:val="000000"/>
                <w:sz w:val="14"/>
                <w:szCs w:val="14"/>
              </w:rPr>
            </w:pPr>
            <w:r w:rsidRPr="00471CBA">
              <w:rPr>
                <w:b/>
                <w:bCs/>
                <w:color w:val="000000"/>
                <w:sz w:val="14"/>
                <w:szCs w:val="14"/>
              </w:rPr>
              <w:t> </w:t>
            </w:r>
          </w:p>
        </w:tc>
        <w:tc>
          <w:tcPr>
            <w:tcW w:w="789" w:type="pct"/>
            <w:tcBorders>
              <w:top w:val="nil"/>
              <w:left w:val="nil"/>
              <w:bottom w:val="nil"/>
              <w:right w:val="single" w:sz="4" w:space="0" w:color="auto"/>
            </w:tcBorders>
            <w:vAlign w:val="bottom"/>
            <w:hideMark/>
          </w:tcPr>
          <w:p w14:paraId="3AF91BCB" w14:textId="7DDF0D3F" w:rsidR="005459F7" w:rsidRPr="00471CBA" w:rsidRDefault="005459F7" w:rsidP="005459F7">
            <w:pPr>
              <w:jc w:val="right"/>
              <w:rPr>
                <w:b/>
                <w:bCs/>
                <w:color w:val="000000"/>
                <w:sz w:val="14"/>
                <w:szCs w:val="14"/>
              </w:rPr>
            </w:pPr>
            <w:r w:rsidRPr="00471CBA">
              <w:rPr>
                <w:b/>
                <w:bCs/>
                <w:color w:val="000000"/>
                <w:sz w:val="14"/>
                <w:szCs w:val="14"/>
              </w:rPr>
              <w:t>1.616.235</w:t>
            </w:r>
          </w:p>
        </w:tc>
      </w:tr>
      <w:tr w:rsidR="005459F7" w:rsidRPr="00471CBA" w14:paraId="70B7C386" w14:textId="77777777" w:rsidTr="005459F7">
        <w:trPr>
          <w:trHeight w:val="20"/>
        </w:trPr>
        <w:tc>
          <w:tcPr>
            <w:tcW w:w="327" w:type="pct"/>
            <w:tcBorders>
              <w:top w:val="nil"/>
              <w:left w:val="single" w:sz="4" w:space="0" w:color="auto"/>
              <w:bottom w:val="nil"/>
              <w:right w:val="nil"/>
            </w:tcBorders>
            <w:noWrap/>
            <w:hideMark/>
          </w:tcPr>
          <w:p w14:paraId="11114751" w14:textId="77777777" w:rsidR="005459F7" w:rsidRPr="00471CBA" w:rsidRDefault="005459F7" w:rsidP="005459F7">
            <w:pPr>
              <w:rPr>
                <w:b/>
                <w:bCs/>
                <w:color w:val="000000"/>
                <w:sz w:val="14"/>
                <w:szCs w:val="14"/>
              </w:rPr>
            </w:pPr>
            <w:r w:rsidRPr="00471CBA">
              <w:rPr>
                <w:b/>
                <w:bCs/>
                <w:color w:val="000000"/>
                <w:sz w:val="14"/>
                <w:szCs w:val="14"/>
              </w:rPr>
              <w:t>XIII.</w:t>
            </w:r>
          </w:p>
        </w:tc>
        <w:tc>
          <w:tcPr>
            <w:tcW w:w="3431" w:type="pct"/>
            <w:tcBorders>
              <w:top w:val="nil"/>
              <w:left w:val="nil"/>
              <w:bottom w:val="nil"/>
              <w:right w:val="nil"/>
            </w:tcBorders>
            <w:hideMark/>
          </w:tcPr>
          <w:p w14:paraId="5EE9B335" w14:textId="77777777" w:rsidR="005459F7" w:rsidRPr="00471CBA" w:rsidRDefault="005459F7" w:rsidP="005459F7">
            <w:pPr>
              <w:rPr>
                <w:b/>
                <w:bCs/>
                <w:color w:val="000000"/>
                <w:sz w:val="14"/>
                <w:szCs w:val="14"/>
              </w:rPr>
            </w:pPr>
            <w:r w:rsidRPr="00471CBA">
              <w:rPr>
                <w:b/>
                <w:bCs/>
                <w:color w:val="000000"/>
                <w:sz w:val="14"/>
                <w:szCs w:val="14"/>
              </w:rPr>
              <w:t>BİRLEŞME İŞLEMİ SONRASINDA GELİR OLARAK KAYDEDİLEN FAZLALIK TUTARI</w:t>
            </w:r>
          </w:p>
        </w:tc>
        <w:tc>
          <w:tcPr>
            <w:tcW w:w="453" w:type="pct"/>
            <w:tcBorders>
              <w:top w:val="nil"/>
              <w:left w:val="single" w:sz="4" w:space="0" w:color="auto"/>
              <w:bottom w:val="nil"/>
              <w:right w:val="single" w:sz="4" w:space="0" w:color="auto"/>
            </w:tcBorders>
            <w:hideMark/>
          </w:tcPr>
          <w:p w14:paraId="468CEEB7" w14:textId="7BBA3A76" w:rsidR="005459F7" w:rsidRPr="00471CBA" w:rsidRDefault="005459F7" w:rsidP="005459F7">
            <w:pPr>
              <w:jc w:val="center"/>
              <w:rPr>
                <w:b/>
                <w:bCs/>
                <w:color w:val="000000"/>
                <w:sz w:val="14"/>
                <w:szCs w:val="14"/>
              </w:rPr>
            </w:pPr>
            <w:r w:rsidRPr="00471CBA">
              <w:rPr>
                <w:b/>
                <w:bCs/>
                <w:color w:val="000000"/>
                <w:sz w:val="14"/>
                <w:szCs w:val="14"/>
              </w:rPr>
              <w:t> </w:t>
            </w:r>
          </w:p>
        </w:tc>
        <w:tc>
          <w:tcPr>
            <w:tcW w:w="789" w:type="pct"/>
            <w:tcBorders>
              <w:top w:val="nil"/>
              <w:left w:val="nil"/>
              <w:bottom w:val="nil"/>
              <w:right w:val="single" w:sz="4" w:space="0" w:color="auto"/>
            </w:tcBorders>
            <w:vAlign w:val="bottom"/>
            <w:hideMark/>
          </w:tcPr>
          <w:p w14:paraId="27AEC2FD" w14:textId="685E8222" w:rsidR="005459F7" w:rsidRPr="00471CBA" w:rsidRDefault="005459F7" w:rsidP="005459F7">
            <w:pPr>
              <w:jc w:val="right"/>
              <w:rPr>
                <w:b/>
                <w:bCs/>
                <w:color w:val="000000"/>
                <w:sz w:val="14"/>
                <w:szCs w:val="14"/>
              </w:rPr>
            </w:pPr>
            <w:r w:rsidRPr="00471CBA">
              <w:rPr>
                <w:b/>
                <w:bCs/>
                <w:color w:val="000000"/>
                <w:sz w:val="14"/>
                <w:szCs w:val="14"/>
              </w:rPr>
              <w:t>-</w:t>
            </w:r>
          </w:p>
        </w:tc>
      </w:tr>
      <w:tr w:rsidR="005459F7" w:rsidRPr="00471CBA" w14:paraId="480FA52F" w14:textId="77777777" w:rsidTr="005459F7">
        <w:trPr>
          <w:trHeight w:val="20"/>
        </w:trPr>
        <w:tc>
          <w:tcPr>
            <w:tcW w:w="327" w:type="pct"/>
            <w:tcBorders>
              <w:top w:val="nil"/>
              <w:left w:val="single" w:sz="4" w:space="0" w:color="auto"/>
              <w:bottom w:val="nil"/>
              <w:right w:val="nil"/>
            </w:tcBorders>
            <w:noWrap/>
            <w:hideMark/>
          </w:tcPr>
          <w:p w14:paraId="54D4DB66" w14:textId="77777777" w:rsidR="005459F7" w:rsidRPr="00471CBA" w:rsidRDefault="005459F7" w:rsidP="005459F7">
            <w:pPr>
              <w:rPr>
                <w:b/>
                <w:bCs/>
                <w:color w:val="000000"/>
                <w:sz w:val="14"/>
                <w:szCs w:val="14"/>
              </w:rPr>
            </w:pPr>
            <w:r w:rsidRPr="00471CBA">
              <w:rPr>
                <w:b/>
                <w:bCs/>
                <w:color w:val="000000"/>
                <w:sz w:val="14"/>
                <w:szCs w:val="14"/>
              </w:rPr>
              <w:t>XIV.</w:t>
            </w:r>
          </w:p>
        </w:tc>
        <w:tc>
          <w:tcPr>
            <w:tcW w:w="3431" w:type="pct"/>
            <w:tcBorders>
              <w:top w:val="nil"/>
              <w:left w:val="nil"/>
              <w:bottom w:val="nil"/>
              <w:right w:val="nil"/>
            </w:tcBorders>
            <w:hideMark/>
          </w:tcPr>
          <w:p w14:paraId="04F1AB4E" w14:textId="77777777" w:rsidR="005459F7" w:rsidRPr="00471CBA" w:rsidRDefault="005459F7" w:rsidP="005459F7">
            <w:pPr>
              <w:rPr>
                <w:b/>
                <w:bCs/>
                <w:color w:val="000000"/>
                <w:sz w:val="14"/>
                <w:szCs w:val="14"/>
              </w:rPr>
            </w:pPr>
            <w:r w:rsidRPr="00471CBA">
              <w:rPr>
                <w:b/>
                <w:bCs/>
                <w:color w:val="000000"/>
                <w:sz w:val="14"/>
                <w:szCs w:val="14"/>
              </w:rPr>
              <w:t>ÖZKAYNAK YÖNTEMİ UYGULANAN ORTAKLIKLARDAN KÂR/ZARAR</w:t>
            </w:r>
          </w:p>
        </w:tc>
        <w:tc>
          <w:tcPr>
            <w:tcW w:w="453" w:type="pct"/>
            <w:tcBorders>
              <w:top w:val="nil"/>
              <w:left w:val="single" w:sz="4" w:space="0" w:color="auto"/>
              <w:bottom w:val="nil"/>
              <w:right w:val="single" w:sz="4" w:space="0" w:color="auto"/>
            </w:tcBorders>
            <w:hideMark/>
          </w:tcPr>
          <w:p w14:paraId="46457B3E" w14:textId="5350E757" w:rsidR="005459F7" w:rsidRPr="00471CBA" w:rsidRDefault="005459F7" w:rsidP="005459F7">
            <w:pPr>
              <w:jc w:val="center"/>
              <w:rPr>
                <w:b/>
                <w:bCs/>
                <w:color w:val="000000"/>
                <w:sz w:val="14"/>
                <w:szCs w:val="14"/>
              </w:rPr>
            </w:pPr>
            <w:r w:rsidRPr="00471CBA">
              <w:rPr>
                <w:b/>
                <w:bCs/>
                <w:color w:val="000000"/>
                <w:sz w:val="14"/>
                <w:szCs w:val="14"/>
              </w:rPr>
              <w:t> </w:t>
            </w:r>
          </w:p>
        </w:tc>
        <w:tc>
          <w:tcPr>
            <w:tcW w:w="789" w:type="pct"/>
            <w:tcBorders>
              <w:top w:val="nil"/>
              <w:left w:val="nil"/>
              <w:bottom w:val="nil"/>
              <w:right w:val="single" w:sz="4" w:space="0" w:color="auto"/>
            </w:tcBorders>
            <w:vAlign w:val="bottom"/>
            <w:hideMark/>
          </w:tcPr>
          <w:p w14:paraId="7295E44B" w14:textId="490B5FCD" w:rsidR="005459F7" w:rsidRPr="00471CBA" w:rsidRDefault="005459F7" w:rsidP="005459F7">
            <w:pPr>
              <w:jc w:val="right"/>
              <w:rPr>
                <w:b/>
                <w:bCs/>
                <w:color w:val="000000"/>
                <w:sz w:val="14"/>
                <w:szCs w:val="14"/>
              </w:rPr>
            </w:pPr>
            <w:r w:rsidRPr="00471CBA">
              <w:rPr>
                <w:b/>
                <w:bCs/>
                <w:color w:val="000000"/>
                <w:sz w:val="14"/>
                <w:szCs w:val="14"/>
              </w:rPr>
              <w:t>-</w:t>
            </w:r>
          </w:p>
        </w:tc>
      </w:tr>
      <w:tr w:rsidR="005459F7" w:rsidRPr="00471CBA" w14:paraId="71594B20" w14:textId="77777777" w:rsidTr="005459F7">
        <w:trPr>
          <w:trHeight w:val="20"/>
        </w:trPr>
        <w:tc>
          <w:tcPr>
            <w:tcW w:w="327" w:type="pct"/>
            <w:tcBorders>
              <w:top w:val="nil"/>
              <w:left w:val="single" w:sz="4" w:space="0" w:color="auto"/>
              <w:bottom w:val="nil"/>
              <w:right w:val="nil"/>
            </w:tcBorders>
            <w:noWrap/>
            <w:hideMark/>
          </w:tcPr>
          <w:p w14:paraId="1B40D252" w14:textId="77777777" w:rsidR="005459F7" w:rsidRPr="00471CBA" w:rsidRDefault="005459F7" w:rsidP="005459F7">
            <w:pPr>
              <w:rPr>
                <w:b/>
                <w:bCs/>
                <w:color w:val="000000"/>
                <w:sz w:val="14"/>
                <w:szCs w:val="14"/>
              </w:rPr>
            </w:pPr>
            <w:r w:rsidRPr="00471CBA">
              <w:rPr>
                <w:b/>
                <w:bCs/>
                <w:color w:val="000000"/>
                <w:sz w:val="14"/>
                <w:szCs w:val="14"/>
              </w:rPr>
              <w:t>XV.</w:t>
            </w:r>
          </w:p>
        </w:tc>
        <w:tc>
          <w:tcPr>
            <w:tcW w:w="3431" w:type="pct"/>
            <w:tcBorders>
              <w:top w:val="nil"/>
              <w:left w:val="nil"/>
              <w:bottom w:val="nil"/>
              <w:right w:val="nil"/>
            </w:tcBorders>
            <w:hideMark/>
          </w:tcPr>
          <w:p w14:paraId="20D149E4" w14:textId="77777777" w:rsidR="005459F7" w:rsidRPr="00471CBA" w:rsidRDefault="005459F7" w:rsidP="005459F7">
            <w:pPr>
              <w:rPr>
                <w:b/>
                <w:bCs/>
                <w:color w:val="000000"/>
                <w:sz w:val="14"/>
                <w:szCs w:val="14"/>
              </w:rPr>
            </w:pPr>
            <w:r w:rsidRPr="00471CBA">
              <w:rPr>
                <w:b/>
                <w:bCs/>
                <w:color w:val="000000"/>
                <w:sz w:val="14"/>
                <w:szCs w:val="14"/>
              </w:rPr>
              <w:t>NET PARASAL POZİSYON KÂRI/ZARARI</w:t>
            </w:r>
          </w:p>
        </w:tc>
        <w:tc>
          <w:tcPr>
            <w:tcW w:w="453" w:type="pct"/>
            <w:tcBorders>
              <w:top w:val="nil"/>
              <w:left w:val="single" w:sz="4" w:space="0" w:color="auto"/>
              <w:bottom w:val="nil"/>
              <w:right w:val="single" w:sz="4" w:space="0" w:color="auto"/>
            </w:tcBorders>
            <w:hideMark/>
          </w:tcPr>
          <w:p w14:paraId="180C68DA" w14:textId="1310BF92" w:rsidR="005459F7" w:rsidRPr="00471CBA" w:rsidRDefault="005459F7" w:rsidP="005459F7">
            <w:pPr>
              <w:jc w:val="center"/>
              <w:rPr>
                <w:b/>
                <w:bCs/>
                <w:color w:val="000000"/>
                <w:sz w:val="14"/>
                <w:szCs w:val="14"/>
              </w:rPr>
            </w:pPr>
            <w:r w:rsidRPr="00471CBA">
              <w:rPr>
                <w:b/>
                <w:bCs/>
                <w:color w:val="000000"/>
                <w:sz w:val="14"/>
                <w:szCs w:val="14"/>
              </w:rPr>
              <w:t> </w:t>
            </w:r>
          </w:p>
        </w:tc>
        <w:tc>
          <w:tcPr>
            <w:tcW w:w="789" w:type="pct"/>
            <w:tcBorders>
              <w:top w:val="nil"/>
              <w:left w:val="nil"/>
              <w:bottom w:val="nil"/>
              <w:right w:val="single" w:sz="4" w:space="0" w:color="auto"/>
            </w:tcBorders>
            <w:vAlign w:val="bottom"/>
            <w:hideMark/>
          </w:tcPr>
          <w:p w14:paraId="2F1F2F70" w14:textId="720A4F81" w:rsidR="005459F7" w:rsidRPr="00471CBA" w:rsidRDefault="005459F7" w:rsidP="005459F7">
            <w:pPr>
              <w:jc w:val="right"/>
              <w:rPr>
                <w:b/>
                <w:bCs/>
                <w:color w:val="000000"/>
                <w:sz w:val="14"/>
                <w:szCs w:val="14"/>
              </w:rPr>
            </w:pPr>
            <w:r w:rsidRPr="00471CBA">
              <w:rPr>
                <w:b/>
                <w:bCs/>
                <w:color w:val="000000"/>
                <w:sz w:val="14"/>
                <w:szCs w:val="14"/>
              </w:rPr>
              <w:t>-</w:t>
            </w:r>
          </w:p>
        </w:tc>
      </w:tr>
      <w:tr w:rsidR="005459F7" w:rsidRPr="00471CBA" w14:paraId="48251476" w14:textId="77777777" w:rsidTr="005459F7">
        <w:trPr>
          <w:trHeight w:val="20"/>
        </w:trPr>
        <w:tc>
          <w:tcPr>
            <w:tcW w:w="327" w:type="pct"/>
            <w:tcBorders>
              <w:top w:val="nil"/>
              <w:left w:val="single" w:sz="4" w:space="0" w:color="auto"/>
              <w:bottom w:val="nil"/>
              <w:right w:val="nil"/>
            </w:tcBorders>
            <w:noWrap/>
            <w:hideMark/>
          </w:tcPr>
          <w:p w14:paraId="09A404B0" w14:textId="77777777" w:rsidR="005459F7" w:rsidRPr="00471CBA" w:rsidRDefault="005459F7" w:rsidP="005459F7">
            <w:pPr>
              <w:rPr>
                <w:b/>
                <w:bCs/>
                <w:color w:val="000000"/>
                <w:sz w:val="14"/>
                <w:szCs w:val="14"/>
              </w:rPr>
            </w:pPr>
            <w:r w:rsidRPr="00471CBA">
              <w:rPr>
                <w:b/>
                <w:bCs/>
                <w:color w:val="000000"/>
                <w:sz w:val="14"/>
                <w:szCs w:val="14"/>
              </w:rPr>
              <w:t>XVI.</w:t>
            </w:r>
          </w:p>
        </w:tc>
        <w:tc>
          <w:tcPr>
            <w:tcW w:w="3431" w:type="pct"/>
            <w:tcBorders>
              <w:top w:val="nil"/>
              <w:left w:val="nil"/>
              <w:bottom w:val="nil"/>
              <w:right w:val="nil"/>
            </w:tcBorders>
            <w:hideMark/>
          </w:tcPr>
          <w:p w14:paraId="7454835D" w14:textId="77777777" w:rsidR="005459F7" w:rsidRPr="00471CBA" w:rsidRDefault="005459F7" w:rsidP="005459F7">
            <w:pPr>
              <w:rPr>
                <w:b/>
                <w:bCs/>
                <w:color w:val="000000"/>
                <w:sz w:val="14"/>
                <w:szCs w:val="14"/>
              </w:rPr>
            </w:pPr>
            <w:r w:rsidRPr="00471CBA">
              <w:rPr>
                <w:b/>
                <w:bCs/>
                <w:color w:val="000000"/>
                <w:sz w:val="14"/>
                <w:szCs w:val="14"/>
              </w:rPr>
              <w:t>SÜRDÜRÜLEN FAALİYETLER VERGİ ÖNCESİ K/Z (XIII+...+XVI)</w:t>
            </w:r>
          </w:p>
        </w:tc>
        <w:tc>
          <w:tcPr>
            <w:tcW w:w="453" w:type="pct"/>
            <w:tcBorders>
              <w:top w:val="nil"/>
              <w:left w:val="single" w:sz="4" w:space="0" w:color="auto"/>
              <w:bottom w:val="nil"/>
              <w:right w:val="single" w:sz="4" w:space="0" w:color="auto"/>
            </w:tcBorders>
            <w:hideMark/>
          </w:tcPr>
          <w:p w14:paraId="69408629" w14:textId="5AC01B5F" w:rsidR="005459F7" w:rsidRPr="00471CBA" w:rsidRDefault="005459F7" w:rsidP="005459F7">
            <w:pPr>
              <w:jc w:val="center"/>
              <w:rPr>
                <w:b/>
                <w:bCs/>
                <w:color w:val="000000"/>
                <w:sz w:val="14"/>
                <w:szCs w:val="14"/>
              </w:rPr>
            </w:pPr>
            <w:r w:rsidRPr="00471CBA">
              <w:rPr>
                <w:b/>
                <w:bCs/>
                <w:color w:val="000000"/>
                <w:sz w:val="14"/>
                <w:szCs w:val="14"/>
              </w:rPr>
              <w:t>(10)</w:t>
            </w:r>
          </w:p>
        </w:tc>
        <w:tc>
          <w:tcPr>
            <w:tcW w:w="789" w:type="pct"/>
            <w:tcBorders>
              <w:top w:val="nil"/>
              <w:left w:val="nil"/>
              <w:bottom w:val="nil"/>
              <w:right w:val="single" w:sz="4" w:space="0" w:color="auto"/>
            </w:tcBorders>
            <w:vAlign w:val="bottom"/>
            <w:hideMark/>
          </w:tcPr>
          <w:p w14:paraId="6B67CB01" w14:textId="34A00C5B" w:rsidR="005459F7" w:rsidRPr="00471CBA" w:rsidRDefault="005459F7" w:rsidP="005459F7">
            <w:pPr>
              <w:jc w:val="right"/>
              <w:rPr>
                <w:b/>
                <w:bCs/>
                <w:color w:val="000000"/>
                <w:sz w:val="14"/>
                <w:szCs w:val="14"/>
              </w:rPr>
            </w:pPr>
            <w:r w:rsidRPr="00471CBA">
              <w:rPr>
                <w:b/>
                <w:bCs/>
                <w:color w:val="000000"/>
                <w:sz w:val="14"/>
                <w:szCs w:val="14"/>
              </w:rPr>
              <w:t>1.616.235</w:t>
            </w:r>
          </w:p>
        </w:tc>
      </w:tr>
      <w:tr w:rsidR="005459F7" w:rsidRPr="00471CBA" w14:paraId="2E1D2D4B" w14:textId="77777777" w:rsidTr="005459F7">
        <w:trPr>
          <w:trHeight w:val="20"/>
        </w:trPr>
        <w:tc>
          <w:tcPr>
            <w:tcW w:w="327" w:type="pct"/>
            <w:tcBorders>
              <w:top w:val="nil"/>
              <w:left w:val="single" w:sz="4" w:space="0" w:color="auto"/>
              <w:bottom w:val="nil"/>
              <w:right w:val="nil"/>
            </w:tcBorders>
            <w:noWrap/>
            <w:hideMark/>
          </w:tcPr>
          <w:p w14:paraId="518ECCEE" w14:textId="77777777" w:rsidR="005459F7" w:rsidRPr="00471CBA" w:rsidRDefault="005459F7" w:rsidP="005459F7">
            <w:pPr>
              <w:rPr>
                <w:b/>
                <w:bCs/>
                <w:color w:val="000000"/>
                <w:sz w:val="14"/>
                <w:szCs w:val="14"/>
              </w:rPr>
            </w:pPr>
            <w:r w:rsidRPr="00471CBA">
              <w:rPr>
                <w:b/>
                <w:bCs/>
                <w:color w:val="000000"/>
                <w:sz w:val="14"/>
                <w:szCs w:val="14"/>
              </w:rPr>
              <w:t>XVII.</w:t>
            </w:r>
          </w:p>
        </w:tc>
        <w:tc>
          <w:tcPr>
            <w:tcW w:w="3431" w:type="pct"/>
            <w:tcBorders>
              <w:top w:val="nil"/>
              <w:left w:val="nil"/>
              <w:bottom w:val="nil"/>
              <w:right w:val="nil"/>
            </w:tcBorders>
            <w:hideMark/>
          </w:tcPr>
          <w:p w14:paraId="6E58AD09" w14:textId="77777777" w:rsidR="005459F7" w:rsidRPr="00471CBA" w:rsidRDefault="005459F7" w:rsidP="005459F7">
            <w:pPr>
              <w:rPr>
                <w:b/>
                <w:bCs/>
                <w:color w:val="000000"/>
                <w:sz w:val="14"/>
                <w:szCs w:val="14"/>
              </w:rPr>
            </w:pPr>
            <w:r w:rsidRPr="00471CBA">
              <w:rPr>
                <w:b/>
                <w:bCs/>
                <w:color w:val="000000"/>
                <w:sz w:val="14"/>
                <w:szCs w:val="14"/>
              </w:rPr>
              <w:t>SÜRDÜRÜLEN FAALİYETLER VERGİ KARŞILIĞI (±)</w:t>
            </w:r>
          </w:p>
        </w:tc>
        <w:tc>
          <w:tcPr>
            <w:tcW w:w="453" w:type="pct"/>
            <w:tcBorders>
              <w:top w:val="nil"/>
              <w:left w:val="single" w:sz="4" w:space="0" w:color="auto"/>
              <w:bottom w:val="nil"/>
              <w:right w:val="single" w:sz="4" w:space="0" w:color="auto"/>
            </w:tcBorders>
            <w:hideMark/>
          </w:tcPr>
          <w:p w14:paraId="5AF325A8" w14:textId="7834F047" w:rsidR="005459F7" w:rsidRPr="00471CBA" w:rsidRDefault="005459F7" w:rsidP="005459F7">
            <w:pPr>
              <w:jc w:val="center"/>
              <w:rPr>
                <w:b/>
                <w:bCs/>
                <w:color w:val="000000"/>
                <w:sz w:val="14"/>
                <w:szCs w:val="14"/>
              </w:rPr>
            </w:pPr>
            <w:r w:rsidRPr="00471CBA">
              <w:rPr>
                <w:b/>
                <w:bCs/>
                <w:color w:val="000000"/>
                <w:sz w:val="14"/>
                <w:szCs w:val="14"/>
              </w:rPr>
              <w:t>(11)</w:t>
            </w:r>
          </w:p>
        </w:tc>
        <w:tc>
          <w:tcPr>
            <w:tcW w:w="789" w:type="pct"/>
            <w:tcBorders>
              <w:top w:val="nil"/>
              <w:left w:val="nil"/>
              <w:bottom w:val="nil"/>
              <w:right w:val="single" w:sz="4" w:space="0" w:color="auto"/>
            </w:tcBorders>
            <w:vAlign w:val="bottom"/>
            <w:hideMark/>
          </w:tcPr>
          <w:p w14:paraId="3CF893BE" w14:textId="7173AC71" w:rsidR="005459F7" w:rsidRPr="00471CBA" w:rsidRDefault="005459F7" w:rsidP="005459F7">
            <w:pPr>
              <w:jc w:val="right"/>
              <w:rPr>
                <w:b/>
                <w:bCs/>
                <w:color w:val="000000"/>
                <w:sz w:val="14"/>
                <w:szCs w:val="14"/>
              </w:rPr>
            </w:pPr>
            <w:r w:rsidRPr="00471CBA">
              <w:rPr>
                <w:b/>
                <w:bCs/>
                <w:color w:val="000000"/>
                <w:sz w:val="14"/>
                <w:szCs w:val="14"/>
              </w:rPr>
              <w:t>262.593</w:t>
            </w:r>
          </w:p>
        </w:tc>
      </w:tr>
      <w:tr w:rsidR="005459F7" w:rsidRPr="00471CBA" w14:paraId="7FF73C76" w14:textId="77777777" w:rsidTr="005459F7">
        <w:trPr>
          <w:trHeight w:val="20"/>
        </w:trPr>
        <w:tc>
          <w:tcPr>
            <w:tcW w:w="327" w:type="pct"/>
            <w:tcBorders>
              <w:top w:val="nil"/>
              <w:left w:val="single" w:sz="4" w:space="0" w:color="auto"/>
              <w:bottom w:val="nil"/>
              <w:right w:val="nil"/>
            </w:tcBorders>
            <w:noWrap/>
            <w:hideMark/>
          </w:tcPr>
          <w:p w14:paraId="305F5663" w14:textId="77777777" w:rsidR="005459F7" w:rsidRPr="00471CBA" w:rsidRDefault="005459F7" w:rsidP="005459F7">
            <w:pPr>
              <w:rPr>
                <w:color w:val="000000"/>
                <w:sz w:val="14"/>
                <w:szCs w:val="14"/>
              </w:rPr>
            </w:pPr>
            <w:r w:rsidRPr="00471CBA">
              <w:rPr>
                <w:color w:val="000000"/>
                <w:sz w:val="14"/>
                <w:szCs w:val="14"/>
              </w:rPr>
              <w:t>17.1</w:t>
            </w:r>
          </w:p>
        </w:tc>
        <w:tc>
          <w:tcPr>
            <w:tcW w:w="3431" w:type="pct"/>
            <w:tcBorders>
              <w:top w:val="nil"/>
              <w:left w:val="nil"/>
              <w:bottom w:val="nil"/>
              <w:right w:val="nil"/>
            </w:tcBorders>
            <w:hideMark/>
          </w:tcPr>
          <w:p w14:paraId="5481DA06" w14:textId="77777777" w:rsidR="005459F7" w:rsidRPr="00471CBA" w:rsidRDefault="005459F7" w:rsidP="005459F7">
            <w:pPr>
              <w:rPr>
                <w:color w:val="000000"/>
                <w:sz w:val="14"/>
                <w:szCs w:val="14"/>
              </w:rPr>
            </w:pPr>
            <w:r w:rsidRPr="00471CBA">
              <w:rPr>
                <w:color w:val="000000"/>
                <w:sz w:val="14"/>
                <w:szCs w:val="14"/>
              </w:rPr>
              <w:t>Cari Vergi Karşılığı</w:t>
            </w:r>
          </w:p>
        </w:tc>
        <w:tc>
          <w:tcPr>
            <w:tcW w:w="453" w:type="pct"/>
            <w:tcBorders>
              <w:top w:val="nil"/>
              <w:left w:val="single" w:sz="4" w:space="0" w:color="auto"/>
              <w:bottom w:val="nil"/>
              <w:right w:val="single" w:sz="4" w:space="0" w:color="auto"/>
            </w:tcBorders>
            <w:hideMark/>
          </w:tcPr>
          <w:p w14:paraId="1495EBA7" w14:textId="2FF45FC4"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567E267B" w14:textId="2B4DB82D" w:rsidR="005459F7" w:rsidRPr="00471CBA" w:rsidRDefault="005459F7" w:rsidP="005459F7">
            <w:pPr>
              <w:jc w:val="right"/>
              <w:rPr>
                <w:color w:val="000000"/>
                <w:sz w:val="14"/>
                <w:szCs w:val="14"/>
              </w:rPr>
            </w:pPr>
            <w:r w:rsidRPr="00471CBA">
              <w:rPr>
                <w:color w:val="000000"/>
                <w:sz w:val="14"/>
                <w:szCs w:val="14"/>
              </w:rPr>
              <w:t>334.828</w:t>
            </w:r>
          </w:p>
        </w:tc>
      </w:tr>
      <w:tr w:rsidR="005459F7" w:rsidRPr="00471CBA" w14:paraId="6F464371" w14:textId="77777777" w:rsidTr="005459F7">
        <w:trPr>
          <w:trHeight w:val="20"/>
        </w:trPr>
        <w:tc>
          <w:tcPr>
            <w:tcW w:w="327" w:type="pct"/>
            <w:tcBorders>
              <w:top w:val="nil"/>
              <w:left w:val="single" w:sz="4" w:space="0" w:color="auto"/>
              <w:bottom w:val="nil"/>
              <w:right w:val="nil"/>
            </w:tcBorders>
            <w:noWrap/>
            <w:hideMark/>
          </w:tcPr>
          <w:p w14:paraId="4AD7656A" w14:textId="77777777" w:rsidR="005459F7" w:rsidRPr="00471CBA" w:rsidRDefault="005459F7" w:rsidP="005459F7">
            <w:pPr>
              <w:rPr>
                <w:color w:val="000000"/>
                <w:sz w:val="14"/>
                <w:szCs w:val="14"/>
              </w:rPr>
            </w:pPr>
            <w:r w:rsidRPr="00471CBA">
              <w:rPr>
                <w:color w:val="000000"/>
                <w:sz w:val="14"/>
                <w:szCs w:val="14"/>
              </w:rPr>
              <w:t>17.2</w:t>
            </w:r>
          </w:p>
        </w:tc>
        <w:tc>
          <w:tcPr>
            <w:tcW w:w="3431" w:type="pct"/>
            <w:tcBorders>
              <w:top w:val="nil"/>
              <w:left w:val="nil"/>
              <w:bottom w:val="nil"/>
              <w:right w:val="nil"/>
            </w:tcBorders>
            <w:hideMark/>
          </w:tcPr>
          <w:p w14:paraId="445A78BC" w14:textId="77777777" w:rsidR="005459F7" w:rsidRPr="00471CBA" w:rsidRDefault="005459F7" w:rsidP="005459F7">
            <w:pPr>
              <w:rPr>
                <w:color w:val="000000"/>
                <w:sz w:val="14"/>
                <w:szCs w:val="14"/>
              </w:rPr>
            </w:pPr>
            <w:r w:rsidRPr="00471CBA">
              <w:rPr>
                <w:color w:val="000000"/>
                <w:sz w:val="14"/>
                <w:szCs w:val="14"/>
              </w:rPr>
              <w:t>Ertelenmiş Vergi Gider Etkisi (+)</w:t>
            </w:r>
          </w:p>
        </w:tc>
        <w:tc>
          <w:tcPr>
            <w:tcW w:w="453" w:type="pct"/>
            <w:tcBorders>
              <w:top w:val="nil"/>
              <w:left w:val="single" w:sz="4" w:space="0" w:color="auto"/>
              <w:bottom w:val="nil"/>
              <w:right w:val="single" w:sz="4" w:space="0" w:color="auto"/>
            </w:tcBorders>
            <w:hideMark/>
          </w:tcPr>
          <w:p w14:paraId="5DD6AD58" w14:textId="00554D7F"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0FC4FC23" w14:textId="5AB0032C" w:rsidR="005459F7" w:rsidRPr="00471CBA" w:rsidRDefault="005459F7" w:rsidP="005459F7">
            <w:pPr>
              <w:jc w:val="right"/>
              <w:rPr>
                <w:color w:val="000000"/>
                <w:sz w:val="14"/>
                <w:szCs w:val="14"/>
              </w:rPr>
            </w:pPr>
            <w:r w:rsidRPr="00471CBA">
              <w:rPr>
                <w:color w:val="000000"/>
                <w:sz w:val="14"/>
                <w:szCs w:val="14"/>
              </w:rPr>
              <w:t>118.531</w:t>
            </w:r>
          </w:p>
        </w:tc>
      </w:tr>
      <w:tr w:rsidR="005459F7" w:rsidRPr="00471CBA" w14:paraId="1E687738" w14:textId="77777777" w:rsidTr="005459F7">
        <w:trPr>
          <w:trHeight w:val="20"/>
        </w:trPr>
        <w:tc>
          <w:tcPr>
            <w:tcW w:w="327" w:type="pct"/>
            <w:tcBorders>
              <w:top w:val="nil"/>
              <w:left w:val="single" w:sz="4" w:space="0" w:color="auto"/>
              <w:bottom w:val="nil"/>
              <w:right w:val="nil"/>
            </w:tcBorders>
            <w:noWrap/>
            <w:hideMark/>
          </w:tcPr>
          <w:p w14:paraId="7596462D" w14:textId="77777777" w:rsidR="005459F7" w:rsidRPr="00471CBA" w:rsidRDefault="005459F7" w:rsidP="005459F7">
            <w:pPr>
              <w:rPr>
                <w:color w:val="000000"/>
                <w:sz w:val="14"/>
                <w:szCs w:val="14"/>
              </w:rPr>
            </w:pPr>
            <w:r w:rsidRPr="00471CBA">
              <w:rPr>
                <w:color w:val="000000"/>
                <w:sz w:val="14"/>
                <w:szCs w:val="14"/>
              </w:rPr>
              <w:t>17.3</w:t>
            </w:r>
          </w:p>
        </w:tc>
        <w:tc>
          <w:tcPr>
            <w:tcW w:w="3431" w:type="pct"/>
            <w:tcBorders>
              <w:top w:val="nil"/>
              <w:left w:val="nil"/>
              <w:bottom w:val="nil"/>
              <w:right w:val="nil"/>
            </w:tcBorders>
            <w:hideMark/>
          </w:tcPr>
          <w:p w14:paraId="210F1D91" w14:textId="77777777" w:rsidR="005459F7" w:rsidRPr="00471CBA" w:rsidRDefault="005459F7" w:rsidP="005459F7">
            <w:pPr>
              <w:rPr>
                <w:color w:val="000000"/>
                <w:sz w:val="14"/>
                <w:szCs w:val="14"/>
              </w:rPr>
            </w:pPr>
            <w:r w:rsidRPr="00471CBA">
              <w:rPr>
                <w:color w:val="000000"/>
                <w:sz w:val="14"/>
                <w:szCs w:val="14"/>
              </w:rPr>
              <w:t>Ertelenmiş Vergi Gelir Etkisi (-)</w:t>
            </w:r>
          </w:p>
        </w:tc>
        <w:tc>
          <w:tcPr>
            <w:tcW w:w="453" w:type="pct"/>
            <w:tcBorders>
              <w:top w:val="nil"/>
              <w:left w:val="single" w:sz="4" w:space="0" w:color="auto"/>
              <w:bottom w:val="nil"/>
              <w:right w:val="single" w:sz="4" w:space="0" w:color="auto"/>
            </w:tcBorders>
            <w:hideMark/>
          </w:tcPr>
          <w:p w14:paraId="5BEE08D5" w14:textId="3BA4A7B3"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55D5C651" w14:textId="56618BF6" w:rsidR="005459F7" w:rsidRPr="00471CBA" w:rsidRDefault="005459F7" w:rsidP="005459F7">
            <w:pPr>
              <w:jc w:val="right"/>
              <w:rPr>
                <w:color w:val="000000"/>
                <w:sz w:val="14"/>
                <w:szCs w:val="14"/>
              </w:rPr>
            </w:pPr>
            <w:r w:rsidRPr="00471CBA">
              <w:rPr>
                <w:color w:val="000000"/>
                <w:sz w:val="14"/>
                <w:szCs w:val="14"/>
              </w:rPr>
              <w:t>190.766</w:t>
            </w:r>
          </w:p>
        </w:tc>
      </w:tr>
      <w:tr w:rsidR="005459F7" w:rsidRPr="00471CBA" w14:paraId="159CAAEB" w14:textId="77777777" w:rsidTr="005459F7">
        <w:trPr>
          <w:trHeight w:val="20"/>
        </w:trPr>
        <w:tc>
          <w:tcPr>
            <w:tcW w:w="327" w:type="pct"/>
            <w:tcBorders>
              <w:top w:val="nil"/>
              <w:left w:val="single" w:sz="4" w:space="0" w:color="auto"/>
              <w:bottom w:val="nil"/>
              <w:right w:val="nil"/>
            </w:tcBorders>
            <w:noWrap/>
            <w:hideMark/>
          </w:tcPr>
          <w:p w14:paraId="28B2519F" w14:textId="77777777" w:rsidR="005459F7" w:rsidRPr="00471CBA" w:rsidRDefault="005459F7" w:rsidP="005459F7">
            <w:pPr>
              <w:rPr>
                <w:b/>
                <w:bCs/>
                <w:color w:val="000000"/>
                <w:sz w:val="14"/>
                <w:szCs w:val="14"/>
              </w:rPr>
            </w:pPr>
            <w:r w:rsidRPr="00471CBA">
              <w:rPr>
                <w:b/>
                <w:bCs/>
                <w:color w:val="000000"/>
                <w:sz w:val="14"/>
                <w:szCs w:val="14"/>
              </w:rPr>
              <w:t>XVIII.</w:t>
            </w:r>
          </w:p>
        </w:tc>
        <w:tc>
          <w:tcPr>
            <w:tcW w:w="3431" w:type="pct"/>
            <w:tcBorders>
              <w:top w:val="nil"/>
              <w:left w:val="nil"/>
              <w:bottom w:val="nil"/>
              <w:right w:val="nil"/>
            </w:tcBorders>
            <w:hideMark/>
          </w:tcPr>
          <w:p w14:paraId="5BF21607" w14:textId="77777777" w:rsidR="005459F7" w:rsidRPr="00471CBA" w:rsidRDefault="005459F7" w:rsidP="005459F7">
            <w:pPr>
              <w:rPr>
                <w:b/>
                <w:bCs/>
                <w:color w:val="000000"/>
                <w:sz w:val="14"/>
                <w:szCs w:val="14"/>
              </w:rPr>
            </w:pPr>
            <w:r w:rsidRPr="00471CBA">
              <w:rPr>
                <w:b/>
                <w:bCs/>
                <w:color w:val="000000"/>
                <w:sz w:val="14"/>
                <w:szCs w:val="14"/>
              </w:rPr>
              <w:t>SÜRDÜRÜLEN FAALİYETLER DÖNEM NET K/Z (XVII±XVIII)</w:t>
            </w:r>
          </w:p>
        </w:tc>
        <w:tc>
          <w:tcPr>
            <w:tcW w:w="453" w:type="pct"/>
            <w:tcBorders>
              <w:top w:val="nil"/>
              <w:left w:val="single" w:sz="4" w:space="0" w:color="auto"/>
              <w:bottom w:val="nil"/>
              <w:right w:val="single" w:sz="4" w:space="0" w:color="auto"/>
            </w:tcBorders>
            <w:hideMark/>
          </w:tcPr>
          <w:p w14:paraId="7143FF81" w14:textId="7602F134" w:rsidR="005459F7" w:rsidRPr="00471CBA" w:rsidRDefault="005459F7" w:rsidP="005459F7">
            <w:pPr>
              <w:jc w:val="center"/>
              <w:rPr>
                <w:color w:val="000000"/>
                <w:sz w:val="14"/>
                <w:szCs w:val="14"/>
              </w:rPr>
            </w:pPr>
          </w:p>
        </w:tc>
        <w:tc>
          <w:tcPr>
            <w:tcW w:w="789" w:type="pct"/>
            <w:tcBorders>
              <w:top w:val="nil"/>
              <w:left w:val="nil"/>
              <w:bottom w:val="nil"/>
              <w:right w:val="single" w:sz="4" w:space="0" w:color="auto"/>
            </w:tcBorders>
            <w:vAlign w:val="bottom"/>
            <w:hideMark/>
          </w:tcPr>
          <w:p w14:paraId="58ADE675" w14:textId="1C6E3E8C" w:rsidR="005459F7" w:rsidRPr="00471CBA" w:rsidRDefault="005459F7" w:rsidP="005459F7">
            <w:pPr>
              <w:jc w:val="right"/>
              <w:rPr>
                <w:b/>
                <w:bCs/>
                <w:color w:val="000000"/>
                <w:sz w:val="14"/>
                <w:szCs w:val="14"/>
              </w:rPr>
            </w:pPr>
            <w:r w:rsidRPr="00471CBA">
              <w:rPr>
                <w:b/>
                <w:bCs/>
                <w:color w:val="000000"/>
                <w:sz w:val="14"/>
                <w:szCs w:val="14"/>
              </w:rPr>
              <w:t>1.353.642</w:t>
            </w:r>
          </w:p>
        </w:tc>
      </w:tr>
      <w:tr w:rsidR="005459F7" w:rsidRPr="00471CBA" w14:paraId="6C642CA0" w14:textId="77777777" w:rsidTr="005459F7">
        <w:trPr>
          <w:trHeight w:val="20"/>
        </w:trPr>
        <w:tc>
          <w:tcPr>
            <w:tcW w:w="327" w:type="pct"/>
            <w:tcBorders>
              <w:top w:val="nil"/>
              <w:left w:val="single" w:sz="4" w:space="0" w:color="auto"/>
              <w:bottom w:val="nil"/>
              <w:right w:val="nil"/>
            </w:tcBorders>
            <w:noWrap/>
            <w:hideMark/>
          </w:tcPr>
          <w:p w14:paraId="3655BC48" w14:textId="77777777" w:rsidR="005459F7" w:rsidRPr="00471CBA" w:rsidRDefault="005459F7" w:rsidP="005459F7">
            <w:pPr>
              <w:rPr>
                <w:b/>
                <w:bCs/>
                <w:color w:val="000000"/>
                <w:sz w:val="14"/>
                <w:szCs w:val="14"/>
              </w:rPr>
            </w:pPr>
            <w:r w:rsidRPr="00471CBA">
              <w:rPr>
                <w:b/>
                <w:bCs/>
                <w:color w:val="000000"/>
                <w:sz w:val="14"/>
                <w:szCs w:val="14"/>
              </w:rPr>
              <w:t>XIX.</w:t>
            </w:r>
          </w:p>
        </w:tc>
        <w:tc>
          <w:tcPr>
            <w:tcW w:w="3431" w:type="pct"/>
            <w:tcBorders>
              <w:top w:val="nil"/>
              <w:left w:val="nil"/>
              <w:bottom w:val="nil"/>
              <w:right w:val="nil"/>
            </w:tcBorders>
            <w:hideMark/>
          </w:tcPr>
          <w:p w14:paraId="1224F7DE" w14:textId="77777777" w:rsidR="005459F7" w:rsidRPr="00471CBA" w:rsidRDefault="005459F7" w:rsidP="005459F7">
            <w:pPr>
              <w:rPr>
                <w:b/>
                <w:bCs/>
                <w:color w:val="000000"/>
                <w:sz w:val="14"/>
                <w:szCs w:val="14"/>
              </w:rPr>
            </w:pPr>
            <w:r w:rsidRPr="00471CBA">
              <w:rPr>
                <w:b/>
                <w:bCs/>
                <w:color w:val="000000"/>
                <w:sz w:val="14"/>
                <w:szCs w:val="14"/>
              </w:rPr>
              <w:t>DURDURULAN FAALİYETLERDEN GELİRLER</w:t>
            </w:r>
          </w:p>
        </w:tc>
        <w:tc>
          <w:tcPr>
            <w:tcW w:w="453" w:type="pct"/>
            <w:tcBorders>
              <w:top w:val="nil"/>
              <w:left w:val="single" w:sz="4" w:space="0" w:color="auto"/>
              <w:bottom w:val="nil"/>
              <w:right w:val="single" w:sz="4" w:space="0" w:color="auto"/>
            </w:tcBorders>
            <w:hideMark/>
          </w:tcPr>
          <w:p w14:paraId="2F45ADBB" w14:textId="6E001E9A"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1F26AD9C" w14:textId="26BFA86F" w:rsidR="005459F7" w:rsidRPr="00471CBA" w:rsidRDefault="005459F7" w:rsidP="005459F7">
            <w:pPr>
              <w:jc w:val="right"/>
              <w:rPr>
                <w:b/>
                <w:bCs/>
                <w:color w:val="000000"/>
                <w:sz w:val="14"/>
                <w:szCs w:val="14"/>
              </w:rPr>
            </w:pPr>
            <w:r w:rsidRPr="00471CBA">
              <w:rPr>
                <w:b/>
                <w:bCs/>
                <w:color w:val="000000"/>
                <w:sz w:val="14"/>
                <w:szCs w:val="14"/>
              </w:rPr>
              <w:t>-</w:t>
            </w:r>
          </w:p>
        </w:tc>
      </w:tr>
      <w:tr w:rsidR="005459F7" w:rsidRPr="00471CBA" w14:paraId="40B12071" w14:textId="77777777" w:rsidTr="005459F7">
        <w:trPr>
          <w:trHeight w:val="20"/>
        </w:trPr>
        <w:tc>
          <w:tcPr>
            <w:tcW w:w="327" w:type="pct"/>
            <w:tcBorders>
              <w:top w:val="nil"/>
              <w:left w:val="single" w:sz="4" w:space="0" w:color="auto"/>
              <w:bottom w:val="nil"/>
              <w:right w:val="nil"/>
            </w:tcBorders>
            <w:noWrap/>
            <w:hideMark/>
          </w:tcPr>
          <w:p w14:paraId="5A10D941" w14:textId="77777777" w:rsidR="005459F7" w:rsidRPr="00471CBA" w:rsidRDefault="005459F7" w:rsidP="005459F7">
            <w:pPr>
              <w:rPr>
                <w:color w:val="000000"/>
                <w:sz w:val="14"/>
                <w:szCs w:val="14"/>
              </w:rPr>
            </w:pPr>
            <w:r w:rsidRPr="00471CBA">
              <w:rPr>
                <w:color w:val="000000"/>
                <w:sz w:val="14"/>
                <w:szCs w:val="14"/>
              </w:rPr>
              <w:t>19.1</w:t>
            </w:r>
          </w:p>
        </w:tc>
        <w:tc>
          <w:tcPr>
            <w:tcW w:w="3431" w:type="pct"/>
            <w:tcBorders>
              <w:top w:val="nil"/>
              <w:left w:val="nil"/>
              <w:bottom w:val="nil"/>
              <w:right w:val="nil"/>
            </w:tcBorders>
            <w:hideMark/>
          </w:tcPr>
          <w:p w14:paraId="536B7871" w14:textId="77777777" w:rsidR="005459F7" w:rsidRPr="00471CBA" w:rsidRDefault="005459F7" w:rsidP="005459F7">
            <w:pPr>
              <w:rPr>
                <w:color w:val="000000"/>
                <w:sz w:val="14"/>
                <w:szCs w:val="14"/>
              </w:rPr>
            </w:pPr>
            <w:r w:rsidRPr="00471CBA">
              <w:rPr>
                <w:color w:val="000000"/>
                <w:sz w:val="14"/>
                <w:szCs w:val="14"/>
              </w:rPr>
              <w:t>Satış Amaçlı Elde Tutulan Duran Varlık Gelirleri</w:t>
            </w:r>
          </w:p>
        </w:tc>
        <w:tc>
          <w:tcPr>
            <w:tcW w:w="453" w:type="pct"/>
            <w:tcBorders>
              <w:top w:val="nil"/>
              <w:left w:val="single" w:sz="4" w:space="0" w:color="auto"/>
              <w:bottom w:val="nil"/>
              <w:right w:val="single" w:sz="4" w:space="0" w:color="auto"/>
            </w:tcBorders>
            <w:hideMark/>
          </w:tcPr>
          <w:p w14:paraId="5CF85B1E" w14:textId="17DC7AA2"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3ECC8675" w14:textId="7D142136" w:rsidR="005459F7" w:rsidRPr="00471CBA" w:rsidRDefault="005459F7" w:rsidP="005459F7">
            <w:pPr>
              <w:jc w:val="right"/>
              <w:rPr>
                <w:color w:val="000000"/>
                <w:sz w:val="14"/>
                <w:szCs w:val="14"/>
              </w:rPr>
            </w:pPr>
            <w:r w:rsidRPr="00471CBA">
              <w:rPr>
                <w:color w:val="000000"/>
                <w:sz w:val="14"/>
                <w:szCs w:val="14"/>
              </w:rPr>
              <w:t>-</w:t>
            </w:r>
          </w:p>
        </w:tc>
      </w:tr>
      <w:tr w:rsidR="005459F7" w:rsidRPr="00471CBA" w14:paraId="5C9C8366" w14:textId="77777777" w:rsidTr="005459F7">
        <w:trPr>
          <w:trHeight w:val="20"/>
        </w:trPr>
        <w:tc>
          <w:tcPr>
            <w:tcW w:w="327" w:type="pct"/>
            <w:tcBorders>
              <w:top w:val="nil"/>
              <w:left w:val="single" w:sz="4" w:space="0" w:color="auto"/>
              <w:bottom w:val="nil"/>
              <w:right w:val="nil"/>
            </w:tcBorders>
            <w:noWrap/>
            <w:hideMark/>
          </w:tcPr>
          <w:p w14:paraId="66365D6C" w14:textId="77777777" w:rsidR="005459F7" w:rsidRPr="00471CBA" w:rsidRDefault="005459F7" w:rsidP="005459F7">
            <w:pPr>
              <w:rPr>
                <w:color w:val="000000"/>
                <w:sz w:val="14"/>
                <w:szCs w:val="14"/>
              </w:rPr>
            </w:pPr>
            <w:r w:rsidRPr="00471CBA">
              <w:rPr>
                <w:color w:val="000000"/>
                <w:sz w:val="14"/>
                <w:szCs w:val="14"/>
              </w:rPr>
              <w:t>19.2</w:t>
            </w:r>
          </w:p>
        </w:tc>
        <w:tc>
          <w:tcPr>
            <w:tcW w:w="3431" w:type="pct"/>
            <w:tcBorders>
              <w:top w:val="nil"/>
              <w:left w:val="nil"/>
              <w:bottom w:val="nil"/>
              <w:right w:val="nil"/>
            </w:tcBorders>
            <w:hideMark/>
          </w:tcPr>
          <w:p w14:paraId="4EAAF849" w14:textId="77777777" w:rsidR="005459F7" w:rsidRPr="00471CBA" w:rsidRDefault="005459F7" w:rsidP="005459F7">
            <w:pPr>
              <w:rPr>
                <w:color w:val="000000"/>
                <w:sz w:val="14"/>
                <w:szCs w:val="14"/>
              </w:rPr>
            </w:pPr>
            <w:r w:rsidRPr="00471CBA">
              <w:rPr>
                <w:color w:val="000000"/>
                <w:sz w:val="14"/>
                <w:szCs w:val="14"/>
              </w:rPr>
              <w:t>İştirak, Bağlı Ortaklık ve Birlikte Kontrol Edilen Ortaklıklar (İş Ort.) Satış Karları</w:t>
            </w:r>
          </w:p>
        </w:tc>
        <w:tc>
          <w:tcPr>
            <w:tcW w:w="453" w:type="pct"/>
            <w:tcBorders>
              <w:top w:val="nil"/>
              <w:left w:val="single" w:sz="4" w:space="0" w:color="auto"/>
              <w:bottom w:val="nil"/>
              <w:right w:val="single" w:sz="4" w:space="0" w:color="auto"/>
            </w:tcBorders>
            <w:hideMark/>
          </w:tcPr>
          <w:p w14:paraId="1003F29F" w14:textId="40A49C4A"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027F7909" w14:textId="2F2CBCA1" w:rsidR="005459F7" w:rsidRPr="00471CBA" w:rsidRDefault="005459F7" w:rsidP="005459F7">
            <w:pPr>
              <w:jc w:val="right"/>
              <w:rPr>
                <w:color w:val="000000"/>
                <w:sz w:val="14"/>
                <w:szCs w:val="14"/>
              </w:rPr>
            </w:pPr>
            <w:r w:rsidRPr="00471CBA">
              <w:rPr>
                <w:color w:val="000000"/>
                <w:sz w:val="14"/>
                <w:szCs w:val="14"/>
              </w:rPr>
              <w:t>-</w:t>
            </w:r>
          </w:p>
        </w:tc>
      </w:tr>
      <w:tr w:rsidR="005459F7" w:rsidRPr="00471CBA" w14:paraId="07E9AB73" w14:textId="77777777" w:rsidTr="005459F7">
        <w:trPr>
          <w:trHeight w:val="20"/>
        </w:trPr>
        <w:tc>
          <w:tcPr>
            <w:tcW w:w="327" w:type="pct"/>
            <w:tcBorders>
              <w:top w:val="nil"/>
              <w:left w:val="single" w:sz="4" w:space="0" w:color="auto"/>
              <w:bottom w:val="nil"/>
              <w:right w:val="nil"/>
            </w:tcBorders>
            <w:noWrap/>
            <w:hideMark/>
          </w:tcPr>
          <w:p w14:paraId="7B69C5E1" w14:textId="77777777" w:rsidR="005459F7" w:rsidRPr="00471CBA" w:rsidRDefault="005459F7" w:rsidP="005459F7">
            <w:pPr>
              <w:rPr>
                <w:color w:val="000000"/>
                <w:sz w:val="14"/>
                <w:szCs w:val="14"/>
              </w:rPr>
            </w:pPr>
            <w:r w:rsidRPr="00471CBA">
              <w:rPr>
                <w:color w:val="000000"/>
                <w:sz w:val="14"/>
                <w:szCs w:val="14"/>
              </w:rPr>
              <w:t>19.3</w:t>
            </w:r>
          </w:p>
        </w:tc>
        <w:tc>
          <w:tcPr>
            <w:tcW w:w="3431" w:type="pct"/>
            <w:tcBorders>
              <w:top w:val="nil"/>
              <w:left w:val="nil"/>
              <w:bottom w:val="nil"/>
              <w:right w:val="nil"/>
            </w:tcBorders>
            <w:hideMark/>
          </w:tcPr>
          <w:p w14:paraId="23D9432C" w14:textId="77777777" w:rsidR="005459F7" w:rsidRPr="00471CBA" w:rsidRDefault="005459F7" w:rsidP="005459F7">
            <w:pPr>
              <w:rPr>
                <w:color w:val="000000"/>
                <w:sz w:val="14"/>
                <w:szCs w:val="14"/>
              </w:rPr>
            </w:pPr>
            <w:r w:rsidRPr="00471CBA">
              <w:rPr>
                <w:color w:val="000000"/>
                <w:sz w:val="14"/>
                <w:szCs w:val="14"/>
              </w:rPr>
              <w:t>Diğer Durdurulan Faaliyet Gelirleri</w:t>
            </w:r>
          </w:p>
        </w:tc>
        <w:tc>
          <w:tcPr>
            <w:tcW w:w="453" w:type="pct"/>
            <w:tcBorders>
              <w:top w:val="nil"/>
              <w:left w:val="single" w:sz="4" w:space="0" w:color="auto"/>
              <w:bottom w:val="nil"/>
              <w:right w:val="single" w:sz="4" w:space="0" w:color="auto"/>
            </w:tcBorders>
            <w:hideMark/>
          </w:tcPr>
          <w:p w14:paraId="60F2C154" w14:textId="44DB6C60"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5BEFA541" w14:textId="21F5F649" w:rsidR="005459F7" w:rsidRPr="00471CBA" w:rsidRDefault="005459F7" w:rsidP="005459F7">
            <w:pPr>
              <w:jc w:val="right"/>
              <w:rPr>
                <w:color w:val="000000"/>
                <w:sz w:val="14"/>
                <w:szCs w:val="14"/>
              </w:rPr>
            </w:pPr>
            <w:r w:rsidRPr="00471CBA">
              <w:rPr>
                <w:color w:val="000000"/>
                <w:sz w:val="14"/>
                <w:szCs w:val="14"/>
              </w:rPr>
              <w:t>-</w:t>
            </w:r>
          </w:p>
        </w:tc>
      </w:tr>
      <w:tr w:rsidR="005459F7" w:rsidRPr="00471CBA" w14:paraId="645CCC29" w14:textId="77777777" w:rsidTr="005459F7">
        <w:trPr>
          <w:trHeight w:val="20"/>
        </w:trPr>
        <w:tc>
          <w:tcPr>
            <w:tcW w:w="327" w:type="pct"/>
            <w:tcBorders>
              <w:top w:val="nil"/>
              <w:left w:val="single" w:sz="4" w:space="0" w:color="auto"/>
              <w:bottom w:val="nil"/>
              <w:right w:val="nil"/>
            </w:tcBorders>
            <w:noWrap/>
            <w:hideMark/>
          </w:tcPr>
          <w:p w14:paraId="2A630710" w14:textId="77777777" w:rsidR="005459F7" w:rsidRPr="00471CBA" w:rsidRDefault="005459F7" w:rsidP="005459F7">
            <w:pPr>
              <w:rPr>
                <w:b/>
                <w:bCs/>
                <w:color w:val="000000"/>
                <w:sz w:val="14"/>
                <w:szCs w:val="14"/>
              </w:rPr>
            </w:pPr>
            <w:r w:rsidRPr="00471CBA">
              <w:rPr>
                <w:b/>
                <w:bCs/>
                <w:color w:val="000000"/>
                <w:sz w:val="14"/>
                <w:szCs w:val="14"/>
              </w:rPr>
              <w:t>XX.</w:t>
            </w:r>
          </w:p>
        </w:tc>
        <w:tc>
          <w:tcPr>
            <w:tcW w:w="3431" w:type="pct"/>
            <w:tcBorders>
              <w:top w:val="nil"/>
              <w:left w:val="nil"/>
              <w:bottom w:val="nil"/>
              <w:right w:val="nil"/>
            </w:tcBorders>
            <w:hideMark/>
          </w:tcPr>
          <w:p w14:paraId="3412B1B4" w14:textId="77777777" w:rsidR="005459F7" w:rsidRPr="00471CBA" w:rsidRDefault="005459F7" w:rsidP="005459F7">
            <w:pPr>
              <w:rPr>
                <w:b/>
                <w:bCs/>
                <w:color w:val="000000"/>
                <w:sz w:val="14"/>
                <w:szCs w:val="14"/>
              </w:rPr>
            </w:pPr>
            <w:r w:rsidRPr="00471CBA">
              <w:rPr>
                <w:b/>
                <w:bCs/>
                <w:color w:val="000000"/>
                <w:sz w:val="14"/>
                <w:szCs w:val="14"/>
              </w:rPr>
              <w:t>DURDURULAN FAALİYETLERDEN GİDERLER (-)</w:t>
            </w:r>
          </w:p>
        </w:tc>
        <w:tc>
          <w:tcPr>
            <w:tcW w:w="453" w:type="pct"/>
            <w:tcBorders>
              <w:top w:val="nil"/>
              <w:left w:val="single" w:sz="4" w:space="0" w:color="auto"/>
              <w:bottom w:val="nil"/>
              <w:right w:val="single" w:sz="4" w:space="0" w:color="auto"/>
            </w:tcBorders>
            <w:hideMark/>
          </w:tcPr>
          <w:p w14:paraId="4C380568" w14:textId="40443EF9"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1C343768" w14:textId="0655B764" w:rsidR="005459F7" w:rsidRPr="00471CBA" w:rsidRDefault="005459F7" w:rsidP="005459F7">
            <w:pPr>
              <w:jc w:val="right"/>
              <w:rPr>
                <w:b/>
                <w:bCs/>
                <w:color w:val="000000"/>
                <w:sz w:val="14"/>
                <w:szCs w:val="14"/>
              </w:rPr>
            </w:pPr>
            <w:r w:rsidRPr="00471CBA">
              <w:rPr>
                <w:b/>
                <w:bCs/>
                <w:color w:val="000000"/>
                <w:sz w:val="14"/>
                <w:szCs w:val="14"/>
              </w:rPr>
              <w:t>-</w:t>
            </w:r>
          </w:p>
        </w:tc>
      </w:tr>
      <w:tr w:rsidR="005459F7" w:rsidRPr="00471CBA" w14:paraId="4512274A" w14:textId="77777777" w:rsidTr="005459F7">
        <w:trPr>
          <w:trHeight w:val="20"/>
        </w:trPr>
        <w:tc>
          <w:tcPr>
            <w:tcW w:w="327" w:type="pct"/>
            <w:tcBorders>
              <w:top w:val="nil"/>
              <w:left w:val="single" w:sz="4" w:space="0" w:color="auto"/>
              <w:bottom w:val="nil"/>
              <w:right w:val="nil"/>
            </w:tcBorders>
            <w:noWrap/>
            <w:hideMark/>
          </w:tcPr>
          <w:p w14:paraId="57112DC4" w14:textId="77777777" w:rsidR="005459F7" w:rsidRPr="00471CBA" w:rsidRDefault="005459F7" w:rsidP="005459F7">
            <w:pPr>
              <w:rPr>
                <w:color w:val="000000"/>
                <w:sz w:val="14"/>
                <w:szCs w:val="14"/>
              </w:rPr>
            </w:pPr>
            <w:r w:rsidRPr="00471CBA">
              <w:rPr>
                <w:color w:val="000000"/>
                <w:sz w:val="14"/>
                <w:szCs w:val="14"/>
              </w:rPr>
              <w:t>20.1</w:t>
            </w:r>
          </w:p>
        </w:tc>
        <w:tc>
          <w:tcPr>
            <w:tcW w:w="3431" w:type="pct"/>
            <w:tcBorders>
              <w:top w:val="nil"/>
              <w:left w:val="nil"/>
              <w:bottom w:val="nil"/>
              <w:right w:val="nil"/>
            </w:tcBorders>
            <w:hideMark/>
          </w:tcPr>
          <w:p w14:paraId="49158F1F" w14:textId="77777777" w:rsidR="005459F7" w:rsidRPr="00471CBA" w:rsidRDefault="005459F7" w:rsidP="005459F7">
            <w:pPr>
              <w:rPr>
                <w:color w:val="000000"/>
                <w:sz w:val="14"/>
                <w:szCs w:val="14"/>
              </w:rPr>
            </w:pPr>
            <w:r w:rsidRPr="00471CBA">
              <w:rPr>
                <w:color w:val="000000"/>
                <w:sz w:val="14"/>
                <w:szCs w:val="14"/>
              </w:rPr>
              <w:t>Satış Amaçlı Elde Tutulan Duran Varlık Giderleri</w:t>
            </w:r>
          </w:p>
        </w:tc>
        <w:tc>
          <w:tcPr>
            <w:tcW w:w="453" w:type="pct"/>
            <w:tcBorders>
              <w:top w:val="nil"/>
              <w:left w:val="single" w:sz="4" w:space="0" w:color="auto"/>
              <w:bottom w:val="nil"/>
              <w:right w:val="single" w:sz="4" w:space="0" w:color="auto"/>
            </w:tcBorders>
            <w:hideMark/>
          </w:tcPr>
          <w:p w14:paraId="5B2066B6" w14:textId="5AC430B2"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051134C7" w14:textId="44A26476" w:rsidR="005459F7" w:rsidRPr="00471CBA" w:rsidRDefault="005459F7" w:rsidP="005459F7">
            <w:pPr>
              <w:jc w:val="right"/>
              <w:rPr>
                <w:color w:val="000000"/>
                <w:sz w:val="14"/>
                <w:szCs w:val="14"/>
              </w:rPr>
            </w:pPr>
            <w:r w:rsidRPr="00471CBA">
              <w:rPr>
                <w:color w:val="000000"/>
                <w:sz w:val="14"/>
                <w:szCs w:val="14"/>
              </w:rPr>
              <w:t>-</w:t>
            </w:r>
          </w:p>
        </w:tc>
      </w:tr>
      <w:tr w:rsidR="005459F7" w:rsidRPr="00471CBA" w14:paraId="637399F4" w14:textId="77777777" w:rsidTr="005459F7">
        <w:trPr>
          <w:trHeight w:val="20"/>
        </w:trPr>
        <w:tc>
          <w:tcPr>
            <w:tcW w:w="327" w:type="pct"/>
            <w:tcBorders>
              <w:top w:val="nil"/>
              <w:left w:val="single" w:sz="4" w:space="0" w:color="auto"/>
              <w:bottom w:val="nil"/>
              <w:right w:val="nil"/>
            </w:tcBorders>
            <w:noWrap/>
            <w:hideMark/>
          </w:tcPr>
          <w:p w14:paraId="647A0BD6" w14:textId="77777777" w:rsidR="005459F7" w:rsidRPr="00471CBA" w:rsidRDefault="005459F7" w:rsidP="005459F7">
            <w:pPr>
              <w:rPr>
                <w:color w:val="000000"/>
                <w:sz w:val="14"/>
                <w:szCs w:val="14"/>
              </w:rPr>
            </w:pPr>
            <w:r w:rsidRPr="00471CBA">
              <w:rPr>
                <w:color w:val="000000"/>
                <w:sz w:val="14"/>
                <w:szCs w:val="14"/>
              </w:rPr>
              <w:t>20.2</w:t>
            </w:r>
          </w:p>
        </w:tc>
        <w:tc>
          <w:tcPr>
            <w:tcW w:w="3431" w:type="pct"/>
            <w:tcBorders>
              <w:top w:val="nil"/>
              <w:left w:val="nil"/>
              <w:bottom w:val="nil"/>
              <w:right w:val="nil"/>
            </w:tcBorders>
            <w:hideMark/>
          </w:tcPr>
          <w:p w14:paraId="392503AF" w14:textId="77777777" w:rsidR="005459F7" w:rsidRPr="00471CBA" w:rsidRDefault="005459F7" w:rsidP="005459F7">
            <w:pPr>
              <w:rPr>
                <w:color w:val="000000"/>
                <w:sz w:val="14"/>
                <w:szCs w:val="14"/>
              </w:rPr>
            </w:pPr>
            <w:r w:rsidRPr="00471CBA">
              <w:rPr>
                <w:color w:val="000000"/>
                <w:sz w:val="14"/>
                <w:szCs w:val="14"/>
              </w:rPr>
              <w:t>İştirak, Bağlı Ortaklık ve Birlikte Kontrol Edilen Ortaklıklar (İş Ort.) Satış Zararları</w:t>
            </w:r>
          </w:p>
        </w:tc>
        <w:tc>
          <w:tcPr>
            <w:tcW w:w="453" w:type="pct"/>
            <w:tcBorders>
              <w:top w:val="nil"/>
              <w:left w:val="single" w:sz="4" w:space="0" w:color="auto"/>
              <w:bottom w:val="nil"/>
              <w:right w:val="single" w:sz="4" w:space="0" w:color="auto"/>
            </w:tcBorders>
            <w:hideMark/>
          </w:tcPr>
          <w:p w14:paraId="5C0B1C7A" w14:textId="62C38667"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31504E3C" w14:textId="0BA1B73B" w:rsidR="005459F7" w:rsidRPr="00471CBA" w:rsidRDefault="005459F7" w:rsidP="005459F7">
            <w:pPr>
              <w:jc w:val="right"/>
              <w:rPr>
                <w:color w:val="000000"/>
                <w:sz w:val="14"/>
                <w:szCs w:val="14"/>
              </w:rPr>
            </w:pPr>
            <w:r w:rsidRPr="00471CBA">
              <w:rPr>
                <w:color w:val="000000"/>
                <w:sz w:val="14"/>
                <w:szCs w:val="14"/>
              </w:rPr>
              <w:t>-</w:t>
            </w:r>
          </w:p>
        </w:tc>
      </w:tr>
      <w:tr w:rsidR="005459F7" w:rsidRPr="00471CBA" w14:paraId="7FE8EFD1" w14:textId="77777777" w:rsidTr="005459F7">
        <w:trPr>
          <w:trHeight w:val="20"/>
        </w:trPr>
        <w:tc>
          <w:tcPr>
            <w:tcW w:w="327" w:type="pct"/>
            <w:tcBorders>
              <w:top w:val="nil"/>
              <w:left w:val="single" w:sz="4" w:space="0" w:color="auto"/>
              <w:bottom w:val="nil"/>
              <w:right w:val="nil"/>
            </w:tcBorders>
            <w:noWrap/>
            <w:hideMark/>
          </w:tcPr>
          <w:p w14:paraId="64E61AC0" w14:textId="77777777" w:rsidR="005459F7" w:rsidRPr="00471CBA" w:rsidRDefault="005459F7" w:rsidP="005459F7">
            <w:pPr>
              <w:rPr>
                <w:color w:val="000000"/>
                <w:sz w:val="14"/>
                <w:szCs w:val="14"/>
              </w:rPr>
            </w:pPr>
            <w:r w:rsidRPr="00471CBA">
              <w:rPr>
                <w:color w:val="000000"/>
                <w:sz w:val="14"/>
                <w:szCs w:val="14"/>
              </w:rPr>
              <w:t>20.3</w:t>
            </w:r>
          </w:p>
        </w:tc>
        <w:tc>
          <w:tcPr>
            <w:tcW w:w="3431" w:type="pct"/>
            <w:tcBorders>
              <w:top w:val="nil"/>
              <w:left w:val="nil"/>
              <w:bottom w:val="nil"/>
              <w:right w:val="nil"/>
            </w:tcBorders>
            <w:hideMark/>
          </w:tcPr>
          <w:p w14:paraId="6A9D3447" w14:textId="77777777" w:rsidR="005459F7" w:rsidRPr="00471CBA" w:rsidRDefault="005459F7" w:rsidP="005459F7">
            <w:pPr>
              <w:rPr>
                <w:color w:val="000000"/>
                <w:sz w:val="14"/>
                <w:szCs w:val="14"/>
              </w:rPr>
            </w:pPr>
            <w:r w:rsidRPr="00471CBA">
              <w:rPr>
                <w:color w:val="000000"/>
                <w:sz w:val="14"/>
                <w:szCs w:val="14"/>
              </w:rPr>
              <w:t>Diğer Durdurulan Faaliyet Giderleri</w:t>
            </w:r>
          </w:p>
        </w:tc>
        <w:tc>
          <w:tcPr>
            <w:tcW w:w="453" w:type="pct"/>
            <w:tcBorders>
              <w:top w:val="nil"/>
              <w:left w:val="single" w:sz="4" w:space="0" w:color="auto"/>
              <w:bottom w:val="nil"/>
              <w:right w:val="single" w:sz="4" w:space="0" w:color="auto"/>
            </w:tcBorders>
            <w:hideMark/>
          </w:tcPr>
          <w:p w14:paraId="2BEB83A7" w14:textId="3541D0E9"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05265AD0" w14:textId="2B2F7AD0" w:rsidR="005459F7" w:rsidRPr="00471CBA" w:rsidRDefault="005459F7" w:rsidP="005459F7">
            <w:pPr>
              <w:jc w:val="right"/>
              <w:rPr>
                <w:color w:val="000000"/>
                <w:sz w:val="14"/>
                <w:szCs w:val="14"/>
              </w:rPr>
            </w:pPr>
            <w:r w:rsidRPr="00471CBA">
              <w:rPr>
                <w:color w:val="000000"/>
                <w:sz w:val="14"/>
                <w:szCs w:val="14"/>
              </w:rPr>
              <w:t>-</w:t>
            </w:r>
          </w:p>
        </w:tc>
      </w:tr>
      <w:tr w:rsidR="005459F7" w:rsidRPr="00471CBA" w14:paraId="7DE8A7FB" w14:textId="77777777" w:rsidTr="005459F7">
        <w:trPr>
          <w:trHeight w:val="20"/>
        </w:trPr>
        <w:tc>
          <w:tcPr>
            <w:tcW w:w="327" w:type="pct"/>
            <w:tcBorders>
              <w:top w:val="nil"/>
              <w:left w:val="single" w:sz="4" w:space="0" w:color="auto"/>
              <w:bottom w:val="nil"/>
              <w:right w:val="nil"/>
            </w:tcBorders>
            <w:noWrap/>
            <w:hideMark/>
          </w:tcPr>
          <w:p w14:paraId="2645237B" w14:textId="77777777" w:rsidR="005459F7" w:rsidRPr="00471CBA" w:rsidRDefault="005459F7" w:rsidP="005459F7">
            <w:pPr>
              <w:rPr>
                <w:b/>
                <w:bCs/>
                <w:color w:val="000000"/>
                <w:sz w:val="14"/>
                <w:szCs w:val="14"/>
              </w:rPr>
            </w:pPr>
            <w:r w:rsidRPr="00471CBA">
              <w:rPr>
                <w:b/>
                <w:bCs/>
                <w:color w:val="000000"/>
                <w:sz w:val="14"/>
                <w:szCs w:val="14"/>
              </w:rPr>
              <w:t>XXI.</w:t>
            </w:r>
          </w:p>
        </w:tc>
        <w:tc>
          <w:tcPr>
            <w:tcW w:w="3431" w:type="pct"/>
            <w:tcBorders>
              <w:top w:val="nil"/>
              <w:left w:val="nil"/>
              <w:bottom w:val="nil"/>
              <w:right w:val="nil"/>
            </w:tcBorders>
            <w:hideMark/>
          </w:tcPr>
          <w:p w14:paraId="456EF795" w14:textId="77777777" w:rsidR="005459F7" w:rsidRPr="00471CBA" w:rsidRDefault="005459F7" w:rsidP="005459F7">
            <w:pPr>
              <w:rPr>
                <w:b/>
                <w:bCs/>
                <w:color w:val="000000"/>
                <w:sz w:val="14"/>
                <w:szCs w:val="14"/>
              </w:rPr>
            </w:pPr>
            <w:r w:rsidRPr="00471CBA">
              <w:rPr>
                <w:b/>
                <w:bCs/>
                <w:color w:val="000000"/>
                <w:sz w:val="14"/>
                <w:szCs w:val="14"/>
              </w:rPr>
              <w:t>DURDURULAN FAALİYETLER VERGİ ÖNCESİ K/Z (XX-XXI)</w:t>
            </w:r>
          </w:p>
        </w:tc>
        <w:tc>
          <w:tcPr>
            <w:tcW w:w="453" w:type="pct"/>
            <w:tcBorders>
              <w:top w:val="nil"/>
              <w:left w:val="single" w:sz="4" w:space="0" w:color="auto"/>
              <w:bottom w:val="nil"/>
              <w:right w:val="single" w:sz="4" w:space="0" w:color="auto"/>
            </w:tcBorders>
            <w:hideMark/>
          </w:tcPr>
          <w:p w14:paraId="4D1CD70F" w14:textId="7CE64AF5"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667342AC" w14:textId="2AB76172" w:rsidR="005459F7" w:rsidRPr="00471CBA" w:rsidRDefault="005459F7" w:rsidP="005459F7">
            <w:pPr>
              <w:jc w:val="right"/>
              <w:rPr>
                <w:b/>
                <w:bCs/>
                <w:color w:val="000000"/>
                <w:sz w:val="14"/>
                <w:szCs w:val="14"/>
              </w:rPr>
            </w:pPr>
            <w:r w:rsidRPr="00471CBA">
              <w:rPr>
                <w:b/>
                <w:bCs/>
                <w:color w:val="000000"/>
                <w:sz w:val="14"/>
                <w:szCs w:val="14"/>
              </w:rPr>
              <w:t>-</w:t>
            </w:r>
          </w:p>
        </w:tc>
      </w:tr>
      <w:tr w:rsidR="005459F7" w:rsidRPr="00471CBA" w14:paraId="490A8A6C" w14:textId="77777777" w:rsidTr="005459F7">
        <w:trPr>
          <w:trHeight w:val="20"/>
        </w:trPr>
        <w:tc>
          <w:tcPr>
            <w:tcW w:w="327" w:type="pct"/>
            <w:tcBorders>
              <w:top w:val="nil"/>
              <w:left w:val="single" w:sz="4" w:space="0" w:color="auto"/>
              <w:bottom w:val="nil"/>
              <w:right w:val="nil"/>
            </w:tcBorders>
            <w:noWrap/>
            <w:hideMark/>
          </w:tcPr>
          <w:p w14:paraId="6181380D" w14:textId="77777777" w:rsidR="005459F7" w:rsidRPr="00471CBA" w:rsidRDefault="005459F7" w:rsidP="005459F7">
            <w:pPr>
              <w:rPr>
                <w:b/>
                <w:bCs/>
                <w:color w:val="000000"/>
                <w:sz w:val="14"/>
                <w:szCs w:val="14"/>
              </w:rPr>
            </w:pPr>
            <w:r w:rsidRPr="00471CBA">
              <w:rPr>
                <w:b/>
                <w:bCs/>
                <w:color w:val="000000"/>
                <w:sz w:val="14"/>
                <w:szCs w:val="14"/>
              </w:rPr>
              <w:t>XXII.</w:t>
            </w:r>
          </w:p>
        </w:tc>
        <w:tc>
          <w:tcPr>
            <w:tcW w:w="3431" w:type="pct"/>
            <w:tcBorders>
              <w:top w:val="nil"/>
              <w:left w:val="nil"/>
              <w:bottom w:val="nil"/>
              <w:right w:val="nil"/>
            </w:tcBorders>
            <w:hideMark/>
          </w:tcPr>
          <w:p w14:paraId="35502BE8" w14:textId="77777777" w:rsidR="005459F7" w:rsidRPr="00471CBA" w:rsidRDefault="005459F7" w:rsidP="005459F7">
            <w:pPr>
              <w:rPr>
                <w:b/>
                <w:bCs/>
                <w:color w:val="000000"/>
                <w:sz w:val="14"/>
                <w:szCs w:val="14"/>
              </w:rPr>
            </w:pPr>
            <w:r w:rsidRPr="00471CBA">
              <w:rPr>
                <w:b/>
                <w:bCs/>
                <w:color w:val="000000"/>
                <w:sz w:val="14"/>
                <w:szCs w:val="14"/>
              </w:rPr>
              <w:t>DURDURULAN FAALİYETLER VERGİ KARŞILIĞI (±)</w:t>
            </w:r>
          </w:p>
        </w:tc>
        <w:tc>
          <w:tcPr>
            <w:tcW w:w="453" w:type="pct"/>
            <w:tcBorders>
              <w:top w:val="nil"/>
              <w:left w:val="single" w:sz="4" w:space="0" w:color="auto"/>
              <w:bottom w:val="nil"/>
              <w:right w:val="single" w:sz="4" w:space="0" w:color="auto"/>
            </w:tcBorders>
            <w:hideMark/>
          </w:tcPr>
          <w:p w14:paraId="5FB12D4F" w14:textId="2F7648E7"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2B241B39" w14:textId="53BA226F" w:rsidR="005459F7" w:rsidRPr="00471CBA" w:rsidRDefault="005459F7" w:rsidP="005459F7">
            <w:pPr>
              <w:jc w:val="right"/>
              <w:rPr>
                <w:b/>
                <w:bCs/>
                <w:color w:val="000000"/>
                <w:sz w:val="14"/>
                <w:szCs w:val="14"/>
              </w:rPr>
            </w:pPr>
            <w:r w:rsidRPr="00471CBA">
              <w:rPr>
                <w:b/>
                <w:bCs/>
                <w:color w:val="000000"/>
                <w:sz w:val="14"/>
                <w:szCs w:val="14"/>
              </w:rPr>
              <w:t>-</w:t>
            </w:r>
          </w:p>
        </w:tc>
      </w:tr>
      <w:tr w:rsidR="005459F7" w:rsidRPr="00471CBA" w14:paraId="745F0C80" w14:textId="77777777" w:rsidTr="005459F7">
        <w:trPr>
          <w:trHeight w:val="20"/>
        </w:trPr>
        <w:tc>
          <w:tcPr>
            <w:tcW w:w="327" w:type="pct"/>
            <w:tcBorders>
              <w:top w:val="nil"/>
              <w:left w:val="single" w:sz="4" w:space="0" w:color="auto"/>
              <w:bottom w:val="nil"/>
              <w:right w:val="nil"/>
            </w:tcBorders>
            <w:noWrap/>
            <w:hideMark/>
          </w:tcPr>
          <w:p w14:paraId="346D2B26" w14:textId="77777777" w:rsidR="005459F7" w:rsidRPr="00471CBA" w:rsidRDefault="005459F7" w:rsidP="005459F7">
            <w:pPr>
              <w:rPr>
                <w:color w:val="000000"/>
                <w:sz w:val="14"/>
                <w:szCs w:val="14"/>
              </w:rPr>
            </w:pPr>
            <w:r w:rsidRPr="00471CBA">
              <w:rPr>
                <w:color w:val="000000"/>
                <w:sz w:val="14"/>
                <w:szCs w:val="14"/>
              </w:rPr>
              <w:t>22.1</w:t>
            </w:r>
          </w:p>
        </w:tc>
        <w:tc>
          <w:tcPr>
            <w:tcW w:w="3431" w:type="pct"/>
            <w:tcBorders>
              <w:top w:val="nil"/>
              <w:left w:val="nil"/>
              <w:bottom w:val="nil"/>
              <w:right w:val="nil"/>
            </w:tcBorders>
            <w:hideMark/>
          </w:tcPr>
          <w:p w14:paraId="5B1D2972" w14:textId="77777777" w:rsidR="005459F7" w:rsidRPr="00471CBA" w:rsidRDefault="005459F7" w:rsidP="005459F7">
            <w:pPr>
              <w:rPr>
                <w:color w:val="000000"/>
                <w:sz w:val="14"/>
                <w:szCs w:val="14"/>
              </w:rPr>
            </w:pPr>
            <w:r w:rsidRPr="00471CBA">
              <w:rPr>
                <w:color w:val="000000"/>
                <w:sz w:val="14"/>
                <w:szCs w:val="14"/>
              </w:rPr>
              <w:t>Cari Vergi Karşılığı</w:t>
            </w:r>
          </w:p>
        </w:tc>
        <w:tc>
          <w:tcPr>
            <w:tcW w:w="453" w:type="pct"/>
            <w:tcBorders>
              <w:top w:val="nil"/>
              <w:left w:val="single" w:sz="4" w:space="0" w:color="auto"/>
              <w:bottom w:val="nil"/>
              <w:right w:val="single" w:sz="4" w:space="0" w:color="auto"/>
            </w:tcBorders>
            <w:hideMark/>
          </w:tcPr>
          <w:p w14:paraId="08CBCFB0" w14:textId="5F32CF9B"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0DEB3B2D" w14:textId="04E02E5A" w:rsidR="005459F7" w:rsidRPr="00471CBA" w:rsidRDefault="005459F7" w:rsidP="005459F7">
            <w:pPr>
              <w:jc w:val="right"/>
              <w:rPr>
                <w:color w:val="000000"/>
                <w:sz w:val="14"/>
                <w:szCs w:val="14"/>
              </w:rPr>
            </w:pPr>
            <w:r w:rsidRPr="00471CBA">
              <w:rPr>
                <w:color w:val="000000"/>
                <w:sz w:val="14"/>
                <w:szCs w:val="14"/>
              </w:rPr>
              <w:t>-</w:t>
            </w:r>
          </w:p>
        </w:tc>
      </w:tr>
      <w:tr w:rsidR="005459F7" w:rsidRPr="00471CBA" w14:paraId="4D64D66E" w14:textId="77777777" w:rsidTr="005459F7">
        <w:trPr>
          <w:trHeight w:val="20"/>
        </w:trPr>
        <w:tc>
          <w:tcPr>
            <w:tcW w:w="327" w:type="pct"/>
            <w:tcBorders>
              <w:top w:val="nil"/>
              <w:left w:val="single" w:sz="4" w:space="0" w:color="auto"/>
              <w:bottom w:val="nil"/>
              <w:right w:val="nil"/>
            </w:tcBorders>
            <w:noWrap/>
            <w:hideMark/>
          </w:tcPr>
          <w:p w14:paraId="7D6F6D41" w14:textId="77777777" w:rsidR="005459F7" w:rsidRPr="00471CBA" w:rsidRDefault="005459F7" w:rsidP="005459F7">
            <w:pPr>
              <w:rPr>
                <w:color w:val="000000"/>
                <w:sz w:val="14"/>
                <w:szCs w:val="14"/>
              </w:rPr>
            </w:pPr>
            <w:r w:rsidRPr="00471CBA">
              <w:rPr>
                <w:color w:val="000000"/>
                <w:sz w:val="14"/>
                <w:szCs w:val="14"/>
              </w:rPr>
              <w:t>22.2</w:t>
            </w:r>
          </w:p>
        </w:tc>
        <w:tc>
          <w:tcPr>
            <w:tcW w:w="3431" w:type="pct"/>
            <w:tcBorders>
              <w:top w:val="nil"/>
              <w:left w:val="nil"/>
              <w:bottom w:val="nil"/>
              <w:right w:val="nil"/>
            </w:tcBorders>
            <w:hideMark/>
          </w:tcPr>
          <w:p w14:paraId="36BF400A" w14:textId="77777777" w:rsidR="005459F7" w:rsidRPr="00471CBA" w:rsidRDefault="005459F7" w:rsidP="005459F7">
            <w:pPr>
              <w:rPr>
                <w:color w:val="000000"/>
                <w:sz w:val="14"/>
                <w:szCs w:val="14"/>
              </w:rPr>
            </w:pPr>
            <w:r w:rsidRPr="00471CBA">
              <w:rPr>
                <w:color w:val="000000"/>
                <w:sz w:val="14"/>
                <w:szCs w:val="14"/>
              </w:rPr>
              <w:t>Ertelenmiş Vergi Gider Etkisi (+)</w:t>
            </w:r>
          </w:p>
        </w:tc>
        <w:tc>
          <w:tcPr>
            <w:tcW w:w="453" w:type="pct"/>
            <w:tcBorders>
              <w:top w:val="nil"/>
              <w:left w:val="single" w:sz="4" w:space="0" w:color="auto"/>
              <w:bottom w:val="nil"/>
              <w:right w:val="single" w:sz="4" w:space="0" w:color="auto"/>
            </w:tcBorders>
            <w:hideMark/>
          </w:tcPr>
          <w:p w14:paraId="620888FC" w14:textId="7E019F8B"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7C7C2514" w14:textId="3BEEFE17" w:rsidR="005459F7" w:rsidRPr="00471CBA" w:rsidRDefault="005459F7" w:rsidP="005459F7">
            <w:pPr>
              <w:jc w:val="right"/>
              <w:rPr>
                <w:color w:val="000000"/>
                <w:sz w:val="14"/>
                <w:szCs w:val="14"/>
              </w:rPr>
            </w:pPr>
            <w:r w:rsidRPr="00471CBA">
              <w:rPr>
                <w:color w:val="000000"/>
                <w:sz w:val="14"/>
                <w:szCs w:val="14"/>
              </w:rPr>
              <w:t>-</w:t>
            </w:r>
          </w:p>
        </w:tc>
      </w:tr>
      <w:tr w:rsidR="005459F7" w:rsidRPr="00471CBA" w14:paraId="75952452" w14:textId="77777777" w:rsidTr="005459F7">
        <w:trPr>
          <w:trHeight w:val="20"/>
        </w:trPr>
        <w:tc>
          <w:tcPr>
            <w:tcW w:w="327" w:type="pct"/>
            <w:tcBorders>
              <w:top w:val="nil"/>
              <w:left w:val="single" w:sz="4" w:space="0" w:color="auto"/>
              <w:bottom w:val="nil"/>
              <w:right w:val="nil"/>
            </w:tcBorders>
            <w:noWrap/>
            <w:hideMark/>
          </w:tcPr>
          <w:p w14:paraId="3083142D" w14:textId="77777777" w:rsidR="005459F7" w:rsidRPr="00471CBA" w:rsidRDefault="005459F7" w:rsidP="005459F7">
            <w:pPr>
              <w:rPr>
                <w:color w:val="000000"/>
                <w:sz w:val="14"/>
                <w:szCs w:val="14"/>
              </w:rPr>
            </w:pPr>
            <w:r w:rsidRPr="00471CBA">
              <w:rPr>
                <w:color w:val="000000"/>
                <w:sz w:val="14"/>
                <w:szCs w:val="14"/>
              </w:rPr>
              <w:t>22.3</w:t>
            </w:r>
          </w:p>
        </w:tc>
        <w:tc>
          <w:tcPr>
            <w:tcW w:w="3431" w:type="pct"/>
            <w:tcBorders>
              <w:top w:val="nil"/>
              <w:left w:val="nil"/>
              <w:bottom w:val="nil"/>
              <w:right w:val="nil"/>
            </w:tcBorders>
            <w:hideMark/>
          </w:tcPr>
          <w:p w14:paraId="2FA9D080" w14:textId="77777777" w:rsidR="005459F7" w:rsidRPr="00471CBA" w:rsidRDefault="005459F7" w:rsidP="005459F7">
            <w:pPr>
              <w:rPr>
                <w:color w:val="000000"/>
                <w:sz w:val="14"/>
                <w:szCs w:val="14"/>
              </w:rPr>
            </w:pPr>
            <w:r w:rsidRPr="00471CBA">
              <w:rPr>
                <w:color w:val="000000"/>
                <w:sz w:val="14"/>
                <w:szCs w:val="14"/>
              </w:rPr>
              <w:t>Ertelenmiş Vergi Gelir Etkisi (-)</w:t>
            </w:r>
          </w:p>
        </w:tc>
        <w:tc>
          <w:tcPr>
            <w:tcW w:w="453" w:type="pct"/>
            <w:tcBorders>
              <w:top w:val="nil"/>
              <w:left w:val="single" w:sz="4" w:space="0" w:color="auto"/>
              <w:bottom w:val="nil"/>
              <w:right w:val="single" w:sz="4" w:space="0" w:color="auto"/>
            </w:tcBorders>
            <w:hideMark/>
          </w:tcPr>
          <w:p w14:paraId="20B08349" w14:textId="5EC96A72"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2EA9579F" w14:textId="1D046EB5" w:rsidR="005459F7" w:rsidRPr="00471CBA" w:rsidRDefault="005459F7" w:rsidP="005459F7">
            <w:pPr>
              <w:jc w:val="right"/>
              <w:rPr>
                <w:color w:val="000000"/>
                <w:sz w:val="14"/>
                <w:szCs w:val="14"/>
              </w:rPr>
            </w:pPr>
            <w:r w:rsidRPr="00471CBA">
              <w:rPr>
                <w:color w:val="000000"/>
                <w:sz w:val="14"/>
                <w:szCs w:val="14"/>
              </w:rPr>
              <w:t>-</w:t>
            </w:r>
          </w:p>
        </w:tc>
      </w:tr>
      <w:tr w:rsidR="005459F7" w:rsidRPr="00471CBA" w14:paraId="4D5A5666" w14:textId="77777777" w:rsidTr="005459F7">
        <w:trPr>
          <w:trHeight w:val="20"/>
        </w:trPr>
        <w:tc>
          <w:tcPr>
            <w:tcW w:w="327" w:type="pct"/>
            <w:tcBorders>
              <w:top w:val="nil"/>
              <w:left w:val="single" w:sz="4" w:space="0" w:color="auto"/>
              <w:bottom w:val="nil"/>
              <w:right w:val="nil"/>
            </w:tcBorders>
            <w:noWrap/>
            <w:hideMark/>
          </w:tcPr>
          <w:p w14:paraId="759F4809" w14:textId="77777777" w:rsidR="005459F7" w:rsidRPr="00471CBA" w:rsidRDefault="005459F7" w:rsidP="005459F7">
            <w:pPr>
              <w:rPr>
                <w:b/>
                <w:bCs/>
                <w:color w:val="000000"/>
                <w:sz w:val="14"/>
                <w:szCs w:val="14"/>
              </w:rPr>
            </w:pPr>
            <w:r w:rsidRPr="00471CBA">
              <w:rPr>
                <w:b/>
                <w:bCs/>
                <w:color w:val="000000"/>
                <w:sz w:val="14"/>
                <w:szCs w:val="14"/>
              </w:rPr>
              <w:t>XXIII.</w:t>
            </w:r>
          </w:p>
        </w:tc>
        <w:tc>
          <w:tcPr>
            <w:tcW w:w="3431" w:type="pct"/>
            <w:tcBorders>
              <w:top w:val="nil"/>
              <w:left w:val="nil"/>
              <w:bottom w:val="nil"/>
              <w:right w:val="nil"/>
            </w:tcBorders>
            <w:hideMark/>
          </w:tcPr>
          <w:p w14:paraId="7A9B70FC" w14:textId="77777777" w:rsidR="005459F7" w:rsidRPr="00471CBA" w:rsidRDefault="005459F7" w:rsidP="005459F7">
            <w:pPr>
              <w:rPr>
                <w:b/>
                <w:bCs/>
                <w:color w:val="000000"/>
                <w:sz w:val="14"/>
                <w:szCs w:val="14"/>
              </w:rPr>
            </w:pPr>
            <w:r w:rsidRPr="00471CBA">
              <w:rPr>
                <w:b/>
                <w:bCs/>
                <w:color w:val="000000"/>
                <w:sz w:val="14"/>
                <w:szCs w:val="14"/>
              </w:rPr>
              <w:t>DURDURULAN FAALİYETLER DÖNEM NET K/Z (XXII±XXIII)</w:t>
            </w:r>
          </w:p>
        </w:tc>
        <w:tc>
          <w:tcPr>
            <w:tcW w:w="453" w:type="pct"/>
            <w:tcBorders>
              <w:top w:val="nil"/>
              <w:left w:val="single" w:sz="4" w:space="0" w:color="auto"/>
              <w:bottom w:val="nil"/>
              <w:right w:val="single" w:sz="4" w:space="0" w:color="auto"/>
            </w:tcBorders>
            <w:hideMark/>
          </w:tcPr>
          <w:p w14:paraId="384A6D28" w14:textId="05A5FF09"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1A4A69E1" w14:textId="41FD4B8F" w:rsidR="005459F7" w:rsidRPr="00471CBA" w:rsidRDefault="005459F7" w:rsidP="005459F7">
            <w:pPr>
              <w:jc w:val="right"/>
              <w:rPr>
                <w:b/>
                <w:bCs/>
                <w:color w:val="000000"/>
                <w:sz w:val="14"/>
                <w:szCs w:val="14"/>
              </w:rPr>
            </w:pPr>
            <w:r w:rsidRPr="00471CBA">
              <w:rPr>
                <w:b/>
                <w:bCs/>
                <w:color w:val="000000"/>
                <w:sz w:val="14"/>
                <w:szCs w:val="14"/>
              </w:rPr>
              <w:t>-</w:t>
            </w:r>
          </w:p>
        </w:tc>
      </w:tr>
      <w:tr w:rsidR="005459F7" w:rsidRPr="00471CBA" w14:paraId="2D417564" w14:textId="77777777" w:rsidTr="005459F7">
        <w:trPr>
          <w:trHeight w:val="20"/>
        </w:trPr>
        <w:tc>
          <w:tcPr>
            <w:tcW w:w="327" w:type="pct"/>
            <w:tcBorders>
              <w:top w:val="nil"/>
              <w:left w:val="single" w:sz="4" w:space="0" w:color="auto"/>
              <w:bottom w:val="nil"/>
              <w:right w:val="nil"/>
            </w:tcBorders>
            <w:noWrap/>
            <w:hideMark/>
          </w:tcPr>
          <w:p w14:paraId="1DB1562E" w14:textId="77777777" w:rsidR="005459F7" w:rsidRPr="00471CBA" w:rsidRDefault="005459F7" w:rsidP="005459F7">
            <w:pPr>
              <w:rPr>
                <w:b/>
                <w:bCs/>
                <w:color w:val="000000"/>
                <w:sz w:val="14"/>
                <w:szCs w:val="14"/>
              </w:rPr>
            </w:pPr>
            <w:r w:rsidRPr="00471CBA">
              <w:rPr>
                <w:b/>
                <w:bCs/>
                <w:color w:val="000000"/>
                <w:sz w:val="14"/>
                <w:szCs w:val="14"/>
              </w:rPr>
              <w:t>XXIV.</w:t>
            </w:r>
          </w:p>
        </w:tc>
        <w:tc>
          <w:tcPr>
            <w:tcW w:w="3431" w:type="pct"/>
            <w:tcBorders>
              <w:top w:val="nil"/>
              <w:left w:val="nil"/>
              <w:bottom w:val="nil"/>
              <w:right w:val="nil"/>
            </w:tcBorders>
            <w:hideMark/>
          </w:tcPr>
          <w:p w14:paraId="3743F55C" w14:textId="77777777" w:rsidR="005459F7" w:rsidRPr="00471CBA" w:rsidRDefault="005459F7" w:rsidP="005459F7">
            <w:pPr>
              <w:rPr>
                <w:b/>
                <w:bCs/>
                <w:color w:val="000000"/>
                <w:sz w:val="14"/>
                <w:szCs w:val="14"/>
              </w:rPr>
            </w:pPr>
            <w:r w:rsidRPr="00471CBA">
              <w:rPr>
                <w:b/>
                <w:bCs/>
                <w:color w:val="000000"/>
                <w:sz w:val="14"/>
                <w:szCs w:val="14"/>
              </w:rPr>
              <w:t>DÖNEM NET KARI/ZARARI (XIX+XXIV)</w:t>
            </w:r>
          </w:p>
        </w:tc>
        <w:tc>
          <w:tcPr>
            <w:tcW w:w="453" w:type="pct"/>
            <w:tcBorders>
              <w:top w:val="nil"/>
              <w:left w:val="single" w:sz="4" w:space="0" w:color="auto"/>
              <w:bottom w:val="nil"/>
              <w:right w:val="single" w:sz="4" w:space="0" w:color="auto"/>
            </w:tcBorders>
            <w:hideMark/>
          </w:tcPr>
          <w:p w14:paraId="45288B4F" w14:textId="53A9B692"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nil"/>
              <w:right w:val="single" w:sz="4" w:space="0" w:color="auto"/>
            </w:tcBorders>
            <w:vAlign w:val="bottom"/>
            <w:hideMark/>
          </w:tcPr>
          <w:p w14:paraId="3F753B14" w14:textId="63C6C441" w:rsidR="005459F7" w:rsidRPr="00471CBA" w:rsidRDefault="005459F7" w:rsidP="005459F7">
            <w:pPr>
              <w:jc w:val="right"/>
              <w:rPr>
                <w:b/>
                <w:bCs/>
                <w:color w:val="000000"/>
                <w:sz w:val="14"/>
                <w:szCs w:val="14"/>
              </w:rPr>
            </w:pPr>
            <w:r w:rsidRPr="00471CBA">
              <w:rPr>
                <w:b/>
                <w:bCs/>
                <w:color w:val="000000"/>
                <w:sz w:val="14"/>
                <w:szCs w:val="14"/>
              </w:rPr>
              <w:t>1.353.642</w:t>
            </w:r>
          </w:p>
        </w:tc>
      </w:tr>
      <w:tr w:rsidR="005459F7" w:rsidRPr="00471CBA" w14:paraId="1BB65715" w14:textId="77777777" w:rsidTr="005459F7">
        <w:trPr>
          <w:trHeight w:val="20"/>
        </w:trPr>
        <w:tc>
          <w:tcPr>
            <w:tcW w:w="327" w:type="pct"/>
            <w:tcBorders>
              <w:top w:val="nil"/>
              <w:left w:val="single" w:sz="4" w:space="0" w:color="auto"/>
              <w:bottom w:val="single" w:sz="4" w:space="0" w:color="auto"/>
              <w:right w:val="nil"/>
            </w:tcBorders>
            <w:noWrap/>
            <w:hideMark/>
          </w:tcPr>
          <w:p w14:paraId="43413886" w14:textId="77777777" w:rsidR="005459F7" w:rsidRPr="00471CBA" w:rsidRDefault="005459F7" w:rsidP="005459F7">
            <w:pPr>
              <w:rPr>
                <w:color w:val="000000"/>
                <w:sz w:val="14"/>
                <w:szCs w:val="14"/>
              </w:rPr>
            </w:pPr>
            <w:r w:rsidRPr="00471CBA">
              <w:rPr>
                <w:color w:val="000000"/>
                <w:sz w:val="14"/>
                <w:szCs w:val="14"/>
              </w:rPr>
              <w:t> </w:t>
            </w:r>
          </w:p>
        </w:tc>
        <w:tc>
          <w:tcPr>
            <w:tcW w:w="3431" w:type="pct"/>
            <w:tcBorders>
              <w:top w:val="nil"/>
              <w:left w:val="nil"/>
              <w:bottom w:val="single" w:sz="4" w:space="0" w:color="auto"/>
              <w:right w:val="nil"/>
            </w:tcBorders>
            <w:hideMark/>
          </w:tcPr>
          <w:p w14:paraId="38223330" w14:textId="77777777" w:rsidR="005459F7" w:rsidRPr="00471CBA" w:rsidRDefault="005459F7" w:rsidP="005459F7">
            <w:pPr>
              <w:rPr>
                <w:color w:val="000000"/>
                <w:sz w:val="14"/>
                <w:szCs w:val="14"/>
              </w:rPr>
            </w:pPr>
            <w:r w:rsidRPr="00471CBA">
              <w:rPr>
                <w:color w:val="000000"/>
                <w:sz w:val="14"/>
                <w:szCs w:val="14"/>
              </w:rPr>
              <w:t>Hisse Başına Kâr/Zarar</w:t>
            </w:r>
          </w:p>
        </w:tc>
        <w:tc>
          <w:tcPr>
            <w:tcW w:w="453" w:type="pct"/>
            <w:tcBorders>
              <w:top w:val="nil"/>
              <w:left w:val="single" w:sz="4" w:space="0" w:color="auto"/>
              <w:bottom w:val="single" w:sz="4" w:space="0" w:color="auto"/>
              <w:right w:val="single" w:sz="4" w:space="0" w:color="auto"/>
            </w:tcBorders>
            <w:hideMark/>
          </w:tcPr>
          <w:p w14:paraId="13128F5B" w14:textId="20865B89" w:rsidR="005459F7" w:rsidRPr="00471CBA" w:rsidRDefault="005459F7" w:rsidP="005459F7">
            <w:pPr>
              <w:jc w:val="center"/>
              <w:rPr>
                <w:color w:val="000000"/>
                <w:sz w:val="14"/>
                <w:szCs w:val="14"/>
              </w:rPr>
            </w:pPr>
            <w:r w:rsidRPr="00471CBA">
              <w:rPr>
                <w:color w:val="000000"/>
                <w:sz w:val="14"/>
                <w:szCs w:val="14"/>
              </w:rPr>
              <w:t> </w:t>
            </w:r>
          </w:p>
        </w:tc>
        <w:tc>
          <w:tcPr>
            <w:tcW w:w="789" w:type="pct"/>
            <w:tcBorders>
              <w:top w:val="nil"/>
              <w:left w:val="nil"/>
              <w:bottom w:val="single" w:sz="4" w:space="0" w:color="auto"/>
              <w:right w:val="single" w:sz="4" w:space="0" w:color="auto"/>
            </w:tcBorders>
            <w:vAlign w:val="bottom"/>
            <w:hideMark/>
          </w:tcPr>
          <w:p w14:paraId="4A126482" w14:textId="0857395E" w:rsidR="005459F7" w:rsidRPr="00471CBA" w:rsidRDefault="005459F7" w:rsidP="005459F7">
            <w:pPr>
              <w:jc w:val="right"/>
              <w:rPr>
                <w:color w:val="000000"/>
                <w:sz w:val="14"/>
                <w:szCs w:val="14"/>
              </w:rPr>
            </w:pPr>
            <w:r w:rsidRPr="00471CBA">
              <w:rPr>
                <w:color w:val="000000"/>
                <w:sz w:val="14"/>
                <w:szCs w:val="14"/>
              </w:rPr>
              <w:t>0,03032</w:t>
            </w:r>
          </w:p>
        </w:tc>
      </w:tr>
    </w:tbl>
    <w:p w14:paraId="53BF4A61" w14:textId="77777777" w:rsidR="00D15123" w:rsidRPr="00471CBA" w:rsidRDefault="00D15123" w:rsidP="009F6E11">
      <w:pPr>
        <w:widowControl w:val="0"/>
        <w:jc w:val="center"/>
        <w:rPr>
          <w:sz w:val="16"/>
          <w:szCs w:val="16"/>
        </w:rPr>
      </w:pPr>
    </w:p>
    <w:p w14:paraId="3D827330" w14:textId="77777777" w:rsidR="009D2E02" w:rsidRPr="00471CBA" w:rsidRDefault="009D2E02" w:rsidP="009D2E02">
      <w:pPr>
        <w:widowControl w:val="0"/>
        <w:tabs>
          <w:tab w:val="left" w:pos="-426"/>
        </w:tabs>
        <w:ind w:right="-1"/>
        <w:jc w:val="both"/>
        <w:rPr>
          <w:sz w:val="18"/>
          <w:szCs w:val="18"/>
        </w:rPr>
      </w:pPr>
      <w:r w:rsidRPr="00471CBA">
        <w:rPr>
          <w:sz w:val="18"/>
          <w:szCs w:val="18"/>
        </w:rPr>
        <w:t>Banka, 1 Temmuz 2025 tarihi itibarıyla TFRS 9 Finansal Araçlar standardının değer düşüklüğüne ilişkin hükümlerini uygulamaya başlamış olup, önceki dönem finansal tabloları BDDK tarafından açıklanmış olan TFRS 9 uygulamayan bankalar için geçerli olan finansal tablo formatında sunulduğu için önceki dönem finansal tablo ve dipnotları yeniden düzenlenmemiş olup, ayrı olarak gösterilmiştir.</w:t>
      </w:r>
    </w:p>
    <w:p w14:paraId="3ADB4DC7" w14:textId="77777777" w:rsidR="00882E23" w:rsidRPr="00471CBA" w:rsidRDefault="00882E23" w:rsidP="00882E23">
      <w:pPr>
        <w:widowControl w:val="0"/>
        <w:jc w:val="center"/>
        <w:rPr>
          <w:szCs w:val="20"/>
        </w:rPr>
      </w:pPr>
    </w:p>
    <w:p w14:paraId="0A439C5E" w14:textId="77777777" w:rsidR="00882E23" w:rsidRDefault="00882E23" w:rsidP="00882E23">
      <w:pPr>
        <w:widowControl w:val="0"/>
        <w:jc w:val="center"/>
        <w:rPr>
          <w:szCs w:val="20"/>
        </w:rPr>
      </w:pPr>
    </w:p>
    <w:p w14:paraId="6141911A" w14:textId="77777777" w:rsidR="00F36B82" w:rsidRDefault="00F36B82" w:rsidP="00882E23">
      <w:pPr>
        <w:widowControl w:val="0"/>
        <w:jc w:val="center"/>
        <w:rPr>
          <w:szCs w:val="20"/>
        </w:rPr>
      </w:pPr>
    </w:p>
    <w:p w14:paraId="64C647DF" w14:textId="77777777" w:rsidR="00F36B82" w:rsidRPr="00471CBA" w:rsidRDefault="00F36B82" w:rsidP="00882E23">
      <w:pPr>
        <w:widowControl w:val="0"/>
        <w:jc w:val="center"/>
        <w:rPr>
          <w:szCs w:val="20"/>
        </w:rPr>
      </w:pPr>
    </w:p>
    <w:p w14:paraId="5ED28A27" w14:textId="77777777" w:rsidR="00882E23" w:rsidRPr="00471CBA" w:rsidRDefault="00882E23" w:rsidP="00882E23">
      <w:pPr>
        <w:widowControl w:val="0"/>
        <w:jc w:val="center"/>
        <w:rPr>
          <w:szCs w:val="20"/>
        </w:rPr>
      </w:pPr>
      <w:r w:rsidRPr="00471CBA">
        <w:rPr>
          <w:szCs w:val="20"/>
        </w:rPr>
        <w:t>İlişikteki açıklama ve dipnotlar bu finansal tabloların tamamlayıcı bir parçasıdır.</w:t>
      </w:r>
    </w:p>
    <w:p w14:paraId="39233B67" w14:textId="77777777" w:rsidR="00882E23" w:rsidRPr="00471CBA" w:rsidRDefault="00882E23" w:rsidP="00882E23">
      <w:pPr>
        <w:rPr>
          <w:sz w:val="16"/>
          <w:szCs w:val="16"/>
        </w:rPr>
      </w:pPr>
    </w:p>
    <w:p w14:paraId="497A5DED" w14:textId="77777777" w:rsidR="00882E23" w:rsidRPr="00471CBA" w:rsidRDefault="00882E23" w:rsidP="00882E23">
      <w:pPr>
        <w:rPr>
          <w:sz w:val="16"/>
          <w:szCs w:val="16"/>
        </w:rPr>
      </w:pPr>
    </w:p>
    <w:p w14:paraId="7737BEC6" w14:textId="008D581F" w:rsidR="00882E23" w:rsidRPr="00471CBA" w:rsidRDefault="00882E23" w:rsidP="00882E23">
      <w:pPr>
        <w:rPr>
          <w:sz w:val="16"/>
          <w:szCs w:val="16"/>
        </w:rPr>
        <w:sectPr w:rsidR="00882E23" w:rsidRPr="00471CBA" w:rsidSect="00CA6446">
          <w:headerReference w:type="even" r:id="rId39"/>
          <w:headerReference w:type="default" r:id="rId40"/>
          <w:footerReference w:type="even" r:id="rId41"/>
          <w:footerReference w:type="default" r:id="rId42"/>
          <w:headerReference w:type="first" r:id="rId43"/>
          <w:footerReference w:type="first" r:id="rId44"/>
          <w:type w:val="nextColumn"/>
          <w:pgSz w:w="11907" w:h="16840" w:code="9"/>
          <w:pgMar w:top="851" w:right="851" w:bottom="851" w:left="851" w:header="851" w:footer="851" w:gutter="0"/>
          <w:cols w:space="720"/>
          <w:noEndnote/>
          <w:titlePg/>
          <w:docGrid w:linePitch="326"/>
        </w:sectPr>
      </w:pPr>
    </w:p>
    <w:p w14:paraId="631A6945" w14:textId="342DF522" w:rsidR="00A74C68" w:rsidRPr="00471CBA" w:rsidRDefault="00A74C68" w:rsidP="009F6E11">
      <w:pPr>
        <w:widowControl w:val="0"/>
        <w:ind w:left="-266" w:right="-490"/>
        <w:rPr>
          <w:szCs w:val="20"/>
        </w:rPr>
      </w:pPr>
    </w:p>
    <w:tbl>
      <w:tblPr>
        <w:tblW w:w="9903" w:type="dxa"/>
        <w:tblCellMar>
          <w:left w:w="70" w:type="dxa"/>
          <w:right w:w="70" w:type="dxa"/>
        </w:tblCellMar>
        <w:tblLook w:val="04A0" w:firstRow="1" w:lastRow="0" w:firstColumn="1" w:lastColumn="0" w:noHBand="0" w:noVBand="1"/>
      </w:tblPr>
      <w:tblGrid>
        <w:gridCol w:w="805"/>
        <w:gridCol w:w="5569"/>
        <w:gridCol w:w="1731"/>
        <w:gridCol w:w="1798"/>
      </w:tblGrid>
      <w:tr w:rsidR="00A74C68" w:rsidRPr="009B7E9E" w14:paraId="705246EA" w14:textId="77777777" w:rsidTr="00A74C68">
        <w:trPr>
          <w:divId w:val="460462024"/>
          <w:trHeight w:val="170"/>
        </w:trPr>
        <w:tc>
          <w:tcPr>
            <w:tcW w:w="6374" w:type="dxa"/>
            <w:gridSpan w:val="2"/>
            <w:tcBorders>
              <w:top w:val="single" w:sz="4" w:space="0" w:color="auto"/>
              <w:left w:val="single" w:sz="4" w:space="0" w:color="auto"/>
              <w:bottom w:val="nil"/>
              <w:right w:val="nil"/>
            </w:tcBorders>
            <w:noWrap/>
            <w:vAlign w:val="bottom"/>
            <w:hideMark/>
          </w:tcPr>
          <w:p w14:paraId="530029E1" w14:textId="6647948A" w:rsidR="00A74C68" w:rsidRPr="009B7E9E" w:rsidRDefault="00A74C68" w:rsidP="00A74C68">
            <w:pPr>
              <w:ind w:left="-194" w:firstLine="140"/>
              <w:rPr>
                <w:b/>
                <w:bCs/>
                <w:color w:val="000000"/>
                <w:sz w:val="16"/>
                <w:szCs w:val="16"/>
              </w:rPr>
            </w:pPr>
            <w:r w:rsidRPr="009B7E9E">
              <w:rPr>
                <w:b/>
                <w:bCs/>
                <w:color w:val="000000"/>
                <w:sz w:val="16"/>
                <w:szCs w:val="16"/>
              </w:rPr>
              <w:t>KAR VEYA ZARAR VE DİĞER KAPSAMLI GELİR TABLOSU</w:t>
            </w:r>
          </w:p>
        </w:tc>
        <w:tc>
          <w:tcPr>
            <w:tcW w:w="1731" w:type="dxa"/>
            <w:tcBorders>
              <w:top w:val="single" w:sz="4" w:space="0" w:color="auto"/>
              <w:left w:val="single" w:sz="4" w:space="0" w:color="auto"/>
              <w:bottom w:val="nil"/>
              <w:right w:val="single" w:sz="4" w:space="0" w:color="auto"/>
            </w:tcBorders>
            <w:vAlign w:val="bottom"/>
            <w:hideMark/>
          </w:tcPr>
          <w:p w14:paraId="485390BA" w14:textId="77777777" w:rsidR="00A74C68" w:rsidRPr="009B7E9E" w:rsidRDefault="00A74C68" w:rsidP="00A74C68">
            <w:pPr>
              <w:jc w:val="right"/>
              <w:rPr>
                <w:b/>
                <w:bCs/>
                <w:color w:val="000000"/>
                <w:sz w:val="16"/>
                <w:szCs w:val="16"/>
                <w:lang w:eastAsia="tr-TR"/>
              </w:rPr>
            </w:pPr>
            <w:r w:rsidRPr="009B7E9E">
              <w:rPr>
                <w:b/>
                <w:bCs/>
                <w:color w:val="000000"/>
                <w:sz w:val="16"/>
                <w:szCs w:val="16"/>
              </w:rPr>
              <w:t>Cari Dönem</w:t>
            </w:r>
            <w:r w:rsidRPr="009B7E9E">
              <w:rPr>
                <w:b/>
                <w:bCs/>
                <w:color w:val="000000"/>
                <w:sz w:val="16"/>
                <w:szCs w:val="16"/>
              </w:rPr>
              <w:br/>
              <w:t xml:space="preserve">1 Ocak - 31 </w:t>
            </w:r>
            <w:r w:rsidRPr="009B7E9E">
              <w:rPr>
                <w:b/>
                <w:bCs/>
                <w:color w:val="000000"/>
                <w:sz w:val="16"/>
                <w:szCs w:val="16"/>
                <w:lang w:eastAsia="tr-TR"/>
              </w:rPr>
              <w:t>Aralık 2025</w:t>
            </w:r>
          </w:p>
        </w:tc>
        <w:tc>
          <w:tcPr>
            <w:tcW w:w="1798" w:type="dxa"/>
            <w:tcBorders>
              <w:top w:val="single" w:sz="4" w:space="0" w:color="auto"/>
              <w:left w:val="nil"/>
              <w:bottom w:val="nil"/>
              <w:right w:val="single" w:sz="4" w:space="0" w:color="auto"/>
            </w:tcBorders>
            <w:vAlign w:val="bottom"/>
            <w:hideMark/>
          </w:tcPr>
          <w:p w14:paraId="48E4104D" w14:textId="77777777" w:rsidR="00A74C68" w:rsidRPr="009B7E9E" w:rsidRDefault="00A74C68" w:rsidP="00A74C68">
            <w:pPr>
              <w:jc w:val="right"/>
              <w:rPr>
                <w:b/>
                <w:bCs/>
                <w:color w:val="000000"/>
                <w:sz w:val="16"/>
                <w:szCs w:val="16"/>
                <w:lang w:eastAsia="tr-TR"/>
              </w:rPr>
            </w:pPr>
            <w:r w:rsidRPr="009B7E9E">
              <w:rPr>
                <w:b/>
                <w:bCs/>
                <w:color w:val="000000"/>
                <w:sz w:val="16"/>
                <w:szCs w:val="16"/>
                <w:lang w:eastAsia="tr-TR"/>
              </w:rPr>
              <w:t>Önceki Dönem</w:t>
            </w:r>
            <w:r w:rsidRPr="009B7E9E">
              <w:rPr>
                <w:b/>
                <w:bCs/>
                <w:color w:val="000000"/>
                <w:sz w:val="16"/>
                <w:szCs w:val="16"/>
                <w:lang w:eastAsia="tr-TR"/>
              </w:rPr>
              <w:br/>
              <w:t>1 Ocak - 31 Aralık 2024</w:t>
            </w:r>
          </w:p>
        </w:tc>
      </w:tr>
      <w:tr w:rsidR="00A74C68" w:rsidRPr="009B7E9E" w14:paraId="600BA1FC" w14:textId="77777777" w:rsidTr="00A74C68">
        <w:trPr>
          <w:divId w:val="460462024"/>
          <w:trHeight w:val="170"/>
        </w:trPr>
        <w:tc>
          <w:tcPr>
            <w:tcW w:w="805" w:type="dxa"/>
            <w:tcBorders>
              <w:top w:val="single" w:sz="4" w:space="0" w:color="auto"/>
              <w:left w:val="single" w:sz="4" w:space="0" w:color="auto"/>
              <w:bottom w:val="nil"/>
              <w:right w:val="nil"/>
            </w:tcBorders>
            <w:noWrap/>
            <w:vAlign w:val="bottom"/>
            <w:hideMark/>
          </w:tcPr>
          <w:p w14:paraId="1F778342" w14:textId="77777777" w:rsidR="00A74C68" w:rsidRPr="009B7E9E" w:rsidRDefault="00A74C68" w:rsidP="00A74C68">
            <w:pPr>
              <w:ind w:left="-194" w:firstLine="140"/>
              <w:rPr>
                <w:color w:val="000000"/>
                <w:sz w:val="16"/>
                <w:szCs w:val="16"/>
              </w:rPr>
            </w:pPr>
            <w:r w:rsidRPr="009B7E9E">
              <w:rPr>
                <w:color w:val="000000"/>
                <w:sz w:val="16"/>
                <w:szCs w:val="16"/>
              </w:rPr>
              <w:t> </w:t>
            </w:r>
          </w:p>
        </w:tc>
        <w:tc>
          <w:tcPr>
            <w:tcW w:w="5569" w:type="dxa"/>
            <w:tcBorders>
              <w:top w:val="single" w:sz="4" w:space="0" w:color="auto"/>
              <w:left w:val="nil"/>
              <w:bottom w:val="nil"/>
              <w:right w:val="nil"/>
            </w:tcBorders>
            <w:noWrap/>
            <w:vAlign w:val="bottom"/>
            <w:hideMark/>
          </w:tcPr>
          <w:p w14:paraId="46F34561" w14:textId="77777777" w:rsidR="00A74C68" w:rsidRPr="009B7E9E" w:rsidRDefault="00A74C68" w:rsidP="00A74C68">
            <w:pPr>
              <w:ind w:left="-194" w:firstLine="140"/>
              <w:rPr>
                <w:color w:val="000000"/>
                <w:sz w:val="16"/>
                <w:szCs w:val="16"/>
              </w:rPr>
            </w:pPr>
            <w:r w:rsidRPr="009B7E9E">
              <w:rPr>
                <w:color w:val="000000"/>
                <w:sz w:val="16"/>
                <w:szCs w:val="16"/>
              </w:rPr>
              <w:t> </w:t>
            </w:r>
          </w:p>
        </w:tc>
        <w:tc>
          <w:tcPr>
            <w:tcW w:w="1731" w:type="dxa"/>
            <w:tcBorders>
              <w:top w:val="single" w:sz="4" w:space="0" w:color="auto"/>
              <w:left w:val="single" w:sz="4" w:space="0" w:color="auto"/>
              <w:bottom w:val="nil"/>
              <w:right w:val="single" w:sz="4" w:space="0" w:color="auto"/>
            </w:tcBorders>
            <w:noWrap/>
            <w:vAlign w:val="bottom"/>
            <w:hideMark/>
          </w:tcPr>
          <w:p w14:paraId="7DB9823C" w14:textId="77777777" w:rsidR="00A74C68" w:rsidRPr="009B7E9E" w:rsidRDefault="00A74C68" w:rsidP="00A74C68">
            <w:pPr>
              <w:jc w:val="right"/>
              <w:rPr>
                <w:color w:val="000000"/>
                <w:sz w:val="16"/>
                <w:szCs w:val="16"/>
              </w:rPr>
            </w:pPr>
            <w:r w:rsidRPr="009B7E9E">
              <w:rPr>
                <w:color w:val="000000"/>
                <w:sz w:val="16"/>
                <w:szCs w:val="16"/>
              </w:rPr>
              <w:t> </w:t>
            </w:r>
          </w:p>
        </w:tc>
        <w:tc>
          <w:tcPr>
            <w:tcW w:w="1798" w:type="dxa"/>
            <w:tcBorders>
              <w:top w:val="single" w:sz="4" w:space="0" w:color="auto"/>
              <w:left w:val="nil"/>
              <w:bottom w:val="nil"/>
              <w:right w:val="single" w:sz="4" w:space="0" w:color="auto"/>
            </w:tcBorders>
            <w:noWrap/>
            <w:vAlign w:val="bottom"/>
            <w:hideMark/>
          </w:tcPr>
          <w:p w14:paraId="50C63C7F" w14:textId="77777777" w:rsidR="00A74C68" w:rsidRPr="009B7E9E" w:rsidRDefault="00A74C68" w:rsidP="00A74C68">
            <w:pPr>
              <w:jc w:val="right"/>
              <w:rPr>
                <w:rFonts w:ascii="Arial" w:hAnsi="Arial" w:cs="Arial"/>
                <w:color w:val="000000"/>
                <w:szCs w:val="20"/>
                <w:lang w:eastAsia="tr-TR"/>
              </w:rPr>
            </w:pPr>
            <w:r w:rsidRPr="009B7E9E">
              <w:rPr>
                <w:rFonts w:ascii="Arial" w:hAnsi="Arial" w:cs="Arial"/>
                <w:color w:val="000000"/>
                <w:szCs w:val="20"/>
                <w:lang w:eastAsia="tr-TR"/>
              </w:rPr>
              <w:t> </w:t>
            </w:r>
          </w:p>
        </w:tc>
      </w:tr>
    </w:tbl>
    <w:tbl>
      <w:tblPr>
        <w:tblW w:w="9903" w:type="dxa"/>
        <w:tblCellMar>
          <w:left w:w="70" w:type="dxa"/>
          <w:right w:w="70" w:type="dxa"/>
        </w:tblCellMar>
        <w:tblLook w:val="04A0" w:firstRow="1" w:lastRow="0" w:firstColumn="1" w:lastColumn="0" w:noHBand="0" w:noVBand="1"/>
      </w:tblPr>
      <w:tblGrid>
        <w:gridCol w:w="805"/>
        <w:gridCol w:w="5569"/>
        <w:gridCol w:w="1731"/>
        <w:gridCol w:w="1798"/>
      </w:tblGrid>
      <w:tr w:rsidR="001334D0" w:rsidRPr="009B7E9E" w14:paraId="55F1CC6B" w14:textId="77777777" w:rsidTr="001334D0">
        <w:trPr>
          <w:trHeight w:val="170"/>
        </w:trPr>
        <w:tc>
          <w:tcPr>
            <w:tcW w:w="805" w:type="dxa"/>
            <w:tcBorders>
              <w:top w:val="nil"/>
              <w:left w:val="single" w:sz="4" w:space="0" w:color="auto"/>
              <w:bottom w:val="nil"/>
              <w:right w:val="nil"/>
            </w:tcBorders>
            <w:noWrap/>
            <w:hideMark/>
          </w:tcPr>
          <w:p w14:paraId="3952362F" w14:textId="77777777" w:rsidR="001334D0" w:rsidRPr="009B7E9E" w:rsidRDefault="001334D0" w:rsidP="001334D0">
            <w:pPr>
              <w:ind w:firstLine="140"/>
              <w:rPr>
                <w:b/>
                <w:bCs/>
                <w:color w:val="000000"/>
                <w:sz w:val="16"/>
                <w:szCs w:val="16"/>
              </w:rPr>
            </w:pPr>
            <w:r w:rsidRPr="009B7E9E">
              <w:rPr>
                <w:b/>
                <w:bCs/>
                <w:color w:val="000000"/>
                <w:sz w:val="16"/>
                <w:szCs w:val="16"/>
              </w:rPr>
              <w:t>I.</w:t>
            </w:r>
          </w:p>
        </w:tc>
        <w:tc>
          <w:tcPr>
            <w:tcW w:w="5569" w:type="dxa"/>
            <w:tcBorders>
              <w:top w:val="nil"/>
              <w:left w:val="nil"/>
              <w:bottom w:val="nil"/>
              <w:right w:val="nil"/>
            </w:tcBorders>
            <w:vAlign w:val="center"/>
            <w:hideMark/>
          </w:tcPr>
          <w:p w14:paraId="21F589A9" w14:textId="77777777" w:rsidR="001334D0" w:rsidRPr="009B7E9E" w:rsidRDefault="001334D0" w:rsidP="001334D0">
            <w:pPr>
              <w:ind w:firstLine="140"/>
              <w:rPr>
                <w:b/>
                <w:bCs/>
                <w:color w:val="000000"/>
                <w:sz w:val="16"/>
                <w:szCs w:val="16"/>
              </w:rPr>
            </w:pPr>
            <w:r w:rsidRPr="009B7E9E">
              <w:rPr>
                <w:b/>
                <w:bCs/>
                <w:color w:val="000000"/>
                <w:sz w:val="16"/>
                <w:szCs w:val="16"/>
              </w:rPr>
              <w:t>DÖNEM KARI/ZARARI</w:t>
            </w:r>
          </w:p>
        </w:tc>
        <w:tc>
          <w:tcPr>
            <w:tcW w:w="1731" w:type="dxa"/>
            <w:tcBorders>
              <w:top w:val="nil"/>
              <w:left w:val="single" w:sz="4" w:space="0" w:color="auto"/>
              <w:bottom w:val="nil"/>
              <w:right w:val="single" w:sz="4" w:space="0" w:color="auto"/>
            </w:tcBorders>
            <w:vAlign w:val="bottom"/>
            <w:hideMark/>
          </w:tcPr>
          <w:p w14:paraId="63AED10A" w14:textId="07D2DC1A" w:rsidR="001334D0" w:rsidRPr="009B7E9E" w:rsidRDefault="001334D0" w:rsidP="001334D0">
            <w:pPr>
              <w:jc w:val="right"/>
              <w:rPr>
                <w:b/>
                <w:bCs/>
                <w:color w:val="000000"/>
                <w:sz w:val="16"/>
                <w:szCs w:val="16"/>
                <w:lang w:eastAsia="tr-TR"/>
              </w:rPr>
            </w:pPr>
            <w:r w:rsidRPr="009B7E9E">
              <w:rPr>
                <w:b/>
                <w:bCs/>
                <w:color w:val="000000"/>
                <w:sz w:val="16"/>
                <w:szCs w:val="16"/>
                <w:lang w:eastAsia="tr-TR"/>
              </w:rPr>
              <w:t>2.057.211</w:t>
            </w:r>
          </w:p>
        </w:tc>
        <w:tc>
          <w:tcPr>
            <w:tcW w:w="1798" w:type="dxa"/>
            <w:tcBorders>
              <w:top w:val="nil"/>
              <w:left w:val="nil"/>
              <w:bottom w:val="nil"/>
              <w:right w:val="single" w:sz="4" w:space="0" w:color="auto"/>
            </w:tcBorders>
            <w:vAlign w:val="bottom"/>
            <w:hideMark/>
          </w:tcPr>
          <w:p w14:paraId="449652C3" w14:textId="77777777" w:rsidR="001334D0" w:rsidRPr="009B7E9E" w:rsidRDefault="001334D0" w:rsidP="001334D0">
            <w:pPr>
              <w:jc w:val="right"/>
              <w:rPr>
                <w:b/>
                <w:bCs/>
                <w:color w:val="000000"/>
                <w:sz w:val="16"/>
                <w:szCs w:val="16"/>
                <w:lang w:eastAsia="tr-TR"/>
              </w:rPr>
            </w:pPr>
            <w:r w:rsidRPr="009B7E9E">
              <w:rPr>
                <w:b/>
                <w:bCs/>
                <w:color w:val="000000"/>
                <w:sz w:val="16"/>
                <w:szCs w:val="16"/>
                <w:lang w:eastAsia="tr-TR"/>
              </w:rPr>
              <w:t>1.353.642</w:t>
            </w:r>
          </w:p>
        </w:tc>
      </w:tr>
      <w:tr w:rsidR="001334D0" w:rsidRPr="009B7E9E" w14:paraId="59ED3343" w14:textId="77777777" w:rsidTr="001334D0">
        <w:trPr>
          <w:trHeight w:val="170"/>
        </w:trPr>
        <w:tc>
          <w:tcPr>
            <w:tcW w:w="805" w:type="dxa"/>
            <w:tcBorders>
              <w:top w:val="nil"/>
              <w:left w:val="single" w:sz="4" w:space="0" w:color="auto"/>
              <w:bottom w:val="nil"/>
              <w:right w:val="nil"/>
            </w:tcBorders>
            <w:noWrap/>
            <w:hideMark/>
          </w:tcPr>
          <w:p w14:paraId="383C0CF3" w14:textId="77777777" w:rsidR="001334D0" w:rsidRPr="009B7E9E" w:rsidRDefault="001334D0" w:rsidP="001334D0">
            <w:pPr>
              <w:ind w:firstLine="140"/>
              <w:rPr>
                <w:b/>
                <w:bCs/>
                <w:color w:val="000000"/>
                <w:sz w:val="16"/>
                <w:szCs w:val="16"/>
              </w:rPr>
            </w:pPr>
            <w:r w:rsidRPr="009B7E9E">
              <w:rPr>
                <w:b/>
                <w:bCs/>
                <w:sz w:val="16"/>
                <w:szCs w:val="16"/>
              </w:rPr>
              <w:t>II.</w:t>
            </w:r>
          </w:p>
        </w:tc>
        <w:tc>
          <w:tcPr>
            <w:tcW w:w="5569" w:type="dxa"/>
            <w:tcBorders>
              <w:top w:val="nil"/>
              <w:left w:val="nil"/>
              <w:bottom w:val="nil"/>
              <w:right w:val="nil"/>
            </w:tcBorders>
            <w:vAlign w:val="center"/>
            <w:hideMark/>
          </w:tcPr>
          <w:p w14:paraId="72C98537" w14:textId="77777777" w:rsidR="001334D0" w:rsidRPr="009B7E9E" w:rsidRDefault="001334D0" w:rsidP="001334D0">
            <w:pPr>
              <w:ind w:firstLine="140"/>
              <w:rPr>
                <w:b/>
                <w:bCs/>
                <w:color w:val="000000"/>
                <w:sz w:val="16"/>
                <w:szCs w:val="16"/>
              </w:rPr>
            </w:pPr>
            <w:r w:rsidRPr="009B7E9E">
              <w:rPr>
                <w:b/>
                <w:bCs/>
                <w:sz w:val="16"/>
                <w:szCs w:val="16"/>
              </w:rPr>
              <w:t>DİĞER KAPSAMLI GELİRLER</w:t>
            </w:r>
          </w:p>
        </w:tc>
        <w:tc>
          <w:tcPr>
            <w:tcW w:w="1731" w:type="dxa"/>
            <w:tcBorders>
              <w:top w:val="nil"/>
              <w:left w:val="single" w:sz="4" w:space="0" w:color="auto"/>
              <w:bottom w:val="nil"/>
              <w:right w:val="single" w:sz="4" w:space="0" w:color="auto"/>
            </w:tcBorders>
            <w:vAlign w:val="bottom"/>
            <w:hideMark/>
          </w:tcPr>
          <w:p w14:paraId="38087F00" w14:textId="5B1E4AC7" w:rsidR="001334D0" w:rsidRPr="009B7E9E" w:rsidRDefault="001334D0" w:rsidP="001334D0">
            <w:pPr>
              <w:jc w:val="right"/>
              <w:rPr>
                <w:b/>
                <w:bCs/>
                <w:color w:val="000000"/>
                <w:sz w:val="16"/>
                <w:szCs w:val="16"/>
                <w:lang w:eastAsia="tr-TR"/>
              </w:rPr>
            </w:pPr>
            <w:r w:rsidRPr="009B7E9E">
              <w:rPr>
                <w:b/>
                <w:bCs/>
                <w:color w:val="000000"/>
                <w:sz w:val="16"/>
                <w:szCs w:val="16"/>
                <w:lang w:eastAsia="tr-TR"/>
              </w:rPr>
              <w:t>53.789</w:t>
            </w:r>
          </w:p>
        </w:tc>
        <w:tc>
          <w:tcPr>
            <w:tcW w:w="1798" w:type="dxa"/>
            <w:tcBorders>
              <w:top w:val="nil"/>
              <w:left w:val="nil"/>
              <w:bottom w:val="nil"/>
              <w:right w:val="single" w:sz="4" w:space="0" w:color="auto"/>
            </w:tcBorders>
            <w:vAlign w:val="bottom"/>
            <w:hideMark/>
          </w:tcPr>
          <w:p w14:paraId="38FCEBC2" w14:textId="77777777" w:rsidR="001334D0" w:rsidRPr="009B7E9E" w:rsidRDefault="001334D0" w:rsidP="001334D0">
            <w:pPr>
              <w:jc w:val="right"/>
              <w:rPr>
                <w:b/>
                <w:bCs/>
                <w:color w:val="000000"/>
                <w:sz w:val="16"/>
                <w:szCs w:val="16"/>
                <w:lang w:eastAsia="tr-TR"/>
              </w:rPr>
            </w:pPr>
            <w:r w:rsidRPr="009B7E9E">
              <w:rPr>
                <w:b/>
                <w:bCs/>
                <w:color w:val="000000"/>
                <w:sz w:val="16"/>
                <w:szCs w:val="16"/>
                <w:lang w:eastAsia="tr-TR"/>
              </w:rPr>
              <w:t>4.404</w:t>
            </w:r>
          </w:p>
        </w:tc>
      </w:tr>
      <w:tr w:rsidR="001334D0" w:rsidRPr="009B7E9E" w14:paraId="5B2E4606" w14:textId="77777777" w:rsidTr="001334D0">
        <w:trPr>
          <w:trHeight w:val="170"/>
        </w:trPr>
        <w:tc>
          <w:tcPr>
            <w:tcW w:w="805" w:type="dxa"/>
            <w:tcBorders>
              <w:top w:val="nil"/>
              <w:left w:val="single" w:sz="4" w:space="0" w:color="auto"/>
              <w:bottom w:val="nil"/>
              <w:right w:val="nil"/>
            </w:tcBorders>
            <w:noWrap/>
            <w:hideMark/>
          </w:tcPr>
          <w:p w14:paraId="7BD47D9C" w14:textId="77777777" w:rsidR="001334D0" w:rsidRPr="009B7E9E" w:rsidRDefault="001334D0" w:rsidP="001334D0">
            <w:pPr>
              <w:ind w:firstLine="140"/>
              <w:rPr>
                <w:b/>
                <w:bCs/>
                <w:color w:val="000000"/>
                <w:sz w:val="16"/>
                <w:szCs w:val="16"/>
              </w:rPr>
            </w:pPr>
            <w:r w:rsidRPr="009B7E9E">
              <w:rPr>
                <w:b/>
                <w:bCs/>
                <w:sz w:val="16"/>
                <w:szCs w:val="16"/>
              </w:rPr>
              <w:t>2.1</w:t>
            </w:r>
          </w:p>
        </w:tc>
        <w:tc>
          <w:tcPr>
            <w:tcW w:w="5569" w:type="dxa"/>
            <w:tcBorders>
              <w:top w:val="nil"/>
              <w:left w:val="nil"/>
              <w:bottom w:val="nil"/>
              <w:right w:val="nil"/>
            </w:tcBorders>
            <w:vAlign w:val="center"/>
            <w:hideMark/>
          </w:tcPr>
          <w:p w14:paraId="21E3B592" w14:textId="77777777" w:rsidR="001334D0" w:rsidRPr="009B7E9E" w:rsidRDefault="001334D0" w:rsidP="001334D0">
            <w:pPr>
              <w:ind w:firstLine="140"/>
              <w:rPr>
                <w:b/>
                <w:bCs/>
                <w:color w:val="000000"/>
                <w:sz w:val="16"/>
                <w:szCs w:val="16"/>
              </w:rPr>
            </w:pPr>
            <w:r w:rsidRPr="009B7E9E">
              <w:rPr>
                <w:b/>
                <w:bCs/>
                <w:sz w:val="16"/>
                <w:szCs w:val="16"/>
              </w:rPr>
              <w:t>Kar veya Zararda Yeniden Sınıflandırılmayacaklar</w:t>
            </w:r>
          </w:p>
        </w:tc>
        <w:tc>
          <w:tcPr>
            <w:tcW w:w="1731" w:type="dxa"/>
            <w:tcBorders>
              <w:top w:val="nil"/>
              <w:left w:val="single" w:sz="4" w:space="0" w:color="auto"/>
              <w:bottom w:val="nil"/>
              <w:right w:val="single" w:sz="4" w:space="0" w:color="auto"/>
            </w:tcBorders>
            <w:vAlign w:val="bottom"/>
            <w:hideMark/>
          </w:tcPr>
          <w:p w14:paraId="37B96B18" w14:textId="6D2858A6" w:rsidR="001334D0" w:rsidRPr="009B7E9E" w:rsidRDefault="001334D0" w:rsidP="001334D0">
            <w:pPr>
              <w:jc w:val="right"/>
              <w:rPr>
                <w:b/>
                <w:bCs/>
                <w:color w:val="000000"/>
                <w:sz w:val="16"/>
                <w:szCs w:val="16"/>
                <w:lang w:eastAsia="tr-TR"/>
              </w:rPr>
            </w:pPr>
            <w:r w:rsidRPr="009B7E9E">
              <w:rPr>
                <w:b/>
                <w:bCs/>
                <w:color w:val="000000"/>
                <w:sz w:val="16"/>
                <w:szCs w:val="16"/>
                <w:lang w:eastAsia="tr-TR"/>
              </w:rPr>
              <w:t>1.018</w:t>
            </w:r>
          </w:p>
        </w:tc>
        <w:tc>
          <w:tcPr>
            <w:tcW w:w="1798" w:type="dxa"/>
            <w:tcBorders>
              <w:top w:val="nil"/>
              <w:left w:val="nil"/>
              <w:bottom w:val="nil"/>
              <w:right w:val="single" w:sz="4" w:space="0" w:color="auto"/>
            </w:tcBorders>
            <w:vAlign w:val="bottom"/>
            <w:hideMark/>
          </w:tcPr>
          <w:p w14:paraId="5F4E5561" w14:textId="77777777" w:rsidR="001334D0" w:rsidRPr="009B7E9E" w:rsidRDefault="001334D0" w:rsidP="001334D0">
            <w:pPr>
              <w:jc w:val="right"/>
              <w:rPr>
                <w:b/>
                <w:bCs/>
                <w:color w:val="000000"/>
                <w:sz w:val="16"/>
                <w:szCs w:val="16"/>
                <w:lang w:eastAsia="tr-TR"/>
              </w:rPr>
            </w:pPr>
            <w:r w:rsidRPr="009B7E9E">
              <w:rPr>
                <w:b/>
                <w:bCs/>
                <w:color w:val="000000"/>
                <w:sz w:val="16"/>
                <w:szCs w:val="16"/>
                <w:lang w:eastAsia="tr-TR"/>
              </w:rPr>
              <w:t>(3.899)</w:t>
            </w:r>
          </w:p>
        </w:tc>
      </w:tr>
      <w:tr w:rsidR="001334D0" w:rsidRPr="009B7E9E" w14:paraId="753036D3" w14:textId="77777777" w:rsidTr="001334D0">
        <w:trPr>
          <w:trHeight w:val="170"/>
        </w:trPr>
        <w:tc>
          <w:tcPr>
            <w:tcW w:w="805" w:type="dxa"/>
            <w:tcBorders>
              <w:top w:val="nil"/>
              <w:left w:val="single" w:sz="4" w:space="0" w:color="auto"/>
              <w:bottom w:val="nil"/>
              <w:right w:val="nil"/>
            </w:tcBorders>
            <w:noWrap/>
            <w:hideMark/>
          </w:tcPr>
          <w:p w14:paraId="19414194" w14:textId="77777777" w:rsidR="001334D0" w:rsidRPr="009B7E9E" w:rsidRDefault="001334D0" w:rsidP="001334D0">
            <w:pPr>
              <w:ind w:firstLineChars="100" w:firstLine="160"/>
              <w:rPr>
                <w:color w:val="000000"/>
                <w:sz w:val="16"/>
                <w:szCs w:val="16"/>
              </w:rPr>
            </w:pPr>
            <w:r w:rsidRPr="009B7E9E">
              <w:rPr>
                <w:sz w:val="16"/>
                <w:szCs w:val="16"/>
              </w:rPr>
              <w:t>2.1.1</w:t>
            </w:r>
          </w:p>
        </w:tc>
        <w:tc>
          <w:tcPr>
            <w:tcW w:w="5569" w:type="dxa"/>
            <w:tcBorders>
              <w:top w:val="nil"/>
              <w:left w:val="nil"/>
              <w:bottom w:val="nil"/>
              <w:right w:val="nil"/>
            </w:tcBorders>
            <w:vAlign w:val="center"/>
            <w:hideMark/>
          </w:tcPr>
          <w:p w14:paraId="777D85BB" w14:textId="77777777" w:rsidR="001334D0" w:rsidRPr="009B7E9E" w:rsidRDefault="001334D0" w:rsidP="001334D0">
            <w:pPr>
              <w:ind w:firstLineChars="100" w:firstLine="160"/>
              <w:rPr>
                <w:color w:val="000000"/>
                <w:sz w:val="16"/>
                <w:szCs w:val="16"/>
              </w:rPr>
            </w:pPr>
            <w:r w:rsidRPr="009B7E9E">
              <w:rPr>
                <w:sz w:val="16"/>
                <w:szCs w:val="16"/>
              </w:rPr>
              <w:t>Maddi Duran Varlıklar Yeniden Değerleme Artışları/Azalışları</w:t>
            </w:r>
          </w:p>
        </w:tc>
        <w:tc>
          <w:tcPr>
            <w:tcW w:w="1731" w:type="dxa"/>
            <w:tcBorders>
              <w:top w:val="nil"/>
              <w:left w:val="single" w:sz="4" w:space="0" w:color="auto"/>
              <w:bottom w:val="nil"/>
              <w:right w:val="single" w:sz="4" w:space="0" w:color="auto"/>
            </w:tcBorders>
            <w:vAlign w:val="bottom"/>
            <w:hideMark/>
          </w:tcPr>
          <w:p w14:paraId="25805544" w14:textId="3C016DF9" w:rsidR="001334D0" w:rsidRPr="009B7E9E" w:rsidRDefault="001334D0" w:rsidP="001334D0">
            <w:pPr>
              <w:jc w:val="right"/>
              <w:rPr>
                <w:color w:val="000000"/>
                <w:sz w:val="16"/>
                <w:szCs w:val="16"/>
                <w:lang w:eastAsia="tr-TR"/>
              </w:rPr>
            </w:pPr>
            <w:r w:rsidRPr="009B7E9E">
              <w:rPr>
                <w:color w:val="000000"/>
                <w:sz w:val="16"/>
                <w:szCs w:val="16"/>
                <w:lang w:eastAsia="tr-TR"/>
              </w:rPr>
              <w:t>-</w:t>
            </w:r>
          </w:p>
        </w:tc>
        <w:tc>
          <w:tcPr>
            <w:tcW w:w="1798" w:type="dxa"/>
            <w:tcBorders>
              <w:top w:val="nil"/>
              <w:left w:val="nil"/>
              <w:bottom w:val="nil"/>
              <w:right w:val="single" w:sz="4" w:space="0" w:color="auto"/>
            </w:tcBorders>
            <w:vAlign w:val="bottom"/>
            <w:hideMark/>
          </w:tcPr>
          <w:p w14:paraId="4753CEC5" w14:textId="77777777" w:rsidR="001334D0" w:rsidRPr="009B7E9E" w:rsidRDefault="001334D0" w:rsidP="001334D0">
            <w:pPr>
              <w:jc w:val="right"/>
              <w:rPr>
                <w:color w:val="000000"/>
                <w:sz w:val="16"/>
                <w:szCs w:val="16"/>
                <w:lang w:eastAsia="tr-TR"/>
              </w:rPr>
            </w:pPr>
            <w:r w:rsidRPr="009B7E9E">
              <w:rPr>
                <w:color w:val="000000"/>
                <w:sz w:val="16"/>
                <w:szCs w:val="16"/>
                <w:lang w:eastAsia="tr-TR"/>
              </w:rPr>
              <w:t>-</w:t>
            </w:r>
          </w:p>
        </w:tc>
      </w:tr>
      <w:tr w:rsidR="001334D0" w:rsidRPr="009B7E9E" w14:paraId="59C90DC9" w14:textId="77777777" w:rsidTr="001334D0">
        <w:trPr>
          <w:trHeight w:val="170"/>
        </w:trPr>
        <w:tc>
          <w:tcPr>
            <w:tcW w:w="805" w:type="dxa"/>
            <w:tcBorders>
              <w:top w:val="nil"/>
              <w:left w:val="single" w:sz="4" w:space="0" w:color="auto"/>
              <w:bottom w:val="nil"/>
              <w:right w:val="nil"/>
            </w:tcBorders>
            <w:noWrap/>
            <w:hideMark/>
          </w:tcPr>
          <w:p w14:paraId="55B445FF" w14:textId="77777777" w:rsidR="001334D0" w:rsidRPr="009B7E9E" w:rsidRDefault="001334D0" w:rsidP="001334D0">
            <w:pPr>
              <w:ind w:firstLineChars="100" w:firstLine="160"/>
              <w:rPr>
                <w:color w:val="000000"/>
                <w:sz w:val="16"/>
                <w:szCs w:val="16"/>
              </w:rPr>
            </w:pPr>
            <w:r w:rsidRPr="009B7E9E">
              <w:rPr>
                <w:sz w:val="16"/>
                <w:szCs w:val="16"/>
              </w:rPr>
              <w:t>2.1.2</w:t>
            </w:r>
          </w:p>
        </w:tc>
        <w:tc>
          <w:tcPr>
            <w:tcW w:w="5569" w:type="dxa"/>
            <w:tcBorders>
              <w:top w:val="nil"/>
              <w:left w:val="nil"/>
              <w:bottom w:val="nil"/>
              <w:right w:val="nil"/>
            </w:tcBorders>
            <w:vAlign w:val="center"/>
            <w:hideMark/>
          </w:tcPr>
          <w:p w14:paraId="7FEE1F86" w14:textId="77777777" w:rsidR="001334D0" w:rsidRPr="009B7E9E" w:rsidRDefault="001334D0" w:rsidP="001334D0">
            <w:pPr>
              <w:ind w:firstLineChars="100" w:firstLine="160"/>
              <w:rPr>
                <w:color w:val="000000"/>
                <w:sz w:val="16"/>
                <w:szCs w:val="16"/>
              </w:rPr>
            </w:pPr>
            <w:r w:rsidRPr="009B7E9E">
              <w:rPr>
                <w:sz w:val="16"/>
                <w:szCs w:val="16"/>
              </w:rPr>
              <w:t>Maddi Olmayan Duran Varlıklar Yeniden Değerleme Artışları/Azalışları</w:t>
            </w:r>
          </w:p>
        </w:tc>
        <w:tc>
          <w:tcPr>
            <w:tcW w:w="1731" w:type="dxa"/>
            <w:tcBorders>
              <w:top w:val="nil"/>
              <w:left w:val="single" w:sz="4" w:space="0" w:color="auto"/>
              <w:bottom w:val="nil"/>
              <w:right w:val="single" w:sz="4" w:space="0" w:color="auto"/>
            </w:tcBorders>
            <w:vAlign w:val="bottom"/>
            <w:hideMark/>
          </w:tcPr>
          <w:p w14:paraId="6D3C5A5A" w14:textId="6AC93BED" w:rsidR="001334D0" w:rsidRPr="009B7E9E" w:rsidRDefault="001334D0" w:rsidP="001334D0">
            <w:pPr>
              <w:jc w:val="right"/>
              <w:rPr>
                <w:color w:val="000000"/>
                <w:sz w:val="16"/>
                <w:szCs w:val="16"/>
                <w:lang w:eastAsia="tr-TR"/>
              </w:rPr>
            </w:pPr>
            <w:r w:rsidRPr="009B7E9E">
              <w:rPr>
                <w:color w:val="000000"/>
                <w:sz w:val="16"/>
                <w:szCs w:val="16"/>
                <w:lang w:eastAsia="tr-TR"/>
              </w:rPr>
              <w:t>-</w:t>
            </w:r>
          </w:p>
        </w:tc>
        <w:tc>
          <w:tcPr>
            <w:tcW w:w="1798" w:type="dxa"/>
            <w:tcBorders>
              <w:top w:val="nil"/>
              <w:left w:val="nil"/>
              <w:bottom w:val="nil"/>
              <w:right w:val="single" w:sz="4" w:space="0" w:color="auto"/>
            </w:tcBorders>
            <w:vAlign w:val="bottom"/>
            <w:hideMark/>
          </w:tcPr>
          <w:p w14:paraId="3F632682" w14:textId="77777777" w:rsidR="001334D0" w:rsidRPr="009B7E9E" w:rsidRDefault="001334D0" w:rsidP="001334D0">
            <w:pPr>
              <w:jc w:val="right"/>
              <w:rPr>
                <w:color w:val="000000"/>
                <w:sz w:val="16"/>
                <w:szCs w:val="16"/>
                <w:lang w:eastAsia="tr-TR"/>
              </w:rPr>
            </w:pPr>
            <w:r w:rsidRPr="009B7E9E">
              <w:rPr>
                <w:color w:val="000000"/>
                <w:sz w:val="16"/>
                <w:szCs w:val="16"/>
                <w:lang w:eastAsia="tr-TR"/>
              </w:rPr>
              <w:t>-</w:t>
            </w:r>
          </w:p>
        </w:tc>
      </w:tr>
      <w:tr w:rsidR="001334D0" w:rsidRPr="009B7E9E" w14:paraId="076DAE51" w14:textId="77777777" w:rsidTr="001334D0">
        <w:trPr>
          <w:trHeight w:val="170"/>
        </w:trPr>
        <w:tc>
          <w:tcPr>
            <w:tcW w:w="805" w:type="dxa"/>
            <w:tcBorders>
              <w:top w:val="nil"/>
              <w:left w:val="single" w:sz="4" w:space="0" w:color="auto"/>
              <w:bottom w:val="nil"/>
              <w:right w:val="nil"/>
            </w:tcBorders>
            <w:noWrap/>
            <w:hideMark/>
          </w:tcPr>
          <w:p w14:paraId="1122B994" w14:textId="77777777" w:rsidR="001334D0" w:rsidRPr="009B7E9E" w:rsidRDefault="001334D0" w:rsidP="001334D0">
            <w:pPr>
              <w:ind w:firstLineChars="100" w:firstLine="160"/>
              <w:rPr>
                <w:color w:val="000000"/>
                <w:sz w:val="16"/>
                <w:szCs w:val="16"/>
              </w:rPr>
            </w:pPr>
            <w:r w:rsidRPr="009B7E9E">
              <w:rPr>
                <w:sz w:val="16"/>
                <w:szCs w:val="16"/>
              </w:rPr>
              <w:t>2.1.3</w:t>
            </w:r>
          </w:p>
        </w:tc>
        <w:tc>
          <w:tcPr>
            <w:tcW w:w="5569" w:type="dxa"/>
            <w:tcBorders>
              <w:top w:val="nil"/>
              <w:left w:val="nil"/>
              <w:bottom w:val="nil"/>
              <w:right w:val="nil"/>
            </w:tcBorders>
            <w:vAlign w:val="center"/>
            <w:hideMark/>
          </w:tcPr>
          <w:p w14:paraId="7C362945" w14:textId="77777777" w:rsidR="001334D0" w:rsidRPr="009B7E9E" w:rsidRDefault="001334D0" w:rsidP="001334D0">
            <w:pPr>
              <w:ind w:firstLineChars="100" w:firstLine="160"/>
              <w:rPr>
                <w:color w:val="000000"/>
                <w:sz w:val="16"/>
                <w:szCs w:val="16"/>
              </w:rPr>
            </w:pPr>
            <w:r w:rsidRPr="009B7E9E">
              <w:rPr>
                <w:sz w:val="16"/>
                <w:szCs w:val="16"/>
              </w:rPr>
              <w:t>Tanımlanmış Fayda Planları Yeniden Ölçüm Kazançları/Kayıpları</w:t>
            </w:r>
          </w:p>
        </w:tc>
        <w:tc>
          <w:tcPr>
            <w:tcW w:w="1731" w:type="dxa"/>
            <w:tcBorders>
              <w:top w:val="nil"/>
              <w:left w:val="single" w:sz="4" w:space="0" w:color="auto"/>
              <w:bottom w:val="nil"/>
              <w:right w:val="single" w:sz="4" w:space="0" w:color="auto"/>
            </w:tcBorders>
            <w:vAlign w:val="bottom"/>
            <w:hideMark/>
          </w:tcPr>
          <w:p w14:paraId="44DA3959" w14:textId="1CCA838D" w:rsidR="001334D0" w:rsidRPr="009B7E9E" w:rsidRDefault="001334D0" w:rsidP="001334D0">
            <w:pPr>
              <w:jc w:val="right"/>
              <w:rPr>
                <w:color w:val="000000"/>
                <w:sz w:val="16"/>
                <w:szCs w:val="16"/>
                <w:lang w:eastAsia="tr-TR"/>
              </w:rPr>
            </w:pPr>
            <w:r w:rsidRPr="009B7E9E">
              <w:rPr>
                <w:color w:val="000000"/>
                <w:sz w:val="16"/>
                <w:szCs w:val="16"/>
                <w:lang w:eastAsia="tr-TR"/>
              </w:rPr>
              <w:t>1.454</w:t>
            </w:r>
          </w:p>
        </w:tc>
        <w:tc>
          <w:tcPr>
            <w:tcW w:w="1798" w:type="dxa"/>
            <w:tcBorders>
              <w:top w:val="nil"/>
              <w:left w:val="nil"/>
              <w:bottom w:val="nil"/>
              <w:right w:val="single" w:sz="4" w:space="0" w:color="auto"/>
            </w:tcBorders>
            <w:vAlign w:val="bottom"/>
            <w:hideMark/>
          </w:tcPr>
          <w:p w14:paraId="02D6D9C9" w14:textId="77777777" w:rsidR="001334D0" w:rsidRPr="009B7E9E" w:rsidRDefault="001334D0" w:rsidP="001334D0">
            <w:pPr>
              <w:jc w:val="right"/>
              <w:rPr>
                <w:color w:val="000000"/>
                <w:sz w:val="16"/>
                <w:szCs w:val="16"/>
                <w:lang w:eastAsia="tr-TR"/>
              </w:rPr>
            </w:pPr>
            <w:r w:rsidRPr="009B7E9E">
              <w:rPr>
                <w:color w:val="000000"/>
                <w:sz w:val="16"/>
                <w:szCs w:val="16"/>
                <w:lang w:eastAsia="tr-TR"/>
              </w:rPr>
              <w:t>(6.532)</w:t>
            </w:r>
          </w:p>
        </w:tc>
      </w:tr>
      <w:tr w:rsidR="001334D0" w:rsidRPr="009B7E9E" w14:paraId="4A71F376" w14:textId="77777777" w:rsidTr="001334D0">
        <w:trPr>
          <w:trHeight w:val="170"/>
        </w:trPr>
        <w:tc>
          <w:tcPr>
            <w:tcW w:w="805" w:type="dxa"/>
            <w:tcBorders>
              <w:top w:val="nil"/>
              <w:left w:val="single" w:sz="4" w:space="0" w:color="auto"/>
              <w:bottom w:val="nil"/>
              <w:right w:val="nil"/>
            </w:tcBorders>
            <w:noWrap/>
            <w:hideMark/>
          </w:tcPr>
          <w:p w14:paraId="15C5190C" w14:textId="77777777" w:rsidR="001334D0" w:rsidRPr="009B7E9E" w:rsidRDefault="001334D0" w:rsidP="001334D0">
            <w:pPr>
              <w:ind w:firstLineChars="100" w:firstLine="160"/>
              <w:rPr>
                <w:color w:val="000000"/>
                <w:sz w:val="16"/>
                <w:szCs w:val="16"/>
              </w:rPr>
            </w:pPr>
            <w:r w:rsidRPr="009B7E9E">
              <w:rPr>
                <w:sz w:val="16"/>
                <w:szCs w:val="16"/>
              </w:rPr>
              <w:t>2.1.4</w:t>
            </w:r>
          </w:p>
        </w:tc>
        <w:tc>
          <w:tcPr>
            <w:tcW w:w="5569" w:type="dxa"/>
            <w:tcBorders>
              <w:top w:val="nil"/>
              <w:left w:val="nil"/>
              <w:bottom w:val="nil"/>
              <w:right w:val="nil"/>
            </w:tcBorders>
            <w:vAlign w:val="center"/>
            <w:hideMark/>
          </w:tcPr>
          <w:p w14:paraId="455E8DA2" w14:textId="77777777" w:rsidR="001334D0" w:rsidRPr="009B7E9E" w:rsidRDefault="001334D0" w:rsidP="001334D0">
            <w:pPr>
              <w:ind w:firstLineChars="100" w:firstLine="160"/>
              <w:rPr>
                <w:color w:val="000000"/>
                <w:sz w:val="16"/>
                <w:szCs w:val="16"/>
              </w:rPr>
            </w:pPr>
            <w:r w:rsidRPr="009B7E9E">
              <w:rPr>
                <w:sz w:val="16"/>
                <w:szCs w:val="16"/>
              </w:rPr>
              <w:t>Diğer Kâr veya Zarar Olarak Yeniden Sınıflandırılmayacak Diğer Kapsamlı Gelir Unsurları</w:t>
            </w:r>
          </w:p>
        </w:tc>
        <w:tc>
          <w:tcPr>
            <w:tcW w:w="1731" w:type="dxa"/>
            <w:tcBorders>
              <w:top w:val="nil"/>
              <w:left w:val="single" w:sz="4" w:space="0" w:color="auto"/>
              <w:bottom w:val="nil"/>
              <w:right w:val="single" w:sz="4" w:space="0" w:color="auto"/>
            </w:tcBorders>
            <w:vAlign w:val="bottom"/>
            <w:hideMark/>
          </w:tcPr>
          <w:p w14:paraId="576C57DB" w14:textId="5AE2F2AF" w:rsidR="001334D0" w:rsidRPr="009B7E9E" w:rsidRDefault="001334D0" w:rsidP="001334D0">
            <w:pPr>
              <w:jc w:val="right"/>
              <w:rPr>
                <w:color w:val="000000"/>
                <w:sz w:val="16"/>
                <w:szCs w:val="16"/>
                <w:lang w:eastAsia="tr-TR"/>
              </w:rPr>
            </w:pPr>
            <w:r w:rsidRPr="009B7E9E">
              <w:rPr>
                <w:color w:val="000000"/>
                <w:sz w:val="16"/>
                <w:szCs w:val="16"/>
                <w:lang w:eastAsia="tr-TR"/>
              </w:rPr>
              <w:t>-</w:t>
            </w:r>
          </w:p>
        </w:tc>
        <w:tc>
          <w:tcPr>
            <w:tcW w:w="1798" w:type="dxa"/>
            <w:tcBorders>
              <w:top w:val="nil"/>
              <w:left w:val="nil"/>
              <w:bottom w:val="nil"/>
              <w:right w:val="single" w:sz="4" w:space="0" w:color="auto"/>
            </w:tcBorders>
            <w:vAlign w:val="bottom"/>
            <w:hideMark/>
          </w:tcPr>
          <w:p w14:paraId="7273402D" w14:textId="77777777" w:rsidR="001334D0" w:rsidRPr="009B7E9E" w:rsidRDefault="001334D0" w:rsidP="001334D0">
            <w:pPr>
              <w:jc w:val="right"/>
              <w:rPr>
                <w:color w:val="000000"/>
                <w:sz w:val="16"/>
                <w:szCs w:val="16"/>
                <w:lang w:eastAsia="tr-TR"/>
              </w:rPr>
            </w:pPr>
            <w:r w:rsidRPr="009B7E9E">
              <w:rPr>
                <w:color w:val="000000"/>
                <w:sz w:val="16"/>
                <w:szCs w:val="16"/>
                <w:lang w:eastAsia="tr-TR"/>
              </w:rPr>
              <w:t>-</w:t>
            </w:r>
          </w:p>
        </w:tc>
      </w:tr>
      <w:tr w:rsidR="001334D0" w:rsidRPr="009B7E9E" w14:paraId="7C2C52C1" w14:textId="77777777" w:rsidTr="001334D0">
        <w:trPr>
          <w:trHeight w:val="170"/>
        </w:trPr>
        <w:tc>
          <w:tcPr>
            <w:tcW w:w="805" w:type="dxa"/>
            <w:tcBorders>
              <w:top w:val="nil"/>
              <w:left w:val="single" w:sz="4" w:space="0" w:color="auto"/>
              <w:bottom w:val="nil"/>
              <w:right w:val="nil"/>
            </w:tcBorders>
            <w:noWrap/>
            <w:hideMark/>
          </w:tcPr>
          <w:p w14:paraId="1095CC1D" w14:textId="77777777" w:rsidR="001334D0" w:rsidRPr="009B7E9E" w:rsidRDefault="001334D0" w:rsidP="001334D0">
            <w:pPr>
              <w:ind w:firstLineChars="100" w:firstLine="160"/>
              <w:rPr>
                <w:color w:val="000000"/>
                <w:sz w:val="16"/>
                <w:szCs w:val="16"/>
              </w:rPr>
            </w:pPr>
            <w:r w:rsidRPr="009B7E9E">
              <w:rPr>
                <w:sz w:val="16"/>
                <w:szCs w:val="16"/>
              </w:rPr>
              <w:t>2.1.5</w:t>
            </w:r>
          </w:p>
        </w:tc>
        <w:tc>
          <w:tcPr>
            <w:tcW w:w="5569" w:type="dxa"/>
            <w:tcBorders>
              <w:top w:val="nil"/>
              <w:left w:val="nil"/>
              <w:bottom w:val="nil"/>
              <w:right w:val="nil"/>
            </w:tcBorders>
            <w:vAlign w:val="center"/>
            <w:hideMark/>
          </w:tcPr>
          <w:p w14:paraId="5DC42AA2" w14:textId="77777777" w:rsidR="001334D0" w:rsidRPr="009B7E9E" w:rsidRDefault="001334D0" w:rsidP="001334D0">
            <w:pPr>
              <w:ind w:firstLineChars="100" w:firstLine="160"/>
              <w:rPr>
                <w:color w:val="000000"/>
                <w:sz w:val="16"/>
                <w:szCs w:val="16"/>
              </w:rPr>
            </w:pPr>
            <w:r w:rsidRPr="009B7E9E">
              <w:rPr>
                <w:sz w:val="16"/>
                <w:szCs w:val="16"/>
              </w:rPr>
              <w:t>Kâr veya Zararda Yeniden Sınıflandırılmayacak Diğer Kapsamlı Gelire İlişkin Vergiler</w:t>
            </w:r>
          </w:p>
        </w:tc>
        <w:tc>
          <w:tcPr>
            <w:tcW w:w="1731" w:type="dxa"/>
            <w:tcBorders>
              <w:top w:val="nil"/>
              <w:left w:val="single" w:sz="4" w:space="0" w:color="auto"/>
              <w:bottom w:val="nil"/>
              <w:right w:val="single" w:sz="4" w:space="0" w:color="auto"/>
            </w:tcBorders>
            <w:vAlign w:val="bottom"/>
            <w:hideMark/>
          </w:tcPr>
          <w:p w14:paraId="49A4683C" w14:textId="3D8FEAF2" w:rsidR="001334D0" w:rsidRPr="009B7E9E" w:rsidRDefault="001334D0" w:rsidP="001334D0">
            <w:pPr>
              <w:jc w:val="right"/>
              <w:rPr>
                <w:color w:val="000000"/>
                <w:sz w:val="16"/>
                <w:szCs w:val="16"/>
                <w:lang w:eastAsia="tr-TR"/>
              </w:rPr>
            </w:pPr>
            <w:r w:rsidRPr="009B7E9E">
              <w:rPr>
                <w:color w:val="000000"/>
                <w:sz w:val="16"/>
                <w:szCs w:val="16"/>
                <w:lang w:eastAsia="tr-TR"/>
              </w:rPr>
              <w:t>(436)</w:t>
            </w:r>
          </w:p>
        </w:tc>
        <w:tc>
          <w:tcPr>
            <w:tcW w:w="1798" w:type="dxa"/>
            <w:tcBorders>
              <w:top w:val="nil"/>
              <w:left w:val="nil"/>
              <w:bottom w:val="nil"/>
              <w:right w:val="single" w:sz="4" w:space="0" w:color="auto"/>
            </w:tcBorders>
            <w:vAlign w:val="bottom"/>
            <w:hideMark/>
          </w:tcPr>
          <w:p w14:paraId="433FA867" w14:textId="77777777" w:rsidR="001334D0" w:rsidRPr="009B7E9E" w:rsidRDefault="001334D0" w:rsidP="001334D0">
            <w:pPr>
              <w:jc w:val="right"/>
              <w:rPr>
                <w:color w:val="000000"/>
                <w:sz w:val="16"/>
                <w:szCs w:val="16"/>
                <w:lang w:eastAsia="tr-TR"/>
              </w:rPr>
            </w:pPr>
            <w:r w:rsidRPr="009B7E9E">
              <w:rPr>
                <w:color w:val="000000"/>
                <w:sz w:val="16"/>
                <w:szCs w:val="16"/>
                <w:lang w:eastAsia="tr-TR"/>
              </w:rPr>
              <w:t>2.633</w:t>
            </w:r>
          </w:p>
        </w:tc>
      </w:tr>
      <w:tr w:rsidR="001334D0" w:rsidRPr="009B7E9E" w14:paraId="098181A5" w14:textId="77777777" w:rsidTr="001334D0">
        <w:trPr>
          <w:trHeight w:val="170"/>
        </w:trPr>
        <w:tc>
          <w:tcPr>
            <w:tcW w:w="805" w:type="dxa"/>
            <w:tcBorders>
              <w:top w:val="nil"/>
              <w:left w:val="single" w:sz="4" w:space="0" w:color="auto"/>
              <w:bottom w:val="nil"/>
              <w:right w:val="nil"/>
            </w:tcBorders>
            <w:noWrap/>
            <w:hideMark/>
          </w:tcPr>
          <w:p w14:paraId="4B6FA010" w14:textId="77777777" w:rsidR="001334D0" w:rsidRPr="009B7E9E" w:rsidRDefault="001334D0" w:rsidP="001334D0">
            <w:pPr>
              <w:ind w:firstLine="140"/>
              <w:rPr>
                <w:b/>
                <w:bCs/>
                <w:color w:val="000000"/>
                <w:sz w:val="16"/>
                <w:szCs w:val="16"/>
              </w:rPr>
            </w:pPr>
            <w:r w:rsidRPr="009B7E9E">
              <w:rPr>
                <w:b/>
                <w:bCs/>
                <w:sz w:val="16"/>
                <w:szCs w:val="16"/>
              </w:rPr>
              <w:t>2.2</w:t>
            </w:r>
          </w:p>
        </w:tc>
        <w:tc>
          <w:tcPr>
            <w:tcW w:w="5569" w:type="dxa"/>
            <w:tcBorders>
              <w:top w:val="nil"/>
              <w:left w:val="nil"/>
              <w:bottom w:val="nil"/>
              <w:right w:val="nil"/>
            </w:tcBorders>
            <w:vAlign w:val="center"/>
            <w:hideMark/>
          </w:tcPr>
          <w:p w14:paraId="145C59A9" w14:textId="77777777" w:rsidR="001334D0" w:rsidRPr="009B7E9E" w:rsidRDefault="001334D0" w:rsidP="001334D0">
            <w:pPr>
              <w:ind w:firstLine="140"/>
              <w:rPr>
                <w:b/>
                <w:bCs/>
                <w:color w:val="000000"/>
                <w:sz w:val="16"/>
                <w:szCs w:val="16"/>
              </w:rPr>
            </w:pPr>
            <w:r w:rsidRPr="009B7E9E">
              <w:rPr>
                <w:b/>
                <w:bCs/>
                <w:sz w:val="16"/>
                <w:szCs w:val="16"/>
              </w:rPr>
              <w:t>Kâr veya Zararda Yeniden Sınıflandırılacaklar</w:t>
            </w:r>
          </w:p>
        </w:tc>
        <w:tc>
          <w:tcPr>
            <w:tcW w:w="1731" w:type="dxa"/>
            <w:tcBorders>
              <w:top w:val="nil"/>
              <w:left w:val="single" w:sz="4" w:space="0" w:color="auto"/>
              <w:bottom w:val="nil"/>
              <w:right w:val="single" w:sz="4" w:space="0" w:color="auto"/>
            </w:tcBorders>
            <w:vAlign w:val="bottom"/>
            <w:hideMark/>
          </w:tcPr>
          <w:p w14:paraId="35E865B0" w14:textId="71272B42" w:rsidR="001334D0" w:rsidRPr="009B7E9E" w:rsidRDefault="001334D0" w:rsidP="001334D0">
            <w:pPr>
              <w:jc w:val="right"/>
              <w:rPr>
                <w:b/>
                <w:bCs/>
                <w:color w:val="000000"/>
                <w:sz w:val="16"/>
                <w:szCs w:val="16"/>
                <w:lang w:eastAsia="tr-TR"/>
              </w:rPr>
            </w:pPr>
            <w:r w:rsidRPr="009B7E9E">
              <w:rPr>
                <w:b/>
                <w:bCs/>
                <w:color w:val="000000"/>
                <w:sz w:val="16"/>
                <w:szCs w:val="16"/>
                <w:lang w:eastAsia="tr-TR"/>
              </w:rPr>
              <w:t>52.771</w:t>
            </w:r>
          </w:p>
        </w:tc>
        <w:tc>
          <w:tcPr>
            <w:tcW w:w="1798" w:type="dxa"/>
            <w:tcBorders>
              <w:top w:val="nil"/>
              <w:left w:val="nil"/>
              <w:bottom w:val="nil"/>
              <w:right w:val="single" w:sz="4" w:space="0" w:color="auto"/>
            </w:tcBorders>
            <w:vAlign w:val="bottom"/>
            <w:hideMark/>
          </w:tcPr>
          <w:p w14:paraId="2F91DABE" w14:textId="77777777" w:rsidR="001334D0" w:rsidRPr="009B7E9E" w:rsidRDefault="001334D0" w:rsidP="001334D0">
            <w:pPr>
              <w:jc w:val="right"/>
              <w:rPr>
                <w:b/>
                <w:bCs/>
                <w:color w:val="000000"/>
                <w:sz w:val="16"/>
                <w:szCs w:val="16"/>
                <w:lang w:eastAsia="tr-TR"/>
              </w:rPr>
            </w:pPr>
            <w:r w:rsidRPr="009B7E9E">
              <w:rPr>
                <w:b/>
                <w:bCs/>
                <w:color w:val="000000"/>
                <w:sz w:val="16"/>
                <w:szCs w:val="16"/>
                <w:lang w:eastAsia="tr-TR"/>
              </w:rPr>
              <w:t>8.303</w:t>
            </w:r>
          </w:p>
        </w:tc>
      </w:tr>
      <w:tr w:rsidR="001334D0" w:rsidRPr="009B7E9E" w14:paraId="09DF04A1" w14:textId="77777777" w:rsidTr="001334D0">
        <w:trPr>
          <w:trHeight w:val="170"/>
        </w:trPr>
        <w:tc>
          <w:tcPr>
            <w:tcW w:w="805" w:type="dxa"/>
            <w:tcBorders>
              <w:top w:val="nil"/>
              <w:left w:val="single" w:sz="4" w:space="0" w:color="auto"/>
              <w:bottom w:val="nil"/>
              <w:right w:val="nil"/>
            </w:tcBorders>
            <w:noWrap/>
            <w:hideMark/>
          </w:tcPr>
          <w:p w14:paraId="48574985" w14:textId="77777777" w:rsidR="001334D0" w:rsidRPr="009B7E9E" w:rsidRDefault="001334D0" w:rsidP="001334D0">
            <w:pPr>
              <w:ind w:firstLineChars="100" w:firstLine="160"/>
              <w:rPr>
                <w:color w:val="000000"/>
                <w:sz w:val="16"/>
                <w:szCs w:val="16"/>
              </w:rPr>
            </w:pPr>
            <w:r w:rsidRPr="009B7E9E">
              <w:rPr>
                <w:sz w:val="16"/>
                <w:szCs w:val="16"/>
              </w:rPr>
              <w:t>2.2.1</w:t>
            </w:r>
          </w:p>
        </w:tc>
        <w:tc>
          <w:tcPr>
            <w:tcW w:w="5569" w:type="dxa"/>
            <w:tcBorders>
              <w:top w:val="nil"/>
              <w:left w:val="nil"/>
              <w:bottom w:val="nil"/>
              <w:right w:val="nil"/>
            </w:tcBorders>
            <w:vAlign w:val="center"/>
            <w:hideMark/>
          </w:tcPr>
          <w:p w14:paraId="57AC3E18" w14:textId="77777777" w:rsidR="001334D0" w:rsidRPr="009B7E9E" w:rsidRDefault="001334D0" w:rsidP="001334D0">
            <w:pPr>
              <w:ind w:firstLineChars="100" w:firstLine="160"/>
              <w:rPr>
                <w:color w:val="000000"/>
                <w:sz w:val="16"/>
                <w:szCs w:val="16"/>
              </w:rPr>
            </w:pPr>
            <w:r w:rsidRPr="009B7E9E">
              <w:rPr>
                <w:sz w:val="16"/>
                <w:szCs w:val="16"/>
              </w:rPr>
              <w:t>Yabancı Para Çevirim Farkları</w:t>
            </w:r>
          </w:p>
        </w:tc>
        <w:tc>
          <w:tcPr>
            <w:tcW w:w="1731" w:type="dxa"/>
            <w:tcBorders>
              <w:top w:val="nil"/>
              <w:left w:val="single" w:sz="4" w:space="0" w:color="auto"/>
              <w:bottom w:val="nil"/>
              <w:right w:val="single" w:sz="4" w:space="0" w:color="auto"/>
            </w:tcBorders>
            <w:vAlign w:val="bottom"/>
            <w:hideMark/>
          </w:tcPr>
          <w:p w14:paraId="05D70334" w14:textId="2DF341F2" w:rsidR="001334D0" w:rsidRPr="009B7E9E" w:rsidRDefault="001334D0" w:rsidP="001334D0">
            <w:pPr>
              <w:jc w:val="right"/>
              <w:rPr>
                <w:color w:val="000000"/>
                <w:sz w:val="16"/>
                <w:szCs w:val="16"/>
                <w:lang w:eastAsia="tr-TR"/>
              </w:rPr>
            </w:pPr>
            <w:r w:rsidRPr="009B7E9E">
              <w:rPr>
                <w:color w:val="000000"/>
                <w:sz w:val="16"/>
                <w:szCs w:val="16"/>
                <w:lang w:eastAsia="tr-TR"/>
              </w:rPr>
              <w:t>-</w:t>
            </w:r>
          </w:p>
        </w:tc>
        <w:tc>
          <w:tcPr>
            <w:tcW w:w="1798" w:type="dxa"/>
            <w:tcBorders>
              <w:top w:val="nil"/>
              <w:left w:val="nil"/>
              <w:bottom w:val="nil"/>
              <w:right w:val="single" w:sz="4" w:space="0" w:color="auto"/>
            </w:tcBorders>
            <w:vAlign w:val="bottom"/>
            <w:hideMark/>
          </w:tcPr>
          <w:p w14:paraId="24A28542" w14:textId="77777777" w:rsidR="001334D0" w:rsidRPr="009B7E9E" w:rsidRDefault="001334D0" w:rsidP="001334D0">
            <w:pPr>
              <w:jc w:val="right"/>
              <w:rPr>
                <w:b/>
                <w:bCs/>
                <w:color w:val="000000"/>
                <w:sz w:val="16"/>
                <w:szCs w:val="16"/>
                <w:lang w:eastAsia="tr-TR"/>
              </w:rPr>
            </w:pPr>
            <w:r w:rsidRPr="009B7E9E">
              <w:rPr>
                <w:b/>
                <w:bCs/>
                <w:color w:val="000000"/>
                <w:sz w:val="16"/>
                <w:szCs w:val="16"/>
                <w:lang w:eastAsia="tr-TR"/>
              </w:rPr>
              <w:t>-</w:t>
            </w:r>
          </w:p>
        </w:tc>
      </w:tr>
      <w:tr w:rsidR="001334D0" w:rsidRPr="009B7E9E" w14:paraId="7C789D37" w14:textId="77777777" w:rsidTr="001334D0">
        <w:trPr>
          <w:trHeight w:val="170"/>
        </w:trPr>
        <w:tc>
          <w:tcPr>
            <w:tcW w:w="805" w:type="dxa"/>
            <w:tcBorders>
              <w:top w:val="nil"/>
              <w:left w:val="single" w:sz="4" w:space="0" w:color="auto"/>
              <w:bottom w:val="nil"/>
              <w:right w:val="nil"/>
            </w:tcBorders>
            <w:noWrap/>
            <w:hideMark/>
          </w:tcPr>
          <w:p w14:paraId="4BC14B2F" w14:textId="77777777" w:rsidR="001334D0" w:rsidRPr="009B7E9E" w:rsidRDefault="001334D0" w:rsidP="001334D0">
            <w:pPr>
              <w:ind w:firstLineChars="100" w:firstLine="160"/>
              <w:rPr>
                <w:color w:val="000000"/>
                <w:sz w:val="16"/>
                <w:szCs w:val="16"/>
              </w:rPr>
            </w:pPr>
            <w:r w:rsidRPr="009B7E9E">
              <w:rPr>
                <w:sz w:val="16"/>
                <w:szCs w:val="16"/>
              </w:rPr>
              <w:t>2.2.2</w:t>
            </w:r>
          </w:p>
        </w:tc>
        <w:tc>
          <w:tcPr>
            <w:tcW w:w="5569" w:type="dxa"/>
            <w:tcBorders>
              <w:top w:val="nil"/>
              <w:left w:val="nil"/>
              <w:bottom w:val="nil"/>
              <w:right w:val="nil"/>
            </w:tcBorders>
            <w:noWrap/>
            <w:vAlign w:val="center"/>
            <w:hideMark/>
          </w:tcPr>
          <w:p w14:paraId="516E3AD7" w14:textId="77777777" w:rsidR="001334D0" w:rsidRPr="009B7E9E" w:rsidRDefault="001334D0" w:rsidP="001334D0">
            <w:pPr>
              <w:ind w:left="127" w:firstLine="140"/>
              <w:rPr>
                <w:color w:val="000000"/>
                <w:sz w:val="16"/>
                <w:szCs w:val="16"/>
              </w:rPr>
            </w:pPr>
            <w:r w:rsidRPr="009B7E9E">
              <w:rPr>
                <w:sz w:val="16"/>
                <w:szCs w:val="16"/>
              </w:rPr>
              <w:t>Gerçeğe Uygun Değer Farkı Diğer Kapsamlı Gelire Yansıtılan Finansal Varlıkların Değerleme ve/veya Sınıflandırma Gelirleri/Giderleri</w:t>
            </w:r>
          </w:p>
        </w:tc>
        <w:tc>
          <w:tcPr>
            <w:tcW w:w="1731" w:type="dxa"/>
            <w:tcBorders>
              <w:top w:val="nil"/>
              <w:left w:val="single" w:sz="4" w:space="0" w:color="auto"/>
              <w:bottom w:val="nil"/>
              <w:right w:val="single" w:sz="4" w:space="0" w:color="auto"/>
            </w:tcBorders>
            <w:vAlign w:val="bottom"/>
            <w:hideMark/>
          </w:tcPr>
          <w:p w14:paraId="0CD4321C" w14:textId="70AEEB42" w:rsidR="001334D0" w:rsidRPr="009B7E9E" w:rsidRDefault="001334D0" w:rsidP="001334D0">
            <w:pPr>
              <w:jc w:val="right"/>
              <w:rPr>
                <w:color w:val="000000"/>
                <w:sz w:val="16"/>
                <w:szCs w:val="16"/>
                <w:lang w:eastAsia="tr-TR"/>
              </w:rPr>
            </w:pPr>
            <w:r w:rsidRPr="009B7E9E">
              <w:rPr>
                <w:color w:val="000000"/>
                <w:sz w:val="16"/>
                <w:szCs w:val="16"/>
                <w:lang w:eastAsia="tr-TR"/>
              </w:rPr>
              <w:t>75.054</w:t>
            </w:r>
          </w:p>
        </w:tc>
        <w:tc>
          <w:tcPr>
            <w:tcW w:w="1798" w:type="dxa"/>
            <w:tcBorders>
              <w:top w:val="nil"/>
              <w:left w:val="nil"/>
              <w:bottom w:val="nil"/>
              <w:right w:val="single" w:sz="4" w:space="0" w:color="auto"/>
            </w:tcBorders>
            <w:vAlign w:val="bottom"/>
            <w:hideMark/>
          </w:tcPr>
          <w:p w14:paraId="43931425" w14:textId="77777777" w:rsidR="001334D0" w:rsidRPr="009B7E9E" w:rsidRDefault="001334D0" w:rsidP="001334D0">
            <w:pPr>
              <w:jc w:val="right"/>
              <w:rPr>
                <w:color w:val="000000"/>
                <w:sz w:val="16"/>
                <w:szCs w:val="16"/>
                <w:lang w:eastAsia="tr-TR"/>
              </w:rPr>
            </w:pPr>
            <w:r w:rsidRPr="009B7E9E">
              <w:rPr>
                <w:color w:val="000000"/>
                <w:sz w:val="16"/>
                <w:szCs w:val="16"/>
                <w:lang w:eastAsia="tr-TR"/>
              </w:rPr>
              <w:t>11.861</w:t>
            </w:r>
          </w:p>
        </w:tc>
      </w:tr>
      <w:tr w:rsidR="001334D0" w:rsidRPr="009B7E9E" w14:paraId="074DC8EE" w14:textId="77777777" w:rsidTr="001334D0">
        <w:trPr>
          <w:trHeight w:val="170"/>
        </w:trPr>
        <w:tc>
          <w:tcPr>
            <w:tcW w:w="805" w:type="dxa"/>
            <w:tcBorders>
              <w:top w:val="nil"/>
              <w:left w:val="single" w:sz="4" w:space="0" w:color="auto"/>
              <w:bottom w:val="nil"/>
              <w:right w:val="nil"/>
            </w:tcBorders>
            <w:noWrap/>
            <w:hideMark/>
          </w:tcPr>
          <w:p w14:paraId="3A3435A6" w14:textId="77777777" w:rsidR="001334D0" w:rsidRPr="009B7E9E" w:rsidRDefault="001334D0" w:rsidP="001334D0">
            <w:pPr>
              <w:ind w:firstLineChars="100" w:firstLine="160"/>
              <w:rPr>
                <w:color w:val="000000"/>
                <w:sz w:val="16"/>
                <w:szCs w:val="16"/>
              </w:rPr>
            </w:pPr>
            <w:r w:rsidRPr="009B7E9E">
              <w:rPr>
                <w:sz w:val="16"/>
                <w:szCs w:val="16"/>
              </w:rPr>
              <w:t>2.2.3</w:t>
            </w:r>
          </w:p>
        </w:tc>
        <w:tc>
          <w:tcPr>
            <w:tcW w:w="5569" w:type="dxa"/>
            <w:tcBorders>
              <w:top w:val="nil"/>
              <w:left w:val="nil"/>
              <w:bottom w:val="nil"/>
              <w:right w:val="nil"/>
            </w:tcBorders>
            <w:vAlign w:val="center"/>
            <w:hideMark/>
          </w:tcPr>
          <w:p w14:paraId="7FFB0614" w14:textId="77777777" w:rsidR="001334D0" w:rsidRPr="009B7E9E" w:rsidRDefault="001334D0" w:rsidP="001334D0">
            <w:pPr>
              <w:ind w:firstLineChars="100" w:firstLine="160"/>
              <w:rPr>
                <w:color w:val="000000"/>
                <w:sz w:val="16"/>
                <w:szCs w:val="16"/>
              </w:rPr>
            </w:pPr>
            <w:r w:rsidRPr="009B7E9E">
              <w:rPr>
                <w:sz w:val="16"/>
                <w:szCs w:val="16"/>
              </w:rPr>
              <w:t>Nakit Akış Riskinden Korunma Gelirleri/Giderleri</w:t>
            </w:r>
          </w:p>
        </w:tc>
        <w:tc>
          <w:tcPr>
            <w:tcW w:w="1731" w:type="dxa"/>
            <w:tcBorders>
              <w:top w:val="nil"/>
              <w:left w:val="single" w:sz="4" w:space="0" w:color="auto"/>
              <w:bottom w:val="nil"/>
              <w:right w:val="single" w:sz="4" w:space="0" w:color="auto"/>
            </w:tcBorders>
            <w:vAlign w:val="bottom"/>
            <w:hideMark/>
          </w:tcPr>
          <w:p w14:paraId="5C25393B" w14:textId="45A2A077" w:rsidR="001334D0" w:rsidRPr="009B7E9E" w:rsidRDefault="001334D0" w:rsidP="001334D0">
            <w:pPr>
              <w:jc w:val="right"/>
              <w:rPr>
                <w:color w:val="000000"/>
                <w:sz w:val="16"/>
                <w:szCs w:val="16"/>
                <w:lang w:eastAsia="tr-TR"/>
              </w:rPr>
            </w:pPr>
            <w:r w:rsidRPr="009B7E9E">
              <w:rPr>
                <w:color w:val="000000"/>
                <w:sz w:val="16"/>
                <w:szCs w:val="16"/>
                <w:lang w:eastAsia="tr-TR"/>
              </w:rPr>
              <w:t>-</w:t>
            </w:r>
          </w:p>
        </w:tc>
        <w:tc>
          <w:tcPr>
            <w:tcW w:w="1798" w:type="dxa"/>
            <w:tcBorders>
              <w:top w:val="nil"/>
              <w:left w:val="nil"/>
              <w:bottom w:val="nil"/>
              <w:right w:val="single" w:sz="4" w:space="0" w:color="auto"/>
            </w:tcBorders>
            <w:vAlign w:val="bottom"/>
            <w:hideMark/>
          </w:tcPr>
          <w:p w14:paraId="1B1171F7" w14:textId="77777777" w:rsidR="001334D0" w:rsidRPr="009B7E9E" w:rsidRDefault="001334D0" w:rsidP="001334D0">
            <w:pPr>
              <w:jc w:val="right"/>
              <w:rPr>
                <w:b/>
                <w:bCs/>
                <w:color w:val="000000"/>
                <w:sz w:val="16"/>
                <w:szCs w:val="16"/>
                <w:lang w:eastAsia="tr-TR"/>
              </w:rPr>
            </w:pPr>
            <w:r w:rsidRPr="009B7E9E">
              <w:rPr>
                <w:b/>
                <w:bCs/>
                <w:color w:val="000000"/>
                <w:sz w:val="16"/>
                <w:szCs w:val="16"/>
                <w:lang w:eastAsia="tr-TR"/>
              </w:rPr>
              <w:t>-</w:t>
            </w:r>
          </w:p>
        </w:tc>
      </w:tr>
      <w:tr w:rsidR="001334D0" w:rsidRPr="009B7E9E" w14:paraId="5EA1FD2D" w14:textId="77777777" w:rsidTr="001334D0">
        <w:trPr>
          <w:trHeight w:val="170"/>
        </w:trPr>
        <w:tc>
          <w:tcPr>
            <w:tcW w:w="805" w:type="dxa"/>
            <w:tcBorders>
              <w:top w:val="nil"/>
              <w:left w:val="single" w:sz="4" w:space="0" w:color="auto"/>
              <w:bottom w:val="nil"/>
              <w:right w:val="nil"/>
            </w:tcBorders>
            <w:hideMark/>
          </w:tcPr>
          <w:p w14:paraId="4E220EC7" w14:textId="77777777" w:rsidR="001334D0" w:rsidRPr="009B7E9E" w:rsidRDefault="001334D0" w:rsidP="001334D0">
            <w:pPr>
              <w:ind w:firstLineChars="100" w:firstLine="160"/>
              <w:rPr>
                <w:color w:val="000000"/>
                <w:sz w:val="16"/>
                <w:szCs w:val="16"/>
              </w:rPr>
            </w:pPr>
            <w:r w:rsidRPr="009B7E9E">
              <w:rPr>
                <w:sz w:val="16"/>
                <w:szCs w:val="16"/>
              </w:rPr>
              <w:t>2.2.4</w:t>
            </w:r>
          </w:p>
        </w:tc>
        <w:tc>
          <w:tcPr>
            <w:tcW w:w="5569" w:type="dxa"/>
            <w:tcBorders>
              <w:top w:val="nil"/>
              <w:left w:val="nil"/>
              <w:bottom w:val="nil"/>
              <w:right w:val="nil"/>
            </w:tcBorders>
            <w:vAlign w:val="center"/>
            <w:hideMark/>
          </w:tcPr>
          <w:p w14:paraId="0B9DCA9A" w14:textId="77777777" w:rsidR="001334D0" w:rsidRPr="009B7E9E" w:rsidRDefault="001334D0" w:rsidP="001334D0">
            <w:pPr>
              <w:ind w:firstLineChars="100" w:firstLine="160"/>
              <w:rPr>
                <w:color w:val="000000"/>
                <w:sz w:val="16"/>
                <w:szCs w:val="16"/>
              </w:rPr>
            </w:pPr>
            <w:r w:rsidRPr="009B7E9E">
              <w:rPr>
                <w:sz w:val="16"/>
                <w:szCs w:val="16"/>
              </w:rPr>
              <w:t>Yurtdışındaki İşletmeye İlişkin Yatırım Riskinden Korunma Gelirleri/Giderleri</w:t>
            </w:r>
          </w:p>
        </w:tc>
        <w:tc>
          <w:tcPr>
            <w:tcW w:w="1731" w:type="dxa"/>
            <w:tcBorders>
              <w:top w:val="nil"/>
              <w:left w:val="single" w:sz="4" w:space="0" w:color="auto"/>
              <w:bottom w:val="nil"/>
              <w:right w:val="single" w:sz="4" w:space="0" w:color="auto"/>
            </w:tcBorders>
            <w:vAlign w:val="bottom"/>
            <w:hideMark/>
          </w:tcPr>
          <w:p w14:paraId="3F723569" w14:textId="2268C6DF" w:rsidR="001334D0" w:rsidRPr="009B7E9E" w:rsidRDefault="001334D0" w:rsidP="001334D0">
            <w:pPr>
              <w:jc w:val="right"/>
              <w:rPr>
                <w:color w:val="000000"/>
                <w:sz w:val="16"/>
                <w:szCs w:val="16"/>
                <w:lang w:eastAsia="tr-TR"/>
              </w:rPr>
            </w:pPr>
            <w:r w:rsidRPr="009B7E9E">
              <w:rPr>
                <w:color w:val="000000"/>
                <w:sz w:val="16"/>
                <w:szCs w:val="16"/>
                <w:lang w:eastAsia="tr-TR"/>
              </w:rPr>
              <w:t>-</w:t>
            </w:r>
          </w:p>
        </w:tc>
        <w:tc>
          <w:tcPr>
            <w:tcW w:w="1798" w:type="dxa"/>
            <w:tcBorders>
              <w:top w:val="nil"/>
              <w:left w:val="nil"/>
              <w:bottom w:val="nil"/>
              <w:right w:val="single" w:sz="4" w:space="0" w:color="auto"/>
            </w:tcBorders>
            <w:vAlign w:val="bottom"/>
            <w:hideMark/>
          </w:tcPr>
          <w:p w14:paraId="1B77D137" w14:textId="77777777" w:rsidR="001334D0" w:rsidRPr="009B7E9E" w:rsidRDefault="001334D0" w:rsidP="001334D0">
            <w:pPr>
              <w:jc w:val="right"/>
              <w:rPr>
                <w:b/>
                <w:bCs/>
                <w:color w:val="000000"/>
                <w:sz w:val="16"/>
                <w:szCs w:val="16"/>
                <w:lang w:eastAsia="tr-TR"/>
              </w:rPr>
            </w:pPr>
            <w:r w:rsidRPr="009B7E9E">
              <w:rPr>
                <w:b/>
                <w:bCs/>
                <w:color w:val="000000"/>
                <w:sz w:val="16"/>
                <w:szCs w:val="16"/>
                <w:lang w:eastAsia="tr-TR"/>
              </w:rPr>
              <w:t>-</w:t>
            </w:r>
          </w:p>
        </w:tc>
      </w:tr>
      <w:tr w:rsidR="001334D0" w:rsidRPr="009B7E9E" w14:paraId="34E211F7" w14:textId="77777777" w:rsidTr="001334D0">
        <w:trPr>
          <w:trHeight w:val="170"/>
        </w:trPr>
        <w:tc>
          <w:tcPr>
            <w:tcW w:w="805" w:type="dxa"/>
            <w:tcBorders>
              <w:top w:val="nil"/>
              <w:left w:val="single" w:sz="4" w:space="0" w:color="auto"/>
              <w:bottom w:val="nil"/>
              <w:right w:val="nil"/>
            </w:tcBorders>
            <w:hideMark/>
          </w:tcPr>
          <w:p w14:paraId="077A8B28" w14:textId="77777777" w:rsidR="001334D0" w:rsidRPr="009B7E9E" w:rsidRDefault="001334D0" w:rsidP="001334D0">
            <w:pPr>
              <w:ind w:firstLineChars="100" w:firstLine="160"/>
              <w:rPr>
                <w:color w:val="000000"/>
                <w:sz w:val="16"/>
                <w:szCs w:val="16"/>
              </w:rPr>
            </w:pPr>
            <w:r w:rsidRPr="009B7E9E">
              <w:rPr>
                <w:sz w:val="16"/>
                <w:szCs w:val="16"/>
              </w:rPr>
              <w:t>2.2.5</w:t>
            </w:r>
          </w:p>
        </w:tc>
        <w:tc>
          <w:tcPr>
            <w:tcW w:w="5569" w:type="dxa"/>
            <w:tcBorders>
              <w:top w:val="nil"/>
              <w:left w:val="nil"/>
              <w:bottom w:val="nil"/>
              <w:right w:val="nil"/>
            </w:tcBorders>
            <w:vAlign w:val="center"/>
            <w:hideMark/>
          </w:tcPr>
          <w:p w14:paraId="03392EEA" w14:textId="77777777" w:rsidR="001334D0" w:rsidRPr="009B7E9E" w:rsidRDefault="001334D0" w:rsidP="001334D0">
            <w:pPr>
              <w:ind w:firstLineChars="100" w:firstLine="160"/>
              <w:rPr>
                <w:color w:val="000000"/>
                <w:sz w:val="16"/>
                <w:szCs w:val="16"/>
              </w:rPr>
            </w:pPr>
            <w:r w:rsidRPr="009B7E9E">
              <w:rPr>
                <w:sz w:val="16"/>
                <w:szCs w:val="16"/>
              </w:rPr>
              <w:t>Diğer Kâr veya Zarar Olarak Yeniden Sınıflandırılacak Diğer Kapsamlı Gelir Unsurları</w:t>
            </w:r>
          </w:p>
        </w:tc>
        <w:tc>
          <w:tcPr>
            <w:tcW w:w="1731" w:type="dxa"/>
            <w:tcBorders>
              <w:top w:val="nil"/>
              <w:left w:val="single" w:sz="4" w:space="0" w:color="auto"/>
              <w:bottom w:val="nil"/>
              <w:right w:val="single" w:sz="4" w:space="0" w:color="auto"/>
            </w:tcBorders>
            <w:vAlign w:val="bottom"/>
            <w:hideMark/>
          </w:tcPr>
          <w:p w14:paraId="43C96F05" w14:textId="6FB3FBD1" w:rsidR="001334D0" w:rsidRPr="009B7E9E" w:rsidRDefault="001334D0" w:rsidP="001334D0">
            <w:pPr>
              <w:jc w:val="right"/>
              <w:rPr>
                <w:color w:val="000000"/>
                <w:sz w:val="16"/>
                <w:szCs w:val="16"/>
                <w:lang w:eastAsia="tr-TR"/>
              </w:rPr>
            </w:pPr>
            <w:r w:rsidRPr="009B7E9E">
              <w:rPr>
                <w:color w:val="000000"/>
                <w:sz w:val="16"/>
                <w:szCs w:val="16"/>
                <w:lang w:eastAsia="tr-TR"/>
              </w:rPr>
              <w:t>-</w:t>
            </w:r>
          </w:p>
        </w:tc>
        <w:tc>
          <w:tcPr>
            <w:tcW w:w="1798" w:type="dxa"/>
            <w:tcBorders>
              <w:top w:val="nil"/>
              <w:left w:val="nil"/>
              <w:bottom w:val="nil"/>
              <w:right w:val="single" w:sz="4" w:space="0" w:color="auto"/>
            </w:tcBorders>
            <w:vAlign w:val="bottom"/>
            <w:hideMark/>
          </w:tcPr>
          <w:p w14:paraId="21B4EC83" w14:textId="77777777" w:rsidR="001334D0" w:rsidRPr="009B7E9E" w:rsidRDefault="001334D0" w:rsidP="001334D0">
            <w:pPr>
              <w:jc w:val="right"/>
              <w:rPr>
                <w:b/>
                <w:bCs/>
                <w:color w:val="000000"/>
                <w:sz w:val="16"/>
                <w:szCs w:val="16"/>
                <w:lang w:eastAsia="tr-TR"/>
              </w:rPr>
            </w:pPr>
            <w:r w:rsidRPr="009B7E9E">
              <w:rPr>
                <w:b/>
                <w:bCs/>
                <w:color w:val="000000"/>
                <w:sz w:val="16"/>
                <w:szCs w:val="16"/>
                <w:lang w:eastAsia="tr-TR"/>
              </w:rPr>
              <w:t>-</w:t>
            </w:r>
          </w:p>
        </w:tc>
      </w:tr>
      <w:tr w:rsidR="001334D0" w:rsidRPr="009B7E9E" w14:paraId="268760A0" w14:textId="77777777" w:rsidTr="001334D0">
        <w:trPr>
          <w:trHeight w:val="170"/>
        </w:trPr>
        <w:tc>
          <w:tcPr>
            <w:tcW w:w="805" w:type="dxa"/>
            <w:tcBorders>
              <w:top w:val="nil"/>
              <w:left w:val="single" w:sz="4" w:space="0" w:color="auto"/>
              <w:bottom w:val="nil"/>
              <w:right w:val="nil"/>
            </w:tcBorders>
            <w:noWrap/>
            <w:hideMark/>
          </w:tcPr>
          <w:p w14:paraId="5FD8094B" w14:textId="77777777" w:rsidR="001334D0" w:rsidRPr="009B7E9E" w:rsidRDefault="001334D0" w:rsidP="001334D0">
            <w:pPr>
              <w:ind w:firstLineChars="100" w:firstLine="160"/>
              <w:rPr>
                <w:color w:val="000000"/>
                <w:sz w:val="16"/>
                <w:szCs w:val="16"/>
              </w:rPr>
            </w:pPr>
            <w:r w:rsidRPr="009B7E9E">
              <w:rPr>
                <w:sz w:val="16"/>
                <w:szCs w:val="16"/>
              </w:rPr>
              <w:t>2.2.6</w:t>
            </w:r>
          </w:p>
        </w:tc>
        <w:tc>
          <w:tcPr>
            <w:tcW w:w="5569" w:type="dxa"/>
            <w:tcBorders>
              <w:top w:val="nil"/>
              <w:left w:val="nil"/>
              <w:bottom w:val="nil"/>
              <w:right w:val="nil"/>
            </w:tcBorders>
            <w:noWrap/>
            <w:vAlign w:val="center"/>
            <w:hideMark/>
          </w:tcPr>
          <w:p w14:paraId="7DE976E8" w14:textId="77777777" w:rsidR="001334D0" w:rsidRPr="009B7E9E" w:rsidRDefault="001334D0" w:rsidP="001334D0">
            <w:pPr>
              <w:ind w:firstLineChars="100" w:firstLine="160"/>
              <w:rPr>
                <w:color w:val="000000"/>
                <w:sz w:val="16"/>
                <w:szCs w:val="16"/>
              </w:rPr>
            </w:pPr>
            <w:r w:rsidRPr="009B7E9E">
              <w:rPr>
                <w:sz w:val="16"/>
                <w:szCs w:val="16"/>
              </w:rPr>
              <w:t>Kâr veya Zararda Yeniden Sınıflandırılacak Diğer Kapsamlı Gelire İlişkin Vergiler</w:t>
            </w:r>
          </w:p>
        </w:tc>
        <w:tc>
          <w:tcPr>
            <w:tcW w:w="1731" w:type="dxa"/>
            <w:tcBorders>
              <w:top w:val="nil"/>
              <w:left w:val="single" w:sz="4" w:space="0" w:color="auto"/>
              <w:bottom w:val="nil"/>
              <w:right w:val="single" w:sz="4" w:space="0" w:color="auto"/>
            </w:tcBorders>
            <w:vAlign w:val="bottom"/>
            <w:hideMark/>
          </w:tcPr>
          <w:p w14:paraId="00839B5F" w14:textId="6475C915" w:rsidR="001334D0" w:rsidRPr="009B7E9E" w:rsidRDefault="001334D0" w:rsidP="001334D0">
            <w:pPr>
              <w:jc w:val="right"/>
              <w:rPr>
                <w:color w:val="000000"/>
                <w:sz w:val="16"/>
                <w:szCs w:val="16"/>
                <w:lang w:eastAsia="tr-TR"/>
              </w:rPr>
            </w:pPr>
            <w:r w:rsidRPr="009B7E9E">
              <w:rPr>
                <w:color w:val="000000"/>
                <w:sz w:val="16"/>
                <w:szCs w:val="16"/>
                <w:lang w:eastAsia="tr-TR"/>
              </w:rPr>
              <w:t>(22.283)</w:t>
            </w:r>
          </w:p>
        </w:tc>
        <w:tc>
          <w:tcPr>
            <w:tcW w:w="1798" w:type="dxa"/>
            <w:tcBorders>
              <w:top w:val="nil"/>
              <w:left w:val="nil"/>
              <w:bottom w:val="nil"/>
              <w:right w:val="single" w:sz="4" w:space="0" w:color="auto"/>
            </w:tcBorders>
            <w:vAlign w:val="bottom"/>
            <w:hideMark/>
          </w:tcPr>
          <w:p w14:paraId="53EC2D01" w14:textId="77777777" w:rsidR="001334D0" w:rsidRPr="009B7E9E" w:rsidRDefault="001334D0" w:rsidP="001334D0">
            <w:pPr>
              <w:jc w:val="right"/>
              <w:rPr>
                <w:color w:val="000000"/>
                <w:sz w:val="16"/>
                <w:szCs w:val="16"/>
                <w:lang w:eastAsia="tr-TR"/>
              </w:rPr>
            </w:pPr>
            <w:r w:rsidRPr="009B7E9E">
              <w:rPr>
                <w:color w:val="000000"/>
                <w:sz w:val="16"/>
                <w:szCs w:val="16"/>
                <w:lang w:eastAsia="tr-TR"/>
              </w:rPr>
              <w:t>(3.558)</w:t>
            </w:r>
          </w:p>
        </w:tc>
      </w:tr>
      <w:tr w:rsidR="001334D0" w:rsidRPr="009B7E9E" w14:paraId="3930516A" w14:textId="77777777" w:rsidTr="001334D0">
        <w:trPr>
          <w:trHeight w:val="170"/>
        </w:trPr>
        <w:tc>
          <w:tcPr>
            <w:tcW w:w="805" w:type="dxa"/>
            <w:tcBorders>
              <w:top w:val="nil"/>
              <w:left w:val="single" w:sz="4" w:space="0" w:color="auto"/>
              <w:bottom w:val="nil"/>
              <w:right w:val="nil"/>
            </w:tcBorders>
            <w:noWrap/>
            <w:vAlign w:val="bottom"/>
            <w:hideMark/>
          </w:tcPr>
          <w:p w14:paraId="32929039" w14:textId="77777777" w:rsidR="001334D0" w:rsidRPr="009B7E9E" w:rsidRDefault="001334D0" w:rsidP="001334D0">
            <w:pPr>
              <w:ind w:firstLine="140"/>
              <w:rPr>
                <w:color w:val="000000"/>
                <w:sz w:val="16"/>
                <w:szCs w:val="16"/>
              </w:rPr>
            </w:pPr>
            <w:r w:rsidRPr="009B7E9E">
              <w:rPr>
                <w:color w:val="000000"/>
                <w:sz w:val="16"/>
                <w:szCs w:val="16"/>
              </w:rPr>
              <w:t> </w:t>
            </w:r>
          </w:p>
        </w:tc>
        <w:tc>
          <w:tcPr>
            <w:tcW w:w="5569" w:type="dxa"/>
            <w:tcBorders>
              <w:top w:val="nil"/>
              <w:left w:val="nil"/>
              <w:bottom w:val="nil"/>
              <w:right w:val="nil"/>
            </w:tcBorders>
            <w:noWrap/>
            <w:vAlign w:val="bottom"/>
            <w:hideMark/>
          </w:tcPr>
          <w:p w14:paraId="3BB3BA17" w14:textId="77777777" w:rsidR="001334D0" w:rsidRPr="009B7E9E" w:rsidRDefault="001334D0" w:rsidP="001334D0">
            <w:pPr>
              <w:ind w:firstLine="140"/>
              <w:rPr>
                <w:color w:val="000000"/>
                <w:sz w:val="16"/>
                <w:szCs w:val="16"/>
              </w:rPr>
            </w:pPr>
          </w:p>
        </w:tc>
        <w:tc>
          <w:tcPr>
            <w:tcW w:w="1731" w:type="dxa"/>
            <w:tcBorders>
              <w:top w:val="nil"/>
              <w:left w:val="single" w:sz="4" w:space="0" w:color="auto"/>
              <w:bottom w:val="nil"/>
              <w:right w:val="single" w:sz="4" w:space="0" w:color="auto"/>
            </w:tcBorders>
            <w:noWrap/>
            <w:vAlign w:val="bottom"/>
            <w:hideMark/>
          </w:tcPr>
          <w:p w14:paraId="78F6E6F5" w14:textId="15B01EC5" w:rsidR="001334D0" w:rsidRPr="009B7E9E" w:rsidRDefault="001334D0" w:rsidP="001334D0">
            <w:pPr>
              <w:jc w:val="right"/>
              <w:rPr>
                <w:color w:val="000000"/>
                <w:sz w:val="16"/>
                <w:szCs w:val="16"/>
                <w:lang w:eastAsia="tr-TR"/>
              </w:rPr>
            </w:pPr>
          </w:p>
        </w:tc>
        <w:tc>
          <w:tcPr>
            <w:tcW w:w="1798" w:type="dxa"/>
            <w:tcBorders>
              <w:top w:val="nil"/>
              <w:left w:val="nil"/>
              <w:bottom w:val="nil"/>
              <w:right w:val="single" w:sz="4" w:space="0" w:color="auto"/>
            </w:tcBorders>
            <w:noWrap/>
            <w:vAlign w:val="bottom"/>
            <w:hideMark/>
          </w:tcPr>
          <w:p w14:paraId="330746B5" w14:textId="77777777" w:rsidR="001334D0" w:rsidRPr="009B7E9E" w:rsidRDefault="001334D0" w:rsidP="001334D0">
            <w:pPr>
              <w:jc w:val="right"/>
              <w:rPr>
                <w:color w:val="000000"/>
                <w:sz w:val="16"/>
                <w:szCs w:val="16"/>
                <w:lang w:eastAsia="tr-TR"/>
              </w:rPr>
            </w:pPr>
            <w:r w:rsidRPr="009B7E9E">
              <w:rPr>
                <w:color w:val="000000"/>
                <w:sz w:val="16"/>
                <w:szCs w:val="16"/>
                <w:lang w:eastAsia="tr-TR"/>
              </w:rPr>
              <w:t> </w:t>
            </w:r>
          </w:p>
        </w:tc>
      </w:tr>
      <w:tr w:rsidR="001334D0" w:rsidRPr="001334D0" w14:paraId="2652207E" w14:textId="77777777" w:rsidTr="001334D0">
        <w:trPr>
          <w:trHeight w:val="170"/>
        </w:trPr>
        <w:tc>
          <w:tcPr>
            <w:tcW w:w="805" w:type="dxa"/>
            <w:tcBorders>
              <w:top w:val="nil"/>
              <w:left w:val="single" w:sz="4" w:space="0" w:color="auto"/>
              <w:bottom w:val="single" w:sz="4" w:space="0" w:color="auto"/>
              <w:right w:val="nil"/>
            </w:tcBorders>
            <w:noWrap/>
            <w:vAlign w:val="center"/>
            <w:hideMark/>
          </w:tcPr>
          <w:p w14:paraId="0DB02A2D" w14:textId="77777777" w:rsidR="001334D0" w:rsidRPr="009B7E9E" w:rsidRDefault="001334D0" w:rsidP="001334D0">
            <w:pPr>
              <w:ind w:firstLine="140"/>
              <w:rPr>
                <w:b/>
                <w:bCs/>
                <w:color w:val="000000"/>
                <w:sz w:val="16"/>
                <w:szCs w:val="16"/>
              </w:rPr>
            </w:pPr>
            <w:r w:rsidRPr="009B7E9E">
              <w:rPr>
                <w:b/>
                <w:bCs/>
                <w:sz w:val="16"/>
                <w:szCs w:val="16"/>
              </w:rPr>
              <w:t>III.</w:t>
            </w:r>
          </w:p>
        </w:tc>
        <w:tc>
          <w:tcPr>
            <w:tcW w:w="5569" w:type="dxa"/>
            <w:tcBorders>
              <w:top w:val="nil"/>
              <w:left w:val="nil"/>
              <w:bottom w:val="single" w:sz="4" w:space="0" w:color="auto"/>
              <w:right w:val="nil"/>
            </w:tcBorders>
            <w:noWrap/>
            <w:vAlign w:val="center"/>
            <w:hideMark/>
          </w:tcPr>
          <w:p w14:paraId="3A4EAB95" w14:textId="77777777" w:rsidR="001334D0" w:rsidRPr="009B7E9E" w:rsidRDefault="001334D0" w:rsidP="001334D0">
            <w:pPr>
              <w:ind w:firstLine="140"/>
              <w:rPr>
                <w:b/>
                <w:bCs/>
                <w:color w:val="000000"/>
                <w:sz w:val="16"/>
                <w:szCs w:val="16"/>
              </w:rPr>
            </w:pPr>
            <w:r w:rsidRPr="009B7E9E">
              <w:rPr>
                <w:b/>
                <w:bCs/>
                <w:sz w:val="16"/>
                <w:szCs w:val="16"/>
              </w:rPr>
              <w:t>TOPLAM KAPSAMLI GELİR (I+II)</w:t>
            </w:r>
          </w:p>
        </w:tc>
        <w:tc>
          <w:tcPr>
            <w:tcW w:w="1731" w:type="dxa"/>
            <w:tcBorders>
              <w:top w:val="nil"/>
              <w:left w:val="single" w:sz="4" w:space="0" w:color="auto"/>
              <w:bottom w:val="single" w:sz="4" w:space="0" w:color="auto"/>
              <w:right w:val="single" w:sz="4" w:space="0" w:color="auto"/>
            </w:tcBorders>
            <w:vAlign w:val="bottom"/>
            <w:hideMark/>
          </w:tcPr>
          <w:p w14:paraId="7719458C" w14:textId="3067D6B7" w:rsidR="001334D0" w:rsidRPr="009B7E9E" w:rsidRDefault="001334D0" w:rsidP="001334D0">
            <w:pPr>
              <w:jc w:val="right"/>
              <w:rPr>
                <w:color w:val="000000"/>
                <w:sz w:val="16"/>
                <w:szCs w:val="16"/>
                <w:lang w:eastAsia="tr-TR"/>
              </w:rPr>
            </w:pPr>
            <w:r w:rsidRPr="009B7E9E">
              <w:rPr>
                <w:color w:val="000000"/>
                <w:sz w:val="16"/>
                <w:szCs w:val="16"/>
                <w:lang w:eastAsia="tr-TR"/>
              </w:rPr>
              <w:t>2.111.000</w:t>
            </w:r>
          </w:p>
        </w:tc>
        <w:tc>
          <w:tcPr>
            <w:tcW w:w="1798" w:type="dxa"/>
            <w:tcBorders>
              <w:top w:val="nil"/>
              <w:left w:val="nil"/>
              <w:bottom w:val="single" w:sz="4" w:space="0" w:color="auto"/>
              <w:right w:val="single" w:sz="4" w:space="0" w:color="auto"/>
            </w:tcBorders>
            <w:vAlign w:val="bottom"/>
            <w:hideMark/>
          </w:tcPr>
          <w:p w14:paraId="1F8E0492" w14:textId="77777777" w:rsidR="001334D0" w:rsidRPr="001334D0" w:rsidRDefault="001334D0" w:rsidP="001334D0">
            <w:pPr>
              <w:jc w:val="right"/>
              <w:rPr>
                <w:b/>
                <w:bCs/>
                <w:color w:val="000000"/>
                <w:sz w:val="16"/>
                <w:szCs w:val="16"/>
                <w:lang w:eastAsia="tr-TR"/>
              </w:rPr>
            </w:pPr>
            <w:r w:rsidRPr="009B7E9E">
              <w:rPr>
                <w:b/>
                <w:bCs/>
                <w:color w:val="000000"/>
                <w:sz w:val="16"/>
                <w:szCs w:val="16"/>
                <w:lang w:eastAsia="tr-TR"/>
              </w:rPr>
              <w:t>1.358.046</w:t>
            </w:r>
          </w:p>
        </w:tc>
      </w:tr>
    </w:tbl>
    <w:p w14:paraId="273CAD7C" w14:textId="4E9E9103" w:rsidR="00275726" w:rsidRPr="00471CBA" w:rsidRDefault="00275726" w:rsidP="009F6E11">
      <w:pPr>
        <w:widowControl w:val="0"/>
        <w:ind w:left="-266" w:right="-490"/>
        <w:rPr>
          <w:szCs w:val="20"/>
        </w:rPr>
      </w:pPr>
    </w:p>
    <w:p w14:paraId="790B9ECE" w14:textId="77777777" w:rsidR="00BD17E5" w:rsidRPr="00471CBA" w:rsidRDefault="00BD17E5" w:rsidP="009F6E11">
      <w:pPr>
        <w:widowControl w:val="0"/>
        <w:ind w:left="-266" w:right="-490"/>
        <w:rPr>
          <w:szCs w:val="20"/>
        </w:rPr>
      </w:pPr>
    </w:p>
    <w:p w14:paraId="62B95711" w14:textId="10836D22" w:rsidR="00D245A8" w:rsidRPr="00471CBA" w:rsidRDefault="00D245A8" w:rsidP="001B6D11">
      <w:pPr>
        <w:widowControl w:val="0"/>
        <w:jc w:val="center"/>
        <w:rPr>
          <w:szCs w:val="20"/>
        </w:rPr>
      </w:pPr>
    </w:p>
    <w:p w14:paraId="1CFE5BC3" w14:textId="65131A55" w:rsidR="009D2E02" w:rsidRPr="00471CBA" w:rsidRDefault="009D2E02" w:rsidP="001B6D11">
      <w:pPr>
        <w:widowControl w:val="0"/>
        <w:jc w:val="center"/>
        <w:rPr>
          <w:szCs w:val="20"/>
        </w:rPr>
      </w:pPr>
    </w:p>
    <w:p w14:paraId="28E62E8F" w14:textId="2194EB35" w:rsidR="009D2E02" w:rsidRPr="00471CBA" w:rsidRDefault="009D2E02" w:rsidP="001B6D11">
      <w:pPr>
        <w:widowControl w:val="0"/>
        <w:jc w:val="center"/>
        <w:rPr>
          <w:szCs w:val="20"/>
        </w:rPr>
      </w:pPr>
    </w:p>
    <w:p w14:paraId="69102020" w14:textId="2AAD5D98" w:rsidR="009D2E02" w:rsidRPr="00471CBA" w:rsidRDefault="009D2E02" w:rsidP="001B6D11">
      <w:pPr>
        <w:widowControl w:val="0"/>
        <w:jc w:val="center"/>
        <w:rPr>
          <w:szCs w:val="20"/>
        </w:rPr>
      </w:pPr>
    </w:p>
    <w:p w14:paraId="57EC4E42" w14:textId="1F83231A" w:rsidR="009D2E02" w:rsidRPr="00471CBA" w:rsidRDefault="009D2E02" w:rsidP="001B6D11">
      <w:pPr>
        <w:widowControl w:val="0"/>
        <w:jc w:val="center"/>
        <w:rPr>
          <w:szCs w:val="20"/>
        </w:rPr>
      </w:pPr>
    </w:p>
    <w:p w14:paraId="04E67038" w14:textId="176BCAAB" w:rsidR="009D2E02" w:rsidRPr="00471CBA" w:rsidRDefault="009D2E02" w:rsidP="001B6D11">
      <w:pPr>
        <w:widowControl w:val="0"/>
        <w:jc w:val="center"/>
        <w:rPr>
          <w:szCs w:val="20"/>
        </w:rPr>
      </w:pPr>
    </w:p>
    <w:p w14:paraId="1D4AD00D" w14:textId="5A1C329A" w:rsidR="009D2E02" w:rsidRPr="00471CBA" w:rsidRDefault="009D2E02" w:rsidP="001B6D11">
      <w:pPr>
        <w:widowControl w:val="0"/>
        <w:jc w:val="center"/>
        <w:rPr>
          <w:szCs w:val="20"/>
        </w:rPr>
      </w:pPr>
    </w:p>
    <w:p w14:paraId="06CE1A69" w14:textId="2BD7E72B" w:rsidR="009D2E02" w:rsidRPr="00471CBA" w:rsidRDefault="009D2E02" w:rsidP="001B6D11">
      <w:pPr>
        <w:widowControl w:val="0"/>
        <w:jc w:val="center"/>
        <w:rPr>
          <w:szCs w:val="20"/>
        </w:rPr>
      </w:pPr>
    </w:p>
    <w:p w14:paraId="14CC18DE" w14:textId="74E2B19F" w:rsidR="009D2E02" w:rsidRPr="00471CBA" w:rsidRDefault="009D2E02" w:rsidP="001B6D11">
      <w:pPr>
        <w:widowControl w:val="0"/>
        <w:jc w:val="center"/>
        <w:rPr>
          <w:szCs w:val="20"/>
        </w:rPr>
      </w:pPr>
    </w:p>
    <w:p w14:paraId="37C50AB6" w14:textId="1D38BBF7" w:rsidR="009D2E02" w:rsidRPr="00471CBA" w:rsidRDefault="009D2E02" w:rsidP="001B6D11">
      <w:pPr>
        <w:widowControl w:val="0"/>
        <w:jc w:val="center"/>
        <w:rPr>
          <w:szCs w:val="20"/>
        </w:rPr>
      </w:pPr>
    </w:p>
    <w:p w14:paraId="248FB006" w14:textId="37609FFC" w:rsidR="009D2E02" w:rsidRPr="00471CBA" w:rsidRDefault="009D2E02" w:rsidP="001B6D11">
      <w:pPr>
        <w:widowControl w:val="0"/>
        <w:jc w:val="center"/>
        <w:rPr>
          <w:szCs w:val="20"/>
        </w:rPr>
      </w:pPr>
    </w:p>
    <w:p w14:paraId="10E65D2B" w14:textId="7090ED32" w:rsidR="009D2E02" w:rsidRPr="00471CBA" w:rsidRDefault="009D2E02" w:rsidP="001B6D11">
      <w:pPr>
        <w:widowControl w:val="0"/>
        <w:jc w:val="center"/>
        <w:rPr>
          <w:szCs w:val="20"/>
        </w:rPr>
      </w:pPr>
    </w:p>
    <w:p w14:paraId="02E8884F" w14:textId="2DC1FCF7" w:rsidR="009D2E02" w:rsidRPr="00471CBA" w:rsidRDefault="009D2E02" w:rsidP="001B6D11">
      <w:pPr>
        <w:widowControl w:val="0"/>
        <w:jc w:val="center"/>
        <w:rPr>
          <w:szCs w:val="20"/>
        </w:rPr>
      </w:pPr>
    </w:p>
    <w:p w14:paraId="06126767" w14:textId="0B159278" w:rsidR="009D2E02" w:rsidRPr="00471CBA" w:rsidRDefault="009D2E02" w:rsidP="001B6D11">
      <w:pPr>
        <w:widowControl w:val="0"/>
        <w:jc w:val="center"/>
        <w:rPr>
          <w:szCs w:val="20"/>
        </w:rPr>
      </w:pPr>
    </w:p>
    <w:p w14:paraId="55A0B3F9" w14:textId="11254202" w:rsidR="009D2E02" w:rsidRPr="00471CBA" w:rsidRDefault="009D2E02" w:rsidP="001B6D11">
      <w:pPr>
        <w:widowControl w:val="0"/>
        <w:jc w:val="center"/>
        <w:rPr>
          <w:szCs w:val="20"/>
        </w:rPr>
      </w:pPr>
    </w:p>
    <w:p w14:paraId="5D620571" w14:textId="14779B2B" w:rsidR="009D2E02" w:rsidRPr="00471CBA" w:rsidRDefault="009D2E02" w:rsidP="001B6D11">
      <w:pPr>
        <w:widowControl w:val="0"/>
        <w:jc w:val="center"/>
        <w:rPr>
          <w:szCs w:val="20"/>
        </w:rPr>
      </w:pPr>
    </w:p>
    <w:p w14:paraId="4B886F4D" w14:textId="4C22BD08" w:rsidR="009D2E02" w:rsidRPr="00471CBA" w:rsidRDefault="009D2E02" w:rsidP="001B6D11">
      <w:pPr>
        <w:widowControl w:val="0"/>
        <w:jc w:val="center"/>
        <w:rPr>
          <w:szCs w:val="20"/>
        </w:rPr>
      </w:pPr>
    </w:p>
    <w:p w14:paraId="6BBAB07F" w14:textId="7411FB1C" w:rsidR="009D2E02" w:rsidRPr="00471CBA" w:rsidRDefault="009D2E02" w:rsidP="001B6D11">
      <w:pPr>
        <w:widowControl w:val="0"/>
        <w:jc w:val="center"/>
        <w:rPr>
          <w:szCs w:val="20"/>
        </w:rPr>
      </w:pPr>
    </w:p>
    <w:p w14:paraId="70DB4E7D" w14:textId="285F1237" w:rsidR="009D2E02" w:rsidRPr="00471CBA" w:rsidRDefault="009D2E02" w:rsidP="001B6D11">
      <w:pPr>
        <w:widowControl w:val="0"/>
        <w:jc w:val="center"/>
        <w:rPr>
          <w:szCs w:val="20"/>
        </w:rPr>
      </w:pPr>
    </w:p>
    <w:p w14:paraId="624A84BF" w14:textId="5FD37923" w:rsidR="009D2E02" w:rsidRPr="00471CBA" w:rsidRDefault="009D2E02" w:rsidP="001B6D11">
      <w:pPr>
        <w:widowControl w:val="0"/>
        <w:jc w:val="center"/>
        <w:rPr>
          <w:szCs w:val="20"/>
        </w:rPr>
      </w:pPr>
    </w:p>
    <w:p w14:paraId="4EDB272E" w14:textId="487AE607" w:rsidR="009D2E02" w:rsidRDefault="009D2E02" w:rsidP="001B6D11">
      <w:pPr>
        <w:widowControl w:val="0"/>
        <w:jc w:val="center"/>
        <w:rPr>
          <w:szCs w:val="20"/>
        </w:rPr>
      </w:pPr>
    </w:p>
    <w:p w14:paraId="592EF630" w14:textId="77777777" w:rsidR="00F36B82" w:rsidRDefault="00F36B82" w:rsidP="001B6D11">
      <w:pPr>
        <w:widowControl w:val="0"/>
        <w:jc w:val="center"/>
        <w:rPr>
          <w:szCs w:val="20"/>
        </w:rPr>
      </w:pPr>
    </w:p>
    <w:p w14:paraId="26F1954B" w14:textId="77777777" w:rsidR="00F36B82" w:rsidRDefault="00F36B82" w:rsidP="001B6D11">
      <w:pPr>
        <w:widowControl w:val="0"/>
        <w:jc w:val="center"/>
        <w:rPr>
          <w:szCs w:val="20"/>
        </w:rPr>
      </w:pPr>
    </w:p>
    <w:p w14:paraId="1E2909D7" w14:textId="77777777" w:rsidR="00F36B82" w:rsidRDefault="00F36B82" w:rsidP="001B6D11">
      <w:pPr>
        <w:widowControl w:val="0"/>
        <w:jc w:val="center"/>
        <w:rPr>
          <w:szCs w:val="20"/>
        </w:rPr>
      </w:pPr>
    </w:p>
    <w:p w14:paraId="5A7DA466" w14:textId="77777777" w:rsidR="00F36B82" w:rsidRPr="00471CBA" w:rsidRDefault="00F36B82" w:rsidP="001B6D11">
      <w:pPr>
        <w:widowControl w:val="0"/>
        <w:jc w:val="center"/>
        <w:rPr>
          <w:szCs w:val="20"/>
        </w:rPr>
      </w:pPr>
    </w:p>
    <w:p w14:paraId="2DD77DF9" w14:textId="77777777" w:rsidR="009D2E02" w:rsidRPr="00471CBA" w:rsidRDefault="009D2E02" w:rsidP="001B6D11">
      <w:pPr>
        <w:widowControl w:val="0"/>
        <w:jc w:val="center"/>
        <w:rPr>
          <w:szCs w:val="20"/>
        </w:rPr>
      </w:pPr>
    </w:p>
    <w:p w14:paraId="27D25DCF" w14:textId="77777777" w:rsidR="002C16CB" w:rsidRPr="00471CBA" w:rsidRDefault="002C16CB" w:rsidP="001B6D11">
      <w:pPr>
        <w:widowControl w:val="0"/>
        <w:jc w:val="center"/>
        <w:rPr>
          <w:szCs w:val="20"/>
        </w:rPr>
      </w:pPr>
    </w:p>
    <w:p w14:paraId="6E858BFF" w14:textId="6AAAC8AD" w:rsidR="002C16CB" w:rsidRPr="00471CBA" w:rsidRDefault="002C16CB" w:rsidP="001B6D11">
      <w:pPr>
        <w:widowControl w:val="0"/>
        <w:jc w:val="center"/>
        <w:rPr>
          <w:szCs w:val="20"/>
        </w:rPr>
      </w:pPr>
    </w:p>
    <w:p w14:paraId="13AE9146" w14:textId="77777777" w:rsidR="00D245A8" w:rsidRPr="00471CBA" w:rsidRDefault="00D245A8" w:rsidP="007678E5">
      <w:pPr>
        <w:widowControl w:val="0"/>
        <w:rPr>
          <w:szCs w:val="20"/>
        </w:rPr>
      </w:pPr>
    </w:p>
    <w:p w14:paraId="06CB535D" w14:textId="77777777" w:rsidR="00D245A8" w:rsidRPr="00471CBA" w:rsidRDefault="00D245A8" w:rsidP="001B6D11">
      <w:pPr>
        <w:widowControl w:val="0"/>
        <w:jc w:val="center"/>
        <w:rPr>
          <w:szCs w:val="20"/>
        </w:rPr>
      </w:pPr>
    </w:p>
    <w:p w14:paraId="3C11178D" w14:textId="77777777" w:rsidR="00D245A8" w:rsidRPr="00471CBA" w:rsidRDefault="00D245A8" w:rsidP="009F6E11">
      <w:pPr>
        <w:widowControl w:val="0"/>
        <w:jc w:val="center"/>
        <w:rPr>
          <w:szCs w:val="20"/>
        </w:rPr>
      </w:pPr>
    </w:p>
    <w:p w14:paraId="5B36D342" w14:textId="77777777" w:rsidR="004C4FDF" w:rsidRPr="00471CBA" w:rsidRDefault="004C4FDF" w:rsidP="009F6E11">
      <w:pPr>
        <w:widowControl w:val="0"/>
        <w:jc w:val="center"/>
        <w:rPr>
          <w:szCs w:val="20"/>
        </w:rPr>
      </w:pPr>
    </w:p>
    <w:p w14:paraId="7DD4FB17" w14:textId="1A97A88A" w:rsidR="00D15123" w:rsidRPr="00471CBA" w:rsidRDefault="00D245A8" w:rsidP="009F6E11">
      <w:pPr>
        <w:widowControl w:val="0"/>
        <w:jc w:val="center"/>
        <w:rPr>
          <w:szCs w:val="20"/>
        </w:rPr>
        <w:sectPr w:rsidR="00D15123" w:rsidRPr="00471CBA" w:rsidSect="00504891">
          <w:headerReference w:type="even" r:id="rId45"/>
          <w:headerReference w:type="default" r:id="rId46"/>
          <w:footerReference w:type="even" r:id="rId47"/>
          <w:footerReference w:type="default" r:id="rId48"/>
          <w:headerReference w:type="first" r:id="rId49"/>
          <w:footerReference w:type="first" r:id="rId50"/>
          <w:type w:val="nextColumn"/>
          <w:pgSz w:w="11907" w:h="16840" w:code="9"/>
          <w:pgMar w:top="851" w:right="851" w:bottom="851" w:left="1134" w:header="851" w:footer="851" w:gutter="0"/>
          <w:cols w:space="720"/>
          <w:noEndnote/>
          <w:titlePg/>
          <w:docGrid w:linePitch="326"/>
        </w:sectPr>
      </w:pPr>
      <w:r w:rsidRPr="00471CBA">
        <w:rPr>
          <w:szCs w:val="20"/>
        </w:rPr>
        <w:t>İlişikteki açıklama ve dipnotlar bu finansal tabloların tamamlayıcı bir parçasıdır</w:t>
      </w:r>
      <w:r w:rsidR="00E0081F" w:rsidRPr="00471CBA">
        <w:rPr>
          <w:szCs w:val="20"/>
        </w:rPr>
        <w:t>.</w:t>
      </w:r>
    </w:p>
    <w:p w14:paraId="3B4C2453" w14:textId="7276B22E" w:rsidR="00A74C68" w:rsidRPr="00471CBA" w:rsidRDefault="00A74C68" w:rsidP="009F6E11">
      <w:pPr>
        <w:widowControl w:val="0"/>
        <w:autoSpaceDE w:val="0"/>
        <w:autoSpaceDN w:val="0"/>
        <w:ind w:right="-455"/>
        <w:rPr>
          <w:szCs w:val="20"/>
        </w:rPr>
      </w:pPr>
    </w:p>
    <w:tbl>
      <w:tblPr>
        <w:tblW w:w="15027" w:type="dxa"/>
        <w:tblCellMar>
          <w:left w:w="70" w:type="dxa"/>
          <w:right w:w="70" w:type="dxa"/>
        </w:tblCellMar>
        <w:tblLook w:val="04A0" w:firstRow="1" w:lastRow="0" w:firstColumn="1" w:lastColumn="0" w:noHBand="0" w:noVBand="1"/>
      </w:tblPr>
      <w:tblGrid>
        <w:gridCol w:w="561"/>
        <w:gridCol w:w="3377"/>
        <w:gridCol w:w="707"/>
        <w:gridCol w:w="851"/>
        <w:gridCol w:w="709"/>
        <w:gridCol w:w="708"/>
        <w:gridCol w:w="724"/>
        <w:gridCol w:w="575"/>
        <w:gridCol w:w="709"/>
        <w:gridCol w:w="639"/>
        <w:gridCol w:w="635"/>
        <w:gridCol w:w="731"/>
        <w:gridCol w:w="714"/>
        <w:gridCol w:w="835"/>
        <w:gridCol w:w="709"/>
        <w:gridCol w:w="850"/>
        <w:gridCol w:w="985"/>
        <w:gridCol w:w="8"/>
      </w:tblGrid>
      <w:tr w:rsidR="00A74C68" w:rsidRPr="009B7E9E" w14:paraId="23626C4E" w14:textId="77777777" w:rsidTr="00C45BB6">
        <w:trPr>
          <w:gridAfter w:val="1"/>
          <w:divId w:val="818616495"/>
          <w:wAfter w:w="8" w:type="dxa"/>
          <w:trHeight w:val="113"/>
        </w:trPr>
        <w:tc>
          <w:tcPr>
            <w:tcW w:w="3938"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77E1C96A" w14:textId="4881EC1E" w:rsidR="00A74C68" w:rsidRPr="009B7E9E" w:rsidRDefault="00A74C68" w:rsidP="00A74C68">
            <w:pPr>
              <w:jc w:val="center"/>
              <w:rPr>
                <w:b/>
                <w:bCs/>
                <w:color w:val="000000"/>
                <w:sz w:val="14"/>
                <w:szCs w:val="14"/>
              </w:rPr>
            </w:pPr>
            <w:r w:rsidRPr="009B7E9E">
              <w:rPr>
                <w:b/>
                <w:bCs/>
                <w:color w:val="000000"/>
                <w:sz w:val="14"/>
                <w:szCs w:val="14"/>
              </w:rPr>
              <w:t>ÖZKAYNAK KALEMLERİNDEKİ DEĞİŞİKLİKLER</w:t>
            </w:r>
          </w:p>
        </w:tc>
        <w:tc>
          <w:tcPr>
            <w:tcW w:w="707" w:type="dxa"/>
            <w:vMerge w:val="restart"/>
            <w:tcBorders>
              <w:top w:val="single" w:sz="4" w:space="0" w:color="auto"/>
              <w:left w:val="single" w:sz="4" w:space="0" w:color="auto"/>
              <w:bottom w:val="single" w:sz="4" w:space="0" w:color="000000"/>
              <w:right w:val="single" w:sz="4" w:space="0" w:color="auto"/>
            </w:tcBorders>
            <w:vAlign w:val="bottom"/>
            <w:hideMark/>
          </w:tcPr>
          <w:p w14:paraId="2BF8E41D" w14:textId="77777777" w:rsidR="00A74C68" w:rsidRPr="009B7E9E" w:rsidRDefault="00A74C68" w:rsidP="00A74C68">
            <w:pPr>
              <w:jc w:val="center"/>
              <w:rPr>
                <w:b/>
                <w:bCs/>
                <w:color w:val="000000"/>
                <w:sz w:val="14"/>
                <w:szCs w:val="14"/>
              </w:rPr>
            </w:pPr>
            <w:r w:rsidRPr="009B7E9E">
              <w:rPr>
                <w:b/>
                <w:bCs/>
                <w:color w:val="000000"/>
                <w:sz w:val="14"/>
                <w:szCs w:val="14"/>
              </w:rPr>
              <w:t>Dipnot</w:t>
            </w:r>
            <w:r w:rsidRPr="009B7E9E">
              <w:rPr>
                <w:b/>
                <w:bCs/>
                <w:color w:val="000000"/>
                <w:sz w:val="14"/>
                <w:szCs w:val="14"/>
              </w:rPr>
              <w:br/>
              <w:t>(Beşinci Bölüm-V)</w:t>
            </w:r>
          </w:p>
        </w:tc>
        <w:tc>
          <w:tcPr>
            <w:tcW w:w="851" w:type="dxa"/>
            <w:tcBorders>
              <w:top w:val="single" w:sz="4" w:space="0" w:color="auto"/>
              <w:left w:val="nil"/>
              <w:bottom w:val="single" w:sz="4" w:space="0" w:color="auto"/>
              <w:right w:val="nil"/>
            </w:tcBorders>
            <w:vAlign w:val="center"/>
            <w:hideMark/>
          </w:tcPr>
          <w:p w14:paraId="06540913" w14:textId="77777777" w:rsidR="00A74C68" w:rsidRPr="009B7E9E" w:rsidRDefault="00A74C68" w:rsidP="00A74C68">
            <w:pPr>
              <w:rPr>
                <w:b/>
                <w:bCs/>
                <w:color w:val="000000"/>
                <w:sz w:val="14"/>
                <w:szCs w:val="14"/>
              </w:rPr>
            </w:pPr>
            <w:r w:rsidRPr="009B7E9E">
              <w:rPr>
                <w:b/>
                <w:bCs/>
                <w:color w:val="000000"/>
                <w:sz w:val="14"/>
                <w:szCs w:val="14"/>
              </w:rPr>
              <w:t> </w:t>
            </w:r>
          </w:p>
        </w:tc>
        <w:tc>
          <w:tcPr>
            <w:tcW w:w="709" w:type="dxa"/>
            <w:tcBorders>
              <w:top w:val="single" w:sz="4" w:space="0" w:color="auto"/>
              <w:left w:val="nil"/>
              <w:bottom w:val="single" w:sz="4" w:space="0" w:color="auto"/>
              <w:right w:val="nil"/>
            </w:tcBorders>
            <w:vAlign w:val="center"/>
            <w:hideMark/>
          </w:tcPr>
          <w:p w14:paraId="60ECDDE4" w14:textId="77777777" w:rsidR="00A74C68" w:rsidRPr="009B7E9E" w:rsidRDefault="00A74C68" w:rsidP="00A74C68">
            <w:pPr>
              <w:rPr>
                <w:b/>
                <w:bCs/>
                <w:color w:val="000000"/>
                <w:sz w:val="14"/>
                <w:szCs w:val="14"/>
              </w:rPr>
            </w:pPr>
            <w:r w:rsidRPr="009B7E9E">
              <w:rPr>
                <w:b/>
                <w:bCs/>
                <w:color w:val="000000"/>
                <w:sz w:val="14"/>
                <w:szCs w:val="14"/>
              </w:rPr>
              <w:t> </w:t>
            </w:r>
          </w:p>
        </w:tc>
        <w:tc>
          <w:tcPr>
            <w:tcW w:w="708" w:type="dxa"/>
            <w:tcBorders>
              <w:top w:val="single" w:sz="4" w:space="0" w:color="auto"/>
              <w:left w:val="nil"/>
              <w:bottom w:val="single" w:sz="4" w:space="0" w:color="auto"/>
              <w:right w:val="nil"/>
            </w:tcBorders>
            <w:vAlign w:val="center"/>
            <w:hideMark/>
          </w:tcPr>
          <w:p w14:paraId="7A09524F" w14:textId="77777777" w:rsidR="00A74C68" w:rsidRPr="009B7E9E" w:rsidRDefault="00A74C68" w:rsidP="00A74C68">
            <w:pPr>
              <w:rPr>
                <w:b/>
                <w:bCs/>
                <w:color w:val="000000"/>
                <w:sz w:val="14"/>
                <w:szCs w:val="14"/>
              </w:rPr>
            </w:pPr>
            <w:r w:rsidRPr="009B7E9E">
              <w:rPr>
                <w:b/>
                <w:bCs/>
                <w:color w:val="000000"/>
                <w:sz w:val="14"/>
                <w:szCs w:val="14"/>
              </w:rPr>
              <w:t> </w:t>
            </w:r>
          </w:p>
        </w:tc>
        <w:tc>
          <w:tcPr>
            <w:tcW w:w="724" w:type="dxa"/>
            <w:tcBorders>
              <w:top w:val="single" w:sz="4" w:space="0" w:color="auto"/>
              <w:left w:val="nil"/>
              <w:bottom w:val="single" w:sz="4" w:space="0" w:color="auto"/>
              <w:right w:val="single" w:sz="4" w:space="0" w:color="auto"/>
            </w:tcBorders>
            <w:vAlign w:val="center"/>
            <w:hideMark/>
          </w:tcPr>
          <w:p w14:paraId="52A7A2C6" w14:textId="77777777" w:rsidR="00A74C68" w:rsidRPr="009B7E9E" w:rsidRDefault="00A74C68" w:rsidP="00A74C68">
            <w:pPr>
              <w:rPr>
                <w:b/>
                <w:bCs/>
                <w:color w:val="000000"/>
                <w:sz w:val="14"/>
                <w:szCs w:val="14"/>
              </w:rPr>
            </w:pPr>
            <w:r w:rsidRPr="009B7E9E">
              <w:rPr>
                <w:b/>
                <w:bCs/>
                <w:color w:val="000000"/>
                <w:sz w:val="14"/>
                <w:szCs w:val="14"/>
              </w:rPr>
              <w:t> </w:t>
            </w:r>
          </w:p>
        </w:tc>
        <w:tc>
          <w:tcPr>
            <w:tcW w:w="1923" w:type="dxa"/>
            <w:gridSpan w:val="3"/>
            <w:tcBorders>
              <w:top w:val="single" w:sz="4" w:space="0" w:color="auto"/>
              <w:left w:val="nil"/>
              <w:bottom w:val="single" w:sz="4" w:space="0" w:color="auto"/>
              <w:right w:val="single" w:sz="4" w:space="0" w:color="auto"/>
            </w:tcBorders>
            <w:vAlign w:val="center"/>
            <w:hideMark/>
          </w:tcPr>
          <w:p w14:paraId="041C6C5C" w14:textId="77777777" w:rsidR="00A74C68" w:rsidRPr="009B7E9E" w:rsidRDefault="00A74C68" w:rsidP="00A74C68">
            <w:pPr>
              <w:jc w:val="center"/>
              <w:rPr>
                <w:b/>
                <w:bCs/>
                <w:color w:val="000000"/>
                <w:sz w:val="14"/>
                <w:szCs w:val="14"/>
              </w:rPr>
            </w:pPr>
            <w:r w:rsidRPr="009B7E9E">
              <w:rPr>
                <w:b/>
                <w:bCs/>
                <w:color w:val="000000"/>
                <w:sz w:val="14"/>
                <w:szCs w:val="14"/>
              </w:rPr>
              <w:t>Kâr veya Zararda Yeniden Sınıflandırılmayacak Birikmiş Diğer Kapsamlı Gelirler ve Giderler</w:t>
            </w:r>
          </w:p>
        </w:tc>
        <w:tc>
          <w:tcPr>
            <w:tcW w:w="2080" w:type="dxa"/>
            <w:gridSpan w:val="3"/>
            <w:tcBorders>
              <w:top w:val="single" w:sz="4" w:space="0" w:color="auto"/>
              <w:left w:val="nil"/>
              <w:bottom w:val="single" w:sz="4" w:space="0" w:color="auto"/>
              <w:right w:val="single" w:sz="4" w:space="0" w:color="auto"/>
            </w:tcBorders>
            <w:vAlign w:val="center"/>
            <w:hideMark/>
          </w:tcPr>
          <w:p w14:paraId="5175C483" w14:textId="77777777" w:rsidR="00A74C68" w:rsidRPr="009B7E9E" w:rsidRDefault="00A74C68" w:rsidP="00A74C68">
            <w:pPr>
              <w:jc w:val="center"/>
              <w:rPr>
                <w:b/>
                <w:bCs/>
                <w:color w:val="000000"/>
                <w:sz w:val="14"/>
                <w:szCs w:val="14"/>
              </w:rPr>
            </w:pPr>
            <w:r w:rsidRPr="009B7E9E">
              <w:rPr>
                <w:b/>
                <w:bCs/>
                <w:color w:val="000000"/>
                <w:sz w:val="14"/>
                <w:szCs w:val="14"/>
              </w:rPr>
              <w:t>Kâr veya Zararda Yeniden Sınıflandırılacak Birikmiş Diğer Kapsamlı Gelirler ve Giderler</w:t>
            </w:r>
          </w:p>
        </w:tc>
        <w:tc>
          <w:tcPr>
            <w:tcW w:w="835" w:type="dxa"/>
            <w:tcBorders>
              <w:top w:val="single" w:sz="4" w:space="0" w:color="auto"/>
              <w:left w:val="nil"/>
              <w:bottom w:val="single" w:sz="4" w:space="0" w:color="auto"/>
              <w:right w:val="nil"/>
            </w:tcBorders>
            <w:vAlign w:val="center"/>
            <w:hideMark/>
          </w:tcPr>
          <w:p w14:paraId="2E00AD2F" w14:textId="77777777" w:rsidR="00A74C68" w:rsidRPr="009B7E9E" w:rsidRDefault="00A74C68" w:rsidP="00A74C68">
            <w:pPr>
              <w:rPr>
                <w:b/>
                <w:bCs/>
                <w:color w:val="000000"/>
                <w:sz w:val="14"/>
                <w:szCs w:val="14"/>
              </w:rPr>
            </w:pPr>
            <w:r w:rsidRPr="009B7E9E">
              <w:rPr>
                <w:b/>
                <w:bCs/>
                <w:color w:val="000000"/>
                <w:sz w:val="14"/>
                <w:szCs w:val="14"/>
              </w:rPr>
              <w:t> </w:t>
            </w:r>
          </w:p>
        </w:tc>
        <w:tc>
          <w:tcPr>
            <w:tcW w:w="709" w:type="dxa"/>
            <w:tcBorders>
              <w:top w:val="single" w:sz="4" w:space="0" w:color="auto"/>
              <w:left w:val="nil"/>
              <w:bottom w:val="single" w:sz="4" w:space="0" w:color="auto"/>
              <w:right w:val="nil"/>
            </w:tcBorders>
            <w:vAlign w:val="center"/>
            <w:hideMark/>
          </w:tcPr>
          <w:p w14:paraId="6B00A483" w14:textId="77777777" w:rsidR="00A74C68" w:rsidRPr="009B7E9E" w:rsidRDefault="00A74C68" w:rsidP="00A74C68">
            <w:pPr>
              <w:rPr>
                <w:b/>
                <w:bCs/>
                <w:color w:val="000000"/>
                <w:sz w:val="14"/>
                <w:szCs w:val="14"/>
              </w:rPr>
            </w:pPr>
            <w:r w:rsidRPr="009B7E9E">
              <w:rPr>
                <w:b/>
                <w:bCs/>
                <w:color w:val="000000"/>
                <w:sz w:val="14"/>
                <w:szCs w:val="14"/>
              </w:rPr>
              <w:t> </w:t>
            </w:r>
          </w:p>
        </w:tc>
        <w:tc>
          <w:tcPr>
            <w:tcW w:w="850" w:type="dxa"/>
            <w:tcBorders>
              <w:top w:val="single" w:sz="4" w:space="0" w:color="auto"/>
              <w:left w:val="nil"/>
              <w:bottom w:val="single" w:sz="4" w:space="0" w:color="auto"/>
              <w:right w:val="nil"/>
            </w:tcBorders>
            <w:vAlign w:val="center"/>
            <w:hideMark/>
          </w:tcPr>
          <w:p w14:paraId="12B41786" w14:textId="77777777" w:rsidR="00A74C68" w:rsidRPr="009B7E9E" w:rsidRDefault="00A74C68" w:rsidP="00A74C68">
            <w:pPr>
              <w:rPr>
                <w:b/>
                <w:bCs/>
                <w:color w:val="000000"/>
                <w:sz w:val="14"/>
                <w:szCs w:val="14"/>
              </w:rPr>
            </w:pPr>
            <w:r w:rsidRPr="009B7E9E">
              <w:rPr>
                <w:b/>
                <w:bCs/>
                <w:color w:val="000000"/>
                <w:sz w:val="14"/>
                <w:szCs w:val="14"/>
              </w:rPr>
              <w:t> </w:t>
            </w:r>
          </w:p>
        </w:tc>
        <w:tc>
          <w:tcPr>
            <w:tcW w:w="985" w:type="dxa"/>
            <w:tcBorders>
              <w:top w:val="single" w:sz="4" w:space="0" w:color="auto"/>
              <w:left w:val="nil"/>
              <w:bottom w:val="single" w:sz="4" w:space="0" w:color="auto"/>
              <w:right w:val="single" w:sz="4" w:space="0" w:color="auto"/>
            </w:tcBorders>
            <w:vAlign w:val="center"/>
            <w:hideMark/>
          </w:tcPr>
          <w:p w14:paraId="21F732BE" w14:textId="77777777" w:rsidR="00A74C68" w:rsidRPr="009B7E9E" w:rsidRDefault="00A74C68" w:rsidP="00A74C68">
            <w:pPr>
              <w:rPr>
                <w:b/>
                <w:bCs/>
                <w:color w:val="000000"/>
                <w:sz w:val="14"/>
                <w:szCs w:val="14"/>
              </w:rPr>
            </w:pPr>
            <w:r w:rsidRPr="009B7E9E">
              <w:rPr>
                <w:b/>
                <w:bCs/>
                <w:color w:val="000000"/>
                <w:sz w:val="14"/>
                <w:szCs w:val="14"/>
              </w:rPr>
              <w:t> </w:t>
            </w:r>
          </w:p>
        </w:tc>
      </w:tr>
      <w:tr w:rsidR="00A74C68" w:rsidRPr="009B7E9E" w14:paraId="23C6A5D4" w14:textId="77777777" w:rsidTr="00C45BB6">
        <w:trPr>
          <w:divId w:val="818616495"/>
          <w:trHeight w:val="113"/>
        </w:trPr>
        <w:tc>
          <w:tcPr>
            <w:tcW w:w="3938" w:type="dxa"/>
            <w:gridSpan w:val="2"/>
            <w:vMerge/>
            <w:tcBorders>
              <w:top w:val="single" w:sz="4" w:space="0" w:color="auto"/>
              <w:left w:val="single" w:sz="4" w:space="0" w:color="auto"/>
              <w:bottom w:val="single" w:sz="4" w:space="0" w:color="000000"/>
              <w:right w:val="single" w:sz="4" w:space="0" w:color="000000"/>
            </w:tcBorders>
            <w:vAlign w:val="center"/>
            <w:hideMark/>
          </w:tcPr>
          <w:p w14:paraId="11E1B88B" w14:textId="77777777" w:rsidR="00A74C68" w:rsidRPr="009B7E9E" w:rsidRDefault="00A74C68" w:rsidP="00A74C68">
            <w:pPr>
              <w:rPr>
                <w:b/>
                <w:bCs/>
                <w:color w:val="000000"/>
                <w:sz w:val="14"/>
                <w:szCs w:val="14"/>
              </w:rPr>
            </w:pPr>
          </w:p>
        </w:tc>
        <w:tc>
          <w:tcPr>
            <w:tcW w:w="707" w:type="dxa"/>
            <w:vMerge/>
            <w:tcBorders>
              <w:top w:val="single" w:sz="4" w:space="0" w:color="auto"/>
              <w:left w:val="single" w:sz="4" w:space="0" w:color="auto"/>
              <w:bottom w:val="single" w:sz="4" w:space="0" w:color="000000"/>
              <w:right w:val="single" w:sz="4" w:space="0" w:color="auto"/>
            </w:tcBorders>
            <w:vAlign w:val="center"/>
            <w:hideMark/>
          </w:tcPr>
          <w:p w14:paraId="1B71558F" w14:textId="77777777" w:rsidR="00A74C68" w:rsidRPr="009B7E9E" w:rsidRDefault="00A74C68" w:rsidP="00A74C68">
            <w:pPr>
              <w:rPr>
                <w:b/>
                <w:bCs/>
                <w:color w:val="000000"/>
                <w:sz w:val="14"/>
                <w:szCs w:val="14"/>
              </w:rPr>
            </w:pPr>
          </w:p>
        </w:tc>
        <w:tc>
          <w:tcPr>
            <w:tcW w:w="851" w:type="dxa"/>
            <w:tcBorders>
              <w:top w:val="single" w:sz="4" w:space="0" w:color="auto"/>
              <w:left w:val="nil"/>
              <w:bottom w:val="single" w:sz="4" w:space="0" w:color="auto"/>
              <w:right w:val="single" w:sz="4" w:space="0" w:color="auto"/>
            </w:tcBorders>
            <w:vAlign w:val="bottom"/>
            <w:hideMark/>
          </w:tcPr>
          <w:p w14:paraId="65EC171A" w14:textId="77777777" w:rsidR="00A74C68" w:rsidRPr="009B7E9E" w:rsidRDefault="00A74C68" w:rsidP="00A74C68">
            <w:pPr>
              <w:jc w:val="right"/>
              <w:rPr>
                <w:b/>
                <w:bCs/>
                <w:color w:val="000000"/>
                <w:sz w:val="14"/>
                <w:szCs w:val="14"/>
              </w:rPr>
            </w:pPr>
            <w:r w:rsidRPr="009B7E9E">
              <w:rPr>
                <w:b/>
                <w:bCs/>
                <w:color w:val="000000"/>
                <w:sz w:val="14"/>
                <w:szCs w:val="14"/>
              </w:rPr>
              <w:t>Ödenmiş Sermaye</w:t>
            </w:r>
          </w:p>
        </w:tc>
        <w:tc>
          <w:tcPr>
            <w:tcW w:w="709" w:type="dxa"/>
            <w:tcBorders>
              <w:top w:val="single" w:sz="4" w:space="0" w:color="auto"/>
              <w:left w:val="nil"/>
              <w:bottom w:val="single" w:sz="4" w:space="0" w:color="auto"/>
              <w:right w:val="single" w:sz="4" w:space="0" w:color="auto"/>
            </w:tcBorders>
            <w:vAlign w:val="bottom"/>
            <w:hideMark/>
          </w:tcPr>
          <w:p w14:paraId="2D3F3D94" w14:textId="77777777" w:rsidR="00A74C68" w:rsidRPr="009B7E9E" w:rsidRDefault="00A74C68" w:rsidP="00A74C68">
            <w:pPr>
              <w:jc w:val="right"/>
              <w:rPr>
                <w:b/>
                <w:bCs/>
                <w:color w:val="000000"/>
                <w:sz w:val="14"/>
                <w:szCs w:val="14"/>
              </w:rPr>
            </w:pPr>
            <w:r w:rsidRPr="009B7E9E">
              <w:rPr>
                <w:b/>
                <w:bCs/>
                <w:color w:val="000000"/>
                <w:sz w:val="14"/>
                <w:szCs w:val="14"/>
              </w:rPr>
              <w:t>Hisse Senedi İhraç Primleri</w:t>
            </w:r>
          </w:p>
        </w:tc>
        <w:tc>
          <w:tcPr>
            <w:tcW w:w="708" w:type="dxa"/>
            <w:tcBorders>
              <w:top w:val="single" w:sz="4" w:space="0" w:color="auto"/>
              <w:left w:val="nil"/>
              <w:bottom w:val="single" w:sz="4" w:space="0" w:color="auto"/>
              <w:right w:val="single" w:sz="4" w:space="0" w:color="auto"/>
            </w:tcBorders>
            <w:vAlign w:val="bottom"/>
            <w:hideMark/>
          </w:tcPr>
          <w:p w14:paraId="6E2A1747" w14:textId="77777777" w:rsidR="00A74C68" w:rsidRPr="009B7E9E" w:rsidRDefault="00A74C68" w:rsidP="00A74C68">
            <w:pPr>
              <w:jc w:val="right"/>
              <w:rPr>
                <w:b/>
                <w:bCs/>
                <w:color w:val="000000"/>
                <w:sz w:val="14"/>
                <w:szCs w:val="14"/>
              </w:rPr>
            </w:pPr>
            <w:r w:rsidRPr="009B7E9E">
              <w:rPr>
                <w:b/>
                <w:bCs/>
                <w:color w:val="000000"/>
                <w:sz w:val="14"/>
                <w:szCs w:val="14"/>
              </w:rPr>
              <w:t>Hisse Senedi İptal Kârları</w:t>
            </w:r>
          </w:p>
        </w:tc>
        <w:tc>
          <w:tcPr>
            <w:tcW w:w="724" w:type="dxa"/>
            <w:tcBorders>
              <w:top w:val="single" w:sz="4" w:space="0" w:color="auto"/>
              <w:left w:val="nil"/>
              <w:bottom w:val="single" w:sz="4" w:space="0" w:color="auto"/>
              <w:right w:val="single" w:sz="4" w:space="0" w:color="auto"/>
            </w:tcBorders>
            <w:vAlign w:val="bottom"/>
            <w:hideMark/>
          </w:tcPr>
          <w:p w14:paraId="5FCBE7B1" w14:textId="77777777" w:rsidR="00A74C68" w:rsidRPr="009B7E9E" w:rsidRDefault="00A74C68" w:rsidP="00A74C68">
            <w:pPr>
              <w:jc w:val="right"/>
              <w:rPr>
                <w:b/>
                <w:bCs/>
                <w:color w:val="000000"/>
                <w:sz w:val="14"/>
                <w:szCs w:val="14"/>
              </w:rPr>
            </w:pPr>
            <w:r w:rsidRPr="009B7E9E">
              <w:rPr>
                <w:b/>
                <w:bCs/>
                <w:color w:val="000000"/>
                <w:sz w:val="14"/>
                <w:szCs w:val="14"/>
              </w:rPr>
              <w:t>Diğer Sermaye Yedekleri</w:t>
            </w:r>
          </w:p>
        </w:tc>
        <w:tc>
          <w:tcPr>
            <w:tcW w:w="575" w:type="dxa"/>
            <w:tcBorders>
              <w:top w:val="single" w:sz="4" w:space="0" w:color="auto"/>
              <w:left w:val="nil"/>
              <w:bottom w:val="single" w:sz="4" w:space="0" w:color="auto"/>
              <w:right w:val="single" w:sz="4" w:space="0" w:color="auto"/>
            </w:tcBorders>
            <w:vAlign w:val="bottom"/>
            <w:hideMark/>
          </w:tcPr>
          <w:p w14:paraId="2C845688" w14:textId="77777777" w:rsidR="00A74C68" w:rsidRPr="009B7E9E" w:rsidRDefault="00A74C68" w:rsidP="00A74C68">
            <w:pPr>
              <w:jc w:val="right"/>
              <w:rPr>
                <w:b/>
                <w:bCs/>
                <w:color w:val="000000"/>
                <w:sz w:val="14"/>
                <w:szCs w:val="14"/>
              </w:rPr>
            </w:pPr>
            <w:r w:rsidRPr="009B7E9E">
              <w:rPr>
                <w:b/>
                <w:bCs/>
                <w:color w:val="000000"/>
                <w:sz w:val="14"/>
                <w:szCs w:val="14"/>
              </w:rPr>
              <w:t>1</w:t>
            </w:r>
          </w:p>
        </w:tc>
        <w:tc>
          <w:tcPr>
            <w:tcW w:w="709" w:type="dxa"/>
            <w:tcBorders>
              <w:top w:val="single" w:sz="4" w:space="0" w:color="auto"/>
              <w:left w:val="nil"/>
              <w:bottom w:val="single" w:sz="4" w:space="0" w:color="auto"/>
              <w:right w:val="single" w:sz="4" w:space="0" w:color="auto"/>
            </w:tcBorders>
            <w:vAlign w:val="bottom"/>
            <w:hideMark/>
          </w:tcPr>
          <w:p w14:paraId="6BF86217" w14:textId="77777777" w:rsidR="00A74C68" w:rsidRPr="009B7E9E" w:rsidRDefault="00A74C68" w:rsidP="00A74C68">
            <w:pPr>
              <w:jc w:val="right"/>
              <w:rPr>
                <w:b/>
                <w:bCs/>
                <w:color w:val="000000"/>
                <w:sz w:val="14"/>
                <w:szCs w:val="14"/>
              </w:rPr>
            </w:pPr>
            <w:r w:rsidRPr="009B7E9E">
              <w:rPr>
                <w:b/>
                <w:bCs/>
                <w:color w:val="000000"/>
                <w:sz w:val="14"/>
                <w:szCs w:val="14"/>
              </w:rPr>
              <w:t>2</w:t>
            </w:r>
          </w:p>
        </w:tc>
        <w:tc>
          <w:tcPr>
            <w:tcW w:w="639" w:type="dxa"/>
            <w:tcBorders>
              <w:top w:val="single" w:sz="4" w:space="0" w:color="auto"/>
              <w:left w:val="nil"/>
              <w:bottom w:val="single" w:sz="4" w:space="0" w:color="auto"/>
              <w:right w:val="single" w:sz="4" w:space="0" w:color="auto"/>
            </w:tcBorders>
            <w:vAlign w:val="bottom"/>
            <w:hideMark/>
          </w:tcPr>
          <w:p w14:paraId="32D7FF85" w14:textId="77777777" w:rsidR="00A74C68" w:rsidRPr="009B7E9E" w:rsidRDefault="00A74C68" w:rsidP="00A74C68">
            <w:pPr>
              <w:jc w:val="right"/>
              <w:rPr>
                <w:b/>
                <w:bCs/>
                <w:color w:val="000000"/>
                <w:sz w:val="14"/>
                <w:szCs w:val="14"/>
              </w:rPr>
            </w:pPr>
            <w:r w:rsidRPr="009B7E9E">
              <w:rPr>
                <w:b/>
                <w:bCs/>
                <w:color w:val="000000"/>
                <w:sz w:val="14"/>
                <w:szCs w:val="14"/>
              </w:rPr>
              <w:t>3</w:t>
            </w:r>
          </w:p>
        </w:tc>
        <w:tc>
          <w:tcPr>
            <w:tcW w:w="635" w:type="dxa"/>
            <w:tcBorders>
              <w:top w:val="single" w:sz="4" w:space="0" w:color="auto"/>
              <w:left w:val="nil"/>
              <w:bottom w:val="single" w:sz="4" w:space="0" w:color="auto"/>
              <w:right w:val="single" w:sz="4" w:space="0" w:color="auto"/>
            </w:tcBorders>
            <w:vAlign w:val="bottom"/>
            <w:hideMark/>
          </w:tcPr>
          <w:p w14:paraId="23727233" w14:textId="77777777" w:rsidR="00A74C68" w:rsidRPr="009B7E9E" w:rsidRDefault="00A74C68" w:rsidP="00A74C68">
            <w:pPr>
              <w:jc w:val="right"/>
              <w:rPr>
                <w:b/>
                <w:bCs/>
                <w:color w:val="000000"/>
                <w:sz w:val="14"/>
                <w:szCs w:val="14"/>
              </w:rPr>
            </w:pPr>
            <w:r w:rsidRPr="009B7E9E">
              <w:rPr>
                <w:b/>
                <w:bCs/>
                <w:color w:val="000000"/>
                <w:sz w:val="14"/>
                <w:szCs w:val="14"/>
              </w:rPr>
              <w:t>4</w:t>
            </w:r>
          </w:p>
        </w:tc>
        <w:tc>
          <w:tcPr>
            <w:tcW w:w="731" w:type="dxa"/>
            <w:tcBorders>
              <w:top w:val="single" w:sz="4" w:space="0" w:color="auto"/>
              <w:left w:val="nil"/>
              <w:bottom w:val="single" w:sz="4" w:space="0" w:color="auto"/>
              <w:right w:val="single" w:sz="4" w:space="0" w:color="auto"/>
            </w:tcBorders>
            <w:vAlign w:val="bottom"/>
            <w:hideMark/>
          </w:tcPr>
          <w:p w14:paraId="7893E30B" w14:textId="77777777" w:rsidR="00A74C68" w:rsidRPr="009B7E9E" w:rsidRDefault="00A74C68" w:rsidP="00A74C68">
            <w:pPr>
              <w:jc w:val="right"/>
              <w:rPr>
                <w:b/>
                <w:bCs/>
                <w:color w:val="000000"/>
                <w:sz w:val="14"/>
                <w:szCs w:val="14"/>
              </w:rPr>
            </w:pPr>
            <w:r w:rsidRPr="009B7E9E">
              <w:rPr>
                <w:b/>
                <w:bCs/>
                <w:color w:val="000000"/>
                <w:sz w:val="14"/>
                <w:szCs w:val="14"/>
              </w:rPr>
              <w:t>5</w:t>
            </w:r>
          </w:p>
        </w:tc>
        <w:tc>
          <w:tcPr>
            <w:tcW w:w="714" w:type="dxa"/>
            <w:tcBorders>
              <w:top w:val="single" w:sz="4" w:space="0" w:color="auto"/>
              <w:left w:val="nil"/>
              <w:bottom w:val="single" w:sz="4" w:space="0" w:color="auto"/>
              <w:right w:val="single" w:sz="4" w:space="0" w:color="auto"/>
            </w:tcBorders>
            <w:vAlign w:val="bottom"/>
            <w:hideMark/>
          </w:tcPr>
          <w:p w14:paraId="5C7A1900" w14:textId="77777777" w:rsidR="00A74C68" w:rsidRPr="009B7E9E" w:rsidRDefault="00A74C68" w:rsidP="00A74C68">
            <w:pPr>
              <w:jc w:val="right"/>
              <w:rPr>
                <w:b/>
                <w:bCs/>
                <w:color w:val="000000"/>
                <w:sz w:val="14"/>
                <w:szCs w:val="14"/>
              </w:rPr>
            </w:pPr>
            <w:r w:rsidRPr="009B7E9E">
              <w:rPr>
                <w:b/>
                <w:bCs/>
                <w:color w:val="000000"/>
                <w:sz w:val="14"/>
                <w:szCs w:val="14"/>
              </w:rPr>
              <w:t>6</w:t>
            </w:r>
          </w:p>
        </w:tc>
        <w:tc>
          <w:tcPr>
            <w:tcW w:w="835" w:type="dxa"/>
            <w:tcBorders>
              <w:top w:val="single" w:sz="4" w:space="0" w:color="auto"/>
              <w:left w:val="nil"/>
              <w:bottom w:val="single" w:sz="4" w:space="0" w:color="auto"/>
              <w:right w:val="single" w:sz="4" w:space="0" w:color="auto"/>
            </w:tcBorders>
            <w:vAlign w:val="bottom"/>
            <w:hideMark/>
          </w:tcPr>
          <w:p w14:paraId="531E0684" w14:textId="77777777" w:rsidR="00A74C68" w:rsidRPr="009B7E9E" w:rsidRDefault="00A74C68" w:rsidP="00A74C68">
            <w:pPr>
              <w:jc w:val="right"/>
              <w:rPr>
                <w:b/>
                <w:bCs/>
                <w:color w:val="000000"/>
                <w:sz w:val="14"/>
                <w:szCs w:val="14"/>
              </w:rPr>
            </w:pPr>
            <w:r w:rsidRPr="009B7E9E">
              <w:rPr>
                <w:b/>
                <w:bCs/>
                <w:color w:val="000000"/>
                <w:sz w:val="14"/>
                <w:szCs w:val="14"/>
              </w:rPr>
              <w:t>Kar Yedekleri</w:t>
            </w:r>
          </w:p>
        </w:tc>
        <w:tc>
          <w:tcPr>
            <w:tcW w:w="709" w:type="dxa"/>
            <w:tcBorders>
              <w:top w:val="single" w:sz="4" w:space="0" w:color="auto"/>
              <w:left w:val="nil"/>
              <w:bottom w:val="single" w:sz="4" w:space="0" w:color="auto"/>
              <w:right w:val="single" w:sz="4" w:space="0" w:color="auto"/>
            </w:tcBorders>
            <w:vAlign w:val="bottom"/>
            <w:hideMark/>
          </w:tcPr>
          <w:p w14:paraId="41ECD6E9" w14:textId="77777777" w:rsidR="00A74C68" w:rsidRPr="009B7E9E" w:rsidRDefault="00A74C68" w:rsidP="00A74C68">
            <w:pPr>
              <w:jc w:val="right"/>
              <w:rPr>
                <w:b/>
                <w:bCs/>
                <w:color w:val="000000"/>
                <w:sz w:val="14"/>
                <w:szCs w:val="14"/>
              </w:rPr>
            </w:pPr>
            <w:r w:rsidRPr="009B7E9E">
              <w:rPr>
                <w:b/>
                <w:bCs/>
                <w:color w:val="000000"/>
                <w:sz w:val="14"/>
                <w:szCs w:val="14"/>
              </w:rPr>
              <w:t>Geçmiş Dönem Kârı/ (Zararı)</w:t>
            </w:r>
          </w:p>
        </w:tc>
        <w:tc>
          <w:tcPr>
            <w:tcW w:w="850" w:type="dxa"/>
            <w:tcBorders>
              <w:top w:val="single" w:sz="4" w:space="0" w:color="auto"/>
              <w:left w:val="nil"/>
              <w:bottom w:val="single" w:sz="4" w:space="0" w:color="auto"/>
              <w:right w:val="single" w:sz="4" w:space="0" w:color="auto"/>
            </w:tcBorders>
            <w:vAlign w:val="bottom"/>
            <w:hideMark/>
          </w:tcPr>
          <w:p w14:paraId="35FD8422" w14:textId="77777777" w:rsidR="00A74C68" w:rsidRPr="009B7E9E" w:rsidRDefault="00A74C68" w:rsidP="00A74C68">
            <w:pPr>
              <w:jc w:val="right"/>
              <w:rPr>
                <w:b/>
                <w:bCs/>
                <w:color w:val="000000"/>
                <w:sz w:val="14"/>
                <w:szCs w:val="14"/>
              </w:rPr>
            </w:pPr>
            <w:r w:rsidRPr="009B7E9E">
              <w:rPr>
                <w:b/>
                <w:bCs/>
                <w:color w:val="000000"/>
                <w:sz w:val="14"/>
                <w:szCs w:val="14"/>
              </w:rPr>
              <w:t>Dönem Net Kar veya Zararı</w:t>
            </w:r>
          </w:p>
        </w:tc>
        <w:tc>
          <w:tcPr>
            <w:tcW w:w="993" w:type="dxa"/>
            <w:gridSpan w:val="2"/>
            <w:tcBorders>
              <w:top w:val="single" w:sz="4" w:space="0" w:color="auto"/>
              <w:left w:val="nil"/>
              <w:bottom w:val="single" w:sz="4" w:space="0" w:color="auto"/>
              <w:right w:val="single" w:sz="4" w:space="0" w:color="auto"/>
            </w:tcBorders>
            <w:vAlign w:val="bottom"/>
            <w:hideMark/>
          </w:tcPr>
          <w:p w14:paraId="59C2DDDF" w14:textId="77777777" w:rsidR="00A74C68" w:rsidRPr="009B7E9E" w:rsidRDefault="00A74C68" w:rsidP="00A74C68">
            <w:pPr>
              <w:jc w:val="right"/>
              <w:rPr>
                <w:b/>
                <w:bCs/>
                <w:color w:val="000000"/>
                <w:sz w:val="14"/>
                <w:szCs w:val="14"/>
              </w:rPr>
            </w:pPr>
            <w:r w:rsidRPr="009B7E9E">
              <w:rPr>
                <w:b/>
                <w:bCs/>
                <w:color w:val="000000"/>
                <w:sz w:val="14"/>
                <w:szCs w:val="14"/>
              </w:rPr>
              <w:t>Toplam Özkaynak</w:t>
            </w:r>
          </w:p>
        </w:tc>
      </w:tr>
      <w:tr w:rsidR="00A74C68" w:rsidRPr="009B7E9E" w14:paraId="700456A8" w14:textId="77777777" w:rsidTr="00C45BB6">
        <w:trPr>
          <w:divId w:val="818616495"/>
          <w:trHeight w:val="113"/>
        </w:trPr>
        <w:tc>
          <w:tcPr>
            <w:tcW w:w="561" w:type="dxa"/>
            <w:tcBorders>
              <w:top w:val="nil"/>
              <w:left w:val="single" w:sz="4" w:space="0" w:color="auto"/>
              <w:bottom w:val="nil"/>
              <w:right w:val="nil"/>
            </w:tcBorders>
            <w:vAlign w:val="center"/>
            <w:hideMark/>
          </w:tcPr>
          <w:p w14:paraId="16D48C7C" w14:textId="77777777" w:rsidR="00A74C68" w:rsidRPr="009B7E9E" w:rsidRDefault="00A74C68" w:rsidP="00A74C68">
            <w:pPr>
              <w:rPr>
                <w:b/>
                <w:bCs/>
                <w:color w:val="000000"/>
                <w:sz w:val="14"/>
                <w:szCs w:val="14"/>
              </w:rPr>
            </w:pPr>
            <w:r w:rsidRPr="009B7E9E">
              <w:rPr>
                <w:b/>
                <w:bCs/>
                <w:color w:val="000000"/>
                <w:sz w:val="14"/>
                <w:szCs w:val="14"/>
              </w:rPr>
              <w:t> </w:t>
            </w:r>
          </w:p>
        </w:tc>
        <w:tc>
          <w:tcPr>
            <w:tcW w:w="3377" w:type="dxa"/>
            <w:tcBorders>
              <w:top w:val="nil"/>
              <w:left w:val="nil"/>
              <w:bottom w:val="nil"/>
              <w:right w:val="nil"/>
            </w:tcBorders>
            <w:vAlign w:val="center"/>
            <w:hideMark/>
          </w:tcPr>
          <w:p w14:paraId="731E3C0C" w14:textId="77777777" w:rsidR="00A74C68" w:rsidRPr="009B7E9E" w:rsidRDefault="00A74C68" w:rsidP="00A74C68">
            <w:pPr>
              <w:rPr>
                <w:b/>
                <w:bCs/>
                <w:color w:val="000000"/>
                <w:sz w:val="14"/>
                <w:szCs w:val="14"/>
              </w:rPr>
            </w:pPr>
          </w:p>
        </w:tc>
        <w:tc>
          <w:tcPr>
            <w:tcW w:w="707" w:type="dxa"/>
            <w:tcBorders>
              <w:top w:val="nil"/>
              <w:left w:val="nil"/>
              <w:bottom w:val="nil"/>
              <w:right w:val="nil"/>
            </w:tcBorders>
            <w:vAlign w:val="center"/>
            <w:hideMark/>
          </w:tcPr>
          <w:p w14:paraId="69F291BE" w14:textId="77777777" w:rsidR="00A74C68" w:rsidRPr="009B7E9E" w:rsidRDefault="00A74C68" w:rsidP="00A74C68">
            <w:pPr>
              <w:rPr>
                <w:sz w:val="14"/>
                <w:szCs w:val="14"/>
              </w:rPr>
            </w:pPr>
          </w:p>
        </w:tc>
        <w:tc>
          <w:tcPr>
            <w:tcW w:w="851" w:type="dxa"/>
            <w:tcBorders>
              <w:top w:val="nil"/>
              <w:left w:val="nil"/>
              <w:bottom w:val="nil"/>
              <w:right w:val="nil"/>
            </w:tcBorders>
            <w:vAlign w:val="center"/>
            <w:hideMark/>
          </w:tcPr>
          <w:p w14:paraId="19CE09C1" w14:textId="77777777" w:rsidR="00A74C68" w:rsidRPr="009B7E9E" w:rsidRDefault="00A74C68" w:rsidP="00A74C68">
            <w:pPr>
              <w:jc w:val="right"/>
              <w:rPr>
                <w:sz w:val="14"/>
                <w:szCs w:val="14"/>
              </w:rPr>
            </w:pPr>
          </w:p>
        </w:tc>
        <w:tc>
          <w:tcPr>
            <w:tcW w:w="709" w:type="dxa"/>
            <w:tcBorders>
              <w:top w:val="nil"/>
              <w:left w:val="nil"/>
              <w:bottom w:val="nil"/>
              <w:right w:val="nil"/>
            </w:tcBorders>
            <w:vAlign w:val="center"/>
            <w:hideMark/>
          </w:tcPr>
          <w:p w14:paraId="105901E4" w14:textId="77777777" w:rsidR="00A74C68" w:rsidRPr="009B7E9E" w:rsidRDefault="00A74C68" w:rsidP="00A74C68">
            <w:pPr>
              <w:jc w:val="right"/>
              <w:rPr>
                <w:sz w:val="14"/>
                <w:szCs w:val="14"/>
              </w:rPr>
            </w:pPr>
          </w:p>
        </w:tc>
        <w:tc>
          <w:tcPr>
            <w:tcW w:w="708" w:type="dxa"/>
            <w:tcBorders>
              <w:top w:val="nil"/>
              <w:left w:val="nil"/>
              <w:bottom w:val="nil"/>
              <w:right w:val="nil"/>
            </w:tcBorders>
            <w:vAlign w:val="center"/>
            <w:hideMark/>
          </w:tcPr>
          <w:p w14:paraId="41AA33F6" w14:textId="77777777" w:rsidR="00A74C68" w:rsidRPr="009B7E9E" w:rsidRDefault="00A74C68" w:rsidP="00A74C68">
            <w:pPr>
              <w:jc w:val="right"/>
              <w:rPr>
                <w:sz w:val="14"/>
                <w:szCs w:val="14"/>
              </w:rPr>
            </w:pPr>
          </w:p>
        </w:tc>
        <w:tc>
          <w:tcPr>
            <w:tcW w:w="724" w:type="dxa"/>
            <w:tcBorders>
              <w:top w:val="nil"/>
              <w:left w:val="nil"/>
              <w:bottom w:val="nil"/>
              <w:right w:val="nil"/>
            </w:tcBorders>
            <w:vAlign w:val="center"/>
            <w:hideMark/>
          </w:tcPr>
          <w:p w14:paraId="39983DAF" w14:textId="77777777" w:rsidR="00A74C68" w:rsidRPr="009B7E9E" w:rsidRDefault="00A74C68" w:rsidP="00A74C68">
            <w:pPr>
              <w:jc w:val="right"/>
              <w:rPr>
                <w:sz w:val="14"/>
                <w:szCs w:val="14"/>
              </w:rPr>
            </w:pPr>
          </w:p>
        </w:tc>
        <w:tc>
          <w:tcPr>
            <w:tcW w:w="575" w:type="dxa"/>
            <w:tcBorders>
              <w:top w:val="nil"/>
              <w:left w:val="nil"/>
              <w:bottom w:val="nil"/>
              <w:right w:val="nil"/>
            </w:tcBorders>
            <w:vAlign w:val="center"/>
            <w:hideMark/>
          </w:tcPr>
          <w:p w14:paraId="208329D5" w14:textId="77777777" w:rsidR="00A74C68" w:rsidRPr="009B7E9E" w:rsidRDefault="00A74C68" w:rsidP="00A74C68">
            <w:pPr>
              <w:jc w:val="right"/>
              <w:rPr>
                <w:sz w:val="14"/>
                <w:szCs w:val="14"/>
              </w:rPr>
            </w:pPr>
          </w:p>
        </w:tc>
        <w:tc>
          <w:tcPr>
            <w:tcW w:w="709" w:type="dxa"/>
            <w:tcBorders>
              <w:top w:val="nil"/>
              <w:left w:val="nil"/>
              <w:bottom w:val="nil"/>
              <w:right w:val="nil"/>
            </w:tcBorders>
            <w:vAlign w:val="center"/>
            <w:hideMark/>
          </w:tcPr>
          <w:p w14:paraId="62E8A040" w14:textId="77777777" w:rsidR="00A74C68" w:rsidRPr="009B7E9E" w:rsidRDefault="00A74C68" w:rsidP="00A74C68">
            <w:pPr>
              <w:jc w:val="right"/>
              <w:rPr>
                <w:sz w:val="14"/>
                <w:szCs w:val="14"/>
              </w:rPr>
            </w:pPr>
          </w:p>
        </w:tc>
        <w:tc>
          <w:tcPr>
            <w:tcW w:w="639" w:type="dxa"/>
            <w:tcBorders>
              <w:top w:val="nil"/>
              <w:left w:val="nil"/>
              <w:bottom w:val="nil"/>
              <w:right w:val="nil"/>
            </w:tcBorders>
            <w:vAlign w:val="center"/>
            <w:hideMark/>
          </w:tcPr>
          <w:p w14:paraId="1158A938" w14:textId="77777777" w:rsidR="00A74C68" w:rsidRPr="009B7E9E" w:rsidRDefault="00A74C68" w:rsidP="00A74C68">
            <w:pPr>
              <w:jc w:val="right"/>
              <w:rPr>
                <w:sz w:val="14"/>
                <w:szCs w:val="14"/>
              </w:rPr>
            </w:pPr>
          </w:p>
        </w:tc>
        <w:tc>
          <w:tcPr>
            <w:tcW w:w="635" w:type="dxa"/>
            <w:tcBorders>
              <w:top w:val="nil"/>
              <w:left w:val="nil"/>
              <w:bottom w:val="nil"/>
              <w:right w:val="nil"/>
            </w:tcBorders>
            <w:vAlign w:val="center"/>
            <w:hideMark/>
          </w:tcPr>
          <w:p w14:paraId="11608763" w14:textId="77777777" w:rsidR="00A74C68" w:rsidRPr="009B7E9E" w:rsidRDefault="00A74C68" w:rsidP="00A74C68">
            <w:pPr>
              <w:jc w:val="right"/>
              <w:rPr>
                <w:sz w:val="14"/>
                <w:szCs w:val="14"/>
              </w:rPr>
            </w:pPr>
          </w:p>
        </w:tc>
        <w:tc>
          <w:tcPr>
            <w:tcW w:w="731" w:type="dxa"/>
            <w:tcBorders>
              <w:top w:val="nil"/>
              <w:left w:val="nil"/>
              <w:bottom w:val="nil"/>
              <w:right w:val="nil"/>
            </w:tcBorders>
            <w:vAlign w:val="center"/>
            <w:hideMark/>
          </w:tcPr>
          <w:p w14:paraId="3F36A3BA" w14:textId="77777777" w:rsidR="00A74C68" w:rsidRPr="009B7E9E" w:rsidRDefault="00A74C68" w:rsidP="00A74C68">
            <w:pPr>
              <w:jc w:val="right"/>
              <w:rPr>
                <w:sz w:val="14"/>
                <w:szCs w:val="14"/>
              </w:rPr>
            </w:pPr>
          </w:p>
        </w:tc>
        <w:tc>
          <w:tcPr>
            <w:tcW w:w="714" w:type="dxa"/>
            <w:tcBorders>
              <w:top w:val="nil"/>
              <w:left w:val="nil"/>
              <w:bottom w:val="nil"/>
              <w:right w:val="nil"/>
            </w:tcBorders>
            <w:vAlign w:val="center"/>
            <w:hideMark/>
          </w:tcPr>
          <w:p w14:paraId="2E33EA57" w14:textId="77777777" w:rsidR="00A74C68" w:rsidRPr="009B7E9E" w:rsidRDefault="00A74C68" w:rsidP="00A74C68">
            <w:pPr>
              <w:jc w:val="right"/>
              <w:rPr>
                <w:sz w:val="14"/>
                <w:szCs w:val="14"/>
              </w:rPr>
            </w:pPr>
          </w:p>
        </w:tc>
        <w:tc>
          <w:tcPr>
            <w:tcW w:w="835" w:type="dxa"/>
            <w:tcBorders>
              <w:top w:val="nil"/>
              <w:left w:val="nil"/>
              <w:bottom w:val="nil"/>
              <w:right w:val="nil"/>
            </w:tcBorders>
            <w:vAlign w:val="center"/>
            <w:hideMark/>
          </w:tcPr>
          <w:p w14:paraId="18B1E84B" w14:textId="77777777" w:rsidR="00A74C68" w:rsidRPr="009B7E9E" w:rsidRDefault="00A74C68" w:rsidP="00A74C68">
            <w:pPr>
              <w:jc w:val="right"/>
              <w:rPr>
                <w:sz w:val="14"/>
                <w:szCs w:val="14"/>
              </w:rPr>
            </w:pPr>
          </w:p>
        </w:tc>
        <w:tc>
          <w:tcPr>
            <w:tcW w:w="709" w:type="dxa"/>
            <w:tcBorders>
              <w:top w:val="nil"/>
              <w:left w:val="nil"/>
              <w:bottom w:val="nil"/>
              <w:right w:val="nil"/>
            </w:tcBorders>
            <w:vAlign w:val="center"/>
            <w:hideMark/>
          </w:tcPr>
          <w:p w14:paraId="7C29532B" w14:textId="77777777" w:rsidR="00A74C68" w:rsidRPr="009B7E9E" w:rsidRDefault="00A74C68" w:rsidP="00A74C68">
            <w:pPr>
              <w:jc w:val="right"/>
              <w:rPr>
                <w:sz w:val="14"/>
                <w:szCs w:val="14"/>
              </w:rPr>
            </w:pPr>
          </w:p>
        </w:tc>
        <w:tc>
          <w:tcPr>
            <w:tcW w:w="850" w:type="dxa"/>
            <w:tcBorders>
              <w:top w:val="nil"/>
              <w:left w:val="nil"/>
              <w:bottom w:val="nil"/>
              <w:right w:val="nil"/>
            </w:tcBorders>
            <w:vAlign w:val="center"/>
            <w:hideMark/>
          </w:tcPr>
          <w:p w14:paraId="5868953A" w14:textId="77777777" w:rsidR="00A74C68" w:rsidRPr="009B7E9E" w:rsidRDefault="00A74C68" w:rsidP="00A74C68">
            <w:pPr>
              <w:jc w:val="right"/>
              <w:rPr>
                <w:sz w:val="14"/>
                <w:szCs w:val="14"/>
              </w:rPr>
            </w:pPr>
          </w:p>
        </w:tc>
        <w:tc>
          <w:tcPr>
            <w:tcW w:w="993" w:type="dxa"/>
            <w:gridSpan w:val="2"/>
            <w:tcBorders>
              <w:top w:val="nil"/>
              <w:left w:val="nil"/>
              <w:bottom w:val="nil"/>
              <w:right w:val="single" w:sz="4" w:space="0" w:color="auto"/>
            </w:tcBorders>
            <w:vAlign w:val="center"/>
            <w:hideMark/>
          </w:tcPr>
          <w:p w14:paraId="3F31AE9B" w14:textId="77777777" w:rsidR="00A74C68" w:rsidRPr="009B7E9E" w:rsidRDefault="00A74C68" w:rsidP="00A74C68">
            <w:pPr>
              <w:jc w:val="right"/>
              <w:rPr>
                <w:b/>
                <w:bCs/>
                <w:color w:val="000000"/>
                <w:sz w:val="14"/>
                <w:szCs w:val="14"/>
              </w:rPr>
            </w:pPr>
            <w:r w:rsidRPr="009B7E9E">
              <w:rPr>
                <w:b/>
                <w:bCs/>
                <w:color w:val="000000"/>
                <w:sz w:val="14"/>
                <w:szCs w:val="14"/>
              </w:rPr>
              <w:t> </w:t>
            </w:r>
          </w:p>
        </w:tc>
      </w:tr>
      <w:tr w:rsidR="00A74C68" w:rsidRPr="009B7E9E" w14:paraId="6282495C" w14:textId="77777777" w:rsidTr="00C45BB6">
        <w:trPr>
          <w:divId w:val="818616495"/>
          <w:trHeight w:val="113"/>
        </w:trPr>
        <w:tc>
          <w:tcPr>
            <w:tcW w:w="561" w:type="dxa"/>
            <w:tcBorders>
              <w:top w:val="nil"/>
              <w:left w:val="single" w:sz="4" w:space="0" w:color="auto"/>
              <w:bottom w:val="nil"/>
              <w:right w:val="nil"/>
            </w:tcBorders>
            <w:vAlign w:val="center"/>
            <w:hideMark/>
          </w:tcPr>
          <w:p w14:paraId="717D6FE0" w14:textId="77777777" w:rsidR="00A74C68" w:rsidRPr="009B7E9E" w:rsidRDefault="00A74C68" w:rsidP="00A74C68">
            <w:pPr>
              <w:jc w:val="center"/>
              <w:rPr>
                <w:b/>
                <w:bCs/>
                <w:color w:val="000000"/>
                <w:sz w:val="14"/>
                <w:szCs w:val="14"/>
              </w:rPr>
            </w:pPr>
            <w:r w:rsidRPr="009B7E9E">
              <w:rPr>
                <w:b/>
                <w:bCs/>
                <w:color w:val="000000"/>
                <w:sz w:val="14"/>
                <w:szCs w:val="14"/>
              </w:rPr>
              <w:t> </w:t>
            </w:r>
          </w:p>
        </w:tc>
        <w:tc>
          <w:tcPr>
            <w:tcW w:w="3377" w:type="dxa"/>
            <w:tcBorders>
              <w:top w:val="nil"/>
              <w:left w:val="nil"/>
              <w:bottom w:val="nil"/>
              <w:right w:val="nil"/>
            </w:tcBorders>
            <w:vAlign w:val="bottom"/>
            <w:hideMark/>
          </w:tcPr>
          <w:p w14:paraId="7439E686" w14:textId="77777777" w:rsidR="00A74C68" w:rsidRPr="009B7E9E" w:rsidRDefault="00A74C68" w:rsidP="00A74C68">
            <w:pPr>
              <w:rPr>
                <w:b/>
                <w:bCs/>
                <w:sz w:val="14"/>
                <w:szCs w:val="14"/>
                <w:lang w:eastAsia="tr-TR"/>
              </w:rPr>
            </w:pPr>
            <w:r w:rsidRPr="009B7E9E">
              <w:rPr>
                <w:b/>
                <w:bCs/>
                <w:sz w:val="14"/>
                <w:szCs w:val="14"/>
              </w:rPr>
              <w:t>Cari Dönem</w:t>
            </w:r>
            <w:r w:rsidRPr="009B7E9E">
              <w:rPr>
                <w:b/>
                <w:bCs/>
                <w:sz w:val="14"/>
                <w:szCs w:val="14"/>
              </w:rPr>
              <w:br/>
              <w:t xml:space="preserve">1 Ocak - 31 </w:t>
            </w:r>
            <w:r w:rsidRPr="009B7E9E">
              <w:rPr>
                <w:b/>
                <w:bCs/>
                <w:sz w:val="14"/>
                <w:szCs w:val="14"/>
                <w:lang w:eastAsia="tr-TR"/>
              </w:rPr>
              <w:t>Aralık 2025</w:t>
            </w:r>
          </w:p>
        </w:tc>
        <w:tc>
          <w:tcPr>
            <w:tcW w:w="707" w:type="dxa"/>
            <w:tcBorders>
              <w:top w:val="nil"/>
              <w:left w:val="nil"/>
              <w:bottom w:val="nil"/>
              <w:right w:val="nil"/>
            </w:tcBorders>
            <w:vAlign w:val="bottom"/>
            <w:hideMark/>
          </w:tcPr>
          <w:p w14:paraId="6C4D9026" w14:textId="77777777" w:rsidR="00A74C68" w:rsidRPr="009B7E9E" w:rsidRDefault="00A74C68" w:rsidP="00A74C68">
            <w:pPr>
              <w:rPr>
                <w:b/>
                <w:bCs/>
                <w:sz w:val="14"/>
                <w:szCs w:val="14"/>
              </w:rPr>
            </w:pPr>
          </w:p>
        </w:tc>
        <w:tc>
          <w:tcPr>
            <w:tcW w:w="851" w:type="dxa"/>
            <w:tcBorders>
              <w:top w:val="nil"/>
              <w:left w:val="nil"/>
              <w:bottom w:val="nil"/>
              <w:right w:val="nil"/>
            </w:tcBorders>
            <w:vAlign w:val="center"/>
            <w:hideMark/>
          </w:tcPr>
          <w:p w14:paraId="769FEA2D" w14:textId="77777777" w:rsidR="00A74C68" w:rsidRPr="009B7E9E" w:rsidRDefault="00A74C68" w:rsidP="00A74C68">
            <w:pPr>
              <w:jc w:val="right"/>
              <w:rPr>
                <w:sz w:val="14"/>
                <w:szCs w:val="14"/>
              </w:rPr>
            </w:pPr>
          </w:p>
        </w:tc>
        <w:tc>
          <w:tcPr>
            <w:tcW w:w="709" w:type="dxa"/>
            <w:tcBorders>
              <w:top w:val="nil"/>
              <w:left w:val="nil"/>
              <w:bottom w:val="nil"/>
              <w:right w:val="nil"/>
            </w:tcBorders>
            <w:vAlign w:val="center"/>
            <w:hideMark/>
          </w:tcPr>
          <w:p w14:paraId="6FE7C199" w14:textId="77777777" w:rsidR="00A74C68" w:rsidRPr="009B7E9E" w:rsidRDefault="00A74C68" w:rsidP="00A74C68">
            <w:pPr>
              <w:jc w:val="right"/>
              <w:rPr>
                <w:sz w:val="14"/>
                <w:szCs w:val="14"/>
              </w:rPr>
            </w:pPr>
          </w:p>
        </w:tc>
        <w:tc>
          <w:tcPr>
            <w:tcW w:w="708" w:type="dxa"/>
            <w:tcBorders>
              <w:top w:val="nil"/>
              <w:left w:val="nil"/>
              <w:bottom w:val="nil"/>
              <w:right w:val="nil"/>
            </w:tcBorders>
            <w:vAlign w:val="center"/>
            <w:hideMark/>
          </w:tcPr>
          <w:p w14:paraId="28FAF129" w14:textId="77777777" w:rsidR="00A74C68" w:rsidRPr="009B7E9E" w:rsidRDefault="00A74C68" w:rsidP="00A74C68">
            <w:pPr>
              <w:jc w:val="right"/>
              <w:rPr>
                <w:sz w:val="14"/>
                <w:szCs w:val="14"/>
              </w:rPr>
            </w:pPr>
          </w:p>
        </w:tc>
        <w:tc>
          <w:tcPr>
            <w:tcW w:w="724" w:type="dxa"/>
            <w:tcBorders>
              <w:top w:val="nil"/>
              <w:left w:val="nil"/>
              <w:bottom w:val="nil"/>
              <w:right w:val="nil"/>
            </w:tcBorders>
            <w:vAlign w:val="center"/>
            <w:hideMark/>
          </w:tcPr>
          <w:p w14:paraId="3E027EFF" w14:textId="77777777" w:rsidR="00A74C68" w:rsidRPr="009B7E9E" w:rsidRDefault="00A74C68" w:rsidP="00A74C68">
            <w:pPr>
              <w:jc w:val="right"/>
              <w:rPr>
                <w:sz w:val="14"/>
                <w:szCs w:val="14"/>
              </w:rPr>
            </w:pPr>
          </w:p>
        </w:tc>
        <w:tc>
          <w:tcPr>
            <w:tcW w:w="575" w:type="dxa"/>
            <w:tcBorders>
              <w:top w:val="nil"/>
              <w:left w:val="nil"/>
              <w:bottom w:val="nil"/>
              <w:right w:val="nil"/>
            </w:tcBorders>
            <w:vAlign w:val="center"/>
            <w:hideMark/>
          </w:tcPr>
          <w:p w14:paraId="00CED2F5" w14:textId="77777777" w:rsidR="00A74C68" w:rsidRPr="009B7E9E" w:rsidRDefault="00A74C68" w:rsidP="00A74C68">
            <w:pPr>
              <w:jc w:val="right"/>
              <w:rPr>
                <w:sz w:val="14"/>
                <w:szCs w:val="14"/>
              </w:rPr>
            </w:pPr>
          </w:p>
        </w:tc>
        <w:tc>
          <w:tcPr>
            <w:tcW w:w="709" w:type="dxa"/>
            <w:tcBorders>
              <w:top w:val="nil"/>
              <w:left w:val="nil"/>
              <w:bottom w:val="nil"/>
              <w:right w:val="nil"/>
            </w:tcBorders>
            <w:vAlign w:val="center"/>
            <w:hideMark/>
          </w:tcPr>
          <w:p w14:paraId="197FBE13" w14:textId="77777777" w:rsidR="00A74C68" w:rsidRPr="009B7E9E" w:rsidRDefault="00A74C68" w:rsidP="00A74C68">
            <w:pPr>
              <w:jc w:val="right"/>
              <w:rPr>
                <w:sz w:val="14"/>
                <w:szCs w:val="14"/>
              </w:rPr>
            </w:pPr>
          </w:p>
        </w:tc>
        <w:tc>
          <w:tcPr>
            <w:tcW w:w="639" w:type="dxa"/>
            <w:tcBorders>
              <w:top w:val="nil"/>
              <w:left w:val="nil"/>
              <w:bottom w:val="nil"/>
              <w:right w:val="nil"/>
            </w:tcBorders>
            <w:vAlign w:val="center"/>
            <w:hideMark/>
          </w:tcPr>
          <w:p w14:paraId="54AB93CD" w14:textId="77777777" w:rsidR="00A74C68" w:rsidRPr="009B7E9E" w:rsidRDefault="00A74C68" w:rsidP="00A74C68">
            <w:pPr>
              <w:jc w:val="right"/>
              <w:rPr>
                <w:sz w:val="14"/>
                <w:szCs w:val="14"/>
              </w:rPr>
            </w:pPr>
          </w:p>
        </w:tc>
        <w:tc>
          <w:tcPr>
            <w:tcW w:w="635" w:type="dxa"/>
            <w:tcBorders>
              <w:top w:val="nil"/>
              <w:left w:val="nil"/>
              <w:bottom w:val="nil"/>
              <w:right w:val="nil"/>
            </w:tcBorders>
            <w:vAlign w:val="center"/>
            <w:hideMark/>
          </w:tcPr>
          <w:p w14:paraId="55520DF4" w14:textId="77777777" w:rsidR="00A74C68" w:rsidRPr="009B7E9E" w:rsidRDefault="00A74C68" w:rsidP="00A74C68">
            <w:pPr>
              <w:jc w:val="right"/>
              <w:rPr>
                <w:sz w:val="14"/>
                <w:szCs w:val="14"/>
              </w:rPr>
            </w:pPr>
          </w:p>
        </w:tc>
        <w:tc>
          <w:tcPr>
            <w:tcW w:w="731" w:type="dxa"/>
            <w:tcBorders>
              <w:top w:val="nil"/>
              <w:left w:val="nil"/>
              <w:bottom w:val="nil"/>
              <w:right w:val="nil"/>
            </w:tcBorders>
            <w:vAlign w:val="center"/>
            <w:hideMark/>
          </w:tcPr>
          <w:p w14:paraId="47EE3024" w14:textId="77777777" w:rsidR="00A74C68" w:rsidRPr="009B7E9E" w:rsidRDefault="00A74C68" w:rsidP="00A74C68">
            <w:pPr>
              <w:jc w:val="right"/>
              <w:rPr>
                <w:sz w:val="14"/>
                <w:szCs w:val="14"/>
              </w:rPr>
            </w:pPr>
          </w:p>
        </w:tc>
        <w:tc>
          <w:tcPr>
            <w:tcW w:w="714" w:type="dxa"/>
            <w:tcBorders>
              <w:top w:val="nil"/>
              <w:left w:val="nil"/>
              <w:bottom w:val="nil"/>
              <w:right w:val="nil"/>
            </w:tcBorders>
            <w:vAlign w:val="center"/>
            <w:hideMark/>
          </w:tcPr>
          <w:p w14:paraId="17B9C181" w14:textId="77777777" w:rsidR="00A74C68" w:rsidRPr="009B7E9E" w:rsidRDefault="00A74C68" w:rsidP="00A74C68">
            <w:pPr>
              <w:jc w:val="right"/>
              <w:rPr>
                <w:sz w:val="14"/>
                <w:szCs w:val="14"/>
              </w:rPr>
            </w:pPr>
          </w:p>
        </w:tc>
        <w:tc>
          <w:tcPr>
            <w:tcW w:w="835" w:type="dxa"/>
            <w:tcBorders>
              <w:top w:val="nil"/>
              <w:left w:val="nil"/>
              <w:bottom w:val="nil"/>
              <w:right w:val="nil"/>
            </w:tcBorders>
            <w:vAlign w:val="center"/>
            <w:hideMark/>
          </w:tcPr>
          <w:p w14:paraId="4C411EF8" w14:textId="77777777" w:rsidR="00A74C68" w:rsidRPr="009B7E9E" w:rsidRDefault="00A74C68" w:rsidP="00A74C68">
            <w:pPr>
              <w:jc w:val="right"/>
              <w:rPr>
                <w:sz w:val="14"/>
                <w:szCs w:val="14"/>
              </w:rPr>
            </w:pPr>
          </w:p>
        </w:tc>
        <w:tc>
          <w:tcPr>
            <w:tcW w:w="709" w:type="dxa"/>
            <w:tcBorders>
              <w:top w:val="nil"/>
              <w:left w:val="nil"/>
              <w:bottom w:val="nil"/>
              <w:right w:val="nil"/>
            </w:tcBorders>
            <w:hideMark/>
          </w:tcPr>
          <w:p w14:paraId="794DF744" w14:textId="77777777" w:rsidR="00A74C68" w:rsidRPr="009B7E9E" w:rsidRDefault="00A74C68" w:rsidP="00A74C68">
            <w:pPr>
              <w:jc w:val="right"/>
              <w:rPr>
                <w:sz w:val="14"/>
                <w:szCs w:val="14"/>
              </w:rPr>
            </w:pPr>
          </w:p>
        </w:tc>
        <w:tc>
          <w:tcPr>
            <w:tcW w:w="850" w:type="dxa"/>
            <w:tcBorders>
              <w:top w:val="nil"/>
              <w:left w:val="nil"/>
              <w:bottom w:val="nil"/>
              <w:right w:val="nil"/>
            </w:tcBorders>
            <w:hideMark/>
          </w:tcPr>
          <w:p w14:paraId="3F13F07A" w14:textId="77777777" w:rsidR="00A74C68" w:rsidRPr="009B7E9E" w:rsidRDefault="00A74C68" w:rsidP="00A74C68">
            <w:pPr>
              <w:jc w:val="right"/>
              <w:rPr>
                <w:sz w:val="14"/>
                <w:szCs w:val="14"/>
              </w:rPr>
            </w:pPr>
          </w:p>
        </w:tc>
        <w:tc>
          <w:tcPr>
            <w:tcW w:w="993" w:type="dxa"/>
            <w:gridSpan w:val="2"/>
            <w:tcBorders>
              <w:top w:val="nil"/>
              <w:left w:val="nil"/>
              <w:bottom w:val="nil"/>
              <w:right w:val="single" w:sz="4" w:space="0" w:color="auto"/>
            </w:tcBorders>
            <w:vAlign w:val="center"/>
            <w:hideMark/>
          </w:tcPr>
          <w:p w14:paraId="7AFD4D10" w14:textId="77777777" w:rsidR="00A74C68" w:rsidRPr="009B7E9E" w:rsidRDefault="00A74C68" w:rsidP="00A74C68">
            <w:pPr>
              <w:jc w:val="right"/>
              <w:rPr>
                <w:color w:val="000000"/>
                <w:sz w:val="14"/>
                <w:szCs w:val="14"/>
              </w:rPr>
            </w:pPr>
            <w:r w:rsidRPr="009B7E9E">
              <w:rPr>
                <w:color w:val="000000"/>
                <w:sz w:val="14"/>
                <w:szCs w:val="14"/>
              </w:rPr>
              <w:t> </w:t>
            </w:r>
          </w:p>
        </w:tc>
      </w:tr>
      <w:tr w:rsidR="00A74C68" w:rsidRPr="009B7E9E" w14:paraId="4BD4B3F2" w14:textId="77777777" w:rsidTr="00C45BB6">
        <w:trPr>
          <w:divId w:val="818616495"/>
          <w:trHeight w:val="113"/>
        </w:trPr>
        <w:tc>
          <w:tcPr>
            <w:tcW w:w="561" w:type="dxa"/>
            <w:tcBorders>
              <w:top w:val="nil"/>
              <w:left w:val="single" w:sz="4" w:space="0" w:color="auto"/>
              <w:bottom w:val="nil"/>
              <w:right w:val="nil"/>
            </w:tcBorders>
            <w:vAlign w:val="center"/>
            <w:hideMark/>
          </w:tcPr>
          <w:p w14:paraId="3B4533A7" w14:textId="77777777" w:rsidR="00A74C68" w:rsidRPr="009B7E9E" w:rsidRDefault="00A74C68" w:rsidP="00A74C68">
            <w:pPr>
              <w:jc w:val="center"/>
              <w:rPr>
                <w:b/>
                <w:bCs/>
                <w:color w:val="000000"/>
                <w:sz w:val="14"/>
                <w:szCs w:val="14"/>
              </w:rPr>
            </w:pPr>
            <w:r w:rsidRPr="009B7E9E">
              <w:rPr>
                <w:b/>
                <w:bCs/>
                <w:color w:val="000000"/>
                <w:sz w:val="14"/>
                <w:szCs w:val="14"/>
              </w:rPr>
              <w:t> </w:t>
            </w:r>
          </w:p>
        </w:tc>
        <w:tc>
          <w:tcPr>
            <w:tcW w:w="3377" w:type="dxa"/>
            <w:tcBorders>
              <w:top w:val="nil"/>
              <w:left w:val="nil"/>
              <w:bottom w:val="nil"/>
              <w:right w:val="nil"/>
            </w:tcBorders>
            <w:vAlign w:val="bottom"/>
            <w:hideMark/>
          </w:tcPr>
          <w:p w14:paraId="68DB505A" w14:textId="77777777" w:rsidR="00A74C68" w:rsidRPr="009B7E9E" w:rsidRDefault="00A74C68" w:rsidP="00A74C68">
            <w:pPr>
              <w:jc w:val="center"/>
              <w:rPr>
                <w:b/>
                <w:bCs/>
                <w:color w:val="000000"/>
                <w:sz w:val="14"/>
                <w:szCs w:val="14"/>
              </w:rPr>
            </w:pPr>
          </w:p>
        </w:tc>
        <w:tc>
          <w:tcPr>
            <w:tcW w:w="707" w:type="dxa"/>
            <w:tcBorders>
              <w:top w:val="nil"/>
              <w:left w:val="nil"/>
              <w:bottom w:val="nil"/>
              <w:right w:val="nil"/>
            </w:tcBorders>
            <w:vAlign w:val="bottom"/>
            <w:hideMark/>
          </w:tcPr>
          <w:p w14:paraId="40A67FDC" w14:textId="77777777" w:rsidR="00A74C68" w:rsidRPr="009B7E9E" w:rsidRDefault="00A74C68" w:rsidP="00A74C68">
            <w:pPr>
              <w:rPr>
                <w:sz w:val="14"/>
                <w:szCs w:val="14"/>
              </w:rPr>
            </w:pPr>
          </w:p>
        </w:tc>
        <w:tc>
          <w:tcPr>
            <w:tcW w:w="851" w:type="dxa"/>
            <w:tcBorders>
              <w:top w:val="nil"/>
              <w:left w:val="nil"/>
              <w:bottom w:val="nil"/>
              <w:right w:val="nil"/>
            </w:tcBorders>
            <w:vAlign w:val="center"/>
            <w:hideMark/>
          </w:tcPr>
          <w:p w14:paraId="4E83FBBB" w14:textId="77777777" w:rsidR="00A74C68" w:rsidRPr="009B7E9E" w:rsidRDefault="00A74C68" w:rsidP="00A74C68">
            <w:pPr>
              <w:jc w:val="right"/>
              <w:rPr>
                <w:sz w:val="14"/>
                <w:szCs w:val="14"/>
              </w:rPr>
            </w:pPr>
          </w:p>
        </w:tc>
        <w:tc>
          <w:tcPr>
            <w:tcW w:w="709" w:type="dxa"/>
            <w:tcBorders>
              <w:top w:val="nil"/>
              <w:left w:val="nil"/>
              <w:bottom w:val="nil"/>
              <w:right w:val="nil"/>
            </w:tcBorders>
            <w:vAlign w:val="center"/>
            <w:hideMark/>
          </w:tcPr>
          <w:p w14:paraId="385D027C" w14:textId="77777777" w:rsidR="00A74C68" w:rsidRPr="009B7E9E" w:rsidRDefault="00A74C68" w:rsidP="00A74C68">
            <w:pPr>
              <w:jc w:val="right"/>
              <w:rPr>
                <w:sz w:val="14"/>
                <w:szCs w:val="14"/>
              </w:rPr>
            </w:pPr>
          </w:p>
        </w:tc>
        <w:tc>
          <w:tcPr>
            <w:tcW w:w="708" w:type="dxa"/>
            <w:tcBorders>
              <w:top w:val="nil"/>
              <w:left w:val="nil"/>
              <w:bottom w:val="nil"/>
              <w:right w:val="nil"/>
            </w:tcBorders>
            <w:vAlign w:val="center"/>
            <w:hideMark/>
          </w:tcPr>
          <w:p w14:paraId="633528CF" w14:textId="77777777" w:rsidR="00A74C68" w:rsidRPr="009B7E9E" w:rsidRDefault="00A74C68" w:rsidP="00A74C68">
            <w:pPr>
              <w:jc w:val="right"/>
              <w:rPr>
                <w:sz w:val="14"/>
                <w:szCs w:val="14"/>
              </w:rPr>
            </w:pPr>
          </w:p>
        </w:tc>
        <w:tc>
          <w:tcPr>
            <w:tcW w:w="724" w:type="dxa"/>
            <w:tcBorders>
              <w:top w:val="nil"/>
              <w:left w:val="nil"/>
              <w:bottom w:val="nil"/>
              <w:right w:val="nil"/>
            </w:tcBorders>
            <w:vAlign w:val="center"/>
            <w:hideMark/>
          </w:tcPr>
          <w:p w14:paraId="096B7E45" w14:textId="77777777" w:rsidR="00A74C68" w:rsidRPr="009B7E9E" w:rsidRDefault="00A74C68" w:rsidP="00A74C68">
            <w:pPr>
              <w:jc w:val="right"/>
              <w:rPr>
                <w:sz w:val="14"/>
                <w:szCs w:val="14"/>
              </w:rPr>
            </w:pPr>
          </w:p>
        </w:tc>
        <w:tc>
          <w:tcPr>
            <w:tcW w:w="575" w:type="dxa"/>
            <w:tcBorders>
              <w:top w:val="nil"/>
              <w:left w:val="nil"/>
              <w:bottom w:val="nil"/>
              <w:right w:val="nil"/>
            </w:tcBorders>
            <w:vAlign w:val="center"/>
            <w:hideMark/>
          </w:tcPr>
          <w:p w14:paraId="7BD7D436" w14:textId="77777777" w:rsidR="00A74C68" w:rsidRPr="009B7E9E" w:rsidRDefault="00A74C68" w:rsidP="00A74C68">
            <w:pPr>
              <w:jc w:val="right"/>
              <w:rPr>
                <w:sz w:val="14"/>
                <w:szCs w:val="14"/>
              </w:rPr>
            </w:pPr>
          </w:p>
        </w:tc>
        <w:tc>
          <w:tcPr>
            <w:tcW w:w="709" w:type="dxa"/>
            <w:tcBorders>
              <w:top w:val="nil"/>
              <w:left w:val="nil"/>
              <w:bottom w:val="nil"/>
              <w:right w:val="nil"/>
            </w:tcBorders>
            <w:vAlign w:val="center"/>
            <w:hideMark/>
          </w:tcPr>
          <w:p w14:paraId="21F50FD5" w14:textId="77777777" w:rsidR="00A74C68" w:rsidRPr="009B7E9E" w:rsidRDefault="00A74C68" w:rsidP="00A74C68">
            <w:pPr>
              <w:jc w:val="right"/>
              <w:rPr>
                <w:sz w:val="14"/>
                <w:szCs w:val="14"/>
              </w:rPr>
            </w:pPr>
          </w:p>
        </w:tc>
        <w:tc>
          <w:tcPr>
            <w:tcW w:w="639" w:type="dxa"/>
            <w:tcBorders>
              <w:top w:val="nil"/>
              <w:left w:val="nil"/>
              <w:bottom w:val="nil"/>
              <w:right w:val="nil"/>
            </w:tcBorders>
            <w:vAlign w:val="center"/>
            <w:hideMark/>
          </w:tcPr>
          <w:p w14:paraId="516D2DBA" w14:textId="77777777" w:rsidR="00A74C68" w:rsidRPr="009B7E9E" w:rsidRDefault="00A74C68" w:rsidP="00A74C68">
            <w:pPr>
              <w:jc w:val="right"/>
              <w:rPr>
                <w:sz w:val="14"/>
                <w:szCs w:val="14"/>
              </w:rPr>
            </w:pPr>
          </w:p>
        </w:tc>
        <w:tc>
          <w:tcPr>
            <w:tcW w:w="635" w:type="dxa"/>
            <w:tcBorders>
              <w:top w:val="nil"/>
              <w:left w:val="nil"/>
              <w:bottom w:val="nil"/>
              <w:right w:val="nil"/>
            </w:tcBorders>
            <w:vAlign w:val="center"/>
            <w:hideMark/>
          </w:tcPr>
          <w:p w14:paraId="6480201F" w14:textId="77777777" w:rsidR="00A74C68" w:rsidRPr="009B7E9E" w:rsidRDefault="00A74C68" w:rsidP="00A74C68">
            <w:pPr>
              <w:jc w:val="right"/>
              <w:rPr>
                <w:sz w:val="14"/>
                <w:szCs w:val="14"/>
              </w:rPr>
            </w:pPr>
          </w:p>
        </w:tc>
        <w:tc>
          <w:tcPr>
            <w:tcW w:w="731" w:type="dxa"/>
            <w:tcBorders>
              <w:top w:val="nil"/>
              <w:left w:val="nil"/>
              <w:bottom w:val="nil"/>
              <w:right w:val="nil"/>
            </w:tcBorders>
            <w:vAlign w:val="center"/>
            <w:hideMark/>
          </w:tcPr>
          <w:p w14:paraId="225D2027" w14:textId="77777777" w:rsidR="00A74C68" w:rsidRPr="009B7E9E" w:rsidRDefault="00A74C68" w:rsidP="00A74C68">
            <w:pPr>
              <w:jc w:val="right"/>
              <w:rPr>
                <w:sz w:val="14"/>
                <w:szCs w:val="14"/>
              </w:rPr>
            </w:pPr>
          </w:p>
        </w:tc>
        <w:tc>
          <w:tcPr>
            <w:tcW w:w="714" w:type="dxa"/>
            <w:tcBorders>
              <w:top w:val="nil"/>
              <w:left w:val="nil"/>
              <w:bottom w:val="nil"/>
              <w:right w:val="nil"/>
            </w:tcBorders>
            <w:vAlign w:val="center"/>
            <w:hideMark/>
          </w:tcPr>
          <w:p w14:paraId="69A7384E" w14:textId="77777777" w:rsidR="00A74C68" w:rsidRPr="009B7E9E" w:rsidRDefault="00A74C68" w:rsidP="00A74C68">
            <w:pPr>
              <w:jc w:val="right"/>
              <w:rPr>
                <w:sz w:val="14"/>
                <w:szCs w:val="14"/>
              </w:rPr>
            </w:pPr>
          </w:p>
        </w:tc>
        <w:tc>
          <w:tcPr>
            <w:tcW w:w="835" w:type="dxa"/>
            <w:tcBorders>
              <w:top w:val="nil"/>
              <w:left w:val="nil"/>
              <w:bottom w:val="nil"/>
              <w:right w:val="nil"/>
            </w:tcBorders>
            <w:vAlign w:val="center"/>
            <w:hideMark/>
          </w:tcPr>
          <w:p w14:paraId="4F27F4C2" w14:textId="77777777" w:rsidR="00A74C68" w:rsidRPr="009B7E9E" w:rsidRDefault="00A74C68" w:rsidP="00A74C68">
            <w:pPr>
              <w:jc w:val="right"/>
              <w:rPr>
                <w:sz w:val="14"/>
                <w:szCs w:val="14"/>
              </w:rPr>
            </w:pPr>
          </w:p>
        </w:tc>
        <w:tc>
          <w:tcPr>
            <w:tcW w:w="709" w:type="dxa"/>
            <w:tcBorders>
              <w:top w:val="nil"/>
              <w:left w:val="nil"/>
              <w:bottom w:val="nil"/>
              <w:right w:val="nil"/>
            </w:tcBorders>
            <w:vAlign w:val="center"/>
            <w:hideMark/>
          </w:tcPr>
          <w:p w14:paraId="4AE589F2" w14:textId="77777777" w:rsidR="00A74C68" w:rsidRPr="009B7E9E" w:rsidRDefault="00A74C68" w:rsidP="00A74C68">
            <w:pPr>
              <w:jc w:val="right"/>
              <w:rPr>
                <w:sz w:val="14"/>
                <w:szCs w:val="14"/>
              </w:rPr>
            </w:pPr>
          </w:p>
        </w:tc>
        <w:tc>
          <w:tcPr>
            <w:tcW w:w="850" w:type="dxa"/>
            <w:tcBorders>
              <w:top w:val="nil"/>
              <w:left w:val="nil"/>
              <w:bottom w:val="nil"/>
              <w:right w:val="nil"/>
            </w:tcBorders>
            <w:vAlign w:val="center"/>
            <w:hideMark/>
          </w:tcPr>
          <w:p w14:paraId="62E9F017" w14:textId="77777777" w:rsidR="00A74C68" w:rsidRPr="009B7E9E" w:rsidRDefault="00A74C68" w:rsidP="00A74C68">
            <w:pPr>
              <w:jc w:val="right"/>
              <w:rPr>
                <w:sz w:val="14"/>
                <w:szCs w:val="14"/>
              </w:rPr>
            </w:pPr>
          </w:p>
        </w:tc>
        <w:tc>
          <w:tcPr>
            <w:tcW w:w="993" w:type="dxa"/>
            <w:gridSpan w:val="2"/>
            <w:tcBorders>
              <w:top w:val="nil"/>
              <w:left w:val="nil"/>
              <w:bottom w:val="nil"/>
              <w:right w:val="single" w:sz="4" w:space="0" w:color="auto"/>
            </w:tcBorders>
            <w:vAlign w:val="center"/>
            <w:hideMark/>
          </w:tcPr>
          <w:p w14:paraId="43AC80C4" w14:textId="77777777" w:rsidR="00A74C68" w:rsidRPr="009B7E9E" w:rsidRDefault="00A74C68" w:rsidP="00A74C68">
            <w:pPr>
              <w:jc w:val="right"/>
              <w:rPr>
                <w:color w:val="000000"/>
                <w:sz w:val="14"/>
                <w:szCs w:val="14"/>
              </w:rPr>
            </w:pPr>
            <w:r w:rsidRPr="009B7E9E">
              <w:rPr>
                <w:color w:val="000000"/>
                <w:sz w:val="14"/>
                <w:szCs w:val="14"/>
              </w:rPr>
              <w:t> </w:t>
            </w:r>
          </w:p>
        </w:tc>
      </w:tr>
      <w:tr w:rsidR="00C45BB6" w:rsidRPr="009B7E9E" w14:paraId="0CD20292" w14:textId="77777777" w:rsidTr="00C45BB6">
        <w:trPr>
          <w:divId w:val="818616495"/>
          <w:trHeight w:val="113"/>
        </w:trPr>
        <w:tc>
          <w:tcPr>
            <w:tcW w:w="561" w:type="dxa"/>
            <w:tcBorders>
              <w:top w:val="nil"/>
              <w:left w:val="single" w:sz="4" w:space="0" w:color="auto"/>
              <w:bottom w:val="nil"/>
              <w:right w:val="nil"/>
            </w:tcBorders>
            <w:vAlign w:val="center"/>
            <w:hideMark/>
          </w:tcPr>
          <w:p w14:paraId="3A083576" w14:textId="77777777" w:rsidR="00C45BB6" w:rsidRPr="009B7E9E" w:rsidRDefault="00C45BB6" w:rsidP="00C45BB6">
            <w:pPr>
              <w:rPr>
                <w:b/>
                <w:bCs/>
                <w:color w:val="000000"/>
                <w:sz w:val="14"/>
                <w:szCs w:val="14"/>
              </w:rPr>
            </w:pPr>
            <w:r w:rsidRPr="009B7E9E">
              <w:rPr>
                <w:b/>
                <w:bCs/>
                <w:color w:val="000000"/>
                <w:sz w:val="14"/>
                <w:szCs w:val="14"/>
              </w:rPr>
              <w:t>I.</w:t>
            </w:r>
          </w:p>
        </w:tc>
        <w:tc>
          <w:tcPr>
            <w:tcW w:w="3377" w:type="dxa"/>
            <w:tcBorders>
              <w:top w:val="nil"/>
              <w:left w:val="nil"/>
              <w:bottom w:val="nil"/>
              <w:right w:val="nil"/>
            </w:tcBorders>
            <w:vAlign w:val="center"/>
            <w:hideMark/>
          </w:tcPr>
          <w:p w14:paraId="67F7D4F1" w14:textId="77777777" w:rsidR="00C45BB6" w:rsidRPr="009B7E9E" w:rsidRDefault="00C45BB6" w:rsidP="00C45BB6">
            <w:pPr>
              <w:rPr>
                <w:b/>
                <w:bCs/>
                <w:color w:val="000000"/>
                <w:sz w:val="14"/>
                <w:szCs w:val="14"/>
              </w:rPr>
            </w:pPr>
            <w:r w:rsidRPr="009B7E9E">
              <w:rPr>
                <w:b/>
                <w:bCs/>
                <w:color w:val="000000"/>
                <w:sz w:val="14"/>
                <w:szCs w:val="14"/>
              </w:rPr>
              <w:t xml:space="preserve">Önceki Dönem Sonu Bakiyesi </w:t>
            </w:r>
          </w:p>
        </w:tc>
        <w:tc>
          <w:tcPr>
            <w:tcW w:w="707" w:type="dxa"/>
            <w:tcBorders>
              <w:top w:val="nil"/>
              <w:left w:val="nil"/>
              <w:bottom w:val="nil"/>
              <w:right w:val="nil"/>
            </w:tcBorders>
            <w:vAlign w:val="center"/>
            <w:hideMark/>
          </w:tcPr>
          <w:p w14:paraId="29B12307" w14:textId="77777777" w:rsidR="00C45BB6" w:rsidRPr="009B7E9E" w:rsidRDefault="00C45BB6" w:rsidP="00C45BB6">
            <w:pPr>
              <w:rPr>
                <w:b/>
                <w:bCs/>
                <w:color w:val="000000"/>
                <w:sz w:val="14"/>
                <w:szCs w:val="14"/>
              </w:rPr>
            </w:pPr>
          </w:p>
        </w:tc>
        <w:tc>
          <w:tcPr>
            <w:tcW w:w="851" w:type="dxa"/>
            <w:tcBorders>
              <w:top w:val="nil"/>
              <w:left w:val="nil"/>
              <w:bottom w:val="nil"/>
              <w:right w:val="nil"/>
            </w:tcBorders>
            <w:vAlign w:val="bottom"/>
            <w:hideMark/>
          </w:tcPr>
          <w:p w14:paraId="0B999897" w14:textId="5BA13A76" w:rsidR="00C45BB6" w:rsidRPr="009B7E9E" w:rsidRDefault="00C45BB6" w:rsidP="00C45BB6">
            <w:pPr>
              <w:jc w:val="right"/>
              <w:rPr>
                <w:b/>
                <w:bCs/>
                <w:color w:val="000000"/>
                <w:sz w:val="14"/>
                <w:szCs w:val="14"/>
              </w:rPr>
            </w:pPr>
            <w:r w:rsidRPr="009B7E9E">
              <w:rPr>
                <w:b/>
                <w:bCs/>
                <w:color w:val="000000"/>
                <w:sz w:val="14"/>
                <w:szCs w:val="14"/>
              </w:rPr>
              <w:t>5.999.337</w:t>
            </w:r>
          </w:p>
        </w:tc>
        <w:tc>
          <w:tcPr>
            <w:tcW w:w="709" w:type="dxa"/>
            <w:tcBorders>
              <w:top w:val="nil"/>
              <w:left w:val="nil"/>
              <w:bottom w:val="nil"/>
              <w:right w:val="nil"/>
            </w:tcBorders>
            <w:vAlign w:val="bottom"/>
            <w:hideMark/>
          </w:tcPr>
          <w:p w14:paraId="1E7F928D" w14:textId="3CF4A222" w:rsidR="00C45BB6" w:rsidRPr="009B7E9E" w:rsidRDefault="00C45BB6" w:rsidP="00C45BB6">
            <w:pPr>
              <w:jc w:val="right"/>
              <w:rPr>
                <w:b/>
                <w:bCs/>
                <w:color w:val="000000"/>
                <w:sz w:val="14"/>
                <w:szCs w:val="14"/>
              </w:rPr>
            </w:pPr>
            <w:r w:rsidRPr="009B7E9E">
              <w:rPr>
                <w:b/>
                <w:bCs/>
                <w:color w:val="000000"/>
                <w:sz w:val="14"/>
                <w:szCs w:val="14"/>
              </w:rPr>
              <w:t>-</w:t>
            </w:r>
          </w:p>
        </w:tc>
        <w:tc>
          <w:tcPr>
            <w:tcW w:w="708" w:type="dxa"/>
            <w:tcBorders>
              <w:top w:val="nil"/>
              <w:left w:val="nil"/>
              <w:bottom w:val="nil"/>
              <w:right w:val="nil"/>
            </w:tcBorders>
            <w:vAlign w:val="bottom"/>
            <w:hideMark/>
          </w:tcPr>
          <w:p w14:paraId="1F25FFD2" w14:textId="6FB3CB29" w:rsidR="00C45BB6" w:rsidRPr="009B7E9E" w:rsidRDefault="00C45BB6" w:rsidP="00C45BB6">
            <w:pPr>
              <w:jc w:val="right"/>
              <w:rPr>
                <w:b/>
                <w:bCs/>
                <w:color w:val="000000"/>
                <w:sz w:val="14"/>
                <w:szCs w:val="14"/>
              </w:rPr>
            </w:pPr>
            <w:r w:rsidRPr="009B7E9E">
              <w:rPr>
                <w:b/>
                <w:bCs/>
                <w:color w:val="000000"/>
                <w:sz w:val="14"/>
                <w:szCs w:val="14"/>
              </w:rPr>
              <w:t>-</w:t>
            </w:r>
          </w:p>
        </w:tc>
        <w:tc>
          <w:tcPr>
            <w:tcW w:w="724" w:type="dxa"/>
            <w:tcBorders>
              <w:top w:val="nil"/>
              <w:left w:val="nil"/>
              <w:bottom w:val="nil"/>
              <w:right w:val="nil"/>
            </w:tcBorders>
            <w:vAlign w:val="bottom"/>
            <w:hideMark/>
          </w:tcPr>
          <w:p w14:paraId="0FD3D18A" w14:textId="2CE8B7B6" w:rsidR="00C45BB6" w:rsidRPr="009B7E9E" w:rsidRDefault="00C45BB6" w:rsidP="00C45BB6">
            <w:pPr>
              <w:jc w:val="right"/>
              <w:rPr>
                <w:b/>
                <w:bCs/>
                <w:color w:val="000000"/>
                <w:sz w:val="14"/>
                <w:szCs w:val="14"/>
              </w:rPr>
            </w:pPr>
            <w:r w:rsidRPr="009B7E9E">
              <w:rPr>
                <w:b/>
                <w:bCs/>
                <w:color w:val="000000"/>
                <w:sz w:val="14"/>
                <w:szCs w:val="14"/>
              </w:rPr>
              <w:t>-</w:t>
            </w:r>
          </w:p>
        </w:tc>
        <w:tc>
          <w:tcPr>
            <w:tcW w:w="575" w:type="dxa"/>
            <w:tcBorders>
              <w:top w:val="nil"/>
              <w:left w:val="nil"/>
              <w:bottom w:val="nil"/>
              <w:right w:val="nil"/>
            </w:tcBorders>
            <w:vAlign w:val="bottom"/>
            <w:hideMark/>
          </w:tcPr>
          <w:p w14:paraId="4C1A6217" w14:textId="0759E461" w:rsidR="00C45BB6" w:rsidRPr="009B7E9E" w:rsidRDefault="00C45BB6" w:rsidP="00C45BB6">
            <w:pPr>
              <w:jc w:val="right"/>
              <w:rPr>
                <w:b/>
                <w:bCs/>
                <w:color w:val="000000"/>
                <w:sz w:val="14"/>
                <w:szCs w:val="14"/>
              </w:rPr>
            </w:pPr>
            <w:r w:rsidRPr="009B7E9E">
              <w:rPr>
                <w:b/>
                <w:bCs/>
                <w:color w:val="000000"/>
                <w:sz w:val="14"/>
                <w:szCs w:val="14"/>
              </w:rPr>
              <w:t>-</w:t>
            </w:r>
          </w:p>
        </w:tc>
        <w:tc>
          <w:tcPr>
            <w:tcW w:w="709" w:type="dxa"/>
            <w:tcBorders>
              <w:top w:val="nil"/>
              <w:left w:val="nil"/>
              <w:bottom w:val="nil"/>
              <w:right w:val="nil"/>
            </w:tcBorders>
            <w:vAlign w:val="bottom"/>
            <w:hideMark/>
          </w:tcPr>
          <w:p w14:paraId="2B31E6B8" w14:textId="3E220B0D" w:rsidR="00C45BB6" w:rsidRPr="009B7E9E" w:rsidRDefault="00C45BB6" w:rsidP="00C45BB6">
            <w:pPr>
              <w:jc w:val="right"/>
              <w:rPr>
                <w:b/>
                <w:bCs/>
                <w:color w:val="000000"/>
                <w:sz w:val="14"/>
                <w:szCs w:val="14"/>
              </w:rPr>
            </w:pPr>
            <w:r w:rsidRPr="009B7E9E">
              <w:rPr>
                <w:b/>
                <w:bCs/>
                <w:color w:val="000000"/>
                <w:sz w:val="14"/>
                <w:szCs w:val="14"/>
              </w:rPr>
              <w:t>(6.144)</w:t>
            </w:r>
          </w:p>
        </w:tc>
        <w:tc>
          <w:tcPr>
            <w:tcW w:w="639" w:type="dxa"/>
            <w:tcBorders>
              <w:top w:val="nil"/>
              <w:left w:val="nil"/>
              <w:bottom w:val="nil"/>
              <w:right w:val="nil"/>
            </w:tcBorders>
            <w:vAlign w:val="bottom"/>
            <w:hideMark/>
          </w:tcPr>
          <w:p w14:paraId="346CFCEF" w14:textId="3E400C0B" w:rsidR="00C45BB6" w:rsidRPr="009B7E9E" w:rsidRDefault="00C45BB6" w:rsidP="00C45BB6">
            <w:pPr>
              <w:jc w:val="right"/>
              <w:rPr>
                <w:b/>
                <w:bCs/>
                <w:color w:val="000000"/>
                <w:sz w:val="14"/>
                <w:szCs w:val="14"/>
              </w:rPr>
            </w:pPr>
            <w:r w:rsidRPr="009B7E9E">
              <w:rPr>
                <w:b/>
                <w:bCs/>
                <w:color w:val="000000"/>
                <w:sz w:val="14"/>
                <w:szCs w:val="14"/>
              </w:rPr>
              <w:t>-</w:t>
            </w:r>
          </w:p>
        </w:tc>
        <w:tc>
          <w:tcPr>
            <w:tcW w:w="635" w:type="dxa"/>
            <w:tcBorders>
              <w:top w:val="nil"/>
              <w:left w:val="nil"/>
              <w:bottom w:val="nil"/>
              <w:right w:val="nil"/>
            </w:tcBorders>
            <w:vAlign w:val="bottom"/>
            <w:hideMark/>
          </w:tcPr>
          <w:p w14:paraId="5430195E" w14:textId="3029182E" w:rsidR="00C45BB6" w:rsidRPr="009B7E9E" w:rsidRDefault="00C45BB6" w:rsidP="00C45BB6">
            <w:pPr>
              <w:jc w:val="right"/>
              <w:rPr>
                <w:b/>
                <w:bCs/>
                <w:color w:val="000000"/>
                <w:sz w:val="14"/>
                <w:szCs w:val="14"/>
              </w:rPr>
            </w:pPr>
            <w:r w:rsidRPr="009B7E9E">
              <w:rPr>
                <w:b/>
                <w:bCs/>
                <w:color w:val="000000"/>
                <w:sz w:val="14"/>
                <w:szCs w:val="14"/>
              </w:rPr>
              <w:t>-</w:t>
            </w:r>
          </w:p>
        </w:tc>
        <w:tc>
          <w:tcPr>
            <w:tcW w:w="731" w:type="dxa"/>
            <w:tcBorders>
              <w:top w:val="nil"/>
              <w:left w:val="nil"/>
              <w:bottom w:val="nil"/>
              <w:right w:val="nil"/>
            </w:tcBorders>
            <w:vAlign w:val="bottom"/>
            <w:hideMark/>
          </w:tcPr>
          <w:p w14:paraId="5449FBFF" w14:textId="6AC93B92" w:rsidR="00C45BB6" w:rsidRPr="009B7E9E" w:rsidRDefault="00C45BB6" w:rsidP="00C45BB6">
            <w:pPr>
              <w:jc w:val="right"/>
              <w:rPr>
                <w:b/>
                <w:bCs/>
                <w:color w:val="000000"/>
                <w:sz w:val="14"/>
                <w:szCs w:val="14"/>
              </w:rPr>
            </w:pPr>
            <w:r w:rsidRPr="009B7E9E">
              <w:rPr>
                <w:b/>
                <w:bCs/>
                <w:color w:val="000000"/>
                <w:sz w:val="14"/>
                <w:szCs w:val="14"/>
              </w:rPr>
              <w:t>8.303</w:t>
            </w:r>
          </w:p>
        </w:tc>
        <w:tc>
          <w:tcPr>
            <w:tcW w:w="714" w:type="dxa"/>
            <w:tcBorders>
              <w:top w:val="nil"/>
              <w:left w:val="nil"/>
              <w:bottom w:val="nil"/>
              <w:right w:val="nil"/>
            </w:tcBorders>
            <w:vAlign w:val="bottom"/>
            <w:hideMark/>
          </w:tcPr>
          <w:p w14:paraId="35553F1A" w14:textId="0E7A5185" w:rsidR="00C45BB6" w:rsidRPr="009B7E9E" w:rsidRDefault="00C45BB6" w:rsidP="00C45BB6">
            <w:pPr>
              <w:jc w:val="right"/>
              <w:rPr>
                <w:b/>
                <w:bCs/>
                <w:color w:val="000000"/>
                <w:sz w:val="14"/>
                <w:szCs w:val="14"/>
              </w:rPr>
            </w:pPr>
            <w:r w:rsidRPr="009B7E9E">
              <w:rPr>
                <w:b/>
                <w:bCs/>
                <w:color w:val="000000"/>
                <w:sz w:val="14"/>
                <w:szCs w:val="14"/>
              </w:rPr>
              <w:t>-</w:t>
            </w:r>
          </w:p>
        </w:tc>
        <w:tc>
          <w:tcPr>
            <w:tcW w:w="835" w:type="dxa"/>
            <w:tcBorders>
              <w:top w:val="nil"/>
              <w:left w:val="nil"/>
              <w:bottom w:val="nil"/>
              <w:right w:val="nil"/>
            </w:tcBorders>
            <w:vAlign w:val="bottom"/>
            <w:hideMark/>
          </w:tcPr>
          <w:p w14:paraId="22629DA4" w14:textId="69606C4E" w:rsidR="00C45BB6" w:rsidRPr="009B7E9E" w:rsidRDefault="00C45BB6" w:rsidP="00C45BB6">
            <w:pPr>
              <w:jc w:val="right"/>
              <w:rPr>
                <w:b/>
                <w:bCs/>
                <w:color w:val="000000"/>
                <w:sz w:val="14"/>
                <w:szCs w:val="14"/>
              </w:rPr>
            </w:pPr>
            <w:r w:rsidRPr="009B7E9E">
              <w:rPr>
                <w:b/>
                <w:bCs/>
                <w:color w:val="000000"/>
                <w:sz w:val="14"/>
                <w:szCs w:val="14"/>
              </w:rPr>
              <w:t>-</w:t>
            </w:r>
          </w:p>
        </w:tc>
        <w:tc>
          <w:tcPr>
            <w:tcW w:w="709" w:type="dxa"/>
            <w:tcBorders>
              <w:top w:val="nil"/>
              <w:left w:val="nil"/>
              <w:bottom w:val="nil"/>
              <w:right w:val="nil"/>
            </w:tcBorders>
            <w:vAlign w:val="bottom"/>
            <w:hideMark/>
          </w:tcPr>
          <w:p w14:paraId="3C466436" w14:textId="186058B8" w:rsidR="00C45BB6" w:rsidRPr="009B7E9E" w:rsidRDefault="00C45BB6" w:rsidP="00C45BB6">
            <w:pPr>
              <w:jc w:val="right"/>
              <w:rPr>
                <w:b/>
                <w:bCs/>
                <w:color w:val="000000"/>
                <w:sz w:val="14"/>
                <w:szCs w:val="14"/>
              </w:rPr>
            </w:pPr>
            <w:r w:rsidRPr="009B7E9E">
              <w:rPr>
                <w:b/>
                <w:bCs/>
                <w:color w:val="000000"/>
                <w:sz w:val="14"/>
                <w:szCs w:val="14"/>
              </w:rPr>
              <w:t>(13.048)</w:t>
            </w:r>
          </w:p>
        </w:tc>
        <w:tc>
          <w:tcPr>
            <w:tcW w:w="850" w:type="dxa"/>
            <w:tcBorders>
              <w:top w:val="nil"/>
              <w:left w:val="nil"/>
              <w:bottom w:val="nil"/>
              <w:right w:val="nil"/>
            </w:tcBorders>
            <w:vAlign w:val="bottom"/>
            <w:hideMark/>
          </w:tcPr>
          <w:p w14:paraId="737F37F7" w14:textId="63171ACA" w:rsidR="00C45BB6" w:rsidRPr="009B7E9E" w:rsidRDefault="00C45BB6" w:rsidP="00C45BB6">
            <w:pPr>
              <w:jc w:val="right"/>
              <w:rPr>
                <w:b/>
                <w:bCs/>
                <w:color w:val="000000"/>
                <w:sz w:val="14"/>
                <w:szCs w:val="14"/>
              </w:rPr>
            </w:pPr>
            <w:r w:rsidRPr="009B7E9E">
              <w:rPr>
                <w:b/>
                <w:bCs/>
                <w:color w:val="000000"/>
                <w:sz w:val="14"/>
                <w:szCs w:val="14"/>
              </w:rPr>
              <w:t>1.353.642</w:t>
            </w:r>
          </w:p>
        </w:tc>
        <w:tc>
          <w:tcPr>
            <w:tcW w:w="993" w:type="dxa"/>
            <w:gridSpan w:val="2"/>
            <w:tcBorders>
              <w:top w:val="nil"/>
              <w:left w:val="nil"/>
              <w:bottom w:val="nil"/>
              <w:right w:val="single" w:sz="4" w:space="0" w:color="auto"/>
            </w:tcBorders>
            <w:vAlign w:val="bottom"/>
            <w:hideMark/>
          </w:tcPr>
          <w:p w14:paraId="72930274" w14:textId="26AE2FD5" w:rsidR="00C45BB6" w:rsidRPr="009B7E9E" w:rsidRDefault="00C45BB6" w:rsidP="00C45BB6">
            <w:pPr>
              <w:jc w:val="right"/>
              <w:rPr>
                <w:b/>
                <w:bCs/>
                <w:color w:val="000000"/>
                <w:sz w:val="14"/>
                <w:szCs w:val="14"/>
              </w:rPr>
            </w:pPr>
            <w:r w:rsidRPr="009B7E9E">
              <w:rPr>
                <w:b/>
                <w:bCs/>
                <w:color w:val="000000"/>
                <w:sz w:val="14"/>
                <w:szCs w:val="14"/>
              </w:rPr>
              <w:t>7.342.090</w:t>
            </w:r>
          </w:p>
        </w:tc>
      </w:tr>
      <w:tr w:rsidR="00C45BB6" w:rsidRPr="009B7E9E" w14:paraId="78338972" w14:textId="77777777" w:rsidTr="00C45BB6">
        <w:trPr>
          <w:divId w:val="818616495"/>
          <w:trHeight w:val="113"/>
        </w:trPr>
        <w:tc>
          <w:tcPr>
            <w:tcW w:w="561" w:type="dxa"/>
            <w:tcBorders>
              <w:top w:val="nil"/>
              <w:left w:val="single" w:sz="4" w:space="0" w:color="auto"/>
              <w:bottom w:val="nil"/>
              <w:right w:val="nil"/>
            </w:tcBorders>
            <w:vAlign w:val="center"/>
            <w:hideMark/>
          </w:tcPr>
          <w:p w14:paraId="6FB95A33" w14:textId="77777777" w:rsidR="00C45BB6" w:rsidRPr="009B7E9E" w:rsidRDefault="00C45BB6" w:rsidP="00C45BB6">
            <w:pPr>
              <w:rPr>
                <w:b/>
                <w:bCs/>
                <w:color w:val="000000"/>
                <w:sz w:val="14"/>
                <w:szCs w:val="14"/>
              </w:rPr>
            </w:pPr>
            <w:r w:rsidRPr="009B7E9E">
              <w:rPr>
                <w:b/>
                <w:bCs/>
                <w:color w:val="000000"/>
                <w:sz w:val="14"/>
                <w:szCs w:val="14"/>
              </w:rPr>
              <w:t>II.</w:t>
            </w:r>
          </w:p>
        </w:tc>
        <w:tc>
          <w:tcPr>
            <w:tcW w:w="3377" w:type="dxa"/>
            <w:tcBorders>
              <w:top w:val="nil"/>
              <w:left w:val="nil"/>
              <w:bottom w:val="nil"/>
              <w:right w:val="nil"/>
            </w:tcBorders>
            <w:vAlign w:val="center"/>
            <w:hideMark/>
          </w:tcPr>
          <w:p w14:paraId="34C65B73" w14:textId="77777777" w:rsidR="00C45BB6" w:rsidRPr="009B7E9E" w:rsidRDefault="00C45BB6" w:rsidP="00C45BB6">
            <w:pPr>
              <w:rPr>
                <w:b/>
                <w:bCs/>
                <w:color w:val="000000"/>
                <w:sz w:val="14"/>
                <w:szCs w:val="14"/>
              </w:rPr>
            </w:pPr>
            <w:r w:rsidRPr="009B7E9E">
              <w:rPr>
                <w:b/>
                <w:bCs/>
                <w:color w:val="000000"/>
                <w:sz w:val="14"/>
                <w:szCs w:val="14"/>
              </w:rPr>
              <w:t>TMS 8 Uyarınca Yapılan Düzeltmeler</w:t>
            </w:r>
          </w:p>
        </w:tc>
        <w:tc>
          <w:tcPr>
            <w:tcW w:w="707" w:type="dxa"/>
            <w:tcBorders>
              <w:top w:val="nil"/>
              <w:left w:val="nil"/>
              <w:bottom w:val="nil"/>
              <w:right w:val="nil"/>
            </w:tcBorders>
            <w:vAlign w:val="center"/>
            <w:hideMark/>
          </w:tcPr>
          <w:p w14:paraId="38AF2D9C" w14:textId="77777777" w:rsidR="00C45BB6" w:rsidRPr="009B7E9E" w:rsidRDefault="00C45BB6" w:rsidP="00C45BB6">
            <w:pPr>
              <w:rPr>
                <w:b/>
                <w:bCs/>
                <w:color w:val="000000"/>
                <w:sz w:val="14"/>
                <w:szCs w:val="14"/>
              </w:rPr>
            </w:pPr>
          </w:p>
        </w:tc>
        <w:tc>
          <w:tcPr>
            <w:tcW w:w="851" w:type="dxa"/>
            <w:tcBorders>
              <w:top w:val="nil"/>
              <w:left w:val="nil"/>
              <w:bottom w:val="nil"/>
              <w:right w:val="nil"/>
            </w:tcBorders>
            <w:vAlign w:val="bottom"/>
            <w:hideMark/>
          </w:tcPr>
          <w:p w14:paraId="3375838D" w14:textId="235E03F2" w:rsidR="00C45BB6" w:rsidRPr="009B7E9E" w:rsidRDefault="00C45BB6" w:rsidP="00C45BB6">
            <w:pPr>
              <w:jc w:val="right"/>
              <w:rPr>
                <w:b/>
                <w:bCs/>
                <w:color w:val="000000"/>
                <w:sz w:val="14"/>
                <w:szCs w:val="14"/>
              </w:rPr>
            </w:pPr>
            <w:r w:rsidRPr="009B7E9E">
              <w:rPr>
                <w:b/>
                <w:bCs/>
                <w:color w:val="000000"/>
                <w:sz w:val="14"/>
                <w:szCs w:val="14"/>
              </w:rPr>
              <w:t>-</w:t>
            </w:r>
          </w:p>
        </w:tc>
        <w:tc>
          <w:tcPr>
            <w:tcW w:w="709" w:type="dxa"/>
            <w:tcBorders>
              <w:top w:val="nil"/>
              <w:left w:val="nil"/>
              <w:bottom w:val="nil"/>
              <w:right w:val="nil"/>
            </w:tcBorders>
            <w:vAlign w:val="bottom"/>
            <w:hideMark/>
          </w:tcPr>
          <w:p w14:paraId="3E4495CF" w14:textId="2F179024" w:rsidR="00C45BB6" w:rsidRPr="009B7E9E" w:rsidRDefault="00C45BB6" w:rsidP="00C45BB6">
            <w:pPr>
              <w:jc w:val="right"/>
              <w:rPr>
                <w:b/>
                <w:bCs/>
                <w:color w:val="000000"/>
                <w:sz w:val="14"/>
                <w:szCs w:val="14"/>
              </w:rPr>
            </w:pPr>
            <w:r w:rsidRPr="009B7E9E">
              <w:rPr>
                <w:b/>
                <w:bCs/>
                <w:color w:val="000000"/>
                <w:sz w:val="14"/>
                <w:szCs w:val="14"/>
              </w:rPr>
              <w:t>-</w:t>
            </w:r>
          </w:p>
        </w:tc>
        <w:tc>
          <w:tcPr>
            <w:tcW w:w="708" w:type="dxa"/>
            <w:tcBorders>
              <w:top w:val="nil"/>
              <w:left w:val="nil"/>
              <w:bottom w:val="nil"/>
              <w:right w:val="nil"/>
            </w:tcBorders>
            <w:vAlign w:val="bottom"/>
            <w:hideMark/>
          </w:tcPr>
          <w:p w14:paraId="6833FB04" w14:textId="745344DC" w:rsidR="00C45BB6" w:rsidRPr="009B7E9E" w:rsidRDefault="00C45BB6" w:rsidP="00C45BB6">
            <w:pPr>
              <w:jc w:val="right"/>
              <w:rPr>
                <w:b/>
                <w:bCs/>
                <w:color w:val="000000"/>
                <w:sz w:val="14"/>
                <w:szCs w:val="14"/>
              </w:rPr>
            </w:pPr>
            <w:r w:rsidRPr="009B7E9E">
              <w:rPr>
                <w:b/>
                <w:bCs/>
                <w:color w:val="000000"/>
                <w:sz w:val="14"/>
                <w:szCs w:val="14"/>
              </w:rPr>
              <w:t>-</w:t>
            </w:r>
          </w:p>
        </w:tc>
        <w:tc>
          <w:tcPr>
            <w:tcW w:w="724" w:type="dxa"/>
            <w:tcBorders>
              <w:top w:val="nil"/>
              <w:left w:val="nil"/>
              <w:bottom w:val="nil"/>
              <w:right w:val="nil"/>
            </w:tcBorders>
            <w:vAlign w:val="bottom"/>
            <w:hideMark/>
          </w:tcPr>
          <w:p w14:paraId="2D31B9F9" w14:textId="57238510" w:rsidR="00C45BB6" w:rsidRPr="009B7E9E" w:rsidRDefault="00C45BB6" w:rsidP="00C45BB6">
            <w:pPr>
              <w:jc w:val="right"/>
              <w:rPr>
                <w:b/>
                <w:bCs/>
                <w:color w:val="000000"/>
                <w:sz w:val="14"/>
                <w:szCs w:val="14"/>
              </w:rPr>
            </w:pPr>
            <w:r w:rsidRPr="009B7E9E">
              <w:rPr>
                <w:b/>
                <w:bCs/>
                <w:color w:val="000000"/>
                <w:sz w:val="14"/>
                <w:szCs w:val="14"/>
              </w:rPr>
              <w:t>-</w:t>
            </w:r>
          </w:p>
        </w:tc>
        <w:tc>
          <w:tcPr>
            <w:tcW w:w="575" w:type="dxa"/>
            <w:tcBorders>
              <w:top w:val="nil"/>
              <w:left w:val="nil"/>
              <w:bottom w:val="nil"/>
              <w:right w:val="nil"/>
            </w:tcBorders>
            <w:vAlign w:val="bottom"/>
            <w:hideMark/>
          </w:tcPr>
          <w:p w14:paraId="67B8400D" w14:textId="168215C7" w:rsidR="00C45BB6" w:rsidRPr="009B7E9E" w:rsidRDefault="00C45BB6" w:rsidP="00C45BB6">
            <w:pPr>
              <w:jc w:val="right"/>
              <w:rPr>
                <w:b/>
                <w:bCs/>
                <w:color w:val="000000"/>
                <w:sz w:val="14"/>
                <w:szCs w:val="14"/>
              </w:rPr>
            </w:pPr>
            <w:r w:rsidRPr="009B7E9E">
              <w:rPr>
                <w:b/>
                <w:bCs/>
                <w:color w:val="000000"/>
                <w:sz w:val="14"/>
                <w:szCs w:val="14"/>
              </w:rPr>
              <w:t>-</w:t>
            </w:r>
          </w:p>
        </w:tc>
        <w:tc>
          <w:tcPr>
            <w:tcW w:w="709" w:type="dxa"/>
            <w:tcBorders>
              <w:top w:val="nil"/>
              <w:left w:val="nil"/>
              <w:bottom w:val="nil"/>
              <w:right w:val="nil"/>
            </w:tcBorders>
            <w:vAlign w:val="bottom"/>
            <w:hideMark/>
          </w:tcPr>
          <w:p w14:paraId="227E0E36" w14:textId="29EA0625" w:rsidR="00C45BB6" w:rsidRPr="009B7E9E" w:rsidRDefault="00C45BB6" w:rsidP="00C45BB6">
            <w:pPr>
              <w:jc w:val="right"/>
              <w:rPr>
                <w:b/>
                <w:bCs/>
                <w:color w:val="000000"/>
                <w:sz w:val="14"/>
                <w:szCs w:val="14"/>
              </w:rPr>
            </w:pPr>
            <w:r w:rsidRPr="009B7E9E">
              <w:rPr>
                <w:b/>
                <w:bCs/>
                <w:color w:val="000000"/>
                <w:sz w:val="14"/>
                <w:szCs w:val="14"/>
              </w:rPr>
              <w:t>-</w:t>
            </w:r>
          </w:p>
        </w:tc>
        <w:tc>
          <w:tcPr>
            <w:tcW w:w="639" w:type="dxa"/>
            <w:tcBorders>
              <w:top w:val="nil"/>
              <w:left w:val="nil"/>
              <w:bottom w:val="nil"/>
              <w:right w:val="nil"/>
            </w:tcBorders>
            <w:vAlign w:val="bottom"/>
            <w:hideMark/>
          </w:tcPr>
          <w:p w14:paraId="58F3FF23" w14:textId="5372B407" w:rsidR="00C45BB6" w:rsidRPr="009B7E9E" w:rsidRDefault="00C45BB6" w:rsidP="00C45BB6">
            <w:pPr>
              <w:jc w:val="right"/>
              <w:rPr>
                <w:b/>
                <w:bCs/>
                <w:color w:val="000000"/>
                <w:sz w:val="14"/>
                <w:szCs w:val="14"/>
              </w:rPr>
            </w:pPr>
            <w:r w:rsidRPr="009B7E9E">
              <w:rPr>
                <w:b/>
                <w:bCs/>
                <w:color w:val="000000"/>
                <w:sz w:val="14"/>
                <w:szCs w:val="14"/>
              </w:rPr>
              <w:t>-</w:t>
            </w:r>
          </w:p>
        </w:tc>
        <w:tc>
          <w:tcPr>
            <w:tcW w:w="635" w:type="dxa"/>
            <w:tcBorders>
              <w:top w:val="nil"/>
              <w:left w:val="nil"/>
              <w:bottom w:val="nil"/>
              <w:right w:val="nil"/>
            </w:tcBorders>
            <w:vAlign w:val="bottom"/>
            <w:hideMark/>
          </w:tcPr>
          <w:p w14:paraId="238FD388" w14:textId="00D4B10B" w:rsidR="00C45BB6" w:rsidRPr="009B7E9E" w:rsidRDefault="00C45BB6" w:rsidP="00C45BB6">
            <w:pPr>
              <w:jc w:val="right"/>
              <w:rPr>
                <w:b/>
                <w:bCs/>
                <w:color w:val="000000"/>
                <w:sz w:val="14"/>
                <w:szCs w:val="14"/>
              </w:rPr>
            </w:pPr>
            <w:r w:rsidRPr="009B7E9E">
              <w:rPr>
                <w:b/>
                <w:bCs/>
                <w:color w:val="000000"/>
                <w:sz w:val="14"/>
                <w:szCs w:val="14"/>
              </w:rPr>
              <w:t>-</w:t>
            </w:r>
          </w:p>
        </w:tc>
        <w:tc>
          <w:tcPr>
            <w:tcW w:w="731" w:type="dxa"/>
            <w:tcBorders>
              <w:top w:val="nil"/>
              <w:left w:val="nil"/>
              <w:bottom w:val="nil"/>
              <w:right w:val="nil"/>
            </w:tcBorders>
            <w:vAlign w:val="bottom"/>
            <w:hideMark/>
          </w:tcPr>
          <w:p w14:paraId="5FB2DEDF" w14:textId="4C514BFA" w:rsidR="00C45BB6" w:rsidRPr="009B7E9E" w:rsidRDefault="00C45BB6" w:rsidP="00C45BB6">
            <w:pPr>
              <w:jc w:val="right"/>
              <w:rPr>
                <w:b/>
                <w:bCs/>
                <w:color w:val="000000"/>
                <w:sz w:val="14"/>
                <w:szCs w:val="14"/>
              </w:rPr>
            </w:pPr>
            <w:r w:rsidRPr="009B7E9E">
              <w:rPr>
                <w:b/>
                <w:bCs/>
                <w:color w:val="000000"/>
                <w:sz w:val="14"/>
                <w:szCs w:val="14"/>
              </w:rPr>
              <w:t>-</w:t>
            </w:r>
          </w:p>
        </w:tc>
        <w:tc>
          <w:tcPr>
            <w:tcW w:w="714" w:type="dxa"/>
            <w:tcBorders>
              <w:top w:val="nil"/>
              <w:left w:val="nil"/>
              <w:bottom w:val="nil"/>
              <w:right w:val="nil"/>
            </w:tcBorders>
            <w:vAlign w:val="bottom"/>
            <w:hideMark/>
          </w:tcPr>
          <w:p w14:paraId="6C1D0260" w14:textId="58D39FD3" w:rsidR="00C45BB6" w:rsidRPr="009B7E9E" w:rsidRDefault="00C45BB6" w:rsidP="00C45BB6">
            <w:pPr>
              <w:jc w:val="right"/>
              <w:rPr>
                <w:b/>
                <w:bCs/>
                <w:color w:val="000000"/>
                <w:sz w:val="14"/>
                <w:szCs w:val="14"/>
              </w:rPr>
            </w:pPr>
            <w:r w:rsidRPr="009B7E9E">
              <w:rPr>
                <w:b/>
                <w:bCs/>
                <w:color w:val="000000"/>
                <w:sz w:val="14"/>
                <w:szCs w:val="14"/>
              </w:rPr>
              <w:t>-</w:t>
            </w:r>
          </w:p>
        </w:tc>
        <w:tc>
          <w:tcPr>
            <w:tcW w:w="835" w:type="dxa"/>
            <w:tcBorders>
              <w:top w:val="nil"/>
              <w:left w:val="nil"/>
              <w:bottom w:val="nil"/>
              <w:right w:val="nil"/>
            </w:tcBorders>
            <w:vAlign w:val="bottom"/>
            <w:hideMark/>
          </w:tcPr>
          <w:p w14:paraId="2FF11643" w14:textId="322045BC" w:rsidR="00C45BB6" w:rsidRPr="009B7E9E" w:rsidRDefault="00C45BB6" w:rsidP="00C45BB6">
            <w:pPr>
              <w:jc w:val="right"/>
              <w:rPr>
                <w:b/>
                <w:bCs/>
                <w:color w:val="000000"/>
                <w:sz w:val="14"/>
                <w:szCs w:val="14"/>
              </w:rPr>
            </w:pPr>
            <w:r w:rsidRPr="009B7E9E">
              <w:rPr>
                <w:b/>
                <w:bCs/>
                <w:color w:val="000000"/>
                <w:sz w:val="14"/>
                <w:szCs w:val="14"/>
              </w:rPr>
              <w:t>-</w:t>
            </w:r>
          </w:p>
        </w:tc>
        <w:tc>
          <w:tcPr>
            <w:tcW w:w="709" w:type="dxa"/>
            <w:tcBorders>
              <w:top w:val="nil"/>
              <w:left w:val="nil"/>
              <w:bottom w:val="nil"/>
              <w:right w:val="nil"/>
            </w:tcBorders>
            <w:vAlign w:val="bottom"/>
            <w:hideMark/>
          </w:tcPr>
          <w:p w14:paraId="4EEFC5B5" w14:textId="39F36213" w:rsidR="00C45BB6" w:rsidRPr="009B7E9E" w:rsidRDefault="00C45BB6" w:rsidP="00C45BB6">
            <w:pPr>
              <w:jc w:val="right"/>
              <w:rPr>
                <w:b/>
                <w:bCs/>
                <w:color w:val="000000"/>
                <w:sz w:val="14"/>
                <w:szCs w:val="14"/>
              </w:rPr>
            </w:pPr>
            <w:r w:rsidRPr="009B7E9E">
              <w:rPr>
                <w:b/>
                <w:bCs/>
                <w:color w:val="000000"/>
                <w:sz w:val="14"/>
                <w:szCs w:val="14"/>
              </w:rPr>
              <w:t>20.338</w:t>
            </w:r>
          </w:p>
        </w:tc>
        <w:tc>
          <w:tcPr>
            <w:tcW w:w="850" w:type="dxa"/>
            <w:tcBorders>
              <w:top w:val="nil"/>
              <w:left w:val="nil"/>
              <w:bottom w:val="nil"/>
              <w:right w:val="nil"/>
            </w:tcBorders>
            <w:vAlign w:val="bottom"/>
            <w:hideMark/>
          </w:tcPr>
          <w:p w14:paraId="5F808186" w14:textId="133095E3" w:rsidR="00C45BB6" w:rsidRPr="009B7E9E" w:rsidRDefault="00C45BB6" w:rsidP="00C45BB6">
            <w:pPr>
              <w:jc w:val="right"/>
              <w:rPr>
                <w:b/>
                <w:bCs/>
                <w:color w:val="000000"/>
                <w:sz w:val="14"/>
                <w:szCs w:val="14"/>
              </w:rPr>
            </w:pPr>
            <w:r w:rsidRPr="009B7E9E">
              <w:rPr>
                <w:b/>
                <w:bCs/>
                <w:color w:val="000000"/>
                <w:sz w:val="14"/>
                <w:szCs w:val="14"/>
              </w:rPr>
              <w:t>-</w:t>
            </w:r>
          </w:p>
        </w:tc>
        <w:tc>
          <w:tcPr>
            <w:tcW w:w="993" w:type="dxa"/>
            <w:gridSpan w:val="2"/>
            <w:tcBorders>
              <w:top w:val="nil"/>
              <w:left w:val="nil"/>
              <w:bottom w:val="nil"/>
              <w:right w:val="single" w:sz="4" w:space="0" w:color="auto"/>
            </w:tcBorders>
            <w:vAlign w:val="bottom"/>
            <w:hideMark/>
          </w:tcPr>
          <w:p w14:paraId="5FF5EA8A" w14:textId="049BE5AD" w:rsidR="00C45BB6" w:rsidRPr="009B7E9E" w:rsidRDefault="00C45BB6" w:rsidP="00C45BB6">
            <w:pPr>
              <w:jc w:val="right"/>
              <w:rPr>
                <w:b/>
                <w:bCs/>
                <w:color w:val="000000"/>
                <w:sz w:val="14"/>
                <w:szCs w:val="14"/>
              </w:rPr>
            </w:pPr>
            <w:r w:rsidRPr="009B7E9E">
              <w:rPr>
                <w:b/>
                <w:bCs/>
                <w:color w:val="000000"/>
                <w:sz w:val="14"/>
                <w:szCs w:val="14"/>
              </w:rPr>
              <w:t>20.338</w:t>
            </w:r>
          </w:p>
        </w:tc>
      </w:tr>
      <w:tr w:rsidR="00C45BB6" w:rsidRPr="009B7E9E" w14:paraId="59AC6FBD" w14:textId="77777777" w:rsidTr="00C45BB6">
        <w:trPr>
          <w:divId w:val="818616495"/>
          <w:trHeight w:val="113"/>
        </w:trPr>
        <w:tc>
          <w:tcPr>
            <w:tcW w:w="561" w:type="dxa"/>
            <w:tcBorders>
              <w:top w:val="nil"/>
              <w:left w:val="single" w:sz="4" w:space="0" w:color="auto"/>
              <w:bottom w:val="nil"/>
              <w:right w:val="nil"/>
            </w:tcBorders>
            <w:vAlign w:val="center"/>
            <w:hideMark/>
          </w:tcPr>
          <w:p w14:paraId="6C2CC808" w14:textId="77777777" w:rsidR="00C45BB6" w:rsidRPr="009B7E9E" w:rsidRDefault="00C45BB6" w:rsidP="00C45BB6">
            <w:pPr>
              <w:rPr>
                <w:color w:val="000000"/>
                <w:sz w:val="14"/>
                <w:szCs w:val="14"/>
              </w:rPr>
            </w:pPr>
            <w:r w:rsidRPr="009B7E9E">
              <w:rPr>
                <w:color w:val="000000"/>
                <w:sz w:val="14"/>
                <w:szCs w:val="14"/>
              </w:rPr>
              <w:t>2.1</w:t>
            </w:r>
          </w:p>
        </w:tc>
        <w:tc>
          <w:tcPr>
            <w:tcW w:w="3377" w:type="dxa"/>
            <w:tcBorders>
              <w:top w:val="nil"/>
              <w:left w:val="nil"/>
              <w:bottom w:val="nil"/>
              <w:right w:val="nil"/>
            </w:tcBorders>
            <w:vAlign w:val="center"/>
            <w:hideMark/>
          </w:tcPr>
          <w:p w14:paraId="0D02D139" w14:textId="77777777" w:rsidR="00C45BB6" w:rsidRPr="009B7E9E" w:rsidRDefault="00C45BB6" w:rsidP="00C45BB6">
            <w:pPr>
              <w:rPr>
                <w:color w:val="000000"/>
                <w:sz w:val="14"/>
                <w:szCs w:val="14"/>
              </w:rPr>
            </w:pPr>
            <w:r w:rsidRPr="009B7E9E">
              <w:rPr>
                <w:color w:val="000000"/>
                <w:sz w:val="14"/>
                <w:szCs w:val="14"/>
              </w:rPr>
              <w:t xml:space="preserve">Hataların Düzeltilmesinin Etkisi </w:t>
            </w:r>
          </w:p>
        </w:tc>
        <w:tc>
          <w:tcPr>
            <w:tcW w:w="707" w:type="dxa"/>
            <w:tcBorders>
              <w:top w:val="nil"/>
              <w:left w:val="nil"/>
              <w:bottom w:val="nil"/>
              <w:right w:val="nil"/>
            </w:tcBorders>
            <w:vAlign w:val="center"/>
            <w:hideMark/>
          </w:tcPr>
          <w:p w14:paraId="402123FD" w14:textId="77777777" w:rsidR="00C45BB6" w:rsidRPr="009B7E9E" w:rsidRDefault="00C45BB6" w:rsidP="00C45BB6">
            <w:pPr>
              <w:rPr>
                <w:color w:val="000000"/>
                <w:sz w:val="14"/>
                <w:szCs w:val="14"/>
              </w:rPr>
            </w:pPr>
          </w:p>
        </w:tc>
        <w:tc>
          <w:tcPr>
            <w:tcW w:w="851" w:type="dxa"/>
            <w:tcBorders>
              <w:top w:val="nil"/>
              <w:left w:val="nil"/>
              <w:bottom w:val="nil"/>
              <w:right w:val="nil"/>
            </w:tcBorders>
            <w:vAlign w:val="bottom"/>
            <w:hideMark/>
          </w:tcPr>
          <w:p w14:paraId="526E8829" w14:textId="439E82BE" w:rsidR="00C45BB6" w:rsidRPr="009B7E9E" w:rsidRDefault="00C45BB6" w:rsidP="00C45BB6">
            <w:pPr>
              <w:jc w:val="right"/>
              <w:rPr>
                <w:color w:val="000000"/>
                <w:sz w:val="14"/>
                <w:szCs w:val="14"/>
              </w:rPr>
            </w:pPr>
            <w:r w:rsidRPr="009B7E9E">
              <w:rPr>
                <w:color w:val="000000"/>
                <w:sz w:val="14"/>
                <w:szCs w:val="14"/>
              </w:rPr>
              <w:t>-</w:t>
            </w:r>
          </w:p>
        </w:tc>
        <w:tc>
          <w:tcPr>
            <w:tcW w:w="709" w:type="dxa"/>
            <w:tcBorders>
              <w:top w:val="nil"/>
              <w:left w:val="nil"/>
              <w:bottom w:val="nil"/>
              <w:right w:val="nil"/>
            </w:tcBorders>
            <w:vAlign w:val="bottom"/>
            <w:hideMark/>
          </w:tcPr>
          <w:p w14:paraId="756A7245" w14:textId="3418EAFF" w:rsidR="00C45BB6" w:rsidRPr="009B7E9E" w:rsidRDefault="00C45BB6" w:rsidP="00C45BB6">
            <w:pPr>
              <w:jc w:val="right"/>
              <w:rPr>
                <w:color w:val="000000"/>
                <w:sz w:val="14"/>
                <w:szCs w:val="14"/>
              </w:rPr>
            </w:pPr>
            <w:r w:rsidRPr="009B7E9E">
              <w:rPr>
                <w:color w:val="000000"/>
                <w:sz w:val="14"/>
                <w:szCs w:val="14"/>
              </w:rPr>
              <w:t>-</w:t>
            </w:r>
          </w:p>
        </w:tc>
        <w:tc>
          <w:tcPr>
            <w:tcW w:w="708" w:type="dxa"/>
            <w:tcBorders>
              <w:top w:val="nil"/>
              <w:left w:val="nil"/>
              <w:bottom w:val="nil"/>
              <w:right w:val="nil"/>
            </w:tcBorders>
            <w:vAlign w:val="bottom"/>
            <w:hideMark/>
          </w:tcPr>
          <w:p w14:paraId="0FAEB80E" w14:textId="720A7340" w:rsidR="00C45BB6" w:rsidRPr="009B7E9E" w:rsidRDefault="00C45BB6" w:rsidP="00C45BB6">
            <w:pPr>
              <w:jc w:val="right"/>
              <w:rPr>
                <w:color w:val="000000"/>
                <w:sz w:val="14"/>
                <w:szCs w:val="14"/>
              </w:rPr>
            </w:pPr>
            <w:r w:rsidRPr="009B7E9E">
              <w:rPr>
                <w:color w:val="000000"/>
                <w:sz w:val="14"/>
                <w:szCs w:val="14"/>
              </w:rPr>
              <w:t>-</w:t>
            </w:r>
          </w:p>
        </w:tc>
        <w:tc>
          <w:tcPr>
            <w:tcW w:w="724" w:type="dxa"/>
            <w:tcBorders>
              <w:top w:val="nil"/>
              <w:left w:val="nil"/>
              <w:bottom w:val="nil"/>
              <w:right w:val="nil"/>
            </w:tcBorders>
            <w:vAlign w:val="bottom"/>
            <w:hideMark/>
          </w:tcPr>
          <w:p w14:paraId="3CD7B5A5" w14:textId="58E9F021" w:rsidR="00C45BB6" w:rsidRPr="009B7E9E" w:rsidRDefault="00C45BB6" w:rsidP="00C45BB6">
            <w:pPr>
              <w:jc w:val="right"/>
              <w:rPr>
                <w:color w:val="000000"/>
                <w:sz w:val="14"/>
                <w:szCs w:val="14"/>
              </w:rPr>
            </w:pPr>
            <w:r w:rsidRPr="009B7E9E">
              <w:rPr>
                <w:color w:val="000000"/>
                <w:sz w:val="14"/>
                <w:szCs w:val="14"/>
              </w:rPr>
              <w:t>-</w:t>
            </w:r>
          </w:p>
        </w:tc>
        <w:tc>
          <w:tcPr>
            <w:tcW w:w="575" w:type="dxa"/>
            <w:tcBorders>
              <w:top w:val="nil"/>
              <w:left w:val="nil"/>
              <w:bottom w:val="nil"/>
              <w:right w:val="nil"/>
            </w:tcBorders>
            <w:vAlign w:val="bottom"/>
            <w:hideMark/>
          </w:tcPr>
          <w:p w14:paraId="3A605C80" w14:textId="2E5A3AE2" w:rsidR="00C45BB6" w:rsidRPr="009B7E9E" w:rsidRDefault="00C45BB6" w:rsidP="00C45BB6">
            <w:pPr>
              <w:jc w:val="right"/>
              <w:rPr>
                <w:color w:val="000000"/>
                <w:sz w:val="14"/>
                <w:szCs w:val="14"/>
              </w:rPr>
            </w:pPr>
            <w:r w:rsidRPr="009B7E9E">
              <w:rPr>
                <w:color w:val="000000"/>
                <w:sz w:val="14"/>
                <w:szCs w:val="14"/>
              </w:rPr>
              <w:t>-</w:t>
            </w:r>
          </w:p>
        </w:tc>
        <w:tc>
          <w:tcPr>
            <w:tcW w:w="709" w:type="dxa"/>
            <w:tcBorders>
              <w:top w:val="nil"/>
              <w:left w:val="nil"/>
              <w:bottom w:val="nil"/>
              <w:right w:val="nil"/>
            </w:tcBorders>
            <w:vAlign w:val="bottom"/>
            <w:hideMark/>
          </w:tcPr>
          <w:p w14:paraId="1DC96103" w14:textId="2EB879DC" w:rsidR="00C45BB6" w:rsidRPr="009B7E9E" w:rsidRDefault="00C45BB6" w:rsidP="00C45BB6">
            <w:pPr>
              <w:jc w:val="right"/>
              <w:rPr>
                <w:color w:val="000000"/>
                <w:sz w:val="14"/>
                <w:szCs w:val="14"/>
              </w:rPr>
            </w:pPr>
            <w:r w:rsidRPr="009B7E9E">
              <w:rPr>
                <w:color w:val="000000"/>
                <w:sz w:val="14"/>
                <w:szCs w:val="14"/>
              </w:rPr>
              <w:t>-</w:t>
            </w:r>
          </w:p>
        </w:tc>
        <w:tc>
          <w:tcPr>
            <w:tcW w:w="639" w:type="dxa"/>
            <w:tcBorders>
              <w:top w:val="nil"/>
              <w:left w:val="nil"/>
              <w:bottom w:val="nil"/>
              <w:right w:val="nil"/>
            </w:tcBorders>
            <w:vAlign w:val="bottom"/>
            <w:hideMark/>
          </w:tcPr>
          <w:p w14:paraId="519B60A5" w14:textId="6AAE4A4D" w:rsidR="00C45BB6" w:rsidRPr="009B7E9E" w:rsidRDefault="00C45BB6" w:rsidP="00C45BB6">
            <w:pPr>
              <w:jc w:val="right"/>
              <w:rPr>
                <w:color w:val="000000"/>
                <w:sz w:val="14"/>
                <w:szCs w:val="14"/>
              </w:rPr>
            </w:pPr>
            <w:r w:rsidRPr="009B7E9E">
              <w:rPr>
                <w:color w:val="000000"/>
                <w:sz w:val="14"/>
                <w:szCs w:val="14"/>
              </w:rPr>
              <w:t>-</w:t>
            </w:r>
          </w:p>
        </w:tc>
        <w:tc>
          <w:tcPr>
            <w:tcW w:w="635" w:type="dxa"/>
            <w:tcBorders>
              <w:top w:val="nil"/>
              <w:left w:val="nil"/>
              <w:bottom w:val="nil"/>
              <w:right w:val="nil"/>
            </w:tcBorders>
            <w:vAlign w:val="bottom"/>
            <w:hideMark/>
          </w:tcPr>
          <w:p w14:paraId="50D76864" w14:textId="3933B737" w:rsidR="00C45BB6" w:rsidRPr="009B7E9E" w:rsidRDefault="00C45BB6" w:rsidP="00C45BB6">
            <w:pPr>
              <w:jc w:val="right"/>
              <w:rPr>
                <w:color w:val="000000"/>
                <w:sz w:val="14"/>
                <w:szCs w:val="14"/>
              </w:rPr>
            </w:pPr>
            <w:r w:rsidRPr="009B7E9E">
              <w:rPr>
                <w:color w:val="000000"/>
                <w:sz w:val="14"/>
                <w:szCs w:val="14"/>
              </w:rPr>
              <w:t>-</w:t>
            </w:r>
          </w:p>
        </w:tc>
        <w:tc>
          <w:tcPr>
            <w:tcW w:w="731" w:type="dxa"/>
            <w:tcBorders>
              <w:top w:val="nil"/>
              <w:left w:val="nil"/>
              <w:bottom w:val="nil"/>
              <w:right w:val="nil"/>
            </w:tcBorders>
            <w:vAlign w:val="bottom"/>
            <w:hideMark/>
          </w:tcPr>
          <w:p w14:paraId="72CCA4FC" w14:textId="3331DCC2" w:rsidR="00C45BB6" w:rsidRPr="009B7E9E" w:rsidRDefault="00C45BB6" w:rsidP="00C45BB6">
            <w:pPr>
              <w:jc w:val="right"/>
              <w:rPr>
                <w:color w:val="000000"/>
                <w:sz w:val="14"/>
                <w:szCs w:val="14"/>
              </w:rPr>
            </w:pPr>
            <w:r w:rsidRPr="009B7E9E">
              <w:rPr>
                <w:color w:val="000000"/>
                <w:sz w:val="14"/>
                <w:szCs w:val="14"/>
              </w:rPr>
              <w:t>-</w:t>
            </w:r>
          </w:p>
        </w:tc>
        <w:tc>
          <w:tcPr>
            <w:tcW w:w="714" w:type="dxa"/>
            <w:tcBorders>
              <w:top w:val="nil"/>
              <w:left w:val="nil"/>
              <w:bottom w:val="nil"/>
              <w:right w:val="nil"/>
            </w:tcBorders>
            <w:vAlign w:val="bottom"/>
            <w:hideMark/>
          </w:tcPr>
          <w:p w14:paraId="2FE23D87" w14:textId="53DCDBEA" w:rsidR="00C45BB6" w:rsidRPr="009B7E9E" w:rsidRDefault="00C45BB6" w:rsidP="00C45BB6">
            <w:pPr>
              <w:jc w:val="right"/>
              <w:rPr>
                <w:color w:val="000000"/>
                <w:sz w:val="14"/>
                <w:szCs w:val="14"/>
              </w:rPr>
            </w:pPr>
            <w:r w:rsidRPr="009B7E9E">
              <w:rPr>
                <w:color w:val="000000"/>
                <w:sz w:val="14"/>
                <w:szCs w:val="14"/>
              </w:rPr>
              <w:t>-</w:t>
            </w:r>
          </w:p>
        </w:tc>
        <w:tc>
          <w:tcPr>
            <w:tcW w:w="835" w:type="dxa"/>
            <w:tcBorders>
              <w:top w:val="nil"/>
              <w:left w:val="nil"/>
              <w:bottom w:val="nil"/>
              <w:right w:val="nil"/>
            </w:tcBorders>
            <w:vAlign w:val="bottom"/>
            <w:hideMark/>
          </w:tcPr>
          <w:p w14:paraId="155F1FC4" w14:textId="62B053C7" w:rsidR="00C45BB6" w:rsidRPr="009B7E9E" w:rsidRDefault="00C45BB6" w:rsidP="00C45BB6">
            <w:pPr>
              <w:jc w:val="right"/>
              <w:rPr>
                <w:color w:val="000000"/>
                <w:sz w:val="14"/>
                <w:szCs w:val="14"/>
              </w:rPr>
            </w:pPr>
            <w:r w:rsidRPr="009B7E9E">
              <w:rPr>
                <w:color w:val="000000"/>
                <w:sz w:val="14"/>
                <w:szCs w:val="14"/>
              </w:rPr>
              <w:t>-</w:t>
            </w:r>
          </w:p>
        </w:tc>
        <w:tc>
          <w:tcPr>
            <w:tcW w:w="709" w:type="dxa"/>
            <w:tcBorders>
              <w:top w:val="nil"/>
              <w:left w:val="nil"/>
              <w:bottom w:val="nil"/>
              <w:right w:val="nil"/>
            </w:tcBorders>
            <w:vAlign w:val="bottom"/>
            <w:hideMark/>
          </w:tcPr>
          <w:p w14:paraId="7D524CC2" w14:textId="6AC917DC" w:rsidR="00C45BB6" w:rsidRPr="009B7E9E" w:rsidRDefault="00C45BB6" w:rsidP="00C45BB6">
            <w:pPr>
              <w:jc w:val="right"/>
              <w:rPr>
                <w:color w:val="000000"/>
                <w:sz w:val="14"/>
                <w:szCs w:val="14"/>
              </w:rPr>
            </w:pPr>
            <w:r w:rsidRPr="009B7E9E">
              <w:rPr>
                <w:color w:val="000000"/>
                <w:sz w:val="14"/>
                <w:szCs w:val="14"/>
              </w:rPr>
              <w:t>-</w:t>
            </w:r>
          </w:p>
        </w:tc>
        <w:tc>
          <w:tcPr>
            <w:tcW w:w="850" w:type="dxa"/>
            <w:tcBorders>
              <w:top w:val="nil"/>
              <w:left w:val="nil"/>
              <w:bottom w:val="nil"/>
              <w:right w:val="nil"/>
            </w:tcBorders>
            <w:vAlign w:val="bottom"/>
            <w:hideMark/>
          </w:tcPr>
          <w:p w14:paraId="5957B545" w14:textId="419E64F6" w:rsidR="00C45BB6" w:rsidRPr="009B7E9E" w:rsidRDefault="00C45BB6" w:rsidP="00C45BB6">
            <w:pPr>
              <w:jc w:val="right"/>
              <w:rPr>
                <w:color w:val="000000"/>
                <w:sz w:val="14"/>
                <w:szCs w:val="14"/>
              </w:rPr>
            </w:pPr>
            <w:r w:rsidRPr="009B7E9E">
              <w:rPr>
                <w:color w:val="000000"/>
                <w:sz w:val="14"/>
                <w:szCs w:val="14"/>
              </w:rPr>
              <w:t>-</w:t>
            </w:r>
          </w:p>
        </w:tc>
        <w:tc>
          <w:tcPr>
            <w:tcW w:w="993" w:type="dxa"/>
            <w:gridSpan w:val="2"/>
            <w:tcBorders>
              <w:top w:val="nil"/>
              <w:left w:val="nil"/>
              <w:bottom w:val="nil"/>
              <w:right w:val="single" w:sz="4" w:space="0" w:color="auto"/>
            </w:tcBorders>
            <w:vAlign w:val="bottom"/>
            <w:hideMark/>
          </w:tcPr>
          <w:p w14:paraId="14D20F94" w14:textId="6FE05204" w:rsidR="00C45BB6" w:rsidRPr="009B7E9E" w:rsidRDefault="00C45BB6" w:rsidP="00C45BB6">
            <w:pPr>
              <w:jc w:val="right"/>
              <w:rPr>
                <w:color w:val="000000"/>
                <w:sz w:val="14"/>
                <w:szCs w:val="14"/>
              </w:rPr>
            </w:pPr>
            <w:r w:rsidRPr="009B7E9E">
              <w:rPr>
                <w:color w:val="000000"/>
                <w:sz w:val="14"/>
                <w:szCs w:val="14"/>
              </w:rPr>
              <w:t>-</w:t>
            </w:r>
          </w:p>
        </w:tc>
      </w:tr>
      <w:tr w:rsidR="00C45BB6" w:rsidRPr="009B7E9E" w14:paraId="707172B7" w14:textId="77777777" w:rsidTr="00C45BB6">
        <w:trPr>
          <w:divId w:val="818616495"/>
          <w:trHeight w:val="113"/>
        </w:trPr>
        <w:tc>
          <w:tcPr>
            <w:tcW w:w="561" w:type="dxa"/>
            <w:tcBorders>
              <w:top w:val="nil"/>
              <w:left w:val="single" w:sz="4" w:space="0" w:color="auto"/>
              <w:bottom w:val="nil"/>
              <w:right w:val="nil"/>
            </w:tcBorders>
            <w:vAlign w:val="center"/>
            <w:hideMark/>
          </w:tcPr>
          <w:p w14:paraId="474790BC" w14:textId="77777777" w:rsidR="00C45BB6" w:rsidRPr="009B7E9E" w:rsidRDefault="00C45BB6" w:rsidP="00C45BB6">
            <w:pPr>
              <w:rPr>
                <w:color w:val="000000"/>
                <w:sz w:val="14"/>
                <w:szCs w:val="14"/>
              </w:rPr>
            </w:pPr>
            <w:r w:rsidRPr="009B7E9E">
              <w:rPr>
                <w:color w:val="000000"/>
                <w:sz w:val="14"/>
                <w:szCs w:val="14"/>
              </w:rPr>
              <w:t>2.2</w:t>
            </w:r>
          </w:p>
        </w:tc>
        <w:tc>
          <w:tcPr>
            <w:tcW w:w="3377" w:type="dxa"/>
            <w:tcBorders>
              <w:top w:val="nil"/>
              <w:left w:val="nil"/>
              <w:bottom w:val="nil"/>
              <w:right w:val="nil"/>
            </w:tcBorders>
            <w:vAlign w:val="center"/>
            <w:hideMark/>
          </w:tcPr>
          <w:p w14:paraId="1F88456E" w14:textId="77777777" w:rsidR="00C45BB6" w:rsidRPr="009B7E9E" w:rsidRDefault="00C45BB6" w:rsidP="00C45BB6">
            <w:pPr>
              <w:rPr>
                <w:color w:val="000000"/>
                <w:sz w:val="14"/>
                <w:szCs w:val="14"/>
              </w:rPr>
            </w:pPr>
            <w:r w:rsidRPr="009B7E9E">
              <w:rPr>
                <w:color w:val="000000"/>
                <w:sz w:val="14"/>
                <w:szCs w:val="14"/>
              </w:rPr>
              <w:t>Muhasebe Politikasında Yapılan Değişikliklerin Etkisi</w:t>
            </w:r>
          </w:p>
        </w:tc>
        <w:tc>
          <w:tcPr>
            <w:tcW w:w="707" w:type="dxa"/>
            <w:tcBorders>
              <w:top w:val="nil"/>
              <w:left w:val="nil"/>
              <w:bottom w:val="nil"/>
              <w:right w:val="nil"/>
            </w:tcBorders>
            <w:vAlign w:val="center"/>
            <w:hideMark/>
          </w:tcPr>
          <w:p w14:paraId="49DC4B3A" w14:textId="77777777" w:rsidR="00C45BB6" w:rsidRPr="009B7E9E" w:rsidRDefault="00C45BB6" w:rsidP="00C45BB6">
            <w:pPr>
              <w:rPr>
                <w:color w:val="000000"/>
                <w:sz w:val="14"/>
                <w:szCs w:val="14"/>
              </w:rPr>
            </w:pPr>
          </w:p>
        </w:tc>
        <w:tc>
          <w:tcPr>
            <w:tcW w:w="851" w:type="dxa"/>
            <w:tcBorders>
              <w:top w:val="nil"/>
              <w:left w:val="nil"/>
              <w:bottom w:val="nil"/>
              <w:right w:val="nil"/>
            </w:tcBorders>
            <w:vAlign w:val="bottom"/>
            <w:hideMark/>
          </w:tcPr>
          <w:p w14:paraId="233EC7BD" w14:textId="142F4486" w:rsidR="00C45BB6" w:rsidRPr="009B7E9E" w:rsidRDefault="00C45BB6" w:rsidP="00C45BB6">
            <w:pPr>
              <w:jc w:val="right"/>
              <w:rPr>
                <w:color w:val="000000"/>
                <w:sz w:val="14"/>
                <w:szCs w:val="14"/>
              </w:rPr>
            </w:pPr>
            <w:r w:rsidRPr="009B7E9E">
              <w:rPr>
                <w:color w:val="000000"/>
                <w:sz w:val="14"/>
                <w:szCs w:val="14"/>
              </w:rPr>
              <w:t>-</w:t>
            </w:r>
          </w:p>
        </w:tc>
        <w:tc>
          <w:tcPr>
            <w:tcW w:w="709" w:type="dxa"/>
            <w:tcBorders>
              <w:top w:val="nil"/>
              <w:left w:val="nil"/>
              <w:bottom w:val="nil"/>
              <w:right w:val="nil"/>
            </w:tcBorders>
            <w:vAlign w:val="bottom"/>
            <w:hideMark/>
          </w:tcPr>
          <w:p w14:paraId="3A816511" w14:textId="506020A8" w:rsidR="00C45BB6" w:rsidRPr="009B7E9E" w:rsidRDefault="00C45BB6" w:rsidP="00C45BB6">
            <w:pPr>
              <w:jc w:val="right"/>
              <w:rPr>
                <w:color w:val="000000"/>
                <w:sz w:val="14"/>
                <w:szCs w:val="14"/>
              </w:rPr>
            </w:pPr>
            <w:r w:rsidRPr="009B7E9E">
              <w:rPr>
                <w:color w:val="000000"/>
                <w:sz w:val="14"/>
                <w:szCs w:val="14"/>
              </w:rPr>
              <w:t>-</w:t>
            </w:r>
          </w:p>
        </w:tc>
        <w:tc>
          <w:tcPr>
            <w:tcW w:w="708" w:type="dxa"/>
            <w:tcBorders>
              <w:top w:val="nil"/>
              <w:left w:val="nil"/>
              <w:bottom w:val="nil"/>
              <w:right w:val="nil"/>
            </w:tcBorders>
            <w:vAlign w:val="bottom"/>
            <w:hideMark/>
          </w:tcPr>
          <w:p w14:paraId="110F1AFD" w14:textId="109C8372" w:rsidR="00C45BB6" w:rsidRPr="009B7E9E" w:rsidRDefault="00C45BB6" w:rsidP="00C45BB6">
            <w:pPr>
              <w:jc w:val="right"/>
              <w:rPr>
                <w:color w:val="000000"/>
                <w:sz w:val="14"/>
                <w:szCs w:val="14"/>
              </w:rPr>
            </w:pPr>
            <w:r w:rsidRPr="009B7E9E">
              <w:rPr>
                <w:color w:val="000000"/>
                <w:sz w:val="14"/>
                <w:szCs w:val="14"/>
              </w:rPr>
              <w:t>-</w:t>
            </w:r>
          </w:p>
        </w:tc>
        <w:tc>
          <w:tcPr>
            <w:tcW w:w="724" w:type="dxa"/>
            <w:tcBorders>
              <w:top w:val="nil"/>
              <w:left w:val="nil"/>
              <w:bottom w:val="nil"/>
              <w:right w:val="nil"/>
            </w:tcBorders>
            <w:vAlign w:val="bottom"/>
            <w:hideMark/>
          </w:tcPr>
          <w:p w14:paraId="0B8B1F46" w14:textId="35224150" w:rsidR="00C45BB6" w:rsidRPr="009B7E9E" w:rsidRDefault="00C45BB6" w:rsidP="00C45BB6">
            <w:pPr>
              <w:jc w:val="right"/>
              <w:rPr>
                <w:color w:val="000000"/>
                <w:sz w:val="14"/>
                <w:szCs w:val="14"/>
              </w:rPr>
            </w:pPr>
            <w:r w:rsidRPr="009B7E9E">
              <w:rPr>
                <w:color w:val="000000"/>
                <w:sz w:val="14"/>
                <w:szCs w:val="14"/>
              </w:rPr>
              <w:t>-</w:t>
            </w:r>
          </w:p>
        </w:tc>
        <w:tc>
          <w:tcPr>
            <w:tcW w:w="575" w:type="dxa"/>
            <w:tcBorders>
              <w:top w:val="nil"/>
              <w:left w:val="nil"/>
              <w:bottom w:val="nil"/>
              <w:right w:val="nil"/>
            </w:tcBorders>
            <w:vAlign w:val="bottom"/>
            <w:hideMark/>
          </w:tcPr>
          <w:p w14:paraId="733B7F38" w14:textId="20EFD837" w:rsidR="00C45BB6" w:rsidRPr="009B7E9E" w:rsidRDefault="00C45BB6" w:rsidP="00C45BB6">
            <w:pPr>
              <w:jc w:val="right"/>
              <w:rPr>
                <w:color w:val="000000"/>
                <w:sz w:val="14"/>
                <w:szCs w:val="14"/>
              </w:rPr>
            </w:pPr>
            <w:r w:rsidRPr="009B7E9E">
              <w:rPr>
                <w:color w:val="000000"/>
                <w:sz w:val="14"/>
                <w:szCs w:val="14"/>
              </w:rPr>
              <w:t>-</w:t>
            </w:r>
          </w:p>
        </w:tc>
        <w:tc>
          <w:tcPr>
            <w:tcW w:w="709" w:type="dxa"/>
            <w:tcBorders>
              <w:top w:val="nil"/>
              <w:left w:val="nil"/>
              <w:bottom w:val="nil"/>
              <w:right w:val="nil"/>
            </w:tcBorders>
            <w:vAlign w:val="bottom"/>
            <w:hideMark/>
          </w:tcPr>
          <w:p w14:paraId="4C8C696D" w14:textId="29954223" w:rsidR="00C45BB6" w:rsidRPr="009B7E9E" w:rsidRDefault="00C45BB6" w:rsidP="00C45BB6">
            <w:pPr>
              <w:jc w:val="right"/>
              <w:rPr>
                <w:color w:val="000000"/>
                <w:sz w:val="14"/>
                <w:szCs w:val="14"/>
              </w:rPr>
            </w:pPr>
            <w:r w:rsidRPr="009B7E9E">
              <w:rPr>
                <w:color w:val="000000"/>
                <w:sz w:val="14"/>
                <w:szCs w:val="14"/>
              </w:rPr>
              <w:t>-</w:t>
            </w:r>
          </w:p>
        </w:tc>
        <w:tc>
          <w:tcPr>
            <w:tcW w:w="639" w:type="dxa"/>
            <w:tcBorders>
              <w:top w:val="nil"/>
              <w:left w:val="nil"/>
              <w:bottom w:val="nil"/>
              <w:right w:val="nil"/>
            </w:tcBorders>
            <w:vAlign w:val="bottom"/>
            <w:hideMark/>
          </w:tcPr>
          <w:p w14:paraId="41B54B98" w14:textId="32139298" w:rsidR="00C45BB6" w:rsidRPr="009B7E9E" w:rsidRDefault="00C45BB6" w:rsidP="00C45BB6">
            <w:pPr>
              <w:jc w:val="right"/>
              <w:rPr>
                <w:color w:val="000000"/>
                <w:sz w:val="14"/>
                <w:szCs w:val="14"/>
              </w:rPr>
            </w:pPr>
            <w:r w:rsidRPr="009B7E9E">
              <w:rPr>
                <w:color w:val="000000"/>
                <w:sz w:val="14"/>
                <w:szCs w:val="14"/>
              </w:rPr>
              <w:t>-</w:t>
            </w:r>
          </w:p>
        </w:tc>
        <w:tc>
          <w:tcPr>
            <w:tcW w:w="635" w:type="dxa"/>
            <w:tcBorders>
              <w:top w:val="nil"/>
              <w:left w:val="nil"/>
              <w:bottom w:val="nil"/>
              <w:right w:val="nil"/>
            </w:tcBorders>
            <w:vAlign w:val="bottom"/>
            <w:hideMark/>
          </w:tcPr>
          <w:p w14:paraId="6321ED9E" w14:textId="6F0EDE29" w:rsidR="00C45BB6" w:rsidRPr="009B7E9E" w:rsidRDefault="00C45BB6" w:rsidP="00C45BB6">
            <w:pPr>
              <w:jc w:val="right"/>
              <w:rPr>
                <w:color w:val="000000"/>
                <w:sz w:val="14"/>
                <w:szCs w:val="14"/>
              </w:rPr>
            </w:pPr>
            <w:r w:rsidRPr="009B7E9E">
              <w:rPr>
                <w:color w:val="000000"/>
                <w:sz w:val="14"/>
                <w:szCs w:val="14"/>
              </w:rPr>
              <w:t>-</w:t>
            </w:r>
          </w:p>
        </w:tc>
        <w:tc>
          <w:tcPr>
            <w:tcW w:w="731" w:type="dxa"/>
            <w:tcBorders>
              <w:top w:val="nil"/>
              <w:left w:val="nil"/>
              <w:bottom w:val="nil"/>
              <w:right w:val="nil"/>
            </w:tcBorders>
            <w:vAlign w:val="bottom"/>
            <w:hideMark/>
          </w:tcPr>
          <w:p w14:paraId="27A5B9B7" w14:textId="12A8C2C9" w:rsidR="00C45BB6" w:rsidRPr="009B7E9E" w:rsidRDefault="00C45BB6" w:rsidP="00C45BB6">
            <w:pPr>
              <w:jc w:val="right"/>
              <w:rPr>
                <w:color w:val="000000"/>
                <w:sz w:val="14"/>
                <w:szCs w:val="14"/>
              </w:rPr>
            </w:pPr>
            <w:r w:rsidRPr="009B7E9E">
              <w:rPr>
                <w:color w:val="000000"/>
                <w:sz w:val="14"/>
                <w:szCs w:val="14"/>
              </w:rPr>
              <w:t>-</w:t>
            </w:r>
          </w:p>
        </w:tc>
        <w:tc>
          <w:tcPr>
            <w:tcW w:w="714" w:type="dxa"/>
            <w:tcBorders>
              <w:top w:val="nil"/>
              <w:left w:val="nil"/>
              <w:bottom w:val="nil"/>
              <w:right w:val="nil"/>
            </w:tcBorders>
            <w:vAlign w:val="bottom"/>
            <w:hideMark/>
          </w:tcPr>
          <w:p w14:paraId="1BD269DD" w14:textId="536BB517" w:rsidR="00C45BB6" w:rsidRPr="009B7E9E" w:rsidRDefault="00C45BB6" w:rsidP="00C45BB6">
            <w:pPr>
              <w:jc w:val="right"/>
              <w:rPr>
                <w:color w:val="000000"/>
                <w:sz w:val="14"/>
                <w:szCs w:val="14"/>
              </w:rPr>
            </w:pPr>
            <w:r w:rsidRPr="009B7E9E">
              <w:rPr>
                <w:color w:val="000000"/>
                <w:sz w:val="14"/>
                <w:szCs w:val="14"/>
              </w:rPr>
              <w:t>-</w:t>
            </w:r>
          </w:p>
        </w:tc>
        <w:tc>
          <w:tcPr>
            <w:tcW w:w="835" w:type="dxa"/>
            <w:tcBorders>
              <w:top w:val="nil"/>
              <w:left w:val="nil"/>
              <w:bottom w:val="nil"/>
              <w:right w:val="nil"/>
            </w:tcBorders>
            <w:vAlign w:val="bottom"/>
            <w:hideMark/>
          </w:tcPr>
          <w:p w14:paraId="72340897" w14:textId="69661540" w:rsidR="00C45BB6" w:rsidRPr="009B7E9E" w:rsidRDefault="00C45BB6" w:rsidP="00C45BB6">
            <w:pPr>
              <w:jc w:val="right"/>
              <w:rPr>
                <w:color w:val="000000"/>
                <w:sz w:val="14"/>
                <w:szCs w:val="14"/>
              </w:rPr>
            </w:pPr>
            <w:r w:rsidRPr="009B7E9E">
              <w:rPr>
                <w:color w:val="000000"/>
                <w:sz w:val="14"/>
                <w:szCs w:val="14"/>
              </w:rPr>
              <w:t>-</w:t>
            </w:r>
          </w:p>
        </w:tc>
        <w:tc>
          <w:tcPr>
            <w:tcW w:w="709" w:type="dxa"/>
            <w:tcBorders>
              <w:top w:val="nil"/>
              <w:left w:val="nil"/>
              <w:bottom w:val="nil"/>
              <w:right w:val="nil"/>
            </w:tcBorders>
            <w:vAlign w:val="bottom"/>
            <w:hideMark/>
          </w:tcPr>
          <w:p w14:paraId="513A89BB" w14:textId="125F7A1D" w:rsidR="00C45BB6" w:rsidRPr="009B7E9E" w:rsidRDefault="00C45BB6" w:rsidP="00C45BB6">
            <w:pPr>
              <w:jc w:val="right"/>
              <w:rPr>
                <w:color w:val="000000"/>
                <w:sz w:val="14"/>
                <w:szCs w:val="14"/>
              </w:rPr>
            </w:pPr>
            <w:r w:rsidRPr="009B7E9E">
              <w:rPr>
                <w:color w:val="000000"/>
                <w:sz w:val="14"/>
                <w:szCs w:val="14"/>
              </w:rPr>
              <w:t>20.338</w:t>
            </w:r>
          </w:p>
        </w:tc>
        <w:tc>
          <w:tcPr>
            <w:tcW w:w="850" w:type="dxa"/>
            <w:tcBorders>
              <w:top w:val="nil"/>
              <w:left w:val="nil"/>
              <w:bottom w:val="nil"/>
              <w:right w:val="nil"/>
            </w:tcBorders>
            <w:vAlign w:val="bottom"/>
            <w:hideMark/>
          </w:tcPr>
          <w:p w14:paraId="4DC2B4F5" w14:textId="6A9ECD46" w:rsidR="00C45BB6" w:rsidRPr="009B7E9E" w:rsidRDefault="00C45BB6" w:rsidP="00C45BB6">
            <w:pPr>
              <w:jc w:val="right"/>
              <w:rPr>
                <w:color w:val="000000"/>
                <w:sz w:val="14"/>
                <w:szCs w:val="14"/>
              </w:rPr>
            </w:pPr>
            <w:r w:rsidRPr="009B7E9E">
              <w:rPr>
                <w:color w:val="000000"/>
                <w:sz w:val="14"/>
                <w:szCs w:val="14"/>
              </w:rPr>
              <w:t>-</w:t>
            </w:r>
          </w:p>
        </w:tc>
        <w:tc>
          <w:tcPr>
            <w:tcW w:w="993" w:type="dxa"/>
            <w:gridSpan w:val="2"/>
            <w:tcBorders>
              <w:top w:val="nil"/>
              <w:left w:val="nil"/>
              <w:bottom w:val="nil"/>
              <w:right w:val="single" w:sz="4" w:space="0" w:color="auto"/>
            </w:tcBorders>
            <w:vAlign w:val="bottom"/>
            <w:hideMark/>
          </w:tcPr>
          <w:p w14:paraId="41A4F5AB" w14:textId="536397A1" w:rsidR="00C45BB6" w:rsidRPr="009B7E9E" w:rsidRDefault="00C45BB6" w:rsidP="00C45BB6">
            <w:pPr>
              <w:jc w:val="right"/>
              <w:rPr>
                <w:color w:val="000000"/>
                <w:sz w:val="14"/>
                <w:szCs w:val="14"/>
              </w:rPr>
            </w:pPr>
            <w:r w:rsidRPr="009B7E9E">
              <w:rPr>
                <w:color w:val="000000"/>
                <w:sz w:val="14"/>
                <w:szCs w:val="14"/>
              </w:rPr>
              <w:t>20.338</w:t>
            </w:r>
          </w:p>
        </w:tc>
      </w:tr>
      <w:tr w:rsidR="00C45BB6" w:rsidRPr="009B7E9E" w14:paraId="7665C68E" w14:textId="77777777" w:rsidTr="00C45BB6">
        <w:trPr>
          <w:divId w:val="818616495"/>
          <w:trHeight w:val="113"/>
        </w:trPr>
        <w:tc>
          <w:tcPr>
            <w:tcW w:w="561" w:type="dxa"/>
            <w:tcBorders>
              <w:top w:val="nil"/>
              <w:left w:val="single" w:sz="4" w:space="0" w:color="auto"/>
              <w:bottom w:val="nil"/>
              <w:right w:val="nil"/>
            </w:tcBorders>
            <w:vAlign w:val="center"/>
            <w:hideMark/>
          </w:tcPr>
          <w:p w14:paraId="4B4ACF44" w14:textId="77777777" w:rsidR="00C45BB6" w:rsidRPr="009B7E9E" w:rsidRDefault="00C45BB6" w:rsidP="00C45BB6">
            <w:pPr>
              <w:rPr>
                <w:b/>
                <w:bCs/>
                <w:color w:val="000000"/>
                <w:sz w:val="14"/>
                <w:szCs w:val="14"/>
              </w:rPr>
            </w:pPr>
            <w:r w:rsidRPr="009B7E9E">
              <w:rPr>
                <w:b/>
                <w:bCs/>
                <w:color w:val="000000"/>
                <w:sz w:val="14"/>
                <w:szCs w:val="14"/>
              </w:rPr>
              <w:t>III.</w:t>
            </w:r>
          </w:p>
        </w:tc>
        <w:tc>
          <w:tcPr>
            <w:tcW w:w="3377" w:type="dxa"/>
            <w:tcBorders>
              <w:top w:val="nil"/>
              <w:left w:val="nil"/>
              <w:bottom w:val="nil"/>
              <w:right w:val="nil"/>
            </w:tcBorders>
            <w:vAlign w:val="center"/>
            <w:hideMark/>
          </w:tcPr>
          <w:p w14:paraId="0FFE360D" w14:textId="77777777" w:rsidR="00C45BB6" w:rsidRPr="009B7E9E" w:rsidRDefault="00C45BB6" w:rsidP="00C45BB6">
            <w:pPr>
              <w:rPr>
                <w:b/>
                <w:bCs/>
                <w:color w:val="000000"/>
                <w:sz w:val="14"/>
                <w:szCs w:val="14"/>
              </w:rPr>
            </w:pPr>
            <w:r w:rsidRPr="009B7E9E">
              <w:rPr>
                <w:b/>
                <w:bCs/>
                <w:color w:val="000000"/>
                <w:sz w:val="14"/>
                <w:szCs w:val="14"/>
              </w:rPr>
              <w:t>Yeni Bakiye (I+II)</w:t>
            </w:r>
          </w:p>
        </w:tc>
        <w:tc>
          <w:tcPr>
            <w:tcW w:w="707" w:type="dxa"/>
            <w:tcBorders>
              <w:top w:val="nil"/>
              <w:left w:val="nil"/>
              <w:bottom w:val="nil"/>
              <w:right w:val="nil"/>
            </w:tcBorders>
            <w:vAlign w:val="center"/>
            <w:hideMark/>
          </w:tcPr>
          <w:p w14:paraId="266C5C1A" w14:textId="77777777" w:rsidR="00C45BB6" w:rsidRPr="009B7E9E" w:rsidRDefault="00C45BB6" w:rsidP="00C45BB6">
            <w:pPr>
              <w:rPr>
                <w:b/>
                <w:bCs/>
                <w:color w:val="000000"/>
                <w:sz w:val="14"/>
                <w:szCs w:val="14"/>
              </w:rPr>
            </w:pPr>
          </w:p>
        </w:tc>
        <w:tc>
          <w:tcPr>
            <w:tcW w:w="851" w:type="dxa"/>
            <w:tcBorders>
              <w:top w:val="nil"/>
              <w:left w:val="nil"/>
              <w:bottom w:val="nil"/>
              <w:right w:val="nil"/>
            </w:tcBorders>
            <w:vAlign w:val="bottom"/>
            <w:hideMark/>
          </w:tcPr>
          <w:p w14:paraId="261620F2" w14:textId="201F68DC" w:rsidR="00C45BB6" w:rsidRPr="009B7E9E" w:rsidRDefault="00C45BB6" w:rsidP="00C45BB6">
            <w:pPr>
              <w:jc w:val="right"/>
              <w:rPr>
                <w:b/>
                <w:bCs/>
                <w:color w:val="000000"/>
                <w:sz w:val="14"/>
                <w:szCs w:val="14"/>
              </w:rPr>
            </w:pPr>
            <w:r w:rsidRPr="009B7E9E">
              <w:rPr>
                <w:b/>
                <w:bCs/>
                <w:color w:val="000000"/>
                <w:sz w:val="14"/>
                <w:szCs w:val="14"/>
              </w:rPr>
              <w:t>5.999.337</w:t>
            </w:r>
          </w:p>
        </w:tc>
        <w:tc>
          <w:tcPr>
            <w:tcW w:w="709" w:type="dxa"/>
            <w:tcBorders>
              <w:top w:val="nil"/>
              <w:left w:val="nil"/>
              <w:bottom w:val="nil"/>
              <w:right w:val="nil"/>
            </w:tcBorders>
            <w:vAlign w:val="bottom"/>
            <w:hideMark/>
          </w:tcPr>
          <w:p w14:paraId="39FAB30A" w14:textId="434958EF" w:rsidR="00C45BB6" w:rsidRPr="009B7E9E" w:rsidRDefault="00C45BB6" w:rsidP="00C45BB6">
            <w:pPr>
              <w:jc w:val="right"/>
              <w:rPr>
                <w:b/>
                <w:bCs/>
                <w:color w:val="000000"/>
                <w:sz w:val="14"/>
                <w:szCs w:val="14"/>
              </w:rPr>
            </w:pPr>
            <w:r w:rsidRPr="009B7E9E">
              <w:rPr>
                <w:b/>
                <w:bCs/>
                <w:color w:val="000000"/>
                <w:sz w:val="14"/>
                <w:szCs w:val="14"/>
              </w:rPr>
              <w:t>-</w:t>
            </w:r>
          </w:p>
        </w:tc>
        <w:tc>
          <w:tcPr>
            <w:tcW w:w="708" w:type="dxa"/>
            <w:tcBorders>
              <w:top w:val="nil"/>
              <w:left w:val="nil"/>
              <w:bottom w:val="nil"/>
              <w:right w:val="nil"/>
            </w:tcBorders>
            <w:vAlign w:val="bottom"/>
            <w:hideMark/>
          </w:tcPr>
          <w:p w14:paraId="61B35947" w14:textId="55D23A1F" w:rsidR="00C45BB6" w:rsidRPr="009B7E9E" w:rsidRDefault="00C45BB6" w:rsidP="00C45BB6">
            <w:pPr>
              <w:jc w:val="right"/>
              <w:rPr>
                <w:b/>
                <w:bCs/>
                <w:color w:val="000000"/>
                <w:sz w:val="14"/>
                <w:szCs w:val="14"/>
              </w:rPr>
            </w:pPr>
            <w:r w:rsidRPr="009B7E9E">
              <w:rPr>
                <w:b/>
                <w:bCs/>
                <w:color w:val="000000"/>
                <w:sz w:val="14"/>
                <w:szCs w:val="14"/>
              </w:rPr>
              <w:t>-</w:t>
            </w:r>
          </w:p>
        </w:tc>
        <w:tc>
          <w:tcPr>
            <w:tcW w:w="724" w:type="dxa"/>
            <w:tcBorders>
              <w:top w:val="nil"/>
              <w:left w:val="nil"/>
              <w:bottom w:val="nil"/>
              <w:right w:val="nil"/>
            </w:tcBorders>
            <w:vAlign w:val="bottom"/>
            <w:hideMark/>
          </w:tcPr>
          <w:p w14:paraId="3874E00C" w14:textId="672FD838" w:rsidR="00C45BB6" w:rsidRPr="009B7E9E" w:rsidRDefault="00C45BB6" w:rsidP="00C45BB6">
            <w:pPr>
              <w:jc w:val="right"/>
              <w:rPr>
                <w:b/>
                <w:bCs/>
                <w:color w:val="000000"/>
                <w:sz w:val="14"/>
                <w:szCs w:val="14"/>
              </w:rPr>
            </w:pPr>
            <w:r w:rsidRPr="009B7E9E">
              <w:rPr>
                <w:b/>
                <w:bCs/>
                <w:color w:val="000000"/>
                <w:sz w:val="14"/>
                <w:szCs w:val="14"/>
              </w:rPr>
              <w:t>-</w:t>
            </w:r>
          </w:p>
        </w:tc>
        <w:tc>
          <w:tcPr>
            <w:tcW w:w="575" w:type="dxa"/>
            <w:tcBorders>
              <w:top w:val="nil"/>
              <w:left w:val="nil"/>
              <w:bottom w:val="nil"/>
              <w:right w:val="nil"/>
            </w:tcBorders>
            <w:vAlign w:val="bottom"/>
            <w:hideMark/>
          </w:tcPr>
          <w:p w14:paraId="76C3EB5F" w14:textId="18A8F382" w:rsidR="00C45BB6" w:rsidRPr="009B7E9E" w:rsidRDefault="00C45BB6" w:rsidP="00C45BB6">
            <w:pPr>
              <w:jc w:val="right"/>
              <w:rPr>
                <w:b/>
                <w:bCs/>
                <w:color w:val="000000"/>
                <w:sz w:val="14"/>
                <w:szCs w:val="14"/>
              </w:rPr>
            </w:pPr>
            <w:r w:rsidRPr="009B7E9E">
              <w:rPr>
                <w:b/>
                <w:bCs/>
                <w:color w:val="000000"/>
                <w:sz w:val="14"/>
                <w:szCs w:val="14"/>
              </w:rPr>
              <w:t>-</w:t>
            </w:r>
          </w:p>
        </w:tc>
        <w:tc>
          <w:tcPr>
            <w:tcW w:w="709" w:type="dxa"/>
            <w:tcBorders>
              <w:top w:val="nil"/>
              <w:left w:val="nil"/>
              <w:bottom w:val="nil"/>
              <w:right w:val="nil"/>
            </w:tcBorders>
            <w:vAlign w:val="bottom"/>
            <w:hideMark/>
          </w:tcPr>
          <w:p w14:paraId="5529927F" w14:textId="21920DE0" w:rsidR="00C45BB6" w:rsidRPr="009B7E9E" w:rsidRDefault="00C45BB6" w:rsidP="00C45BB6">
            <w:pPr>
              <w:jc w:val="right"/>
              <w:rPr>
                <w:b/>
                <w:bCs/>
                <w:color w:val="000000"/>
                <w:sz w:val="14"/>
                <w:szCs w:val="14"/>
              </w:rPr>
            </w:pPr>
            <w:r w:rsidRPr="009B7E9E">
              <w:rPr>
                <w:b/>
                <w:bCs/>
                <w:color w:val="000000"/>
                <w:sz w:val="14"/>
                <w:szCs w:val="14"/>
              </w:rPr>
              <w:t>(6.144)</w:t>
            </w:r>
          </w:p>
        </w:tc>
        <w:tc>
          <w:tcPr>
            <w:tcW w:w="639" w:type="dxa"/>
            <w:tcBorders>
              <w:top w:val="nil"/>
              <w:left w:val="nil"/>
              <w:bottom w:val="nil"/>
              <w:right w:val="nil"/>
            </w:tcBorders>
            <w:vAlign w:val="bottom"/>
            <w:hideMark/>
          </w:tcPr>
          <w:p w14:paraId="36E5FD0F" w14:textId="3E2DC547" w:rsidR="00C45BB6" w:rsidRPr="009B7E9E" w:rsidRDefault="00C45BB6" w:rsidP="00C45BB6">
            <w:pPr>
              <w:jc w:val="right"/>
              <w:rPr>
                <w:b/>
                <w:bCs/>
                <w:color w:val="000000"/>
                <w:sz w:val="14"/>
                <w:szCs w:val="14"/>
              </w:rPr>
            </w:pPr>
            <w:r w:rsidRPr="009B7E9E">
              <w:rPr>
                <w:b/>
                <w:bCs/>
                <w:color w:val="000000"/>
                <w:sz w:val="14"/>
                <w:szCs w:val="14"/>
              </w:rPr>
              <w:t>-</w:t>
            </w:r>
          </w:p>
        </w:tc>
        <w:tc>
          <w:tcPr>
            <w:tcW w:w="635" w:type="dxa"/>
            <w:tcBorders>
              <w:top w:val="nil"/>
              <w:left w:val="nil"/>
              <w:bottom w:val="nil"/>
              <w:right w:val="nil"/>
            </w:tcBorders>
            <w:vAlign w:val="bottom"/>
            <w:hideMark/>
          </w:tcPr>
          <w:p w14:paraId="302A0A02" w14:textId="062933B3" w:rsidR="00C45BB6" w:rsidRPr="009B7E9E" w:rsidRDefault="00C45BB6" w:rsidP="00C45BB6">
            <w:pPr>
              <w:jc w:val="right"/>
              <w:rPr>
                <w:b/>
                <w:bCs/>
                <w:color w:val="000000"/>
                <w:sz w:val="14"/>
                <w:szCs w:val="14"/>
              </w:rPr>
            </w:pPr>
            <w:r w:rsidRPr="009B7E9E">
              <w:rPr>
                <w:b/>
                <w:bCs/>
                <w:color w:val="000000"/>
                <w:sz w:val="14"/>
                <w:szCs w:val="14"/>
              </w:rPr>
              <w:t>-</w:t>
            </w:r>
          </w:p>
        </w:tc>
        <w:tc>
          <w:tcPr>
            <w:tcW w:w="731" w:type="dxa"/>
            <w:tcBorders>
              <w:top w:val="nil"/>
              <w:left w:val="nil"/>
              <w:bottom w:val="nil"/>
              <w:right w:val="nil"/>
            </w:tcBorders>
            <w:vAlign w:val="bottom"/>
            <w:hideMark/>
          </w:tcPr>
          <w:p w14:paraId="57CEB53C" w14:textId="26094C66" w:rsidR="00C45BB6" w:rsidRPr="009B7E9E" w:rsidRDefault="00C45BB6" w:rsidP="00C45BB6">
            <w:pPr>
              <w:jc w:val="right"/>
              <w:rPr>
                <w:b/>
                <w:bCs/>
                <w:color w:val="000000"/>
                <w:sz w:val="14"/>
                <w:szCs w:val="14"/>
              </w:rPr>
            </w:pPr>
            <w:r w:rsidRPr="009B7E9E">
              <w:rPr>
                <w:b/>
                <w:bCs/>
                <w:color w:val="000000"/>
                <w:sz w:val="14"/>
                <w:szCs w:val="14"/>
              </w:rPr>
              <w:t>8.303</w:t>
            </w:r>
          </w:p>
        </w:tc>
        <w:tc>
          <w:tcPr>
            <w:tcW w:w="714" w:type="dxa"/>
            <w:tcBorders>
              <w:top w:val="nil"/>
              <w:left w:val="nil"/>
              <w:bottom w:val="nil"/>
              <w:right w:val="nil"/>
            </w:tcBorders>
            <w:vAlign w:val="bottom"/>
            <w:hideMark/>
          </w:tcPr>
          <w:p w14:paraId="300B95B7" w14:textId="0AA664E0" w:rsidR="00C45BB6" w:rsidRPr="009B7E9E" w:rsidRDefault="00C45BB6" w:rsidP="00C45BB6">
            <w:pPr>
              <w:jc w:val="right"/>
              <w:rPr>
                <w:b/>
                <w:bCs/>
                <w:color w:val="000000"/>
                <w:sz w:val="14"/>
                <w:szCs w:val="14"/>
              </w:rPr>
            </w:pPr>
            <w:r w:rsidRPr="009B7E9E">
              <w:rPr>
                <w:b/>
                <w:bCs/>
                <w:color w:val="000000"/>
                <w:sz w:val="14"/>
                <w:szCs w:val="14"/>
              </w:rPr>
              <w:t>-</w:t>
            </w:r>
          </w:p>
        </w:tc>
        <w:tc>
          <w:tcPr>
            <w:tcW w:w="835" w:type="dxa"/>
            <w:tcBorders>
              <w:top w:val="nil"/>
              <w:left w:val="nil"/>
              <w:bottom w:val="nil"/>
              <w:right w:val="nil"/>
            </w:tcBorders>
            <w:vAlign w:val="bottom"/>
            <w:hideMark/>
          </w:tcPr>
          <w:p w14:paraId="477B5BEE" w14:textId="28957FFE" w:rsidR="00C45BB6" w:rsidRPr="009B7E9E" w:rsidRDefault="00C45BB6" w:rsidP="00C45BB6">
            <w:pPr>
              <w:jc w:val="right"/>
              <w:rPr>
                <w:b/>
                <w:bCs/>
                <w:color w:val="000000"/>
                <w:sz w:val="14"/>
                <w:szCs w:val="14"/>
              </w:rPr>
            </w:pPr>
            <w:r w:rsidRPr="009B7E9E">
              <w:rPr>
                <w:b/>
                <w:bCs/>
                <w:color w:val="000000"/>
                <w:sz w:val="14"/>
                <w:szCs w:val="14"/>
              </w:rPr>
              <w:t>-</w:t>
            </w:r>
          </w:p>
        </w:tc>
        <w:tc>
          <w:tcPr>
            <w:tcW w:w="709" w:type="dxa"/>
            <w:tcBorders>
              <w:top w:val="nil"/>
              <w:left w:val="nil"/>
              <w:bottom w:val="nil"/>
              <w:right w:val="nil"/>
            </w:tcBorders>
            <w:vAlign w:val="bottom"/>
            <w:hideMark/>
          </w:tcPr>
          <w:p w14:paraId="62829A1E" w14:textId="03FD966D" w:rsidR="00C45BB6" w:rsidRPr="009B7E9E" w:rsidRDefault="00C45BB6" w:rsidP="00C45BB6">
            <w:pPr>
              <w:jc w:val="right"/>
              <w:rPr>
                <w:b/>
                <w:bCs/>
                <w:color w:val="000000"/>
                <w:sz w:val="14"/>
                <w:szCs w:val="14"/>
              </w:rPr>
            </w:pPr>
            <w:r w:rsidRPr="009B7E9E">
              <w:rPr>
                <w:b/>
                <w:bCs/>
                <w:color w:val="000000"/>
                <w:sz w:val="14"/>
                <w:szCs w:val="14"/>
              </w:rPr>
              <w:t>7.290</w:t>
            </w:r>
          </w:p>
        </w:tc>
        <w:tc>
          <w:tcPr>
            <w:tcW w:w="850" w:type="dxa"/>
            <w:tcBorders>
              <w:top w:val="nil"/>
              <w:left w:val="nil"/>
              <w:bottom w:val="nil"/>
              <w:right w:val="nil"/>
            </w:tcBorders>
            <w:vAlign w:val="bottom"/>
            <w:hideMark/>
          </w:tcPr>
          <w:p w14:paraId="475F56E0" w14:textId="051314E0" w:rsidR="00C45BB6" w:rsidRPr="009B7E9E" w:rsidRDefault="00C45BB6" w:rsidP="00C45BB6">
            <w:pPr>
              <w:jc w:val="right"/>
              <w:rPr>
                <w:b/>
                <w:bCs/>
                <w:color w:val="000000"/>
                <w:sz w:val="14"/>
                <w:szCs w:val="14"/>
              </w:rPr>
            </w:pPr>
            <w:r w:rsidRPr="009B7E9E">
              <w:rPr>
                <w:b/>
                <w:bCs/>
                <w:color w:val="000000"/>
                <w:sz w:val="14"/>
                <w:szCs w:val="14"/>
              </w:rPr>
              <w:t>1.353.642</w:t>
            </w:r>
          </w:p>
        </w:tc>
        <w:tc>
          <w:tcPr>
            <w:tcW w:w="993" w:type="dxa"/>
            <w:gridSpan w:val="2"/>
            <w:tcBorders>
              <w:top w:val="nil"/>
              <w:left w:val="nil"/>
              <w:bottom w:val="nil"/>
              <w:right w:val="single" w:sz="4" w:space="0" w:color="auto"/>
            </w:tcBorders>
            <w:vAlign w:val="bottom"/>
            <w:hideMark/>
          </w:tcPr>
          <w:p w14:paraId="2F94B162" w14:textId="56BBE5E7" w:rsidR="00C45BB6" w:rsidRPr="009B7E9E" w:rsidRDefault="00C45BB6" w:rsidP="00C45BB6">
            <w:pPr>
              <w:jc w:val="right"/>
              <w:rPr>
                <w:b/>
                <w:bCs/>
                <w:color w:val="000000"/>
                <w:sz w:val="14"/>
                <w:szCs w:val="14"/>
              </w:rPr>
            </w:pPr>
            <w:r w:rsidRPr="009B7E9E">
              <w:rPr>
                <w:b/>
                <w:bCs/>
                <w:color w:val="000000"/>
                <w:sz w:val="14"/>
                <w:szCs w:val="14"/>
              </w:rPr>
              <w:t>7.362.428</w:t>
            </w:r>
          </w:p>
        </w:tc>
      </w:tr>
      <w:tr w:rsidR="00C45BB6" w:rsidRPr="009B7E9E" w14:paraId="3A2DD48B" w14:textId="77777777" w:rsidTr="00C45BB6">
        <w:trPr>
          <w:divId w:val="818616495"/>
          <w:trHeight w:val="113"/>
        </w:trPr>
        <w:tc>
          <w:tcPr>
            <w:tcW w:w="561" w:type="dxa"/>
            <w:tcBorders>
              <w:top w:val="nil"/>
              <w:left w:val="single" w:sz="4" w:space="0" w:color="auto"/>
              <w:bottom w:val="nil"/>
              <w:right w:val="nil"/>
            </w:tcBorders>
            <w:vAlign w:val="center"/>
            <w:hideMark/>
          </w:tcPr>
          <w:p w14:paraId="397F1A24" w14:textId="77777777" w:rsidR="00C45BB6" w:rsidRPr="009B7E9E" w:rsidRDefault="00C45BB6" w:rsidP="00C45BB6">
            <w:pPr>
              <w:rPr>
                <w:b/>
                <w:bCs/>
                <w:color w:val="000000"/>
                <w:sz w:val="14"/>
                <w:szCs w:val="14"/>
              </w:rPr>
            </w:pPr>
            <w:r w:rsidRPr="009B7E9E">
              <w:rPr>
                <w:b/>
                <w:bCs/>
                <w:color w:val="000000"/>
                <w:sz w:val="14"/>
                <w:szCs w:val="14"/>
              </w:rPr>
              <w:t>IV.</w:t>
            </w:r>
          </w:p>
        </w:tc>
        <w:tc>
          <w:tcPr>
            <w:tcW w:w="3377" w:type="dxa"/>
            <w:tcBorders>
              <w:top w:val="nil"/>
              <w:left w:val="nil"/>
              <w:bottom w:val="nil"/>
              <w:right w:val="nil"/>
            </w:tcBorders>
            <w:vAlign w:val="center"/>
            <w:hideMark/>
          </w:tcPr>
          <w:p w14:paraId="5C1AA7ED" w14:textId="77777777" w:rsidR="00C45BB6" w:rsidRPr="009B7E9E" w:rsidRDefault="00C45BB6" w:rsidP="00C45BB6">
            <w:pPr>
              <w:rPr>
                <w:b/>
                <w:bCs/>
                <w:color w:val="000000"/>
                <w:sz w:val="14"/>
                <w:szCs w:val="14"/>
              </w:rPr>
            </w:pPr>
            <w:r w:rsidRPr="009B7E9E">
              <w:rPr>
                <w:b/>
                <w:bCs/>
                <w:color w:val="000000"/>
                <w:sz w:val="14"/>
                <w:szCs w:val="14"/>
              </w:rPr>
              <w:t>Toplam Kapsamlı Gelir</w:t>
            </w:r>
          </w:p>
        </w:tc>
        <w:tc>
          <w:tcPr>
            <w:tcW w:w="707" w:type="dxa"/>
            <w:tcBorders>
              <w:top w:val="nil"/>
              <w:left w:val="nil"/>
              <w:bottom w:val="nil"/>
              <w:right w:val="nil"/>
            </w:tcBorders>
            <w:vAlign w:val="center"/>
            <w:hideMark/>
          </w:tcPr>
          <w:p w14:paraId="05A90891" w14:textId="77777777" w:rsidR="00C45BB6" w:rsidRPr="009B7E9E" w:rsidRDefault="00C45BB6" w:rsidP="00C45BB6">
            <w:pPr>
              <w:rPr>
                <w:b/>
                <w:bCs/>
                <w:color w:val="000000"/>
                <w:sz w:val="14"/>
                <w:szCs w:val="14"/>
              </w:rPr>
            </w:pPr>
          </w:p>
        </w:tc>
        <w:tc>
          <w:tcPr>
            <w:tcW w:w="851" w:type="dxa"/>
            <w:tcBorders>
              <w:top w:val="nil"/>
              <w:left w:val="nil"/>
              <w:bottom w:val="nil"/>
              <w:right w:val="nil"/>
            </w:tcBorders>
            <w:vAlign w:val="bottom"/>
            <w:hideMark/>
          </w:tcPr>
          <w:p w14:paraId="40BA5182" w14:textId="32C9B63D" w:rsidR="00C45BB6" w:rsidRPr="009B7E9E" w:rsidRDefault="00C45BB6" w:rsidP="00C45BB6">
            <w:pPr>
              <w:jc w:val="right"/>
              <w:rPr>
                <w:b/>
                <w:bCs/>
                <w:color w:val="000000"/>
                <w:sz w:val="14"/>
                <w:szCs w:val="14"/>
              </w:rPr>
            </w:pPr>
            <w:r w:rsidRPr="009B7E9E">
              <w:rPr>
                <w:b/>
                <w:bCs/>
                <w:color w:val="000000"/>
                <w:sz w:val="14"/>
                <w:szCs w:val="14"/>
              </w:rPr>
              <w:t>-</w:t>
            </w:r>
          </w:p>
        </w:tc>
        <w:tc>
          <w:tcPr>
            <w:tcW w:w="709" w:type="dxa"/>
            <w:tcBorders>
              <w:top w:val="nil"/>
              <w:left w:val="nil"/>
              <w:bottom w:val="nil"/>
              <w:right w:val="nil"/>
            </w:tcBorders>
            <w:vAlign w:val="bottom"/>
            <w:hideMark/>
          </w:tcPr>
          <w:p w14:paraId="46D5AFDC" w14:textId="47D8B313" w:rsidR="00C45BB6" w:rsidRPr="009B7E9E" w:rsidRDefault="00C45BB6" w:rsidP="00C45BB6">
            <w:pPr>
              <w:jc w:val="right"/>
              <w:rPr>
                <w:b/>
                <w:bCs/>
                <w:color w:val="000000"/>
                <w:sz w:val="14"/>
                <w:szCs w:val="14"/>
              </w:rPr>
            </w:pPr>
            <w:r w:rsidRPr="009B7E9E">
              <w:rPr>
                <w:b/>
                <w:bCs/>
                <w:color w:val="000000"/>
                <w:sz w:val="14"/>
                <w:szCs w:val="14"/>
              </w:rPr>
              <w:t>-</w:t>
            </w:r>
          </w:p>
        </w:tc>
        <w:tc>
          <w:tcPr>
            <w:tcW w:w="708" w:type="dxa"/>
            <w:tcBorders>
              <w:top w:val="nil"/>
              <w:left w:val="nil"/>
              <w:bottom w:val="nil"/>
              <w:right w:val="nil"/>
            </w:tcBorders>
            <w:vAlign w:val="bottom"/>
            <w:hideMark/>
          </w:tcPr>
          <w:p w14:paraId="0EC85747" w14:textId="3797340F" w:rsidR="00C45BB6" w:rsidRPr="009B7E9E" w:rsidRDefault="00C45BB6" w:rsidP="00C45BB6">
            <w:pPr>
              <w:jc w:val="right"/>
              <w:rPr>
                <w:b/>
                <w:bCs/>
                <w:color w:val="000000"/>
                <w:sz w:val="14"/>
                <w:szCs w:val="14"/>
              </w:rPr>
            </w:pPr>
            <w:r w:rsidRPr="009B7E9E">
              <w:rPr>
                <w:b/>
                <w:bCs/>
                <w:color w:val="000000"/>
                <w:sz w:val="14"/>
                <w:szCs w:val="14"/>
              </w:rPr>
              <w:t>-</w:t>
            </w:r>
          </w:p>
        </w:tc>
        <w:tc>
          <w:tcPr>
            <w:tcW w:w="724" w:type="dxa"/>
            <w:tcBorders>
              <w:top w:val="nil"/>
              <w:left w:val="nil"/>
              <w:bottom w:val="nil"/>
              <w:right w:val="nil"/>
            </w:tcBorders>
            <w:vAlign w:val="bottom"/>
            <w:hideMark/>
          </w:tcPr>
          <w:p w14:paraId="36C8F5CB" w14:textId="3C7D7E90" w:rsidR="00C45BB6" w:rsidRPr="009B7E9E" w:rsidRDefault="00C45BB6" w:rsidP="00C45BB6">
            <w:pPr>
              <w:jc w:val="right"/>
              <w:rPr>
                <w:b/>
                <w:bCs/>
                <w:color w:val="000000"/>
                <w:sz w:val="14"/>
                <w:szCs w:val="14"/>
              </w:rPr>
            </w:pPr>
            <w:r w:rsidRPr="009B7E9E">
              <w:rPr>
                <w:b/>
                <w:bCs/>
                <w:color w:val="000000"/>
                <w:sz w:val="14"/>
                <w:szCs w:val="14"/>
              </w:rPr>
              <w:t>-</w:t>
            </w:r>
          </w:p>
        </w:tc>
        <w:tc>
          <w:tcPr>
            <w:tcW w:w="575" w:type="dxa"/>
            <w:tcBorders>
              <w:top w:val="nil"/>
              <w:left w:val="nil"/>
              <w:bottom w:val="nil"/>
              <w:right w:val="nil"/>
            </w:tcBorders>
            <w:vAlign w:val="bottom"/>
            <w:hideMark/>
          </w:tcPr>
          <w:p w14:paraId="568A2CA9" w14:textId="35D8F77C" w:rsidR="00C45BB6" w:rsidRPr="009B7E9E" w:rsidRDefault="00C45BB6" w:rsidP="00C45BB6">
            <w:pPr>
              <w:jc w:val="right"/>
              <w:rPr>
                <w:b/>
                <w:bCs/>
                <w:color w:val="000000"/>
                <w:sz w:val="14"/>
                <w:szCs w:val="14"/>
              </w:rPr>
            </w:pPr>
            <w:r w:rsidRPr="009B7E9E">
              <w:rPr>
                <w:b/>
                <w:bCs/>
                <w:color w:val="000000"/>
                <w:sz w:val="14"/>
                <w:szCs w:val="14"/>
              </w:rPr>
              <w:t>-</w:t>
            </w:r>
          </w:p>
        </w:tc>
        <w:tc>
          <w:tcPr>
            <w:tcW w:w="709" w:type="dxa"/>
            <w:tcBorders>
              <w:top w:val="nil"/>
              <w:left w:val="nil"/>
              <w:bottom w:val="nil"/>
              <w:right w:val="nil"/>
            </w:tcBorders>
            <w:vAlign w:val="bottom"/>
            <w:hideMark/>
          </w:tcPr>
          <w:p w14:paraId="0DE026EA" w14:textId="5C35D712" w:rsidR="00C45BB6" w:rsidRPr="009B7E9E" w:rsidRDefault="00C45BB6" w:rsidP="00C45BB6">
            <w:pPr>
              <w:jc w:val="right"/>
              <w:rPr>
                <w:b/>
                <w:bCs/>
                <w:color w:val="000000"/>
                <w:sz w:val="14"/>
                <w:szCs w:val="14"/>
              </w:rPr>
            </w:pPr>
            <w:r w:rsidRPr="009B7E9E">
              <w:rPr>
                <w:b/>
                <w:bCs/>
                <w:color w:val="000000"/>
                <w:sz w:val="14"/>
                <w:szCs w:val="14"/>
              </w:rPr>
              <w:t>1.018</w:t>
            </w:r>
          </w:p>
        </w:tc>
        <w:tc>
          <w:tcPr>
            <w:tcW w:w="639" w:type="dxa"/>
            <w:tcBorders>
              <w:top w:val="nil"/>
              <w:left w:val="nil"/>
              <w:bottom w:val="nil"/>
              <w:right w:val="nil"/>
            </w:tcBorders>
            <w:vAlign w:val="bottom"/>
            <w:hideMark/>
          </w:tcPr>
          <w:p w14:paraId="6B41987A" w14:textId="4EA3B93C" w:rsidR="00C45BB6" w:rsidRPr="009B7E9E" w:rsidRDefault="00C45BB6" w:rsidP="00C45BB6">
            <w:pPr>
              <w:jc w:val="right"/>
              <w:rPr>
                <w:b/>
                <w:bCs/>
                <w:color w:val="000000"/>
                <w:sz w:val="14"/>
                <w:szCs w:val="14"/>
              </w:rPr>
            </w:pPr>
            <w:r w:rsidRPr="009B7E9E">
              <w:rPr>
                <w:b/>
                <w:bCs/>
                <w:color w:val="000000"/>
                <w:sz w:val="14"/>
                <w:szCs w:val="14"/>
              </w:rPr>
              <w:t>-</w:t>
            </w:r>
          </w:p>
        </w:tc>
        <w:tc>
          <w:tcPr>
            <w:tcW w:w="635" w:type="dxa"/>
            <w:tcBorders>
              <w:top w:val="nil"/>
              <w:left w:val="nil"/>
              <w:bottom w:val="nil"/>
              <w:right w:val="nil"/>
            </w:tcBorders>
            <w:vAlign w:val="bottom"/>
            <w:hideMark/>
          </w:tcPr>
          <w:p w14:paraId="4E83665F" w14:textId="57C5FC5D" w:rsidR="00C45BB6" w:rsidRPr="009B7E9E" w:rsidRDefault="00C45BB6" w:rsidP="00C45BB6">
            <w:pPr>
              <w:jc w:val="right"/>
              <w:rPr>
                <w:b/>
                <w:bCs/>
                <w:color w:val="000000"/>
                <w:sz w:val="14"/>
                <w:szCs w:val="14"/>
              </w:rPr>
            </w:pPr>
            <w:r w:rsidRPr="009B7E9E">
              <w:rPr>
                <w:b/>
                <w:bCs/>
                <w:color w:val="000000"/>
                <w:sz w:val="14"/>
                <w:szCs w:val="14"/>
              </w:rPr>
              <w:t>-</w:t>
            </w:r>
          </w:p>
        </w:tc>
        <w:tc>
          <w:tcPr>
            <w:tcW w:w="731" w:type="dxa"/>
            <w:tcBorders>
              <w:top w:val="nil"/>
              <w:left w:val="nil"/>
              <w:bottom w:val="nil"/>
              <w:right w:val="nil"/>
            </w:tcBorders>
            <w:vAlign w:val="bottom"/>
            <w:hideMark/>
          </w:tcPr>
          <w:p w14:paraId="21FB33A3" w14:textId="0AE38262" w:rsidR="00C45BB6" w:rsidRPr="009B7E9E" w:rsidRDefault="00C45BB6" w:rsidP="00C45BB6">
            <w:pPr>
              <w:jc w:val="right"/>
              <w:rPr>
                <w:b/>
                <w:bCs/>
                <w:color w:val="000000"/>
                <w:sz w:val="14"/>
                <w:szCs w:val="14"/>
              </w:rPr>
            </w:pPr>
            <w:r w:rsidRPr="009B7E9E">
              <w:rPr>
                <w:b/>
                <w:bCs/>
                <w:color w:val="000000"/>
                <w:sz w:val="14"/>
                <w:szCs w:val="14"/>
              </w:rPr>
              <w:t>52.771</w:t>
            </w:r>
          </w:p>
        </w:tc>
        <w:tc>
          <w:tcPr>
            <w:tcW w:w="714" w:type="dxa"/>
            <w:tcBorders>
              <w:top w:val="nil"/>
              <w:left w:val="nil"/>
              <w:bottom w:val="nil"/>
              <w:right w:val="nil"/>
            </w:tcBorders>
            <w:vAlign w:val="bottom"/>
            <w:hideMark/>
          </w:tcPr>
          <w:p w14:paraId="3CF8C7FC" w14:textId="04E5AA3D" w:rsidR="00C45BB6" w:rsidRPr="009B7E9E" w:rsidRDefault="00C45BB6" w:rsidP="00C45BB6">
            <w:pPr>
              <w:jc w:val="right"/>
              <w:rPr>
                <w:color w:val="000000"/>
                <w:sz w:val="14"/>
                <w:szCs w:val="14"/>
              </w:rPr>
            </w:pPr>
            <w:r w:rsidRPr="009B7E9E">
              <w:rPr>
                <w:color w:val="000000"/>
                <w:sz w:val="14"/>
                <w:szCs w:val="14"/>
              </w:rPr>
              <w:t>-</w:t>
            </w:r>
          </w:p>
        </w:tc>
        <w:tc>
          <w:tcPr>
            <w:tcW w:w="835" w:type="dxa"/>
            <w:tcBorders>
              <w:top w:val="nil"/>
              <w:left w:val="nil"/>
              <w:bottom w:val="nil"/>
              <w:right w:val="nil"/>
            </w:tcBorders>
            <w:vAlign w:val="bottom"/>
            <w:hideMark/>
          </w:tcPr>
          <w:p w14:paraId="2F1CEB3C" w14:textId="6A157371" w:rsidR="00C45BB6" w:rsidRPr="009B7E9E" w:rsidRDefault="00C45BB6" w:rsidP="00C45BB6">
            <w:pPr>
              <w:jc w:val="right"/>
              <w:rPr>
                <w:color w:val="000000"/>
                <w:sz w:val="14"/>
                <w:szCs w:val="14"/>
              </w:rPr>
            </w:pPr>
            <w:r w:rsidRPr="009B7E9E">
              <w:rPr>
                <w:color w:val="000000"/>
                <w:sz w:val="14"/>
                <w:szCs w:val="14"/>
              </w:rPr>
              <w:t>-</w:t>
            </w:r>
          </w:p>
        </w:tc>
        <w:tc>
          <w:tcPr>
            <w:tcW w:w="709" w:type="dxa"/>
            <w:tcBorders>
              <w:top w:val="nil"/>
              <w:left w:val="nil"/>
              <w:bottom w:val="nil"/>
              <w:right w:val="nil"/>
            </w:tcBorders>
            <w:vAlign w:val="bottom"/>
            <w:hideMark/>
          </w:tcPr>
          <w:p w14:paraId="03792ABA" w14:textId="4F99E20D" w:rsidR="00C45BB6" w:rsidRPr="009B7E9E" w:rsidRDefault="00C45BB6" w:rsidP="00C45BB6">
            <w:pPr>
              <w:jc w:val="right"/>
              <w:rPr>
                <w:color w:val="000000"/>
                <w:sz w:val="14"/>
                <w:szCs w:val="14"/>
              </w:rPr>
            </w:pPr>
            <w:r w:rsidRPr="009B7E9E">
              <w:rPr>
                <w:color w:val="000000"/>
                <w:sz w:val="14"/>
                <w:szCs w:val="14"/>
              </w:rPr>
              <w:t>-</w:t>
            </w:r>
          </w:p>
        </w:tc>
        <w:tc>
          <w:tcPr>
            <w:tcW w:w="850" w:type="dxa"/>
            <w:tcBorders>
              <w:top w:val="nil"/>
              <w:left w:val="nil"/>
              <w:bottom w:val="nil"/>
              <w:right w:val="nil"/>
            </w:tcBorders>
            <w:vAlign w:val="bottom"/>
            <w:hideMark/>
          </w:tcPr>
          <w:p w14:paraId="5A68D173" w14:textId="5A68C024" w:rsidR="00C45BB6" w:rsidRPr="009B7E9E" w:rsidRDefault="00C45BB6" w:rsidP="00C45BB6">
            <w:pPr>
              <w:jc w:val="right"/>
              <w:rPr>
                <w:b/>
                <w:bCs/>
                <w:color w:val="000000"/>
                <w:sz w:val="14"/>
                <w:szCs w:val="14"/>
              </w:rPr>
            </w:pPr>
            <w:r w:rsidRPr="009B7E9E">
              <w:rPr>
                <w:b/>
                <w:bCs/>
                <w:color w:val="000000"/>
                <w:sz w:val="14"/>
                <w:szCs w:val="14"/>
              </w:rPr>
              <w:t>2.057.211</w:t>
            </w:r>
          </w:p>
        </w:tc>
        <w:tc>
          <w:tcPr>
            <w:tcW w:w="993" w:type="dxa"/>
            <w:gridSpan w:val="2"/>
            <w:tcBorders>
              <w:top w:val="nil"/>
              <w:left w:val="nil"/>
              <w:bottom w:val="nil"/>
              <w:right w:val="single" w:sz="4" w:space="0" w:color="auto"/>
            </w:tcBorders>
            <w:vAlign w:val="bottom"/>
            <w:hideMark/>
          </w:tcPr>
          <w:p w14:paraId="0238053E" w14:textId="3881C95A" w:rsidR="00C45BB6" w:rsidRPr="009B7E9E" w:rsidRDefault="00C45BB6" w:rsidP="00C45BB6">
            <w:pPr>
              <w:jc w:val="right"/>
              <w:rPr>
                <w:b/>
                <w:bCs/>
                <w:color w:val="000000"/>
                <w:sz w:val="14"/>
                <w:szCs w:val="14"/>
              </w:rPr>
            </w:pPr>
            <w:r w:rsidRPr="009B7E9E">
              <w:rPr>
                <w:b/>
                <w:bCs/>
                <w:color w:val="000000"/>
                <w:sz w:val="14"/>
                <w:szCs w:val="14"/>
              </w:rPr>
              <w:t>2.111.000</w:t>
            </w:r>
          </w:p>
        </w:tc>
      </w:tr>
      <w:tr w:rsidR="00C45BB6" w:rsidRPr="009B7E9E" w14:paraId="6FA29FD6" w14:textId="77777777" w:rsidTr="00C45BB6">
        <w:trPr>
          <w:divId w:val="818616495"/>
          <w:trHeight w:val="113"/>
        </w:trPr>
        <w:tc>
          <w:tcPr>
            <w:tcW w:w="561" w:type="dxa"/>
            <w:tcBorders>
              <w:top w:val="nil"/>
              <w:left w:val="single" w:sz="4" w:space="0" w:color="auto"/>
              <w:bottom w:val="nil"/>
              <w:right w:val="nil"/>
            </w:tcBorders>
            <w:vAlign w:val="center"/>
            <w:hideMark/>
          </w:tcPr>
          <w:p w14:paraId="0B3FBB1C" w14:textId="77777777" w:rsidR="00C45BB6" w:rsidRPr="009B7E9E" w:rsidRDefault="00C45BB6" w:rsidP="00C45BB6">
            <w:pPr>
              <w:rPr>
                <w:b/>
                <w:bCs/>
                <w:color w:val="000000"/>
                <w:sz w:val="14"/>
                <w:szCs w:val="14"/>
              </w:rPr>
            </w:pPr>
            <w:r w:rsidRPr="009B7E9E">
              <w:rPr>
                <w:b/>
                <w:bCs/>
                <w:color w:val="000000"/>
                <w:sz w:val="14"/>
                <w:szCs w:val="14"/>
              </w:rPr>
              <w:t>V.</w:t>
            </w:r>
          </w:p>
        </w:tc>
        <w:tc>
          <w:tcPr>
            <w:tcW w:w="3377" w:type="dxa"/>
            <w:tcBorders>
              <w:top w:val="nil"/>
              <w:left w:val="nil"/>
              <w:bottom w:val="nil"/>
              <w:right w:val="nil"/>
            </w:tcBorders>
            <w:vAlign w:val="center"/>
            <w:hideMark/>
          </w:tcPr>
          <w:p w14:paraId="26F9C6CA" w14:textId="77777777" w:rsidR="00C45BB6" w:rsidRPr="009B7E9E" w:rsidRDefault="00C45BB6" w:rsidP="00C45BB6">
            <w:pPr>
              <w:rPr>
                <w:b/>
                <w:bCs/>
                <w:color w:val="000000"/>
                <w:sz w:val="14"/>
                <w:szCs w:val="14"/>
              </w:rPr>
            </w:pPr>
            <w:r w:rsidRPr="009B7E9E">
              <w:rPr>
                <w:b/>
                <w:bCs/>
                <w:color w:val="000000"/>
                <w:sz w:val="14"/>
                <w:szCs w:val="14"/>
              </w:rPr>
              <w:t>Nakden Gerçekleştirilen Sermaye Artırımı</w:t>
            </w:r>
          </w:p>
        </w:tc>
        <w:tc>
          <w:tcPr>
            <w:tcW w:w="707" w:type="dxa"/>
            <w:tcBorders>
              <w:top w:val="nil"/>
              <w:left w:val="nil"/>
              <w:bottom w:val="nil"/>
              <w:right w:val="nil"/>
            </w:tcBorders>
            <w:vAlign w:val="center"/>
            <w:hideMark/>
          </w:tcPr>
          <w:p w14:paraId="574BEDE7" w14:textId="77777777" w:rsidR="00C45BB6" w:rsidRPr="009B7E9E" w:rsidRDefault="00C45BB6" w:rsidP="00C45BB6">
            <w:pPr>
              <w:rPr>
                <w:b/>
                <w:bCs/>
                <w:color w:val="000000"/>
                <w:sz w:val="14"/>
                <w:szCs w:val="14"/>
              </w:rPr>
            </w:pPr>
          </w:p>
        </w:tc>
        <w:tc>
          <w:tcPr>
            <w:tcW w:w="851" w:type="dxa"/>
            <w:tcBorders>
              <w:top w:val="nil"/>
              <w:left w:val="nil"/>
              <w:bottom w:val="nil"/>
              <w:right w:val="nil"/>
            </w:tcBorders>
            <w:vAlign w:val="bottom"/>
            <w:hideMark/>
          </w:tcPr>
          <w:p w14:paraId="16F28B71" w14:textId="044956DB" w:rsidR="00C45BB6" w:rsidRPr="009B7E9E" w:rsidRDefault="00C45BB6" w:rsidP="00C45BB6">
            <w:pPr>
              <w:jc w:val="right"/>
              <w:rPr>
                <w:b/>
                <w:bCs/>
                <w:color w:val="000000"/>
                <w:sz w:val="14"/>
                <w:szCs w:val="14"/>
              </w:rPr>
            </w:pPr>
            <w:r w:rsidRPr="009B7E9E">
              <w:rPr>
                <w:b/>
                <w:bCs/>
                <w:color w:val="000000"/>
                <w:sz w:val="14"/>
                <w:szCs w:val="14"/>
              </w:rPr>
              <w:t>-</w:t>
            </w:r>
          </w:p>
        </w:tc>
        <w:tc>
          <w:tcPr>
            <w:tcW w:w="709" w:type="dxa"/>
            <w:tcBorders>
              <w:top w:val="nil"/>
              <w:left w:val="nil"/>
              <w:bottom w:val="nil"/>
              <w:right w:val="nil"/>
            </w:tcBorders>
            <w:vAlign w:val="bottom"/>
            <w:hideMark/>
          </w:tcPr>
          <w:p w14:paraId="71DC1D54" w14:textId="6A95A8DA" w:rsidR="00C45BB6" w:rsidRPr="009B7E9E" w:rsidRDefault="00C45BB6" w:rsidP="00C45BB6">
            <w:pPr>
              <w:jc w:val="right"/>
              <w:rPr>
                <w:b/>
                <w:bCs/>
                <w:color w:val="000000"/>
                <w:sz w:val="14"/>
                <w:szCs w:val="14"/>
              </w:rPr>
            </w:pPr>
            <w:r w:rsidRPr="009B7E9E">
              <w:rPr>
                <w:b/>
                <w:bCs/>
                <w:color w:val="000000"/>
                <w:sz w:val="14"/>
                <w:szCs w:val="14"/>
              </w:rPr>
              <w:t>-</w:t>
            </w:r>
          </w:p>
        </w:tc>
        <w:tc>
          <w:tcPr>
            <w:tcW w:w="708" w:type="dxa"/>
            <w:tcBorders>
              <w:top w:val="nil"/>
              <w:left w:val="nil"/>
              <w:bottom w:val="nil"/>
              <w:right w:val="nil"/>
            </w:tcBorders>
            <w:vAlign w:val="bottom"/>
            <w:hideMark/>
          </w:tcPr>
          <w:p w14:paraId="245E10F6" w14:textId="41B8DA1D" w:rsidR="00C45BB6" w:rsidRPr="009B7E9E" w:rsidRDefault="00C45BB6" w:rsidP="00C45BB6">
            <w:pPr>
              <w:jc w:val="right"/>
              <w:rPr>
                <w:b/>
                <w:bCs/>
                <w:color w:val="000000"/>
                <w:sz w:val="14"/>
                <w:szCs w:val="14"/>
              </w:rPr>
            </w:pPr>
            <w:r w:rsidRPr="009B7E9E">
              <w:rPr>
                <w:b/>
                <w:bCs/>
                <w:color w:val="000000"/>
                <w:sz w:val="14"/>
                <w:szCs w:val="14"/>
              </w:rPr>
              <w:t>-</w:t>
            </w:r>
          </w:p>
        </w:tc>
        <w:tc>
          <w:tcPr>
            <w:tcW w:w="724" w:type="dxa"/>
            <w:tcBorders>
              <w:top w:val="nil"/>
              <w:left w:val="nil"/>
              <w:bottom w:val="nil"/>
              <w:right w:val="nil"/>
            </w:tcBorders>
            <w:vAlign w:val="bottom"/>
            <w:hideMark/>
          </w:tcPr>
          <w:p w14:paraId="47BD6124" w14:textId="35D8D430" w:rsidR="00C45BB6" w:rsidRPr="009B7E9E" w:rsidRDefault="00C45BB6" w:rsidP="00C45BB6">
            <w:pPr>
              <w:jc w:val="right"/>
              <w:rPr>
                <w:b/>
                <w:bCs/>
                <w:color w:val="000000"/>
                <w:sz w:val="14"/>
                <w:szCs w:val="14"/>
              </w:rPr>
            </w:pPr>
            <w:r w:rsidRPr="009B7E9E">
              <w:rPr>
                <w:b/>
                <w:bCs/>
                <w:color w:val="000000"/>
                <w:sz w:val="14"/>
                <w:szCs w:val="14"/>
              </w:rPr>
              <w:t>-</w:t>
            </w:r>
          </w:p>
        </w:tc>
        <w:tc>
          <w:tcPr>
            <w:tcW w:w="575" w:type="dxa"/>
            <w:tcBorders>
              <w:top w:val="nil"/>
              <w:left w:val="nil"/>
              <w:bottom w:val="nil"/>
              <w:right w:val="nil"/>
            </w:tcBorders>
            <w:vAlign w:val="bottom"/>
            <w:hideMark/>
          </w:tcPr>
          <w:p w14:paraId="47448FA0" w14:textId="70C9FF39" w:rsidR="00C45BB6" w:rsidRPr="009B7E9E" w:rsidRDefault="00C45BB6" w:rsidP="00C45BB6">
            <w:pPr>
              <w:jc w:val="right"/>
              <w:rPr>
                <w:b/>
                <w:bCs/>
                <w:color w:val="000000"/>
                <w:sz w:val="14"/>
                <w:szCs w:val="14"/>
              </w:rPr>
            </w:pPr>
            <w:r w:rsidRPr="009B7E9E">
              <w:rPr>
                <w:b/>
                <w:bCs/>
                <w:color w:val="000000"/>
                <w:sz w:val="14"/>
                <w:szCs w:val="14"/>
              </w:rPr>
              <w:t>-</w:t>
            </w:r>
          </w:p>
        </w:tc>
        <w:tc>
          <w:tcPr>
            <w:tcW w:w="709" w:type="dxa"/>
            <w:tcBorders>
              <w:top w:val="nil"/>
              <w:left w:val="nil"/>
              <w:bottom w:val="nil"/>
              <w:right w:val="nil"/>
            </w:tcBorders>
            <w:vAlign w:val="bottom"/>
            <w:hideMark/>
          </w:tcPr>
          <w:p w14:paraId="2C46B608" w14:textId="14BFDC61" w:rsidR="00C45BB6" w:rsidRPr="009B7E9E" w:rsidRDefault="00C45BB6" w:rsidP="00C45BB6">
            <w:pPr>
              <w:jc w:val="right"/>
              <w:rPr>
                <w:b/>
                <w:bCs/>
                <w:color w:val="000000"/>
                <w:sz w:val="14"/>
                <w:szCs w:val="14"/>
              </w:rPr>
            </w:pPr>
            <w:r w:rsidRPr="009B7E9E">
              <w:rPr>
                <w:b/>
                <w:bCs/>
                <w:color w:val="000000"/>
                <w:sz w:val="14"/>
                <w:szCs w:val="14"/>
              </w:rPr>
              <w:t>-</w:t>
            </w:r>
          </w:p>
        </w:tc>
        <w:tc>
          <w:tcPr>
            <w:tcW w:w="639" w:type="dxa"/>
            <w:tcBorders>
              <w:top w:val="nil"/>
              <w:left w:val="nil"/>
              <w:bottom w:val="nil"/>
              <w:right w:val="nil"/>
            </w:tcBorders>
            <w:vAlign w:val="bottom"/>
            <w:hideMark/>
          </w:tcPr>
          <w:p w14:paraId="2FC220A2" w14:textId="12D9A818" w:rsidR="00C45BB6" w:rsidRPr="009B7E9E" w:rsidRDefault="00C45BB6" w:rsidP="00C45BB6">
            <w:pPr>
              <w:jc w:val="right"/>
              <w:rPr>
                <w:b/>
                <w:bCs/>
                <w:color w:val="000000"/>
                <w:sz w:val="14"/>
                <w:szCs w:val="14"/>
              </w:rPr>
            </w:pPr>
            <w:r w:rsidRPr="009B7E9E">
              <w:rPr>
                <w:b/>
                <w:bCs/>
                <w:color w:val="000000"/>
                <w:sz w:val="14"/>
                <w:szCs w:val="14"/>
              </w:rPr>
              <w:t>-</w:t>
            </w:r>
          </w:p>
        </w:tc>
        <w:tc>
          <w:tcPr>
            <w:tcW w:w="635" w:type="dxa"/>
            <w:tcBorders>
              <w:top w:val="nil"/>
              <w:left w:val="nil"/>
              <w:bottom w:val="nil"/>
              <w:right w:val="nil"/>
            </w:tcBorders>
            <w:vAlign w:val="bottom"/>
            <w:hideMark/>
          </w:tcPr>
          <w:p w14:paraId="456AA484" w14:textId="34A74C22" w:rsidR="00C45BB6" w:rsidRPr="009B7E9E" w:rsidRDefault="00C45BB6" w:rsidP="00C45BB6">
            <w:pPr>
              <w:jc w:val="right"/>
              <w:rPr>
                <w:b/>
                <w:bCs/>
                <w:color w:val="000000"/>
                <w:sz w:val="14"/>
                <w:szCs w:val="14"/>
              </w:rPr>
            </w:pPr>
            <w:r w:rsidRPr="009B7E9E">
              <w:rPr>
                <w:b/>
                <w:bCs/>
                <w:color w:val="000000"/>
                <w:sz w:val="14"/>
                <w:szCs w:val="14"/>
              </w:rPr>
              <w:t>-</w:t>
            </w:r>
          </w:p>
        </w:tc>
        <w:tc>
          <w:tcPr>
            <w:tcW w:w="731" w:type="dxa"/>
            <w:tcBorders>
              <w:top w:val="nil"/>
              <w:left w:val="nil"/>
              <w:bottom w:val="nil"/>
              <w:right w:val="nil"/>
            </w:tcBorders>
            <w:vAlign w:val="bottom"/>
            <w:hideMark/>
          </w:tcPr>
          <w:p w14:paraId="2736489A" w14:textId="290A1ED4" w:rsidR="00C45BB6" w:rsidRPr="009B7E9E" w:rsidRDefault="00C45BB6" w:rsidP="00C45BB6">
            <w:pPr>
              <w:jc w:val="right"/>
              <w:rPr>
                <w:b/>
                <w:bCs/>
                <w:color w:val="000000"/>
                <w:sz w:val="14"/>
                <w:szCs w:val="14"/>
              </w:rPr>
            </w:pPr>
            <w:r w:rsidRPr="009B7E9E">
              <w:rPr>
                <w:b/>
                <w:bCs/>
                <w:color w:val="000000"/>
                <w:sz w:val="14"/>
                <w:szCs w:val="14"/>
              </w:rPr>
              <w:t>-</w:t>
            </w:r>
          </w:p>
        </w:tc>
        <w:tc>
          <w:tcPr>
            <w:tcW w:w="714" w:type="dxa"/>
            <w:tcBorders>
              <w:top w:val="nil"/>
              <w:left w:val="nil"/>
              <w:bottom w:val="nil"/>
              <w:right w:val="nil"/>
            </w:tcBorders>
            <w:vAlign w:val="bottom"/>
            <w:hideMark/>
          </w:tcPr>
          <w:p w14:paraId="688BFDF4" w14:textId="29C6DB93" w:rsidR="00C45BB6" w:rsidRPr="009B7E9E" w:rsidRDefault="00C45BB6" w:rsidP="00C45BB6">
            <w:pPr>
              <w:jc w:val="right"/>
              <w:rPr>
                <w:b/>
                <w:bCs/>
                <w:color w:val="000000"/>
                <w:sz w:val="14"/>
                <w:szCs w:val="14"/>
              </w:rPr>
            </w:pPr>
            <w:r w:rsidRPr="009B7E9E">
              <w:rPr>
                <w:b/>
                <w:bCs/>
                <w:color w:val="000000"/>
                <w:sz w:val="14"/>
                <w:szCs w:val="14"/>
              </w:rPr>
              <w:t>-</w:t>
            </w:r>
          </w:p>
        </w:tc>
        <w:tc>
          <w:tcPr>
            <w:tcW w:w="835" w:type="dxa"/>
            <w:tcBorders>
              <w:top w:val="nil"/>
              <w:left w:val="nil"/>
              <w:bottom w:val="nil"/>
              <w:right w:val="nil"/>
            </w:tcBorders>
            <w:vAlign w:val="bottom"/>
            <w:hideMark/>
          </w:tcPr>
          <w:p w14:paraId="5D9A7AD1" w14:textId="2138E2E7" w:rsidR="00C45BB6" w:rsidRPr="009B7E9E" w:rsidRDefault="00C45BB6" w:rsidP="00C45BB6">
            <w:pPr>
              <w:jc w:val="right"/>
              <w:rPr>
                <w:b/>
                <w:bCs/>
                <w:color w:val="000000"/>
                <w:sz w:val="14"/>
                <w:szCs w:val="14"/>
              </w:rPr>
            </w:pPr>
            <w:r w:rsidRPr="009B7E9E">
              <w:rPr>
                <w:b/>
                <w:bCs/>
                <w:color w:val="000000"/>
                <w:sz w:val="14"/>
                <w:szCs w:val="14"/>
              </w:rPr>
              <w:t>-</w:t>
            </w:r>
          </w:p>
        </w:tc>
        <w:tc>
          <w:tcPr>
            <w:tcW w:w="709" w:type="dxa"/>
            <w:tcBorders>
              <w:top w:val="nil"/>
              <w:left w:val="nil"/>
              <w:bottom w:val="nil"/>
              <w:right w:val="nil"/>
            </w:tcBorders>
            <w:vAlign w:val="bottom"/>
            <w:hideMark/>
          </w:tcPr>
          <w:p w14:paraId="0A668377" w14:textId="364B570B" w:rsidR="00C45BB6" w:rsidRPr="009B7E9E" w:rsidRDefault="00C45BB6" w:rsidP="00C45BB6">
            <w:pPr>
              <w:jc w:val="right"/>
              <w:rPr>
                <w:b/>
                <w:bCs/>
                <w:color w:val="000000"/>
                <w:sz w:val="14"/>
                <w:szCs w:val="14"/>
              </w:rPr>
            </w:pPr>
            <w:r w:rsidRPr="009B7E9E">
              <w:rPr>
                <w:b/>
                <w:bCs/>
                <w:color w:val="000000"/>
                <w:sz w:val="14"/>
                <w:szCs w:val="14"/>
              </w:rPr>
              <w:t>-</w:t>
            </w:r>
          </w:p>
        </w:tc>
        <w:tc>
          <w:tcPr>
            <w:tcW w:w="850" w:type="dxa"/>
            <w:tcBorders>
              <w:top w:val="nil"/>
              <w:left w:val="nil"/>
              <w:bottom w:val="nil"/>
              <w:right w:val="nil"/>
            </w:tcBorders>
            <w:vAlign w:val="bottom"/>
            <w:hideMark/>
          </w:tcPr>
          <w:p w14:paraId="19CE100D" w14:textId="3C96D8FB" w:rsidR="00C45BB6" w:rsidRPr="009B7E9E" w:rsidRDefault="00C45BB6" w:rsidP="00C45BB6">
            <w:pPr>
              <w:jc w:val="right"/>
              <w:rPr>
                <w:b/>
                <w:bCs/>
                <w:color w:val="000000"/>
                <w:sz w:val="14"/>
                <w:szCs w:val="14"/>
              </w:rPr>
            </w:pPr>
            <w:r w:rsidRPr="009B7E9E">
              <w:rPr>
                <w:b/>
                <w:bCs/>
                <w:color w:val="000000"/>
                <w:sz w:val="14"/>
                <w:szCs w:val="14"/>
              </w:rPr>
              <w:t>-</w:t>
            </w:r>
          </w:p>
        </w:tc>
        <w:tc>
          <w:tcPr>
            <w:tcW w:w="993" w:type="dxa"/>
            <w:gridSpan w:val="2"/>
            <w:tcBorders>
              <w:top w:val="nil"/>
              <w:left w:val="nil"/>
              <w:bottom w:val="nil"/>
              <w:right w:val="single" w:sz="4" w:space="0" w:color="auto"/>
            </w:tcBorders>
            <w:vAlign w:val="bottom"/>
            <w:hideMark/>
          </w:tcPr>
          <w:p w14:paraId="114A6F75" w14:textId="0F3FCA06" w:rsidR="00C45BB6" w:rsidRPr="009B7E9E" w:rsidRDefault="00C45BB6" w:rsidP="00C45BB6">
            <w:pPr>
              <w:jc w:val="right"/>
              <w:rPr>
                <w:b/>
                <w:bCs/>
                <w:color w:val="000000"/>
                <w:sz w:val="14"/>
                <w:szCs w:val="14"/>
              </w:rPr>
            </w:pPr>
            <w:r w:rsidRPr="009B7E9E">
              <w:rPr>
                <w:b/>
                <w:bCs/>
                <w:color w:val="000000"/>
                <w:sz w:val="14"/>
                <w:szCs w:val="14"/>
              </w:rPr>
              <w:t>-</w:t>
            </w:r>
          </w:p>
        </w:tc>
      </w:tr>
      <w:tr w:rsidR="00C45BB6" w:rsidRPr="009B7E9E" w14:paraId="15850F38" w14:textId="77777777" w:rsidTr="00C45BB6">
        <w:trPr>
          <w:divId w:val="818616495"/>
          <w:trHeight w:val="113"/>
        </w:trPr>
        <w:tc>
          <w:tcPr>
            <w:tcW w:w="561" w:type="dxa"/>
            <w:tcBorders>
              <w:top w:val="nil"/>
              <w:left w:val="single" w:sz="4" w:space="0" w:color="auto"/>
              <w:bottom w:val="nil"/>
              <w:right w:val="nil"/>
            </w:tcBorders>
            <w:vAlign w:val="center"/>
            <w:hideMark/>
          </w:tcPr>
          <w:p w14:paraId="4CDAC7C2" w14:textId="77777777" w:rsidR="00C45BB6" w:rsidRPr="009B7E9E" w:rsidRDefault="00C45BB6" w:rsidP="00C45BB6">
            <w:pPr>
              <w:rPr>
                <w:b/>
                <w:bCs/>
                <w:color w:val="000000"/>
                <w:sz w:val="14"/>
                <w:szCs w:val="14"/>
              </w:rPr>
            </w:pPr>
            <w:r w:rsidRPr="009B7E9E">
              <w:rPr>
                <w:b/>
                <w:bCs/>
                <w:color w:val="000000"/>
                <w:sz w:val="14"/>
                <w:szCs w:val="14"/>
              </w:rPr>
              <w:t>VI.</w:t>
            </w:r>
          </w:p>
        </w:tc>
        <w:tc>
          <w:tcPr>
            <w:tcW w:w="3377" w:type="dxa"/>
            <w:tcBorders>
              <w:top w:val="nil"/>
              <w:left w:val="nil"/>
              <w:bottom w:val="nil"/>
              <w:right w:val="nil"/>
            </w:tcBorders>
            <w:vAlign w:val="center"/>
            <w:hideMark/>
          </w:tcPr>
          <w:p w14:paraId="002E306D" w14:textId="77777777" w:rsidR="00C45BB6" w:rsidRPr="009B7E9E" w:rsidRDefault="00C45BB6" w:rsidP="00C45BB6">
            <w:pPr>
              <w:rPr>
                <w:b/>
                <w:bCs/>
                <w:color w:val="000000"/>
                <w:sz w:val="14"/>
                <w:szCs w:val="14"/>
              </w:rPr>
            </w:pPr>
            <w:r w:rsidRPr="009B7E9E">
              <w:rPr>
                <w:b/>
                <w:bCs/>
                <w:color w:val="000000"/>
                <w:sz w:val="14"/>
                <w:szCs w:val="14"/>
              </w:rPr>
              <w:t>İç Kaynaklardan Gerçekleştirilen Sermaye Artırımı</w:t>
            </w:r>
          </w:p>
        </w:tc>
        <w:tc>
          <w:tcPr>
            <w:tcW w:w="707" w:type="dxa"/>
            <w:tcBorders>
              <w:top w:val="nil"/>
              <w:left w:val="nil"/>
              <w:bottom w:val="nil"/>
              <w:right w:val="nil"/>
            </w:tcBorders>
            <w:vAlign w:val="center"/>
            <w:hideMark/>
          </w:tcPr>
          <w:p w14:paraId="07047C00" w14:textId="77777777" w:rsidR="00C45BB6" w:rsidRPr="009B7E9E" w:rsidRDefault="00C45BB6" w:rsidP="00C45BB6">
            <w:pPr>
              <w:rPr>
                <w:b/>
                <w:bCs/>
                <w:color w:val="000000"/>
                <w:sz w:val="14"/>
                <w:szCs w:val="14"/>
              </w:rPr>
            </w:pPr>
          </w:p>
        </w:tc>
        <w:tc>
          <w:tcPr>
            <w:tcW w:w="851" w:type="dxa"/>
            <w:tcBorders>
              <w:top w:val="nil"/>
              <w:left w:val="nil"/>
              <w:bottom w:val="nil"/>
              <w:right w:val="nil"/>
            </w:tcBorders>
            <w:vAlign w:val="bottom"/>
            <w:hideMark/>
          </w:tcPr>
          <w:p w14:paraId="5215BA88" w14:textId="3A4F2CDB" w:rsidR="00C45BB6" w:rsidRPr="009B7E9E" w:rsidRDefault="00C45BB6" w:rsidP="00C45BB6">
            <w:pPr>
              <w:jc w:val="right"/>
              <w:rPr>
                <w:b/>
                <w:bCs/>
                <w:color w:val="000000"/>
                <w:sz w:val="14"/>
                <w:szCs w:val="14"/>
              </w:rPr>
            </w:pPr>
            <w:r w:rsidRPr="009B7E9E">
              <w:rPr>
                <w:b/>
                <w:bCs/>
                <w:color w:val="000000"/>
                <w:sz w:val="14"/>
                <w:szCs w:val="14"/>
              </w:rPr>
              <w:t>1.273.000</w:t>
            </w:r>
          </w:p>
        </w:tc>
        <w:tc>
          <w:tcPr>
            <w:tcW w:w="709" w:type="dxa"/>
            <w:tcBorders>
              <w:top w:val="nil"/>
              <w:left w:val="nil"/>
              <w:bottom w:val="nil"/>
              <w:right w:val="nil"/>
            </w:tcBorders>
            <w:vAlign w:val="bottom"/>
            <w:hideMark/>
          </w:tcPr>
          <w:p w14:paraId="26A1D3E8" w14:textId="4EF7A58A" w:rsidR="00C45BB6" w:rsidRPr="009B7E9E" w:rsidRDefault="00C45BB6" w:rsidP="00C45BB6">
            <w:pPr>
              <w:jc w:val="right"/>
              <w:rPr>
                <w:b/>
                <w:bCs/>
                <w:color w:val="000000"/>
                <w:sz w:val="14"/>
                <w:szCs w:val="14"/>
              </w:rPr>
            </w:pPr>
            <w:r w:rsidRPr="009B7E9E">
              <w:rPr>
                <w:b/>
                <w:bCs/>
                <w:color w:val="000000"/>
                <w:sz w:val="14"/>
                <w:szCs w:val="14"/>
              </w:rPr>
              <w:t>-</w:t>
            </w:r>
          </w:p>
        </w:tc>
        <w:tc>
          <w:tcPr>
            <w:tcW w:w="708" w:type="dxa"/>
            <w:tcBorders>
              <w:top w:val="nil"/>
              <w:left w:val="nil"/>
              <w:bottom w:val="nil"/>
              <w:right w:val="nil"/>
            </w:tcBorders>
            <w:vAlign w:val="bottom"/>
            <w:hideMark/>
          </w:tcPr>
          <w:p w14:paraId="294B340A" w14:textId="630D1EB6" w:rsidR="00C45BB6" w:rsidRPr="009B7E9E" w:rsidRDefault="00C45BB6" w:rsidP="00C45BB6">
            <w:pPr>
              <w:jc w:val="right"/>
              <w:rPr>
                <w:b/>
                <w:bCs/>
                <w:color w:val="000000"/>
                <w:sz w:val="14"/>
                <w:szCs w:val="14"/>
              </w:rPr>
            </w:pPr>
            <w:r w:rsidRPr="009B7E9E">
              <w:rPr>
                <w:b/>
                <w:bCs/>
                <w:color w:val="000000"/>
                <w:sz w:val="14"/>
                <w:szCs w:val="14"/>
              </w:rPr>
              <w:t>-</w:t>
            </w:r>
          </w:p>
        </w:tc>
        <w:tc>
          <w:tcPr>
            <w:tcW w:w="724" w:type="dxa"/>
            <w:tcBorders>
              <w:top w:val="nil"/>
              <w:left w:val="nil"/>
              <w:bottom w:val="nil"/>
              <w:right w:val="nil"/>
            </w:tcBorders>
            <w:vAlign w:val="bottom"/>
            <w:hideMark/>
          </w:tcPr>
          <w:p w14:paraId="4518256B" w14:textId="450D8B73" w:rsidR="00C45BB6" w:rsidRPr="009B7E9E" w:rsidRDefault="00C45BB6" w:rsidP="00C45BB6">
            <w:pPr>
              <w:jc w:val="right"/>
              <w:rPr>
                <w:b/>
                <w:bCs/>
                <w:color w:val="000000"/>
                <w:sz w:val="14"/>
                <w:szCs w:val="14"/>
              </w:rPr>
            </w:pPr>
            <w:r w:rsidRPr="009B7E9E">
              <w:rPr>
                <w:b/>
                <w:bCs/>
                <w:color w:val="000000"/>
                <w:sz w:val="14"/>
                <w:szCs w:val="14"/>
              </w:rPr>
              <w:t>-</w:t>
            </w:r>
          </w:p>
        </w:tc>
        <w:tc>
          <w:tcPr>
            <w:tcW w:w="575" w:type="dxa"/>
            <w:tcBorders>
              <w:top w:val="nil"/>
              <w:left w:val="nil"/>
              <w:bottom w:val="nil"/>
              <w:right w:val="nil"/>
            </w:tcBorders>
            <w:vAlign w:val="bottom"/>
            <w:hideMark/>
          </w:tcPr>
          <w:p w14:paraId="4A606624" w14:textId="596E37B0" w:rsidR="00C45BB6" w:rsidRPr="009B7E9E" w:rsidRDefault="00C45BB6" w:rsidP="00C45BB6">
            <w:pPr>
              <w:jc w:val="right"/>
              <w:rPr>
                <w:b/>
                <w:bCs/>
                <w:color w:val="000000"/>
                <w:sz w:val="14"/>
                <w:szCs w:val="14"/>
              </w:rPr>
            </w:pPr>
            <w:r w:rsidRPr="009B7E9E">
              <w:rPr>
                <w:b/>
                <w:bCs/>
                <w:color w:val="000000"/>
                <w:sz w:val="14"/>
                <w:szCs w:val="14"/>
              </w:rPr>
              <w:t>-</w:t>
            </w:r>
          </w:p>
        </w:tc>
        <w:tc>
          <w:tcPr>
            <w:tcW w:w="709" w:type="dxa"/>
            <w:tcBorders>
              <w:top w:val="nil"/>
              <w:left w:val="nil"/>
              <w:bottom w:val="nil"/>
              <w:right w:val="nil"/>
            </w:tcBorders>
            <w:vAlign w:val="bottom"/>
            <w:hideMark/>
          </w:tcPr>
          <w:p w14:paraId="6F3B5EF9" w14:textId="6D182487" w:rsidR="00C45BB6" w:rsidRPr="009B7E9E" w:rsidRDefault="00C45BB6" w:rsidP="00C45BB6">
            <w:pPr>
              <w:jc w:val="right"/>
              <w:rPr>
                <w:b/>
                <w:bCs/>
                <w:color w:val="000000"/>
                <w:sz w:val="14"/>
                <w:szCs w:val="14"/>
              </w:rPr>
            </w:pPr>
            <w:r w:rsidRPr="009B7E9E">
              <w:rPr>
                <w:b/>
                <w:bCs/>
                <w:color w:val="000000"/>
                <w:sz w:val="14"/>
                <w:szCs w:val="14"/>
              </w:rPr>
              <w:t>-</w:t>
            </w:r>
          </w:p>
        </w:tc>
        <w:tc>
          <w:tcPr>
            <w:tcW w:w="639" w:type="dxa"/>
            <w:tcBorders>
              <w:top w:val="nil"/>
              <w:left w:val="nil"/>
              <w:bottom w:val="nil"/>
              <w:right w:val="nil"/>
            </w:tcBorders>
            <w:vAlign w:val="bottom"/>
            <w:hideMark/>
          </w:tcPr>
          <w:p w14:paraId="53B765E0" w14:textId="38E3931F" w:rsidR="00C45BB6" w:rsidRPr="009B7E9E" w:rsidRDefault="00C45BB6" w:rsidP="00C45BB6">
            <w:pPr>
              <w:jc w:val="right"/>
              <w:rPr>
                <w:b/>
                <w:bCs/>
                <w:color w:val="000000"/>
                <w:sz w:val="14"/>
                <w:szCs w:val="14"/>
              </w:rPr>
            </w:pPr>
            <w:r w:rsidRPr="009B7E9E">
              <w:rPr>
                <w:b/>
                <w:bCs/>
                <w:color w:val="000000"/>
                <w:sz w:val="14"/>
                <w:szCs w:val="14"/>
              </w:rPr>
              <w:t>-</w:t>
            </w:r>
          </w:p>
        </w:tc>
        <w:tc>
          <w:tcPr>
            <w:tcW w:w="635" w:type="dxa"/>
            <w:tcBorders>
              <w:top w:val="nil"/>
              <w:left w:val="nil"/>
              <w:bottom w:val="nil"/>
              <w:right w:val="nil"/>
            </w:tcBorders>
            <w:vAlign w:val="bottom"/>
            <w:hideMark/>
          </w:tcPr>
          <w:p w14:paraId="3DCC201C" w14:textId="6289FB7D" w:rsidR="00C45BB6" w:rsidRPr="009B7E9E" w:rsidRDefault="00C45BB6" w:rsidP="00C45BB6">
            <w:pPr>
              <w:jc w:val="right"/>
              <w:rPr>
                <w:b/>
                <w:bCs/>
                <w:color w:val="000000"/>
                <w:sz w:val="14"/>
                <w:szCs w:val="14"/>
              </w:rPr>
            </w:pPr>
            <w:r w:rsidRPr="009B7E9E">
              <w:rPr>
                <w:b/>
                <w:bCs/>
                <w:color w:val="000000"/>
                <w:sz w:val="14"/>
                <w:szCs w:val="14"/>
              </w:rPr>
              <w:t>-</w:t>
            </w:r>
          </w:p>
        </w:tc>
        <w:tc>
          <w:tcPr>
            <w:tcW w:w="731" w:type="dxa"/>
            <w:tcBorders>
              <w:top w:val="nil"/>
              <w:left w:val="nil"/>
              <w:bottom w:val="nil"/>
              <w:right w:val="nil"/>
            </w:tcBorders>
            <w:vAlign w:val="bottom"/>
            <w:hideMark/>
          </w:tcPr>
          <w:p w14:paraId="5AF8B4ED" w14:textId="2A9CD708" w:rsidR="00C45BB6" w:rsidRPr="009B7E9E" w:rsidRDefault="00C45BB6" w:rsidP="00C45BB6">
            <w:pPr>
              <w:jc w:val="right"/>
              <w:rPr>
                <w:b/>
                <w:bCs/>
                <w:color w:val="000000"/>
                <w:sz w:val="14"/>
                <w:szCs w:val="14"/>
              </w:rPr>
            </w:pPr>
            <w:r w:rsidRPr="009B7E9E">
              <w:rPr>
                <w:b/>
                <w:bCs/>
                <w:color w:val="000000"/>
                <w:sz w:val="14"/>
                <w:szCs w:val="14"/>
              </w:rPr>
              <w:t>-</w:t>
            </w:r>
          </w:p>
        </w:tc>
        <w:tc>
          <w:tcPr>
            <w:tcW w:w="714" w:type="dxa"/>
            <w:tcBorders>
              <w:top w:val="nil"/>
              <w:left w:val="nil"/>
              <w:bottom w:val="nil"/>
              <w:right w:val="nil"/>
            </w:tcBorders>
            <w:vAlign w:val="bottom"/>
            <w:hideMark/>
          </w:tcPr>
          <w:p w14:paraId="1241D160" w14:textId="2B1FDC43" w:rsidR="00C45BB6" w:rsidRPr="009B7E9E" w:rsidRDefault="00C45BB6" w:rsidP="00C45BB6">
            <w:pPr>
              <w:jc w:val="right"/>
              <w:rPr>
                <w:b/>
                <w:bCs/>
                <w:color w:val="000000"/>
                <w:sz w:val="14"/>
                <w:szCs w:val="14"/>
              </w:rPr>
            </w:pPr>
            <w:r w:rsidRPr="009B7E9E">
              <w:rPr>
                <w:b/>
                <w:bCs/>
                <w:color w:val="000000"/>
                <w:sz w:val="14"/>
                <w:szCs w:val="14"/>
              </w:rPr>
              <w:t>-</w:t>
            </w:r>
          </w:p>
        </w:tc>
        <w:tc>
          <w:tcPr>
            <w:tcW w:w="835" w:type="dxa"/>
            <w:tcBorders>
              <w:top w:val="nil"/>
              <w:left w:val="nil"/>
              <w:bottom w:val="nil"/>
              <w:right w:val="nil"/>
            </w:tcBorders>
            <w:vAlign w:val="bottom"/>
            <w:hideMark/>
          </w:tcPr>
          <w:p w14:paraId="020A0B39" w14:textId="5C2837D7" w:rsidR="00C45BB6" w:rsidRPr="009B7E9E" w:rsidRDefault="00C45BB6" w:rsidP="00C45BB6">
            <w:pPr>
              <w:jc w:val="right"/>
              <w:rPr>
                <w:b/>
                <w:bCs/>
                <w:color w:val="000000"/>
                <w:sz w:val="14"/>
                <w:szCs w:val="14"/>
                <w:lang w:eastAsia="tr-TR"/>
              </w:rPr>
            </w:pPr>
            <w:r w:rsidRPr="009B7E9E">
              <w:rPr>
                <w:b/>
                <w:bCs/>
                <w:color w:val="000000"/>
                <w:sz w:val="14"/>
                <w:szCs w:val="14"/>
              </w:rPr>
              <w:t>(1.273.000)</w:t>
            </w:r>
          </w:p>
        </w:tc>
        <w:tc>
          <w:tcPr>
            <w:tcW w:w="709" w:type="dxa"/>
            <w:tcBorders>
              <w:top w:val="nil"/>
              <w:left w:val="nil"/>
              <w:bottom w:val="nil"/>
              <w:right w:val="nil"/>
            </w:tcBorders>
            <w:vAlign w:val="bottom"/>
            <w:hideMark/>
          </w:tcPr>
          <w:p w14:paraId="565D37C9" w14:textId="4315FF83" w:rsidR="00C45BB6" w:rsidRPr="009B7E9E" w:rsidRDefault="00C45BB6" w:rsidP="00C45BB6">
            <w:pPr>
              <w:jc w:val="right"/>
              <w:rPr>
                <w:b/>
                <w:bCs/>
                <w:color w:val="000000"/>
                <w:sz w:val="14"/>
                <w:szCs w:val="14"/>
              </w:rPr>
            </w:pPr>
            <w:r w:rsidRPr="009B7E9E">
              <w:rPr>
                <w:b/>
                <w:bCs/>
                <w:color w:val="000000"/>
                <w:sz w:val="14"/>
                <w:szCs w:val="14"/>
              </w:rPr>
              <w:t>-</w:t>
            </w:r>
          </w:p>
        </w:tc>
        <w:tc>
          <w:tcPr>
            <w:tcW w:w="850" w:type="dxa"/>
            <w:tcBorders>
              <w:top w:val="nil"/>
              <w:left w:val="nil"/>
              <w:bottom w:val="nil"/>
              <w:right w:val="nil"/>
            </w:tcBorders>
            <w:vAlign w:val="bottom"/>
            <w:hideMark/>
          </w:tcPr>
          <w:p w14:paraId="51320F0F" w14:textId="72219A3A" w:rsidR="00C45BB6" w:rsidRPr="009B7E9E" w:rsidRDefault="00C45BB6" w:rsidP="00C45BB6">
            <w:pPr>
              <w:jc w:val="right"/>
              <w:rPr>
                <w:b/>
                <w:bCs/>
                <w:color w:val="000000"/>
                <w:sz w:val="14"/>
                <w:szCs w:val="14"/>
              </w:rPr>
            </w:pPr>
            <w:r w:rsidRPr="009B7E9E">
              <w:rPr>
                <w:b/>
                <w:bCs/>
                <w:color w:val="000000"/>
                <w:sz w:val="14"/>
                <w:szCs w:val="14"/>
              </w:rPr>
              <w:t>-</w:t>
            </w:r>
          </w:p>
        </w:tc>
        <w:tc>
          <w:tcPr>
            <w:tcW w:w="993" w:type="dxa"/>
            <w:gridSpan w:val="2"/>
            <w:tcBorders>
              <w:top w:val="nil"/>
              <w:left w:val="nil"/>
              <w:bottom w:val="nil"/>
              <w:right w:val="single" w:sz="4" w:space="0" w:color="auto"/>
            </w:tcBorders>
            <w:vAlign w:val="bottom"/>
            <w:hideMark/>
          </w:tcPr>
          <w:p w14:paraId="087898A8" w14:textId="7841C98E" w:rsidR="00C45BB6" w:rsidRPr="009B7E9E" w:rsidRDefault="00C45BB6" w:rsidP="00C45BB6">
            <w:pPr>
              <w:jc w:val="right"/>
              <w:rPr>
                <w:b/>
                <w:bCs/>
                <w:color w:val="000000"/>
                <w:sz w:val="14"/>
                <w:szCs w:val="14"/>
              </w:rPr>
            </w:pPr>
            <w:r w:rsidRPr="009B7E9E">
              <w:rPr>
                <w:b/>
                <w:bCs/>
                <w:color w:val="000000"/>
                <w:sz w:val="14"/>
                <w:szCs w:val="14"/>
              </w:rPr>
              <w:t>-</w:t>
            </w:r>
          </w:p>
        </w:tc>
      </w:tr>
      <w:tr w:rsidR="00C45BB6" w:rsidRPr="009B7E9E" w14:paraId="034661C0" w14:textId="77777777" w:rsidTr="00C45BB6">
        <w:trPr>
          <w:divId w:val="818616495"/>
          <w:trHeight w:val="113"/>
        </w:trPr>
        <w:tc>
          <w:tcPr>
            <w:tcW w:w="561" w:type="dxa"/>
            <w:tcBorders>
              <w:top w:val="nil"/>
              <w:left w:val="single" w:sz="4" w:space="0" w:color="auto"/>
              <w:bottom w:val="nil"/>
              <w:right w:val="nil"/>
            </w:tcBorders>
            <w:vAlign w:val="center"/>
            <w:hideMark/>
          </w:tcPr>
          <w:p w14:paraId="2CA594F0" w14:textId="77777777" w:rsidR="00C45BB6" w:rsidRPr="009B7E9E" w:rsidRDefault="00C45BB6" w:rsidP="00C45BB6">
            <w:pPr>
              <w:rPr>
                <w:b/>
                <w:bCs/>
                <w:color w:val="000000"/>
                <w:sz w:val="14"/>
                <w:szCs w:val="14"/>
              </w:rPr>
            </w:pPr>
            <w:r w:rsidRPr="009B7E9E">
              <w:rPr>
                <w:b/>
                <w:bCs/>
                <w:color w:val="000000"/>
                <w:sz w:val="14"/>
                <w:szCs w:val="14"/>
              </w:rPr>
              <w:t>VII.</w:t>
            </w:r>
          </w:p>
        </w:tc>
        <w:tc>
          <w:tcPr>
            <w:tcW w:w="3377" w:type="dxa"/>
            <w:tcBorders>
              <w:top w:val="nil"/>
              <w:left w:val="nil"/>
              <w:bottom w:val="nil"/>
              <w:right w:val="nil"/>
            </w:tcBorders>
            <w:vAlign w:val="center"/>
            <w:hideMark/>
          </w:tcPr>
          <w:p w14:paraId="674F7A80" w14:textId="77777777" w:rsidR="00C45BB6" w:rsidRPr="009B7E9E" w:rsidRDefault="00C45BB6" w:rsidP="00C45BB6">
            <w:pPr>
              <w:rPr>
                <w:b/>
                <w:bCs/>
                <w:color w:val="000000"/>
                <w:sz w:val="14"/>
                <w:szCs w:val="14"/>
              </w:rPr>
            </w:pPr>
            <w:r w:rsidRPr="009B7E9E">
              <w:rPr>
                <w:b/>
                <w:bCs/>
                <w:color w:val="000000"/>
                <w:sz w:val="14"/>
                <w:szCs w:val="14"/>
              </w:rPr>
              <w:t>Ödenmiş Sermaye Enflasyon Düzeltme Farkı</w:t>
            </w:r>
          </w:p>
        </w:tc>
        <w:tc>
          <w:tcPr>
            <w:tcW w:w="707" w:type="dxa"/>
            <w:tcBorders>
              <w:top w:val="nil"/>
              <w:left w:val="nil"/>
              <w:bottom w:val="nil"/>
              <w:right w:val="nil"/>
            </w:tcBorders>
            <w:vAlign w:val="center"/>
            <w:hideMark/>
          </w:tcPr>
          <w:p w14:paraId="6F1B6CFE" w14:textId="77777777" w:rsidR="00C45BB6" w:rsidRPr="009B7E9E" w:rsidRDefault="00C45BB6" w:rsidP="00C45BB6">
            <w:pPr>
              <w:rPr>
                <w:b/>
                <w:bCs/>
                <w:color w:val="000000"/>
                <w:sz w:val="14"/>
                <w:szCs w:val="14"/>
              </w:rPr>
            </w:pPr>
          </w:p>
        </w:tc>
        <w:tc>
          <w:tcPr>
            <w:tcW w:w="851" w:type="dxa"/>
            <w:tcBorders>
              <w:top w:val="nil"/>
              <w:left w:val="nil"/>
              <w:bottom w:val="nil"/>
              <w:right w:val="nil"/>
            </w:tcBorders>
            <w:vAlign w:val="bottom"/>
            <w:hideMark/>
          </w:tcPr>
          <w:p w14:paraId="0A314D14" w14:textId="7F5A688A" w:rsidR="00C45BB6" w:rsidRPr="009B7E9E" w:rsidRDefault="00C45BB6" w:rsidP="00C45BB6">
            <w:pPr>
              <w:jc w:val="right"/>
              <w:rPr>
                <w:b/>
                <w:bCs/>
                <w:color w:val="000000"/>
                <w:sz w:val="14"/>
                <w:szCs w:val="14"/>
              </w:rPr>
            </w:pPr>
            <w:r w:rsidRPr="009B7E9E">
              <w:rPr>
                <w:b/>
                <w:bCs/>
                <w:color w:val="000000"/>
                <w:sz w:val="14"/>
                <w:szCs w:val="14"/>
              </w:rPr>
              <w:t>-</w:t>
            </w:r>
          </w:p>
        </w:tc>
        <w:tc>
          <w:tcPr>
            <w:tcW w:w="709" w:type="dxa"/>
            <w:tcBorders>
              <w:top w:val="nil"/>
              <w:left w:val="nil"/>
              <w:bottom w:val="nil"/>
              <w:right w:val="nil"/>
            </w:tcBorders>
            <w:vAlign w:val="bottom"/>
            <w:hideMark/>
          </w:tcPr>
          <w:p w14:paraId="2066B509" w14:textId="4B5DAE05" w:rsidR="00C45BB6" w:rsidRPr="009B7E9E" w:rsidRDefault="00C45BB6" w:rsidP="00C45BB6">
            <w:pPr>
              <w:jc w:val="right"/>
              <w:rPr>
                <w:b/>
                <w:bCs/>
                <w:color w:val="000000"/>
                <w:sz w:val="14"/>
                <w:szCs w:val="14"/>
              </w:rPr>
            </w:pPr>
            <w:r w:rsidRPr="009B7E9E">
              <w:rPr>
                <w:b/>
                <w:bCs/>
                <w:color w:val="000000"/>
                <w:sz w:val="14"/>
                <w:szCs w:val="14"/>
              </w:rPr>
              <w:t>-</w:t>
            </w:r>
          </w:p>
        </w:tc>
        <w:tc>
          <w:tcPr>
            <w:tcW w:w="708" w:type="dxa"/>
            <w:tcBorders>
              <w:top w:val="nil"/>
              <w:left w:val="nil"/>
              <w:bottom w:val="nil"/>
              <w:right w:val="nil"/>
            </w:tcBorders>
            <w:vAlign w:val="bottom"/>
            <w:hideMark/>
          </w:tcPr>
          <w:p w14:paraId="1F3BD9A9" w14:textId="1CBEC6F9" w:rsidR="00C45BB6" w:rsidRPr="009B7E9E" w:rsidRDefault="00C45BB6" w:rsidP="00C45BB6">
            <w:pPr>
              <w:jc w:val="right"/>
              <w:rPr>
                <w:b/>
                <w:bCs/>
                <w:color w:val="000000"/>
                <w:sz w:val="14"/>
                <w:szCs w:val="14"/>
              </w:rPr>
            </w:pPr>
            <w:r w:rsidRPr="009B7E9E">
              <w:rPr>
                <w:b/>
                <w:bCs/>
                <w:color w:val="000000"/>
                <w:sz w:val="14"/>
                <w:szCs w:val="14"/>
              </w:rPr>
              <w:t>-</w:t>
            </w:r>
          </w:p>
        </w:tc>
        <w:tc>
          <w:tcPr>
            <w:tcW w:w="724" w:type="dxa"/>
            <w:tcBorders>
              <w:top w:val="nil"/>
              <w:left w:val="nil"/>
              <w:bottom w:val="nil"/>
              <w:right w:val="nil"/>
            </w:tcBorders>
            <w:vAlign w:val="bottom"/>
            <w:hideMark/>
          </w:tcPr>
          <w:p w14:paraId="5619F57F" w14:textId="0D2F8AB7" w:rsidR="00C45BB6" w:rsidRPr="009B7E9E" w:rsidRDefault="00C45BB6" w:rsidP="00C45BB6">
            <w:pPr>
              <w:jc w:val="right"/>
              <w:rPr>
                <w:b/>
                <w:bCs/>
                <w:color w:val="000000"/>
                <w:sz w:val="14"/>
                <w:szCs w:val="14"/>
              </w:rPr>
            </w:pPr>
            <w:r w:rsidRPr="009B7E9E">
              <w:rPr>
                <w:b/>
                <w:bCs/>
                <w:color w:val="000000"/>
                <w:sz w:val="14"/>
                <w:szCs w:val="14"/>
              </w:rPr>
              <w:t>-</w:t>
            </w:r>
          </w:p>
        </w:tc>
        <w:tc>
          <w:tcPr>
            <w:tcW w:w="575" w:type="dxa"/>
            <w:tcBorders>
              <w:top w:val="nil"/>
              <w:left w:val="nil"/>
              <w:bottom w:val="nil"/>
              <w:right w:val="nil"/>
            </w:tcBorders>
            <w:vAlign w:val="bottom"/>
            <w:hideMark/>
          </w:tcPr>
          <w:p w14:paraId="3CEBDF74" w14:textId="56A844C5" w:rsidR="00C45BB6" w:rsidRPr="009B7E9E" w:rsidRDefault="00C45BB6" w:rsidP="00C45BB6">
            <w:pPr>
              <w:jc w:val="right"/>
              <w:rPr>
                <w:b/>
                <w:bCs/>
                <w:color w:val="000000"/>
                <w:sz w:val="14"/>
                <w:szCs w:val="14"/>
              </w:rPr>
            </w:pPr>
            <w:r w:rsidRPr="009B7E9E">
              <w:rPr>
                <w:b/>
                <w:bCs/>
                <w:color w:val="000000"/>
                <w:sz w:val="14"/>
                <w:szCs w:val="14"/>
              </w:rPr>
              <w:t>-</w:t>
            </w:r>
          </w:p>
        </w:tc>
        <w:tc>
          <w:tcPr>
            <w:tcW w:w="709" w:type="dxa"/>
            <w:tcBorders>
              <w:top w:val="nil"/>
              <w:left w:val="nil"/>
              <w:bottom w:val="nil"/>
              <w:right w:val="nil"/>
            </w:tcBorders>
            <w:vAlign w:val="bottom"/>
            <w:hideMark/>
          </w:tcPr>
          <w:p w14:paraId="3FE84892" w14:textId="454AFEAD" w:rsidR="00C45BB6" w:rsidRPr="009B7E9E" w:rsidRDefault="00C45BB6" w:rsidP="00C45BB6">
            <w:pPr>
              <w:jc w:val="right"/>
              <w:rPr>
                <w:b/>
                <w:bCs/>
                <w:color w:val="000000"/>
                <w:sz w:val="14"/>
                <w:szCs w:val="14"/>
              </w:rPr>
            </w:pPr>
            <w:r w:rsidRPr="009B7E9E">
              <w:rPr>
                <w:b/>
                <w:bCs/>
                <w:color w:val="000000"/>
                <w:sz w:val="14"/>
                <w:szCs w:val="14"/>
              </w:rPr>
              <w:t>-</w:t>
            </w:r>
          </w:p>
        </w:tc>
        <w:tc>
          <w:tcPr>
            <w:tcW w:w="639" w:type="dxa"/>
            <w:tcBorders>
              <w:top w:val="nil"/>
              <w:left w:val="nil"/>
              <w:bottom w:val="nil"/>
              <w:right w:val="nil"/>
            </w:tcBorders>
            <w:vAlign w:val="bottom"/>
            <w:hideMark/>
          </w:tcPr>
          <w:p w14:paraId="4D34E44D" w14:textId="005C1560" w:rsidR="00C45BB6" w:rsidRPr="009B7E9E" w:rsidRDefault="00C45BB6" w:rsidP="00C45BB6">
            <w:pPr>
              <w:jc w:val="right"/>
              <w:rPr>
                <w:b/>
                <w:bCs/>
                <w:color w:val="000000"/>
                <w:sz w:val="14"/>
                <w:szCs w:val="14"/>
              </w:rPr>
            </w:pPr>
            <w:r w:rsidRPr="009B7E9E">
              <w:rPr>
                <w:b/>
                <w:bCs/>
                <w:color w:val="000000"/>
                <w:sz w:val="14"/>
                <w:szCs w:val="14"/>
              </w:rPr>
              <w:t>-</w:t>
            </w:r>
          </w:p>
        </w:tc>
        <w:tc>
          <w:tcPr>
            <w:tcW w:w="635" w:type="dxa"/>
            <w:tcBorders>
              <w:top w:val="nil"/>
              <w:left w:val="nil"/>
              <w:bottom w:val="nil"/>
              <w:right w:val="nil"/>
            </w:tcBorders>
            <w:vAlign w:val="bottom"/>
            <w:hideMark/>
          </w:tcPr>
          <w:p w14:paraId="012740F5" w14:textId="64C12EDF" w:rsidR="00C45BB6" w:rsidRPr="009B7E9E" w:rsidRDefault="00C45BB6" w:rsidP="00C45BB6">
            <w:pPr>
              <w:jc w:val="right"/>
              <w:rPr>
                <w:b/>
                <w:bCs/>
                <w:color w:val="000000"/>
                <w:sz w:val="14"/>
                <w:szCs w:val="14"/>
              </w:rPr>
            </w:pPr>
            <w:r w:rsidRPr="009B7E9E">
              <w:rPr>
                <w:b/>
                <w:bCs/>
                <w:color w:val="000000"/>
                <w:sz w:val="14"/>
                <w:szCs w:val="14"/>
              </w:rPr>
              <w:t>-</w:t>
            </w:r>
          </w:p>
        </w:tc>
        <w:tc>
          <w:tcPr>
            <w:tcW w:w="731" w:type="dxa"/>
            <w:tcBorders>
              <w:top w:val="nil"/>
              <w:left w:val="nil"/>
              <w:bottom w:val="nil"/>
              <w:right w:val="nil"/>
            </w:tcBorders>
            <w:vAlign w:val="bottom"/>
            <w:hideMark/>
          </w:tcPr>
          <w:p w14:paraId="59F3A875" w14:textId="68AE2CB9" w:rsidR="00C45BB6" w:rsidRPr="009B7E9E" w:rsidRDefault="00C45BB6" w:rsidP="00C45BB6">
            <w:pPr>
              <w:jc w:val="right"/>
              <w:rPr>
                <w:b/>
                <w:bCs/>
                <w:color w:val="000000"/>
                <w:sz w:val="14"/>
                <w:szCs w:val="14"/>
              </w:rPr>
            </w:pPr>
            <w:r w:rsidRPr="009B7E9E">
              <w:rPr>
                <w:b/>
                <w:bCs/>
                <w:color w:val="000000"/>
                <w:sz w:val="14"/>
                <w:szCs w:val="14"/>
              </w:rPr>
              <w:t>-</w:t>
            </w:r>
          </w:p>
        </w:tc>
        <w:tc>
          <w:tcPr>
            <w:tcW w:w="714" w:type="dxa"/>
            <w:tcBorders>
              <w:top w:val="nil"/>
              <w:left w:val="nil"/>
              <w:bottom w:val="nil"/>
              <w:right w:val="nil"/>
            </w:tcBorders>
            <w:vAlign w:val="bottom"/>
            <w:hideMark/>
          </w:tcPr>
          <w:p w14:paraId="739265D8" w14:textId="1D782764" w:rsidR="00C45BB6" w:rsidRPr="009B7E9E" w:rsidRDefault="00C45BB6" w:rsidP="00C45BB6">
            <w:pPr>
              <w:jc w:val="right"/>
              <w:rPr>
                <w:b/>
                <w:bCs/>
                <w:color w:val="000000"/>
                <w:sz w:val="14"/>
                <w:szCs w:val="14"/>
              </w:rPr>
            </w:pPr>
            <w:r w:rsidRPr="009B7E9E">
              <w:rPr>
                <w:b/>
                <w:bCs/>
                <w:color w:val="000000"/>
                <w:sz w:val="14"/>
                <w:szCs w:val="14"/>
              </w:rPr>
              <w:t>-</w:t>
            </w:r>
          </w:p>
        </w:tc>
        <w:tc>
          <w:tcPr>
            <w:tcW w:w="835" w:type="dxa"/>
            <w:tcBorders>
              <w:top w:val="nil"/>
              <w:left w:val="nil"/>
              <w:bottom w:val="nil"/>
              <w:right w:val="nil"/>
            </w:tcBorders>
            <w:vAlign w:val="bottom"/>
            <w:hideMark/>
          </w:tcPr>
          <w:p w14:paraId="525A16DD" w14:textId="03A04821" w:rsidR="00C45BB6" w:rsidRPr="009B7E9E" w:rsidRDefault="00C45BB6" w:rsidP="00C45BB6">
            <w:pPr>
              <w:jc w:val="right"/>
              <w:rPr>
                <w:b/>
                <w:bCs/>
                <w:color w:val="000000"/>
                <w:sz w:val="14"/>
                <w:szCs w:val="14"/>
              </w:rPr>
            </w:pPr>
            <w:r w:rsidRPr="009B7E9E">
              <w:rPr>
                <w:b/>
                <w:bCs/>
                <w:color w:val="000000"/>
                <w:sz w:val="14"/>
                <w:szCs w:val="14"/>
              </w:rPr>
              <w:t>-</w:t>
            </w:r>
          </w:p>
        </w:tc>
        <w:tc>
          <w:tcPr>
            <w:tcW w:w="709" w:type="dxa"/>
            <w:tcBorders>
              <w:top w:val="nil"/>
              <w:left w:val="nil"/>
              <w:bottom w:val="nil"/>
              <w:right w:val="nil"/>
            </w:tcBorders>
            <w:vAlign w:val="bottom"/>
            <w:hideMark/>
          </w:tcPr>
          <w:p w14:paraId="652BFED0" w14:textId="75735AFC" w:rsidR="00C45BB6" w:rsidRPr="009B7E9E" w:rsidRDefault="00C45BB6" w:rsidP="00C45BB6">
            <w:pPr>
              <w:jc w:val="right"/>
              <w:rPr>
                <w:b/>
                <w:bCs/>
                <w:color w:val="000000"/>
                <w:sz w:val="14"/>
                <w:szCs w:val="14"/>
              </w:rPr>
            </w:pPr>
            <w:r w:rsidRPr="009B7E9E">
              <w:rPr>
                <w:b/>
                <w:bCs/>
                <w:color w:val="000000"/>
                <w:sz w:val="14"/>
                <w:szCs w:val="14"/>
              </w:rPr>
              <w:t>-</w:t>
            </w:r>
          </w:p>
        </w:tc>
        <w:tc>
          <w:tcPr>
            <w:tcW w:w="850" w:type="dxa"/>
            <w:tcBorders>
              <w:top w:val="nil"/>
              <w:left w:val="nil"/>
              <w:bottom w:val="nil"/>
              <w:right w:val="nil"/>
            </w:tcBorders>
            <w:vAlign w:val="bottom"/>
            <w:hideMark/>
          </w:tcPr>
          <w:p w14:paraId="63DB6C4B" w14:textId="0C061EB5" w:rsidR="00C45BB6" w:rsidRPr="009B7E9E" w:rsidRDefault="00C45BB6" w:rsidP="00C45BB6">
            <w:pPr>
              <w:jc w:val="right"/>
              <w:rPr>
                <w:b/>
                <w:bCs/>
                <w:color w:val="000000"/>
                <w:sz w:val="14"/>
                <w:szCs w:val="14"/>
              </w:rPr>
            </w:pPr>
            <w:r w:rsidRPr="009B7E9E">
              <w:rPr>
                <w:b/>
                <w:bCs/>
                <w:color w:val="000000"/>
                <w:sz w:val="14"/>
                <w:szCs w:val="14"/>
              </w:rPr>
              <w:t>-</w:t>
            </w:r>
          </w:p>
        </w:tc>
        <w:tc>
          <w:tcPr>
            <w:tcW w:w="993" w:type="dxa"/>
            <w:gridSpan w:val="2"/>
            <w:tcBorders>
              <w:top w:val="nil"/>
              <w:left w:val="nil"/>
              <w:bottom w:val="nil"/>
              <w:right w:val="single" w:sz="4" w:space="0" w:color="auto"/>
            </w:tcBorders>
            <w:vAlign w:val="bottom"/>
            <w:hideMark/>
          </w:tcPr>
          <w:p w14:paraId="73D66750" w14:textId="3AB2E882" w:rsidR="00C45BB6" w:rsidRPr="009B7E9E" w:rsidRDefault="00C45BB6" w:rsidP="00C45BB6">
            <w:pPr>
              <w:jc w:val="right"/>
              <w:rPr>
                <w:b/>
                <w:bCs/>
                <w:color w:val="000000"/>
                <w:sz w:val="14"/>
                <w:szCs w:val="14"/>
              </w:rPr>
            </w:pPr>
            <w:r w:rsidRPr="009B7E9E">
              <w:rPr>
                <w:b/>
                <w:bCs/>
                <w:color w:val="000000"/>
                <w:sz w:val="14"/>
                <w:szCs w:val="14"/>
              </w:rPr>
              <w:t>-</w:t>
            </w:r>
          </w:p>
        </w:tc>
      </w:tr>
      <w:tr w:rsidR="00C45BB6" w:rsidRPr="009B7E9E" w14:paraId="3FA9462E" w14:textId="77777777" w:rsidTr="00C45BB6">
        <w:trPr>
          <w:divId w:val="818616495"/>
          <w:trHeight w:val="113"/>
        </w:trPr>
        <w:tc>
          <w:tcPr>
            <w:tcW w:w="561" w:type="dxa"/>
            <w:tcBorders>
              <w:top w:val="nil"/>
              <w:left w:val="single" w:sz="4" w:space="0" w:color="auto"/>
              <w:bottom w:val="nil"/>
              <w:right w:val="nil"/>
            </w:tcBorders>
            <w:vAlign w:val="center"/>
            <w:hideMark/>
          </w:tcPr>
          <w:p w14:paraId="3E20B5A0" w14:textId="77777777" w:rsidR="00C45BB6" w:rsidRPr="009B7E9E" w:rsidRDefault="00C45BB6" w:rsidP="00C45BB6">
            <w:pPr>
              <w:rPr>
                <w:b/>
                <w:bCs/>
                <w:color w:val="000000"/>
                <w:sz w:val="14"/>
                <w:szCs w:val="14"/>
              </w:rPr>
            </w:pPr>
            <w:r w:rsidRPr="009B7E9E">
              <w:rPr>
                <w:b/>
                <w:bCs/>
                <w:color w:val="000000"/>
                <w:sz w:val="14"/>
                <w:szCs w:val="14"/>
              </w:rPr>
              <w:t>VIII.</w:t>
            </w:r>
          </w:p>
        </w:tc>
        <w:tc>
          <w:tcPr>
            <w:tcW w:w="3377" w:type="dxa"/>
            <w:tcBorders>
              <w:top w:val="nil"/>
              <w:left w:val="nil"/>
              <w:bottom w:val="nil"/>
              <w:right w:val="nil"/>
            </w:tcBorders>
            <w:vAlign w:val="center"/>
            <w:hideMark/>
          </w:tcPr>
          <w:p w14:paraId="07E4A1C8" w14:textId="77777777" w:rsidR="00C45BB6" w:rsidRPr="009B7E9E" w:rsidRDefault="00C45BB6" w:rsidP="00C45BB6">
            <w:pPr>
              <w:rPr>
                <w:b/>
                <w:bCs/>
                <w:color w:val="000000"/>
                <w:sz w:val="14"/>
                <w:szCs w:val="14"/>
              </w:rPr>
            </w:pPr>
            <w:r w:rsidRPr="009B7E9E">
              <w:rPr>
                <w:b/>
                <w:bCs/>
                <w:color w:val="000000"/>
                <w:sz w:val="14"/>
                <w:szCs w:val="14"/>
              </w:rPr>
              <w:t xml:space="preserve">Hisse Senedine Dönüştürülebilir Tahviller </w:t>
            </w:r>
          </w:p>
        </w:tc>
        <w:tc>
          <w:tcPr>
            <w:tcW w:w="707" w:type="dxa"/>
            <w:tcBorders>
              <w:top w:val="nil"/>
              <w:left w:val="nil"/>
              <w:bottom w:val="nil"/>
              <w:right w:val="nil"/>
            </w:tcBorders>
            <w:vAlign w:val="center"/>
            <w:hideMark/>
          </w:tcPr>
          <w:p w14:paraId="691F3A4A" w14:textId="77777777" w:rsidR="00C45BB6" w:rsidRPr="009B7E9E" w:rsidRDefault="00C45BB6" w:rsidP="00C45BB6">
            <w:pPr>
              <w:rPr>
                <w:b/>
                <w:bCs/>
                <w:color w:val="000000"/>
                <w:sz w:val="14"/>
                <w:szCs w:val="14"/>
              </w:rPr>
            </w:pPr>
          </w:p>
        </w:tc>
        <w:tc>
          <w:tcPr>
            <w:tcW w:w="851" w:type="dxa"/>
            <w:tcBorders>
              <w:top w:val="nil"/>
              <w:left w:val="nil"/>
              <w:bottom w:val="nil"/>
              <w:right w:val="nil"/>
            </w:tcBorders>
            <w:vAlign w:val="bottom"/>
            <w:hideMark/>
          </w:tcPr>
          <w:p w14:paraId="6E0C1168" w14:textId="0674439E" w:rsidR="00C45BB6" w:rsidRPr="009B7E9E" w:rsidRDefault="00C45BB6" w:rsidP="00C45BB6">
            <w:pPr>
              <w:jc w:val="right"/>
              <w:rPr>
                <w:b/>
                <w:bCs/>
                <w:color w:val="000000"/>
                <w:sz w:val="14"/>
                <w:szCs w:val="14"/>
              </w:rPr>
            </w:pPr>
            <w:r w:rsidRPr="009B7E9E">
              <w:rPr>
                <w:b/>
                <w:bCs/>
                <w:color w:val="000000"/>
                <w:sz w:val="14"/>
                <w:szCs w:val="14"/>
              </w:rPr>
              <w:t>-</w:t>
            </w:r>
          </w:p>
        </w:tc>
        <w:tc>
          <w:tcPr>
            <w:tcW w:w="709" w:type="dxa"/>
            <w:tcBorders>
              <w:top w:val="nil"/>
              <w:left w:val="nil"/>
              <w:bottom w:val="nil"/>
              <w:right w:val="nil"/>
            </w:tcBorders>
            <w:vAlign w:val="bottom"/>
            <w:hideMark/>
          </w:tcPr>
          <w:p w14:paraId="6004AB88" w14:textId="432549DF" w:rsidR="00C45BB6" w:rsidRPr="009B7E9E" w:rsidRDefault="00C45BB6" w:rsidP="00C45BB6">
            <w:pPr>
              <w:jc w:val="right"/>
              <w:rPr>
                <w:b/>
                <w:bCs/>
                <w:color w:val="000000"/>
                <w:sz w:val="14"/>
                <w:szCs w:val="14"/>
              </w:rPr>
            </w:pPr>
            <w:r w:rsidRPr="009B7E9E">
              <w:rPr>
                <w:b/>
                <w:bCs/>
                <w:color w:val="000000"/>
                <w:sz w:val="14"/>
                <w:szCs w:val="14"/>
              </w:rPr>
              <w:t>-</w:t>
            </w:r>
          </w:p>
        </w:tc>
        <w:tc>
          <w:tcPr>
            <w:tcW w:w="708" w:type="dxa"/>
            <w:tcBorders>
              <w:top w:val="nil"/>
              <w:left w:val="nil"/>
              <w:bottom w:val="nil"/>
              <w:right w:val="nil"/>
            </w:tcBorders>
            <w:vAlign w:val="bottom"/>
            <w:hideMark/>
          </w:tcPr>
          <w:p w14:paraId="2E3557D9" w14:textId="1092B29C" w:rsidR="00C45BB6" w:rsidRPr="009B7E9E" w:rsidRDefault="00C45BB6" w:rsidP="00C45BB6">
            <w:pPr>
              <w:jc w:val="right"/>
              <w:rPr>
                <w:b/>
                <w:bCs/>
                <w:color w:val="000000"/>
                <w:sz w:val="14"/>
                <w:szCs w:val="14"/>
              </w:rPr>
            </w:pPr>
            <w:r w:rsidRPr="009B7E9E">
              <w:rPr>
                <w:b/>
                <w:bCs/>
                <w:color w:val="000000"/>
                <w:sz w:val="14"/>
                <w:szCs w:val="14"/>
              </w:rPr>
              <w:t>-</w:t>
            </w:r>
          </w:p>
        </w:tc>
        <w:tc>
          <w:tcPr>
            <w:tcW w:w="724" w:type="dxa"/>
            <w:tcBorders>
              <w:top w:val="nil"/>
              <w:left w:val="nil"/>
              <w:bottom w:val="nil"/>
              <w:right w:val="nil"/>
            </w:tcBorders>
            <w:vAlign w:val="bottom"/>
            <w:hideMark/>
          </w:tcPr>
          <w:p w14:paraId="4F77F8B2" w14:textId="728974C8" w:rsidR="00C45BB6" w:rsidRPr="009B7E9E" w:rsidRDefault="00C45BB6" w:rsidP="00C45BB6">
            <w:pPr>
              <w:jc w:val="right"/>
              <w:rPr>
                <w:b/>
                <w:bCs/>
                <w:color w:val="000000"/>
                <w:sz w:val="14"/>
                <w:szCs w:val="14"/>
              </w:rPr>
            </w:pPr>
            <w:r w:rsidRPr="009B7E9E">
              <w:rPr>
                <w:b/>
                <w:bCs/>
                <w:color w:val="000000"/>
                <w:sz w:val="14"/>
                <w:szCs w:val="14"/>
              </w:rPr>
              <w:t>-</w:t>
            </w:r>
          </w:p>
        </w:tc>
        <w:tc>
          <w:tcPr>
            <w:tcW w:w="575" w:type="dxa"/>
            <w:tcBorders>
              <w:top w:val="nil"/>
              <w:left w:val="nil"/>
              <w:bottom w:val="nil"/>
              <w:right w:val="nil"/>
            </w:tcBorders>
            <w:vAlign w:val="bottom"/>
            <w:hideMark/>
          </w:tcPr>
          <w:p w14:paraId="488CAED6" w14:textId="4E04C2DC" w:rsidR="00C45BB6" w:rsidRPr="009B7E9E" w:rsidRDefault="00C45BB6" w:rsidP="00C45BB6">
            <w:pPr>
              <w:jc w:val="right"/>
              <w:rPr>
                <w:b/>
                <w:bCs/>
                <w:color w:val="000000"/>
                <w:sz w:val="14"/>
                <w:szCs w:val="14"/>
              </w:rPr>
            </w:pPr>
            <w:r w:rsidRPr="009B7E9E">
              <w:rPr>
                <w:b/>
                <w:bCs/>
                <w:color w:val="000000"/>
                <w:sz w:val="14"/>
                <w:szCs w:val="14"/>
              </w:rPr>
              <w:t>-</w:t>
            </w:r>
          </w:p>
        </w:tc>
        <w:tc>
          <w:tcPr>
            <w:tcW w:w="709" w:type="dxa"/>
            <w:tcBorders>
              <w:top w:val="nil"/>
              <w:left w:val="nil"/>
              <w:bottom w:val="nil"/>
              <w:right w:val="nil"/>
            </w:tcBorders>
            <w:vAlign w:val="bottom"/>
            <w:hideMark/>
          </w:tcPr>
          <w:p w14:paraId="581C3057" w14:textId="4B86211B" w:rsidR="00C45BB6" w:rsidRPr="009B7E9E" w:rsidRDefault="00C45BB6" w:rsidP="00C45BB6">
            <w:pPr>
              <w:jc w:val="right"/>
              <w:rPr>
                <w:b/>
                <w:bCs/>
                <w:color w:val="000000"/>
                <w:sz w:val="14"/>
                <w:szCs w:val="14"/>
              </w:rPr>
            </w:pPr>
            <w:r w:rsidRPr="009B7E9E">
              <w:rPr>
                <w:b/>
                <w:bCs/>
                <w:color w:val="000000"/>
                <w:sz w:val="14"/>
                <w:szCs w:val="14"/>
              </w:rPr>
              <w:t>-</w:t>
            </w:r>
          </w:p>
        </w:tc>
        <w:tc>
          <w:tcPr>
            <w:tcW w:w="639" w:type="dxa"/>
            <w:tcBorders>
              <w:top w:val="nil"/>
              <w:left w:val="nil"/>
              <w:bottom w:val="nil"/>
              <w:right w:val="nil"/>
            </w:tcBorders>
            <w:vAlign w:val="bottom"/>
            <w:hideMark/>
          </w:tcPr>
          <w:p w14:paraId="4C776953" w14:textId="63FC6B96" w:rsidR="00C45BB6" w:rsidRPr="009B7E9E" w:rsidRDefault="00C45BB6" w:rsidP="00C45BB6">
            <w:pPr>
              <w:jc w:val="right"/>
              <w:rPr>
                <w:b/>
                <w:bCs/>
                <w:color w:val="000000"/>
                <w:sz w:val="14"/>
                <w:szCs w:val="14"/>
              </w:rPr>
            </w:pPr>
            <w:r w:rsidRPr="009B7E9E">
              <w:rPr>
                <w:b/>
                <w:bCs/>
                <w:color w:val="000000"/>
                <w:sz w:val="14"/>
                <w:szCs w:val="14"/>
              </w:rPr>
              <w:t>-</w:t>
            </w:r>
          </w:p>
        </w:tc>
        <w:tc>
          <w:tcPr>
            <w:tcW w:w="635" w:type="dxa"/>
            <w:tcBorders>
              <w:top w:val="nil"/>
              <w:left w:val="nil"/>
              <w:bottom w:val="nil"/>
              <w:right w:val="nil"/>
            </w:tcBorders>
            <w:vAlign w:val="bottom"/>
            <w:hideMark/>
          </w:tcPr>
          <w:p w14:paraId="1C106853" w14:textId="6A6D2952" w:rsidR="00C45BB6" w:rsidRPr="009B7E9E" w:rsidRDefault="00C45BB6" w:rsidP="00C45BB6">
            <w:pPr>
              <w:jc w:val="right"/>
              <w:rPr>
                <w:b/>
                <w:bCs/>
                <w:color w:val="000000"/>
                <w:sz w:val="14"/>
                <w:szCs w:val="14"/>
              </w:rPr>
            </w:pPr>
            <w:r w:rsidRPr="009B7E9E">
              <w:rPr>
                <w:b/>
                <w:bCs/>
                <w:color w:val="000000"/>
                <w:sz w:val="14"/>
                <w:szCs w:val="14"/>
              </w:rPr>
              <w:t>-</w:t>
            </w:r>
          </w:p>
        </w:tc>
        <w:tc>
          <w:tcPr>
            <w:tcW w:w="731" w:type="dxa"/>
            <w:tcBorders>
              <w:top w:val="nil"/>
              <w:left w:val="nil"/>
              <w:bottom w:val="nil"/>
              <w:right w:val="nil"/>
            </w:tcBorders>
            <w:vAlign w:val="bottom"/>
            <w:hideMark/>
          </w:tcPr>
          <w:p w14:paraId="3C7F0375" w14:textId="6DE2C99B" w:rsidR="00C45BB6" w:rsidRPr="009B7E9E" w:rsidRDefault="00C45BB6" w:rsidP="00C45BB6">
            <w:pPr>
              <w:jc w:val="right"/>
              <w:rPr>
                <w:b/>
                <w:bCs/>
                <w:color w:val="000000"/>
                <w:sz w:val="14"/>
                <w:szCs w:val="14"/>
              </w:rPr>
            </w:pPr>
            <w:r w:rsidRPr="009B7E9E">
              <w:rPr>
                <w:b/>
                <w:bCs/>
                <w:color w:val="000000"/>
                <w:sz w:val="14"/>
                <w:szCs w:val="14"/>
              </w:rPr>
              <w:t>-</w:t>
            </w:r>
          </w:p>
        </w:tc>
        <w:tc>
          <w:tcPr>
            <w:tcW w:w="714" w:type="dxa"/>
            <w:tcBorders>
              <w:top w:val="nil"/>
              <w:left w:val="nil"/>
              <w:bottom w:val="nil"/>
              <w:right w:val="nil"/>
            </w:tcBorders>
            <w:vAlign w:val="bottom"/>
            <w:hideMark/>
          </w:tcPr>
          <w:p w14:paraId="6FB46808" w14:textId="7FFF0883" w:rsidR="00C45BB6" w:rsidRPr="009B7E9E" w:rsidRDefault="00C45BB6" w:rsidP="00C45BB6">
            <w:pPr>
              <w:jc w:val="right"/>
              <w:rPr>
                <w:b/>
                <w:bCs/>
                <w:color w:val="000000"/>
                <w:sz w:val="14"/>
                <w:szCs w:val="14"/>
              </w:rPr>
            </w:pPr>
            <w:r w:rsidRPr="009B7E9E">
              <w:rPr>
                <w:b/>
                <w:bCs/>
                <w:color w:val="000000"/>
                <w:sz w:val="14"/>
                <w:szCs w:val="14"/>
              </w:rPr>
              <w:t>-</w:t>
            </w:r>
          </w:p>
        </w:tc>
        <w:tc>
          <w:tcPr>
            <w:tcW w:w="835" w:type="dxa"/>
            <w:tcBorders>
              <w:top w:val="nil"/>
              <w:left w:val="nil"/>
              <w:bottom w:val="nil"/>
              <w:right w:val="nil"/>
            </w:tcBorders>
            <w:vAlign w:val="bottom"/>
            <w:hideMark/>
          </w:tcPr>
          <w:p w14:paraId="7707F483" w14:textId="0D33AC88" w:rsidR="00C45BB6" w:rsidRPr="009B7E9E" w:rsidRDefault="00C45BB6" w:rsidP="00C45BB6">
            <w:pPr>
              <w:jc w:val="right"/>
              <w:rPr>
                <w:b/>
                <w:bCs/>
                <w:color w:val="000000"/>
                <w:sz w:val="14"/>
                <w:szCs w:val="14"/>
              </w:rPr>
            </w:pPr>
            <w:r w:rsidRPr="009B7E9E">
              <w:rPr>
                <w:b/>
                <w:bCs/>
                <w:color w:val="000000"/>
                <w:sz w:val="14"/>
                <w:szCs w:val="14"/>
              </w:rPr>
              <w:t>-</w:t>
            </w:r>
          </w:p>
        </w:tc>
        <w:tc>
          <w:tcPr>
            <w:tcW w:w="709" w:type="dxa"/>
            <w:tcBorders>
              <w:top w:val="nil"/>
              <w:left w:val="nil"/>
              <w:bottom w:val="nil"/>
              <w:right w:val="nil"/>
            </w:tcBorders>
            <w:vAlign w:val="bottom"/>
            <w:hideMark/>
          </w:tcPr>
          <w:p w14:paraId="073C3E4E" w14:textId="3491189B" w:rsidR="00C45BB6" w:rsidRPr="009B7E9E" w:rsidRDefault="00C45BB6" w:rsidP="00C45BB6">
            <w:pPr>
              <w:jc w:val="right"/>
              <w:rPr>
                <w:b/>
                <w:bCs/>
                <w:color w:val="000000"/>
                <w:sz w:val="14"/>
                <w:szCs w:val="14"/>
              </w:rPr>
            </w:pPr>
            <w:r w:rsidRPr="009B7E9E">
              <w:rPr>
                <w:b/>
                <w:bCs/>
                <w:color w:val="000000"/>
                <w:sz w:val="14"/>
                <w:szCs w:val="14"/>
              </w:rPr>
              <w:t>-</w:t>
            </w:r>
          </w:p>
        </w:tc>
        <w:tc>
          <w:tcPr>
            <w:tcW w:w="850" w:type="dxa"/>
            <w:tcBorders>
              <w:top w:val="nil"/>
              <w:left w:val="nil"/>
              <w:bottom w:val="nil"/>
              <w:right w:val="nil"/>
            </w:tcBorders>
            <w:vAlign w:val="bottom"/>
            <w:hideMark/>
          </w:tcPr>
          <w:p w14:paraId="2D2EDB6D" w14:textId="1C907916" w:rsidR="00C45BB6" w:rsidRPr="009B7E9E" w:rsidRDefault="00C45BB6" w:rsidP="00C45BB6">
            <w:pPr>
              <w:jc w:val="right"/>
              <w:rPr>
                <w:b/>
                <w:bCs/>
                <w:color w:val="000000"/>
                <w:sz w:val="14"/>
                <w:szCs w:val="14"/>
              </w:rPr>
            </w:pPr>
            <w:r w:rsidRPr="009B7E9E">
              <w:rPr>
                <w:b/>
                <w:bCs/>
                <w:color w:val="000000"/>
                <w:sz w:val="14"/>
                <w:szCs w:val="14"/>
              </w:rPr>
              <w:t>-</w:t>
            </w:r>
          </w:p>
        </w:tc>
        <w:tc>
          <w:tcPr>
            <w:tcW w:w="993" w:type="dxa"/>
            <w:gridSpan w:val="2"/>
            <w:tcBorders>
              <w:top w:val="nil"/>
              <w:left w:val="nil"/>
              <w:bottom w:val="nil"/>
              <w:right w:val="single" w:sz="4" w:space="0" w:color="auto"/>
            </w:tcBorders>
            <w:vAlign w:val="bottom"/>
            <w:hideMark/>
          </w:tcPr>
          <w:p w14:paraId="79A4BB10" w14:textId="2F07E032" w:rsidR="00C45BB6" w:rsidRPr="009B7E9E" w:rsidRDefault="00C45BB6" w:rsidP="00C45BB6">
            <w:pPr>
              <w:jc w:val="right"/>
              <w:rPr>
                <w:b/>
                <w:bCs/>
                <w:color w:val="000000"/>
                <w:sz w:val="14"/>
                <w:szCs w:val="14"/>
              </w:rPr>
            </w:pPr>
            <w:r w:rsidRPr="009B7E9E">
              <w:rPr>
                <w:b/>
                <w:bCs/>
                <w:color w:val="000000"/>
                <w:sz w:val="14"/>
                <w:szCs w:val="14"/>
              </w:rPr>
              <w:t>-</w:t>
            </w:r>
          </w:p>
        </w:tc>
      </w:tr>
      <w:tr w:rsidR="00C45BB6" w:rsidRPr="009B7E9E" w14:paraId="70C7731D" w14:textId="77777777" w:rsidTr="00C45BB6">
        <w:trPr>
          <w:divId w:val="818616495"/>
          <w:trHeight w:val="113"/>
        </w:trPr>
        <w:tc>
          <w:tcPr>
            <w:tcW w:w="561" w:type="dxa"/>
            <w:tcBorders>
              <w:top w:val="nil"/>
              <w:left w:val="single" w:sz="4" w:space="0" w:color="auto"/>
              <w:bottom w:val="nil"/>
              <w:right w:val="nil"/>
            </w:tcBorders>
            <w:vAlign w:val="center"/>
            <w:hideMark/>
          </w:tcPr>
          <w:p w14:paraId="5BF625CE" w14:textId="77777777" w:rsidR="00C45BB6" w:rsidRPr="009B7E9E" w:rsidRDefault="00C45BB6" w:rsidP="00C45BB6">
            <w:pPr>
              <w:rPr>
                <w:b/>
                <w:bCs/>
                <w:color w:val="000000"/>
                <w:sz w:val="14"/>
                <w:szCs w:val="14"/>
              </w:rPr>
            </w:pPr>
            <w:r w:rsidRPr="009B7E9E">
              <w:rPr>
                <w:b/>
                <w:bCs/>
                <w:color w:val="000000"/>
                <w:sz w:val="14"/>
                <w:szCs w:val="14"/>
              </w:rPr>
              <w:t>IX.</w:t>
            </w:r>
          </w:p>
        </w:tc>
        <w:tc>
          <w:tcPr>
            <w:tcW w:w="3377" w:type="dxa"/>
            <w:tcBorders>
              <w:top w:val="nil"/>
              <w:left w:val="nil"/>
              <w:bottom w:val="nil"/>
              <w:right w:val="nil"/>
            </w:tcBorders>
            <w:vAlign w:val="center"/>
            <w:hideMark/>
          </w:tcPr>
          <w:p w14:paraId="0D153A8A" w14:textId="77777777" w:rsidR="00C45BB6" w:rsidRPr="009B7E9E" w:rsidRDefault="00C45BB6" w:rsidP="00C45BB6">
            <w:pPr>
              <w:rPr>
                <w:b/>
                <w:bCs/>
                <w:color w:val="000000"/>
                <w:sz w:val="14"/>
                <w:szCs w:val="14"/>
              </w:rPr>
            </w:pPr>
            <w:r w:rsidRPr="009B7E9E">
              <w:rPr>
                <w:b/>
                <w:bCs/>
                <w:color w:val="000000"/>
                <w:sz w:val="14"/>
                <w:szCs w:val="14"/>
              </w:rPr>
              <w:t>Sermaye Benzeri Borçlanma Araçları</w:t>
            </w:r>
          </w:p>
        </w:tc>
        <w:tc>
          <w:tcPr>
            <w:tcW w:w="707" w:type="dxa"/>
            <w:tcBorders>
              <w:top w:val="nil"/>
              <w:left w:val="nil"/>
              <w:bottom w:val="nil"/>
              <w:right w:val="nil"/>
            </w:tcBorders>
            <w:vAlign w:val="center"/>
            <w:hideMark/>
          </w:tcPr>
          <w:p w14:paraId="0273666D" w14:textId="77777777" w:rsidR="00C45BB6" w:rsidRPr="009B7E9E" w:rsidRDefault="00C45BB6" w:rsidP="00C45BB6">
            <w:pPr>
              <w:rPr>
                <w:b/>
                <w:bCs/>
                <w:color w:val="000000"/>
                <w:sz w:val="14"/>
                <w:szCs w:val="14"/>
              </w:rPr>
            </w:pPr>
          </w:p>
        </w:tc>
        <w:tc>
          <w:tcPr>
            <w:tcW w:w="851" w:type="dxa"/>
            <w:tcBorders>
              <w:top w:val="nil"/>
              <w:left w:val="nil"/>
              <w:bottom w:val="nil"/>
              <w:right w:val="nil"/>
            </w:tcBorders>
            <w:vAlign w:val="bottom"/>
            <w:hideMark/>
          </w:tcPr>
          <w:p w14:paraId="202D101B" w14:textId="52FBDC73" w:rsidR="00C45BB6" w:rsidRPr="009B7E9E" w:rsidRDefault="00C45BB6" w:rsidP="00C45BB6">
            <w:pPr>
              <w:jc w:val="right"/>
              <w:rPr>
                <w:b/>
                <w:bCs/>
                <w:color w:val="000000"/>
                <w:sz w:val="14"/>
                <w:szCs w:val="14"/>
              </w:rPr>
            </w:pPr>
            <w:r w:rsidRPr="009B7E9E">
              <w:rPr>
                <w:b/>
                <w:bCs/>
                <w:color w:val="000000"/>
                <w:sz w:val="14"/>
                <w:szCs w:val="14"/>
              </w:rPr>
              <w:t>-</w:t>
            </w:r>
          </w:p>
        </w:tc>
        <w:tc>
          <w:tcPr>
            <w:tcW w:w="709" w:type="dxa"/>
            <w:tcBorders>
              <w:top w:val="nil"/>
              <w:left w:val="nil"/>
              <w:bottom w:val="nil"/>
              <w:right w:val="nil"/>
            </w:tcBorders>
            <w:vAlign w:val="bottom"/>
            <w:hideMark/>
          </w:tcPr>
          <w:p w14:paraId="7BCFB19A" w14:textId="2B168828" w:rsidR="00C45BB6" w:rsidRPr="009B7E9E" w:rsidRDefault="00C45BB6" w:rsidP="00C45BB6">
            <w:pPr>
              <w:jc w:val="right"/>
              <w:rPr>
                <w:b/>
                <w:bCs/>
                <w:color w:val="000000"/>
                <w:sz w:val="14"/>
                <w:szCs w:val="14"/>
              </w:rPr>
            </w:pPr>
            <w:r w:rsidRPr="009B7E9E">
              <w:rPr>
                <w:b/>
                <w:bCs/>
                <w:color w:val="000000"/>
                <w:sz w:val="14"/>
                <w:szCs w:val="14"/>
              </w:rPr>
              <w:t>-</w:t>
            </w:r>
          </w:p>
        </w:tc>
        <w:tc>
          <w:tcPr>
            <w:tcW w:w="708" w:type="dxa"/>
            <w:tcBorders>
              <w:top w:val="nil"/>
              <w:left w:val="nil"/>
              <w:bottom w:val="nil"/>
              <w:right w:val="nil"/>
            </w:tcBorders>
            <w:vAlign w:val="bottom"/>
            <w:hideMark/>
          </w:tcPr>
          <w:p w14:paraId="69DD50F6" w14:textId="28EBF2EA" w:rsidR="00C45BB6" w:rsidRPr="009B7E9E" w:rsidRDefault="00C45BB6" w:rsidP="00C45BB6">
            <w:pPr>
              <w:jc w:val="right"/>
              <w:rPr>
                <w:b/>
                <w:bCs/>
                <w:color w:val="000000"/>
                <w:sz w:val="14"/>
                <w:szCs w:val="14"/>
              </w:rPr>
            </w:pPr>
            <w:r w:rsidRPr="009B7E9E">
              <w:rPr>
                <w:b/>
                <w:bCs/>
                <w:color w:val="000000"/>
                <w:sz w:val="14"/>
                <w:szCs w:val="14"/>
              </w:rPr>
              <w:t>-</w:t>
            </w:r>
          </w:p>
        </w:tc>
        <w:tc>
          <w:tcPr>
            <w:tcW w:w="724" w:type="dxa"/>
            <w:tcBorders>
              <w:top w:val="nil"/>
              <w:left w:val="nil"/>
              <w:bottom w:val="nil"/>
              <w:right w:val="nil"/>
            </w:tcBorders>
            <w:vAlign w:val="bottom"/>
            <w:hideMark/>
          </w:tcPr>
          <w:p w14:paraId="6A77DC7C" w14:textId="7656BBDE" w:rsidR="00C45BB6" w:rsidRPr="009B7E9E" w:rsidRDefault="00C45BB6" w:rsidP="00C45BB6">
            <w:pPr>
              <w:jc w:val="right"/>
              <w:rPr>
                <w:b/>
                <w:bCs/>
                <w:color w:val="000000"/>
                <w:sz w:val="14"/>
                <w:szCs w:val="14"/>
              </w:rPr>
            </w:pPr>
            <w:r w:rsidRPr="009B7E9E">
              <w:rPr>
                <w:b/>
                <w:bCs/>
                <w:color w:val="000000"/>
                <w:sz w:val="14"/>
                <w:szCs w:val="14"/>
              </w:rPr>
              <w:t>-</w:t>
            </w:r>
          </w:p>
        </w:tc>
        <w:tc>
          <w:tcPr>
            <w:tcW w:w="575" w:type="dxa"/>
            <w:tcBorders>
              <w:top w:val="nil"/>
              <w:left w:val="nil"/>
              <w:bottom w:val="nil"/>
              <w:right w:val="nil"/>
            </w:tcBorders>
            <w:vAlign w:val="bottom"/>
            <w:hideMark/>
          </w:tcPr>
          <w:p w14:paraId="13526933" w14:textId="4E871799" w:rsidR="00C45BB6" w:rsidRPr="009B7E9E" w:rsidRDefault="00C45BB6" w:rsidP="00C45BB6">
            <w:pPr>
              <w:jc w:val="right"/>
              <w:rPr>
                <w:b/>
                <w:bCs/>
                <w:color w:val="000000"/>
                <w:sz w:val="14"/>
                <w:szCs w:val="14"/>
              </w:rPr>
            </w:pPr>
            <w:r w:rsidRPr="009B7E9E">
              <w:rPr>
                <w:b/>
                <w:bCs/>
                <w:color w:val="000000"/>
                <w:sz w:val="14"/>
                <w:szCs w:val="14"/>
              </w:rPr>
              <w:t>-</w:t>
            </w:r>
          </w:p>
        </w:tc>
        <w:tc>
          <w:tcPr>
            <w:tcW w:w="709" w:type="dxa"/>
            <w:tcBorders>
              <w:top w:val="nil"/>
              <w:left w:val="nil"/>
              <w:bottom w:val="nil"/>
              <w:right w:val="nil"/>
            </w:tcBorders>
            <w:vAlign w:val="bottom"/>
            <w:hideMark/>
          </w:tcPr>
          <w:p w14:paraId="5B9A8F6F" w14:textId="569239CC" w:rsidR="00C45BB6" w:rsidRPr="009B7E9E" w:rsidRDefault="00C45BB6" w:rsidP="00C45BB6">
            <w:pPr>
              <w:jc w:val="right"/>
              <w:rPr>
                <w:b/>
                <w:bCs/>
                <w:color w:val="000000"/>
                <w:sz w:val="14"/>
                <w:szCs w:val="14"/>
              </w:rPr>
            </w:pPr>
            <w:r w:rsidRPr="009B7E9E">
              <w:rPr>
                <w:b/>
                <w:bCs/>
                <w:color w:val="000000"/>
                <w:sz w:val="14"/>
                <w:szCs w:val="14"/>
              </w:rPr>
              <w:t>-</w:t>
            </w:r>
          </w:p>
        </w:tc>
        <w:tc>
          <w:tcPr>
            <w:tcW w:w="639" w:type="dxa"/>
            <w:tcBorders>
              <w:top w:val="nil"/>
              <w:left w:val="nil"/>
              <w:bottom w:val="nil"/>
              <w:right w:val="nil"/>
            </w:tcBorders>
            <w:vAlign w:val="bottom"/>
            <w:hideMark/>
          </w:tcPr>
          <w:p w14:paraId="537D8138" w14:textId="628B7B9E" w:rsidR="00C45BB6" w:rsidRPr="009B7E9E" w:rsidRDefault="00C45BB6" w:rsidP="00C45BB6">
            <w:pPr>
              <w:jc w:val="right"/>
              <w:rPr>
                <w:b/>
                <w:bCs/>
                <w:color w:val="000000"/>
                <w:sz w:val="14"/>
                <w:szCs w:val="14"/>
              </w:rPr>
            </w:pPr>
            <w:r w:rsidRPr="009B7E9E">
              <w:rPr>
                <w:b/>
                <w:bCs/>
                <w:color w:val="000000"/>
                <w:sz w:val="14"/>
                <w:szCs w:val="14"/>
              </w:rPr>
              <w:t>-</w:t>
            </w:r>
          </w:p>
        </w:tc>
        <w:tc>
          <w:tcPr>
            <w:tcW w:w="635" w:type="dxa"/>
            <w:tcBorders>
              <w:top w:val="nil"/>
              <w:left w:val="nil"/>
              <w:bottom w:val="nil"/>
              <w:right w:val="nil"/>
            </w:tcBorders>
            <w:vAlign w:val="bottom"/>
            <w:hideMark/>
          </w:tcPr>
          <w:p w14:paraId="10D330C4" w14:textId="027B0B0B" w:rsidR="00C45BB6" w:rsidRPr="009B7E9E" w:rsidRDefault="00C45BB6" w:rsidP="00C45BB6">
            <w:pPr>
              <w:jc w:val="right"/>
              <w:rPr>
                <w:b/>
                <w:bCs/>
                <w:color w:val="000000"/>
                <w:sz w:val="14"/>
                <w:szCs w:val="14"/>
              </w:rPr>
            </w:pPr>
            <w:r w:rsidRPr="009B7E9E">
              <w:rPr>
                <w:b/>
                <w:bCs/>
                <w:color w:val="000000"/>
                <w:sz w:val="14"/>
                <w:szCs w:val="14"/>
              </w:rPr>
              <w:t>-</w:t>
            </w:r>
          </w:p>
        </w:tc>
        <w:tc>
          <w:tcPr>
            <w:tcW w:w="731" w:type="dxa"/>
            <w:tcBorders>
              <w:top w:val="nil"/>
              <w:left w:val="nil"/>
              <w:bottom w:val="nil"/>
              <w:right w:val="nil"/>
            </w:tcBorders>
            <w:vAlign w:val="bottom"/>
            <w:hideMark/>
          </w:tcPr>
          <w:p w14:paraId="11028681" w14:textId="0D744096" w:rsidR="00C45BB6" w:rsidRPr="009B7E9E" w:rsidRDefault="00C45BB6" w:rsidP="00C45BB6">
            <w:pPr>
              <w:jc w:val="right"/>
              <w:rPr>
                <w:b/>
                <w:bCs/>
                <w:color w:val="000000"/>
                <w:sz w:val="14"/>
                <w:szCs w:val="14"/>
              </w:rPr>
            </w:pPr>
            <w:r w:rsidRPr="009B7E9E">
              <w:rPr>
                <w:b/>
                <w:bCs/>
                <w:color w:val="000000"/>
                <w:sz w:val="14"/>
                <w:szCs w:val="14"/>
              </w:rPr>
              <w:t>-</w:t>
            </w:r>
          </w:p>
        </w:tc>
        <w:tc>
          <w:tcPr>
            <w:tcW w:w="714" w:type="dxa"/>
            <w:tcBorders>
              <w:top w:val="nil"/>
              <w:left w:val="nil"/>
              <w:bottom w:val="nil"/>
              <w:right w:val="nil"/>
            </w:tcBorders>
            <w:vAlign w:val="bottom"/>
            <w:hideMark/>
          </w:tcPr>
          <w:p w14:paraId="28EEB84A" w14:textId="531F3569" w:rsidR="00C45BB6" w:rsidRPr="009B7E9E" w:rsidRDefault="00C45BB6" w:rsidP="00C45BB6">
            <w:pPr>
              <w:jc w:val="right"/>
              <w:rPr>
                <w:b/>
                <w:bCs/>
                <w:color w:val="000000"/>
                <w:sz w:val="14"/>
                <w:szCs w:val="14"/>
              </w:rPr>
            </w:pPr>
            <w:r w:rsidRPr="009B7E9E">
              <w:rPr>
                <w:b/>
                <w:bCs/>
                <w:color w:val="000000"/>
                <w:sz w:val="14"/>
                <w:szCs w:val="14"/>
              </w:rPr>
              <w:t>-</w:t>
            </w:r>
          </w:p>
        </w:tc>
        <w:tc>
          <w:tcPr>
            <w:tcW w:w="835" w:type="dxa"/>
            <w:tcBorders>
              <w:top w:val="nil"/>
              <w:left w:val="nil"/>
              <w:bottom w:val="nil"/>
              <w:right w:val="nil"/>
            </w:tcBorders>
            <w:vAlign w:val="bottom"/>
            <w:hideMark/>
          </w:tcPr>
          <w:p w14:paraId="6920B5EA" w14:textId="0E59906F" w:rsidR="00C45BB6" w:rsidRPr="009B7E9E" w:rsidRDefault="00C45BB6" w:rsidP="00C45BB6">
            <w:pPr>
              <w:jc w:val="right"/>
              <w:rPr>
                <w:b/>
                <w:bCs/>
                <w:color w:val="000000"/>
                <w:sz w:val="14"/>
                <w:szCs w:val="14"/>
              </w:rPr>
            </w:pPr>
            <w:r w:rsidRPr="009B7E9E">
              <w:rPr>
                <w:b/>
                <w:bCs/>
                <w:color w:val="000000"/>
                <w:sz w:val="14"/>
                <w:szCs w:val="14"/>
              </w:rPr>
              <w:t>-</w:t>
            </w:r>
          </w:p>
        </w:tc>
        <w:tc>
          <w:tcPr>
            <w:tcW w:w="709" w:type="dxa"/>
            <w:tcBorders>
              <w:top w:val="nil"/>
              <w:left w:val="nil"/>
              <w:bottom w:val="nil"/>
              <w:right w:val="nil"/>
            </w:tcBorders>
            <w:vAlign w:val="bottom"/>
            <w:hideMark/>
          </w:tcPr>
          <w:p w14:paraId="26EFB357" w14:textId="239D74F0" w:rsidR="00C45BB6" w:rsidRPr="009B7E9E" w:rsidRDefault="00C45BB6" w:rsidP="00C45BB6">
            <w:pPr>
              <w:jc w:val="right"/>
              <w:rPr>
                <w:b/>
                <w:bCs/>
                <w:color w:val="000000"/>
                <w:sz w:val="14"/>
                <w:szCs w:val="14"/>
              </w:rPr>
            </w:pPr>
            <w:r w:rsidRPr="009B7E9E">
              <w:rPr>
                <w:b/>
                <w:bCs/>
                <w:color w:val="000000"/>
                <w:sz w:val="14"/>
                <w:szCs w:val="14"/>
              </w:rPr>
              <w:t>-</w:t>
            </w:r>
          </w:p>
        </w:tc>
        <w:tc>
          <w:tcPr>
            <w:tcW w:w="850" w:type="dxa"/>
            <w:tcBorders>
              <w:top w:val="nil"/>
              <w:left w:val="nil"/>
              <w:bottom w:val="nil"/>
              <w:right w:val="nil"/>
            </w:tcBorders>
            <w:vAlign w:val="bottom"/>
            <w:hideMark/>
          </w:tcPr>
          <w:p w14:paraId="54BFE892" w14:textId="7B1CAA55" w:rsidR="00C45BB6" w:rsidRPr="009B7E9E" w:rsidRDefault="00C45BB6" w:rsidP="00C45BB6">
            <w:pPr>
              <w:jc w:val="right"/>
              <w:rPr>
                <w:b/>
                <w:bCs/>
                <w:color w:val="000000"/>
                <w:sz w:val="14"/>
                <w:szCs w:val="14"/>
              </w:rPr>
            </w:pPr>
            <w:r w:rsidRPr="009B7E9E">
              <w:rPr>
                <w:b/>
                <w:bCs/>
                <w:color w:val="000000"/>
                <w:sz w:val="14"/>
                <w:szCs w:val="14"/>
              </w:rPr>
              <w:t>-</w:t>
            </w:r>
          </w:p>
        </w:tc>
        <w:tc>
          <w:tcPr>
            <w:tcW w:w="993" w:type="dxa"/>
            <w:gridSpan w:val="2"/>
            <w:tcBorders>
              <w:top w:val="nil"/>
              <w:left w:val="nil"/>
              <w:bottom w:val="nil"/>
              <w:right w:val="single" w:sz="4" w:space="0" w:color="auto"/>
            </w:tcBorders>
            <w:vAlign w:val="bottom"/>
            <w:hideMark/>
          </w:tcPr>
          <w:p w14:paraId="614A0C51" w14:textId="6FC88B5F" w:rsidR="00C45BB6" w:rsidRPr="009B7E9E" w:rsidRDefault="00C45BB6" w:rsidP="00C45BB6">
            <w:pPr>
              <w:jc w:val="right"/>
              <w:rPr>
                <w:b/>
                <w:bCs/>
                <w:color w:val="000000"/>
                <w:sz w:val="14"/>
                <w:szCs w:val="14"/>
              </w:rPr>
            </w:pPr>
            <w:r w:rsidRPr="009B7E9E">
              <w:rPr>
                <w:b/>
                <w:bCs/>
                <w:color w:val="000000"/>
                <w:sz w:val="14"/>
                <w:szCs w:val="14"/>
              </w:rPr>
              <w:t>-</w:t>
            </w:r>
          </w:p>
        </w:tc>
      </w:tr>
      <w:tr w:rsidR="00C45BB6" w:rsidRPr="009B7E9E" w14:paraId="0C1E92D0" w14:textId="77777777" w:rsidTr="00C45BB6">
        <w:trPr>
          <w:divId w:val="818616495"/>
          <w:trHeight w:val="113"/>
        </w:trPr>
        <w:tc>
          <w:tcPr>
            <w:tcW w:w="561" w:type="dxa"/>
            <w:tcBorders>
              <w:top w:val="nil"/>
              <w:left w:val="single" w:sz="4" w:space="0" w:color="auto"/>
              <w:bottom w:val="nil"/>
              <w:right w:val="nil"/>
            </w:tcBorders>
            <w:vAlign w:val="center"/>
            <w:hideMark/>
          </w:tcPr>
          <w:p w14:paraId="2E980AC2" w14:textId="77777777" w:rsidR="00C45BB6" w:rsidRPr="009B7E9E" w:rsidRDefault="00C45BB6" w:rsidP="00C45BB6">
            <w:pPr>
              <w:rPr>
                <w:b/>
                <w:bCs/>
                <w:color w:val="000000"/>
                <w:sz w:val="14"/>
                <w:szCs w:val="14"/>
              </w:rPr>
            </w:pPr>
            <w:r w:rsidRPr="009B7E9E">
              <w:rPr>
                <w:b/>
                <w:bCs/>
                <w:color w:val="000000"/>
                <w:sz w:val="14"/>
                <w:szCs w:val="14"/>
              </w:rPr>
              <w:t>X.</w:t>
            </w:r>
          </w:p>
        </w:tc>
        <w:tc>
          <w:tcPr>
            <w:tcW w:w="3377" w:type="dxa"/>
            <w:tcBorders>
              <w:top w:val="nil"/>
              <w:left w:val="nil"/>
              <w:bottom w:val="nil"/>
              <w:right w:val="nil"/>
            </w:tcBorders>
            <w:vAlign w:val="center"/>
            <w:hideMark/>
          </w:tcPr>
          <w:p w14:paraId="19E18B9F" w14:textId="77777777" w:rsidR="00C45BB6" w:rsidRPr="009B7E9E" w:rsidRDefault="00C45BB6" w:rsidP="00C45BB6">
            <w:pPr>
              <w:rPr>
                <w:b/>
                <w:bCs/>
                <w:color w:val="000000"/>
                <w:sz w:val="14"/>
                <w:szCs w:val="14"/>
              </w:rPr>
            </w:pPr>
            <w:r w:rsidRPr="009B7E9E">
              <w:rPr>
                <w:b/>
                <w:bCs/>
                <w:color w:val="000000"/>
                <w:sz w:val="14"/>
                <w:szCs w:val="14"/>
              </w:rPr>
              <w:t>Diğer Değişiklikler Nedeniyle Artış /Azalış</w:t>
            </w:r>
          </w:p>
        </w:tc>
        <w:tc>
          <w:tcPr>
            <w:tcW w:w="707" w:type="dxa"/>
            <w:tcBorders>
              <w:top w:val="nil"/>
              <w:left w:val="nil"/>
              <w:bottom w:val="nil"/>
              <w:right w:val="nil"/>
            </w:tcBorders>
            <w:vAlign w:val="center"/>
            <w:hideMark/>
          </w:tcPr>
          <w:p w14:paraId="7CB60FC0" w14:textId="77777777" w:rsidR="00C45BB6" w:rsidRPr="009B7E9E" w:rsidRDefault="00C45BB6" w:rsidP="00C45BB6">
            <w:pPr>
              <w:rPr>
                <w:b/>
                <w:bCs/>
                <w:color w:val="000000"/>
                <w:sz w:val="14"/>
                <w:szCs w:val="14"/>
              </w:rPr>
            </w:pPr>
          </w:p>
        </w:tc>
        <w:tc>
          <w:tcPr>
            <w:tcW w:w="851" w:type="dxa"/>
            <w:tcBorders>
              <w:top w:val="nil"/>
              <w:left w:val="nil"/>
              <w:bottom w:val="nil"/>
              <w:right w:val="nil"/>
            </w:tcBorders>
            <w:vAlign w:val="bottom"/>
            <w:hideMark/>
          </w:tcPr>
          <w:p w14:paraId="6F873368" w14:textId="055CE093" w:rsidR="00C45BB6" w:rsidRPr="009B7E9E" w:rsidRDefault="00C45BB6" w:rsidP="00C45BB6">
            <w:pPr>
              <w:jc w:val="right"/>
              <w:rPr>
                <w:b/>
                <w:bCs/>
                <w:color w:val="000000"/>
                <w:sz w:val="14"/>
                <w:szCs w:val="14"/>
              </w:rPr>
            </w:pPr>
            <w:r w:rsidRPr="009B7E9E">
              <w:rPr>
                <w:b/>
                <w:bCs/>
                <w:color w:val="000000"/>
                <w:sz w:val="14"/>
                <w:szCs w:val="14"/>
              </w:rPr>
              <w:t>-</w:t>
            </w:r>
          </w:p>
        </w:tc>
        <w:tc>
          <w:tcPr>
            <w:tcW w:w="709" w:type="dxa"/>
            <w:tcBorders>
              <w:top w:val="nil"/>
              <w:left w:val="nil"/>
              <w:bottom w:val="nil"/>
              <w:right w:val="nil"/>
            </w:tcBorders>
            <w:vAlign w:val="bottom"/>
            <w:hideMark/>
          </w:tcPr>
          <w:p w14:paraId="30CC03F5" w14:textId="07C4E39E" w:rsidR="00C45BB6" w:rsidRPr="009B7E9E" w:rsidRDefault="00C45BB6" w:rsidP="00C45BB6">
            <w:pPr>
              <w:jc w:val="right"/>
              <w:rPr>
                <w:b/>
                <w:bCs/>
                <w:color w:val="000000"/>
                <w:sz w:val="14"/>
                <w:szCs w:val="14"/>
              </w:rPr>
            </w:pPr>
            <w:r w:rsidRPr="009B7E9E">
              <w:rPr>
                <w:b/>
                <w:bCs/>
                <w:color w:val="000000"/>
                <w:sz w:val="14"/>
                <w:szCs w:val="14"/>
              </w:rPr>
              <w:t>-</w:t>
            </w:r>
          </w:p>
        </w:tc>
        <w:tc>
          <w:tcPr>
            <w:tcW w:w="708" w:type="dxa"/>
            <w:tcBorders>
              <w:top w:val="nil"/>
              <w:left w:val="nil"/>
              <w:bottom w:val="nil"/>
              <w:right w:val="nil"/>
            </w:tcBorders>
            <w:vAlign w:val="bottom"/>
            <w:hideMark/>
          </w:tcPr>
          <w:p w14:paraId="1DC0AC7E" w14:textId="311A2F4E" w:rsidR="00C45BB6" w:rsidRPr="009B7E9E" w:rsidRDefault="00C45BB6" w:rsidP="00C45BB6">
            <w:pPr>
              <w:jc w:val="right"/>
              <w:rPr>
                <w:b/>
                <w:bCs/>
                <w:color w:val="000000"/>
                <w:sz w:val="14"/>
                <w:szCs w:val="14"/>
              </w:rPr>
            </w:pPr>
            <w:r w:rsidRPr="009B7E9E">
              <w:rPr>
                <w:b/>
                <w:bCs/>
                <w:color w:val="000000"/>
                <w:sz w:val="14"/>
                <w:szCs w:val="14"/>
              </w:rPr>
              <w:t>-</w:t>
            </w:r>
          </w:p>
        </w:tc>
        <w:tc>
          <w:tcPr>
            <w:tcW w:w="724" w:type="dxa"/>
            <w:tcBorders>
              <w:top w:val="nil"/>
              <w:left w:val="nil"/>
              <w:bottom w:val="nil"/>
              <w:right w:val="nil"/>
            </w:tcBorders>
            <w:vAlign w:val="bottom"/>
            <w:hideMark/>
          </w:tcPr>
          <w:p w14:paraId="03A61320" w14:textId="09402A18" w:rsidR="00C45BB6" w:rsidRPr="009B7E9E" w:rsidRDefault="00C45BB6" w:rsidP="00C45BB6">
            <w:pPr>
              <w:jc w:val="right"/>
              <w:rPr>
                <w:b/>
                <w:bCs/>
                <w:color w:val="000000"/>
                <w:sz w:val="14"/>
                <w:szCs w:val="14"/>
              </w:rPr>
            </w:pPr>
            <w:r w:rsidRPr="009B7E9E">
              <w:rPr>
                <w:b/>
                <w:bCs/>
                <w:color w:val="000000"/>
                <w:sz w:val="14"/>
                <w:szCs w:val="14"/>
              </w:rPr>
              <w:t>-</w:t>
            </w:r>
          </w:p>
        </w:tc>
        <w:tc>
          <w:tcPr>
            <w:tcW w:w="575" w:type="dxa"/>
            <w:tcBorders>
              <w:top w:val="nil"/>
              <w:left w:val="nil"/>
              <w:bottom w:val="nil"/>
              <w:right w:val="nil"/>
            </w:tcBorders>
            <w:vAlign w:val="bottom"/>
            <w:hideMark/>
          </w:tcPr>
          <w:p w14:paraId="153872B1" w14:textId="54A21AB7" w:rsidR="00C45BB6" w:rsidRPr="009B7E9E" w:rsidRDefault="00C45BB6" w:rsidP="00C45BB6">
            <w:pPr>
              <w:jc w:val="right"/>
              <w:rPr>
                <w:b/>
                <w:bCs/>
                <w:color w:val="000000"/>
                <w:sz w:val="14"/>
                <w:szCs w:val="14"/>
              </w:rPr>
            </w:pPr>
            <w:r w:rsidRPr="009B7E9E">
              <w:rPr>
                <w:b/>
                <w:bCs/>
                <w:color w:val="000000"/>
                <w:sz w:val="14"/>
                <w:szCs w:val="14"/>
              </w:rPr>
              <w:t>-</w:t>
            </w:r>
          </w:p>
        </w:tc>
        <w:tc>
          <w:tcPr>
            <w:tcW w:w="709" w:type="dxa"/>
            <w:tcBorders>
              <w:top w:val="nil"/>
              <w:left w:val="nil"/>
              <w:bottom w:val="nil"/>
              <w:right w:val="nil"/>
            </w:tcBorders>
            <w:vAlign w:val="bottom"/>
            <w:hideMark/>
          </w:tcPr>
          <w:p w14:paraId="3194AF64" w14:textId="78270403" w:rsidR="00C45BB6" w:rsidRPr="009B7E9E" w:rsidRDefault="00C45BB6" w:rsidP="00C45BB6">
            <w:pPr>
              <w:jc w:val="right"/>
              <w:rPr>
                <w:b/>
                <w:bCs/>
                <w:color w:val="000000"/>
                <w:sz w:val="14"/>
                <w:szCs w:val="14"/>
              </w:rPr>
            </w:pPr>
            <w:r w:rsidRPr="009B7E9E">
              <w:rPr>
                <w:b/>
                <w:bCs/>
                <w:color w:val="000000"/>
                <w:sz w:val="14"/>
                <w:szCs w:val="14"/>
              </w:rPr>
              <w:t>-</w:t>
            </w:r>
          </w:p>
        </w:tc>
        <w:tc>
          <w:tcPr>
            <w:tcW w:w="639" w:type="dxa"/>
            <w:tcBorders>
              <w:top w:val="nil"/>
              <w:left w:val="nil"/>
              <w:bottom w:val="nil"/>
              <w:right w:val="nil"/>
            </w:tcBorders>
            <w:vAlign w:val="bottom"/>
            <w:hideMark/>
          </w:tcPr>
          <w:p w14:paraId="301966EC" w14:textId="0D21CB53" w:rsidR="00C45BB6" w:rsidRPr="009B7E9E" w:rsidRDefault="00C45BB6" w:rsidP="00C45BB6">
            <w:pPr>
              <w:jc w:val="right"/>
              <w:rPr>
                <w:b/>
                <w:bCs/>
                <w:color w:val="000000"/>
                <w:sz w:val="14"/>
                <w:szCs w:val="14"/>
              </w:rPr>
            </w:pPr>
            <w:r w:rsidRPr="009B7E9E">
              <w:rPr>
                <w:b/>
                <w:bCs/>
                <w:color w:val="000000"/>
                <w:sz w:val="14"/>
                <w:szCs w:val="14"/>
              </w:rPr>
              <w:t>-</w:t>
            </w:r>
          </w:p>
        </w:tc>
        <w:tc>
          <w:tcPr>
            <w:tcW w:w="635" w:type="dxa"/>
            <w:tcBorders>
              <w:top w:val="nil"/>
              <w:left w:val="nil"/>
              <w:bottom w:val="nil"/>
              <w:right w:val="nil"/>
            </w:tcBorders>
            <w:vAlign w:val="bottom"/>
            <w:hideMark/>
          </w:tcPr>
          <w:p w14:paraId="598E2C2C" w14:textId="691EC6C8" w:rsidR="00C45BB6" w:rsidRPr="009B7E9E" w:rsidRDefault="00C45BB6" w:rsidP="00C45BB6">
            <w:pPr>
              <w:jc w:val="right"/>
              <w:rPr>
                <w:b/>
                <w:bCs/>
                <w:color w:val="000000"/>
                <w:sz w:val="14"/>
                <w:szCs w:val="14"/>
              </w:rPr>
            </w:pPr>
            <w:r w:rsidRPr="009B7E9E">
              <w:rPr>
                <w:b/>
                <w:bCs/>
                <w:color w:val="000000"/>
                <w:sz w:val="14"/>
                <w:szCs w:val="14"/>
              </w:rPr>
              <w:t>-</w:t>
            </w:r>
          </w:p>
        </w:tc>
        <w:tc>
          <w:tcPr>
            <w:tcW w:w="731" w:type="dxa"/>
            <w:tcBorders>
              <w:top w:val="nil"/>
              <w:left w:val="nil"/>
              <w:bottom w:val="nil"/>
              <w:right w:val="nil"/>
            </w:tcBorders>
            <w:vAlign w:val="bottom"/>
            <w:hideMark/>
          </w:tcPr>
          <w:p w14:paraId="3E4175EB" w14:textId="559DFB58" w:rsidR="00C45BB6" w:rsidRPr="009B7E9E" w:rsidRDefault="00C45BB6" w:rsidP="00C45BB6">
            <w:pPr>
              <w:jc w:val="right"/>
              <w:rPr>
                <w:b/>
                <w:bCs/>
                <w:color w:val="000000"/>
                <w:sz w:val="14"/>
                <w:szCs w:val="14"/>
              </w:rPr>
            </w:pPr>
            <w:r w:rsidRPr="009B7E9E">
              <w:rPr>
                <w:b/>
                <w:bCs/>
                <w:color w:val="000000"/>
                <w:sz w:val="14"/>
                <w:szCs w:val="14"/>
              </w:rPr>
              <w:t>-</w:t>
            </w:r>
          </w:p>
        </w:tc>
        <w:tc>
          <w:tcPr>
            <w:tcW w:w="714" w:type="dxa"/>
            <w:tcBorders>
              <w:top w:val="nil"/>
              <w:left w:val="nil"/>
              <w:bottom w:val="nil"/>
              <w:right w:val="nil"/>
            </w:tcBorders>
            <w:vAlign w:val="bottom"/>
            <w:hideMark/>
          </w:tcPr>
          <w:p w14:paraId="70557B5B" w14:textId="71E88804" w:rsidR="00C45BB6" w:rsidRPr="009B7E9E" w:rsidRDefault="00C45BB6" w:rsidP="00C45BB6">
            <w:pPr>
              <w:jc w:val="right"/>
              <w:rPr>
                <w:b/>
                <w:bCs/>
                <w:color w:val="000000"/>
                <w:sz w:val="14"/>
                <w:szCs w:val="14"/>
              </w:rPr>
            </w:pPr>
            <w:r w:rsidRPr="009B7E9E">
              <w:rPr>
                <w:b/>
                <w:bCs/>
                <w:color w:val="000000"/>
                <w:sz w:val="14"/>
                <w:szCs w:val="14"/>
              </w:rPr>
              <w:t>-</w:t>
            </w:r>
          </w:p>
        </w:tc>
        <w:tc>
          <w:tcPr>
            <w:tcW w:w="835" w:type="dxa"/>
            <w:tcBorders>
              <w:top w:val="nil"/>
              <w:left w:val="nil"/>
              <w:bottom w:val="nil"/>
              <w:right w:val="nil"/>
            </w:tcBorders>
            <w:vAlign w:val="bottom"/>
            <w:hideMark/>
          </w:tcPr>
          <w:p w14:paraId="1A6A3ABC" w14:textId="03B9AA8B" w:rsidR="00C45BB6" w:rsidRPr="009B7E9E" w:rsidRDefault="00C45BB6" w:rsidP="00C45BB6">
            <w:pPr>
              <w:jc w:val="right"/>
              <w:rPr>
                <w:b/>
                <w:bCs/>
                <w:color w:val="000000"/>
                <w:sz w:val="14"/>
                <w:szCs w:val="14"/>
              </w:rPr>
            </w:pPr>
            <w:r w:rsidRPr="009B7E9E">
              <w:rPr>
                <w:b/>
                <w:bCs/>
                <w:color w:val="000000"/>
                <w:sz w:val="14"/>
                <w:szCs w:val="14"/>
              </w:rPr>
              <w:t>-</w:t>
            </w:r>
          </w:p>
        </w:tc>
        <w:tc>
          <w:tcPr>
            <w:tcW w:w="709" w:type="dxa"/>
            <w:tcBorders>
              <w:top w:val="nil"/>
              <w:left w:val="nil"/>
              <w:bottom w:val="nil"/>
              <w:right w:val="nil"/>
            </w:tcBorders>
            <w:vAlign w:val="bottom"/>
            <w:hideMark/>
          </w:tcPr>
          <w:p w14:paraId="785C0EB1" w14:textId="467349F6" w:rsidR="00C45BB6" w:rsidRPr="009B7E9E" w:rsidRDefault="00C45BB6" w:rsidP="00C45BB6">
            <w:pPr>
              <w:jc w:val="right"/>
              <w:rPr>
                <w:b/>
                <w:bCs/>
                <w:color w:val="000000"/>
                <w:sz w:val="14"/>
                <w:szCs w:val="14"/>
              </w:rPr>
            </w:pPr>
            <w:r w:rsidRPr="009B7E9E">
              <w:rPr>
                <w:b/>
                <w:bCs/>
                <w:color w:val="000000"/>
                <w:sz w:val="14"/>
                <w:szCs w:val="14"/>
              </w:rPr>
              <w:t>-</w:t>
            </w:r>
          </w:p>
        </w:tc>
        <w:tc>
          <w:tcPr>
            <w:tcW w:w="850" w:type="dxa"/>
            <w:tcBorders>
              <w:top w:val="nil"/>
              <w:left w:val="nil"/>
              <w:bottom w:val="nil"/>
              <w:right w:val="nil"/>
            </w:tcBorders>
            <w:vAlign w:val="bottom"/>
            <w:hideMark/>
          </w:tcPr>
          <w:p w14:paraId="7EAC98AE" w14:textId="41914AA7" w:rsidR="00C45BB6" w:rsidRPr="009B7E9E" w:rsidRDefault="00C45BB6" w:rsidP="00C45BB6">
            <w:pPr>
              <w:jc w:val="right"/>
              <w:rPr>
                <w:b/>
                <w:bCs/>
                <w:color w:val="000000"/>
                <w:sz w:val="14"/>
                <w:szCs w:val="14"/>
              </w:rPr>
            </w:pPr>
            <w:r w:rsidRPr="009B7E9E">
              <w:rPr>
                <w:b/>
                <w:bCs/>
                <w:color w:val="000000"/>
                <w:sz w:val="14"/>
                <w:szCs w:val="14"/>
              </w:rPr>
              <w:t>-</w:t>
            </w:r>
          </w:p>
        </w:tc>
        <w:tc>
          <w:tcPr>
            <w:tcW w:w="993" w:type="dxa"/>
            <w:gridSpan w:val="2"/>
            <w:tcBorders>
              <w:top w:val="nil"/>
              <w:left w:val="nil"/>
              <w:bottom w:val="nil"/>
              <w:right w:val="single" w:sz="4" w:space="0" w:color="auto"/>
            </w:tcBorders>
            <w:vAlign w:val="bottom"/>
            <w:hideMark/>
          </w:tcPr>
          <w:p w14:paraId="3E6A3922" w14:textId="0B704B8F" w:rsidR="00C45BB6" w:rsidRPr="009B7E9E" w:rsidRDefault="00C45BB6" w:rsidP="00C45BB6">
            <w:pPr>
              <w:jc w:val="right"/>
              <w:rPr>
                <w:b/>
                <w:bCs/>
                <w:color w:val="000000"/>
                <w:sz w:val="14"/>
                <w:szCs w:val="14"/>
              </w:rPr>
            </w:pPr>
            <w:r w:rsidRPr="009B7E9E">
              <w:rPr>
                <w:b/>
                <w:bCs/>
                <w:color w:val="000000"/>
                <w:sz w:val="14"/>
                <w:szCs w:val="14"/>
              </w:rPr>
              <w:t>-</w:t>
            </w:r>
          </w:p>
        </w:tc>
      </w:tr>
      <w:tr w:rsidR="00C45BB6" w:rsidRPr="009B7E9E" w14:paraId="48DF5B81" w14:textId="77777777" w:rsidTr="00C45BB6">
        <w:trPr>
          <w:divId w:val="818616495"/>
          <w:trHeight w:val="113"/>
        </w:trPr>
        <w:tc>
          <w:tcPr>
            <w:tcW w:w="561" w:type="dxa"/>
            <w:tcBorders>
              <w:top w:val="nil"/>
              <w:left w:val="single" w:sz="4" w:space="0" w:color="auto"/>
              <w:bottom w:val="nil"/>
              <w:right w:val="nil"/>
            </w:tcBorders>
            <w:vAlign w:val="center"/>
            <w:hideMark/>
          </w:tcPr>
          <w:p w14:paraId="0BF2F7A7" w14:textId="77777777" w:rsidR="00C45BB6" w:rsidRPr="009B7E9E" w:rsidRDefault="00C45BB6" w:rsidP="00C45BB6">
            <w:pPr>
              <w:rPr>
                <w:b/>
                <w:bCs/>
                <w:color w:val="000000"/>
                <w:sz w:val="14"/>
                <w:szCs w:val="14"/>
              </w:rPr>
            </w:pPr>
            <w:r w:rsidRPr="009B7E9E">
              <w:rPr>
                <w:b/>
                <w:bCs/>
                <w:color w:val="000000"/>
                <w:sz w:val="14"/>
                <w:szCs w:val="14"/>
              </w:rPr>
              <w:t>XI.</w:t>
            </w:r>
          </w:p>
        </w:tc>
        <w:tc>
          <w:tcPr>
            <w:tcW w:w="3377" w:type="dxa"/>
            <w:tcBorders>
              <w:top w:val="nil"/>
              <w:left w:val="nil"/>
              <w:bottom w:val="nil"/>
              <w:right w:val="nil"/>
            </w:tcBorders>
            <w:vAlign w:val="center"/>
            <w:hideMark/>
          </w:tcPr>
          <w:p w14:paraId="03137D17" w14:textId="77777777" w:rsidR="00C45BB6" w:rsidRPr="009B7E9E" w:rsidRDefault="00C45BB6" w:rsidP="00C45BB6">
            <w:pPr>
              <w:rPr>
                <w:b/>
                <w:bCs/>
                <w:color w:val="000000"/>
                <w:sz w:val="14"/>
                <w:szCs w:val="14"/>
              </w:rPr>
            </w:pPr>
            <w:r w:rsidRPr="009B7E9E">
              <w:rPr>
                <w:b/>
                <w:bCs/>
                <w:color w:val="000000"/>
                <w:sz w:val="14"/>
                <w:szCs w:val="14"/>
              </w:rPr>
              <w:t>Kâr Dağıtımı</w:t>
            </w:r>
          </w:p>
        </w:tc>
        <w:tc>
          <w:tcPr>
            <w:tcW w:w="707" w:type="dxa"/>
            <w:tcBorders>
              <w:top w:val="nil"/>
              <w:left w:val="nil"/>
              <w:bottom w:val="nil"/>
              <w:right w:val="nil"/>
            </w:tcBorders>
            <w:vAlign w:val="center"/>
            <w:hideMark/>
          </w:tcPr>
          <w:p w14:paraId="1DB29068" w14:textId="77777777" w:rsidR="00C45BB6" w:rsidRPr="009B7E9E" w:rsidRDefault="00C45BB6" w:rsidP="00C45BB6">
            <w:pPr>
              <w:rPr>
                <w:b/>
                <w:bCs/>
                <w:color w:val="000000"/>
                <w:sz w:val="14"/>
                <w:szCs w:val="14"/>
              </w:rPr>
            </w:pPr>
          </w:p>
        </w:tc>
        <w:tc>
          <w:tcPr>
            <w:tcW w:w="851" w:type="dxa"/>
            <w:tcBorders>
              <w:top w:val="nil"/>
              <w:left w:val="nil"/>
              <w:bottom w:val="nil"/>
              <w:right w:val="nil"/>
            </w:tcBorders>
            <w:vAlign w:val="bottom"/>
            <w:hideMark/>
          </w:tcPr>
          <w:p w14:paraId="665AB056" w14:textId="5E241094" w:rsidR="00C45BB6" w:rsidRPr="009B7E9E" w:rsidRDefault="00C45BB6" w:rsidP="00C45BB6">
            <w:pPr>
              <w:jc w:val="right"/>
              <w:rPr>
                <w:b/>
                <w:bCs/>
                <w:color w:val="000000"/>
                <w:sz w:val="14"/>
                <w:szCs w:val="14"/>
              </w:rPr>
            </w:pPr>
            <w:r w:rsidRPr="009B7E9E">
              <w:rPr>
                <w:b/>
                <w:bCs/>
                <w:color w:val="000000"/>
                <w:sz w:val="14"/>
                <w:szCs w:val="14"/>
              </w:rPr>
              <w:t>-</w:t>
            </w:r>
          </w:p>
        </w:tc>
        <w:tc>
          <w:tcPr>
            <w:tcW w:w="709" w:type="dxa"/>
            <w:tcBorders>
              <w:top w:val="nil"/>
              <w:left w:val="nil"/>
              <w:bottom w:val="nil"/>
              <w:right w:val="nil"/>
            </w:tcBorders>
            <w:vAlign w:val="bottom"/>
            <w:hideMark/>
          </w:tcPr>
          <w:p w14:paraId="402BB9D2" w14:textId="283576DF" w:rsidR="00C45BB6" w:rsidRPr="009B7E9E" w:rsidRDefault="00C45BB6" w:rsidP="00C45BB6">
            <w:pPr>
              <w:jc w:val="right"/>
              <w:rPr>
                <w:b/>
                <w:bCs/>
                <w:color w:val="000000"/>
                <w:sz w:val="14"/>
                <w:szCs w:val="14"/>
              </w:rPr>
            </w:pPr>
            <w:r w:rsidRPr="009B7E9E">
              <w:rPr>
                <w:b/>
                <w:bCs/>
                <w:color w:val="000000"/>
                <w:sz w:val="14"/>
                <w:szCs w:val="14"/>
              </w:rPr>
              <w:t>-</w:t>
            </w:r>
          </w:p>
        </w:tc>
        <w:tc>
          <w:tcPr>
            <w:tcW w:w="708" w:type="dxa"/>
            <w:tcBorders>
              <w:top w:val="nil"/>
              <w:left w:val="nil"/>
              <w:bottom w:val="nil"/>
              <w:right w:val="nil"/>
            </w:tcBorders>
            <w:vAlign w:val="bottom"/>
            <w:hideMark/>
          </w:tcPr>
          <w:p w14:paraId="68847A50" w14:textId="6D54150E" w:rsidR="00C45BB6" w:rsidRPr="009B7E9E" w:rsidRDefault="00C45BB6" w:rsidP="00C45BB6">
            <w:pPr>
              <w:jc w:val="right"/>
              <w:rPr>
                <w:b/>
                <w:bCs/>
                <w:color w:val="000000"/>
                <w:sz w:val="14"/>
                <w:szCs w:val="14"/>
              </w:rPr>
            </w:pPr>
            <w:r w:rsidRPr="009B7E9E">
              <w:rPr>
                <w:b/>
                <w:bCs/>
                <w:color w:val="000000"/>
                <w:sz w:val="14"/>
                <w:szCs w:val="14"/>
              </w:rPr>
              <w:t>-</w:t>
            </w:r>
          </w:p>
        </w:tc>
        <w:tc>
          <w:tcPr>
            <w:tcW w:w="724" w:type="dxa"/>
            <w:tcBorders>
              <w:top w:val="nil"/>
              <w:left w:val="nil"/>
              <w:bottom w:val="nil"/>
              <w:right w:val="nil"/>
            </w:tcBorders>
            <w:vAlign w:val="bottom"/>
            <w:hideMark/>
          </w:tcPr>
          <w:p w14:paraId="3D5544C6" w14:textId="3FD89CC6" w:rsidR="00C45BB6" w:rsidRPr="009B7E9E" w:rsidRDefault="00C45BB6" w:rsidP="00C45BB6">
            <w:pPr>
              <w:jc w:val="right"/>
              <w:rPr>
                <w:b/>
                <w:bCs/>
                <w:color w:val="000000"/>
                <w:sz w:val="14"/>
                <w:szCs w:val="14"/>
              </w:rPr>
            </w:pPr>
            <w:r w:rsidRPr="009B7E9E">
              <w:rPr>
                <w:b/>
                <w:bCs/>
                <w:color w:val="000000"/>
                <w:sz w:val="14"/>
                <w:szCs w:val="14"/>
              </w:rPr>
              <w:t>-</w:t>
            </w:r>
          </w:p>
        </w:tc>
        <w:tc>
          <w:tcPr>
            <w:tcW w:w="575" w:type="dxa"/>
            <w:tcBorders>
              <w:top w:val="nil"/>
              <w:left w:val="nil"/>
              <w:bottom w:val="nil"/>
              <w:right w:val="nil"/>
            </w:tcBorders>
            <w:vAlign w:val="bottom"/>
            <w:hideMark/>
          </w:tcPr>
          <w:p w14:paraId="0B3C477C" w14:textId="36E46368" w:rsidR="00C45BB6" w:rsidRPr="009B7E9E" w:rsidRDefault="00C45BB6" w:rsidP="00C45BB6">
            <w:pPr>
              <w:jc w:val="right"/>
              <w:rPr>
                <w:b/>
                <w:bCs/>
                <w:color w:val="000000"/>
                <w:sz w:val="14"/>
                <w:szCs w:val="14"/>
              </w:rPr>
            </w:pPr>
            <w:r w:rsidRPr="009B7E9E">
              <w:rPr>
                <w:b/>
                <w:bCs/>
                <w:color w:val="000000"/>
                <w:sz w:val="14"/>
                <w:szCs w:val="14"/>
              </w:rPr>
              <w:t>-</w:t>
            </w:r>
          </w:p>
        </w:tc>
        <w:tc>
          <w:tcPr>
            <w:tcW w:w="709" w:type="dxa"/>
            <w:tcBorders>
              <w:top w:val="nil"/>
              <w:left w:val="nil"/>
              <w:bottom w:val="nil"/>
              <w:right w:val="nil"/>
            </w:tcBorders>
            <w:vAlign w:val="bottom"/>
            <w:hideMark/>
          </w:tcPr>
          <w:p w14:paraId="228F1493" w14:textId="3FA97B74" w:rsidR="00C45BB6" w:rsidRPr="009B7E9E" w:rsidRDefault="00C45BB6" w:rsidP="00C45BB6">
            <w:pPr>
              <w:jc w:val="right"/>
              <w:rPr>
                <w:b/>
                <w:bCs/>
                <w:color w:val="000000"/>
                <w:sz w:val="14"/>
                <w:szCs w:val="14"/>
              </w:rPr>
            </w:pPr>
            <w:r w:rsidRPr="009B7E9E">
              <w:rPr>
                <w:b/>
                <w:bCs/>
                <w:color w:val="000000"/>
                <w:sz w:val="14"/>
                <w:szCs w:val="14"/>
              </w:rPr>
              <w:t>-</w:t>
            </w:r>
          </w:p>
        </w:tc>
        <w:tc>
          <w:tcPr>
            <w:tcW w:w="639" w:type="dxa"/>
            <w:tcBorders>
              <w:top w:val="nil"/>
              <w:left w:val="nil"/>
              <w:bottom w:val="nil"/>
              <w:right w:val="nil"/>
            </w:tcBorders>
            <w:vAlign w:val="bottom"/>
            <w:hideMark/>
          </w:tcPr>
          <w:p w14:paraId="66150B8A" w14:textId="50CB0822" w:rsidR="00C45BB6" w:rsidRPr="009B7E9E" w:rsidRDefault="00C45BB6" w:rsidP="00C45BB6">
            <w:pPr>
              <w:jc w:val="right"/>
              <w:rPr>
                <w:b/>
                <w:bCs/>
                <w:color w:val="000000"/>
                <w:sz w:val="14"/>
                <w:szCs w:val="14"/>
              </w:rPr>
            </w:pPr>
            <w:r w:rsidRPr="009B7E9E">
              <w:rPr>
                <w:b/>
                <w:bCs/>
                <w:color w:val="000000"/>
                <w:sz w:val="14"/>
                <w:szCs w:val="14"/>
              </w:rPr>
              <w:t>-</w:t>
            </w:r>
          </w:p>
        </w:tc>
        <w:tc>
          <w:tcPr>
            <w:tcW w:w="635" w:type="dxa"/>
            <w:tcBorders>
              <w:top w:val="nil"/>
              <w:left w:val="nil"/>
              <w:bottom w:val="nil"/>
              <w:right w:val="nil"/>
            </w:tcBorders>
            <w:vAlign w:val="bottom"/>
            <w:hideMark/>
          </w:tcPr>
          <w:p w14:paraId="5068998E" w14:textId="68B38601" w:rsidR="00C45BB6" w:rsidRPr="009B7E9E" w:rsidRDefault="00C45BB6" w:rsidP="00C45BB6">
            <w:pPr>
              <w:jc w:val="right"/>
              <w:rPr>
                <w:b/>
                <w:bCs/>
                <w:color w:val="000000"/>
                <w:sz w:val="14"/>
                <w:szCs w:val="14"/>
              </w:rPr>
            </w:pPr>
            <w:r w:rsidRPr="009B7E9E">
              <w:rPr>
                <w:b/>
                <w:bCs/>
                <w:color w:val="000000"/>
                <w:sz w:val="14"/>
                <w:szCs w:val="14"/>
              </w:rPr>
              <w:t>-</w:t>
            </w:r>
          </w:p>
        </w:tc>
        <w:tc>
          <w:tcPr>
            <w:tcW w:w="731" w:type="dxa"/>
            <w:tcBorders>
              <w:top w:val="nil"/>
              <w:left w:val="nil"/>
              <w:bottom w:val="nil"/>
              <w:right w:val="nil"/>
            </w:tcBorders>
            <w:vAlign w:val="bottom"/>
            <w:hideMark/>
          </w:tcPr>
          <w:p w14:paraId="57D7B00E" w14:textId="1695C838" w:rsidR="00C45BB6" w:rsidRPr="009B7E9E" w:rsidRDefault="00C45BB6" w:rsidP="00C45BB6">
            <w:pPr>
              <w:jc w:val="right"/>
              <w:rPr>
                <w:b/>
                <w:bCs/>
                <w:color w:val="000000"/>
                <w:sz w:val="14"/>
                <w:szCs w:val="14"/>
              </w:rPr>
            </w:pPr>
            <w:r w:rsidRPr="009B7E9E">
              <w:rPr>
                <w:b/>
                <w:bCs/>
                <w:color w:val="000000"/>
                <w:sz w:val="14"/>
                <w:szCs w:val="14"/>
              </w:rPr>
              <w:t>-</w:t>
            </w:r>
          </w:p>
        </w:tc>
        <w:tc>
          <w:tcPr>
            <w:tcW w:w="714" w:type="dxa"/>
            <w:tcBorders>
              <w:top w:val="nil"/>
              <w:left w:val="nil"/>
              <w:bottom w:val="nil"/>
              <w:right w:val="nil"/>
            </w:tcBorders>
            <w:vAlign w:val="bottom"/>
            <w:hideMark/>
          </w:tcPr>
          <w:p w14:paraId="0889F044" w14:textId="1DC652D7" w:rsidR="00C45BB6" w:rsidRPr="009B7E9E" w:rsidRDefault="00C45BB6" w:rsidP="00C45BB6">
            <w:pPr>
              <w:jc w:val="right"/>
              <w:rPr>
                <w:b/>
                <w:bCs/>
                <w:color w:val="000000"/>
                <w:sz w:val="14"/>
                <w:szCs w:val="14"/>
              </w:rPr>
            </w:pPr>
            <w:r w:rsidRPr="009B7E9E">
              <w:rPr>
                <w:b/>
                <w:bCs/>
                <w:color w:val="000000"/>
                <w:sz w:val="14"/>
                <w:szCs w:val="14"/>
              </w:rPr>
              <w:t>-</w:t>
            </w:r>
          </w:p>
        </w:tc>
        <w:tc>
          <w:tcPr>
            <w:tcW w:w="835" w:type="dxa"/>
            <w:tcBorders>
              <w:top w:val="nil"/>
              <w:left w:val="nil"/>
              <w:bottom w:val="nil"/>
              <w:right w:val="nil"/>
            </w:tcBorders>
            <w:vAlign w:val="bottom"/>
            <w:hideMark/>
          </w:tcPr>
          <w:p w14:paraId="2ED318C0" w14:textId="204053AA" w:rsidR="00C45BB6" w:rsidRPr="009B7E9E" w:rsidRDefault="00C45BB6" w:rsidP="00C45BB6">
            <w:pPr>
              <w:jc w:val="right"/>
              <w:rPr>
                <w:b/>
                <w:bCs/>
                <w:color w:val="000000"/>
                <w:sz w:val="14"/>
                <w:szCs w:val="14"/>
              </w:rPr>
            </w:pPr>
            <w:r w:rsidRPr="009B7E9E">
              <w:rPr>
                <w:b/>
                <w:bCs/>
                <w:color w:val="000000"/>
                <w:sz w:val="14"/>
                <w:szCs w:val="14"/>
              </w:rPr>
              <w:t>1.340.594</w:t>
            </w:r>
          </w:p>
        </w:tc>
        <w:tc>
          <w:tcPr>
            <w:tcW w:w="709" w:type="dxa"/>
            <w:tcBorders>
              <w:top w:val="nil"/>
              <w:left w:val="nil"/>
              <w:bottom w:val="nil"/>
              <w:right w:val="nil"/>
            </w:tcBorders>
            <w:vAlign w:val="bottom"/>
            <w:hideMark/>
          </w:tcPr>
          <w:p w14:paraId="7369527E" w14:textId="5FEE8D85" w:rsidR="00C45BB6" w:rsidRPr="009B7E9E" w:rsidRDefault="00C45BB6" w:rsidP="00C45BB6">
            <w:pPr>
              <w:jc w:val="right"/>
              <w:rPr>
                <w:b/>
                <w:bCs/>
                <w:color w:val="000000"/>
                <w:sz w:val="14"/>
                <w:szCs w:val="14"/>
              </w:rPr>
            </w:pPr>
            <w:r w:rsidRPr="009B7E9E">
              <w:rPr>
                <w:b/>
                <w:bCs/>
                <w:color w:val="000000"/>
                <w:sz w:val="14"/>
                <w:szCs w:val="14"/>
              </w:rPr>
              <w:t>13.048</w:t>
            </w:r>
          </w:p>
        </w:tc>
        <w:tc>
          <w:tcPr>
            <w:tcW w:w="850" w:type="dxa"/>
            <w:tcBorders>
              <w:top w:val="nil"/>
              <w:left w:val="nil"/>
              <w:bottom w:val="nil"/>
              <w:right w:val="nil"/>
            </w:tcBorders>
            <w:vAlign w:val="bottom"/>
            <w:hideMark/>
          </w:tcPr>
          <w:p w14:paraId="2A8E9653" w14:textId="77562A19" w:rsidR="00C45BB6" w:rsidRPr="009B7E9E" w:rsidRDefault="00C45BB6" w:rsidP="00C45BB6">
            <w:pPr>
              <w:jc w:val="right"/>
              <w:rPr>
                <w:b/>
                <w:bCs/>
                <w:color w:val="000000"/>
                <w:sz w:val="14"/>
                <w:szCs w:val="14"/>
              </w:rPr>
            </w:pPr>
            <w:r w:rsidRPr="009B7E9E">
              <w:rPr>
                <w:b/>
                <w:bCs/>
                <w:color w:val="000000"/>
                <w:sz w:val="14"/>
                <w:szCs w:val="14"/>
              </w:rPr>
              <w:t>(1.353.642)</w:t>
            </w:r>
          </w:p>
        </w:tc>
        <w:tc>
          <w:tcPr>
            <w:tcW w:w="993" w:type="dxa"/>
            <w:gridSpan w:val="2"/>
            <w:tcBorders>
              <w:top w:val="nil"/>
              <w:left w:val="nil"/>
              <w:bottom w:val="nil"/>
              <w:right w:val="single" w:sz="4" w:space="0" w:color="auto"/>
            </w:tcBorders>
            <w:vAlign w:val="bottom"/>
            <w:hideMark/>
          </w:tcPr>
          <w:p w14:paraId="3B29AD05" w14:textId="0ECC0653" w:rsidR="00C45BB6" w:rsidRPr="009B7E9E" w:rsidRDefault="00C45BB6" w:rsidP="00C45BB6">
            <w:pPr>
              <w:jc w:val="right"/>
              <w:rPr>
                <w:b/>
                <w:bCs/>
                <w:color w:val="000000"/>
                <w:sz w:val="14"/>
                <w:szCs w:val="14"/>
              </w:rPr>
            </w:pPr>
            <w:r w:rsidRPr="009B7E9E">
              <w:rPr>
                <w:b/>
                <w:bCs/>
                <w:color w:val="000000"/>
                <w:sz w:val="14"/>
                <w:szCs w:val="14"/>
              </w:rPr>
              <w:t>-</w:t>
            </w:r>
          </w:p>
        </w:tc>
      </w:tr>
      <w:tr w:rsidR="00C45BB6" w:rsidRPr="009B7E9E" w14:paraId="18DDEB76" w14:textId="77777777" w:rsidTr="00C45BB6">
        <w:trPr>
          <w:divId w:val="818616495"/>
          <w:trHeight w:val="113"/>
        </w:trPr>
        <w:tc>
          <w:tcPr>
            <w:tcW w:w="561" w:type="dxa"/>
            <w:tcBorders>
              <w:top w:val="nil"/>
              <w:left w:val="single" w:sz="4" w:space="0" w:color="auto"/>
              <w:bottom w:val="nil"/>
              <w:right w:val="nil"/>
            </w:tcBorders>
            <w:vAlign w:val="center"/>
            <w:hideMark/>
          </w:tcPr>
          <w:p w14:paraId="3BC630AA" w14:textId="77777777" w:rsidR="00C45BB6" w:rsidRPr="009B7E9E" w:rsidRDefault="00C45BB6" w:rsidP="00C45BB6">
            <w:pPr>
              <w:rPr>
                <w:color w:val="000000"/>
                <w:sz w:val="14"/>
                <w:szCs w:val="14"/>
              </w:rPr>
            </w:pPr>
            <w:r w:rsidRPr="009B7E9E">
              <w:rPr>
                <w:color w:val="000000"/>
                <w:sz w:val="14"/>
                <w:szCs w:val="14"/>
              </w:rPr>
              <w:t>11.1</w:t>
            </w:r>
          </w:p>
        </w:tc>
        <w:tc>
          <w:tcPr>
            <w:tcW w:w="3377" w:type="dxa"/>
            <w:tcBorders>
              <w:top w:val="nil"/>
              <w:left w:val="nil"/>
              <w:bottom w:val="nil"/>
              <w:right w:val="nil"/>
            </w:tcBorders>
            <w:vAlign w:val="center"/>
            <w:hideMark/>
          </w:tcPr>
          <w:p w14:paraId="3D45CA91" w14:textId="77777777" w:rsidR="00C45BB6" w:rsidRPr="009B7E9E" w:rsidRDefault="00C45BB6" w:rsidP="00C45BB6">
            <w:pPr>
              <w:rPr>
                <w:color w:val="000000"/>
                <w:sz w:val="14"/>
                <w:szCs w:val="14"/>
              </w:rPr>
            </w:pPr>
            <w:r w:rsidRPr="009B7E9E">
              <w:rPr>
                <w:color w:val="000000"/>
                <w:sz w:val="14"/>
                <w:szCs w:val="14"/>
              </w:rPr>
              <w:t>Dağıtılan Temettü</w:t>
            </w:r>
          </w:p>
        </w:tc>
        <w:tc>
          <w:tcPr>
            <w:tcW w:w="707" w:type="dxa"/>
            <w:tcBorders>
              <w:top w:val="nil"/>
              <w:left w:val="nil"/>
              <w:bottom w:val="nil"/>
              <w:right w:val="nil"/>
            </w:tcBorders>
            <w:vAlign w:val="center"/>
            <w:hideMark/>
          </w:tcPr>
          <w:p w14:paraId="3978EA3A" w14:textId="77777777" w:rsidR="00C45BB6" w:rsidRPr="009B7E9E" w:rsidRDefault="00C45BB6" w:rsidP="00C45BB6">
            <w:pPr>
              <w:rPr>
                <w:color w:val="000000"/>
                <w:sz w:val="14"/>
                <w:szCs w:val="14"/>
              </w:rPr>
            </w:pPr>
          </w:p>
        </w:tc>
        <w:tc>
          <w:tcPr>
            <w:tcW w:w="851" w:type="dxa"/>
            <w:tcBorders>
              <w:top w:val="nil"/>
              <w:left w:val="nil"/>
              <w:bottom w:val="nil"/>
              <w:right w:val="nil"/>
            </w:tcBorders>
            <w:vAlign w:val="bottom"/>
            <w:hideMark/>
          </w:tcPr>
          <w:p w14:paraId="6EBE8CD5" w14:textId="6A9B16AE" w:rsidR="00C45BB6" w:rsidRPr="009B7E9E" w:rsidRDefault="00C45BB6" w:rsidP="00C45BB6">
            <w:pPr>
              <w:jc w:val="right"/>
              <w:rPr>
                <w:color w:val="000000"/>
                <w:sz w:val="14"/>
                <w:szCs w:val="14"/>
              </w:rPr>
            </w:pPr>
            <w:r w:rsidRPr="009B7E9E">
              <w:rPr>
                <w:color w:val="000000"/>
                <w:sz w:val="14"/>
                <w:szCs w:val="14"/>
              </w:rPr>
              <w:t>-</w:t>
            </w:r>
          </w:p>
        </w:tc>
        <w:tc>
          <w:tcPr>
            <w:tcW w:w="709" w:type="dxa"/>
            <w:tcBorders>
              <w:top w:val="nil"/>
              <w:left w:val="nil"/>
              <w:bottom w:val="nil"/>
              <w:right w:val="nil"/>
            </w:tcBorders>
            <w:vAlign w:val="bottom"/>
            <w:hideMark/>
          </w:tcPr>
          <w:p w14:paraId="1F2DB873" w14:textId="5E7CAB36" w:rsidR="00C45BB6" w:rsidRPr="009B7E9E" w:rsidRDefault="00C45BB6" w:rsidP="00C45BB6">
            <w:pPr>
              <w:jc w:val="right"/>
              <w:rPr>
                <w:color w:val="000000"/>
                <w:sz w:val="14"/>
                <w:szCs w:val="14"/>
              </w:rPr>
            </w:pPr>
            <w:r w:rsidRPr="009B7E9E">
              <w:rPr>
                <w:color w:val="000000"/>
                <w:sz w:val="14"/>
                <w:szCs w:val="14"/>
              </w:rPr>
              <w:t>-</w:t>
            </w:r>
          </w:p>
        </w:tc>
        <w:tc>
          <w:tcPr>
            <w:tcW w:w="708" w:type="dxa"/>
            <w:tcBorders>
              <w:top w:val="nil"/>
              <w:left w:val="nil"/>
              <w:bottom w:val="nil"/>
              <w:right w:val="nil"/>
            </w:tcBorders>
            <w:vAlign w:val="bottom"/>
            <w:hideMark/>
          </w:tcPr>
          <w:p w14:paraId="3809CB00" w14:textId="5C0E90C5" w:rsidR="00C45BB6" w:rsidRPr="009B7E9E" w:rsidRDefault="00C45BB6" w:rsidP="00C45BB6">
            <w:pPr>
              <w:jc w:val="right"/>
              <w:rPr>
                <w:color w:val="000000"/>
                <w:sz w:val="14"/>
                <w:szCs w:val="14"/>
              </w:rPr>
            </w:pPr>
            <w:r w:rsidRPr="009B7E9E">
              <w:rPr>
                <w:color w:val="000000"/>
                <w:sz w:val="14"/>
                <w:szCs w:val="14"/>
              </w:rPr>
              <w:t>-</w:t>
            </w:r>
          </w:p>
        </w:tc>
        <w:tc>
          <w:tcPr>
            <w:tcW w:w="724" w:type="dxa"/>
            <w:tcBorders>
              <w:top w:val="nil"/>
              <w:left w:val="nil"/>
              <w:bottom w:val="nil"/>
              <w:right w:val="nil"/>
            </w:tcBorders>
            <w:vAlign w:val="bottom"/>
            <w:hideMark/>
          </w:tcPr>
          <w:p w14:paraId="6ABD93D1" w14:textId="3E0BDB6A" w:rsidR="00C45BB6" w:rsidRPr="009B7E9E" w:rsidRDefault="00C45BB6" w:rsidP="00C45BB6">
            <w:pPr>
              <w:jc w:val="right"/>
              <w:rPr>
                <w:color w:val="000000"/>
                <w:sz w:val="14"/>
                <w:szCs w:val="14"/>
              </w:rPr>
            </w:pPr>
            <w:r w:rsidRPr="009B7E9E">
              <w:rPr>
                <w:color w:val="000000"/>
                <w:sz w:val="14"/>
                <w:szCs w:val="14"/>
              </w:rPr>
              <w:t>-</w:t>
            </w:r>
          </w:p>
        </w:tc>
        <w:tc>
          <w:tcPr>
            <w:tcW w:w="575" w:type="dxa"/>
            <w:tcBorders>
              <w:top w:val="nil"/>
              <w:left w:val="nil"/>
              <w:bottom w:val="nil"/>
              <w:right w:val="nil"/>
            </w:tcBorders>
            <w:vAlign w:val="bottom"/>
            <w:hideMark/>
          </w:tcPr>
          <w:p w14:paraId="05DCAA72" w14:textId="16A1194C" w:rsidR="00C45BB6" w:rsidRPr="009B7E9E" w:rsidRDefault="00C45BB6" w:rsidP="00C45BB6">
            <w:pPr>
              <w:jc w:val="right"/>
              <w:rPr>
                <w:color w:val="000000"/>
                <w:sz w:val="14"/>
                <w:szCs w:val="14"/>
              </w:rPr>
            </w:pPr>
            <w:r w:rsidRPr="009B7E9E">
              <w:rPr>
                <w:color w:val="000000"/>
                <w:sz w:val="14"/>
                <w:szCs w:val="14"/>
              </w:rPr>
              <w:t>-</w:t>
            </w:r>
          </w:p>
        </w:tc>
        <w:tc>
          <w:tcPr>
            <w:tcW w:w="709" w:type="dxa"/>
            <w:tcBorders>
              <w:top w:val="nil"/>
              <w:left w:val="nil"/>
              <w:bottom w:val="nil"/>
              <w:right w:val="nil"/>
            </w:tcBorders>
            <w:vAlign w:val="bottom"/>
            <w:hideMark/>
          </w:tcPr>
          <w:p w14:paraId="7D839201" w14:textId="64A171D4" w:rsidR="00C45BB6" w:rsidRPr="009B7E9E" w:rsidRDefault="00C45BB6" w:rsidP="00C45BB6">
            <w:pPr>
              <w:jc w:val="right"/>
              <w:rPr>
                <w:color w:val="000000"/>
                <w:sz w:val="14"/>
                <w:szCs w:val="14"/>
              </w:rPr>
            </w:pPr>
            <w:r w:rsidRPr="009B7E9E">
              <w:rPr>
                <w:color w:val="000000"/>
                <w:sz w:val="14"/>
                <w:szCs w:val="14"/>
              </w:rPr>
              <w:t>-</w:t>
            </w:r>
          </w:p>
        </w:tc>
        <w:tc>
          <w:tcPr>
            <w:tcW w:w="639" w:type="dxa"/>
            <w:tcBorders>
              <w:top w:val="nil"/>
              <w:left w:val="nil"/>
              <w:bottom w:val="nil"/>
              <w:right w:val="nil"/>
            </w:tcBorders>
            <w:vAlign w:val="bottom"/>
            <w:hideMark/>
          </w:tcPr>
          <w:p w14:paraId="3B853237" w14:textId="2135C67C" w:rsidR="00C45BB6" w:rsidRPr="009B7E9E" w:rsidRDefault="00C45BB6" w:rsidP="00C45BB6">
            <w:pPr>
              <w:jc w:val="right"/>
              <w:rPr>
                <w:color w:val="000000"/>
                <w:sz w:val="14"/>
                <w:szCs w:val="14"/>
              </w:rPr>
            </w:pPr>
            <w:r w:rsidRPr="009B7E9E">
              <w:rPr>
                <w:color w:val="000000"/>
                <w:sz w:val="14"/>
                <w:szCs w:val="14"/>
              </w:rPr>
              <w:t>-</w:t>
            </w:r>
          </w:p>
        </w:tc>
        <w:tc>
          <w:tcPr>
            <w:tcW w:w="635" w:type="dxa"/>
            <w:tcBorders>
              <w:top w:val="nil"/>
              <w:left w:val="nil"/>
              <w:bottom w:val="nil"/>
              <w:right w:val="nil"/>
            </w:tcBorders>
            <w:vAlign w:val="bottom"/>
            <w:hideMark/>
          </w:tcPr>
          <w:p w14:paraId="7FE43993" w14:textId="1CA56C8F" w:rsidR="00C45BB6" w:rsidRPr="009B7E9E" w:rsidRDefault="00C45BB6" w:rsidP="00C45BB6">
            <w:pPr>
              <w:jc w:val="right"/>
              <w:rPr>
                <w:color w:val="000000"/>
                <w:sz w:val="14"/>
                <w:szCs w:val="14"/>
              </w:rPr>
            </w:pPr>
            <w:r w:rsidRPr="009B7E9E">
              <w:rPr>
                <w:color w:val="000000"/>
                <w:sz w:val="14"/>
                <w:szCs w:val="14"/>
              </w:rPr>
              <w:t>-</w:t>
            </w:r>
          </w:p>
        </w:tc>
        <w:tc>
          <w:tcPr>
            <w:tcW w:w="731" w:type="dxa"/>
            <w:tcBorders>
              <w:top w:val="nil"/>
              <w:left w:val="nil"/>
              <w:bottom w:val="nil"/>
              <w:right w:val="nil"/>
            </w:tcBorders>
            <w:vAlign w:val="bottom"/>
            <w:hideMark/>
          </w:tcPr>
          <w:p w14:paraId="7181B52F" w14:textId="3B4EA187" w:rsidR="00C45BB6" w:rsidRPr="009B7E9E" w:rsidRDefault="00C45BB6" w:rsidP="00C45BB6">
            <w:pPr>
              <w:jc w:val="right"/>
              <w:rPr>
                <w:color w:val="000000"/>
                <w:sz w:val="14"/>
                <w:szCs w:val="14"/>
              </w:rPr>
            </w:pPr>
            <w:r w:rsidRPr="009B7E9E">
              <w:rPr>
                <w:color w:val="000000"/>
                <w:sz w:val="14"/>
                <w:szCs w:val="14"/>
              </w:rPr>
              <w:t>-</w:t>
            </w:r>
          </w:p>
        </w:tc>
        <w:tc>
          <w:tcPr>
            <w:tcW w:w="714" w:type="dxa"/>
            <w:tcBorders>
              <w:top w:val="nil"/>
              <w:left w:val="nil"/>
              <w:bottom w:val="nil"/>
              <w:right w:val="nil"/>
            </w:tcBorders>
            <w:vAlign w:val="bottom"/>
            <w:hideMark/>
          </w:tcPr>
          <w:p w14:paraId="1810C4C9" w14:textId="1A48EDD9" w:rsidR="00C45BB6" w:rsidRPr="009B7E9E" w:rsidRDefault="00C45BB6" w:rsidP="00C45BB6">
            <w:pPr>
              <w:jc w:val="right"/>
              <w:rPr>
                <w:color w:val="000000"/>
                <w:sz w:val="14"/>
                <w:szCs w:val="14"/>
              </w:rPr>
            </w:pPr>
            <w:r w:rsidRPr="009B7E9E">
              <w:rPr>
                <w:color w:val="000000"/>
                <w:sz w:val="14"/>
                <w:szCs w:val="14"/>
              </w:rPr>
              <w:t>-</w:t>
            </w:r>
          </w:p>
        </w:tc>
        <w:tc>
          <w:tcPr>
            <w:tcW w:w="835" w:type="dxa"/>
            <w:tcBorders>
              <w:top w:val="nil"/>
              <w:left w:val="nil"/>
              <w:bottom w:val="nil"/>
              <w:right w:val="nil"/>
            </w:tcBorders>
            <w:vAlign w:val="bottom"/>
            <w:hideMark/>
          </w:tcPr>
          <w:p w14:paraId="565A1E79" w14:textId="7F084A3F" w:rsidR="00C45BB6" w:rsidRPr="009B7E9E" w:rsidRDefault="00C45BB6" w:rsidP="00C45BB6">
            <w:pPr>
              <w:jc w:val="right"/>
              <w:rPr>
                <w:color w:val="000000"/>
                <w:sz w:val="14"/>
                <w:szCs w:val="14"/>
              </w:rPr>
            </w:pPr>
            <w:r w:rsidRPr="009B7E9E">
              <w:rPr>
                <w:color w:val="000000"/>
                <w:sz w:val="14"/>
                <w:szCs w:val="14"/>
              </w:rPr>
              <w:t>-</w:t>
            </w:r>
          </w:p>
        </w:tc>
        <w:tc>
          <w:tcPr>
            <w:tcW w:w="709" w:type="dxa"/>
            <w:tcBorders>
              <w:top w:val="nil"/>
              <w:left w:val="nil"/>
              <w:bottom w:val="nil"/>
              <w:right w:val="nil"/>
            </w:tcBorders>
            <w:vAlign w:val="bottom"/>
            <w:hideMark/>
          </w:tcPr>
          <w:p w14:paraId="5A4FDE6C" w14:textId="57B17BA8" w:rsidR="00C45BB6" w:rsidRPr="009B7E9E" w:rsidRDefault="00C45BB6" w:rsidP="00C45BB6">
            <w:pPr>
              <w:jc w:val="right"/>
              <w:rPr>
                <w:color w:val="000000"/>
                <w:sz w:val="14"/>
                <w:szCs w:val="14"/>
              </w:rPr>
            </w:pPr>
            <w:r w:rsidRPr="009B7E9E">
              <w:rPr>
                <w:color w:val="000000"/>
                <w:sz w:val="14"/>
                <w:szCs w:val="14"/>
              </w:rPr>
              <w:t>-</w:t>
            </w:r>
          </w:p>
        </w:tc>
        <w:tc>
          <w:tcPr>
            <w:tcW w:w="850" w:type="dxa"/>
            <w:tcBorders>
              <w:top w:val="nil"/>
              <w:left w:val="nil"/>
              <w:bottom w:val="nil"/>
              <w:right w:val="nil"/>
            </w:tcBorders>
            <w:vAlign w:val="bottom"/>
            <w:hideMark/>
          </w:tcPr>
          <w:p w14:paraId="4514C69A" w14:textId="439802DB" w:rsidR="00C45BB6" w:rsidRPr="009B7E9E" w:rsidRDefault="00C45BB6" w:rsidP="00C45BB6">
            <w:pPr>
              <w:jc w:val="right"/>
              <w:rPr>
                <w:color w:val="000000"/>
                <w:sz w:val="14"/>
                <w:szCs w:val="14"/>
              </w:rPr>
            </w:pPr>
            <w:r w:rsidRPr="009B7E9E">
              <w:rPr>
                <w:color w:val="000000"/>
                <w:sz w:val="14"/>
                <w:szCs w:val="14"/>
              </w:rPr>
              <w:t>-</w:t>
            </w:r>
          </w:p>
        </w:tc>
        <w:tc>
          <w:tcPr>
            <w:tcW w:w="993" w:type="dxa"/>
            <w:gridSpan w:val="2"/>
            <w:tcBorders>
              <w:top w:val="nil"/>
              <w:left w:val="nil"/>
              <w:bottom w:val="nil"/>
              <w:right w:val="single" w:sz="4" w:space="0" w:color="auto"/>
            </w:tcBorders>
            <w:vAlign w:val="bottom"/>
            <w:hideMark/>
          </w:tcPr>
          <w:p w14:paraId="4913D4F7" w14:textId="0D8C78D9" w:rsidR="00C45BB6" w:rsidRPr="009B7E9E" w:rsidRDefault="00C45BB6" w:rsidP="00C45BB6">
            <w:pPr>
              <w:jc w:val="right"/>
              <w:rPr>
                <w:color w:val="000000"/>
                <w:sz w:val="14"/>
                <w:szCs w:val="14"/>
              </w:rPr>
            </w:pPr>
            <w:r w:rsidRPr="009B7E9E">
              <w:rPr>
                <w:color w:val="000000"/>
                <w:sz w:val="14"/>
                <w:szCs w:val="14"/>
              </w:rPr>
              <w:t>-</w:t>
            </w:r>
          </w:p>
        </w:tc>
      </w:tr>
      <w:tr w:rsidR="00C45BB6" w:rsidRPr="009B7E9E" w14:paraId="248A1652" w14:textId="77777777" w:rsidTr="00C45BB6">
        <w:trPr>
          <w:divId w:val="818616495"/>
          <w:trHeight w:val="113"/>
        </w:trPr>
        <w:tc>
          <w:tcPr>
            <w:tcW w:w="561" w:type="dxa"/>
            <w:tcBorders>
              <w:top w:val="nil"/>
              <w:left w:val="single" w:sz="4" w:space="0" w:color="auto"/>
              <w:bottom w:val="nil"/>
              <w:right w:val="nil"/>
            </w:tcBorders>
            <w:vAlign w:val="center"/>
            <w:hideMark/>
          </w:tcPr>
          <w:p w14:paraId="149EDEA5" w14:textId="77777777" w:rsidR="00C45BB6" w:rsidRPr="009B7E9E" w:rsidRDefault="00C45BB6" w:rsidP="00C45BB6">
            <w:pPr>
              <w:rPr>
                <w:color w:val="000000"/>
                <w:sz w:val="14"/>
                <w:szCs w:val="14"/>
              </w:rPr>
            </w:pPr>
            <w:r w:rsidRPr="009B7E9E">
              <w:rPr>
                <w:color w:val="000000"/>
                <w:sz w:val="14"/>
                <w:szCs w:val="14"/>
              </w:rPr>
              <w:t>11.2</w:t>
            </w:r>
          </w:p>
        </w:tc>
        <w:tc>
          <w:tcPr>
            <w:tcW w:w="3377" w:type="dxa"/>
            <w:tcBorders>
              <w:top w:val="nil"/>
              <w:left w:val="nil"/>
              <w:bottom w:val="nil"/>
              <w:right w:val="nil"/>
            </w:tcBorders>
            <w:vAlign w:val="center"/>
            <w:hideMark/>
          </w:tcPr>
          <w:p w14:paraId="2DD00C13" w14:textId="77777777" w:rsidR="00C45BB6" w:rsidRPr="009B7E9E" w:rsidRDefault="00C45BB6" w:rsidP="00C45BB6">
            <w:pPr>
              <w:rPr>
                <w:color w:val="000000"/>
                <w:sz w:val="14"/>
                <w:szCs w:val="14"/>
              </w:rPr>
            </w:pPr>
            <w:r w:rsidRPr="009B7E9E">
              <w:rPr>
                <w:color w:val="000000"/>
                <w:sz w:val="14"/>
                <w:szCs w:val="14"/>
              </w:rPr>
              <w:t>Yedeklere Aktarılan Tutarlar</w:t>
            </w:r>
          </w:p>
        </w:tc>
        <w:tc>
          <w:tcPr>
            <w:tcW w:w="707" w:type="dxa"/>
            <w:tcBorders>
              <w:top w:val="nil"/>
              <w:left w:val="nil"/>
              <w:bottom w:val="nil"/>
              <w:right w:val="nil"/>
            </w:tcBorders>
            <w:vAlign w:val="center"/>
            <w:hideMark/>
          </w:tcPr>
          <w:p w14:paraId="216C0E38" w14:textId="77777777" w:rsidR="00C45BB6" w:rsidRPr="009B7E9E" w:rsidRDefault="00C45BB6" w:rsidP="00C45BB6">
            <w:pPr>
              <w:rPr>
                <w:color w:val="000000"/>
                <w:sz w:val="14"/>
                <w:szCs w:val="14"/>
              </w:rPr>
            </w:pPr>
          </w:p>
        </w:tc>
        <w:tc>
          <w:tcPr>
            <w:tcW w:w="851" w:type="dxa"/>
            <w:tcBorders>
              <w:top w:val="nil"/>
              <w:left w:val="nil"/>
              <w:bottom w:val="nil"/>
              <w:right w:val="nil"/>
            </w:tcBorders>
            <w:vAlign w:val="bottom"/>
            <w:hideMark/>
          </w:tcPr>
          <w:p w14:paraId="496A419A" w14:textId="1278A433" w:rsidR="00C45BB6" w:rsidRPr="009B7E9E" w:rsidRDefault="00C45BB6" w:rsidP="00C45BB6">
            <w:pPr>
              <w:jc w:val="right"/>
              <w:rPr>
                <w:color w:val="000000"/>
                <w:sz w:val="14"/>
                <w:szCs w:val="14"/>
              </w:rPr>
            </w:pPr>
            <w:r w:rsidRPr="009B7E9E">
              <w:rPr>
                <w:color w:val="000000"/>
                <w:sz w:val="14"/>
                <w:szCs w:val="14"/>
              </w:rPr>
              <w:t>-</w:t>
            </w:r>
          </w:p>
        </w:tc>
        <w:tc>
          <w:tcPr>
            <w:tcW w:w="709" w:type="dxa"/>
            <w:tcBorders>
              <w:top w:val="nil"/>
              <w:left w:val="nil"/>
              <w:bottom w:val="nil"/>
              <w:right w:val="nil"/>
            </w:tcBorders>
            <w:vAlign w:val="bottom"/>
            <w:hideMark/>
          </w:tcPr>
          <w:p w14:paraId="0C6380D3" w14:textId="65A0E4C6" w:rsidR="00C45BB6" w:rsidRPr="009B7E9E" w:rsidRDefault="00C45BB6" w:rsidP="00C45BB6">
            <w:pPr>
              <w:jc w:val="right"/>
              <w:rPr>
                <w:color w:val="000000"/>
                <w:sz w:val="14"/>
                <w:szCs w:val="14"/>
              </w:rPr>
            </w:pPr>
            <w:r w:rsidRPr="009B7E9E">
              <w:rPr>
                <w:color w:val="000000"/>
                <w:sz w:val="14"/>
                <w:szCs w:val="14"/>
              </w:rPr>
              <w:t>-</w:t>
            </w:r>
          </w:p>
        </w:tc>
        <w:tc>
          <w:tcPr>
            <w:tcW w:w="708" w:type="dxa"/>
            <w:tcBorders>
              <w:top w:val="nil"/>
              <w:left w:val="nil"/>
              <w:bottom w:val="nil"/>
              <w:right w:val="nil"/>
            </w:tcBorders>
            <w:vAlign w:val="bottom"/>
            <w:hideMark/>
          </w:tcPr>
          <w:p w14:paraId="6051C3E4" w14:textId="7ACD978B" w:rsidR="00C45BB6" w:rsidRPr="009B7E9E" w:rsidRDefault="00C45BB6" w:rsidP="00C45BB6">
            <w:pPr>
              <w:jc w:val="right"/>
              <w:rPr>
                <w:color w:val="000000"/>
                <w:sz w:val="14"/>
                <w:szCs w:val="14"/>
              </w:rPr>
            </w:pPr>
            <w:r w:rsidRPr="009B7E9E">
              <w:rPr>
                <w:color w:val="000000"/>
                <w:sz w:val="14"/>
                <w:szCs w:val="14"/>
              </w:rPr>
              <w:t>-</w:t>
            </w:r>
          </w:p>
        </w:tc>
        <w:tc>
          <w:tcPr>
            <w:tcW w:w="724" w:type="dxa"/>
            <w:tcBorders>
              <w:top w:val="nil"/>
              <w:left w:val="nil"/>
              <w:bottom w:val="nil"/>
              <w:right w:val="nil"/>
            </w:tcBorders>
            <w:vAlign w:val="bottom"/>
            <w:hideMark/>
          </w:tcPr>
          <w:p w14:paraId="3BD4E63C" w14:textId="57AB04F7" w:rsidR="00C45BB6" w:rsidRPr="009B7E9E" w:rsidRDefault="00C45BB6" w:rsidP="00C45BB6">
            <w:pPr>
              <w:jc w:val="right"/>
              <w:rPr>
                <w:color w:val="000000"/>
                <w:sz w:val="14"/>
                <w:szCs w:val="14"/>
              </w:rPr>
            </w:pPr>
            <w:r w:rsidRPr="009B7E9E">
              <w:rPr>
                <w:color w:val="000000"/>
                <w:sz w:val="14"/>
                <w:szCs w:val="14"/>
              </w:rPr>
              <w:t>-</w:t>
            </w:r>
          </w:p>
        </w:tc>
        <w:tc>
          <w:tcPr>
            <w:tcW w:w="575" w:type="dxa"/>
            <w:tcBorders>
              <w:top w:val="nil"/>
              <w:left w:val="nil"/>
              <w:bottom w:val="nil"/>
              <w:right w:val="nil"/>
            </w:tcBorders>
            <w:vAlign w:val="bottom"/>
            <w:hideMark/>
          </w:tcPr>
          <w:p w14:paraId="71914E8E" w14:textId="7702F74D" w:rsidR="00C45BB6" w:rsidRPr="009B7E9E" w:rsidRDefault="00C45BB6" w:rsidP="00C45BB6">
            <w:pPr>
              <w:jc w:val="right"/>
              <w:rPr>
                <w:color w:val="000000"/>
                <w:sz w:val="14"/>
                <w:szCs w:val="14"/>
              </w:rPr>
            </w:pPr>
            <w:r w:rsidRPr="009B7E9E">
              <w:rPr>
                <w:color w:val="000000"/>
                <w:sz w:val="14"/>
                <w:szCs w:val="14"/>
              </w:rPr>
              <w:t>-</w:t>
            </w:r>
          </w:p>
        </w:tc>
        <w:tc>
          <w:tcPr>
            <w:tcW w:w="709" w:type="dxa"/>
            <w:tcBorders>
              <w:top w:val="nil"/>
              <w:left w:val="nil"/>
              <w:bottom w:val="nil"/>
              <w:right w:val="nil"/>
            </w:tcBorders>
            <w:vAlign w:val="bottom"/>
            <w:hideMark/>
          </w:tcPr>
          <w:p w14:paraId="6E7F97B7" w14:textId="023140C9" w:rsidR="00C45BB6" w:rsidRPr="009B7E9E" w:rsidRDefault="00C45BB6" w:rsidP="00C45BB6">
            <w:pPr>
              <w:jc w:val="right"/>
              <w:rPr>
                <w:color w:val="000000"/>
                <w:sz w:val="14"/>
                <w:szCs w:val="14"/>
              </w:rPr>
            </w:pPr>
            <w:r w:rsidRPr="009B7E9E">
              <w:rPr>
                <w:color w:val="000000"/>
                <w:sz w:val="14"/>
                <w:szCs w:val="14"/>
              </w:rPr>
              <w:t>-</w:t>
            </w:r>
          </w:p>
        </w:tc>
        <w:tc>
          <w:tcPr>
            <w:tcW w:w="639" w:type="dxa"/>
            <w:tcBorders>
              <w:top w:val="nil"/>
              <w:left w:val="nil"/>
              <w:bottom w:val="nil"/>
              <w:right w:val="nil"/>
            </w:tcBorders>
            <w:vAlign w:val="bottom"/>
            <w:hideMark/>
          </w:tcPr>
          <w:p w14:paraId="2FEC4AAE" w14:textId="29F081DF" w:rsidR="00C45BB6" w:rsidRPr="009B7E9E" w:rsidRDefault="00C45BB6" w:rsidP="00C45BB6">
            <w:pPr>
              <w:jc w:val="right"/>
              <w:rPr>
                <w:color w:val="000000"/>
                <w:sz w:val="14"/>
                <w:szCs w:val="14"/>
              </w:rPr>
            </w:pPr>
            <w:r w:rsidRPr="009B7E9E">
              <w:rPr>
                <w:color w:val="000000"/>
                <w:sz w:val="14"/>
                <w:szCs w:val="14"/>
              </w:rPr>
              <w:t>-</w:t>
            </w:r>
          </w:p>
        </w:tc>
        <w:tc>
          <w:tcPr>
            <w:tcW w:w="635" w:type="dxa"/>
            <w:tcBorders>
              <w:top w:val="nil"/>
              <w:left w:val="nil"/>
              <w:bottom w:val="nil"/>
              <w:right w:val="nil"/>
            </w:tcBorders>
            <w:vAlign w:val="bottom"/>
            <w:hideMark/>
          </w:tcPr>
          <w:p w14:paraId="16F9D127" w14:textId="1503FB6C" w:rsidR="00C45BB6" w:rsidRPr="009B7E9E" w:rsidRDefault="00C45BB6" w:rsidP="00C45BB6">
            <w:pPr>
              <w:jc w:val="right"/>
              <w:rPr>
                <w:color w:val="000000"/>
                <w:sz w:val="14"/>
                <w:szCs w:val="14"/>
              </w:rPr>
            </w:pPr>
            <w:r w:rsidRPr="009B7E9E">
              <w:rPr>
                <w:color w:val="000000"/>
                <w:sz w:val="14"/>
                <w:szCs w:val="14"/>
              </w:rPr>
              <w:t>-</w:t>
            </w:r>
          </w:p>
        </w:tc>
        <w:tc>
          <w:tcPr>
            <w:tcW w:w="731" w:type="dxa"/>
            <w:tcBorders>
              <w:top w:val="nil"/>
              <w:left w:val="nil"/>
              <w:bottom w:val="nil"/>
              <w:right w:val="nil"/>
            </w:tcBorders>
            <w:vAlign w:val="bottom"/>
            <w:hideMark/>
          </w:tcPr>
          <w:p w14:paraId="08D973C7" w14:textId="7539726C" w:rsidR="00C45BB6" w:rsidRPr="009B7E9E" w:rsidRDefault="00C45BB6" w:rsidP="00C45BB6">
            <w:pPr>
              <w:jc w:val="right"/>
              <w:rPr>
                <w:color w:val="000000"/>
                <w:sz w:val="14"/>
                <w:szCs w:val="14"/>
              </w:rPr>
            </w:pPr>
            <w:r w:rsidRPr="009B7E9E">
              <w:rPr>
                <w:color w:val="000000"/>
                <w:sz w:val="14"/>
                <w:szCs w:val="14"/>
              </w:rPr>
              <w:t>-</w:t>
            </w:r>
          </w:p>
        </w:tc>
        <w:tc>
          <w:tcPr>
            <w:tcW w:w="714" w:type="dxa"/>
            <w:tcBorders>
              <w:top w:val="nil"/>
              <w:left w:val="nil"/>
              <w:bottom w:val="nil"/>
              <w:right w:val="nil"/>
            </w:tcBorders>
            <w:vAlign w:val="bottom"/>
            <w:hideMark/>
          </w:tcPr>
          <w:p w14:paraId="193B4C06" w14:textId="496F4106" w:rsidR="00C45BB6" w:rsidRPr="009B7E9E" w:rsidRDefault="00C45BB6" w:rsidP="00C45BB6">
            <w:pPr>
              <w:jc w:val="right"/>
              <w:rPr>
                <w:color w:val="000000"/>
                <w:sz w:val="14"/>
                <w:szCs w:val="14"/>
              </w:rPr>
            </w:pPr>
            <w:r w:rsidRPr="009B7E9E">
              <w:rPr>
                <w:color w:val="000000"/>
                <w:sz w:val="14"/>
                <w:szCs w:val="14"/>
              </w:rPr>
              <w:t>-</w:t>
            </w:r>
          </w:p>
        </w:tc>
        <w:tc>
          <w:tcPr>
            <w:tcW w:w="835" w:type="dxa"/>
            <w:tcBorders>
              <w:top w:val="nil"/>
              <w:left w:val="nil"/>
              <w:bottom w:val="nil"/>
              <w:right w:val="nil"/>
            </w:tcBorders>
            <w:vAlign w:val="bottom"/>
            <w:hideMark/>
          </w:tcPr>
          <w:p w14:paraId="12E03489" w14:textId="429E891A" w:rsidR="00C45BB6" w:rsidRPr="009B7E9E" w:rsidRDefault="00C45BB6" w:rsidP="00C45BB6">
            <w:pPr>
              <w:jc w:val="right"/>
              <w:rPr>
                <w:color w:val="000000"/>
                <w:sz w:val="14"/>
                <w:szCs w:val="14"/>
              </w:rPr>
            </w:pPr>
            <w:r w:rsidRPr="009B7E9E">
              <w:rPr>
                <w:color w:val="000000"/>
                <w:sz w:val="14"/>
                <w:szCs w:val="14"/>
              </w:rPr>
              <w:t>-</w:t>
            </w:r>
          </w:p>
        </w:tc>
        <w:tc>
          <w:tcPr>
            <w:tcW w:w="709" w:type="dxa"/>
            <w:tcBorders>
              <w:top w:val="nil"/>
              <w:left w:val="nil"/>
              <w:bottom w:val="nil"/>
              <w:right w:val="nil"/>
            </w:tcBorders>
            <w:vAlign w:val="bottom"/>
            <w:hideMark/>
          </w:tcPr>
          <w:p w14:paraId="3E4C21A5" w14:textId="7DE08DC8" w:rsidR="00C45BB6" w:rsidRPr="009B7E9E" w:rsidRDefault="00C45BB6" w:rsidP="00C45BB6">
            <w:pPr>
              <w:jc w:val="right"/>
              <w:rPr>
                <w:color w:val="000000"/>
                <w:sz w:val="14"/>
                <w:szCs w:val="14"/>
              </w:rPr>
            </w:pPr>
            <w:r w:rsidRPr="009B7E9E">
              <w:rPr>
                <w:color w:val="000000"/>
                <w:sz w:val="14"/>
                <w:szCs w:val="14"/>
              </w:rPr>
              <w:t>-</w:t>
            </w:r>
          </w:p>
        </w:tc>
        <w:tc>
          <w:tcPr>
            <w:tcW w:w="850" w:type="dxa"/>
            <w:tcBorders>
              <w:top w:val="nil"/>
              <w:left w:val="nil"/>
              <w:bottom w:val="nil"/>
              <w:right w:val="nil"/>
            </w:tcBorders>
            <w:vAlign w:val="bottom"/>
            <w:hideMark/>
          </w:tcPr>
          <w:p w14:paraId="09B3816C" w14:textId="2B0A365B" w:rsidR="00C45BB6" w:rsidRPr="009B7E9E" w:rsidRDefault="00C45BB6" w:rsidP="00C45BB6">
            <w:pPr>
              <w:jc w:val="right"/>
              <w:rPr>
                <w:color w:val="000000"/>
                <w:sz w:val="14"/>
                <w:szCs w:val="14"/>
              </w:rPr>
            </w:pPr>
            <w:r w:rsidRPr="009B7E9E">
              <w:rPr>
                <w:color w:val="000000"/>
                <w:sz w:val="14"/>
                <w:szCs w:val="14"/>
              </w:rPr>
              <w:t>-</w:t>
            </w:r>
          </w:p>
        </w:tc>
        <w:tc>
          <w:tcPr>
            <w:tcW w:w="993" w:type="dxa"/>
            <w:gridSpan w:val="2"/>
            <w:tcBorders>
              <w:top w:val="nil"/>
              <w:left w:val="nil"/>
              <w:bottom w:val="nil"/>
              <w:right w:val="single" w:sz="4" w:space="0" w:color="auto"/>
            </w:tcBorders>
            <w:vAlign w:val="bottom"/>
            <w:hideMark/>
          </w:tcPr>
          <w:p w14:paraId="4678D4D7" w14:textId="0143D94A" w:rsidR="00C45BB6" w:rsidRPr="009B7E9E" w:rsidRDefault="00C45BB6" w:rsidP="00C45BB6">
            <w:pPr>
              <w:jc w:val="right"/>
              <w:rPr>
                <w:color w:val="000000"/>
                <w:sz w:val="14"/>
                <w:szCs w:val="14"/>
              </w:rPr>
            </w:pPr>
            <w:r w:rsidRPr="009B7E9E">
              <w:rPr>
                <w:color w:val="000000"/>
                <w:sz w:val="14"/>
                <w:szCs w:val="14"/>
              </w:rPr>
              <w:t>-</w:t>
            </w:r>
          </w:p>
        </w:tc>
      </w:tr>
      <w:tr w:rsidR="00C45BB6" w:rsidRPr="009B7E9E" w14:paraId="798335EB" w14:textId="77777777" w:rsidTr="00C45BB6">
        <w:trPr>
          <w:divId w:val="818616495"/>
          <w:trHeight w:val="113"/>
        </w:trPr>
        <w:tc>
          <w:tcPr>
            <w:tcW w:w="561" w:type="dxa"/>
            <w:tcBorders>
              <w:top w:val="nil"/>
              <w:left w:val="single" w:sz="4" w:space="0" w:color="auto"/>
              <w:bottom w:val="nil"/>
              <w:right w:val="nil"/>
            </w:tcBorders>
            <w:vAlign w:val="center"/>
            <w:hideMark/>
          </w:tcPr>
          <w:p w14:paraId="608715F0" w14:textId="77777777" w:rsidR="00C45BB6" w:rsidRPr="009B7E9E" w:rsidRDefault="00C45BB6" w:rsidP="00C45BB6">
            <w:pPr>
              <w:rPr>
                <w:color w:val="000000"/>
                <w:sz w:val="14"/>
                <w:szCs w:val="14"/>
              </w:rPr>
            </w:pPr>
            <w:r w:rsidRPr="009B7E9E">
              <w:rPr>
                <w:color w:val="000000"/>
                <w:sz w:val="14"/>
                <w:szCs w:val="14"/>
              </w:rPr>
              <w:t>11.3</w:t>
            </w:r>
          </w:p>
        </w:tc>
        <w:tc>
          <w:tcPr>
            <w:tcW w:w="3377" w:type="dxa"/>
            <w:tcBorders>
              <w:top w:val="nil"/>
              <w:left w:val="nil"/>
              <w:bottom w:val="nil"/>
              <w:right w:val="nil"/>
            </w:tcBorders>
            <w:vAlign w:val="center"/>
            <w:hideMark/>
          </w:tcPr>
          <w:p w14:paraId="39618356" w14:textId="77777777" w:rsidR="00C45BB6" w:rsidRPr="009B7E9E" w:rsidRDefault="00C45BB6" w:rsidP="00C45BB6">
            <w:pPr>
              <w:rPr>
                <w:color w:val="000000"/>
                <w:sz w:val="14"/>
                <w:szCs w:val="14"/>
              </w:rPr>
            </w:pPr>
            <w:r w:rsidRPr="009B7E9E">
              <w:rPr>
                <w:color w:val="000000"/>
                <w:sz w:val="14"/>
                <w:szCs w:val="14"/>
              </w:rPr>
              <w:t xml:space="preserve">Diğer </w:t>
            </w:r>
          </w:p>
        </w:tc>
        <w:tc>
          <w:tcPr>
            <w:tcW w:w="707" w:type="dxa"/>
            <w:tcBorders>
              <w:top w:val="nil"/>
              <w:left w:val="nil"/>
              <w:bottom w:val="nil"/>
              <w:right w:val="nil"/>
            </w:tcBorders>
            <w:vAlign w:val="center"/>
            <w:hideMark/>
          </w:tcPr>
          <w:p w14:paraId="6CF84A57" w14:textId="77777777" w:rsidR="00C45BB6" w:rsidRPr="009B7E9E" w:rsidRDefault="00C45BB6" w:rsidP="00C45BB6">
            <w:pPr>
              <w:rPr>
                <w:color w:val="000000"/>
                <w:sz w:val="14"/>
                <w:szCs w:val="14"/>
              </w:rPr>
            </w:pPr>
          </w:p>
        </w:tc>
        <w:tc>
          <w:tcPr>
            <w:tcW w:w="851" w:type="dxa"/>
            <w:tcBorders>
              <w:top w:val="nil"/>
              <w:left w:val="nil"/>
              <w:bottom w:val="nil"/>
              <w:right w:val="nil"/>
            </w:tcBorders>
            <w:vAlign w:val="bottom"/>
            <w:hideMark/>
          </w:tcPr>
          <w:p w14:paraId="0C48CC1E" w14:textId="79602522" w:rsidR="00C45BB6" w:rsidRPr="009B7E9E" w:rsidRDefault="00C45BB6" w:rsidP="00C45BB6">
            <w:pPr>
              <w:jc w:val="right"/>
              <w:rPr>
                <w:color w:val="000000"/>
                <w:sz w:val="14"/>
                <w:szCs w:val="14"/>
              </w:rPr>
            </w:pPr>
            <w:r w:rsidRPr="009B7E9E">
              <w:rPr>
                <w:color w:val="000000"/>
                <w:sz w:val="14"/>
                <w:szCs w:val="14"/>
              </w:rPr>
              <w:t>-</w:t>
            </w:r>
          </w:p>
        </w:tc>
        <w:tc>
          <w:tcPr>
            <w:tcW w:w="709" w:type="dxa"/>
            <w:tcBorders>
              <w:top w:val="nil"/>
              <w:left w:val="nil"/>
              <w:bottom w:val="nil"/>
              <w:right w:val="nil"/>
            </w:tcBorders>
            <w:vAlign w:val="bottom"/>
            <w:hideMark/>
          </w:tcPr>
          <w:p w14:paraId="5FCB4C93" w14:textId="0084EBB9" w:rsidR="00C45BB6" w:rsidRPr="009B7E9E" w:rsidRDefault="00C45BB6" w:rsidP="00C45BB6">
            <w:pPr>
              <w:jc w:val="right"/>
              <w:rPr>
                <w:color w:val="000000"/>
                <w:sz w:val="14"/>
                <w:szCs w:val="14"/>
              </w:rPr>
            </w:pPr>
            <w:r w:rsidRPr="009B7E9E">
              <w:rPr>
                <w:color w:val="000000"/>
                <w:sz w:val="14"/>
                <w:szCs w:val="14"/>
              </w:rPr>
              <w:t>-</w:t>
            </w:r>
          </w:p>
        </w:tc>
        <w:tc>
          <w:tcPr>
            <w:tcW w:w="708" w:type="dxa"/>
            <w:tcBorders>
              <w:top w:val="nil"/>
              <w:left w:val="nil"/>
              <w:bottom w:val="nil"/>
              <w:right w:val="nil"/>
            </w:tcBorders>
            <w:vAlign w:val="bottom"/>
            <w:hideMark/>
          </w:tcPr>
          <w:p w14:paraId="15458DA7" w14:textId="54F6AA0F" w:rsidR="00C45BB6" w:rsidRPr="009B7E9E" w:rsidRDefault="00C45BB6" w:rsidP="00C45BB6">
            <w:pPr>
              <w:jc w:val="right"/>
              <w:rPr>
                <w:color w:val="000000"/>
                <w:sz w:val="14"/>
                <w:szCs w:val="14"/>
              </w:rPr>
            </w:pPr>
            <w:r w:rsidRPr="009B7E9E">
              <w:rPr>
                <w:color w:val="000000"/>
                <w:sz w:val="14"/>
                <w:szCs w:val="14"/>
              </w:rPr>
              <w:t>-</w:t>
            </w:r>
          </w:p>
        </w:tc>
        <w:tc>
          <w:tcPr>
            <w:tcW w:w="724" w:type="dxa"/>
            <w:tcBorders>
              <w:top w:val="nil"/>
              <w:left w:val="nil"/>
              <w:bottom w:val="nil"/>
              <w:right w:val="nil"/>
            </w:tcBorders>
            <w:vAlign w:val="bottom"/>
            <w:hideMark/>
          </w:tcPr>
          <w:p w14:paraId="285808E0" w14:textId="5891EA51" w:rsidR="00C45BB6" w:rsidRPr="009B7E9E" w:rsidRDefault="00C45BB6" w:rsidP="00C45BB6">
            <w:pPr>
              <w:jc w:val="right"/>
              <w:rPr>
                <w:color w:val="000000"/>
                <w:sz w:val="14"/>
                <w:szCs w:val="14"/>
              </w:rPr>
            </w:pPr>
            <w:r w:rsidRPr="009B7E9E">
              <w:rPr>
                <w:color w:val="000000"/>
                <w:sz w:val="14"/>
                <w:szCs w:val="14"/>
              </w:rPr>
              <w:t>-</w:t>
            </w:r>
          </w:p>
        </w:tc>
        <w:tc>
          <w:tcPr>
            <w:tcW w:w="575" w:type="dxa"/>
            <w:tcBorders>
              <w:top w:val="nil"/>
              <w:left w:val="nil"/>
              <w:bottom w:val="nil"/>
              <w:right w:val="nil"/>
            </w:tcBorders>
            <w:vAlign w:val="bottom"/>
            <w:hideMark/>
          </w:tcPr>
          <w:p w14:paraId="54593E9C" w14:textId="04B5123D" w:rsidR="00C45BB6" w:rsidRPr="009B7E9E" w:rsidRDefault="00C45BB6" w:rsidP="00C45BB6">
            <w:pPr>
              <w:jc w:val="right"/>
              <w:rPr>
                <w:color w:val="000000"/>
                <w:sz w:val="14"/>
                <w:szCs w:val="14"/>
              </w:rPr>
            </w:pPr>
            <w:r w:rsidRPr="009B7E9E">
              <w:rPr>
                <w:color w:val="000000"/>
                <w:sz w:val="14"/>
                <w:szCs w:val="14"/>
              </w:rPr>
              <w:t>-</w:t>
            </w:r>
          </w:p>
        </w:tc>
        <w:tc>
          <w:tcPr>
            <w:tcW w:w="709" w:type="dxa"/>
            <w:tcBorders>
              <w:top w:val="nil"/>
              <w:left w:val="nil"/>
              <w:bottom w:val="nil"/>
              <w:right w:val="nil"/>
            </w:tcBorders>
            <w:vAlign w:val="bottom"/>
            <w:hideMark/>
          </w:tcPr>
          <w:p w14:paraId="7EC3BA37" w14:textId="7EFD75AD" w:rsidR="00C45BB6" w:rsidRPr="009B7E9E" w:rsidRDefault="00C45BB6" w:rsidP="00C45BB6">
            <w:pPr>
              <w:jc w:val="right"/>
              <w:rPr>
                <w:color w:val="000000"/>
                <w:sz w:val="14"/>
                <w:szCs w:val="14"/>
              </w:rPr>
            </w:pPr>
            <w:r w:rsidRPr="009B7E9E">
              <w:rPr>
                <w:color w:val="000000"/>
                <w:sz w:val="14"/>
                <w:szCs w:val="14"/>
              </w:rPr>
              <w:t>-</w:t>
            </w:r>
          </w:p>
        </w:tc>
        <w:tc>
          <w:tcPr>
            <w:tcW w:w="639" w:type="dxa"/>
            <w:tcBorders>
              <w:top w:val="nil"/>
              <w:left w:val="nil"/>
              <w:bottom w:val="nil"/>
              <w:right w:val="nil"/>
            </w:tcBorders>
            <w:vAlign w:val="bottom"/>
            <w:hideMark/>
          </w:tcPr>
          <w:p w14:paraId="35CBBE20" w14:textId="5DCB8597" w:rsidR="00C45BB6" w:rsidRPr="009B7E9E" w:rsidRDefault="00C45BB6" w:rsidP="00C45BB6">
            <w:pPr>
              <w:jc w:val="right"/>
              <w:rPr>
                <w:color w:val="000000"/>
                <w:sz w:val="14"/>
                <w:szCs w:val="14"/>
              </w:rPr>
            </w:pPr>
            <w:r w:rsidRPr="009B7E9E">
              <w:rPr>
                <w:color w:val="000000"/>
                <w:sz w:val="14"/>
                <w:szCs w:val="14"/>
              </w:rPr>
              <w:t>-</w:t>
            </w:r>
          </w:p>
        </w:tc>
        <w:tc>
          <w:tcPr>
            <w:tcW w:w="635" w:type="dxa"/>
            <w:tcBorders>
              <w:top w:val="nil"/>
              <w:left w:val="nil"/>
              <w:bottom w:val="nil"/>
              <w:right w:val="nil"/>
            </w:tcBorders>
            <w:vAlign w:val="bottom"/>
            <w:hideMark/>
          </w:tcPr>
          <w:p w14:paraId="6449AC10" w14:textId="5E7C024E" w:rsidR="00C45BB6" w:rsidRPr="009B7E9E" w:rsidRDefault="00C45BB6" w:rsidP="00C45BB6">
            <w:pPr>
              <w:jc w:val="right"/>
              <w:rPr>
                <w:color w:val="000000"/>
                <w:sz w:val="14"/>
                <w:szCs w:val="14"/>
              </w:rPr>
            </w:pPr>
            <w:r w:rsidRPr="009B7E9E">
              <w:rPr>
                <w:color w:val="000000"/>
                <w:sz w:val="14"/>
                <w:szCs w:val="14"/>
              </w:rPr>
              <w:t>-</w:t>
            </w:r>
          </w:p>
        </w:tc>
        <w:tc>
          <w:tcPr>
            <w:tcW w:w="731" w:type="dxa"/>
            <w:tcBorders>
              <w:top w:val="nil"/>
              <w:left w:val="nil"/>
              <w:bottom w:val="nil"/>
              <w:right w:val="nil"/>
            </w:tcBorders>
            <w:vAlign w:val="bottom"/>
            <w:hideMark/>
          </w:tcPr>
          <w:p w14:paraId="795AC4DD" w14:textId="5567C074" w:rsidR="00C45BB6" w:rsidRPr="009B7E9E" w:rsidRDefault="00C45BB6" w:rsidP="00C45BB6">
            <w:pPr>
              <w:jc w:val="right"/>
              <w:rPr>
                <w:color w:val="000000"/>
                <w:sz w:val="14"/>
                <w:szCs w:val="14"/>
              </w:rPr>
            </w:pPr>
            <w:r w:rsidRPr="009B7E9E">
              <w:rPr>
                <w:color w:val="000000"/>
                <w:sz w:val="14"/>
                <w:szCs w:val="14"/>
              </w:rPr>
              <w:t>-</w:t>
            </w:r>
          </w:p>
        </w:tc>
        <w:tc>
          <w:tcPr>
            <w:tcW w:w="714" w:type="dxa"/>
            <w:tcBorders>
              <w:top w:val="nil"/>
              <w:left w:val="nil"/>
              <w:bottom w:val="nil"/>
              <w:right w:val="nil"/>
            </w:tcBorders>
            <w:vAlign w:val="bottom"/>
            <w:hideMark/>
          </w:tcPr>
          <w:p w14:paraId="2A3F576F" w14:textId="5BB7E03D" w:rsidR="00C45BB6" w:rsidRPr="009B7E9E" w:rsidRDefault="00C45BB6" w:rsidP="00C45BB6">
            <w:pPr>
              <w:jc w:val="right"/>
              <w:rPr>
                <w:color w:val="000000"/>
                <w:sz w:val="14"/>
                <w:szCs w:val="14"/>
              </w:rPr>
            </w:pPr>
            <w:r w:rsidRPr="009B7E9E">
              <w:rPr>
                <w:color w:val="000000"/>
                <w:sz w:val="14"/>
                <w:szCs w:val="14"/>
              </w:rPr>
              <w:t>-</w:t>
            </w:r>
          </w:p>
        </w:tc>
        <w:tc>
          <w:tcPr>
            <w:tcW w:w="835" w:type="dxa"/>
            <w:tcBorders>
              <w:top w:val="nil"/>
              <w:left w:val="nil"/>
              <w:bottom w:val="nil"/>
              <w:right w:val="nil"/>
            </w:tcBorders>
            <w:vAlign w:val="bottom"/>
            <w:hideMark/>
          </w:tcPr>
          <w:p w14:paraId="5B0A0E9F" w14:textId="1BB8FDF0" w:rsidR="00C45BB6" w:rsidRPr="009B7E9E" w:rsidRDefault="00C45BB6" w:rsidP="00C45BB6">
            <w:pPr>
              <w:jc w:val="right"/>
              <w:rPr>
                <w:color w:val="000000"/>
                <w:sz w:val="14"/>
                <w:szCs w:val="14"/>
              </w:rPr>
            </w:pPr>
            <w:r w:rsidRPr="009B7E9E">
              <w:rPr>
                <w:color w:val="000000"/>
                <w:sz w:val="14"/>
                <w:szCs w:val="14"/>
              </w:rPr>
              <w:t>1.340.594</w:t>
            </w:r>
          </w:p>
        </w:tc>
        <w:tc>
          <w:tcPr>
            <w:tcW w:w="709" w:type="dxa"/>
            <w:tcBorders>
              <w:top w:val="nil"/>
              <w:left w:val="nil"/>
              <w:bottom w:val="nil"/>
              <w:right w:val="nil"/>
            </w:tcBorders>
            <w:vAlign w:val="bottom"/>
            <w:hideMark/>
          </w:tcPr>
          <w:p w14:paraId="2BDFC6AD" w14:textId="529B69F3" w:rsidR="00C45BB6" w:rsidRPr="009B7E9E" w:rsidRDefault="00C45BB6" w:rsidP="00C45BB6">
            <w:pPr>
              <w:jc w:val="right"/>
              <w:rPr>
                <w:color w:val="000000"/>
                <w:sz w:val="14"/>
                <w:szCs w:val="14"/>
              </w:rPr>
            </w:pPr>
            <w:r w:rsidRPr="009B7E9E">
              <w:rPr>
                <w:color w:val="000000"/>
                <w:sz w:val="14"/>
                <w:szCs w:val="14"/>
              </w:rPr>
              <w:t>13.048</w:t>
            </w:r>
          </w:p>
        </w:tc>
        <w:tc>
          <w:tcPr>
            <w:tcW w:w="850" w:type="dxa"/>
            <w:tcBorders>
              <w:top w:val="nil"/>
              <w:left w:val="nil"/>
              <w:bottom w:val="nil"/>
              <w:right w:val="nil"/>
            </w:tcBorders>
            <w:vAlign w:val="bottom"/>
            <w:hideMark/>
          </w:tcPr>
          <w:p w14:paraId="42D59751" w14:textId="3DB2FD63" w:rsidR="00C45BB6" w:rsidRPr="009B7E9E" w:rsidRDefault="00C45BB6" w:rsidP="00C45BB6">
            <w:pPr>
              <w:jc w:val="right"/>
              <w:rPr>
                <w:color w:val="000000"/>
                <w:sz w:val="14"/>
                <w:szCs w:val="14"/>
              </w:rPr>
            </w:pPr>
            <w:r w:rsidRPr="009B7E9E">
              <w:rPr>
                <w:color w:val="000000"/>
                <w:sz w:val="14"/>
                <w:szCs w:val="14"/>
              </w:rPr>
              <w:t>(1.353.642)</w:t>
            </w:r>
          </w:p>
        </w:tc>
        <w:tc>
          <w:tcPr>
            <w:tcW w:w="993" w:type="dxa"/>
            <w:gridSpan w:val="2"/>
            <w:tcBorders>
              <w:top w:val="nil"/>
              <w:left w:val="nil"/>
              <w:bottom w:val="nil"/>
              <w:right w:val="single" w:sz="4" w:space="0" w:color="auto"/>
            </w:tcBorders>
            <w:vAlign w:val="bottom"/>
            <w:hideMark/>
          </w:tcPr>
          <w:p w14:paraId="171AC84F" w14:textId="68F34F1A" w:rsidR="00C45BB6" w:rsidRPr="009B7E9E" w:rsidRDefault="00C45BB6" w:rsidP="00C45BB6">
            <w:pPr>
              <w:jc w:val="right"/>
              <w:rPr>
                <w:color w:val="000000"/>
                <w:sz w:val="14"/>
                <w:szCs w:val="14"/>
              </w:rPr>
            </w:pPr>
            <w:r w:rsidRPr="009B7E9E">
              <w:rPr>
                <w:color w:val="000000"/>
                <w:sz w:val="14"/>
                <w:szCs w:val="14"/>
              </w:rPr>
              <w:t>-</w:t>
            </w:r>
          </w:p>
        </w:tc>
      </w:tr>
      <w:tr w:rsidR="00C45BB6" w:rsidRPr="009B7E9E" w14:paraId="5C350E73" w14:textId="77777777" w:rsidTr="00C45BB6">
        <w:trPr>
          <w:divId w:val="818616495"/>
          <w:trHeight w:val="113"/>
        </w:trPr>
        <w:tc>
          <w:tcPr>
            <w:tcW w:w="561" w:type="dxa"/>
            <w:tcBorders>
              <w:top w:val="nil"/>
              <w:left w:val="single" w:sz="4" w:space="0" w:color="auto"/>
              <w:bottom w:val="nil"/>
              <w:right w:val="nil"/>
            </w:tcBorders>
            <w:vAlign w:val="center"/>
            <w:hideMark/>
          </w:tcPr>
          <w:p w14:paraId="39B8738E" w14:textId="77777777" w:rsidR="00C45BB6" w:rsidRPr="009B7E9E" w:rsidRDefault="00C45BB6" w:rsidP="00C45BB6">
            <w:pPr>
              <w:rPr>
                <w:color w:val="000000"/>
                <w:sz w:val="14"/>
                <w:szCs w:val="14"/>
              </w:rPr>
            </w:pPr>
            <w:r w:rsidRPr="009B7E9E">
              <w:rPr>
                <w:color w:val="000000"/>
                <w:sz w:val="14"/>
                <w:szCs w:val="14"/>
              </w:rPr>
              <w:t> </w:t>
            </w:r>
          </w:p>
        </w:tc>
        <w:tc>
          <w:tcPr>
            <w:tcW w:w="3377" w:type="dxa"/>
            <w:tcBorders>
              <w:top w:val="nil"/>
              <w:left w:val="nil"/>
              <w:bottom w:val="nil"/>
              <w:right w:val="nil"/>
            </w:tcBorders>
            <w:vAlign w:val="center"/>
            <w:hideMark/>
          </w:tcPr>
          <w:p w14:paraId="7435D9BC" w14:textId="77777777" w:rsidR="00C45BB6" w:rsidRPr="009B7E9E" w:rsidRDefault="00C45BB6" w:rsidP="00C45BB6">
            <w:pPr>
              <w:rPr>
                <w:color w:val="000000"/>
                <w:sz w:val="14"/>
                <w:szCs w:val="14"/>
              </w:rPr>
            </w:pPr>
          </w:p>
        </w:tc>
        <w:tc>
          <w:tcPr>
            <w:tcW w:w="707" w:type="dxa"/>
            <w:tcBorders>
              <w:top w:val="nil"/>
              <w:left w:val="nil"/>
              <w:bottom w:val="nil"/>
              <w:right w:val="nil"/>
            </w:tcBorders>
            <w:vAlign w:val="center"/>
            <w:hideMark/>
          </w:tcPr>
          <w:p w14:paraId="50EF089E" w14:textId="77777777" w:rsidR="00C45BB6" w:rsidRPr="009B7E9E" w:rsidRDefault="00C45BB6" w:rsidP="00C45BB6">
            <w:pPr>
              <w:jc w:val="both"/>
              <w:rPr>
                <w:sz w:val="14"/>
                <w:szCs w:val="14"/>
              </w:rPr>
            </w:pPr>
          </w:p>
        </w:tc>
        <w:tc>
          <w:tcPr>
            <w:tcW w:w="851" w:type="dxa"/>
            <w:tcBorders>
              <w:top w:val="nil"/>
              <w:left w:val="nil"/>
              <w:bottom w:val="nil"/>
              <w:right w:val="nil"/>
            </w:tcBorders>
            <w:vAlign w:val="bottom"/>
            <w:hideMark/>
          </w:tcPr>
          <w:p w14:paraId="7D2A7108" w14:textId="77777777" w:rsidR="00C45BB6" w:rsidRPr="009B7E9E" w:rsidRDefault="00C45BB6" w:rsidP="00C45BB6">
            <w:pPr>
              <w:jc w:val="right"/>
              <w:rPr>
                <w:sz w:val="14"/>
                <w:szCs w:val="14"/>
              </w:rPr>
            </w:pPr>
          </w:p>
        </w:tc>
        <w:tc>
          <w:tcPr>
            <w:tcW w:w="709" w:type="dxa"/>
            <w:tcBorders>
              <w:top w:val="nil"/>
              <w:left w:val="nil"/>
              <w:bottom w:val="nil"/>
              <w:right w:val="nil"/>
            </w:tcBorders>
            <w:vAlign w:val="bottom"/>
            <w:hideMark/>
          </w:tcPr>
          <w:p w14:paraId="603F45BA" w14:textId="77777777" w:rsidR="00C45BB6" w:rsidRPr="009B7E9E" w:rsidRDefault="00C45BB6" w:rsidP="00C45BB6">
            <w:pPr>
              <w:jc w:val="right"/>
              <w:rPr>
                <w:sz w:val="14"/>
                <w:szCs w:val="14"/>
              </w:rPr>
            </w:pPr>
          </w:p>
        </w:tc>
        <w:tc>
          <w:tcPr>
            <w:tcW w:w="708" w:type="dxa"/>
            <w:tcBorders>
              <w:top w:val="nil"/>
              <w:left w:val="nil"/>
              <w:bottom w:val="nil"/>
              <w:right w:val="nil"/>
            </w:tcBorders>
            <w:vAlign w:val="bottom"/>
            <w:hideMark/>
          </w:tcPr>
          <w:p w14:paraId="7662DA4B" w14:textId="77777777" w:rsidR="00C45BB6" w:rsidRPr="009B7E9E" w:rsidRDefault="00C45BB6" w:rsidP="00C45BB6">
            <w:pPr>
              <w:jc w:val="right"/>
              <w:rPr>
                <w:sz w:val="14"/>
                <w:szCs w:val="14"/>
              </w:rPr>
            </w:pPr>
          </w:p>
        </w:tc>
        <w:tc>
          <w:tcPr>
            <w:tcW w:w="724" w:type="dxa"/>
            <w:tcBorders>
              <w:top w:val="nil"/>
              <w:left w:val="nil"/>
              <w:bottom w:val="nil"/>
              <w:right w:val="nil"/>
            </w:tcBorders>
            <w:vAlign w:val="bottom"/>
            <w:hideMark/>
          </w:tcPr>
          <w:p w14:paraId="495D5466" w14:textId="77777777" w:rsidR="00C45BB6" w:rsidRPr="009B7E9E" w:rsidRDefault="00C45BB6" w:rsidP="00C45BB6">
            <w:pPr>
              <w:jc w:val="right"/>
              <w:rPr>
                <w:sz w:val="14"/>
                <w:szCs w:val="14"/>
              </w:rPr>
            </w:pPr>
          </w:p>
        </w:tc>
        <w:tc>
          <w:tcPr>
            <w:tcW w:w="575" w:type="dxa"/>
            <w:tcBorders>
              <w:top w:val="nil"/>
              <w:left w:val="nil"/>
              <w:bottom w:val="nil"/>
              <w:right w:val="nil"/>
            </w:tcBorders>
            <w:vAlign w:val="bottom"/>
            <w:hideMark/>
          </w:tcPr>
          <w:p w14:paraId="1C7BAF4A" w14:textId="77777777" w:rsidR="00C45BB6" w:rsidRPr="009B7E9E" w:rsidRDefault="00C45BB6" w:rsidP="00C45BB6">
            <w:pPr>
              <w:jc w:val="right"/>
              <w:rPr>
                <w:sz w:val="14"/>
                <w:szCs w:val="14"/>
              </w:rPr>
            </w:pPr>
          </w:p>
        </w:tc>
        <w:tc>
          <w:tcPr>
            <w:tcW w:w="709" w:type="dxa"/>
            <w:tcBorders>
              <w:top w:val="nil"/>
              <w:left w:val="nil"/>
              <w:bottom w:val="nil"/>
              <w:right w:val="nil"/>
            </w:tcBorders>
            <w:vAlign w:val="bottom"/>
            <w:hideMark/>
          </w:tcPr>
          <w:p w14:paraId="50006261" w14:textId="77777777" w:rsidR="00C45BB6" w:rsidRPr="009B7E9E" w:rsidRDefault="00C45BB6" w:rsidP="00C45BB6">
            <w:pPr>
              <w:jc w:val="right"/>
              <w:rPr>
                <w:sz w:val="14"/>
                <w:szCs w:val="14"/>
              </w:rPr>
            </w:pPr>
          </w:p>
        </w:tc>
        <w:tc>
          <w:tcPr>
            <w:tcW w:w="639" w:type="dxa"/>
            <w:tcBorders>
              <w:top w:val="nil"/>
              <w:left w:val="nil"/>
              <w:bottom w:val="nil"/>
              <w:right w:val="nil"/>
            </w:tcBorders>
            <w:vAlign w:val="bottom"/>
            <w:hideMark/>
          </w:tcPr>
          <w:p w14:paraId="39CAFB6E" w14:textId="77777777" w:rsidR="00C45BB6" w:rsidRPr="009B7E9E" w:rsidRDefault="00C45BB6" w:rsidP="00C45BB6">
            <w:pPr>
              <w:jc w:val="right"/>
              <w:rPr>
                <w:sz w:val="14"/>
                <w:szCs w:val="14"/>
              </w:rPr>
            </w:pPr>
          </w:p>
        </w:tc>
        <w:tc>
          <w:tcPr>
            <w:tcW w:w="635" w:type="dxa"/>
            <w:tcBorders>
              <w:top w:val="nil"/>
              <w:left w:val="nil"/>
              <w:bottom w:val="nil"/>
              <w:right w:val="nil"/>
            </w:tcBorders>
            <w:vAlign w:val="bottom"/>
            <w:hideMark/>
          </w:tcPr>
          <w:p w14:paraId="3B1C7CC9" w14:textId="77777777" w:rsidR="00C45BB6" w:rsidRPr="009B7E9E" w:rsidRDefault="00C45BB6" w:rsidP="00C45BB6">
            <w:pPr>
              <w:jc w:val="right"/>
              <w:rPr>
                <w:sz w:val="14"/>
                <w:szCs w:val="14"/>
              </w:rPr>
            </w:pPr>
          </w:p>
        </w:tc>
        <w:tc>
          <w:tcPr>
            <w:tcW w:w="731" w:type="dxa"/>
            <w:tcBorders>
              <w:top w:val="nil"/>
              <w:left w:val="nil"/>
              <w:bottom w:val="nil"/>
              <w:right w:val="nil"/>
            </w:tcBorders>
            <w:vAlign w:val="bottom"/>
            <w:hideMark/>
          </w:tcPr>
          <w:p w14:paraId="4EEBEBFB" w14:textId="77777777" w:rsidR="00C45BB6" w:rsidRPr="009B7E9E" w:rsidRDefault="00C45BB6" w:rsidP="00C45BB6">
            <w:pPr>
              <w:jc w:val="right"/>
              <w:rPr>
                <w:sz w:val="14"/>
                <w:szCs w:val="14"/>
              </w:rPr>
            </w:pPr>
          </w:p>
        </w:tc>
        <w:tc>
          <w:tcPr>
            <w:tcW w:w="714" w:type="dxa"/>
            <w:tcBorders>
              <w:top w:val="nil"/>
              <w:left w:val="nil"/>
              <w:bottom w:val="nil"/>
              <w:right w:val="nil"/>
            </w:tcBorders>
            <w:vAlign w:val="bottom"/>
            <w:hideMark/>
          </w:tcPr>
          <w:p w14:paraId="4BC8E888" w14:textId="77777777" w:rsidR="00C45BB6" w:rsidRPr="009B7E9E" w:rsidRDefault="00C45BB6" w:rsidP="00C45BB6">
            <w:pPr>
              <w:jc w:val="right"/>
              <w:rPr>
                <w:sz w:val="14"/>
                <w:szCs w:val="14"/>
              </w:rPr>
            </w:pPr>
          </w:p>
        </w:tc>
        <w:tc>
          <w:tcPr>
            <w:tcW w:w="835" w:type="dxa"/>
            <w:tcBorders>
              <w:top w:val="nil"/>
              <w:left w:val="nil"/>
              <w:bottom w:val="nil"/>
              <w:right w:val="nil"/>
            </w:tcBorders>
            <w:vAlign w:val="bottom"/>
            <w:hideMark/>
          </w:tcPr>
          <w:p w14:paraId="758D75E8" w14:textId="77777777" w:rsidR="00C45BB6" w:rsidRPr="009B7E9E" w:rsidRDefault="00C45BB6" w:rsidP="00C45BB6">
            <w:pPr>
              <w:jc w:val="right"/>
              <w:rPr>
                <w:sz w:val="14"/>
                <w:szCs w:val="14"/>
              </w:rPr>
            </w:pPr>
          </w:p>
        </w:tc>
        <w:tc>
          <w:tcPr>
            <w:tcW w:w="709" w:type="dxa"/>
            <w:tcBorders>
              <w:top w:val="nil"/>
              <w:left w:val="nil"/>
              <w:bottom w:val="nil"/>
              <w:right w:val="nil"/>
            </w:tcBorders>
            <w:vAlign w:val="bottom"/>
            <w:hideMark/>
          </w:tcPr>
          <w:p w14:paraId="4EF13094" w14:textId="77777777" w:rsidR="00C45BB6" w:rsidRPr="009B7E9E" w:rsidRDefault="00C45BB6" w:rsidP="00C45BB6">
            <w:pPr>
              <w:jc w:val="right"/>
              <w:rPr>
                <w:sz w:val="14"/>
                <w:szCs w:val="14"/>
              </w:rPr>
            </w:pPr>
          </w:p>
        </w:tc>
        <w:tc>
          <w:tcPr>
            <w:tcW w:w="850" w:type="dxa"/>
            <w:tcBorders>
              <w:top w:val="nil"/>
              <w:left w:val="nil"/>
              <w:bottom w:val="nil"/>
              <w:right w:val="nil"/>
            </w:tcBorders>
            <w:vAlign w:val="bottom"/>
            <w:hideMark/>
          </w:tcPr>
          <w:p w14:paraId="15E17BCE" w14:textId="77777777" w:rsidR="00C45BB6" w:rsidRPr="009B7E9E" w:rsidRDefault="00C45BB6" w:rsidP="00C45BB6">
            <w:pPr>
              <w:jc w:val="right"/>
              <w:rPr>
                <w:sz w:val="14"/>
                <w:szCs w:val="14"/>
              </w:rPr>
            </w:pPr>
          </w:p>
        </w:tc>
        <w:tc>
          <w:tcPr>
            <w:tcW w:w="993" w:type="dxa"/>
            <w:gridSpan w:val="2"/>
            <w:tcBorders>
              <w:top w:val="nil"/>
              <w:left w:val="nil"/>
              <w:bottom w:val="nil"/>
              <w:right w:val="single" w:sz="4" w:space="0" w:color="auto"/>
            </w:tcBorders>
            <w:vAlign w:val="bottom"/>
            <w:hideMark/>
          </w:tcPr>
          <w:p w14:paraId="06573FBE" w14:textId="68922D48" w:rsidR="00C45BB6" w:rsidRPr="009B7E9E" w:rsidRDefault="00C45BB6" w:rsidP="00C45BB6">
            <w:pPr>
              <w:jc w:val="right"/>
              <w:rPr>
                <w:color w:val="000000"/>
                <w:sz w:val="14"/>
                <w:szCs w:val="14"/>
              </w:rPr>
            </w:pPr>
            <w:r w:rsidRPr="009B7E9E">
              <w:rPr>
                <w:color w:val="000000"/>
                <w:sz w:val="14"/>
                <w:szCs w:val="14"/>
              </w:rPr>
              <w:t> </w:t>
            </w:r>
          </w:p>
        </w:tc>
      </w:tr>
      <w:tr w:rsidR="00C45BB6" w:rsidRPr="00C45BB6" w14:paraId="78A83C25" w14:textId="77777777" w:rsidTr="00C45BB6">
        <w:trPr>
          <w:divId w:val="818616495"/>
          <w:trHeight w:val="60"/>
        </w:trPr>
        <w:tc>
          <w:tcPr>
            <w:tcW w:w="561" w:type="dxa"/>
            <w:tcBorders>
              <w:top w:val="single" w:sz="4" w:space="0" w:color="auto"/>
              <w:left w:val="single" w:sz="4" w:space="0" w:color="auto"/>
              <w:bottom w:val="single" w:sz="4" w:space="0" w:color="auto"/>
              <w:right w:val="nil"/>
            </w:tcBorders>
            <w:vAlign w:val="center"/>
            <w:hideMark/>
          </w:tcPr>
          <w:p w14:paraId="7A7834FB" w14:textId="77777777" w:rsidR="00C45BB6" w:rsidRPr="009B7E9E" w:rsidRDefault="00C45BB6" w:rsidP="00C45BB6">
            <w:pPr>
              <w:rPr>
                <w:b/>
                <w:bCs/>
                <w:color w:val="000000"/>
                <w:sz w:val="14"/>
                <w:szCs w:val="14"/>
              </w:rPr>
            </w:pPr>
            <w:r w:rsidRPr="009B7E9E">
              <w:rPr>
                <w:b/>
                <w:bCs/>
                <w:color w:val="000000"/>
                <w:sz w:val="14"/>
                <w:szCs w:val="14"/>
              </w:rPr>
              <w:t> </w:t>
            </w:r>
          </w:p>
        </w:tc>
        <w:tc>
          <w:tcPr>
            <w:tcW w:w="3377" w:type="dxa"/>
            <w:tcBorders>
              <w:top w:val="single" w:sz="4" w:space="0" w:color="auto"/>
              <w:left w:val="nil"/>
              <w:bottom w:val="single" w:sz="4" w:space="0" w:color="auto"/>
              <w:right w:val="nil"/>
            </w:tcBorders>
            <w:vAlign w:val="center"/>
            <w:hideMark/>
          </w:tcPr>
          <w:p w14:paraId="70956DE7" w14:textId="77777777" w:rsidR="00C45BB6" w:rsidRPr="009B7E9E" w:rsidRDefault="00C45BB6" w:rsidP="00C45BB6">
            <w:pPr>
              <w:rPr>
                <w:b/>
                <w:bCs/>
                <w:color w:val="000000"/>
                <w:sz w:val="14"/>
                <w:szCs w:val="14"/>
              </w:rPr>
            </w:pPr>
            <w:r w:rsidRPr="009B7E9E">
              <w:rPr>
                <w:b/>
                <w:bCs/>
                <w:color w:val="000000"/>
                <w:sz w:val="14"/>
                <w:szCs w:val="14"/>
              </w:rPr>
              <w:t>Dönem Sonu Bakiyesi  (III+IV+…...+X+XI)</w:t>
            </w:r>
          </w:p>
        </w:tc>
        <w:tc>
          <w:tcPr>
            <w:tcW w:w="707" w:type="dxa"/>
            <w:tcBorders>
              <w:top w:val="single" w:sz="4" w:space="0" w:color="auto"/>
              <w:left w:val="nil"/>
              <w:bottom w:val="single" w:sz="4" w:space="0" w:color="auto"/>
              <w:right w:val="nil"/>
            </w:tcBorders>
            <w:vAlign w:val="center"/>
            <w:hideMark/>
          </w:tcPr>
          <w:p w14:paraId="2FA62656" w14:textId="77777777" w:rsidR="00C45BB6" w:rsidRPr="009B7E9E" w:rsidRDefault="00C45BB6" w:rsidP="00C45BB6">
            <w:pPr>
              <w:rPr>
                <w:b/>
                <w:bCs/>
                <w:color w:val="000000"/>
                <w:sz w:val="14"/>
                <w:szCs w:val="14"/>
              </w:rPr>
            </w:pPr>
            <w:r w:rsidRPr="009B7E9E">
              <w:rPr>
                <w:b/>
                <w:bCs/>
                <w:color w:val="000000"/>
                <w:sz w:val="14"/>
                <w:szCs w:val="14"/>
              </w:rPr>
              <w:t> </w:t>
            </w:r>
          </w:p>
        </w:tc>
        <w:tc>
          <w:tcPr>
            <w:tcW w:w="851" w:type="dxa"/>
            <w:tcBorders>
              <w:top w:val="single" w:sz="4" w:space="0" w:color="auto"/>
              <w:left w:val="nil"/>
              <w:bottom w:val="single" w:sz="4" w:space="0" w:color="auto"/>
              <w:right w:val="nil"/>
            </w:tcBorders>
            <w:vAlign w:val="bottom"/>
            <w:hideMark/>
          </w:tcPr>
          <w:p w14:paraId="14198EFB" w14:textId="0FC85F7E" w:rsidR="00C45BB6" w:rsidRPr="009B7E9E" w:rsidRDefault="00C45BB6" w:rsidP="00C45BB6">
            <w:pPr>
              <w:jc w:val="right"/>
              <w:rPr>
                <w:b/>
                <w:bCs/>
                <w:color w:val="000000"/>
                <w:sz w:val="14"/>
                <w:szCs w:val="14"/>
              </w:rPr>
            </w:pPr>
            <w:r w:rsidRPr="009B7E9E">
              <w:rPr>
                <w:b/>
                <w:bCs/>
                <w:color w:val="000000"/>
                <w:sz w:val="14"/>
                <w:szCs w:val="14"/>
              </w:rPr>
              <w:t>7.272.337</w:t>
            </w:r>
          </w:p>
        </w:tc>
        <w:tc>
          <w:tcPr>
            <w:tcW w:w="709" w:type="dxa"/>
            <w:tcBorders>
              <w:top w:val="single" w:sz="4" w:space="0" w:color="auto"/>
              <w:left w:val="nil"/>
              <w:bottom w:val="single" w:sz="4" w:space="0" w:color="auto"/>
              <w:right w:val="nil"/>
            </w:tcBorders>
            <w:vAlign w:val="bottom"/>
            <w:hideMark/>
          </w:tcPr>
          <w:p w14:paraId="338EEF94" w14:textId="575FD53A" w:rsidR="00C45BB6" w:rsidRPr="009B7E9E" w:rsidRDefault="00C45BB6" w:rsidP="00C45BB6">
            <w:pPr>
              <w:jc w:val="right"/>
              <w:rPr>
                <w:b/>
                <w:bCs/>
                <w:color w:val="000000"/>
                <w:sz w:val="14"/>
                <w:szCs w:val="14"/>
              </w:rPr>
            </w:pPr>
            <w:r w:rsidRPr="009B7E9E">
              <w:rPr>
                <w:b/>
                <w:bCs/>
                <w:color w:val="000000"/>
                <w:sz w:val="14"/>
                <w:szCs w:val="14"/>
              </w:rPr>
              <w:t>-</w:t>
            </w:r>
          </w:p>
        </w:tc>
        <w:tc>
          <w:tcPr>
            <w:tcW w:w="708" w:type="dxa"/>
            <w:tcBorders>
              <w:top w:val="single" w:sz="4" w:space="0" w:color="auto"/>
              <w:left w:val="nil"/>
              <w:bottom w:val="single" w:sz="4" w:space="0" w:color="auto"/>
              <w:right w:val="nil"/>
            </w:tcBorders>
            <w:vAlign w:val="bottom"/>
            <w:hideMark/>
          </w:tcPr>
          <w:p w14:paraId="0D89C3AE" w14:textId="69268503" w:rsidR="00C45BB6" w:rsidRPr="009B7E9E" w:rsidRDefault="00C45BB6" w:rsidP="00C45BB6">
            <w:pPr>
              <w:jc w:val="right"/>
              <w:rPr>
                <w:b/>
                <w:bCs/>
                <w:color w:val="000000"/>
                <w:sz w:val="14"/>
                <w:szCs w:val="14"/>
              </w:rPr>
            </w:pPr>
            <w:r w:rsidRPr="009B7E9E">
              <w:rPr>
                <w:b/>
                <w:bCs/>
                <w:color w:val="000000"/>
                <w:sz w:val="14"/>
                <w:szCs w:val="14"/>
              </w:rPr>
              <w:t>-</w:t>
            </w:r>
          </w:p>
        </w:tc>
        <w:tc>
          <w:tcPr>
            <w:tcW w:w="724" w:type="dxa"/>
            <w:tcBorders>
              <w:top w:val="single" w:sz="4" w:space="0" w:color="auto"/>
              <w:left w:val="nil"/>
              <w:bottom w:val="single" w:sz="4" w:space="0" w:color="auto"/>
              <w:right w:val="nil"/>
            </w:tcBorders>
            <w:vAlign w:val="bottom"/>
            <w:hideMark/>
          </w:tcPr>
          <w:p w14:paraId="7924A58D" w14:textId="28BE5FF2" w:rsidR="00C45BB6" w:rsidRPr="009B7E9E" w:rsidRDefault="00C45BB6" w:rsidP="00C45BB6">
            <w:pPr>
              <w:jc w:val="right"/>
              <w:rPr>
                <w:b/>
                <w:bCs/>
                <w:color w:val="000000"/>
                <w:sz w:val="14"/>
                <w:szCs w:val="14"/>
              </w:rPr>
            </w:pPr>
            <w:r w:rsidRPr="009B7E9E">
              <w:rPr>
                <w:b/>
                <w:bCs/>
                <w:color w:val="000000"/>
                <w:sz w:val="14"/>
                <w:szCs w:val="14"/>
              </w:rPr>
              <w:t>-</w:t>
            </w:r>
          </w:p>
        </w:tc>
        <w:tc>
          <w:tcPr>
            <w:tcW w:w="575" w:type="dxa"/>
            <w:tcBorders>
              <w:top w:val="single" w:sz="4" w:space="0" w:color="auto"/>
              <w:left w:val="nil"/>
              <w:bottom w:val="single" w:sz="4" w:space="0" w:color="auto"/>
              <w:right w:val="nil"/>
            </w:tcBorders>
            <w:vAlign w:val="bottom"/>
            <w:hideMark/>
          </w:tcPr>
          <w:p w14:paraId="0DF00D09" w14:textId="2E24DDBB" w:rsidR="00C45BB6" w:rsidRPr="009B7E9E" w:rsidRDefault="00C45BB6" w:rsidP="00C45BB6">
            <w:pPr>
              <w:jc w:val="right"/>
              <w:rPr>
                <w:b/>
                <w:bCs/>
                <w:color w:val="000000"/>
                <w:sz w:val="14"/>
                <w:szCs w:val="14"/>
              </w:rPr>
            </w:pPr>
            <w:r w:rsidRPr="009B7E9E">
              <w:rPr>
                <w:b/>
                <w:bCs/>
                <w:color w:val="000000"/>
                <w:sz w:val="14"/>
                <w:szCs w:val="14"/>
              </w:rPr>
              <w:t>-</w:t>
            </w:r>
          </w:p>
        </w:tc>
        <w:tc>
          <w:tcPr>
            <w:tcW w:w="709" w:type="dxa"/>
            <w:tcBorders>
              <w:top w:val="single" w:sz="4" w:space="0" w:color="auto"/>
              <w:left w:val="nil"/>
              <w:bottom w:val="single" w:sz="4" w:space="0" w:color="auto"/>
              <w:right w:val="nil"/>
            </w:tcBorders>
            <w:vAlign w:val="bottom"/>
            <w:hideMark/>
          </w:tcPr>
          <w:p w14:paraId="4D30BAA8" w14:textId="5C77C549" w:rsidR="00C45BB6" w:rsidRPr="009B7E9E" w:rsidRDefault="00C45BB6" w:rsidP="00C45BB6">
            <w:pPr>
              <w:jc w:val="right"/>
              <w:rPr>
                <w:b/>
                <w:bCs/>
                <w:color w:val="000000"/>
                <w:sz w:val="14"/>
                <w:szCs w:val="14"/>
              </w:rPr>
            </w:pPr>
            <w:r w:rsidRPr="009B7E9E">
              <w:rPr>
                <w:b/>
                <w:bCs/>
                <w:color w:val="000000"/>
                <w:sz w:val="14"/>
                <w:szCs w:val="14"/>
              </w:rPr>
              <w:t>(5.126)</w:t>
            </w:r>
          </w:p>
        </w:tc>
        <w:tc>
          <w:tcPr>
            <w:tcW w:w="639" w:type="dxa"/>
            <w:tcBorders>
              <w:top w:val="single" w:sz="4" w:space="0" w:color="auto"/>
              <w:left w:val="nil"/>
              <w:bottom w:val="single" w:sz="4" w:space="0" w:color="auto"/>
              <w:right w:val="nil"/>
            </w:tcBorders>
            <w:vAlign w:val="bottom"/>
            <w:hideMark/>
          </w:tcPr>
          <w:p w14:paraId="61759532" w14:textId="7DF8F5C9" w:rsidR="00C45BB6" w:rsidRPr="009B7E9E" w:rsidRDefault="00C45BB6" w:rsidP="00C45BB6">
            <w:pPr>
              <w:jc w:val="right"/>
              <w:rPr>
                <w:b/>
                <w:bCs/>
                <w:color w:val="000000"/>
                <w:sz w:val="14"/>
                <w:szCs w:val="14"/>
              </w:rPr>
            </w:pPr>
            <w:r w:rsidRPr="009B7E9E">
              <w:rPr>
                <w:b/>
                <w:bCs/>
                <w:color w:val="000000"/>
                <w:sz w:val="14"/>
                <w:szCs w:val="14"/>
              </w:rPr>
              <w:t>-</w:t>
            </w:r>
          </w:p>
        </w:tc>
        <w:tc>
          <w:tcPr>
            <w:tcW w:w="635" w:type="dxa"/>
            <w:tcBorders>
              <w:top w:val="single" w:sz="4" w:space="0" w:color="auto"/>
              <w:left w:val="nil"/>
              <w:bottom w:val="single" w:sz="4" w:space="0" w:color="auto"/>
              <w:right w:val="nil"/>
            </w:tcBorders>
            <w:vAlign w:val="bottom"/>
            <w:hideMark/>
          </w:tcPr>
          <w:p w14:paraId="76E99B04" w14:textId="616AF42D" w:rsidR="00C45BB6" w:rsidRPr="009B7E9E" w:rsidRDefault="00C45BB6" w:rsidP="00C45BB6">
            <w:pPr>
              <w:jc w:val="right"/>
              <w:rPr>
                <w:b/>
                <w:bCs/>
                <w:color w:val="000000"/>
                <w:sz w:val="14"/>
                <w:szCs w:val="14"/>
              </w:rPr>
            </w:pPr>
            <w:r w:rsidRPr="009B7E9E">
              <w:rPr>
                <w:b/>
                <w:bCs/>
                <w:color w:val="000000"/>
                <w:sz w:val="14"/>
                <w:szCs w:val="14"/>
              </w:rPr>
              <w:t>-</w:t>
            </w:r>
          </w:p>
        </w:tc>
        <w:tc>
          <w:tcPr>
            <w:tcW w:w="731" w:type="dxa"/>
            <w:tcBorders>
              <w:top w:val="single" w:sz="4" w:space="0" w:color="auto"/>
              <w:left w:val="nil"/>
              <w:bottom w:val="single" w:sz="4" w:space="0" w:color="auto"/>
              <w:right w:val="nil"/>
            </w:tcBorders>
            <w:vAlign w:val="bottom"/>
            <w:hideMark/>
          </w:tcPr>
          <w:p w14:paraId="7AECF251" w14:textId="5A91DB94" w:rsidR="00C45BB6" w:rsidRPr="009B7E9E" w:rsidRDefault="00C45BB6" w:rsidP="00C45BB6">
            <w:pPr>
              <w:jc w:val="right"/>
              <w:rPr>
                <w:b/>
                <w:bCs/>
                <w:color w:val="000000"/>
                <w:sz w:val="14"/>
                <w:szCs w:val="14"/>
              </w:rPr>
            </w:pPr>
            <w:r w:rsidRPr="009B7E9E">
              <w:rPr>
                <w:b/>
                <w:bCs/>
                <w:color w:val="000000"/>
                <w:sz w:val="14"/>
                <w:szCs w:val="14"/>
              </w:rPr>
              <w:t>61.074</w:t>
            </w:r>
          </w:p>
        </w:tc>
        <w:tc>
          <w:tcPr>
            <w:tcW w:w="714" w:type="dxa"/>
            <w:tcBorders>
              <w:top w:val="single" w:sz="4" w:space="0" w:color="auto"/>
              <w:left w:val="nil"/>
              <w:bottom w:val="single" w:sz="4" w:space="0" w:color="auto"/>
              <w:right w:val="nil"/>
            </w:tcBorders>
            <w:vAlign w:val="bottom"/>
            <w:hideMark/>
          </w:tcPr>
          <w:p w14:paraId="6F191604" w14:textId="5E853727" w:rsidR="00C45BB6" w:rsidRPr="009B7E9E" w:rsidRDefault="00C45BB6" w:rsidP="00C45BB6">
            <w:pPr>
              <w:jc w:val="right"/>
              <w:rPr>
                <w:b/>
                <w:bCs/>
                <w:color w:val="000000"/>
                <w:sz w:val="14"/>
                <w:szCs w:val="14"/>
              </w:rPr>
            </w:pPr>
            <w:r w:rsidRPr="009B7E9E">
              <w:rPr>
                <w:b/>
                <w:bCs/>
                <w:color w:val="000000"/>
                <w:sz w:val="14"/>
                <w:szCs w:val="14"/>
              </w:rPr>
              <w:t>-</w:t>
            </w:r>
          </w:p>
        </w:tc>
        <w:tc>
          <w:tcPr>
            <w:tcW w:w="835" w:type="dxa"/>
            <w:tcBorders>
              <w:top w:val="single" w:sz="4" w:space="0" w:color="auto"/>
              <w:left w:val="nil"/>
              <w:bottom w:val="single" w:sz="4" w:space="0" w:color="auto"/>
              <w:right w:val="nil"/>
            </w:tcBorders>
            <w:vAlign w:val="bottom"/>
            <w:hideMark/>
          </w:tcPr>
          <w:p w14:paraId="306E9CC0" w14:textId="54E66450" w:rsidR="00C45BB6" w:rsidRPr="009B7E9E" w:rsidRDefault="00C45BB6" w:rsidP="00C45BB6">
            <w:pPr>
              <w:jc w:val="right"/>
              <w:rPr>
                <w:b/>
                <w:bCs/>
                <w:color w:val="000000"/>
                <w:sz w:val="14"/>
                <w:szCs w:val="14"/>
              </w:rPr>
            </w:pPr>
            <w:r w:rsidRPr="009B7E9E">
              <w:rPr>
                <w:b/>
                <w:bCs/>
                <w:color w:val="000000"/>
                <w:sz w:val="14"/>
                <w:szCs w:val="14"/>
              </w:rPr>
              <w:t>67.594</w:t>
            </w:r>
          </w:p>
        </w:tc>
        <w:tc>
          <w:tcPr>
            <w:tcW w:w="709" w:type="dxa"/>
            <w:tcBorders>
              <w:top w:val="single" w:sz="4" w:space="0" w:color="auto"/>
              <w:left w:val="nil"/>
              <w:bottom w:val="single" w:sz="4" w:space="0" w:color="auto"/>
              <w:right w:val="nil"/>
            </w:tcBorders>
            <w:vAlign w:val="bottom"/>
            <w:hideMark/>
          </w:tcPr>
          <w:p w14:paraId="1E8050FC" w14:textId="02E4ECBC" w:rsidR="00C45BB6" w:rsidRPr="009B7E9E" w:rsidRDefault="00C45BB6" w:rsidP="00C45BB6">
            <w:pPr>
              <w:jc w:val="right"/>
              <w:rPr>
                <w:b/>
                <w:bCs/>
                <w:color w:val="000000"/>
                <w:sz w:val="14"/>
                <w:szCs w:val="14"/>
              </w:rPr>
            </w:pPr>
            <w:r w:rsidRPr="009B7E9E">
              <w:rPr>
                <w:b/>
                <w:bCs/>
                <w:color w:val="000000"/>
                <w:sz w:val="14"/>
                <w:szCs w:val="14"/>
              </w:rPr>
              <w:t>20.338</w:t>
            </w:r>
          </w:p>
        </w:tc>
        <w:tc>
          <w:tcPr>
            <w:tcW w:w="850" w:type="dxa"/>
            <w:tcBorders>
              <w:top w:val="single" w:sz="4" w:space="0" w:color="auto"/>
              <w:left w:val="nil"/>
              <w:bottom w:val="single" w:sz="4" w:space="0" w:color="auto"/>
              <w:right w:val="nil"/>
            </w:tcBorders>
            <w:vAlign w:val="bottom"/>
            <w:hideMark/>
          </w:tcPr>
          <w:p w14:paraId="3BAFA837" w14:textId="683BD3E7" w:rsidR="00C45BB6" w:rsidRPr="009B7E9E" w:rsidRDefault="00C45BB6" w:rsidP="00C45BB6">
            <w:pPr>
              <w:jc w:val="right"/>
              <w:rPr>
                <w:b/>
                <w:bCs/>
                <w:color w:val="000000"/>
                <w:sz w:val="14"/>
                <w:szCs w:val="14"/>
              </w:rPr>
            </w:pPr>
            <w:r w:rsidRPr="009B7E9E">
              <w:rPr>
                <w:b/>
                <w:bCs/>
                <w:color w:val="000000"/>
                <w:sz w:val="14"/>
                <w:szCs w:val="14"/>
              </w:rPr>
              <w:t>2.057.211</w:t>
            </w:r>
          </w:p>
        </w:tc>
        <w:tc>
          <w:tcPr>
            <w:tcW w:w="993" w:type="dxa"/>
            <w:gridSpan w:val="2"/>
            <w:tcBorders>
              <w:top w:val="single" w:sz="4" w:space="0" w:color="auto"/>
              <w:left w:val="nil"/>
              <w:bottom w:val="single" w:sz="4" w:space="0" w:color="auto"/>
              <w:right w:val="single" w:sz="4" w:space="0" w:color="auto"/>
            </w:tcBorders>
            <w:vAlign w:val="bottom"/>
            <w:hideMark/>
          </w:tcPr>
          <w:p w14:paraId="5CD5298F" w14:textId="7639457D" w:rsidR="00C45BB6" w:rsidRPr="009B7E9E" w:rsidRDefault="00C45BB6" w:rsidP="00C45BB6">
            <w:pPr>
              <w:jc w:val="right"/>
              <w:rPr>
                <w:b/>
                <w:bCs/>
                <w:color w:val="000000"/>
                <w:sz w:val="14"/>
                <w:szCs w:val="14"/>
              </w:rPr>
            </w:pPr>
            <w:r w:rsidRPr="009B7E9E">
              <w:rPr>
                <w:b/>
                <w:bCs/>
                <w:color w:val="000000"/>
                <w:sz w:val="14"/>
                <w:szCs w:val="14"/>
              </w:rPr>
              <w:t>9.473.428</w:t>
            </w:r>
          </w:p>
        </w:tc>
      </w:tr>
    </w:tbl>
    <w:p w14:paraId="0A7A612B" w14:textId="06D9F41D" w:rsidR="00303606" w:rsidRPr="00471CBA" w:rsidRDefault="00303606" w:rsidP="009F6E11">
      <w:pPr>
        <w:widowControl w:val="0"/>
        <w:autoSpaceDE w:val="0"/>
        <w:autoSpaceDN w:val="0"/>
        <w:ind w:right="-455"/>
        <w:rPr>
          <w:szCs w:val="20"/>
        </w:rPr>
      </w:pPr>
    </w:p>
    <w:p w14:paraId="4089D85D" w14:textId="77777777" w:rsidR="009D2E02" w:rsidRPr="00471CBA" w:rsidRDefault="009D2E02" w:rsidP="009D2E02">
      <w:pPr>
        <w:widowControl w:val="0"/>
        <w:tabs>
          <w:tab w:val="left" w:pos="-426"/>
        </w:tabs>
        <w:ind w:right="-1"/>
        <w:jc w:val="both"/>
        <w:rPr>
          <w:sz w:val="18"/>
          <w:szCs w:val="18"/>
        </w:rPr>
      </w:pPr>
      <w:r w:rsidRPr="00471CBA">
        <w:rPr>
          <w:sz w:val="18"/>
          <w:szCs w:val="18"/>
        </w:rPr>
        <w:t>Banka, 1 Temmuz 2025 tarihi itibarıyla TFRS 9 Finansal Araçlar standardının değer düşüklüğüne ilişkin hükümlerini uygulamaya başlamış olup, önceki dönem finansal tabloları BDDK tarafından açıklanmış olan TFRS 9 uygulamayan bankalar için geçerli olan finansal tablo formatında sunulduğu için önceki dönem finansal tablo ve dipnotları yeniden düzenlenmemiş olup, ayrı olarak gösterilmiştir.</w:t>
      </w:r>
    </w:p>
    <w:p w14:paraId="128E3ED2" w14:textId="77777777" w:rsidR="0073614D" w:rsidRPr="00471CBA" w:rsidRDefault="0073614D" w:rsidP="009F6E11">
      <w:pPr>
        <w:widowControl w:val="0"/>
        <w:autoSpaceDE w:val="0"/>
        <w:autoSpaceDN w:val="0"/>
        <w:ind w:right="-455"/>
        <w:rPr>
          <w:sz w:val="14"/>
          <w:szCs w:val="14"/>
        </w:rPr>
      </w:pPr>
    </w:p>
    <w:p w14:paraId="7B44B84F" w14:textId="29382921" w:rsidR="00831EF9" w:rsidRPr="00471CBA" w:rsidRDefault="00831EF9" w:rsidP="001B6D11">
      <w:pPr>
        <w:widowControl w:val="0"/>
        <w:kinsoku w:val="0"/>
        <w:overflowPunct w:val="0"/>
        <w:autoSpaceDE w:val="0"/>
        <w:adjustRightInd w:val="0"/>
        <w:ind w:left="426" w:hanging="426"/>
        <w:jc w:val="both"/>
        <w:rPr>
          <w:sz w:val="14"/>
          <w:szCs w:val="14"/>
        </w:rPr>
      </w:pPr>
      <w:r w:rsidRPr="00471CBA">
        <w:rPr>
          <w:sz w:val="14"/>
          <w:szCs w:val="14"/>
        </w:rPr>
        <w:t>1.</w:t>
      </w:r>
      <w:r w:rsidRPr="00471CBA">
        <w:rPr>
          <w:sz w:val="14"/>
          <w:szCs w:val="14"/>
        </w:rPr>
        <w:tab/>
        <w:t>Duran varlıklar birikmiş yeniden değerleme artışları/azalışları,</w:t>
      </w:r>
    </w:p>
    <w:p w14:paraId="165FB845" w14:textId="6C9E1F0A" w:rsidR="00831EF9" w:rsidRPr="00471CBA" w:rsidRDefault="00831EF9" w:rsidP="001B6D11">
      <w:pPr>
        <w:widowControl w:val="0"/>
        <w:kinsoku w:val="0"/>
        <w:overflowPunct w:val="0"/>
        <w:autoSpaceDE w:val="0"/>
        <w:adjustRightInd w:val="0"/>
        <w:ind w:left="426" w:hanging="426"/>
        <w:jc w:val="both"/>
        <w:rPr>
          <w:sz w:val="14"/>
          <w:szCs w:val="14"/>
        </w:rPr>
      </w:pPr>
      <w:r w:rsidRPr="00471CBA">
        <w:rPr>
          <w:sz w:val="14"/>
          <w:szCs w:val="14"/>
        </w:rPr>
        <w:t>2.</w:t>
      </w:r>
      <w:r w:rsidRPr="00471CBA">
        <w:rPr>
          <w:sz w:val="14"/>
          <w:szCs w:val="14"/>
        </w:rPr>
        <w:tab/>
        <w:t>Tanımlanmış fayda planlarının birikmiş yeniden ölçüm kazançları/kayıpları,</w:t>
      </w:r>
    </w:p>
    <w:p w14:paraId="712CF56C" w14:textId="77777777" w:rsidR="00831EF9" w:rsidRPr="00471CBA" w:rsidRDefault="00831EF9" w:rsidP="001B6D11">
      <w:pPr>
        <w:widowControl w:val="0"/>
        <w:kinsoku w:val="0"/>
        <w:overflowPunct w:val="0"/>
        <w:autoSpaceDE w:val="0"/>
        <w:adjustRightInd w:val="0"/>
        <w:ind w:left="426" w:hanging="426"/>
        <w:jc w:val="both"/>
        <w:rPr>
          <w:sz w:val="14"/>
          <w:szCs w:val="14"/>
        </w:rPr>
      </w:pPr>
      <w:r w:rsidRPr="00471CBA">
        <w:rPr>
          <w:sz w:val="14"/>
          <w:szCs w:val="14"/>
        </w:rPr>
        <w:t>3.</w:t>
      </w:r>
      <w:r w:rsidRPr="00471CBA">
        <w:rPr>
          <w:sz w:val="14"/>
          <w:szCs w:val="14"/>
        </w:rPr>
        <w:tab/>
        <w:t>Diğer (Özkaynak yöntemiyle değerlenen yatırımların diğer kapsamlı gelirinden kâr/zararda sınıflandırılmayacak payları ile diğer kâr veya zarar olarak yeniden sınıflandırılmayacak diğer kapsamlı gelir unsurlarının birikmiş tutarları),</w:t>
      </w:r>
    </w:p>
    <w:p w14:paraId="64D01F93" w14:textId="77777777" w:rsidR="00831EF9" w:rsidRPr="00471CBA" w:rsidRDefault="00831EF9" w:rsidP="001B6D11">
      <w:pPr>
        <w:widowControl w:val="0"/>
        <w:kinsoku w:val="0"/>
        <w:overflowPunct w:val="0"/>
        <w:autoSpaceDE w:val="0"/>
        <w:adjustRightInd w:val="0"/>
        <w:ind w:left="426" w:hanging="426"/>
        <w:jc w:val="both"/>
        <w:rPr>
          <w:sz w:val="14"/>
          <w:szCs w:val="14"/>
        </w:rPr>
      </w:pPr>
      <w:r w:rsidRPr="00471CBA">
        <w:rPr>
          <w:sz w:val="14"/>
          <w:szCs w:val="14"/>
        </w:rPr>
        <w:t>4.</w:t>
      </w:r>
      <w:r w:rsidRPr="00471CBA">
        <w:rPr>
          <w:sz w:val="14"/>
          <w:szCs w:val="14"/>
        </w:rPr>
        <w:tab/>
        <w:t>Yabancı para çevirim farkları,</w:t>
      </w:r>
    </w:p>
    <w:p w14:paraId="1F58479C" w14:textId="77777777" w:rsidR="00831EF9" w:rsidRPr="00471CBA" w:rsidRDefault="00831EF9" w:rsidP="001B6D11">
      <w:pPr>
        <w:widowControl w:val="0"/>
        <w:kinsoku w:val="0"/>
        <w:overflowPunct w:val="0"/>
        <w:autoSpaceDE w:val="0"/>
        <w:adjustRightInd w:val="0"/>
        <w:ind w:left="426" w:hanging="426"/>
        <w:jc w:val="both"/>
        <w:rPr>
          <w:sz w:val="14"/>
          <w:szCs w:val="14"/>
        </w:rPr>
      </w:pPr>
      <w:r w:rsidRPr="00471CBA">
        <w:rPr>
          <w:sz w:val="14"/>
          <w:szCs w:val="14"/>
        </w:rPr>
        <w:t>5.</w:t>
      </w:r>
      <w:r w:rsidRPr="00471CBA">
        <w:rPr>
          <w:sz w:val="14"/>
          <w:szCs w:val="14"/>
        </w:rPr>
        <w:tab/>
        <w:t>Gerçeğe uygun değer farkı diğer kapsamlı gelire yansıtılan finansal varlıkların birikmiş yeniden değerleme ve/veya sınıflandırma kazançları/kayıpları,</w:t>
      </w:r>
    </w:p>
    <w:p w14:paraId="18BFF328" w14:textId="77777777" w:rsidR="00831EF9" w:rsidRPr="00471CBA" w:rsidRDefault="00831EF9" w:rsidP="001B6D11">
      <w:pPr>
        <w:widowControl w:val="0"/>
        <w:kinsoku w:val="0"/>
        <w:overflowPunct w:val="0"/>
        <w:autoSpaceDE w:val="0"/>
        <w:adjustRightInd w:val="0"/>
        <w:ind w:left="426" w:hanging="426"/>
        <w:jc w:val="both"/>
        <w:rPr>
          <w:sz w:val="14"/>
          <w:szCs w:val="14"/>
        </w:rPr>
      </w:pPr>
      <w:r w:rsidRPr="00471CBA">
        <w:rPr>
          <w:sz w:val="14"/>
          <w:szCs w:val="14"/>
        </w:rPr>
        <w:t>6.</w:t>
      </w:r>
      <w:r w:rsidRPr="00471CBA">
        <w:rPr>
          <w:sz w:val="14"/>
          <w:szCs w:val="14"/>
        </w:rPr>
        <w:tab/>
        <w:t>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ifade eder.</w:t>
      </w:r>
    </w:p>
    <w:p w14:paraId="5686599E" w14:textId="4C1A512A" w:rsidR="001A755B" w:rsidRPr="00471CBA" w:rsidRDefault="001A755B" w:rsidP="001B6D11">
      <w:pPr>
        <w:widowControl w:val="0"/>
        <w:jc w:val="both"/>
        <w:rPr>
          <w:szCs w:val="20"/>
        </w:rPr>
      </w:pPr>
    </w:p>
    <w:p w14:paraId="28A88908" w14:textId="77777777" w:rsidR="0011757C" w:rsidRPr="00471CBA" w:rsidRDefault="0011757C" w:rsidP="001B6D11">
      <w:pPr>
        <w:widowControl w:val="0"/>
        <w:jc w:val="both"/>
        <w:rPr>
          <w:szCs w:val="20"/>
        </w:rPr>
      </w:pPr>
    </w:p>
    <w:p w14:paraId="0D24FD64" w14:textId="77777777" w:rsidR="00F36B82" w:rsidRDefault="00F36B82" w:rsidP="001B6D11">
      <w:pPr>
        <w:widowControl w:val="0"/>
        <w:jc w:val="both"/>
        <w:rPr>
          <w:szCs w:val="20"/>
        </w:rPr>
      </w:pPr>
    </w:p>
    <w:p w14:paraId="75EAD2C7" w14:textId="77777777" w:rsidR="00F36B82" w:rsidRPr="00471CBA" w:rsidRDefault="00F36B82" w:rsidP="001B6D11">
      <w:pPr>
        <w:widowControl w:val="0"/>
        <w:jc w:val="both"/>
        <w:rPr>
          <w:szCs w:val="20"/>
        </w:rPr>
      </w:pPr>
    </w:p>
    <w:p w14:paraId="3D842560" w14:textId="77777777" w:rsidR="00276D99" w:rsidRPr="00471CBA" w:rsidRDefault="00276D99" w:rsidP="001B6D11">
      <w:pPr>
        <w:widowControl w:val="0"/>
        <w:jc w:val="both"/>
        <w:rPr>
          <w:szCs w:val="20"/>
        </w:rPr>
      </w:pPr>
    </w:p>
    <w:p w14:paraId="43F2CCCB" w14:textId="54A76E19" w:rsidR="00F36B82" w:rsidRDefault="00FD1822" w:rsidP="00F36B82">
      <w:pPr>
        <w:widowControl w:val="0"/>
        <w:jc w:val="center"/>
        <w:rPr>
          <w:szCs w:val="20"/>
        </w:rPr>
      </w:pPr>
      <w:r w:rsidRPr="00471CBA">
        <w:rPr>
          <w:szCs w:val="20"/>
        </w:rPr>
        <w:t>İlişikteki açıklama ve dipnotlar bu finansal tabloların tamamlayıcı bir parçasıdır.</w:t>
      </w:r>
      <w:r w:rsidR="00F36B82">
        <w:rPr>
          <w:szCs w:val="20"/>
        </w:rPr>
        <w:br w:type="page"/>
      </w:r>
    </w:p>
    <w:tbl>
      <w:tblPr>
        <w:tblW w:w="15177" w:type="dxa"/>
        <w:tblCellMar>
          <w:left w:w="70" w:type="dxa"/>
          <w:right w:w="70" w:type="dxa"/>
        </w:tblCellMar>
        <w:tblLook w:val="04A0" w:firstRow="1" w:lastRow="0" w:firstColumn="1" w:lastColumn="0" w:noHBand="0" w:noVBand="1"/>
      </w:tblPr>
      <w:tblGrid>
        <w:gridCol w:w="563"/>
        <w:gridCol w:w="3543"/>
        <w:gridCol w:w="707"/>
        <w:gridCol w:w="777"/>
        <w:gridCol w:w="709"/>
        <w:gridCol w:w="708"/>
        <w:gridCol w:w="724"/>
        <w:gridCol w:w="658"/>
        <w:gridCol w:w="709"/>
        <w:gridCol w:w="641"/>
        <w:gridCol w:w="636"/>
        <w:gridCol w:w="731"/>
        <w:gridCol w:w="715"/>
        <w:gridCol w:w="724"/>
        <w:gridCol w:w="709"/>
        <w:gridCol w:w="971"/>
        <w:gridCol w:w="952"/>
      </w:tblGrid>
      <w:tr w:rsidR="00A74C68" w:rsidRPr="00471CBA" w14:paraId="303AE518" w14:textId="77777777" w:rsidTr="00A74C68">
        <w:trPr>
          <w:divId w:val="2141610945"/>
          <w:trHeight w:val="113"/>
        </w:trPr>
        <w:tc>
          <w:tcPr>
            <w:tcW w:w="4106"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0BEAF62E" w14:textId="5766EC86" w:rsidR="00A74C68" w:rsidRPr="00471CBA" w:rsidRDefault="00A74C68" w:rsidP="00A74C68">
            <w:pPr>
              <w:jc w:val="center"/>
              <w:rPr>
                <w:b/>
                <w:bCs/>
                <w:color w:val="000000"/>
                <w:sz w:val="14"/>
                <w:szCs w:val="14"/>
              </w:rPr>
            </w:pPr>
            <w:r w:rsidRPr="00471CBA">
              <w:rPr>
                <w:b/>
                <w:bCs/>
                <w:color w:val="000000"/>
                <w:sz w:val="14"/>
                <w:szCs w:val="14"/>
              </w:rPr>
              <w:lastRenderedPageBreak/>
              <w:t>ÖZKAYNAK KALEMLERİNDEKİ DEĞİŞİKLİKLER</w:t>
            </w:r>
          </w:p>
        </w:tc>
        <w:tc>
          <w:tcPr>
            <w:tcW w:w="707" w:type="dxa"/>
            <w:vMerge w:val="restart"/>
            <w:tcBorders>
              <w:top w:val="single" w:sz="4" w:space="0" w:color="auto"/>
              <w:left w:val="single" w:sz="4" w:space="0" w:color="auto"/>
              <w:bottom w:val="single" w:sz="4" w:space="0" w:color="000000"/>
              <w:right w:val="single" w:sz="4" w:space="0" w:color="auto"/>
            </w:tcBorders>
            <w:vAlign w:val="bottom"/>
            <w:hideMark/>
          </w:tcPr>
          <w:p w14:paraId="4FF2F31D" w14:textId="77777777" w:rsidR="00A74C68" w:rsidRPr="00471CBA" w:rsidRDefault="00A74C68" w:rsidP="00A74C68">
            <w:pPr>
              <w:jc w:val="center"/>
              <w:rPr>
                <w:b/>
                <w:bCs/>
                <w:color w:val="000000"/>
                <w:sz w:val="14"/>
                <w:szCs w:val="14"/>
              </w:rPr>
            </w:pPr>
            <w:r w:rsidRPr="00471CBA">
              <w:rPr>
                <w:b/>
                <w:bCs/>
                <w:color w:val="000000"/>
                <w:sz w:val="14"/>
                <w:szCs w:val="14"/>
              </w:rPr>
              <w:t>Dipnot</w:t>
            </w:r>
            <w:r w:rsidRPr="00471CBA">
              <w:rPr>
                <w:b/>
                <w:bCs/>
                <w:color w:val="000000"/>
                <w:sz w:val="14"/>
                <w:szCs w:val="14"/>
              </w:rPr>
              <w:br/>
              <w:t>(Beşinci Bölüm-V)</w:t>
            </w:r>
          </w:p>
        </w:tc>
        <w:tc>
          <w:tcPr>
            <w:tcW w:w="777" w:type="dxa"/>
            <w:tcBorders>
              <w:top w:val="single" w:sz="4" w:space="0" w:color="auto"/>
              <w:left w:val="nil"/>
              <w:bottom w:val="single" w:sz="4" w:space="0" w:color="auto"/>
              <w:right w:val="nil"/>
            </w:tcBorders>
            <w:vAlign w:val="center"/>
            <w:hideMark/>
          </w:tcPr>
          <w:p w14:paraId="3665866A" w14:textId="77777777" w:rsidR="00A74C68" w:rsidRPr="00471CBA" w:rsidRDefault="00A74C68" w:rsidP="00A74C68">
            <w:pPr>
              <w:rPr>
                <w:b/>
                <w:bCs/>
                <w:color w:val="000000"/>
                <w:sz w:val="14"/>
                <w:szCs w:val="14"/>
              </w:rPr>
            </w:pPr>
            <w:r w:rsidRPr="00471CBA">
              <w:rPr>
                <w:b/>
                <w:bCs/>
                <w:color w:val="000000"/>
                <w:sz w:val="14"/>
                <w:szCs w:val="14"/>
              </w:rPr>
              <w:t> </w:t>
            </w:r>
          </w:p>
        </w:tc>
        <w:tc>
          <w:tcPr>
            <w:tcW w:w="709" w:type="dxa"/>
            <w:tcBorders>
              <w:top w:val="single" w:sz="4" w:space="0" w:color="auto"/>
              <w:left w:val="nil"/>
              <w:bottom w:val="single" w:sz="4" w:space="0" w:color="auto"/>
              <w:right w:val="nil"/>
            </w:tcBorders>
            <w:vAlign w:val="center"/>
            <w:hideMark/>
          </w:tcPr>
          <w:p w14:paraId="6FE2530B" w14:textId="77777777" w:rsidR="00A74C68" w:rsidRPr="00471CBA" w:rsidRDefault="00A74C68" w:rsidP="00A74C68">
            <w:pPr>
              <w:rPr>
                <w:b/>
                <w:bCs/>
                <w:color w:val="000000"/>
                <w:sz w:val="14"/>
                <w:szCs w:val="14"/>
              </w:rPr>
            </w:pPr>
            <w:r w:rsidRPr="00471CBA">
              <w:rPr>
                <w:b/>
                <w:bCs/>
                <w:color w:val="000000"/>
                <w:sz w:val="14"/>
                <w:szCs w:val="14"/>
              </w:rPr>
              <w:t> </w:t>
            </w:r>
          </w:p>
        </w:tc>
        <w:tc>
          <w:tcPr>
            <w:tcW w:w="708" w:type="dxa"/>
            <w:tcBorders>
              <w:top w:val="single" w:sz="4" w:space="0" w:color="auto"/>
              <w:left w:val="nil"/>
              <w:bottom w:val="single" w:sz="4" w:space="0" w:color="auto"/>
              <w:right w:val="nil"/>
            </w:tcBorders>
            <w:vAlign w:val="center"/>
            <w:hideMark/>
          </w:tcPr>
          <w:p w14:paraId="5898B239" w14:textId="77777777" w:rsidR="00A74C68" w:rsidRPr="00471CBA" w:rsidRDefault="00A74C68" w:rsidP="00A74C68">
            <w:pPr>
              <w:rPr>
                <w:b/>
                <w:bCs/>
                <w:color w:val="000000"/>
                <w:sz w:val="14"/>
                <w:szCs w:val="14"/>
              </w:rPr>
            </w:pPr>
            <w:r w:rsidRPr="00471CBA">
              <w:rPr>
                <w:b/>
                <w:bCs/>
                <w:color w:val="000000"/>
                <w:sz w:val="14"/>
                <w:szCs w:val="14"/>
              </w:rPr>
              <w:t> </w:t>
            </w:r>
          </w:p>
        </w:tc>
        <w:tc>
          <w:tcPr>
            <w:tcW w:w="724" w:type="dxa"/>
            <w:tcBorders>
              <w:top w:val="single" w:sz="4" w:space="0" w:color="auto"/>
              <w:left w:val="nil"/>
              <w:bottom w:val="single" w:sz="4" w:space="0" w:color="auto"/>
              <w:right w:val="single" w:sz="4" w:space="0" w:color="auto"/>
            </w:tcBorders>
            <w:vAlign w:val="center"/>
            <w:hideMark/>
          </w:tcPr>
          <w:p w14:paraId="74FA1DD4" w14:textId="77777777" w:rsidR="00A74C68" w:rsidRPr="00471CBA" w:rsidRDefault="00A74C68" w:rsidP="00A74C68">
            <w:pPr>
              <w:rPr>
                <w:b/>
                <w:bCs/>
                <w:color w:val="000000"/>
                <w:sz w:val="14"/>
                <w:szCs w:val="14"/>
              </w:rPr>
            </w:pPr>
            <w:r w:rsidRPr="00471CBA">
              <w:rPr>
                <w:b/>
                <w:bCs/>
                <w:color w:val="000000"/>
                <w:sz w:val="14"/>
                <w:szCs w:val="14"/>
              </w:rPr>
              <w:t> </w:t>
            </w:r>
          </w:p>
        </w:tc>
        <w:tc>
          <w:tcPr>
            <w:tcW w:w="2008" w:type="dxa"/>
            <w:gridSpan w:val="3"/>
            <w:tcBorders>
              <w:top w:val="single" w:sz="4" w:space="0" w:color="auto"/>
              <w:left w:val="nil"/>
              <w:bottom w:val="single" w:sz="4" w:space="0" w:color="auto"/>
              <w:right w:val="single" w:sz="4" w:space="0" w:color="auto"/>
            </w:tcBorders>
            <w:vAlign w:val="center"/>
            <w:hideMark/>
          </w:tcPr>
          <w:p w14:paraId="3A574826" w14:textId="77777777" w:rsidR="00A74C68" w:rsidRPr="00471CBA" w:rsidRDefault="00A74C68" w:rsidP="00A74C68">
            <w:pPr>
              <w:jc w:val="center"/>
              <w:rPr>
                <w:b/>
                <w:bCs/>
                <w:color w:val="000000"/>
                <w:sz w:val="14"/>
                <w:szCs w:val="14"/>
              </w:rPr>
            </w:pPr>
            <w:r w:rsidRPr="00471CBA">
              <w:rPr>
                <w:b/>
                <w:bCs/>
                <w:color w:val="000000"/>
                <w:sz w:val="14"/>
                <w:szCs w:val="14"/>
              </w:rPr>
              <w:t>Kâr veya Zararda Yeniden Sınıflandırılmayacak Birikmiş Diğer Kapsamlı Gelirler ve Giderler</w:t>
            </w:r>
          </w:p>
        </w:tc>
        <w:tc>
          <w:tcPr>
            <w:tcW w:w="2082" w:type="dxa"/>
            <w:gridSpan w:val="3"/>
            <w:tcBorders>
              <w:top w:val="single" w:sz="4" w:space="0" w:color="auto"/>
              <w:left w:val="nil"/>
              <w:bottom w:val="single" w:sz="4" w:space="0" w:color="auto"/>
              <w:right w:val="single" w:sz="4" w:space="0" w:color="auto"/>
            </w:tcBorders>
            <w:vAlign w:val="center"/>
            <w:hideMark/>
          </w:tcPr>
          <w:p w14:paraId="4177B6A4" w14:textId="77777777" w:rsidR="00A74C68" w:rsidRPr="00471CBA" w:rsidRDefault="00A74C68" w:rsidP="00A74C68">
            <w:pPr>
              <w:jc w:val="center"/>
              <w:rPr>
                <w:b/>
                <w:bCs/>
                <w:color w:val="000000"/>
                <w:sz w:val="14"/>
                <w:szCs w:val="14"/>
              </w:rPr>
            </w:pPr>
            <w:r w:rsidRPr="00471CBA">
              <w:rPr>
                <w:b/>
                <w:bCs/>
                <w:color w:val="000000"/>
                <w:sz w:val="14"/>
                <w:szCs w:val="14"/>
              </w:rPr>
              <w:t>Kâr veya Zararda Yeniden Sınıflandırılacak Birikmiş Diğer Kapsamlı Gelirler ve Giderler</w:t>
            </w:r>
          </w:p>
        </w:tc>
        <w:tc>
          <w:tcPr>
            <w:tcW w:w="724" w:type="dxa"/>
            <w:tcBorders>
              <w:top w:val="single" w:sz="4" w:space="0" w:color="auto"/>
              <w:left w:val="nil"/>
              <w:bottom w:val="single" w:sz="4" w:space="0" w:color="auto"/>
              <w:right w:val="nil"/>
            </w:tcBorders>
            <w:vAlign w:val="center"/>
            <w:hideMark/>
          </w:tcPr>
          <w:p w14:paraId="28A68D71" w14:textId="77777777" w:rsidR="00A74C68" w:rsidRPr="00471CBA" w:rsidRDefault="00A74C68" w:rsidP="00A74C68">
            <w:pPr>
              <w:rPr>
                <w:b/>
                <w:bCs/>
                <w:color w:val="000000"/>
                <w:sz w:val="14"/>
                <w:szCs w:val="14"/>
              </w:rPr>
            </w:pPr>
            <w:r w:rsidRPr="00471CBA">
              <w:rPr>
                <w:b/>
                <w:bCs/>
                <w:color w:val="000000"/>
                <w:sz w:val="14"/>
                <w:szCs w:val="14"/>
              </w:rPr>
              <w:t> </w:t>
            </w:r>
          </w:p>
        </w:tc>
        <w:tc>
          <w:tcPr>
            <w:tcW w:w="709" w:type="dxa"/>
            <w:tcBorders>
              <w:top w:val="single" w:sz="4" w:space="0" w:color="auto"/>
              <w:left w:val="nil"/>
              <w:bottom w:val="single" w:sz="4" w:space="0" w:color="auto"/>
              <w:right w:val="nil"/>
            </w:tcBorders>
            <w:vAlign w:val="center"/>
            <w:hideMark/>
          </w:tcPr>
          <w:p w14:paraId="188CF60E" w14:textId="77777777" w:rsidR="00A74C68" w:rsidRPr="00471CBA" w:rsidRDefault="00A74C68" w:rsidP="00A74C68">
            <w:pPr>
              <w:rPr>
                <w:b/>
                <w:bCs/>
                <w:color w:val="000000"/>
                <w:sz w:val="14"/>
                <w:szCs w:val="14"/>
              </w:rPr>
            </w:pPr>
            <w:r w:rsidRPr="00471CBA">
              <w:rPr>
                <w:b/>
                <w:bCs/>
                <w:color w:val="000000"/>
                <w:sz w:val="14"/>
                <w:szCs w:val="14"/>
              </w:rPr>
              <w:t> </w:t>
            </w:r>
          </w:p>
        </w:tc>
        <w:tc>
          <w:tcPr>
            <w:tcW w:w="971" w:type="dxa"/>
            <w:tcBorders>
              <w:top w:val="single" w:sz="4" w:space="0" w:color="auto"/>
              <w:left w:val="nil"/>
              <w:bottom w:val="single" w:sz="4" w:space="0" w:color="auto"/>
              <w:right w:val="nil"/>
            </w:tcBorders>
            <w:vAlign w:val="center"/>
            <w:hideMark/>
          </w:tcPr>
          <w:p w14:paraId="72C82DEE" w14:textId="77777777" w:rsidR="00A74C68" w:rsidRPr="00471CBA" w:rsidRDefault="00A74C68" w:rsidP="00A74C68">
            <w:pPr>
              <w:rPr>
                <w:b/>
                <w:bCs/>
                <w:color w:val="000000"/>
                <w:sz w:val="14"/>
                <w:szCs w:val="14"/>
              </w:rPr>
            </w:pPr>
            <w:r w:rsidRPr="00471CBA">
              <w:rPr>
                <w:b/>
                <w:bCs/>
                <w:color w:val="000000"/>
                <w:sz w:val="14"/>
                <w:szCs w:val="14"/>
              </w:rPr>
              <w:t> </w:t>
            </w:r>
          </w:p>
        </w:tc>
        <w:tc>
          <w:tcPr>
            <w:tcW w:w="952" w:type="dxa"/>
            <w:tcBorders>
              <w:top w:val="single" w:sz="4" w:space="0" w:color="auto"/>
              <w:left w:val="nil"/>
              <w:bottom w:val="single" w:sz="4" w:space="0" w:color="auto"/>
              <w:right w:val="single" w:sz="4" w:space="0" w:color="auto"/>
            </w:tcBorders>
            <w:vAlign w:val="center"/>
            <w:hideMark/>
          </w:tcPr>
          <w:p w14:paraId="0497022B" w14:textId="77777777" w:rsidR="00A74C68" w:rsidRPr="00471CBA" w:rsidRDefault="00A74C68" w:rsidP="00A74C68">
            <w:pPr>
              <w:rPr>
                <w:b/>
                <w:bCs/>
                <w:color w:val="000000"/>
                <w:sz w:val="14"/>
                <w:szCs w:val="14"/>
              </w:rPr>
            </w:pPr>
            <w:r w:rsidRPr="00471CBA">
              <w:rPr>
                <w:b/>
                <w:bCs/>
                <w:color w:val="000000"/>
                <w:sz w:val="14"/>
                <w:szCs w:val="14"/>
              </w:rPr>
              <w:t> </w:t>
            </w:r>
          </w:p>
        </w:tc>
      </w:tr>
      <w:tr w:rsidR="00A74C68" w:rsidRPr="00471CBA" w14:paraId="272CCCC4" w14:textId="77777777" w:rsidTr="00A74C68">
        <w:trPr>
          <w:divId w:val="2141610945"/>
          <w:trHeight w:val="113"/>
        </w:trPr>
        <w:tc>
          <w:tcPr>
            <w:tcW w:w="4106" w:type="dxa"/>
            <w:gridSpan w:val="2"/>
            <w:vMerge/>
            <w:tcBorders>
              <w:top w:val="single" w:sz="4" w:space="0" w:color="auto"/>
              <w:left w:val="single" w:sz="4" w:space="0" w:color="auto"/>
              <w:bottom w:val="single" w:sz="4" w:space="0" w:color="000000"/>
              <w:right w:val="single" w:sz="4" w:space="0" w:color="000000"/>
            </w:tcBorders>
            <w:vAlign w:val="center"/>
            <w:hideMark/>
          </w:tcPr>
          <w:p w14:paraId="5E738968" w14:textId="77777777" w:rsidR="00A74C68" w:rsidRPr="00471CBA" w:rsidRDefault="00A74C68" w:rsidP="00A74C68">
            <w:pPr>
              <w:rPr>
                <w:b/>
                <w:bCs/>
                <w:color w:val="000000"/>
                <w:sz w:val="14"/>
                <w:szCs w:val="14"/>
              </w:rPr>
            </w:pPr>
          </w:p>
        </w:tc>
        <w:tc>
          <w:tcPr>
            <w:tcW w:w="707" w:type="dxa"/>
            <w:vMerge/>
            <w:tcBorders>
              <w:top w:val="single" w:sz="4" w:space="0" w:color="auto"/>
              <w:left w:val="single" w:sz="4" w:space="0" w:color="auto"/>
              <w:bottom w:val="single" w:sz="4" w:space="0" w:color="000000"/>
              <w:right w:val="single" w:sz="4" w:space="0" w:color="auto"/>
            </w:tcBorders>
            <w:vAlign w:val="center"/>
            <w:hideMark/>
          </w:tcPr>
          <w:p w14:paraId="116B43C2" w14:textId="77777777" w:rsidR="00A74C68" w:rsidRPr="00471CBA" w:rsidRDefault="00A74C68" w:rsidP="00A74C68">
            <w:pPr>
              <w:rPr>
                <w:b/>
                <w:bCs/>
                <w:color w:val="000000"/>
                <w:sz w:val="14"/>
                <w:szCs w:val="14"/>
              </w:rPr>
            </w:pPr>
          </w:p>
        </w:tc>
        <w:tc>
          <w:tcPr>
            <w:tcW w:w="777" w:type="dxa"/>
            <w:tcBorders>
              <w:top w:val="single" w:sz="4" w:space="0" w:color="auto"/>
              <w:left w:val="nil"/>
              <w:bottom w:val="single" w:sz="4" w:space="0" w:color="auto"/>
              <w:right w:val="single" w:sz="4" w:space="0" w:color="auto"/>
            </w:tcBorders>
            <w:vAlign w:val="bottom"/>
            <w:hideMark/>
          </w:tcPr>
          <w:p w14:paraId="5B132F4F" w14:textId="77777777" w:rsidR="00A74C68" w:rsidRPr="00471CBA" w:rsidRDefault="00A74C68" w:rsidP="00A74C68">
            <w:pPr>
              <w:jc w:val="right"/>
              <w:rPr>
                <w:b/>
                <w:bCs/>
                <w:color w:val="000000"/>
                <w:sz w:val="14"/>
                <w:szCs w:val="14"/>
              </w:rPr>
            </w:pPr>
            <w:r w:rsidRPr="00471CBA">
              <w:rPr>
                <w:b/>
                <w:bCs/>
                <w:color w:val="000000"/>
                <w:sz w:val="14"/>
                <w:szCs w:val="14"/>
              </w:rPr>
              <w:t>Ödenmiş Sermaye</w:t>
            </w:r>
          </w:p>
        </w:tc>
        <w:tc>
          <w:tcPr>
            <w:tcW w:w="709" w:type="dxa"/>
            <w:tcBorders>
              <w:top w:val="single" w:sz="4" w:space="0" w:color="auto"/>
              <w:left w:val="nil"/>
              <w:bottom w:val="single" w:sz="4" w:space="0" w:color="auto"/>
              <w:right w:val="single" w:sz="4" w:space="0" w:color="auto"/>
            </w:tcBorders>
            <w:vAlign w:val="bottom"/>
            <w:hideMark/>
          </w:tcPr>
          <w:p w14:paraId="0A0ACEA2" w14:textId="77777777" w:rsidR="00A74C68" w:rsidRPr="00471CBA" w:rsidRDefault="00A74C68" w:rsidP="00A74C68">
            <w:pPr>
              <w:jc w:val="right"/>
              <w:rPr>
                <w:b/>
                <w:bCs/>
                <w:color w:val="000000"/>
                <w:sz w:val="14"/>
                <w:szCs w:val="14"/>
              </w:rPr>
            </w:pPr>
            <w:r w:rsidRPr="00471CBA">
              <w:rPr>
                <w:b/>
                <w:bCs/>
                <w:color w:val="000000"/>
                <w:sz w:val="14"/>
                <w:szCs w:val="14"/>
              </w:rPr>
              <w:t>Hisse Senedi İhraç Primleri</w:t>
            </w:r>
          </w:p>
        </w:tc>
        <w:tc>
          <w:tcPr>
            <w:tcW w:w="708" w:type="dxa"/>
            <w:tcBorders>
              <w:top w:val="single" w:sz="4" w:space="0" w:color="auto"/>
              <w:left w:val="nil"/>
              <w:bottom w:val="single" w:sz="4" w:space="0" w:color="auto"/>
              <w:right w:val="single" w:sz="4" w:space="0" w:color="auto"/>
            </w:tcBorders>
            <w:vAlign w:val="bottom"/>
            <w:hideMark/>
          </w:tcPr>
          <w:p w14:paraId="5BA5C3AA" w14:textId="77777777" w:rsidR="00A74C68" w:rsidRPr="00471CBA" w:rsidRDefault="00A74C68" w:rsidP="00A74C68">
            <w:pPr>
              <w:jc w:val="right"/>
              <w:rPr>
                <w:b/>
                <w:bCs/>
                <w:color w:val="000000"/>
                <w:sz w:val="14"/>
                <w:szCs w:val="14"/>
              </w:rPr>
            </w:pPr>
            <w:r w:rsidRPr="00471CBA">
              <w:rPr>
                <w:b/>
                <w:bCs/>
                <w:color w:val="000000"/>
                <w:sz w:val="14"/>
                <w:szCs w:val="14"/>
              </w:rPr>
              <w:t>Hisse Senedi İptal Kârları</w:t>
            </w:r>
          </w:p>
        </w:tc>
        <w:tc>
          <w:tcPr>
            <w:tcW w:w="724" w:type="dxa"/>
            <w:tcBorders>
              <w:top w:val="single" w:sz="4" w:space="0" w:color="auto"/>
              <w:left w:val="nil"/>
              <w:bottom w:val="single" w:sz="4" w:space="0" w:color="auto"/>
              <w:right w:val="single" w:sz="4" w:space="0" w:color="auto"/>
            </w:tcBorders>
            <w:vAlign w:val="bottom"/>
            <w:hideMark/>
          </w:tcPr>
          <w:p w14:paraId="01502E0C" w14:textId="77777777" w:rsidR="00A74C68" w:rsidRPr="00471CBA" w:rsidRDefault="00A74C68" w:rsidP="00A74C68">
            <w:pPr>
              <w:jc w:val="right"/>
              <w:rPr>
                <w:b/>
                <w:bCs/>
                <w:color w:val="000000"/>
                <w:sz w:val="14"/>
                <w:szCs w:val="14"/>
              </w:rPr>
            </w:pPr>
            <w:r w:rsidRPr="00471CBA">
              <w:rPr>
                <w:b/>
                <w:bCs/>
                <w:color w:val="000000"/>
                <w:sz w:val="14"/>
                <w:szCs w:val="14"/>
              </w:rPr>
              <w:t>Diğer Sermaye Yedekleri</w:t>
            </w:r>
          </w:p>
        </w:tc>
        <w:tc>
          <w:tcPr>
            <w:tcW w:w="658" w:type="dxa"/>
            <w:tcBorders>
              <w:top w:val="single" w:sz="4" w:space="0" w:color="auto"/>
              <w:left w:val="nil"/>
              <w:bottom w:val="single" w:sz="4" w:space="0" w:color="auto"/>
              <w:right w:val="single" w:sz="4" w:space="0" w:color="auto"/>
            </w:tcBorders>
            <w:vAlign w:val="bottom"/>
            <w:hideMark/>
          </w:tcPr>
          <w:p w14:paraId="7C033B4D" w14:textId="77777777" w:rsidR="00A74C68" w:rsidRPr="00471CBA" w:rsidRDefault="00A74C68" w:rsidP="00A74C68">
            <w:pPr>
              <w:jc w:val="right"/>
              <w:rPr>
                <w:b/>
                <w:bCs/>
                <w:color w:val="000000"/>
                <w:sz w:val="14"/>
                <w:szCs w:val="14"/>
              </w:rPr>
            </w:pPr>
            <w:r w:rsidRPr="00471CBA">
              <w:rPr>
                <w:b/>
                <w:bCs/>
                <w:color w:val="000000"/>
                <w:sz w:val="14"/>
                <w:szCs w:val="14"/>
              </w:rPr>
              <w:t>1</w:t>
            </w:r>
          </w:p>
        </w:tc>
        <w:tc>
          <w:tcPr>
            <w:tcW w:w="709" w:type="dxa"/>
            <w:tcBorders>
              <w:top w:val="single" w:sz="4" w:space="0" w:color="auto"/>
              <w:left w:val="nil"/>
              <w:bottom w:val="single" w:sz="4" w:space="0" w:color="auto"/>
              <w:right w:val="single" w:sz="4" w:space="0" w:color="auto"/>
            </w:tcBorders>
            <w:vAlign w:val="bottom"/>
            <w:hideMark/>
          </w:tcPr>
          <w:p w14:paraId="2306FAFA" w14:textId="77777777" w:rsidR="00A74C68" w:rsidRPr="00471CBA" w:rsidRDefault="00A74C68" w:rsidP="00A74C68">
            <w:pPr>
              <w:jc w:val="right"/>
              <w:rPr>
                <w:b/>
                <w:bCs/>
                <w:color w:val="000000"/>
                <w:sz w:val="14"/>
                <w:szCs w:val="14"/>
              </w:rPr>
            </w:pPr>
            <w:r w:rsidRPr="00471CBA">
              <w:rPr>
                <w:b/>
                <w:bCs/>
                <w:color w:val="000000"/>
                <w:sz w:val="14"/>
                <w:szCs w:val="14"/>
              </w:rPr>
              <w:t>2</w:t>
            </w:r>
          </w:p>
        </w:tc>
        <w:tc>
          <w:tcPr>
            <w:tcW w:w="641" w:type="dxa"/>
            <w:tcBorders>
              <w:top w:val="single" w:sz="4" w:space="0" w:color="auto"/>
              <w:left w:val="nil"/>
              <w:bottom w:val="single" w:sz="4" w:space="0" w:color="auto"/>
              <w:right w:val="single" w:sz="4" w:space="0" w:color="auto"/>
            </w:tcBorders>
            <w:vAlign w:val="bottom"/>
            <w:hideMark/>
          </w:tcPr>
          <w:p w14:paraId="5DD70D87" w14:textId="77777777" w:rsidR="00A74C68" w:rsidRPr="00471CBA" w:rsidRDefault="00A74C68" w:rsidP="00A74C68">
            <w:pPr>
              <w:jc w:val="right"/>
              <w:rPr>
                <w:b/>
                <w:bCs/>
                <w:color w:val="000000"/>
                <w:sz w:val="14"/>
                <w:szCs w:val="14"/>
              </w:rPr>
            </w:pPr>
            <w:r w:rsidRPr="00471CBA">
              <w:rPr>
                <w:b/>
                <w:bCs/>
                <w:color w:val="000000"/>
                <w:sz w:val="14"/>
                <w:szCs w:val="14"/>
              </w:rPr>
              <w:t>3</w:t>
            </w:r>
          </w:p>
        </w:tc>
        <w:tc>
          <w:tcPr>
            <w:tcW w:w="636" w:type="dxa"/>
            <w:tcBorders>
              <w:top w:val="single" w:sz="4" w:space="0" w:color="auto"/>
              <w:left w:val="nil"/>
              <w:bottom w:val="single" w:sz="4" w:space="0" w:color="auto"/>
              <w:right w:val="single" w:sz="4" w:space="0" w:color="auto"/>
            </w:tcBorders>
            <w:vAlign w:val="bottom"/>
            <w:hideMark/>
          </w:tcPr>
          <w:p w14:paraId="1E2EE38A" w14:textId="77777777" w:rsidR="00A74C68" w:rsidRPr="00471CBA" w:rsidRDefault="00A74C68" w:rsidP="00A74C68">
            <w:pPr>
              <w:jc w:val="right"/>
              <w:rPr>
                <w:b/>
                <w:bCs/>
                <w:color w:val="000000"/>
                <w:sz w:val="14"/>
                <w:szCs w:val="14"/>
              </w:rPr>
            </w:pPr>
            <w:r w:rsidRPr="00471CBA">
              <w:rPr>
                <w:b/>
                <w:bCs/>
                <w:color w:val="000000"/>
                <w:sz w:val="14"/>
                <w:szCs w:val="14"/>
              </w:rPr>
              <w:t>4</w:t>
            </w:r>
          </w:p>
        </w:tc>
        <w:tc>
          <w:tcPr>
            <w:tcW w:w="731" w:type="dxa"/>
            <w:tcBorders>
              <w:top w:val="single" w:sz="4" w:space="0" w:color="auto"/>
              <w:left w:val="nil"/>
              <w:bottom w:val="single" w:sz="4" w:space="0" w:color="auto"/>
              <w:right w:val="single" w:sz="4" w:space="0" w:color="auto"/>
            </w:tcBorders>
            <w:vAlign w:val="bottom"/>
            <w:hideMark/>
          </w:tcPr>
          <w:p w14:paraId="07DBE367" w14:textId="77777777" w:rsidR="00A74C68" w:rsidRPr="00471CBA" w:rsidRDefault="00A74C68" w:rsidP="00A74C68">
            <w:pPr>
              <w:jc w:val="right"/>
              <w:rPr>
                <w:b/>
                <w:bCs/>
                <w:color w:val="000000"/>
                <w:sz w:val="14"/>
                <w:szCs w:val="14"/>
              </w:rPr>
            </w:pPr>
            <w:r w:rsidRPr="00471CBA">
              <w:rPr>
                <w:b/>
                <w:bCs/>
                <w:color w:val="000000"/>
                <w:sz w:val="14"/>
                <w:szCs w:val="14"/>
              </w:rPr>
              <w:t>5</w:t>
            </w:r>
          </w:p>
        </w:tc>
        <w:tc>
          <w:tcPr>
            <w:tcW w:w="715" w:type="dxa"/>
            <w:tcBorders>
              <w:top w:val="single" w:sz="4" w:space="0" w:color="auto"/>
              <w:left w:val="nil"/>
              <w:bottom w:val="single" w:sz="4" w:space="0" w:color="auto"/>
              <w:right w:val="single" w:sz="4" w:space="0" w:color="auto"/>
            </w:tcBorders>
            <w:vAlign w:val="bottom"/>
            <w:hideMark/>
          </w:tcPr>
          <w:p w14:paraId="19AF97B9" w14:textId="77777777" w:rsidR="00A74C68" w:rsidRPr="00471CBA" w:rsidRDefault="00A74C68" w:rsidP="00A74C68">
            <w:pPr>
              <w:jc w:val="right"/>
              <w:rPr>
                <w:b/>
                <w:bCs/>
                <w:color w:val="000000"/>
                <w:sz w:val="14"/>
                <w:szCs w:val="14"/>
              </w:rPr>
            </w:pPr>
            <w:r w:rsidRPr="00471CBA">
              <w:rPr>
                <w:b/>
                <w:bCs/>
                <w:color w:val="000000"/>
                <w:sz w:val="14"/>
                <w:szCs w:val="14"/>
              </w:rPr>
              <w:t>6</w:t>
            </w:r>
          </w:p>
        </w:tc>
        <w:tc>
          <w:tcPr>
            <w:tcW w:w="724" w:type="dxa"/>
            <w:tcBorders>
              <w:top w:val="single" w:sz="4" w:space="0" w:color="auto"/>
              <w:left w:val="nil"/>
              <w:bottom w:val="single" w:sz="4" w:space="0" w:color="auto"/>
              <w:right w:val="single" w:sz="4" w:space="0" w:color="auto"/>
            </w:tcBorders>
            <w:vAlign w:val="bottom"/>
            <w:hideMark/>
          </w:tcPr>
          <w:p w14:paraId="005C5B9E" w14:textId="77777777" w:rsidR="00A74C68" w:rsidRPr="00471CBA" w:rsidRDefault="00A74C68" w:rsidP="00A74C68">
            <w:pPr>
              <w:jc w:val="right"/>
              <w:rPr>
                <w:b/>
                <w:bCs/>
                <w:color w:val="000000"/>
                <w:sz w:val="14"/>
                <w:szCs w:val="14"/>
              </w:rPr>
            </w:pPr>
            <w:r w:rsidRPr="00471CBA">
              <w:rPr>
                <w:b/>
                <w:bCs/>
                <w:color w:val="000000"/>
                <w:sz w:val="14"/>
                <w:szCs w:val="14"/>
              </w:rPr>
              <w:t>Kar Yedekleri</w:t>
            </w:r>
          </w:p>
        </w:tc>
        <w:tc>
          <w:tcPr>
            <w:tcW w:w="709" w:type="dxa"/>
            <w:tcBorders>
              <w:top w:val="single" w:sz="4" w:space="0" w:color="auto"/>
              <w:left w:val="nil"/>
              <w:bottom w:val="single" w:sz="4" w:space="0" w:color="auto"/>
              <w:right w:val="single" w:sz="4" w:space="0" w:color="auto"/>
            </w:tcBorders>
            <w:vAlign w:val="bottom"/>
            <w:hideMark/>
          </w:tcPr>
          <w:p w14:paraId="723373D8" w14:textId="77777777" w:rsidR="00A74C68" w:rsidRPr="00471CBA" w:rsidRDefault="00A74C68" w:rsidP="00A74C68">
            <w:pPr>
              <w:jc w:val="right"/>
              <w:rPr>
                <w:b/>
                <w:bCs/>
                <w:color w:val="000000"/>
                <w:sz w:val="14"/>
                <w:szCs w:val="14"/>
              </w:rPr>
            </w:pPr>
            <w:r w:rsidRPr="00471CBA">
              <w:rPr>
                <w:b/>
                <w:bCs/>
                <w:color w:val="000000"/>
                <w:sz w:val="14"/>
                <w:szCs w:val="14"/>
              </w:rPr>
              <w:t>Geçmiş Dönem Kârı/ (Zararı)</w:t>
            </w:r>
          </w:p>
        </w:tc>
        <w:tc>
          <w:tcPr>
            <w:tcW w:w="971" w:type="dxa"/>
            <w:tcBorders>
              <w:top w:val="single" w:sz="4" w:space="0" w:color="auto"/>
              <w:left w:val="nil"/>
              <w:bottom w:val="single" w:sz="4" w:space="0" w:color="auto"/>
              <w:right w:val="single" w:sz="4" w:space="0" w:color="auto"/>
            </w:tcBorders>
            <w:vAlign w:val="bottom"/>
            <w:hideMark/>
          </w:tcPr>
          <w:p w14:paraId="3AF00F32" w14:textId="77777777" w:rsidR="00A74C68" w:rsidRPr="00471CBA" w:rsidRDefault="00A74C68" w:rsidP="00A74C68">
            <w:pPr>
              <w:jc w:val="right"/>
              <w:rPr>
                <w:b/>
                <w:bCs/>
                <w:color w:val="000000"/>
                <w:sz w:val="14"/>
                <w:szCs w:val="14"/>
              </w:rPr>
            </w:pPr>
            <w:r w:rsidRPr="00471CBA">
              <w:rPr>
                <w:b/>
                <w:bCs/>
                <w:color w:val="000000"/>
                <w:sz w:val="14"/>
                <w:szCs w:val="14"/>
              </w:rPr>
              <w:t>Dönem Net Kar veya Zararı</w:t>
            </w:r>
          </w:p>
        </w:tc>
        <w:tc>
          <w:tcPr>
            <w:tcW w:w="952" w:type="dxa"/>
            <w:tcBorders>
              <w:top w:val="single" w:sz="4" w:space="0" w:color="auto"/>
              <w:left w:val="nil"/>
              <w:bottom w:val="single" w:sz="4" w:space="0" w:color="auto"/>
              <w:right w:val="single" w:sz="4" w:space="0" w:color="auto"/>
            </w:tcBorders>
            <w:vAlign w:val="bottom"/>
            <w:hideMark/>
          </w:tcPr>
          <w:p w14:paraId="2683BE6B" w14:textId="77777777" w:rsidR="00A74C68" w:rsidRPr="00471CBA" w:rsidRDefault="00A74C68" w:rsidP="00A74C68">
            <w:pPr>
              <w:jc w:val="right"/>
              <w:rPr>
                <w:b/>
                <w:bCs/>
                <w:color w:val="000000"/>
                <w:sz w:val="14"/>
                <w:szCs w:val="14"/>
              </w:rPr>
            </w:pPr>
            <w:r w:rsidRPr="00471CBA">
              <w:rPr>
                <w:b/>
                <w:bCs/>
                <w:color w:val="000000"/>
                <w:sz w:val="14"/>
                <w:szCs w:val="14"/>
              </w:rPr>
              <w:t>Toplam Özkaynak</w:t>
            </w:r>
          </w:p>
        </w:tc>
      </w:tr>
      <w:tr w:rsidR="00A74C68" w:rsidRPr="00471CBA" w14:paraId="403C163B" w14:textId="77777777" w:rsidTr="00A74C68">
        <w:trPr>
          <w:divId w:val="2141610945"/>
          <w:trHeight w:val="113"/>
        </w:trPr>
        <w:tc>
          <w:tcPr>
            <w:tcW w:w="563" w:type="dxa"/>
            <w:tcBorders>
              <w:top w:val="nil"/>
              <w:left w:val="single" w:sz="4" w:space="0" w:color="auto"/>
              <w:bottom w:val="nil"/>
              <w:right w:val="nil"/>
            </w:tcBorders>
            <w:vAlign w:val="center"/>
            <w:hideMark/>
          </w:tcPr>
          <w:p w14:paraId="7CB83006" w14:textId="77777777" w:rsidR="00A74C68" w:rsidRPr="00471CBA" w:rsidRDefault="00A74C68" w:rsidP="00A74C68">
            <w:pPr>
              <w:rPr>
                <w:b/>
                <w:bCs/>
                <w:color w:val="000000"/>
                <w:sz w:val="14"/>
                <w:szCs w:val="14"/>
              </w:rPr>
            </w:pPr>
            <w:r w:rsidRPr="00471CBA">
              <w:rPr>
                <w:b/>
                <w:bCs/>
                <w:color w:val="000000"/>
                <w:sz w:val="14"/>
                <w:szCs w:val="14"/>
              </w:rPr>
              <w:t> </w:t>
            </w:r>
          </w:p>
        </w:tc>
        <w:tc>
          <w:tcPr>
            <w:tcW w:w="3543" w:type="dxa"/>
            <w:tcBorders>
              <w:top w:val="nil"/>
              <w:left w:val="nil"/>
              <w:bottom w:val="nil"/>
              <w:right w:val="nil"/>
            </w:tcBorders>
            <w:vAlign w:val="center"/>
            <w:hideMark/>
          </w:tcPr>
          <w:p w14:paraId="4117588E" w14:textId="77777777" w:rsidR="00A74C68" w:rsidRPr="00471CBA" w:rsidRDefault="00A74C68" w:rsidP="00A74C68">
            <w:pPr>
              <w:rPr>
                <w:b/>
                <w:bCs/>
                <w:color w:val="000000"/>
                <w:sz w:val="14"/>
                <w:szCs w:val="14"/>
              </w:rPr>
            </w:pPr>
          </w:p>
        </w:tc>
        <w:tc>
          <w:tcPr>
            <w:tcW w:w="707" w:type="dxa"/>
            <w:tcBorders>
              <w:top w:val="nil"/>
              <w:left w:val="nil"/>
              <w:bottom w:val="nil"/>
              <w:right w:val="nil"/>
            </w:tcBorders>
            <w:vAlign w:val="center"/>
            <w:hideMark/>
          </w:tcPr>
          <w:p w14:paraId="37AD1B86" w14:textId="77777777" w:rsidR="00A74C68" w:rsidRPr="00471CBA" w:rsidRDefault="00A74C68" w:rsidP="00A74C68">
            <w:pPr>
              <w:rPr>
                <w:sz w:val="14"/>
                <w:szCs w:val="14"/>
              </w:rPr>
            </w:pPr>
          </w:p>
        </w:tc>
        <w:tc>
          <w:tcPr>
            <w:tcW w:w="777" w:type="dxa"/>
            <w:tcBorders>
              <w:top w:val="nil"/>
              <w:left w:val="nil"/>
              <w:bottom w:val="nil"/>
              <w:right w:val="nil"/>
            </w:tcBorders>
            <w:vAlign w:val="center"/>
            <w:hideMark/>
          </w:tcPr>
          <w:p w14:paraId="0705B8A7" w14:textId="77777777" w:rsidR="00A74C68" w:rsidRPr="00471CBA" w:rsidRDefault="00A74C68" w:rsidP="00A74C68">
            <w:pPr>
              <w:jc w:val="right"/>
              <w:rPr>
                <w:sz w:val="14"/>
                <w:szCs w:val="14"/>
              </w:rPr>
            </w:pPr>
          </w:p>
        </w:tc>
        <w:tc>
          <w:tcPr>
            <w:tcW w:w="709" w:type="dxa"/>
            <w:tcBorders>
              <w:top w:val="nil"/>
              <w:left w:val="nil"/>
              <w:bottom w:val="nil"/>
              <w:right w:val="nil"/>
            </w:tcBorders>
            <w:vAlign w:val="center"/>
            <w:hideMark/>
          </w:tcPr>
          <w:p w14:paraId="01899166" w14:textId="77777777" w:rsidR="00A74C68" w:rsidRPr="00471CBA" w:rsidRDefault="00A74C68" w:rsidP="00A74C68">
            <w:pPr>
              <w:jc w:val="right"/>
              <w:rPr>
                <w:sz w:val="14"/>
                <w:szCs w:val="14"/>
              </w:rPr>
            </w:pPr>
          </w:p>
        </w:tc>
        <w:tc>
          <w:tcPr>
            <w:tcW w:w="708" w:type="dxa"/>
            <w:tcBorders>
              <w:top w:val="nil"/>
              <w:left w:val="nil"/>
              <w:bottom w:val="nil"/>
              <w:right w:val="nil"/>
            </w:tcBorders>
            <w:vAlign w:val="center"/>
            <w:hideMark/>
          </w:tcPr>
          <w:p w14:paraId="159BA869" w14:textId="77777777" w:rsidR="00A74C68" w:rsidRPr="00471CBA" w:rsidRDefault="00A74C68" w:rsidP="00A74C68">
            <w:pPr>
              <w:jc w:val="right"/>
              <w:rPr>
                <w:sz w:val="14"/>
                <w:szCs w:val="14"/>
              </w:rPr>
            </w:pPr>
          </w:p>
        </w:tc>
        <w:tc>
          <w:tcPr>
            <w:tcW w:w="724" w:type="dxa"/>
            <w:tcBorders>
              <w:top w:val="nil"/>
              <w:left w:val="nil"/>
              <w:bottom w:val="nil"/>
              <w:right w:val="nil"/>
            </w:tcBorders>
            <w:vAlign w:val="center"/>
            <w:hideMark/>
          </w:tcPr>
          <w:p w14:paraId="0F987A06" w14:textId="77777777" w:rsidR="00A74C68" w:rsidRPr="00471CBA" w:rsidRDefault="00A74C68" w:rsidP="00A74C68">
            <w:pPr>
              <w:jc w:val="right"/>
              <w:rPr>
                <w:sz w:val="14"/>
                <w:szCs w:val="14"/>
              </w:rPr>
            </w:pPr>
          </w:p>
        </w:tc>
        <w:tc>
          <w:tcPr>
            <w:tcW w:w="658" w:type="dxa"/>
            <w:tcBorders>
              <w:top w:val="nil"/>
              <w:left w:val="nil"/>
              <w:bottom w:val="nil"/>
              <w:right w:val="nil"/>
            </w:tcBorders>
            <w:vAlign w:val="center"/>
            <w:hideMark/>
          </w:tcPr>
          <w:p w14:paraId="678DE7CB" w14:textId="77777777" w:rsidR="00A74C68" w:rsidRPr="00471CBA" w:rsidRDefault="00A74C68" w:rsidP="00A74C68">
            <w:pPr>
              <w:jc w:val="right"/>
              <w:rPr>
                <w:sz w:val="14"/>
                <w:szCs w:val="14"/>
              </w:rPr>
            </w:pPr>
          </w:p>
        </w:tc>
        <w:tc>
          <w:tcPr>
            <w:tcW w:w="709" w:type="dxa"/>
            <w:tcBorders>
              <w:top w:val="nil"/>
              <w:left w:val="nil"/>
              <w:bottom w:val="nil"/>
              <w:right w:val="nil"/>
            </w:tcBorders>
            <w:vAlign w:val="center"/>
            <w:hideMark/>
          </w:tcPr>
          <w:p w14:paraId="4A02545D" w14:textId="77777777" w:rsidR="00A74C68" w:rsidRPr="00471CBA" w:rsidRDefault="00A74C68" w:rsidP="00A74C68">
            <w:pPr>
              <w:jc w:val="right"/>
              <w:rPr>
                <w:sz w:val="14"/>
                <w:szCs w:val="14"/>
              </w:rPr>
            </w:pPr>
          </w:p>
        </w:tc>
        <w:tc>
          <w:tcPr>
            <w:tcW w:w="641" w:type="dxa"/>
            <w:tcBorders>
              <w:top w:val="nil"/>
              <w:left w:val="nil"/>
              <w:bottom w:val="nil"/>
              <w:right w:val="nil"/>
            </w:tcBorders>
            <w:vAlign w:val="center"/>
            <w:hideMark/>
          </w:tcPr>
          <w:p w14:paraId="566B4E73" w14:textId="77777777" w:rsidR="00A74C68" w:rsidRPr="00471CBA" w:rsidRDefault="00A74C68" w:rsidP="00A74C68">
            <w:pPr>
              <w:jc w:val="right"/>
              <w:rPr>
                <w:sz w:val="14"/>
                <w:szCs w:val="14"/>
              </w:rPr>
            </w:pPr>
          </w:p>
        </w:tc>
        <w:tc>
          <w:tcPr>
            <w:tcW w:w="636" w:type="dxa"/>
            <w:tcBorders>
              <w:top w:val="nil"/>
              <w:left w:val="nil"/>
              <w:bottom w:val="nil"/>
              <w:right w:val="nil"/>
            </w:tcBorders>
            <w:vAlign w:val="center"/>
            <w:hideMark/>
          </w:tcPr>
          <w:p w14:paraId="6DAD635F" w14:textId="77777777" w:rsidR="00A74C68" w:rsidRPr="00471CBA" w:rsidRDefault="00A74C68" w:rsidP="00A74C68">
            <w:pPr>
              <w:jc w:val="right"/>
              <w:rPr>
                <w:sz w:val="14"/>
                <w:szCs w:val="14"/>
              </w:rPr>
            </w:pPr>
          </w:p>
        </w:tc>
        <w:tc>
          <w:tcPr>
            <w:tcW w:w="731" w:type="dxa"/>
            <w:tcBorders>
              <w:top w:val="nil"/>
              <w:left w:val="nil"/>
              <w:bottom w:val="nil"/>
              <w:right w:val="nil"/>
            </w:tcBorders>
            <w:vAlign w:val="center"/>
            <w:hideMark/>
          </w:tcPr>
          <w:p w14:paraId="2FCA2C4C" w14:textId="77777777" w:rsidR="00A74C68" w:rsidRPr="00471CBA" w:rsidRDefault="00A74C68" w:rsidP="00A74C68">
            <w:pPr>
              <w:jc w:val="right"/>
              <w:rPr>
                <w:sz w:val="14"/>
                <w:szCs w:val="14"/>
              </w:rPr>
            </w:pPr>
          </w:p>
        </w:tc>
        <w:tc>
          <w:tcPr>
            <w:tcW w:w="715" w:type="dxa"/>
            <w:tcBorders>
              <w:top w:val="nil"/>
              <w:left w:val="nil"/>
              <w:bottom w:val="nil"/>
              <w:right w:val="nil"/>
            </w:tcBorders>
            <w:vAlign w:val="center"/>
            <w:hideMark/>
          </w:tcPr>
          <w:p w14:paraId="7A1231F4" w14:textId="77777777" w:rsidR="00A74C68" w:rsidRPr="00471CBA" w:rsidRDefault="00A74C68" w:rsidP="00A74C68">
            <w:pPr>
              <w:jc w:val="right"/>
              <w:rPr>
                <w:sz w:val="14"/>
                <w:szCs w:val="14"/>
              </w:rPr>
            </w:pPr>
          </w:p>
        </w:tc>
        <w:tc>
          <w:tcPr>
            <w:tcW w:w="724" w:type="dxa"/>
            <w:tcBorders>
              <w:top w:val="nil"/>
              <w:left w:val="nil"/>
              <w:bottom w:val="nil"/>
              <w:right w:val="nil"/>
            </w:tcBorders>
            <w:vAlign w:val="center"/>
            <w:hideMark/>
          </w:tcPr>
          <w:p w14:paraId="27134F62" w14:textId="77777777" w:rsidR="00A74C68" w:rsidRPr="00471CBA" w:rsidRDefault="00A74C68" w:rsidP="00A74C68">
            <w:pPr>
              <w:jc w:val="right"/>
              <w:rPr>
                <w:sz w:val="14"/>
                <w:szCs w:val="14"/>
              </w:rPr>
            </w:pPr>
          </w:p>
        </w:tc>
        <w:tc>
          <w:tcPr>
            <w:tcW w:w="709" w:type="dxa"/>
            <w:tcBorders>
              <w:top w:val="nil"/>
              <w:left w:val="nil"/>
              <w:bottom w:val="nil"/>
              <w:right w:val="nil"/>
            </w:tcBorders>
            <w:vAlign w:val="center"/>
            <w:hideMark/>
          </w:tcPr>
          <w:p w14:paraId="2AD93241" w14:textId="77777777" w:rsidR="00A74C68" w:rsidRPr="00471CBA" w:rsidRDefault="00A74C68" w:rsidP="00A74C68">
            <w:pPr>
              <w:jc w:val="right"/>
              <w:rPr>
                <w:sz w:val="14"/>
                <w:szCs w:val="14"/>
              </w:rPr>
            </w:pPr>
          </w:p>
        </w:tc>
        <w:tc>
          <w:tcPr>
            <w:tcW w:w="971" w:type="dxa"/>
            <w:tcBorders>
              <w:top w:val="nil"/>
              <w:left w:val="nil"/>
              <w:bottom w:val="nil"/>
              <w:right w:val="nil"/>
            </w:tcBorders>
            <w:vAlign w:val="center"/>
            <w:hideMark/>
          </w:tcPr>
          <w:p w14:paraId="69699E4F" w14:textId="77777777" w:rsidR="00A74C68" w:rsidRPr="00471CBA" w:rsidRDefault="00A74C68" w:rsidP="00A74C68">
            <w:pPr>
              <w:jc w:val="right"/>
              <w:rPr>
                <w:sz w:val="14"/>
                <w:szCs w:val="14"/>
              </w:rPr>
            </w:pPr>
          </w:p>
        </w:tc>
        <w:tc>
          <w:tcPr>
            <w:tcW w:w="952" w:type="dxa"/>
            <w:tcBorders>
              <w:top w:val="nil"/>
              <w:left w:val="nil"/>
              <w:bottom w:val="nil"/>
              <w:right w:val="single" w:sz="4" w:space="0" w:color="auto"/>
            </w:tcBorders>
            <w:vAlign w:val="center"/>
            <w:hideMark/>
          </w:tcPr>
          <w:p w14:paraId="13EB2D78" w14:textId="77777777" w:rsidR="00A74C68" w:rsidRPr="00471CBA" w:rsidRDefault="00A74C68" w:rsidP="00A74C68">
            <w:pPr>
              <w:jc w:val="right"/>
              <w:rPr>
                <w:b/>
                <w:bCs/>
                <w:color w:val="000000"/>
                <w:sz w:val="14"/>
                <w:szCs w:val="14"/>
              </w:rPr>
            </w:pPr>
            <w:r w:rsidRPr="00471CBA">
              <w:rPr>
                <w:b/>
                <w:bCs/>
                <w:color w:val="000000"/>
                <w:sz w:val="14"/>
                <w:szCs w:val="14"/>
              </w:rPr>
              <w:t> </w:t>
            </w:r>
          </w:p>
        </w:tc>
      </w:tr>
      <w:tr w:rsidR="00A74C68" w:rsidRPr="00471CBA" w14:paraId="74E91217" w14:textId="77777777" w:rsidTr="00A74C68">
        <w:trPr>
          <w:divId w:val="2141610945"/>
          <w:trHeight w:val="113"/>
        </w:trPr>
        <w:tc>
          <w:tcPr>
            <w:tcW w:w="563" w:type="dxa"/>
            <w:tcBorders>
              <w:top w:val="nil"/>
              <w:left w:val="single" w:sz="4" w:space="0" w:color="auto"/>
              <w:bottom w:val="nil"/>
              <w:right w:val="nil"/>
            </w:tcBorders>
            <w:vAlign w:val="center"/>
            <w:hideMark/>
          </w:tcPr>
          <w:p w14:paraId="5C2DB3C4" w14:textId="77777777" w:rsidR="00A74C68" w:rsidRPr="00471CBA" w:rsidRDefault="00A74C68" w:rsidP="00A74C68">
            <w:pPr>
              <w:jc w:val="center"/>
              <w:rPr>
                <w:b/>
                <w:bCs/>
                <w:color w:val="000000"/>
                <w:sz w:val="14"/>
                <w:szCs w:val="14"/>
              </w:rPr>
            </w:pPr>
            <w:r w:rsidRPr="00471CBA">
              <w:rPr>
                <w:b/>
                <w:bCs/>
                <w:color w:val="000000"/>
                <w:sz w:val="14"/>
                <w:szCs w:val="14"/>
              </w:rPr>
              <w:t> </w:t>
            </w:r>
          </w:p>
        </w:tc>
        <w:tc>
          <w:tcPr>
            <w:tcW w:w="3543" w:type="dxa"/>
            <w:tcBorders>
              <w:top w:val="nil"/>
              <w:left w:val="nil"/>
              <w:bottom w:val="nil"/>
              <w:right w:val="nil"/>
            </w:tcBorders>
            <w:vAlign w:val="bottom"/>
            <w:hideMark/>
          </w:tcPr>
          <w:p w14:paraId="60565A57" w14:textId="77777777" w:rsidR="00A74C68" w:rsidRPr="00471CBA" w:rsidRDefault="00A74C68" w:rsidP="00A74C68">
            <w:pPr>
              <w:rPr>
                <w:b/>
                <w:bCs/>
                <w:sz w:val="14"/>
                <w:szCs w:val="14"/>
                <w:lang w:eastAsia="tr-TR"/>
              </w:rPr>
            </w:pPr>
            <w:r w:rsidRPr="00471CBA">
              <w:rPr>
                <w:b/>
                <w:bCs/>
                <w:sz w:val="14"/>
                <w:szCs w:val="14"/>
              </w:rPr>
              <w:t>Önceki</w:t>
            </w:r>
            <w:r w:rsidRPr="00471CBA">
              <w:rPr>
                <w:b/>
                <w:bCs/>
                <w:sz w:val="14"/>
                <w:szCs w:val="14"/>
                <w:lang w:eastAsia="tr-TR"/>
              </w:rPr>
              <w:t xml:space="preserve"> Dönem</w:t>
            </w:r>
            <w:r w:rsidRPr="00471CBA">
              <w:rPr>
                <w:b/>
                <w:bCs/>
                <w:sz w:val="14"/>
                <w:szCs w:val="14"/>
                <w:lang w:eastAsia="tr-TR"/>
              </w:rPr>
              <w:br/>
              <w:t>1 Ocak - 31 Aralık 2024</w:t>
            </w:r>
          </w:p>
        </w:tc>
        <w:tc>
          <w:tcPr>
            <w:tcW w:w="707" w:type="dxa"/>
            <w:tcBorders>
              <w:top w:val="nil"/>
              <w:left w:val="nil"/>
              <w:bottom w:val="nil"/>
              <w:right w:val="nil"/>
            </w:tcBorders>
            <w:vAlign w:val="bottom"/>
            <w:hideMark/>
          </w:tcPr>
          <w:p w14:paraId="6BD4AA46" w14:textId="77777777" w:rsidR="00A74C68" w:rsidRPr="00471CBA" w:rsidRDefault="00A74C68" w:rsidP="00A74C68">
            <w:pPr>
              <w:rPr>
                <w:b/>
                <w:bCs/>
                <w:sz w:val="14"/>
                <w:szCs w:val="14"/>
              </w:rPr>
            </w:pPr>
          </w:p>
        </w:tc>
        <w:tc>
          <w:tcPr>
            <w:tcW w:w="777" w:type="dxa"/>
            <w:tcBorders>
              <w:top w:val="nil"/>
              <w:left w:val="nil"/>
              <w:bottom w:val="nil"/>
              <w:right w:val="nil"/>
            </w:tcBorders>
            <w:vAlign w:val="center"/>
            <w:hideMark/>
          </w:tcPr>
          <w:p w14:paraId="58952422" w14:textId="77777777" w:rsidR="00A74C68" w:rsidRPr="00471CBA" w:rsidRDefault="00A74C68" w:rsidP="00A74C68">
            <w:pPr>
              <w:jc w:val="right"/>
              <w:rPr>
                <w:sz w:val="14"/>
                <w:szCs w:val="14"/>
              </w:rPr>
            </w:pPr>
          </w:p>
        </w:tc>
        <w:tc>
          <w:tcPr>
            <w:tcW w:w="709" w:type="dxa"/>
            <w:tcBorders>
              <w:top w:val="nil"/>
              <w:left w:val="nil"/>
              <w:bottom w:val="nil"/>
              <w:right w:val="nil"/>
            </w:tcBorders>
            <w:vAlign w:val="center"/>
            <w:hideMark/>
          </w:tcPr>
          <w:p w14:paraId="6C980AFC" w14:textId="77777777" w:rsidR="00A74C68" w:rsidRPr="00471CBA" w:rsidRDefault="00A74C68" w:rsidP="00A74C68">
            <w:pPr>
              <w:jc w:val="right"/>
              <w:rPr>
                <w:sz w:val="14"/>
                <w:szCs w:val="14"/>
              </w:rPr>
            </w:pPr>
          </w:p>
        </w:tc>
        <w:tc>
          <w:tcPr>
            <w:tcW w:w="708" w:type="dxa"/>
            <w:tcBorders>
              <w:top w:val="nil"/>
              <w:left w:val="nil"/>
              <w:bottom w:val="nil"/>
              <w:right w:val="nil"/>
            </w:tcBorders>
            <w:vAlign w:val="center"/>
            <w:hideMark/>
          </w:tcPr>
          <w:p w14:paraId="1FEA4F33" w14:textId="77777777" w:rsidR="00A74C68" w:rsidRPr="00471CBA" w:rsidRDefault="00A74C68" w:rsidP="00A74C68">
            <w:pPr>
              <w:jc w:val="right"/>
              <w:rPr>
                <w:sz w:val="14"/>
                <w:szCs w:val="14"/>
              </w:rPr>
            </w:pPr>
          </w:p>
        </w:tc>
        <w:tc>
          <w:tcPr>
            <w:tcW w:w="724" w:type="dxa"/>
            <w:tcBorders>
              <w:top w:val="nil"/>
              <w:left w:val="nil"/>
              <w:bottom w:val="nil"/>
              <w:right w:val="nil"/>
            </w:tcBorders>
            <w:vAlign w:val="center"/>
            <w:hideMark/>
          </w:tcPr>
          <w:p w14:paraId="7AED0F7F" w14:textId="77777777" w:rsidR="00A74C68" w:rsidRPr="00471CBA" w:rsidRDefault="00A74C68" w:rsidP="00A74C68">
            <w:pPr>
              <w:jc w:val="right"/>
              <w:rPr>
                <w:sz w:val="14"/>
                <w:szCs w:val="14"/>
              </w:rPr>
            </w:pPr>
          </w:p>
        </w:tc>
        <w:tc>
          <w:tcPr>
            <w:tcW w:w="658" w:type="dxa"/>
            <w:tcBorders>
              <w:top w:val="nil"/>
              <w:left w:val="nil"/>
              <w:bottom w:val="nil"/>
              <w:right w:val="nil"/>
            </w:tcBorders>
            <w:vAlign w:val="center"/>
            <w:hideMark/>
          </w:tcPr>
          <w:p w14:paraId="73786F46" w14:textId="77777777" w:rsidR="00A74C68" w:rsidRPr="00471CBA" w:rsidRDefault="00A74C68" w:rsidP="00A74C68">
            <w:pPr>
              <w:jc w:val="right"/>
              <w:rPr>
                <w:sz w:val="14"/>
                <w:szCs w:val="14"/>
              </w:rPr>
            </w:pPr>
          </w:p>
        </w:tc>
        <w:tc>
          <w:tcPr>
            <w:tcW w:w="709" w:type="dxa"/>
            <w:tcBorders>
              <w:top w:val="nil"/>
              <w:left w:val="nil"/>
              <w:bottom w:val="nil"/>
              <w:right w:val="nil"/>
            </w:tcBorders>
            <w:vAlign w:val="center"/>
            <w:hideMark/>
          </w:tcPr>
          <w:p w14:paraId="6E51BF3F" w14:textId="77777777" w:rsidR="00A74C68" w:rsidRPr="00471CBA" w:rsidRDefault="00A74C68" w:rsidP="00A74C68">
            <w:pPr>
              <w:jc w:val="right"/>
              <w:rPr>
                <w:sz w:val="14"/>
                <w:szCs w:val="14"/>
              </w:rPr>
            </w:pPr>
          </w:p>
        </w:tc>
        <w:tc>
          <w:tcPr>
            <w:tcW w:w="641" w:type="dxa"/>
            <w:tcBorders>
              <w:top w:val="nil"/>
              <w:left w:val="nil"/>
              <w:bottom w:val="nil"/>
              <w:right w:val="nil"/>
            </w:tcBorders>
            <w:vAlign w:val="center"/>
            <w:hideMark/>
          </w:tcPr>
          <w:p w14:paraId="5122C69A" w14:textId="77777777" w:rsidR="00A74C68" w:rsidRPr="00471CBA" w:rsidRDefault="00A74C68" w:rsidP="00A74C68">
            <w:pPr>
              <w:jc w:val="right"/>
              <w:rPr>
                <w:sz w:val="14"/>
                <w:szCs w:val="14"/>
              </w:rPr>
            </w:pPr>
          </w:p>
        </w:tc>
        <w:tc>
          <w:tcPr>
            <w:tcW w:w="636" w:type="dxa"/>
            <w:tcBorders>
              <w:top w:val="nil"/>
              <w:left w:val="nil"/>
              <w:bottom w:val="nil"/>
              <w:right w:val="nil"/>
            </w:tcBorders>
            <w:vAlign w:val="center"/>
            <w:hideMark/>
          </w:tcPr>
          <w:p w14:paraId="3E29DF62" w14:textId="77777777" w:rsidR="00A74C68" w:rsidRPr="00471CBA" w:rsidRDefault="00A74C68" w:rsidP="00A74C68">
            <w:pPr>
              <w:jc w:val="right"/>
              <w:rPr>
                <w:sz w:val="14"/>
                <w:szCs w:val="14"/>
              </w:rPr>
            </w:pPr>
          </w:p>
        </w:tc>
        <w:tc>
          <w:tcPr>
            <w:tcW w:w="731" w:type="dxa"/>
            <w:tcBorders>
              <w:top w:val="nil"/>
              <w:left w:val="nil"/>
              <w:bottom w:val="nil"/>
              <w:right w:val="nil"/>
            </w:tcBorders>
            <w:vAlign w:val="center"/>
            <w:hideMark/>
          </w:tcPr>
          <w:p w14:paraId="676B797B" w14:textId="77777777" w:rsidR="00A74C68" w:rsidRPr="00471CBA" w:rsidRDefault="00A74C68" w:rsidP="00A74C68">
            <w:pPr>
              <w:jc w:val="right"/>
              <w:rPr>
                <w:sz w:val="14"/>
                <w:szCs w:val="14"/>
              </w:rPr>
            </w:pPr>
          </w:p>
        </w:tc>
        <w:tc>
          <w:tcPr>
            <w:tcW w:w="715" w:type="dxa"/>
            <w:tcBorders>
              <w:top w:val="nil"/>
              <w:left w:val="nil"/>
              <w:bottom w:val="nil"/>
              <w:right w:val="nil"/>
            </w:tcBorders>
            <w:vAlign w:val="center"/>
            <w:hideMark/>
          </w:tcPr>
          <w:p w14:paraId="21205D72" w14:textId="77777777" w:rsidR="00A74C68" w:rsidRPr="00471CBA" w:rsidRDefault="00A74C68" w:rsidP="00A74C68">
            <w:pPr>
              <w:jc w:val="right"/>
              <w:rPr>
                <w:sz w:val="14"/>
                <w:szCs w:val="14"/>
              </w:rPr>
            </w:pPr>
          </w:p>
        </w:tc>
        <w:tc>
          <w:tcPr>
            <w:tcW w:w="724" w:type="dxa"/>
            <w:tcBorders>
              <w:top w:val="nil"/>
              <w:left w:val="nil"/>
              <w:bottom w:val="nil"/>
              <w:right w:val="nil"/>
            </w:tcBorders>
            <w:vAlign w:val="center"/>
            <w:hideMark/>
          </w:tcPr>
          <w:p w14:paraId="71AD9842" w14:textId="77777777" w:rsidR="00A74C68" w:rsidRPr="00471CBA" w:rsidRDefault="00A74C68" w:rsidP="00A74C68">
            <w:pPr>
              <w:jc w:val="right"/>
              <w:rPr>
                <w:sz w:val="14"/>
                <w:szCs w:val="14"/>
              </w:rPr>
            </w:pPr>
          </w:p>
        </w:tc>
        <w:tc>
          <w:tcPr>
            <w:tcW w:w="709" w:type="dxa"/>
            <w:tcBorders>
              <w:top w:val="nil"/>
              <w:left w:val="nil"/>
              <w:bottom w:val="nil"/>
              <w:right w:val="nil"/>
            </w:tcBorders>
            <w:hideMark/>
          </w:tcPr>
          <w:p w14:paraId="2BB6FE82" w14:textId="77777777" w:rsidR="00A74C68" w:rsidRPr="00471CBA" w:rsidRDefault="00A74C68" w:rsidP="00A74C68">
            <w:pPr>
              <w:jc w:val="right"/>
              <w:rPr>
                <w:sz w:val="14"/>
                <w:szCs w:val="14"/>
              </w:rPr>
            </w:pPr>
          </w:p>
        </w:tc>
        <w:tc>
          <w:tcPr>
            <w:tcW w:w="971" w:type="dxa"/>
            <w:tcBorders>
              <w:top w:val="nil"/>
              <w:left w:val="nil"/>
              <w:bottom w:val="nil"/>
              <w:right w:val="nil"/>
            </w:tcBorders>
            <w:hideMark/>
          </w:tcPr>
          <w:p w14:paraId="264E95AC" w14:textId="77777777" w:rsidR="00A74C68" w:rsidRPr="00471CBA" w:rsidRDefault="00A74C68" w:rsidP="00A74C68">
            <w:pPr>
              <w:jc w:val="right"/>
              <w:rPr>
                <w:sz w:val="14"/>
                <w:szCs w:val="14"/>
              </w:rPr>
            </w:pPr>
          </w:p>
        </w:tc>
        <w:tc>
          <w:tcPr>
            <w:tcW w:w="952" w:type="dxa"/>
            <w:tcBorders>
              <w:top w:val="nil"/>
              <w:left w:val="nil"/>
              <w:bottom w:val="nil"/>
              <w:right w:val="single" w:sz="4" w:space="0" w:color="auto"/>
            </w:tcBorders>
            <w:vAlign w:val="center"/>
            <w:hideMark/>
          </w:tcPr>
          <w:p w14:paraId="2FD0B629" w14:textId="77777777" w:rsidR="00A74C68" w:rsidRPr="00471CBA" w:rsidRDefault="00A74C68" w:rsidP="00A74C68">
            <w:pPr>
              <w:jc w:val="right"/>
              <w:rPr>
                <w:color w:val="000000"/>
                <w:sz w:val="14"/>
                <w:szCs w:val="14"/>
              </w:rPr>
            </w:pPr>
            <w:r w:rsidRPr="00471CBA">
              <w:rPr>
                <w:color w:val="000000"/>
                <w:sz w:val="14"/>
                <w:szCs w:val="14"/>
              </w:rPr>
              <w:t> </w:t>
            </w:r>
          </w:p>
        </w:tc>
      </w:tr>
      <w:tr w:rsidR="00A74C68" w:rsidRPr="00471CBA" w14:paraId="5C98204F" w14:textId="77777777" w:rsidTr="00A74C68">
        <w:trPr>
          <w:divId w:val="2141610945"/>
          <w:trHeight w:val="113"/>
        </w:trPr>
        <w:tc>
          <w:tcPr>
            <w:tcW w:w="563" w:type="dxa"/>
            <w:tcBorders>
              <w:top w:val="nil"/>
              <w:left w:val="single" w:sz="4" w:space="0" w:color="auto"/>
              <w:bottom w:val="nil"/>
              <w:right w:val="nil"/>
            </w:tcBorders>
            <w:vAlign w:val="center"/>
            <w:hideMark/>
          </w:tcPr>
          <w:p w14:paraId="2C67FC56" w14:textId="77777777" w:rsidR="00A74C68" w:rsidRPr="00471CBA" w:rsidRDefault="00A74C68" w:rsidP="00A74C68">
            <w:pPr>
              <w:jc w:val="center"/>
              <w:rPr>
                <w:b/>
                <w:bCs/>
                <w:color w:val="000000"/>
                <w:sz w:val="14"/>
                <w:szCs w:val="14"/>
              </w:rPr>
            </w:pPr>
            <w:r w:rsidRPr="00471CBA">
              <w:rPr>
                <w:b/>
                <w:bCs/>
                <w:color w:val="000000"/>
                <w:sz w:val="14"/>
                <w:szCs w:val="14"/>
              </w:rPr>
              <w:t> </w:t>
            </w:r>
          </w:p>
        </w:tc>
        <w:tc>
          <w:tcPr>
            <w:tcW w:w="3543" w:type="dxa"/>
            <w:tcBorders>
              <w:top w:val="nil"/>
              <w:left w:val="nil"/>
              <w:bottom w:val="nil"/>
              <w:right w:val="nil"/>
            </w:tcBorders>
            <w:vAlign w:val="bottom"/>
            <w:hideMark/>
          </w:tcPr>
          <w:p w14:paraId="2C482C03" w14:textId="77777777" w:rsidR="00A74C68" w:rsidRPr="00471CBA" w:rsidRDefault="00A74C68" w:rsidP="00A74C68">
            <w:pPr>
              <w:jc w:val="center"/>
              <w:rPr>
                <w:b/>
                <w:bCs/>
                <w:color w:val="000000"/>
                <w:sz w:val="14"/>
                <w:szCs w:val="14"/>
              </w:rPr>
            </w:pPr>
          </w:p>
        </w:tc>
        <w:tc>
          <w:tcPr>
            <w:tcW w:w="707" w:type="dxa"/>
            <w:tcBorders>
              <w:top w:val="nil"/>
              <w:left w:val="nil"/>
              <w:bottom w:val="nil"/>
              <w:right w:val="nil"/>
            </w:tcBorders>
            <w:vAlign w:val="bottom"/>
            <w:hideMark/>
          </w:tcPr>
          <w:p w14:paraId="67CD2E7A" w14:textId="77777777" w:rsidR="00A74C68" w:rsidRPr="00471CBA" w:rsidRDefault="00A74C68" w:rsidP="00A74C68">
            <w:pPr>
              <w:rPr>
                <w:sz w:val="14"/>
                <w:szCs w:val="14"/>
              </w:rPr>
            </w:pPr>
          </w:p>
        </w:tc>
        <w:tc>
          <w:tcPr>
            <w:tcW w:w="777" w:type="dxa"/>
            <w:tcBorders>
              <w:top w:val="nil"/>
              <w:left w:val="nil"/>
              <w:bottom w:val="nil"/>
              <w:right w:val="nil"/>
            </w:tcBorders>
            <w:vAlign w:val="center"/>
            <w:hideMark/>
          </w:tcPr>
          <w:p w14:paraId="457CF1C9" w14:textId="77777777" w:rsidR="00A74C68" w:rsidRPr="00471CBA" w:rsidRDefault="00A74C68" w:rsidP="00A74C68">
            <w:pPr>
              <w:jc w:val="right"/>
              <w:rPr>
                <w:sz w:val="14"/>
                <w:szCs w:val="14"/>
              </w:rPr>
            </w:pPr>
          </w:p>
        </w:tc>
        <w:tc>
          <w:tcPr>
            <w:tcW w:w="709" w:type="dxa"/>
            <w:tcBorders>
              <w:top w:val="nil"/>
              <w:left w:val="nil"/>
              <w:bottom w:val="nil"/>
              <w:right w:val="nil"/>
            </w:tcBorders>
            <w:vAlign w:val="center"/>
            <w:hideMark/>
          </w:tcPr>
          <w:p w14:paraId="65548256" w14:textId="77777777" w:rsidR="00A74C68" w:rsidRPr="00471CBA" w:rsidRDefault="00A74C68" w:rsidP="00A74C68">
            <w:pPr>
              <w:jc w:val="right"/>
              <w:rPr>
                <w:sz w:val="14"/>
                <w:szCs w:val="14"/>
              </w:rPr>
            </w:pPr>
          </w:p>
        </w:tc>
        <w:tc>
          <w:tcPr>
            <w:tcW w:w="708" w:type="dxa"/>
            <w:tcBorders>
              <w:top w:val="nil"/>
              <w:left w:val="nil"/>
              <w:bottom w:val="nil"/>
              <w:right w:val="nil"/>
            </w:tcBorders>
            <w:vAlign w:val="center"/>
            <w:hideMark/>
          </w:tcPr>
          <w:p w14:paraId="761900AB" w14:textId="77777777" w:rsidR="00A74C68" w:rsidRPr="00471CBA" w:rsidRDefault="00A74C68" w:rsidP="00A74C68">
            <w:pPr>
              <w:jc w:val="right"/>
              <w:rPr>
                <w:sz w:val="14"/>
                <w:szCs w:val="14"/>
              </w:rPr>
            </w:pPr>
          </w:p>
        </w:tc>
        <w:tc>
          <w:tcPr>
            <w:tcW w:w="724" w:type="dxa"/>
            <w:tcBorders>
              <w:top w:val="nil"/>
              <w:left w:val="nil"/>
              <w:bottom w:val="nil"/>
              <w:right w:val="nil"/>
            </w:tcBorders>
            <w:vAlign w:val="center"/>
            <w:hideMark/>
          </w:tcPr>
          <w:p w14:paraId="383BA1BF" w14:textId="77777777" w:rsidR="00A74C68" w:rsidRPr="00471CBA" w:rsidRDefault="00A74C68" w:rsidP="00A74C68">
            <w:pPr>
              <w:jc w:val="right"/>
              <w:rPr>
                <w:sz w:val="14"/>
                <w:szCs w:val="14"/>
              </w:rPr>
            </w:pPr>
          </w:p>
        </w:tc>
        <w:tc>
          <w:tcPr>
            <w:tcW w:w="658" w:type="dxa"/>
            <w:tcBorders>
              <w:top w:val="nil"/>
              <w:left w:val="nil"/>
              <w:bottom w:val="nil"/>
              <w:right w:val="nil"/>
            </w:tcBorders>
            <w:vAlign w:val="center"/>
            <w:hideMark/>
          </w:tcPr>
          <w:p w14:paraId="62B8FF84" w14:textId="77777777" w:rsidR="00A74C68" w:rsidRPr="00471CBA" w:rsidRDefault="00A74C68" w:rsidP="00A74C68">
            <w:pPr>
              <w:jc w:val="right"/>
              <w:rPr>
                <w:sz w:val="14"/>
                <w:szCs w:val="14"/>
              </w:rPr>
            </w:pPr>
          </w:p>
        </w:tc>
        <w:tc>
          <w:tcPr>
            <w:tcW w:w="709" w:type="dxa"/>
            <w:tcBorders>
              <w:top w:val="nil"/>
              <w:left w:val="nil"/>
              <w:bottom w:val="nil"/>
              <w:right w:val="nil"/>
            </w:tcBorders>
            <w:vAlign w:val="center"/>
            <w:hideMark/>
          </w:tcPr>
          <w:p w14:paraId="6E2F50B4" w14:textId="77777777" w:rsidR="00A74C68" w:rsidRPr="00471CBA" w:rsidRDefault="00A74C68" w:rsidP="00A74C68">
            <w:pPr>
              <w:jc w:val="right"/>
              <w:rPr>
                <w:sz w:val="14"/>
                <w:szCs w:val="14"/>
              </w:rPr>
            </w:pPr>
          </w:p>
        </w:tc>
        <w:tc>
          <w:tcPr>
            <w:tcW w:w="641" w:type="dxa"/>
            <w:tcBorders>
              <w:top w:val="nil"/>
              <w:left w:val="nil"/>
              <w:bottom w:val="nil"/>
              <w:right w:val="nil"/>
            </w:tcBorders>
            <w:vAlign w:val="center"/>
            <w:hideMark/>
          </w:tcPr>
          <w:p w14:paraId="2837FCDB" w14:textId="77777777" w:rsidR="00A74C68" w:rsidRPr="00471CBA" w:rsidRDefault="00A74C68" w:rsidP="00A74C68">
            <w:pPr>
              <w:jc w:val="right"/>
              <w:rPr>
                <w:sz w:val="14"/>
                <w:szCs w:val="14"/>
              </w:rPr>
            </w:pPr>
          </w:p>
        </w:tc>
        <w:tc>
          <w:tcPr>
            <w:tcW w:w="636" w:type="dxa"/>
            <w:tcBorders>
              <w:top w:val="nil"/>
              <w:left w:val="nil"/>
              <w:bottom w:val="nil"/>
              <w:right w:val="nil"/>
            </w:tcBorders>
            <w:vAlign w:val="center"/>
            <w:hideMark/>
          </w:tcPr>
          <w:p w14:paraId="06EC33F4" w14:textId="77777777" w:rsidR="00A74C68" w:rsidRPr="00471CBA" w:rsidRDefault="00A74C68" w:rsidP="00A74C68">
            <w:pPr>
              <w:jc w:val="right"/>
              <w:rPr>
                <w:sz w:val="14"/>
                <w:szCs w:val="14"/>
              </w:rPr>
            </w:pPr>
          </w:p>
        </w:tc>
        <w:tc>
          <w:tcPr>
            <w:tcW w:w="731" w:type="dxa"/>
            <w:tcBorders>
              <w:top w:val="nil"/>
              <w:left w:val="nil"/>
              <w:bottom w:val="nil"/>
              <w:right w:val="nil"/>
            </w:tcBorders>
            <w:vAlign w:val="center"/>
            <w:hideMark/>
          </w:tcPr>
          <w:p w14:paraId="2E91DBAD" w14:textId="77777777" w:rsidR="00A74C68" w:rsidRPr="00471CBA" w:rsidRDefault="00A74C68" w:rsidP="00A74C68">
            <w:pPr>
              <w:jc w:val="right"/>
              <w:rPr>
                <w:sz w:val="14"/>
                <w:szCs w:val="14"/>
              </w:rPr>
            </w:pPr>
          </w:p>
        </w:tc>
        <w:tc>
          <w:tcPr>
            <w:tcW w:w="715" w:type="dxa"/>
            <w:tcBorders>
              <w:top w:val="nil"/>
              <w:left w:val="nil"/>
              <w:bottom w:val="nil"/>
              <w:right w:val="nil"/>
            </w:tcBorders>
            <w:vAlign w:val="center"/>
            <w:hideMark/>
          </w:tcPr>
          <w:p w14:paraId="2CA552FE" w14:textId="77777777" w:rsidR="00A74C68" w:rsidRPr="00471CBA" w:rsidRDefault="00A74C68" w:rsidP="00A74C68">
            <w:pPr>
              <w:jc w:val="right"/>
              <w:rPr>
                <w:sz w:val="14"/>
                <w:szCs w:val="14"/>
              </w:rPr>
            </w:pPr>
          </w:p>
        </w:tc>
        <w:tc>
          <w:tcPr>
            <w:tcW w:w="724" w:type="dxa"/>
            <w:tcBorders>
              <w:top w:val="nil"/>
              <w:left w:val="nil"/>
              <w:bottom w:val="nil"/>
              <w:right w:val="nil"/>
            </w:tcBorders>
            <w:vAlign w:val="center"/>
            <w:hideMark/>
          </w:tcPr>
          <w:p w14:paraId="5D6D9743" w14:textId="77777777" w:rsidR="00A74C68" w:rsidRPr="00471CBA" w:rsidRDefault="00A74C68" w:rsidP="00A74C68">
            <w:pPr>
              <w:jc w:val="right"/>
              <w:rPr>
                <w:sz w:val="14"/>
                <w:szCs w:val="14"/>
              </w:rPr>
            </w:pPr>
          </w:p>
        </w:tc>
        <w:tc>
          <w:tcPr>
            <w:tcW w:w="709" w:type="dxa"/>
            <w:tcBorders>
              <w:top w:val="nil"/>
              <w:left w:val="nil"/>
              <w:bottom w:val="nil"/>
              <w:right w:val="nil"/>
            </w:tcBorders>
            <w:vAlign w:val="center"/>
            <w:hideMark/>
          </w:tcPr>
          <w:p w14:paraId="5050DFFF" w14:textId="77777777" w:rsidR="00A74C68" w:rsidRPr="00471CBA" w:rsidRDefault="00A74C68" w:rsidP="00A74C68">
            <w:pPr>
              <w:jc w:val="right"/>
              <w:rPr>
                <w:sz w:val="14"/>
                <w:szCs w:val="14"/>
              </w:rPr>
            </w:pPr>
          </w:p>
        </w:tc>
        <w:tc>
          <w:tcPr>
            <w:tcW w:w="971" w:type="dxa"/>
            <w:tcBorders>
              <w:top w:val="nil"/>
              <w:left w:val="nil"/>
              <w:bottom w:val="nil"/>
              <w:right w:val="nil"/>
            </w:tcBorders>
            <w:vAlign w:val="center"/>
            <w:hideMark/>
          </w:tcPr>
          <w:p w14:paraId="49AE20BD" w14:textId="77777777" w:rsidR="00A74C68" w:rsidRPr="00471CBA" w:rsidRDefault="00A74C68" w:rsidP="00A74C68">
            <w:pPr>
              <w:jc w:val="right"/>
              <w:rPr>
                <w:sz w:val="14"/>
                <w:szCs w:val="14"/>
              </w:rPr>
            </w:pPr>
          </w:p>
        </w:tc>
        <w:tc>
          <w:tcPr>
            <w:tcW w:w="952" w:type="dxa"/>
            <w:tcBorders>
              <w:top w:val="nil"/>
              <w:left w:val="nil"/>
              <w:bottom w:val="nil"/>
              <w:right w:val="single" w:sz="4" w:space="0" w:color="auto"/>
            </w:tcBorders>
            <w:vAlign w:val="center"/>
            <w:hideMark/>
          </w:tcPr>
          <w:p w14:paraId="382ACA1A" w14:textId="77777777" w:rsidR="00A74C68" w:rsidRPr="00471CBA" w:rsidRDefault="00A74C68" w:rsidP="00A74C68">
            <w:pPr>
              <w:jc w:val="right"/>
              <w:rPr>
                <w:color w:val="000000"/>
                <w:sz w:val="14"/>
                <w:szCs w:val="14"/>
              </w:rPr>
            </w:pPr>
            <w:r w:rsidRPr="00471CBA">
              <w:rPr>
                <w:color w:val="000000"/>
                <w:sz w:val="14"/>
                <w:szCs w:val="14"/>
              </w:rPr>
              <w:t> </w:t>
            </w:r>
          </w:p>
        </w:tc>
      </w:tr>
      <w:tr w:rsidR="00A74C68" w:rsidRPr="00471CBA" w14:paraId="2CC6F07A" w14:textId="77777777" w:rsidTr="00A74C68">
        <w:trPr>
          <w:divId w:val="2141610945"/>
          <w:trHeight w:val="113"/>
        </w:trPr>
        <w:tc>
          <w:tcPr>
            <w:tcW w:w="563" w:type="dxa"/>
            <w:tcBorders>
              <w:top w:val="nil"/>
              <w:left w:val="single" w:sz="4" w:space="0" w:color="auto"/>
              <w:bottom w:val="nil"/>
              <w:right w:val="nil"/>
            </w:tcBorders>
            <w:vAlign w:val="center"/>
            <w:hideMark/>
          </w:tcPr>
          <w:p w14:paraId="531C60DF" w14:textId="77777777" w:rsidR="00A74C68" w:rsidRPr="00471CBA" w:rsidRDefault="00A74C68" w:rsidP="00A74C68">
            <w:pPr>
              <w:rPr>
                <w:b/>
                <w:bCs/>
                <w:color w:val="000000"/>
                <w:sz w:val="14"/>
                <w:szCs w:val="14"/>
              </w:rPr>
            </w:pPr>
            <w:r w:rsidRPr="00471CBA">
              <w:rPr>
                <w:b/>
                <w:bCs/>
                <w:color w:val="000000"/>
                <w:sz w:val="14"/>
                <w:szCs w:val="14"/>
              </w:rPr>
              <w:t>I.</w:t>
            </w:r>
          </w:p>
        </w:tc>
        <w:tc>
          <w:tcPr>
            <w:tcW w:w="3543" w:type="dxa"/>
            <w:tcBorders>
              <w:top w:val="nil"/>
              <w:left w:val="nil"/>
              <w:bottom w:val="nil"/>
              <w:right w:val="nil"/>
            </w:tcBorders>
            <w:vAlign w:val="center"/>
            <w:hideMark/>
          </w:tcPr>
          <w:p w14:paraId="02BD339E" w14:textId="77777777" w:rsidR="00A74C68" w:rsidRPr="00471CBA" w:rsidRDefault="00A74C68" w:rsidP="00A74C68">
            <w:pPr>
              <w:rPr>
                <w:b/>
                <w:bCs/>
                <w:color w:val="000000"/>
                <w:sz w:val="14"/>
                <w:szCs w:val="14"/>
              </w:rPr>
            </w:pPr>
            <w:r w:rsidRPr="00471CBA">
              <w:rPr>
                <w:b/>
                <w:bCs/>
                <w:color w:val="000000"/>
                <w:sz w:val="14"/>
                <w:szCs w:val="14"/>
              </w:rPr>
              <w:t xml:space="preserve">Önceki Dönem Sonu Bakiyesi </w:t>
            </w:r>
          </w:p>
        </w:tc>
        <w:tc>
          <w:tcPr>
            <w:tcW w:w="707" w:type="dxa"/>
            <w:tcBorders>
              <w:top w:val="nil"/>
              <w:left w:val="nil"/>
              <w:bottom w:val="nil"/>
              <w:right w:val="nil"/>
            </w:tcBorders>
            <w:vAlign w:val="center"/>
            <w:hideMark/>
          </w:tcPr>
          <w:p w14:paraId="2F71D764" w14:textId="77777777" w:rsidR="00A74C68" w:rsidRPr="00471CBA" w:rsidRDefault="00A74C68" w:rsidP="00A74C68">
            <w:pPr>
              <w:rPr>
                <w:b/>
                <w:bCs/>
                <w:color w:val="000000"/>
                <w:sz w:val="14"/>
                <w:szCs w:val="14"/>
              </w:rPr>
            </w:pPr>
          </w:p>
        </w:tc>
        <w:tc>
          <w:tcPr>
            <w:tcW w:w="777" w:type="dxa"/>
            <w:tcBorders>
              <w:top w:val="nil"/>
              <w:left w:val="nil"/>
              <w:bottom w:val="nil"/>
              <w:right w:val="nil"/>
            </w:tcBorders>
            <w:vAlign w:val="center"/>
            <w:hideMark/>
          </w:tcPr>
          <w:p w14:paraId="3D60EA80" w14:textId="77777777" w:rsidR="00A74C68" w:rsidRPr="00471CBA" w:rsidRDefault="00A74C68" w:rsidP="00A74C68">
            <w:pPr>
              <w:jc w:val="right"/>
              <w:rPr>
                <w:b/>
                <w:bCs/>
                <w:color w:val="000000"/>
                <w:sz w:val="14"/>
                <w:szCs w:val="14"/>
                <w:lang w:eastAsia="tr-TR"/>
              </w:rPr>
            </w:pPr>
            <w:r w:rsidRPr="00471CBA">
              <w:rPr>
                <w:b/>
                <w:bCs/>
                <w:color w:val="000000"/>
                <w:sz w:val="14"/>
                <w:szCs w:val="14"/>
              </w:rPr>
              <w:t>99.337</w:t>
            </w:r>
          </w:p>
        </w:tc>
        <w:tc>
          <w:tcPr>
            <w:tcW w:w="709" w:type="dxa"/>
            <w:tcBorders>
              <w:top w:val="nil"/>
              <w:left w:val="nil"/>
              <w:bottom w:val="nil"/>
              <w:right w:val="nil"/>
            </w:tcBorders>
            <w:vAlign w:val="center"/>
            <w:hideMark/>
          </w:tcPr>
          <w:p w14:paraId="4A1112CE"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08" w:type="dxa"/>
            <w:tcBorders>
              <w:top w:val="nil"/>
              <w:left w:val="nil"/>
              <w:bottom w:val="nil"/>
              <w:right w:val="nil"/>
            </w:tcBorders>
            <w:vAlign w:val="center"/>
            <w:hideMark/>
          </w:tcPr>
          <w:p w14:paraId="0C0B4EAB"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24" w:type="dxa"/>
            <w:tcBorders>
              <w:top w:val="nil"/>
              <w:left w:val="nil"/>
              <w:bottom w:val="nil"/>
              <w:right w:val="nil"/>
            </w:tcBorders>
            <w:vAlign w:val="center"/>
            <w:hideMark/>
          </w:tcPr>
          <w:p w14:paraId="28D5A3D4"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658" w:type="dxa"/>
            <w:tcBorders>
              <w:top w:val="nil"/>
              <w:left w:val="nil"/>
              <w:bottom w:val="nil"/>
              <w:right w:val="nil"/>
            </w:tcBorders>
            <w:vAlign w:val="center"/>
            <w:hideMark/>
          </w:tcPr>
          <w:p w14:paraId="26FACE37"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09" w:type="dxa"/>
            <w:tcBorders>
              <w:top w:val="nil"/>
              <w:left w:val="nil"/>
              <w:bottom w:val="nil"/>
              <w:right w:val="nil"/>
            </w:tcBorders>
            <w:vAlign w:val="center"/>
            <w:hideMark/>
          </w:tcPr>
          <w:p w14:paraId="7EC5D16B"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r w:rsidRPr="00471CBA">
              <w:rPr>
                <w:b/>
                <w:bCs/>
                <w:color w:val="000000"/>
                <w:sz w:val="14"/>
                <w:szCs w:val="14"/>
                <w:lang w:eastAsia="tr-TR"/>
              </w:rPr>
              <w:t>2.245)</w:t>
            </w:r>
          </w:p>
        </w:tc>
        <w:tc>
          <w:tcPr>
            <w:tcW w:w="641" w:type="dxa"/>
            <w:tcBorders>
              <w:top w:val="nil"/>
              <w:left w:val="nil"/>
              <w:bottom w:val="nil"/>
              <w:right w:val="nil"/>
            </w:tcBorders>
            <w:vAlign w:val="center"/>
            <w:hideMark/>
          </w:tcPr>
          <w:p w14:paraId="05FFF3FB"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636" w:type="dxa"/>
            <w:tcBorders>
              <w:top w:val="nil"/>
              <w:left w:val="nil"/>
              <w:bottom w:val="nil"/>
              <w:right w:val="nil"/>
            </w:tcBorders>
            <w:vAlign w:val="center"/>
            <w:hideMark/>
          </w:tcPr>
          <w:p w14:paraId="473F8C45"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31" w:type="dxa"/>
            <w:tcBorders>
              <w:top w:val="nil"/>
              <w:left w:val="nil"/>
              <w:bottom w:val="nil"/>
              <w:right w:val="nil"/>
            </w:tcBorders>
            <w:vAlign w:val="center"/>
            <w:hideMark/>
          </w:tcPr>
          <w:p w14:paraId="6BF513B9"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15" w:type="dxa"/>
            <w:tcBorders>
              <w:top w:val="nil"/>
              <w:left w:val="nil"/>
              <w:bottom w:val="nil"/>
              <w:right w:val="nil"/>
            </w:tcBorders>
            <w:vAlign w:val="center"/>
            <w:hideMark/>
          </w:tcPr>
          <w:p w14:paraId="3402862F"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24" w:type="dxa"/>
            <w:tcBorders>
              <w:top w:val="nil"/>
              <w:left w:val="nil"/>
              <w:bottom w:val="nil"/>
              <w:right w:val="nil"/>
            </w:tcBorders>
            <w:vAlign w:val="center"/>
            <w:hideMark/>
          </w:tcPr>
          <w:p w14:paraId="5FE29B27"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09" w:type="dxa"/>
            <w:tcBorders>
              <w:top w:val="nil"/>
              <w:left w:val="nil"/>
              <w:bottom w:val="nil"/>
              <w:right w:val="nil"/>
            </w:tcBorders>
            <w:vAlign w:val="center"/>
            <w:hideMark/>
          </w:tcPr>
          <w:p w14:paraId="13671E75"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r w:rsidRPr="00471CBA">
              <w:rPr>
                <w:b/>
                <w:bCs/>
                <w:color w:val="000000"/>
                <w:sz w:val="14"/>
                <w:szCs w:val="14"/>
                <w:lang w:eastAsia="tr-TR"/>
              </w:rPr>
              <w:t>21.140)</w:t>
            </w:r>
          </w:p>
        </w:tc>
        <w:tc>
          <w:tcPr>
            <w:tcW w:w="971" w:type="dxa"/>
            <w:tcBorders>
              <w:top w:val="nil"/>
              <w:left w:val="nil"/>
              <w:bottom w:val="nil"/>
              <w:right w:val="nil"/>
            </w:tcBorders>
            <w:vAlign w:val="center"/>
            <w:hideMark/>
          </w:tcPr>
          <w:p w14:paraId="76082892" w14:textId="77777777" w:rsidR="00A74C68" w:rsidRPr="00471CBA" w:rsidRDefault="00A74C68" w:rsidP="00A74C68">
            <w:pPr>
              <w:jc w:val="right"/>
              <w:rPr>
                <w:b/>
                <w:bCs/>
                <w:color w:val="000000"/>
                <w:sz w:val="14"/>
                <w:szCs w:val="14"/>
                <w:lang w:eastAsia="tr-TR"/>
              </w:rPr>
            </w:pPr>
            <w:r w:rsidRPr="00471CBA">
              <w:rPr>
                <w:b/>
                <w:bCs/>
                <w:color w:val="000000"/>
                <w:sz w:val="14"/>
                <w:szCs w:val="14"/>
              </w:rPr>
              <w:t>8.092</w:t>
            </w:r>
          </w:p>
        </w:tc>
        <w:tc>
          <w:tcPr>
            <w:tcW w:w="952" w:type="dxa"/>
            <w:tcBorders>
              <w:top w:val="nil"/>
              <w:left w:val="nil"/>
              <w:bottom w:val="nil"/>
              <w:right w:val="single" w:sz="4" w:space="0" w:color="auto"/>
            </w:tcBorders>
            <w:vAlign w:val="center"/>
            <w:hideMark/>
          </w:tcPr>
          <w:p w14:paraId="3209607A" w14:textId="77777777" w:rsidR="00A74C68" w:rsidRPr="00471CBA" w:rsidRDefault="00A74C68" w:rsidP="00A74C68">
            <w:pPr>
              <w:jc w:val="right"/>
              <w:rPr>
                <w:b/>
                <w:bCs/>
                <w:color w:val="000000"/>
                <w:sz w:val="14"/>
                <w:szCs w:val="14"/>
              </w:rPr>
            </w:pPr>
            <w:r w:rsidRPr="00471CBA">
              <w:rPr>
                <w:b/>
                <w:bCs/>
                <w:color w:val="000000"/>
                <w:sz w:val="14"/>
                <w:szCs w:val="14"/>
              </w:rPr>
              <w:t>84.044</w:t>
            </w:r>
          </w:p>
        </w:tc>
      </w:tr>
      <w:tr w:rsidR="00A74C68" w:rsidRPr="00471CBA" w14:paraId="1E591356" w14:textId="77777777" w:rsidTr="00A74C68">
        <w:trPr>
          <w:divId w:val="2141610945"/>
          <w:trHeight w:val="113"/>
        </w:trPr>
        <w:tc>
          <w:tcPr>
            <w:tcW w:w="563" w:type="dxa"/>
            <w:tcBorders>
              <w:top w:val="nil"/>
              <w:left w:val="single" w:sz="4" w:space="0" w:color="auto"/>
              <w:bottom w:val="nil"/>
              <w:right w:val="nil"/>
            </w:tcBorders>
            <w:vAlign w:val="center"/>
            <w:hideMark/>
          </w:tcPr>
          <w:p w14:paraId="67044F16" w14:textId="77777777" w:rsidR="00A74C68" w:rsidRPr="00471CBA" w:rsidRDefault="00A74C68" w:rsidP="00A74C68">
            <w:pPr>
              <w:rPr>
                <w:b/>
                <w:bCs/>
                <w:color w:val="000000"/>
                <w:sz w:val="14"/>
                <w:szCs w:val="14"/>
              </w:rPr>
            </w:pPr>
            <w:r w:rsidRPr="00471CBA">
              <w:rPr>
                <w:b/>
                <w:bCs/>
                <w:color w:val="000000"/>
                <w:sz w:val="14"/>
                <w:szCs w:val="14"/>
              </w:rPr>
              <w:t>II.</w:t>
            </w:r>
          </w:p>
        </w:tc>
        <w:tc>
          <w:tcPr>
            <w:tcW w:w="3543" w:type="dxa"/>
            <w:tcBorders>
              <w:top w:val="nil"/>
              <w:left w:val="nil"/>
              <w:bottom w:val="nil"/>
              <w:right w:val="nil"/>
            </w:tcBorders>
            <w:vAlign w:val="center"/>
            <w:hideMark/>
          </w:tcPr>
          <w:p w14:paraId="2B5AE5DF" w14:textId="77777777" w:rsidR="00A74C68" w:rsidRPr="00471CBA" w:rsidRDefault="00A74C68" w:rsidP="00A74C68">
            <w:pPr>
              <w:rPr>
                <w:b/>
                <w:bCs/>
                <w:color w:val="000000"/>
                <w:sz w:val="14"/>
                <w:szCs w:val="14"/>
              </w:rPr>
            </w:pPr>
            <w:r w:rsidRPr="00471CBA">
              <w:rPr>
                <w:b/>
                <w:bCs/>
                <w:color w:val="000000"/>
                <w:sz w:val="14"/>
                <w:szCs w:val="14"/>
              </w:rPr>
              <w:t>TMS 8 Uyarınca Yapılan Düzeltmeler</w:t>
            </w:r>
          </w:p>
        </w:tc>
        <w:tc>
          <w:tcPr>
            <w:tcW w:w="707" w:type="dxa"/>
            <w:tcBorders>
              <w:top w:val="nil"/>
              <w:left w:val="nil"/>
              <w:bottom w:val="nil"/>
              <w:right w:val="nil"/>
            </w:tcBorders>
            <w:vAlign w:val="center"/>
            <w:hideMark/>
          </w:tcPr>
          <w:p w14:paraId="59315E8C" w14:textId="77777777" w:rsidR="00A74C68" w:rsidRPr="00471CBA" w:rsidRDefault="00A74C68" w:rsidP="00A74C68">
            <w:pPr>
              <w:rPr>
                <w:b/>
                <w:bCs/>
                <w:color w:val="000000"/>
                <w:sz w:val="14"/>
                <w:szCs w:val="14"/>
              </w:rPr>
            </w:pPr>
          </w:p>
        </w:tc>
        <w:tc>
          <w:tcPr>
            <w:tcW w:w="777" w:type="dxa"/>
            <w:tcBorders>
              <w:top w:val="nil"/>
              <w:left w:val="nil"/>
              <w:bottom w:val="nil"/>
              <w:right w:val="nil"/>
            </w:tcBorders>
            <w:vAlign w:val="center"/>
            <w:hideMark/>
          </w:tcPr>
          <w:p w14:paraId="56050616"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09" w:type="dxa"/>
            <w:tcBorders>
              <w:top w:val="nil"/>
              <w:left w:val="nil"/>
              <w:bottom w:val="nil"/>
              <w:right w:val="nil"/>
            </w:tcBorders>
            <w:vAlign w:val="center"/>
            <w:hideMark/>
          </w:tcPr>
          <w:p w14:paraId="19C7630B"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08" w:type="dxa"/>
            <w:tcBorders>
              <w:top w:val="nil"/>
              <w:left w:val="nil"/>
              <w:bottom w:val="nil"/>
              <w:right w:val="nil"/>
            </w:tcBorders>
            <w:vAlign w:val="center"/>
            <w:hideMark/>
          </w:tcPr>
          <w:p w14:paraId="112F69CD"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24" w:type="dxa"/>
            <w:tcBorders>
              <w:top w:val="nil"/>
              <w:left w:val="nil"/>
              <w:bottom w:val="nil"/>
              <w:right w:val="nil"/>
            </w:tcBorders>
            <w:vAlign w:val="center"/>
            <w:hideMark/>
          </w:tcPr>
          <w:p w14:paraId="62FA97EA"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658" w:type="dxa"/>
            <w:tcBorders>
              <w:top w:val="nil"/>
              <w:left w:val="nil"/>
              <w:bottom w:val="nil"/>
              <w:right w:val="nil"/>
            </w:tcBorders>
            <w:vAlign w:val="center"/>
            <w:hideMark/>
          </w:tcPr>
          <w:p w14:paraId="42A2DFEC"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09" w:type="dxa"/>
            <w:tcBorders>
              <w:top w:val="nil"/>
              <w:left w:val="nil"/>
              <w:bottom w:val="nil"/>
              <w:right w:val="nil"/>
            </w:tcBorders>
            <w:vAlign w:val="center"/>
            <w:hideMark/>
          </w:tcPr>
          <w:p w14:paraId="7D753A7F"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641" w:type="dxa"/>
            <w:tcBorders>
              <w:top w:val="nil"/>
              <w:left w:val="nil"/>
              <w:bottom w:val="nil"/>
              <w:right w:val="nil"/>
            </w:tcBorders>
            <w:vAlign w:val="center"/>
            <w:hideMark/>
          </w:tcPr>
          <w:p w14:paraId="15520B35"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636" w:type="dxa"/>
            <w:tcBorders>
              <w:top w:val="nil"/>
              <w:left w:val="nil"/>
              <w:bottom w:val="nil"/>
              <w:right w:val="nil"/>
            </w:tcBorders>
            <w:vAlign w:val="center"/>
            <w:hideMark/>
          </w:tcPr>
          <w:p w14:paraId="0784A77B"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31" w:type="dxa"/>
            <w:tcBorders>
              <w:top w:val="nil"/>
              <w:left w:val="nil"/>
              <w:bottom w:val="nil"/>
              <w:right w:val="nil"/>
            </w:tcBorders>
            <w:vAlign w:val="center"/>
            <w:hideMark/>
          </w:tcPr>
          <w:p w14:paraId="0719C825"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15" w:type="dxa"/>
            <w:tcBorders>
              <w:top w:val="nil"/>
              <w:left w:val="nil"/>
              <w:bottom w:val="nil"/>
              <w:right w:val="nil"/>
            </w:tcBorders>
            <w:vAlign w:val="center"/>
            <w:hideMark/>
          </w:tcPr>
          <w:p w14:paraId="031FD83C"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24" w:type="dxa"/>
            <w:tcBorders>
              <w:top w:val="nil"/>
              <w:left w:val="nil"/>
              <w:bottom w:val="nil"/>
              <w:right w:val="nil"/>
            </w:tcBorders>
            <w:vAlign w:val="center"/>
            <w:hideMark/>
          </w:tcPr>
          <w:p w14:paraId="77B73063"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09" w:type="dxa"/>
            <w:tcBorders>
              <w:top w:val="nil"/>
              <w:left w:val="nil"/>
              <w:bottom w:val="nil"/>
              <w:right w:val="nil"/>
            </w:tcBorders>
            <w:vAlign w:val="center"/>
            <w:hideMark/>
          </w:tcPr>
          <w:p w14:paraId="49C847D1"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971" w:type="dxa"/>
            <w:tcBorders>
              <w:top w:val="nil"/>
              <w:left w:val="nil"/>
              <w:bottom w:val="nil"/>
              <w:right w:val="nil"/>
            </w:tcBorders>
            <w:vAlign w:val="center"/>
            <w:hideMark/>
          </w:tcPr>
          <w:p w14:paraId="23780574"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952" w:type="dxa"/>
            <w:tcBorders>
              <w:top w:val="nil"/>
              <w:left w:val="nil"/>
              <w:bottom w:val="nil"/>
              <w:right w:val="single" w:sz="4" w:space="0" w:color="auto"/>
            </w:tcBorders>
            <w:vAlign w:val="center"/>
            <w:hideMark/>
          </w:tcPr>
          <w:p w14:paraId="4E75F587" w14:textId="77777777" w:rsidR="00A74C68" w:rsidRPr="00471CBA" w:rsidRDefault="00A74C68" w:rsidP="00A74C68">
            <w:pPr>
              <w:jc w:val="right"/>
              <w:rPr>
                <w:b/>
                <w:bCs/>
                <w:color w:val="000000"/>
                <w:sz w:val="14"/>
                <w:szCs w:val="14"/>
              </w:rPr>
            </w:pPr>
            <w:r w:rsidRPr="00471CBA">
              <w:rPr>
                <w:b/>
                <w:bCs/>
                <w:color w:val="000000"/>
                <w:sz w:val="14"/>
                <w:szCs w:val="14"/>
              </w:rPr>
              <w:t>-</w:t>
            </w:r>
          </w:p>
        </w:tc>
      </w:tr>
      <w:tr w:rsidR="00A74C68" w:rsidRPr="00471CBA" w14:paraId="73A31E75" w14:textId="77777777" w:rsidTr="00A74C68">
        <w:trPr>
          <w:divId w:val="2141610945"/>
          <w:trHeight w:val="113"/>
        </w:trPr>
        <w:tc>
          <w:tcPr>
            <w:tcW w:w="563" w:type="dxa"/>
            <w:tcBorders>
              <w:top w:val="nil"/>
              <w:left w:val="single" w:sz="4" w:space="0" w:color="auto"/>
              <w:bottom w:val="nil"/>
              <w:right w:val="nil"/>
            </w:tcBorders>
            <w:vAlign w:val="center"/>
            <w:hideMark/>
          </w:tcPr>
          <w:p w14:paraId="5A47952B" w14:textId="77777777" w:rsidR="00A74C68" w:rsidRPr="00471CBA" w:rsidRDefault="00A74C68" w:rsidP="00A74C68">
            <w:pPr>
              <w:rPr>
                <w:color w:val="000000"/>
                <w:sz w:val="14"/>
                <w:szCs w:val="14"/>
              </w:rPr>
            </w:pPr>
            <w:r w:rsidRPr="00471CBA">
              <w:rPr>
                <w:color w:val="000000"/>
                <w:sz w:val="14"/>
                <w:szCs w:val="14"/>
              </w:rPr>
              <w:t>2.1</w:t>
            </w:r>
          </w:p>
        </w:tc>
        <w:tc>
          <w:tcPr>
            <w:tcW w:w="3543" w:type="dxa"/>
            <w:tcBorders>
              <w:top w:val="nil"/>
              <w:left w:val="nil"/>
              <w:bottom w:val="nil"/>
              <w:right w:val="nil"/>
            </w:tcBorders>
            <w:vAlign w:val="center"/>
            <w:hideMark/>
          </w:tcPr>
          <w:p w14:paraId="0732850A" w14:textId="77777777" w:rsidR="00A74C68" w:rsidRPr="00471CBA" w:rsidRDefault="00A74C68" w:rsidP="00A74C68">
            <w:pPr>
              <w:rPr>
                <w:color w:val="000000"/>
                <w:sz w:val="14"/>
                <w:szCs w:val="14"/>
              </w:rPr>
            </w:pPr>
            <w:r w:rsidRPr="00471CBA">
              <w:rPr>
                <w:color w:val="000000"/>
                <w:sz w:val="14"/>
                <w:szCs w:val="14"/>
              </w:rPr>
              <w:t xml:space="preserve">Hataların Düzeltilmesinin Etkisi </w:t>
            </w:r>
          </w:p>
        </w:tc>
        <w:tc>
          <w:tcPr>
            <w:tcW w:w="707" w:type="dxa"/>
            <w:tcBorders>
              <w:top w:val="nil"/>
              <w:left w:val="nil"/>
              <w:bottom w:val="nil"/>
              <w:right w:val="nil"/>
            </w:tcBorders>
            <w:vAlign w:val="center"/>
            <w:hideMark/>
          </w:tcPr>
          <w:p w14:paraId="3826921F" w14:textId="77777777" w:rsidR="00A74C68" w:rsidRPr="00471CBA" w:rsidRDefault="00A74C68" w:rsidP="00A74C68">
            <w:pPr>
              <w:rPr>
                <w:color w:val="000000"/>
                <w:sz w:val="14"/>
                <w:szCs w:val="14"/>
              </w:rPr>
            </w:pPr>
          </w:p>
        </w:tc>
        <w:tc>
          <w:tcPr>
            <w:tcW w:w="777" w:type="dxa"/>
            <w:tcBorders>
              <w:top w:val="nil"/>
              <w:left w:val="nil"/>
              <w:bottom w:val="nil"/>
              <w:right w:val="nil"/>
            </w:tcBorders>
            <w:vAlign w:val="center"/>
            <w:hideMark/>
          </w:tcPr>
          <w:p w14:paraId="3AC07FA9"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709" w:type="dxa"/>
            <w:tcBorders>
              <w:top w:val="nil"/>
              <w:left w:val="nil"/>
              <w:bottom w:val="nil"/>
              <w:right w:val="nil"/>
            </w:tcBorders>
            <w:vAlign w:val="center"/>
            <w:hideMark/>
          </w:tcPr>
          <w:p w14:paraId="05EE4C6B"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708" w:type="dxa"/>
            <w:tcBorders>
              <w:top w:val="nil"/>
              <w:left w:val="nil"/>
              <w:bottom w:val="nil"/>
              <w:right w:val="nil"/>
            </w:tcBorders>
            <w:vAlign w:val="center"/>
            <w:hideMark/>
          </w:tcPr>
          <w:p w14:paraId="21F64611"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724" w:type="dxa"/>
            <w:tcBorders>
              <w:top w:val="nil"/>
              <w:left w:val="nil"/>
              <w:bottom w:val="nil"/>
              <w:right w:val="nil"/>
            </w:tcBorders>
            <w:vAlign w:val="center"/>
            <w:hideMark/>
          </w:tcPr>
          <w:p w14:paraId="7FEABF8E"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658" w:type="dxa"/>
            <w:tcBorders>
              <w:top w:val="nil"/>
              <w:left w:val="nil"/>
              <w:bottom w:val="nil"/>
              <w:right w:val="nil"/>
            </w:tcBorders>
            <w:vAlign w:val="center"/>
            <w:hideMark/>
          </w:tcPr>
          <w:p w14:paraId="6BC3B26E"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709" w:type="dxa"/>
            <w:tcBorders>
              <w:top w:val="nil"/>
              <w:left w:val="nil"/>
              <w:bottom w:val="nil"/>
              <w:right w:val="nil"/>
            </w:tcBorders>
            <w:vAlign w:val="center"/>
            <w:hideMark/>
          </w:tcPr>
          <w:p w14:paraId="4DA10BF0"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641" w:type="dxa"/>
            <w:tcBorders>
              <w:top w:val="nil"/>
              <w:left w:val="nil"/>
              <w:bottom w:val="nil"/>
              <w:right w:val="nil"/>
            </w:tcBorders>
            <w:vAlign w:val="center"/>
            <w:hideMark/>
          </w:tcPr>
          <w:p w14:paraId="3653D845"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636" w:type="dxa"/>
            <w:tcBorders>
              <w:top w:val="nil"/>
              <w:left w:val="nil"/>
              <w:bottom w:val="nil"/>
              <w:right w:val="nil"/>
            </w:tcBorders>
            <w:vAlign w:val="center"/>
            <w:hideMark/>
          </w:tcPr>
          <w:p w14:paraId="499C9FFD"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731" w:type="dxa"/>
            <w:tcBorders>
              <w:top w:val="nil"/>
              <w:left w:val="nil"/>
              <w:bottom w:val="nil"/>
              <w:right w:val="nil"/>
            </w:tcBorders>
            <w:vAlign w:val="center"/>
            <w:hideMark/>
          </w:tcPr>
          <w:p w14:paraId="18B28D58"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715" w:type="dxa"/>
            <w:tcBorders>
              <w:top w:val="nil"/>
              <w:left w:val="nil"/>
              <w:bottom w:val="nil"/>
              <w:right w:val="nil"/>
            </w:tcBorders>
            <w:vAlign w:val="center"/>
            <w:hideMark/>
          </w:tcPr>
          <w:p w14:paraId="14E53A0B"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724" w:type="dxa"/>
            <w:tcBorders>
              <w:top w:val="nil"/>
              <w:left w:val="nil"/>
              <w:bottom w:val="nil"/>
              <w:right w:val="nil"/>
            </w:tcBorders>
            <w:vAlign w:val="center"/>
            <w:hideMark/>
          </w:tcPr>
          <w:p w14:paraId="38F08001"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709" w:type="dxa"/>
            <w:tcBorders>
              <w:top w:val="nil"/>
              <w:left w:val="nil"/>
              <w:bottom w:val="nil"/>
              <w:right w:val="nil"/>
            </w:tcBorders>
            <w:vAlign w:val="center"/>
            <w:hideMark/>
          </w:tcPr>
          <w:p w14:paraId="7D6B6F31"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971" w:type="dxa"/>
            <w:tcBorders>
              <w:top w:val="nil"/>
              <w:left w:val="nil"/>
              <w:bottom w:val="nil"/>
              <w:right w:val="nil"/>
            </w:tcBorders>
            <w:vAlign w:val="center"/>
            <w:hideMark/>
          </w:tcPr>
          <w:p w14:paraId="1D9599EC"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952" w:type="dxa"/>
            <w:tcBorders>
              <w:top w:val="nil"/>
              <w:left w:val="nil"/>
              <w:bottom w:val="nil"/>
              <w:right w:val="single" w:sz="4" w:space="0" w:color="auto"/>
            </w:tcBorders>
            <w:vAlign w:val="center"/>
            <w:hideMark/>
          </w:tcPr>
          <w:p w14:paraId="0F3EB49A" w14:textId="77777777" w:rsidR="00A74C68" w:rsidRPr="00471CBA" w:rsidRDefault="00A74C68" w:rsidP="00A74C68">
            <w:pPr>
              <w:jc w:val="right"/>
              <w:rPr>
                <w:color w:val="000000"/>
                <w:sz w:val="14"/>
                <w:szCs w:val="14"/>
              </w:rPr>
            </w:pPr>
            <w:r w:rsidRPr="00471CBA">
              <w:rPr>
                <w:color w:val="000000"/>
                <w:sz w:val="14"/>
                <w:szCs w:val="14"/>
              </w:rPr>
              <w:t>-</w:t>
            </w:r>
          </w:p>
        </w:tc>
      </w:tr>
      <w:tr w:rsidR="00A74C68" w:rsidRPr="00471CBA" w14:paraId="14CEDF60" w14:textId="77777777" w:rsidTr="00A74C68">
        <w:trPr>
          <w:divId w:val="2141610945"/>
          <w:trHeight w:val="113"/>
        </w:trPr>
        <w:tc>
          <w:tcPr>
            <w:tcW w:w="563" w:type="dxa"/>
            <w:tcBorders>
              <w:top w:val="nil"/>
              <w:left w:val="single" w:sz="4" w:space="0" w:color="auto"/>
              <w:bottom w:val="nil"/>
              <w:right w:val="nil"/>
            </w:tcBorders>
            <w:vAlign w:val="center"/>
            <w:hideMark/>
          </w:tcPr>
          <w:p w14:paraId="53D45647" w14:textId="77777777" w:rsidR="00A74C68" w:rsidRPr="00471CBA" w:rsidRDefault="00A74C68" w:rsidP="00A74C68">
            <w:pPr>
              <w:rPr>
                <w:color w:val="000000"/>
                <w:sz w:val="14"/>
                <w:szCs w:val="14"/>
              </w:rPr>
            </w:pPr>
            <w:r w:rsidRPr="00471CBA">
              <w:rPr>
                <w:color w:val="000000"/>
                <w:sz w:val="14"/>
                <w:szCs w:val="14"/>
              </w:rPr>
              <w:t>2.2</w:t>
            </w:r>
          </w:p>
        </w:tc>
        <w:tc>
          <w:tcPr>
            <w:tcW w:w="3543" w:type="dxa"/>
            <w:tcBorders>
              <w:top w:val="nil"/>
              <w:left w:val="nil"/>
              <w:bottom w:val="nil"/>
              <w:right w:val="nil"/>
            </w:tcBorders>
            <w:vAlign w:val="center"/>
            <w:hideMark/>
          </w:tcPr>
          <w:p w14:paraId="13FED1AA" w14:textId="77777777" w:rsidR="00A74C68" w:rsidRPr="00471CBA" w:rsidRDefault="00A74C68" w:rsidP="00A74C68">
            <w:pPr>
              <w:rPr>
                <w:color w:val="000000"/>
                <w:sz w:val="14"/>
                <w:szCs w:val="14"/>
              </w:rPr>
            </w:pPr>
            <w:r w:rsidRPr="00471CBA">
              <w:rPr>
                <w:color w:val="000000"/>
                <w:sz w:val="14"/>
                <w:szCs w:val="14"/>
              </w:rPr>
              <w:t>Muhasebe Politikasında Yapılan Değişikliklerin Etkisi</w:t>
            </w:r>
          </w:p>
        </w:tc>
        <w:tc>
          <w:tcPr>
            <w:tcW w:w="707" w:type="dxa"/>
            <w:tcBorders>
              <w:top w:val="nil"/>
              <w:left w:val="nil"/>
              <w:bottom w:val="nil"/>
              <w:right w:val="nil"/>
            </w:tcBorders>
            <w:vAlign w:val="center"/>
            <w:hideMark/>
          </w:tcPr>
          <w:p w14:paraId="31BE2181" w14:textId="77777777" w:rsidR="00A74C68" w:rsidRPr="00471CBA" w:rsidRDefault="00A74C68" w:rsidP="00A74C68">
            <w:pPr>
              <w:rPr>
                <w:color w:val="000000"/>
                <w:sz w:val="14"/>
                <w:szCs w:val="14"/>
              </w:rPr>
            </w:pPr>
          </w:p>
        </w:tc>
        <w:tc>
          <w:tcPr>
            <w:tcW w:w="777" w:type="dxa"/>
            <w:tcBorders>
              <w:top w:val="nil"/>
              <w:left w:val="nil"/>
              <w:bottom w:val="nil"/>
              <w:right w:val="nil"/>
            </w:tcBorders>
            <w:vAlign w:val="center"/>
            <w:hideMark/>
          </w:tcPr>
          <w:p w14:paraId="661814EC"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709" w:type="dxa"/>
            <w:tcBorders>
              <w:top w:val="nil"/>
              <w:left w:val="nil"/>
              <w:bottom w:val="nil"/>
              <w:right w:val="nil"/>
            </w:tcBorders>
            <w:vAlign w:val="center"/>
            <w:hideMark/>
          </w:tcPr>
          <w:p w14:paraId="44E79161"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708" w:type="dxa"/>
            <w:tcBorders>
              <w:top w:val="nil"/>
              <w:left w:val="nil"/>
              <w:bottom w:val="nil"/>
              <w:right w:val="nil"/>
            </w:tcBorders>
            <w:vAlign w:val="center"/>
            <w:hideMark/>
          </w:tcPr>
          <w:p w14:paraId="02C10272"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724" w:type="dxa"/>
            <w:tcBorders>
              <w:top w:val="nil"/>
              <w:left w:val="nil"/>
              <w:bottom w:val="nil"/>
              <w:right w:val="nil"/>
            </w:tcBorders>
            <w:vAlign w:val="center"/>
            <w:hideMark/>
          </w:tcPr>
          <w:p w14:paraId="4187787A"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658" w:type="dxa"/>
            <w:tcBorders>
              <w:top w:val="nil"/>
              <w:left w:val="nil"/>
              <w:bottom w:val="nil"/>
              <w:right w:val="nil"/>
            </w:tcBorders>
            <w:vAlign w:val="center"/>
            <w:hideMark/>
          </w:tcPr>
          <w:p w14:paraId="0525A87C"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709" w:type="dxa"/>
            <w:tcBorders>
              <w:top w:val="nil"/>
              <w:left w:val="nil"/>
              <w:bottom w:val="nil"/>
              <w:right w:val="nil"/>
            </w:tcBorders>
            <w:vAlign w:val="center"/>
            <w:hideMark/>
          </w:tcPr>
          <w:p w14:paraId="10BD3E18"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641" w:type="dxa"/>
            <w:tcBorders>
              <w:top w:val="nil"/>
              <w:left w:val="nil"/>
              <w:bottom w:val="nil"/>
              <w:right w:val="nil"/>
            </w:tcBorders>
            <w:vAlign w:val="center"/>
            <w:hideMark/>
          </w:tcPr>
          <w:p w14:paraId="4703D62A"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636" w:type="dxa"/>
            <w:tcBorders>
              <w:top w:val="nil"/>
              <w:left w:val="nil"/>
              <w:bottom w:val="nil"/>
              <w:right w:val="nil"/>
            </w:tcBorders>
            <w:vAlign w:val="center"/>
            <w:hideMark/>
          </w:tcPr>
          <w:p w14:paraId="793BF2FA"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731" w:type="dxa"/>
            <w:tcBorders>
              <w:top w:val="nil"/>
              <w:left w:val="nil"/>
              <w:bottom w:val="nil"/>
              <w:right w:val="nil"/>
            </w:tcBorders>
            <w:vAlign w:val="center"/>
            <w:hideMark/>
          </w:tcPr>
          <w:p w14:paraId="0BE56C57"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715" w:type="dxa"/>
            <w:tcBorders>
              <w:top w:val="nil"/>
              <w:left w:val="nil"/>
              <w:bottom w:val="nil"/>
              <w:right w:val="nil"/>
            </w:tcBorders>
            <w:vAlign w:val="center"/>
            <w:hideMark/>
          </w:tcPr>
          <w:p w14:paraId="7B7A0178"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724" w:type="dxa"/>
            <w:tcBorders>
              <w:top w:val="nil"/>
              <w:left w:val="nil"/>
              <w:bottom w:val="nil"/>
              <w:right w:val="nil"/>
            </w:tcBorders>
            <w:vAlign w:val="center"/>
            <w:hideMark/>
          </w:tcPr>
          <w:p w14:paraId="12975DD2"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709" w:type="dxa"/>
            <w:tcBorders>
              <w:top w:val="nil"/>
              <w:left w:val="nil"/>
              <w:bottom w:val="nil"/>
              <w:right w:val="nil"/>
            </w:tcBorders>
            <w:vAlign w:val="center"/>
            <w:hideMark/>
          </w:tcPr>
          <w:p w14:paraId="53F6F344"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971" w:type="dxa"/>
            <w:tcBorders>
              <w:top w:val="nil"/>
              <w:left w:val="nil"/>
              <w:bottom w:val="nil"/>
              <w:right w:val="single" w:sz="4" w:space="0" w:color="auto"/>
            </w:tcBorders>
            <w:vAlign w:val="center"/>
            <w:hideMark/>
          </w:tcPr>
          <w:p w14:paraId="43DF5776"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952" w:type="dxa"/>
            <w:tcBorders>
              <w:top w:val="nil"/>
              <w:left w:val="nil"/>
              <w:bottom w:val="nil"/>
              <w:right w:val="single" w:sz="4" w:space="0" w:color="auto"/>
            </w:tcBorders>
            <w:vAlign w:val="center"/>
            <w:hideMark/>
          </w:tcPr>
          <w:p w14:paraId="6A2B28F3"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r>
      <w:tr w:rsidR="00A74C68" w:rsidRPr="00471CBA" w14:paraId="7CC4E03E" w14:textId="77777777" w:rsidTr="00A74C68">
        <w:trPr>
          <w:divId w:val="2141610945"/>
          <w:trHeight w:val="113"/>
        </w:trPr>
        <w:tc>
          <w:tcPr>
            <w:tcW w:w="563" w:type="dxa"/>
            <w:tcBorders>
              <w:top w:val="nil"/>
              <w:left w:val="single" w:sz="4" w:space="0" w:color="auto"/>
              <w:bottom w:val="nil"/>
              <w:right w:val="nil"/>
            </w:tcBorders>
            <w:vAlign w:val="center"/>
            <w:hideMark/>
          </w:tcPr>
          <w:p w14:paraId="5F5C2B55" w14:textId="77777777" w:rsidR="00A74C68" w:rsidRPr="00471CBA" w:rsidRDefault="00A74C68" w:rsidP="00A74C68">
            <w:pPr>
              <w:rPr>
                <w:b/>
                <w:bCs/>
                <w:color w:val="000000"/>
                <w:sz w:val="14"/>
                <w:szCs w:val="14"/>
              </w:rPr>
            </w:pPr>
            <w:r w:rsidRPr="00471CBA">
              <w:rPr>
                <w:b/>
                <w:bCs/>
                <w:color w:val="000000"/>
                <w:sz w:val="14"/>
                <w:szCs w:val="14"/>
              </w:rPr>
              <w:t>III.</w:t>
            </w:r>
          </w:p>
        </w:tc>
        <w:tc>
          <w:tcPr>
            <w:tcW w:w="3543" w:type="dxa"/>
            <w:tcBorders>
              <w:top w:val="nil"/>
              <w:left w:val="nil"/>
              <w:bottom w:val="nil"/>
              <w:right w:val="nil"/>
            </w:tcBorders>
            <w:vAlign w:val="center"/>
            <w:hideMark/>
          </w:tcPr>
          <w:p w14:paraId="6DF74454" w14:textId="77777777" w:rsidR="00A74C68" w:rsidRPr="00471CBA" w:rsidRDefault="00A74C68" w:rsidP="00A74C68">
            <w:pPr>
              <w:rPr>
                <w:b/>
                <w:bCs/>
                <w:color w:val="000000"/>
                <w:sz w:val="14"/>
                <w:szCs w:val="14"/>
              </w:rPr>
            </w:pPr>
            <w:r w:rsidRPr="00471CBA">
              <w:rPr>
                <w:b/>
                <w:bCs/>
                <w:color w:val="000000"/>
                <w:sz w:val="14"/>
                <w:szCs w:val="14"/>
              </w:rPr>
              <w:t>Yeni Bakiye (I+II)</w:t>
            </w:r>
          </w:p>
        </w:tc>
        <w:tc>
          <w:tcPr>
            <w:tcW w:w="707" w:type="dxa"/>
            <w:tcBorders>
              <w:top w:val="nil"/>
              <w:left w:val="nil"/>
              <w:bottom w:val="nil"/>
              <w:right w:val="nil"/>
            </w:tcBorders>
            <w:vAlign w:val="center"/>
            <w:hideMark/>
          </w:tcPr>
          <w:p w14:paraId="42052C4C" w14:textId="77777777" w:rsidR="00A74C68" w:rsidRPr="00471CBA" w:rsidRDefault="00A74C68" w:rsidP="00A74C68">
            <w:pPr>
              <w:rPr>
                <w:b/>
                <w:bCs/>
                <w:color w:val="000000"/>
                <w:sz w:val="14"/>
                <w:szCs w:val="14"/>
              </w:rPr>
            </w:pPr>
          </w:p>
        </w:tc>
        <w:tc>
          <w:tcPr>
            <w:tcW w:w="777" w:type="dxa"/>
            <w:tcBorders>
              <w:top w:val="nil"/>
              <w:left w:val="nil"/>
              <w:bottom w:val="nil"/>
              <w:right w:val="nil"/>
            </w:tcBorders>
            <w:vAlign w:val="center"/>
            <w:hideMark/>
          </w:tcPr>
          <w:p w14:paraId="5B813B18" w14:textId="77777777" w:rsidR="00A74C68" w:rsidRPr="00471CBA" w:rsidRDefault="00A74C68" w:rsidP="00A74C68">
            <w:pPr>
              <w:jc w:val="right"/>
              <w:rPr>
                <w:b/>
                <w:bCs/>
                <w:color w:val="000000"/>
                <w:sz w:val="14"/>
                <w:szCs w:val="14"/>
                <w:lang w:eastAsia="tr-TR"/>
              </w:rPr>
            </w:pPr>
            <w:r w:rsidRPr="00471CBA">
              <w:rPr>
                <w:b/>
                <w:bCs/>
                <w:color w:val="000000"/>
                <w:sz w:val="14"/>
                <w:szCs w:val="14"/>
              </w:rPr>
              <w:t>99.337</w:t>
            </w:r>
          </w:p>
        </w:tc>
        <w:tc>
          <w:tcPr>
            <w:tcW w:w="709" w:type="dxa"/>
            <w:tcBorders>
              <w:top w:val="nil"/>
              <w:left w:val="nil"/>
              <w:bottom w:val="nil"/>
              <w:right w:val="nil"/>
            </w:tcBorders>
            <w:vAlign w:val="center"/>
            <w:hideMark/>
          </w:tcPr>
          <w:p w14:paraId="07C4FF9C"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08" w:type="dxa"/>
            <w:tcBorders>
              <w:top w:val="nil"/>
              <w:left w:val="nil"/>
              <w:bottom w:val="nil"/>
              <w:right w:val="nil"/>
            </w:tcBorders>
            <w:vAlign w:val="center"/>
            <w:hideMark/>
          </w:tcPr>
          <w:p w14:paraId="2B8EA8C3"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24" w:type="dxa"/>
            <w:tcBorders>
              <w:top w:val="nil"/>
              <w:left w:val="nil"/>
              <w:bottom w:val="nil"/>
              <w:right w:val="nil"/>
            </w:tcBorders>
            <w:vAlign w:val="center"/>
            <w:hideMark/>
          </w:tcPr>
          <w:p w14:paraId="1AED174F"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658" w:type="dxa"/>
            <w:tcBorders>
              <w:top w:val="nil"/>
              <w:left w:val="nil"/>
              <w:bottom w:val="nil"/>
              <w:right w:val="nil"/>
            </w:tcBorders>
            <w:vAlign w:val="center"/>
            <w:hideMark/>
          </w:tcPr>
          <w:p w14:paraId="14A3FCB5"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09" w:type="dxa"/>
            <w:tcBorders>
              <w:top w:val="nil"/>
              <w:left w:val="nil"/>
              <w:bottom w:val="nil"/>
              <w:right w:val="nil"/>
            </w:tcBorders>
            <w:vAlign w:val="center"/>
            <w:hideMark/>
          </w:tcPr>
          <w:p w14:paraId="72225869"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r w:rsidRPr="00471CBA">
              <w:rPr>
                <w:b/>
                <w:bCs/>
                <w:color w:val="000000"/>
                <w:sz w:val="14"/>
                <w:szCs w:val="14"/>
                <w:lang w:eastAsia="tr-TR"/>
              </w:rPr>
              <w:t>2.245)</w:t>
            </w:r>
          </w:p>
        </w:tc>
        <w:tc>
          <w:tcPr>
            <w:tcW w:w="641" w:type="dxa"/>
            <w:tcBorders>
              <w:top w:val="nil"/>
              <w:left w:val="nil"/>
              <w:bottom w:val="nil"/>
              <w:right w:val="nil"/>
            </w:tcBorders>
            <w:vAlign w:val="center"/>
            <w:hideMark/>
          </w:tcPr>
          <w:p w14:paraId="2AA697E0"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636" w:type="dxa"/>
            <w:tcBorders>
              <w:top w:val="nil"/>
              <w:left w:val="nil"/>
              <w:bottom w:val="nil"/>
              <w:right w:val="nil"/>
            </w:tcBorders>
            <w:vAlign w:val="center"/>
            <w:hideMark/>
          </w:tcPr>
          <w:p w14:paraId="541D3D39"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31" w:type="dxa"/>
            <w:tcBorders>
              <w:top w:val="nil"/>
              <w:left w:val="nil"/>
              <w:bottom w:val="nil"/>
              <w:right w:val="nil"/>
            </w:tcBorders>
            <w:vAlign w:val="center"/>
            <w:hideMark/>
          </w:tcPr>
          <w:p w14:paraId="00C28D2D"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15" w:type="dxa"/>
            <w:tcBorders>
              <w:top w:val="nil"/>
              <w:left w:val="nil"/>
              <w:bottom w:val="nil"/>
              <w:right w:val="nil"/>
            </w:tcBorders>
            <w:vAlign w:val="center"/>
            <w:hideMark/>
          </w:tcPr>
          <w:p w14:paraId="42AEA62E"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24" w:type="dxa"/>
            <w:tcBorders>
              <w:top w:val="nil"/>
              <w:left w:val="nil"/>
              <w:bottom w:val="nil"/>
              <w:right w:val="nil"/>
            </w:tcBorders>
            <w:vAlign w:val="center"/>
            <w:hideMark/>
          </w:tcPr>
          <w:p w14:paraId="4129FA58"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09" w:type="dxa"/>
            <w:tcBorders>
              <w:top w:val="nil"/>
              <w:left w:val="nil"/>
              <w:bottom w:val="nil"/>
              <w:right w:val="nil"/>
            </w:tcBorders>
            <w:vAlign w:val="center"/>
            <w:hideMark/>
          </w:tcPr>
          <w:p w14:paraId="0275D9CA"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r w:rsidRPr="00471CBA">
              <w:rPr>
                <w:b/>
                <w:bCs/>
                <w:color w:val="000000"/>
                <w:sz w:val="14"/>
                <w:szCs w:val="14"/>
                <w:lang w:eastAsia="tr-TR"/>
              </w:rPr>
              <w:t>21.140)</w:t>
            </w:r>
          </w:p>
        </w:tc>
        <w:tc>
          <w:tcPr>
            <w:tcW w:w="971" w:type="dxa"/>
            <w:tcBorders>
              <w:top w:val="nil"/>
              <w:left w:val="nil"/>
              <w:bottom w:val="nil"/>
              <w:right w:val="nil"/>
            </w:tcBorders>
            <w:vAlign w:val="center"/>
            <w:hideMark/>
          </w:tcPr>
          <w:p w14:paraId="7E30C95C" w14:textId="77777777" w:rsidR="00A74C68" w:rsidRPr="00471CBA" w:rsidRDefault="00A74C68" w:rsidP="00A74C68">
            <w:pPr>
              <w:jc w:val="right"/>
              <w:rPr>
                <w:b/>
                <w:bCs/>
                <w:color w:val="000000"/>
                <w:sz w:val="14"/>
                <w:szCs w:val="14"/>
                <w:lang w:eastAsia="tr-TR"/>
              </w:rPr>
            </w:pPr>
            <w:r w:rsidRPr="00471CBA">
              <w:rPr>
                <w:b/>
                <w:bCs/>
                <w:color w:val="000000"/>
                <w:sz w:val="14"/>
                <w:szCs w:val="14"/>
              </w:rPr>
              <w:t>8.092</w:t>
            </w:r>
          </w:p>
        </w:tc>
        <w:tc>
          <w:tcPr>
            <w:tcW w:w="952" w:type="dxa"/>
            <w:tcBorders>
              <w:top w:val="nil"/>
              <w:left w:val="nil"/>
              <w:bottom w:val="nil"/>
              <w:right w:val="single" w:sz="4" w:space="0" w:color="auto"/>
            </w:tcBorders>
            <w:vAlign w:val="center"/>
            <w:hideMark/>
          </w:tcPr>
          <w:p w14:paraId="30A9CA5B" w14:textId="77777777" w:rsidR="00A74C68" w:rsidRPr="00471CBA" w:rsidRDefault="00A74C68" w:rsidP="00A74C68">
            <w:pPr>
              <w:jc w:val="right"/>
              <w:rPr>
                <w:b/>
                <w:bCs/>
                <w:color w:val="000000"/>
                <w:sz w:val="14"/>
                <w:szCs w:val="14"/>
              </w:rPr>
            </w:pPr>
            <w:r w:rsidRPr="00471CBA">
              <w:rPr>
                <w:b/>
                <w:bCs/>
                <w:color w:val="000000"/>
                <w:sz w:val="14"/>
                <w:szCs w:val="14"/>
              </w:rPr>
              <w:t>84.044</w:t>
            </w:r>
          </w:p>
        </w:tc>
      </w:tr>
      <w:tr w:rsidR="00A74C68" w:rsidRPr="00471CBA" w14:paraId="52CF86C5" w14:textId="77777777" w:rsidTr="00A74C68">
        <w:trPr>
          <w:divId w:val="2141610945"/>
          <w:trHeight w:val="113"/>
        </w:trPr>
        <w:tc>
          <w:tcPr>
            <w:tcW w:w="563" w:type="dxa"/>
            <w:tcBorders>
              <w:top w:val="nil"/>
              <w:left w:val="single" w:sz="4" w:space="0" w:color="auto"/>
              <w:bottom w:val="nil"/>
              <w:right w:val="nil"/>
            </w:tcBorders>
            <w:vAlign w:val="center"/>
            <w:hideMark/>
          </w:tcPr>
          <w:p w14:paraId="27DBACE7" w14:textId="77777777" w:rsidR="00A74C68" w:rsidRPr="00471CBA" w:rsidRDefault="00A74C68" w:rsidP="00A74C68">
            <w:pPr>
              <w:rPr>
                <w:b/>
                <w:bCs/>
                <w:color w:val="000000"/>
                <w:sz w:val="14"/>
                <w:szCs w:val="14"/>
              </w:rPr>
            </w:pPr>
            <w:r w:rsidRPr="00471CBA">
              <w:rPr>
                <w:b/>
                <w:bCs/>
                <w:color w:val="000000"/>
                <w:sz w:val="14"/>
                <w:szCs w:val="14"/>
              </w:rPr>
              <w:t>IV.</w:t>
            </w:r>
          </w:p>
        </w:tc>
        <w:tc>
          <w:tcPr>
            <w:tcW w:w="3543" w:type="dxa"/>
            <w:tcBorders>
              <w:top w:val="nil"/>
              <w:left w:val="nil"/>
              <w:bottom w:val="nil"/>
              <w:right w:val="nil"/>
            </w:tcBorders>
            <w:vAlign w:val="center"/>
            <w:hideMark/>
          </w:tcPr>
          <w:p w14:paraId="3184CF7E" w14:textId="77777777" w:rsidR="00A74C68" w:rsidRPr="00471CBA" w:rsidRDefault="00A74C68" w:rsidP="00A74C68">
            <w:pPr>
              <w:rPr>
                <w:b/>
                <w:bCs/>
                <w:color w:val="000000"/>
                <w:sz w:val="14"/>
                <w:szCs w:val="14"/>
              </w:rPr>
            </w:pPr>
            <w:r w:rsidRPr="00471CBA">
              <w:rPr>
                <w:b/>
                <w:bCs/>
                <w:color w:val="000000"/>
                <w:sz w:val="14"/>
                <w:szCs w:val="14"/>
              </w:rPr>
              <w:t>Toplam Kapsamlı Gelir</w:t>
            </w:r>
          </w:p>
        </w:tc>
        <w:tc>
          <w:tcPr>
            <w:tcW w:w="707" w:type="dxa"/>
            <w:tcBorders>
              <w:top w:val="nil"/>
              <w:left w:val="nil"/>
              <w:bottom w:val="nil"/>
              <w:right w:val="nil"/>
            </w:tcBorders>
            <w:vAlign w:val="center"/>
            <w:hideMark/>
          </w:tcPr>
          <w:p w14:paraId="4F18E9BE" w14:textId="77777777" w:rsidR="00A74C68" w:rsidRPr="00471CBA" w:rsidRDefault="00A74C68" w:rsidP="00A74C68">
            <w:pPr>
              <w:rPr>
                <w:b/>
                <w:bCs/>
                <w:color w:val="000000"/>
                <w:sz w:val="14"/>
                <w:szCs w:val="14"/>
              </w:rPr>
            </w:pPr>
          </w:p>
        </w:tc>
        <w:tc>
          <w:tcPr>
            <w:tcW w:w="777" w:type="dxa"/>
            <w:tcBorders>
              <w:top w:val="nil"/>
              <w:left w:val="nil"/>
              <w:bottom w:val="nil"/>
              <w:right w:val="nil"/>
            </w:tcBorders>
            <w:vAlign w:val="center"/>
            <w:hideMark/>
          </w:tcPr>
          <w:p w14:paraId="09CBF71E"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09" w:type="dxa"/>
            <w:tcBorders>
              <w:top w:val="nil"/>
              <w:left w:val="nil"/>
              <w:bottom w:val="nil"/>
              <w:right w:val="nil"/>
            </w:tcBorders>
            <w:vAlign w:val="center"/>
            <w:hideMark/>
          </w:tcPr>
          <w:p w14:paraId="70D3EC3F"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08" w:type="dxa"/>
            <w:tcBorders>
              <w:top w:val="nil"/>
              <w:left w:val="nil"/>
              <w:bottom w:val="nil"/>
              <w:right w:val="nil"/>
            </w:tcBorders>
            <w:vAlign w:val="center"/>
            <w:hideMark/>
          </w:tcPr>
          <w:p w14:paraId="0D1B2F7D"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24" w:type="dxa"/>
            <w:tcBorders>
              <w:top w:val="nil"/>
              <w:left w:val="nil"/>
              <w:bottom w:val="nil"/>
              <w:right w:val="nil"/>
            </w:tcBorders>
            <w:vAlign w:val="center"/>
            <w:hideMark/>
          </w:tcPr>
          <w:p w14:paraId="66F998F6"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658" w:type="dxa"/>
            <w:tcBorders>
              <w:top w:val="nil"/>
              <w:left w:val="nil"/>
              <w:bottom w:val="nil"/>
              <w:right w:val="nil"/>
            </w:tcBorders>
            <w:vAlign w:val="center"/>
            <w:hideMark/>
          </w:tcPr>
          <w:p w14:paraId="106E0B4F"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09" w:type="dxa"/>
            <w:tcBorders>
              <w:top w:val="nil"/>
              <w:left w:val="nil"/>
              <w:bottom w:val="nil"/>
              <w:right w:val="nil"/>
            </w:tcBorders>
            <w:vAlign w:val="center"/>
            <w:hideMark/>
          </w:tcPr>
          <w:p w14:paraId="68B4856D"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r w:rsidRPr="00471CBA">
              <w:rPr>
                <w:b/>
                <w:bCs/>
                <w:color w:val="000000"/>
                <w:sz w:val="14"/>
                <w:szCs w:val="14"/>
                <w:lang w:eastAsia="tr-TR"/>
              </w:rPr>
              <w:t>3.899)</w:t>
            </w:r>
          </w:p>
        </w:tc>
        <w:tc>
          <w:tcPr>
            <w:tcW w:w="641" w:type="dxa"/>
            <w:tcBorders>
              <w:top w:val="nil"/>
              <w:left w:val="nil"/>
              <w:bottom w:val="nil"/>
              <w:right w:val="nil"/>
            </w:tcBorders>
            <w:vAlign w:val="center"/>
            <w:hideMark/>
          </w:tcPr>
          <w:p w14:paraId="706F9B7C"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636" w:type="dxa"/>
            <w:tcBorders>
              <w:top w:val="nil"/>
              <w:left w:val="nil"/>
              <w:bottom w:val="nil"/>
              <w:right w:val="nil"/>
            </w:tcBorders>
            <w:vAlign w:val="center"/>
            <w:hideMark/>
          </w:tcPr>
          <w:p w14:paraId="04ACCBAD"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31" w:type="dxa"/>
            <w:tcBorders>
              <w:top w:val="nil"/>
              <w:left w:val="nil"/>
              <w:bottom w:val="nil"/>
              <w:right w:val="nil"/>
            </w:tcBorders>
            <w:vAlign w:val="center"/>
            <w:hideMark/>
          </w:tcPr>
          <w:p w14:paraId="740E676A" w14:textId="77777777" w:rsidR="00A74C68" w:rsidRPr="00471CBA" w:rsidRDefault="00A74C68" w:rsidP="00A74C68">
            <w:pPr>
              <w:jc w:val="right"/>
              <w:rPr>
                <w:b/>
                <w:bCs/>
                <w:color w:val="000000"/>
                <w:sz w:val="14"/>
                <w:szCs w:val="14"/>
                <w:lang w:eastAsia="tr-TR"/>
              </w:rPr>
            </w:pPr>
            <w:r w:rsidRPr="00471CBA">
              <w:rPr>
                <w:b/>
                <w:bCs/>
                <w:color w:val="000000"/>
                <w:sz w:val="14"/>
                <w:szCs w:val="14"/>
              </w:rPr>
              <w:t>8.303</w:t>
            </w:r>
          </w:p>
        </w:tc>
        <w:tc>
          <w:tcPr>
            <w:tcW w:w="715" w:type="dxa"/>
            <w:tcBorders>
              <w:top w:val="nil"/>
              <w:left w:val="nil"/>
              <w:bottom w:val="nil"/>
              <w:right w:val="nil"/>
            </w:tcBorders>
            <w:vAlign w:val="center"/>
            <w:hideMark/>
          </w:tcPr>
          <w:p w14:paraId="67A236DB" w14:textId="77777777" w:rsidR="00A74C68" w:rsidRPr="00471CBA" w:rsidRDefault="00A74C68" w:rsidP="00A74C68">
            <w:pPr>
              <w:jc w:val="right"/>
              <w:rPr>
                <w:b/>
                <w:bCs/>
                <w:color w:val="000000"/>
                <w:sz w:val="14"/>
                <w:szCs w:val="14"/>
                <w:lang w:eastAsia="tr-TR"/>
              </w:rPr>
            </w:pPr>
            <w:r w:rsidRPr="00471CBA">
              <w:rPr>
                <w:color w:val="000000"/>
                <w:sz w:val="14"/>
                <w:szCs w:val="14"/>
              </w:rPr>
              <w:t>-</w:t>
            </w:r>
          </w:p>
        </w:tc>
        <w:tc>
          <w:tcPr>
            <w:tcW w:w="724" w:type="dxa"/>
            <w:tcBorders>
              <w:top w:val="nil"/>
              <w:left w:val="nil"/>
              <w:bottom w:val="nil"/>
              <w:right w:val="nil"/>
            </w:tcBorders>
            <w:vAlign w:val="center"/>
            <w:hideMark/>
          </w:tcPr>
          <w:p w14:paraId="551F5862" w14:textId="77777777" w:rsidR="00A74C68" w:rsidRPr="00471CBA" w:rsidRDefault="00A74C68" w:rsidP="00A74C68">
            <w:pPr>
              <w:jc w:val="right"/>
              <w:rPr>
                <w:b/>
                <w:bCs/>
                <w:color w:val="000000"/>
                <w:sz w:val="14"/>
                <w:szCs w:val="14"/>
                <w:lang w:eastAsia="tr-TR"/>
              </w:rPr>
            </w:pPr>
            <w:r w:rsidRPr="00471CBA">
              <w:rPr>
                <w:color w:val="000000"/>
                <w:sz w:val="14"/>
                <w:szCs w:val="14"/>
              </w:rPr>
              <w:t>-</w:t>
            </w:r>
          </w:p>
        </w:tc>
        <w:tc>
          <w:tcPr>
            <w:tcW w:w="709" w:type="dxa"/>
            <w:tcBorders>
              <w:top w:val="nil"/>
              <w:left w:val="nil"/>
              <w:bottom w:val="nil"/>
              <w:right w:val="nil"/>
            </w:tcBorders>
            <w:vAlign w:val="center"/>
            <w:hideMark/>
          </w:tcPr>
          <w:p w14:paraId="2E8E85DD" w14:textId="77777777" w:rsidR="00A74C68" w:rsidRPr="00471CBA" w:rsidRDefault="00A74C68" w:rsidP="00A74C68">
            <w:pPr>
              <w:jc w:val="right"/>
              <w:rPr>
                <w:b/>
                <w:bCs/>
                <w:color w:val="000000"/>
                <w:sz w:val="14"/>
                <w:szCs w:val="14"/>
                <w:lang w:eastAsia="tr-TR"/>
              </w:rPr>
            </w:pPr>
            <w:r w:rsidRPr="00471CBA">
              <w:rPr>
                <w:color w:val="000000"/>
                <w:sz w:val="14"/>
                <w:szCs w:val="14"/>
              </w:rPr>
              <w:t>-</w:t>
            </w:r>
          </w:p>
        </w:tc>
        <w:tc>
          <w:tcPr>
            <w:tcW w:w="971" w:type="dxa"/>
            <w:tcBorders>
              <w:top w:val="nil"/>
              <w:left w:val="nil"/>
              <w:bottom w:val="nil"/>
              <w:right w:val="nil"/>
            </w:tcBorders>
            <w:vAlign w:val="center"/>
            <w:hideMark/>
          </w:tcPr>
          <w:p w14:paraId="2CB23618" w14:textId="77777777" w:rsidR="00A74C68" w:rsidRPr="00471CBA" w:rsidRDefault="00A74C68" w:rsidP="00A74C68">
            <w:pPr>
              <w:jc w:val="right"/>
              <w:rPr>
                <w:b/>
                <w:bCs/>
                <w:color w:val="000000"/>
                <w:sz w:val="14"/>
                <w:szCs w:val="14"/>
                <w:lang w:eastAsia="tr-TR"/>
              </w:rPr>
            </w:pPr>
            <w:r w:rsidRPr="00471CBA">
              <w:rPr>
                <w:b/>
                <w:bCs/>
                <w:color w:val="000000"/>
                <w:sz w:val="14"/>
                <w:szCs w:val="14"/>
              </w:rPr>
              <w:t>1.353.642</w:t>
            </w:r>
          </w:p>
        </w:tc>
        <w:tc>
          <w:tcPr>
            <w:tcW w:w="952" w:type="dxa"/>
            <w:tcBorders>
              <w:top w:val="nil"/>
              <w:left w:val="nil"/>
              <w:bottom w:val="nil"/>
              <w:right w:val="single" w:sz="4" w:space="0" w:color="auto"/>
            </w:tcBorders>
            <w:vAlign w:val="center"/>
            <w:hideMark/>
          </w:tcPr>
          <w:p w14:paraId="4BD20325" w14:textId="77777777" w:rsidR="00A74C68" w:rsidRPr="00471CBA" w:rsidRDefault="00A74C68" w:rsidP="00A74C68">
            <w:pPr>
              <w:jc w:val="right"/>
              <w:rPr>
                <w:b/>
                <w:bCs/>
                <w:color w:val="000000"/>
                <w:sz w:val="14"/>
                <w:szCs w:val="14"/>
              </w:rPr>
            </w:pPr>
            <w:r w:rsidRPr="00471CBA">
              <w:rPr>
                <w:b/>
                <w:bCs/>
                <w:color w:val="000000"/>
                <w:sz w:val="14"/>
                <w:szCs w:val="14"/>
              </w:rPr>
              <w:t>1.358.046</w:t>
            </w:r>
          </w:p>
        </w:tc>
      </w:tr>
      <w:tr w:rsidR="00A74C68" w:rsidRPr="00471CBA" w14:paraId="4A3F36BA" w14:textId="77777777" w:rsidTr="00A74C68">
        <w:trPr>
          <w:divId w:val="2141610945"/>
          <w:trHeight w:val="113"/>
        </w:trPr>
        <w:tc>
          <w:tcPr>
            <w:tcW w:w="563" w:type="dxa"/>
            <w:tcBorders>
              <w:top w:val="nil"/>
              <w:left w:val="single" w:sz="4" w:space="0" w:color="auto"/>
              <w:bottom w:val="nil"/>
              <w:right w:val="nil"/>
            </w:tcBorders>
            <w:vAlign w:val="center"/>
            <w:hideMark/>
          </w:tcPr>
          <w:p w14:paraId="7E7215B8" w14:textId="77777777" w:rsidR="00A74C68" w:rsidRPr="00471CBA" w:rsidRDefault="00A74C68" w:rsidP="00A74C68">
            <w:pPr>
              <w:rPr>
                <w:b/>
                <w:bCs/>
                <w:color w:val="000000"/>
                <w:sz w:val="14"/>
                <w:szCs w:val="14"/>
              </w:rPr>
            </w:pPr>
            <w:r w:rsidRPr="00471CBA">
              <w:rPr>
                <w:b/>
                <w:bCs/>
                <w:color w:val="000000"/>
                <w:sz w:val="14"/>
                <w:szCs w:val="14"/>
              </w:rPr>
              <w:t>V.</w:t>
            </w:r>
          </w:p>
        </w:tc>
        <w:tc>
          <w:tcPr>
            <w:tcW w:w="3543" w:type="dxa"/>
            <w:tcBorders>
              <w:top w:val="nil"/>
              <w:left w:val="nil"/>
              <w:bottom w:val="nil"/>
              <w:right w:val="nil"/>
            </w:tcBorders>
            <w:vAlign w:val="center"/>
            <w:hideMark/>
          </w:tcPr>
          <w:p w14:paraId="79B83218" w14:textId="77777777" w:rsidR="00A74C68" w:rsidRPr="00471CBA" w:rsidRDefault="00A74C68" w:rsidP="00A74C68">
            <w:pPr>
              <w:rPr>
                <w:b/>
                <w:bCs/>
                <w:color w:val="000000"/>
                <w:sz w:val="14"/>
                <w:szCs w:val="14"/>
              </w:rPr>
            </w:pPr>
            <w:r w:rsidRPr="00471CBA">
              <w:rPr>
                <w:b/>
                <w:bCs/>
                <w:color w:val="000000"/>
                <w:sz w:val="14"/>
                <w:szCs w:val="14"/>
              </w:rPr>
              <w:t>Nakden Gerçekleştirilen Sermaye Artırımı</w:t>
            </w:r>
          </w:p>
        </w:tc>
        <w:tc>
          <w:tcPr>
            <w:tcW w:w="707" w:type="dxa"/>
            <w:tcBorders>
              <w:top w:val="nil"/>
              <w:left w:val="nil"/>
              <w:bottom w:val="nil"/>
              <w:right w:val="nil"/>
            </w:tcBorders>
            <w:vAlign w:val="center"/>
            <w:hideMark/>
          </w:tcPr>
          <w:p w14:paraId="2A66C578" w14:textId="77777777" w:rsidR="00A74C68" w:rsidRPr="00471CBA" w:rsidRDefault="00A74C68" w:rsidP="00A74C68">
            <w:pPr>
              <w:rPr>
                <w:b/>
                <w:bCs/>
                <w:color w:val="000000"/>
                <w:sz w:val="14"/>
                <w:szCs w:val="14"/>
              </w:rPr>
            </w:pPr>
          </w:p>
        </w:tc>
        <w:tc>
          <w:tcPr>
            <w:tcW w:w="777" w:type="dxa"/>
            <w:tcBorders>
              <w:top w:val="nil"/>
              <w:left w:val="nil"/>
              <w:bottom w:val="nil"/>
              <w:right w:val="nil"/>
            </w:tcBorders>
            <w:vAlign w:val="center"/>
            <w:hideMark/>
          </w:tcPr>
          <w:p w14:paraId="43B26516" w14:textId="77777777" w:rsidR="00A74C68" w:rsidRPr="00471CBA" w:rsidRDefault="00A74C68" w:rsidP="00A74C68">
            <w:pPr>
              <w:jc w:val="right"/>
              <w:rPr>
                <w:b/>
                <w:bCs/>
                <w:color w:val="000000"/>
                <w:sz w:val="14"/>
                <w:szCs w:val="14"/>
                <w:lang w:eastAsia="tr-TR"/>
              </w:rPr>
            </w:pPr>
            <w:r w:rsidRPr="00471CBA">
              <w:rPr>
                <w:b/>
                <w:bCs/>
                <w:color w:val="000000"/>
                <w:sz w:val="14"/>
                <w:szCs w:val="14"/>
              </w:rPr>
              <w:t>5.900.000</w:t>
            </w:r>
          </w:p>
        </w:tc>
        <w:tc>
          <w:tcPr>
            <w:tcW w:w="709" w:type="dxa"/>
            <w:tcBorders>
              <w:top w:val="nil"/>
              <w:left w:val="nil"/>
              <w:bottom w:val="nil"/>
              <w:right w:val="nil"/>
            </w:tcBorders>
            <w:vAlign w:val="center"/>
            <w:hideMark/>
          </w:tcPr>
          <w:p w14:paraId="2DDCC453"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08" w:type="dxa"/>
            <w:tcBorders>
              <w:top w:val="nil"/>
              <w:left w:val="nil"/>
              <w:bottom w:val="nil"/>
              <w:right w:val="nil"/>
            </w:tcBorders>
            <w:vAlign w:val="center"/>
            <w:hideMark/>
          </w:tcPr>
          <w:p w14:paraId="09647AFF"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24" w:type="dxa"/>
            <w:tcBorders>
              <w:top w:val="nil"/>
              <w:left w:val="nil"/>
              <w:bottom w:val="nil"/>
              <w:right w:val="nil"/>
            </w:tcBorders>
            <w:vAlign w:val="center"/>
            <w:hideMark/>
          </w:tcPr>
          <w:p w14:paraId="6ECF501E"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658" w:type="dxa"/>
            <w:tcBorders>
              <w:top w:val="nil"/>
              <w:left w:val="nil"/>
              <w:bottom w:val="nil"/>
              <w:right w:val="nil"/>
            </w:tcBorders>
            <w:vAlign w:val="center"/>
            <w:hideMark/>
          </w:tcPr>
          <w:p w14:paraId="224173AE"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09" w:type="dxa"/>
            <w:tcBorders>
              <w:top w:val="nil"/>
              <w:left w:val="nil"/>
              <w:bottom w:val="nil"/>
              <w:right w:val="nil"/>
            </w:tcBorders>
            <w:vAlign w:val="center"/>
            <w:hideMark/>
          </w:tcPr>
          <w:p w14:paraId="43FF9987"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641" w:type="dxa"/>
            <w:tcBorders>
              <w:top w:val="nil"/>
              <w:left w:val="nil"/>
              <w:bottom w:val="nil"/>
              <w:right w:val="nil"/>
            </w:tcBorders>
            <w:vAlign w:val="center"/>
            <w:hideMark/>
          </w:tcPr>
          <w:p w14:paraId="3FB1962D"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636" w:type="dxa"/>
            <w:tcBorders>
              <w:top w:val="nil"/>
              <w:left w:val="nil"/>
              <w:bottom w:val="nil"/>
              <w:right w:val="nil"/>
            </w:tcBorders>
            <w:vAlign w:val="center"/>
            <w:hideMark/>
          </w:tcPr>
          <w:p w14:paraId="1ADB16CA"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31" w:type="dxa"/>
            <w:tcBorders>
              <w:top w:val="nil"/>
              <w:left w:val="nil"/>
              <w:bottom w:val="nil"/>
              <w:right w:val="nil"/>
            </w:tcBorders>
            <w:vAlign w:val="center"/>
            <w:hideMark/>
          </w:tcPr>
          <w:p w14:paraId="62060013"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15" w:type="dxa"/>
            <w:tcBorders>
              <w:top w:val="nil"/>
              <w:left w:val="nil"/>
              <w:bottom w:val="nil"/>
              <w:right w:val="nil"/>
            </w:tcBorders>
            <w:vAlign w:val="center"/>
            <w:hideMark/>
          </w:tcPr>
          <w:p w14:paraId="1B3DB7B0"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24" w:type="dxa"/>
            <w:tcBorders>
              <w:top w:val="nil"/>
              <w:left w:val="nil"/>
              <w:bottom w:val="nil"/>
              <w:right w:val="nil"/>
            </w:tcBorders>
            <w:vAlign w:val="center"/>
            <w:hideMark/>
          </w:tcPr>
          <w:p w14:paraId="29BCAC29"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09" w:type="dxa"/>
            <w:tcBorders>
              <w:top w:val="nil"/>
              <w:left w:val="nil"/>
              <w:bottom w:val="nil"/>
              <w:right w:val="nil"/>
            </w:tcBorders>
            <w:vAlign w:val="center"/>
            <w:hideMark/>
          </w:tcPr>
          <w:p w14:paraId="462576D6"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971" w:type="dxa"/>
            <w:tcBorders>
              <w:top w:val="nil"/>
              <w:left w:val="nil"/>
              <w:bottom w:val="nil"/>
              <w:right w:val="nil"/>
            </w:tcBorders>
            <w:vAlign w:val="center"/>
            <w:hideMark/>
          </w:tcPr>
          <w:p w14:paraId="264CD6B2"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952" w:type="dxa"/>
            <w:tcBorders>
              <w:top w:val="nil"/>
              <w:left w:val="nil"/>
              <w:bottom w:val="nil"/>
              <w:right w:val="single" w:sz="4" w:space="0" w:color="auto"/>
            </w:tcBorders>
            <w:vAlign w:val="center"/>
            <w:hideMark/>
          </w:tcPr>
          <w:p w14:paraId="6CD5342B" w14:textId="77777777" w:rsidR="00A74C68" w:rsidRPr="00471CBA" w:rsidRDefault="00A74C68" w:rsidP="00A74C68">
            <w:pPr>
              <w:jc w:val="right"/>
              <w:rPr>
                <w:b/>
                <w:bCs/>
                <w:color w:val="000000"/>
                <w:sz w:val="14"/>
                <w:szCs w:val="14"/>
              </w:rPr>
            </w:pPr>
            <w:r w:rsidRPr="00471CBA">
              <w:rPr>
                <w:b/>
                <w:bCs/>
                <w:color w:val="000000"/>
                <w:sz w:val="14"/>
                <w:szCs w:val="14"/>
              </w:rPr>
              <w:t>5.900.000</w:t>
            </w:r>
          </w:p>
        </w:tc>
      </w:tr>
      <w:tr w:rsidR="00A74C68" w:rsidRPr="00471CBA" w14:paraId="0771B935" w14:textId="77777777" w:rsidTr="00A74C68">
        <w:trPr>
          <w:divId w:val="2141610945"/>
          <w:trHeight w:val="113"/>
        </w:trPr>
        <w:tc>
          <w:tcPr>
            <w:tcW w:w="563" w:type="dxa"/>
            <w:tcBorders>
              <w:top w:val="nil"/>
              <w:left w:val="single" w:sz="4" w:space="0" w:color="auto"/>
              <w:bottom w:val="nil"/>
              <w:right w:val="nil"/>
            </w:tcBorders>
            <w:vAlign w:val="center"/>
            <w:hideMark/>
          </w:tcPr>
          <w:p w14:paraId="762366FE" w14:textId="77777777" w:rsidR="00A74C68" w:rsidRPr="00471CBA" w:rsidRDefault="00A74C68" w:rsidP="00A74C68">
            <w:pPr>
              <w:rPr>
                <w:b/>
                <w:bCs/>
                <w:color w:val="000000"/>
                <w:sz w:val="14"/>
                <w:szCs w:val="14"/>
              </w:rPr>
            </w:pPr>
            <w:r w:rsidRPr="00471CBA">
              <w:rPr>
                <w:b/>
                <w:bCs/>
                <w:color w:val="000000"/>
                <w:sz w:val="14"/>
                <w:szCs w:val="14"/>
              </w:rPr>
              <w:t>VI.</w:t>
            </w:r>
          </w:p>
        </w:tc>
        <w:tc>
          <w:tcPr>
            <w:tcW w:w="3543" w:type="dxa"/>
            <w:tcBorders>
              <w:top w:val="nil"/>
              <w:left w:val="nil"/>
              <w:bottom w:val="nil"/>
              <w:right w:val="nil"/>
            </w:tcBorders>
            <w:vAlign w:val="center"/>
            <w:hideMark/>
          </w:tcPr>
          <w:p w14:paraId="47330DEB" w14:textId="77777777" w:rsidR="00A74C68" w:rsidRPr="00471CBA" w:rsidRDefault="00A74C68" w:rsidP="00A74C68">
            <w:pPr>
              <w:rPr>
                <w:b/>
                <w:bCs/>
                <w:color w:val="000000"/>
                <w:sz w:val="14"/>
                <w:szCs w:val="14"/>
              </w:rPr>
            </w:pPr>
            <w:r w:rsidRPr="00471CBA">
              <w:rPr>
                <w:b/>
                <w:bCs/>
                <w:color w:val="000000"/>
                <w:sz w:val="14"/>
                <w:szCs w:val="14"/>
              </w:rPr>
              <w:t>İç Kaynaklardan Gerçekleştirilen Sermaye Artırımı</w:t>
            </w:r>
          </w:p>
        </w:tc>
        <w:tc>
          <w:tcPr>
            <w:tcW w:w="707" w:type="dxa"/>
            <w:tcBorders>
              <w:top w:val="nil"/>
              <w:left w:val="nil"/>
              <w:bottom w:val="nil"/>
              <w:right w:val="nil"/>
            </w:tcBorders>
            <w:vAlign w:val="center"/>
            <w:hideMark/>
          </w:tcPr>
          <w:p w14:paraId="0CA9BCBA" w14:textId="77777777" w:rsidR="00A74C68" w:rsidRPr="00471CBA" w:rsidRDefault="00A74C68" w:rsidP="00A74C68">
            <w:pPr>
              <w:rPr>
                <w:b/>
                <w:bCs/>
                <w:color w:val="000000"/>
                <w:sz w:val="14"/>
                <w:szCs w:val="14"/>
              </w:rPr>
            </w:pPr>
          </w:p>
        </w:tc>
        <w:tc>
          <w:tcPr>
            <w:tcW w:w="777" w:type="dxa"/>
            <w:tcBorders>
              <w:top w:val="nil"/>
              <w:left w:val="nil"/>
              <w:bottom w:val="nil"/>
              <w:right w:val="nil"/>
            </w:tcBorders>
            <w:vAlign w:val="center"/>
            <w:hideMark/>
          </w:tcPr>
          <w:p w14:paraId="66B9E291"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09" w:type="dxa"/>
            <w:tcBorders>
              <w:top w:val="nil"/>
              <w:left w:val="nil"/>
              <w:bottom w:val="nil"/>
              <w:right w:val="nil"/>
            </w:tcBorders>
            <w:vAlign w:val="center"/>
            <w:hideMark/>
          </w:tcPr>
          <w:p w14:paraId="0435BAF5"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08" w:type="dxa"/>
            <w:tcBorders>
              <w:top w:val="nil"/>
              <w:left w:val="nil"/>
              <w:bottom w:val="nil"/>
              <w:right w:val="nil"/>
            </w:tcBorders>
            <w:vAlign w:val="center"/>
            <w:hideMark/>
          </w:tcPr>
          <w:p w14:paraId="1C51FA29"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24" w:type="dxa"/>
            <w:tcBorders>
              <w:top w:val="nil"/>
              <w:left w:val="nil"/>
              <w:bottom w:val="nil"/>
              <w:right w:val="nil"/>
            </w:tcBorders>
            <w:vAlign w:val="center"/>
            <w:hideMark/>
          </w:tcPr>
          <w:p w14:paraId="0FF6B05E"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658" w:type="dxa"/>
            <w:tcBorders>
              <w:top w:val="nil"/>
              <w:left w:val="nil"/>
              <w:bottom w:val="nil"/>
              <w:right w:val="nil"/>
            </w:tcBorders>
            <w:vAlign w:val="center"/>
            <w:hideMark/>
          </w:tcPr>
          <w:p w14:paraId="05D8C5D7"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09" w:type="dxa"/>
            <w:tcBorders>
              <w:top w:val="nil"/>
              <w:left w:val="nil"/>
              <w:bottom w:val="nil"/>
              <w:right w:val="nil"/>
            </w:tcBorders>
            <w:vAlign w:val="center"/>
            <w:hideMark/>
          </w:tcPr>
          <w:p w14:paraId="682A8BB7"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641" w:type="dxa"/>
            <w:tcBorders>
              <w:top w:val="nil"/>
              <w:left w:val="nil"/>
              <w:bottom w:val="nil"/>
              <w:right w:val="nil"/>
            </w:tcBorders>
            <w:vAlign w:val="center"/>
            <w:hideMark/>
          </w:tcPr>
          <w:p w14:paraId="433ED7AD"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636" w:type="dxa"/>
            <w:tcBorders>
              <w:top w:val="nil"/>
              <w:left w:val="nil"/>
              <w:bottom w:val="nil"/>
              <w:right w:val="nil"/>
            </w:tcBorders>
            <w:vAlign w:val="center"/>
            <w:hideMark/>
          </w:tcPr>
          <w:p w14:paraId="5CE4ECC6"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31" w:type="dxa"/>
            <w:tcBorders>
              <w:top w:val="nil"/>
              <w:left w:val="nil"/>
              <w:bottom w:val="nil"/>
              <w:right w:val="nil"/>
            </w:tcBorders>
            <w:vAlign w:val="center"/>
            <w:hideMark/>
          </w:tcPr>
          <w:p w14:paraId="555C5B78"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15" w:type="dxa"/>
            <w:tcBorders>
              <w:top w:val="nil"/>
              <w:left w:val="nil"/>
              <w:bottom w:val="nil"/>
              <w:right w:val="nil"/>
            </w:tcBorders>
            <w:vAlign w:val="center"/>
            <w:hideMark/>
          </w:tcPr>
          <w:p w14:paraId="532DE7E1"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24" w:type="dxa"/>
            <w:tcBorders>
              <w:top w:val="nil"/>
              <w:left w:val="nil"/>
              <w:bottom w:val="nil"/>
              <w:right w:val="nil"/>
            </w:tcBorders>
            <w:vAlign w:val="center"/>
            <w:hideMark/>
          </w:tcPr>
          <w:p w14:paraId="2325820D"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09" w:type="dxa"/>
            <w:tcBorders>
              <w:top w:val="nil"/>
              <w:left w:val="nil"/>
              <w:bottom w:val="nil"/>
              <w:right w:val="nil"/>
            </w:tcBorders>
            <w:vAlign w:val="center"/>
            <w:hideMark/>
          </w:tcPr>
          <w:p w14:paraId="70FAE1FE"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971" w:type="dxa"/>
            <w:tcBorders>
              <w:top w:val="nil"/>
              <w:left w:val="nil"/>
              <w:bottom w:val="nil"/>
              <w:right w:val="single" w:sz="4" w:space="0" w:color="auto"/>
            </w:tcBorders>
            <w:vAlign w:val="center"/>
            <w:hideMark/>
          </w:tcPr>
          <w:p w14:paraId="63BCD318"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952" w:type="dxa"/>
            <w:tcBorders>
              <w:top w:val="nil"/>
              <w:left w:val="nil"/>
              <w:bottom w:val="nil"/>
              <w:right w:val="single" w:sz="4" w:space="0" w:color="auto"/>
            </w:tcBorders>
            <w:vAlign w:val="center"/>
            <w:hideMark/>
          </w:tcPr>
          <w:p w14:paraId="5DFB2971" w14:textId="77777777" w:rsidR="00A74C68" w:rsidRPr="00471CBA" w:rsidRDefault="00A74C68" w:rsidP="00A74C68">
            <w:pPr>
              <w:jc w:val="right"/>
              <w:rPr>
                <w:b/>
                <w:bCs/>
                <w:color w:val="000000"/>
                <w:sz w:val="14"/>
                <w:szCs w:val="14"/>
                <w:lang w:eastAsia="tr-TR"/>
              </w:rPr>
            </w:pPr>
            <w:r w:rsidRPr="00471CBA">
              <w:rPr>
                <w:b/>
                <w:bCs/>
                <w:color w:val="000000"/>
                <w:sz w:val="14"/>
                <w:szCs w:val="14"/>
                <w:lang w:eastAsia="tr-TR"/>
              </w:rPr>
              <w:t>-</w:t>
            </w:r>
          </w:p>
        </w:tc>
      </w:tr>
      <w:tr w:rsidR="00A74C68" w:rsidRPr="00471CBA" w14:paraId="25E351D7" w14:textId="77777777" w:rsidTr="00A74C68">
        <w:trPr>
          <w:divId w:val="2141610945"/>
          <w:trHeight w:val="113"/>
        </w:trPr>
        <w:tc>
          <w:tcPr>
            <w:tcW w:w="563" w:type="dxa"/>
            <w:tcBorders>
              <w:top w:val="nil"/>
              <w:left w:val="single" w:sz="4" w:space="0" w:color="auto"/>
              <w:bottom w:val="nil"/>
              <w:right w:val="nil"/>
            </w:tcBorders>
            <w:vAlign w:val="center"/>
            <w:hideMark/>
          </w:tcPr>
          <w:p w14:paraId="30DAE1F9" w14:textId="77777777" w:rsidR="00A74C68" w:rsidRPr="00471CBA" w:rsidRDefault="00A74C68" w:rsidP="00A74C68">
            <w:pPr>
              <w:rPr>
                <w:b/>
                <w:bCs/>
                <w:color w:val="000000"/>
                <w:sz w:val="14"/>
                <w:szCs w:val="14"/>
              </w:rPr>
            </w:pPr>
            <w:r w:rsidRPr="00471CBA">
              <w:rPr>
                <w:b/>
                <w:bCs/>
                <w:color w:val="000000"/>
                <w:sz w:val="14"/>
                <w:szCs w:val="14"/>
              </w:rPr>
              <w:t>VII.</w:t>
            </w:r>
          </w:p>
        </w:tc>
        <w:tc>
          <w:tcPr>
            <w:tcW w:w="3543" w:type="dxa"/>
            <w:tcBorders>
              <w:top w:val="nil"/>
              <w:left w:val="nil"/>
              <w:bottom w:val="nil"/>
              <w:right w:val="nil"/>
            </w:tcBorders>
            <w:vAlign w:val="center"/>
            <w:hideMark/>
          </w:tcPr>
          <w:p w14:paraId="581BDE61" w14:textId="77777777" w:rsidR="00A74C68" w:rsidRPr="00471CBA" w:rsidRDefault="00A74C68" w:rsidP="00A74C68">
            <w:pPr>
              <w:rPr>
                <w:b/>
                <w:bCs/>
                <w:color w:val="000000"/>
                <w:sz w:val="14"/>
                <w:szCs w:val="14"/>
              </w:rPr>
            </w:pPr>
            <w:r w:rsidRPr="00471CBA">
              <w:rPr>
                <w:b/>
                <w:bCs/>
                <w:color w:val="000000"/>
                <w:sz w:val="14"/>
                <w:szCs w:val="14"/>
              </w:rPr>
              <w:t>Ödenmiş Sermaye Enflasyon Düzeltme Farkı</w:t>
            </w:r>
          </w:p>
        </w:tc>
        <w:tc>
          <w:tcPr>
            <w:tcW w:w="707" w:type="dxa"/>
            <w:tcBorders>
              <w:top w:val="nil"/>
              <w:left w:val="nil"/>
              <w:bottom w:val="nil"/>
              <w:right w:val="nil"/>
            </w:tcBorders>
            <w:vAlign w:val="center"/>
            <w:hideMark/>
          </w:tcPr>
          <w:p w14:paraId="402F0FAC" w14:textId="77777777" w:rsidR="00A74C68" w:rsidRPr="00471CBA" w:rsidRDefault="00A74C68" w:rsidP="00A74C68">
            <w:pPr>
              <w:rPr>
                <w:b/>
                <w:bCs/>
                <w:color w:val="000000"/>
                <w:sz w:val="14"/>
                <w:szCs w:val="14"/>
              </w:rPr>
            </w:pPr>
          </w:p>
        </w:tc>
        <w:tc>
          <w:tcPr>
            <w:tcW w:w="777" w:type="dxa"/>
            <w:tcBorders>
              <w:top w:val="nil"/>
              <w:left w:val="nil"/>
              <w:bottom w:val="nil"/>
              <w:right w:val="nil"/>
            </w:tcBorders>
            <w:vAlign w:val="center"/>
            <w:hideMark/>
          </w:tcPr>
          <w:p w14:paraId="68790A8E"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09" w:type="dxa"/>
            <w:tcBorders>
              <w:top w:val="nil"/>
              <w:left w:val="nil"/>
              <w:bottom w:val="nil"/>
              <w:right w:val="nil"/>
            </w:tcBorders>
            <w:vAlign w:val="center"/>
            <w:hideMark/>
          </w:tcPr>
          <w:p w14:paraId="0696D7F6"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08" w:type="dxa"/>
            <w:tcBorders>
              <w:top w:val="nil"/>
              <w:left w:val="nil"/>
              <w:bottom w:val="nil"/>
              <w:right w:val="nil"/>
            </w:tcBorders>
            <w:vAlign w:val="center"/>
            <w:hideMark/>
          </w:tcPr>
          <w:p w14:paraId="63E79AD5"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24" w:type="dxa"/>
            <w:tcBorders>
              <w:top w:val="nil"/>
              <w:left w:val="nil"/>
              <w:bottom w:val="nil"/>
              <w:right w:val="nil"/>
            </w:tcBorders>
            <w:vAlign w:val="center"/>
            <w:hideMark/>
          </w:tcPr>
          <w:p w14:paraId="472BCC7F"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658" w:type="dxa"/>
            <w:tcBorders>
              <w:top w:val="nil"/>
              <w:left w:val="nil"/>
              <w:bottom w:val="nil"/>
              <w:right w:val="nil"/>
            </w:tcBorders>
            <w:vAlign w:val="center"/>
            <w:hideMark/>
          </w:tcPr>
          <w:p w14:paraId="76510C49"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09" w:type="dxa"/>
            <w:tcBorders>
              <w:top w:val="nil"/>
              <w:left w:val="nil"/>
              <w:bottom w:val="nil"/>
              <w:right w:val="nil"/>
            </w:tcBorders>
            <w:vAlign w:val="center"/>
            <w:hideMark/>
          </w:tcPr>
          <w:p w14:paraId="1E5138CB"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641" w:type="dxa"/>
            <w:tcBorders>
              <w:top w:val="nil"/>
              <w:left w:val="nil"/>
              <w:bottom w:val="nil"/>
              <w:right w:val="nil"/>
            </w:tcBorders>
            <w:vAlign w:val="center"/>
            <w:hideMark/>
          </w:tcPr>
          <w:p w14:paraId="2CFC895B"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636" w:type="dxa"/>
            <w:tcBorders>
              <w:top w:val="nil"/>
              <w:left w:val="nil"/>
              <w:bottom w:val="nil"/>
              <w:right w:val="nil"/>
            </w:tcBorders>
            <w:vAlign w:val="center"/>
            <w:hideMark/>
          </w:tcPr>
          <w:p w14:paraId="6F2E3814"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31" w:type="dxa"/>
            <w:tcBorders>
              <w:top w:val="nil"/>
              <w:left w:val="nil"/>
              <w:bottom w:val="nil"/>
              <w:right w:val="nil"/>
            </w:tcBorders>
            <w:vAlign w:val="center"/>
            <w:hideMark/>
          </w:tcPr>
          <w:p w14:paraId="5B2A572B"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15" w:type="dxa"/>
            <w:tcBorders>
              <w:top w:val="nil"/>
              <w:left w:val="nil"/>
              <w:bottom w:val="nil"/>
              <w:right w:val="nil"/>
            </w:tcBorders>
            <w:vAlign w:val="center"/>
            <w:hideMark/>
          </w:tcPr>
          <w:p w14:paraId="025EE8DD"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24" w:type="dxa"/>
            <w:tcBorders>
              <w:top w:val="nil"/>
              <w:left w:val="nil"/>
              <w:bottom w:val="nil"/>
              <w:right w:val="nil"/>
            </w:tcBorders>
            <w:vAlign w:val="center"/>
            <w:hideMark/>
          </w:tcPr>
          <w:p w14:paraId="0E180A67"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09" w:type="dxa"/>
            <w:tcBorders>
              <w:top w:val="nil"/>
              <w:left w:val="nil"/>
              <w:bottom w:val="nil"/>
              <w:right w:val="nil"/>
            </w:tcBorders>
            <w:vAlign w:val="center"/>
            <w:hideMark/>
          </w:tcPr>
          <w:p w14:paraId="4B53DA07"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971" w:type="dxa"/>
            <w:tcBorders>
              <w:top w:val="nil"/>
              <w:left w:val="nil"/>
              <w:bottom w:val="nil"/>
              <w:right w:val="nil"/>
            </w:tcBorders>
            <w:vAlign w:val="center"/>
            <w:hideMark/>
          </w:tcPr>
          <w:p w14:paraId="6AE00965"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952" w:type="dxa"/>
            <w:tcBorders>
              <w:top w:val="nil"/>
              <w:left w:val="nil"/>
              <w:bottom w:val="nil"/>
              <w:right w:val="single" w:sz="4" w:space="0" w:color="auto"/>
            </w:tcBorders>
            <w:vAlign w:val="center"/>
            <w:hideMark/>
          </w:tcPr>
          <w:p w14:paraId="2FD55324" w14:textId="77777777" w:rsidR="00A74C68" w:rsidRPr="00471CBA" w:rsidRDefault="00A74C68" w:rsidP="00A74C68">
            <w:pPr>
              <w:jc w:val="right"/>
              <w:rPr>
                <w:b/>
                <w:bCs/>
                <w:color w:val="000000"/>
                <w:sz w:val="14"/>
                <w:szCs w:val="14"/>
              </w:rPr>
            </w:pPr>
            <w:r w:rsidRPr="00471CBA">
              <w:rPr>
                <w:b/>
                <w:bCs/>
                <w:color w:val="000000"/>
                <w:sz w:val="14"/>
                <w:szCs w:val="14"/>
              </w:rPr>
              <w:t>-</w:t>
            </w:r>
          </w:p>
        </w:tc>
      </w:tr>
      <w:tr w:rsidR="00A74C68" w:rsidRPr="00471CBA" w14:paraId="25683F3C" w14:textId="77777777" w:rsidTr="00A74C68">
        <w:trPr>
          <w:divId w:val="2141610945"/>
          <w:trHeight w:val="113"/>
        </w:trPr>
        <w:tc>
          <w:tcPr>
            <w:tcW w:w="563" w:type="dxa"/>
            <w:tcBorders>
              <w:top w:val="nil"/>
              <w:left w:val="single" w:sz="4" w:space="0" w:color="auto"/>
              <w:bottom w:val="nil"/>
              <w:right w:val="nil"/>
            </w:tcBorders>
            <w:vAlign w:val="center"/>
            <w:hideMark/>
          </w:tcPr>
          <w:p w14:paraId="1CC75CB4" w14:textId="77777777" w:rsidR="00A74C68" w:rsidRPr="00471CBA" w:rsidRDefault="00A74C68" w:rsidP="00A74C68">
            <w:pPr>
              <w:rPr>
                <w:b/>
                <w:bCs/>
                <w:color w:val="000000"/>
                <w:sz w:val="14"/>
                <w:szCs w:val="14"/>
              </w:rPr>
            </w:pPr>
            <w:r w:rsidRPr="00471CBA">
              <w:rPr>
                <w:b/>
                <w:bCs/>
                <w:color w:val="000000"/>
                <w:sz w:val="14"/>
                <w:szCs w:val="14"/>
              </w:rPr>
              <w:t>VIII.</w:t>
            </w:r>
          </w:p>
        </w:tc>
        <w:tc>
          <w:tcPr>
            <w:tcW w:w="3543" w:type="dxa"/>
            <w:tcBorders>
              <w:top w:val="nil"/>
              <w:left w:val="nil"/>
              <w:bottom w:val="nil"/>
              <w:right w:val="nil"/>
            </w:tcBorders>
            <w:vAlign w:val="center"/>
            <w:hideMark/>
          </w:tcPr>
          <w:p w14:paraId="273C36B1" w14:textId="77777777" w:rsidR="00A74C68" w:rsidRPr="00471CBA" w:rsidRDefault="00A74C68" w:rsidP="00A74C68">
            <w:pPr>
              <w:rPr>
                <w:b/>
                <w:bCs/>
                <w:color w:val="000000"/>
                <w:sz w:val="14"/>
                <w:szCs w:val="14"/>
              </w:rPr>
            </w:pPr>
            <w:r w:rsidRPr="00471CBA">
              <w:rPr>
                <w:b/>
                <w:bCs/>
                <w:color w:val="000000"/>
                <w:sz w:val="14"/>
                <w:szCs w:val="14"/>
              </w:rPr>
              <w:t xml:space="preserve">Hisse Senedine Dönüştürülebilir Tahviller </w:t>
            </w:r>
          </w:p>
        </w:tc>
        <w:tc>
          <w:tcPr>
            <w:tcW w:w="707" w:type="dxa"/>
            <w:tcBorders>
              <w:top w:val="nil"/>
              <w:left w:val="nil"/>
              <w:bottom w:val="nil"/>
              <w:right w:val="nil"/>
            </w:tcBorders>
            <w:vAlign w:val="center"/>
            <w:hideMark/>
          </w:tcPr>
          <w:p w14:paraId="4C0ADAD9" w14:textId="77777777" w:rsidR="00A74C68" w:rsidRPr="00471CBA" w:rsidRDefault="00A74C68" w:rsidP="00A74C68">
            <w:pPr>
              <w:rPr>
                <w:b/>
                <w:bCs/>
                <w:color w:val="000000"/>
                <w:sz w:val="14"/>
                <w:szCs w:val="14"/>
              </w:rPr>
            </w:pPr>
          </w:p>
        </w:tc>
        <w:tc>
          <w:tcPr>
            <w:tcW w:w="777" w:type="dxa"/>
            <w:tcBorders>
              <w:top w:val="nil"/>
              <w:left w:val="nil"/>
              <w:bottom w:val="nil"/>
              <w:right w:val="nil"/>
            </w:tcBorders>
            <w:vAlign w:val="center"/>
            <w:hideMark/>
          </w:tcPr>
          <w:p w14:paraId="577A99A9"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09" w:type="dxa"/>
            <w:tcBorders>
              <w:top w:val="nil"/>
              <w:left w:val="nil"/>
              <w:bottom w:val="nil"/>
              <w:right w:val="nil"/>
            </w:tcBorders>
            <w:vAlign w:val="center"/>
            <w:hideMark/>
          </w:tcPr>
          <w:p w14:paraId="1565D8A4"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08" w:type="dxa"/>
            <w:tcBorders>
              <w:top w:val="nil"/>
              <w:left w:val="nil"/>
              <w:bottom w:val="nil"/>
              <w:right w:val="nil"/>
            </w:tcBorders>
            <w:vAlign w:val="center"/>
            <w:hideMark/>
          </w:tcPr>
          <w:p w14:paraId="7F34C2CC"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24" w:type="dxa"/>
            <w:tcBorders>
              <w:top w:val="nil"/>
              <w:left w:val="nil"/>
              <w:bottom w:val="nil"/>
              <w:right w:val="nil"/>
            </w:tcBorders>
            <w:vAlign w:val="center"/>
            <w:hideMark/>
          </w:tcPr>
          <w:p w14:paraId="2622074B"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658" w:type="dxa"/>
            <w:tcBorders>
              <w:top w:val="nil"/>
              <w:left w:val="nil"/>
              <w:bottom w:val="nil"/>
              <w:right w:val="nil"/>
            </w:tcBorders>
            <w:vAlign w:val="center"/>
            <w:hideMark/>
          </w:tcPr>
          <w:p w14:paraId="027E9367"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09" w:type="dxa"/>
            <w:tcBorders>
              <w:top w:val="nil"/>
              <w:left w:val="nil"/>
              <w:bottom w:val="nil"/>
              <w:right w:val="nil"/>
            </w:tcBorders>
            <w:vAlign w:val="center"/>
            <w:hideMark/>
          </w:tcPr>
          <w:p w14:paraId="4CE99103"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641" w:type="dxa"/>
            <w:tcBorders>
              <w:top w:val="nil"/>
              <w:left w:val="nil"/>
              <w:bottom w:val="nil"/>
              <w:right w:val="nil"/>
            </w:tcBorders>
            <w:vAlign w:val="center"/>
            <w:hideMark/>
          </w:tcPr>
          <w:p w14:paraId="376CFB95"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636" w:type="dxa"/>
            <w:tcBorders>
              <w:top w:val="nil"/>
              <w:left w:val="nil"/>
              <w:bottom w:val="nil"/>
              <w:right w:val="nil"/>
            </w:tcBorders>
            <w:vAlign w:val="center"/>
            <w:hideMark/>
          </w:tcPr>
          <w:p w14:paraId="6AFC454A"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31" w:type="dxa"/>
            <w:tcBorders>
              <w:top w:val="nil"/>
              <w:left w:val="nil"/>
              <w:bottom w:val="nil"/>
              <w:right w:val="nil"/>
            </w:tcBorders>
            <w:vAlign w:val="center"/>
            <w:hideMark/>
          </w:tcPr>
          <w:p w14:paraId="6AFB10A1"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15" w:type="dxa"/>
            <w:tcBorders>
              <w:top w:val="nil"/>
              <w:left w:val="nil"/>
              <w:bottom w:val="nil"/>
              <w:right w:val="nil"/>
            </w:tcBorders>
            <w:vAlign w:val="center"/>
            <w:hideMark/>
          </w:tcPr>
          <w:p w14:paraId="3CB9EE4B"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24" w:type="dxa"/>
            <w:tcBorders>
              <w:top w:val="nil"/>
              <w:left w:val="nil"/>
              <w:bottom w:val="nil"/>
              <w:right w:val="nil"/>
            </w:tcBorders>
            <w:vAlign w:val="center"/>
            <w:hideMark/>
          </w:tcPr>
          <w:p w14:paraId="43F78C30"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09" w:type="dxa"/>
            <w:tcBorders>
              <w:top w:val="nil"/>
              <w:left w:val="nil"/>
              <w:bottom w:val="nil"/>
              <w:right w:val="nil"/>
            </w:tcBorders>
            <w:vAlign w:val="center"/>
            <w:hideMark/>
          </w:tcPr>
          <w:p w14:paraId="0AC9D838"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971" w:type="dxa"/>
            <w:tcBorders>
              <w:top w:val="nil"/>
              <w:left w:val="nil"/>
              <w:bottom w:val="nil"/>
              <w:right w:val="nil"/>
            </w:tcBorders>
            <w:vAlign w:val="center"/>
            <w:hideMark/>
          </w:tcPr>
          <w:p w14:paraId="7C789A75"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952" w:type="dxa"/>
            <w:tcBorders>
              <w:top w:val="nil"/>
              <w:left w:val="nil"/>
              <w:bottom w:val="nil"/>
              <w:right w:val="single" w:sz="4" w:space="0" w:color="auto"/>
            </w:tcBorders>
            <w:vAlign w:val="center"/>
            <w:hideMark/>
          </w:tcPr>
          <w:p w14:paraId="39CA6A99" w14:textId="77777777" w:rsidR="00A74C68" w:rsidRPr="00471CBA" w:rsidRDefault="00A74C68" w:rsidP="00A74C68">
            <w:pPr>
              <w:jc w:val="right"/>
              <w:rPr>
                <w:b/>
                <w:bCs/>
                <w:color w:val="000000"/>
                <w:sz w:val="14"/>
                <w:szCs w:val="14"/>
              </w:rPr>
            </w:pPr>
            <w:r w:rsidRPr="00471CBA">
              <w:rPr>
                <w:b/>
                <w:bCs/>
                <w:color w:val="000000"/>
                <w:sz w:val="14"/>
                <w:szCs w:val="14"/>
              </w:rPr>
              <w:t>-</w:t>
            </w:r>
          </w:p>
        </w:tc>
      </w:tr>
      <w:tr w:rsidR="00A74C68" w:rsidRPr="00471CBA" w14:paraId="491E2E60" w14:textId="77777777" w:rsidTr="00A74C68">
        <w:trPr>
          <w:divId w:val="2141610945"/>
          <w:trHeight w:val="113"/>
        </w:trPr>
        <w:tc>
          <w:tcPr>
            <w:tcW w:w="563" w:type="dxa"/>
            <w:tcBorders>
              <w:top w:val="nil"/>
              <w:left w:val="single" w:sz="4" w:space="0" w:color="auto"/>
              <w:bottom w:val="nil"/>
              <w:right w:val="nil"/>
            </w:tcBorders>
            <w:vAlign w:val="center"/>
            <w:hideMark/>
          </w:tcPr>
          <w:p w14:paraId="2B4E977F" w14:textId="77777777" w:rsidR="00A74C68" w:rsidRPr="00471CBA" w:rsidRDefault="00A74C68" w:rsidP="00A74C68">
            <w:pPr>
              <w:rPr>
                <w:b/>
                <w:bCs/>
                <w:color w:val="000000"/>
                <w:sz w:val="14"/>
                <w:szCs w:val="14"/>
              </w:rPr>
            </w:pPr>
            <w:r w:rsidRPr="00471CBA">
              <w:rPr>
                <w:b/>
                <w:bCs/>
                <w:color w:val="000000"/>
                <w:sz w:val="14"/>
                <w:szCs w:val="14"/>
              </w:rPr>
              <w:t>IX.</w:t>
            </w:r>
          </w:p>
        </w:tc>
        <w:tc>
          <w:tcPr>
            <w:tcW w:w="3543" w:type="dxa"/>
            <w:tcBorders>
              <w:top w:val="nil"/>
              <w:left w:val="nil"/>
              <w:bottom w:val="nil"/>
              <w:right w:val="nil"/>
            </w:tcBorders>
            <w:vAlign w:val="center"/>
            <w:hideMark/>
          </w:tcPr>
          <w:p w14:paraId="0116AD8B" w14:textId="77777777" w:rsidR="00A74C68" w:rsidRPr="00471CBA" w:rsidRDefault="00A74C68" w:rsidP="00A74C68">
            <w:pPr>
              <w:rPr>
                <w:b/>
                <w:bCs/>
                <w:color w:val="000000"/>
                <w:sz w:val="14"/>
                <w:szCs w:val="14"/>
              </w:rPr>
            </w:pPr>
            <w:r w:rsidRPr="00471CBA">
              <w:rPr>
                <w:b/>
                <w:bCs/>
                <w:color w:val="000000"/>
                <w:sz w:val="14"/>
                <w:szCs w:val="14"/>
              </w:rPr>
              <w:t>Sermaye Benzeri Borçlanma Araçları</w:t>
            </w:r>
          </w:p>
        </w:tc>
        <w:tc>
          <w:tcPr>
            <w:tcW w:w="707" w:type="dxa"/>
            <w:tcBorders>
              <w:top w:val="nil"/>
              <w:left w:val="nil"/>
              <w:bottom w:val="nil"/>
              <w:right w:val="nil"/>
            </w:tcBorders>
            <w:vAlign w:val="center"/>
            <w:hideMark/>
          </w:tcPr>
          <w:p w14:paraId="5E0C6F22" w14:textId="77777777" w:rsidR="00A74C68" w:rsidRPr="00471CBA" w:rsidRDefault="00A74C68" w:rsidP="00A74C68">
            <w:pPr>
              <w:rPr>
                <w:b/>
                <w:bCs/>
                <w:color w:val="000000"/>
                <w:sz w:val="14"/>
                <w:szCs w:val="14"/>
              </w:rPr>
            </w:pPr>
          </w:p>
        </w:tc>
        <w:tc>
          <w:tcPr>
            <w:tcW w:w="777" w:type="dxa"/>
            <w:tcBorders>
              <w:top w:val="nil"/>
              <w:left w:val="nil"/>
              <w:bottom w:val="nil"/>
              <w:right w:val="nil"/>
            </w:tcBorders>
            <w:vAlign w:val="center"/>
            <w:hideMark/>
          </w:tcPr>
          <w:p w14:paraId="1E1049B1"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09" w:type="dxa"/>
            <w:tcBorders>
              <w:top w:val="nil"/>
              <w:left w:val="nil"/>
              <w:bottom w:val="nil"/>
              <w:right w:val="nil"/>
            </w:tcBorders>
            <w:vAlign w:val="center"/>
            <w:hideMark/>
          </w:tcPr>
          <w:p w14:paraId="71E7BE2D"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08" w:type="dxa"/>
            <w:tcBorders>
              <w:top w:val="nil"/>
              <w:left w:val="nil"/>
              <w:bottom w:val="nil"/>
              <w:right w:val="nil"/>
            </w:tcBorders>
            <w:vAlign w:val="center"/>
            <w:hideMark/>
          </w:tcPr>
          <w:p w14:paraId="6277AAFF"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24" w:type="dxa"/>
            <w:tcBorders>
              <w:top w:val="nil"/>
              <w:left w:val="nil"/>
              <w:bottom w:val="nil"/>
              <w:right w:val="nil"/>
            </w:tcBorders>
            <w:vAlign w:val="center"/>
            <w:hideMark/>
          </w:tcPr>
          <w:p w14:paraId="23E7F326"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658" w:type="dxa"/>
            <w:tcBorders>
              <w:top w:val="nil"/>
              <w:left w:val="nil"/>
              <w:bottom w:val="nil"/>
              <w:right w:val="nil"/>
            </w:tcBorders>
            <w:vAlign w:val="center"/>
            <w:hideMark/>
          </w:tcPr>
          <w:p w14:paraId="1467AB9C"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09" w:type="dxa"/>
            <w:tcBorders>
              <w:top w:val="nil"/>
              <w:left w:val="nil"/>
              <w:bottom w:val="nil"/>
              <w:right w:val="nil"/>
            </w:tcBorders>
            <w:vAlign w:val="center"/>
            <w:hideMark/>
          </w:tcPr>
          <w:p w14:paraId="682F38FD"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641" w:type="dxa"/>
            <w:tcBorders>
              <w:top w:val="nil"/>
              <w:left w:val="nil"/>
              <w:bottom w:val="nil"/>
              <w:right w:val="nil"/>
            </w:tcBorders>
            <w:vAlign w:val="center"/>
            <w:hideMark/>
          </w:tcPr>
          <w:p w14:paraId="76AA4063"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636" w:type="dxa"/>
            <w:tcBorders>
              <w:top w:val="nil"/>
              <w:left w:val="nil"/>
              <w:bottom w:val="nil"/>
              <w:right w:val="nil"/>
            </w:tcBorders>
            <w:vAlign w:val="center"/>
            <w:hideMark/>
          </w:tcPr>
          <w:p w14:paraId="7C75072E"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31" w:type="dxa"/>
            <w:tcBorders>
              <w:top w:val="nil"/>
              <w:left w:val="nil"/>
              <w:bottom w:val="nil"/>
              <w:right w:val="nil"/>
            </w:tcBorders>
            <w:vAlign w:val="center"/>
            <w:hideMark/>
          </w:tcPr>
          <w:p w14:paraId="30A15B3C"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15" w:type="dxa"/>
            <w:tcBorders>
              <w:top w:val="nil"/>
              <w:left w:val="nil"/>
              <w:bottom w:val="nil"/>
              <w:right w:val="nil"/>
            </w:tcBorders>
            <w:vAlign w:val="center"/>
            <w:hideMark/>
          </w:tcPr>
          <w:p w14:paraId="3935D973"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24" w:type="dxa"/>
            <w:tcBorders>
              <w:top w:val="nil"/>
              <w:left w:val="nil"/>
              <w:bottom w:val="nil"/>
              <w:right w:val="nil"/>
            </w:tcBorders>
            <w:vAlign w:val="center"/>
            <w:hideMark/>
          </w:tcPr>
          <w:p w14:paraId="61E3E3A5"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09" w:type="dxa"/>
            <w:tcBorders>
              <w:top w:val="nil"/>
              <w:left w:val="nil"/>
              <w:bottom w:val="nil"/>
              <w:right w:val="nil"/>
            </w:tcBorders>
            <w:vAlign w:val="center"/>
            <w:hideMark/>
          </w:tcPr>
          <w:p w14:paraId="7EA12D18"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971" w:type="dxa"/>
            <w:tcBorders>
              <w:top w:val="nil"/>
              <w:left w:val="nil"/>
              <w:bottom w:val="nil"/>
              <w:right w:val="nil"/>
            </w:tcBorders>
            <w:vAlign w:val="center"/>
            <w:hideMark/>
          </w:tcPr>
          <w:p w14:paraId="084BF11A"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952" w:type="dxa"/>
            <w:tcBorders>
              <w:top w:val="nil"/>
              <w:left w:val="nil"/>
              <w:bottom w:val="nil"/>
              <w:right w:val="single" w:sz="4" w:space="0" w:color="auto"/>
            </w:tcBorders>
            <w:vAlign w:val="center"/>
            <w:hideMark/>
          </w:tcPr>
          <w:p w14:paraId="646D1DD4" w14:textId="77777777" w:rsidR="00A74C68" w:rsidRPr="00471CBA" w:rsidRDefault="00A74C68" w:rsidP="00A74C68">
            <w:pPr>
              <w:jc w:val="right"/>
              <w:rPr>
                <w:b/>
                <w:bCs/>
                <w:color w:val="000000"/>
                <w:sz w:val="14"/>
                <w:szCs w:val="14"/>
              </w:rPr>
            </w:pPr>
            <w:r w:rsidRPr="00471CBA">
              <w:rPr>
                <w:b/>
                <w:bCs/>
                <w:color w:val="000000"/>
                <w:sz w:val="14"/>
                <w:szCs w:val="14"/>
              </w:rPr>
              <w:t>-</w:t>
            </w:r>
          </w:p>
        </w:tc>
      </w:tr>
      <w:tr w:rsidR="00A74C68" w:rsidRPr="00471CBA" w14:paraId="59E2B272" w14:textId="77777777" w:rsidTr="00A74C68">
        <w:trPr>
          <w:divId w:val="2141610945"/>
          <w:trHeight w:val="113"/>
        </w:trPr>
        <w:tc>
          <w:tcPr>
            <w:tcW w:w="563" w:type="dxa"/>
            <w:tcBorders>
              <w:top w:val="nil"/>
              <w:left w:val="single" w:sz="4" w:space="0" w:color="auto"/>
              <w:bottom w:val="nil"/>
              <w:right w:val="nil"/>
            </w:tcBorders>
            <w:vAlign w:val="center"/>
            <w:hideMark/>
          </w:tcPr>
          <w:p w14:paraId="25E5E2FB" w14:textId="77777777" w:rsidR="00A74C68" w:rsidRPr="00471CBA" w:rsidRDefault="00A74C68" w:rsidP="00A74C68">
            <w:pPr>
              <w:rPr>
                <w:b/>
                <w:bCs/>
                <w:color w:val="000000"/>
                <w:sz w:val="14"/>
                <w:szCs w:val="14"/>
              </w:rPr>
            </w:pPr>
            <w:r w:rsidRPr="00471CBA">
              <w:rPr>
                <w:b/>
                <w:bCs/>
                <w:color w:val="000000"/>
                <w:sz w:val="14"/>
                <w:szCs w:val="14"/>
              </w:rPr>
              <w:t>X.</w:t>
            </w:r>
          </w:p>
        </w:tc>
        <w:tc>
          <w:tcPr>
            <w:tcW w:w="3543" w:type="dxa"/>
            <w:tcBorders>
              <w:top w:val="nil"/>
              <w:left w:val="nil"/>
              <w:bottom w:val="nil"/>
              <w:right w:val="nil"/>
            </w:tcBorders>
            <w:vAlign w:val="center"/>
            <w:hideMark/>
          </w:tcPr>
          <w:p w14:paraId="7F41834F" w14:textId="77777777" w:rsidR="00A74C68" w:rsidRPr="00471CBA" w:rsidRDefault="00A74C68" w:rsidP="00A74C68">
            <w:pPr>
              <w:rPr>
                <w:b/>
                <w:bCs/>
                <w:color w:val="000000"/>
                <w:sz w:val="14"/>
                <w:szCs w:val="14"/>
              </w:rPr>
            </w:pPr>
            <w:r w:rsidRPr="00471CBA">
              <w:rPr>
                <w:b/>
                <w:bCs/>
                <w:color w:val="000000"/>
                <w:sz w:val="14"/>
                <w:szCs w:val="14"/>
              </w:rPr>
              <w:t>Diğer Değişiklikler Nedeniyle Artış /Azalış</w:t>
            </w:r>
          </w:p>
        </w:tc>
        <w:tc>
          <w:tcPr>
            <w:tcW w:w="707" w:type="dxa"/>
            <w:tcBorders>
              <w:top w:val="nil"/>
              <w:left w:val="nil"/>
              <w:bottom w:val="nil"/>
              <w:right w:val="nil"/>
            </w:tcBorders>
            <w:vAlign w:val="center"/>
            <w:hideMark/>
          </w:tcPr>
          <w:p w14:paraId="0F575C85" w14:textId="77777777" w:rsidR="00A74C68" w:rsidRPr="00471CBA" w:rsidRDefault="00A74C68" w:rsidP="00A74C68">
            <w:pPr>
              <w:rPr>
                <w:b/>
                <w:bCs/>
                <w:color w:val="000000"/>
                <w:sz w:val="14"/>
                <w:szCs w:val="14"/>
              </w:rPr>
            </w:pPr>
          </w:p>
        </w:tc>
        <w:tc>
          <w:tcPr>
            <w:tcW w:w="777" w:type="dxa"/>
            <w:tcBorders>
              <w:top w:val="nil"/>
              <w:left w:val="nil"/>
              <w:bottom w:val="nil"/>
              <w:right w:val="nil"/>
            </w:tcBorders>
            <w:vAlign w:val="center"/>
            <w:hideMark/>
          </w:tcPr>
          <w:p w14:paraId="258526AC"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09" w:type="dxa"/>
            <w:tcBorders>
              <w:top w:val="nil"/>
              <w:left w:val="nil"/>
              <w:bottom w:val="nil"/>
              <w:right w:val="nil"/>
            </w:tcBorders>
            <w:vAlign w:val="center"/>
            <w:hideMark/>
          </w:tcPr>
          <w:p w14:paraId="00294B7C"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08" w:type="dxa"/>
            <w:tcBorders>
              <w:top w:val="nil"/>
              <w:left w:val="nil"/>
              <w:bottom w:val="nil"/>
              <w:right w:val="nil"/>
            </w:tcBorders>
            <w:vAlign w:val="center"/>
            <w:hideMark/>
          </w:tcPr>
          <w:p w14:paraId="4B4193F6"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24" w:type="dxa"/>
            <w:tcBorders>
              <w:top w:val="nil"/>
              <w:left w:val="nil"/>
              <w:bottom w:val="nil"/>
              <w:right w:val="nil"/>
            </w:tcBorders>
            <w:vAlign w:val="center"/>
            <w:hideMark/>
          </w:tcPr>
          <w:p w14:paraId="2DD61BE3"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658" w:type="dxa"/>
            <w:tcBorders>
              <w:top w:val="nil"/>
              <w:left w:val="nil"/>
              <w:bottom w:val="nil"/>
              <w:right w:val="nil"/>
            </w:tcBorders>
            <w:vAlign w:val="center"/>
            <w:hideMark/>
          </w:tcPr>
          <w:p w14:paraId="09F89B53"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09" w:type="dxa"/>
            <w:tcBorders>
              <w:top w:val="nil"/>
              <w:left w:val="nil"/>
              <w:bottom w:val="nil"/>
              <w:right w:val="nil"/>
            </w:tcBorders>
            <w:vAlign w:val="center"/>
            <w:hideMark/>
          </w:tcPr>
          <w:p w14:paraId="216B7A0C"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641" w:type="dxa"/>
            <w:tcBorders>
              <w:top w:val="nil"/>
              <w:left w:val="nil"/>
              <w:bottom w:val="nil"/>
              <w:right w:val="nil"/>
            </w:tcBorders>
            <w:vAlign w:val="center"/>
            <w:hideMark/>
          </w:tcPr>
          <w:p w14:paraId="3335EF5C"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636" w:type="dxa"/>
            <w:tcBorders>
              <w:top w:val="nil"/>
              <w:left w:val="nil"/>
              <w:bottom w:val="nil"/>
              <w:right w:val="nil"/>
            </w:tcBorders>
            <w:vAlign w:val="center"/>
            <w:hideMark/>
          </w:tcPr>
          <w:p w14:paraId="372C5D76"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31" w:type="dxa"/>
            <w:tcBorders>
              <w:top w:val="nil"/>
              <w:left w:val="nil"/>
              <w:bottom w:val="nil"/>
              <w:right w:val="nil"/>
            </w:tcBorders>
            <w:vAlign w:val="center"/>
            <w:hideMark/>
          </w:tcPr>
          <w:p w14:paraId="3C0A44D2"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15" w:type="dxa"/>
            <w:tcBorders>
              <w:top w:val="nil"/>
              <w:left w:val="nil"/>
              <w:bottom w:val="nil"/>
              <w:right w:val="nil"/>
            </w:tcBorders>
            <w:vAlign w:val="center"/>
            <w:hideMark/>
          </w:tcPr>
          <w:p w14:paraId="70FEF4AB"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24" w:type="dxa"/>
            <w:tcBorders>
              <w:top w:val="nil"/>
              <w:left w:val="nil"/>
              <w:bottom w:val="nil"/>
              <w:right w:val="nil"/>
            </w:tcBorders>
            <w:vAlign w:val="center"/>
            <w:hideMark/>
          </w:tcPr>
          <w:p w14:paraId="7FFD2FCA"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09" w:type="dxa"/>
            <w:tcBorders>
              <w:top w:val="nil"/>
              <w:left w:val="nil"/>
              <w:bottom w:val="nil"/>
              <w:right w:val="nil"/>
            </w:tcBorders>
            <w:vAlign w:val="center"/>
            <w:hideMark/>
          </w:tcPr>
          <w:p w14:paraId="2F1F5956"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971" w:type="dxa"/>
            <w:tcBorders>
              <w:top w:val="nil"/>
              <w:left w:val="nil"/>
              <w:bottom w:val="nil"/>
              <w:right w:val="nil"/>
            </w:tcBorders>
            <w:vAlign w:val="center"/>
            <w:hideMark/>
          </w:tcPr>
          <w:p w14:paraId="60B302F2"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952" w:type="dxa"/>
            <w:tcBorders>
              <w:top w:val="nil"/>
              <w:left w:val="nil"/>
              <w:bottom w:val="nil"/>
              <w:right w:val="single" w:sz="4" w:space="0" w:color="auto"/>
            </w:tcBorders>
            <w:vAlign w:val="center"/>
            <w:hideMark/>
          </w:tcPr>
          <w:p w14:paraId="4E84DB6D" w14:textId="77777777" w:rsidR="00A74C68" w:rsidRPr="00471CBA" w:rsidRDefault="00A74C68" w:rsidP="00A74C68">
            <w:pPr>
              <w:jc w:val="right"/>
              <w:rPr>
                <w:b/>
                <w:bCs/>
                <w:color w:val="000000"/>
                <w:sz w:val="14"/>
                <w:szCs w:val="14"/>
              </w:rPr>
            </w:pPr>
            <w:r w:rsidRPr="00471CBA">
              <w:rPr>
                <w:b/>
                <w:bCs/>
                <w:color w:val="000000"/>
                <w:sz w:val="14"/>
                <w:szCs w:val="14"/>
              </w:rPr>
              <w:t>-</w:t>
            </w:r>
          </w:p>
        </w:tc>
      </w:tr>
      <w:tr w:rsidR="00A74C68" w:rsidRPr="00471CBA" w14:paraId="651A078E" w14:textId="77777777" w:rsidTr="00A74C68">
        <w:trPr>
          <w:divId w:val="2141610945"/>
          <w:trHeight w:val="113"/>
        </w:trPr>
        <w:tc>
          <w:tcPr>
            <w:tcW w:w="563" w:type="dxa"/>
            <w:tcBorders>
              <w:top w:val="nil"/>
              <w:left w:val="single" w:sz="4" w:space="0" w:color="auto"/>
              <w:bottom w:val="nil"/>
              <w:right w:val="nil"/>
            </w:tcBorders>
            <w:vAlign w:val="center"/>
            <w:hideMark/>
          </w:tcPr>
          <w:p w14:paraId="68E4B50D" w14:textId="77777777" w:rsidR="00A74C68" w:rsidRPr="00471CBA" w:rsidRDefault="00A74C68" w:rsidP="00A74C68">
            <w:pPr>
              <w:rPr>
                <w:b/>
                <w:bCs/>
                <w:color w:val="000000"/>
                <w:sz w:val="14"/>
                <w:szCs w:val="14"/>
              </w:rPr>
            </w:pPr>
            <w:r w:rsidRPr="00471CBA">
              <w:rPr>
                <w:b/>
                <w:bCs/>
                <w:color w:val="000000"/>
                <w:sz w:val="14"/>
                <w:szCs w:val="14"/>
              </w:rPr>
              <w:t>XI.</w:t>
            </w:r>
          </w:p>
        </w:tc>
        <w:tc>
          <w:tcPr>
            <w:tcW w:w="3543" w:type="dxa"/>
            <w:tcBorders>
              <w:top w:val="nil"/>
              <w:left w:val="nil"/>
              <w:bottom w:val="nil"/>
              <w:right w:val="nil"/>
            </w:tcBorders>
            <w:vAlign w:val="center"/>
            <w:hideMark/>
          </w:tcPr>
          <w:p w14:paraId="2902944F" w14:textId="77777777" w:rsidR="00A74C68" w:rsidRPr="00471CBA" w:rsidRDefault="00A74C68" w:rsidP="00A74C68">
            <w:pPr>
              <w:rPr>
                <w:b/>
                <w:bCs/>
                <w:color w:val="000000"/>
                <w:sz w:val="14"/>
                <w:szCs w:val="14"/>
              </w:rPr>
            </w:pPr>
            <w:r w:rsidRPr="00471CBA">
              <w:rPr>
                <w:b/>
                <w:bCs/>
                <w:color w:val="000000"/>
                <w:sz w:val="14"/>
                <w:szCs w:val="14"/>
              </w:rPr>
              <w:t>Kâr Dağıtımı</w:t>
            </w:r>
          </w:p>
        </w:tc>
        <w:tc>
          <w:tcPr>
            <w:tcW w:w="707" w:type="dxa"/>
            <w:tcBorders>
              <w:top w:val="nil"/>
              <w:left w:val="nil"/>
              <w:bottom w:val="nil"/>
              <w:right w:val="nil"/>
            </w:tcBorders>
            <w:vAlign w:val="center"/>
            <w:hideMark/>
          </w:tcPr>
          <w:p w14:paraId="63005358" w14:textId="77777777" w:rsidR="00A74C68" w:rsidRPr="00471CBA" w:rsidRDefault="00A74C68" w:rsidP="00A74C68">
            <w:pPr>
              <w:rPr>
                <w:b/>
                <w:bCs/>
                <w:color w:val="000000"/>
                <w:sz w:val="14"/>
                <w:szCs w:val="14"/>
              </w:rPr>
            </w:pPr>
          </w:p>
        </w:tc>
        <w:tc>
          <w:tcPr>
            <w:tcW w:w="777" w:type="dxa"/>
            <w:tcBorders>
              <w:top w:val="nil"/>
              <w:left w:val="nil"/>
              <w:bottom w:val="nil"/>
              <w:right w:val="nil"/>
            </w:tcBorders>
            <w:vAlign w:val="center"/>
            <w:hideMark/>
          </w:tcPr>
          <w:p w14:paraId="1E8A3D19"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09" w:type="dxa"/>
            <w:tcBorders>
              <w:top w:val="nil"/>
              <w:left w:val="nil"/>
              <w:bottom w:val="nil"/>
              <w:right w:val="nil"/>
            </w:tcBorders>
            <w:vAlign w:val="center"/>
            <w:hideMark/>
          </w:tcPr>
          <w:p w14:paraId="3856B1AA"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08" w:type="dxa"/>
            <w:tcBorders>
              <w:top w:val="nil"/>
              <w:left w:val="nil"/>
              <w:bottom w:val="nil"/>
              <w:right w:val="nil"/>
            </w:tcBorders>
            <w:vAlign w:val="center"/>
            <w:hideMark/>
          </w:tcPr>
          <w:p w14:paraId="70EA8878"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24" w:type="dxa"/>
            <w:tcBorders>
              <w:top w:val="nil"/>
              <w:left w:val="nil"/>
              <w:bottom w:val="nil"/>
              <w:right w:val="nil"/>
            </w:tcBorders>
            <w:vAlign w:val="center"/>
            <w:hideMark/>
          </w:tcPr>
          <w:p w14:paraId="708248E5"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658" w:type="dxa"/>
            <w:tcBorders>
              <w:top w:val="nil"/>
              <w:left w:val="nil"/>
              <w:bottom w:val="nil"/>
              <w:right w:val="nil"/>
            </w:tcBorders>
            <w:vAlign w:val="center"/>
            <w:hideMark/>
          </w:tcPr>
          <w:p w14:paraId="51336935"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09" w:type="dxa"/>
            <w:tcBorders>
              <w:top w:val="nil"/>
              <w:left w:val="nil"/>
              <w:bottom w:val="nil"/>
              <w:right w:val="nil"/>
            </w:tcBorders>
            <w:vAlign w:val="center"/>
            <w:hideMark/>
          </w:tcPr>
          <w:p w14:paraId="3C580560"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641" w:type="dxa"/>
            <w:tcBorders>
              <w:top w:val="nil"/>
              <w:left w:val="nil"/>
              <w:bottom w:val="nil"/>
              <w:right w:val="nil"/>
            </w:tcBorders>
            <w:vAlign w:val="center"/>
            <w:hideMark/>
          </w:tcPr>
          <w:p w14:paraId="17D2F5AA"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636" w:type="dxa"/>
            <w:tcBorders>
              <w:top w:val="nil"/>
              <w:left w:val="nil"/>
              <w:bottom w:val="nil"/>
              <w:right w:val="nil"/>
            </w:tcBorders>
            <w:vAlign w:val="center"/>
            <w:hideMark/>
          </w:tcPr>
          <w:p w14:paraId="132740AB"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31" w:type="dxa"/>
            <w:tcBorders>
              <w:top w:val="nil"/>
              <w:left w:val="nil"/>
              <w:bottom w:val="nil"/>
              <w:right w:val="nil"/>
            </w:tcBorders>
            <w:vAlign w:val="center"/>
            <w:hideMark/>
          </w:tcPr>
          <w:p w14:paraId="63E8A5A7"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15" w:type="dxa"/>
            <w:tcBorders>
              <w:top w:val="nil"/>
              <w:left w:val="nil"/>
              <w:bottom w:val="nil"/>
              <w:right w:val="nil"/>
            </w:tcBorders>
            <w:vAlign w:val="center"/>
            <w:hideMark/>
          </w:tcPr>
          <w:p w14:paraId="6F27E715"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24" w:type="dxa"/>
            <w:tcBorders>
              <w:top w:val="nil"/>
              <w:left w:val="nil"/>
              <w:bottom w:val="nil"/>
              <w:right w:val="nil"/>
            </w:tcBorders>
            <w:vAlign w:val="center"/>
            <w:hideMark/>
          </w:tcPr>
          <w:p w14:paraId="68D914A7"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p>
        </w:tc>
        <w:tc>
          <w:tcPr>
            <w:tcW w:w="709" w:type="dxa"/>
            <w:tcBorders>
              <w:top w:val="nil"/>
              <w:left w:val="nil"/>
              <w:bottom w:val="nil"/>
              <w:right w:val="nil"/>
            </w:tcBorders>
            <w:vAlign w:val="center"/>
            <w:hideMark/>
          </w:tcPr>
          <w:p w14:paraId="6AFA269A" w14:textId="77777777" w:rsidR="00A74C68" w:rsidRPr="00471CBA" w:rsidRDefault="00A74C68" w:rsidP="00A74C68">
            <w:pPr>
              <w:jc w:val="right"/>
              <w:rPr>
                <w:b/>
                <w:bCs/>
                <w:color w:val="000000"/>
                <w:sz w:val="14"/>
                <w:szCs w:val="14"/>
                <w:lang w:eastAsia="tr-TR"/>
              </w:rPr>
            </w:pPr>
            <w:r w:rsidRPr="00471CBA">
              <w:rPr>
                <w:b/>
                <w:bCs/>
                <w:color w:val="000000"/>
                <w:sz w:val="14"/>
                <w:szCs w:val="14"/>
              </w:rPr>
              <w:t>8.092</w:t>
            </w:r>
          </w:p>
        </w:tc>
        <w:tc>
          <w:tcPr>
            <w:tcW w:w="971" w:type="dxa"/>
            <w:tcBorders>
              <w:top w:val="nil"/>
              <w:left w:val="nil"/>
              <w:bottom w:val="nil"/>
              <w:right w:val="nil"/>
            </w:tcBorders>
            <w:vAlign w:val="center"/>
            <w:hideMark/>
          </w:tcPr>
          <w:p w14:paraId="19A7DD48" w14:textId="77777777" w:rsidR="00A74C68" w:rsidRPr="00471CBA" w:rsidRDefault="00A74C68" w:rsidP="00A74C68">
            <w:pPr>
              <w:jc w:val="right"/>
              <w:rPr>
                <w:b/>
                <w:bCs/>
                <w:color w:val="000000"/>
                <w:sz w:val="14"/>
                <w:szCs w:val="14"/>
                <w:lang w:eastAsia="tr-TR"/>
              </w:rPr>
            </w:pPr>
            <w:r w:rsidRPr="00471CBA">
              <w:rPr>
                <w:b/>
                <w:bCs/>
                <w:color w:val="000000"/>
                <w:sz w:val="14"/>
                <w:szCs w:val="14"/>
              </w:rPr>
              <w:t>(</w:t>
            </w:r>
            <w:r w:rsidRPr="00471CBA">
              <w:rPr>
                <w:b/>
                <w:bCs/>
                <w:color w:val="000000"/>
                <w:sz w:val="14"/>
                <w:szCs w:val="14"/>
                <w:lang w:eastAsia="tr-TR"/>
              </w:rPr>
              <w:t>8.092)</w:t>
            </w:r>
          </w:p>
        </w:tc>
        <w:tc>
          <w:tcPr>
            <w:tcW w:w="952" w:type="dxa"/>
            <w:tcBorders>
              <w:top w:val="nil"/>
              <w:left w:val="nil"/>
              <w:bottom w:val="nil"/>
              <w:right w:val="single" w:sz="4" w:space="0" w:color="auto"/>
            </w:tcBorders>
            <w:vAlign w:val="center"/>
            <w:hideMark/>
          </w:tcPr>
          <w:p w14:paraId="57E0C608" w14:textId="77777777" w:rsidR="00A74C68" w:rsidRPr="00471CBA" w:rsidRDefault="00A74C68" w:rsidP="00A74C68">
            <w:pPr>
              <w:jc w:val="right"/>
              <w:rPr>
                <w:b/>
                <w:bCs/>
                <w:color w:val="000000"/>
                <w:sz w:val="14"/>
                <w:szCs w:val="14"/>
              </w:rPr>
            </w:pPr>
            <w:r w:rsidRPr="00471CBA">
              <w:rPr>
                <w:b/>
                <w:bCs/>
                <w:color w:val="000000"/>
                <w:sz w:val="14"/>
                <w:szCs w:val="14"/>
              </w:rPr>
              <w:t>-</w:t>
            </w:r>
          </w:p>
        </w:tc>
      </w:tr>
      <w:tr w:rsidR="00A74C68" w:rsidRPr="00471CBA" w14:paraId="5769FF2E" w14:textId="77777777" w:rsidTr="00A74C68">
        <w:trPr>
          <w:divId w:val="2141610945"/>
          <w:trHeight w:val="113"/>
        </w:trPr>
        <w:tc>
          <w:tcPr>
            <w:tcW w:w="563" w:type="dxa"/>
            <w:tcBorders>
              <w:top w:val="nil"/>
              <w:left w:val="single" w:sz="4" w:space="0" w:color="auto"/>
              <w:bottom w:val="nil"/>
              <w:right w:val="nil"/>
            </w:tcBorders>
            <w:vAlign w:val="center"/>
            <w:hideMark/>
          </w:tcPr>
          <w:p w14:paraId="32A0CCF2" w14:textId="77777777" w:rsidR="00A74C68" w:rsidRPr="00471CBA" w:rsidRDefault="00A74C68" w:rsidP="00A74C68">
            <w:pPr>
              <w:rPr>
                <w:color w:val="000000"/>
                <w:sz w:val="14"/>
                <w:szCs w:val="14"/>
              </w:rPr>
            </w:pPr>
            <w:r w:rsidRPr="00471CBA">
              <w:rPr>
                <w:color w:val="000000"/>
                <w:sz w:val="14"/>
                <w:szCs w:val="14"/>
              </w:rPr>
              <w:t>11.1</w:t>
            </w:r>
          </w:p>
        </w:tc>
        <w:tc>
          <w:tcPr>
            <w:tcW w:w="3543" w:type="dxa"/>
            <w:tcBorders>
              <w:top w:val="nil"/>
              <w:left w:val="nil"/>
              <w:bottom w:val="nil"/>
              <w:right w:val="nil"/>
            </w:tcBorders>
            <w:vAlign w:val="center"/>
            <w:hideMark/>
          </w:tcPr>
          <w:p w14:paraId="5DE32B24" w14:textId="77777777" w:rsidR="00A74C68" w:rsidRPr="00471CBA" w:rsidRDefault="00A74C68" w:rsidP="00A74C68">
            <w:pPr>
              <w:rPr>
                <w:color w:val="000000"/>
                <w:sz w:val="14"/>
                <w:szCs w:val="14"/>
              </w:rPr>
            </w:pPr>
            <w:r w:rsidRPr="00471CBA">
              <w:rPr>
                <w:color w:val="000000"/>
                <w:sz w:val="14"/>
                <w:szCs w:val="14"/>
              </w:rPr>
              <w:t>Dağıtılan Temettü</w:t>
            </w:r>
          </w:p>
        </w:tc>
        <w:tc>
          <w:tcPr>
            <w:tcW w:w="707" w:type="dxa"/>
            <w:tcBorders>
              <w:top w:val="nil"/>
              <w:left w:val="nil"/>
              <w:bottom w:val="nil"/>
              <w:right w:val="nil"/>
            </w:tcBorders>
            <w:vAlign w:val="center"/>
            <w:hideMark/>
          </w:tcPr>
          <w:p w14:paraId="6EFAEC00" w14:textId="77777777" w:rsidR="00A74C68" w:rsidRPr="00471CBA" w:rsidRDefault="00A74C68" w:rsidP="00A74C68">
            <w:pPr>
              <w:rPr>
                <w:color w:val="000000"/>
                <w:sz w:val="14"/>
                <w:szCs w:val="14"/>
              </w:rPr>
            </w:pPr>
          </w:p>
        </w:tc>
        <w:tc>
          <w:tcPr>
            <w:tcW w:w="777" w:type="dxa"/>
            <w:tcBorders>
              <w:top w:val="nil"/>
              <w:left w:val="nil"/>
              <w:bottom w:val="nil"/>
              <w:right w:val="nil"/>
            </w:tcBorders>
            <w:vAlign w:val="center"/>
            <w:hideMark/>
          </w:tcPr>
          <w:p w14:paraId="2B3CB9BB"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709" w:type="dxa"/>
            <w:tcBorders>
              <w:top w:val="nil"/>
              <w:left w:val="nil"/>
              <w:bottom w:val="nil"/>
              <w:right w:val="nil"/>
            </w:tcBorders>
            <w:vAlign w:val="center"/>
            <w:hideMark/>
          </w:tcPr>
          <w:p w14:paraId="53AE0CFB"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708" w:type="dxa"/>
            <w:tcBorders>
              <w:top w:val="nil"/>
              <w:left w:val="nil"/>
              <w:bottom w:val="nil"/>
              <w:right w:val="nil"/>
            </w:tcBorders>
            <w:vAlign w:val="center"/>
            <w:hideMark/>
          </w:tcPr>
          <w:p w14:paraId="5734CF0D"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724" w:type="dxa"/>
            <w:tcBorders>
              <w:top w:val="nil"/>
              <w:left w:val="nil"/>
              <w:bottom w:val="nil"/>
              <w:right w:val="nil"/>
            </w:tcBorders>
            <w:vAlign w:val="center"/>
            <w:hideMark/>
          </w:tcPr>
          <w:p w14:paraId="1FF805B5"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658" w:type="dxa"/>
            <w:tcBorders>
              <w:top w:val="nil"/>
              <w:left w:val="nil"/>
              <w:bottom w:val="nil"/>
              <w:right w:val="nil"/>
            </w:tcBorders>
            <w:vAlign w:val="center"/>
            <w:hideMark/>
          </w:tcPr>
          <w:p w14:paraId="08FFBE62"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709" w:type="dxa"/>
            <w:tcBorders>
              <w:top w:val="nil"/>
              <w:left w:val="nil"/>
              <w:bottom w:val="nil"/>
              <w:right w:val="nil"/>
            </w:tcBorders>
            <w:vAlign w:val="center"/>
            <w:hideMark/>
          </w:tcPr>
          <w:p w14:paraId="56376FF8"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641" w:type="dxa"/>
            <w:tcBorders>
              <w:top w:val="nil"/>
              <w:left w:val="nil"/>
              <w:bottom w:val="nil"/>
              <w:right w:val="nil"/>
            </w:tcBorders>
            <w:vAlign w:val="center"/>
            <w:hideMark/>
          </w:tcPr>
          <w:p w14:paraId="27CF6A0B"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636" w:type="dxa"/>
            <w:tcBorders>
              <w:top w:val="nil"/>
              <w:left w:val="nil"/>
              <w:bottom w:val="nil"/>
              <w:right w:val="nil"/>
            </w:tcBorders>
            <w:vAlign w:val="center"/>
            <w:hideMark/>
          </w:tcPr>
          <w:p w14:paraId="5B23DF84"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731" w:type="dxa"/>
            <w:tcBorders>
              <w:top w:val="nil"/>
              <w:left w:val="nil"/>
              <w:bottom w:val="nil"/>
              <w:right w:val="nil"/>
            </w:tcBorders>
            <w:vAlign w:val="center"/>
            <w:hideMark/>
          </w:tcPr>
          <w:p w14:paraId="0A42BBA6"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715" w:type="dxa"/>
            <w:tcBorders>
              <w:top w:val="nil"/>
              <w:left w:val="nil"/>
              <w:bottom w:val="nil"/>
              <w:right w:val="nil"/>
            </w:tcBorders>
            <w:vAlign w:val="center"/>
            <w:hideMark/>
          </w:tcPr>
          <w:p w14:paraId="3D2589F9"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724" w:type="dxa"/>
            <w:tcBorders>
              <w:top w:val="nil"/>
              <w:left w:val="nil"/>
              <w:bottom w:val="nil"/>
              <w:right w:val="nil"/>
            </w:tcBorders>
            <w:vAlign w:val="center"/>
            <w:hideMark/>
          </w:tcPr>
          <w:p w14:paraId="642AF7E9"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709" w:type="dxa"/>
            <w:tcBorders>
              <w:top w:val="nil"/>
              <w:left w:val="nil"/>
              <w:bottom w:val="nil"/>
              <w:right w:val="nil"/>
            </w:tcBorders>
            <w:vAlign w:val="center"/>
            <w:hideMark/>
          </w:tcPr>
          <w:p w14:paraId="5F759968"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971" w:type="dxa"/>
            <w:tcBorders>
              <w:top w:val="nil"/>
              <w:left w:val="nil"/>
              <w:bottom w:val="nil"/>
              <w:right w:val="nil"/>
            </w:tcBorders>
            <w:vAlign w:val="center"/>
            <w:hideMark/>
          </w:tcPr>
          <w:p w14:paraId="3D8B1CF9"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952" w:type="dxa"/>
            <w:tcBorders>
              <w:top w:val="nil"/>
              <w:left w:val="nil"/>
              <w:bottom w:val="nil"/>
              <w:right w:val="single" w:sz="4" w:space="0" w:color="auto"/>
            </w:tcBorders>
            <w:vAlign w:val="center"/>
            <w:hideMark/>
          </w:tcPr>
          <w:p w14:paraId="1CE34F68" w14:textId="77777777" w:rsidR="00A74C68" w:rsidRPr="00471CBA" w:rsidRDefault="00A74C68" w:rsidP="00A74C68">
            <w:pPr>
              <w:jc w:val="right"/>
              <w:rPr>
                <w:color w:val="000000"/>
                <w:sz w:val="14"/>
                <w:szCs w:val="14"/>
              </w:rPr>
            </w:pPr>
            <w:r w:rsidRPr="00471CBA">
              <w:rPr>
                <w:color w:val="000000"/>
                <w:sz w:val="14"/>
                <w:szCs w:val="14"/>
              </w:rPr>
              <w:t>-</w:t>
            </w:r>
          </w:p>
        </w:tc>
      </w:tr>
      <w:tr w:rsidR="00A74C68" w:rsidRPr="00471CBA" w14:paraId="304D45D1" w14:textId="77777777" w:rsidTr="00A74C68">
        <w:trPr>
          <w:divId w:val="2141610945"/>
          <w:trHeight w:val="113"/>
        </w:trPr>
        <w:tc>
          <w:tcPr>
            <w:tcW w:w="563" w:type="dxa"/>
            <w:tcBorders>
              <w:top w:val="nil"/>
              <w:left w:val="single" w:sz="4" w:space="0" w:color="auto"/>
              <w:bottom w:val="nil"/>
              <w:right w:val="nil"/>
            </w:tcBorders>
            <w:vAlign w:val="center"/>
            <w:hideMark/>
          </w:tcPr>
          <w:p w14:paraId="186F5C9C" w14:textId="77777777" w:rsidR="00A74C68" w:rsidRPr="00471CBA" w:rsidRDefault="00A74C68" w:rsidP="00A74C68">
            <w:pPr>
              <w:rPr>
                <w:color w:val="000000"/>
                <w:sz w:val="14"/>
                <w:szCs w:val="14"/>
              </w:rPr>
            </w:pPr>
            <w:r w:rsidRPr="00471CBA">
              <w:rPr>
                <w:color w:val="000000"/>
                <w:sz w:val="14"/>
                <w:szCs w:val="14"/>
              </w:rPr>
              <w:t>11.2</w:t>
            </w:r>
          </w:p>
        </w:tc>
        <w:tc>
          <w:tcPr>
            <w:tcW w:w="3543" w:type="dxa"/>
            <w:tcBorders>
              <w:top w:val="nil"/>
              <w:left w:val="nil"/>
              <w:bottom w:val="nil"/>
              <w:right w:val="nil"/>
            </w:tcBorders>
            <w:vAlign w:val="center"/>
            <w:hideMark/>
          </w:tcPr>
          <w:p w14:paraId="0340786F" w14:textId="77777777" w:rsidR="00A74C68" w:rsidRPr="00471CBA" w:rsidRDefault="00A74C68" w:rsidP="00A74C68">
            <w:pPr>
              <w:rPr>
                <w:color w:val="000000"/>
                <w:sz w:val="14"/>
                <w:szCs w:val="14"/>
              </w:rPr>
            </w:pPr>
            <w:r w:rsidRPr="00471CBA">
              <w:rPr>
                <w:color w:val="000000"/>
                <w:sz w:val="14"/>
                <w:szCs w:val="14"/>
              </w:rPr>
              <w:t>Yedeklere Aktarılan Tutarlar</w:t>
            </w:r>
          </w:p>
        </w:tc>
        <w:tc>
          <w:tcPr>
            <w:tcW w:w="707" w:type="dxa"/>
            <w:tcBorders>
              <w:top w:val="nil"/>
              <w:left w:val="nil"/>
              <w:bottom w:val="nil"/>
              <w:right w:val="nil"/>
            </w:tcBorders>
            <w:vAlign w:val="center"/>
            <w:hideMark/>
          </w:tcPr>
          <w:p w14:paraId="5B58F0CC" w14:textId="77777777" w:rsidR="00A74C68" w:rsidRPr="00471CBA" w:rsidRDefault="00A74C68" w:rsidP="00A74C68">
            <w:pPr>
              <w:rPr>
                <w:color w:val="000000"/>
                <w:sz w:val="14"/>
                <w:szCs w:val="14"/>
              </w:rPr>
            </w:pPr>
          </w:p>
        </w:tc>
        <w:tc>
          <w:tcPr>
            <w:tcW w:w="777" w:type="dxa"/>
            <w:tcBorders>
              <w:top w:val="nil"/>
              <w:left w:val="nil"/>
              <w:bottom w:val="nil"/>
              <w:right w:val="nil"/>
            </w:tcBorders>
            <w:vAlign w:val="center"/>
            <w:hideMark/>
          </w:tcPr>
          <w:p w14:paraId="7E1A9DF8"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709" w:type="dxa"/>
            <w:tcBorders>
              <w:top w:val="nil"/>
              <w:left w:val="nil"/>
              <w:bottom w:val="nil"/>
              <w:right w:val="nil"/>
            </w:tcBorders>
            <w:vAlign w:val="center"/>
            <w:hideMark/>
          </w:tcPr>
          <w:p w14:paraId="5E2B3E75"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708" w:type="dxa"/>
            <w:tcBorders>
              <w:top w:val="nil"/>
              <w:left w:val="nil"/>
              <w:bottom w:val="nil"/>
              <w:right w:val="nil"/>
            </w:tcBorders>
            <w:vAlign w:val="center"/>
            <w:hideMark/>
          </w:tcPr>
          <w:p w14:paraId="3C080903"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724" w:type="dxa"/>
            <w:tcBorders>
              <w:top w:val="nil"/>
              <w:left w:val="nil"/>
              <w:bottom w:val="nil"/>
              <w:right w:val="nil"/>
            </w:tcBorders>
            <w:vAlign w:val="center"/>
            <w:hideMark/>
          </w:tcPr>
          <w:p w14:paraId="1B4E9142"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658" w:type="dxa"/>
            <w:tcBorders>
              <w:top w:val="nil"/>
              <w:left w:val="nil"/>
              <w:bottom w:val="nil"/>
              <w:right w:val="nil"/>
            </w:tcBorders>
            <w:vAlign w:val="center"/>
            <w:hideMark/>
          </w:tcPr>
          <w:p w14:paraId="30274A4C"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709" w:type="dxa"/>
            <w:tcBorders>
              <w:top w:val="nil"/>
              <w:left w:val="nil"/>
              <w:bottom w:val="nil"/>
              <w:right w:val="nil"/>
            </w:tcBorders>
            <w:vAlign w:val="center"/>
            <w:hideMark/>
          </w:tcPr>
          <w:p w14:paraId="6E5A1DB9"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641" w:type="dxa"/>
            <w:tcBorders>
              <w:top w:val="nil"/>
              <w:left w:val="nil"/>
              <w:bottom w:val="nil"/>
              <w:right w:val="nil"/>
            </w:tcBorders>
            <w:vAlign w:val="center"/>
            <w:hideMark/>
          </w:tcPr>
          <w:p w14:paraId="1233336D"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636" w:type="dxa"/>
            <w:tcBorders>
              <w:top w:val="nil"/>
              <w:left w:val="nil"/>
              <w:bottom w:val="nil"/>
              <w:right w:val="nil"/>
            </w:tcBorders>
            <w:vAlign w:val="center"/>
            <w:hideMark/>
          </w:tcPr>
          <w:p w14:paraId="5148A1C1"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731" w:type="dxa"/>
            <w:tcBorders>
              <w:top w:val="nil"/>
              <w:left w:val="nil"/>
              <w:bottom w:val="nil"/>
              <w:right w:val="nil"/>
            </w:tcBorders>
            <w:vAlign w:val="center"/>
            <w:hideMark/>
          </w:tcPr>
          <w:p w14:paraId="6A725C0D"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715" w:type="dxa"/>
            <w:tcBorders>
              <w:top w:val="nil"/>
              <w:left w:val="nil"/>
              <w:bottom w:val="nil"/>
              <w:right w:val="nil"/>
            </w:tcBorders>
            <w:vAlign w:val="center"/>
            <w:hideMark/>
          </w:tcPr>
          <w:p w14:paraId="404250FD"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724" w:type="dxa"/>
            <w:tcBorders>
              <w:top w:val="nil"/>
              <w:left w:val="nil"/>
              <w:bottom w:val="nil"/>
              <w:right w:val="nil"/>
            </w:tcBorders>
            <w:vAlign w:val="center"/>
            <w:hideMark/>
          </w:tcPr>
          <w:p w14:paraId="4B29D3D3"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709" w:type="dxa"/>
            <w:tcBorders>
              <w:top w:val="nil"/>
              <w:left w:val="nil"/>
              <w:bottom w:val="nil"/>
              <w:right w:val="nil"/>
            </w:tcBorders>
            <w:vAlign w:val="center"/>
            <w:hideMark/>
          </w:tcPr>
          <w:p w14:paraId="1EB01E4B"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971" w:type="dxa"/>
            <w:tcBorders>
              <w:top w:val="nil"/>
              <w:left w:val="nil"/>
              <w:bottom w:val="nil"/>
              <w:right w:val="nil"/>
            </w:tcBorders>
            <w:vAlign w:val="center"/>
            <w:hideMark/>
          </w:tcPr>
          <w:p w14:paraId="6586F883"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952" w:type="dxa"/>
            <w:tcBorders>
              <w:top w:val="nil"/>
              <w:left w:val="nil"/>
              <w:bottom w:val="nil"/>
              <w:right w:val="single" w:sz="4" w:space="0" w:color="auto"/>
            </w:tcBorders>
            <w:vAlign w:val="center"/>
            <w:hideMark/>
          </w:tcPr>
          <w:p w14:paraId="05F8AE8F" w14:textId="77777777" w:rsidR="00A74C68" w:rsidRPr="00471CBA" w:rsidRDefault="00A74C68" w:rsidP="00A74C68">
            <w:pPr>
              <w:jc w:val="right"/>
              <w:rPr>
                <w:color w:val="000000"/>
                <w:sz w:val="14"/>
                <w:szCs w:val="14"/>
              </w:rPr>
            </w:pPr>
            <w:r w:rsidRPr="00471CBA">
              <w:rPr>
                <w:color w:val="000000"/>
                <w:sz w:val="14"/>
                <w:szCs w:val="14"/>
              </w:rPr>
              <w:t>-</w:t>
            </w:r>
          </w:p>
        </w:tc>
      </w:tr>
      <w:tr w:rsidR="00A74C68" w:rsidRPr="00471CBA" w14:paraId="359B742F" w14:textId="77777777" w:rsidTr="00A74C68">
        <w:trPr>
          <w:divId w:val="2141610945"/>
          <w:trHeight w:val="113"/>
        </w:trPr>
        <w:tc>
          <w:tcPr>
            <w:tcW w:w="563" w:type="dxa"/>
            <w:tcBorders>
              <w:top w:val="nil"/>
              <w:left w:val="single" w:sz="4" w:space="0" w:color="auto"/>
              <w:bottom w:val="nil"/>
              <w:right w:val="nil"/>
            </w:tcBorders>
            <w:vAlign w:val="center"/>
            <w:hideMark/>
          </w:tcPr>
          <w:p w14:paraId="1F7C40AA" w14:textId="77777777" w:rsidR="00A74C68" w:rsidRPr="00471CBA" w:rsidRDefault="00A74C68" w:rsidP="00A74C68">
            <w:pPr>
              <w:rPr>
                <w:color w:val="000000"/>
                <w:sz w:val="14"/>
                <w:szCs w:val="14"/>
              </w:rPr>
            </w:pPr>
            <w:r w:rsidRPr="00471CBA">
              <w:rPr>
                <w:color w:val="000000"/>
                <w:sz w:val="14"/>
                <w:szCs w:val="14"/>
              </w:rPr>
              <w:t>11.3</w:t>
            </w:r>
          </w:p>
        </w:tc>
        <w:tc>
          <w:tcPr>
            <w:tcW w:w="3543" w:type="dxa"/>
            <w:tcBorders>
              <w:top w:val="nil"/>
              <w:left w:val="nil"/>
              <w:bottom w:val="nil"/>
              <w:right w:val="nil"/>
            </w:tcBorders>
            <w:vAlign w:val="center"/>
            <w:hideMark/>
          </w:tcPr>
          <w:p w14:paraId="7CC97626" w14:textId="77777777" w:rsidR="00A74C68" w:rsidRPr="00471CBA" w:rsidRDefault="00A74C68" w:rsidP="00A74C68">
            <w:pPr>
              <w:rPr>
                <w:color w:val="000000"/>
                <w:sz w:val="14"/>
                <w:szCs w:val="14"/>
              </w:rPr>
            </w:pPr>
            <w:r w:rsidRPr="00471CBA">
              <w:rPr>
                <w:color w:val="000000"/>
                <w:sz w:val="14"/>
                <w:szCs w:val="14"/>
              </w:rPr>
              <w:t xml:space="preserve">Diğer </w:t>
            </w:r>
          </w:p>
        </w:tc>
        <w:tc>
          <w:tcPr>
            <w:tcW w:w="707" w:type="dxa"/>
            <w:tcBorders>
              <w:top w:val="nil"/>
              <w:left w:val="nil"/>
              <w:bottom w:val="nil"/>
              <w:right w:val="nil"/>
            </w:tcBorders>
            <w:vAlign w:val="center"/>
            <w:hideMark/>
          </w:tcPr>
          <w:p w14:paraId="57C67914" w14:textId="77777777" w:rsidR="00A74C68" w:rsidRPr="00471CBA" w:rsidRDefault="00A74C68" w:rsidP="00A74C68">
            <w:pPr>
              <w:rPr>
                <w:color w:val="000000"/>
                <w:sz w:val="14"/>
                <w:szCs w:val="14"/>
              </w:rPr>
            </w:pPr>
          </w:p>
        </w:tc>
        <w:tc>
          <w:tcPr>
            <w:tcW w:w="777" w:type="dxa"/>
            <w:tcBorders>
              <w:top w:val="nil"/>
              <w:left w:val="nil"/>
              <w:bottom w:val="nil"/>
              <w:right w:val="nil"/>
            </w:tcBorders>
            <w:vAlign w:val="center"/>
            <w:hideMark/>
          </w:tcPr>
          <w:p w14:paraId="741FD60B"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709" w:type="dxa"/>
            <w:tcBorders>
              <w:top w:val="nil"/>
              <w:left w:val="nil"/>
              <w:bottom w:val="nil"/>
              <w:right w:val="nil"/>
            </w:tcBorders>
            <w:vAlign w:val="center"/>
            <w:hideMark/>
          </w:tcPr>
          <w:p w14:paraId="046365C7"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708" w:type="dxa"/>
            <w:tcBorders>
              <w:top w:val="nil"/>
              <w:left w:val="nil"/>
              <w:bottom w:val="nil"/>
              <w:right w:val="nil"/>
            </w:tcBorders>
            <w:vAlign w:val="center"/>
            <w:hideMark/>
          </w:tcPr>
          <w:p w14:paraId="7444277B"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724" w:type="dxa"/>
            <w:tcBorders>
              <w:top w:val="nil"/>
              <w:left w:val="nil"/>
              <w:bottom w:val="nil"/>
              <w:right w:val="nil"/>
            </w:tcBorders>
            <w:vAlign w:val="center"/>
            <w:hideMark/>
          </w:tcPr>
          <w:p w14:paraId="75AB8F9E"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658" w:type="dxa"/>
            <w:tcBorders>
              <w:top w:val="nil"/>
              <w:left w:val="nil"/>
              <w:bottom w:val="nil"/>
              <w:right w:val="nil"/>
            </w:tcBorders>
            <w:vAlign w:val="center"/>
            <w:hideMark/>
          </w:tcPr>
          <w:p w14:paraId="51B19D01"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709" w:type="dxa"/>
            <w:tcBorders>
              <w:top w:val="nil"/>
              <w:left w:val="nil"/>
              <w:bottom w:val="nil"/>
              <w:right w:val="nil"/>
            </w:tcBorders>
            <w:vAlign w:val="center"/>
            <w:hideMark/>
          </w:tcPr>
          <w:p w14:paraId="25E10BE7"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641" w:type="dxa"/>
            <w:tcBorders>
              <w:top w:val="nil"/>
              <w:left w:val="nil"/>
              <w:bottom w:val="nil"/>
              <w:right w:val="nil"/>
            </w:tcBorders>
            <w:vAlign w:val="center"/>
            <w:hideMark/>
          </w:tcPr>
          <w:p w14:paraId="45925CE8"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636" w:type="dxa"/>
            <w:tcBorders>
              <w:top w:val="nil"/>
              <w:left w:val="nil"/>
              <w:bottom w:val="nil"/>
              <w:right w:val="nil"/>
            </w:tcBorders>
            <w:vAlign w:val="center"/>
            <w:hideMark/>
          </w:tcPr>
          <w:p w14:paraId="1B030EC5"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731" w:type="dxa"/>
            <w:tcBorders>
              <w:top w:val="nil"/>
              <w:left w:val="nil"/>
              <w:bottom w:val="nil"/>
              <w:right w:val="nil"/>
            </w:tcBorders>
            <w:vAlign w:val="center"/>
            <w:hideMark/>
          </w:tcPr>
          <w:p w14:paraId="5F5A50EA"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715" w:type="dxa"/>
            <w:tcBorders>
              <w:top w:val="nil"/>
              <w:left w:val="nil"/>
              <w:bottom w:val="nil"/>
              <w:right w:val="nil"/>
            </w:tcBorders>
            <w:vAlign w:val="center"/>
            <w:hideMark/>
          </w:tcPr>
          <w:p w14:paraId="26DF0770"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724" w:type="dxa"/>
            <w:tcBorders>
              <w:top w:val="nil"/>
              <w:left w:val="nil"/>
              <w:bottom w:val="nil"/>
              <w:right w:val="nil"/>
            </w:tcBorders>
            <w:vAlign w:val="center"/>
            <w:hideMark/>
          </w:tcPr>
          <w:p w14:paraId="552D12C7" w14:textId="77777777" w:rsidR="00A74C68" w:rsidRPr="00471CBA" w:rsidRDefault="00A74C68" w:rsidP="00A74C68">
            <w:pPr>
              <w:jc w:val="right"/>
              <w:rPr>
                <w:color w:val="000000"/>
                <w:sz w:val="14"/>
                <w:szCs w:val="14"/>
                <w:lang w:eastAsia="tr-TR"/>
              </w:rPr>
            </w:pPr>
            <w:r w:rsidRPr="00471CBA">
              <w:rPr>
                <w:color w:val="000000"/>
                <w:sz w:val="14"/>
                <w:szCs w:val="14"/>
              </w:rPr>
              <w:t>-</w:t>
            </w:r>
          </w:p>
        </w:tc>
        <w:tc>
          <w:tcPr>
            <w:tcW w:w="709" w:type="dxa"/>
            <w:tcBorders>
              <w:top w:val="nil"/>
              <w:left w:val="nil"/>
              <w:bottom w:val="nil"/>
              <w:right w:val="nil"/>
            </w:tcBorders>
            <w:vAlign w:val="center"/>
            <w:hideMark/>
          </w:tcPr>
          <w:p w14:paraId="3D3633E2" w14:textId="77777777" w:rsidR="00A74C68" w:rsidRPr="00471CBA" w:rsidRDefault="00A74C68" w:rsidP="00A74C68">
            <w:pPr>
              <w:jc w:val="right"/>
              <w:rPr>
                <w:color w:val="000000"/>
                <w:sz w:val="14"/>
                <w:szCs w:val="14"/>
                <w:lang w:eastAsia="tr-TR"/>
              </w:rPr>
            </w:pPr>
            <w:r w:rsidRPr="00471CBA">
              <w:rPr>
                <w:color w:val="000000"/>
                <w:sz w:val="14"/>
                <w:szCs w:val="14"/>
              </w:rPr>
              <w:t>8.092</w:t>
            </w:r>
          </w:p>
        </w:tc>
        <w:tc>
          <w:tcPr>
            <w:tcW w:w="971" w:type="dxa"/>
            <w:tcBorders>
              <w:top w:val="nil"/>
              <w:left w:val="nil"/>
              <w:bottom w:val="nil"/>
              <w:right w:val="nil"/>
            </w:tcBorders>
            <w:vAlign w:val="center"/>
            <w:hideMark/>
          </w:tcPr>
          <w:p w14:paraId="63714BE7" w14:textId="77777777" w:rsidR="00A74C68" w:rsidRPr="00471CBA" w:rsidRDefault="00A74C68" w:rsidP="00A74C68">
            <w:pPr>
              <w:jc w:val="right"/>
              <w:rPr>
                <w:color w:val="000000"/>
                <w:sz w:val="14"/>
                <w:szCs w:val="14"/>
                <w:lang w:eastAsia="tr-TR"/>
              </w:rPr>
            </w:pPr>
            <w:r w:rsidRPr="00471CBA">
              <w:rPr>
                <w:color w:val="000000"/>
                <w:sz w:val="14"/>
                <w:szCs w:val="14"/>
              </w:rPr>
              <w:t>(</w:t>
            </w:r>
            <w:r w:rsidRPr="00471CBA">
              <w:rPr>
                <w:color w:val="000000"/>
                <w:sz w:val="14"/>
                <w:szCs w:val="14"/>
                <w:lang w:eastAsia="tr-TR"/>
              </w:rPr>
              <w:t>8.092)</w:t>
            </w:r>
          </w:p>
        </w:tc>
        <w:tc>
          <w:tcPr>
            <w:tcW w:w="952" w:type="dxa"/>
            <w:tcBorders>
              <w:top w:val="nil"/>
              <w:left w:val="nil"/>
              <w:bottom w:val="nil"/>
              <w:right w:val="single" w:sz="4" w:space="0" w:color="auto"/>
            </w:tcBorders>
            <w:vAlign w:val="center"/>
            <w:hideMark/>
          </w:tcPr>
          <w:p w14:paraId="0C79BEDA" w14:textId="77777777" w:rsidR="00A74C68" w:rsidRPr="00471CBA" w:rsidRDefault="00A74C68" w:rsidP="00A74C68">
            <w:pPr>
              <w:jc w:val="right"/>
              <w:rPr>
                <w:color w:val="000000"/>
                <w:sz w:val="14"/>
                <w:szCs w:val="14"/>
              </w:rPr>
            </w:pPr>
            <w:r w:rsidRPr="00471CBA">
              <w:rPr>
                <w:color w:val="000000"/>
                <w:sz w:val="14"/>
                <w:szCs w:val="14"/>
              </w:rPr>
              <w:t>-</w:t>
            </w:r>
          </w:p>
        </w:tc>
      </w:tr>
      <w:tr w:rsidR="00A74C68" w:rsidRPr="00471CBA" w14:paraId="16A45520" w14:textId="77777777" w:rsidTr="00A74C68">
        <w:trPr>
          <w:divId w:val="2141610945"/>
          <w:trHeight w:val="113"/>
        </w:trPr>
        <w:tc>
          <w:tcPr>
            <w:tcW w:w="563" w:type="dxa"/>
            <w:tcBorders>
              <w:top w:val="nil"/>
              <w:left w:val="single" w:sz="4" w:space="0" w:color="auto"/>
              <w:bottom w:val="nil"/>
              <w:right w:val="nil"/>
            </w:tcBorders>
            <w:vAlign w:val="center"/>
            <w:hideMark/>
          </w:tcPr>
          <w:p w14:paraId="27C4F163" w14:textId="77777777" w:rsidR="00A74C68" w:rsidRPr="00471CBA" w:rsidRDefault="00A74C68" w:rsidP="00A74C68">
            <w:pPr>
              <w:rPr>
                <w:color w:val="000000"/>
                <w:sz w:val="14"/>
                <w:szCs w:val="14"/>
              </w:rPr>
            </w:pPr>
            <w:r w:rsidRPr="00471CBA">
              <w:rPr>
                <w:color w:val="000000"/>
                <w:sz w:val="14"/>
                <w:szCs w:val="14"/>
              </w:rPr>
              <w:t> </w:t>
            </w:r>
          </w:p>
        </w:tc>
        <w:tc>
          <w:tcPr>
            <w:tcW w:w="3543" w:type="dxa"/>
            <w:tcBorders>
              <w:top w:val="nil"/>
              <w:left w:val="nil"/>
              <w:bottom w:val="nil"/>
              <w:right w:val="nil"/>
            </w:tcBorders>
            <w:vAlign w:val="center"/>
            <w:hideMark/>
          </w:tcPr>
          <w:p w14:paraId="496D334A" w14:textId="77777777" w:rsidR="00A74C68" w:rsidRPr="00471CBA" w:rsidRDefault="00A74C68" w:rsidP="00A74C68">
            <w:pPr>
              <w:rPr>
                <w:color w:val="000000"/>
                <w:sz w:val="14"/>
                <w:szCs w:val="14"/>
              </w:rPr>
            </w:pPr>
          </w:p>
        </w:tc>
        <w:tc>
          <w:tcPr>
            <w:tcW w:w="707" w:type="dxa"/>
            <w:tcBorders>
              <w:top w:val="nil"/>
              <w:left w:val="nil"/>
              <w:bottom w:val="nil"/>
              <w:right w:val="nil"/>
            </w:tcBorders>
            <w:vAlign w:val="center"/>
            <w:hideMark/>
          </w:tcPr>
          <w:p w14:paraId="7D556CEE" w14:textId="77777777" w:rsidR="00A74C68" w:rsidRPr="00471CBA" w:rsidRDefault="00A74C68" w:rsidP="00A74C68">
            <w:pPr>
              <w:jc w:val="both"/>
              <w:rPr>
                <w:sz w:val="14"/>
                <w:szCs w:val="14"/>
              </w:rPr>
            </w:pPr>
          </w:p>
        </w:tc>
        <w:tc>
          <w:tcPr>
            <w:tcW w:w="777" w:type="dxa"/>
            <w:tcBorders>
              <w:top w:val="nil"/>
              <w:left w:val="nil"/>
              <w:bottom w:val="nil"/>
              <w:right w:val="nil"/>
            </w:tcBorders>
            <w:vAlign w:val="center"/>
            <w:hideMark/>
          </w:tcPr>
          <w:p w14:paraId="5140D880" w14:textId="77777777" w:rsidR="00A74C68" w:rsidRPr="00471CBA" w:rsidRDefault="00A74C68" w:rsidP="00A74C68">
            <w:pPr>
              <w:jc w:val="right"/>
              <w:rPr>
                <w:sz w:val="14"/>
                <w:szCs w:val="14"/>
              </w:rPr>
            </w:pPr>
          </w:p>
        </w:tc>
        <w:tc>
          <w:tcPr>
            <w:tcW w:w="709" w:type="dxa"/>
            <w:tcBorders>
              <w:top w:val="nil"/>
              <w:left w:val="nil"/>
              <w:bottom w:val="nil"/>
              <w:right w:val="nil"/>
            </w:tcBorders>
            <w:vAlign w:val="center"/>
            <w:hideMark/>
          </w:tcPr>
          <w:p w14:paraId="3FBE9206" w14:textId="77777777" w:rsidR="00A74C68" w:rsidRPr="00471CBA" w:rsidRDefault="00A74C68" w:rsidP="00A74C68">
            <w:pPr>
              <w:jc w:val="right"/>
              <w:rPr>
                <w:sz w:val="14"/>
                <w:szCs w:val="14"/>
              </w:rPr>
            </w:pPr>
          </w:p>
        </w:tc>
        <w:tc>
          <w:tcPr>
            <w:tcW w:w="708" w:type="dxa"/>
            <w:tcBorders>
              <w:top w:val="nil"/>
              <w:left w:val="nil"/>
              <w:bottom w:val="nil"/>
              <w:right w:val="nil"/>
            </w:tcBorders>
            <w:vAlign w:val="center"/>
            <w:hideMark/>
          </w:tcPr>
          <w:p w14:paraId="0CF4BCC3" w14:textId="77777777" w:rsidR="00A74C68" w:rsidRPr="00471CBA" w:rsidRDefault="00A74C68" w:rsidP="00A74C68">
            <w:pPr>
              <w:jc w:val="right"/>
              <w:rPr>
                <w:sz w:val="14"/>
                <w:szCs w:val="14"/>
              </w:rPr>
            </w:pPr>
          </w:p>
        </w:tc>
        <w:tc>
          <w:tcPr>
            <w:tcW w:w="724" w:type="dxa"/>
            <w:tcBorders>
              <w:top w:val="nil"/>
              <w:left w:val="nil"/>
              <w:bottom w:val="nil"/>
              <w:right w:val="nil"/>
            </w:tcBorders>
            <w:vAlign w:val="center"/>
            <w:hideMark/>
          </w:tcPr>
          <w:p w14:paraId="23FA2A62" w14:textId="77777777" w:rsidR="00A74C68" w:rsidRPr="00471CBA" w:rsidRDefault="00A74C68" w:rsidP="00A74C68">
            <w:pPr>
              <w:jc w:val="right"/>
              <w:rPr>
                <w:sz w:val="14"/>
                <w:szCs w:val="14"/>
              </w:rPr>
            </w:pPr>
          </w:p>
        </w:tc>
        <w:tc>
          <w:tcPr>
            <w:tcW w:w="658" w:type="dxa"/>
            <w:tcBorders>
              <w:top w:val="nil"/>
              <w:left w:val="nil"/>
              <w:bottom w:val="nil"/>
              <w:right w:val="nil"/>
            </w:tcBorders>
            <w:vAlign w:val="center"/>
            <w:hideMark/>
          </w:tcPr>
          <w:p w14:paraId="4F38A527" w14:textId="77777777" w:rsidR="00A74C68" w:rsidRPr="00471CBA" w:rsidRDefault="00A74C68" w:rsidP="00A74C68">
            <w:pPr>
              <w:jc w:val="right"/>
              <w:rPr>
                <w:sz w:val="14"/>
                <w:szCs w:val="14"/>
              </w:rPr>
            </w:pPr>
          </w:p>
        </w:tc>
        <w:tc>
          <w:tcPr>
            <w:tcW w:w="709" w:type="dxa"/>
            <w:tcBorders>
              <w:top w:val="nil"/>
              <w:left w:val="nil"/>
              <w:bottom w:val="nil"/>
              <w:right w:val="nil"/>
            </w:tcBorders>
            <w:vAlign w:val="center"/>
            <w:hideMark/>
          </w:tcPr>
          <w:p w14:paraId="4B24A1CF" w14:textId="77777777" w:rsidR="00A74C68" w:rsidRPr="00471CBA" w:rsidRDefault="00A74C68" w:rsidP="00A74C68">
            <w:pPr>
              <w:jc w:val="right"/>
              <w:rPr>
                <w:sz w:val="14"/>
                <w:szCs w:val="14"/>
              </w:rPr>
            </w:pPr>
          </w:p>
        </w:tc>
        <w:tc>
          <w:tcPr>
            <w:tcW w:w="641" w:type="dxa"/>
            <w:tcBorders>
              <w:top w:val="nil"/>
              <w:left w:val="nil"/>
              <w:bottom w:val="nil"/>
              <w:right w:val="nil"/>
            </w:tcBorders>
            <w:vAlign w:val="center"/>
            <w:hideMark/>
          </w:tcPr>
          <w:p w14:paraId="57605777" w14:textId="77777777" w:rsidR="00A74C68" w:rsidRPr="00471CBA" w:rsidRDefault="00A74C68" w:rsidP="00A74C68">
            <w:pPr>
              <w:jc w:val="right"/>
              <w:rPr>
                <w:sz w:val="14"/>
                <w:szCs w:val="14"/>
              </w:rPr>
            </w:pPr>
          </w:p>
        </w:tc>
        <w:tc>
          <w:tcPr>
            <w:tcW w:w="636" w:type="dxa"/>
            <w:tcBorders>
              <w:top w:val="nil"/>
              <w:left w:val="nil"/>
              <w:bottom w:val="nil"/>
              <w:right w:val="nil"/>
            </w:tcBorders>
            <w:vAlign w:val="center"/>
            <w:hideMark/>
          </w:tcPr>
          <w:p w14:paraId="26086532" w14:textId="77777777" w:rsidR="00A74C68" w:rsidRPr="00471CBA" w:rsidRDefault="00A74C68" w:rsidP="00A74C68">
            <w:pPr>
              <w:jc w:val="right"/>
              <w:rPr>
                <w:sz w:val="14"/>
                <w:szCs w:val="14"/>
              </w:rPr>
            </w:pPr>
          </w:p>
        </w:tc>
        <w:tc>
          <w:tcPr>
            <w:tcW w:w="731" w:type="dxa"/>
            <w:tcBorders>
              <w:top w:val="nil"/>
              <w:left w:val="nil"/>
              <w:bottom w:val="nil"/>
              <w:right w:val="nil"/>
            </w:tcBorders>
            <w:vAlign w:val="center"/>
            <w:hideMark/>
          </w:tcPr>
          <w:p w14:paraId="2B1EF766" w14:textId="77777777" w:rsidR="00A74C68" w:rsidRPr="00471CBA" w:rsidRDefault="00A74C68" w:rsidP="00A74C68">
            <w:pPr>
              <w:jc w:val="right"/>
              <w:rPr>
                <w:sz w:val="14"/>
                <w:szCs w:val="14"/>
              </w:rPr>
            </w:pPr>
          </w:p>
        </w:tc>
        <w:tc>
          <w:tcPr>
            <w:tcW w:w="715" w:type="dxa"/>
            <w:tcBorders>
              <w:top w:val="nil"/>
              <w:left w:val="nil"/>
              <w:bottom w:val="nil"/>
              <w:right w:val="nil"/>
            </w:tcBorders>
            <w:vAlign w:val="center"/>
            <w:hideMark/>
          </w:tcPr>
          <w:p w14:paraId="5E05BB6D" w14:textId="77777777" w:rsidR="00A74C68" w:rsidRPr="00471CBA" w:rsidRDefault="00A74C68" w:rsidP="00A74C68">
            <w:pPr>
              <w:jc w:val="right"/>
              <w:rPr>
                <w:sz w:val="14"/>
                <w:szCs w:val="14"/>
              </w:rPr>
            </w:pPr>
          </w:p>
        </w:tc>
        <w:tc>
          <w:tcPr>
            <w:tcW w:w="724" w:type="dxa"/>
            <w:tcBorders>
              <w:top w:val="nil"/>
              <w:left w:val="nil"/>
              <w:bottom w:val="nil"/>
              <w:right w:val="nil"/>
            </w:tcBorders>
            <w:vAlign w:val="center"/>
            <w:hideMark/>
          </w:tcPr>
          <w:p w14:paraId="1CF4275B" w14:textId="77777777" w:rsidR="00A74C68" w:rsidRPr="00471CBA" w:rsidRDefault="00A74C68" w:rsidP="00A74C68">
            <w:pPr>
              <w:jc w:val="right"/>
              <w:rPr>
                <w:sz w:val="14"/>
                <w:szCs w:val="14"/>
              </w:rPr>
            </w:pPr>
          </w:p>
        </w:tc>
        <w:tc>
          <w:tcPr>
            <w:tcW w:w="709" w:type="dxa"/>
            <w:tcBorders>
              <w:top w:val="nil"/>
              <w:left w:val="nil"/>
              <w:bottom w:val="nil"/>
              <w:right w:val="nil"/>
            </w:tcBorders>
            <w:vAlign w:val="center"/>
            <w:hideMark/>
          </w:tcPr>
          <w:p w14:paraId="5D9690F8" w14:textId="77777777" w:rsidR="00A74C68" w:rsidRPr="00471CBA" w:rsidRDefault="00A74C68" w:rsidP="00A74C68">
            <w:pPr>
              <w:jc w:val="right"/>
              <w:rPr>
                <w:sz w:val="14"/>
                <w:szCs w:val="14"/>
              </w:rPr>
            </w:pPr>
          </w:p>
        </w:tc>
        <w:tc>
          <w:tcPr>
            <w:tcW w:w="971" w:type="dxa"/>
            <w:tcBorders>
              <w:top w:val="nil"/>
              <w:left w:val="nil"/>
              <w:bottom w:val="nil"/>
              <w:right w:val="nil"/>
            </w:tcBorders>
            <w:vAlign w:val="center"/>
            <w:hideMark/>
          </w:tcPr>
          <w:p w14:paraId="74445BCC" w14:textId="77777777" w:rsidR="00A74C68" w:rsidRPr="00471CBA" w:rsidRDefault="00A74C68" w:rsidP="00A74C68">
            <w:pPr>
              <w:jc w:val="right"/>
              <w:rPr>
                <w:sz w:val="14"/>
                <w:szCs w:val="14"/>
              </w:rPr>
            </w:pPr>
          </w:p>
        </w:tc>
        <w:tc>
          <w:tcPr>
            <w:tcW w:w="952" w:type="dxa"/>
            <w:tcBorders>
              <w:top w:val="nil"/>
              <w:left w:val="nil"/>
              <w:bottom w:val="nil"/>
              <w:right w:val="single" w:sz="4" w:space="0" w:color="auto"/>
            </w:tcBorders>
            <w:vAlign w:val="center"/>
            <w:hideMark/>
          </w:tcPr>
          <w:p w14:paraId="7D829BEA" w14:textId="77777777" w:rsidR="00A74C68" w:rsidRPr="00471CBA" w:rsidRDefault="00A74C68" w:rsidP="00A74C68">
            <w:pPr>
              <w:jc w:val="right"/>
              <w:rPr>
                <w:color w:val="000000"/>
                <w:sz w:val="14"/>
                <w:szCs w:val="14"/>
              </w:rPr>
            </w:pPr>
            <w:r w:rsidRPr="00471CBA">
              <w:rPr>
                <w:color w:val="000000"/>
                <w:sz w:val="14"/>
                <w:szCs w:val="14"/>
              </w:rPr>
              <w:t> </w:t>
            </w:r>
          </w:p>
        </w:tc>
      </w:tr>
      <w:tr w:rsidR="00A74C68" w:rsidRPr="00471CBA" w14:paraId="045853D3" w14:textId="77777777" w:rsidTr="00A74C68">
        <w:trPr>
          <w:divId w:val="2141610945"/>
          <w:trHeight w:val="60"/>
        </w:trPr>
        <w:tc>
          <w:tcPr>
            <w:tcW w:w="563" w:type="dxa"/>
            <w:tcBorders>
              <w:top w:val="single" w:sz="4" w:space="0" w:color="auto"/>
              <w:left w:val="single" w:sz="4" w:space="0" w:color="auto"/>
              <w:bottom w:val="single" w:sz="4" w:space="0" w:color="auto"/>
              <w:right w:val="nil"/>
            </w:tcBorders>
            <w:vAlign w:val="center"/>
            <w:hideMark/>
          </w:tcPr>
          <w:p w14:paraId="39625C81" w14:textId="77777777" w:rsidR="00A74C68" w:rsidRPr="00471CBA" w:rsidRDefault="00A74C68" w:rsidP="00A74C68">
            <w:pPr>
              <w:rPr>
                <w:b/>
                <w:bCs/>
                <w:color w:val="000000"/>
                <w:sz w:val="14"/>
                <w:szCs w:val="14"/>
              </w:rPr>
            </w:pPr>
            <w:r w:rsidRPr="00471CBA">
              <w:rPr>
                <w:b/>
                <w:bCs/>
                <w:color w:val="000000"/>
                <w:sz w:val="14"/>
                <w:szCs w:val="14"/>
              </w:rPr>
              <w:t> </w:t>
            </w:r>
          </w:p>
        </w:tc>
        <w:tc>
          <w:tcPr>
            <w:tcW w:w="3543" w:type="dxa"/>
            <w:tcBorders>
              <w:top w:val="single" w:sz="4" w:space="0" w:color="auto"/>
              <w:left w:val="nil"/>
              <w:bottom w:val="single" w:sz="4" w:space="0" w:color="auto"/>
              <w:right w:val="nil"/>
            </w:tcBorders>
            <w:vAlign w:val="center"/>
            <w:hideMark/>
          </w:tcPr>
          <w:p w14:paraId="0D839D54" w14:textId="77777777" w:rsidR="00A74C68" w:rsidRPr="00471CBA" w:rsidRDefault="00A74C68" w:rsidP="00A74C68">
            <w:pPr>
              <w:rPr>
                <w:b/>
                <w:bCs/>
                <w:color w:val="000000"/>
                <w:sz w:val="14"/>
                <w:szCs w:val="14"/>
              </w:rPr>
            </w:pPr>
            <w:r w:rsidRPr="00471CBA">
              <w:rPr>
                <w:b/>
                <w:bCs/>
                <w:color w:val="000000"/>
                <w:sz w:val="14"/>
                <w:szCs w:val="14"/>
              </w:rPr>
              <w:t>Dönem Sonu Bakiyesi (III+IV+…...+X+XI)</w:t>
            </w:r>
          </w:p>
        </w:tc>
        <w:tc>
          <w:tcPr>
            <w:tcW w:w="707" w:type="dxa"/>
            <w:tcBorders>
              <w:top w:val="single" w:sz="4" w:space="0" w:color="auto"/>
              <w:left w:val="nil"/>
              <w:bottom w:val="single" w:sz="4" w:space="0" w:color="auto"/>
              <w:right w:val="nil"/>
            </w:tcBorders>
            <w:vAlign w:val="center"/>
            <w:hideMark/>
          </w:tcPr>
          <w:p w14:paraId="0D37588A" w14:textId="77777777" w:rsidR="00A74C68" w:rsidRPr="00471CBA" w:rsidRDefault="00A74C68" w:rsidP="00A74C68">
            <w:pPr>
              <w:rPr>
                <w:b/>
                <w:bCs/>
                <w:color w:val="000000"/>
                <w:sz w:val="14"/>
                <w:szCs w:val="14"/>
              </w:rPr>
            </w:pPr>
            <w:r w:rsidRPr="00471CBA">
              <w:rPr>
                <w:b/>
                <w:bCs/>
                <w:color w:val="000000"/>
                <w:sz w:val="14"/>
                <w:szCs w:val="14"/>
              </w:rPr>
              <w:t> </w:t>
            </w:r>
          </w:p>
        </w:tc>
        <w:tc>
          <w:tcPr>
            <w:tcW w:w="777" w:type="dxa"/>
            <w:tcBorders>
              <w:top w:val="single" w:sz="4" w:space="0" w:color="auto"/>
              <w:left w:val="nil"/>
              <w:bottom w:val="single" w:sz="4" w:space="0" w:color="auto"/>
              <w:right w:val="nil"/>
            </w:tcBorders>
            <w:vAlign w:val="center"/>
            <w:hideMark/>
          </w:tcPr>
          <w:p w14:paraId="1F4C6261" w14:textId="77777777" w:rsidR="00A74C68" w:rsidRPr="00471CBA" w:rsidRDefault="00A74C68" w:rsidP="00A74C68">
            <w:pPr>
              <w:jc w:val="right"/>
              <w:rPr>
                <w:b/>
                <w:bCs/>
                <w:color w:val="000000"/>
                <w:sz w:val="14"/>
                <w:szCs w:val="14"/>
              </w:rPr>
            </w:pPr>
            <w:r w:rsidRPr="00471CBA">
              <w:rPr>
                <w:b/>
                <w:bCs/>
                <w:color w:val="000000"/>
                <w:sz w:val="14"/>
                <w:szCs w:val="14"/>
              </w:rPr>
              <w:t>5.999.337</w:t>
            </w:r>
          </w:p>
        </w:tc>
        <w:tc>
          <w:tcPr>
            <w:tcW w:w="709" w:type="dxa"/>
            <w:tcBorders>
              <w:top w:val="single" w:sz="4" w:space="0" w:color="auto"/>
              <w:left w:val="nil"/>
              <w:bottom w:val="single" w:sz="4" w:space="0" w:color="auto"/>
              <w:right w:val="nil"/>
            </w:tcBorders>
            <w:vAlign w:val="center"/>
            <w:hideMark/>
          </w:tcPr>
          <w:p w14:paraId="5066D836" w14:textId="77777777" w:rsidR="00A74C68" w:rsidRPr="00471CBA" w:rsidRDefault="00A74C68" w:rsidP="00A74C68">
            <w:pPr>
              <w:jc w:val="right"/>
              <w:rPr>
                <w:b/>
                <w:bCs/>
                <w:color w:val="000000"/>
                <w:sz w:val="14"/>
                <w:szCs w:val="14"/>
              </w:rPr>
            </w:pPr>
            <w:r w:rsidRPr="00471CBA">
              <w:rPr>
                <w:b/>
                <w:bCs/>
                <w:color w:val="000000"/>
                <w:sz w:val="14"/>
                <w:szCs w:val="14"/>
              </w:rPr>
              <w:t>-</w:t>
            </w:r>
          </w:p>
        </w:tc>
        <w:tc>
          <w:tcPr>
            <w:tcW w:w="708" w:type="dxa"/>
            <w:tcBorders>
              <w:top w:val="single" w:sz="4" w:space="0" w:color="auto"/>
              <w:left w:val="nil"/>
              <w:bottom w:val="single" w:sz="4" w:space="0" w:color="auto"/>
              <w:right w:val="nil"/>
            </w:tcBorders>
            <w:vAlign w:val="center"/>
            <w:hideMark/>
          </w:tcPr>
          <w:p w14:paraId="14817992" w14:textId="77777777" w:rsidR="00A74C68" w:rsidRPr="00471CBA" w:rsidRDefault="00A74C68" w:rsidP="00A74C68">
            <w:pPr>
              <w:jc w:val="right"/>
              <w:rPr>
                <w:b/>
                <w:bCs/>
                <w:color w:val="000000"/>
                <w:sz w:val="14"/>
                <w:szCs w:val="14"/>
              </w:rPr>
            </w:pPr>
            <w:r w:rsidRPr="00471CBA">
              <w:rPr>
                <w:b/>
                <w:bCs/>
                <w:color w:val="000000"/>
                <w:sz w:val="14"/>
                <w:szCs w:val="14"/>
              </w:rPr>
              <w:t>-</w:t>
            </w:r>
          </w:p>
        </w:tc>
        <w:tc>
          <w:tcPr>
            <w:tcW w:w="724" w:type="dxa"/>
            <w:tcBorders>
              <w:top w:val="single" w:sz="4" w:space="0" w:color="auto"/>
              <w:left w:val="nil"/>
              <w:bottom w:val="single" w:sz="4" w:space="0" w:color="auto"/>
              <w:right w:val="nil"/>
            </w:tcBorders>
            <w:vAlign w:val="center"/>
            <w:hideMark/>
          </w:tcPr>
          <w:p w14:paraId="4621835F" w14:textId="77777777" w:rsidR="00A74C68" w:rsidRPr="00471CBA" w:rsidRDefault="00A74C68" w:rsidP="00A74C68">
            <w:pPr>
              <w:jc w:val="right"/>
              <w:rPr>
                <w:b/>
                <w:bCs/>
                <w:color w:val="000000"/>
                <w:sz w:val="14"/>
                <w:szCs w:val="14"/>
              </w:rPr>
            </w:pPr>
            <w:r w:rsidRPr="00471CBA">
              <w:rPr>
                <w:b/>
                <w:bCs/>
                <w:color w:val="000000"/>
                <w:sz w:val="14"/>
                <w:szCs w:val="14"/>
              </w:rPr>
              <w:t>-</w:t>
            </w:r>
          </w:p>
        </w:tc>
        <w:tc>
          <w:tcPr>
            <w:tcW w:w="658" w:type="dxa"/>
            <w:tcBorders>
              <w:top w:val="single" w:sz="4" w:space="0" w:color="auto"/>
              <w:left w:val="nil"/>
              <w:bottom w:val="single" w:sz="4" w:space="0" w:color="auto"/>
              <w:right w:val="nil"/>
            </w:tcBorders>
            <w:vAlign w:val="center"/>
            <w:hideMark/>
          </w:tcPr>
          <w:p w14:paraId="0EB9A93C" w14:textId="77777777" w:rsidR="00A74C68" w:rsidRPr="00471CBA" w:rsidRDefault="00A74C68" w:rsidP="00A74C68">
            <w:pPr>
              <w:jc w:val="right"/>
              <w:rPr>
                <w:b/>
                <w:bCs/>
                <w:color w:val="000000"/>
                <w:sz w:val="14"/>
                <w:szCs w:val="14"/>
              </w:rPr>
            </w:pPr>
            <w:r w:rsidRPr="00471CBA">
              <w:rPr>
                <w:b/>
                <w:bCs/>
                <w:color w:val="000000"/>
                <w:sz w:val="14"/>
                <w:szCs w:val="14"/>
              </w:rPr>
              <w:t>-</w:t>
            </w:r>
          </w:p>
        </w:tc>
        <w:tc>
          <w:tcPr>
            <w:tcW w:w="709" w:type="dxa"/>
            <w:tcBorders>
              <w:top w:val="single" w:sz="4" w:space="0" w:color="auto"/>
              <w:left w:val="nil"/>
              <w:bottom w:val="single" w:sz="4" w:space="0" w:color="auto"/>
              <w:right w:val="nil"/>
            </w:tcBorders>
            <w:vAlign w:val="center"/>
            <w:hideMark/>
          </w:tcPr>
          <w:p w14:paraId="039E0E7C" w14:textId="77777777" w:rsidR="00A74C68" w:rsidRPr="00471CBA" w:rsidRDefault="00A74C68" w:rsidP="00A74C68">
            <w:pPr>
              <w:jc w:val="right"/>
              <w:rPr>
                <w:b/>
                <w:bCs/>
                <w:color w:val="000000"/>
                <w:sz w:val="14"/>
                <w:szCs w:val="14"/>
                <w:lang w:eastAsia="tr-TR"/>
              </w:rPr>
            </w:pPr>
            <w:r w:rsidRPr="00471CBA">
              <w:rPr>
                <w:b/>
                <w:bCs/>
                <w:color w:val="000000"/>
                <w:sz w:val="14"/>
                <w:szCs w:val="14"/>
              </w:rPr>
              <w:t>(6.144</w:t>
            </w:r>
            <w:r w:rsidRPr="00471CBA">
              <w:rPr>
                <w:b/>
                <w:bCs/>
                <w:color w:val="000000"/>
                <w:sz w:val="14"/>
                <w:szCs w:val="14"/>
                <w:lang w:eastAsia="tr-TR"/>
              </w:rPr>
              <w:t>)</w:t>
            </w:r>
          </w:p>
        </w:tc>
        <w:tc>
          <w:tcPr>
            <w:tcW w:w="641" w:type="dxa"/>
            <w:tcBorders>
              <w:top w:val="single" w:sz="4" w:space="0" w:color="auto"/>
              <w:left w:val="nil"/>
              <w:bottom w:val="single" w:sz="4" w:space="0" w:color="auto"/>
              <w:right w:val="nil"/>
            </w:tcBorders>
            <w:vAlign w:val="center"/>
            <w:hideMark/>
          </w:tcPr>
          <w:p w14:paraId="619E5A8D" w14:textId="77777777" w:rsidR="00A74C68" w:rsidRPr="00471CBA" w:rsidRDefault="00A74C68" w:rsidP="00A74C68">
            <w:pPr>
              <w:jc w:val="right"/>
              <w:rPr>
                <w:b/>
                <w:bCs/>
                <w:color w:val="000000"/>
                <w:sz w:val="14"/>
                <w:szCs w:val="14"/>
              </w:rPr>
            </w:pPr>
            <w:r w:rsidRPr="00471CBA">
              <w:rPr>
                <w:b/>
                <w:bCs/>
                <w:color w:val="000000"/>
                <w:sz w:val="14"/>
                <w:szCs w:val="14"/>
              </w:rPr>
              <w:t>-</w:t>
            </w:r>
          </w:p>
        </w:tc>
        <w:tc>
          <w:tcPr>
            <w:tcW w:w="636" w:type="dxa"/>
            <w:tcBorders>
              <w:top w:val="single" w:sz="4" w:space="0" w:color="auto"/>
              <w:left w:val="nil"/>
              <w:bottom w:val="single" w:sz="4" w:space="0" w:color="auto"/>
              <w:right w:val="nil"/>
            </w:tcBorders>
            <w:vAlign w:val="center"/>
            <w:hideMark/>
          </w:tcPr>
          <w:p w14:paraId="1304B335" w14:textId="77777777" w:rsidR="00A74C68" w:rsidRPr="00471CBA" w:rsidRDefault="00A74C68" w:rsidP="00A74C68">
            <w:pPr>
              <w:jc w:val="right"/>
              <w:rPr>
                <w:b/>
                <w:bCs/>
                <w:color w:val="000000"/>
                <w:sz w:val="14"/>
                <w:szCs w:val="14"/>
              </w:rPr>
            </w:pPr>
            <w:r w:rsidRPr="00471CBA">
              <w:rPr>
                <w:b/>
                <w:bCs/>
                <w:color w:val="000000"/>
                <w:sz w:val="14"/>
                <w:szCs w:val="14"/>
              </w:rPr>
              <w:t>-</w:t>
            </w:r>
          </w:p>
        </w:tc>
        <w:tc>
          <w:tcPr>
            <w:tcW w:w="731" w:type="dxa"/>
            <w:tcBorders>
              <w:top w:val="single" w:sz="4" w:space="0" w:color="auto"/>
              <w:left w:val="nil"/>
              <w:bottom w:val="single" w:sz="4" w:space="0" w:color="auto"/>
              <w:right w:val="nil"/>
            </w:tcBorders>
            <w:vAlign w:val="center"/>
            <w:hideMark/>
          </w:tcPr>
          <w:p w14:paraId="365BC5E1" w14:textId="77777777" w:rsidR="00A74C68" w:rsidRPr="00471CBA" w:rsidRDefault="00A74C68" w:rsidP="00A74C68">
            <w:pPr>
              <w:jc w:val="right"/>
              <w:rPr>
                <w:b/>
                <w:bCs/>
                <w:color w:val="000000"/>
                <w:sz w:val="14"/>
                <w:szCs w:val="14"/>
              </w:rPr>
            </w:pPr>
            <w:r w:rsidRPr="00471CBA">
              <w:rPr>
                <w:b/>
                <w:bCs/>
                <w:color w:val="000000"/>
                <w:sz w:val="14"/>
                <w:szCs w:val="14"/>
              </w:rPr>
              <w:t>8.303</w:t>
            </w:r>
          </w:p>
        </w:tc>
        <w:tc>
          <w:tcPr>
            <w:tcW w:w="715" w:type="dxa"/>
            <w:tcBorders>
              <w:top w:val="single" w:sz="4" w:space="0" w:color="auto"/>
              <w:left w:val="nil"/>
              <w:bottom w:val="single" w:sz="4" w:space="0" w:color="auto"/>
              <w:right w:val="nil"/>
            </w:tcBorders>
            <w:vAlign w:val="center"/>
            <w:hideMark/>
          </w:tcPr>
          <w:p w14:paraId="79C32978" w14:textId="77777777" w:rsidR="00A74C68" w:rsidRPr="00471CBA" w:rsidRDefault="00A74C68" w:rsidP="00A74C68">
            <w:pPr>
              <w:jc w:val="right"/>
              <w:rPr>
                <w:b/>
                <w:bCs/>
                <w:color w:val="000000"/>
                <w:sz w:val="14"/>
                <w:szCs w:val="14"/>
              </w:rPr>
            </w:pPr>
            <w:r w:rsidRPr="00471CBA">
              <w:rPr>
                <w:b/>
                <w:bCs/>
                <w:color w:val="000000"/>
                <w:sz w:val="14"/>
                <w:szCs w:val="14"/>
              </w:rPr>
              <w:t>-</w:t>
            </w:r>
          </w:p>
        </w:tc>
        <w:tc>
          <w:tcPr>
            <w:tcW w:w="724" w:type="dxa"/>
            <w:tcBorders>
              <w:top w:val="single" w:sz="4" w:space="0" w:color="auto"/>
              <w:left w:val="nil"/>
              <w:bottom w:val="single" w:sz="4" w:space="0" w:color="auto"/>
              <w:right w:val="nil"/>
            </w:tcBorders>
            <w:vAlign w:val="center"/>
            <w:hideMark/>
          </w:tcPr>
          <w:p w14:paraId="4F1ACD8A" w14:textId="77777777" w:rsidR="00A74C68" w:rsidRPr="00471CBA" w:rsidRDefault="00A74C68" w:rsidP="00A74C68">
            <w:pPr>
              <w:jc w:val="right"/>
              <w:rPr>
                <w:b/>
                <w:bCs/>
                <w:color w:val="000000"/>
                <w:sz w:val="14"/>
                <w:szCs w:val="14"/>
              </w:rPr>
            </w:pPr>
            <w:r w:rsidRPr="00471CBA">
              <w:rPr>
                <w:b/>
                <w:bCs/>
                <w:color w:val="000000"/>
                <w:sz w:val="14"/>
                <w:szCs w:val="14"/>
              </w:rPr>
              <w:t>-</w:t>
            </w:r>
          </w:p>
        </w:tc>
        <w:tc>
          <w:tcPr>
            <w:tcW w:w="709" w:type="dxa"/>
            <w:tcBorders>
              <w:top w:val="single" w:sz="4" w:space="0" w:color="auto"/>
              <w:left w:val="nil"/>
              <w:bottom w:val="single" w:sz="4" w:space="0" w:color="auto"/>
              <w:right w:val="nil"/>
            </w:tcBorders>
            <w:vAlign w:val="center"/>
            <w:hideMark/>
          </w:tcPr>
          <w:p w14:paraId="524C052B" w14:textId="77777777" w:rsidR="00A74C68" w:rsidRPr="00471CBA" w:rsidRDefault="00A74C68" w:rsidP="00A74C68">
            <w:pPr>
              <w:jc w:val="right"/>
              <w:rPr>
                <w:b/>
                <w:bCs/>
                <w:color w:val="000000"/>
                <w:sz w:val="14"/>
                <w:szCs w:val="14"/>
                <w:lang w:eastAsia="tr-TR"/>
              </w:rPr>
            </w:pPr>
            <w:r w:rsidRPr="00471CBA">
              <w:rPr>
                <w:b/>
                <w:bCs/>
                <w:color w:val="000000"/>
                <w:sz w:val="14"/>
                <w:szCs w:val="14"/>
              </w:rPr>
              <w:t>(13.048</w:t>
            </w:r>
            <w:r w:rsidRPr="00471CBA">
              <w:rPr>
                <w:b/>
                <w:bCs/>
                <w:color w:val="000000"/>
                <w:sz w:val="14"/>
                <w:szCs w:val="14"/>
                <w:lang w:eastAsia="tr-TR"/>
              </w:rPr>
              <w:t>)</w:t>
            </w:r>
          </w:p>
        </w:tc>
        <w:tc>
          <w:tcPr>
            <w:tcW w:w="971" w:type="dxa"/>
            <w:tcBorders>
              <w:top w:val="single" w:sz="4" w:space="0" w:color="auto"/>
              <w:left w:val="nil"/>
              <w:bottom w:val="single" w:sz="4" w:space="0" w:color="auto"/>
              <w:right w:val="nil"/>
            </w:tcBorders>
            <w:vAlign w:val="center"/>
            <w:hideMark/>
          </w:tcPr>
          <w:p w14:paraId="496F1AE3" w14:textId="77777777" w:rsidR="00A74C68" w:rsidRPr="00471CBA" w:rsidRDefault="00A74C68" w:rsidP="00A74C68">
            <w:pPr>
              <w:jc w:val="right"/>
              <w:rPr>
                <w:b/>
                <w:bCs/>
                <w:color w:val="000000"/>
                <w:sz w:val="14"/>
                <w:szCs w:val="14"/>
              </w:rPr>
            </w:pPr>
            <w:r w:rsidRPr="00471CBA">
              <w:rPr>
                <w:b/>
                <w:bCs/>
                <w:color w:val="000000"/>
                <w:sz w:val="14"/>
                <w:szCs w:val="14"/>
              </w:rPr>
              <w:t>1.353.642</w:t>
            </w:r>
          </w:p>
        </w:tc>
        <w:tc>
          <w:tcPr>
            <w:tcW w:w="952" w:type="dxa"/>
            <w:tcBorders>
              <w:top w:val="single" w:sz="4" w:space="0" w:color="auto"/>
              <w:left w:val="nil"/>
              <w:bottom w:val="single" w:sz="4" w:space="0" w:color="auto"/>
              <w:right w:val="single" w:sz="4" w:space="0" w:color="auto"/>
            </w:tcBorders>
            <w:vAlign w:val="center"/>
            <w:hideMark/>
          </w:tcPr>
          <w:p w14:paraId="46674F41" w14:textId="77777777" w:rsidR="00A74C68" w:rsidRPr="00471CBA" w:rsidRDefault="00A74C68" w:rsidP="00A74C68">
            <w:pPr>
              <w:jc w:val="right"/>
              <w:rPr>
                <w:b/>
                <w:bCs/>
                <w:color w:val="000000"/>
                <w:sz w:val="14"/>
                <w:szCs w:val="14"/>
              </w:rPr>
            </w:pPr>
            <w:r w:rsidRPr="00471CBA">
              <w:rPr>
                <w:b/>
                <w:bCs/>
                <w:color w:val="000000"/>
                <w:sz w:val="14"/>
                <w:szCs w:val="14"/>
              </w:rPr>
              <w:t>7.342.090</w:t>
            </w:r>
          </w:p>
        </w:tc>
      </w:tr>
    </w:tbl>
    <w:p w14:paraId="0E05812C" w14:textId="4E5EC857" w:rsidR="00276D99" w:rsidRPr="00471CBA" w:rsidRDefault="00276D99" w:rsidP="00276D99">
      <w:pPr>
        <w:widowControl w:val="0"/>
        <w:autoSpaceDE w:val="0"/>
        <w:autoSpaceDN w:val="0"/>
        <w:ind w:right="-455"/>
        <w:rPr>
          <w:sz w:val="14"/>
          <w:szCs w:val="14"/>
        </w:rPr>
      </w:pPr>
    </w:p>
    <w:p w14:paraId="7E5BE58B" w14:textId="77777777" w:rsidR="009D2E02" w:rsidRPr="00471CBA" w:rsidRDefault="009D2E02" w:rsidP="009D2E02">
      <w:pPr>
        <w:widowControl w:val="0"/>
        <w:tabs>
          <w:tab w:val="left" w:pos="-426"/>
        </w:tabs>
        <w:ind w:right="-1"/>
        <w:jc w:val="both"/>
        <w:rPr>
          <w:sz w:val="18"/>
          <w:szCs w:val="18"/>
        </w:rPr>
      </w:pPr>
      <w:r w:rsidRPr="00471CBA">
        <w:rPr>
          <w:sz w:val="18"/>
          <w:szCs w:val="18"/>
        </w:rPr>
        <w:t>Banka, 1 Temmuz 2025 tarihi itibarıyla TFRS 9 Finansal Araçlar standardının değer düşüklüğüne ilişkin hükümlerini uygulamaya başlamış olup, önceki dönem finansal tabloları BDDK tarafından açıklanmış olan TFRS 9 uygulamayan bankalar için geçerli olan finansal tablo formatında sunulduğu için önceki dönem finansal tablo ve dipnotları yeniden düzenlenmemiş olup, ayrı olarak gösterilmiştir.</w:t>
      </w:r>
    </w:p>
    <w:p w14:paraId="2DE1DAEB" w14:textId="77777777" w:rsidR="0073614D" w:rsidRPr="00471CBA" w:rsidRDefault="0073614D" w:rsidP="00276D99">
      <w:pPr>
        <w:widowControl w:val="0"/>
        <w:kinsoku w:val="0"/>
        <w:overflowPunct w:val="0"/>
        <w:autoSpaceDE w:val="0"/>
        <w:adjustRightInd w:val="0"/>
        <w:ind w:left="426" w:hanging="426"/>
        <w:jc w:val="both"/>
        <w:rPr>
          <w:sz w:val="14"/>
          <w:szCs w:val="14"/>
        </w:rPr>
      </w:pPr>
    </w:p>
    <w:p w14:paraId="043925B1" w14:textId="04A44B1A" w:rsidR="00276D99" w:rsidRPr="00471CBA" w:rsidRDefault="00276D99" w:rsidP="00276D99">
      <w:pPr>
        <w:widowControl w:val="0"/>
        <w:kinsoku w:val="0"/>
        <w:overflowPunct w:val="0"/>
        <w:autoSpaceDE w:val="0"/>
        <w:adjustRightInd w:val="0"/>
        <w:ind w:left="426" w:hanging="426"/>
        <w:jc w:val="both"/>
        <w:rPr>
          <w:sz w:val="14"/>
          <w:szCs w:val="14"/>
        </w:rPr>
      </w:pPr>
      <w:r w:rsidRPr="00471CBA">
        <w:rPr>
          <w:sz w:val="14"/>
          <w:szCs w:val="14"/>
        </w:rPr>
        <w:t>1.</w:t>
      </w:r>
      <w:r w:rsidRPr="00471CBA">
        <w:rPr>
          <w:sz w:val="14"/>
          <w:szCs w:val="14"/>
        </w:rPr>
        <w:tab/>
        <w:t>Duran varlıklar birikmiş yeniden değerleme artışları/azalışları,</w:t>
      </w:r>
    </w:p>
    <w:p w14:paraId="1F67AD54" w14:textId="77777777" w:rsidR="00276D99" w:rsidRPr="00471CBA" w:rsidRDefault="00276D99" w:rsidP="00276D99">
      <w:pPr>
        <w:widowControl w:val="0"/>
        <w:kinsoku w:val="0"/>
        <w:overflowPunct w:val="0"/>
        <w:autoSpaceDE w:val="0"/>
        <w:adjustRightInd w:val="0"/>
        <w:ind w:left="426" w:hanging="426"/>
        <w:jc w:val="both"/>
        <w:rPr>
          <w:sz w:val="14"/>
          <w:szCs w:val="14"/>
        </w:rPr>
      </w:pPr>
      <w:r w:rsidRPr="00471CBA">
        <w:rPr>
          <w:sz w:val="14"/>
          <w:szCs w:val="14"/>
        </w:rPr>
        <w:t>2.</w:t>
      </w:r>
      <w:r w:rsidRPr="00471CBA">
        <w:rPr>
          <w:sz w:val="14"/>
          <w:szCs w:val="14"/>
        </w:rPr>
        <w:tab/>
        <w:t>Tanımlanmış fayda planlarının birikmiş yeniden ölçüm kazançları/kayıpları,</w:t>
      </w:r>
    </w:p>
    <w:p w14:paraId="67712191" w14:textId="77777777" w:rsidR="00276D99" w:rsidRPr="00471CBA" w:rsidRDefault="00276D99" w:rsidP="00276D99">
      <w:pPr>
        <w:widowControl w:val="0"/>
        <w:kinsoku w:val="0"/>
        <w:overflowPunct w:val="0"/>
        <w:autoSpaceDE w:val="0"/>
        <w:adjustRightInd w:val="0"/>
        <w:ind w:left="426" w:hanging="426"/>
        <w:jc w:val="both"/>
        <w:rPr>
          <w:sz w:val="14"/>
          <w:szCs w:val="14"/>
        </w:rPr>
      </w:pPr>
      <w:r w:rsidRPr="00471CBA">
        <w:rPr>
          <w:sz w:val="14"/>
          <w:szCs w:val="14"/>
        </w:rPr>
        <w:t>3.</w:t>
      </w:r>
      <w:r w:rsidRPr="00471CBA">
        <w:rPr>
          <w:sz w:val="14"/>
          <w:szCs w:val="14"/>
        </w:rPr>
        <w:tab/>
        <w:t>Diğer (Özkaynak yöntemiyle değerlenen yatırımların diğer kapsamlı gelirinden kâr/zararda sınıflandırılmayacak payları ile diğer kâr veya zarar olarak yeniden sınıflandırılmayacak diğer kapsamlı gelir unsurlarının birikmiş tutarları),</w:t>
      </w:r>
    </w:p>
    <w:p w14:paraId="7A219E66" w14:textId="77777777" w:rsidR="00276D99" w:rsidRPr="00471CBA" w:rsidRDefault="00276D99" w:rsidP="00276D99">
      <w:pPr>
        <w:widowControl w:val="0"/>
        <w:kinsoku w:val="0"/>
        <w:overflowPunct w:val="0"/>
        <w:autoSpaceDE w:val="0"/>
        <w:adjustRightInd w:val="0"/>
        <w:ind w:left="426" w:hanging="426"/>
        <w:jc w:val="both"/>
        <w:rPr>
          <w:sz w:val="14"/>
          <w:szCs w:val="14"/>
        </w:rPr>
      </w:pPr>
      <w:r w:rsidRPr="00471CBA">
        <w:rPr>
          <w:sz w:val="14"/>
          <w:szCs w:val="14"/>
        </w:rPr>
        <w:t>4.</w:t>
      </w:r>
      <w:r w:rsidRPr="00471CBA">
        <w:rPr>
          <w:sz w:val="14"/>
          <w:szCs w:val="14"/>
        </w:rPr>
        <w:tab/>
        <w:t>Yabancı para çevirim farkları,</w:t>
      </w:r>
    </w:p>
    <w:p w14:paraId="76C6B061" w14:textId="77777777" w:rsidR="00276D99" w:rsidRPr="00471CBA" w:rsidRDefault="00276D99" w:rsidP="00276D99">
      <w:pPr>
        <w:widowControl w:val="0"/>
        <w:kinsoku w:val="0"/>
        <w:overflowPunct w:val="0"/>
        <w:autoSpaceDE w:val="0"/>
        <w:adjustRightInd w:val="0"/>
        <w:ind w:left="426" w:hanging="426"/>
        <w:jc w:val="both"/>
        <w:rPr>
          <w:sz w:val="14"/>
          <w:szCs w:val="14"/>
        </w:rPr>
      </w:pPr>
      <w:r w:rsidRPr="00471CBA">
        <w:rPr>
          <w:sz w:val="14"/>
          <w:szCs w:val="14"/>
        </w:rPr>
        <w:t>5.</w:t>
      </w:r>
      <w:r w:rsidRPr="00471CBA">
        <w:rPr>
          <w:sz w:val="14"/>
          <w:szCs w:val="14"/>
        </w:rPr>
        <w:tab/>
        <w:t>Gerçeğe uygun değer farkı diğer kapsamlı gelire yansıtılan finansal varlıkların birikmiş yeniden değerleme ve/veya sınıflandırma kazançları/kayıpları,</w:t>
      </w:r>
    </w:p>
    <w:p w14:paraId="3F6966DC" w14:textId="77777777" w:rsidR="00276D99" w:rsidRPr="00471CBA" w:rsidRDefault="00276D99" w:rsidP="00276D99">
      <w:pPr>
        <w:widowControl w:val="0"/>
        <w:kinsoku w:val="0"/>
        <w:overflowPunct w:val="0"/>
        <w:autoSpaceDE w:val="0"/>
        <w:adjustRightInd w:val="0"/>
        <w:ind w:left="426" w:hanging="426"/>
        <w:jc w:val="both"/>
        <w:rPr>
          <w:sz w:val="14"/>
          <w:szCs w:val="14"/>
        </w:rPr>
      </w:pPr>
      <w:r w:rsidRPr="00471CBA">
        <w:rPr>
          <w:sz w:val="14"/>
          <w:szCs w:val="14"/>
        </w:rPr>
        <w:t>6.</w:t>
      </w:r>
      <w:r w:rsidRPr="00471CBA">
        <w:rPr>
          <w:sz w:val="14"/>
          <w:szCs w:val="14"/>
        </w:rPr>
        <w:tab/>
        <w:t>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ifade eder.</w:t>
      </w:r>
    </w:p>
    <w:p w14:paraId="499BD5DF" w14:textId="6B350652" w:rsidR="00276D99" w:rsidRPr="00471CBA" w:rsidRDefault="00276D99" w:rsidP="00276D99">
      <w:pPr>
        <w:widowControl w:val="0"/>
        <w:jc w:val="both"/>
        <w:rPr>
          <w:sz w:val="14"/>
          <w:szCs w:val="14"/>
        </w:rPr>
      </w:pPr>
    </w:p>
    <w:p w14:paraId="6C40596B" w14:textId="77777777" w:rsidR="0073614D" w:rsidRDefault="0073614D" w:rsidP="00276D99">
      <w:pPr>
        <w:widowControl w:val="0"/>
        <w:jc w:val="both"/>
        <w:rPr>
          <w:sz w:val="14"/>
          <w:szCs w:val="14"/>
        </w:rPr>
      </w:pPr>
    </w:p>
    <w:p w14:paraId="5D053149" w14:textId="77777777" w:rsidR="00F36B82" w:rsidRPr="00471CBA" w:rsidRDefault="00F36B82" w:rsidP="00276D99">
      <w:pPr>
        <w:widowControl w:val="0"/>
        <w:jc w:val="both"/>
        <w:rPr>
          <w:sz w:val="14"/>
          <w:szCs w:val="14"/>
        </w:rPr>
      </w:pPr>
    </w:p>
    <w:p w14:paraId="32C28E1B" w14:textId="77777777" w:rsidR="00276D99" w:rsidRPr="00471CBA" w:rsidRDefault="00276D99" w:rsidP="00276D99">
      <w:pPr>
        <w:widowControl w:val="0"/>
        <w:jc w:val="both"/>
        <w:rPr>
          <w:szCs w:val="20"/>
        </w:rPr>
      </w:pPr>
    </w:p>
    <w:p w14:paraId="6CD262EB" w14:textId="77777777" w:rsidR="00276D99" w:rsidRPr="00471CBA" w:rsidRDefault="00276D99" w:rsidP="00276D99">
      <w:pPr>
        <w:widowControl w:val="0"/>
        <w:jc w:val="center"/>
        <w:rPr>
          <w:szCs w:val="20"/>
        </w:rPr>
      </w:pPr>
      <w:r w:rsidRPr="00471CBA">
        <w:rPr>
          <w:szCs w:val="20"/>
        </w:rPr>
        <w:t>İlişikteki açıklama ve dipnotlar bu finansal tabloların tamamlayıcı bir parçasıdır.</w:t>
      </w:r>
    </w:p>
    <w:p w14:paraId="316F3C06" w14:textId="5D298C59" w:rsidR="00276D99" w:rsidRPr="00471CBA" w:rsidRDefault="00276D99" w:rsidP="009D2E02">
      <w:pPr>
        <w:widowControl w:val="0"/>
        <w:rPr>
          <w:sz w:val="16"/>
          <w:szCs w:val="16"/>
        </w:rPr>
        <w:sectPr w:rsidR="00276D99" w:rsidRPr="00471CBA" w:rsidSect="00504891">
          <w:headerReference w:type="even" r:id="rId51"/>
          <w:headerReference w:type="default" r:id="rId52"/>
          <w:footerReference w:type="even" r:id="rId53"/>
          <w:footerReference w:type="default" r:id="rId54"/>
          <w:headerReference w:type="first" r:id="rId55"/>
          <w:footerReference w:type="first" r:id="rId56"/>
          <w:pgSz w:w="16840" w:h="11907" w:orient="landscape" w:code="9"/>
          <w:pgMar w:top="851" w:right="851" w:bottom="851" w:left="851" w:header="851" w:footer="851" w:gutter="0"/>
          <w:cols w:space="708"/>
          <w:titlePg/>
          <w:docGrid w:linePitch="360"/>
        </w:sectPr>
      </w:pPr>
    </w:p>
    <w:p w14:paraId="1D7B7E29" w14:textId="076F2804" w:rsidR="00A74C68" w:rsidRPr="00471CBA" w:rsidRDefault="00A74C68" w:rsidP="009F6E11">
      <w:pPr>
        <w:widowControl w:val="0"/>
        <w:jc w:val="both"/>
        <w:rPr>
          <w:szCs w:val="20"/>
        </w:rPr>
      </w:pPr>
    </w:p>
    <w:tbl>
      <w:tblPr>
        <w:tblW w:w="5000" w:type="pct"/>
        <w:tblCellMar>
          <w:left w:w="70" w:type="dxa"/>
          <w:right w:w="70" w:type="dxa"/>
        </w:tblCellMar>
        <w:tblLook w:val="04A0" w:firstRow="1" w:lastRow="0" w:firstColumn="1" w:lastColumn="0" w:noHBand="0" w:noVBand="1"/>
      </w:tblPr>
      <w:tblGrid>
        <w:gridCol w:w="491"/>
        <w:gridCol w:w="5991"/>
        <w:gridCol w:w="692"/>
        <w:gridCol w:w="1382"/>
        <w:gridCol w:w="1356"/>
      </w:tblGrid>
      <w:tr w:rsidR="00A74C68" w:rsidRPr="00D067C4" w14:paraId="1F72E3B8" w14:textId="77777777" w:rsidTr="00A74C68">
        <w:trPr>
          <w:divId w:val="180094935"/>
          <w:trHeight w:val="113"/>
        </w:trPr>
        <w:tc>
          <w:tcPr>
            <w:tcW w:w="3270" w:type="pct"/>
            <w:gridSpan w:val="2"/>
            <w:tcBorders>
              <w:top w:val="single" w:sz="4" w:space="0" w:color="auto"/>
              <w:left w:val="single" w:sz="4" w:space="0" w:color="auto"/>
              <w:bottom w:val="single" w:sz="4" w:space="0" w:color="auto"/>
              <w:right w:val="single" w:sz="4" w:space="0" w:color="000000"/>
            </w:tcBorders>
            <w:noWrap/>
            <w:vAlign w:val="bottom"/>
            <w:hideMark/>
          </w:tcPr>
          <w:p w14:paraId="41EBA38A" w14:textId="4FF5A303" w:rsidR="00A74C68" w:rsidRPr="00D067C4" w:rsidRDefault="00A74C68" w:rsidP="00A74C68">
            <w:pPr>
              <w:jc w:val="center"/>
              <w:rPr>
                <w:b/>
                <w:bCs/>
                <w:sz w:val="14"/>
                <w:szCs w:val="14"/>
              </w:rPr>
            </w:pPr>
            <w:r w:rsidRPr="00D067C4">
              <w:rPr>
                <w:b/>
                <w:bCs/>
                <w:sz w:val="14"/>
                <w:szCs w:val="14"/>
              </w:rPr>
              <w:t>NAKİT AKIŞ TABLOSU</w:t>
            </w:r>
          </w:p>
        </w:tc>
        <w:tc>
          <w:tcPr>
            <w:tcW w:w="349" w:type="pct"/>
            <w:tcBorders>
              <w:top w:val="single" w:sz="4" w:space="0" w:color="auto"/>
              <w:left w:val="nil"/>
              <w:bottom w:val="single" w:sz="4" w:space="0" w:color="auto"/>
              <w:right w:val="single" w:sz="4" w:space="0" w:color="auto"/>
            </w:tcBorders>
            <w:vAlign w:val="bottom"/>
            <w:hideMark/>
          </w:tcPr>
          <w:p w14:paraId="07EDBB01" w14:textId="77777777" w:rsidR="00A74C68" w:rsidRPr="00D067C4" w:rsidRDefault="00A74C68" w:rsidP="00A74C68">
            <w:pPr>
              <w:jc w:val="center"/>
              <w:rPr>
                <w:b/>
                <w:bCs/>
                <w:sz w:val="14"/>
                <w:szCs w:val="14"/>
              </w:rPr>
            </w:pPr>
            <w:r w:rsidRPr="00D067C4">
              <w:rPr>
                <w:b/>
                <w:bCs/>
                <w:sz w:val="14"/>
                <w:szCs w:val="14"/>
              </w:rPr>
              <w:t>Dipnot (Beşinci Bölüm-VI)</w:t>
            </w:r>
          </w:p>
        </w:tc>
        <w:tc>
          <w:tcPr>
            <w:tcW w:w="697" w:type="pct"/>
            <w:tcBorders>
              <w:top w:val="single" w:sz="4" w:space="0" w:color="auto"/>
              <w:left w:val="nil"/>
              <w:bottom w:val="single" w:sz="4" w:space="0" w:color="auto"/>
              <w:right w:val="single" w:sz="4" w:space="0" w:color="auto"/>
            </w:tcBorders>
            <w:vAlign w:val="bottom"/>
            <w:hideMark/>
          </w:tcPr>
          <w:p w14:paraId="462BCEFC" w14:textId="77777777" w:rsidR="00A74C68" w:rsidRPr="00D067C4" w:rsidRDefault="00A74C68" w:rsidP="00A74C68">
            <w:pPr>
              <w:jc w:val="right"/>
              <w:rPr>
                <w:b/>
                <w:bCs/>
                <w:color w:val="000000"/>
                <w:sz w:val="14"/>
                <w:szCs w:val="14"/>
                <w:lang w:eastAsia="tr-TR"/>
              </w:rPr>
            </w:pPr>
            <w:r w:rsidRPr="00D067C4">
              <w:rPr>
                <w:b/>
                <w:bCs/>
                <w:sz w:val="14"/>
                <w:szCs w:val="14"/>
              </w:rPr>
              <w:t>Cari Dönem</w:t>
            </w:r>
            <w:r w:rsidRPr="00D067C4">
              <w:rPr>
                <w:b/>
                <w:bCs/>
                <w:sz w:val="14"/>
                <w:szCs w:val="14"/>
              </w:rPr>
              <w:br/>
              <w:t xml:space="preserve">1 Ocak - 31 </w:t>
            </w:r>
            <w:r w:rsidRPr="00D067C4">
              <w:rPr>
                <w:b/>
                <w:bCs/>
                <w:color w:val="000000"/>
                <w:sz w:val="14"/>
                <w:szCs w:val="14"/>
                <w:lang w:eastAsia="tr-TR"/>
              </w:rPr>
              <w:t>Aralık 2025</w:t>
            </w:r>
          </w:p>
        </w:tc>
        <w:tc>
          <w:tcPr>
            <w:tcW w:w="684" w:type="pct"/>
            <w:tcBorders>
              <w:top w:val="single" w:sz="4" w:space="0" w:color="auto"/>
              <w:left w:val="nil"/>
              <w:bottom w:val="single" w:sz="4" w:space="0" w:color="auto"/>
              <w:right w:val="single" w:sz="4" w:space="0" w:color="auto"/>
            </w:tcBorders>
            <w:vAlign w:val="bottom"/>
            <w:hideMark/>
          </w:tcPr>
          <w:p w14:paraId="19B0672D" w14:textId="77777777" w:rsidR="00A74C68" w:rsidRPr="00D067C4" w:rsidRDefault="00A74C68" w:rsidP="00A74C68">
            <w:pPr>
              <w:jc w:val="right"/>
              <w:rPr>
                <w:b/>
                <w:bCs/>
                <w:color w:val="000000"/>
                <w:sz w:val="14"/>
                <w:szCs w:val="14"/>
                <w:lang w:eastAsia="tr-TR"/>
              </w:rPr>
            </w:pPr>
            <w:r w:rsidRPr="00D067C4">
              <w:rPr>
                <w:b/>
                <w:bCs/>
                <w:color w:val="000000"/>
                <w:sz w:val="14"/>
                <w:szCs w:val="14"/>
                <w:lang w:eastAsia="tr-TR"/>
              </w:rPr>
              <w:t>Önceki Dönem</w:t>
            </w:r>
            <w:r w:rsidRPr="00D067C4">
              <w:rPr>
                <w:b/>
                <w:bCs/>
                <w:color w:val="000000"/>
                <w:sz w:val="14"/>
                <w:szCs w:val="14"/>
                <w:lang w:eastAsia="tr-TR"/>
              </w:rPr>
              <w:br/>
              <w:t>1 Ocak - 31 Aralık 2024</w:t>
            </w:r>
          </w:p>
        </w:tc>
      </w:tr>
      <w:tr w:rsidR="00A74C68" w:rsidRPr="00D067C4" w14:paraId="2A8A1710" w14:textId="77777777" w:rsidTr="00A74C68">
        <w:trPr>
          <w:divId w:val="180094935"/>
          <w:trHeight w:val="113"/>
        </w:trPr>
        <w:tc>
          <w:tcPr>
            <w:tcW w:w="248" w:type="pct"/>
            <w:tcBorders>
              <w:top w:val="nil"/>
              <w:left w:val="single" w:sz="4" w:space="0" w:color="auto"/>
              <w:bottom w:val="nil"/>
              <w:right w:val="nil"/>
            </w:tcBorders>
            <w:noWrap/>
            <w:vAlign w:val="bottom"/>
            <w:hideMark/>
          </w:tcPr>
          <w:p w14:paraId="1596D06E" w14:textId="77777777" w:rsidR="00A74C68" w:rsidRPr="00D067C4" w:rsidRDefault="00A74C68" w:rsidP="00A74C68">
            <w:pPr>
              <w:rPr>
                <w:sz w:val="14"/>
                <w:szCs w:val="14"/>
              </w:rPr>
            </w:pPr>
            <w:r w:rsidRPr="00D067C4">
              <w:rPr>
                <w:sz w:val="14"/>
                <w:szCs w:val="14"/>
              </w:rPr>
              <w:t> </w:t>
            </w:r>
          </w:p>
        </w:tc>
        <w:tc>
          <w:tcPr>
            <w:tcW w:w="3022" w:type="pct"/>
            <w:tcBorders>
              <w:top w:val="nil"/>
              <w:left w:val="nil"/>
              <w:bottom w:val="nil"/>
              <w:right w:val="nil"/>
            </w:tcBorders>
            <w:noWrap/>
            <w:vAlign w:val="bottom"/>
            <w:hideMark/>
          </w:tcPr>
          <w:p w14:paraId="55C6C37B" w14:textId="77777777" w:rsidR="00A74C68" w:rsidRPr="00D067C4" w:rsidRDefault="00A74C68" w:rsidP="00A74C68">
            <w:pPr>
              <w:rPr>
                <w:sz w:val="14"/>
                <w:szCs w:val="14"/>
              </w:rPr>
            </w:pPr>
          </w:p>
        </w:tc>
        <w:tc>
          <w:tcPr>
            <w:tcW w:w="349" w:type="pct"/>
            <w:tcBorders>
              <w:top w:val="nil"/>
              <w:left w:val="single" w:sz="4" w:space="0" w:color="auto"/>
              <w:bottom w:val="nil"/>
              <w:right w:val="single" w:sz="4" w:space="0" w:color="auto"/>
            </w:tcBorders>
            <w:noWrap/>
            <w:vAlign w:val="bottom"/>
            <w:hideMark/>
          </w:tcPr>
          <w:p w14:paraId="45463660" w14:textId="77777777" w:rsidR="00A74C68" w:rsidRPr="00D067C4" w:rsidRDefault="00A74C68" w:rsidP="00A74C68">
            <w:pPr>
              <w:rPr>
                <w:sz w:val="14"/>
                <w:szCs w:val="14"/>
              </w:rPr>
            </w:pPr>
            <w:r w:rsidRPr="00D067C4">
              <w:rPr>
                <w:sz w:val="14"/>
                <w:szCs w:val="14"/>
              </w:rPr>
              <w:t> </w:t>
            </w:r>
          </w:p>
        </w:tc>
        <w:tc>
          <w:tcPr>
            <w:tcW w:w="697" w:type="pct"/>
            <w:tcBorders>
              <w:top w:val="nil"/>
              <w:left w:val="nil"/>
              <w:bottom w:val="nil"/>
              <w:right w:val="single" w:sz="4" w:space="0" w:color="auto"/>
            </w:tcBorders>
            <w:noWrap/>
            <w:vAlign w:val="bottom"/>
            <w:hideMark/>
          </w:tcPr>
          <w:p w14:paraId="31A0E1E9" w14:textId="77777777" w:rsidR="00A74C68" w:rsidRPr="00D067C4" w:rsidRDefault="00A74C68" w:rsidP="00A74C68">
            <w:pPr>
              <w:jc w:val="right"/>
              <w:rPr>
                <w:sz w:val="14"/>
                <w:szCs w:val="14"/>
              </w:rPr>
            </w:pPr>
            <w:r w:rsidRPr="00D067C4">
              <w:rPr>
                <w:sz w:val="14"/>
                <w:szCs w:val="14"/>
              </w:rPr>
              <w:t> </w:t>
            </w:r>
          </w:p>
        </w:tc>
        <w:tc>
          <w:tcPr>
            <w:tcW w:w="684" w:type="pct"/>
            <w:tcBorders>
              <w:top w:val="nil"/>
              <w:left w:val="nil"/>
              <w:bottom w:val="nil"/>
              <w:right w:val="single" w:sz="4" w:space="0" w:color="auto"/>
            </w:tcBorders>
            <w:noWrap/>
            <w:vAlign w:val="bottom"/>
            <w:hideMark/>
          </w:tcPr>
          <w:p w14:paraId="040763BE" w14:textId="77777777" w:rsidR="00A74C68" w:rsidRPr="00D067C4" w:rsidRDefault="00A74C68" w:rsidP="00A74C68">
            <w:pPr>
              <w:rPr>
                <w:color w:val="000000"/>
                <w:sz w:val="14"/>
                <w:szCs w:val="14"/>
                <w:lang w:eastAsia="tr-TR"/>
              </w:rPr>
            </w:pPr>
            <w:r w:rsidRPr="00D067C4">
              <w:rPr>
                <w:color w:val="000000"/>
                <w:sz w:val="14"/>
                <w:szCs w:val="14"/>
                <w:lang w:eastAsia="tr-TR"/>
              </w:rPr>
              <w:t> </w:t>
            </w:r>
          </w:p>
        </w:tc>
      </w:tr>
      <w:tr w:rsidR="00A74C68" w:rsidRPr="00D067C4" w14:paraId="3233E61B" w14:textId="77777777" w:rsidTr="00A74C68">
        <w:trPr>
          <w:divId w:val="180094935"/>
          <w:trHeight w:val="113"/>
        </w:trPr>
        <w:tc>
          <w:tcPr>
            <w:tcW w:w="248" w:type="pct"/>
            <w:tcBorders>
              <w:top w:val="nil"/>
              <w:left w:val="single" w:sz="4" w:space="0" w:color="auto"/>
              <w:bottom w:val="nil"/>
              <w:right w:val="nil"/>
            </w:tcBorders>
            <w:noWrap/>
            <w:hideMark/>
          </w:tcPr>
          <w:p w14:paraId="0EA38CA5" w14:textId="77777777" w:rsidR="00A74C68" w:rsidRPr="00D067C4" w:rsidRDefault="00A74C68" w:rsidP="00A74C68">
            <w:pPr>
              <w:rPr>
                <w:b/>
                <w:bCs/>
                <w:sz w:val="14"/>
                <w:szCs w:val="14"/>
              </w:rPr>
            </w:pPr>
            <w:r w:rsidRPr="00D067C4">
              <w:rPr>
                <w:b/>
                <w:bCs/>
                <w:sz w:val="14"/>
                <w:szCs w:val="14"/>
              </w:rPr>
              <w:t>A.</w:t>
            </w:r>
          </w:p>
        </w:tc>
        <w:tc>
          <w:tcPr>
            <w:tcW w:w="3022" w:type="pct"/>
            <w:tcBorders>
              <w:top w:val="nil"/>
              <w:left w:val="nil"/>
              <w:bottom w:val="nil"/>
              <w:right w:val="nil"/>
            </w:tcBorders>
            <w:noWrap/>
            <w:hideMark/>
          </w:tcPr>
          <w:p w14:paraId="33574286" w14:textId="77777777" w:rsidR="00A74C68" w:rsidRPr="00D067C4" w:rsidRDefault="00A74C68" w:rsidP="00A74C68">
            <w:pPr>
              <w:rPr>
                <w:b/>
                <w:bCs/>
                <w:sz w:val="14"/>
                <w:szCs w:val="14"/>
              </w:rPr>
            </w:pPr>
            <w:r w:rsidRPr="00D067C4">
              <w:rPr>
                <w:b/>
                <w:bCs/>
                <w:sz w:val="14"/>
                <w:szCs w:val="14"/>
              </w:rPr>
              <w:t>BANKACILIK FAALİYETLERİNE İLİŞKİN NAKİT AKIŞLARI</w:t>
            </w:r>
          </w:p>
        </w:tc>
        <w:tc>
          <w:tcPr>
            <w:tcW w:w="349" w:type="pct"/>
            <w:tcBorders>
              <w:top w:val="nil"/>
              <w:left w:val="single" w:sz="4" w:space="0" w:color="auto"/>
              <w:bottom w:val="nil"/>
              <w:right w:val="single" w:sz="4" w:space="0" w:color="auto"/>
            </w:tcBorders>
            <w:noWrap/>
            <w:vAlign w:val="bottom"/>
            <w:hideMark/>
          </w:tcPr>
          <w:p w14:paraId="359FEB71" w14:textId="77777777" w:rsidR="00A74C68" w:rsidRPr="00D067C4" w:rsidRDefault="00A74C68" w:rsidP="00A74C68">
            <w:pPr>
              <w:jc w:val="center"/>
              <w:rPr>
                <w:sz w:val="14"/>
                <w:szCs w:val="14"/>
              </w:rPr>
            </w:pPr>
            <w:r w:rsidRPr="00D067C4">
              <w:rPr>
                <w:sz w:val="14"/>
                <w:szCs w:val="14"/>
              </w:rPr>
              <w:t> </w:t>
            </w:r>
          </w:p>
        </w:tc>
        <w:tc>
          <w:tcPr>
            <w:tcW w:w="697" w:type="pct"/>
            <w:tcBorders>
              <w:top w:val="nil"/>
              <w:left w:val="nil"/>
              <w:bottom w:val="nil"/>
              <w:right w:val="single" w:sz="4" w:space="0" w:color="auto"/>
            </w:tcBorders>
            <w:noWrap/>
            <w:vAlign w:val="bottom"/>
            <w:hideMark/>
          </w:tcPr>
          <w:p w14:paraId="531822F2" w14:textId="77777777" w:rsidR="00A74C68" w:rsidRPr="00D067C4" w:rsidRDefault="00A74C68" w:rsidP="00A74C68">
            <w:pPr>
              <w:jc w:val="right"/>
              <w:rPr>
                <w:sz w:val="14"/>
                <w:szCs w:val="14"/>
              </w:rPr>
            </w:pPr>
            <w:r w:rsidRPr="00D067C4">
              <w:rPr>
                <w:sz w:val="14"/>
                <w:szCs w:val="14"/>
              </w:rPr>
              <w:t> </w:t>
            </w:r>
          </w:p>
        </w:tc>
        <w:tc>
          <w:tcPr>
            <w:tcW w:w="684" w:type="pct"/>
            <w:tcBorders>
              <w:top w:val="nil"/>
              <w:left w:val="nil"/>
              <w:bottom w:val="nil"/>
              <w:right w:val="single" w:sz="4" w:space="0" w:color="auto"/>
            </w:tcBorders>
            <w:noWrap/>
            <w:vAlign w:val="bottom"/>
            <w:hideMark/>
          </w:tcPr>
          <w:p w14:paraId="60017009" w14:textId="77777777" w:rsidR="00A74C68" w:rsidRPr="00D067C4" w:rsidRDefault="00A74C68" w:rsidP="00A74C68">
            <w:pPr>
              <w:rPr>
                <w:color w:val="000000"/>
                <w:sz w:val="14"/>
                <w:szCs w:val="14"/>
                <w:lang w:eastAsia="tr-TR"/>
              </w:rPr>
            </w:pPr>
            <w:r w:rsidRPr="00D067C4">
              <w:rPr>
                <w:color w:val="000000"/>
                <w:sz w:val="14"/>
                <w:szCs w:val="14"/>
                <w:lang w:eastAsia="tr-TR"/>
              </w:rPr>
              <w:t> </w:t>
            </w:r>
          </w:p>
        </w:tc>
      </w:tr>
      <w:tr w:rsidR="00A74C68" w:rsidRPr="00D067C4" w14:paraId="4434FC29" w14:textId="77777777" w:rsidTr="00A74C68">
        <w:trPr>
          <w:divId w:val="180094935"/>
          <w:trHeight w:val="113"/>
        </w:trPr>
        <w:tc>
          <w:tcPr>
            <w:tcW w:w="248" w:type="pct"/>
            <w:tcBorders>
              <w:top w:val="nil"/>
              <w:left w:val="single" w:sz="4" w:space="0" w:color="auto"/>
              <w:bottom w:val="nil"/>
              <w:right w:val="nil"/>
            </w:tcBorders>
            <w:hideMark/>
          </w:tcPr>
          <w:p w14:paraId="0C0F75AD" w14:textId="77777777" w:rsidR="00A74C68" w:rsidRPr="00D067C4" w:rsidRDefault="00A74C68" w:rsidP="00A74C68">
            <w:pPr>
              <w:rPr>
                <w:b/>
                <w:bCs/>
                <w:sz w:val="14"/>
                <w:szCs w:val="14"/>
              </w:rPr>
            </w:pPr>
            <w:r w:rsidRPr="00D067C4">
              <w:rPr>
                <w:b/>
                <w:bCs/>
                <w:sz w:val="14"/>
                <w:szCs w:val="14"/>
              </w:rPr>
              <w:t> </w:t>
            </w:r>
          </w:p>
        </w:tc>
        <w:tc>
          <w:tcPr>
            <w:tcW w:w="3022" w:type="pct"/>
            <w:tcBorders>
              <w:top w:val="nil"/>
              <w:left w:val="nil"/>
              <w:bottom w:val="nil"/>
              <w:right w:val="nil"/>
            </w:tcBorders>
            <w:hideMark/>
          </w:tcPr>
          <w:p w14:paraId="4822157C" w14:textId="77777777" w:rsidR="00A74C68" w:rsidRPr="00D067C4" w:rsidRDefault="00A74C68" w:rsidP="00A74C68">
            <w:pPr>
              <w:rPr>
                <w:b/>
                <w:bCs/>
                <w:sz w:val="14"/>
                <w:szCs w:val="14"/>
              </w:rPr>
            </w:pPr>
          </w:p>
        </w:tc>
        <w:tc>
          <w:tcPr>
            <w:tcW w:w="349" w:type="pct"/>
            <w:tcBorders>
              <w:top w:val="nil"/>
              <w:left w:val="single" w:sz="4" w:space="0" w:color="auto"/>
              <w:bottom w:val="nil"/>
              <w:right w:val="single" w:sz="4" w:space="0" w:color="auto"/>
            </w:tcBorders>
            <w:vAlign w:val="bottom"/>
            <w:hideMark/>
          </w:tcPr>
          <w:p w14:paraId="5E9F1342" w14:textId="77777777" w:rsidR="00A74C68" w:rsidRPr="00D067C4" w:rsidRDefault="00A74C68" w:rsidP="00A74C68">
            <w:pPr>
              <w:jc w:val="center"/>
              <w:rPr>
                <w:sz w:val="14"/>
                <w:szCs w:val="14"/>
              </w:rPr>
            </w:pPr>
            <w:r w:rsidRPr="00D067C4">
              <w:rPr>
                <w:sz w:val="14"/>
                <w:szCs w:val="14"/>
              </w:rPr>
              <w:t> </w:t>
            </w:r>
          </w:p>
        </w:tc>
        <w:tc>
          <w:tcPr>
            <w:tcW w:w="697" w:type="pct"/>
            <w:tcBorders>
              <w:top w:val="nil"/>
              <w:left w:val="nil"/>
              <w:bottom w:val="nil"/>
              <w:right w:val="single" w:sz="4" w:space="0" w:color="auto"/>
            </w:tcBorders>
            <w:vAlign w:val="center"/>
            <w:hideMark/>
          </w:tcPr>
          <w:p w14:paraId="17B2A352" w14:textId="77777777" w:rsidR="00A74C68" w:rsidRPr="00D067C4" w:rsidRDefault="00A74C68" w:rsidP="00A74C68">
            <w:pPr>
              <w:jc w:val="right"/>
              <w:rPr>
                <w:sz w:val="14"/>
                <w:szCs w:val="14"/>
              </w:rPr>
            </w:pPr>
            <w:r w:rsidRPr="00D067C4">
              <w:rPr>
                <w:sz w:val="14"/>
                <w:szCs w:val="14"/>
              </w:rPr>
              <w:t> </w:t>
            </w:r>
          </w:p>
        </w:tc>
        <w:tc>
          <w:tcPr>
            <w:tcW w:w="684" w:type="pct"/>
            <w:tcBorders>
              <w:top w:val="nil"/>
              <w:left w:val="nil"/>
              <w:bottom w:val="nil"/>
              <w:right w:val="single" w:sz="4" w:space="0" w:color="auto"/>
            </w:tcBorders>
            <w:vAlign w:val="bottom"/>
            <w:hideMark/>
          </w:tcPr>
          <w:p w14:paraId="3B303A2F" w14:textId="77777777" w:rsidR="00A74C68" w:rsidRPr="00D067C4" w:rsidRDefault="00A74C68" w:rsidP="00A74C68">
            <w:pPr>
              <w:jc w:val="right"/>
              <w:rPr>
                <w:color w:val="000000"/>
                <w:sz w:val="14"/>
                <w:szCs w:val="14"/>
                <w:lang w:eastAsia="tr-TR"/>
              </w:rPr>
            </w:pPr>
            <w:r w:rsidRPr="00D067C4">
              <w:rPr>
                <w:color w:val="000000"/>
                <w:sz w:val="14"/>
                <w:szCs w:val="14"/>
                <w:lang w:eastAsia="tr-TR"/>
              </w:rPr>
              <w:t> </w:t>
            </w:r>
          </w:p>
        </w:tc>
      </w:tr>
      <w:tr w:rsidR="007A65ED" w:rsidRPr="00D067C4" w14:paraId="216B8390" w14:textId="77777777" w:rsidTr="00120C06">
        <w:trPr>
          <w:divId w:val="180094935"/>
          <w:trHeight w:val="113"/>
        </w:trPr>
        <w:tc>
          <w:tcPr>
            <w:tcW w:w="248" w:type="pct"/>
            <w:tcBorders>
              <w:top w:val="nil"/>
              <w:left w:val="single" w:sz="4" w:space="0" w:color="auto"/>
              <w:bottom w:val="nil"/>
              <w:right w:val="nil"/>
            </w:tcBorders>
            <w:hideMark/>
          </w:tcPr>
          <w:p w14:paraId="3FBA77A1" w14:textId="77777777" w:rsidR="007A65ED" w:rsidRPr="00D067C4" w:rsidRDefault="007A65ED" w:rsidP="007A65ED">
            <w:pPr>
              <w:rPr>
                <w:b/>
                <w:bCs/>
                <w:sz w:val="14"/>
                <w:szCs w:val="14"/>
              </w:rPr>
            </w:pPr>
            <w:r w:rsidRPr="00D067C4">
              <w:rPr>
                <w:b/>
                <w:bCs/>
                <w:sz w:val="14"/>
                <w:szCs w:val="14"/>
              </w:rPr>
              <w:t>1.1</w:t>
            </w:r>
          </w:p>
        </w:tc>
        <w:tc>
          <w:tcPr>
            <w:tcW w:w="3022" w:type="pct"/>
            <w:tcBorders>
              <w:top w:val="nil"/>
              <w:left w:val="nil"/>
              <w:bottom w:val="nil"/>
              <w:right w:val="nil"/>
            </w:tcBorders>
            <w:hideMark/>
          </w:tcPr>
          <w:p w14:paraId="6F8C20F2" w14:textId="77777777" w:rsidR="007A65ED" w:rsidRPr="00D067C4" w:rsidRDefault="007A65ED" w:rsidP="007A65ED">
            <w:pPr>
              <w:rPr>
                <w:b/>
                <w:bCs/>
                <w:sz w:val="14"/>
                <w:szCs w:val="14"/>
              </w:rPr>
            </w:pPr>
            <w:r w:rsidRPr="00D067C4">
              <w:rPr>
                <w:b/>
                <w:bCs/>
                <w:sz w:val="14"/>
                <w:szCs w:val="14"/>
              </w:rPr>
              <w:t>Bankacılık Faaliyet Konusu Varlık ve Yükümlülüklerdeki Değişim Öncesi Faaliyet Kârı</w:t>
            </w:r>
          </w:p>
        </w:tc>
        <w:tc>
          <w:tcPr>
            <w:tcW w:w="349" w:type="pct"/>
            <w:tcBorders>
              <w:top w:val="nil"/>
              <w:left w:val="single" w:sz="4" w:space="0" w:color="auto"/>
              <w:bottom w:val="nil"/>
              <w:right w:val="single" w:sz="4" w:space="0" w:color="auto"/>
            </w:tcBorders>
            <w:vAlign w:val="bottom"/>
            <w:hideMark/>
          </w:tcPr>
          <w:p w14:paraId="6DD8CC5D" w14:textId="0ADC12D1"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vAlign w:val="center"/>
            <w:hideMark/>
          </w:tcPr>
          <w:p w14:paraId="3124EDB8" w14:textId="33E16D22" w:rsidR="007A65ED" w:rsidRPr="00D067C4" w:rsidRDefault="007A65ED" w:rsidP="007A65ED">
            <w:pPr>
              <w:jc w:val="right"/>
              <w:rPr>
                <w:b/>
                <w:bCs/>
                <w:sz w:val="14"/>
                <w:szCs w:val="14"/>
              </w:rPr>
            </w:pPr>
            <w:r w:rsidRPr="00D067C4">
              <w:rPr>
                <w:b/>
                <w:bCs/>
                <w:sz w:val="14"/>
                <w:szCs w:val="14"/>
              </w:rPr>
              <w:t>229.079</w:t>
            </w:r>
          </w:p>
        </w:tc>
        <w:tc>
          <w:tcPr>
            <w:tcW w:w="684" w:type="pct"/>
            <w:tcBorders>
              <w:top w:val="nil"/>
              <w:left w:val="nil"/>
              <w:bottom w:val="nil"/>
              <w:right w:val="single" w:sz="4" w:space="0" w:color="auto"/>
            </w:tcBorders>
            <w:vAlign w:val="bottom"/>
            <w:hideMark/>
          </w:tcPr>
          <w:p w14:paraId="70C06EE7" w14:textId="77777777" w:rsidR="007A65ED" w:rsidRPr="00D067C4" w:rsidRDefault="007A65ED" w:rsidP="007A65ED">
            <w:pPr>
              <w:jc w:val="right"/>
              <w:rPr>
                <w:b/>
                <w:bCs/>
                <w:color w:val="000000"/>
                <w:sz w:val="14"/>
                <w:szCs w:val="14"/>
                <w:lang w:eastAsia="tr-TR"/>
              </w:rPr>
            </w:pPr>
            <w:r w:rsidRPr="00D067C4">
              <w:rPr>
                <w:b/>
                <w:bCs/>
                <w:color w:val="000000"/>
                <w:sz w:val="14"/>
                <w:szCs w:val="14"/>
                <w:lang w:eastAsia="tr-TR"/>
              </w:rPr>
              <w:t>866.746</w:t>
            </w:r>
          </w:p>
        </w:tc>
      </w:tr>
      <w:tr w:rsidR="007A65ED" w:rsidRPr="00D067C4" w14:paraId="3DF1BCD8" w14:textId="77777777" w:rsidTr="00120C06">
        <w:trPr>
          <w:divId w:val="180094935"/>
          <w:trHeight w:val="113"/>
        </w:trPr>
        <w:tc>
          <w:tcPr>
            <w:tcW w:w="248" w:type="pct"/>
            <w:tcBorders>
              <w:top w:val="nil"/>
              <w:left w:val="single" w:sz="4" w:space="0" w:color="auto"/>
              <w:bottom w:val="nil"/>
              <w:right w:val="nil"/>
            </w:tcBorders>
            <w:hideMark/>
          </w:tcPr>
          <w:p w14:paraId="34A2F7AA" w14:textId="77777777" w:rsidR="007A65ED" w:rsidRPr="00D067C4" w:rsidRDefault="007A65ED" w:rsidP="007A65ED">
            <w:pPr>
              <w:rPr>
                <w:b/>
                <w:bCs/>
                <w:sz w:val="14"/>
                <w:szCs w:val="14"/>
              </w:rPr>
            </w:pPr>
            <w:r w:rsidRPr="00D067C4">
              <w:rPr>
                <w:b/>
                <w:bCs/>
                <w:sz w:val="14"/>
                <w:szCs w:val="14"/>
              </w:rPr>
              <w:t> </w:t>
            </w:r>
          </w:p>
        </w:tc>
        <w:tc>
          <w:tcPr>
            <w:tcW w:w="3022" w:type="pct"/>
            <w:tcBorders>
              <w:top w:val="nil"/>
              <w:left w:val="nil"/>
              <w:bottom w:val="nil"/>
              <w:right w:val="nil"/>
            </w:tcBorders>
            <w:hideMark/>
          </w:tcPr>
          <w:p w14:paraId="6B04121E" w14:textId="77777777" w:rsidR="007A65ED" w:rsidRPr="00D067C4" w:rsidRDefault="007A65ED" w:rsidP="007A65ED">
            <w:pPr>
              <w:rPr>
                <w:b/>
                <w:bCs/>
                <w:sz w:val="14"/>
                <w:szCs w:val="14"/>
              </w:rPr>
            </w:pPr>
          </w:p>
        </w:tc>
        <w:tc>
          <w:tcPr>
            <w:tcW w:w="349" w:type="pct"/>
            <w:tcBorders>
              <w:top w:val="nil"/>
              <w:left w:val="single" w:sz="4" w:space="0" w:color="auto"/>
              <w:bottom w:val="nil"/>
              <w:right w:val="single" w:sz="4" w:space="0" w:color="auto"/>
            </w:tcBorders>
            <w:vAlign w:val="bottom"/>
            <w:hideMark/>
          </w:tcPr>
          <w:p w14:paraId="1637EF2E" w14:textId="70343C5D"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noWrap/>
            <w:vAlign w:val="center"/>
            <w:hideMark/>
          </w:tcPr>
          <w:p w14:paraId="7ADF68F0" w14:textId="15253DAF" w:rsidR="007A65ED" w:rsidRPr="00D067C4" w:rsidRDefault="007A65ED" w:rsidP="007A65ED">
            <w:pPr>
              <w:jc w:val="right"/>
              <w:rPr>
                <w:sz w:val="14"/>
                <w:szCs w:val="14"/>
              </w:rPr>
            </w:pPr>
            <w:r w:rsidRPr="00D067C4">
              <w:rPr>
                <w:b/>
                <w:bCs/>
                <w:sz w:val="14"/>
                <w:szCs w:val="14"/>
              </w:rPr>
              <w:t> </w:t>
            </w:r>
          </w:p>
        </w:tc>
        <w:tc>
          <w:tcPr>
            <w:tcW w:w="684" w:type="pct"/>
            <w:tcBorders>
              <w:top w:val="nil"/>
              <w:left w:val="nil"/>
              <w:bottom w:val="nil"/>
              <w:right w:val="single" w:sz="4" w:space="0" w:color="auto"/>
            </w:tcBorders>
            <w:noWrap/>
            <w:vAlign w:val="bottom"/>
            <w:hideMark/>
          </w:tcPr>
          <w:p w14:paraId="67C9A5FD" w14:textId="77777777" w:rsidR="007A65ED" w:rsidRPr="00D067C4" w:rsidRDefault="007A65ED" w:rsidP="007A65ED">
            <w:pPr>
              <w:jc w:val="right"/>
              <w:rPr>
                <w:color w:val="000000"/>
                <w:sz w:val="14"/>
                <w:szCs w:val="14"/>
                <w:lang w:eastAsia="tr-TR"/>
              </w:rPr>
            </w:pPr>
            <w:r w:rsidRPr="00D067C4">
              <w:rPr>
                <w:color w:val="000000"/>
                <w:sz w:val="14"/>
                <w:szCs w:val="14"/>
                <w:lang w:eastAsia="tr-TR"/>
              </w:rPr>
              <w:t> </w:t>
            </w:r>
          </w:p>
        </w:tc>
      </w:tr>
      <w:tr w:rsidR="007A65ED" w:rsidRPr="00D067C4" w14:paraId="73170FE0" w14:textId="77777777" w:rsidTr="00120C06">
        <w:trPr>
          <w:divId w:val="180094935"/>
          <w:trHeight w:val="113"/>
        </w:trPr>
        <w:tc>
          <w:tcPr>
            <w:tcW w:w="248" w:type="pct"/>
            <w:tcBorders>
              <w:top w:val="nil"/>
              <w:left w:val="single" w:sz="4" w:space="0" w:color="auto"/>
              <w:bottom w:val="nil"/>
              <w:right w:val="nil"/>
            </w:tcBorders>
            <w:hideMark/>
          </w:tcPr>
          <w:p w14:paraId="7DE66D74" w14:textId="77777777" w:rsidR="007A65ED" w:rsidRPr="00D067C4" w:rsidRDefault="007A65ED" w:rsidP="007A65ED">
            <w:pPr>
              <w:rPr>
                <w:sz w:val="14"/>
                <w:szCs w:val="14"/>
              </w:rPr>
            </w:pPr>
            <w:r w:rsidRPr="00D067C4">
              <w:rPr>
                <w:sz w:val="14"/>
                <w:szCs w:val="14"/>
              </w:rPr>
              <w:t>1.1.1</w:t>
            </w:r>
          </w:p>
        </w:tc>
        <w:tc>
          <w:tcPr>
            <w:tcW w:w="3022" w:type="pct"/>
            <w:tcBorders>
              <w:top w:val="nil"/>
              <w:left w:val="nil"/>
              <w:bottom w:val="nil"/>
              <w:right w:val="nil"/>
            </w:tcBorders>
            <w:hideMark/>
          </w:tcPr>
          <w:p w14:paraId="0C01E3D2" w14:textId="77777777" w:rsidR="007A65ED" w:rsidRPr="00D067C4" w:rsidRDefault="007A65ED" w:rsidP="007A65ED">
            <w:pPr>
              <w:rPr>
                <w:sz w:val="14"/>
                <w:szCs w:val="14"/>
              </w:rPr>
            </w:pPr>
            <w:r w:rsidRPr="00D067C4">
              <w:rPr>
                <w:sz w:val="14"/>
                <w:szCs w:val="14"/>
              </w:rPr>
              <w:t>Alınan Kâr Payları</w:t>
            </w:r>
          </w:p>
        </w:tc>
        <w:tc>
          <w:tcPr>
            <w:tcW w:w="349" w:type="pct"/>
            <w:tcBorders>
              <w:top w:val="nil"/>
              <w:left w:val="single" w:sz="4" w:space="0" w:color="auto"/>
              <w:bottom w:val="nil"/>
              <w:right w:val="single" w:sz="4" w:space="0" w:color="auto"/>
            </w:tcBorders>
            <w:vAlign w:val="bottom"/>
            <w:hideMark/>
          </w:tcPr>
          <w:p w14:paraId="3F8D9953" w14:textId="5FFB73B5"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vAlign w:val="center"/>
            <w:hideMark/>
          </w:tcPr>
          <w:p w14:paraId="363FDB2C" w14:textId="5E21DA4D" w:rsidR="007A65ED" w:rsidRPr="00D067C4" w:rsidRDefault="007A65ED" w:rsidP="007A65ED">
            <w:pPr>
              <w:jc w:val="right"/>
              <w:rPr>
                <w:sz w:val="14"/>
                <w:szCs w:val="14"/>
              </w:rPr>
            </w:pPr>
            <w:r w:rsidRPr="00D067C4">
              <w:rPr>
                <w:sz w:val="14"/>
                <w:szCs w:val="14"/>
              </w:rPr>
              <w:t>10.860.615</w:t>
            </w:r>
          </w:p>
        </w:tc>
        <w:tc>
          <w:tcPr>
            <w:tcW w:w="684" w:type="pct"/>
            <w:tcBorders>
              <w:top w:val="nil"/>
              <w:left w:val="nil"/>
              <w:bottom w:val="nil"/>
              <w:right w:val="single" w:sz="4" w:space="0" w:color="auto"/>
            </w:tcBorders>
            <w:vAlign w:val="bottom"/>
            <w:hideMark/>
          </w:tcPr>
          <w:p w14:paraId="4AC7EE8A" w14:textId="77777777" w:rsidR="007A65ED" w:rsidRPr="00D067C4" w:rsidRDefault="007A65ED" w:rsidP="007A65ED">
            <w:pPr>
              <w:jc w:val="right"/>
              <w:rPr>
                <w:color w:val="000000"/>
                <w:sz w:val="14"/>
                <w:szCs w:val="14"/>
                <w:lang w:eastAsia="tr-TR"/>
              </w:rPr>
            </w:pPr>
            <w:r w:rsidRPr="00D067C4">
              <w:rPr>
                <w:color w:val="000000"/>
                <w:sz w:val="14"/>
                <w:szCs w:val="14"/>
                <w:lang w:eastAsia="tr-TR"/>
              </w:rPr>
              <w:t>2.107.436</w:t>
            </w:r>
          </w:p>
        </w:tc>
      </w:tr>
      <w:tr w:rsidR="007A65ED" w:rsidRPr="00D067C4" w14:paraId="64C961D8" w14:textId="77777777" w:rsidTr="00120C06">
        <w:trPr>
          <w:divId w:val="180094935"/>
          <w:trHeight w:val="113"/>
        </w:trPr>
        <w:tc>
          <w:tcPr>
            <w:tcW w:w="248" w:type="pct"/>
            <w:tcBorders>
              <w:top w:val="nil"/>
              <w:left w:val="single" w:sz="4" w:space="0" w:color="auto"/>
              <w:bottom w:val="nil"/>
              <w:right w:val="nil"/>
            </w:tcBorders>
            <w:hideMark/>
          </w:tcPr>
          <w:p w14:paraId="56C90C38" w14:textId="77777777" w:rsidR="007A65ED" w:rsidRPr="00D067C4" w:rsidRDefault="007A65ED" w:rsidP="007A65ED">
            <w:pPr>
              <w:rPr>
                <w:sz w:val="14"/>
                <w:szCs w:val="14"/>
              </w:rPr>
            </w:pPr>
            <w:r w:rsidRPr="00D067C4">
              <w:rPr>
                <w:sz w:val="14"/>
                <w:szCs w:val="14"/>
              </w:rPr>
              <w:t>1.1.2</w:t>
            </w:r>
          </w:p>
        </w:tc>
        <w:tc>
          <w:tcPr>
            <w:tcW w:w="3022" w:type="pct"/>
            <w:tcBorders>
              <w:top w:val="nil"/>
              <w:left w:val="nil"/>
              <w:bottom w:val="nil"/>
              <w:right w:val="nil"/>
            </w:tcBorders>
            <w:hideMark/>
          </w:tcPr>
          <w:p w14:paraId="79E6A651" w14:textId="77777777" w:rsidR="007A65ED" w:rsidRPr="00D067C4" w:rsidRDefault="007A65ED" w:rsidP="007A65ED">
            <w:pPr>
              <w:rPr>
                <w:sz w:val="14"/>
                <w:szCs w:val="14"/>
              </w:rPr>
            </w:pPr>
            <w:r w:rsidRPr="00D067C4">
              <w:rPr>
                <w:sz w:val="14"/>
                <w:szCs w:val="14"/>
              </w:rPr>
              <w:t>Ödenen Kâr Payları</w:t>
            </w:r>
          </w:p>
        </w:tc>
        <w:tc>
          <w:tcPr>
            <w:tcW w:w="349" w:type="pct"/>
            <w:tcBorders>
              <w:top w:val="nil"/>
              <w:left w:val="single" w:sz="4" w:space="0" w:color="auto"/>
              <w:bottom w:val="nil"/>
              <w:right w:val="single" w:sz="4" w:space="0" w:color="auto"/>
            </w:tcBorders>
            <w:vAlign w:val="bottom"/>
            <w:hideMark/>
          </w:tcPr>
          <w:p w14:paraId="208779CC" w14:textId="38EA0B3D"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vAlign w:val="center"/>
            <w:hideMark/>
          </w:tcPr>
          <w:p w14:paraId="08585111" w14:textId="2233F0B7" w:rsidR="007A65ED" w:rsidRPr="00D067C4" w:rsidRDefault="007A65ED" w:rsidP="007A65ED">
            <w:pPr>
              <w:jc w:val="right"/>
              <w:rPr>
                <w:sz w:val="14"/>
                <w:szCs w:val="14"/>
                <w:lang w:eastAsia="tr-TR"/>
              </w:rPr>
            </w:pPr>
            <w:r w:rsidRPr="00D067C4">
              <w:rPr>
                <w:sz w:val="14"/>
                <w:szCs w:val="14"/>
              </w:rPr>
              <w:t>(7.003.985)</w:t>
            </w:r>
          </w:p>
        </w:tc>
        <w:tc>
          <w:tcPr>
            <w:tcW w:w="684" w:type="pct"/>
            <w:tcBorders>
              <w:top w:val="nil"/>
              <w:left w:val="nil"/>
              <w:bottom w:val="nil"/>
              <w:right w:val="single" w:sz="4" w:space="0" w:color="auto"/>
            </w:tcBorders>
            <w:vAlign w:val="bottom"/>
            <w:hideMark/>
          </w:tcPr>
          <w:p w14:paraId="3F2AB75E" w14:textId="77777777" w:rsidR="007A65ED" w:rsidRPr="00D067C4" w:rsidRDefault="007A65ED" w:rsidP="007A65ED">
            <w:pPr>
              <w:jc w:val="right"/>
              <w:rPr>
                <w:color w:val="000000"/>
                <w:sz w:val="14"/>
                <w:szCs w:val="14"/>
                <w:lang w:eastAsia="tr-TR"/>
              </w:rPr>
            </w:pPr>
            <w:r w:rsidRPr="00D067C4">
              <w:rPr>
                <w:color w:val="000000"/>
                <w:sz w:val="14"/>
                <w:szCs w:val="14"/>
                <w:lang w:eastAsia="tr-TR"/>
              </w:rPr>
              <w:t>(1.069.389)</w:t>
            </w:r>
          </w:p>
        </w:tc>
      </w:tr>
      <w:tr w:rsidR="007A65ED" w:rsidRPr="00D067C4" w14:paraId="33F9781C" w14:textId="77777777" w:rsidTr="00120C06">
        <w:trPr>
          <w:divId w:val="180094935"/>
          <w:trHeight w:val="113"/>
        </w:trPr>
        <w:tc>
          <w:tcPr>
            <w:tcW w:w="248" w:type="pct"/>
            <w:tcBorders>
              <w:top w:val="nil"/>
              <w:left w:val="single" w:sz="4" w:space="0" w:color="auto"/>
              <w:bottom w:val="nil"/>
              <w:right w:val="nil"/>
            </w:tcBorders>
            <w:hideMark/>
          </w:tcPr>
          <w:p w14:paraId="1CBB8D5D" w14:textId="77777777" w:rsidR="007A65ED" w:rsidRPr="00D067C4" w:rsidRDefault="007A65ED" w:rsidP="007A65ED">
            <w:pPr>
              <w:rPr>
                <w:sz w:val="14"/>
                <w:szCs w:val="14"/>
              </w:rPr>
            </w:pPr>
            <w:r w:rsidRPr="00D067C4">
              <w:rPr>
                <w:sz w:val="14"/>
                <w:szCs w:val="14"/>
              </w:rPr>
              <w:t>1.1.3</w:t>
            </w:r>
          </w:p>
        </w:tc>
        <w:tc>
          <w:tcPr>
            <w:tcW w:w="3022" w:type="pct"/>
            <w:tcBorders>
              <w:top w:val="nil"/>
              <w:left w:val="nil"/>
              <w:bottom w:val="nil"/>
              <w:right w:val="nil"/>
            </w:tcBorders>
            <w:hideMark/>
          </w:tcPr>
          <w:p w14:paraId="622ADFDB" w14:textId="77777777" w:rsidR="007A65ED" w:rsidRPr="00D067C4" w:rsidRDefault="007A65ED" w:rsidP="007A65ED">
            <w:pPr>
              <w:rPr>
                <w:sz w:val="14"/>
                <w:szCs w:val="14"/>
              </w:rPr>
            </w:pPr>
            <w:r w:rsidRPr="00D067C4">
              <w:rPr>
                <w:sz w:val="14"/>
                <w:szCs w:val="14"/>
              </w:rPr>
              <w:t>Alınan Temettüler</w:t>
            </w:r>
          </w:p>
        </w:tc>
        <w:tc>
          <w:tcPr>
            <w:tcW w:w="349" w:type="pct"/>
            <w:tcBorders>
              <w:top w:val="nil"/>
              <w:left w:val="single" w:sz="4" w:space="0" w:color="auto"/>
              <w:bottom w:val="nil"/>
              <w:right w:val="single" w:sz="4" w:space="0" w:color="auto"/>
            </w:tcBorders>
            <w:vAlign w:val="bottom"/>
            <w:hideMark/>
          </w:tcPr>
          <w:p w14:paraId="21DAC1CE" w14:textId="65045625"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vAlign w:val="center"/>
            <w:hideMark/>
          </w:tcPr>
          <w:p w14:paraId="6049CF3B" w14:textId="3158F00A" w:rsidR="007A65ED" w:rsidRPr="00D067C4" w:rsidRDefault="007A65ED" w:rsidP="007A65ED">
            <w:pPr>
              <w:jc w:val="right"/>
              <w:rPr>
                <w:sz w:val="14"/>
                <w:szCs w:val="14"/>
              </w:rPr>
            </w:pPr>
            <w:r w:rsidRPr="00D067C4">
              <w:rPr>
                <w:sz w:val="14"/>
                <w:szCs w:val="14"/>
              </w:rPr>
              <w:t>87</w:t>
            </w:r>
          </w:p>
        </w:tc>
        <w:tc>
          <w:tcPr>
            <w:tcW w:w="684" w:type="pct"/>
            <w:tcBorders>
              <w:top w:val="nil"/>
              <w:left w:val="nil"/>
              <w:bottom w:val="nil"/>
              <w:right w:val="single" w:sz="4" w:space="0" w:color="auto"/>
            </w:tcBorders>
            <w:vAlign w:val="bottom"/>
            <w:hideMark/>
          </w:tcPr>
          <w:p w14:paraId="0A9FEAA5" w14:textId="77777777" w:rsidR="007A65ED" w:rsidRPr="00D067C4" w:rsidRDefault="007A65ED" w:rsidP="007A65ED">
            <w:pPr>
              <w:jc w:val="right"/>
              <w:rPr>
                <w:color w:val="000000"/>
                <w:sz w:val="14"/>
                <w:szCs w:val="14"/>
                <w:lang w:eastAsia="tr-TR"/>
              </w:rPr>
            </w:pPr>
            <w:r w:rsidRPr="00D067C4">
              <w:rPr>
                <w:color w:val="000000"/>
                <w:sz w:val="14"/>
                <w:szCs w:val="14"/>
                <w:lang w:eastAsia="tr-TR"/>
              </w:rPr>
              <w:t>52</w:t>
            </w:r>
          </w:p>
        </w:tc>
      </w:tr>
      <w:tr w:rsidR="007A65ED" w:rsidRPr="00D067C4" w14:paraId="55B3EB9C" w14:textId="77777777" w:rsidTr="00120C06">
        <w:trPr>
          <w:divId w:val="180094935"/>
          <w:trHeight w:val="113"/>
        </w:trPr>
        <w:tc>
          <w:tcPr>
            <w:tcW w:w="248" w:type="pct"/>
            <w:tcBorders>
              <w:top w:val="nil"/>
              <w:left w:val="single" w:sz="4" w:space="0" w:color="auto"/>
              <w:bottom w:val="nil"/>
              <w:right w:val="nil"/>
            </w:tcBorders>
            <w:hideMark/>
          </w:tcPr>
          <w:p w14:paraId="04819E8C" w14:textId="77777777" w:rsidR="007A65ED" w:rsidRPr="00D067C4" w:rsidRDefault="007A65ED" w:rsidP="007A65ED">
            <w:pPr>
              <w:rPr>
                <w:sz w:val="14"/>
                <w:szCs w:val="14"/>
              </w:rPr>
            </w:pPr>
            <w:r w:rsidRPr="00D067C4">
              <w:rPr>
                <w:sz w:val="14"/>
                <w:szCs w:val="14"/>
              </w:rPr>
              <w:t>1.1.4</w:t>
            </w:r>
          </w:p>
        </w:tc>
        <w:tc>
          <w:tcPr>
            <w:tcW w:w="3022" w:type="pct"/>
            <w:tcBorders>
              <w:top w:val="nil"/>
              <w:left w:val="nil"/>
              <w:bottom w:val="nil"/>
              <w:right w:val="nil"/>
            </w:tcBorders>
            <w:hideMark/>
          </w:tcPr>
          <w:p w14:paraId="7BAC0233" w14:textId="77777777" w:rsidR="007A65ED" w:rsidRPr="00D067C4" w:rsidRDefault="007A65ED" w:rsidP="007A65ED">
            <w:pPr>
              <w:rPr>
                <w:sz w:val="14"/>
                <w:szCs w:val="14"/>
              </w:rPr>
            </w:pPr>
            <w:r w:rsidRPr="00D067C4">
              <w:rPr>
                <w:sz w:val="14"/>
                <w:szCs w:val="14"/>
              </w:rPr>
              <w:t>Alınan Ücret ve Komisyonlar</w:t>
            </w:r>
          </w:p>
        </w:tc>
        <w:tc>
          <w:tcPr>
            <w:tcW w:w="349" w:type="pct"/>
            <w:tcBorders>
              <w:top w:val="nil"/>
              <w:left w:val="single" w:sz="4" w:space="0" w:color="auto"/>
              <w:bottom w:val="nil"/>
              <w:right w:val="single" w:sz="4" w:space="0" w:color="auto"/>
            </w:tcBorders>
            <w:vAlign w:val="bottom"/>
            <w:hideMark/>
          </w:tcPr>
          <w:p w14:paraId="10DD5837" w14:textId="5AFA23B2"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vAlign w:val="center"/>
            <w:hideMark/>
          </w:tcPr>
          <w:p w14:paraId="168DE8DC" w14:textId="04A765A3" w:rsidR="007A65ED" w:rsidRPr="00D067C4" w:rsidRDefault="007A65ED" w:rsidP="007A65ED">
            <w:pPr>
              <w:jc w:val="right"/>
              <w:rPr>
                <w:sz w:val="14"/>
                <w:szCs w:val="14"/>
              </w:rPr>
            </w:pPr>
            <w:r w:rsidRPr="00D067C4">
              <w:rPr>
                <w:sz w:val="14"/>
                <w:szCs w:val="14"/>
              </w:rPr>
              <w:t>928.735</w:t>
            </w:r>
          </w:p>
        </w:tc>
        <w:tc>
          <w:tcPr>
            <w:tcW w:w="684" w:type="pct"/>
            <w:tcBorders>
              <w:top w:val="nil"/>
              <w:left w:val="nil"/>
              <w:bottom w:val="nil"/>
              <w:right w:val="single" w:sz="4" w:space="0" w:color="auto"/>
            </w:tcBorders>
            <w:vAlign w:val="bottom"/>
            <w:hideMark/>
          </w:tcPr>
          <w:p w14:paraId="5D2B0035" w14:textId="77777777" w:rsidR="007A65ED" w:rsidRPr="00D067C4" w:rsidRDefault="007A65ED" w:rsidP="007A65ED">
            <w:pPr>
              <w:jc w:val="right"/>
              <w:rPr>
                <w:color w:val="000000"/>
                <w:sz w:val="14"/>
                <w:szCs w:val="14"/>
                <w:lang w:eastAsia="tr-TR"/>
              </w:rPr>
            </w:pPr>
            <w:r w:rsidRPr="00D067C4">
              <w:rPr>
                <w:color w:val="000000"/>
                <w:sz w:val="14"/>
                <w:szCs w:val="14"/>
                <w:lang w:eastAsia="tr-TR"/>
              </w:rPr>
              <w:t>182.968</w:t>
            </w:r>
          </w:p>
        </w:tc>
      </w:tr>
      <w:tr w:rsidR="007A65ED" w:rsidRPr="00D067C4" w14:paraId="6F5770D3" w14:textId="77777777" w:rsidTr="00120C06">
        <w:trPr>
          <w:divId w:val="180094935"/>
          <w:trHeight w:val="113"/>
        </w:trPr>
        <w:tc>
          <w:tcPr>
            <w:tcW w:w="248" w:type="pct"/>
            <w:tcBorders>
              <w:top w:val="nil"/>
              <w:left w:val="single" w:sz="4" w:space="0" w:color="auto"/>
              <w:bottom w:val="nil"/>
              <w:right w:val="nil"/>
            </w:tcBorders>
            <w:hideMark/>
          </w:tcPr>
          <w:p w14:paraId="7262B143" w14:textId="77777777" w:rsidR="007A65ED" w:rsidRPr="00D067C4" w:rsidRDefault="007A65ED" w:rsidP="007A65ED">
            <w:pPr>
              <w:rPr>
                <w:sz w:val="14"/>
                <w:szCs w:val="14"/>
              </w:rPr>
            </w:pPr>
            <w:r w:rsidRPr="00D067C4">
              <w:rPr>
                <w:sz w:val="14"/>
                <w:szCs w:val="14"/>
              </w:rPr>
              <w:t>1.1.5</w:t>
            </w:r>
          </w:p>
        </w:tc>
        <w:tc>
          <w:tcPr>
            <w:tcW w:w="3022" w:type="pct"/>
            <w:tcBorders>
              <w:top w:val="nil"/>
              <w:left w:val="nil"/>
              <w:bottom w:val="nil"/>
              <w:right w:val="nil"/>
            </w:tcBorders>
            <w:hideMark/>
          </w:tcPr>
          <w:p w14:paraId="4F373F44" w14:textId="77777777" w:rsidR="007A65ED" w:rsidRPr="00D067C4" w:rsidRDefault="007A65ED" w:rsidP="007A65ED">
            <w:pPr>
              <w:rPr>
                <w:sz w:val="14"/>
                <w:szCs w:val="14"/>
              </w:rPr>
            </w:pPr>
            <w:r w:rsidRPr="00D067C4">
              <w:rPr>
                <w:sz w:val="14"/>
                <w:szCs w:val="14"/>
              </w:rPr>
              <w:t>Elde Edilen Diğer Kazançlar</w:t>
            </w:r>
          </w:p>
        </w:tc>
        <w:tc>
          <w:tcPr>
            <w:tcW w:w="349" w:type="pct"/>
            <w:tcBorders>
              <w:top w:val="nil"/>
              <w:left w:val="single" w:sz="4" w:space="0" w:color="auto"/>
              <w:bottom w:val="nil"/>
              <w:right w:val="single" w:sz="4" w:space="0" w:color="auto"/>
            </w:tcBorders>
            <w:vAlign w:val="bottom"/>
            <w:hideMark/>
          </w:tcPr>
          <w:p w14:paraId="1582EB26" w14:textId="1009339B"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vAlign w:val="center"/>
            <w:hideMark/>
          </w:tcPr>
          <w:p w14:paraId="5A83C34E" w14:textId="14856C67" w:rsidR="007A65ED" w:rsidRPr="00D067C4" w:rsidRDefault="007A65ED" w:rsidP="007A65ED">
            <w:pPr>
              <w:jc w:val="right"/>
              <w:rPr>
                <w:sz w:val="14"/>
                <w:szCs w:val="14"/>
              </w:rPr>
            </w:pPr>
            <w:r w:rsidRPr="00D067C4">
              <w:rPr>
                <w:sz w:val="14"/>
                <w:szCs w:val="14"/>
              </w:rPr>
              <w:t>9.297</w:t>
            </w:r>
          </w:p>
        </w:tc>
        <w:tc>
          <w:tcPr>
            <w:tcW w:w="684" w:type="pct"/>
            <w:tcBorders>
              <w:top w:val="nil"/>
              <w:left w:val="nil"/>
              <w:bottom w:val="nil"/>
              <w:right w:val="single" w:sz="4" w:space="0" w:color="auto"/>
            </w:tcBorders>
            <w:vAlign w:val="bottom"/>
            <w:hideMark/>
          </w:tcPr>
          <w:p w14:paraId="0BE87183" w14:textId="77777777" w:rsidR="007A65ED" w:rsidRPr="00D067C4" w:rsidRDefault="007A65ED" w:rsidP="007A65ED">
            <w:pPr>
              <w:jc w:val="right"/>
              <w:rPr>
                <w:color w:val="000000"/>
                <w:sz w:val="14"/>
                <w:szCs w:val="14"/>
                <w:lang w:eastAsia="tr-TR"/>
              </w:rPr>
            </w:pPr>
            <w:r w:rsidRPr="00D067C4">
              <w:rPr>
                <w:color w:val="000000"/>
                <w:sz w:val="14"/>
                <w:szCs w:val="14"/>
                <w:lang w:eastAsia="tr-TR"/>
              </w:rPr>
              <w:t>(10.940)</w:t>
            </w:r>
          </w:p>
        </w:tc>
      </w:tr>
      <w:tr w:rsidR="007A65ED" w:rsidRPr="00D067C4" w14:paraId="477A0193" w14:textId="77777777" w:rsidTr="00120C06">
        <w:trPr>
          <w:divId w:val="180094935"/>
          <w:trHeight w:val="113"/>
        </w:trPr>
        <w:tc>
          <w:tcPr>
            <w:tcW w:w="248" w:type="pct"/>
            <w:tcBorders>
              <w:top w:val="nil"/>
              <w:left w:val="single" w:sz="4" w:space="0" w:color="auto"/>
              <w:bottom w:val="nil"/>
              <w:right w:val="nil"/>
            </w:tcBorders>
            <w:hideMark/>
          </w:tcPr>
          <w:p w14:paraId="08903E60" w14:textId="77777777" w:rsidR="007A65ED" w:rsidRPr="00D067C4" w:rsidRDefault="007A65ED" w:rsidP="007A65ED">
            <w:pPr>
              <w:rPr>
                <w:sz w:val="14"/>
                <w:szCs w:val="14"/>
              </w:rPr>
            </w:pPr>
            <w:r w:rsidRPr="00D067C4">
              <w:rPr>
                <w:sz w:val="14"/>
                <w:szCs w:val="14"/>
              </w:rPr>
              <w:t>1.1.6</w:t>
            </w:r>
          </w:p>
        </w:tc>
        <w:tc>
          <w:tcPr>
            <w:tcW w:w="3022" w:type="pct"/>
            <w:tcBorders>
              <w:top w:val="nil"/>
              <w:left w:val="nil"/>
              <w:bottom w:val="nil"/>
              <w:right w:val="nil"/>
            </w:tcBorders>
            <w:hideMark/>
          </w:tcPr>
          <w:p w14:paraId="20B595C2" w14:textId="77777777" w:rsidR="007A65ED" w:rsidRPr="00D067C4" w:rsidRDefault="007A65ED" w:rsidP="007A65ED">
            <w:pPr>
              <w:rPr>
                <w:sz w:val="14"/>
                <w:szCs w:val="14"/>
              </w:rPr>
            </w:pPr>
            <w:r w:rsidRPr="00D067C4">
              <w:rPr>
                <w:sz w:val="14"/>
                <w:szCs w:val="14"/>
              </w:rPr>
              <w:t>Zarar Olarak Muhasebeleştirilen Donuk Alacaklardan Tahsilatlar</w:t>
            </w:r>
          </w:p>
        </w:tc>
        <w:tc>
          <w:tcPr>
            <w:tcW w:w="349" w:type="pct"/>
            <w:tcBorders>
              <w:top w:val="nil"/>
              <w:left w:val="single" w:sz="4" w:space="0" w:color="auto"/>
              <w:bottom w:val="nil"/>
              <w:right w:val="single" w:sz="4" w:space="0" w:color="auto"/>
            </w:tcBorders>
            <w:vAlign w:val="bottom"/>
            <w:hideMark/>
          </w:tcPr>
          <w:p w14:paraId="713F05BF" w14:textId="3A09E2EB"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vAlign w:val="center"/>
            <w:hideMark/>
          </w:tcPr>
          <w:p w14:paraId="19CC5B2A" w14:textId="56442295" w:rsidR="007A65ED" w:rsidRPr="00D067C4" w:rsidRDefault="007A65ED" w:rsidP="007A65ED">
            <w:pPr>
              <w:jc w:val="right"/>
              <w:rPr>
                <w:sz w:val="14"/>
                <w:szCs w:val="14"/>
              </w:rPr>
            </w:pPr>
            <w:r w:rsidRPr="00D067C4">
              <w:rPr>
                <w:sz w:val="14"/>
                <w:szCs w:val="14"/>
              </w:rPr>
              <w:t>3.655</w:t>
            </w:r>
          </w:p>
        </w:tc>
        <w:tc>
          <w:tcPr>
            <w:tcW w:w="684" w:type="pct"/>
            <w:tcBorders>
              <w:top w:val="nil"/>
              <w:left w:val="nil"/>
              <w:bottom w:val="nil"/>
              <w:right w:val="single" w:sz="4" w:space="0" w:color="auto"/>
            </w:tcBorders>
            <w:vAlign w:val="bottom"/>
            <w:hideMark/>
          </w:tcPr>
          <w:p w14:paraId="4FD20797" w14:textId="77777777" w:rsidR="007A65ED" w:rsidRPr="00D067C4" w:rsidRDefault="007A65ED" w:rsidP="007A65ED">
            <w:pPr>
              <w:jc w:val="right"/>
              <w:rPr>
                <w:color w:val="000000"/>
                <w:sz w:val="14"/>
                <w:szCs w:val="14"/>
                <w:lang w:eastAsia="tr-TR"/>
              </w:rPr>
            </w:pPr>
            <w:r w:rsidRPr="00D067C4">
              <w:rPr>
                <w:color w:val="000000"/>
                <w:sz w:val="14"/>
                <w:szCs w:val="14"/>
                <w:lang w:eastAsia="tr-TR"/>
              </w:rPr>
              <w:t>-</w:t>
            </w:r>
          </w:p>
        </w:tc>
      </w:tr>
      <w:tr w:rsidR="007A65ED" w:rsidRPr="00D067C4" w14:paraId="2762EE23" w14:textId="77777777" w:rsidTr="00120C06">
        <w:trPr>
          <w:divId w:val="180094935"/>
          <w:trHeight w:val="113"/>
        </w:trPr>
        <w:tc>
          <w:tcPr>
            <w:tcW w:w="248" w:type="pct"/>
            <w:tcBorders>
              <w:top w:val="nil"/>
              <w:left w:val="single" w:sz="4" w:space="0" w:color="auto"/>
              <w:bottom w:val="nil"/>
              <w:right w:val="nil"/>
            </w:tcBorders>
            <w:hideMark/>
          </w:tcPr>
          <w:p w14:paraId="2E9B3673" w14:textId="77777777" w:rsidR="007A65ED" w:rsidRPr="00D067C4" w:rsidRDefault="007A65ED" w:rsidP="007A65ED">
            <w:pPr>
              <w:rPr>
                <w:sz w:val="14"/>
                <w:szCs w:val="14"/>
              </w:rPr>
            </w:pPr>
            <w:r w:rsidRPr="00D067C4">
              <w:rPr>
                <w:sz w:val="14"/>
                <w:szCs w:val="14"/>
              </w:rPr>
              <w:t>1.1.7</w:t>
            </w:r>
          </w:p>
        </w:tc>
        <w:tc>
          <w:tcPr>
            <w:tcW w:w="3022" w:type="pct"/>
            <w:tcBorders>
              <w:top w:val="nil"/>
              <w:left w:val="nil"/>
              <w:bottom w:val="nil"/>
              <w:right w:val="nil"/>
            </w:tcBorders>
            <w:hideMark/>
          </w:tcPr>
          <w:p w14:paraId="1384AFA6" w14:textId="77777777" w:rsidR="007A65ED" w:rsidRPr="00D067C4" w:rsidRDefault="007A65ED" w:rsidP="007A65ED">
            <w:pPr>
              <w:rPr>
                <w:sz w:val="14"/>
                <w:szCs w:val="14"/>
              </w:rPr>
            </w:pPr>
            <w:r w:rsidRPr="00D067C4">
              <w:rPr>
                <w:sz w:val="14"/>
                <w:szCs w:val="14"/>
              </w:rPr>
              <w:t>Personele ve Hizmet Tedarik Edenlere Yapılan Nakit Ödemeler</w:t>
            </w:r>
          </w:p>
        </w:tc>
        <w:tc>
          <w:tcPr>
            <w:tcW w:w="349" w:type="pct"/>
            <w:tcBorders>
              <w:top w:val="nil"/>
              <w:left w:val="single" w:sz="4" w:space="0" w:color="auto"/>
              <w:bottom w:val="nil"/>
              <w:right w:val="single" w:sz="4" w:space="0" w:color="auto"/>
            </w:tcBorders>
            <w:vAlign w:val="bottom"/>
            <w:hideMark/>
          </w:tcPr>
          <w:p w14:paraId="64532CEC" w14:textId="188E1539"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vAlign w:val="center"/>
            <w:hideMark/>
          </w:tcPr>
          <w:p w14:paraId="65EF4DB9" w14:textId="1759BA18" w:rsidR="007A65ED" w:rsidRPr="00D067C4" w:rsidRDefault="007A65ED" w:rsidP="007A65ED">
            <w:pPr>
              <w:jc w:val="right"/>
              <w:rPr>
                <w:sz w:val="14"/>
                <w:szCs w:val="14"/>
                <w:lang w:eastAsia="tr-TR"/>
              </w:rPr>
            </w:pPr>
            <w:r w:rsidRPr="00D067C4">
              <w:rPr>
                <w:sz w:val="14"/>
                <w:szCs w:val="14"/>
              </w:rPr>
              <w:t>(1.586.836)</w:t>
            </w:r>
          </w:p>
        </w:tc>
        <w:tc>
          <w:tcPr>
            <w:tcW w:w="684" w:type="pct"/>
            <w:tcBorders>
              <w:top w:val="nil"/>
              <w:left w:val="nil"/>
              <w:bottom w:val="nil"/>
              <w:right w:val="single" w:sz="4" w:space="0" w:color="auto"/>
            </w:tcBorders>
            <w:vAlign w:val="bottom"/>
            <w:hideMark/>
          </w:tcPr>
          <w:p w14:paraId="288592F1" w14:textId="77777777" w:rsidR="007A65ED" w:rsidRPr="00D067C4" w:rsidRDefault="007A65ED" w:rsidP="007A65ED">
            <w:pPr>
              <w:jc w:val="right"/>
              <w:rPr>
                <w:color w:val="000000"/>
                <w:sz w:val="14"/>
                <w:szCs w:val="14"/>
                <w:lang w:eastAsia="tr-TR"/>
              </w:rPr>
            </w:pPr>
            <w:r w:rsidRPr="00D067C4">
              <w:rPr>
                <w:color w:val="000000"/>
                <w:sz w:val="14"/>
                <w:szCs w:val="14"/>
                <w:lang w:eastAsia="tr-TR"/>
              </w:rPr>
              <w:t>(973.653)</w:t>
            </w:r>
          </w:p>
        </w:tc>
      </w:tr>
      <w:tr w:rsidR="007A65ED" w:rsidRPr="00D067C4" w14:paraId="4EC4430E" w14:textId="77777777" w:rsidTr="00120C06">
        <w:trPr>
          <w:divId w:val="180094935"/>
          <w:trHeight w:val="113"/>
        </w:trPr>
        <w:tc>
          <w:tcPr>
            <w:tcW w:w="248" w:type="pct"/>
            <w:tcBorders>
              <w:top w:val="nil"/>
              <w:left w:val="single" w:sz="4" w:space="0" w:color="auto"/>
              <w:bottom w:val="nil"/>
              <w:right w:val="nil"/>
            </w:tcBorders>
            <w:hideMark/>
          </w:tcPr>
          <w:p w14:paraId="19566C3D" w14:textId="77777777" w:rsidR="007A65ED" w:rsidRPr="00D067C4" w:rsidRDefault="007A65ED" w:rsidP="007A65ED">
            <w:pPr>
              <w:rPr>
                <w:sz w:val="14"/>
                <w:szCs w:val="14"/>
              </w:rPr>
            </w:pPr>
            <w:r w:rsidRPr="00D067C4">
              <w:rPr>
                <w:sz w:val="14"/>
                <w:szCs w:val="14"/>
              </w:rPr>
              <w:t>1.1.8</w:t>
            </w:r>
          </w:p>
        </w:tc>
        <w:tc>
          <w:tcPr>
            <w:tcW w:w="3022" w:type="pct"/>
            <w:tcBorders>
              <w:top w:val="nil"/>
              <w:left w:val="nil"/>
              <w:bottom w:val="nil"/>
              <w:right w:val="nil"/>
            </w:tcBorders>
            <w:hideMark/>
          </w:tcPr>
          <w:p w14:paraId="23832A7E" w14:textId="77777777" w:rsidR="007A65ED" w:rsidRPr="00D067C4" w:rsidRDefault="007A65ED" w:rsidP="007A65ED">
            <w:pPr>
              <w:rPr>
                <w:sz w:val="14"/>
                <w:szCs w:val="14"/>
              </w:rPr>
            </w:pPr>
            <w:r w:rsidRPr="00D067C4">
              <w:rPr>
                <w:sz w:val="14"/>
                <w:szCs w:val="14"/>
              </w:rPr>
              <w:t>Ödenen Vergiler</w:t>
            </w:r>
          </w:p>
        </w:tc>
        <w:tc>
          <w:tcPr>
            <w:tcW w:w="349" w:type="pct"/>
            <w:tcBorders>
              <w:top w:val="nil"/>
              <w:left w:val="single" w:sz="4" w:space="0" w:color="auto"/>
              <w:bottom w:val="nil"/>
              <w:right w:val="single" w:sz="4" w:space="0" w:color="auto"/>
            </w:tcBorders>
            <w:vAlign w:val="bottom"/>
            <w:hideMark/>
          </w:tcPr>
          <w:p w14:paraId="7A01DE70" w14:textId="7541EF60"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vAlign w:val="center"/>
            <w:hideMark/>
          </w:tcPr>
          <w:p w14:paraId="34BF7782" w14:textId="37B35751" w:rsidR="007A65ED" w:rsidRPr="00D067C4" w:rsidRDefault="007A65ED" w:rsidP="007A65ED">
            <w:pPr>
              <w:jc w:val="right"/>
              <w:rPr>
                <w:sz w:val="14"/>
                <w:szCs w:val="14"/>
                <w:lang w:eastAsia="tr-TR"/>
              </w:rPr>
            </w:pPr>
            <w:r w:rsidRPr="00D067C4">
              <w:rPr>
                <w:sz w:val="14"/>
                <w:szCs w:val="14"/>
              </w:rPr>
              <w:t>(1.532.652)</w:t>
            </w:r>
          </w:p>
        </w:tc>
        <w:tc>
          <w:tcPr>
            <w:tcW w:w="684" w:type="pct"/>
            <w:tcBorders>
              <w:top w:val="nil"/>
              <w:left w:val="nil"/>
              <w:bottom w:val="nil"/>
              <w:right w:val="single" w:sz="4" w:space="0" w:color="auto"/>
            </w:tcBorders>
            <w:vAlign w:val="bottom"/>
            <w:hideMark/>
          </w:tcPr>
          <w:p w14:paraId="305883C7" w14:textId="77777777" w:rsidR="007A65ED" w:rsidRPr="00D067C4" w:rsidRDefault="007A65ED" w:rsidP="007A65ED">
            <w:pPr>
              <w:jc w:val="right"/>
              <w:rPr>
                <w:color w:val="000000"/>
                <w:sz w:val="14"/>
                <w:szCs w:val="14"/>
                <w:lang w:eastAsia="tr-TR"/>
              </w:rPr>
            </w:pPr>
            <w:r w:rsidRPr="00D067C4">
              <w:rPr>
                <w:color w:val="000000"/>
                <w:sz w:val="14"/>
                <w:szCs w:val="14"/>
                <w:lang w:eastAsia="tr-TR"/>
              </w:rPr>
              <w:t>(161.694)</w:t>
            </w:r>
          </w:p>
        </w:tc>
      </w:tr>
      <w:tr w:rsidR="007A65ED" w:rsidRPr="00D067C4" w14:paraId="511E7669" w14:textId="77777777" w:rsidTr="00120C06">
        <w:trPr>
          <w:divId w:val="180094935"/>
          <w:trHeight w:val="113"/>
        </w:trPr>
        <w:tc>
          <w:tcPr>
            <w:tcW w:w="248" w:type="pct"/>
            <w:tcBorders>
              <w:top w:val="nil"/>
              <w:left w:val="single" w:sz="4" w:space="0" w:color="auto"/>
              <w:bottom w:val="nil"/>
              <w:right w:val="nil"/>
            </w:tcBorders>
            <w:hideMark/>
          </w:tcPr>
          <w:p w14:paraId="5A4D6127" w14:textId="77777777" w:rsidR="007A65ED" w:rsidRPr="00D067C4" w:rsidRDefault="007A65ED" w:rsidP="007A65ED">
            <w:pPr>
              <w:rPr>
                <w:sz w:val="14"/>
                <w:szCs w:val="14"/>
              </w:rPr>
            </w:pPr>
            <w:r w:rsidRPr="00D067C4">
              <w:rPr>
                <w:sz w:val="14"/>
                <w:szCs w:val="14"/>
              </w:rPr>
              <w:t>1.1.9</w:t>
            </w:r>
          </w:p>
        </w:tc>
        <w:tc>
          <w:tcPr>
            <w:tcW w:w="3022" w:type="pct"/>
            <w:tcBorders>
              <w:top w:val="nil"/>
              <w:left w:val="nil"/>
              <w:bottom w:val="nil"/>
              <w:right w:val="nil"/>
            </w:tcBorders>
            <w:hideMark/>
          </w:tcPr>
          <w:p w14:paraId="6594F2AD" w14:textId="77777777" w:rsidR="007A65ED" w:rsidRPr="00D067C4" w:rsidRDefault="007A65ED" w:rsidP="007A65ED">
            <w:pPr>
              <w:rPr>
                <w:sz w:val="14"/>
                <w:szCs w:val="14"/>
              </w:rPr>
            </w:pPr>
            <w:r w:rsidRPr="00D067C4">
              <w:rPr>
                <w:sz w:val="14"/>
                <w:szCs w:val="14"/>
              </w:rPr>
              <w:t>Diğer</w:t>
            </w:r>
          </w:p>
        </w:tc>
        <w:tc>
          <w:tcPr>
            <w:tcW w:w="349" w:type="pct"/>
            <w:tcBorders>
              <w:top w:val="nil"/>
              <w:left w:val="single" w:sz="4" w:space="0" w:color="auto"/>
              <w:bottom w:val="nil"/>
              <w:right w:val="single" w:sz="4" w:space="0" w:color="auto"/>
            </w:tcBorders>
            <w:vAlign w:val="bottom"/>
            <w:hideMark/>
          </w:tcPr>
          <w:p w14:paraId="1E2ECB10" w14:textId="12D87B6E" w:rsidR="007A65ED" w:rsidRPr="00D067C4" w:rsidRDefault="007A65ED" w:rsidP="007A65ED">
            <w:pPr>
              <w:jc w:val="center"/>
              <w:rPr>
                <w:sz w:val="14"/>
                <w:szCs w:val="14"/>
              </w:rPr>
            </w:pPr>
            <w:r w:rsidRPr="00872D7E">
              <w:rPr>
                <w:sz w:val="14"/>
                <w:szCs w:val="14"/>
              </w:rPr>
              <w:t>(V-VI-3</w:t>
            </w:r>
            <w:r w:rsidRPr="00872D7E">
              <w:rPr>
                <w:sz w:val="14"/>
                <w:szCs w:val="14"/>
                <w:lang w:eastAsia="tr-TR"/>
              </w:rPr>
              <w:t>)</w:t>
            </w:r>
          </w:p>
        </w:tc>
        <w:tc>
          <w:tcPr>
            <w:tcW w:w="697" w:type="pct"/>
            <w:tcBorders>
              <w:top w:val="nil"/>
              <w:left w:val="nil"/>
              <w:bottom w:val="nil"/>
              <w:right w:val="single" w:sz="4" w:space="0" w:color="auto"/>
            </w:tcBorders>
            <w:vAlign w:val="center"/>
            <w:hideMark/>
          </w:tcPr>
          <w:p w14:paraId="0430F417" w14:textId="32AC926E" w:rsidR="007A65ED" w:rsidRPr="00D067C4" w:rsidRDefault="007A65ED" w:rsidP="007A65ED">
            <w:pPr>
              <w:jc w:val="right"/>
              <w:rPr>
                <w:sz w:val="14"/>
                <w:szCs w:val="14"/>
                <w:lang w:eastAsia="tr-TR"/>
              </w:rPr>
            </w:pPr>
            <w:r w:rsidRPr="00D067C4">
              <w:rPr>
                <w:sz w:val="14"/>
                <w:szCs w:val="14"/>
              </w:rPr>
              <w:t>(1.449.837)</w:t>
            </w:r>
          </w:p>
        </w:tc>
        <w:tc>
          <w:tcPr>
            <w:tcW w:w="684" w:type="pct"/>
            <w:tcBorders>
              <w:top w:val="nil"/>
              <w:left w:val="nil"/>
              <w:bottom w:val="nil"/>
              <w:right w:val="single" w:sz="4" w:space="0" w:color="auto"/>
            </w:tcBorders>
            <w:vAlign w:val="bottom"/>
            <w:hideMark/>
          </w:tcPr>
          <w:p w14:paraId="6510D093" w14:textId="77777777" w:rsidR="007A65ED" w:rsidRPr="00D067C4" w:rsidRDefault="007A65ED" w:rsidP="007A65ED">
            <w:pPr>
              <w:jc w:val="right"/>
              <w:rPr>
                <w:color w:val="000000"/>
                <w:sz w:val="14"/>
                <w:szCs w:val="14"/>
                <w:lang w:eastAsia="tr-TR"/>
              </w:rPr>
            </w:pPr>
            <w:r w:rsidRPr="00D067C4">
              <w:rPr>
                <w:color w:val="000000"/>
                <w:sz w:val="14"/>
                <w:szCs w:val="14"/>
                <w:lang w:eastAsia="tr-TR"/>
              </w:rPr>
              <w:t>791.966</w:t>
            </w:r>
          </w:p>
        </w:tc>
      </w:tr>
      <w:tr w:rsidR="007A65ED" w:rsidRPr="00D067C4" w14:paraId="2BE2ABDA" w14:textId="77777777" w:rsidTr="00120C06">
        <w:trPr>
          <w:divId w:val="180094935"/>
          <w:trHeight w:val="113"/>
        </w:trPr>
        <w:tc>
          <w:tcPr>
            <w:tcW w:w="248" w:type="pct"/>
            <w:tcBorders>
              <w:top w:val="nil"/>
              <w:left w:val="single" w:sz="4" w:space="0" w:color="auto"/>
              <w:bottom w:val="nil"/>
              <w:right w:val="nil"/>
            </w:tcBorders>
            <w:hideMark/>
          </w:tcPr>
          <w:p w14:paraId="18B18046" w14:textId="77777777" w:rsidR="007A65ED" w:rsidRPr="00D067C4" w:rsidRDefault="007A65ED" w:rsidP="007A65ED">
            <w:pPr>
              <w:rPr>
                <w:sz w:val="14"/>
                <w:szCs w:val="14"/>
              </w:rPr>
            </w:pPr>
            <w:r w:rsidRPr="00D067C4">
              <w:rPr>
                <w:sz w:val="14"/>
                <w:szCs w:val="14"/>
              </w:rPr>
              <w:t> </w:t>
            </w:r>
          </w:p>
        </w:tc>
        <w:tc>
          <w:tcPr>
            <w:tcW w:w="3022" w:type="pct"/>
            <w:tcBorders>
              <w:top w:val="nil"/>
              <w:left w:val="nil"/>
              <w:bottom w:val="nil"/>
              <w:right w:val="nil"/>
            </w:tcBorders>
            <w:hideMark/>
          </w:tcPr>
          <w:p w14:paraId="6C92C702" w14:textId="77777777" w:rsidR="007A65ED" w:rsidRPr="00D067C4" w:rsidRDefault="007A65ED" w:rsidP="007A65ED">
            <w:pPr>
              <w:rPr>
                <w:sz w:val="14"/>
                <w:szCs w:val="14"/>
              </w:rPr>
            </w:pPr>
          </w:p>
        </w:tc>
        <w:tc>
          <w:tcPr>
            <w:tcW w:w="349" w:type="pct"/>
            <w:tcBorders>
              <w:top w:val="nil"/>
              <w:left w:val="single" w:sz="4" w:space="0" w:color="auto"/>
              <w:bottom w:val="nil"/>
              <w:right w:val="single" w:sz="4" w:space="0" w:color="auto"/>
            </w:tcBorders>
            <w:vAlign w:val="bottom"/>
            <w:hideMark/>
          </w:tcPr>
          <w:p w14:paraId="55E97FCD" w14:textId="3042204A"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noWrap/>
            <w:vAlign w:val="center"/>
            <w:hideMark/>
          </w:tcPr>
          <w:p w14:paraId="79D8C0D9" w14:textId="6E8C0F36" w:rsidR="007A65ED" w:rsidRPr="00D067C4" w:rsidRDefault="007A65ED" w:rsidP="007A65ED">
            <w:pPr>
              <w:jc w:val="right"/>
              <w:rPr>
                <w:sz w:val="14"/>
                <w:szCs w:val="14"/>
              </w:rPr>
            </w:pPr>
            <w:r w:rsidRPr="00D067C4">
              <w:rPr>
                <w:sz w:val="14"/>
                <w:szCs w:val="14"/>
              </w:rPr>
              <w:t> </w:t>
            </w:r>
          </w:p>
        </w:tc>
        <w:tc>
          <w:tcPr>
            <w:tcW w:w="684" w:type="pct"/>
            <w:tcBorders>
              <w:top w:val="nil"/>
              <w:left w:val="nil"/>
              <w:bottom w:val="nil"/>
              <w:right w:val="single" w:sz="4" w:space="0" w:color="auto"/>
            </w:tcBorders>
            <w:noWrap/>
            <w:vAlign w:val="bottom"/>
            <w:hideMark/>
          </w:tcPr>
          <w:p w14:paraId="0B6B3BD2" w14:textId="77777777" w:rsidR="007A65ED" w:rsidRPr="00D067C4" w:rsidRDefault="007A65ED" w:rsidP="007A65ED">
            <w:pPr>
              <w:jc w:val="right"/>
              <w:rPr>
                <w:color w:val="000000"/>
                <w:sz w:val="14"/>
                <w:szCs w:val="14"/>
                <w:lang w:eastAsia="tr-TR"/>
              </w:rPr>
            </w:pPr>
            <w:r w:rsidRPr="00D067C4">
              <w:rPr>
                <w:color w:val="000000"/>
                <w:sz w:val="14"/>
                <w:szCs w:val="14"/>
                <w:lang w:eastAsia="tr-TR"/>
              </w:rPr>
              <w:t> </w:t>
            </w:r>
          </w:p>
        </w:tc>
      </w:tr>
      <w:tr w:rsidR="007A65ED" w:rsidRPr="00D067C4" w14:paraId="4902889A" w14:textId="77777777" w:rsidTr="00120C06">
        <w:trPr>
          <w:divId w:val="180094935"/>
          <w:trHeight w:val="113"/>
        </w:trPr>
        <w:tc>
          <w:tcPr>
            <w:tcW w:w="248" w:type="pct"/>
            <w:tcBorders>
              <w:top w:val="nil"/>
              <w:left w:val="single" w:sz="4" w:space="0" w:color="auto"/>
              <w:bottom w:val="nil"/>
              <w:right w:val="nil"/>
            </w:tcBorders>
            <w:hideMark/>
          </w:tcPr>
          <w:p w14:paraId="31E78564" w14:textId="77777777" w:rsidR="007A65ED" w:rsidRPr="00D067C4" w:rsidRDefault="007A65ED" w:rsidP="007A65ED">
            <w:pPr>
              <w:rPr>
                <w:b/>
                <w:bCs/>
                <w:sz w:val="14"/>
                <w:szCs w:val="14"/>
              </w:rPr>
            </w:pPr>
            <w:r w:rsidRPr="00D067C4">
              <w:rPr>
                <w:b/>
                <w:bCs/>
                <w:sz w:val="14"/>
                <w:szCs w:val="14"/>
              </w:rPr>
              <w:t>1.2</w:t>
            </w:r>
          </w:p>
        </w:tc>
        <w:tc>
          <w:tcPr>
            <w:tcW w:w="3022" w:type="pct"/>
            <w:tcBorders>
              <w:top w:val="nil"/>
              <w:left w:val="nil"/>
              <w:bottom w:val="nil"/>
              <w:right w:val="nil"/>
            </w:tcBorders>
            <w:hideMark/>
          </w:tcPr>
          <w:p w14:paraId="19F513D7" w14:textId="77777777" w:rsidR="007A65ED" w:rsidRPr="00D067C4" w:rsidRDefault="007A65ED" w:rsidP="007A65ED">
            <w:pPr>
              <w:rPr>
                <w:b/>
                <w:bCs/>
                <w:sz w:val="14"/>
                <w:szCs w:val="14"/>
              </w:rPr>
            </w:pPr>
            <w:r w:rsidRPr="00D067C4">
              <w:rPr>
                <w:b/>
                <w:bCs/>
                <w:sz w:val="14"/>
                <w:szCs w:val="14"/>
              </w:rPr>
              <w:t>Bankacılık Faaliyetleri Konusu Varlık ve Yükümlülüklerdeki Değişim</w:t>
            </w:r>
          </w:p>
        </w:tc>
        <w:tc>
          <w:tcPr>
            <w:tcW w:w="349" w:type="pct"/>
            <w:tcBorders>
              <w:top w:val="nil"/>
              <w:left w:val="single" w:sz="4" w:space="0" w:color="auto"/>
              <w:bottom w:val="nil"/>
              <w:right w:val="single" w:sz="4" w:space="0" w:color="auto"/>
            </w:tcBorders>
            <w:vAlign w:val="bottom"/>
            <w:hideMark/>
          </w:tcPr>
          <w:p w14:paraId="6A06CFA8" w14:textId="1245C614"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vAlign w:val="center"/>
            <w:hideMark/>
          </w:tcPr>
          <w:p w14:paraId="225954D9" w14:textId="759B3F6F" w:rsidR="007A65ED" w:rsidRPr="00D067C4" w:rsidRDefault="007A65ED" w:rsidP="007A65ED">
            <w:pPr>
              <w:jc w:val="right"/>
              <w:rPr>
                <w:b/>
                <w:bCs/>
                <w:sz w:val="14"/>
                <w:szCs w:val="14"/>
              </w:rPr>
            </w:pPr>
            <w:r w:rsidRPr="00D067C4">
              <w:rPr>
                <w:b/>
                <w:bCs/>
                <w:sz w:val="14"/>
                <w:szCs w:val="14"/>
              </w:rPr>
              <w:t>18.071.415</w:t>
            </w:r>
          </w:p>
        </w:tc>
        <w:tc>
          <w:tcPr>
            <w:tcW w:w="684" w:type="pct"/>
            <w:tcBorders>
              <w:top w:val="nil"/>
              <w:left w:val="nil"/>
              <w:bottom w:val="nil"/>
              <w:right w:val="single" w:sz="4" w:space="0" w:color="auto"/>
            </w:tcBorders>
            <w:vAlign w:val="bottom"/>
            <w:hideMark/>
          </w:tcPr>
          <w:p w14:paraId="5818C320" w14:textId="77777777" w:rsidR="007A65ED" w:rsidRPr="00D067C4" w:rsidRDefault="007A65ED" w:rsidP="007A65ED">
            <w:pPr>
              <w:jc w:val="right"/>
              <w:rPr>
                <w:b/>
                <w:bCs/>
                <w:color w:val="000000"/>
                <w:sz w:val="14"/>
                <w:szCs w:val="14"/>
                <w:lang w:eastAsia="tr-TR"/>
              </w:rPr>
            </w:pPr>
            <w:r w:rsidRPr="00D067C4">
              <w:rPr>
                <w:b/>
                <w:bCs/>
                <w:color w:val="000000"/>
                <w:sz w:val="14"/>
                <w:szCs w:val="14"/>
                <w:lang w:eastAsia="tr-TR"/>
              </w:rPr>
              <w:t>(242.257)</w:t>
            </w:r>
          </w:p>
        </w:tc>
      </w:tr>
      <w:tr w:rsidR="007A65ED" w:rsidRPr="00D067C4" w14:paraId="09850BED" w14:textId="77777777" w:rsidTr="00120C06">
        <w:trPr>
          <w:divId w:val="180094935"/>
          <w:trHeight w:val="113"/>
        </w:trPr>
        <w:tc>
          <w:tcPr>
            <w:tcW w:w="248" w:type="pct"/>
            <w:tcBorders>
              <w:top w:val="nil"/>
              <w:left w:val="single" w:sz="4" w:space="0" w:color="auto"/>
              <w:bottom w:val="nil"/>
              <w:right w:val="nil"/>
            </w:tcBorders>
            <w:hideMark/>
          </w:tcPr>
          <w:p w14:paraId="013F5DF5" w14:textId="77777777" w:rsidR="007A65ED" w:rsidRPr="00D067C4" w:rsidRDefault="007A65ED" w:rsidP="007A65ED">
            <w:pPr>
              <w:rPr>
                <w:sz w:val="14"/>
                <w:szCs w:val="14"/>
              </w:rPr>
            </w:pPr>
            <w:r w:rsidRPr="00D067C4">
              <w:rPr>
                <w:sz w:val="14"/>
                <w:szCs w:val="14"/>
              </w:rPr>
              <w:t> </w:t>
            </w:r>
          </w:p>
        </w:tc>
        <w:tc>
          <w:tcPr>
            <w:tcW w:w="3022" w:type="pct"/>
            <w:tcBorders>
              <w:top w:val="nil"/>
              <w:left w:val="nil"/>
              <w:bottom w:val="nil"/>
              <w:right w:val="nil"/>
            </w:tcBorders>
            <w:hideMark/>
          </w:tcPr>
          <w:p w14:paraId="77042398" w14:textId="77777777" w:rsidR="007A65ED" w:rsidRPr="00D067C4" w:rsidRDefault="007A65ED" w:rsidP="007A65ED">
            <w:pPr>
              <w:rPr>
                <w:sz w:val="14"/>
                <w:szCs w:val="14"/>
              </w:rPr>
            </w:pPr>
          </w:p>
        </w:tc>
        <w:tc>
          <w:tcPr>
            <w:tcW w:w="349" w:type="pct"/>
            <w:tcBorders>
              <w:top w:val="nil"/>
              <w:left w:val="single" w:sz="4" w:space="0" w:color="auto"/>
              <w:bottom w:val="nil"/>
              <w:right w:val="single" w:sz="4" w:space="0" w:color="auto"/>
            </w:tcBorders>
            <w:vAlign w:val="bottom"/>
            <w:hideMark/>
          </w:tcPr>
          <w:p w14:paraId="74D662C5" w14:textId="597BF37D"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noWrap/>
            <w:vAlign w:val="center"/>
            <w:hideMark/>
          </w:tcPr>
          <w:p w14:paraId="5F98222A" w14:textId="4C396D2D" w:rsidR="007A65ED" w:rsidRPr="00D067C4" w:rsidRDefault="007A65ED" w:rsidP="007A65ED">
            <w:pPr>
              <w:jc w:val="right"/>
              <w:rPr>
                <w:sz w:val="14"/>
                <w:szCs w:val="14"/>
              </w:rPr>
            </w:pPr>
            <w:r w:rsidRPr="00D067C4">
              <w:rPr>
                <w:sz w:val="14"/>
                <w:szCs w:val="14"/>
              </w:rPr>
              <w:t> </w:t>
            </w:r>
          </w:p>
        </w:tc>
        <w:tc>
          <w:tcPr>
            <w:tcW w:w="684" w:type="pct"/>
            <w:tcBorders>
              <w:top w:val="nil"/>
              <w:left w:val="nil"/>
              <w:bottom w:val="nil"/>
              <w:right w:val="single" w:sz="4" w:space="0" w:color="auto"/>
            </w:tcBorders>
            <w:noWrap/>
            <w:vAlign w:val="bottom"/>
            <w:hideMark/>
          </w:tcPr>
          <w:p w14:paraId="6A63962C" w14:textId="77777777" w:rsidR="007A65ED" w:rsidRPr="00D067C4" w:rsidRDefault="007A65ED" w:rsidP="007A65ED">
            <w:pPr>
              <w:jc w:val="right"/>
              <w:rPr>
                <w:color w:val="000000"/>
                <w:sz w:val="14"/>
                <w:szCs w:val="14"/>
                <w:lang w:eastAsia="tr-TR"/>
              </w:rPr>
            </w:pPr>
            <w:r w:rsidRPr="00D067C4">
              <w:rPr>
                <w:color w:val="000000"/>
                <w:sz w:val="14"/>
                <w:szCs w:val="14"/>
                <w:lang w:eastAsia="tr-TR"/>
              </w:rPr>
              <w:t> </w:t>
            </w:r>
          </w:p>
        </w:tc>
      </w:tr>
      <w:tr w:rsidR="007A65ED" w:rsidRPr="00D067C4" w14:paraId="24AE5DC6" w14:textId="77777777" w:rsidTr="00120C06">
        <w:trPr>
          <w:divId w:val="180094935"/>
          <w:trHeight w:val="113"/>
        </w:trPr>
        <w:tc>
          <w:tcPr>
            <w:tcW w:w="248" w:type="pct"/>
            <w:tcBorders>
              <w:top w:val="nil"/>
              <w:left w:val="single" w:sz="4" w:space="0" w:color="auto"/>
              <w:bottom w:val="nil"/>
              <w:right w:val="nil"/>
            </w:tcBorders>
            <w:hideMark/>
          </w:tcPr>
          <w:p w14:paraId="502732D4" w14:textId="77777777" w:rsidR="007A65ED" w:rsidRPr="00D067C4" w:rsidRDefault="007A65ED" w:rsidP="007A65ED">
            <w:pPr>
              <w:rPr>
                <w:sz w:val="14"/>
                <w:szCs w:val="14"/>
              </w:rPr>
            </w:pPr>
            <w:r w:rsidRPr="00D067C4">
              <w:rPr>
                <w:sz w:val="14"/>
                <w:szCs w:val="14"/>
              </w:rPr>
              <w:t>1.2.1</w:t>
            </w:r>
          </w:p>
        </w:tc>
        <w:tc>
          <w:tcPr>
            <w:tcW w:w="3022" w:type="pct"/>
            <w:tcBorders>
              <w:top w:val="nil"/>
              <w:left w:val="nil"/>
              <w:bottom w:val="nil"/>
              <w:right w:val="nil"/>
            </w:tcBorders>
            <w:hideMark/>
          </w:tcPr>
          <w:p w14:paraId="0AD5BD8B" w14:textId="77777777" w:rsidR="007A65ED" w:rsidRPr="00D067C4" w:rsidRDefault="007A65ED" w:rsidP="007A65ED">
            <w:pPr>
              <w:rPr>
                <w:sz w:val="14"/>
                <w:szCs w:val="14"/>
              </w:rPr>
            </w:pPr>
            <w:r w:rsidRPr="00D067C4">
              <w:rPr>
                <w:sz w:val="14"/>
                <w:szCs w:val="14"/>
              </w:rPr>
              <w:t>Gerçeğe Uygun Değer Farkı K/</w:t>
            </w:r>
            <w:proofErr w:type="spellStart"/>
            <w:r w:rsidRPr="00D067C4">
              <w:rPr>
                <w:sz w:val="14"/>
                <w:szCs w:val="14"/>
              </w:rPr>
              <w:t>Z’a</w:t>
            </w:r>
            <w:proofErr w:type="spellEnd"/>
            <w:r w:rsidRPr="00D067C4">
              <w:rPr>
                <w:sz w:val="14"/>
                <w:szCs w:val="14"/>
              </w:rPr>
              <w:t xml:space="preserve"> Yansıtılan </w:t>
            </w:r>
            <w:proofErr w:type="spellStart"/>
            <w:r w:rsidRPr="00D067C4">
              <w:rPr>
                <w:sz w:val="14"/>
                <w:szCs w:val="14"/>
              </w:rPr>
              <w:t>FV’larda</w:t>
            </w:r>
            <w:proofErr w:type="spellEnd"/>
            <w:r w:rsidRPr="00D067C4">
              <w:rPr>
                <w:sz w:val="14"/>
                <w:szCs w:val="14"/>
              </w:rPr>
              <w:t xml:space="preserve"> Net (Artış) Azalış</w:t>
            </w:r>
          </w:p>
        </w:tc>
        <w:tc>
          <w:tcPr>
            <w:tcW w:w="349" w:type="pct"/>
            <w:tcBorders>
              <w:top w:val="nil"/>
              <w:left w:val="single" w:sz="4" w:space="0" w:color="auto"/>
              <w:bottom w:val="nil"/>
              <w:right w:val="single" w:sz="4" w:space="0" w:color="auto"/>
            </w:tcBorders>
            <w:vAlign w:val="bottom"/>
            <w:hideMark/>
          </w:tcPr>
          <w:p w14:paraId="44D53EC2" w14:textId="39158186"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vAlign w:val="center"/>
            <w:hideMark/>
          </w:tcPr>
          <w:p w14:paraId="43D57A55" w14:textId="6DB054D2" w:rsidR="007A65ED" w:rsidRPr="00D067C4" w:rsidRDefault="007A65ED" w:rsidP="007A65ED">
            <w:pPr>
              <w:jc w:val="right"/>
              <w:rPr>
                <w:sz w:val="14"/>
                <w:szCs w:val="14"/>
                <w:lang w:eastAsia="tr-TR"/>
              </w:rPr>
            </w:pPr>
            <w:r w:rsidRPr="00D067C4">
              <w:rPr>
                <w:sz w:val="14"/>
                <w:szCs w:val="14"/>
              </w:rPr>
              <w:t>(851.924)</w:t>
            </w:r>
          </w:p>
        </w:tc>
        <w:tc>
          <w:tcPr>
            <w:tcW w:w="684" w:type="pct"/>
            <w:tcBorders>
              <w:top w:val="nil"/>
              <w:left w:val="nil"/>
              <w:bottom w:val="nil"/>
              <w:right w:val="single" w:sz="4" w:space="0" w:color="auto"/>
            </w:tcBorders>
            <w:vAlign w:val="bottom"/>
            <w:hideMark/>
          </w:tcPr>
          <w:p w14:paraId="6FC2F142" w14:textId="77777777" w:rsidR="007A65ED" w:rsidRPr="00D067C4" w:rsidRDefault="007A65ED" w:rsidP="007A65ED">
            <w:pPr>
              <w:jc w:val="right"/>
              <w:rPr>
                <w:color w:val="000000"/>
                <w:sz w:val="14"/>
                <w:szCs w:val="14"/>
                <w:lang w:eastAsia="tr-TR"/>
              </w:rPr>
            </w:pPr>
            <w:r w:rsidRPr="00D067C4">
              <w:rPr>
                <w:color w:val="000000"/>
                <w:sz w:val="14"/>
                <w:szCs w:val="14"/>
                <w:lang w:eastAsia="tr-TR"/>
              </w:rPr>
              <w:t>(134.512)</w:t>
            </w:r>
          </w:p>
        </w:tc>
      </w:tr>
      <w:tr w:rsidR="007A65ED" w:rsidRPr="00D067C4" w14:paraId="6BB90DBB" w14:textId="77777777" w:rsidTr="00120C06">
        <w:trPr>
          <w:divId w:val="180094935"/>
          <w:trHeight w:val="113"/>
        </w:trPr>
        <w:tc>
          <w:tcPr>
            <w:tcW w:w="248" w:type="pct"/>
            <w:tcBorders>
              <w:top w:val="nil"/>
              <w:left w:val="single" w:sz="4" w:space="0" w:color="auto"/>
              <w:bottom w:val="nil"/>
              <w:right w:val="nil"/>
            </w:tcBorders>
            <w:hideMark/>
          </w:tcPr>
          <w:p w14:paraId="505044E1" w14:textId="77777777" w:rsidR="007A65ED" w:rsidRPr="00D067C4" w:rsidRDefault="007A65ED" w:rsidP="007A65ED">
            <w:pPr>
              <w:rPr>
                <w:sz w:val="14"/>
                <w:szCs w:val="14"/>
              </w:rPr>
            </w:pPr>
            <w:r w:rsidRPr="00D067C4">
              <w:rPr>
                <w:sz w:val="14"/>
                <w:szCs w:val="14"/>
              </w:rPr>
              <w:t>1.2.2</w:t>
            </w:r>
          </w:p>
        </w:tc>
        <w:tc>
          <w:tcPr>
            <w:tcW w:w="3022" w:type="pct"/>
            <w:tcBorders>
              <w:top w:val="nil"/>
              <w:left w:val="nil"/>
              <w:bottom w:val="nil"/>
              <w:right w:val="nil"/>
            </w:tcBorders>
            <w:hideMark/>
          </w:tcPr>
          <w:p w14:paraId="326F3E4F" w14:textId="77777777" w:rsidR="007A65ED" w:rsidRPr="00D067C4" w:rsidRDefault="007A65ED" w:rsidP="007A65ED">
            <w:pPr>
              <w:rPr>
                <w:sz w:val="14"/>
                <w:szCs w:val="14"/>
              </w:rPr>
            </w:pPr>
            <w:r w:rsidRPr="00D067C4">
              <w:rPr>
                <w:sz w:val="14"/>
                <w:szCs w:val="14"/>
              </w:rPr>
              <w:t>Bankalar Hesabındaki Net (Artış) Azalış</w:t>
            </w:r>
          </w:p>
        </w:tc>
        <w:tc>
          <w:tcPr>
            <w:tcW w:w="349" w:type="pct"/>
            <w:tcBorders>
              <w:top w:val="nil"/>
              <w:left w:val="single" w:sz="4" w:space="0" w:color="auto"/>
              <w:bottom w:val="nil"/>
              <w:right w:val="single" w:sz="4" w:space="0" w:color="auto"/>
            </w:tcBorders>
            <w:vAlign w:val="bottom"/>
            <w:hideMark/>
          </w:tcPr>
          <w:p w14:paraId="70B63CFB" w14:textId="49D29E45"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vAlign w:val="center"/>
            <w:hideMark/>
          </w:tcPr>
          <w:p w14:paraId="1A4E52AF" w14:textId="09A7CC53" w:rsidR="007A65ED" w:rsidRPr="00D067C4" w:rsidRDefault="007A65ED" w:rsidP="007A65ED">
            <w:pPr>
              <w:jc w:val="right"/>
              <w:rPr>
                <w:sz w:val="14"/>
                <w:szCs w:val="14"/>
                <w:lang w:eastAsia="tr-TR"/>
              </w:rPr>
            </w:pPr>
            <w:r w:rsidRPr="00D067C4">
              <w:rPr>
                <w:sz w:val="14"/>
                <w:szCs w:val="14"/>
              </w:rPr>
              <w:t>(10.867.793)</w:t>
            </w:r>
          </w:p>
        </w:tc>
        <w:tc>
          <w:tcPr>
            <w:tcW w:w="684" w:type="pct"/>
            <w:tcBorders>
              <w:top w:val="nil"/>
              <w:left w:val="nil"/>
              <w:bottom w:val="nil"/>
              <w:right w:val="single" w:sz="4" w:space="0" w:color="auto"/>
            </w:tcBorders>
            <w:vAlign w:val="bottom"/>
            <w:hideMark/>
          </w:tcPr>
          <w:p w14:paraId="49C6D3D2" w14:textId="77777777" w:rsidR="007A65ED" w:rsidRPr="00D067C4" w:rsidRDefault="007A65ED" w:rsidP="007A65ED">
            <w:pPr>
              <w:jc w:val="right"/>
              <w:rPr>
                <w:color w:val="000000"/>
                <w:sz w:val="14"/>
                <w:szCs w:val="14"/>
                <w:lang w:eastAsia="tr-TR"/>
              </w:rPr>
            </w:pPr>
            <w:r w:rsidRPr="00D067C4">
              <w:rPr>
                <w:color w:val="000000"/>
                <w:sz w:val="14"/>
                <w:szCs w:val="14"/>
                <w:lang w:eastAsia="tr-TR"/>
              </w:rPr>
              <w:t>(2.005.191)</w:t>
            </w:r>
          </w:p>
        </w:tc>
      </w:tr>
      <w:tr w:rsidR="007A65ED" w:rsidRPr="00D067C4" w14:paraId="735E6E4F" w14:textId="77777777" w:rsidTr="00120C06">
        <w:trPr>
          <w:divId w:val="180094935"/>
          <w:trHeight w:val="113"/>
        </w:trPr>
        <w:tc>
          <w:tcPr>
            <w:tcW w:w="248" w:type="pct"/>
            <w:tcBorders>
              <w:top w:val="nil"/>
              <w:left w:val="single" w:sz="4" w:space="0" w:color="auto"/>
              <w:bottom w:val="nil"/>
              <w:right w:val="nil"/>
            </w:tcBorders>
            <w:hideMark/>
          </w:tcPr>
          <w:p w14:paraId="3550B519" w14:textId="77777777" w:rsidR="007A65ED" w:rsidRPr="00D067C4" w:rsidRDefault="007A65ED" w:rsidP="007A65ED">
            <w:pPr>
              <w:rPr>
                <w:sz w:val="14"/>
                <w:szCs w:val="14"/>
              </w:rPr>
            </w:pPr>
            <w:r w:rsidRPr="00D067C4">
              <w:rPr>
                <w:sz w:val="14"/>
                <w:szCs w:val="14"/>
              </w:rPr>
              <w:t>1.2.3</w:t>
            </w:r>
          </w:p>
        </w:tc>
        <w:tc>
          <w:tcPr>
            <w:tcW w:w="3022" w:type="pct"/>
            <w:tcBorders>
              <w:top w:val="nil"/>
              <w:left w:val="nil"/>
              <w:bottom w:val="nil"/>
              <w:right w:val="nil"/>
            </w:tcBorders>
            <w:hideMark/>
          </w:tcPr>
          <w:p w14:paraId="744044CA" w14:textId="77777777" w:rsidR="007A65ED" w:rsidRPr="00D067C4" w:rsidRDefault="007A65ED" w:rsidP="007A65ED">
            <w:pPr>
              <w:rPr>
                <w:sz w:val="14"/>
                <w:szCs w:val="14"/>
              </w:rPr>
            </w:pPr>
            <w:r w:rsidRPr="00D067C4">
              <w:rPr>
                <w:sz w:val="14"/>
                <w:szCs w:val="14"/>
              </w:rPr>
              <w:t>Kredilerdeki Net (Artış) Azalış</w:t>
            </w:r>
          </w:p>
        </w:tc>
        <w:tc>
          <w:tcPr>
            <w:tcW w:w="349" w:type="pct"/>
            <w:tcBorders>
              <w:top w:val="nil"/>
              <w:left w:val="single" w:sz="4" w:space="0" w:color="auto"/>
              <w:bottom w:val="nil"/>
              <w:right w:val="single" w:sz="4" w:space="0" w:color="auto"/>
            </w:tcBorders>
            <w:vAlign w:val="bottom"/>
            <w:hideMark/>
          </w:tcPr>
          <w:p w14:paraId="609BE8E0" w14:textId="389B0CA8"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vAlign w:val="center"/>
            <w:hideMark/>
          </w:tcPr>
          <w:p w14:paraId="5841BE01" w14:textId="5A57E3B3" w:rsidR="007A65ED" w:rsidRPr="00D067C4" w:rsidRDefault="007A65ED" w:rsidP="007A65ED">
            <w:pPr>
              <w:jc w:val="right"/>
              <w:rPr>
                <w:sz w:val="14"/>
                <w:szCs w:val="14"/>
                <w:lang w:eastAsia="tr-TR"/>
              </w:rPr>
            </w:pPr>
            <w:r w:rsidRPr="00D067C4">
              <w:rPr>
                <w:sz w:val="14"/>
                <w:szCs w:val="14"/>
              </w:rPr>
              <w:t>(29.779.171)</w:t>
            </w:r>
          </w:p>
        </w:tc>
        <w:tc>
          <w:tcPr>
            <w:tcW w:w="684" w:type="pct"/>
            <w:tcBorders>
              <w:top w:val="nil"/>
              <w:left w:val="nil"/>
              <w:bottom w:val="nil"/>
              <w:right w:val="single" w:sz="4" w:space="0" w:color="auto"/>
            </w:tcBorders>
            <w:vAlign w:val="bottom"/>
            <w:hideMark/>
          </w:tcPr>
          <w:p w14:paraId="6D230407" w14:textId="77777777" w:rsidR="007A65ED" w:rsidRPr="00D067C4" w:rsidRDefault="007A65ED" w:rsidP="007A65ED">
            <w:pPr>
              <w:jc w:val="right"/>
              <w:rPr>
                <w:color w:val="000000"/>
                <w:sz w:val="14"/>
                <w:szCs w:val="14"/>
                <w:lang w:eastAsia="tr-TR"/>
              </w:rPr>
            </w:pPr>
            <w:r w:rsidRPr="00D067C4">
              <w:rPr>
                <w:color w:val="000000"/>
                <w:sz w:val="14"/>
                <w:szCs w:val="14"/>
                <w:lang w:eastAsia="tr-TR"/>
              </w:rPr>
              <w:t>(21.502.919)</w:t>
            </w:r>
          </w:p>
        </w:tc>
      </w:tr>
      <w:tr w:rsidR="007A65ED" w:rsidRPr="00D067C4" w14:paraId="5C6CB779" w14:textId="77777777" w:rsidTr="00120C06">
        <w:trPr>
          <w:divId w:val="180094935"/>
          <w:trHeight w:val="113"/>
        </w:trPr>
        <w:tc>
          <w:tcPr>
            <w:tcW w:w="248" w:type="pct"/>
            <w:tcBorders>
              <w:top w:val="nil"/>
              <w:left w:val="single" w:sz="4" w:space="0" w:color="auto"/>
              <w:bottom w:val="nil"/>
              <w:right w:val="nil"/>
            </w:tcBorders>
            <w:hideMark/>
          </w:tcPr>
          <w:p w14:paraId="08BAD0F4" w14:textId="77777777" w:rsidR="007A65ED" w:rsidRPr="00D067C4" w:rsidRDefault="007A65ED" w:rsidP="007A65ED">
            <w:pPr>
              <w:rPr>
                <w:sz w:val="14"/>
                <w:szCs w:val="14"/>
              </w:rPr>
            </w:pPr>
            <w:r w:rsidRPr="00D067C4">
              <w:rPr>
                <w:sz w:val="14"/>
                <w:szCs w:val="14"/>
              </w:rPr>
              <w:t>1.2.4</w:t>
            </w:r>
          </w:p>
        </w:tc>
        <w:tc>
          <w:tcPr>
            <w:tcW w:w="3022" w:type="pct"/>
            <w:tcBorders>
              <w:top w:val="nil"/>
              <w:left w:val="nil"/>
              <w:bottom w:val="nil"/>
              <w:right w:val="nil"/>
            </w:tcBorders>
            <w:hideMark/>
          </w:tcPr>
          <w:p w14:paraId="01EEC4AF" w14:textId="77777777" w:rsidR="007A65ED" w:rsidRPr="00D067C4" w:rsidRDefault="007A65ED" w:rsidP="007A65ED">
            <w:pPr>
              <w:rPr>
                <w:sz w:val="14"/>
                <w:szCs w:val="14"/>
              </w:rPr>
            </w:pPr>
            <w:r w:rsidRPr="00D067C4">
              <w:rPr>
                <w:sz w:val="14"/>
                <w:szCs w:val="14"/>
              </w:rPr>
              <w:t>Diğer Varlıklarda Net (Artış) Azalış</w:t>
            </w:r>
          </w:p>
        </w:tc>
        <w:tc>
          <w:tcPr>
            <w:tcW w:w="349" w:type="pct"/>
            <w:tcBorders>
              <w:top w:val="nil"/>
              <w:left w:val="single" w:sz="4" w:space="0" w:color="auto"/>
              <w:bottom w:val="nil"/>
              <w:right w:val="single" w:sz="4" w:space="0" w:color="auto"/>
            </w:tcBorders>
            <w:vAlign w:val="bottom"/>
            <w:hideMark/>
          </w:tcPr>
          <w:p w14:paraId="3FFC2F36" w14:textId="77A39766"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vAlign w:val="center"/>
            <w:hideMark/>
          </w:tcPr>
          <w:p w14:paraId="48AC08F4" w14:textId="0D838D1F" w:rsidR="007A65ED" w:rsidRPr="00D067C4" w:rsidRDefault="007A65ED" w:rsidP="007A65ED">
            <w:pPr>
              <w:jc w:val="right"/>
              <w:rPr>
                <w:sz w:val="14"/>
                <w:szCs w:val="14"/>
                <w:lang w:eastAsia="tr-TR"/>
              </w:rPr>
            </w:pPr>
            <w:r w:rsidRPr="00D067C4">
              <w:rPr>
                <w:sz w:val="14"/>
                <w:szCs w:val="14"/>
              </w:rPr>
              <w:t>(92.951)</w:t>
            </w:r>
          </w:p>
        </w:tc>
        <w:tc>
          <w:tcPr>
            <w:tcW w:w="684" w:type="pct"/>
            <w:tcBorders>
              <w:top w:val="nil"/>
              <w:left w:val="nil"/>
              <w:bottom w:val="nil"/>
              <w:right w:val="single" w:sz="4" w:space="0" w:color="auto"/>
            </w:tcBorders>
            <w:vAlign w:val="bottom"/>
            <w:hideMark/>
          </w:tcPr>
          <w:p w14:paraId="0AE05D6C" w14:textId="77777777" w:rsidR="007A65ED" w:rsidRPr="00D067C4" w:rsidRDefault="007A65ED" w:rsidP="007A65ED">
            <w:pPr>
              <w:jc w:val="right"/>
              <w:rPr>
                <w:color w:val="000000"/>
                <w:sz w:val="14"/>
                <w:szCs w:val="14"/>
                <w:lang w:eastAsia="tr-TR"/>
              </w:rPr>
            </w:pPr>
            <w:r w:rsidRPr="00D067C4">
              <w:rPr>
                <w:color w:val="000000"/>
                <w:sz w:val="14"/>
                <w:szCs w:val="14"/>
                <w:lang w:eastAsia="tr-TR"/>
              </w:rPr>
              <w:t>(314.462)</w:t>
            </w:r>
          </w:p>
        </w:tc>
      </w:tr>
      <w:tr w:rsidR="007A65ED" w:rsidRPr="00D067C4" w14:paraId="2581EF29" w14:textId="77777777" w:rsidTr="00120C06">
        <w:trPr>
          <w:divId w:val="180094935"/>
          <w:trHeight w:val="113"/>
        </w:trPr>
        <w:tc>
          <w:tcPr>
            <w:tcW w:w="248" w:type="pct"/>
            <w:tcBorders>
              <w:top w:val="nil"/>
              <w:left w:val="single" w:sz="4" w:space="0" w:color="auto"/>
              <w:bottom w:val="nil"/>
              <w:right w:val="nil"/>
            </w:tcBorders>
            <w:hideMark/>
          </w:tcPr>
          <w:p w14:paraId="51C7827C" w14:textId="77777777" w:rsidR="007A65ED" w:rsidRPr="00D067C4" w:rsidRDefault="007A65ED" w:rsidP="007A65ED">
            <w:pPr>
              <w:rPr>
                <w:sz w:val="14"/>
                <w:szCs w:val="14"/>
              </w:rPr>
            </w:pPr>
            <w:r w:rsidRPr="00D067C4">
              <w:rPr>
                <w:sz w:val="14"/>
                <w:szCs w:val="14"/>
              </w:rPr>
              <w:t>1.2.5</w:t>
            </w:r>
          </w:p>
        </w:tc>
        <w:tc>
          <w:tcPr>
            <w:tcW w:w="3022" w:type="pct"/>
            <w:tcBorders>
              <w:top w:val="nil"/>
              <w:left w:val="nil"/>
              <w:bottom w:val="nil"/>
              <w:right w:val="nil"/>
            </w:tcBorders>
            <w:hideMark/>
          </w:tcPr>
          <w:p w14:paraId="6DE5AD9B" w14:textId="77777777" w:rsidR="007A65ED" w:rsidRPr="00D067C4" w:rsidRDefault="007A65ED" w:rsidP="007A65ED">
            <w:pPr>
              <w:rPr>
                <w:sz w:val="14"/>
                <w:szCs w:val="14"/>
              </w:rPr>
            </w:pPr>
            <w:r w:rsidRPr="00D067C4">
              <w:rPr>
                <w:sz w:val="14"/>
                <w:szCs w:val="14"/>
              </w:rPr>
              <w:t>Bankalardan Toplanan Fonlarda Net Azalış)</w:t>
            </w:r>
          </w:p>
        </w:tc>
        <w:tc>
          <w:tcPr>
            <w:tcW w:w="349" w:type="pct"/>
            <w:tcBorders>
              <w:top w:val="nil"/>
              <w:left w:val="single" w:sz="4" w:space="0" w:color="auto"/>
              <w:bottom w:val="nil"/>
              <w:right w:val="single" w:sz="4" w:space="0" w:color="auto"/>
            </w:tcBorders>
            <w:vAlign w:val="bottom"/>
            <w:hideMark/>
          </w:tcPr>
          <w:p w14:paraId="1F41F5FE" w14:textId="07141EA9"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vAlign w:val="center"/>
            <w:hideMark/>
          </w:tcPr>
          <w:p w14:paraId="4086CD4B" w14:textId="734D414B" w:rsidR="007A65ED" w:rsidRPr="00D067C4" w:rsidRDefault="007A65ED" w:rsidP="007A65ED">
            <w:pPr>
              <w:jc w:val="right"/>
              <w:rPr>
                <w:sz w:val="14"/>
                <w:szCs w:val="14"/>
              </w:rPr>
            </w:pPr>
            <w:r w:rsidRPr="00D067C4">
              <w:rPr>
                <w:sz w:val="14"/>
                <w:szCs w:val="14"/>
              </w:rPr>
              <w:t>-</w:t>
            </w:r>
          </w:p>
        </w:tc>
        <w:tc>
          <w:tcPr>
            <w:tcW w:w="684" w:type="pct"/>
            <w:tcBorders>
              <w:top w:val="nil"/>
              <w:left w:val="nil"/>
              <w:bottom w:val="nil"/>
              <w:right w:val="single" w:sz="4" w:space="0" w:color="auto"/>
            </w:tcBorders>
            <w:vAlign w:val="bottom"/>
            <w:hideMark/>
          </w:tcPr>
          <w:p w14:paraId="0E7E7CAF" w14:textId="77777777" w:rsidR="007A65ED" w:rsidRPr="00D067C4" w:rsidRDefault="007A65ED" w:rsidP="007A65ED">
            <w:pPr>
              <w:jc w:val="right"/>
              <w:rPr>
                <w:color w:val="000000"/>
                <w:sz w:val="14"/>
                <w:szCs w:val="14"/>
                <w:lang w:eastAsia="tr-TR"/>
              </w:rPr>
            </w:pPr>
            <w:r w:rsidRPr="00D067C4">
              <w:rPr>
                <w:color w:val="000000"/>
                <w:sz w:val="14"/>
                <w:szCs w:val="14"/>
                <w:lang w:eastAsia="tr-TR"/>
              </w:rPr>
              <w:t>2.136</w:t>
            </w:r>
          </w:p>
        </w:tc>
      </w:tr>
      <w:tr w:rsidR="007A65ED" w:rsidRPr="00D067C4" w14:paraId="38ECD647" w14:textId="77777777" w:rsidTr="00120C06">
        <w:trPr>
          <w:divId w:val="180094935"/>
          <w:trHeight w:val="113"/>
        </w:trPr>
        <w:tc>
          <w:tcPr>
            <w:tcW w:w="248" w:type="pct"/>
            <w:tcBorders>
              <w:top w:val="nil"/>
              <w:left w:val="single" w:sz="4" w:space="0" w:color="auto"/>
              <w:bottom w:val="nil"/>
              <w:right w:val="nil"/>
            </w:tcBorders>
            <w:hideMark/>
          </w:tcPr>
          <w:p w14:paraId="04C0CA78" w14:textId="77777777" w:rsidR="007A65ED" w:rsidRPr="00D067C4" w:rsidRDefault="007A65ED" w:rsidP="007A65ED">
            <w:pPr>
              <w:rPr>
                <w:sz w:val="14"/>
                <w:szCs w:val="14"/>
              </w:rPr>
            </w:pPr>
            <w:r w:rsidRPr="00D067C4">
              <w:rPr>
                <w:sz w:val="14"/>
                <w:szCs w:val="14"/>
              </w:rPr>
              <w:t>1.2.6</w:t>
            </w:r>
          </w:p>
        </w:tc>
        <w:tc>
          <w:tcPr>
            <w:tcW w:w="3022" w:type="pct"/>
            <w:tcBorders>
              <w:top w:val="nil"/>
              <w:left w:val="nil"/>
              <w:bottom w:val="nil"/>
              <w:right w:val="nil"/>
            </w:tcBorders>
            <w:hideMark/>
          </w:tcPr>
          <w:p w14:paraId="73241783" w14:textId="77777777" w:rsidR="007A65ED" w:rsidRPr="00D067C4" w:rsidRDefault="007A65ED" w:rsidP="007A65ED">
            <w:pPr>
              <w:rPr>
                <w:sz w:val="14"/>
                <w:szCs w:val="14"/>
              </w:rPr>
            </w:pPr>
            <w:r w:rsidRPr="00D067C4">
              <w:rPr>
                <w:sz w:val="14"/>
                <w:szCs w:val="14"/>
              </w:rPr>
              <w:t>Diğer Toplanan Fonlarda Net Artış (Azalış)</w:t>
            </w:r>
          </w:p>
        </w:tc>
        <w:tc>
          <w:tcPr>
            <w:tcW w:w="349" w:type="pct"/>
            <w:tcBorders>
              <w:top w:val="nil"/>
              <w:left w:val="single" w:sz="4" w:space="0" w:color="auto"/>
              <w:bottom w:val="nil"/>
              <w:right w:val="single" w:sz="4" w:space="0" w:color="auto"/>
            </w:tcBorders>
            <w:vAlign w:val="bottom"/>
            <w:hideMark/>
          </w:tcPr>
          <w:p w14:paraId="4AA6E617" w14:textId="6702221F"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vAlign w:val="center"/>
            <w:hideMark/>
          </w:tcPr>
          <w:p w14:paraId="7FD5D09A" w14:textId="19B69583" w:rsidR="007A65ED" w:rsidRPr="00D067C4" w:rsidRDefault="007A65ED" w:rsidP="007A65ED">
            <w:pPr>
              <w:jc w:val="right"/>
              <w:rPr>
                <w:sz w:val="14"/>
                <w:szCs w:val="14"/>
              </w:rPr>
            </w:pPr>
            <w:r w:rsidRPr="00D067C4">
              <w:rPr>
                <w:sz w:val="14"/>
                <w:szCs w:val="14"/>
              </w:rPr>
              <w:t>53.118.722</w:t>
            </w:r>
          </w:p>
        </w:tc>
        <w:tc>
          <w:tcPr>
            <w:tcW w:w="684" w:type="pct"/>
            <w:tcBorders>
              <w:top w:val="nil"/>
              <w:left w:val="nil"/>
              <w:bottom w:val="nil"/>
              <w:right w:val="single" w:sz="4" w:space="0" w:color="auto"/>
            </w:tcBorders>
            <w:vAlign w:val="bottom"/>
            <w:hideMark/>
          </w:tcPr>
          <w:p w14:paraId="48B09264" w14:textId="77777777" w:rsidR="007A65ED" w:rsidRPr="00D067C4" w:rsidRDefault="007A65ED" w:rsidP="007A65ED">
            <w:pPr>
              <w:jc w:val="right"/>
              <w:rPr>
                <w:color w:val="000000"/>
                <w:sz w:val="14"/>
                <w:szCs w:val="14"/>
                <w:lang w:eastAsia="tr-TR"/>
              </w:rPr>
            </w:pPr>
            <w:r w:rsidRPr="00D067C4">
              <w:rPr>
                <w:color w:val="000000"/>
                <w:sz w:val="14"/>
                <w:szCs w:val="14"/>
                <w:lang w:eastAsia="tr-TR"/>
              </w:rPr>
              <w:t>22.832.771</w:t>
            </w:r>
          </w:p>
        </w:tc>
      </w:tr>
      <w:tr w:rsidR="007A65ED" w:rsidRPr="00D067C4" w14:paraId="78081842" w14:textId="77777777" w:rsidTr="00120C06">
        <w:trPr>
          <w:divId w:val="180094935"/>
          <w:trHeight w:val="113"/>
        </w:trPr>
        <w:tc>
          <w:tcPr>
            <w:tcW w:w="248" w:type="pct"/>
            <w:tcBorders>
              <w:top w:val="nil"/>
              <w:left w:val="single" w:sz="4" w:space="0" w:color="auto"/>
              <w:bottom w:val="nil"/>
              <w:right w:val="nil"/>
            </w:tcBorders>
            <w:hideMark/>
          </w:tcPr>
          <w:p w14:paraId="70E5345C" w14:textId="77777777" w:rsidR="007A65ED" w:rsidRPr="00D067C4" w:rsidRDefault="007A65ED" w:rsidP="007A65ED">
            <w:pPr>
              <w:rPr>
                <w:sz w:val="14"/>
                <w:szCs w:val="14"/>
              </w:rPr>
            </w:pPr>
            <w:r w:rsidRPr="00D067C4">
              <w:rPr>
                <w:sz w:val="14"/>
                <w:szCs w:val="14"/>
              </w:rPr>
              <w:t>1.2.7</w:t>
            </w:r>
          </w:p>
        </w:tc>
        <w:tc>
          <w:tcPr>
            <w:tcW w:w="3022" w:type="pct"/>
            <w:tcBorders>
              <w:top w:val="nil"/>
              <w:left w:val="nil"/>
              <w:bottom w:val="nil"/>
              <w:right w:val="nil"/>
            </w:tcBorders>
            <w:hideMark/>
          </w:tcPr>
          <w:p w14:paraId="2416B412" w14:textId="77777777" w:rsidR="007A65ED" w:rsidRPr="00D067C4" w:rsidRDefault="007A65ED" w:rsidP="007A65ED">
            <w:pPr>
              <w:rPr>
                <w:sz w:val="14"/>
                <w:szCs w:val="14"/>
              </w:rPr>
            </w:pPr>
            <w:r w:rsidRPr="00D067C4">
              <w:rPr>
                <w:sz w:val="14"/>
                <w:szCs w:val="14"/>
              </w:rPr>
              <w:t>Gerçeğe Uygun Değer Farkı K/</w:t>
            </w:r>
            <w:proofErr w:type="spellStart"/>
            <w:r w:rsidRPr="00D067C4">
              <w:rPr>
                <w:sz w:val="14"/>
                <w:szCs w:val="14"/>
              </w:rPr>
              <w:t>Z’a</w:t>
            </w:r>
            <w:proofErr w:type="spellEnd"/>
            <w:r w:rsidRPr="00D067C4">
              <w:rPr>
                <w:sz w:val="14"/>
                <w:szCs w:val="14"/>
              </w:rPr>
              <w:t xml:space="preserve"> Yansıtılan </w:t>
            </w:r>
            <w:proofErr w:type="spellStart"/>
            <w:r w:rsidRPr="00D067C4">
              <w:rPr>
                <w:sz w:val="14"/>
                <w:szCs w:val="14"/>
              </w:rPr>
              <w:t>FY’lerde</w:t>
            </w:r>
            <w:proofErr w:type="spellEnd"/>
            <w:r w:rsidRPr="00D067C4">
              <w:rPr>
                <w:sz w:val="14"/>
                <w:szCs w:val="14"/>
              </w:rPr>
              <w:t xml:space="preserve"> Net Artış (Azalış)</w:t>
            </w:r>
          </w:p>
        </w:tc>
        <w:tc>
          <w:tcPr>
            <w:tcW w:w="349" w:type="pct"/>
            <w:tcBorders>
              <w:top w:val="nil"/>
              <w:left w:val="single" w:sz="4" w:space="0" w:color="auto"/>
              <w:bottom w:val="nil"/>
              <w:right w:val="single" w:sz="4" w:space="0" w:color="auto"/>
            </w:tcBorders>
            <w:vAlign w:val="bottom"/>
            <w:hideMark/>
          </w:tcPr>
          <w:p w14:paraId="1606D9C1" w14:textId="5FD23527"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vAlign w:val="center"/>
            <w:hideMark/>
          </w:tcPr>
          <w:p w14:paraId="1FDC71F8" w14:textId="6C465F23" w:rsidR="007A65ED" w:rsidRPr="00D067C4" w:rsidRDefault="007A65ED" w:rsidP="007A65ED">
            <w:pPr>
              <w:jc w:val="right"/>
              <w:rPr>
                <w:sz w:val="14"/>
                <w:szCs w:val="14"/>
              </w:rPr>
            </w:pPr>
            <w:r w:rsidRPr="00D067C4">
              <w:rPr>
                <w:sz w:val="14"/>
                <w:szCs w:val="14"/>
              </w:rPr>
              <w:t>-</w:t>
            </w:r>
          </w:p>
        </w:tc>
        <w:tc>
          <w:tcPr>
            <w:tcW w:w="684" w:type="pct"/>
            <w:tcBorders>
              <w:top w:val="nil"/>
              <w:left w:val="nil"/>
              <w:bottom w:val="nil"/>
              <w:right w:val="single" w:sz="4" w:space="0" w:color="auto"/>
            </w:tcBorders>
            <w:vAlign w:val="bottom"/>
            <w:hideMark/>
          </w:tcPr>
          <w:p w14:paraId="670CFB0D" w14:textId="77777777" w:rsidR="007A65ED" w:rsidRPr="00D067C4" w:rsidRDefault="007A65ED" w:rsidP="007A65ED">
            <w:pPr>
              <w:jc w:val="right"/>
              <w:rPr>
                <w:color w:val="000000"/>
                <w:sz w:val="14"/>
                <w:szCs w:val="14"/>
                <w:lang w:eastAsia="tr-TR"/>
              </w:rPr>
            </w:pPr>
            <w:r w:rsidRPr="00D067C4">
              <w:rPr>
                <w:color w:val="000000"/>
                <w:sz w:val="14"/>
                <w:szCs w:val="14"/>
                <w:lang w:eastAsia="tr-TR"/>
              </w:rPr>
              <w:t>-</w:t>
            </w:r>
          </w:p>
        </w:tc>
      </w:tr>
      <w:tr w:rsidR="007A65ED" w:rsidRPr="00D067C4" w14:paraId="7D7ECBB4" w14:textId="77777777" w:rsidTr="00120C06">
        <w:trPr>
          <w:divId w:val="180094935"/>
          <w:trHeight w:val="113"/>
        </w:trPr>
        <w:tc>
          <w:tcPr>
            <w:tcW w:w="248" w:type="pct"/>
            <w:tcBorders>
              <w:top w:val="nil"/>
              <w:left w:val="single" w:sz="4" w:space="0" w:color="auto"/>
              <w:bottom w:val="nil"/>
              <w:right w:val="nil"/>
            </w:tcBorders>
            <w:hideMark/>
          </w:tcPr>
          <w:p w14:paraId="69978373" w14:textId="77777777" w:rsidR="007A65ED" w:rsidRPr="00D067C4" w:rsidRDefault="007A65ED" w:rsidP="007A65ED">
            <w:pPr>
              <w:rPr>
                <w:sz w:val="14"/>
                <w:szCs w:val="14"/>
              </w:rPr>
            </w:pPr>
            <w:r w:rsidRPr="00D067C4">
              <w:rPr>
                <w:sz w:val="14"/>
                <w:szCs w:val="14"/>
              </w:rPr>
              <w:t>1.2.8</w:t>
            </w:r>
          </w:p>
        </w:tc>
        <w:tc>
          <w:tcPr>
            <w:tcW w:w="3022" w:type="pct"/>
            <w:tcBorders>
              <w:top w:val="nil"/>
              <w:left w:val="nil"/>
              <w:bottom w:val="nil"/>
              <w:right w:val="nil"/>
            </w:tcBorders>
            <w:hideMark/>
          </w:tcPr>
          <w:p w14:paraId="749ACD22" w14:textId="77777777" w:rsidR="007A65ED" w:rsidRPr="00D067C4" w:rsidRDefault="007A65ED" w:rsidP="007A65ED">
            <w:pPr>
              <w:rPr>
                <w:sz w:val="14"/>
                <w:szCs w:val="14"/>
              </w:rPr>
            </w:pPr>
            <w:r w:rsidRPr="00D067C4">
              <w:rPr>
                <w:sz w:val="14"/>
                <w:szCs w:val="14"/>
              </w:rPr>
              <w:t>Alınan Kredilerdeki Net Artış (Azalış)</w:t>
            </w:r>
          </w:p>
        </w:tc>
        <w:tc>
          <w:tcPr>
            <w:tcW w:w="349" w:type="pct"/>
            <w:tcBorders>
              <w:top w:val="nil"/>
              <w:left w:val="single" w:sz="4" w:space="0" w:color="auto"/>
              <w:bottom w:val="nil"/>
              <w:right w:val="single" w:sz="4" w:space="0" w:color="auto"/>
            </w:tcBorders>
            <w:vAlign w:val="bottom"/>
            <w:hideMark/>
          </w:tcPr>
          <w:p w14:paraId="71BC82F1" w14:textId="315BEF49"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vAlign w:val="center"/>
            <w:hideMark/>
          </w:tcPr>
          <w:p w14:paraId="67F83F79" w14:textId="79775F05" w:rsidR="007A65ED" w:rsidRPr="00D067C4" w:rsidRDefault="007A65ED" w:rsidP="007A65ED">
            <w:pPr>
              <w:jc w:val="right"/>
              <w:rPr>
                <w:sz w:val="14"/>
                <w:szCs w:val="14"/>
              </w:rPr>
            </w:pPr>
            <w:r w:rsidRPr="00D067C4">
              <w:rPr>
                <w:sz w:val="14"/>
                <w:szCs w:val="14"/>
              </w:rPr>
              <w:t>3.598.427</w:t>
            </w:r>
          </w:p>
        </w:tc>
        <w:tc>
          <w:tcPr>
            <w:tcW w:w="684" w:type="pct"/>
            <w:tcBorders>
              <w:top w:val="nil"/>
              <w:left w:val="nil"/>
              <w:bottom w:val="nil"/>
              <w:right w:val="single" w:sz="4" w:space="0" w:color="auto"/>
            </w:tcBorders>
            <w:vAlign w:val="bottom"/>
            <w:hideMark/>
          </w:tcPr>
          <w:p w14:paraId="39A802C3" w14:textId="77777777" w:rsidR="007A65ED" w:rsidRPr="00D067C4" w:rsidRDefault="007A65ED" w:rsidP="007A65ED">
            <w:pPr>
              <w:jc w:val="right"/>
              <w:rPr>
                <w:color w:val="000000"/>
                <w:sz w:val="14"/>
                <w:szCs w:val="14"/>
                <w:lang w:eastAsia="tr-TR"/>
              </w:rPr>
            </w:pPr>
            <w:r w:rsidRPr="00D067C4">
              <w:rPr>
                <w:color w:val="000000"/>
                <w:sz w:val="14"/>
                <w:szCs w:val="14"/>
                <w:lang w:eastAsia="tr-TR"/>
              </w:rPr>
              <w:t>-</w:t>
            </w:r>
          </w:p>
        </w:tc>
      </w:tr>
      <w:tr w:rsidR="007A65ED" w:rsidRPr="00D067C4" w14:paraId="387B7AC0" w14:textId="77777777" w:rsidTr="00120C06">
        <w:trPr>
          <w:divId w:val="180094935"/>
          <w:trHeight w:val="113"/>
        </w:trPr>
        <w:tc>
          <w:tcPr>
            <w:tcW w:w="248" w:type="pct"/>
            <w:tcBorders>
              <w:top w:val="nil"/>
              <w:left w:val="single" w:sz="4" w:space="0" w:color="auto"/>
              <w:bottom w:val="nil"/>
              <w:right w:val="nil"/>
            </w:tcBorders>
            <w:hideMark/>
          </w:tcPr>
          <w:p w14:paraId="0459A291" w14:textId="77777777" w:rsidR="007A65ED" w:rsidRPr="00D067C4" w:rsidRDefault="007A65ED" w:rsidP="007A65ED">
            <w:pPr>
              <w:rPr>
                <w:sz w:val="14"/>
                <w:szCs w:val="14"/>
              </w:rPr>
            </w:pPr>
            <w:r w:rsidRPr="00D067C4">
              <w:rPr>
                <w:sz w:val="14"/>
                <w:szCs w:val="14"/>
              </w:rPr>
              <w:t>1.2.9</w:t>
            </w:r>
          </w:p>
        </w:tc>
        <w:tc>
          <w:tcPr>
            <w:tcW w:w="3022" w:type="pct"/>
            <w:tcBorders>
              <w:top w:val="nil"/>
              <w:left w:val="nil"/>
              <w:bottom w:val="nil"/>
              <w:right w:val="nil"/>
            </w:tcBorders>
            <w:hideMark/>
          </w:tcPr>
          <w:p w14:paraId="7DBE56FC" w14:textId="77777777" w:rsidR="007A65ED" w:rsidRPr="00D067C4" w:rsidRDefault="007A65ED" w:rsidP="007A65ED">
            <w:pPr>
              <w:rPr>
                <w:sz w:val="14"/>
                <w:szCs w:val="14"/>
              </w:rPr>
            </w:pPr>
            <w:r w:rsidRPr="00D067C4">
              <w:rPr>
                <w:sz w:val="14"/>
                <w:szCs w:val="14"/>
              </w:rPr>
              <w:t>Vadesi Gelmiş Borçlarda Net Artış (Azalış)</w:t>
            </w:r>
          </w:p>
        </w:tc>
        <w:tc>
          <w:tcPr>
            <w:tcW w:w="349" w:type="pct"/>
            <w:tcBorders>
              <w:top w:val="nil"/>
              <w:left w:val="single" w:sz="4" w:space="0" w:color="auto"/>
              <w:bottom w:val="nil"/>
              <w:right w:val="single" w:sz="4" w:space="0" w:color="auto"/>
            </w:tcBorders>
            <w:vAlign w:val="bottom"/>
            <w:hideMark/>
          </w:tcPr>
          <w:p w14:paraId="0A1BF83D" w14:textId="6A2C1D4F"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vAlign w:val="center"/>
            <w:hideMark/>
          </w:tcPr>
          <w:p w14:paraId="6E0EE4D8" w14:textId="572A2E03" w:rsidR="007A65ED" w:rsidRPr="00D067C4" w:rsidRDefault="007A65ED" w:rsidP="007A65ED">
            <w:pPr>
              <w:jc w:val="right"/>
              <w:rPr>
                <w:sz w:val="14"/>
                <w:szCs w:val="14"/>
              </w:rPr>
            </w:pPr>
            <w:r w:rsidRPr="00D067C4">
              <w:rPr>
                <w:sz w:val="14"/>
                <w:szCs w:val="14"/>
              </w:rPr>
              <w:t>-</w:t>
            </w:r>
          </w:p>
        </w:tc>
        <w:tc>
          <w:tcPr>
            <w:tcW w:w="684" w:type="pct"/>
            <w:tcBorders>
              <w:top w:val="nil"/>
              <w:left w:val="nil"/>
              <w:bottom w:val="nil"/>
              <w:right w:val="single" w:sz="4" w:space="0" w:color="auto"/>
            </w:tcBorders>
            <w:vAlign w:val="bottom"/>
            <w:hideMark/>
          </w:tcPr>
          <w:p w14:paraId="4C6E2482" w14:textId="77777777" w:rsidR="007A65ED" w:rsidRPr="00D067C4" w:rsidRDefault="007A65ED" w:rsidP="007A65ED">
            <w:pPr>
              <w:jc w:val="right"/>
              <w:rPr>
                <w:color w:val="000000"/>
                <w:sz w:val="14"/>
                <w:szCs w:val="14"/>
                <w:lang w:eastAsia="tr-TR"/>
              </w:rPr>
            </w:pPr>
            <w:r w:rsidRPr="00D067C4">
              <w:rPr>
                <w:color w:val="000000"/>
                <w:sz w:val="14"/>
                <w:szCs w:val="14"/>
                <w:lang w:eastAsia="tr-TR"/>
              </w:rPr>
              <w:t>-</w:t>
            </w:r>
          </w:p>
        </w:tc>
      </w:tr>
      <w:tr w:rsidR="007A65ED" w:rsidRPr="00D067C4" w14:paraId="11808F90" w14:textId="77777777" w:rsidTr="00120C06">
        <w:trPr>
          <w:divId w:val="180094935"/>
          <w:trHeight w:val="113"/>
        </w:trPr>
        <w:tc>
          <w:tcPr>
            <w:tcW w:w="248" w:type="pct"/>
            <w:tcBorders>
              <w:top w:val="nil"/>
              <w:left w:val="single" w:sz="4" w:space="0" w:color="auto"/>
              <w:bottom w:val="nil"/>
              <w:right w:val="nil"/>
            </w:tcBorders>
            <w:hideMark/>
          </w:tcPr>
          <w:p w14:paraId="7420E453" w14:textId="77777777" w:rsidR="007A65ED" w:rsidRPr="00D067C4" w:rsidRDefault="007A65ED" w:rsidP="007A65ED">
            <w:pPr>
              <w:rPr>
                <w:sz w:val="14"/>
                <w:szCs w:val="14"/>
              </w:rPr>
            </w:pPr>
            <w:r w:rsidRPr="00D067C4">
              <w:rPr>
                <w:sz w:val="14"/>
                <w:szCs w:val="14"/>
              </w:rPr>
              <w:t>1.2.10</w:t>
            </w:r>
          </w:p>
        </w:tc>
        <w:tc>
          <w:tcPr>
            <w:tcW w:w="3022" w:type="pct"/>
            <w:tcBorders>
              <w:top w:val="nil"/>
              <w:left w:val="nil"/>
              <w:bottom w:val="nil"/>
              <w:right w:val="nil"/>
            </w:tcBorders>
            <w:hideMark/>
          </w:tcPr>
          <w:p w14:paraId="2CE4366B" w14:textId="77777777" w:rsidR="007A65ED" w:rsidRPr="00D067C4" w:rsidRDefault="007A65ED" w:rsidP="007A65ED">
            <w:pPr>
              <w:rPr>
                <w:sz w:val="14"/>
                <w:szCs w:val="14"/>
              </w:rPr>
            </w:pPr>
            <w:r w:rsidRPr="00D067C4">
              <w:rPr>
                <w:sz w:val="14"/>
                <w:szCs w:val="14"/>
              </w:rPr>
              <w:t>Diğer Borçlarda Net Artış (Azalış)</w:t>
            </w:r>
          </w:p>
        </w:tc>
        <w:tc>
          <w:tcPr>
            <w:tcW w:w="349" w:type="pct"/>
            <w:tcBorders>
              <w:top w:val="nil"/>
              <w:left w:val="single" w:sz="4" w:space="0" w:color="auto"/>
              <w:bottom w:val="nil"/>
              <w:right w:val="single" w:sz="4" w:space="0" w:color="auto"/>
            </w:tcBorders>
            <w:vAlign w:val="bottom"/>
            <w:hideMark/>
          </w:tcPr>
          <w:p w14:paraId="4A0880DC" w14:textId="33A616DC" w:rsidR="007A65ED" w:rsidRPr="00D067C4" w:rsidRDefault="007A65ED" w:rsidP="007A65ED">
            <w:pPr>
              <w:jc w:val="center"/>
              <w:rPr>
                <w:sz w:val="14"/>
                <w:szCs w:val="14"/>
              </w:rPr>
            </w:pPr>
            <w:r w:rsidRPr="00872D7E">
              <w:rPr>
                <w:sz w:val="14"/>
                <w:szCs w:val="14"/>
              </w:rPr>
              <w:t>(V-VI-3</w:t>
            </w:r>
            <w:r w:rsidRPr="00872D7E">
              <w:rPr>
                <w:sz w:val="14"/>
                <w:szCs w:val="14"/>
                <w:lang w:eastAsia="tr-TR"/>
              </w:rPr>
              <w:t>)</w:t>
            </w:r>
          </w:p>
        </w:tc>
        <w:tc>
          <w:tcPr>
            <w:tcW w:w="697" w:type="pct"/>
            <w:tcBorders>
              <w:top w:val="nil"/>
              <w:left w:val="nil"/>
              <w:bottom w:val="nil"/>
              <w:right w:val="single" w:sz="4" w:space="0" w:color="auto"/>
            </w:tcBorders>
            <w:vAlign w:val="center"/>
            <w:hideMark/>
          </w:tcPr>
          <w:p w14:paraId="43445788" w14:textId="50AB9BC0" w:rsidR="007A65ED" w:rsidRPr="00D067C4" w:rsidRDefault="007A65ED" w:rsidP="007A65ED">
            <w:pPr>
              <w:jc w:val="right"/>
              <w:rPr>
                <w:sz w:val="14"/>
                <w:szCs w:val="14"/>
              </w:rPr>
            </w:pPr>
            <w:r w:rsidRPr="00D067C4">
              <w:rPr>
                <w:sz w:val="14"/>
                <w:szCs w:val="14"/>
              </w:rPr>
              <w:t>2.946.105</w:t>
            </w:r>
          </w:p>
        </w:tc>
        <w:tc>
          <w:tcPr>
            <w:tcW w:w="684" w:type="pct"/>
            <w:tcBorders>
              <w:top w:val="nil"/>
              <w:left w:val="nil"/>
              <w:bottom w:val="nil"/>
              <w:right w:val="single" w:sz="4" w:space="0" w:color="auto"/>
            </w:tcBorders>
            <w:vAlign w:val="bottom"/>
            <w:hideMark/>
          </w:tcPr>
          <w:p w14:paraId="2FDECD8E" w14:textId="77777777" w:rsidR="007A65ED" w:rsidRPr="00D067C4" w:rsidRDefault="007A65ED" w:rsidP="007A65ED">
            <w:pPr>
              <w:jc w:val="right"/>
              <w:rPr>
                <w:color w:val="000000"/>
                <w:sz w:val="14"/>
                <w:szCs w:val="14"/>
                <w:lang w:eastAsia="tr-TR"/>
              </w:rPr>
            </w:pPr>
            <w:r w:rsidRPr="00D067C4">
              <w:rPr>
                <w:color w:val="000000"/>
                <w:sz w:val="14"/>
                <w:szCs w:val="14"/>
                <w:lang w:eastAsia="tr-TR"/>
              </w:rPr>
              <w:t>879.920</w:t>
            </w:r>
          </w:p>
        </w:tc>
      </w:tr>
      <w:tr w:rsidR="007A65ED" w:rsidRPr="00D067C4" w14:paraId="3EBAD67F" w14:textId="77777777" w:rsidTr="00120C06">
        <w:trPr>
          <w:divId w:val="180094935"/>
          <w:trHeight w:val="113"/>
        </w:trPr>
        <w:tc>
          <w:tcPr>
            <w:tcW w:w="248" w:type="pct"/>
            <w:tcBorders>
              <w:top w:val="nil"/>
              <w:left w:val="single" w:sz="4" w:space="0" w:color="auto"/>
              <w:bottom w:val="nil"/>
              <w:right w:val="nil"/>
            </w:tcBorders>
            <w:hideMark/>
          </w:tcPr>
          <w:p w14:paraId="0C104C06" w14:textId="77777777" w:rsidR="007A65ED" w:rsidRPr="00D067C4" w:rsidRDefault="007A65ED" w:rsidP="007A65ED">
            <w:pPr>
              <w:rPr>
                <w:b/>
                <w:bCs/>
                <w:sz w:val="14"/>
                <w:szCs w:val="14"/>
              </w:rPr>
            </w:pPr>
            <w:r w:rsidRPr="00D067C4">
              <w:rPr>
                <w:b/>
                <w:bCs/>
                <w:sz w:val="14"/>
                <w:szCs w:val="14"/>
              </w:rPr>
              <w:t> </w:t>
            </w:r>
          </w:p>
        </w:tc>
        <w:tc>
          <w:tcPr>
            <w:tcW w:w="3022" w:type="pct"/>
            <w:tcBorders>
              <w:top w:val="nil"/>
              <w:left w:val="nil"/>
              <w:bottom w:val="nil"/>
              <w:right w:val="nil"/>
            </w:tcBorders>
            <w:hideMark/>
          </w:tcPr>
          <w:p w14:paraId="68414B4F" w14:textId="77777777" w:rsidR="007A65ED" w:rsidRPr="00D067C4" w:rsidRDefault="007A65ED" w:rsidP="007A65ED">
            <w:pPr>
              <w:rPr>
                <w:b/>
                <w:bCs/>
                <w:sz w:val="14"/>
                <w:szCs w:val="14"/>
              </w:rPr>
            </w:pPr>
          </w:p>
        </w:tc>
        <w:tc>
          <w:tcPr>
            <w:tcW w:w="349" w:type="pct"/>
            <w:tcBorders>
              <w:top w:val="nil"/>
              <w:left w:val="single" w:sz="4" w:space="0" w:color="auto"/>
              <w:bottom w:val="nil"/>
              <w:right w:val="single" w:sz="4" w:space="0" w:color="auto"/>
            </w:tcBorders>
            <w:vAlign w:val="bottom"/>
            <w:hideMark/>
          </w:tcPr>
          <w:p w14:paraId="2BF2FA54" w14:textId="5ACB3C6B"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noWrap/>
            <w:vAlign w:val="center"/>
            <w:hideMark/>
          </w:tcPr>
          <w:p w14:paraId="237A402F" w14:textId="5475239D" w:rsidR="007A65ED" w:rsidRPr="00D067C4" w:rsidRDefault="007A65ED" w:rsidP="007A65ED">
            <w:pPr>
              <w:jc w:val="right"/>
              <w:rPr>
                <w:sz w:val="14"/>
                <w:szCs w:val="14"/>
              </w:rPr>
            </w:pPr>
            <w:r w:rsidRPr="00D067C4">
              <w:rPr>
                <w:sz w:val="14"/>
                <w:szCs w:val="14"/>
              </w:rPr>
              <w:t> </w:t>
            </w:r>
          </w:p>
        </w:tc>
        <w:tc>
          <w:tcPr>
            <w:tcW w:w="684" w:type="pct"/>
            <w:tcBorders>
              <w:top w:val="nil"/>
              <w:left w:val="nil"/>
              <w:bottom w:val="nil"/>
              <w:right w:val="single" w:sz="4" w:space="0" w:color="auto"/>
            </w:tcBorders>
            <w:noWrap/>
            <w:vAlign w:val="bottom"/>
            <w:hideMark/>
          </w:tcPr>
          <w:p w14:paraId="23FD127C" w14:textId="77777777" w:rsidR="007A65ED" w:rsidRPr="00D067C4" w:rsidRDefault="007A65ED" w:rsidP="007A65ED">
            <w:pPr>
              <w:jc w:val="right"/>
              <w:rPr>
                <w:color w:val="000000"/>
                <w:sz w:val="14"/>
                <w:szCs w:val="14"/>
                <w:lang w:eastAsia="tr-TR"/>
              </w:rPr>
            </w:pPr>
            <w:r w:rsidRPr="00D067C4">
              <w:rPr>
                <w:color w:val="000000"/>
                <w:sz w:val="14"/>
                <w:szCs w:val="14"/>
                <w:lang w:eastAsia="tr-TR"/>
              </w:rPr>
              <w:t> </w:t>
            </w:r>
          </w:p>
        </w:tc>
      </w:tr>
      <w:tr w:rsidR="007A65ED" w:rsidRPr="00D067C4" w14:paraId="3A083F85" w14:textId="77777777" w:rsidTr="00120C06">
        <w:trPr>
          <w:divId w:val="180094935"/>
          <w:trHeight w:val="113"/>
        </w:trPr>
        <w:tc>
          <w:tcPr>
            <w:tcW w:w="248" w:type="pct"/>
            <w:tcBorders>
              <w:top w:val="nil"/>
              <w:left w:val="single" w:sz="4" w:space="0" w:color="auto"/>
              <w:bottom w:val="nil"/>
              <w:right w:val="nil"/>
            </w:tcBorders>
            <w:hideMark/>
          </w:tcPr>
          <w:p w14:paraId="20C38980" w14:textId="77777777" w:rsidR="007A65ED" w:rsidRPr="00D067C4" w:rsidRDefault="007A65ED" w:rsidP="007A65ED">
            <w:pPr>
              <w:rPr>
                <w:b/>
                <w:bCs/>
                <w:sz w:val="14"/>
                <w:szCs w:val="14"/>
              </w:rPr>
            </w:pPr>
            <w:r w:rsidRPr="00D067C4">
              <w:rPr>
                <w:b/>
                <w:bCs/>
                <w:sz w:val="14"/>
                <w:szCs w:val="14"/>
              </w:rPr>
              <w:t>I.</w:t>
            </w:r>
          </w:p>
        </w:tc>
        <w:tc>
          <w:tcPr>
            <w:tcW w:w="3022" w:type="pct"/>
            <w:tcBorders>
              <w:top w:val="nil"/>
              <w:left w:val="nil"/>
              <w:bottom w:val="nil"/>
              <w:right w:val="nil"/>
            </w:tcBorders>
            <w:hideMark/>
          </w:tcPr>
          <w:p w14:paraId="087EB24B" w14:textId="77777777" w:rsidR="007A65ED" w:rsidRPr="00D067C4" w:rsidRDefault="007A65ED" w:rsidP="007A65ED">
            <w:pPr>
              <w:rPr>
                <w:b/>
                <w:bCs/>
                <w:sz w:val="14"/>
                <w:szCs w:val="14"/>
              </w:rPr>
            </w:pPr>
            <w:r w:rsidRPr="00D067C4">
              <w:rPr>
                <w:b/>
                <w:bCs/>
                <w:sz w:val="14"/>
                <w:szCs w:val="14"/>
              </w:rPr>
              <w:t>Bankacılık Faaliyetlerinden Kaynaklanan Net Nakit Akışı</w:t>
            </w:r>
          </w:p>
        </w:tc>
        <w:tc>
          <w:tcPr>
            <w:tcW w:w="349" w:type="pct"/>
            <w:tcBorders>
              <w:top w:val="nil"/>
              <w:left w:val="single" w:sz="4" w:space="0" w:color="auto"/>
              <w:bottom w:val="nil"/>
              <w:right w:val="single" w:sz="4" w:space="0" w:color="auto"/>
            </w:tcBorders>
            <w:vAlign w:val="bottom"/>
            <w:hideMark/>
          </w:tcPr>
          <w:p w14:paraId="7F8AA2F6" w14:textId="5ADEC1F2"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vAlign w:val="center"/>
            <w:hideMark/>
          </w:tcPr>
          <w:p w14:paraId="049AAEA8" w14:textId="44EAC441" w:rsidR="007A65ED" w:rsidRPr="00D067C4" w:rsidRDefault="007A65ED" w:rsidP="007A65ED">
            <w:pPr>
              <w:jc w:val="right"/>
              <w:rPr>
                <w:b/>
                <w:bCs/>
                <w:sz w:val="14"/>
                <w:szCs w:val="14"/>
              </w:rPr>
            </w:pPr>
            <w:r w:rsidRPr="00D067C4">
              <w:rPr>
                <w:b/>
                <w:bCs/>
                <w:sz w:val="14"/>
                <w:szCs w:val="14"/>
              </w:rPr>
              <w:t>18.300.494</w:t>
            </w:r>
          </w:p>
        </w:tc>
        <w:tc>
          <w:tcPr>
            <w:tcW w:w="684" w:type="pct"/>
            <w:tcBorders>
              <w:top w:val="nil"/>
              <w:left w:val="nil"/>
              <w:bottom w:val="nil"/>
              <w:right w:val="single" w:sz="4" w:space="0" w:color="auto"/>
            </w:tcBorders>
            <w:vAlign w:val="bottom"/>
            <w:hideMark/>
          </w:tcPr>
          <w:p w14:paraId="3D2B1D1A" w14:textId="77777777" w:rsidR="007A65ED" w:rsidRPr="00D067C4" w:rsidRDefault="007A65ED" w:rsidP="007A65ED">
            <w:pPr>
              <w:jc w:val="right"/>
              <w:rPr>
                <w:b/>
                <w:bCs/>
                <w:color w:val="000000"/>
                <w:sz w:val="14"/>
                <w:szCs w:val="14"/>
                <w:lang w:eastAsia="tr-TR"/>
              </w:rPr>
            </w:pPr>
            <w:r w:rsidRPr="00D067C4">
              <w:rPr>
                <w:b/>
                <w:bCs/>
                <w:color w:val="000000"/>
                <w:sz w:val="14"/>
                <w:szCs w:val="14"/>
                <w:lang w:eastAsia="tr-TR"/>
              </w:rPr>
              <w:t>624.489</w:t>
            </w:r>
          </w:p>
        </w:tc>
      </w:tr>
      <w:tr w:rsidR="007A65ED" w:rsidRPr="00D067C4" w14:paraId="7917DF10" w14:textId="77777777" w:rsidTr="00120C06">
        <w:trPr>
          <w:divId w:val="180094935"/>
          <w:trHeight w:val="113"/>
        </w:trPr>
        <w:tc>
          <w:tcPr>
            <w:tcW w:w="248" w:type="pct"/>
            <w:tcBorders>
              <w:top w:val="nil"/>
              <w:left w:val="single" w:sz="4" w:space="0" w:color="auto"/>
              <w:bottom w:val="nil"/>
              <w:right w:val="nil"/>
            </w:tcBorders>
            <w:hideMark/>
          </w:tcPr>
          <w:p w14:paraId="69799952" w14:textId="77777777" w:rsidR="007A65ED" w:rsidRPr="00D067C4" w:rsidRDefault="007A65ED" w:rsidP="007A65ED">
            <w:pPr>
              <w:rPr>
                <w:b/>
                <w:bCs/>
                <w:sz w:val="14"/>
                <w:szCs w:val="14"/>
              </w:rPr>
            </w:pPr>
            <w:r w:rsidRPr="00D067C4">
              <w:rPr>
                <w:b/>
                <w:bCs/>
                <w:sz w:val="14"/>
                <w:szCs w:val="14"/>
              </w:rPr>
              <w:t> </w:t>
            </w:r>
          </w:p>
        </w:tc>
        <w:tc>
          <w:tcPr>
            <w:tcW w:w="3022" w:type="pct"/>
            <w:tcBorders>
              <w:top w:val="nil"/>
              <w:left w:val="nil"/>
              <w:bottom w:val="nil"/>
              <w:right w:val="nil"/>
            </w:tcBorders>
            <w:hideMark/>
          </w:tcPr>
          <w:p w14:paraId="78FBCDFB" w14:textId="77777777" w:rsidR="007A65ED" w:rsidRPr="00D067C4" w:rsidRDefault="007A65ED" w:rsidP="007A65ED">
            <w:pPr>
              <w:rPr>
                <w:b/>
                <w:bCs/>
                <w:sz w:val="14"/>
                <w:szCs w:val="14"/>
              </w:rPr>
            </w:pPr>
          </w:p>
        </w:tc>
        <w:tc>
          <w:tcPr>
            <w:tcW w:w="349" w:type="pct"/>
            <w:tcBorders>
              <w:top w:val="nil"/>
              <w:left w:val="single" w:sz="4" w:space="0" w:color="auto"/>
              <w:bottom w:val="nil"/>
              <w:right w:val="single" w:sz="4" w:space="0" w:color="auto"/>
            </w:tcBorders>
            <w:vAlign w:val="bottom"/>
            <w:hideMark/>
          </w:tcPr>
          <w:p w14:paraId="6F1A054D" w14:textId="15FC09E5"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noWrap/>
            <w:vAlign w:val="center"/>
            <w:hideMark/>
          </w:tcPr>
          <w:p w14:paraId="544A4332" w14:textId="7899A93D" w:rsidR="007A65ED" w:rsidRPr="00D067C4" w:rsidRDefault="007A65ED" w:rsidP="007A65ED">
            <w:pPr>
              <w:jc w:val="right"/>
              <w:rPr>
                <w:sz w:val="14"/>
                <w:szCs w:val="14"/>
              </w:rPr>
            </w:pPr>
            <w:r w:rsidRPr="00D067C4">
              <w:rPr>
                <w:sz w:val="14"/>
                <w:szCs w:val="14"/>
              </w:rPr>
              <w:t> </w:t>
            </w:r>
          </w:p>
        </w:tc>
        <w:tc>
          <w:tcPr>
            <w:tcW w:w="684" w:type="pct"/>
            <w:tcBorders>
              <w:top w:val="nil"/>
              <w:left w:val="nil"/>
              <w:bottom w:val="nil"/>
              <w:right w:val="single" w:sz="4" w:space="0" w:color="auto"/>
            </w:tcBorders>
            <w:noWrap/>
            <w:vAlign w:val="bottom"/>
            <w:hideMark/>
          </w:tcPr>
          <w:p w14:paraId="4000C87B" w14:textId="77777777" w:rsidR="007A65ED" w:rsidRPr="00D067C4" w:rsidRDefault="007A65ED" w:rsidP="007A65ED">
            <w:pPr>
              <w:jc w:val="right"/>
              <w:rPr>
                <w:color w:val="000000"/>
                <w:sz w:val="14"/>
                <w:szCs w:val="14"/>
                <w:lang w:eastAsia="tr-TR"/>
              </w:rPr>
            </w:pPr>
            <w:r w:rsidRPr="00D067C4">
              <w:rPr>
                <w:color w:val="000000"/>
                <w:sz w:val="14"/>
                <w:szCs w:val="14"/>
                <w:lang w:eastAsia="tr-TR"/>
              </w:rPr>
              <w:t> </w:t>
            </w:r>
          </w:p>
        </w:tc>
      </w:tr>
      <w:tr w:rsidR="007A65ED" w:rsidRPr="00D067C4" w14:paraId="30F53895" w14:textId="77777777" w:rsidTr="00120C06">
        <w:trPr>
          <w:divId w:val="180094935"/>
          <w:trHeight w:val="113"/>
        </w:trPr>
        <w:tc>
          <w:tcPr>
            <w:tcW w:w="248" w:type="pct"/>
            <w:tcBorders>
              <w:top w:val="nil"/>
              <w:left w:val="single" w:sz="4" w:space="0" w:color="auto"/>
              <w:bottom w:val="nil"/>
              <w:right w:val="nil"/>
            </w:tcBorders>
            <w:hideMark/>
          </w:tcPr>
          <w:p w14:paraId="23D5547D" w14:textId="77777777" w:rsidR="007A65ED" w:rsidRPr="00D067C4" w:rsidRDefault="007A65ED" w:rsidP="007A65ED">
            <w:pPr>
              <w:rPr>
                <w:b/>
                <w:bCs/>
                <w:sz w:val="14"/>
                <w:szCs w:val="14"/>
              </w:rPr>
            </w:pPr>
            <w:r w:rsidRPr="00D067C4">
              <w:rPr>
                <w:b/>
                <w:bCs/>
                <w:sz w:val="14"/>
                <w:szCs w:val="14"/>
              </w:rPr>
              <w:t>B.</w:t>
            </w:r>
          </w:p>
        </w:tc>
        <w:tc>
          <w:tcPr>
            <w:tcW w:w="3022" w:type="pct"/>
            <w:tcBorders>
              <w:top w:val="nil"/>
              <w:left w:val="nil"/>
              <w:bottom w:val="nil"/>
              <w:right w:val="nil"/>
            </w:tcBorders>
            <w:hideMark/>
          </w:tcPr>
          <w:p w14:paraId="4A16F3A3" w14:textId="77777777" w:rsidR="007A65ED" w:rsidRPr="00D067C4" w:rsidRDefault="007A65ED" w:rsidP="007A65ED">
            <w:pPr>
              <w:rPr>
                <w:b/>
                <w:bCs/>
                <w:sz w:val="14"/>
                <w:szCs w:val="14"/>
              </w:rPr>
            </w:pPr>
            <w:r w:rsidRPr="00D067C4">
              <w:rPr>
                <w:b/>
                <w:bCs/>
                <w:sz w:val="14"/>
                <w:szCs w:val="14"/>
              </w:rPr>
              <w:t>YATIRIM FAALİYETLERİNE İLİŞKİN NAKİT AKIŞLARI</w:t>
            </w:r>
          </w:p>
        </w:tc>
        <w:tc>
          <w:tcPr>
            <w:tcW w:w="349" w:type="pct"/>
            <w:tcBorders>
              <w:top w:val="nil"/>
              <w:left w:val="single" w:sz="4" w:space="0" w:color="auto"/>
              <w:bottom w:val="nil"/>
              <w:right w:val="single" w:sz="4" w:space="0" w:color="auto"/>
            </w:tcBorders>
            <w:vAlign w:val="bottom"/>
            <w:hideMark/>
          </w:tcPr>
          <w:p w14:paraId="6D8D7ED7" w14:textId="054EF4C9"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noWrap/>
            <w:vAlign w:val="center"/>
            <w:hideMark/>
          </w:tcPr>
          <w:p w14:paraId="6847FB02" w14:textId="752203F1" w:rsidR="007A65ED" w:rsidRPr="00D067C4" w:rsidRDefault="007A65ED" w:rsidP="007A65ED">
            <w:pPr>
              <w:jc w:val="right"/>
              <w:rPr>
                <w:sz w:val="14"/>
                <w:szCs w:val="14"/>
              </w:rPr>
            </w:pPr>
            <w:r w:rsidRPr="00D067C4">
              <w:rPr>
                <w:sz w:val="14"/>
                <w:szCs w:val="14"/>
              </w:rPr>
              <w:t> </w:t>
            </w:r>
          </w:p>
        </w:tc>
        <w:tc>
          <w:tcPr>
            <w:tcW w:w="684" w:type="pct"/>
            <w:tcBorders>
              <w:top w:val="nil"/>
              <w:left w:val="nil"/>
              <w:bottom w:val="nil"/>
              <w:right w:val="single" w:sz="4" w:space="0" w:color="auto"/>
            </w:tcBorders>
            <w:noWrap/>
            <w:vAlign w:val="bottom"/>
            <w:hideMark/>
          </w:tcPr>
          <w:p w14:paraId="2C757423" w14:textId="77777777" w:rsidR="007A65ED" w:rsidRPr="00D067C4" w:rsidRDefault="007A65ED" w:rsidP="007A65ED">
            <w:pPr>
              <w:jc w:val="right"/>
              <w:rPr>
                <w:color w:val="000000"/>
                <w:sz w:val="14"/>
                <w:szCs w:val="14"/>
                <w:lang w:eastAsia="tr-TR"/>
              </w:rPr>
            </w:pPr>
            <w:r w:rsidRPr="00D067C4">
              <w:rPr>
                <w:color w:val="000000"/>
                <w:sz w:val="14"/>
                <w:szCs w:val="14"/>
                <w:lang w:eastAsia="tr-TR"/>
              </w:rPr>
              <w:t> </w:t>
            </w:r>
          </w:p>
        </w:tc>
      </w:tr>
      <w:tr w:rsidR="007A65ED" w:rsidRPr="00D067C4" w14:paraId="45B9F3D1" w14:textId="77777777" w:rsidTr="00120C06">
        <w:trPr>
          <w:divId w:val="180094935"/>
          <w:trHeight w:val="113"/>
        </w:trPr>
        <w:tc>
          <w:tcPr>
            <w:tcW w:w="248" w:type="pct"/>
            <w:tcBorders>
              <w:top w:val="nil"/>
              <w:left w:val="single" w:sz="4" w:space="0" w:color="auto"/>
              <w:bottom w:val="nil"/>
              <w:right w:val="nil"/>
            </w:tcBorders>
            <w:hideMark/>
          </w:tcPr>
          <w:p w14:paraId="4A888C1D" w14:textId="77777777" w:rsidR="007A65ED" w:rsidRPr="00D067C4" w:rsidRDefault="007A65ED" w:rsidP="007A65ED">
            <w:pPr>
              <w:rPr>
                <w:b/>
                <w:bCs/>
                <w:sz w:val="14"/>
                <w:szCs w:val="14"/>
              </w:rPr>
            </w:pPr>
            <w:r w:rsidRPr="00D067C4">
              <w:rPr>
                <w:b/>
                <w:bCs/>
                <w:sz w:val="14"/>
                <w:szCs w:val="14"/>
              </w:rPr>
              <w:t> </w:t>
            </w:r>
          </w:p>
        </w:tc>
        <w:tc>
          <w:tcPr>
            <w:tcW w:w="3022" w:type="pct"/>
            <w:tcBorders>
              <w:top w:val="nil"/>
              <w:left w:val="nil"/>
              <w:bottom w:val="nil"/>
              <w:right w:val="nil"/>
            </w:tcBorders>
            <w:hideMark/>
          </w:tcPr>
          <w:p w14:paraId="73740228" w14:textId="77777777" w:rsidR="007A65ED" w:rsidRPr="00D067C4" w:rsidRDefault="007A65ED" w:rsidP="007A65ED">
            <w:pPr>
              <w:rPr>
                <w:b/>
                <w:bCs/>
                <w:sz w:val="14"/>
                <w:szCs w:val="14"/>
              </w:rPr>
            </w:pPr>
          </w:p>
        </w:tc>
        <w:tc>
          <w:tcPr>
            <w:tcW w:w="349" w:type="pct"/>
            <w:tcBorders>
              <w:top w:val="nil"/>
              <w:left w:val="single" w:sz="4" w:space="0" w:color="auto"/>
              <w:bottom w:val="nil"/>
              <w:right w:val="single" w:sz="4" w:space="0" w:color="auto"/>
            </w:tcBorders>
            <w:vAlign w:val="bottom"/>
            <w:hideMark/>
          </w:tcPr>
          <w:p w14:paraId="4483BFA1" w14:textId="5477B4C3"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noWrap/>
            <w:vAlign w:val="center"/>
            <w:hideMark/>
          </w:tcPr>
          <w:p w14:paraId="0D5B4A26" w14:textId="175A4084" w:rsidR="007A65ED" w:rsidRPr="00D067C4" w:rsidRDefault="007A65ED" w:rsidP="007A65ED">
            <w:pPr>
              <w:jc w:val="right"/>
              <w:rPr>
                <w:sz w:val="14"/>
                <w:szCs w:val="14"/>
              </w:rPr>
            </w:pPr>
            <w:r w:rsidRPr="00D067C4">
              <w:rPr>
                <w:sz w:val="14"/>
                <w:szCs w:val="14"/>
              </w:rPr>
              <w:t> </w:t>
            </w:r>
          </w:p>
        </w:tc>
        <w:tc>
          <w:tcPr>
            <w:tcW w:w="684" w:type="pct"/>
            <w:tcBorders>
              <w:top w:val="nil"/>
              <w:left w:val="nil"/>
              <w:bottom w:val="nil"/>
              <w:right w:val="single" w:sz="4" w:space="0" w:color="auto"/>
            </w:tcBorders>
            <w:noWrap/>
            <w:vAlign w:val="bottom"/>
            <w:hideMark/>
          </w:tcPr>
          <w:p w14:paraId="0238524D" w14:textId="77777777" w:rsidR="007A65ED" w:rsidRPr="00D067C4" w:rsidRDefault="007A65ED" w:rsidP="007A65ED">
            <w:pPr>
              <w:jc w:val="right"/>
              <w:rPr>
                <w:color w:val="000000"/>
                <w:sz w:val="14"/>
                <w:szCs w:val="14"/>
                <w:lang w:eastAsia="tr-TR"/>
              </w:rPr>
            </w:pPr>
            <w:r w:rsidRPr="00D067C4">
              <w:rPr>
                <w:color w:val="000000"/>
                <w:sz w:val="14"/>
                <w:szCs w:val="14"/>
                <w:lang w:eastAsia="tr-TR"/>
              </w:rPr>
              <w:t> </w:t>
            </w:r>
          </w:p>
        </w:tc>
      </w:tr>
      <w:tr w:rsidR="007A65ED" w:rsidRPr="00D067C4" w14:paraId="1F6FD04B" w14:textId="77777777" w:rsidTr="00120C06">
        <w:trPr>
          <w:divId w:val="180094935"/>
          <w:trHeight w:val="113"/>
        </w:trPr>
        <w:tc>
          <w:tcPr>
            <w:tcW w:w="248" w:type="pct"/>
            <w:tcBorders>
              <w:top w:val="nil"/>
              <w:left w:val="single" w:sz="4" w:space="0" w:color="auto"/>
              <w:bottom w:val="nil"/>
              <w:right w:val="nil"/>
            </w:tcBorders>
            <w:hideMark/>
          </w:tcPr>
          <w:p w14:paraId="09CB7A57" w14:textId="77777777" w:rsidR="007A65ED" w:rsidRPr="00D067C4" w:rsidRDefault="007A65ED" w:rsidP="007A65ED">
            <w:pPr>
              <w:rPr>
                <w:b/>
                <w:bCs/>
                <w:sz w:val="14"/>
                <w:szCs w:val="14"/>
              </w:rPr>
            </w:pPr>
            <w:r w:rsidRPr="00D067C4">
              <w:rPr>
                <w:b/>
                <w:bCs/>
                <w:sz w:val="14"/>
                <w:szCs w:val="14"/>
              </w:rPr>
              <w:t>II.</w:t>
            </w:r>
          </w:p>
        </w:tc>
        <w:tc>
          <w:tcPr>
            <w:tcW w:w="3022" w:type="pct"/>
            <w:tcBorders>
              <w:top w:val="nil"/>
              <w:left w:val="nil"/>
              <w:bottom w:val="nil"/>
              <w:right w:val="nil"/>
            </w:tcBorders>
            <w:hideMark/>
          </w:tcPr>
          <w:p w14:paraId="5E2104D1" w14:textId="77777777" w:rsidR="007A65ED" w:rsidRPr="00D067C4" w:rsidRDefault="007A65ED" w:rsidP="007A65ED">
            <w:pPr>
              <w:rPr>
                <w:b/>
                <w:bCs/>
                <w:sz w:val="14"/>
                <w:szCs w:val="14"/>
              </w:rPr>
            </w:pPr>
            <w:r w:rsidRPr="00D067C4">
              <w:rPr>
                <w:b/>
                <w:bCs/>
                <w:sz w:val="14"/>
                <w:szCs w:val="14"/>
              </w:rPr>
              <w:t>Yatırım Faaliyetlerinden Kaynaklanan Net Nakit Akışı</w:t>
            </w:r>
          </w:p>
        </w:tc>
        <w:tc>
          <w:tcPr>
            <w:tcW w:w="349" w:type="pct"/>
            <w:tcBorders>
              <w:top w:val="nil"/>
              <w:left w:val="single" w:sz="4" w:space="0" w:color="auto"/>
              <w:bottom w:val="nil"/>
              <w:right w:val="single" w:sz="4" w:space="0" w:color="auto"/>
            </w:tcBorders>
            <w:vAlign w:val="bottom"/>
            <w:hideMark/>
          </w:tcPr>
          <w:p w14:paraId="33C29C05" w14:textId="39DB7644"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vAlign w:val="center"/>
            <w:hideMark/>
          </w:tcPr>
          <w:p w14:paraId="4BE83A57" w14:textId="00425163" w:rsidR="007A65ED" w:rsidRPr="00D067C4" w:rsidRDefault="007A65ED" w:rsidP="007A65ED">
            <w:pPr>
              <w:jc w:val="right"/>
              <w:rPr>
                <w:b/>
                <w:bCs/>
                <w:sz w:val="14"/>
                <w:szCs w:val="14"/>
                <w:lang w:eastAsia="tr-TR"/>
              </w:rPr>
            </w:pPr>
            <w:r w:rsidRPr="00D067C4">
              <w:rPr>
                <w:sz w:val="14"/>
                <w:szCs w:val="14"/>
              </w:rPr>
              <w:t>(5.734.800)</w:t>
            </w:r>
          </w:p>
        </w:tc>
        <w:tc>
          <w:tcPr>
            <w:tcW w:w="684" w:type="pct"/>
            <w:tcBorders>
              <w:top w:val="nil"/>
              <w:left w:val="nil"/>
              <w:bottom w:val="nil"/>
              <w:right w:val="single" w:sz="4" w:space="0" w:color="auto"/>
            </w:tcBorders>
            <w:vAlign w:val="bottom"/>
            <w:hideMark/>
          </w:tcPr>
          <w:p w14:paraId="2713033C" w14:textId="77777777" w:rsidR="007A65ED" w:rsidRPr="00D067C4" w:rsidRDefault="007A65ED" w:rsidP="007A65ED">
            <w:pPr>
              <w:jc w:val="right"/>
              <w:rPr>
                <w:b/>
                <w:bCs/>
                <w:color w:val="000000"/>
                <w:sz w:val="14"/>
                <w:szCs w:val="14"/>
                <w:lang w:eastAsia="tr-TR"/>
              </w:rPr>
            </w:pPr>
            <w:r w:rsidRPr="00D067C4">
              <w:rPr>
                <w:b/>
                <w:bCs/>
                <w:color w:val="000000"/>
                <w:sz w:val="14"/>
                <w:szCs w:val="14"/>
                <w:lang w:eastAsia="tr-TR"/>
              </w:rPr>
              <w:t>(1.966.316)</w:t>
            </w:r>
          </w:p>
        </w:tc>
      </w:tr>
      <w:tr w:rsidR="007A65ED" w:rsidRPr="00D067C4" w14:paraId="44C74881" w14:textId="77777777" w:rsidTr="00120C06">
        <w:trPr>
          <w:divId w:val="180094935"/>
          <w:trHeight w:val="113"/>
        </w:trPr>
        <w:tc>
          <w:tcPr>
            <w:tcW w:w="248" w:type="pct"/>
            <w:tcBorders>
              <w:top w:val="nil"/>
              <w:left w:val="single" w:sz="4" w:space="0" w:color="auto"/>
              <w:bottom w:val="nil"/>
              <w:right w:val="nil"/>
            </w:tcBorders>
            <w:hideMark/>
          </w:tcPr>
          <w:p w14:paraId="1F968944" w14:textId="77777777" w:rsidR="007A65ED" w:rsidRPr="00D067C4" w:rsidRDefault="007A65ED" w:rsidP="007A65ED">
            <w:pPr>
              <w:rPr>
                <w:sz w:val="14"/>
                <w:szCs w:val="14"/>
              </w:rPr>
            </w:pPr>
            <w:r w:rsidRPr="00D067C4">
              <w:rPr>
                <w:sz w:val="14"/>
                <w:szCs w:val="14"/>
              </w:rPr>
              <w:t> </w:t>
            </w:r>
          </w:p>
        </w:tc>
        <w:tc>
          <w:tcPr>
            <w:tcW w:w="3022" w:type="pct"/>
            <w:tcBorders>
              <w:top w:val="nil"/>
              <w:left w:val="nil"/>
              <w:bottom w:val="nil"/>
              <w:right w:val="nil"/>
            </w:tcBorders>
            <w:hideMark/>
          </w:tcPr>
          <w:p w14:paraId="6D1CBC22" w14:textId="77777777" w:rsidR="007A65ED" w:rsidRPr="00D067C4" w:rsidRDefault="007A65ED" w:rsidP="007A65ED">
            <w:pPr>
              <w:rPr>
                <w:sz w:val="14"/>
                <w:szCs w:val="14"/>
              </w:rPr>
            </w:pPr>
          </w:p>
        </w:tc>
        <w:tc>
          <w:tcPr>
            <w:tcW w:w="349" w:type="pct"/>
            <w:tcBorders>
              <w:top w:val="nil"/>
              <w:left w:val="single" w:sz="4" w:space="0" w:color="auto"/>
              <w:bottom w:val="nil"/>
              <w:right w:val="single" w:sz="4" w:space="0" w:color="auto"/>
            </w:tcBorders>
            <w:vAlign w:val="bottom"/>
            <w:hideMark/>
          </w:tcPr>
          <w:p w14:paraId="026A5AAB" w14:textId="5AFF92F4"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noWrap/>
            <w:vAlign w:val="center"/>
            <w:hideMark/>
          </w:tcPr>
          <w:p w14:paraId="4524FE67" w14:textId="2147F643" w:rsidR="007A65ED" w:rsidRPr="00D067C4" w:rsidRDefault="007A65ED" w:rsidP="007A65ED">
            <w:pPr>
              <w:jc w:val="right"/>
              <w:rPr>
                <w:sz w:val="14"/>
                <w:szCs w:val="14"/>
              </w:rPr>
            </w:pPr>
            <w:r w:rsidRPr="00D067C4">
              <w:rPr>
                <w:sz w:val="14"/>
                <w:szCs w:val="14"/>
              </w:rPr>
              <w:t> </w:t>
            </w:r>
          </w:p>
        </w:tc>
        <w:tc>
          <w:tcPr>
            <w:tcW w:w="684" w:type="pct"/>
            <w:tcBorders>
              <w:top w:val="nil"/>
              <w:left w:val="nil"/>
              <w:bottom w:val="nil"/>
              <w:right w:val="single" w:sz="4" w:space="0" w:color="auto"/>
            </w:tcBorders>
            <w:noWrap/>
            <w:vAlign w:val="bottom"/>
            <w:hideMark/>
          </w:tcPr>
          <w:p w14:paraId="37409CAC" w14:textId="77777777" w:rsidR="007A65ED" w:rsidRPr="00D067C4" w:rsidRDefault="007A65ED" w:rsidP="007A65ED">
            <w:pPr>
              <w:jc w:val="right"/>
              <w:rPr>
                <w:color w:val="000000"/>
                <w:sz w:val="14"/>
                <w:szCs w:val="14"/>
                <w:lang w:eastAsia="tr-TR"/>
              </w:rPr>
            </w:pPr>
            <w:r w:rsidRPr="00D067C4">
              <w:rPr>
                <w:color w:val="000000"/>
                <w:sz w:val="14"/>
                <w:szCs w:val="14"/>
                <w:lang w:eastAsia="tr-TR"/>
              </w:rPr>
              <w:t> </w:t>
            </w:r>
          </w:p>
        </w:tc>
      </w:tr>
      <w:tr w:rsidR="007A65ED" w:rsidRPr="00D067C4" w14:paraId="1749A47A" w14:textId="77777777" w:rsidTr="00120C06">
        <w:trPr>
          <w:divId w:val="180094935"/>
          <w:trHeight w:val="113"/>
        </w:trPr>
        <w:tc>
          <w:tcPr>
            <w:tcW w:w="248" w:type="pct"/>
            <w:tcBorders>
              <w:top w:val="nil"/>
              <w:left w:val="single" w:sz="4" w:space="0" w:color="auto"/>
              <w:bottom w:val="nil"/>
              <w:right w:val="nil"/>
            </w:tcBorders>
            <w:hideMark/>
          </w:tcPr>
          <w:p w14:paraId="2C35446C" w14:textId="77777777" w:rsidR="007A65ED" w:rsidRPr="00D067C4" w:rsidRDefault="007A65ED" w:rsidP="007A65ED">
            <w:pPr>
              <w:rPr>
                <w:sz w:val="14"/>
                <w:szCs w:val="14"/>
              </w:rPr>
            </w:pPr>
            <w:r w:rsidRPr="00D067C4">
              <w:rPr>
                <w:sz w:val="14"/>
                <w:szCs w:val="14"/>
              </w:rPr>
              <w:t>2.1</w:t>
            </w:r>
          </w:p>
        </w:tc>
        <w:tc>
          <w:tcPr>
            <w:tcW w:w="3022" w:type="pct"/>
            <w:tcBorders>
              <w:top w:val="nil"/>
              <w:left w:val="nil"/>
              <w:bottom w:val="nil"/>
              <w:right w:val="nil"/>
            </w:tcBorders>
            <w:hideMark/>
          </w:tcPr>
          <w:p w14:paraId="128EA89F" w14:textId="77777777" w:rsidR="007A65ED" w:rsidRPr="00D067C4" w:rsidRDefault="007A65ED" w:rsidP="007A65ED">
            <w:pPr>
              <w:rPr>
                <w:sz w:val="14"/>
                <w:szCs w:val="14"/>
              </w:rPr>
            </w:pPr>
            <w:r w:rsidRPr="00D067C4">
              <w:rPr>
                <w:sz w:val="14"/>
                <w:szCs w:val="14"/>
              </w:rPr>
              <w:t>İktisap Edilen İştirakler, Bağlı Ortaklıklar ve Birlikte Kontrol Edilen Ortaklıklar (İş Ortaklıkları)</w:t>
            </w:r>
          </w:p>
        </w:tc>
        <w:tc>
          <w:tcPr>
            <w:tcW w:w="349" w:type="pct"/>
            <w:tcBorders>
              <w:top w:val="nil"/>
              <w:left w:val="single" w:sz="4" w:space="0" w:color="auto"/>
              <w:bottom w:val="nil"/>
              <w:right w:val="single" w:sz="4" w:space="0" w:color="auto"/>
            </w:tcBorders>
            <w:vAlign w:val="bottom"/>
            <w:hideMark/>
          </w:tcPr>
          <w:p w14:paraId="05E796E2" w14:textId="610BC6D0"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vAlign w:val="center"/>
            <w:hideMark/>
          </w:tcPr>
          <w:p w14:paraId="20941BA5" w14:textId="23DBDA1A" w:rsidR="007A65ED" w:rsidRPr="00D067C4" w:rsidRDefault="007A65ED" w:rsidP="007A65ED">
            <w:pPr>
              <w:jc w:val="right"/>
              <w:rPr>
                <w:sz w:val="14"/>
                <w:szCs w:val="14"/>
                <w:lang w:eastAsia="tr-TR"/>
              </w:rPr>
            </w:pPr>
            <w:r w:rsidRPr="00D067C4">
              <w:rPr>
                <w:sz w:val="14"/>
                <w:szCs w:val="14"/>
              </w:rPr>
              <w:t>(654.000)</w:t>
            </w:r>
          </w:p>
        </w:tc>
        <w:tc>
          <w:tcPr>
            <w:tcW w:w="684" w:type="pct"/>
            <w:tcBorders>
              <w:top w:val="nil"/>
              <w:left w:val="nil"/>
              <w:bottom w:val="nil"/>
              <w:right w:val="single" w:sz="4" w:space="0" w:color="auto"/>
            </w:tcBorders>
            <w:vAlign w:val="bottom"/>
            <w:hideMark/>
          </w:tcPr>
          <w:p w14:paraId="6CF53D9D" w14:textId="77777777" w:rsidR="007A65ED" w:rsidRPr="00D067C4" w:rsidRDefault="007A65ED" w:rsidP="007A65ED">
            <w:pPr>
              <w:jc w:val="right"/>
              <w:rPr>
                <w:color w:val="000000"/>
                <w:sz w:val="14"/>
                <w:szCs w:val="14"/>
                <w:lang w:eastAsia="tr-TR"/>
              </w:rPr>
            </w:pPr>
            <w:r w:rsidRPr="00D067C4">
              <w:rPr>
                <w:color w:val="000000"/>
                <w:sz w:val="14"/>
                <w:szCs w:val="14"/>
                <w:lang w:eastAsia="tr-TR"/>
              </w:rPr>
              <w:t>(1.250)</w:t>
            </w:r>
          </w:p>
        </w:tc>
      </w:tr>
      <w:tr w:rsidR="007A65ED" w:rsidRPr="00D067C4" w14:paraId="18931C2D" w14:textId="77777777" w:rsidTr="00120C06">
        <w:trPr>
          <w:divId w:val="180094935"/>
          <w:trHeight w:val="113"/>
        </w:trPr>
        <w:tc>
          <w:tcPr>
            <w:tcW w:w="248" w:type="pct"/>
            <w:tcBorders>
              <w:top w:val="nil"/>
              <w:left w:val="single" w:sz="4" w:space="0" w:color="auto"/>
              <w:bottom w:val="nil"/>
              <w:right w:val="nil"/>
            </w:tcBorders>
            <w:hideMark/>
          </w:tcPr>
          <w:p w14:paraId="7F379A48" w14:textId="77777777" w:rsidR="007A65ED" w:rsidRPr="00D067C4" w:rsidRDefault="007A65ED" w:rsidP="007A65ED">
            <w:pPr>
              <w:rPr>
                <w:sz w:val="14"/>
                <w:szCs w:val="14"/>
              </w:rPr>
            </w:pPr>
            <w:r w:rsidRPr="00D067C4">
              <w:rPr>
                <w:sz w:val="14"/>
                <w:szCs w:val="14"/>
              </w:rPr>
              <w:t>2.2</w:t>
            </w:r>
          </w:p>
        </w:tc>
        <w:tc>
          <w:tcPr>
            <w:tcW w:w="3022" w:type="pct"/>
            <w:tcBorders>
              <w:top w:val="nil"/>
              <w:left w:val="nil"/>
              <w:bottom w:val="nil"/>
              <w:right w:val="nil"/>
            </w:tcBorders>
            <w:hideMark/>
          </w:tcPr>
          <w:p w14:paraId="1326C4AE" w14:textId="77777777" w:rsidR="007A65ED" w:rsidRPr="00D067C4" w:rsidRDefault="007A65ED" w:rsidP="007A65ED">
            <w:pPr>
              <w:rPr>
                <w:sz w:val="14"/>
                <w:szCs w:val="14"/>
              </w:rPr>
            </w:pPr>
            <w:r w:rsidRPr="00D067C4">
              <w:rPr>
                <w:sz w:val="14"/>
                <w:szCs w:val="14"/>
              </w:rPr>
              <w:t>Elden Çıkarılan İştirakler, Bağlı Ortaklıklar ve Birlikte Kontrol Edilen Ortaklıklar (İş Ortaklıkları)</w:t>
            </w:r>
          </w:p>
        </w:tc>
        <w:tc>
          <w:tcPr>
            <w:tcW w:w="349" w:type="pct"/>
            <w:tcBorders>
              <w:top w:val="nil"/>
              <w:left w:val="single" w:sz="4" w:space="0" w:color="auto"/>
              <w:bottom w:val="nil"/>
              <w:right w:val="single" w:sz="4" w:space="0" w:color="auto"/>
            </w:tcBorders>
            <w:vAlign w:val="bottom"/>
            <w:hideMark/>
          </w:tcPr>
          <w:p w14:paraId="5153F8E3" w14:textId="206FA627"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vAlign w:val="center"/>
            <w:hideMark/>
          </w:tcPr>
          <w:p w14:paraId="1D8006B7" w14:textId="05CA60BA" w:rsidR="007A65ED" w:rsidRPr="00D067C4" w:rsidRDefault="007A65ED" w:rsidP="007A65ED">
            <w:pPr>
              <w:jc w:val="right"/>
              <w:rPr>
                <w:sz w:val="14"/>
                <w:szCs w:val="14"/>
              </w:rPr>
            </w:pPr>
            <w:r w:rsidRPr="00D067C4">
              <w:rPr>
                <w:sz w:val="14"/>
                <w:szCs w:val="14"/>
              </w:rPr>
              <w:t>-</w:t>
            </w:r>
          </w:p>
        </w:tc>
        <w:tc>
          <w:tcPr>
            <w:tcW w:w="684" w:type="pct"/>
            <w:tcBorders>
              <w:top w:val="nil"/>
              <w:left w:val="nil"/>
              <w:bottom w:val="nil"/>
              <w:right w:val="single" w:sz="4" w:space="0" w:color="auto"/>
            </w:tcBorders>
            <w:vAlign w:val="bottom"/>
            <w:hideMark/>
          </w:tcPr>
          <w:p w14:paraId="538E63AF" w14:textId="77777777" w:rsidR="007A65ED" w:rsidRPr="00D067C4" w:rsidRDefault="007A65ED" w:rsidP="007A65ED">
            <w:pPr>
              <w:jc w:val="right"/>
              <w:rPr>
                <w:color w:val="000000"/>
                <w:sz w:val="14"/>
                <w:szCs w:val="14"/>
                <w:lang w:eastAsia="tr-TR"/>
              </w:rPr>
            </w:pPr>
            <w:r w:rsidRPr="00D067C4">
              <w:rPr>
                <w:color w:val="000000"/>
                <w:sz w:val="14"/>
                <w:szCs w:val="14"/>
                <w:lang w:eastAsia="tr-TR"/>
              </w:rPr>
              <w:t>-</w:t>
            </w:r>
          </w:p>
        </w:tc>
      </w:tr>
      <w:tr w:rsidR="007A65ED" w:rsidRPr="00D067C4" w14:paraId="5DED1147" w14:textId="77777777" w:rsidTr="00120C06">
        <w:trPr>
          <w:divId w:val="180094935"/>
          <w:trHeight w:val="113"/>
        </w:trPr>
        <w:tc>
          <w:tcPr>
            <w:tcW w:w="248" w:type="pct"/>
            <w:tcBorders>
              <w:top w:val="nil"/>
              <w:left w:val="single" w:sz="4" w:space="0" w:color="auto"/>
              <w:bottom w:val="nil"/>
              <w:right w:val="nil"/>
            </w:tcBorders>
            <w:hideMark/>
          </w:tcPr>
          <w:p w14:paraId="5EAC9787" w14:textId="77777777" w:rsidR="007A65ED" w:rsidRPr="00D067C4" w:rsidRDefault="007A65ED" w:rsidP="007A65ED">
            <w:pPr>
              <w:rPr>
                <w:sz w:val="14"/>
                <w:szCs w:val="14"/>
              </w:rPr>
            </w:pPr>
            <w:r w:rsidRPr="00D067C4">
              <w:rPr>
                <w:sz w:val="14"/>
                <w:szCs w:val="14"/>
              </w:rPr>
              <w:t>2.3</w:t>
            </w:r>
          </w:p>
        </w:tc>
        <w:tc>
          <w:tcPr>
            <w:tcW w:w="3022" w:type="pct"/>
            <w:tcBorders>
              <w:top w:val="nil"/>
              <w:left w:val="nil"/>
              <w:bottom w:val="nil"/>
              <w:right w:val="nil"/>
            </w:tcBorders>
            <w:hideMark/>
          </w:tcPr>
          <w:p w14:paraId="1E3E0431" w14:textId="77777777" w:rsidR="007A65ED" w:rsidRPr="00D067C4" w:rsidRDefault="007A65ED" w:rsidP="007A65ED">
            <w:pPr>
              <w:rPr>
                <w:sz w:val="14"/>
                <w:szCs w:val="14"/>
              </w:rPr>
            </w:pPr>
            <w:r w:rsidRPr="00D067C4">
              <w:rPr>
                <w:sz w:val="14"/>
                <w:szCs w:val="14"/>
              </w:rPr>
              <w:t>Satın Alınan Menkul ve Gayrimenkuller</w:t>
            </w:r>
          </w:p>
        </w:tc>
        <w:tc>
          <w:tcPr>
            <w:tcW w:w="349" w:type="pct"/>
            <w:tcBorders>
              <w:top w:val="nil"/>
              <w:left w:val="single" w:sz="4" w:space="0" w:color="auto"/>
              <w:bottom w:val="nil"/>
              <w:right w:val="single" w:sz="4" w:space="0" w:color="auto"/>
            </w:tcBorders>
            <w:vAlign w:val="bottom"/>
            <w:hideMark/>
          </w:tcPr>
          <w:p w14:paraId="4C337FBA" w14:textId="72E627A7"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vAlign w:val="center"/>
            <w:hideMark/>
          </w:tcPr>
          <w:p w14:paraId="6EB7D7B0" w14:textId="1423FC5F" w:rsidR="007A65ED" w:rsidRPr="00D067C4" w:rsidRDefault="007A65ED" w:rsidP="007A65ED">
            <w:pPr>
              <w:jc w:val="right"/>
              <w:rPr>
                <w:sz w:val="14"/>
                <w:szCs w:val="14"/>
                <w:lang w:eastAsia="tr-TR"/>
              </w:rPr>
            </w:pPr>
            <w:r w:rsidRPr="00D067C4">
              <w:rPr>
                <w:sz w:val="14"/>
                <w:szCs w:val="14"/>
              </w:rPr>
              <w:t>(602.682)</w:t>
            </w:r>
          </w:p>
        </w:tc>
        <w:tc>
          <w:tcPr>
            <w:tcW w:w="684" w:type="pct"/>
            <w:tcBorders>
              <w:top w:val="nil"/>
              <w:left w:val="nil"/>
              <w:bottom w:val="nil"/>
              <w:right w:val="single" w:sz="4" w:space="0" w:color="auto"/>
            </w:tcBorders>
            <w:vAlign w:val="bottom"/>
            <w:hideMark/>
          </w:tcPr>
          <w:p w14:paraId="1DDA61F7" w14:textId="77777777" w:rsidR="007A65ED" w:rsidRPr="00D067C4" w:rsidRDefault="007A65ED" w:rsidP="007A65ED">
            <w:pPr>
              <w:jc w:val="right"/>
              <w:rPr>
                <w:color w:val="000000"/>
                <w:sz w:val="14"/>
                <w:szCs w:val="14"/>
                <w:lang w:eastAsia="tr-TR"/>
              </w:rPr>
            </w:pPr>
            <w:r w:rsidRPr="00D067C4">
              <w:rPr>
                <w:color w:val="000000"/>
                <w:sz w:val="14"/>
                <w:szCs w:val="14"/>
                <w:lang w:eastAsia="tr-TR"/>
              </w:rPr>
              <w:t>(716.273)</w:t>
            </w:r>
          </w:p>
        </w:tc>
      </w:tr>
      <w:tr w:rsidR="007A65ED" w:rsidRPr="00D067C4" w14:paraId="055E2D5B" w14:textId="77777777" w:rsidTr="00120C06">
        <w:trPr>
          <w:divId w:val="180094935"/>
          <w:trHeight w:val="113"/>
        </w:trPr>
        <w:tc>
          <w:tcPr>
            <w:tcW w:w="248" w:type="pct"/>
            <w:tcBorders>
              <w:top w:val="nil"/>
              <w:left w:val="single" w:sz="4" w:space="0" w:color="auto"/>
              <w:bottom w:val="nil"/>
              <w:right w:val="nil"/>
            </w:tcBorders>
            <w:hideMark/>
          </w:tcPr>
          <w:p w14:paraId="6ABCB4BF" w14:textId="77777777" w:rsidR="007A65ED" w:rsidRPr="00D067C4" w:rsidRDefault="007A65ED" w:rsidP="007A65ED">
            <w:pPr>
              <w:rPr>
                <w:sz w:val="14"/>
                <w:szCs w:val="14"/>
              </w:rPr>
            </w:pPr>
            <w:r w:rsidRPr="00D067C4">
              <w:rPr>
                <w:sz w:val="14"/>
                <w:szCs w:val="14"/>
              </w:rPr>
              <w:t>2.4</w:t>
            </w:r>
          </w:p>
        </w:tc>
        <w:tc>
          <w:tcPr>
            <w:tcW w:w="3022" w:type="pct"/>
            <w:tcBorders>
              <w:top w:val="nil"/>
              <w:left w:val="nil"/>
              <w:bottom w:val="nil"/>
              <w:right w:val="nil"/>
            </w:tcBorders>
            <w:hideMark/>
          </w:tcPr>
          <w:p w14:paraId="646EE910" w14:textId="77777777" w:rsidR="007A65ED" w:rsidRPr="00D067C4" w:rsidRDefault="007A65ED" w:rsidP="007A65ED">
            <w:pPr>
              <w:rPr>
                <w:sz w:val="14"/>
                <w:szCs w:val="14"/>
              </w:rPr>
            </w:pPr>
            <w:r w:rsidRPr="00D067C4">
              <w:rPr>
                <w:sz w:val="14"/>
                <w:szCs w:val="14"/>
              </w:rPr>
              <w:t>Elden Çıkarılan Menkul ve Gayrimenkuller</w:t>
            </w:r>
          </w:p>
        </w:tc>
        <w:tc>
          <w:tcPr>
            <w:tcW w:w="349" w:type="pct"/>
            <w:tcBorders>
              <w:top w:val="nil"/>
              <w:left w:val="single" w:sz="4" w:space="0" w:color="auto"/>
              <w:bottom w:val="nil"/>
              <w:right w:val="single" w:sz="4" w:space="0" w:color="auto"/>
            </w:tcBorders>
            <w:vAlign w:val="bottom"/>
            <w:hideMark/>
          </w:tcPr>
          <w:p w14:paraId="0DEFF750" w14:textId="531DBAE7"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vAlign w:val="center"/>
            <w:hideMark/>
          </w:tcPr>
          <w:p w14:paraId="49EF6C23" w14:textId="578ED86B" w:rsidR="007A65ED" w:rsidRPr="00D067C4" w:rsidRDefault="007A65ED" w:rsidP="007A65ED">
            <w:pPr>
              <w:jc w:val="right"/>
              <w:rPr>
                <w:sz w:val="14"/>
                <w:szCs w:val="14"/>
              </w:rPr>
            </w:pPr>
            <w:r w:rsidRPr="00D067C4">
              <w:rPr>
                <w:sz w:val="14"/>
                <w:szCs w:val="14"/>
              </w:rPr>
              <w:t>-</w:t>
            </w:r>
          </w:p>
        </w:tc>
        <w:tc>
          <w:tcPr>
            <w:tcW w:w="684" w:type="pct"/>
            <w:tcBorders>
              <w:top w:val="nil"/>
              <w:left w:val="nil"/>
              <w:bottom w:val="nil"/>
              <w:right w:val="single" w:sz="4" w:space="0" w:color="auto"/>
            </w:tcBorders>
            <w:vAlign w:val="bottom"/>
            <w:hideMark/>
          </w:tcPr>
          <w:p w14:paraId="01145DC6" w14:textId="77777777" w:rsidR="007A65ED" w:rsidRPr="00D067C4" w:rsidRDefault="007A65ED" w:rsidP="007A65ED">
            <w:pPr>
              <w:jc w:val="right"/>
              <w:rPr>
                <w:color w:val="000000"/>
                <w:sz w:val="14"/>
                <w:szCs w:val="14"/>
                <w:lang w:eastAsia="tr-TR"/>
              </w:rPr>
            </w:pPr>
            <w:r w:rsidRPr="00D067C4">
              <w:rPr>
                <w:color w:val="000000"/>
                <w:sz w:val="14"/>
                <w:szCs w:val="14"/>
                <w:lang w:eastAsia="tr-TR"/>
              </w:rPr>
              <w:t>-</w:t>
            </w:r>
          </w:p>
        </w:tc>
      </w:tr>
      <w:tr w:rsidR="007A65ED" w:rsidRPr="00D067C4" w14:paraId="190879C4" w14:textId="77777777" w:rsidTr="00120C06">
        <w:trPr>
          <w:divId w:val="180094935"/>
          <w:trHeight w:val="113"/>
        </w:trPr>
        <w:tc>
          <w:tcPr>
            <w:tcW w:w="248" w:type="pct"/>
            <w:tcBorders>
              <w:top w:val="nil"/>
              <w:left w:val="single" w:sz="4" w:space="0" w:color="auto"/>
              <w:bottom w:val="nil"/>
              <w:right w:val="nil"/>
            </w:tcBorders>
            <w:hideMark/>
          </w:tcPr>
          <w:p w14:paraId="08FEA6EC" w14:textId="77777777" w:rsidR="007A65ED" w:rsidRPr="00D067C4" w:rsidRDefault="007A65ED" w:rsidP="007A65ED">
            <w:pPr>
              <w:rPr>
                <w:sz w:val="14"/>
                <w:szCs w:val="14"/>
              </w:rPr>
            </w:pPr>
            <w:r w:rsidRPr="00D067C4">
              <w:rPr>
                <w:sz w:val="14"/>
                <w:szCs w:val="14"/>
              </w:rPr>
              <w:t>2.5</w:t>
            </w:r>
          </w:p>
        </w:tc>
        <w:tc>
          <w:tcPr>
            <w:tcW w:w="3022" w:type="pct"/>
            <w:tcBorders>
              <w:top w:val="nil"/>
              <w:left w:val="nil"/>
              <w:bottom w:val="nil"/>
              <w:right w:val="nil"/>
            </w:tcBorders>
            <w:hideMark/>
          </w:tcPr>
          <w:p w14:paraId="2C5666D0" w14:textId="77777777" w:rsidR="007A65ED" w:rsidRPr="00D067C4" w:rsidRDefault="007A65ED" w:rsidP="007A65ED">
            <w:pPr>
              <w:rPr>
                <w:sz w:val="14"/>
                <w:szCs w:val="14"/>
              </w:rPr>
            </w:pPr>
            <w:r w:rsidRPr="00D067C4">
              <w:rPr>
                <w:sz w:val="14"/>
                <w:szCs w:val="14"/>
              </w:rPr>
              <w:t>Elde Edilen Gerçeğe Uygun Değer Farkı Diğer Kapsamlı Gelire Yansıtılan Finansal Varlıklar</w:t>
            </w:r>
          </w:p>
        </w:tc>
        <w:tc>
          <w:tcPr>
            <w:tcW w:w="349" w:type="pct"/>
            <w:tcBorders>
              <w:top w:val="nil"/>
              <w:left w:val="single" w:sz="4" w:space="0" w:color="auto"/>
              <w:bottom w:val="nil"/>
              <w:right w:val="single" w:sz="4" w:space="0" w:color="auto"/>
            </w:tcBorders>
            <w:vAlign w:val="bottom"/>
            <w:hideMark/>
          </w:tcPr>
          <w:p w14:paraId="09B3012E" w14:textId="01ACE0CD"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vAlign w:val="center"/>
            <w:hideMark/>
          </w:tcPr>
          <w:p w14:paraId="3340EF91" w14:textId="1D97C9D9" w:rsidR="007A65ED" w:rsidRPr="00D067C4" w:rsidRDefault="007A65ED" w:rsidP="007A65ED">
            <w:pPr>
              <w:jc w:val="right"/>
              <w:rPr>
                <w:sz w:val="14"/>
                <w:szCs w:val="14"/>
                <w:lang w:eastAsia="tr-TR"/>
              </w:rPr>
            </w:pPr>
            <w:r w:rsidRPr="00D067C4">
              <w:rPr>
                <w:sz w:val="14"/>
                <w:szCs w:val="14"/>
              </w:rPr>
              <w:t>(4.471.690)</w:t>
            </w:r>
          </w:p>
        </w:tc>
        <w:tc>
          <w:tcPr>
            <w:tcW w:w="684" w:type="pct"/>
            <w:tcBorders>
              <w:top w:val="nil"/>
              <w:left w:val="nil"/>
              <w:bottom w:val="nil"/>
              <w:right w:val="single" w:sz="4" w:space="0" w:color="auto"/>
            </w:tcBorders>
            <w:vAlign w:val="bottom"/>
            <w:hideMark/>
          </w:tcPr>
          <w:p w14:paraId="5D336DCF" w14:textId="77777777" w:rsidR="007A65ED" w:rsidRPr="00D067C4" w:rsidRDefault="007A65ED" w:rsidP="007A65ED">
            <w:pPr>
              <w:jc w:val="right"/>
              <w:rPr>
                <w:color w:val="000000"/>
                <w:sz w:val="14"/>
                <w:szCs w:val="14"/>
                <w:lang w:eastAsia="tr-TR"/>
              </w:rPr>
            </w:pPr>
            <w:r w:rsidRPr="00D067C4">
              <w:rPr>
                <w:color w:val="000000"/>
                <w:sz w:val="14"/>
                <w:szCs w:val="14"/>
                <w:lang w:eastAsia="tr-TR"/>
              </w:rPr>
              <w:t>(881.192)</w:t>
            </w:r>
          </w:p>
        </w:tc>
      </w:tr>
      <w:tr w:rsidR="007A65ED" w:rsidRPr="00D067C4" w14:paraId="633E24C6" w14:textId="77777777" w:rsidTr="00120C06">
        <w:trPr>
          <w:divId w:val="180094935"/>
          <w:trHeight w:val="113"/>
        </w:trPr>
        <w:tc>
          <w:tcPr>
            <w:tcW w:w="248" w:type="pct"/>
            <w:tcBorders>
              <w:top w:val="nil"/>
              <w:left w:val="single" w:sz="4" w:space="0" w:color="auto"/>
              <w:bottom w:val="nil"/>
              <w:right w:val="nil"/>
            </w:tcBorders>
            <w:hideMark/>
          </w:tcPr>
          <w:p w14:paraId="75340654" w14:textId="77777777" w:rsidR="007A65ED" w:rsidRPr="00D067C4" w:rsidRDefault="007A65ED" w:rsidP="007A65ED">
            <w:pPr>
              <w:rPr>
                <w:sz w:val="14"/>
                <w:szCs w:val="14"/>
              </w:rPr>
            </w:pPr>
            <w:r w:rsidRPr="00D067C4">
              <w:rPr>
                <w:sz w:val="14"/>
                <w:szCs w:val="14"/>
              </w:rPr>
              <w:t>2.6</w:t>
            </w:r>
          </w:p>
        </w:tc>
        <w:tc>
          <w:tcPr>
            <w:tcW w:w="3022" w:type="pct"/>
            <w:tcBorders>
              <w:top w:val="nil"/>
              <w:left w:val="nil"/>
              <w:bottom w:val="nil"/>
              <w:right w:val="nil"/>
            </w:tcBorders>
            <w:hideMark/>
          </w:tcPr>
          <w:p w14:paraId="67E3B235" w14:textId="77777777" w:rsidR="007A65ED" w:rsidRPr="00D067C4" w:rsidRDefault="007A65ED" w:rsidP="007A65ED">
            <w:pPr>
              <w:rPr>
                <w:sz w:val="14"/>
                <w:szCs w:val="14"/>
              </w:rPr>
            </w:pPr>
            <w:r w:rsidRPr="00D067C4">
              <w:rPr>
                <w:sz w:val="14"/>
                <w:szCs w:val="14"/>
              </w:rPr>
              <w:t>Elden Çıkarılan Gerçeğe Uygun Değer Farkı Diğer Kapsamlı Gelire Yansıtılan Finansal Varlıklar</w:t>
            </w:r>
          </w:p>
        </w:tc>
        <w:tc>
          <w:tcPr>
            <w:tcW w:w="349" w:type="pct"/>
            <w:tcBorders>
              <w:top w:val="nil"/>
              <w:left w:val="single" w:sz="4" w:space="0" w:color="auto"/>
              <w:bottom w:val="nil"/>
              <w:right w:val="single" w:sz="4" w:space="0" w:color="auto"/>
            </w:tcBorders>
            <w:vAlign w:val="bottom"/>
            <w:hideMark/>
          </w:tcPr>
          <w:p w14:paraId="25389876" w14:textId="7F9E67CF"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vAlign w:val="center"/>
            <w:hideMark/>
          </w:tcPr>
          <w:p w14:paraId="073DAE5A" w14:textId="7605933C" w:rsidR="007A65ED" w:rsidRPr="00D067C4" w:rsidRDefault="007A65ED" w:rsidP="007A65ED">
            <w:pPr>
              <w:jc w:val="right"/>
              <w:rPr>
                <w:sz w:val="14"/>
                <w:szCs w:val="14"/>
              </w:rPr>
            </w:pPr>
            <w:r w:rsidRPr="00D067C4">
              <w:rPr>
                <w:sz w:val="14"/>
                <w:szCs w:val="14"/>
              </w:rPr>
              <w:t>334.147</w:t>
            </w:r>
          </w:p>
        </w:tc>
        <w:tc>
          <w:tcPr>
            <w:tcW w:w="684" w:type="pct"/>
            <w:tcBorders>
              <w:top w:val="nil"/>
              <w:left w:val="nil"/>
              <w:bottom w:val="nil"/>
              <w:right w:val="single" w:sz="4" w:space="0" w:color="auto"/>
            </w:tcBorders>
            <w:vAlign w:val="bottom"/>
            <w:hideMark/>
          </w:tcPr>
          <w:p w14:paraId="6456711C" w14:textId="77777777" w:rsidR="007A65ED" w:rsidRPr="00D067C4" w:rsidRDefault="007A65ED" w:rsidP="007A65ED">
            <w:pPr>
              <w:jc w:val="right"/>
              <w:rPr>
                <w:color w:val="000000"/>
                <w:sz w:val="14"/>
                <w:szCs w:val="14"/>
                <w:lang w:eastAsia="tr-TR"/>
              </w:rPr>
            </w:pPr>
            <w:r w:rsidRPr="00D067C4">
              <w:rPr>
                <w:color w:val="000000"/>
                <w:sz w:val="14"/>
                <w:szCs w:val="14"/>
                <w:lang w:eastAsia="tr-TR"/>
              </w:rPr>
              <w:t>-</w:t>
            </w:r>
          </w:p>
        </w:tc>
      </w:tr>
      <w:tr w:rsidR="007A65ED" w:rsidRPr="00D067C4" w14:paraId="1DC52BAE" w14:textId="77777777" w:rsidTr="00120C06">
        <w:trPr>
          <w:divId w:val="180094935"/>
          <w:trHeight w:val="113"/>
        </w:trPr>
        <w:tc>
          <w:tcPr>
            <w:tcW w:w="248" w:type="pct"/>
            <w:tcBorders>
              <w:top w:val="nil"/>
              <w:left w:val="single" w:sz="4" w:space="0" w:color="auto"/>
              <w:bottom w:val="nil"/>
              <w:right w:val="nil"/>
            </w:tcBorders>
            <w:hideMark/>
          </w:tcPr>
          <w:p w14:paraId="6215A575" w14:textId="77777777" w:rsidR="007A65ED" w:rsidRPr="00D067C4" w:rsidRDefault="007A65ED" w:rsidP="007A65ED">
            <w:pPr>
              <w:rPr>
                <w:sz w:val="14"/>
                <w:szCs w:val="14"/>
              </w:rPr>
            </w:pPr>
            <w:r w:rsidRPr="00D067C4">
              <w:rPr>
                <w:sz w:val="14"/>
                <w:szCs w:val="14"/>
              </w:rPr>
              <w:t>2.7</w:t>
            </w:r>
          </w:p>
        </w:tc>
        <w:tc>
          <w:tcPr>
            <w:tcW w:w="3022" w:type="pct"/>
            <w:tcBorders>
              <w:top w:val="nil"/>
              <w:left w:val="nil"/>
              <w:bottom w:val="nil"/>
              <w:right w:val="nil"/>
            </w:tcBorders>
            <w:hideMark/>
          </w:tcPr>
          <w:p w14:paraId="73795810" w14:textId="77777777" w:rsidR="007A65ED" w:rsidRPr="00D067C4" w:rsidRDefault="007A65ED" w:rsidP="007A65ED">
            <w:pPr>
              <w:rPr>
                <w:sz w:val="14"/>
                <w:szCs w:val="14"/>
              </w:rPr>
            </w:pPr>
            <w:r w:rsidRPr="00D067C4">
              <w:rPr>
                <w:sz w:val="14"/>
                <w:szCs w:val="14"/>
              </w:rPr>
              <w:t>Satın Alınan İtfa Edilmiş Maliyeti ile Ölçülen Finansal Varlıklar</w:t>
            </w:r>
          </w:p>
        </w:tc>
        <w:tc>
          <w:tcPr>
            <w:tcW w:w="349" w:type="pct"/>
            <w:tcBorders>
              <w:top w:val="nil"/>
              <w:left w:val="single" w:sz="4" w:space="0" w:color="auto"/>
              <w:bottom w:val="nil"/>
              <w:right w:val="single" w:sz="4" w:space="0" w:color="auto"/>
            </w:tcBorders>
            <w:vAlign w:val="bottom"/>
            <w:hideMark/>
          </w:tcPr>
          <w:p w14:paraId="1134407F" w14:textId="7F78E5A6" w:rsidR="007A65ED" w:rsidRPr="00D067C4" w:rsidRDefault="007A65ED" w:rsidP="007A65ED">
            <w:pPr>
              <w:jc w:val="center"/>
              <w:rPr>
                <w:sz w:val="14"/>
                <w:szCs w:val="14"/>
              </w:rPr>
            </w:pPr>
            <w:r w:rsidRPr="00872D7E">
              <w:rPr>
                <w:sz w:val="14"/>
                <w:szCs w:val="14"/>
              </w:rPr>
              <w:t>(V-I-4</w:t>
            </w:r>
            <w:r w:rsidRPr="00872D7E">
              <w:rPr>
                <w:sz w:val="14"/>
                <w:szCs w:val="14"/>
                <w:lang w:eastAsia="tr-TR"/>
              </w:rPr>
              <w:t>)</w:t>
            </w:r>
          </w:p>
        </w:tc>
        <w:tc>
          <w:tcPr>
            <w:tcW w:w="697" w:type="pct"/>
            <w:tcBorders>
              <w:top w:val="nil"/>
              <w:left w:val="nil"/>
              <w:bottom w:val="nil"/>
              <w:right w:val="single" w:sz="4" w:space="0" w:color="auto"/>
            </w:tcBorders>
            <w:vAlign w:val="center"/>
            <w:hideMark/>
          </w:tcPr>
          <w:p w14:paraId="1C9B0428" w14:textId="2A69258A" w:rsidR="007A65ED" w:rsidRPr="00D067C4" w:rsidRDefault="007A65ED" w:rsidP="007A65ED">
            <w:pPr>
              <w:jc w:val="right"/>
              <w:rPr>
                <w:sz w:val="14"/>
                <w:szCs w:val="14"/>
                <w:lang w:eastAsia="tr-TR"/>
              </w:rPr>
            </w:pPr>
            <w:r w:rsidRPr="00D067C4">
              <w:rPr>
                <w:sz w:val="14"/>
                <w:szCs w:val="14"/>
              </w:rPr>
              <w:t>(340.575)</w:t>
            </w:r>
          </w:p>
        </w:tc>
        <w:tc>
          <w:tcPr>
            <w:tcW w:w="684" w:type="pct"/>
            <w:tcBorders>
              <w:top w:val="nil"/>
              <w:left w:val="nil"/>
              <w:bottom w:val="nil"/>
              <w:right w:val="single" w:sz="4" w:space="0" w:color="auto"/>
            </w:tcBorders>
            <w:vAlign w:val="bottom"/>
            <w:hideMark/>
          </w:tcPr>
          <w:p w14:paraId="01FB38F8" w14:textId="77777777" w:rsidR="007A65ED" w:rsidRPr="00D067C4" w:rsidRDefault="007A65ED" w:rsidP="007A65ED">
            <w:pPr>
              <w:jc w:val="right"/>
              <w:rPr>
                <w:color w:val="000000"/>
                <w:sz w:val="14"/>
                <w:szCs w:val="14"/>
                <w:lang w:eastAsia="tr-TR"/>
              </w:rPr>
            </w:pPr>
            <w:r w:rsidRPr="00D067C4">
              <w:rPr>
                <w:color w:val="000000"/>
                <w:sz w:val="14"/>
                <w:szCs w:val="14"/>
                <w:lang w:eastAsia="tr-TR"/>
              </w:rPr>
              <w:t>(367.601)</w:t>
            </w:r>
          </w:p>
        </w:tc>
      </w:tr>
      <w:tr w:rsidR="007A65ED" w:rsidRPr="00D067C4" w14:paraId="78A51565" w14:textId="77777777" w:rsidTr="00120C06">
        <w:trPr>
          <w:divId w:val="180094935"/>
          <w:trHeight w:val="113"/>
        </w:trPr>
        <w:tc>
          <w:tcPr>
            <w:tcW w:w="248" w:type="pct"/>
            <w:tcBorders>
              <w:top w:val="nil"/>
              <w:left w:val="single" w:sz="4" w:space="0" w:color="auto"/>
              <w:bottom w:val="nil"/>
              <w:right w:val="nil"/>
            </w:tcBorders>
            <w:hideMark/>
          </w:tcPr>
          <w:p w14:paraId="302984C9" w14:textId="77777777" w:rsidR="007A65ED" w:rsidRPr="00D067C4" w:rsidRDefault="007A65ED" w:rsidP="007A65ED">
            <w:pPr>
              <w:rPr>
                <w:sz w:val="14"/>
                <w:szCs w:val="14"/>
              </w:rPr>
            </w:pPr>
            <w:r w:rsidRPr="00D067C4">
              <w:rPr>
                <w:sz w:val="14"/>
                <w:szCs w:val="14"/>
              </w:rPr>
              <w:t>2.8</w:t>
            </w:r>
          </w:p>
        </w:tc>
        <w:tc>
          <w:tcPr>
            <w:tcW w:w="3022" w:type="pct"/>
            <w:tcBorders>
              <w:top w:val="nil"/>
              <w:left w:val="nil"/>
              <w:bottom w:val="nil"/>
              <w:right w:val="nil"/>
            </w:tcBorders>
            <w:hideMark/>
          </w:tcPr>
          <w:p w14:paraId="43D7E3F1" w14:textId="77777777" w:rsidR="007A65ED" w:rsidRPr="00D067C4" w:rsidRDefault="007A65ED" w:rsidP="007A65ED">
            <w:pPr>
              <w:rPr>
                <w:sz w:val="14"/>
                <w:szCs w:val="14"/>
              </w:rPr>
            </w:pPr>
            <w:r w:rsidRPr="00D067C4">
              <w:rPr>
                <w:sz w:val="14"/>
                <w:szCs w:val="14"/>
              </w:rPr>
              <w:t>Satılan İtfa Edilmiş Maliyeti ile Ölçülen Finansal Varlıklar</w:t>
            </w:r>
          </w:p>
        </w:tc>
        <w:tc>
          <w:tcPr>
            <w:tcW w:w="349" w:type="pct"/>
            <w:tcBorders>
              <w:top w:val="nil"/>
              <w:left w:val="single" w:sz="4" w:space="0" w:color="auto"/>
              <w:bottom w:val="nil"/>
              <w:right w:val="single" w:sz="4" w:space="0" w:color="auto"/>
            </w:tcBorders>
            <w:vAlign w:val="bottom"/>
            <w:hideMark/>
          </w:tcPr>
          <w:p w14:paraId="4C5074FC" w14:textId="4986F551"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vAlign w:val="center"/>
            <w:hideMark/>
          </w:tcPr>
          <w:p w14:paraId="45A4B89F" w14:textId="7607741F" w:rsidR="007A65ED" w:rsidRPr="00D067C4" w:rsidRDefault="007A65ED" w:rsidP="007A65ED">
            <w:pPr>
              <w:jc w:val="right"/>
              <w:rPr>
                <w:sz w:val="14"/>
                <w:szCs w:val="14"/>
              </w:rPr>
            </w:pPr>
            <w:r w:rsidRPr="00D067C4">
              <w:rPr>
                <w:sz w:val="14"/>
                <w:szCs w:val="14"/>
              </w:rPr>
              <w:t>-</w:t>
            </w:r>
          </w:p>
        </w:tc>
        <w:tc>
          <w:tcPr>
            <w:tcW w:w="684" w:type="pct"/>
            <w:tcBorders>
              <w:top w:val="nil"/>
              <w:left w:val="nil"/>
              <w:bottom w:val="nil"/>
              <w:right w:val="single" w:sz="4" w:space="0" w:color="auto"/>
            </w:tcBorders>
            <w:vAlign w:val="bottom"/>
            <w:hideMark/>
          </w:tcPr>
          <w:p w14:paraId="5B4B73C4" w14:textId="77777777" w:rsidR="007A65ED" w:rsidRPr="00D067C4" w:rsidRDefault="007A65ED" w:rsidP="007A65ED">
            <w:pPr>
              <w:jc w:val="right"/>
              <w:rPr>
                <w:color w:val="000000"/>
                <w:sz w:val="14"/>
                <w:szCs w:val="14"/>
                <w:lang w:eastAsia="tr-TR"/>
              </w:rPr>
            </w:pPr>
            <w:r w:rsidRPr="00D067C4">
              <w:rPr>
                <w:color w:val="000000"/>
                <w:sz w:val="14"/>
                <w:szCs w:val="14"/>
                <w:lang w:eastAsia="tr-TR"/>
              </w:rPr>
              <w:t>-</w:t>
            </w:r>
          </w:p>
        </w:tc>
      </w:tr>
      <w:tr w:rsidR="007A65ED" w:rsidRPr="00D067C4" w14:paraId="5DB70CE9" w14:textId="77777777" w:rsidTr="00120C06">
        <w:trPr>
          <w:divId w:val="180094935"/>
          <w:trHeight w:val="113"/>
        </w:trPr>
        <w:tc>
          <w:tcPr>
            <w:tcW w:w="248" w:type="pct"/>
            <w:tcBorders>
              <w:top w:val="nil"/>
              <w:left w:val="single" w:sz="4" w:space="0" w:color="auto"/>
              <w:bottom w:val="nil"/>
              <w:right w:val="nil"/>
            </w:tcBorders>
            <w:hideMark/>
          </w:tcPr>
          <w:p w14:paraId="7032B2CF" w14:textId="77777777" w:rsidR="007A65ED" w:rsidRPr="00D067C4" w:rsidRDefault="007A65ED" w:rsidP="007A65ED">
            <w:pPr>
              <w:rPr>
                <w:sz w:val="14"/>
                <w:szCs w:val="14"/>
              </w:rPr>
            </w:pPr>
            <w:r w:rsidRPr="00D067C4">
              <w:rPr>
                <w:sz w:val="14"/>
                <w:szCs w:val="14"/>
              </w:rPr>
              <w:t>2.9</w:t>
            </w:r>
          </w:p>
        </w:tc>
        <w:tc>
          <w:tcPr>
            <w:tcW w:w="3022" w:type="pct"/>
            <w:tcBorders>
              <w:top w:val="nil"/>
              <w:left w:val="nil"/>
              <w:bottom w:val="nil"/>
              <w:right w:val="nil"/>
            </w:tcBorders>
            <w:hideMark/>
          </w:tcPr>
          <w:p w14:paraId="6402976C" w14:textId="77777777" w:rsidR="007A65ED" w:rsidRPr="00D067C4" w:rsidRDefault="007A65ED" w:rsidP="007A65ED">
            <w:pPr>
              <w:rPr>
                <w:sz w:val="14"/>
                <w:szCs w:val="14"/>
              </w:rPr>
            </w:pPr>
            <w:r w:rsidRPr="00D067C4">
              <w:rPr>
                <w:sz w:val="14"/>
                <w:szCs w:val="14"/>
              </w:rPr>
              <w:t>Diğer</w:t>
            </w:r>
          </w:p>
        </w:tc>
        <w:tc>
          <w:tcPr>
            <w:tcW w:w="349" w:type="pct"/>
            <w:tcBorders>
              <w:top w:val="nil"/>
              <w:left w:val="single" w:sz="4" w:space="0" w:color="auto"/>
              <w:bottom w:val="nil"/>
              <w:right w:val="single" w:sz="4" w:space="0" w:color="auto"/>
            </w:tcBorders>
            <w:vAlign w:val="bottom"/>
            <w:hideMark/>
          </w:tcPr>
          <w:p w14:paraId="5277FD8C" w14:textId="534DD454"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vAlign w:val="center"/>
            <w:hideMark/>
          </w:tcPr>
          <w:p w14:paraId="6046D29A" w14:textId="4519A7B5" w:rsidR="007A65ED" w:rsidRPr="00D067C4" w:rsidRDefault="007A65ED" w:rsidP="007A65ED">
            <w:pPr>
              <w:jc w:val="right"/>
              <w:rPr>
                <w:sz w:val="14"/>
                <w:szCs w:val="14"/>
              </w:rPr>
            </w:pPr>
            <w:r w:rsidRPr="00D067C4">
              <w:rPr>
                <w:sz w:val="14"/>
                <w:szCs w:val="14"/>
              </w:rPr>
              <w:t>-</w:t>
            </w:r>
          </w:p>
        </w:tc>
        <w:tc>
          <w:tcPr>
            <w:tcW w:w="684" w:type="pct"/>
            <w:tcBorders>
              <w:top w:val="nil"/>
              <w:left w:val="nil"/>
              <w:bottom w:val="nil"/>
              <w:right w:val="single" w:sz="4" w:space="0" w:color="auto"/>
            </w:tcBorders>
            <w:vAlign w:val="bottom"/>
            <w:hideMark/>
          </w:tcPr>
          <w:p w14:paraId="180A499F" w14:textId="77777777" w:rsidR="007A65ED" w:rsidRPr="00D067C4" w:rsidRDefault="007A65ED" w:rsidP="007A65ED">
            <w:pPr>
              <w:jc w:val="right"/>
              <w:rPr>
                <w:color w:val="000000"/>
                <w:sz w:val="14"/>
                <w:szCs w:val="14"/>
                <w:lang w:eastAsia="tr-TR"/>
              </w:rPr>
            </w:pPr>
            <w:r w:rsidRPr="00D067C4">
              <w:rPr>
                <w:color w:val="000000"/>
                <w:sz w:val="14"/>
                <w:szCs w:val="14"/>
                <w:lang w:eastAsia="tr-TR"/>
              </w:rPr>
              <w:t>-</w:t>
            </w:r>
          </w:p>
        </w:tc>
      </w:tr>
      <w:tr w:rsidR="007A65ED" w:rsidRPr="00D067C4" w14:paraId="58108B97" w14:textId="77777777" w:rsidTr="00120C06">
        <w:trPr>
          <w:divId w:val="180094935"/>
          <w:trHeight w:val="113"/>
        </w:trPr>
        <w:tc>
          <w:tcPr>
            <w:tcW w:w="248" w:type="pct"/>
            <w:tcBorders>
              <w:top w:val="nil"/>
              <w:left w:val="single" w:sz="4" w:space="0" w:color="auto"/>
              <w:bottom w:val="nil"/>
              <w:right w:val="nil"/>
            </w:tcBorders>
            <w:hideMark/>
          </w:tcPr>
          <w:p w14:paraId="527730AB" w14:textId="77777777" w:rsidR="007A65ED" w:rsidRPr="00D067C4" w:rsidRDefault="007A65ED" w:rsidP="007A65ED">
            <w:pPr>
              <w:rPr>
                <w:b/>
                <w:bCs/>
                <w:sz w:val="14"/>
                <w:szCs w:val="14"/>
              </w:rPr>
            </w:pPr>
            <w:r w:rsidRPr="00D067C4">
              <w:rPr>
                <w:b/>
                <w:bCs/>
                <w:sz w:val="14"/>
                <w:szCs w:val="14"/>
              </w:rPr>
              <w:t> </w:t>
            </w:r>
          </w:p>
        </w:tc>
        <w:tc>
          <w:tcPr>
            <w:tcW w:w="3022" w:type="pct"/>
            <w:tcBorders>
              <w:top w:val="nil"/>
              <w:left w:val="nil"/>
              <w:bottom w:val="nil"/>
              <w:right w:val="nil"/>
            </w:tcBorders>
            <w:hideMark/>
          </w:tcPr>
          <w:p w14:paraId="4192EAC9" w14:textId="77777777" w:rsidR="007A65ED" w:rsidRPr="00D067C4" w:rsidRDefault="007A65ED" w:rsidP="007A65ED">
            <w:pPr>
              <w:rPr>
                <w:b/>
                <w:bCs/>
                <w:sz w:val="14"/>
                <w:szCs w:val="14"/>
              </w:rPr>
            </w:pPr>
          </w:p>
        </w:tc>
        <w:tc>
          <w:tcPr>
            <w:tcW w:w="349" w:type="pct"/>
            <w:tcBorders>
              <w:top w:val="nil"/>
              <w:left w:val="single" w:sz="4" w:space="0" w:color="auto"/>
              <w:bottom w:val="nil"/>
              <w:right w:val="single" w:sz="4" w:space="0" w:color="auto"/>
            </w:tcBorders>
            <w:vAlign w:val="bottom"/>
            <w:hideMark/>
          </w:tcPr>
          <w:p w14:paraId="3C45F29E" w14:textId="4588E25B" w:rsidR="007A65ED" w:rsidRPr="00D067C4" w:rsidRDefault="007A65ED" w:rsidP="007A65ED">
            <w:pPr>
              <w:jc w:val="center"/>
              <w:rPr>
                <w:b/>
                <w:bCs/>
                <w:sz w:val="14"/>
                <w:szCs w:val="14"/>
              </w:rPr>
            </w:pPr>
            <w:r w:rsidRPr="00872D7E">
              <w:rPr>
                <w:b/>
                <w:bCs/>
                <w:sz w:val="14"/>
                <w:szCs w:val="14"/>
              </w:rPr>
              <w:t> </w:t>
            </w:r>
          </w:p>
        </w:tc>
        <w:tc>
          <w:tcPr>
            <w:tcW w:w="697" w:type="pct"/>
            <w:tcBorders>
              <w:top w:val="nil"/>
              <w:left w:val="nil"/>
              <w:bottom w:val="nil"/>
              <w:right w:val="single" w:sz="4" w:space="0" w:color="auto"/>
            </w:tcBorders>
            <w:noWrap/>
            <w:vAlign w:val="center"/>
            <w:hideMark/>
          </w:tcPr>
          <w:p w14:paraId="627969D1" w14:textId="3289C755" w:rsidR="007A65ED" w:rsidRPr="00D067C4" w:rsidRDefault="007A65ED" w:rsidP="007A65ED">
            <w:pPr>
              <w:jc w:val="right"/>
              <w:rPr>
                <w:sz w:val="14"/>
                <w:szCs w:val="14"/>
              </w:rPr>
            </w:pPr>
            <w:r w:rsidRPr="00D067C4">
              <w:rPr>
                <w:sz w:val="14"/>
                <w:szCs w:val="14"/>
              </w:rPr>
              <w:t> </w:t>
            </w:r>
          </w:p>
        </w:tc>
        <w:tc>
          <w:tcPr>
            <w:tcW w:w="684" w:type="pct"/>
            <w:tcBorders>
              <w:top w:val="nil"/>
              <w:left w:val="nil"/>
              <w:bottom w:val="nil"/>
              <w:right w:val="single" w:sz="4" w:space="0" w:color="auto"/>
            </w:tcBorders>
            <w:noWrap/>
            <w:vAlign w:val="bottom"/>
            <w:hideMark/>
          </w:tcPr>
          <w:p w14:paraId="66DD6FA2" w14:textId="77777777" w:rsidR="007A65ED" w:rsidRPr="00D067C4" w:rsidRDefault="007A65ED" w:rsidP="007A65ED">
            <w:pPr>
              <w:jc w:val="right"/>
              <w:rPr>
                <w:color w:val="000000"/>
                <w:sz w:val="14"/>
                <w:szCs w:val="14"/>
                <w:lang w:eastAsia="tr-TR"/>
              </w:rPr>
            </w:pPr>
            <w:r w:rsidRPr="00D067C4">
              <w:rPr>
                <w:color w:val="000000"/>
                <w:sz w:val="14"/>
                <w:szCs w:val="14"/>
                <w:lang w:eastAsia="tr-TR"/>
              </w:rPr>
              <w:t> </w:t>
            </w:r>
          </w:p>
        </w:tc>
      </w:tr>
      <w:tr w:rsidR="007A65ED" w:rsidRPr="00D067C4" w14:paraId="293E95CE" w14:textId="77777777" w:rsidTr="00120C06">
        <w:trPr>
          <w:divId w:val="180094935"/>
          <w:trHeight w:val="113"/>
        </w:trPr>
        <w:tc>
          <w:tcPr>
            <w:tcW w:w="248" w:type="pct"/>
            <w:tcBorders>
              <w:top w:val="nil"/>
              <w:left w:val="single" w:sz="4" w:space="0" w:color="auto"/>
              <w:bottom w:val="nil"/>
              <w:right w:val="nil"/>
            </w:tcBorders>
            <w:hideMark/>
          </w:tcPr>
          <w:p w14:paraId="0DC815B9" w14:textId="77777777" w:rsidR="007A65ED" w:rsidRPr="00D067C4" w:rsidRDefault="007A65ED" w:rsidP="007A65ED">
            <w:pPr>
              <w:rPr>
                <w:b/>
                <w:bCs/>
                <w:sz w:val="14"/>
                <w:szCs w:val="14"/>
              </w:rPr>
            </w:pPr>
            <w:r w:rsidRPr="00D067C4">
              <w:rPr>
                <w:b/>
                <w:bCs/>
                <w:sz w:val="14"/>
                <w:szCs w:val="14"/>
              </w:rPr>
              <w:t>C.</w:t>
            </w:r>
          </w:p>
        </w:tc>
        <w:tc>
          <w:tcPr>
            <w:tcW w:w="3022" w:type="pct"/>
            <w:tcBorders>
              <w:top w:val="nil"/>
              <w:left w:val="nil"/>
              <w:bottom w:val="nil"/>
              <w:right w:val="nil"/>
            </w:tcBorders>
            <w:hideMark/>
          </w:tcPr>
          <w:p w14:paraId="4FF602F8" w14:textId="77777777" w:rsidR="007A65ED" w:rsidRPr="00D067C4" w:rsidRDefault="007A65ED" w:rsidP="007A65ED">
            <w:pPr>
              <w:rPr>
                <w:b/>
                <w:bCs/>
                <w:sz w:val="14"/>
                <w:szCs w:val="14"/>
              </w:rPr>
            </w:pPr>
            <w:r w:rsidRPr="00D067C4">
              <w:rPr>
                <w:b/>
                <w:bCs/>
                <w:sz w:val="14"/>
                <w:szCs w:val="14"/>
              </w:rPr>
              <w:t>FİNANSMAN FAALİYETLERİNE İLİŞKİN NAKİT AKIŞLARI</w:t>
            </w:r>
          </w:p>
        </w:tc>
        <w:tc>
          <w:tcPr>
            <w:tcW w:w="349" w:type="pct"/>
            <w:tcBorders>
              <w:top w:val="nil"/>
              <w:left w:val="single" w:sz="4" w:space="0" w:color="auto"/>
              <w:bottom w:val="nil"/>
              <w:right w:val="single" w:sz="4" w:space="0" w:color="auto"/>
            </w:tcBorders>
            <w:vAlign w:val="bottom"/>
            <w:hideMark/>
          </w:tcPr>
          <w:p w14:paraId="2BDCB6BE" w14:textId="29DFAC54" w:rsidR="007A65ED" w:rsidRPr="00D067C4" w:rsidRDefault="007A65ED" w:rsidP="007A65ED">
            <w:pPr>
              <w:jc w:val="center"/>
              <w:rPr>
                <w:b/>
                <w:bCs/>
                <w:sz w:val="14"/>
                <w:szCs w:val="14"/>
              </w:rPr>
            </w:pPr>
            <w:r w:rsidRPr="00872D7E">
              <w:rPr>
                <w:b/>
                <w:bCs/>
                <w:sz w:val="14"/>
                <w:szCs w:val="14"/>
              </w:rPr>
              <w:t> </w:t>
            </w:r>
          </w:p>
        </w:tc>
        <w:tc>
          <w:tcPr>
            <w:tcW w:w="697" w:type="pct"/>
            <w:tcBorders>
              <w:top w:val="nil"/>
              <w:left w:val="nil"/>
              <w:bottom w:val="nil"/>
              <w:right w:val="single" w:sz="4" w:space="0" w:color="auto"/>
            </w:tcBorders>
            <w:noWrap/>
            <w:vAlign w:val="center"/>
            <w:hideMark/>
          </w:tcPr>
          <w:p w14:paraId="4D5B57E9" w14:textId="1B2FAB4A" w:rsidR="007A65ED" w:rsidRPr="00D067C4" w:rsidRDefault="007A65ED" w:rsidP="007A65ED">
            <w:pPr>
              <w:jc w:val="right"/>
              <w:rPr>
                <w:sz w:val="14"/>
                <w:szCs w:val="14"/>
              </w:rPr>
            </w:pPr>
            <w:r w:rsidRPr="00D067C4">
              <w:rPr>
                <w:sz w:val="14"/>
                <w:szCs w:val="14"/>
              </w:rPr>
              <w:t>-</w:t>
            </w:r>
          </w:p>
        </w:tc>
        <w:tc>
          <w:tcPr>
            <w:tcW w:w="684" w:type="pct"/>
            <w:tcBorders>
              <w:top w:val="nil"/>
              <w:left w:val="nil"/>
              <w:bottom w:val="nil"/>
              <w:right w:val="single" w:sz="4" w:space="0" w:color="auto"/>
            </w:tcBorders>
            <w:noWrap/>
            <w:vAlign w:val="bottom"/>
            <w:hideMark/>
          </w:tcPr>
          <w:p w14:paraId="44486B06" w14:textId="77777777" w:rsidR="007A65ED" w:rsidRPr="00D067C4" w:rsidRDefault="007A65ED" w:rsidP="007A65ED">
            <w:pPr>
              <w:jc w:val="right"/>
              <w:rPr>
                <w:color w:val="000000"/>
                <w:sz w:val="14"/>
                <w:szCs w:val="14"/>
                <w:lang w:eastAsia="tr-TR"/>
              </w:rPr>
            </w:pPr>
            <w:r w:rsidRPr="00D067C4">
              <w:rPr>
                <w:color w:val="000000"/>
                <w:sz w:val="14"/>
                <w:szCs w:val="14"/>
                <w:lang w:eastAsia="tr-TR"/>
              </w:rPr>
              <w:t> </w:t>
            </w:r>
          </w:p>
        </w:tc>
      </w:tr>
      <w:tr w:rsidR="007A65ED" w:rsidRPr="00D067C4" w14:paraId="0AC54CBD" w14:textId="77777777" w:rsidTr="00120C06">
        <w:trPr>
          <w:divId w:val="180094935"/>
          <w:trHeight w:val="113"/>
        </w:trPr>
        <w:tc>
          <w:tcPr>
            <w:tcW w:w="248" w:type="pct"/>
            <w:tcBorders>
              <w:top w:val="nil"/>
              <w:left w:val="single" w:sz="4" w:space="0" w:color="auto"/>
              <w:bottom w:val="nil"/>
              <w:right w:val="nil"/>
            </w:tcBorders>
            <w:hideMark/>
          </w:tcPr>
          <w:p w14:paraId="6105C465" w14:textId="77777777" w:rsidR="007A65ED" w:rsidRPr="00D067C4" w:rsidRDefault="007A65ED" w:rsidP="007A65ED">
            <w:pPr>
              <w:rPr>
                <w:b/>
                <w:bCs/>
                <w:sz w:val="14"/>
                <w:szCs w:val="14"/>
              </w:rPr>
            </w:pPr>
            <w:r w:rsidRPr="00D067C4">
              <w:rPr>
                <w:b/>
                <w:bCs/>
                <w:sz w:val="14"/>
                <w:szCs w:val="14"/>
              </w:rPr>
              <w:t> </w:t>
            </w:r>
          </w:p>
        </w:tc>
        <w:tc>
          <w:tcPr>
            <w:tcW w:w="3022" w:type="pct"/>
            <w:tcBorders>
              <w:top w:val="nil"/>
              <w:left w:val="nil"/>
              <w:bottom w:val="nil"/>
              <w:right w:val="nil"/>
            </w:tcBorders>
            <w:hideMark/>
          </w:tcPr>
          <w:p w14:paraId="354C3840" w14:textId="77777777" w:rsidR="007A65ED" w:rsidRPr="00D067C4" w:rsidRDefault="007A65ED" w:rsidP="007A65ED">
            <w:pPr>
              <w:rPr>
                <w:b/>
                <w:bCs/>
                <w:sz w:val="14"/>
                <w:szCs w:val="14"/>
              </w:rPr>
            </w:pPr>
          </w:p>
        </w:tc>
        <w:tc>
          <w:tcPr>
            <w:tcW w:w="349" w:type="pct"/>
            <w:tcBorders>
              <w:top w:val="nil"/>
              <w:left w:val="single" w:sz="4" w:space="0" w:color="auto"/>
              <w:bottom w:val="nil"/>
              <w:right w:val="single" w:sz="4" w:space="0" w:color="auto"/>
            </w:tcBorders>
            <w:vAlign w:val="bottom"/>
            <w:hideMark/>
          </w:tcPr>
          <w:p w14:paraId="4816B5C2" w14:textId="0E870845" w:rsidR="007A65ED" w:rsidRPr="00D067C4" w:rsidRDefault="007A65ED" w:rsidP="007A65ED">
            <w:pPr>
              <w:jc w:val="center"/>
              <w:rPr>
                <w:b/>
                <w:bCs/>
                <w:sz w:val="14"/>
                <w:szCs w:val="14"/>
              </w:rPr>
            </w:pPr>
            <w:r w:rsidRPr="00872D7E">
              <w:rPr>
                <w:b/>
                <w:bCs/>
                <w:sz w:val="14"/>
                <w:szCs w:val="14"/>
              </w:rPr>
              <w:t> </w:t>
            </w:r>
          </w:p>
        </w:tc>
        <w:tc>
          <w:tcPr>
            <w:tcW w:w="697" w:type="pct"/>
            <w:tcBorders>
              <w:top w:val="nil"/>
              <w:left w:val="nil"/>
              <w:bottom w:val="nil"/>
              <w:right w:val="single" w:sz="4" w:space="0" w:color="auto"/>
            </w:tcBorders>
            <w:noWrap/>
            <w:vAlign w:val="center"/>
            <w:hideMark/>
          </w:tcPr>
          <w:p w14:paraId="2A47AA65" w14:textId="1D5832B4" w:rsidR="007A65ED" w:rsidRPr="00D067C4" w:rsidRDefault="007A65ED" w:rsidP="007A65ED">
            <w:pPr>
              <w:jc w:val="right"/>
              <w:rPr>
                <w:sz w:val="14"/>
                <w:szCs w:val="14"/>
              </w:rPr>
            </w:pPr>
            <w:r w:rsidRPr="00D067C4">
              <w:rPr>
                <w:sz w:val="14"/>
                <w:szCs w:val="14"/>
              </w:rPr>
              <w:t> </w:t>
            </w:r>
          </w:p>
        </w:tc>
        <w:tc>
          <w:tcPr>
            <w:tcW w:w="684" w:type="pct"/>
            <w:tcBorders>
              <w:top w:val="nil"/>
              <w:left w:val="nil"/>
              <w:bottom w:val="nil"/>
              <w:right w:val="single" w:sz="4" w:space="0" w:color="auto"/>
            </w:tcBorders>
            <w:noWrap/>
            <w:vAlign w:val="bottom"/>
            <w:hideMark/>
          </w:tcPr>
          <w:p w14:paraId="1A60B325" w14:textId="77777777" w:rsidR="007A65ED" w:rsidRPr="00D067C4" w:rsidRDefault="007A65ED" w:rsidP="007A65ED">
            <w:pPr>
              <w:jc w:val="right"/>
              <w:rPr>
                <w:color w:val="000000"/>
                <w:sz w:val="14"/>
                <w:szCs w:val="14"/>
                <w:lang w:eastAsia="tr-TR"/>
              </w:rPr>
            </w:pPr>
            <w:r w:rsidRPr="00D067C4">
              <w:rPr>
                <w:color w:val="000000"/>
                <w:sz w:val="14"/>
                <w:szCs w:val="14"/>
                <w:lang w:eastAsia="tr-TR"/>
              </w:rPr>
              <w:t> </w:t>
            </w:r>
          </w:p>
        </w:tc>
      </w:tr>
      <w:tr w:rsidR="007A65ED" w:rsidRPr="00D067C4" w14:paraId="5962D9FE" w14:textId="77777777" w:rsidTr="00120C06">
        <w:trPr>
          <w:divId w:val="180094935"/>
          <w:trHeight w:val="113"/>
        </w:trPr>
        <w:tc>
          <w:tcPr>
            <w:tcW w:w="248" w:type="pct"/>
            <w:tcBorders>
              <w:top w:val="nil"/>
              <w:left w:val="single" w:sz="4" w:space="0" w:color="auto"/>
              <w:bottom w:val="nil"/>
              <w:right w:val="nil"/>
            </w:tcBorders>
            <w:hideMark/>
          </w:tcPr>
          <w:p w14:paraId="4E1DAE46" w14:textId="77777777" w:rsidR="007A65ED" w:rsidRPr="00D067C4" w:rsidRDefault="007A65ED" w:rsidP="007A65ED">
            <w:pPr>
              <w:rPr>
                <w:b/>
                <w:bCs/>
                <w:sz w:val="14"/>
                <w:szCs w:val="14"/>
              </w:rPr>
            </w:pPr>
            <w:r w:rsidRPr="00D067C4">
              <w:rPr>
                <w:b/>
                <w:bCs/>
                <w:sz w:val="14"/>
                <w:szCs w:val="14"/>
              </w:rPr>
              <w:t>III.</w:t>
            </w:r>
          </w:p>
        </w:tc>
        <w:tc>
          <w:tcPr>
            <w:tcW w:w="3022" w:type="pct"/>
            <w:tcBorders>
              <w:top w:val="nil"/>
              <w:left w:val="nil"/>
              <w:bottom w:val="nil"/>
              <w:right w:val="nil"/>
            </w:tcBorders>
            <w:hideMark/>
          </w:tcPr>
          <w:p w14:paraId="63B3956F" w14:textId="77777777" w:rsidR="007A65ED" w:rsidRPr="00D067C4" w:rsidRDefault="007A65ED" w:rsidP="007A65ED">
            <w:pPr>
              <w:rPr>
                <w:b/>
                <w:bCs/>
                <w:sz w:val="14"/>
                <w:szCs w:val="14"/>
              </w:rPr>
            </w:pPr>
            <w:r w:rsidRPr="00D067C4">
              <w:rPr>
                <w:b/>
                <w:bCs/>
                <w:sz w:val="14"/>
                <w:szCs w:val="14"/>
              </w:rPr>
              <w:t>Finansman Faaliyetlerinden Sağlanan Net Nakit</w:t>
            </w:r>
          </w:p>
        </w:tc>
        <w:tc>
          <w:tcPr>
            <w:tcW w:w="349" w:type="pct"/>
            <w:tcBorders>
              <w:top w:val="nil"/>
              <w:left w:val="single" w:sz="4" w:space="0" w:color="auto"/>
              <w:bottom w:val="nil"/>
              <w:right w:val="single" w:sz="4" w:space="0" w:color="auto"/>
            </w:tcBorders>
            <w:vAlign w:val="bottom"/>
            <w:hideMark/>
          </w:tcPr>
          <w:p w14:paraId="7B78B3A3" w14:textId="7202EC79" w:rsidR="007A65ED" w:rsidRPr="00D067C4" w:rsidRDefault="007A65ED" w:rsidP="007A65ED">
            <w:pPr>
              <w:jc w:val="center"/>
              <w:rPr>
                <w:b/>
                <w:bCs/>
                <w:sz w:val="14"/>
                <w:szCs w:val="14"/>
              </w:rPr>
            </w:pPr>
            <w:r w:rsidRPr="00872D7E">
              <w:rPr>
                <w:b/>
                <w:bCs/>
                <w:sz w:val="14"/>
                <w:szCs w:val="14"/>
              </w:rPr>
              <w:t> </w:t>
            </w:r>
          </w:p>
        </w:tc>
        <w:tc>
          <w:tcPr>
            <w:tcW w:w="697" w:type="pct"/>
            <w:tcBorders>
              <w:top w:val="nil"/>
              <w:left w:val="nil"/>
              <w:bottom w:val="nil"/>
              <w:right w:val="single" w:sz="4" w:space="0" w:color="auto"/>
            </w:tcBorders>
            <w:vAlign w:val="center"/>
            <w:hideMark/>
          </w:tcPr>
          <w:p w14:paraId="60907F21" w14:textId="52E9A191" w:rsidR="007A65ED" w:rsidRPr="00D067C4" w:rsidRDefault="007A65ED" w:rsidP="007A65ED">
            <w:pPr>
              <w:jc w:val="right"/>
              <w:rPr>
                <w:b/>
                <w:bCs/>
                <w:sz w:val="14"/>
                <w:szCs w:val="14"/>
                <w:lang w:eastAsia="tr-TR"/>
              </w:rPr>
            </w:pPr>
            <w:r w:rsidRPr="00D067C4">
              <w:rPr>
                <w:b/>
                <w:bCs/>
                <w:sz w:val="14"/>
                <w:szCs w:val="14"/>
              </w:rPr>
              <w:t>(211.442)</w:t>
            </w:r>
          </w:p>
        </w:tc>
        <w:tc>
          <w:tcPr>
            <w:tcW w:w="684" w:type="pct"/>
            <w:tcBorders>
              <w:top w:val="nil"/>
              <w:left w:val="nil"/>
              <w:bottom w:val="nil"/>
              <w:right w:val="single" w:sz="4" w:space="0" w:color="auto"/>
            </w:tcBorders>
            <w:vAlign w:val="bottom"/>
            <w:hideMark/>
          </w:tcPr>
          <w:p w14:paraId="226A0C34" w14:textId="77777777" w:rsidR="007A65ED" w:rsidRPr="00D067C4" w:rsidRDefault="007A65ED" w:rsidP="007A65ED">
            <w:pPr>
              <w:jc w:val="right"/>
              <w:rPr>
                <w:b/>
                <w:bCs/>
                <w:color w:val="000000"/>
                <w:sz w:val="14"/>
                <w:szCs w:val="14"/>
                <w:lang w:eastAsia="tr-TR"/>
              </w:rPr>
            </w:pPr>
            <w:r w:rsidRPr="00D067C4">
              <w:rPr>
                <w:b/>
                <w:bCs/>
                <w:color w:val="000000"/>
                <w:sz w:val="14"/>
                <w:szCs w:val="14"/>
                <w:lang w:eastAsia="tr-TR"/>
              </w:rPr>
              <w:t>7.796.453</w:t>
            </w:r>
          </w:p>
        </w:tc>
      </w:tr>
      <w:tr w:rsidR="007A65ED" w:rsidRPr="00D067C4" w14:paraId="2B54FAA8" w14:textId="77777777" w:rsidTr="00120C06">
        <w:trPr>
          <w:divId w:val="180094935"/>
          <w:trHeight w:val="113"/>
        </w:trPr>
        <w:tc>
          <w:tcPr>
            <w:tcW w:w="248" w:type="pct"/>
            <w:tcBorders>
              <w:top w:val="nil"/>
              <w:left w:val="single" w:sz="4" w:space="0" w:color="auto"/>
              <w:bottom w:val="nil"/>
              <w:right w:val="nil"/>
            </w:tcBorders>
            <w:hideMark/>
          </w:tcPr>
          <w:p w14:paraId="4051BA78" w14:textId="77777777" w:rsidR="007A65ED" w:rsidRPr="00D067C4" w:rsidRDefault="007A65ED" w:rsidP="007A65ED">
            <w:pPr>
              <w:rPr>
                <w:b/>
                <w:bCs/>
                <w:sz w:val="14"/>
                <w:szCs w:val="14"/>
              </w:rPr>
            </w:pPr>
            <w:r w:rsidRPr="00D067C4">
              <w:rPr>
                <w:b/>
                <w:bCs/>
                <w:sz w:val="14"/>
                <w:szCs w:val="14"/>
              </w:rPr>
              <w:t> </w:t>
            </w:r>
          </w:p>
        </w:tc>
        <w:tc>
          <w:tcPr>
            <w:tcW w:w="3022" w:type="pct"/>
            <w:tcBorders>
              <w:top w:val="nil"/>
              <w:left w:val="nil"/>
              <w:bottom w:val="nil"/>
              <w:right w:val="nil"/>
            </w:tcBorders>
            <w:hideMark/>
          </w:tcPr>
          <w:p w14:paraId="1A6B553A" w14:textId="77777777" w:rsidR="007A65ED" w:rsidRPr="00D067C4" w:rsidRDefault="007A65ED" w:rsidP="007A65ED">
            <w:pPr>
              <w:rPr>
                <w:b/>
                <w:bCs/>
                <w:sz w:val="14"/>
                <w:szCs w:val="14"/>
              </w:rPr>
            </w:pPr>
          </w:p>
        </w:tc>
        <w:tc>
          <w:tcPr>
            <w:tcW w:w="349" w:type="pct"/>
            <w:tcBorders>
              <w:top w:val="nil"/>
              <w:left w:val="single" w:sz="4" w:space="0" w:color="auto"/>
              <w:bottom w:val="nil"/>
              <w:right w:val="single" w:sz="4" w:space="0" w:color="auto"/>
            </w:tcBorders>
            <w:vAlign w:val="bottom"/>
            <w:hideMark/>
          </w:tcPr>
          <w:p w14:paraId="22B15E6D" w14:textId="512FC818"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noWrap/>
            <w:vAlign w:val="center"/>
            <w:hideMark/>
          </w:tcPr>
          <w:p w14:paraId="09803299" w14:textId="4F534B56" w:rsidR="007A65ED" w:rsidRPr="00D067C4" w:rsidRDefault="007A65ED" w:rsidP="007A65ED">
            <w:pPr>
              <w:jc w:val="right"/>
              <w:rPr>
                <w:sz w:val="14"/>
                <w:szCs w:val="14"/>
              </w:rPr>
            </w:pPr>
            <w:r w:rsidRPr="00D067C4">
              <w:rPr>
                <w:sz w:val="14"/>
                <w:szCs w:val="14"/>
              </w:rPr>
              <w:t> </w:t>
            </w:r>
          </w:p>
        </w:tc>
        <w:tc>
          <w:tcPr>
            <w:tcW w:w="684" w:type="pct"/>
            <w:tcBorders>
              <w:top w:val="nil"/>
              <w:left w:val="nil"/>
              <w:bottom w:val="nil"/>
              <w:right w:val="single" w:sz="4" w:space="0" w:color="auto"/>
            </w:tcBorders>
            <w:noWrap/>
            <w:vAlign w:val="bottom"/>
            <w:hideMark/>
          </w:tcPr>
          <w:p w14:paraId="1621D780" w14:textId="77777777" w:rsidR="007A65ED" w:rsidRPr="00D067C4" w:rsidRDefault="007A65ED" w:rsidP="007A65ED">
            <w:pPr>
              <w:jc w:val="right"/>
              <w:rPr>
                <w:color w:val="000000"/>
                <w:sz w:val="14"/>
                <w:szCs w:val="14"/>
                <w:lang w:eastAsia="tr-TR"/>
              </w:rPr>
            </w:pPr>
            <w:r w:rsidRPr="00D067C4">
              <w:rPr>
                <w:color w:val="000000"/>
                <w:sz w:val="14"/>
                <w:szCs w:val="14"/>
                <w:lang w:eastAsia="tr-TR"/>
              </w:rPr>
              <w:t> </w:t>
            </w:r>
          </w:p>
        </w:tc>
      </w:tr>
      <w:tr w:rsidR="007A65ED" w:rsidRPr="00D067C4" w14:paraId="39A2385A" w14:textId="77777777" w:rsidTr="00120C06">
        <w:trPr>
          <w:divId w:val="180094935"/>
          <w:trHeight w:val="113"/>
        </w:trPr>
        <w:tc>
          <w:tcPr>
            <w:tcW w:w="248" w:type="pct"/>
            <w:tcBorders>
              <w:top w:val="nil"/>
              <w:left w:val="single" w:sz="4" w:space="0" w:color="auto"/>
              <w:bottom w:val="nil"/>
              <w:right w:val="nil"/>
            </w:tcBorders>
            <w:hideMark/>
          </w:tcPr>
          <w:p w14:paraId="7620B880" w14:textId="77777777" w:rsidR="007A65ED" w:rsidRPr="00D067C4" w:rsidRDefault="007A65ED" w:rsidP="007A65ED">
            <w:pPr>
              <w:rPr>
                <w:sz w:val="14"/>
                <w:szCs w:val="14"/>
              </w:rPr>
            </w:pPr>
            <w:r w:rsidRPr="00D067C4">
              <w:rPr>
                <w:sz w:val="14"/>
                <w:szCs w:val="14"/>
              </w:rPr>
              <w:t>3.1</w:t>
            </w:r>
          </w:p>
        </w:tc>
        <w:tc>
          <w:tcPr>
            <w:tcW w:w="3022" w:type="pct"/>
            <w:tcBorders>
              <w:top w:val="nil"/>
              <w:left w:val="nil"/>
              <w:bottom w:val="nil"/>
              <w:right w:val="nil"/>
            </w:tcBorders>
            <w:hideMark/>
          </w:tcPr>
          <w:p w14:paraId="6052EC8D" w14:textId="77777777" w:rsidR="007A65ED" w:rsidRPr="00D067C4" w:rsidRDefault="007A65ED" w:rsidP="007A65ED">
            <w:pPr>
              <w:rPr>
                <w:sz w:val="14"/>
                <w:szCs w:val="14"/>
              </w:rPr>
            </w:pPr>
            <w:r w:rsidRPr="00D067C4">
              <w:rPr>
                <w:sz w:val="14"/>
                <w:szCs w:val="14"/>
              </w:rPr>
              <w:t>Krediler ve İhraç Edilen Menkul Değerlerden Sağlanan Nakit</w:t>
            </w:r>
          </w:p>
        </w:tc>
        <w:tc>
          <w:tcPr>
            <w:tcW w:w="349" w:type="pct"/>
            <w:tcBorders>
              <w:top w:val="nil"/>
              <w:left w:val="single" w:sz="4" w:space="0" w:color="auto"/>
              <w:bottom w:val="nil"/>
              <w:right w:val="single" w:sz="4" w:space="0" w:color="auto"/>
            </w:tcBorders>
            <w:vAlign w:val="bottom"/>
            <w:hideMark/>
          </w:tcPr>
          <w:p w14:paraId="6849C658" w14:textId="1FBAA009"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vAlign w:val="center"/>
            <w:hideMark/>
          </w:tcPr>
          <w:p w14:paraId="714B1819" w14:textId="0316CDF7" w:rsidR="007A65ED" w:rsidRPr="00D067C4" w:rsidRDefault="007A65ED" w:rsidP="007A65ED">
            <w:pPr>
              <w:jc w:val="right"/>
              <w:rPr>
                <w:sz w:val="14"/>
                <w:szCs w:val="14"/>
              </w:rPr>
            </w:pPr>
            <w:r w:rsidRPr="00D067C4">
              <w:rPr>
                <w:sz w:val="14"/>
                <w:szCs w:val="14"/>
              </w:rPr>
              <w:t>-</w:t>
            </w:r>
          </w:p>
        </w:tc>
        <w:tc>
          <w:tcPr>
            <w:tcW w:w="684" w:type="pct"/>
            <w:tcBorders>
              <w:top w:val="nil"/>
              <w:left w:val="nil"/>
              <w:bottom w:val="nil"/>
              <w:right w:val="single" w:sz="4" w:space="0" w:color="auto"/>
            </w:tcBorders>
            <w:vAlign w:val="bottom"/>
            <w:hideMark/>
          </w:tcPr>
          <w:p w14:paraId="68E87A21" w14:textId="77777777" w:rsidR="007A65ED" w:rsidRPr="00D067C4" w:rsidRDefault="007A65ED" w:rsidP="007A65ED">
            <w:pPr>
              <w:jc w:val="right"/>
              <w:rPr>
                <w:color w:val="000000"/>
                <w:sz w:val="14"/>
                <w:szCs w:val="14"/>
                <w:lang w:eastAsia="tr-TR"/>
              </w:rPr>
            </w:pPr>
            <w:r w:rsidRPr="00D067C4">
              <w:rPr>
                <w:color w:val="000000"/>
                <w:sz w:val="14"/>
                <w:szCs w:val="14"/>
                <w:lang w:eastAsia="tr-TR"/>
              </w:rPr>
              <w:t>5.379.625</w:t>
            </w:r>
          </w:p>
        </w:tc>
      </w:tr>
      <w:tr w:rsidR="007A65ED" w:rsidRPr="00D067C4" w14:paraId="26B9E8A1" w14:textId="77777777" w:rsidTr="00120C06">
        <w:trPr>
          <w:divId w:val="180094935"/>
          <w:trHeight w:val="113"/>
        </w:trPr>
        <w:tc>
          <w:tcPr>
            <w:tcW w:w="248" w:type="pct"/>
            <w:tcBorders>
              <w:top w:val="nil"/>
              <w:left w:val="single" w:sz="4" w:space="0" w:color="auto"/>
              <w:bottom w:val="nil"/>
              <w:right w:val="nil"/>
            </w:tcBorders>
            <w:hideMark/>
          </w:tcPr>
          <w:p w14:paraId="1F58B1E9" w14:textId="77777777" w:rsidR="007A65ED" w:rsidRPr="00D067C4" w:rsidRDefault="007A65ED" w:rsidP="007A65ED">
            <w:pPr>
              <w:rPr>
                <w:sz w:val="14"/>
                <w:szCs w:val="14"/>
              </w:rPr>
            </w:pPr>
            <w:r w:rsidRPr="00D067C4">
              <w:rPr>
                <w:sz w:val="14"/>
                <w:szCs w:val="14"/>
              </w:rPr>
              <w:t>3.2</w:t>
            </w:r>
          </w:p>
        </w:tc>
        <w:tc>
          <w:tcPr>
            <w:tcW w:w="3022" w:type="pct"/>
            <w:tcBorders>
              <w:top w:val="nil"/>
              <w:left w:val="nil"/>
              <w:bottom w:val="nil"/>
              <w:right w:val="nil"/>
            </w:tcBorders>
            <w:hideMark/>
          </w:tcPr>
          <w:p w14:paraId="28ADE9A0" w14:textId="77777777" w:rsidR="007A65ED" w:rsidRPr="00D067C4" w:rsidRDefault="007A65ED" w:rsidP="007A65ED">
            <w:pPr>
              <w:rPr>
                <w:sz w:val="14"/>
                <w:szCs w:val="14"/>
              </w:rPr>
            </w:pPr>
            <w:r w:rsidRPr="00D067C4">
              <w:rPr>
                <w:sz w:val="14"/>
                <w:szCs w:val="14"/>
              </w:rPr>
              <w:t>Krediler ve İhraç Edilen Menkul Değerlerden Kaynaklanan Nakit Çıkışı</w:t>
            </w:r>
          </w:p>
        </w:tc>
        <w:tc>
          <w:tcPr>
            <w:tcW w:w="349" w:type="pct"/>
            <w:tcBorders>
              <w:top w:val="nil"/>
              <w:left w:val="single" w:sz="4" w:space="0" w:color="auto"/>
              <w:bottom w:val="nil"/>
              <w:right w:val="single" w:sz="4" w:space="0" w:color="auto"/>
            </w:tcBorders>
            <w:vAlign w:val="bottom"/>
            <w:hideMark/>
          </w:tcPr>
          <w:p w14:paraId="32E85885" w14:textId="18E113F9"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vAlign w:val="center"/>
            <w:hideMark/>
          </w:tcPr>
          <w:p w14:paraId="1698C567" w14:textId="14124179" w:rsidR="007A65ED" w:rsidRPr="00D067C4" w:rsidRDefault="007A65ED" w:rsidP="007A65ED">
            <w:pPr>
              <w:jc w:val="right"/>
              <w:rPr>
                <w:sz w:val="14"/>
                <w:szCs w:val="14"/>
              </w:rPr>
            </w:pPr>
            <w:r w:rsidRPr="00D067C4">
              <w:rPr>
                <w:sz w:val="14"/>
                <w:szCs w:val="14"/>
              </w:rPr>
              <w:t>-</w:t>
            </w:r>
          </w:p>
        </w:tc>
        <w:tc>
          <w:tcPr>
            <w:tcW w:w="684" w:type="pct"/>
            <w:tcBorders>
              <w:top w:val="nil"/>
              <w:left w:val="nil"/>
              <w:bottom w:val="nil"/>
              <w:right w:val="single" w:sz="4" w:space="0" w:color="auto"/>
            </w:tcBorders>
            <w:vAlign w:val="bottom"/>
            <w:hideMark/>
          </w:tcPr>
          <w:p w14:paraId="7DD9C726" w14:textId="77777777" w:rsidR="007A65ED" w:rsidRPr="00D067C4" w:rsidRDefault="007A65ED" w:rsidP="007A65ED">
            <w:pPr>
              <w:jc w:val="right"/>
              <w:rPr>
                <w:color w:val="000000"/>
                <w:sz w:val="14"/>
                <w:szCs w:val="14"/>
                <w:lang w:eastAsia="tr-TR"/>
              </w:rPr>
            </w:pPr>
            <w:r w:rsidRPr="00D067C4">
              <w:rPr>
                <w:color w:val="000000"/>
                <w:sz w:val="14"/>
                <w:szCs w:val="14"/>
                <w:lang w:eastAsia="tr-TR"/>
              </w:rPr>
              <w:t>(3.483.172)</w:t>
            </w:r>
          </w:p>
        </w:tc>
      </w:tr>
      <w:tr w:rsidR="007A65ED" w:rsidRPr="00D067C4" w14:paraId="1DF27656" w14:textId="77777777" w:rsidTr="00120C06">
        <w:trPr>
          <w:divId w:val="180094935"/>
          <w:trHeight w:val="113"/>
        </w:trPr>
        <w:tc>
          <w:tcPr>
            <w:tcW w:w="248" w:type="pct"/>
            <w:tcBorders>
              <w:top w:val="nil"/>
              <w:left w:val="single" w:sz="4" w:space="0" w:color="auto"/>
              <w:bottom w:val="nil"/>
              <w:right w:val="nil"/>
            </w:tcBorders>
            <w:hideMark/>
          </w:tcPr>
          <w:p w14:paraId="451E2AA6" w14:textId="77777777" w:rsidR="007A65ED" w:rsidRPr="00D067C4" w:rsidRDefault="007A65ED" w:rsidP="007A65ED">
            <w:pPr>
              <w:rPr>
                <w:sz w:val="14"/>
                <w:szCs w:val="14"/>
              </w:rPr>
            </w:pPr>
            <w:r w:rsidRPr="00D067C4">
              <w:rPr>
                <w:sz w:val="14"/>
                <w:szCs w:val="14"/>
              </w:rPr>
              <w:t>3.3</w:t>
            </w:r>
          </w:p>
        </w:tc>
        <w:tc>
          <w:tcPr>
            <w:tcW w:w="3022" w:type="pct"/>
            <w:tcBorders>
              <w:top w:val="nil"/>
              <w:left w:val="nil"/>
              <w:bottom w:val="nil"/>
              <w:right w:val="nil"/>
            </w:tcBorders>
            <w:hideMark/>
          </w:tcPr>
          <w:p w14:paraId="31570B0E" w14:textId="77777777" w:rsidR="007A65ED" w:rsidRPr="00D067C4" w:rsidRDefault="007A65ED" w:rsidP="007A65ED">
            <w:pPr>
              <w:rPr>
                <w:sz w:val="14"/>
                <w:szCs w:val="14"/>
              </w:rPr>
            </w:pPr>
            <w:r w:rsidRPr="00D067C4">
              <w:rPr>
                <w:sz w:val="14"/>
                <w:szCs w:val="14"/>
              </w:rPr>
              <w:t>İhraç Edilen Sermaye Araçları</w:t>
            </w:r>
          </w:p>
        </w:tc>
        <w:tc>
          <w:tcPr>
            <w:tcW w:w="349" w:type="pct"/>
            <w:tcBorders>
              <w:top w:val="nil"/>
              <w:left w:val="single" w:sz="4" w:space="0" w:color="auto"/>
              <w:bottom w:val="nil"/>
              <w:right w:val="single" w:sz="4" w:space="0" w:color="auto"/>
            </w:tcBorders>
            <w:vAlign w:val="bottom"/>
            <w:hideMark/>
          </w:tcPr>
          <w:p w14:paraId="734FEF60" w14:textId="4A671AAB"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vAlign w:val="center"/>
            <w:hideMark/>
          </w:tcPr>
          <w:p w14:paraId="5C9F272A" w14:textId="44BF584E" w:rsidR="007A65ED" w:rsidRPr="00D067C4" w:rsidRDefault="007A65ED" w:rsidP="007A65ED">
            <w:pPr>
              <w:jc w:val="right"/>
              <w:rPr>
                <w:sz w:val="14"/>
                <w:szCs w:val="14"/>
              </w:rPr>
            </w:pPr>
            <w:r w:rsidRPr="00D067C4">
              <w:rPr>
                <w:sz w:val="14"/>
                <w:szCs w:val="14"/>
              </w:rPr>
              <w:t>-</w:t>
            </w:r>
          </w:p>
        </w:tc>
        <w:tc>
          <w:tcPr>
            <w:tcW w:w="684" w:type="pct"/>
            <w:tcBorders>
              <w:top w:val="nil"/>
              <w:left w:val="nil"/>
              <w:bottom w:val="nil"/>
              <w:right w:val="single" w:sz="4" w:space="0" w:color="auto"/>
            </w:tcBorders>
            <w:vAlign w:val="bottom"/>
            <w:hideMark/>
          </w:tcPr>
          <w:p w14:paraId="60AE68AC" w14:textId="77777777" w:rsidR="007A65ED" w:rsidRPr="00D067C4" w:rsidRDefault="007A65ED" w:rsidP="007A65ED">
            <w:pPr>
              <w:jc w:val="right"/>
              <w:rPr>
                <w:color w:val="000000"/>
                <w:sz w:val="14"/>
                <w:szCs w:val="14"/>
                <w:lang w:eastAsia="tr-TR"/>
              </w:rPr>
            </w:pPr>
            <w:r w:rsidRPr="00D067C4">
              <w:rPr>
                <w:color w:val="000000"/>
                <w:sz w:val="14"/>
                <w:szCs w:val="14"/>
                <w:lang w:eastAsia="tr-TR"/>
              </w:rPr>
              <w:t>-</w:t>
            </w:r>
          </w:p>
        </w:tc>
      </w:tr>
      <w:tr w:rsidR="007A65ED" w:rsidRPr="00D067C4" w14:paraId="4C8A054F" w14:textId="77777777" w:rsidTr="00120C06">
        <w:trPr>
          <w:divId w:val="180094935"/>
          <w:trHeight w:val="113"/>
        </w:trPr>
        <w:tc>
          <w:tcPr>
            <w:tcW w:w="248" w:type="pct"/>
            <w:tcBorders>
              <w:top w:val="nil"/>
              <w:left w:val="single" w:sz="4" w:space="0" w:color="auto"/>
              <w:bottom w:val="nil"/>
              <w:right w:val="nil"/>
            </w:tcBorders>
            <w:hideMark/>
          </w:tcPr>
          <w:p w14:paraId="79B291A3" w14:textId="77777777" w:rsidR="007A65ED" w:rsidRPr="00D067C4" w:rsidRDefault="007A65ED" w:rsidP="007A65ED">
            <w:pPr>
              <w:rPr>
                <w:sz w:val="14"/>
                <w:szCs w:val="14"/>
              </w:rPr>
            </w:pPr>
            <w:r w:rsidRPr="00D067C4">
              <w:rPr>
                <w:sz w:val="14"/>
                <w:szCs w:val="14"/>
              </w:rPr>
              <w:t>3.4</w:t>
            </w:r>
          </w:p>
        </w:tc>
        <w:tc>
          <w:tcPr>
            <w:tcW w:w="3022" w:type="pct"/>
            <w:tcBorders>
              <w:top w:val="nil"/>
              <w:left w:val="nil"/>
              <w:bottom w:val="nil"/>
              <w:right w:val="nil"/>
            </w:tcBorders>
            <w:hideMark/>
          </w:tcPr>
          <w:p w14:paraId="528A1698" w14:textId="77777777" w:rsidR="007A65ED" w:rsidRPr="00D067C4" w:rsidRDefault="007A65ED" w:rsidP="007A65ED">
            <w:pPr>
              <w:rPr>
                <w:sz w:val="14"/>
                <w:szCs w:val="14"/>
              </w:rPr>
            </w:pPr>
            <w:r w:rsidRPr="00D067C4">
              <w:rPr>
                <w:sz w:val="14"/>
                <w:szCs w:val="14"/>
              </w:rPr>
              <w:t>Temettü Ödemeleri</w:t>
            </w:r>
          </w:p>
        </w:tc>
        <w:tc>
          <w:tcPr>
            <w:tcW w:w="349" w:type="pct"/>
            <w:tcBorders>
              <w:top w:val="nil"/>
              <w:left w:val="single" w:sz="4" w:space="0" w:color="auto"/>
              <w:bottom w:val="nil"/>
              <w:right w:val="single" w:sz="4" w:space="0" w:color="auto"/>
            </w:tcBorders>
            <w:vAlign w:val="bottom"/>
            <w:hideMark/>
          </w:tcPr>
          <w:p w14:paraId="1691B324" w14:textId="1C4459AE"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vAlign w:val="center"/>
            <w:hideMark/>
          </w:tcPr>
          <w:p w14:paraId="6E923176" w14:textId="7F2EF8B0" w:rsidR="007A65ED" w:rsidRPr="00D067C4" w:rsidRDefault="007A65ED" w:rsidP="007A65ED">
            <w:pPr>
              <w:jc w:val="right"/>
              <w:rPr>
                <w:sz w:val="14"/>
                <w:szCs w:val="14"/>
              </w:rPr>
            </w:pPr>
            <w:r w:rsidRPr="00D067C4">
              <w:rPr>
                <w:sz w:val="14"/>
                <w:szCs w:val="14"/>
              </w:rPr>
              <w:t>-</w:t>
            </w:r>
          </w:p>
        </w:tc>
        <w:tc>
          <w:tcPr>
            <w:tcW w:w="684" w:type="pct"/>
            <w:tcBorders>
              <w:top w:val="nil"/>
              <w:left w:val="nil"/>
              <w:bottom w:val="nil"/>
              <w:right w:val="single" w:sz="4" w:space="0" w:color="auto"/>
            </w:tcBorders>
            <w:vAlign w:val="bottom"/>
            <w:hideMark/>
          </w:tcPr>
          <w:p w14:paraId="79805D59" w14:textId="77777777" w:rsidR="007A65ED" w:rsidRPr="00D067C4" w:rsidRDefault="007A65ED" w:rsidP="007A65ED">
            <w:pPr>
              <w:jc w:val="right"/>
              <w:rPr>
                <w:color w:val="000000"/>
                <w:sz w:val="14"/>
                <w:szCs w:val="14"/>
                <w:lang w:eastAsia="tr-TR"/>
              </w:rPr>
            </w:pPr>
            <w:r w:rsidRPr="00D067C4">
              <w:rPr>
                <w:color w:val="000000"/>
                <w:sz w:val="14"/>
                <w:szCs w:val="14"/>
                <w:lang w:eastAsia="tr-TR"/>
              </w:rPr>
              <w:t>-</w:t>
            </w:r>
          </w:p>
        </w:tc>
      </w:tr>
      <w:tr w:rsidR="007A65ED" w:rsidRPr="00D067C4" w14:paraId="6F23F978" w14:textId="77777777" w:rsidTr="00120C06">
        <w:trPr>
          <w:divId w:val="180094935"/>
          <w:trHeight w:val="113"/>
        </w:trPr>
        <w:tc>
          <w:tcPr>
            <w:tcW w:w="248" w:type="pct"/>
            <w:tcBorders>
              <w:top w:val="nil"/>
              <w:left w:val="single" w:sz="4" w:space="0" w:color="auto"/>
              <w:bottom w:val="nil"/>
              <w:right w:val="nil"/>
            </w:tcBorders>
            <w:hideMark/>
          </w:tcPr>
          <w:p w14:paraId="65FA89C7" w14:textId="77777777" w:rsidR="007A65ED" w:rsidRPr="00D067C4" w:rsidRDefault="007A65ED" w:rsidP="007A65ED">
            <w:pPr>
              <w:rPr>
                <w:sz w:val="14"/>
                <w:szCs w:val="14"/>
              </w:rPr>
            </w:pPr>
            <w:r w:rsidRPr="00D067C4">
              <w:rPr>
                <w:sz w:val="14"/>
                <w:szCs w:val="14"/>
              </w:rPr>
              <w:t>3.5</w:t>
            </w:r>
          </w:p>
        </w:tc>
        <w:tc>
          <w:tcPr>
            <w:tcW w:w="3022" w:type="pct"/>
            <w:tcBorders>
              <w:top w:val="nil"/>
              <w:left w:val="nil"/>
              <w:bottom w:val="nil"/>
              <w:right w:val="nil"/>
            </w:tcBorders>
            <w:hideMark/>
          </w:tcPr>
          <w:p w14:paraId="57848E94" w14:textId="77777777" w:rsidR="007A65ED" w:rsidRPr="00D067C4" w:rsidRDefault="007A65ED" w:rsidP="007A65ED">
            <w:pPr>
              <w:rPr>
                <w:sz w:val="14"/>
                <w:szCs w:val="14"/>
              </w:rPr>
            </w:pPr>
            <w:r w:rsidRPr="00D067C4">
              <w:rPr>
                <w:sz w:val="14"/>
                <w:szCs w:val="14"/>
              </w:rPr>
              <w:t>Kiralamaya İlişkin Ödemeler</w:t>
            </w:r>
          </w:p>
        </w:tc>
        <w:tc>
          <w:tcPr>
            <w:tcW w:w="349" w:type="pct"/>
            <w:tcBorders>
              <w:top w:val="nil"/>
              <w:left w:val="single" w:sz="4" w:space="0" w:color="auto"/>
              <w:bottom w:val="nil"/>
              <w:right w:val="single" w:sz="4" w:space="0" w:color="auto"/>
            </w:tcBorders>
            <w:vAlign w:val="bottom"/>
            <w:hideMark/>
          </w:tcPr>
          <w:p w14:paraId="135EA434" w14:textId="4BC5D528"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vAlign w:val="center"/>
            <w:hideMark/>
          </w:tcPr>
          <w:p w14:paraId="30CE099A" w14:textId="5F42E9B9" w:rsidR="007A65ED" w:rsidRPr="00D067C4" w:rsidRDefault="007A65ED" w:rsidP="007A65ED">
            <w:pPr>
              <w:jc w:val="right"/>
              <w:rPr>
                <w:sz w:val="14"/>
                <w:szCs w:val="14"/>
                <w:lang w:eastAsia="tr-TR"/>
              </w:rPr>
            </w:pPr>
            <w:r w:rsidRPr="00D067C4">
              <w:rPr>
                <w:sz w:val="14"/>
                <w:szCs w:val="14"/>
              </w:rPr>
              <w:t>(211.442)</w:t>
            </w:r>
          </w:p>
        </w:tc>
        <w:tc>
          <w:tcPr>
            <w:tcW w:w="684" w:type="pct"/>
            <w:tcBorders>
              <w:top w:val="nil"/>
              <w:left w:val="nil"/>
              <w:bottom w:val="nil"/>
              <w:right w:val="single" w:sz="4" w:space="0" w:color="auto"/>
            </w:tcBorders>
            <w:vAlign w:val="bottom"/>
            <w:hideMark/>
          </w:tcPr>
          <w:p w14:paraId="6B5320F3" w14:textId="77777777" w:rsidR="007A65ED" w:rsidRPr="00D067C4" w:rsidRDefault="007A65ED" w:rsidP="007A65ED">
            <w:pPr>
              <w:jc w:val="right"/>
              <w:rPr>
                <w:color w:val="000000"/>
                <w:sz w:val="14"/>
                <w:szCs w:val="14"/>
                <w:lang w:eastAsia="tr-TR"/>
              </w:rPr>
            </w:pPr>
            <w:r w:rsidRPr="00D067C4">
              <w:rPr>
                <w:color w:val="000000"/>
                <w:sz w:val="14"/>
                <w:szCs w:val="14"/>
                <w:lang w:eastAsia="tr-TR"/>
              </w:rPr>
              <w:t>-</w:t>
            </w:r>
          </w:p>
        </w:tc>
      </w:tr>
      <w:tr w:rsidR="007A65ED" w:rsidRPr="00D067C4" w14:paraId="27FD7291" w14:textId="77777777" w:rsidTr="00120C06">
        <w:trPr>
          <w:divId w:val="180094935"/>
          <w:trHeight w:val="113"/>
        </w:trPr>
        <w:tc>
          <w:tcPr>
            <w:tcW w:w="248" w:type="pct"/>
            <w:tcBorders>
              <w:top w:val="nil"/>
              <w:left w:val="single" w:sz="4" w:space="0" w:color="auto"/>
              <w:bottom w:val="nil"/>
              <w:right w:val="nil"/>
            </w:tcBorders>
            <w:hideMark/>
          </w:tcPr>
          <w:p w14:paraId="52265FB6" w14:textId="77777777" w:rsidR="007A65ED" w:rsidRPr="00D067C4" w:rsidRDefault="007A65ED" w:rsidP="007A65ED">
            <w:pPr>
              <w:rPr>
                <w:sz w:val="14"/>
                <w:szCs w:val="14"/>
              </w:rPr>
            </w:pPr>
            <w:r w:rsidRPr="00D067C4">
              <w:rPr>
                <w:sz w:val="14"/>
                <w:szCs w:val="14"/>
              </w:rPr>
              <w:t>3.6</w:t>
            </w:r>
          </w:p>
        </w:tc>
        <w:tc>
          <w:tcPr>
            <w:tcW w:w="3022" w:type="pct"/>
            <w:tcBorders>
              <w:top w:val="nil"/>
              <w:left w:val="nil"/>
              <w:bottom w:val="nil"/>
              <w:right w:val="nil"/>
            </w:tcBorders>
            <w:hideMark/>
          </w:tcPr>
          <w:p w14:paraId="2532B158" w14:textId="77777777" w:rsidR="007A65ED" w:rsidRPr="00D067C4" w:rsidRDefault="007A65ED" w:rsidP="007A65ED">
            <w:pPr>
              <w:rPr>
                <w:sz w:val="14"/>
                <w:szCs w:val="14"/>
                <w:vertAlign w:val="superscript"/>
              </w:rPr>
            </w:pPr>
            <w:r w:rsidRPr="00D067C4">
              <w:rPr>
                <w:sz w:val="14"/>
                <w:szCs w:val="14"/>
              </w:rPr>
              <w:t>Diğer</w:t>
            </w:r>
          </w:p>
        </w:tc>
        <w:tc>
          <w:tcPr>
            <w:tcW w:w="349" w:type="pct"/>
            <w:tcBorders>
              <w:top w:val="nil"/>
              <w:left w:val="single" w:sz="4" w:space="0" w:color="auto"/>
              <w:bottom w:val="nil"/>
              <w:right w:val="single" w:sz="4" w:space="0" w:color="auto"/>
            </w:tcBorders>
            <w:vAlign w:val="bottom"/>
            <w:hideMark/>
          </w:tcPr>
          <w:p w14:paraId="24CA49D9" w14:textId="33FD8A2B"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vAlign w:val="center"/>
            <w:hideMark/>
          </w:tcPr>
          <w:p w14:paraId="7F7FCB3E" w14:textId="0A1FF406" w:rsidR="007A65ED" w:rsidRPr="00D067C4" w:rsidRDefault="007A65ED" w:rsidP="007A65ED">
            <w:pPr>
              <w:jc w:val="right"/>
              <w:rPr>
                <w:sz w:val="14"/>
                <w:szCs w:val="14"/>
              </w:rPr>
            </w:pPr>
            <w:r w:rsidRPr="00D067C4">
              <w:rPr>
                <w:sz w:val="14"/>
                <w:szCs w:val="14"/>
              </w:rPr>
              <w:t>-</w:t>
            </w:r>
          </w:p>
        </w:tc>
        <w:tc>
          <w:tcPr>
            <w:tcW w:w="684" w:type="pct"/>
            <w:tcBorders>
              <w:top w:val="nil"/>
              <w:left w:val="nil"/>
              <w:bottom w:val="nil"/>
              <w:right w:val="single" w:sz="4" w:space="0" w:color="auto"/>
            </w:tcBorders>
            <w:vAlign w:val="bottom"/>
            <w:hideMark/>
          </w:tcPr>
          <w:p w14:paraId="64A4F951" w14:textId="77777777" w:rsidR="007A65ED" w:rsidRPr="00D067C4" w:rsidRDefault="007A65ED" w:rsidP="007A65ED">
            <w:pPr>
              <w:jc w:val="right"/>
              <w:rPr>
                <w:color w:val="000000"/>
                <w:sz w:val="14"/>
                <w:szCs w:val="14"/>
                <w:lang w:eastAsia="tr-TR"/>
              </w:rPr>
            </w:pPr>
            <w:r w:rsidRPr="00D067C4">
              <w:rPr>
                <w:color w:val="000000"/>
                <w:sz w:val="14"/>
                <w:szCs w:val="14"/>
                <w:lang w:eastAsia="tr-TR"/>
              </w:rPr>
              <w:t>5.900.000</w:t>
            </w:r>
          </w:p>
        </w:tc>
      </w:tr>
      <w:tr w:rsidR="007A65ED" w:rsidRPr="00D067C4" w14:paraId="7A117180" w14:textId="77777777" w:rsidTr="00120C06">
        <w:trPr>
          <w:divId w:val="180094935"/>
          <w:trHeight w:val="113"/>
        </w:trPr>
        <w:tc>
          <w:tcPr>
            <w:tcW w:w="248" w:type="pct"/>
            <w:tcBorders>
              <w:top w:val="nil"/>
              <w:left w:val="single" w:sz="4" w:space="0" w:color="auto"/>
              <w:bottom w:val="nil"/>
              <w:right w:val="nil"/>
            </w:tcBorders>
            <w:hideMark/>
          </w:tcPr>
          <w:p w14:paraId="4120EBDC" w14:textId="77777777" w:rsidR="007A65ED" w:rsidRPr="00D067C4" w:rsidRDefault="007A65ED" w:rsidP="007A65ED">
            <w:pPr>
              <w:rPr>
                <w:sz w:val="14"/>
                <w:szCs w:val="14"/>
              </w:rPr>
            </w:pPr>
            <w:r w:rsidRPr="00D067C4">
              <w:rPr>
                <w:sz w:val="14"/>
                <w:szCs w:val="14"/>
              </w:rPr>
              <w:t> </w:t>
            </w:r>
          </w:p>
        </w:tc>
        <w:tc>
          <w:tcPr>
            <w:tcW w:w="3022" w:type="pct"/>
            <w:tcBorders>
              <w:top w:val="nil"/>
              <w:left w:val="nil"/>
              <w:bottom w:val="nil"/>
              <w:right w:val="nil"/>
            </w:tcBorders>
            <w:hideMark/>
          </w:tcPr>
          <w:p w14:paraId="27051FD4" w14:textId="77777777" w:rsidR="007A65ED" w:rsidRPr="00D067C4" w:rsidRDefault="007A65ED" w:rsidP="007A65ED">
            <w:pPr>
              <w:rPr>
                <w:sz w:val="14"/>
                <w:szCs w:val="14"/>
              </w:rPr>
            </w:pPr>
          </w:p>
        </w:tc>
        <w:tc>
          <w:tcPr>
            <w:tcW w:w="349" w:type="pct"/>
            <w:tcBorders>
              <w:top w:val="nil"/>
              <w:left w:val="single" w:sz="4" w:space="0" w:color="auto"/>
              <w:bottom w:val="nil"/>
              <w:right w:val="single" w:sz="4" w:space="0" w:color="auto"/>
            </w:tcBorders>
            <w:vAlign w:val="bottom"/>
            <w:hideMark/>
          </w:tcPr>
          <w:p w14:paraId="0AA2D7BE" w14:textId="43FFA782" w:rsidR="007A65ED" w:rsidRPr="00D067C4" w:rsidRDefault="007A65ED" w:rsidP="007A65ED">
            <w:pPr>
              <w:jc w:val="center"/>
              <w:rPr>
                <w:sz w:val="14"/>
                <w:szCs w:val="14"/>
              </w:rPr>
            </w:pPr>
            <w:r w:rsidRPr="00872D7E">
              <w:rPr>
                <w:sz w:val="14"/>
                <w:szCs w:val="14"/>
              </w:rPr>
              <w:t> </w:t>
            </w:r>
          </w:p>
        </w:tc>
        <w:tc>
          <w:tcPr>
            <w:tcW w:w="697" w:type="pct"/>
            <w:tcBorders>
              <w:top w:val="nil"/>
              <w:left w:val="nil"/>
              <w:bottom w:val="nil"/>
              <w:right w:val="single" w:sz="4" w:space="0" w:color="auto"/>
            </w:tcBorders>
            <w:noWrap/>
            <w:vAlign w:val="center"/>
            <w:hideMark/>
          </w:tcPr>
          <w:p w14:paraId="243B51B1" w14:textId="0883192A" w:rsidR="007A65ED" w:rsidRPr="00D067C4" w:rsidRDefault="007A65ED" w:rsidP="007A65ED">
            <w:pPr>
              <w:jc w:val="right"/>
              <w:rPr>
                <w:sz w:val="14"/>
                <w:szCs w:val="14"/>
              </w:rPr>
            </w:pPr>
            <w:r w:rsidRPr="00D067C4">
              <w:rPr>
                <w:sz w:val="14"/>
                <w:szCs w:val="14"/>
              </w:rPr>
              <w:t> </w:t>
            </w:r>
          </w:p>
        </w:tc>
        <w:tc>
          <w:tcPr>
            <w:tcW w:w="684" w:type="pct"/>
            <w:tcBorders>
              <w:top w:val="nil"/>
              <w:left w:val="nil"/>
              <w:bottom w:val="nil"/>
              <w:right w:val="single" w:sz="4" w:space="0" w:color="auto"/>
            </w:tcBorders>
            <w:noWrap/>
            <w:vAlign w:val="bottom"/>
            <w:hideMark/>
          </w:tcPr>
          <w:p w14:paraId="12B9B996" w14:textId="77777777" w:rsidR="007A65ED" w:rsidRPr="00D067C4" w:rsidRDefault="007A65ED" w:rsidP="007A65ED">
            <w:pPr>
              <w:jc w:val="right"/>
              <w:rPr>
                <w:color w:val="000000"/>
                <w:sz w:val="14"/>
                <w:szCs w:val="14"/>
                <w:lang w:eastAsia="tr-TR"/>
              </w:rPr>
            </w:pPr>
            <w:r w:rsidRPr="00D067C4">
              <w:rPr>
                <w:color w:val="000000"/>
                <w:sz w:val="14"/>
                <w:szCs w:val="14"/>
                <w:lang w:eastAsia="tr-TR"/>
              </w:rPr>
              <w:t> </w:t>
            </w:r>
          </w:p>
        </w:tc>
      </w:tr>
      <w:tr w:rsidR="007A65ED" w:rsidRPr="00D067C4" w14:paraId="0880DE12" w14:textId="77777777" w:rsidTr="00120C06">
        <w:trPr>
          <w:divId w:val="180094935"/>
          <w:trHeight w:val="113"/>
        </w:trPr>
        <w:tc>
          <w:tcPr>
            <w:tcW w:w="248" w:type="pct"/>
            <w:tcBorders>
              <w:top w:val="nil"/>
              <w:left w:val="single" w:sz="4" w:space="0" w:color="auto"/>
              <w:bottom w:val="nil"/>
              <w:right w:val="nil"/>
            </w:tcBorders>
            <w:hideMark/>
          </w:tcPr>
          <w:p w14:paraId="0A3C3CAE" w14:textId="77777777" w:rsidR="007A65ED" w:rsidRPr="00D067C4" w:rsidRDefault="007A65ED" w:rsidP="007A65ED">
            <w:pPr>
              <w:rPr>
                <w:b/>
                <w:bCs/>
                <w:sz w:val="14"/>
                <w:szCs w:val="14"/>
              </w:rPr>
            </w:pPr>
            <w:r w:rsidRPr="00D067C4">
              <w:rPr>
                <w:b/>
                <w:bCs/>
                <w:sz w:val="14"/>
                <w:szCs w:val="14"/>
              </w:rPr>
              <w:t>IV.</w:t>
            </w:r>
          </w:p>
        </w:tc>
        <w:tc>
          <w:tcPr>
            <w:tcW w:w="3022" w:type="pct"/>
            <w:tcBorders>
              <w:top w:val="nil"/>
              <w:left w:val="nil"/>
              <w:bottom w:val="nil"/>
              <w:right w:val="nil"/>
            </w:tcBorders>
            <w:hideMark/>
          </w:tcPr>
          <w:p w14:paraId="43F09862" w14:textId="77777777" w:rsidR="007A65ED" w:rsidRPr="00D067C4" w:rsidRDefault="007A65ED" w:rsidP="007A65ED">
            <w:pPr>
              <w:rPr>
                <w:b/>
                <w:bCs/>
                <w:sz w:val="14"/>
                <w:szCs w:val="14"/>
              </w:rPr>
            </w:pPr>
            <w:r w:rsidRPr="00D067C4">
              <w:rPr>
                <w:b/>
                <w:bCs/>
                <w:sz w:val="14"/>
                <w:szCs w:val="14"/>
              </w:rPr>
              <w:t>Yabancı Para Çevrim Farklarının Nakit ve Nakde Eşdeğer Varlıklar Üzerindeki Etkisi</w:t>
            </w:r>
          </w:p>
        </w:tc>
        <w:tc>
          <w:tcPr>
            <w:tcW w:w="349" w:type="pct"/>
            <w:tcBorders>
              <w:top w:val="nil"/>
              <w:left w:val="single" w:sz="4" w:space="0" w:color="auto"/>
              <w:bottom w:val="nil"/>
              <w:right w:val="single" w:sz="4" w:space="0" w:color="auto"/>
            </w:tcBorders>
            <w:vAlign w:val="bottom"/>
            <w:hideMark/>
          </w:tcPr>
          <w:p w14:paraId="0012B1C9" w14:textId="7B15B901" w:rsidR="007A65ED" w:rsidRPr="00D067C4" w:rsidRDefault="007A65ED" w:rsidP="007A65ED">
            <w:pPr>
              <w:jc w:val="center"/>
              <w:rPr>
                <w:b/>
                <w:bCs/>
                <w:sz w:val="14"/>
                <w:szCs w:val="14"/>
              </w:rPr>
            </w:pPr>
            <w:r w:rsidRPr="00872D7E">
              <w:rPr>
                <w:b/>
                <w:bCs/>
                <w:sz w:val="14"/>
                <w:szCs w:val="14"/>
              </w:rPr>
              <w:t>(V-VI-3</w:t>
            </w:r>
            <w:r w:rsidRPr="00872D7E">
              <w:rPr>
                <w:b/>
                <w:bCs/>
                <w:sz w:val="14"/>
                <w:szCs w:val="14"/>
                <w:lang w:eastAsia="tr-TR"/>
              </w:rPr>
              <w:t>)</w:t>
            </w:r>
          </w:p>
        </w:tc>
        <w:tc>
          <w:tcPr>
            <w:tcW w:w="697" w:type="pct"/>
            <w:tcBorders>
              <w:top w:val="nil"/>
              <w:left w:val="nil"/>
              <w:bottom w:val="nil"/>
              <w:right w:val="single" w:sz="4" w:space="0" w:color="auto"/>
            </w:tcBorders>
            <w:vAlign w:val="center"/>
            <w:hideMark/>
          </w:tcPr>
          <w:p w14:paraId="683B18C0" w14:textId="64F86482" w:rsidR="007A65ED" w:rsidRPr="00D067C4" w:rsidRDefault="007A65ED" w:rsidP="007A65ED">
            <w:pPr>
              <w:jc w:val="right"/>
              <w:rPr>
                <w:b/>
                <w:bCs/>
                <w:sz w:val="14"/>
                <w:szCs w:val="14"/>
              </w:rPr>
            </w:pPr>
            <w:r w:rsidRPr="00D067C4">
              <w:rPr>
                <w:b/>
                <w:bCs/>
                <w:sz w:val="14"/>
                <w:szCs w:val="14"/>
              </w:rPr>
              <w:t>1.630.120</w:t>
            </w:r>
          </w:p>
        </w:tc>
        <w:tc>
          <w:tcPr>
            <w:tcW w:w="684" w:type="pct"/>
            <w:tcBorders>
              <w:top w:val="nil"/>
              <w:left w:val="nil"/>
              <w:bottom w:val="nil"/>
              <w:right w:val="single" w:sz="4" w:space="0" w:color="auto"/>
            </w:tcBorders>
            <w:vAlign w:val="bottom"/>
            <w:hideMark/>
          </w:tcPr>
          <w:p w14:paraId="3E316873" w14:textId="77777777" w:rsidR="007A65ED" w:rsidRPr="00D067C4" w:rsidRDefault="007A65ED" w:rsidP="007A65ED">
            <w:pPr>
              <w:jc w:val="right"/>
              <w:rPr>
                <w:b/>
                <w:bCs/>
                <w:color w:val="000000"/>
                <w:sz w:val="14"/>
                <w:szCs w:val="14"/>
                <w:lang w:eastAsia="tr-TR"/>
              </w:rPr>
            </w:pPr>
            <w:r w:rsidRPr="00D067C4">
              <w:rPr>
                <w:b/>
                <w:bCs/>
                <w:color w:val="000000"/>
                <w:sz w:val="14"/>
                <w:szCs w:val="14"/>
                <w:lang w:eastAsia="tr-TR"/>
              </w:rPr>
              <w:t>143.448</w:t>
            </w:r>
          </w:p>
        </w:tc>
      </w:tr>
      <w:tr w:rsidR="007A65ED" w:rsidRPr="00D067C4" w14:paraId="220B8D9B" w14:textId="77777777" w:rsidTr="00120C06">
        <w:trPr>
          <w:divId w:val="180094935"/>
          <w:trHeight w:val="113"/>
        </w:trPr>
        <w:tc>
          <w:tcPr>
            <w:tcW w:w="248" w:type="pct"/>
            <w:tcBorders>
              <w:top w:val="nil"/>
              <w:left w:val="single" w:sz="4" w:space="0" w:color="auto"/>
              <w:bottom w:val="nil"/>
              <w:right w:val="nil"/>
            </w:tcBorders>
            <w:hideMark/>
          </w:tcPr>
          <w:p w14:paraId="52D4074B" w14:textId="77777777" w:rsidR="007A65ED" w:rsidRPr="00D067C4" w:rsidRDefault="007A65ED" w:rsidP="007A65ED">
            <w:pPr>
              <w:rPr>
                <w:b/>
                <w:bCs/>
                <w:sz w:val="14"/>
                <w:szCs w:val="14"/>
              </w:rPr>
            </w:pPr>
            <w:r w:rsidRPr="00D067C4">
              <w:rPr>
                <w:b/>
                <w:bCs/>
                <w:sz w:val="14"/>
                <w:szCs w:val="14"/>
              </w:rPr>
              <w:t> </w:t>
            </w:r>
          </w:p>
        </w:tc>
        <w:tc>
          <w:tcPr>
            <w:tcW w:w="3022" w:type="pct"/>
            <w:tcBorders>
              <w:top w:val="nil"/>
              <w:left w:val="nil"/>
              <w:bottom w:val="nil"/>
              <w:right w:val="nil"/>
            </w:tcBorders>
            <w:hideMark/>
          </w:tcPr>
          <w:p w14:paraId="2B28AF46" w14:textId="77777777" w:rsidR="007A65ED" w:rsidRPr="00D067C4" w:rsidRDefault="007A65ED" w:rsidP="007A65ED">
            <w:pPr>
              <w:rPr>
                <w:b/>
                <w:bCs/>
                <w:sz w:val="14"/>
                <w:szCs w:val="14"/>
              </w:rPr>
            </w:pPr>
          </w:p>
        </w:tc>
        <w:tc>
          <w:tcPr>
            <w:tcW w:w="349" w:type="pct"/>
            <w:tcBorders>
              <w:top w:val="nil"/>
              <w:left w:val="single" w:sz="4" w:space="0" w:color="auto"/>
              <w:bottom w:val="nil"/>
              <w:right w:val="single" w:sz="4" w:space="0" w:color="auto"/>
            </w:tcBorders>
            <w:vAlign w:val="bottom"/>
            <w:hideMark/>
          </w:tcPr>
          <w:p w14:paraId="52D8E0E7" w14:textId="1495B96E" w:rsidR="007A65ED" w:rsidRPr="00D067C4" w:rsidRDefault="007A65ED" w:rsidP="007A65ED">
            <w:pPr>
              <w:jc w:val="center"/>
              <w:rPr>
                <w:b/>
                <w:bCs/>
                <w:sz w:val="14"/>
                <w:szCs w:val="14"/>
              </w:rPr>
            </w:pPr>
            <w:r w:rsidRPr="00872D7E">
              <w:rPr>
                <w:sz w:val="14"/>
                <w:szCs w:val="14"/>
              </w:rPr>
              <w:t> </w:t>
            </w:r>
          </w:p>
        </w:tc>
        <w:tc>
          <w:tcPr>
            <w:tcW w:w="697" w:type="pct"/>
            <w:tcBorders>
              <w:top w:val="nil"/>
              <w:left w:val="nil"/>
              <w:bottom w:val="nil"/>
              <w:right w:val="single" w:sz="4" w:space="0" w:color="auto"/>
            </w:tcBorders>
            <w:noWrap/>
            <w:vAlign w:val="center"/>
            <w:hideMark/>
          </w:tcPr>
          <w:p w14:paraId="6538DAE7" w14:textId="076C212C" w:rsidR="007A65ED" w:rsidRPr="00D067C4" w:rsidRDefault="007A65ED" w:rsidP="007A65ED">
            <w:pPr>
              <w:jc w:val="right"/>
              <w:rPr>
                <w:b/>
                <w:bCs/>
                <w:sz w:val="14"/>
                <w:szCs w:val="14"/>
              </w:rPr>
            </w:pPr>
            <w:r w:rsidRPr="00D067C4">
              <w:rPr>
                <w:b/>
                <w:bCs/>
                <w:sz w:val="14"/>
                <w:szCs w:val="14"/>
              </w:rPr>
              <w:t>-</w:t>
            </w:r>
          </w:p>
        </w:tc>
        <w:tc>
          <w:tcPr>
            <w:tcW w:w="684" w:type="pct"/>
            <w:tcBorders>
              <w:top w:val="nil"/>
              <w:left w:val="nil"/>
              <w:bottom w:val="nil"/>
              <w:right w:val="single" w:sz="4" w:space="0" w:color="auto"/>
            </w:tcBorders>
            <w:noWrap/>
            <w:vAlign w:val="bottom"/>
            <w:hideMark/>
          </w:tcPr>
          <w:p w14:paraId="5132B9B7" w14:textId="77777777" w:rsidR="007A65ED" w:rsidRPr="00D067C4" w:rsidRDefault="007A65ED" w:rsidP="007A65ED">
            <w:pPr>
              <w:jc w:val="right"/>
              <w:rPr>
                <w:b/>
                <w:bCs/>
                <w:color w:val="000000"/>
                <w:sz w:val="14"/>
                <w:szCs w:val="14"/>
                <w:lang w:eastAsia="tr-TR"/>
              </w:rPr>
            </w:pPr>
            <w:r w:rsidRPr="00D067C4">
              <w:rPr>
                <w:b/>
                <w:bCs/>
                <w:color w:val="000000"/>
                <w:sz w:val="14"/>
                <w:szCs w:val="14"/>
                <w:lang w:eastAsia="tr-TR"/>
              </w:rPr>
              <w:t> </w:t>
            </w:r>
          </w:p>
        </w:tc>
      </w:tr>
      <w:tr w:rsidR="007A65ED" w:rsidRPr="00D067C4" w14:paraId="0C85D8F2" w14:textId="77777777" w:rsidTr="00120C06">
        <w:trPr>
          <w:divId w:val="180094935"/>
          <w:trHeight w:val="113"/>
        </w:trPr>
        <w:tc>
          <w:tcPr>
            <w:tcW w:w="248" w:type="pct"/>
            <w:tcBorders>
              <w:top w:val="nil"/>
              <w:left w:val="single" w:sz="4" w:space="0" w:color="auto"/>
              <w:bottom w:val="nil"/>
              <w:right w:val="nil"/>
            </w:tcBorders>
            <w:hideMark/>
          </w:tcPr>
          <w:p w14:paraId="30442AE8" w14:textId="77777777" w:rsidR="007A65ED" w:rsidRPr="00D067C4" w:rsidRDefault="007A65ED" w:rsidP="007A65ED">
            <w:pPr>
              <w:rPr>
                <w:b/>
                <w:bCs/>
                <w:sz w:val="14"/>
                <w:szCs w:val="14"/>
              </w:rPr>
            </w:pPr>
            <w:r w:rsidRPr="00D067C4">
              <w:rPr>
                <w:b/>
                <w:bCs/>
                <w:sz w:val="14"/>
                <w:szCs w:val="14"/>
              </w:rPr>
              <w:t>V.</w:t>
            </w:r>
          </w:p>
        </w:tc>
        <w:tc>
          <w:tcPr>
            <w:tcW w:w="3022" w:type="pct"/>
            <w:tcBorders>
              <w:top w:val="nil"/>
              <w:left w:val="nil"/>
              <w:bottom w:val="nil"/>
              <w:right w:val="nil"/>
            </w:tcBorders>
            <w:hideMark/>
          </w:tcPr>
          <w:p w14:paraId="422ED794" w14:textId="77777777" w:rsidR="007A65ED" w:rsidRPr="00D067C4" w:rsidRDefault="007A65ED" w:rsidP="007A65ED">
            <w:pPr>
              <w:rPr>
                <w:b/>
                <w:bCs/>
                <w:sz w:val="14"/>
                <w:szCs w:val="14"/>
              </w:rPr>
            </w:pPr>
            <w:r w:rsidRPr="00D067C4">
              <w:rPr>
                <w:b/>
                <w:bCs/>
                <w:sz w:val="14"/>
                <w:szCs w:val="14"/>
              </w:rPr>
              <w:t>Nakit ve Nakde Eşdeğer Varlıklardaki Net Artış</w:t>
            </w:r>
          </w:p>
        </w:tc>
        <w:tc>
          <w:tcPr>
            <w:tcW w:w="349" w:type="pct"/>
            <w:tcBorders>
              <w:top w:val="nil"/>
              <w:left w:val="single" w:sz="4" w:space="0" w:color="auto"/>
              <w:bottom w:val="nil"/>
              <w:right w:val="single" w:sz="4" w:space="0" w:color="auto"/>
            </w:tcBorders>
            <w:vAlign w:val="bottom"/>
            <w:hideMark/>
          </w:tcPr>
          <w:p w14:paraId="1A1125AE" w14:textId="045C0849" w:rsidR="007A65ED" w:rsidRPr="00D067C4" w:rsidRDefault="007A65ED" w:rsidP="007A65ED">
            <w:pPr>
              <w:jc w:val="center"/>
              <w:rPr>
                <w:b/>
                <w:bCs/>
                <w:sz w:val="14"/>
                <w:szCs w:val="14"/>
              </w:rPr>
            </w:pPr>
            <w:r w:rsidRPr="00872D7E">
              <w:rPr>
                <w:sz w:val="14"/>
                <w:szCs w:val="14"/>
              </w:rPr>
              <w:t> </w:t>
            </w:r>
          </w:p>
        </w:tc>
        <w:tc>
          <w:tcPr>
            <w:tcW w:w="697" w:type="pct"/>
            <w:tcBorders>
              <w:top w:val="nil"/>
              <w:left w:val="nil"/>
              <w:bottom w:val="nil"/>
              <w:right w:val="single" w:sz="4" w:space="0" w:color="auto"/>
            </w:tcBorders>
            <w:vAlign w:val="center"/>
            <w:hideMark/>
          </w:tcPr>
          <w:p w14:paraId="1EDF40AE" w14:textId="132CE392" w:rsidR="007A65ED" w:rsidRPr="00D067C4" w:rsidRDefault="007A65ED" w:rsidP="007A65ED">
            <w:pPr>
              <w:jc w:val="right"/>
              <w:rPr>
                <w:b/>
                <w:bCs/>
                <w:sz w:val="14"/>
                <w:szCs w:val="14"/>
              </w:rPr>
            </w:pPr>
            <w:r w:rsidRPr="00D067C4">
              <w:rPr>
                <w:b/>
                <w:bCs/>
                <w:sz w:val="14"/>
                <w:szCs w:val="14"/>
              </w:rPr>
              <w:t>13.984.372</w:t>
            </w:r>
          </w:p>
        </w:tc>
        <w:tc>
          <w:tcPr>
            <w:tcW w:w="684" w:type="pct"/>
            <w:tcBorders>
              <w:top w:val="nil"/>
              <w:left w:val="nil"/>
              <w:bottom w:val="nil"/>
              <w:right w:val="single" w:sz="4" w:space="0" w:color="auto"/>
            </w:tcBorders>
            <w:vAlign w:val="bottom"/>
            <w:hideMark/>
          </w:tcPr>
          <w:p w14:paraId="75C11D16" w14:textId="77777777" w:rsidR="007A65ED" w:rsidRPr="00D067C4" w:rsidRDefault="007A65ED" w:rsidP="007A65ED">
            <w:pPr>
              <w:jc w:val="right"/>
              <w:rPr>
                <w:b/>
                <w:bCs/>
                <w:color w:val="000000"/>
                <w:sz w:val="14"/>
                <w:szCs w:val="14"/>
                <w:lang w:eastAsia="tr-TR"/>
              </w:rPr>
            </w:pPr>
            <w:r w:rsidRPr="00D067C4">
              <w:rPr>
                <w:b/>
                <w:bCs/>
                <w:color w:val="000000"/>
                <w:sz w:val="14"/>
                <w:szCs w:val="14"/>
                <w:lang w:eastAsia="tr-TR"/>
              </w:rPr>
              <w:t>6.598.074</w:t>
            </w:r>
          </w:p>
        </w:tc>
      </w:tr>
      <w:tr w:rsidR="007A65ED" w:rsidRPr="00D067C4" w14:paraId="0F8B44D6" w14:textId="77777777" w:rsidTr="00120C06">
        <w:trPr>
          <w:divId w:val="180094935"/>
          <w:trHeight w:val="113"/>
        </w:trPr>
        <w:tc>
          <w:tcPr>
            <w:tcW w:w="248" w:type="pct"/>
            <w:tcBorders>
              <w:top w:val="nil"/>
              <w:left w:val="single" w:sz="4" w:space="0" w:color="auto"/>
              <w:bottom w:val="nil"/>
              <w:right w:val="nil"/>
            </w:tcBorders>
            <w:hideMark/>
          </w:tcPr>
          <w:p w14:paraId="05E06A73" w14:textId="77777777" w:rsidR="007A65ED" w:rsidRPr="00D067C4" w:rsidRDefault="007A65ED" w:rsidP="007A65ED">
            <w:pPr>
              <w:rPr>
                <w:b/>
                <w:bCs/>
                <w:sz w:val="14"/>
                <w:szCs w:val="14"/>
              </w:rPr>
            </w:pPr>
            <w:r w:rsidRPr="00D067C4">
              <w:rPr>
                <w:b/>
                <w:bCs/>
                <w:sz w:val="14"/>
                <w:szCs w:val="14"/>
              </w:rPr>
              <w:t> </w:t>
            </w:r>
          </w:p>
        </w:tc>
        <w:tc>
          <w:tcPr>
            <w:tcW w:w="3022" w:type="pct"/>
            <w:tcBorders>
              <w:top w:val="nil"/>
              <w:left w:val="nil"/>
              <w:bottom w:val="nil"/>
              <w:right w:val="nil"/>
            </w:tcBorders>
            <w:hideMark/>
          </w:tcPr>
          <w:p w14:paraId="0D60698A" w14:textId="77777777" w:rsidR="007A65ED" w:rsidRPr="00D067C4" w:rsidRDefault="007A65ED" w:rsidP="007A65ED">
            <w:pPr>
              <w:rPr>
                <w:b/>
                <w:bCs/>
                <w:sz w:val="14"/>
                <w:szCs w:val="14"/>
              </w:rPr>
            </w:pPr>
          </w:p>
        </w:tc>
        <w:tc>
          <w:tcPr>
            <w:tcW w:w="349" w:type="pct"/>
            <w:tcBorders>
              <w:top w:val="nil"/>
              <w:left w:val="single" w:sz="4" w:space="0" w:color="auto"/>
              <w:bottom w:val="nil"/>
              <w:right w:val="single" w:sz="4" w:space="0" w:color="auto"/>
            </w:tcBorders>
            <w:vAlign w:val="bottom"/>
            <w:hideMark/>
          </w:tcPr>
          <w:p w14:paraId="46BD899B" w14:textId="4ACC6B51" w:rsidR="007A65ED" w:rsidRPr="00D067C4" w:rsidRDefault="007A65ED" w:rsidP="007A65ED">
            <w:pPr>
              <w:jc w:val="center"/>
              <w:rPr>
                <w:b/>
                <w:bCs/>
                <w:sz w:val="14"/>
                <w:szCs w:val="14"/>
              </w:rPr>
            </w:pPr>
            <w:r w:rsidRPr="00872D7E">
              <w:rPr>
                <w:sz w:val="14"/>
                <w:szCs w:val="14"/>
              </w:rPr>
              <w:t> </w:t>
            </w:r>
          </w:p>
        </w:tc>
        <w:tc>
          <w:tcPr>
            <w:tcW w:w="697" w:type="pct"/>
            <w:tcBorders>
              <w:top w:val="nil"/>
              <w:left w:val="nil"/>
              <w:bottom w:val="nil"/>
              <w:right w:val="single" w:sz="4" w:space="0" w:color="auto"/>
            </w:tcBorders>
            <w:noWrap/>
            <w:vAlign w:val="center"/>
            <w:hideMark/>
          </w:tcPr>
          <w:p w14:paraId="7054DB2B" w14:textId="2A045B87" w:rsidR="007A65ED" w:rsidRPr="00D067C4" w:rsidRDefault="007A65ED" w:rsidP="007A65ED">
            <w:pPr>
              <w:jc w:val="right"/>
              <w:rPr>
                <w:b/>
                <w:bCs/>
                <w:sz w:val="14"/>
                <w:szCs w:val="14"/>
              </w:rPr>
            </w:pPr>
            <w:r w:rsidRPr="00D067C4">
              <w:rPr>
                <w:b/>
                <w:bCs/>
                <w:sz w:val="14"/>
                <w:szCs w:val="14"/>
              </w:rPr>
              <w:t>-</w:t>
            </w:r>
          </w:p>
        </w:tc>
        <w:tc>
          <w:tcPr>
            <w:tcW w:w="684" w:type="pct"/>
            <w:tcBorders>
              <w:top w:val="nil"/>
              <w:left w:val="nil"/>
              <w:bottom w:val="nil"/>
              <w:right w:val="single" w:sz="4" w:space="0" w:color="auto"/>
            </w:tcBorders>
            <w:noWrap/>
            <w:vAlign w:val="bottom"/>
            <w:hideMark/>
          </w:tcPr>
          <w:p w14:paraId="0268F4FD" w14:textId="77777777" w:rsidR="007A65ED" w:rsidRPr="00D067C4" w:rsidRDefault="007A65ED" w:rsidP="007A65ED">
            <w:pPr>
              <w:jc w:val="right"/>
              <w:rPr>
                <w:b/>
                <w:bCs/>
                <w:color w:val="000000"/>
                <w:sz w:val="14"/>
                <w:szCs w:val="14"/>
                <w:lang w:eastAsia="tr-TR"/>
              </w:rPr>
            </w:pPr>
            <w:r w:rsidRPr="00D067C4">
              <w:rPr>
                <w:b/>
                <w:bCs/>
                <w:color w:val="000000"/>
                <w:sz w:val="14"/>
                <w:szCs w:val="14"/>
                <w:lang w:eastAsia="tr-TR"/>
              </w:rPr>
              <w:t> </w:t>
            </w:r>
          </w:p>
        </w:tc>
      </w:tr>
      <w:tr w:rsidR="007A65ED" w:rsidRPr="00D067C4" w14:paraId="493148C8" w14:textId="77777777" w:rsidTr="00120C06">
        <w:trPr>
          <w:divId w:val="180094935"/>
          <w:trHeight w:val="113"/>
        </w:trPr>
        <w:tc>
          <w:tcPr>
            <w:tcW w:w="248" w:type="pct"/>
            <w:tcBorders>
              <w:top w:val="nil"/>
              <w:left w:val="single" w:sz="4" w:space="0" w:color="auto"/>
              <w:bottom w:val="nil"/>
              <w:right w:val="nil"/>
            </w:tcBorders>
            <w:hideMark/>
          </w:tcPr>
          <w:p w14:paraId="6CDC7EB0" w14:textId="77777777" w:rsidR="007A65ED" w:rsidRPr="00D067C4" w:rsidRDefault="007A65ED" w:rsidP="007A65ED">
            <w:pPr>
              <w:rPr>
                <w:b/>
                <w:bCs/>
                <w:sz w:val="14"/>
                <w:szCs w:val="14"/>
              </w:rPr>
            </w:pPr>
            <w:r w:rsidRPr="00D067C4">
              <w:rPr>
                <w:b/>
                <w:bCs/>
                <w:sz w:val="14"/>
                <w:szCs w:val="14"/>
              </w:rPr>
              <w:t>VI.</w:t>
            </w:r>
          </w:p>
        </w:tc>
        <w:tc>
          <w:tcPr>
            <w:tcW w:w="3022" w:type="pct"/>
            <w:tcBorders>
              <w:top w:val="nil"/>
              <w:left w:val="nil"/>
              <w:bottom w:val="nil"/>
              <w:right w:val="nil"/>
            </w:tcBorders>
            <w:hideMark/>
          </w:tcPr>
          <w:p w14:paraId="61F51893" w14:textId="77777777" w:rsidR="007A65ED" w:rsidRPr="00D067C4" w:rsidRDefault="007A65ED" w:rsidP="007A65ED">
            <w:pPr>
              <w:rPr>
                <w:b/>
                <w:bCs/>
                <w:sz w:val="14"/>
                <w:szCs w:val="14"/>
              </w:rPr>
            </w:pPr>
            <w:r w:rsidRPr="00D067C4">
              <w:rPr>
                <w:b/>
                <w:bCs/>
                <w:sz w:val="14"/>
                <w:szCs w:val="14"/>
              </w:rPr>
              <w:t>Dönem Başındaki Nakit ve Nakde Eşdeğer Varlıklar</w:t>
            </w:r>
          </w:p>
        </w:tc>
        <w:tc>
          <w:tcPr>
            <w:tcW w:w="349" w:type="pct"/>
            <w:tcBorders>
              <w:top w:val="nil"/>
              <w:left w:val="single" w:sz="4" w:space="0" w:color="auto"/>
              <w:bottom w:val="nil"/>
              <w:right w:val="single" w:sz="4" w:space="0" w:color="auto"/>
            </w:tcBorders>
            <w:vAlign w:val="bottom"/>
            <w:hideMark/>
          </w:tcPr>
          <w:p w14:paraId="12BCBC50" w14:textId="250C794C" w:rsidR="007A65ED" w:rsidRPr="00D067C4" w:rsidRDefault="007A65ED" w:rsidP="007A65ED">
            <w:pPr>
              <w:jc w:val="center"/>
              <w:rPr>
                <w:b/>
                <w:bCs/>
                <w:sz w:val="14"/>
                <w:szCs w:val="14"/>
              </w:rPr>
            </w:pPr>
            <w:r w:rsidRPr="00872D7E">
              <w:rPr>
                <w:b/>
                <w:bCs/>
                <w:sz w:val="14"/>
                <w:szCs w:val="14"/>
              </w:rPr>
              <w:t>(V-VI-a</w:t>
            </w:r>
            <w:r w:rsidRPr="00872D7E">
              <w:rPr>
                <w:b/>
                <w:bCs/>
                <w:sz w:val="14"/>
                <w:szCs w:val="14"/>
                <w:lang w:eastAsia="tr-TR"/>
              </w:rPr>
              <w:t>)</w:t>
            </w:r>
          </w:p>
        </w:tc>
        <w:tc>
          <w:tcPr>
            <w:tcW w:w="697" w:type="pct"/>
            <w:tcBorders>
              <w:top w:val="nil"/>
              <w:left w:val="nil"/>
              <w:bottom w:val="nil"/>
              <w:right w:val="single" w:sz="4" w:space="0" w:color="auto"/>
            </w:tcBorders>
            <w:vAlign w:val="center"/>
            <w:hideMark/>
          </w:tcPr>
          <w:p w14:paraId="6D90F4AB" w14:textId="77BA12CC" w:rsidR="007A65ED" w:rsidRPr="00D067C4" w:rsidRDefault="007A65ED" w:rsidP="007A65ED">
            <w:pPr>
              <w:jc w:val="right"/>
              <w:rPr>
                <w:b/>
                <w:bCs/>
                <w:sz w:val="14"/>
                <w:szCs w:val="14"/>
              </w:rPr>
            </w:pPr>
            <w:r w:rsidRPr="00D067C4">
              <w:rPr>
                <w:b/>
                <w:bCs/>
                <w:sz w:val="14"/>
                <w:szCs w:val="14"/>
              </w:rPr>
              <w:t>7.027.847</w:t>
            </w:r>
          </w:p>
        </w:tc>
        <w:tc>
          <w:tcPr>
            <w:tcW w:w="684" w:type="pct"/>
            <w:tcBorders>
              <w:top w:val="nil"/>
              <w:left w:val="nil"/>
              <w:bottom w:val="nil"/>
              <w:right w:val="single" w:sz="4" w:space="0" w:color="auto"/>
            </w:tcBorders>
            <w:vAlign w:val="bottom"/>
            <w:hideMark/>
          </w:tcPr>
          <w:p w14:paraId="6D073962" w14:textId="77777777" w:rsidR="007A65ED" w:rsidRPr="00D067C4" w:rsidRDefault="007A65ED" w:rsidP="007A65ED">
            <w:pPr>
              <w:jc w:val="right"/>
              <w:rPr>
                <w:b/>
                <w:bCs/>
                <w:color w:val="000000"/>
                <w:sz w:val="14"/>
                <w:szCs w:val="14"/>
                <w:lang w:eastAsia="tr-TR"/>
              </w:rPr>
            </w:pPr>
            <w:r w:rsidRPr="00D067C4">
              <w:rPr>
                <w:b/>
                <w:bCs/>
                <w:color w:val="000000"/>
                <w:sz w:val="14"/>
                <w:szCs w:val="14"/>
                <w:lang w:eastAsia="tr-TR"/>
              </w:rPr>
              <w:t>429.773</w:t>
            </w:r>
          </w:p>
        </w:tc>
      </w:tr>
      <w:tr w:rsidR="007A65ED" w:rsidRPr="00D067C4" w14:paraId="3119C5F0" w14:textId="77777777" w:rsidTr="00120C06">
        <w:trPr>
          <w:divId w:val="180094935"/>
          <w:trHeight w:val="113"/>
        </w:trPr>
        <w:tc>
          <w:tcPr>
            <w:tcW w:w="248" w:type="pct"/>
            <w:tcBorders>
              <w:top w:val="nil"/>
              <w:left w:val="single" w:sz="4" w:space="0" w:color="auto"/>
              <w:bottom w:val="nil"/>
              <w:right w:val="nil"/>
            </w:tcBorders>
            <w:hideMark/>
          </w:tcPr>
          <w:p w14:paraId="02C1F4F4" w14:textId="77777777" w:rsidR="007A65ED" w:rsidRPr="00D067C4" w:rsidRDefault="007A65ED" w:rsidP="007A65ED">
            <w:pPr>
              <w:rPr>
                <w:b/>
                <w:bCs/>
                <w:sz w:val="14"/>
                <w:szCs w:val="14"/>
              </w:rPr>
            </w:pPr>
            <w:r w:rsidRPr="00D067C4">
              <w:rPr>
                <w:b/>
                <w:bCs/>
                <w:sz w:val="14"/>
                <w:szCs w:val="14"/>
              </w:rPr>
              <w:t> </w:t>
            </w:r>
          </w:p>
        </w:tc>
        <w:tc>
          <w:tcPr>
            <w:tcW w:w="3022" w:type="pct"/>
            <w:tcBorders>
              <w:top w:val="nil"/>
              <w:left w:val="nil"/>
              <w:bottom w:val="nil"/>
              <w:right w:val="nil"/>
            </w:tcBorders>
            <w:hideMark/>
          </w:tcPr>
          <w:p w14:paraId="65DEF560" w14:textId="77777777" w:rsidR="007A65ED" w:rsidRPr="00D067C4" w:rsidRDefault="007A65ED" w:rsidP="007A65ED">
            <w:pPr>
              <w:rPr>
                <w:b/>
                <w:bCs/>
                <w:sz w:val="14"/>
                <w:szCs w:val="14"/>
              </w:rPr>
            </w:pPr>
          </w:p>
        </w:tc>
        <w:tc>
          <w:tcPr>
            <w:tcW w:w="349" w:type="pct"/>
            <w:tcBorders>
              <w:top w:val="nil"/>
              <w:left w:val="single" w:sz="4" w:space="0" w:color="auto"/>
              <w:bottom w:val="nil"/>
              <w:right w:val="single" w:sz="4" w:space="0" w:color="auto"/>
            </w:tcBorders>
            <w:vAlign w:val="bottom"/>
            <w:hideMark/>
          </w:tcPr>
          <w:p w14:paraId="357861AF" w14:textId="1C1AB9FB" w:rsidR="007A65ED" w:rsidRPr="00D067C4" w:rsidRDefault="007A65ED" w:rsidP="007A65ED">
            <w:pPr>
              <w:jc w:val="center"/>
              <w:rPr>
                <w:b/>
                <w:bCs/>
                <w:sz w:val="14"/>
                <w:szCs w:val="14"/>
              </w:rPr>
            </w:pPr>
            <w:r w:rsidRPr="00872D7E">
              <w:rPr>
                <w:b/>
                <w:bCs/>
                <w:sz w:val="14"/>
                <w:szCs w:val="14"/>
              </w:rPr>
              <w:t> </w:t>
            </w:r>
          </w:p>
        </w:tc>
        <w:tc>
          <w:tcPr>
            <w:tcW w:w="697" w:type="pct"/>
            <w:tcBorders>
              <w:top w:val="nil"/>
              <w:left w:val="nil"/>
              <w:bottom w:val="nil"/>
              <w:right w:val="single" w:sz="4" w:space="0" w:color="auto"/>
            </w:tcBorders>
            <w:noWrap/>
            <w:vAlign w:val="center"/>
            <w:hideMark/>
          </w:tcPr>
          <w:p w14:paraId="66484014" w14:textId="3FDB5C28" w:rsidR="007A65ED" w:rsidRPr="00D067C4" w:rsidRDefault="007A65ED" w:rsidP="007A65ED">
            <w:pPr>
              <w:jc w:val="right"/>
              <w:rPr>
                <w:b/>
                <w:bCs/>
                <w:sz w:val="14"/>
                <w:szCs w:val="14"/>
              </w:rPr>
            </w:pPr>
            <w:r w:rsidRPr="00D067C4">
              <w:rPr>
                <w:b/>
                <w:bCs/>
                <w:sz w:val="14"/>
                <w:szCs w:val="14"/>
              </w:rPr>
              <w:t>-</w:t>
            </w:r>
          </w:p>
        </w:tc>
        <w:tc>
          <w:tcPr>
            <w:tcW w:w="684" w:type="pct"/>
            <w:tcBorders>
              <w:top w:val="nil"/>
              <w:left w:val="nil"/>
              <w:bottom w:val="nil"/>
              <w:right w:val="single" w:sz="4" w:space="0" w:color="auto"/>
            </w:tcBorders>
            <w:noWrap/>
            <w:vAlign w:val="bottom"/>
            <w:hideMark/>
          </w:tcPr>
          <w:p w14:paraId="7CCF205F" w14:textId="77777777" w:rsidR="007A65ED" w:rsidRPr="00D067C4" w:rsidRDefault="007A65ED" w:rsidP="007A65ED">
            <w:pPr>
              <w:jc w:val="right"/>
              <w:rPr>
                <w:b/>
                <w:bCs/>
                <w:color w:val="000000"/>
                <w:sz w:val="14"/>
                <w:szCs w:val="14"/>
                <w:lang w:eastAsia="tr-TR"/>
              </w:rPr>
            </w:pPr>
            <w:r w:rsidRPr="00D067C4">
              <w:rPr>
                <w:b/>
                <w:bCs/>
                <w:color w:val="000000"/>
                <w:sz w:val="14"/>
                <w:szCs w:val="14"/>
                <w:lang w:eastAsia="tr-TR"/>
              </w:rPr>
              <w:t> </w:t>
            </w:r>
          </w:p>
        </w:tc>
      </w:tr>
      <w:tr w:rsidR="007A65ED" w:rsidRPr="00D067C4" w14:paraId="19837113" w14:textId="77777777" w:rsidTr="00120C06">
        <w:trPr>
          <w:divId w:val="180094935"/>
          <w:trHeight w:val="113"/>
        </w:trPr>
        <w:tc>
          <w:tcPr>
            <w:tcW w:w="248" w:type="pct"/>
            <w:tcBorders>
              <w:top w:val="nil"/>
              <w:left w:val="single" w:sz="4" w:space="0" w:color="auto"/>
              <w:bottom w:val="single" w:sz="4" w:space="0" w:color="auto"/>
              <w:right w:val="nil"/>
            </w:tcBorders>
            <w:hideMark/>
          </w:tcPr>
          <w:p w14:paraId="44CB518B" w14:textId="77777777" w:rsidR="007A65ED" w:rsidRPr="00D067C4" w:rsidRDefault="007A65ED" w:rsidP="007A65ED">
            <w:pPr>
              <w:rPr>
                <w:b/>
                <w:bCs/>
                <w:sz w:val="14"/>
                <w:szCs w:val="14"/>
              </w:rPr>
            </w:pPr>
            <w:r w:rsidRPr="00D067C4">
              <w:rPr>
                <w:b/>
                <w:bCs/>
                <w:sz w:val="14"/>
                <w:szCs w:val="14"/>
              </w:rPr>
              <w:t>VII.</w:t>
            </w:r>
          </w:p>
        </w:tc>
        <w:tc>
          <w:tcPr>
            <w:tcW w:w="3022" w:type="pct"/>
            <w:tcBorders>
              <w:top w:val="nil"/>
              <w:left w:val="nil"/>
              <w:bottom w:val="single" w:sz="4" w:space="0" w:color="auto"/>
              <w:right w:val="nil"/>
            </w:tcBorders>
            <w:hideMark/>
          </w:tcPr>
          <w:p w14:paraId="470414AB" w14:textId="77777777" w:rsidR="007A65ED" w:rsidRPr="00D067C4" w:rsidRDefault="007A65ED" w:rsidP="007A65ED">
            <w:pPr>
              <w:rPr>
                <w:b/>
                <w:bCs/>
                <w:sz w:val="14"/>
                <w:szCs w:val="14"/>
              </w:rPr>
            </w:pPr>
            <w:r w:rsidRPr="00D067C4">
              <w:rPr>
                <w:b/>
                <w:bCs/>
                <w:sz w:val="14"/>
                <w:szCs w:val="14"/>
              </w:rPr>
              <w:t>Dönem Sonundaki Nakit ve Nakde Eşdeğer Varlıklar</w:t>
            </w:r>
          </w:p>
        </w:tc>
        <w:tc>
          <w:tcPr>
            <w:tcW w:w="349" w:type="pct"/>
            <w:tcBorders>
              <w:top w:val="nil"/>
              <w:left w:val="single" w:sz="4" w:space="0" w:color="auto"/>
              <w:bottom w:val="single" w:sz="4" w:space="0" w:color="auto"/>
              <w:right w:val="single" w:sz="4" w:space="0" w:color="auto"/>
            </w:tcBorders>
            <w:vAlign w:val="bottom"/>
            <w:hideMark/>
          </w:tcPr>
          <w:p w14:paraId="0299AF6E" w14:textId="4AB769B5" w:rsidR="007A65ED" w:rsidRPr="00D067C4" w:rsidRDefault="007A65ED" w:rsidP="007A65ED">
            <w:pPr>
              <w:jc w:val="center"/>
              <w:rPr>
                <w:b/>
                <w:bCs/>
                <w:sz w:val="14"/>
                <w:szCs w:val="14"/>
              </w:rPr>
            </w:pPr>
            <w:r w:rsidRPr="00872D7E">
              <w:rPr>
                <w:b/>
                <w:bCs/>
                <w:sz w:val="14"/>
                <w:szCs w:val="14"/>
              </w:rPr>
              <w:t>(V-VI-b</w:t>
            </w:r>
            <w:r w:rsidRPr="00872D7E">
              <w:rPr>
                <w:b/>
                <w:bCs/>
                <w:sz w:val="14"/>
                <w:szCs w:val="14"/>
                <w:lang w:eastAsia="tr-TR"/>
              </w:rPr>
              <w:t>)</w:t>
            </w:r>
          </w:p>
        </w:tc>
        <w:tc>
          <w:tcPr>
            <w:tcW w:w="697" w:type="pct"/>
            <w:tcBorders>
              <w:top w:val="nil"/>
              <w:left w:val="nil"/>
              <w:bottom w:val="single" w:sz="4" w:space="0" w:color="auto"/>
              <w:right w:val="single" w:sz="4" w:space="0" w:color="auto"/>
            </w:tcBorders>
            <w:vAlign w:val="center"/>
            <w:hideMark/>
          </w:tcPr>
          <w:p w14:paraId="5CEBB120" w14:textId="7824D6EE" w:rsidR="007A65ED" w:rsidRPr="00D067C4" w:rsidRDefault="007A65ED" w:rsidP="007A65ED">
            <w:pPr>
              <w:jc w:val="right"/>
              <w:rPr>
                <w:b/>
                <w:bCs/>
                <w:sz w:val="14"/>
                <w:szCs w:val="14"/>
              </w:rPr>
            </w:pPr>
            <w:r w:rsidRPr="00D067C4">
              <w:rPr>
                <w:b/>
                <w:bCs/>
                <w:sz w:val="14"/>
                <w:szCs w:val="14"/>
              </w:rPr>
              <w:t>21.012.219</w:t>
            </w:r>
          </w:p>
        </w:tc>
        <w:tc>
          <w:tcPr>
            <w:tcW w:w="684" w:type="pct"/>
            <w:tcBorders>
              <w:top w:val="nil"/>
              <w:left w:val="nil"/>
              <w:bottom w:val="single" w:sz="4" w:space="0" w:color="auto"/>
              <w:right w:val="single" w:sz="4" w:space="0" w:color="auto"/>
            </w:tcBorders>
            <w:vAlign w:val="bottom"/>
            <w:hideMark/>
          </w:tcPr>
          <w:p w14:paraId="58F7123C" w14:textId="77777777" w:rsidR="007A65ED" w:rsidRPr="00D067C4" w:rsidRDefault="007A65ED" w:rsidP="007A65ED">
            <w:pPr>
              <w:jc w:val="right"/>
              <w:rPr>
                <w:b/>
                <w:bCs/>
                <w:color w:val="000000"/>
                <w:sz w:val="14"/>
                <w:szCs w:val="14"/>
                <w:lang w:eastAsia="tr-TR"/>
              </w:rPr>
            </w:pPr>
            <w:r w:rsidRPr="00D067C4">
              <w:rPr>
                <w:b/>
                <w:bCs/>
                <w:color w:val="000000"/>
                <w:sz w:val="14"/>
                <w:szCs w:val="14"/>
                <w:lang w:eastAsia="tr-TR"/>
              </w:rPr>
              <w:t>7.027.847</w:t>
            </w:r>
          </w:p>
        </w:tc>
      </w:tr>
    </w:tbl>
    <w:p w14:paraId="5567FFD8" w14:textId="75924508" w:rsidR="00C253B8" w:rsidRPr="00471CBA" w:rsidRDefault="00C253B8" w:rsidP="009F6E11">
      <w:pPr>
        <w:widowControl w:val="0"/>
        <w:jc w:val="both"/>
        <w:rPr>
          <w:sz w:val="16"/>
          <w:szCs w:val="20"/>
        </w:rPr>
      </w:pPr>
    </w:p>
    <w:p w14:paraId="146AAABC" w14:textId="77777777" w:rsidR="0011757C" w:rsidRPr="00471CBA" w:rsidRDefault="0011757C" w:rsidP="001B6D11">
      <w:pPr>
        <w:widowControl w:val="0"/>
        <w:jc w:val="both"/>
        <w:rPr>
          <w:szCs w:val="20"/>
        </w:rPr>
      </w:pPr>
    </w:p>
    <w:p w14:paraId="1981A9CE" w14:textId="77777777" w:rsidR="00DB5BF9" w:rsidRPr="00471CBA" w:rsidRDefault="00DB5BF9" w:rsidP="001B6D11">
      <w:pPr>
        <w:widowControl w:val="0"/>
        <w:jc w:val="both"/>
        <w:rPr>
          <w:szCs w:val="20"/>
        </w:rPr>
      </w:pPr>
    </w:p>
    <w:p w14:paraId="48A99C5A" w14:textId="1B4544BE" w:rsidR="00001F3A" w:rsidRDefault="00001F3A" w:rsidP="009F6E11">
      <w:pPr>
        <w:widowControl w:val="0"/>
        <w:jc w:val="both"/>
        <w:rPr>
          <w:sz w:val="16"/>
          <w:szCs w:val="16"/>
        </w:rPr>
      </w:pPr>
    </w:p>
    <w:p w14:paraId="67F89639" w14:textId="77777777" w:rsidR="00F36B82" w:rsidRDefault="00F36B82" w:rsidP="009F6E11">
      <w:pPr>
        <w:widowControl w:val="0"/>
        <w:jc w:val="both"/>
        <w:rPr>
          <w:sz w:val="16"/>
          <w:szCs w:val="16"/>
        </w:rPr>
      </w:pPr>
    </w:p>
    <w:p w14:paraId="3237C032" w14:textId="77777777" w:rsidR="00F36B82" w:rsidRDefault="00F36B82" w:rsidP="009F6E11">
      <w:pPr>
        <w:widowControl w:val="0"/>
        <w:jc w:val="both"/>
        <w:rPr>
          <w:sz w:val="16"/>
          <w:szCs w:val="16"/>
        </w:rPr>
      </w:pPr>
    </w:p>
    <w:p w14:paraId="4B716245" w14:textId="77777777" w:rsidR="00F36B82" w:rsidRDefault="00F36B82" w:rsidP="009F6E11">
      <w:pPr>
        <w:widowControl w:val="0"/>
        <w:jc w:val="both"/>
        <w:rPr>
          <w:sz w:val="16"/>
          <w:szCs w:val="16"/>
        </w:rPr>
      </w:pPr>
    </w:p>
    <w:p w14:paraId="73E24F07" w14:textId="77777777" w:rsidR="00F36B82" w:rsidRDefault="00F36B82" w:rsidP="009F6E11">
      <w:pPr>
        <w:widowControl w:val="0"/>
        <w:jc w:val="both"/>
        <w:rPr>
          <w:sz w:val="16"/>
          <w:szCs w:val="16"/>
        </w:rPr>
      </w:pPr>
    </w:p>
    <w:p w14:paraId="049F1047" w14:textId="77777777" w:rsidR="00F36B82" w:rsidRDefault="00F36B82" w:rsidP="009F6E11">
      <w:pPr>
        <w:widowControl w:val="0"/>
        <w:jc w:val="both"/>
        <w:rPr>
          <w:sz w:val="16"/>
          <w:szCs w:val="16"/>
        </w:rPr>
      </w:pPr>
    </w:p>
    <w:p w14:paraId="673E0A1C" w14:textId="77777777" w:rsidR="00F36B82" w:rsidRDefault="00F36B82" w:rsidP="009F6E11">
      <w:pPr>
        <w:widowControl w:val="0"/>
        <w:jc w:val="both"/>
        <w:rPr>
          <w:sz w:val="16"/>
          <w:szCs w:val="16"/>
        </w:rPr>
      </w:pPr>
    </w:p>
    <w:p w14:paraId="4E68B4DE" w14:textId="77777777" w:rsidR="00F36B82" w:rsidRPr="00471CBA" w:rsidRDefault="00F36B82" w:rsidP="009F6E11">
      <w:pPr>
        <w:widowControl w:val="0"/>
        <w:jc w:val="both"/>
        <w:rPr>
          <w:sz w:val="16"/>
          <w:szCs w:val="16"/>
        </w:rPr>
      </w:pPr>
    </w:p>
    <w:p w14:paraId="0BB63C34" w14:textId="77777777" w:rsidR="0014276B" w:rsidRPr="00471CBA" w:rsidRDefault="00FD1822" w:rsidP="003C48E9">
      <w:pPr>
        <w:widowControl w:val="0"/>
        <w:jc w:val="center"/>
        <w:rPr>
          <w:szCs w:val="20"/>
        </w:rPr>
        <w:sectPr w:rsidR="0014276B" w:rsidRPr="00471CBA" w:rsidSect="00504891">
          <w:headerReference w:type="even" r:id="rId57"/>
          <w:headerReference w:type="default" r:id="rId58"/>
          <w:footerReference w:type="even" r:id="rId59"/>
          <w:footerReference w:type="default" r:id="rId60"/>
          <w:headerReference w:type="first" r:id="rId61"/>
          <w:pgSz w:w="11907" w:h="16840" w:code="9"/>
          <w:pgMar w:top="851" w:right="851" w:bottom="851" w:left="1134" w:header="851" w:footer="851" w:gutter="0"/>
          <w:cols w:space="708"/>
          <w:titlePg/>
          <w:docGrid w:linePitch="360"/>
        </w:sectPr>
      </w:pPr>
      <w:r w:rsidRPr="00471CBA">
        <w:rPr>
          <w:szCs w:val="20"/>
        </w:rPr>
        <w:t>İlişikteki açıklama ve dipnotlar bu finansal tablol</w:t>
      </w:r>
      <w:r w:rsidR="007C04FA" w:rsidRPr="00471CBA">
        <w:rPr>
          <w:szCs w:val="20"/>
        </w:rPr>
        <w:t>arın tamamlayıcı bir parçasıdır.</w:t>
      </w:r>
    </w:p>
    <w:tbl>
      <w:tblPr>
        <w:tblW w:w="4965" w:type="pct"/>
        <w:tblLook w:val="04A0" w:firstRow="1" w:lastRow="0" w:firstColumn="1" w:lastColumn="0" w:noHBand="0" w:noVBand="1"/>
      </w:tblPr>
      <w:tblGrid>
        <w:gridCol w:w="5949"/>
        <w:gridCol w:w="1947"/>
        <w:gridCol w:w="1947"/>
      </w:tblGrid>
      <w:tr w:rsidR="0014276B" w:rsidRPr="00471CBA" w14:paraId="16F706AC" w14:textId="77777777" w:rsidTr="0014276B">
        <w:trPr>
          <w:trHeight w:val="113"/>
        </w:trPr>
        <w:tc>
          <w:tcPr>
            <w:tcW w:w="3022" w:type="pct"/>
            <w:tcBorders>
              <w:top w:val="single" w:sz="4" w:space="0" w:color="auto"/>
              <w:left w:val="single" w:sz="4" w:space="0" w:color="auto"/>
              <w:bottom w:val="single" w:sz="4" w:space="0" w:color="auto"/>
              <w:right w:val="single" w:sz="4" w:space="0" w:color="auto"/>
            </w:tcBorders>
            <w:vAlign w:val="center"/>
            <w:hideMark/>
          </w:tcPr>
          <w:p w14:paraId="0D1404D3" w14:textId="77777777" w:rsidR="0014276B" w:rsidRPr="00471CBA" w:rsidRDefault="0014276B" w:rsidP="0014276B">
            <w:pPr>
              <w:jc w:val="center"/>
              <w:rPr>
                <w:b/>
                <w:bCs/>
                <w:sz w:val="15"/>
                <w:szCs w:val="15"/>
              </w:rPr>
            </w:pPr>
            <w:bookmarkStart w:id="15" w:name="_Hlk222997895"/>
            <w:r w:rsidRPr="00471CBA">
              <w:rPr>
                <w:b/>
                <w:bCs/>
                <w:sz w:val="15"/>
                <w:szCs w:val="15"/>
              </w:rPr>
              <w:lastRenderedPageBreak/>
              <w:t>KAR DAĞITIM TABLOSU</w:t>
            </w:r>
          </w:p>
        </w:tc>
        <w:tc>
          <w:tcPr>
            <w:tcW w:w="989" w:type="pct"/>
            <w:tcBorders>
              <w:top w:val="single" w:sz="4" w:space="0" w:color="auto"/>
              <w:left w:val="single" w:sz="4" w:space="0" w:color="auto"/>
              <w:bottom w:val="single" w:sz="4" w:space="0" w:color="auto"/>
              <w:right w:val="single" w:sz="4" w:space="0" w:color="auto"/>
            </w:tcBorders>
            <w:vAlign w:val="bottom"/>
          </w:tcPr>
          <w:p w14:paraId="300FD3D1" w14:textId="7F942253" w:rsidR="0014276B" w:rsidRPr="00471CBA" w:rsidRDefault="0014276B" w:rsidP="0014276B">
            <w:pPr>
              <w:jc w:val="right"/>
              <w:rPr>
                <w:b/>
                <w:sz w:val="15"/>
                <w:szCs w:val="15"/>
              </w:rPr>
            </w:pPr>
            <w:r w:rsidRPr="00471CBA">
              <w:rPr>
                <w:b/>
                <w:sz w:val="15"/>
                <w:szCs w:val="15"/>
              </w:rPr>
              <w:t>31 Aralık 2025</w:t>
            </w:r>
          </w:p>
        </w:tc>
        <w:tc>
          <w:tcPr>
            <w:tcW w:w="989" w:type="pct"/>
            <w:tcBorders>
              <w:top w:val="single" w:sz="4" w:space="0" w:color="auto"/>
              <w:left w:val="single" w:sz="4" w:space="0" w:color="auto"/>
              <w:bottom w:val="single" w:sz="4" w:space="0" w:color="auto"/>
              <w:right w:val="single" w:sz="4" w:space="0" w:color="auto"/>
            </w:tcBorders>
            <w:vAlign w:val="bottom"/>
            <w:hideMark/>
          </w:tcPr>
          <w:p w14:paraId="5409CC7F" w14:textId="7640D3F2" w:rsidR="0014276B" w:rsidRPr="00471CBA" w:rsidRDefault="0014276B" w:rsidP="0014276B">
            <w:pPr>
              <w:jc w:val="right"/>
              <w:rPr>
                <w:b/>
                <w:sz w:val="15"/>
                <w:szCs w:val="15"/>
              </w:rPr>
            </w:pPr>
            <w:r w:rsidRPr="00471CBA">
              <w:rPr>
                <w:b/>
                <w:sz w:val="15"/>
                <w:szCs w:val="15"/>
              </w:rPr>
              <w:t>31 Aralık 2024</w:t>
            </w:r>
          </w:p>
        </w:tc>
      </w:tr>
      <w:tr w:rsidR="0014276B" w:rsidRPr="00471CBA" w14:paraId="4B0DD901" w14:textId="77777777" w:rsidTr="0014276B">
        <w:trPr>
          <w:trHeight w:val="113"/>
        </w:trPr>
        <w:tc>
          <w:tcPr>
            <w:tcW w:w="3022" w:type="pct"/>
            <w:tcBorders>
              <w:top w:val="nil"/>
              <w:left w:val="single" w:sz="4" w:space="0" w:color="auto"/>
              <w:bottom w:val="nil"/>
              <w:right w:val="single" w:sz="4" w:space="0" w:color="auto"/>
            </w:tcBorders>
            <w:vAlign w:val="bottom"/>
          </w:tcPr>
          <w:p w14:paraId="1DC7A27E" w14:textId="77777777" w:rsidR="0014276B" w:rsidRPr="00471CBA" w:rsidRDefault="0014276B" w:rsidP="0014276B">
            <w:pPr>
              <w:rPr>
                <w:b/>
                <w:bCs/>
                <w:sz w:val="15"/>
                <w:szCs w:val="15"/>
              </w:rPr>
            </w:pPr>
          </w:p>
        </w:tc>
        <w:tc>
          <w:tcPr>
            <w:tcW w:w="989" w:type="pct"/>
            <w:tcBorders>
              <w:top w:val="single" w:sz="4" w:space="0" w:color="auto"/>
              <w:left w:val="single" w:sz="4" w:space="0" w:color="auto"/>
              <w:bottom w:val="nil"/>
              <w:right w:val="single" w:sz="4" w:space="0" w:color="auto"/>
            </w:tcBorders>
          </w:tcPr>
          <w:p w14:paraId="5CC0A96E" w14:textId="77777777" w:rsidR="0014276B" w:rsidRPr="00471CBA" w:rsidRDefault="0014276B" w:rsidP="0014276B">
            <w:pPr>
              <w:jc w:val="center"/>
              <w:rPr>
                <w:b/>
                <w:sz w:val="15"/>
                <w:szCs w:val="15"/>
              </w:rPr>
            </w:pPr>
          </w:p>
        </w:tc>
        <w:tc>
          <w:tcPr>
            <w:tcW w:w="989" w:type="pct"/>
            <w:tcBorders>
              <w:top w:val="single" w:sz="4" w:space="0" w:color="auto"/>
              <w:left w:val="single" w:sz="4" w:space="0" w:color="auto"/>
              <w:bottom w:val="nil"/>
              <w:right w:val="single" w:sz="4" w:space="0" w:color="auto"/>
            </w:tcBorders>
          </w:tcPr>
          <w:p w14:paraId="0EB1837C" w14:textId="6A3DB7CA" w:rsidR="0014276B" w:rsidRPr="00471CBA" w:rsidRDefault="0014276B" w:rsidP="0014276B">
            <w:pPr>
              <w:jc w:val="center"/>
              <w:rPr>
                <w:b/>
                <w:sz w:val="15"/>
                <w:szCs w:val="15"/>
              </w:rPr>
            </w:pPr>
          </w:p>
        </w:tc>
      </w:tr>
      <w:tr w:rsidR="0014276B" w:rsidRPr="00471CBA" w14:paraId="089607BB" w14:textId="77777777" w:rsidTr="0014276B">
        <w:trPr>
          <w:trHeight w:val="113"/>
        </w:trPr>
        <w:tc>
          <w:tcPr>
            <w:tcW w:w="3022" w:type="pct"/>
            <w:tcBorders>
              <w:top w:val="nil"/>
              <w:left w:val="single" w:sz="4" w:space="0" w:color="auto"/>
              <w:bottom w:val="nil"/>
              <w:right w:val="single" w:sz="4" w:space="0" w:color="auto"/>
            </w:tcBorders>
            <w:hideMark/>
          </w:tcPr>
          <w:p w14:paraId="6D4AD49A" w14:textId="77777777" w:rsidR="0014276B" w:rsidRPr="00471CBA" w:rsidRDefault="0014276B" w:rsidP="0014276B">
            <w:pPr>
              <w:rPr>
                <w:b/>
                <w:sz w:val="15"/>
                <w:szCs w:val="15"/>
              </w:rPr>
            </w:pPr>
            <w:r w:rsidRPr="00471CBA">
              <w:rPr>
                <w:b/>
                <w:sz w:val="15"/>
                <w:szCs w:val="15"/>
              </w:rPr>
              <w:t>I. DÖNEM KÂRININ DAĞITIMI</w:t>
            </w:r>
          </w:p>
        </w:tc>
        <w:tc>
          <w:tcPr>
            <w:tcW w:w="989" w:type="pct"/>
            <w:tcBorders>
              <w:top w:val="nil"/>
              <w:left w:val="single" w:sz="4" w:space="0" w:color="auto"/>
              <w:bottom w:val="nil"/>
              <w:right w:val="single" w:sz="4" w:space="0" w:color="auto"/>
            </w:tcBorders>
          </w:tcPr>
          <w:p w14:paraId="7A46B06E" w14:textId="77777777" w:rsidR="0014276B" w:rsidRPr="00471CBA" w:rsidRDefault="0014276B" w:rsidP="0014276B">
            <w:pPr>
              <w:jc w:val="center"/>
              <w:rPr>
                <w:b/>
                <w:sz w:val="15"/>
                <w:szCs w:val="15"/>
              </w:rPr>
            </w:pPr>
          </w:p>
        </w:tc>
        <w:tc>
          <w:tcPr>
            <w:tcW w:w="989" w:type="pct"/>
            <w:tcBorders>
              <w:top w:val="nil"/>
              <w:left w:val="single" w:sz="4" w:space="0" w:color="auto"/>
              <w:bottom w:val="nil"/>
              <w:right w:val="single" w:sz="4" w:space="0" w:color="auto"/>
            </w:tcBorders>
          </w:tcPr>
          <w:p w14:paraId="6ACAFE98" w14:textId="6630D420" w:rsidR="0014276B" w:rsidRPr="00471CBA" w:rsidRDefault="0014276B" w:rsidP="0014276B">
            <w:pPr>
              <w:jc w:val="center"/>
              <w:rPr>
                <w:b/>
                <w:sz w:val="15"/>
                <w:szCs w:val="15"/>
              </w:rPr>
            </w:pPr>
          </w:p>
        </w:tc>
      </w:tr>
      <w:tr w:rsidR="0014276B" w:rsidRPr="00471CBA" w14:paraId="4F3A7957" w14:textId="77777777" w:rsidTr="0014276B">
        <w:trPr>
          <w:trHeight w:val="113"/>
        </w:trPr>
        <w:tc>
          <w:tcPr>
            <w:tcW w:w="3022" w:type="pct"/>
            <w:tcBorders>
              <w:top w:val="nil"/>
              <w:left w:val="single" w:sz="4" w:space="0" w:color="auto"/>
              <w:bottom w:val="nil"/>
              <w:right w:val="single" w:sz="4" w:space="0" w:color="auto"/>
            </w:tcBorders>
          </w:tcPr>
          <w:p w14:paraId="7EB343CE" w14:textId="77777777" w:rsidR="0014276B" w:rsidRPr="00471CBA" w:rsidRDefault="0014276B" w:rsidP="0014276B">
            <w:pPr>
              <w:rPr>
                <w:b/>
                <w:sz w:val="15"/>
                <w:szCs w:val="15"/>
              </w:rPr>
            </w:pPr>
          </w:p>
        </w:tc>
        <w:tc>
          <w:tcPr>
            <w:tcW w:w="989" w:type="pct"/>
            <w:tcBorders>
              <w:top w:val="nil"/>
              <w:left w:val="single" w:sz="4" w:space="0" w:color="auto"/>
              <w:bottom w:val="nil"/>
              <w:right w:val="single" w:sz="4" w:space="0" w:color="auto"/>
            </w:tcBorders>
          </w:tcPr>
          <w:p w14:paraId="54C9EE37" w14:textId="77777777" w:rsidR="0014276B" w:rsidRPr="00471CBA" w:rsidRDefault="0014276B" w:rsidP="0014276B">
            <w:pPr>
              <w:jc w:val="center"/>
              <w:rPr>
                <w:sz w:val="15"/>
                <w:szCs w:val="15"/>
              </w:rPr>
            </w:pPr>
          </w:p>
        </w:tc>
        <w:tc>
          <w:tcPr>
            <w:tcW w:w="989" w:type="pct"/>
            <w:tcBorders>
              <w:top w:val="nil"/>
              <w:left w:val="single" w:sz="4" w:space="0" w:color="auto"/>
              <w:bottom w:val="nil"/>
              <w:right w:val="single" w:sz="4" w:space="0" w:color="auto"/>
            </w:tcBorders>
          </w:tcPr>
          <w:p w14:paraId="3E3D42DA" w14:textId="04EB5FE1" w:rsidR="0014276B" w:rsidRPr="00471CBA" w:rsidRDefault="0014276B" w:rsidP="0014276B">
            <w:pPr>
              <w:jc w:val="center"/>
              <w:rPr>
                <w:sz w:val="15"/>
                <w:szCs w:val="15"/>
              </w:rPr>
            </w:pPr>
          </w:p>
        </w:tc>
      </w:tr>
      <w:tr w:rsidR="008329AB" w:rsidRPr="00471CBA" w14:paraId="3B53EF5E" w14:textId="77777777" w:rsidTr="0014276B">
        <w:trPr>
          <w:trHeight w:val="113"/>
        </w:trPr>
        <w:tc>
          <w:tcPr>
            <w:tcW w:w="3022" w:type="pct"/>
            <w:tcBorders>
              <w:top w:val="nil"/>
              <w:left w:val="single" w:sz="4" w:space="0" w:color="auto"/>
              <w:bottom w:val="nil"/>
              <w:right w:val="single" w:sz="4" w:space="0" w:color="auto"/>
            </w:tcBorders>
            <w:hideMark/>
          </w:tcPr>
          <w:p w14:paraId="114DD7C6" w14:textId="77777777" w:rsidR="008329AB" w:rsidRPr="00471CBA" w:rsidRDefault="008329AB" w:rsidP="008329AB">
            <w:pPr>
              <w:rPr>
                <w:sz w:val="15"/>
                <w:szCs w:val="15"/>
              </w:rPr>
            </w:pPr>
            <w:r w:rsidRPr="00471CBA">
              <w:rPr>
                <w:sz w:val="15"/>
                <w:szCs w:val="15"/>
              </w:rPr>
              <w:t xml:space="preserve">1.1. DÖNEM KÂRI </w:t>
            </w:r>
          </w:p>
        </w:tc>
        <w:tc>
          <w:tcPr>
            <w:tcW w:w="989" w:type="pct"/>
            <w:tcBorders>
              <w:top w:val="nil"/>
              <w:left w:val="single" w:sz="4" w:space="0" w:color="auto"/>
              <w:bottom w:val="nil"/>
              <w:right w:val="single" w:sz="4" w:space="0" w:color="auto"/>
            </w:tcBorders>
            <w:vAlign w:val="center"/>
          </w:tcPr>
          <w:p w14:paraId="4B48310F" w14:textId="54BC3296" w:rsidR="008329AB" w:rsidRPr="00471CBA" w:rsidRDefault="008329AB" w:rsidP="008329AB">
            <w:pPr>
              <w:jc w:val="right"/>
              <w:rPr>
                <w:color w:val="000000"/>
                <w:sz w:val="15"/>
                <w:szCs w:val="15"/>
              </w:rPr>
            </w:pPr>
            <w:r w:rsidRPr="00471CBA">
              <w:rPr>
                <w:color w:val="000000"/>
                <w:sz w:val="15"/>
                <w:szCs w:val="15"/>
              </w:rPr>
              <w:t>2.755.183</w:t>
            </w:r>
          </w:p>
        </w:tc>
        <w:tc>
          <w:tcPr>
            <w:tcW w:w="989" w:type="pct"/>
            <w:tcBorders>
              <w:top w:val="nil"/>
              <w:left w:val="single" w:sz="4" w:space="0" w:color="auto"/>
              <w:bottom w:val="nil"/>
              <w:right w:val="single" w:sz="4" w:space="0" w:color="auto"/>
            </w:tcBorders>
            <w:vAlign w:val="center"/>
            <w:hideMark/>
          </w:tcPr>
          <w:p w14:paraId="725B803F" w14:textId="61C485A7" w:rsidR="008329AB" w:rsidRPr="00471CBA" w:rsidRDefault="008329AB" w:rsidP="008329AB">
            <w:pPr>
              <w:jc w:val="right"/>
              <w:rPr>
                <w:sz w:val="15"/>
                <w:szCs w:val="15"/>
              </w:rPr>
            </w:pPr>
            <w:r w:rsidRPr="00471CBA">
              <w:rPr>
                <w:color w:val="000000"/>
                <w:sz w:val="15"/>
                <w:szCs w:val="15"/>
              </w:rPr>
              <w:t>1.616.235</w:t>
            </w:r>
          </w:p>
        </w:tc>
      </w:tr>
      <w:tr w:rsidR="008329AB" w:rsidRPr="00471CBA" w14:paraId="1144B464" w14:textId="77777777" w:rsidTr="0014276B">
        <w:trPr>
          <w:trHeight w:val="113"/>
        </w:trPr>
        <w:tc>
          <w:tcPr>
            <w:tcW w:w="3022" w:type="pct"/>
            <w:tcBorders>
              <w:top w:val="nil"/>
              <w:left w:val="single" w:sz="4" w:space="0" w:color="auto"/>
              <w:bottom w:val="nil"/>
              <w:right w:val="single" w:sz="4" w:space="0" w:color="auto"/>
            </w:tcBorders>
            <w:hideMark/>
          </w:tcPr>
          <w:p w14:paraId="1E12B401" w14:textId="77777777" w:rsidR="008329AB" w:rsidRPr="00471CBA" w:rsidRDefault="008329AB" w:rsidP="008329AB">
            <w:pPr>
              <w:rPr>
                <w:sz w:val="15"/>
                <w:szCs w:val="15"/>
              </w:rPr>
            </w:pPr>
            <w:r w:rsidRPr="00471CBA">
              <w:rPr>
                <w:sz w:val="15"/>
                <w:szCs w:val="15"/>
              </w:rPr>
              <w:t>1.2. ÖDENECEK VERGİ VE YASAL YÜKÜMLÜLÜKLER (-)</w:t>
            </w:r>
          </w:p>
        </w:tc>
        <w:tc>
          <w:tcPr>
            <w:tcW w:w="989" w:type="pct"/>
            <w:tcBorders>
              <w:top w:val="nil"/>
              <w:left w:val="single" w:sz="4" w:space="0" w:color="auto"/>
              <w:bottom w:val="nil"/>
              <w:right w:val="single" w:sz="4" w:space="0" w:color="auto"/>
            </w:tcBorders>
            <w:vAlign w:val="center"/>
          </w:tcPr>
          <w:p w14:paraId="2267EA9A" w14:textId="7B1A3FCC" w:rsidR="008329AB" w:rsidRPr="00471CBA" w:rsidRDefault="008329AB" w:rsidP="008329AB">
            <w:pPr>
              <w:jc w:val="right"/>
              <w:rPr>
                <w:color w:val="000000"/>
                <w:sz w:val="15"/>
                <w:szCs w:val="15"/>
              </w:rPr>
            </w:pPr>
            <w:r w:rsidRPr="00471CBA">
              <w:rPr>
                <w:color w:val="000000"/>
                <w:sz w:val="15"/>
                <w:szCs w:val="15"/>
              </w:rPr>
              <w:t>697.972</w:t>
            </w:r>
          </w:p>
        </w:tc>
        <w:tc>
          <w:tcPr>
            <w:tcW w:w="989" w:type="pct"/>
            <w:tcBorders>
              <w:top w:val="nil"/>
              <w:left w:val="single" w:sz="4" w:space="0" w:color="auto"/>
              <w:bottom w:val="nil"/>
              <w:right w:val="single" w:sz="4" w:space="0" w:color="auto"/>
            </w:tcBorders>
            <w:vAlign w:val="center"/>
            <w:hideMark/>
          </w:tcPr>
          <w:p w14:paraId="4E904F72" w14:textId="2B8EDAAD" w:rsidR="008329AB" w:rsidRPr="00471CBA" w:rsidRDefault="008329AB" w:rsidP="008329AB">
            <w:pPr>
              <w:jc w:val="right"/>
              <w:rPr>
                <w:sz w:val="15"/>
                <w:szCs w:val="15"/>
              </w:rPr>
            </w:pPr>
            <w:r w:rsidRPr="00471CBA">
              <w:rPr>
                <w:color w:val="000000"/>
                <w:sz w:val="15"/>
                <w:szCs w:val="15"/>
              </w:rPr>
              <w:t>262.593</w:t>
            </w:r>
          </w:p>
        </w:tc>
      </w:tr>
      <w:tr w:rsidR="008329AB" w:rsidRPr="00471CBA" w14:paraId="30FDFFF1" w14:textId="77777777" w:rsidTr="0014276B">
        <w:trPr>
          <w:trHeight w:val="113"/>
        </w:trPr>
        <w:tc>
          <w:tcPr>
            <w:tcW w:w="3022" w:type="pct"/>
            <w:tcBorders>
              <w:top w:val="nil"/>
              <w:left w:val="single" w:sz="4" w:space="0" w:color="auto"/>
              <w:bottom w:val="nil"/>
              <w:right w:val="single" w:sz="4" w:space="0" w:color="auto"/>
            </w:tcBorders>
            <w:hideMark/>
          </w:tcPr>
          <w:p w14:paraId="13C909FE" w14:textId="77777777" w:rsidR="008329AB" w:rsidRPr="00471CBA" w:rsidRDefault="008329AB" w:rsidP="008329AB">
            <w:pPr>
              <w:rPr>
                <w:sz w:val="15"/>
                <w:szCs w:val="15"/>
              </w:rPr>
            </w:pPr>
            <w:r w:rsidRPr="00471CBA">
              <w:rPr>
                <w:sz w:val="15"/>
                <w:szCs w:val="15"/>
              </w:rPr>
              <w:t>1.2.1. Kurumlar Vergisi (Gelir Vergisi)</w:t>
            </w:r>
          </w:p>
        </w:tc>
        <w:tc>
          <w:tcPr>
            <w:tcW w:w="989" w:type="pct"/>
            <w:tcBorders>
              <w:top w:val="nil"/>
              <w:left w:val="single" w:sz="4" w:space="0" w:color="auto"/>
              <w:bottom w:val="nil"/>
              <w:right w:val="single" w:sz="4" w:space="0" w:color="auto"/>
            </w:tcBorders>
            <w:vAlign w:val="center"/>
          </w:tcPr>
          <w:p w14:paraId="1BAAFB9F" w14:textId="7CA2D9C4" w:rsidR="008329AB" w:rsidRPr="00471CBA" w:rsidRDefault="008329AB" w:rsidP="008329AB">
            <w:pPr>
              <w:jc w:val="right"/>
              <w:rPr>
                <w:color w:val="000000"/>
                <w:sz w:val="15"/>
                <w:szCs w:val="15"/>
              </w:rPr>
            </w:pPr>
            <w:r w:rsidRPr="00471CBA">
              <w:rPr>
                <w:color w:val="000000"/>
                <w:sz w:val="15"/>
                <w:szCs w:val="15"/>
              </w:rPr>
              <w:t>572.085</w:t>
            </w:r>
          </w:p>
        </w:tc>
        <w:tc>
          <w:tcPr>
            <w:tcW w:w="989" w:type="pct"/>
            <w:tcBorders>
              <w:top w:val="nil"/>
              <w:left w:val="single" w:sz="4" w:space="0" w:color="auto"/>
              <w:bottom w:val="nil"/>
              <w:right w:val="single" w:sz="4" w:space="0" w:color="auto"/>
            </w:tcBorders>
            <w:vAlign w:val="center"/>
            <w:hideMark/>
          </w:tcPr>
          <w:p w14:paraId="22910874" w14:textId="079FE1ED" w:rsidR="008329AB" w:rsidRPr="00471CBA" w:rsidRDefault="008329AB" w:rsidP="008329AB">
            <w:pPr>
              <w:jc w:val="right"/>
              <w:rPr>
                <w:sz w:val="15"/>
                <w:szCs w:val="15"/>
              </w:rPr>
            </w:pPr>
            <w:r w:rsidRPr="00471CBA">
              <w:rPr>
                <w:color w:val="000000"/>
                <w:sz w:val="15"/>
                <w:szCs w:val="15"/>
              </w:rPr>
              <w:t>334.828</w:t>
            </w:r>
          </w:p>
        </w:tc>
      </w:tr>
      <w:tr w:rsidR="008329AB" w:rsidRPr="00471CBA" w14:paraId="10BE55FA" w14:textId="77777777" w:rsidTr="0014276B">
        <w:trPr>
          <w:trHeight w:val="113"/>
        </w:trPr>
        <w:tc>
          <w:tcPr>
            <w:tcW w:w="3022" w:type="pct"/>
            <w:tcBorders>
              <w:top w:val="nil"/>
              <w:left w:val="single" w:sz="4" w:space="0" w:color="auto"/>
              <w:bottom w:val="nil"/>
              <w:right w:val="single" w:sz="4" w:space="0" w:color="auto"/>
            </w:tcBorders>
            <w:hideMark/>
          </w:tcPr>
          <w:p w14:paraId="1B508410" w14:textId="77777777" w:rsidR="008329AB" w:rsidRPr="00471CBA" w:rsidRDefault="008329AB" w:rsidP="008329AB">
            <w:pPr>
              <w:rPr>
                <w:sz w:val="15"/>
                <w:szCs w:val="15"/>
              </w:rPr>
            </w:pPr>
            <w:r w:rsidRPr="00471CBA">
              <w:rPr>
                <w:sz w:val="15"/>
                <w:szCs w:val="15"/>
              </w:rPr>
              <w:t>1.2.2. Gelir Vergisi Kesintisi</w:t>
            </w:r>
          </w:p>
        </w:tc>
        <w:tc>
          <w:tcPr>
            <w:tcW w:w="989" w:type="pct"/>
            <w:tcBorders>
              <w:top w:val="nil"/>
              <w:left w:val="single" w:sz="4" w:space="0" w:color="auto"/>
              <w:bottom w:val="nil"/>
              <w:right w:val="single" w:sz="4" w:space="0" w:color="auto"/>
            </w:tcBorders>
            <w:vAlign w:val="center"/>
          </w:tcPr>
          <w:p w14:paraId="1C26FD04" w14:textId="40926CC4" w:rsidR="008329AB" w:rsidRPr="00471CBA" w:rsidRDefault="008329AB" w:rsidP="008329AB">
            <w:pPr>
              <w:jc w:val="right"/>
              <w:rPr>
                <w:color w:val="000000"/>
                <w:sz w:val="15"/>
                <w:szCs w:val="15"/>
              </w:rPr>
            </w:pPr>
            <w:r w:rsidRPr="00471CBA">
              <w:rPr>
                <w:color w:val="000000"/>
                <w:sz w:val="15"/>
                <w:szCs w:val="15"/>
              </w:rPr>
              <w:t>-</w:t>
            </w:r>
          </w:p>
        </w:tc>
        <w:tc>
          <w:tcPr>
            <w:tcW w:w="989" w:type="pct"/>
            <w:tcBorders>
              <w:top w:val="nil"/>
              <w:left w:val="single" w:sz="4" w:space="0" w:color="auto"/>
              <w:bottom w:val="nil"/>
              <w:right w:val="single" w:sz="4" w:space="0" w:color="auto"/>
            </w:tcBorders>
            <w:vAlign w:val="center"/>
            <w:hideMark/>
          </w:tcPr>
          <w:p w14:paraId="7AE72689" w14:textId="0983B0EC" w:rsidR="008329AB" w:rsidRPr="00471CBA" w:rsidRDefault="008329AB" w:rsidP="008329AB">
            <w:pPr>
              <w:jc w:val="right"/>
              <w:rPr>
                <w:sz w:val="15"/>
                <w:szCs w:val="15"/>
              </w:rPr>
            </w:pPr>
            <w:r w:rsidRPr="00471CBA">
              <w:rPr>
                <w:color w:val="000000"/>
                <w:sz w:val="15"/>
                <w:szCs w:val="15"/>
              </w:rPr>
              <w:t>-</w:t>
            </w:r>
          </w:p>
        </w:tc>
      </w:tr>
      <w:tr w:rsidR="008329AB" w:rsidRPr="00471CBA" w14:paraId="5390DB81" w14:textId="77777777" w:rsidTr="0014276B">
        <w:trPr>
          <w:trHeight w:val="113"/>
        </w:trPr>
        <w:tc>
          <w:tcPr>
            <w:tcW w:w="3022" w:type="pct"/>
            <w:tcBorders>
              <w:top w:val="nil"/>
              <w:left w:val="single" w:sz="4" w:space="0" w:color="auto"/>
              <w:bottom w:val="nil"/>
              <w:right w:val="single" w:sz="4" w:space="0" w:color="auto"/>
            </w:tcBorders>
            <w:hideMark/>
          </w:tcPr>
          <w:p w14:paraId="70F50333" w14:textId="77777777" w:rsidR="008329AB" w:rsidRPr="00471CBA" w:rsidRDefault="008329AB" w:rsidP="008329AB">
            <w:pPr>
              <w:rPr>
                <w:sz w:val="15"/>
                <w:szCs w:val="15"/>
              </w:rPr>
            </w:pPr>
            <w:r w:rsidRPr="00471CBA">
              <w:rPr>
                <w:sz w:val="15"/>
                <w:szCs w:val="15"/>
              </w:rPr>
              <w:t xml:space="preserve">1.2.3. Diğer Vergi ve Yasal Yükümlülükler </w:t>
            </w:r>
            <w:r w:rsidRPr="00471CBA">
              <w:rPr>
                <w:sz w:val="15"/>
                <w:szCs w:val="15"/>
                <w:vertAlign w:val="superscript"/>
              </w:rPr>
              <w:t>(*)</w:t>
            </w:r>
          </w:p>
        </w:tc>
        <w:tc>
          <w:tcPr>
            <w:tcW w:w="989" w:type="pct"/>
            <w:tcBorders>
              <w:top w:val="nil"/>
              <w:left w:val="single" w:sz="4" w:space="0" w:color="auto"/>
              <w:bottom w:val="nil"/>
              <w:right w:val="single" w:sz="4" w:space="0" w:color="auto"/>
            </w:tcBorders>
            <w:vAlign w:val="center"/>
          </w:tcPr>
          <w:p w14:paraId="123C3466" w14:textId="20628397" w:rsidR="008329AB" w:rsidRPr="00471CBA" w:rsidRDefault="008329AB" w:rsidP="008329AB">
            <w:pPr>
              <w:jc w:val="right"/>
              <w:rPr>
                <w:color w:val="000000"/>
                <w:sz w:val="15"/>
                <w:szCs w:val="15"/>
              </w:rPr>
            </w:pPr>
            <w:r w:rsidRPr="00471CBA">
              <w:rPr>
                <w:color w:val="000000"/>
                <w:sz w:val="15"/>
                <w:szCs w:val="15"/>
              </w:rPr>
              <w:t>125.887</w:t>
            </w:r>
          </w:p>
        </w:tc>
        <w:tc>
          <w:tcPr>
            <w:tcW w:w="989" w:type="pct"/>
            <w:tcBorders>
              <w:top w:val="nil"/>
              <w:left w:val="single" w:sz="4" w:space="0" w:color="auto"/>
              <w:bottom w:val="nil"/>
              <w:right w:val="single" w:sz="4" w:space="0" w:color="auto"/>
            </w:tcBorders>
            <w:vAlign w:val="center"/>
            <w:hideMark/>
          </w:tcPr>
          <w:p w14:paraId="0288C241" w14:textId="1EC54D89" w:rsidR="008329AB" w:rsidRPr="00471CBA" w:rsidRDefault="008329AB" w:rsidP="008329AB">
            <w:pPr>
              <w:jc w:val="right"/>
              <w:rPr>
                <w:sz w:val="15"/>
                <w:szCs w:val="15"/>
              </w:rPr>
            </w:pPr>
            <w:r w:rsidRPr="00471CBA">
              <w:rPr>
                <w:color w:val="000000"/>
                <w:sz w:val="15"/>
                <w:szCs w:val="15"/>
              </w:rPr>
              <w:t>(72.235)</w:t>
            </w:r>
          </w:p>
        </w:tc>
      </w:tr>
      <w:tr w:rsidR="008329AB" w:rsidRPr="00471CBA" w14:paraId="5D12192B" w14:textId="77777777" w:rsidTr="0014276B">
        <w:trPr>
          <w:trHeight w:val="113"/>
        </w:trPr>
        <w:tc>
          <w:tcPr>
            <w:tcW w:w="3022" w:type="pct"/>
            <w:tcBorders>
              <w:top w:val="nil"/>
              <w:left w:val="single" w:sz="4" w:space="0" w:color="auto"/>
              <w:bottom w:val="nil"/>
              <w:right w:val="single" w:sz="4" w:space="0" w:color="auto"/>
            </w:tcBorders>
          </w:tcPr>
          <w:p w14:paraId="7741BDED" w14:textId="77777777" w:rsidR="008329AB" w:rsidRPr="00471CBA" w:rsidRDefault="008329AB" w:rsidP="008329AB">
            <w:pPr>
              <w:rPr>
                <w:sz w:val="15"/>
                <w:szCs w:val="15"/>
              </w:rPr>
            </w:pPr>
          </w:p>
        </w:tc>
        <w:tc>
          <w:tcPr>
            <w:tcW w:w="989" w:type="pct"/>
            <w:tcBorders>
              <w:top w:val="nil"/>
              <w:left w:val="single" w:sz="4" w:space="0" w:color="auto"/>
              <w:bottom w:val="nil"/>
              <w:right w:val="single" w:sz="4" w:space="0" w:color="auto"/>
            </w:tcBorders>
            <w:vAlign w:val="bottom"/>
          </w:tcPr>
          <w:p w14:paraId="2C39E91F" w14:textId="1D372DDE" w:rsidR="008329AB" w:rsidRPr="00471CBA" w:rsidRDefault="008329AB" w:rsidP="008329AB">
            <w:pPr>
              <w:jc w:val="right"/>
              <w:rPr>
                <w:color w:val="000000"/>
                <w:sz w:val="15"/>
                <w:szCs w:val="15"/>
              </w:rPr>
            </w:pPr>
            <w:r w:rsidRPr="00471CBA">
              <w:rPr>
                <w:color w:val="000000"/>
                <w:sz w:val="15"/>
                <w:szCs w:val="15"/>
              </w:rPr>
              <w:t> </w:t>
            </w:r>
          </w:p>
        </w:tc>
        <w:tc>
          <w:tcPr>
            <w:tcW w:w="989" w:type="pct"/>
            <w:tcBorders>
              <w:top w:val="nil"/>
              <w:left w:val="single" w:sz="4" w:space="0" w:color="auto"/>
              <w:bottom w:val="nil"/>
              <w:right w:val="single" w:sz="4" w:space="0" w:color="auto"/>
            </w:tcBorders>
            <w:vAlign w:val="bottom"/>
            <w:hideMark/>
          </w:tcPr>
          <w:p w14:paraId="30202AAE" w14:textId="2AB2E64D" w:rsidR="008329AB" w:rsidRPr="00471CBA" w:rsidRDefault="008329AB" w:rsidP="008329AB">
            <w:pPr>
              <w:jc w:val="right"/>
              <w:rPr>
                <w:sz w:val="15"/>
                <w:szCs w:val="15"/>
              </w:rPr>
            </w:pPr>
            <w:r w:rsidRPr="00471CBA">
              <w:rPr>
                <w:color w:val="000000"/>
                <w:sz w:val="15"/>
                <w:szCs w:val="15"/>
              </w:rPr>
              <w:t> </w:t>
            </w:r>
          </w:p>
        </w:tc>
      </w:tr>
      <w:tr w:rsidR="008329AB" w:rsidRPr="00471CBA" w14:paraId="7CF5D3A5" w14:textId="77777777" w:rsidTr="0014276B">
        <w:trPr>
          <w:trHeight w:val="113"/>
        </w:trPr>
        <w:tc>
          <w:tcPr>
            <w:tcW w:w="3022" w:type="pct"/>
            <w:tcBorders>
              <w:top w:val="nil"/>
              <w:left w:val="single" w:sz="4" w:space="0" w:color="auto"/>
              <w:bottom w:val="nil"/>
              <w:right w:val="single" w:sz="4" w:space="0" w:color="auto"/>
            </w:tcBorders>
            <w:hideMark/>
          </w:tcPr>
          <w:p w14:paraId="1A5C7D29" w14:textId="77777777" w:rsidR="008329AB" w:rsidRPr="00471CBA" w:rsidRDefault="008329AB" w:rsidP="008329AB">
            <w:pPr>
              <w:rPr>
                <w:b/>
                <w:sz w:val="15"/>
                <w:szCs w:val="15"/>
              </w:rPr>
            </w:pPr>
            <w:r w:rsidRPr="00471CBA">
              <w:rPr>
                <w:b/>
                <w:sz w:val="15"/>
                <w:szCs w:val="15"/>
              </w:rPr>
              <w:t>A. NET DÖNEM KÂRI (1.1-1.2)</w:t>
            </w:r>
          </w:p>
        </w:tc>
        <w:tc>
          <w:tcPr>
            <w:tcW w:w="989" w:type="pct"/>
            <w:tcBorders>
              <w:top w:val="nil"/>
              <w:left w:val="single" w:sz="4" w:space="0" w:color="auto"/>
              <w:bottom w:val="nil"/>
              <w:right w:val="single" w:sz="4" w:space="0" w:color="auto"/>
            </w:tcBorders>
            <w:vAlign w:val="center"/>
          </w:tcPr>
          <w:p w14:paraId="5921FDDE" w14:textId="10FCDDD0" w:rsidR="008329AB" w:rsidRPr="00471CBA" w:rsidRDefault="008329AB" w:rsidP="008329AB">
            <w:pPr>
              <w:jc w:val="right"/>
              <w:rPr>
                <w:b/>
                <w:bCs/>
                <w:color w:val="000000"/>
                <w:sz w:val="15"/>
                <w:szCs w:val="15"/>
              </w:rPr>
            </w:pPr>
            <w:r w:rsidRPr="00471CBA">
              <w:rPr>
                <w:b/>
                <w:bCs/>
                <w:color w:val="000000"/>
                <w:sz w:val="15"/>
                <w:szCs w:val="15"/>
              </w:rPr>
              <w:t>2.057.211</w:t>
            </w:r>
          </w:p>
        </w:tc>
        <w:tc>
          <w:tcPr>
            <w:tcW w:w="989" w:type="pct"/>
            <w:tcBorders>
              <w:top w:val="nil"/>
              <w:left w:val="single" w:sz="4" w:space="0" w:color="auto"/>
              <w:bottom w:val="nil"/>
              <w:right w:val="single" w:sz="4" w:space="0" w:color="auto"/>
            </w:tcBorders>
            <w:vAlign w:val="center"/>
            <w:hideMark/>
          </w:tcPr>
          <w:p w14:paraId="693A4F01" w14:textId="44B1193C" w:rsidR="008329AB" w:rsidRPr="00471CBA" w:rsidRDefault="008329AB" w:rsidP="008329AB">
            <w:pPr>
              <w:jc w:val="right"/>
              <w:rPr>
                <w:b/>
                <w:bCs/>
                <w:sz w:val="15"/>
                <w:szCs w:val="15"/>
              </w:rPr>
            </w:pPr>
            <w:r w:rsidRPr="00471CBA">
              <w:rPr>
                <w:b/>
                <w:bCs/>
                <w:color w:val="000000"/>
                <w:sz w:val="15"/>
                <w:szCs w:val="15"/>
              </w:rPr>
              <w:t>1.353.642</w:t>
            </w:r>
          </w:p>
        </w:tc>
      </w:tr>
      <w:tr w:rsidR="008329AB" w:rsidRPr="00471CBA" w14:paraId="72ECE35B" w14:textId="77777777" w:rsidTr="0014276B">
        <w:trPr>
          <w:trHeight w:val="113"/>
        </w:trPr>
        <w:tc>
          <w:tcPr>
            <w:tcW w:w="3022" w:type="pct"/>
            <w:tcBorders>
              <w:top w:val="nil"/>
              <w:left w:val="single" w:sz="4" w:space="0" w:color="auto"/>
              <w:bottom w:val="nil"/>
              <w:right w:val="single" w:sz="4" w:space="0" w:color="auto"/>
            </w:tcBorders>
          </w:tcPr>
          <w:p w14:paraId="7DC54B90" w14:textId="77777777" w:rsidR="008329AB" w:rsidRPr="00471CBA" w:rsidRDefault="008329AB" w:rsidP="008329AB">
            <w:pPr>
              <w:rPr>
                <w:b/>
                <w:sz w:val="15"/>
                <w:szCs w:val="15"/>
              </w:rPr>
            </w:pPr>
          </w:p>
        </w:tc>
        <w:tc>
          <w:tcPr>
            <w:tcW w:w="989" w:type="pct"/>
            <w:tcBorders>
              <w:top w:val="nil"/>
              <w:left w:val="single" w:sz="4" w:space="0" w:color="auto"/>
              <w:bottom w:val="nil"/>
              <w:right w:val="single" w:sz="4" w:space="0" w:color="auto"/>
            </w:tcBorders>
            <w:vAlign w:val="bottom"/>
          </w:tcPr>
          <w:p w14:paraId="2D0BD2B5" w14:textId="65FE96FA" w:rsidR="008329AB" w:rsidRPr="00471CBA" w:rsidRDefault="008329AB" w:rsidP="008329AB">
            <w:pPr>
              <w:jc w:val="right"/>
              <w:rPr>
                <w:color w:val="000000"/>
                <w:sz w:val="15"/>
                <w:szCs w:val="15"/>
              </w:rPr>
            </w:pPr>
            <w:r w:rsidRPr="00471CBA">
              <w:rPr>
                <w:color w:val="000000"/>
                <w:sz w:val="15"/>
                <w:szCs w:val="15"/>
              </w:rPr>
              <w:t> </w:t>
            </w:r>
          </w:p>
        </w:tc>
        <w:tc>
          <w:tcPr>
            <w:tcW w:w="989" w:type="pct"/>
            <w:tcBorders>
              <w:top w:val="nil"/>
              <w:left w:val="single" w:sz="4" w:space="0" w:color="auto"/>
              <w:bottom w:val="nil"/>
              <w:right w:val="single" w:sz="4" w:space="0" w:color="auto"/>
            </w:tcBorders>
            <w:vAlign w:val="bottom"/>
            <w:hideMark/>
          </w:tcPr>
          <w:p w14:paraId="14F0BF70" w14:textId="08151D25" w:rsidR="008329AB" w:rsidRPr="00471CBA" w:rsidRDefault="008329AB" w:rsidP="008329AB">
            <w:pPr>
              <w:jc w:val="right"/>
              <w:rPr>
                <w:sz w:val="15"/>
                <w:szCs w:val="15"/>
              </w:rPr>
            </w:pPr>
            <w:r w:rsidRPr="00471CBA">
              <w:rPr>
                <w:color w:val="000000"/>
                <w:sz w:val="15"/>
                <w:szCs w:val="15"/>
              </w:rPr>
              <w:t> </w:t>
            </w:r>
          </w:p>
        </w:tc>
      </w:tr>
      <w:tr w:rsidR="008329AB" w:rsidRPr="00471CBA" w14:paraId="437BB284" w14:textId="77777777" w:rsidTr="0014276B">
        <w:trPr>
          <w:trHeight w:val="113"/>
        </w:trPr>
        <w:tc>
          <w:tcPr>
            <w:tcW w:w="3022" w:type="pct"/>
            <w:tcBorders>
              <w:top w:val="nil"/>
              <w:left w:val="single" w:sz="4" w:space="0" w:color="auto"/>
              <w:bottom w:val="nil"/>
              <w:right w:val="single" w:sz="4" w:space="0" w:color="auto"/>
            </w:tcBorders>
            <w:hideMark/>
          </w:tcPr>
          <w:p w14:paraId="04DB18B1" w14:textId="77777777" w:rsidR="008329AB" w:rsidRPr="00471CBA" w:rsidRDefault="008329AB" w:rsidP="008329AB">
            <w:pPr>
              <w:rPr>
                <w:sz w:val="15"/>
                <w:szCs w:val="15"/>
              </w:rPr>
            </w:pPr>
            <w:r w:rsidRPr="00471CBA">
              <w:rPr>
                <w:sz w:val="15"/>
                <w:szCs w:val="15"/>
              </w:rPr>
              <w:t>1.3. GEÇMİŞ DÖNEMLER ZARARI (-)</w:t>
            </w:r>
          </w:p>
        </w:tc>
        <w:tc>
          <w:tcPr>
            <w:tcW w:w="989" w:type="pct"/>
            <w:tcBorders>
              <w:top w:val="nil"/>
              <w:left w:val="single" w:sz="4" w:space="0" w:color="auto"/>
              <w:bottom w:val="nil"/>
              <w:right w:val="single" w:sz="4" w:space="0" w:color="auto"/>
            </w:tcBorders>
            <w:vAlign w:val="center"/>
          </w:tcPr>
          <w:p w14:paraId="2D9D93A4" w14:textId="683F7771" w:rsidR="008329AB" w:rsidRPr="00471CBA" w:rsidRDefault="008329AB" w:rsidP="008329AB">
            <w:pPr>
              <w:jc w:val="right"/>
              <w:rPr>
                <w:color w:val="000000"/>
                <w:sz w:val="15"/>
                <w:szCs w:val="15"/>
              </w:rPr>
            </w:pPr>
            <w:r w:rsidRPr="00471CBA">
              <w:rPr>
                <w:color w:val="000000"/>
                <w:sz w:val="15"/>
                <w:szCs w:val="15"/>
              </w:rPr>
              <w:t>-</w:t>
            </w:r>
          </w:p>
        </w:tc>
        <w:tc>
          <w:tcPr>
            <w:tcW w:w="989" w:type="pct"/>
            <w:tcBorders>
              <w:top w:val="nil"/>
              <w:left w:val="single" w:sz="4" w:space="0" w:color="auto"/>
              <w:bottom w:val="nil"/>
              <w:right w:val="single" w:sz="4" w:space="0" w:color="auto"/>
            </w:tcBorders>
            <w:vAlign w:val="center"/>
            <w:hideMark/>
          </w:tcPr>
          <w:p w14:paraId="644EF0E0" w14:textId="399F416C" w:rsidR="008329AB" w:rsidRPr="00471CBA" w:rsidRDefault="008329AB" w:rsidP="008329AB">
            <w:pPr>
              <w:jc w:val="right"/>
              <w:rPr>
                <w:sz w:val="15"/>
                <w:szCs w:val="15"/>
              </w:rPr>
            </w:pPr>
            <w:r w:rsidRPr="00471CBA">
              <w:rPr>
                <w:color w:val="000000"/>
                <w:sz w:val="15"/>
                <w:szCs w:val="15"/>
              </w:rPr>
              <w:t>13.048</w:t>
            </w:r>
          </w:p>
        </w:tc>
      </w:tr>
      <w:tr w:rsidR="008329AB" w:rsidRPr="00471CBA" w14:paraId="3CE4AABC" w14:textId="77777777" w:rsidTr="0014276B">
        <w:trPr>
          <w:trHeight w:val="113"/>
        </w:trPr>
        <w:tc>
          <w:tcPr>
            <w:tcW w:w="3022" w:type="pct"/>
            <w:tcBorders>
              <w:top w:val="nil"/>
              <w:left w:val="single" w:sz="4" w:space="0" w:color="auto"/>
              <w:bottom w:val="nil"/>
              <w:right w:val="single" w:sz="4" w:space="0" w:color="auto"/>
            </w:tcBorders>
            <w:hideMark/>
          </w:tcPr>
          <w:p w14:paraId="7B7C566E" w14:textId="77777777" w:rsidR="008329AB" w:rsidRPr="00471CBA" w:rsidRDefault="008329AB" w:rsidP="008329AB">
            <w:pPr>
              <w:rPr>
                <w:sz w:val="15"/>
                <w:szCs w:val="15"/>
              </w:rPr>
            </w:pPr>
            <w:r w:rsidRPr="00471CBA">
              <w:rPr>
                <w:sz w:val="15"/>
                <w:szCs w:val="15"/>
              </w:rPr>
              <w:t>1.4. BİRİNCİ TERTİP YASAL YEDEK AKÇE (-)</w:t>
            </w:r>
          </w:p>
        </w:tc>
        <w:tc>
          <w:tcPr>
            <w:tcW w:w="989" w:type="pct"/>
            <w:tcBorders>
              <w:top w:val="nil"/>
              <w:left w:val="single" w:sz="4" w:space="0" w:color="auto"/>
              <w:bottom w:val="nil"/>
              <w:right w:val="single" w:sz="4" w:space="0" w:color="auto"/>
            </w:tcBorders>
            <w:vAlign w:val="center"/>
          </w:tcPr>
          <w:p w14:paraId="59BB37B0" w14:textId="6408D251" w:rsidR="008329AB" w:rsidRPr="00471CBA" w:rsidRDefault="008329AB" w:rsidP="008329AB">
            <w:pPr>
              <w:jc w:val="right"/>
              <w:rPr>
                <w:color w:val="000000"/>
                <w:sz w:val="15"/>
                <w:szCs w:val="15"/>
              </w:rPr>
            </w:pPr>
            <w:r w:rsidRPr="00471CBA">
              <w:rPr>
                <w:color w:val="000000"/>
                <w:sz w:val="15"/>
                <w:szCs w:val="15"/>
              </w:rPr>
              <w:t>102.861</w:t>
            </w:r>
          </w:p>
        </w:tc>
        <w:tc>
          <w:tcPr>
            <w:tcW w:w="989" w:type="pct"/>
            <w:tcBorders>
              <w:top w:val="nil"/>
              <w:left w:val="single" w:sz="4" w:space="0" w:color="auto"/>
              <w:bottom w:val="nil"/>
              <w:right w:val="single" w:sz="4" w:space="0" w:color="auto"/>
            </w:tcBorders>
            <w:vAlign w:val="center"/>
            <w:hideMark/>
          </w:tcPr>
          <w:p w14:paraId="6C0CAA0D" w14:textId="1135D864" w:rsidR="008329AB" w:rsidRPr="00471CBA" w:rsidRDefault="008329AB" w:rsidP="008329AB">
            <w:pPr>
              <w:jc w:val="right"/>
              <w:rPr>
                <w:sz w:val="15"/>
                <w:szCs w:val="15"/>
              </w:rPr>
            </w:pPr>
            <w:r w:rsidRPr="00471CBA">
              <w:rPr>
                <w:color w:val="000000"/>
                <w:sz w:val="15"/>
                <w:szCs w:val="15"/>
              </w:rPr>
              <w:t>67.030</w:t>
            </w:r>
          </w:p>
        </w:tc>
      </w:tr>
      <w:tr w:rsidR="008329AB" w:rsidRPr="00471CBA" w14:paraId="1D10BA8C" w14:textId="77777777" w:rsidTr="0014276B">
        <w:trPr>
          <w:trHeight w:val="113"/>
        </w:trPr>
        <w:tc>
          <w:tcPr>
            <w:tcW w:w="3022" w:type="pct"/>
            <w:tcBorders>
              <w:top w:val="nil"/>
              <w:left w:val="single" w:sz="4" w:space="0" w:color="auto"/>
              <w:bottom w:val="nil"/>
              <w:right w:val="single" w:sz="4" w:space="0" w:color="auto"/>
            </w:tcBorders>
            <w:hideMark/>
          </w:tcPr>
          <w:p w14:paraId="2B76CB6F" w14:textId="77777777" w:rsidR="008329AB" w:rsidRPr="00471CBA" w:rsidRDefault="008329AB" w:rsidP="008329AB">
            <w:pPr>
              <w:rPr>
                <w:sz w:val="15"/>
                <w:szCs w:val="15"/>
              </w:rPr>
            </w:pPr>
            <w:r w:rsidRPr="00471CBA">
              <w:rPr>
                <w:sz w:val="15"/>
                <w:szCs w:val="15"/>
              </w:rPr>
              <w:t>1.5. BANKADA BIRAKILMASI VE TASARRUFU ZORUNLU YASAL FONLAR (-)</w:t>
            </w:r>
          </w:p>
        </w:tc>
        <w:tc>
          <w:tcPr>
            <w:tcW w:w="989" w:type="pct"/>
            <w:tcBorders>
              <w:top w:val="nil"/>
              <w:left w:val="single" w:sz="4" w:space="0" w:color="auto"/>
              <w:bottom w:val="nil"/>
              <w:right w:val="single" w:sz="4" w:space="0" w:color="auto"/>
            </w:tcBorders>
            <w:vAlign w:val="center"/>
          </w:tcPr>
          <w:p w14:paraId="012B9471" w14:textId="698F553F" w:rsidR="008329AB" w:rsidRPr="00471CBA" w:rsidRDefault="008329AB" w:rsidP="008329AB">
            <w:pPr>
              <w:jc w:val="right"/>
              <w:rPr>
                <w:color w:val="000000"/>
                <w:sz w:val="15"/>
                <w:szCs w:val="15"/>
              </w:rPr>
            </w:pPr>
            <w:r w:rsidRPr="00471CBA">
              <w:rPr>
                <w:color w:val="000000"/>
                <w:sz w:val="15"/>
                <w:szCs w:val="15"/>
              </w:rPr>
              <w:t>-</w:t>
            </w:r>
          </w:p>
        </w:tc>
        <w:tc>
          <w:tcPr>
            <w:tcW w:w="989" w:type="pct"/>
            <w:tcBorders>
              <w:top w:val="nil"/>
              <w:left w:val="single" w:sz="4" w:space="0" w:color="auto"/>
              <w:bottom w:val="nil"/>
              <w:right w:val="single" w:sz="4" w:space="0" w:color="auto"/>
            </w:tcBorders>
            <w:vAlign w:val="center"/>
            <w:hideMark/>
          </w:tcPr>
          <w:p w14:paraId="076732B3" w14:textId="7E544016" w:rsidR="008329AB" w:rsidRPr="00471CBA" w:rsidRDefault="008329AB" w:rsidP="008329AB">
            <w:pPr>
              <w:jc w:val="right"/>
              <w:rPr>
                <w:sz w:val="15"/>
                <w:szCs w:val="15"/>
              </w:rPr>
            </w:pPr>
            <w:r w:rsidRPr="00471CBA">
              <w:rPr>
                <w:color w:val="000000"/>
                <w:sz w:val="15"/>
                <w:szCs w:val="15"/>
              </w:rPr>
              <w:t>-</w:t>
            </w:r>
          </w:p>
        </w:tc>
      </w:tr>
      <w:tr w:rsidR="008329AB" w:rsidRPr="00471CBA" w14:paraId="31AA714B" w14:textId="77777777" w:rsidTr="0014276B">
        <w:trPr>
          <w:trHeight w:val="113"/>
        </w:trPr>
        <w:tc>
          <w:tcPr>
            <w:tcW w:w="3022" w:type="pct"/>
            <w:tcBorders>
              <w:top w:val="nil"/>
              <w:left w:val="single" w:sz="4" w:space="0" w:color="auto"/>
              <w:bottom w:val="nil"/>
              <w:right w:val="single" w:sz="4" w:space="0" w:color="auto"/>
            </w:tcBorders>
          </w:tcPr>
          <w:p w14:paraId="25D14535" w14:textId="77777777" w:rsidR="008329AB" w:rsidRPr="00471CBA" w:rsidRDefault="008329AB" w:rsidP="008329AB">
            <w:pPr>
              <w:rPr>
                <w:b/>
                <w:sz w:val="15"/>
                <w:szCs w:val="15"/>
              </w:rPr>
            </w:pPr>
          </w:p>
        </w:tc>
        <w:tc>
          <w:tcPr>
            <w:tcW w:w="989" w:type="pct"/>
            <w:tcBorders>
              <w:top w:val="nil"/>
              <w:left w:val="single" w:sz="4" w:space="0" w:color="auto"/>
              <w:bottom w:val="nil"/>
              <w:right w:val="single" w:sz="4" w:space="0" w:color="auto"/>
            </w:tcBorders>
            <w:vAlign w:val="bottom"/>
          </w:tcPr>
          <w:p w14:paraId="5D18E9FA" w14:textId="61A4B7ED" w:rsidR="008329AB" w:rsidRPr="00471CBA" w:rsidRDefault="008329AB" w:rsidP="008329AB">
            <w:pPr>
              <w:jc w:val="right"/>
              <w:rPr>
                <w:color w:val="000000"/>
                <w:sz w:val="15"/>
                <w:szCs w:val="15"/>
              </w:rPr>
            </w:pPr>
            <w:r w:rsidRPr="00471CBA">
              <w:rPr>
                <w:color w:val="000000"/>
                <w:sz w:val="15"/>
                <w:szCs w:val="15"/>
              </w:rPr>
              <w:t> </w:t>
            </w:r>
          </w:p>
        </w:tc>
        <w:tc>
          <w:tcPr>
            <w:tcW w:w="989" w:type="pct"/>
            <w:tcBorders>
              <w:top w:val="nil"/>
              <w:left w:val="single" w:sz="4" w:space="0" w:color="auto"/>
              <w:bottom w:val="nil"/>
              <w:right w:val="single" w:sz="4" w:space="0" w:color="auto"/>
            </w:tcBorders>
            <w:vAlign w:val="bottom"/>
            <w:hideMark/>
          </w:tcPr>
          <w:p w14:paraId="6858CC81" w14:textId="7FEA5DAE" w:rsidR="008329AB" w:rsidRPr="00471CBA" w:rsidRDefault="008329AB" w:rsidP="008329AB">
            <w:pPr>
              <w:jc w:val="right"/>
              <w:rPr>
                <w:sz w:val="15"/>
                <w:szCs w:val="15"/>
              </w:rPr>
            </w:pPr>
            <w:r w:rsidRPr="00471CBA">
              <w:rPr>
                <w:color w:val="000000"/>
                <w:sz w:val="15"/>
                <w:szCs w:val="15"/>
              </w:rPr>
              <w:t> </w:t>
            </w:r>
          </w:p>
        </w:tc>
      </w:tr>
      <w:tr w:rsidR="008329AB" w:rsidRPr="00471CBA" w14:paraId="7DBEA989" w14:textId="77777777" w:rsidTr="0014276B">
        <w:trPr>
          <w:trHeight w:val="113"/>
        </w:trPr>
        <w:tc>
          <w:tcPr>
            <w:tcW w:w="3022" w:type="pct"/>
            <w:tcBorders>
              <w:top w:val="nil"/>
              <w:left w:val="single" w:sz="4" w:space="0" w:color="auto"/>
              <w:bottom w:val="nil"/>
              <w:right w:val="single" w:sz="4" w:space="0" w:color="auto"/>
            </w:tcBorders>
            <w:hideMark/>
          </w:tcPr>
          <w:p w14:paraId="72C90A75" w14:textId="77777777" w:rsidR="008329AB" w:rsidRPr="00471CBA" w:rsidRDefault="008329AB" w:rsidP="008329AB">
            <w:pPr>
              <w:rPr>
                <w:b/>
                <w:sz w:val="15"/>
                <w:szCs w:val="15"/>
              </w:rPr>
            </w:pPr>
            <w:r w:rsidRPr="00471CBA">
              <w:rPr>
                <w:b/>
                <w:sz w:val="15"/>
                <w:szCs w:val="15"/>
              </w:rPr>
              <w:t xml:space="preserve">B. DAĞITILABİLİR NET DÖNEM KÂRI [(A-(1.3+1.4+1.5)] </w:t>
            </w:r>
            <w:r w:rsidRPr="00471CBA">
              <w:rPr>
                <w:b/>
                <w:sz w:val="15"/>
                <w:szCs w:val="15"/>
                <w:vertAlign w:val="superscript"/>
              </w:rPr>
              <w:t>(**)</w:t>
            </w:r>
          </w:p>
        </w:tc>
        <w:tc>
          <w:tcPr>
            <w:tcW w:w="989" w:type="pct"/>
            <w:tcBorders>
              <w:top w:val="nil"/>
              <w:left w:val="single" w:sz="4" w:space="0" w:color="auto"/>
              <w:bottom w:val="nil"/>
              <w:right w:val="single" w:sz="4" w:space="0" w:color="auto"/>
            </w:tcBorders>
            <w:vAlign w:val="center"/>
          </w:tcPr>
          <w:p w14:paraId="47AD6865" w14:textId="7C8E4C5A" w:rsidR="008329AB" w:rsidRPr="00471CBA" w:rsidRDefault="008329AB" w:rsidP="008329AB">
            <w:pPr>
              <w:jc w:val="right"/>
              <w:rPr>
                <w:b/>
                <w:bCs/>
                <w:color w:val="000000"/>
                <w:sz w:val="15"/>
                <w:szCs w:val="15"/>
              </w:rPr>
            </w:pPr>
            <w:r w:rsidRPr="00471CBA">
              <w:rPr>
                <w:b/>
                <w:bCs/>
                <w:color w:val="000000"/>
                <w:sz w:val="15"/>
                <w:szCs w:val="15"/>
              </w:rPr>
              <w:t>1.954.350</w:t>
            </w:r>
          </w:p>
        </w:tc>
        <w:tc>
          <w:tcPr>
            <w:tcW w:w="989" w:type="pct"/>
            <w:tcBorders>
              <w:top w:val="nil"/>
              <w:left w:val="single" w:sz="4" w:space="0" w:color="auto"/>
              <w:bottom w:val="nil"/>
              <w:right w:val="single" w:sz="4" w:space="0" w:color="auto"/>
            </w:tcBorders>
            <w:vAlign w:val="center"/>
            <w:hideMark/>
          </w:tcPr>
          <w:p w14:paraId="25A31DE5" w14:textId="1FD4F450" w:rsidR="008329AB" w:rsidRPr="00471CBA" w:rsidRDefault="008329AB" w:rsidP="008329AB">
            <w:pPr>
              <w:jc w:val="right"/>
              <w:rPr>
                <w:b/>
                <w:bCs/>
                <w:sz w:val="15"/>
                <w:szCs w:val="15"/>
              </w:rPr>
            </w:pPr>
            <w:r w:rsidRPr="00471CBA">
              <w:rPr>
                <w:b/>
                <w:bCs/>
                <w:color w:val="000000"/>
                <w:sz w:val="15"/>
                <w:szCs w:val="15"/>
              </w:rPr>
              <w:t>1.273.564</w:t>
            </w:r>
          </w:p>
        </w:tc>
      </w:tr>
      <w:tr w:rsidR="008329AB" w:rsidRPr="00471CBA" w14:paraId="3C6EE31C" w14:textId="77777777" w:rsidTr="0014276B">
        <w:trPr>
          <w:trHeight w:val="113"/>
        </w:trPr>
        <w:tc>
          <w:tcPr>
            <w:tcW w:w="3022" w:type="pct"/>
            <w:tcBorders>
              <w:top w:val="nil"/>
              <w:left w:val="single" w:sz="4" w:space="0" w:color="auto"/>
              <w:bottom w:val="nil"/>
              <w:right w:val="single" w:sz="4" w:space="0" w:color="auto"/>
            </w:tcBorders>
          </w:tcPr>
          <w:p w14:paraId="167AFAB0" w14:textId="77777777" w:rsidR="008329AB" w:rsidRPr="00471CBA" w:rsidRDefault="008329AB" w:rsidP="008329AB">
            <w:pPr>
              <w:rPr>
                <w:b/>
                <w:sz w:val="15"/>
                <w:szCs w:val="15"/>
              </w:rPr>
            </w:pPr>
          </w:p>
        </w:tc>
        <w:tc>
          <w:tcPr>
            <w:tcW w:w="989" w:type="pct"/>
            <w:tcBorders>
              <w:top w:val="nil"/>
              <w:left w:val="single" w:sz="4" w:space="0" w:color="auto"/>
              <w:bottom w:val="nil"/>
              <w:right w:val="single" w:sz="4" w:space="0" w:color="auto"/>
            </w:tcBorders>
            <w:vAlign w:val="bottom"/>
          </w:tcPr>
          <w:p w14:paraId="002F6C41" w14:textId="6C742AAF" w:rsidR="008329AB" w:rsidRPr="00471CBA" w:rsidRDefault="008329AB" w:rsidP="008329AB">
            <w:pPr>
              <w:jc w:val="right"/>
              <w:rPr>
                <w:color w:val="000000"/>
                <w:sz w:val="15"/>
                <w:szCs w:val="15"/>
              </w:rPr>
            </w:pPr>
            <w:r w:rsidRPr="00471CBA">
              <w:rPr>
                <w:color w:val="000000"/>
                <w:sz w:val="15"/>
                <w:szCs w:val="15"/>
              </w:rPr>
              <w:t> </w:t>
            </w:r>
          </w:p>
        </w:tc>
        <w:tc>
          <w:tcPr>
            <w:tcW w:w="989" w:type="pct"/>
            <w:tcBorders>
              <w:top w:val="nil"/>
              <w:left w:val="single" w:sz="4" w:space="0" w:color="auto"/>
              <w:bottom w:val="nil"/>
              <w:right w:val="single" w:sz="4" w:space="0" w:color="auto"/>
            </w:tcBorders>
            <w:vAlign w:val="bottom"/>
            <w:hideMark/>
          </w:tcPr>
          <w:p w14:paraId="06EFE69E" w14:textId="628AC188" w:rsidR="008329AB" w:rsidRPr="00471CBA" w:rsidRDefault="008329AB" w:rsidP="008329AB">
            <w:pPr>
              <w:jc w:val="right"/>
              <w:rPr>
                <w:sz w:val="15"/>
                <w:szCs w:val="15"/>
              </w:rPr>
            </w:pPr>
            <w:r w:rsidRPr="00471CBA">
              <w:rPr>
                <w:b/>
                <w:bCs/>
                <w:color w:val="000000"/>
                <w:sz w:val="15"/>
                <w:szCs w:val="15"/>
              </w:rPr>
              <w:t> </w:t>
            </w:r>
          </w:p>
        </w:tc>
      </w:tr>
      <w:tr w:rsidR="008329AB" w:rsidRPr="00471CBA" w14:paraId="0BC9B625" w14:textId="77777777" w:rsidTr="0083512E">
        <w:trPr>
          <w:trHeight w:val="113"/>
        </w:trPr>
        <w:tc>
          <w:tcPr>
            <w:tcW w:w="3022" w:type="pct"/>
            <w:tcBorders>
              <w:top w:val="nil"/>
              <w:left w:val="single" w:sz="4" w:space="0" w:color="auto"/>
              <w:bottom w:val="nil"/>
              <w:right w:val="single" w:sz="4" w:space="0" w:color="auto"/>
            </w:tcBorders>
            <w:hideMark/>
          </w:tcPr>
          <w:p w14:paraId="050B8D5B" w14:textId="77777777" w:rsidR="008329AB" w:rsidRPr="00471CBA" w:rsidRDefault="008329AB" w:rsidP="008329AB">
            <w:pPr>
              <w:rPr>
                <w:sz w:val="15"/>
                <w:szCs w:val="15"/>
              </w:rPr>
            </w:pPr>
            <w:r w:rsidRPr="00471CBA">
              <w:rPr>
                <w:sz w:val="15"/>
                <w:szCs w:val="15"/>
              </w:rPr>
              <w:t>1.6. ORTAKLARA BİRİNCİ TEMETTÜ (-)</w:t>
            </w:r>
          </w:p>
        </w:tc>
        <w:tc>
          <w:tcPr>
            <w:tcW w:w="989" w:type="pct"/>
            <w:tcBorders>
              <w:top w:val="nil"/>
              <w:left w:val="single" w:sz="4" w:space="0" w:color="auto"/>
              <w:bottom w:val="nil"/>
              <w:right w:val="single" w:sz="4" w:space="0" w:color="auto"/>
            </w:tcBorders>
            <w:vAlign w:val="center"/>
          </w:tcPr>
          <w:p w14:paraId="0498CA27" w14:textId="087C710C" w:rsidR="008329AB" w:rsidRPr="00471CBA" w:rsidRDefault="008329AB" w:rsidP="008329AB">
            <w:pPr>
              <w:jc w:val="right"/>
              <w:rPr>
                <w:color w:val="000000"/>
                <w:sz w:val="15"/>
                <w:szCs w:val="15"/>
              </w:rPr>
            </w:pPr>
            <w:r w:rsidRPr="00471CBA">
              <w:rPr>
                <w:color w:val="000000"/>
                <w:sz w:val="15"/>
                <w:szCs w:val="15"/>
              </w:rPr>
              <w:t>-</w:t>
            </w:r>
          </w:p>
        </w:tc>
        <w:tc>
          <w:tcPr>
            <w:tcW w:w="989" w:type="pct"/>
            <w:tcBorders>
              <w:top w:val="nil"/>
              <w:left w:val="single" w:sz="4" w:space="0" w:color="auto"/>
              <w:bottom w:val="nil"/>
              <w:right w:val="single" w:sz="4" w:space="0" w:color="auto"/>
            </w:tcBorders>
            <w:hideMark/>
          </w:tcPr>
          <w:p w14:paraId="273A89EB" w14:textId="3658B808" w:rsidR="008329AB" w:rsidRPr="00471CBA" w:rsidRDefault="008329AB" w:rsidP="008329AB">
            <w:pPr>
              <w:jc w:val="right"/>
              <w:rPr>
                <w:sz w:val="15"/>
                <w:szCs w:val="15"/>
              </w:rPr>
            </w:pPr>
            <w:r w:rsidRPr="00471CBA">
              <w:rPr>
                <w:b/>
                <w:bCs/>
                <w:color w:val="000000"/>
                <w:sz w:val="15"/>
                <w:szCs w:val="15"/>
              </w:rPr>
              <w:t>- </w:t>
            </w:r>
          </w:p>
        </w:tc>
      </w:tr>
      <w:tr w:rsidR="008329AB" w:rsidRPr="00471CBA" w14:paraId="536483DF" w14:textId="77777777" w:rsidTr="0083512E">
        <w:trPr>
          <w:trHeight w:val="113"/>
        </w:trPr>
        <w:tc>
          <w:tcPr>
            <w:tcW w:w="3022" w:type="pct"/>
            <w:tcBorders>
              <w:top w:val="nil"/>
              <w:left w:val="single" w:sz="4" w:space="0" w:color="auto"/>
              <w:bottom w:val="nil"/>
              <w:right w:val="single" w:sz="4" w:space="0" w:color="auto"/>
            </w:tcBorders>
            <w:hideMark/>
          </w:tcPr>
          <w:p w14:paraId="545D5EA4" w14:textId="77777777" w:rsidR="008329AB" w:rsidRPr="00471CBA" w:rsidRDefault="008329AB" w:rsidP="008329AB">
            <w:pPr>
              <w:rPr>
                <w:sz w:val="15"/>
                <w:szCs w:val="15"/>
              </w:rPr>
            </w:pPr>
            <w:r w:rsidRPr="00471CBA">
              <w:rPr>
                <w:sz w:val="15"/>
                <w:szCs w:val="15"/>
              </w:rPr>
              <w:t>1.6.1. Hisse Senedi Sahiplerine</w:t>
            </w:r>
          </w:p>
        </w:tc>
        <w:tc>
          <w:tcPr>
            <w:tcW w:w="989" w:type="pct"/>
            <w:tcBorders>
              <w:top w:val="nil"/>
              <w:left w:val="single" w:sz="4" w:space="0" w:color="auto"/>
              <w:bottom w:val="nil"/>
              <w:right w:val="single" w:sz="4" w:space="0" w:color="auto"/>
            </w:tcBorders>
            <w:vAlign w:val="center"/>
          </w:tcPr>
          <w:p w14:paraId="4EC539D2" w14:textId="6EF3D955" w:rsidR="008329AB" w:rsidRPr="00471CBA" w:rsidRDefault="008329AB" w:rsidP="008329AB">
            <w:pPr>
              <w:jc w:val="right"/>
              <w:rPr>
                <w:color w:val="000000"/>
                <w:sz w:val="15"/>
                <w:szCs w:val="15"/>
              </w:rPr>
            </w:pPr>
            <w:r w:rsidRPr="00471CBA">
              <w:rPr>
                <w:color w:val="000000"/>
                <w:sz w:val="15"/>
                <w:szCs w:val="15"/>
              </w:rPr>
              <w:t>-</w:t>
            </w:r>
          </w:p>
        </w:tc>
        <w:tc>
          <w:tcPr>
            <w:tcW w:w="989" w:type="pct"/>
            <w:tcBorders>
              <w:top w:val="nil"/>
              <w:left w:val="single" w:sz="4" w:space="0" w:color="auto"/>
              <w:bottom w:val="nil"/>
              <w:right w:val="single" w:sz="4" w:space="0" w:color="auto"/>
            </w:tcBorders>
            <w:hideMark/>
          </w:tcPr>
          <w:p w14:paraId="1D049212" w14:textId="748FE15A" w:rsidR="008329AB" w:rsidRPr="00471CBA" w:rsidRDefault="008329AB" w:rsidP="008329AB">
            <w:pPr>
              <w:jc w:val="right"/>
              <w:rPr>
                <w:sz w:val="15"/>
                <w:szCs w:val="15"/>
              </w:rPr>
            </w:pPr>
            <w:r w:rsidRPr="00471CBA">
              <w:rPr>
                <w:b/>
                <w:bCs/>
                <w:color w:val="000000"/>
                <w:sz w:val="15"/>
                <w:szCs w:val="15"/>
              </w:rPr>
              <w:t>- </w:t>
            </w:r>
          </w:p>
        </w:tc>
      </w:tr>
      <w:tr w:rsidR="008329AB" w:rsidRPr="00471CBA" w14:paraId="5BF19169" w14:textId="77777777" w:rsidTr="0083512E">
        <w:trPr>
          <w:trHeight w:val="113"/>
        </w:trPr>
        <w:tc>
          <w:tcPr>
            <w:tcW w:w="3022" w:type="pct"/>
            <w:tcBorders>
              <w:top w:val="nil"/>
              <w:left w:val="single" w:sz="4" w:space="0" w:color="auto"/>
              <w:bottom w:val="nil"/>
              <w:right w:val="single" w:sz="4" w:space="0" w:color="auto"/>
            </w:tcBorders>
            <w:hideMark/>
          </w:tcPr>
          <w:p w14:paraId="5223D8DA" w14:textId="77777777" w:rsidR="008329AB" w:rsidRPr="00471CBA" w:rsidRDefault="008329AB" w:rsidP="008329AB">
            <w:pPr>
              <w:rPr>
                <w:sz w:val="15"/>
                <w:szCs w:val="15"/>
              </w:rPr>
            </w:pPr>
            <w:r w:rsidRPr="00471CBA">
              <w:rPr>
                <w:sz w:val="15"/>
                <w:szCs w:val="15"/>
              </w:rPr>
              <w:t>1.6.2. İmtiyazlı Hisse Senedi Sahiplerine</w:t>
            </w:r>
          </w:p>
        </w:tc>
        <w:tc>
          <w:tcPr>
            <w:tcW w:w="989" w:type="pct"/>
            <w:tcBorders>
              <w:top w:val="nil"/>
              <w:left w:val="single" w:sz="4" w:space="0" w:color="auto"/>
              <w:bottom w:val="nil"/>
              <w:right w:val="single" w:sz="4" w:space="0" w:color="auto"/>
            </w:tcBorders>
            <w:vAlign w:val="center"/>
          </w:tcPr>
          <w:p w14:paraId="0CC72650" w14:textId="50C8E54F" w:rsidR="008329AB" w:rsidRPr="00471CBA" w:rsidRDefault="008329AB" w:rsidP="008329AB">
            <w:pPr>
              <w:jc w:val="right"/>
              <w:rPr>
                <w:color w:val="000000"/>
                <w:sz w:val="15"/>
                <w:szCs w:val="15"/>
              </w:rPr>
            </w:pPr>
            <w:r w:rsidRPr="00471CBA">
              <w:rPr>
                <w:color w:val="000000"/>
                <w:sz w:val="15"/>
                <w:szCs w:val="15"/>
              </w:rPr>
              <w:t>-</w:t>
            </w:r>
          </w:p>
        </w:tc>
        <w:tc>
          <w:tcPr>
            <w:tcW w:w="989" w:type="pct"/>
            <w:tcBorders>
              <w:top w:val="nil"/>
              <w:left w:val="single" w:sz="4" w:space="0" w:color="auto"/>
              <w:bottom w:val="nil"/>
              <w:right w:val="single" w:sz="4" w:space="0" w:color="auto"/>
            </w:tcBorders>
            <w:hideMark/>
          </w:tcPr>
          <w:p w14:paraId="4443110A" w14:textId="7F481E81" w:rsidR="008329AB" w:rsidRPr="00471CBA" w:rsidRDefault="008329AB" w:rsidP="008329AB">
            <w:pPr>
              <w:jc w:val="right"/>
              <w:rPr>
                <w:sz w:val="15"/>
                <w:szCs w:val="15"/>
              </w:rPr>
            </w:pPr>
            <w:r w:rsidRPr="00471CBA">
              <w:rPr>
                <w:b/>
                <w:bCs/>
                <w:color w:val="000000"/>
                <w:sz w:val="15"/>
                <w:szCs w:val="15"/>
              </w:rPr>
              <w:t>- </w:t>
            </w:r>
          </w:p>
        </w:tc>
      </w:tr>
      <w:tr w:rsidR="008329AB" w:rsidRPr="00471CBA" w14:paraId="36342191" w14:textId="77777777" w:rsidTr="0083512E">
        <w:trPr>
          <w:trHeight w:val="113"/>
        </w:trPr>
        <w:tc>
          <w:tcPr>
            <w:tcW w:w="3022" w:type="pct"/>
            <w:tcBorders>
              <w:top w:val="nil"/>
              <w:left w:val="single" w:sz="4" w:space="0" w:color="auto"/>
              <w:bottom w:val="nil"/>
              <w:right w:val="single" w:sz="4" w:space="0" w:color="auto"/>
            </w:tcBorders>
            <w:hideMark/>
          </w:tcPr>
          <w:p w14:paraId="5D644EBF" w14:textId="77777777" w:rsidR="008329AB" w:rsidRPr="00471CBA" w:rsidRDefault="008329AB" w:rsidP="008329AB">
            <w:pPr>
              <w:rPr>
                <w:sz w:val="15"/>
                <w:szCs w:val="15"/>
              </w:rPr>
            </w:pPr>
            <w:r w:rsidRPr="00471CBA">
              <w:rPr>
                <w:sz w:val="15"/>
                <w:szCs w:val="15"/>
              </w:rPr>
              <w:t>1.6.3. Katılma İntifa Senetlerine</w:t>
            </w:r>
          </w:p>
        </w:tc>
        <w:tc>
          <w:tcPr>
            <w:tcW w:w="989" w:type="pct"/>
            <w:tcBorders>
              <w:top w:val="nil"/>
              <w:left w:val="single" w:sz="4" w:space="0" w:color="auto"/>
              <w:bottom w:val="nil"/>
              <w:right w:val="single" w:sz="4" w:space="0" w:color="auto"/>
            </w:tcBorders>
            <w:vAlign w:val="center"/>
          </w:tcPr>
          <w:p w14:paraId="0961A641" w14:textId="38DAC7BA" w:rsidR="008329AB" w:rsidRPr="00471CBA" w:rsidRDefault="008329AB" w:rsidP="008329AB">
            <w:pPr>
              <w:jc w:val="right"/>
              <w:rPr>
                <w:color w:val="000000"/>
                <w:sz w:val="15"/>
                <w:szCs w:val="15"/>
              </w:rPr>
            </w:pPr>
            <w:r w:rsidRPr="00471CBA">
              <w:rPr>
                <w:color w:val="000000"/>
                <w:sz w:val="15"/>
                <w:szCs w:val="15"/>
              </w:rPr>
              <w:t>-</w:t>
            </w:r>
          </w:p>
        </w:tc>
        <w:tc>
          <w:tcPr>
            <w:tcW w:w="989" w:type="pct"/>
            <w:tcBorders>
              <w:top w:val="nil"/>
              <w:left w:val="single" w:sz="4" w:space="0" w:color="auto"/>
              <w:bottom w:val="nil"/>
              <w:right w:val="single" w:sz="4" w:space="0" w:color="auto"/>
            </w:tcBorders>
            <w:hideMark/>
          </w:tcPr>
          <w:p w14:paraId="6C2DDAEA" w14:textId="4F1590D2" w:rsidR="008329AB" w:rsidRPr="00471CBA" w:rsidRDefault="008329AB" w:rsidP="008329AB">
            <w:pPr>
              <w:jc w:val="right"/>
              <w:rPr>
                <w:sz w:val="15"/>
                <w:szCs w:val="15"/>
              </w:rPr>
            </w:pPr>
            <w:r w:rsidRPr="00471CBA">
              <w:rPr>
                <w:b/>
                <w:bCs/>
                <w:color w:val="000000"/>
                <w:sz w:val="15"/>
                <w:szCs w:val="15"/>
              </w:rPr>
              <w:t>- </w:t>
            </w:r>
          </w:p>
        </w:tc>
      </w:tr>
      <w:tr w:rsidR="008329AB" w:rsidRPr="00471CBA" w14:paraId="3AEAE465" w14:textId="77777777" w:rsidTr="0083512E">
        <w:trPr>
          <w:trHeight w:val="113"/>
        </w:trPr>
        <w:tc>
          <w:tcPr>
            <w:tcW w:w="3022" w:type="pct"/>
            <w:tcBorders>
              <w:top w:val="nil"/>
              <w:left w:val="single" w:sz="4" w:space="0" w:color="auto"/>
              <w:bottom w:val="nil"/>
              <w:right w:val="single" w:sz="4" w:space="0" w:color="auto"/>
            </w:tcBorders>
            <w:hideMark/>
          </w:tcPr>
          <w:p w14:paraId="08F89A83" w14:textId="77777777" w:rsidR="008329AB" w:rsidRPr="00471CBA" w:rsidRDefault="008329AB" w:rsidP="008329AB">
            <w:pPr>
              <w:rPr>
                <w:sz w:val="15"/>
                <w:szCs w:val="15"/>
              </w:rPr>
            </w:pPr>
            <w:r w:rsidRPr="00471CBA">
              <w:rPr>
                <w:sz w:val="15"/>
                <w:szCs w:val="15"/>
              </w:rPr>
              <w:t>1.6.4. Kâra İştirakli Tahvillere</w:t>
            </w:r>
          </w:p>
        </w:tc>
        <w:tc>
          <w:tcPr>
            <w:tcW w:w="989" w:type="pct"/>
            <w:tcBorders>
              <w:top w:val="nil"/>
              <w:left w:val="single" w:sz="4" w:space="0" w:color="auto"/>
              <w:bottom w:val="nil"/>
              <w:right w:val="single" w:sz="4" w:space="0" w:color="auto"/>
            </w:tcBorders>
            <w:vAlign w:val="center"/>
          </w:tcPr>
          <w:p w14:paraId="14EEF5C6" w14:textId="230F8459" w:rsidR="008329AB" w:rsidRPr="00471CBA" w:rsidRDefault="008329AB" w:rsidP="008329AB">
            <w:pPr>
              <w:jc w:val="right"/>
              <w:rPr>
                <w:color w:val="000000"/>
                <w:sz w:val="15"/>
                <w:szCs w:val="15"/>
              </w:rPr>
            </w:pPr>
            <w:r w:rsidRPr="00471CBA">
              <w:rPr>
                <w:color w:val="000000"/>
                <w:sz w:val="15"/>
                <w:szCs w:val="15"/>
              </w:rPr>
              <w:t>-</w:t>
            </w:r>
          </w:p>
        </w:tc>
        <w:tc>
          <w:tcPr>
            <w:tcW w:w="989" w:type="pct"/>
            <w:tcBorders>
              <w:top w:val="nil"/>
              <w:left w:val="single" w:sz="4" w:space="0" w:color="auto"/>
              <w:bottom w:val="nil"/>
              <w:right w:val="single" w:sz="4" w:space="0" w:color="auto"/>
            </w:tcBorders>
            <w:hideMark/>
          </w:tcPr>
          <w:p w14:paraId="444C371B" w14:textId="0233B68D" w:rsidR="008329AB" w:rsidRPr="00471CBA" w:rsidRDefault="008329AB" w:rsidP="008329AB">
            <w:pPr>
              <w:jc w:val="right"/>
              <w:rPr>
                <w:sz w:val="15"/>
                <w:szCs w:val="15"/>
              </w:rPr>
            </w:pPr>
            <w:r w:rsidRPr="00471CBA">
              <w:rPr>
                <w:b/>
                <w:bCs/>
                <w:color w:val="000000"/>
                <w:sz w:val="15"/>
                <w:szCs w:val="15"/>
              </w:rPr>
              <w:t>- </w:t>
            </w:r>
          </w:p>
        </w:tc>
      </w:tr>
      <w:tr w:rsidR="008329AB" w:rsidRPr="00471CBA" w14:paraId="11FEF8FC" w14:textId="77777777" w:rsidTr="0083512E">
        <w:trPr>
          <w:trHeight w:val="113"/>
        </w:trPr>
        <w:tc>
          <w:tcPr>
            <w:tcW w:w="3022" w:type="pct"/>
            <w:tcBorders>
              <w:top w:val="nil"/>
              <w:left w:val="single" w:sz="4" w:space="0" w:color="auto"/>
              <w:bottom w:val="nil"/>
              <w:right w:val="single" w:sz="4" w:space="0" w:color="auto"/>
            </w:tcBorders>
            <w:hideMark/>
          </w:tcPr>
          <w:p w14:paraId="6048CB82" w14:textId="77777777" w:rsidR="008329AB" w:rsidRPr="00471CBA" w:rsidRDefault="008329AB" w:rsidP="008329AB">
            <w:pPr>
              <w:rPr>
                <w:sz w:val="15"/>
                <w:szCs w:val="15"/>
              </w:rPr>
            </w:pPr>
            <w:r w:rsidRPr="00471CBA">
              <w:rPr>
                <w:sz w:val="15"/>
                <w:szCs w:val="15"/>
              </w:rPr>
              <w:t>1.6.5. Kâr ve Zarar Ortaklığı Belgesi Sahiplerine</w:t>
            </w:r>
          </w:p>
        </w:tc>
        <w:tc>
          <w:tcPr>
            <w:tcW w:w="989" w:type="pct"/>
            <w:tcBorders>
              <w:top w:val="nil"/>
              <w:left w:val="single" w:sz="4" w:space="0" w:color="auto"/>
              <w:bottom w:val="nil"/>
              <w:right w:val="single" w:sz="4" w:space="0" w:color="auto"/>
            </w:tcBorders>
            <w:vAlign w:val="center"/>
          </w:tcPr>
          <w:p w14:paraId="6A734EEF" w14:textId="4C73B383" w:rsidR="008329AB" w:rsidRPr="00471CBA" w:rsidRDefault="008329AB" w:rsidP="008329AB">
            <w:pPr>
              <w:jc w:val="right"/>
              <w:rPr>
                <w:color w:val="000000"/>
                <w:sz w:val="15"/>
                <w:szCs w:val="15"/>
              </w:rPr>
            </w:pPr>
            <w:r w:rsidRPr="00471CBA">
              <w:rPr>
                <w:color w:val="000000"/>
                <w:sz w:val="15"/>
                <w:szCs w:val="15"/>
              </w:rPr>
              <w:t>-</w:t>
            </w:r>
          </w:p>
        </w:tc>
        <w:tc>
          <w:tcPr>
            <w:tcW w:w="989" w:type="pct"/>
            <w:tcBorders>
              <w:top w:val="nil"/>
              <w:left w:val="single" w:sz="4" w:space="0" w:color="auto"/>
              <w:bottom w:val="nil"/>
              <w:right w:val="single" w:sz="4" w:space="0" w:color="auto"/>
            </w:tcBorders>
            <w:hideMark/>
          </w:tcPr>
          <w:p w14:paraId="63B42BBE" w14:textId="2E576967" w:rsidR="008329AB" w:rsidRPr="00471CBA" w:rsidRDefault="008329AB" w:rsidP="008329AB">
            <w:pPr>
              <w:jc w:val="right"/>
              <w:rPr>
                <w:sz w:val="15"/>
                <w:szCs w:val="15"/>
              </w:rPr>
            </w:pPr>
            <w:r w:rsidRPr="00471CBA">
              <w:rPr>
                <w:b/>
                <w:bCs/>
                <w:color w:val="000000"/>
                <w:sz w:val="15"/>
                <w:szCs w:val="15"/>
              </w:rPr>
              <w:t>- </w:t>
            </w:r>
          </w:p>
        </w:tc>
      </w:tr>
      <w:tr w:rsidR="008329AB" w:rsidRPr="00471CBA" w14:paraId="4B95602E" w14:textId="77777777" w:rsidTr="0083512E">
        <w:trPr>
          <w:trHeight w:val="113"/>
        </w:trPr>
        <w:tc>
          <w:tcPr>
            <w:tcW w:w="3022" w:type="pct"/>
            <w:tcBorders>
              <w:top w:val="nil"/>
              <w:left w:val="single" w:sz="4" w:space="0" w:color="auto"/>
              <w:bottom w:val="nil"/>
              <w:right w:val="single" w:sz="4" w:space="0" w:color="auto"/>
            </w:tcBorders>
            <w:hideMark/>
          </w:tcPr>
          <w:p w14:paraId="7DA290AB" w14:textId="77777777" w:rsidR="008329AB" w:rsidRPr="00471CBA" w:rsidRDefault="008329AB" w:rsidP="008329AB">
            <w:pPr>
              <w:rPr>
                <w:sz w:val="15"/>
                <w:szCs w:val="15"/>
              </w:rPr>
            </w:pPr>
            <w:r w:rsidRPr="00471CBA">
              <w:rPr>
                <w:sz w:val="15"/>
                <w:szCs w:val="15"/>
              </w:rPr>
              <w:t>1.7. PERSONELE TEMETTÜ (-)</w:t>
            </w:r>
          </w:p>
        </w:tc>
        <w:tc>
          <w:tcPr>
            <w:tcW w:w="989" w:type="pct"/>
            <w:tcBorders>
              <w:top w:val="nil"/>
              <w:left w:val="single" w:sz="4" w:space="0" w:color="auto"/>
              <w:bottom w:val="nil"/>
              <w:right w:val="single" w:sz="4" w:space="0" w:color="auto"/>
            </w:tcBorders>
            <w:vAlign w:val="center"/>
          </w:tcPr>
          <w:p w14:paraId="2121F266" w14:textId="47FC5E31" w:rsidR="008329AB" w:rsidRPr="00471CBA" w:rsidRDefault="008329AB" w:rsidP="008329AB">
            <w:pPr>
              <w:jc w:val="right"/>
              <w:rPr>
                <w:color w:val="000000"/>
                <w:sz w:val="15"/>
                <w:szCs w:val="15"/>
              </w:rPr>
            </w:pPr>
            <w:r w:rsidRPr="00471CBA">
              <w:rPr>
                <w:color w:val="000000"/>
                <w:sz w:val="15"/>
                <w:szCs w:val="15"/>
              </w:rPr>
              <w:t>-</w:t>
            </w:r>
          </w:p>
        </w:tc>
        <w:tc>
          <w:tcPr>
            <w:tcW w:w="989" w:type="pct"/>
            <w:tcBorders>
              <w:top w:val="nil"/>
              <w:left w:val="single" w:sz="4" w:space="0" w:color="auto"/>
              <w:bottom w:val="nil"/>
              <w:right w:val="single" w:sz="4" w:space="0" w:color="auto"/>
            </w:tcBorders>
            <w:hideMark/>
          </w:tcPr>
          <w:p w14:paraId="6094E801" w14:textId="64A821B4" w:rsidR="008329AB" w:rsidRPr="00471CBA" w:rsidRDefault="008329AB" w:rsidP="008329AB">
            <w:pPr>
              <w:jc w:val="right"/>
              <w:rPr>
                <w:sz w:val="15"/>
                <w:szCs w:val="15"/>
              </w:rPr>
            </w:pPr>
            <w:r w:rsidRPr="00471CBA">
              <w:rPr>
                <w:b/>
                <w:bCs/>
                <w:color w:val="000000"/>
                <w:sz w:val="15"/>
                <w:szCs w:val="15"/>
              </w:rPr>
              <w:t>- </w:t>
            </w:r>
          </w:p>
        </w:tc>
      </w:tr>
      <w:tr w:rsidR="008329AB" w:rsidRPr="00471CBA" w14:paraId="02C08581" w14:textId="77777777" w:rsidTr="0083512E">
        <w:trPr>
          <w:trHeight w:val="113"/>
        </w:trPr>
        <w:tc>
          <w:tcPr>
            <w:tcW w:w="3022" w:type="pct"/>
            <w:tcBorders>
              <w:top w:val="nil"/>
              <w:left w:val="single" w:sz="4" w:space="0" w:color="auto"/>
              <w:bottom w:val="nil"/>
              <w:right w:val="single" w:sz="4" w:space="0" w:color="auto"/>
            </w:tcBorders>
            <w:hideMark/>
          </w:tcPr>
          <w:p w14:paraId="3C979B2E" w14:textId="77777777" w:rsidR="008329AB" w:rsidRPr="00471CBA" w:rsidRDefault="008329AB" w:rsidP="008329AB">
            <w:pPr>
              <w:rPr>
                <w:sz w:val="15"/>
                <w:szCs w:val="15"/>
              </w:rPr>
            </w:pPr>
            <w:r w:rsidRPr="00471CBA">
              <w:rPr>
                <w:sz w:val="15"/>
                <w:szCs w:val="15"/>
              </w:rPr>
              <w:t>1.8. YÖNETİM KURULUNA TEMETTÜ (-)</w:t>
            </w:r>
          </w:p>
        </w:tc>
        <w:tc>
          <w:tcPr>
            <w:tcW w:w="989" w:type="pct"/>
            <w:tcBorders>
              <w:top w:val="nil"/>
              <w:left w:val="single" w:sz="4" w:space="0" w:color="auto"/>
              <w:bottom w:val="nil"/>
              <w:right w:val="single" w:sz="4" w:space="0" w:color="auto"/>
            </w:tcBorders>
            <w:vAlign w:val="center"/>
          </w:tcPr>
          <w:p w14:paraId="408E3857" w14:textId="6A24968C" w:rsidR="008329AB" w:rsidRPr="00471CBA" w:rsidRDefault="008329AB" w:rsidP="008329AB">
            <w:pPr>
              <w:jc w:val="right"/>
              <w:rPr>
                <w:color w:val="000000"/>
                <w:sz w:val="15"/>
                <w:szCs w:val="15"/>
              </w:rPr>
            </w:pPr>
            <w:r w:rsidRPr="00471CBA">
              <w:rPr>
                <w:color w:val="000000"/>
                <w:sz w:val="15"/>
                <w:szCs w:val="15"/>
              </w:rPr>
              <w:t>-</w:t>
            </w:r>
          </w:p>
        </w:tc>
        <w:tc>
          <w:tcPr>
            <w:tcW w:w="989" w:type="pct"/>
            <w:tcBorders>
              <w:top w:val="nil"/>
              <w:left w:val="single" w:sz="4" w:space="0" w:color="auto"/>
              <w:bottom w:val="nil"/>
              <w:right w:val="single" w:sz="4" w:space="0" w:color="auto"/>
            </w:tcBorders>
            <w:hideMark/>
          </w:tcPr>
          <w:p w14:paraId="1F28FEB7" w14:textId="2E5CFE22" w:rsidR="008329AB" w:rsidRPr="00471CBA" w:rsidRDefault="008329AB" w:rsidP="008329AB">
            <w:pPr>
              <w:jc w:val="right"/>
              <w:rPr>
                <w:sz w:val="15"/>
                <w:szCs w:val="15"/>
              </w:rPr>
            </w:pPr>
            <w:r w:rsidRPr="00471CBA">
              <w:rPr>
                <w:b/>
                <w:bCs/>
                <w:color w:val="000000"/>
                <w:sz w:val="15"/>
                <w:szCs w:val="15"/>
              </w:rPr>
              <w:t>- </w:t>
            </w:r>
          </w:p>
        </w:tc>
      </w:tr>
      <w:tr w:rsidR="008329AB" w:rsidRPr="00471CBA" w14:paraId="25059DC1" w14:textId="77777777" w:rsidTr="0083512E">
        <w:trPr>
          <w:trHeight w:val="113"/>
        </w:trPr>
        <w:tc>
          <w:tcPr>
            <w:tcW w:w="3022" w:type="pct"/>
            <w:tcBorders>
              <w:top w:val="nil"/>
              <w:left w:val="single" w:sz="4" w:space="0" w:color="auto"/>
              <w:bottom w:val="nil"/>
              <w:right w:val="single" w:sz="4" w:space="0" w:color="auto"/>
            </w:tcBorders>
            <w:hideMark/>
          </w:tcPr>
          <w:p w14:paraId="2ECE633B" w14:textId="77777777" w:rsidR="008329AB" w:rsidRPr="00471CBA" w:rsidRDefault="008329AB" w:rsidP="008329AB">
            <w:pPr>
              <w:rPr>
                <w:sz w:val="15"/>
                <w:szCs w:val="15"/>
              </w:rPr>
            </w:pPr>
            <w:r w:rsidRPr="00471CBA">
              <w:rPr>
                <w:sz w:val="15"/>
                <w:szCs w:val="15"/>
              </w:rPr>
              <w:t>1.9. ORTAKLARA İKİNCİ TEMETTÜ (-)</w:t>
            </w:r>
          </w:p>
        </w:tc>
        <w:tc>
          <w:tcPr>
            <w:tcW w:w="989" w:type="pct"/>
            <w:tcBorders>
              <w:top w:val="nil"/>
              <w:left w:val="single" w:sz="4" w:space="0" w:color="auto"/>
              <w:bottom w:val="nil"/>
              <w:right w:val="single" w:sz="4" w:space="0" w:color="auto"/>
            </w:tcBorders>
            <w:vAlign w:val="center"/>
          </w:tcPr>
          <w:p w14:paraId="4316AC21" w14:textId="44BC9103" w:rsidR="008329AB" w:rsidRPr="00471CBA" w:rsidRDefault="008329AB" w:rsidP="008329AB">
            <w:pPr>
              <w:jc w:val="right"/>
              <w:rPr>
                <w:color w:val="000000"/>
                <w:sz w:val="15"/>
                <w:szCs w:val="15"/>
              </w:rPr>
            </w:pPr>
            <w:r w:rsidRPr="00471CBA">
              <w:rPr>
                <w:color w:val="000000"/>
                <w:sz w:val="15"/>
                <w:szCs w:val="15"/>
              </w:rPr>
              <w:t>-</w:t>
            </w:r>
          </w:p>
        </w:tc>
        <w:tc>
          <w:tcPr>
            <w:tcW w:w="989" w:type="pct"/>
            <w:tcBorders>
              <w:top w:val="nil"/>
              <w:left w:val="single" w:sz="4" w:space="0" w:color="auto"/>
              <w:bottom w:val="nil"/>
              <w:right w:val="single" w:sz="4" w:space="0" w:color="auto"/>
            </w:tcBorders>
            <w:hideMark/>
          </w:tcPr>
          <w:p w14:paraId="3EC19F36" w14:textId="2B144137" w:rsidR="008329AB" w:rsidRPr="00471CBA" w:rsidRDefault="008329AB" w:rsidP="008329AB">
            <w:pPr>
              <w:jc w:val="right"/>
              <w:rPr>
                <w:sz w:val="15"/>
                <w:szCs w:val="15"/>
              </w:rPr>
            </w:pPr>
            <w:r w:rsidRPr="00471CBA">
              <w:rPr>
                <w:b/>
                <w:bCs/>
                <w:color w:val="000000"/>
                <w:sz w:val="15"/>
                <w:szCs w:val="15"/>
              </w:rPr>
              <w:t>- </w:t>
            </w:r>
          </w:p>
        </w:tc>
      </w:tr>
      <w:tr w:rsidR="008329AB" w:rsidRPr="00471CBA" w14:paraId="55613C72" w14:textId="77777777" w:rsidTr="0083512E">
        <w:trPr>
          <w:trHeight w:val="113"/>
        </w:trPr>
        <w:tc>
          <w:tcPr>
            <w:tcW w:w="3022" w:type="pct"/>
            <w:tcBorders>
              <w:top w:val="nil"/>
              <w:left w:val="single" w:sz="4" w:space="0" w:color="auto"/>
              <w:bottom w:val="nil"/>
              <w:right w:val="single" w:sz="4" w:space="0" w:color="auto"/>
            </w:tcBorders>
            <w:hideMark/>
          </w:tcPr>
          <w:p w14:paraId="6381C55C" w14:textId="77777777" w:rsidR="008329AB" w:rsidRPr="00471CBA" w:rsidRDefault="008329AB" w:rsidP="008329AB">
            <w:pPr>
              <w:rPr>
                <w:sz w:val="15"/>
                <w:szCs w:val="15"/>
              </w:rPr>
            </w:pPr>
            <w:r w:rsidRPr="00471CBA">
              <w:rPr>
                <w:sz w:val="15"/>
                <w:szCs w:val="15"/>
              </w:rPr>
              <w:t>1.9.1. Hisse Senedi Sahiplerine</w:t>
            </w:r>
          </w:p>
        </w:tc>
        <w:tc>
          <w:tcPr>
            <w:tcW w:w="989" w:type="pct"/>
            <w:tcBorders>
              <w:top w:val="nil"/>
              <w:left w:val="single" w:sz="4" w:space="0" w:color="auto"/>
              <w:bottom w:val="nil"/>
              <w:right w:val="single" w:sz="4" w:space="0" w:color="auto"/>
            </w:tcBorders>
            <w:vAlign w:val="center"/>
          </w:tcPr>
          <w:p w14:paraId="50ED9470" w14:textId="44F521D1" w:rsidR="008329AB" w:rsidRPr="00471CBA" w:rsidRDefault="008329AB" w:rsidP="008329AB">
            <w:pPr>
              <w:jc w:val="right"/>
              <w:rPr>
                <w:color w:val="000000"/>
                <w:sz w:val="15"/>
                <w:szCs w:val="15"/>
              </w:rPr>
            </w:pPr>
            <w:r w:rsidRPr="00471CBA">
              <w:rPr>
                <w:color w:val="000000"/>
                <w:sz w:val="15"/>
                <w:szCs w:val="15"/>
              </w:rPr>
              <w:t>-</w:t>
            </w:r>
          </w:p>
        </w:tc>
        <w:tc>
          <w:tcPr>
            <w:tcW w:w="989" w:type="pct"/>
            <w:tcBorders>
              <w:top w:val="nil"/>
              <w:left w:val="single" w:sz="4" w:space="0" w:color="auto"/>
              <w:bottom w:val="nil"/>
              <w:right w:val="single" w:sz="4" w:space="0" w:color="auto"/>
            </w:tcBorders>
            <w:hideMark/>
          </w:tcPr>
          <w:p w14:paraId="047D48DF" w14:textId="57D63CF6" w:rsidR="008329AB" w:rsidRPr="00471CBA" w:rsidRDefault="008329AB" w:rsidP="008329AB">
            <w:pPr>
              <w:jc w:val="right"/>
              <w:rPr>
                <w:sz w:val="15"/>
                <w:szCs w:val="15"/>
              </w:rPr>
            </w:pPr>
            <w:r w:rsidRPr="00471CBA">
              <w:rPr>
                <w:b/>
                <w:bCs/>
                <w:color w:val="000000"/>
                <w:sz w:val="15"/>
                <w:szCs w:val="15"/>
              </w:rPr>
              <w:t>- </w:t>
            </w:r>
          </w:p>
        </w:tc>
      </w:tr>
      <w:tr w:rsidR="008329AB" w:rsidRPr="00471CBA" w14:paraId="3B3A48DF" w14:textId="77777777" w:rsidTr="0083512E">
        <w:trPr>
          <w:trHeight w:val="113"/>
        </w:trPr>
        <w:tc>
          <w:tcPr>
            <w:tcW w:w="3022" w:type="pct"/>
            <w:tcBorders>
              <w:top w:val="nil"/>
              <w:left w:val="single" w:sz="4" w:space="0" w:color="auto"/>
              <w:bottom w:val="nil"/>
              <w:right w:val="single" w:sz="4" w:space="0" w:color="auto"/>
            </w:tcBorders>
            <w:hideMark/>
          </w:tcPr>
          <w:p w14:paraId="0E58CC6A" w14:textId="77777777" w:rsidR="008329AB" w:rsidRPr="00471CBA" w:rsidRDefault="008329AB" w:rsidP="008329AB">
            <w:pPr>
              <w:rPr>
                <w:sz w:val="15"/>
                <w:szCs w:val="15"/>
              </w:rPr>
            </w:pPr>
            <w:r w:rsidRPr="00471CBA">
              <w:rPr>
                <w:sz w:val="15"/>
                <w:szCs w:val="15"/>
              </w:rPr>
              <w:t>1.9.2. İmtiyazlı Hisse Senedi Sahiplerine</w:t>
            </w:r>
          </w:p>
        </w:tc>
        <w:tc>
          <w:tcPr>
            <w:tcW w:w="989" w:type="pct"/>
            <w:tcBorders>
              <w:top w:val="nil"/>
              <w:left w:val="single" w:sz="4" w:space="0" w:color="auto"/>
              <w:bottom w:val="nil"/>
              <w:right w:val="single" w:sz="4" w:space="0" w:color="auto"/>
            </w:tcBorders>
            <w:vAlign w:val="center"/>
          </w:tcPr>
          <w:p w14:paraId="3AFCD557" w14:textId="4488A317" w:rsidR="008329AB" w:rsidRPr="00471CBA" w:rsidRDefault="008329AB" w:rsidP="008329AB">
            <w:pPr>
              <w:jc w:val="right"/>
              <w:rPr>
                <w:color w:val="000000"/>
                <w:sz w:val="15"/>
                <w:szCs w:val="15"/>
              </w:rPr>
            </w:pPr>
            <w:r w:rsidRPr="00471CBA">
              <w:rPr>
                <w:color w:val="000000"/>
                <w:sz w:val="15"/>
                <w:szCs w:val="15"/>
              </w:rPr>
              <w:t>-</w:t>
            </w:r>
          </w:p>
        </w:tc>
        <w:tc>
          <w:tcPr>
            <w:tcW w:w="989" w:type="pct"/>
            <w:tcBorders>
              <w:top w:val="nil"/>
              <w:left w:val="single" w:sz="4" w:space="0" w:color="auto"/>
              <w:bottom w:val="nil"/>
              <w:right w:val="single" w:sz="4" w:space="0" w:color="auto"/>
            </w:tcBorders>
            <w:hideMark/>
          </w:tcPr>
          <w:p w14:paraId="7FA6C0AA" w14:textId="45647C2E" w:rsidR="008329AB" w:rsidRPr="00471CBA" w:rsidRDefault="008329AB" w:rsidP="008329AB">
            <w:pPr>
              <w:jc w:val="right"/>
              <w:rPr>
                <w:sz w:val="15"/>
                <w:szCs w:val="15"/>
              </w:rPr>
            </w:pPr>
            <w:r w:rsidRPr="00471CBA">
              <w:rPr>
                <w:b/>
                <w:bCs/>
                <w:color w:val="000000"/>
                <w:sz w:val="15"/>
                <w:szCs w:val="15"/>
              </w:rPr>
              <w:t>- </w:t>
            </w:r>
          </w:p>
        </w:tc>
      </w:tr>
      <w:tr w:rsidR="008329AB" w:rsidRPr="00471CBA" w14:paraId="3639B98A" w14:textId="77777777" w:rsidTr="0083512E">
        <w:trPr>
          <w:trHeight w:val="113"/>
        </w:trPr>
        <w:tc>
          <w:tcPr>
            <w:tcW w:w="3022" w:type="pct"/>
            <w:tcBorders>
              <w:top w:val="nil"/>
              <w:left w:val="single" w:sz="4" w:space="0" w:color="auto"/>
              <w:bottom w:val="nil"/>
              <w:right w:val="single" w:sz="4" w:space="0" w:color="auto"/>
            </w:tcBorders>
            <w:hideMark/>
          </w:tcPr>
          <w:p w14:paraId="460A6A74" w14:textId="77777777" w:rsidR="008329AB" w:rsidRPr="00471CBA" w:rsidRDefault="008329AB" w:rsidP="008329AB">
            <w:pPr>
              <w:rPr>
                <w:sz w:val="15"/>
                <w:szCs w:val="15"/>
              </w:rPr>
            </w:pPr>
            <w:r w:rsidRPr="00471CBA">
              <w:rPr>
                <w:sz w:val="15"/>
                <w:szCs w:val="15"/>
              </w:rPr>
              <w:t>1.9.3. Katılma İntifa Senetlerine</w:t>
            </w:r>
          </w:p>
        </w:tc>
        <w:tc>
          <w:tcPr>
            <w:tcW w:w="989" w:type="pct"/>
            <w:tcBorders>
              <w:top w:val="nil"/>
              <w:left w:val="single" w:sz="4" w:space="0" w:color="auto"/>
              <w:bottom w:val="nil"/>
              <w:right w:val="single" w:sz="4" w:space="0" w:color="auto"/>
            </w:tcBorders>
            <w:vAlign w:val="center"/>
          </w:tcPr>
          <w:p w14:paraId="2FA83ED6" w14:textId="2AA16769" w:rsidR="008329AB" w:rsidRPr="00471CBA" w:rsidRDefault="008329AB" w:rsidP="008329AB">
            <w:pPr>
              <w:jc w:val="right"/>
              <w:rPr>
                <w:color w:val="000000"/>
                <w:sz w:val="15"/>
                <w:szCs w:val="15"/>
              </w:rPr>
            </w:pPr>
            <w:r w:rsidRPr="00471CBA">
              <w:rPr>
                <w:color w:val="000000"/>
                <w:sz w:val="15"/>
                <w:szCs w:val="15"/>
              </w:rPr>
              <w:t>-</w:t>
            </w:r>
          </w:p>
        </w:tc>
        <w:tc>
          <w:tcPr>
            <w:tcW w:w="989" w:type="pct"/>
            <w:tcBorders>
              <w:top w:val="nil"/>
              <w:left w:val="single" w:sz="4" w:space="0" w:color="auto"/>
              <w:bottom w:val="nil"/>
              <w:right w:val="single" w:sz="4" w:space="0" w:color="auto"/>
            </w:tcBorders>
            <w:hideMark/>
          </w:tcPr>
          <w:p w14:paraId="18A2BD02" w14:textId="10914246" w:rsidR="008329AB" w:rsidRPr="00471CBA" w:rsidRDefault="008329AB" w:rsidP="008329AB">
            <w:pPr>
              <w:jc w:val="right"/>
              <w:rPr>
                <w:sz w:val="15"/>
                <w:szCs w:val="15"/>
              </w:rPr>
            </w:pPr>
            <w:r w:rsidRPr="00471CBA">
              <w:rPr>
                <w:b/>
                <w:bCs/>
                <w:color w:val="000000"/>
                <w:sz w:val="15"/>
                <w:szCs w:val="15"/>
              </w:rPr>
              <w:t>- </w:t>
            </w:r>
          </w:p>
        </w:tc>
      </w:tr>
      <w:tr w:rsidR="008329AB" w:rsidRPr="00471CBA" w14:paraId="265675D2" w14:textId="77777777" w:rsidTr="0083512E">
        <w:trPr>
          <w:trHeight w:val="113"/>
        </w:trPr>
        <w:tc>
          <w:tcPr>
            <w:tcW w:w="3022" w:type="pct"/>
            <w:tcBorders>
              <w:top w:val="nil"/>
              <w:left w:val="single" w:sz="4" w:space="0" w:color="auto"/>
              <w:bottom w:val="nil"/>
              <w:right w:val="single" w:sz="4" w:space="0" w:color="auto"/>
            </w:tcBorders>
            <w:hideMark/>
          </w:tcPr>
          <w:p w14:paraId="5F8FA55E" w14:textId="77777777" w:rsidR="008329AB" w:rsidRPr="00471CBA" w:rsidRDefault="008329AB" w:rsidP="008329AB">
            <w:pPr>
              <w:rPr>
                <w:sz w:val="15"/>
                <w:szCs w:val="15"/>
              </w:rPr>
            </w:pPr>
            <w:r w:rsidRPr="00471CBA">
              <w:rPr>
                <w:sz w:val="15"/>
                <w:szCs w:val="15"/>
              </w:rPr>
              <w:t>1.9.4. Kâra İştirakli Tahvillere</w:t>
            </w:r>
          </w:p>
        </w:tc>
        <w:tc>
          <w:tcPr>
            <w:tcW w:w="989" w:type="pct"/>
            <w:tcBorders>
              <w:top w:val="nil"/>
              <w:left w:val="single" w:sz="4" w:space="0" w:color="auto"/>
              <w:bottom w:val="nil"/>
              <w:right w:val="single" w:sz="4" w:space="0" w:color="auto"/>
            </w:tcBorders>
            <w:vAlign w:val="center"/>
          </w:tcPr>
          <w:p w14:paraId="08CD8BF3" w14:textId="2CCDFCDA" w:rsidR="008329AB" w:rsidRPr="00471CBA" w:rsidRDefault="008329AB" w:rsidP="008329AB">
            <w:pPr>
              <w:jc w:val="right"/>
              <w:rPr>
                <w:color w:val="000000"/>
                <w:sz w:val="15"/>
                <w:szCs w:val="15"/>
              </w:rPr>
            </w:pPr>
            <w:r w:rsidRPr="00471CBA">
              <w:rPr>
                <w:color w:val="000000"/>
                <w:sz w:val="15"/>
                <w:szCs w:val="15"/>
              </w:rPr>
              <w:t>-</w:t>
            </w:r>
          </w:p>
        </w:tc>
        <w:tc>
          <w:tcPr>
            <w:tcW w:w="989" w:type="pct"/>
            <w:tcBorders>
              <w:top w:val="nil"/>
              <w:left w:val="single" w:sz="4" w:space="0" w:color="auto"/>
              <w:bottom w:val="nil"/>
              <w:right w:val="single" w:sz="4" w:space="0" w:color="auto"/>
            </w:tcBorders>
            <w:hideMark/>
          </w:tcPr>
          <w:p w14:paraId="24C7F6DE" w14:textId="647F758D" w:rsidR="008329AB" w:rsidRPr="00471CBA" w:rsidRDefault="008329AB" w:rsidP="008329AB">
            <w:pPr>
              <w:jc w:val="right"/>
              <w:rPr>
                <w:sz w:val="15"/>
                <w:szCs w:val="15"/>
              </w:rPr>
            </w:pPr>
            <w:r w:rsidRPr="00471CBA">
              <w:rPr>
                <w:b/>
                <w:bCs/>
                <w:color w:val="000000"/>
                <w:sz w:val="15"/>
                <w:szCs w:val="15"/>
              </w:rPr>
              <w:t>- </w:t>
            </w:r>
          </w:p>
        </w:tc>
      </w:tr>
      <w:tr w:rsidR="008329AB" w:rsidRPr="00471CBA" w14:paraId="789E6FFE" w14:textId="77777777" w:rsidTr="0083512E">
        <w:trPr>
          <w:trHeight w:val="113"/>
        </w:trPr>
        <w:tc>
          <w:tcPr>
            <w:tcW w:w="3022" w:type="pct"/>
            <w:tcBorders>
              <w:top w:val="nil"/>
              <w:left w:val="single" w:sz="4" w:space="0" w:color="auto"/>
              <w:bottom w:val="nil"/>
              <w:right w:val="single" w:sz="4" w:space="0" w:color="auto"/>
            </w:tcBorders>
            <w:hideMark/>
          </w:tcPr>
          <w:p w14:paraId="5DF2C497" w14:textId="77777777" w:rsidR="008329AB" w:rsidRPr="00471CBA" w:rsidRDefault="008329AB" w:rsidP="008329AB">
            <w:pPr>
              <w:rPr>
                <w:sz w:val="15"/>
                <w:szCs w:val="15"/>
              </w:rPr>
            </w:pPr>
            <w:r w:rsidRPr="00471CBA">
              <w:rPr>
                <w:sz w:val="15"/>
                <w:szCs w:val="15"/>
              </w:rPr>
              <w:t>1.9.5. Kâr ve Zarar Ortaklığı Belgesi Sahiplerine</w:t>
            </w:r>
          </w:p>
        </w:tc>
        <w:tc>
          <w:tcPr>
            <w:tcW w:w="989" w:type="pct"/>
            <w:tcBorders>
              <w:top w:val="nil"/>
              <w:left w:val="single" w:sz="4" w:space="0" w:color="auto"/>
              <w:bottom w:val="nil"/>
              <w:right w:val="single" w:sz="4" w:space="0" w:color="auto"/>
            </w:tcBorders>
            <w:vAlign w:val="center"/>
          </w:tcPr>
          <w:p w14:paraId="26027642" w14:textId="7D3CA48E" w:rsidR="008329AB" w:rsidRPr="00471CBA" w:rsidRDefault="008329AB" w:rsidP="008329AB">
            <w:pPr>
              <w:jc w:val="right"/>
              <w:rPr>
                <w:color w:val="000000"/>
                <w:sz w:val="15"/>
                <w:szCs w:val="15"/>
              </w:rPr>
            </w:pPr>
            <w:r w:rsidRPr="00471CBA">
              <w:rPr>
                <w:color w:val="000000"/>
                <w:sz w:val="15"/>
                <w:szCs w:val="15"/>
              </w:rPr>
              <w:t>-</w:t>
            </w:r>
          </w:p>
        </w:tc>
        <w:tc>
          <w:tcPr>
            <w:tcW w:w="989" w:type="pct"/>
            <w:tcBorders>
              <w:top w:val="nil"/>
              <w:left w:val="single" w:sz="4" w:space="0" w:color="auto"/>
              <w:bottom w:val="nil"/>
              <w:right w:val="single" w:sz="4" w:space="0" w:color="auto"/>
            </w:tcBorders>
            <w:hideMark/>
          </w:tcPr>
          <w:p w14:paraId="456CC3C0" w14:textId="507EA811" w:rsidR="008329AB" w:rsidRPr="00471CBA" w:rsidRDefault="008329AB" w:rsidP="008329AB">
            <w:pPr>
              <w:jc w:val="right"/>
              <w:rPr>
                <w:sz w:val="15"/>
                <w:szCs w:val="15"/>
              </w:rPr>
            </w:pPr>
            <w:r w:rsidRPr="00471CBA">
              <w:rPr>
                <w:b/>
                <w:bCs/>
                <w:color w:val="000000"/>
                <w:sz w:val="15"/>
                <w:szCs w:val="15"/>
              </w:rPr>
              <w:t>- </w:t>
            </w:r>
          </w:p>
        </w:tc>
      </w:tr>
      <w:tr w:rsidR="008329AB" w:rsidRPr="00471CBA" w14:paraId="2E2AB286" w14:textId="77777777" w:rsidTr="0083512E">
        <w:trPr>
          <w:trHeight w:val="113"/>
        </w:trPr>
        <w:tc>
          <w:tcPr>
            <w:tcW w:w="3022" w:type="pct"/>
            <w:tcBorders>
              <w:top w:val="nil"/>
              <w:left w:val="single" w:sz="4" w:space="0" w:color="auto"/>
              <w:bottom w:val="nil"/>
              <w:right w:val="single" w:sz="4" w:space="0" w:color="auto"/>
            </w:tcBorders>
            <w:hideMark/>
          </w:tcPr>
          <w:p w14:paraId="713B5BE8" w14:textId="77777777" w:rsidR="008329AB" w:rsidRPr="00471CBA" w:rsidRDefault="008329AB" w:rsidP="008329AB">
            <w:pPr>
              <w:rPr>
                <w:sz w:val="15"/>
                <w:szCs w:val="15"/>
              </w:rPr>
            </w:pPr>
            <w:r w:rsidRPr="00471CBA">
              <w:rPr>
                <w:sz w:val="15"/>
                <w:szCs w:val="15"/>
              </w:rPr>
              <w:t>1.10. İKİNCİ TERTİP YASAL YEDEK AKÇE (-)</w:t>
            </w:r>
          </w:p>
        </w:tc>
        <w:tc>
          <w:tcPr>
            <w:tcW w:w="989" w:type="pct"/>
            <w:tcBorders>
              <w:top w:val="nil"/>
              <w:left w:val="single" w:sz="4" w:space="0" w:color="auto"/>
              <w:bottom w:val="nil"/>
              <w:right w:val="single" w:sz="4" w:space="0" w:color="auto"/>
            </w:tcBorders>
            <w:vAlign w:val="center"/>
          </w:tcPr>
          <w:p w14:paraId="043361FE" w14:textId="032462C5" w:rsidR="008329AB" w:rsidRPr="00471CBA" w:rsidRDefault="008329AB" w:rsidP="008329AB">
            <w:pPr>
              <w:jc w:val="right"/>
              <w:rPr>
                <w:color w:val="000000"/>
                <w:sz w:val="15"/>
                <w:szCs w:val="15"/>
              </w:rPr>
            </w:pPr>
            <w:r w:rsidRPr="00471CBA">
              <w:rPr>
                <w:color w:val="000000"/>
                <w:sz w:val="15"/>
                <w:szCs w:val="15"/>
              </w:rPr>
              <w:t>-</w:t>
            </w:r>
          </w:p>
        </w:tc>
        <w:tc>
          <w:tcPr>
            <w:tcW w:w="989" w:type="pct"/>
            <w:tcBorders>
              <w:top w:val="nil"/>
              <w:left w:val="single" w:sz="4" w:space="0" w:color="auto"/>
              <w:bottom w:val="nil"/>
              <w:right w:val="single" w:sz="4" w:space="0" w:color="auto"/>
            </w:tcBorders>
            <w:hideMark/>
          </w:tcPr>
          <w:p w14:paraId="0D41BE35" w14:textId="477F92E6" w:rsidR="008329AB" w:rsidRPr="00471CBA" w:rsidRDefault="008329AB" w:rsidP="008329AB">
            <w:pPr>
              <w:jc w:val="right"/>
              <w:rPr>
                <w:sz w:val="15"/>
                <w:szCs w:val="15"/>
              </w:rPr>
            </w:pPr>
            <w:r w:rsidRPr="00471CBA">
              <w:rPr>
                <w:b/>
                <w:bCs/>
                <w:color w:val="000000"/>
                <w:sz w:val="15"/>
                <w:szCs w:val="15"/>
              </w:rPr>
              <w:t>- </w:t>
            </w:r>
          </w:p>
        </w:tc>
      </w:tr>
      <w:tr w:rsidR="008329AB" w:rsidRPr="00471CBA" w14:paraId="65863E57" w14:textId="77777777" w:rsidTr="0083512E">
        <w:trPr>
          <w:trHeight w:val="113"/>
        </w:trPr>
        <w:tc>
          <w:tcPr>
            <w:tcW w:w="3022" w:type="pct"/>
            <w:tcBorders>
              <w:top w:val="nil"/>
              <w:left w:val="single" w:sz="4" w:space="0" w:color="auto"/>
              <w:bottom w:val="nil"/>
              <w:right w:val="single" w:sz="4" w:space="0" w:color="auto"/>
            </w:tcBorders>
            <w:hideMark/>
          </w:tcPr>
          <w:p w14:paraId="370F8C28" w14:textId="77777777" w:rsidR="008329AB" w:rsidRPr="00471CBA" w:rsidRDefault="008329AB" w:rsidP="008329AB">
            <w:pPr>
              <w:rPr>
                <w:sz w:val="15"/>
                <w:szCs w:val="15"/>
              </w:rPr>
            </w:pPr>
            <w:r w:rsidRPr="00471CBA">
              <w:rPr>
                <w:sz w:val="15"/>
                <w:szCs w:val="15"/>
              </w:rPr>
              <w:t>1.11. STATÜ YEDEKLERİ (-)</w:t>
            </w:r>
          </w:p>
        </w:tc>
        <w:tc>
          <w:tcPr>
            <w:tcW w:w="989" w:type="pct"/>
            <w:tcBorders>
              <w:top w:val="nil"/>
              <w:left w:val="single" w:sz="4" w:space="0" w:color="auto"/>
              <w:bottom w:val="nil"/>
              <w:right w:val="single" w:sz="4" w:space="0" w:color="auto"/>
            </w:tcBorders>
            <w:vAlign w:val="center"/>
          </w:tcPr>
          <w:p w14:paraId="1E30468E" w14:textId="31F0E5B6" w:rsidR="008329AB" w:rsidRPr="00471CBA" w:rsidRDefault="008329AB" w:rsidP="008329AB">
            <w:pPr>
              <w:jc w:val="right"/>
              <w:rPr>
                <w:color w:val="000000"/>
                <w:sz w:val="15"/>
                <w:szCs w:val="15"/>
              </w:rPr>
            </w:pPr>
            <w:r w:rsidRPr="00471CBA">
              <w:rPr>
                <w:color w:val="000000"/>
                <w:sz w:val="15"/>
                <w:szCs w:val="15"/>
              </w:rPr>
              <w:t>-</w:t>
            </w:r>
          </w:p>
        </w:tc>
        <w:tc>
          <w:tcPr>
            <w:tcW w:w="989" w:type="pct"/>
            <w:tcBorders>
              <w:top w:val="nil"/>
              <w:left w:val="single" w:sz="4" w:space="0" w:color="auto"/>
              <w:bottom w:val="nil"/>
              <w:right w:val="single" w:sz="4" w:space="0" w:color="auto"/>
            </w:tcBorders>
            <w:hideMark/>
          </w:tcPr>
          <w:p w14:paraId="6A80AD53" w14:textId="4242F7FC" w:rsidR="008329AB" w:rsidRPr="00471CBA" w:rsidRDefault="008329AB" w:rsidP="008329AB">
            <w:pPr>
              <w:jc w:val="right"/>
              <w:rPr>
                <w:sz w:val="15"/>
                <w:szCs w:val="15"/>
              </w:rPr>
            </w:pPr>
            <w:r w:rsidRPr="00471CBA">
              <w:rPr>
                <w:b/>
                <w:bCs/>
                <w:color w:val="000000"/>
                <w:sz w:val="15"/>
                <w:szCs w:val="15"/>
              </w:rPr>
              <w:t>- </w:t>
            </w:r>
          </w:p>
        </w:tc>
      </w:tr>
      <w:tr w:rsidR="008329AB" w:rsidRPr="00471CBA" w14:paraId="104AB493" w14:textId="77777777" w:rsidTr="0083512E">
        <w:trPr>
          <w:trHeight w:val="113"/>
        </w:trPr>
        <w:tc>
          <w:tcPr>
            <w:tcW w:w="3022" w:type="pct"/>
            <w:tcBorders>
              <w:top w:val="nil"/>
              <w:left w:val="single" w:sz="4" w:space="0" w:color="auto"/>
              <w:bottom w:val="nil"/>
              <w:right w:val="single" w:sz="4" w:space="0" w:color="auto"/>
            </w:tcBorders>
            <w:hideMark/>
          </w:tcPr>
          <w:p w14:paraId="6A126CBD" w14:textId="77777777" w:rsidR="008329AB" w:rsidRPr="00471CBA" w:rsidRDefault="008329AB" w:rsidP="008329AB">
            <w:pPr>
              <w:rPr>
                <w:sz w:val="15"/>
                <w:szCs w:val="15"/>
              </w:rPr>
            </w:pPr>
            <w:r w:rsidRPr="00471CBA">
              <w:rPr>
                <w:sz w:val="15"/>
                <w:szCs w:val="15"/>
              </w:rPr>
              <w:t>1.12. OLAĞANÜSTÜ YEDEKLER</w:t>
            </w:r>
          </w:p>
        </w:tc>
        <w:tc>
          <w:tcPr>
            <w:tcW w:w="989" w:type="pct"/>
            <w:tcBorders>
              <w:top w:val="nil"/>
              <w:left w:val="single" w:sz="4" w:space="0" w:color="auto"/>
              <w:bottom w:val="nil"/>
              <w:right w:val="single" w:sz="4" w:space="0" w:color="auto"/>
            </w:tcBorders>
            <w:vAlign w:val="center"/>
          </w:tcPr>
          <w:p w14:paraId="167197A1" w14:textId="56BEE23F" w:rsidR="008329AB" w:rsidRPr="00471CBA" w:rsidRDefault="008329AB" w:rsidP="008329AB">
            <w:pPr>
              <w:jc w:val="right"/>
              <w:rPr>
                <w:color w:val="000000"/>
                <w:sz w:val="15"/>
                <w:szCs w:val="15"/>
              </w:rPr>
            </w:pPr>
            <w:r w:rsidRPr="00471CBA">
              <w:rPr>
                <w:color w:val="000000"/>
                <w:sz w:val="15"/>
                <w:szCs w:val="15"/>
              </w:rPr>
              <w:t>-</w:t>
            </w:r>
          </w:p>
        </w:tc>
        <w:tc>
          <w:tcPr>
            <w:tcW w:w="989" w:type="pct"/>
            <w:tcBorders>
              <w:top w:val="nil"/>
              <w:left w:val="single" w:sz="4" w:space="0" w:color="auto"/>
              <w:bottom w:val="nil"/>
              <w:right w:val="single" w:sz="4" w:space="0" w:color="auto"/>
            </w:tcBorders>
            <w:hideMark/>
          </w:tcPr>
          <w:p w14:paraId="5FE28665" w14:textId="3D0F7E6B" w:rsidR="008329AB" w:rsidRPr="00471CBA" w:rsidRDefault="008329AB" w:rsidP="008329AB">
            <w:pPr>
              <w:jc w:val="right"/>
              <w:rPr>
                <w:sz w:val="15"/>
                <w:szCs w:val="15"/>
              </w:rPr>
            </w:pPr>
            <w:r w:rsidRPr="00471CBA">
              <w:rPr>
                <w:b/>
                <w:bCs/>
                <w:color w:val="000000"/>
                <w:sz w:val="15"/>
                <w:szCs w:val="15"/>
              </w:rPr>
              <w:t>- </w:t>
            </w:r>
          </w:p>
        </w:tc>
      </w:tr>
      <w:tr w:rsidR="008329AB" w:rsidRPr="00471CBA" w14:paraId="24E6CB6E" w14:textId="77777777" w:rsidTr="0083512E">
        <w:trPr>
          <w:trHeight w:val="113"/>
        </w:trPr>
        <w:tc>
          <w:tcPr>
            <w:tcW w:w="3022" w:type="pct"/>
            <w:tcBorders>
              <w:top w:val="nil"/>
              <w:left w:val="single" w:sz="4" w:space="0" w:color="auto"/>
              <w:bottom w:val="nil"/>
              <w:right w:val="single" w:sz="4" w:space="0" w:color="auto"/>
            </w:tcBorders>
            <w:hideMark/>
          </w:tcPr>
          <w:p w14:paraId="1CFE23C0" w14:textId="77777777" w:rsidR="008329AB" w:rsidRPr="00471CBA" w:rsidRDefault="008329AB" w:rsidP="008329AB">
            <w:pPr>
              <w:rPr>
                <w:sz w:val="15"/>
                <w:szCs w:val="15"/>
              </w:rPr>
            </w:pPr>
            <w:r w:rsidRPr="00471CBA">
              <w:rPr>
                <w:sz w:val="15"/>
                <w:szCs w:val="15"/>
              </w:rPr>
              <w:t>1.13. DİĞER YEDEKLER</w:t>
            </w:r>
          </w:p>
        </w:tc>
        <w:tc>
          <w:tcPr>
            <w:tcW w:w="989" w:type="pct"/>
            <w:tcBorders>
              <w:top w:val="nil"/>
              <w:left w:val="single" w:sz="4" w:space="0" w:color="auto"/>
              <w:bottom w:val="nil"/>
              <w:right w:val="single" w:sz="4" w:space="0" w:color="auto"/>
            </w:tcBorders>
            <w:vAlign w:val="center"/>
          </w:tcPr>
          <w:p w14:paraId="15B412B4" w14:textId="679B14D8" w:rsidR="008329AB" w:rsidRPr="00471CBA" w:rsidRDefault="008329AB" w:rsidP="008329AB">
            <w:pPr>
              <w:jc w:val="right"/>
              <w:rPr>
                <w:color w:val="000000"/>
                <w:sz w:val="15"/>
                <w:szCs w:val="15"/>
              </w:rPr>
            </w:pPr>
            <w:r w:rsidRPr="00471CBA">
              <w:rPr>
                <w:color w:val="000000"/>
                <w:sz w:val="15"/>
                <w:szCs w:val="15"/>
              </w:rPr>
              <w:t>-</w:t>
            </w:r>
          </w:p>
        </w:tc>
        <w:tc>
          <w:tcPr>
            <w:tcW w:w="989" w:type="pct"/>
            <w:tcBorders>
              <w:top w:val="nil"/>
              <w:left w:val="single" w:sz="4" w:space="0" w:color="auto"/>
              <w:bottom w:val="nil"/>
              <w:right w:val="single" w:sz="4" w:space="0" w:color="auto"/>
            </w:tcBorders>
            <w:hideMark/>
          </w:tcPr>
          <w:p w14:paraId="5CAE4701" w14:textId="1ED2BD47" w:rsidR="008329AB" w:rsidRPr="00471CBA" w:rsidRDefault="008329AB" w:rsidP="008329AB">
            <w:pPr>
              <w:jc w:val="right"/>
              <w:rPr>
                <w:sz w:val="15"/>
                <w:szCs w:val="15"/>
              </w:rPr>
            </w:pPr>
            <w:r w:rsidRPr="00471CBA">
              <w:rPr>
                <w:b/>
                <w:bCs/>
                <w:color w:val="000000"/>
                <w:sz w:val="15"/>
                <w:szCs w:val="15"/>
              </w:rPr>
              <w:t>- </w:t>
            </w:r>
          </w:p>
        </w:tc>
      </w:tr>
      <w:tr w:rsidR="008329AB" w:rsidRPr="00471CBA" w14:paraId="5330C439" w14:textId="77777777" w:rsidTr="0083512E">
        <w:trPr>
          <w:trHeight w:val="113"/>
        </w:trPr>
        <w:tc>
          <w:tcPr>
            <w:tcW w:w="3022" w:type="pct"/>
            <w:tcBorders>
              <w:top w:val="nil"/>
              <w:left w:val="single" w:sz="4" w:space="0" w:color="auto"/>
              <w:bottom w:val="nil"/>
              <w:right w:val="single" w:sz="4" w:space="0" w:color="auto"/>
            </w:tcBorders>
            <w:hideMark/>
          </w:tcPr>
          <w:p w14:paraId="4516FB2D" w14:textId="77777777" w:rsidR="008329AB" w:rsidRPr="00471CBA" w:rsidRDefault="008329AB" w:rsidP="008329AB">
            <w:pPr>
              <w:rPr>
                <w:sz w:val="15"/>
                <w:szCs w:val="15"/>
              </w:rPr>
            </w:pPr>
            <w:r w:rsidRPr="00471CBA">
              <w:rPr>
                <w:sz w:val="15"/>
                <w:szCs w:val="15"/>
              </w:rPr>
              <w:t>1.14. ÖZEL FONLAR</w:t>
            </w:r>
          </w:p>
        </w:tc>
        <w:tc>
          <w:tcPr>
            <w:tcW w:w="989" w:type="pct"/>
            <w:tcBorders>
              <w:top w:val="nil"/>
              <w:left w:val="single" w:sz="4" w:space="0" w:color="auto"/>
              <w:bottom w:val="nil"/>
              <w:right w:val="single" w:sz="4" w:space="0" w:color="auto"/>
            </w:tcBorders>
            <w:vAlign w:val="center"/>
          </w:tcPr>
          <w:p w14:paraId="48807527" w14:textId="749EA5E2" w:rsidR="008329AB" w:rsidRPr="00471CBA" w:rsidRDefault="008329AB" w:rsidP="008329AB">
            <w:pPr>
              <w:jc w:val="right"/>
              <w:rPr>
                <w:color w:val="000000"/>
                <w:sz w:val="15"/>
                <w:szCs w:val="15"/>
              </w:rPr>
            </w:pPr>
            <w:r w:rsidRPr="00471CBA">
              <w:rPr>
                <w:color w:val="000000"/>
                <w:sz w:val="15"/>
                <w:szCs w:val="15"/>
              </w:rPr>
              <w:t>-</w:t>
            </w:r>
          </w:p>
        </w:tc>
        <w:tc>
          <w:tcPr>
            <w:tcW w:w="989" w:type="pct"/>
            <w:tcBorders>
              <w:top w:val="nil"/>
              <w:left w:val="single" w:sz="4" w:space="0" w:color="auto"/>
              <w:bottom w:val="nil"/>
              <w:right w:val="single" w:sz="4" w:space="0" w:color="auto"/>
            </w:tcBorders>
            <w:hideMark/>
          </w:tcPr>
          <w:p w14:paraId="1DAEBA60" w14:textId="383E48ED" w:rsidR="008329AB" w:rsidRPr="00471CBA" w:rsidRDefault="008329AB" w:rsidP="008329AB">
            <w:pPr>
              <w:jc w:val="right"/>
              <w:rPr>
                <w:sz w:val="15"/>
                <w:szCs w:val="15"/>
              </w:rPr>
            </w:pPr>
            <w:r w:rsidRPr="00471CBA">
              <w:rPr>
                <w:b/>
                <w:bCs/>
                <w:color w:val="000000"/>
                <w:sz w:val="15"/>
                <w:szCs w:val="15"/>
              </w:rPr>
              <w:t>- </w:t>
            </w:r>
          </w:p>
        </w:tc>
      </w:tr>
      <w:tr w:rsidR="008329AB" w:rsidRPr="00471CBA" w14:paraId="3EB960CA" w14:textId="77777777" w:rsidTr="0014276B">
        <w:trPr>
          <w:trHeight w:val="113"/>
        </w:trPr>
        <w:tc>
          <w:tcPr>
            <w:tcW w:w="3022" w:type="pct"/>
            <w:tcBorders>
              <w:top w:val="nil"/>
              <w:left w:val="single" w:sz="4" w:space="0" w:color="auto"/>
              <w:bottom w:val="nil"/>
              <w:right w:val="single" w:sz="4" w:space="0" w:color="auto"/>
            </w:tcBorders>
          </w:tcPr>
          <w:p w14:paraId="10E4A643" w14:textId="77777777" w:rsidR="008329AB" w:rsidRPr="00471CBA" w:rsidRDefault="008329AB" w:rsidP="008329AB">
            <w:pPr>
              <w:rPr>
                <w:sz w:val="15"/>
                <w:szCs w:val="15"/>
              </w:rPr>
            </w:pPr>
          </w:p>
        </w:tc>
        <w:tc>
          <w:tcPr>
            <w:tcW w:w="989" w:type="pct"/>
            <w:tcBorders>
              <w:top w:val="nil"/>
              <w:left w:val="single" w:sz="4" w:space="0" w:color="auto"/>
              <w:bottom w:val="nil"/>
              <w:right w:val="single" w:sz="4" w:space="0" w:color="auto"/>
            </w:tcBorders>
            <w:vAlign w:val="bottom"/>
          </w:tcPr>
          <w:p w14:paraId="46133ECE" w14:textId="3B3477EE" w:rsidR="008329AB" w:rsidRPr="00471CBA" w:rsidRDefault="008329AB" w:rsidP="008329AB">
            <w:pPr>
              <w:jc w:val="right"/>
              <w:rPr>
                <w:color w:val="000000"/>
                <w:sz w:val="15"/>
                <w:szCs w:val="15"/>
              </w:rPr>
            </w:pPr>
            <w:r w:rsidRPr="00471CBA">
              <w:rPr>
                <w:color w:val="000000"/>
                <w:sz w:val="15"/>
                <w:szCs w:val="15"/>
              </w:rPr>
              <w:t> </w:t>
            </w:r>
          </w:p>
        </w:tc>
        <w:tc>
          <w:tcPr>
            <w:tcW w:w="989" w:type="pct"/>
            <w:tcBorders>
              <w:top w:val="nil"/>
              <w:left w:val="single" w:sz="4" w:space="0" w:color="auto"/>
              <w:bottom w:val="nil"/>
              <w:right w:val="single" w:sz="4" w:space="0" w:color="auto"/>
            </w:tcBorders>
            <w:vAlign w:val="bottom"/>
            <w:hideMark/>
          </w:tcPr>
          <w:p w14:paraId="2ECB0CDE" w14:textId="031B36D5" w:rsidR="008329AB" w:rsidRPr="00471CBA" w:rsidRDefault="008329AB" w:rsidP="008329AB">
            <w:pPr>
              <w:jc w:val="right"/>
              <w:rPr>
                <w:sz w:val="15"/>
                <w:szCs w:val="15"/>
              </w:rPr>
            </w:pPr>
            <w:r w:rsidRPr="00471CBA">
              <w:rPr>
                <w:b/>
                <w:bCs/>
                <w:color w:val="000000"/>
                <w:sz w:val="15"/>
                <w:szCs w:val="15"/>
              </w:rPr>
              <w:t> </w:t>
            </w:r>
          </w:p>
        </w:tc>
      </w:tr>
      <w:tr w:rsidR="008329AB" w:rsidRPr="00471CBA" w14:paraId="5D45D27E" w14:textId="77777777" w:rsidTr="0014276B">
        <w:trPr>
          <w:trHeight w:val="113"/>
        </w:trPr>
        <w:tc>
          <w:tcPr>
            <w:tcW w:w="3022" w:type="pct"/>
            <w:tcBorders>
              <w:top w:val="nil"/>
              <w:left w:val="single" w:sz="4" w:space="0" w:color="auto"/>
              <w:bottom w:val="nil"/>
              <w:right w:val="single" w:sz="4" w:space="0" w:color="auto"/>
            </w:tcBorders>
            <w:hideMark/>
          </w:tcPr>
          <w:p w14:paraId="68C2EB70" w14:textId="77777777" w:rsidR="008329AB" w:rsidRPr="00471CBA" w:rsidRDefault="008329AB" w:rsidP="008329AB">
            <w:pPr>
              <w:rPr>
                <w:b/>
                <w:sz w:val="15"/>
                <w:szCs w:val="15"/>
              </w:rPr>
            </w:pPr>
            <w:r w:rsidRPr="00471CBA">
              <w:rPr>
                <w:b/>
                <w:sz w:val="15"/>
                <w:szCs w:val="15"/>
              </w:rPr>
              <w:t>II. YEDEKLERDEN DAĞITIM</w:t>
            </w:r>
          </w:p>
        </w:tc>
        <w:tc>
          <w:tcPr>
            <w:tcW w:w="989" w:type="pct"/>
            <w:tcBorders>
              <w:top w:val="nil"/>
              <w:left w:val="single" w:sz="4" w:space="0" w:color="auto"/>
              <w:bottom w:val="nil"/>
              <w:right w:val="single" w:sz="4" w:space="0" w:color="auto"/>
            </w:tcBorders>
            <w:vAlign w:val="center"/>
          </w:tcPr>
          <w:p w14:paraId="7068DBFB" w14:textId="2DADBD8E" w:rsidR="008329AB" w:rsidRPr="00471CBA" w:rsidRDefault="008329AB" w:rsidP="008329AB">
            <w:pPr>
              <w:jc w:val="right"/>
              <w:rPr>
                <w:color w:val="000000"/>
                <w:sz w:val="15"/>
                <w:szCs w:val="15"/>
              </w:rPr>
            </w:pPr>
            <w:r w:rsidRPr="00471CBA">
              <w:rPr>
                <w:color w:val="000000"/>
                <w:sz w:val="15"/>
                <w:szCs w:val="15"/>
              </w:rPr>
              <w:t> </w:t>
            </w:r>
          </w:p>
        </w:tc>
        <w:tc>
          <w:tcPr>
            <w:tcW w:w="989" w:type="pct"/>
            <w:tcBorders>
              <w:top w:val="nil"/>
              <w:left w:val="single" w:sz="4" w:space="0" w:color="auto"/>
              <w:bottom w:val="nil"/>
              <w:right w:val="single" w:sz="4" w:space="0" w:color="auto"/>
            </w:tcBorders>
            <w:vAlign w:val="center"/>
            <w:hideMark/>
          </w:tcPr>
          <w:p w14:paraId="18CF2186" w14:textId="6B5D2BDE" w:rsidR="008329AB" w:rsidRPr="00471CBA" w:rsidRDefault="008329AB" w:rsidP="008329AB">
            <w:pPr>
              <w:jc w:val="right"/>
              <w:rPr>
                <w:sz w:val="15"/>
                <w:szCs w:val="15"/>
              </w:rPr>
            </w:pPr>
            <w:r w:rsidRPr="00471CBA">
              <w:rPr>
                <w:b/>
                <w:bCs/>
                <w:color w:val="000000"/>
                <w:sz w:val="15"/>
                <w:szCs w:val="15"/>
              </w:rPr>
              <w:t> </w:t>
            </w:r>
          </w:p>
        </w:tc>
      </w:tr>
      <w:tr w:rsidR="008329AB" w:rsidRPr="00471CBA" w14:paraId="55991979" w14:textId="77777777" w:rsidTr="0014276B">
        <w:trPr>
          <w:trHeight w:val="161"/>
        </w:trPr>
        <w:tc>
          <w:tcPr>
            <w:tcW w:w="3022" w:type="pct"/>
            <w:tcBorders>
              <w:top w:val="nil"/>
              <w:left w:val="single" w:sz="4" w:space="0" w:color="auto"/>
              <w:bottom w:val="nil"/>
              <w:right w:val="single" w:sz="4" w:space="0" w:color="auto"/>
            </w:tcBorders>
          </w:tcPr>
          <w:p w14:paraId="5AA90A2F" w14:textId="77777777" w:rsidR="008329AB" w:rsidRPr="00471CBA" w:rsidRDefault="008329AB" w:rsidP="008329AB">
            <w:pPr>
              <w:rPr>
                <w:b/>
                <w:sz w:val="15"/>
                <w:szCs w:val="15"/>
              </w:rPr>
            </w:pPr>
          </w:p>
        </w:tc>
        <w:tc>
          <w:tcPr>
            <w:tcW w:w="989" w:type="pct"/>
            <w:tcBorders>
              <w:top w:val="nil"/>
              <w:left w:val="single" w:sz="4" w:space="0" w:color="auto"/>
              <w:bottom w:val="nil"/>
              <w:right w:val="single" w:sz="4" w:space="0" w:color="auto"/>
            </w:tcBorders>
            <w:vAlign w:val="bottom"/>
          </w:tcPr>
          <w:p w14:paraId="0F31B656" w14:textId="2A6A3FA5" w:rsidR="008329AB" w:rsidRPr="00471CBA" w:rsidRDefault="008329AB" w:rsidP="008329AB">
            <w:pPr>
              <w:jc w:val="right"/>
              <w:rPr>
                <w:color w:val="000000"/>
                <w:sz w:val="15"/>
                <w:szCs w:val="15"/>
              </w:rPr>
            </w:pPr>
            <w:r w:rsidRPr="00471CBA">
              <w:rPr>
                <w:color w:val="000000"/>
                <w:sz w:val="15"/>
                <w:szCs w:val="15"/>
              </w:rPr>
              <w:t> </w:t>
            </w:r>
          </w:p>
        </w:tc>
        <w:tc>
          <w:tcPr>
            <w:tcW w:w="989" w:type="pct"/>
            <w:tcBorders>
              <w:top w:val="nil"/>
              <w:left w:val="single" w:sz="4" w:space="0" w:color="auto"/>
              <w:bottom w:val="nil"/>
              <w:right w:val="single" w:sz="4" w:space="0" w:color="auto"/>
            </w:tcBorders>
            <w:vAlign w:val="bottom"/>
            <w:hideMark/>
          </w:tcPr>
          <w:p w14:paraId="21F881D2" w14:textId="01CC219A" w:rsidR="008329AB" w:rsidRPr="00471CBA" w:rsidRDefault="008329AB" w:rsidP="008329AB">
            <w:pPr>
              <w:jc w:val="right"/>
              <w:rPr>
                <w:sz w:val="15"/>
                <w:szCs w:val="15"/>
              </w:rPr>
            </w:pPr>
            <w:r w:rsidRPr="00471CBA">
              <w:rPr>
                <w:b/>
                <w:bCs/>
                <w:color w:val="000000"/>
                <w:sz w:val="15"/>
                <w:szCs w:val="15"/>
              </w:rPr>
              <w:t> </w:t>
            </w:r>
          </w:p>
        </w:tc>
      </w:tr>
      <w:tr w:rsidR="008329AB" w:rsidRPr="00471CBA" w14:paraId="5A0964A5" w14:textId="77777777" w:rsidTr="0083512E">
        <w:trPr>
          <w:trHeight w:val="113"/>
        </w:trPr>
        <w:tc>
          <w:tcPr>
            <w:tcW w:w="3022" w:type="pct"/>
            <w:tcBorders>
              <w:top w:val="nil"/>
              <w:left w:val="single" w:sz="4" w:space="0" w:color="auto"/>
              <w:bottom w:val="nil"/>
              <w:right w:val="single" w:sz="4" w:space="0" w:color="auto"/>
            </w:tcBorders>
            <w:hideMark/>
          </w:tcPr>
          <w:p w14:paraId="6D731C08" w14:textId="77777777" w:rsidR="008329AB" w:rsidRPr="00471CBA" w:rsidRDefault="008329AB" w:rsidP="008329AB">
            <w:pPr>
              <w:rPr>
                <w:sz w:val="15"/>
                <w:szCs w:val="15"/>
              </w:rPr>
            </w:pPr>
            <w:r w:rsidRPr="00471CBA">
              <w:rPr>
                <w:sz w:val="15"/>
                <w:szCs w:val="15"/>
              </w:rPr>
              <w:t>2.1. DAĞITILAN YEDEKLER</w:t>
            </w:r>
          </w:p>
        </w:tc>
        <w:tc>
          <w:tcPr>
            <w:tcW w:w="989" w:type="pct"/>
            <w:tcBorders>
              <w:top w:val="nil"/>
              <w:left w:val="single" w:sz="4" w:space="0" w:color="auto"/>
              <w:bottom w:val="nil"/>
              <w:right w:val="single" w:sz="4" w:space="0" w:color="auto"/>
            </w:tcBorders>
            <w:vAlign w:val="center"/>
          </w:tcPr>
          <w:p w14:paraId="2EC9D53B" w14:textId="481F0485" w:rsidR="008329AB" w:rsidRPr="00471CBA" w:rsidRDefault="008329AB" w:rsidP="008329AB">
            <w:pPr>
              <w:jc w:val="right"/>
              <w:rPr>
                <w:color w:val="000000"/>
                <w:sz w:val="15"/>
                <w:szCs w:val="15"/>
              </w:rPr>
            </w:pPr>
            <w:r w:rsidRPr="00471CBA">
              <w:rPr>
                <w:color w:val="000000"/>
                <w:sz w:val="15"/>
                <w:szCs w:val="15"/>
              </w:rPr>
              <w:t>-</w:t>
            </w:r>
          </w:p>
        </w:tc>
        <w:tc>
          <w:tcPr>
            <w:tcW w:w="989" w:type="pct"/>
            <w:tcBorders>
              <w:top w:val="nil"/>
              <w:left w:val="single" w:sz="4" w:space="0" w:color="auto"/>
              <w:bottom w:val="nil"/>
              <w:right w:val="single" w:sz="4" w:space="0" w:color="auto"/>
            </w:tcBorders>
            <w:hideMark/>
          </w:tcPr>
          <w:p w14:paraId="74076061" w14:textId="012CCD3A" w:rsidR="008329AB" w:rsidRPr="00471CBA" w:rsidRDefault="008329AB" w:rsidP="008329AB">
            <w:pPr>
              <w:jc w:val="right"/>
              <w:rPr>
                <w:sz w:val="15"/>
                <w:szCs w:val="15"/>
              </w:rPr>
            </w:pPr>
            <w:r w:rsidRPr="00471CBA">
              <w:rPr>
                <w:b/>
                <w:bCs/>
                <w:color w:val="000000"/>
                <w:sz w:val="15"/>
                <w:szCs w:val="15"/>
              </w:rPr>
              <w:t>- </w:t>
            </w:r>
          </w:p>
        </w:tc>
      </w:tr>
      <w:tr w:rsidR="008329AB" w:rsidRPr="00471CBA" w14:paraId="4211EFB9" w14:textId="77777777" w:rsidTr="0083512E">
        <w:trPr>
          <w:trHeight w:val="113"/>
        </w:trPr>
        <w:tc>
          <w:tcPr>
            <w:tcW w:w="3022" w:type="pct"/>
            <w:tcBorders>
              <w:top w:val="nil"/>
              <w:left w:val="single" w:sz="4" w:space="0" w:color="auto"/>
              <w:bottom w:val="nil"/>
              <w:right w:val="single" w:sz="4" w:space="0" w:color="auto"/>
            </w:tcBorders>
            <w:hideMark/>
          </w:tcPr>
          <w:p w14:paraId="3566EE13" w14:textId="77777777" w:rsidR="008329AB" w:rsidRPr="00471CBA" w:rsidRDefault="008329AB" w:rsidP="008329AB">
            <w:pPr>
              <w:rPr>
                <w:sz w:val="15"/>
                <w:szCs w:val="15"/>
              </w:rPr>
            </w:pPr>
            <w:r w:rsidRPr="00471CBA">
              <w:rPr>
                <w:sz w:val="15"/>
                <w:szCs w:val="15"/>
              </w:rPr>
              <w:t>2.2. İKİNCİ TERTİP YASAL YEDEKLER (-)</w:t>
            </w:r>
          </w:p>
        </w:tc>
        <w:tc>
          <w:tcPr>
            <w:tcW w:w="989" w:type="pct"/>
            <w:tcBorders>
              <w:top w:val="nil"/>
              <w:left w:val="single" w:sz="4" w:space="0" w:color="auto"/>
              <w:bottom w:val="nil"/>
              <w:right w:val="single" w:sz="4" w:space="0" w:color="auto"/>
            </w:tcBorders>
            <w:vAlign w:val="center"/>
          </w:tcPr>
          <w:p w14:paraId="51CFFD6F" w14:textId="584F814D" w:rsidR="008329AB" w:rsidRPr="00471CBA" w:rsidRDefault="008329AB" w:rsidP="008329AB">
            <w:pPr>
              <w:jc w:val="right"/>
              <w:rPr>
                <w:color w:val="000000"/>
                <w:sz w:val="15"/>
                <w:szCs w:val="15"/>
              </w:rPr>
            </w:pPr>
            <w:r w:rsidRPr="00471CBA">
              <w:rPr>
                <w:color w:val="000000"/>
                <w:sz w:val="15"/>
                <w:szCs w:val="15"/>
              </w:rPr>
              <w:t>-</w:t>
            </w:r>
          </w:p>
        </w:tc>
        <w:tc>
          <w:tcPr>
            <w:tcW w:w="989" w:type="pct"/>
            <w:tcBorders>
              <w:top w:val="nil"/>
              <w:left w:val="single" w:sz="4" w:space="0" w:color="auto"/>
              <w:bottom w:val="nil"/>
              <w:right w:val="single" w:sz="4" w:space="0" w:color="auto"/>
            </w:tcBorders>
            <w:hideMark/>
          </w:tcPr>
          <w:p w14:paraId="48C82A77" w14:textId="100603E4" w:rsidR="008329AB" w:rsidRPr="00471CBA" w:rsidRDefault="008329AB" w:rsidP="008329AB">
            <w:pPr>
              <w:jc w:val="right"/>
              <w:rPr>
                <w:sz w:val="15"/>
                <w:szCs w:val="15"/>
              </w:rPr>
            </w:pPr>
            <w:r w:rsidRPr="00471CBA">
              <w:rPr>
                <w:b/>
                <w:bCs/>
                <w:color w:val="000000"/>
                <w:sz w:val="15"/>
                <w:szCs w:val="15"/>
              </w:rPr>
              <w:t>- </w:t>
            </w:r>
          </w:p>
        </w:tc>
      </w:tr>
      <w:tr w:rsidR="008329AB" w:rsidRPr="00471CBA" w14:paraId="73555D4D" w14:textId="77777777" w:rsidTr="0083512E">
        <w:trPr>
          <w:trHeight w:val="113"/>
        </w:trPr>
        <w:tc>
          <w:tcPr>
            <w:tcW w:w="3022" w:type="pct"/>
            <w:tcBorders>
              <w:top w:val="nil"/>
              <w:left w:val="single" w:sz="4" w:space="0" w:color="auto"/>
              <w:bottom w:val="nil"/>
              <w:right w:val="single" w:sz="4" w:space="0" w:color="auto"/>
            </w:tcBorders>
            <w:hideMark/>
          </w:tcPr>
          <w:p w14:paraId="4526538A" w14:textId="77777777" w:rsidR="008329AB" w:rsidRPr="00471CBA" w:rsidRDefault="008329AB" w:rsidP="008329AB">
            <w:pPr>
              <w:rPr>
                <w:sz w:val="15"/>
                <w:szCs w:val="15"/>
              </w:rPr>
            </w:pPr>
            <w:r w:rsidRPr="00471CBA">
              <w:rPr>
                <w:sz w:val="15"/>
                <w:szCs w:val="15"/>
              </w:rPr>
              <w:t>2.3. ORTAKLARA PAY (-)</w:t>
            </w:r>
          </w:p>
        </w:tc>
        <w:tc>
          <w:tcPr>
            <w:tcW w:w="989" w:type="pct"/>
            <w:tcBorders>
              <w:top w:val="nil"/>
              <w:left w:val="single" w:sz="4" w:space="0" w:color="auto"/>
              <w:bottom w:val="nil"/>
              <w:right w:val="single" w:sz="4" w:space="0" w:color="auto"/>
            </w:tcBorders>
            <w:vAlign w:val="center"/>
          </w:tcPr>
          <w:p w14:paraId="62409E4A" w14:textId="5D17D28E" w:rsidR="008329AB" w:rsidRPr="00471CBA" w:rsidRDefault="008329AB" w:rsidP="008329AB">
            <w:pPr>
              <w:jc w:val="right"/>
              <w:rPr>
                <w:color w:val="000000"/>
                <w:sz w:val="15"/>
                <w:szCs w:val="15"/>
              </w:rPr>
            </w:pPr>
            <w:r w:rsidRPr="00471CBA">
              <w:rPr>
                <w:color w:val="000000"/>
                <w:sz w:val="15"/>
                <w:szCs w:val="15"/>
              </w:rPr>
              <w:t>-</w:t>
            </w:r>
          </w:p>
        </w:tc>
        <w:tc>
          <w:tcPr>
            <w:tcW w:w="989" w:type="pct"/>
            <w:tcBorders>
              <w:top w:val="nil"/>
              <w:left w:val="single" w:sz="4" w:space="0" w:color="auto"/>
              <w:bottom w:val="nil"/>
              <w:right w:val="single" w:sz="4" w:space="0" w:color="auto"/>
            </w:tcBorders>
            <w:hideMark/>
          </w:tcPr>
          <w:p w14:paraId="6A5FABF9" w14:textId="333A64FA" w:rsidR="008329AB" w:rsidRPr="00471CBA" w:rsidRDefault="008329AB" w:rsidP="008329AB">
            <w:pPr>
              <w:jc w:val="right"/>
              <w:rPr>
                <w:sz w:val="15"/>
                <w:szCs w:val="15"/>
              </w:rPr>
            </w:pPr>
            <w:r w:rsidRPr="00471CBA">
              <w:rPr>
                <w:b/>
                <w:bCs/>
                <w:color w:val="000000"/>
                <w:sz w:val="15"/>
                <w:szCs w:val="15"/>
              </w:rPr>
              <w:t>- </w:t>
            </w:r>
          </w:p>
        </w:tc>
      </w:tr>
      <w:tr w:rsidR="008329AB" w:rsidRPr="00471CBA" w14:paraId="22599019" w14:textId="77777777" w:rsidTr="0083512E">
        <w:trPr>
          <w:trHeight w:val="113"/>
        </w:trPr>
        <w:tc>
          <w:tcPr>
            <w:tcW w:w="3022" w:type="pct"/>
            <w:tcBorders>
              <w:top w:val="nil"/>
              <w:left w:val="single" w:sz="4" w:space="0" w:color="auto"/>
              <w:bottom w:val="nil"/>
              <w:right w:val="single" w:sz="4" w:space="0" w:color="auto"/>
            </w:tcBorders>
            <w:hideMark/>
          </w:tcPr>
          <w:p w14:paraId="2CE937C1" w14:textId="77777777" w:rsidR="008329AB" w:rsidRPr="00471CBA" w:rsidRDefault="008329AB" w:rsidP="008329AB">
            <w:pPr>
              <w:rPr>
                <w:sz w:val="15"/>
                <w:szCs w:val="15"/>
              </w:rPr>
            </w:pPr>
            <w:r w:rsidRPr="00471CBA">
              <w:rPr>
                <w:sz w:val="15"/>
                <w:szCs w:val="15"/>
              </w:rPr>
              <w:t>2.3.1. Hisse Senedi Sahiplerine</w:t>
            </w:r>
          </w:p>
        </w:tc>
        <w:tc>
          <w:tcPr>
            <w:tcW w:w="989" w:type="pct"/>
            <w:tcBorders>
              <w:top w:val="nil"/>
              <w:left w:val="single" w:sz="4" w:space="0" w:color="auto"/>
              <w:bottom w:val="nil"/>
              <w:right w:val="single" w:sz="4" w:space="0" w:color="auto"/>
            </w:tcBorders>
            <w:vAlign w:val="center"/>
          </w:tcPr>
          <w:p w14:paraId="3DDC71DC" w14:textId="66406293" w:rsidR="008329AB" w:rsidRPr="00471CBA" w:rsidRDefault="008329AB" w:rsidP="008329AB">
            <w:pPr>
              <w:jc w:val="right"/>
              <w:rPr>
                <w:color w:val="000000"/>
                <w:sz w:val="15"/>
                <w:szCs w:val="15"/>
              </w:rPr>
            </w:pPr>
            <w:r w:rsidRPr="00471CBA">
              <w:rPr>
                <w:color w:val="000000"/>
                <w:sz w:val="15"/>
                <w:szCs w:val="15"/>
              </w:rPr>
              <w:t>-</w:t>
            </w:r>
          </w:p>
        </w:tc>
        <w:tc>
          <w:tcPr>
            <w:tcW w:w="989" w:type="pct"/>
            <w:tcBorders>
              <w:top w:val="nil"/>
              <w:left w:val="single" w:sz="4" w:space="0" w:color="auto"/>
              <w:bottom w:val="nil"/>
              <w:right w:val="single" w:sz="4" w:space="0" w:color="auto"/>
            </w:tcBorders>
            <w:hideMark/>
          </w:tcPr>
          <w:p w14:paraId="0A0CA66E" w14:textId="6405640F" w:rsidR="008329AB" w:rsidRPr="00471CBA" w:rsidRDefault="008329AB" w:rsidP="008329AB">
            <w:pPr>
              <w:jc w:val="right"/>
              <w:rPr>
                <w:sz w:val="15"/>
                <w:szCs w:val="15"/>
              </w:rPr>
            </w:pPr>
            <w:r w:rsidRPr="00471CBA">
              <w:rPr>
                <w:b/>
                <w:bCs/>
                <w:color w:val="000000"/>
                <w:sz w:val="15"/>
                <w:szCs w:val="15"/>
              </w:rPr>
              <w:t>- </w:t>
            </w:r>
          </w:p>
        </w:tc>
      </w:tr>
      <w:tr w:rsidR="008329AB" w:rsidRPr="00471CBA" w14:paraId="44763147" w14:textId="77777777" w:rsidTr="0083512E">
        <w:trPr>
          <w:trHeight w:val="113"/>
        </w:trPr>
        <w:tc>
          <w:tcPr>
            <w:tcW w:w="3022" w:type="pct"/>
            <w:tcBorders>
              <w:top w:val="nil"/>
              <w:left w:val="single" w:sz="4" w:space="0" w:color="auto"/>
              <w:bottom w:val="nil"/>
              <w:right w:val="single" w:sz="4" w:space="0" w:color="auto"/>
            </w:tcBorders>
            <w:hideMark/>
          </w:tcPr>
          <w:p w14:paraId="60F9C328" w14:textId="77777777" w:rsidR="008329AB" w:rsidRPr="00471CBA" w:rsidRDefault="008329AB" w:rsidP="008329AB">
            <w:pPr>
              <w:rPr>
                <w:sz w:val="15"/>
                <w:szCs w:val="15"/>
              </w:rPr>
            </w:pPr>
            <w:r w:rsidRPr="00471CBA">
              <w:rPr>
                <w:sz w:val="15"/>
                <w:szCs w:val="15"/>
              </w:rPr>
              <w:t>2.3.2. İmtiyazlı Hisse Senedi Sahiplerine</w:t>
            </w:r>
          </w:p>
        </w:tc>
        <w:tc>
          <w:tcPr>
            <w:tcW w:w="989" w:type="pct"/>
            <w:tcBorders>
              <w:top w:val="nil"/>
              <w:left w:val="single" w:sz="4" w:space="0" w:color="auto"/>
              <w:bottom w:val="nil"/>
              <w:right w:val="single" w:sz="4" w:space="0" w:color="auto"/>
            </w:tcBorders>
            <w:vAlign w:val="center"/>
          </w:tcPr>
          <w:p w14:paraId="6793394E" w14:textId="1508B470" w:rsidR="008329AB" w:rsidRPr="00471CBA" w:rsidRDefault="008329AB" w:rsidP="008329AB">
            <w:pPr>
              <w:jc w:val="right"/>
              <w:rPr>
                <w:color w:val="000000"/>
                <w:sz w:val="15"/>
                <w:szCs w:val="15"/>
              </w:rPr>
            </w:pPr>
            <w:r w:rsidRPr="00471CBA">
              <w:rPr>
                <w:color w:val="000000"/>
                <w:sz w:val="15"/>
                <w:szCs w:val="15"/>
              </w:rPr>
              <w:t>-</w:t>
            </w:r>
          </w:p>
        </w:tc>
        <w:tc>
          <w:tcPr>
            <w:tcW w:w="989" w:type="pct"/>
            <w:tcBorders>
              <w:top w:val="nil"/>
              <w:left w:val="single" w:sz="4" w:space="0" w:color="auto"/>
              <w:bottom w:val="nil"/>
              <w:right w:val="single" w:sz="4" w:space="0" w:color="auto"/>
            </w:tcBorders>
            <w:hideMark/>
          </w:tcPr>
          <w:p w14:paraId="68C0B896" w14:textId="4D08D9AA" w:rsidR="008329AB" w:rsidRPr="00471CBA" w:rsidRDefault="008329AB" w:rsidP="008329AB">
            <w:pPr>
              <w:jc w:val="right"/>
              <w:rPr>
                <w:sz w:val="15"/>
                <w:szCs w:val="15"/>
              </w:rPr>
            </w:pPr>
            <w:r w:rsidRPr="00471CBA">
              <w:rPr>
                <w:b/>
                <w:bCs/>
                <w:color w:val="000000"/>
                <w:sz w:val="15"/>
                <w:szCs w:val="15"/>
              </w:rPr>
              <w:t>- </w:t>
            </w:r>
          </w:p>
        </w:tc>
      </w:tr>
      <w:tr w:rsidR="008329AB" w:rsidRPr="00471CBA" w14:paraId="5EDA2EA4" w14:textId="77777777" w:rsidTr="0083512E">
        <w:trPr>
          <w:trHeight w:val="113"/>
        </w:trPr>
        <w:tc>
          <w:tcPr>
            <w:tcW w:w="3022" w:type="pct"/>
            <w:tcBorders>
              <w:top w:val="nil"/>
              <w:left w:val="single" w:sz="4" w:space="0" w:color="auto"/>
              <w:bottom w:val="nil"/>
              <w:right w:val="single" w:sz="4" w:space="0" w:color="auto"/>
            </w:tcBorders>
            <w:hideMark/>
          </w:tcPr>
          <w:p w14:paraId="054D4205" w14:textId="77777777" w:rsidR="008329AB" w:rsidRPr="00471CBA" w:rsidRDefault="008329AB" w:rsidP="008329AB">
            <w:pPr>
              <w:rPr>
                <w:sz w:val="15"/>
                <w:szCs w:val="15"/>
              </w:rPr>
            </w:pPr>
            <w:r w:rsidRPr="00471CBA">
              <w:rPr>
                <w:sz w:val="15"/>
                <w:szCs w:val="15"/>
              </w:rPr>
              <w:t>2.3.3. Katılma İntifa Senetlerine</w:t>
            </w:r>
          </w:p>
        </w:tc>
        <w:tc>
          <w:tcPr>
            <w:tcW w:w="989" w:type="pct"/>
            <w:tcBorders>
              <w:top w:val="nil"/>
              <w:left w:val="single" w:sz="4" w:space="0" w:color="auto"/>
              <w:bottom w:val="nil"/>
              <w:right w:val="single" w:sz="4" w:space="0" w:color="auto"/>
            </w:tcBorders>
            <w:vAlign w:val="center"/>
          </w:tcPr>
          <w:p w14:paraId="23D59F9F" w14:textId="12633780" w:rsidR="008329AB" w:rsidRPr="00471CBA" w:rsidRDefault="008329AB" w:rsidP="008329AB">
            <w:pPr>
              <w:jc w:val="right"/>
              <w:rPr>
                <w:color w:val="000000"/>
                <w:sz w:val="15"/>
                <w:szCs w:val="15"/>
              </w:rPr>
            </w:pPr>
            <w:r w:rsidRPr="00471CBA">
              <w:rPr>
                <w:color w:val="000000"/>
                <w:sz w:val="15"/>
                <w:szCs w:val="15"/>
              </w:rPr>
              <w:t>-</w:t>
            </w:r>
          </w:p>
        </w:tc>
        <w:tc>
          <w:tcPr>
            <w:tcW w:w="989" w:type="pct"/>
            <w:tcBorders>
              <w:top w:val="nil"/>
              <w:left w:val="single" w:sz="4" w:space="0" w:color="auto"/>
              <w:bottom w:val="nil"/>
              <w:right w:val="single" w:sz="4" w:space="0" w:color="auto"/>
            </w:tcBorders>
            <w:hideMark/>
          </w:tcPr>
          <w:p w14:paraId="7FEA6964" w14:textId="160A4A6B" w:rsidR="008329AB" w:rsidRPr="00471CBA" w:rsidRDefault="008329AB" w:rsidP="008329AB">
            <w:pPr>
              <w:jc w:val="right"/>
              <w:rPr>
                <w:sz w:val="15"/>
                <w:szCs w:val="15"/>
              </w:rPr>
            </w:pPr>
            <w:r w:rsidRPr="00471CBA">
              <w:rPr>
                <w:b/>
                <w:bCs/>
                <w:color w:val="000000"/>
                <w:sz w:val="15"/>
                <w:szCs w:val="15"/>
              </w:rPr>
              <w:t>- </w:t>
            </w:r>
          </w:p>
        </w:tc>
      </w:tr>
      <w:tr w:rsidR="008329AB" w:rsidRPr="00471CBA" w14:paraId="3B71CAAC" w14:textId="77777777" w:rsidTr="0083512E">
        <w:trPr>
          <w:trHeight w:val="74"/>
        </w:trPr>
        <w:tc>
          <w:tcPr>
            <w:tcW w:w="3022" w:type="pct"/>
            <w:tcBorders>
              <w:top w:val="nil"/>
              <w:left w:val="single" w:sz="4" w:space="0" w:color="auto"/>
              <w:bottom w:val="nil"/>
              <w:right w:val="single" w:sz="4" w:space="0" w:color="auto"/>
            </w:tcBorders>
            <w:hideMark/>
          </w:tcPr>
          <w:p w14:paraId="733C3998" w14:textId="77777777" w:rsidR="008329AB" w:rsidRPr="00471CBA" w:rsidRDefault="008329AB" w:rsidP="008329AB">
            <w:pPr>
              <w:rPr>
                <w:sz w:val="15"/>
                <w:szCs w:val="15"/>
              </w:rPr>
            </w:pPr>
            <w:r w:rsidRPr="00471CBA">
              <w:rPr>
                <w:sz w:val="15"/>
                <w:szCs w:val="15"/>
              </w:rPr>
              <w:t>2.3.4. Kâra İştirakli Tahvillere</w:t>
            </w:r>
          </w:p>
        </w:tc>
        <w:tc>
          <w:tcPr>
            <w:tcW w:w="989" w:type="pct"/>
            <w:tcBorders>
              <w:top w:val="nil"/>
              <w:left w:val="single" w:sz="4" w:space="0" w:color="auto"/>
              <w:bottom w:val="nil"/>
              <w:right w:val="single" w:sz="4" w:space="0" w:color="auto"/>
            </w:tcBorders>
            <w:vAlign w:val="center"/>
          </w:tcPr>
          <w:p w14:paraId="62899DE4" w14:textId="6C6B94EF" w:rsidR="008329AB" w:rsidRPr="00471CBA" w:rsidRDefault="008329AB" w:rsidP="008329AB">
            <w:pPr>
              <w:jc w:val="right"/>
              <w:rPr>
                <w:color w:val="000000"/>
                <w:sz w:val="15"/>
                <w:szCs w:val="15"/>
              </w:rPr>
            </w:pPr>
            <w:r w:rsidRPr="00471CBA">
              <w:rPr>
                <w:color w:val="000000"/>
                <w:sz w:val="15"/>
                <w:szCs w:val="15"/>
              </w:rPr>
              <w:t>-</w:t>
            </w:r>
          </w:p>
        </w:tc>
        <w:tc>
          <w:tcPr>
            <w:tcW w:w="989" w:type="pct"/>
            <w:tcBorders>
              <w:top w:val="nil"/>
              <w:left w:val="single" w:sz="4" w:space="0" w:color="auto"/>
              <w:bottom w:val="nil"/>
              <w:right w:val="single" w:sz="4" w:space="0" w:color="auto"/>
            </w:tcBorders>
            <w:hideMark/>
          </w:tcPr>
          <w:p w14:paraId="687A6B43" w14:textId="55596BCE" w:rsidR="008329AB" w:rsidRPr="00471CBA" w:rsidRDefault="008329AB" w:rsidP="008329AB">
            <w:pPr>
              <w:jc w:val="right"/>
              <w:rPr>
                <w:sz w:val="15"/>
                <w:szCs w:val="15"/>
              </w:rPr>
            </w:pPr>
            <w:r w:rsidRPr="00471CBA">
              <w:rPr>
                <w:b/>
                <w:bCs/>
                <w:color w:val="000000"/>
                <w:sz w:val="15"/>
                <w:szCs w:val="15"/>
              </w:rPr>
              <w:t>- </w:t>
            </w:r>
          </w:p>
        </w:tc>
      </w:tr>
      <w:tr w:rsidR="008329AB" w:rsidRPr="00471CBA" w14:paraId="309B4FC7" w14:textId="77777777" w:rsidTr="0083512E">
        <w:trPr>
          <w:trHeight w:val="113"/>
        </w:trPr>
        <w:tc>
          <w:tcPr>
            <w:tcW w:w="3022" w:type="pct"/>
            <w:tcBorders>
              <w:top w:val="nil"/>
              <w:left w:val="single" w:sz="4" w:space="0" w:color="auto"/>
              <w:bottom w:val="nil"/>
              <w:right w:val="single" w:sz="4" w:space="0" w:color="auto"/>
            </w:tcBorders>
            <w:hideMark/>
          </w:tcPr>
          <w:p w14:paraId="17790074" w14:textId="77777777" w:rsidR="008329AB" w:rsidRPr="00471CBA" w:rsidRDefault="008329AB" w:rsidP="008329AB">
            <w:pPr>
              <w:rPr>
                <w:sz w:val="15"/>
                <w:szCs w:val="15"/>
              </w:rPr>
            </w:pPr>
            <w:r w:rsidRPr="00471CBA">
              <w:rPr>
                <w:sz w:val="15"/>
                <w:szCs w:val="15"/>
              </w:rPr>
              <w:t>2.3.5. Kâr ve Zarar Ortaklığı Belgesi Sahiplerine</w:t>
            </w:r>
          </w:p>
        </w:tc>
        <w:tc>
          <w:tcPr>
            <w:tcW w:w="989" w:type="pct"/>
            <w:tcBorders>
              <w:top w:val="nil"/>
              <w:left w:val="single" w:sz="4" w:space="0" w:color="auto"/>
              <w:bottom w:val="nil"/>
              <w:right w:val="single" w:sz="4" w:space="0" w:color="auto"/>
            </w:tcBorders>
            <w:vAlign w:val="center"/>
          </w:tcPr>
          <w:p w14:paraId="14BEB1A2" w14:textId="324364F6" w:rsidR="008329AB" w:rsidRPr="00471CBA" w:rsidRDefault="008329AB" w:rsidP="008329AB">
            <w:pPr>
              <w:jc w:val="right"/>
              <w:rPr>
                <w:color w:val="000000"/>
                <w:sz w:val="15"/>
                <w:szCs w:val="15"/>
              </w:rPr>
            </w:pPr>
            <w:r w:rsidRPr="00471CBA">
              <w:rPr>
                <w:color w:val="000000"/>
                <w:sz w:val="15"/>
                <w:szCs w:val="15"/>
              </w:rPr>
              <w:t>-</w:t>
            </w:r>
          </w:p>
        </w:tc>
        <w:tc>
          <w:tcPr>
            <w:tcW w:w="989" w:type="pct"/>
            <w:tcBorders>
              <w:top w:val="nil"/>
              <w:left w:val="single" w:sz="4" w:space="0" w:color="auto"/>
              <w:bottom w:val="nil"/>
              <w:right w:val="single" w:sz="4" w:space="0" w:color="auto"/>
            </w:tcBorders>
            <w:hideMark/>
          </w:tcPr>
          <w:p w14:paraId="18131F0F" w14:textId="547B2EC9" w:rsidR="008329AB" w:rsidRPr="00471CBA" w:rsidRDefault="008329AB" w:rsidP="008329AB">
            <w:pPr>
              <w:jc w:val="right"/>
              <w:rPr>
                <w:sz w:val="15"/>
                <w:szCs w:val="15"/>
              </w:rPr>
            </w:pPr>
            <w:r w:rsidRPr="00471CBA">
              <w:rPr>
                <w:b/>
                <w:bCs/>
                <w:color w:val="000000"/>
                <w:sz w:val="15"/>
                <w:szCs w:val="15"/>
              </w:rPr>
              <w:t>- </w:t>
            </w:r>
          </w:p>
        </w:tc>
      </w:tr>
      <w:tr w:rsidR="008329AB" w:rsidRPr="00471CBA" w14:paraId="0B858730" w14:textId="77777777" w:rsidTr="0083512E">
        <w:trPr>
          <w:trHeight w:val="113"/>
        </w:trPr>
        <w:tc>
          <w:tcPr>
            <w:tcW w:w="3022" w:type="pct"/>
            <w:tcBorders>
              <w:top w:val="nil"/>
              <w:left w:val="single" w:sz="4" w:space="0" w:color="auto"/>
              <w:bottom w:val="nil"/>
              <w:right w:val="single" w:sz="4" w:space="0" w:color="auto"/>
            </w:tcBorders>
            <w:hideMark/>
          </w:tcPr>
          <w:p w14:paraId="51504A27" w14:textId="77777777" w:rsidR="008329AB" w:rsidRPr="00471CBA" w:rsidRDefault="008329AB" w:rsidP="008329AB">
            <w:pPr>
              <w:rPr>
                <w:sz w:val="15"/>
                <w:szCs w:val="15"/>
              </w:rPr>
            </w:pPr>
            <w:r w:rsidRPr="00471CBA">
              <w:rPr>
                <w:sz w:val="15"/>
                <w:szCs w:val="15"/>
              </w:rPr>
              <w:t>2.4. PERSONELE PAY (-)</w:t>
            </w:r>
          </w:p>
        </w:tc>
        <w:tc>
          <w:tcPr>
            <w:tcW w:w="989" w:type="pct"/>
            <w:tcBorders>
              <w:top w:val="nil"/>
              <w:left w:val="single" w:sz="4" w:space="0" w:color="auto"/>
              <w:bottom w:val="nil"/>
              <w:right w:val="single" w:sz="4" w:space="0" w:color="auto"/>
            </w:tcBorders>
            <w:vAlign w:val="center"/>
          </w:tcPr>
          <w:p w14:paraId="18F59191" w14:textId="310BC1ED" w:rsidR="008329AB" w:rsidRPr="00471CBA" w:rsidRDefault="008329AB" w:rsidP="008329AB">
            <w:pPr>
              <w:jc w:val="right"/>
              <w:rPr>
                <w:color w:val="000000"/>
                <w:sz w:val="15"/>
                <w:szCs w:val="15"/>
              </w:rPr>
            </w:pPr>
            <w:r w:rsidRPr="00471CBA">
              <w:rPr>
                <w:color w:val="000000"/>
                <w:sz w:val="15"/>
                <w:szCs w:val="15"/>
              </w:rPr>
              <w:t>-</w:t>
            </w:r>
          </w:p>
        </w:tc>
        <w:tc>
          <w:tcPr>
            <w:tcW w:w="989" w:type="pct"/>
            <w:tcBorders>
              <w:top w:val="nil"/>
              <w:left w:val="single" w:sz="4" w:space="0" w:color="auto"/>
              <w:bottom w:val="nil"/>
              <w:right w:val="single" w:sz="4" w:space="0" w:color="auto"/>
            </w:tcBorders>
            <w:hideMark/>
          </w:tcPr>
          <w:p w14:paraId="1039913D" w14:textId="72B15ACE" w:rsidR="008329AB" w:rsidRPr="00471CBA" w:rsidRDefault="008329AB" w:rsidP="008329AB">
            <w:pPr>
              <w:jc w:val="right"/>
              <w:rPr>
                <w:sz w:val="15"/>
                <w:szCs w:val="15"/>
              </w:rPr>
            </w:pPr>
            <w:r w:rsidRPr="00471CBA">
              <w:rPr>
                <w:b/>
                <w:bCs/>
                <w:color w:val="000000"/>
                <w:sz w:val="15"/>
                <w:szCs w:val="15"/>
              </w:rPr>
              <w:t>- </w:t>
            </w:r>
          </w:p>
        </w:tc>
      </w:tr>
      <w:tr w:rsidR="008329AB" w:rsidRPr="00471CBA" w14:paraId="45E3D1AE" w14:textId="77777777" w:rsidTr="0083512E">
        <w:trPr>
          <w:trHeight w:val="113"/>
        </w:trPr>
        <w:tc>
          <w:tcPr>
            <w:tcW w:w="3022" w:type="pct"/>
            <w:tcBorders>
              <w:top w:val="nil"/>
              <w:left w:val="single" w:sz="4" w:space="0" w:color="auto"/>
              <w:bottom w:val="nil"/>
              <w:right w:val="single" w:sz="4" w:space="0" w:color="auto"/>
            </w:tcBorders>
            <w:hideMark/>
          </w:tcPr>
          <w:p w14:paraId="1C9FEE7E" w14:textId="77777777" w:rsidR="008329AB" w:rsidRPr="00471CBA" w:rsidRDefault="008329AB" w:rsidP="008329AB">
            <w:pPr>
              <w:rPr>
                <w:sz w:val="15"/>
                <w:szCs w:val="15"/>
              </w:rPr>
            </w:pPr>
            <w:r w:rsidRPr="00471CBA">
              <w:rPr>
                <w:sz w:val="15"/>
                <w:szCs w:val="15"/>
              </w:rPr>
              <w:t>2.5. YÖNETİM KURULUNA PAY (-)</w:t>
            </w:r>
          </w:p>
        </w:tc>
        <w:tc>
          <w:tcPr>
            <w:tcW w:w="989" w:type="pct"/>
            <w:tcBorders>
              <w:top w:val="nil"/>
              <w:left w:val="single" w:sz="4" w:space="0" w:color="auto"/>
              <w:bottom w:val="nil"/>
              <w:right w:val="single" w:sz="4" w:space="0" w:color="auto"/>
            </w:tcBorders>
            <w:vAlign w:val="center"/>
          </w:tcPr>
          <w:p w14:paraId="272074B4" w14:textId="5836DBA2" w:rsidR="008329AB" w:rsidRPr="00471CBA" w:rsidRDefault="008329AB" w:rsidP="008329AB">
            <w:pPr>
              <w:jc w:val="right"/>
              <w:rPr>
                <w:color w:val="000000"/>
                <w:sz w:val="15"/>
                <w:szCs w:val="15"/>
              </w:rPr>
            </w:pPr>
            <w:r w:rsidRPr="00471CBA">
              <w:rPr>
                <w:color w:val="000000"/>
                <w:sz w:val="15"/>
                <w:szCs w:val="15"/>
              </w:rPr>
              <w:t>-</w:t>
            </w:r>
          </w:p>
        </w:tc>
        <w:tc>
          <w:tcPr>
            <w:tcW w:w="989" w:type="pct"/>
            <w:tcBorders>
              <w:top w:val="nil"/>
              <w:left w:val="single" w:sz="4" w:space="0" w:color="auto"/>
              <w:bottom w:val="nil"/>
              <w:right w:val="single" w:sz="4" w:space="0" w:color="auto"/>
            </w:tcBorders>
            <w:hideMark/>
          </w:tcPr>
          <w:p w14:paraId="3E8D1823" w14:textId="1FDE1D8D" w:rsidR="008329AB" w:rsidRPr="00471CBA" w:rsidRDefault="008329AB" w:rsidP="008329AB">
            <w:pPr>
              <w:jc w:val="right"/>
              <w:rPr>
                <w:sz w:val="15"/>
                <w:szCs w:val="15"/>
              </w:rPr>
            </w:pPr>
            <w:r w:rsidRPr="00471CBA">
              <w:rPr>
                <w:b/>
                <w:bCs/>
                <w:color w:val="000000"/>
                <w:sz w:val="15"/>
                <w:szCs w:val="15"/>
              </w:rPr>
              <w:t>- </w:t>
            </w:r>
          </w:p>
        </w:tc>
      </w:tr>
      <w:tr w:rsidR="008329AB" w:rsidRPr="00471CBA" w14:paraId="6D11F16A" w14:textId="77777777" w:rsidTr="0014276B">
        <w:trPr>
          <w:trHeight w:val="113"/>
        </w:trPr>
        <w:tc>
          <w:tcPr>
            <w:tcW w:w="3022" w:type="pct"/>
            <w:tcBorders>
              <w:top w:val="nil"/>
              <w:left w:val="single" w:sz="4" w:space="0" w:color="auto"/>
              <w:bottom w:val="nil"/>
              <w:right w:val="single" w:sz="4" w:space="0" w:color="auto"/>
            </w:tcBorders>
          </w:tcPr>
          <w:p w14:paraId="4FEFC751" w14:textId="77777777" w:rsidR="008329AB" w:rsidRPr="00471CBA" w:rsidRDefault="008329AB" w:rsidP="008329AB">
            <w:pPr>
              <w:rPr>
                <w:sz w:val="15"/>
                <w:szCs w:val="15"/>
              </w:rPr>
            </w:pPr>
          </w:p>
        </w:tc>
        <w:tc>
          <w:tcPr>
            <w:tcW w:w="989" w:type="pct"/>
            <w:tcBorders>
              <w:top w:val="nil"/>
              <w:left w:val="single" w:sz="4" w:space="0" w:color="auto"/>
              <w:bottom w:val="nil"/>
              <w:right w:val="single" w:sz="4" w:space="0" w:color="auto"/>
            </w:tcBorders>
            <w:vAlign w:val="bottom"/>
          </w:tcPr>
          <w:p w14:paraId="196941DA" w14:textId="25C84113" w:rsidR="008329AB" w:rsidRPr="00471CBA" w:rsidRDefault="008329AB" w:rsidP="008329AB">
            <w:pPr>
              <w:jc w:val="right"/>
              <w:rPr>
                <w:color w:val="000000"/>
                <w:sz w:val="15"/>
                <w:szCs w:val="15"/>
              </w:rPr>
            </w:pPr>
            <w:r w:rsidRPr="00471CBA">
              <w:rPr>
                <w:color w:val="000000"/>
                <w:sz w:val="15"/>
                <w:szCs w:val="15"/>
              </w:rPr>
              <w:t> </w:t>
            </w:r>
          </w:p>
        </w:tc>
        <w:tc>
          <w:tcPr>
            <w:tcW w:w="989" w:type="pct"/>
            <w:tcBorders>
              <w:top w:val="nil"/>
              <w:left w:val="single" w:sz="4" w:space="0" w:color="auto"/>
              <w:bottom w:val="nil"/>
              <w:right w:val="single" w:sz="4" w:space="0" w:color="auto"/>
            </w:tcBorders>
            <w:vAlign w:val="bottom"/>
            <w:hideMark/>
          </w:tcPr>
          <w:p w14:paraId="3CBE56BA" w14:textId="2329E600" w:rsidR="008329AB" w:rsidRPr="00471CBA" w:rsidRDefault="008329AB" w:rsidP="008329AB">
            <w:pPr>
              <w:jc w:val="right"/>
              <w:rPr>
                <w:sz w:val="15"/>
                <w:szCs w:val="15"/>
              </w:rPr>
            </w:pPr>
            <w:r w:rsidRPr="00471CBA">
              <w:rPr>
                <w:b/>
                <w:bCs/>
                <w:color w:val="000000"/>
                <w:sz w:val="15"/>
                <w:szCs w:val="15"/>
              </w:rPr>
              <w:t> </w:t>
            </w:r>
          </w:p>
        </w:tc>
      </w:tr>
      <w:tr w:rsidR="008329AB" w:rsidRPr="00471CBA" w14:paraId="5088C82C" w14:textId="77777777" w:rsidTr="0014276B">
        <w:trPr>
          <w:trHeight w:val="113"/>
        </w:trPr>
        <w:tc>
          <w:tcPr>
            <w:tcW w:w="3022" w:type="pct"/>
            <w:tcBorders>
              <w:top w:val="nil"/>
              <w:left w:val="single" w:sz="4" w:space="0" w:color="auto"/>
              <w:bottom w:val="nil"/>
              <w:right w:val="single" w:sz="4" w:space="0" w:color="auto"/>
            </w:tcBorders>
            <w:hideMark/>
          </w:tcPr>
          <w:p w14:paraId="64675329" w14:textId="77777777" w:rsidR="008329AB" w:rsidRPr="00471CBA" w:rsidRDefault="008329AB" w:rsidP="008329AB">
            <w:pPr>
              <w:rPr>
                <w:b/>
                <w:sz w:val="15"/>
                <w:szCs w:val="15"/>
              </w:rPr>
            </w:pPr>
            <w:r w:rsidRPr="00471CBA">
              <w:rPr>
                <w:b/>
                <w:sz w:val="15"/>
                <w:szCs w:val="15"/>
              </w:rPr>
              <w:t>III. HİSSE BAŞINA KÂR</w:t>
            </w:r>
          </w:p>
        </w:tc>
        <w:tc>
          <w:tcPr>
            <w:tcW w:w="989" w:type="pct"/>
            <w:tcBorders>
              <w:top w:val="nil"/>
              <w:left w:val="single" w:sz="4" w:space="0" w:color="auto"/>
              <w:bottom w:val="nil"/>
              <w:right w:val="single" w:sz="4" w:space="0" w:color="auto"/>
            </w:tcBorders>
            <w:vAlign w:val="center"/>
          </w:tcPr>
          <w:p w14:paraId="6236191D" w14:textId="40CF73C1" w:rsidR="008329AB" w:rsidRPr="00471CBA" w:rsidRDefault="008329AB" w:rsidP="008329AB">
            <w:pPr>
              <w:jc w:val="right"/>
              <w:rPr>
                <w:color w:val="000000"/>
                <w:sz w:val="15"/>
                <w:szCs w:val="15"/>
              </w:rPr>
            </w:pPr>
            <w:r w:rsidRPr="00471CBA">
              <w:rPr>
                <w:color w:val="000000"/>
                <w:sz w:val="15"/>
                <w:szCs w:val="15"/>
              </w:rPr>
              <w:t> </w:t>
            </w:r>
          </w:p>
        </w:tc>
        <w:tc>
          <w:tcPr>
            <w:tcW w:w="989" w:type="pct"/>
            <w:tcBorders>
              <w:top w:val="nil"/>
              <w:left w:val="single" w:sz="4" w:space="0" w:color="auto"/>
              <w:bottom w:val="nil"/>
              <w:right w:val="single" w:sz="4" w:space="0" w:color="auto"/>
            </w:tcBorders>
            <w:vAlign w:val="center"/>
            <w:hideMark/>
          </w:tcPr>
          <w:p w14:paraId="6AEE3C36" w14:textId="76101658" w:rsidR="008329AB" w:rsidRPr="00471CBA" w:rsidRDefault="008329AB" w:rsidP="008329AB">
            <w:pPr>
              <w:jc w:val="right"/>
              <w:rPr>
                <w:sz w:val="15"/>
                <w:szCs w:val="15"/>
              </w:rPr>
            </w:pPr>
            <w:r w:rsidRPr="00471CBA">
              <w:rPr>
                <w:b/>
                <w:bCs/>
                <w:color w:val="000000"/>
                <w:sz w:val="15"/>
                <w:szCs w:val="15"/>
              </w:rPr>
              <w:t> </w:t>
            </w:r>
          </w:p>
        </w:tc>
      </w:tr>
      <w:tr w:rsidR="008329AB" w:rsidRPr="00471CBA" w14:paraId="1478F7AA" w14:textId="77777777" w:rsidTr="0014276B">
        <w:trPr>
          <w:trHeight w:val="113"/>
        </w:trPr>
        <w:tc>
          <w:tcPr>
            <w:tcW w:w="3022" w:type="pct"/>
            <w:tcBorders>
              <w:top w:val="nil"/>
              <w:left w:val="single" w:sz="4" w:space="0" w:color="auto"/>
              <w:bottom w:val="nil"/>
              <w:right w:val="single" w:sz="4" w:space="0" w:color="auto"/>
            </w:tcBorders>
          </w:tcPr>
          <w:p w14:paraId="2A7410D5" w14:textId="77777777" w:rsidR="008329AB" w:rsidRPr="00471CBA" w:rsidRDefault="008329AB" w:rsidP="008329AB">
            <w:pPr>
              <w:rPr>
                <w:b/>
                <w:sz w:val="15"/>
                <w:szCs w:val="15"/>
              </w:rPr>
            </w:pPr>
          </w:p>
        </w:tc>
        <w:tc>
          <w:tcPr>
            <w:tcW w:w="989" w:type="pct"/>
            <w:tcBorders>
              <w:top w:val="nil"/>
              <w:left w:val="single" w:sz="4" w:space="0" w:color="auto"/>
              <w:bottom w:val="nil"/>
              <w:right w:val="single" w:sz="4" w:space="0" w:color="auto"/>
            </w:tcBorders>
            <w:vAlign w:val="bottom"/>
          </w:tcPr>
          <w:p w14:paraId="3604CDE3" w14:textId="03C3458F" w:rsidR="008329AB" w:rsidRPr="00471CBA" w:rsidRDefault="008329AB" w:rsidP="008329AB">
            <w:pPr>
              <w:jc w:val="right"/>
              <w:rPr>
                <w:color w:val="000000"/>
                <w:sz w:val="15"/>
                <w:szCs w:val="15"/>
              </w:rPr>
            </w:pPr>
            <w:r w:rsidRPr="00471CBA">
              <w:rPr>
                <w:color w:val="000000"/>
                <w:sz w:val="15"/>
                <w:szCs w:val="15"/>
              </w:rPr>
              <w:t> </w:t>
            </w:r>
          </w:p>
        </w:tc>
        <w:tc>
          <w:tcPr>
            <w:tcW w:w="989" w:type="pct"/>
            <w:tcBorders>
              <w:top w:val="nil"/>
              <w:left w:val="single" w:sz="4" w:space="0" w:color="auto"/>
              <w:bottom w:val="nil"/>
              <w:right w:val="single" w:sz="4" w:space="0" w:color="auto"/>
            </w:tcBorders>
            <w:vAlign w:val="bottom"/>
            <w:hideMark/>
          </w:tcPr>
          <w:p w14:paraId="41B694D8" w14:textId="506E6425" w:rsidR="008329AB" w:rsidRPr="00471CBA" w:rsidRDefault="008329AB" w:rsidP="008329AB">
            <w:pPr>
              <w:jc w:val="right"/>
              <w:rPr>
                <w:sz w:val="15"/>
                <w:szCs w:val="15"/>
              </w:rPr>
            </w:pPr>
            <w:r w:rsidRPr="00471CBA">
              <w:rPr>
                <w:b/>
                <w:bCs/>
                <w:color w:val="000000"/>
                <w:sz w:val="15"/>
                <w:szCs w:val="15"/>
              </w:rPr>
              <w:t> </w:t>
            </w:r>
          </w:p>
        </w:tc>
      </w:tr>
      <w:tr w:rsidR="008329AB" w:rsidRPr="00471CBA" w14:paraId="1E4974A6" w14:textId="77777777" w:rsidTr="0083512E">
        <w:trPr>
          <w:trHeight w:val="113"/>
        </w:trPr>
        <w:tc>
          <w:tcPr>
            <w:tcW w:w="3022" w:type="pct"/>
            <w:tcBorders>
              <w:top w:val="nil"/>
              <w:left w:val="single" w:sz="4" w:space="0" w:color="auto"/>
              <w:bottom w:val="nil"/>
              <w:right w:val="single" w:sz="4" w:space="0" w:color="auto"/>
            </w:tcBorders>
            <w:hideMark/>
          </w:tcPr>
          <w:p w14:paraId="7FC1FC63" w14:textId="77777777" w:rsidR="008329AB" w:rsidRPr="00471CBA" w:rsidRDefault="008329AB" w:rsidP="008329AB">
            <w:pPr>
              <w:rPr>
                <w:sz w:val="15"/>
                <w:szCs w:val="15"/>
              </w:rPr>
            </w:pPr>
            <w:r w:rsidRPr="00471CBA">
              <w:rPr>
                <w:sz w:val="15"/>
                <w:szCs w:val="15"/>
              </w:rPr>
              <w:t xml:space="preserve">3.1. HİSSE SENEDİ SAHİPLERİNE </w:t>
            </w:r>
            <w:r w:rsidRPr="00471CBA">
              <w:rPr>
                <w:sz w:val="15"/>
                <w:szCs w:val="15"/>
                <w:vertAlign w:val="superscript"/>
              </w:rPr>
              <w:t>(***)</w:t>
            </w:r>
            <w:r w:rsidRPr="00471CBA">
              <w:rPr>
                <w:sz w:val="15"/>
                <w:szCs w:val="15"/>
              </w:rPr>
              <w:t xml:space="preserve"> (tam TL)</w:t>
            </w:r>
          </w:p>
        </w:tc>
        <w:tc>
          <w:tcPr>
            <w:tcW w:w="989" w:type="pct"/>
            <w:tcBorders>
              <w:top w:val="nil"/>
              <w:left w:val="single" w:sz="4" w:space="0" w:color="auto"/>
              <w:bottom w:val="nil"/>
              <w:right w:val="single" w:sz="4" w:space="0" w:color="auto"/>
            </w:tcBorders>
            <w:vAlign w:val="center"/>
          </w:tcPr>
          <w:p w14:paraId="56AFEE56" w14:textId="20B6D0C1" w:rsidR="008329AB" w:rsidRPr="00471CBA" w:rsidRDefault="008329AB" w:rsidP="008329AB">
            <w:pPr>
              <w:jc w:val="right"/>
              <w:rPr>
                <w:b/>
                <w:bCs/>
                <w:color w:val="000000"/>
                <w:sz w:val="15"/>
                <w:szCs w:val="15"/>
              </w:rPr>
            </w:pPr>
            <w:r w:rsidRPr="00471CBA">
              <w:rPr>
                <w:b/>
                <w:bCs/>
                <w:color w:val="000000"/>
                <w:sz w:val="15"/>
                <w:szCs w:val="15"/>
              </w:rPr>
              <w:t>0,0269</w:t>
            </w:r>
          </w:p>
        </w:tc>
        <w:tc>
          <w:tcPr>
            <w:tcW w:w="989" w:type="pct"/>
            <w:tcBorders>
              <w:top w:val="nil"/>
              <w:left w:val="single" w:sz="4" w:space="0" w:color="auto"/>
              <w:bottom w:val="nil"/>
              <w:right w:val="single" w:sz="4" w:space="0" w:color="auto"/>
            </w:tcBorders>
            <w:hideMark/>
          </w:tcPr>
          <w:p w14:paraId="4FFC54AE" w14:textId="715B4D43" w:rsidR="008329AB" w:rsidRPr="00471CBA" w:rsidRDefault="008329AB" w:rsidP="008329AB">
            <w:pPr>
              <w:jc w:val="right"/>
              <w:rPr>
                <w:sz w:val="15"/>
                <w:szCs w:val="15"/>
              </w:rPr>
            </w:pPr>
            <w:r w:rsidRPr="00471CBA">
              <w:rPr>
                <w:b/>
                <w:bCs/>
                <w:color w:val="000000"/>
                <w:sz w:val="15"/>
                <w:szCs w:val="15"/>
              </w:rPr>
              <w:t>0,0212</w:t>
            </w:r>
          </w:p>
        </w:tc>
      </w:tr>
      <w:tr w:rsidR="008329AB" w:rsidRPr="00471CBA" w14:paraId="35F4A297" w14:textId="77777777" w:rsidTr="0083512E">
        <w:trPr>
          <w:trHeight w:val="113"/>
        </w:trPr>
        <w:tc>
          <w:tcPr>
            <w:tcW w:w="3022" w:type="pct"/>
            <w:tcBorders>
              <w:top w:val="nil"/>
              <w:left w:val="single" w:sz="4" w:space="0" w:color="auto"/>
              <w:bottom w:val="nil"/>
              <w:right w:val="single" w:sz="4" w:space="0" w:color="auto"/>
            </w:tcBorders>
            <w:hideMark/>
          </w:tcPr>
          <w:p w14:paraId="030CCB31" w14:textId="77777777" w:rsidR="008329AB" w:rsidRPr="00471CBA" w:rsidRDefault="008329AB" w:rsidP="008329AB">
            <w:pPr>
              <w:rPr>
                <w:sz w:val="15"/>
                <w:szCs w:val="15"/>
              </w:rPr>
            </w:pPr>
            <w:r w:rsidRPr="00471CBA">
              <w:rPr>
                <w:sz w:val="15"/>
                <w:szCs w:val="15"/>
              </w:rPr>
              <w:t>3.2. HİSSE SENEDİ SAHİPLERİNE (%)</w:t>
            </w:r>
          </w:p>
        </w:tc>
        <w:tc>
          <w:tcPr>
            <w:tcW w:w="989" w:type="pct"/>
            <w:tcBorders>
              <w:top w:val="nil"/>
              <w:left w:val="single" w:sz="4" w:space="0" w:color="auto"/>
              <w:bottom w:val="nil"/>
              <w:right w:val="single" w:sz="4" w:space="0" w:color="auto"/>
            </w:tcBorders>
            <w:vAlign w:val="center"/>
          </w:tcPr>
          <w:p w14:paraId="4C82E4F4" w14:textId="01316049" w:rsidR="008329AB" w:rsidRPr="00471CBA" w:rsidRDefault="008329AB" w:rsidP="008329AB">
            <w:pPr>
              <w:jc w:val="right"/>
              <w:rPr>
                <w:b/>
                <w:bCs/>
                <w:color w:val="000000"/>
                <w:sz w:val="15"/>
                <w:szCs w:val="15"/>
              </w:rPr>
            </w:pPr>
            <w:r w:rsidRPr="00471CBA">
              <w:rPr>
                <w:b/>
                <w:bCs/>
                <w:color w:val="000000"/>
                <w:sz w:val="15"/>
                <w:szCs w:val="15"/>
              </w:rPr>
              <w:t>2,6871</w:t>
            </w:r>
          </w:p>
        </w:tc>
        <w:tc>
          <w:tcPr>
            <w:tcW w:w="989" w:type="pct"/>
            <w:tcBorders>
              <w:top w:val="nil"/>
              <w:left w:val="single" w:sz="4" w:space="0" w:color="auto"/>
              <w:bottom w:val="nil"/>
              <w:right w:val="single" w:sz="4" w:space="0" w:color="auto"/>
            </w:tcBorders>
            <w:hideMark/>
          </w:tcPr>
          <w:p w14:paraId="1CDBC3D6" w14:textId="365741C5" w:rsidR="008329AB" w:rsidRPr="00471CBA" w:rsidRDefault="008329AB" w:rsidP="008329AB">
            <w:pPr>
              <w:jc w:val="right"/>
              <w:rPr>
                <w:sz w:val="15"/>
                <w:szCs w:val="15"/>
              </w:rPr>
            </w:pPr>
            <w:r w:rsidRPr="00471CBA">
              <w:rPr>
                <w:b/>
                <w:bCs/>
                <w:color w:val="000000"/>
                <w:sz w:val="15"/>
                <w:szCs w:val="15"/>
              </w:rPr>
              <w:t>2,12</w:t>
            </w:r>
          </w:p>
        </w:tc>
      </w:tr>
      <w:tr w:rsidR="008329AB" w:rsidRPr="00471CBA" w14:paraId="36EFA65D" w14:textId="77777777" w:rsidTr="0083512E">
        <w:trPr>
          <w:trHeight w:val="113"/>
        </w:trPr>
        <w:tc>
          <w:tcPr>
            <w:tcW w:w="3022" w:type="pct"/>
            <w:tcBorders>
              <w:top w:val="nil"/>
              <w:left w:val="single" w:sz="4" w:space="0" w:color="auto"/>
              <w:bottom w:val="nil"/>
              <w:right w:val="single" w:sz="4" w:space="0" w:color="auto"/>
            </w:tcBorders>
            <w:hideMark/>
          </w:tcPr>
          <w:p w14:paraId="050E4E08" w14:textId="77777777" w:rsidR="008329AB" w:rsidRPr="00471CBA" w:rsidRDefault="008329AB" w:rsidP="008329AB">
            <w:pPr>
              <w:rPr>
                <w:sz w:val="15"/>
                <w:szCs w:val="15"/>
              </w:rPr>
            </w:pPr>
            <w:r w:rsidRPr="00471CBA">
              <w:rPr>
                <w:sz w:val="15"/>
                <w:szCs w:val="15"/>
              </w:rPr>
              <w:t>3.3. İMTİYAZLI HİSSE SENEDİ SAHİPLERİNE</w:t>
            </w:r>
          </w:p>
        </w:tc>
        <w:tc>
          <w:tcPr>
            <w:tcW w:w="989" w:type="pct"/>
            <w:tcBorders>
              <w:top w:val="nil"/>
              <w:left w:val="single" w:sz="4" w:space="0" w:color="auto"/>
              <w:bottom w:val="nil"/>
              <w:right w:val="single" w:sz="4" w:space="0" w:color="auto"/>
            </w:tcBorders>
            <w:vAlign w:val="center"/>
          </w:tcPr>
          <w:p w14:paraId="22860AC1" w14:textId="78EA5BF2" w:rsidR="008329AB" w:rsidRPr="00471CBA" w:rsidRDefault="008329AB" w:rsidP="008329AB">
            <w:pPr>
              <w:jc w:val="right"/>
              <w:rPr>
                <w:color w:val="000000"/>
                <w:sz w:val="15"/>
                <w:szCs w:val="15"/>
              </w:rPr>
            </w:pPr>
            <w:r w:rsidRPr="00471CBA">
              <w:rPr>
                <w:color w:val="000000"/>
                <w:sz w:val="15"/>
                <w:szCs w:val="15"/>
              </w:rPr>
              <w:t>-</w:t>
            </w:r>
          </w:p>
        </w:tc>
        <w:tc>
          <w:tcPr>
            <w:tcW w:w="989" w:type="pct"/>
            <w:tcBorders>
              <w:top w:val="nil"/>
              <w:left w:val="single" w:sz="4" w:space="0" w:color="auto"/>
              <w:bottom w:val="nil"/>
              <w:right w:val="single" w:sz="4" w:space="0" w:color="auto"/>
            </w:tcBorders>
            <w:hideMark/>
          </w:tcPr>
          <w:p w14:paraId="10D42DD9" w14:textId="54963BEE" w:rsidR="008329AB" w:rsidRPr="00471CBA" w:rsidRDefault="008329AB" w:rsidP="008329AB">
            <w:pPr>
              <w:jc w:val="right"/>
              <w:rPr>
                <w:sz w:val="15"/>
                <w:szCs w:val="15"/>
              </w:rPr>
            </w:pPr>
            <w:r w:rsidRPr="00471CBA">
              <w:rPr>
                <w:b/>
                <w:bCs/>
                <w:color w:val="000000"/>
                <w:sz w:val="15"/>
                <w:szCs w:val="15"/>
              </w:rPr>
              <w:t>- </w:t>
            </w:r>
          </w:p>
        </w:tc>
      </w:tr>
      <w:tr w:rsidR="008329AB" w:rsidRPr="00471CBA" w14:paraId="2941D31F" w14:textId="77777777" w:rsidTr="0083512E">
        <w:trPr>
          <w:trHeight w:val="113"/>
        </w:trPr>
        <w:tc>
          <w:tcPr>
            <w:tcW w:w="3022" w:type="pct"/>
            <w:tcBorders>
              <w:top w:val="nil"/>
              <w:left w:val="single" w:sz="4" w:space="0" w:color="auto"/>
              <w:bottom w:val="nil"/>
              <w:right w:val="single" w:sz="4" w:space="0" w:color="auto"/>
            </w:tcBorders>
            <w:hideMark/>
          </w:tcPr>
          <w:p w14:paraId="22CE1108" w14:textId="77777777" w:rsidR="008329AB" w:rsidRPr="00471CBA" w:rsidRDefault="008329AB" w:rsidP="008329AB">
            <w:pPr>
              <w:rPr>
                <w:sz w:val="15"/>
                <w:szCs w:val="15"/>
              </w:rPr>
            </w:pPr>
            <w:r w:rsidRPr="00471CBA">
              <w:rPr>
                <w:sz w:val="15"/>
                <w:szCs w:val="15"/>
              </w:rPr>
              <w:t>3.4. İMTİYAZLI HİSSE SENEDİ SAHİPLERİNE (%)</w:t>
            </w:r>
          </w:p>
        </w:tc>
        <w:tc>
          <w:tcPr>
            <w:tcW w:w="989" w:type="pct"/>
            <w:tcBorders>
              <w:top w:val="nil"/>
              <w:left w:val="single" w:sz="4" w:space="0" w:color="auto"/>
              <w:bottom w:val="nil"/>
              <w:right w:val="single" w:sz="4" w:space="0" w:color="auto"/>
            </w:tcBorders>
            <w:vAlign w:val="center"/>
          </w:tcPr>
          <w:p w14:paraId="312AE51C" w14:textId="2356F911" w:rsidR="008329AB" w:rsidRPr="00471CBA" w:rsidRDefault="008329AB" w:rsidP="008329AB">
            <w:pPr>
              <w:jc w:val="right"/>
              <w:rPr>
                <w:color w:val="000000"/>
                <w:sz w:val="15"/>
                <w:szCs w:val="15"/>
              </w:rPr>
            </w:pPr>
            <w:r w:rsidRPr="00471CBA">
              <w:rPr>
                <w:color w:val="000000"/>
                <w:sz w:val="15"/>
                <w:szCs w:val="15"/>
              </w:rPr>
              <w:t>-</w:t>
            </w:r>
          </w:p>
        </w:tc>
        <w:tc>
          <w:tcPr>
            <w:tcW w:w="989" w:type="pct"/>
            <w:tcBorders>
              <w:top w:val="nil"/>
              <w:left w:val="single" w:sz="4" w:space="0" w:color="auto"/>
              <w:bottom w:val="nil"/>
              <w:right w:val="single" w:sz="4" w:space="0" w:color="auto"/>
            </w:tcBorders>
            <w:hideMark/>
          </w:tcPr>
          <w:p w14:paraId="5670322D" w14:textId="0B575A2B" w:rsidR="008329AB" w:rsidRPr="00471CBA" w:rsidRDefault="008329AB" w:rsidP="008329AB">
            <w:pPr>
              <w:jc w:val="right"/>
              <w:rPr>
                <w:sz w:val="15"/>
                <w:szCs w:val="15"/>
              </w:rPr>
            </w:pPr>
            <w:r w:rsidRPr="00471CBA">
              <w:rPr>
                <w:b/>
                <w:bCs/>
                <w:color w:val="000000"/>
                <w:sz w:val="15"/>
                <w:szCs w:val="15"/>
              </w:rPr>
              <w:t>- </w:t>
            </w:r>
          </w:p>
        </w:tc>
      </w:tr>
      <w:tr w:rsidR="008329AB" w:rsidRPr="00471CBA" w14:paraId="3B1A545D" w14:textId="77777777" w:rsidTr="0014276B">
        <w:trPr>
          <w:trHeight w:val="113"/>
        </w:trPr>
        <w:tc>
          <w:tcPr>
            <w:tcW w:w="3022" w:type="pct"/>
            <w:tcBorders>
              <w:top w:val="nil"/>
              <w:left w:val="single" w:sz="4" w:space="0" w:color="auto"/>
              <w:bottom w:val="nil"/>
              <w:right w:val="single" w:sz="4" w:space="0" w:color="auto"/>
            </w:tcBorders>
          </w:tcPr>
          <w:p w14:paraId="5D4D1FE1" w14:textId="77777777" w:rsidR="008329AB" w:rsidRPr="00471CBA" w:rsidRDefault="008329AB" w:rsidP="008329AB">
            <w:pPr>
              <w:rPr>
                <w:sz w:val="15"/>
                <w:szCs w:val="15"/>
              </w:rPr>
            </w:pPr>
          </w:p>
        </w:tc>
        <w:tc>
          <w:tcPr>
            <w:tcW w:w="989" w:type="pct"/>
            <w:tcBorders>
              <w:top w:val="nil"/>
              <w:left w:val="single" w:sz="4" w:space="0" w:color="auto"/>
              <w:bottom w:val="nil"/>
              <w:right w:val="single" w:sz="4" w:space="0" w:color="auto"/>
            </w:tcBorders>
            <w:vAlign w:val="bottom"/>
          </w:tcPr>
          <w:p w14:paraId="175B3E0F" w14:textId="73D126AB" w:rsidR="008329AB" w:rsidRPr="00471CBA" w:rsidRDefault="008329AB" w:rsidP="008329AB">
            <w:pPr>
              <w:jc w:val="right"/>
              <w:rPr>
                <w:color w:val="000000"/>
                <w:sz w:val="15"/>
                <w:szCs w:val="15"/>
              </w:rPr>
            </w:pPr>
            <w:r w:rsidRPr="00471CBA">
              <w:rPr>
                <w:color w:val="000000"/>
                <w:sz w:val="15"/>
                <w:szCs w:val="15"/>
              </w:rPr>
              <w:t> </w:t>
            </w:r>
          </w:p>
        </w:tc>
        <w:tc>
          <w:tcPr>
            <w:tcW w:w="989" w:type="pct"/>
            <w:tcBorders>
              <w:top w:val="nil"/>
              <w:left w:val="single" w:sz="4" w:space="0" w:color="auto"/>
              <w:bottom w:val="nil"/>
              <w:right w:val="single" w:sz="4" w:space="0" w:color="auto"/>
            </w:tcBorders>
            <w:vAlign w:val="bottom"/>
            <w:hideMark/>
          </w:tcPr>
          <w:p w14:paraId="72CCEFD9" w14:textId="55A43392" w:rsidR="008329AB" w:rsidRPr="00471CBA" w:rsidRDefault="008329AB" w:rsidP="008329AB">
            <w:pPr>
              <w:jc w:val="right"/>
              <w:rPr>
                <w:sz w:val="15"/>
                <w:szCs w:val="15"/>
              </w:rPr>
            </w:pPr>
            <w:r w:rsidRPr="00471CBA">
              <w:rPr>
                <w:b/>
                <w:bCs/>
                <w:color w:val="000000"/>
                <w:sz w:val="15"/>
                <w:szCs w:val="15"/>
              </w:rPr>
              <w:t> </w:t>
            </w:r>
          </w:p>
        </w:tc>
      </w:tr>
      <w:tr w:rsidR="008329AB" w:rsidRPr="00471CBA" w14:paraId="48D475C5" w14:textId="77777777" w:rsidTr="0014276B">
        <w:trPr>
          <w:trHeight w:val="113"/>
        </w:trPr>
        <w:tc>
          <w:tcPr>
            <w:tcW w:w="3022" w:type="pct"/>
            <w:tcBorders>
              <w:top w:val="nil"/>
              <w:left w:val="single" w:sz="4" w:space="0" w:color="auto"/>
              <w:bottom w:val="nil"/>
              <w:right w:val="single" w:sz="4" w:space="0" w:color="auto"/>
            </w:tcBorders>
            <w:hideMark/>
          </w:tcPr>
          <w:p w14:paraId="7C23496D" w14:textId="77777777" w:rsidR="008329AB" w:rsidRPr="00471CBA" w:rsidRDefault="008329AB" w:rsidP="008329AB">
            <w:pPr>
              <w:rPr>
                <w:b/>
                <w:sz w:val="15"/>
                <w:szCs w:val="15"/>
              </w:rPr>
            </w:pPr>
            <w:r w:rsidRPr="00471CBA">
              <w:rPr>
                <w:b/>
                <w:sz w:val="15"/>
                <w:szCs w:val="15"/>
              </w:rPr>
              <w:t>IV. HİSSE BAŞINA TEMETTÜ</w:t>
            </w:r>
          </w:p>
        </w:tc>
        <w:tc>
          <w:tcPr>
            <w:tcW w:w="989" w:type="pct"/>
            <w:tcBorders>
              <w:top w:val="nil"/>
              <w:left w:val="single" w:sz="4" w:space="0" w:color="auto"/>
              <w:bottom w:val="nil"/>
              <w:right w:val="single" w:sz="4" w:space="0" w:color="auto"/>
            </w:tcBorders>
            <w:vAlign w:val="center"/>
          </w:tcPr>
          <w:p w14:paraId="1FF64B1D" w14:textId="62BF3F02" w:rsidR="008329AB" w:rsidRPr="00471CBA" w:rsidRDefault="008329AB" w:rsidP="008329AB">
            <w:pPr>
              <w:jc w:val="right"/>
              <w:rPr>
                <w:color w:val="000000"/>
                <w:sz w:val="15"/>
                <w:szCs w:val="15"/>
              </w:rPr>
            </w:pPr>
            <w:r w:rsidRPr="00471CBA">
              <w:rPr>
                <w:color w:val="000000"/>
                <w:sz w:val="15"/>
                <w:szCs w:val="15"/>
              </w:rPr>
              <w:t> </w:t>
            </w:r>
          </w:p>
        </w:tc>
        <w:tc>
          <w:tcPr>
            <w:tcW w:w="989" w:type="pct"/>
            <w:tcBorders>
              <w:top w:val="nil"/>
              <w:left w:val="single" w:sz="4" w:space="0" w:color="auto"/>
              <w:bottom w:val="nil"/>
              <w:right w:val="single" w:sz="4" w:space="0" w:color="auto"/>
            </w:tcBorders>
            <w:vAlign w:val="center"/>
            <w:hideMark/>
          </w:tcPr>
          <w:p w14:paraId="70C4CC09" w14:textId="22688D02" w:rsidR="008329AB" w:rsidRPr="00471CBA" w:rsidRDefault="008329AB" w:rsidP="008329AB">
            <w:pPr>
              <w:jc w:val="right"/>
              <w:rPr>
                <w:sz w:val="15"/>
                <w:szCs w:val="15"/>
              </w:rPr>
            </w:pPr>
            <w:r w:rsidRPr="00471CBA">
              <w:rPr>
                <w:b/>
                <w:bCs/>
                <w:color w:val="000000"/>
                <w:sz w:val="15"/>
                <w:szCs w:val="15"/>
              </w:rPr>
              <w:t> </w:t>
            </w:r>
          </w:p>
        </w:tc>
      </w:tr>
      <w:tr w:rsidR="008329AB" w:rsidRPr="00471CBA" w14:paraId="384CB9AA" w14:textId="77777777" w:rsidTr="0014276B">
        <w:trPr>
          <w:trHeight w:val="113"/>
        </w:trPr>
        <w:tc>
          <w:tcPr>
            <w:tcW w:w="3022" w:type="pct"/>
            <w:tcBorders>
              <w:top w:val="nil"/>
              <w:left w:val="single" w:sz="4" w:space="0" w:color="auto"/>
              <w:bottom w:val="nil"/>
              <w:right w:val="single" w:sz="4" w:space="0" w:color="auto"/>
            </w:tcBorders>
          </w:tcPr>
          <w:p w14:paraId="19B6F430" w14:textId="77777777" w:rsidR="008329AB" w:rsidRPr="00471CBA" w:rsidRDefault="008329AB" w:rsidP="008329AB">
            <w:pPr>
              <w:rPr>
                <w:b/>
                <w:sz w:val="15"/>
                <w:szCs w:val="15"/>
              </w:rPr>
            </w:pPr>
          </w:p>
        </w:tc>
        <w:tc>
          <w:tcPr>
            <w:tcW w:w="989" w:type="pct"/>
            <w:tcBorders>
              <w:top w:val="nil"/>
              <w:left w:val="single" w:sz="4" w:space="0" w:color="auto"/>
              <w:bottom w:val="nil"/>
              <w:right w:val="single" w:sz="4" w:space="0" w:color="auto"/>
            </w:tcBorders>
            <w:vAlign w:val="bottom"/>
          </w:tcPr>
          <w:p w14:paraId="5BEBB692" w14:textId="204F4DC9" w:rsidR="008329AB" w:rsidRPr="00471CBA" w:rsidRDefault="008329AB" w:rsidP="008329AB">
            <w:pPr>
              <w:jc w:val="right"/>
              <w:rPr>
                <w:color w:val="000000"/>
                <w:sz w:val="15"/>
                <w:szCs w:val="15"/>
              </w:rPr>
            </w:pPr>
            <w:r w:rsidRPr="00471CBA">
              <w:rPr>
                <w:color w:val="000000"/>
                <w:sz w:val="15"/>
                <w:szCs w:val="15"/>
              </w:rPr>
              <w:t> </w:t>
            </w:r>
          </w:p>
        </w:tc>
        <w:tc>
          <w:tcPr>
            <w:tcW w:w="989" w:type="pct"/>
            <w:tcBorders>
              <w:top w:val="nil"/>
              <w:left w:val="single" w:sz="4" w:space="0" w:color="auto"/>
              <w:bottom w:val="nil"/>
              <w:right w:val="single" w:sz="4" w:space="0" w:color="auto"/>
            </w:tcBorders>
            <w:vAlign w:val="bottom"/>
            <w:hideMark/>
          </w:tcPr>
          <w:p w14:paraId="1AC2A550" w14:textId="46AC52A7" w:rsidR="008329AB" w:rsidRPr="00471CBA" w:rsidRDefault="008329AB" w:rsidP="008329AB">
            <w:pPr>
              <w:jc w:val="right"/>
              <w:rPr>
                <w:sz w:val="15"/>
                <w:szCs w:val="15"/>
              </w:rPr>
            </w:pPr>
            <w:r w:rsidRPr="00471CBA">
              <w:rPr>
                <w:b/>
                <w:bCs/>
                <w:color w:val="000000"/>
                <w:sz w:val="15"/>
                <w:szCs w:val="15"/>
              </w:rPr>
              <w:t> </w:t>
            </w:r>
          </w:p>
        </w:tc>
      </w:tr>
      <w:tr w:rsidR="008329AB" w:rsidRPr="00471CBA" w14:paraId="109B14AA" w14:textId="77777777" w:rsidTr="0083512E">
        <w:trPr>
          <w:trHeight w:val="113"/>
        </w:trPr>
        <w:tc>
          <w:tcPr>
            <w:tcW w:w="3022" w:type="pct"/>
            <w:tcBorders>
              <w:top w:val="nil"/>
              <w:left w:val="single" w:sz="4" w:space="0" w:color="auto"/>
              <w:bottom w:val="nil"/>
              <w:right w:val="single" w:sz="4" w:space="0" w:color="auto"/>
            </w:tcBorders>
            <w:hideMark/>
          </w:tcPr>
          <w:p w14:paraId="727B9329" w14:textId="77777777" w:rsidR="008329AB" w:rsidRPr="00471CBA" w:rsidRDefault="008329AB" w:rsidP="008329AB">
            <w:pPr>
              <w:rPr>
                <w:sz w:val="15"/>
                <w:szCs w:val="15"/>
              </w:rPr>
            </w:pPr>
            <w:r w:rsidRPr="00471CBA">
              <w:rPr>
                <w:sz w:val="15"/>
                <w:szCs w:val="15"/>
              </w:rPr>
              <w:t>4.1. HİSSE SENEDİ SAHİPLERİNE (tam TL)</w:t>
            </w:r>
          </w:p>
        </w:tc>
        <w:tc>
          <w:tcPr>
            <w:tcW w:w="989" w:type="pct"/>
            <w:tcBorders>
              <w:top w:val="nil"/>
              <w:left w:val="single" w:sz="4" w:space="0" w:color="auto"/>
              <w:bottom w:val="nil"/>
              <w:right w:val="single" w:sz="4" w:space="0" w:color="auto"/>
            </w:tcBorders>
            <w:vAlign w:val="center"/>
          </w:tcPr>
          <w:p w14:paraId="1A05FF58" w14:textId="3488DB32" w:rsidR="008329AB" w:rsidRPr="00471CBA" w:rsidRDefault="008329AB" w:rsidP="008329AB">
            <w:pPr>
              <w:jc w:val="right"/>
              <w:rPr>
                <w:color w:val="000000"/>
                <w:sz w:val="15"/>
                <w:szCs w:val="15"/>
              </w:rPr>
            </w:pPr>
            <w:r w:rsidRPr="00471CBA">
              <w:rPr>
                <w:color w:val="000000"/>
                <w:sz w:val="15"/>
                <w:szCs w:val="15"/>
              </w:rPr>
              <w:t>-</w:t>
            </w:r>
          </w:p>
        </w:tc>
        <w:tc>
          <w:tcPr>
            <w:tcW w:w="989" w:type="pct"/>
            <w:tcBorders>
              <w:top w:val="nil"/>
              <w:left w:val="single" w:sz="4" w:space="0" w:color="auto"/>
              <w:bottom w:val="nil"/>
              <w:right w:val="single" w:sz="4" w:space="0" w:color="auto"/>
            </w:tcBorders>
            <w:hideMark/>
          </w:tcPr>
          <w:p w14:paraId="09C97506" w14:textId="7CC7DA13" w:rsidR="008329AB" w:rsidRPr="00471CBA" w:rsidRDefault="008329AB" w:rsidP="008329AB">
            <w:pPr>
              <w:jc w:val="right"/>
              <w:rPr>
                <w:sz w:val="15"/>
                <w:szCs w:val="15"/>
              </w:rPr>
            </w:pPr>
            <w:r w:rsidRPr="00471CBA">
              <w:rPr>
                <w:b/>
                <w:bCs/>
                <w:color w:val="000000"/>
                <w:sz w:val="15"/>
                <w:szCs w:val="15"/>
              </w:rPr>
              <w:t>- </w:t>
            </w:r>
          </w:p>
        </w:tc>
      </w:tr>
      <w:tr w:rsidR="008329AB" w:rsidRPr="00471CBA" w14:paraId="26A6F0A9" w14:textId="77777777" w:rsidTr="0083512E">
        <w:trPr>
          <w:trHeight w:val="113"/>
        </w:trPr>
        <w:tc>
          <w:tcPr>
            <w:tcW w:w="3022" w:type="pct"/>
            <w:tcBorders>
              <w:top w:val="nil"/>
              <w:left w:val="single" w:sz="4" w:space="0" w:color="auto"/>
              <w:bottom w:val="nil"/>
              <w:right w:val="single" w:sz="4" w:space="0" w:color="auto"/>
            </w:tcBorders>
            <w:hideMark/>
          </w:tcPr>
          <w:p w14:paraId="28747B0D" w14:textId="77777777" w:rsidR="008329AB" w:rsidRPr="00471CBA" w:rsidRDefault="008329AB" w:rsidP="008329AB">
            <w:pPr>
              <w:rPr>
                <w:sz w:val="15"/>
                <w:szCs w:val="15"/>
              </w:rPr>
            </w:pPr>
            <w:r w:rsidRPr="00471CBA">
              <w:rPr>
                <w:sz w:val="15"/>
                <w:szCs w:val="15"/>
              </w:rPr>
              <w:t>4.2. HİSSE SENEDİ SAHİPLERİNE (%)</w:t>
            </w:r>
          </w:p>
        </w:tc>
        <w:tc>
          <w:tcPr>
            <w:tcW w:w="989" w:type="pct"/>
            <w:tcBorders>
              <w:top w:val="nil"/>
              <w:left w:val="single" w:sz="4" w:space="0" w:color="auto"/>
              <w:bottom w:val="nil"/>
              <w:right w:val="single" w:sz="4" w:space="0" w:color="auto"/>
            </w:tcBorders>
            <w:vAlign w:val="center"/>
          </w:tcPr>
          <w:p w14:paraId="69C202FA" w14:textId="21202B84" w:rsidR="008329AB" w:rsidRPr="00471CBA" w:rsidRDefault="008329AB" w:rsidP="008329AB">
            <w:pPr>
              <w:jc w:val="right"/>
              <w:rPr>
                <w:color w:val="000000"/>
                <w:sz w:val="15"/>
                <w:szCs w:val="15"/>
              </w:rPr>
            </w:pPr>
            <w:r w:rsidRPr="00471CBA">
              <w:rPr>
                <w:color w:val="000000"/>
                <w:sz w:val="15"/>
                <w:szCs w:val="15"/>
              </w:rPr>
              <w:t>-</w:t>
            </w:r>
          </w:p>
        </w:tc>
        <w:tc>
          <w:tcPr>
            <w:tcW w:w="989" w:type="pct"/>
            <w:tcBorders>
              <w:top w:val="nil"/>
              <w:left w:val="single" w:sz="4" w:space="0" w:color="auto"/>
              <w:bottom w:val="nil"/>
              <w:right w:val="single" w:sz="4" w:space="0" w:color="auto"/>
            </w:tcBorders>
            <w:hideMark/>
          </w:tcPr>
          <w:p w14:paraId="17A16B88" w14:textId="732190EF" w:rsidR="008329AB" w:rsidRPr="00471CBA" w:rsidRDefault="008329AB" w:rsidP="008329AB">
            <w:pPr>
              <w:jc w:val="right"/>
              <w:rPr>
                <w:sz w:val="15"/>
                <w:szCs w:val="15"/>
              </w:rPr>
            </w:pPr>
            <w:r w:rsidRPr="00471CBA">
              <w:rPr>
                <w:b/>
                <w:bCs/>
                <w:color w:val="000000"/>
                <w:sz w:val="15"/>
                <w:szCs w:val="15"/>
              </w:rPr>
              <w:t>- </w:t>
            </w:r>
          </w:p>
        </w:tc>
      </w:tr>
      <w:tr w:rsidR="008329AB" w:rsidRPr="00471CBA" w14:paraId="136D1673" w14:textId="77777777" w:rsidTr="0083512E">
        <w:trPr>
          <w:trHeight w:val="113"/>
        </w:trPr>
        <w:tc>
          <w:tcPr>
            <w:tcW w:w="3022" w:type="pct"/>
            <w:tcBorders>
              <w:top w:val="nil"/>
              <w:left w:val="single" w:sz="4" w:space="0" w:color="auto"/>
              <w:bottom w:val="nil"/>
              <w:right w:val="single" w:sz="4" w:space="0" w:color="auto"/>
            </w:tcBorders>
            <w:hideMark/>
          </w:tcPr>
          <w:p w14:paraId="6D6B5C55" w14:textId="77777777" w:rsidR="008329AB" w:rsidRPr="00471CBA" w:rsidRDefault="008329AB" w:rsidP="008329AB">
            <w:pPr>
              <w:rPr>
                <w:sz w:val="15"/>
                <w:szCs w:val="15"/>
              </w:rPr>
            </w:pPr>
            <w:r w:rsidRPr="00471CBA">
              <w:rPr>
                <w:sz w:val="15"/>
                <w:szCs w:val="15"/>
              </w:rPr>
              <w:t>4.3. İMTİYAZLI HİSSE SENEDİ SAHİPLERİNE</w:t>
            </w:r>
          </w:p>
        </w:tc>
        <w:tc>
          <w:tcPr>
            <w:tcW w:w="989" w:type="pct"/>
            <w:tcBorders>
              <w:top w:val="nil"/>
              <w:left w:val="single" w:sz="4" w:space="0" w:color="auto"/>
              <w:bottom w:val="nil"/>
              <w:right w:val="single" w:sz="4" w:space="0" w:color="auto"/>
            </w:tcBorders>
            <w:vAlign w:val="center"/>
          </w:tcPr>
          <w:p w14:paraId="3C9587F5" w14:textId="22B082A8" w:rsidR="008329AB" w:rsidRPr="00471CBA" w:rsidRDefault="008329AB" w:rsidP="008329AB">
            <w:pPr>
              <w:jc w:val="right"/>
              <w:rPr>
                <w:color w:val="000000"/>
                <w:sz w:val="15"/>
                <w:szCs w:val="15"/>
              </w:rPr>
            </w:pPr>
            <w:r w:rsidRPr="00471CBA">
              <w:rPr>
                <w:color w:val="000000"/>
                <w:sz w:val="15"/>
                <w:szCs w:val="15"/>
              </w:rPr>
              <w:t>-</w:t>
            </w:r>
          </w:p>
        </w:tc>
        <w:tc>
          <w:tcPr>
            <w:tcW w:w="989" w:type="pct"/>
            <w:tcBorders>
              <w:top w:val="nil"/>
              <w:left w:val="single" w:sz="4" w:space="0" w:color="auto"/>
              <w:bottom w:val="nil"/>
              <w:right w:val="single" w:sz="4" w:space="0" w:color="auto"/>
            </w:tcBorders>
            <w:hideMark/>
          </w:tcPr>
          <w:p w14:paraId="4AC21A05" w14:textId="52F92F39" w:rsidR="008329AB" w:rsidRPr="00471CBA" w:rsidRDefault="008329AB" w:rsidP="008329AB">
            <w:pPr>
              <w:jc w:val="right"/>
              <w:rPr>
                <w:sz w:val="15"/>
                <w:szCs w:val="15"/>
              </w:rPr>
            </w:pPr>
            <w:r w:rsidRPr="00471CBA">
              <w:rPr>
                <w:b/>
                <w:bCs/>
                <w:color w:val="000000"/>
                <w:sz w:val="15"/>
                <w:szCs w:val="15"/>
              </w:rPr>
              <w:t>- </w:t>
            </w:r>
          </w:p>
        </w:tc>
      </w:tr>
      <w:tr w:rsidR="008329AB" w:rsidRPr="00471CBA" w14:paraId="3ECED315" w14:textId="77777777" w:rsidTr="0083512E">
        <w:trPr>
          <w:trHeight w:val="113"/>
        </w:trPr>
        <w:tc>
          <w:tcPr>
            <w:tcW w:w="3022" w:type="pct"/>
            <w:tcBorders>
              <w:top w:val="nil"/>
              <w:left w:val="single" w:sz="4" w:space="0" w:color="auto"/>
              <w:bottom w:val="nil"/>
              <w:right w:val="single" w:sz="4" w:space="0" w:color="auto"/>
            </w:tcBorders>
            <w:vAlign w:val="bottom"/>
            <w:hideMark/>
          </w:tcPr>
          <w:p w14:paraId="5B02EB14" w14:textId="77777777" w:rsidR="008329AB" w:rsidRPr="00471CBA" w:rsidRDefault="008329AB" w:rsidP="008329AB">
            <w:pPr>
              <w:rPr>
                <w:b/>
                <w:sz w:val="15"/>
                <w:szCs w:val="15"/>
              </w:rPr>
            </w:pPr>
            <w:r w:rsidRPr="00471CBA">
              <w:rPr>
                <w:sz w:val="15"/>
                <w:szCs w:val="15"/>
              </w:rPr>
              <w:t>4.4. İMTİYAZLI HİSSE SENEDİ SAHİPLERİNE (%)</w:t>
            </w:r>
          </w:p>
        </w:tc>
        <w:tc>
          <w:tcPr>
            <w:tcW w:w="989" w:type="pct"/>
            <w:tcBorders>
              <w:top w:val="nil"/>
              <w:left w:val="single" w:sz="4" w:space="0" w:color="auto"/>
              <w:bottom w:val="nil"/>
              <w:right w:val="single" w:sz="4" w:space="0" w:color="auto"/>
            </w:tcBorders>
            <w:vAlign w:val="center"/>
          </w:tcPr>
          <w:p w14:paraId="04225BDB" w14:textId="25FFAD5E" w:rsidR="008329AB" w:rsidRPr="00471CBA" w:rsidRDefault="008329AB" w:rsidP="008329AB">
            <w:pPr>
              <w:jc w:val="right"/>
              <w:rPr>
                <w:color w:val="000000"/>
                <w:sz w:val="15"/>
                <w:szCs w:val="15"/>
              </w:rPr>
            </w:pPr>
            <w:r w:rsidRPr="00471CBA">
              <w:rPr>
                <w:color w:val="000000"/>
                <w:sz w:val="15"/>
                <w:szCs w:val="15"/>
              </w:rPr>
              <w:t>-</w:t>
            </w:r>
          </w:p>
        </w:tc>
        <w:tc>
          <w:tcPr>
            <w:tcW w:w="989" w:type="pct"/>
            <w:tcBorders>
              <w:top w:val="nil"/>
              <w:left w:val="single" w:sz="4" w:space="0" w:color="auto"/>
              <w:bottom w:val="nil"/>
              <w:right w:val="single" w:sz="4" w:space="0" w:color="auto"/>
            </w:tcBorders>
            <w:hideMark/>
          </w:tcPr>
          <w:p w14:paraId="1A014C0A" w14:textId="4F8D8B35" w:rsidR="008329AB" w:rsidRPr="00471CBA" w:rsidRDefault="008329AB" w:rsidP="008329AB">
            <w:pPr>
              <w:jc w:val="right"/>
              <w:rPr>
                <w:sz w:val="15"/>
                <w:szCs w:val="15"/>
              </w:rPr>
            </w:pPr>
            <w:r w:rsidRPr="00471CBA">
              <w:rPr>
                <w:b/>
                <w:bCs/>
                <w:color w:val="000000"/>
                <w:sz w:val="15"/>
                <w:szCs w:val="15"/>
              </w:rPr>
              <w:t>- </w:t>
            </w:r>
          </w:p>
        </w:tc>
      </w:tr>
      <w:tr w:rsidR="0014276B" w:rsidRPr="00471CBA" w14:paraId="54E5C1E5" w14:textId="77777777" w:rsidTr="0014276B">
        <w:trPr>
          <w:trHeight w:val="113"/>
        </w:trPr>
        <w:tc>
          <w:tcPr>
            <w:tcW w:w="3022" w:type="pct"/>
            <w:tcBorders>
              <w:top w:val="nil"/>
              <w:left w:val="single" w:sz="4" w:space="0" w:color="auto"/>
              <w:bottom w:val="single" w:sz="4" w:space="0" w:color="auto"/>
              <w:right w:val="single" w:sz="4" w:space="0" w:color="auto"/>
            </w:tcBorders>
            <w:vAlign w:val="bottom"/>
          </w:tcPr>
          <w:p w14:paraId="1F848FFE" w14:textId="77777777" w:rsidR="0014276B" w:rsidRPr="00471CBA" w:rsidRDefault="0014276B" w:rsidP="0014276B">
            <w:pPr>
              <w:rPr>
                <w:sz w:val="15"/>
                <w:szCs w:val="15"/>
              </w:rPr>
            </w:pPr>
          </w:p>
        </w:tc>
        <w:tc>
          <w:tcPr>
            <w:tcW w:w="989" w:type="pct"/>
            <w:tcBorders>
              <w:top w:val="nil"/>
              <w:left w:val="single" w:sz="4" w:space="0" w:color="auto"/>
              <w:bottom w:val="single" w:sz="4" w:space="0" w:color="auto"/>
              <w:right w:val="single" w:sz="4" w:space="0" w:color="auto"/>
            </w:tcBorders>
            <w:vAlign w:val="bottom"/>
          </w:tcPr>
          <w:p w14:paraId="3C8C79CE" w14:textId="77777777" w:rsidR="0014276B" w:rsidRPr="00471CBA" w:rsidRDefault="0014276B" w:rsidP="0014276B">
            <w:pPr>
              <w:jc w:val="right"/>
              <w:rPr>
                <w:sz w:val="15"/>
                <w:szCs w:val="15"/>
              </w:rPr>
            </w:pPr>
          </w:p>
        </w:tc>
        <w:tc>
          <w:tcPr>
            <w:tcW w:w="989" w:type="pct"/>
            <w:tcBorders>
              <w:top w:val="nil"/>
              <w:left w:val="single" w:sz="4" w:space="0" w:color="auto"/>
              <w:bottom w:val="single" w:sz="4" w:space="0" w:color="auto"/>
              <w:right w:val="single" w:sz="4" w:space="0" w:color="auto"/>
            </w:tcBorders>
            <w:vAlign w:val="bottom"/>
          </w:tcPr>
          <w:p w14:paraId="3B94C210" w14:textId="352A8DBE" w:rsidR="0014276B" w:rsidRPr="00471CBA" w:rsidRDefault="0014276B" w:rsidP="0014276B">
            <w:pPr>
              <w:jc w:val="right"/>
              <w:rPr>
                <w:sz w:val="15"/>
                <w:szCs w:val="15"/>
              </w:rPr>
            </w:pPr>
          </w:p>
        </w:tc>
      </w:tr>
      <w:bookmarkEnd w:id="15"/>
    </w:tbl>
    <w:p w14:paraId="549E2417" w14:textId="77777777" w:rsidR="00882E23" w:rsidRPr="00471CBA" w:rsidRDefault="00882E23" w:rsidP="00882E23">
      <w:pPr>
        <w:rPr>
          <w:sz w:val="16"/>
          <w:szCs w:val="16"/>
        </w:rPr>
      </w:pPr>
    </w:p>
    <w:p w14:paraId="40C829EC" w14:textId="77777777" w:rsidR="0014276B" w:rsidRPr="00471CBA" w:rsidRDefault="0014276B" w:rsidP="0014276B">
      <w:pPr>
        <w:widowControl w:val="0"/>
        <w:ind w:left="567" w:hanging="567"/>
        <w:jc w:val="both"/>
        <w:rPr>
          <w:sz w:val="16"/>
          <w:szCs w:val="16"/>
        </w:rPr>
      </w:pPr>
      <w:bookmarkStart w:id="16" w:name="_Hlk222997904"/>
      <w:r w:rsidRPr="00471CBA">
        <w:rPr>
          <w:sz w:val="16"/>
          <w:szCs w:val="16"/>
          <w:vertAlign w:val="superscript"/>
        </w:rPr>
        <w:t>(*)</w:t>
      </w:r>
      <w:r w:rsidRPr="00471CBA">
        <w:rPr>
          <w:sz w:val="16"/>
          <w:szCs w:val="16"/>
          <w:vertAlign w:val="superscript"/>
        </w:rPr>
        <w:tab/>
      </w:r>
      <w:r w:rsidRPr="00471CBA">
        <w:rPr>
          <w:sz w:val="16"/>
          <w:szCs w:val="16"/>
        </w:rPr>
        <w:t>Ertelenmiş vergi geliri diğer vergi ve yasal yükümlülükler satırında gösterilmiştir. Kar dağıtımına konu edilmemesi gerekmekte olup olağanüstü yedekler içerisinde tutulmaktadır.</w:t>
      </w:r>
    </w:p>
    <w:p w14:paraId="59FD08DE" w14:textId="77777777" w:rsidR="0014276B" w:rsidRPr="00471CBA" w:rsidRDefault="0014276B" w:rsidP="0014276B">
      <w:pPr>
        <w:widowControl w:val="0"/>
        <w:ind w:left="567" w:hanging="567"/>
        <w:jc w:val="both"/>
        <w:rPr>
          <w:sz w:val="16"/>
          <w:szCs w:val="16"/>
        </w:rPr>
      </w:pPr>
      <w:r w:rsidRPr="00471CBA">
        <w:rPr>
          <w:sz w:val="16"/>
          <w:szCs w:val="16"/>
          <w:vertAlign w:val="superscript"/>
        </w:rPr>
        <w:t>(**)</w:t>
      </w:r>
      <w:r w:rsidRPr="00471CBA">
        <w:rPr>
          <w:sz w:val="16"/>
          <w:szCs w:val="16"/>
        </w:rPr>
        <w:tab/>
        <w:t>Cari döneme ait karın dağıtımı hakkında Banka’nın yetkili organı Genel Kurul’dur. Bu finansal tabloların düzenlendiği tarih itibarıyla Banka’nın yıllık Olağan Genel Kurul toplantısı henüz yapılmamıştır.</w:t>
      </w:r>
    </w:p>
    <w:p w14:paraId="5B4A0716" w14:textId="77777777" w:rsidR="0014276B" w:rsidRPr="00471CBA" w:rsidRDefault="0014276B" w:rsidP="0014276B">
      <w:pPr>
        <w:widowControl w:val="0"/>
        <w:ind w:left="567" w:hanging="567"/>
        <w:jc w:val="both"/>
        <w:rPr>
          <w:sz w:val="16"/>
          <w:szCs w:val="16"/>
        </w:rPr>
      </w:pPr>
      <w:r w:rsidRPr="00471CBA">
        <w:rPr>
          <w:sz w:val="16"/>
          <w:szCs w:val="16"/>
          <w:vertAlign w:val="superscript"/>
        </w:rPr>
        <w:t>(***)</w:t>
      </w:r>
      <w:r w:rsidRPr="00471CBA">
        <w:rPr>
          <w:sz w:val="16"/>
          <w:szCs w:val="16"/>
        </w:rPr>
        <w:tab/>
        <w:t>İlgili dönem sonundaki hisse senedi adedi kullanılarak hesaplanmıştır.</w:t>
      </w:r>
      <w:r w:rsidRPr="00471CBA">
        <w:rPr>
          <w:sz w:val="16"/>
          <w:szCs w:val="16"/>
        </w:rPr>
        <w:tab/>
      </w:r>
    </w:p>
    <w:p w14:paraId="41FEBA0C" w14:textId="77777777" w:rsidR="0014276B" w:rsidRPr="00471CBA" w:rsidRDefault="0014276B" w:rsidP="0014276B">
      <w:pPr>
        <w:widowControl w:val="0"/>
        <w:jc w:val="center"/>
        <w:rPr>
          <w:sz w:val="16"/>
          <w:szCs w:val="16"/>
        </w:rPr>
      </w:pPr>
    </w:p>
    <w:p w14:paraId="431A85AA" w14:textId="77777777" w:rsidR="0014276B" w:rsidRPr="00471CBA" w:rsidRDefault="0014276B" w:rsidP="0014276B">
      <w:pPr>
        <w:widowControl w:val="0"/>
        <w:jc w:val="center"/>
        <w:rPr>
          <w:sz w:val="16"/>
          <w:szCs w:val="16"/>
        </w:rPr>
      </w:pPr>
    </w:p>
    <w:p w14:paraId="6B86A0B3" w14:textId="77777777" w:rsidR="0014276B" w:rsidRPr="00471CBA" w:rsidRDefault="0014276B" w:rsidP="0014276B">
      <w:pPr>
        <w:widowControl w:val="0"/>
        <w:jc w:val="center"/>
        <w:rPr>
          <w:sz w:val="16"/>
          <w:szCs w:val="16"/>
        </w:rPr>
      </w:pPr>
    </w:p>
    <w:p w14:paraId="0C72607E" w14:textId="139DB143" w:rsidR="0014276B" w:rsidRPr="00471CBA" w:rsidRDefault="0014276B" w:rsidP="00F36B82">
      <w:pPr>
        <w:widowControl w:val="0"/>
        <w:jc w:val="center"/>
        <w:rPr>
          <w:sz w:val="16"/>
          <w:szCs w:val="16"/>
        </w:rPr>
      </w:pPr>
      <w:r w:rsidRPr="00471CBA">
        <w:rPr>
          <w:szCs w:val="20"/>
        </w:rPr>
        <w:t>İlişikteki açıklama ve dipnotlar bu finansal tabloların tamamlayıcı bir parçasıdır</w:t>
      </w:r>
      <w:r w:rsidRPr="00471CBA">
        <w:rPr>
          <w:sz w:val="16"/>
          <w:szCs w:val="16"/>
        </w:rPr>
        <w:t>.</w:t>
      </w:r>
      <w:bookmarkEnd w:id="16"/>
    </w:p>
    <w:p w14:paraId="443795FF" w14:textId="68D347B2" w:rsidR="0014276B" w:rsidRPr="00471CBA" w:rsidRDefault="0014276B" w:rsidP="0014276B">
      <w:pPr>
        <w:rPr>
          <w:sz w:val="16"/>
          <w:szCs w:val="16"/>
        </w:rPr>
        <w:sectPr w:rsidR="0014276B" w:rsidRPr="00471CBA" w:rsidSect="00504891">
          <w:headerReference w:type="first" r:id="rId62"/>
          <w:pgSz w:w="11907" w:h="16840" w:code="9"/>
          <w:pgMar w:top="851" w:right="851" w:bottom="851" w:left="1134" w:header="851" w:footer="851" w:gutter="0"/>
          <w:cols w:space="708"/>
          <w:titlePg/>
          <w:docGrid w:linePitch="360"/>
        </w:sectPr>
      </w:pPr>
    </w:p>
    <w:p w14:paraId="21346882" w14:textId="55B2BD88" w:rsidR="000A410D" w:rsidRPr="00471CBA" w:rsidRDefault="000A410D" w:rsidP="00204048">
      <w:pPr>
        <w:pStyle w:val="GvdeMetniGirintisi"/>
        <w:widowControl w:val="0"/>
        <w:ind w:firstLine="0"/>
        <w:jc w:val="center"/>
        <w:rPr>
          <w:b/>
          <w:szCs w:val="20"/>
        </w:rPr>
      </w:pPr>
      <w:bookmarkStart w:id="19" w:name="_Hlk189745998"/>
      <w:bookmarkStart w:id="20" w:name="_Hlk189663184"/>
      <w:r w:rsidRPr="00471CBA">
        <w:rPr>
          <w:b/>
          <w:szCs w:val="20"/>
        </w:rPr>
        <w:lastRenderedPageBreak/>
        <w:t>ÜÇÜNCÜ BÖLÜM</w:t>
      </w:r>
    </w:p>
    <w:p w14:paraId="4CB5494A" w14:textId="77777777" w:rsidR="00F115B8" w:rsidRPr="00471CBA" w:rsidRDefault="00F115B8" w:rsidP="00204048">
      <w:pPr>
        <w:pStyle w:val="GvdeMetniGirintisi"/>
        <w:widowControl w:val="0"/>
        <w:ind w:firstLine="0"/>
        <w:jc w:val="center"/>
        <w:rPr>
          <w:b/>
          <w:sz w:val="14"/>
          <w:szCs w:val="14"/>
        </w:rPr>
      </w:pPr>
    </w:p>
    <w:p w14:paraId="59E2528E" w14:textId="46863112" w:rsidR="00632D27" w:rsidRPr="00471CBA" w:rsidRDefault="008C6792" w:rsidP="00204048">
      <w:pPr>
        <w:pStyle w:val="GvdeMetniGirintisi"/>
        <w:widowControl w:val="0"/>
        <w:ind w:firstLine="0"/>
        <w:jc w:val="center"/>
        <w:rPr>
          <w:b/>
          <w:szCs w:val="20"/>
        </w:rPr>
      </w:pPr>
      <w:r w:rsidRPr="00471CBA">
        <w:rPr>
          <w:b/>
          <w:szCs w:val="20"/>
        </w:rPr>
        <w:t>MUHASEBE POLİTİKALARI</w:t>
      </w:r>
      <w:r w:rsidR="000A410D" w:rsidRPr="00471CBA">
        <w:rPr>
          <w:b/>
          <w:szCs w:val="20"/>
        </w:rPr>
        <w:t>NA İLİŞKİN AÇIKLAMALAR</w:t>
      </w:r>
    </w:p>
    <w:p w14:paraId="7FA8C580" w14:textId="77777777" w:rsidR="00204048" w:rsidRPr="00471CBA" w:rsidRDefault="00204048" w:rsidP="00204048">
      <w:pPr>
        <w:pStyle w:val="GvdeMetniGirintisi"/>
        <w:widowControl w:val="0"/>
        <w:ind w:firstLine="0"/>
        <w:rPr>
          <w:b/>
          <w:sz w:val="14"/>
          <w:szCs w:val="14"/>
        </w:rPr>
      </w:pPr>
    </w:p>
    <w:p w14:paraId="5A8606B3" w14:textId="32A06E32" w:rsidR="00632D27" w:rsidRPr="00471CBA" w:rsidRDefault="000A410D" w:rsidP="00204048">
      <w:pPr>
        <w:pStyle w:val="GvdeMetni2"/>
        <w:widowControl w:val="0"/>
        <w:numPr>
          <w:ilvl w:val="4"/>
          <w:numId w:val="4"/>
        </w:numPr>
        <w:tabs>
          <w:tab w:val="clear" w:pos="3960"/>
        </w:tabs>
        <w:ind w:left="851" w:hanging="851"/>
      </w:pPr>
      <w:r w:rsidRPr="00471CBA">
        <w:t>SUNUM ESASLARINA İLİŞKİN AÇIKLAMALAR</w:t>
      </w:r>
    </w:p>
    <w:p w14:paraId="4FB0453C" w14:textId="1F189C1C" w:rsidR="0060139D" w:rsidRPr="00471CBA" w:rsidRDefault="0060139D" w:rsidP="00ED2040">
      <w:pPr>
        <w:jc w:val="both"/>
        <w:rPr>
          <w:sz w:val="14"/>
          <w:szCs w:val="18"/>
        </w:rPr>
      </w:pPr>
    </w:p>
    <w:p w14:paraId="4E47CB7A" w14:textId="26490964" w:rsidR="004B5EBD" w:rsidRPr="00471CBA" w:rsidRDefault="00880B22" w:rsidP="008459A9">
      <w:pPr>
        <w:pStyle w:val="ListeParagraf"/>
        <w:numPr>
          <w:ilvl w:val="0"/>
          <w:numId w:val="67"/>
        </w:numPr>
        <w:spacing w:line="278" w:lineRule="auto"/>
        <w:ind w:left="851" w:hanging="851"/>
        <w:contextualSpacing/>
        <w:jc w:val="both"/>
        <w:rPr>
          <w:b/>
          <w:bCs/>
          <w:szCs w:val="20"/>
        </w:rPr>
      </w:pPr>
      <w:bookmarkStart w:id="21" w:name="_Hlk40377250"/>
      <w:r w:rsidRPr="00471CBA">
        <w:rPr>
          <w:b/>
          <w:bCs/>
          <w:szCs w:val="20"/>
        </w:rPr>
        <w:t>Finansal tablolar ile bunlara ilişkin açıklama ve dipnotların Türkiye Muhasebe Standartları ve Bankaların Muhasebe Uygulamalarına ve Belgelerin Saklanmasına İlişkin Usul ve Esaslar Hakkında Yönetmeliğe uygun olarak hazırlanması</w:t>
      </w:r>
    </w:p>
    <w:p w14:paraId="5AFA0DE7" w14:textId="77777777" w:rsidR="004B5EBD" w:rsidRPr="00471CBA" w:rsidRDefault="004B5EBD" w:rsidP="004B5EBD">
      <w:pPr>
        <w:pStyle w:val="ListeParagraf"/>
        <w:spacing w:line="278" w:lineRule="auto"/>
        <w:ind w:left="851"/>
        <w:contextualSpacing/>
        <w:jc w:val="both"/>
        <w:rPr>
          <w:b/>
          <w:bCs/>
          <w:sz w:val="14"/>
          <w:szCs w:val="14"/>
        </w:rPr>
      </w:pPr>
    </w:p>
    <w:p w14:paraId="39BFE4EC" w14:textId="66F73DA2" w:rsidR="00880B22" w:rsidRPr="009B7E9E" w:rsidRDefault="00040B79" w:rsidP="00880B22">
      <w:pPr>
        <w:pStyle w:val="GvdeMetni"/>
        <w:widowControl w:val="0"/>
        <w:ind w:left="851"/>
        <w:rPr>
          <w:color w:val="auto"/>
        </w:rPr>
      </w:pPr>
      <w:r w:rsidRPr="00471CBA">
        <w:rPr>
          <w:color w:val="auto"/>
        </w:rPr>
        <w:t xml:space="preserve">Banka, finansal tablolarını 1 Kasım 2006 tarihli ve 26333 sayılı Resmi </w:t>
      </w:r>
      <w:proofErr w:type="spellStart"/>
      <w:r w:rsidRPr="00471CBA">
        <w:rPr>
          <w:color w:val="auto"/>
        </w:rPr>
        <w:t>Gazete'de</w:t>
      </w:r>
      <w:proofErr w:type="spellEnd"/>
      <w:r w:rsidRPr="00471CBA">
        <w:rPr>
          <w:color w:val="auto"/>
        </w:rPr>
        <w:t xml:space="preserve"> yayımlanan “Bankaların Muhasebe Uygulamalarına ve Belgelerin Saklanmasına İlişkin Usul ve Esaslar Hakkında Yönetmelik” ve </w:t>
      </w:r>
      <w:r w:rsidRPr="009B7E9E">
        <w:rPr>
          <w:color w:val="auto"/>
        </w:rPr>
        <w:t xml:space="preserve">Bankacılık Düzenleme ve Denetleme Kurulu tarafından bankaların hesap ve kayıt düzenine ilişkin yayımlanan diğer düzenlemeler ile Bankacılık Düzenleme ve Denetleme Kurumu (“BDDK”) genelge ve açıklamaları ve bunlar ile düzenlenmeyen konularda Kamu Gözetimi Muhasebe ve Denetim Standartları Kurumu (“KGK”) tarafından yürürlüğe konulmuş olan "BDDK Muhasebe ve Finansal Raporlama </w:t>
      </w:r>
      <w:proofErr w:type="spellStart"/>
      <w:r w:rsidRPr="009B7E9E">
        <w:rPr>
          <w:color w:val="auto"/>
        </w:rPr>
        <w:t>Mevzuatı"na</w:t>
      </w:r>
      <w:proofErr w:type="spellEnd"/>
      <w:r w:rsidRPr="009B7E9E">
        <w:rPr>
          <w:color w:val="auto"/>
        </w:rPr>
        <w:t xml:space="preserve"> uygun olarak düzenlemektedir.</w:t>
      </w:r>
    </w:p>
    <w:p w14:paraId="11BE128B" w14:textId="77777777" w:rsidR="00880B22" w:rsidRPr="009B7E9E" w:rsidRDefault="00880B22" w:rsidP="00880B22">
      <w:pPr>
        <w:pStyle w:val="GvdeMetni"/>
        <w:widowControl w:val="0"/>
        <w:ind w:left="851"/>
        <w:rPr>
          <w:color w:val="auto"/>
          <w:sz w:val="14"/>
          <w:szCs w:val="14"/>
        </w:rPr>
      </w:pPr>
    </w:p>
    <w:p w14:paraId="43DA2C0C" w14:textId="77777777" w:rsidR="00880B22" w:rsidRPr="00471CBA" w:rsidRDefault="00880B22" w:rsidP="00880B22">
      <w:pPr>
        <w:pStyle w:val="GvdeMetni"/>
        <w:widowControl w:val="0"/>
        <w:ind w:left="851"/>
        <w:rPr>
          <w:color w:val="auto"/>
        </w:rPr>
      </w:pPr>
      <w:r w:rsidRPr="009B7E9E">
        <w:rPr>
          <w:color w:val="auto"/>
        </w:rPr>
        <w:t>Düzenlenen kamuya açıklanacak konsolide olmayan finansal tabloların biçim ve içerikleri ile bunların</w:t>
      </w:r>
      <w:r w:rsidRPr="00471CBA">
        <w:rPr>
          <w:color w:val="auto"/>
        </w:rPr>
        <w:t xml:space="preserve"> açıklama ve dipnotları 28 Haziran 2012 tarih ve 28337 sayılı Resmî </w:t>
      </w:r>
      <w:proofErr w:type="spellStart"/>
      <w:r w:rsidRPr="00471CBA">
        <w:rPr>
          <w:color w:val="auto"/>
        </w:rPr>
        <w:t>Gazete’de</w:t>
      </w:r>
      <w:proofErr w:type="spellEnd"/>
      <w:r w:rsidRPr="00471CBA">
        <w:rPr>
          <w:color w:val="auto"/>
        </w:rPr>
        <w:t xml:space="preserve"> yayımlanan “Bankalarca Kamuya Açıklanacak Finansal Tablolar ile Bunlara İlişkin Açıklama ve Dipnotlar Hakkında Tebliğ” ile bu tebliğe ek ve değişiklikler getiren tebliğlere uygun olarak hazırlanmıştır. Banka, muhasebe kayıtlarını Türk parası olarak, Bankacılık Kanunu, Türk Ticaret Kanunu ve Türk vergi mevzuatına uygun olarak tutmaktadır. Konsolide olmayan finansal tablolar, gerçeğe uygun değerleri ile gösterilen finansal varlık ve yükümlülüklerin dışında, tarihi maliyet esası baz alınarak hazırlanmıştır.</w:t>
      </w:r>
    </w:p>
    <w:p w14:paraId="23D8A220" w14:textId="77777777" w:rsidR="00880B22" w:rsidRPr="00471CBA" w:rsidRDefault="00880B22" w:rsidP="00880B22">
      <w:pPr>
        <w:pStyle w:val="GvdeMetni"/>
        <w:widowControl w:val="0"/>
        <w:ind w:left="851"/>
        <w:rPr>
          <w:color w:val="auto"/>
          <w:sz w:val="14"/>
          <w:szCs w:val="14"/>
        </w:rPr>
      </w:pPr>
    </w:p>
    <w:p w14:paraId="48D07054" w14:textId="77777777" w:rsidR="00880B22" w:rsidRPr="00471CBA" w:rsidRDefault="00880B22" w:rsidP="00880B22">
      <w:pPr>
        <w:pStyle w:val="GvdeMetni"/>
        <w:widowControl w:val="0"/>
        <w:ind w:left="851"/>
        <w:rPr>
          <w:color w:val="auto"/>
        </w:rPr>
      </w:pPr>
      <w:r w:rsidRPr="00471CBA">
        <w:rPr>
          <w:color w:val="auto"/>
        </w:rPr>
        <w:t>Finansal tablolar, gerçeğe uygun değerleri ile gösterilen finansal varlıklar, yükümlülükler ve yeniden değerlenen gayrimenkuller dışında tarihi maliyet esası baz alınarak TL olarak hazırlanmıştır.</w:t>
      </w:r>
    </w:p>
    <w:p w14:paraId="7F722406" w14:textId="77777777" w:rsidR="00880B22" w:rsidRPr="00471CBA" w:rsidRDefault="00880B22" w:rsidP="00880B22">
      <w:pPr>
        <w:pStyle w:val="GvdeMetni"/>
        <w:widowControl w:val="0"/>
        <w:ind w:left="851"/>
        <w:rPr>
          <w:color w:val="auto"/>
          <w:sz w:val="14"/>
          <w:szCs w:val="14"/>
        </w:rPr>
      </w:pPr>
    </w:p>
    <w:p w14:paraId="58DCEE64" w14:textId="3D40299E" w:rsidR="009D2E02" w:rsidRPr="009B7E9E" w:rsidRDefault="00880B22" w:rsidP="00880B22">
      <w:pPr>
        <w:pStyle w:val="GvdeMetni"/>
        <w:widowControl w:val="0"/>
        <w:tabs>
          <w:tab w:val="clear" w:pos="0"/>
          <w:tab w:val="clear" w:pos="567"/>
          <w:tab w:val="clear" w:pos="720"/>
        </w:tabs>
        <w:ind w:left="851"/>
        <w:rPr>
          <w:color w:val="auto"/>
        </w:rPr>
      </w:pPr>
      <w:r w:rsidRPr="00471CBA">
        <w:rPr>
          <w:color w:val="auto"/>
        </w:rPr>
        <w:t xml:space="preserve">TMS 29 Yüksek Enflasyonlu Ekonomilerde Finansal Raporlama standardına göre, fonksiyonel para birimi yüksek enflasyonlu bir ekonominin para birimi olan işletmeler finansal tablolarını raporlama dönemi sonundaki paranın satın alma gücüne göre raporlamaktadırlar. TMS 29, bir ekonominin yüksek enflasyonlu bir ekonomi olduğuna işaret edebilecek özellikleri tanımlamaktadır. Aynı zamanda, TMS 29’a göre bir yüksek enflasyonlu ekonominin para biriminde raporlama yapan tüm işletmelerin bu Standardı aynı tarihten itibaren uygulaması gerekmektedir. KGK, 23 Kasım 2023 tarihinde yaptığı duyuru ile, </w:t>
      </w:r>
      <w:proofErr w:type="spellStart"/>
      <w:r w:rsidRPr="00471CBA">
        <w:rPr>
          <w:color w:val="auto"/>
        </w:rPr>
        <w:t>TFRS’yi</w:t>
      </w:r>
      <w:proofErr w:type="spellEnd"/>
      <w:r w:rsidRPr="00471CBA">
        <w:rPr>
          <w:color w:val="auto"/>
        </w:rPr>
        <w:t xml:space="preserve"> uygulayan işletmelerin 31 Aralık 2023 tarihinde veya sonrasında sona eren yıllık raporlama dönemine ait finansal tablolarının TMS 29 standardında yer alan ilgili muhasebe ilkelerine uygun olarak enflasyon etkisine göre düzeltilerek sunulması gerektiğini, diğer yandan kendi alanlarında düzenleme ve denetleme yapmakla yetkili olan kurum ya da kuruluşların TMS 29 hükümlerinin uygulanmasına yönelik olarak farklı geçiş tarihleri belirleyebileceğini açıklamıştır. BDDK’nın 12 Aralık 2023 tarih ve 10744 sayılı kararıyla, bankalar ile finansal kiralama, </w:t>
      </w:r>
      <w:proofErr w:type="spellStart"/>
      <w:r w:rsidRPr="00471CBA">
        <w:rPr>
          <w:color w:val="auto"/>
        </w:rPr>
        <w:t>faktoring</w:t>
      </w:r>
      <w:proofErr w:type="spellEnd"/>
      <w:r w:rsidRPr="00471CBA">
        <w:rPr>
          <w:color w:val="auto"/>
        </w:rPr>
        <w:t xml:space="preserve">, finansman, tasarruf finansman ve varlık yönetim şirketlerinin 31 Aralık 2023 tarihli finansal tablolarının TMS 29 kapsamında yapılması gereken enflasyon düzeltmesine tabi tutulmayacağı, 11 Ocak 2024 </w:t>
      </w:r>
      <w:r w:rsidRPr="009B7E9E">
        <w:rPr>
          <w:color w:val="auto"/>
        </w:rPr>
        <w:t xml:space="preserve">tarih ve 10825 sayılı kararıyla ise, 1 Ocak 2025 tarihinden itibaren enflasyon muhasebesi uygulamasına geçileceği açıklanmıştır. Bununla birlikte, BDDK’nın 5 Aralık 2024 tarih ve 11021 sayılı kararı uyarınca bankalar ile finansal kiralama, </w:t>
      </w:r>
      <w:proofErr w:type="spellStart"/>
      <w:r w:rsidRPr="009B7E9E">
        <w:rPr>
          <w:color w:val="auto"/>
        </w:rPr>
        <w:t>faktoring</w:t>
      </w:r>
      <w:proofErr w:type="spellEnd"/>
      <w:r w:rsidRPr="009B7E9E">
        <w:rPr>
          <w:color w:val="auto"/>
        </w:rPr>
        <w:t>, finansman, tasarruf finansman ve varlık yönetim şirketlerinin 2025 yılında da enflasyon muhasebesi uygulamamasına karar verilmiştir.</w:t>
      </w:r>
      <w:r w:rsidR="005D5FD4" w:rsidRPr="009B7E9E">
        <w:rPr>
          <w:color w:val="auto"/>
        </w:rPr>
        <w:t xml:space="preserve"> </w:t>
      </w:r>
      <w:bookmarkStart w:id="22" w:name="_Hlk223335651"/>
      <w:r w:rsidR="005D5FD4" w:rsidRPr="009B7E9E">
        <w:rPr>
          <w:color w:val="auto"/>
        </w:rPr>
        <w:t xml:space="preserve">Buna istinaden, </w:t>
      </w:r>
      <w:r w:rsidR="008F1903" w:rsidRPr="009B7E9E">
        <w:rPr>
          <w:color w:val="auto"/>
        </w:rPr>
        <w:t>31 Aralık</w:t>
      </w:r>
      <w:r w:rsidR="00932390" w:rsidRPr="009B7E9E">
        <w:rPr>
          <w:color w:val="auto"/>
        </w:rPr>
        <w:t xml:space="preserve"> 2025</w:t>
      </w:r>
      <w:r w:rsidR="005D5FD4" w:rsidRPr="009B7E9E">
        <w:rPr>
          <w:color w:val="auto"/>
        </w:rPr>
        <w:t xml:space="preserve"> tarihli finansal tablolarda TMS 29 uygulanmamış ve enflasyon düzeltmesi yapılmamıştır.</w:t>
      </w:r>
    </w:p>
    <w:bookmarkEnd w:id="22"/>
    <w:p w14:paraId="61896498" w14:textId="6EE4FF05" w:rsidR="00442006" w:rsidRPr="009B7E9E" w:rsidRDefault="00442006" w:rsidP="00880B22">
      <w:pPr>
        <w:pStyle w:val="GvdeMetni"/>
        <w:widowControl w:val="0"/>
        <w:tabs>
          <w:tab w:val="clear" w:pos="0"/>
          <w:tab w:val="clear" w:pos="567"/>
          <w:tab w:val="clear" w:pos="720"/>
        </w:tabs>
        <w:ind w:left="851"/>
        <w:rPr>
          <w:color w:val="auto"/>
        </w:rPr>
      </w:pPr>
    </w:p>
    <w:p w14:paraId="621860EB" w14:textId="5D1B2E9A" w:rsidR="00442006" w:rsidRPr="00471CBA" w:rsidRDefault="00442006" w:rsidP="00880B22">
      <w:pPr>
        <w:pStyle w:val="GvdeMetni"/>
        <w:widowControl w:val="0"/>
        <w:tabs>
          <w:tab w:val="clear" w:pos="0"/>
          <w:tab w:val="clear" w:pos="567"/>
          <w:tab w:val="clear" w:pos="720"/>
        </w:tabs>
        <w:ind w:left="851"/>
        <w:rPr>
          <w:color w:val="auto"/>
        </w:rPr>
      </w:pPr>
      <w:bookmarkStart w:id="23" w:name="_Hlk223335661"/>
      <w:r w:rsidRPr="009B7E9E">
        <w:rPr>
          <w:color w:val="auto"/>
        </w:rPr>
        <w:t xml:space="preserve">BDDK’nın 18 Aralık 2025 tarih ve 11340 sayılı kararıyla ise 11 Ocak 2024 tarih ve 10825 sayılı kararının yürürlükten kaldırıldığı; bankalar ile finansal kiralama, </w:t>
      </w:r>
      <w:proofErr w:type="spellStart"/>
      <w:r w:rsidRPr="009B7E9E">
        <w:rPr>
          <w:color w:val="auto"/>
        </w:rPr>
        <w:t>faktoring</w:t>
      </w:r>
      <w:proofErr w:type="spellEnd"/>
      <w:r w:rsidRPr="009B7E9E">
        <w:rPr>
          <w:color w:val="auto"/>
        </w:rPr>
        <w:t>, finansman, tasarruf finansman ve varlık yönetim şirketlerinin 2026 yılında enflasyon düzeltmesine tabi tutulmayacağı ilan edilmiştir. Buna istinaden, 31 Aralık 2025 tarihli finansal tablolarda TMS 29 uygulanmamış ve enflasyon düzeltmesi yapılmamıştır.</w:t>
      </w:r>
    </w:p>
    <w:bookmarkEnd w:id="23"/>
    <w:p w14:paraId="7A1E5EF3" w14:textId="77777777" w:rsidR="009D2E02" w:rsidRPr="00471CBA" w:rsidRDefault="009D2E02">
      <w:pPr>
        <w:rPr>
          <w:szCs w:val="20"/>
        </w:rPr>
      </w:pPr>
      <w:r w:rsidRPr="00471CBA">
        <w:br w:type="page"/>
      </w:r>
    </w:p>
    <w:p w14:paraId="2FD090CB" w14:textId="77777777" w:rsidR="009D2E02" w:rsidRPr="00471CBA" w:rsidRDefault="009D2E02" w:rsidP="00F36B82">
      <w:pPr>
        <w:pStyle w:val="GvdeMetniGirintisi"/>
        <w:widowControl w:val="0"/>
        <w:spacing w:line="216" w:lineRule="auto"/>
        <w:ind w:firstLine="0"/>
        <w:jc w:val="left"/>
        <w:rPr>
          <w:b/>
          <w:szCs w:val="20"/>
        </w:rPr>
      </w:pPr>
      <w:r w:rsidRPr="00471CBA">
        <w:rPr>
          <w:b/>
          <w:szCs w:val="20"/>
        </w:rPr>
        <w:lastRenderedPageBreak/>
        <w:t>MUHASEBE POLİTİKALARINA İLİŞKİN AÇIKLAMALAR (Devamı)</w:t>
      </w:r>
    </w:p>
    <w:p w14:paraId="6F4F9030" w14:textId="77777777" w:rsidR="009D2E02" w:rsidRPr="00471CBA" w:rsidRDefault="009D2E02" w:rsidP="00F36B82">
      <w:pPr>
        <w:pStyle w:val="GvdeMetni"/>
        <w:widowControl w:val="0"/>
        <w:tabs>
          <w:tab w:val="clear" w:pos="0"/>
          <w:tab w:val="clear" w:pos="567"/>
          <w:tab w:val="clear" w:pos="720"/>
        </w:tabs>
        <w:spacing w:line="216" w:lineRule="auto"/>
        <w:ind w:left="851"/>
        <w:rPr>
          <w:color w:val="auto"/>
        </w:rPr>
      </w:pPr>
    </w:p>
    <w:p w14:paraId="5A5B7679" w14:textId="77777777" w:rsidR="009D2E02" w:rsidRPr="00471CBA" w:rsidRDefault="009D2E02" w:rsidP="008459A9">
      <w:pPr>
        <w:pStyle w:val="ListeParagraf"/>
        <w:numPr>
          <w:ilvl w:val="0"/>
          <w:numId w:val="67"/>
        </w:numPr>
        <w:spacing w:line="216" w:lineRule="auto"/>
        <w:ind w:left="851" w:hanging="851"/>
        <w:contextualSpacing/>
        <w:jc w:val="both"/>
        <w:rPr>
          <w:b/>
          <w:bCs/>
          <w:szCs w:val="20"/>
        </w:rPr>
      </w:pPr>
      <w:r w:rsidRPr="00471CBA">
        <w:rPr>
          <w:b/>
          <w:bCs/>
          <w:szCs w:val="20"/>
        </w:rPr>
        <w:t>Muhasebe Politikasındaki Değişiklikler</w:t>
      </w:r>
    </w:p>
    <w:p w14:paraId="01DCF5AC" w14:textId="77777777" w:rsidR="009D2E02" w:rsidRPr="00471CBA" w:rsidRDefault="009D2E02" w:rsidP="00F36B82">
      <w:pPr>
        <w:spacing w:line="216" w:lineRule="auto"/>
        <w:contextualSpacing/>
        <w:jc w:val="both"/>
        <w:rPr>
          <w:b/>
          <w:bCs/>
          <w:szCs w:val="20"/>
        </w:rPr>
      </w:pPr>
    </w:p>
    <w:p w14:paraId="5BEFB0AF" w14:textId="50CD97CC" w:rsidR="009F21A7" w:rsidRPr="00471CBA" w:rsidRDefault="009F21A7" w:rsidP="00F36B82">
      <w:pPr>
        <w:spacing w:line="216" w:lineRule="auto"/>
        <w:ind w:left="851"/>
        <w:jc w:val="both"/>
      </w:pPr>
      <w:r w:rsidRPr="00471CBA">
        <w:t xml:space="preserve">Banka BDDK’dan alınan 20 Eylül 2024 tarihli izne istinaden, karşılıklarını TFRS 9 uyarınca oluşturulan beklenen kredi zararları metodu ile değil, Karşılıklar Yönetmeliğinin 10’uncu, 11’inci, 13’üncü ve 15’inci maddeleri kapsamında hesaplamaktaydı. 1 Temmuz 2025 tarihi itibarıyla ilişikteki konsolide olmayan finansal tablolarında, 22 Haziran 2016 tarih ve 29750 sayılı Resmî </w:t>
      </w:r>
      <w:proofErr w:type="spellStart"/>
      <w:r w:rsidRPr="00471CBA">
        <w:t>Gazete’de</w:t>
      </w:r>
      <w:proofErr w:type="spellEnd"/>
      <w:r w:rsidRPr="00471CBA">
        <w:t xml:space="preserve"> yayımlanan “Kredilerin Sınıflandırılması ve Bunlar için Ayrılacak Karşılıklara İlişkin Usul ve Esaslar Hakkında Yönetmelik” uyarınca, KGK tarafından yayınlanan TFRS 9 Finansal Araçlar (TFRS 9) standardını ilk kez uygulamaya başlamıştır. TFRS 9'un geçiş hükümleri uyarınca önceki dönem finansal tablo ve dipnotları yeniden düzenlenmemiştir. Dolayısıyla </w:t>
      </w:r>
      <w:proofErr w:type="spellStart"/>
      <w:r w:rsidRPr="00471CBA">
        <w:t>standartın</w:t>
      </w:r>
      <w:proofErr w:type="spellEnd"/>
      <w:r w:rsidRPr="00471CBA">
        <w:t xml:space="preserve"> ilk uygulama etkileri geçmiş dönem ve cari dönem </w:t>
      </w:r>
      <w:r w:rsidR="003B3352" w:rsidRPr="00471CBA">
        <w:t>kâr</w:t>
      </w:r>
      <w:r w:rsidRPr="00471CBA">
        <w:t xml:space="preserve"> zararlarına </w:t>
      </w:r>
      <w:r w:rsidR="003B3352" w:rsidRPr="00471CBA">
        <w:t>yansıtılmış</w:t>
      </w:r>
      <w:r w:rsidRPr="00471CBA">
        <w:t xml:space="preserve"> ve ilişikteki finansal tablolar karşılaştırmalı değil ayrı ayrı sunulmuşlardır.</w:t>
      </w:r>
    </w:p>
    <w:p w14:paraId="128D0961" w14:textId="346D30A3" w:rsidR="009D2E02" w:rsidRPr="00471CBA" w:rsidRDefault="009D2E02" w:rsidP="00F36B82">
      <w:pPr>
        <w:spacing w:line="216" w:lineRule="auto"/>
        <w:ind w:left="851"/>
        <w:jc w:val="both"/>
      </w:pPr>
      <w:r w:rsidRPr="00471CBA">
        <w:t xml:space="preserve"> </w:t>
      </w:r>
    </w:p>
    <w:p w14:paraId="47AD7F04" w14:textId="77777777" w:rsidR="009D2E02" w:rsidRPr="00471CBA" w:rsidRDefault="009D2E02" w:rsidP="00F36B82">
      <w:pPr>
        <w:spacing w:line="216" w:lineRule="auto"/>
        <w:ind w:left="851"/>
        <w:jc w:val="both"/>
      </w:pPr>
      <w:r w:rsidRPr="00F90C87">
        <w:t xml:space="preserve">TFRS 9 geçişine ilişkin bilgiler Üçüncü bölüm XXI </w:t>
      </w:r>
      <w:proofErr w:type="spellStart"/>
      <w:r w:rsidRPr="00F90C87">
        <w:t>no’lu</w:t>
      </w:r>
      <w:proofErr w:type="spellEnd"/>
      <w:r w:rsidRPr="00F90C87">
        <w:t xml:space="preserve"> dipnotta açıklamıştır.</w:t>
      </w:r>
    </w:p>
    <w:p w14:paraId="2EB2680B" w14:textId="77777777" w:rsidR="00880B22" w:rsidRPr="00F36B82" w:rsidRDefault="00880B22" w:rsidP="00F36B82">
      <w:pPr>
        <w:pStyle w:val="GvdeMetni"/>
        <w:widowControl w:val="0"/>
        <w:tabs>
          <w:tab w:val="clear" w:pos="0"/>
          <w:tab w:val="clear" w:pos="567"/>
          <w:tab w:val="clear" w:pos="720"/>
        </w:tabs>
        <w:spacing w:line="216" w:lineRule="auto"/>
        <w:ind w:left="851"/>
        <w:rPr>
          <w:color w:val="auto"/>
          <w:sz w:val="16"/>
          <w:szCs w:val="16"/>
        </w:rPr>
      </w:pPr>
    </w:p>
    <w:p w14:paraId="0D4E2F30" w14:textId="4CE319B0" w:rsidR="00880B22" w:rsidRPr="00471CBA" w:rsidRDefault="00880B22" w:rsidP="008459A9">
      <w:pPr>
        <w:pStyle w:val="ListeParagraf"/>
        <w:numPr>
          <w:ilvl w:val="0"/>
          <w:numId w:val="67"/>
        </w:numPr>
        <w:spacing w:line="216" w:lineRule="auto"/>
        <w:ind w:left="851" w:hanging="851"/>
        <w:contextualSpacing/>
        <w:jc w:val="both"/>
        <w:rPr>
          <w:b/>
          <w:bCs/>
          <w:szCs w:val="20"/>
        </w:rPr>
      </w:pPr>
      <w:r w:rsidRPr="00471CBA">
        <w:rPr>
          <w:b/>
          <w:bCs/>
          <w:szCs w:val="20"/>
        </w:rPr>
        <w:t>Finansal tabloların hazırlanmasında izlenen muhasebe politikaları ve kullanılan değerleme esasları:</w:t>
      </w:r>
    </w:p>
    <w:p w14:paraId="3F5D4E7A" w14:textId="77777777" w:rsidR="004B5EBD" w:rsidRPr="00F36B82" w:rsidRDefault="004B5EBD" w:rsidP="00F36B82">
      <w:pPr>
        <w:pStyle w:val="ListeParagraf"/>
        <w:spacing w:line="216" w:lineRule="auto"/>
        <w:ind w:left="851"/>
        <w:contextualSpacing/>
        <w:jc w:val="both"/>
        <w:rPr>
          <w:b/>
          <w:bCs/>
          <w:sz w:val="16"/>
          <w:szCs w:val="16"/>
        </w:rPr>
      </w:pPr>
    </w:p>
    <w:p w14:paraId="2EA866D5" w14:textId="77777777" w:rsidR="002F7D8E" w:rsidRPr="00471CBA" w:rsidRDefault="00880B22" w:rsidP="00F36B82">
      <w:pPr>
        <w:widowControl w:val="0"/>
        <w:autoSpaceDE w:val="0"/>
        <w:autoSpaceDN w:val="0"/>
        <w:adjustRightInd w:val="0"/>
        <w:spacing w:line="216" w:lineRule="auto"/>
        <w:ind w:left="851"/>
        <w:jc w:val="both"/>
        <w:rPr>
          <w:szCs w:val="20"/>
        </w:rPr>
      </w:pPr>
      <w:r w:rsidRPr="00471CBA">
        <w:rPr>
          <w:szCs w:val="20"/>
        </w:rPr>
        <w:t>Finansal tabloların hazırlanması, bilanço tarihi itibarıyla raporlanan aktif ve pasiflerin ya da açıklanan şarta bağlı varlık ve yükümlülüklerin tutarlarını ve ilgili dönem içerisinde oluştuğu raporlanan gelir ve giderlerin tutarlarını etkileyen tahmin ve varsayımların yapılmasını gerektirir. Bu tahminler yönetimin en iyi kanaat ve bilgilerine dayanmakla birlikte, gerçek sonuçlar bu tahminlerden farklılık gösterebilir. Kullanılan varsayım ve tahminler ile değişikliklerin etkisi ilgili dipnotlarda açıklanmaktadır.</w:t>
      </w:r>
      <w:bookmarkStart w:id="24" w:name="_Hlk167274635"/>
      <w:bookmarkEnd w:id="19"/>
      <w:bookmarkEnd w:id="20"/>
    </w:p>
    <w:p w14:paraId="2B9365C1" w14:textId="219053E0" w:rsidR="002F7D8E" w:rsidRPr="00F36B82" w:rsidRDefault="002F7D8E" w:rsidP="00F36B82">
      <w:pPr>
        <w:spacing w:line="216" w:lineRule="auto"/>
        <w:rPr>
          <w:sz w:val="16"/>
          <w:szCs w:val="16"/>
        </w:rPr>
      </w:pPr>
    </w:p>
    <w:p w14:paraId="0B9BCC74" w14:textId="2D553A62" w:rsidR="0097685D" w:rsidRPr="00471CBA" w:rsidRDefault="0097685D" w:rsidP="00F36B82">
      <w:pPr>
        <w:widowControl w:val="0"/>
        <w:spacing w:line="216" w:lineRule="auto"/>
        <w:ind w:left="851" w:hanging="851"/>
        <w:jc w:val="both"/>
        <w:rPr>
          <w:b/>
          <w:szCs w:val="20"/>
        </w:rPr>
      </w:pPr>
      <w:r w:rsidRPr="00471CBA">
        <w:rPr>
          <w:b/>
          <w:szCs w:val="20"/>
        </w:rPr>
        <w:t>II.</w:t>
      </w:r>
      <w:r w:rsidRPr="00471CBA">
        <w:rPr>
          <w:b/>
          <w:szCs w:val="20"/>
        </w:rPr>
        <w:tab/>
        <w:t xml:space="preserve">FİNANSAL ARAÇLARIN KULLANIM STRATEJİSİ VE YABANCI PARA CİNSİNDEN İŞLEMLERE İLİŞKİN AÇIKLAMALAR </w:t>
      </w:r>
    </w:p>
    <w:p w14:paraId="55B7F07F" w14:textId="77777777" w:rsidR="0097685D" w:rsidRPr="00F36B82" w:rsidRDefault="0097685D" w:rsidP="00F36B82">
      <w:pPr>
        <w:spacing w:line="216" w:lineRule="auto"/>
        <w:ind w:left="868"/>
        <w:jc w:val="both"/>
        <w:rPr>
          <w:bCs/>
          <w:sz w:val="16"/>
          <w:szCs w:val="16"/>
        </w:rPr>
      </w:pPr>
    </w:p>
    <w:p w14:paraId="3C2C6CFC" w14:textId="77777777" w:rsidR="0097685D" w:rsidRPr="00471CBA" w:rsidRDefault="0097685D" w:rsidP="00F36B82">
      <w:pPr>
        <w:widowControl w:val="0"/>
        <w:spacing w:line="216" w:lineRule="auto"/>
        <w:ind w:left="851"/>
        <w:jc w:val="both"/>
        <w:rPr>
          <w:bCs/>
          <w:szCs w:val="20"/>
        </w:rPr>
      </w:pPr>
      <w:r w:rsidRPr="00471CBA">
        <w:rPr>
          <w:bCs/>
          <w:szCs w:val="20"/>
        </w:rPr>
        <w:t>Banka, finansal araçlara ilişkin stratejilerini kaynak yapısını dikkate alarak oluşturmaktadır. Banka’nın kaynak yapısı, esas olarak özel cari hesaplar ile katılma hesaplarında toplanan fonlardan meydana gelmektedir. Banka vadesi gelmiş yükümlülüklerin karşılanabilirliğini sağlayan likidite yapısını, yeterli düzeyde nakit varlık bulundurarak korumaktadır.</w:t>
      </w:r>
    </w:p>
    <w:p w14:paraId="0F5DE5E7" w14:textId="77777777" w:rsidR="0097685D" w:rsidRPr="00F36B82" w:rsidRDefault="0097685D" w:rsidP="00F36B82">
      <w:pPr>
        <w:widowControl w:val="0"/>
        <w:spacing w:line="216" w:lineRule="auto"/>
        <w:jc w:val="both"/>
        <w:rPr>
          <w:bCs/>
          <w:sz w:val="16"/>
          <w:szCs w:val="16"/>
        </w:rPr>
      </w:pPr>
    </w:p>
    <w:p w14:paraId="2049870B" w14:textId="149DB892" w:rsidR="0097685D" w:rsidRPr="00471CBA" w:rsidRDefault="0097685D" w:rsidP="00F36B82">
      <w:pPr>
        <w:widowControl w:val="0"/>
        <w:autoSpaceDE w:val="0"/>
        <w:autoSpaceDN w:val="0"/>
        <w:adjustRightInd w:val="0"/>
        <w:spacing w:line="216" w:lineRule="auto"/>
        <w:ind w:left="851"/>
        <w:jc w:val="both"/>
        <w:rPr>
          <w:bCs/>
          <w:szCs w:val="20"/>
        </w:rPr>
      </w:pPr>
      <w:r w:rsidRPr="00471CBA">
        <w:rPr>
          <w:bCs/>
          <w:szCs w:val="20"/>
        </w:rPr>
        <w:t xml:space="preserve">Yabancı para işlemlerden doğan kur farkı gelir ve giderleri işlemin yapıldığı dönemde “Kur Değişiminin Etkilerine İlişkin Türkiye Muhasebe Standardı” (“TMS 21”) esas alınarak muhasebeleştirilmiştir. </w:t>
      </w:r>
      <w:r w:rsidR="00D54470" w:rsidRPr="00471CBA">
        <w:rPr>
          <w:bCs/>
          <w:szCs w:val="20"/>
        </w:rPr>
        <w:t>Dönem sonlarında, yabancı para aktif ve pasif hesapların bakiyeleri, dönem sonu Türkiye Cumhuriyet Merkez Bankası döviz alış kurlarından değerlemeye tabi tutularak TL’ye çevrilmiş ve oluşan kur farkları kambiyo işlemleri karı veya zararı olarak kayıtlara yansıtılmıştır.</w:t>
      </w:r>
    </w:p>
    <w:p w14:paraId="3FCE6658" w14:textId="77777777" w:rsidR="0097685D" w:rsidRPr="00F36B82" w:rsidRDefault="0097685D" w:rsidP="00F36B82">
      <w:pPr>
        <w:widowControl w:val="0"/>
        <w:autoSpaceDE w:val="0"/>
        <w:autoSpaceDN w:val="0"/>
        <w:adjustRightInd w:val="0"/>
        <w:spacing w:line="216" w:lineRule="auto"/>
        <w:ind w:left="851"/>
        <w:jc w:val="both"/>
        <w:rPr>
          <w:bCs/>
          <w:sz w:val="16"/>
          <w:szCs w:val="16"/>
        </w:rPr>
      </w:pPr>
    </w:p>
    <w:p w14:paraId="6C392465" w14:textId="77777777" w:rsidR="0097685D" w:rsidRPr="00471CBA" w:rsidRDefault="0097685D" w:rsidP="00F36B82">
      <w:pPr>
        <w:widowControl w:val="0"/>
        <w:spacing w:line="216" w:lineRule="auto"/>
        <w:ind w:left="851"/>
        <w:jc w:val="both"/>
        <w:rPr>
          <w:bCs/>
          <w:szCs w:val="20"/>
        </w:rPr>
      </w:pPr>
      <w:r w:rsidRPr="00471CBA">
        <w:rPr>
          <w:bCs/>
          <w:szCs w:val="20"/>
        </w:rPr>
        <w:t>Yabancı para krediler hesaplarında izlenen krediler takibe intikal ettiklerinde yabancı para krediler hesaplarında izlenmeye devam edilirler ve cari kurlarla değerlenirler.</w:t>
      </w:r>
    </w:p>
    <w:p w14:paraId="59DF9FF7" w14:textId="77777777" w:rsidR="0097685D" w:rsidRPr="00F36B82" w:rsidRDefault="0097685D" w:rsidP="00F36B82">
      <w:pPr>
        <w:spacing w:line="216" w:lineRule="auto"/>
        <w:ind w:left="868"/>
        <w:jc w:val="both"/>
        <w:rPr>
          <w:bCs/>
          <w:sz w:val="16"/>
          <w:szCs w:val="16"/>
        </w:rPr>
      </w:pPr>
    </w:p>
    <w:p w14:paraId="7A375B52" w14:textId="3270A7AE" w:rsidR="00F115B8" w:rsidRPr="00471CBA" w:rsidRDefault="0097685D" w:rsidP="00F36B82">
      <w:pPr>
        <w:widowControl w:val="0"/>
        <w:autoSpaceDE w:val="0"/>
        <w:autoSpaceDN w:val="0"/>
        <w:adjustRightInd w:val="0"/>
        <w:spacing w:line="216" w:lineRule="auto"/>
        <w:ind w:left="851"/>
        <w:jc w:val="both"/>
        <w:rPr>
          <w:bCs/>
          <w:szCs w:val="20"/>
        </w:rPr>
      </w:pPr>
      <w:r w:rsidRPr="00471CBA">
        <w:rPr>
          <w:bCs/>
          <w:szCs w:val="20"/>
        </w:rPr>
        <w:t>Borçlanmayı temsil eden menkul değerler ile parasal nitelikli finansal varlıkların Türk Lirası’na dönüştürülmesinden kaynaklanan farklar gelir tablosuna dahil edilmektedir.</w:t>
      </w:r>
    </w:p>
    <w:p w14:paraId="26DD7F40" w14:textId="77777777" w:rsidR="000350F9" w:rsidRPr="00F36B82" w:rsidRDefault="000350F9" w:rsidP="00F36B82">
      <w:pPr>
        <w:widowControl w:val="0"/>
        <w:autoSpaceDE w:val="0"/>
        <w:autoSpaceDN w:val="0"/>
        <w:adjustRightInd w:val="0"/>
        <w:spacing w:line="216" w:lineRule="auto"/>
        <w:ind w:left="851"/>
        <w:jc w:val="both"/>
        <w:rPr>
          <w:bCs/>
          <w:sz w:val="16"/>
          <w:szCs w:val="16"/>
        </w:rPr>
      </w:pPr>
    </w:p>
    <w:p w14:paraId="519679BA" w14:textId="77777777" w:rsidR="0099314C" w:rsidRPr="00471CBA" w:rsidRDefault="008762C7" w:rsidP="00F36B82">
      <w:pPr>
        <w:widowControl w:val="0"/>
        <w:autoSpaceDE w:val="0"/>
        <w:autoSpaceDN w:val="0"/>
        <w:adjustRightInd w:val="0"/>
        <w:spacing w:line="216" w:lineRule="auto"/>
        <w:ind w:left="851"/>
        <w:jc w:val="both"/>
        <w:rPr>
          <w:szCs w:val="20"/>
        </w:rPr>
      </w:pPr>
      <w:bookmarkStart w:id="25" w:name="_Hlk212979888"/>
      <w:bookmarkEnd w:id="21"/>
      <w:bookmarkEnd w:id="24"/>
      <w:r w:rsidRPr="00471CBA">
        <w:rPr>
          <w:szCs w:val="20"/>
        </w:rPr>
        <w:t>Aktif ve pasif hesaplarda izlenen ve bir vadeye bağlı olmayan kıymetli maden (altın</w:t>
      </w:r>
      <w:r w:rsidR="00C9586C" w:rsidRPr="00471CBA">
        <w:rPr>
          <w:szCs w:val="20"/>
        </w:rPr>
        <w:t xml:space="preserve"> ve gümüş</w:t>
      </w:r>
      <w:r w:rsidRPr="00471CBA">
        <w:rPr>
          <w:szCs w:val="20"/>
        </w:rPr>
        <w:t xml:space="preserve">) cinsinden varlık ve yükümlülükler dönem sonu </w:t>
      </w:r>
      <w:r w:rsidR="004A5B56" w:rsidRPr="00471CBA">
        <w:rPr>
          <w:szCs w:val="20"/>
        </w:rPr>
        <w:t>Borsa İstanbul referans fiyatlarıyla</w:t>
      </w:r>
      <w:r w:rsidRPr="00471CBA">
        <w:rPr>
          <w:szCs w:val="20"/>
        </w:rPr>
        <w:t xml:space="preserve"> değerlemeye tabi tutularak Türk Lirası’na çevrilmiş ve oluşan değerleme farkları kambiyo işlemleri karı veya zararı olarak kayıtlara yansıtılmıştır.</w:t>
      </w:r>
      <w:r w:rsidR="0097685D" w:rsidRPr="00471CBA">
        <w:rPr>
          <w:szCs w:val="20"/>
        </w:rPr>
        <w:t xml:space="preserve"> </w:t>
      </w:r>
    </w:p>
    <w:bookmarkEnd w:id="25"/>
    <w:p w14:paraId="71EBE2E9" w14:textId="77777777" w:rsidR="0099314C" w:rsidRPr="00F36B82" w:rsidRDefault="0099314C" w:rsidP="00F36B82">
      <w:pPr>
        <w:widowControl w:val="0"/>
        <w:autoSpaceDE w:val="0"/>
        <w:autoSpaceDN w:val="0"/>
        <w:adjustRightInd w:val="0"/>
        <w:spacing w:line="216" w:lineRule="auto"/>
        <w:ind w:left="851"/>
        <w:jc w:val="both"/>
        <w:rPr>
          <w:sz w:val="16"/>
          <w:szCs w:val="16"/>
        </w:rPr>
      </w:pPr>
    </w:p>
    <w:p w14:paraId="6FA27AD9" w14:textId="2FC7FB36" w:rsidR="009D2E02" w:rsidRPr="00471CBA" w:rsidRDefault="00632D27" w:rsidP="00F36B82">
      <w:pPr>
        <w:widowControl w:val="0"/>
        <w:autoSpaceDE w:val="0"/>
        <w:autoSpaceDN w:val="0"/>
        <w:adjustRightInd w:val="0"/>
        <w:spacing w:line="216" w:lineRule="auto"/>
        <w:ind w:left="851"/>
        <w:jc w:val="both"/>
        <w:rPr>
          <w:szCs w:val="20"/>
        </w:rPr>
      </w:pPr>
      <w:r w:rsidRPr="00471CBA">
        <w:rPr>
          <w:szCs w:val="20"/>
        </w:rPr>
        <w:t xml:space="preserve">Banka’nın aktifleştirdiği kur farkı bulunmamaktadır. </w:t>
      </w:r>
    </w:p>
    <w:p w14:paraId="060384B0" w14:textId="77777777" w:rsidR="00CF5C36" w:rsidRPr="00F36B82" w:rsidRDefault="00CF5C36" w:rsidP="00F36B82">
      <w:pPr>
        <w:pStyle w:val="GvdeMetniGirintisi"/>
        <w:widowControl w:val="0"/>
        <w:spacing w:line="216" w:lineRule="auto"/>
        <w:ind w:firstLine="0"/>
        <w:jc w:val="left"/>
        <w:rPr>
          <w:b/>
          <w:sz w:val="16"/>
          <w:szCs w:val="16"/>
        </w:rPr>
      </w:pPr>
    </w:p>
    <w:p w14:paraId="2F0BD239" w14:textId="7FD357EF" w:rsidR="00A70306" w:rsidRPr="00471CBA" w:rsidRDefault="00A70306" w:rsidP="00F36B82">
      <w:pPr>
        <w:pStyle w:val="GvdeMetni2"/>
        <w:widowControl w:val="0"/>
        <w:spacing w:line="216" w:lineRule="auto"/>
        <w:ind w:left="851" w:hanging="851"/>
      </w:pPr>
      <w:r w:rsidRPr="00471CBA">
        <w:t>III.</w:t>
      </w:r>
      <w:r w:rsidRPr="00471CBA">
        <w:tab/>
      </w:r>
      <w:r w:rsidR="000A410D" w:rsidRPr="00471CBA">
        <w:t>VADELİ İŞLEM VE OPSİYON SÖZLEŞMELERİ İLE TÜREV ÜRÜNLERE İLİŞKİN AÇIKLAMALAR</w:t>
      </w:r>
    </w:p>
    <w:p w14:paraId="738CB37D" w14:textId="77777777" w:rsidR="00A70306" w:rsidRPr="00F36B82" w:rsidRDefault="00A70306" w:rsidP="00F36B82">
      <w:pPr>
        <w:widowControl w:val="0"/>
        <w:autoSpaceDE w:val="0"/>
        <w:autoSpaceDN w:val="0"/>
        <w:adjustRightInd w:val="0"/>
        <w:spacing w:line="216" w:lineRule="auto"/>
        <w:jc w:val="both"/>
        <w:rPr>
          <w:color w:val="000000"/>
          <w:sz w:val="16"/>
          <w:szCs w:val="16"/>
        </w:rPr>
      </w:pPr>
    </w:p>
    <w:p w14:paraId="77CEB9FE" w14:textId="69E162BC" w:rsidR="00A70306" w:rsidRPr="00471CBA" w:rsidRDefault="00A70306" w:rsidP="00F36B82">
      <w:pPr>
        <w:widowControl w:val="0"/>
        <w:autoSpaceDE w:val="0"/>
        <w:autoSpaceDN w:val="0"/>
        <w:adjustRightInd w:val="0"/>
        <w:spacing w:line="216" w:lineRule="auto"/>
        <w:ind w:left="851"/>
        <w:jc w:val="both"/>
        <w:rPr>
          <w:color w:val="000000"/>
          <w:szCs w:val="20"/>
        </w:rPr>
      </w:pPr>
      <w:r w:rsidRPr="00471CBA">
        <w:rPr>
          <w:color w:val="000000"/>
          <w:szCs w:val="20"/>
        </w:rPr>
        <w:t>Türev işlemler portföyü piyasa koşullarına göre dönem içinde değişiklik göstermektedir. Banka valörlü spot döviz alım-satım işlemlerini vadeli aktif değerler alım satım taahhütlerinde muhasebeleştirmektedir.</w:t>
      </w:r>
    </w:p>
    <w:p w14:paraId="50C24194" w14:textId="77777777" w:rsidR="00A70306" w:rsidRPr="00F36B82" w:rsidRDefault="00A70306" w:rsidP="00F36B82">
      <w:pPr>
        <w:widowControl w:val="0"/>
        <w:spacing w:line="216" w:lineRule="auto"/>
        <w:rPr>
          <w:sz w:val="16"/>
          <w:szCs w:val="16"/>
        </w:rPr>
      </w:pPr>
    </w:p>
    <w:p w14:paraId="475AB1CB" w14:textId="6E09FAE0" w:rsidR="00553193" w:rsidRPr="00471CBA" w:rsidRDefault="00A70306" w:rsidP="00F36B82">
      <w:pPr>
        <w:widowControl w:val="0"/>
        <w:autoSpaceDE w:val="0"/>
        <w:autoSpaceDN w:val="0"/>
        <w:adjustRightInd w:val="0"/>
        <w:spacing w:line="216" w:lineRule="auto"/>
        <w:ind w:left="851"/>
        <w:jc w:val="both"/>
        <w:rPr>
          <w:color w:val="000000"/>
          <w:szCs w:val="20"/>
        </w:rPr>
      </w:pPr>
      <w:r w:rsidRPr="00471CBA">
        <w:rPr>
          <w:color w:val="000000"/>
          <w:szCs w:val="20"/>
        </w:rPr>
        <w:t>Türev işlemlerden doğan yükümlülük ve alacaklar sözleşme tutarları üzerinden nazım hesaplara kaydedilmektedir.</w:t>
      </w:r>
      <w:r w:rsidRPr="00471CBA">
        <w:rPr>
          <w:szCs w:val="20"/>
        </w:rPr>
        <w:t xml:space="preserve"> </w:t>
      </w:r>
      <w:r w:rsidRPr="00471CBA">
        <w:rPr>
          <w:color w:val="000000"/>
          <w:szCs w:val="20"/>
        </w:rPr>
        <w:t xml:space="preserve">Türev finansal araçlar ilk olarak gerçeğe uygun değerleriyle kayda alınmaktadır. Türev işlemler kayda alınmalarını izleyen dönemlerde; gerçeğe uygun değerin pozitif veya negatif olmasına göre türev finansal varlıkların gerçeğe uygun değer farkı </w:t>
      </w:r>
      <w:r w:rsidR="003A500F" w:rsidRPr="00471CBA">
        <w:rPr>
          <w:color w:val="000000"/>
          <w:szCs w:val="20"/>
        </w:rPr>
        <w:t>kâr</w:t>
      </w:r>
      <w:r w:rsidRPr="00471CBA">
        <w:rPr>
          <w:color w:val="000000"/>
          <w:szCs w:val="20"/>
        </w:rPr>
        <w:t xml:space="preserve"> zarara yansıtılan kısmı veya türev finansal yükümlülüklerin gerçeğe uygun değer farkı </w:t>
      </w:r>
      <w:r w:rsidR="003A500F" w:rsidRPr="00471CBA">
        <w:rPr>
          <w:color w:val="000000"/>
          <w:szCs w:val="20"/>
        </w:rPr>
        <w:t>kâr</w:t>
      </w:r>
      <w:r w:rsidRPr="00471CBA">
        <w:rPr>
          <w:color w:val="000000"/>
          <w:szCs w:val="20"/>
        </w:rPr>
        <w:t xml:space="preserve"> zarara yansıtılan kısmı hesaplarında bilanço içerisinde gösterilmektedir. Yapılan değerleme sonucu gerçeğe uygun değerde meydana gelen farklar, kar veya zarar tablosunda ticari kâr/zarar kaleminde türev finansal işlemlerden kâr/zarar ve kambiyo işlemleri kârı/zararı kalemleri altında muhasebeleştirilmektedir.</w:t>
      </w:r>
    </w:p>
    <w:p w14:paraId="54B6E9A9" w14:textId="77777777" w:rsidR="00553193" w:rsidRPr="00471CBA" w:rsidRDefault="00553193" w:rsidP="00F36B82">
      <w:pPr>
        <w:spacing w:line="216" w:lineRule="auto"/>
        <w:rPr>
          <w:color w:val="000000"/>
          <w:szCs w:val="20"/>
        </w:rPr>
      </w:pPr>
      <w:r w:rsidRPr="00471CBA">
        <w:rPr>
          <w:color w:val="000000"/>
          <w:szCs w:val="20"/>
        </w:rPr>
        <w:br w:type="page"/>
      </w:r>
    </w:p>
    <w:p w14:paraId="4B3A7203" w14:textId="77777777" w:rsidR="009B0E8B" w:rsidRPr="00471CBA" w:rsidRDefault="009B0E8B" w:rsidP="009B0E8B">
      <w:pPr>
        <w:pStyle w:val="GvdeMetniGirintisi"/>
        <w:widowControl w:val="0"/>
        <w:ind w:firstLine="0"/>
        <w:jc w:val="left"/>
        <w:rPr>
          <w:b/>
          <w:szCs w:val="20"/>
        </w:rPr>
      </w:pPr>
      <w:bookmarkStart w:id="26" w:name="_Hlk173918862"/>
      <w:r w:rsidRPr="00471CBA">
        <w:rPr>
          <w:b/>
          <w:szCs w:val="20"/>
        </w:rPr>
        <w:lastRenderedPageBreak/>
        <w:t>MUHASEBE POLİTİKALARINA İLİŞKİN AÇIKLAMALAR (Devamı)</w:t>
      </w:r>
    </w:p>
    <w:p w14:paraId="1C4CD956" w14:textId="77777777" w:rsidR="009B0E8B" w:rsidRPr="00471CBA" w:rsidRDefault="009B0E8B" w:rsidP="0097685D">
      <w:pPr>
        <w:widowControl w:val="0"/>
        <w:autoSpaceDE w:val="0"/>
        <w:autoSpaceDN w:val="0"/>
        <w:adjustRightInd w:val="0"/>
        <w:ind w:left="851" w:hanging="851"/>
        <w:jc w:val="both"/>
        <w:rPr>
          <w:b/>
          <w:szCs w:val="20"/>
        </w:rPr>
      </w:pPr>
    </w:p>
    <w:p w14:paraId="73DA4412" w14:textId="5C2BEDC0" w:rsidR="00A70306" w:rsidRPr="00471CBA" w:rsidRDefault="00A70306" w:rsidP="0097685D">
      <w:pPr>
        <w:widowControl w:val="0"/>
        <w:autoSpaceDE w:val="0"/>
        <w:autoSpaceDN w:val="0"/>
        <w:adjustRightInd w:val="0"/>
        <w:ind w:left="851" w:hanging="851"/>
        <w:jc w:val="both"/>
        <w:rPr>
          <w:b/>
          <w:szCs w:val="20"/>
        </w:rPr>
      </w:pPr>
      <w:r w:rsidRPr="00471CBA">
        <w:rPr>
          <w:b/>
          <w:szCs w:val="20"/>
        </w:rPr>
        <w:t>IV.</w:t>
      </w:r>
      <w:r w:rsidRPr="00471CBA">
        <w:rPr>
          <w:b/>
          <w:szCs w:val="20"/>
        </w:rPr>
        <w:tab/>
      </w:r>
      <w:r w:rsidR="000A410D" w:rsidRPr="00471CBA">
        <w:rPr>
          <w:b/>
          <w:szCs w:val="20"/>
        </w:rPr>
        <w:t>KAR PAYI GELİR VE GİDERİNE İLİŞKİN AÇIKLAMALAR</w:t>
      </w:r>
    </w:p>
    <w:p w14:paraId="1772652C" w14:textId="77777777" w:rsidR="00A70306" w:rsidRPr="00471CBA" w:rsidRDefault="00A70306" w:rsidP="0097685D">
      <w:pPr>
        <w:pStyle w:val="GvdeMetniGirintisi"/>
        <w:widowControl w:val="0"/>
        <w:ind w:firstLine="0"/>
        <w:jc w:val="left"/>
        <w:rPr>
          <w:i/>
          <w:szCs w:val="20"/>
          <w:lang w:eastAsia="tr-TR"/>
        </w:rPr>
      </w:pPr>
    </w:p>
    <w:p w14:paraId="1A9FFB90" w14:textId="559AB9D4" w:rsidR="00A70306" w:rsidRPr="00471CBA" w:rsidRDefault="007468FA" w:rsidP="0097685D">
      <w:pPr>
        <w:pStyle w:val="GvdeMetniGirintisi"/>
        <w:widowControl w:val="0"/>
        <w:ind w:left="851" w:firstLine="0"/>
        <w:jc w:val="left"/>
        <w:rPr>
          <w:i/>
          <w:szCs w:val="20"/>
          <w:lang w:eastAsia="tr-TR"/>
        </w:rPr>
      </w:pPr>
      <w:r w:rsidRPr="00471CBA">
        <w:rPr>
          <w:i/>
          <w:szCs w:val="20"/>
          <w:lang w:eastAsia="tr-TR"/>
        </w:rPr>
        <w:t>Kâr</w:t>
      </w:r>
      <w:r w:rsidR="00A70306" w:rsidRPr="00471CBA">
        <w:rPr>
          <w:i/>
          <w:szCs w:val="20"/>
          <w:lang w:eastAsia="tr-TR"/>
        </w:rPr>
        <w:t xml:space="preserve"> payı gelirleri</w:t>
      </w:r>
    </w:p>
    <w:p w14:paraId="06828E18" w14:textId="77777777" w:rsidR="00A70306" w:rsidRPr="00471CBA" w:rsidRDefault="00A70306" w:rsidP="0097685D">
      <w:pPr>
        <w:pStyle w:val="GvdeMetniGirintisi"/>
        <w:widowControl w:val="0"/>
        <w:ind w:left="851" w:firstLine="0"/>
        <w:jc w:val="left"/>
        <w:rPr>
          <w:i/>
          <w:szCs w:val="20"/>
          <w:lang w:eastAsia="tr-TR"/>
        </w:rPr>
      </w:pPr>
    </w:p>
    <w:p w14:paraId="161A2E2D" w14:textId="6F152ABE" w:rsidR="004B029B" w:rsidRPr="00471CBA" w:rsidRDefault="007468FA" w:rsidP="0097685D">
      <w:pPr>
        <w:widowControl w:val="0"/>
        <w:autoSpaceDE w:val="0"/>
        <w:autoSpaceDN w:val="0"/>
        <w:adjustRightInd w:val="0"/>
        <w:ind w:left="851"/>
        <w:jc w:val="both"/>
        <w:rPr>
          <w:szCs w:val="20"/>
        </w:rPr>
      </w:pPr>
      <w:r w:rsidRPr="00471CBA">
        <w:rPr>
          <w:szCs w:val="20"/>
        </w:rPr>
        <w:t>Kâr</w:t>
      </w:r>
      <w:r w:rsidR="004B029B" w:rsidRPr="00471CBA">
        <w:rPr>
          <w:szCs w:val="20"/>
        </w:rPr>
        <w:t xml:space="preserve"> payı gelirleri, TFRS 9</w:t>
      </w:r>
      <w:r w:rsidR="0036577F" w:rsidRPr="00471CBA">
        <w:rPr>
          <w:szCs w:val="20"/>
        </w:rPr>
        <w:t>’</w:t>
      </w:r>
      <w:r w:rsidR="004B029B" w:rsidRPr="00471CBA">
        <w:rPr>
          <w:szCs w:val="20"/>
        </w:rPr>
        <w:t>da belirlenen finansal varlığın gelecekteki nakit akımlarının bugünkü net değerine eşitleyen iç verim oranı yöntemine göre muhasebeleştirilmekte ve tahakkuk esasına göre kayıtlara yansıtılmaktadır.</w:t>
      </w:r>
    </w:p>
    <w:p w14:paraId="4E379779" w14:textId="77777777" w:rsidR="00A70306" w:rsidRPr="00471CBA" w:rsidRDefault="00A70306" w:rsidP="0097685D">
      <w:pPr>
        <w:widowControl w:val="0"/>
        <w:autoSpaceDE w:val="0"/>
        <w:autoSpaceDN w:val="0"/>
        <w:adjustRightInd w:val="0"/>
        <w:ind w:left="851"/>
        <w:jc w:val="both"/>
        <w:rPr>
          <w:szCs w:val="20"/>
        </w:rPr>
      </w:pPr>
    </w:p>
    <w:p w14:paraId="14575510" w14:textId="57FC394F" w:rsidR="00A70306" w:rsidRPr="00471CBA" w:rsidRDefault="007468FA" w:rsidP="0097685D">
      <w:pPr>
        <w:pStyle w:val="GvdeMetniGirintisi"/>
        <w:widowControl w:val="0"/>
        <w:ind w:left="851" w:firstLine="0"/>
        <w:jc w:val="left"/>
        <w:rPr>
          <w:i/>
          <w:szCs w:val="20"/>
          <w:lang w:eastAsia="tr-TR"/>
        </w:rPr>
      </w:pPr>
      <w:r w:rsidRPr="00471CBA">
        <w:rPr>
          <w:i/>
          <w:szCs w:val="20"/>
          <w:lang w:eastAsia="tr-TR"/>
        </w:rPr>
        <w:t>Kâr</w:t>
      </w:r>
      <w:r w:rsidR="00A70306" w:rsidRPr="00471CBA">
        <w:rPr>
          <w:i/>
          <w:szCs w:val="20"/>
          <w:lang w:eastAsia="tr-TR"/>
        </w:rPr>
        <w:t xml:space="preserve"> payı giderleri</w:t>
      </w:r>
    </w:p>
    <w:p w14:paraId="75671496" w14:textId="77777777" w:rsidR="00A70306" w:rsidRPr="00471CBA" w:rsidRDefault="00A70306" w:rsidP="0097685D">
      <w:pPr>
        <w:pStyle w:val="GvdeMetniGirintisi"/>
        <w:widowControl w:val="0"/>
        <w:ind w:left="851" w:firstLine="0"/>
        <w:jc w:val="left"/>
        <w:rPr>
          <w:i/>
          <w:szCs w:val="20"/>
          <w:lang w:eastAsia="tr-TR"/>
        </w:rPr>
      </w:pPr>
    </w:p>
    <w:p w14:paraId="0E8DAD2A" w14:textId="72650DA0" w:rsidR="00A70306" w:rsidRPr="00471CBA" w:rsidRDefault="00A70306" w:rsidP="0097685D">
      <w:pPr>
        <w:pStyle w:val="GvdeMetni"/>
        <w:widowControl w:val="0"/>
        <w:tabs>
          <w:tab w:val="clear" w:pos="0"/>
          <w:tab w:val="clear" w:pos="567"/>
          <w:tab w:val="clear" w:pos="720"/>
        </w:tabs>
        <w:ind w:left="851"/>
        <w:rPr>
          <w:color w:val="auto"/>
          <w:lang w:eastAsia="tr-TR"/>
        </w:rPr>
      </w:pPr>
      <w:r w:rsidRPr="00471CBA">
        <w:rPr>
          <w:color w:val="auto"/>
          <w:lang w:eastAsia="tr-TR"/>
        </w:rPr>
        <w:t xml:space="preserve">Banka, </w:t>
      </w:r>
      <w:r w:rsidR="007468FA" w:rsidRPr="00471CBA">
        <w:rPr>
          <w:color w:val="auto"/>
          <w:lang w:eastAsia="tr-TR"/>
        </w:rPr>
        <w:t>kâr</w:t>
      </w:r>
      <w:r w:rsidRPr="00471CBA">
        <w:rPr>
          <w:color w:val="auto"/>
          <w:lang w:eastAsia="tr-TR"/>
        </w:rPr>
        <w:t xml:space="preserve"> payı giderlerini tahakkuk esasına göre muhasebeleştirmektedir. Kar/zarar katılma hesapları üzerinden birim değer hesaplama yöntemine göre hesaplanan gider reeskontu, bilançoda “Toplanan Fonlar” hesabı üzerinde gösterilmiştir.</w:t>
      </w:r>
    </w:p>
    <w:bookmarkEnd w:id="26"/>
    <w:p w14:paraId="7FA12229" w14:textId="77777777" w:rsidR="00332B3C" w:rsidRPr="00471CBA" w:rsidRDefault="00332B3C" w:rsidP="0097685D">
      <w:pPr>
        <w:pStyle w:val="GvdeMetni"/>
        <w:widowControl w:val="0"/>
        <w:tabs>
          <w:tab w:val="clear" w:pos="0"/>
          <w:tab w:val="clear" w:pos="567"/>
          <w:tab w:val="clear" w:pos="720"/>
        </w:tabs>
        <w:ind w:left="851"/>
        <w:rPr>
          <w:color w:val="auto"/>
          <w:lang w:eastAsia="tr-TR"/>
        </w:rPr>
      </w:pPr>
    </w:p>
    <w:p w14:paraId="697A69A2" w14:textId="089874B0" w:rsidR="00332B3C" w:rsidRPr="00471CBA" w:rsidRDefault="00332B3C" w:rsidP="0097685D">
      <w:pPr>
        <w:pStyle w:val="GvdeMetni"/>
        <w:widowControl w:val="0"/>
        <w:tabs>
          <w:tab w:val="clear" w:pos="0"/>
          <w:tab w:val="clear" w:pos="567"/>
          <w:tab w:val="clear" w:pos="720"/>
        </w:tabs>
        <w:ind w:left="851" w:hanging="851"/>
        <w:rPr>
          <w:b/>
          <w:color w:val="auto"/>
        </w:rPr>
      </w:pPr>
      <w:r w:rsidRPr="00471CBA">
        <w:rPr>
          <w:b/>
          <w:color w:val="auto"/>
        </w:rPr>
        <w:t>V.</w:t>
      </w:r>
      <w:r w:rsidRPr="00471CBA">
        <w:t xml:space="preserve"> </w:t>
      </w:r>
      <w:r w:rsidRPr="00471CBA">
        <w:tab/>
      </w:r>
      <w:r w:rsidR="000A410D" w:rsidRPr="00471CBA">
        <w:rPr>
          <w:b/>
          <w:color w:val="auto"/>
        </w:rPr>
        <w:t>ÜCRET VE KOMİSYON GELİR VE GİDERLERİNE İLİŞKİN AÇIKLAMALAR</w:t>
      </w:r>
    </w:p>
    <w:p w14:paraId="18336B9B" w14:textId="77777777" w:rsidR="00332B3C" w:rsidRPr="00471CBA" w:rsidRDefault="00332B3C" w:rsidP="0097685D">
      <w:pPr>
        <w:pStyle w:val="GvdeMetniGirintisi"/>
        <w:widowControl w:val="0"/>
        <w:ind w:firstLine="0"/>
        <w:rPr>
          <w:szCs w:val="20"/>
        </w:rPr>
      </w:pPr>
    </w:p>
    <w:p w14:paraId="6C36F01E" w14:textId="77777777" w:rsidR="006C3FA6" w:rsidRPr="00471CBA" w:rsidRDefault="006C3FA6" w:rsidP="006C3FA6">
      <w:pPr>
        <w:widowControl w:val="0"/>
        <w:ind w:left="851"/>
        <w:jc w:val="both"/>
        <w:rPr>
          <w:szCs w:val="20"/>
        </w:rPr>
      </w:pPr>
      <w:r w:rsidRPr="00471CBA">
        <w:rPr>
          <w:szCs w:val="20"/>
        </w:rPr>
        <w:t>Tahsil edildikleri dönemde gelir veya gider kaydedilen bazı bankacılık işlemlerinden alınan ücret ve komisyon gelir ve giderleri dışında, ücret ve komisyon gelir ve giderleri ilişkilendirilen işlemin süresine bağlı olarak gelir tablosuna yansıtılmaktadır. İtfa edilmiş maliyeti ile ölçülen finansal enstrümanların etkin kar oranının ayrılmaz bir parçası olanlar dışındaki ücret ve komisyonlar, TFRS 15 Müşteri Sözleşmelerinden Hasılat standardına uygun olarak muhasebeleştirilmektedir.</w:t>
      </w:r>
    </w:p>
    <w:p w14:paraId="12A69CAC" w14:textId="77777777" w:rsidR="006C3FA6" w:rsidRPr="00471CBA" w:rsidRDefault="006C3FA6" w:rsidP="006C3FA6">
      <w:pPr>
        <w:widowControl w:val="0"/>
        <w:ind w:left="851"/>
        <w:jc w:val="both"/>
        <w:rPr>
          <w:sz w:val="14"/>
          <w:szCs w:val="14"/>
        </w:rPr>
      </w:pPr>
    </w:p>
    <w:p w14:paraId="1CD52A02" w14:textId="77777777" w:rsidR="006C3FA6" w:rsidRPr="00471CBA" w:rsidRDefault="006C3FA6" w:rsidP="006C3FA6">
      <w:pPr>
        <w:widowControl w:val="0"/>
        <w:ind w:left="851"/>
        <w:jc w:val="both"/>
        <w:rPr>
          <w:szCs w:val="20"/>
        </w:rPr>
      </w:pPr>
      <w:r w:rsidRPr="00471CBA">
        <w:rPr>
          <w:szCs w:val="20"/>
        </w:rPr>
        <w:t xml:space="preserve">Banka tarafından kullandırılan nakdi ve </w:t>
      </w:r>
      <w:proofErr w:type="spellStart"/>
      <w:r w:rsidRPr="00471CBA">
        <w:rPr>
          <w:szCs w:val="20"/>
        </w:rPr>
        <w:t>gayrinakdi</w:t>
      </w:r>
      <w:proofErr w:type="spellEnd"/>
      <w:r w:rsidRPr="00471CBA">
        <w:rPr>
          <w:szCs w:val="20"/>
        </w:rPr>
        <w:t xml:space="preserve"> krediler için peşin tahsil edilen ücret ve komisyonların dönemi ilgilendiren bölümü TFRS hükümleri çerçevesinde sırasıyla iç verim yöntemi ve ilgili kredinin komisyon dönemi içerisinde doğrusal olarak dönem gelirlerine yansıtılmaktadır. Peşin tahsil edilen ücret ve komisyonların gelecek döneme ilişkin kısımları ise “Kazanılmamış Gelirler” hesabına kaydedilerek bilançoda “Diğer Yükümlülükler” içerisinde gösterilmektedir. Nakdi kredilerden alınan komisyonların döneme isabet eden kısmı gelir tablosunda “Kredilerden Alınan Kar Payları” kaleminde gösterilmektedir.</w:t>
      </w:r>
    </w:p>
    <w:p w14:paraId="38B9590E" w14:textId="77777777" w:rsidR="006C3FA6" w:rsidRPr="00471CBA" w:rsidRDefault="006C3FA6" w:rsidP="006C3FA6">
      <w:pPr>
        <w:widowControl w:val="0"/>
        <w:ind w:left="851"/>
        <w:jc w:val="both"/>
        <w:rPr>
          <w:sz w:val="10"/>
          <w:szCs w:val="10"/>
        </w:rPr>
      </w:pPr>
    </w:p>
    <w:p w14:paraId="5C95EF8E" w14:textId="77777777" w:rsidR="00776AB1" w:rsidRPr="00471CBA" w:rsidRDefault="006C3FA6" w:rsidP="006C3FA6">
      <w:pPr>
        <w:widowControl w:val="0"/>
        <w:ind w:left="851"/>
        <w:jc w:val="both"/>
        <w:rPr>
          <w:szCs w:val="20"/>
        </w:rPr>
      </w:pPr>
      <w:r w:rsidRPr="00471CBA">
        <w:rPr>
          <w:szCs w:val="20"/>
        </w:rPr>
        <w:t xml:space="preserve">BDDK’nın 8 Haziran 2012 tarih ve B.02.1.BDK.0.13.00.0-91.11-12061 sayılı yazısı ile uzun vadeli </w:t>
      </w:r>
      <w:proofErr w:type="spellStart"/>
      <w:r w:rsidRPr="00471CBA">
        <w:rPr>
          <w:szCs w:val="20"/>
        </w:rPr>
        <w:t>gayrinakdi</w:t>
      </w:r>
      <w:proofErr w:type="spellEnd"/>
      <w:r w:rsidRPr="00471CBA">
        <w:rPr>
          <w:szCs w:val="20"/>
        </w:rPr>
        <w:t xml:space="preserve"> kredilerden üçer aylık ya da üçer aydan daha kısa periyotlarla tahsil edilen komisyonların doğrudan gelir kaydedilmesinde sakınca bulunmadığı ifade edilmiş olup, Banka söz konusu nakdi ve </w:t>
      </w:r>
      <w:proofErr w:type="spellStart"/>
      <w:r w:rsidRPr="00471CBA">
        <w:rPr>
          <w:szCs w:val="20"/>
        </w:rPr>
        <w:t>gayrinakdi</w:t>
      </w:r>
      <w:proofErr w:type="spellEnd"/>
      <w:r w:rsidRPr="00471CBA">
        <w:rPr>
          <w:szCs w:val="20"/>
        </w:rPr>
        <w:t xml:space="preserve"> kredi komisyonlarını doğrudan gelir kaydetmektedir.</w:t>
      </w:r>
    </w:p>
    <w:p w14:paraId="3B0511BD" w14:textId="77777777" w:rsidR="00776AB1" w:rsidRPr="00471CBA" w:rsidRDefault="00776AB1" w:rsidP="006C3FA6">
      <w:pPr>
        <w:widowControl w:val="0"/>
        <w:ind w:left="851"/>
        <w:jc w:val="both"/>
        <w:rPr>
          <w:sz w:val="14"/>
          <w:szCs w:val="14"/>
        </w:rPr>
      </w:pPr>
    </w:p>
    <w:p w14:paraId="2AF1E19E" w14:textId="0523EF8B" w:rsidR="00776AB1" w:rsidRPr="00471CBA" w:rsidRDefault="00776AB1" w:rsidP="00776AB1">
      <w:pPr>
        <w:pStyle w:val="GvdeMetni"/>
        <w:widowControl w:val="0"/>
        <w:tabs>
          <w:tab w:val="clear" w:pos="0"/>
          <w:tab w:val="clear" w:pos="567"/>
          <w:tab w:val="clear" w:pos="720"/>
        </w:tabs>
        <w:ind w:left="851" w:hanging="851"/>
        <w:rPr>
          <w:b/>
          <w:color w:val="auto"/>
        </w:rPr>
      </w:pPr>
      <w:r w:rsidRPr="00471CBA">
        <w:rPr>
          <w:b/>
          <w:color w:val="auto"/>
        </w:rPr>
        <w:t>VI.</w:t>
      </w:r>
      <w:r w:rsidRPr="00471CBA">
        <w:rPr>
          <w:b/>
          <w:color w:val="auto"/>
        </w:rPr>
        <w:tab/>
        <w:t>FİNANSAL VARLIKLARA İLİŞKİN AÇIKLAMALAR</w:t>
      </w:r>
    </w:p>
    <w:p w14:paraId="4EA95461" w14:textId="77777777" w:rsidR="006E1B4C" w:rsidRPr="00471CBA" w:rsidRDefault="006E1B4C" w:rsidP="00776AB1">
      <w:pPr>
        <w:pStyle w:val="GvdeMetni"/>
        <w:widowControl w:val="0"/>
        <w:tabs>
          <w:tab w:val="clear" w:pos="0"/>
          <w:tab w:val="clear" w:pos="567"/>
          <w:tab w:val="clear" w:pos="720"/>
        </w:tabs>
        <w:ind w:left="851" w:hanging="851"/>
        <w:rPr>
          <w:b/>
          <w:color w:val="auto"/>
          <w:sz w:val="12"/>
          <w:szCs w:val="12"/>
        </w:rPr>
      </w:pPr>
    </w:p>
    <w:p w14:paraId="1C693E8C" w14:textId="77777777" w:rsidR="00776AB1" w:rsidRPr="00471CBA" w:rsidRDefault="00776AB1" w:rsidP="00776AB1">
      <w:pPr>
        <w:spacing w:line="223" w:lineRule="auto"/>
        <w:ind w:left="851"/>
        <w:jc w:val="both"/>
        <w:rPr>
          <w:szCs w:val="20"/>
        </w:rPr>
      </w:pPr>
      <w:r w:rsidRPr="00471CBA">
        <w:rPr>
          <w:szCs w:val="20"/>
        </w:rPr>
        <w:t xml:space="preserve">Banka, finansal varlıklarını “Gerçeğe Uygun Değer Farkı Kâr/Zarara Yansıtılan Finansal Varlıklar”, “Gerçeğe Uygun Değer Farkı Diğer Kapsamlı Gelire Yansıtılan Finansal Varlıklar” veya “İtfa Edilmiş Maliyeti ile Ölçülen Finansal Varlıklar” olarak sınıflandırmakta ve muhasebeleştirmektedir. İlgili finansal varlıklar, Kamu Gözetimi Muhasebe ve Denetim Standartları Kurumu (KGK) tarafından 19 Ocak 2017 tarihli ve 29953 sayılı Resmî </w:t>
      </w:r>
      <w:proofErr w:type="spellStart"/>
      <w:r w:rsidRPr="00471CBA">
        <w:rPr>
          <w:szCs w:val="20"/>
        </w:rPr>
        <w:t>Gazete’de</w:t>
      </w:r>
      <w:proofErr w:type="spellEnd"/>
      <w:r w:rsidRPr="00471CBA">
        <w:rPr>
          <w:szCs w:val="20"/>
        </w:rPr>
        <w:t xml:space="preserve"> yayımlanan finansal araçların sınıflandırılması ve ölçümüne ilişkin “TFRS 9 Finansal Araçlar” standardının üçüncü bölümünde yer alan “Finansal Tablolara Alma ve Finansal Tablo Dışı Bırakma” hükümlerine göre muhasebeleştirilmekte veya kayıtlardan çıkarılmaktadır.</w:t>
      </w:r>
    </w:p>
    <w:p w14:paraId="0C9133AA" w14:textId="77777777" w:rsidR="00776AB1" w:rsidRPr="00471CBA" w:rsidRDefault="00776AB1" w:rsidP="00776AB1">
      <w:pPr>
        <w:spacing w:line="223" w:lineRule="auto"/>
        <w:ind w:left="851"/>
        <w:jc w:val="both"/>
        <w:rPr>
          <w:sz w:val="14"/>
          <w:szCs w:val="14"/>
        </w:rPr>
      </w:pPr>
    </w:p>
    <w:p w14:paraId="3977BA14" w14:textId="77777777" w:rsidR="00776AB1" w:rsidRPr="00471CBA" w:rsidRDefault="00776AB1" w:rsidP="00776AB1">
      <w:pPr>
        <w:widowControl w:val="0"/>
        <w:spacing w:line="223" w:lineRule="auto"/>
        <w:ind w:left="851"/>
        <w:jc w:val="both"/>
        <w:rPr>
          <w:szCs w:val="20"/>
        </w:rPr>
      </w:pPr>
      <w:r w:rsidRPr="00471CBA">
        <w:rPr>
          <w:szCs w:val="20"/>
        </w:rPr>
        <w:t>İlk kez finansal tablolara alınan finansal varlıklar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Banka, finansal bir varlığı sadece finansal araca ilişkin sözleşme hükümlerine taraf olduğunda finansal durum tablosuna almaktadır. Finansal bir varlığın ilk kez finansal tablolara alınması sırasında, Banka tarafından belirlenen iş modeli ve finansal varlığın sözleşmeye bağlı nakit akışlarının özellikleri göz önünde bulundurulmaktadır.</w:t>
      </w:r>
    </w:p>
    <w:p w14:paraId="51F00538" w14:textId="38FE1C3B" w:rsidR="00F36B82" w:rsidRDefault="00776AB1" w:rsidP="00F36B82">
      <w:pPr>
        <w:widowControl w:val="0"/>
        <w:spacing w:before="120" w:after="120" w:line="223" w:lineRule="auto"/>
        <w:ind w:left="851"/>
        <w:jc w:val="both"/>
        <w:rPr>
          <w:b/>
          <w:szCs w:val="20"/>
        </w:rPr>
      </w:pPr>
      <w:r w:rsidRPr="00471CBA">
        <w:rPr>
          <w:rStyle w:val="ui-provider"/>
        </w:rPr>
        <w:t xml:space="preserve">Banka’nın itfa edilmiş maliyeti ile ölçülen menkul kıymet portföylerinde tüketici fiyatlarına (“TÜFE”) endeksli </w:t>
      </w:r>
      <w:proofErr w:type="spellStart"/>
      <w:r w:rsidRPr="00471CBA">
        <w:rPr>
          <w:rStyle w:val="ui-provider"/>
        </w:rPr>
        <w:t>sukukları</w:t>
      </w:r>
      <w:proofErr w:type="spellEnd"/>
      <w:r w:rsidRPr="00471CBA">
        <w:rPr>
          <w:rStyle w:val="ui-provider"/>
        </w:rPr>
        <w:t xml:space="preserve"> bulunmaktadır. Söz konusu </w:t>
      </w:r>
      <w:proofErr w:type="spellStart"/>
      <w:r w:rsidRPr="00471CBA">
        <w:rPr>
          <w:rStyle w:val="ui-provider"/>
        </w:rPr>
        <w:t>sukukların</w:t>
      </w:r>
      <w:proofErr w:type="spellEnd"/>
      <w:r w:rsidRPr="00471CBA">
        <w:rPr>
          <w:rStyle w:val="ui-provider"/>
        </w:rPr>
        <w:t xml:space="preserve"> yıl içerisindeki değerlemeleri reel kupon oranları ve hazine referans endeksi baz alınarak etkin iç verim oranı yöntemine göre yapılmaktadır. Bu kıymetlerin fiili kupon ödeme tutarları, alış-satış işlemleri ile yılsonu değerlemelerinde ise hazine tarafından açıklanan endeks değerleri kullanılmaktadır. </w:t>
      </w:r>
      <w:proofErr w:type="spellStart"/>
      <w:r w:rsidRPr="00471CBA">
        <w:rPr>
          <w:rStyle w:val="ui-provider"/>
        </w:rPr>
        <w:t>TÜFE’li</w:t>
      </w:r>
      <w:proofErr w:type="spellEnd"/>
      <w:r w:rsidRPr="00471CBA">
        <w:rPr>
          <w:rStyle w:val="ui-provider"/>
        </w:rPr>
        <w:t xml:space="preserve"> kıymetlere ilişkin endeks hesaplamaları T.C. Hazine ve Maliye Bakanlığı’nın TÜFE’ye Endeksli Tahviller Yatırımcı Kılavuzunda belirtildiği yöntem ile yapılmaktadır.</w:t>
      </w:r>
      <w:r w:rsidR="00F36B82">
        <w:rPr>
          <w:b/>
          <w:szCs w:val="20"/>
        </w:rPr>
        <w:br w:type="page"/>
      </w:r>
    </w:p>
    <w:p w14:paraId="0FC7EE6D" w14:textId="7A455C3A" w:rsidR="000A410D" w:rsidRPr="00471CBA" w:rsidRDefault="000A410D" w:rsidP="00B04983">
      <w:pPr>
        <w:pStyle w:val="GvdeMetniGirintisi"/>
        <w:widowControl w:val="0"/>
        <w:spacing w:after="120" w:line="223" w:lineRule="auto"/>
        <w:ind w:firstLine="0"/>
        <w:rPr>
          <w:b/>
          <w:szCs w:val="20"/>
        </w:rPr>
      </w:pPr>
      <w:r w:rsidRPr="00471CBA">
        <w:rPr>
          <w:b/>
          <w:szCs w:val="20"/>
        </w:rPr>
        <w:lastRenderedPageBreak/>
        <w:t xml:space="preserve">MUHASEBE POLİTİKALARINA İLİŞKİN AÇIKLAMALAR (Devamı) </w:t>
      </w:r>
    </w:p>
    <w:p w14:paraId="7D6E8614" w14:textId="297442F1" w:rsidR="00332B3C" w:rsidRPr="00471CBA" w:rsidRDefault="00332B3C" w:rsidP="004B5EBD">
      <w:pPr>
        <w:pStyle w:val="GvdeMetni"/>
        <w:widowControl w:val="0"/>
        <w:tabs>
          <w:tab w:val="clear" w:pos="0"/>
          <w:tab w:val="clear" w:pos="567"/>
          <w:tab w:val="clear" w:pos="720"/>
        </w:tabs>
        <w:spacing w:after="120" w:line="223" w:lineRule="auto"/>
        <w:ind w:left="851" w:hanging="851"/>
        <w:rPr>
          <w:b/>
          <w:color w:val="auto"/>
        </w:rPr>
      </w:pPr>
      <w:r w:rsidRPr="00471CBA">
        <w:rPr>
          <w:b/>
          <w:color w:val="auto"/>
        </w:rPr>
        <w:t>VI.</w:t>
      </w:r>
      <w:r w:rsidRPr="00471CBA">
        <w:rPr>
          <w:b/>
          <w:color w:val="auto"/>
        </w:rPr>
        <w:tab/>
      </w:r>
      <w:r w:rsidR="000A410D" w:rsidRPr="00471CBA">
        <w:rPr>
          <w:b/>
          <w:color w:val="auto"/>
        </w:rPr>
        <w:t>FİNANSAL VARLIKLARA İLİŞKİN AÇIKLAMALAR</w:t>
      </w:r>
      <w:r w:rsidR="00776AB1" w:rsidRPr="00471CBA">
        <w:rPr>
          <w:b/>
          <w:color w:val="auto"/>
        </w:rPr>
        <w:t xml:space="preserve"> (Devamı)</w:t>
      </w:r>
    </w:p>
    <w:p w14:paraId="63F437FC" w14:textId="0828D63B" w:rsidR="00332B3C" w:rsidRPr="00471CBA" w:rsidRDefault="00332B3C" w:rsidP="004B5EBD">
      <w:pPr>
        <w:pStyle w:val="ListeParagraf"/>
        <w:widowControl w:val="0"/>
        <w:numPr>
          <w:ilvl w:val="0"/>
          <w:numId w:val="41"/>
        </w:numPr>
        <w:spacing w:after="120" w:line="223" w:lineRule="auto"/>
        <w:ind w:left="851" w:hanging="851"/>
        <w:rPr>
          <w:b/>
          <w:szCs w:val="20"/>
        </w:rPr>
      </w:pPr>
      <w:r w:rsidRPr="00471CBA">
        <w:rPr>
          <w:b/>
          <w:bCs/>
          <w:szCs w:val="20"/>
        </w:rPr>
        <w:t>Gerçeğe uygun değer farkı kar/zarara yansıtılan finansal varlıklar:</w:t>
      </w:r>
    </w:p>
    <w:p w14:paraId="723A4294" w14:textId="225A3CC0" w:rsidR="00332B3C" w:rsidRPr="00471CBA" w:rsidRDefault="00332B3C" w:rsidP="00776AB1">
      <w:pPr>
        <w:widowControl w:val="0"/>
        <w:spacing w:after="120" w:line="223" w:lineRule="auto"/>
        <w:ind w:left="851"/>
        <w:jc w:val="both"/>
        <w:rPr>
          <w:szCs w:val="20"/>
        </w:rPr>
      </w:pPr>
      <w:r w:rsidRPr="00471CBA">
        <w:rPr>
          <w:szCs w:val="20"/>
        </w:rPr>
        <w:t>Gerçeğe uygun değer farkı kâr/zarara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finansal varlıklar ile finansal varlığa ilişkin sözleşme şartlarının, belirli tarihlerde sadece anapara ve anapara bakiyesinden kaynaklanan kar payı ödemelerini içeren nakit akışlarına yol açmaması durumunda; piyasada kısa dönemde oluşan fiyat ve benzeri unsurlardaki dalgalanmalardan kar sağlamak amacıyla elde edilen veya elde edilme nedeninden bağımsız olarak, kısa dönemde kar sağlamaya yönelik bir portföyün parçası olan finansal varlıklardır. Gerçeğe uygun değer farkı kâr/zarara yansıtılan finansal varlıklar, gerçeğe uygun değerleri ile kayda alınmakta ve kayda alınmalarını takiben de gerçeğe uygun değerleri ile değerlemeye tabi tutulmaktadır. Yapılan değerleme sonucu oluşan kazanç ve kayıplar kâr/zarar hesaplarına dahil edilmektedir.</w:t>
      </w:r>
    </w:p>
    <w:p w14:paraId="401910D1" w14:textId="14926FE4" w:rsidR="00332B3C" w:rsidRPr="00471CBA" w:rsidRDefault="00332B3C" w:rsidP="004B5EBD">
      <w:pPr>
        <w:pStyle w:val="ListeParagraf"/>
        <w:widowControl w:val="0"/>
        <w:numPr>
          <w:ilvl w:val="0"/>
          <w:numId w:val="41"/>
        </w:numPr>
        <w:spacing w:after="120" w:line="223" w:lineRule="auto"/>
        <w:ind w:left="851" w:hanging="851"/>
        <w:rPr>
          <w:b/>
          <w:bCs/>
          <w:szCs w:val="20"/>
        </w:rPr>
      </w:pPr>
      <w:r w:rsidRPr="00471CBA">
        <w:rPr>
          <w:b/>
          <w:bCs/>
          <w:szCs w:val="20"/>
        </w:rPr>
        <w:t>Gerçeğe uygun değer farkı diğer kapsamlı gelire yansıtılan finansal varlıklar:</w:t>
      </w:r>
    </w:p>
    <w:p w14:paraId="4B26F61E" w14:textId="77777777" w:rsidR="00332B3C" w:rsidRPr="00471CBA" w:rsidRDefault="00332B3C" w:rsidP="00776AB1">
      <w:pPr>
        <w:widowControl w:val="0"/>
        <w:autoSpaceDE w:val="0"/>
        <w:autoSpaceDN w:val="0"/>
        <w:adjustRightInd w:val="0"/>
        <w:spacing w:line="223" w:lineRule="auto"/>
        <w:ind w:left="851"/>
        <w:jc w:val="both"/>
        <w:rPr>
          <w:szCs w:val="20"/>
        </w:rPr>
      </w:pPr>
      <w:r w:rsidRPr="00471CBA">
        <w:rPr>
          <w:szCs w:val="20"/>
        </w:rPr>
        <w:t xml:space="preserve">Gerçeğe uygun değer farkı diğer kapsamlı gelire yansıtılan finansal varlıklar ilk kayda alınmalarında gerçeğe uygun değerlerini yansıtan elde etme maliyet bedellerine, işlem maliyetlerinin eklenmesi ile muhasebeleştirilmektedir. İlk kayda alımdan sonra gerçeğe uygun değer farkı diğer kapsamlı gelire yansıtılan borçlanma senetlerinin müteakip değerlemesi gerçeğe uygun değeri üzerinden yapılmakta ve gerçeğe uygun değerdeki değişikliklerden kaynaklanan ve menkullerin iskonto edilmiş değeri ile gerçeğe uygun değeri arasındaki farkı ifade eden gerçekleşmemiş kar veya zararlar özkaynak kalemleri içerisinde “Kâr veya Zararda Yeniden Sınıflandırılacak Birikmiş Diğer Kapsamlı Gelirler veya Giderler” hesabı altında gösterilmektedir. Gerçeğe uygun değer farkı diğer kapsamlı gelire yansıtılan finansal varlıkların elden çıkarılması durumunda özkaynaklarda “Kâr veya Zararda Yeniden Sınıflandırılacak Birikmiş Diğer Kapsamlı Gelirler veya Giderler” hesabında izlenen bunlara ait değer artış/azalışları gelir tablosuna devredilir. Gerçeğe uygun değer farkı diğer kapsamlı gelire yansıtılan finansal varlık olarak sınıflandırılan ve </w:t>
      </w:r>
      <w:proofErr w:type="spellStart"/>
      <w:r w:rsidRPr="00471CBA">
        <w:rPr>
          <w:szCs w:val="20"/>
        </w:rPr>
        <w:t>kote</w:t>
      </w:r>
      <w:proofErr w:type="spellEnd"/>
      <w:r w:rsidRPr="00471CBA">
        <w:rPr>
          <w:szCs w:val="20"/>
        </w:rPr>
        <w:t xml:space="preserve"> olmayan </w:t>
      </w:r>
      <w:proofErr w:type="spellStart"/>
      <w:r w:rsidRPr="00471CBA">
        <w:rPr>
          <w:szCs w:val="20"/>
        </w:rPr>
        <w:t>özkaynağa</w:t>
      </w:r>
      <w:proofErr w:type="spellEnd"/>
      <w:r w:rsidRPr="00471CBA">
        <w:rPr>
          <w:szCs w:val="20"/>
        </w:rPr>
        <w:t xml:space="preserve"> dayalı araçlar ise maliyet değerlerinden varsa değer düşüklükleri indirildikten sonraki değerleri ile kayda alınmaktadır.</w:t>
      </w:r>
    </w:p>
    <w:p w14:paraId="1E956299" w14:textId="77777777" w:rsidR="00332B3C" w:rsidRPr="00471CBA" w:rsidRDefault="00332B3C" w:rsidP="00B04983">
      <w:pPr>
        <w:widowControl w:val="0"/>
        <w:spacing w:line="223" w:lineRule="auto"/>
        <w:ind w:left="426"/>
        <w:jc w:val="both"/>
        <w:rPr>
          <w:sz w:val="14"/>
          <w:szCs w:val="14"/>
        </w:rPr>
      </w:pPr>
    </w:p>
    <w:p w14:paraId="621A41D0" w14:textId="77777777" w:rsidR="000B65E2" w:rsidRPr="00471CBA" w:rsidRDefault="000B65E2" w:rsidP="004B5EBD">
      <w:pPr>
        <w:pStyle w:val="ListeParagraf"/>
        <w:widowControl w:val="0"/>
        <w:numPr>
          <w:ilvl w:val="0"/>
          <w:numId w:val="41"/>
        </w:numPr>
        <w:spacing w:after="120" w:line="223" w:lineRule="auto"/>
        <w:ind w:left="851" w:hanging="851"/>
        <w:rPr>
          <w:b/>
          <w:bCs/>
          <w:szCs w:val="20"/>
        </w:rPr>
      </w:pPr>
      <w:r w:rsidRPr="00471CBA">
        <w:rPr>
          <w:b/>
          <w:bCs/>
          <w:szCs w:val="20"/>
        </w:rPr>
        <w:t>İtfa edilmiş maliyet ile ölçülen finansal varlıklar</w:t>
      </w:r>
    </w:p>
    <w:p w14:paraId="6CA8619C" w14:textId="2307E059" w:rsidR="000B65E2" w:rsidRPr="00471CBA" w:rsidRDefault="000B65E2" w:rsidP="00776AB1">
      <w:pPr>
        <w:widowControl w:val="0"/>
        <w:autoSpaceDE w:val="0"/>
        <w:autoSpaceDN w:val="0"/>
        <w:adjustRightInd w:val="0"/>
        <w:spacing w:line="223" w:lineRule="auto"/>
        <w:ind w:left="851"/>
        <w:jc w:val="both"/>
        <w:rPr>
          <w:szCs w:val="20"/>
        </w:rPr>
      </w:pPr>
      <w:r w:rsidRPr="00471CBA">
        <w:rPr>
          <w:szCs w:val="20"/>
        </w:rPr>
        <w:t xml:space="preserve">Finansal varlığın, sözleşmeye bağlı nakit akışlarının tahsil edilmesini amaçlayan bir iş modeli kapsamında elde tutulması ve finansal varlığa ilişkin sözleşme şartlarının, belirli tarihlerde sadece anapara ve anapara bakiyesinden kaynaklanan </w:t>
      </w:r>
      <w:r w:rsidR="0011757C" w:rsidRPr="00471CBA">
        <w:rPr>
          <w:szCs w:val="20"/>
        </w:rPr>
        <w:t>kâr</w:t>
      </w:r>
      <w:r w:rsidRPr="00471CBA">
        <w:rPr>
          <w:szCs w:val="20"/>
        </w:rPr>
        <w:t xml:space="preserve"> payı ödemelerini içeren nakit akışlarına yol açması durumunda finansal varlık itfa edilmiş maliyeti ile ölçülen finansal varlık olarak sınıflandırılmaktadır.</w:t>
      </w:r>
    </w:p>
    <w:p w14:paraId="12B59735" w14:textId="77777777" w:rsidR="000B65E2" w:rsidRPr="00471CBA" w:rsidRDefault="000B65E2" w:rsidP="00776AB1">
      <w:pPr>
        <w:widowControl w:val="0"/>
        <w:autoSpaceDE w:val="0"/>
        <w:autoSpaceDN w:val="0"/>
        <w:adjustRightInd w:val="0"/>
        <w:spacing w:line="223" w:lineRule="auto"/>
        <w:ind w:left="851"/>
        <w:jc w:val="both"/>
        <w:rPr>
          <w:sz w:val="14"/>
          <w:szCs w:val="14"/>
        </w:rPr>
      </w:pPr>
    </w:p>
    <w:p w14:paraId="1CE65E42" w14:textId="091C209D" w:rsidR="00776AB1" w:rsidRPr="00471CBA" w:rsidRDefault="000B65E2" w:rsidP="00776AB1">
      <w:pPr>
        <w:widowControl w:val="0"/>
        <w:autoSpaceDE w:val="0"/>
        <w:autoSpaceDN w:val="0"/>
        <w:adjustRightInd w:val="0"/>
        <w:spacing w:line="223" w:lineRule="auto"/>
        <w:ind w:left="851"/>
        <w:jc w:val="both"/>
        <w:rPr>
          <w:szCs w:val="20"/>
        </w:rPr>
      </w:pPr>
      <w:r w:rsidRPr="00471CBA">
        <w:rPr>
          <w:szCs w:val="20"/>
        </w:rPr>
        <w:t xml:space="preserve">İtfa edilmiş maliyeti ile ölçülen finansal varlıklar ilk olarak gerçeğe uygun değerlerini yansıtan elde etme maliyet bedellerine işlem maliyetlerinin eklenmesi ile kayda alınmakta ve kayda alınmalarını takiben iç verim oranı yöntemi kullanılarak “İtfa edilmiş maliyeti” ile ölçülmektedir. İtfa edilmiş maliyeti ile ölçülen finansal varlıklar ile ilgili </w:t>
      </w:r>
      <w:r w:rsidR="0011757C" w:rsidRPr="00471CBA">
        <w:rPr>
          <w:szCs w:val="20"/>
        </w:rPr>
        <w:t>kâr</w:t>
      </w:r>
      <w:r w:rsidRPr="00471CBA">
        <w:rPr>
          <w:szCs w:val="20"/>
        </w:rPr>
        <w:t xml:space="preserve"> payı gelirleri gelir tablosuna yansıtılmaktadır.</w:t>
      </w:r>
    </w:p>
    <w:p w14:paraId="37D12576" w14:textId="77777777" w:rsidR="00776AB1" w:rsidRPr="00471CBA" w:rsidRDefault="00776AB1" w:rsidP="00B04983">
      <w:pPr>
        <w:widowControl w:val="0"/>
        <w:autoSpaceDE w:val="0"/>
        <w:autoSpaceDN w:val="0"/>
        <w:adjustRightInd w:val="0"/>
        <w:spacing w:line="223" w:lineRule="auto"/>
        <w:ind w:left="426"/>
        <w:jc w:val="both"/>
        <w:rPr>
          <w:szCs w:val="20"/>
        </w:rPr>
      </w:pPr>
    </w:p>
    <w:p w14:paraId="6D96FA27" w14:textId="77777777" w:rsidR="00776AB1" w:rsidRPr="00471CBA" w:rsidRDefault="00776AB1" w:rsidP="004B5EBD">
      <w:pPr>
        <w:pStyle w:val="ListeParagraf"/>
        <w:widowControl w:val="0"/>
        <w:numPr>
          <w:ilvl w:val="0"/>
          <w:numId w:val="41"/>
        </w:numPr>
        <w:spacing w:after="120" w:line="223" w:lineRule="auto"/>
        <w:ind w:left="851" w:hanging="851"/>
        <w:rPr>
          <w:b/>
          <w:bCs/>
          <w:szCs w:val="20"/>
        </w:rPr>
      </w:pPr>
      <w:r w:rsidRPr="00471CBA">
        <w:rPr>
          <w:b/>
          <w:bCs/>
          <w:szCs w:val="20"/>
        </w:rPr>
        <w:t>Krediler</w:t>
      </w:r>
    </w:p>
    <w:p w14:paraId="446AB855" w14:textId="736771AE" w:rsidR="00776AB1" w:rsidRPr="00471CBA" w:rsidRDefault="00776AB1" w:rsidP="00776AB1">
      <w:pPr>
        <w:widowControl w:val="0"/>
        <w:autoSpaceDE w:val="0"/>
        <w:autoSpaceDN w:val="0"/>
        <w:adjustRightInd w:val="0"/>
        <w:ind w:left="851"/>
        <w:jc w:val="both"/>
        <w:rPr>
          <w:szCs w:val="20"/>
        </w:rPr>
      </w:pPr>
      <w:r w:rsidRPr="00471CBA">
        <w:rPr>
          <w:szCs w:val="20"/>
        </w:rPr>
        <w:t xml:space="preserve">Krediler, sabit veya belirlenebilir nitelikte ödemelere sahip olan ve aktif bir piyasada işlem görmeyen türev olmayan finansal varlıklardır. Söz konusu krediler ilk olarak gerçeğe uygun değerini yansıtan elde etme maliyet bedellerine işlem maliyetlerinin eklenmesi ile kayda alınmakta ve kayda alınmalarını takiben “iç verim oranı yöntemi” kullanılarak itfa edilmiş bedelleri ile ölçülmektedir. </w:t>
      </w:r>
    </w:p>
    <w:p w14:paraId="62810510" w14:textId="0AAC2389" w:rsidR="00AD095C" w:rsidRPr="00471CBA" w:rsidRDefault="00AD095C" w:rsidP="00776AB1">
      <w:pPr>
        <w:widowControl w:val="0"/>
        <w:autoSpaceDE w:val="0"/>
        <w:autoSpaceDN w:val="0"/>
        <w:adjustRightInd w:val="0"/>
        <w:ind w:left="851"/>
        <w:jc w:val="both"/>
        <w:rPr>
          <w:szCs w:val="20"/>
        </w:rPr>
      </w:pPr>
    </w:p>
    <w:p w14:paraId="07F30AAF" w14:textId="3D32FFF5" w:rsidR="00776AB1" w:rsidRDefault="00776AB1" w:rsidP="00776AB1">
      <w:pPr>
        <w:widowControl w:val="0"/>
        <w:autoSpaceDE w:val="0"/>
        <w:autoSpaceDN w:val="0"/>
        <w:adjustRightInd w:val="0"/>
        <w:ind w:left="851"/>
        <w:jc w:val="both"/>
        <w:rPr>
          <w:szCs w:val="20"/>
        </w:rPr>
      </w:pPr>
      <w:r w:rsidRPr="00471CBA">
        <w:rPr>
          <w:szCs w:val="20"/>
        </w:rPr>
        <w:t xml:space="preserve">Banka yönetimi, kredileri, “Kredilerin Sınıflandırılması ve Bunlar İçin ayrılacak Karşılıklarına İlişkin Usul ve Esaslar Hakkında Yönetmeliği” kapsamında TFRS 9 </w:t>
      </w:r>
      <w:r w:rsidR="006E6008" w:rsidRPr="00471CBA">
        <w:rPr>
          <w:szCs w:val="20"/>
        </w:rPr>
        <w:t>uygulayan</w:t>
      </w:r>
      <w:r w:rsidRPr="00471CBA">
        <w:rPr>
          <w:szCs w:val="20"/>
        </w:rPr>
        <w:t xml:space="preserve"> bankalarca uygulanacak yöntemlere uygun olarak sınıflandırmalarını yapar. Banka ayrıca, kredi portföyünü düzenli aralıklarla gözden geçirir ve kullandırılan kredilerin tahsil edilemeyeceğine dair şüphelerin görülmesi durumunda, sorunlu hale gelmiş kabul edilen krediler 22 Eylül 2016 tarih ve 29750 Sayılı Resmi </w:t>
      </w:r>
      <w:proofErr w:type="spellStart"/>
      <w:r w:rsidRPr="00471CBA">
        <w:rPr>
          <w:szCs w:val="20"/>
        </w:rPr>
        <w:t>Gazete’de</w:t>
      </w:r>
      <w:proofErr w:type="spellEnd"/>
      <w:r w:rsidRPr="00471CBA">
        <w:rPr>
          <w:szCs w:val="20"/>
        </w:rPr>
        <w:t xml:space="preserve"> yayımlanmış olan ve 18 Ekim 2018 tarih ve 30569 sayılı Resmi </w:t>
      </w:r>
      <w:proofErr w:type="spellStart"/>
      <w:r w:rsidRPr="00471CBA">
        <w:rPr>
          <w:szCs w:val="20"/>
        </w:rPr>
        <w:t>Gazete’de</w:t>
      </w:r>
      <w:proofErr w:type="spellEnd"/>
      <w:r w:rsidRPr="00471CBA">
        <w:rPr>
          <w:szCs w:val="20"/>
        </w:rPr>
        <w:t xml:space="preserve"> yayımlanan yönetmelik ile değişiklik yapılan “Kredilerin Sınıflandırılması ve Bunlar İçin ayrılacak Karşılıklarına İlişkin Usul ve Esaslar Hakkında Yönetmeliğinde (“Karşılıklar Yönetmeliği”) yer alan esaslar çerçevesinde TFRS 9 </w:t>
      </w:r>
      <w:r w:rsidR="006E6008" w:rsidRPr="00471CBA">
        <w:rPr>
          <w:szCs w:val="20"/>
        </w:rPr>
        <w:t>uygulayan</w:t>
      </w:r>
      <w:r w:rsidRPr="00471CBA">
        <w:rPr>
          <w:szCs w:val="20"/>
        </w:rPr>
        <w:t xml:space="preserve"> bankalarca uygulanacak yöntemlere uygun olarak sınıflandırmalarını gerçekleştirir.</w:t>
      </w:r>
    </w:p>
    <w:p w14:paraId="68922CA6" w14:textId="4AC7C38E" w:rsidR="006A7DBE" w:rsidRDefault="006A7DBE" w:rsidP="00776AB1">
      <w:pPr>
        <w:widowControl w:val="0"/>
        <w:autoSpaceDE w:val="0"/>
        <w:autoSpaceDN w:val="0"/>
        <w:adjustRightInd w:val="0"/>
        <w:ind w:left="851"/>
        <w:jc w:val="both"/>
        <w:rPr>
          <w:szCs w:val="20"/>
        </w:rPr>
      </w:pPr>
    </w:p>
    <w:p w14:paraId="6CA603F6" w14:textId="7AA3D4CF" w:rsidR="006A7DBE" w:rsidRPr="00471CBA" w:rsidRDefault="006A7DBE" w:rsidP="00776AB1">
      <w:pPr>
        <w:widowControl w:val="0"/>
        <w:autoSpaceDE w:val="0"/>
        <w:autoSpaceDN w:val="0"/>
        <w:adjustRightInd w:val="0"/>
        <w:ind w:left="851"/>
        <w:jc w:val="both"/>
        <w:rPr>
          <w:szCs w:val="20"/>
        </w:rPr>
      </w:pPr>
      <w:bookmarkStart w:id="27" w:name="_Hlk223335726"/>
      <w:r w:rsidRPr="009B7E9E">
        <w:rPr>
          <w:szCs w:val="20"/>
        </w:rPr>
        <w:t>Bankanın kâr zarar ortaklığı yatırımı bulunmamaktadır.</w:t>
      </w:r>
    </w:p>
    <w:bookmarkEnd w:id="27"/>
    <w:p w14:paraId="6A33E3D2" w14:textId="7668E8BC" w:rsidR="00204048" w:rsidRPr="00471CBA" w:rsidRDefault="00204048" w:rsidP="00B04983">
      <w:pPr>
        <w:widowControl w:val="0"/>
        <w:autoSpaceDE w:val="0"/>
        <w:autoSpaceDN w:val="0"/>
        <w:adjustRightInd w:val="0"/>
        <w:spacing w:line="223" w:lineRule="auto"/>
        <w:ind w:left="426"/>
        <w:jc w:val="both"/>
        <w:rPr>
          <w:szCs w:val="20"/>
        </w:rPr>
      </w:pPr>
      <w:r w:rsidRPr="00471CBA">
        <w:rPr>
          <w:szCs w:val="20"/>
        </w:rPr>
        <w:br w:type="page"/>
      </w:r>
    </w:p>
    <w:p w14:paraId="0DE22648" w14:textId="2010A1C1" w:rsidR="009D2E02" w:rsidRDefault="009D2E02" w:rsidP="009D2E02">
      <w:pPr>
        <w:pStyle w:val="GvdeMetniGirintisi"/>
        <w:widowControl w:val="0"/>
        <w:ind w:firstLine="0"/>
        <w:rPr>
          <w:b/>
          <w:szCs w:val="20"/>
        </w:rPr>
      </w:pPr>
      <w:r w:rsidRPr="00471CBA">
        <w:rPr>
          <w:b/>
          <w:szCs w:val="20"/>
        </w:rPr>
        <w:lastRenderedPageBreak/>
        <w:t xml:space="preserve">MUHASEBE POLİTİKALARINA İLİŞKİN AÇIKLAMALAR (Devamı) </w:t>
      </w:r>
    </w:p>
    <w:p w14:paraId="391A225C" w14:textId="77777777" w:rsidR="00D93978" w:rsidRDefault="00D93978" w:rsidP="009D2E02">
      <w:pPr>
        <w:pStyle w:val="GvdeMetniGirintisi"/>
        <w:widowControl w:val="0"/>
        <w:ind w:firstLine="0"/>
        <w:rPr>
          <w:b/>
          <w:szCs w:val="20"/>
        </w:rPr>
      </w:pPr>
    </w:p>
    <w:p w14:paraId="5B74849F" w14:textId="77777777" w:rsidR="00D93978" w:rsidRPr="00471CBA" w:rsidRDefault="00D93978" w:rsidP="00D93978">
      <w:pPr>
        <w:pStyle w:val="GvdeMetni"/>
        <w:widowControl w:val="0"/>
        <w:tabs>
          <w:tab w:val="clear" w:pos="0"/>
          <w:tab w:val="clear" w:pos="567"/>
          <w:tab w:val="clear" w:pos="720"/>
        </w:tabs>
        <w:spacing w:after="120" w:line="223" w:lineRule="auto"/>
        <w:ind w:left="851" w:hanging="851"/>
        <w:rPr>
          <w:b/>
          <w:color w:val="auto"/>
        </w:rPr>
      </w:pPr>
      <w:r w:rsidRPr="00471CBA">
        <w:rPr>
          <w:b/>
          <w:color w:val="auto"/>
        </w:rPr>
        <w:t>VI.</w:t>
      </w:r>
      <w:r w:rsidRPr="00471CBA">
        <w:rPr>
          <w:b/>
          <w:color w:val="auto"/>
        </w:rPr>
        <w:tab/>
        <w:t>FİNANSAL VARLIKLARA İLİŞKİN AÇIKLAMALAR (Devamı)</w:t>
      </w:r>
    </w:p>
    <w:p w14:paraId="636274C8" w14:textId="77777777" w:rsidR="009F21A7" w:rsidRPr="00471CBA" w:rsidRDefault="009F21A7" w:rsidP="009F21A7">
      <w:pPr>
        <w:widowControl w:val="0"/>
        <w:autoSpaceDE w:val="0"/>
        <w:autoSpaceDN w:val="0"/>
        <w:adjustRightInd w:val="0"/>
        <w:spacing w:line="216" w:lineRule="auto"/>
        <w:ind w:left="851"/>
        <w:jc w:val="both"/>
        <w:rPr>
          <w:szCs w:val="20"/>
        </w:rPr>
      </w:pPr>
      <w:bookmarkStart w:id="28" w:name="_Hlk212998573"/>
      <w:r w:rsidRPr="00471CBA">
        <w:rPr>
          <w:szCs w:val="20"/>
        </w:rPr>
        <w:t>Banka, kredi ve diğer alacakların TFRS 9 uyarınca ayrılan karşılıklarını periyodik sıklıkla geriye dönük olarak sonuçları baz alınarak değerlendirmekte ve bu değerlendirmelerin sonucunda gerekli gördüğü takdirde aşamalandırma kurallarında ve ilgili karşılık bakiyelerinin hesaplamasında kullanılan parametrelerde güncellemeler yapmaktadır.</w:t>
      </w:r>
    </w:p>
    <w:p w14:paraId="53271417" w14:textId="77777777" w:rsidR="009F21A7" w:rsidRPr="00471CBA" w:rsidRDefault="009F21A7" w:rsidP="009F21A7">
      <w:pPr>
        <w:widowControl w:val="0"/>
        <w:autoSpaceDE w:val="0"/>
        <w:autoSpaceDN w:val="0"/>
        <w:adjustRightInd w:val="0"/>
        <w:spacing w:line="216" w:lineRule="auto"/>
        <w:ind w:left="426"/>
        <w:jc w:val="both"/>
        <w:rPr>
          <w:szCs w:val="20"/>
        </w:rPr>
      </w:pPr>
    </w:p>
    <w:p w14:paraId="1D3AA4BA" w14:textId="77777777" w:rsidR="009F21A7" w:rsidRPr="00471CBA" w:rsidRDefault="009F21A7" w:rsidP="009F21A7">
      <w:pPr>
        <w:spacing w:line="216" w:lineRule="auto"/>
        <w:ind w:left="851"/>
        <w:contextualSpacing/>
        <w:jc w:val="both"/>
        <w:rPr>
          <w:b/>
          <w:bCs/>
          <w:szCs w:val="20"/>
        </w:rPr>
      </w:pPr>
      <w:r w:rsidRPr="00471CBA">
        <w:rPr>
          <w:b/>
          <w:bCs/>
          <w:szCs w:val="20"/>
        </w:rPr>
        <w:t>Beklenen Zarar Karşılıklarına İlişkin Açıklamalar:</w:t>
      </w:r>
    </w:p>
    <w:p w14:paraId="6DCE3C66" w14:textId="77777777" w:rsidR="009F21A7" w:rsidRPr="00471CBA" w:rsidRDefault="009F21A7" w:rsidP="009F21A7">
      <w:pPr>
        <w:spacing w:line="216" w:lineRule="auto"/>
        <w:contextualSpacing/>
        <w:jc w:val="both"/>
        <w:rPr>
          <w:b/>
          <w:bCs/>
          <w:szCs w:val="20"/>
        </w:rPr>
      </w:pPr>
    </w:p>
    <w:p w14:paraId="1BF0042D" w14:textId="77777777" w:rsidR="009F21A7" w:rsidRPr="00471CBA" w:rsidRDefault="009F21A7" w:rsidP="009F21A7">
      <w:pPr>
        <w:spacing w:line="216" w:lineRule="auto"/>
        <w:ind w:left="851"/>
        <w:jc w:val="both"/>
        <w:rPr>
          <w:szCs w:val="20"/>
        </w:rPr>
      </w:pPr>
      <w:r w:rsidRPr="00471CBA">
        <w:rPr>
          <w:szCs w:val="20"/>
        </w:rPr>
        <w:t>Banka, BDDK’nın verdiği TFRS 9 muafiyeti doğrultusunda, kuruluşundan 1 Temmuz 2025 dönemine kadar genel ve özel karşılıkları, Kredilerin Sınıflandırılması ve Bunlar İçin Ayrılacak Karşılıklara İlişkin Usul ve Esaslar Hakkında Yönetmelik’in 10., 11., 13. ve 15. maddeleri kapsamında ayırmıştır. 1 Temmuz 2025 dönemi ve sonrasında ise aynı yönetmeliğin 10. maddesine göre TFRS 9 kapsamında karşılık ayırmaktadır. Karşılık ayırma süreci; Kamu Gözetimi, Muhasebe ve Denetim Standartları Kurumu (KGK) tarafından yayınlanan Türkiye Finansal Raporlama Standardı 9 Finansal Araçlar (TFRS 9), BDDK tarafından yayınlanan Kredilerin Sınıflandırılması ve Bunlar İçin Ayrılacak Karşılıklara İlişkin Usul ve Esaslar Hakkında Yönetmelik ile TFRS 9 Uyarınca Beklenen Kredi Zararı Karşılığı Hesaplamasına İlişkin Rehber çerçevesinde yürütülmektedir. İlgili regülasyon uyarınca itfa edilmiş maliyetinden ve gerçeğe uygun değer farkı diğer kapsamlı gelire yansıtılarak ölçülen finansal varlıklarla birlikte cayılamaz kredi taahhütleri ve gayri nakdi kredileri için beklenen zarar karşılığı ayrılmaktadır. Her raporlama tarihinde, değer düşüklüğü kapsamındaki finansal aracın kredi riskinde ilk defa finansal tablolara alınmasından bu yana önemli bir artış olup olmadığı değerlendirilir.</w:t>
      </w:r>
    </w:p>
    <w:p w14:paraId="61DCF435" w14:textId="77777777" w:rsidR="009F21A7" w:rsidRPr="00471CBA" w:rsidRDefault="009F21A7" w:rsidP="009F21A7">
      <w:pPr>
        <w:spacing w:line="216" w:lineRule="auto"/>
        <w:ind w:left="851"/>
        <w:jc w:val="both"/>
        <w:rPr>
          <w:rFonts w:eastAsiaTheme="minorHAnsi"/>
          <w:szCs w:val="20"/>
        </w:rPr>
      </w:pPr>
    </w:p>
    <w:p w14:paraId="7491887E" w14:textId="77777777" w:rsidR="009F21A7" w:rsidRPr="00471CBA" w:rsidRDefault="009F21A7" w:rsidP="009F21A7">
      <w:pPr>
        <w:spacing w:line="216" w:lineRule="auto"/>
        <w:ind w:left="851"/>
        <w:jc w:val="both"/>
        <w:rPr>
          <w:szCs w:val="20"/>
        </w:rPr>
      </w:pPr>
      <w:r w:rsidRPr="00471CBA">
        <w:rPr>
          <w:szCs w:val="20"/>
        </w:rPr>
        <w:t>Banka, bir finansal araçtaki kredi riskinin, ilk defa finansal tablolara alınmasından bu yana önemli ölçüde artış meydana gelmemesi durumunda söz konusu finansal varlığı birinci aşama olarak sınıflandırır ve söz konusu finansal varlığa her raporlama tarihinde, finansal araca ilişkin zarar karşılığını 12 aylık beklenen kredi zararlarına eşit bir tutardan ölçer. Değer düşüklüğünün amacı, ilk defa finansal tablolara alınmasından bu yana kredi riskinde önemli artışlar olan tüm finansal araçlar için bireysel ya da toplu olarak makul ve ileriye dönük olanlar da dahil desteklenebilir tüm bilgiler dikkate alınarak ömür boyu beklenen zararlarının finansal tablolara alınmasıdır.</w:t>
      </w:r>
    </w:p>
    <w:p w14:paraId="0E2E318D" w14:textId="77777777" w:rsidR="009F21A7" w:rsidRPr="00471CBA" w:rsidRDefault="009F21A7" w:rsidP="009F21A7">
      <w:pPr>
        <w:spacing w:line="216" w:lineRule="auto"/>
        <w:ind w:left="851"/>
        <w:jc w:val="both"/>
        <w:rPr>
          <w:szCs w:val="20"/>
        </w:rPr>
      </w:pPr>
      <w:r w:rsidRPr="00471CBA">
        <w:rPr>
          <w:szCs w:val="20"/>
        </w:rPr>
        <w:t>Beklenen kredi zararları tahmini, tarafsız, olasılıklara göre ağırlıklandırılmış ve geçmiş olaylar, mevcut şartlar ve gelecekteki ekonomik şartlara ilişkin tahminler hakkında desteklenebilir bilgiler içermektedir. Finansal varlıklar, finansal tablolara ilk alındıkları andan itibaren gözlemlenen kredi risklerindeki artışa bağlı olarak aşağıdaki üç kategoriye ayrılmıştır:</w:t>
      </w:r>
    </w:p>
    <w:p w14:paraId="1D2FB7BB" w14:textId="77777777" w:rsidR="009F21A7" w:rsidRPr="00471CBA" w:rsidRDefault="009F21A7" w:rsidP="009F21A7">
      <w:pPr>
        <w:spacing w:line="216" w:lineRule="auto"/>
        <w:ind w:left="851"/>
        <w:jc w:val="both"/>
        <w:rPr>
          <w:szCs w:val="20"/>
        </w:rPr>
      </w:pPr>
    </w:p>
    <w:p w14:paraId="4AA83BAD" w14:textId="77777777" w:rsidR="009F21A7" w:rsidRPr="00471CBA" w:rsidRDefault="009F21A7" w:rsidP="009F21A7">
      <w:pPr>
        <w:spacing w:line="216" w:lineRule="auto"/>
        <w:ind w:left="851"/>
        <w:jc w:val="both"/>
        <w:rPr>
          <w:b/>
          <w:bCs/>
          <w:szCs w:val="20"/>
        </w:rPr>
      </w:pPr>
      <w:r w:rsidRPr="00471CBA">
        <w:rPr>
          <w:b/>
          <w:bCs/>
          <w:szCs w:val="20"/>
        </w:rPr>
        <w:t>Aşama 1:</w:t>
      </w:r>
    </w:p>
    <w:p w14:paraId="33064546" w14:textId="77777777" w:rsidR="009F21A7" w:rsidRPr="00471CBA" w:rsidRDefault="009F21A7" w:rsidP="009F21A7">
      <w:pPr>
        <w:spacing w:line="216" w:lineRule="auto"/>
        <w:ind w:left="851"/>
        <w:jc w:val="both"/>
        <w:rPr>
          <w:b/>
          <w:bCs/>
          <w:szCs w:val="20"/>
        </w:rPr>
      </w:pPr>
    </w:p>
    <w:p w14:paraId="129C57B6" w14:textId="77777777" w:rsidR="009F21A7" w:rsidRPr="00471CBA" w:rsidRDefault="009F21A7" w:rsidP="009F21A7">
      <w:pPr>
        <w:spacing w:line="216" w:lineRule="auto"/>
        <w:ind w:left="851"/>
        <w:jc w:val="both"/>
        <w:rPr>
          <w:szCs w:val="20"/>
        </w:rPr>
      </w:pPr>
      <w:r w:rsidRPr="00471CBA">
        <w:rPr>
          <w:szCs w:val="20"/>
        </w:rPr>
        <w:t>Finansal tablolara ilk alındıkları anda veya finansal tablolara ilk alındıkları andan sonra kredi riskinde önemli bir artış olmayan finansal varlıklardır. Bu varlıklar için kredi riski değer düşüklüğü karşılığı, 12 aylık temerrüt riski üzerinden beklenen kredi zararları tutarında muhasebeleşmektedir. 12 aylık beklenen kredi zararı raporlama tarihini takip eden 12 aylık dönem içerisinde temerrüt beklentisine dayanarak hesaplanır. Beklenen bu 12 aylık temerrüt olasılıkları tahmini bir temerrüt tutarına uygulanır ve beklenen temerrüt halinde kayıp ile çarpılarak hesaplanır.</w:t>
      </w:r>
    </w:p>
    <w:p w14:paraId="12DDAD53" w14:textId="77777777" w:rsidR="009F21A7" w:rsidRPr="00471CBA" w:rsidRDefault="009F21A7" w:rsidP="009F21A7">
      <w:pPr>
        <w:spacing w:line="216" w:lineRule="auto"/>
        <w:ind w:left="851"/>
        <w:jc w:val="both"/>
        <w:rPr>
          <w:szCs w:val="20"/>
        </w:rPr>
      </w:pPr>
    </w:p>
    <w:p w14:paraId="5D4EF236" w14:textId="77777777" w:rsidR="009F21A7" w:rsidRPr="00471CBA" w:rsidRDefault="009F21A7" w:rsidP="009F21A7">
      <w:pPr>
        <w:spacing w:line="216" w:lineRule="auto"/>
        <w:ind w:left="851"/>
        <w:jc w:val="both"/>
        <w:rPr>
          <w:b/>
          <w:bCs/>
          <w:szCs w:val="20"/>
        </w:rPr>
      </w:pPr>
      <w:r w:rsidRPr="00471CBA">
        <w:rPr>
          <w:b/>
          <w:bCs/>
          <w:szCs w:val="20"/>
        </w:rPr>
        <w:t>Aşama 2:</w:t>
      </w:r>
    </w:p>
    <w:p w14:paraId="38AEF023" w14:textId="77777777" w:rsidR="009F21A7" w:rsidRPr="00471CBA" w:rsidRDefault="009F21A7" w:rsidP="009F21A7">
      <w:pPr>
        <w:spacing w:line="216" w:lineRule="auto"/>
        <w:ind w:left="851"/>
        <w:jc w:val="both"/>
        <w:rPr>
          <w:b/>
          <w:bCs/>
          <w:szCs w:val="20"/>
        </w:rPr>
      </w:pPr>
    </w:p>
    <w:p w14:paraId="2A3F457C" w14:textId="77777777" w:rsidR="009F21A7" w:rsidRPr="00471CBA" w:rsidRDefault="009F21A7" w:rsidP="009F21A7">
      <w:pPr>
        <w:spacing w:line="216" w:lineRule="auto"/>
        <w:ind w:left="851"/>
        <w:jc w:val="both"/>
        <w:rPr>
          <w:szCs w:val="20"/>
        </w:rPr>
      </w:pPr>
      <w:r w:rsidRPr="00471CBA">
        <w:rPr>
          <w:szCs w:val="20"/>
        </w:rPr>
        <w:t>Finansal varlığın raporlama tarihi itibarıyla, finansal tablolara ilk alındığı ana göre kredi riskinde önemli bir artış olması durumunda, ilgili finansal varlık 2. Aşamaya aktarılmaktadır. Kredi riski değer düşüklüğü karşılığı, ilgili finansal varlığın ömür boyunca temerrüt riski üzerinden beklenen kredi zararına göre belirlenmektedir. Kredi riskinde önemli artış beklenen zarar karşılığı raporlama tarihi itibarıyla finansal varlığın ömrü boyunca kredi risklerinin temerrüt olasılığı ve temerrüt halinde kayıp oranları ile çarpılması suretiyle hesaplanır.</w:t>
      </w:r>
    </w:p>
    <w:p w14:paraId="5859668F" w14:textId="77777777" w:rsidR="009F21A7" w:rsidRPr="00471CBA" w:rsidRDefault="009F21A7" w:rsidP="009F21A7">
      <w:pPr>
        <w:spacing w:line="216" w:lineRule="auto"/>
        <w:ind w:left="851"/>
        <w:jc w:val="both"/>
        <w:rPr>
          <w:b/>
          <w:bCs/>
          <w:szCs w:val="20"/>
        </w:rPr>
      </w:pPr>
    </w:p>
    <w:p w14:paraId="78C064D8" w14:textId="77777777" w:rsidR="009F21A7" w:rsidRPr="00471CBA" w:rsidRDefault="009F21A7" w:rsidP="009F21A7">
      <w:pPr>
        <w:spacing w:line="216" w:lineRule="auto"/>
        <w:ind w:left="851"/>
        <w:jc w:val="both"/>
        <w:rPr>
          <w:b/>
          <w:bCs/>
          <w:szCs w:val="20"/>
        </w:rPr>
      </w:pPr>
      <w:r w:rsidRPr="00471CBA">
        <w:rPr>
          <w:b/>
          <w:bCs/>
          <w:szCs w:val="20"/>
        </w:rPr>
        <w:t>Aşama 3:</w:t>
      </w:r>
    </w:p>
    <w:p w14:paraId="07E9BE10" w14:textId="77777777" w:rsidR="009F21A7" w:rsidRPr="00471CBA" w:rsidRDefault="009F21A7" w:rsidP="009F21A7">
      <w:pPr>
        <w:spacing w:line="216" w:lineRule="auto"/>
      </w:pPr>
    </w:p>
    <w:p w14:paraId="2D2D2E93" w14:textId="77777777" w:rsidR="009F21A7" w:rsidRPr="00471CBA" w:rsidRDefault="009F21A7" w:rsidP="009F21A7">
      <w:pPr>
        <w:ind w:left="851"/>
        <w:jc w:val="both"/>
        <w:rPr>
          <w:szCs w:val="20"/>
        </w:rPr>
      </w:pPr>
      <w:r w:rsidRPr="00471CBA">
        <w:rPr>
          <w:szCs w:val="20"/>
        </w:rPr>
        <w:t>Raporlama tarihi itibarıyla değer düşüklüğüne uğramış finansal varlıklar 3. Aşama olarak sınıflandırılmaktadır. Değer düşüklüğü karşılığı hesaplamalarında temerrüt olasılığı %100 olarak dikkate alınmakta ve finansal varlığın ömür boyu beklenen kredi zararına göre karşılık hesaplanmaktadır. Değer düşüklüğünün belirlenmesinde Banka, 90 günün üzerinde gecikme olması kriterini dikkate almaktadır.</w:t>
      </w:r>
    </w:p>
    <w:p w14:paraId="670BC798" w14:textId="5D63CEDE" w:rsidR="009F21A7" w:rsidRPr="00471CBA" w:rsidRDefault="009F21A7">
      <w:pPr>
        <w:rPr>
          <w:szCs w:val="20"/>
        </w:rPr>
      </w:pPr>
      <w:r w:rsidRPr="00471CBA">
        <w:rPr>
          <w:szCs w:val="20"/>
        </w:rPr>
        <w:br w:type="page"/>
      </w:r>
    </w:p>
    <w:p w14:paraId="75A8DFAF" w14:textId="77777777" w:rsidR="00CF5C36" w:rsidRDefault="00CF5C36" w:rsidP="00CF5C36">
      <w:pPr>
        <w:pStyle w:val="GvdeMetniGirintisi"/>
        <w:widowControl w:val="0"/>
        <w:ind w:firstLine="0"/>
        <w:rPr>
          <w:b/>
          <w:szCs w:val="20"/>
        </w:rPr>
      </w:pPr>
      <w:r w:rsidRPr="00471CBA">
        <w:rPr>
          <w:b/>
          <w:szCs w:val="20"/>
        </w:rPr>
        <w:lastRenderedPageBreak/>
        <w:t xml:space="preserve">MUHASEBE POLİTİKALARINA İLİŞKİN AÇIKLAMALAR (Devamı) </w:t>
      </w:r>
    </w:p>
    <w:p w14:paraId="6A9A4637" w14:textId="77777777" w:rsidR="00CF5C36" w:rsidRDefault="00CF5C36" w:rsidP="00CF5C36">
      <w:pPr>
        <w:pStyle w:val="GvdeMetniGirintisi"/>
        <w:widowControl w:val="0"/>
        <w:ind w:firstLine="0"/>
        <w:rPr>
          <w:b/>
          <w:szCs w:val="20"/>
        </w:rPr>
      </w:pPr>
    </w:p>
    <w:p w14:paraId="3B849FBF" w14:textId="77777777" w:rsidR="00CF5C36" w:rsidRPr="00471CBA" w:rsidRDefault="00CF5C36" w:rsidP="00CF5C36">
      <w:pPr>
        <w:pStyle w:val="GvdeMetni"/>
        <w:widowControl w:val="0"/>
        <w:tabs>
          <w:tab w:val="clear" w:pos="0"/>
          <w:tab w:val="clear" w:pos="567"/>
          <w:tab w:val="clear" w:pos="720"/>
        </w:tabs>
        <w:spacing w:after="120" w:line="223" w:lineRule="auto"/>
        <w:ind w:left="851" w:hanging="851"/>
        <w:rPr>
          <w:b/>
          <w:color w:val="auto"/>
        </w:rPr>
      </w:pPr>
      <w:r w:rsidRPr="00471CBA">
        <w:rPr>
          <w:b/>
          <w:color w:val="auto"/>
        </w:rPr>
        <w:t>VI.</w:t>
      </w:r>
      <w:r w:rsidRPr="00471CBA">
        <w:rPr>
          <w:b/>
          <w:color w:val="auto"/>
        </w:rPr>
        <w:tab/>
        <w:t>FİNANSAL VARLIKLARA İLİŞKİN AÇIKLAMALAR (Devamı)</w:t>
      </w:r>
    </w:p>
    <w:p w14:paraId="6DA3FFAA" w14:textId="29A97D07" w:rsidR="009F21A7" w:rsidRPr="00471CBA" w:rsidRDefault="009F21A7" w:rsidP="009F21A7">
      <w:pPr>
        <w:ind w:left="851"/>
        <w:jc w:val="both"/>
        <w:rPr>
          <w:b/>
          <w:bCs/>
          <w:szCs w:val="20"/>
        </w:rPr>
      </w:pPr>
      <w:r w:rsidRPr="00471CBA">
        <w:rPr>
          <w:b/>
          <w:bCs/>
          <w:szCs w:val="20"/>
        </w:rPr>
        <w:t>Beklenen Kredi Zararlarının Hesaplanması</w:t>
      </w:r>
    </w:p>
    <w:p w14:paraId="47941D1C" w14:textId="77777777" w:rsidR="009F21A7" w:rsidRPr="00471CBA" w:rsidRDefault="009F21A7" w:rsidP="009F21A7">
      <w:pPr>
        <w:ind w:left="851"/>
        <w:jc w:val="both"/>
        <w:rPr>
          <w:szCs w:val="20"/>
        </w:rPr>
      </w:pPr>
    </w:p>
    <w:p w14:paraId="182D9ADC" w14:textId="77777777" w:rsidR="009F21A7" w:rsidRPr="00471CBA" w:rsidRDefault="009F21A7" w:rsidP="009F21A7">
      <w:pPr>
        <w:ind w:left="851"/>
        <w:jc w:val="both"/>
        <w:rPr>
          <w:szCs w:val="20"/>
        </w:rPr>
      </w:pPr>
      <w:r w:rsidRPr="00471CBA">
        <w:rPr>
          <w:szCs w:val="20"/>
        </w:rPr>
        <w:t>Banka, beklenen kredi zararlarını, belirlenen makro-ekonomik senaryolarda olasılıklara göre ağırlıklandırılmış, geçmiş olayları ve mevcut koşulları dikkate alan ve geleceğe dair makro-ekonomik tahminleri içeren raporlama tarihi itibarıyla elde edilebilen makul, tarafsız ve desteklenebilir bilgilerle ölçmektedir.</w:t>
      </w:r>
    </w:p>
    <w:p w14:paraId="289A9BAD" w14:textId="77777777" w:rsidR="009F21A7" w:rsidRPr="00471CBA" w:rsidRDefault="009F21A7" w:rsidP="009F21A7">
      <w:pPr>
        <w:ind w:left="851"/>
        <w:jc w:val="both"/>
        <w:rPr>
          <w:szCs w:val="20"/>
        </w:rPr>
      </w:pPr>
      <w:r w:rsidRPr="00471CBA">
        <w:rPr>
          <w:szCs w:val="20"/>
        </w:rPr>
        <w:t xml:space="preserve">Banka, Temerrüt Olasılığı (TO) parametresi için tarihsel verisi olmadığı için içsel temerrüt olasılığı modelleri geliştirememektedir. Bu hususta makul bir yaklaşımla, aşama 1 olarak sınıflandırılan krediler için 12 aylık beklenen kredi zarar karşılılık hesaplamalarında, BDDK tarafından her ay düzenli olarak yayınlanan sektörel kredi dağılımı verisini kullanarak sektörler bazındaki Takibe Dönüşüm Oranı (TDO) gerçekleşmelerini ilgili sektördeki müşteriler için temerrüt olasılığı olarak kullanmaktadır. Banka, bu temerrüt olasılıklarına geleceğe yönelik beklentilerin yansıtılması maksadıyla modelleme çalışması yapmıştır. TDO ile makro-ekonomik değişkenler arasında ilişki modellenerek </w:t>
      </w:r>
      <w:proofErr w:type="spellStart"/>
      <w:r w:rsidRPr="00471CBA">
        <w:rPr>
          <w:szCs w:val="20"/>
        </w:rPr>
        <w:t>TDO’nun</w:t>
      </w:r>
      <w:proofErr w:type="spellEnd"/>
      <w:r w:rsidRPr="00471CBA">
        <w:rPr>
          <w:szCs w:val="20"/>
        </w:rPr>
        <w:t xml:space="preserve"> senaryolar bazında gelecekte nasıl bir seyir izleyeceği tahmin edilmiş ve böylece geleceğe yönelik beklentiler Beklenen Kredi Zararı hesaplamasına dahil edilmiştir. Aşama 2 olarak sınıflandırılan krediler için Ömür boyu beklenen kredi zarar karşılık hesaplamalarında ise TO parametresi olarak, katılım bankalarının çeyreklik bazda kamuya açıkladıkları aşama 2 nakdi kredi tutarları ile onlar için ayırdıkları karşılıklar temel alınarak yakın izleme karşılık oranlarının ortalaması kullanılmaktadır. Banka, bu temerrüt olasılıklarına geleceğe yönelik beklentilerin yansıtılması maksadıyla yakın izleme karşılık oranlarının makro-ekonomik senaryolar bazında gelecekte nasıl bir seyir izleyeceğini tahmin etmiş ve böylece geleceğe yönelik beklentiler Ömür boyu Beklenen Kredi Zararı hesaplamasına dahil edilmiştir. Aşama 3 olarak sınıflandırılan krediler için Ömür boyu beklenen kredi zarar karşılık hesaplamalarında ise TO parametresi %100 olarak kullanılmaktadır.</w:t>
      </w:r>
    </w:p>
    <w:p w14:paraId="4E5306B3" w14:textId="77777777" w:rsidR="009F21A7" w:rsidRPr="00471CBA" w:rsidRDefault="009F21A7" w:rsidP="009F21A7">
      <w:pPr>
        <w:ind w:left="851"/>
        <w:jc w:val="both"/>
        <w:rPr>
          <w:szCs w:val="20"/>
        </w:rPr>
      </w:pPr>
    </w:p>
    <w:p w14:paraId="6234EC79" w14:textId="77777777" w:rsidR="009F21A7" w:rsidRPr="00471CBA" w:rsidRDefault="009F21A7" w:rsidP="009F21A7">
      <w:pPr>
        <w:ind w:left="851"/>
        <w:jc w:val="both"/>
        <w:rPr>
          <w:szCs w:val="20"/>
        </w:rPr>
      </w:pPr>
      <w:r w:rsidRPr="00471CBA">
        <w:rPr>
          <w:szCs w:val="20"/>
        </w:rPr>
        <w:t>Temerrüt Halinde Kayıp (THK) parametresi için ise makul bir yaklaşımla BDDK tarafından yayınlanan Kredi Riskine Esas Tutarın İçsel Derecelendirmeye Dayalı Yaklaşımlar ile Hesaplanmasına İlişkin Tebliğ’deki Temel İDD yaklaşımı ile uyumlu şekilde %45 oranını kullanmaktadır.</w:t>
      </w:r>
    </w:p>
    <w:p w14:paraId="2360C9EE" w14:textId="77777777" w:rsidR="009F21A7" w:rsidRPr="00471CBA" w:rsidRDefault="009F21A7" w:rsidP="009F21A7">
      <w:pPr>
        <w:ind w:left="851"/>
        <w:jc w:val="both"/>
        <w:rPr>
          <w:szCs w:val="20"/>
        </w:rPr>
      </w:pPr>
    </w:p>
    <w:p w14:paraId="532F7F7C" w14:textId="77777777" w:rsidR="009F21A7" w:rsidRPr="00471CBA" w:rsidRDefault="009F21A7" w:rsidP="009F21A7">
      <w:pPr>
        <w:ind w:left="851"/>
        <w:jc w:val="both"/>
        <w:rPr>
          <w:szCs w:val="20"/>
        </w:rPr>
      </w:pPr>
      <w:r w:rsidRPr="00471CBA">
        <w:rPr>
          <w:szCs w:val="20"/>
        </w:rPr>
        <w:t>Temerrüt Tutarı (TT) parametresi kapsamında gayri nakdi krediler ve cayılamaz limit taahhütleri için Krediye Dönüşüm Oranları (KDO) belirlenirken makul bir yaklaşımla Sermaye Yeterliliği Rasyosu (SYR) hesaplamasında kullanılan yasal oranlar referans alınmıştır. Gayri nakdi kredilerde ve cayılamaz limit taahhütlerinde nazım hesaplarda kayıtlı nominal tutara krediye dönüşüm oranı uygulanmakta ve bu oranın uygulanmasıyla elde edilen tutar, risk tutarı olarak kabul edilmektedir.</w:t>
      </w:r>
    </w:p>
    <w:p w14:paraId="603A9196" w14:textId="77777777" w:rsidR="009F21A7" w:rsidRPr="00471CBA" w:rsidRDefault="009F21A7" w:rsidP="009F21A7">
      <w:pPr>
        <w:ind w:left="851"/>
        <w:jc w:val="both"/>
        <w:rPr>
          <w:szCs w:val="20"/>
        </w:rPr>
      </w:pPr>
    </w:p>
    <w:p w14:paraId="41F003A7" w14:textId="77777777" w:rsidR="009F21A7" w:rsidRPr="00471CBA" w:rsidRDefault="009F21A7" w:rsidP="009F21A7">
      <w:pPr>
        <w:ind w:left="851"/>
        <w:jc w:val="both"/>
        <w:rPr>
          <w:szCs w:val="20"/>
        </w:rPr>
      </w:pPr>
      <w:r w:rsidRPr="00471CBA">
        <w:rPr>
          <w:szCs w:val="20"/>
        </w:rPr>
        <w:t>Beklenen kredi zararlarının hesaplamasında üç ana parametre kullanılmaktadır: Temerrüt Olasılığı (TO), Temerrüt Halinde Kayıp (THK) ve Temerrüt Tutarı (TT).</w:t>
      </w:r>
    </w:p>
    <w:p w14:paraId="2FC9078B" w14:textId="77777777" w:rsidR="009F21A7" w:rsidRPr="00471CBA" w:rsidRDefault="009F21A7" w:rsidP="009F21A7">
      <w:pPr>
        <w:ind w:left="851"/>
        <w:jc w:val="both"/>
        <w:rPr>
          <w:szCs w:val="20"/>
        </w:rPr>
      </w:pPr>
    </w:p>
    <w:p w14:paraId="4E332C39" w14:textId="77777777" w:rsidR="009F21A7" w:rsidRPr="00471CBA" w:rsidRDefault="009F21A7" w:rsidP="009F21A7">
      <w:pPr>
        <w:ind w:left="851"/>
        <w:jc w:val="both"/>
        <w:rPr>
          <w:b/>
          <w:bCs/>
          <w:szCs w:val="20"/>
        </w:rPr>
      </w:pPr>
      <w:r w:rsidRPr="00471CBA">
        <w:rPr>
          <w:b/>
          <w:bCs/>
          <w:szCs w:val="20"/>
        </w:rPr>
        <w:t>Temerrüt Olasılığı</w:t>
      </w:r>
    </w:p>
    <w:p w14:paraId="1C34608C" w14:textId="77777777" w:rsidR="009F21A7" w:rsidRPr="00471CBA" w:rsidRDefault="009F21A7" w:rsidP="009F21A7">
      <w:pPr>
        <w:ind w:left="851"/>
        <w:jc w:val="both"/>
        <w:rPr>
          <w:b/>
          <w:bCs/>
          <w:szCs w:val="20"/>
        </w:rPr>
      </w:pPr>
    </w:p>
    <w:p w14:paraId="2068AC89" w14:textId="77777777" w:rsidR="009F21A7" w:rsidRPr="00471CBA" w:rsidRDefault="009F21A7" w:rsidP="009F21A7">
      <w:pPr>
        <w:ind w:left="851"/>
        <w:jc w:val="both"/>
        <w:rPr>
          <w:szCs w:val="20"/>
        </w:rPr>
      </w:pPr>
      <w:r w:rsidRPr="00471CBA">
        <w:rPr>
          <w:szCs w:val="20"/>
        </w:rPr>
        <w:t>Temerrüt olasılığı belirli bir zaman diliminde borçlunun temerrüde düşme olasılığıdır. 12 aylık temerrüt olasılığı gelecek 12 aydaki temerrüt olasılığını, ömür boyu beklenen temerrüt olasılığı ise kredinin kalan ömrü boyunca oluşacak olasılığı hesaplamaktadır.</w:t>
      </w:r>
    </w:p>
    <w:p w14:paraId="6AAFB6CB" w14:textId="77777777" w:rsidR="009F21A7" w:rsidRPr="00471CBA" w:rsidRDefault="009F21A7" w:rsidP="009F21A7">
      <w:pPr>
        <w:ind w:left="851"/>
        <w:jc w:val="both"/>
        <w:rPr>
          <w:szCs w:val="20"/>
        </w:rPr>
      </w:pPr>
    </w:p>
    <w:p w14:paraId="72047E55" w14:textId="77777777" w:rsidR="009F21A7" w:rsidRPr="00471CBA" w:rsidRDefault="009F21A7" w:rsidP="009F21A7">
      <w:pPr>
        <w:ind w:left="851"/>
        <w:jc w:val="both"/>
        <w:rPr>
          <w:szCs w:val="20"/>
        </w:rPr>
      </w:pPr>
      <w:r w:rsidRPr="00471CBA">
        <w:rPr>
          <w:szCs w:val="20"/>
        </w:rPr>
        <w:t>Banka, temerrüt tanımında BDDK mevzuatı ile uyumlu olarak, borçlunun Banka’ya olan yükümlülüklerini 91 gün veya daha uzun süreyle yerine getirmemesi durumunu temerrüt olarak kabul etmektedir. Kurumsal alacaklar için müşteri bazında temerrüt yaklaşımı benimsenmiş olup, müşterinin herhangi bir hesabının temerrüde düşmesi durumunda, müşteriye ait diğer tüm hesaplar da temerrüde düşmüş kabul edilmektedir.</w:t>
      </w:r>
    </w:p>
    <w:p w14:paraId="316F74FF" w14:textId="77777777" w:rsidR="009F21A7" w:rsidRPr="00471CBA" w:rsidRDefault="009F21A7" w:rsidP="009F21A7">
      <w:pPr>
        <w:ind w:left="851"/>
        <w:jc w:val="both"/>
        <w:rPr>
          <w:szCs w:val="20"/>
        </w:rPr>
      </w:pPr>
      <w:r w:rsidRPr="00471CBA">
        <w:rPr>
          <w:szCs w:val="20"/>
        </w:rPr>
        <w:t>91 gün gecikme kuralı dışında, aşağıdaki koşulu sağlayan karşı taraflar da temerrüde düşer;</w:t>
      </w:r>
    </w:p>
    <w:p w14:paraId="1BE826B1" w14:textId="77777777" w:rsidR="009F21A7" w:rsidRPr="00471CBA" w:rsidRDefault="009F21A7" w:rsidP="009F21A7">
      <w:pPr>
        <w:ind w:left="851"/>
        <w:jc w:val="both"/>
        <w:rPr>
          <w:szCs w:val="20"/>
        </w:rPr>
      </w:pPr>
    </w:p>
    <w:p w14:paraId="342115CA" w14:textId="77777777" w:rsidR="009F21A7" w:rsidRPr="00471CBA" w:rsidRDefault="009F21A7" w:rsidP="009F21A7">
      <w:pPr>
        <w:ind w:left="851"/>
        <w:jc w:val="both"/>
        <w:rPr>
          <w:szCs w:val="20"/>
        </w:rPr>
      </w:pPr>
      <w:r w:rsidRPr="00471CBA">
        <w:rPr>
          <w:szCs w:val="20"/>
        </w:rPr>
        <w:t>Bir hesap vadesini 91 gün geçmeden yasal takip olarak sınıflandırılırsa</w:t>
      </w:r>
    </w:p>
    <w:p w14:paraId="744DB6C7" w14:textId="77777777" w:rsidR="009F21A7" w:rsidRPr="00471CBA" w:rsidRDefault="009F21A7" w:rsidP="009F21A7">
      <w:pPr>
        <w:ind w:left="851"/>
        <w:jc w:val="both"/>
        <w:rPr>
          <w:szCs w:val="20"/>
        </w:rPr>
      </w:pPr>
    </w:p>
    <w:p w14:paraId="6469ECAC" w14:textId="77777777" w:rsidR="009F21A7" w:rsidRPr="00471CBA" w:rsidRDefault="009F21A7" w:rsidP="009F21A7">
      <w:pPr>
        <w:ind w:left="851"/>
        <w:jc w:val="both"/>
        <w:rPr>
          <w:szCs w:val="20"/>
        </w:rPr>
      </w:pPr>
      <w:r w:rsidRPr="00471CBA">
        <w:rPr>
          <w:szCs w:val="20"/>
        </w:rPr>
        <w:t xml:space="preserve">Bu koşulların sağlanmadığı durumlarda müşteri, </w:t>
      </w:r>
      <w:proofErr w:type="spellStart"/>
      <w:r w:rsidRPr="00471CBA">
        <w:rPr>
          <w:szCs w:val="20"/>
        </w:rPr>
        <w:t>temerrütsüz</w:t>
      </w:r>
      <w:proofErr w:type="spellEnd"/>
      <w:r w:rsidRPr="00471CBA">
        <w:rPr>
          <w:szCs w:val="20"/>
        </w:rPr>
        <w:t xml:space="preserve"> olarak değerlendirilmektedir.</w:t>
      </w:r>
    </w:p>
    <w:p w14:paraId="4EA97067" w14:textId="77777777" w:rsidR="009F21A7" w:rsidRPr="00471CBA" w:rsidRDefault="009F21A7" w:rsidP="009F21A7">
      <w:pPr>
        <w:ind w:left="851"/>
        <w:jc w:val="both"/>
        <w:rPr>
          <w:szCs w:val="20"/>
        </w:rPr>
      </w:pPr>
    </w:p>
    <w:p w14:paraId="554A0B2A" w14:textId="77777777" w:rsidR="009F21A7" w:rsidRPr="00471CBA" w:rsidRDefault="009F21A7" w:rsidP="009F21A7">
      <w:pPr>
        <w:ind w:left="851"/>
        <w:jc w:val="both"/>
        <w:rPr>
          <w:szCs w:val="20"/>
        </w:rPr>
      </w:pPr>
      <w:r w:rsidRPr="00471CBA">
        <w:rPr>
          <w:szCs w:val="20"/>
        </w:rPr>
        <w:t>Temerrüt tanımı kapsamında performans süresi, referans tarihinden itibaren 12 ay olarak tanımlanmıştır.</w:t>
      </w:r>
      <w:r w:rsidRPr="00471CBA">
        <w:rPr>
          <w:b/>
          <w:szCs w:val="20"/>
        </w:rPr>
        <w:br w:type="page"/>
      </w:r>
    </w:p>
    <w:p w14:paraId="5158E90F" w14:textId="6A447E0C" w:rsidR="004C3D0F" w:rsidRDefault="004C3D0F" w:rsidP="004C3D0F">
      <w:pPr>
        <w:pStyle w:val="GvdeMetniGirintisi"/>
        <w:widowControl w:val="0"/>
        <w:ind w:firstLine="0"/>
        <w:jc w:val="left"/>
        <w:rPr>
          <w:b/>
          <w:szCs w:val="20"/>
        </w:rPr>
      </w:pPr>
      <w:r w:rsidRPr="00471CBA">
        <w:rPr>
          <w:b/>
          <w:szCs w:val="20"/>
        </w:rPr>
        <w:lastRenderedPageBreak/>
        <w:t>MUHASEBE POLİTİKALARINA İLİŞKİN AÇIKLAMALAR (Devamı)</w:t>
      </w:r>
    </w:p>
    <w:p w14:paraId="60A46F32" w14:textId="77777777" w:rsidR="00CF5C36" w:rsidRDefault="00CF5C36" w:rsidP="004C3D0F">
      <w:pPr>
        <w:pStyle w:val="GvdeMetniGirintisi"/>
        <w:widowControl w:val="0"/>
        <w:ind w:firstLine="0"/>
        <w:jc w:val="left"/>
        <w:rPr>
          <w:b/>
          <w:szCs w:val="20"/>
        </w:rPr>
      </w:pPr>
    </w:p>
    <w:p w14:paraId="520022D1" w14:textId="77777777" w:rsidR="00CF5C36" w:rsidRPr="00471CBA" w:rsidRDefault="00CF5C36" w:rsidP="00CF5C36">
      <w:pPr>
        <w:pStyle w:val="GvdeMetni"/>
        <w:widowControl w:val="0"/>
        <w:tabs>
          <w:tab w:val="clear" w:pos="0"/>
          <w:tab w:val="clear" w:pos="567"/>
          <w:tab w:val="clear" w:pos="720"/>
        </w:tabs>
        <w:spacing w:after="120" w:line="223" w:lineRule="auto"/>
        <w:ind w:left="851" w:hanging="851"/>
        <w:rPr>
          <w:b/>
          <w:color w:val="auto"/>
        </w:rPr>
      </w:pPr>
      <w:bookmarkStart w:id="29" w:name="_Hlk223358334"/>
      <w:r w:rsidRPr="00471CBA">
        <w:rPr>
          <w:b/>
          <w:color w:val="auto"/>
        </w:rPr>
        <w:t>VI.</w:t>
      </w:r>
      <w:r w:rsidRPr="00471CBA">
        <w:rPr>
          <w:b/>
          <w:color w:val="auto"/>
        </w:rPr>
        <w:tab/>
        <w:t>FİNANSAL VARLIKLARA İLİŞKİN AÇIKLAMALAR (Devamı)</w:t>
      </w:r>
    </w:p>
    <w:bookmarkEnd w:id="28"/>
    <w:bookmarkEnd w:id="29"/>
    <w:p w14:paraId="71A5983D" w14:textId="77777777" w:rsidR="009F21A7" w:rsidRPr="00471CBA" w:rsidRDefault="009F21A7" w:rsidP="009F21A7">
      <w:pPr>
        <w:ind w:left="851"/>
        <w:jc w:val="both"/>
        <w:rPr>
          <w:b/>
          <w:bCs/>
          <w:szCs w:val="20"/>
        </w:rPr>
      </w:pPr>
      <w:r w:rsidRPr="00471CBA">
        <w:rPr>
          <w:b/>
          <w:bCs/>
          <w:szCs w:val="20"/>
        </w:rPr>
        <w:t>Temerrüt Halinde Kayıp</w:t>
      </w:r>
    </w:p>
    <w:p w14:paraId="78CE4009" w14:textId="77777777" w:rsidR="009F21A7" w:rsidRPr="00471CBA" w:rsidRDefault="009F21A7" w:rsidP="009F21A7">
      <w:pPr>
        <w:jc w:val="both"/>
        <w:rPr>
          <w:szCs w:val="20"/>
        </w:rPr>
      </w:pPr>
    </w:p>
    <w:p w14:paraId="1B7B9E6B" w14:textId="77777777" w:rsidR="009F21A7" w:rsidRPr="00471CBA" w:rsidRDefault="009F21A7" w:rsidP="009F21A7">
      <w:pPr>
        <w:ind w:left="851"/>
        <w:jc w:val="both"/>
        <w:rPr>
          <w:szCs w:val="20"/>
        </w:rPr>
      </w:pPr>
      <w:r w:rsidRPr="00471CBA">
        <w:rPr>
          <w:szCs w:val="20"/>
        </w:rPr>
        <w:t xml:space="preserve">Temerrüt Halinde Kayıp, borçlunun temerrüde düşmesi durumunda maruz kalınması beklenen ekonomik kaybı ifade eder. Banka, THK oranını, BDDK tarafından yayımlanan "Kredi Riskine Esas Tutarın İçsel Derecelendirmeye Dayalı Yaklaşımlar ile Hesaplanmasına İlişkin </w:t>
      </w:r>
      <w:proofErr w:type="spellStart"/>
      <w:r w:rsidRPr="00471CBA">
        <w:rPr>
          <w:szCs w:val="20"/>
        </w:rPr>
        <w:t>Tebliğ"deki</w:t>
      </w:r>
      <w:proofErr w:type="spellEnd"/>
      <w:r w:rsidRPr="00471CBA">
        <w:rPr>
          <w:szCs w:val="20"/>
        </w:rPr>
        <w:t xml:space="preserve"> Temel İDD yaklaşımıyla uyumlu olarak %45 seviyesinde belirlemektedir.</w:t>
      </w:r>
    </w:p>
    <w:p w14:paraId="7079402A" w14:textId="77777777" w:rsidR="009F21A7" w:rsidRPr="00471CBA" w:rsidRDefault="009F21A7" w:rsidP="009F21A7">
      <w:pPr>
        <w:ind w:left="851"/>
        <w:jc w:val="both"/>
        <w:rPr>
          <w:szCs w:val="20"/>
        </w:rPr>
      </w:pPr>
    </w:p>
    <w:p w14:paraId="769F8E87" w14:textId="77777777" w:rsidR="009F21A7" w:rsidRPr="00471CBA" w:rsidRDefault="009F21A7" w:rsidP="009F21A7">
      <w:pPr>
        <w:ind w:left="851"/>
        <w:jc w:val="both"/>
        <w:rPr>
          <w:b/>
          <w:bCs/>
          <w:szCs w:val="20"/>
        </w:rPr>
      </w:pPr>
      <w:r w:rsidRPr="00471CBA">
        <w:rPr>
          <w:b/>
          <w:bCs/>
          <w:szCs w:val="20"/>
        </w:rPr>
        <w:t>Temerrüt Tutarı</w:t>
      </w:r>
    </w:p>
    <w:p w14:paraId="622BDA3C" w14:textId="77777777" w:rsidR="009F21A7" w:rsidRPr="00471CBA" w:rsidRDefault="009F21A7" w:rsidP="009F21A7">
      <w:pPr>
        <w:ind w:left="851"/>
        <w:jc w:val="both"/>
        <w:rPr>
          <w:szCs w:val="20"/>
        </w:rPr>
      </w:pPr>
    </w:p>
    <w:p w14:paraId="4760201D" w14:textId="77777777" w:rsidR="009F21A7" w:rsidRPr="00471CBA" w:rsidRDefault="009F21A7" w:rsidP="009F21A7">
      <w:pPr>
        <w:ind w:left="851"/>
        <w:jc w:val="both"/>
        <w:rPr>
          <w:szCs w:val="20"/>
        </w:rPr>
      </w:pPr>
      <w:r w:rsidRPr="00471CBA">
        <w:rPr>
          <w:szCs w:val="20"/>
        </w:rPr>
        <w:t xml:space="preserve">Temerrüt Tutarı, borçlunun temerrüde düşmesi durumunda maruz kalınması beklenen brüt alacak tutarını ifade eder. Bu tutar, temerrüt tarihinde beklenen anapara ve kâr payı geri ödemelerinden oluşmaktadır. Temerrüt tutarının hesaplanması, alacağın türüne (nakdi, </w:t>
      </w:r>
      <w:proofErr w:type="spellStart"/>
      <w:r w:rsidRPr="00471CBA">
        <w:rPr>
          <w:szCs w:val="20"/>
        </w:rPr>
        <w:t>gayrinakdi</w:t>
      </w:r>
      <w:proofErr w:type="spellEnd"/>
      <w:r w:rsidRPr="00471CBA">
        <w:rPr>
          <w:szCs w:val="20"/>
        </w:rPr>
        <w:t xml:space="preserve"> vb.) ve ilgili finansal varlığın sınıflandırmasına bağlı olarak değişiklik gösterir.</w:t>
      </w:r>
    </w:p>
    <w:p w14:paraId="4DBCDD17" w14:textId="77777777" w:rsidR="009F21A7" w:rsidRPr="00471CBA" w:rsidRDefault="009F21A7" w:rsidP="009F21A7">
      <w:pPr>
        <w:ind w:left="851"/>
        <w:jc w:val="both"/>
        <w:rPr>
          <w:szCs w:val="20"/>
        </w:rPr>
      </w:pPr>
      <w:r w:rsidRPr="00471CBA">
        <w:rPr>
          <w:szCs w:val="20"/>
        </w:rPr>
        <w:t>Ömür boyu beklenen zararın belirlenmesinde Banka’nın kredi riskine maruz kalacağı dönem dikkate alınarak hesaplanmaktadır.</w:t>
      </w:r>
    </w:p>
    <w:p w14:paraId="617A8C0D" w14:textId="77777777" w:rsidR="009F21A7" w:rsidRPr="00471CBA" w:rsidRDefault="009F21A7" w:rsidP="009F21A7">
      <w:pPr>
        <w:ind w:left="851"/>
        <w:jc w:val="both"/>
        <w:rPr>
          <w:b/>
          <w:bCs/>
          <w:szCs w:val="20"/>
        </w:rPr>
      </w:pPr>
    </w:p>
    <w:p w14:paraId="355BC09D" w14:textId="77777777" w:rsidR="009F21A7" w:rsidRPr="00471CBA" w:rsidRDefault="009F21A7" w:rsidP="009F21A7">
      <w:pPr>
        <w:ind w:left="851"/>
        <w:jc w:val="both"/>
        <w:rPr>
          <w:b/>
          <w:bCs/>
          <w:szCs w:val="20"/>
        </w:rPr>
      </w:pPr>
      <w:r w:rsidRPr="00471CBA">
        <w:rPr>
          <w:b/>
          <w:bCs/>
          <w:szCs w:val="20"/>
        </w:rPr>
        <w:t>Kredi Riskinde Önemli Artış</w:t>
      </w:r>
    </w:p>
    <w:p w14:paraId="1BF92479" w14:textId="77777777" w:rsidR="009F21A7" w:rsidRPr="00471CBA" w:rsidRDefault="009F21A7" w:rsidP="009F21A7">
      <w:pPr>
        <w:ind w:left="851"/>
        <w:jc w:val="both"/>
        <w:rPr>
          <w:b/>
          <w:bCs/>
          <w:szCs w:val="20"/>
        </w:rPr>
      </w:pPr>
    </w:p>
    <w:p w14:paraId="3FF8FCD7" w14:textId="77777777" w:rsidR="009F21A7" w:rsidRPr="00471CBA" w:rsidRDefault="009F21A7" w:rsidP="009F21A7">
      <w:pPr>
        <w:ind w:left="851"/>
        <w:jc w:val="both"/>
        <w:rPr>
          <w:szCs w:val="20"/>
        </w:rPr>
      </w:pPr>
      <w:r w:rsidRPr="00471CBA">
        <w:rPr>
          <w:szCs w:val="20"/>
        </w:rPr>
        <w:t>Banka kredi riskindeki önemli artış nedeniyle 2. Aşama (Kredi Riskinde Önemli Artış) olarak sınıflandırılacak finansal varlıkların belirlenmesinde nitel değerlendirmeler yapmaktadır.</w:t>
      </w:r>
    </w:p>
    <w:p w14:paraId="4E089780" w14:textId="77777777" w:rsidR="009F21A7" w:rsidRPr="00471CBA" w:rsidRDefault="009F21A7" w:rsidP="009F21A7">
      <w:pPr>
        <w:ind w:left="851"/>
        <w:jc w:val="both"/>
        <w:rPr>
          <w:szCs w:val="20"/>
        </w:rPr>
      </w:pPr>
    </w:p>
    <w:p w14:paraId="3AA8E9B5" w14:textId="77777777" w:rsidR="009F21A7" w:rsidRPr="00471CBA" w:rsidRDefault="009F21A7" w:rsidP="009F21A7">
      <w:pPr>
        <w:ind w:left="851"/>
        <w:jc w:val="both"/>
        <w:rPr>
          <w:szCs w:val="20"/>
        </w:rPr>
      </w:pPr>
      <w:r w:rsidRPr="00471CBA">
        <w:rPr>
          <w:szCs w:val="20"/>
        </w:rPr>
        <w:t>Nitel değerlendirmeler kapsamında, aşağıdaki koşullardan herhangi birinin gerçekleşmesi durumunda ilgili finansal varlık 2. Aşama olarak sınıflandırılmaktadır.</w:t>
      </w:r>
    </w:p>
    <w:p w14:paraId="7D1AA748" w14:textId="77777777" w:rsidR="009F21A7" w:rsidRPr="00471CBA" w:rsidRDefault="009F21A7" w:rsidP="009F21A7">
      <w:pPr>
        <w:ind w:left="851"/>
        <w:jc w:val="both"/>
        <w:rPr>
          <w:szCs w:val="20"/>
        </w:rPr>
      </w:pPr>
    </w:p>
    <w:p w14:paraId="02906FE5" w14:textId="77777777" w:rsidR="009F21A7" w:rsidRPr="00471CBA" w:rsidRDefault="009F21A7" w:rsidP="008459A9">
      <w:pPr>
        <w:pStyle w:val="ListeParagraf"/>
        <w:numPr>
          <w:ilvl w:val="0"/>
          <w:numId w:val="91"/>
        </w:numPr>
        <w:jc w:val="both"/>
        <w:rPr>
          <w:szCs w:val="20"/>
        </w:rPr>
      </w:pPr>
      <w:r w:rsidRPr="00471CBA">
        <w:rPr>
          <w:szCs w:val="20"/>
        </w:rPr>
        <w:t>Raporlama tarihinde vadesi 30 günden fazla gecikmiş olan alacaklar,</w:t>
      </w:r>
    </w:p>
    <w:p w14:paraId="7A2145AE" w14:textId="77777777" w:rsidR="009F21A7" w:rsidRPr="00471CBA" w:rsidRDefault="009F21A7" w:rsidP="008459A9">
      <w:pPr>
        <w:pStyle w:val="ListeParagraf"/>
        <w:numPr>
          <w:ilvl w:val="0"/>
          <w:numId w:val="91"/>
        </w:numPr>
        <w:jc w:val="both"/>
        <w:rPr>
          <w:szCs w:val="20"/>
        </w:rPr>
      </w:pPr>
      <w:r w:rsidRPr="00471CBA">
        <w:rPr>
          <w:szCs w:val="20"/>
        </w:rPr>
        <w:t xml:space="preserve"> Bankalarca Finansal Yeniden Yapılandırma Sürecinde olan alacaklar</w:t>
      </w:r>
    </w:p>
    <w:p w14:paraId="697B2BD5" w14:textId="77777777" w:rsidR="009F21A7" w:rsidRPr="00471CBA" w:rsidRDefault="009F21A7" w:rsidP="009F21A7">
      <w:pPr>
        <w:ind w:left="1571" w:hanging="720"/>
        <w:jc w:val="both"/>
        <w:rPr>
          <w:szCs w:val="20"/>
        </w:rPr>
      </w:pPr>
      <w:r w:rsidRPr="00471CBA">
        <w:rPr>
          <w:szCs w:val="20"/>
        </w:rPr>
        <w:t>III</w:t>
      </w:r>
      <w:r w:rsidRPr="00471CBA">
        <w:rPr>
          <w:szCs w:val="20"/>
        </w:rPr>
        <w:tab/>
        <w:t>İflas erteleme, İflas Başvurusu ve konkordato ilan eden alacaklar,</w:t>
      </w:r>
    </w:p>
    <w:p w14:paraId="354D7275" w14:textId="77777777" w:rsidR="009F21A7" w:rsidRPr="00471CBA" w:rsidRDefault="009F21A7" w:rsidP="009F21A7">
      <w:pPr>
        <w:ind w:left="1571" w:hanging="720"/>
        <w:jc w:val="both"/>
        <w:rPr>
          <w:szCs w:val="20"/>
        </w:rPr>
      </w:pPr>
      <w:r w:rsidRPr="00471CBA">
        <w:rPr>
          <w:szCs w:val="20"/>
        </w:rPr>
        <w:t>IV</w:t>
      </w:r>
      <w:r w:rsidRPr="00471CBA">
        <w:rPr>
          <w:szCs w:val="20"/>
        </w:rPr>
        <w:tab/>
        <w:t xml:space="preserve"> Bankamız tarafından hukuki takip başlatılan alacaklar,</w:t>
      </w:r>
    </w:p>
    <w:p w14:paraId="772CB171" w14:textId="77777777" w:rsidR="009F21A7" w:rsidRPr="00471CBA" w:rsidRDefault="009F21A7" w:rsidP="009F21A7">
      <w:pPr>
        <w:ind w:left="1571" w:hanging="720"/>
        <w:jc w:val="both"/>
        <w:rPr>
          <w:szCs w:val="20"/>
        </w:rPr>
      </w:pPr>
      <w:r w:rsidRPr="00471CBA">
        <w:rPr>
          <w:szCs w:val="20"/>
        </w:rPr>
        <w:t>V</w:t>
      </w:r>
      <w:r w:rsidRPr="00471CBA">
        <w:rPr>
          <w:szCs w:val="20"/>
        </w:rPr>
        <w:tab/>
        <w:t xml:space="preserve"> Ödeme güçlüğü nedeniyle yeniden yapılandırma kapsamında değerlendirilen alacaklar,</w:t>
      </w:r>
    </w:p>
    <w:p w14:paraId="08A02C13" w14:textId="77777777" w:rsidR="009F21A7" w:rsidRPr="00471CBA" w:rsidRDefault="009F21A7" w:rsidP="009F21A7">
      <w:pPr>
        <w:ind w:left="1571" w:hanging="720"/>
        <w:jc w:val="both"/>
        <w:rPr>
          <w:szCs w:val="20"/>
        </w:rPr>
      </w:pPr>
      <w:r w:rsidRPr="00471CBA">
        <w:rPr>
          <w:szCs w:val="20"/>
        </w:rPr>
        <w:t>VI.</w:t>
      </w:r>
      <w:r w:rsidRPr="00471CBA">
        <w:rPr>
          <w:szCs w:val="20"/>
        </w:rPr>
        <w:tab/>
        <w:t xml:space="preserve"> Aşağıdaki koşullardan en az ikisinin gerçekleşmesi;</w:t>
      </w:r>
    </w:p>
    <w:p w14:paraId="03C7774C" w14:textId="77777777" w:rsidR="009F21A7" w:rsidRPr="00471CBA" w:rsidRDefault="009F21A7" w:rsidP="008459A9">
      <w:pPr>
        <w:pStyle w:val="ListeParagraf"/>
        <w:numPr>
          <w:ilvl w:val="7"/>
          <w:numId w:val="67"/>
        </w:numPr>
        <w:ind w:left="1560"/>
        <w:jc w:val="both"/>
        <w:rPr>
          <w:szCs w:val="20"/>
        </w:rPr>
      </w:pPr>
      <w:r w:rsidRPr="00471CBA">
        <w:rPr>
          <w:szCs w:val="20"/>
        </w:rPr>
        <w:t>Gecikme günü 7 günden fazla olması,</w:t>
      </w:r>
    </w:p>
    <w:p w14:paraId="16386066" w14:textId="77777777" w:rsidR="009F21A7" w:rsidRPr="00471CBA" w:rsidRDefault="009F21A7" w:rsidP="008459A9">
      <w:pPr>
        <w:pStyle w:val="ListeParagraf"/>
        <w:numPr>
          <w:ilvl w:val="7"/>
          <w:numId w:val="67"/>
        </w:numPr>
        <w:ind w:left="1560"/>
        <w:jc w:val="both"/>
        <w:rPr>
          <w:szCs w:val="20"/>
        </w:rPr>
      </w:pPr>
      <w:r w:rsidRPr="00471CBA">
        <w:rPr>
          <w:szCs w:val="20"/>
        </w:rPr>
        <w:t>Banka tarafından tazmin edilen bir yükümlülüğün bulunması,</w:t>
      </w:r>
    </w:p>
    <w:p w14:paraId="0BD6EEF7" w14:textId="77777777" w:rsidR="009F21A7" w:rsidRPr="00471CBA" w:rsidRDefault="009F21A7" w:rsidP="008459A9">
      <w:pPr>
        <w:pStyle w:val="ListeParagraf"/>
        <w:numPr>
          <w:ilvl w:val="7"/>
          <w:numId w:val="67"/>
        </w:numPr>
        <w:ind w:left="1560"/>
        <w:jc w:val="both"/>
        <w:rPr>
          <w:szCs w:val="20"/>
        </w:rPr>
      </w:pPr>
      <w:proofErr w:type="spellStart"/>
      <w:r w:rsidRPr="00471CBA">
        <w:rPr>
          <w:szCs w:val="20"/>
        </w:rPr>
        <w:t>Memzuç</w:t>
      </w:r>
      <w:proofErr w:type="spellEnd"/>
      <w:r w:rsidRPr="00471CBA">
        <w:rPr>
          <w:szCs w:val="20"/>
        </w:rPr>
        <w:t xml:space="preserve"> Takip riskinin bankamız nakdi riskine oranı %1’den büyük olması,</w:t>
      </w:r>
    </w:p>
    <w:p w14:paraId="4F9A3F43" w14:textId="77777777" w:rsidR="009F21A7" w:rsidRPr="00471CBA" w:rsidRDefault="009F21A7" w:rsidP="008459A9">
      <w:pPr>
        <w:pStyle w:val="ListeParagraf"/>
        <w:numPr>
          <w:ilvl w:val="7"/>
          <w:numId w:val="67"/>
        </w:numPr>
        <w:ind w:left="1560"/>
        <w:jc w:val="both"/>
        <w:rPr>
          <w:szCs w:val="20"/>
        </w:rPr>
      </w:pPr>
      <w:r w:rsidRPr="00471CBA">
        <w:rPr>
          <w:szCs w:val="20"/>
        </w:rPr>
        <w:t>Düzeltmesi yapılmamış Karşılıksız çekinin bulunması,</w:t>
      </w:r>
    </w:p>
    <w:p w14:paraId="6B79DCC2" w14:textId="77777777" w:rsidR="009F21A7" w:rsidRPr="00471CBA" w:rsidRDefault="009F21A7" w:rsidP="009F21A7">
      <w:pPr>
        <w:ind w:left="851"/>
        <w:jc w:val="both"/>
        <w:rPr>
          <w:szCs w:val="20"/>
        </w:rPr>
      </w:pPr>
    </w:p>
    <w:p w14:paraId="3D16DC23" w14:textId="77777777" w:rsidR="009F21A7" w:rsidRPr="00471CBA" w:rsidRDefault="009F21A7" w:rsidP="009F21A7">
      <w:pPr>
        <w:ind w:left="1560" w:hanging="709"/>
        <w:jc w:val="both"/>
        <w:rPr>
          <w:szCs w:val="20"/>
        </w:rPr>
      </w:pPr>
      <w:r w:rsidRPr="00471CBA">
        <w:rPr>
          <w:szCs w:val="20"/>
        </w:rPr>
        <w:t>VII.</w:t>
      </w:r>
      <w:r w:rsidRPr="00471CBA">
        <w:rPr>
          <w:szCs w:val="20"/>
        </w:rPr>
        <w:tab/>
        <w:t>Aşağıdaki koşullardan en az üçünün gerçekleşmesi;</w:t>
      </w:r>
    </w:p>
    <w:p w14:paraId="310806A7" w14:textId="77777777" w:rsidR="009F21A7" w:rsidRPr="00471CBA" w:rsidRDefault="009F21A7" w:rsidP="008459A9">
      <w:pPr>
        <w:pStyle w:val="ListeParagraf"/>
        <w:numPr>
          <w:ilvl w:val="7"/>
          <w:numId w:val="84"/>
        </w:numPr>
        <w:ind w:left="1560"/>
        <w:jc w:val="both"/>
        <w:rPr>
          <w:szCs w:val="20"/>
        </w:rPr>
      </w:pPr>
      <w:r w:rsidRPr="00471CBA">
        <w:rPr>
          <w:szCs w:val="20"/>
        </w:rPr>
        <w:t>Gecikme günü 15 günden fazla olması,</w:t>
      </w:r>
    </w:p>
    <w:p w14:paraId="1BF409A4" w14:textId="77777777" w:rsidR="009F21A7" w:rsidRPr="00471CBA" w:rsidRDefault="009F21A7" w:rsidP="008459A9">
      <w:pPr>
        <w:pStyle w:val="ListeParagraf"/>
        <w:numPr>
          <w:ilvl w:val="7"/>
          <w:numId w:val="84"/>
        </w:numPr>
        <w:ind w:left="1560"/>
        <w:jc w:val="both"/>
        <w:rPr>
          <w:szCs w:val="20"/>
        </w:rPr>
      </w:pPr>
      <w:r w:rsidRPr="00471CBA">
        <w:rPr>
          <w:szCs w:val="20"/>
        </w:rPr>
        <w:t>Banka tarafından tazmin edilen bir yükümlülüğün bulunması,</w:t>
      </w:r>
    </w:p>
    <w:p w14:paraId="7C228B4D" w14:textId="77777777" w:rsidR="009F21A7" w:rsidRPr="00471CBA" w:rsidRDefault="009F21A7" w:rsidP="008459A9">
      <w:pPr>
        <w:pStyle w:val="ListeParagraf"/>
        <w:numPr>
          <w:ilvl w:val="7"/>
          <w:numId w:val="84"/>
        </w:numPr>
        <w:ind w:left="1560"/>
        <w:jc w:val="both"/>
        <w:rPr>
          <w:szCs w:val="20"/>
        </w:rPr>
      </w:pPr>
      <w:proofErr w:type="spellStart"/>
      <w:r w:rsidRPr="00471CBA">
        <w:rPr>
          <w:szCs w:val="20"/>
        </w:rPr>
        <w:t>Memzuç</w:t>
      </w:r>
      <w:proofErr w:type="spellEnd"/>
      <w:r w:rsidRPr="00471CBA">
        <w:rPr>
          <w:szCs w:val="20"/>
        </w:rPr>
        <w:t xml:space="preserve"> Takip riskinin bankamız nakdi riskine oranı %1’den büyük olması,</w:t>
      </w:r>
    </w:p>
    <w:p w14:paraId="5447080D" w14:textId="77777777" w:rsidR="009F21A7" w:rsidRPr="00471CBA" w:rsidRDefault="009F21A7" w:rsidP="008459A9">
      <w:pPr>
        <w:pStyle w:val="ListeParagraf"/>
        <w:numPr>
          <w:ilvl w:val="7"/>
          <w:numId w:val="84"/>
        </w:numPr>
        <w:ind w:left="1560"/>
        <w:jc w:val="both"/>
        <w:rPr>
          <w:szCs w:val="20"/>
        </w:rPr>
      </w:pPr>
      <w:r w:rsidRPr="00471CBA">
        <w:rPr>
          <w:szCs w:val="20"/>
        </w:rPr>
        <w:t>Düzeltmesi yapılmamış Karşılıksız çekinin bulunması,</w:t>
      </w:r>
    </w:p>
    <w:p w14:paraId="440CB6F6" w14:textId="77777777" w:rsidR="009F21A7" w:rsidRPr="00471CBA" w:rsidRDefault="009F21A7" w:rsidP="008459A9">
      <w:pPr>
        <w:pStyle w:val="ListeParagraf"/>
        <w:numPr>
          <w:ilvl w:val="7"/>
          <w:numId w:val="84"/>
        </w:numPr>
        <w:ind w:left="1560"/>
        <w:jc w:val="both"/>
        <w:rPr>
          <w:szCs w:val="20"/>
        </w:rPr>
      </w:pPr>
      <w:r w:rsidRPr="00471CBA">
        <w:rPr>
          <w:szCs w:val="20"/>
        </w:rPr>
        <w:t>E-Haciz veya İcra kaydının bulunması,</w:t>
      </w:r>
    </w:p>
    <w:p w14:paraId="36D3C5D9" w14:textId="77777777" w:rsidR="009F21A7" w:rsidRPr="00471CBA" w:rsidRDefault="009F21A7" w:rsidP="008459A9">
      <w:pPr>
        <w:pStyle w:val="ListeParagraf"/>
        <w:numPr>
          <w:ilvl w:val="7"/>
          <w:numId w:val="84"/>
        </w:numPr>
        <w:ind w:left="1560"/>
        <w:jc w:val="both"/>
        <w:rPr>
          <w:szCs w:val="20"/>
        </w:rPr>
      </w:pPr>
      <w:proofErr w:type="spellStart"/>
      <w:r w:rsidRPr="00471CBA">
        <w:rPr>
          <w:szCs w:val="20"/>
        </w:rPr>
        <w:t>Memzuç</w:t>
      </w:r>
      <w:proofErr w:type="spellEnd"/>
      <w:r w:rsidRPr="00471CBA">
        <w:rPr>
          <w:szCs w:val="20"/>
        </w:rPr>
        <w:t xml:space="preserve"> Tahakkuk riskinin bankamız nakdi riskine oranı %1’den büyük olması,</w:t>
      </w:r>
    </w:p>
    <w:p w14:paraId="7559DE6F" w14:textId="77777777" w:rsidR="009F21A7" w:rsidRPr="00471CBA" w:rsidRDefault="009F21A7" w:rsidP="008459A9">
      <w:pPr>
        <w:pStyle w:val="ListeParagraf"/>
        <w:numPr>
          <w:ilvl w:val="7"/>
          <w:numId w:val="84"/>
        </w:numPr>
        <w:ind w:left="1560"/>
        <w:jc w:val="both"/>
        <w:rPr>
          <w:szCs w:val="20"/>
        </w:rPr>
      </w:pPr>
      <w:proofErr w:type="spellStart"/>
      <w:r w:rsidRPr="00471CBA">
        <w:rPr>
          <w:szCs w:val="20"/>
        </w:rPr>
        <w:t>Memzuç</w:t>
      </w:r>
      <w:proofErr w:type="spellEnd"/>
      <w:r w:rsidRPr="00471CBA">
        <w:rPr>
          <w:szCs w:val="20"/>
        </w:rPr>
        <w:t xml:space="preserve"> Tazmin riskinin bankamız nakdi riskine oranı %1’den büyük olması,</w:t>
      </w:r>
    </w:p>
    <w:p w14:paraId="13B748E7" w14:textId="77777777" w:rsidR="009F21A7" w:rsidRPr="00471CBA" w:rsidRDefault="009F21A7" w:rsidP="008459A9">
      <w:pPr>
        <w:pStyle w:val="ListeParagraf"/>
        <w:numPr>
          <w:ilvl w:val="7"/>
          <w:numId w:val="84"/>
        </w:numPr>
        <w:ind w:left="1560"/>
        <w:jc w:val="both"/>
        <w:rPr>
          <w:szCs w:val="20"/>
        </w:rPr>
      </w:pPr>
      <w:proofErr w:type="spellStart"/>
      <w:r w:rsidRPr="00471CBA">
        <w:rPr>
          <w:szCs w:val="20"/>
        </w:rPr>
        <w:t>Memzuç</w:t>
      </w:r>
      <w:proofErr w:type="spellEnd"/>
      <w:r w:rsidRPr="00471CBA">
        <w:rPr>
          <w:szCs w:val="20"/>
        </w:rPr>
        <w:t xml:space="preserve"> Yapılandırma riskinin bankamız nakdi riskine oranı %25’ten büyük olması durumunda müşteri sistem tarafından 2.Gruba alınmaktadır.</w:t>
      </w:r>
    </w:p>
    <w:p w14:paraId="0478E2C4" w14:textId="77777777" w:rsidR="0099314C" w:rsidRPr="00471CBA" w:rsidRDefault="0099314C" w:rsidP="00E6325F">
      <w:pPr>
        <w:widowControl w:val="0"/>
        <w:autoSpaceDE w:val="0"/>
        <w:autoSpaceDN w:val="0"/>
        <w:adjustRightInd w:val="0"/>
        <w:ind w:left="851"/>
        <w:jc w:val="both"/>
        <w:rPr>
          <w:szCs w:val="20"/>
        </w:rPr>
      </w:pPr>
    </w:p>
    <w:p w14:paraId="23E63567" w14:textId="34C6CE20" w:rsidR="00332B3C" w:rsidRPr="00471CBA" w:rsidRDefault="00E6325F" w:rsidP="00DF282B">
      <w:pPr>
        <w:pStyle w:val="GvdeMetni2"/>
        <w:widowControl w:val="0"/>
        <w:numPr>
          <w:ilvl w:val="0"/>
          <w:numId w:val="42"/>
        </w:numPr>
        <w:ind w:hanging="861"/>
      </w:pPr>
      <w:r w:rsidRPr="00471CBA">
        <w:t>FİNANSAL ARAÇLARIN NETLEŞTİRİLMESİNE İLİŞKİN AÇIKLAMALAR</w:t>
      </w:r>
    </w:p>
    <w:p w14:paraId="519B7D72" w14:textId="77777777" w:rsidR="00332B3C" w:rsidRPr="00471CBA" w:rsidRDefault="00332B3C" w:rsidP="00332B3C">
      <w:pPr>
        <w:widowControl w:val="0"/>
        <w:autoSpaceDE w:val="0"/>
        <w:autoSpaceDN w:val="0"/>
        <w:adjustRightInd w:val="0"/>
        <w:ind w:left="851"/>
        <w:jc w:val="both"/>
        <w:rPr>
          <w:szCs w:val="20"/>
        </w:rPr>
      </w:pPr>
    </w:p>
    <w:p w14:paraId="55284DC3" w14:textId="08983699" w:rsidR="00674806" w:rsidRPr="00471CBA" w:rsidRDefault="00332B3C" w:rsidP="00332B3C">
      <w:pPr>
        <w:widowControl w:val="0"/>
        <w:autoSpaceDE w:val="0"/>
        <w:autoSpaceDN w:val="0"/>
        <w:adjustRightInd w:val="0"/>
        <w:ind w:left="851"/>
        <w:jc w:val="both"/>
        <w:rPr>
          <w:szCs w:val="20"/>
        </w:rPr>
      </w:pPr>
      <w:r w:rsidRPr="00471CBA">
        <w:rPr>
          <w:szCs w:val="20"/>
        </w:rPr>
        <w:t>Finansal varlıklar ve borçlar, Bankanın netleştirmeye yönelik bir hakka ve yaptırım gücüne sahip olması ve ilgili finansal varlık ve borcu net tutarları üzerinden tahsil etme/ödeme niyetinde olması veya ilgili finansal varlığı ve borcu eş zamanlı olarak sonuçlandırma hakkına sahip olması durumlarında bilançoda net tutarları üzerinden gösterilmektedir.</w:t>
      </w:r>
    </w:p>
    <w:p w14:paraId="5273517E" w14:textId="77777777" w:rsidR="00674806" w:rsidRPr="00471CBA" w:rsidRDefault="00674806">
      <w:pPr>
        <w:rPr>
          <w:szCs w:val="20"/>
        </w:rPr>
      </w:pPr>
      <w:r w:rsidRPr="00471CBA">
        <w:rPr>
          <w:szCs w:val="20"/>
        </w:rPr>
        <w:br w:type="page"/>
      </w:r>
    </w:p>
    <w:p w14:paraId="78731FDD" w14:textId="18AF66FE" w:rsidR="00674806" w:rsidRPr="00471CBA" w:rsidRDefault="00674806" w:rsidP="00674806">
      <w:pPr>
        <w:pStyle w:val="GvdeMetniGirintisi"/>
        <w:widowControl w:val="0"/>
        <w:spacing w:after="120" w:line="223" w:lineRule="auto"/>
        <w:ind w:firstLine="0"/>
        <w:rPr>
          <w:b/>
          <w:szCs w:val="20"/>
        </w:rPr>
      </w:pPr>
      <w:r w:rsidRPr="00471CBA">
        <w:rPr>
          <w:b/>
          <w:szCs w:val="20"/>
        </w:rPr>
        <w:lastRenderedPageBreak/>
        <w:t xml:space="preserve">MUHASEBE POLİTİKALARINA İLİŞKİN AÇIKLAMALAR (Devamı) </w:t>
      </w:r>
    </w:p>
    <w:p w14:paraId="7CAB1D3F" w14:textId="26EE2302" w:rsidR="00E6325F" w:rsidRPr="00471CBA" w:rsidRDefault="00DF415D" w:rsidP="00DF282B">
      <w:pPr>
        <w:pStyle w:val="GvdeMetni2"/>
        <w:widowControl w:val="0"/>
        <w:numPr>
          <w:ilvl w:val="0"/>
          <w:numId w:val="42"/>
        </w:numPr>
        <w:ind w:hanging="861"/>
      </w:pPr>
      <w:r w:rsidRPr="00471CBA">
        <w:t>SATIŞ VE GERİ ALIŞ ANLAŞMALARI VE MENKUL DEĞERLERİN ÖDÜNÇ VERİLMESİ İŞLEMLERİNE İLİŞKİN AÇIKLAMALAR</w:t>
      </w:r>
    </w:p>
    <w:p w14:paraId="4B8DE243" w14:textId="77777777" w:rsidR="00E6325F" w:rsidRPr="00471CBA" w:rsidRDefault="00E6325F" w:rsidP="00E6325F">
      <w:pPr>
        <w:pStyle w:val="GvdeMetni2"/>
        <w:widowControl w:val="0"/>
        <w:ind w:left="851" w:hanging="851"/>
      </w:pPr>
    </w:p>
    <w:p w14:paraId="36CF07C9" w14:textId="3DF4943B" w:rsidR="00DF415D" w:rsidRPr="00471CBA" w:rsidRDefault="00E6325F" w:rsidP="00E6325F">
      <w:pPr>
        <w:pStyle w:val="GvdeMetni"/>
        <w:widowControl w:val="0"/>
        <w:tabs>
          <w:tab w:val="clear" w:pos="0"/>
          <w:tab w:val="clear" w:pos="567"/>
          <w:tab w:val="clear" w:pos="720"/>
        </w:tabs>
        <w:ind w:left="851" w:right="-1"/>
        <w:rPr>
          <w:color w:val="auto"/>
        </w:rPr>
      </w:pPr>
      <w:r w:rsidRPr="00471CBA">
        <w:rPr>
          <w:color w:val="auto"/>
        </w:rPr>
        <w:t xml:space="preserve">Tekrar geri alımlarını öngören anlaşmalar çerçevesinde satılmış olan menkul kıymetler Banka portföyünde tutuluş amaçlarına göre “Gerçeğe </w:t>
      </w:r>
      <w:r w:rsidR="0009220A" w:rsidRPr="00471CBA">
        <w:rPr>
          <w:color w:val="auto"/>
        </w:rPr>
        <w:t>Uygun Değer Farkı Kar/Zarara Yansıtılan</w:t>
      </w:r>
      <w:r w:rsidRPr="00471CBA">
        <w:rPr>
          <w:color w:val="auto"/>
        </w:rPr>
        <w:t>”, “</w:t>
      </w:r>
      <w:r w:rsidR="00516846" w:rsidRPr="00471CBA">
        <w:rPr>
          <w:color w:val="auto"/>
        </w:rPr>
        <w:t xml:space="preserve">Gerçeğe </w:t>
      </w:r>
      <w:r w:rsidR="0009220A" w:rsidRPr="00471CBA">
        <w:rPr>
          <w:color w:val="auto"/>
        </w:rPr>
        <w:t>Uygun Değer Farkı Diğer Kapsamlı Gelire Yansıtılan</w:t>
      </w:r>
      <w:r w:rsidRPr="00471CBA">
        <w:rPr>
          <w:color w:val="auto"/>
        </w:rPr>
        <w:t>” veya “</w:t>
      </w:r>
      <w:r w:rsidR="00516846" w:rsidRPr="00471CBA">
        <w:rPr>
          <w:color w:val="auto"/>
        </w:rPr>
        <w:t xml:space="preserve">İtfa </w:t>
      </w:r>
      <w:r w:rsidR="0009220A" w:rsidRPr="00471CBA">
        <w:rPr>
          <w:color w:val="auto"/>
        </w:rPr>
        <w:t>Edilmiş Maliyet</w:t>
      </w:r>
      <w:r w:rsidRPr="00471CBA">
        <w:rPr>
          <w:color w:val="auto"/>
        </w:rPr>
        <w:t>” portföylerinde sınıflandırılmakta ve ait olduğu portföyün esaslarına göre değerlemeye tabi tutulmaktadır.</w:t>
      </w:r>
    </w:p>
    <w:p w14:paraId="7290F4C4" w14:textId="77777777" w:rsidR="00DF415D" w:rsidRPr="00471CBA" w:rsidRDefault="00DF415D" w:rsidP="00E6325F">
      <w:pPr>
        <w:pStyle w:val="GvdeMetni"/>
        <w:widowControl w:val="0"/>
        <w:tabs>
          <w:tab w:val="clear" w:pos="0"/>
          <w:tab w:val="clear" w:pos="567"/>
          <w:tab w:val="clear" w:pos="720"/>
        </w:tabs>
        <w:ind w:left="851" w:right="-1"/>
        <w:rPr>
          <w:color w:val="auto"/>
        </w:rPr>
      </w:pPr>
    </w:p>
    <w:p w14:paraId="1D2DFF3B" w14:textId="32E41FD3" w:rsidR="00E6325F" w:rsidRPr="00471CBA" w:rsidRDefault="00E6325F" w:rsidP="00E6325F">
      <w:pPr>
        <w:pStyle w:val="GvdeMetni"/>
        <w:widowControl w:val="0"/>
        <w:tabs>
          <w:tab w:val="clear" w:pos="0"/>
          <w:tab w:val="clear" w:pos="567"/>
          <w:tab w:val="clear" w:pos="720"/>
        </w:tabs>
        <w:ind w:left="851" w:right="-1"/>
        <w:rPr>
          <w:color w:val="auto"/>
        </w:rPr>
      </w:pPr>
      <w:r w:rsidRPr="00471CBA">
        <w:rPr>
          <w:color w:val="auto"/>
        </w:rPr>
        <w:t xml:space="preserve">Söz konusu anlaşmalar karşılığı elde edilen fonlar pasifte “Para Piyasalarına Borçlar” hesabında izlenmekte ve ilgili anlaşmalarla belirlenen satım ve geri alım fiyatları arasındaki farkın döneme isabet eden kısmı için iç verim oranı yöntemine göre gider reeskontu hesaplanmaktadır. Bu işlemlerden sağlanan fonlar karşılığında ödenen kar payları gelir tablosunda “Para </w:t>
      </w:r>
      <w:r w:rsidR="0009220A" w:rsidRPr="00471CBA">
        <w:rPr>
          <w:color w:val="auto"/>
        </w:rPr>
        <w:t>Piyasası İşlemlerine Verilen Kar Payları</w:t>
      </w:r>
      <w:r w:rsidRPr="00471CBA">
        <w:rPr>
          <w:color w:val="auto"/>
        </w:rPr>
        <w:t xml:space="preserve">” kaleminde izlenmektedir. </w:t>
      </w:r>
    </w:p>
    <w:p w14:paraId="74A5A995" w14:textId="77777777" w:rsidR="00776AB1" w:rsidRPr="00471CBA" w:rsidRDefault="00776AB1" w:rsidP="00E6325F">
      <w:pPr>
        <w:pStyle w:val="GvdeMetni"/>
        <w:widowControl w:val="0"/>
        <w:tabs>
          <w:tab w:val="clear" w:pos="0"/>
          <w:tab w:val="clear" w:pos="567"/>
          <w:tab w:val="clear" w:pos="720"/>
        </w:tabs>
        <w:ind w:left="851" w:right="-1"/>
        <w:rPr>
          <w:color w:val="auto"/>
        </w:rPr>
      </w:pPr>
    </w:p>
    <w:p w14:paraId="36CF04C5" w14:textId="77777777" w:rsidR="00776AB1" w:rsidRPr="00471CBA" w:rsidRDefault="00776AB1" w:rsidP="00776AB1">
      <w:pPr>
        <w:pStyle w:val="GvdeMetni2"/>
        <w:widowControl w:val="0"/>
        <w:numPr>
          <w:ilvl w:val="0"/>
          <w:numId w:val="42"/>
        </w:numPr>
        <w:ind w:hanging="861"/>
      </w:pPr>
      <w:r w:rsidRPr="00471CBA">
        <w:t>SATIŞ AMAÇLI ELDE TUTULAN VE DURDURULAN FAALİYETLERE İLİŞKİN DURAN VARLIKLAR İLE BU VARLIKLARA İLİŞKİN BORÇLAR HAKKINDA AÇIKLAMALAR</w:t>
      </w:r>
    </w:p>
    <w:p w14:paraId="3EF6CD90" w14:textId="77777777" w:rsidR="00776AB1" w:rsidRPr="00471CBA" w:rsidRDefault="00776AB1" w:rsidP="00776AB1">
      <w:pPr>
        <w:widowControl w:val="0"/>
        <w:autoSpaceDE w:val="0"/>
        <w:autoSpaceDN w:val="0"/>
        <w:adjustRightInd w:val="0"/>
        <w:jc w:val="both"/>
        <w:rPr>
          <w:szCs w:val="20"/>
        </w:rPr>
      </w:pPr>
    </w:p>
    <w:p w14:paraId="1D38D88B" w14:textId="77777777" w:rsidR="00776AB1" w:rsidRPr="00471CBA" w:rsidRDefault="00776AB1" w:rsidP="00776AB1">
      <w:pPr>
        <w:widowControl w:val="0"/>
        <w:autoSpaceDE w:val="0"/>
        <w:autoSpaceDN w:val="0"/>
        <w:adjustRightInd w:val="0"/>
        <w:ind w:left="851"/>
        <w:jc w:val="both"/>
        <w:rPr>
          <w:szCs w:val="20"/>
        </w:rPr>
      </w:pPr>
      <w:r w:rsidRPr="00471CBA">
        <w:rPr>
          <w:szCs w:val="20"/>
        </w:rPr>
        <w:t>Satış amaçlı elde tutulan varlık olarak sınıflandırılan bir duran varlık (veya elden çıkarılacak duran varlık grubu) defter değeri ile satış maliyeti düşülmüş gerçeğe uygun değerinden küçük olanı ile ölçülür ve söz konusu varlıklar üzerinden amortisman ayırma işlemi durdurulur.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yüksek olması için uygun bir yönetim kademesi tarafından, varlığın satışına ilişkin bir plan yapılmış ve alıcıların tespiti ile planın tamamlanmasına yönelik aktif bir program başlatılmış olmalıdır. Ayrıca varlık, gerçeğe uygun değeri ile uyumlu bir fiyat ile aktif olarak pazarlanıyor olmalıdır</w:t>
      </w:r>
      <w:r w:rsidRPr="00471CBA">
        <w:rPr>
          <w:color w:val="0000FF"/>
          <w:szCs w:val="20"/>
        </w:rPr>
        <w:t>.</w:t>
      </w:r>
      <w:r w:rsidRPr="00471CBA">
        <w:rPr>
          <w:szCs w:val="20"/>
        </w:rPr>
        <w:t xml:space="preserve">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w:t>
      </w:r>
    </w:p>
    <w:p w14:paraId="28D80E0F" w14:textId="77777777" w:rsidR="00776AB1" w:rsidRPr="00471CBA" w:rsidRDefault="00776AB1" w:rsidP="00776AB1">
      <w:pPr>
        <w:widowControl w:val="0"/>
        <w:autoSpaceDE w:val="0"/>
        <w:autoSpaceDN w:val="0"/>
        <w:adjustRightInd w:val="0"/>
        <w:ind w:left="851"/>
        <w:jc w:val="both"/>
        <w:rPr>
          <w:szCs w:val="20"/>
        </w:rPr>
      </w:pPr>
    </w:p>
    <w:p w14:paraId="03A02CD2" w14:textId="77777777" w:rsidR="00776AB1" w:rsidRPr="00471CBA" w:rsidRDefault="00776AB1" w:rsidP="00776AB1">
      <w:pPr>
        <w:widowControl w:val="0"/>
        <w:ind w:left="851"/>
        <w:jc w:val="both"/>
        <w:rPr>
          <w:szCs w:val="20"/>
        </w:rPr>
      </w:pPr>
      <w:r w:rsidRPr="00471CBA">
        <w:rPr>
          <w:szCs w:val="20"/>
        </w:rPr>
        <w:t>Durdurulan bir faaliyet, Banka’nın elden çıkarılan veya satış amacıyla elde tutulan olarak sınıflandırılan bir bölümüdür. Durdurulan faaliyetlere ilişkin sonuçlar gelir tablosunda ayrı olarak sunulur. Banka’nın durdurulan faaliyeti bulunmamaktadır.</w:t>
      </w:r>
    </w:p>
    <w:p w14:paraId="3394CABE" w14:textId="4D3608F2" w:rsidR="004C6EA2" w:rsidRPr="00471CBA" w:rsidRDefault="004C6EA2" w:rsidP="0025237D">
      <w:pPr>
        <w:widowControl w:val="0"/>
        <w:autoSpaceDE w:val="0"/>
        <w:autoSpaceDN w:val="0"/>
        <w:adjustRightInd w:val="0"/>
        <w:jc w:val="both"/>
        <w:rPr>
          <w:szCs w:val="20"/>
        </w:rPr>
      </w:pPr>
    </w:p>
    <w:p w14:paraId="4BA3582C" w14:textId="5F4CD897" w:rsidR="006B4B08" w:rsidRPr="00471CBA" w:rsidRDefault="00DF415D" w:rsidP="00DF282B">
      <w:pPr>
        <w:pStyle w:val="GvdeMetni2"/>
        <w:widowControl w:val="0"/>
        <w:numPr>
          <w:ilvl w:val="0"/>
          <w:numId w:val="42"/>
        </w:numPr>
        <w:ind w:hanging="861"/>
      </w:pPr>
      <w:bookmarkStart w:id="30" w:name="_Hlk103158885"/>
      <w:r w:rsidRPr="00471CBA">
        <w:t>ŞEREFİYE VE DİĞER MADDİ OLMAYAN DURAN VARLIKLARA İLİŞKİN AÇIKLAMALAR</w:t>
      </w:r>
      <w:bookmarkEnd w:id="30"/>
    </w:p>
    <w:p w14:paraId="547A67CD" w14:textId="77777777" w:rsidR="006B4B08" w:rsidRPr="00471CBA" w:rsidRDefault="006B4B08" w:rsidP="004C6EA2">
      <w:pPr>
        <w:pStyle w:val="GvdeMetniGirintisi"/>
        <w:widowControl w:val="0"/>
        <w:ind w:firstLine="0"/>
        <w:rPr>
          <w:szCs w:val="20"/>
        </w:rPr>
      </w:pPr>
      <w:bookmarkStart w:id="31" w:name="_Hlk103158901"/>
    </w:p>
    <w:p w14:paraId="76ECF8D0" w14:textId="77777777" w:rsidR="006B4B08" w:rsidRPr="00471CBA" w:rsidRDefault="006B4B08" w:rsidP="004C6EA2">
      <w:pPr>
        <w:pStyle w:val="GvdeMetniGirintisi"/>
        <w:widowControl w:val="0"/>
        <w:ind w:left="851" w:firstLine="0"/>
        <w:rPr>
          <w:szCs w:val="20"/>
        </w:rPr>
      </w:pPr>
      <w:r w:rsidRPr="00471CBA">
        <w:rPr>
          <w:szCs w:val="20"/>
        </w:rPr>
        <w:t xml:space="preserve">Şerefiye ve diğer maddi olmayan duran varlıklar “Maddi Olmayan Duran Varlıklara İlişkin Türkiye Muhasebe Standardı” (“TMS 38”) uyarınca kayıtlara maliyet bedelinden alınmaktadır. Bilanço tarihi itibarıyla ilişikteki finansal tablolarda şerefiye tutarı bulunmamaktadır. Banka’nın maddi olmayan duran varlıkları, yazılım programları, aktifleştirilen bilgi teknolojileri hizmetleri ile </w:t>
      </w:r>
      <w:proofErr w:type="spellStart"/>
      <w:r w:rsidRPr="00471CBA">
        <w:rPr>
          <w:szCs w:val="20"/>
        </w:rPr>
        <w:t>gayrimaddi</w:t>
      </w:r>
      <w:proofErr w:type="spellEnd"/>
      <w:r w:rsidRPr="00471CBA">
        <w:rPr>
          <w:szCs w:val="20"/>
        </w:rPr>
        <w:t xml:space="preserve"> haklardan oluşmaktadır. </w:t>
      </w:r>
    </w:p>
    <w:p w14:paraId="7C123F7E" w14:textId="77777777" w:rsidR="006B4B08" w:rsidRPr="00471CBA" w:rsidRDefault="006B4B08" w:rsidP="004C6EA2">
      <w:pPr>
        <w:pStyle w:val="GvdeMetniGirintisi"/>
        <w:widowControl w:val="0"/>
        <w:ind w:left="851" w:firstLine="0"/>
        <w:rPr>
          <w:szCs w:val="20"/>
        </w:rPr>
      </w:pPr>
    </w:p>
    <w:bookmarkEnd w:id="31"/>
    <w:p w14:paraId="6909BABB" w14:textId="7D35544B" w:rsidR="006B4B08" w:rsidRPr="00471CBA" w:rsidRDefault="006B4B08" w:rsidP="004C6EA2">
      <w:pPr>
        <w:widowControl w:val="0"/>
        <w:autoSpaceDE w:val="0"/>
        <w:autoSpaceDN w:val="0"/>
        <w:adjustRightInd w:val="0"/>
        <w:ind w:left="851"/>
        <w:jc w:val="both"/>
        <w:rPr>
          <w:szCs w:val="20"/>
        </w:rPr>
      </w:pPr>
      <w:r w:rsidRPr="00471CBA">
        <w:rPr>
          <w:szCs w:val="20"/>
        </w:rPr>
        <w:t>Maddi olmayan duran varlıkların maliyetleri, 31 Aralık 2004 tarihinden önce aktife giren varlıklar için aktife girdikleri tarihten yüksek enflasyon döneminin sona erdiği tarih kabul edilen 31 Aralık 2004’e kadar geçen süre dikkate alınıp enflasyon düzeltmesine tabi tutularak daha sonraki tarihteki girişler ise ilk alış bedelleri dikkate alınarak finansal tablolara yansıtılmıştır. Banka, maddi olmayan duran varlıklara ilişkin tükenme paylarını, varlıkların faydalı ömürlerine göre eşit tutarlı, doğrusal amortisman yöntemini kullanarak ayırmaktadır. Banka’nın bilgisayar yazılımlarının faydalı ömürleri 3 ile 4 yıl olarak, diğer maddi olmayan duran varlıklarının tahmini ekonomik ömrü ise 15 yıl olarak belirlenmiştir.</w:t>
      </w:r>
      <w:r w:rsidR="00DF415D" w:rsidRPr="00471CBA">
        <w:rPr>
          <w:szCs w:val="20"/>
        </w:rPr>
        <w:t xml:space="preserve"> </w:t>
      </w:r>
      <w:r w:rsidRPr="00471CBA">
        <w:rPr>
          <w:szCs w:val="20"/>
        </w:rPr>
        <w:t>Banka değer düşüklüğü ile ilgili bir belirtinin mevcut olması durumunda ilgili varlığın geri kazanılabilir tutarını “Varlıklarda Değer Düşüklüğüne İlişkin Türkiye Muhasebe Standardı” (“TMS 36”) çerçevesinde tahmin etmekte ve geri kazanılabilir tutarın ilgili varlığın defter değerinin altında olması durumunda değer düşüklüğü karşılığı ayrılmaktadır.</w:t>
      </w:r>
    </w:p>
    <w:p w14:paraId="3634C384" w14:textId="422AA8B5" w:rsidR="00F36B82" w:rsidRDefault="00F36B82">
      <w:pPr>
        <w:rPr>
          <w:sz w:val="16"/>
          <w:szCs w:val="16"/>
        </w:rPr>
      </w:pPr>
      <w:r>
        <w:rPr>
          <w:sz w:val="16"/>
          <w:szCs w:val="16"/>
        </w:rPr>
        <w:br w:type="page"/>
      </w:r>
    </w:p>
    <w:p w14:paraId="4251892A" w14:textId="77777777" w:rsidR="00F36B82" w:rsidRPr="00F36B82" w:rsidRDefault="00F36B82" w:rsidP="00F36B82">
      <w:pPr>
        <w:pStyle w:val="GvdeMetniGirintisi"/>
        <w:widowControl w:val="0"/>
        <w:ind w:firstLine="0"/>
        <w:rPr>
          <w:b/>
          <w:szCs w:val="20"/>
        </w:rPr>
      </w:pPr>
      <w:r w:rsidRPr="00F36B82">
        <w:rPr>
          <w:b/>
          <w:szCs w:val="20"/>
        </w:rPr>
        <w:lastRenderedPageBreak/>
        <w:t xml:space="preserve">MUHASEBE POLİTİKALARINA İLİŞKİN AÇIKLAMALAR (Devamı) </w:t>
      </w:r>
    </w:p>
    <w:p w14:paraId="7996FF44" w14:textId="77777777" w:rsidR="00F15D44" w:rsidRPr="00F36B82" w:rsidRDefault="00F15D44" w:rsidP="00F36B82">
      <w:pPr>
        <w:widowControl w:val="0"/>
        <w:autoSpaceDE w:val="0"/>
        <w:autoSpaceDN w:val="0"/>
        <w:adjustRightInd w:val="0"/>
        <w:jc w:val="both"/>
        <w:rPr>
          <w:szCs w:val="20"/>
        </w:rPr>
      </w:pPr>
    </w:p>
    <w:p w14:paraId="28BA9AE5" w14:textId="46E13B0A" w:rsidR="00632D27" w:rsidRPr="00F36B82" w:rsidRDefault="00DF415D" w:rsidP="00F36B82">
      <w:pPr>
        <w:pStyle w:val="GvdeMetni2"/>
        <w:widowControl w:val="0"/>
        <w:numPr>
          <w:ilvl w:val="0"/>
          <w:numId w:val="42"/>
        </w:numPr>
        <w:ind w:hanging="861"/>
      </w:pPr>
      <w:r w:rsidRPr="00F36B82">
        <w:t>MADDİ DURAN VARLIKLARA İLİŞKİN AÇIKLAMALAR</w:t>
      </w:r>
    </w:p>
    <w:p w14:paraId="777A1325" w14:textId="77777777" w:rsidR="0025237D" w:rsidRPr="00F36B82" w:rsidRDefault="0025237D" w:rsidP="00F36B82">
      <w:pPr>
        <w:widowControl w:val="0"/>
        <w:autoSpaceDE w:val="0"/>
        <w:autoSpaceDN w:val="0"/>
        <w:adjustRightInd w:val="0"/>
        <w:jc w:val="both"/>
        <w:rPr>
          <w:szCs w:val="20"/>
        </w:rPr>
      </w:pPr>
    </w:p>
    <w:p w14:paraId="19D4F9D1" w14:textId="2C27371D" w:rsidR="00BA33CA" w:rsidRPr="00F36B82" w:rsidRDefault="00632D27" w:rsidP="00F36B82">
      <w:pPr>
        <w:widowControl w:val="0"/>
        <w:autoSpaceDE w:val="0"/>
        <w:autoSpaceDN w:val="0"/>
        <w:adjustRightInd w:val="0"/>
        <w:ind w:left="851"/>
        <w:jc w:val="both"/>
        <w:rPr>
          <w:szCs w:val="20"/>
        </w:rPr>
      </w:pPr>
      <w:r w:rsidRPr="00F36B82">
        <w:rPr>
          <w:szCs w:val="20"/>
        </w:rPr>
        <w:t>31 Aralık 2004 tarihinden önce aktife giren maddi duran varlıklar aktife girdikleri tarihten yüksek enflasyon döneminin sona erdiği tarih kabul edilen 31 Aralık 2004’e kadar geçen süre dikkate alınıp enflasyon düzeltmesine tabi tutulmuş, daha sonraki dönemlerdeki girişler ise ilk alış bedelleri dikkate alınmış olup bu tutarlardan birikmiş amortismanlar ve varsa ilgili v</w:t>
      </w:r>
      <w:r w:rsidR="006F36EB" w:rsidRPr="00F36B82">
        <w:rPr>
          <w:szCs w:val="20"/>
        </w:rPr>
        <w:t>arlığın değer düşüklüğü karşılı</w:t>
      </w:r>
      <w:r w:rsidR="00B23846" w:rsidRPr="00F36B82">
        <w:rPr>
          <w:szCs w:val="20"/>
        </w:rPr>
        <w:t>k</w:t>
      </w:r>
      <w:r w:rsidRPr="00F36B82">
        <w:rPr>
          <w:szCs w:val="20"/>
        </w:rPr>
        <w:t>ları düşülerek finansal tabl</w:t>
      </w:r>
      <w:r w:rsidR="00B23846" w:rsidRPr="00F36B82">
        <w:rPr>
          <w:szCs w:val="20"/>
        </w:rPr>
        <w:t xml:space="preserve">olarda “Maddi Duran Varlıklara İlişkin Türkiye </w:t>
      </w:r>
      <w:r w:rsidRPr="00F36B82">
        <w:rPr>
          <w:szCs w:val="20"/>
        </w:rPr>
        <w:t>Muhasebe Standardı” (“TM</w:t>
      </w:r>
      <w:r w:rsidR="00A82E06" w:rsidRPr="00F36B82">
        <w:rPr>
          <w:szCs w:val="20"/>
        </w:rPr>
        <w:t>S 16”) uyarınca izlenmektedir.</w:t>
      </w:r>
    </w:p>
    <w:p w14:paraId="6036A1CE" w14:textId="77777777" w:rsidR="0025237D" w:rsidRPr="00F36B82" w:rsidRDefault="0025237D" w:rsidP="00F36B82">
      <w:pPr>
        <w:widowControl w:val="0"/>
        <w:autoSpaceDE w:val="0"/>
        <w:autoSpaceDN w:val="0"/>
        <w:adjustRightInd w:val="0"/>
        <w:ind w:left="851"/>
        <w:jc w:val="both"/>
        <w:rPr>
          <w:szCs w:val="20"/>
        </w:rPr>
      </w:pPr>
    </w:p>
    <w:p w14:paraId="5048D78B" w14:textId="77777777" w:rsidR="00632D27" w:rsidRPr="00F36B82" w:rsidRDefault="00501CEA" w:rsidP="00F36B82">
      <w:pPr>
        <w:widowControl w:val="0"/>
        <w:autoSpaceDE w:val="0"/>
        <w:autoSpaceDN w:val="0"/>
        <w:adjustRightInd w:val="0"/>
        <w:ind w:left="851"/>
        <w:jc w:val="both"/>
        <w:rPr>
          <w:szCs w:val="20"/>
        </w:rPr>
      </w:pPr>
      <w:r w:rsidRPr="00F36B82">
        <w:rPr>
          <w:szCs w:val="20"/>
        </w:rPr>
        <w:t>M</w:t>
      </w:r>
      <w:r w:rsidR="00632D27" w:rsidRPr="00F36B82">
        <w:rPr>
          <w:szCs w:val="20"/>
        </w:rPr>
        <w:t>addi duran varlıklar üzerinde rehin, ipotek ve benzeri herhangi bir takyidat bulunmamaktadır.</w:t>
      </w:r>
    </w:p>
    <w:p w14:paraId="227FAD7B" w14:textId="77777777" w:rsidR="0025237D" w:rsidRPr="00F36B82" w:rsidRDefault="0025237D" w:rsidP="00F36B82">
      <w:pPr>
        <w:widowControl w:val="0"/>
        <w:autoSpaceDE w:val="0"/>
        <w:autoSpaceDN w:val="0"/>
        <w:adjustRightInd w:val="0"/>
        <w:ind w:left="851"/>
        <w:jc w:val="both"/>
        <w:rPr>
          <w:szCs w:val="20"/>
        </w:rPr>
      </w:pPr>
    </w:p>
    <w:p w14:paraId="1581CD76" w14:textId="77777777" w:rsidR="00632D27" w:rsidRPr="00F36B82" w:rsidRDefault="00632D27" w:rsidP="00F36B82">
      <w:pPr>
        <w:widowControl w:val="0"/>
        <w:autoSpaceDE w:val="0"/>
        <w:autoSpaceDN w:val="0"/>
        <w:adjustRightInd w:val="0"/>
        <w:ind w:left="851"/>
        <w:jc w:val="both"/>
        <w:rPr>
          <w:szCs w:val="20"/>
        </w:rPr>
      </w:pPr>
      <w:r w:rsidRPr="00F36B82">
        <w:rPr>
          <w:szCs w:val="20"/>
        </w:rPr>
        <w:t>Muhasebe tahminlerinde, cari döneme önemli bir etkisi olan ya da sonraki dönemlerde önemli bir etkisi olması beklenen değişiklik bulunmamaktadır.</w:t>
      </w:r>
    </w:p>
    <w:p w14:paraId="6A605C2F" w14:textId="77777777" w:rsidR="0025237D" w:rsidRPr="00F36B82" w:rsidRDefault="0025237D" w:rsidP="00F36B82">
      <w:pPr>
        <w:widowControl w:val="0"/>
        <w:autoSpaceDE w:val="0"/>
        <w:autoSpaceDN w:val="0"/>
        <w:adjustRightInd w:val="0"/>
        <w:ind w:left="851"/>
        <w:jc w:val="both"/>
        <w:rPr>
          <w:szCs w:val="20"/>
        </w:rPr>
      </w:pPr>
    </w:p>
    <w:p w14:paraId="2FB3D2CD" w14:textId="77777777" w:rsidR="00632D27" w:rsidRPr="00F36B82" w:rsidRDefault="00632D27" w:rsidP="00F36B82">
      <w:pPr>
        <w:pStyle w:val="GvdeMetniGirintisi"/>
        <w:widowControl w:val="0"/>
        <w:ind w:left="851" w:firstLine="0"/>
        <w:rPr>
          <w:szCs w:val="20"/>
        </w:rPr>
      </w:pPr>
      <w:r w:rsidRPr="00F36B82">
        <w:rPr>
          <w:szCs w:val="20"/>
        </w:rPr>
        <w:t>Maddi duran varlıkların amortismanı doğrusal yönteme göre hesaplanmaktadır. Kullanılan amortisman oranları aktiflerin ekonomik ömürleri dikkate alınarak ayrılmakta olup kullanılan oranlar aşağıdaki gibidir:</w:t>
      </w:r>
    </w:p>
    <w:p w14:paraId="47FEBA51" w14:textId="77777777" w:rsidR="0025237D" w:rsidRPr="00F36B82" w:rsidRDefault="0025237D" w:rsidP="00F36B82">
      <w:pPr>
        <w:pStyle w:val="GvdeMetniGirintisi"/>
        <w:widowControl w:val="0"/>
        <w:ind w:firstLine="0"/>
        <w:rPr>
          <w:szCs w:val="20"/>
        </w:rPr>
      </w:pPr>
    </w:p>
    <w:tbl>
      <w:tblPr>
        <w:tblW w:w="4522" w:type="pct"/>
        <w:tblInd w:w="868" w:type="dxa"/>
        <w:tblLook w:val="0000" w:firstRow="0" w:lastRow="0" w:firstColumn="0" w:lastColumn="0" w:noHBand="0" w:noVBand="0"/>
      </w:tblPr>
      <w:tblGrid>
        <w:gridCol w:w="5581"/>
        <w:gridCol w:w="3137"/>
      </w:tblGrid>
      <w:tr w:rsidR="00632D27" w:rsidRPr="00F36B82" w14:paraId="39998D34" w14:textId="77777777" w:rsidTr="00C67CCF">
        <w:trPr>
          <w:trHeight w:val="104"/>
        </w:trPr>
        <w:tc>
          <w:tcPr>
            <w:tcW w:w="3201" w:type="pct"/>
          </w:tcPr>
          <w:p w14:paraId="20AADF63" w14:textId="77777777" w:rsidR="00632D27" w:rsidRPr="00F36B82" w:rsidRDefault="00632D27" w:rsidP="00F36B82">
            <w:pPr>
              <w:pStyle w:val="GvdeMetniGirintisi"/>
              <w:widowControl w:val="0"/>
              <w:ind w:firstLine="540"/>
              <w:rPr>
                <w:szCs w:val="20"/>
              </w:rPr>
            </w:pPr>
          </w:p>
        </w:tc>
        <w:tc>
          <w:tcPr>
            <w:tcW w:w="1799" w:type="pct"/>
            <w:tcBorders>
              <w:bottom w:val="single" w:sz="4" w:space="0" w:color="auto"/>
            </w:tcBorders>
            <w:vAlign w:val="bottom"/>
          </w:tcPr>
          <w:p w14:paraId="5648956E" w14:textId="77777777" w:rsidR="00632D27" w:rsidRPr="00F36B82" w:rsidRDefault="009735D0" w:rsidP="00F36B82">
            <w:pPr>
              <w:pStyle w:val="GvdeMetniGirintisi"/>
              <w:widowControl w:val="0"/>
              <w:ind w:firstLine="0"/>
              <w:jc w:val="right"/>
              <w:rPr>
                <w:b/>
                <w:szCs w:val="20"/>
              </w:rPr>
            </w:pPr>
            <w:r w:rsidRPr="00F36B82">
              <w:rPr>
                <w:b/>
                <w:szCs w:val="20"/>
              </w:rPr>
              <w:t>Amortisman Oranı</w:t>
            </w:r>
            <w:r w:rsidR="00B75FBE" w:rsidRPr="00F36B82">
              <w:rPr>
                <w:b/>
                <w:szCs w:val="20"/>
              </w:rPr>
              <w:t xml:space="preserve"> </w:t>
            </w:r>
            <w:r w:rsidRPr="00F36B82">
              <w:rPr>
                <w:b/>
                <w:szCs w:val="20"/>
              </w:rPr>
              <w:t>(%)</w:t>
            </w:r>
          </w:p>
        </w:tc>
      </w:tr>
      <w:tr w:rsidR="00632D27" w:rsidRPr="00F36B82" w14:paraId="28B2723E" w14:textId="77777777" w:rsidTr="0025237D">
        <w:trPr>
          <w:trHeight w:val="125"/>
        </w:trPr>
        <w:tc>
          <w:tcPr>
            <w:tcW w:w="3201" w:type="pct"/>
            <w:vAlign w:val="bottom"/>
          </w:tcPr>
          <w:p w14:paraId="060A90C2" w14:textId="77777777" w:rsidR="00632D27" w:rsidRPr="00F36B82" w:rsidRDefault="00632D27" w:rsidP="00F36B82">
            <w:pPr>
              <w:pStyle w:val="GvdeMetniGirintisi"/>
              <w:widowControl w:val="0"/>
              <w:ind w:left="-108" w:firstLine="0"/>
              <w:jc w:val="left"/>
              <w:rPr>
                <w:szCs w:val="20"/>
              </w:rPr>
            </w:pPr>
            <w:r w:rsidRPr="00F36B82">
              <w:rPr>
                <w:szCs w:val="20"/>
              </w:rPr>
              <w:t>Mobilya, mefruşat ve büro makineleri</w:t>
            </w:r>
          </w:p>
        </w:tc>
        <w:tc>
          <w:tcPr>
            <w:tcW w:w="1799" w:type="pct"/>
            <w:vAlign w:val="bottom"/>
          </w:tcPr>
          <w:p w14:paraId="5E601FD7" w14:textId="5FC80B2C" w:rsidR="00632D27" w:rsidRPr="00F36B82" w:rsidRDefault="009735D0" w:rsidP="00F36B82">
            <w:pPr>
              <w:pStyle w:val="GvdeMetniGirintisi"/>
              <w:widowControl w:val="0"/>
              <w:ind w:firstLine="0"/>
              <w:jc w:val="right"/>
              <w:rPr>
                <w:szCs w:val="20"/>
              </w:rPr>
            </w:pPr>
            <w:r w:rsidRPr="00F36B82">
              <w:rPr>
                <w:szCs w:val="20"/>
              </w:rPr>
              <w:t>4</w:t>
            </w:r>
            <w:r w:rsidR="003667F3" w:rsidRPr="00F36B82">
              <w:rPr>
                <w:szCs w:val="20"/>
              </w:rPr>
              <w:t xml:space="preserve"> </w:t>
            </w:r>
            <w:r w:rsidRPr="00F36B82">
              <w:rPr>
                <w:szCs w:val="20"/>
              </w:rPr>
              <w:t>–</w:t>
            </w:r>
            <w:r w:rsidR="003667F3" w:rsidRPr="00F36B82">
              <w:rPr>
                <w:szCs w:val="20"/>
              </w:rPr>
              <w:t xml:space="preserve"> </w:t>
            </w:r>
            <w:r w:rsidR="00632D27" w:rsidRPr="00F36B82">
              <w:rPr>
                <w:szCs w:val="20"/>
              </w:rPr>
              <w:t xml:space="preserve">33 </w:t>
            </w:r>
          </w:p>
        </w:tc>
      </w:tr>
      <w:tr w:rsidR="00632D27" w:rsidRPr="00F36B82" w14:paraId="590A739B" w14:textId="77777777" w:rsidTr="0025237D">
        <w:trPr>
          <w:trHeight w:val="125"/>
        </w:trPr>
        <w:tc>
          <w:tcPr>
            <w:tcW w:w="3201" w:type="pct"/>
            <w:vAlign w:val="bottom"/>
          </w:tcPr>
          <w:p w14:paraId="60D58705" w14:textId="77777777" w:rsidR="00632D27" w:rsidRPr="00F36B82" w:rsidRDefault="00632D27" w:rsidP="00F36B82">
            <w:pPr>
              <w:pStyle w:val="GvdeMetniGirintisi"/>
              <w:widowControl w:val="0"/>
              <w:ind w:left="-108" w:firstLine="0"/>
              <w:jc w:val="left"/>
              <w:rPr>
                <w:szCs w:val="20"/>
              </w:rPr>
            </w:pPr>
            <w:r w:rsidRPr="00F36B82">
              <w:rPr>
                <w:szCs w:val="20"/>
              </w:rPr>
              <w:t>Kasalar</w:t>
            </w:r>
          </w:p>
        </w:tc>
        <w:tc>
          <w:tcPr>
            <w:tcW w:w="1799" w:type="pct"/>
            <w:vAlign w:val="bottom"/>
          </w:tcPr>
          <w:p w14:paraId="7AA9A421" w14:textId="71CCAB4C" w:rsidR="00632D27" w:rsidRPr="00F36B82" w:rsidRDefault="009735D0" w:rsidP="00F36B82">
            <w:pPr>
              <w:pStyle w:val="GvdeMetniGirintisi"/>
              <w:widowControl w:val="0"/>
              <w:ind w:firstLine="0"/>
              <w:jc w:val="right"/>
              <w:rPr>
                <w:szCs w:val="20"/>
              </w:rPr>
            </w:pPr>
            <w:r w:rsidRPr="00F36B82">
              <w:rPr>
                <w:szCs w:val="20"/>
              </w:rPr>
              <w:t>2</w:t>
            </w:r>
            <w:r w:rsidR="003667F3" w:rsidRPr="00F36B82">
              <w:rPr>
                <w:szCs w:val="20"/>
              </w:rPr>
              <w:t xml:space="preserve"> </w:t>
            </w:r>
            <w:r w:rsidRPr="00F36B82">
              <w:rPr>
                <w:szCs w:val="20"/>
              </w:rPr>
              <w:t>–</w:t>
            </w:r>
            <w:r w:rsidR="003667F3" w:rsidRPr="00F36B82">
              <w:rPr>
                <w:szCs w:val="20"/>
              </w:rPr>
              <w:t xml:space="preserve"> </w:t>
            </w:r>
            <w:r w:rsidR="00632D27" w:rsidRPr="00F36B82">
              <w:rPr>
                <w:szCs w:val="20"/>
              </w:rPr>
              <w:t>20</w:t>
            </w:r>
          </w:p>
        </w:tc>
      </w:tr>
      <w:tr w:rsidR="00632D27" w:rsidRPr="00F36B82" w14:paraId="6EF3DA29" w14:textId="77777777" w:rsidTr="0025237D">
        <w:trPr>
          <w:trHeight w:val="82"/>
        </w:trPr>
        <w:tc>
          <w:tcPr>
            <w:tcW w:w="3201" w:type="pct"/>
            <w:vAlign w:val="bottom"/>
          </w:tcPr>
          <w:p w14:paraId="0101F7A0" w14:textId="77777777" w:rsidR="00632D27" w:rsidRPr="00F36B82" w:rsidRDefault="00632D27" w:rsidP="00F36B82">
            <w:pPr>
              <w:pStyle w:val="GvdeMetniGirintisi"/>
              <w:widowControl w:val="0"/>
              <w:ind w:left="-108" w:firstLine="0"/>
              <w:jc w:val="left"/>
              <w:rPr>
                <w:szCs w:val="20"/>
              </w:rPr>
            </w:pPr>
            <w:r w:rsidRPr="00F36B82">
              <w:rPr>
                <w:szCs w:val="20"/>
              </w:rPr>
              <w:t>Faaliyet Kiralaması Geliştirme Maliyetleri (Özel maliyetler)</w:t>
            </w:r>
          </w:p>
        </w:tc>
        <w:tc>
          <w:tcPr>
            <w:tcW w:w="1799" w:type="pct"/>
            <w:vAlign w:val="bottom"/>
          </w:tcPr>
          <w:p w14:paraId="43856155" w14:textId="77777777" w:rsidR="00DB3C20" w:rsidRPr="00F36B82" w:rsidRDefault="00632D27" w:rsidP="00F36B82">
            <w:pPr>
              <w:pStyle w:val="GvdeMetniGirintisi"/>
              <w:widowControl w:val="0"/>
              <w:ind w:firstLine="0"/>
              <w:jc w:val="right"/>
              <w:rPr>
                <w:szCs w:val="20"/>
              </w:rPr>
            </w:pPr>
            <w:r w:rsidRPr="00F36B82">
              <w:rPr>
                <w:szCs w:val="20"/>
              </w:rPr>
              <w:t>Kira süresince – 5 yıl</w:t>
            </w:r>
          </w:p>
        </w:tc>
      </w:tr>
      <w:tr w:rsidR="005F2C83" w:rsidRPr="00F36B82" w14:paraId="1D08684E" w14:textId="77777777" w:rsidTr="0025237D">
        <w:trPr>
          <w:trHeight w:val="82"/>
        </w:trPr>
        <w:tc>
          <w:tcPr>
            <w:tcW w:w="3201" w:type="pct"/>
            <w:tcBorders>
              <w:bottom w:val="single" w:sz="4" w:space="0" w:color="auto"/>
            </w:tcBorders>
            <w:vAlign w:val="bottom"/>
          </w:tcPr>
          <w:p w14:paraId="149535C5" w14:textId="0D741BCB" w:rsidR="005F2C83" w:rsidRPr="00F36B82" w:rsidRDefault="005F2C83" w:rsidP="00F36B82">
            <w:pPr>
              <w:pStyle w:val="GvdeMetniGirintisi"/>
              <w:widowControl w:val="0"/>
              <w:ind w:left="-108" w:firstLine="0"/>
              <w:jc w:val="left"/>
              <w:rPr>
                <w:szCs w:val="20"/>
              </w:rPr>
            </w:pPr>
            <w:r w:rsidRPr="00F36B82">
              <w:rPr>
                <w:szCs w:val="20"/>
              </w:rPr>
              <w:t xml:space="preserve">Kiralanan varlıklar </w:t>
            </w:r>
          </w:p>
        </w:tc>
        <w:tc>
          <w:tcPr>
            <w:tcW w:w="1799" w:type="pct"/>
            <w:tcBorders>
              <w:bottom w:val="single" w:sz="4" w:space="0" w:color="auto"/>
            </w:tcBorders>
            <w:vAlign w:val="bottom"/>
          </w:tcPr>
          <w:p w14:paraId="3B3C8D60" w14:textId="1402771A" w:rsidR="005F2C83" w:rsidRPr="00F36B82" w:rsidRDefault="005F2C83" w:rsidP="00F36B82">
            <w:pPr>
              <w:pStyle w:val="GvdeMetniGirintisi"/>
              <w:widowControl w:val="0"/>
              <w:ind w:firstLine="0"/>
              <w:jc w:val="right"/>
              <w:rPr>
                <w:szCs w:val="20"/>
              </w:rPr>
            </w:pPr>
            <w:r w:rsidRPr="00F36B82">
              <w:rPr>
                <w:szCs w:val="20"/>
              </w:rPr>
              <w:t>1</w:t>
            </w:r>
            <w:r w:rsidR="003667F3" w:rsidRPr="00F36B82">
              <w:rPr>
                <w:szCs w:val="20"/>
              </w:rPr>
              <w:t xml:space="preserve"> – </w:t>
            </w:r>
            <w:r w:rsidRPr="00F36B82">
              <w:rPr>
                <w:szCs w:val="20"/>
              </w:rPr>
              <w:t xml:space="preserve">10 yıl </w:t>
            </w:r>
          </w:p>
        </w:tc>
      </w:tr>
    </w:tbl>
    <w:p w14:paraId="3CF2ED85" w14:textId="77777777" w:rsidR="006B4B08" w:rsidRPr="00F36B82" w:rsidRDefault="006B4B08" w:rsidP="00F36B82">
      <w:pPr>
        <w:rPr>
          <w:szCs w:val="20"/>
        </w:rPr>
      </w:pPr>
    </w:p>
    <w:p w14:paraId="1D4F76EA" w14:textId="394DC251" w:rsidR="006B4B08" w:rsidRPr="00F36B82" w:rsidRDefault="006B4B08" w:rsidP="00F36B82">
      <w:pPr>
        <w:ind w:left="854"/>
        <w:jc w:val="both"/>
        <w:rPr>
          <w:szCs w:val="20"/>
        </w:rPr>
      </w:pPr>
      <w:r w:rsidRPr="00F36B82">
        <w:rPr>
          <w:szCs w:val="20"/>
        </w:rPr>
        <w:t>Maddi duran varlıkların elden çıkarılmasından kaynaklanan kar veya zarar, net elden çıkarma hasılatı ile ilgili maddi duran varlığın net defter değerinin farkı olarak gelir tablosuna yansıtılmaktadır. Maddi duran varlığın onarım maliyetlerinden varlığın ekonomik ömrünü uzatıcı nitelikte olanlar aktifleştirilmekte, diğer onarım maliyetleri ise gider olarak kayıtlara yansıtılmaktadır. Maddi duran varlıklarla ilgili alım taahhüdü bulunmamaktadır.</w:t>
      </w:r>
    </w:p>
    <w:p w14:paraId="4B60B1B7" w14:textId="77777777" w:rsidR="006B4B08" w:rsidRPr="00F36B82" w:rsidRDefault="006B4B08" w:rsidP="00F36B82">
      <w:pPr>
        <w:ind w:left="854"/>
        <w:rPr>
          <w:szCs w:val="20"/>
        </w:rPr>
      </w:pPr>
    </w:p>
    <w:p w14:paraId="578EA78D" w14:textId="0A5E3A03" w:rsidR="006B4B08" w:rsidRPr="00F36B82" w:rsidRDefault="00DF415D" w:rsidP="00F36B82">
      <w:pPr>
        <w:pStyle w:val="ListeParagraf"/>
        <w:widowControl w:val="0"/>
        <w:numPr>
          <w:ilvl w:val="0"/>
          <w:numId w:val="42"/>
        </w:numPr>
        <w:ind w:hanging="861"/>
        <w:jc w:val="both"/>
        <w:rPr>
          <w:rStyle w:val="BodyText2Char1"/>
          <w:sz w:val="20"/>
          <w:szCs w:val="20"/>
        </w:rPr>
      </w:pPr>
      <w:r w:rsidRPr="00F36B82">
        <w:rPr>
          <w:rStyle w:val="BodyText2Char1"/>
          <w:sz w:val="20"/>
          <w:szCs w:val="20"/>
        </w:rPr>
        <w:t>KİRALAMA İŞLEMLERİNE İLİŞKİN AÇIKLAMALAR</w:t>
      </w:r>
    </w:p>
    <w:p w14:paraId="3AC9999C" w14:textId="77777777" w:rsidR="00FB4424" w:rsidRPr="00F36B82" w:rsidRDefault="00FB4424" w:rsidP="00F36B82">
      <w:pPr>
        <w:widowControl w:val="0"/>
        <w:ind w:left="851" w:hanging="851"/>
        <w:jc w:val="both"/>
        <w:rPr>
          <w:b/>
          <w:iCs/>
          <w:szCs w:val="20"/>
        </w:rPr>
      </w:pPr>
    </w:p>
    <w:p w14:paraId="41EEB4F5" w14:textId="1CC44FDF" w:rsidR="008146EE" w:rsidRPr="00F36B82" w:rsidRDefault="006B4B08" w:rsidP="00F36B82">
      <w:pPr>
        <w:widowControl w:val="0"/>
        <w:autoSpaceDE w:val="0"/>
        <w:autoSpaceDN w:val="0"/>
        <w:adjustRightInd w:val="0"/>
        <w:ind w:left="851"/>
        <w:jc w:val="both"/>
        <w:rPr>
          <w:szCs w:val="20"/>
        </w:rPr>
      </w:pPr>
      <w:r w:rsidRPr="00F36B82">
        <w:rPr>
          <w:szCs w:val="20"/>
        </w:rPr>
        <w:t>Finansal kiralama yoluyla edinilen maddi duran varlıklar kiranın başlangıç tarihinde Banka’nın aktifinde varlık, pasifinde ise borç olarak kaydedilir. Bilançoda varlık ve borç olarak yer alan tutarların tespitinde, varlığın gerçeğe uygun değeri ile kira ödemelerinin bugünkü değerinden düşük olanı esas alınır. Kiralamadan doğan finansman maliyetleri, kiralama süresi boyunca iç verim oranı dikkate alınarak ilgili dönemler itibarıyla giderleştirilir.</w:t>
      </w:r>
    </w:p>
    <w:p w14:paraId="6A53061D" w14:textId="0E1E7D13" w:rsidR="006B4B08" w:rsidRPr="00F36B82" w:rsidRDefault="006B4B08" w:rsidP="00F36B82">
      <w:pPr>
        <w:widowControl w:val="0"/>
        <w:autoSpaceDE w:val="0"/>
        <w:autoSpaceDN w:val="0"/>
        <w:adjustRightInd w:val="0"/>
        <w:ind w:left="567"/>
        <w:jc w:val="both"/>
        <w:rPr>
          <w:szCs w:val="20"/>
        </w:rPr>
      </w:pPr>
    </w:p>
    <w:p w14:paraId="1BCD8460" w14:textId="2BD5C2A5" w:rsidR="00FB4424" w:rsidRPr="00F36B82" w:rsidRDefault="006B4B08" w:rsidP="00F36B82">
      <w:pPr>
        <w:widowControl w:val="0"/>
        <w:ind w:left="567"/>
        <w:jc w:val="both"/>
        <w:rPr>
          <w:szCs w:val="20"/>
        </w:rPr>
      </w:pPr>
      <w:r w:rsidRPr="00F36B82">
        <w:rPr>
          <w:szCs w:val="20"/>
        </w:rPr>
        <w:t xml:space="preserve">Finansal kiralama yoluyla edinilen sabit kıymetler faydalı ömürleri dikkate alınarak amortismana tabi tutulmakta ve geri kazanılabilir değerlerinde bir azalma tespit edildiğinde değer düşüklüğü karşılığı ayrılmaktadır. Banka, katılım bankası olarak finansal kiralama işlemlerinde kiraya veren (kiralayan) taraf olarak yer almaktadır. Banka, finansal kiralamaya konu edilmiş varlıkları bilançoda net kiralama yatırımı tutarına eşit değerde bir alacak olarak göstermektedir. Finansal gelir, net yatırım üzerinden sabit dönemsel getiri sağlayacak şekilde finansal tablolara yansıtılır. 1 Ocak 2019 tarihinden itibaren geçerli olan “TFRS 16 Kiralamalar” Standardı ile birlikte faaliyet kiralaması ile finansal kiralama arasındaki fark ortadan kalkmış olup, kiralama işlemleri kiracılar tarafından varlık (kullanım hakkı varlığı) olarak varlıklarda “Maddi Duran Varlıklar”, yükümlülük olarak da yükümlülüklerde “Kiralama İşlemlerinden Yükümlülükler” kalemi altında gösterilmeye başlanmıştır. </w:t>
      </w:r>
    </w:p>
    <w:p w14:paraId="429909F6" w14:textId="77777777" w:rsidR="008146EE" w:rsidRPr="00F36B82" w:rsidRDefault="008146EE" w:rsidP="00F36B82">
      <w:pPr>
        <w:widowControl w:val="0"/>
        <w:ind w:left="567"/>
        <w:jc w:val="both"/>
        <w:rPr>
          <w:szCs w:val="20"/>
        </w:rPr>
      </w:pPr>
    </w:p>
    <w:p w14:paraId="4DBC09AE" w14:textId="098D44A0" w:rsidR="0097564B" w:rsidRPr="00F36B82" w:rsidRDefault="0097564B" w:rsidP="00F36B82">
      <w:pPr>
        <w:widowControl w:val="0"/>
        <w:autoSpaceDE w:val="0"/>
        <w:autoSpaceDN w:val="0"/>
        <w:adjustRightInd w:val="0"/>
        <w:ind w:left="567"/>
        <w:jc w:val="both"/>
        <w:rPr>
          <w:szCs w:val="20"/>
        </w:rPr>
      </w:pPr>
      <w:r w:rsidRPr="00F36B82">
        <w:rPr>
          <w:szCs w:val="20"/>
        </w:rPr>
        <w:t>TFRS 16 standardı, kiracılar açısından mevcut uygulama olan finansal kiralama işlemlerinin bilançoda ve operasyonel kiralama işlemlerinin bilanço dışında gösterilmesi şeklindeki ikili muhasebe modelini ortadan kaldırmaktadır. Bunun yerine, mevcut finansal kiralama muhasebesine benzer olarak bilanço bazlı tekil bir muhasebe modeli ortaya koyulmaktadır. Kiraya verenler için muhasebeleştirme önemli ölçüde mevcut uygulamalara benzer şekilde devam etmektedir.</w:t>
      </w:r>
    </w:p>
    <w:p w14:paraId="0069D2E8" w14:textId="08ACE719" w:rsidR="00F36B82" w:rsidRDefault="00F36B82">
      <w:pPr>
        <w:rPr>
          <w:szCs w:val="20"/>
        </w:rPr>
      </w:pPr>
      <w:r>
        <w:rPr>
          <w:szCs w:val="20"/>
        </w:rPr>
        <w:br w:type="page"/>
      </w:r>
    </w:p>
    <w:p w14:paraId="2FF24D05" w14:textId="77777777" w:rsidR="00F36B82" w:rsidRPr="00471CBA" w:rsidRDefault="00F36B82" w:rsidP="00F36B82">
      <w:pPr>
        <w:pStyle w:val="GvdeMetniGirintisi"/>
        <w:widowControl w:val="0"/>
        <w:spacing w:line="233" w:lineRule="auto"/>
        <w:ind w:firstLine="0"/>
        <w:rPr>
          <w:b/>
          <w:szCs w:val="20"/>
        </w:rPr>
      </w:pPr>
      <w:r w:rsidRPr="00471CBA">
        <w:rPr>
          <w:b/>
          <w:szCs w:val="20"/>
        </w:rPr>
        <w:lastRenderedPageBreak/>
        <w:t xml:space="preserve">MUHASEBE POLİTİKALARINA İLİŞKİN AÇIKLAMALAR (Devamı) </w:t>
      </w:r>
    </w:p>
    <w:p w14:paraId="7D8184DD" w14:textId="77777777" w:rsidR="00F36B82" w:rsidRPr="00471CBA" w:rsidRDefault="00F36B82" w:rsidP="00F36B82">
      <w:pPr>
        <w:pStyle w:val="GvdeMetniGirintisi"/>
        <w:widowControl w:val="0"/>
        <w:spacing w:line="233" w:lineRule="auto"/>
        <w:ind w:firstLine="0"/>
        <w:rPr>
          <w:b/>
          <w:szCs w:val="20"/>
        </w:rPr>
      </w:pPr>
    </w:p>
    <w:p w14:paraId="6CD3207F" w14:textId="77777777" w:rsidR="00F36B82" w:rsidRPr="00471CBA" w:rsidRDefault="00F36B82" w:rsidP="00F36B82">
      <w:pPr>
        <w:widowControl w:val="0"/>
        <w:spacing w:line="206" w:lineRule="auto"/>
        <w:ind w:left="567" w:hanging="567"/>
        <w:jc w:val="both"/>
        <w:rPr>
          <w:b/>
          <w:iCs/>
          <w:szCs w:val="20"/>
        </w:rPr>
      </w:pPr>
      <w:r w:rsidRPr="00471CBA">
        <w:rPr>
          <w:b/>
          <w:iCs/>
          <w:szCs w:val="20"/>
        </w:rPr>
        <w:t>XIII.</w:t>
      </w:r>
      <w:r w:rsidRPr="00471CBA">
        <w:rPr>
          <w:b/>
          <w:iCs/>
          <w:szCs w:val="20"/>
        </w:rPr>
        <w:tab/>
      </w:r>
      <w:r w:rsidRPr="00471CBA">
        <w:rPr>
          <w:rStyle w:val="BodyText2Char1"/>
          <w:sz w:val="20"/>
          <w:szCs w:val="20"/>
        </w:rPr>
        <w:t>KİRALAMA İŞLEMLERİNE İLİŞKİN AÇIKLAMALAR</w:t>
      </w:r>
      <w:r w:rsidRPr="00471CBA">
        <w:rPr>
          <w:b/>
          <w:iCs/>
          <w:szCs w:val="20"/>
        </w:rPr>
        <w:t xml:space="preserve"> (Devamı)</w:t>
      </w:r>
    </w:p>
    <w:p w14:paraId="6C2A5B02" w14:textId="77777777" w:rsidR="00BE031B" w:rsidRPr="00F36B82" w:rsidRDefault="00BE031B" w:rsidP="00F36B82">
      <w:pPr>
        <w:widowControl w:val="0"/>
        <w:autoSpaceDE w:val="0"/>
        <w:autoSpaceDN w:val="0"/>
        <w:adjustRightInd w:val="0"/>
        <w:ind w:left="567"/>
        <w:jc w:val="both"/>
        <w:rPr>
          <w:szCs w:val="20"/>
        </w:rPr>
      </w:pPr>
    </w:p>
    <w:p w14:paraId="29A8071D" w14:textId="2F3482FC" w:rsidR="006B4B08" w:rsidRPr="00F36B82" w:rsidRDefault="006B4B08" w:rsidP="00F36B82">
      <w:pPr>
        <w:widowControl w:val="0"/>
        <w:autoSpaceDE w:val="0"/>
        <w:autoSpaceDN w:val="0"/>
        <w:adjustRightInd w:val="0"/>
        <w:ind w:left="567"/>
        <w:jc w:val="both"/>
        <w:rPr>
          <w:szCs w:val="20"/>
        </w:rPr>
      </w:pPr>
      <w:r w:rsidRPr="00F36B82">
        <w:rPr>
          <w:szCs w:val="20"/>
        </w:rPr>
        <w:t xml:space="preserve">Banka, bu standardı kısa vadeli kiralamalara (kira süresi 12 ay ve daha kısa olan kiralamalar) veya dayanak varlığın düşük değerli olduğu kiralamalara (örneğin kişisel bilgisayarlar, bazı ofis ekipmanları, vb.) uygulamama istisnasına sahiptir. Kiralamanın fiilen başladığı tarihte Banka, kira yükümlülüğünü o tarihte ödenmemiş olan kira ödemelerinin bugünkü değeri üzerinden ölçer ve aynı tarih itibariyle ilgili kullanım hakkı varlığını da kayıtlarına alarak kira süresi boyunca amortismana tabi tutar. Kira ödemeleri, kiralamadaki zımnî kar oranının kolaylıkla belirlenebilmesi durumunda, bu oran kullanılarak iskonto edilir. Banka, bu oranın kolaylıkla belirlenememesi durumunda, kendi tespit edeceği alternatif borçlanma oranını kullanır. Kiralama yükümlülüğü üzerindeki </w:t>
      </w:r>
      <w:r w:rsidR="002D77C3" w:rsidRPr="00F36B82">
        <w:rPr>
          <w:szCs w:val="20"/>
        </w:rPr>
        <w:t>kâr</w:t>
      </w:r>
      <w:r w:rsidRPr="00F36B82">
        <w:rPr>
          <w:szCs w:val="20"/>
        </w:rPr>
        <w:t xml:space="preserve"> payı gideri ile kullanım hakkı varlığının amortisman giderini ayrı olarak kaydedilir.  Kiracının, belirli olayların gerçekleşmesi halinde kiralama yükümlülüğünü yeniden ölçmesi söz konusudur (örneğin kiralama süresindeki değişiklikler, ileriye dönük kira ödemelerinin belirli bir endeks veya orandaki değişimler nedeniyle değişikliğe uğraması, vb.). Bu durumda kiracı, kiralama yükümlülüğünün yeniden ölçüm etkisini kullanım hakkı varlığı üzerinde bir düzeltme olarak kaydeder.</w:t>
      </w:r>
    </w:p>
    <w:p w14:paraId="3F46C047" w14:textId="184B43EE" w:rsidR="006B4B08" w:rsidRPr="00F36B82" w:rsidRDefault="006B4B08" w:rsidP="00F36B82">
      <w:pPr>
        <w:widowControl w:val="0"/>
        <w:autoSpaceDE w:val="0"/>
        <w:autoSpaceDN w:val="0"/>
        <w:adjustRightInd w:val="0"/>
        <w:ind w:left="567"/>
        <w:jc w:val="both"/>
        <w:rPr>
          <w:szCs w:val="20"/>
        </w:rPr>
      </w:pPr>
    </w:p>
    <w:p w14:paraId="4DD3C22E" w14:textId="77777777" w:rsidR="006B4B08" w:rsidRPr="00F36B82" w:rsidRDefault="006B4B08" w:rsidP="00F36B82">
      <w:pPr>
        <w:widowControl w:val="0"/>
        <w:autoSpaceDE w:val="0"/>
        <w:autoSpaceDN w:val="0"/>
        <w:adjustRightInd w:val="0"/>
        <w:ind w:left="567"/>
        <w:jc w:val="both"/>
        <w:rPr>
          <w:b/>
          <w:szCs w:val="20"/>
        </w:rPr>
      </w:pPr>
      <w:r w:rsidRPr="00F36B82">
        <w:rPr>
          <w:b/>
          <w:szCs w:val="20"/>
        </w:rPr>
        <w:t xml:space="preserve">Kullanım Hakkı Varlığı </w:t>
      </w:r>
    </w:p>
    <w:p w14:paraId="3187CD76" w14:textId="77777777" w:rsidR="0030346E" w:rsidRPr="00F36B82" w:rsidRDefault="0030346E" w:rsidP="00F36B82">
      <w:pPr>
        <w:widowControl w:val="0"/>
        <w:autoSpaceDE w:val="0"/>
        <w:autoSpaceDN w:val="0"/>
        <w:adjustRightInd w:val="0"/>
        <w:ind w:left="567"/>
        <w:jc w:val="both"/>
        <w:rPr>
          <w:b/>
          <w:szCs w:val="20"/>
        </w:rPr>
      </w:pPr>
    </w:p>
    <w:p w14:paraId="1218A734" w14:textId="77777777" w:rsidR="006B4B08" w:rsidRPr="00F36B82" w:rsidRDefault="006B4B08" w:rsidP="00F36B82">
      <w:pPr>
        <w:widowControl w:val="0"/>
        <w:autoSpaceDE w:val="0"/>
        <w:autoSpaceDN w:val="0"/>
        <w:adjustRightInd w:val="0"/>
        <w:ind w:left="567"/>
        <w:jc w:val="both"/>
        <w:rPr>
          <w:szCs w:val="20"/>
        </w:rPr>
      </w:pPr>
      <w:r w:rsidRPr="00F36B82">
        <w:rPr>
          <w:szCs w:val="20"/>
        </w:rPr>
        <w:t>Kullanım hakkı varlığı ilk olarak maliyet yöntemiyle muhasebeleştirilir ve aşağıdakileri içerir:</w:t>
      </w:r>
    </w:p>
    <w:p w14:paraId="56D33667" w14:textId="77777777" w:rsidR="006B4B08" w:rsidRPr="00F36B82" w:rsidRDefault="006B4B08" w:rsidP="00F36B82">
      <w:pPr>
        <w:widowControl w:val="0"/>
        <w:autoSpaceDE w:val="0"/>
        <w:autoSpaceDN w:val="0"/>
        <w:adjustRightInd w:val="0"/>
        <w:ind w:left="567"/>
        <w:jc w:val="both"/>
        <w:rPr>
          <w:szCs w:val="20"/>
        </w:rPr>
      </w:pPr>
    </w:p>
    <w:p w14:paraId="7FDAF650" w14:textId="77777777" w:rsidR="006B4B08" w:rsidRPr="00F36B82" w:rsidRDefault="006B4B08" w:rsidP="00F36B82">
      <w:pPr>
        <w:widowControl w:val="0"/>
        <w:autoSpaceDE w:val="0"/>
        <w:autoSpaceDN w:val="0"/>
        <w:adjustRightInd w:val="0"/>
        <w:ind w:left="1134" w:hanging="567"/>
        <w:jc w:val="both"/>
        <w:rPr>
          <w:szCs w:val="20"/>
        </w:rPr>
      </w:pPr>
      <w:r w:rsidRPr="00F36B82">
        <w:rPr>
          <w:szCs w:val="20"/>
        </w:rPr>
        <w:t>-</w:t>
      </w:r>
      <w:r w:rsidRPr="00F36B82">
        <w:rPr>
          <w:szCs w:val="20"/>
        </w:rPr>
        <w:tab/>
        <w:t>Kira yükümlülüğünün ilk ölçüm tutarı,</w:t>
      </w:r>
    </w:p>
    <w:p w14:paraId="0E2866A8" w14:textId="77777777" w:rsidR="006B4B08" w:rsidRPr="00F36B82" w:rsidRDefault="006B4B08" w:rsidP="00F36B82">
      <w:pPr>
        <w:widowControl w:val="0"/>
        <w:autoSpaceDE w:val="0"/>
        <w:autoSpaceDN w:val="0"/>
        <w:adjustRightInd w:val="0"/>
        <w:ind w:left="1134" w:hanging="567"/>
        <w:jc w:val="both"/>
        <w:rPr>
          <w:szCs w:val="20"/>
        </w:rPr>
      </w:pPr>
      <w:r w:rsidRPr="00F36B82">
        <w:rPr>
          <w:szCs w:val="20"/>
        </w:rPr>
        <w:t>-</w:t>
      </w:r>
      <w:r w:rsidRPr="00F36B82">
        <w:rPr>
          <w:szCs w:val="20"/>
        </w:rPr>
        <w:tab/>
        <w:t>Kiralamanın fiilen başladığı tarihte veya öncesinde yapılan tüm kira ödemelerinden alınan tüm kiralama teşviklerinin düşülmesiyle elde edilen tutar,</w:t>
      </w:r>
    </w:p>
    <w:p w14:paraId="3EF6FDCB" w14:textId="77777777" w:rsidR="006B4B08" w:rsidRPr="00F36B82" w:rsidRDefault="006B4B08" w:rsidP="00F36B82">
      <w:pPr>
        <w:widowControl w:val="0"/>
        <w:autoSpaceDE w:val="0"/>
        <w:autoSpaceDN w:val="0"/>
        <w:adjustRightInd w:val="0"/>
        <w:ind w:left="1134" w:hanging="567"/>
        <w:jc w:val="both"/>
        <w:rPr>
          <w:szCs w:val="20"/>
        </w:rPr>
      </w:pPr>
      <w:r w:rsidRPr="00F36B82">
        <w:rPr>
          <w:szCs w:val="20"/>
        </w:rPr>
        <w:t>-</w:t>
      </w:r>
      <w:r w:rsidRPr="00F36B82">
        <w:rPr>
          <w:szCs w:val="20"/>
        </w:rPr>
        <w:tab/>
        <w:t>Banka tarafından katlanılan tüm başlangıçtaki doğrudan maliyetler.</w:t>
      </w:r>
    </w:p>
    <w:p w14:paraId="24732885" w14:textId="77777777" w:rsidR="006B4B08" w:rsidRPr="00F36B82" w:rsidRDefault="006B4B08" w:rsidP="00F36B82">
      <w:pPr>
        <w:widowControl w:val="0"/>
        <w:autoSpaceDE w:val="0"/>
        <w:autoSpaceDN w:val="0"/>
        <w:adjustRightInd w:val="0"/>
        <w:ind w:left="1134" w:hanging="567"/>
        <w:jc w:val="both"/>
        <w:rPr>
          <w:szCs w:val="20"/>
        </w:rPr>
      </w:pPr>
    </w:p>
    <w:p w14:paraId="70E62CA3" w14:textId="77777777" w:rsidR="006B4B08" w:rsidRPr="00F36B82" w:rsidRDefault="006B4B08" w:rsidP="00F36B82">
      <w:pPr>
        <w:widowControl w:val="0"/>
        <w:autoSpaceDE w:val="0"/>
        <w:autoSpaceDN w:val="0"/>
        <w:adjustRightInd w:val="0"/>
        <w:ind w:left="1134" w:hanging="567"/>
        <w:jc w:val="both"/>
        <w:rPr>
          <w:szCs w:val="20"/>
        </w:rPr>
      </w:pPr>
      <w:r w:rsidRPr="00F36B82">
        <w:rPr>
          <w:szCs w:val="20"/>
        </w:rPr>
        <w:t>Banka maliyet yöntemini uygularken, kullanım hakkı varlığını:</w:t>
      </w:r>
    </w:p>
    <w:p w14:paraId="494B5D81" w14:textId="77777777" w:rsidR="006B4B08" w:rsidRPr="00F36B82" w:rsidRDefault="006B4B08" w:rsidP="00F36B82">
      <w:pPr>
        <w:widowControl w:val="0"/>
        <w:autoSpaceDE w:val="0"/>
        <w:autoSpaceDN w:val="0"/>
        <w:adjustRightInd w:val="0"/>
        <w:ind w:left="1134" w:hanging="567"/>
        <w:jc w:val="both"/>
        <w:rPr>
          <w:szCs w:val="20"/>
        </w:rPr>
      </w:pPr>
    </w:p>
    <w:p w14:paraId="6B4EF41A" w14:textId="77777777" w:rsidR="006B4B08" w:rsidRPr="00F36B82" w:rsidRDefault="006B4B08" w:rsidP="00F36B82">
      <w:pPr>
        <w:widowControl w:val="0"/>
        <w:autoSpaceDE w:val="0"/>
        <w:autoSpaceDN w:val="0"/>
        <w:adjustRightInd w:val="0"/>
        <w:ind w:left="1134" w:hanging="567"/>
        <w:jc w:val="both"/>
        <w:rPr>
          <w:szCs w:val="20"/>
        </w:rPr>
      </w:pPr>
      <w:r w:rsidRPr="00F36B82">
        <w:rPr>
          <w:szCs w:val="20"/>
        </w:rPr>
        <w:t>-</w:t>
      </w:r>
      <w:r w:rsidRPr="00F36B82">
        <w:rPr>
          <w:szCs w:val="20"/>
        </w:rPr>
        <w:tab/>
        <w:t>Birikmiş amortisman ve birikmiş değer düşüklüğü zararları düşülmüş ve</w:t>
      </w:r>
    </w:p>
    <w:p w14:paraId="4EF78C45" w14:textId="77777777" w:rsidR="006B4B08" w:rsidRPr="00F36B82" w:rsidRDefault="006B4B08" w:rsidP="00F36B82">
      <w:pPr>
        <w:widowControl w:val="0"/>
        <w:autoSpaceDE w:val="0"/>
        <w:autoSpaceDN w:val="0"/>
        <w:adjustRightInd w:val="0"/>
        <w:ind w:left="1134" w:hanging="567"/>
        <w:jc w:val="both"/>
        <w:rPr>
          <w:szCs w:val="20"/>
        </w:rPr>
      </w:pPr>
      <w:r w:rsidRPr="00F36B82">
        <w:rPr>
          <w:szCs w:val="20"/>
        </w:rPr>
        <w:t>-</w:t>
      </w:r>
      <w:r w:rsidRPr="00F36B82">
        <w:rPr>
          <w:szCs w:val="20"/>
        </w:rPr>
        <w:tab/>
        <w:t>Kira yükümlülüğünün yeniden ölçümüne göre düzeltilmiş maliyeti üzerinden ölçer.</w:t>
      </w:r>
    </w:p>
    <w:p w14:paraId="09CD129B" w14:textId="77777777" w:rsidR="006B4B08" w:rsidRPr="00F36B82" w:rsidRDefault="006B4B08" w:rsidP="00F36B82">
      <w:pPr>
        <w:widowControl w:val="0"/>
        <w:autoSpaceDE w:val="0"/>
        <w:autoSpaceDN w:val="0"/>
        <w:adjustRightInd w:val="0"/>
        <w:ind w:left="567"/>
        <w:jc w:val="both"/>
        <w:rPr>
          <w:szCs w:val="20"/>
        </w:rPr>
      </w:pPr>
    </w:p>
    <w:p w14:paraId="1B4F6820" w14:textId="77777777" w:rsidR="006B4B08" w:rsidRPr="00F36B82" w:rsidRDefault="006B4B08" w:rsidP="00F36B82">
      <w:pPr>
        <w:widowControl w:val="0"/>
        <w:autoSpaceDE w:val="0"/>
        <w:autoSpaceDN w:val="0"/>
        <w:adjustRightInd w:val="0"/>
        <w:ind w:left="567"/>
        <w:jc w:val="both"/>
        <w:rPr>
          <w:szCs w:val="20"/>
        </w:rPr>
      </w:pPr>
      <w:r w:rsidRPr="00F36B82">
        <w:rPr>
          <w:szCs w:val="20"/>
        </w:rPr>
        <w:t>Banka, kullanım hakkı varlığını amortismana tabi tutarken TMS 16 Maddi Duran Varlıklar standardında yer alan amortisman hükümlerini uygular.</w:t>
      </w:r>
    </w:p>
    <w:p w14:paraId="1A79CDAA" w14:textId="70B3D32B" w:rsidR="006B4B08" w:rsidRPr="00F36B82" w:rsidRDefault="006B4B08" w:rsidP="00F36B82">
      <w:pPr>
        <w:widowControl w:val="0"/>
        <w:autoSpaceDE w:val="0"/>
        <w:autoSpaceDN w:val="0"/>
        <w:adjustRightInd w:val="0"/>
        <w:ind w:left="567"/>
        <w:jc w:val="both"/>
        <w:rPr>
          <w:szCs w:val="20"/>
        </w:rPr>
      </w:pPr>
    </w:p>
    <w:p w14:paraId="7C4E5E32" w14:textId="77777777" w:rsidR="006B4B08" w:rsidRPr="00F36B82" w:rsidRDefault="006B4B08" w:rsidP="00F36B82">
      <w:pPr>
        <w:widowControl w:val="0"/>
        <w:autoSpaceDE w:val="0"/>
        <w:autoSpaceDN w:val="0"/>
        <w:adjustRightInd w:val="0"/>
        <w:ind w:left="567"/>
        <w:rPr>
          <w:szCs w:val="20"/>
        </w:rPr>
      </w:pPr>
      <w:r w:rsidRPr="00F36B82">
        <w:rPr>
          <w:b/>
          <w:szCs w:val="20"/>
        </w:rPr>
        <w:t>Kira Yükümlülüğü</w:t>
      </w:r>
      <w:r w:rsidRPr="00F36B82">
        <w:rPr>
          <w:szCs w:val="20"/>
        </w:rPr>
        <w:t>:</w:t>
      </w:r>
    </w:p>
    <w:p w14:paraId="154A4B4C" w14:textId="77777777" w:rsidR="0030346E" w:rsidRPr="00F36B82" w:rsidRDefault="0030346E" w:rsidP="00F36B82">
      <w:pPr>
        <w:widowControl w:val="0"/>
        <w:autoSpaceDE w:val="0"/>
        <w:autoSpaceDN w:val="0"/>
        <w:adjustRightInd w:val="0"/>
        <w:ind w:left="567"/>
        <w:rPr>
          <w:szCs w:val="20"/>
        </w:rPr>
      </w:pPr>
    </w:p>
    <w:p w14:paraId="125CA56A" w14:textId="77777777" w:rsidR="006B4B08" w:rsidRPr="00F36B82" w:rsidRDefault="006B4B08" w:rsidP="00F36B82">
      <w:pPr>
        <w:widowControl w:val="0"/>
        <w:autoSpaceDE w:val="0"/>
        <w:autoSpaceDN w:val="0"/>
        <w:adjustRightInd w:val="0"/>
        <w:ind w:left="567"/>
        <w:jc w:val="both"/>
        <w:rPr>
          <w:szCs w:val="20"/>
        </w:rPr>
      </w:pPr>
      <w:r w:rsidRPr="00F36B82">
        <w:rPr>
          <w:szCs w:val="20"/>
        </w:rPr>
        <w:t>Kiralamanın fiilen başladığı tarihte, Banka kira yükümlülüğünü o tarihte ödenmemiş olan kira ödemelerinin bugünkü değeri üzerinden ölçer. Kira ödemeleri, bu oranın kolaylıkla belirlenebilmesi durumunda, kiralamadaki zımni kar oranı kullanılarak iskonto edilir. Banka, bu oranın kolaylıkla belirlenememesi durumunda, Banka’nın alternatif borçlanma oranını kullanır. Kiralamanın fiilen başladığı tarihte, kira yükümlülüğünün ölçümüne dahil olan kira ödemeleri, dayanak varlığın kiralama suresi boyunca kullanım hakkı için yapılacak ve kiralamanın fiilen başladığı tarihte ödenmemiş olan ödemelerden oluşur.</w:t>
      </w:r>
    </w:p>
    <w:p w14:paraId="07428E68" w14:textId="77777777" w:rsidR="006B4B08" w:rsidRPr="00F36B82" w:rsidRDefault="006B4B08" w:rsidP="00F36B82">
      <w:pPr>
        <w:widowControl w:val="0"/>
        <w:autoSpaceDE w:val="0"/>
        <w:autoSpaceDN w:val="0"/>
        <w:adjustRightInd w:val="0"/>
        <w:ind w:left="567"/>
        <w:jc w:val="both"/>
        <w:rPr>
          <w:szCs w:val="20"/>
        </w:rPr>
      </w:pPr>
    </w:p>
    <w:p w14:paraId="1F5DD66B" w14:textId="77777777" w:rsidR="006B4B08" w:rsidRPr="00F36B82" w:rsidRDefault="006B4B08" w:rsidP="00F36B82">
      <w:pPr>
        <w:widowControl w:val="0"/>
        <w:autoSpaceDE w:val="0"/>
        <w:autoSpaceDN w:val="0"/>
        <w:adjustRightInd w:val="0"/>
        <w:ind w:left="567"/>
        <w:jc w:val="both"/>
        <w:rPr>
          <w:szCs w:val="20"/>
        </w:rPr>
      </w:pPr>
      <w:r w:rsidRPr="00F36B82">
        <w:rPr>
          <w:szCs w:val="20"/>
        </w:rPr>
        <w:t>Kiralamanın fiilen başladığı tarihten sonra Banka, kira yükümlülüğünü aşağıdaki şekilde ölçer;</w:t>
      </w:r>
    </w:p>
    <w:p w14:paraId="6DF787E8" w14:textId="77777777" w:rsidR="006B4B08" w:rsidRPr="00F36B82" w:rsidRDefault="006B4B08" w:rsidP="00F36B82">
      <w:pPr>
        <w:widowControl w:val="0"/>
        <w:autoSpaceDE w:val="0"/>
        <w:autoSpaceDN w:val="0"/>
        <w:adjustRightInd w:val="0"/>
        <w:ind w:left="567"/>
        <w:jc w:val="both"/>
        <w:rPr>
          <w:b/>
          <w:szCs w:val="20"/>
        </w:rPr>
      </w:pPr>
    </w:p>
    <w:p w14:paraId="4C25C298" w14:textId="77777777" w:rsidR="006B4B08" w:rsidRPr="00F36B82" w:rsidRDefault="006B4B08" w:rsidP="00F36B82">
      <w:pPr>
        <w:widowControl w:val="0"/>
        <w:autoSpaceDE w:val="0"/>
        <w:autoSpaceDN w:val="0"/>
        <w:adjustRightInd w:val="0"/>
        <w:ind w:left="1134" w:hanging="567"/>
        <w:rPr>
          <w:szCs w:val="20"/>
        </w:rPr>
      </w:pPr>
      <w:r w:rsidRPr="00F36B82">
        <w:rPr>
          <w:b/>
          <w:szCs w:val="20"/>
        </w:rPr>
        <w:t>-</w:t>
      </w:r>
      <w:r w:rsidRPr="00F36B82">
        <w:rPr>
          <w:b/>
          <w:szCs w:val="20"/>
        </w:rPr>
        <w:tab/>
      </w:r>
      <w:r w:rsidRPr="00F36B82">
        <w:rPr>
          <w:szCs w:val="20"/>
        </w:rPr>
        <w:t>Defter değerini, kira yükümlülüğündeki kar oranını yansıtacak şekilde artırır,</w:t>
      </w:r>
    </w:p>
    <w:p w14:paraId="5FA73009" w14:textId="77777777" w:rsidR="006B4B08" w:rsidRPr="00F36B82" w:rsidRDefault="006B4B08" w:rsidP="00F36B82">
      <w:pPr>
        <w:widowControl w:val="0"/>
        <w:autoSpaceDE w:val="0"/>
        <w:autoSpaceDN w:val="0"/>
        <w:adjustRightInd w:val="0"/>
        <w:ind w:left="1134" w:hanging="567"/>
        <w:rPr>
          <w:szCs w:val="20"/>
        </w:rPr>
      </w:pPr>
      <w:r w:rsidRPr="00F36B82">
        <w:rPr>
          <w:b/>
          <w:szCs w:val="20"/>
        </w:rPr>
        <w:t>-</w:t>
      </w:r>
      <w:r w:rsidRPr="00F36B82">
        <w:rPr>
          <w:b/>
          <w:szCs w:val="20"/>
        </w:rPr>
        <w:tab/>
      </w:r>
      <w:r w:rsidRPr="00F36B82">
        <w:rPr>
          <w:szCs w:val="20"/>
        </w:rPr>
        <w:t>Defter değerini, yapılmış olan kira ödemelerini yansıtacak şekilde azaltır,</w:t>
      </w:r>
    </w:p>
    <w:p w14:paraId="2BEABBE9" w14:textId="77777777" w:rsidR="006B4B08" w:rsidRPr="00F36B82" w:rsidRDefault="006B4B08" w:rsidP="00F36B82">
      <w:pPr>
        <w:widowControl w:val="0"/>
        <w:autoSpaceDE w:val="0"/>
        <w:autoSpaceDN w:val="0"/>
        <w:adjustRightInd w:val="0"/>
        <w:ind w:left="1134" w:hanging="567"/>
        <w:rPr>
          <w:szCs w:val="20"/>
        </w:rPr>
      </w:pPr>
      <w:r w:rsidRPr="00F36B82">
        <w:rPr>
          <w:b/>
          <w:szCs w:val="20"/>
        </w:rPr>
        <w:t>-</w:t>
      </w:r>
      <w:r w:rsidRPr="00F36B82">
        <w:rPr>
          <w:b/>
          <w:szCs w:val="20"/>
        </w:rPr>
        <w:tab/>
      </w:r>
      <w:r w:rsidRPr="00F36B82">
        <w:rPr>
          <w:szCs w:val="20"/>
        </w:rPr>
        <w:t>Defter değerini yeniden değerlendirmeleri ve yeniden yapılandırmaları yansıtacak şekilde ya da revize edilmiş özü itibarıyla sabit olan kira ödemelerini yansıtacak şekilde yeniden ölçer.</w:t>
      </w:r>
    </w:p>
    <w:p w14:paraId="0CF3EFE6" w14:textId="77777777" w:rsidR="0030346E" w:rsidRPr="00F36B82" w:rsidRDefault="0030346E" w:rsidP="00F36B82">
      <w:pPr>
        <w:widowControl w:val="0"/>
        <w:autoSpaceDE w:val="0"/>
        <w:autoSpaceDN w:val="0"/>
        <w:adjustRightInd w:val="0"/>
        <w:ind w:left="567" w:hanging="425"/>
        <w:rPr>
          <w:szCs w:val="20"/>
        </w:rPr>
      </w:pPr>
    </w:p>
    <w:p w14:paraId="3DB8F9A7" w14:textId="155936FB" w:rsidR="00DF415D" w:rsidRPr="00F36B82" w:rsidRDefault="006B4B08" w:rsidP="00F36B82">
      <w:pPr>
        <w:widowControl w:val="0"/>
        <w:autoSpaceDE w:val="0"/>
        <w:autoSpaceDN w:val="0"/>
        <w:adjustRightInd w:val="0"/>
        <w:ind w:left="567"/>
        <w:jc w:val="both"/>
        <w:rPr>
          <w:szCs w:val="20"/>
        </w:rPr>
      </w:pPr>
      <w:r w:rsidRPr="00F36B82">
        <w:rPr>
          <w:szCs w:val="20"/>
        </w:rPr>
        <w:t>Kiralama suresindeki her bir döneme ait kira yükümlülüğüne ilişkin kar oranı, kira yükümlülüğünün kalan bakiyesine sabit bir dönemsel kar oranı uygulanarak bulunan tutardır.</w:t>
      </w:r>
      <w:r w:rsidR="00DF415D" w:rsidRPr="00F36B82">
        <w:rPr>
          <w:szCs w:val="20"/>
        </w:rPr>
        <w:br w:type="page"/>
      </w:r>
    </w:p>
    <w:p w14:paraId="4E408521" w14:textId="0DCF7271" w:rsidR="00DF415D" w:rsidRPr="00471CBA" w:rsidRDefault="00DF415D" w:rsidP="004C6EA2">
      <w:pPr>
        <w:pStyle w:val="GvdeMetniGirintisi"/>
        <w:widowControl w:val="0"/>
        <w:ind w:firstLine="0"/>
        <w:rPr>
          <w:b/>
          <w:szCs w:val="20"/>
        </w:rPr>
      </w:pPr>
      <w:r w:rsidRPr="00471CBA">
        <w:rPr>
          <w:b/>
          <w:szCs w:val="20"/>
        </w:rPr>
        <w:lastRenderedPageBreak/>
        <w:t xml:space="preserve">MUHASEBE POLİTİKALARINA İLİŞKİN AÇIKLAMALAR </w:t>
      </w:r>
      <w:r w:rsidR="00451EE9" w:rsidRPr="00471CBA">
        <w:rPr>
          <w:b/>
          <w:szCs w:val="20"/>
        </w:rPr>
        <w:t>(Devamı)</w:t>
      </w:r>
    </w:p>
    <w:p w14:paraId="1DE3F664" w14:textId="77777777" w:rsidR="006C7154" w:rsidRPr="00471CBA" w:rsidRDefault="006C7154" w:rsidP="004C6EA2">
      <w:pPr>
        <w:widowControl w:val="0"/>
        <w:autoSpaceDE w:val="0"/>
        <w:autoSpaceDN w:val="0"/>
        <w:adjustRightInd w:val="0"/>
        <w:jc w:val="both"/>
        <w:rPr>
          <w:szCs w:val="20"/>
        </w:rPr>
      </w:pPr>
    </w:p>
    <w:p w14:paraId="03792C04" w14:textId="7961149F" w:rsidR="00632D27" w:rsidRPr="00471CBA" w:rsidRDefault="00632D27" w:rsidP="004C6EA2">
      <w:pPr>
        <w:widowControl w:val="0"/>
        <w:ind w:left="851" w:hanging="851"/>
        <w:jc w:val="both"/>
        <w:rPr>
          <w:b/>
          <w:iCs/>
          <w:szCs w:val="20"/>
        </w:rPr>
      </w:pPr>
      <w:r w:rsidRPr="00471CBA">
        <w:rPr>
          <w:b/>
          <w:iCs/>
          <w:szCs w:val="20"/>
        </w:rPr>
        <w:t>XIV.</w:t>
      </w:r>
      <w:r w:rsidRPr="00471CBA">
        <w:rPr>
          <w:b/>
          <w:iCs/>
          <w:szCs w:val="20"/>
        </w:rPr>
        <w:tab/>
      </w:r>
      <w:r w:rsidR="00DF415D" w:rsidRPr="00471CBA">
        <w:rPr>
          <w:b/>
          <w:iCs/>
          <w:szCs w:val="20"/>
        </w:rPr>
        <w:t>KARŞILIKLAR VE KOŞULLU YÜKÜMLÜLÜKLERE İLİŞKİN AÇIKLAMALAR</w:t>
      </w:r>
    </w:p>
    <w:p w14:paraId="5BED71AC" w14:textId="77777777" w:rsidR="0025237D" w:rsidRPr="00471CBA" w:rsidRDefault="0025237D" w:rsidP="004C6EA2">
      <w:pPr>
        <w:widowControl w:val="0"/>
        <w:autoSpaceDE w:val="0"/>
        <w:autoSpaceDN w:val="0"/>
        <w:adjustRightInd w:val="0"/>
        <w:jc w:val="both"/>
        <w:rPr>
          <w:szCs w:val="20"/>
        </w:rPr>
      </w:pPr>
    </w:p>
    <w:p w14:paraId="5A9A5032" w14:textId="15CC5BE1" w:rsidR="00632D27" w:rsidRPr="00471CBA" w:rsidRDefault="00632D27" w:rsidP="004C6EA2">
      <w:pPr>
        <w:widowControl w:val="0"/>
        <w:autoSpaceDE w:val="0"/>
        <w:autoSpaceDN w:val="0"/>
        <w:adjustRightInd w:val="0"/>
        <w:ind w:left="851"/>
        <w:jc w:val="both"/>
        <w:rPr>
          <w:szCs w:val="20"/>
        </w:rPr>
      </w:pPr>
      <w:r w:rsidRPr="00471CBA">
        <w:rPr>
          <w:szCs w:val="20"/>
        </w:rPr>
        <w:t xml:space="preserve">Krediler için ayrılan </w:t>
      </w:r>
      <w:r w:rsidR="005A795C" w:rsidRPr="00471CBA">
        <w:rPr>
          <w:szCs w:val="20"/>
        </w:rPr>
        <w:t>beklenen zarar</w:t>
      </w:r>
      <w:r w:rsidRPr="00471CBA">
        <w:rPr>
          <w:szCs w:val="20"/>
        </w:rPr>
        <w:t xml:space="preserve"> karşılıklar</w:t>
      </w:r>
      <w:r w:rsidR="005A795C" w:rsidRPr="00471CBA">
        <w:rPr>
          <w:szCs w:val="20"/>
        </w:rPr>
        <w:t>ı</w:t>
      </w:r>
      <w:r w:rsidRPr="00471CBA">
        <w:rPr>
          <w:szCs w:val="20"/>
        </w:rPr>
        <w:t xml:space="preserve"> dışında kalan karşılıklar ve şarta bağlı yükümlülükler “Karşılıklar, Koşullu Borçlar ve Koşullu Varlıklara İlişkin Türkiye Muhasebe Standardı”</w:t>
      </w:r>
      <w:r w:rsidR="006A428D" w:rsidRPr="00471CBA">
        <w:rPr>
          <w:szCs w:val="20"/>
        </w:rPr>
        <w:t xml:space="preserve"> </w:t>
      </w:r>
      <w:r w:rsidRPr="00471CBA">
        <w:rPr>
          <w:szCs w:val="20"/>
        </w:rPr>
        <w:t>(“TMS 37”)’</w:t>
      </w:r>
      <w:proofErr w:type="spellStart"/>
      <w:r w:rsidRPr="00471CBA">
        <w:rPr>
          <w:szCs w:val="20"/>
        </w:rPr>
        <w:t>na</w:t>
      </w:r>
      <w:proofErr w:type="spellEnd"/>
      <w:r w:rsidRPr="00471CBA">
        <w:rPr>
          <w:szCs w:val="20"/>
        </w:rPr>
        <w:t xml:space="preserve"> uygun olarak muhasebeleştirilmektedir. </w:t>
      </w:r>
    </w:p>
    <w:p w14:paraId="09C6F7AA" w14:textId="77777777" w:rsidR="0025237D" w:rsidRPr="00471CBA" w:rsidRDefault="0025237D" w:rsidP="004C6EA2">
      <w:pPr>
        <w:widowControl w:val="0"/>
        <w:autoSpaceDE w:val="0"/>
        <w:autoSpaceDN w:val="0"/>
        <w:adjustRightInd w:val="0"/>
        <w:ind w:left="851"/>
        <w:jc w:val="both"/>
        <w:rPr>
          <w:szCs w:val="20"/>
        </w:rPr>
      </w:pPr>
    </w:p>
    <w:p w14:paraId="6D037796" w14:textId="77777777" w:rsidR="00632D27" w:rsidRPr="00471CBA" w:rsidRDefault="00632D27" w:rsidP="004C6EA2">
      <w:pPr>
        <w:pStyle w:val="GvdeMetniGirintisi"/>
        <w:widowControl w:val="0"/>
        <w:ind w:left="851" w:firstLine="0"/>
        <w:rPr>
          <w:szCs w:val="20"/>
        </w:rPr>
      </w:pPr>
      <w:r w:rsidRPr="00471CBA">
        <w:rPr>
          <w:szCs w:val="20"/>
        </w:rPr>
        <w:t>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p>
    <w:p w14:paraId="10471B23" w14:textId="77777777" w:rsidR="0025237D" w:rsidRPr="00471CBA" w:rsidRDefault="0025237D" w:rsidP="004C6EA2">
      <w:pPr>
        <w:pStyle w:val="GvdeMetniGirintisi"/>
        <w:widowControl w:val="0"/>
        <w:ind w:left="851" w:firstLine="0"/>
        <w:rPr>
          <w:szCs w:val="20"/>
        </w:rPr>
      </w:pPr>
    </w:p>
    <w:p w14:paraId="390FA523" w14:textId="3D541940" w:rsidR="00632D27" w:rsidRPr="00471CBA" w:rsidRDefault="00632D27" w:rsidP="004C6EA2">
      <w:pPr>
        <w:pStyle w:val="GvdeMetniGirintisi"/>
        <w:widowControl w:val="0"/>
        <w:ind w:left="851" w:firstLine="0"/>
        <w:rPr>
          <w:szCs w:val="20"/>
        </w:rPr>
      </w:pPr>
      <w:r w:rsidRPr="00471CBA">
        <w:rPr>
          <w:szCs w:val="20"/>
        </w:rPr>
        <w:t>Geçmiş dönemlerdeki olayların bir sonucu olarak ortaya çıkan koşullu yükümlülükler için bu yükümlülüklerin ortaya çıktığı dönemde, gerçekleşme olasılığının yüksek olması durumunda ve tutarı güvenilir olarak tahmin edilebiliyorsa karşılık ayrılmaktadır.</w:t>
      </w:r>
    </w:p>
    <w:p w14:paraId="1951B607" w14:textId="77777777" w:rsidR="0025237D" w:rsidRPr="00471CBA" w:rsidRDefault="0025237D" w:rsidP="004C6EA2">
      <w:pPr>
        <w:pStyle w:val="GvdeMetniGirintisi"/>
        <w:widowControl w:val="0"/>
        <w:ind w:left="851" w:firstLine="0"/>
        <w:rPr>
          <w:szCs w:val="20"/>
        </w:rPr>
      </w:pPr>
    </w:p>
    <w:p w14:paraId="283EFC12" w14:textId="4EFB47FD" w:rsidR="00B32471" w:rsidRDefault="00B32471" w:rsidP="004C6EA2">
      <w:pPr>
        <w:pStyle w:val="GvdeMetni"/>
        <w:widowControl w:val="0"/>
        <w:tabs>
          <w:tab w:val="clear" w:pos="0"/>
          <w:tab w:val="clear" w:pos="720"/>
          <w:tab w:val="left" w:pos="142"/>
          <w:tab w:val="left" w:pos="540"/>
        </w:tabs>
        <w:ind w:left="851"/>
        <w:rPr>
          <w:color w:val="auto"/>
        </w:rPr>
      </w:pPr>
      <w:r w:rsidRPr="00471CBA">
        <w:rPr>
          <w:color w:val="auto"/>
        </w:rPr>
        <w:t>Geçmiş olaylardan kaynaklanan ve Banka’nın tam anlamıyla kontrolünde bulunmayan, birden fazla olayın ileride gerçekleşip gerçekleşmemesi ile mevcudiyeti teyit edilebilecek olan veya geçmiş olaylardan kaynaklanan fakat 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p>
    <w:p w14:paraId="190588AF" w14:textId="04596EE7" w:rsidR="00850242" w:rsidRDefault="00850242" w:rsidP="004C6EA2">
      <w:pPr>
        <w:pStyle w:val="GvdeMetni"/>
        <w:widowControl w:val="0"/>
        <w:tabs>
          <w:tab w:val="clear" w:pos="0"/>
          <w:tab w:val="clear" w:pos="720"/>
          <w:tab w:val="left" w:pos="142"/>
          <w:tab w:val="left" w:pos="540"/>
        </w:tabs>
        <w:ind w:left="851"/>
        <w:rPr>
          <w:color w:val="auto"/>
        </w:rPr>
      </w:pPr>
    </w:p>
    <w:p w14:paraId="16C0C982" w14:textId="3C92221F" w:rsidR="00850242" w:rsidRPr="009B7E9E" w:rsidRDefault="00850242" w:rsidP="00850242">
      <w:pPr>
        <w:pStyle w:val="GvdeMetni"/>
        <w:widowControl w:val="0"/>
        <w:tabs>
          <w:tab w:val="left" w:pos="142"/>
          <w:tab w:val="left" w:pos="540"/>
        </w:tabs>
        <w:ind w:left="851"/>
        <w:rPr>
          <w:color w:val="auto"/>
        </w:rPr>
      </w:pPr>
      <w:bookmarkStart w:id="32" w:name="_Hlk223335845"/>
      <w:r w:rsidRPr="009B7E9E">
        <w:rPr>
          <w:color w:val="auto"/>
        </w:rPr>
        <w:t>Mevduat ve Katılım Fonunun Kabulüne, Çekilmesine ve Zamanaşımına Uğrayan Mevduat, Katılım Fonu, Emanet ve Alacaklara İlişkin Usul ve Esaslar Hakkında Yönetmeliğin 6’ncı maddesinin sekizinci fıkrası uyarınca, Banka tarafından katılma hesabı sahiplerine ait kar paylarının dönemler itibarıyla istikrarlı bir şekilde dağıtılmasını teminen kar dengeleme rezervi ayrılabilmektedir.</w:t>
      </w:r>
    </w:p>
    <w:p w14:paraId="4D33E28B" w14:textId="77777777" w:rsidR="00C45BB6" w:rsidRPr="009B7E9E" w:rsidRDefault="00C45BB6" w:rsidP="00850242">
      <w:pPr>
        <w:pStyle w:val="GvdeMetni"/>
        <w:widowControl w:val="0"/>
        <w:tabs>
          <w:tab w:val="left" w:pos="142"/>
          <w:tab w:val="left" w:pos="540"/>
        </w:tabs>
        <w:ind w:left="851"/>
        <w:rPr>
          <w:color w:val="auto"/>
        </w:rPr>
      </w:pPr>
    </w:p>
    <w:p w14:paraId="7CFF2B4F" w14:textId="77777777" w:rsidR="00850242" w:rsidRPr="009B7E9E" w:rsidRDefault="00850242" w:rsidP="00850242">
      <w:pPr>
        <w:pStyle w:val="GvdeMetni"/>
        <w:widowControl w:val="0"/>
        <w:tabs>
          <w:tab w:val="left" w:pos="142"/>
          <w:tab w:val="left" w:pos="540"/>
        </w:tabs>
        <w:ind w:left="851"/>
        <w:rPr>
          <w:color w:val="auto"/>
        </w:rPr>
      </w:pPr>
      <w:r w:rsidRPr="009B7E9E">
        <w:rPr>
          <w:color w:val="auto"/>
        </w:rPr>
        <w:t>Söz konusu rezerv, katılma hesaplarından elde edilen getirilerde meydana gelebilecek dalgalanmaların etkisini azaltmak amacıyla, ilgili dönemde katılma hesabı sahiplerine isabet eden kar paylarından, yönetim kararı doğrultusunda ayrılmakta olup, Banka’nın özkaynaklarının bir unsuru niteliğinde değildir.</w:t>
      </w:r>
    </w:p>
    <w:p w14:paraId="642D608C" w14:textId="5A86BBD2" w:rsidR="00850242" w:rsidRPr="009B7E9E" w:rsidRDefault="00850242" w:rsidP="00850242">
      <w:pPr>
        <w:pStyle w:val="GvdeMetni"/>
        <w:widowControl w:val="0"/>
        <w:tabs>
          <w:tab w:val="left" w:pos="142"/>
          <w:tab w:val="left" w:pos="540"/>
        </w:tabs>
        <w:ind w:left="851"/>
        <w:rPr>
          <w:color w:val="auto"/>
        </w:rPr>
      </w:pPr>
      <w:r w:rsidRPr="009B7E9E">
        <w:rPr>
          <w:color w:val="auto"/>
        </w:rPr>
        <w:t>Kar dengeleme rezervi, finansal tablolarda yükümlülükler altında “Diğer Karşılıklar” hesabında izlenmekte olup, söz konusu rezerve ilişkin ayrılan tutarlar kar veya zarar tablosunda diğer karşılık giderleri hesabında muhasebeleştirilmektedir.</w:t>
      </w:r>
    </w:p>
    <w:p w14:paraId="7DE05282" w14:textId="77777777" w:rsidR="00C45BB6" w:rsidRPr="009B7E9E" w:rsidRDefault="00C45BB6" w:rsidP="00850242">
      <w:pPr>
        <w:pStyle w:val="GvdeMetni"/>
        <w:widowControl w:val="0"/>
        <w:tabs>
          <w:tab w:val="left" w:pos="142"/>
          <w:tab w:val="left" w:pos="540"/>
        </w:tabs>
        <w:ind w:left="851"/>
        <w:rPr>
          <w:color w:val="auto"/>
        </w:rPr>
      </w:pPr>
    </w:p>
    <w:p w14:paraId="760058C6" w14:textId="3BDDB599" w:rsidR="00850242" w:rsidRPr="00471CBA" w:rsidRDefault="00850242" w:rsidP="00850242">
      <w:pPr>
        <w:pStyle w:val="GvdeMetni"/>
        <w:widowControl w:val="0"/>
        <w:tabs>
          <w:tab w:val="clear" w:pos="0"/>
          <w:tab w:val="clear" w:pos="720"/>
          <w:tab w:val="left" w:pos="142"/>
          <w:tab w:val="left" w:pos="540"/>
        </w:tabs>
        <w:ind w:left="851"/>
        <w:rPr>
          <w:color w:val="auto"/>
        </w:rPr>
      </w:pPr>
      <w:r w:rsidRPr="009B7E9E">
        <w:rPr>
          <w:color w:val="auto"/>
        </w:rPr>
        <w:t>Kar dengeleme rezervinin çözülmesi veya iptal edilmesi durumunda, söz konusu tutarlar yalnızca katılma hesabı sahiplerine dağıtılmak üzere kullanılmakta olup, ilgili tutarlar diğer faaliyet gelirleri hesabında muhasebeleştirilmektedir.</w:t>
      </w:r>
    </w:p>
    <w:bookmarkEnd w:id="32"/>
    <w:p w14:paraId="6A1AE0E5" w14:textId="77777777" w:rsidR="0025237D" w:rsidRPr="00471CBA" w:rsidRDefault="0025237D" w:rsidP="004C6EA2">
      <w:pPr>
        <w:pStyle w:val="GvdeMetni"/>
        <w:widowControl w:val="0"/>
        <w:tabs>
          <w:tab w:val="clear" w:pos="0"/>
          <w:tab w:val="clear" w:pos="720"/>
          <w:tab w:val="left" w:pos="142"/>
          <w:tab w:val="left" w:pos="540"/>
        </w:tabs>
        <w:rPr>
          <w:color w:val="auto"/>
        </w:rPr>
      </w:pPr>
    </w:p>
    <w:p w14:paraId="1358F58A" w14:textId="2E9BEAE2" w:rsidR="00632D27" w:rsidRPr="00471CBA" w:rsidRDefault="00632D27" w:rsidP="004C6EA2">
      <w:pPr>
        <w:widowControl w:val="0"/>
        <w:ind w:left="851" w:hanging="851"/>
        <w:jc w:val="both"/>
        <w:rPr>
          <w:b/>
          <w:iCs/>
          <w:szCs w:val="20"/>
        </w:rPr>
      </w:pPr>
      <w:r w:rsidRPr="00471CBA">
        <w:rPr>
          <w:b/>
          <w:iCs/>
          <w:szCs w:val="20"/>
        </w:rPr>
        <w:t>XV.</w:t>
      </w:r>
      <w:r w:rsidRPr="00471CBA">
        <w:rPr>
          <w:b/>
          <w:iCs/>
          <w:szCs w:val="20"/>
        </w:rPr>
        <w:tab/>
      </w:r>
      <w:r w:rsidR="00DF415D" w:rsidRPr="00471CBA">
        <w:rPr>
          <w:b/>
          <w:iCs/>
          <w:szCs w:val="20"/>
        </w:rPr>
        <w:t>ÇALIŞANLARIN HAKLARINA İLİŞKİN YÜKÜMLÜLÜKLERE İLİŞKİN AÇIKLAMALAR</w:t>
      </w:r>
    </w:p>
    <w:p w14:paraId="18245B45" w14:textId="77777777" w:rsidR="0025237D" w:rsidRPr="00471CBA" w:rsidRDefault="0025237D" w:rsidP="004C6EA2">
      <w:pPr>
        <w:pStyle w:val="BodybyBD"/>
        <w:keepLines w:val="0"/>
        <w:widowControl w:val="0"/>
        <w:autoSpaceDE w:val="0"/>
        <w:autoSpaceDN w:val="0"/>
        <w:adjustRightInd w:val="0"/>
        <w:spacing w:before="0" w:after="0" w:line="240" w:lineRule="auto"/>
        <w:rPr>
          <w:sz w:val="20"/>
        </w:rPr>
      </w:pPr>
    </w:p>
    <w:p w14:paraId="1540F6E1" w14:textId="33106CA2" w:rsidR="0022681F" w:rsidRPr="00471CBA" w:rsidRDefault="0022681F" w:rsidP="004C6EA2">
      <w:pPr>
        <w:pStyle w:val="BodybyBD"/>
        <w:keepLines w:val="0"/>
        <w:widowControl w:val="0"/>
        <w:autoSpaceDE w:val="0"/>
        <w:autoSpaceDN w:val="0"/>
        <w:adjustRightInd w:val="0"/>
        <w:spacing w:before="0" w:after="0" w:line="240" w:lineRule="auto"/>
        <w:ind w:left="851"/>
        <w:rPr>
          <w:sz w:val="20"/>
        </w:rPr>
      </w:pPr>
      <w:r w:rsidRPr="00471CBA">
        <w:rPr>
          <w:sz w:val="20"/>
        </w:rPr>
        <w:t xml:space="preserve">Banka çalışanların haklarına ilişkin yükümlülüklerini </w:t>
      </w:r>
      <w:r w:rsidR="00D83F35" w:rsidRPr="00471CBA">
        <w:rPr>
          <w:sz w:val="20"/>
        </w:rPr>
        <w:t>(“</w:t>
      </w:r>
      <w:r w:rsidRPr="00471CBA">
        <w:rPr>
          <w:sz w:val="20"/>
        </w:rPr>
        <w:t>TMS 19</w:t>
      </w:r>
      <w:r w:rsidR="00D83F35" w:rsidRPr="00471CBA">
        <w:rPr>
          <w:sz w:val="20"/>
        </w:rPr>
        <w:t>”)</w:t>
      </w:r>
      <w:r w:rsidR="00266E78" w:rsidRPr="00471CBA">
        <w:rPr>
          <w:sz w:val="20"/>
        </w:rPr>
        <w:t xml:space="preserve"> </w:t>
      </w:r>
      <w:r w:rsidR="00D83F35" w:rsidRPr="00471CBA">
        <w:rPr>
          <w:sz w:val="20"/>
        </w:rPr>
        <w:t>“</w:t>
      </w:r>
      <w:r w:rsidRPr="00471CBA">
        <w:rPr>
          <w:sz w:val="20"/>
        </w:rPr>
        <w:t>Çalışanlara Sağlanan Faydalar” standardı uyarınca muhasebeleştirmektedir.</w:t>
      </w:r>
    </w:p>
    <w:p w14:paraId="4D02FA22" w14:textId="77777777" w:rsidR="0025237D" w:rsidRPr="00471CBA" w:rsidRDefault="0025237D" w:rsidP="004C6EA2">
      <w:pPr>
        <w:pStyle w:val="BodybyBD"/>
        <w:keepLines w:val="0"/>
        <w:widowControl w:val="0"/>
        <w:autoSpaceDE w:val="0"/>
        <w:autoSpaceDN w:val="0"/>
        <w:adjustRightInd w:val="0"/>
        <w:spacing w:before="0" w:after="0" w:line="240" w:lineRule="auto"/>
        <w:ind w:left="851"/>
        <w:rPr>
          <w:sz w:val="16"/>
          <w:szCs w:val="16"/>
        </w:rPr>
      </w:pPr>
    </w:p>
    <w:p w14:paraId="4E8C5358" w14:textId="030A1473" w:rsidR="0025237D" w:rsidRPr="00471CBA" w:rsidRDefault="0053225C" w:rsidP="004C6EA2">
      <w:pPr>
        <w:pStyle w:val="BodybyBD"/>
        <w:keepLines w:val="0"/>
        <w:widowControl w:val="0"/>
        <w:autoSpaceDE w:val="0"/>
        <w:autoSpaceDN w:val="0"/>
        <w:adjustRightInd w:val="0"/>
        <w:spacing w:before="0" w:after="0" w:line="240" w:lineRule="auto"/>
        <w:ind w:left="851"/>
        <w:rPr>
          <w:sz w:val="20"/>
        </w:rPr>
      </w:pPr>
      <w:r w:rsidRPr="00471CBA">
        <w:rPr>
          <w:sz w:val="20"/>
        </w:rPr>
        <w:t>Yürürlükteki kanunlara göre, Banka, emeklilik dolayısıyla istifa ve İş Kanunu’nda belirtilen davranışlar dışındaki sebeplerle istihdamı sona erdirilen çalışanlara belirli bir toplu ödeme yapmakla yükümlüdür. Kıdem tazminatı karşılığı, tüm çalışanların Türk İş Kanunu uyarınca emekliye ayrılması veya en az bir yıllık hizmeti tamamlayarak iş ilişkisinin kesilmesi, askerlik hizmeti için çağrılması veya vefatı durumunda doğacak gelecekteki olası yükümlülük tutarlarının tahmini karşılığının net bugünkü değeri üzerinden hesaplanmış ve finansal tablolara yansıtılmıştır.</w:t>
      </w:r>
    </w:p>
    <w:p w14:paraId="34BF3CEB" w14:textId="77777777" w:rsidR="0053225C" w:rsidRPr="00471CBA" w:rsidRDefault="0053225C" w:rsidP="004C6EA2">
      <w:pPr>
        <w:pStyle w:val="BodybyBD"/>
        <w:keepLines w:val="0"/>
        <w:widowControl w:val="0"/>
        <w:autoSpaceDE w:val="0"/>
        <w:autoSpaceDN w:val="0"/>
        <w:adjustRightInd w:val="0"/>
        <w:spacing w:before="0" w:after="0" w:line="240" w:lineRule="auto"/>
        <w:ind w:left="851"/>
        <w:rPr>
          <w:sz w:val="20"/>
        </w:rPr>
      </w:pPr>
    </w:p>
    <w:p w14:paraId="65ED3B75" w14:textId="618F958B" w:rsidR="00537C3E" w:rsidRPr="00471CBA" w:rsidRDefault="0022681F" w:rsidP="004C6EA2">
      <w:pPr>
        <w:pStyle w:val="BodybyBD"/>
        <w:keepLines w:val="0"/>
        <w:widowControl w:val="0"/>
        <w:autoSpaceDE w:val="0"/>
        <w:autoSpaceDN w:val="0"/>
        <w:adjustRightInd w:val="0"/>
        <w:spacing w:before="0" w:after="0" w:line="240" w:lineRule="auto"/>
        <w:ind w:left="851"/>
        <w:rPr>
          <w:sz w:val="20"/>
        </w:rPr>
      </w:pPr>
      <w:r w:rsidRPr="00471CBA">
        <w:rPr>
          <w:sz w:val="20"/>
        </w:rPr>
        <w:t>Banka, çalışanlarının kullanmadığı izin günlerine ilişkin TMS 19 standardı uyarınca karşılık ayırm</w:t>
      </w:r>
      <w:r w:rsidR="0053225C" w:rsidRPr="00471CBA">
        <w:rPr>
          <w:sz w:val="20"/>
        </w:rPr>
        <w:t>akta</w:t>
      </w:r>
      <w:r w:rsidRPr="00471CBA">
        <w:rPr>
          <w:sz w:val="20"/>
        </w:rPr>
        <w:t xml:space="preserve"> ve finansal tablolarına yansıtm</w:t>
      </w:r>
      <w:r w:rsidR="0053225C" w:rsidRPr="00471CBA">
        <w:rPr>
          <w:sz w:val="20"/>
        </w:rPr>
        <w:t>aktadır.</w:t>
      </w:r>
    </w:p>
    <w:p w14:paraId="5B44C4D9" w14:textId="78409657" w:rsidR="0053225C" w:rsidRPr="00471CBA" w:rsidRDefault="0053225C" w:rsidP="004C6EA2">
      <w:pPr>
        <w:pStyle w:val="BodybyBD"/>
        <w:keepLines w:val="0"/>
        <w:widowControl w:val="0"/>
        <w:autoSpaceDE w:val="0"/>
        <w:autoSpaceDN w:val="0"/>
        <w:adjustRightInd w:val="0"/>
        <w:spacing w:before="0" w:after="0" w:line="240" w:lineRule="auto"/>
        <w:ind w:left="851"/>
        <w:rPr>
          <w:sz w:val="16"/>
          <w:szCs w:val="16"/>
        </w:rPr>
      </w:pPr>
    </w:p>
    <w:p w14:paraId="3A7170C8" w14:textId="1B6B27C2" w:rsidR="00F36B82" w:rsidRDefault="0053225C" w:rsidP="004C6EA2">
      <w:pPr>
        <w:pStyle w:val="BodybyBD"/>
        <w:keepLines w:val="0"/>
        <w:widowControl w:val="0"/>
        <w:autoSpaceDE w:val="0"/>
        <w:autoSpaceDN w:val="0"/>
        <w:adjustRightInd w:val="0"/>
        <w:spacing w:before="0" w:after="0" w:line="240" w:lineRule="auto"/>
        <w:ind w:left="851"/>
        <w:rPr>
          <w:sz w:val="20"/>
        </w:rPr>
      </w:pPr>
      <w:r w:rsidRPr="00471CBA">
        <w:rPr>
          <w:sz w:val="20"/>
        </w:rPr>
        <w:t>Bilanço tarihi itibarıyla finansal tablolarda ilave karşılık ayrılmasını gerektiren çalışan haklarından doğan kısa vadeli yükümlülükler bulunmamaktadır. Banka çalışanlarının üyesi olduğu vakıf, sandık ve benzeri kuruluşlar bulunmamaktadır.</w:t>
      </w:r>
      <w:r w:rsidR="00F36B82">
        <w:rPr>
          <w:sz w:val="20"/>
        </w:rPr>
        <w:br w:type="page"/>
      </w:r>
    </w:p>
    <w:p w14:paraId="74C1B4E7" w14:textId="77777777" w:rsidR="00D32D13" w:rsidRPr="00F36B82" w:rsidRDefault="00D32D13" w:rsidP="00D32D13">
      <w:pPr>
        <w:pStyle w:val="GvdeMetniGirintisi"/>
        <w:widowControl w:val="0"/>
        <w:ind w:firstLine="0"/>
        <w:rPr>
          <w:b/>
          <w:szCs w:val="20"/>
        </w:rPr>
      </w:pPr>
      <w:bookmarkStart w:id="33" w:name="_Hlk213321199"/>
      <w:r w:rsidRPr="00F36B82">
        <w:rPr>
          <w:b/>
          <w:szCs w:val="20"/>
        </w:rPr>
        <w:lastRenderedPageBreak/>
        <w:t>MUHASEBE POLİTİKALARINA İLİŞKİN AÇIKLAMALAR (Devamı)</w:t>
      </w:r>
    </w:p>
    <w:p w14:paraId="14CC1802" w14:textId="77777777" w:rsidR="00D32D13" w:rsidRPr="00F36B82" w:rsidRDefault="00D32D13" w:rsidP="004C6EA2">
      <w:pPr>
        <w:pStyle w:val="GvdeMetniGirintisi"/>
        <w:widowControl w:val="0"/>
        <w:ind w:left="851" w:hanging="851"/>
        <w:rPr>
          <w:b/>
          <w:iCs/>
          <w:szCs w:val="20"/>
        </w:rPr>
      </w:pPr>
    </w:p>
    <w:p w14:paraId="37CB0826" w14:textId="4B40ECE0" w:rsidR="00632D27" w:rsidRPr="00F36B82" w:rsidRDefault="00632D27" w:rsidP="004C6EA2">
      <w:pPr>
        <w:pStyle w:val="GvdeMetniGirintisi"/>
        <w:widowControl w:val="0"/>
        <w:ind w:left="851" w:hanging="851"/>
        <w:rPr>
          <w:b/>
          <w:iCs/>
          <w:szCs w:val="20"/>
        </w:rPr>
      </w:pPr>
      <w:r w:rsidRPr="00F36B82">
        <w:rPr>
          <w:b/>
          <w:iCs/>
          <w:szCs w:val="20"/>
        </w:rPr>
        <w:t>XVI.</w:t>
      </w:r>
      <w:r w:rsidRPr="00F36B82">
        <w:rPr>
          <w:b/>
          <w:iCs/>
          <w:szCs w:val="20"/>
        </w:rPr>
        <w:tab/>
      </w:r>
      <w:r w:rsidR="00DF415D" w:rsidRPr="00F36B82">
        <w:rPr>
          <w:b/>
          <w:iCs/>
          <w:szCs w:val="20"/>
        </w:rPr>
        <w:t>VERGİ UYGULAMALARINA İLİŞKİN AÇIKLAMALAR</w:t>
      </w:r>
    </w:p>
    <w:p w14:paraId="51E1D683" w14:textId="77777777" w:rsidR="0025237D" w:rsidRPr="00F36B82" w:rsidRDefault="0025237D" w:rsidP="004C6EA2">
      <w:pPr>
        <w:pStyle w:val="GvdeMetniGirintisi"/>
        <w:widowControl w:val="0"/>
        <w:ind w:left="851" w:firstLine="0"/>
        <w:rPr>
          <w:b/>
          <w:szCs w:val="20"/>
        </w:rPr>
      </w:pPr>
    </w:p>
    <w:p w14:paraId="20FDDC35" w14:textId="60FCF751" w:rsidR="0008711C" w:rsidRPr="00F36B82" w:rsidRDefault="00DF415D" w:rsidP="004C6EA2">
      <w:pPr>
        <w:pStyle w:val="GvdeMetniGirintisi"/>
        <w:widowControl w:val="0"/>
        <w:ind w:left="851" w:firstLine="0"/>
        <w:rPr>
          <w:b/>
          <w:szCs w:val="20"/>
        </w:rPr>
      </w:pPr>
      <w:r w:rsidRPr="00F36B82">
        <w:rPr>
          <w:b/>
          <w:szCs w:val="20"/>
        </w:rPr>
        <w:t xml:space="preserve">Kurumlar Vergisi </w:t>
      </w:r>
    </w:p>
    <w:p w14:paraId="28368C7C" w14:textId="77777777" w:rsidR="0025237D" w:rsidRPr="00F36B82" w:rsidRDefault="0025237D" w:rsidP="004C6EA2">
      <w:pPr>
        <w:pStyle w:val="GvdeMetniGirintisi"/>
        <w:widowControl w:val="0"/>
        <w:ind w:left="851" w:firstLine="0"/>
        <w:rPr>
          <w:b/>
          <w:szCs w:val="20"/>
        </w:rPr>
      </w:pPr>
    </w:p>
    <w:p w14:paraId="6A8F8EFC" w14:textId="77777777" w:rsidR="00F36B82" w:rsidRPr="00F36B82" w:rsidRDefault="0008711C" w:rsidP="004C6EA2">
      <w:pPr>
        <w:pStyle w:val="GvdeMetniGirintisi"/>
        <w:widowControl w:val="0"/>
        <w:ind w:left="851" w:firstLine="0"/>
        <w:rPr>
          <w:szCs w:val="20"/>
        </w:rPr>
      </w:pPr>
      <w:r w:rsidRPr="00F36B82">
        <w:rPr>
          <w:szCs w:val="20"/>
        </w:rPr>
        <w:t>Banka, Türkiye’de yürürlükte bulunan vergi mevzuatına tabidir.</w:t>
      </w:r>
      <w:r w:rsidR="00332B3C" w:rsidRPr="00F36B82">
        <w:rPr>
          <w:szCs w:val="20"/>
        </w:rPr>
        <w:t xml:space="preserve"> Kurumlar vergisi oranı, 21 Haziran 2006 tarihli ve 26205 sayılı </w:t>
      </w:r>
      <w:r w:rsidR="00B21AE8" w:rsidRPr="00F36B82">
        <w:rPr>
          <w:szCs w:val="20"/>
        </w:rPr>
        <w:t>Resmî</w:t>
      </w:r>
      <w:r w:rsidR="00332B3C" w:rsidRPr="00F36B82">
        <w:rPr>
          <w:szCs w:val="20"/>
        </w:rPr>
        <w:t xml:space="preserve"> </w:t>
      </w:r>
      <w:proofErr w:type="spellStart"/>
      <w:r w:rsidR="00332B3C" w:rsidRPr="00F36B82">
        <w:rPr>
          <w:szCs w:val="20"/>
        </w:rPr>
        <w:t>Gazete’de</w:t>
      </w:r>
      <w:proofErr w:type="spellEnd"/>
      <w:r w:rsidR="00332B3C" w:rsidRPr="00F36B82">
        <w:rPr>
          <w:szCs w:val="20"/>
        </w:rPr>
        <w:t xml:space="preserve"> yayımlanarak yürürlüğe giren 5520 sayılı Kurumlar Vergisi Kanunu ile 1 Ocak 2006 tarihinden itibaren geçerli olmak üzere %20 olarak belirlenmiştir. Ancak; 15 Nisan 2022 tarih ve 31810 sayılı Resmi </w:t>
      </w:r>
      <w:proofErr w:type="spellStart"/>
      <w:r w:rsidR="00332B3C" w:rsidRPr="00F36B82">
        <w:rPr>
          <w:szCs w:val="20"/>
        </w:rPr>
        <w:t>Gazete’de</w:t>
      </w:r>
      <w:proofErr w:type="spellEnd"/>
      <w:r w:rsidR="00332B3C" w:rsidRPr="00F36B82">
        <w:rPr>
          <w:szCs w:val="20"/>
        </w:rPr>
        <w:t xml:space="preserve"> yayımlanan 7394 sayılı Kanun’un 25. Maddesi uyarınca; bankalar, 6361 sayılı Kanun kapsamındaki şirketler, elektronik ödeme ve para kuruluşları, yetkili döviz müesseseleri, varlık yönetim şirketleri, sermaye piyasası kurumları ile sigorta ve reasürans şirketleri ve emeklilik şirketleri için Kurumlar vergisi oranı %25 olarak belirlenmiş olup, bu oran 1 Temmuz 2022 tarihinden itibaren verilmesi gereken beyannamelerden başlamak ve 1 Ocak 2022 tarihinden itibaren başlayan hesap dönemlerine ait kurum kazançlarına uygulanmak üzere yürürlüğe girmiştir.</w:t>
      </w:r>
    </w:p>
    <w:p w14:paraId="2C380D27" w14:textId="77777777" w:rsidR="00332B3C" w:rsidRPr="00F36B82" w:rsidRDefault="00332B3C" w:rsidP="004C6EA2">
      <w:pPr>
        <w:pStyle w:val="GvdeMetniGirintisi"/>
        <w:widowControl w:val="0"/>
        <w:ind w:left="851" w:firstLine="0"/>
        <w:rPr>
          <w:szCs w:val="20"/>
        </w:rPr>
      </w:pPr>
    </w:p>
    <w:p w14:paraId="22EE72EE" w14:textId="458E840E" w:rsidR="00332B3C" w:rsidRPr="00F36B82" w:rsidRDefault="00332B3C" w:rsidP="004C6EA2">
      <w:pPr>
        <w:pStyle w:val="GvdeMetniGirintisi"/>
        <w:widowControl w:val="0"/>
        <w:ind w:left="851" w:firstLine="0"/>
        <w:rPr>
          <w:szCs w:val="20"/>
        </w:rPr>
      </w:pPr>
      <w:r w:rsidRPr="00F36B82">
        <w:rPr>
          <w:szCs w:val="20"/>
        </w:rPr>
        <w:t xml:space="preserve">15 Temmuz 2023 tarih ve 32249 sayılı </w:t>
      </w:r>
      <w:r w:rsidR="00B21AE8" w:rsidRPr="00F36B82">
        <w:rPr>
          <w:szCs w:val="20"/>
        </w:rPr>
        <w:t>Resmî</w:t>
      </w:r>
      <w:r w:rsidRPr="00F36B82">
        <w:rPr>
          <w:szCs w:val="20"/>
        </w:rPr>
        <w:t xml:space="preserve"> </w:t>
      </w:r>
      <w:proofErr w:type="spellStart"/>
      <w:r w:rsidRPr="00F36B82">
        <w:rPr>
          <w:szCs w:val="20"/>
        </w:rPr>
        <w:t>Gazete’de</w:t>
      </w:r>
      <w:proofErr w:type="spellEnd"/>
      <w:r w:rsidRPr="00F36B82">
        <w:rPr>
          <w:szCs w:val="20"/>
        </w:rPr>
        <w:t xml:space="preserve"> yayınlanan 7456 sayılı Kanun’un 21.Maddesi uyarınca ise 1 Ekim 2023 tarihinden itibaren verilmesi gereken beyannamelerden başlamak üzere; kurumların 2023 yılı ve izleyen vergilendirme dönemlerinde elde edilen kazançlara uygulanacak kurumlar vergisi oranı bankalar ve kanunda adı geçen diğer kurumlar için %25’den, %30’a çıkarılmıştır. 31 Aralık 202</w:t>
      </w:r>
      <w:r w:rsidR="005C60F5" w:rsidRPr="00F36B82">
        <w:rPr>
          <w:szCs w:val="20"/>
        </w:rPr>
        <w:t>3</w:t>
      </w:r>
      <w:r w:rsidRPr="00F36B82">
        <w:rPr>
          <w:szCs w:val="20"/>
        </w:rPr>
        <w:t xml:space="preserve"> tarihi itibarıyla finansal tablolarda Kurumlar vergisi oranı %30 olarak uygulanmıştır.</w:t>
      </w:r>
    </w:p>
    <w:p w14:paraId="2F7EED86" w14:textId="77777777" w:rsidR="00332B3C" w:rsidRPr="00F36B82" w:rsidRDefault="00332B3C" w:rsidP="004C6EA2">
      <w:pPr>
        <w:pStyle w:val="GvdeMetniGirintisi"/>
        <w:widowControl w:val="0"/>
        <w:ind w:left="851" w:firstLine="0"/>
        <w:rPr>
          <w:szCs w:val="20"/>
        </w:rPr>
      </w:pPr>
    </w:p>
    <w:p w14:paraId="039CAC61" w14:textId="43E7C79A" w:rsidR="0008711C" w:rsidRPr="00F36B82" w:rsidRDefault="00332B3C" w:rsidP="004C6EA2">
      <w:pPr>
        <w:pStyle w:val="GvdeMetniGirintisi"/>
        <w:widowControl w:val="0"/>
        <w:ind w:left="851" w:firstLine="0"/>
        <w:rPr>
          <w:szCs w:val="20"/>
        </w:rPr>
      </w:pPr>
      <w:r w:rsidRPr="00F36B82">
        <w:rPr>
          <w:szCs w:val="20"/>
        </w:rPr>
        <w:t>Kurumlar vergisi oranı kurumların ticari kazancına vergi yasaları gereğince indirimi kabul edilmeyen giderlerin ilave edilmesi, vergi yasalarında yer alan istisna (iştirak kazançları istisnası gibi) ve indirimlerin düşülmesi sonucu bulunacak vergi matrahına uygulanır. Kar dağıtılmadığı takdirde başka bir vergi ödenmemektedir.</w:t>
      </w:r>
    </w:p>
    <w:p w14:paraId="2DE13710" w14:textId="340A2BAB" w:rsidR="00EC7E6E" w:rsidRPr="00F36B82" w:rsidRDefault="00EC7E6E" w:rsidP="004C6EA2">
      <w:pPr>
        <w:pStyle w:val="GvdeMetniGirintisi"/>
        <w:widowControl w:val="0"/>
        <w:ind w:left="851" w:firstLine="0"/>
        <w:rPr>
          <w:szCs w:val="20"/>
        </w:rPr>
      </w:pPr>
    </w:p>
    <w:p w14:paraId="0B3925C7" w14:textId="5B6514BF" w:rsidR="00332B3C" w:rsidRPr="00F36B82" w:rsidRDefault="00E04E7B" w:rsidP="00E04E7B">
      <w:pPr>
        <w:pStyle w:val="GvdeMetniGirintisi"/>
        <w:widowControl w:val="0"/>
        <w:ind w:left="851" w:firstLine="0"/>
        <w:rPr>
          <w:szCs w:val="20"/>
        </w:rPr>
      </w:pPr>
      <w:r w:rsidRPr="00F36B82">
        <w:rPr>
          <w:szCs w:val="20"/>
        </w:rPr>
        <w:t xml:space="preserve">Türkiye’deki bir işyeri ya da </w:t>
      </w:r>
      <w:proofErr w:type="gramStart"/>
      <w:r w:rsidRPr="00F36B82">
        <w:rPr>
          <w:szCs w:val="20"/>
        </w:rPr>
        <w:t>daimi</w:t>
      </w:r>
      <w:proofErr w:type="gramEnd"/>
      <w:r w:rsidRPr="00F36B82">
        <w:rPr>
          <w:szCs w:val="20"/>
        </w:rPr>
        <w:t xml:space="preserve"> temsilcisi aracılığı ile gelir elde eden dar mükellef kurumlar ile Türkiye’de yerleşik kurumlara ödenen kâr paylarından (temettüler) stopaj yapılmaz. Bunların dışında kalan kişi ve kurumlara yapılan temettü ödemeleri %15 oranında stopaja tabidir. Kârın sermayeye ilavesi, kâr dağıtımı sayılmaz ve stopaj uygulanmaz.</w:t>
      </w:r>
    </w:p>
    <w:p w14:paraId="4CEE68C2" w14:textId="77777777" w:rsidR="00332B3C" w:rsidRPr="00F36B82" w:rsidRDefault="00332B3C" w:rsidP="004C6EA2">
      <w:pPr>
        <w:pStyle w:val="GvdeMetniGirintisi"/>
        <w:widowControl w:val="0"/>
        <w:ind w:left="851" w:firstLine="0"/>
        <w:rPr>
          <w:szCs w:val="20"/>
        </w:rPr>
      </w:pPr>
    </w:p>
    <w:p w14:paraId="35B7C910" w14:textId="7BC34F9A" w:rsidR="00332B3C" w:rsidRPr="00F36B82" w:rsidRDefault="00332B3C" w:rsidP="004C6EA2">
      <w:pPr>
        <w:pStyle w:val="GvdeMetniGirintisi"/>
        <w:widowControl w:val="0"/>
        <w:ind w:left="851" w:firstLine="0"/>
        <w:rPr>
          <w:szCs w:val="20"/>
        </w:rPr>
      </w:pPr>
      <w:r w:rsidRPr="00F36B82">
        <w:rPr>
          <w:szCs w:val="20"/>
        </w:rPr>
        <w:t>Kurumlar üçer aylık mali karları üzerinden o yıl geçerli olan kurumlar vergisi oranında geçici vergi hesaplar ve o dönemi izleyen ikinci ayın 17’nci gününe kadar beyan eder ve öderler. Yıl içinde ödenen geçici vergi o yıla ait olup, izleyen yıl verilecek kurumlar vergisi beyannamesi üzerinden hesaplanacak kurumlar vergisinden mahsup edilir. Mahsuba rağmen ödenmiş geçici vergi tutarı kalması durumunda bu tutar devlete karşı olan diğer mali borçlara da mahsup edilebilir.</w:t>
      </w:r>
    </w:p>
    <w:p w14:paraId="1D372388" w14:textId="77777777" w:rsidR="00332B3C" w:rsidRPr="00F36B82" w:rsidRDefault="00332B3C" w:rsidP="004C6EA2">
      <w:pPr>
        <w:pStyle w:val="GvdeMetniGirintisi"/>
        <w:widowControl w:val="0"/>
        <w:ind w:left="851" w:firstLine="0"/>
        <w:rPr>
          <w:szCs w:val="20"/>
        </w:rPr>
      </w:pPr>
    </w:p>
    <w:p w14:paraId="23D8F16B" w14:textId="641D71AA" w:rsidR="00332B3C" w:rsidRPr="00F36B82" w:rsidRDefault="00332B3C" w:rsidP="004C6EA2">
      <w:pPr>
        <w:pStyle w:val="GvdeMetniGirintisi"/>
        <w:widowControl w:val="0"/>
        <w:ind w:left="851" w:firstLine="0"/>
        <w:rPr>
          <w:szCs w:val="20"/>
        </w:rPr>
      </w:pPr>
      <w:r w:rsidRPr="00F36B82">
        <w:rPr>
          <w:szCs w:val="20"/>
        </w:rPr>
        <w:t xml:space="preserve">Banka tarafından uygulanan önemli vergi istisnalarından olan Kurumlar Vergisi Kanunu, 5. 1. e. maddesine göre; Kurumların, en az iki tam yıl (730 gün) süreyle aktiflerinde yer alan taşınmazların satışından doğan kazançların %50’si ve iştirak hisseleri ile aynı süreyle sahip oldukları kurucu senetleri, intifa senetleri ve rüçhan haklarının satışından doğan kazançların %75’lik kısmı kurumlar vergisinden istisnadır. Diğer taraftan, Banka aktifinde en az iki yıl süre ile elde tutulan gayrimenkullere ait istisna uygulaması 15 Temmuz 2023 tarih ve 32249 sayılı Resmi </w:t>
      </w:r>
      <w:proofErr w:type="spellStart"/>
      <w:r w:rsidRPr="00F36B82">
        <w:rPr>
          <w:szCs w:val="20"/>
        </w:rPr>
        <w:t>Gazete’de</w:t>
      </w:r>
      <w:proofErr w:type="spellEnd"/>
      <w:r w:rsidRPr="00F36B82">
        <w:rPr>
          <w:szCs w:val="20"/>
        </w:rPr>
        <w:t xml:space="preserve"> yayınlanan 7456 sayılı Kanun ‘un 19. Maddesi ile kaldırılmış, kanunun 22. Maddesinde “...bu Kanunun 5 inci maddesinin birinci fıkrasının (e) bendinde yer alan %50 oranı, bu maddenin yürürlüğe girdiği tarihten sonra yapılacak taşınmaz satış kazançları için %25 olarak uygulanır.” şeklinde ifade edilmiş olup, 15 Temmuz 2023 tarihinden önce yapılan satışlar için %50, sonrasında yapılan satışlar için ise istisna oranının %25 olarak uygulanacağı açıklanmıştır.</w:t>
      </w:r>
    </w:p>
    <w:p w14:paraId="5B012D78" w14:textId="77777777" w:rsidR="00332B3C" w:rsidRPr="00F36B82" w:rsidRDefault="00332B3C" w:rsidP="004C6EA2">
      <w:pPr>
        <w:pStyle w:val="GvdeMetniGirintisi"/>
        <w:widowControl w:val="0"/>
        <w:ind w:left="851" w:firstLine="0"/>
        <w:rPr>
          <w:szCs w:val="20"/>
        </w:rPr>
      </w:pPr>
    </w:p>
    <w:p w14:paraId="1A1AF355" w14:textId="77777777" w:rsidR="00F427BE" w:rsidRPr="00F36B82" w:rsidRDefault="00332B3C" w:rsidP="004C6EA2">
      <w:pPr>
        <w:pStyle w:val="GvdeMetniGirintisi"/>
        <w:widowControl w:val="0"/>
        <w:ind w:left="851" w:firstLine="0"/>
        <w:rPr>
          <w:szCs w:val="20"/>
        </w:rPr>
      </w:pPr>
      <w:r w:rsidRPr="00F36B82">
        <w:rPr>
          <w:szCs w:val="20"/>
        </w:rPr>
        <w:t xml:space="preserve">Bu istisna, satışın yapıldığı dönemde uygulanır ve satış kazancının istisnadan yararlanan kısmı satışın yapıldığı yılı izleyen beşinci yılın sonuna kadar pasifte özel bir fon hesabında tutulur. Ancak satış bedelinin, satışın yapıldığı yılı izleyen ikinci takvim yılının sonuna kadar tahsil edilmesi şarttır. Bu süre içinde tahsil edilmeyen satış bedeline isabet eden istisna nedeniyle zamanında tahakkuk ettirilmeyen vergiler </w:t>
      </w:r>
      <w:proofErr w:type="spellStart"/>
      <w:r w:rsidRPr="00F36B82">
        <w:rPr>
          <w:szCs w:val="20"/>
        </w:rPr>
        <w:t>ziyaa</w:t>
      </w:r>
      <w:proofErr w:type="spellEnd"/>
      <w:r w:rsidRPr="00F36B82">
        <w:rPr>
          <w:szCs w:val="20"/>
        </w:rPr>
        <w:t xml:space="preserve"> uğramış sayılır.</w:t>
      </w:r>
    </w:p>
    <w:p w14:paraId="4E895526" w14:textId="5B965CD1" w:rsidR="00F36B82" w:rsidRDefault="00F36B82">
      <w:pPr>
        <w:rPr>
          <w:szCs w:val="20"/>
        </w:rPr>
      </w:pPr>
      <w:r>
        <w:rPr>
          <w:szCs w:val="20"/>
        </w:rPr>
        <w:br w:type="page"/>
      </w:r>
    </w:p>
    <w:p w14:paraId="2E703C7D" w14:textId="77777777" w:rsidR="00F36B82" w:rsidRPr="00471CBA" w:rsidRDefault="00F36B82" w:rsidP="00F36B82">
      <w:pPr>
        <w:pStyle w:val="GvdeMetniGirintisi"/>
        <w:widowControl w:val="0"/>
        <w:ind w:firstLine="0"/>
        <w:rPr>
          <w:b/>
          <w:szCs w:val="20"/>
        </w:rPr>
      </w:pPr>
      <w:bookmarkStart w:id="34" w:name="_Hlk223358715"/>
      <w:r w:rsidRPr="00471CBA">
        <w:rPr>
          <w:b/>
          <w:szCs w:val="20"/>
        </w:rPr>
        <w:lastRenderedPageBreak/>
        <w:t>MUHASEBE POLİTİKALARINA İLİŞKİN AÇIKLAMALAR (Devamı)</w:t>
      </w:r>
    </w:p>
    <w:p w14:paraId="22CD442E" w14:textId="77777777" w:rsidR="00F36B82" w:rsidRPr="00471CBA" w:rsidRDefault="00F36B82" w:rsidP="00F36B82">
      <w:pPr>
        <w:pStyle w:val="GvdeMetniGirintisi"/>
        <w:widowControl w:val="0"/>
        <w:ind w:left="851" w:firstLine="0"/>
        <w:rPr>
          <w:sz w:val="16"/>
          <w:szCs w:val="16"/>
        </w:rPr>
      </w:pPr>
    </w:p>
    <w:p w14:paraId="37BD581A" w14:textId="77777777" w:rsidR="00F36B82" w:rsidRPr="00471CBA" w:rsidRDefault="00F36B82" w:rsidP="00F36B82">
      <w:pPr>
        <w:pStyle w:val="GvdeMetniGirintisi"/>
        <w:widowControl w:val="0"/>
        <w:ind w:left="851" w:hanging="851"/>
        <w:rPr>
          <w:b/>
          <w:iCs/>
          <w:szCs w:val="20"/>
        </w:rPr>
      </w:pPr>
      <w:r w:rsidRPr="00471CBA">
        <w:rPr>
          <w:b/>
          <w:iCs/>
          <w:szCs w:val="20"/>
        </w:rPr>
        <w:t>XVI.</w:t>
      </w:r>
      <w:r w:rsidRPr="00471CBA">
        <w:rPr>
          <w:b/>
          <w:iCs/>
          <w:szCs w:val="20"/>
        </w:rPr>
        <w:tab/>
        <w:t>VERGİ UYGULAMALARINA İLİŞKİN AÇIKLAMALAR (Devamı)</w:t>
      </w:r>
    </w:p>
    <w:bookmarkEnd w:id="34"/>
    <w:p w14:paraId="32739BAA" w14:textId="77777777" w:rsidR="00F427BE" w:rsidRPr="00F36B82" w:rsidRDefault="00F427BE" w:rsidP="00F36B82">
      <w:pPr>
        <w:pStyle w:val="GvdeMetniGirintisi"/>
        <w:widowControl w:val="0"/>
        <w:ind w:left="851" w:firstLine="0"/>
        <w:rPr>
          <w:szCs w:val="20"/>
        </w:rPr>
      </w:pPr>
    </w:p>
    <w:p w14:paraId="05946D66" w14:textId="77777777" w:rsidR="00F427BE" w:rsidRPr="00F36B82" w:rsidRDefault="00F427BE" w:rsidP="00F36B82">
      <w:pPr>
        <w:pStyle w:val="GvdeMetniGirintisi"/>
        <w:widowControl w:val="0"/>
        <w:ind w:left="851" w:firstLine="0"/>
        <w:rPr>
          <w:szCs w:val="20"/>
        </w:rPr>
      </w:pPr>
      <w:r w:rsidRPr="00F36B82">
        <w:rPr>
          <w:szCs w:val="20"/>
        </w:rPr>
        <w:t xml:space="preserve">İstisna edilen kazançtan beş yıl içinde sermayeye ilave dışında herhangi bir şekilde başka bir hesaba nakledilen veya işletmeden çekilen ya da dar mükellef kurumlarca ana merkeze aktarılan kısım için uygulanan istisna dolayısıyla zamanında tahakkuk ettirilmeyen vergiler </w:t>
      </w:r>
      <w:proofErr w:type="spellStart"/>
      <w:r w:rsidRPr="00F36B82">
        <w:rPr>
          <w:szCs w:val="20"/>
        </w:rPr>
        <w:t>ziyaa</w:t>
      </w:r>
      <w:proofErr w:type="spellEnd"/>
      <w:r w:rsidRPr="00F36B82">
        <w:rPr>
          <w:szCs w:val="20"/>
        </w:rPr>
        <w:t xml:space="preserve"> uğramış sayılır. Aynı süre içinde işletmenin tasfiyesi (bu Kanuna göre yapılan devir ve bölünmeler hariç) halinde de bu hüküm uygulanır.</w:t>
      </w:r>
    </w:p>
    <w:p w14:paraId="4FEE64DA" w14:textId="77777777" w:rsidR="00F427BE" w:rsidRPr="00F36B82" w:rsidRDefault="00F427BE" w:rsidP="00F36B82">
      <w:pPr>
        <w:pStyle w:val="GvdeMetniGirintisi"/>
        <w:widowControl w:val="0"/>
        <w:ind w:left="851" w:firstLine="0"/>
        <w:rPr>
          <w:szCs w:val="20"/>
        </w:rPr>
      </w:pPr>
    </w:p>
    <w:p w14:paraId="2040932E" w14:textId="77777777" w:rsidR="00F36B82" w:rsidRDefault="00F427BE" w:rsidP="00F36B82">
      <w:pPr>
        <w:pStyle w:val="GvdeMetniGirintisi"/>
        <w:widowControl w:val="0"/>
        <w:ind w:left="851" w:firstLine="0"/>
        <w:rPr>
          <w:szCs w:val="20"/>
        </w:rPr>
      </w:pPr>
      <w:r w:rsidRPr="00F36B82">
        <w:rPr>
          <w:szCs w:val="20"/>
        </w:rPr>
        <w:t>Ayrıca Kurumlar Vergisi Kanunu 5.1.f. maddesine göre; Bankalara borçları nedeniyle kanunî takibe alınmış veya Tasarruf Mevduatı Sigorta Fonuna borçlu durumda olan kurumlar ile bunların kefillerinin ve ipotek verenlerin sahip oldukları taşınmazlar, iştirak hisseleri, kurucu senetleri ve intifa senetleri ile rüçhan haklarının, bu borçlara karşılık bankalara veya bu Fona devrinden sağlanan hasılatın bu borçların tasfiyesinde kullanılan kısmına isabet eden kazançların tamamı ile bankaların bu şekilde elde ettikleri taşınmazların satışından doğan kazançların %50'lik, diğerlerinin satışından doğan kazançların %75'lik kısmı kurumlar vergisinden istisnadır.</w:t>
      </w:r>
    </w:p>
    <w:p w14:paraId="076C958F" w14:textId="77777777" w:rsidR="00F36B82" w:rsidRDefault="00F36B82" w:rsidP="00F36B82">
      <w:pPr>
        <w:pStyle w:val="GvdeMetniGirintisi"/>
        <w:widowControl w:val="0"/>
        <w:ind w:left="851" w:firstLine="0"/>
        <w:rPr>
          <w:szCs w:val="20"/>
        </w:rPr>
      </w:pPr>
    </w:p>
    <w:p w14:paraId="1ABFFCCA" w14:textId="6A9204AA" w:rsidR="00332B3C" w:rsidRPr="00F36B82" w:rsidRDefault="00332B3C" w:rsidP="00F36B82">
      <w:pPr>
        <w:pStyle w:val="GvdeMetniGirintisi"/>
        <w:widowControl w:val="0"/>
        <w:ind w:left="851" w:firstLine="0"/>
        <w:rPr>
          <w:szCs w:val="20"/>
        </w:rPr>
      </w:pPr>
      <w:r w:rsidRPr="00F36B82">
        <w:rPr>
          <w:szCs w:val="20"/>
        </w:rPr>
        <w:t>Türk vergi mevzuatına göre beyanname üzerinde gösterilen mali zararlar 5 yılı aşmamak kaydıyla dönem kurum kazancından indirilebilirler. Ancak, mali zararlar, geçmiş yıl karlarından mahsup edilemez.</w:t>
      </w:r>
    </w:p>
    <w:p w14:paraId="26074E9A" w14:textId="77777777" w:rsidR="00332B3C" w:rsidRPr="00F36B82" w:rsidRDefault="00332B3C" w:rsidP="00F36B82">
      <w:pPr>
        <w:pStyle w:val="GvdeMetniGirintisi"/>
        <w:widowControl w:val="0"/>
        <w:ind w:left="851" w:firstLine="0"/>
        <w:rPr>
          <w:szCs w:val="20"/>
        </w:rPr>
      </w:pPr>
    </w:p>
    <w:p w14:paraId="3C3464A9" w14:textId="762251B2" w:rsidR="00332B3C" w:rsidRPr="00F36B82" w:rsidRDefault="00332B3C" w:rsidP="00F36B82">
      <w:pPr>
        <w:pStyle w:val="GvdeMetniGirintisi"/>
        <w:widowControl w:val="0"/>
        <w:ind w:left="851" w:firstLine="0"/>
        <w:rPr>
          <w:szCs w:val="20"/>
        </w:rPr>
      </w:pPr>
      <w:r w:rsidRPr="00F36B82">
        <w:rPr>
          <w:szCs w:val="20"/>
        </w:rPr>
        <w:t>Kurumlar vergisi beyannameleri hesap döneminin kapandığı ayı takip eden dördüncü ayın sonuna kadar bağlı bulunulan vergi dairesine verilir ve aynı ayın sonuna kadar da tahakkuk eden vergi ödenir. Bununla beraber, vergi incelemesine yetkili makamlar takip eden beşinci yılın sonuna kadar muhasebe kayıtlarını inceleyebilir ve hatalı işlem tespit edilirse ödenecek vergi miktarları yeniden tarh ettirilir.</w:t>
      </w:r>
    </w:p>
    <w:p w14:paraId="5E5C8B82" w14:textId="77777777" w:rsidR="00332B3C" w:rsidRPr="00F36B82" w:rsidRDefault="00332B3C" w:rsidP="00F36B82">
      <w:pPr>
        <w:pStyle w:val="GvdeMetniGirintisi"/>
        <w:widowControl w:val="0"/>
        <w:ind w:left="851" w:firstLine="0"/>
        <w:rPr>
          <w:szCs w:val="20"/>
        </w:rPr>
      </w:pPr>
    </w:p>
    <w:p w14:paraId="636642CF" w14:textId="7CDEEA97" w:rsidR="00332B3C" w:rsidRPr="00F36B82" w:rsidRDefault="00332B3C" w:rsidP="00F36B82">
      <w:pPr>
        <w:pStyle w:val="GvdeMetniGirintisi"/>
        <w:widowControl w:val="0"/>
        <w:ind w:left="851" w:firstLine="0"/>
        <w:rPr>
          <w:szCs w:val="20"/>
        </w:rPr>
      </w:pPr>
      <w:r w:rsidRPr="00F36B82">
        <w:rPr>
          <w:szCs w:val="20"/>
        </w:rPr>
        <w:t xml:space="preserve">Diğer taraftan, Vergi Usul Kanunu’nun mükerrer 298/A maddesi hükmü çerçevesinde, 2021 takvim yılı sonu itibarıyla kurumlar vergisi hesaplamasında enflasyon düzeltmesi için aranan koşullar gerçekleşmiştir. Ancak 29 Ocak 2022 tarih ve 31734 sayılı Resmi </w:t>
      </w:r>
      <w:proofErr w:type="spellStart"/>
      <w:r w:rsidRPr="00F36B82">
        <w:rPr>
          <w:szCs w:val="20"/>
        </w:rPr>
        <w:t>Gazete’de</w:t>
      </w:r>
      <w:proofErr w:type="spellEnd"/>
      <w:r w:rsidRPr="00F36B82">
        <w:rPr>
          <w:szCs w:val="20"/>
        </w:rPr>
        <w:t xml:space="preserve"> yayımlanan 7352 sayılı “Vergi Usul Kanunu İle Kurumlar Vergisi Kanununda Değişiklik Yapılmasına Dair Kanun” ile 213 sayılı Vergi Usul Kanunu’na geçici 33’üncü madde eklenmiş ve geçici vergi dönemleri de dahil olmak üzere 2021 ve 2022 hesap dönemleri (kendilerine özel hesap dönemi tayin edilenlerde 2022 ve 2023 yılında biten hesap dönemleri itibarıyla) ile 2023 hesap dönemi geçici vergi dönemlerinde mükerrer 298’inci madde kapsamındaki enflasyon düzeltmesine ilişkin şartların oluşup oluşmadığına bakılmaksızın mali tabloların enflasyon düzeltmesine tabi tutulmayacağı, 31 Aralık 2023 tarihli mali tabloların ise enflasyon düzeltmesine ilişkin şartların oluşup oluşmadığına bakılmaksızın enflasyon düzeltmesine tabi tutulacağı, yapılacak enflasyon düzeltmesinden kaynaklanan kar/zarar farklarının geçmiş yıllar kar/zarar hesabında gösterilerek kurumlar vergisi matrahına eklenmeyeceği hususu yasalaşmıştır. 28 Aralık 2023 tarihli ve 32413 sayılı Resmi Gazete ’de yayımlanan 7491 sayılı Bazı Kanun ve Kanun Hükmünde Kararnamelerde Değişiklik Yapılması Hakkında Kanunun 17nci maddesine göre ise Bankalar, 21 Kasım 2012 tarihli ve 6361 sayılı Finansal Kiralama, </w:t>
      </w:r>
      <w:proofErr w:type="spellStart"/>
      <w:r w:rsidRPr="00F36B82">
        <w:rPr>
          <w:szCs w:val="20"/>
        </w:rPr>
        <w:t>Faktoring</w:t>
      </w:r>
      <w:proofErr w:type="spellEnd"/>
      <w:r w:rsidRPr="00F36B82">
        <w:rPr>
          <w:szCs w:val="20"/>
        </w:rPr>
        <w:t>, Finansman ve Tasarruf Finansman Şirketleri Kanunu kapsamındaki şirketler, ödeme ve elektronik para kuruluşları, yetkili döviz müesseseleri, varlık yönetim şirketleri, sermaye piyasası kurumları ile sigorta ve reasürans şirketleri ve emeklilik şirketleri tarafından geçici vergi dönemleri de dahil olmak üzere 2024 ve 2025 hesap dönemlerinde yapılacak enflasyon düzeltmesinden kaynaklanan kar/zarar farklarının kazancın tespitinde dikkate alınmayacağı yasalaşmıştır. Bu fıkra kapsamında belirlenen dönemleri geçici vergi dönemleri de dahil olmak üzere bir hesap dönemi kadar uzatmaya Cumhurbaşkanına yetki verilmiştir.</w:t>
      </w:r>
    </w:p>
    <w:p w14:paraId="70225EEB" w14:textId="77777777" w:rsidR="00332B3C" w:rsidRPr="00F36B82" w:rsidRDefault="00332B3C" w:rsidP="00F36B82">
      <w:pPr>
        <w:pStyle w:val="GvdeMetniGirintisi"/>
        <w:widowControl w:val="0"/>
        <w:ind w:left="851" w:firstLine="0"/>
        <w:rPr>
          <w:szCs w:val="20"/>
        </w:rPr>
      </w:pPr>
    </w:p>
    <w:p w14:paraId="03577FB6" w14:textId="503E41B0" w:rsidR="00866EF1" w:rsidRPr="00F36B82" w:rsidRDefault="00040B79" w:rsidP="00F36B82">
      <w:pPr>
        <w:pStyle w:val="GvdeMetniGirintisi"/>
        <w:widowControl w:val="0"/>
        <w:ind w:left="851" w:firstLine="0"/>
        <w:rPr>
          <w:szCs w:val="20"/>
        </w:rPr>
      </w:pPr>
      <w:bookmarkStart w:id="35" w:name="_Hlk196727216"/>
      <w:r w:rsidRPr="00F36B82">
        <w:rPr>
          <w:szCs w:val="20"/>
        </w:rPr>
        <w:t xml:space="preserve">15 Şubat 2025 tarihli ve 32814 Sayılı </w:t>
      </w:r>
      <w:r w:rsidR="001161FC" w:rsidRPr="00F36B82">
        <w:rPr>
          <w:szCs w:val="20"/>
        </w:rPr>
        <w:t>Resmî</w:t>
      </w:r>
      <w:r w:rsidRPr="00F36B82">
        <w:rPr>
          <w:szCs w:val="20"/>
        </w:rPr>
        <w:t xml:space="preserve"> </w:t>
      </w:r>
      <w:proofErr w:type="spellStart"/>
      <w:r w:rsidRPr="00F36B82">
        <w:rPr>
          <w:szCs w:val="20"/>
        </w:rPr>
        <w:t>Gazete’de</w:t>
      </w:r>
      <w:proofErr w:type="spellEnd"/>
      <w:r w:rsidRPr="00F36B82">
        <w:rPr>
          <w:szCs w:val="20"/>
        </w:rPr>
        <w:t xml:space="preserve"> yayınlanan 582 Sıra </w:t>
      </w:r>
      <w:proofErr w:type="spellStart"/>
      <w:r w:rsidRPr="00F36B82">
        <w:rPr>
          <w:szCs w:val="20"/>
        </w:rPr>
        <w:t>No’lu</w:t>
      </w:r>
      <w:proofErr w:type="spellEnd"/>
      <w:r w:rsidRPr="00F36B82">
        <w:rPr>
          <w:szCs w:val="20"/>
        </w:rPr>
        <w:t xml:space="preserve"> VUK Tebliği göre; 2025 hesap döneminin birinci, ikinci ve üçüncü geçici vergi dönemleri sonu itibarıyla enflasyon düzeltmesi yapılmaması kararlaştırılmıştır. </w:t>
      </w:r>
    </w:p>
    <w:p w14:paraId="7F6ACE28" w14:textId="312CD32C" w:rsidR="00F36B82" w:rsidRDefault="00F36B82">
      <w:pPr>
        <w:rPr>
          <w:szCs w:val="20"/>
        </w:rPr>
      </w:pPr>
      <w:r>
        <w:rPr>
          <w:szCs w:val="20"/>
        </w:rPr>
        <w:br w:type="page"/>
      </w:r>
    </w:p>
    <w:p w14:paraId="63DE3CF0" w14:textId="77777777" w:rsidR="00F36B82" w:rsidRPr="00471CBA" w:rsidRDefault="00F36B82" w:rsidP="00F36B82">
      <w:pPr>
        <w:pStyle w:val="GvdeMetniGirintisi"/>
        <w:widowControl w:val="0"/>
        <w:ind w:firstLine="0"/>
        <w:rPr>
          <w:b/>
          <w:szCs w:val="20"/>
        </w:rPr>
      </w:pPr>
      <w:r w:rsidRPr="00471CBA">
        <w:rPr>
          <w:b/>
          <w:szCs w:val="20"/>
        </w:rPr>
        <w:lastRenderedPageBreak/>
        <w:t>MUHASEBE POLİTİKALARINA İLİŞKİN AÇIKLAMALAR (Devamı)</w:t>
      </w:r>
    </w:p>
    <w:p w14:paraId="5FD4AB09" w14:textId="77777777" w:rsidR="00F36B82" w:rsidRPr="00471CBA" w:rsidRDefault="00F36B82" w:rsidP="00F36B82">
      <w:pPr>
        <w:pStyle w:val="GvdeMetniGirintisi"/>
        <w:widowControl w:val="0"/>
        <w:ind w:left="851" w:firstLine="0"/>
        <w:rPr>
          <w:sz w:val="16"/>
          <w:szCs w:val="16"/>
        </w:rPr>
      </w:pPr>
    </w:p>
    <w:p w14:paraId="7CB26F07" w14:textId="77777777" w:rsidR="00F36B82" w:rsidRPr="00471CBA" w:rsidRDefault="00F36B82" w:rsidP="00F36B82">
      <w:pPr>
        <w:pStyle w:val="GvdeMetniGirintisi"/>
        <w:widowControl w:val="0"/>
        <w:ind w:left="851" w:hanging="851"/>
        <w:rPr>
          <w:b/>
          <w:iCs/>
          <w:szCs w:val="20"/>
        </w:rPr>
      </w:pPr>
      <w:r w:rsidRPr="00471CBA">
        <w:rPr>
          <w:b/>
          <w:iCs/>
          <w:szCs w:val="20"/>
        </w:rPr>
        <w:t>XVI.</w:t>
      </w:r>
      <w:r w:rsidRPr="00471CBA">
        <w:rPr>
          <w:b/>
          <w:iCs/>
          <w:szCs w:val="20"/>
        </w:rPr>
        <w:tab/>
        <w:t>VERGİ UYGULAMALARINA İLİŞKİN AÇIKLAMALAR (Devamı)</w:t>
      </w:r>
    </w:p>
    <w:p w14:paraId="1FAE0711" w14:textId="77777777" w:rsidR="00C72B53" w:rsidRPr="00F36B82" w:rsidRDefault="00C72B53" w:rsidP="00F36B82">
      <w:pPr>
        <w:pStyle w:val="GvdeMetniGirintisi"/>
        <w:widowControl w:val="0"/>
        <w:ind w:left="851" w:firstLine="0"/>
        <w:rPr>
          <w:szCs w:val="20"/>
        </w:rPr>
      </w:pPr>
    </w:p>
    <w:p w14:paraId="3771908D" w14:textId="68F28BBE" w:rsidR="00C72B53" w:rsidRPr="00F36B82" w:rsidRDefault="00C72B53" w:rsidP="00F36B82">
      <w:pPr>
        <w:pStyle w:val="GvdeMetniGirintisi"/>
        <w:widowControl w:val="0"/>
        <w:ind w:left="851" w:firstLine="0"/>
        <w:rPr>
          <w:szCs w:val="20"/>
        </w:rPr>
      </w:pPr>
      <w:bookmarkStart w:id="36" w:name="_Hlk223344620"/>
      <w:r w:rsidRPr="00F36B82">
        <w:rPr>
          <w:szCs w:val="20"/>
        </w:rPr>
        <w:t xml:space="preserve">Ancak, 25.12.2025 tarihli Resmî Gazetede yayımlanan 7571 sayılı Türk Ceza Kanunu ile Bazı Kanunlarda ve 631 Sayılı Kanun Hükmünde Kararnamede Değişiklik Yapılmasına Dair Kanun’la, şartlar oluşsa dahi, 2025, 2026 ve 2027 hesap dönemlerinde enflasyon düzeltmesinin uygulanmayacağı karara bağlanmıştır. Buna göre, 2025 hesap dönemi ile geçici vergi dönemleri de dahil olmak üzere 2026 ve 2027 hesap dönemlerinde (kendilerine özel hesap dönemi tayin edilenlerde 2026, 2027 ve 2028 yılında biten hesap dönemleri itibarıyla) mükerrer 298 inci madde kapsamındaki enflasyon düzeltmesine ilişkin şartların oluşup oluşmadığına bakılmaksızın mali tablolar enflasyon düzeltmesine tabi tutulmayacaktır. Bu fıkra kapsamında belirlenen dönemleri geçici vergi dönemleri de dahil olmak üzere üç hesap dönemine kadar uzatmaya Cumhurbaşkanı yetkili kılınmıştır. VUK mükerrer 298. maddesinin (Ç) fıkrası ve Geçici 32. maddelerindeki düzenlemeler ile 537 Sayılı VUK Genel Tebliği çerçevesinde tanımlanan kapsamda ihtiyari olarak mükelleflere yeniden değerleme </w:t>
      </w:r>
      <w:proofErr w:type="gramStart"/>
      <w:r w:rsidRPr="00F36B82">
        <w:rPr>
          <w:szCs w:val="20"/>
        </w:rPr>
        <w:t>imkanı</w:t>
      </w:r>
      <w:proofErr w:type="gramEnd"/>
      <w:r w:rsidRPr="00F36B82">
        <w:rPr>
          <w:szCs w:val="20"/>
        </w:rPr>
        <w:t xml:space="preserve"> getirilmiştir. Ancak VUK mükerrer 298. Maddesinin (A) fıkrası ve Geçici 33. madde uyarınca, enflasyon düzeltmesinin yapma zorunluluğu bulunduğu dönemlerde, aynı maddenin (Ç) fıkrası kapsamında yeniden değerleme yapılamaz. 2025 yılı için yeniden değerleme uygulaması </w:t>
      </w:r>
      <w:r w:rsidR="00685D53" w:rsidRPr="00F36B82">
        <w:rPr>
          <w:szCs w:val="20"/>
        </w:rPr>
        <w:t>yapılma</w:t>
      </w:r>
      <w:r w:rsidRPr="00F36B82">
        <w:rPr>
          <w:szCs w:val="20"/>
        </w:rPr>
        <w:t xml:space="preserve">mıştır. </w:t>
      </w:r>
    </w:p>
    <w:p w14:paraId="0F87C86C" w14:textId="77777777" w:rsidR="00C72B53" w:rsidRPr="00F36B82" w:rsidRDefault="00C72B53" w:rsidP="00F36B82">
      <w:pPr>
        <w:pStyle w:val="GvdeMetniGirintisi"/>
        <w:widowControl w:val="0"/>
        <w:ind w:left="851" w:firstLine="0"/>
        <w:rPr>
          <w:szCs w:val="20"/>
        </w:rPr>
      </w:pPr>
    </w:p>
    <w:p w14:paraId="489D3132" w14:textId="1AC34DE9" w:rsidR="00C72B53" w:rsidRPr="00471CBA" w:rsidRDefault="00C72B53" w:rsidP="00F36B82">
      <w:pPr>
        <w:pStyle w:val="GvdeMetniGirintisi"/>
        <w:widowControl w:val="0"/>
        <w:ind w:left="851" w:firstLine="0"/>
        <w:rPr>
          <w:szCs w:val="20"/>
        </w:rPr>
      </w:pPr>
      <w:r w:rsidRPr="00F36B82">
        <w:rPr>
          <w:szCs w:val="20"/>
        </w:rPr>
        <w:t>Ayrıca, 7524 sayılı Kanun’un 36. maddesi ile Kurumlar Vergisi Kanunu’na “Yurt içi asgari kurumlar vergisi” başlıklı 32/C maddesi eklenmiştir. Yurt içi asgari kurumlar vergisi uygulamasına ilişkin olan bu düzenlemeye göre, 32 ve 32/A maddeleri çerçevesinde hesaplanan kurumlar vergisi, indirim ve istisnalar uygulanmadan önceki kurum kazancının %10’undan az olmayacaktır. Söz konusu düzenleme, 2025 yılı vergilendirme dönemi kurum kazançlarına uygulanmak üzere yayımı tarihinde yürürlüğe girmiştir. Konuya ilişkin 28.09.2024 tarih,</w:t>
      </w:r>
      <w:r w:rsidRPr="00C14CCE">
        <w:rPr>
          <w:szCs w:val="20"/>
        </w:rPr>
        <w:t xml:space="preserve"> 32676 sayılı </w:t>
      </w:r>
      <w:proofErr w:type="gramStart"/>
      <w:r w:rsidRPr="00C14CCE">
        <w:rPr>
          <w:szCs w:val="20"/>
        </w:rPr>
        <w:t>Resmi</w:t>
      </w:r>
      <w:proofErr w:type="gramEnd"/>
      <w:r w:rsidRPr="00C14CCE">
        <w:rPr>
          <w:szCs w:val="20"/>
        </w:rPr>
        <w:t xml:space="preserve"> </w:t>
      </w:r>
      <w:proofErr w:type="spellStart"/>
      <w:r w:rsidRPr="00C14CCE">
        <w:rPr>
          <w:szCs w:val="20"/>
        </w:rPr>
        <w:t>Gazete’de</w:t>
      </w:r>
      <w:proofErr w:type="spellEnd"/>
      <w:r w:rsidRPr="00C14CCE">
        <w:rPr>
          <w:szCs w:val="20"/>
        </w:rPr>
        <w:t xml:space="preserve"> 23 Seri </w:t>
      </w:r>
      <w:proofErr w:type="spellStart"/>
      <w:r w:rsidRPr="00C14CCE">
        <w:rPr>
          <w:szCs w:val="20"/>
        </w:rPr>
        <w:t>No'lu</w:t>
      </w:r>
      <w:proofErr w:type="spellEnd"/>
      <w:r w:rsidRPr="00C14CCE">
        <w:rPr>
          <w:szCs w:val="20"/>
        </w:rPr>
        <w:t xml:space="preserve"> Kurumlar Vergisi Genel Tebliği yayımlanmıştır.</w:t>
      </w:r>
    </w:p>
    <w:bookmarkEnd w:id="35"/>
    <w:bookmarkEnd w:id="36"/>
    <w:p w14:paraId="2F338C1B" w14:textId="77777777" w:rsidR="0025237D" w:rsidRPr="00471CBA" w:rsidRDefault="0025237D" w:rsidP="00F36B82">
      <w:pPr>
        <w:pStyle w:val="GvdeMetniGirintisi"/>
        <w:widowControl w:val="0"/>
        <w:ind w:left="851" w:firstLine="0"/>
        <w:rPr>
          <w:b/>
          <w:szCs w:val="20"/>
        </w:rPr>
      </w:pPr>
    </w:p>
    <w:p w14:paraId="21FE6DFF" w14:textId="0CBF206A" w:rsidR="00632D27" w:rsidRPr="00471CBA" w:rsidRDefault="00632D27" w:rsidP="00F36B82">
      <w:pPr>
        <w:pStyle w:val="GvdeMetniGirintisi"/>
        <w:widowControl w:val="0"/>
        <w:ind w:left="851" w:firstLine="0"/>
        <w:rPr>
          <w:szCs w:val="20"/>
        </w:rPr>
      </w:pPr>
      <w:r w:rsidRPr="00471CBA">
        <w:rPr>
          <w:b/>
          <w:szCs w:val="20"/>
        </w:rPr>
        <w:t>Ertelenmiş vergiler</w:t>
      </w:r>
      <w:r w:rsidRPr="00471CBA">
        <w:rPr>
          <w:szCs w:val="20"/>
        </w:rPr>
        <w:t xml:space="preserve"> </w:t>
      </w:r>
    </w:p>
    <w:p w14:paraId="59764240" w14:textId="532BACC9" w:rsidR="00B87FEA" w:rsidRPr="00471CBA" w:rsidRDefault="00B87FEA" w:rsidP="00F36B82">
      <w:pPr>
        <w:widowControl w:val="0"/>
        <w:ind w:left="851"/>
        <w:jc w:val="both"/>
        <w:rPr>
          <w:bCs/>
          <w:szCs w:val="20"/>
        </w:rPr>
      </w:pPr>
    </w:p>
    <w:p w14:paraId="57FD2A8E" w14:textId="77777777" w:rsidR="00F36B82" w:rsidRDefault="0053225C" w:rsidP="00F36B82">
      <w:pPr>
        <w:widowControl w:val="0"/>
        <w:ind w:left="851"/>
        <w:jc w:val="both"/>
        <w:rPr>
          <w:bCs/>
          <w:szCs w:val="20"/>
        </w:rPr>
      </w:pPr>
      <w:r w:rsidRPr="00471CBA">
        <w:rPr>
          <w:bCs/>
          <w:szCs w:val="20"/>
        </w:rPr>
        <w:t>Ertelenen vergi varlığı veya yükümlülüğü, “Gelir Vergilerine İlişkin Türkiye Muhasebe Standardı” (“TMS 12”) hükümlerince varlıkların ve yükümlülüklerin finansal tablolarda gösterilen tutarları ile vergi mevzuatına göre hesaplanan tutarlar arasında ortaya çıkan geçici farklılıkların bilanço yöntemine göre vergi etkilerinin ilgili dönemlerde yürürlükte olan vergi oranları dikkate alınarak hesaplanmasıyla belirlenmektedir. Ertelenmiş vergi aktif ve yükümlülükleri netleştirilmek suretiyle finansal tablolara yansıtılmıştır. Ertelenmiş vergi yükümlülüğü vergilendirilebilir geçici farkların tümü için hesaplanırken, indirilebilir geçici farklardan oluşan ertelenmiş vergi varlıkları, gelecekte vergiye tabi kar elde etmek suretiyle bu farklardan yararlanmanın kuvvetle muhtemel olması şartıyla hesaplanmaktadır.</w:t>
      </w:r>
      <w:r w:rsidR="0072325C" w:rsidRPr="00471CBA">
        <w:rPr>
          <w:bCs/>
          <w:szCs w:val="20"/>
        </w:rPr>
        <w:t xml:space="preserve"> </w:t>
      </w:r>
      <w:r w:rsidRPr="00471CBA">
        <w:rPr>
          <w:bCs/>
          <w:szCs w:val="20"/>
        </w:rPr>
        <w:t xml:space="preserve">Ertelenmiş vergi, varlıkların oluştuğu veya yükümlülüklerin yerine getirildiği dönemde geçerli olan veya yürürlüğe girmesi kesine yakın olan vergi oranları üzerinden hesaplanır ve kar veya zarar tablosuna gider veya gelir olarak kaydedilir. Bununla birlikte, ertelenen vergi, aynı veya farklı bir dönemde doğrudan özkaynak ile ilişkilendirilen varlıklarla ilgili ise doğrudan özkaynak hesaplarında muhasebeleştirilir. </w:t>
      </w:r>
      <w:bookmarkStart w:id="37" w:name="_Hlk196727236"/>
      <w:r w:rsidRPr="00471CBA">
        <w:rPr>
          <w:bCs/>
          <w:szCs w:val="20"/>
        </w:rPr>
        <w:t xml:space="preserve">Banka </w:t>
      </w:r>
      <w:r w:rsidR="008F1903" w:rsidRPr="00471CBA">
        <w:rPr>
          <w:bCs/>
          <w:szCs w:val="20"/>
        </w:rPr>
        <w:t>31 Aralık</w:t>
      </w:r>
      <w:r w:rsidR="00C72B53">
        <w:rPr>
          <w:bCs/>
          <w:szCs w:val="20"/>
        </w:rPr>
        <w:t xml:space="preserve"> </w:t>
      </w:r>
      <w:r w:rsidR="00932390" w:rsidRPr="00471CBA">
        <w:rPr>
          <w:bCs/>
          <w:szCs w:val="20"/>
        </w:rPr>
        <w:t>2025</w:t>
      </w:r>
      <w:r w:rsidRPr="00471CBA">
        <w:rPr>
          <w:bCs/>
          <w:szCs w:val="20"/>
        </w:rPr>
        <w:t xml:space="preserve"> tarihli finansal tabloları hazırlarken gerçekleşmesi veya kapanması beklenen geçici farklar için %30 vergi oranı kullanmıştır.</w:t>
      </w:r>
      <w:bookmarkEnd w:id="37"/>
    </w:p>
    <w:p w14:paraId="4D907229" w14:textId="26565C62" w:rsidR="006243A7" w:rsidRPr="00471CBA" w:rsidRDefault="006243A7" w:rsidP="00F36B82">
      <w:pPr>
        <w:widowControl w:val="0"/>
        <w:ind w:left="851"/>
        <w:jc w:val="both"/>
        <w:rPr>
          <w:bCs/>
          <w:szCs w:val="20"/>
        </w:rPr>
      </w:pPr>
    </w:p>
    <w:p w14:paraId="7E5C9985" w14:textId="0950D529" w:rsidR="000A410D" w:rsidRPr="00471CBA" w:rsidRDefault="000A410D" w:rsidP="00444D4B">
      <w:pPr>
        <w:widowControl w:val="0"/>
        <w:spacing w:line="233" w:lineRule="auto"/>
        <w:ind w:left="851"/>
        <w:jc w:val="both"/>
        <w:rPr>
          <w:bCs/>
          <w:szCs w:val="20"/>
        </w:rPr>
      </w:pPr>
      <w:bookmarkStart w:id="38" w:name="_Hlk223344767"/>
      <w:r w:rsidRPr="00C14CCE">
        <w:rPr>
          <w:bCs/>
          <w:szCs w:val="20"/>
        </w:rPr>
        <w:t>Bununla birlikte, 7491 sayılı Bazı Kanun ve Kanun Hükmünde Kararnamelerde Değişiklik Yapılması Hakkında Kanun’la yapılan düzenleme ile, Bankalar tarafından geçici vergi dönemleri de dahil olmak üzere 2024 ve 2025 hesap dönemlerinde yapılacak enflasyon düzeltmesinden kaynaklanan kâr/zarar farkının, kazancın tespitinde dikkate alınmayacağı düzenleme altına alınmıştır.</w:t>
      </w:r>
      <w:r w:rsidR="006031CD" w:rsidRPr="00471CBA">
        <w:rPr>
          <w:bCs/>
          <w:szCs w:val="20"/>
        </w:rPr>
        <w:t xml:space="preserve"> </w:t>
      </w:r>
      <w:bookmarkStart w:id="39" w:name="_Hlk196727326"/>
    </w:p>
    <w:bookmarkEnd w:id="38"/>
    <w:bookmarkEnd w:id="39"/>
    <w:p w14:paraId="35427FC0" w14:textId="77777777" w:rsidR="0053225C" w:rsidRPr="00471CBA" w:rsidRDefault="0053225C" w:rsidP="00444D4B">
      <w:pPr>
        <w:widowControl w:val="0"/>
        <w:spacing w:line="233" w:lineRule="auto"/>
        <w:ind w:left="851"/>
        <w:jc w:val="both"/>
        <w:rPr>
          <w:bCs/>
          <w:sz w:val="16"/>
          <w:szCs w:val="16"/>
        </w:rPr>
      </w:pPr>
    </w:p>
    <w:p w14:paraId="2047E728" w14:textId="77777777" w:rsidR="0008711C" w:rsidRPr="00471CBA" w:rsidRDefault="0008711C" w:rsidP="00444D4B">
      <w:pPr>
        <w:widowControl w:val="0"/>
        <w:autoSpaceDE w:val="0"/>
        <w:autoSpaceDN w:val="0"/>
        <w:adjustRightInd w:val="0"/>
        <w:spacing w:line="233" w:lineRule="auto"/>
        <w:ind w:left="851"/>
        <w:rPr>
          <w:b/>
          <w:bCs/>
          <w:szCs w:val="20"/>
        </w:rPr>
      </w:pPr>
      <w:r w:rsidRPr="00471CBA">
        <w:rPr>
          <w:b/>
          <w:bCs/>
          <w:szCs w:val="20"/>
        </w:rPr>
        <w:t>Transfer Fiyatlandırması</w:t>
      </w:r>
    </w:p>
    <w:p w14:paraId="65DCA432" w14:textId="77777777" w:rsidR="006243A7" w:rsidRPr="00471CBA" w:rsidRDefault="006243A7" w:rsidP="00444D4B">
      <w:pPr>
        <w:widowControl w:val="0"/>
        <w:autoSpaceDE w:val="0"/>
        <w:autoSpaceDN w:val="0"/>
        <w:adjustRightInd w:val="0"/>
        <w:spacing w:line="233" w:lineRule="auto"/>
        <w:ind w:left="851"/>
        <w:rPr>
          <w:b/>
          <w:bCs/>
          <w:sz w:val="16"/>
          <w:szCs w:val="16"/>
        </w:rPr>
      </w:pPr>
    </w:p>
    <w:p w14:paraId="00820D8A" w14:textId="70FA8316" w:rsidR="0008711C" w:rsidRPr="00471CBA" w:rsidRDefault="0008711C" w:rsidP="00444D4B">
      <w:pPr>
        <w:widowControl w:val="0"/>
        <w:spacing w:line="233" w:lineRule="auto"/>
        <w:ind w:left="851"/>
        <w:jc w:val="both"/>
        <w:rPr>
          <w:bCs/>
          <w:szCs w:val="20"/>
        </w:rPr>
      </w:pPr>
      <w:r w:rsidRPr="00471CBA">
        <w:rPr>
          <w:bCs/>
          <w:szCs w:val="20"/>
        </w:rPr>
        <w:t>Transfer fiyatlandırması konusu Kurumlar Vergisi Kanunu’nun 13’üncü maddesinin “Transfer Fiyatlandırması Yoluyla Örtülü Kazanç Dağıtımı” başlıklı 13’üncü maddesi ile düzenleme altına alınmış, konu hakkında uygulamaya yönelik ayrıntılı açıklamalara ise “Transfer Fiyatlandırması Yoluyla Örtülü Kazanç Dağıtımı Hakkında Genel Tebliğ” de yer verilmiştir.</w:t>
      </w:r>
      <w:r w:rsidR="009554D9" w:rsidRPr="00471CBA">
        <w:rPr>
          <w:bCs/>
          <w:szCs w:val="20"/>
        </w:rPr>
        <w:t xml:space="preserve"> </w:t>
      </w:r>
      <w:r w:rsidRPr="00471CBA">
        <w:rPr>
          <w:bCs/>
          <w:szCs w:val="20"/>
        </w:rPr>
        <w:t xml:space="preserve">Söz konusu düzenlemeler uyarınca, ilişkili kuruluşlarla/kişilerle emsallere uygunluk ilkesine aykırı olarak tespit edilen bedel üzerinden mal veya hizmet alımı ya da satımı yapılması durumunda, kazanç transfer fiyatlandırması yoluyla örtülü olarak dağıtılmış sayılmakta ve bu nitelikteki kazanç dağıtımları kurumlar vergisi açısından indirime tabi tutulmamaktadır. </w:t>
      </w:r>
    </w:p>
    <w:p w14:paraId="2262D690" w14:textId="5A22EA6D" w:rsidR="00F36B82" w:rsidRDefault="00F36B82">
      <w:pPr>
        <w:rPr>
          <w:b/>
          <w:szCs w:val="20"/>
        </w:rPr>
      </w:pPr>
      <w:r>
        <w:rPr>
          <w:b/>
          <w:szCs w:val="20"/>
        </w:rPr>
        <w:br w:type="page"/>
      </w:r>
    </w:p>
    <w:p w14:paraId="29B33B74" w14:textId="77777777" w:rsidR="00F36B82" w:rsidRPr="00471CBA" w:rsidRDefault="00F36B82" w:rsidP="00F36B82">
      <w:pPr>
        <w:pStyle w:val="GvdeMetniGirintisi"/>
        <w:widowControl w:val="0"/>
        <w:ind w:firstLine="0"/>
        <w:rPr>
          <w:b/>
          <w:szCs w:val="20"/>
        </w:rPr>
      </w:pPr>
      <w:r w:rsidRPr="00471CBA">
        <w:rPr>
          <w:b/>
          <w:szCs w:val="20"/>
        </w:rPr>
        <w:lastRenderedPageBreak/>
        <w:t>MUHASEBE POLİTİKALARINA İLİŞKİN AÇIKLAMALAR (Devamı)</w:t>
      </w:r>
    </w:p>
    <w:p w14:paraId="5BFC87C3" w14:textId="77777777" w:rsidR="00F36B82" w:rsidRPr="00471CBA" w:rsidRDefault="00F36B82" w:rsidP="00F36B82">
      <w:pPr>
        <w:pStyle w:val="GvdeMetniGirintisi"/>
        <w:widowControl w:val="0"/>
        <w:ind w:left="851" w:hanging="851"/>
        <w:rPr>
          <w:b/>
          <w:iCs/>
          <w:szCs w:val="20"/>
        </w:rPr>
      </w:pPr>
    </w:p>
    <w:p w14:paraId="01F12DA5" w14:textId="77777777" w:rsidR="00F36B82" w:rsidRPr="00471CBA" w:rsidRDefault="00F36B82" w:rsidP="00F36B82">
      <w:pPr>
        <w:pStyle w:val="GvdeMetniGirintisi"/>
        <w:widowControl w:val="0"/>
        <w:ind w:left="851" w:hanging="851"/>
        <w:rPr>
          <w:b/>
          <w:iCs/>
          <w:szCs w:val="20"/>
        </w:rPr>
      </w:pPr>
      <w:r w:rsidRPr="00471CBA">
        <w:rPr>
          <w:b/>
          <w:iCs/>
          <w:szCs w:val="20"/>
        </w:rPr>
        <w:t>XVI.</w:t>
      </w:r>
      <w:r w:rsidRPr="00471CBA">
        <w:rPr>
          <w:b/>
          <w:iCs/>
          <w:szCs w:val="20"/>
        </w:rPr>
        <w:tab/>
        <w:t>VERGİ UYGULAMALARINA İLİŞKİN AÇIKLAMALAR (Devamı)</w:t>
      </w:r>
    </w:p>
    <w:p w14:paraId="088834BD" w14:textId="77777777" w:rsidR="00880B22" w:rsidRPr="00471CBA" w:rsidRDefault="00880B22" w:rsidP="00880B22">
      <w:pPr>
        <w:widowControl w:val="0"/>
        <w:spacing w:line="233" w:lineRule="auto"/>
        <w:ind w:left="851"/>
        <w:jc w:val="both"/>
        <w:rPr>
          <w:b/>
          <w:szCs w:val="20"/>
        </w:rPr>
      </w:pPr>
    </w:p>
    <w:p w14:paraId="4025A189" w14:textId="7EEE98A4" w:rsidR="00880B22" w:rsidRPr="00471CBA" w:rsidRDefault="00880B22" w:rsidP="00880B22">
      <w:pPr>
        <w:widowControl w:val="0"/>
        <w:spacing w:line="233" w:lineRule="auto"/>
        <w:ind w:left="851"/>
        <w:jc w:val="both"/>
        <w:rPr>
          <w:b/>
          <w:szCs w:val="20"/>
        </w:rPr>
      </w:pPr>
      <w:r w:rsidRPr="00471CBA">
        <w:rPr>
          <w:b/>
          <w:szCs w:val="20"/>
        </w:rPr>
        <w:t>Yerel ve Küresel Asgari Tamamlayıcı Kurumlar Vergisi</w:t>
      </w:r>
    </w:p>
    <w:p w14:paraId="7EB2CEA5" w14:textId="77777777" w:rsidR="00880B22" w:rsidRPr="00471CBA" w:rsidRDefault="00880B22" w:rsidP="00880B22">
      <w:pPr>
        <w:widowControl w:val="0"/>
        <w:spacing w:line="233" w:lineRule="auto"/>
        <w:ind w:left="851"/>
        <w:jc w:val="both"/>
        <w:rPr>
          <w:bCs/>
          <w:szCs w:val="20"/>
        </w:rPr>
      </w:pPr>
    </w:p>
    <w:p w14:paraId="2CAE93E4" w14:textId="77777777" w:rsidR="00880B22" w:rsidRPr="00471CBA" w:rsidRDefault="00880B22" w:rsidP="00880B22">
      <w:pPr>
        <w:widowControl w:val="0"/>
        <w:spacing w:line="233" w:lineRule="auto"/>
        <w:ind w:left="851"/>
        <w:jc w:val="both"/>
        <w:rPr>
          <w:bCs/>
          <w:szCs w:val="20"/>
        </w:rPr>
      </w:pPr>
      <w:r w:rsidRPr="00471CBA">
        <w:rPr>
          <w:bCs/>
          <w:szCs w:val="20"/>
        </w:rPr>
        <w:t xml:space="preserve">Eylül 2023’te KGK, İkinci Sütun gelir vergileriyle ilgili ertelenmiş vergi varlık ve yükümlülüklerinin muhasebeleştirilmesi ve açıklanmasına zorunlu bir istisna getiren TMS 12’ye yönelik değişiklikler yayımlamıştır. Söz konusu değişiklikler, Ekonomik </w:t>
      </w:r>
      <w:proofErr w:type="gramStart"/>
      <w:r w:rsidRPr="00471CBA">
        <w:rPr>
          <w:bCs/>
          <w:szCs w:val="20"/>
        </w:rPr>
        <w:t>İşbirliği</w:t>
      </w:r>
      <w:proofErr w:type="gramEnd"/>
      <w:r w:rsidRPr="00471CBA">
        <w:rPr>
          <w:bCs/>
          <w:szCs w:val="20"/>
        </w:rPr>
        <w:t xml:space="preserve"> ve Kalkınma Teşkilatı (OECD) tarafından yayımlanan İkinci Sütun Modeli Kurallarının uygulanması amacıyla yürürlüğe girmiş ya da yürürlüğe girmesi kesine yakın olan vergi kanunlarından ortaya çıkan gelir verilerine TMS 12’nin uygulanacağını açıklığa kavuşturmuştur. Bu değişiklikler ayrıca bu tür vergi kanunlarından etkilenen işletmeler için belirli açıklama hükümleri getirmektedir. Bu kapsamdaki ertelenmiş vergiler hakkındaki bilgilerin muhasebeleştirilmeyeceğine ve açıklanmayacağına yönelik istisna ile istisnanın uygulanmış olduğuna yönelik açıklama hükmü değişikliğin yayımlanmasıyla birlikte uygulanır.</w:t>
      </w:r>
    </w:p>
    <w:p w14:paraId="406C66B9" w14:textId="77777777" w:rsidR="00880B22" w:rsidRPr="00471CBA" w:rsidRDefault="00880B22" w:rsidP="00880B22">
      <w:pPr>
        <w:widowControl w:val="0"/>
        <w:spacing w:line="233" w:lineRule="auto"/>
        <w:ind w:left="851"/>
        <w:jc w:val="both"/>
        <w:rPr>
          <w:bCs/>
          <w:szCs w:val="20"/>
        </w:rPr>
      </w:pPr>
    </w:p>
    <w:p w14:paraId="19AD9955" w14:textId="0B3802A4" w:rsidR="00880B22" w:rsidRPr="00471CBA" w:rsidRDefault="00880B22" w:rsidP="00880B22">
      <w:pPr>
        <w:widowControl w:val="0"/>
        <w:spacing w:line="233" w:lineRule="auto"/>
        <w:ind w:left="851"/>
        <w:jc w:val="both"/>
        <w:rPr>
          <w:bCs/>
          <w:szCs w:val="20"/>
        </w:rPr>
      </w:pPr>
      <w:r w:rsidRPr="00471CBA">
        <w:rPr>
          <w:bCs/>
          <w:szCs w:val="20"/>
        </w:rPr>
        <w:t xml:space="preserve">OECD’ye üye ülkelerin üzerinde anlaştığı Sütun 2 düzenlemeleri 2 Ağustos 2024 tarihli </w:t>
      </w:r>
      <w:r w:rsidR="00336A7F" w:rsidRPr="00471CBA">
        <w:rPr>
          <w:bCs/>
          <w:szCs w:val="20"/>
        </w:rPr>
        <w:t>Resmî</w:t>
      </w:r>
      <w:r w:rsidRPr="00471CBA">
        <w:rPr>
          <w:bCs/>
          <w:szCs w:val="20"/>
        </w:rPr>
        <w:t xml:space="preserve"> </w:t>
      </w:r>
      <w:proofErr w:type="spellStart"/>
      <w:r w:rsidRPr="00471CBA">
        <w:rPr>
          <w:bCs/>
          <w:szCs w:val="20"/>
        </w:rPr>
        <w:t>Gazete’de</w:t>
      </w:r>
      <w:proofErr w:type="spellEnd"/>
      <w:r w:rsidRPr="00471CBA">
        <w:rPr>
          <w:bCs/>
          <w:szCs w:val="20"/>
        </w:rPr>
        <w:t xml:space="preserve"> yayımlanan 7524 sayılı Vergi Kanunları ile Bazı Kanunlarda ve 375 Sayılı Kanun Hükmünde Kararnamede Değişiklik Yapılmasına Dair Kanun ile Türkiye’de yürürlüğe girmiştir. Konuyla ilgili ikincil mevzuat yayımlanmamış olmakla birlikte, OECD tarafından yayımlanan düzenlemeler dikkate alınarak yapılan ön değerlendirmelerde, </w:t>
      </w:r>
      <w:proofErr w:type="spellStart"/>
      <w:r w:rsidRPr="00471CBA">
        <w:rPr>
          <w:bCs/>
          <w:szCs w:val="20"/>
        </w:rPr>
        <w:t>bahsekonu</w:t>
      </w:r>
      <w:proofErr w:type="spellEnd"/>
      <w:r w:rsidRPr="00471CBA">
        <w:rPr>
          <w:bCs/>
          <w:szCs w:val="20"/>
        </w:rPr>
        <w:t xml:space="preserve"> düzenlemelerin, finansal tablolar üzerinde bir etkisi bulunmamaktadır.</w:t>
      </w:r>
    </w:p>
    <w:bookmarkEnd w:id="33"/>
    <w:p w14:paraId="5480005D" w14:textId="4D9AC44E" w:rsidR="009554D9" w:rsidRPr="00471CBA" w:rsidRDefault="009554D9" w:rsidP="00444D4B">
      <w:pPr>
        <w:widowControl w:val="0"/>
        <w:spacing w:line="233" w:lineRule="auto"/>
        <w:ind w:left="851"/>
        <w:jc w:val="both"/>
        <w:rPr>
          <w:bCs/>
          <w:sz w:val="16"/>
          <w:szCs w:val="16"/>
        </w:rPr>
      </w:pPr>
    </w:p>
    <w:p w14:paraId="04109D44" w14:textId="3525BA7C" w:rsidR="009554D9" w:rsidRPr="00471CBA" w:rsidRDefault="009554D9" w:rsidP="00444D4B">
      <w:pPr>
        <w:widowControl w:val="0"/>
        <w:spacing w:line="233" w:lineRule="auto"/>
        <w:ind w:left="851" w:hanging="851"/>
        <w:jc w:val="both"/>
        <w:rPr>
          <w:b/>
          <w:iCs/>
          <w:szCs w:val="20"/>
        </w:rPr>
      </w:pPr>
      <w:r w:rsidRPr="00471CBA">
        <w:rPr>
          <w:b/>
          <w:iCs/>
          <w:szCs w:val="20"/>
        </w:rPr>
        <w:t>XVII.</w:t>
      </w:r>
      <w:r w:rsidRPr="00471CBA">
        <w:rPr>
          <w:b/>
          <w:iCs/>
          <w:szCs w:val="20"/>
        </w:rPr>
        <w:tab/>
      </w:r>
      <w:r w:rsidR="00451EE9" w:rsidRPr="00471CBA">
        <w:rPr>
          <w:b/>
          <w:iCs/>
          <w:szCs w:val="20"/>
        </w:rPr>
        <w:t>BORÇLANMALARA İLİŞKİN İLAVE AÇIKLAMALAR</w:t>
      </w:r>
    </w:p>
    <w:p w14:paraId="0C6DED55" w14:textId="77777777" w:rsidR="009554D9" w:rsidRPr="00471CBA" w:rsidRDefault="009554D9" w:rsidP="00444D4B">
      <w:pPr>
        <w:widowControl w:val="0"/>
        <w:spacing w:line="233" w:lineRule="auto"/>
        <w:jc w:val="both"/>
        <w:rPr>
          <w:sz w:val="16"/>
          <w:szCs w:val="16"/>
        </w:rPr>
      </w:pPr>
    </w:p>
    <w:p w14:paraId="70368F1F" w14:textId="77777777" w:rsidR="009554D9" w:rsidRPr="00471CBA" w:rsidRDefault="009554D9" w:rsidP="00444D4B">
      <w:pPr>
        <w:widowControl w:val="0"/>
        <w:spacing w:line="233" w:lineRule="auto"/>
        <w:ind w:left="851"/>
        <w:jc w:val="both"/>
        <w:rPr>
          <w:bCs/>
          <w:szCs w:val="20"/>
        </w:rPr>
      </w:pPr>
      <w:r w:rsidRPr="00471CBA">
        <w:rPr>
          <w:bCs/>
          <w:szCs w:val="20"/>
        </w:rPr>
        <w:t>Banka, Gerçeğe uygun değer üzerinden yansıtılan finansal araçlara ilişkin yükümlülükler hariç, finansal yükümlülükler işlem maliyetleri dahil elde etme maliyetleri ile kayıtlara alınmakta ve izleyen dönemlerde “iç verim oranı yöntemi” ile hesaplanan iskonto edilmiş bedelleri ile değerlenmektedir.</w:t>
      </w:r>
    </w:p>
    <w:p w14:paraId="3BDE2C57" w14:textId="77777777" w:rsidR="00444D4B" w:rsidRPr="00471CBA" w:rsidRDefault="00444D4B" w:rsidP="00444D4B">
      <w:pPr>
        <w:widowControl w:val="0"/>
        <w:spacing w:line="233" w:lineRule="auto"/>
        <w:ind w:left="851"/>
        <w:jc w:val="both"/>
        <w:rPr>
          <w:bCs/>
          <w:sz w:val="14"/>
          <w:szCs w:val="14"/>
        </w:rPr>
      </w:pPr>
    </w:p>
    <w:p w14:paraId="781D8FC5" w14:textId="77777777" w:rsidR="009554D9" w:rsidRPr="00471CBA" w:rsidRDefault="009554D9" w:rsidP="00444D4B">
      <w:pPr>
        <w:widowControl w:val="0"/>
        <w:spacing w:line="233" w:lineRule="auto"/>
        <w:ind w:left="851"/>
        <w:jc w:val="both"/>
        <w:rPr>
          <w:bCs/>
          <w:szCs w:val="20"/>
        </w:rPr>
      </w:pPr>
      <w:r w:rsidRPr="00471CBA">
        <w:rPr>
          <w:bCs/>
          <w:szCs w:val="20"/>
        </w:rPr>
        <w:t>Banka tarafından ihraç edilen, borçlanmayı temsil eden araçlar bulunmamaktadır.  Banka tarafından hisse senedine dönüştürülebilir tahvil ihraç edilmemiştir.</w:t>
      </w:r>
    </w:p>
    <w:p w14:paraId="21216DFB" w14:textId="77777777" w:rsidR="009554D9" w:rsidRPr="00471CBA" w:rsidRDefault="009554D9" w:rsidP="00444D4B">
      <w:pPr>
        <w:widowControl w:val="0"/>
        <w:spacing w:line="233" w:lineRule="auto"/>
        <w:ind w:left="851"/>
        <w:jc w:val="both"/>
        <w:rPr>
          <w:bCs/>
          <w:sz w:val="16"/>
          <w:szCs w:val="16"/>
        </w:rPr>
      </w:pPr>
    </w:p>
    <w:p w14:paraId="17C5669C" w14:textId="24DA8B99" w:rsidR="00460ACA" w:rsidRPr="00471CBA" w:rsidRDefault="009554D9" w:rsidP="00444D4B">
      <w:pPr>
        <w:widowControl w:val="0"/>
        <w:spacing w:line="233" w:lineRule="auto"/>
        <w:ind w:left="851"/>
        <w:jc w:val="both"/>
        <w:rPr>
          <w:bCs/>
          <w:szCs w:val="20"/>
        </w:rPr>
      </w:pPr>
      <w:r w:rsidRPr="00471CBA">
        <w:rPr>
          <w:bCs/>
          <w:szCs w:val="20"/>
        </w:rPr>
        <w:t>Kullanıma ve satışa hazır hale getirilmesi önemli ölçüde zaman isteyen varlıklar (özellikli varlıklar) söz konusu olduğunda, satın alınması, yapımı veya üretimi ile doğrudan ilişkilendirilen borçlanma maliyetleri, ilgili varlık kullanıma veya satışa hazır hale getirilene kadar varlığın maliyetine dahil edilmektedir. Bir dönemde, özellikli bir varlığın elde edilmesi amacıyla borç alınan fonlara ilişkin aktifleştirilebilecek borçlanma maliyetleri tutarı, ilgili dönemde bu varlıklar için katlanılan toplam borçlanma maliyetlerinden bu fonların geçici yatırımlardan elde edilen gelirlerin düşülmesi sonucu belirlenen tutardır. Diğer tüm borçlanma maliyetleri, oluştukları dönemde gelir tablosuna kaydedilmektedir.</w:t>
      </w:r>
    </w:p>
    <w:p w14:paraId="6F2A2AB2" w14:textId="1C70B257" w:rsidR="00460ACA" w:rsidRPr="00471CBA" w:rsidRDefault="00460ACA">
      <w:pPr>
        <w:rPr>
          <w:bCs/>
          <w:szCs w:val="20"/>
        </w:rPr>
      </w:pPr>
    </w:p>
    <w:p w14:paraId="02FF9EED" w14:textId="2249EFA5" w:rsidR="00632D27" w:rsidRPr="00471CBA" w:rsidRDefault="00451EE9" w:rsidP="00444D4B">
      <w:pPr>
        <w:widowControl w:val="0"/>
        <w:spacing w:line="233" w:lineRule="auto"/>
        <w:ind w:left="851" w:hanging="851"/>
        <w:jc w:val="both"/>
        <w:rPr>
          <w:b/>
          <w:iCs/>
          <w:szCs w:val="20"/>
        </w:rPr>
      </w:pPr>
      <w:r w:rsidRPr="00471CBA">
        <w:rPr>
          <w:b/>
          <w:iCs/>
          <w:szCs w:val="20"/>
        </w:rPr>
        <w:t>XVIII.</w:t>
      </w:r>
      <w:r w:rsidRPr="00471CBA">
        <w:rPr>
          <w:b/>
          <w:iCs/>
          <w:szCs w:val="20"/>
        </w:rPr>
        <w:tab/>
        <w:t>İHRAÇ EDİLEN HİSSE SENETLERİNE İLİŞKİN AÇIKLAMALAR</w:t>
      </w:r>
    </w:p>
    <w:p w14:paraId="06711F53" w14:textId="77777777" w:rsidR="00B87FEA" w:rsidRPr="00471CBA" w:rsidRDefault="00B87FEA" w:rsidP="00444D4B">
      <w:pPr>
        <w:widowControl w:val="0"/>
        <w:autoSpaceDE w:val="0"/>
        <w:autoSpaceDN w:val="0"/>
        <w:adjustRightInd w:val="0"/>
        <w:spacing w:line="233" w:lineRule="auto"/>
        <w:jc w:val="both"/>
        <w:rPr>
          <w:szCs w:val="20"/>
        </w:rPr>
      </w:pPr>
    </w:p>
    <w:p w14:paraId="04E0C2EC" w14:textId="48F552AA" w:rsidR="00E024D3" w:rsidRPr="00471CBA" w:rsidRDefault="00116258" w:rsidP="00444D4B">
      <w:pPr>
        <w:widowControl w:val="0"/>
        <w:autoSpaceDE w:val="0"/>
        <w:autoSpaceDN w:val="0"/>
        <w:adjustRightInd w:val="0"/>
        <w:spacing w:line="233" w:lineRule="auto"/>
        <w:ind w:left="851"/>
        <w:jc w:val="both"/>
        <w:rPr>
          <w:szCs w:val="20"/>
        </w:rPr>
      </w:pPr>
      <w:r w:rsidRPr="00471CBA">
        <w:rPr>
          <w:szCs w:val="20"/>
        </w:rPr>
        <w:t>Bulunmamaktadır.</w:t>
      </w:r>
    </w:p>
    <w:p w14:paraId="39E86CB2" w14:textId="77777777" w:rsidR="00A37418" w:rsidRPr="00471CBA" w:rsidRDefault="00A37418" w:rsidP="00444D4B">
      <w:pPr>
        <w:widowControl w:val="0"/>
        <w:autoSpaceDE w:val="0"/>
        <w:autoSpaceDN w:val="0"/>
        <w:adjustRightInd w:val="0"/>
        <w:spacing w:line="233" w:lineRule="auto"/>
        <w:jc w:val="both"/>
        <w:rPr>
          <w:b/>
          <w:sz w:val="18"/>
          <w:szCs w:val="18"/>
        </w:rPr>
      </w:pPr>
    </w:p>
    <w:p w14:paraId="1A156BF7" w14:textId="49078A83" w:rsidR="00632D27" w:rsidRPr="00471CBA" w:rsidRDefault="00632D27" w:rsidP="00444D4B">
      <w:pPr>
        <w:widowControl w:val="0"/>
        <w:autoSpaceDE w:val="0"/>
        <w:autoSpaceDN w:val="0"/>
        <w:adjustRightInd w:val="0"/>
        <w:spacing w:line="233" w:lineRule="auto"/>
        <w:ind w:left="851" w:hanging="851"/>
        <w:jc w:val="both"/>
        <w:rPr>
          <w:b/>
          <w:iCs/>
          <w:szCs w:val="20"/>
        </w:rPr>
      </w:pPr>
      <w:r w:rsidRPr="00471CBA">
        <w:rPr>
          <w:b/>
          <w:szCs w:val="20"/>
        </w:rPr>
        <w:t>XIX.</w:t>
      </w:r>
      <w:r w:rsidRPr="00471CBA">
        <w:rPr>
          <w:color w:val="0000FF"/>
          <w:szCs w:val="20"/>
        </w:rPr>
        <w:tab/>
      </w:r>
      <w:r w:rsidR="00451EE9" w:rsidRPr="00471CBA">
        <w:rPr>
          <w:b/>
          <w:iCs/>
          <w:szCs w:val="20"/>
        </w:rPr>
        <w:t>AVAL VE KABULLERE İLİŞKİN AÇIKLAMALAR</w:t>
      </w:r>
    </w:p>
    <w:p w14:paraId="0856D14A" w14:textId="77777777" w:rsidR="00A37418" w:rsidRPr="00471CBA" w:rsidRDefault="00A37418" w:rsidP="00444D4B">
      <w:pPr>
        <w:widowControl w:val="0"/>
        <w:autoSpaceDE w:val="0"/>
        <w:autoSpaceDN w:val="0"/>
        <w:adjustRightInd w:val="0"/>
        <w:spacing w:line="233" w:lineRule="auto"/>
        <w:jc w:val="both"/>
        <w:rPr>
          <w:sz w:val="16"/>
          <w:szCs w:val="16"/>
        </w:rPr>
      </w:pPr>
    </w:p>
    <w:p w14:paraId="0787E44B" w14:textId="7A040C3F" w:rsidR="00341A54" w:rsidRPr="00471CBA" w:rsidRDefault="00632D27" w:rsidP="00444D4B">
      <w:pPr>
        <w:widowControl w:val="0"/>
        <w:autoSpaceDE w:val="0"/>
        <w:autoSpaceDN w:val="0"/>
        <w:adjustRightInd w:val="0"/>
        <w:spacing w:line="233" w:lineRule="auto"/>
        <w:ind w:left="851"/>
        <w:jc w:val="both"/>
        <w:rPr>
          <w:szCs w:val="20"/>
        </w:rPr>
      </w:pPr>
      <w:r w:rsidRPr="00471CBA">
        <w:rPr>
          <w:szCs w:val="20"/>
        </w:rPr>
        <w:t>Banka, aval ve kabullerin ödemelerini, müşterilerin ödemeleri ile eşzamanlı olarak gerçekleştirmektedir. Aval ve kabuller olası borç ve taahhütler olarak bilanço dışı yükümlülüklerde gösterilmektedir.</w:t>
      </w:r>
    </w:p>
    <w:p w14:paraId="26A579F8" w14:textId="77777777" w:rsidR="00A37418" w:rsidRPr="00471CBA" w:rsidRDefault="00A37418" w:rsidP="00444D4B">
      <w:pPr>
        <w:widowControl w:val="0"/>
        <w:autoSpaceDE w:val="0"/>
        <w:autoSpaceDN w:val="0"/>
        <w:adjustRightInd w:val="0"/>
        <w:spacing w:line="233" w:lineRule="auto"/>
        <w:jc w:val="both"/>
        <w:rPr>
          <w:b/>
          <w:iCs/>
          <w:sz w:val="16"/>
          <w:szCs w:val="16"/>
        </w:rPr>
      </w:pPr>
    </w:p>
    <w:p w14:paraId="7E603270" w14:textId="7AD99D07" w:rsidR="00632D27" w:rsidRPr="00471CBA" w:rsidRDefault="00632D27" w:rsidP="00444D4B">
      <w:pPr>
        <w:widowControl w:val="0"/>
        <w:spacing w:line="233" w:lineRule="auto"/>
        <w:ind w:left="851" w:hanging="851"/>
        <w:jc w:val="both"/>
        <w:rPr>
          <w:b/>
          <w:iCs/>
          <w:szCs w:val="20"/>
        </w:rPr>
      </w:pPr>
      <w:r w:rsidRPr="00471CBA">
        <w:rPr>
          <w:b/>
          <w:iCs/>
          <w:szCs w:val="20"/>
        </w:rPr>
        <w:t>XX.</w:t>
      </w:r>
      <w:r w:rsidRPr="00471CBA">
        <w:rPr>
          <w:b/>
          <w:iCs/>
          <w:szCs w:val="20"/>
        </w:rPr>
        <w:tab/>
      </w:r>
      <w:r w:rsidR="00451EE9" w:rsidRPr="00471CBA">
        <w:rPr>
          <w:b/>
          <w:iCs/>
          <w:szCs w:val="20"/>
        </w:rPr>
        <w:t>DEVLET TEŞVİKLERİNE İLİŞKİN AÇIKLAMALAR</w:t>
      </w:r>
    </w:p>
    <w:p w14:paraId="66C5C910" w14:textId="77777777" w:rsidR="00A37418" w:rsidRPr="00471CBA" w:rsidRDefault="00A37418" w:rsidP="00444D4B">
      <w:pPr>
        <w:widowControl w:val="0"/>
        <w:autoSpaceDE w:val="0"/>
        <w:autoSpaceDN w:val="0"/>
        <w:adjustRightInd w:val="0"/>
        <w:spacing w:line="233" w:lineRule="auto"/>
        <w:jc w:val="both"/>
        <w:rPr>
          <w:sz w:val="16"/>
          <w:szCs w:val="16"/>
        </w:rPr>
      </w:pPr>
    </w:p>
    <w:p w14:paraId="03CCCB4A" w14:textId="47B430ED" w:rsidR="00E16DDE" w:rsidRPr="00471CBA" w:rsidRDefault="00632D27" w:rsidP="00444D4B">
      <w:pPr>
        <w:widowControl w:val="0"/>
        <w:autoSpaceDE w:val="0"/>
        <w:autoSpaceDN w:val="0"/>
        <w:adjustRightInd w:val="0"/>
        <w:spacing w:line="233" w:lineRule="auto"/>
        <w:ind w:left="851"/>
        <w:jc w:val="both"/>
        <w:rPr>
          <w:szCs w:val="20"/>
        </w:rPr>
      </w:pPr>
      <w:r w:rsidRPr="00471CBA">
        <w:rPr>
          <w:szCs w:val="20"/>
        </w:rPr>
        <w:t>Banka’nın bilanço tarihi itibarıyla yararlanmış olduğu devlet teşviki bulunmamaktadır.</w:t>
      </w:r>
    </w:p>
    <w:p w14:paraId="63DACE14" w14:textId="77777777" w:rsidR="00A37418" w:rsidRPr="00471CBA" w:rsidRDefault="00A37418" w:rsidP="00444D4B">
      <w:pPr>
        <w:widowControl w:val="0"/>
        <w:spacing w:line="233" w:lineRule="auto"/>
        <w:rPr>
          <w:sz w:val="16"/>
          <w:szCs w:val="16"/>
        </w:rPr>
      </w:pPr>
    </w:p>
    <w:p w14:paraId="2798C7A5" w14:textId="2A766B35" w:rsidR="00F36B82" w:rsidRDefault="00F36B82">
      <w:pPr>
        <w:rPr>
          <w:b/>
          <w:szCs w:val="20"/>
        </w:rPr>
      </w:pPr>
      <w:r>
        <w:rPr>
          <w:b/>
          <w:szCs w:val="20"/>
        </w:rPr>
        <w:br w:type="page"/>
      </w:r>
    </w:p>
    <w:p w14:paraId="112ADE99" w14:textId="77777777" w:rsidR="00F36B82" w:rsidRPr="00471CBA" w:rsidRDefault="00F36B82" w:rsidP="00F36B82">
      <w:pPr>
        <w:pStyle w:val="GvdeMetniGirintisi"/>
        <w:widowControl w:val="0"/>
        <w:ind w:firstLine="0"/>
        <w:rPr>
          <w:b/>
          <w:szCs w:val="20"/>
        </w:rPr>
      </w:pPr>
      <w:r w:rsidRPr="00471CBA">
        <w:rPr>
          <w:b/>
          <w:szCs w:val="20"/>
        </w:rPr>
        <w:lastRenderedPageBreak/>
        <w:t>MUHASEBE POLİTİKALARINA İLİŞKİN AÇIKLAMALAR (Devamı)</w:t>
      </w:r>
    </w:p>
    <w:p w14:paraId="1BFB9231" w14:textId="77777777" w:rsidR="002E1444" w:rsidRPr="00471CBA" w:rsidRDefault="002E1444" w:rsidP="00444D4B">
      <w:pPr>
        <w:widowControl w:val="0"/>
        <w:autoSpaceDE w:val="0"/>
        <w:autoSpaceDN w:val="0"/>
        <w:adjustRightInd w:val="0"/>
        <w:spacing w:line="233" w:lineRule="auto"/>
        <w:ind w:left="851" w:hanging="851"/>
        <w:jc w:val="both"/>
        <w:rPr>
          <w:b/>
          <w:szCs w:val="20"/>
        </w:rPr>
      </w:pPr>
    </w:p>
    <w:p w14:paraId="24FA9BA8" w14:textId="77777777" w:rsidR="00775864" w:rsidRPr="00471CBA" w:rsidRDefault="00775864" w:rsidP="00775864">
      <w:pPr>
        <w:widowControl w:val="0"/>
        <w:autoSpaceDE w:val="0"/>
        <w:autoSpaceDN w:val="0"/>
        <w:adjustRightInd w:val="0"/>
        <w:spacing w:line="233" w:lineRule="auto"/>
        <w:ind w:left="851" w:hanging="851"/>
        <w:jc w:val="both"/>
        <w:rPr>
          <w:b/>
          <w:szCs w:val="20"/>
        </w:rPr>
      </w:pPr>
      <w:r w:rsidRPr="00471CBA">
        <w:rPr>
          <w:b/>
          <w:iCs/>
          <w:szCs w:val="20"/>
        </w:rPr>
        <w:t>XXI.</w:t>
      </w:r>
      <w:r w:rsidRPr="00471CBA">
        <w:rPr>
          <w:b/>
          <w:iCs/>
          <w:szCs w:val="20"/>
        </w:rPr>
        <w:tab/>
      </w:r>
      <w:r w:rsidRPr="00471CBA">
        <w:rPr>
          <w:b/>
          <w:szCs w:val="20"/>
        </w:rPr>
        <w:t>DİĞER HUSUSLARA İLİŞKİN AÇIKLAMALAR</w:t>
      </w:r>
    </w:p>
    <w:p w14:paraId="3D325007" w14:textId="77777777" w:rsidR="00775864" w:rsidRPr="00471CBA" w:rsidRDefault="00775864" w:rsidP="00775864">
      <w:pPr>
        <w:widowControl w:val="0"/>
        <w:autoSpaceDE w:val="0"/>
        <w:autoSpaceDN w:val="0"/>
        <w:adjustRightInd w:val="0"/>
        <w:spacing w:line="233" w:lineRule="auto"/>
        <w:ind w:left="851" w:hanging="851"/>
        <w:jc w:val="both"/>
        <w:rPr>
          <w:b/>
          <w:szCs w:val="20"/>
        </w:rPr>
      </w:pPr>
    </w:p>
    <w:p w14:paraId="58079A4C" w14:textId="77777777" w:rsidR="00685D49" w:rsidRPr="00471CBA" w:rsidRDefault="00685D49" w:rsidP="00F36B82">
      <w:pPr>
        <w:widowControl w:val="0"/>
        <w:autoSpaceDE w:val="0"/>
        <w:autoSpaceDN w:val="0"/>
        <w:adjustRightInd w:val="0"/>
        <w:spacing w:line="233" w:lineRule="auto"/>
        <w:ind w:left="851"/>
        <w:jc w:val="both"/>
        <w:rPr>
          <w:b/>
          <w:szCs w:val="20"/>
        </w:rPr>
      </w:pPr>
      <w:r w:rsidRPr="00471CBA">
        <w:rPr>
          <w:b/>
          <w:szCs w:val="20"/>
        </w:rPr>
        <w:t>TFRS 9 Finansal Araçlar Standardına Geçiş</w:t>
      </w:r>
    </w:p>
    <w:p w14:paraId="36B738D1" w14:textId="77777777" w:rsidR="00685D49" w:rsidRPr="00471CBA" w:rsidRDefault="00685D49" w:rsidP="00685D49">
      <w:pPr>
        <w:widowControl w:val="0"/>
        <w:autoSpaceDE w:val="0"/>
        <w:autoSpaceDN w:val="0"/>
        <w:adjustRightInd w:val="0"/>
        <w:spacing w:line="233" w:lineRule="auto"/>
        <w:ind w:left="851" w:hanging="851"/>
        <w:jc w:val="both"/>
        <w:rPr>
          <w:b/>
          <w:szCs w:val="20"/>
        </w:rPr>
      </w:pPr>
    </w:p>
    <w:p w14:paraId="2E0B7049" w14:textId="01068742" w:rsidR="00685D49" w:rsidRPr="00471CBA" w:rsidRDefault="00685D49" w:rsidP="003B3352">
      <w:pPr>
        <w:ind w:left="851"/>
        <w:jc w:val="both"/>
      </w:pPr>
      <w:bookmarkStart w:id="40" w:name="_Hlk213761167"/>
      <w:r w:rsidRPr="00471CBA">
        <w:t xml:space="preserve">Kamu Gözetimi Muhasebe ve Denetim Standartları Kurumu tarafından 19 Ocak 2017 tarihli ve 29953 sayılı </w:t>
      </w:r>
      <w:r w:rsidR="003B3352" w:rsidRPr="00471CBA">
        <w:t>Resmî</w:t>
      </w:r>
      <w:r w:rsidRPr="00471CBA">
        <w:t xml:space="preserve"> </w:t>
      </w:r>
      <w:proofErr w:type="spellStart"/>
      <w:r w:rsidRPr="00471CBA">
        <w:t>Gazete’de</w:t>
      </w:r>
      <w:proofErr w:type="spellEnd"/>
      <w:r w:rsidRPr="00471CBA">
        <w:t xml:space="preserve"> yayımlanan finansal araçların sınıflandırılması ve ölçümü ile alakalı “TFRS 9 Finansal Araçlar” standardı Banka’da 1 Temmuz 2025 tarihinden geçerli olmak üzere uygulanmaya başlanmıştır.</w:t>
      </w:r>
    </w:p>
    <w:p w14:paraId="07DF6981" w14:textId="77777777" w:rsidR="00685D49" w:rsidRPr="00471CBA" w:rsidRDefault="00685D49" w:rsidP="003B3352">
      <w:pPr>
        <w:ind w:left="851"/>
        <w:jc w:val="both"/>
      </w:pPr>
    </w:p>
    <w:p w14:paraId="2C6279B6" w14:textId="14278265" w:rsidR="00685D49" w:rsidRPr="00471CBA" w:rsidRDefault="00685D49" w:rsidP="003B3352">
      <w:pPr>
        <w:ind w:left="851"/>
        <w:jc w:val="both"/>
        <w:rPr>
          <w:sz w:val="16"/>
          <w:szCs w:val="16"/>
        </w:rPr>
      </w:pPr>
      <w:r w:rsidRPr="00471CBA">
        <w:t xml:space="preserve">TFRS 9 Finansal Araçlar </w:t>
      </w:r>
      <w:proofErr w:type="spellStart"/>
      <w:r w:rsidRPr="00471CBA">
        <w:t>Standardı’nın</w:t>
      </w:r>
      <w:proofErr w:type="spellEnd"/>
      <w:r w:rsidRPr="00471CBA">
        <w:t xml:space="preserve"> değer düşüklüğü hükümlerinin uygulanmasına ilişkin 1 Temmuz 202</w:t>
      </w:r>
      <w:r w:rsidR="00E03A4D">
        <w:t>5</w:t>
      </w:r>
      <w:r w:rsidRPr="00471CBA">
        <w:t xml:space="preserve"> tarihli sınıflandırma ve düzeltme kayıtlarına aşağıdaki tabloda yer verilmiştir.</w:t>
      </w:r>
      <w:r w:rsidRPr="00471CBA">
        <w:cr/>
      </w:r>
    </w:p>
    <w:p w14:paraId="58E401C6" w14:textId="77777777" w:rsidR="00685D49" w:rsidRPr="00471CBA" w:rsidRDefault="00685D49" w:rsidP="008459A9">
      <w:pPr>
        <w:pStyle w:val="ListeParagraf"/>
        <w:numPr>
          <w:ilvl w:val="0"/>
          <w:numId w:val="85"/>
        </w:numPr>
        <w:ind w:left="851" w:hanging="851"/>
        <w:rPr>
          <w:b/>
          <w:bCs/>
        </w:rPr>
      </w:pPr>
      <w:r w:rsidRPr="00471CBA">
        <w:rPr>
          <w:b/>
          <w:bCs/>
        </w:rPr>
        <w:t>Finansal varlıkların sınıflandırılması ve ölçümü ve sınıflanan finansal varlıkların TFRS 9'a geçişte finansal durum tablosu mutabakatı</w:t>
      </w:r>
    </w:p>
    <w:bookmarkEnd w:id="40"/>
    <w:p w14:paraId="3E24EDC9" w14:textId="77777777" w:rsidR="00685D49" w:rsidRPr="00471CBA" w:rsidRDefault="00685D49" w:rsidP="00685D49">
      <w:pPr>
        <w:pStyle w:val="GvdeMetniGirintisi"/>
        <w:widowControl w:val="0"/>
        <w:ind w:firstLine="0"/>
        <w:rPr>
          <w:b/>
          <w:szCs w:val="20"/>
        </w:rPr>
      </w:pPr>
    </w:p>
    <w:tbl>
      <w:tblPr>
        <w:tblW w:w="5000" w:type="pct"/>
        <w:tblCellMar>
          <w:left w:w="70" w:type="dxa"/>
          <w:right w:w="70" w:type="dxa"/>
        </w:tblCellMar>
        <w:tblLook w:val="04A0" w:firstRow="1" w:lastRow="0" w:firstColumn="1" w:lastColumn="0" w:noHBand="0" w:noVBand="1"/>
      </w:tblPr>
      <w:tblGrid>
        <w:gridCol w:w="1900"/>
        <w:gridCol w:w="2127"/>
        <w:gridCol w:w="1772"/>
        <w:gridCol w:w="2050"/>
        <w:gridCol w:w="1780"/>
      </w:tblGrid>
      <w:tr w:rsidR="00685D49" w:rsidRPr="00471CBA" w14:paraId="2EF09431" w14:textId="77777777" w:rsidTr="00F36B82">
        <w:trPr>
          <w:trHeight w:val="285"/>
        </w:trPr>
        <w:tc>
          <w:tcPr>
            <w:tcW w:w="974" w:type="pct"/>
            <w:tcBorders>
              <w:top w:val="single" w:sz="4" w:space="0" w:color="auto"/>
              <w:left w:val="single" w:sz="4" w:space="0" w:color="auto"/>
              <w:bottom w:val="single" w:sz="4" w:space="0" w:color="auto"/>
              <w:right w:val="single" w:sz="4" w:space="0" w:color="auto"/>
            </w:tcBorders>
            <w:noWrap/>
            <w:vAlign w:val="center"/>
            <w:hideMark/>
          </w:tcPr>
          <w:p w14:paraId="29C2FE3B" w14:textId="77777777" w:rsidR="00685D49" w:rsidRPr="00471CBA" w:rsidRDefault="00685D49" w:rsidP="00D017F6">
            <w:pPr>
              <w:rPr>
                <w:b/>
                <w:bCs/>
                <w:color w:val="000000"/>
                <w:sz w:val="16"/>
                <w:szCs w:val="16"/>
                <w:lang w:eastAsia="tr-TR"/>
              </w:rPr>
            </w:pPr>
            <w:r w:rsidRPr="00471CBA">
              <w:rPr>
                <w:b/>
                <w:bCs/>
                <w:color w:val="000000"/>
                <w:sz w:val="16"/>
                <w:szCs w:val="16"/>
                <w:lang w:eastAsia="tr-TR"/>
              </w:rPr>
              <w:t>VARLIKLAR</w:t>
            </w:r>
          </w:p>
        </w:tc>
        <w:tc>
          <w:tcPr>
            <w:tcW w:w="1180" w:type="pct"/>
            <w:tcBorders>
              <w:top w:val="single" w:sz="4" w:space="0" w:color="auto"/>
              <w:left w:val="nil"/>
              <w:bottom w:val="single" w:sz="4" w:space="0" w:color="auto"/>
              <w:right w:val="single" w:sz="4" w:space="0" w:color="auto"/>
            </w:tcBorders>
            <w:noWrap/>
            <w:vAlign w:val="bottom"/>
            <w:hideMark/>
          </w:tcPr>
          <w:p w14:paraId="389FD87A" w14:textId="77777777" w:rsidR="00685D49" w:rsidRPr="00471CBA" w:rsidRDefault="00685D49" w:rsidP="00F36B82">
            <w:pPr>
              <w:jc w:val="right"/>
              <w:rPr>
                <w:b/>
                <w:bCs/>
                <w:color w:val="000000"/>
                <w:sz w:val="16"/>
                <w:szCs w:val="16"/>
                <w:lang w:eastAsia="tr-TR"/>
              </w:rPr>
            </w:pPr>
            <w:r w:rsidRPr="00471CBA">
              <w:rPr>
                <w:b/>
                <w:bCs/>
                <w:color w:val="000000"/>
                <w:sz w:val="16"/>
                <w:szCs w:val="16"/>
                <w:lang w:eastAsia="tr-TR"/>
              </w:rPr>
              <w:t>1 Temmuz 2025 Öncesi</w:t>
            </w:r>
          </w:p>
        </w:tc>
        <w:tc>
          <w:tcPr>
            <w:tcW w:w="974" w:type="pct"/>
            <w:tcBorders>
              <w:top w:val="single" w:sz="4" w:space="0" w:color="auto"/>
              <w:left w:val="nil"/>
              <w:bottom w:val="single" w:sz="4" w:space="0" w:color="auto"/>
              <w:right w:val="single" w:sz="4" w:space="0" w:color="auto"/>
            </w:tcBorders>
            <w:noWrap/>
            <w:vAlign w:val="bottom"/>
            <w:hideMark/>
          </w:tcPr>
          <w:p w14:paraId="67409F41" w14:textId="77777777" w:rsidR="00685D49" w:rsidRPr="00471CBA" w:rsidRDefault="00685D49" w:rsidP="00F36B82">
            <w:pPr>
              <w:jc w:val="right"/>
              <w:rPr>
                <w:b/>
                <w:bCs/>
                <w:color w:val="000000"/>
                <w:sz w:val="16"/>
                <w:szCs w:val="16"/>
                <w:lang w:eastAsia="tr-TR"/>
              </w:rPr>
            </w:pPr>
            <w:r w:rsidRPr="00471CBA">
              <w:rPr>
                <w:b/>
                <w:bCs/>
                <w:color w:val="000000"/>
                <w:sz w:val="16"/>
                <w:szCs w:val="16"/>
                <w:lang w:eastAsia="tr-TR"/>
              </w:rPr>
              <w:t>TFRS 9 Sınıflama etkisi</w:t>
            </w:r>
          </w:p>
        </w:tc>
        <w:tc>
          <w:tcPr>
            <w:tcW w:w="1161" w:type="pct"/>
            <w:tcBorders>
              <w:top w:val="single" w:sz="4" w:space="0" w:color="auto"/>
              <w:left w:val="nil"/>
              <w:bottom w:val="single" w:sz="4" w:space="0" w:color="auto"/>
              <w:right w:val="single" w:sz="4" w:space="0" w:color="auto"/>
            </w:tcBorders>
            <w:noWrap/>
            <w:vAlign w:val="bottom"/>
            <w:hideMark/>
          </w:tcPr>
          <w:p w14:paraId="352A5FC6" w14:textId="06CD7596" w:rsidR="00685D49" w:rsidRPr="00471CBA" w:rsidRDefault="00685D49" w:rsidP="00F36B82">
            <w:pPr>
              <w:jc w:val="right"/>
              <w:rPr>
                <w:b/>
                <w:bCs/>
                <w:color w:val="000000"/>
                <w:sz w:val="16"/>
                <w:szCs w:val="16"/>
                <w:lang w:eastAsia="tr-TR"/>
              </w:rPr>
            </w:pPr>
            <w:r w:rsidRPr="00471CBA">
              <w:rPr>
                <w:b/>
                <w:bCs/>
                <w:color w:val="000000"/>
                <w:sz w:val="16"/>
                <w:szCs w:val="16"/>
                <w:lang w:eastAsia="tr-TR"/>
              </w:rPr>
              <w:t>TFRS 9 Değerleme etkisi</w:t>
            </w:r>
          </w:p>
        </w:tc>
        <w:tc>
          <w:tcPr>
            <w:tcW w:w="710" w:type="pct"/>
            <w:tcBorders>
              <w:top w:val="single" w:sz="4" w:space="0" w:color="auto"/>
              <w:left w:val="nil"/>
              <w:bottom w:val="single" w:sz="4" w:space="0" w:color="auto"/>
              <w:right w:val="single" w:sz="4" w:space="0" w:color="auto"/>
            </w:tcBorders>
            <w:noWrap/>
            <w:vAlign w:val="bottom"/>
            <w:hideMark/>
          </w:tcPr>
          <w:p w14:paraId="35A8FCA2" w14:textId="77777777" w:rsidR="00685D49" w:rsidRPr="00471CBA" w:rsidRDefault="00685D49" w:rsidP="00F36B82">
            <w:pPr>
              <w:jc w:val="right"/>
              <w:rPr>
                <w:b/>
                <w:bCs/>
                <w:color w:val="000000"/>
                <w:sz w:val="16"/>
                <w:szCs w:val="16"/>
                <w:lang w:eastAsia="tr-TR"/>
              </w:rPr>
            </w:pPr>
            <w:r w:rsidRPr="00471CBA">
              <w:rPr>
                <w:b/>
                <w:bCs/>
                <w:color w:val="000000"/>
                <w:sz w:val="16"/>
                <w:szCs w:val="16"/>
                <w:lang w:eastAsia="tr-TR"/>
              </w:rPr>
              <w:t>1 Temmuz 2025 Sonrası</w:t>
            </w:r>
          </w:p>
        </w:tc>
      </w:tr>
      <w:tr w:rsidR="00685D49" w:rsidRPr="00471CBA" w14:paraId="5A174306" w14:textId="77777777" w:rsidTr="00F36B82">
        <w:trPr>
          <w:trHeight w:val="285"/>
        </w:trPr>
        <w:tc>
          <w:tcPr>
            <w:tcW w:w="974" w:type="pct"/>
            <w:tcBorders>
              <w:top w:val="nil"/>
              <w:left w:val="single" w:sz="4" w:space="0" w:color="auto"/>
              <w:bottom w:val="single" w:sz="4" w:space="0" w:color="auto"/>
              <w:right w:val="single" w:sz="4" w:space="0" w:color="auto"/>
            </w:tcBorders>
            <w:noWrap/>
            <w:vAlign w:val="center"/>
            <w:hideMark/>
          </w:tcPr>
          <w:p w14:paraId="5E71DE43" w14:textId="77777777" w:rsidR="00685D49" w:rsidRPr="00471CBA" w:rsidRDefault="00685D49" w:rsidP="00D017F6">
            <w:pPr>
              <w:rPr>
                <w:color w:val="000000"/>
                <w:sz w:val="16"/>
                <w:szCs w:val="16"/>
                <w:lang w:eastAsia="tr-TR"/>
              </w:rPr>
            </w:pPr>
            <w:r w:rsidRPr="00471CBA">
              <w:rPr>
                <w:color w:val="000000"/>
                <w:sz w:val="16"/>
                <w:szCs w:val="16"/>
                <w:lang w:eastAsia="tr-TR"/>
              </w:rPr>
              <w:t>Beklenen Zarar Karşılıkları</w:t>
            </w:r>
          </w:p>
        </w:tc>
        <w:tc>
          <w:tcPr>
            <w:tcW w:w="1180" w:type="pct"/>
            <w:tcBorders>
              <w:top w:val="nil"/>
              <w:left w:val="nil"/>
              <w:bottom w:val="single" w:sz="4" w:space="0" w:color="auto"/>
              <w:right w:val="single" w:sz="4" w:space="0" w:color="auto"/>
            </w:tcBorders>
            <w:noWrap/>
            <w:vAlign w:val="bottom"/>
            <w:hideMark/>
          </w:tcPr>
          <w:p w14:paraId="51688E99" w14:textId="31F8A17E" w:rsidR="00685D49" w:rsidRPr="00471CBA" w:rsidRDefault="008F1903" w:rsidP="00F36B82">
            <w:pPr>
              <w:jc w:val="right"/>
              <w:rPr>
                <w:b/>
                <w:bCs/>
                <w:color w:val="000000"/>
                <w:sz w:val="16"/>
                <w:szCs w:val="16"/>
                <w:lang w:eastAsia="tr-TR"/>
              </w:rPr>
            </w:pPr>
            <w:r w:rsidRPr="00471CBA">
              <w:rPr>
                <w:b/>
                <w:bCs/>
                <w:color w:val="000000"/>
                <w:sz w:val="16"/>
                <w:szCs w:val="16"/>
                <w:lang w:eastAsia="tr-TR"/>
              </w:rPr>
              <w:t>-</w:t>
            </w:r>
          </w:p>
        </w:tc>
        <w:tc>
          <w:tcPr>
            <w:tcW w:w="974" w:type="pct"/>
            <w:tcBorders>
              <w:top w:val="nil"/>
              <w:left w:val="nil"/>
              <w:bottom w:val="single" w:sz="4" w:space="0" w:color="auto"/>
              <w:right w:val="single" w:sz="4" w:space="0" w:color="auto"/>
            </w:tcBorders>
            <w:noWrap/>
            <w:vAlign w:val="bottom"/>
            <w:hideMark/>
          </w:tcPr>
          <w:p w14:paraId="333370C1" w14:textId="150DB5E2" w:rsidR="00685D49" w:rsidRPr="00471CBA" w:rsidRDefault="008F1903" w:rsidP="00F36B82">
            <w:pPr>
              <w:jc w:val="right"/>
              <w:rPr>
                <w:b/>
                <w:bCs/>
                <w:color w:val="000000"/>
                <w:sz w:val="16"/>
                <w:szCs w:val="16"/>
                <w:lang w:eastAsia="tr-TR"/>
              </w:rPr>
            </w:pPr>
            <w:r w:rsidRPr="00471CBA">
              <w:rPr>
                <w:b/>
                <w:bCs/>
                <w:color w:val="000000"/>
                <w:sz w:val="16"/>
                <w:szCs w:val="16"/>
                <w:lang w:eastAsia="tr-TR"/>
              </w:rPr>
              <w:t>-</w:t>
            </w:r>
          </w:p>
        </w:tc>
        <w:tc>
          <w:tcPr>
            <w:tcW w:w="1161" w:type="pct"/>
            <w:tcBorders>
              <w:top w:val="nil"/>
              <w:left w:val="nil"/>
              <w:bottom w:val="single" w:sz="4" w:space="0" w:color="auto"/>
              <w:right w:val="single" w:sz="4" w:space="0" w:color="auto"/>
            </w:tcBorders>
            <w:noWrap/>
            <w:vAlign w:val="bottom"/>
            <w:hideMark/>
          </w:tcPr>
          <w:p w14:paraId="5779688A" w14:textId="77777777" w:rsidR="00685D49" w:rsidRPr="00471CBA" w:rsidRDefault="00685D49" w:rsidP="00F36B82">
            <w:pPr>
              <w:jc w:val="right"/>
              <w:rPr>
                <w:color w:val="000000"/>
                <w:sz w:val="16"/>
                <w:szCs w:val="16"/>
                <w:lang w:eastAsia="tr-TR"/>
              </w:rPr>
            </w:pPr>
            <w:r w:rsidRPr="00471CBA">
              <w:rPr>
                <w:color w:val="000000"/>
                <w:sz w:val="16"/>
                <w:szCs w:val="16"/>
                <w:lang w:eastAsia="tr-TR"/>
              </w:rPr>
              <w:t>148.328</w:t>
            </w:r>
          </w:p>
        </w:tc>
        <w:tc>
          <w:tcPr>
            <w:tcW w:w="710" w:type="pct"/>
            <w:tcBorders>
              <w:top w:val="nil"/>
              <w:left w:val="nil"/>
              <w:bottom w:val="single" w:sz="4" w:space="0" w:color="auto"/>
              <w:right w:val="single" w:sz="4" w:space="0" w:color="auto"/>
            </w:tcBorders>
            <w:noWrap/>
            <w:vAlign w:val="bottom"/>
            <w:hideMark/>
          </w:tcPr>
          <w:p w14:paraId="67AC5A76" w14:textId="77777777" w:rsidR="00685D49" w:rsidRPr="00471CBA" w:rsidRDefault="00685D49" w:rsidP="00F36B82">
            <w:pPr>
              <w:jc w:val="right"/>
              <w:rPr>
                <w:color w:val="000000"/>
                <w:sz w:val="16"/>
                <w:szCs w:val="16"/>
                <w:lang w:eastAsia="tr-TR"/>
              </w:rPr>
            </w:pPr>
            <w:r w:rsidRPr="00471CBA">
              <w:rPr>
                <w:color w:val="000000"/>
                <w:sz w:val="16"/>
                <w:szCs w:val="16"/>
                <w:lang w:eastAsia="tr-TR"/>
              </w:rPr>
              <w:t>148.328</w:t>
            </w:r>
          </w:p>
        </w:tc>
      </w:tr>
      <w:tr w:rsidR="00685D49" w:rsidRPr="00471CBA" w14:paraId="71D32510" w14:textId="77777777" w:rsidTr="00F36B82">
        <w:trPr>
          <w:trHeight w:val="285"/>
        </w:trPr>
        <w:tc>
          <w:tcPr>
            <w:tcW w:w="974" w:type="pct"/>
            <w:tcBorders>
              <w:top w:val="nil"/>
              <w:left w:val="single" w:sz="4" w:space="0" w:color="auto"/>
              <w:bottom w:val="single" w:sz="4" w:space="0" w:color="auto"/>
              <w:right w:val="single" w:sz="4" w:space="0" w:color="auto"/>
            </w:tcBorders>
            <w:noWrap/>
            <w:vAlign w:val="center"/>
            <w:hideMark/>
          </w:tcPr>
          <w:p w14:paraId="49731512" w14:textId="77777777" w:rsidR="00685D49" w:rsidRPr="00471CBA" w:rsidRDefault="00685D49" w:rsidP="00D017F6">
            <w:pPr>
              <w:rPr>
                <w:b/>
                <w:bCs/>
                <w:color w:val="000000"/>
                <w:sz w:val="16"/>
                <w:szCs w:val="16"/>
                <w:lang w:eastAsia="tr-TR"/>
              </w:rPr>
            </w:pPr>
            <w:r w:rsidRPr="00471CBA">
              <w:rPr>
                <w:b/>
                <w:bCs/>
                <w:color w:val="000000"/>
                <w:sz w:val="16"/>
                <w:szCs w:val="16"/>
                <w:lang w:eastAsia="tr-TR"/>
              </w:rPr>
              <w:t>YÜKÜMLÜLÜKLER</w:t>
            </w:r>
          </w:p>
        </w:tc>
        <w:tc>
          <w:tcPr>
            <w:tcW w:w="1180" w:type="pct"/>
            <w:tcBorders>
              <w:top w:val="nil"/>
              <w:left w:val="nil"/>
              <w:bottom w:val="single" w:sz="4" w:space="0" w:color="auto"/>
              <w:right w:val="single" w:sz="4" w:space="0" w:color="auto"/>
            </w:tcBorders>
            <w:noWrap/>
            <w:vAlign w:val="bottom"/>
            <w:hideMark/>
          </w:tcPr>
          <w:p w14:paraId="5EFC2FD9" w14:textId="77777777" w:rsidR="00685D49" w:rsidRPr="00471CBA" w:rsidRDefault="00685D49" w:rsidP="00F36B82">
            <w:pPr>
              <w:jc w:val="right"/>
              <w:rPr>
                <w:b/>
                <w:bCs/>
                <w:color w:val="000000"/>
                <w:sz w:val="16"/>
                <w:szCs w:val="16"/>
                <w:lang w:eastAsia="tr-TR"/>
              </w:rPr>
            </w:pPr>
            <w:r w:rsidRPr="00471CBA">
              <w:rPr>
                <w:b/>
                <w:bCs/>
                <w:color w:val="000000"/>
                <w:sz w:val="16"/>
                <w:szCs w:val="16"/>
                <w:lang w:eastAsia="tr-TR"/>
              </w:rPr>
              <w:t>1 Temmuz 2025 Öncesi</w:t>
            </w:r>
          </w:p>
        </w:tc>
        <w:tc>
          <w:tcPr>
            <w:tcW w:w="974" w:type="pct"/>
            <w:tcBorders>
              <w:top w:val="nil"/>
              <w:left w:val="nil"/>
              <w:bottom w:val="single" w:sz="4" w:space="0" w:color="auto"/>
              <w:right w:val="single" w:sz="4" w:space="0" w:color="auto"/>
            </w:tcBorders>
            <w:noWrap/>
            <w:vAlign w:val="bottom"/>
            <w:hideMark/>
          </w:tcPr>
          <w:p w14:paraId="0BC48FA5" w14:textId="77777777" w:rsidR="00685D49" w:rsidRPr="00471CBA" w:rsidRDefault="00685D49" w:rsidP="00F36B82">
            <w:pPr>
              <w:jc w:val="right"/>
              <w:rPr>
                <w:b/>
                <w:bCs/>
                <w:color w:val="000000"/>
                <w:sz w:val="16"/>
                <w:szCs w:val="16"/>
                <w:lang w:eastAsia="tr-TR"/>
              </w:rPr>
            </w:pPr>
            <w:r w:rsidRPr="00471CBA">
              <w:rPr>
                <w:b/>
                <w:bCs/>
                <w:color w:val="000000"/>
                <w:sz w:val="16"/>
                <w:szCs w:val="16"/>
                <w:lang w:eastAsia="tr-TR"/>
              </w:rPr>
              <w:t>TFRS 9 Sınıflama etkisi</w:t>
            </w:r>
          </w:p>
        </w:tc>
        <w:tc>
          <w:tcPr>
            <w:tcW w:w="1161" w:type="pct"/>
            <w:tcBorders>
              <w:top w:val="nil"/>
              <w:left w:val="nil"/>
              <w:bottom w:val="single" w:sz="4" w:space="0" w:color="auto"/>
              <w:right w:val="single" w:sz="4" w:space="0" w:color="auto"/>
            </w:tcBorders>
            <w:noWrap/>
            <w:vAlign w:val="bottom"/>
            <w:hideMark/>
          </w:tcPr>
          <w:p w14:paraId="0EC7716E" w14:textId="0136B352" w:rsidR="00685D49" w:rsidRPr="00471CBA" w:rsidRDefault="00685D49" w:rsidP="00F36B82">
            <w:pPr>
              <w:jc w:val="right"/>
              <w:rPr>
                <w:b/>
                <w:bCs/>
                <w:color w:val="000000"/>
                <w:sz w:val="16"/>
                <w:szCs w:val="16"/>
                <w:lang w:eastAsia="tr-TR"/>
              </w:rPr>
            </w:pPr>
            <w:r w:rsidRPr="00471CBA">
              <w:rPr>
                <w:b/>
                <w:bCs/>
                <w:color w:val="000000"/>
                <w:sz w:val="16"/>
                <w:szCs w:val="16"/>
                <w:lang w:eastAsia="tr-TR"/>
              </w:rPr>
              <w:t>TFRS 9 Değerleme etkisi</w:t>
            </w:r>
          </w:p>
        </w:tc>
        <w:tc>
          <w:tcPr>
            <w:tcW w:w="710" w:type="pct"/>
            <w:tcBorders>
              <w:top w:val="nil"/>
              <w:left w:val="nil"/>
              <w:bottom w:val="single" w:sz="4" w:space="0" w:color="auto"/>
              <w:right w:val="single" w:sz="4" w:space="0" w:color="auto"/>
            </w:tcBorders>
            <w:noWrap/>
            <w:vAlign w:val="bottom"/>
            <w:hideMark/>
          </w:tcPr>
          <w:p w14:paraId="14573D30" w14:textId="77777777" w:rsidR="00685D49" w:rsidRPr="00471CBA" w:rsidRDefault="00685D49" w:rsidP="00F36B82">
            <w:pPr>
              <w:jc w:val="right"/>
              <w:rPr>
                <w:b/>
                <w:bCs/>
                <w:color w:val="000000"/>
                <w:sz w:val="16"/>
                <w:szCs w:val="16"/>
                <w:lang w:eastAsia="tr-TR"/>
              </w:rPr>
            </w:pPr>
            <w:r w:rsidRPr="00471CBA">
              <w:rPr>
                <w:b/>
                <w:bCs/>
                <w:color w:val="000000"/>
                <w:sz w:val="16"/>
                <w:szCs w:val="16"/>
                <w:lang w:eastAsia="tr-TR"/>
              </w:rPr>
              <w:t>1 Temmuz 2025Sonrası</w:t>
            </w:r>
          </w:p>
        </w:tc>
      </w:tr>
      <w:tr w:rsidR="00685D49" w:rsidRPr="00471CBA" w14:paraId="0DFC4B32" w14:textId="77777777" w:rsidTr="00F36B82">
        <w:trPr>
          <w:trHeight w:val="285"/>
        </w:trPr>
        <w:tc>
          <w:tcPr>
            <w:tcW w:w="974" w:type="pct"/>
            <w:tcBorders>
              <w:top w:val="nil"/>
              <w:left w:val="single" w:sz="4" w:space="0" w:color="auto"/>
              <w:bottom w:val="single" w:sz="4" w:space="0" w:color="auto"/>
              <w:right w:val="single" w:sz="4" w:space="0" w:color="auto"/>
            </w:tcBorders>
            <w:noWrap/>
            <w:vAlign w:val="center"/>
            <w:hideMark/>
          </w:tcPr>
          <w:p w14:paraId="4C41D3B8" w14:textId="77777777" w:rsidR="00685D49" w:rsidRPr="00471CBA" w:rsidRDefault="00685D49" w:rsidP="00D017F6">
            <w:pPr>
              <w:rPr>
                <w:color w:val="000000"/>
                <w:sz w:val="16"/>
                <w:szCs w:val="16"/>
                <w:lang w:eastAsia="tr-TR"/>
              </w:rPr>
            </w:pPr>
            <w:r w:rsidRPr="00471CBA">
              <w:rPr>
                <w:color w:val="000000"/>
                <w:sz w:val="16"/>
                <w:szCs w:val="16"/>
                <w:lang w:eastAsia="tr-TR"/>
              </w:rPr>
              <w:t>Genel Karşılıklar</w:t>
            </w:r>
          </w:p>
        </w:tc>
        <w:tc>
          <w:tcPr>
            <w:tcW w:w="1180" w:type="pct"/>
            <w:tcBorders>
              <w:top w:val="nil"/>
              <w:left w:val="nil"/>
              <w:bottom w:val="single" w:sz="4" w:space="0" w:color="auto"/>
              <w:right w:val="single" w:sz="4" w:space="0" w:color="auto"/>
            </w:tcBorders>
            <w:noWrap/>
            <w:vAlign w:val="bottom"/>
            <w:hideMark/>
          </w:tcPr>
          <w:p w14:paraId="14640BE5" w14:textId="77777777" w:rsidR="00685D49" w:rsidRPr="00471CBA" w:rsidRDefault="00685D49" w:rsidP="00F36B82">
            <w:pPr>
              <w:jc w:val="right"/>
              <w:rPr>
                <w:color w:val="000000"/>
                <w:sz w:val="16"/>
                <w:szCs w:val="16"/>
                <w:lang w:eastAsia="tr-TR"/>
              </w:rPr>
            </w:pPr>
            <w:r w:rsidRPr="00471CBA">
              <w:rPr>
                <w:color w:val="000000"/>
                <w:sz w:val="16"/>
                <w:szCs w:val="16"/>
                <w:lang w:eastAsia="tr-TR"/>
              </w:rPr>
              <w:t>369.935</w:t>
            </w:r>
          </w:p>
        </w:tc>
        <w:tc>
          <w:tcPr>
            <w:tcW w:w="974" w:type="pct"/>
            <w:tcBorders>
              <w:top w:val="nil"/>
              <w:left w:val="nil"/>
              <w:bottom w:val="single" w:sz="4" w:space="0" w:color="auto"/>
              <w:right w:val="single" w:sz="4" w:space="0" w:color="auto"/>
            </w:tcBorders>
            <w:noWrap/>
            <w:vAlign w:val="bottom"/>
            <w:hideMark/>
          </w:tcPr>
          <w:p w14:paraId="5D28FFB2" w14:textId="179B768F" w:rsidR="00685D49" w:rsidRPr="00471CBA" w:rsidRDefault="008F1903" w:rsidP="00F36B82">
            <w:pPr>
              <w:jc w:val="right"/>
              <w:rPr>
                <w:color w:val="000000"/>
                <w:sz w:val="16"/>
                <w:szCs w:val="16"/>
                <w:lang w:eastAsia="tr-TR"/>
              </w:rPr>
            </w:pPr>
            <w:r w:rsidRPr="00471CBA">
              <w:rPr>
                <w:color w:val="000000"/>
                <w:sz w:val="16"/>
                <w:szCs w:val="16"/>
                <w:lang w:eastAsia="tr-TR"/>
              </w:rPr>
              <w:t>-</w:t>
            </w:r>
          </w:p>
        </w:tc>
        <w:tc>
          <w:tcPr>
            <w:tcW w:w="1161" w:type="pct"/>
            <w:tcBorders>
              <w:top w:val="nil"/>
              <w:left w:val="nil"/>
              <w:bottom w:val="single" w:sz="4" w:space="0" w:color="auto"/>
              <w:right w:val="single" w:sz="4" w:space="0" w:color="auto"/>
            </w:tcBorders>
            <w:noWrap/>
            <w:vAlign w:val="bottom"/>
            <w:hideMark/>
          </w:tcPr>
          <w:p w14:paraId="08E62FA7" w14:textId="2A8A0EE8" w:rsidR="00685D49" w:rsidRPr="00471CBA" w:rsidRDefault="00685D49" w:rsidP="00F36B82">
            <w:pPr>
              <w:jc w:val="right"/>
              <w:rPr>
                <w:color w:val="000000"/>
                <w:sz w:val="16"/>
                <w:szCs w:val="16"/>
                <w:lang w:eastAsia="tr-TR"/>
              </w:rPr>
            </w:pPr>
            <w:r w:rsidRPr="00471CBA">
              <w:rPr>
                <w:color w:val="000000"/>
                <w:sz w:val="16"/>
                <w:szCs w:val="16"/>
                <w:lang w:eastAsia="tr-TR"/>
              </w:rPr>
              <w:t>(369.935)</w:t>
            </w:r>
          </w:p>
        </w:tc>
        <w:tc>
          <w:tcPr>
            <w:tcW w:w="710" w:type="pct"/>
            <w:tcBorders>
              <w:top w:val="nil"/>
              <w:left w:val="nil"/>
              <w:bottom w:val="single" w:sz="4" w:space="0" w:color="auto"/>
              <w:right w:val="single" w:sz="4" w:space="0" w:color="auto"/>
            </w:tcBorders>
            <w:noWrap/>
            <w:vAlign w:val="bottom"/>
            <w:hideMark/>
          </w:tcPr>
          <w:p w14:paraId="01BEC0EF" w14:textId="77777777" w:rsidR="00685D49" w:rsidRPr="00471CBA" w:rsidRDefault="00685D49" w:rsidP="00F36B82">
            <w:pPr>
              <w:jc w:val="right"/>
              <w:rPr>
                <w:color w:val="000000"/>
                <w:sz w:val="16"/>
                <w:szCs w:val="16"/>
                <w:lang w:eastAsia="tr-TR"/>
              </w:rPr>
            </w:pPr>
            <w:r w:rsidRPr="00471CBA">
              <w:rPr>
                <w:color w:val="000000"/>
                <w:sz w:val="16"/>
                <w:szCs w:val="16"/>
                <w:lang w:eastAsia="tr-TR"/>
              </w:rPr>
              <w:t>-</w:t>
            </w:r>
          </w:p>
        </w:tc>
      </w:tr>
      <w:tr w:rsidR="00685D49" w:rsidRPr="00471CBA" w14:paraId="074C9843" w14:textId="77777777" w:rsidTr="00F36B82">
        <w:trPr>
          <w:trHeight w:val="285"/>
        </w:trPr>
        <w:tc>
          <w:tcPr>
            <w:tcW w:w="974" w:type="pct"/>
            <w:tcBorders>
              <w:top w:val="nil"/>
              <w:left w:val="single" w:sz="4" w:space="0" w:color="auto"/>
              <w:bottom w:val="single" w:sz="4" w:space="0" w:color="auto"/>
              <w:right w:val="single" w:sz="4" w:space="0" w:color="auto"/>
            </w:tcBorders>
            <w:noWrap/>
            <w:vAlign w:val="center"/>
            <w:hideMark/>
          </w:tcPr>
          <w:p w14:paraId="22DD83C0" w14:textId="77777777" w:rsidR="00685D49" w:rsidRPr="00471CBA" w:rsidRDefault="00685D49" w:rsidP="00D017F6">
            <w:pPr>
              <w:rPr>
                <w:color w:val="000000"/>
                <w:sz w:val="16"/>
                <w:szCs w:val="16"/>
                <w:lang w:eastAsia="tr-TR"/>
              </w:rPr>
            </w:pPr>
            <w:r w:rsidRPr="00471CBA">
              <w:rPr>
                <w:color w:val="000000"/>
                <w:sz w:val="16"/>
                <w:szCs w:val="16"/>
                <w:lang w:eastAsia="tr-TR"/>
              </w:rPr>
              <w:t>Diğer Karşılıklar</w:t>
            </w:r>
          </w:p>
        </w:tc>
        <w:tc>
          <w:tcPr>
            <w:tcW w:w="1180" w:type="pct"/>
            <w:tcBorders>
              <w:top w:val="nil"/>
              <w:left w:val="nil"/>
              <w:bottom w:val="single" w:sz="4" w:space="0" w:color="auto"/>
              <w:right w:val="single" w:sz="4" w:space="0" w:color="auto"/>
            </w:tcBorders>
            <w:noWrap/>
            <w:vAlign w:val="bottom"/>
            <w:hideMark/>
          </w:tcPr>
          <w:p w14:paraId="27142B47" w14:textId="625BEF3F" w:rsidR="00685D49" w:rsidRPr="00471CBA" w:rsidRDefault="008F1903" w:rsidP="00F36B82">
            <w:pPr>
              <w:jc w:val="right"/>
              <w:rPr>
                <w:color w:val="000000"/>
                <w:sz w:val="16"/>
                <w:szCs w:val="16"/>
                <w:lang w:eastAsia="tr-TR"/>
              </w:rPr>
            </w:pPr>
            <w:r w:rsidRPr="00471CBA">
              <w:rPr>
                <w:color w:val="000000"/>
                <w:sz w:val="16"/>
                <w:szCs w:val="16"/>
                <w:lang w:eastAsia="tr-TR"/>
              </w:rPr>
              <w:t>-</w:t>
            </w:r>
          </w:p>
        </w:tc>
        <w:tc>
          <w:tcPr>
            <w:tcW w:w="974" w:type="pct"/>
            <w:tcBorders>
              <w:top w:val="nil"/>
              <w:left w:val="nil"/>
              <w:bottom w:val="single" w:sz="4" w:space="0" w:color="auto"/>
              <w:right w:val="single" w:sz="4" w:space="0" w:color="auto"/>
            </w:tcBorders>
            <w:noWrap/>
            <w:vAlign w:val="bottom"/>
            <w:hideMark/>
          </w:tcPr>
          <w:p w14:paraId="4BCD040E" w14:textId="30C1A1FD" w:rsidR="00685D49" w:rsidRPr="00471CBA" w:rsidRDefault="008F1903" w:rsidP="00F36B82">
            <w:pPr>
              <w:jc w:val="right"/>
              <w:rPr>
                <w:color w:val="000000"/>
                <w:sz w:val="16"/>
                <w:szCs w:val="16"/>
                <w:lang w:eastAsia="tr-TR"/>
              </w:rPr>
            </w:pPr>
            <w:r w:rsidRPr="00471CBA">
              <w:rPr>
                <w:color w:val="000000"/>
                <w:sz w:val="16"/>
                <w:szCs w:val="16"/>
                <w:lang w:eastAsia="tr-TR"/>
              </w:rPr>
              <w:t>-</w:t>
            </w:r>
          </w:p>
        </w:tc>
        <w:tc>
          <w:tcPr>
            <w:tcW w:w="1161" w:type="pct"/>
            <w:tcBorders>
              <w:top w:val="nil"/>
              <w:left w:val="nil"/>
              <w:bottom w:val="single" w:sz="4" w:space="0" w:color="auto"/>
              <w:right w:val="single" w:sz="4" w:space="0" w:color="auto"/>
            </w:tcBorders>
            <w:noWrap/>
            <w:vAlign w:val="bottom"/>
            <w:hideMark/>
          </w:tcPr>
          <w:p w14:paraId="13216EF2" w14:textId="4F22E23D" w:rsidR="00685D49" w:rsidRPr="00471CBA" w:rsidRDefault="00685D49" w:rsidP="00F36B82">
            <w:pPr>
              <w:jc w:val="right"/>
              <w:rPr>
                <w:color w:val="000000"/>
                <w:sz w:val="16"/>
                <w:szCs w:val="16"/>
                <w:lang w:eastAsia="tr-TR"/>
              </w:rPr>
            </w:pPr>
            <w:r w:rsidRPr="00471CBA">
              <w:rPr>
                <w:color w:val="000000"/>
                <w:sz w:val="16"/>
                <w:szCs w:val="16"/>
                <w:lang w:eastAsia="tr-TR"/>
              </w:rPr>
              <w:t>192.553</w:t>
            </w:r>
          </w:p>
        </w:tc>
        <w:tc>
          <w:tcPr>
            <w:tcW w:w="710" w:type="pct"/>
            <w:tcBorders>
              <w:top w:val="nil"/>
              <w:left w:val="nil"/>
              <w:bottom w:val="single" w:sz="4" w:space="0" w:color="auto"/>
              <w:right w:val="single" w:sz="4" w:space="0" w:color="auto"/>
            </w:tcBorders>
            <w:noWrap/>
            <w:vAlign w:val="bottom"/>
            <w:hideMark/>
          </w:tcPr>
          <w:p w14:paraId="04A9F5F0" w14:textId="77777777" w:rsidR="00685D49" w:rsidRPr="00471CBA" w:rsidRDefault="00685D49" w:rsidP="00F36B82">
            <w:pPr>
              <w:jc w:val="right"/>
              <w:rPr>
                <w:color w:val="000000"/>
                <w:sz w:val="16"/>
                <w:szCs w:val="16"/>
                <w:lang w:eastAsia="tr-TR"/>
              </w:rPr>
            </w:pPr>
            <w:r w:rsidRPr="00471CBA">
              <w:rPr>
                <w:color w:val="000000"/>
                <w:sz w:val="16"/>
                <w:szCs w:val="16"/>
                <w:lang w:eastAsia="tr-TR"/>
              </w:rPr>
              <w:t>192.553</w:t>
            </w:r>
          </w:p>
        </w:tc>
      </w:tr>
      <w:tr w:rsidR="00685D49" w:rsidRPr="00471CBA" w14:paraId="51456B16" w14:textId="77777777" w:rsidTr="00F36B82">
        <w:trPr>
          <w:trHeight w:val="285"/>
        </w:trPr>
        <w:tc>
          <w:tcPr>
            <w:tcW w:w="974" w:type="pct"/>
            <w:tcBorders>
              <w:top w:val="nil"/>
              <w:left w:val="single" w:sz="4" w:space="0" w:color="auto"/>
              <w:bottom w:val="single" w:sz="4" w:space="0" w:color="auto"/>
              <w:right w:val="single" w:sz="4" w:space="0" w:color="auto"/>
            </w:tcBorders>
            <w:noWrap/>
            <w:vAlign w:val="center"/>
            <w:hideMark/>
          </w:tcPr>
          <w:p w14:paraId="2079EBED" w14:textId="77777777" w:rsidR="00685D49" w:rsidRPr="00471CBA" w:rsidRDefault="00685D49" w:rsidP="00D017F6">
            <w:pPr>
              <w:rPr>
                <w:color w:val="000000"/>
                <w:sz w:val="16"/>
                <w:szCs w:val="16"/>
                <w:lang w:eastAsia="tr-TR"/>
              </w:rPr>
            </w:pPr>
            <w:r w:rsidRPr="00471CBA">
              <w:rPr>
                <w:color w:val="000000"/>
                <w:sz w:val="16"/>
                <w:szCs w:val="16"/>
                <w:lang w:eastAsia="tr-TR"/>
              </w:rPr>
              <w:t>Geçmiş Yıllar Kar Zararı</w:t>
            </w:r>
          </w:p>
        </w:tc>
        <w:tc>
          <w:tcPr>
            <w:tcW w:w="1180" w:type="pct"/>
            <w:tcBorders>
              <w:top w:val="nil"/>
              <w:left w:val="nil"/>
              <w:bottom w:val="single" w:sz="4" w:space="0" w:color="auto"/>
              <w:right w:val="single" w:sz="4" w:space="0" w:color="auto"/>
            </w:tcBorders>
            <w:noWrap/>
            <w:vAlign w:val="bottom"/>
            <w:hideMark/>
          </w:tcPr>
          <w:p w14:paraId="005CB5AC" w14:textId="558612B4" w:rsidR="00685D49" w:rsidRPr="00471CBA" w:rsidRDefault="008F1903" w:rsidP="00F36B82">
            <w:pPr>
              <w:jc w:val="right"/>
              <w:rPr>
                <w:color w:val="000000"/>
                <w:sz w:val="16"/>
                <w:szCs w:val="16"/>
                <w:lang w:eastAsia="tr-TR"/>
              </w:rPr>
            </w:pPr>
            <w:r w:rsidRPr="00471CBA">
              <w:rPr>
                <w:color w:val="000000"/>
                <w:sz w:val="16"/>
                <w:szCs w:val="16"/>
                <w:lang w:eastAsia="tr-TR"/>
              </w:rPr>
              <w:t>-</w:t>
            </w:r>
          </w:p>
        </w:tc>
        <w:tc>
          <w:tcPr>
            <w:tcW w:w="974" w:type="pct"/>
            <w:tcBorders>
              <w:top w:val="nil"/>
              <w:left w:val="nil"/>
              <w:bottom w:val="single" w:sz="4" w:space="0" w:color="auto"/>
              <w:right w:val="single" w:sz="4" w:space="0" w:color="auto"/>
            </w:tcBorders>
            <w:noWrap/>
            <w:vAlign w:val="bottom"/>
            <w:hideMark/>
          </w:tcPr>
          <w:p w14:paraId="7FB24166" w14:textId="39A91ACA" w:rsidR="00685D49" w:rsidRPr="00471CBA" w:rsidRDefault="00685D49" w:rsidP="00F36B82">
            <w:pPr>
              <w:jc w:val="right"/>
              <w:rPr>
                <w:color w:val="000000"/>
                <w:sz w:val="16"/>
                <w:szCs w:val="16"/>
                <w:lang w:eastAsia="tr-TR"/>
              </w:rPr>
            </w:pPr>
            <w:r w:rsidRPr="00471CBA">
              <w:rPr>
                <w:color w:val="000000"/>
                <w:sz w:val="16"/>
                <w:szCs w:val="16"/>
                <w:lang w:eastAsia="tr-TR"/>
              </w:rPr>
              <w:t>-</w:t>
            </w:r>
          </w:p>
        </w:tc>
        <w:tc>
          <w:tcPr>
            <w:tcW w:w="1161" w:type="pct"/>
            <w:tcBorders>
              <w:top w:val="nil"/>
              <w:left w:val="nil"/>
              <w:bottom w:val="single" w:sz="4" w:space="0" w:color="auto"/>
              <w:right w:val="single" w:sz="4" w:space="0" w:color="auto"/>
            </w:tcBorders>
            <w:noWrap/>
            <w:vAlign w:val="bottom"/>
            <w:hideMark/>
          </w:tcPr>
          <w:p w14:paraId="7483F5EA" w14:textId="65E93703" w:rsidR="00685D49" w:rsidRPr="00471CBA" w:rsidRDefault="00685D49" w:rsidP="00F36B82">
            <w:pPr>
              <w:jc w:val="right"/>
              <w:rPr>
                <w:color w:val="000000"/>
                <w:sz w:val="16"/>
                <w:szCs w:val="16"/>
                <w:lang w:eastAsia="tr-TR"/>
              </w:rPr>
            </w:pPr>
            <w:r w:rsidRPr="00471CBA">
              <w:rPr>
                <w:color w:val="000000"/>
                <w:sz w:val="16"/>
                <w:szCs w:val="16"/>
                <w:lang w:eastAsia="tr-TR"/>
              </w:rPr>
              <w:t>29.054</w:t>
            </w:r>
          </w:p>
        </w:tc>
        <w:tc>
          <w:tcPr>
            <w:tcW w:w="710" w:type="pct"/>
            <w:tcBorders>
              <w:top w:val="nil"/>
              <w:left w:val="nil"/>
              <w:bottom w:val="single" w:sz="4" w:space="0" w:color="auto"/>
              <w:right w:val="single" w:sz="4" w:space="0" w:color="auto"/>
            </w:tcBorders>
            <w:noWrap/>
            <w:vAlign w:val="bottom"/>
            <w:hideMark/>
          </w:tcPr>
          <w:p w14:paraId="057E1702" w14:textId="77777777" w:rsidR="00685D49" w:rsidRPr="00471CBA" w:rsidRDefault="00685D49" w:rsidP="00F36B82">
            <w:pPr>
              <w:jc w:val="right"/>
              <w:rPr>
                <w:color w:val="000000"/>
                <w:sz w:val="16"/>
                <w:szCs w:val="16"/>
                <w:lang w:eastAsia="tr-TR"/>
              </w:rPr>
            </w:pPr>
            <w:r w:rsidRPr="00471CBA">
              <w:rPr>
                <w:color w:val="000000"/>
                <w:sz w:val="16"/>
                <w:szCs w:val="16"/>
                <w:lang w:eastAsia="tr-TR"/>
              </w:rPr>
              <w:t>29.054</w:t>
            </w:r>
          </w:p>
        </w:tc>
      </w:tr>
    </w:tbl>
    <w:p w14:paraId="21B3F5B3" w14:textId="77777777" w:rsidR="00775864" w:rsidRPr="00471CBA" w:rsidRDefault="00775864" w:rsidP="00775864">
      <w:pPr>
        <w:rPr>
          <w:b/>
          <w:bCs/>
        </w:rPr>
      </w:pPr>
    </w:p>
    <w:p w14:paraId="0FE58BED" w14:textId="77777777" w:rsidR="00775864" w:rsidRPr="00471CBA" w:rsidRDefault="00775864" w:rsidP="008459A9">
      <w:pPr>
        <w:pStyle w:val="ListeParagraf"/>
        <w:numPr>
          <w:ilvl w:val="0"/>
          <w:numId w:val="85"/>
        </w:numPr>
        <w:ind w:left="851" w:hanging="851"/>
        <w:rPr>
          <w:b/>
          <w:bCs/>
        </w:rPr>
      </w:pPr>
      <w:r w:rsidRPr="00471CBA">
        <w:rPr>
          <w:b/>
          <w:bCs/>
        </w:rPr>
        <w:t>TFRS 9 değer düşüklüğü uygulamasına geçişin özkaynak etkileri</w:t>
      </w:r>
    </w:p>
    <w:p w14:paraId="7435C9E7" w14:textId="77777777" w:rsidR="00775864" w:rsidRPr="00471CBA" w:rsidRDefault="00775864" w:rsidP="00F36B82">
      <w:pPr>
        <w:ind w:left="851"/>
        <w:rPr>
          <w:b/>
          <w:bCs/>
        </w:rPr>
      </w:pPr>
    </w:p>
    <w:p w14:paraId="4E8F95B5" w14:textId="1DFB20B9" w:rsidR="00775864" w:rsidRPr="00471CBA" w:rsidRDefault="00775864" w:rsidP="00F36B82">
      <w:pPr>
        <w:pStyle w:val="ListeParagraf"/>
        <w:ind w:left="851"/>
        <w:jc w:val="both"/>
        <w:rPr>
          <w:szCs w:val="20"/>
        </w:rPr>
      </w:pPr>
      <w:r w:rsidRPr="00471CBA">
        <w:rPr>
          <w:szCs w:val="20"/>
        </w:rPr>
        <w:t xml:space="preserve">19 Ocak 2017 tarihli 29953 sayılı Resmî </w:t>
      </w:r>
      <w:proofErr w:type="spellStart"/>
      <w:r w:rsidRPr="00471CBA">
        <w:rPr>
          <w:szCs w:val="20"/>
        </w:rPr>
        <w:t>Gazete’de</w:t>
      </w:r>
      <w:proofErr w:type="spellEnd"/>
      <w:r w:rsidRPr="00471CBA">
        <w:rPr>
          <w:szCs w:val="20"/>
        </w:rPr>
        <w:t xml:space="preserve"> yayımlanan TFRS 9 Finansal Araçlar Standardının 7. maddesinin 2. Fıkrasının 15. Bendine göre TFRS 9 kapsamında önceki dönem bilgilerinin yeniden düzenlenmesinin zorunlu olmadığı belirtilmekte, önceki dönem bilgilerinin yeniden düzenlenmemesi durumunda, önceki defter değeri ile ilk uygulama tarihi olan 1 Temmuz 2025’deki defter değeri arasındaki farkın özkaynakların açılış bakiyesine yansıtılması gerektiği </w:t>
      </w:r>
      <w:r w:rsidRPr="00C93640">
        <w:rPr>
          <w:szCs w:val="20"/>
        </w:rPr>
        <w:t>ifade edilmektedir. Bu kapsamda, TFRS 9 geçiş öncesi değer düşüklüğü karşılığı ile 1 Temmuz 2025 itibarıyla TFRS 9 öngörülen zarar modeline uygun olarak ölçülen yeni beklenen zarar karşılığı arasındaki 29.054 TL gelir yönlü</w:t>
      </w:r>
      <w:r w:rsidR="00C72B53" w:rsidRPr="00C93640">
        <w:rPr>
          <w:szCs w:val="20"/>
        </w:rPr>
        <w:t xml:space="preserve"> karşılık tutarı ve 8.716 TL gider yönlü ertelenmiş vergi tutarı</w:t>
      </w:r>
      <w:r w:rsidRPr="00C93640">
        <w:rPr>
          <w:szCs w:val="20"/>
        </w:rPr>
        <w:t xml:space="preserve"> özkaynaklarda “Geçmiş dönem karı/zararı” hesabına yansıtılmıştır.</w:t>
      </w:r>
    </w:p>
    <w:p w14:paraId="19F2EA97" w14:textId="77777777" w:rsidR="006B6986" w:rsidRPr="00471CBA" w:rsidRDefault="006B6986" w:rsidP="00F36B82">
      <w:pPr>
        <w:pStyle w:val="ListeParagraf"/>
        <w:ind w:left="851"/>
        <w:rPr>
          <w:b/>
          <w:bCs/>
        </w:rPr>
      </w:pPr>
    </w:p>
    <w:p w14:paraId="3E0E357A" w14:textId="1B3AFF69" w:rsidR="00F36B82" w:rsidRDefault="00F36B82" w:rsidP="00F36B82">
      <w:pPr>
        <w:ind w:left="851"/>
        <w:rPr>
          <w:szCs w:val="20"/>
        </w:rPr>
      </w:pPr>
      <w:r>
        <w:rPr>
          <w:szCs w:val="20"/>
        </w:rPr>
        <w:br w:type="page"/>
      </w:r>
    </w:p>
    <w:p w14:paraId="3538248C" w14:textId="47CD4093" w:rsidR="002C6E36" w:rsidRPr="00471CBA" w:rsidRDefault="00B75FBE" w:rsidP="00F36B82">
      <w:pPr>
        <w:pStyle w:val="GvdeMetniGirintisi"/>
        <w:widowControl w:val="0"/>
        <w:spacing w:line="216" w:lineRule="auto"/>
        <w:ind w:firstLine="0"/>
        <w:jc w:val="center"/>
        <w:rPr>
          <w:b/>
          <w:szCs w:val="20"/>
        </w:rPr>
      </w:pPr>
      <w:r w:rsidRPr="00471CBA">
        <w:rPr>
          <w:b/>
          <w:szCs w:val="20"/>
        </w:rPr>
        <w:lastRenderedPageBreak/>
        <w:t>DÖRDÜNCÜ BÖLÜM</w:t>
      </w:r>
    </w:p>
    <w:p w14:paraId="2C4AE463" w14:textId="77777777" w:rsidR="00A37418" w:rsidRPr="00F36B82" w:rsidRDefault="00A37418" w:rsidP="00F36B82">
      <w:pPr>
        <w:pStyle w:val="GvdeMetniGirintisi"/>
        <w:widowControl w:val="0"/>
        <w:spacing w:line="216" w:lineRule="auto"/>
        <w:ind w:firstLine="0"/>
        <w:rPr>
          <w:b/>
          <w:sz w:val="16"/>
          <w:szCs w:val="16"/>
        </w:rPr>
      </w:pPr>
    </w:p>
    <w:p w14:paraId="45DEDF55" w14:textId="687F34A5" w:rsidR="00AE6405" w:rsidRPr="00471CBA" w:rsidRDefault="00451EE9" w:rsidP="00F36B82">
      <w:pPr>
        <w:pStyle w:val="GvdeMetniGirintisi"/>
        <w:widowControl w:val="0"/>
        <w:spacing w:line="216" w:lineRule="auto"/>
        <w:ind w:firstLine="0"/>
        <w:jc w:val="center"/>
        <w:rPr>
          <w:b/>
          <w:szCs w:val="20"/>
        </w:rPr>
      </w:pPr>
      <w:r w:rsidRPr="00471CBA">
        <w:rPr>
          <w:b/>
          <w:szCs w:val="20"/>
        </w:rPr>
        <w:t>MALİ BÜNYEYE VE RİSK YÖNETİMİNE İLİŞKİN BİLGİLER</w:t>
      </w:r>
    </w:p>
    <w:p w14:paraId="3D77C5F5" w14:textId="77777777" w:rsidR="00A37418" w:rsidRPr="00F36B82" w:rsidRDefault="00A37418" w:rsidP="00F36B82">
      <w:pPr>
        <w:pStyle w:val="GvdeMetniGirintisi"/>
        <w:widowControl w:val="0"/>
        <w:spacing w:line="216" w:lineRule="auto"/>
        <w:ind w:firstLine="0"/>
        <w:rPr>
          <w:b/>
          <w:sz w:val="16"/>
          <w:szCs w:val="16"/>
        </w:rPr>
      </w:pPr>
    </w:p>
    <w:p w14:paraId="122A9CDE" w14:textId="17B82681" w:rsidR="00F117F1" w:rsidRPr="00471CBA" w:rsidRDefault="00C560CD" w:rsidP="00F36B82">
      <w:pPr>
        <w:widowControl w:val="0"/>
        <w:spacing w:line="216" w:lineRule="auto"/>
        <w:ind w:left="851" w:hanging="851"/>
        <w:jc w:val="both"/>
        <w:rPr>
          <w:b/>
          <w:szCs w:val="20"/>
        </w:rPr>
      </w:pPr>
      <w:r w:rsidRPr="00471CBA">
        <w:rPr>
          <w:b/>
          <w:szCs w:val="20"/>
        </w:rPr>
        <w:t>I.</w:t>
      </w:r>
      <w:r w:rsidRPr="00471CBA">
        <w:rPr>
          <w:b/>
          <w:szCs w:val="20"/>
        </w:rPr>
        <w:tab/>
        <w:t>ÖZKAYNAK KALEMLERİNE İLİŞKİN AÇIKLAMALAR</w:t>
      </w:r>
    </w:p>
    <w:p w14:paraId="74D2D161" w14:textId="77777777" w:rsidR="00685D49" w:rsidRDefault="00685D49" w:rsidP="00F36B82">
      <w:pPr>
        <w:widowControl w:val="0"/>
        <w:spacing w:line="216" w:lineRule="auto"/>
        <w:ind w:left="851"/>
        <w:jc w:val="both"/>
        <w:rPr>
          <w:sz w:val="19"/>
          <w:szCs w:val="19"/>
        </w:rPr>
      </w:pPr>
      <w:r w:rsidRPr="00471CBA">
        <w:rPr>
          <w:sz w:val="19"/>
          <w:szCs w:val="19"/>
        </w:rPr>
        <w:t xml:space="preserve"> Özkaynak tutarı ve sermaye yeterliliği standart oranı “Bankaların Özkaynaklarına İlişkin Yönetmelik” ile “Bankaların Sermaye Yeterliliğinin Ölçülmesine ve Değerlendirilmesine İlişkin Yönetmelik” çerçevesinde hesaplanmıştır. </w:t>
      </w:r>
    </w:p>
    <w:p w14:paraId="05E3A471" w14:textId="77777777" w:rsidR="00F36B82" w:rsidRPr="00F36B82" w:rsidRDefault="00F36B82" w:rsidP="00F36B82">
      <w:pPr>
        <w:widowControl w:val="0"/>
        <w:spacing w:line="216" w:lineRule="auto"/>
        <w:ind w:left="851"/>
        <w:jc w:val="both"/>
        <w:rPr>
          <w:sz w:val="16"/>
          <w:szCs w:val="16"/>
        </w:rPr>
      </w:pPr>
    </w:p>
    <w:p w14:paraId="56B77BD6" w14:textId="1F627EDB" w:rsidR="00685D49" w:rsidRDefault="00685D49" w:rsidP="00F36B82">
      <w:pPr>
        <w:widowControl w:val="0"/>
        <w:spacing w:line="216" w:lineRule="auto"/>
        <w:ind w:left="851"/>
        <w:jc w:val="both"/>
        <w:rPr>
          <w:sz w:val="19"/>
          <w:szCs w:val="19"/>
        </w:rPr>
      </w:pPr>
      <w:r w:rsidRPr="00471CBA">
        <w:rPr>
          <w:sz w:val="19"/>
          <w:szCs w:val="19"/>
        </w:rPr>
        <w:t xml:space="preserve">Bankacılık Düzenleme ve Denetleme Kurulunun 12 Aralık 2023 tarih ve 10747 sayılı Kararı uyarınca kredi riskine esas tutarın hesaplanmasında yabancı para birimindeki değerlenmiş tutarları hesaplarken </w:t>
      </w:r>
      <w:r w:rsidRPr="00471CBA">
        <w:rPr>
          <w:sz w:val="19"/>
          <w:szCs w:val="19"/>
        </w:rPr>
        <w:br/>
        <w:t>26 Haziran 2023 tarihine ait Merkez Bankası döviz alış kuru kullanılmıştır. 12 Aralık 2023 tarih ve 10747 sayılı düzenleme çerçevesinde bankaların sahip oldukları menkul kıymetlerden, 1 Ocak 2024 tarihi itibarıyla “Gerçeğe Uygun Değer Farkı Diğer Kapsamlı Gelire Yansıtılan Menkul Değerler” portföyünde yer alanların net değerleme farklarının negatif olması durumunda, bu farkların özkaynak tutarında dikkate alınmamasına imkân tanınmıştır.</w:t>
      </w:r>
    </w:p>
    <w:p w14:paraId="6564DA5C" w14:textId="77777777" w:rsidR="00F36B82" w:rsidRPr="00F36B82" w:rsidRDefault="00F36B82" w:rsidP="00F36B82">
      <w:pPr>
        <w:widowControl w:val="0"/>
        <w:spacing w:line="216" w:lineRule="auto"/>
        <w:ind w:left="851"/>
        <w:jc w:val="both"/>
        <w:rPr>
          <w:sz w:val="16"/>
          <w:szCs w:val="16"/>
        </w:rPr>
      </w:pPr>
    </w:p>
    <w:p w14:paraId="720250B7" w14:textId="13A7B719" w:rsidR="009F4B9B" w:rsidRPr="00471CBA" w:rsidRDefault="00685D49" w:rsidP="00F36B82">
      <w:pPr>
        <w:widowControl w:val="0"/>
        <w:spacing w:line="216" w:lineRule="auto"/>
        <w:ind w:left="851"/>
        <w:jc w:val="both"/>
        <w:rPr>
          <w:sz w:val="19"/>
          <w:szCs w:val="19"/>
        </w:rPr>
      </w:pPr>
      <w:r w:rsidRPr="00471CBA">
        <w:rPr>
          <w:sz w:val="19"/>
          <w:szCs w:val="19"/>
        </w:rPr>
        <w:t xml:space="preserve">Banka’nın </w:t>
      </w:r>
      <w:r w:rsidR="008F16B9" w:rsidRPr="00471CBA">
        <w:rPr>
          <w:sz w:val="19"/>
          <w:szCs w:val="19"/>
        </w:rPr>
        <w:t>31 Aralık</w:t>
      </w:r>
      <w:r w:rsidRPr="00471CBA">
        <w:rPr>
          <w:sz w:val="19"/>
          <w:szCs w:val="19"/>
        </w:rPr>
        <w:t xml:space="preserve"> 2025 tarihi itibarıyla hesaplanan cari dönem özkaynak tutarı </w:t>
      </w:r>
      <w:bookmarkStart w:id="41" w:name="_Hlk133326191"/>
      <w:r w:rsidR="008F16B9" w:rsidRPr="00471CBA">
        <w:rPr>
          <w:sz w:val="19"/>
          <w:szCs w:val="19"/>
        </w:rPr>
        <w:t>8.833.930</w:t>
      </w:r>
      <w:r w:rsidRPr="00471CBA">
        <w:rPr>
          <w:sz w:val="19"/>
          <w:szCs w:val="19"/>
        </w:rPr>
        <w:t xml:space="preserve"> </w:t>
      </w:r>
      <w:bookmarkEnd w:id="41"/>
      <w:r w:rsidRPr="00471CBA">
        <w:rPr>
          <w:sz w:val="19"/>
          <w:szCs w:val="19"/>
        </w:rPr>
        <w:t>TL, sermaye yeterliliği standart oranı da %</w:t>
      </w:r>
      <w:r w:rsidR="008F16B9" w:rsidRPr="00471CBA">
        <w:rPr>
          <w:sz w:val="19"/>
          <w:szCs w:val="19"/>
        </w:rPr>
        <w:t>18,34</w:t>
      </w:r>
      <w:r w:rsidRPr="00471CBA">
        <w:rPr>
          <w:sz w:val="19"/>
          <w:szCs w:val="19"/>
        </w:rPr>
        <w:t>’</w:t>
      </w:r>
      <w:r w:rsidR="008F16B9" w:rsidRPr="00471CBA">
        <w:rPr>
          <w:sz w:val="19"/>
          <w:szCs w:val="19"/>
        </w:rPr>
        <w:t>dü</w:t>
      </w:r>
      <w:r w:rsidRPr="00471CBA">
        <w:rPr>
          <w:sz w:val="19"/>
          <w:szCs w:val="19"/>
        </w:rPr>
        <w:t>r. 31 Aralık 2024 için özkaynak tutarı 7.068.728 TL, sermaye yeterliliği standart oranı da %46,94’dür. Banka’nın sermaye yeterliliği standart oranı ilgili mevzuat ile belirlenen asgari oranın üzerindedir.</w:t>
      </w:r>
      <w:r w:rsidR="009F4B9B">
        <w:rPr>
          <w:sz w:val="19"/>
          <w:szCs w:val="19"/>
        </w:rPr>
        <w:t xml:space="preserve"> </w:t>
      </w:r>
      <w:bookmarkStart w:id="42" w:name="_Hlk223354336"/>
      <w:r w:rsidR="009F4B9B" w:rsidRPr="009F4B9B">
        <w:rPr>
          <w:sz w:val="19"/>
          <w:szCs w:val="19"/>
        </w:rPr>
        <w:t xml:space="preserve">Bahsi geçen düzenlemeler BDDK’nın 13.11.2025 tarih, 11286 sayılı kararı kapsamında 2026 yılının </w:t>
      </w:r>
      <w:proofErr w:type="gramStart"/>
      <w:r w:rsidR="009F4B9B" w:rsidRPr="009F4B9B">
        <w:rPr>
          <w:sz w:val="19"/>
          <w:szCs w:val="19"/>
        </w:rPr>
        <w:t>Ocak</w:t>
      </w:r>
      <w:proofErr w:type="gramEnd"/>
      <w:r w:rsidR="009F4B9B" w:rsidRPr="009F4B9B">
        <w:rPr>
          <w:sz w:val="19"/>
          <w:szCs w:val="19"/>
        </w:rPr>
        <w:t xml:space="preserve"> ayı itibarıyla yürürlükten kaldırılmış olup Aralık 2025 itibarıyla </w:t>
      </w:r>
      <w:r w:rsidR="009F4B9B" w:rsidRPr="00C14CCE">
        <w:rPr>
          <w:sz w:val="19"/>
          <w:szCs w:val="19"/>
        </w:rPr>
        <w:t>ilgili düzenlemeler dikkate alınmaksızın hesaplanan sermaye yeterliliği standart oranı ise %</w:t>
      </w:r>
      <w:r w:rsidR="00C14CCE" w:rsidRPr="00C14CCE">
        <w:rPr>
          <w:sz w:val="19"/>
          <w:szCs w:val="19"/>
        </w:rPr>
        <w:t xml:space="preserve">15,78 </w:t>
      </w:r>
      <w:r w:rsidR="009F4B9B" w:rsidRPr="00C14CCE">
        <w:rPr>
          <w:sz w:val="19"/>
          <w:szCs w:val="19"/>
        </w:rPr>
        <w:t>seviyesindedir.</w:t>
      </w:r>
    </w:p>
    <w:bookmarkEnd w:id="42"/>
    <w:p w14:paraId="545C3FA4" w14:textId="77777777" w:rsidR="009F4B9B" w:rsidRPr="00F36B82" w:rsidRDefault="009F4B9B" w:rsidP="00F36B82">
      <w:pPr>
        <w:widowControl w:val="0"/>
        <w:spacing w:line="216" w:lineRule="auto"/>
        <w:ind w:left="851"/>
        <w:jc w:val="both"/>
        <w:rPr>
          <w:sz w:val="16"/>
          <w:szCs w:val="16"/>
        </w:rPr>
      </w:pPr>
    </w:p>
    <w:p w14:paraId="0AC1E11A" w14:textId="4E9920FC" w:rsidR="0089258C" w:rsidRPr="00471CBA" w:rsidRDefault="0089258C" w:rsidP="00F36B82">
      <w:pPr>
        <w:pStyle w:val="ListeParagraf"/>
        <w:widowControl w:val="0"/>
        <w:numPr>
          <w:ilvl w:val="0"/>
          <w:numId w:val="44"/>
        </w:numPr>
        <w:spacing w:line="216" w:lineRule="auto"/>
        <w:ind w:left="1276" w:right="244" w:hanging="425"/>
        <w:jc w:val="both"/>
        <w:rPr>
          <w:b/>
          <w:szCs w:val="20"/>
        </w:rPr>
      </w:pPr>
      <w:r w:rsidRPr="00471CBA">
        <w:rPr>
          <w:b/>
          <w:szCs w:val="20"/>
        </w:rPr>
        <w:t>Özkaynak kalemlerine ilişkin bilgiler:</w:t>
      </w:r>
    </w:p>
    <w:p w14:paraId="4A104600" w14:textId="3297688A" w:rsidR="00A74C68" w:rsidRPr="00F36B82" w:rsidRDefault="00A74C68" w:rsidP="00F36B82">
      <w:pPr>
        <w:spacing w:line="216" w:lineRule="auto"/>
        <w:rPr>
          <w:sz w:val="16"/>
          <w:szCs w:val="16"/>
        </w:rPr>
      </w:pPr>
    </w:p>
    <w:tbl>
      <w:tblPr>
        <w:tblW w:w="5000" w:type="pct"/>
        <w:tblCellMar>
          <w:left w:w="70" w:type="dxa"/>
          <w:right w:w="70" w:type="dxa"/>
        </w:tblCellMar>
        <w:tblLook w:val="04A0" w:firstRow="1" w:lastRow="0" w:firstColumn="1" w:lastColumn="0" w:noHBand="0" w:noVBand="1"/>
      </w:tblPr>
      <w:tblGrid>
        <w:gridCol w:w="7475"/>
        <w:gridCol w:w="1082"/>
        <w:gridCol w:w="1082"/>
      </w:tblGrid>
      <w:tr w:rsidR="00A74C68" w:rsidRPr="00471CBA" w14:paraId="123156B5" w14:textId="77777777" w:rsidTr="00F36B82">
        <w:trPr>
          <w:divId w:val="5913244"/>
          <w:trHeight w:val="170"/>
        </w:trPr>
        <w:tc>
          <w:tcPr>
            <w:tcW w:w="4066" w:type="pct"/>
            <w:noWrap/>
            <w:vAlign w:val="bottom"/>
            <w:hideMark/>
          </w:tcPr>
          <w:p w14:paraId="07E3DDFD" w14:textId="2FD99AB1" w:rsidR="00A74C68" w:rsidRPr="00471CBA" w:rsidRDefault="00A74C68" w:rsidP="00F36B82">
            <w:pPr>
              <w:spacing w:line="216" w:lineRule="auto"/>
              <w:rPr>
                <w:sz w:val="15"/>
                <w:szCs w:val="15"/>
                <w:lang w:eastAsia="tr-TR"/>
              </w:rPr>
            </w:pPr>
          </w:p>
        </w:tc>
        <w:tc>
          <w:tcPr>
            <w:tcW w:w="372" w:type="pct"/>
            <w:noWrap/>
            <w:vAlign w:val="bottom"/>
            <w:hideMark/>
          </w:tcPr>
          <w:p w14:paraId="4BC7EF3A" w14:textId="77777777" w:rsidR="00A74C68" w:rsidRPr="00471CBA" w:rsidRDefault="00A74C68" w:rsidP="00F36B82">
            <w:pPr>
              <w:spacing w:line="216" w:lineRule="auto"/>
              <w:jc w:val="right"/>
              <w:rPr>
                <w:b/>
                <w:bCs/>
                <w:color w:val="000000"/>
                <w:sz w:val="15"/>
                <w:szCs w:val="15"/>
                <w:lang w:eastAsia="tr-TR"/>
              </w:rPr>
            </w:pPr>
            <w:r w:rsidRPr="00471CBA">
              <w:rPr>
                <w:b/>
                <w:bCs/>
                <w:color w:val="000000"/>
                <w:sz w:val="15"/>
                <w:szCs w:val="15"/>
                <w:lang w:eastAsia="tr-TR"/>
              </w:rPr>
              <w:t>31 Aralık 2025</w:t>
            </w:r>
          </w:p>
        </w:tc>
        <w:tc>
          <w:tcPr>
            <w:tcW w:w="561" w:type="pct"/>
            <w:noWrap/>
            <w:vAlign w:val="bottom"/>
            <w:hideMark/>
          </w:tcPr>
          <w:p w14:paraId="50316660" w14:textId="77777777" w:rsidR="00A74C68" w:rsidRPr="00471CBA" w:rsidRDefault="00A74C68" w:rsidP="00F36B82">
            <w:pPr>
              <w:spacing w:line="216" w:lineRule="auto"/>
              <w:jc w:val="right"/>
              <w:rPr>
                <w:b/>
                <w:bCs/>
                <w:color w:val="000000"/>
                <w:sz w:val="15"/>
                <w:szCs w:val="15"/>
                <w:lang w:eastAsia="tr-TR"/>
              </w:rPr>
            </w:pPr>
            <w:r w:rsidRPr="00471CBA">
              <w:rPr>
                <w:b/>
                <w:bCs/>
                <w:color w:val="000000"/>
                <w:sz w:val="15"/>
                <w:szCs w:val="15"/>
                <w:lang w:eastAsia="tr-TR"/>
              </w:rPr>
              <w:t>31 Aralık 2024</w:t>
            </w:r>
          </w:p>
        </w:tc>
      </w:tr>
      <w:tr w:rsidR="00A74C68" w:rsidRPr="00471CBA" w14:paraId="4E888A24" w14:textId="77777777" w:rsidTr="00F36B82">
        <w:trPr>
          <w:divId w:val="5913244"/>
          <w:trHeight w:val="170"/>
        </w:trPr>
        <w:tc>
          <w:tcPr>
            <w:tcW w:w="4066" w:type="pct"/>
            <w:tcBorders>
              <w:bottom w:val="single" w:sz="4" w:space="0" w:color="auto"/>
            </w:tcBorders>
            <w:vAlign w:val="center"/>
            <w:hideMark/>
          </w:tcPr>
          <w:p w14:paraId="09D80B77" w14:textId="77777777" w:rsidR="00A74C68" w:rsidRPr="00471CBA" w:rsidRDefault="00A74C68" w:rsidP="00F36B82">
            <w:pPr>
              <w:spacing w:line="216" w:lineRule="auto"/>
              <w:rPr>
                <w:b/>
                <w:bCs/>
                <w:color w:val="000000"/>
                <w:sz w:val="15"/>
                <w:szCs w:val="15"/>
                <w:lang w:eastAsia="tr-TR"/>
              </w:rPr>
            </w:pPr>
            <w:r w:rsidRPr="00471CBA">
              <w:rPr>
                <w:b/>
                <w:bCs/>
                <w:color w:val="000000"/>
                <w:sz w:val="15"/>
                <w:szCs w:val="15"/>
                <w:lang w:eastAsia="tr-TR"/>
              </w:rPr>
              <w:t>ÇEKİRDEK SERMAYE</w:t>
            </w:r>
          </w:p>
        </w:tc>
        <w:tc>
          <w:tcPr>
            <w:tcW w:w="372" w:type="pct"/>
            <w:tcBorders>
              <w:bottom w:val="single" w:sz="4" w:space="0" w:color="auto"/>
            </w:tcBorders>
            <w:noWrap/>
            <w:vAlign w:val="bottom"/>
            <w:hideMark/>
          </w:tcPr>
          <w:p w14:paraId="403C8010" w14:textId="77777777" w:rsidR="00A74C68" w:rsidRPr="00471CBA" w:rsidRDefault="00A74C68" w:rsidP="00F36B82">
            <w:pPr>
              <w:spacing w:line="216" w:lineRule="auto"/>
              <w:jc w:val="right"/>
              <w:rPr>
                <w:b/>
                <w:bCs/>
                <w:color w:val="000000"/>
                <w:sz w:val="15"/>
                <w:szCs w:val="15"/>
                <w:lang w:eastAsia="tr-TR"/>
              </w:rPr>
            </w:pPr>
            <w:r w:rsidRPr="00471CBA">
              <w:rPr>
                <w:b/>
                <w:bCs/>
                <w:color w:val="000000"/>
                <w:sz w:val="15"/>
                <w:szCs w:val="15"/>
                <w:lang w:eastAsia="tr-TR"/>
              </w:rPr>
              <w:t> </w:t>
            </w:r>
          </w:p>
        </w:tc>
        <w:tc>
          <w:tcPr>
            <w:tcW w:w="561" w:type="pct"/>
            <w:tcBorders>
              <w:bottom w:val="single" w:sz="4" w:space="0" w:color="auto"/>
            </w:tcBorders>
            <w:noWrap/>
            <w:vAlign w:val="bottom"/>
            <w:hideMark/>
          </w:tcPr>
          <w:p w14:paraId="6C09C99D" w14:textId="77777777" w:rsidR="00A74C68" w:rsidRPr="00471CBA" w:rsidRDefault="00A74C68" w:rsidP="00F36B82">
            <w:pPr>
              <w:spacing w:line="216" w:lineRule="auto"/>
              <w:jc w:val="right"/>
              <w:rPr>
                <w:b/>
                <w:bCs/>
                <w:color w:val="000000"/>
                <w:sz w:val="15"/>
                <w:szCs w:val="15"/>
                <w:lang w:eastAsia="tr-TR"/>
              </w:rPr>
            </w:pPr>
            <w:r w:rsidRPr="00471CBA">
              <w:rPr>
                <w:b/>
                <w:bCs/>
                <w:color w:val="000000"/>
                <w:sz w:val="15"/>
                <w:szCs w:val="15"/>
                <w:lang w:eastAsia="tr-TR"/>
              </w:rPr>
              <w:t> </w:t>
            </w:r>
          </w:p>
        </w:tc>
      </w:tr>
      <w:tr w:rsidR="00A74C68" w:rsidRPr="00471CBA" w14:paraId="5610195E" w14:textId="77777777" w:rsidTr="00F36B82">
        <w:trPr>
          <w:divId w:val="5913244"/>
          <w:trHeight w:val="170"/>
        </w:trPr>
        <w:tc>
          <w:tcPr>
            <w:tcW w:w="4066" w:type="pct"/>
            <w:tcBorders>
              <w:top w:val="single" w:sz="4" w:space="0" w:color="auto"/>
            </w:tcBorders>
            <w:vAlign w:val="center"/>
            <w:hideMark/>
          </w:tcPr>
          <w:p w14:paraId="67285587" w14:textId="77777777" w:rsidR="00A74C68" w:rsidRPr="00471CBA" w:rsidRDefault="00A74C68" w:rsidP="00F36B82">
            <w:pPr>
              <w:spacing w:line="216" w:lineRule="auto"/>
              <w:rPr>
                <w:color w:val="000000"/>
                <w:sz w:val="15"/>
                <w:szCs w:val="15"/>
                <w:lang w:eastAsia="tr-TR"/>
              </w:rPr>
            </w:pPr>
            <w:r w:rsidRPr="00471CBA">
              <w:rPr>
                <w:color w:val="000000"/>
                <w:sz w:val="15"/>
                <w:szCs w:val="15"/>
                <w:lang w:eastAsia="tr-TR"/>
              </w:rPr>
              <w:t>Bankanın tasfiyesi halinde alacak hakkı açısından diğer tüm alacaklardan sonra gelen ödenmiş sermaye</w:t>
            </w:r>
          </w:p>
        </w:tc>
        <w:tc>
          <w:tcPr>
            <w:tcW w:w="372" w:type="pct"/>
            <w:tcBorders>
              <w:top w:val="single" w:sz="4" w:space="0" w:color="auto"/>
            </w:tcBorders>
            <w:vAlign w:val="bottom"/>
            <w:hideMark/>
          </w:tcPr>
          <w:p w14:paraId="1165FCB4"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7.272.337</w:t>
            </w:r>
          </w:p>
        </w:tc>
        <w:tc>
          <w:tcPr>
            <w:tcW w:w="561" w:type="pct"/>
            <w:tcBorders>
              <w:top w:val="single" w:sz="4" w:space="0" w:color="auto"/>
            </w:tcBorders>
            <w:vAlign w:val="bottom"/>
            <w:hideMark/>
          </w:tcPr>
          <w:p w14:paraId="109C4502"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5.999.337</w:t>
            </w:r>
          </w:p>
        </w:tc>
      </w:tr>
      <w:tr w:rsidR="00A74C68" w:rsidRPr="00471CBA" w14:paraId="4D59F95F" w14:textId="77777777" w:rsidTr="00F36B82">
        <w:trPr>
          <w:divId w:val="5913244"/>
          <w:trHeight w:val="170"/>
        </w:trPr>
        <w:tc>
          <w:tcPr>
            <w:tcW w:w="4066" w:type="pct"/>
            <w:vAlign w:val="center"/>
            <w:hideMark/>
          </w:tcPr>
          <w:p w14:paraId="42AA1B77" w14:textId="77777777" w:rsidR="00A74C68" w:rsidRPr="00471CBA" w:rsidRDefault="00A74C68" w:rsidP="00F36B82">
            <w:pPr>
              <w:spacing w:line="216" w:lineRule="auto"/>
              <w:rPr>
                <w:color w:val="000000"/>
                <w:sz w:val="15"/>
                <w:szCs w:val="15"/>
                <w:lang w:eastAsia="tr-TR"/>
              </w:rPr>
            </w:pPr>
            <w:r w:rsidRPr="00471CBA">
              <w:rPr>
                <w:color w:val="000000"/>
                <w:sz w:val="15"/>
                <w:szCs w:val="15"/>
                <w:lang w:eastAsia="tr-TR"/>
              </w:rPr>
              <w:t>Hisse senedi ihraç primleri</w:t>
            </w:r>
          </w:p>
        </w:tc>
        <w:tc>
          <w:tcPr>
            <w:tcW w:w="372" w:type="pct"/>
            <w:vAlign w:val="bottom"/>
            <w:hideMark/>
          </w:tcPr>
          <w:p w14:paraId="12EC88CA"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c>
          <w:tcPr>
            <w:tcW w:w="561" w:type="pct"/>
            <w:vAlign w:val="bottom"/>
            <w:hideMark/>
          </w:tcPr>
          <w:p w14:paraId="174857B8"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r>
      <w:tr w:rsidR="00A74C68" w:rsidRPr="00471CBA" w14:paraId="434B4E17" w14:textId="77777777" w:rsidTr="00F36B82">
        <w:trPr>
          <w:divId w:val="5913244"/>
          <w:trHeight w:val="170"/>
        </w:trPr>
        <w:tc>
          <w:tcPr>
            <w:tcW w:w="4066" w:type="pct"/>
            <w:vAlign w:val="center"/>
            <w:hideMark/>
          </w:tcPr>
          <w:p w14:paraId="0FC08EF3" w14:textId="77777777" w:rsidR="00A74C68" w:rsidRPr="00471CBA" w:rsidRDefault="00A74C68" w:rsidP="00F36B82">
            <w:pPr>
              <w:spacing w:line="216" w:lineRule="auto"/>
              <w:rPr>
                <w:color w:val="000000"/>
                <w:sz w:val="15"/>
                <w:szCs w:val="15"/>
                <w:lang w:eastAsia="tr-TR"/>
              </w:rPr>
            </w:pPr>
            <w:r w:rsidRPr="00471CBA">
              <w:rPr>
                <w:color w:val="000000"/>
                <w:sz w:val="15"/>
                <w:szCs w:val="15"/>
                <w:lang w:eastAsia="tr-TR"/>
              </w:rPr>
              <w:t>Yedek akçeler</w:t>
            </w:r>
          </w:p>
        </w:tc>
        <w:tc>
          <w:tcPr>
            <w:tcW w:w="372" w:type="pct"/>
            <w:vAlign w:val="bottom"/>
            <w:hideMark/>
          </w:tcPr>
          <w:p w14:paraId="6938C728" w14:textId="653A47C0" w:rsidR="00A74C68" w:rsidRPr="00471CBA" w:rsidRDefault="00A74C68" w:rsidP="00F36B82">
            <w:pPr>
              <w:spacing w:line="216" w:lineRule="auto"/>
              <w:jc w:val="right"/>
              <w:rPr>
                <w:color w:val="000000"/>
                <w:sz w:val="15"/>
                <w:szCs w:val="15"/>
                <w:lang w:eastAsia="tr-TR"/>
              </w:rPr>
            </w:pPr>
            <w:r w:rsidRPr="00C14CCE">
              <w:rPr>
                <w:color w:val="000000"/>
                <w:sz w:val="15"/>
                <w:szCs w:val="15"/>
                <w:lang w:eastAsia="tr-TR"/>
              </w:rPr>
              <w:t>67.59</w:t>
            </w:r>
            <w:r w:rsidR="008C23BF">
              <w:rPr>
                <w:color w:val="000000"/>
                <w:sz w:val="15"/>
                <w:szCs w:val="15"/>
                <w:lang w:eastAsia="tr-TR"/>
              </w:rPr>
              <w:t>4</w:t>
            </w:r>
          </w:p>
        </w:tc>
        <w:tc>
          <w:tcPr>
            <w:tcW w:w="561" w:type="pct"/>
            <w:vAlign w:val="bottom"/>
            <w:hideMark/>
          </w:tcPr>
          <w:p w14:paraId="423D434A"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r>
      <w:tr w:rsidR="00A74C68" w:rsidRPr="00471CBA" w14:paraId="39ACCE2C" w14:textId="77777777" w:rsidTr="00F36B82">
        <w:trPr>
          <w:divId w:val="5913244"/>
          <w:trHeight w:val="170"/>
        </w:trPr>
        <w:tc>
          <w:tcPr>
            <w:tcW w:w="4066" w:type="pct"/>
            <w:vAlign w:val="center"/>
            <w:hideMark/>
          </w:tcPr>
          <w:p w14:paraId="3AFFAAE3" w14:textId="77777777" w:rsidR="00A74C68" w:rsidRPr="00471CBA" w:rsidRDefault="00A74C68" w:rsidP="00F36B82">
            <w:pPr>
              <w:spacing w:line="216" w:lineRule="auto"/>
              <w:rPr>
                <w:color w:val="000000"/>
                <w:sz w:val="15"/>
                <w:szCs w:val="15"/>
                <w:lang w:eastAsia="tr-TR"/>
              </w:rPr>
            </w:pPr>
            <w:r w:rsidRPr="00471CBA">
              <w:rPr>
                <w:color w:val="000000"/>
                <w:sz w:val="15"/>
                <w:szCs w:val="15"/>
                <w:lang w:eastAsia="tr-TR"/>
              </w:rPr>
              <w:t>Türkiye Muhasebe Standartları (TMS) uyarınca özkaynaklara yansıtılan kazançlar</w:t>
            </w:r>
          </w:p>
        </w:tc>
        <w:tc>
          <w:tcPr>
            <w:tcW w:w="372" w:type="pct"/>
            <w:vAlign w:val="bottom"/>
            <w:hideMark/>
          </w:tcPr>
          <w:p w14:paraId="7D4B9AD5"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60.297</w:t>
            </w:r>
          </w:p>
        </w:tc>
        <w:tc>
          <w:tcPr>
            <w:tcW w:w="561" w:type="pct"/>
            <w:vAlign w:val="bottom"/>
            <w:hideMark/>
          </w:tcPr>
          <w:p w14:paraId="587FCB73"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8.303</w:t>
            </w:r>
          </w:p>
        </w:tc>
      </w:tr>
      <w:tr w:rsidR="00A74C68" w:rsidRPr="00471CBA" w14:paraId="38B11BF5" w14:textId="77777777" w:rsidTr="00F36B82">
        <w:trPr>
          <w:divId w:val="5913244"/>
          <w:trHeight w:val="170"/>
        </w:trPr>
        <w:tc>
          <w:tcPr>
            <w:tcW w:w="4066" w:type="pct"/>
            <w:vAlign w:val="center"/>
            <w:hideMark/>
          </w:tcPr>
          <w:p w14:paraId="356E4E31" w14:textId="77777777" w:rsidR="00A74C68" w:rsidRPr="00471CBA" w:rsidRDefault="00A74C68" w:rsidP="00F36B82">
            <w:pPr>
              <w:spacing w:line="216" w:lineRule="auto"/>
              <w:rPr>
                <w:color w:val="000000"/>
                <w:sz w:val="15"/>
                <w:szCs w:val="15"/>
                <w:lang w:eastAsia="tr-TR"/>
              </w:rPr>
            </w:pPr>
            <w:r w:rsidRPr="00471CBA">
              <w:rPr>
                <w:color w:val="000000"/>
                <w:sz w:val="15"/>
                <w:szCs w:val="15"/>
                <w:lang w:eastAsia="tr-TR"/>
              </w:rPr>
              <w:t>Kâr</w:t>
            </w:r>
          </w:p>
        </w:tc>
        <w:tc>
          <w:tcPr>
            <w:tcW w:w="372" w:type="pct"/>
            <w:vAlign w:val="bottom"/>
            <w:hideMark/>
          </w:tcPr>
          <w:p w14:paraId="63BA9054"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2.077.549</w:t>
            </w:r>
          </w:p>
        </w:tc>
        <w:tc>
          <w:tcPr>
            <w:tcW w:w="561" w:type="pct"/>
            <w:vAlign w:val="bottom"/>
            <w:hideMark/>
          </w:tcPr>
          <w:p w14:paraId="073FE141"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1.353.642</w:t>
            </w:r>
          </w:p>
        </w:tc>
      </w:tr>
      <w:tr w:rsidR="00A74C68" w:rsidRPr="00471CBA" w14:paraId="64DD790C" w14:textId="77777777" w:rsidTr="00F36B82">
        <w:trPr>
          <w:divId w:val="5913244"/>
          <w:trHeight w:val="170"/>
        </w:trPr>
        <w:tc>
          <w:tcPr>
            <w:tcW w:w="4066" w:type="pct"/>
            <w:vAlign w:val="center"/>
            <w:hideMark/>
          </w:tcPr>
          <w:p w14:paraId="7D8A5952" w14:textId="77777777" w:rsidR="00A74C68" w:rsidRPr="00471CBA" w:rsidRDefault="00A74C68" w:rsidP="00F36B82">
            <w:pPr>
              <w:spacing w:line="216" w:lineRule="auto"/>
              <w:ind w:firstLineChars="100" w:firstLine="150"/>
              <w:rPr>
                <w:color w:val="000000"/>
                <w:sz w:val="15"/>
                <w:szCs w:val="15"/>
                <w:lang w:eastAsia="tr-TR"/>
              </w:rPr>
            </w:pPr>
            <w:r w:rsidRPr="00471CBA">
              <w:rPr>
                <w:color w:val="000000"/>
                <w:sz w:val="15"/>
                <w:szCs w:val="15"/>
                <w:lang w:eastAsia="tr-TR"/>
              </w:rPr>
              <w:t>Net Dönem Kârı</w:t>
            </w:r>
          </w:p>
        </w:tc>
        <w:tc>
          <w:tcPr>
            <w:tcW w:w="372" w:type="pct"/>
            <w:vAlign w:val="bottom"/>
            <w:hideMark/>
          </w:tcPr>
          <w:p w14:paraId="3F919E64"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2.057.211</w:t>
            </w:r>
          </w:p>
        </w:tc>
        <w:tc>
          <w:tcPr>
            <w:tcW w:w="561" w:type="pct"/>
            <w:vAlign w:val="bottom"/>
            <w:hideMark/>
          </w:tcPr>
          <w:p w14:paraId="5076490E"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1.353.642</w:t>
            </w:r>
          </w:p>
        </w:tc>
      </w:tr>
      <w:tr w:rsidR="00A74C68" w:rsidRPr="00471CBA" w14:paraId="23F030B9" w14:textId="77777777" w:rsidTr="00F36B82">
        <w:trPr>
          <w:divId w:val="5913244"/>
          <w:trHeight w:val="170"/>
        </w:trPr>
        <w:tc>
          <w:tcPr>
            <w:tcW w:w="4066" w:type="pct"/>
            <w:vAlign w:val="center"/>
            <w:hideMark/>
          </w:tcPr>
          <w:p w14:paraId="1F79AED5" w14:textId="77777777" w:rsidR="00A74C68" w:rsidRPr="00471CBA" w:rsidRDefault="00A74C68" w:rsidP="00F36B82">
            <w:pPr>
              <w:spacing w:line="216" w:lineRule="auto"/>
              <w:ind w:firstLineChars="100" w:firstLine="150"/>
              <w:rPr>
                <w:color w:val="000000"/>
                <w:sz w:val="15"/>
                <w:szCs w:val="15"/>
                <w:lang w:eastAsia="tr-TR"/>
              </w:rPr>
            </w:pPr>
            <w:r w:rsidRPr="00471CBA">
              <w:rPr>
                <w:color w:val="000000"/>
                <w:sz w:val="15"/>
                <w:szCs w:val="15"/>
                <w:lang w:eastAsia="tr-TR"/>
              </w:rPr>
              <w:t>Geçmiş Yıllar Kârı</w:t>
            </w:r>
          </w:p>
        </w:tc>
        <w:tc>
          <w:tcPr>
            <w:tcW w:w="372" w:type="pct"/>
            <w:vAlign w:val="bottom"/>
            <w:hideMark/>
          </w:tcPr>
          <w:p w14:paraId="1A34E352"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20.338</w:t>
            </w:r>
          </w:p>
        </w:tc>
        <w:tc>
          <w:tcPr>
            <w:tcW w:w="561" w:type="pct"/>
            <w:vAlign w:val="bottom"/>
            <w:hideMark/>
          </w:tcPr>
          <w:p w14:paraId="7A016E44"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r>
      <w:tr w:rsidR="00A74C68" w:rsidRPr="00471CBA" w14:paraId="12F23FDA" w14:textId="77777777" w:rsidTr="00F36B82">
        <w:trPr>
          <w:divId w:val="5913244"/>
          <w:trHeight w:val="170"/>
        </w:trPr>
        <w:tc>
          <w:tcPr>
            <w:tcW w:w="4066" w:type="pct"/>
            <w:tcBorders>
              <w:bottom w:val="single" w:sz="4" w:space="0" w:color="auto"/>
            </w:tcBorders>
            <w:vAlign w:val="center"/>
            <w:hideMark/>
          </w:tcPr>
          <w:p w14:paraId="5089F329" w14:textId="77777777" w:rsidR="00A74C68" w:rsidRPr="00471CBA" w:rsidRDefault="00A74C68" w:rsidP="00F36B82">
            <w:pPr>
              <w:spacing w:line="216" w:lineRule="auto"/>
              <w:rPr>
                <w:color w:val="000000"/>
                <w:sz w:val="15"/>
                <w:szCs w:val="15"/>
                <w:lang w:eastAsia="tr-TR"/>
              </w:rPr>
            </w:pPr>
            <w:r w:rsidRPr="00471CBA">
              <w:rPr>
                <w:color w:val="000000"/>
                <w:sz w:val="15"/>
                <w:szCs w:val="15"/>
                <w:lang w:eastAsia="tr-TR"/>
              </w:rPr>
              <w:t>İştirakler, bağlı ortaklıklar ve birlikte kontrol edilen ortaklıklardan bedelsiz olarak edinilen ve dönem kârı içerisinde muhasebeleştirilmeyen hisseler</w:t>
            </w:r>
          </w:p>
        </w:tc>
        <w:tc>
          <w:tcPr>
            <w:tcW w:w="372" w:type="pct"/>
            <w:tcBorders>
              <w:bottom w:val="single" w:sz="4" w:space="0" w:color="auto"/>
            </w:tcBorders>
            <w:vAlign w:val="bottom"/>
            <w:hideMark/>
          </w:tcPr>
          <w:p w14:paraId="57425072"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c>
          <w:tcPr>
            <w:tcW w:w="561" w:type="pct"/>
            <w:tcBorders>
              <w:bottom w:val="single" w:sz="4" w:space="0" w:color="auto"/>
            </w:tcBorders>
            <w:vAlign w:val="bottom"/>
            <w:hideMark/>
          </w:tcPr>
          <w:p w14:paraId="26151C7A"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r>
      <w:tr w:rsidR="00A74C68" w:rsidRPr="00471CBA" w14:paraId="553DAD82" w14:textId="77777777" w:rsidTr="00F36B82">
        <w:trPr>
          <w:divId w:val="5913244"/>
          <w:trHeight w:val="170"/>
        </w:trPr>
        <w:tc>
          <w:tcPr>
            <w:tcW w:w="4066" w:type="pct"/>
            <w:tcBorders>
              <w:top w:val="single" w:sz="4" w:space="0" w:color="auto"/>
              <w:bottom w:val="single" w:sz="4" w:space="0" w:color="auto"/>
            </w:tcBorders>
            <w:vAlign w:val="center"/>
            <w:hideMark/>
          </w:tcPr>
          <w:p w14:paraId="72884544" w14:textId="77777777" w:rsidR="00A74C68" w:rsidRPr="00471CBA" w:rsidRDefault="00A74C68" w:rsidP="00F36B82">
            <w:pPr>
              <w:spacing w:line="216" w:lineRule="auto"/>
              <w:rPr>
                <w:b/>
                <w:bCs/>
                <w:color w:val="000000"/>
                <w:sz w:val="15"/>
                <w:szCs w:val="15"/>
                <w:lang w:eastAsia="tr-TR"/>
              </w:rPr>
            </w:pPr>
            <w:r w:rsidRPr="00471CBA">
              <w:rPr>
                <w:b/>
                <w:bCs/>
                <w:color w:val="000000"/>
                <w:sz w:val="15"/>
                <w:szCs w:val="15"/>
                <w:lang w:eastAsia="tr-TR"/>
              </w:rPr>
              <w:t>İndirimler Öncesi Çekirdek Sermaye</w:t>
            </w:r>
          </w:p>
        </w:tc>
        <w:tc>
          <w:tcPr>
            <w:tcW w:w="372" w:type="pct"/>
            <w:tcBorders>
              <w:top w:val="single" w:sz="4" w:space="0" w:color="auto"/>
              <w:bottom w:val="single" w:sz="4" w:space="0" w:color="auto"/>
            </w:tcBorders>
            <w:vAlign w:val="bottom"/>
            <w:hideMark/>
          </w:tcPr>
          <w:p w14:paraId="70D62EF2" w14:textId="77777777" w:rsidR="00A74C68" w:rsidRPr="00471CBA" w:rsidRDefault="00A74C68" w:rsidP="00F36B82">
            <w:pPr>
              <w:spacing w:line="216" w:lineRule="auto"/>
              <w:jc w:val="right"/>
              <w:rPr>
                <w:b/>
                <w:bCs/>
                <w:color w:val="000000"/>
                <w:sz w:val="15"/>
                <w:szCs w:val="15"/>
                <w:lang w:eastAsia="tr-TR"/>
              </w:rPr>
            </w:pPr>
            <w:r w:rsidRPr="00471CBA">
              <w:rPr>
                <w:b/>
                <w:bCs/>
                <w:color w:val="000000"/>
                <w:sz w:val="15"/>
                <w:szCs w:val="15"/>
                <w:lang w:eastAsia="tr-TR"/>
              </w:rPr>
              <w:t>9.477.778</w:t>
            </w:r>
          </w:p>
        </w:tc>
        <w:tc>
          <w:tcPr>
            <w:tcW w:w="561" w:type="pct"/>
            <w:tcBorders>
              <w:top w:val="single" w:sz="4" w:space="0" w:color="auto"/>
              <w:bottom w:val="single" w:sz="4" w:space="0" w:color="auto"/>
            </w:tcBorders>
            <w:vAlign w:val="bottom"/>
            <w:hideMark/>
          </w:tcPr>
          <w:p w14:paraId="63D3F3D2" w14:textId="77777777" w:rsidR="00A74C68" w:rsidRPr="00471CBA" w:rsidRDefault="00A74C68" w:rsidP="00F36B82">
            <w:pPr>
              <w:spacing w:line="216" w:lineRule="auto"/>
              <w:jc w:val="right"/>
              <w:rPr>
                <w:b/>
                <w:bCs/>
                <w:color w:val="000000"/>
                <w:sz w:val="15"/>
                <w:szCs w:val="15"/>
                <w:lang w:eastAsia="tr-TR"/>
              </w:rPr>
            </w:pPr>
            <w:r w:rsidRPr="00471CBA">
              <w:rPr>
                <w:b/>
                <w:bCs/>
                <w:color w:val="000000"/>
                <w:sz w:val="15"/>
                <w:szCs w:val="15"/>
                <w:lang w:eastAsia="tr-TR"/>
              </w:rPr>
              <w:t>7.361.282</w:t>
            </w:r>
          </w:p>
        </w:tc>
      </w:tr>
      <w:tr w:rsidR="00A74C68" w:rsidRPr="00471CBA" w14:paraId="57BF6E01" w14:textId="77777777" w:rsidTr="00F36B82">
        <w:trPr>
          <w:divId w:val="5913244"/>
          <w:trHeight w:val="170"/>
        </w:trPr>
        <w:tc>
          <w:tcPr>
            <w:tcW w:w="4066" w:type="pct"/>
            <w:tcBorders>
              <w:top w:val="single" w:sz="4" w:space="0" w:color="auto"/>
              <w:bottom w:val="single" w:sz="4" w:space="0" w:color="auto"/>
            </w:tcBorders>
            <w:vAlign w:val="center"/>
            <w:hideMark/>
          </w:tcPr>
          <w:p w14:paraId="3A36357C" w14:textId="77777777" w:rsidR="00A74C68" w:rsidRPr="00471CBA" w:rsidRDefault="00A74C68" w:rsidP="00F36B82">
            <w:pPr>
              <w:spacing w:line="216" w:lineRule="auto"/>
              <w:rPr>
                <w:b/>
                <w:bCs/>
                <w:color w:val="000000"/>
                <w:sz w:val="15"/>
                <w:szCs w:val="15"/>
                <w:lang w:eastAsia="tr-TR"/>
              </w:rPr>
            </w:pPr>
            <w:r w:rsidRPr="00471CBA">
              <w:rPr>
                <w:b/>
                <w:bCs/>
                <w:color w:val="000000"/>
                <w:sz w:val="15"/>
                <w:szCs w:val="15"/>
                <w:lang w:eastAsia="tr-TR"/>
              </w:rPr>
              <w:t>Çekirdek Sermayeden Yapılacak İndirimler</w:t>
            </w:r>
          </w:p>
        </w:tc>
        <w:tc>
          <w:tcPr>
            <w:tcW w:w="372" w:type="pct"/>
            <w:tcBorders>
              <w:top w:val="single" w:sz="4" w:space="0" w:color="auto"/>
              <w:bottom w:val="single" w:sz="4" w:space="0" w:color="auto"/>
            </w:tcBorders>
            <w:vAlign w:val="bottom"/>
            <w:hideMark/>
          </w:tcPr>
          <w:p w14:paraId="4CAEA70B" w14:textId="77777777" w:rsidR="00A74C68" w:rsidRPr="00471CBA" w:rsidRDefault="00A74C68" w:rsidP="00F36B82">
            <w:pPr>
              <w:spacing w:line="216" w:lineRule="auto"/>
              <w:jc w:val="right"/>
              <w:rPr>
                <w:b/>
                <w:bCs/>
                <w:color w:val="000000"/>
                <w:sz w:val="15"/>
                <w:szCs w:val="15"/>
                <w:lang w:eastAsia="tr-TR"/>
              </w:rPr>
            </w:pPr>
            <w:r w:rsidRPr="00471CBA">
              <w:rPr>
                <w:b/>
                <w:bCs/>
                <w:color w:val="000000"/>
                <w:sz w:val="15"/>
                <w:szCs w:val="15"/>
                <w:lang w:eastAsia="tr-TR"/>
              </w:rPr>
              <w:t> </w:t>
            </w:r>
          </w:p>
        </w:tc>
        <w:tc>
          <w:tcPr>
            <w:tcW w:w="561" w:type="pct"/>
            <w:tcBorders>
              <w:top w:val="single" w:sz="4" w:space="0" w:color="auto"/>
              <w:bottom w:val="single" w:sz="4" w:space="0" w:color="auto"/>
            </w:tcBorders>
            <w:vAlign w:val="bottom"/>
            <w:hideMark/>
          </w:tcPr>
          <w:p w14:paraId="634B3865" w14:textId="77777777" w:rsidR="00A74C68" w:rsidRPr="00471CBA" w:rsidRDefault="00A74C68" w:rsidP="00F36B82">
            <w:pPr>
              <w:spacing w:line="216" w:lineRule="auto"/>
              <w:jc w:val="right"/>
              <w:rPr>
                <w:b/>
                <w:bCs/>
                <w:color w:val="000000"/>
                <w:sz w:val="15"/>
                <w:szCs w:val="15"/>
                <w:lang w:eastAsia="tr-TR"/>
              </w:rPr>
            </w:pPr>
            <w:r w:rsidRPr="00471CBA">
              <w:rPr>
                <w:b/>
                <w:bCs/>
                <w:color w:val="000000"/>
                <w:sz w:val="15"/>
                <w:szCs w:val="15"/>
                <w:lang w:eastAsia="tr-TR"/>
              </w:rPr>
              <w:t> </w:t>
            </w:r>
          </w:p>
        </w:tc>
      </w:tr>
      <w:tr w:rsidR="00A74C68" w:rsidRPr="00471CBA" w14:paraId="21291331" w14:textId="77777777" w:rsidTr="00F36B82">
        <w:trPr>
          <w:divId w:val="5913244"/>
          <w:trHeight w:val="170"/>
        </w:trPr>
        <w:tc>
          <w:tcPr>
            <w:tcW w:w="4066" w:type="pct"/>
            <w:tcBorders>
              <w:top w:val="single" w:sz="4" w:space="0" w:color="auto"/>
            </w:tcBorders>
            <w:vAlign w:val="center"/>
            <w:hideMark/>
          </w:tcPr>
          <w:p w14:paraId="65EC0B1B" w14:textId="77777777" w:rsidR="00A74C68" w:rsidRPr="00471CBA" w:rsidRDefault="00A74C68" w:rsidP="00F36B82">
            <w:pPr>
              <w:spacing w:line="216" w:lineRule="auto"/>
              <w:rPr>
                <w:color w:val="000000"/>
                <w:sz w:val="15"/>
                <w:szCs w:val="15"/>
                <w:lang w:eastAsia="tr-TR"/>
              </w:rPr>
            </w:pPr>
            <w:r w:rsidRPr="00471CBA">
              <w:rPr>
                <w:color w:val="000000"/>
                <w:sz w:val="15"/>
                <w:szCs w:val="15"/>
                <w:lang w:eastAsia="tr-TR"/>
              </w:rPr>
              <w:t>Bankaların Özkaynaklarına İlişkin Yönetmeliğin 9 uncu maddesinin birinci fıkrasının (i) bendi uyarınca hesaplanan değerleme ayarlamaları</w:t>
            </w:r>
          </w:p>
        </w:tc>
        <w:tc>
          <w:tcPr>
            <w:tcW w:w="372" w:type="pct"/>
            <w:tcBorders>
              <w:top w:val="single" w:sz="4" w:space="0" w:color="auto"/>
            </w:tcBorders>
            <w:vAlign w:val="bottom"/>
            <w:hideMark/>
          </w:tcPr>
          <w:p w14:paraId="2B72F67B"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c>
          <w:tcPr>
            <w:tcW w:w="561" w:type="pct"/>
            <w:tcBorders>
              <w:top w:val="single" w:sz="4" w:space="0" w:color="auto"/>
            </w:tcBorders>
            <w:vAlign w:val="bottom"/>
            <w:hideMark/>
          </w:tcPr>
          <w:p w14:paraId="7466A732"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r>
      <w:tr w:rsidR="00A74C68" w:rsidRPr="00471CBA" w14:paraId="46A7317F" w14:textId="77777777" w:rsidTr="00F36B82">
        <w:trPr>
          <w:divId w:val="5913244"/>
          <w:trHeight w:val="170"/>
        </w:trPr>
        <w:tc>
          <w:tcPr>
            <w:tcW w:w="4066" w:type="pct"/>
            <w:vAlign w:val="center"/>
            <w:hideMark/>
          </w:tcPr>
          <w:p w14:paraId="3FD1F32D" w14:textId="77777777" w:rsidR="00A74C68" w:rsidRPr="00471CBA" w:rsidRDefault="00A74C68" w:rsidP="00F36B82">
            <w:pPr>
              <w:spacing w:line="216" w:lineRule="auto"/>
              <w:rPr>
                <w:color w:val="000000"/>
                <w:sz w:val="15"/>
                <w:szCs w:val="15"/>
                <w:lang w:eastAsia="tr-TR"/>
              </w:rPr>
            </w:pPr>
            <w:r w:rsidRPr="00471CBA">
              <w:rPr>
                <w:color w:val="000000"/>
                <w:sz w:val="15"/>
                <w:szCs w:val="15"/>
                <w:lang w:eastAsia="tr-TR"/>
              </w:rPr>
              <w:t>Net dönem zararı ile geçmiş yıllar zararı toplamının yedek akçelerle karşılanamayan kısmı ile TMS uyarınca özkaynaklara yansıtılan kayıplar</w:t>
            </w:r>
          </w:p>
        </w:tc>
        <w:tc>
          <w:tcPr>
            <w:tcW w:w="372" w:type="pct"/>
            <w:vAlign w:val="bottom"/>
            <w:hideMark/>
          </w:tcPr>
          <w:p w14:paraId="746ADDE9"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4.522</w:t>
            </w:r>
          </w:p>
        </w:tc>
        <w:tc>
          <w:tcPr>
            <w:tcW w:w="561" w:type="pct"/>
            <w:vAlign w:val="bottom"/>
            <w:hideMark/>
          </w:tcPr>
          <w:p w14:paraId="42D0284F"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19.192</w:t>
            </w:r>
          </w:p>
        </w:tc>
      </w:tr>
      <w:tr w:rsidR="00A74C68" w:rsidRPr="00471CBA" w14:paraId="6DC9E8AC" w14:textId="77777777" w:rsidTr="00F36B82">
        <w:trPr>
          <w:divId w:val="5913244"/>
          <w:trHeight w:val="170"/>
        </w:trPr>
        <w:tc>
          <w:tcPr>
            <w:tcW w:w="4066" w:type="pct"/>
            <w:vAlign w:val="center"/>
            <w:hideMark/>
          </w:tcPr>
          <w:p w14:paraId="1722A3F7" w14:textId="77777777" w:rsidR="00A74C68" w:rsidRPr="00471CBA" w:rsidRDefault="00A74C68" w:rsidP="00F36B82">
            <w:pPr>
              <w:spacing w:line="216" w:lineRule="auto"/>
              <w:rPr>
                <w:color w:val="000000"/>
                <w:sz w:val="15"/>
                <w:szCs w:val="15"/>
                <w:lang w:eastAsia="tr-TR"/>
              </w:rPr>
            </w:pPr>
            <w:r w:rsidRPr="00471CBA">
              <w:rPr>
                <w:color w:val="000000"/>
                <w:sz w:val="15"/>
                <w:szCs w:val="15"/>
                <w:lang w:eastAsia="tr-TR"/>
              </w:rPr>
              <w:t>Faaliyet kiralaması geliştirme maliyetleri</w:t>
            </w:r>
          </w:p>
        </w:tc>
        <w:tc>
          <w:tcPr>
            <w:tcW w:w="372" w:type="pct"/>
            <w:vAlign w:val="bottom"/>
            <w:hideMark/>
          </w:tcPr>
          <w:p w14:paraId="26F8F181"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250.615</w:t>
            </w:r>
          </w:p>
        </w:tc>
        <w:tc>
          <w:tcPr>
            <w:tcW w:w="561" w:type="pct"/>
            <w:vAlign w:val="bottom"/>
            <w:hideMark/>
          </w:tcPr>
          <w:p w14:paraId="3755B33C"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147.382</w:t>
            </w:r>
          </w:p>
        </w:tc>
      </w:tr>
      <w:tr w:rsidR="00A74C68" w:rsidRPr="00471CBA" w14:paraId="60CA4216" w14:textId="77777777" w:rsidTr="00F36B82">
        <w:trPr>
          <w:divId w:val="5913244"/>
          <w:trHeight w:val="170"/>
        </w:trPr>
        <w:tc>
          <w:tcPr>
            <w:tcW w:w="4066" w:type="pct"/>
            <w:vAlign w:val="center"/>
            <w:hideMark/>
          </w:tcPr>
          <w:p w14:paraId="75F0138E" w14:textId="77777777" w:rsidR="00A74C68" w:rsidRPr="00471CBA" w:rsidRDefault="00A74C68" w:rsidP="00F36B82">
            <w:pPr>
              <w:spacing w:line="216" w:lineRule="auto"/>
              <w:rPr>
                <w:color w:val="000000"/>
                <w:sz w:val="15"/>
                <w:szCs w:val="15"/>
                <w:lang w:eastAsia="tr-TR"/>
              </w:rPr>
            </w:pPr>
            <w:r w:rsidRPr="00471CBA">
              <w:rPr>
                <w:color w:val="000000"/>
                <w:sz w:val="15"/>
                <w:szCs w:val="15"/>
                <w:lang w:eastAsia="tr-TR"/>
              </w:rPr>
              <w:t>İlgili ertelenmiş vergi yükümlülüğü ile mahsup edildikten sonra kalan şerefiye</w:t>
            </w:r>
          </w:p>
        </w:tc>
        <w:tc>
          <w:tcPr>
            <w:tcW w:w="372" w:type="pct"/>
            <w:vAlign w:val="bottom"/>
            <w:hideMark/>
          </w:tcPr>
          <w:p w14:paraId="162B1F35"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c>
          <w:tcPr>
            <w:tcW w:w="561" w:type="pct"/>
            <w:vAlign w:val="bottom"/>
            <w:hideMark/>
          </w:tcPr>
          <w:p w14:paraId="0F58E808"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r>
      <w:tr w:rsidR="00A74C68" w:rsidRPr="00471CBA" w14:paraId="7A8ADCC0" w14:textId="77777777" w:rsidTr="00F36B82">
        <w:trPr>
          <w:divId w:val="5913244"/>
          <w:trHeight w:val="170"/>
        </w:trPr>
        <w:tc>
          <w:tcPr>
            <w:tcW w:w="4066" w:type="pct"/>
            <w:vAlign w:val="center"/>
            <w:hideMark/>
          </w:tcPr>
          <w:p w14:paraId="4A563543" w14:textId="77777777" w:rsidR="00A74C68" w:rsidRPr="00471CBA" w:rsidRDefault="00A74C68" w:rsidP="00F36B82">
            <w:pPr>
              <w:spacing w:line="216" w:lineRule="auto"/>
              <w:rPr>
                <w:color w:val="000000"/>
                <w:sz w:val="15"/>
                <w:szCs w:val="15"/>
                <w:lang w:eastAsia="tr-TR"/>
              </w:rPr>
            </w:pPr>
            <w:r w:rsidRPr="00471CBA">
              <w:rPr>
                <w:color w:val="000000"/>
                <w:sz w:val="15"/>
                <w:szCs w:val="15"/>
                <w:lang w:eastAsia="tr-TR"/>
              </w:rPr>
              <w:t>İpotek hizmeti sunma hakları hariç olmak üzere ilgili ertelenmiş vergi yükümlülüğü ile mahsup edildikten sonra kalan diğer maddi olmayan duran varlıklar</w:t>
            </w:r>
          </w:p>
        </w:tc>
        <w:tc>
          <w:tcPr>
            <w:tcW w:w="372" w:type="pct"/>
            <w:vAlign w:val="bottom"/>
            <w:hideMark/>
          </w:tcPr>
          <w:p w14:paraId="68461B10"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457.991</w:t>
            </w:r>
          </w:p>
        </w:tc>
        <w:tc>
          <w:tcPr>
            <w:tcW w:w="561" w:type="pct"/>
            <w:vAlign w:val="bottom"/>
            <w:hideMark/>
          </w:tcPr>
          <w:p w14:paraId="648918D7"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212.558</w:t>
            </w:r>
          </w:p>
        </w:tc>
      </w:tr>
      <w:tr w:rsidR="00A74C68" w:rsidRPr="00471CBA" w14:paraId="581D1EC7" w14:textId="77777777" w:rsidTr="00F36B82">
        <w:trPr>
          <w:divId w:val="5913244"/>
          <w:trHeight w:val="170"/>
        </w:trPr>
        <w:tc>
          <w:tcPr>
            <w:tcW w:w="4066" w:type="pct"/>
            <w:vAlign w:val="center"/>
            <w:hideMark/>
          </w:tcPr>
          <w:p w14:paraId="3C439A20" w14:textId="77777777" w:rsidR="00A74C68" w:rsidRPr="00471CBA" w:rsidRDefault="00A74C68" w:rsidP="00F36B82">
            <w:pPr>
              <w:spacing w:line="216" w:lineRule="auto"/>
              <w:rPr>
                <w:color w:val="000000"/>
                <w:sz w:val="15"/>
                <w:szCs w:val="15"/>
                <w:lang w:eastAsia="tr-TR"/>
              </w:rPr>
            </w:pPr>
            <w:r w:rsidRPr="00471CBA">
              <w:rPr>
                <w:color w:val="000000"/>
                <w:sz w:val="15"/>
                <w:szCs w:val="15"/>
                <w:lang w:eastAsia="tr-TR"/>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372" w:type="pct"/>
            <w:vAlign w:val="bottom"/>
            <w:hideMark/>
          </w:tcPr>
          <w:p w14:paraId="087C9884"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c>
          <w:tcPr>
            <w:tcW w:w="561" w:type="pct"/>
            <w:vAlign w:val="bottom"/>
            <w:hideMark/>
          </w:tcPr>
          <w:p w14:paraId="2EF3C018"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r>
      <w:tr w:rsidR="00A74C68" w:rsidRPr="00471CBA" w14:paraId="7B06E4E5" w14:textId="77777777" w:rsidTr="00F36B82">
        <w:trPr>
          <w:divId w:val="5913244"/>
          <w:trHeight w:val="170"/>
        </w:trPr>
        <w:tc>
          <w:tcPr>
            <w:tcW w:w="4066" w:type="pct"/>
            <w:vAlign w:val="center"/>
            <w:hideMark/>
          </w:tcPr>
          <w:p w14:paraId="70328BC3" w14:textId="77777777" w:rsidR="00A74C68" w:rsidRPr="00471CBA" w:rsidRDefault="00A74C68" w:rsidP="00F36B82">
            <w:pPr>
              <w:spacing w:line="216" w:lineRule="auto"/>
              <w:rPr>
                <w:color w:val="000000"/>
                <w:sz w:val="15"/>
                <w:szCs w:val="15"/>
                <w:lang w:eastAsia="tr-TR"/>
              </w:rPr>
            </w:pPr>
            <w:r w:rsidRPr="00471CBA">
              <w:rPr>
                <w:color w:val="000000"/>
                <w:sz w:val="15"/>
                <w:szCs w:val="15"/>
                <w:lang w:eastAsia="tr-TR"/>
              </w:rPr>
              <w:t>Gerçeğe uygun değeri üzerinden izlenmeyen varlık veya yükümlülüklerin nakit akış riskinden korunma işlemine konu edilmesi halinde ortaya çıkan farklar</w:t>
            </w:r>
          </w:p>
        </w:tc>
        <w:tc>
          <w:tcPr>
            <w:tcW w:w="372" w:type="pct"/>
            <w:vAlign w:val="bottom"/>
            <w:hideMark/>
          </w:tcPr>
          <w:p w14:paraId="5E289F04"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c>
          <w:tcPr>
            <w:tcW w:w="561" w:type="pct"/>
            <w:vAlign w:val="bottom"/>
            <w:hideMark/>
          </w:tcPr>
          <w:p w14:paraId="57693AF0"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r>
      <w:tr w:rsidR="00A74C68" w:rsidRPr="00471CBA" w14:paraId="76A6EA86" w14:textId="77777777" w:rsidTr="00F36B82">
        <w:trPr>
          <w:divId w:val="5913244"/>
          <w:trHeight w:val="170"/>
        </w:trPr>
        <w:tc>
          <w:tcPr>
            <w:tcW w:w="4066" w:type="pct"/>
            <w:vAlign w:val="center"/>
            <w:hideMark/>
          </w:tcPr>
          <w:p w14:paraId="528831FB" w14:textId="77777777" w:rsidR="00A74C68" w:rsidRPr="00471CBA" w:rsidRDefault="00A74C68" w:rsidP="00F36B82">
            <w:pPr>
              <w:spacing w:line="216" w:lineRule="auto"/>
              <w:rPr>
                <w:color w:val="000000"/>
                <w:sz w:val="15"/>
                <w:szCs w:val="15"/>
                <w:lang w:eastAsia="tr-TR"/>
              </w:rPr>
            </w:pPr>
            <w:r w:rsidRPr="00471CBA">
              <w:rPr>
                <w:color w:val="000000"/>
                <w:sz w:val="15"/>
                <w:szCs w:val="15"/>
                <w:lang w:eastAsia="tr-TR"/>
              </w:rPr>
              <w:t>Kredi Riskine Esas Tutarın İçsel Derecelendirmeye Dayalı Yaklaşımlar ile Hesaplanmasına İlişkin Tebliğ uyarınca hesaplanan toplam beklenen kayıp tutarının, toplam karşılık tutarını aşan kısmı</w:t>
            </w:r>
          </w:p>
        </w:tc>
        <w:tc>
          <w:tcPr>
            <w:tcW w:w="372" w:type="pct"/>
            <w:vAlign w:val="bottom"/>
            <w:hideMark/>
          </w:tcPr>
          <w:p w14:paraId="4DF24FB6"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c>
          <w:tcPr>
            <w:tcW w:w="561" w:type="pct"/>
            <w:vAlign w:val="bottom"/>
            <w:hideMark/>
          </w:tcPr>
          <w:p w14:paraId="63E8D7AD"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r>
      <w:tr w:rsidR="00A74C68" w:rsidRPr="00471CBA" w14:paraId="3F8684CC" w14:textId="77777777" w:rsidTr="00F36B82">
        <w:trPr>
          <w:divId w:val="5913244"/>
          <w:trHeight w:val="170"/>
        </w:trPr>
        <w:tc>
          <w:tcPr>
            <w:tcW w:w="4066" w:type="pct"/>
            <w:vAlign w:val="center"/>
            <w:hideMark/>
          </w:tcPr>
          <w:p w14:paraId="7C801F58" w14:textId="77777777" w:rsidR="00A74C68" w:rsidRPr="00471CBA" w:rsidRDefault="00A74C68" w:rsidP="00F36B82">
            <w:pPr>
              <w:spacing w:line="216" w:lineRule="auto"/>
              <w:rPr>
                <w:color w:val="000000"/>
                <w:sz w:val="15"/>
                <w:szCs w:val="15"/>
                <w:lang w:eastAsia="tr-TR"/>
              </w:rPr>
            </w:pPr>
            <w:r w:rsidRPr="00471CBA">
              <w:rPr>
                <w:color w:val="000000"/>
                <w:sz w:val="15"/>
                <w:szCs w:val="15"/>
                <w:lang w:eastAsia="tr-TR"/>
              </w:rPr>
              <w:t>Menkul kıymetleştirme işlemlerinden kaynaklanan kazançlar</w:t>
            </w:r>
          </w:p>
        </w:tc>
        <w:tc>
          <w:tcPr>
            <w:tcW w:w="372" w:type="pct"/>
            <w:vAlign w:val="bottom"/>
            <w:hideMark/>
          </w:tcPr>
          <w:p w14:paraId="5A3F7F29"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c>
          <w:tcPr>
            <w:tcW w:w="561" w:type="pct"/>
            <w:vAlign w:val="bottom"/>
            <w:hideMark/>
          </w:tcPr>
          <w:p w14:paraId="50FE1C0A"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r>
      <w:tr w:rsidR="00A74C68" w:rsidRPr="00471CBA" w14:paraId="24D3632A" w14:textId="77777777" w:rsidTr="00F36B82">
        <w:trPr>
          <w:divId w:val="5913244"/>
          <w:trHeight w:val="170"/>
        </w:trPr>
        <w:tc>
          <w:tcPr>
            <w:tcW w:w="4066" w:type="pct"/>
            <w:vAlign w:val="center"/>
            <w:hideMark/>
          </w:tcPr>
          <w:p w14:paraId="26A165CB" w14:textId="77777777" w:rsidR="00A74C68" w:rsidRPr="00471CBA" w:rsidRDefault="00A74C68" w:rsidP="00F36B82">
            <w:pPr>
              <w:spacing w:line="216" w:lineRule="auto"/>
              <w:rPr>
                <w:color w:val="000000"/>
                <w:sz w:val="15"/>
                <w:szCs w:val="15"/>
                <w:lang w:eastAsia="tr-TR"/>
              </w:rPr>
            </w:pPr>
            <w:r w:rsidRPr="00471CBA">
              <w:rPr>
                <w:color w:val="000000"/>
                <w:sz w:val="15"/>
                <w:szCs w:val="15"/>
                <w:lang w:eastAsia="tr-TR"/>
              </w:rPr>
              <w:t>Bankanın yükümlülüklerinin gerçeğe uygun değerlerinde, kredi değerliliğindeki değişikliklere bağlı olarak oluşan farklar sonucu ortaya çıkan gerçekleşmemiş kazançlar ve kayıplar</w:t>
            </w:r>
          </w:p>
        </w:tc>
        <w:tc>
          <w:tcPr>
            <w:tcW w:w="372" w:type="pct"/>
            <w:vAlign w:val="bottom"/>
            <w:hideMark/>
          </w:tcPr>
          <w:p w14:paraId="18CAF4DD"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c>
          <w:tcPr>
            <w:tcW w:w="561" w:type="pct"/>
            <w:vAlign w:val="bottom"/>
            <w:hideMark/>
          </w:tcPr>
          <w:p w14:paraId="3D208D24"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r>
      <w:tr w:rsidR="00A74C68" w:rsidRPr="00471CBA" w14:paraId="150FB958" w14:textId="77777777" w:rsidTr="00F36B82">
        <w:trPr>
          <w:divId w:val="5913244"/>
          <w:trHeight w:val="170"/>
        </w:trPr>
        <w:tc>
          <w:tcPr>
            <w:tcW w:w="4066" w:type="pct"/>
            <w:vAlign w:val="center"/>
            <w:hideMark/>
          </w:tcPr>
          <w:p w14:paraId="5C9007DD" w14:textId="77777777" w:rsidR="00A74C68" w:rsidRPr="00471CBA" w:rsidRDefault="00A74C68" w:rsidP="00F36B82">
            <w:pPr>
              <w:spacing w:line="216" w:lineRule="auto"/>
              <w:rPr>
                <w:color w:val="000000"/>
                <w:sz w:val="15"/>
                <w:szCs w:val="15"/>
                <w:lang w:eastAsia="tr-TR"/>
              </w:rPr>
            </w:pPr>
            <w:r w:rsidRPr="00471CBA">
              <w:rPr>
                <w:color w:val="000000"/>
                <w:sz w:val="15"/>
                <w:szCs w:val="15"/>
                <w:lang w:eastAsia="tr-TR"/>
              </w:rPr>
              <w:t>Tanımlanmış fayda plan varlıklarının net tutarı</w:t>
            </w:r>
          </w:p>
        </w:tc>
        <w:tc>
          <w:tcPr>
            <w:tcW w:w="372" w:type="pct"/>
            <w:vAlign w:val="bottom"/>
            <w:hideMark/>
          </w:tcPr>
          <w:p w14:paraId="1C8A9FAD"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c>
          <w:tcPr>
            <w:tcW w:w="561" w:type="pct"/>
            <w:vAlign w:val="bottom"/>
            <w:hideMark/>
          </w:tcPr>
          <w:p w14:paraId="0D1C6307"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r>
      <w:tr w:rsidR="00A74C68" w:rsidRPr="00471CBA" w14:paraId="4D65D14B" w14:textId="77777777" w:rsidTr="00F36B82">
        <w:trPr>
          <w:divId w:val="5913244"/>
          <w:trHeight w:val="170"/>
        </w:trPr>
        <w:tc>
          <w:tcPr>
            <w:tcW w:w="4066" w:type="pct"/>
            <w:vAlign w:val="center"/>
            <w:hideMark/>
          </w:tcPr>
          <w:p w14:paraId="1746287B" w14:textId="77777777" w:rsidR="00A74C68" w:rsidRPr="00471CBA" w:rsidRDefault="00A74C68" w:rsidP="00F36B82">
            <w:pPr>
              <w:spacing w:line="216" w:lineRule="auto"/>
              <w:rPr>
                <w:color w:val="000000"/>
                <w:sz w:val="15"/>
                <w:szCs w:val="15"/>
                <w:lang w:eastAsia="tr-TR"/>
              </w:rPr>
            </w:pPr>
            <w:r w:rsidRPr="00471CBA">
              <w:rPr>
                <w:color w:val="000000"/>
                <w:sz w:val="15"/>
                <w:szCs w:val="15"/>
                <w:lang w:eastAsia="tr-TR"/>
              </w:rPr>
              <w:t>Bankanın kendi çekirdek sermayesine yapmış olduğu doğrudan veya dolaylı yatırımlar</w:t>
            </w:r>
          </w:p>
        </w:tc>
        <w:tc>
          <w:tcPr>
            <w:tcW w:w="372" w:type="pct"/>
            <w:vAlign w:val="bottom"/>
            <w:hideMark/>
          </w:tcPr>
          <w:p w14:paraId="798BC368"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c>
          <w:tcPr>
            <w:tcW w:w="561" w:type="pct"/>
            <w:vAlign w:val="bottom"/>
            <w:hideMark/>
          </w:tcPr>
          <w:p w14:paraId="01D46CFD"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r>
      <w:tr w:rsidR="00A74C68" w:rsidRPr="00471CBA" w14:paraId="6367BE1A" w14:textId="77777777" w:rsidTr="00F36B82">
        <w:trPr>
          <w:divId w:val="5913244"/>
          <w:trHeight w:val="170"/>
        </w:trPr>
        <w:tc>
          <w:tcPr>
            <w:tcW w:w="4066" w:type="pct"/>
            <w:vAlign w:val="center"/>
            <w:hideMark/>
          </w:tcPr>
          <w:p w14:paraId="561B0A9B" w14:textId="77777777" w:rsidR="00A74C68" w:rsidRPr="00471CBA" w:rsidRDefault="00A74C68" w:rsidP="00F36B82">
            <w:pPr>
              <w:spacing w:line="216" w:lineRule="auto"/>
              <w:rPr>
                <w:color w:val="000000"/>
                <w:sz w:val="15"/>
                <w:szCs w:val="15"/>
                <w:lang w:eastAsia="tr-TR"/>
              </w:rPr>
            </w:pPr>
            <w:r w:rsidRPr="00471CBA">
              <w:rPr>
                <w:color w:val="000000"/>
                <w:sz w:val="15"/>
                <w:szCs w:val="15"/>
                <w:lang w:eastAsia="tr-TR"/>
              </w:rPr>
              <w:t xml:space="preserve">Kanunun </w:t>
            </w:r>
            <w:proofErr w:type="gramStart"/>
            <w:r w:rsidRPr="00471CBA">
              <w:rPr>
                <w:color w:val="000000"/>
                <w:sz w:val="15"/>
                <w:szCs w:val="15"/>
                <w:lang w:eastAsia="tr-TR"/>
              </w:rPr>
              <w:t>56 ncı</w:t>
            </w:r>
            <w:proofErr w:type="gramEnd"/>
            <w:r w:rsidRPr="00471CBA">
              <w:rPr>
                <w:color w:val="000000"/>
                <w:sz w:val="15"/>
                <w:szCs w:val="15"/>
                <w:lang w:eastAsia="tr-TR"/>
              </w:rPr>
              <w:t xml:space="preserve"> maddesinin dördüncü fıkrasına aykırı olarak edinilen paylar</w:t>
            </w:r>
          </w:p>
        </w:tc>
        <w:tc>
          <w:tcPr>
            <w:tcW w:w="372" w:type="pct"/>
            <w:vAlign w:val="bottom"/>
            <w:hideMark/>
          </w:tcPr>
          <w:p w14:paraId="6672BD6A"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c>
          <w:tcPr>
            <w:tcW w:w="561" w:type="pct"/>
            <w:vAlign w:val="bottom"/>
            <w:hideMark/>
          </w:tcPr>
          <w:p w14:paraId="5AD974EE"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r>
      <w:tr w:rsidR="00A74C68" w:rsidRPr="00471CBA" w14:paraId="6DA080F0" w14:textId="77777777" w:rsidTr="00F36B82">
        <w:trPr>
          <w:divId w:val="5913244"/>
          <w:trHeight w:val="170"/>
        </w:trPr>
        <w:tc>
          <w:tcPr>
            <w:tcW w:w="4066" w:type="pct"/>
            <w:vAlign w:val="center"/>
            <w:hideMark/>
          </w:tcPr>
          <w:p w14:paraId="1DF4DE03" w14:textId="77777777" w:rsidR="00A74C68" w:rsidRPr="00471CBA" w:rsidRDefault="00A74C68" w:rsidP="00F36B82">
            <w:pPr>
              <w:spacing w:line="216" w:lineRule="auto"/>
              <w:rPr>
                <w:color w:val="000000"/>
                <w:sz w:val="15"/>
                <w:szCs w:val="15"/>
                <w:lang w:eastAsia="tr-TR"/>
              </w:rPr>
            </w:pPr>
            <w:r w:rsidRPr="00471CBA">
              <w:rPr>
                <w:color w:val="000000"/>
                <w:sz w:val="15"/>
                <w:szCs w:val="15"/>
                <w:lang w:eastAsia="tr-TR"/>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372" w:type="pct"/>
            <w:vAlign w:val="bottom"/>
            <w:hideMark/>
          </w:tcPr>
          <w:p w14:paraId="55F5E883"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c>
          <w:tcPr>
            <w:tcW w:w="561" w:type="pct"/>
            <w:vAlign w:val="bottom"/>
            <w:hideMark/>
          </w:tcPr>
          <w:p w14:paraId="55E5D81C"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r>
      <w:tr w:rsidR="00A74C68" w:rsidRPr="00471CBA" w14:paraId="5DE135E8" w14:textId="77777777" w:rsidTr="00F36B82">
        <w:trPr>
          <w:divId w:val="5913244"/>
          <w:trHeight w:val="170"/>
        </w:trPr>
        <w:tc>
          <w:tcPr>
            <w:tcW w:w="4066" w:type="pct"/>
            <w:vAlign w:val="center"/>
            <w:hideMark/>
          </w:tcPr>
          <w:p w14:paraId="417F5E10" w14:textId="77777777" w:rsidR="00A74C68" w:rsidRPr="00471CBA" w:rsidRDefault="00A74C68" w:rsidP="00F36B82">
            <w:pPr>
              <w:spacing w:line="216" w:lineRule="auto"/>
              <w:rPr>
                <w:color w:val="000000"/>
                <w:sz w:val="15"/>
                <w:szCs w:val="15"/>
                <w:lang w:eastAsia="tr-TR"/>
              </w:rPr>
            </w:pPr>
            <w:r w:rsidRPr="00471CBA">
              <w:rPr>
                <w:color w:val="000000"/>
                <w:sz w:val="15"/>
                <w:szCs w:val="15"/>
                <w:lang w:eastAsia="tr-TR"/>
              </w:rPr>
              <w:t>Ortaklık paylarının %10’dan daha fazlasına sahip olunan ve konsolide edilmeyen bankalar ve finansal kuruluşların çekirdek sermaye unsurlarına yapılan yatırımların net uzun pozisyonlarının çekirdek sermayenin %10’nunu aşan kısmı</w:t>
            </w:r>
          </w:p>
        </w:tc>
        <w:tc>
          <w:tcPr>
            <w:tcW w:w="372" w:type="pct"/>
            <w:vAlign w:val="bottom"/>
            <w:hideMark/>
          </w:tcPr>
          <w:p w14:paraId="4E4874C9"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c>
          <w:tcPr>
            <w:tcW w:w="561" w:type="pct"/>
            <w:vAlign w:val="bottom"/>
            <w:hideMark/>
          </w:tcPr>
          <w:p w14:paraId="4CB52F37"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r>
      <w:tr w:rsidR="00A74C68" w:rsidRPr="00471CBA" w14:paraId="259F44C2" w14:textId="77777777" w:rsidTr="00F36B82">
        <w:trPr>
          <w:divId w:val="5913244"/>
          <w:trHeight w:val="170"/>
        </w:trPr>
        <w:tc>
          <w:tcPr>
            <w:tcW w:w="4066" w:type="pct"/>
            <w:vAlign w:val="center"/>
            <w:hideMark/>
          </w:tcPr>
          <w:p w14:paraId="23DDF8D3" w14:textId="77777777" w:rsidR="00A74C68" w:rsidRPr="00471CBA" w:rsidRDefault="00A74C68" w:rsidP="00F36B82">
            <w:pPr>
              <w:spacing w:line="216" w:lineRule="auto"/>
              <w:rPr>
                <w:color w:val="000000"/>
                <w:sz w:val="15"/>
                <w:szCs w:val="15"/>
                <w:lang w:eastAsia="tr-TR"/>
              </w:rPr>
            </w:pPr>
            <w:r w:rsidRPr="00471CBA">
              <w:rPr>
                <w:color w:val="000000"/>
                <w:sz w:val="15"/>
                <w:szCs w:val="15"/>
                <w:lang w:eastAsia="tr-TR"/>
              </w:rPr>
              <w:t>İpotek hizmeti sunma haklarının çekirdek sermayenin %10’nunu aşan kısmı</w:t>
            </w:r>
          </w:p>
        </w:tc>
        <w:tc>
          <w:tcPr>
            <w:tcW w:w="372" w:type="pct"/>
            <w:vAlign w:val="bottom"/>
            <w:hideMark/>
          </w:tcPr>
          <w:p w14:paraId="159F6D94"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c>
          <w:tcPr>
            <w:tcW w:w="561" w:type="pct"/>
            <w:vAlign w:val="bottom"/>
            <w:hideMark/>
          </w:tcPr>
          <w:p w14:paraId="203B7FB7"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r>
      <w:tr w:rsidR="00A74C68" w:rsidRPr="00471CBA" w14:paraId="5B7EBC92" w14:textId="77777777" w:rsidTr="00F36B82">
        <w:trPr>
          <w:divId w:val="5913244"/>
          <w:trHeight w:val="170"/>
        </w:trPr>
        <w:tc>
          <w:tcPr>
            <w:tcW w:w="4066" w:type="pct"/>
            <w:noWrap/>
            <w:vAlign w:val="center"/>
            <w:hideMark/>
          </w:tcPr>
          <w:p w14:paraId="6A1D7F92" w14:textId="77777777" w:rsidR="00A74C68" w:rsidRPr="00471CBA" w:rsidRDefault="00A74C68" w:rsidP="00F36B82">
            <w:pPr>
              <w:spacing w:line="216" w:lineRule="auto"/>
              <w:rPr>
                <w:color w:val="000000"/>
                <w:sz w:val="15"/>
                <w:szCs w:val="15"/>
                <w:lang w:eastAsia="tr-TR"/>
              </w:rPr>
            </w:pPr>
            <w:r w:rsidRPr="00471CBA">
              <w:rPr>
                <w:color w:val="000000"/>
                <w:sz w:val="15"/>
                <w:szCs w:val="15"/>
                <w:lang w:eastAsia="tr-TR"/>
              </w:rPr>
              <w:t>Geçici farklara dayanan ertelenmiş vergi varlıklarının çekirdek sermayenin %10’nunu aşan kısmı</w:t>
            </w:r>
          </w:p>
        </w:tc>
        <w:tc>
          <w:tcPr>
            <w:tcW w:w="372" w:type="pct"/>
            <w:vAlign w:val="bottom"/>
            <w:hideMark/>
          </w:tcPr>
          <w:p w14:paraId="08B3ED9E"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c>
          <w:tcPr>
            <w:tcW w:w="561" w:type="pct"/>
            <w:vAlign w:val="bottom"/>
            <w:hideMark/>
          </w:tcPr>
          <w:p w14:paraId="79AF7740"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r>
      <w:tr w:rsidR="00A74C68" w:rsidRPr="00471CBA" w14:paraId="35E173DC" w14:textId="77777777" w:rsidTr="00F36B82">
        <w:trPr>
          <w:divId w:val="5913244"/>
          <w:trHeight w:val="170"/>
        </w:trPr>
        <w:tc>
          <w:tcPr>
            <w:tcW w:w="4066" w:type="pct"/>
            <w:vAlign w:val="center"/>
            <w:hideMark/>
          </w:tcPr>
          <w:p w14:paraId="281523A7" w14:textId="77777777" w:rsidR="00A74C68" w:rsidRPr="00471CBA" w:rsidRDefault="00A74C68" w:rsidP="00F36B82">
            <w:pPr>
              <w:spacing w:line="216" w:lineRule="auto"/>
              <w:rPr>
                <w:color w:val="000000"/>
                <w:sz w:val="15"/>
                <w:szCs w:val="15"/>
                <w:lang w:eastAsia="tr-TR"/>
              </w:rPr>
            </w:pPr>
            <w:r w:rsidRPr="00471CBA">
              <w:rPr>
                <w:color w:val="000000"/>
                <w:sz w:val="15"/>
                <w:szCs w:val="15"/>
                <w:lang w:eastAsia="tr-TR"/>
              </w:rPr>
              <w:t xml:space="preserve">Bankaların Özkaynaklarına İlişkin Yönetmeliğin Geçici </w:t>
            </w:r>
            <w:proofErr w:type="gramStart"/>
            <w:r w:rsidRPr="00471CBA">
              <w:rPr>
                <w:color w:val="000000"/>
                <w:sz w:val="15"/>
                <w:szCs w:val="15"/>
                <w:lang w:eastAsia="tr-TR"/>
              </w:rPr>
              <w:t>2 nci</w:t>
            </w:r>
            <w:proofErr w:type="gramEnd"/>
            <w:r w:rsidRPr="00471CBA">
              <w:rPr>
                <w:color w:val="000000"/>
                <w:sz w:val="15"/>
                <w:szCs w:val="15"/>
                <w:lang w:eastAsia="tr-TR"/>
              </w:rPr>
              <w:t xml:space="preserve"> maddesinin ikinci fıkrası uyarınca çekirdek sermayenin %15’ini aşan tutarlar</w:t>
            </w:r>
          </w:p>
        </w:tc>
        <w:tc>
          <w:tcPr>
            <w:tcW w:w="372" w:type="pct"/>
            <w:vAlign w:val="bottom"/>
            <w:hideMark/>
          </w:tcPr>
          <w:p w14:paraId="4E0585C0"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c>
          <w:tcPr>
            <w:tcW w:w="561" w:type="pct"/>
            <w:vAlign w:val="bottom"/>
            <w:hideMark/>
          </w:tcPr>
          <w:p w14:paraId="44E8E68C"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r>
      <w:tr w:rsidR="00A74C68" w:rsidRPr="00471CBA" w14:paraId="31CC8F56" w14:textId="77777777" w:rsidTr="00F36B82">
        <w:trPr>
          <w:divId w:val="5913244"/>
          <w:trHeight w:val="170"/>
        </w:trPr>
        <w:tc>
          <w:tcPr>
            <w:tcW w:w="4066" w:type="pct"/>
            <w:vAlign w:val="center"/>
            <w:hideMark/>
          </w:tcPr>
          <w:p w14:paraId="25268116" w14:textId="77777777" w:rsidR="00A74C68" w:rsidRPr="00471CBA" w:rsidRDefault="00A74C68" w:rsidP="00F36B82">
            <w:pPr>
              <w:spacing w:line="216" w:lineRule="auto"/>
              <w:rPr>
                <w:color w:val="000000"/>
                <w:sz w:val="15"/>
                <w:szCs w:val="15"/>
                <w:lang w:eastAsia="tr-TR"/>
              </w:rPr>
            </w:pPr>
            <w:r w:rsidRPr="00471CBA">
              <w:rPr>
                <w:color w:val="000000"/>
                <w:sz w:val="15"/>
                <w:szCs w:val="15"/>
                <w:lang w:eastAsia="tr-TR"/>
              </w:rPr>
              <w:t>Ortaklık paylarının %10’dan daha fazlasına sahip olunan ve konsolide edilmeyen bankalar ve finansal kuruluşların çekirdek sermaye unsurlarına yapılan yatırımların net uzun pozisyonlarından kaynaklanan aşım tutarı</w:t>
            </w:r>
          </w:p>
        </w:tc>
        <w:tc>
          <w:tcPr>
            <w:tcW w:w="372" w:type="pct"/>
            <w:vAlign w:val="bottom"/>
            <w:hideMark/>
          </w:tcPr>
          <w:p w14:paraId="5132EB61"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c>
          <w:tcPr>
            <w:tcW w:w="561" w:type="pct"/>
            <w:vAlign w:val="bottom"/>
            <w:hideMark/>
          </w:tcPr>
          <w:p w14:paraId="297CBF88"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r>
      <w:tr w:rsidR="00A74C68" w:rsidRPr="00471CBA" w14:paraId="44656EB4" w14:textId="77777777" w:rsidTr="00F36B82">
        <w:trPr>
          <w:divId w:val="5913244"/>
          <w:trHeight w:val="170"/>
        </w:trPr>
        <w:tc>
          <w:tcPr>
            <w:tcW w:w="4066" w:type="pct"/>
            <w:vAlign w:val="center"/>
            <w:hideMark/>
          </w:tcPr>
          <w:p w14:paraId="0FA3A24C" w14:textId="77777777" w:rsidR="00A74C68" w:rsidRPr="00471CBA" w:rsidRDefault="00A74C68" w:rsidP="00F36B82">
            <w:pPr>
              <w:spacing w:line="216" w:lineRule="auto"/>
              <w:rPr>
                <w:color w:val="000000"/>
                <w:sz w:val="15"/>
                <w:szCs w:val="15"/>
                <w:lang w:eastAsia="tr-TR"/>
              </w:rPr>
            </w:pPr>
            <w:r w:rsidRPr="00471CBA">
              <w:rPr>
                <w:color w:val="000000"/>
                <w:sz w:val="15"/>
                <w:szCs w:val="15"/>
                <w:lang w:eastAsia="tr-TR"/>
              </w:rPr>
              <w:t>İpotek hizmeti sunma haklarından kaynaklanan aşım tutarı</w:t>
            </w:r>
          </w:p>
        </w:tc>
        <w:tc>
          <w:tcPr>
            <w:tcW w:w="372" w:type="pct"/>
            <w:vAlign w:val="bottom"/>
            <w:hideMark/>
          </w:tcPr>
          <w:p w14:paraId="1395FF1A"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c>
          <w:tcPr>
            <w:tcW w:w="561" w:type="pct"/>
            <w:vAlign w:val="bottom"/>
            <w:hideMark/>
          </w:tcPr>
          <w:p w14:paraId="7C68327A"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r>
      <w:tr w:rsidR="00A74C68" w:rsidRPr="00471CBA" w14:paraId="19EFE746" w14:textId="77777777" w:rsidTr="00F36B82">
        <w:trPr>
          <w:divId w:val="5913244"/>
          <w:trHeight w:val="170"/>
        </w:trPr>
        <w:tc>
          <w:tcPr>
            <w:tcW w:w="4066" w:type="pct"/>
            <w:vAlign w:val="center"/>
            <w:hideMark/>
          </w:tcPr>
          <w:p w14:paraId="0254B6F4" w14:textId="77777777" w:rsidR="00A74C68" w:rsidRPr="00471CBA" w:rsidRDefault="00A74C68" w:rsidP="00F36B82">
            <w:pPr>
              <w:spacing w:line="216" w:lineRule="auto"/>
              <w:rPr>
                <w:color w:val="000000"/>
                <w:sz w:val="15"/>
                <w:szCs w:val="15"/>
                <w:lang w:eastAsia="tr-TR"/>
              </w:rPr>
            </w:pPr>
            <w:r w:rsidRPr="00471CBA">
              <w:rPr>
                <w:color w:val="000000"/>
                <w:sz w:val="15"/>
                <w:szCs w:val="15"/>
                <w:lang w:eastAsia="tr-TR"/>
              </w:rPr>
              <w:t>Geçici farklara dayanan ertelenmiş vergi varlıklarından kaynaklanan aşım tutarı</w:t>
            </w:r>
          </w:p>
        </w:tc>
        <w:tc>
          <w:tcPr>
            <w:tcW w:w="372" w:type="pct"/>
            <w:vAlign w:val="bottom"/>
            <w:hideMark/>
          </w:tcPr>
          <w:p w14:paraId="06FB4DAA"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c>
          <w:tcPr>
            <w:tcW w:w="561" w:type="pct"/>
            <w:vAlign w:val="bottom"/>
            <w:hideMark/>
          </w:tcPr>
          <w:p w14:paraId="71DF2DE0"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r>
      <w:tr w:rsidR="00A74C68" w:rsidRPr="00471CBA" w14:paraId="5EAAF07F" w14:textId="77777777" w:rsidTr="00F36B82">
        <w:trPr>
          <w:divId w:val="5913244"/>
          <w:trHeight w:val="170"/>
        </w:trPr>
        <w:tc>
          <w:tcPr>
            <w:tcW w:w="4066" w:type="pct"/>
            <w:vAlign w:val="center"/>
            <w:hideMark/>
          </w:tcPr>
          <w:p w14:paraId="23882B31" w14:textId="77777777" w:rsidR="00A74C68" w:rsidRPr="00471CBA" w:rsidRDefault="00A74C68" w:rsidP="00F36B82">
            <w:pPr>
              <w:spacing w:line="216" w:lineRule="auto"/>
              <w:rPr>
                <w:color w:val="000000"/>
                <w:sz w:val="15"/>
                <w:szCs w:val="15"/>
                <w:lang w:eastAsia="tr-TR"/>
              </w:rPr>
            </w:pPr>
            <w:r w:rsidRPr="00471CBA">
              <w:rPr>
                <w:color w:val="000000"/>
                <w:sz w:val="15"/>
                <w:szCs w:val="15"/>
                <w:lang w:eastAsia="tr-TR"/>
              </w:rPr>
              <w:t>Kurulca belirlenecek diğer kalemler</w:t>
            </w:r>
          </w:p>
        </w:tc>
        <w:tc>
          <w:tcPr>
            <w:tcW w:w="372" w:type="pct"/>
            <w:vAlign w:val="bottom"/>
            <w:hideMark/>
          </w:tcPr>
          <w:p w14:paraId="39EDCA92"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c>
          <w:tcPr>
            <w:tcW w:w="561" w:type="pct"/>
            <w:vAlign w:val="bottom"/>
            <w:hideMark/>
          </w:tcPr>
          <w:p w14:paraId="72811FB9"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r>
      <w:tr w:rsidR="00A74C68" w:rsidRPr="00471CBA" w14:paraId="3134DBC0" w14:textId="77777777" w:rsidTr="00F36B82">
        <w:trPr>
          <w:divId w:val="5913244"/>
          <w:trHeight w:val="170"/>
        </w:trPr>
        <w:tc>
          <w:tcPr>
            <w:tcW w:w="4066" w:type="pct"/>
            <w:tcBorders>
              <w:bottom w:val="single" w:sz="4" w:space="0" w:color="auto"/>
            </w:tcBorders>
            <w:vAlign w:val="center"/>
            <w:hideMark/>
          </w:tcPr>
          <w:p w14:paraId="5ED90E61" w14:textId="77777777" w:rsidR="00A74C68" w:rsidRPr="00471CBA" w:rsidRDefault="00A74C68" w:rsidP="00F36B82">
            <w:pPr>
              <w:spacing w:line="216" w:lineRule="auto"/>
              <w:rPr>
                <w:color w:val="000000"/>
                <w:sz w:val="15"/>
                <w:szCs w:val="15"/>
                <w:lang w:eastAsia="tr-TR"/>
              </w:rPr>
            </w:pPr>
            <w:r w:rsidRPr="00471CBA">
              <w:rPr>
                <w:color w:val="000000"/>
                <w:sz w:val="15"/>
                <w:szCs w:val="15"/>
                <w:lang w:eastAsia="tr-TR"/>
              </w:rPr>
              <w:t>Yeterli ilave ana sermaye veya katkı sermaye bulunmaması halinde çekirdek sermayeden indirim yapılacak tutar</w:t>
            </w:r>
          </w:p>
        </w:tc>
        <w:tc>
          <w:tcPr>
            <w:tcW w:w="372" w:type="pct"/>
            <w:tcBorders>
              <w:bottom w:val="single" w:sz="4" w:space="0" w:color="auto"/>
            </w:tcBorders>
            <w:vAlign w:val="bottom"/>
            <w:hideMark/>
          </w:tcPr>
          <w:p w14:paraId="48097BB3"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c>
          <w:tcPr>
            <w:tcW w:w="561" w:type="pct"/>
            <w:tcBorders>
              <w:bottom w:val="single" w:sz="4" w:space="0" w:color="auto"/>
            </w:tcBorders>
            <w:vAlign w:val="bottom"/>
            <w:hideMark/>
          </w:tcPr>
          <w:p w14:paraId="2EDB616A" w14:textId="77777777" w:rsidR="00A74C68" w:rsidRPr="00471CBA" w:rsidRDefault="00A74C68" w:rsidP="00F36B82">
            <w:pPr>
              <w:spacing w:line="216" w:lineRule="auto"/>
              <w:jc w:val="right"/>
              <w:rPr>
                <w:color w:val="000000"/>
                <w:sz w:val="15"/>
                <w:szCs w:val="15"/>
                <w:lang w:eastAsia="tr-TR"/>
              </w:rPr>
            </w:pPr>
            <w:r w:rsidRPr="00471CBA">
              <w:rPr>
                <w:color w:val="000000"/>
                <w:sz w:val="15"/>
                <w:szCs w:val="15"/>
                <w:lang w:eastAsia="tr-TR"/>
              </w:rPr>
              <w:t>-</w:t>
            </w:r>
          </w:p>
        </w:tc>
      </w:tr>
      <w:tr w:rsidR="00A74C68" w:rsidRPr="00471CBA" w14:paraId="125A609C" w14:textId="77777777" w:rsidTr="00F36B82">
        <w:trPr>
          <w:divId w:val="5913244"/>
          <w:trHeight w:val="170"/>
        </w:trPr>
        <w:tc>
          <w:tcPr>
            <w:tcW w:w="4066" w:type="pct"/>
            <w:tcBorders>
              <w:top w:val="single" w:sz="4" w:space="0" w:color="auto"/>
              <w:bottom w:val="single" w:sz="4" w:space="0" w:color="auto"/>
            </w:tcBorders>
            <w:vAlign w:val="center"/>
            <w:hideMark/>
          </w:tcPr>
          <w:p w14:paraId="53DF3016" w14:textId="77777777" w:rsidR="00A74C68" w:rsidRPr="00471CBA" w:rsidRDefault="00A74C68" w:rsidP="00F36B82">
            <w:pPr>
              <w:spacing w:line="216" w:lineRule="auto"/>
              <w:rPr>
                <w:b/>
                <w:bCs/>
                <w:color w:val="000000"/>
                <w:sz w:val="15"/>
                <w:szCs w:val="15"/>
                <w:lang w:eastAsia="tr-TR"/>
              </w:rPr>
            </w:pPr>
            <w:r w:rsidRPr="00471CBA">
              <w:rPr>
                <w:b/>
                <w:bCs/>
                <w:color w:val="000000"/>
                <w:sz w:val="15"/>
                <w:szCs w:val="15"/>
                <w:lang w:eastAsia="tr-TR"/>
              </w:rPr>
              <w:t>Çekirdek Sermayeden Yapılan İndirimler Toplamı</w:t>
            </w:r>
          </w:p>
        </w:tc>
        <w:tc>
          <w:tcPr>
            <w:tcW w:w="372" w:type="pct"/>
            <w:tcBorders>
              <w:top w:val="single" w:sz="4" w:space="0" w:color="auto"/>
              <w:bottom w:val="single" w:sz="4" w:space="0" w:color="auto"/>
            </w:tcBorders>
            <w:vAlign w:val="bottom"/>
            <w:hideMark/>
          </w:tcPr>
          <w:p w14:paraId="3444A5F1" w14:textId="77777777" w:rsidR="00A74C68" w:rsidRPr="00471CBA" w:rsidRDefault="00A74C68" w:rsidP="00F36B82">
            <w:pPr>
              <w:spacing w:line="216" w:lineRule="auto"/>
              <w:jc w:val="right"/>
              <w:rPr>
                <w:b/>
                <w:bCs/>
                <w:color w:val="000000"/>
                <w:sz w:val="15"/>
                <w:szCs w:val="15"/>
                <w:lang w:eastAsia="tr-TR"/>
              </w:rPr>
            </w:pPr>
            <w:r w:rsidRPr="00471CBA">
              <w:rPr>
                <w:b/>
                <w:bCs/>
                <w:color w:val="000000"/>
                <w:sz w:val="15"/>
                <w:szCs w:val="15"/>
                <w:lang w:eastAsia="tr-TR"/>
              </w:rPr>
              <w:t>713.128</w:t>
            </w:r>
          </w:p>
        </w:tc>
        <w:tc>
          <w:tcPr>
            <w:tcW w:w="561" w:type="pct"/>
            <w:tcBorders>
              <w:top w:val="single" w:sz="4" w:space="0" w:color="auto"/>
              <w:bottom w:val="single" w:sz="4" w:space="0" w:color="auto"/>
            </w:tcBorders>
            <w:vAlign w:val="bottom"/>
            <w:hideMark/>
          </w:tcPr>
          <w:p w14:paraId="489EE23F" w14:textId="77777777" w:rsidR="00A74C68" w:rsidRPr="00471CBA" w:rsidRDefault="00A74C68" w:rsidP="00F36B82">
            <w:pPr>
              <w:spacing w:line="216" w:lineRule="auto"/>
              <w:jc w:val="right"/>
              <w:rPr>
                <w:b/>
                <w:bCs/>
                <w:color w:val="000000"/>
                <w:sz w:val="15"/>
                <w:szCs w:val="15"/>
                <w:lang w:eastAsia="tr-TR"/>
              </w:rPr>
            </w:pPr>
            <w:r w:rsidRPr="00471CBA">
              <w:rPr>
                <w:b/>
                <w:bCs/>
                <w:color w:val="000000"/>
                <w:sz w:val="15"/>
                <w:szCs w:val="15"/>
                <w:lang w:eastAsia="tr-TR"/>
              </w:rPr>
              <w:t>379.132</w:t>
            </w:r>
          </w:p>
        </w:tc>
      </w:tr>
      <w:tr w:rsidR="00A74C68" w:rsidRPr="00471CBA" w14:paraId="72591B40" w14:textId="77777777" w:rsidTr="00F36B82">
        <w:trPr>
          <w:divId w:val="5913244"/>
          <w:trHeight w:val="170"/>
        </w:trPr>
        <w:tc>
          <w:tcPr>
            <w:tcW w:w="4066" w:type="pct"/>
            <w:tcBorders>
              <w:top w:val="single" w:sz="4" w:space="0" w:color="auto"/>
              <w:bottom w:val="single" w:sz="4" w:space="0" w:color="auto"/>
            </w:tcBorders>
            <w:vAlign w:val="center"/>
            <w:hideMark/>
          </w:tcPr>
          <w:p w14:paraId="3038EC5B" w14:textId="77777777" w:rsidR="00A74C68" w:rsidRPr="00471CBA" w:rsidRDefault="00A74C68" w:rsidP="00F36B82">
            <w:pPr>
              <w:spacing w:line="216" w:lineRule="auto"/>
              <w:rPr>
                <w:b/>
                <w:bCs/>
                <w:color w:val="000000"/>
                <w:sz w:val="15"/>
                <w:szCs w:val="15"/>
                <w:lang w:eastAsia="tr-TR"/>
              </w:rPr>
            </w:pPr>
            <w:r w:rsidRPr="00471CBA">
              <w:rPr>
                <w:b/>
                <w:bCs/>
                <w:color w:val="000000"/>
                <w:sz w:val="15"/>
                <w:szCs w:val="15"/>
                <w:lang w:eastAsia="tr-TR"/>
              </w:rPr>
              <w:t>Çekirdek Sermaye Toplamı</w:t>
            </w:r>
          </w:p>
        </w:tc>
        <w:tc>
          <w:tcPr>
            <w:tcW w:w="372" w:type="pct"/>
            <w:tcBorders>
              <w:top w:val="single" w:sz="4" w:space="0" w:color="auto"/>
              <w:bottom w:val="single" w:sz="4" w:space="0" w:color="auto"/>
            </w:tcBorders>
            <w:vAlign w:val="bottom"/>
            <w:hideMark/>
          </w:tcPr>
          <w:p w14:paraId="12D034EE" w14:textId="77777777" w:rsidR="00A74C68" w:rsidRPr="00471CBA" w:rsidRDefault="00A74C68" w:rsidP="00F36B82">
            <w:pPr>
              <w:spacing w:line="216" w:lineRule="auto"/>
              <w:jc w:val="right"/>
              <w:rPr>
                <w:b/>
                <w:bCs/>
                <w:color w:val="000000"/>
                <w:sz w:val="15"/>
                <w:szCs w:val="15"/>
                <w:lang w:eastAsia="tr-TR"/>
              </w:rPr>
            </w:pPr>
            <w:r w:rsidRPr="00471CBA">
              <w:rPr>
                <w:b/>
                <w:bCs/>
                <w:color w:val="000000"/>
                <w:sz w:val="15"/>
                <w:szCs w:val="15"/>
                <w:lang w:eastAsia="tr-TR"/>
              </w:rPr>
              <w:t>8.764.650</w:t>
            </w:r>
          </w:p>
        </w:tc>
        <w:tc>
          <w:tcPr>
            <w:tcW w:w="561" w:type="pct"/>
            <w:tcBorders>
              <w:top w:val="single" w:sz="4" w:space="0" w:color="auto"/>
              <w:bottom w:val="single" w:sz="4" w:space="0" w:color="auto"/>
            </w:tcBorders>
            <w:vAlign w:val="bottom"/>
            <w:hideMark/>
          </w:tcPr>
          <w:p w14:paraId="588B4814" w14:textId="77777777" w:rsidR="00A74C68" w:rsidRPr="00471CBA" w:rsidRDefault="00A74C68" w:rsidP="00F36B82">
            <w:pPr>
              <w:spacing w:line="216" w:lineRule="auto"/>
              <w:jc w:val="right"/>
              <w:rPr>
                <w:b/>
                <w:bCs/>
                <w:color w:val="000000"/>
                <w:sz w:val="15"/>
                <w:szCs w:val="15"/>
                <w:lang w:eastAsia="tr-TR"/>
              </w:rPr>
            </w:pPr>
            <w:r w:rsidRPr="00471CBA">
              <w:rPr>
                <w:b/>
                <w:bCs/>
                <w:color w:val="000000"/>
                <w:sz w:val="15"/>
                <w:szCs w:val="15"/>
                <w:lang w:eastAsia="tr-TR"/>
              </w:rPr>
              <w:t>6.982.150</w:t>
            </w:r>
          </w:p>
        </w:tc>
      </w:tr>
    </w:tbl>
    <w:p w14:paraId="153CAEB4" w14:textId="77777777" w:rsidR="00F36B82" w:rsidRPr="00F36B82" w:rsidRDefault="00F36B82">
      <w:pPr>
        <w:rPr>
          <w:sz w:val="4"/>
          <w:szCs w:val="8"/>
        </w:rPr>
      </w:pPr>
      <w:r w:rsidRPr="00F36B82">
        <w:rPr>
          <w:sz w:val="4"/>
          <w:szCs w:val="8"/>
        </w:rPr>
        <w:br w:type="page"/>
      </w:r>
    </w:p>
    <w:p w14:paraId="6651BC68" w14:textId="366B1F90" w:rsidR="00B857EA" w:rsidRPr="00471CBA" w:rsidRDefault="00451EE9" w:rsidP="00B11D96">
      <w:pPr>
        <w:rPr>
          <w:b/>
          <w:szCs w:val="20"/>
        </w:rPr>
      </w:pPr>
      <w:r w:rsidRPr="00471CBA">
        <w:rPr>
          <w:b/>
          <w:szCs w:val="20"/>
        </w:rPr>
        <w:lastRenderedPageBreak/>
        <w:t xml:space="preserve">MALİ BÜNYEYE VE RİSK YÖNETİMİNE İLİŞKİN BİLGİLER </w:t>
      </w:r>
      <w:r w:rsidR="00B857EA" w:rsidRPr="00471CBA">
        <w:rPr>
          <w:b/>
          <w:szCs w:val="20"/>
        </w:rPr>
        <w:t>(Devamı)</w:t>
      </w:r>
    </w:p>
    <w:p w14:paraId="6F59E276" w14:textId="77777777" w:rsidR="00B857EA" w:rsidRPr="00471CBA" w:rsidRDefault="00B857EA" w:rsidP="00B857EA">
      <w:pPr>
        <w:pStyle w:val="ListeParagraf"/>
        <w:widowControl w:val="0"/>
        <w:ind w:left="851"/>
        <w:jc w:val="both"/>
        <w:rPr>
          <w:b/>
          <w:szCs w:val="20"/>
        </w:rPr>
      </w:pPr>
    </w:p>
    <w:p w14:paraId="3069A9D1" w14:textId="27B73E93" w:rsidR="00CF3759" w:rsidRPr="00471CBA" w:rsidRDefault="00E009D9" w:rsidP="00212E4A">
      <w:pPr>
        <w:pStyle w:val="ListeParagraf"/>
        <w:widowControl w:val="0"/>
        <w:numPr>
          <w:ilvl w:val="0"/>
          <w:numId w:val="27"/>
        </w:numPr>
        <w:ind w:left="851" w:hanging="851"/>
        <w:jc w:val="both"/>
        <w:rPr>
          <w:b/>
          <w:szCs w:val="20"/>
        </w:rPr>
      </w:pPr>
      <w:r w:rsidRPr="00471CBA">
        <w:rPr>
          <w:b/>
          <w:szCs w:val="20"/>
        </w:rPr>
        <w:t>ÖZKAYNAK KALEMLERİNE İLİŞKİN AÇIKLAMALAR</w:t>
      </w:r>
      <w:r w:rsidR="00451EE9" w:rsidRPr="00471CBA">
        <w:rPr>
          <w:b/>
          <w:szCs w:val="20"/>
        </w:rPr>
        <w:t xml:space="preserve"> </w:t>
      </w:r>
      <w:r w:rsidR="00CF3759" w:rsidRPr="00471CBA">
        <w:rPr>
          <w:b/>
          <w:szCs w:val="20"/>
        </w:rPr>
        <w:t>(</w:t>
      </w:r>
      <w:r w:rsidR="00A37418" w:rsidRPr="00471CBA">
        <w:rPr>
          <w:b/>
          <w:szCs w:val="20"/>
        </w:rPr>
        <w:t>Devamı</w:t>
      </w:r>
      <w:r w:rsidR="00CF3759" w:rsidRPr="00471CBA">
        <w:rPr>
          <w:b/>
          <w:szCs w:val="20"/>
        </w:rPr>
        <w:t>):</w:t>
      </w:r>
    </w:p>
    <w:p w14:paraId="582CA437" w14:textId="77777777" w:rsidR="00A37418" w:rsidRPr="00471CBA" w:rsidRDefault="00A37418" w:rsidP="00A37418">
      <w:pPr>
        <w:widowControl w:val="0"/>
        <w:ind w:left="-567"/>
        <w:jc w:val="both"/>
        <w:rPr>
          <w:b/>
          <w:szCs w:val="20"/>
        </w:rPr>
      </w:pPr>
    </w:p>
    <w:p w14:paraId="60A478B6" w14:textId="5EF5C73F" w:rsidR="00B75FBE" w:rsidRPr="00471CBA" w:rsidRDefault="00B75FBE" w:rsidP="00212E4A">
      <w:pPr>
        <w:pStyle w:val="ListeParagraf"/>
        <w:widowControl w:val="0"/>
        <w:numPr>
          <w:ilvl w:val="0"/>
          <w:numId w:val="28"/>
        </w:numPr>
        <w:ind w:left="1276" w:hanging="425"/>
        <w:jc w:val="both"/>
        <w:rPr>
          <w:b/>
          <w:szCs w:val="20"/>
        </w:rPr>
      </w:pPr>
      <w:r w:rsidRPr="00471CBA">
        <w:rPr>
          <w:b/>
          <w:szCs w:val="20"/>
        </w:rPr>
        <w:t>Özkaynak kalemlerine ilişkin bilgiler (</w:t>
      </w:r>
      <w:r w:rsidR="00A37418" w:rsidRPr="00471CBA">
        <w:rPr>
          <w:b/>
          <w:szCs w:val="20"/>
        </w:rPr>
        <w:t>Devamı</w:t>
      </w:r>
      <w:r w:rsidRPr="00471CBA">
        <w:rPr>
          <w:b/>
          <w:szCs w:val="20"/>
        </w:rPr>
        <w:t>):</w:t>
      </w:r>
    </w:p>
    <w:p w14:paraId="72A9699D" w14:textId="4B5E8482" w:rsidR="00A74C68" w:rsidRPr="00471CBA" w:rsidRDefault="00A74C68" w:rsidP="00C838D9"/>
    <w:tbl>
      <w:tblPr>
        <w:tblW w:w="5000" w:type="pct"/>
        <w:tblCellMar>
          <w:left w:w="70" w:type="dxa"/>
          <w:right w:w="70" w:type="dxa"/>
        </w:tblCellMar>
        <w:tblLook w:val="04A0" w:firstRow="1" w:lastRow="0" w:firstColumn="1" w:lastColumn="0" w:noHBand="0" w:noVBand="1"/>
      </w:tblPr>
      <w:tblGrid>
        <w:gridCol w:w="6272"/>
        <w:gridCol w:w="1804"/>
        <w:gridCol w:w="1563"/>
      </w:tblGrid>
      <w:tr w:rsidR="00A74C68" w:rsidRPr="00F36B82" w14:paraId="65C0270B" w14:textId="77777777" w:rsidTr="00F36B82">
        <w:trPr>
          <w:divId w:val="1225071347"/>
          <w:trHeight w:val="170"/>
        </w:trPr>
        <w:tc>
          <w:tcPr>
            <w:tcW w:w="3252" w:type="pct"/>
            <w:tcBorders>
              <w:top w:val="nil"/>
              <w:left w:val="nil"/>
              <w:bottom w:val="nil"/>
              <w:right w:val="nil"/>
            </w:tcBorders>
            <w:noWrap/>
            <w:vAlign w:val="bottom"/>
            <w:hideMark/>
          </w:tcPr>
          <w:p w14:paraId="59998571" w14:textId="21F5ED9D" w:rsidR="00A74C68" w:rsidRPr="00F36B82" w:rsidRDefault="00A74C68" w:rsidP="00A74C68">
            <w:pPr>
              <w:rPr>
                <w:sz w:val="16"/>
                <w:szCs w:val="16"/>
                <w:lang w:eastAsia="tr-TR"/>
              </w:rPr>
            </w:pPr>
          </w:p>
        </w:tc>
        <w:tc>
          <w:tcPr>
            <w:tcW w:w="936" w:type="pct"/>
            <w:tcBorders>
              <w:top w:val="nil"/>
              <w:left w:val="nil"/>
              <w:bottom w:val="single" w:sz="4" w:space="0" w:color="auto"/>
              <w:right w:val="nil"/>
            </w:tcBorders>
            <w:noWrap/>
            <w:vAlign w:val="bottom"/>
            <w:hideMark/>
          </w:tcPr>
          <w:p w14:paraId="71A1237A"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31 Aralık 2025</w:t>
            </w:r>
          </w:p>
        </w:tc>
        <w:tc>
          <w:tcPr>
            <w:tcW w:w="811" w:type="pct"/>
            <w:tcBorders>
              <w:top w:val="nil"/>
              <w:left w:val="nil"/>
              <w:bottom w:val="single" w:sz="4" w:space="0" w:color="auto"/>
              <w:right w:val="nil"/>
            </w:tcBorders>
            <w:noWrap/>
            <w:vAlign w:val="bottom"/>
            <w:hideMark/>
          </w:tcPr>
          <w:p w14:paraId="4DDB00F2"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31 Aralık 2024</w:t>
            </w:r>
          </w:p>
        </w:tc>
      </w:tr>
      <w:tr w:rsidR="00A74C68" w:rsidRPr="00F36B82" w14:paraId="64AD9205" w14:textId="77777777" w:rsidTr="00F36B82">
        <w:trPr>
          <w:divId w:val="1225071347"/>
          <w:trHeight w:val="170"/>
        </w:trPr>
        <w:tc>
          <w:tcPr>
            <w:tcW w:w="3252" w:type="pct"/>
            <w:tcBorders>
              <w:top w:val="nil"/>
              <w:left w:val="nil"/>
              <w:bottom w:val="single" w:sz="4" w:space="0" w:color="auto"/>
              <w:right w:val="nil"/>
            </w:tcBorders>
            <w:vAlign w:val="center"/>
            <w:hideMark/>
          </w:tcPr>
          <w:p w14:paraId="17A6B6C0" w14:textId="77777777" w:rsidR="00A74C68" w:rsidRPr="00F36B82" w:rsidRDefault="00A74C68" w:rsidP="00A74C68">
            <w:pPr>
              <w:jc w:val="center"/>
              <w:rPr>
                <w:b/>
                <w:bCs/>
                <w:color w:val="000000"/>
                <w:sz w:val="16"/>
                <w:szCs w:val="16"/>
                <w:lang w:eastAsia="tr-TR"/>
              </w:rPr>
            </w:pPr>
            <w:r w:rsidRPr="00F36B82">
              <w:rPr>
                <w:b/>
                <w:bCs/>
                <w:color w:val="000000"/>
                <w:sz w:val="16"/>
                <w:szCs w:val="16"/>
                <w:lang w:eastAsia="tr-TR"/>
              </w:rPr>
              <w:t>İLAVE ANA SERMAYE</w:t>
            </w:r>
          </w:p>
        </w:tc>
        <w:tc>
          <w:tcPr>
            <w:tcW w:w="936" w:type="pct"/>
            <w:tcBorders>
              <w:top w:val="nil"/>
              <w:left w:val="nil"/>
              <w:bottom w:val="single" w:sz="4" w:space="0" w:color="auto"/>
              <w:right w:val="nil"/>
            </w:tcBorders>
            <w:noWrap/>
            <w:vAlign w:val="bottom"/>
            <w:hideMark/>
          </w:tcPr>
          <w:p w14:paraId="71BDB0D9"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 </w:t>
            </w:r>
          </w:p>
        </w:tc>
        <w:tc>
          <w:tcPr>
            <w:tcW w:w="811" w:type="pct"/>
            <w:tcBorders>
              <w:top w:val="nil"/>
              <w:left w:val="nil"/>
              <w:bottom w:val="single" w:sz="4" w:space="0" w:color="auto"/>
              <w:right w:val="nil"/>
            </w:tcBorders>
            <w:noWrap/>
            <w:vAlign w:val="bottom"/>
            <w:hideMark/>
          </w:tcPr>
          <w:p w14:paraId="15367184"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 </w:t>
            </w:r>
          </w:p>
        </w:tc>
      </w:tr>
      <w:tr w:rsidR="00A74C68" w:rsidRPr="00F36B82" w14:paraId="0913819C" w14:textId="77777777" w:rsidTr="00F36B82">
        <w:trPr>
          <w:divId w:val="1225071347"/>
          <w:trHeight w:val="170"/>
        </w:trPr>
        <w:tc>
          <w:tcPr>
            <w:tcW w:w="3252" w:type="pct"/>
            <w:tcBorders>
              <w:top w:val="nil"/>
              <w:left w:val="nil"/>
              <w:bottom w:val="single" w:sz="4" w:space="0" w:color="auto"/>
            </w:tcBorders>
            <w:vAlign w:val="center"/>
            <w:hideMark/>
          </w:tcPr>
          <w:p w14:paraId="71C7A514" w14:textId="77777777" w:rsidR="00A74C68" w:rsidRPr="00F36B82" w:rsidRDefault="00A74C68" w:rsidP="00A74C68">
            <w:pPr>
              <w:rPr>
                <w:color w:val="000000"/>
                <w:sz w:val="16"/>
                <w:szCs w:val="16"/>
                <w:lang w:eastAsia="tr-TR"/>
              </w:rPr>
            </w:pPr>
            <w:r w:rsidRPr="00F36B82">
              <w:rPr>
                <w:color w:val="000000"/>
                <w:sz w:val="16"/>
                <w:szCs w:val="16"/>
                <w:lang w:eastAsia="tr-TR"/>
              </w:rPr>
              <w:t>Çekirdek sermayeye dahil edilmeyen imtiyazlı paylara tekabül eden sermaye ile bunlara ilişkin ihraç primleri</w:t>
            </w:r>
          </w:p>
        </w:tc>
        <w:tc>
          <w:tcPr>
            <w:tcW w:w="936" w:type="pct"/>
            <w:tcBorders>
              <w:top w:val="single" w:sz="4" w:space="0" w:color="auto"/>
              <w:bottom w:val="single" w:sz="4" w:space="0" w:color="auto"/>
            </w:tcBorders>
            <w:vAlign w:val="bottom"/>
            <w:hideMark/>
          </w:tcPr>
          <w:p w14:paraId="1314D340"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c>
          <w:tcPr>
            <w:tcW w:w="811" w:type="pct"/>
            <w:tcBorders>
              <w:top w:val="single" w:sz="4" w:space="0" w:color="auto"/>
              <w:left w:val="nil"/>
              <w:bottom w:val="single" w:sz="4" w:space="0" w:color="auto"/>
            </w:tcBorders>
            <w:vAlign w:val="bottom"/>
            <w:hideMark/>
          </w:tcPr>
          <w:p w14:paraId="20F8EFC8"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r>
      <w:tr w:rsidR="00A74C68" w:rsidRPr="00F36B82" w14:paraId="61618AA1" w14:textId="77777777" w:rsidTr="00F36B82">
        <w:trPr>
          <w:divId w:val="1225071347"/>
          <w:trHeight w:val="170"/>
        </w:trPr>
        <w:tc>
          <w:tcPr>
            <w:tcW w:w="3252" w:type="pct"/>
            <w:tcBorders>
              <w:top w:val="nil"/>
              <w:left w:val="nil"/>
              <w:bottom w:val="single" w:sz="4" w:space="0" w:color="auto"/>
            </w:tcBorders>
            <w:vAlign w:val="center"/>
            <w:hideMark/>
          </w:tcPr>
          <w:p w14:paraId="4C5FE8C1" w14:textId="77777777" w:rsidR="00A74C68" w:rsidRPr="00F36B82" w:rsidRDefault="00A74C68" w:rsidP="00A74C68">
            <w:pPr>
              <w:rPr>
                <w:color w:val="000000"/>
                <w:sz w:val="16"/>
                <w:szCs w:val="16"/>
                <w:lang w:eastAsia="tr-TR"/>
              </w:rPr>
            </w:pPr>
            <w:r w:rsidRPr="00F36B82">
              <w:rPr>
                <w:color w:val="000000"/>
                <w:sz w:val="16"/>
                <w:szCs w:val="16"/>
                <w:lang w:eastAsia="tr-TR"/>
              </w:rPr>
              <w:t>Kurumca uygun görülen borçlanma araçları ve bunlara ilişkin ihraç primleri</w:t>
            </w:r>
          </w:p>
        </w:tc>
        <w:tc>
          <w:tcPr>
            <w:tcW w:w="936" w:type="pct"/>
            <w:tcBorders>
              <w:top w:val="single" w:sz="4" w:space="0" w:color="auto"/>
              <w:bottom w:val="single" w:sz="4" w:space="0" w:color="auto"/>
            </w:tcBorders>
            <w:vAlign w:val="bottom"/>
            <w:hideMark/>
          </w:tcPr>
          <w:p w14:paraId="16711EF7"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c>
          <w:tcPr>
            <w:tcW w:w="811" w:type="pct"/>
            <w:tcBorders>
              <w:top w:val="single" w:sz="4" w:space="0" w:color="auto"/>
              <w:left w:val="nil"/>
              <w:bottom w:val="single" w:sz="4" w:space="0" w:color="auto"/>
            </w:tcBorders>
            <w:vAlign w:val="bottom"/>
            <w:hideMark/>
          </w:tcPr>
          <w:p w14:paraId="0CBD9DF5"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r>
      <w:tr w:rsidR="00A74C68" w:rsidRPr="00F36B82" w14:paraId="0B63C7E1" w14:textId="77777777" w:rsidTr="00F36B82">
        <w:trPr>
          <w:divId w:val="1225071347"/>
          <w:trHeight w:val="170"/>
        </w:trPr>
        <w:tc>
          <w:tcPr>
            <w:tcW w:w="3252" w:type="pct"/>
            <w:tcBorders>
              <w:top w:val="nil"/>
              <w:left w:val="nil"/>
              <w:bottom w:val="single" w:sz="4" w:space="0" w:color="auto"/>
            </w:tcBorders>
            <w:vAlign w:val="center"/>
            <w:hideMark/>
          </w:tcPr>
          <w:p w14:paraId="76103F64" w14:textId="77777777" w:rsidR="00A74C68" w:rsidRPr="00F36B82" w:rsidRDefault="00A74C68" w:rsidP="00A74C68">
            <w:pPr>
              <w:rPr>
                <w:color w:val="000000"/>
                <w:sz w:val="16"/>
                <w:szCs w:val="16"/>
                <w:lang w:eastAsia="tr-TR"/>
              </w:rPr>
            </w:pPr>
            <w:r w:rsidRPr="00F36B82">
              <w:rPr>
                <w:color w:val="000000"/>
                <w:sz w:val="16"/>
                <w:szCs w:val="16"/>
                <w:lang w:eastAsia="tr-TR"/>
              </w:rPr>
              <w:t>Kurumca uygun görülen borçlanma araçları ve bunlara ilişkin ihraç primleri (Geçici Madde 4 kapsamında olanlar)</w:t>
            </w:r>
          </w:p>
        </w:tc>
        <w:tc>
          <w:tcPr>
            <w:tcW w:w="936" w:type="pct"/>
            <w:tcBorders>
              <w:top w:val="single" w:sz="4" w:space="0" w:color="auto"/>
              <w:bottom w:val="single" w:sz="4" w:space="0" w:color="auto"/>
            </w:tcBorders>
            <w:vAlign w:val="bottom"/>
            <w:hideMark/>
          </w:tcPr>
          <w:p w14:paraId="685CD7A9"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c>
          <w:tcPr>
            <w:tcW w:w="811" w:type="pct"/>
            <w:tcBorders>
              <w:top w:val="single" w:sz="4" w:space="0" w:color="auto"/>
              <w:left w:val="nil"/>
              <w:bottom w:val="single" w:sz="4" w:space="0" w:color="auto"/>
            </w:tcBorders>
            <w:vAlign w:val="bottom"/>
            <w:hideMark/>
          </w:tcPr>
          <w:p w14:paraId="4CCA63CF"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r>
      <w:tr w:rsidR="00A74C68" w:rsidRPr="00F36B82" w14:paraId="69751232" w14:textId="77777777" w:rsidTr="00F36B82">
        <w:trPr>
          <w:divId w:val="1225071347"/>
          <w:trHeight w:val="170"/>
        </w:trPr>
        <w:tc>
          <w:tcPr>
            <w:tcW w:w="3252" w:type="pct"/>
            <w:tcBorders>
              <w:top w:val="nil"/>
              <w:left w:val="nil"/>
              <w:bottom w:val="single" w:sz="4" w:space="0" w:color="auto"/>
              <w:right w:val="nil"/>
            </w:tcBorders>
            <w:vAlign w:val="center"/>
            <w:hideMark/>
          </w:tcPr>
          <w:p w14:paraId="0DF7C7C0" w14:textId="77777777" w:rsidR="00A74C68" w:rsidRPr="00F36B82" w:rsidRDefault="00A74C68" w:rsidP="00A74C68">
            <w:pPr>
              <w:rPr>
                <w:b/>
                <w:bCs/>
                <w:color w:val="000000"/>
                <w:sz w:val="16"/>
                <w:szCs w:val="16"/>
                <w:lang w:eastAsia="tr-TR"/>
              </w:rPr>
            </w:pPr>
            <w:r w:rsidRPr="00F36B82">
              <w:rPr>
                <w:b/>
                <w:bCs/>
                <w:color w:val="000000"/>
                <w:sz w:val="16"/>
                <w:szCs w:val="16"/>
                <w:lang w:eastAsia="tr-TR"/>
              </w:rPr>
              <w:t>İndirimler Öncesi İlave Ana Sermaye</w:t>
            </w:r>
          </w:p>
        </w:tc>
        <w:tc>
          <w:tcPr>
            <w:tcW w:w="936" w:type="pct"/>
            <w:tcBorders>
              <w:top w:val="nil"/>
              <w:left w:val="nil"/>
              <w:bottom w:val="single" w:sz="4" w:space="0" w:color="auto"/>
              <w:right w:val="nil"/>
            </w:tcBorders>
            <w:vAlign w:val="bottom"/>
            <w:hideMark/>
          </w:tcPr>
          <w:p w14:paraId="75B6CF63"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c>
          <w:tcPr>
            <w:tcW w:w="811" w:type="pct"/>
            <w:tcBorders>
              <w:top w:val="nil"/>
              <w:left w:val="nil"/>
              <w:bottom w:val="single" w:sz="4" w:space="0" w:color="auto"/>
              <w:right w:val="nil"/>
            </w:tcBorders>
            <w:vAlign w:val="bottom"/>
            <w:hideMark/>
          </w:tcPr>
          <w:p w14:paraId="013F037A"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r>
      <w:tr w:rsidR="00A74C68" w:rsidRPr="00F36B82" w14:paraId="66074990" w14:textId="77777777" w:rsidTr="00F36B82">
        <w:trPr>
          <w:divId w:val="1225071347"/>
          <w:trHeight w:val="170"/>
        </w:trPr>
        <w:tc>
          <w:tcPr>
            <w:tcW w:w="3252" w:type="pct"/>
            <w:tcBorders>
              <w:top w:val="nil"/>
              <w:left w:val="nil"/>
              <w:bottom w:val="single" w:sz="4" w:space="0" w:color="auto"/>
              <w:right w:val="nil"/>
            </w:tcBorders>
            <w:vAlign w:val="center"/>
            <w:hideMark/>
          </w:tcPr>
          <w:p w14:paraId="4B47EED1" w14:textId="77777777" w:rsidR="00A74C68" w:rsidRPr="00F36B82" w:rsidRDefault="00A74C68" w:rsidP="00A74C68">
            <w:pPr>
              <w:jc w:val="center"/>
              <w:rPr>
                <w:b/>
                <w:bCs/>
                <w:color w:val="000000"/>
                <w:sz w:val="16"/>
                <w:szCs w:val="16"/>
                <w:lang w:eastAsia="tr-TR"/>
              </w:rPr>
            </w:pPr>
            <w:r w:rsidRPr="00F36B82">
              <w:rPr>
                <w:b/>
                <w:bCs/>
                <w:color w:val="000000"/>
                <w:sz w:val="16"/>
                <w:szCs w:val="16"/>
                <w:lang w:eastAsia="tr-TR"/>
              </w:rPr>
              <w:t>İlave Ana Sermayeden Yapılacak İndirimler</w:t>
            </w:r>
          </w:p>
        </w:tc>
        <w:tc>
          <w:tcPr>
            <w:tcW w:w="936" w:type="pct"/>
            <w:tcBorders>
              <w:top w:val="nil"/>
              <w:left w:val="nil"/>
              <w:bottom w:val="single" w:sz="4" w:space="0" w:color="auto"/>
              <w:right w:val="nil"/>
            </w:tcBorders>
            <w:vAlign w:val="bottom"/>
            <w:hideMark/>
          </w:tcPr>
          <w:p w14:paraId="21A1A763"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c>
          <w:tcPr>
            <w:tcW w:w="811" w:type="pct"/>
            <w:tcBorders>
              <w:top w:val="single" w:sz="4" w:space="0" w:color="auto"/>
              <w:left w:val="nil"/>
              <w:bottom w:val="single" w:sz="4" w:space="0" w:color="auto"/>
              <w:right w:val="nil"/>
            </w:tcBorders>
            <w:vAlign w:val="bottom"/>
            <w:hideMark/>
          </w:tcPr>
          <w:p w14:paraId="519F442D"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r>
      <w:tr w:rsidR="00A74C68" w:rsidRPr="00F36B82" w14:paraId="11F35FF9" w14:textId="77777777" w:rsidTr="00F36B82">
        <w:trPr>
          <w:divId w:val="1225071347"/>
          <w:trHeight w:val="170"/>
        </w:trPr>
        <w:tc>
          <w:tcPr>
            <w:tcW w:w="3252" w:type="pct"/>
            <w:tcBorders>
              <w:top w:val="single" w:sz="4" w:space="0" w:color="auto"/>
              <w:left w:val="nil"/>
              <w:bottom w:val="single" w:sz="4" w:space="0" w:color="auto"/>
            </w:tcBorders>
            <w:vAlign w:val="center"/>
            <w:hideMark/>
          </w:tcPr>
          <w:p w14:paraId="409E03A3" w14:textId="77777777" w:rsidR="00A74C68" w:rsidRPr="00F36B82" w:rsidRDefault="00A74C68" w:rsidP="00A74C68">
            <w:pPr>
              <w:rPr>
                <w:color w:val="000000"/>
                <w:sz w:val="16"/>
                <w:szCs w:val="16"/>
                <w:lang w:eastAsia="tr-TR"/>
              </w:rPr>
            </w:pPr>
            <w:r w:rsidRPr="00F36B82">
              <w:rPr>
                <w:color w:val="000000"/>
                <w:sz w:val="16"/>
                <w:szCs w:val="16"/>
                <w:lang w:eastAsia="tr-TR"/>
              </w:rPr>
              <w:t>Bankanın kendi ilave ana sermayesine yapmış olduğu doğrudan veya dolaylı yatırımlar</w:t>
            </w:r>
          </w:p>
        </w:tc>
        <w:tc>
          <w:tcPr>
            <w:tcW w:w="936" w:type="pct"/>
            <w:tcBorders>
              <w:top w:val="single" w:sz="4" w:space="0" w:color="auto"/>
              <w:bottom w:val="single" w:sz="4" w:space="0" w:color="auto"/>
            </w:tcBorders>
            <w:vAlign w:val="bottom"/>
            <w:hideMark/>
          </w:tcPr>
          <w:p w14:paraId="08FE5464"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c>
          <w:tcPr>
            <w:tcW w:w="811" w:type="pct"/>
            <w:tcBorders>
              <w:top w:val="single" w:sz="4" w:space="0" w:color="auto"/>
              <w:left w:val="nil"/>
              <w:bottom w:val="single" w:sz="4" w:space="0" w:color="auto"/>
            </w:tcBorders>
            <w:vAlign w:val="bottom"/>
            <w:hideMark/>
          </w:tcPr>
          <w:p w14:paraId="1FF84171"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r>
      <w:tr w:rsidR="00A74C68" w:rsidRPr="00F36B82" w14:paraId="38E6C3B0" w14:textId="77777777" w:rsidTr="00F36B82">
        <w:trPr>
          <w:divId w:val="1225071347"/>
          <w:trHeight w:val="170"/>
        </w:trPr>
        <w:tc>
          <w:tcPr>
            <w:tcW w:w="3252" w:type="pct"/>
            <w:tcBorders>
              <w:top w:val="nil"/>
              <w:left w:val="nil"/>
              <w:bottom w:val="single" w:sz="4" w:space="0" w:color="auto"/>
            </w:tcBorders>
            <w:vAlign w:val="center"/>
            <w:hideMark/>
          </w:tcPr>
          <w:p w14:paraId="40B597B8" w14:textId="77777777" w:rsidR="00A74C68" w:rsidRPr="00F36B82" w:rsidRDefault="00A74C68" w:rsidP="00A74C68">
            <w:pPr>
              <w:rPr>
                <w:color w:val="000000"/>
                <w:sz w:val="16"/>
                <w:szCs w:val="16"/>
                <w:lang w:eastAsia="tr-TR"/>
              </w:rPr>
            </w:pPr>
            <w:r w:rsidRPr="00F36B82">
              <w:rPr>
                <w:color w:val="000000"/>
                <w:sz w:val="16"/>
                <w:szCs w:val="16"/>
                <w:lang w:eastAsia="tr-TR"/>
              </w:rPr>
              <w:t xml:space="preserve">Bankanın ilave ana sermaye kalemlerine yatırım yapan bankalar ile finansal kuruluşlar tarafından ihraç edilen ve Yönetmeliğin </w:t>
            </w:r>
            <w:proofErr w:type="gramStart"/>
            <w:r w:rsidRPr="00F36B82">
              <w:rPr>
                <w:color w:val="000000"/>
                <w:sz w:val="16"/>
                <w:szCs w:val="16"/>
                <w:lang w:eastAsia="tr-TR"/>
              </w:rPr>
              <w:t>7 nci</w:t>
            </w:r>
            <w:proofErr w:type="gramEnd"/>
            <w:r w:rsidRPr="00F36B82">
              <w:rPr>
                <w:color w:val="000000"/>
                <w:sz w:val="16"/>
                <w:szCs w:val="16"/>
                <w:lang w:eastAsia="tr-TR"/>
              </w:rPr>
              <w:t xml:space="preserve"> maddesinde belirtilen şartları taşıyan özkaynak kalemlerine bankanın yaptığı yatırımlar</w:t>
            </w:r>
          </w:p>
        </w:tc>
        <w:tc>
          <w:tcPr>
            <w:tcW w:w="936" w:type="pct"/>
            <w:tcBorders>
              <w:top w:val="single" w:sz="4" w:space="0" w:color="auto"/>
              <w:bottom w:val="single" w:sz="4" w:space="0" w:color="auto"/>
            </w:tcBorders>
            <w:vAlign w:val="bottom"/>
            <w:hideMark/>
          </w:tcPr>
          <w:p w14:paraId="118A3388"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c>
          <w:tcPr>
            <w:tcW w:w="811" w:type="pct"/>
            <w:tcBorders>
              <w:top w:val="single" w:sz="4" w:space="0" w:color="auto"/>
              <w:left w:val="nil"/>
              <w:bottom w:val="single" w:sz="4" w:space="0" w:color="auto"/>
            </w:tcBorders>
            <w:vAlign w:val="bottom"/>
            <w:hideMark/>
          </w:tcPr>
          <w:p w14:paraId="7DE79908"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r>
      <w:tr w:rsidR="00A74C68" w:rsidRPr="00F36B82" w14:paraId="19AF4ECA" w14:textId="77777777" w:rsidTr="00F36B82">
        <w:trPr>
          <w:divId w:val="1225071347"/>
          <w:trHeight w:val="170"/>
        </w:trPr>
        <w:tc>
          <w:tcPr>
            <w:tcW w:w="3252" w:type="pct"/>
            <w:tcBorders>
              <w:top w:val="nil"/>
              <w:left w:val="nil"/>
              <w:bottom w:val="single" w:sz="4" w:space="0" w:color="auto"/>
            </w:tcBorders>
            <w:vAlign w:val="center"/>
            <w:hideMark/>
          </w:tcPr>
          <w:p w14:paraId="07EE137A" w14:textId="77777777" w:rsidR="00A74C68" w:rsidRPr="00F36B82" w:rsidRDefault="00A74C68" w:rsidP="00A74C68">
            <w:pPr>
              <w:rPr>
                <w:color w:val="000000"/>
                <w:sz w:val="16"/>
                <w:szCs w:val="16"/>
                <w:lang w:eastAsia="tr-TR"/>
              </w:rPr>
            </w:pPr>
            <w:r w:rsidRPr="00F36B82">
              <w:rPr>
                <w:color w:val="000000"/>
                <w:sz w:val="16"/>
                <w:szCs w:val="16"/>
                <w:lang w:eastAsia="tr-TR"/>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936" w:type="pct"/>
            <w:tcBorders>
              <w:top w:val="single" w:sz="4" w:space="0" w:color="auto"/>
              <w:bottom w:val="single" w:sz="4" w:space="0" w:color="auto"/>
            </w:tcBorders>
            <w:vAlign w:val="bottom"/>
            <w:hideMark/>
          </w:tcPr>
          <w:p w14:paraId="536DEF4F"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c>
          <w:tcPr>
            <w:tcW w:w="811" w:type="pct"/>
            <w:tcBorders>
              <w:top w:val="single" w:sz="4" w:space="0" w:color="auto"/>
              <w:left w:val="nil"/>
              <w:bottom w:val="single" w:sz="4" w:space="0" w:color="auto"/>
            </w:tcBorders>
            <w:vAlign w:val="bottom"/>
            <w:hideMark/>
          </w:tcPr>
          <w:p w14:paraId="3B82882F"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r>
      <w:tr w:rsidR="00A74C68" w:rsidRPr="00F36B82" w14:paraId="485F07B4" w14:textId="77777777" w:rsidTr="00F36B82">
        <w:trPr>
          <w:divId w:val="1225071347"/>
          <w:trHeight w:val="170"/>
        </w:trPr>
        <w:tc>
          <w:tcPr>
            <w:tcW w:w="3252" w:type="pct"/>
            <w:tcBorders>
              <w:top w:val="nil"/>
              <w:left w:val="nil"/>
              <w:bottom w:val="single" w:sz="4" w:space="0" w:color="auto"/>
            </w:tcBorders>
            <w:vAlign w:val="center"/>
            <w:hideMark/>
          </w:tcPr>
          <w:p w14:paraId="756E5B72" w14:textId="77777777" w:rsidR="00A74C68" w:rsidRPr="00F36B82" w:rsidRDefault="00A74C68" w:rsidP="00A74C68">
            <w:pPr>
              <w:rPr>
                <w:color w:val="000000"/>
                <w:sz w:val="16"/>
                <w:szCs w:val="16"/>
                <w:lang w:eastAsia="tr-TR"/>
              </w:rPr>
            </w:pPr>
            <w:r w:rsidRPr="00F36B82">
              <w:rPr>
                <w:color w:val="000000"/>
                <w:sz w:val="16"/>
                <w:szCs w:val="16"/>
                <w:lang w:eastAsia="tr-TR"/>
              </w:rPr>
              <w:t>Ortaklık paylarının %10 veya daha fazlasına sahip olunan ve konsolide edilmeyen bankalar ve finansal kuruluşların ilave ana sermaye unsurlarına yapılan yatırımların net uzun pozisyonları toplamı</w:t>
            </w:r>
          </w:p>
        </w:tc>
        <w:tc>
          <w:tcPr>
            <w:tcW w:w="936" w:type="pct"/>
            <w:tcBorders>
              <w:top w:val="single" w:sz="4" w:space="0" w:color="auto"/>
              <w:bottom w:val="single" w:sz="4" w:space="0" w:color="auto"/>
            </w:tcBorders>
            <w:vAlign w:val="bottom"/>
            <w:hideMark/>
          </w:tcPr>
          <w:p w14:paraId="25B709DE"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c>
          <w:tcPr>
            <w:tcW w:w="811" w:type="pct"/>
            <w:tcBorders>
              <w:top w:val="single" w:sz="4" w:space="0" w:color="auto"/>
              <w:left w:val="nil"/>
              <w:bottom w:val="single" w:sz="4" w:space="0" w:color="auto"/>
            </w:tcBorders>
            <w:vAlign w:val="bottom"/>
            <w:hideMark/>
          </w:tcPr>
          <w:p w14:paraId="7A026163"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r>
      <w:tr w:rsidR="00A74C68" w:rsidRPr="00F36B82" w14:paraId="0A013642" w14:textId="77777777" w:rsidTr="00F36B82">
        <w:trPr>
          <w:divId w:val="1225071347"/>
          <w:trHeight w:val="170"/>
        </w:trPr>
        <w:tc>
          <w:tcPr>
            <w:tcW w:w="3252" w:type="pct"/>
            <w:tcBorders>
              <w:top w:val="nil"/>
              <w:left w:val="nil"/>
              <w:bottom w:val="single" w:sz="4" w:space="0" w:color="auto"/>
            </w:tcBorders>
            <w:vAlign w:val="center"/>
            <w:hideMark/>
          </w:tcPr>
          <w:p w14:paraId="00B75E3C" w14:textId="77777777" w:rsidR="00A74C68" w:rsidRPr="00F36B82" w:rsidRDefault="00A74C68" w:rsidP="00A74C68">
            <w:pPr>
              <w:rPr>
                <w:color w:val="000000"/>
                <w:sz w:val="16"/>
                <w:szCs w:val="16"/>
                <w:lang w:eastAsia="tr-TR"/>
              </w:rPr>
            </w:pPr>
            <w:r w:rsidRPr="00F36B82">
              <w:rPr>
                <w:color w:val="000000"/>
                <w:sz w:val="16"/>
                <w:szCs w:val="16"/>
                <w:lang w:eastAsia="tr-TR"/>
              </w:rPr>
              <w:t>Kurulca belirlenecek diğer kalemler</w:t>
            </w:r>
          </w:p>
        </w:tc>
        <w:tc>
          <w:tcPr>
            <w:tcW w:w="936" w:type="pct"/>
            <w:tcBorders>
              <w:top w:val="single" w:sz="4" w:space="0" w:color="auto"/>
              <w:bottom w:val="single" w:sz="4" w:space="0" w:color="auto"/>
            </w:tcBorders>
            <w:vAlign w:val="bottom"/>
            <w:hideMark/>
          </w:tcPr>
          <w:p w14:paraId="15A6CF1C"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c>
          <w:tcPr>
            <w:tcW w:w="811" w:type="pct"/>
            <w:tcBorders>
              <w:top w:val="single" w:sz="4" w:space="0" w:color="auto"/>
              <w:left w:val="nil"/>
              <w:bottom w:val="single" w:sz="4" w:space="0" w:color="auto"/>
            </w:tcBorders>
            <w:vAlign w:val="bottom"/>
            <w:hideMark/>
          </w:tcPr>
          <w:p w14:paraId="3B641833"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r>
      <w:tr w:rsidR="00A74C68" w:rsidRPr="00F36B82" w14:paraId="475CF828" w14:textId="77777777" w:rsidTr="00F36B82">
        <w:trPr>
          <w:divId w:val="1225071347"/>
          <w:trHeight w:val="170"/>
        </w:trPr>
        <w:tc>
          <w:tcPr>
            <w:tcW w:w="3252" w:type="pct"/>
            <w:tcBorders>
              <w:top w:val="nil"/>
              <w:left w:val="nil"/>
              <w:bottom w:val="single" w:sz="4" w:space="0" w:color="auto"/>
              <w:right w:val="nil"/>
            </w:tcBorders>
            <w:vAlign w:val="center"/>
            <w:hideMark/>
          </w:tcPr>
          <w:p w14:paraId="6B8B35F9" w14:textId="77777777" w:rsidR="00A74C68" w:rsidRPr="00F36B82" w:rsidRDefault="00A74C68" w:rsidP="00A74C68">
            <w:pPr>
              <w:jc w:val="center"/>
              <w:rPr>
                <w:b/>
                <w:bCs/>
                <w:color w:val="000000"/>
                <w:sz w:val="16"/>
                <w:szCs w:val="16"/>
                <w:lang w:eastAsia="tr-TR"/>
              </w:rPr>
            </w:pPr>
            <w:r w:rsidRPr="00F36B82">
              <w:rPr>
                <w:b/>
                <w:bCs/>
                <w:color w:val="000000"/>
                <w:sz w:val="16"/>
                <w:szCs w:val="16"/>
                <w:lang w:eastAsia="tr-TR"/>
              </w:rPr>
              <w:t>Geçiş Sürecinde Ana Sermayeden İndirilmeye Devam Edecek Unsurlar</w:t>
            </w:r>
          </w:p>
        </w:tc>
        <w:tc>
          <w:tcPr>
            <w:tcW w:w="936" w:type="pct"/>
            <w:tcBorders>
              <w:top w:val="nil"/>
              <w:left w:val="nil"/>
              <w:bottom w:val="single" w:sz="4" w:space="0" w:color="auto"/>
              <w:right w:val="nil"/>
            </w:tcBorders>
            <w:vAlign w:val="bottom"/>
            <w:hideMark/>
          </w:tcPr>
          <w:p w14:paraId="56A293E8"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c>
          <w:tcPr>
            <w:tcW w:w="811" w:type="pct"/>
            <w:tcBorders>
              <w:top w:val="nil"/>
              <w:left w:val="nil"/>
              <w:bottom w:val="single" w:sz="4" w:space="0" w:color="auto"/>
              <w:right w:val="nil"/>
            </w:tcBorders>
            <w:vAlign w:val="bottom"/>
            <w:hideMark/>
          </w:tcPr>
          <w:p w14:paraId="36110E43"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r>
      <w:tr w:rsidR="00A74C68" w:rsidRPr="00F36B82" w14:paraId="45AE595D" w14:textId="77777777" w:rsidTr="00F36B82">
        <w:trPr>
          <w:divId w:val="1225071347"/>
          <w:trHeight w:val="170"/>
        </w:trPr>
        <w:tc>
          <w:tcPr>
            <w:tcW w:w="3252" w:type="pct"/>
            <w:tcBorders>
              <w:top w:val="nil"/>
              <w:left w:val="nil"/>
              <w:bottom w:val="nil"/>
              <w:right w:val="nil"/>
            </w:tcBorders>
            <w:vAlign w:val="center"/>
            <w:hideMark/>
          </w:tcPr>
          <w:p w14:paraId="54A8EBE0" w14:textId="77777777" w:rsidR="00A74C68" w:rsidRPr="00F36B82" w:rsidRDefault="00A74C68" w:rsidP="00A74C68">
            <w:pPr>
              <w:rPr>
                <w:color w:val="000000"/>
                <w:sz w:val="16"/>
                <w:szCs w:val="16"/>
                <w:lang w:eastAsia="tr-TR"/>
              </w:rPr>
            </w:pPr>
            <w:r w:rsidRPr="00F36B82">
              <w:rPr>
                <w:color w:val="000000"/>
                <w:sz w:val="16"/>
                <w:szCs w:val="16"/>
                <w:lang w:eastAsia="tr-TR"/>
              </w:rPr>
              <w:t xml:space="preserve">Şerefiye veya diğer maddi olmayan duran varlıklar ve bunlara ilişkin ertelenmiş vergi yükümlülüklerinin Bankaların Özkaynaklarına İlişkin Yönetmeliğin Geçici </w:t>
            </w:r>
            <w:proofErr w:type="gramStart"/>
            <w:r w:rsidRPr="00F36B82">
              <w:rPr>
                <w:color w:val="000000"/>
                <w:sz w:val="16"/>
                <w:szCs w:val="16"/>
                <w:lang w:eastAsia="tr-TR"/>
              </w:rPr>
              <w:t>2 nci</w:t>
            </w:r>
            <w:proofErr w:type="gramEnd"/>
            <w:r w:rsidRPr="00F36B82">
              <w:rPr>
                <w:color w:val="000000"/>
                <w:sz w:val="16"/>
                <w:szCs w:val="16"/>
                <w:lang w:eastAsia="tr-TR"/>
              </w:rPr>
              <w:t xml:space="preserve"> maddesinin birinci fıkrası uyarınca çekirdek sermayeden indirilmeyen kısmı (-)</w:t>
            </w:r>
          </w:p>
        </w:tc>
        <w:tc>
          <w:tcPr>
            <w:tcW w:w="936" w:type="pct"/>
            <w:tcBorders>
              <w:top w:val="nil"/>
              <w:left w:val="nil"/>
              <w:bottom w:val="nil"/>
              <w:right w:val="nil"/>
            </w:tcBorders>
            <w:vAlign w:val="bottom"/>
            <w:hideMark/>
          </w:tcPr>
          <w:p w14:paraId="6F6DC5F1"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c>
          <w:tcPr>
            <w:tcW w:w="811" w:type="pct"/>
            <w:tcBorders>
              <w:top w:val="nil"/>
              <w:left w:val="nil"/>
              <w:bottom w:val="nil"/>
              <w:right w:val="nil"/>
            </w:tcBorders>
            <w:vAlign w:val="bottom"/>
            <w:hideMark/>
          </w:tcPr>
          <w:p w14:paraId="614F9906"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r>
      <w:tr w:rsidR="00A74C68" w:rsidRPr="00F36B82" w14:paraId="436D862F" w14:textId="77777777" w:rsidTr="00F36B82">
        <w:trPr>
          <w:divId w:val="1225071347"/>
          <w:trHeight w:val="170"/>
        </w:trPr>
        <w:tc>
          <w:tcPr>
            <w:tcW w:w="3252" w:type="pct"/>
            <w:tcBorders>
              <w:top w:val="nil"/>
              <w:left w:val="nil"/>
              <w:bottom w:val="nil"/>
              <w:right w:val="nil"/>
            </w:tcBorders>
            <w:vAlign w:val="center"/>
            <w:hideMark/>
          </w:tcPr>
          <w:p w14:paraId="4CA72AFD" w14:textId="77777777" w:rsidR="00A74C68" w:rsidRPr="00F36B82" w:rsidRDefault="00A74C68" w:rsidP="00A74C68">
            <w:pPr>
              <w:rPr>
                <w:color w:val="000000"/>
                <w:sz w:val="16"/>
                <w:szCs w:val="16"/>
                <w:lang w:eastAsia="tr-TR"/>
              </w:rPr>
            </w:pPr>
            <w:r w:rsidRPr="00F36B82">
              <w:rPr>
                <w:color w:val="000000"/>
                <w:sz w:val="16"/>
                <w:szCs w:val="16"/>
                <w:lang w:eastAsia="tr-TR"/>
              </w:rPr>
              <w:t xml:space="preserve">Net ertelenmiş vergi varlığı/vergi borcunun Bankaların Özkaynaklarına İlişkin Yönetmeliğin Geçici </w:t>
            </w:r>
            <w:proofErr w:type="gramStart"/>
            <w:r w:rsidRPr="00F36B82">
              <w:rPr>
                <w:color w:val="000000"/>
                <w:sz w:val="16"/>
                <w:szCs w:val="16"/>
                <w:lang w:eastAsia="tr-TR"/>
              </w:rPr>
              <w:t>2 nci</w:t>
            </w:r>
            <w:proofErr w:type="gramEnd"/>
            <w:r w:rsidRPr="00F36B82">
              <w:rPr>
                <w:color w:val="000000"/>
                <w:sz w:val="16"/>
                <w:szCs w:val="16"/>
                <w:lang w:eastAsia="tr-TR"/>
              </w:rPr>
              <w:t xml:space="preserve"> maddesinin birinci fıkrası uyarınca çekirdek sermayeden indirilmeyen kısmı (-)</w:t>
            </w:r>
          </w:p>
        </w:tc>
        <w:tc>
          <w:tcPr>
            <w:tcW w:w="936" w:type="pct"/>
            <w:tcBorders>
              <w:top w:val="nil"/>
              <w:left w:val="nil"/>
              <w:bottom w:val="nil"/>
              <w:right w:val="nil"/>
            </w:tcBorders>
            <w:vAlign w:val="bottom"/>
            <w:hideMark/>
          </w:tcPr>
          <w:p w14:paraId="4428FC75"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c>
          <w:tcPr>
            <w:tcW w:w="811" w:type="pct"/>
            <w:tcBorders>
              <w:top w:val="nil"/>
              <w:left w:val="nil"/>
              <w:bottom w:val="nil"/>
              <w:right w:val="nil"/>
            </w:tcBorders>
            <w:vAlign w:val="bottom"/>
            <w:hideMark/>
          </w:tcPr>
          <w:p w14:paraId="7369F875"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r>
      <w:tr w:rsidR="00A74C68" w:rsidRPr="00F36B82" w14:paraId="0A7FD50D" w14:textId="77777777" w:rsidTr="00F36B82">
        <w:trPr>
          <w:divId w:val="1225071347"/>
          <w:trHeight w:val="170"/>
        </w:trPr>
        <w:tc>
          <w:tcPr>
            <w:tcW w:w="3252" w:type="pct"/>
            <w:tcBorders>
              <w:top w:val="nil"/>
              <w:left w:val="nil"/>
              <w:bottom w:val="single" w:sz="4" w:space="0" w:color="auto"/>
              <w:right w:val="nil"/>
            </w:tcBorders>
            <w:vAlign w:val="center"/>
            <w:hideMark/>
          </w:tcPr>
          <w:p w14:paraId="5BC17F48" w14:textId="77777777" w:rsidR="00A74C68" w:rsidRPr="00F36B82" w:rsidRDefault="00A74C68" w:rsidP="00A74C68">
            <w:pPr>
              <w:rPr>
                <w:color w:val="000000"/>
                <w:sz w:val="16"/>
                <w:szCs w:val="16"/>
                <w:lang w:eastAsia="tr-TR"/>
              </w:rPr>
            </w:pPr>
            <w:r w:rsidRPr="00F36B82">
              <w:rPr>
                <w:color w:val="000000"/>
                <w:sz w:val="16"/>
                <w:szCs w:val="16"/>
                <w:lang w:eastAsia="tr-TR"/>
              </w:rPr>
              <w:t>Yeterli katkı sermaye bulunmaması halinde ilave ana sermayeden indirim yapılacak tutar (-)</w:t>
            </w:r>
          </w:p>
        </w:tc>
        <w:tc>
          <w:tcPr>
            <w:tcW w:w="936" w:type="pct"/>
            <w:tcBorders>
              <w:top w:val="nil"/>
              <w:left w:val="nil"/>
              <w:bottom w:val="single" w:sz="4" w:space="0" w:color="auto"/>
              <w:right w:val="nil"/>
            </w:tcBorders>
            <w:vAlign w:val="bottom"/>
            <w:hideMark/>
          </w:tcPr>
          <w:p w14:paraId="293CCE91"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c>
          <w:tcPr>
            <w:tcW w:w="811" w:type="pct"/>
            <w:tcBorders>
              <w:top w:val="nil"/>
              <w:left w:val="nil"/>
              <w:bottom w:val="single" w:sz="4" w:space="0" w:color="auto"/>
              <w:right w:val="nil"/>
            </w:tcBorders>
            <w:vAlign w:val="bottom"/>
            <w:hideMark/>
          </w:tcPr>
          <w:p w14:paraId="1CCD4940"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r>
      <w:tr w:rsidR="00A74C68" w:rsidRPr="00F36B82" w14:paraId="3A1C76C0" w14:textId="77777777" w:rsidTr="00F36B82">
        <w:trPr>
          <w:divId w:val="1225071347"/>
          <w:trHeight w:val="170"/>
        </w:trPr>
        <w:tc>
          <w:tcPr>
            <w:tcW w:w="3252" w:type="pct"/>
            <w:tcBorders>
              <w:top w:val="single" w:sz="4" w:space="0" w:color="auto"/>
              <w:left w:val="nil"/>
              <w:bottom w:val="single" w:sz="4" w:space="0" w:color="auto"/>
              <w:right w:val="nil"/>
            </w:tcBorders>
            <w:vAlign w:val="center"/>
            <w:hideMark/>
          </w:tcPr>
          <w:p w14:paraId="651CFB0F" w14:textId="77777777" w:rsidR="00A74C68" w:rsidRPr="00F36B82" w:rsidRDefault="00A74C68" w:rsidP="00A74C68">
            <w:pPr>
              <w:rPr>
                <w:b/>
                <w:bCs/>
                <w:color w:val="000000"/>
                <w:sz w:val="16"/>
                <w:szCs w:val="16"/>
                <w:lang w:eastAsia="tr-TR"/>
              </w:rPr>
            </w:pPr>
            <w:r w:rsidRPr="00F36B82">
              <w:rPr>
                <w:b/>
                <w:bCs/>
                <w:color w:val="000000"/>
                <w:sz w:val="16"/>
                <w:szCs w:val="16"/>
                <w:lang w:eastAsia="tr-TR"/>
              </w:rPr>
              <w:t>İlave ana sermayeden yapılan indirimler toplamı</w:t>
            </w:r>
          </w:p>
        </w:tc>
        <w:tc>
          <w:tcPr>
            <w:tcW w:w="936" w:type="pct"/>
            <w:tcBorders>
              <w:top w:val="single" w:sz="4" w:space="0" w:color="auto"/>
              <w:left w:val="nil"/>
              <w:bottom w:val="single" w:sz="4" w:space="0" w:color="auto"/>
              <w:right w:val="nil"/>
            </w:tcBorders>
            <w:vAlign w:val="bottom"/>
            <w:hideMark/>
          </w:tcPr>
          <w:p w14:paraId="23D85627"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c>
          <w:tcPr>
            <w:tcW w:w="811" w:type="pct"/>
            <w:tcBorders>
              <w:top w:val="single" w:sz="4" w:space="0" w:color="auto"/>
              <w:left w:val="nil"/>
              <w:bottom w:val="single" w:sz="4" w:space="0" w:color="auto"/>
              <w:right w:val="nil"/>
            </w:tcBorders>
            <w:vAlign w:val="bottom"/>
            <w:hideMark/>
          </w:tcPr>
          <w:p w14:paraId="3D6DD8A1"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r>
      <w:tr w:rsidR="00A74C68" w:rsidRPr="00F36B82" w14:paraId="5F1F140C" w14:textId="77777777" w:rsidTr="00F36B82">
        <w:trPr>
          <w:divId w:val="1225071347"/>
          <w:trHeight w:val="170"/>
        </w:trPr>
        <w:tc>
          <w:tcPr>
            <w:tcW w:w="3252" w:type="pct"/>
            <w:tcBorders>
              <w:top w:val="nil"/>
              <w:left w:val="nil"/>
              <w:bottom w:val="single" w:sz="4" w:space="0" w:color="auto"/>
              <w:right w:val="nil"/>
            </w:tcBorders>
            <w:vAlign w:val="center"/>
            <w:hideMark/>
          </w:tcPr>
          <w:p w14:paraId="71046A8E" w14:textId="77777777" w:rsidR="00A74C68" w:rsidRPr="00F36B82" w:rsidRDefault="00A74C68" w:rsidP="00A74C68">
            <w:pPr>
              <w:rPr>
                <w:b/>
                <w:bCs/>
                <w:color w:val="000000"/>
                <w:sz w:val="16"/>
                <w:szCs w:val="16"/>
                <w:lang w:eastAsia="tr-TR"/>
              </w:rPr>
            </w:pPr>
            <w:r w:rsidRPr="00F36B82">
              <w:rPr>
                <w:b/>
                <w:bCs/>
                <w:color w:val="000000"/>
                <w:sz w:val="16"/>
                <w:szCs w:val="16"/>
                <w:lang w:eastAsia="tr-TR"/>
              </w:rPr>
              <w:t>İlave Ana Sermaye Toplamı</w:t>
            </w:r>
          </w:p>
        </w:tc>
        <w:tc>
          <w:tcPr>
            <w:tcW w:w="936" w:type="pct"/>
            <w:tcBorders>
              <w:top w:val="nil"/>
              <w:left w:val="nil"/>
              <w:bottom w:val="single" w:sz="4" w:space="0" w:color="auto"/>
              <w:right w:val="nil"/>
            </w:tcBorders>
            <w:vAlign w:val="bottom"/>
            <w:hideMark/>
          </w:tcPr>
          <w:p w14:paraId="5178BC60"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c>
          <w:tcPr>
            <w:tcW w:w="811" w:type="pct"/>
            <w:tcBorders>
              <w:top w:val="nil"/>
              <w:left w:val="nil"/>
              <w:bottom w:val="single" w:sz="4" w:space="0" w:color="auto"/>
              <w:right w:val="nil"/>
            </w:tcBorders>
            <w:vAlign w:val="bottom"/>
            <w:hideMark/>
          </w:tcPr>
          <w:p w14:paraId="1FDF9335"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r>
      <w:tr w:rsidR="00A74C68" w:rsidRPr="00F36B82" w14:paraId="03028154" w14:textId="77777777" w:rsidTr="00F36B82">
        <w:trPr>
          <w:divId w:val="1225071347"/>
          <w:trHeight w:val="170"/>
        </w:trPr>
        <w:tc>
          <w:tcPr>
            <w:tcW w:w="3252" w:type="pct"/>
            <w:tcBorders>
              <w:top w:val="nil"/>
              <w:left w:val="nil"/>
              <w:bottom w:val="single" w:sz="4" w:space="0" w:color="auto"/>
              <w:right w:val="nil"/>
            </w:tcBorders>
            <w:vAlign w:val="center"/>
            <w:hideMark/>
          </w:tcPr>
          <w:p w14:paraId="4650E840" w14:textId="77777777" w:rsidR="00A74C68" w:rsidRPr="00F36B82" w:rsidRDefault="00A74C68" w:rsidP="00A74C68">
            <w:pPr>
              <w:rPr>
                <w:b/>
                <w:bCs/>
                <w:color w:val="000000"/>
                <w:sz w:val="16"/>
                <w:szCs w:val="16"/>
                <w:lang w:eastAsia="tr-TR"/>
              </w:rPr>
            </w:pPr>
            <w:r w:rsidRPr="00F36B82">
              <w:rPr>
                <w:b/>
                <w:bCs/>
                <w:color w:val="000000"/>
                <w:sz w:val="16"/>
                <w:szCs w:val="16"/>
                <w:lang w:eastAsia="tr-TR"/>
              </w:rPr>
              <w:t>Ana Sermaye Toplamı (Ana Sermaye=Çekirdek Sermaye + İlave Ana Sermaye)</w:t>
            </w:r>
          </w:p>
        </w:tc>
        <w:tc>
          <w:tcPr>
            <w:tcW w:w="936" w:type="pct"/>
            <w:tcBorders>
              <w:top w:val="nil"/>
              <w:left w:val="nil"/>
              <w:bottom w:val="single" w:sz="4" w:space="0" w:color="auto"/>
              <w:right w:val="nil"/>
            </w:tcBorders>
            <w:vAlign w:val="bottom"/>
            <w:hideMark/>
          </w:tcPr>
          <w:p w14:paraId="28EABB90"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8.764.650</w:t>
            </w:r>
          </w:p>
        </w:tc>
        <w:tc>
          <w:tcPr>
            <w:tcW w:w="811" w:type="pct"/>
            <w:tcBorders>
              <w:top w:val="nil"/>
              <w:left w:val="nil"/>
              <w:bottom w:val="single" w:sz="4" w:space="0" w:color="auto"/>
              <w:right w:val="nil"/>
            </w:tcBorders>
            <w:vAlign w:val="bottom"/>
            <w:hideMark/>
          </w:tcPr>
          <w:p w14:paraId="502A54C2"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6.982.150</w:t>
            </w:r>
          </w:p>
        </w:tc>
      </w:tr>
      <w:tr w:rsidR="00A74C68" w:rsidRPr="00F36B82" w14:paraId="3F3408E3" w14:textId="77777777" w:rsidTr="00F36B82">
        <w:trPr>
          <w:divId w:val="1225071347"/>
          <w:trHeight w:val="170"/>
        </w:trPr>
        <w:tc>
          <w:tcPr>
            <w:tcW w:w="3252" w:type="pct"/>
            <w:tcBorders>
              <w:top w:val="nil"/>
              <w:left w:val="nil"/>
              <w:bottom w:val="single" w:sz="4" w:space="0" w:color="auto"/>
              <w:right w:val="nil"/>
            </w:tcBorders>
            <w:vAlign w:val="center"/>
            <w:hideMark/>
          </w:tcPr>
          <w:p w14:paraId="122827BE" w14:textId="77777777" w:rsidR="00A74C68" w:rsidRPr="00F36B82" w:rsidRDefault="00A74C68" w:rsidP="00A74C68">
            <w:pPr>
              <w:jc w:val="center"/>
              <w:rPr>
                <w:b/>
                <w:bCs/>
                <w:color w:val="000000"/>
                <w:sz w:val="16"/>
                <w:szCs w:val="16"/>
                <w:lang w:eastAsia="tr-TR"/>
              </w:rPr>
            </w:pPr>
            <w:r w:rsidRPr="00F36B82">
              <w:rPr>
                <w:b/>
                <w:bCs/>
                <w:color w:val="000000"/>
                <w:sz w:val="16"/>
                <w:szCs w:val="16"/>
                <w:lang w:eastAsia="tr-TR"/>
              </w:rPr>
              <w:t>KATKI SERMAYE</w:t>
            </w:r>
          </w:p>
        </w:tc>
        <w:tc>
          <w:tcPr>
            <w:tcW w:w="936" w:type="pct"/>
            <w:tcBorders>
              <w:top w:val="nil"/>
              <w:left w:val="nil"/>
              <w:bottom w:val="single" w:sz="4" w:space="0" w:color="auto"/>
              <w:right w:val="nil"/>
            </w:tcBorders>
            <w:noWrap/>
            <w:vAlign w:val="bottom"/>
            <w:hideMark/>
          </w:tcPr>
          <w:p w14:paraId="29896EA8"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 </w:t>
            </w:r>
          </w:p>
        </w:tc>
        <w:tc>
          <w:tcPr>
            <w:tcW w:w="811" w:type="pct"/>
            <w:tcBorders>
              <w:top w:val="nil"/>
              <w:left w:val="nil"/>
              <w:bottom w:val="single" w:sz="4" w:space="0" w:color="auto"/>
              <w:right w:val="nil"/>
            </w:tcBorders>
            <w:noWrap/>
            <w:vAlign w:val="bottom"/>
            <w:hideMark/>
          </w:tcPr>
          <w:p w14:paraId="1866EA37"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 </w:t>
            </w:r>
          </w:p>
        </w:tc>
      </w:tr>
      <w:tr w:rsidR="00A74C68" w:rsidRPr="00F36B82" w14:paraId="2982BFE7" w14:textId="77777777" w:rsidTr="00F36B82">
        <w:trPr>
          <w:divId w:val="1225071347"/>
          <w:trHeight w:val="170"/>
        </w:trPr>
        <w:tc>
          <w:tcPr>
            <w:tcW w:w="3252" w:type="pct"/>
            <w:tcBorders>
              <w:top w:val="nil"/>
              <w:left w:val="nil"/>
              <w:bottom w:val="nil"/>
              <w:right w:val="nil"/>
            </w:tcBorders>
            <w:vAlign w:val="center"/>
            <w:hideMark/>
          </w:tcPr>
          <w:p w14:paraId="4A45BC30" w14:textId="77777777" w:rsidR="00A74C68" w:rsidRPr="00F36B82" w:rsidRDefault="00A74C68" w:rsidP="00A74C68">
            <w:pPr>
              <w:rPr>
                <w:color w:val="000000"/>
                <w:sz w:val="16"/>
                <w:szCs w:val="16"/>
                <w:lang w:eastAsia="tr-TR"/>
              </w:rPr>
            </w:pPr>
            <w:r w:rsidRPr="00F36B82">
              <w:rPr>
                <w:color w:val="000000"/>
                <w:sz w:val="16"/>
                <w:szCs w:val="16"/>
                <w:lang w:eastAsia="tr-TR"/>
              </w:rPr>
              <w:t>Kurumca uygun görülen borçlanma araçları ve bunlara ilişkin ihraç primleri</w:t>
            </w:r>
          </w:p>
        </w:tc>
        <w:tc>
          <w:tcPr>
            <w:tcW w:w="936" w:type="pct"/>
            <w:tcBorders>
              <w:top w:val="nil"/>
              <w:left w:val="nil"/>
              <w:bottom w:val="nil"/>
              <w:right w:val="nil"/>
            </w:tcBorders>
            <w:vAlign w:val="bottom"/>
            <w:hideMark/>
          </w:tcPr>
          <w:p w14:paraId="70516177"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c>
          <w:tcPr>
            <w:tcW w:w="811" w:type="pct"/>
            <w:tcBorders>
              <w:top w:val="nil"/>
              <w:left w:val="nil"/>
              <w:bottom w:val="nil"/>
              <w:right w:val="nil"/>
            </w:tcBorders>
            <w:vAlign w:val="bottom"/>
            <w:hideMark/>
          </w:tcPr>
          <w:p w14:paraId="7D14FEE0"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r>
      <w:tr w:rsidR="00A74C68" w:rsidRPr="00F36B82" w14:paraId="1A255221" w14:textId="77777777" w:rsidTr="00F36B82">
        <w:trPr>
          <w:divId w:val="1225071347"/>
          <w:trHeight w:val="170"/>
        </w:trPr>
        <w:tc>
          <w:tcPr>
            <w:tcW w:w="3252" w:type="pct"/>
            <w:tcBorders>
              <w:top w:val="nil"/>
              <w:left w:val="nil"/>
              <w:bottom w:val="nil"/>
              <w:right w:val="nil"/>
            </w:tcBorders>
            <w:vAlign w:val="center"/>
            <w:hideMark/>
          </w:tcPr>
          <w:p w14:paraId="1808C362" w14:textId="77777777" w:rsidR="00A74C68" w:rsidRPr="00F36B82" w:rsidRDefault="00A74C68" w:rsidP="00A74C68">
            <w:pPr>
              <w:rPr>
                <w:color w:val="000000"/>
                <w:sz w:val="16"/>
                <w:szCs w:val="16"/>
                <w:lang w:eastAsia="tr-TR"/>
              </w:rPr>
            </w:pPr>
            <w:r w:rsidRPr="00F36B82">
              <w:rPr>
                <w:color w:val="000000"/>
                <w:sz w:val="16"/>
                <w:szCs w:val="16"/>
                <w:lang w:eastAsia="tr-TR"/>
              </w:rPr>
              <w:t>Kurumca uygun görülen borçlanma araçları ve bunlara ilişkin ihraç primleri (Geçici Madde 4 kapsamında olanlar)</w:t>
            </w:r>
          </w:p>
        </w:tc>
        <w:tc>
          <w:tcPr>
            <w:tcW w:w="936" w:type="pct"/>
            <w:tcBorders>
              <w:top w:val="nil"/>
              <w:left w:val="nil"/>
              <w:bottom w:val="nil"/>
              <w:right w:val="nil"/>
            </w:tcBorders>
            <w:vAlign w:val="bottom"/>
            <w:hideMark/>
          </w:tcPr>
          <w:p w14:paraId="233C3E80"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c>
          <w:tcPr>
            <w:tcW w:w="811" w:type="pct"/>
            <w:tcBorders>
              <w:top w:val="nil"/>
              <w:left w:val="nil"/>
              <w:bottom w:val="nil"/>
              <w:right w:val="nil"/>
            </w:tcBorders>
            <w:vAlign w:val="bottom"/>
            <w:hideMark/>
          </w:tcPr>
          <w:p w14:paraId="59367B4E"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r>
      <w:tr w:rsidR="00A74C68" w:rsidRPr="00F36B82" w14:paraId="06113D51" w14:textId="77777777" w:rsidTr="00F36B82">
        <w:trPr>
          <w:divId w:val="1225071347"/>
          <w:trHeight w:val="170"/>
        </w:trPr>
        <w:tc>
          <w:tcPr>
            <w:tcW w:w="3252" w:type="pct"/>
            <w:tcBorders>
              <w:top w:val="nil"/>
              <w:left w:val="nil"/>
              <w:bottom w:val="single" w:sz="4" w:space="0" w:color="auto"/>
              <w:right w:val="nil"/>
            </w:tcBorders>
            <w:vAlign w:val="center"/>
            <w:hideMark/>
          </w:tcPr>
          <w:p w14:paraId="24CC79F5" w14:textId="77777777" w:rsidR="00A74C68" w:rsidRPr="00F36B82" w:rsidRDefault="00A74C68" w:rsidP="00A74C68">
            <w:pPr>
              <w:rPr>
                <w:color w:val="000000"/>
                <w:sz w:val="16"/>
                <w:szCs w:val="16"/>
                <w:lang w:eastAsia="tr-TR"/>
              </w:rPr>
            </w:pPr>
            <w:r w:rsidRPr="00F36B82">
              <w:rPr>
                <w:color w:val="000000"/>
                <w:sz w:val="16"/>
                <w:szCs w:val="16"/>
                <w:lang w:eastAsia="tr-TR"/>
              </w:rPr>
              <w:t>Karşılıklar (Bankaların Özkaynaklarına İlişkin Yönetmeliğin 8 inci maddesinin birinci fıkrasında belirtilen tutarlar)</w:t>
            </w:r>
          </w:p>
        </w:tc>
        <w:tc>
          <w:tcPr>
            <w:tcW w:w="936" w:type="pct"/>
            <w:tcBorders>
              <w:top w:val="nil"/>
              <w:left w:val="nil"/>
              <w:bottom w:val="single" w:sz="4" w:space="0" w:color="auto"/>
              <w:right w:val="nil"/>
            </w:tcBorders>
            <w:vAlign w:val="bottom"/>
            <w:hideMark/>
          </w:tcPr>
          <w:p w14:paraId="536F67CC"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69.280</w:t>
            </w:r>
          </w:p>
        </w:tc>
        <w:tc>
          <w:tcPr>
            <w:tcW w:w="811" w:type="pct"/>
            <w:tcBorders>
              <w:top w:val="nil"/>
              <w:left w:val="nil"/>
              <w:bottom w:val="single" w:sz="4" w:space="0" w:color="auto"/>
              <w:right w:val="nil"/>
            </w:tcBorders>
            <w:vAlign w:val="bottom"/>
            <w:hideMark/>
          </w:tcPr>
          <w:p w14:paraId="73EDD4FF"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86.578</w:t>
            </w:r>
          </w:p>
        </w:tc>
      </w:tr>
      <w:tr w:rsidR="00A74C68" w:rsidRPr="00F36B82" w14:paraId="4C2D9C67" w14:textId="77777777" w:rsidTr="00F36B82">
        <w:trPr>
          <w:divId w:val="1225071347"/>
          <w:trHeight w:val="170"/>
        </w:trPr>
        <w:tc>
          <w:tcPr>
            <w:tcW w:w="3252" w:type="pct"/>
            <w:tcBorders>
              <w:top w:val="single" w:sz="4" w:space="0" w:color="auto"/>
              <w:left w:val="nil"/>
              <w:bottom w:val="single" w:sz="4" w:space="0" w:color="auto"/>
              <w:right w:val="nil"/>
            </w:tcBorders>
            <w:vAlign w:val="center"/>
            <w:hideMark/>
          </w:tcPr>
          <w:p w14:paraId="5E69F782" w14:textId="77777777" w:rsidR="00A74C68" w:rsidRPr="00F36B82" w:rsidRDefault="00A74C68" w:rsidP="00A74C68">
            <w:pPr>
              <w:rPr>
                <w:b/>
                <w:bCs/>
                <w:color w:val="000000"/>
                <w:sz w:val="16"/>
                <w:szCs w:val="16"/>
                <w:lang w:eastAsia="tr-TR"/>
              </w:rPr>
            </w:pPr>
            <w:r w:rsidRPr="00F36B82">
              <w:rPr>
                <w:b/>
                <w:bCs/>
                <w:color w:val="000000"/>
                <w:sz w:val="16"/>
                <w:szCs w:val="16"/>
                <w:lang w:eastAsia="tr-TR"/>
              </w:rPr>
              <w:t>İndirimler Öncesi Katkı Sermaye</w:t>
            </w:r>
          </w:p>
        </w:tc>
        <w:tc>
          <w:tcPr>
            <w:tcW w:w="936" w:type="pct"/>
            <w:tcBorders>
              <w:top w:val="single" w:sz="4" w:space="0" w:color="auto"/>
              <w:left w:val="nil"/>
              <w:bottom w:val="single" w:sz="4" w:space="0" w:color="auto"/>
              <w:right w:val="nil"/>
            </w:tcBorders>
            <w:vAlign w:val="bottom"/>
            <w:hideMark/>
          </w:tcPr>
          <w:p w14:paraId="22492114"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69.280</w:t>
            </w:r>
          </w:p>
        </w:tc>
        <w:tc>
          <w:tcPr>
            <w:tcW w:w="811" w:type="pct"/>
            <w:tcBorders>
              <w:top w:val="single" w:sz="4" w:space="0" w:color="auto"/>
              <w:left w:val="nil"/>
              <w:bottom w:val="single" w:sz="4" w:space="0" w:color="auto"/>
              <w:right w:val="nil"/>
            </w:tcBorders>
            <w:vAlign w:val="bottom"/>
            <w:hideMark/>
          </w:tcPr>
          <w:p w14:paraId="6A86B07D"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86.578</w:t>
            </w:r>
          </w:p>
        </w:tc>
      </w:tr>
      <w:tr w:rsidR="00A74C68" w:rsidRPr="00F36B82" w14:paraId="6A3ECCF7" w14:textId="77777777" w:rsidTr="00F36B82">
        <w:trPr>
          <w:divId w:val="1225071347"/>
          <w:trHeight w:val="170"/>
        </w:trPr>
        <w:tc>
          <w:tcPr>
            <w:tcW w:w="3252" w:type="pct"/>
            <w:tcBorders>
              <w:top w:val="nil"/>
              <w:left w:val="nil"/>
              <w:bottom w:val="single" w:sz="4" w:space="0" w:color="auto"/>
              <w:right w:val="nil"/>
            </w:tcBorders>
            <w:vAlign w:val="center"/>
            <w:hideMark/>
          </w:tcPr>
          <w:p w14:paraId="0CD5F1F7" w14:textId="77777777" w:rsidR="00A74C68" w:rsidRPr="00F36B82" w:rsidRDefault="00A74C68" w:rsidP="00A74C68">
            <w:pPr>
              <w:jc w:val="center"/>
              <w:rPr>
                <w:b/>
                <w:bCs/>
                <w:color w:val="000000"/>
                <w:sz w:val="16"/>
                <w:szCs w:val="16"/>
                <w:lang w:eastAsia="tr-TR"/>
              </w:rPr>
            </w:pPr>
            <w:r w:rsidRPr="00F36B82">
              <w:rPr>
                <w:b/>
                <w:bCs/>
                <w:color w:val="000000"/>
                <w:sz w:val="16"/>
                <w:szCs w:val="16"/>
                <w:lang w:eastAsia="tr-TR"/>
              </w:rPr>
              <w:t>Katkı Sermayeden Yapılacak İndirimler</w:t>
            </w:r>
          </w:p>
        </w:tc>
        <w:tc>
          <w:tcPr>
            <w:tcW w:w="936" w:type="pct"/>
            <w:tcBorders>
              <w:top w:val="nil"/>
              <w:left w:val="nil"/>
              <w:bottom w:val="single" w:sz="4" w:space="0" w:color="auto"/>
              <w:right w:val="nil"/>
            </w:tcBorders>
            <w:vAlign w:val="bottom"/>
            <w:hideMark/>
          </w:tcPr>
          <w:p w14:paraId="06B03C58"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 </w:t>
            </w:r>
          </w:p>
        </w:tc>
        <w:tc>
          <w:tcPr>
            <w:tcW w:w="811" w:type="pct"/>
            <w:tcBorders>
              <w:top w:val="nil"/>
              <w:left w:val="nil"/>
              <w:bottom w:val="single" w:sz="4" w:space="0" w:color="auto"/>
              <w:right w:val="nil"/>
            </w:tcBorders>
            <w:vAlign w:val="bottom"/>
            <w:hideMark/>
          </w:tcPr>
          <w:p w14:paraId="3207A482"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 </w:t>
            </w:r>
          </w:p>
        </w:tc>
      </w:tr>
      <w:tr w:rsidR="00A74C68" w:rsidRPr="00F36B82" w14:paraId="3A7AF134" w14:textId="77777777" w:rsidTr="00F36B82">
        <w:trPr>
          <w:divId w:val="1225071347"/>
          <w:trHeight w:val="170"/>
        </w:trPr>
        <w:tc>
          <w:tcPr>
            <w:tcW w:w="3252" w:type="pct"/>
            <w:tcBorders>
              <w:top w:val="single" w:sz="4" w:space="0" w:color="auto"/>
              <w:left w:val="nil"/>
              <w:bottom w:val="single" w:sz="4" w:space="0" w:color="auto"/>
              <w:right w:val="nil"/>
            </w:tcBorders>
            <w:vAlign w:val="center"/>
            <w:hideMark/>
          </w:tcPr>
          <w:p w14:paraId="064A1359" w14:textId="77777777" w:rsidR="00A74C68" w:rsidRPr="00F36B82" w:rsidRDefault="00A74C68" w:rsidP="00A74C68">
            <w:pPr>
              <w:rPr>
                <w:color w:val="000000"/>
                <w:sz w:val="16"/>
                <w:szCs w:val="16"/>
                <w:lang w:eastAsia="tr-TR"/>
              </w:rPr>
            </w:pPr>
            <w:r w:rsidRPr="00F36B82">
              <w:rPr>
                <w:color w:val="000000"/>
                <w:sz w:val="16"/>
                <w:szCs w:val="16"/>
                <w:lang w:eastAsia="tr-TR"/>
              </w:rPr>
              <w:t>Bankanın kendi katkı sermayesine yapmış olduğu doğrudan veya dolaylı yatırımlar (-)</w:t>
            </w:r>
          </w:p>
        </w:tc>
        <w:tc>
          <w:tcPr>
            <w:tcW w:w="936" w:type="pct"/>
            <w:tcBorders>
              <w:top w:val="single" w:sz="4" w:space="0" w:color="auto"/>
              <w:left w:val="nil"/>
              <w:bottom w:val="single" w:sz="4" w:space="0" w:color="auto"/>
              <w:right w:val="nil"/>
            </w:tcBorders>
            <w:vAlign w:val="bottom"/>
            <w:hideMark/>
          </w:tcPr>
          <w:p w14:paraId="62D4FB39"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c>
          <w:tcPr>
            <w:tcW w:w="811" w:type="pct"/>
            <w:tcBorders>
              <w:top w:val="single" w:sz="4" w:space="0" w:color="auto"/>
              <w:left w:val="nil"/>
              <w:bottom w:val="single" w:sz="4" w:space="0" w:color="auto"/>
              <w:right w:val="nil"/>
            </w:tcBorders>
            <w:vAlign w:val="bottom"/>
            <w:hideMark/>
          </w:tcPr>
          <w:p w14:paraId="1FB694E6"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r>
      <w:tr w:rsidR="00A74C68" w:rsidRPr="00F36B82" w14:paraId="3A161201" w14:textId="77777777" w:rsidTr="00F36B82">
        <w:trPr>
          <w:divId w:val="1225071347"/>
          <w:trHeight w:val="170"/>
        </w:trPr>
        <w:tc>
          <w:tcPr>
            <w:tcW w:w="3252" w:type="pct"/>
            <w:tcBorders>
              <w:top w:val="nil"/>
              <w:left w:val="nil"/>
              <w:bottom w:val="single" w:sz="4" w:space="0" w:color="auto"/>
              <w:right w:val="nil"/>
            </w:tcBorders>
            <w:vAlign w:val="center"/>
            <w:hideMark/>
          </w:tcPr>
          <w:p w14:paraId="198433D5" w14:textId="77777777" w:rsidR="00A74C68" w:rsidRPr="00F36B82" w:rsidRDefault="00A74C68" w:rsidP="00A74C68">
            <w:pPr>
              <w:rPr>
                <w:color w:val="000000"/>
                <w:sz w:val="16"/>
                <w:szCs w:val="16"/>
                <w:lang w:eastAsia="tr-TR"/>
              </w:rPr>
            </w:pPr>
            <w:r w:rsidRPr="00F36B82">
              <w:rPr>
                <w:color w:val="000000"/>
                <w:sz w:val="16"/>
                <w:szCs w:val="16"/>
                <w:lang w:eastAsia="tr-TR"/>
              </w:rPr>
              <w:t>Bankanın katkı sermaye kalemlerine yatırım yapan bankalar ile finansal kuruluşlar tarafından ihraç edilen ve Yönetmeliğin 8 inci maddesinde belirtilen şartları taşıyan özkaynak kalemlerine bankanın yaptığı yatırımlar</w:t>
            </w:r>
          </w:p>
        </w:tc>
        <w:tc>
          <w:tcPr>
            <w:tcW w:w="936" w:type="pct"/>
            <w:tcBorders>
              <w:top w:val="nil"/>
              <w:left w:val="nil"/>
              <w:bottom w:val="single" w:sz="4" w:space="0" w:color="auto"/>
              <w:right w:val="nil"/>
            </w:tcBorders>
            <w:vAlign w:val="bottom"/>
            <w:hideMark/>
          </w:tcPr>
          <w:p w14:paraId="7FC520FB"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c>
          <w:tcPr>
            <w:tcW w:w="811" w:type="pct"/>
            <w:tcBorders>
              <w:top w:val="nil"/>
              <w:left w:val="nil"/>
              <w:bottom w:val="single" w:sz="4" w:space="0" w:color="auto"/>
              <w:right w:val="nil"/>
            </w:tcBorders>
            <w:vAlign w:val="bottom"/>
            <w:hideMark/>
          </w:tcPr>
          <w:p w14:paraId="488F3CA3"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r>
      <w:tr w:rsidR="00A74C68" w:rsidRPr="00F36B82" w14:paraId="49FB97D5" w14:textId="77777777" w:rsidTr="00F36B82">
        <w:trPr>
          <w:divId w:val="1225071347"/>
          <w:trHeight w:val="170"/>
        </w:trPr>
        <w:tc>
          <w:tcPr>
            <w:tcW w:w="3252" w:type="pct"/>
            <w:tcBorders>
              <w:top w:val="nil"/>
              <w:left w:val="nil"/>
              <w:bottom w:val="single" w:sz="4" w:space="0" w:color="auto"/>
              <w:right w:val="nil"/>
            </w:tcBorders>
            <w:vAlign w:val="center"/>
            <w:hideMark/>
          </w:tcPr>
          <w:p w14:paraId="7BBD9391" w14:textId="77777777" w:rsidR="00A74C68" w:rsidRPr="00F36B82" w:rsidRDefault="00A74C68" w:rsidP="00A74C68">
            <w:pPr>
              <w:rPr>
                <w:color w:val="000000"/>
                <w:sz w:val="16"/>
                <w:szCs w:val="16"/>
                <w:lang w:eastAsia="tr-TR"/>
              </w:rPr>
            </w:pPr>
            <w:r w:rsidRPr="00F36B82">
              <w:rPr>
                <w:color w:val="000000"/>
                <w:sz w:val="16"/>
                <w:szCs w:val="16"/>
                <w:lang w:eastAsia="tr-TR"/>
              </w:rPr>
              <w:t>Ortaklık paylarının %10 veya daha azına sahip olunan ve konsolide edilmeyen bankalar ve finansal kuruluşların özkaynak unsurlarına yapılan yatırımların net uzun pozisyonları toplamının, bankanın çekirdek sermayesinin %10’nunu aşan kısmı (-)</w:t>
            </w:r>
          </w:p>
        </w:tc>
        <w:tc>
          <w:tcPr>
            <w:tcW w:w="936" w:type="pct"/>
            <w:tcBorders>
              <w:top w:val="nil"/>
              <w:left w:val="nil"/>
              <w:bottom w:val="single" w:sz="4" w:space="0" w:color="auto"/>
              <w:right w:val="nil"/>
            </w:tcBorders>
            <w:vAlign w:val="bottom"/>
            <w:hideMark/>
          </w:tcPr>
          <w:p w14:paraId="32D30E66"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c>
          <w:tcPr>
            <w:tcW w:w="811" w:type="pct"/>
            <w:tcBorders>
              <w:top w:val="nil"/>
              <w:left w:val="nil"/>
              <w:bottom w:val="single" w:sz="4" w:space="0" w:color="auto"/>
              <w:right w:val="nil"/>
            </w:tcBorders>
            <w:vAlign w:val="bottom"/>
            <w:hideMark/>
          </w:tcPr>
          <w:p w14:paraId="65DC281C"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r>
      <w:tr w:rsidR="00A74C68" w:rsidRPr="00F36B82" w14:paraId="5B3041F7" w14:textId="77777777" w:rsidTr="00F36B82">
        <w:trPr>
          <w:divId w:val="1225071347"/>
          <w:trHeight w:val="170"/>
        </w:trPr>
        <w:tc>
          <w:tcPr>
            <w:tcW w:w="3252" w:type="pct"/>
            <w:tcBorders>
              <w:top w:val="nil"/>
              <w:left w:val="nil"/>
              <w:bottom w:val="single" w:sz="4" w:space="0" w:color="auto"/>
              <w:right w:val="nil"/>
            </w:tcBorders>
            <w:vAlign w:val="center"/>
            <w:hideMark/>
          </w:tcPr>
          <w:p w14:paraId="53FCA22A" w14:textId="77777777" w:rsidR="00A74C68" w:rsidRPr="00F36B82" w:rsidRDefault="00A74C68" w:rsidP="00A74C68">
            <w:pPr>
              <w:rPr>
                <w:color w:val="000000"/>
                <w:sz w:val="16"/>
                <w:szCs w:val="16"/>
                <w:lang w:eastAsia="tr-TR"/>
              </w:rPr>
            </w:pPr>
            <w:r w:rsidRPr="00F36B82">
              <w:rPr>
                <w:color w:val="000000"/>
                <w:sz w:val="16"/>
                <w:szCs w:val="16"/>
                <w:lang w:eastAsia="tr-TR"/>
              </w:rPr>
              <w:t>Ortaklık paylarının %10 veya daha fazlasına sahip olunan ve konsolide edilmeyen bankalar ve finansal kuruluşların katkı sermaye unsurlarına yapılan yatırımların net uzun pozisyonları toplamı</w:t>
            </w:r>
          </w:p>
        </w:tc>
        <w:tc>
          <w:tcPr>
            <w:tcW w:w="936" w:type="pct"/>
            <w:tcBorders>
              <w:top w:val="nil"/>
              <w:left w:val="nil"/>
              <w:bottom w:val="single" w:sz="4" w:space="0" w:color="auto"/>
              <w:right w:val="nil"/>
            </w:tcBorders>
            <w:vAlign w:val="bottom"/>
            <w:hideMark/>
          </w:tcPr>
          <w:p w14:paraId="1DE612A8"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c>
          <w:tcPr>
            <w:tcW w:w="811" w:type="pct"/>
            <w:tcBorders>
              <w:top w:val="nil"/>
              <w:left w:val="nil"/>
              <w:bottom w:val="single" w:sz="4" w:space="0" w:color="auto"/>
              <w:right w:val="nil"/>
            </w:tcBorders>
            <w:vAlign w:val="bottom"/>
            <w:hideMark/>
          </w:tcPr>
          <w:p w14:paraId="1E667201"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r>
      <w:tr w:rsidR="00A74C68" w:rsidRPr="00F36B82" w14:paraId="66B22A00" w14:textId="77777777" w:rsidTr="00F36B82">
        <w:trPr>
          <w:divId w:val="1225071347"/>
          <w:trHeight w:val="170"/>
        </w:trPr>
        <w:tc>
          <w:tcPr>
            <w:tcW w:w="3252" w:type="pct"/>
            <w:tcBorders>
              <w:top w:val="nil"/>
              <w:left w:val="nil"/>
              <w:bottom w:val="single" w:sz="4" w:space="0" w:color="auto"/>
              <w:right w:val="nil"/>
            </w:tcBorders>
            <w:vAlign w:val="center"/>
            <w:hideMark/>
          </w:tcPr>
          <w:p w14:paraId="655F8402" w14:textId="77777777" w:rsidR="00A74C68" w:rsidRPr="00F36B82" w:rsidRDefault="00A74C68" w:rsidP="00A74C68">
            <w:pPr>
              <w:rPr>
                <w:color w:val="000000"/>
                <w:sz w:val="16"/>
                <w:szCs w:val="16"/>
                <w:lang w:eastAsia="tr-TR"/>
              </w:rPr>
            </w:pPr>
            <w:r w:rsidRPr="00F36B82">
              <w:rPr>
                <w:color w:val="000000"/>
                <w:sz w:val="16"/>
                <w:szCs w:val="16"/>
                <w:lang w:eastAsia="tr-TR"/>
              </w:rPr>
              <w:t>Kurulca belirlenecek diğer kalemler (-)</w:t>
            </w:r>
          </w:p>
        </w:tc>
        <w:tc>
          <w:tcPr>
            <w:tcW w:w="936" w:type="pct"/>
            <w:tcBorders>
              <w:top w:val="nil"/>
              <w:left w:val="nil"/>
              <w:bottom w:val="single" w:sz="4" w:space="0" w:color="auto"/>
              <w:right w:val="nil"/>
            </w:tcBorders>
            <w:vAlign w:val="bottom"/>
            <w:hideMark/>
          </w:tcPr>
          <w:p w14:paraId="1C58346B"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c>
          <w:tcPr>
            <w:tcW w:w="811" w:type="pct"/>
            <w:tcBorders>
              <w:top w:val="nil"/>
              <w:left w:val="nil"/>
              <w:bottom w:val="single" w:sz="4" w:space="0" w:color="auto"/>
              <w:right w:val="nil"/>
            </w:tcBorders>
            <w:vAlign w:val="bottom"/>
            <w:hideMark/>
          </w:tcPr>
          <w:p w14:paraId="7EDFB1BA"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r>
      <w:tr w:rsidR="00A74C68" w:rsidRPr="00F36B82" w14:paraId="44E80619" w14:textId="77777777" w:rsidTr="00F36B82">
        <w:trPr>
          <w:divId w:val="1225071347"/>
          <w:trHeight w:val="170"/>
        </w:trPr>
        <w:tc>
          <w:tcPr>
            <w:tcW w:w="3252" w:type="pct"/>
            <w:tcBorders>
              <w:top w:val="nil"/>
              <w:left w:val="nil"/>
              <w:bottom w:val="single" w:sz="4" w:space="0" w:color="auto"/>
              <w:right w:val="nil"/>
            </w:tcBorders>
            <w:vAlign w:val="center"/>
            <w:hideMark/>
          </w:tcPr>
          <w:p w14:paraId="5C021E89" w14:textId="77777777" w:rsidR="00A74C68" w:rsidRPr="00F36B82" w:rsidRDefault="00A74C68" w:rsidP="00A74C68">
            <w:pPr>
              <w:rPr>
                <w:b/>
                <w:bCs/>
                <w:color w:val="000000"/>
                <w:sz w:val="16"/>
                <w:szCs w:val="16"/>
                <w:lang w:eastAsia="tr-TR"/>
              </w:rPr>
            </w:pPr>
            <w:r w:rsidRPr="00F36B82">
              <w:rPr>
                <w:b/>
                <w:bCs/>
                <w:color w:val="000000"/>
                <w:sz w:val="16"/>
                <w:szCs w:val="16"/>
                <w:lang w:eastAsia="tr-TR"/>
              </w:rPr>
              <w:t>Katkı Sermayeden Yapılan İndirimler Toplamı</w:t>
            </w:r>
          </w:p>
        </w:tc>
        <w:tc>
          <w:tcPr>
            <w:tcW w:w="936" w:type="pct"/>
            <w:tcBorders>
              <w:top w:val="nil"/>
              <w:left w:val="nil"/>
              <w:bottom w:val="single" w:sz="4" w:space="0" w:color="auto"/>
              <w:right w:val="nil"/>
            </w:tcBorders>
            <w:vAlign w:val="bottom"/>
            <w:hideMark/>
          </w:tcPr>
          <w:p w14:paraId="585A541F"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c>
          <w:tcPr>
            <w:tcW w:w="811" w:type="pct"/>
            <w:tcBorders>
              <w:top w:val="nil"/>
              <w:left w:val="nil"/>
              <w:bottom w:val="single" w:sz="4" w:space="0" w:color="auto"/>
              <w:right w:val="nil"/>
            </w:tcBorders>
            <w:vAlign w:val="bottom"/>
            <w:hideMark/>
          </w:tcPr>
          <w:p w14:paraId="1C5A07C0"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r>
      <w:tr w:rsidR="00A74C68" w:rsidRPr="00F36B82" w14:paraId="75682045" w14:textId="77777777" w:rsidTr="00F36B82">
        <w:trPr>
          <w:divId w:val="1225071347"/>
          <w:trHeight w:val="170"/>
        </w:trPr>
        <w:tc>
          <w:tcPr>
            <w:tcW w:w="3252" w:type="pct"/>
            <w:tcBorders>
              <w:top w:val="nil"/>
              <w:left w:val="nil"/>
              <w:bottom w:val="single" w:sz="4" w:space="0" w:color="auto"/>
              <w:right w:val="nil"/>
            </w:tcBorders>
            <w:vAlign w:val="center"/>
            <w:hideMark/>
          </w:tcPr>
          <w:p w14:paraId="143ED383" w14:textId="77777777" w:rsidR="00A74C68" w:rsidRPr="00F36B82" w:rsidRDefault="00A74C68" w:rsidP="00A74C68">
            <w:pPr>
              <w:rPr>
                <w:b/>
                <w:bCs/>
                <w:color w:val="000000"/>
                <w:sz w:val="16"/>
                <w:szCs w:val="16"/>
                <w:lang w:eastAsia="tr-TR"/>
              </w:rPr>
            </w:pPr>
            <w:r w:rsidRPr="00F36B82">
              <w:rPr>
                <w:b/>
                <w:bCs/>
                <w:color w:val="000000"/>
                <w:sz w:val="16"/>
                <w:szCs w:val="16"/>
                <w:lang w:eastAsia="tr-TR"/>
              </w:rPr>
              <w:t>Katkı Sermaye Toplamı</w:t>
            </w:r>
          </w:p>
        </w:tc>
        <w:tc>
          <w:tcPr>
            <w:tcW w:w="936" w:type="pct"/>
            <w:tcBorders>
              <w:top w:val="nil"/>
              <w:left w:val="nil"/>
              <w:bottom w:val="single" w:sz="4" w:space="0" w:color="auto"/>
              <w:right w:val="nil"/>
            </w:tcBorders>
            <w:vAlign w:val="bottom"/>
            <w:hideMark/>
          </w:tcPr>
          <w:p w14:paraId="494507AE"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69.280</w:t>
            </w:r>
          </w:p>
        </w:tc>
        <w:tc>
          <w:tcPr>
            <w:tcW w:w="811" w:type="pct"/>
            <w:tcBorders>
              <w:top w:val="nil"/>
              <w:left w:val="nil"/>
              <w:bottom w:val="single" w:sz="4" w:space="0" w:color="auto"/>
              <w:right w:val="nil"/>
            </w:tcBorders>
            <w:vAlign w:val="bottom"/>
            <w:hideMark/>
          </w:tcPr>
          <w:p w14:paraId="784475CD"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86.578</w:t>
            </w:r>
          </w:p>
        </w:tc>
      </w:tr>
      <w:tr w:rsidR="00A74C68" w:rsidRPr="00F36B82" w14:paraId="550937BC" w14:textId="77777777" w:rsidTr="00F36B82">
        <w:trPr>
          <w:divId w:val="1225071347"/>
          <w:trHeight w:val="170"/>
        </w:trPr>
        <w:tc>
          <w:tcPr>
            <w:tcW w:w="3252" w:type="pct"/>
            <w:tcBorders>
              <w:top w:val="nil"/>
              <w:left w:val="nil"/>
              <w:bottom w:val="single" w:sz="4" w:space="0" w:color="auto"/>
              <w:right w:val="nil"/>
            </w:tcBorders>
            <w:vAlign w:val="center"/>
            <w:hideMark/>
          </w:tcPr>
          <w:p w14:paraId="36AAFF5D" w14:textId="77777777" w:rsidR="00A74C68" w:rsidRPr="00F36B82" w:rsidRDefault="00A74C68" w:rsidP="00A74C68">
            <w:pPr>
              <w:rPr>
                <w:b/>
                <w:bCs/>
                <w:color w:val="000000"/>
                <w:sz w:val="16"/>
                <w:szCs w:val="16"/>
                <w:lang w:eastAsia="tr-TR"/>
              </w:rPr>
            </w:pPr>
            <w:r w:rsidRPr="00F36B82">
              <w:rPr>
                <w:b/>
                <w:bCs/>
                <w:color w:val="000000"/>
                <w:sz w:val="16"/>
                <w:szCs w:val="16"/>
                <w:lang w:eastAsia="tr-TR"/>
              </w:rPr>
              <w:t>Toplam Özkaynak (Ana Sermaye ve Katkı Sermaye Toplamı)</w:t>
            </w:r>
          </w:p>
        </w:tc>
        <w:tc>
          <w:tcPr>
            <w:tcW w:w="936" w:type="pct"/>
            <w:tcBorders>
              <w:top w:val="nil"/>
              <w:left w:val="nil"/>
              <w:bottom w:val="single" w:sz="4" w:space="0" w:color="auto"/>
              <w:right w:val="nil"/>
            </w:tcBorders>
            <w:vAlign w:val="bottom"/>
            <w:hideMark/>
          </w:tcPr>
          <w:p w14:paraId="591355D8"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8.833.930</w:t>
            </w:r>
          </w:p>
        </w:tc>
        <w:tc>
          <w:tcPr>
            <w:tcW w:w="811" w:type="pct"/>
            <w:tcBorders>
              <w:top w:val="nil"/>
              <w:left w:val="nil"/>
              <w:bottom w:val="single" w:sz="4" w:space="0" w:color="auto"/>
              <w:right w:val="nil"/>
            </w:tcBorders>
            <w:vAlign w:val="bottom"/>
            <w:hideMark/>
          </w:tcPr>
          <w:p w14:paraId="55D12F1C"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7.068.728</w:t>
            </w:r>
          </w:p>
        </w:tc>
      </w:tr>
      <w:tr w:rsidR="00A74C68" w:rsidRPr="00F36B82" w14:paraId="6D7674EA" w14:textId="77777777" w:rsidTr="00F36B82">
        <w:trPr>
          <w:divId w:val="1225071347"/>
          <w:trHeight w:val="170"/>
        </w:trPr>
        <w:tc>
          <w:tcPr>
            <w:tcW w:w="3252" w:type="pct"/>
            <w:tcBorders>
              <w:top w:val="nil"/>
              <w:left w:val="nil"/>
              <w:bottom w:val="single" w:sz="4" w:space="0" w:color="auto"/>
              <w:right w:val="nil"/>
            </w:tcBorders>
            <w:vAlign w:val="center"/>
            <w:hideMark/>
          </w:tcPr>
          <w:p w14:paraId="5DAC1D15" w14:textId="77777777" w:rsidR="00A74C68" w:rsidRPr="00F36B82" w:rsidRDefault="00A74C68" w:rsidP="00A74C68">
            <w:pPr>
              <w:jc w:val="center"/>
              <w:rPr>
                <w:b/>
                <w:bCs/>
                <w:color w:val="000000"/>
                <w:sz w:val="16"/>
                <w:szCs w:val="16"/>
                <w:lang w:eastAsia="tr-TR"/>
              </w:rPr>
            </w:pPr>
            <w:r w:rsidRPr="00F36B82">
              <w:rPr>
                <w:b/>
                <w:bCs/>
                <w:color w:val="000000"/>
                <w:sz w:val="16"/>
                <w:szCs w:val="16"/>
                <w:lang w:eastAsia="tr-TR"/>
              </w:rPr>
              <w:t>Ana Sermaye ve Katkı Sermaye Toplamı (Toplam Özkaynak)</w:t>
            </w:r>
          </w:p>
        </w:tc>
        <w:tc>
          <w:tcPr>
            <w:tcW w:w="936" w:type="pct"/>
            <w:tcBorders>
              <w:top w:val="nil"/>
              <w:left w:val="nil"/>
              <w:bottom w:val="single" w:sz="4" w:space="0" w:color="auto"/>
              <w:right w:val="nil"/>
            </w:tcBorders>
            <w:vAlign w:val="bottom"/>
            <w:hideMark/>
          </w:tcPr>
          <w:p w14:paraId="2EE49D26"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 </w:t>
            </w:r>
          </w:p>
        </w:tc>
        <w:tc>
          <w:tcPr>
            <w:tcW w:w="811" w:type="pct"/>
            <w:tcBorders>
              <w:top w:val="nil"/>
              <w:left w:val="nil"/>
              <w:bottom w:val="single" w:sz="4" w:space="0" w:color="auto"/>
              <w:right w:val="nil"/>
            </w:tcBorders>
            <w:vAlign w:val="bottom"/>
            <w:hideMark/>
          </w:tcPr>
          <w:p w14:paraId="136D9193"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 </w:t>
            </w:r>
          </w:p>
        </w:tc>
      </w:tr>
      <w:tr w:rsidR="00A74C68" w:rsidRPr="00F36B82" w14:paraId="27BFE678" w14:textId="77777777" w:rsidTr="00F36B82">
        <w:trPr>
          <w:divId w:val="1225071347"/>
          <w:trHeight w:val="170"/>
        </w:trPr>
        <w:tc>
          <w:tcPr>
            <w:tcW w:w="3252" w:type="pct"/>
            <w:tcBorders>
              <w:top w:val="single" w:sz="4" w:space="0" w:color="auto"/>
              <w:left w:val="nil"/>
              <w:bottom w:val="single" w:sz="4" w:space="0" w:color="auto"/>
              <w:right w:val="nil"/>
            </w:tcBorders>
            <w:vAlign w:val="center"/>
            <w:hideMark/>
          </w:tcPr>
          <w:p w14:paraId="74701DE8" w14:textId="77777777" w:rsidR="00A74C68" w:rsidRPr="00F36B82" w:rsidRDefault="00A74C68" w:rsidP="00A74C68">
            <w:pPr>
              <w:rPr>
                <w:color w:val="000000"/>
                <w:sz w:val="16"/>
                <w:szCs w:val="16"/>
                <w:lang w:eastAsia="tr-TR"/>
              </w:rPr>
            </w:pPr>
            <w:r w:rsidRPr="00F36B82">
              <w:rPr>
                <w:color w:val="000000"/>
                <w:sz w:val="16"/>
                <w:szCs w:val="16"/>
                <w:lang w:eastAsia="tr-TR"/>
              </w:rPr>
              <w:t>Kanunun 50 ve 51 inci maddeleri hükümlerine aykırı olarak kullandırılan krediler</w:t>
            </w:r>
          </w:p>
        </w:tc>
        <w:tc>
          <w:tcPr>
            <w:tcW w:w="936" w:type="pct"/>
            <w:tcBorders>
              <w:top w:val="single" w:sz="4" w:space="0" w:color="auto"/>
              <w:left w:val="nil"/>
              <w:bottom w:val="single" w:sz="4" w:space="0" w:color="auto"/>
              <w:right w:val="nil"/>
            </w:tcBorders>
            <w:vAlign w:val="bottom"/>
            <w:hideMark/>
          </w:tcPr>
          <w:p w14:paraId="0C383283"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c>
          <w:tcPr>
            <w:tcW w:w="811" w:type="pct"/>
            <w:tcBorders>
              <w:top w:val="single" w:sz="4" w:space="0" w:color="auto"/>
              <w:left w:val="nil"/>
              <w:bottom w:val="single" w:sz="4" w:space="0" w:color="auto"/>
              <w:right w:val="nil"/>
            </w:tcBorders>
            <w:vAlign w:val="bottom"/>
            <w:hideMark/>
          </w:tcPr>
          <w:p w14:paraId="62F68E59"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r>
      <w:tr w:rsidR="00A74C68" w:rsidRPr="00F36B82" w14:paraId="60EB64A8" w14:textId="77777777" w:rsidTr="00F36B82">
        <w:trPr>
          <w:divId w:val="1225071347"/>
          <w:trHeight w:val="170"/>
        </w:trPr>
        <w:tc>
          <w:tcPr>
            <w:tcW w:w="3252" w:type="pct"/>
            <w:tcBorders>
              <w:top w:val="nil"/>
              <w:left w:val="nil"/>
              <w:bottom w:val="single" w:sz="4" w:space="0" w:color="auto"/>
              <w:right w:val="nil"/>
            </w:tcBorders>
            <w:vAlign w:val="center"/>
            <w:hideMark/>
          </w:tcPr>
          <w:p w14:paraId="07F93FEC" w14:textId="77777777" w:rsidR="00A74C68" w:rsidRPr="00F36B82" w:rsidRDefault="00A74C68" w:rsidP="00A74C68">
            <w:pPr>
              <w:rPr>
                <w:color w:val="000000"/>
                <w:sz w:val="16"/>
                <w:szCs w:val="16"/>
                <w:lang w:eastAsia="tr-TR"/>
              </w:rPr>
            </w:pPr>
            <w:r w:rsidRPr="00F36B82">
              <w:rPr>
                <w:color w:val="000000"/>
                <w:sz w:val="16"/>
                <w:szCs w:val="16"/>
                <w:lang w:eastAsia="tr-TR"/>
              </w:rPr>
              <w:t xml:space="preserve">Kanunun </w:t>
            </w:r>
            <w:proofErr w:type="gramStart"/>
            <w:r w:rsidRPr="00F36B82">
              <w:rPr>
                <w:color w:val="000000"/>
                <w:sz w:val="16"/>
                <w:szCs w:val="16"/>
                <w:lang w:eastAsia="tr-TR"/>
              </w:rPr>
              <w:t>57 nci</w:t>
            </w:r>
            <w:proofErr w:type="gramEnd"/>
            <w:r w:rsidRPr="00F36B82">
              <w:rPr>
                <w:color w:val="000000"/>
                <w:sz w:val="16"/>
                <w:szCs w:val="16"/>
                <w:lang w:eastAsia="tr-TR"/>
              </w:rPr>
              <w:t xml:space="preserve">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936" w:type="pct"/>
            <w:tcBorders>
              <w:top w:val="nil"/>
              <w:left w:val="nil"/>
              <w:bottom w:val="single" w:sz="4" w:space="0" w:color="auto"/>
              <w:right w:val="nil"/>
            </w:tcBorders>
            <w:vAlign w:val="bottom"/>
            <w:hideMark/>
          </w:tcPr>
          <w:p w14:paraId="0015E84D"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c>
          <w:tcPr>
            <w:tcW w:w="811" w:type="pct"/>
            <w:tcBorders>
              <w:top w:val="nil"/>
              <w:left w:val="nil"/>
              <w:bottom w:val="single" w:sz="4" w:space="0" w:color="auto"/>
              <w:right w:val="nil"/>
            </w:tcBorders>
            <w:vAlign w:val="bottom"/>
            <w:hideMark/>
          </w:tcPr>
          <w:p w14:paraId="637D81DA"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r>
      <w:tr w:rsidR="00A74C68" w:rsidRPr="00F36B82" w14:paraId="52CF6DDD" w14:textId="77777777" w:rsidTr="00F36B82">
        <w:trPr>
          <w:divId w:val="1225071347"/>
          <w:trHeight w:val="170"/>
        </w:trPr>
        <w:tc>
          <w:tcPr>
            <w:tcW w:w="3252" w:type="pct"/>
            <w:tcBorders>
              <w:top w:val="single" w:sz="4" w:space="0" w:color="auto"/>
              <w:left w:val="nil"/>
              <w:bottom w:val="single" w:sz="4" w:space="0" w:color="auto"/>
              <w:right w:val="nil"/>
            </w:tcBorders>
            <w:vAlign w:val="center"/>
            <w:hideMark/>
          </w:tcPr>
          <w:p w14:paraId="41816E0D" w14:textId="77777777" w:rsidR="00A74C68" w:rsidRPr="00F36B82" w:rsidRDefault="00A74C68" w:rsidP="00A74C68">
            <w:pPr>
              <w:rPr>
                <w:color w:val="000000"/>
                <w:sz w:val="16"/>
                <w:szCs w:val="16"/>
                <w:lang w:eastAsia="tr-TR"/>
              </w:rPr>
            </w:pPr>
            <w:r w:rsidRPr="00F36B82">
              <w:rPr>
                <w:color w:val="000000"/>
                <w:sz w:val="16"/>
                <w:szCs w:val="16"/>
                <w:lang w:eastAsia="tr-TR"/>
              </w:rPr>
              <w:t xml:space="preserve">Kurulca belirlenecek diğer hesaplar </w:t>
            </w:r>
          </w:p>
        </w:tc>
        <w:tc>
          <w:tcPr>
            <w:tcW w:w="936" w:type="pct"/>
            <w:tcBorders>
              <w:top w:val="single" w:sz="4" w:space="0" w:color="auto"/>
              <w:left w:val="nil"/>
              <w:bottom w:val="single" w:sz="4" w:space="0" w:color="auto"/>
              <w:right w:val="nil"/>
            </w:tcBorders>
            <w:vAlign w:val="bottom"/>
            <w:hideMark/>
          </w:tcPr>
          <w:p w14:paraId="1D67CD94"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c>
          <w:tcPr>
            <w:tcW w:w="811" w:type="pct"/>
            <w:tcBorders>
              <w:top w:val="single" w:sz="4" w:space="0" w:color="auto"/>
              <w:left w:val="nil"/>
              <w:bottom w:val="single" w:sz="4" w:space="0" w:color="auto"/>
              <w:right w:val="nil"/>
            </w:tcBorders>
            <w:vAlign w:val="bottom"/>
            <w:hideMark/>
          </w:tcPr>
          <w:p w14:paraId="32466CF9" w14:textId="77777777" w:rsidR="00A74C68" w:rsidRPr="00F36B82" w:rsidRDefault="00A74C68" w:rsidP="00F36B82">
            <w:pPr>
              <w:jc w:val="right"/>
              <w:rPr>
                <w:b/>
                <w:bCs/>
                <w:color w:val="000000"/>
                <w:sz w:val="16"/>
                <w:szCs w:val="16"/>
                <w:lang w:eastAsia="tr-TR"/>
              </w:rPr>
            </w:pPr>
            <w:r w:rsidRPr="00F36B82">
              <w:rPr>
                <w:b/>
                <w:bCs/>
                <w:color w:val="000000"/>
                <w:sz w:val="16"/>
                <w:szCs w:val="16"/>
                <w:lang w:eastAsia="tr-TR"/>
              </w:rPr>
              <w:t>-</w:t>
            </w:r>
          </w:p>
        </w:tc>
      </w:tr>
    </w:tbl>
    <w:p w14:paraId="16E13E6B" w14:textId="77777777" w:rsidR="00B25239" w:rsidRPr="00471CBA" w:rsidRDefault="00B25239">
      <w:pPr>
        <w:rPr>
          <w:b/>
          <w:szCs w:val="20"/>
        </w:rPr>
      </w:pPr>
      <w:r w:rsidRPr="00471CBA">
        <w:rPr>
          <w:b/>
          <w:szCs w:val="20"/>
        </w:rPr>
        <w:br w:type="page"/>
      </w:r>
    </w:p>
    <w:p w14:paraId="5797F9FE" w14:textId="0BBE1967" w:rsidR="00451EE9" w:rsidRPr="00471CBA" w:rsidRDefault="00451EE9" w:rsidP="00C838D9">
      <w:pPr>
        <w:rPr>
          <w:b/>
          <w:szCs w:val="20"/>
        </w:rPr>
      </w:pPr>
      <w:r w:rsidRPr="00471CBA">
        <w:rPr>
          <w:b/>
          <w:szCs w:val="20"/>
        </w:rPr>
        <w:lastRenderedPageBreak/>
        <w:t>MALİ BÜNYEYE VE RİSK YÖNETİMİNE İLİŞKİN BİLGİLER (Devamı)</w:t>
      </w:r>
    </w:p>
    <w:p w14:paraId="7C5E5B23" w14:textId="77777777" w:rsidR="00451EE9" w:rsidRPr="00471CBA" w:rsidRDefault="00451EE9" w:rsidP="00451EE9">
      <w:pPr>
        <w:pStyle w:val="ListeParagraf"/>
        <w:widowControl w:val="0"/>
        <w:ind w:left="851"/>
        <w:jc w:val="both"/>
        <w:rPr>
          <w:b/>
          <w:szCs w:val="20"/>
        </w:rPr>
      </w:pPr>
    </w:p>
    <w:p w14:paraId="4ADB5410" w14:textId="1117C74D" w:rsidR="00451EE9" w:rsidRPr="00471CBA" w:rsidRDefault="00E009D9" w:rsidP="007F05B1">
      <w:pPr>
        <w:pStyle w:val="ListeParagraf"/>
        <w:widowControl w:val="0"/>
        <w:numPr>
          <w:ilvl w:val="0"/>
          <w:numId w:val="45"/>
        </w:numPr>
        <w:ind w:left="851" w:hanging="851"/>
        <w:jc w:val="both"/>
        <w:rPr>
          <w:b/>
          <w:szCs w:val="20"/>
        </w:rPr>
      </w:pPr>
      <w:r w:rsidRPr="00471CBA">
        <w:rPr>
          <w:b/>
          <w:szCs w:val="20"/>
        </w:rPr>
        <w:t>ÖZKAYNAK KALEMLERİNE İLİŞKİN AÇIKLAMALAR</w:t>
      </w:r>
      <w:r w:rsidR="00451EE9" w:rsidRPr="00471CBA">
        <w:rPr>
          <w:b/>
          <w:szCs w:val="20"/>
        </w:rPr>
        <w:t xml:space="preserve"> (Devamı):</w:t>
      </w:r>
    </w:p>
    <w:p w14:paraId="5B34B783" w14:textId="77777777" w:rsidR="00451EE9" w:rsidRPr="00471CBA" w:rsidRDefault="00451EE9" w:rsidP="00451EE9">
      <w:pPr>
        <w:widowControl w:val="0"/>
        <w:ind w:left="-567"/>
        <w:jc w:val="both"/>
        <w:rPr>
          <w:b/>
          <w:szCs w:val="20"/>
        </w:rPr>
      </w:pPr>
    </w:p>
    <w:p w14:paraId="1071044B" w14:textId="77777777" w:rsidR="00451EE9" w:rsidRPr="00471CBA" w:rsidRDefault="00451EE9" w:rsidP="007F05B1">
      <w:pPr>
        <w:pStyle w:val="ListeParagraf"/>
        <w:widowControl w:val="0"/>
        <w:numPr>
          <w:ilvl w:val="0"/>
          <w:numId w:val="46"/>
        </w:numPr>
        <w:ind w:left="1276" w:hanging="425"/>
        <w:jc w:val="both"/>
        <w:rPr>
          <w:b/>
          <w:szCs w:val="20"/>
        </w:rPr>
      </w:pPr>
      <w:r w:rsidRPr="00471CBA">
        <w:rPr>
          <w:b/>
          <w:szCs w:val="20"/>
        </w:rPr>
        <w:t>Özkaynak kalemlerine ilişkin bilgiler (Devamı):</w:t>
      </w:r>
    </w:p>
    <w:p w14:paraId="02C302C1" w14:textId="4DBA2C60" w:rsidR="00A74C68" w:rsidRPr="00471CBA" w:rsidRDefault="00A74C68" w:rsidP="008B6ADA"/>
    <w:tbl>
      <w:tblPr>
        <w:tblW w:w="9775" w:type="dxa"/>
        <w:tblCellMar>
          <w:left w:w="70" w:type="dxa"/>
          <w:right w:w="70" w:type="dxa"/>
        </w:tblCellMar>
        <w:tblLook w:val="04A0" w:firstRow="1" w:lastRow="0" w:firstColumn="1" w:lastColumn="0" w:noHBand="0" w:noVBand="1"/>
      </w:tblPr>
      <w:tblGrid>
        <w:gridCol w:w="6663"/>
        <w:gridCol w:w="1556"/>
        <w:gridCol w:w="1556"/>
      </w:tblGrid>
      <w:tr w:rsidR="00A74C68" w:rsidRPr="00471CBA" w14:paraId="05DC1E48" w14:textId="77777777" w:rsidTr="00A74C68">
        <w:trPr>
          <w:divId w:val="15010806"/>
          <w:trHeight w:val="170"/>
        </w:trPr>
        <w:tc>
          <w:tcPr>
            <w:tcW w:w="6663" w:type="dxa"/>
            <w:noWrap/>
            <w:vAlign w:val="bottom"/>
            <w:hideMark/>
          </w:tcPr>
          <w:p w14:paraId="6B94D040" w14:textId="7C772B3F" w:rsidR="00A74C68" w:rsidRPr="00471CBA" w:rsidRDefault="00A74C68" w:rsidP="00A74C68">
            <w:pPr>
              <w:rPr>
                <w:sz w:val="24"/>
                <w:lang w:eastAsia="tr-TR"/>
              </w:rPr>
            </w:pPr>
          </w:p>
        </w:tc>
        <w:tc>
          <w:tcPr>
            <w:tcW w:w="1556" w:type="dxa"/>
            <w:noWrap/>
            <w:vAlign w:val="bottom"/>
            <w:hideMark/>
          </w:tcPr>
          <w:p w14:paraId="47061EDF"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31 Aralık 2025</w:t>
            </w:r>
          </w:p>
        </w:tc>
        <w:tc>
          <w:tcPr>
            <w:tcW w:w="1556" w:type="dxa"/>
            <w:noWrap/>
            <w:vAlign w:val="bottom"/>
            <w:hideMark/>
          </w:tcPr>
          <w:p w14:paraId="50DB3DBB"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31 Aralık 2024</w:t>
            </w:r>
          </w:p>
        </w:tc>
      </w:tr>
      <w:tr w:rsidR="00A74C68" w:rsidRPr="00471CBA" w14:paraId="6A909552" w14:textId="77777777" w:rsidTr="00A74C68">
        <w:trPr>
          <w:divId w:val="15010806"/>
          <w:trHeight w:val="170"/>
        </w:trPr>
        <w:tc>
          <w:tcPr>
            <w:tcW w:w="6663" w:type="dxa"/>
            <w:tcBorders>
              <w:bottom w:val="single" w:sz="4" w:space="0" w:color="auto"/>
            </w:tcBorders>
            <w:vAlign w:val="center"/>
            <w:hideMark/>
          </w:tcPr>
          <w:p w14:paraId="6882607C" w14:textId="77777777" w:rsidR="00A74C68" w:rsidRPr="00471CBA" w:rsidRDefault="00A74C68" w:rsidP="00A74C68">
            <w:pPr>
              <w:rPr>
                <w:b/>
                <w:bCs/>
                <w:color w:val="000000"/>
                <w:sz w:val="16"/>
                <w:szCs w:val="16"/>
                <w:lang w:eastAsia="tr-TR"/>
              </w:rPr>
            </w:pPr>
            <w:r w:rsidRPr="00471CBA">
              <w:rPr>
                <w:b/>
                <w:bCs/>
                <w:color w:val="000000"/>
                <w:sz w:val="16"/>
                <w:szCs w:val="16"/>
                <w:lang w:eastAsia="tr-TR"/>
              </w:rPr>
              <w:t>Geçiş Sürecinde Ana Sermaye ve Katkı Sermaye Toplamından (Sermayeden) İndirilmeye Devam Edecek Unsurlar</w:t>
            </w:r>
          </w:p>
        </w:tc>
        <w:tc>
          <w:tcPr>
            <w:tcW w:w="1556" w:type="dxa"/>
            <w:tcBorders>
              <w:bottom w:val="single" w:sz="4" w:space="0" w:color="auto"/>
            </w:tcBorders>
            <w:noWrap/>
            <w:vAlign w:val="bottom"/>
            <w:hideMark/>
          </w:tcPr>
          <w:p w14:paraId="6CBC54F4"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 </w:t>
            </w:r>
          </w:p>
        </w:tc>
        <w:tc>
          <w:tcPr>
            <w:tcW w:w="1556" w:type="dxa"/>
            <w:tcBorders>
              <w:bottom w:val="single" w:sz="4" w:space="0" w:color="auto"/>
            </w:tcBorders>
            <w:noWrap/>
            <w:vAlign w:val="bottom"/>
            <w:hideMark/>
          </w:tcPr>
          <w:p w14:paraId="101401AA"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 </w:t>
            </w:r>
          </w:p>
        </w:tc>
      </w:tr>
      <w:tr w:rsidR="00A74C68" w:rsidRPr="00471CBA" w14:paraId="226FD04C" w14:textId="77777777" w:rsidTr="00A74C68">
        <w:trPr>
          <w:divId w:val="15010806"/>
          <w:trHeight w:val="170"/>
        </w:trPr>
        <w:tc>
          <w:tcPr>
            <w:tcW w:w="6663" w:type="dxa"/>
            <w:tcBorders>
              <w:top w:val="single" w:sz="4" w:space="0" w:color="auto"/>
            </w:tcBorders>
            <w:vAlign w:val="center"/>
            <w:hideMark/>
          </w:tcPr>
          <w:p w14:paraId="47BD5E54" w14:textId="77777777" w:rsidR="00A74C68" w:rsidRPr="00471CBA" w:rsidRDefault="00A74C68" w:rsidP="00A74C68">
            <w:pPr>
              <w:rPr>
                <w:color w:val="000000"/>
                <w:sz w:val="16"/>
                <w:szCs w:val="16"/>
                <w:lang w:eastAsia="tr-TR"/>
              </w:rPr>
            </w:pPr>
            <w:r w:rsidRPr="00471CBA">
              <w:rPr>
                <w:color w:val="000000"/>
                <w:sz w:val="16"/>
                <w:szCs w:val="16"/>
                <w:lang w:eastAsia="tr-TR"/>
              </w:rPr>
              <w:t xml:space="preserve">Ortaklık paylarının yüzde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w:t>
            </w:r>
            <w:proofErr w:type="gramStart"/>
            <w:r w:rsidRPr="00471CBA">
              <w:rPr>
                <w:color w:val="000000"/>
                <w:sz w:val="16"/>
                <w:szCs w:val="16"/>
                <w:lang w:eastAsia="tr-TR"/>
              </w:rPr>
              <w:t>2 nci</w:t>
            </w:r>
            <w:proofErr w:type="gramEnd"/>
            <w:r w:rsidRPr="00471CBA">
              <w:rPr>
                <w:color w:val="000000"/>
                <w:sz w:val="16"/>
                <w:szCs w:val="16"/>
                <w:lang w:eastAsia="tr-TR"/>
              </w:rPr>
              <w:t xml:space="preserve"> maddesinin birinci fıkrası uyarınca çekirdek sermayeden, ilave ana sermayeden ve katkı sermayeden indirilmeyen kısmı</w:t>
            </w:r>
          </w:p>
        </w:tc>
        <w:tc>
          <w:tcPr>
            <w:tcW w:w="1556" w:type="dxa"/>
            <w:tcBorders>
              <w:top w:val="single" w:sz="4" w:space="0" w:color="auto"/>
            </w:tcBorders>
            <w:vAlign w:val="center"/>
            <w:hideMark/>
          </w:tcPr>
          <w:p w14:paraId="46D899CD"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c>
          <w:tcPr>
            <w:tcW w:w="1556" w:type="dxa"/>
            <w:tcBorders>
              <w:top w:val="single" w:sz="4" w:space="0" w:color="auto"/>
            </w:tcBorders>
            <w:vAlign w:val="center"/>
            <w:hideMark/>
          </w:tcPr>
          <w:p w14:paraId="7E912CC7"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r>
      <w:tr w:rsidR="00A74C68" w:rsidRPr="00471CBA" w14:paraId="53717E70" w14:textId="77777777" w:rsidTr="00A74C68">
        <w:trPr>
          <w:divId w:val="15010806"/>
          <w:trHeight w:val="170"/>
        </w:trPr>
        <w:tc>
          <w:tcPr>
            <w:tcW w:w="6663" w:type="dxa"/>
            <w:vAlign w:val="center"/>
            <w:hideMark/>
          </w:tcPr>
          <w:p w14:paraId="3696ACC8" w14:textId="77777777" w:rsidR="00A74C68" w:rsidRPr="00471CBA" w:rsidRDefault="00A74C68" w:rsidP="00A74C68">
            <w:pPr>
              <w:rPr>
                <w:color w:val="000000"/>
                <w:sz w:val="16"/>
                <w:szCs w:val="16"/>
                <w:lang w:eastAsia="tr-TR"/>
              </w:rPr>
            </w:pPr>
            <w:r w:rsidRPr="00471CBA">
              <w:rPr>
                <w:color w:val="000000"/>
                <w:sz w:val="16"/>
                <w:szCs w:val="16"/>
                <w:lang w:eastAsia="tr-TR"/>
              </w:rPr>
              <w:t xml:space="preserve">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w:t>
            </w:r>
            <w:proofErr w:type="gramStart"/>
            <w:r w:rsidRPr="00471CBA">
              <w:rPr>
                <w:color w:val="000000"/>
                <w:sz w:val="16"/>
                <w:szCs w:val="16"/>
                <w:lang w:eastAsia="tr-TR"/>
              </w:rPr>
              <w:t>2 nci</w:t>
            </w:r>
            <w:proofErr w:type="gramEnd"/>
            <w:r w:rsidRPr="00471CBA">
              <w:rPr>
                <w:color w:val="000000"/>
                <w:sz w:val="16"/>
                <w:szCs w:val="16"/>
                <w:lang w:eastAsia="tr-TR"/>
              </w:rPr>
              <w:t xml:space="preserve"> maddesinin birinci fıkrası uyarınca, ilave ana sermayeden ve katkı sermayeden indirilmeyen kısmı</w:t>
            </w:r>
          </w:p>
        </w:tc>
        <w:tc>
          <w:tcPr>
            <w:tcW w:w="1556" w:type="dxa"/>
            <w:vAlign w:val="center"/>
            <w:hideMark/>
          </w:tcPr>
          <w:p w14:paraId="4D6F3ED6"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c>
          <w:tcPr>
            <w:tcW w:w="1556" w:type="dxa"/>
            <w:vAlign w:val="center"/>
            <w:hideMark/>
          </w:tcPr>
          <w:p w14:paraId="3FCA6AD7"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r>
      <w:tr w:rsidR="00A74C68" w:rsidRPr="00471CBA" w14:paraId="2B83025E" w14:textId="77777777" w:rsidTr="00A74C68">
        <w:trPr>
          <w:divId w:val="15010806"/>
          <w:trHeight w:val="170"/>
        </w:trPr>
        <w:tc>
          <w:tcPr>
            <w:tcW w:w="6663" w:type="dxa"/>
            <w:tcBorders>
              <w:bottom w:val="single" w:sz="4" w:space="0" w:color="auto"/>
            </w:tcBorders>
            <w:vAlign w:val="center"/>
            <w:hideMark/>
          </w:tcPr>
          <w:p w14:paraId="440C81B4" w14:textId="77777777" w:rsidR="00A74C68" w:rsidRPr="00471CBA" w:rsidRDefault="00A74C68" w:rsidP="00A74C68">
            <w:pPr>
              <w:rPr>
                <w:color w:val="000000"/>
                <w:sz w:val="16"/>
                <w:szCs w:val="16"/>
                <w:lang w:eastAsia="tr-TR"/>
              </w:rPr>
            </w:pPr>
            <w:r w:rsidRPr="00471CBA">
              <w:rPr>
                <w:color w:val="000000"/>
                <w:sz w:val="16"/>
                <w:szCs w:val="16"/>
                <w:lang w:eastAsia="tr-TR"/>
              </w:rPr>
              <w:t>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maddesininbirinci fıkrası uyarınca çekirdek sermayeden indirilmeyen kısmı</w:t>
            </w:r>
          </w:p>
        </w:tc>
        <w:tc>
          <w:tcPr>
            <w:tcW w:w="1556" w:type="dxa"/>
            <w:tcBorders>
              <w:bottom w:val="single" w:sz="4" w:space="0" w:color="auto"/>
            </w:tcBorders>
            <w:vAlign w:val="center"/>
            <w:hideMark/>
          </w:tcPr>
          <w:p w14:paraId="2ED8A943"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c>
          <w:tcPr>
            <w:tcW w:w="1556" w:type="dxa"/>
            <w:tcBorders>
              <w:bottom w:val="single" w:sz="4" w:space="0" w:color="auto"/>
            </w:tcBorders>
            <w:vAlign w:val="center"/>
            <w:hideMark/>
          </w:tcPr>
          <w:p w14:paraId="48E24522"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r>
      <w:tr w:rsidR="00A74C68" w:rsidRPr="00471CBA" w14:paraId="2A495FA5" w14:textId="77777777" w:rsidTr="00A74C68">
        <w:trPr>
          <w:divId w:val="15010806"/>
          <w:trHeight w:val="170"/>
        </w:trPr>
        <w:tc>
          <w:tcPr>
            <w:tcW w:w="6663" w:type="dxa"/>
            <w:tcBorders>
              <w:top w:val="single" w:sz="4" w:space="0" w:color="auto"/>
              <w:bottom w:val="single" w:sz="4" w:space="0" w:color="auto"/>
            </w:tcBorders>
            <w:vAlign w:val="center"/>
            <w:hideMark/>
          </w:tcPr>
          <w:p w14:paraId="5BFEA1E5" w14:textId="77777777" w:rsidR="00A74C68" w:rsidRPr="00471CBA" w:rsidRDefault="00A74C68" w:rsidP="00A74C68">
            <w:pPr>
              <w:rPr>
                <w:b/>
                <w:bCs/>
                <w:color w:val="000000"/>
                <w:sz w:val="16"/>
                <w:szCs w:val="16"/>
                <w:lang w:eastAsia="tr-TR"/>
              </w:rPr>
            </w:pPr>
            <w:r w:rsidRPr="00471CBA">
              <w:rPr>
                <w:b/>
                <w:bCs/>
                <w:color w:val="000000"/>
                <w:sz w:val="16"/>
                <w:szCs w:val="16"/>
                <w:lang w:eastAsia="tr-TR"/>
              </w:rPr>
              <w:t>Toplam Özkaynak (Ana sermaye ve katkı sermaye toplamı)</w:t>
            </w:r>
          </w:p>
        </w:tc>
        <w:tc>
          <w:tcPr>
            <w:tcW w:w="1556" w:type="dxa"/>
            <w:tcBorders>
              <w:top w:val="single" w:sz="4" w:space="0" w:color="auto"/>
              <w:bottom w:val="single" w:sz="4" w:space="0" w:color="auto"/>
            </w:tcBorders>
            <w:vAlign w:val="center"/>
            <w:hideMark/>
          </w:tcPr>
          <w:p w14:paraId="5295AE8C"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8.833.930</w:t>
            </w:r>
          </w:p>
        </w:tc>
        <w:tc>
          <w:tcPr>
            <w:tcW w:w="1556" w:type="dxa"/>
            <w:tcBorders>
              <w:top w:val="single" w:sz="4" w:space="0" w:color="auto"/>
              <w:bottom w:val="single" w:sz="4" w:space="0" w:color="auto"/>
            </w:tcBorders>
            <w:vAlign w:val="center"/>
            <w:hideMark/>
          </w:tcPr>
          <w:p w14:paraId="53562153"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7.068.728</w:t>
            </w:r>
          </w:p>
        </w:tc>
      </w:tr>
      <w:tr w:rsidR="00A74C68" w:rsidRPr="00471CBA" w14:paraId="552C3E77" w14:textId="77777777" w:rsidTr="00A74C68">
        <w:trPr>
          <w:divId w:val="15010806"/>
          <w:trHeight w:val="170"/>
        </w:trPr>
        <w:tc>
          <w:tcPr>
            <w:tcW w:w="6663" w:type="dxa"/>
            <w:tcBorders>
              <w:top w:val="single" w:sz="4" w:space="0" w:color="auto"/>
              <w:bottom w:val="single" w:sz="4" w:space="0" w:color="auto"/>
            </w:tcBorders>
            <w:vAlign w:val="center"/>
            <w:hideMark/>
          </w:tcPr>
          <w:p w14:paraId="5BE70565" w14:textId="77777777" w:rsidR="00A74C68" w:rsidRPr="00471CBA" w:rsidRDefault="00A74C68" w:rsidP="00A74C68">
            <w:pPr>
              <w:rPr>
                <w:b/>
                <w:bCs/>
                <w:color w:val="000000"/>
                <w:sz w:val="16"/>
                <w:szCs w:val="16"/>
                <w:lang w:eastAsia="tr-TR"/>
              </w:rPr>
            </w:pPr>
            <w:r w:rsidRPr="00471CBA">
              <w:rPr>
                <w:b/>
                <w:bCs/>
                <w:color w:val="000000"/>
                <w:sz w:val="16"/>
                <w:szCs w:val="16"/>
                <w:lang w:eastAsia="tr-TR"/>
              </w:rPr>
              <w:t>Toplam Risk Ağırlıklı Tutarlar</w:t>
            </w:r>
          </w:p>
        </w:tc>
        <w:tc>
          <w:tcPr>
            <w:tcW w:w="1556" w:type="dxa"/>
            <w:tcBorders>
              <w:top w:val="single" w:sz="4" w:space="0" w:color="auto"/>
              <w:bottom w:val="single" w:sz="4" w:space="0" w:color="auto"/>
            </w:tcBorders>
            <w:vAlign w:val="center"/>
            <w:hideMark/>
          </w:tcPr>
          <w:p w14:paraId="48C6E655"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48.155.181</w:t>
            </w:r>
          </w:p>
        </w:tc>
        <w:tc>
          <w:tcPr>
            <w:tcW w:w="1556" w:type="dxa"/>
            <w:tcBorders>
              <w:top w:val="single" w:sz="4" w:space="0" w:color="auto"/>
              <w:bottom w:val="single" w:sz="4" w:space="0" w:color="auto"/>
            </w:tcBorders>
            <w:vAlign w:val="center"/>
            <w:hideMark/>
          </w:tcPr>
          <w:p w14:paraId="117F2146"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15.057.976</w:t>
            </w:r>
          </w:p>
        </w:tc>
      </w:tr>
      <w:tr w:rsidR="00A74C68" w:rsidRPr="00471CBA" w14:paraId="19B80DA8" w14:textId="77777777" w:rsidTr="00A74C68">
        <w:trPr>
          <w:divId w:val="15010806"/>
          <w:trHeight w:val="170"/>
        </w:trPr>
        <w:tc>
          <w:tcPr>
            <w:tcW w:w="6663" w:type="dxa"/>
            <w:tcBorders>
              <w:top w:val="single" w:sz="4" w:space="0" w:color="auto"/>
              <w:bottom w:val="single" w:sz="4" w:space="0" w:color="auto"/>
            </w:tcBorders>
            <w:vAlign w:val="center"/>
            <w:hideMark/>
          </w:tcPr>
          <w:p w14:paraId="1D653260" w14:textId="77777777" w:rsidR="00A74C68" w:rsidRPr="00471CBA" w:rsidRDefault="00A74C68" w:rsidP="00A74C68">
            <w:pPr>
              <w:jc w:val="center"/>
              <w:rPr>
                <w:b/>
                <w:bCs/>
                <w:color w:val="000000"/>
                <w:sz w:val="16"/>
                <w:szCs w:val="16"/>
                <w:lang w:eastAsia="tr-TR"/>
              </w:rPr>
            </w:pPr>
            <w:r w:rsidRPr="00471CBA">
              <w:rPr>
                <w:b/>
                <w:bCs/>
                <w:color w:val="000000"/>
                <w:sz w:val="16"/>
                <w:szCs w:val="16"/>
                <w:lang w:eastAsia="tr-TR"/>
              </w:rPr>
              <w:t>SERMAYE YETERLİLİĞİ ORANLARI</w:t>
            </w:r>
          </w:p>
        </w:tc>
        <w:tc>
          <w:tcPr>
            <w:tcW w:w="1556" w:type="dxa"/>
            <w:tcBorders>
              <w:top w:val="single" w:sz="4" w:space="0" w:color="auto"/>
              <w:bottom w:val="single" w:sz="4" w:space="0" w:color="auto"/>
            </w:tcBorders>
            <w:noWrap/>
            <w:vAlign w:val="bottom"/>
            <w:hideMark/>
          </w:tcPr>
          <w:p w14:paraId="4E4A49DE"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 </w:t>
            </w:r>
          </w:p>
        </w:tc>
        <w:tc>
          <w:tcPr>
            <w:tcW w:w="1556" w:type="dxa"/>
            <w:tcBorders>
              <w:top w:val="single" w:sz="4" w:space="0" w:color="auto"/>
              <w:bottom w:val="single" w:sz="4" w:space="0" w:color="auto"/>
            </w:tcBorders>
            <w:noWrap/>
            <w:vAlign w:val="bottom"/>
            <w:hideMark/>
          </w:tcPr>
          <w:p w14:paraId="13009DF2"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 </w:t>
            </w:r>
          </w:p>
        </w:tc>
      </w:tr>
      <w:tr w:rsidR="00A74C68" w:rsidRPr="00471CBA" w14:paraId="5B69C4A6" w14:textId="77777777" w:rsidTr="00A74C68">
        <w:trPr>
          <w:divId w:val="15010806"/>
          <w:trHeight w:val="170"/>
        </w:trPr>
        <w:tc>
          <w:tcPr>
            <w:tcW w:w="6663" w:type="dxa"/>
            <w:tcBorders>
              <w:top w:val="single" w:sz="4" w:space="0" w:color="auto"/>
            </w:tcBorders>
            <w:vAlign w:val="center"/>
            <w:hideMark/>
          </w:tcPr>
          <w:p w14:paraId="44F0971C" w14:textId="77777777" w:rsidR="00A74C68" w:rsidRPr="00471CBA" w:rsidRDefault="00A74C68" w:rsidP="00A74C68">
            <w:pPr>
              <w:rPr>
                <w:color w:val="000000"/>
                <w:sz w:val="16"/>
                <w:szCs w:val="16"/>
                <w:lang w:eastAsia="tr-TR"/>
              </w:rPr>
            </w:pPr>
            <w:r w:rsidRPr="00471CBA">
              <w:rPr>
                <w:color w:val="000000"/>
                <w:sz w:val="16"/>
                <w:szCs w:val="16"/>
                <w:lang w:eastAsia="tr-TR"/>
              </w:rPr>
              <w:t>Çekirdek Sermaye Yeterliliği Oranı (%)</w:t>
            </w:r>
          </w:p>
        </w:tc>
        <w:tc>
          <w:tcPr>
            <w:tcW w:w="1556" w:type="dxa"/>
            <w:tcBorders>
              <w:top w:val="single" w:sz="4" w:space="0" w:color="auto"/>
            </w:tcBorders>
            <w:vAlign w:val="center"/>
            <w:hideMark/>
          </w:tcPr>
          <w:p w14:paraId="5CE1E609" w14:textId="77777777" w:rsidR="00A74C68" w:rsidRPr="00471CBA" w:rsidRDefault="00A74C68" w:rsidP="00A74C68">
            <w:pPr>
              <w:jc w:val="right"/>
              <w:rPr>
                <w:color w:val="000000"/>
                <w:sz w:val="16"/>
                <w:szCs w:val="16"/>
                <w:lang w:eastAsia="tr-TR"/>
              </w:rPr>
            </w:pPr>
            <w:r w:rsidRPr="00471CBA">
              <w:rPr>
                <w:color w:val="000000"/>
                <w:sz w:val="16"/>
                <w:szCs w:val="16"/>
                <w:lang w:eastAsia="tr-TR"/>
              </w:rPr>
              <w:t>18,20</w:t>
            </w:r>
          </w:p>
        </w:tc>
        <w:tc>
          <w:tcPr>
            <w:tcW w:w="1556" w:type="dxa"/>
            <w:tcBorders>
              <w:top w:val="single" w:sz="4" w:space="0" w:color="auto"/>
            </w:tcBorders>
            <w:vAlign w:val="center"/>
            <w:hideMark/>
          </w:tcPr>
          <w:p w14:paraId="6142D171" w14:textId="77777777" w:rsidR="00A74C68" w:rsidRPr="00471CBA" w:rsidRDefault="00A74C68" w:rsidP="00A74C68">
            <w:pPr>
              <w:jc w:val="right"/>
              <w:rPr>
                <w:color w:val="000000"/>
                <w:sz w:val="16"/>
                <w:szCs w:val="16"/>
                <w:lang w:eastAsia="tr-TR"/>
              </w:rPr>
            </w:pPr>
            <w:r w:rsidRPr="00471CBA">
              <w:rPr>
                <w:color w:val="000000"/>
                <w:sz w:val="16"/>
                <w:szCs w:val="16"/>
                <w:lang w:eastAsia="tr-TR"/>
              </w:rPr>
              <w:t>46,37</w:t>
            </w:r>
          </w:p>
        </w:tc>
      </w:tr>
      <w:tr w:rsidR="00A74C68" w:rsidRPr="00471CBA" w14:paraId="72164587" w14:textId="77777777" w:rsidTr="00A74C68">
        <w:trPr>
          <w:divId w:val="15010806"/>
          <w:trHeight w:val="170"/>
        </w:trPr>
        <w:tc>
          <w:tcPr>
            <w:tcW w:w="6663" w:type="dxa"/>
            <w:vAlign w:val="center"/>
            <w:hideMark/>
          </w:tcPr>
          <w:p w14:paraId="03AA0407" w14:textId="77777777" w:rsidR="00A74C68" w:rsidRPr="00471CBA" w:rsidRDefault="00A74C68" w:rsidP="00A74C68">
            <w:pPr>
              <w:rPr>
                <w:color w:val="000000"/>
                <w:sz w:val="16"/>
                <w:szCs w:val="16"/>
                <w:lang w:eastAsia="tr-TR"/>
              </w:rPr>
            </w:pPr>
            <w:r w:rsidRPr="00471CBA">
              <w:rPr>
                <w:color w:val="000000"/>
                <w:sz w:val="16"/>
                <w:szCs w:val="16"/>
                <w:lang w:eastAsia="tr-TR"/>
              </w:rPr>
              <w:t>Ana Sermaye Yeterliliği Oranı (%)</w:t>
            </w:r>
          </w:p>
        </w:tc>
        <w:tc>
          <w:tcPr>
            <w:tcW w:w="1556" w:type="dxa"/>
            <w:vAlign w:val="center"/>
            <w:hideMark/>
          </w:tcPr>
          <w:p w14:paraId="2C692D5A" w14:textId="77777777" w:rsidR="00A74C68" w:rsidRPr="00471CBA" w:rsidRDefault="00A74C68" w:rsidP="00A74C68">
            <w:pPr>
              <w:jc w:val="right"/>
              <w:rPr>
                <w:color w:val="000000"/>
                <w:sz w:val="16"/>
                <w:szCs w:val="16"/>
                <w:lang w:eastAsia="tr-TR"/>
              </w:rPr>
            </w:pPr>
            <w:r w:rsidRPr="00471CBA">
              <w:rPr>
                <w:color w:val="000000"/>
                <w:sz w:val="16"/>
                <w:szCs w:val="16"/>
                <w:lang w:eastAsia="tr-TR"/>
              </w:rPr>
              <w:t>18,20</w:t>
            </w:r>
          </w:p>
        </w:tc>
        <w:tc>
          <w:tcPr>
            <w:tcW w:w="1556" w:type="dxa"/>
            <w:vAlign w:val="center"/>
            <w:hideMark/>
          </w:tcPr>
          <w:p w14:paraId="59FDA0FF" w14:textId="77777777" w:rsidR="00A74C68" w:rsidRPr="00471CBA" w:rsidRDefault="00A74C68" w:rsidP="00A74C68">
            <w:pPr>
              <w:jc w:val="right"/>
              <w:rPr>
                <w:color w:val="000000"/>
                <w:sz w:val="16"/>
                <w:szCs w:val="16"/>
                <w:lang w:eastAsia="tr-TR"/>
              </w:rPr>
            </w:pPr>
            <w:r w:rsidRPr="00471CBA">
              <w:rPr>
                <w:color w:val="000000"/>
                <w:sz w:val="16"/>
                <w:szCs w:val="16"/>
                <w:lang w:eastAsia="tr-TR"/>
              </w:rPr>
              <w:t>46,37</w:t>
            </w:r>
          </w:p>
        </w:tc>
      </w:tr>
      <w:tr w:rsidR="00A74C68" w:rsidRPr="00471CBA" w14:paraId="2305C8E1" w14:textId="77777777" w:rsidTr="00A74C68">
        <w:trPr>
          <w:divId w:val="15010806"/>
          <w:trHeight w:val="170"/>
        </w:trPr>
        <w:tc>
          <w:tcPr>
            <w:tcW w:w="6663" w:type="dxa"/>
            <w:tcBorders>
              <w:bottom w:val="single" w:sz="4" w:space="0" w:color="auto"/>
            </w:tcBorders>
            <w:vAlign w:val="center"/>
            <w:hideMark/>
          </w:tcPr>
          <w:p w14:paraId="5B7645A6" w14:textId="77777777" w:rsidR="00A74C68" w:rsidRPr="00471CBA" w:rsidRDefault="00A74C68" w:rsidP="00A74C68">
            <w:pPr>
              <w:rPr>
                <w:color w:val="000000"/>
                <w:sz w:val="16"/>
                <w:szCs w:val="16"/>
                <w:lang w:eastAsia="tr-TR"/>
              </w:rPr>
            </w:pPr>
            <w:r w:rsidRPr="00471CBA">
              <w:rPr>
                <w:color w:val="000000"/>
                <w:sz w:val="16"/>
                <w:szCs w:val="16"/>
                <w:lang w:eastAsia="tr-TR"/>
              </w:rPr>
              <w:t>Sermaye Yeterliliği Oranı (%)</w:t>
            </w:r>
          </w:p>
        </w:tc>
        <w:tc>
          <w:tcPr>
            <w:tcW w:w="1556" w:type="dxa"/>
            <w:tcBorders>
              <w:bottom w:val="single" w:sz="4" w:space="0" w:color="auto"/>
            </w:tcBorders>
            <w:vAlign w:val="center"/>
            <w:hideMark/>
          </w:tcPr>
          <w:p w14:paraId="635AEA03" w14:textId="77777777" w:rsidR="00A74C68" w:rsidRPr="00471CBA" w:rsidRDefault="00A74C68" w:rsidP="00A74C68">
            <w:pPr>
              <w:jc w:val="right"/>
              <w:rPr>
                <w:color w:val="000000"/>
                <w:sz w:val="16"/>
                <w:szCs w:val="16"/>
                <w:lang w:eastAsia="tr-TR"/>
              </w:rPr>
            </w:pPr>
            <w:r w:rsidRPr="00471CBA">
              <w:rPr>
                <w:color w:val="000000"/>
                <w:sz w:val="16"/>
                <w:szCs w:val="16"/>
                <w:lang w:eastAsia="tr-TR"/>
              </w:rPr>
              <w:t>18,34</w:t>
            </w:r>
          </w:p>
        </w:tc>
        <w:tc>
          <w:tcPr>
            <w:tcW w:w="1556" w:type="dxa"/>
            <w:tcBorders>
              <w:bottom w:val="single" w:sz="4" w:space="0" w:color="auto"/>
            </w:tcBorders>
            <w:vAlign w:val="center"/>
            <w:hideMark/>
          </w:tcPr>
          <w:p w14:paraId="31D066D5" w14:textId="77777777" w:rsidR="00A74C68" w:rsidRPr="00471CBA" w:rsidRDefault="00A74C68" w:rsidP="00A74C68">
            <w:pPr>
              <w:jc w:val="right"/>
              <w:rPr>
                <w:color w:val="000000"/>
                <w:sz w:val="16"/>
                <w:szCs w:val="16"/>
                <w:lang w:eastAsia="tr-TR"/>
              </w:rPr>
            </w:pPr>
            <w:r w:rsidRPr="00471CBA">
              <w:rPr>
                <w:color w:val="000000"/>
                <w:sz w:val="16"/>
                <w:szCs w:val="16"/>
                <w:lang w:eastAsia="tr-TR"/>
              </w:rPr>
              <w:t>46,94</w:t>
            </w:r>
          </w:p>
        </w:tc>
      </w:tr>
      <w:tr w:rsidR="00A74C68" w:rsidRPr="00471CBA" w14:paraId="405D2E7F" w14:textId="77777777" w:rsidTr="00A74C68">
        <w:trPr>
          <w:divId w:val="15010806"/>
          <w:trHeight w:val="170"/>
        </w:trPr>
        <w:tc>
          <w:tcPr>
            <w:tcW w:w="6663" w:type="dxa"/>
            <w:tcBorders>
              <w:top w:val="single" w:sz="4" w:space="0" w:color="auto"/>
              <w:bottom w:val="single" w:sz="4" w:space="0" w:color="auto"/>
            </w:tcBorders>
            <w:vAlign w:val="center"/>
            <w:hideMark/>
          </w:tcPr>
          <w:p w14:paraId="2FF82EDD" w14:textId="77777777" w:rsidR="00A74C68" w:rsidRPr="00471CBA" w:rsidRDefault="00A74C68" w:rsidP="00A74C68">
            <w:pPr>
              <w:jc w:val="center"/>
              <w:rPr>
                <w:b/>
                <w:bCs/>
                <w:color w:val="000000"/>
                <w:sz w:val="16"/>
                <w:szCs w:val="16"/>
                <w:lang w:eastAsia="tr-TR"/>
              </w:rPr>
            </w:pPr>
            <w:r w:rsidRPr="00471CBA">
              <w:rPr>
                <w:b/>
                <w:bCs/>
                <w:color w:val="000000"/>
                <w:sz w:val="16"/>
                <w:szCs w:val="16"/>
                <w:lang w:eastAsia="tr-TR"/>
              </w:rPr>
              <w:t>TAMPONLAR</w:t>
            </w:r>
          </w:p>
        </w:tc>
        <w:tc>
          <w:tcPr>
            <w:tcW w:w="1556" w:type="dxa"/>
            <w:tcBorders>
              <w:top w:val="single" w:sz="4" w:space="0" w:color="auto"/>
              <w:bottom w:val="single" w:sz="4" w:space="0" w:color="auto"/>
            </w:tcBorders>
            <w:noWrap/>
            <w:vAlign w:val="bottom"/>
            <w:hideMark/>
          </w:tcPr>
          <w:p w14:paraId="5F2AA6EE"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 </w:t>
            </w:r>
          </w:p>
        </w:tc>
        <w:tc>
          <w:tcPr>
            <w:tcW w:w="1556" w:type="dxa"/>
            <w:tcBorders>
              <w:top w:val="single" w:sz="4" w:space="0" w:color="auto"/>
              <w:bottom w:val="single" w:sz="4" w:space="0" w:color="auto"/>
            </w:tcBorders>
            <w:noWrap/>
            <w:vAlign w:val="bottom"/>
            <w:hideMark/>
          </w:tcPr>
          <w:p w14:paraId="0252DFB7"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 </w:t>
            </w:r>
          </w:p>
        </w:tc>
      </w:tr>
      <w:tr w:rsidR="00A74C68" w:rsidRPr="00471CBA" w14:paraId="31C0F6FA" w14:textId="77777777" w:rsidTr="00A74C68">
        <w:trPr>
          <w:divId w:val="15010806"/>
          <w:trHeight w:val="170"/>
        </w:trPr>
        <w:tc>
          <w:tcPr>
            <w:tcW w:w="6663" w:type="dxa"/>
            <w:tcBorders>
              <w:top w:val="single" w:sz="4" w:space="0" w:color="auto"/>
            </w:tcBorders>
            <w:vAlign w:val="center"/>
            <w:hideMark/>
          </w:tcPr>
          <w:p w14:paraId="51CD8EC3" w14:textId="77777777" w:rsidR="00A74C68" w:rsidRPr="00471CBA" w:rsidRDefault="00A74C68" w:rsidP="00A74C68">
            <w:pPr>
              <w:rPr>
                <w:b/>
                <w:bCs/>
                <w:color w:val="000000"/>
                <w:sz w:val="16"/>
                <w:szCs w:val="16"/>
                <w:lang w:eastAsia="tr-TR"/>
              </w:rPr>
            </w:pPr>
            <w:r w:rsidRPr="00471CBA">
              <w:rPr>
                <w:b/>
                <w:bCs/>
                <w:color w:val="000000"/>
                <w:sz w:val="16"/>
                <w:szCs w:val="16"/>
                <w:lang w:eastAsia="tr-TR"/>
              </w:rPr>
              <w:t>Toplam ilave çekirdek sermaye gereksinim oranı (a+b+c)</w:t>
            </w:r>
          </w:p>
        </w:tc>
        <w:tc>
          <w:tcPr>
            <w:tcW w:w="1556" w:type="dxa"/>
            <w:tcBorders>
              <w:top w:val="single" w:sz="4" w:space="0" w:color="auto"/>
            </w:tcBorders>
            <w:vAlign w:val="center"/>
            <w:hideMark/>
          </w:tcPr>
          <w:p w14:paraId="55EAAA67"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2,62</w:t>
            </w:r>
          </w:p>
        </w:tc>
        <w:tc>
          <w:tcPr>
            <w:tcW w:w="1556" w:type="dxa"/>
            <w:tcBorders>
              <w:top w:val="single" w:sz="4" w:space="0" w:color="auto"/>
            </w:tcBorders>
            <w:vAlign w:val="center"/>
            <w:hideMark/>
          </w:tcPr>
          <w:p w14:paraId="269809E9"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2,57</w:t>
            </w:r>
          </w:p>
        </w:tc>
      </w:tr>
      <w:tr w:rsidR="00A74C68" w:rsidRPr="00471CBA" w14:paraId="120E24CB" w14:textId="77777777" w:rsidTr="00A74C68">
        <w:trPr>
          <w:divId w:val="15010806"/>
          <w:trHeight w:val="170"/>
        </w:trPr>
        <w:tc>
          <w:tcPr>
            <w:tcW w:w="6663" w:type="dxa"/>
            <w:vAlign w:val="center"/>
            <w:hideMark/>
          </w:tcPr>
          <w:p w14:paraId="52CFABA9" w14:textId="77777777" w:rsidR="00A74C68" w:rsidRPr="00471CBA" w:rsidRDefault="00A74C68" w:rsidP="00A74C68">
            <w:pPr>
              <w:rPr>
                <w:color w:val="000000"/>
                <w:sz w:val="16"/>
                <w:szCs w:val="16"/>
                <w:lang w:eastAsia="tr-TR"/>
              </w:rPr>
            </w:pPr>
            <w:r w:rsidRPr="00471CBA">
              <w:rPr>
                <w:color w:val="000000"/>
                <w:sz w:val="16"/>
                <w:szCs w:val="16"/>
                <w:lang w:eastAsia="tr-TR"/>
              </w:rPr>
              <w:t>a)                    Sermaye koruma tamponu oranı (%)</w:t>
            </w:r>
          </w:p>
        </w:tc>
        <w:tc>
          <w:tcPr>
            <w:tcW w:w="1556" w:type="dxa"/>
            <w:vAlign w:val="center"/>
            <w:hideMark/>
          </w:tcPr>
          <w:p w14:paraId="03F9603E" w14:textId="77777777" w:rsidR="00A74C68" w:rsidRPr="00471CBA" w:rsidRDefault="00A74C68" w:rsidP="00A74C68">
            <w:pPr>
              <w:jc w:val="right"/>
              <w:rPr>
                <w:color w:val="000000"/>
                <w:sz w:val="16"/>
                <w:szCs w:val="16"/>
                <w:lang w:eastAsia="tr-TR"/>
              </w:rPr>
            </w:pPr>
            <w:r w:rsidRPr="00471CBA">
              <w:rPr>
                <w:color w:val="000000"/>
                <w:sz w:val="16"/>
                <w:szCs w:val="16"/>
                <w:lang w:eastAsia="tr-TR"/>
              </w:rPr>
              <w:t>2,50</w:t>
            </w:r>
          </w:p>
        </w:tc>
        <w:tc>
          <w:tcPr>
            <w:tcW w:w="1556" w:type="dxa"/>
            <w:vAlign w:val="center"/>
            <w:hideMark/>
          </w:tcPr>
          <w:p w14:paraId="10EDE8F1" w14:textId="77777777" w:rsidR="00A74C68" w:rsidRPr="00471CBA" w:rsidRDefault="00A74C68" w:rsidP="00A74C68">
            <w:pPr>
              <w:jc w:val="right"/>
              <w:rPr>
                <w:color w:val="000000"/>
                <w:sz w:val="16"/>
                <w:szCs w:val="16"/>
                <w:lang w:eastAsia="tr-TR"/>
              </w:rPr>
            </w:pPr>
            <w:r w:rsidRPr="00471CBA">
              <w:rPr>
                <w:color w:val="000000"/>
                <w:sz w:val="16"/>
                <w:szCs w:val="16"/>
                <w:lang w:eastAsia="tr-TR"/>
              </w:rPr>
              <w:t>2,50</w:t>
            </w:r>
          </w:p>
        </w:tc>
      </w:tr>
      <w:tr w:rsidR="00A74C68" w:rsidRPr="00471CBA" w14:paraId="66ECA358" w14:textId="77777777" w:rsidTr="00A74C68">
        <w:trPr>
          <w:divId w:val="15010806"/>
          <w:trHeight w:val="170"/>
        </w:trPr>
        <w:tc>
          <w:tcPr>
            <w:tcW w:w="6663" w:type="dxa"/>
            <w:vAlign w:val="center"/>
            <w:hideMark/>
          </w:tcPr>
          <w:p w14:paraId="43A63EE9" w14:textId="77777777" w:rsidR="00A74C68" w:rsidRPr="00471CBA" w:rsidRDefault="00A74C68" w:rsidP="00A74C68">
            <w:pPr>
              <w:rPr>
                <w:color w:val="000000"/>
                <w:sz w:val="16"/>
                <w:szCs w:val="16"/>
                <w:lang w:eastAsia="tr-TR"/>
              </w:rPr>
            </w:pPr>
            <w:r w:rsidRPr="00471CBA">
              <w:rPr>
                <w:color w:val="000000"/>
                <w:sz w:val="16"/>
                <w:szCs w:val="16"/>
                <w:lang w:eastAsia="tr-TR"/>
              </w:rPr>
              <w:t>b)                   Bankaya özgü döngüsel sermaye tamponu oranı (%)</w:t>
            </w:r>
          </w:p>
        </w:tc>
        <w:tc>
          <w:tcPr>
            <w:tcW w:w="1556" w:type="dxa"/>
            <w:vAlign w:val="center"/>
            <w:hideMark/>
          </w:tcPr>
          <w:p w14:paraId="5BC84F34" w14:textId="77777777" w:rsidR="00A74C68" w:rsidRPr="00471CBA" w:rsidRDefault="00A74C68" w:rsidP="00A74C68">
            <w:pPr>
              <w:jc w:val="right"/>
              <w:rPr>
                <w:color w:val="000000"/>
                <w:sz w:val="16"/>
                <w:szCs w:val="16"/>
                <w:lang w:eastAsia="tr-TR"/>
              </w:rPr>
            </w:pPr>
            <w:r w:rsidRPr="00471CBA">
              <w:rPr>
                <w:color w:val="000000"/>
                <w:sz w:val="16"/>
                <w:szCs w:val="16"/>
                <w:lang w:eastAsia="tr-TR"/>
              </w:rPr>
              <w:t>0,12</w:t>
            </w:r>
          </w:p>
        </w:tc>
        <w:tc>
          <w:tcPr>
            <w:tcW w:w="1556" w:type="dxa"/>
            <w:vAlign w:val="center"/>
            <w:hideMark/>
          </w:tcPr>
          <w:p w14:paraId="2E936093" w14:textId="77777777" w:rsidR="00A74C68" w:rsidRPr="00471CBA" w:rsidRDefault="00A74C68" w:rsidP="00A74C68">
            <w:pPr>
              <w:jc w:val="right"/>
              <w:rPr>
                <w:color w:val="000000"/>
                <w:sz w:val="16"/>
                <w:szCs w:val="16"/>
                <w:lang w:eastAsia="tr-TR"/>
              </w:rPr>
            </w:pPr>
            <w:r w:rsidRPr="00471CBA">
              <w:rPr>
                <w:color w:val="000000"/>
                <w:sz w:val="16"/>
                <w:szCs w:val="16"/>
                <w:lang w:eastAsia="tr-TR"/>
              </w:rPr>
              <w:t>0,07</w:t>
            </w:r>
          </w:p>
        </w:tc>
      </w:tr>
      <w:tr w:rsidR="00A74C68" w:rsidRPr="00471CBA" w14:paraId="2B6E582A" w14:textId="77777777" w:rsidTr="00A74C68">
        <w:trPr>
          <w:divId w:val="15010806"/>
          <w:trHeight w:val="170"/>
        </w:trPr>
        <w:tc>
          <w:tcPr>
            <w:tcW w:w="6663" w:type="dxa"/>
            <w:vAlign w:val="center"/>
            <w:hideMark/>
          </w:tcPr>
          <w:p w14:paraId="1F434CCC" w14:textId="77777777" w:rsidR="00A74C68" w:rsidRPr="00471CBA" w:rsidRDefault="00A74C68" w:rsidP="00A74C68">
            <w:pPr>
              <w:rPr>
                <w:color w:val="000000"/>
                <w:sz w:val="16"/>
                <w:szCs w:val="16"/>
                <w:lang w:eastAsia="tr-TR"/>
              </w:rPr>
            </w:pPr>
            <w:r w:rsidRPr="00471CBA">
              <w:rPr>
                <w:color w:val="000000"/>
                <w:sz w:val="16"/>
                <w:szCs w:val="16"/>
                <w:lang w:eastAsia="tr-TR"/>
              </w:rPr>
              <w:t>c)                    Sistemik önemli banka tamponu oranı (%)</w:t>
            </w:r>
          </w:p>
        </w:tc>
        <w:tc>
          <w:tcPr>
            <w:tcW w:w="1556" w:type="dxa"/>
            <w:vAlign w:val="center"/>
            <w:hideMark/>
          </w:tcPr>
          <w:p w14:paraId="73E6022D" w14:textId="77777777" w:rsidR="00A74C68" w:rsidRPr="00471CBA" w:rsidRDefault="00A74C68" w:rsidP="00A74C68">
            <w:pPr>
              <w:jc w:val="right"/>
              <w:rPr>
                <w:color w:val="000000"/>
                <w:sz w:val="16"/>
                <w:szCs w:val="16"/>
                <w:lang w:eastAsia="tr-TR"/>
              </w:rPr>
            </w:pPr>
            <w:r w:rsidRPr="00471CBA">
              <w:rPr>
                <w:color w:val="000000"/>
                <w:sz w:val="16"/>
                <w:szCs w:val="16"/>
                <w:lang w:eastAsia="tr-TR"/>
              </w:rPr>
              <w:t>0,00</w:t>
            </w:r>
          </w:p>
        </w:tc>
        <w:tc>
          <w:tcPr>
            <w:tcW w:w="1556" w:type="dxa"/>
            <w:vAlign w:val="center"/>
            <w:hideMark/>
          </w:tcPr>
          <w:p w14:paraId="59EE70E8" w14:textId="77777777" w:rsidR="00A74C68" w:rsidRPr="00471CBA" w:rsidRDefault="00A74C68" w:rsidP="00A74C68">
            <w:pPr>
              <w:jc w:val="right"/>
              <w:rPr>
                <w:color w:val="000000"/>
                <w:sz w:val="16"/>
                <w:szCs w:val="16"/>
                <w:lang w:eastAsia="tr-TR"/>
              </w:rPr>
            </w:pPr>
            <w:r w:rsidRPr="00471CBA">
              <w:rPr>
                <w:color w:val="000000"/>
                <w:sz w:val="16"/>
                <w:szCs w:val="16"/>
                <w:lang w:eastAsia="tr-TR"/>
              </w:rPr>
              <w:t>0,00</w:t>
            </w:r>
          </w:p>
        </w:tc>
      </w:tr>
      <w:tr w:rsidR="00A74C68" w:rsidRPr="00471CBA" w14:paraId="2A614A9A" w14:textId="77777777" w:rsidTr="00A74C68">
        <w:trPr>
          <w:divId w:val="15010806"/>
          <w:trHeight w:val="170"/>
        </w:trPr>
        <w:tc>
          <w:tcPr>
            <w:tcW w:w="6663" w:type="dxa"/>
            <w:vAlign w:val="center"/>
            <w:hideMark/>
          </w:tcPr>
          <w:p w14:paraId="4338FB9B" w14:textId="77777777" w:rsidR="00A74C68" w:rsidRPr="00471CBA" w:rsidRDefault="00A74C68" w:rsidP="00A74C68">
            <w:pPr>
              <w:rPr>
                <w:color w:val="000000"/>
                <w:sz w:val="16"/>
                <w:szCs w:val="16"/>
                <w:lang w:eastAsia="tr-TR"/>
              </w:rPr>
            </w:pPr>
            <w:r w:rsidRPr="00471CBA">
              <w:rPr>
                <w:color w:val="000000"/>
                <w:sz w:val="16"/>
                <w:szCs w:val="16"/>
                <w:lang w:eastAsia="tr-TR"/>
              </w:rPr>
              <w:t xml:space="preserve">Sermaye Koruma ve Döngüsel Sermaye Tamponlarına İlişkin Yönetmeliğin </w:t>
            </w:r>
            <w:proofErr w:type="gramStart"/>
            <w:r w:rsidRPr="00471CBA">
              <w:rPr>
                <w:color w:val="000000"/>
                <w:sz w:val="16"/>
                <w:szCs w:val="16"/>
                <w:lang w:eastAsia="tr-TR"/>
              </w:rPr>
              <w:t>4 üncü</w:t>
            </w:r>
            <w:proofErr w:type="gramEnd"/>
            <w:r w:rsidRPr="00471CBA">
              <w:rPr>
                <w:color w:val="000000"/>
                <w:sz w:val="16"/>
                <w:szCs w:val="16"/>
                <w:lang w:eastAsia="tr-TR"/>
              </w:rPr>
              <w:t xml:space="preserve"> maddesinin birinci fıkrası uyarınca hesaplanacak ilave çekirdek sermaye tutarının risk ağırlıklı varlıklar tutarına oranı (%)</w:t>
            </w:r>
          </w:p>
        </w:tc>
        <w:tc>
          <w:tcPr>
            <w:tcW w:w="1556" w:type="dxa"/>
            <w:vAlign w:val="center"/>
            <w:hideMark/>
          </w:tcPr>
          <w:p w14:paraId="7C19338F" w14:textId="77777777" w:rsidR="00A74C68" w:rsidRPr="00471CBA" w:rsidRDefault="00A74C68" w:rsidP="00A74C68">
            <w:pPr>
              <w:jc w:val="right"/>
              <w:rPr>
                <w:color w:val="000000"/>
                <w:sz w:val="16"/>
                <w:szCs w:val="16"/>
                <w:lang w:eastAsia="tr-TR"/>
              </w:rPr>
            </w:pPr>
            <w:r w:rsidRPr="00471CBA">
              <w:rPr>
                <w:color w:val="000000"/>
                <w:sz w:val="16"/>
                <w:szCs w:val="16"/>
                <w:lang w:eastAsia="tr-TR"/>
              </w:rPr>
              <w:t>10,20</w:t>
            </w:r>
          </w:p>
        </w:tc>
        <w:tc>
          <w:tcPr>
            <w:tcW w:w="1556" w:type="dxa"/>
            <w:vAlign w:val="center"/>
            <w:hideMark/>
          </w:tcPr>
          <w:p w14:paraId="6DDBF560" w14:textId="77777777" w:rsidR="00A74C68" w:rsidRPr="00471CBA" w:rsidRDefault="00A74C68" w:rsidP="00A74C68">
            <w:pPr>
              <w:jc w:val="right"/>
              <w:rPr>
                <w:color w:val="000000"/>
                <w:sz w:val="16"/>
                <w:szCs w:val="16"/>
                <w:lang w:eastAsia="tr-TR"/>
              </w:rPr>
            </w:pPr>
            <w:r w:rsidRPr="00471CBA">
              <w:rPr>
                <w:color w:val="000000"/>
                <w:sz w:val="16"/>
                <w:szCs w:val="16"/>
                <w:lang w:eastAsia="tr-TR"/>
              </w:rPr>
              <w:t>38,37</w:t>
            </w:r>
          </w:p>
        </w:tc>
      </w:tr>
      <w:tr w:rsidR="00A74C68" w:rsidRPr="00471CBA" w14:paraId="0B4F1584" w14:textId="77777777" w:rsidTr="00A74C68">
        <w:trPr>
          <w:divId w:val="15010806"/>
          <w:trHeight w:val="170"/>
        </w:trPr>
        <w:tc>
          <w:tcPr>
            <w:tcW w:w="6663" w:type="dxa"/>
            <w:tcBorders>
              <w:bottom w:val="single" w:sz="4" w:space="0" w:color="auto"/>
            </w:tcBorders>
            <w:vAlign w:val="center"/>
            <w:hideMark/>
          </w:tcPr>
          <w:p w14:paraId="7177D0FB" w14:textId="77777777" w:rsidR="00A74C68" w:rsidRPr="00471CBA" w:rsidRDefault="00A74C68" w:rsidP="00A74C68">
            <w:pPr>
              <w:rPr>
                <w:b/>
                <w:bCs/>
                <w:color w:val="000000"/>
                <w:sz w:val="16"/>
                <w:szCs w:val="16"/>
                <w:lang w:eastAsia="tr-TR"/>
              </w:rPr>
            </w:pPr>
            <w:r w:rsidRPr="00471CBA">
              <w:rPr>
                <w:b/>
                <w:bCs/>
                <w:color w:val="000000"/>
                <w:sz w:val="16"/>
                <w:szCs w:val="16"/>
                <w:lang w:eastAsia="tr-TR"/>
              </w:rPr>
              <w:t>Uygulanacak İndirim Esaslarında Aşım Tutarının Altında Kalan Tutarlar</w:t>
            </w:r>
          </w:p>
        </w:tc>
        <w:tc>
          <w:tcPr>
            <w:tcW w:w="1556" w:type="dxa"/>
            <w:tcBorders>
              <w:bottom w:val="single" w:sz="4" w:space="0" w:color="auto"/>
            </w:tcBorders>
            <w:noWrap/>
            <w:vAlign w:val="bottom"/>
            <w:hideMark/>
          </w:tcPr>
          <w:p w14:paraId="1C9921A0"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 </w:t>
            </w:r>
          </w:p>
        </w:tc>
        <w:tc>
          <w:tcPr>
            <w:tcW w:w="1556" w:type="dxa"/>
            <w:tcBorders>
              <w:bottom w:val="single" w:sz="4" w:space="0" w:color="auto"/>
            </w:tcBorders>
            <w:noWrap/>
            <w:vAlign w:val="bottom"/>
            <w:hideMark/>
          </w:tcPr>
          <w:p w14:paraId="39ABB517"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 </w:t>
            </w:r>
          </w:p>
        </w:tc>
      </w:tr>
      <w:tr w:rsidR="00A74C68" w:rsidRPr="00471CBA" w14:paraId="792A9479" w14:textId="77777777" w:rsidTr="00A74C68">
        <w:trPr>
          <w:divId w:val="15010806"/>
          <w:trHeight w:val="170"/>
        </w:trPr>
        <w:tc>
          <w:tcPr>
            <w:tcW w:w="6663" w:type="dxa"/>
            <w:tcBorders>
              <w:top w:val="single" w:sz="4" w:space="0" w:color="auto"/>
            </w:tcBorders>
            <w:vAlign w:val="center"/>
            <w:hideMark/>
          </w:tcPr>
          <w:p w14:paraId="73F91A7A" w14:textId="77777777" w:rsidR="00A74C68" w:rsidRPr="00471CBA" w:rsidRDefault="00A74C68" w:rsidP="00A74C68">
            <w:pPr>
              <w:rPr>
                <w:color w:val="000000"/>
                <w:sz w:val="16"/>
                <w:szCs w:val="16"/>
                <w:lang w:eastAsia="tr-TR"/>
              </w:rPr>
            </w:pPr>
            <w:r w:rsidRPr="00471CBA">
              <w:rPr>
                <w:color w:val="000000"/>
                <w:sz w:val="16"/>
                <w:szCs w:val="16"/>
                <w:lang w:eastAsia="tr-TR"/>
              </w:rPr>
              <w:t>Ortaklık paylarının %10 veya daha azına sahip olunan ve konsolide edilmeyen bankalar ve finansal kuruluşların özkaynak unsurlarına yapılan yatırımların net uzun pozisyonlarından kaynaklanan tutar</w:t>
            </w:r>
          </w:p>
        </w:tc>
        <w:tc>
          <w:tcPr>
            <w:tcW w:w="1556" w:type="dxa"/>
            <w:tcBorders>
              <w:top w:val="single" w:sz="4" w:space="0" w:color="auto"/>
            </w:tcBorders>
            <w:vAlign w:val="center"/>
            <w:hideMark/>
          </w:tcPr>
          <w:p w14:paraId="3679BCFF" w14:textId="77777777" w:rsidR="00A74C68" w:rsidRPr="00471CBA" w:rsidRDefault="00A74C68" w:rsidP="00A74C68">
            <w:pPr>
              <w:jc w:val="right"/>
              <w:rPr>
                <w:b/>
                <w:bCs/>
                <w:color w:val="000000"/>
                <w:sz w:val="16"/>
                <w:szCs w:val="16"/>
                <w:lang w:eastAsia="tr-TR"/>
              </w:rPr>
            </w:pPr>
            <w:r w:rsidRPr="00471CBA">
              <w:rPr>
                <w:color w:val="000000"/>
                <w:sz w:val="16"/>
                <w:szCs w:val="16"/>
                <w:lang w:eastAsia="tr-TR"/>
              </w:rPr>
              <w:t>-</w:t>
            </w:r>
          </w:p>
        </w:tc>
        <w:tc>
          <w:tcPr>
            <w:tcW w:w="1556" w:type="dxa"/>
            <w:tcBorders>
              <w:top w:val="single" w:sz="4" w:space="0" w:color="auto"/>
            </w:tcBorders>
            <w:vAlign w:val="center"/>
            <w:hideMark/>
          </w:tcPr>
          <w:p w14:paraId="77545415"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w:t>
            </w:r>
          </w:p>
        </w:tc>
      </w:tr>
      <w:tr w:rsidR="00A74C68" w:rsidRPr="00471CBA" w14:paraId="676FCE98" w14:textId="77777777" w:rsidTr="00A74C68">
        <w:trPr>
          <w:divId w:val="15010806"/>
          <w:trHeight w:val="170"/>
        </w:trPr>
        <w:tc>
          <w:tcPr>
            <w:tcW w:w="6663" w:type="dxa"/>
            <w:vAlign w:val="center"/>
            <w:hideMark/>
          </w:tcPr>
          <w:p w14:paraId="718EE70E" w14:textId="77777777" w:rsidR="00A74C68" w:rsidRPr="00471CBA" w:rsidRDefault="00A74C68" w:rsidP="00A74C68">
            <w:pPr>
              <w:rPr>
                <w:color w:val="000000"/>
                <w:sz w:val="16"/>
                <w:szCs w:val="16"/>
                <w:lang w:eastAsia="tr-TR"/>
              </w:rPr>
            </w:pPr>
            <w:r w:rsidRPr="00471CBA">
              <w:rPr>
                <w:color w:val="000000"/>
                <w:sz w:val="16"/>
                <w:szCs w:val="16"/>
                <w:lang w:eastAsia="tr-TR"/>
              </w:rPr>
              <w:t>Ortaklık paylarının %10’dan daha fazlasına sahip olunan ve konsolide edilmeyen bankalar ve finansal kuruluşların çekirdek sermaye unsurlarına yapılan yatırımların net uzun pozisyonlarından kaynaklanan tutar</w:t>
            </w:r>
          </w:p>
        </w:tc>
        <w:tc>
          <w:tcPr>
            <w:tcW w:w="1556" w:type="dxa"/>
            <w:vAlign w:val="center"/>
            <w:hideMark/>
          </w:tcPr>
          <w:p w14:paraId="12430318" w14:textId="77777777" w:rsidR="00A74C68" w:rsidRPr="00471CBA" w:rsidRDefault="00A74C68" w:rsidP="00A74C68">
            <w:pPr>
              <w:jc w:val="right"/>
              <w:rPr>
                <w:b/>
                <w:bCs/>
                <w:color w:val="000000"/>
                <w:sz w:val="16"/>
                <w:szCs w:val="16"/>
                <w:lang w:eastAsia="tr-TR"/>
              </w:rPr>
            </w:pPr>
            <w:r w:rsidRPr="00471CBA">
              <w:rPr>
                <w:color w:val="000000"/>
                <w:sz w:val="16"/>
                <w:szCs w:val="16"/>
                <w:lang w:eastAsia="tr-TR"/>
              </w:rPr>
              <w:t>-</w:t>
            </w:r>
          </w:p>
        </w:tc>
        <w:tc>
          <w:tcPr>
            <w:tcW w:w="1556" w:type="dxa"/>
            <w:vAlign w:val="center"/>
            <w:hideMark/>
          </w:tcPr>
          <w:p w14:paraId="2FDA5EB3"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w:t>
            </w:r>
          </w:p>
        </w:tc>
      </w:tr>
      <w:tr w:rsidR="00A74C68" w:rsidRPr="00471CBA" w14:paraId="3166D3E9" w14:textId="77777777" w:rsidTr="00A74C68">
        <w:trPr>
          <w:divId w:val="15010806"/>
          <w:trHeight w:val="170"/>
        </w:trPr>
        <w:tc>
          <w:tcPr>
            <w:tcW w:w="6663" w:type="dxa"/>
            <w:vAlign w:val="center"/>
            <w:hideMark/>
          </w:tcPr>
          <w:p w14:paraId="475587B1" w14:textId="77777777" w:rsidR="00A74C68" w:rsidRPr="00471CBA" w:rsidRDefault="00A74C68" w:rsidP="00A74C68">
            <w:pPr>
              <w:rPr>
                <w:color w:val="000000"/>
                <w:sz w:val="16"/>
                <w:szCs w:val="16"/>
                <w:lang w:eastAsia="tr-TR"/>
              </w:rPr>
            </w:pPr>
            <w:r w:rsidRPr="00471CBA">
              <w:rPr>
                <w:color w:val="000000"/>
                <w:sz w:val="16"/>
                <w:szCs w:val="16"/>
                <w:lang w:eastAsia="tr-TR"/>
              </w:rPr>
              <w:t>İpotek hizmeti sunma haklarından kaynaklanan tutar</w:t>
            </w:r>
          </w:p>
        </w:tc>
        <w:tc>
          <w:tcPr>
            <w:tcW w:w="1556" w:type="dxa"/>
            <w:vAlign w:val="center"/>
            <w:hideMark/>
          </w:tcPr>
          <w:p w14:paraId="37436F69" w14:textId="77777777" w:rsidR="00A74C68" w:rsidRPr="00471CBA" w:rsidRDefault="00A74C68" w:rsidP="00A74C68">
            <w:pPr>
              <w:jc w:val="right"/>
              <w:rPr>
                <w:b/>
                <w:bCs/>
                <w:color w:val="000000"/>
                <w:sz w:val="16"/>
                <w:szCs w:val="16"/>
                <w:lang w:eastAsia="tr-TR"/>
              </w:rPr>
            </w:pPr>
            <w:r w:rsidRPr="00471CBA">
              <w:rPr>
                <w:color w:val="000000"/>
                <w:sz w:val="16"/>
                <w:szCs w:val="16"/>
                <w:lang w:eastAsia="tr-TR"/>
              </w:rPr>
              <w:t>-</w:t>
            </w:r>
          </w:p>
        </w:tc>
        <w:tc>
          <w:tcPr>
            <w:tcW w:w="1556" w:type="dxa"/>
            <w:vAlign w:val="center"/>
            <w:hideMark/>
          </w:tcPr>
          <w:p w14:paraId="3115EE61"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w:t>
            </w:r>
          </w:p>
        </w:tc>
      </w:tr>
      <w:tr w:rsidR="00A74C68" w:rsidRPr="00471CBA" w14:paraId="19C88791" w14:textId="77777777" w:rsidTr="00A74C68">
        <w:trPr>
          <w:divId w:val="15010806"/>
          <w:trHeight w:val="170"/>
        </w:trPr>
        <w:tc>
          <w:tcPr>
            <w:tcW w:w="6663" w:type="dxa"/>
            <w:vAlign w:val="center"/>
            <w:hideMark/>
          </w:tcPr>
          <w:p w14:paraId="50DC4EDC" w14:textId="77777777" w:rsidR="00A74C68" w:rsidRPr="00471CBA" w:rsidRDefault="00A74C68" w:rsidP="00A74C68">
            <w:pPr>
              <w:rPr>
                <w:color w:val="000000"/>
                <w:sz w:val="16"/>
                <w:szCs w:val="16"/>
                <w:lang w:eastAsia="tr-TR"/>
              </w:rPr>
            </w:pPr>
            <w:r w:rsidRPr="00471CBA">
              <w:rPr>
                <w:color w:val="000000"/>
                <w:sz w:val="16"/>
                <w:szCs w:val="16"/>
                <w:lang w:eastAsia="tr-TR"/>
              </w:rPr>
              <w:t>Geçici farklara dayanan ertelenmiş vergi varlıklarından kaynaklanan tutar</w:t>
            </w:r>
          </w:p>
        </w:tc>
        <w:tc>
          <w:tcPr>
            <w:tcW w:w="1556" w:type="dxa"/>
            <w:vAlign w:val="center"/>
            <w:hideMark/>
          </w:tcPr>
          <w:p w14:paraId="2ECA371F"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w:t>
            </w:r>
          </w:p>
        </w:tc>
        <w:tc>
          <w:tcPr>
            <w:tcW w:w="1556" w:type="dxa"/>
            <w:vAlign w:val="center"/>
            <w:hideMark/>
          </w:tcPr>
          <w:p w14:paraId="1EB17B01"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w:t>
            </w:r>
          </w:p>
        </w:tc>
      </w:tr>
      <w:tr w:rsidR="00A74C68" w:rsidRPr="00471CBA" w14:paraId="19CC39F4" w14:textId="77777777" w:rsidTr="00A74C68">
        <w:trPr>
          <w:divId w:val="15010806"/>
          <w:trHeight w:val="170"/>
        </w:trPr>
        <w:tc>
          <w:tcPr>
            <w:tcW w:w="6663" w:type="dxa"/>
            <w:tcBorders>
              <w:bottom w:val="single" w:sz="4" w:space="0" w:color="auto"/>
            </w:tcBorders>
            <w:vAlign w:val="center"/>
            <w:hideMark/>
          </w:tcPr>
          <w:p w14:paraId="3D0593FA" w14:textId="77777777" w:rsidR="00A74C68" w:rsidRPr="00471CBA" w:rsidRDefault="00A74C68" w:rsidP="00A74C68">
            <w:pPr>
              <w:rPr>
                <w:b/>
                <w:bCs/>
                <w:color w:val="000000"/>
                <w:sz w:val="16"/>
                <w:szCs w:val="16"/>
                <w:lang w:eastAsia="tr-TR"/>
              </w:rPr>
            </w:pPr>
            <w:r w:rsidRPr="00471CBA">
              <w:rPr>
                <w:b/>
                <w:bCs/>
                <w:color w:val="000000"/>
                <w:sz w:val="16"/>
                <w:szCs w:val="16"/>
                <w:lang w:eastAsia="tr-TR"/>
              </w:rPr>
              <w:t>Katkı Sermaye Hesaplamasında Dikkate Alınan Karşılıklara İlişkin Sınırlar</w:t>
            </w:r>
          </w:p>
        </w:tc>
        <w:tc>
          <w:tcPr>
            <w:tcW w:w="1556" w:type="dxa"/>
            <w:tcBorders>
              <w:bottom w:val="single" w:sz="4" w:space="0" w:color="auto"/>
            </w:tcBorders>
            <w:noWrap/>
            <w:vAlign w:val="bottom"/>
            <w:hideMark/>
          </w:tcPr>
          <w:p w14:paraId="1A0AB08B"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 </w:t>
            </w:r>
          </w:p>
        </w:tc>
        <w:tc>
          <w:tcPr>
            <w:tcW w:w="1556" w:type="dxa"/>
            <w:tcBorders>
              <w:bottom w:val="single" w:sz="4" w:space="0" w:color="auto"/>
            </w:tcBorders>
            <w:noWrap/>
            <w:vAlign w:val="bottom"/>
            <w:hideMark/>
          </w:tcPr>
          <w:p w14:paraId="27238C5B"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 </w:t>
            </w:r>
          </w:p>
        </w:tc>
      </w:tr>
      <w:tr w:rsidR="00A74C68" w:rsidRPr="00471CBA" w14:paraId="5631F913" w14:textId="77777777" w:rsidTr="00A74C68">
        <w:trPr>
          <w:divId w:val="15010806"/>
          <w:trHeight w:val="170"/>
        </w:trPr>
        <w:tc>
          <w:tcPr>
            <w:tcW w:w="6663" w:type="dxa"/>
            <w:tcBorders>
              <w:top w:val="single" w:sz="4" w:space="0" w:color="auto"/>
            </w:tcBorders>
            <w:vAlign w:val="center"/>
            <w:hideMark/>
          </w:tcPr>
          <w:p w14:paraId="4AD816A3" w14:textId="77777777" w:rsidR="00A74C68" w:rsidRPr="00471CBA" w:rsidRDefault="00A74C68" w:rsidP="00A74C68">
            <w:pPr>
              <w:rPr>
                <w:color w:val="000000"/>
                <w:sz w:val="16"/>
                <w:szCs w:val="16"/>
                <w:lang w:eastAsia="tr-TR"/>
              </w:rPr>
            </w:pPr>
            <w:r w:rsidRPr="00471CBA">
              <w:rPr>
                <w:color w:val="000000"/>
                <w:sz w:val="16"/>
                <w:szCs w:val="16"/>
                <w:lang w:eastAsia="tr-TR"/>
              </w:rPr>
              <w:t>Standart yaklaşımın kullanıldığı alacaklar için ayrılan genel karşılıklar (Onbindeyüzyirmibeşlik sınır öncesi)</w:t>
            </w:r>
          </w:p>
        </w:tc>
        <w:tc>
          <w:tcPr>
            <w:tcW w:w="1556" w:type="dxa"/>
            <w:tcBorders>
              <w:top w:val="single" w:sz="4" w:space="0" w:color="auto"/>
            </w:tcBorders>
            <w:vAlign w:val="center"/>
            <w:hideMark/>
          </w:tcPr>
          <w:p w14:paraId="5EE9529D"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69.280</w:t>
            </w:r>
          </w:p>
        </w:tc>
        <w:tc>
          <w:tcPr>
            <w:tcW w:w="1556" w:type="dxa"/>
            <w:tcBorders>
              <w:top w:val="single" w:sz="4" w:space="0" w:color="auto"/>
            </w:tcBorders>
            <w:vAlign w:val="center"/>
            <w:hideMark/>
          </w:tcPr>
          <w:p w14:paraId="3813445A"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86.578</w:t>
            </w:r>
          </w:p>
        </w:tc>
      </w:tr>
      <w:tr w:rsidR="00A74C68" w:rsidRPr="00471CBA" w14:paraId="06A80293" w14:textId="77777777" w:rsidTr="00A74C68">
        <w:trPr>
          <w:divId w:val="15010806"/>
          <w:trHeight w:val="170"/>
        </w:trPr>
        <w:tc>
          <w:tcPr>
            <w:tcW w:w="6663" w:type="dxa"/>
            <w:vAlign w:val="center"/>
            <w:hideMark/>
          </w:tcPr>
          <w:p w14:paraId="562D3993" w14:textId="77777777" w:rsidR="00A74C68" w:rsidRPr="00471CBA" w:rsidRDefault="00A74C68" w:rsidP="00A74C68">
            <w:pPr>
              <w:rPr>
                <w:color w:val="000000"/>
                <w:sz w:val="16"/>
                <w:szCs w:val="16"/>
                <w:lang w:eastAsia="tr-TR"/>
              </w:rPr>
            </w:pPr>
            <w:r w:rsidRPr="00471CBA">
              <w:rPr>
                <w:color w:val="000000"/>
                <w:sz w:val="16"/>
                <w:szCs w:val="16"/>
                <w:lang w:eastAsia="tr-TR"/>
              </w:rPr>
              <w:t>Standart yaklaşımın kullanıldığı alacaklar için ayrılan genel karşılıkların risk ağırlıklı tutarlar toplamının %1,25’ine kadar olan kısmı</w:t>
            </w:r>
          </w:p>
        </w:tc>
        <w:tc>
          <w:tcPr>
            <w:tcW w:w="1556" w:type="dxa"/>
            <w:vAlign w:val="center"/>
            <w:hideMark/>
          </w:tcPr>
          <w:p w14:paraId="200696EB"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69.280</w:t>
            </w:r>
          </w:p>
        </w:tc>
        <w:tc>
          <w:tcPr>
            <w:tcW w:w="1556" w:type="dxa"/>
            <w:vAlign w:val="center"/>
            <w:hideMark/>
          </w:tcPr>
          <w:p w14:paraId="37D87908"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86.578</w:t>
            </w:r>
          </w:p>
        </w:tc>
      </w:tr>
      <w:tr w:rsidR="00A74C68" w:rsidRPr="00471CBA" w14:paraId="707AD5B0" w14:textId="77777777" w:rsidTr="00A74C68">
        <w:trPr>
          <w:divId w:val="15010806"/>
          <w:trHeight w:val="170"/>
        </w:trPr>
        <w:tc>
          <w:tcPr>
            <w:tcW w:w="6663" w:type="dxa"/>
            <w:vAlign w:val="center"/>
            <w:hideMark/>
          </w:tcPr>
          <w:p w14:paraId="76776CA2" w14:textId="77777777" w:rsidR="00A74C68" w:rsidRPr="00471CBA" w:rsidRDefault="00A74C68" w:rsidP="00A74C68">
            <w:pPr>
              <w:rPr>
                <w:color w:val="000000"/>
                <w:sz w:val="16"/>
                <w:szCs w:val="16"/>
                <w:lang w:eastAsia="tr-TR"/>
              </w:rPr>
            </w:pPr>
            <w:r w:rsidRPr="00471CBA">
              <w:rPr>
                <w:color w:val="000000"/>
                <w:sz w:val="16"/>
                <w:szCs w:val="16"/>
                <w:lang w:eastAsia="tr-TR"/>
              </w:rPr>
              <w:t>Toplam karşılık tutarının, Kredi Riskine Esas Tutarın İçsel Derecelendirmeye Dayalı Yaklaşımlar ile Hesaplanmasına İlişkin Tebliğ uyarınca hesaplanan toplam beklenen kayıp tutarını aşan kısmı</w:t>
            </w:r>
          </w:p>
        </w:tc>
        <w:tc>
          <w:tcPr>
            <w:tcW w:w="1556" w:type="dxa"/>
            <w:vAlign w:val="center"/>
            <w:hideMark/>
          </w:tcPr>
          <w:p w14:paraId="5E8F7BA2"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w:t>
            </w:r>
          </w:p>
        </w:tc>
        <w:tc>
          <w:tcPr>
            <w:tcW w:w="1556" w:type="dxa"/>
            <w:vAlign w:val="center"/>
            <w:hideMark/>
          </w:tcPr>
          <w:p w14:paraId="4186EE90"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w:t>
            </w:r>
          </w:p>
        </w:tc>
      </w:tr>
      <w:tr w:rsidR="00A74C68" w:rsidRPr="00471CBA" w14:paraId="15D84F37" w14:textId="77777777" w:rsidTr="00A74C68">
        <w:trPr>
          <w:divId w:val="15010806"/>
          <w:trHeight w:val="170"/>
        </w:trPr>
        <w:tc>
          <w:tcPr>
            <w:tcW w:w="6663" w:type="dxa"/>
            <w:vAlign w:val="center"/>
            <w:hideMark/>
          </w:tcPr>
          <w:p w14:paraId="3364B6CD" w14:textId="77777777" w:rsidR="00A74C68" w:rsidRPr="00471CBA" w:rsidRDefault="00A74C68" w:rsidP="00A74C68">
            <w:pPr>
              <w:rPr>
                <w:color w:val="000000"/>
                <w:sz w:val="16"/>
                <w:szCs w:val="16"/>
                <w:lang w:eastAsia="tr-TR"/>
              </w:rPr>
            </w:pPr>
            <w:r w:rsidRPr="00471CBA">
              <w:rPr>
                <w:color w:val="000000"/>
                <w:sz w:val="16"/>
                <w:szCs w:val="16"/>
                <w:lang w:eastAsia="tr-TR"/>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556" w:type="dxa"/>
            <w:vAlign w:val="center"/>
            <w:hideMark/>
          </w:tcPr>
          <w:p w14:paraId="39C5A5AC"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w:t>
            </w:r>
          </w:p>
        </w:tc>
        <w:tc>
          <w:tcPr>
            <w:tcW w:w="1556" w:type="dxa"/>
            <w:vAlign w:val="center"/>
            <w:hideMark/>
          </w:tcPr>
          <w:p w14:paraId="6E719119"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w:t>
            </w:r>
          </w:p>
        </w:tc>
      </w:tr>
      <w:tr w:rsidR="00A74C68" w:rsidRPr="00471CBA" w14:paraId="06BBFA55" w14:textId="77777777" w:rsidTr="00A74C68">
        <w:trPr>
          <w:divId w:val="15010806"/>
          <w:trHeight w:val="170"/>
        </w:trPr>
        <w:tc>
          <w:tcPr>
            <w:tcW w:w="6663" w:type="dxa"/>
            <w:tcBorders>
              <w:bottom w:val="single" w:sz="4" w:space="0" w:color="auto"/>
            </w:tcBorders>
            <w:vAlign w:val="center"/>
            <w:hideMark/>
          </w:tcPr>
          <w:p w14:paraId="2663B072" w14:textId="77777777" w:rsidR="00A74C68" w:rsidRPr="00471CBA" w:rsidRDefault="00A74C68" w:rsidP="00A74C68">
            <w:pPr>
              <w:rPr>
                <w:b/>
                <w:bCs/>
                <w:color w:val="000000"/>
                <w:sz w:val="16"/>
                <w:szCs w:val="16"/>
                <w:lang w:eastAsia="tr-TR"/>
              </w:rPr>
            </w:pPr>
            <w:r w:rsidRPr="00471CBA">
              <w:rPr>
                <w:b/>
                <w:bCs/>
                <w:color w:val="000000"/>
                <w:sz w:val="16"/>
                <w:szCs w:val="16"/>
                <w:lang w:eastAsia="tr-TR"/>
              </w:rPr>
              <w:t>Geçici Madde 4 hükümlerine tabi borçlanma araçları (1 Ocak 2018 ve 1 Ocak 2022 arasında uygulanmak üzere)</w:t>
            </w:r>
          </w:p>
        </w:tc>
        <w:tc>
          <w:tcPr>
            <w:tcW w:w="1556" w:type="dxa"/>
            <w:tcBorders>
              <w:bottom w:val="single" w:sz="4" w:space="0" w:color="auto"/>
            </w:tcBorders>
            <w:noWrap/>
            <w:vAlign w:val="bottom"/>
            <w:hideMark/>
          </w:tcPr>
          <w:p w14:paraId="5974D97B" w14:textId="77777777" w:rsidR="00A74C68" w:rsidRPr="00471CBA" w:rsidRDefault="00A74C68" w:rsidP="00A74C68">
            <w:pPr>
              <w:jc w:val="right"/>
              <w:rPr>
                <w:color w:val="000000"/>
                <w:sz w:val="16"/>
                <w:szCs w:val="16"/>
                <w:lang w:eastAsia="tr-TR"/>
              </w:rPr>
            </w:pPr>
            <w:r w:rsidRPr="00471CBA">
              <w:rPr>
                <w:color w:val="000000"/>
                <w:sz w:val="16"/>
                <w:szCs w:val="16"/>
                <w:lang w:eastAsia="tr-TR"/>
              </w:rPr>
              <w:t> </w:t>
            </w:r>
          </w:p>
        </w:tc>
        <w:tc>
          <w:tcPr>
            <w:tcW w:w="1556" w:type="dxa"/>
            <w:tcBorders>
              <w:bottom w:val="single" w:sz="4" w:space="0" w:color="auto"/>
            </w:tcBorders>
            <w:noWrap/>
            <w:vAlign w:val="bottom"/>
            <w:hideMark/>
          </w:tcPr>
          <w:p w14:paraId="72C83C3E" w14:textId="77777777" w:rsidR="00A74C68" w:rsidRPr="00471CBA" w:rsidRDefault="00A74C68" w:rsidP="00A74C68">
            <w:pPr>
              <w:jc w:val="right"/>
              <w:rPr>
                <w:color w:val="000000"/>
                <w:sz w:val="16"/>
                <w:szCs w:val="16"/>
                <w:lang w:eastAsia="tr-TR"/>
              </w:rPr>
            </w:pPr>
            <w:r w:rsidRPr="00471CBA">
              <w:rPr>
                <w:color w:val="000000"/>
                <w:sz w:val="16"/>
                <w:szCs w:val="16"/>
                <w:lang w:eastAsia="tr-TR"/>
              </w:rPr>
              <w:t> </w:t>
            </w:r>
          </w:p>
        </w:tc>
      </w:tr>
      <w:tr w:rsidR="00A74C68" w:rsidRPr="00471CBA" w14:paraId="212E9972" w14:textId="77777777" w:rsidTr="00A74C68">
        <w:trPr>
          <w:divId w:val="15010806"/>
          <w:trHeight w:val="170"/>
        </w:trPr>
        <w:tc>
          <w:tcPr>
            <w:tcW w:w="6663" w:type="dxa"/>
            <w:tcBorders>
              <w:top w:val="single" w:sz="4" w:space="0" w:color="auto"/>
            </w:tcBorders>
            <w:vAlign w:val="center"/>
            <w:hideMark/>
          </w:tcPr>
          <w:p w14:paraId="747F4041" w14:textId="77777777" w:rsidR="00A74C68" w:rsidRPr="00471CBA" w:rsidRDefault="00A74C68" w:rsidP="00A74C68">
            <w:pPr>
              <w:rPr>
                <w:color w:val="000000"/>
                <w:sz w:val="16"/>
                <w:szCs w:val="16"/>
                <w:lang w:eastAsia="tr-TR"/>
              </w:rPr>
            </w:pPr>
            <w:r w:rsidRPr="00471CBA">
              <w:rPr>
                <w:color w:val="000000"/>
                <w:sz w:val="16"/>
                <w:szCs w:val="16"/>
                <w:lang w:eastAsia="tr-TR"/>
              </w:rPr>
              <w:t>Geçici Madde 4 hükümlerine tabi ilave ana sermaye kalemlerine ilişkin üst sınır</w:t>
            </w:r>
          </w:p>
        </w:tc>
        <w:tc>
          <w:tcPr>
            <w:tcW w:w="1556" w:type="dxa"/>
            <w:tcBorders>
              <w:top w:val="single" w:sz="4" w:space="0" w:color="auto"/>
            </w:tcBorders>
            <w:vAlign w:val="center"/>
            <w:hideMark/>
          </w:tcPr>
          <w:p w14:paraId="50D0F25A" w14:textId="77777777" w:rsidR="00A74C68" w:rsidRPr="00471CBA" w:rsidRDefault="00A74C68" w:rsidP="00A74C68">
            <w:pPr>
              <w:jc w:val="right"/>
              <w:rPr>
                <w:b/>
                <w:bCs/>
                <w:color w:val="000000"/>
                <w:sz w:val="16"/>
                <w:szCs w:val="16"/>
                <w:lang w:eastAsia="tr-TR"/>
              </w:rPr>
            </w:pPr>
            <w:r w:rsidRPr="00471CBA">
              <w:rPr>
                <w:color w:val="000000"/>
                <w:sz w:val="16"/>
                <w:szCs w:val="16"/>
                <w:lang w:eastAsia="tr-TR"/>
              </w:rPr>
              <w:t>-</w:t>
            </w:r>
          </w:p>
        </w:tc>
        <w:tc>
          <w:tcPr>
            <w:tcW w:w="1556" w:type="dxa"/>
            <w:tcBorders>
              <w:top w:val="single" w:sz="4" w:space="0" w:color="auto"/>
            </w:tcBorders>
            <w:vAlign w:val="center"/>
            <w:hideMark/>
          </w:tcPr>
          <w:p w14:paraId="7AEE4088"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w:t>
            </w:r>
          </w:p>
        </w:tc>
      </w:tr>
      <w:tr w:rsidR="00A74C68" w:rsidRPr="00471CBA" w14:paraId="5008F051" w14:textId="77777777" w:rsidTr="00A74C68">
        <w:trPr>
          <w:divId w:val="15010806"/>
          <w:trHeight w:val="170"/>
        </w:trPr>
        <w:tc>
          <w:tcPr>
            <w:tcW w:w="6663" w:type="dxa"/>
            <w:vAlign w:val="center"/>
            <w:hideMark/>
          </w:tcPr>
          <w:p w14:paraId="13C15D98" w14:textId="77777777" w:rsidR="00A74C68" w:rsidRPr="00471CBA" w:rsidRDefault="00A74C68" w:rsidP="00A74C68">
            <w:pPr>
              <w:rPr>
                <w:color w:val="000000"/>
                <w:sz w:val="16"/>
                <w:szCs w:val="16"/>
                <w:lang w:eastAsia="tr-TR"/>
              </w:rPr>
            </w:pPr>
            <w:r w:rsidRPr="00471CBA">
              <w:rPr>
                <w:color w:val="000000"/>
                <w:sz w:val="16"/>
                <w:szCs w:val="16"/>
                <w:lang w:eastAsia="tr-TR"/>
              </w:rPr>
              <w:t>Geçici Madde 4 hükümlerine tabi ilave ana sermaye kalemlerinin üst sınırı aşan kısmı</w:t>
            </w:r>
          </w:p>
        </w:tc>
        <w:tc>
          <w:tcPr>
            <w:tcW w:w="1556" w:type="dxa"/>
            <w:vAlign w:val="center"/>
            <w:hideMark/>
          </w:tcPr>
          <w:p w14:paraId="7C304604" w14:textId="77777777" w:rsidR="00A74C68" w:rsidRPr="00471CBA" w:rsidRDefault="00A74C68" w:rsidP="00A74C68">
            <w:pPr>
              <w:jc w:val="right"/>
              <w:rPr>
                <w:b/>
                <w:bCs/>
                <w:color w:val="000000"/>
                <w:sz w:val="16"/>
                <w:szCs w:val="16"/>
                <w:lang w:eastAsia="tr-TR"/>
              </w:rPr>
            </w:pPr>
            <w:r w:rsidRPr="00471CBA">
              <w:rPr>
                <w:color w:val="000000"/>
                <w:sz w:val="16"/>
                <w:szCs w:val="16"/>
                <w:lang w:eastAsia="tr-TR"/>
              </w:rPr>
              <w:t>-</w:t>
            </w:r>
          </w:p>
        </w:tc>
        <w:tc>
          <w:tcPr>
            <w:tcW w:w="1556" w:type="dxa"/>
            <w:vAlign w:val="center"/>
            <w:hideMark/>
          </w:tcPr>
          <w:p w14:paraId="62FAF153"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w:t>
            </w:r>
          </w:p>
        </w:tc>
      </w:tr>
      <w:tr w:rsidR="00A74C68" w:rsidRPr="00471CBA" w14:paraId="752877C9" w14:textId="77777777" w:rsidTr="00A74C68">
        <w:trPr>
          <w:divId w:val="15010806"/>
          <w:trHeight w:val="170"/>
        </w:trPr>
        <w:tc>
          <w:tcPr>
            <w:tcW w:w="6663" w:type="dxa"/>
            <w:vAlign w:val="center"/>
            <w:hideMark/>
          </w:tcPr>
          <w:p w14:paraId="01F8343D" w14:textId="77777777" w:rsidR="00A74C68" w:rsidRPr="00471CBA" w:rsidRDefault="00A74C68" w:rsidP="00A74C68">
            <w:pPr>
              <w:rPr>
                <w:color w:val="000000"/>
                <w:sz w:val="16"/>
                <w:szCs w:val="16"/>
                <w:lang w:eastAsia="tr-TR"/>
              </w:rPr>
            </w:pPr>
            <w:r w:rsidRPr="00471CBA">
              <w:rPr>
                <w:color w:val="000000"/>
                <w:sz w:val="16"/>
                <w:szCs w:val="16"/>
                <w:lang w:eastAsia="tr-TR"/>
              </w:rPr>
              <w:t>Geçici Madde 4 hükümlerine tabi katkı sermaye kalemlerine ilişkin üst sınır</w:t>
            </w:r>
          </w:p>
        </w:tc>
        <w:tc>
          <w:tcPr>
            <w:tcW w:w="1556" w:type="dxa"/>
            <w:vAlign w:val="center"/>
            <w:hideMark/>
          </w:tcPr>
          <w:p w14:paraId="29F8AF59" w14:textId="77777777" w:rsidR="00A74C68" w:rsidRPr="00471CBA" w:rsidRDefault="00A74C68" w:rsidP="00A74C68">
            <w:pPr>
              <w:jc w:val="right"/>
              <w:rPr>
                <w:b/>
                <w:bCs/>
                <w:color w:val="000000"/>
                <w:sz w:val="16"/>
                <w:szCs w:val="16"/>
                <w:lang w:eastAsia="tr-TR"/>
              </w:rPr>
            </w:pPr>
            <w:r w:rsidRPr="00471CBA">
              <w:rPr>
                <w:color w:val="000000"/>
                <w:sz w:val="16"/>
                <w:szCs w:val="16"/>
                <w:lang w:eastAsia="tr-TR"/>
              </w:rPr>
              <w:t>-</w:t>
            </w:r>
          </w:p>
        </w:tc>
        <w:tc>
          <w:tcPr>
            <w:tcW w:w="1556" w:type="dxa"/>
            <w:vAlign w:val="center"/>
            <w:hideMark/>
          </w:tcPr>
          <w:p w14:paraId="446BC319"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w:t>
            </w:r>
          </w:p>
        </w:tc>
      </w:tr>
      <w:tr w:rsidR="00A74C68" w:rsidRPr="00471CBA" w14:paraId="451E6201" w14:textId="77777777" w:rsidTr="00A74C68">
        <w:trPr>
          <w:divId w:val="15010806"/>
          <w:trHeight w:val="170"/>
        </w:trPr>
        <w:tc>
          <w:tcPr>
            <w:tcW w:w="6663" w:type="dxa"/>
            <w:tcBorders>
              <w:bottom w:val="single" w:sz="4" w:space="0" w:color="auto"/>
            </w:tcBorders>
            <w:vAlign w:val="center"/>
            <w:hideMark/>
          </w:tcPr>
          <w:p w14:paraId="2C8854D4" w14:textId="77777777" w:rsidR="00A74C68" w:rsidRPr="00471CBA" w:rsidRDefault="00A74C68" w:rsidP="00A74C68">
            <w:pPr>
              <w:rPr>
                <w:color w:val="000000"/>
                <w:sz w:val="16"/>
                <w:szCs w:val="16"/>
                <w:lang w:eastAsia="tr-TR"/>
              </w:rPr>
            </w:pPr>
            <w:r w:rsidRPr="00471CBA">
              <w:rPr>
                <w:color w:val="000000"/>
                <w:sz w:val="16"/>
                <w:szCs w:val="16"/>
                <w:lang w:eastAsia="tr-TR"/>
              </w:rPr>
              <w:t>Geçici Madde 4 hükümlerine tabi katkı sermaye kalemlerinin üst sınırı aşan kısmı</w:t>
            </w:r>
          </w:p>
        </w:tc>
        <w:tc>
          <w:tcPr>
            <w:tcW w:w="1556" w:type="dxa"/>
            <w:tcBorders>
              <w:bottom w:val="single" w:sz="4" w:space="0" w:color="auto"/>
            </w:tcBorders>
            <w:vAlign w:val="center"/>
            <w:hideMark/>
          </w:tcPr>
          <w:p w14:paraId="052B17C5"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w:t>
            </w:r>
          </w:p>
        </w:tc>
        <w:tc>
          <w:tcPr>
            <w:tcW w:w="1556" w:type="dxa"/>
            <w:tcBorders>
              <w:bottom w:val="single" w:sz="4" w:space="0" w:color="auto"/>
            </w:tcBorders>
            <w:vAlign w:val="center"/>
            <w:hideMark/>
          </w:tcPr>
          <w:p w14:paraId="613B905E"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w:t>
            </w:r>
          </w:p>
        </w:tc>
      </w:tr>
    </w:tbl>
    <w:p w14:paraId="3E26F5D2" w14:textId="4F35603F" w:rsidR="00A37418" w:rsidRPr="00471CBA" w:rsidRDefault="00A37418" w:rsidP="008B6ADA"/>
    <w:p w14:paraId="6F56B756" w14:textId="46EC8EC0" w:rsidR="00F66E71" w:rsidRPr="00471CBA" w:rsidRDefault="00F66E71" w:rsidP="00150D23">
      <w:pPr>
        <w:widowControl w:val="0"/>
        <w:tabs>
          <w:tab w:val="left" w:pos="426"/>
          <w:tab w:val="left" w:pos="6830"/>
          <w:tab w:val="left" w:pos="7986"/>
        </w:tabs>
        <w:ind w:right="-19"/>
        <w:rPr>
          <w:color w:val="000000"/>
          <w:sz w:val="16"/>
          <w:szCs w:val="16"/>
        </w:rPr>
      </w:pPr>
      <w:r w:rsidRPr="00471CBA">
        <w:rPr>
          <w:szCs w:val="20"/>
        </w:rPr>
        <w:br w:type="page"/>
      </w:r>
    </w:p>
    <w:p w14:paraId="1180B439" w14:textId="77777777" w:rsidR="00D8352C" w:rsidRPr="00471CBA" w:rsidRDefault="00D8352C" w:rsidP="00D8352C">
      <w:pPr>
        <w:rPr>
          <w:b/>
          <w:szCs w:val="20"/>
        </w:rPr>
      </w:pPr>
      <w:bookmarkStart w:id="43" w:name="_Hlk70322411"/>
      <w:r w:rsidRPr="00471CBA">
        <w:rPr>
          <w:b/>
          <w:szCs w:val="20"/>
        </w:rPr>
        <w:lastRenderedPageBreak/>
        <w:t>MALİ BÜNYEYE VE RİSK YÖNETİMİNE İLİŞKİN BİLGİLER (Devamı)</w:t>
      </w:r>
    </w:p>
    <w:p w14:paraId="3E9B2BAD" w14:textId="77777777" w:rsidR="00B857EA" w:rsidRPr="00471CBA" w:rsidRDefault="00B857EA" w:rsidP="00B857EA">
      <w:pPr>
        <w:pStyle w:val="ListeParagraf"/>
        <w:widowControl w:val="0"/>
        <w:ind w:left="-426"/>
        <w:rPr>
          <w:b/>
          <w:szCs w:val="20"/>
        </w:rPr>
      </w:pPr>
    </w:p>
    <w:p w14:paraId="1D42C1F8" w14:textId="77777777" w:rsidR="00F91828" w:rsidRPr="00471CBA" w:rsidRDefault="00F91828" w:rsidP="00F91828">
      <w:pPr>
        <w:widowControl w:val="0"/>
        <w:autoSpaceDE w:val="0"/>
        <w:autoSpaceDN w:val="0"/>
        <w:adjustRightInd w:val="0"/>
        <w:ind w:left="851" w:right="-1" w:hanging="851"/>
        <w:jc w:val="both"/>
        <w:rPr>
          <w:b/>
          <w:szCs w:val="20"/>
        </w:rPr>
      </w:pPr>
      <w:bookmarkStart w:id="44" w:name="_Hlk99378919"/>
      <w:bookmarkEnd w:id="43"/>
      <w:r w:rsidRPr="00471CBA">
        <w:rPr>
          <w:b/>
          <w:szCs w:val="20"/>
        </w:rPr>
        <w:t>II.</w:t>
      </w:r>
      <w:r w:rsidRPr="00471CBA">
        <w:rPr>
          <w:b/>
          <w:szCs w:val="20"/>
        </w:rPr>
        <w:tab/>
        <w:t>KREDİ RİSKİNE İLİŞKİN AÇIKLAMALAR</w:t>
      </w:r>
    </w:p>
    <w:p w14:paraId="2517F82C" w14:textId="77777777" w:rsidR="00F91828" w:rsidRPr="00471CBA" w:rsidRDefault="00F91828" w:rsidP="008459A9">
      <w:pPr>
        <w:pStyle w:val="ListeParagraf"/>
        <w:numPr>
          <w:ilvl w:val="0"/>
          <w:numId w:val="93"/>
        </w:numPr>
        <w:autoSpaceDE w:val="0"/>
        <w:autoSpaceDN w:val="0"/>
        <w:adjustRightInd w:val="0"/>
        <w:spacing w:before="120" w:after="120"/>
        <w:ind w:left="851" w:hanging="851"/>
        <w:jc w:val="both"/>
        <w:rPr>
          <w:szCs w:val="20"/>
        </w:rPr>
      </w:pPr>
      <w:r w:rsidRPr="00471CBA">
        <w:rPr>
          <w:szCs w:val="20"/>
        </w:rPr>
        <w:t xml:space="preserve">Kredi riski, Banka’nın gerek nakdi gerekse gayri nakdi kredi ilişkisi içinde bulunduğu kurumsal ve bireysel müşterilerin, Banka ile yaptığı sözleşme gereklerine uymayarak yükümlülüğünü kısmen veya tamamen zamanında yerine getirememesinden oluşabilecek risk ve zararları ifade etmektedir. </w:t>
      </w:r>
    </w:p>
    <w:p w14:paraId="239888DA" w14:textId="77777777" w:rsidR="00F91828" w:rsidRPr="00471CBA" w:rsidRDefault="00F91828" w:rsidP="00F36B82">
      <w:pPr>
        <w:pStyle w:val="ListeParagraf"/>
        <w:autoSpaceDE w:val="0"/>
        <w:autoSpaceDN w:val="0"/>
        <w:adjustRightInd w:val="0"/>
        <w:spacing w:before="120" w:after="120"/>
        <w:ind w:left="851"/>
        <w:jc w:val="both"/>
        <w:rPr>
          <w:szCs w:val="20"/>
        </w:rPr>
      </w:pPr>
      <w:r w:rsidRPr="00471CBA">
        <w:rPr>
          <w:szCs w:val="20"/>
        </w:rPr>
        <w:t xml:space="preserve">Kredi tahsis yetkisi esas olarak Yönetim Kurulu’na ait olup, Yönetim Kurulu’nun verdiği yetkiye istinaden Banka’nın risk limitleri Genel Müdürlük Kredi Komitesi, Kredi Komitesi ve Yönetim Kurulu’nca belirlenmektedir. Genel Müdürlük Kredi komitesi bu yetkisinin bir kısmını veya tamamını, birimler veya şubeler aracılığı ile kullanabilmektedir. Kredi Komitesi’ne ve Yönetim Kurulu’na kredi teklifleri yazılı olarak sunulmaktadır. </w:t>
      </w:r>
    </w:p>
    <w:p w14:paraId="2DC6D702" w14:textId="77777777" w:rsidR="00F91828" w:rsidRPr="00471CBA" w:rsidRDefault="00F91828" w:rsidP="00F36B82">
      <w:pPr>
        <w:autoSpaceDE w:val="0"/>
        <w:autoSpaceDN w:val="0"/>
        <w:adjustRightInd w:val="0"/>
        <w:spacing w:before="120" w:after="120"/>
        <w:ind w:left="851"/>
        <w:jc w:val="both"/>
        <w:rPr>
          <w:szCs w:val="20"/>
        </w:rPr>
      </w:pPr>
      <w:r w:rsidRPr="00471CBA">
        <w:rPr>
          <w:szCs w:val="20"/>
        </w:rPr>
        <w:t xml:space="preserve">Kredi riski açısından, borçlu veya borçlular grubu risk sınırlamasına tabi tutulmaktadır. Kredi limitleri her bir bireysel müşteri, şirket, şirketler grubu ve risk grupları için ayrı ayrı belirlenmektedir. Kredi limitleri belirlenirken müşterilerin mali gücü, ticari kapasiteleri, sektörleri, coğrafi bölgeleri ve sermaye yapıları gibi birçok kriter bir arada değerlendirilmektedir. </w:t>
      </w:r>
    </w:p>
    <w:p w14:paraId="403329F7" w14:textId="77777777" w:rsidR="00F91828" w:rsidRPr="00471CBA" w:rsidRDefault="00F91828" w:rsidP="00F36B82">
      <w:pPr>
        <w:autoSpaceDE w:val="0"/>
        <w:autoSpaceDN w:val="0"/>
        <w:adjustRightInd w:val="0"/>
        <w:spacing w:before="120" w:after="120"/>
        <w:ind w:left="851"/>
        <w:jc w:val="both"/>
        <w:rPr>
          <w:szCs w:val="20"/>
        </w:rPr>
      </w:pPr>
      <w:r w:rsidRPr="00471CBA">
        <w:rPr>
          <w:szCs w:val="20"/>
        </w:rPr>
        <w:t xml:space="preserve">Banka Yönetim Kurulu’nun aldığı karar gereği prensip olarak, bir gerçek ya da tüzel kişiye tahsis edilecek limitte üst sınır olarak banka özkaynaklarının %15’i dikkate alınır (Yönetim Kurulu Kararıyla belirtilen sınırın üzerinde limit tahsis yapılması tabiidir). Riskin sektörler arasında dengeli dağıtılmasına dikkat edilmekte, bu nedenle şubeler pazarlama faaliyetlerinde mümkün olduğunca değişik sektörlerden firmalara ulaşmaya gayret göstermektedirler. İlke olarak, her şube kendi bünyesindeki toplam riskin sektörler arasında dengeli dağılımını ve kritik görülen sektörlerdeki firmaların gelişimini gözetmektedir. </w:t>
      </w:r>
    </w:p>
    <w:p w14:paraId="05DDB217" w14:textId="77777777" w:rsidR="00F91828" w:rsidRPr="00471CBA" w:rsidRDefault="00F91828" w:rsidP="00F36B82">
      <w:pPr>
        <w:autoSpaceDE w:val="0"/>
        <w:autoSpaceDN w:val="0"/>
        <w:adjustRightInd w:val="0"/>
        <w:spacing w:before="120" w:after="120"/>
        <w:ind w:left="851"/>
        <w:jc w:val="both"/>
        <w:rPr>
          <w:szCs w:val="20"/>
        </w:rPr>
      </w:pPr>
      <w:r w:rsidRPr="00471CBA">
        <w:rPr>
          <w:szCs w:val="20"/>
        </w:rPr>
        <w:t>Kredi borçlularının kredibiliteleri düzenli aralıklarla ilgili mevzuata uygun şekilde izlenmektedir. Verilen krediler için hesap durumu belgeleri ilgili mevzuatta öngörüldüğü şekilde alınmakta, denetlenmekte ve gerektiği durumlarda güncellenmektedir.</w:t>
      </w:r>
    </w:p>
    <w:p w14:paraId="2505C92A" w14:textId="77777777" w:rsidR="00F91828" w:rsidRPr="00471CBA" w:rsidRDefault="00F91828" w:rsidP="00F36B82">
      <w:pPr>
        <w:autoSpaceDE w:val="0"/>
        <w:autoSpaceDN w:val="0"/>
        <w:adjustRightInd w:val="0"/>
        <w:spacing w:before="120" w:after="120"/>
        <w:ind w:left="851"/>
        <w:jc w:val="both"/>
        <w:rPr>
          <w:szCs w:val="20"/>
        </w:rPr>
      </w:pPr>
      <w:r w:rsidRPr="00471CBA">
        <w:rPr>
          <w:szCs w:val="20"/>
        </w:rPr>
        <w:t>Kredi müşterilerinin kredi limitleri, Banka’nın kredi limit yenileme prosedürlerine uygun olarak periyodik olarak yenilenmektedir. Banka, kredi politikaları çerçevesinde kurumsal ve bireysel kredilerin değerliliğini analiz ederek, krediler için gerekli teminatları almaktadır. Kredi riski için alınan başlıca teminatlar, gayrimenkul ipotekleri, nakit blokajı ile araç ve makine rehinleridir.</w:t>
      </w:r>
    </w:p>
    <w:p w14:paraId="6A031B8F" w14:textId="77777777" w:rsidR="00F91828" w:rsidRPr="00471CBA" w:rsidRDefault="00F91828" w:rsidP="00F36B82">
      <w:pPr>
        <w:autoSpaceDE w:val="0"/>
        <w:autoSpaceDN w:val="0"/>
        <w:adjustRightInd w:val="0"/>
        <w:spacing w:before="120" w:after="120"/>
        <w:ind w:left="851"/>
        <w:jc w:val="both"/>
        <w:rPr>
          <w:szCs w:val="20"/>
        </w:rPr>
      </w:pPr>
      <w:r w:rsidRPr="00471CBA">
        <w:rPr>
          <w:szCs w:val="20"/>
        </w:rPr>
        <w:t>Yurtiçi ve yurtdışı muhabir bankalarla yapılan plasman veya döviz alım satım gibi hazine işlemlerinde Kredi Komitesi’nin ve Yönetim Kurulu’nun her bir banka için tahsis ettiği limitler günlük olarak Hazine Yönetimi tarafından takip edilmektedir.</w:t>
      </w:r>
    </w:p>
    <w:p w14:paraId="14452BD9" w14:textId="77777777" w:rsidR="00F91828" w:rsidRPr="00471CBA" w:rsidRDefault="00F91828" w:rsidP="00F91828">
      <w:pPr>
        <w:jc w:val="both"/>
        <w:rPr>
          <w:b/>
          <w:szCs w:val="20"/>
        </w:rPr>
      </w:pPr>
      <w:r w:rsidRPr="00471CBA">
        <w:rPr>
          <w:b/>
          <w:szCs w:val="20"/>
        </w:rPr>
        <w:br w:type="page"/>
      </w:r>
    </w:p>
    <w:p w14:paraId="3CAFD0B7" w14:textId="77777777" w:rsidR="00F91828" w:rsidRPr="00471CBA" w:rsidRDefault="00F91828" w:rsidP="00F91828">
      <w:pPr>
        <w:rPr>
          <w:b/>
          <w:szCs w:val="20"/>
        </w:rPr>
      </w:pPr>
      <w:r w:rsidRPr="00471CBA">
        <w:rPr>
          <w:b/>
          <w:szCs w:val="20"/>
        </w:rPr>
        <w:lastRenderedPageBreak/>
        <w:t>MALİ BÜNYEYE VE RİSK YÖNETİMİNE İLİŞKİN BİLGİLER (Devamı)</w:t>
      </w:r>
    </w:p>
    <w:p w14:paraId="3FE6CEC1" w14:textId="77777777" w:rsidR="00F91828" w:rsidRPr="00471CBA" w:rsidRDefault="00F91828" w:rsidP="00F91828">
      <w:pPr>
        <w:autoSpaceDE w:val="0"/>
        <w:autoSpaceDN w:val="0"/>
        <w:adjustRightInd w:val="0"/>
        <w:spacing w:before="120" w:after="120"/>
        <w:jc w:val="both"/>
        <w:rPr>
          <w:b/>
          <w:szCs w:val="20"/>
        </w:rPr>
      </w:pPr>
      <w:r w:rsidRPr="00471CBA">
        <w:rPr>
          <w:b/>
          <w:szCs w:val="20"/>
        </w:rPr>
        <w:t>II.</w:t>
      </w:r>
      <w:r w:rsidRPr="00471CBA">
        <w:rPr>
          <w:b/>
          <w:szCs w:val="20"/>
        </w:rPr>
        <w:tab/>
        <w:t>KREDİ RİSKİNE İLİŞKİN AÇIKLAMALAR (Devamı)</w:t>
      </w:r>
    </w:p>
    <w:p w14:paraId="14968687" w14:textId="77777777" w:rsidR="00F91828" w:rsidRPr="00471CBA" w:rsidRDefault="00F91828" w:rsidP="00F91828">
      <w:pPr>
        <w:autoSpaceDE w:val="0"/>
        <w:autoSpaceDN w:val="0"/>
        <w:adjustRightInd w:val="0"/>
        <w:spacing w:before="120" w:after="120"/>
        <w:jc w:val="both"/>
        <w:rPr>
          <w:szCs w:val="20"/>
        </w:rPr>
      </w:pPr>
      <w:r w:rsidRPr="00471CBA">
        <w:rPr>
          <w:szCs w:val="20"/>
        </w:rPr>
        <w:t>Kredi riski azaltımının etkileri dikkate alınmaksızın mahsup işlemleri sonrası maruz kalınan risklerin toplam tutarı ile farklı risk sınıfları ve türlerine göre ayrıştırılmış risklerin ilgili döneme ilişkin ortalama tutarı:</w:t>
      </w:r>
    </w:p>
    <w:tbl>
      <w:tblPr>
        <w:tblW w:w="5000" w:type="pct"/>
        <w:tblCellMar>
          <w:left w:w="0" w:type="dxa"/>
          <w:right w:w="0" w:type="dxa"/>
        </w:tblCellMar>
        <w:tblLook w:val="0000" w:firstRow="0" w:lastRow="0" w:firstColumn="0" w:lastColumn="0" w:noHBand="0" w:noVBand="0"/>
      </w:tblPr>
      <w:tblGrid>
        <w:gridCol w:w="6886"/>
        <w:gridCol w:w="1365"/>
        <w:gridCol w:w="1388"/>
      </w:tblGrid>
      <w:tr w:rsidR="00F91828" w:rsidRPr="00F36B82" w14:paraId="0520272E" w14:textId="77777777" w:rsidTr="00B0049C">
        <w:trPr>
          <w:trHeight w:val="227"/>
        </w:trPr>
        <w:tc>
          <w:tcPr>
            <w:tcW w:w="3572" w:type="pct"/>
            <w:tcBorders>
              <w:top w:val="single" w:sz="4" w:space="0" w:color="auto"/>
              <w:bottom w:val="single" w:sz="4" w:space="0" w:color="auto"/>
            </w:tcBorders>
            <w:vAlign w:val="bottom"/>
          </w:tcPr>
          <w:p w14:paraId="6DB3964C" w14:textId="77777777" w:rsidR="00F91828" w:rsidRPr="00F36B82" w:rsidRDefault="00F91828" w:rsidP="00B0049C">
            <w:pPr>
              <w:ind w:left="323" w:hanging="323"/>
              <w:rPr>
                <w:rFonts w:eastAsia="Arial Unicode MS"/>
                <w:b/>
                <w:sz w:val="18"/>
                <w:szCs w:val="18"/>
              </w:rPr>
            </w:pPr>
            <w:r w:rsidRPr="00F36B82">
              <w:rPr>
                <w:rFonts w:eastAsia="Arial Unicode MS"/>
                <w:b/>
                <w:sz w:val="18"/>
                <w:szCs w:val="18"/>
              </w:rPr>
              <w:t>Risk Sınıfları:</w:t>
            </w:r>
          </w:p>
        </w:tc>
        <w:tc>
          <w:tcPr>
            <w:tcW w:w="708" w:type="pct"/>
            <w:tcBorders>
              <w:top w:val="single" w:sz="4" w:space="0" w:color="auto"/>
              <w:bottom w:val="single" w:sz="4" w:space="0" w:color="auto"/>
            </w:tcBorders>
            <w:vAlign w:val="bottom"/>
          </w:tcPr>
          <w:p w14:paraId="1D99D6BA" w14:textId="3E2BDB5E" w:rsidR="00F91828" w:rsidRPr="00F36B82" w:rsidRDefault="00F91828" w:rsidP="00B0049C">
            <w:pPr>
              <w:ind w:right="56"/>
              <w:jc w:val="right"/>
              <w:rPr>
                <w:b/>
                <w:sz w:val="18"/>
                <w:szCs w:val="18"/>
              </w:rPr>
            </w:pPr>
            <w:r w:rsidRPr="00F36B82">
              <w:rPr>
                <w:b/>
                <w:sz w:val="18"/>
                <w:szCs w:val="18"/>
              </w:rPr>
              <w:t>31 Aralık 202</w:t>
            </w:r>
            <w:r w:rsidR="00B4517B" w:rsidRPr="00F36B82">
              <w:rPr>
                <w:b/>
                <w:sz w:val="18"/>
                <w:szCs w:val="18"/>
              </w:rPr>
              <w:t>5</w:t>
            </w:r>
          </w:p>
          <w:p w14:paraId="31CF4D73" w14:textId="77777777" w:rsidR="00F91828" w:rsidRPr="00F36B82" w:rsidRDefault="00F91828" w:rsidP="00B0049C">
            <w:pPr>
              <w:ind w:right="56"/>
              <w:jc w:val="right"/>
              <w:rPr>
                <w:b/>
                <w:sz w:val="18"/>
                <w:szCs w:val="18"/>
              </w:rPr>
            </w:pPr>
            <w:r w:rsidRPr="00F36B82">
              <w:rPr>
                <w:b/>
                <w:sz w:val="18"/>
                <w:szCs w:val="18"/>
              </w:rPr>
              <w:t xml:space="preserve">Risk Tutarı </w:t>
            </w:r>
          </w:p>
        </w:tc>
        <w:tc>
          <w:tcPr>
            <w:tcW w:w="720" w:type="pct"/>
            <w:tcBorders>
              <w:top w:val="single" w:sz="4" w:space="0" w:color="auto"/>
              <w:bottom w:val="single" w:sz="4" w:space="0" w:color="auto"/>
            </w:tcBorders>
            <w:vAlign w:val="bottom"/>
          </w:tcPr>
          <w:p w14:paraId="78DB113C" w14:textId="77777777" w:rsidR="00F91828" w:rsidRPr="00F36B82" w:rsidRDefault="00F91828" w:rsidP="00B0049C">
            <w:pPr>
              <w:ind w:right="56"/>
              <w:jc w:val="right"/>
              <w:rPr>
                <w:b/>
                <w:sz w:val="18"/>
                <w:szCs w:val="18"/>
              </w:rPr>
            </w:pPr>
            <w:r w:rsidRPr="00F36B82">
              <w:rPr>
                <w:b/>
                <w:sz w:val="18"/>
                <w:szCs w:val="18"/>
              </w:rPr>
              <w:t>Ortalama</w:t>
            </w:r>
          </w:p>
          <w:p w14:paraId="0731308C" w14:textId="77777777" w:rsidR="00F91828" w:rsidRPr="00F36B82" w:rsidRDefault="00F91828" w:rsidP="00B0049C">
            <w:pPr>
              <w:ind w:right="56"/>
              <w:jc w:val="right"/>
              <w:rPr>
                <w:b/>
                <w:sz w:val="18"/>
                <w:szCs w:val="18"/>
              </w:rPr>
            </w:pPr>
            <w:r w:rsidRPr="00F36B82">
              <w:rPr>
                <w:b/>
                <w:sz w:val="18"/>
                <w:szCs w:val="18"/>
              </w:rPr>
              <w:t>Risk Tutarı</w:t>
            </w:r>
          </w:p>
        </w:tc>
      </w:tr>
      <w:tr w:rsidR="00F91828" w:rsidRPr="00F36B82" w14:paraId="4FA4F273" w14:textId="77777777" w:rsidTr="00B0049C">
        <w:trPr>
          <w:trHeight w:val="65"/>
        </w:trPr>
        <w:tc>
          <w:tcPr>
            <w:tcW w:w="3572" w:type="pct"/>
            <w:tcBorders>
              <w:top w:val="single" w:sz="4" w:space="0" w:color="auto"/>
            </w:tcBorders>
            <w:vAlign w:val="bottom"/>
          </w:tcPr>
          <w:p w14:paraId="3D8BCBA7" w14:textId="77777777" w:rsidR="00F91828" w:rsidRPr="00F36B82" w:rsidRDefault="00F91828" w:rsidP="00B0049C">
            <w:pPr>
              <w:ind w:left="323" w:hanging="323"/>
              <w:rPr>
                <w:rFonts w:eastAsia="Arial Unicode MS"/>
                <w:b/>
                <w:sz w:val="18"/>
                <w:szCs w:val="18"/>
              </w:rPr>
            </w:pPr>
          </w:p>
        </w:tc>
        <w:tc>
          <w:tcPr>
            <w:tcW w:w="708" w:type="pct"/>
            <w:tcBorders>
              <w:top w:val="single" w:sz="4" w:space="0" w:color="auto"/>
            </w:tcBorders>
            <w:vAlign w:val="bottom"/>
          </w:tcPr>
          <w:p w14:paraId="3710AB7F" w14:textId="77777777" w:rsidR="00F91828" w:rsidRPr="00F36B82" w:rsidRDefault="00F91828" w:rsidP="00B0049C">
            <w:pPr>
              <w:ind w:right="56"/>
              <w:jc w:val="right"/>
              <w:rPr>
                <w:b/>
                <w:sz w:val="18"/>
                <w:szCs w:val="18"/>
              </w:rPr>
            </w:pPr>
          </w:p>
        </w:tc>
        <w:tc>
          <w:tcPr>
            <w:tcW w:w="720" w:type="pct"/>
            <w:tcBorders>
              <w:top w:val="single" w:sz="4" w:space="0" w:color="auto"/>
            </w:tcBorders>
            <w:vAlign w:val="bottom"/>
          </w:tcPr>
          <w:p w14:paraId="158FFB36" w14:textId="77777777" w:rsidR="00F91828" w:rsidRPr="00F36B82" w:rsidRDefault="00F91828" w:rsidP="00B0049C">
            <w:pPr>
              <w:ind w:right="56"/>
              <w:jc w:val="right"/>
              <w:rPr>
                <w:b/>
                <w:sz w:val="18"/>
                <w:szCs w:val="18"/>
              </w:rPr>
            </w:pPr>
          </w:p>
        </w:tc>
      </w:tr>
      <w:tr w:rsidR="002411D3" w:rsidRPr="00F36B82" w14:paraId="718E54A7" w14:textId="77777777" w:rsidTr="00826C8F">
        <w:trPr>
          <w:trHeight w:val="20"/>
        </w:trPr>
        <w:tc>
          <w:tcPr>
            <w:tcW w:w="3572" w:type="pct"/>
            <w:vAlign w:val="bottom"/>
          </w:tcPr>
          <w:p w14:paraId="05F60996" w14:textId="77777777" w:rsidR="002411D3" w:rsidRPr="00F36B82" w:rsidRDefault="002411D3" w:rsidP="002411D3">
            <w:pPr>
              <w:ind w:left="323" w:hanging="323"/>
              <w:rPr>
                <w:sz w:val="18"/>
                <w:szCs w:val="18"/>
              </w:rPr>
            </w:pPr>
            <w:r w:rsidRPr="00F36B82">
              <w:rPr>
                <w:sz w:val="18"/>
                <w:szCs w:val="18"/>
              </w:rPr>
              <w:t>Merkezi yönetimlerden veya merkez bankalarından alacaklar</w:t>
            </w:r>
          </w:p>
        </w:tc>
        <w:tc>
          <w:tcPr>
            <w:tcW w:w="708" w:type="pct"/>
            <w:tcBorders>
              <w:top w:val="nil"/>
              <w:left w:val="nil"/>
              <w:bottom w:val="nil"/>
              <w:right w:val="nil"/>
            </w:tcBorders>
            <w:vAlign w:val="center"/>
          </w:tcPr>
          <w:p w14:paraId="4ADA70DF" w14:textId="39CD955C" w:rsidR="002411D3" w:rsidRPr="00F36B82" w:rsidRDefault="002411D3" w:rsidP="002411D3">
            <w:pPr>
              <w:ind w:right="126"/>
              <w:jc w:val="right"/>
              <w:rPr>
                <w:color w:val="000000"/>
                <w:sz w:val="18"/>
                <w:szCs w:val="18"/>
              </w:rPr>
            </w:pPr>
            <w:r w:rsidRPr="00F36B82">
              <w:rPr>
                <w:color w:val="000000"/>
                <w:sz w:val="18"/>
                <w:szCs w:val="18"/>
              </w:rPr>
              <w:t>20.281.833</w:t>
            </w:r>
          </w:p>
        </w:tc>
        <w:tc>
          <w:tcPr>
            <w:tcW w:w="720" w:type="pct"/>
            <w:vAlign w:val="center"/>
          </w:tcPr>
          <w:p w14:paraId="3928E963" w14:textId="3DA30187" w:rsidR="002411D3" w:rsidRPr="00F36B82" w:rsidRDefault="002411D3" w:rsidP="002411D3">
            <w:pPr>
              <w:ind w:right="126"/>
              <w:jc w:val="right"/>
              <w:rPr>
                <w:color w:val="000000"/>
                <w:sz w:val="18"/>
                <w:szCs w:val="18"/>
              </w:rPr>
            </w:pPr>
            <w:r w:rsidRPr="00F36B82">
              <w:rPr>
                <w:color w:val="000000"/>
                <w:sz w:val="18"/>
                <w:szCs w:val="18"/>
              </w:rPr>
              <w:t>10.653.949</w:t>
            </w:r>
          </w:p>
        </w:tc>
      </w:tr>
      <w:tr w:rsidR="002411D3" w:rsidRPr="00F36B82" w14:paraId="5D279E03" w14:textId="77777777" w:rsidTr="00826C8F">
        <w:trPr>
          <w:trHeight w:val="20"/>
        </w:trPr>
        <w:tc>
          <w:tcPr>
            <w:tcW w:w="3572" w:type="pct"/>
            <w:vAlign w:val="bottom"/>
          </w:tcPr>
          <w:p w14:paraId="7C5274C3" w14:textId="77777777" w:rsidR="002411D3" w:rsidRPr="00F36B82" w:rsidRDefault="002411D3" w:rsidP="002411D3">
            <w:pPr>
              <w:ind w:left="323" w:hanging="323"/>
              <w:rPr>
                <w:sz w:val="18"/>
                <w:szCs w:val="18"/>
              </w:rPr>
            </w:pPr>
            <w:r w:rsidRPr="00F36B82">
              <w:rPr>
                <w:sz w:val="18"/>
                <w:szCs w:val="18"/>
              </w:rPr>
              <w:t>Bölgesel yönetimlerden veya yerel yönetimlerden alacaklar</w:t>
            </w:r>
          </w:p>
        </w:tc>
        <w:tc>
          <w:tcPr>
            <w:tcW w:w="708" w:type="pct"/>
            <w:tcBorders>
              <w:top w:val="nil"/>
              <w:left w:val="nil"/>
              <w:bottom w:val="nil"/>
              <w:right w:val="nil"/>
            </w:tcBorders>
            <w:vAlign w:val="center"/>
          </w:tcPr>
          <w:p w14:paraId="025664D7" w14:textId="5AA47F9E" w:rsidR="002411D3" w:rsidRPr="00F36B82" w:rsidRDefault="002411D3" w:rsidP="002411D3">
            <w:pPr>
              <w:ind w:right="126"/>
              <w:jc w:val="right"/>
              <w:rPr>
                <w:color w:val="000000"/>
                <w:sz w:val="18"/>
                <w:szCs w:val="18"/>
              </w:rPr>
            </w:pPr>
            <w:r w:rsidRPr="00F36B82">
              <w:rPr>
                <w:color w:val="000000"/>
                <w:sz w:val="18"/>
                <w:szCs w:val="18"/>
              </w:rPr>
              <w:t>-</w:t>
            </w:r>
          </w:p>
        </w:tc>
        <w:tc>
          <w:tcPr>
            <w:tcW w:w="720" w:type="pct"/>
            <w:vAlign w:val="center"/>
          </w:tcPr>
          <w:p w14:paraId="4767334B" w14:textId="4355208E" w:rsidR="002411D3" w:rsidRPr="00F36B82" w:rsidRDefault="002411D3" w:rsidP="002411D3">
            <w:pPr>
              <w:ind w:right="126"/>
              <w:jc w:val="right"/>
              <w:rPr>
                <w:color w:val="000000"/>
                <w:sz w:val="18"/>
                <w:szCs w:val="18"/>
              </w:rPr>
            </w:pPr>
            <w:r w:rsidRPr="00F36B82">
              <w:rPr>
                <w:color w:val="000000"/>
                <w:sz w:val="18"/>
                <w:szCs w:val="18"/>
              </w:rPr>
              <w:t>-</w:t>
            </w:r>
          </w:p>
        </w:tc>
      </w:tr>
      <w:tr w:rsidR="002411D3" w:rsidRPr="00F36B82" w14:paraId="69EA8F89" w14:textId="77777777" w:rsidTr="00826C8F">
        <w:trPr>
          <w:trHeight w:val="20"/>
        </w:trPr>
        <w:tc>
          <w:tcPr>
            <w:tcW w:w="3572" w:type="pct"/>
            <w:vAlign w:val="bottom"/>
          </w:tcPr>
          <w:p w14:paraId="53E5BACC" w14:textId="77777777" w:rsidR="002411D3" w:rsidRPr="00F36B82" w:rsidRDefault="002411D3" w:rsidP="002411D3">
            <w:pPr>
              <w:ind w:left="323" w:hanging="323"/>
              <w:rPr>
                <w:sz w:val="18"/>
                <w:szCs w:val="18"/>
              </w:rPr>
            </w:pPr>
            <w:r w:rsidRPr="00F36B82">
              <w:rPr>
                <w:sz w:val="18"/>
                <w:szCs w:val="18"/>
              </w:rPr>
              <w:t>İdari birimlerden ve ticari olmayan girişimlerden alacaklar</w:t>
            </w:r>
          </w:p>
        </w:tc>
        <w:tc>
          <w:tcPr>
            <w:tcW w:w="708" w:type="pct"/>
            <w:tcBorders>
              <w:top w:val="nil"/>
              <w:left w:val="nil"/>
              <w:bottom w:val="nil"/>
              <w:right w:val="nil"/>
            </w:tcBorders>
            <w:vAlign w:val="center"/>
          </w:tcPr>
          <w:p w14:paraId="2F3BF88E" w14:textId="1BE55B09" w:rsidR="002411D3" w:rsidRPr="00F36B82" w:rsidRDefault="002411D3" w:rsidP="002411D3">
            <w:pPr>
              <w:ind w:right="126"/>
              <w:jc w:val="right"/>
              <w:rPr>
                <w:color w:val="000000"/>
                <w:sz w:val="18"/>
                <w:szCs w:val="18"/>
              </w:rPr>
            </w:pPr>
            <w:r w:rsidRPr="00F36B82">
              <w:rPr>
                <w:color w:val="000000"/>
                <w:sz w:val="18"/>
                <w:szCs w:val="18"/>
              </w:rPr>
              <w:t>-</w:t>
            </w:r>
          </w:p>
        </w:tc>
        <w:tc>
          <w:tcPr>
            <w:tcW w:w="720" w:type="pct"/>
            <w:vAlign w:val="center"/>
          </w:tcPr>
          <w:p w14:paraId="2ABB2E43" w14:textId="24B4070B" w:rsidR="002411D3" w:rsidRPr="00F36B82" w:rsidRDefault="002411D3" w:rsidP="002411D3">
            <w:pPr>
              <w:ind w:right="126"/>
              <w:jc w:val="right"/>
              <w:rPr>
                <w:color w:val="000000"/>
                <w:sz w:val="18"/>
                <w:szCs w:val="18"/>
              </w:rPr>
            </w:pPr>
            <w:r w:rsidRPr="00F36B82">
              <w:rPr>
                <w:color w:val="000000"/>
                <w:sz w:val="18"/>
                <w:szCs w:val="18"/>
              </w:rPr>
              <w:t>-</w:t>
            </w:r>
          </w:p>
        </w:tc>
      </w:tr>
      <w:tr w:rsidR="002411D3" w:rsidRPr="00F36B82" w14:paraId="7C6D3A00" w14:textId="77777777" w:rsidTr="00826C8F">
        <w:trPr>
          <w:trHeight w:val="20"/>
        </w:trPr>
        <w:tc>
          <w:tcPr>
            <w:tcW w:w="3572" w:type="pct"/>
            <w:vAlign w:val="bottom"/>
          </w:tcPr>
          <w:p w14:paraId="66917ABF" w14:textId="77777777" w:rsidR="002411D3" w:rsidRPr="00F36B82" w:rsidRDefault="002411D3" w:rsidP="002411D3">
            <w:pPr>
              <w:ind w:left="323" w:hanging="323"/>
              <w:rPr>
                <w:sz w:val="18"/>
                <w:szCs w:val="18"/>
              </w:rPr>
            </w:pPr>
            <w:r w:rsidRPr="00F36B82">
              <w:rPr>
                <w:sz w:val="18"/>
                <w:szCs w:val="18"/>
              </w:rPr>
              <w:t>Çok taraflı kalkınma bankalarından alacaklar</w:t>
            </w:r>
          </w:p>
        </w:tc>
        <w:tc>
          <w:tcPr>
            <w:tcW w:w="708" w:type="pct"/>
            <w:tcBorders>
              <w:top w:val="nil"/>
              <w:left w:val="nil"/>
              <w:bottom w:val="nil"/>
              <w:right w:val="nil"/>
            </w:tcBorders>
            <w:vAlign w:val="center"/>
          </w:tcPr>
          <w:p w14:paraId="761ED484" w14:textId="08991363" w:rsidR="002411D3" w:rsidRPr="00F36B82" w:rsidRDefault="002411D3" w:rsidP="002411D3">
            <w:pPr>
              <w:ind w:right="126"/>
              <w:jc w:val="right"/>
              <w:rPr>
                <w:color w:val="000000"/>
                <w:sz w:val="18"/>
                <w:szCs w:val="18"/>
              </w:rPr>
            </w:pPr>
            <w:r w:rsidRPr="00F36B82">
              <w:rPr>
                <w:color w:val="000000"/>
                <w:sz w:val="18"/>
                <w:szCs w:val="18"/>
              </w:rPr>
              <w:t>-</w:t>
            </w:r>
          </w:p>
        </w:tc>
        <w:tc>
          <w:tcPr>
            <w:tcW w:w="720" w:type="pct"/>
            <w:vAlign w:val="center"/>
          </w:tcPr>
          <w:p w14:paraId="17CBB1B5" w14:textId="784FCBE1" w:rsidR="002411D3" w:rsidRPr="00F36B82" w:rsidRDefault="002411D3" w:rsidP="002411D3">
            <w:pPr>
              <w:ind w:right="126"/>
              <w:jc w:val="right"/>
              <w:rPr>
                <w:color w:val="000000"/>
                <w:sz w:val="18"/>
                <w:szCs w:val="18"/>
              </w:rPr>
            </w:pPr>
            <w:r w:rsidRPr="00F36B82">
              <w:rPr>
                <w:color w:val="000000"/>
                <w:sz w:val="18"/>
                <w:szCs w:val="18"/>
              </w:rPr>
              <w:t>-</w:t>
            </w:r>
          </w:p>
        </w:tc>
      </w:tr>
      <w:tr w:rsidR="002411D3" w:rsidRPr="00F36B82" w14:paraId="0EF196BC" w14:textId="77777777" w:rsidTr="00826C8F">
        <w:trPr>
          <w:trHeight w:val="20"/>
        </w:trPr>
        <w:tc>
          <w:tcPr>
            <w:tcW w:w="3572" w:type="pct"/>
            <w:vAlign w:val="bottom"/>
          </w:tcPr>
          <w:p w14:paraId="05571C9F" w14:textId="77777777" w:rsidR="002411D3" w:rsidRPr="00F36B82" w:rsidRDefault="002411D3" w:rsidP="002411D3">
            <w:pPr>
              <w:ind w:left="323" w:hanging="323"/>
              <w:rPr>
                <w:sz w:val="18"/>
                <w:szCs w:val="18"/>
              </w:rPr>
            </w:pPr>
            <w:r w:rsidRPr="00F36B82">
              <w:rPr>
                <w:sz w:val="18"/>
                <w:szCs w:val="18"/>
              </w:rPr>
              <w:t>Uluslararası teşkilatlardan alacaklar</w:t>
            </w:r>
          </w:p>
        </w:tc>
        <w:tc>
          <w:tcPr>
            <w:tcW w:w="708" w:type="pct"/>
            <w:tcBorders>
              <w:top w:val="nil"/>
              <w:left w:val="nil"/>
              <w:bottom w:val="nil"/>
              <w:right w:val="nil"/>
            </w:tcBorders>
            <w:vAlign w:val="center"/>
          </w:tcPr>
          <w:p w14:paraId="79F1B4BC" w14:textId="3C3DEB4D" w:rsidR="002411D3" w:rsidRPr="00F36B82" w:rsidRDefault="002411D3" w:rsidP="002411D3">
            <w:pPr>
              <w:ind w:right="126"/>
              <w:jc w:val="right"/>
              <w:rPr>
                <w:color w:val="000000"/>
                <w:sz w:val="18"/>
                <w:szCs w:val="18"/>
              </w:rPr>
            </w:pPr>
            <w:r w:rsidRPr="00F36B82">
              <w:rPr>
                <w:color w:val="000000"/>
                <w:sz w:val="18"/>
                <w:szCs w:val="18"/>
              </w:rPr>
              <w:t>-</w:t>
            </w:r>
          </w:p>
        </w:tc>
        <w:tc>
          <w:tcPr>
            <w:tcW w:w="720" w:type="pct"/>
            <w:vAlign w:val="center"/>
          </w:tcPr>
          <w:p w14:paraId="48AF7A3F" w14:textId="6A5D9127" w:rsidR="002411D3" w:rsidRPr="00F36B82" w:rsidRDefault="002411D3" w:rsidP="002411D3">
            <w:pPr>
              <w:ind w:right="126"/>
              <w:jc w:val="right"/>
              <w:rPr>
                <w:color w:val="000000"/>
                <w:sz w:val="18"/>
                <w:szCs w:val="18"/>
              </w:rPr>
            </w:pPr>
            <w:r w:rsidRPr="00F36B82">
              <w:rPr>
                <w:color w:val="000000"/>
                <w:sz w:val="18"/>
                <w:szCs w:val="18"/>
              </w:rPr>
              <w:t>-</w:t>
            </w:r>
          </w:p>
        </w:tc>
      </w:tr>
      <w:tr w:rsidR="002411D3" w:rsidRPr="00F36B82" w14:paraId="5BA0CB07" w14:textId="77777777" w:rsidTr="00826C8F">
        <w:trPr>
          <w:trHeight w:val="20"/>
        </w:trPr>
        <w:tc>
          <w:tcPr>
            <w:tcW w:w="3572" w:type="pct"/>
            <w:vAlign w:val="bottom"/>
          </w:tcPr>
          <w:p w14:paraId="65306796" w14:textId="77777777" w:rsidR="002411D3" w:rsidRPr="00F36B82" w:rsidRDefault="002411D3" w:rsidP="002411D3">
            <w:pPr>
              <w:ind w:left="323" w:hanging="323"/>
              <w:rPr>
                <w:sz w:val="18"/>
                <w:szCs w:val="18"/>
              </w:rPr>
            </w:pPr>
            <w:r w:rsidRPr="00F36B82">
              <w:rPr>
                <w:sz w:val="18"/>
                <w:szCs w:val="18"/>
              </w:rPr>
              <w:t>Bankalardan ve aracı kurumlardan alacaklar</w:t>
            </w:r>
          </w:p>
        </w:tc>
        <w:tc>
          <w:tcPr>
            <w:tcW w:w="708" w:type="pct"/>
            <w:tcBorders>
              <w:top w:val="nil"/>
              <w:left w:val="nil"/>
              <w:bottom w:val="nil"/>
              <w:right w:val="nil"/>
            </w:tcBorders>
            <w:vAlign w:val="center"/>
          </w:tcPr>
          <w:p w14:paraId="0D02D5AA" w14:textId="032E4332" w:rsidR="002411D3" w:rsidRPr="00F36B82" w:rsidRDefault="002411D3" w:rsidP="002411D3">
            <w:pPr>
              <w:ind w:right="126"/>
              <w:jc w:val="right"/>
              <w:rPr>
                <w:color w:val="000000"/>
                <w:sz w:val="18"/>
                <w:szCs w:val="18"/>
              </w:rPr>
            </w:pPr>
            <w:r w:rsidRPr="00F36B82">
              <w:rPr>
                <w:color w:val="000000"/>
                <w:sz w:val="18"/>
                <w:szCs w:val="18"/>
              </w:rPr>
              <w:t>6.939.984</w:t>
            </w:r>
          </w:p>
        </w:tc>
        <w:tc>
          <w:tcPr>
            <w:tcW w:w="720" w:type="pct"/>
            <w:vAlign w:val="center"/>
          </w:tcPr>
          <w:p w14:paraId="40CB8B03" w14:textId="165F582D" w:rsidR="002411D3" w:rsidRPr="00F36B82" w:rsidRDefault="002411D3" w:rsidP="002411D3">
            <w:pPr>
              <w:ind w:right="126"/>
              <w:jc w:val="right"/>
              <w:rPr>
                <w:color w:val="000000"/>
                <w:sz w:val="18"/>
                <w:szCs w:val="18"/>
              </w:rPr>
            </w:pPr>
            <w:r w:rsidRPr="00F36B82">
              <w:rPr>
                <w:color w:val="000000"/>
                <w:sz w:val="18"/>
                <w:szCs w:val="18"/>
              </w:rPr>
              <w:t>3.188.268</w:t>
            </w:r>
          </w:p>
        </w:tc>
      </w:tr>
      <w:tr w:rsidR="002411D3" w:rsidRPr="00F36B82" w14:paraId="15DD7594" w14:textId="77777777" w:rsidTr="00826C8F">
        <w:trPr>
          <w:trHeight w:val="20"/>
        </w:trPr>
        <w:tc>
          <w:tcPr>
            <w:tcW w:w="3572" w:type="pct"/>
            <w:vAlign w:val="bottom"/>
          </w:tcPr>
          <w:p w14:paraId="4299BCAF" w14:textId="77777777" w:rsidR="002411D3" w:rsidRPr="00F36B82" w:rsidRDefault="002411D3" w:rsidP="002411D3">
            <w:pPr>
              <w:ind w:left="323" w:hanging="323"/>
              <w:rPr>
                <w:sz w:val="18"/>
                <w:szCs w:val="18"/>
              </w:rPr>
            </w:pPr>
            <w:r w:rsidRPr="00F36B82">
              <w:rPr>
                <w:sz w:val="18"/>
                <w:szCs w:val="18"/>
              </w:rPr>
              <w:t>Kurumsal alacaklar</w:t>
            </w:r>
          </w:p>
        </w:tc>
        <w:tc>
          <w:tcPr>
            <w:tcW w:w="708" w:type="pct"/>
            <w:tcBorders>
              <w:top w:val="nil"/>
              <w:left w:val="nil"/>
              <w:bottom w:val="nil"/>
              <w:right w:val="nil"/>
            </w:tcBorders>
            <w:vAlign w:val="center"/>
          </w:tcPr>
          <w:p w14:paraId="1EE86A0E" w14:textId="71499026" w:rsidR="002411D3" w:rsidRPr="00F36B82" w:rsidRDefault="002411D3" w:rsidP="002411D3">
            <w:pPr>
              <w:ind w:right="126"/>
              <w:jc w:val="right"/>
              <w:rPr>
                <w:color w:val="000000"/>
                <w:sz w:val="18"/>
                <w:szCs w:val="18"/>
              </w:rPr>
            </w:pPr>
            <w:r w:rsidRPr="00F36B82">
              <w:rPr>
                <w:color w:val="000000"/>
                <w:sz w:val="18"/>
                <w:szCs w:val="18"/>
              </w:rPr>
              <w:t>38.393.902</w:t>
            </w:r>
          </w:p>
        </w:tc>
        <w:tc>
          <w:tcPr>
            <w:tcW w:w="720" w:type="pct"/>
            <w:vAlign w:val="center"/>
          </w:tcPr>
          <w:p w14:paraId="553964D0" w14:textId="678FACE8" w:rsidR="002411D3" w:rsidRPr="00F36B82" w:rsidRDefault="002411D3" w:rsidP="002411D3">
            <w:pPr>
              <w:ind w:right="126"/>
              <w:jc w:val="right"/>
              <w:rPr>
                <w:color w:val="000000"/>
                <w:sz w:val="18"/>
                <w:szCs w:val="18"/>
              </w:rPr>
            </w:pPr>
            <w:r w:rsidRPr="00F36B82">
              <w:rPr>
                <w:color w:val="000000"/>
                <w:sz w:val="18"/>
                <w:szCs w:val="18"/>
              </w:rPr>
              <w:t>25.870.146</w:t>
            </w:r>
          </w:p>
        </w:tc>
      </w:tr>
      <w:tr w:rsidR="002411D3" w:rsidRPr="00F36B82" w14:paraId="4DA1EF66" w14:textId="77777777" w:rsidTr="00826C8F">
        <w:trPr>
          <w:trHeight w:val="20"/>
        </w:trPr>
        <w:tc>
          <w:tcPr>
            <w:tcW w:w="3572" w:type="pct"/>
            <w:vAlign w:val="bottom"/>
          </w:tcPr>
          <w:p w14:paraId="6BF46576" w14:textId="77777777" w:rsidR="002411D3" w:rsidRPr="00F36B82" w:rsidRDefault="002411D3" w:rsidP="002411D3">
            <w:pPr>
              <w:ind w:left="323" w:hanging="323"/>
              <w:rPr>
                <w:sz w:val="18"/>
                <w:szCs w:val="18"/>
              </w:rPr>
            </w:pPr>
            <w:r w:rsidRPr="00F36B82">
              <w:rPr>
                <w:sz w:val="18"/>
                <w:szCs w:val="18"/>
              </w:rPr>
              <w:t>Perakende alacaklar</w:t>
            </w:r>
          </w:p>
        </w:tc>
        <w:tc>
          <w:tcPr>
            <w:tcW w:w="708" w:type="pct"/>
            <w:tcBorders>
              <w:top w:val="nil"/>
              <w:left w:val="nil"/>
              <w:bottom w:val="nil"/>
              <w:right w:val="nil"/>
            </w:tcBorders>
            <w:vAlign w:val="center"/>
          </w:tcPr>
          <w:p w14:paraId="19E550A3" w14:textId="436DBF7E" w:rsidR="002411D3" w:rsidRPr="00F36B82" w:rsidRDefault="002411D3" w:rsidP="002411D3">
            <w:pPr>
              <w:ind w:right="126"/>
              <w:jc w:val="right"/>
              <w:rPr>
                <w:color w:val="000000"/>
                <w:sz w:val="18"/>
                <w:szCs w:val="18"/>
              </w:rPr>
            </w:pPr>
            <w:r w:rsidRPr="00F36B82">
              <w:rPr>
                <w:color w:val="000000"/>
                <w:sz w:val="18"/>
                <w:szCs w:val="18"/>
              </w:rPr>
              <w:t>-</w:t>
            </w:r>
          </w:p>
        </w:tc>
        <w:tc>
          <w:tcPr>
            <w:tcW w:w="720" w:type="pct"/>
            <w:vAlign w:val="center"/>
          </w:tcPr>
          <w:p w14:paraId="0D533EEE" w14:textId="2472D502" w:rsidR="002411D3" w:rsidRPr="00F36B82" w:rsidRDefault="002411D3" w:rsidP="002411D3">
            <w:pPr>
              <w:ind w:right="126"/>
              <w:jc w:val="right"/>
              <w:rPr>
                <w:color w:val="000000"/>
                <w:sz w:val="18"/>
                <w:szCs w:val="18"/>
              </w:rPr>
            </w:pPr>
            <w:r w:rsidRPr="00F36B82">
              <w:rPr>
                <w:color w:val="000000"/>
                <w:sz w:val="18"/>
                <w:szCs w:val="18"/>
              </w:rPr>
              <w:t>-</w:t>
            </w:r>
          </w:p>
        </w:tc>
      </w:tr>
      <w:tr w:rsidR="002411D3" w:rsidRPr="00F36B82" w14:paraId="1055AD2B" w14:textId="77777777" w:rsidTr="00826C8F">
        <w:trPr>
          <w:trHeight w:val="20"/>
        </w:trPr>
        <w:tc>
          <w:tcPr>
            <w:tcW w:w="3572" w:type="pct"/>
            <w:vAlign w:val="bottom"/>
          </w:tcPr>
          <w:p w14:paraId="586A0C12" w14:textId="77777777" w:rsidR="002411D3" w:rsidRPr="00F36B82" w:rsidRDefault="002411D3" w:rsidP="002411D3">
            <w:pPr>
              <w:ind w:left="323" w:hanging="323"/>
              <w:rPr>
                <w:sz w:val="18"/>
                <w:szCs w:val="18"/>
              </w:rPr>
            </w:pPr>
            <w:r w:rsidRPr="00F36B82">
              <w:rPr>
                <w:sz w:val="18"/>
                <w:szCs w:val="18"/>
              </w:rPr>
              <w:t>Gayrimenkul ipoteği ile teminatlandırılan alacaklar</w:t>
            </w:r>
          </w:p>
        </w:tc>
        <w:tc>
          <w:tcPr>
            <w:tcW w:w="708" w:type="pct"/>
            <w:tcBorders>
              <w:top w:val="nil"/>
              <w:left w:val="nil"/>
              <w:bottom w:val="nil"/>
              <w:right w:val="nil"/>
            </w:tcBorders>
            <w:vAlign w:val="center"/>
          </w:tcPr>
          <w:p w14:paraId="775DFD94" w14:textId="3292FBE0" w:rsidR="002411D3" w:rsidRPr="00F36B82" w:rsidRDefault="002411D3" w:rsidP="002411D3">
            <w:pPr>
              <w:ind w:right="126"/>
              <w:jc w:val="right"/>
              <w:rPr>
                <w:color w:val="000000"/>
                <w:sz w:val="18"/>
                <w:szCs w:val="18"/>
              </w:rPr>
            </w:pPr>
            <w:r w:rsidRPr="00F36B82">
              <w:rPr>
                <w:color w:val="000000"/>
                <w:sz w:val="18"/>
                <w:szCs w:val="18"/>
              </w:rPr>
              <w:t>3.971.945</w:t>
            </w:r>
          </w:p>
        </w:tc>
        <w:tc>
          <w:tcPr>
            <w:tcW w:w="720" w:type="pct"/>
            <w:vAlign w:val="center"/>
          </w:tcPr>
          <w:p w14:paraId="6BD61E4F" w14:textId="5B173256" w:rsidR="002411D3" w:rsidRPr="00F36B82" w:rsidRDefault="002411D3" w:rsidP="002411D3">
            <w:pPr>
              <w:ind w:right="126"/>
              <w:jc w:val="right"/>
              <w:rPr>
                <w:color w:val="000000"/>
                <w:sz w:val="18"/>
                <w:szCs w:val="18"/>
              </w:rPr>
            </w:pPr>
            <w:r w:rsidRPr="00F36B82">
              <w:rPr>
                <w:color w:val="000000"/>
                <w:sz w:val="18"/>
                <w:szCs w:val="18"/>
              </w:rPr>
              <w:t>2.703.058</w:t>
            </w:r>
          </w:p>
        </w:tc>
      </w:tr>
      <w:tr w:rsidR="002411D3" w:rsidRPr="00F36B82" w14:paraId="41101D14" w14:textId="77777777" w:rsidTr="00826C8F">
        <w:trPr>
          <w:trHeight w:val="20"/>
        </w:trPr>
        <w:tc>
          <w:tcPr>
            <w:tcW w:w="3572" w:type="pct"/>
            <w:vAlign w:val="bottom"/>
          </w:tcPr>
          <w:p w14:paraId="41E116D3" w14:textId="77777777" w:rsidR="002411D3" w:rsidRPr="00F36B82" w:rsidRDefault="002411D3" w:rsidP="002411D3">
            <w:pPr>
              <w:ind w:left="323" w:hanging="323"/>
              <w:rPr>
                <w:sz w:val="18"/>
                <w:szCs w:val="18"/>
              </w:rPr>
            </w:pPr>
            <w:r w:rsidRPr="00F36B82">
              <w:rPr>
                <w:sz w:val="18"/>
                <w:szCs w:val="18"/>
              </w:rPr>
              <w:t>Tahsili gecikmiş alacaklar</w:t>
            </w:r>
          </w:p>
        </w:tc>
        <w:tc>
          <w:tcPr>
            <w:tcW w:w="708" w:type="pct"/>
            <w:tcBorders>
              <w:top w:val="nil"/>
              <w:left w:val="nil"/>
              <w:bottom w:val="nil"/>
              <w:right w:val="nil"/>
            </w:tcBorders>
            <w:vAlign w:val="center"/>
          </w:tcPr>
          <w:p w14:paraId="73356C13" w14:textId="37B4CC85" w:rsidR="002411D3" w:rsidRPr="00F36B82" w:rsidRDefault="002411D3" w:rsidP="002411D3">
            <w:pPr>
              <w:ind w:right="126"/>
              <w:jc w:val="right"/>
              <w:rPr>
                <w:color w:val="000000"/>
                <w:sz w:val="18"/>
                <w:szCs w:val="18"/>
              </w:rPr>
            </w:pPr>
            <w:r w:rsidRPr="00F36B82">
              <w:rPr>
                <w:color w:val="000000"/>
                <w:sz w:val="18"/>
                <w:szCs w:val="18"/>
              </w:rPr>
              <w:t>-</w:t>
            </w:r>
          </w:p>
        </w:tc>
        <w:tc>
          <w:tcPr>
            <w:tcW w:w="720" w:type="pct"/>
            <w:vAlign w:val="center"/>
          </w:tcPr>
          <w:p w14:paraId="6380036B" w14:textId="3C3666FE" w:rsidR="002411D3" w:rsidRPr="00F36B82" w:rsidRDefault="002411D3" w:rsidP="002411D3">
            <w:pPr>
              <w:ind w:right="126"/>
              <w:jc w:val="right"/>
              <w:rPr>
                <w:color w:val="000000"/>
                <w:sz w:val="18"/>
                <w:szCs w:val="18"/>
              </w:rPr>
            </w:pPr>
            <w:r w:rsidRPr="00F36B82">
              <w:rPr>
                <w:color w:val="000000"/>
                <w:sz w:val="18"/>
                <w:szCs w:val="18"/>
              </w:rPr>
              <w:t>1.083</w:t>
            </w:r>
          </w:p>
        </w:tc>
      </w:tr>
      <w:tr w:rsidR="002411D3" w:rsidRPr="00F36B82" w14:paraId="06247C74" w14:textId="77777777" w:rsidTr="00826C8F">
        <w:trPr>
          <w:trHeight w:val="20"/>
        </w:trPr>
        <w:tc>
          <w:tcPr>
            <w:tcW w:w="3572" w:type="pct"/>
            <w:vAlign w:val="bottom"/>
          </w:tcPr>
          <w:p w14:paraId="22384FC0" w14:textId="77777777" w:rsidR="002411D3" w:rsidRPr="00F36B82" w:rsidRDefault="002411D3" w:rsidP="002411D3">
            <w:pPr>
              <w:ind w:left="323" w:hanging="323"/>
              <w:rPr>
                <w:sz w:val="18"/>
                <w:szCs w:val="18"/>
              </w:rPr>
            </w:pPr>
            <w:r w:rsidRPr="00F36B82">
              <w:rPr>
                <w:sz w:val="18"/>
                <w:szCs w:val="18"/>
              </w:rPr>
              <w:t>Kurulca riski yüksek belirlenmiş alacaklar</w:t>
            </w:r>
          </w:p>
        </w:tc>
        <w:tc>
          <w:tcPr>
            <w:tcW w:w="708" w:type="pct"/>
            <w:tcBorders>
              <w:top w:val="nil"/>
              <w:left w:val="nil"/>
              <w:bottom w:val="nil"/>
              <w:right w:val="nil"/>
            </w:tcBorders>
            <w:vAlign w:val="center"/>
          </w:tcPr>
          <w:p w14:paraId="6558372A" w14:textId="14A6A9D7" w:rsidR="002411D3" w:rsidRPr="00F36B82" w:rsidRDefault="002411D3" w:rsidP="002411D3">
            <w:pPr>
              <w:ind w:right="126"/>
              <w:jc w:val="right"/>
              <w:rPr>
                <w:color w:val="000000"/>
                <w:sz w:val="18"/>
                <w:szCs w:val="18"/>
              </w:rPr>
            </w:pPr>
            <w:r w:rsidRPr="00F36B82">
              <w:rPr>
                <w:color w:val="000000"/>
                <w:sz w:val="18"/>
                <w:szCs w:val="18"/>
              </w:rPr>
              <w:t>-</w:t>
            </w:r>
          </w:p>
        </w:tc>
        <w:tc>
          <w:tcPr>
            <w:tcW w:w="720" w:type="pct"/>
            <w:vAlign w:val="center"/>
          </w:tcPr>
          <w:p w14:paraId="04492BDD" w14:textId="7FD64033" w:rsidR="002411D3" w:rsidRPr="00F36B82" w:rsidRDefault="002411D3" w:rsidP="002411D3">
            <w:pPr>
              <w:ind w:right="126"/>
              <w:jc w:val="right"/>
              <w:rPr>
                <w:color w:val="000000"/>
                <w:sz w:val="18"/>
                <w:szCs w:val="18"/>
              </w:rPr>
            </w:pPr>
            <w:r w:rsidRPr="00F36B82">
              <w:rPr>
                <w:color w:val="000000"/>
                <w:sz w:val="18"/>
                <w:szCs w:val="18"/>
              </w:rPr>
              <w:t>2.643</w:t>
            </w:r>
          </w:p>
        </w:tc>
      </w:tr>
      <w:tr w:rsidR="002411D3" w:rsidRPr="00F36B82" w14:paraId="19561077" w14:textId="77777777" w:rsidTr="00826C8F">
        <w:trPr>
          <w:trHeight w:val="20"/>
        </w:trPr>
        <w:tc>
          <w:tcPr>
            <w:tcW w:w="3572" w:type="pct"/>
            <w:vAlign w:val="bottom"/>
          </w:tcPr>
          <w:p w14:paraId="40C72656" w14:textId="77777777" w:rsidR="002411D3" w:rsidRPr="00F36B82" w:rsidRDefault="002411D3" w:rsidP="002411D3">
            <w:pPr>
              <w:ind w:left="323" w:hanging="323"/>
              <w:rPr>
                <w:sz w:val="18"/>
                <w:szCs w:val="18"/>
              </w:rPr>
            </w:pPr>
            <w:r w:rsidRPr="00F36B82">
              <w:rPr>
                <w:sz w:val="18"/>
                <w:szCs w:val="18"/>
              </w:rPr>
              <w:t>Teminatlı menkul kıymetler</w:t>
            </w:r>
          </w:p>
        </w:tc>
        <w:tc>
          <w:tcPr>
            <w:tcW w:w="708" w:type="pct"/>
            <w:tcBorders>
              <w:top w:val="nil"/>
              <w:left w:val="nil"/>
              <w:bottom w:val="nil"/>
              <w:right w:val="nil"/>
            </w:tcBorders>
            <w:vAlign w:val="center"/>
          </w:tcPr>
          <w:p w14:paraId="331693ED" w14:textId="4EC0885F" w:rsidR="002411D3" w:rsidRPr="00F36B82" w:rsidRDefault="002411D3" w:rsidP="002411D3">
            <w:pPr>
              <w:ind w:right="126"/>
              <w:jc w:val="right"/>
              <w:rPr>
                <w:color w:val="000000"/>
                <w:sz w:val="18"/>
                <w:szCs w:val="18"/>
              </w:rPr>
            </w:pPr>
            <w:r w:rsidRPr="00F36B82">
              <w:rPr>
                <w:color w:val="000000"/>
                <w:sz w:val="18"/>
                <w:szCs w:val="18"/>
              </w:rPr>
              <w:t>-</w:t>
            </w:r>
          </w:p>
        </w:tc>
        <w:tc>
          <w:tcPr>
            <w:tcW w:w="720" w:type="pct"/>
            <w:vAlign w:val="center"/>
          </w:tcPr>
          <w:p w14:paraId="0435A70B" w14:textId="6C85A052" w:rsidR="002411D3" w:rsidRPr="00F36B82" w:rsidRDefault="002411D3" w:rsidP="002411D3">
            <w:pPr>
              <w:ind w:right="126"/>
              <w:jc w:val="right"/>
              <w:rPr>
                <w:color w:val="000000"/>
                <w:sz w:val="18"/>
                <w:szCs w:val="18"/>
              </w:rPr>
            </w:pPr>
            <w:r w:rsidRPr="00F36B82">
              <w:rPr>
                <w:color w:val="000000"/>
                <w:sz w:val="18"/>
                <w:szCs w:val="18"/>
              </w:rPr>
              <w:t>-</w:t>
            </w:r>
          </w:p>
        </w:tc>
      </w:tr>
      <w:tr w:rsidR="002411D3" w:rsidRPr="00F36B82" w14:paraId="33813F86" w14:textId="77777777" w:rsidTr="00826C8F">
        <w:trPr>
          <w:trHeight w:val="20"/>
        </w:trPr>
        <w:tc>
          <w:tcPr>
            <w:tcW w:w="3572" w:type="pct"/>
            <w:vAlign w:val="bottom"/>
          </w:tcPr>
          <w:p w14:paraId="15C252F1" w14:textId="77777777" w:rsidR="002411D3" w:rsidRPr="00F36B82" w:rsidRDefault="002411D3" w:rsidP="002411D3">
            <w:pPr>
              <w:rPr>
                <w:sz w:val="18"/>
                <w:szCs w:val="18"/>
              </w:rPr>
            </w:pPr>
            <w:r w:rsidRPr="00F36B82">
              <w:rPr>
                <w:sz w:val="18"/>
                <w:szCs w:val="18"/>
              </w:rPr>
              <w:t>Bankalardan ve aracı kurumlardan olan kısa vadeli alacaklar ile kısa vadeli kurumsal alacaklar</w:t>
            </w:r>
          </w:p>
        </w:tc>
        <w:tc>
          <w:tcPr>
            <w:tcW w:w="708" w:type="pct"/>
            <w:tcBorders>
              <w:top w:val="nil"/>
              <w:left w:val="nil"/>
              <w:bottom w:val="nil"/>
              <w:right w:val="nil"/>
            </w:tcBorders>
            <w:vAlign w:val="center"/>
          </w:tcPr>
          <w:p w14:paraId="5AF49362" w14:textId="6C7492C9" w:rsidR="002411D3" w:rsidRPr="00F36B82" w:rsidRDefault="002411D3" w:rsidP="002411D3">
            <w:pPr>
              <w:ind w:right="126"/>
              <w:jc w:val="right"/>
              <w:rPr>
                <w:color w:val="000000"/>
                <w:sz w:val="18"/>
                <w:szCs w:val="18"/>
              </w:rPr>
            </w:pPr>
            <w:r w:rsidRPr="00F36B82">
              <w:rPr>
                <w:color w:val="000000"/>
                <w:sz w:val="18"/>
                <w:szCs w:val="18"/>
              </w:rPr>
              <w:t>-</w:t>
            </w:r>
          </w:p>
        </w:tc>
        <w:tc>
          <w:tcPr>
            <w:tcW w:w="720" w:type="pct"/>
            <w:vAlign w:val="center"/>
          </w:tcPr>
          <w:p w14:paraId="73C6FA67" w14:textId="023D88FA" w:rsidR="002411D3" w:rsidRPr="00F36B82" w:rsidRDefault="002411D3" w:rsidP="002411D3">
            <w:pPr>
              <w:ind w:right="126"/>
              <w:jc w:val="right"/>
              <w:rPr>
                <w:color w:val="000000"/>
                <w:sz w:val="18"/>
                <w:szCs w:val="18"/>
              </w:rPr>
            </w:pPr>
            <w:r w:rsidRPr="00F36B82">
              <w:rPr>
                <w:color w:val="000000"/>
                <w:sz w:val="18"/>
                <w:szCs w:val="18"/>
              </w:rPr>
              <w:t>-</w:t>
            </w:r>
          </w:p>
        </w:tc>
      </w:tr>
      <w:tr w:rsidR="002411D3" w:rsidRPr="00F36B82" w14:paraId="6356A7E1" w14:textId="77777777" w:rsidTr="00826C8F">
        <w:trPr>
          <w:trHeight w:val="20"/>
        </w:trPr>
        <w:tc>
          <w:tcPr>
            <w:tcW w:w="3572" w:type="pct"/>
            <w:vAlign w:val="bottom"/>
          </w:tcPr>
          <w:p w14:paraId="006EC622" w14:textId="77777777" w:rsidR="002411D3" w:rsidRPr="00F36B82" w:rsidRDefault="002411D3" w:rsidP="002411D3">
            <w:pPr>
              <w:ind w:left="323" w:hanging="323"/>
              <w:rPr>
                <w:sz w:val="18"/>
                <w:szCs w:val="18"/>
              </w:rPr>
            </w:pPr>
            <w:r w:rsidRPr="00F36B82">
              <w:rPr>
                <w:sz w:val="18"/>
                <w:szCs w:val="18"/>
              </w:rPr>
              <w:t>Kolektif yatırım kuruluşu niteliğindeki yatırımlar</w:t>
            </w:r>
          </w:p>
        </w:tc>
        <w:tc>
          <w:tcPr>
            <w:tcW w:w="708" w:type="pct"/>
            <w:tcBorders>
              <w:top w:val="nil"/>
              <w:left w:val="nil"/>
              <w:bottom w:val="nil"/>
              <w:right w:val="nil"/>
            </w:tcBorders>
            <w:vAlign w:val="center"/>
          </w:tcPr>
          <w:p w14:paraId="34B3C0A6" w14:textId="16EED7A8" w:rsidR="002411D3" w:rsidRPr="00F36B82" w:rsidRDefault="002411D3" w:rsidP="002411D3">
            <w:pPr>
              <w:ind w:right="126"/>
              <w:jc w:val="right"/>
              <w:rPr>
                <w:color w:val="000000"/>
                <w:sz w:val="18"/>
                <w:szCs w:val="18"/>
              </w:rPr>
            </w:pPr>
            <w:r w:rsidRPr="00F36B82">
              <w:rPr>
                <w:color w:val="000000"/>
                <w:sz w:val="18"/>
                <w:szCs w:val="18"/>
              </w:rPr>
              <w:t>1.308.897</w:t>
            </w:r>
          </w:p>
        </w:tc>
        <w:tc>
          <w:tcPr>
            <w:tcW w:w="720" w:type="pct"/>
            <w:vAlign w:val="center"/>
          </w:tcPr>
          <w:p w14:paraId="6EF25FEB" w14:textId="57D46B58" w:rsidR="002411D3" w:rsidRPr="00F36B82" w:rsidRDefault="002411D3" w:rsidP="002411D3">
            <w:pPr>
              <w:ind w:right="126"/>
              <w:jc w:val="right"/>
              <w:rPr>
                <w:color w:val="000000"/>
                <w:sz w:val="18"/>
                <w:szCs w:val="18"/>
              </w:rPr>
            </w:pPr>
            <w:r w:rsidRPr="00F36B82">
              <w:rPr>
                <w:color w:val="000000"/>
                <w:sz w:val="18"/>
                <w:szCs w:val="18"/>
              </w:rPr>
              <w:t>924.191</w:t>
            </w:r>
          </w:p>
        </w:tc>
      </w:tr>
      <w:tr w:rsidR="002411D3" w:rsidRPr="00F36B82" w14:paraId="4EF80752" w14:textId="77777777" w:rsidTr="00826C8F">
        <w:trPr>
          <w:trHeight w:val="20"/>
        </w:trPr>
        <w:tc>
          <w:tcPr>
            <w:tcW w:w="3572" w:type="pct"/>
            <w:vAlign w:val="bottom"/>
          </w:tcPr>
          <w:p w14:paraId="0E733B62" w14:textId="77777777" w:rsidR="002411D3" w:rsidRPr="00F36B82" w:rsidRDefault="002411D3" w:rsidP="002411D3">
            <w:pPr>
              <w:ind w:left="323" w:hanging="323"/>
              <w:rPr>
                <w:sz w:val="18"/>
                <w:szCs w:val="18"/>
              </w:rPr>
            </w:pPr>
            <w:r w:rsidRPr="00F36B82">
              <w:rPr>
                <w:sz w:val="18"/>
                <w:szCs w:val="18"/>
              </w:rPr>
              <w:t>Diğer alacaklar</w:t>
            </w:r>
          </w:p>
        </w:tc>
        <w:tc>
          <w:tcPr>
            <w:tcW w:w="708" w:type="pct"/>
            <w:tcBorders>
              <w:top w:val="nil"/>
              <w:left w:val="nil"/>
              <w:bottom w:val="nil"/>
              <w:right w:val="nil"/>
            </w:tcBorders>
            <w:vAlign w:val="center"/>
          </w:tcPr>
          <w:p w14:paraId="75B9CD81" w14:textId="701CCF17" w:rsidR="002411D3" w:rsidRPr="00F36B82" w:rsidRDefault="002411D3" w:rsidP="002411D3">
            <w:pPr>
              <w:ind w:right="126"/>
              <w:jc w:val="right"/>
              <w:rPr>
                <w:color w:val="000000"/>
                <w:sz w:val="18"/>
                <w:szCs w:val="18"/>
              </w:rPr>
            </w:pPr>
            <w:r w:rsidRPr="00F36B82">
              <w:rPr>
                <w:color w:val="000000"/>
                <w:sz w:val="18"/>
                <w:szCs w:val="18"/>
              </w:rPr>
              <w:t>2.966.882</w:t>
            </w:r>
          </w:p>
        </w:tc>
        <w:tc>
          <w:tcPr>
            <w:tcW w:w="720" w:type="pct"/>
            <w:vAlign w:val="center"/>
          </w:tcPr>
          <w:p w14:paraId="740DC2D3" w14:textId="1CCCB875" w:rsidR="002411D3" w:rsidRPr="00F36B82" w:rsidRDefault="002411D3" w:rsidP="002411D3">
            <w:pPr>
              <w:ind w:right="126"/>
              <w:jc w:val="right"/>
              <w:rPr>
                <w:color w:val="000000"/>
                <w:sz w:val="18"/>
                <w:szCs w:val="18"/>
              </w:rPr>
            </w:pPr>
            <w:r w:rsidRPr="00F36B82">
              <w:rPr>
                <w:color w:val="000000"/>
                <w:sz w:val="18"/>
                <w:szCs w:val="18"/>
              </w:rPr>
              <w:t>2.236.910</w:t>
            </w:r>
          </w:p>
        </w:tc>
      </w:tr>
      <w:tr w:rsidR="002411D3" w:rsidRPr="00F36B82" w14:paraId="70082A59" w14:textId="77777777" w:rsidTr="00826C8F">
        <w:trPr>
          <w:trHeight w:val="20"/>
        </w:trPr>
        <w:tc>
          <w:tcPr>
            <w:tcW w:w="3572" w:type="pct"/>
            <w:vAlign w:val="bottom"/>
          </w:tcPr>
          <w:p w14:paraId="1C3DB992" w14:textId="77777777" w:rsidR="002411D3" w:rsidRPr="00F36B82" w:rsidRDefault="002411D3" w:rsidP="002411D3">
            <w:pPr>
              <w:ind w:left="323" w:hanging="323"/>
              <w:rPr>
                <w:sz w:val="18"/>
                <w:szCs w:val="18"/>
              </w:rPr>
            </w:pPr>
            <w:r w:rsidRPr="00F36B82">
              <w:rPr>
                <w:sz w:val="18"/>
                <w:szCs w:val="18"/>
              </w:rPr>
              <w:t>Hisse senedi yatırımları</w:t>
            </w:r>
          </w:p>
        </w:tc>
        <w:tc>
          <w:tcPr>
            <w:tcW w:w="708" w:type="pct"/>
            <w:tcBorders>
              <w:top w:val="nil"/>
              <w:left w:val="nil"/>
              <w:bottom w:val="nil"/>
              <w:right w:val="nil"/>
            </w:tcBorders>
            <w:vAlign w:val="center"/>
          </w:tcPr>
          <w:p w14:paraId="0704D548" w14:textId="7E0DCD1D" w:rsidR="002411D3" w:rsidRPr="00F36B82" w:rsidRDefault="002411D3" w:rsidP="002411D3">
            <w:pPr>
              <w:ind w:right="126"/>
              <w:jc w:val="right"/>
              <w:rPr>
                <w:color w:val="000000"/>
                <w:sz w:val="18"/>
                <w:szCs w:val="18"/>
              </w:rPr>
            </w:pPr>
            <w:r w:rsidRPr="00F36B82">
              <w:rPr>
                <w:color w:val="000000"/>
                <w:sz w:val="18"/>
                <w:szCs w:val="18"/>
              </w:rPr>
              <w:t>655.265</w:t>
            </w:r>
          </w:p>
        </w:tc>
        <w:tc>
          <w:tcPr>
            <w:tcW w:w="720" w:type="pct"/>
            <w:vAlign w:val="center"/>
          </w:tcPr>
          <w:p w14:paraId="5F76EA52" w14:textId="20954752" w:rsidR="002411D3" w:rsidRPr="00F36B82" w:rsidRDefault="002411D3" w:rsidP="002411D3">
            <w:pPr>
              <w:ind w:right="126"/>
              <w:jc w:val="right"/>
              <w:rPr>
                <w:color w:val="000000"/>
                <w:sz w:val="18"/>
                <w:szCs w:val="18"/>
              </w:rPr>
            </w:pPr>
            <w:r w:rsidRPr="00F36B82">
              <w:rPr>
                <w:color w:val="000000"/>
                <w:sz w:val="18"/>
                <w:szCs w:val="18"/>
              </w:rPr>
              <w:t>577.600</w:t>
            </w:r>
          </w:p>
        </w:tc>
      </w:tr>
      <w:tr w:rsidR="002411D3" w:rsidRPr="00F36B82" w14:paraId="0A9A3848" w14:textId="77777777" w:rsidTr="00A062C2">
        <w:trPr>
          <w:trHeight w:val="20"/>
        </w:trPr>
        <w:tc>
          <w:tcPr>
            <w:tcW w:w="3572" w:type="pct"/>
            <w:tcBorders>
              <w:bottom w:val="single" w:sz="4" w:space="0" w:color="auto"/>
            </w:tcBorders>
            <w:vAlign w:val="bottom"/>
          </w:tcPr>
          <w:p w14:paraId="044D7B04" w14:textId="77777777" w:rsidR="002411D3" w:rsidRPr="00F36B82" w:rsidRDefault="002411D3" w:rsidP="002411D3">
            <w:pPr>
              <w:ind w:left="323" w:hanging="323"/>
              <w:rPr>
                <w:sz w:val="18"/>
                <w:szCs w:val="18"/>
              </w:rPr>
            </w:pPr>
          </w:p>
        </w:tc>
        <w:tc>
          <w:tcPr>
            <w:tcW w:w="708" w:type="pct"/>
            <w:tcBorders>
              <w:top w:val="nil"/>
              <w:left w:val="nil"/>
              <w:bottom w:val="single" w:sz="4" w:space="0" w:color="auto"/>
              <w:right w:val="nil"/>
            </w:tcBorders>
            <w:vAlign w:val="bottom"/>
          </w:tcPr>
          <w:p w14:paraId="2B750479" w14:textId="77777777" w:rsidR="002411D3" w:rsidRPr="00F36B82" w:rsidRDefault="002411D3" w:rsidP="002411D3">
            <w:pPr>
              <w:ind w:right="126"/>
              <w:jc w:val="right"/>
              <w:rPr>
                <w:color w:val="000000"/>
                <w:sz w:val="18"/>
                <w:szCs w:val="18"/>
              </w:rPr>
            </w:pPr>
          </w:p>
        </w:tc>
        <w:tc>
          <w:tcPr>
            <w:tcW w:w="720" w:type="pct"/>
            <w:tcBorders>
              <w:top w:val="nil"/>
              <w:left w:val="nil"/>
              <w:bottom w:val="single" w:sz="4" w:space="0" w:color="auto"/>
              <w:right w:val="nil"/>
            </w:tcBorders>
            <w:vAlign w:val="bottom"/>
          </w:tcPr>
          <w:p w14:paraId="43395C64" w14:textId="77777777" w:rsidR="002411D3" w:rsidRPr="00F36B82" w:rsidRDefault="002411D3" w:rsidP="002411D3">
            <w:pPr>
              <w:ind w:right="126"/>
              <w:jc w:val="right"/>
              <w:rPr>
                <w:color w:val="000000"/>
                <w:sz w:val="18"/>
                <w:szCs w:val="18"/>
              </w:rPr>
            </w:pPr>
          </w:p>
        </w:tc>
      </w:tr>
      <w:tr w:rsidR="002411D3" w:rsidRPr="00F36B82" w14:paraId="50D49418" w14:textId="77777777" w:rsidTr="00A062C2">
        <w:trPr>
          <w:trHeight w:val="20"/>
        </w:trPr>
        <w:tc>
          <w:tcPr>
            <w:tcW w:w="3572" w:type="pct"/>
            <w:tcBorders>
              <w:top w:val="single" w:sz="4" w:space="0" w:color="auto"/>
              <w:bottom w:val="single" w:sz="8" w:space="0" w:color="auto"/>
            </w:tcBorders>
            <w:vAlign w:val="bottom"/>
          </w:tcPr>
          <w:p w14:paraId="596DCE5D" w14:textId="77777777" w:rsidR="002411D3" w:rsidRPr="00F36B82" w:rsidRDefault="002411D3" w:rsidP="002411D3">
            <w:pPr>
              <w:ind w:left="323" w:hanging="323"/>
              <w:rPr>
                <w:b/>
                <w:sz w:val="18"/>
                <w:szCs w:val="18"/>
              </w:rPr>
            </w:pPr>
            <w:r w:rsidRPr="00F36B82">
              <w:rPr>
                <w:b/>
                <w:sz w:val="18"/>
                <w:szCs w:val="18"/>
              </w:rPr>
              <w:t>Toplam</w:t>
            </w:r>
          </w:p>
        </w:tc>
        <w:tc>
          <w:tcPr>
            <w:tcW w:w="708" w:type="pct"/>
            <w:tcBorders>
              <w:top w:val="single" w:sz="4" w:space="0" w:color="auto"/>
              <w:left w:val="nil"/>
              <w:bottom w:val="single" w:sz="8" w:space="0" w:color="auto"/>
              <w:right w:val="nil"/>
            </w:tcBorders>
            <w:vAlign w:val="center"/>
          </w:tcPr>
          <w:p w14:paraId="6492A611" w14:textId="70E7B5DE" w:rsidR="002411D3" w:rsidRPr="00F36B82" w:rsidRDefault="002411D3" w:rsidP="002411D3">
            <w:pPr>
              <w:ind w:right="126"/>
              <w:jc w:val="right"/>
              <w:rPr>
                <w:b/>
                <w:bCs/>
                <w:color w:val="000000"/>
                <w:sz w:val="18"/>
                <w:szCs w:val="18"/>
              </w:rPr>
            </w:pPr>
            <w:r w:rsidRPr="00F36B82">
              <w:rPr>
                <w:b/>
                <w:bCs/>
                <w:color w:val="000000"/>
                <w:sz w:val="18"/>
                <w:szCs w:val="18"/>
              </w:rPr>
              <w:t>74.518.708</w:t>
            </w:r>
          </w:p>
        </w:tc>
        <w:tc>
          <w:tcPr>
            <w:tcW w:w="720" w:type="pct"/>
            <w:tcBorders>
              <w:top w:val="single" w:sz="4" w:space="0" w:color="auto"/>
              <w:left w:val="nil"/>
              <w:bottom w:val="single" w:sz="8" w:space="0" w:color="auto"/>
              <w:right w:val="nil"/>
            </w:tcBorders>
            <w:vAlign w:val="center"/>
          </w:tcPr>
          <w:p w14:paraId="68F9C3AC" w14:textId="170A7754" w:rsidR="002411D3" w:rsidRPr="00F36B82" w:rsidRDefault="002411D3" w:rsidP="002411D3">
            <w:pPr>
              <w:ind w:right="126"/>
              <w:jc w:val="right"/>
              <w:rPr>
                <w:b/>
                <w:bCs/>
                <w:color w:val="000000"/>
                <w:sz w:val="18"/>
                <w:szCs w:val="18"/>
              </w:rPr>
            </w:pPr>
            <w:r w:rsidRPr="00F36B82">
              <w:rPr>
                <w:b/>
                <w:bCs/>
                <w:color w:val="000000"/>
                <w:sz w:val="18"/>
                <w:szCs w:val="18"/>
              </w:rPr>
              <w:t>46.157.848</w:t>
            </w:r>
          </w:p>
        </w:tc>
      </w:tr>
    </w:tbl>
    <w:p w14:paraId="4BDBC5D5" w14:textId="55A9C423" w:rsidR="00B4517B" w:rsidRPr="00471CBA" w:rsidRDefault="00B4517B" w:rsidP="00A062C2">
      <w:pPr>
        <w:autoSpaceDE w:val="0"/>
        <w:autoSpaceDN w:val="0"/>
        <w:adjustRightInd w:val="0"/>
        <w:jc w:val="both"/>
        <w:rPr>
          <w:b/>
          <w:szCs w:val="20"/>
        </w:rPr>
      </w:pPr>
      <w:bookmarkStart w:id="45" w:name="_Hlk153376063"/>
    </w:p>
    <w:tbl>
      <w:tblPr>
        <w:tblW w:w="5000" w:type="pct"/>
        <w:tblCellMar>
          <w:left w:w="0" w:type="dxa"/>
          <w:right w:w="0" w:type="dxa"/>
        </w:tblCellMar>
        <w:tblLook w:val="0000" w:firstRow="0" w:lastRow="0" w:firstColumn="0" w:lastColumn="0" w:noHBand="0" w:noVBand="0"/>
      </w:tblPr>
      <w:tblGrid>
        <w:gridCol w:w="6886"/>
        <w:gridCol w:w="1365"/>
        <w:gridCol w:w="1388"/>
      </w:tblGrid>
      <w:tr w:rsidR="00B4517B" w:rsidRPr="00F36B82" w14:paraId="221607C1" w14:textId="77777777" w:rsidTr="00344432">
        <w:trPr>
          <w:trHeight w:val="227"/>
        </w:trPr>
        <w:tc>
          <w:tcPr>
            <w:tcW w:w="3572" w:type="pct"/>
            <w:tcBorders>
              <w:top w:val="single" w:sz="4" w:space="0" w:color="auto"/>
              <w:bottom w:val="single" w:sz="4" w:space="0" w:color="auto"/>
            </w:tcBorders>
            <w:vAlign w:val="bottom"/>
          </w:tcPr>
          <w:p w14:paraId="73B9C9D9" w14:textId="77777777" w:rsidR="00B4517B" w:rsidRPr="00F36B82" w:rsidRDefault="00B4517B" w:rsidP="00344432">
            <w:pPr>
              <w:spacing w:line="228" w:lineRule="auto"/>
              <w:ind w:left="323" w:hanging="323"/>
              <w:rPr>
                <w:rFonts w:eastAsia="Arial Unicode MS"/>
                <w:b/>
                <w:sz w:val="18"/>
                <w:szCs w:val="18"/>
              </w:rPr>
            </w:pPr>
            <w:r w:rsidRPr="00F36B82">
              <w:rPr>
                <w:rFonts w:eastAsia="Arial Unicode MS"/>
                <w:b/>
                <w:sz w:val="18"/>
                <w:szCs w:val="18"/>
              </w:rPr>
              <w:t>Risk Sınıfları:</w:t>
            </w:r>
          </w:p>
        </w:tc>
        <w:tc>
          <w:tcPr>
            <w:tcW w:w="708" w:type="pct"/>
            <w:tcBorders>
              <w:top w:val="single" w:sz="4" w:space="0" w:color="auto"/>
              <w:bottom w:val="single" w:sz="4" w:space="0" w:color="auto"/>
            </w:tcBorders>
            <w:vAlign w:val="bottom"/>
          </w:tcPr>
          <w:p w14:paraId="39818AEF" w14:textId="77777777" w:rsidR="00B4517B" w:rsidRPr="00F36B82" w:rsidRDefault="00B4517B" w:rsidP="00344432">
            <w:pPr>
              <w:spacing w:line="228" w:lineRule="auto"/>
              <w:ind w:right="56"/>
              <w:jc w:val="right"/>
              <w:rPr>
                <w:b/>
                <w:sz w:val="18"/>
                <w:szCs w:val="18"/>
              </w:rPr>
            </w:pPr>
            <w:r w:rsidRPr="00F36B82">
              <w:rPr>
                <w:b/>
                <w:sz w:val="18"/>
                <w:szCs w:val="18"/>
              </w:rPr>
              <w:t>31 Aralık 2024</w:t>
            </w:r>
          </w:p>
          <w:p w14:paraId="39BBCB77" w14:textId="77777777" w:rsidR="00B4517B" w:rsidRPr="00F36B82" w:rsidRDefault="00B4517B" w:rsidP="00344432">
            <w:pPr>
              <w:spacing w:line="228" w:lineRule="auto"/>
              <w:ind w:right="56"/>
              <w:jc w:val="right"/>
              <w:rPr>
                <w:b/>
                <w:sz w:val="18"/>
                <w:szCs w:val="18"/>
              </w:rPr>
            </w:pPr>
            <w:r w:rsidRPr="00F36B82">
              <w:rPr>
                <w:b/>
                <w:sz w:val="18"/>
                <w:szCs w:val="18"/>
              </w:rPr>
              <w:t xml:space="preserve">Risk Tutarı </w:t>
            </w:r>
          </w:p>
        </w:tc>
        <w:tc>
          <w:tcPr>
            <w:tcW w:w="720" w:type="pct"/>
            <w:tcBorders>
              <w:top w:val="single" w:sz="4" w:space="0" w:color="auto"/>
              <w:bottom w:val="single" w:sz="4" w:space="0" w:color="auto"/>
            </w:tcBorders>
            <w:vAlign w:val="bottom"/>
          </w:tcPr>
          <w:p w14:paraId="7479697F" w14:textId="77777777" w:rsidR="00B4517B" w:rsidRPr="00F36B82" w:rsidRDefault="00B4517B" w:rsidP="00344432">
            <w:pPr>
              <w:spacing w:line="228" w:lineRule="auto"/>
              <w:ind w:right="56"/>
              <w:jc w:val="right"/>
              <w:rPr>
                <w:b/>
                <w:sz w:val="18"/>
                <w:szCs w:val="18"/>
              </w:rPr>
            </w:pPr>
            <w:r w:rsidRPr="00F36B82">
              <w:rPr>
                <w:b/>
                <w:sz w:val="18"/>
                <w:szCs w:val="18"/>
              </w:rPr>
              <w:t>Ortalama</w:t>
            </w:r>
          </w:p>
          <w:p w14:paraId="70D12219" w14:textId="77777777" w:rsidR="00B4517B" w:rsidRPr="00F36B82" w:rsidRDefault="00B4517B" w:rsidP="00344432">
            <w:pPr>
              <w:spacing w:line="228" w:lineRule="auto"/>
              <w:ind w:right="56"/>
              <w:jc w:val="right"/>
              <w:rPr>
                <w:b/>
                <w:sz w:val="18"/>
                <w:szCs w:val="18"/>
              </w:rPr>
            </w:pPr>
            <w:r w:rsidRPr="00F36B82">
              <w:rPr>
                <w:b/>
                <w:sz w:val="18"/>
                <w:szCs w:val="18"/>
              </w:rPr>
              <w:t>Risk Tutarı</w:t>
            </w:r>
          </w:p>
        </w:tc>
      </w:tr>
      <w:tr w:rsidR="00B4517B" w:rsidRPr="00F36B82" w14:paraId="7272C627" w14:textId="77777777" w:rsidTr="00344432">
        <w:trPr>
          <w:trHeight w:val="65"/>
        </w:trPr>
        <w:tc>
          <w:tcPr>
            <w:tcW w:w="3572" w:type="pct"/>
            <w:tcBorders>
              <w:top w:val="single" w:sz="4" w:space="0" w:color="auto"/>
            </w:tcBorders>
            <w:vAlign w:val="bottom"/>
          </w:tcPr>
          <w:p w14:paraId="42343587" w14:textId="77777777" w:rsidR="00B4517B" w:rsidRPr="00F36B82" w:rsidRDefault="00B4517B" w:rsidP="00344432">
            <w:pPr>
              <w:spacing w:line="228" w:lineRule="auto"/>
              <w:ind w:left="323" w:hanging="323"/>
              <w:rPr>
                <w:rFonts w:eastAsia="Arial Unicode MS"/>
                <w:b/>
                <w:sz w:val="18"/>
                <w:szCs w:val="18"/>
              </w:rPr>
            </w:pPr>
          </w:p>
        </w:tc>
        <w:tc>
          <w:tcPr>
            <w:tcW w:w="708" w:type="pct"/>
            <w:tcBorders>
              <w:top w:val="single" w:sz="4" w:space="0" w:color="auto"/>
            </w:tcBorders>
            <w:vAlign w:val="bottom"/>
          </w:tcPr>
          <w:p w14:paraId="67F661A5" w14:textId="77777777" w:rsidR="00B4517B" w:rsidRPr="00F36B82" w:rsidRDefault="00B4517B" w:rsidP="00344432">
            <w:pPr>
              <w:spacing w:line="228" w:lineRule="auto"/>
              <w:ind w:right="56"/>
              <w:jc w:val="right"/>
              <w:rPr>
                <w:b/>
                <w:sz w:val="18"/>
                <w:szCs w:val="18"/>
              </w:rPr>
            </w:pPr>
          </w:p>
        </w:tc>
        <w:tc>
          <w:tcPr>
            <w:tcW w:w="720" w:type="pct"/>
            <w:tcBorders>
              <w:top w:val="single" w:sz="4" w:space="0" w:color="auto"/>
            </w:tcBorders>
            <w:vAlign w:val="bottom"/>
          </w:tcPr>
          <w:p w14:paraId="720CDC77" w14:textId="77777777" w:rsidR="00B4517B" w:rsidRPr="00F36B82" w:rsidRDefault="00B4517B" w:rsidP="00344432">
            <w:pPr>
              <w:spacing w:line="228" w:lineRule="auto"/>
              <w:ind w:right="56"/>
              <w:jc w:val="right"/>
              <w:rPr>
                <w:b/>
                <w:sz w:val="18"/>
                <w:szCs w:val="18"/>
              </w:rPr>
            </w:pPr>
          </w:p>
        </w:tc>
      </w:tr>
      <w:tr w:rsidR="00204AF6" w:rsidRPr="00F36B82" w14:paraId="1FABEDDD" w14:textId="77777777" w:rsidTr="00344432">
        <w:trPr>
          <w:trHeight w:val="20"/>
        </w:trPr>
        <w:tc>
          <w:tcPr>
            <w:tcW w:w="3572" w:type="pct"/>
            <w:vAlign w:val="bottom"/>
          </w:tcPr>
          <w:p w14:paraId="3828A900" w14:textId="77777777" w:rsidR="00204AF6" w:rsidRPr="00F36B82" w:rsidRDefault="00204AF6" w:rsidP="00204AF6">
            <w:pPr>
              <w:spacing w:line="228" w:lineRule="auto"/>
              <w:ind w:left="323" w:hanging="323"/>
              <w:rPr>
                <w:sz w:val="18"/>
                <w:szCs w:val="18"/>
              </w:rPr>
            </w:pPr>
            <w:r w:rsidRPr="00F36B82">
              <w:rPr>
                <w:sz w:val="18"/>
                <w:szCs w:val="18"/>
              </w:rPr>
              <w:t>Merkezi yönetimlerden veya merkez bankalarından alacaklar</w:t>
            </w:r>
          </w:p>
        </w:tc>
        <w:tc>
          <w:tcPr>
            <w:tcW w:w="708" w:type="pct"/>
            <w:tcBorders>
              <w:top w:val="nil"/>
              <w:left w:val="nil"/>
              <w:bottom w:val="nil"/>
              <w:right w:val="nil"/>
            </w:tcBorders>
          </w:tcPr>
          <w:p w14:paraId="0AE82EF5" w14:textId="58C7F1A5" w:rsidR="00204AF6" w:rsidRPr="00F36B82" w:rsidRDefault="00204AF6" w:rsidP="00204AF6">
            <w:pPr>
              <w:spacing w:line="228" w:lineRule="auto"/>
              <w:ind w:right="126"/>
              <w:jc w:val="right"/>
              <w:rPr>
                <w:color w:val="000000"/>
                <w:sz w:val="18"/>
                <w:szCs w:val="18"/>
              </w:rPr>
            </w:pPr>
            <w:r w:rsidRPr="00F36B82">
              <w:rPr>
                <w:sz w:val="18"/>
                <w:szCs w:val="18"/>
              </w:rPr>
              <w:t>4.830.858</w:t>
            </w:r>
          </w:p>
        </w:tc>
        <w:tc>
          <w:tcPr>
            <w:tcW w:w="720" w:type="pct"/>
          </w:tcPr>
          <w:p w14:paraId="085E2B33" w14:textId="2F806851" w:rsidR="00204AF6" w:rsidRPr="00F36B82" w:rsidRDefault="00204AF6" w:rsidP="00204AF6">
            <w:pPr>
              <w:spacing w:line="228" w:lineRule="auto"/>
              <w:ind w:right="126"/>
              <w:jc w:val="right"/>
              <w:rPr>
                <w:color w:val="000000"/>
                <w:sz w:val="18"/>
                <w:szCs w:val="18"/>
              </w:rPr>
            </w:pPr>
            <w:r w:rsidRPr="00F36B82">
              <w:rPr>
                <w:sz w:val="18"/>
                <w:szCs w:val="18"/>
              </w:rPr>
              <w:t>1.575.993</w:t>
            </w:r>
          </w:p>
        </w:tc>
      </w:tr>
      <w:tr w:rsidR="00204AF6" w:rsidRPr="00F36B82" w14:paraId="7C13BA7E" w14:textId="77777777" w:rsidTr="00344432">
        <w:trPr>
          <w:trHeight w:val="20"/>
        </w:trPr>
        <w:tc>
          <w:tcPr>
            <w:tcW w:w="3572" w:type="pct"/>
            <w:vAlign w:val="bottom"/>
          </w:tcPr>
          <w:p w14:paraId="21D102D1" w14:textId="77777777" w:rsidR="00204AF6" w:rsidRPr="00F36B82" w:rsidRDefault="00204AF6" w:rsidP="00204AF6">
            <w:pPr>
              <w:spacing w:line="228" w:lineRule="auto"/>
              <w:ind w:left="323" w:hanging="323"/>
              <w:rPr>
                <w:sz w:val="18"/>
                <w:szCs w:val="18"/>
              </w:rPr>
            </w:pPr>
            <w:r w:rsidRPr="00F36B82">
              <w:rPr>
                <w:sz w:val="18"/>
                <w:szCs w:val="18"/>
              </w:rPr>
              <w:t>Bölgesel yönetimlerden veya yerel yönetimlerden alacaklar</w:t>
            </w:r>
          </w:p>
        </w:tc>
        <w:tc>
          <w:tcPr>
            <w:tcW w:w="708" w:type="pct"/>
            <w:tcBorders>
              <w:top w:val="nil"/>
              <w:left w:val="nil"/>
              <w:bottom w:val="nil"/>
              <w:right w:val="nil"/>
            </w:tcBorders>
          </w:tcPr>
          <w:p w14:paraId="6A65C2FF" w14:textId="57CE84D5" w:rsidR="00204AF6" w:rsidRPr="00F36B82" w:rsidRDefault="00204AF6" w:rsidP="00204AF6">
            <w:pPr>
              <w:spacing w:line="228" w:lineRule="auto"/>
              <w:ind w:right="126"/>
              <w:jc w:val="right"/>
              <w:rPr>
                <w:color w:val="000000"/>
                <w:sz w:val="18"/>
                <w:szCs w:val="18"/>
              </w:rPr>
            </w:pPr>
            <w:r w:rsidRPr="00F36B82">
              <w:rPr>
                <w:sz w:val="18"/>
                <w:szCs w:val="18"/>
              </w:rPr>
              <w:t>-</w:t>
            </w:r>
          </w:p>
        </w:tc>
        <w:tc>
          <w:tcPr>
            <w:tcW w:w="720" w:type="pct"/>
          </w:tcPr>
          <w:p w14:paraId="5CF69DE1" w14:textId="0704CA6E" w:rsidR="00204AF6" w:rsidRPr="00F36B82" w:rsidRDefault="00204AF6" w:rsidP="00204AF6">
            <w:pPr>
              <w:spacing w:line="228" w:lineRule="auto"/>
              <w:ind w:right="126"/>
              <w:jc w:val="right"/>
              <w:rPr>
                <w:color w:val="000000"/>
                <w:sz w:val="18"/>
                <w:szCs w:val="18"/>
              </w:rPr>
            </w:pPr>
            <w:r w:rsidRPr="00F36B82">
              <w:rPr>
                <w:sz w:val="18"/>
                <w:szCs w:val="18"/>
              </w:rPr>
              <w:t>-</w:t>
            </w:r>
          </w:p>
        </w:tc>
      </w:tr>
      <w:tr w:rsidR="00204AF6" w:rsidRPr="00F36B82" w14:paraId="53AD70DE" w14:textId="77777777" w:rsidTr="00344432">
        <w:trPr>
          <w:trHeight w:val="20"/>
        </w:trPr>
        <w:tc>
          <w:tcPr>
            <w:tcW w:w="3572" w:type="pct"/>
            <w:vAlign w:val="bottom"/>
          </w:tcPr>
          <w:p w14:paraId="1BE67A59" w14:textId="77777777" w:rsidR="00204AF6" w:rsidRPr="00F36B82" w:rsidRDefault="00204AF6" w:rsidP="00204AF6">
            <w:pPr>
              <w:spacing w:line="228" w:lineRule="auto"/>
              <w:ind w:left="323" w:hanging="323"/>
              <w:rPr>
                <w:sz w:val="18"/>
                <w:szCs w:val="18"/>
              </w:rPr>
            </w:pPr>
            <w:r w:rsidRPr="00F36B82">
              <w:rPr>
                <w:sz w:val="18"/>
                <w:szCs w:val="18"/>
              </w:rPr>
              <w:t>İdari birimlerden ve ticari olmayan girişimlerden alacaklar</w:t>
            </w:r>
          </w:p>
        </w:tc>
        <w:tc>
          <w:tcPr>
            <w:tcW w:w="708" w:type="pct"/>
            <w:tcBorders>
              <w:top w:val="nil"/>
              <w:left w:val="nil"/>
              <w:bottom w:val="nil"/>
              <w:right w:val="nil"/>
            </w:tcBorders>
          </w:tcPr>
          <w:p w14:paraId="73F0647F" w14:textId="0B1D8CCB" w:rsidR="00204AF6" w:rsidRPr="00F36B82" w:rsidRDefault="00204AF6" w:rsidP="00204AF6">
            <w:pPr>
              <w:spacing w:line="228" w:lineRule="auto"/>
              <w:ind w:right="126"/>
              <w:jc w:val="right"/>
              <w:rPr>
                <w:color w:val="000000"/>
                <w:sz w:val="18"/>
                <w:szCs w:val="18"/>
              </w:rPr>
            </w:pPr>
            <w:r w:rsidRPr="00F36B82">
              <w:rPr>
                <w:sz w:val="18"/>
                <w:szCs w:val="18"/>
              </w:rPr>
              <w:t>-</w:t>
            </w:r>
          </w:p>
        </w:tc>
        <w:tc>
          <w:tcPr>
            <w:tcW w:w="720" w:type="pct"/>
          </w:tcPr>
          <w:p w14:paraId="684C56DE" w14:textId="61C86A45" w:rsidR="00204AF6" w:rsidRPr="00F36B82" w:rsidRDefault="00204AF6" w:rsidP="00204AF6">
            <w:pPr>
              <w:spacing w:line="228" w:lineRule="auto"/>
              <w:ind w:right="126"/>
              <w:jc w:val="right"/>
              <w:rPr>
                <w:color w:val="000000"/>
                <w:sz w:val="18"/>
                <w:szCs w:val="18"/>
              </w:rPr>
            </w:pPr>
            <w:r w:rsidRPr="00F36B82">
              <w:rPr>
                <w:sz w:val="18"/>
                <w:szCs w:val="18"/>
              </w:rPr>
              <w:t>-</w:t>
            </w:r>
          </w:p>
        </w:tc>
      </w:tr>
      <w:tr w:rsidR="00204AF6" w:rsidRPr="00F36B82" w14:paraId="4217F01E" w14:textId="77777777" w:rsidTr="00344432">
        <w:trPr>
          <w:trHeight w:val="20"/>
        </w:trPr>
        <w:tc>
          <w:tcPr>
            <w:tcW w:w="3572" w:type="pct"/>
            <w:vAlign w:val="bottom"/>
          </w:tcPr>
          <w:p w14:paraId="3FCFD5E8" w14:textId="77777777" w:rsidR="00204AF6" w:rsidRPr="00F36B82" w:rsidRDefault="00204AF6" w:rsidP="00204AF6">
            <w:pPr>
              <w:spacing w:line="228" w:lineRule="auto"/>
              <w:ind w:left="323" w:hanging="323"/>
              <w:rPr>
                <w:sz w:val="18"/>
                <w:szCs w:val="18"/>
              </w:rPr>
            </w:pPr>
            <w:r w:rsidRPr="00F36B82">
              <w:rPr>
                <w:sz w:val="18"/>
                <w:szCs w:val="18"/>
              </w:rPr>
              <w:t>Çok taraflı kalkınma bankalarından alacaklar</w:t>
            </w:r>
          </w:p>
        </w:tc>
        <w:tc>
          <w:tcPr>
            <w:tcW w:w="708" w:type="pct"/>
            <w:tcBorders>
              <w:top w:val="nil"/>
              <w:left w:val="nil"/>
              <w:bottom w:val="nil"/>
              <w:right w:val="nil"/>
            </w:tcBorders>
          </w:tcPr>
          <w:p w14:paraId="234DF648" w14:textId="3927DF9F" w:rsidR="00204AF6" w:rsidRPr="00F36B82" w:rsidRDefault="00204AF6" w:rsidP="00204AF6">
            <w:pPr>
              <w:spacing w:line="228" w:lineRule="auto"/>
              <w:ind w:right="126"/>
              <w:jc w:val="right"/>
              <w:rPr>
                <w:color w:val="000000"/>
                <w:sz w:val="18"/>
                <w:szCs w:val="18"/>
              </w:rPr>
            </w:pPr>
            <w:r w:rsidRPr="00F36B82">
              <w:rPr>
                <w:sz w:val="18"/>
                <w:szCs w:val="18"/>
              </w:rPr>
              <w:t>-</w:t>
            </w:r>
          </w:p>
        </w:tc>
        <w:tc>
          <w:tcPr>
            <w:tcW w:w="720" w:type="pct"/>
          </w:tcPr>
          <w:p w14:paraId="00EDE933" w14:textId="1AD94CD3" w:rsidR="00204AF6" w:rsidRPr="00F36B82" w:rsidRDefault="00204AF6" w:rsidP="00204AF6">
            <w:pPr>
              <w:spacing w:line="228" w:lineRule="auto"/>
              <w:ind w:right="126"/>
              <w:jc w:val="right"/>
              <w:rPr>
                <w:color w:val="000000"/>
                <w:sz w:val="18"/>
                <w:szCs w:val="18"/>
              </w:rPr>
            </w:pPr>
            <w:r w:rsidRPr="00F36B82">
              <w:rPr>
                <w:sz w:val="18"/>
                <w:szCs w:val="18"/>
              </w:rPr>
              <w:t>-</w:t>
            </w:r>
          </w:p>
        </w:tc>
      </w:tr>
      <w:tr w:rsidR="00204AF6" w:rsidRPr="00F36B82" w14:paraId="6959D951" w14:textId="77777777" w:rsidTr="00344432">
        <w:trPr>
          <w:trHeight w:val="20"/>
        </w:trPr>
        <w:tc>
          <w:tcPr>
            <w:tcW w:w="3572" w:type="pct"/>
            <w:vAlign w:val="bottom"/>
          </w:tcPr>
          <w:p w14:paraId="2B637748" w14:textId="77777777" w:rsidR="00204AF6" w:rsidRPr="00F36B82" w:rsidRDefault="00204AF6" w:rsidP="00204AF6">
            <w:pPr>
              <w:spacing w:line="228" w:lineRule="auto"/>
              <w:ind w:left="323" w:hanging="323"/>
              <w:rPr>
                <w:sz w:val="18"/>
                <w:szCs w:val="18"/>
              </w:rPr>
            </w:pPr>
            <w:r w:rsidRPr="00F36B82">
              <w:rPr>
                <w:sz w:val="18"/>
                <w:szCs w:val="18"/>
              </w:rPr>
              <w:t>Uluslararası teşkilatlardan alacaklar</w:t>
            </w:r>
          </w:p>
        </w:tc>
        <w:tc>
          <w:tcPr>
            <w:tcW w:w="708" w:type="pct"/>
            <w:tcBorders>
              <w:top w:val="nil"/>
              <w:left w:val="nil"/>
              <w:bottom w:val="nil"/>
              <w:right w:val="nil"/>
            </w:tcBorders>
          </w:tcPr>
          <w:p w14:paraId="21E3D5EE" w14:textId="47FE4C65" w:rsidR="00204AF6" w:rsidRPr="00F36B82" w:rsidRDefault="00204AF6" w:rsidP="00204AF6">
            <w:pPr>
              <w:spacing w:line="228" w:lineRule="auto"/>
              <w:ind w:right="126"/>
              <w:jc w:val="right"/>
              <w:rPr>
                <w:color w:val="000000"/>
                <w:sz w:val="18"/>
                <w:szCs w:val="18"/>
              </w:rPr>
            </w:pPr>
            <w:r w:rsidRPr="00F36B82">
              <w:rPr>
                <w:sz w:val="18"/>
                <w:szCs w:val="18"/>
              </w:rPr>
              <w:t>-</w:t>
            </w:r>
          </w:p>
        </w:tc>
        <w:tc>
          <w:tcPr>
            <w:tcW w:w="720" w:type="pct"/>
          </w:tcPr>
          <w:p w14:paraId="3C92DDF5" w14:textId="16B85137" w:rsidR="00204AF6" w:rsidRPr="00F36B82" w:rsidRDefault="00204AF6" w:rsidP="00204AF6">
            <w:pPr>
              <w:spacing w:line="228" w:lineRule="auto"/>
              <w:ind w:right="126"/>
              <w:jc w:val="right"/>
              <w:rPr>
                <w:color w:val="000000"/>
                <w:sz w:val="18"/>
                <w:szCs w:val="18"/>
              </w:rPr>
            </w:pPr>
            <w:r w:rsidRPr="00F36B82">
              <w:rPr>
                <w:sz w:val="18"/>
                <w:szCs w:val="18"/>
              </w:rPr>
              <w:t>-</w:t>
            </w:r>
          </w:p>
        </w:tc>
      </w:tr>
      <w:tr w:rsidR="00204AF6" w:rsidRPr="00F36B82" w14:paraId="01EF2C76" w14:textId="77777777" w:rsidTr="00344432">
        <w:trPr>
          <w:trHeight w:val="20"/>
        </w:trPr>
        <w:tc>
          <w:tcPr>
            <w:tcW w:w="3572" w:type="pct"/>
            <w:vAlign w:val="bottom"/>
          </w:tcPr>
          <w:p w14:paraId="36F2E60C" w14:textId="77777777" w:rsidR="00204AF6" w:rsidRPr="00F36B82" w:rsidRDefault="00204AF6" w:rsidP="00204AF6">
            <w:pPr>
              <w:spacing w:line="228" w:lineRule="auto"/>
              <w:ind w:left="323" w:hanging="323"/>
              <w:rPr>
                <w:sz w:val="18"/>
                <w:szCs w:val="18"/>
              </w:rPr>
            </w:pPr>
            <w:r w:rsidRPr="00F36B82">
              <w:rPr>
                <w:sz w:val="18"/>
                <w:szCs w:val="18"/>
              </w:rPr>
              <w:t>Bankalardan ve aracı kurumlardan alacaklar</w:t>
            </w:r>
          </w:p>
        </w:tc>
        <w:tc>
          <w:tcPr>
            <w:tcW w:w="708" w:type="pct"/>
            <w:tcBorders>
              <w:top w:val="nil"/>
              <w:left w:val="nil"/>
              <w:bottom w:val="nil"/>
              <w:right w:val="nil"/>
            </w:tcBorders>
          </w:tcPr>
          <w:p w14:paraId="1F702A3C" w14:textId="69EA35CF" w:rsidR="00204AF6" w:rsidRPr="00F36B82" w:rsidRDefault="00204AF6" w:rsidP="00204AF6">
            <w:pPr>
              <w:spacing w:line="228" w:lineRule="auto"/>
              <w:ind w:right="126"/>
              <w:jc w:val="right"/>
              <w:rPr>
                <w:color w:val="000000"/>
                <w:sz w:val="18"/>
                <w:szCs w:val="18"/>
              </w:rPr>
            </w:pPr>
            <w:r w:rsidRPr="00F36B82">
              <w:rPr>
                <w:sz w:val="18"/>
                <w:szCs w:val="18"/>
              </w:rPr>
              <w:t>5.221.722</w:t>
            </w:r>
          </w:p>
        </w:tc>
        <w:tc>
          <w:tcPr>
            <w:tcW w:w="720" w:type="pct"/>
          </w:tcPr>
          <w:p w14:paraId="2D110B67" w14:textId="20134CA3" w:rsidR="00204AF6" w:rsidRPr="00F36B82" w:rsidRDefault="00204AF6" w:rsidP="00204AF6">
            <w:pPr>
              <w:spacing w:line="228" w:lineRule="auto"/>
              <w:ind w:right="126"/>
              <w:jc w:val="right"/>
              <w:rPr>
                <w:color w:val="000000"/>
                <w:sz w:val="18"/>
                <w:szCs w:val="18"/>
              </w:rPr>
            </w:pPr>
            <w:r w:rsidRPr="00F36B82">
              <w:rPr>
                <w:sz w:val="18"/>
                <w:szCs w:val="18"/>
              </w:rPr>
              <w:t>1.911.171</w:t>
            </w:r>
          </w:p>
        </w:tc>
      </w:tr>
      <w:tr w:rsidR="00204AF6" w:rsidRPr="00F36B82" w14:paraId="3C5B34FB" w14:textId="77777777" w:rsidTr="00344432">
        <w:trPr>
          <w:trHeight w:val="20"/>
        </w:trPr>
        <w:tc>
          <w:tcPr>
            <w:tcW w:w="3572" w:type="pct"/>
            <w:vAlign w:val="bottom"/>
          </w:tcPr>
          <w:p w14:paraId="4F896DA1" w14:textId="77777777" w:rsidR="00204AF6" w:rsidRPr="00F36B82" w:rsidRDefault="00204AF6" w:rsidP="00204AF6">
            <w:pPr>
              <w:spacing w:line="228" w:lineRule="auto"/>
              <w:ind w:left="323" w:hanging="323"/>
              <w:rPr>
                <w:sz w:val="18"/>
                <w:szCs w:val="18"/>
              </w:rPr>
            </w:pPr>
            <w:r w:rsidRPr="00F36B82">
              <w:rPr>
                <w:sz w:val="18"/>
                <w:szCs w:val="18"/>
              </w:rPr>
              <w:t>Kurumsal alacaklar</w:t>
            </w:r>
          </w:p>
        </w:tc>
        <w:tc>
          <w:tcPr>
            <w:tcW w:w="708" w:type="pct"/>
            <w:tcBorders>
              <w:top w:val="nil"/>
              <w:left w:val="nil"/>
              <w:bottom w:val="nil"/>
              <w:right w:val="nil"/>
            </w:tcBorders>
          </w:tcPr>
          <w:p w14:paraId="663F8D42" w14:textId="1C590778" w:rsidR="00204AF6" w:rsidRPr="00F36B82" w:rsidRDefault="00204AF6" w:rsidP="00204AF6">
            <w:pPr>
              <w:spacing w:line="228" w:lineRule="auto"/>
              <w:ind w:right="126"/>
              <w:jc w:val="right"/>
              <w:rPr>
                <w:color w:val="000000"/>
                <w:sz w:val="18"/>
                <w:szCs w:val="18"/>
              </w:rPr>
            </w:pPr>
            <w:r w:rsidRPr="00F36B82">
              <w:rPr>
                <w:sz w:val="18"/>
                <w:szCs w:val="18"/>
              </w:rPr>
              <w:t>13.423.540</w:t>
            </w:r>
          </w:p>
        </w:tc>
        <w:tc>
          <w:tcPr>
            <w:tcW w:w="720" w:type="pct"/>
          </w:tcPr>
          <w:p w14:paraId="2F1B10AB" w14:textId="379CBD95" w:rsidR="00204AF6" w:rsidRPr="00F36B82" w:rsidRDefault="00204AF6" w:rsidP="00204AF6">
            <w:pPr>
              <w:spacing w:line="228" w:lineRule="auto"/>
              <w:ind w:right="126"/>
              <w:jc w:val="right"/>
              <w:rPr>
                <w:color w:val="000000"/>
                <w:sz w:val="18"/>
                <w:szCs w:val="18"/>
              </w:rPr>
            </w:pPr>
            <w:r w:rsidRPr="00F36B82">
              <w:rPr>
                <w:sz w:val="18"/>
                <w:szCs w:val="18"/>
              </w:rPr>
              <w:t>3.368.614</w:t>
            </w:r>
          </w:p>
        </w:tc>
      </w:tr>
      <w:tr w:rsidR="00204AF6" w:rsidRPr="00F36B82" w14:paraId="2B721B37" w14:textId="77777777" w:rsidTr="00344432">
        <w:trPr>
          <w:trHeight w:val="20"/>
        </w:trPr>
        <w:tc>
          <w:tcPr>
            <w:tcW w:w="3572" w:type="pct"/>
            <w:vAlign w:val="bottom"/>
          </w:tcPr>
          <w:p w14:paraId="120C5841" w14:textId="77777777" w:rsidR="00204AF6" w:rsidRPr="00F36B82" w:rsidRDefault="00204AF6" w:rsidP="00204AF6">
            <w:pPr>
              <w:spacing w:line="228" w:lineRule="auto"/>
              <w:ind w:left="323" w:hanging="323"/>
              <w:rPr>
                <w:sz w:val="18"/>
                <w:szCs w:val="18"/>
              </w:rPr>
            </w:pPr>
            <w:r w:rsidRPr="00F36B82">
              <w:rPr>
                <w:sz w:val="18"/>
                <w:szCs w:val="18"/>
              </w:rPr>
              <w:t>Perakende alacaklar</w:t>
            </w:r>
          </w:p>
        </w:tc>
        <w:tc>
          <w:tcPr>
            <w:tcW w:w="708" w:type="pct"/>
            <w:tcBorders>
              <w:top w:val="nil"/>
              <w:left w:val="nil"/>
              <w:bottom w:val="nil"/>
              <w:right w:val="nil"/>
            </w:tcBorders>
          </w:tcPr>
          <w:p w14:paraId="7EA26BA2" w14:textId="14E49266" w:rsidR="00204AF6" w:rsidRPr="00F36B82" w:rsidRDefault="00204AF6" w:rsidP="00204AF6">
            <w:pPr>
              <w:spacing w:line="228" w:lineRule="auto"/>
              <w:ind w:right="126"/>
              <w:jc w:val="right"/>
              <w:rPr>
                <w:color w:val="000000"/>
                <w:sz w:val="18"/>
                <w:szCs w:val="18"/>
              </w:rPr>
            </w:pPr>
            <w:r w:rsidRPr="00F36B82">
              <w:rPr>
                <w:sz w:val="18"/>
                <w:szCs w:val="18"/>
              </w:rPr>
              <w:t>-</w:t>
            </w:r>
          </w:p>
        </w:tc>
        <w:tc>
          <w:tcPr>
            <w:tcW w:w="720" w:type="pct"/>
          </w:tcPr>
          <w:p w14:paraId="380824A2" w14:textId="302E0A01" w:rsidR="00204AF6" w:rsidRPr="00F36B82" w:rsidRDefault="00204AF6" w:rsidP="00204AF6">
            <w:pPr>
              <w:spacing w:line="228" w:lineRule="auto"/>
              <w:ind w:right="126"/>
              <w:jc w:val="right"/>
              <w:rPr>
                <w:color w:val="000000"/>
                <w:sz w:val="18"/>
                <w:szCs w:val="18"/>
              </w:rPr>
            </w:pPr>
            <w:r w:rsidRPr="00F36B82">
              <w:rPr>
                <w:sz w:val="18"/>
                <w:szCs w:val="18"/>
              </w:rPr>
              <w:t>46</w:t>
            </w:r>
          </w:p>
        </w:tc>
      </w:tr>
      <w:tr w:rsidR="00204AF6" w:rsidRPr="00F36B82" w14:paraId="44C680BE" w14:textId="77777777" w:rsidTr="00344432">
        <w:trPr>
          <w:trHeight w:val="20"/>
        </w:trPr>
        <w:tc>
          <w:tcPr>
            <w:tcW w:w="3572" w:type="pct"/>
            <w:vAlign w:val="bottom"/>
          </w:tcPr>
          <w:p w14:paraId="538AE7F1" w14:textId="77777777" w:rsidR="00204AF6" w:rsidRPr="00F36B82" w:rsidRDefault="00204AF6" w:rsidP="00204AF6">
            <w:pPr>
              <w:spacing w:line="228" w:lineRule="auto"/>
              <w:ind w:left="323" w:hanging="323"/>
              <w:rPr>
                <w:sz w:val="18"/>
                <w:szCs w:val="18"/>
              </w:rPr>
            </w:pPr>
            <w:r w:rsidRPr="00F36B82">
              <w:rPr>
                <w:sz w:val="18"/>
                <w:szCs w:val="18"/>
              </w:rPr>
              <w:t>Gayrimenkul ipoteği ile teminatlandırılan alacaklar</w:t>
            </w:r>
          </w:p>
        </w:tc>
        <w:tc>
          <w:tcPr>
            <w:tcW w:w="708" w:type="pct"/>
            <w:tcBorders>
              <w:top w:val="nil"/>
              <w:left w:val="nil"/>
              <w:bottom w:val="nil"/>
              <w:right w:val="nil"/>
            </w:tcBorders>
          </w:tcPr>
          <w:p w14:paraId="12F0F606" w14:textId="20E2FE45" w:rsidR="00204AF6" w:rsidRPr="00F36B82" w:rsidRDefault="00204AF6" w:rsidP="00204AF6">
            <w:pPr>
              <w:spacing w:line="228" w:lineRule="auto"/>
              <w:ind w:right="126"/>
              <w:jc w:val="right"/>
              <w:rPr>
                <w:color w:val="000000"/>
                <w:sz w:val="18"/>
                <w:szCs w:val="18"/>
              </w:rPr>
            </w:pPr>
            <w:r w:rsidRPr="00F36B82">
              <w:rPr>
                <w:sz w:val="18"/>
                <w:szCs w:val="18"/>
              </w:rPr>
              <w:t>709.613</w:t>
            </w:r>
          </w:p>
        </w:tc>
        <w:tc>
          <w:tcPr>
            <w:tcW w:w="720" w:type="pct"/>
          </w:tcPr>
          <w:p w14:paraId="411B061E" w14:textId="478DB83D" w:rsidR="00204AF6" w:rsidRPr="00F36B82" w:rsidRDefault="00204AF6" w:rsidP="00204AF6">
            <w:pPr>
              <w:spacing w:line="228" w:lineRule="auto"/>
              <w:ind w:right="126"/>
              <w:jc w:val="right"/>
              <w:rPr>
                <w:color w:val="000000"/>
                <w:sz w:val="18"/>
                <w:szCs w:val="18"/>
              </w:rPr>
            </w:pPr>
            <w:r w:rsidRPr="00F36B82">
              <w:rPr>
                <w:sz w:val="18"/>
                <w:szCs w:val="18"/>
              </w:rPr>
              <w:t>195.263</w:t>
            </w:r>
          </w:p>
        </w:tc>
      </w:tr>
      <w:tr w:rsidR="00204AF6" w:rsidRPr="00F36B82" w14:paraId="027B0C7C" w14:textId="77777777" w:rsidTr="00344432">
        <w:trPr>
          <w:trHeight w:val="20"/>
        </w:trPr>
        <w:tc>
          <w:tcPr>
            <w:tcW w:w="3572" w:type="pct"/>
            <w:vAlign w:val="bottom"/>
          </w:tcPr>
          <w:p w14:paraId="0E45DCAE" w14:textId="77777777" w:rsidR="00204AF6" w:rsidRPr="00F36B82" w:rsidRDefault="00204AF6" w:rsidP="00204AF6">
            <w:pPr>
              <w:spacing w:line="228" w:lineRule="auto"/>
              <w:ind w:left="323" w:hanging="323"/>
              <w:rPr>
                <w:sz w:val="18"/>
                <w:szCs w:val="18"/>
              </w:rPr>
            </w:pPr>
            <w:r w:rsidRPr="00F36B82">
              <w:rPr>
                <w:sz w:val="18"/>
                <w:szCs w:val="18"/>
              </w:rPr>
              <w:t>Tahsili gecikmiş alacaklar</w:t>
            </w:r>
          </w:p>
        </w:tc>
        <w:tc>
          <w:tcPr>
            <w:tcW w:w="708" w:type="pct"/>
            <w:tcBorders>
              <w:top w:val="nil"/>
              <w:left w:val="nil"/>
              <w:bottom w:val="nil"/>
              <w:right w:val="nil"/>
            </w:tcBorders>
          </w:tcPr>
          <w:p w14:paraId="292FC904" w14:textId="4B2C6312" w:rsidR="00204AF6" w:rsidRPr="00F36B82" w:rsidRDefault="00204AF6" w:rsidP="00204AF6">
            <w:pPr>
              <w:spacing w:line="228" w:lineRule="auto"/>
              <w:ind w:right="126"/>
              <w:jc w:val="right"/>
              <w:rPr>
                <w:color w:val="000000"/>
                <w:sz w:val="18"/>
                <w:szCs w:val="18"/>
              </w:rPr>
            </w:pPr>
            <w:r w:rsidRPr="00F36B82">
              <w:rPr>
                <w:sz w:val="18"/>
                <w:szCs w:val="18"/>
              </w:rPr>
              <w:t>-</w:t>
            </w:r>
          </w:p>
        </w:tc>
        <w:tc>
          <w:tcPr>
            <w:tcW w:w="720" w:type="pct"/>
          </w:tcPr>
          <w:p w14:paraId="293F7512" w14:textId="670F6B2F" w:rsidR="00204AF6" w:rsidRPr="00F36B82" w:rsidRDefault="00204AF6" w:rsidP="00204AF6">
            <w:pPr>
              <w:spacing w:line="228" w:lineRule="auto"/>
              <w:ind w:right="126"/>
              <w:jc w:val="right"/>
              <w:rPr>
                <w:color w:val="000000"/>
                <w:sz w:val="18"/>
                <w:szCs w:val="18"/>
              </w:rPr>
            </w:pPr>
            <w:r w:rsidRPr="00F36B82">
              <w:rPr>
                <w:sz w:val="18"/>
                <w:szCs w:val="18"/>
              </w:rPr>
              <w:t>-</w:t>
            </w:r>
          </w:p>
        </w:tc>
      </w:tr>
      <w:tr w:rsidR="00204AF6" w:rsidRPr="00F36B82" w14:paraId="51B4A1C2" w14:textId="77777777" w:rsidTr="00344432">
        <w:trPr>
          <w:trHeight w:val="20"/>
        </w:trPr>
        <w:tc>
          <w:tcPr>
            <w:tcW w:w="3572" w:type="pct"/>
            <w:vAlign w:val="bottom"/>
          </w:tcPr>
          <w:p w14:paraId="459A9576" w14:textId="77777777" w:rsidR="00204AF6" w:rsidRPr="00F36B82" w:rsidRDefault="00204AF6" w:rsidP="00204AF6">
            <w:pPr>
              <w:spacing w:line="228" w:lineRule="auto"/>
              <w:ind w:left="323" w:hanging="323"/>
              <w:rPr>
                <w:sz w:val="18"/>
                <w:szCs w:val="18"/>
              </w:rPr>
            </w:pPr>
            <w:r w:rsidRPr="00F36B82">
              <w:rPr>
                <w:sz w:val="18"/>
                <w:szCs w:val="18"/>
              </w:rPr>
              <w:t>Kurulca riski yüksek belirlenmiş alacaklar</w:t>
            </w:r>
          </w:p>
        </w:tc>
        <w:tc>
          <w:tcPr>
            <w:tcW w:w="708" w:type="pct"/>
            <w:tcBorders>
              <w:top w:val="nil"/>
              <w:left w:val="nil"/>
              <w:bottom w:val="nil"/>
              <w:right w:val="nil"/>
            </w:tcBorders>
          </w:tcPr>
          <w:p w14:paraId="5664B459" w14:textId="09ABEA82" w:rsidR="00204AF6" w:rsidRPr="00F36B82" w:rsidRDefault="00204AF6" w:rsidP="00204AF6">
            <w:pPr>
              <w:spacing w:line="228" w:lineRule="auto"/>
              <w:ind w:right="126"/>
              <w:jc w:val="right"/>
              <w:rPr>
                <w:color w:val="000000"/>
                <w:sz w:val="18"/>
                <w:szCs w:val="18"/>
              </w:rPr>
            </w:pPr>
            <w:r w:rsidRPr="00F36B82">
              <w:rPr>
                <w:sz w:val="18"/>
                <w:szCs w:val="18"/>
              </w:rPr>
              <w:t>27.648</w:t>
            </w:r>
          </w:p>
        </w:tc>
        <w:tc>
          <w:tcPr>
            <w:tcW w:w="720" w:type="pct"/>
          </w:tcPr>
          <w:p w14:paraId="70679B10" w14:textId="5466B236" w:rsidR="00204AF6" w:rsidRPr="00F36B82" w:rsidRDefault="00204AF6" w:rsidP="00204AF6">
            <w:pPr>
              <w:spacing w:line="228" w:lineRule="auto"/>
              <w:ind w:right="126"/>
              <w:jc w:val="right"/>
              <w:rPr>
                <w:color w:val="000000"/>
                <w:sz w:val="18"/>
                <w:szCs w:val="18"/>
              </w:rPr>
            </w:pPr>
            <w:r w:rsidRPr="00F36B82">
              <w:rPr>
                <w:sz w:val="18"/>
                <w:szCs w:val="18"/>
              </w:rPr>
              <w:t>1.548.945</w:t>
            </w:r>
          </w:p>
        </w:tc>
      </w:tr>
      <w:tr w:rsidR="00204AF6" w:rsidRPr="00F36B82" w14:paraId="6B511D89" w14:textId="77777777" w:rsidTr="00344432">
        <w:trPr>
          <w:trHeight w:val="20"/>
        </w:trPr>
        <w:tc>
          <w:tcPr>
            <w:tcW w:w="3572" w:type="pct"/>
            <w:vAlign w:val="bottom"/>
          </w:tcPr>
          <w:p w14:paraId="19AE6D84" w14:textId="77777777" w:rsidR="00204AF6" w:rsidRPr="00F36B82" w:rsidRDefault="00204AF6" w:rsidP="00204AF6">
            <w:pPr>
              <w:spacing w:line="228" w:lineRule="auto"/>
              <w:ind w:left="323" w:hanging="323"/>
              <w:rPr>
                <w:sz w:val="18"/>
                <w:szCs w:val="18"/>
              </w:rPr>
            </w:pPr>
            <w:r w:rsidRPr="00F36B82">
              <w:rPr>
                <w:sz w:val="18"/>
                <w:szCs w:val="18"/>
              </w:rPr>
              <w:t>Teminatlı menkul kıymetler</w:t>
            </w:r>
          </w:p>
        </w:tc>
        <w:tc>
          <w:tcPr>
            <w:tcW w:w="708" w:type="pct"/>
            <w:tcBorders>
              <w:top w:val="nil"/>
              <w:left w:val="nil"/>
              <w:bottom w:val="nil"/>
              <w:right w:val="nil"/>
            </w:tcBorders>
          </w:tcPr>
          <w:p w14:paraId="53AC12DB" w14:textId="72CABAD1" w:rsidR="00204AF6" w:rsidRPr="00F36B82" w:rsidRDefault="00204AF6" w:rsidP="00204AF6">
            <w:pPr>
              <w:spacing w:line="228" w:lineRule="auto"/>
              <w:ind w:right="126"/>
              <w:jc w:val="right"/>
              <w:rPr>
                <w:color w:val="000000"/>
                <w:sz w:val="18"/>
                <w:szCs w:val="18"/>
              </w:rPr>
            </w:pPr>
            <w:r w:rsidRPr="00F36B82">
              <w:rPr>
                <w:sz w:val="18"/>
                <w:szCs w:val="18"/>
              </w:rPr>
              <w:t>-</w:t>
            </w:r>
          </w:p>
        </w:tc>
        <w:tc>
          <w:tcPr>
            <w:tcW w:w="720" w:type="pct"/>
          </w:tcPr>
          <w:p w14:paraId="0B5C345A" w14:textId="21348A79" w:rsidR="00204AF6" w:rsidRPr="00F36B82" w:rsidRDefault="00204AF6" w:rsidP="00204AF6">
            <w:pPr>
              <w:spacing w:line="228" w:lineRule="auto"/>
              <w:ind w:right="126"/>
              <w:jc w:val="right"/>
              <w:rPr>
                <w:color w:val="000000"/>
                <w:sz w:val="18"/>
                <w:szCs w:val="18"/>
              </w:rPr>
            </w:pPr>
            <w:r w:rsidRPr="00F36B82">
              <w:rPr>
                <w:sz w:val="18"/>
                <w:szCs w:val="18"/>
              </w:rPr>
              <w:t>-</w:t>
            </w:r>
          </w:p>
        </w:tc>
      </w:tr>
      <w:tr w:rsidR="00204AF6" w:rsidRPr="00F36B82" w14:paraId="42F30DA3" w14:textId="77777777" w:rsidTr="00344432">
        <w:trPr>
          <w:trHeight w:val="20"/>
        </w:trPr>
        <w:tc>
          <w:tcPr>
            <w:tcW w:w="3572" w:type="pct"/>
            <w:vAlign w:val="bottom"/>
          </w:tcPr>
          <w:p w14:paraId="21E6FD7E" w14:textId="77777777" w:rsidR="00204AF6" w:rsidRPr="00F36B82" w:rsidRDefault="00204AF6" w:rsidP="00204AF6">
            <w:pPr>
              <w:spacing w:line="228" w:lineRule="auto"/>
              <w:rPr>
                <w:sz w:val="18"/>
                <w:szCs w:val="18"/>
              </w:rPr>
            </w:pPr>
            <w:r w:rsidRPr="00F36B82">
              <w:rPr>
                <w:sz w:val="18"/>
                <w:szCs w:val="18"/>
              </w:rPr>
              <w:t>Bankalardan ve aracı kurumlardan olan kısa vadeli alacaklar ile kısa vadeli kurumsal alacaklar</w:t>
            </w:r>
          </w:p>
        </w:tc>
        <w:tc>
          <w:tcPr>
            <w:tcW w:w="708" w:type="pct"/>
            <w:tcBorders>
              <w:top w:val="nil"/>
              <w:left w:val="nil"/>
              <w:bottom w:val="nil"/>
              <w:right w:val="nil"/>
            </w:tcBorders>
          </w:tcPr>
          <w:p w14:paraId="359793D4" w14:textId="5D4D3542" w:rsidR="00204AF6" w:rsidRPr="00F36B82" w:rsidRDefault="00204AF6" w:rsidP="00204AF6">
            <w:pPr>
              <w:spacing w:line="228" w:lineRule="auto"/>
              <w:ind w:right="126"/>
              <w:jc w:val="right"/>
              <w:rPr>
                <w:color w:val="000000"/>
                <w:sz w:val="18"/>
                <w:szCs w:val="18"/>
              </w:rPr>
            </w:pPr>
            <w:r w:rsidRPr="00F36B82">
              <w:rPr>
                <w:sz w:val="18"/>
                <w:szCs w:val="18"/>
              </w:rPr>
              <w:t>-</w:t>
            </w:r>
          </w:p>
        </w:tc>
        <w:tc>
          <w:tcPr>
            <w:tcW w:w="720" w:type="pct"/>
          </w:tcPr>
          <w:p w14:paraId="130F09AE" w14:textId="22C300FE" w:rsidR="00204AF6" w:rsidRPr="00F36B82" w:rsidRDefault="00204AF6" w:rsidP="00204AF6">
            <w:pPr>
              <w:spacing w:line="228" w:lineRule="auto"/>
              <w:ind w:right="126"/>
              <w:jc w:val="right"/>
              <w:rPr>
                <w:color w:val="000000"/>
                <w:sz w:val="18"/>
                <w:szCs w:val="18"/>
              </w:rPr>
            </w:pPr>
            <w:r w:rsidRPr="00F36B82">
              <w:rPr>
                <w:sz w:val="18"/>
                <w:szCs w:val="18"/>
              </w:rPr>
              <w:t>-</w:t>
            </w:r>
          </w:p>
        </w:tc>
      </w:tr>
      <w:tr w:rsidR="00204AF6" w:rsidRPr="00F36B82" w14:paraId="0CCA947C" w14:textId="77777777" w:rsidTr="00344432">
        <w:trPr>
          <w:trHeight w:val="20"/>
        </w:trPr>
        <w:tc>
          <w:tcPr>
            <w:tcW w:w="3572" w:type="pct"/>
            <w:vAlign w:val="bottom"/>
          </w:tcPr>
          <w:p w14:paraId="015EED40" w14:textId="77777777" w:rsidR="00204AF6" w:rsidRPr="00F36B82" w:rsidRDefault="00204AF6" w:rsidP="00204AF6">
            <w:pPr>
              <w:spacing w:line="228" w:lineRule="auto"/>
              <w:ind w:left="323" w:hanging="323"/>
              <w:rPr>
                <w:sz w:val="18"/>
                <w:szCs w:val="18"/>
              </w:rPr>
            </w:pPr>
            <w:r w:rsidRPr="00F36B82">
              <w:rPr>
                <w:sz w:val="18"/>
                <w:szCs w:val="18"/>
              </w:rPr>
              <w:t>Kolektif yatırım kuruluşu niteliğindeki yatırımlar</w:t>
            </w:r>
          </w:p>
        </w:tc>
        <w:tc>
          <w:tcPr>
            <w:tcW w:w="708" w:type="pct"/>
            <w:tcBorders>
              <w:top w:val="nil"/>
              <w:left w:val="nil"/>
              <w:bottom w:val="nil"/>
              <w:right w:val="nil"/>
            </w:tcBorders>
          </w:tcPr>
          <w:p w14:paraId="31C06B38" w14:textId="4922DD5A" w:rsidR="00204AF6" w:rsidRPr="00F36B82" w:rsidRDefault="00204AF6" w:rsidP="00204AF6">
            <w:pPr>
              <w:spacing w:line="228" w:lineRule="auto"/>
              <w:ind w:right="126"/>
              <w:jc w:val="right"/>
              <w:rPr>
                <w:color w:val="000000"/>
                <w:sz w:val="18"/>
                <w:szCs w:val="18"/>
              </w:rPr>
            </w:pPr>
            <w:r w:rsidRPr="00F36B82">
              <w:rPr>
                <w:sz w:val="18"/>
                <w:szCs w:val="18"/>
              </w:rPr>
              <w:t>948</w:t>
            </w:r>
          </w:p>
        </w:tc>
        <w:tc>
          <w:tcPr>
            <w:tcW w:w="720" w:type="pct"/>
          </w:tcPr>
          <w:p w14:paraId="3DDE1B50" w14:textId="67E5691D" w:rsidR="00204AF6" w:rsidRPr="00F36B82" w:rsidRDefault="00204AF6" w:rsidP="00204AF6">
            <w:pPr>
              <w:spacing w:line="228" w:lineRule="auto"/>
              <w:ind w:right="126"/>
              <w:jc w:val="right"/>
              <w:rPr>
                <w:color w:val="000000"/>
                <w:sz w:val="18"/>
                <w:szCs w:val="18"/>
              </w:rPr>
            </w:pPr>
            <w:r w:rsidRPr="00F36B82">
              <w:rPr>
                <w:sz w:val="18"/>
                <w:szCs w:val="18"/>
              </w:rPr>
              <w:t>1.683.441</w:t>
            </w:r>
          </w:p>
        </w:tc>
      </w:tr>
      <w:tr w:rsidR="00204AF6" w:rsidRPr="00F36B82" w14:paraId="2F784019" w14:textId="77777777" w:rsidTr="00344432">
        <w:trPr>
          <w:trHeight w:val="20"/>
        </w:trPr>
        <w:tc>
          <w:tcPr>
            <w:tcW w:w="3572" w:type="pct"/>
            <w:vAlign w:val="bottom"/>
          </w:tcPr>
          <w:p w14:paraId="52AF0EB2" w14:textId="77777777" w:rsidR="00204AF6" w:rsidRPr="00F36B82" w:rsidRDefault="00204AF6" w:rsidP="00204AF6">
            <w:pPr>
              <w:spacing w:line="228" w:lineRule="auto"/>
              <w:ind w:left="323" w:hanging="323"/>
              <w:rPr>
                <w:sz w:val="18"/>
                <w:szCs w:val="18"/>
              </w:rPr>
            </w:pPr>
            <w:r w:rsidRPr="00F36B82">
              <w:rPr>
                <w:sz w:val="18"/>
                <w:szCs w:val="18"/>
              </w:rPr>
              <w:t>Diğer alacaklar</w:t>
            </w:r>
          </w:p>
        </w:tc>
        <w:tc>
          <w:tcPr>
            <w:tcW w:w="708" w:type="pct"/>
            <w:tcBorders>
              <w:top w:val="nil"/>
              <w:left w:val="nil"/>
              <w:bottom w:val="nil"/>
              <w:right w:val="nil"/>
            </w:tcBorders>
          </w:tcPr>
          <w:p w14:paraId="20D39E9A" w14:textId="4961AD68" w:rsidR="00204AF6" w:rsidRPr="00F36B82" w:rsidRDefault="00204AF6" w:rsidP="00204AF6">
            <w:pPr>
              <w:spacing w:line="228" w:lineRule="auto"/>
              <w:ind w:right="126"/>
              <w:jc w:val="right"/>
              <w:rPr>
                <w:color w:val="000000"/>
                <w:sz w:val="18"/>
                <w:szCs w:val="18"/>
              </w:rPr>
            </w:pPr>
            <w:r w:rsidRPr="00F36B82">
              <w:rPr>
                <w:sz w:val="18"/>
                <w:szCs w:val="18"/>
              </w:rPr>
              <w:t>991.124</w:t>
            </w:r>
          </w:p>
        </w:tc>
        <w:tc>
          <w:tcPr>
            <w:tcW w:w="720" w:type="pct"/>
          </w:tcPr>
          <w:p w14:paraId="71784EE9" w14:textId="783AA601" w:rsidR="00204AF6" w:rsidRPr="00F36B82" w:rsidRDefault="00204AF6" w:rsidP="00204AF6">
            <w:pPr>
              <w:spacing w:line="228" w:lineRule="auto"/>
              <w:ind w:right="126"/>
              <w:jc w:val="right"/>
              <w:rPr>
                <w:color w:val="000000"/>
                <w:sz w:val="18"/>
                <w:szCs w:val="18"/>
              </w:rPr>
            </w:pPr>
            <w:r w:rsidRPr="00F36B82">
              <w:rPr>
                <w:sz w:val="18"/>
                <w:szCs w:val="18"/>
              </w:rPr>
              <w:t>580.120</w:t>
            </w:r>
          </w:p>
        </w:tc>
      </w:tr>
      <w:tr w:rsidR="00204AF6" w:rsidRPr="00F36B82" w14:paraId="643C755E" w14:textId="77777777" w:rsidTr="00344432">
        <w:trPr>
          <w:trHeight w:val="20"/>
        </w:trPr>
        <w:tc>
          <w:tcPr>
            <w:tcW w:w="3572" w:type="pct"/>
            <w:vAlign w:val="bottom"/>
          </w:tcPr>
          <w:p w14:paraId="333FD7E0" w14:textId="77777777" w:rsidR="00204AF6" w:rsidRPr="00F36B82" w:rsidRDefault="00204AF6" w:rsidP="00204AF6">
            <w:pPr>
              <w:spacing w:line="228" w:lineRule="auto"/>
              <w:ind w:left="323" w:hanging="323"/>
              <w:rPr>
                <w:sz w:val="18"/>
                <w:szCs w:val="18"/>
              </w:rPr>
            </w:pPr>
            <w:r w:rsidRPr="00F36B82">
              <w:rPr>
                <w:sz w:val="18"/>
                <w:szCs w:val="18"/>
              </w:rPr>
              <w:t>Hisse senedi yatırımları</w:t>
            </w:r>
          </w:p>
        </w:tc>
        <w:tc>
          <w:tcPr>
            <w:tcW w:w="708" w:type="pct"/>
            <w:tcBorders>
              <w:top w:val="nil"/>
              <w:left w:val="nil"/>
              <w:bottom w:val="nil"/>
              <w:right w:val="nil"/>
            </w:tcBorders>
          </w:tcPr>
          <w:p w14:paraId="33496938" w14:textId="6BB25841" w:rsidR="00204AF6" w:rsidRPr="00F36B82" w:rsidRDefault="00204AF6" w:rsidP="00204AF6">
            <w:pPr>
              <w:spacing w:line="228" w:lineRule="auto"/>
              <w:ind w:right="126"/>
              <w:jc w:val="right"/>
              <w:rPr>
                <w:color w:val="000000"/>
                <w:sz w:val="18"/>
                <w:szCs w:val="18"/>
              </w:rPr>
            </w:pPr>
            <w:r w:rsidRPr="00F36B82">
              <w:rPr>
                <w:sz w:val="18"/>
                <w:szCs w:val="18"/>
              </w:rPr>
              <w:t>1.265</w:t>
            </w:r>
          </w:p>
        </w:tc>
        <w:tc>
          <w:tcPr>
            <w:tcW w:w="720" w:type="pct"/>
          </w:tcPr>
          <w:p w14:paraId="22564FB4" w14:textId="303795D1" w:rsidR="00204AF6" w:rsidRPr="00F36B82" w:rsidRDefault="00204AF6" w:rsidP="00204AF6">
            <w:pPr>
              <w:spacing w:line="228" w:lineRule="auto"/>
              <w:ind w:right="126"/>
              <w:jc w:val="right"/>
              <w:rPr>
                <w:color w:val="000000"/>
                <w:sz w:val="18"/>
                <w:szCs w:val="18"/>
              </w:rPr>
            </w:pPr>
            <w:r w:rsidRPr="00F36B82">
              <w:rPr>
                <w:sz w:val="18"/>
                <w:szCs w:val="18"/>
              </w:rPr>
              <w:t>1.057</w:t>
            </w:r>
          </w:p>
        </w:tc>
      </w:tr>
      <w:tr w:rsidR="009B1956" w:rsidRPr="00F36B82" w14:paraId="4265BC94" w14:textId="77777777" w:rsidTr="00A062C2">
        <w:trPr>
          <w:trHeight w:val="20"/>
        </w:trPr>
        <w:tc>
          <w:tcPr>
            <w:tcW w:w="3572" w:type="pct"/>
            <w:tcBorders>
              <w:bottom w:val="single" w:sz="4" w:space="0" w:color="auto"/>
            </w:tcBorders>
            <w:vAlign w:val="bottom"/>
          </w:tcPr>
          <w:p w14:paraId="66EC2DD9" w14:textId="77777777" w:rsidR="009B1956" w:rsidRPr="00F36B82" w:rsidRDefault="009B1956" w:rsidP="009B1956">
            <w:pPr>
              <w:spacing w:line="228" w:lineRule="auto"/>
              <w:ind w:left="323" w:hanging="323"/>
              <w:rPr>
                <w:sz w:val="18"/>
                <w:szCs w:val="18"/>
              </w:rPr>
            </w:pPr>
          </w:p>
        </w:tc>
        <w:tc>
          <w:tcPr>
            <w:tcW w:w="708" w:type="pct"/>
            <w:tcBorders>
              <w:top w:val="nil"/>
              <w:left w:val="nil"/>
              <w:bottom w:val="single" w:sz="4" w:space="0" w:color="auto"/>
              <w:right w:val="nil"/>
            </w:tcBorders>
          </w:tcPr>
          <w:p w14:paraId="0DA7BC05" w14:textId="4BE105FC" w:rsidR="009B1956" w:rsidRPr="00F36B82" w:rsidRDefault="009B1956" w:rsidP="009B1956">
            <w:pPr>
              <w:spacing w:line="228" w:lineRule="auto"/>
              <w:ind w:right="126"/>
              <w:jc w:val="right"/>
              <w:rPr>
                <w:sz w:val="18"/>
                <w:szCs w:val="18"/>
              </w:rPr>
            </w:pPr>
          </w:p>
        </w:tc>
        <w:tc>
          <w:tcPr>
            <w:tcW w:w="720" w:type="pct"/>
            <w:tcBorders>
              <w:bottom w:val="single" w:sz="4" w:space="0" w:color="auto"/>
            </w:tcBorders>
          </w:tcPr>
          <w:p w14:paraId="76E4CBA7" w14:textId="568F2090" w:rsidR="009B1956" w:rsidRPr="00F36B82" w:rsidRDefault="009B1956" w:rsidP="009B1956">
            <w:pPr>
              <w:spacing w:line="228" w:lineRule="auto"/>
              <w:ind w:right="126"/>
              <w:jc w:val="right"/>
              <w:rPr>
                <w:sz w:val="18"/>
                <w:szCs w:val="18"/>
              </w:rPr>
            </w:pPr>
          </w:p>
        </w:tc>
      </w:tr>
      <w:tr w:rsidR="00204AF6" w:rsidRPr="00F36B82" w14:paraId="694257D7" w14:textId="77777777" w:rsidTr="00A062C2">
        <w:trPr>
          <w:trHeight w:val="20"/>
        </w:trPr>
        <w:tc>
          <w:tcPr>
            <w:tcW w:w="3572" w:type="pct"/>
            <w:tcBorders>
              <w:top w:val="single" w:sz="4" w:space="0" w:color="auto"/>
              <w:bottom w:val="single" w:sz="8" w:space="0" w:color="auto"/>
            </w:tcBorders>
            <w:vAlign w:val="bottom"/>
          </w:tcPr>
          <w:p w14:paraId="7E6F9433" w14:textId="77777777" w:rsidR="00204AF6" w:rsidRPr="00F36B82" w:rsidRDefault="00204AF6" w:rsidP="00204AF6">
            <w:pPr>
              <w:spacing w:line="228" w:lineRule="auto"/>
              <w:ind w:left="323" w:hanging="323"/>
              <w:rPr>
                <w:b/>
                <w:sz w:val="18"/>
                <w:szCs w:val="18"/>
              </w:rPr>
            </w:pPr>
            <w:r w:rsidRPr="00F36B82">
              <w:rPr>
                <w:b/>
                <w:sz w:val="18"/>
                <w:szCs w:val="18"/>
              </w:rPr>
              <w:t>Toplam</w:t>
            </w:r>
          </w:p>
        </w:tc>
        <w:tc>
          <w:tcPr>
            <w:tcW w:w="708" w:type="pct"/>
            <w:tcBorders>
              <w:top w:val="single" w:sz="4" w:space="0" w:color="auto"/>
              <w:left w:val="nil"/>
              <w:bottom w:val="single" w:sz="8" w:space="0" w:color="auto"/>
              <w:right w:val="nil"/>
            </w:tcBorders>
          </w:tcPr>
          <w:p w14:paraId="19956ECD" w14:textId="5C53C145" w:rsidR="00204AF6" w:rsidRPr="00F36B82" w:rsidRDefault="00204AF6" w:rsidP="00204AF6">
            <w:pPr>
              <w:spacing w:line="228" w:lineRule="auto"/>
              <w:ind w:right="126"/>
              <w:jc w:val="right"/>
              <w:rPr>
                <w:b/>
                <w:bCs/>
                <w:color w:val="000000"/>
                <w:sz w:val="18"/>
                <w:szCs w:val="18"/>
              </w:rPr>
            </w:pPr>
            <w:r w:rsidRPr="00F36B82">
              <w:rPr>
                <w:b/>
                <w:bCs/>
                <w:sz w:val="18"/>
                <w:szCs w:val="18"/>
              </w:rPr>
              <w:t>25.206.718</w:t>
            </w:r>
          </w:p>
        </w:tc>
        <w:tc>
          <w:tcPr>
            <w:tcW w:w="720" w:type="pct"/>
            <w:tcBorders>
              <w:top w:val="single" w:sz="4" w:space="0" w:color="auto"/>
              <w:left w:val="nil"/>
              <w:bottom w:val="single" w:sz="8" w:space="0" w:color="auto"/>
              <w:right w:val="nil"/>
            </w:tcBorders>
          </w:tcPr>
          <w:p w14:paraId="14C87522" w14:textId="39B02447" w:rsidR="00204AF6" w:rsidRPr="00F36B82" w:rsidRDefault="00204AF6" w:rsidP="00204AF6">
            <w:pPr>
              <w:spacing w:line="228" w:lineRule="auto"/>
              <w:ind w:right="126"/>
              <w:jc w:val="right"/>
              <w:rPr>
                <w:b/>
                <w:bCs/>
                <w:color w:val="000000"/>
                <w:sz w:val="18"/>
                <w:szCs w:val="18"/>
              </w:rPr>
            </w:pPr>
            <w:r w:rsidRPr="00F36B82">
              <w:rPr>
                <w:b/>
                <w:bCs/>
                <w:sz w:val="18"/>
                <w:szCs w:val="18"/>
              </w:rPr>
              <w:t>10.864.650</w:t>
            </w:r>
          </w:p>
        </w:tc>
      </w:tr>
    </w:tbl>
    <w:p w14:paraId="06424B2B" w14:textId="14F310E4" w:rsidR="00F91828" w:rsidRPr="00471CBA" w:rsidRDefault="00F91828" w:rsidP="00F36B82">
      <w:pPr>
        <w:autoSpaceDE w:val="0"/>
        <w:autoSpaceDN w:val="0"/>
        <w:adjustRightInd w:val="0"/>
        <w:spacing w:before="120" w:after="120"/>
        <w:ind w:left="851" w:hanging="851"/>
        <w:jc w:val="both"/>
        <w:rPr>
          <w:szCs w:val="20"/>
        </w:rPr>
      </w:pPr>
      <w:r w:rsidRPr="00471CBA">
        <w:rPr>
          <w:b/>
          <w:szCs w:val="20"/>
        </w:rPr>
        <w:t>(2)</w:t>
      </w:r>
      <w:bookmarkEnd w:id="45"/>
      <w:r w:rsidRPr="00471CBA">
        <w:rPr>
          <w:szCs w:val="20"/>
        </w:rPr>
        <w:tab/>
        <w:t>Vadeli işlem sözleşmesi ve benzeri diğer sözleşmeler için üstlenilen kredi riski piyasa hareketlerinden kaynaklanan riskler ile beraber yönetilmektedir.</w:t>
      </w:r>
    </w:p>
    <w:p w14:paraId="384A5A0F" w14:textId="47F43F95" w:rsidR="00A062C2" w:rsidRPr="00471CBA" w:rsidRDefault="00F91828" w:rsidP="00F36B82">
      <w:pPr>
        <w:autoSpaceDE w:val="0"/>
        <w:autoSpaceDN w:val="0"/>
        <w:adjustRightInd w:val="0"/>
        <w:spacing w:before="120" w:after="120"/>
        <w:ind w:left="851" w:hanging="851"/>
        <w:jc w:val="both"/>
        <w:rPr>
          <w:szCs w:val="20"/>
        </w:rPr>
      </w:pPr>
      <w:r w:rsidRPr="00471CBA">
        <w:rPr>
          <w:b/>
          <w:szCs w:val="20"/>
        </w:rPr>
        <w:t>(3)</w:t>
      </w:r>
      <w:r w:rsidRPr="00471CBA">
        <w:rPr>
          <w:szCs w:val="20"/>
        </w:rPr>
        <w:t xml:space="preserve">  </w:t>
      </w:r>
      <w:r w:rsidR="00F36B82">
        <w:rPr>
          <w:szCs w:val="20"/>
        </w:rPr>
        <w:tab/>
      </w:r>
      <w:r w:rsidRPr="00471CBA">
        <w:rPr>
          <w:szCs w:val="20"/>
        </w:rPr>
        <w:t xml:space="preserve"> Vadeli işlem ve benzer nitelikli sözleşmelerin riskleri düzenli olarak takip edilmekte ve kredi riskine göre gerekli görüldüğünde risklerin azaltılması yoluna gidilmektedir.</w:t>
      </w:r>
    </w:p>
    <w:p w14:paraId="33308D0B" w14:textId="77777777" w:rsidR="00A062C2" w:rsidRPr="00471CBA" w:rsidRDefault="00A062C2" w:rsidP="00F36B82">
      <w:pPr>
        <w:ind w:left="851" w:hanging="851"/>
        <w:rPr>
          <w:szCs w:val="20"/>
        </w:rPr>
      </w:pPr>
      <w:r w:rsidRPr="00471CBA">
        <w:rPr>
          <w:szCs w:val="20"/>
        </w:rPr>
        <w:br w:type="page"/>
      </w:r>
    </w:p>
    <w:p w14:paraId="24CE56E5" w14:textId="77777777" w:rsidR="00A062C2" w:rsidRPr="00471CBA" w:rsidRDefault="00A062C2" w:rsidP="00A062C2">
      <w:pPr>
        <w:rPr>
          <w:b/>
          <w:szCs w:val="20"/>
        </w:rPr>
      </w:pPr>
      <w:r w:rsidRPr="00471CBA">
        <w:rPr>
          <w:b/>
          <w:szCs w:val="20"/>
        </w:rPr>
        <w:lastRenderedPageBreak/>
        <w:t>MALİ BÜNYEYE VE RİSK YÖNETİMİNE İLİŞKİN BİLGİLER (Devamı)</w:t>
      </w:r>
    </w:p>
    <w:p w14:paraId="1AE85E8B" w14:textId="77777777" w:rsidR="00A062C2" w:rsidRPr="00471CBA" w:rsidRDefault="00A062C2" w:rsidP="00A062C2">
      <w:pPr>
        <w:autoSpaceDE w:val="0"/>
        <w:autoSpaceDN w:val="0"/>
        <w:adjustRightInd w:val="0"/>
        <w:spacing w:before="120" w:after="120"/>
        <w:jc w:val="both"/>
        <w:rPr>
          <w:b/>
          <w:szCs w:val="20"/>
        </w:rPr>
      </w:pPr>
      <w:r w:rsidRPr="00471CBA">
        <w:rPr>
          <w:b/>
          <w:szCs w:val="20"/>
        </w:rPr>
        <w:t>II.</w:t>
      </w:r>
      <w:r w:rsidRPr="00471CBA">
        <w:rPr>
          <w:b/>
          <w:szCs w:val="20"/>
        </w:rPr>
        <w:tab/>
        <w:t>KREDİ RİSKİNE İLİŞKİN AÇIKLAMALAR (Devamı)</w:t>
      </w:r>
    </w:p>
    <w:p w14:paraId="176DB616" w14:textId="52DB5285" w:rsidR="00F91828" w:rsidRPr="00471CBA" w:rsidRDefault="00F91828" w:rsidP="00F36B82">
      <w:pPr>
        <w:autoSpaceDE w:val="0"/>
        <w:autoSpaceDN w:val="0"/>
        <w:adjustRightInd w:val="0"/>
        <w:spacing w:before="120" w:after="120"/>
        <w:ind w:left="851" w:hanging="851"/>
        <w:jc w:val="both"/>
        <w:rPr>
          <w:szCs w:val="20"/>
        </w:rPr>
      </w:pPr>
      <w:r w:rsidRPr="00471CBA">
        <w:rPr>
          <w:b/>
          <w:szCs w:val="20"/>
        </w:rPr>
        <w:t>(4)</w:t>
      </w:r>
      <w:r w:rsidRPr="00471CBA">
        <w:rPr>
          <w:szCs w:val="20"/>
        </w:rPr>
        <w:tab/>
        <w:t xml:space="preserve">Tazmin edilen gayri nakdi krediler, vadesi geldiği halde ödenmeyen krediler gibi aynı risk ağırlığına tabi tutulmaktadır. Yenilenen ve yeniden itfa planına bağlanan krediler Banka tarafından Banka’nın kredi risk yönetimi ve takibi ilkelerine göre izlemeye alınmaktadır. İlgili müşterinin finansal durumu ve ticari faaliyetleri sürekli analiz edilmekte ve yenilenen plana göre anapara ve </w:t>
      </w:r>
      <w:r w:rsidR="00F7261A" w:rsidRPr="00471CBA">
        <w:rPr>
          <w:szCs w:val="20"/>
        </w:rPr>
        <w:t>kâr</w:t>
      </w:r>
      <w:r w:rsidRPr="00471CBA">
        <w:rPr>
          <w:szCs w:val="20"/>
        </w:rPr>
        <w:t xml:space="preserve"> payı ödemelerinin yapılıp yapılmadığı ilgili birimler tarafından takip edilmektedir. </w:t>
      </w:r>
    </w:p>
    <w:p w14:paraId="66EF2C27" w14:textId="77777777" w:rsidR="00F91828" w:rsidRPr="00471CBA" w:rsidRDefault="00F91828" w:rsidP="00F36B82">
      <w:pPr>
        <w:autoSpaceDE w:val="0"/>
        <w:autoSpaceDN w:val="0"/>
        <w:adjustRightInd w:val="0"/>
        <w:spacing w:before="120" w:after="120"/>
        <w:ind w:left="851"/>
        <w:jc w:val="both"/>
        <w:rPr>
          <w:szCs w:val="20"/>
        </w:rPr>
      </w:pPr>
      <w:r w:rsidRPr="00471CBA">
        <w:rPr>
          <w:szCs w:val="20"/>
        </w:rPr>
        <w:t>Banka’nın risk yönetim anlayışı çerçevesinde uzun vadeli risklerin kısa vadeli risklere oranla daha fazla kredi riskine maruz kaldığı kabul edilmekte ve uzun vadeli riskler için risk limiti belirleme, teminatlandırma gibi hususlar kısa vadeli risklere oranla daha geniş kapsamlı olarak ele alınmaktadır.</w:t>
      </w:r>
    </w:p>
    <w:p w14:paraId="007DBCEC" w14:textId="77777777" w:rsidR="00F91828" w:rsidRPr="00471CBA" w:rsidRDefault="00F91828" w:rsidP="00F36B82">
      <w:pPr>
        <w:autoSpaceDE w:val="0"/>
        <w:autoSpaceDN w:val="0"/>
        <w:adjustRightInd w:val="0"/>
        <w:spacing w:before="120" w:after="120"/>
        <w:ind w:left="851" w:hanging="851"/>
        <w:jc w:val="both"/>
        <w:rPr>
          <w:szCs w:val="20"/>
        </w:rPr>
      </w:pPr>
      <w:r w:rsidRPr="00471CBA">
        <w:rPr>
          <w:b/>
          <w:szCs w:val="20"/>
        </w:rPr>
        <w:t>(5)</w:t>
      </w:r>
      <w:r w:rsidRPr="00471CBA">
        <w:rPr>
          <w:szCs w:val="20"/>
        </w:rPr>
        <w:tab/>
        <w:t>Banka’nın çeşitli yabancı ülkelerde bankacılık faaliyeti kapsamında limiti mevcut olup, bu limitlerin tahsisi ve revizyonu aşamasında gerekli araştırmalar (ekonomik, konjonktürel vb.) yapılmaktadır.</w:t>
      </w:r>
    </w:p>
    <w:p w14:paraId="72C55AA9" w14:textId="77777777" w:rsidR="00F91828" w:rsidRPr="00471CBA" w:rsidRDefault="00F91828" w:rsidP="00F36B82">
      <w:pPr>
        <w:autoSpaceDE w:val="0"/>
        <w:autoSpaceDN w:val="0"/>
        <w:adjustRightInd w:val="0"/>
        <w:spacing w:before="120" w:after="120"/>
        <w:ind w:left="851"/>
        <w:jc w:val="both"/>
        <w:rPr>
          <w:szCs w:val="20"/>
        </w:rPr>
      </w:pPr>
      <w:r w:rsidRPr="00471CBA">
        <w:rPr>
          <w:szCs w:val="20"/>
        </w:rPr>
        <w:t>Muhabirlik faaliyetleri ve uluslararası emtia işlemleri için çalışılacak bankalara ise ilgili kredi komitelerince limit tahsis edilmekte olup, bu limitler Banka’nın ölçeği ve muhatap banka ölçeği dikkate alınarak tahsis edilmekte ve risk yoğunlaşmasından kaçınılmaktadır. Bu açıdan ciddi bir risk taşınmamaktadır.</w:t>
      </w:r>
    </w:p>
    <w:p w14:paraId="1833F6B1" w14:textId="2A85202B" w:rsidR="00F91828" w:rsidRPr="00471CBA" w:rsidRDefault="00F91828" w:rsidP="00F36B82">
      <w:pPr>
        <w:autoSpaceDE w:val="0"/>
        <w:autoSpaceDN w:val="0"/>
        <w:adjustRightInd w:val="0"/>
        <w:spacing w:after="120"/>
        <w:ind w:left="851" w:hanging="851"/>
        <w:jc w:val="both"/>
        <w:rPr>
          <w:szCs w:val="20"/>
        </w:rPr>
      </w:pPr>
      <w:r w:rsidRPr="00471CBA">
        <w:rPr>
          <w:b/>
          <w:szCs w:val="20"/>
        </w:rPr>
        <w:t>(6)</w:t>
      </w:r>
      <w:r w:rsidRPr="00471CBA">
        <w:rPr>
          <w:szCs w:val="20"/>
        </w:rPr>
        <w:tab/>
        <w:t>Banka’nın ilk büyük 100 ve 200 nakdi kredi müşterisinden olan nakdi alacağının toplam nakdi krediler portföyü içindeki payı sırasıyla %</w:t>
      </w:r>
      <w:r w:rsidR="00BD52EC" w:rsidRPr="00471CBA">
        <w:rPr>
          <w:szCs w:val="20"/>
        </w:rPr>
        <w:t>69</w:t>
      </w:r>
      <w:r w:rsidRPr="00471CBA">
        <w:rPr>
          <w:szCs w:val="20"/>
        </w:rPr>
        <w:t xml:space="preserve"> ve %</w:t>
      </w:r>
      <w:r w:rsidR="00BD52EC" w:rsidRPr="00471CBA">
        <w:rPr>
          <w:szCs w:val="20"/>
        </w:rPr>
        <w:t>81</w:t>
      </w:r>
      <w:r w:rsidRPr="00471CBA">
        <w:rPr>
          <w:szCs w:val="20"/>
        </w:rPr>
        <w:t xml:space="preserve">’dir. </w:t>
      </w:r>
    </w:p>
    <w:p w14:paraId="1C8B9588" w14:textId="6E469A8E" w:rsidR="00F91828" w:rsidRPr="00471CBA" w:rsidRDefault="00F91828" w:rsidP="00F36B82">
      <w:pPr>
        <w:autoSpaceDE w:val="0"/>
        <w:autoSpaceDN w:val="0"/>
        <w:adjustRightInd w:val="0"/>
        <w:spacing w:after="120"/>
        <w:ind w:left="851"/>
        <w:jc w:val="both"/>
        <w:rPr>
          <w:szCs w:val="20"/>
        </w:rPr>
      </w:pPr>
      <w:r w:rsidRPr="00471CBA">
        <w:rPr>
          <w:szCs w:val="20"/>
        </w:rPr>
        <w:t xml:space="preserve">Banka’nın ilk büyük 100 ve 200 </w:t>
      </w:r>
      <w:proofErr w:type="spellStart"/>
      <w:r w:rsidRPr="00471CBA">
        <w:rPr>
          <w:szCs w:val="20"/>
        </w:rPr>
        <w:t>gayrinakdi</w:t>
      </w:r>
      <w:proofErr w:type="spellEnd"/>
      <w:r w:rsidRPr="00471CBA">
        <w:rPr>
          <w:szCs w:val="20"/>
        </w:rPr>
        <w:t xml:space="preserve"> kredi müşterisinden olan </w:t>
      </w:r>
      <w:proofErr w:type="spellStart"/>
      <w:r w:rsidRPr="00471CBA">
        <w:rPr>
          <w:szCs w:val="20"/>
        </w:rPr>
        <w:t>gayrinakdi</w:t>
      </w:r>
      <w:proofErr w:type="spellEnd"/>
      <w:r w:rsidRPr="00471CBA">
        <w:rPr>
          <w:szCs w:val="20"/>
        </w:rPr>
        <w:t xml:space="preserve"> alacağının toplam </w:t>
      </w:r>
      <w:proofErr w:type="spellStart"/>
      <w:r w:rsidRPr="00471CBA">
        <w:rPr>
          <w:szCs w:val="20"/>
        </w:rPr>
        <w:t>gayrinakdi</w:t>
      </w:r>
      <w:proofErr w:type="spellEnd"/>
      <w:r w:rsidRPr="00471CBA">
        <w:rPr>
          <w:szCs w:val="20"/>
        </w:rPr>
        <w:t xml:space="preserve"> krediler portföyü içindeki payı sırasıyla %</w:t>
      </w:r>
      <w:r w:rsidR="00BD52EC" w:rsidRPr="00471CBA">
        <w:rPr>
          <w:szCs w:val="20"/>
        </w:rPr>
        <w:t>75,2</w:t>
      </w:r>
      <w:r w:rsidRPr="00471CBA">
        <w:rPr>
          <w:szCs w:val="20"/>
        </w:rPr>
        <w:t xml:space="preserve"> ve %</w:t>
      </w:r>
      <w:r w:rsidR="00BD52EC" w:rsidRPr="00471CBA">
        <w:rPr>
          <w:szCs w:val="20"/>
        </w:rPr>
        <w:t>91</w:t>
      </w:r>
      <w:r w:rsidRPr="00471CBA">
        <w:rPr>
          <w:szCs w:val="20"/>
        </w:rPr>
        <w:t>’dir.</w:t>
      </w:r>
    </w:p>
    <w:p w14:paraId="31F442D9" w14:textId="1A98B12D" w:rsidR="00F91828" w:rsidRPr="00471CBA" w:rsidRDefault="00F91828" w:rsidP="00F36B82">
      <w:pPr>
        <w:autoSpaceDE w:val="0"/>
        <w:autoSpaceDN w:val="0"/>
        <w:adjustRightInd w:val="0"/>
        <w:spacing w:after="120"/>
        <w:ind w:left="851"/>
        <w:jc w:val="both"/>
        <w:rPr>
          <w:szCs w:val="20"/>
        </w:rPr>
      </w:pPr>
      <w:r w:rsidRPr="00471CBA">
        <w:rPr>
          <w:szCs w:val="20"/>
        </w:rPr>
        <w:t xml:space="preserve">Banka’nın ilk büyük 100 ve 200 kredi müşterisinden olan nakdi ve </w:t>
      </w:r>
      <w:proofErr w:type="spellStart"/>
      <w:r w:rsidRPr="00471CBA">
        <w:rPr>
          <w:szCs w:val="20"/>
        </w:rPr>
        <w:t>gayrinakdi</w:t>
      </w:r>
      <w:proofErr w:type="spellEnd"/>
      <w:r w:rsidRPr="00471CBA">
        <w:rPr>
          <w:szCs w:val="20"/>
        </w:rPr>
        <w:t xml:space="preserve"> alacak tutarının toplam bilanço içi ve </w:t>
      </w:r>
      <w:proofErr w:type="spellStart"/>
      <w:r w:rsidRPr="00471CBA">
        <w:rPr>
          <w:szCs w:val="20"/>
        </w:rPr>
        <w:t>gayrinakdi</w:t>
      </w:r>
      <w:proofErr w:type="spellEnd"/>
      <w:r w:rsidRPr="00471CBA">
        <w:rPr>
          <w:szCs w:val="20"/>
        </w:rPr>
        <w:t xml:space="preserve"> krediler toplamı içindeki payı %</w:t>
      </w:r>
      <w:r w:rsidR="00BD52EC" w:rsidRPr="00471CBA">
        <w:rPr>
          <w:szCs w:val="20"/>
        </w:rPr>
        <w:t>75</w:t>
      </w:r>
      <w:r w:rsidRPr="00471CBA">
        <w:rPr>
          <w:szCs w:val="20"/>
        </w:rPr>
        <w:t xml:space="preserve"> ve %</w:t>
      </w:r>
      <w:r w:rsidR="00BD52EC" w:rsidRPr="00471CBA">
        <w:rPr>
          <w:szCs w:val="20"/>
        </w:rPr>
        <w:t>89</w:t>
      </w:r>
      <w:r w:rsidRPr="00471CBA">
        <w:rPr>
          <w:szCs w:val="20"/>
        </w:rPr>
        <w:t>’dir.</w:t>
      </w:r>
    </w:p>
    <w:p w14:paraId="570C58CA" w14:textId="611F3D24" w:rsidR="00F91828" w:rsidRPr="00471CBA" w:rsidRDefault="00F91828" w:rsidP="00F36B82">
      <w:pPr>
        <w:autoSpaceDE w:val="0"/>
        <w:autoSpaceDN w:val="0"/>
        <w:adjustRightInd w:val="0"/>
        <w:ind w:left="851" w:hanging="851"/>
        <w:jc w:val="both"/>
        <w:rPr>
          <w:szCs w:val="20"/>
        </w:rPr>
      </w:pPr>
      <w:r w:rsidRPr="00471CBA">
        <w:rPr>
          <w:b/>
          <w:szCs w:val="20"/>
        </w:rPr>
        <w:t>(7)</w:t>
      </w:r>
      <w:r w:rsidRPr="00471CBA">
        <w:rPr>
          <w:szCs w:val="20"/>
        </w:rPr>
        <w:tab/>
      </w:r>
      <w:r w:rsidR="00FA0155" w:rsidRPr="00471CBA">
        <w:rPr>
          <w:szCs w:val="20"/>
        </w:rPr>
        <w:t>Bankaca üstlenilen kredi riski için ayrılan gayri nakdi krediler için ayrılanlar hariç beklenen zarar karşılıkları (Aşama 1 ve 2) tutarı 151.433 TL’dir.</w:t>
      </w:r>
    </w:p>
    <w:p w14:paraId="6E3E9696" w14:textId="77777777" w:rsidR="00FA0155" w:rsidRPr="00471CBA" w:rsidRDefault="00FA0155" w:rsidP="00F91828">
      <w:pPr>
        <w:autoSpaceDE w:val="0"/>
        <w:autoSpaceDN w:val="0"/>
        <w:adjustRightInd w:val="0"/>
        <w:jc w:val="both"/>
        <w:rPr>
          <w:szCs w:val="20"/>
        </w:rPr>
      </w:pPr>
    </w:p>
    <w:p w14:paraId="68A6E658" w14:textId="77777777" w:rsidR="00FA0155" w:rsidRPr="00471CBA" w:rsidRDefault="00FA0155" w:rsidP="00F91828">
      <w:pPr>
        <w:autoSpaceDE w:val="0"/>
        <w:autoSpaceDN w:val="0"/>
        <w:adjustRightInd w:val="0"/>
        <w:jc w:val="both"/>
        <w:rPr>
          <w:szCs w:val="20"/>
        </w:rPr>
      </w:pPr>
    </w:p>
    <w:p w14:paraId="02B53A67" w14:textId="589E0780" w:rsidR="00FA0155" w:rsidRPr="00471CBA" w:rsidRDefault="00FA0155" w:rsidP="00F91828">
      <w:pPr>
        <w:autoSpaceDE w:val="0"/>
        <w:autoSpaceDN w:val="0"/>
        <w:adjustRightInd w:val="0"/>
        <w:jc w:val="both"/>
        <w:rPr>
          <w:szCs w:val="20"/>
        </w:rPr>
        <w:sectPr w:rsidR="00FA0155" w:rsidRPr="00471CBA" w:rsidSect="0004729F">
          <w:headerReference w:type="even" r:id="rId63"/>
          <w:headerReference w:type="default" r:id="rId64"/>
          <w:footerReference w:type="even" r:id="rId65"/>
          <w:footerReference w:type="default" r:id="rId66"/>
          <w:headerReference w:type="first" r:id="rId67"/>
          <w:pgSz w:w="11907" w:h="16840" w:code="9"/>
          <w:pgMar w:top="1134" w:right="1134" w:bottom="1134" w:left="1134" w:header="851" w:footer="851" w:gutter="0"/>
          <w:cols w:space="708"/>
          <w:titlePg/>
          <w:docGrid w:linePitch="360"/>
        </w:sectPr>
      </w:pPr>
      <w:r w:rsidRPr="00471CBA">
        <w:rPr>
          <w:szCs w:val="20"/>
        </w:rPr>
        <w:t xml:space="preserve"> </w:t>
      </w:r>
    </w:p>
    <w:p w14:paraId="17423499" w14:textId="77777777" w:rsidR="0074045F" w:rsidRPr="00A51194" w:rsidRDefault="0074045F" w:rsidP="0074045F">
      <w:pPr>
        <w:rPr>
          <w:b/>
          <w:szCs w:val="20"/>
        </w:rPr>
      </w:pPr>
      <w:r w:rsidRPr="00A51194">
        <w:rPr>
          <w:b/>
          <w:szCs w:val="20"/>
        </w:rPr>
        <w:lastRenderedPageBreak/>
        <w:t>MALİ BÜNYEYE VE RİSK YÖNETİMİNE İLİŞKİN BİLGİLER (Devamı)</w:t>
      </w:r>
    </w:p>
    <w:p w14:paraId="7D8E4467" w14:textId="77777777" w:rsidR="00F91828" w:rsidRPr="00471CBA" w:rsidRDefault="00F91828" w:rsidP="00F91828">
      <w:pPr>
        <w:autoSpaceDE w:val="0"/>
        <w:autoSpaceDN w:val="0"/>
        <w:adjustRightInd w:val="0"/>
        <w:spacing w:before="120" w:after="120"/>
        <w:jc w:val="both"/>
        <w:rPr>
          <w:b/>
          <w:szCs w:val="20"/>
        </w:rPr>
      </w:pPr>
      <w:r w:rsidRPr="00471CBA">
        <w:rPr>
          <w:b/>
          <w:szCs w:val="20"/>
        </w:rPr>
        <w:t>II.</w:t>
      </w:r>
      <w:r w:rsidRPr="00471CBA">
        <w:rPr>
          <w:b/>
          <w:szCs w:val="20"/>
        </w:rPr>
        <w:tab/>
        <w:t>KREDİ RİSKİNE İLİŞKİN AÇIKLAMALAR (Devamı)</w:t>
      </w:r>
    </w:p>
    <w:p w14:paraId="55E30C18" w14:textId="77777777" w:rsidR="00F91828" w:rsidRPr="00471CBA" w:rsidRDefault="00F91828" w:rsidP="00F91828">
      <w:pPr>
        <w:autoSpaceDE w:val="0"/>
        <w:autoSpaceDN w:val="0"/>
        <w:adjustRightInd w:val="0"/>
        <w:spacing w:before="120" w:after="120"/>
        <w:jc w:val="both"/>
        <w:rPr>
          <w:szCs w:val="20"/>
        </w:rPr>
      </w:pPr>
      <w:r w:rsidRPr="00471CBA">
        <w:rPr>
          <w:b/>
          <w:szCs w:val="20"/>
        </w:rPr>
        <w:t>(8)</w:t>
      </w:r>
      <w:r w:rsidRPr="00471CBA">
        <w:rPr>
          <w:szCs w:val="20"/>
        </w:rPr>
        <w:tab/>
      </w:r>
      <w:r w:rsidRPr="00471CBA">
        <w:rPr>
          <w:b/>
          <w:szCs w:val="20"/>
        </w:rPr>
        <w:t>Önemli Bölgelerdeki Önemlilik Arz eden Risklere İlişkin Profil:</w:t>
      </w:r>
    </w:p>
    <w:tbl>
      <w:tblPr>
        <w:tblW w:w="14572" w:type="dxa"/>
        <w:tblCellMar>
          <w:left w:w="70" w:type="dxa"/>
          <w:right w:w="70" w:type="dxa"/>
        </w:tblCellMar>
        <w:tblLook w:val="04A0" w:firstRow="1" w:lastRow="0" w:firstColumn="1" w:lastColumn="0" w:noHBand="0" w:noVBand="1"/>
      </w:tblPr>
      <w:tblGrid>
        <w:gridCol w:w="2318"/>
        <w:gridCol w:w="779"/>
        <w:gridCol w:w="539"/>
        <w:gridCol w:w="474"/>
        <w:gridCol w:w="406"/>
        <w:gridCol w:w="702"/>
        <w:gridCol w:w="793"/>
        <w:gridCol w:w="906"/>
        <w:gridCol w:w="694"/>
        <w:gridCol w:w="718"/>
        <w:gridCol w:w="668"/>
        <w:gridCol w:w="731"/>
        <w:gridCol w:w="642"/>
        <w:gridCol w:w="642"/>
        <w:gridCol w:w="642"/>
        <w:gridCol w:w="700"/>
        <w:gridCol w:w="659"/>
        <w:gridCol w:w="700"/>
        <w:gridCol w:w="859"/>
      </w:tblGrid>
      <w:tr w:rsidR="00F91828" w:rsidRPr="00F36B82" w14:paraId="605A46D9" w14:textId="77777777" w:rsidTr="00B0049C">
        <w:trPr>
          <w:trHeight w:val="206"/>
        </w:trPr>
        <w:tc>
          <w:tcPr>
            <w:tcW w:w="2337" w:type="dxa"/>
            <w:tcBorders>
              <w:top w:val="single" w:sz="4" w:space="0" w:color="auto"/>
              <w:left w:val="nil"/>
              <w:bottom w:val="single" w:sz="4" w:space="0" w:color="auto"/>
              <w:right w:val="nil"/>
            </w:tcBorders>
            <w:vAlign w:val="bottom"/>
          </w:tcPr>
          <w:p w14:paraId="0253DC0D" w14:textId="77777777" w:rsidR="00F91828" w:rsidRPr="00F36B82" w:rsidRDefault="00F91828" w:rsidP="00B0049C">
            <w:pPr>
              <w:ind w:firstLineChars="30" w:firstLine="42"/>
              <w:rPr>
                <w:b/>
                <w:bCs/>
                <w:color w:val="000000"/>
                <w:sz w:val="14"/>
                <w:szCs w:val="14"/>
              </w:rPr>
            </w:pPr>
          </w:p>
        </w:tc>
        <w:tc>
          <w:tcPr>
            <w:tcW w:w="780" w:type="dxa"/>
            <w:tcBorders>
              <w:top w:val="single" w:sz="4" w:space="0" w:color="auto"/>
              <w:left w:val="nil"/>
              <w:bottom w:val="single" w:sz="4" w:space="0" w:color="auto"/>
              <w:right w:val="nil"/>
            </w:tcBorders>
            <w:vAlign w:val="bottom"/>
          </w:tcPr>
          <w:p w14:paraId="662D7E57" w14:textId="77777777" w:rsidR="00F91828" w:rsidRPr="00F36B82" w:rsidRDefault="00F91828" w:rsidP="00B0049C">
            <w:pPr>
              <w:ind w:firstLineChars="30" w:firstLine="42"/>
              <w:jc w:val="right"/>
              <w:rPr>
                <w:b/>
                <w:bCs/>
                <w:color w:val="000000"/>
                <w:sz w:val="14"/>
                <w:szCs w:val="14"/>
              </w:rPr>
            </w:pPr>
          </w:p>
        </w:tc>
        <w:tc>
          <w:tcPr>
            <w:tcW w:w="544" w:type="dxa"/>
            <w:tcBorders>
              <w:top w:val="single" w:sz="4" w:space="0" w:color="auto"/>
              <w:left w:val="nil"/>
              <w:bottom w:val="single" w:sz="4" w:space="0" w:color="auto"/>
              <w:right w:val="nil"/>
            </w:tcBorders>
            <w:vAlign w:val="bottom"/>
          </w:tcPr>
          <w:p w14:paraId="7A54C278" w14:textId="77777777" w:rsidR="00F91828" w:rsidRPr="00F36B82" w:rsidRDefault="00F91828" w:rsidP="00B0049C">
            <w:pPr>
              <w:ind w:firstLineChars="30" w:firstLine="42"/>
              <w:jc w:val="right"/>
              <w:rPr>
                <w:b/>
                <w:bCs/>
                <w:color w:val="000000"/>
                <w:sz w:val="14"/>
                <w:szCs w:val="14"/>
              </w:rPr>
            </w:pPr>
          </w:p>
        </w:tc>
        <w:tc>
          <w:tcPr>
            <w:tcW w:w="478" w:type="dxa"/>
            <w:tcBorders>
              <w:top w:val="single" w:sz="4" w:space="0" w:color="auto"/>
              <w:left w:val="nil"/>
              <w:bottom w:val="single" w:sz="4" w:space="0" w:color="auto"/>
              <w:right w:val="nil"/>
            </w:tcBorders>
            <w:vAlign w:val="bottom"/>
          </w:tcPr>
          <w:p w14:paraId="20B577E5" w14:textId="77777777" w:rsidR="00F91828" w:rsidRPr="00F36B82" w:rsidRDefault="00F91828" w:rsidP="00B0049C">
            <w:pPr>
              <w:ind w:firstLineChars="30" w:firstLine="42"/>
              <w:jc w:val="right"/>
              <w:rPr>
                <w:b/>
                <w:bCs/>
                <w:color w:val="000000"/>
                <w:sz w:val="14"/>
                <w:szCs w:val="14"/>
              </w:rPr>
            </w:pPr>
          </w:p>
        </w:tc>
        <w:tc>
          <w:tcPr>
            <w:tcW w:w="409" w:type="dxa"/>
            <w:tcBorders>
              <w:top w:val="single" w:sz="4" w:space="0" w:color="auto"/>
              <w:left w:val="nil"/>
              <w:bottom w:val="single" w:sz="4" w:space="0" w:color="auto"/>
              <w:right w:val="nil"/>
            </w:tcBorders>
            <w:vAlign w:val="bottom"/>
          </w:tcPr>
          <w:p w14:paraId="6CC5613C" w14:textId="77777777" w:rsidR="00F91828" w:rsidRPr="00F36B82" w:rsidRDefault="00F91828" w:rsidP="00B0049C">
            <w:pPr>
              <w:ind w:firstLineChars="30" w:firstLine="42"/>
              <w:jc w:val="right"/>
              <w:rPr>
                <w:b/>
                <w:bCs/>
                <w:color w:val="000000"/>
                <w:sz w:val="14"/>
                <w:szCs w:val="14"/>
              </w:rPr>
            </w:pPr>
          </w:p>
        </w:tc>
        <w:tc>
          <w:tcPr>
            <w:tcW w:w="709" w:type="dxa"/>
            <w:tcBorders>
              <w:top w:val="single" w:sz="4" w:space="0" w:color="auto"/>
              <w:left w:val="nil"/>
              <w:bottom w:val="single" w:sz="4" w:space="0" w:color="auto"/>
              <w:right w:val="nil"/>
            </w:tcBorders>
            <w:vAlign w:val="bottom"/>
          </w:tcPr>
          <w:p w14:paraId="6B301ADA" w14:textId="77777777" w:rsidR="00F91828" w:rsidRPr="00F36B82" w:rsidRDefault="00F91828" w:rsidP="00B0049C">
            <w:pPr>
              <w:ind w:firstLineChars="30" w:firstLine="42"/>
              <w:jc w:val="right"/>
              <w:rPr>
                <w:b/>
                <w:bCs/>
                <w:color w:val="000000"/>
                <w:sz w:val="14"/>
                <w:szCs w:val="14"/>
              </w:rPr>
            </w:pPr>
          </w:p>
        </w:tc>
        <w:tc>
          <w:tcPr>
            <w:tcW w:w="795" w:type="dxa"/>
            <w:tcBorders>
              <w:top w:val="single" w:sz="4" w:space="0" w:color="auto"/>
              <w:left w:val="nil"/>
              <w:bottom w:val="single" w:sz="4" w:space="0" w:color="auto"/>
              <w:right w:val="nil"/>
            </w:tcBorders>
            <w:vAlign w:val="bottom"/>
          </w:tcPr>
          <w:p w14:paraId="2F83184E" w14:textId="77777777" w:rsidR="00F91828" w:rsidRPr="00F36B82" w:rsidRDefault="00F91828" w:rsidP="00B0049C">
            <w:pPr>
              <w:ind w:firstLineChars="30" w:firstLine="42"/>
              <w:jc w:val="right"/>
              <w:rPr>
                <w:b/>
                <w:bCs/>
                <w:color w:val="000000"/>
                <w:sz w:val="14"/>
                <w:szCs w:val="14"/>
              </w:rPr>
            </w:pPr>
          </w:p>
        </w:tc>
        <w:tc>
          <w:tcPr>
            <w:tcW w:w="908" w:type="dxa"/>
            <w:tcBorders>
              <w:top w:val="single" w:sz="4" w:space="0" w:color="auto"/>
              <w:left w:val="nil"/>
              <w:bottom w:val="single" w:sz="4" w:space="0" w:color="auto"/>
              <w:right w:val="nil"/>
            </w:tcBorders>
            <w:vAlign w:val="bottom"/>
          </w:tcPr>
          <w:p w14:paraId="53482C98" w14:textId="77777777" w:rsidR="00F91828" w:rsidRPr="00F36B82" w:rsidRDefault="00F91828" w:rsidP="00B0049C">
            <w:pPr>
              <w:ind w:firstLineChars="30" w:firstLine="42"/>
              <w:jc w:val="right"/>
              <w:rPr>
                <w:b/>
                <w:bCs/>
                <w:color w:val="000000"/>
                <w:sz w:val="14"/>
                <w:szCs w:val="14"/>
              </w:rPr>
            </w:pPr>
          </w:p>
        </w:tc>
        <w:tc>
          <w:tcPr>
            <w:tcW w:w="1419" w:type="dxa"/>
            <w:gridSpan w:val="2"/>
            <w:tcBorders>
              <w:top w:val="single" w:sz="4" w:space="0" w:color="auto"/>
              <w:left w:val="nil"/>
              <w:bottom w:val="single" w:sz="4" w:space="0" w:color="auto"/>
              <w:right w:val="nil"/>
            </w:tcBorders>
            <w:vAlign w:val="bottom"/>
          </w:tcPr>
          <w:p w14:paraId="12E3AF45" w14:textId="77777777" w:rsidR="00F91828" w:rsidRPr="00F36B82" w:rsidRDefault="00F91828" w:rsidP="00B0049C">
            <w:pPr>
              <w:ind w:firstLineChars="30" w:firstLine="42"/>
              <w:jc w:val="right"/>
              <w:rPr>
                <w:b/>
                <w:bCs/>
                <w:color w:val="000000"/>
                <w:sz w:val="14"/>
                <w:szCs w:val="14"/>
              </w:rPr>
            </w:pPr>
            <w:r w:rsidRPr="00F36B82">
              <w:rPr>
                <w:b/>
                <w:bCs/>
                <w:color w:val="000000"/>
                <w:sz w:val="14"/>
                <w:szCs w:val="14"/>
              </w:rPr>
              <w:t>Risk Sınıfları (*)</w:t>
            </w:r>
          </w:p>
        </w:tc>
        <w:tc>
          <w:tcPr>
            <w:tcW w:w="674" w:type="dxa"/>
            <w:tcBorders>
              <w:top w:val="single" w:sz="4" w:space="0" w:color="auto"/>
              <w:left w:val="nil"/>
              <w:bottom w:val="single" w:sz="4" w:space="0" w:color="auto"/>
              <w:right w:val="nil"/>
            </w:tcBorders>
            <w:vAlign w:val="bottom"/>
          </w:tcPr>
          <w:p w14:paraId="43C79AB2" w14:textId="77777777" w:rsidR="00F91828" w:rsidRPr="00F36B82" w:rsidRDefault="00F91828" w:rsidP="00B0049C">
            <w:pPr>
              <w:ind w:firstLineChars="30" w:firstLine="42"/>
              <w:jc w:val="right"/>
              <w:rPr>
                <w:b/>
                <w:bCs/>
                <w:color w:val="000000"/>
                <w:sz w:val="14"/>
                <w:szCs w:val="14"/>
              </w:rPr>
            </w:pPr>
          </w:p>
        </w:tc>
        <w:tc>
          <w:tcPr>
            <w:tcW w:w="734" w:type="dxa"/>
            <w:tcBorders>
              <w:top w:val="single" w:sz="4" w:space="0" w:color="auto"/>
              <w:left w:val="nil"/>
              <w:bottom w:val="single" w:sz="4" w:space="0" w:color="auto"/>
              <w:right w:val="nil"/>
            </w:tcBorders>
          </w:tcPr>
          <w:p w14:paraId="5B867415" w14:textId="77777777" w:rsidR="00F91828" w:rsidRPr="00F36B82" w:rsidRDefault="00F91828" w:rsidP="00B0049C">
            <w:pPr>
              <w:ind w:firstLineChars="30" w:firstLine="42"/>
              <w:jc w:val="right"/>
              <w:rPr>
                <w:b/>
                <w:bCs/>
                <w:color w:val="000000"/>
                <w:sz w:val="14"/>
                <w:szCs w:val="14"/>
              </w:rPr>
            </w:pPr>
          </w:p>
        </w:tc>
        <w:tc>
          <w:tcPr>
            <w:tcW w:w="647" w:type="dxa"/>
            <w:tcBorders>
              <w:top w:val="single" w:sz="4" w:space="0" w:color="auto"/>
              <w:left w:val="nil"/>
              <w:bottom w:val="single" w:sz="4" w:space="0" w:color="auto"/>
              <w:right w:val="nil"/>
            </w:tcBorders>
          </w:tcPr>
          <w:p w14:paraId="5020262A" w14:textId="77777777" w:rsidR="00F91828" w:rsidRPr="00F36B82" w:rsidRDefault="00F91828" w:rsidP="00B0049C">
            <w:pPr>
              <w:ind w:firstLineChars="30" w:firstLine="42"/>
              <w:jc w:val="right"/>
              <w:rPr>
                <w:b/>
                <w:bCs/>
                <w:color w:val="000000"/>
                <w:sz w:val="14"/>
                <w:szCs w:val="14"/>
              </w:rPr>
            </w:pPr>
          </w:p>
        </w:tc>
        <w:tc>
          <w:tcPr>
            <w:tcW w:w="647" w:type="dxa"/>
            <w:tcBorders>
              <w:top w:val="single" w:sz="4" w:space="0" w:color="auto"/>
              <w:left w:val="nil"/>
              <w:bottom w:val="single" w:sz="4" w:space="0" w:color="auto"/>
              <w:right w:val="nil"/>
            </w:tcBorders>
          </w:tcPr>
          <w:p w14:paraId="7C64FF9B" w14:textId="77777777" w:rsidR="00F91828" w:rsidRPr="00F36B82" w:rsidRDefault="00F91828" w:rsidP="00B0049C">
            <w:pPr>
              <w:ind w:firstLineChars="30" w:firstLine="42"/>
              <w:jc w:val="right"/>
              <w:rPr>
                <w:b/>
                <w:bCs/>
                <w:color w:val="000000"/>
                <w:sz w:val="14"/>
                <w:szCs w:val="14"/>
              </w:rPr>
            </w:pPr>
          </w:p>
        </w:tc>
        <w:tc>
          <w:tcPr>
            <w:tcW w:w="647" w:type="dxa"/>
            <w:tcBorders>
              <w:top w:val="single" w:sz="4" w:space="0" w:color="auto"/>
              <w:left w:val="nil"/>
              <w:bottom w:val="single" w:sz="4" w:space="0" w:color="auto"/>
              <w:right w:val="nil"/>
            </w:tcBorders>
          </w:tcPr>
          <w:p w14:paraId="49AEE228" w14:textId="77777777" w:rsidR="00F91828" w:rsidRPr="00F36B82" w:rsidRDefault="00F91828" w:rsidP="00B0049C">
            <w:pPr>
              <w:ind w:firstLineChars="30" w:firstLine="42"/>
              <w:jc w:val="right"/>
              <w:rPr>
                <w:b/>
                <w:bCs/>
                <w:color w:val="000000"/>
                <w:sz w:val="14"/>
                <w:szCs w:val="14"/>
              </w:rPr>
            </w:pPr>
          </w:p>
        </w:tc>
        <w:tc>
          <w:tcPr>
            <w:tcW w:w="650" w:type="dxa"/>
            <w:tcBorders>
              <w:top w:val="single" w:sz="4" w:space="0" w:color="auto"/>
              <w:left w:val="nil"/>
              <w:bottom w:val="single" w:sz="4" w:space="0" w:color="auto"/>
              <w:right w:val="nil"/>
            </w:tcBorders>
          </w:tcPr>
          <w:p w14:paraId="5526F451" w14:textId="77777777" w:rsidR="00F91828" w:rsidRPr="00F36B82" w:rsidRDefault="00F91828" w:rsidP="00B0049C">
            <w:pPr>
              <w:ind w:firstLineChars="30" w:firstLine="42"/>
              <w:jc w:val="right"/>
              <w:rPr>
                <w:b/>
                <w:bCs/>
                <w:color w:val="000000"/>
                <w:sz w:val="14"/>
                <w:szCs w:val="14"/>
              </w:rPr>
            </w:pPr>
          </w:p>
        </w:tc>
        <w:tc>
          <w:tcPr>
            <w:tcW w:w="660" w:type="dxa"/>
            <w:tcBorders>
              <w:top w:val="single" w:sz="4" w:space="0" w:color="auto"/>
              <w:left w:val="nil"/>
              <w:bottom w:val="single" w:sz="4" w:space="0" w:color="auto"/>
              <w:right w:val="nil"/>
            </w:tcBorders>
          </w:tcPr>
          <w:p w14:paraId="5277B4D2" w14:textId="77777777" w:rsidR="00F91828" w:rsidRPr="00F36B82" w:rsidRDefault="00F91828" w:rsidP="00B0049C">
            <w:pPr>
              <w:ind w:firstLineChars="30" w:firstLine="42"/>
              <w:jc w:val="right"/>
              <w:rPr>
                <w:b/>
                <w:bCs/>
                <w:color w:val="000000"/>
                <w:sz w:val="14"/>
                <w:szCs w:val="14"/>
              </w:rPr>
            </w:pPr>
          </w:p>
        </w:tc>
        <w:tc>
          <w:tcPr>
            <w:tcW w:w="674" w:type="dxa"/>
            <w:tcBorders>
              <w:top w:val="single" w:sz="4" w:space="0" w:color="auto"/>
              <w:left w:val="nil"/>
              <w:bottom w:val="single" w:sz="4" w:space="0" w:color="auto"/>
              <w:right w:val="nil"/>
            </w:tcBorders>
          </w:tcPr>
          <w:p w14:paraId="5560BD9F" w14:textId="77777777" w:rsidR="00F91828" w:rsidRPr="00F36B82" w:rsidRDefault="00F91828" w:rsidP="00B0049C">
            <w:pPr>
              <w:ind w:firstLineChars="30" w:firstLine="42"/>
              <w:jc w:val="right"/>
              <w:rPr>
                <w:b/>
                <w:bCs/>
                <w:color w:val="000000"/>
                <w:sz w:val="14"/>
                <w:szCs w:val="14"/>
              </w:rPr>
            </w:pPr>
          </w:p>
        </w:tc>
        <w:tc>
          <w:tcPr>
            <w:tcW w:w="860" w:type="dxa"/>
            <w:tcBorders>
              <w:top w:val="single" w:sz="4" w:space="0" w:color="auto"/>
              <w:left w:val="nil"/>
              <w:bottom w:val="single" w:sz="4" w:space="0" w:color="auto"/>
              <w:right w:val="nil"/>
            </w:tcBorders>
          </w:tcPr>
          <w:p w14:paraId="7B5754B9" w14:textId="77777777" w:rsidR="00F91828" w:rsidRPr="00F36B82" w:rsidRDefault="00F91828" w:rsidP="00B0049C">
            <w:pPr>
              <w:ind w:firstLineChars="30" w:firstLine="42"/>
              <w:jc w:val="right"/>
              <w:rPr>
                <w:b/>
                <w:bCs/>
                <w:color w:val="000000"/>
                <w:sz w:val="14"/>
                <w:szCs w:val="14"/>
              </w:rPr>
            </w:pPr>
          </w:p>
        </w:tc>
      </w:tr>
      <w:tr w:rsidR="00F91828" w:rsidRPr="00F36B82" w14:paraId="24674A9C" w14:textId="77777777" w:rsidTr="00F36B82">
        <w:trPr>
          <w:trHeight w:val="206"/>
        </w:trPr>
        <w:tc>
          <w:tcPr>
            <w:tcW w:w="2337" w:type="dxa"/>
            <w:tcBorders>
              <w:top w:val="single" w:sz="4" w:space="0" w:color="auto"/>
              <w:left w:val="nil"/>
              <w:bottom w:val="single" w:sz="4" w:space="0" w:color="auto"/>
              <w:right w:val="nil"/>
            </w:tcBorders>
            <w:vAlign w:val="bottom"/>
            <w:hideMark/>
          </w:tcPr>
          <w:p w14:paraId="025CE69A" w14:textId="0618C079" w:rsidR="00F91828" w:rsidRPr="00F36B82" w:rsidRDefault="00F91828" w:rsidP="00B0049C">
            <w:pPr>
              <w:ind w:firstLineChars="30" w:firstLine="42"/>
              <w:rPr>
                <w:b/>
                <w:bCs/>
                <w:color w:val="000000"/>
                <w:sz w:val="14"/>
                <w:szCs w:val="14"/>
              </w:rPr>
            </w:pPr>
            <w:bookmarkStart w:id="46" w:name="_Hlk183783019"/>
            <w:r w:rsidRPr="00F36B82">
              <w:rPr>
                <w:b/>
                <w:bCs/>
                <w:color w:val="000000"/>
                <w:sz w:val="14"/>
                <w:szCs w:val="14"/>
              </w:rPr>
              <w:t>31 Aralık 202</w:t>
            </w:r>
            <w:r w:rsidR="002411D3" w:rsidRPr="00F36B82">
              <w:rPr>
                <w:b/>
                <w:bCs/>
                <w:color w:val="000000"/>
                <w:sz w:val="14"/>
                <w:szCs w:val="14"/>
              </w:rPr>
              <w:t>5</w:t>
            </w:r>
          </w:p>
        </w:tc>
        <w:tc>
          <w:tcPr>
            <w:tcW w:w="780" w:type="dxa"/>
            <w:tcBorders>
              <w:top w:val="single" w:sz="4" w:space="0" w:color="auto"/>
              <w:left w:val="nil"/>
              <w:bottom w:val="single" w:sz="4" w:space="0" w:color="auto"/>
              <w:right w:val="nil"/>
            </w:tcBorders>
            <w:vAlign w:val="bottom"/>
            <w:hideMark/>
          </w:tcPr>
          <w:p w14:paraId="41074769" w14:textId="77777777" w:rsidR="00F91828" w:rsidRPr="00F36B82" w:rsidRDefault="00F91828" w:rsidP="00F36B82">
            <w:pPr>
              <w:ind w:firstLineChars="30" w:firstLine="42"/>
              <w:jc w:val="right"/>
              <w:rPr>
                <w:b/>
                <w:bCs/>
                <w:color w:val="000000"/>
                <w:sz w:val="14"/>
                <w:szCs w:val="14"/>
              </w:rPr>
            </w:pPr>
            <w:r w:rsidRPr="00F36B82">
              <w:rPr>
                <w:b/>
                <w:bCs/>
                <w:color w:val="000000"/>
                <w:sz w:val="14"/>
                <w:szCs w:val="14"/>
              </w:rPr>
              <w:t>1</w:t>
            </w:r>
          </w:p>
        </w:tc>
        <w:tc>
          <w:tcPr>
            <w:tcW w:w="544" w:type="dxa"/>
            <w:tcBorders>
              <w:top w:val="single" w:sz="4" w:space="0" w:color="auto"/>
              <w:left w:val="nil"/>
              <w:bottom w:val="single" w:sz="4" w:space="0" w:color="auto"/>
              <w:right w:val="nil"/>
            </w:tcBorders>
            <w:vAlign w:val="bottom"/>
            <w:hideMark/>
          </w:tcPr>
          <w:p w14:paraId="4F4B5A18" w14:textId="77777777" w:rsidR="00F91828" w:rsidRPr="00F36B82" w:rsidRDefault="00F91828" w:rsidP="00F36B82">
            <w:pPr>
              <w:ind w:firstLineChars="30" w:firstLine="42"/>
              <w:jc w:val="right"/>
              <w:rPr>
                <w:b/>
                <w:bCs/>
                <w:color w:val="000000"/>
                <w:sz w:val="14"/>
                <w:szCs w:val="14"/>
              </w:rPr>
            </w:pPr>
            <w:r w:rsidRPr="00F36B82">
              <w:rPr>
                <w:b/>
                <w:bCs/>
                <w:color w:val="000000"/>
                <w:sz w:val="14"/>
                <w:szCs w:val="14"/>
              </w:rPr>
              <w:t>2</w:t>
            </w:r>
          </w:p>
        </w:tc>
        <w:tc>
          <w:tcPr>
            <w:tcW w:w="478" w:type="dxa"/>
            <w:tcBorders>
              <w:top w:val="single" w:sz="4" w:space="0" w:color="auto"/>
              <w:left w:val="nil"/>
              <w:bottom w:val="single" w:sz="4" w:space="0" w:color="auto"/>
              <w:right w:val="nil"/>
            </w:tcBorders>
            <w:vAlign w:val="bottom"/>
            <w:hideMark/>
          </w:tcPr>
          <w:p w14:paraId="18CC181F" w14:textId="77777777" w:rsidR="00F91828" w:rsidRPr="00F36B82" w:rsidRDefault="00F91828" w:rsidP="00F36B82">
            <w:pPr>
              <w:ind w:firstLineChars="30" w:firstLine="42"/>
              <w:jc w:val="right"/>
              <w:rPr>
                <w:b/>
                <w:bCs/>
                <w:color w:val="000000"/>
                <w:sz w:val="14"/>
                <w:szCs w:val="14"/>
              </w:rPr>
            </w:pPr>
            <w:r w:rsidRPr="00F36B82">
              <w:rPr>
                <w:b/>
                <w:bCs/>
                <w:color w:val="000000"/>
                <w:sz w:val="14"/>
                <w:szCs w:val="14"/>
              </w:rPr>
              <w:t>3</w:t>
            </w:r>
          </w:p>
        </w:tc>
        <w:tc>
          <w:tcPr>
            <w:tcW w:w="409" w:type="dxa"/>
            <w:tcBorders>
              <w:top w:val="single" w:sz="4" w:space="0" w:color="auto"/>
              <w:left w:val="nil"/>
              <w:bottom w:val="single" w:sz="4" w:space="0" w:color="auto"/>
              <w:right w:val="nil"/>
            </w:tcBorders>
            <w:vAlign w:val="bottom"/>
            <w:hideMark/>
          </w:tcPr>
          <w:p w14:paraId="68C62916" w14:textId="77777777" w:rsidR="00F91828" w:rsidRPr="00F36B82" w:rsidRDefault="00F91828" w:rsidP="00F36B82">
            <w:pPr>
              <w:ind w:firstLineChars="30" w:firstLine="42"/>
              <w:jc w:val="right"/>
              <w:rPr>
                <w:b/>
                <w:bCs/>
                <w:color w:val="000000"/>
                <w:sz w:val="14"/>
                <w:szCs w:val="14"/>
              </w:rPr>
            </w:pPr>
            <w:r w:rsidRPr="00F36B82">
              <w:rPr>
                <w:b/>
                <w:bCs/>
                <w:color w:val="000000"/>
                <w:sz w:val="14"/>
                <w:szCs w:val="14"/>
              </w:rPr>
              <w:t>4</w:t>
            </w:r>
          </w:p>
        </w:tc>
        <w:tc>
          <w:tcPr>
            <w:tcW w:w="709" w:type="dxa"/>
            <w:tcBorders>
              <w:top w:val="single" w:sz="4" w:space="0" w:color="auto"/>
              <w:left w:val="nil"/>
              <w:bottom w:val="single" w:sz="4" w:space="0" w:color="auto"/>
              <w:right w:val="nil"/>
            </w:tcBorders>
            <w:vAlign w:val="bottom"/>
            <w:hideMark/>
          </w:tcPr>
          <w:p w14:paraId="15232A4E" w14:textId="77777777" w:rsidR="00F91828" w:rsidRPr="00F36B82" w:rsidRDefault="00F91828" w:rsidP="00F36B82">
            <w:pPr>
              <w:ind w:firstLineChars="30" w:firstLine="42"/>
              <w:jc w:val="right"/>
              <w:rPr>
                <w:b/>
                <w:bCs/>
                <w:color w:val="000000"/>
                <w:sz w:val="14"/>
                <w:szCs w:val="14"/>
              </w:rPr>
            </w:pPr>
            <w:r w:rsidRPr="00F36B82">
              <w:rPr>
                <w:b/>
                <w:bCs/>
                <w:color w:val="000000"/>
                <w:sz w:val="14"/>
                <w:szCs w:val="14"/>
              </w:rPr>
              <w:t>5</w:t>
            </w:r>
          </w:p>
        </w:tc>
        <w:tc>
          <w:tcPr>
            <w:tcW w:w="795" w:type="dxa"/>
            <w:tcBorders>
              <w:top w:val="single" w:sz="4" w:space="0" w:color="auto"/>
              <w:left w:val="nil"/>
              <w:bottom w:val="single" w:sz="4" w:space="0" w:color="auto"/>
              <w:right w:val="nil"/>
            </w:tcBorders>
            <w:vAlign w:val="bottom"/>
            <w:hideMark/>
          </w:tcPr>
          <w:p w14:paraId="011AA8BD" w14:textId="77777777" w:rsidR="00F91828" w:rsidRPr="00F36B82" w:rsidRDefault="00F91828" w:rsidP="00F36B82">
            <w:pPr>
              <w:ind w:firstLineChars="30" w:firstLine="42"/>
              <w:jc w:val="right"/>
              <w:rPr>
                <w:b/>
                <w:bCs/>
                <w:color w:val="000000"/>
                <w:sz w:val="14"/>
                <w:szCs w:val="14"/>
              </w:rPr>
            </w:pPr>
            <w:r w:rsidRPr="00F36B82">
              <w:rPr>
                <w:b/>
                <w:bCs/>
                <w:color w:val="000000"/>
                <w:sz w:val="14"/>
                <w:szCs w:val="14"/>
              </w:rPr>
              <w:t>6</w:t>
            </w:r>
          </w:p>
        </w:tc>
        <w:tc>
          <w:tcPr>
            <w:tcW w:w="908" w:type="dxa"/>
            <w:tcBorders>
              <w:top w:val="single" w:sz="4" w:space="0" w:color="auto"/>
              <w:left w:val="nil"/>
              <w:bottom w:val="single" w:sz="4" w:space="0" w:color="auto"/>
              <w:right w:val="nil"/>
            </w:tcBorders>
            <w:vAlign w:val="bottom"/>
            <w:hideMark/>
          </w:tcPr>
          <w:p w14:paraId="76C80930" w14:textId="77777777" w:rsidR="00F91828" w:rsidRPr="00F36B82" w:rsidRDefault="00F91828" w:rsidP="00F36B82">
            <w:pPr>
              <w:ind w:firstLineChars="30" w:firstLine="42"/>
              <w:jc w:val="right"/>
              <w:rPr>
                <w:b/>
                <w:bCs/>
                <w:color w:val="000000"/>
                <w:sz w:val="14"/>
                <w:szCs w:val="14"/>
              </w:rPr>
            </w:pPr>
            <w:r w:rsidRPr="00F36B82">
              <w:rPr>
                <w:b/>
                <w:bCs/>
                <w:color w:val="000000"/>
                <w:sz w:val="14"/>
                <w:szCs w:val="14"/>
              </w:rPr>
              <w:t>7</w:t>
            </w:r>
          </w:p>
        </w:tc>
        <w:tc>
          <w:tcPr>
            <w:tcW w:w="701" w:type="dxa"/>
            <w:tcBorders>
              <w:top w:val="single" w:sz="4" w:space="0" w:color="auto"/>
              <w:left w:val="nil"/>
              <w:bottom w:val="single" w:sz="4" w:space="0" w:color="auto"/>
              <w:right w:val="nil"/>
            </w:tcBorders>
            <w:vAlign w:val="bottom"/>
            <w:hideMark/>
          </w:tcPr>
          <w:p w14:paraId="73156EEC" w14:textId="77777777" w:rsidR="00F91828" w:rsidRPr="00F36B82" w:rsidRDefault="00F91828" w:rsidP="00F36B82">
            <w:pPr>
              <w:ind w:firstLineChars="30" w:firstLine="42"/>
              <w:jc w:val="right"/>
              <w:rPr>
                <w:b/>
                <w:bCs/>
                <w:color w:val="000000"/>
                <w:sz w:val="14"/>
                <w:szCs w:val="14"/>
              </w:rPr>
            </w:pPr>
            <w:r w:rsidRPr="00F36B82">
              <w:rPr>
                <w:b/>
                <w:bCs/>
                <w:color w:val="000000"/>
                <w:sz w:val="14"/>
                <w:szCs w:val="14"/>
              </w:rPr>
              <w:t>8</w:t>
            </w:r>
          </w:p>
        </w:tc>
        <w:tc>
          <w:tcPr>
            <w:tcW w:w="718" w:type="dxa"/>
            <w:tcBorders>
              <w:top w:val="single" w:sz="4" w:space="0" w:color="auto"/>
              <w:left w:val="nil"/>
              <w:bottom w:val="single" w:sz="4" w:space="0" w:color="auto"/>
              <w:right w:val="nil"/>
            </w:tcBorders>
            <w:vAlign w:val="bottom"/>
            <w:hideMark/>
          </w:tcPr>
          <w:p w14:paraId="184D3C1D" w14:textId="77777777" w:rsidR="00F91828" w:rsidRPr="00F36B82" w:rsidRDefault="00F91828" w:rsidP="00F36B82">
            <w:pPr>
              <w:ind w:firstLineChars="30" w:firstLine="42"/>
              <w:jc w:val="right"/>
              <w:rPr>
                <w:b/>
                <w:bCs/>
                <w:color w:val="000000"/>
                <w:sz w:val="14"/>
                <w:szCs w:val="14"/>
              </w:rPr>
            </w:pPr>
            <w:r w:rsidRPr="00F36B82">
              <w:rPr>
                <w:b/>
                <w:bCs/>
                <w:color w:val="000000"/>
                <w:sz w:val="14"/>
                <w:szCs w:val="14"/>
              </w:rPr>
              <w:t>9</w:t>
            </w:r>
          </w:p>
        </w:tc>
        <w:tc>
          <w:tcPr>
            <w:tcW w:w="674" w:type="dxa"/>
            <w:tcBorders>
              <w:top w:val="single" w:sz="4" w:space="0" w:color="auto"/>
              <w:left w:val="nil"/>
              <w:bottom w:val="single" w:sz="4" w:space="0" w:color="auto"/>
              <w:right w:val="nil"/>
            </w:tcBorders>
            <w:vAlign w:val="bottom"/>
          </w:tcPr>
          <w:p w14:paraId="6607D90F" w14:textId="77777777" w:rsidR="00F91828" w:rsidRPr="00F36B82" w:rsidRDefault="00F91828" w:rsidP="00F36B82">
            <w:pPr>
              <w:ind w:firstLineChars="30" w:firstLine="42"/>
              <w:jc w:val="right"/>
              <w:rPr>
                <w:b/>
                <w:bCs/>
                <w:color w:val="000000"/>
                <w:sz w:val="14"/>
                <w:szCs w:val="14"/>
              </w:rPr>
            </w:pPr>
            <w:r w:rsidRPr="00F36B82">
              <w:rPr>
                <w:b/>
                <w:bCs/>
                <w:color w:val="000000"/>
                <w:sz w:val="14"/>
                <w:szCs w:val="14"/>
              </w:rPr>
              <w:t>10</w:t>
            </w:r>
          </w:p>
        </w:tc>
        <w:tc>
          <w:tcPr>
            <w:tcW w:w="734" w:type="dxa"/>
            <w:tcBorders>
              <w:top w:val="single" w:sz="4" w:space="0" w:color="auto"/>
              <w:left w:val="nil"/>
              <w:bottom w:val="single" w:sz="4" w:space="0" w:color="auto"/>
              <w:right w:val="nil"/>
            </w:tcBorders>
            <w:vAlign w:val="bottom"/>
            <w:hideMark/>
          </w:tcPr>
          <w:p w14:paraId="561EFAF3" w14:textId="77777777" w:rsidR="00F91828" w:rsidRPr="00F36B82" w:rsidRDefault="00F91828" w:rsidP="00F36B82">
            <w:pPr>
              <w:ind w:firstLineChars="30" w:firstLine="42"/>
              <w:jc w:val="right"/>
              <w:rPr>
                <w:b/>
                <w:bCs/>
                <w:color w:val="000000"/>
                <w:sz w:val="14"/>
                <w:szCs w:val="14"/>
              </w:rPr>
            </w:pPr>
            <w:r w:rsidRPr="00F36B82">
              <w:rPr>
                <w:b/>
                <w:bCs/>
                <w:color w:val="000000"/>
                <w:sz w:val="14"/>
                <w:szCs w:val="14"/>
              </w:rPr>
              <w:t>11</w:t>
            </w:r>
          </w:p>
        </w:tc>
        <w:tc>
          <w:tcPr>
            <w:tcW w:w="647" w:type="dxa"/>
            <w:tcBorders>
              <w:top w:val="single" w:sz="4" w:space="0" w:color="auto"/>
              <w:left w:val="nil"/>
              <w:bottom w:val="single" w:sz="4" w:space="0" w:color="auto"/>
              <w:right w:val="nil"/>
            </w:tcBorders>
            <w:vAlign w:val="bottom"/>
          </w:tcPr>
          <w:p w14:paraId="7D8E28B2" w14:textId="77777777" w:rsidR="00F91828" w:rsidRPr="00F36B82" w:rsidRDefault="00F91828" w:rsidP="00F36B82">
            <w:pPr>
              <w:ind w:firstLineChars="30" w:firstLine="42"/>
              <w:jc w:val="right"/>
              <w:rPr>
                <w:b/>
                <w:bCs/>
                <w:color w:val="000000"/>
                <w:sz w:val="14"/>
                <w:szCs w:val="14"/>
              </w:rPr>
            </w:pPr>
            <w:r w:rsidRPr="00F36B82">
              <w:rPr>
                <w:b/>
                <w:bCs/>
                <w:color w:val="000000"/>
                <w:sz w:val="14"/>
                <w:szCs w:val="14"/>
              </w:rPr>
              <w:t>12</w:t>
            </w:r>
          </w:p>
        </w:tc>
        <w:tc>
          <w:tcPr>
            <w:tcW w:w="647" w:type="dxa"/>
            <w:tcBorders>
              <w:top w:val="single" w:sz="4" w:space="0" w:color="auto"/>
              <w:left w:val="nil"/>
              <w:bottom w:val="single" w:sz="4" w:space="0" w:color="auto"/>
              <w:right w:val="nil"/>
            </w:tcBorders>
            <w:vAlign w:val="bottom"/>
          </w:tcPr>
          <w:p w14:paraId="51BC2E7F" w14:textId="77777777" w:rsidR="00F91828" w:rsidRPr="00F36B82" w:rsidRDefault="00F91828" w:rsidP="00F36B82">
            <w:pPr>
              <w:ind w:firstLineChars="30" w:firstLine="42"/>
              <w:jc w:val="right"/>
              <w:rPr>
                <w:b/>
                <w:bCs/>
                <w:color w:val="000000"/>
                <w:sz w:val="14"/>
                <w:szCs w:val="14"/>
              </w:rPr>
            </w:pPr>
            <w:r w:rsidRPr="00F36B82">
              <w:rPr>
                <w:b/>
                <w:bCs/>
                <w:color w:val="000000"/>
                <w:sz w:val="14"/>
                <w:szCs w:val="14"/>
              </w:rPr>
              <w:t>13</w:t>
            </w:r>
          </w:p>
        </w:tc>
        <w:tc>
          <w:tcPr>
            <w:tcW w:w="647" w:type="dxa"/>
            <w:tcBorders>
              <w:top w:val="single" w:sz="4" w:space="0" w:color="auto"/>
              <w:left w:val="nil"/>
              <w:bottom w:val="single" w:sz="4" w:space="0" w:color="auto"/>
              <w:right w:val="nil"/>
            </w:tcBorders>
            <w:vAlign w:val="bottom"/>
          </w:tcPr>
          <w:p w14:paraId="3B50A577" w14:textId="77777777" w:rsidR="00F91828" w:rsidRPr="00F36B82" w:rsidRDefault="00F91828" w:rsidP="00F36B82">
            <w:pPr>
              <w:ind w:firstLineChars="30" w:firstLine="42"/>
              <w:jc w:val="right"/>
              <w:rPr>
                <w:b/>
                <w:bCs/>
                <w:color w:val="000000"/>
                <w:sz w:val="14"/>
                <w:szCs w:val="14"/>
              </w:rPr>
            </w:pPr>
            <w:r w:rsidRPr="00F36B82">
              <w:rPr>
                <w:b/>
                <w:bCs/>
                <w:color w:val="000000"/>
                <w:sz w:val="14"/>
                <w:szCs w:val="14"/>
              </w:rPr>
              <w:t>14</w:t>
            </w:r>
          </w:p>
        </w:tc>
        <w:tc>
          <w:tcPr>
            <w:tcW w:w="650" w:type="dxa"/>
            <w:tcBorders>
              <w:top w:val="single" w:sz="4" w:space="0" w:color="auto"/>
              <w:left w:val="nil"/>
              <w:bottom w:val="single" w:sz="4" w:space="0" w:color="auto"/>
              <w:right w:val="nil"/>
            </w:tcBorders>
            <w:vAlign w:val="bottom"/>
          </w:tcPr>
          <w:p w14:paraId="1FE88C37" w14:textId="77777777" w:rsidR="00F91828" w:rsidRPr="00F36B82" w:rsidRDefault="00F91828" w:rsidP="00F36B82">
            <w:pPr>
              <w:ind w:firstLineChars="30" w:firstLine="42"/>
              <w:jc w:val="right"/>
              <w:rPr>
                <w:b/>
                <w:bCs/>
                <w:color w:val="000000"/>
                <w:sz w:val="14"/>
                <w:szCs w:val="14"/>
              </w:rPr>
            </w:pPr>
            <w:r w:rsidRPr="00F36B82">
              <w:rPr>
                <w:b/>
                <w:bCs/>
                <w:color w:val="000000"/>
                <w:sz w:val="14"/>
                <w:szCs w:val="14"/>
              </w:rPr>
              <w:t>15</w:t>
            </w:r>
          </w:p>
        </w:tc>
        <w:tc>
          <w:tcPr>
            <w:tcW w:w="660" w:type="dxa"/>
            <w:tcBorders>
              <w:top w:val="single" w:sz="4" w:space="0" w:color="auto"/>
              <w:left w:val="nil"/>
              <w:bottom w:val="single" w:sz="4" w:space="0" w:color="auto"/>
              <w:right w:val="nil"/>
            </w:tcBorders>
            <w:vAlign w:val="bottom"/>
          </w:tcPr>
          <w:p w14:paraId="3757E67C" w14:textId="77777777" w:rsidR="00F91828" w:rsidRPr="00F36B82" w:rsidRDefault="00F91828" w:rsidP="00F36B82">
            <w:pPr>
              <w:ind w:firstLineChars="30" w:firstLine="42"/>
              <w:jc w:val="right"/>
              <w:rPr>
                <w:b/>
                <w:bCs/>
                <w:color w:val="000000"/>
                <w:sz w:val="14"/>
                <w:szCs w:val="14"/>
              </w:rPr>
            </w:pPr>
            <w:r w:rsidRPr="00F36B82">
              <w:rPr>
                <w:b/>
                <w:bCs/>
                <w:color w:val="000000"/>
                <w:sz w:val="14"/>
                <w:szCs w:val="14"/>
              </w:rPr>
              <w:t>16</w:t>
            </w:r>
          </w:p>
        </w:tc>
        <w:tc>
          <w:tcPr>
            <w:tcW w:w="674" w:type="dxa"/>
            <w:tcBorders>
              <w:top w:val="single" w:sz="4" w:space="0" w:color="auto"/>
              <w:left w:val="nil"/>
              <w:bottom w:val="single" w:sz="4" w:space="0" w:color="auto"/>
              <w:right w:val="nil"/>
            </w:tcBorders>
            <w:vAlign w:val="bottom"/>
          </w:tcPr>
          <w:p w14:paraId="4231E7FB" w14:textId="77777777" w:rsidR="00F91828" w:rsidRPr="00F36B82" w:rsidRDefault="00F91828" w:rsidP="00F36B82">
            <w:pPr>
              <w:ind w:firstLineChars="30" w:firstLine="42"/>
              <w:jc w:val="right"/>
              <w:rPr>
                <w:b/>
                <w:bCs/>
                <w:color w:val="000000"/>
                <w:sz w:val="14"/>
                <w:szCs w:val="14"/>
              </w:rPr>
            </w:pPr>
            <w:r w:rsidRPr="00F36B82">
              <w:rPr>
                <w:b/>
                <w:bCs/>
                <w:color w:val="000000"/>
                <w:sz w:val="14"/>
                <w:szCs w:val="14"/>
              </w:rPr>
              <w:t>17</w:t>
            </w:r>
          </w:p>
        </w:tc>
        <w:tc>
          <w:tcPr>
            <w:tcW w:w="860" w:type="dxa"/>
            <w:tcBorders>
              <w:top w:val="single" w:sz="4" w:space="0" w:color="auto"/>
              <w:left w:val="nil"/>
              <w:bottom w:val="single" w:sz="4" w:space="0" w:color="auto"/>
              <w:right w:val="nil"/>
            </w:tcBorders>
            <w:vAlign w:val="bottom"/>
          </w:tcPr>
          <w:p w14:paraId="0F9D6639" w14:textId="77777777" w:rsidR="00F91828" w:rsidRPr="00F36B82" w:rsidRDefault="00F91828" w:rsidP="00F36B82">
            <w:pPr>
              <w:ind w:firstLineChars="30" w:firstLine="42"/>
              <w:jc w:val="right"/>
              <w:rPr>
                <w:b/>
                <w:bCs/>
                <w:color w:val="000000"/>
                <w:sz w:val="14"/>
                <w:szCs w:val="14"/>
              </w:rPr>
            </w:pPr>
            <w:r w:rsidRPr="00F36B82">
              <w:rPr>
                <w:b/>
                <w:bCs/>
                <w:color w:val="000000"/>
                <w:sz w:val="14"/>
                <w:szCs w:val="14"/>
              </w:rPr>
              <w:t>Toplam</w:t>
            </w:r>
          </w:p>
        </w:tc>
      </w:tr>
      <w:tr w:rsidR="002411D3" w:rsidRPr="00F36B82" w14:paraId="113E490D" w14:textId="77777777" w:rsidTr="00F36B82">
        <w:trPr>
          <w:trHeight w:val="206"/>
        </w:trPr>
        <w:tc>
          <w:tcPr>
            <w:tcW w:w="2337" w:type="dxa"/>
            <w:tcBorders>
              <w:top w:val="single" w:sz="4" w:space="0" w:color="auto"/>
              <w:left w:val="nil"/>
              <w:bottom w:val="nil"/>
              <w:right w:val="nil"/>
            </w:tcBorders>
            <w:vAlign w:val="bottom"/>
            <w:hideMark/>
          </w:tcPr>
          <w:p w14:paraId="29A61B77" w14:textId="77777777" w:rsidR="002411D3" w:rsidRPr="00F36B82" w:rsidRDefault="002411D3" w:rsidP="002411D3">
            <w:pPr>
              <w:ind w:firstLineChars="30" w:firstLine="42"/>
              <w:rPr>
                <w:color w:val="000000"/>
                <w:sz w:val="14"/>
                <w:szCs w:val="14"/>
              </w:rPr>
            </w:pPr>
            <w:r w:rsidRPr="00F36B82">
              <w:rPr>
                <w:color w:val="000000"/>
                <w:sz w:val="14"/>
                <w:szCs w:val="14"/>
              </w:rPr>
              <w:t>Yurtiçi</w:t>
            </w:r>
          </w:p>
        </w:tc>
        <w:tc>
          <w:tcPr>
            <w:tcW w:w="780" w:type="dxa"/>
            <w:tcBorders>
              <w:top w:val="nil"/>
              <w:left w:val="nil"/>
              <w:bottom w:val="nil"/>
              <w:right w:val="nil"/>
            </w:tcBorders>
            <w:vAlign w:val="bottom"/>
          </w:tcPr>
          <w:p w14:paraId="64786112" w14:textId="36D41537" w:rsidR="002411D3" w:rsidRPr="00F36B82" w:rsidRDefault="002411D3" w:rsidP="00F36B82">
            <w:pPr>
              <w:jc w:val="right"/>
              <w:rPr>
                <w:color w:val="000000"/>
                <w:sz w:val="14"/>
                <w:szCs w:val="14"/>
              </w:rPr>
            </w:pPr>
            <w:r w:rsidRPr="00F36B82">
              <w:rPr>
                <w:color w:val="000000"/>
                <w:sz w:val="14"/>
                <w:szCs w:val="14"/>
              </w:rPr>
              <w:t>20.281.833</w:t>
            </w:r>
          </w:p>
        </w:tc>
        <w:tc>
          <w:tcPr>
            <w:tcW w:w="544" w:type="dxa"/>
            <w:tcBorders>
              <w:top w:val="nil"/>
              <w:left w:val="nil"/>
              <w:bottom w:val="nil"/>
              <w:right w:val="nil"/>
            </w:tcBorders>
            <w:vAlign w:val="bottom"/>
          </w:tcPr>
          <w:p w14:paraId="7930DC42" w14:textId="5E50A171" w:rsidR="002411D3" w:rsidRPr="00F36B82" w:rsidRDefault="002411D3" w:rsidP="00F36B82">
            <w:pPr>
              <w:jc w:val="right"/>
              <w:rPr>
                <w:color w:val="000000"/>
                <w:sz w:val="14"/>
                <w:szCs w:val="14"/>
              </w:rPr>
            </w:pPr>
            <w:r w:rsidRPr="00F36B82">
              <w:rPr>
                <w:color w:val="000000"/>
                <w:sz w:val="14"/>
                <w:szCs w:val="14"/>
              </w:rPr>
              <w:t>-</w:t>
            </w:r>
          </w:p>
        </w:tc>
        <w:tc>
          <w:tcPr>
            <w:tcW w:w="478" w:type="dxa"/>
            <w:tcBorders>
              <w:top w:val="nil"/>
              <w:left w:val="nil"/>
              <w:bottom w:val="nil"/>
              <w:right w:val="nil"/>
            </w:tcBorders>
            <w:vAlign w:val="bottom"/>
          </w:tcPr>
          <w:p w14:paraId="627EBF51" w14:textId="171233FB" w:rsidR="002411D3" w:rsidRPr="00F36B82" w:rsidRDefault="002411D3" w:rsidP="00F36B82">
            <w:pPr>
              <w:jc w:val="right"/>
              <w:rPr>
                <w:color w:val="000000"/>
                <w:sz w:val="14"/>
                <w:szCs w:val="14"/>
              </w:rPr>
            </w:pPr>
            <w:r w:rsidRPr="00F36B82">
              <w:rPr>
                <w:color w:val="000000"/>
                <w:sz w:val="14"/>
                <w:szCs w:val="14"/>
              </w:rPr>
              <w:t>-</w:t>
            </w:r>
          </w:p>
        </w:tc>
        <w:tc>
          <w:tcPr>
            <w:tcW w:w="409" w:type="dxa"/>
            <w:tcBorders>
              <w:top w:val="nil"/>
              <w:left w:val="nil"/>
              <w:bottom w:val="nil"/>
              <w:right w:val="nil"/>
            </w:tcBorders>
            <w:vAlign w:val="bottom"/>
          </w:tcPr>
          <w:p w14:paraId="337E83A2" w14:textId="0E919C52" w:rsidR="002411D3" w:rsidRPr="00F36B82" w:rsidRDefault="002411D3" w:rsidP="00F36B82">
            <w:pPr>
              <w:jc w:val="right"/>
              <w:rPr>
                <w:color w:val="000000"/>
                <w:sz w:val="14"/>
                <w:szCs w:val="14"/>
              </w:rPr>
            </w:pPr>
            <w:r w:rsidRPr="00F36B82">
              <w:rPr>
                <w:color w:val="000000"/>
                <w:sz w:val="14"/>
                <w:szCs w:val="14"/>
              </w:rPr>
              <w:t>-</w:t>
            </w:r>
          </w:p>
        </w:tc>
        <w:tc>
          <w:tcPr>
            <w:tcW w:w="709" w:type="dxa"/>
            <w:tcBorders>
              <w:top w:val="nil"/>
              <w:left w:val="nil"/>
              <w:bottom w:val="nil"/>
              <w:right w:val="nil"/>
            </w:tcBorders>
            <w:vAlign w:val="bottom"/>
          </w:tcPr>
          <w:p w14:paraId="178CA556" w14:textId="7C7D8FC7" w:rsidR="002411D3" w:rsidRPr="00F36B82" w:rsidRDefault="002411D3" w:rsidP="00F36B82">
            <w:pPr>
              <w:jc w:val="right"/>
              <w:rPr>
                <w:color w:val="000000"/>
                <w:sz w:val="14"/>
                <w:szCs w:val="14"/>
              </w:rPr>
            </w:pPr>
            <w:r w:rsidRPr="00F36B82">
              <w:rPr>
                <w:color w:val="000000"/>
                <w:sz w:val="14"/>
                <w:szCs w:val="14"/>
              </w:rPr>
              <w:t>-</w:t>
            </w:r>
          </w:p>
        </w:tc>
        <w:tc>
          <w:tcPr>
            <w:tcW w:w="795" w:type="dxa"/>
            <w:tcBorders>
              <w:top w:val="nil"/>
              <w:left w:val="nil"/>
              <w:bottom w:val="nil"/>
              <w:right w:val="nil"/>
            </w:tcBorders>
            <w:vAlign w:val="bottom"/>
          </w:tcPr>
          <w:p w14:paraId="09AF92A9" w14:textId="76D763D3" w:rsidR="002411D3" w:rsidRPr="00F36B82" w:rsidRDefault="002411D3" w:rsidP="00F36B82">
            <w:pPr>
              <w:jc w:val="right"/>
              <w:rPr>
                <w:color w:val="000000"/>
                <w:sz w:val="14"/>
                <w:szCs w:val="14"/>
              </w:rPr>
            </w:pPr>
            <w:r w:rsidRPr="00F36B82">
              <w:rPr>
                <w:color w:val="000000"/>
                <w:sz w:val="14"/>
                <w:szCs w:val="14"/>
              </w:rPr>
              <w:t>4.885.188</w:t>
            </w:r>
          </w:p>
        </w:tc>
        <w:tc>
          <w:tcPr>
            <w:tcW w:w="908" w:type="dxa"/>
            <w:tcBorders>
              <w:top w:val="nil"/>
              <w:left w:val="nil"/>
              <w:bottom w:val="nil"/>
              <w:right w:val="nil"/>
            </w:tcBorders>
            <w:vAlign w:val="bottom"/>
          </w:tcPr>
          <w:p w14:paraId="2F9A1CA3" w14:textId="476FE24F" w:rsidR="002411D3" w:rsidRPr="00F36B82" w:rsidRDefault="002411D3" w:rsidP="00F36B82">
            <w:pPr>
              <w:jc w:val="right"/>
              <w:rPr>
                <w:color w:val="000000"/>
                <w:sz w:val="14"/>
                <w:szCs w:val="14"/>
              </w:rPr>
            </w:pPr>
            <w:r w:rsidRPr="00F36B82">
              <w:rPr>
                <w:color w:val="000000"/>
                <w:sz w:val="14"/>
                <w:szCs w:val="14"/>
              </w:rPr>
              <w:t>35.589.263</w:t>
            </w:r>
          </w:p>
        </w:tc>
        <w:tc>
          <w:tcPr>
            <w:tcW w:w="701" w:type="dxa"/>
            <w:tcBorders>
              <w:top w:val="nil"/>
              <w:left w:val="nil"/>
              <w:bottom w:val="nil"/>
              <w:right w:val="nil"/>
            </w:tcBorders>
            <w:vAlign w:val="bottom"/>
          </w:tcPr>
          <w:p w14:paraId="46495861" w14:textId="6C72FBB9" w:rsidR="002411D3" w:rsidRPr="00F36B82" w:rsidRDefault="002411D3" w:rsidP="00F36B82">
            <w:pPr>
              <w:jc w:val="right"/>
              <w:rPr>
                <w:color w:val="000000"/>
                <w:sz w:val="14"/>
                <w:szCs w:val="14"/>
              </w:rPr>
            </w:pPr>
            <w:r w:rsidRPr="00F36B82">
              <w:rPr>
                <w:color w:val="000000"/>
                <w:sz w:val="14"/>
                <w:szCs w:val="14"/>
              </w:rPr>
              <w:t>-</w:t>
            </w:r>
          </w:p>
        </w:tc>
        <w:tc>
          <w:tcPr>
            <w:tcW w:w="718" w:type="dxa"/>
            <w:tcBorders>
              <w:top w:val="nil"/>
              <w:left w:val="nil"/>
              <w:bottom w:val="nil"/>
              <w:right w:val="nil"/>
            </w:tcBorders>
            <w:vAlign w:val="bottom"/>
          </w:tcPr>
          <w:p w14:paraId="06D05FCD" w14:textId="529AB9D3" w:rsidR="002411D3" w:rsidRPr="00F36B82" w:rsidRDefault="002411D3" w:rsidP="00F36B82">
            <w:pPr>
              <w:jc w:val="right"/>
              <w:rPr>
                <w:color w:val="000000"/>
                <w:sz w:val="14"/>
                <w:szCs w:val="14"/>
              </w:rPr>
            </w:pPr>
            <w:r w:rsidRPr="00F36B82">
              <w:rPr>
                <w:color w:val="000000"/>
                <w:sz w:val="14"/>
                <w:szCs w:val="14"/>
              </w:rPr>
              <w:t>3.971.945</w:t>
            </w:r>
          </w:p>
        </w:tc>
        <w:tc>
          <w:tcPr>
            <w:tcW w:w="674" w:type="dxa"/>
            <w:tcBorders>
              <w:top w:val="nil"/>
              <w:left w:val="nil"/>
              <w:bottom w:val="nil"/>
              <w:right w:val="nil"/>
            </w:tcBorders>
            <w:vAlign w:val="bottom"/>
          </w:tcPr>
          <w:p w14:paraId="02F7F7CB" w14:textId="32FC175E" w:rsidR="002411D3" w:rsidRPr="00F36B82" w:rsidRDefault="002411D3" w:rsidP="00F36B82">
            <w:pPr>
              <w:jc w:val="right"/>
              <w:rPr>
                <w:color w:val="000000"/>
                <w:sz w:val="14"/>
                <w:szCs w:val="14"/>
              </w:rPr>
            </w:pPr>
            <w:r w:rsidRPr="00F36B82">
              <w:rPr>
                <w:color w:val="000000"/>
                <w:sz w:val="14"/>
                <w:szCs w:val="14"/>
              </w:rPr>
              <w:t>-</w:t>
            </w:r>
          </w:p>
        </w:tc>
        <w:tc>
          <w:tcPr>
            <w:tcW w:w="734" w:type="dxa"/>
            <w:tcBorders>
              <w:top w:val="nil"/>
              <w:left w:val="nil"/>
              <w:bottom w:val="nil"/>
              <w:right w:val="nil"/>
            </w:tcBorders>
            <w:vAlign w:val="bottom"/>
          </w:tcPr>
          <w:p w14:paraId="7DE9E2AF" w14:textId="3E5F201D" w:rsidR="002411D3" w:rsidRPr="00F36B82" w:rsidRDefault="002411D3" w:rsidP="00F36B82">
            <w:pPr>
              <w:jc w:val="right"/>
              <w:rPr>
                <w:color w:val="000000"/>
                <w:sz w:val="14"/>
                <w:szCs w:val="14"/>
              </w:rPr>
            </w:pPr>
            <w:r w:rsidRPr="00F36B82">
              <w:rPr>
                <w:color w:val="000000"/>
                <w:sz w:val="14"/>
                <w:szCs w:val="14"/>
              </w:rPr>
              <w:t>-</w:t>
            </w:r>
          </w:p>
        </w:tc>
        <w:tc>
          <w:tcPr>
            <w:tcW w:w="647" w:type="dxa"/>
            <w:tcBorders>
              <w:top w:val="nil"/>
              <w:left w:val="nil"/>
              <w:bottom w:val="nil"/>
              <w:right w:val="nil"/>
            </w:tcBorders>
            <w:vAlign w:val="bottom"/>
          </w:tcPr>
          <w:p w14:paraId="10AA5FC5" w14:textId="0F30B468" w:rsidR="002411D3" w:rsidRPr="00F36B82" w:rsidRDefault="002411D3" w:rsidP="00F36B82">
            <w:pPr>
              <w:jc w:val="right"/>
              <w:rPr>
                <w:color w:val="000000"/>
                <w:sz w:val="14"/>
                <w:szCs w:val="14"/>
              </w:rPr>
            </w:pPr>
            <w:r w:rsidRPr="00F36B82">
              <w:rPr>
                <w:color w:val="000000"/>
                <w:sz w:val="14"/>
                <w:szCs w:val="14"/>
              </w:rPr>
              <w:t>-</w:t>
            </w:r>
          </w:p>
        </w:tc>
        <w:tc>
          <w:tcPr>
            <w:tcW w:w="647" w:type="dxa"/>
            <w:tcBorders>
              <w:top w:val="nil"/>
              <w:left w:val="nil"/>
              <w:bottom w:val="nil"/>
              <w:right w:val="nil"/>
            </w:tcBorders>
            <w:vAlign w:val="bottom"/>
          </w:tcPr>
          <w:p w14:paraId="7328CD46" w14:textId="56266535" w:rsidR="002411D3" w:rsidRPr="00F36B82" w:rsidRDefault="002411D3" w:rsidP="00F36B82">
            <w:pPr>
              <w:jc w:val="right"/>
              <w:rPr>
                <w:color w:val="000000"/>
                <w:sz w:val="14"/>
                <w:szCs w:val="14"/>
              </w:rPr>
            </w:pPr>
            <w:r w:rsidRPr="00F36B82">
              <w:rPr>
                <w:color w:val="000000"/>
                <w:sz w:val="14"/>
                <w:szCs w:val="14"/>
              </w:rPr>
              <w:t>-</w:t>
            </w:r>
          </w:p>
        </w:tc>
        <w:tc>
          <w:tcPr>
            <w:tcW w:w="647" w:type="dxa"/>
            <w:tcBorders>
              <w:top w:val="nil"/>
              <w:left w:val="nil"/>
              <w:bottom w:val="nil"/>
              <w:right w:val="nil"/>
            </w:tcBorders>
            <w:vAlign w:val="bottom"/>
          </w:tcPr>
          <w:p w14:paraId="7F57E5EB" w14:textId="604E0CB1" w:rsidR="002411D3" w:rsidRPr="00F36B82" w:rsidRDefault="002411D3" w:rsidP="00F36B82">
            <w:pPr>
              <w:jc w:val="right"/>
              <w:rPr>
                <w:color w:val="000000"/>
                <w:sz w:val="14"/>
                <w:szCs w:val="14"/>
              </w:rPr>
            </w:pPr>
            <w:r w:rsidRPr="00F36B82">
              <w:rPr>
                <w:color w:val="000000"/>
                <w:sz w:val="14"/>
                <w:szCs w:val="14"/>
              </w:rPr>
              <w:t>-</w:t>
            </w:r>
          </w:p>
        </w:tc>
        <w:tc>
          <w:tcPr>
            <w:tcW w:w="650" w:type="dxa"/>
            <w:tcBorders>
              <w:top w:val="nil"/>
              <w:left w:val="nil"/>
              <w:bottom w:val="nil"/>
              <w:right w:val="nil"/>
            </w:tcBorders>
            <w:vAlign w:val="bottom"/>
          </w:tcPr>
          <w:p w14:paraId="6A1C735C" w14:textId="005EE748" w:rsidR="002411D3" w:rsidRPr="00F36B82" w:rsidRDefault="002411D3" w:rsidP="00F36B82">
            <w:pPr>
              <w:jc w:val="right"/>
              <w:rPr>
                <w:color w:val="000000"/>
                <w:sz w:val="14"/>
                <w:szCs w:val="14"/>
              </w:rPr>
            </w:pPr>
            <w:r w:rsidRPr="00F36B82">
              <w:rPr>
                <w:color w:val="000000"/>
                <w:sz w:val="14"/>
                <w:szCs w:val="14"/>
              </w:rPr>
              <w:t>1.308.897</w:t>
            </w:r>
          </w:p>
        </w:tc>
        <w:tc>
          <w:tcPr>
            <w:tcW w:w="660" w:type="dxa"/>
            <w:tcBorders>
              <w:top w:val="nil"/>
              <w:left w:val="nil"/>
              <w:bottom w:val="nil"/>
              <w:right w:val="nil"/>
            </w:tcBorders>
            <w:vAlign w:val="bottom"/>
          </w:tcPr>
          <w:p w14:paraId="60828E86" w14:textId="21D71136" w:rsidR="002411D3" w:rsidRPr="00F36B82" w:rsidRDefault="002411D3" w:rsidP="00F36B82">
            <w:pPr>
              <w:jc w:val="right"/>
              <w:rPr>
                <w:color w:val="000000"/>
                <w:sz w:val="14"/>
                <w:szCs w:val="14"/>
              </w:rPr>
            </w:pPr>
            <w:r w:rsidRPr="00F36B82">
              <w:rPr>
                <w:color w:val="000000"/>
                <w:sz w:val="14"/>
                <w:szCs w:val="14"/>
              </w:rPr>
              <w:t>15</w:t>
            </w:r>
          </w:p>
        </w:tc>
        <w:tc>
          <w:tcPr>
            <w:tcW w:w="674" w:type="dxa"/>
            <w:tcBorders>
              <w:top w:val="nil"/>
              <w:left w:val="nil"/>
              <w:bottom w:val="nil"/>
              <w:right w:val="nil"/>
            </w:tcBorders>
            <w:vAlign w:val="bottom"/>
          </w:tcPr>
          <w:p w14:paraId="0BA29F6C" w14:textId="116E53C8" w:rsidR="002411D3" w:rsidRPr="00F36B82" w:rsidRDefault="002411D3" w:rsidP="00F36B82">
            <w:pPr>
              <w:jc w:val="right"/>
              <w:rPr>
                <w:color w:val="000000"/>
                <w:sz w:val="14"/>
                <w:szCs w:val="14"/>
              </w:rPr>
            </w:pPr>
            <w:r w:rsidRPr="00F36B82">
              <w:rPr>
                <w:color w:val="000000"/>
                <w:sz w:val="14"/>
                <w:szCs w:val="14"/>
              </w:rPr>
              <w:t>2.966.882</w:t>
            </w:r>
          </w:p>
        </w:tc>
        <w:tc>
          <w:tcPr>
            <w:tcW w:w="860" w:type="dxa"/>
            <w:tcBorders>
              <w:top w:val="nil"/>
              <w:left w:val="nil"/>
              <w:bottom w:val="nil"/>
              <w:right w:val="nil"/>
            </w:tcBorders>
            <w:vAlign w:val="bottom"/>
          </w:tcPr>
          <w:p w14:paraId="78CAA58F" w14:textId="5E233AFB" w:rsidR="002411D3" w:rsidRPr="00F36B82" w:rsidRDefault="002411D3" w:rsidP="00F36B82">
            <w:pPr>
              <w:jc w:val="right"/>
              <w:rPr>
                <w:color w:val="000000"/>
                <w:sz w:val="14"/>
                <w:szCs w:val="14"/>
              </w:rPr>
            </w:pPr>
            <w:r w:rsidRPr="00F36B82">
              <w:rPr>
                <w:color w:val="000000"/>
                <w:sz w:val="14"/>
                <w:szCs w:val="14"/>
              </w:rPr>
              <w:t>69.004.023</w:t>
            </w:r>
          </w:p>
        </w:tc>
      </w:tr>
      <w:tr w:rsidR="002411D3" w:rsidRPr="00F36B82" w14:paraId="525531B2" w14:textId="77777777" w:rsidTr="00F36B82">
        <w:trPr>
          <w:trHeight w:val="206"/>
        </w:trPr>
        <w:tc>
          <w:tcPr>
            <w:tcW w:w="2337" w:type="dxa"/>
            <w:tcBorders>
              <w:top w:val="nil"/>
              <w:left w:val="nil"/>
              <w:bottom w:val="nil"/>
              <w:right w:val="nil"/>
            </w:tcBorders>
            <w:vAlign w:val="bottom"/>
            <w:hideMark/>
          </w:tcPr>
          <w:p w14:paraId="1D8532FE" w14:textId="77777777" w:rsidR="002411D3" w:rsidRPr="00F36B82" w:rsidRDefault="002411D3" w:rsidP="002411D3">
            <w:pPr>
              <w:ind w:firstLineChars="30" w:firstLine="42"/>
              <w:rPr>
                <w:color w:val="000000"/>
                <w:sz w:val="14"/>
                <w:szCs w:val="14"/>
              </w:rPr>
            </w:pPr>
            <w:r w:rsidRPr="00F36B82">
              <w:rPr>
                <w:color w:val="000000"/>
                <w:sz w:val="14"/>
                <w:szCs w:val="14"/>
              </w:rPr>
              <w:t>Avrupa birliği ülkeleri</w:t>
            </w:r>
          </w:p>
        </w:tc>
        <w:tc>
          <w:tcPr>
            <w:tcW w:w="780" w:type="dxa"/>
            <w:tcBorders>
              <w:top w:val="nil"/>
              <w:left w:val="nil"/>
              <w:bottom w:val="nil"/>
              <w:right w:val="nil"/>
            </w:tcBorders>
            <w:vAlign w:val="bottom"/>
          </w:tcPr>
          <w:p w14:paraId="1A0207C0" w14:textId="2D05CBA7" w:rsidR="002411D3" w:rsidRPr="00F36B82" w:rsidRDefault="002411D3" w:rsidP="00F36B82">
            <w:pPr>
              <w:jc w:val="right"/>
              <w:rPr>
                <w:color w:val="000000"/>
                <w:sz w:val="14"/>
                <w:szCs w:val="14"/>
              </w:rPr>
            </w:pPr>
            <w:r w:rsidRPr="00F36B82">
              <w:rPr>
                <w:color w:val="000000"/>
                <w:sz w:val="14"/>
                <w:szCs w:val="14"/>
              </w:rPr>
              <w:t>-</w:t>
            </w:r>
          </w:p>
        </w:tc>
        <w:tc>
          <w:tcPr>
            <w:tcW w:w="544" w:type="dxa"/>
            <w:tcBorders>
              <w:top w:val="nil"/>
              <w:left w:val="nil"/>
              <w:bottom w:val="nil"/>
              <w:right w:val="nil"/>
            </w:tcBorders>
            <w:vAlign w:val="bottom"/>
          </w:tcPr>
          <w:p w14:paraId="5AF0238B" w14:textId="2AD643B0" w:rsidR="002411D3" w:rsidRPr="00F36B82" w:rsidRDefault="002411D3" w:rsidP="00F36B82">
            <w:pPr>
              <w:jc w:val="right"/>
              <w:rPr>
                <w:color w:val="000000"/>
                <w:sz w:val="14"/>
                <w:szCs w:val="14"/>
              </w:rPr>
            </w:pPr>
            <w:r w:rsidRPr="00F36B82">
              <w:rPr>
                <w:color w:val="000000"/>
                <w:sz w:val="14"/>
                <w:szCs w:val="14"/>
              </w:rPr>
              <w:t>-</w:t>
            </w:r>
          </w:p>
        </w:tc>
        <w:tc>
          <w:tcPr>
            <w:tcW w:w="478" w:type="dxa"/>
            <w:tcBorders>
              <w:top w:val="nil"/>
              <w:left w:val="nil"/>
              <w:bottom w:val="nil"/>
              <w:right w:val="nil"/>
            </w:tcBorders>
            <w:vAlign w:val="bottom"/>
          </w:tcPr>
          <w:p w14:paraId="499080AF" w14:textId="1641FA1E" w:rsidR="002411D3" w:rsidRPr="00F36B82" w:rsidRDefault="002411D3" w:rsidP="00F36B82">
            <w:pPr>
              <w:jc w:val="right"/>
              <w:rPr>
                <w:color w:val="000000"/>
                <w:sz w:val="14"/>
                <w:szCs w:val="14"/>
              </w:rPr>
            </w:pPr>
            <w:r w:rsidRPr="00F36B82">
              <w:rPr>
                <w:color w:val="000000"/>
                <w:sz w:val="14"/>
                <w:szCs w:val="14"/>
              </w:rPr>
              <w:t>-</w:t>
            </w:r>
          </w:p>
        </w:tc>
        <w:tc>
          <w:tcPr>
            <w:tcW w:w="409" w:type="dxa"/>
            <w:tcBorders>
              <w:top w:val="nil"/>
              <w:left w:val="nil"/>
              <w:bottom w:val="nil"/>
              <w:right w:val="nil"/>
            </w:tcBorders>
            <w:vAlign w:val="bottom"/>
          </w:tcPr>
          <w:p w14:paraId="47A596B6" w14:textId="370DFB8B" w:rsidR="002411D3" w:rsidRPr="00F36B82" w:rsidRDefault="002411D3" w:rsidP="00F36B82">
            <w:pPr>
              <w:jc w:val="right"/>
              <w:rPr>
                <w:color w:val="000000"/>
                <w:sz w:val="14"/>
                <w:szCs w:val="14"/>
              </w:rPr>
            </w:pPr>
            <w:r w:rsidRPr="00F36B82">
              <w:rPr>
                <w:color w:val="000000"/>
                <w:sz w:val="14"/>
                <w:szCs w:val="14"/>
              </w:rPr>
              <w:t>-</w:t>
            </w:r>
          </w:p>
        </w:tc>
        <w:tc>
          <w:tcPr>
            <w:tcW w:w="709" w:type="dxa"/>
            <w:tcBorders>
              <w:top w:val="nil"/>
              <w:left w:val="nil"/>
              <w:bottom w:val="nil"/>
              <w:right w:val="nil"/>
            </w:tcBorders>
            <w:vAlign w:val="bottom"/>
          </w:tcPr>
          <w:p w14:paraId="3693957D" w14:textId="453417C7" w:rsidR="002411D3" w:rsidRPr="00F36B82" w:rsidRDefault="002411D3" w:rsidP="00F36B82">
            <w:pPr>
              <w:jc w:val="right"/>
              <w:rPr>
                <w:color w:val="000000"/>
                <w:sz w:val="14"/>
                <w:szCs w:val="14"/>
              </w:rPr>
            </w:pPr>
            <w:r w:rsidRPr="00F36B82">
              <w:rPr>
                <w:color w:val="000000"/>
                <w:sz w:val="14"/>
                <w:szCs w:val="14"/>
              </w:rPr>
              <w:t>-</w:t>
            </w:r>
          </w:p>
        </w:tc>
        <w:tc>
          <w:tcPr>
            <w:tcW w:w="795" w:type="dxa"/>
            <w:tcBorders>
              <w:top w:val="nil"/>
              <w:left w:val="nil"/>
              <w:bottom w:val="nil"/>
              <w:right w:val="nil"/>
            </w:tcBorders>
            <w:vAlign w:val="bottom"/>
          </w:tcPr>
          <w:p w14:paraId="56DAC04A" w14:textId="45B315BA" w:rsidR="002411D3" w:rsidRPr="00F36B82" w:rsidRDefault="002411D3" w:rsidP="00F36B82">
            <w:pPr>
              <w:jc w:val="right"/>
              <w:rPr>
                <w:color w:val="000000"/>
                <w:sz w:val="14"/>
                <w:szCs w:val="14"/>
              </w:rPr>
            </w:pPr>
            <w:r w:rsidRPr="00F36B82">
              <w:rPr>
                <w:color w:val="000000"/>
                <w:sz w:val="14"/>
                <w:szCs w:val="14"/>
              </w:rPr>
              <w:t>108.834</w:t>
            </w:r>
          </w:p>
        </w:tc>
        <w:tc>
          <w:tcPr>
            <w:tcW w:w="908" w:type="dxa"/>
            <w:tcBorders>
              <w:top w:val="nil"/>
              <w:left w:val="nil"/>
              <w:bottom w:val="nil"/>
              <w:right w:val="nil"/>
            </w:tcBorders>
            <w:vAlign w:val="bottom"/>
          </w:tcPr>
          <w:p w14:paraId="210FB598" w14:textId="1F6EC056" w:rsidR="002411D3" w:rsidRPr="00F36B82" w:rsidRDefault="002411D3" w:rsidP="00F36B82">
            <w:pPr>
              <w:jc w:val="right"/>
              <w:rPr>
                <w:color w:val="000000"/>
                <w:sz w:val="14"/>
                <w:szCs w:val="14"/>
              </w:rPr>
            </w:pPr>
            <w:r w:rsidRPr="00F36B82">
              <w:rPr>
                <w:color w:val="000000"/>
                <w:sz w:val="14"/>
                <w:szCs w:val="14"/>
              </w:rPr>
              <w:t>98.804</w:t>
            </w:r>
          </w:p>
        </w:tc>
        <w:tc>
          <w:tcPr>
            <w:tcW w:w="701" w:type="dxa"/>
            <w:tcBorders>
              <w:top w:val="nil"/>
              <w:left w:val="nil"/>
              <w:bottom w:val="nil"/>
              <w:right w:val="nil"/>
            </w:tcBorders>
            <w:vAlign w:val="bottom"/>
          </w:tcPr>
          <w:p w14:paraId="72B65278" w14:textId="73D3DDD7" w:rsidR="002411D3" w:rsidRPr="00F36B82" w:rsidRDefault="002411D3" w:rsidP="00F36B82">
            <w:pPr>
              <w:jc w:val="right"/>
              <w:rPr>
                <w:color w:val="000000"/>
                <w:sz w:val="14"/>
                <w:szCs w:val="14"/>
              </w:rPr>
            </w:pPr>
            <w:r w:rsidRPr="00F36B82">
              <w:rPr>
                <w:color w:val="000000"/>
                <w:sz w:val="14"/>
                <w:szCs w:val="14"/>
              </w:rPr>
              <w:t>-</w:t>
            </w:r>
          </w:p>
        </w:tc>
        <w:tc>
          <w:tcPr>
            <w:tcW w:w="718" w:type="dxa"/>
            <w:tcBorders>
              <w:top w:val="nil"/>
              <w:left w:val="nil"/>
              <w:bottom w:val="nil"/>
              <w:right w:val="nil"/>
            </w:tcBorders>
            <w:vAlign w:val="bottom"/>
          </w:tcPr>
          <w:p w14:paraId="5786C605" w14:textId="6DFE94F6" w:rsidR="002411D3" w:rsidRPr="00F36B82" w:rsidRDefault="002411D3" w:rsidP="00F36B82">
            <w:pPr>
              <w:jc w:val="right"/>
              <w:rPr>
                <w:color w:val="000000"/>
                <w:sz w:val="14"/>
                <w:szCs w:val="14"/>
              </w:rPr>
            </w:pPr>
            <w:r w:rsidRPr="00F36B82">
              <w:rPr>
                <w:color w:val="000000"/>
                <w:sz w:val="14"/>
                <w:szCs w:val="14"/>
              </w:rPr>
              <w:t>-</w:t>
            </w:r>
          </w:p>
        </w:tc>
        <w:tc>
          <w:tcPr>
            <w:tcW w:w="674" w:type="dxa"/>
            <w:tcBorders>
              <w:top w:val="nil"/>
              <w:left w:val="nil"/>
              <w:bottom w:val="nil"/>
              <w:right w:val="nil"/>
            </w:tcBorders>
            <w:vAlign w:val="bottom"/>
          </w:tcPr>
          <w:p w14:paraId="6867948A" w14:textId="1F8D4BDB" w:rsidR="002411D3" w:rsidRPr="00F36B82" w:rsidRDefault="002411D3" w:rsidP="00F36B82">
            <w:pPr>
              <w:jc w:val="right"/>
              <w:rPr>
                <w:color w:val="000000"/>
                <w:sz w:val="14"/>
                <w:szCs w:val="14"/>
              </w:rPr>
            </w:pPr>
            <w:r w:rsidRPr="00F36B82">
              <w:rPr>
                <w:color w:val="000000"/>
                <w:sz w:val="14"/>
                <w:szCs w:val="14"/>
              </w:rPr>
              <w:t>-</w:t>
            </w:r>
          </w:p>
        </w:tc>
        <w:tc>
          <w:tcPr>
            <w:tcW w:w="734" w:type="dxa"/>
            <w:tcBorders>
              <w:top w:val="nil"/>
              <w:left w:val="nil"/>
              <w:bottom w:val="nil"/>
              <w:right w:val="nil"/>
            </w:tcBorders>
            <w:vAlign w:val="bottom"/>
          </w:tcPr>
          <w:p w14:paraId="68BA7375" w14:textId="47C3FD85" w:rsidR="002411D3" w:rsidRPr="00F36B82" w:rsidRDefault="002411D3" w:rsidP="00F36B82">
            <w:pPr>
              <w:jc w:val="right"/>
              <w:rPr>
                <w:color w:val="000000"/>
                <w:sz w:val="14"/>
                <w:szCs w:val="14"/>
              </w:rPr>
            </w:pPr>
            <w:r w:rsidRPr="00F36B82">
              <w:rPr>
                <w:color w:val="000000"/>
                <w:sz w:val="14"/>
                <w:szCs w:val="14"/>
              </w:rPr>
              <w:t>-</w:t>
            </w:r>
          </w:p>
        </w:tc>
        <w:tc>
          <w:tcPr>
            <w:tcW w:w="647" w:type="dxa"/>
            <w:tcBorders>
              <w:top w:val="nil"/>
              <w:left w:val="nil"/>
              <w:bottom w:val="nil"/>
              <w:right w:val="nil"/>
            </w:tcBorders>
            <w:vAlign w:val="bottom"/>
          </w:tcPr>
          <w:p w14:paraId="53EC3CF9" w14:textId="20398A02" w:rsidR="002411D3" w:rsidRPr="00F36B82" w:rsidRDefault="002411D3" w:rsidP="00F36B82">
            <w:pPr>
              <w:jc w:val="right"/>
              <w:rPr>
                <w:color w:val="000000"/>
                <w:sz w:val="14"/>
                <w:szCs w:val="14"/>
              </w:rPr>
            </w:pPr>
            <w:r w:rsidRPr="00F36B82">
              <w:rPr>
                <w:color w:val="000000"/>
                <w:sz w:val="14"/>
                <w:szCs w:val="14"/>
              </w:rPr>
              <w:t>-</w:t>
            </w:r>
          </w:p>
        </w:tc>
        <w:tc>
          <w:tcPr>
            <w:tcW w:w="647" w:type="dxa"/>
            <w:tcBorders>
              <w:top w:val="nil"/>
              <w:left w:val="nil"/>
              <w:bottom w:val="nil"/>
              <w:right w:val="nil"/>
            </w:tcBorders>
            <w:vAlign w:val="bottom"/>
          </w:tcPr>
          <w:p w14:paraId="28EC04C2" w14:textId="1E71ED4F" w:rsidR="002411D3" w:rsidRPr="00F36B82" w:rsidRDefault="002411D3" w:rsidP="00F36B82">
            <w:pPr>
              <w:jc w:val="right"/>
              <w:rPr>
                <w:color w:val="000000"/>
                <w:sz w:val="14"/>
                <w:szCs w:val="14"/>
              </w:rPr>
            </w:pPr>
            <w:r w:rsidRPr="00F36B82">
              <w:rPr>
                <w:color w:val="000000"/>
                <w:sz w:val="14"/>
                <w:szCs w:val="14"/>
              </w:rPr>
              <w:t>-</w:t>
            </w:r>
          </w:p>
        </w:tc>
        <w:tc>
          <w:tcPr>
            <w:tcW w:w="647" w:type="dxa"/>
            <w:tcBorders>
              <w:top w:val="nil"/>
              <w:left w:val="nil"/>
              <w:bottom w:val="nil"/>
              <w:right w:val="nil"/>
            </w:tcBorders>
            <w:vAlign w:val="bottom"/>
          </w:tcPr>
          <w:p w14:paraId="017F5A53" w14:textId="720A774C" w:rsidR="002411D3" w:rsidRPr="00F36B82" w:rsidRDefault="002411D3" w:rsidP="00F36B82">
            <w:pPr>
              <w:jc w:val="right"/>
              <w:rPr>
                <w:color w:val="000000"/>
                <w:sz w:val="14"/>
                <w:szCs w:val="14"/>
              </w:rPr>
            </w:pPr>
            <w:r w:rsidRPr="00F36B82">
              <w:rPr>
                <w:color w:val="000000"/>
                <w:sz w:val="14"/>
                <w:szCs w:val="14"/>
              </w:rPr>
              <w:t>-</w:t>
            </w:r>
          </w:p>
        </w:tc>
        <w:tc>
          <w:tcPr>
            <w:tcW w:w="650" w:type="dxa"/>
            <w:tcBorders>
              <w:top w:val="nil"/>
              <w:left w:val="nil"/>
              <w:bottom w:val="nil"/>
              <w:right w:val="nil"/>
            </w:tcBorders>
            <w:vAlign w:val="bottom"/>
          </w:tcPr>
          <w:p w14:paraId="0DB8DF72" w14:textId="1B0F2E74" w:rsidR="002411D3" w:rsidRPr="00F36B82" w:rsidRDefault="002411D3" w:rsidP="00F36B82">
            <w:pPr>
              <w:jc w:val="right"/>
              <w:rPr>
                <w:color w:val="000000"/>
                <w:sz w:val="14"/>
                <w:szCs w:val="14"/>
              </w:rPr>
            </w:pPr>
            <w:r w:rsidRPr="00F36B82">
              <w:rPr>
                <w:color w:val="000000"/>
                <w:sz w:val="14"/>
                <w:szCs w:val="14"/>
              </w:rPr>
              <w:t>-</w:t>
            </w:r>
          </w:p>
        </w:tc>
        <w:tc>
          <w:tcPr>
            <w:tcW w:w="660" w:type="dxa"/>
            <w:tcBorders>
              <w:top w:val="nil"/>
              <w:left w:val="nil"/>
              <w:bottom w:val="nil"/>
              <w:right w:val="nil"/>
            </w:tcBorders>
            <w:vAlign w:val="bottom"/>
          </w:tcPr>
          <w:p w14:paraId="0860E239" w14:textId="32C655ED" w:rsidR="002411D3" w:rsidRPr="00F36B82" w:rsidRDefault="002411D3" w:rsidP="00F36B82">
            <w:pPr>
              <w:jc w:val="right"/>
              <w:rPr>
                <w:color w:val="000000"/>
                <w:sz w:val="14"/>
                <w:szCs w:val="14"/>
              </w:rPr>
            </w:pPr>
            <w:r w:rsidRPr="00F36B82">
              <w:rPr>
                <w:color w:val="000000"/>
                <w:sz w:val="14"/>
                <w:szCs w:val="14"/>
              </w:rPr>
              <w:t>-</w:t>
            </w:r>
          </w:p>
        </w:tc>
        <w:tc>
          <w:tcPr>
            <w:tcW w:w="674" w:type="dxa"/>
            <w:tcBorders>
              <w:top w:val="nil"/>
              <w:left w:val="nil"/>
              <w:bottom w:val="nil"/>
              <w:right w:val="nil"/>
            </w:tcBorders>
            <w:vAlign w:val="bottom"/>
          </w:tcPr>
          <w:p w14:paraId="07D36077" w14:textId="5A8F6276" w:rsidR="002411D3" w:rsidRPr="00F36B82" w:rsidRDefault="002411D3" w:rsidP="00F36B82">
            <w:pPr>
              <w:jc w:val="right"/>
              <w:rPr>
                <w:color w:val="000000"/>
                <w:sz w:val="14"/>
                <w:szCs w:val="14"/>
              </w:rPr>
            </w:pPr>
            <w:r w:rsidRPr="00F36B82">
              <w:rPr>
                <w:color w:val="000000"/>
                <w:sz w:val="14"/>
                <w:szCs w:val="14"/>
              </w:rPr>
              <w:t>-</w:t>
            </w:r>
          </w:p>
        </w:tc>
        <w:tc>
          <w:tcPr>
            <w:tcW w:w="860" w:type="dxa"/>
            <w:tcBorders>
              <w:top w:val="nil"/>
              <w:left w:val="nil"/>
              <w:bottom w:val="nil"/>
              <w:right w:val="nil"/>
            </w:tcBorders>
            <w:vAlign w:val="bottom"/>
          </w:tcPr>
          <w:p w14:paraId="53287674" w14:textId="1082D542" w:rsidR="002411D3" w:rsidRPr="00F36B82" w:rsidRDefault="002411D3" w:rsidP="00F36B82">
            <w:pPr>
              <w:jc w:val="right"/>
              <w:rPr>
                <w:color w:val="000000"/>
                <w:sz w:val="14"/>
                <w:szCs w:val="14"/>
              </w:rPr>
            </w:pPr>
            <w:r w:rsidRPr="00F36B82">
              <w:rPr>
                <w:color w:val="000000"/>
                <w:sz w:val="14"/>
                <w:szCs w:val="14"/>
              </w:rPr>
              <w:t>207.638</w:t>
            </w:r>
          </w:p>
        </w:tc>
      </w:tr>
      <w:tr w:rsidR="002411D3" w:rsidRPr="00F36B82" w14:paraId="3F98C5A6" w14:textId="77777777" w:rsidTr="00F36B82">
        <w:trPr>
          <w:trHeight w:val="206"/>
        </w:trPr>
        <w:tc>
          <w:tcPr>
            <w:tcW w:w="2337" w:type="dxa"/>
            <w:tcBorders>
              <w:top w:val="nil"/>
              <w:left w:val="nil"/>
              <w:bottom w:val="nil"/>
              <w:right w:val="nil"/>
            </w:tcBorders>
            <w:vAlign w:val="bottom"/>
            <w:hideMark/>
          </w:tcPr>
          <w:p w14:paraId="29604AE3" w14:textId="77777777" w:rsidR="002411D3" w:rsidRPr="00F36B82" w:rsidRDefault="002411D3" w:rsidP="002411D3">
            <w:pPr>
              <w:ind w:firstLineChars="30" w:firstLine="42"/>
              <w:rPr>
                <w:color w:val="000000"/>
                <w:sz w:val="14"/>
                <w:szCs w:val="14"/>
              </w:rPr>
            </w:pPr>
            <w:r w:rsidRPr="00F36B82">
              <w:rPr>
                <w:color w:val="000000"/>
                <w:sz w:val="14"/>
                <w:szCs w:val="14"/>
              </w:rPr>
              <w:t xml:space="preserve">OECD ülkeleri </w:t>
            </w:r>
            <w:r w:rsidRPr="00F36B82">
              <w:rPr>
                <w:color w:val="000000"/>
                <w:sz w:val="14"/>
                <w:szCs w:val="14"/>
                <w:vertAlign w:val="superscript"/>
              </w:rPr>
              <w:t>(**)</w:t>
            </w:r>
          </w:p>
        </w:tc>
        <w:tc>
          <w:tcPr>
            <w:tcW w:w="780" w:type="dxa"/>
            <w:tcBorders>
              <w:top w:val="nil"/>
              <w:left w:val="nil"/>
              <w:bottom w:val="nil"/>
              <w:right w:val="nil"/>
            </w:tcBorders>
            <w:vAlign w:val="bottom"/>
          </w:tcPr>
          <w:p w14:paraId="6E25BC68" w14:textId="469781BA" w:rsidR="002411D3" w:rsidRPr="00F36B82" w:rsidRDefault="002411D3" w:rsidP="00F36B82">
            <w:pPr>
              <w:jc w:val="right"/>
              <w:rPr>
                <w:color w:val="000000"/>
                <w:sz w:val="14"/>
                <w:szCs w:val="14"/>
              </w:rPr>
            </w:pPr>
            <w:r w:rsidRPr="00F36B82">
              <w:rPr>
                <w:color w:val="000000"/>
                <w:sz w:val="14"/>
                <w:szCs w:val="14"/>
              </w:rPr>
              <w:t>-</w:t>
            </w:r>
          </w:p>
        </w:tc>
        <w:tc>
          <w:tcPr>
            <w:tcW w:w="544" w:type="dxa"/>
            <w:tcBorders>
              <w:top w:val="nil"/>
              <w:left w:val="nil"/>
              <w:bottom w:val="nil"/>
              <w:right w:val="nil"/>
            </w:tcBorders>
            <w:vAlign w:val="bottom"/>
          </w:tcPr>
          <w:p w14:paraId="38B9C8BC" w14:textId="085025AF" w:rsidR="002411D3" w:rsidRPr="00F36B82" w:rsidRDefault="002411D3" w:rsidP="00F36B82">
            <w:pPr>
              <w:jc w:val="right"/>
              <w:rPr>
                <w:color w:val="000000"/>
                <w:sz w:val="14"/>
                <w:szCs w:val="14"/>
              </w:rPr>
            </w:pPr>
            <w:r w:rsidRPr="00F36B82">
              <w:rPr>
                <w:color w:val="000000"/>
                <w:sz w:val="14"/>
                <w:szCs w:val="14"/>
              </w:rPr>
              <w:t>-</w:t>
            </w:r>
          </w:p>
        </w:tc>
        <w:tc>
          <w:tcPr>
            <w:tcW w:w="478" w:type="dxa"/>
            <w:tcBorders>
              <w:top w:val="nil"/>
              <w:left w:val="nil"/>
              <w:bottom w:val="nil"/>
              <w:right w:val="nil"/>
            </w:tcBorders>
            <w:vAlign w:val="bottom"/>
          </w:tcPr>
          <w:p w14:paraId="4A569DF3" w14:textId="0F568B1A" w:rsidR="002411D3" w:rsidRPr="00F36B82" w:rsidRDefault="002411D3" w:rsidP="00F36B82">
            <w:pPr>
              <w:jc w:val="right"/>
              <w:rPr>
                <w:color w:val="000000"/>
                <w:sz w:val="14"/>
                <w:szCs w:val="14"/>
              </w:rPr>
            </w:pPr>
            <w:r w:rsidRPr="00F36B82">
              <w:rPr>
                <w:color w:val="000000"/>
                <w:sz w:val="14"/>
                <w:szCs w:val="14"/>
              </w:rPr>
              <w:t>-</w:t>
            </w:r>
          </w:p>
        </w:tc>
        <w:tc>
          <w:tcPr>
            <w:tcW w:w="409" w:type="dxa"/>
            <w:tcBorders>
              <w:top w:val="nil"/>
              <w:left w:val="nil"/>
              <w:bottom w:val="nil"/>
              <w:right w:val="nil"/>
            </w:tcBorders>
            <w:vAlign w:val="bottom"/>
          </w:tcPr>
          <w:p w14:paraId="77F66251" w14:textId="0B4E0AED" w:rsidR="002411D3" w:rsidRPr="00F36B82" w:rsidRDefault="002411D3" w:rsidP="00F36B82">
            <w:pPr>
              <w:jc w:val="right"/>
              <w:rPr>
                <w:color w:val="000000"/>
                <w:sz w:val="14"/>
                <w:szCs w:val="14"/>
              </w:rPr>
            </w:pPr>
            <w:r w:rsidRPr="00F36B82">
              <w:rPr>
                <w:color w:val="000000"/>
                <w:sz w:val="14"/>
                <w:szCs w:val="14"/>
              </w:rPr>
              <w:t>-</w:t>
            </w:r>
          </w:p>
        </w:tc>
        <w:tc>
          <w:tcPr>
            <w:tcW w:w="709" w:type="dxa"/>
            <w:tcBorders>
              <w:top w:val="nil"/>
              <w:left w:val="nil"/>
              <w:bottom w:val="nil"/>
              <w:right w:val="nil"/>
            </w:tcBorders>
            <w:vAlign w:val="bottom"/>
          </w:tcPr>
          <w:p w14:paraId="4226C4F9" w14:textId="19DFD267" w:rsidR="002411D3" w:rsidRPr="00F36B82" w:rsidRDefault="002411D3" w:rsidP="00F36B82">
            <w:pPr>
              <w:jc w:val="right"/>
              <w:rPr>
                <w:color w:val="000000"/>
                <w:sz w:val="14"/>
                <w:szCs w:val="14"/>
              </w:rPr>
            </w:pPr>
            <w:r w:rsidRPr="00F36B82">
              <w:rPr>
                <w:color w:val="000000"/>
                <w:sz w:val="14"/>
                <w:szCs w:val="14"/>
              </w:rPr>
              <w:t>-</w:t>
            </w:r>
          </w:p>
        </w:tc>
        <w:tc>
          <w:tcPr>
            <w:tcW w:w="795" w:type="dxa"/>
            <w:tcBorders>
              <w:top w:val="nil"/>
              <w:left w:val="nil"/>
              <w:bottom w:val="nil"/>
              <w:right w:val="nil"/>
            </w:tcBorders>
            <w:vAlign w:val="bottom"/>
          </w:tcPr>
          <w:p w14:paraId="645F4E8F" w14:textId="5E395EDD" w:rsidR="002411D3" w:rsidRPr="00F36B82" w:rsidRDefault="002411D3" w:rsidP="00F36B82">
            <w:pPr>
              <w:jc w:val="right"/>
              <w:rPr>
                <w:color w:val="000000"/>
                <w:sz w:val="14"/>
                <w:szCs w:val="14"/>
              </w:rPr>
            </w:pPr>
            <w:r w:rsidRPr="00F36B82">
              <w:rPr>
                <w:color w:val="000000"/>
                <w:sz w:val="14"/>
                <w:szCs w:val="14"/>
              </w:rPr>
              <w:t>1.234.010</w:t>
            </w:r>
          </w:p>
        </w:tc>
        <w:tc>
          <w:tcPr>
            <w:tcW w:w="908" w:type="dxa"/>
            <w:tcBorders>
              <w:top w:val="nil"/>
              <w:left w:val="nil"/>
              <w:bottom w:val="nil"/>
              <w:right w:val="nil"/>
            </w:tcBorders>
            <w:vAlign w:val="bottom"/>
          </w:tcPr>
          <w:p w14:paraId="3755B671" w14:textId="44F44413" w:rsidR="002411D3" w:rsidRPr="00F36B82" w:rsidRDefault="002411D3" w:rsidP="00F36B82">
            <w:pPr>
              <w:jc w:val="right"/>
              <w:rPr>
                <w:color w:val="000000"/>
                <w:sz w:val="14"/>
                <w:szCs w:val="14"/>
              </w:rPr>
            </w:pPr>
            <w:r w:rsidRPr="00F36B82">
              <w:rPr>
                <w:color w:val="000000"/>
                <w:sz w:val="14"/>
                <w:szCs w:val="14"/>
              </w:rPr>
              <w:t>2.705.835</w:t>
            </w:r>
          </w:p>
        </w:tc>
        <w:tc>
          <w:tcPr>
            <w:tcW w:w="701" w:type="dxa"/>
            <w:tcBorders>
              <w:top w:val="nil"/>
              <w:left w:val="nil"/>
              <w:bottom w:val="nil"/>
              <w:right w:val="nil"/>
            </w:tcBorders>
            <w:vAlign w:val="bottom"/>
          </w:tcPr>
          <w:p w14:paraId="6E44D581" w14:textId="7829F101" w:rsidR="002411D3" w:rsidRPr="00F36B82" w:rsidRDefault="002411D3" w:rsidP="00F36B82">
            <w:pPr>
              <w:jc w:val="right"/>
              <w:rPr>
                <w:color w:val="000000"/>
                <w:sz w:val="14"/>
                <w:szCs w:val="14"/>
              </w:rPr>
            </w:pPr>
            <w:r w:rsidRPr="00F36B82">
              <w:rPr>
                <w:color w:val="000000"/>
                <w:sz w:val="14"/>
                <w:szCs w:val="14"/>
              </w:rPr>
              <w:t>-</w:t>
            </w:r>
          </w:p>
        </w:tc>
        <w:tc>
          <w:tcPr>
            <w:tcW w:w="718" w:type="dxa"/>
            <w:tcBorders>
              <w:top w:val="nil"/>
              <w:left w:val="nil"/>
              <w:bottom w:val="nil"/>
              <w:right w:val="nil"/>
            </w:tcBorders>
            <w:vAlign w:val="bottom"/>
          </w:tcPr>
          <w:p w14:paraId="61BFA880" w14:textId="0276C745" w:rsidR="002411D3" w:rsidRPr="00F36B82" w:rsidRDefault="002411D3" w:rsidP="00F36B82">
            <w:pPr>
              <w:jc w:val="right"/>
              <w:rPr>
                <w:color w:val="000000"/>
                <w:sz w:val="14"/>
                <w:szCs w:val="14"/>
              </w:rPr>
            </w:pPr>
            <w:r w:rsidRPr="00F36B82">
              <w:rPr>
                <w:color w:val="000000"/>
                <w:sz w:val="14"/>
                <w:szCs w:val="14"/>
              </w:rPr>
              <w:t>-</w:t>
            </w:r>
          </w:p>
        </w:tc>
        <w:tc>
          <w:tcPr>
            <w:tcW w:w="674" w:type="dxa"/>
            <w:tcBorders>
              <w:top w:val="nil"/>
              <w:left w:val="nil"/>
              <w:bottom w:val="nil"/>
              <w:right w:val="nil"/>
            </w:tcBorders>
            <w:vAlign w:val="bottom"/>
          </w:tcPr>
          <w:p w14:paraId="10B03369" w14:textId="7796C241" w:rsidR="002411D3" w:rsidRPr="00F36B82" w:rsidRDefault="002411D3" w:rsidP="00F36B82">
            <w:pPr>
              <w:jc w:val="right"/>
              <w:rPr>
                <w:color w:val="000000"/>
                <w:sz w:val="14"/>
                <w:szCs w:val="14"/>
              </w:rPr>
            </w:pPr>
            <w:r w:rsidRPr="00F36B82">
              <w:rPr>
                <w:color w:val="000000"/>
                <w:sz w:val="14"/>
                <w:szCs w:val="14"/>
              </w:rPr>
              <w:t>-</w:t>
            </w:r>
          </w:p>
        </w:tc>
        <w:tc>
          <w:tcPr>
            <w:tcW w:w="734" w:type="dxa"/>
            <w:tcBorders>
              <w:top w:val="nil"/>
              <w:left w:val="nil"/>
              <w:bottom w:val="nil"/>
              <w:right w:val="nil"/>
            </w:tcBorders>
            <w:vAlign w:val="bottom"/>
          </w:tcPr>
          <w:p w14:paraId="52B0EEC1" w14:textId="403DDF78" w:rsidR="002411D3" w:rsidRPr="00F36B82" w:rsidRDefault="002411D3" w:rsidP="00F36B82">
            <w:pPr>
              <w:jc w:val="right"/>
              <w:rPr>
                <w:color w:val="000000"/>
                <w:sz w:val="14"/>
                <w:szCs w:val="14"/>
              </w:rPr>
            </w:pPr>
            <w:r w:rsidRPr="00F36B82">
              <w:rPr>
                <w:color w:val="000000"/>
                <w:sz w:val="14"/>
                <w:szCs w:val="14"/>
              </w:rPr>
              <w:t>-</w:t>
            </w:r>
          </w:p>
        </w:tc>
        <w:tc>
          <w:tcPr>
            <w:tcW w:w="647" w:type="dxa"/>
            <w:tcBorders>
              <w:top w:val="nil"/>
              <w:left w:val="nil"/>
              <w:bottom w:val="nil"/>
              <w:right w:val="nil"/>
            </w:tcBorders>
            <w:vAlign w:val="bottom"/>
          </w:tcPr>
          <w:p w14:paraId="68C43103" w14:textId="05740B0A" w:rsidR="002411D3" w:rsidRPr="00F36B82" w:rsidRDefault="002411D3" w:rsidP="00F36B82">
            <w:pPr>
              <w:jc w:val="right"/>
              <w:rPr>
                <w:color w:val="000000"/>
                <w:sz w:val="14"/>
                <w:szCs w:val="14"/>
              </w:rPr>
            </w:pPr>
            <w:r w:rsidRPr="00F36B82">
              <w:rPr>
                <w:color w:val="000000"/>
                <w:sz w:val="14"/>
                <w:szCs w:val="14"/>
              </w:rPr>
              <w:t>-</w:t>
            </w:r>
          </w:p>
        </w:tc>
        <w:tc>
          <w:tcPr>
            <w:tcW w:w="647" w:type="dxa"/>
            <w:tcBorders>
              <w:top w:val="nil"/>
              <w:left w:val="nil"/>
              <w:bottom w:val="nil"/>
              <w:right w:val="nil"/>
            </w:tcBorders>
            <w:vAlign w:val="bottom"/>
          </w:tcPr>
          <w:p w14:paraId="49992432" w14:textId="32B3FD1B" w:rsidR="002411D3" w:rsidRPr="00F36B82" w:rsidRDefault="002411D3" w:rsidP="00F36B82">
            <w:pPr>
              <w:jc w:val="right"/>
              <w:rPr>
                <w:color w:val="000000"/>
                <w:sz w:val="14"/>
                <w:szCs w:val="14"/>
              </w:rPr>
            </w:pPr>
            <w:r w:rsidRPr="00F36B82">
              <w:rPr>
                <w:color w:val="000000"/>
                <w:sz w:val="14"/>
                <w:szCs w:val="14"/>
              </w:rPr>
              <w:t>-</w:t>
            </w:r>
          </w:p>
        </w:tc>
        <w:tc>
          <w:tcPr>
            <w:tcW w:w="647" w:type="dxa"/>
            <w:tcBorders>
              <w:top w:val="nil"/>
              <w:left w:val="nil"/>
              <w:bottom w:val="nil"/>
              <w:right w:val="nil"/>
            </w:tcBorders>
            <w:vAlign w:val="bottom"/>
          </w:tcPr>
          <w:p w14:paraId="130E5F6B" w14:textId="64731E38" w:rsidR="002411D3" w:rsidRPr="00F36B82" w:rsidRDefault="002411D3" w:rsidP="00F36B82">
            <w:pPr>
              <w:jc w:val="right"/>
              <w:rPr>
                <w:color w:val="000000"/>
                <w:sz w:val="14"/>
                <w:szCs w:val="14"/>
              </w:rPr>
            </w:pPr>
            <w:r w:rsidRPr="00F36B82">
              <w:rPr>
                <w:color w:val="000000"/>
                <w:sz w:val="14"/>
                <w:szCs w:val="14"/>
              </w:rPr>
              <w:t>-</w:t>
            </w:r>
          </w:p>
        </w:tc>
        <w:tc>
          <w:tcPr>
            <w:tcW w:w="650" w:type="dxa"/>
            <w:tcBorders>
              <w:top w:val="nil"/>
              <w:left w:val="nil"/>
              <w:bottom w:val="nil"/>
              <w:right w:val="nil"/>
            </w:tcBorders>
            <w:vAlign w:val="bottom"/>
          </w:tcPr>
          <w:p w14:paraId="296F49C3" w14:textId="593411F7" w:rsidR="002411D3" w:rsidRPr="00F36B82" w:rsidRDefault="002411D3" w:rsidP="00F36B82">
            <w:pPr>
              <w:jc w:val="right"/>
              <w:rPr>
                <w:color w:val="000000"/>
                <w:sz w:val="14"/>
                <w:szCs w:val="14"/>
              </w:rPr>
            </w:pPr>
            <w:r w:rsidRPr="00F36B82">
              <w:rPr>
                <w:color w:val="000000"/>
                <w:sz w:val="14"/>
                <w:szCs w:val="14"/>
              </w:rPr>
              <w:t>-</w:t>
            </w:r>
          </w:p>
        </w:tc>
        <w:tc>
          <w:tcPr>
            <w:tcW w:w="660" w:type="dxa"/>
            <w:tcBorders>
              <w:top w:val="nil"/>
              <w:left w:val="nil"/>
              <w:bottom w:val="nil"/>
              <w:right w:val="nil"/>
            </w:tcBorders>
            <w:vAlign w:val="bottom"/>
          </w:tcPr>
          <w:p w14:paraId="2D6D9907" w14:textId="0EE938C8" w:rsidR="002411D3" w:rsidRPr="00F36B82" w:rsidRDefault="002411D3" w:rsidP="00F36B82">
            <w:pPr>
              <w:jc w:val="right"/>
              <w:rPr>
                <w:color w:val="000000"/>
                <w:sz w:val="14"/>
                <w:szCs w:val="14"/>
              </w:rPr>
            </w:pPr>
            <w:r w:rsidRPr="00F36B82">
              <w:rPr>
                <w:color w:val="000000"/>
                <w:sz w:val="14"/>
                <w:szCs w:val="14"/>
              </w:rPr>
              <w:t>-</w:t>
            </w:r>
          </w:p>
        </w:tc>
        <w:tc>
          <w:tcPr>
            <w:tcW w:w="674" w:type="dxa"/>
            <w:tcBorders>
              <w:top w:val="nil"/>
              <w:left w:val="nil"/>
              <w:bottom w:val="nil"/>
              <w:right w:val="nil"/>
            </w:tcBorders>
            <w:vAlign w:val="bottom"/>
          </w:tcPr>
          <w:p w14:paraId="60947D8E" w14:textId="79532C3F" w:rsidR="002411D3" w:rsidRPr="00F36B82" w:rsidRDefault="002411D3" w:rsidP="00F36B82">
            <w:pPr>
              <w:jc w:val="right"/>
              <w:rPr>
                <w:color w:val="000000"/>
                <w:sz w:val="14"/>
                <w:szCs w:val="14"/>
              </w:rPr>
            </w:pPr>
            <w:r w:rsidRPr="00F36B82">
              <w:rPr>
                <w:color w:val="000000"/>
                <w:sz w:val="14"/>
                <w:szCs w:val="14"/>
              </w:rPr>
              <w:t>-</w:t>
            </w:r>
          </w:p>
        </w:tc>
        <w:tc>
          <w:tcPr>
            <w:tcW w:w="860" w:type="dxa"/>
            <w:tcBorders>
              <w:top w:val="nil"/>
              <w:left w:val="nil"/>
              <w:bottom w:val="nil"/>
              <w:right w:val="nil"/>
            </w:tcBorders>
            <w:vAlign w:val="bottom"/>
          </w:tcPr>
          <w:p w14:paraId="3BA18C86" w14:textId="43A76A09" w:rsidR="002411D3" w:rsidRPr="00F36B82" w:rsidRDefault="002411D3" w:rsidP="00F36B82">
            <w:pPr>
              <w:jc w:val="right"/>
              <w:rPr>
                <w:color w:val="000000"/>
                <w:sz w:val="14"/>
                <w:szCs w:val="14"/>
              </w:rPr>
            </w:pPr>
            <w:r w:rsidRPr="00F36B82">
              <w:rPr>
                <w:color w:val="000000"/>
                <w:sz w:val="14"/>
                <w:szCs w:val="14"/>
              </w:rPr>
              <w:t>3.939.845</w:t>
            </w:r>
          </w:p>
        </w:tc>
      </w:tr>
      <w:tr w:rsidR="002411D3" w:rsidRPr="00F36B82" w14:paraId="7B7A76C7" w14:textId="77777777" w:rsidTr="00F36B82">
        <w:trPr>
          <w:trHeight w:val="206"/>
        </w:trPr>
        <w:tc>
          <w:tcPr>
            <w:tcW w:w="2337" w:type="dxa"/>
            <w:tcBorders>
              <w:top w:val="nil"/>
              <w:left w:val="nil"/>
              <w:bottom w:val="nil"/>
              <w:right w:val="nil"/>
            </w:tcBorders>
            <w:vAlign w:val="bottom"/>
            <w:hideMark/>
          </w:tcPr>
          <w:p w14:paraId="62E34A65" w14:textId="77777777" w:rsidR="002411D3" w:rsidRPr="00F36B82" w:rsidRDefault="002411D3" w:rsidP="002411D3">
            <w:pPr>
              <w:ind w:firstLineChars="30" w:firstLine="42"/>
              <w:rPr>
                <w:color w:val="000000"/>
                <w:sz w:val="14"/>
                <w:szCs w:val="14"/>
              </w:rPr>
            </w:pPr>
            <w:r w:rsidRPr="00F36B82">
              <w:rPr>
                <w:color w:val="000000"/>
                <w:sz w:val="14"/>
                <w:szCs w:val="14"/>
              </w:rPr>
              <w:t>Kıyı bankacılığı bölgeleri</w:t>
            </w:r>
          </w:p>
        </w:tc>
        <w:tc>
          <w:tcPr>
            <w:tcW w:w="780" w:type="dxa"/>
            <w:tcBorders>
              <w:top w:val="nil"/>
              <w:left w:val="nil"/>
              <w:bottom w:val="nil"/>
              <w:right w:val="nil"/>
            </w:tcBorders>
            <w:vAlign w:val="bottom"/>
          </w:tcPr>
          <w:p w14:paraId="44A9DD68" w14:textId="57FE6AAA" w:rsidR="002411D3" w:rsidRPr="00F36B82" w:rsidRDefault="002411D3" w:rsidP="00F36B82">
            <w:pPr>
              <w:jc w:val="right"/>
              <w:rPr>
                <w:color w:val="000000"/>
                <w:sz w:val="14"/>
                <w:szCs w:val="14"/>
              </w:rPr>
            </w:pPr>
            <w:r w:rsidRPr="00F36B82">
              <w:rPr>
                <w:color w:val="000000"/>
                <w:sz w:val="14"/>
                <w:szCs w:val="14"/>
              </w:rPr>
              <w:t>-</w:t>
            </w:r>
          </w:p>
        </w:tc>
        <w:tc>
          <w:tcPr>
            <w:tcW w:w="544" w:type="dxa"/>
            <w:tcBorders>
              <w:top w:val="nil"/>
              <w:left w:val="nil"/>
              <w:bottom w:val="nil"/>
              <w:right w:val="nil"/>
            </w:tcBorders>
            <w:vAlign w:val="bottom"/>
          </w:tcPr>
          <w:p w14:paraId="439FBB05" w14:textId="285F8C06" w:rsidR="002411D3" w:rsidRPr="00F36B82" w:rsidRDefault="002411D3" w:rsidP="00F36B82">
            <w:pPr>
              <w:jc w:val="right"/>
              <w:rPr>
                <w:color w:val="000000"/>
                <w:sz w:val="14"/>
                <w:szCs w:val="14"/>
              </w:rPr>
            </w:pPr>
            <w:r w:rsidRPr="00F36B82">
              <w:rPr>
                <w:color w:val="000000"/>
                <w:sz w:val="14"/>
                <w:szCs w:val="14"/>
              </w:rPr>
              <w:t>-</w:t>
            </w:r>
          </w:p>
        </w:tc>
        <w:tc>
          <w:tcPr>
            <w:tcW w:w="478" w:type="dxa"/>
            <w:tcBorders>
              <w:top w:val="nil"/>
              <w:left w:val="nil"/>
              <w:bottom w:val="nil"/>
              <w:right w:val="nil"/>
            </w:tcBorders>
            <w:vAlign w:val="bottom"/>
          </w:tcPr>
          <w:p w14:paraId="61D6794B" w14:textId="29916D23" w:rsidR="002411D3" w:rsidRPr="00F36B82" w:rsidRDefault="002411D3" w:rsidP="00F36B82">
            <w:pPr>
              <w:jc w:val="right"/>
              <w:rPr>
                <w:color w:val="000000"/>
                <w:sz w:val="14"/>
                <w:szCs w:val="14"/>
              </w:rPr>
            </w:pPr>
            <w:r w:rsidRPr="00F36B82">
              <w:rPr>
                <w:color w:val="000000"/>
                <w:sz w:val="14"/>
                <w:szCs w:val="14"/>
              </w:rPr>
              <w:t>-</w:t>
            </w:r>
          </w:p>
        </w:tc>
        <w:tc>
          <w:tcPr>
            <w:tcW w:w="409" w:type="dxa"/>
            <w:tcBorders>
              <w:top w:val="nil"/>
              <w:left w:val="nil"/>
              <w:bottom w:val="nil"/>
              <w:right w:val="nil"/>
            </w:tcBorders>
            <w:vAlign w:val="bottom"/>
          </w:tcPr>
          <w:p w14:paraId="7BF82136" w14:textId="73DB2708" w:rsidR="002411D3" w:rsidRPr="00F36B82" w:rsidRDefault="002411D3" w:rsidP="00F36B82">
            <w:pPr>
              <w:jc w:val="right"/>
              <w:rPr>
                <w:color w:val="000000"/>
                <w:sz w:val="14"/>
                <w:szCs w:val="14"/>
              </w:rPr>
            </w:pPr>
            <w:r w:rsidRPr="00F36B82">
              <w:rPr>
                <w:color w:val="000000"/>
                <w:sz w:val="14"/>
                <w:szCs w:val="14"/>
              </w:rPr>
              <w:t>-</w:t>
            </w:r>
          </w:p>
        </w:tc>
        <w:tc>
          <w:tcPr>
            <w:tcW w:w="709" w:type="dxa"/>
            <w:tcBorders>
              <w:top w:val="nil"/>
              <w:left w:val="nil"/>
              <w:bottom w:val="nil"/>
              <w:right w:val="nil"/>
            </w:tcBorders>
            <w:vAlign w:val="bottom"/>
          </w:tcPr>
          <w:p w14:paraId="791F1531" w14:textId="648BC23B" w:rsidR="002411D3" w:rsidRPr="00F36B82" w:rsidRDefault="002411D3" w:rsidP="00F36B82">
            <w:pPr>
              <w:jc w:val="right"/>
              <w:rPr>
                <w:color w:val="000000"/>
                <w:sz w:val="14"/>
                <w:szCs w:val="14"/>
              </w:rPr>
            </w:pPr>
            <w:r w:rsidRPr="00F36B82">
              <w:rPr>
                <w:color w:val="000000"/>
                <w:sz w:val="14"/>
                <w:szCs w:val="14"/>
              </w:rPr>
              <w:t>-</w:t>
            </w:r>
          </w:p>
        </w:tc>
        <w:tc>
          <w:tcPr>
            <w:tcW w:w="795" w:type="dxa"/>
            <w:tcBorders>
              <w:top w:val="nil"/>
              <w:left w:val="nil"/>
              <w:bottom w:val="nil"/>
              <w:right w:val="nil"/>
            </w:tcBorders>
            <w:vAlign w:val="bottom"/>
          </w:tcPr>
          <w:p w14:paraId="387CED51" w14:textId="0A4D75EC" w:rsidR="002411D3" w:rsidRPr="00F36B82" w:rsidRDefault="002411D3" w:rsidP="00F36B82">
            <w:pPr>
              <w:jc w:val="right"/>
              <w:rPr>
                <w:color w:val="000000"/>
                <w:sz w:val="14"/>
                <w:szCs w:val="14"/>
              </w:rPr>
            </w:pPr>
            <w:r w:rsidRPr="00F36B82">
              <w:rPr>
                <w:color w:val="000000"/>
                <w:sz w:val="14"/>
                <w:szCs w:val="14"/>
              </w:rPr>
              <w:t>-</w:t>
            </w:r>
          </w:p>
        </w:tc>
        <w:tc>
          <w:tcPr>
            <w:tcW w:w="908" w:type="dxa"/>
            <w:tcBorders>
              <w:top w:val="nil"/>
              <w:left w:val="nil"/>
              <w:bottom w:val="nil"/>
              <w:right w:val="nil"/>
            </w:tcBorders>
            <w:vAlign w:val="bottom"/>
          </w:tcPr>
          <w:p w14:paraId="2BA90149" w14:textId="2EB059E3" w:rsidR="002411D3" w:rsidRPr="00F36B82" w:rsidRDefault="002411D3" w:rsidP="00F36B82">
            <w:pPr>
              <w:jc w:val="right"/>
              <w:rPr>
                <w:color w:val="000000"/>
                <w:sz w:val="14"/>
                <w:szCs w:val="14"/>
              </w:rPr>
            </w:pPr>
            <w:r w:rsidRPr="00F36B82">
              <w:rPr>
                <w:color w:val="000000"/>
                <w:sz w:val="14"/>
                <w:szCs w:val="14"/>
              </w:rPr>
              <w:t>-</w:t>
            </w:r>
          </w:p>
        </w:tc>
        <w:tc>
          <w:tcPr>
            <w:tcW w:w="701" w:type="dxa"/>
            <w:tcBorders>
              <w:top w:val="nil"/>
              <w:left w:val="nil"/>
              <w:bottom w:val="nil"/>
              <w:right w:val="nil"/>
            </w:tcBorders>
            <w:vAlign w:val="bottom"/>
          </w:tcPr>
          <w:p w14:paraId="0DA32497" w14:textId="2E2D4C51" w:rsidR="002411D3" w:rsidRPr="00F36B82" w:rsidRDefault="002411D3" w:rsidP="00F36B82">
            <w:pPr>
              <w:jc w:val="right"/>
              <w:rPr>
                <w:color w:val="000000"/>
                <w:sz w:val="14"/>
                <w:szCs w:val="14"/>
              </w:rPr>
            </w:pPr>
            <w:r w:rsidRPr="00F36B82">
              <w:rPr>
                <w:color w:val="000000"/>
                <w:sz w:val="14"/>
                <w:szCs w:val="14"/>
              </w:rPr>
              <w:t>-</w:t>
            </w:r>
          </w:p>
        </w:tc>
        <w:tc>
          <w:tcPr>
            <w:tcW w:w="718" w:type="dxa"/>
            <w:tcBorders>
              <w:top w:val="nil"/>
              <w:left w:val="nil"/>
              <w:bottom w:val="nil"/>
              <w:right w:val="nil"/>
            </w:tcBorders>
            <w:vAlign w:val="bottom"/>
          </w:tcPr>
          <w:p w14:paraId="46BF6AE1" w14:textId="0B74A4C6" w:rsidR="002411D3" w:rsidRPr="00F36B82" w:rsidRDefault="002411D3" w:rsidP="00F36B82">
            <w:pPr>
              <w:jc w:val="right"/>
              <w:rPr>
                <w:color w:val="000000"/>
                <w:sz w:val="14"/>
                <w:szCs w:val="14"/>
              </w:rPr>
            </w:pPr>
            <w:r w:rsidRPr="00F36B82">
              <w:rPr>
                <w:color w:val="000000"/>
                <w:sz w:val="14"/>
                <w:szCs w:val="14"/>
              </w:rPr>
              <w:t>-</w:t>
            </w:r>
          </w:p>
        </w:tc>
        <w:tc>
          <w:tcPr>
            <w:tcW w:w="674" w:type="dxa"/>
            <w:tcBorders>
              <w:top w:val="nil"/>
              <w:left w:val="nil"/>
              <w:bottom w:val="nil"/>
              <w:right w:val="nil"/>
            </w:tcBorders>
            <w:vAlign w:val="bottom"/>
          </w:tcPr>
          <w:p w14:paraId="38741228" w14:textId="398062C2" w:rsidR="002411D3" w:rsidRPr="00F36B82" w:rsidRDefault="002411D3" w:rsidP="00F36B82">
            <w:pPr>
              <w:jc w:val="right"/>
              <w:rPr>
                <w:color w:val="000000"/>
                <w:sz w:val="14"/>
                <w:szCs w:val="14"/>
              </w:rPr>
            </w:pPr>
            <w:r w:rsidRPr="00F36B82">
              <w:rPr>
                <w:color w:val="000000"/>
                <w:sz w:val="14"/>
                <w:szCs w:val="14"/>
              </w:rPr>
              <w:t>-</w:t>
            </w:r>
          </w:p>
        </w:tc>
        <w:tc>
          <w:tcPr>
            <w:tcW w:w="734" w:type="dxa"/>
            <w:tcBorders>
              <w:top w:val="nil"/>
              <w:left w:val="nil"/>
              <w:bottom w:val="nil"/>
              <w:right w:val="nil"/>
            </w:tcBorders>
            <w:vAlign w:val="bottom"/>
          </w:tcPr>
          <w:p w14:paraId="57E948E5" w14:textId="3DAB0CCC" w:rsidR="002411D3" w:rsidRPr="00F36B82" w:rsidRDefault="002411D3" w:rsidP="00F36B82">
            <w:pPr>
              <w:jc w:val="right"/>
              <w:rPr>
                <w:color w:val="000000"/>
                <w:sz w:val="14"/>
                <w:szCs w:val="14"/>
              </w:rPr>
            </w:pPr>
            <w:r w:rsidRPr="00F36B82">
              <w:rPr>
                <w:color w:val="000000"/>
                <w:sz w:val="14"/>
                <w:szCs w:val="14"/>
              </w:rPr>
              <w:t>-</w:t>
            </w:r>
          </w:p>
        </w:tc>
        <w:tc>
          <w:tcPr>
            <w:tcW w:w="647" w:type="dxa"/>
            <w:tcBorders>
              <w:top w:val="nil"/>
              <w:left w:val="nil"/>
              <w:bottom w:val="nil"/>
              <w:right w:val="nil"/>
            </w:tcBorders>
            <w:vAlign w:val="bottom"/>
          </w:tcPr>
          <w:p w14:paraId="2B9E5428" w14:textId="1343A3FA" w:rsidR="002411D3" w:rsidRPr="00F36B82" w:rsidRDefault="002411D3" w:rsidP="00F36B82">
            <w:pPr>
              <w:jc w:val="right"/>
              <w:rPr>
                <w:color w:val="000000"/>
                <w:sz w:val="14"/>
                <w:szCs w:val="14"/>
              </w:rPr>
            </w:pPr>
            <w:r w:rsidRPr="00F36B82">
              <w:rPr>
                <w:color w:val="000000"/>
                <w:sz w:val="14"/>
                <w:szCs w:val="14"/>
              </w:rPr>
              <w:t>-</w:t>
            </w:r>
          </w:p>
        </w:tc>
        <w:tc>
          <w:tcPr>
            <w:tcW w:w="647" w:type="dxa"/>
            <w:tcBorders>
              <w:top w:val="nil"/>
              <w:left w:val="nil"/>
              <w:bottom w:val="nil"/>
              <w:right w:val="nil"/>
            </w:tcBorders>
            <w:vAlign w:val="bottom"/>
          </w:tcPr>
          <w:p w14:paraId="740F49A3" w14:textId="1DF93003" w:rsidR="002411D3" w:rsidRPr="00F36B82" w:rsidRDefault="002411D3" w:rsidP="00F36B82">
            <w:pPr>
              <w:jc w:val="right"/>
              <w:rPr>
                <w:color w:val="000000"/>
                <w:sz w:val="14"/>
                <w:szCs w:val="14"/>
              </w:rPr>
            </w:pPr>
            <w:r w:rsidRPr="00F36B82">
              <w:rPr>
                <w:color w:val="000000"/>
                <w:sz w:val="14"/>
                <w:szCs w:val="14"/>
              </w:rPr>
              <w:t>-</w:t>
            </w:r>
          </w:p>
        </w:tc>
        <w:tc>
          <w:tcPr>
            <w:tcW w:w="647" w:type="dxa"/>
            <w:tcBorders>
              <w:top w:val="nil"/>
              <w:left w:val="nil"/>
              <w:bottom w:val="nil"/>
              <w:right w:val="nil"/>
            </w:tcBorders>
            <w:vAlign w:val="bottom"/>
          </w:tcPr>
          <w:p w14:paraId="0988DA85" w14:textId="36A387D2" w:rsidR="002411D3" w:rsidRPr="00F36B82" w:rsidRDefault="002411D3" w:rsidP="00F36B82">
            <w:pPr>
              <w:jc w:val="right"/>
              <w:rPr>
                <w:color w:val="000000"/>
                <w:sz w:val="14"/>
                <w:szCs w:val="14"/>
              </w:rPr>
            </w:pPr>
            <w:r w:rsidRPr="00F36B82">
              <w:rPr>
                <w:color w:val="000000"/>
                <w:sz w:val="14"/>
                <w:szCs w:val="14"/>
              </w:rPr>
              <w:t>-</w:t>
            </w:r>
          </w:p>
        </w:tc>
        <w:tc>
          <w:tcPr>
            <w:tcW w:w="650" w:type="dxa"/>
            <w:tcBorders>
              <w:top w:val="nil"/>
              <w:left w:val="nil"/>
              <w:bottom w:val="nil"/>
              <w:right w:val="nil"/>
            </w:tcBorders>
            <w:vAlign w:val="bottom"/>
          </w:tcPr>
          <w:p w14:paraId="6233CDCC" w14:textId="646DFA71" w:rsidR="002411D3" w:rsidRPr="00F36B82" w:rsidRDefault="002411D3" w:rsidP="00F36B82">
            <w:pPr>
              <w:jc w:val="right"/>
              <w:rPr>
                <w:color w:val="000000"/>
                <w:sz w:val="14"/>
                <w:szCs w:val="14"/>
              </w:rPr>
            </w:pPr>
            <w:r w:rsidRPr="00F36B82">
              <w:rPr>
                <w:color w:val="000000"/>
                <w:sz w:val="14"/>
                <w:szCs w:val="14"/>
              </w:rPr>
              <w:t>-</w:t>
            </w:r>
          </w:p>
        </w:tc>
        <w:tc>
          <w:tcPr>
            <w:tcW w:w="660" w:type="dxa"/>
            <w:tcBorders>
              <w:top w:val="nil"/>
              <w:left w:val="nil"/>
              <w:bottom w:val="nil"/>
              <w:right w:val="nil"/>
            </w:tcBorders>
            <w:vAlign w:val="bottom"/>
          </w:tcPr>
          <w:p w14:paraId="786AEEC3" w14:textId="72B2ED76" w:rsidR="002411D3" w:rsidRPr="00F36B82" w:rsidRDefault="002411D3" w:rsidP="00F36B82">
            <w:pPr>
              <w:jc w:val="right"/>
              <w:rPr>
                <w:color w:val="000000"/>
                <w:sz w:val="14"/>
                <w:szCs w:val="14"/>
              </w:rPr>
            </w:pPr>
            <w:r w:rsidRPr="00F36B82">
              <w:rPr>
                <w:color w:val="000000"/>
                <w:sz w:val="14"/>
                <w:szCs w:val="14"/>
              </w:rPr>
              <w:t>-</w:t>
            </w:r>
          </w:p>
        </w:tc>
        <w:tc>
          <w:tcPr>
            <w:tcW w:w="674" w:type="dxa"/>
            <w:tcBorders>
              <w:top w:val="nil"/>
              <w:left w:val="nil"/>
              <w:bottom w:val="nil"/>
              <w:right w:val="nil"/>
            </w:tcBorders>
            <w:vAlign w:val="bottom"/>
          </w:tcPr>
          <w:p w14:paraId="39569F02" w14:textId="7E61E3BF" w:rsidR="002411D3" w:rsidRPr="00F36B82" w:rsidRDefault="002411D3" w:rsidP="00F36B82">
            <w:pPr>
              <w:jc w:val="right"/>
              <w:rPr>
                <w:color w:val="000000"/>
                <w:sz w:val="14"/>
                <w:szCs w:val="14"/>
              </w:rPr>
            </w:pPr>
            <w:r w:rsidRPr="00F36B82">
              <w:rPr>
                <w:color w:val="000000"/>
                <w:sz w:val="14"/>
                <w:szCs w:val="14"/>
              </w:rPr>
              <w:t>-</w:t>
            </w:r>
          </w:p>
        </w:tc>
        <w:tc>
          <w:tcPr>
            <w:tcW w:w="860" w:type="dxa"/>
            <w:tcBorders>
              <w:top w:val="nil"/>
              <w:left w:val="nil"/>
              <w:bottom w:val="nil"/>
              <w:right w:val="nil"/>
            </w:tcBorders>
            <w:vAlign w:val="bottom"/>
          </w:tcPr>
          <w:p w14:paraId="4B1EE66B" w14:textId="03C44B3B" w:rsidR="002411D3" w:rsidRPr="00F36B82" w:rsidRDefault="002411D3" w:rsidP="00F36B82">
            <w:pPr>
              <w:jc w:val="right"/>
              <w:rPr>
                <w:color w:val="000000"/>
                <w:sz w:val="14"/>
                <w:szCs w:val="14"/>
              </w:rPr>
            </w:pPr>
            <w:r w:rsidRPr="00F36B82">
              <w:rPr>
                <w:color w:val="000000"/>
                <w:sz w:val="14"/>
                <w:szCs w:val="14"/>
              </w:rPr>
              <w:t>-</w:t>
            </w:r>
          </w:p>
        </w:tc>
      </w:tr>
      <w:tr w:rsidR="002411D3" w:rsidRPr="00F36B82" w14:paraId="22DEC15D" w14:textId="77777777" w:rsidTr="00F36B82">
        <w:trPr>
          <w:trHeight w:val="206"/>
        </w:trPr>
        <w:tc>
          <w:tcPr>
            <w:tcW w:w="2337" w:type="dxa"/>
            <w:tcBorders>
              <w:top w:val="nil"/>
              <w:left w:val="nil"/>
              <w:bottom w:val="nil"/>
              <w:right w:val="nil"/>
            </w:tcBorders>
            <w:vAlign w:val="bottom"/>
            <w:hideMark/>
          </w:tcPr>
          <w:p w14:paraId="242B9D51" w14:textId="77777777" w:rsidR="002411D3" w:rsidRPr="00F36B82" w:rsidRDefault="002411D3" w:rsidP="002411D3">
            <w:pPr>
              <w:ind w:firstLineChars="30" w:firstLine="42"/>
              <w:rPr>
                <w:color w:val="000000"/>
                <w:sz w:val="14"/>
                <w:szCs w:val="14"/>
              </w:rPr>
            </w:pPr>
            <w:r w:rsidRPr="00F36B82">
              <w:rPr>
                <w:color w:val="000000"/>
                <w:sz w:val="14"/>
                <w:szCs w:val="14"/>
              </w:rPr>
              <w:t>ABD, Kanada</w:t>
            </w:r>
          </w:p>
        </w:tc>
        <w:tc>
          <w:tcPr>
            <w:tcW w:w="780" w:type="dxa"/>
            <w:tcBorders>
              <w:top w:val="nil"/>
              <w:left w:val="nil"/>
              <w:bottom w:val="nil"/>
              <w:right w:val="nil"/>
            </w:tcBorders>
            <w:vAlign w:val="bottom"/>
          </w:tcPr>
          <w:p w14:paraId="383EEAFE" w14:textId="77987CDC" w:rsidR="002411D3" w:rsidRPr="00F36B82" w:rsidRDefault="002411D3" w:rsidP="00F36B82">
            <w:pPr>
              <w:jc w:val="right"/>
              <w:rPr>
                <w:color w:val="000000"/>
                <w:sz w:val="14"/>
                <w:szCs w:val="14"/>
              </w:rPr>
            </w:pPr>
            <w:r w:rsidRPr="00F36B82">
              <w:rPr>
                <w:color w:val="000000"/>
                <w:sz w:val="14"/>
                <w:szCs w:val="14"/>
              </w:rPr>
              <w:t>-</w:t>
            </w:r>
          </w:p>
        </w:tc>
        <w:tc>
          <w:tcPr>
            <w:tcW w:w="544" w:type="dxa"/>
            <w:tcBorders>
              <w:top w:val="nil"/>
              <w:left w:val="nil"/>
              <w:bottom w:val="nil"/>
              <w:right w:val="nil"/>
            </w:tcBorders>
            <w:vAlign w:val="bottom"/>
          </w:tcPr>
          <w:p w14:paraId="60C9DF73" w14:textId="4B1979F6" w:rsidR="002411D3" w:rsidRPr="00F36B82" w:rsidRDefault="002411D3" w:rsidP="00F36B82">
            <w:pPr>
              <w:jc w:val="right"/>
              <w:rPr>
                <w:color w:val="000000"/>
                <w:sz w:val="14"/>
                <w:szCs w:val="14"/>
              </w:rPr>
            </w:pPr>
            <w:r w:rsidRPr="00F36B82">
              <w:rPr>
                <w:color w:val="000000"/>
                <w:sz w:val="14"/>
                <w:szCs w:val="14"/>
              </w:rPr>
              <w:t>-</w:t>
            </w:r>
          </w:p>
        </w:tc>
        <w:tc>
          <w:tcPr>
            <w:tcW w:w="478" w:type="dxa"/>
            <w:tcBorders>
              <w:top w:val="nil"/>
              <w:left w:val="nil"/>
              <w:bottom w:val="nil"/>
              <w:right w:val="nil"/>
            </w:tcBorders>
            <w:vAlign w:val="bottom"/>
          </w:tcPr>
          <w:p w14:paraId="3B8E1C10" w14:textId="6AB452A3" w:rsidR="002411D3" w:rsidRPr="00F36B82" w:rsidRDefault="002411D3" w:rsidP="00F36B82">
            <w:pPr>
              <w:jc w:val="right"/>
              <w:rPr>
                <w:color w:val="000000"/>
                <w:sz w:val="14"/>
                <w:szCs w:val="14"/>
              </w:rPr>
            </w:pPr>
            <w:r w:rsidRPr="00F36B82">
              <w:rPr>
                <w:color w:val="000000"/>
                <w:sz w:val="14"/>
                <w:szCs w:val="14"/>
              </w:rPr>
              <w:t>-</w:t>
            </w:r>
          </w:p>
        </w:tc>
        <w:tc>
          <w:tcPr>
            <w:tcW w:w="409" w:type="dxa"/>
            <w:tcBorders>
              <w:top w:val="nil"/>
              <w:left w:val="nil"/>
              <w:bottom w:val="nil"/>
              <w:right w:val="nil"/>
            </w:tcBorders>
            <w:vAlign w:val="bottom"/>
          </w:tcPr>
          <w:p w14:paraId="55D7711F" w14:textId="1AC2C3E7" w:rsidR="002411D3" w:rsidRPr="00F36B82" w:rsidRDefault="002411D3" w:rsidP="00F36B82">
            <w:pPr>
              <w:jc w:val="right"/>
              <w:rPr>
                <w:color w:val="000000"/>
                <w:sz w:val="14"/>
                <w:szCs w:val="14"/>
              </w:rPr>
            </w:pPr>
            <w:r w:rsidRPr="00F36B82">
              <w:rPr>
                <w:color w:val="000000"/>
                <w:sz w:val="14"/>
                <w:szCs w:val="14"/>
              </w:rPr>
              <w:t>-</w:t>
            </w:r>
          </w:p>
        </w:tc>
        <w:tc>
          <w:tcPr>
            <w:tcW w:w="709" w:type="dxa"/>
            <w:tcBorders>
              <w:top w:val="nil"/>
              <w:left w:val="nil"/>
              <w:bottom w:val="nil"/>
              <w:right w:val="nil"/>
            </w:tcBorders>
            <w:vAlign w:val="bottom"/>
          </w:tcPr>
          <w:p w14:paraId="451B8DE6" w14:textId="4AB3222F" w:rsidR="002411D3" w:rsidRPr="00F36B82" w:rsidRDefault="002411D3" w:rsidP="00F36B82">
            <w:pPr>
              <w:jc w:val="right"/>
              <w:rPr>
                <w:color w:val="000000"/>
                <w:sz w:val="14"/>
                <w:szCs w:val="14"/>
              </w:rPr>
            </w:pPr>
            <w:r w:rsidRPr="00F36B82">
              <w:rPr>
                <w:color w:val="000000"/>
                <w:sz w:val="14"/>
                <w:szCs w:val="14"/>
              </w:rPr>
              <w:t>-</w:t>
            </w:r>
          </w:p>
        </w:tc>
        <w:tc>
          <w:tcPr>
            <w:tcW w:w="795" w:type="dxa"/>
            <w:tcBorders>
              <w:top w:val="nil"/>
              <w:left w:val="nil"/>
              <w:bottom w:val="nil"/>
              <w:right w:val="nil"/>
            </w:tcBorders>
            <w:vAlign w:val="bottom"/>
          </w:tcPr>
          <w:p w14:paraId="4D1F9003" w14:textId="28FBD473" w:rsidR="002411D3" w:rsidRPr="00F36B82" w:rsidRDefault="002411D3" w:rsidP="00F36B82">
            <w:pPr>
              <w:jc w:val="right"/>
              <w:rPr>
                <w:color w:val="000000"/>
                <w:sz w:val="14"/>
                <w:szCs w:val="14"/>
              </w:rPr>
            </w:pPr>
            <w:r w:rsidRPr="00F36B82">
              <w:rPr>
                <w:color w:val="000000"/>
                <w:sz w:val="14"/>
                <w:szCs w:val="14"/>
              </w:rPr>
              <w:t>711.952</w:t>
            </w:r>
          </w:p>
        </w:tc>
        <w:tc>
          <w:tcPr>
            <w:tcW w:w="908" w:type="dxa"/>
            <w:tcBorders>
              <w:top w:val="nil"/>
              <w:left w:val="nil"/>
              <w:bottom w:val="nil"/>
              <w:right w:val="nil"/>
            </w:tcBorders>
            <w:vAlign w:val="bottom"/>
          </w:tcPr>
          <w:p w14:paraId="4EE4ACAA" w14:textId="3011C3B8" w:rsidR="002411D3" w:rsidRPr="00F36B82" w:rsidRDefault="002411D3" w:rsidP="00F36B82">
            <w:pPr>
              <w:jc w:val="right"/>
              <w:rPr>
                <w:color w:val="000000"/>
                <w:sz w:val="14"/>
                <w:szCs w:val="14"/>
              </w:rPr>
            </w:pPr>
            <w:r w:rsidRPr="00F36B82">
              <w:rPr>
                <w:color w:val="000000"/>
                <w:sz w:val="14"/>
                <w:szCs w:val="14"/>
              </w:rPr>
              <w:t>-</w:t>
            </w:r>
          </w:p>
        </w:tc>
        <w:tc>
          <w:tcPr>
            <w:tcW w:w="701" w:type="dxa"/>
            <w:tcBorders>
              <w:top w:val="nil"/>
              <w:left w:val="nil"/>
              <w:bottom w:val="nil"/>
              <w:right w:val="nil"/>
            </w:tcBorders>
            <w:vAlign w:val="bottom"/>
          </w:tcPr>
          <w:p w14:paraId="35C0CCFA" w14:textId="50B34327" w:rsidR="002411D3" w:rsidRPr="00F36B82" w:rsidRDefault="002411D3" w:rsidP="00F36B82">
            <w:pPr>
              <w:jc w:val="right"/>
              <w:rPr>
                <w:color w:val="000000"/>
                <w:sz w:val="14"/>
                <w:szCs w:val="14"/>
              </w:rPr>
            </w:pPr>
            <w:r w:rsidRPr="00F36B82">
              <w:rPr>
                <w:color w:val="000000"/>
                <w:sz w:val="14"/>
                <w:szCs w:val="14"/>
              </w:rPr>
              <w:t>-</w:t>
            </w:r>
          </w:p>
        </w:tc>
        <w:tc>
          <w:tcPr>
            <w:tcW w:w="718" w:type="dxa"/>
            <w:tcBorders>
              <w:top w:val="nil"/>
              <w:left w:val="nil"/>
              <w:bottom w:val="nil"/>
              <w:right w:val="nil"/>
            </w:tcBorders>
            <w:vAlign w:val="bottom"/>
          </w:tcPr>
          <w:p w14:paraId="408456C8" w14:textId="67FC1499" w:rsidR="002411D3" w:rsidRPr="00F36B82" w:rsidRDefault="002411D3" w:rsidP="00F36B82">
            <w:pPr>
              <w:jc w:val="right"/>
              <w:rPr>
                <w:color w:val="000000"/>
                <w:sz w:val="14"/>
                <w:szCs w:val="14"/>
              </w:rPr>
            </w:pPr>
            <w:r w:rsidRPr="00F36B82">
              <w:rPr>
                <w:color w:val="000000"/>
                <w:sz w:val="14"/>
                <w:szCs w:val="14"/>
              </w:rPr>
              <w:t>-</w:t>
            </w:r>
          </w:p>
        </w:tc>
        <w:tc>
          <w:tcPr>
            <w:tcW w:w="674" w:type="dxa"/>
            <w:tcBorders>
              <w:top w:val="nil"/>
              <w:left w:val="nil"/>
              <w:bottom w:val="nil"/>
              <w:right w:val="nil"/>
            </w:tcBorders>
            <w:vAlign w:val="bottom"/>
          </w:tcPr>
          <w:p w14:paraId="300206D5" w14:textId="73EB4DAB" w:rsidR="002411D3" w:rsidRPr="00F36B82" w:rsidRDefault="002411D3" w:rsidP="00F36B82">
            <w:pPr>
              <w:jc w:val="right"/>
              <w:rPr>
                <w:color w:val="000000"/>
                <w:sz w:val="14"/>
                <w:szCs w:val="14"/>
              </w:rPr>
            </w:pPr>
            <w:r w:rsidRPr="00F36B82">
              <w:rPr>
                <w:color w:val="000000"/>
                <w:sz w:val="14"/>
                <w:szCs w:val="14"/>
              </w:rPr>
              <w:t>-</w:t>
            </w:r>
          </w:p>
        </w:tc>
        <w:tc>
          <w:tcPr>
            <w:tcW w:w="734" w:type="dxa"/>
            <w:tcBorders>
              <w:top w:val="nil"/>
              <w:left w:val="nil"/>
              <w:bottom w:val="nil"/>
              <w:right w:val="nil"/>
            </w:tcBorders>
            <w:vAlign w:val="bottom"/>
          </w:tcPr>
          <w:p w14:paraId="58CCDA7E" w14:textId="61910173" w:rsidR="002411D3" w:rsidRPr="00F36B82" w:rsidRDefault="002411D3" w:rsidP="00F36B82">
            <w:pPr>
              <w:jc w:val="right"/>
              <w:rPr>
                <w:color w:val="000000"/>
                <w:sz w:val="14"/>
                <w:szCs w:val="14"/>
              </w:rPr>
            </w:pPr>
            <w:r w:rsidRPr="00F36B82">
              <w:rPr>
                <w:color w:val="000000"/>
                <w:sz w:val="14"/>
                <w:szCs w:val="14"/>
              </w:rPr>
              <w:t>-</w:t>
            </w:r>
          </w:p>
        </w:tc>
        <w:tc>
          <w:tcPr>
            <w:tcW w:w="647" w:type="dxa"/>
            <w:tcBorders>
              <w:top w:val="nil"/>
              <w:left w:val="nil"/>
              <w:bottom w:val="nil"/>
              <w:right w:val="nil"/>
            </w:tcBorders>
            <w:vAlign w:val="bottom"/>
          </w:tcPr>
          <w:p w14:paraId="45E6E7B1" w14:textId="54148594" w:rsidR="002411D3" w:rsidRPr="00F36B82" w:rsidRDefault="002411D3" w:rsidP="00F36B82">
            <w:pPr>
              <w:jc w:val="right"/>
              <w:rPr>
                <w:color w:val="000000"/>
                <w:sz w:val="14"/>
                <w:szCs w:val="14"/>
              </w:rPr>
            </w:pPr>
            <w:r w:rsidRPr="00F36B82">
              <w:rPr>
                <w:color w:val="000000"/>
                <w:sz w:val="14"/>
                <w:szCs w:val="14"/>
              </w:rPr>
              <w:t>-</w:t>
            </w:r>
          </w:p>
        </w:tc>
        <w:tc>
          <w:tcPr>
            <w:tcW w:w="647" w:type="dxa"/>
            <w:tcBorders>
              <w:top w:val="nil"/>
              <w:left w:val="nil"/>
              <w:bottom w:val="nil"/>
              <w:right w:val="nil"/>
            </w:tcBorders>
            <w:vAlign w:val="bottom"/>
          </w:tcPr>
          <w:p w14:paraId="46535BEC" w14:textId="0FB65E2A" w:rsidR="002411D3" w:rsidRPr="00F36B82" w:rsidRDefault="002411D3" w:rsidP="00F36B82">
            <w:pPr>
              <w:jc w:val="right"/>
              <w:rPr>
                <w:color w:val="000000"/>
                <w:sz w:val="14"/>
                <w:szCs w:val="14"/>
              </w:rPr>
            </w:pPr>
            <w:r w:rsidRPr="00F36B82">
              <w:rPr>
                <w:color w:val="000000"/>
                <w:sz w:val="14"/>
                <w:szCs w:val="14"/>
              </w:rPr>
              <w:t>-</w:t>
            </w:r>
          </w:p>
        </w:tc>
        <w:tc>
          <w:tcPr>
            <w:tcW w:w="647" w:type="dxa"/>
            <w:tcBorders>
              <w:top w:val="nil"/>
              <w:left w:val="nil"/>
              <w:bottom w:val="nil"/>
              <w:right w:val="nil"/>
            </w:tcBorders>
            <w:vAlign w:val="bottom"/>
          </w:tcPr>
          <w:p w14:paraId="06FA58C9" w14:textId="5F3C27C0" w:rsidR="002411D3" w:rsidRPr="00F36B82" w:rsidRDefault="002411D3" w:rsidP="00F36B82">
            <w:pPr>
              <w:jc w:val="right"/>
              <w:rPr>
                <w:color w:val="000000"/>
                <w:sz w:val="14"/>
                <w:szCs w:val="14"/>
              </w:rPr>
            </w:pPr>
            <w:r w:rsidRPr="00F36B82">
              <w:rPr>
                <w:color w:val="000000"/>
                <w:sz w:val="14"/>
                <w:szCs w:val="14"/>
              </w:rPr>
              <w:t>-</w:t>
            </w:r>
          </w:p>
        </w:tc>
        <w:tc>
          <w:tcPr>
            <w:tcW w:w="650" w:type="dxa"/>
            <w:tcBorders>
              <w:top w:val="nil"/>
              <w:left w:val="nil"/>
              <w:bottom w:val="nil"/>
              <w:right w:val="nil"/>
            </w:tcBorders>
            <w:vAlign w:val="bottom"/>
          </w:tcPr>
          <w:p w14:paraId="4D2CC7A6" w14:textId="71C4934A" w:rsidR="002411D3" w:rsidRPr="00F36B82" w:rsidRDefault="002411D3" w:rsidP="00F36B82">
            <w:pPr>
              <w:jc w:val="right"/>
              <w:rPr>
                <w:color w:val="000000"/>
                <w:sz w:val="14"/>
                <w:szCs w:val="14"/>
              </w:rPr>
            </w:pPr>
            <w:r w:rsidRPr="00F36B82">
              <w:rPr>
                <w:color w:val="000000"/>
                <w:sz w:val="14"/>
                <w:szCs w:val="14"/>
              </w:rPr>
              <w:t>-</w:t>
            </w:r>
          </w:p>
        </w:tc>
        <w:tc>
          <w:tcPr>
            <w:tcW w:w="660" w:type="dxa"/>
            <w:tcBorders>
              <w:top w:val="nil"/>
              <w:left w:val="nil"/>
              <w:bottom w:val="nil"/>
              <w:right w:val="nil"/>
            </w:tcBorders>
            <w:vAlign w:val="bottom"/>
          </w:tcPr>
          <w:p w14:paraId="49F400B9" w14:textId="2389ACD0" w:rsidR="002411D3" w:rsidRPr="00F36B82" w:rsidRDefault="002411D3" w:rsidP="00F36B82">
            <w:pPr>
              <w:jc w:val="right"/>
              <w:rPr>
                <w:color w:val="000000"/>
                <w:sz w:val="14"/>
                <w:szCs w:val="14"/>
              </w:rPr>
            </w:pPr>
            <w:r w:rsidRPr="00F36B82">
              <w:rPr>
                <w:color w:val="000000"/>
                <w:sz w:val="14"/>
                <w:szCs w:val="14"/>
              </w:rPr>
              <w:t>-</w:t>
            </w:r>
          </w:p>
        </w:tc>
        <w:tc>
          <w:tcPr>
            <w:tcW w:w="674" w:type="dxa"/>
            <w:tcBorders>
              <w:top w:val="nil"/>
              <w:left w:val="nil"/>
              <w:bottom w:val="nil"/>
              <w:right w:val="nil"/>
            </w:tcBorders>
            <w:vAlign w:val="bottom"/>
          </w:tcPr>
          <w:p w14:paraId="30CC95BF" w14:textId="5E7F6588" w:rsidR="002411D3" w:rsidRPr="00F36B82" w:rsidRDefault="002411D3" w:rsidP="00F36B82">
            <w:pPr>
              <w:jc w:val="right"/>
              <w:rPr>
                <w:color w:val="000000"/>
                <w:sz w:val="14"/>
                <w:szCs w:val="14"/>
              </w:rPr>
            </w:pPr>
            <w:r w:rsidRPr="00F36B82">
              <w:rPr>
                <w:color w:val="000000"/>
                <w:sz w:val="14"/>
                <w:szCs w:val="14"/>
              </w:rPr>
              <w:t>-</w:t>
            </w:r>
          </w:p>
        </w:tc>
        <w:tc>
          <w:tcPr>
            <w:tcW w:w="860" w:type="dxa"/>
            <w:tcBorders>
              <w:top w:val="nil"/>
              <w:left w:val="nil"/>
              <w:bottom w:val="nil"/>
              <w:right w:val="nil"/>
            </w:tcBorders>
            <w:vAlign w:val="bottom"/>
          </w:tcPr>
          <w:p w14:paraId="33998060" w14:textId="03D78CA5" w:rsidR="002411D3" w:rsidRPr="00F36B82" w:rsidRDefault="002411D3" w:rsidP="00F36B82">
            <w:pPr>
              <w:jc w:val="right"/>
              <w:rPr>
                <w:color w:val="000000"/>
                <w:sz w:val="14"/>
                <w:szCs w:val="14"/>
              </w:rPr>
            </w:pPr>
            <w:r w:rsidRPr="00F36B82">
              <w:rPr>
                <w:color w:val="000000"/>
                <w:sz w:val="14"/>
                <w:szCs w:val="14"/>
              </w:rPr>
              <w:t>711.952</w:t>
            </w:r>
          </w:p>
        </w:tc>
      </w:tr>
      <w:tr w:rsidR="002411D3" w:rsidRPr="00F36B82" w14:paraId="78B7EF3E" w14:textId="77777777" w:rsidTr="00F36B82">
        <w:trPr>
          <w:trHeight w:val="206"/>
        </w:trPr>
        <w:tc>
          <w:tcPr>
            <w:tcW w:w="2337" w:type="dxa"/>
            <w:tcBorders>
              <w:top w:val="nil"/>
              <w:left w:val="nil"/>
              <w:bottom w:val="nil"/>
              <w:right w:val="nil"/>
            </w:tcBorders>
            <w:vAlign w:val="bottom"/>
            <w:hideMark/>
          </w:tcPr>
          <w:p w14:paraId="56ACC222" w14:textId="77777777" w:rsidR="002411D3" w:rsidRPr="00F36B82" w:rsidRDefault="002411D3" w:rsidP="002411D3">
            <w:pPr>
              <w:ind w:firstLineChars="30" w:firstLine="42"/>
              <w:rPr>
                <w:color w:val="000000"/>
                <w:sz w:val="14"/>
                <w:szCs w:val="14"/>
              </w:rPr>
            </w:pPr>
            <w:r w:rsidRPr="00F36B82">
              <w:rPr>
                <w:color w:val="000000"/>
                <w:sz w:val="14"/>
                <w:szCs w:val="14"/>
              </w:rPr>
              <w:t>Diğer ülkeler</w:t>
            </w:r>
          </w:p>
        </w:tc>
        <w:tc>
          <w:tcPr>
            <w:tcW w:w="780" w:type="dxa"/>
            <w:tcBorders>
              <w:top w:val="nil"/>
              <w:left w:val="nil"/>
              <w:bottom w:val="nil"/>
              <w:right w:val="nil"/>
            </w:tcBorders>
            <w:vAlign w:val="bottom"/>
          </w:tcPr>
          <w:p w14:paraId="3CA078C7" w14:textId="1DBEFF1A" w:rsidR="002411D3" w:rsidRPr="00F36B82" w:rsidRDefault="002411D3" w:rsidP="00F36B82">
            <w:pPr>
              <w:jc w:val="right"/>
              <w:rPr>
                <w:color w:val="000000"/>
                <w:sz w:val="14"/>
                <w:szCs w:val="14"/>
              </w:rPr>
            </w:pPr>
            <w:r w:rsidRPr="00F36B82">
              <w:rPr>
                <w:color w:val="000000"/>
                <w:sz w:val="14"/>
                <w:szCs w:val="14"/>
              </w:rPr>
              <w:t>-</w:t>
            </w:r>
          </w:p>
        </w:tc>
        <w:tc>
          <w:tcPr>
            <w:tcW w:w="544" w:type="dxa"/>
            <w:tcBorders>
              <w:top w:val="nil"/>
              <w:left w:val="nil"/>
              <w:bottom w:val="nil"/>
              <w:right w:val="nil"/>
            </w:tcBorders>
            <w:vAlign w:val="bottom"/>
          </w:tcPr>
          <w:p w14:paraId="73464FBE" w14:textId="062B90F6" w:rsidR="002411D3" w:rsidRPr="00F36B82" w:rsidRDefault="002411D3" w:rsidP="00F36B82">
            <w:pPr>
              <w:jc w:val="right"/>
              <w:rPr>
                <w:color w:val="000000"/>
                <w:sz w:val="14"/>
                <w:szCs w:val="14"/>
              </w:rPr>
            </w:pPr>
            <w:r w:rsidRPr="00F36B82">
              <w:rPr>
                <w:color w:val="000000"/>
                <w:sz w:val="14"/>
                <w:szCs w:val="14"/>
              </w:rPr>
              <w:t>-</w:t>
            </w:r>
          </w:p>
        </w:tc>
        <w:tc>
          <w:tcPr>
            <w:tcW w:w="478" w:type="dxa"/>
            <w:tcBorders>
              <w:top w:val="nil"/>
              <w:left w:val="nil"/>
              <w:bottom w:val="nil"/>
              <w:right w:val="nil"/>
            </w:tcBorders>
            <w:vAlign w:val="bottom"/>
          </w:tcPr>
          <w:p w14:paraId="6B6E29FA" w14:textId="48045C4C" w:rsidR="002411D3" w:rsidRPr="00F36B82" w:rsidRDefault="002411D3" w:rsidP="00F36B82">
            <w:pPr>
              <w:jc w:val="right"/>
              <w:rPr>
                <w:color w:val="000000"/>
                <w:sz w:val="14"/>
                <w:szCs w:val="14"/>
              </w:rPr>
            </w:pPr>
            <w:r w:rsidRPr="00F36B82">
              <w:rPr>
                <w:color w:val="000000"/>
                <w:sz w:val="14"/>
                <w:szCs w:val="14"/>
              </w:rPr>
              <w:t>-</w:t>
            </w:r>
          </w:p>
        </w:tc>
        <w:tc>
          <w:tcPr>
            <w:tcW w:w="409" w:type="dxa"/>
            <w:tcBorders>
              <w:top w:val="nil"/>
              <w:left w:val="nil"/>
              <w:bottom w:val="nil"/>
              <w:right w:val="nil"/>
            </w:tcBorders>
            <w:vAlign w:val="bottom"/>
          </w:tcPr>
          <w:p w14:paraId="7C4D42B2" w14:textId="73D0ECC2" w:rsidR="002411D3" w:rsidRPr="00F36B82" w:rsidRDefault="002411D3" w:rsidP="00F36B82">
            <w:pPr>
              <w:jc w:val="right"/>
              <w:rPr>
                <w:color w:val="000000"/>
                <w:sz w:val="14"/>
                <w:szCs w:val="14"/>
              </w:rPr>
            </w:pPr>
            <w:r w:rsidRPr="00F36B82">
              <w:rPr>
                <w:color w:val="000000"/>
                <w:sz w:val="14"/>
                <w:szCs w:val="14"/>
              </w:rPr>
              <w:t>-</w:t>
            </w:r>
          </w:p>
        </w:tc>
        <w:tc>
          <w:tcPr>
            <w:tcW w:w="709" w:type="dxa"/>
            <w:tcBorders>
              <w:top w:val="nil"/>
              <w:left w:val="nil"/>
              <w:bottom w:val="nil"/>
              <w:right w:val="nil"/>
            </w:tcBorders>
            <w:vAlign w:val="bottom"/>
          </w:tcPr>
          <w:p w14:paraId="3B048FA4" w14:textId="75222BD7" w:rsidR="002411D3" w:rsidRPr="00F36B82" w:rsidRDefault="002411D3" w:rsidP="00F36B82">
            <w:pPr>
              <w:jc w:val="right"/>
              <w:rPr>
                <w:color w:val="000000"/>
                <w:sz w:val="14"/>
                <w:szCs w:val="14"/>
              </w:rPr>
            </w:pPr>
            <w:r w:rsidRPr="00F36B82">
              <w:rPr>
                <w:color w:val="000000"/>
                <w:sz w:val="14"/>
                <w:szCs w:val="14"/>
              </w:rPr>
              <w:t>-</w:t>
            </w:r>
          </w:p>
        </w:tc>
        <w:tc>
          <w:tcPr>
            <w:tcW w:w="795" w:type="dxa"/>
            <w:tcBorders>
              <w:top w:val="nil"/>
              <w:left w:val="nil"/>
              <w:bottom w:val="nil"/>
              <w:right w:val="nil"/>
            </w:tcBorders>
            <w:vAlign w:val="bottom"/>
          </w:tcPr>
          <w:p w14:paraId="39074C7D" w14:textId="761E323E" w:rsidR="002411D3" w:rsidRPr="00F36B82" w:rsidRDefault="002411D3" w:rsidP="00F36B82">
            <w:pPr>
              <w:jc w:val="right"/>
              <w:rPr>
                <w:color w:val="000000"/>
                <w:sz w:val="14"/>
                <w:szCs w:val="14"/>
              </w:rPr>
            </w:pPr>
            <w:r w:rsidRPr="00F36B82">
              <w:rPr>
                <w:color w:val="000000"/>
                <w:sz w:val="14"/>
                <w:szCs w:val="14"/>
              </w:rPr>
              <w:t>-</w:t>
            </w:r>
          </w:p>
        </w:tc>
        <w:tc>
          <w:tcPr>
            <w:tcW w:w="908" w:type="dxa"/>
            <w:tcBorders>
              <w:top w:val="nil"/>
              <w:left w:val="nil"/>
              <w:bottom w:val="nil"/>
              <w:right w:val="nil"/>
            </w:tcBorders>
            <w:vAlign w:val="bottom"/>
          </w:tcPr>
          <w:p w14:paraId="680E1CF1" w14:textId="141420FA" w:rsidR="002411D3" w:rsidRPr="00F36B82" w:rsidRDefault="002411D3" w:rsidP="00F36B82">
            <w:pPr>
              <w:jc w:val="right"/>
              <w:rPr>
                <w:color w:val="000000"/>
                <w:sz w:val="14"/>
                <w:szCs w:val="14"/>
              </w:rPr>
            </w:pPr>
            <w:r w:rsidRPr="00F36B82">
              <w:rPr>
                <w:color w:val="000000"/>
                <w:sz w:val="14"/>
                <w:szCs w:val="14"/>
              </w:rPr>
              <w:t>-</w:t>
            </w:r>
          </w:p>
        </w:tc>
        <w:tc>
          <w:tcPr>
            <w:tcW w:w="701" w:type="dxa"/>
            <w:tcBorders>
              <w:top w:val="nil"/>
              <w:left w:val="nil"/>
              <w:bottom w:val="nil"/>
              <w:right w:val="nil"/>
            </w:tcBorders>
            <w:vAlign w:val="bottom"/>
          </w:tcPr>
          <w:p w14:paraId="007938F9" w14:textId="712AF28D" w:rsidR="002411D3" w:rsidRPr="00F36B82" w:rsidRDefault="002411D3" w:rsidP="00F36B82">
            <w:pPr>
              <w:jc w:val="right"/>
              <w:rPr>
                <w:color w:val="000000"/>
                <w:sz w:val="14"/>
                <w:szCs w:val="14"/>
              </w:rPr>
            </w:pPr>
            <w:r w:rsidRPr="00F36B82">
              <w:rPr>
                <w:color w:val="000000"/>
                <w:sz w:val="14"/>
                <w:szCs w:val="14"/>
              </w:rPr>
              <w:t>-</w:t>
            </w:r>
          </w:p>
        </w:tc>
        <w:tc>
          <w:tcPr>
            <w:tcW w:w="718" w:type="dxa"/>
            <w:tcBorders>
              <w:top w:val="nil"/>
              <w:left w:val="nil"/>
              <w:bottom w:val="nil"/>
              <w:right w:val="nil"/>
            </w:tcBorders>
            <w:vAlign w:val="bottom"/>
          </w:tcPr>
          <w:p w14:paraId="458B5FC1" w14:textId="21CE88BF" w:rsidR="002411D3" w:rsidRPr="00F36B82" w:rsidRDefault="002411D3" w:rsidP="00F36B82">
            <w:pPr>
              <w:jc w:val="right"/>
              <w:rPr>
                <w:color w:val="000000"/>
                <w:sz w:val="14"/>
                <w:szCs w:val="14"/>
              </w:rPr>
            </w:pPr>
            <w:r w:rsidRPr="00F36B82">
              <w:rPr>
                <w:color w:val="000000"/>
                <w:sz w:val="14"/>
                <w:szCs w:val="14"/>
              </w:rPr>
              <w:t>-</w:t>
            </w:r>
          </w:p>
        </w:tc>
        <w:tc>
          <w:tcPr>
            <w:tcW w:w="674" w:type="dxa"/>
            <w:tcBorders>
              <w:top w:val="nil"/>
              <w:left w:val="nil"/>
              <w:bottom w:val="nil"/>
              <w:right w:val="nil"/>
            </w:tcBorders>
            <w:vAlign w:val="bottom"/>
          </w:tcPr>
          <w:p w14:paraId="0EE54AE8" w14:textId="1D34B0B0" w:rsidR="002411D3" w:rsidRPr="00F36B82" w:rsidRDefault="002411D3" w:rsidP="00F36B82">
            <w:pPr>
              <w:jc w:val="right"/>
              <w:rPr>
                <w:color w:val="000000"/>
                <w:sz w:val="14"/>
                <w:szCs w:val="14"/>
              </w:rPr>
            </w:pPr>
            <w:r w:rsidRPr="00F36B82">
              <w:rPr>
                <w:color w:val="000000"/>
                <w:sz w:val="14"/>
                <w:szCs w:val="14"/>
              </w:rPr>
              <w:t>-</w:t>
            </w:r>
          </w:p>
        </w:tc>
        <w:tc>
          <w:tcPr>
            <w:tcW w:w="734" w:type="dxa"/>
            <w:tcBorders>
              <w:top w:val="nil"/>
              <w:left w:val="nil"/>
              <w:bottom w:val="nil"/>
              <w:right w:val="nil"/>
            </w:tcBorders>
            <w:vAlign w:val="bottom"/>
          </w:tcPr>
          <w:p w14:paraId="0D77526B" w14:textId="69C7E72B" w:rsidR="002411D3" w:rsidRPr="00F36B82" w:rsidRDefault="002411D3" w:rsidP="00F36B82">
            <w:pPr>
              <w:jc w:val="right"/>
              <w:rPr>
                <w:color w:val="000000"/>
                <w:sz w:val="14"/>
                <w:szCs w:val="14"/>
              </w:rPr>
            </w:pPr>
            <w:r w:rsidRPr="00F36B82">
              <w:rPr>
                <w:color w:val="000000"/>
                <w:sz w:val="14"/>
                <w:szCs w:val="14"/>
              </w:rPr>
              <w:t>-</w:t>
            </w:r>
          </w:p>
        </w:tc>
        <w:tc>
          <w:tcPr>
            <w:tcW w:w="647" w:type="dxa"/>
            <w:tcBorders>
              <w:top w:val="nil"/>
              <w:left w:val="nil"/>
              <w:bottom w:val="nil"/>
              <w:right w:val="nil"/>
            </w:tcBorders>
            <w:vAlign w:val="bottom"/>
          </w:tcPr>
          <w:p w14:paraId="35A185D3" w14:textId="4E8AD2F5" w:rsidR="002411D3" w:rsidRPr="00F36B82" w:rsidRDefault="002411D3" w:rsidP="00F36B82">
            <w:pPr>
              <w:jc w:val="right"/>
              <w:rPr>
                <w:color w:val="000000"/>
                <w:sz w:val="14"/>
                <w:szCs w:val="14"/>
              </w:rPr>
            </w:pPr>
            <w:r w:rsidRPr="00F36B82">
              <w:rPr>
                <w:color w:val="000000"/>
                <w:sz w:val="14"/>
                <w:szCs w:val="14"/>
              </w:rPr>
              <w:t>-</w:t>
            </w:r>
          </w:p>
        </w:tc>
        <w:tc>
          <w:tcPr>
            <w:tcW w:w="647" w:type="dxa"/>
            <w:tcBorders>
              <w:top w:val="nil"/>
              <w:left w:val="nil"/>
              <w:bottom w:val="nil"/>
              <w:right w:val="nil"/>
            </w:tcBorders>
            <w:vAlign w:val="bottom"/>
          </w:tcPr>
          <w:p w14:paraId="1097B6EA" w14:textId="2C5E103D" w:rsidR="002411D3" w:rsidRPr="00F36B82" w:rsidRDefault="002411D3" w:rsidP="00F36B82">
            <w:pPr>
              <w:jc w:val="right"/>
              <w:rPr>
                <w:color w:val="000000"/>
                <w:sz w:val="14"/>
                <w:szCs w:val="14"/>
              </w:rPr>
            </w:pPr>
            <w:r w:rsidRPr="00F36B82">
              <w:rPr>
                <w:color w:val="000000"/>
                <w:sz w:val="14"/>
                <w:szCs w:val="14"/>
              </w:rPr>
              <w:t>-</w:t>
            </w:r>
          </w:p>
        </w:tc>
        <w:tc>
          <w:tcPr>
            <w:tcW w:w="647" w:type="dxa"/>
            <w:tcBorders>
              <w:top w:val="nil"/>
              <w:left w:val="nil"/>
              <w:bottom w:val="nil"/>
              <w:right w:val="nil"/>
            </w:tcBorders>
            <w:vAlign w:val="bottom"/>
          </w:tcPr>
          <w:p w14:paraId="2750D885" w14:textId="6BAB1BB7" w:rsidR="002411D3" w:rsidRPr="00F36B82" w:rsidRDefault="002411D3" w:rsidP="00F36B82">
            <w:pPr>
              <w:jc w:val="right"/>
              <w:rPr>
                <w:color w:val="000000"/>
                <w:sz w:val="14"/>
                <w:szCs w:val="14"/>
              </w:rPr>
            </w:pPr>
            <w:r w:rsidRPr="00F36B82">
              <w:rPr>
                <w:color w:val="000000"/>
                <w:sz w:val="14"/>
                <w:szCs w:val="14"/>
              </w:rPr>
              <w:t>-</w:t>
            </w:r>
          </w:p>
        </w:tc>
        <w:tc>
          <w:tcPr>
            <w:tcW w:w="650" w:type="dxa"/>
            <w:tcBorders>
              <w:top w:val="nil"/>
              <w:left w:val="nil"/>
              <w:bottom w:val="nil"/>
              <w:right w:val="nil"/>
            </w:tcBorders>
            <w:vAlign w:val="bottom"/>
          </w:tcPr>
          <w:p w14:paraId="638F31EB" w14:textId="7811B251" w:rsidR="002411D3" w:rsidRPr="00F36B82" w:rsidRDefault="002411D3" w:rsidP="00F36B82">
            <w:pPr>
              <w:jc w:val="right"/>
              <w:rPr>
                <w:color w:val="000000"/>
                <w:sz w:val="14"/>
                <w:szCs w:val="14"/>
              </w:rPr>
            </w:pPr>
            <w:r w:rsidRPr="00F36B82">
              <w:rPr>
                <w:color w:val="000000"/>
                <w:sz w:val="14"/>
                <w:szCs w:val="14"/>
              </w:rPr>
              <w:t>-</w:t>
            </w:r>
          </w:p>
        </w:tc>
        <w:tc>
          <w:tcPr>
            <w:tcW w:w="660" w:type="dxa"/>
            <w:tcBorders>
              <w:top w:val="nil"/>
              <w:left w:val="nil"/>
              <w:bottom w:val="nil"/>
              <w:right w:val="nil"/>
            </w:tcBorders>
            <w:vAlign w:val="bottom"/>
          </w:tcPr>
          <w:p w14:paraId="077AE8C7" w14:textId="5411FC70" w:rsidR="002411D3" w:rsidRPr="00F36B82" w:rsidRDefault="002411D3" w:rsidP="00F36B82">
            <w:pPr>
              <w:jc w:val="right"/>
              <w:rPr>
                <w:color w:val="000000"/>
                <w:sz w:val="14"/>
                <w:szCs w:val="14"/>
              </w:rPr>
            </w:pPr>
            <w:r w:rsidRPr="00F36B82">
              <w:rPr>
                <w:color w:val="000000"/>
                <w:sz w:val="14"/>
                <w:szCs w:val="14"/>
              </w:rPr>
              <w:t>-</w:t>
            </w:r>
          </w:p>
        </w:tc>
        <w:tc>
          <w:tcPr>
            <w:tcW w:w="674" w:type="dxa"/>
            <w:tcBorders>
              <w:top w:val="nil"/>
              <w:left w:val="nil"/>
              <w:bottom w:val="nil"/>
              <w:right w:val="nil"/>
            </w:tcBorders>
            <w:vAlign w:val="bottom"/>
          </w:tcPr>
          <w:p w14:paraId="1140DD0F" w14:textId="2818E2D9" w:rsidR="002411D3" w:rsidRPr="00F36B82" w:rsidRDefault="002411D3" w:rsidP="00F36B82">
            <w:pPr>
              <w:jc w:val="right"/>
              <w:rPr>
                <w:color w:val="000000"/>
                <w:sz w:val="14"/>
                <w:szCs w:val="14"/>
              </w:rPr>
            </w:pPr>
            <w:r w:rsidRPr="00F36B82">
              <w:rPr>
                <w:color w:val="000000"/>
                <w:sz w:val="14"/>
                <w:szCs w:val="14"/>
              </w:rPr>
              <w:t>-</w:t>
            </w:r>
          </w:p>
        </w:tc>
        <w:tc>
          <w:tcPr>
            <w:tcW w:w="860" w:type="dxa"/>
            <w:tcBorders>
              <w:top w:val="nil"/>
              <w:left w:val="nil"/>
              <w:bottom w:val="nil"/>
              <w:right w:val="nil"/>
            </w:tcBorders>
            <w:vAlign w:val="bottom"/>
          </w:tcPr>
          <w:p w14:paraId="006D35DC" w14:textId="29C64C09" w:rsidR="002411D3" w:rsidRPr="00F36B82" w:rsidRDefault="002411D3" w:rsidP="00F36B82">
            <w:pPr>
              <w:jc w:val="right"/>
              <w:rPr>
                <w:color w:val="000000"/>
                <w:sz w:val="14"/>
                <w:szCs w:val="14"/>
              </w:rPr>
            </w:pPr>
            <w:r w:rsidRPr="00F36B82">
              <w:rPr>
                <w:color w:val="000000"/>
                <w:sz w:val="14"/>
                <w:szCs w:val="14"/>
              </w:rPr>
              <w:t>-</w:t>
            </w:r>
          </w:p>
        </w:tc>
      </w:tr>
      <w:tr w:rsidR="002411D3" w:rsidRPr="00F36B82" w14:paraId="4CE24BDA" w14:textId="77777777" w:rsidTr="00F36B82">
        <w:trPr>
          <w:trHeight w:val="206"/>
        </w:trPr>
        <w:tc>
          <w:tcPr>
            <w:tcW w:w="2337" w:type="dxa"/>
            <w:tcBorders>
              <w:top w:val="nil"/>
              <w:left w:val="nil"/>
              <w:bottom w:val="nil"/>
              <w:right w:val="nil"/>
            </w:tcBorders>
            <w:vAlign w:val="bottom"/>
            <w:hideMark/>
          </w:tcPr>
          <w:p w14:paraId="436211D0" w14:textId="77777777" w:rsidR="002411D3" w:rsidRPr="00F36B82" w:rsidRDefault="002411D3" w:rsidP="002411D3">
            <w:pPr>
              <w:ind w:firstLineChars="30" w:firstLine="42"/>
              <w:rPr>
                <w:color w:val="000000"/>
                <w:sz w:val="14"/>
                <w:szCs w:val="14"/>
              </w:rPr>
            </w:pPr>
            <w:r w:rsidRPr="00F36B82">
              <w:rPr>
                <w:color w:val="000000"/>
                <w:sz w:val="14"/>
                <w:szCs w:val="14"/>
              </w:rPr>
              <w:t xml:space="preserve">İştirak, Bağlı Ortaklık ve </w:t>
            </w:r>
          </w:p>
          <w:p w14:paraId="24523A59" w14:textId="77777777" w:rsidR="002411D3" w:rsidRPr="00F36B82" w:rsidRDefault="002411D3" w:rsidP="002411D3">
            <w:pPr>
              <w:ind w:firstLineChars="30" w:firstLine="42"/>
              <w:rPr>
                <w:color w:val="000000"/>
                <w:sz w:val="14"/>
                <w:szCs w:val="14"/>
              </w:rPr>
            </w:pPr>
            <w:r w:rsidRPr="00F36B82">
              <w:rPr>
                <w:color w:val="000000"/>
                <w:sz w:val="14"/>
                <w:szCs w:val="14"/>
              </w:rPr>
              <w:t>Birlikte Kontrol Edilen Ortaklıklar</w:t>
            </w:r>
          </w:p>
        </w:tc>
        <w:tc>
          <w:tcPr>
            <w:tcW w:w="780" w:type="dxa"/>
            <w:tcBorders>
              <w:top w:val="nil"/>
              <w:left w:val="nil"/>
              <w:bottom w:val="nil"/>
              <w:right w:val="nil"/>
            </w:tcBorders>
            <w:vAlign w:val="bottom"/>
          </w:tcPr>
          <w:p w14:paraId="01951D63" w14:textId="7003E913" w:rsidR="002411D3" w:rsidRPr="00F36B82" w:rsidRDefault="002411D3" w:rsidP="00F36B82">
            <w:pPr>
              <w:jc w:val="right"/>
              <w:rPr>
                <w:color w:val="000000"/>
                <w:sz w:val="14"/>
                <w:szCs w:val="14"/>
              </w:rPr>
            </w:pPr>
            <w:r w:rsidRPr="00F36B82">
              <w:rPr>
                <w:color w:val="000000"/>
                <w:sz w:val="14"/>
                <w:szCs w:val="14"/>
              </w:rPr>
              <w:t>-</w:t>
            </w:r>
          </w:p>
        </w:tc>
        <w:tc>
          <w:tcPr>
            <w:tcW w:w="544" w:type="dxa"/>
            <w:tcBorders>
              <w:top w:val="nil"/>
              <w:left w:val="nil"/>
              <w:bottom w:val="nil"/>
              <w:right w:val="nil"/>
            </w:tcBorders>
            <w:vAlign w:val="bottom"/>
          </w:tcPr>
          <w:p w14:paraId="50950328" w14:textId="77E5FA8E" w:rsidR="002411D3" w:rsidRPr="00F36B82" w:rsidRDefault="002411D3" w:rsidP="00F36B82">
            <w:pPr>
              <w:jc w:val="right"/>
              <w:rPr>
                <w:color w:val="000000"/>
                <w:sz w:val="14"/>
                <w:szCs w:val="14"/>
              </w:rPr>
            </w:pPr>
            <w:r w:rsidRPr="00F36B82">
              <w:rPr>
                <w:color w:val="000000"/>
                <w:sz w:val="14"/>
                <w:szCs w:val="14"/>
              </w:rPr>
              <w:t>-</w:t>
            </w:r>
          </w:p>
        </w:tc>
        <w:tc>
          <w:tcPr>
            <w:tcW w:w="478" w:type="dxa"/>
            <w:tcBorders>
              <w:top w:val="nil"/>
              <w:left w:val="nil"/>
              <w:bottom w:val="nil"/>
              <w:right w:val="nil"/>
            </w:tcBorders>
            <w:vAlign w:val="bottom"/>
          </w:tcPr>
          <w:p w14:paraId="7FA6E51A" w14:textId="7DDC6844" w:rsidR="002411D3" w:rsidRPr="00F36B82" w:rsidRDefault="002411D3" w:rsidP="00F36B82">
            <w:pPr>
              <w:jc w:val="right"/>
              <w:rPr>
                <w:color w:val="000000"/>
                <w:sz w:val="14"/>
                <w:szCs w:val="14"/>
              </w:rPr>
            </w:pPr>
            <w:r w:rsidRPr="00F36B82">
              <w:rPr>
                <w:color w:val="000000"/>
                <w:sz w:val="14"/>
                <w:szCs w:val="14"/>
              </w:rPr>
              <w:t>-</w:t>
            </w:r>
          </w:p>
        </w:tc>
        <w:tc>
          <w:tcPr>
            <w:tcW w:w="409" w:type="dxa"/>
            <w:tcBorders>
              <w:top w:val="nil"/>
              <w:left w:val="nil"/>
              <w:bottom w:val="nil"/>
              <w:right w:val="nil"/>
            </w:tcBorders>
            <w:vAlign w:val="bottom"/>
          </w:tcPr>
          <w:p w14:paraId="40B01E5E" w14:textId="04A0647B" w:rsidR="002411D3" w:rsidRPr="00F36B82" w:rsidRDefault="002411D3" w:rsidP="00F36B82">
            <w:pPr>
              <w:jc w:val="right"/>
              <w:rPr>
                <w:color w:val="000000"/>
                <w:sz w:val="14"/>
                <w:szCs w:val="14"/>
              </w:rPr>
            </w:pPr>
            <w:r w:rsidRPr="00F36B82">
              <w:rPr>
                <w:color w:val="000000"/>
                <w:sz w:val="14"/>
                <w:szCs w:val="14"/>
              </w:rPr>
              <w:t>-</w:t>
            </w:r>
          </w:p>
        </w:tc>
        <w:tc>
          <w:tcPr>
            <w:tcW w:w="709" w:type="dxa"/>
            <w:tcBorders>
              <w:top w:val="nil"/>
              <w:left w:val="nil"/>
              <w:bottom w:val="nil"/>
              <w:right w:val="nil"/>
            </w:tcBorders>
            <w:vAlign w:val="bottom"/>
          </w:tcPr>
          <w:p w14:paraId="3F89C2CE" w14:textId="3BD1F8D6" w:rsidR="002411D3" w:rsidRPr="00F36B82" w:rsidRDefault="002411D3" w:rsidP="00F36B82">
            <w:pPr>
              <w:jc w:val="right"/>
              <w:rPr>
                <w:color w:val="000000"/>
                <w:sz w:val="14"/>
                <w:szCs w:val="14"/>
              </w:rPr>
            </w:pPr>
            <w:r w:rsidRPr="00F36B82">
              <w:rPr>
                <w:color w:val="000000"/>
                <w:sz w:val="14"/>
                <w:szCs w:val="14"/>
              </w:rPr>
              <w:t>-</w:t>
            </w:r>
          </w:p>
        </w:tc>
        <w:tc>
          <w:tcPr>
            <w:tcW w:w="795" w:type="dxa"/>
            <w:tcBorders>
              <w:top w:val="nil"/>
              <w:left w:val="nil"/>
              <w:bottom w:val="nil"/>
              <w:right w:val="nil"/>
            </w:tcBorders>
            <w:vAlign w:val="bottom"/>
          </w:tcPr>
          <w:p w14:paraId="23033DB1" w14:textId="269B3BB6" w:rsidR="002411D3" w:rsidRPr="00F36B82" w:rsidRDefault="002411D3" w:rsidP="00F36B82">
            <w:pPr>
              <w:jc w:val="right"/>
              <w:rPr>
                <w:color w:val="000000"/>
                <w:sz w:val="14"/>
                <w:szCs w:val="14"/>
              </w:rPr>
            </w:pPr>
            <w:r w:rsidRPr="00F36B82">
              <w:rPr>
                <w:color w:val="000000"/>
                <w:sz w:val="14"/>
                <w:szCs w:val="14"/>
              </w:rPr>
              <w:t>-</w:t>
            </w:r>
          </w:p>
        </w:tc>
        <w:tc>
          <w:tcPr>
            <w:tcW w:w="908" w:type="dxa"/>
            <w:tcBorders>
              <w:top w:val="nil"/>
              <w:left w:val="nil"/>
              <w:bottom w:val="nil"/>
              <w:right w:val="nil"/>
            </w:tcBorders>
            <w:vAlign w:val="bottom"/>
          </w:tcPr>
          <w:p w14:paraId="4E627582" w14:textId="5ADDE08D" w:rsidR="002411D3" w:rsidRPr="00F36B82" w:rsidRDefault="002411D3" w:rsidP="00F36B82">
            <w:pPr>
              <w:jc w:val="right"/>
              <w:rPr>
                <w:color w:val="000000"/>
                <w:sz w:val="14"/>
                <w:szCs w:val="14"/>
              </w:rPr>
            </w:pPr>
            <w:r w:rsidRPr="00F36B82">
              <w:rPr>
                <w:color w:val="000000"/>
                <w:sz w:val="14"/>
                <w:szCs w:val="14"/>
              </w:rPr>
              <w:t>-</w:t>
            </w:r>
          </w:p>
        </w:tc>
        <w:tc>
          <w:tcPr>
            <w:tcW w:w="701" w:type="dxa"/>
            <w:tcBorders>
              <w:top w:val="nil"/>
              <w:left w:val="nil"/>
              <w:bottom w:val="nil"/>
              <w:right w:val="nil"/>
            </w:tcBorders>
            <w:vAlign w:val="bottom"/>
          </w:tcPr>
          <w:p w14:paraId="3242DDA2" w14:textId="47FAB97C" w:rsidR="002411D3" w:rsidRPr="00F36B82" w:rsidRDefault="002411D3" w:rsidP="00F36B82">
            <w:pPr>
              <w:jc w:val="right"/>
              <w:rPr>
                <w:color w:val="000000"/>
                <w:sz w:val="14"/>
                <w:szCs w:val="14"/>
              </w:rPr>
            </w:pPr>
            <w:r w:rsidRPr="00F36B82">
              <w:rPr>
                <w:color w:val="000000"/>
                <w:sz w:val="14"/>
                <w:szCs w:val="14"/>
              </w:rPr>
              <w:t>-</w:t>
            </w:r>
          </w:p>
        </w:tc>
        <w:tc>
          <w:tcPr>
            <w:tcW w:w="718" w:type="dxa"/>
            <w:tcBorders>
              <w:top w:val="nil"/>
              <w:left w:val="nil"/>
              <w:bottom w:val="nil"/>
              <w:right w:val="nil"/>
            </w:tcBorders>
            <w:vAlign w:val="bottom"/>
          </w:tcPr>
          <w:p w14:paraId="4A3D6EC9" w14:textId="47CAF134" w:rsidR="002411D3" w:rsidRPr="00F36B82" w:rsidRDefault="002411D3" w:rsidP="00F36B82">
            <w:pPr>
              <w:jc w:val="right"/>
              <w:rPr>
                <w:color w:val="000000"/>
                <w:sz w:val="14"/>
                <w:szCs w:val="14"/>
              </w:rPr>
            </w:pPr>
            <w:r w:rsidRPr="00F36B82">
              <w:rPr>
                <w:color w:val="000000"/>
                <w:sz w:val="14"/>
                <w:szCs w:val="14"/>
              </w:rPr>
              <w:t>-</w:t>
            </w:r>
          </w:p>
        </w:tc>
        <w:tc>
          <w:tcPr>
            <w:tcW w:w="674" w:type="dxa"/>
            <w:tcBorders>
              <w:top w:val="nil"/>
              <w:left w:val="nil"/>
              <w:bottom w:val="nil"/>
              <w:right w:val="nil"/>
            </w:tcBorders>
            <w:vAlign w:val="bottom"/>
          </w:tcPr>
          <w:p w14:paraId="31CFF42E" w14:textId="020E3294" w:rsidR="002411D3" w:rsidRPr="00F36B82" w:rsidRDefault="002411D3" w:rsidP="00F36B82">
            <w:pPr>
              <w:jc w:val="right"/>
              <w:rPr>
                <w:color w:val="000000"/>
                <w:sz w:val="14"/>
                <w:szCs w:val="14"/>
              </w:rPr>
            </w:pPr>
            <w:r w:rsidRPr="00F36B82">
              <w:rPr>
                <w:color w:val="000000"/>
                <w:sz w:val="14"/>
                <w:szCs w:val="14"/>
              </w:rPr>
              <w:t>-</w:t>
            </w:r>
          </w:p>
        </w:tc>
        <w:tc>
          <w:tcPr>
            <w:tcW w:w="734" w:type="dxa"/>
            <w:tcBorders>
              <w:top w:val="nil"/>
              <w:left w:val="nil"/>
              <w:bottom w:val="nil"/>
              <w:right w:val="nil"/>
            </w:tcBorders>
            <w:vAlign w:val="bottom"/>
          </w:tcPr>
          <w:p w14:paraId="11D7566A" w14:textId="07DB765C" w:rsidR="002411D3" w:rsidRPr="00F36B82" w:rsidRDefault="002411D3" w:rsidP="00F36B82">
            <w:pPr>
              <w:jc w:val="right"/>
              <w:rPr>
                <w:color w:val="000000"/>
                <w:sz w:val="14"/>
                <w:szCs w:val="14"/>
              </w:rPr>
            </w:pPr>
            <w:r w:rsidRPr="00F36B82">
              <w:rPr>
                <w:color w:val="000000"/>
                <w:sz w:val="14"/>
                <w:szCs w:val="14"/>
              </w:rPr>
              <w:t>-</w:t>
            </w:r>
          </w:p>
        </w:tc>
        <w:tc>
          <w:tcPr>
            <w:tcW w:w="647" w:type="dxa"/>
            <w:tcBorders>
              <w:top w:val="nil"/>
              <w:left w:val="nil"/>
              <w:bottom w:val="nil"/>
              <w:right w:val="nil"/>
            </w:tcBorders>
            <w:vAlign w:val="bottom"/>
          </w:tcPr>
          <w:p w14:paraId="0D1AE1D9" w14:textId="1E7E7166" w:rsidR="002411D3" w:rsidRPr="00F36B82" w:rsidRDefault="002411D3" w:rsidP="00F36B82">
            <w:pPr>
              <w:jc w:val="right"/>
              <w:rPr>
                <w:color w:val="000000"/>
                <w:sz w:val="14"/>
                <w:szCs w:val="14"/>
              </w:rPr>
            </w:pPr>
            <w:r w:rsidRPr="00F36B82">
              <w:rPr>
                <w:color w:val="000000"/>
                <w:sz w:val="14"/>
                <w:szCs w:val="14"/>
              </w:rPr>
              <w:t>-</w:t>
            </w:r>
          </w:p>
        </w:tc>
        <w:tc>
          <w:tcPr>
            <w:tcW w:w="647" w:type="dxa"/>
            <w:tcBorders>
              <w:top w:val="nil"/>
              <w:left w:val="nil"/>
              <w:bottom w:val="nil"/>
              <w:right w:val="nil"/>
            </w:tcBorders>
            <w:vAlign w:val="bottom"/>
          </w:tcPr>
          <w:p w14:paraId="5B57044B" w14:textId="3A248181" w:rsidR="002411D3" w:rsidRPr="00F36B82" w:rsidRDefault="002411D3" w:rsidP="00F36B82">
            <w:pPr>
              <w:jc w:val="right"/>
              <w:rPr>
                <w:color w:val="000000"/>
                <w:sz w:val="14"/>
                <w:szCs w:val="14"/>
              </w:rPr>
            </w:pPr>
            <w:r w:rsidRPr="00F36B82">
              <w:rPr>
                <w:color w:val="000000"/>
                <w:sz w:val="14"/>
                <w:szCs w:val="14"/>
              </w:rPr>
              <w:t>-</w:t>
            </w:r>
          </w:p>
        </w:tc>
        <w:tc>
          <w:tcPr>
            <w:tcW w:w="647" w:type="dxa"/>
            <w:tcBorders>
              <w:top w:val="nil"/>
              <w:left w:val="nil"/>
              <w:bottom w:val="nil"/>
              <w:right w:val="nil"/>
            </w:tcBorders>
            <w:vAlign w:val="bottom"/>
          </w:tcPr>
          <w:p w14:paraId="344C8F82" w14:textId="1398E0D4" w:rsidR="002411D3" w:rsidRPr="00F36B82" w:rsidRDefault="002411D3" w:rsidP="00F36B82">
            <w:pPr>
              <w:jc w:val="right"/>
              <w:rPr>
                <w:color w:val="000000"/>
                <w:sz w:val="14"/>
                <w:szCs w:val="14"/>
              </w:rPr>
            </w:pPr>
            <w:r w:rsidRPr="00F36B82">
              <w:rPr>
                <w:color w:val="000000"/>
                <w:sz w:val="14"/>
                <w:szCs w:val="14"/>
              </w:rPr>
              <w:t>-</w:t>
            </w:r>
          </w:p>
        </w:tc>
        <w:tc>
          <w:tcPr>
            <w:tcW w:w="650" w:type="dxa"/>
            <w:tcBorders>
              <w:top w:val="nil"/>
              <w:left w:val="nil"/>
              <w:bottom w:val="nil"/>
              <w:right w:val="nil"/>
            </w:tcBorders>
            <w:vAlign w:val="bottom"/>
          </w:tcPr>
          <w:p w14:paraId="782A3508" w14:textId="73E3F26D" w:rsidR="002411D3" w:rsidRPr="00F36B82" w:rsidRDefault="002411D3" w:rsidP="00F36B82">
            <w:pPr>
              <w:jc w:val="right"/>
              <w:rPr>
                <w:color w:val="000000"/>
                <w:sz w:val="14"/>
                <w:szCs w:val="14"/>
              </w:rPr>
            </w:pPr>
            <w:r w:rsidRPr="00F36B82">
              <w:rPr>
                <w:color w:val="000000"/>
                <w:sz w:val="14"/>
                <w:szCs w:val="14"/>
              </w:rPr>
              <w:t>-</w:t>
            </w:r>
          </w:p>
        </w:tc>
        <w:tc>
          <w:tcPr>
            <w:tcW w:w="660" w:type="dxa"/>
            <w:tcBorders>
              <w:top w:val="nil"/>
              <w:left w:val="nil"/>
              <w:bottom w:val="nil"/>
              <w:right w:val="nil"/>
            </w:tcBorders>
            <w:vAlign w:val="bottom"/>
          </w:tcPr>
          <w:p w14:paraId="064166B3" w14:textId="23DDFB30" w:rsidR="002411D3" w:rsidRPr="00F36B82" w:rsidRDefault="002411D3" w:rsidP="00F36B82">
            <w:pPr>
              <w:jc w:val="right"/>
              <w:rPr>
                <w:color w:val="000000"/>
                <w:sz w:val="14"/>
                <w:szCs w:val="14"/>
              </w:rPr>
            </w:pPr>
            <w:r w:rsidRPr="00F36B82">
              <w:rPr>
                <w:color w:val="000000"/>
                <w:sz w:val="14"/>
                <w:szCs w:val="14"/>
              </w:rPr>
              <w:t>655.250</w:t>
            </w:r>
          </w:p>
        </w:tc>
        <w:tc>
          <w:tcPr>
            <w:tcW w:w="674" w:type="dxa"/>
            <w:tcBorders>
              <w:top w:val="nil"/>
              <w:left w:val="nil"/>
              <w:bottom w:val="nil"/>
              <w:right w:val="nil"/>
            </w:tcBorders>
            <w:vAlign w:val="bottom"/>
          </w:tcPr>
          <w:p w14:paraId="160D9EFF" w14:textId="3A4A3699" w:rsidR="002411D3" w:rsidRPr="00F36B82" w:rsidRDefault="002411D3" w:rsidP="00F36B82">
            <w:pPr>
              <w:jc w:val="right"/>
              <w:rPr>
                <w:color w:val="000000"/>
                <w:sz w:val="14"/>
                <w:szCs w:val="14"/>
              </w:rPr>
            </w:pPr>
            <w:r w:rsidRPr="00F36B82">
              <w:rPr>
                <w:color w:val="000000"/>
                <w:sz w:val="14"/>
                <w:szCs w:val="14"/>
              </w:rPr>
              <w:t>-</w:t>
            </w:r>
          </w:p>
        </w:tc>
        <w:tc>
          <w:tcPr>
            <w:tcW w:w="860" w:type="dxa"/>
            <w:tcBorders>
              <w:top w:val="nil"/>
              <w:left w:val="nil"/>
              <w:bottom w:val="nil"/>
              <w:right w:val="nil"/>
            </w:tcBorders>
            <w:vAlign w:val="bottom"/>
          </w:tcPr>
          <w:p w14:paraId="2399586E" w14:textId="1C3C2F44" w:rsidR="002411D3" w:rsidRPr="00F36B82" w:rsidRDefault="002411D3" w:rsidP="00F36B82">
            <w:pPr>
              <w:jc w:val="right"/>
              <w:rPr>
                <w:color w:val="000000"/>
                <w:sz w:val="14"/>
                <w:szCs w:val="14"/>
              </w:rPr>
            </w:pPr>
            <w:r w:rsidRPr="00F36B82">
              <w:rPr>
                <w:color w:val="000000"/>
                <w:sz w:val="14"/>
                <w:szCs w:val="14"/>
              </w:rPr>
              <w:t>655.250</w:t>
            </w:r>
          </w:p>
        </w:tc>
      </w:tr>
      <w:tr w:rsidR="002411D3" w:rsidRPr="00F36B82" w14:paraId="3739158F" w14:textId="77777777" w:rsidTr="00F36B82">
        <w:trPr>
          <w:trHeight w:val="206"/>
        </w:trPr>
        <w:tc>
          <w:tcPr>
            <w:tcW w:w="2337" w:type="dxa"/>
            <w:tcBorders>
              <w:top w:val="nil"/>
              <w:left w:val="nil"/>
              <w:bottom w:val="nil"/>
              <w:right w:val="nil"/>
            </w:tcBorders>
            <w:vAlign w:val="bottom"/>
            <w:hideMark/>
          </w:tcPr>
          <w:p w14:paraId="2084C682" w14:textId="77777777" w:rsidR="002411D3" w:rsidRPr="00F36B82" w:rsidRDefault="002411D3" w:rsidP="002411D3">
            <w:pPr>
              <w:rPr>
                <w:color w:val="000000"/>
                <w:sz w:val="14"/>
                <w:szCs w:val="14"/>
              </w:rPr>
            </w:pPr>
            <w:r w:rsidRPr="00F36B82">
              <w:rPr>
                <w:color w:val="000000"/>
                <w:sz w:val="14"/>
                <w:szCs w:val="14"/>
              </w:rPr>
              <w:t>Dağıtılmamış Varlıklar/ Yükümlülükler</w:t>
            </w:r>
            <w:r w:rsidRPr="00F36B82">
              <w:rPr>
                <w:color w:val="000000"/>
                <w:sz w:val="14"/>
                <w:szCs w:val="14"/>
                <w:vertAlign w:val="superscript"/>
              </w:rPr>
              <w:t>(***)</w:t>
            </w:r>
          </w:p>
        </w:tc>
        <w:tc>
          <w:tcPr>
            <w:tcW w:w="780" w:type="dxa"/>
            <w:tcBorders>
              <w:top w:val="nil"/>
              <w:left w:val="nil"/>
              <w:bottom w:val="nil"/>
              <w:right w:val="nil"/>
            </w:tcBorders>
            <w:vAlign w:val="bottom"/>
          </w:tcPr>
          <w:p w14:paraId="20C03AAD" w14:textId="055578AF" w:rsidR="002411D3" w:rsidRPr="00F36B82" w:rsidRDefault="002411D3" w:rsidP="00F36B82">
            <w:pPr>
              <w:jc w:val="right"/>
              <w:rPr>
                <w:color w:val="000000"/>
                <w:sz w:val="14"/>
                <w:szCs w:val="14"/>
              </w:rPr>
            </w:pPr>
            <w:r w:rsidRPr="00F36B82">
              <w:rPr>
                <w:color w:val="000000"/>
                <w:sz w:val="14"/>
                <w:szCs w:val="14"/>
              </w:rPr>
              <w:t>-</w:t>
            </w:r>
          </w:p>
        </w:tc>
        <w:tc>
          <w:tcPr>
            <w:tcW w:w="544" w:type="dxa"/>
            <w:tcBorders>
              <w:top w:val="nil"/>
              <w:left w:val="nil"/>
              <w:bottom w:val="nil"/>
              <w:right w:val="nil"/>
            </w:tcBorders>
            <w:vAlign w:val="bottom"/>
          </w:tcPr>
          <w:p w14:paraId="0997C356" w14:textId="13C8D63B" w:rsidR="002411D3" w:rsidRPr="00F36B82" w:rsidRDefault="002411D3" w:rsidP="00F36B82">
            <w:pPr>
              <w:jc w:val="right"/>
              <w:rPr>
                <w:color w:val="000000"/>
                <w:sz w:val="14"/>
                <w:szCs w:val="14"/>
              </w:rPr>
            </w:pPr>
            <w:r w:rsidRPr="00F36B82">
              <w:rPr>
                <w:color w:val="000000"/>
                <w:sz w:val="14"/>
                <w:szCs w:val="14"/>
              </w:rPr>
              <w:t>-</w:t>
            </w:r>
          </w:p>
        </w:tc>
        <w:tc>
          <w:tcPr>
            <w:tcW w:w="478" w:type="dxa"/>
            <w:tcBorders>
              <w:top w:val="nil"/>
              <w:left w:val="nil"/>
              <w:bottom w:val="nil"/>
              <w:right w:val="nil"/>
            </w:tcBorders>
            <w:vAlign w:val="bottom"/>
          </w:tcPr>
          <w:p w14:paraId="1E2D6E78" w14:textId="1DBF7DB9" w:rsidR="002411D3" w:rsidRPr="00F36B82" w:rsidRDefault="002411D3" w:rsidP="00F36B82">
            <w:pPr>
              <w:jc w:val="right"/>
              <w:rPr>
                <w:color w:val="000000"/>
                <w:sz w:val="14"/>
                <w:szCs w:val="14"/>
              </w:rPr>
            </w:pPr>
            <w:r w:rsidRPr="00F36B82">
              <w:rPr>
                <w:color w:val="000000"/>
                <w:sz w:val="14"/>
                <w:szCs w:val="14"/>
              </w:rPr>
              <w:t>-</w:t>
            </w:r>
          </w:p>
        </w:tc>
        <w:tc>
          <w:tcPr>
            <w:tcW w:w="409" w:type="dxa"/>
            <w:tcBorders>
              <w:top w:val="nil"/>
              <w:left w:val="nil"/>
              <w:bottom w:val="nil"/>
              <w:right w:val="nil"/>
            </w:tcBorders>
            <w:vAlign w:val="bottom"/>
          </w:tcPr>
          <w:p w14:paraId="4FF3BC39" w14:textId="796EAA7D" w:rsidR="002411D3" w:rsidRPr="00F36B82" w:rsidRDefault="002411D3" w:rsidP="00F36B82">
            <w:pPr>
              <w:jc w:val="right"/>
              <w:rPr>
                <w:color w:val="000000"/>
                <w:sz w:val="14"/>
                <w:szCs w:val="14"/>
              </w:rPr>
            </w:pPr>
            <w:r w:rsidRPr="00F36B82">
              <w:rPr>
                <w:color w:val="000000"/>
                <w:sz w:val="14"/>
                <w:szCs w:val="14"/>
              </w:rPr>
              <w:t>-</w:t>
            </w:r>
          </w:p>
        </w:tc>
        <w:tc>
          <w:tcPr>
            <w:tcW w:w="709" w:type="dxa"/>
            <w:tcBorders>
              <w:top w:val="nil"/>
              <w:left w:val="nil"/>
              <w:bottom w:val="nil"/>
              <w:right w:val="nil"/>
            </w:tcBorders>
            <w:vAlign w:val="bottom"/>
          </w:tcPr>
          <w:p w14:paraId="5488AD40" w14:textId="0C8AE518" w:rsidR="002411D3" w:rsidRPr="00F36B82" w:rsidRDefault="002411D3" w:rsidP="00F36B82">
            <w:pPr>
              <w:jc w:val="right"/>
              <w:rPr>
                <w:color w:val="000000"/>
                <w:sz w:val="14"/>
                <w:szCs w:val="14"/>
              </w:rPr>
            </w:pPr>
            <w:r w:rsidRPr="00F36B82">
              <w:rPr>
                <w:color w:val="000000"/>
                <w:sz w:val="14"/>
                <w:szCs w:val="14"/>
              </w:rPr>
              <w:t>-</w:t>
            </w:r>
          </w:p>
        </w:tc>
        <w:tc>
          <w:tcPr>
            <w:tcW w:w="795" w:type="dxa"/>
            <w:tcBorders>
              <w:top w:val="nil"/>
              <w:left w:val="nil"/>
              <w:bottom w:val="nil"/>
              <w:right w:val="nil"/>
            </w:tcBorders>
            <w:vAlign w:val="bottom"/>
          </w:tcPr>
          <w:p w14:paraId="1A6B4239" w14:textId="1A9D5662" w:rsidR="002411D3" w:rsidRPr="00F36B82" w:rsidRDefault="002411D3" w:rsidP="00F36B82">
            <w:pPr>
              <w:jc w:val="right"/>
              <w:rPr>
                <w:color w:val="000000"/>
                <w:sz w:val="14"/>
                <w:szCs w:val="14"/>
              </w:rPr>
            </w:pPr>
            <w:r w:rsidRPr="00F36B82">
              <w:rPr>
                <w:color w:val="000000"/>
                <w:sz w:val="14"/>
                <w:szCs w:val="14"/>
              </w:rPr>
              <w:t>-</w:t>
            </w:r>
          </w:p>
        </w:tc>
        <w:tc>
          <w:tcPr>
            <w:tcW w:w="908" w:type="dxa"/>
            <w:tcBorders>
              <w:top w:val="nil"/>
              <w:left w:val="nil"/>
              <w:bottom w:val="nil"/>
              <w:right w:val="nil"/>
            </w:tcBorders>
            <w:vAlign w:val="bottom"/>
          </w:tcPr>
          <w:p w14:paraId="1FD8539C" w14:textId="3C6DB16E" w:rsidR="002411D3" w:rsidRPr="00F36B82" w:rsidRDefault="002411D3" w:rsidP="00F36B82">
            <w:pPr>
              <w:jc w:val="right"/>
              <w:rPr>
                <w:color w:val="000000"/>
                <w:sz w:val="14"/>
                <w:szCs w:val="14"/>
              </w:rPr>
            </w:pPr>
            <w:r w:rsidRPr="00F36B82">
              <w:rPr>
                <w:color w:val="000000"/>
                <w:sz w:val="14"/>
                <w:szCs w:val="14"/>
              </w:rPr>
              <w:t>-</w:t>
            </w:r>
          </w:p>
        </w:tc>
        <w:tc>
          <w:tcPr>
            <w:tcW w:w="701" w:type="dxa"/>
            <w:tcBorders>
              <w:top w:val="nil"/>
              <w:left w:val="nil"/>
              <w:bottom w:val="nil"/>
              <w:right w:val="nil"/>
            </w:tcBorders>
            <w:vAlign w:val="bottom"/>
          </w:tcPr>
          <w:p w14:paraId="490C456A" w14:textId="4B9A8B84" w:rsidR="002411D3" w:rsidRPr="00F36B82" w:rsidRDefault="002411D3" w:rsidP="00F36B82">
            <w:pPr>
              <w:jc w:val="right"/>
              <w:rPr>
                <w:color w:val="000000"/>
                <w:sz w:val="14"/>
                <w:szCs w:val="14"/>
              </w:rPr>
            </w:pPr>
            <w:r w:rsidRPr="00F36B82">
              <w:rPr>
                <w:color w:val="000000"/>
                <w:sz w:val="14"/>
                <w:szCs w:val="14"/>
              </w:rPr>
              <w:t>-</w:t>
            </w:r>
          </w:p>
        </w:tc>
        <w:tc>
          <w:tcPr>
            <w:tcW w:w="718" w:type="dxa"/>
            <w:tcBorders>
              <w:top w:val="nil"/>
              <w:left w:val="nil"/>
              <w:bottom w:val="nil"/>
              <w:right w:val="nil"/>
            </w:tcBorders>
            <w:vAlign w:val="bottom"/>
          </w:tcPr>
          <w:p w14:paraId="76CFC0C2" w14:textId="7885B60B" w:rsidR="002411D3" w:rsidRPr="00F36B82" w:rsidRDefault="002411D3" w:rsidP="00F36B82">
            <w:pPr>
              <w:jc w:val="right"/>
              <w:rPr>
                <w:color w:val="000000"/>
                <w:sz w:val="14"/>
                <w:szCs w:val="14"/>
              </w:rPr>
            </w:pPr>
            <w:r w:rsidRPr="00F36B82">
              <w:rPr>
                <w:color w:val="000000"/>
                <w:sz w:val="14"/>
                <w:szCs w:val="14"/>
              </w:rPr>
              <w:t>-</w:t>
            </w:r>
          </w:p>
        </w:tc>
        <w:tc>
          <w:tcPr>
            <w:tcW w:w="674" w:type="dxa"/>
            <w:tcBorders>
              <w:top w:val="nil"/>
              <w:left w:val="nil"/>
              <w:bottom w:val="nil"/>
              <w:right w:val="nil"/>
            </w:tcBorders>
            <w:vAlign w:val="bottom"/>
          </w:tcPr>
          <w:p w14:paraId="1B22B6BC" w14:textId="3D9E6A33" w:rsidR="002411D3" w:rsidRPr="00F36B82" w:rsidRDefault="002411D3" w:rsidP="00F36B82">
            <w:pPr>
              <w:jc w:val="right"/>
              <w:rPr>
                <w:color w:val="000000"/>
                <w:sz w:val="14"/>
                <w:szCs w:val="14"/>
              </w:rPr>
            </w:pPr>
            <w:r w:rsidRPr="00F36B82">
              <w:rPr>
                <w:color w:val="000000"/>
                <w:sz w:val="14"/>
                <w:szCs w:val="14"/>
              </w:rPr>
              <w:t>-</w:t>
            </w:r>
          </w:p>
        </w:tc>
        <w:tc>
          <w:tcPr>
            <w:tcW w:w="734" w:type="dxa"/>
            <w:tcBorders>
              <w:top w:val="nil"/>
              <w:left w:val="nil"/>
              <w:bottom w:val="nil"/>
              <w:right w:val="nil"/>
            </w:tcBorders>
            <w:vAlign w:val="bottom"/>
          </w:tcPr>
          <w:p w14:paraId="1DC8FF46" w14:textId="69E0B0ED" w:rsidR="002411D3" w:rsidRPr="00F36B82" w:rsidRDefault="002411D3" w:rsidP="00F36B82">
            <w:pPr>
              <w:jc w:val="right"/>
              <w:rPr>
                <w:color w:val="000000"/>
                <w:sz w:val="14"/>
                <w:szCs w:val="14"/>
              </w:rPr>
            </w:pPr>
            <w:r w:rsidRPr="00F36B82">
              <w:rPr>
                <w:color w:val="000000"/>
                <w:sz w:val="14"/>
                <w:szCs w:val="14"/>
              </w:rPr>
              <w:t>-</w:t>
            </w:r>
          </w:p>
        </w:tc>
        <w:tc>
          <w:tcPr>
            <w:tcW w:w="647" w:type="dxa"/>
            <w:tcBorders>
              <w:top w:val="nil"/>
              <w:left w:val="nil"/>
              <w:bottom w:val="nil"/>
              <w:right w:val="nil"/>
            </w:tcBorders>
            <w:vAlign w:val="bottom"/>
          </w:tcPr>
          <w:p w14:paraId="42F5E404" w14:textId="02852CCB" w:rsidR="002411D3" w:rsidRPr="00F36B82" w:rsidRDefault="002411D3" w:rsidP="00F36B82">
            <w:pPr>
              <w:jc w:val="right"/>
              <w:rPr>
                <w:color w:val="000000"/>
                <w:sz w:val="14"/>
                <w:szCs w:val="14"/>
              </w:rPr>
            </w:pPr>
            <w:r w:rsidRPr="00F36B82">
              <w:rPr>
                <w:color w:val="000000"/>
                <w:sz w:val="14"/>
                <w:szCs w:val="14"/>
              </w:rPr>
              <w:t>-</w:t>
            </w:r>
          </w:p>
        </w:tc>
        <w:tc>
          <w:tcPr>
            <w:tcW w:w="647" w:type="dxa"/>
            <w:tcBorders>
              <w:top w:val="nil"/>
              <w:left w:val="nil"/>
              <w:bottom w:val="nil"/>
              <w:right w:val="nil"/>
            </w:tcBorders>
            <w:vAlign w:val="bottom"/>
          </w:tcPr>
          <w:p w14:paraId="6E394125" w14:textId="016D9F7D" w:rsidR="002411D3" w:rsidRPr="00F36B82" w:rsidRDefault="002411D3" w:rsidP="00F36B82">
            <w:pPr>
              <w:jc w:val="right"/>
              <w:rPr>
                <w:color w:val="000000"/>
                <w:sz w:val="14"/>
                <w:szCs w:val="14"/>
              </w:rPr>
            </w:pPr>
            <w:r w:rsidRPr="00F36B82">
              <w:rPr>
                <w:color w:val="000000"/>
                <w:sz w:val="14"/>
                <w:szCs w:val="14"/>
              </w:rPr>
              <w:t>-</w:t>
            </w:r>
          </w:p>
        </w:tc>
        <w:tc>
          <w:tcPr>
            <w:tcW w:w="647" w:type="dxa"/>
            <w:tcBorders>
              <w:top w:val="nil"/>
              <w:left w:val="nil"/>
              <w:bottom w:val="nil"/>
              <w:right w:val="nil"/>
            </w:tcBorders>
            <w:vAlign w:val="bottom"/>
          </w:tcPr>
          <w:p w14:paraId="25852486" w14:textId="4CB096AA" w:rsidR="002411D3" w:rsidRPr="00F36B82" w:rsidRDefault="002411D3" w:rsidP="00F36B82">
            <w:pPr>
              <w:jc w:val="right"/>
              <w:rPr>
                <w:color w:val="000000"/>
                <w:sz w:val="14"/>
                <w:szCs w:val="14"/>
              </w:rPr>
            </w:pPr>
            <w:r w:rsidRPr="00F36B82">
              <w:rPr>
                <w:color w:val="000000"/>
                <w:sz w:val="14"/>
                <w:szCs w:val="14"/>
              </w:rPr>
              <w:t>-</w:t>
            </w:r>
          </w:p>
        </w:tc>
        <w:tc>
          <w:tcPr>
            <w:tcW w:w="650" w:type="dxa"/>
            <w:tcBorders>
              <w:top w:val="nil"/>
              <w:left w:val="nil"/>
              <w:bottom w:val="nil"/>
              <w:right w:val="nil"/>
            </w:tcBorders>
            <w:vAlign w:val="bottom"/>
          </w:tcPr>
          <w:p w14:paraId="7FD6FAB9" w14:textId="2AB10AA1" w:rsidR="002411D3" w:rsidRPr="00F36B82" w:rsidRDefault="002411D3" w:rsidP="00F36B82">
            <w:pPr>
              <w:jc w:val="right"/>
              <w:rPr>
                <w:color w:val="000000"/>
                <w:sz w:val="14"/>
                <w:szCs w:val="14"/>
              </w:rPr>
            </w:pPr>
            <w:r w:rsidRPr="00F36B82">
              <w:rPr>
                <w:color w:val="000000"/>
                <w:sz w:val="14"/>
                <w:szCs w:val="14"/>
              </w:rPr>
              <w:t>-</w:t>
            </w:r>
          </w:p>
        </w:tc>
        <w:tc>
          <w:tcPr>
            <w:tcW w:w="660" w:type="dxa"/>
            <w:tcBorders>
              <w:top w:val="nil"/>
              <w:left w:val="nil"/>
              <w:bottom w:val="nil"/>
              <w:right w:val="nil"/>
            </w:tcBorders>
            <w:vAlign w:val="bottom"/>
          </w:tcPr>
          <w:p w14:paraId="755D876F" w14:textId="245D504F" w:rsidR="002411D3" w:rsidRPr="00F36B82" w:rsidRDefault="002411D3" w:rsidP="00F36B82">
            <w:pPr>
              <w:jc w:val="right"/>
              <w:rPr>
                <w:color w:val="000000"/>
                <w:sz w:val="14"/>
                <w:szCs w:val="14"/>
              </w:rPr>
            </w:pPr>
            <w:r w:rsidRPr="00F36B82">
              <w:rPr>
                <w:color w:val="000000"/>
                <w:sz w:val="14"/>
                <w:szCs w:val="14"/>
              </w:rPr>
              <w:t>-</w:t>
            </w:r>
          </w:p>
        </w:tc>
        <w:tc>
          <w:tcPr>
            <w:tcW w:w="674" w:type="dxa"/>
            <w:tcBorders>
              <w:top w:val="nil"/>
              <w:left w:val="nil"/>
              <w:bottom w:val="nil"/>
              <w:right w:val="nil"/>
            </w:tcBorders>
            <w:vAlign w:val="bottom"/>
          </w:tcPr>
          <w:p w14:paraId="2021B3D3" w14:textId="3D344F53" w:rsidR="002411D3" w:rsidRPr="00F36B82" w:rsidRDefault="002411D3" w:rsidP="00F36B82">
            <w:pPr>
              <w:jc w:val="right"/>
              <w:rPr>
                <w:color w:val="000000"/>
                <w:sz w:val="14"/>
                <w:szCs w:val="14"/>
              </w:rPr>
            </w:pPr>
            <w:r w:rsidRPr="00F36B82">
              <w:rPr>
                <w:color w:val="000000"/>
                <w:sz w:val="14"/>
                <w:szCs w:val="14"/>
              </w:rPr>
              <w:t>-</w:t>
            </w:r>
          </w:p>
        </w:tc>
        <w:tc>
          <w:tcPr>
            <w:tcW w:w="860" w:type="dxa"/>
            <w:tcBorders>
              <w:top w:val="nil"/>
              <w:left w:val="nil"/>
              <w:bottom w:val="nil"/>
              <w:right w:val="nil"/>
            </w:tcBorders>
            <w:vAlign w:val="bottom"/>
          </w:tcPr>
          <w:p w14:paraId="47FC5AED" w14:textId="50EB35F6" w:rsidR="002411D3" w:rsidRPr="00F36B82" w:rsidRDefault="002411D3" w:rsidP="00F36B82">
            <w:pPr>
              <w:jc w:val="right"/>
              <w:rPr>
                <w:color w:val="000000"/>
                <w:sz w:val="14"/>
                <w:szCs w:val="14"/>
              </w:rPr>
            </w:pPr>
            <w:r w:rsidRPr="00F36B82">
              <w:rPr>
                <w:color w:val="000000"/>
                <w:sz w:val="14"/>
                <w:szCs w:val="14"/>
              </w:rPr>
              <w:t>-</w:t>
            </w:r>
          </w:p>
        </w:tc>
      </w:tr>
      <w:tr w:rsidR="002411D3" w:rsidRPr="00F36B82" w14:paraId="01BC7FD2" w14:textId="77777777" w:rsidTr="00F36B82">
        <w:trPr>
          <w:trHeight w:val="206"/>
        </w:trPr>
        <w:tc>
          <w:tcPr>
            <w:tcW w:w="2337" w:type="dxa"/>
            <w:tcBorders>
              <w:top w:val="nil"/>
              <w:left w:val="nil"/>
              <w:bottom w:val="single" w:sz="4" w:space="0" w:color="auto"/>
              <w:right w:val="nil"/>
            </w:tcBorders>
            <w:vAlign w:val="bottom"/>
          </w:tcPr>
          <w:p w14:paraId="23FCD229" w14:textId="77777777" w:rsidR="002411D3" w:rsidRPr="00F36B82" w:rsidRDefault="002411D3" w:rsidP="002411D3">
            <w:pPr>
              <w:ind w:firstLineChars="30" w:firstLine="42"/>
              <w:rPr>
                <w:color w:val="000000"/>
                <w:sz w:val="14"/>
                <w:szCs w:val="14"/>
              </w:rPr>
            </w:pPr>
          </w:p>
        </w:tc>
        <w:tc>
          <w:tcPr>
            <w:tcW w:w="780" w:type="dxa"/>
            <w:tcBorders>
              <w:top w:val="nil"/>
              <w:left w:val="nil"/>
              <w:bottom w:val="single" w:sz="4" w:space="0" w:color="auto"/>
              <w:right w:val="nil"/>
            </w:tcBorders>
            <w:vAlign w:val="bottom"/>
          </w:tcPr>
          <w:p w14:paraId="3517461D" w14:textId="6A821115" w:rsidR="002411D3" w:rsidRPr="00F36B82" w:rsidRDefault="002411D3" w:rsidP="00F36B82">
            <w:pPr>
              <w:jc w:val="right"/>
              <w:rPr>
                <w:color w:val="000000"/>
                <w:sz w:val="14"/>
                <w:szCs w:val="14"/>
              </w:rPr>
            </w:pPr>
            <w:r w:rsidRPr="00F36B82">
              <w:rPr>
                <w:color w:val="000000"/>
                <w:sz w:val="14"/>
                <w:szCs w:val="14"/>
              </w:rPr>
              <w:t> </w:t>
            </w:r>
          </w:p>
        </w:tc>
        <w:tc>
          <w:tcPr>
            <w:tcW w:w="544" w:type="dxa"/>
            <w:tcBorders>
              <w:top w:val="nil"/>
              <w:left w:val="nil"/>
              <w:bottom w:val="single" w:sz="4" w:space="0" w:color="auto"/>
              <w:right w:val="nil"/>
            </w:tcBorders>
            <w:vAlign w:val="bottom"/>
          </w:tcPr>
          <w:p w14:paraId="58E98A7E" w14:textId="1AD62FFE" w:rsidR="002411D3" w:rsidRPr="00F36B82" w:rsidRDefault="002411D3" w:rsidP="00F36B82">
            <w:pPr>
              <w:jc w:val="right"/>
              <w:rPr>
                <w:color w:val="000000"/>
                <w:sz w:val="14"/>
                <w:szCs w:val="14"/>
              </w:rPr>
            </w:pPr>
            <w:r w:rsidRPr="00F36B82">
              <w:rPr>
                <w:color w:val="000000"/>
                <w:sz w:val="14"/>
                <w:szCs w:val="14"/>
              </w:rPr>
              <w:t> </w:t>
            </w:r>
          </w:p>
        </w:tc>
        <w:tc>
          <w:tcPr>
            <w:tcW w:w="478" w:type="dxa"/>
            <w:tcBorders>
              <w:top w:val="nil"/>
              <w:left w:val="nil"/>
              <w:bottom w:val="single" w:sz="4" w:space="0" w:color="auto"/>
              <w:right w:val="nil"/>
            </w:tcBorders>
            <w:vAlign w:val="bottom"/>
          </w:tcPr>
          <w:p w14:paraId="1272FA50" w14:textId="25FBE330" w:rsidR="002411D3" w:rsidRPr="00F36B82" w:rsidRDefault="002411D3" w:rsidP="00F36B82">
            <w:pPr>
              <w:jc w:val="right"/>
              <w:rPr>
                <w:color w:val="000000"/>
                <w:sz w:val="14"/>
                <w:szCs w:val="14"/>
              </w:rPr>
            </w:pPr>
            <w:r w:rsidRPr="00F36B82">
              <w:rPr>
                <w:color w:val="000000"/>
                <w:sz w:val="14"/>
                <w:szCs w:val="14"/>
              </w:rPr>
              <w:t> </w:t>
            </w:r>
          </w:p>
        </w:tc>
        <w:tc>
          <w:tcPr>
            <w:tcW w:w="409" w:type="dxa"/>
            <w:tcBorders>
              <w:top w:val="nil"/>
              <w:left w:val="nil"/>
              <w:bottom w:val="single" w:sz="4" w:space="0" w:color="auto"/>
              <w:right w:val="nil"/>
            </w:tcBorders>
            <w:vAlign w:val="bottom"/>
          </w:tcPr>
          <w:p w14:paraId="5FF9902C" w14:textId="4B477FF4" w:rsidR="002411D3" w:rsidRPr="00F36B82" w:rsidRDefault="002411D3" w:rsidP="00F36B82">
            <w:pPr>
              <w:jc w:val="right"/>
              <w:rPr>
                <w:color w:val="000000"/>
                <w:sz w:val="14"/>
                <w:szCs w:val="14"/>
              </w:rPr>
            </w:pPr>
            <w:r w:rsidRPr="00F36B82">
              <w:rPr>
                <w:color w:val="000000"/>
                <w:sz w:val="14"/>
                <w:szCs w:val="14"/>
              </w:rPr>
              <w:t> </w:t>
            </w:r>
          </w:p>
        </w:tc>
        <w:tc>
          <w:tcPr>
            <w:tcW w:w="709" w:type="dxa"/>
            <w:tcBorders>
              <w:top w:val="nil"/>
              <w:left w:val="nil"/>
              <w:bottom w:val="single" w:sz="4" w:space="0" w:color="auto"/>
              <w:right w:val="nil"/>
            </w:tcBorders>
            <w:vAlign w:val="bottom"/>
          </w:tcPr>
          <w:p w14:paraId="041CE245" w14:textId="1104937A" w:rsidR="002411D3" w:rsidRPr="00F36B82" w:rsidRDefault="002411D3" w:rsidP="00F36B82">
            <w:pPr>
              <w:jc w:val="right"/>
              <w:rPr>
                <w:color w:val="000000"/>
                <w:sz w:val="14"/>
                <w:szCs w:val="14"/>
              </w:rPr>
            </w:pPr>
            <w:r w:rsidRPr="00F36B82">
              <w:rPr>
                <w:color w:val="000000"/>
                <w:sz w:val="14"/>
                <w:szCs w:val="14"/>
              </w:rPr>
              <w:t> </w:t>
            </w:r>
          </w:p>
        </w:tc>
        <w:tc>
          <w:tcPr>
            <w:tcW w:w="795" w:type="dxa"/>
            <w:tcBorders>
              <w:top w:val="nil"/>
              <w:left w:val="nil"/>
              <w:bottom w:val="single" w:sz="4" w:space="0" w:color="auto"/>
              <w:right w:val="nil"/>
            </w:tcBorders>
            <w:vAlign w:val="bottom"/>
          </w:tcPr>
          <w:p w14:paraId="63213553" w14:textId="779A6F02" w:rsidR="002411D3" w:rsidRPr="00F36B82" w:rsidRDefault="002411D3" w:rsidP="00F36B82">
            <w:pPr>
              <w:jc w:val="right"/>
              <w:rPr>
                <w:color w:val="000000"/>
                <w:sz w:val="14"/>
                <w:szCs w:val="14"/>
              </w:rPr>
            </w:pPr>
            <w:r w:rsidRPr="00F36B82">
              <w:rPr>
                <w:color w:val="000000"/>
                <w:sz w:val="14"/>
                <w:szCs w:val="14"/>
              </w:rPr>
              <w:t> </w:t>
            </w:r>
          </w:p>
        </w:tc>
        <w:tc>
          <w:tcPr>
            <w:tcW w:w="908" w:type="dxa"/>
            <w:tcBorders>
              <w:top w:val="nil"/>
              <w:left w:val="nil"/>
              <w:bottom w:val="single" w:sz="4" w:space="0" w:color="auto"/>
              <w:right w:val="nil"/>
            </w:tcBorders>
            <w:vAlign w:val="bottom"/>
          </w:tcPr>
          <w:p w14:paraId="0C079D34" w14:textId="7AA188B3" w:rsidR="002411D3" w:rsidRPr="00F36B82" w:rsidRDefault="002411D3" w:rsidP="00F36B82">
            <w:pPr>
              <w:jc w:val="right"/>
              <w:rPr>
                <w:color w:val="000000"/>
                <w:sz w:val="14"/>
                <w:szCs w:val="14"/>
              </w:rPr>
            </w:pPr>
            <w:r w:rsidRPr="00F36B82">
              <w:rPr>
                <w:color w:val="000000"/>
                <w:sz w:val="14"/>
                <w:szCs w:val="14"/>
              </w:rPr>
              <w:t> </w:t>
            </w:r>
          </w:p>
        </w:tc>
        <w:tc>
          <w:tcPr>
            <w:tcW w:w="701" w:type="dxa"/>
            <w:tcBorders>
              <w:top w:val="nil"/>
              <w:left w:val="nil"/>
              <w:bottom w:val="single" w:sz="4" w:space="0" w:color="auto"/>
              <w:right w:val="nil"/>
            </w:tcBorders>
            <w:vAlign w:val="bottom"/>
          </w:tcPr>
          <w:p w14:paraId="1B268486" w14:textId="2206274D" w:rsidR="002411D3" w:rsidRPr="00F36B82" w:rsidRDefault="002411D3" w:rsidP="00F36B82">
            <w:pPr>
              <w:jc w:val="right"/>
              <w:rPr>
                <w:color w:val="000000"/>
                <w:sz w:val="14"/>
                <w:szCs w:val="14"/>
              </w:rPr>
            </w:pPr>
            <w:r w:rsidRPr="00F36B82">
              <w:rPr>
                <w:color w:val="000000"/>
                <w:sz w:val="14"/>
                <w:szCs w:val="14"/>
              </w:rPr>
              <w:t> </w:t>
            </w:r>
          </w:p>
        </w:tc>
        <w:tc>
          <w:tcPr>
            <w:tcW w:w="718" w:type="dxa"/>
            <w:tcBorders>
              <w:top w:val="nil"/>
              <w:left w:val="nil"/>
              <w:bottom w:val="single" w:sz="4" w:space="0" w:color="auto"/>
              <w:right w:val="nil"/>
            </w:tcBorders>
            <w:vAlign w:val="bottom"/>
          </w:tcPr>
          <w:p w14:paraId="2FB6B7BC" w14:textId="611E7A94" w:rsidR="002411D3" w:rsidRPr="00F36B82" w:rsidRDefault="002411D3" w:rsidP="00F36B82">
            <w:pPr>
              <w:jc w:val="right"/>
              <w:rPr>
                <w:color w:val="000000"/>
                <w:sz w:val="14"/>
                <w:szCs w:val="14"/>
              </w:rPr>
            </w:pPr>
            <w:r w:rsidRPr="00F36B82">
              <w:rPr>
                <w:color w:val="000000"/>
                <w:sz w:val="14"/>
                <w:szCs w:val="14"/>
              </w:rPr>
              <w:t> </w:t>
            </w:r>
          </w:p>
        </w:tc>
        <w:tc>
          <w:tcPr>
            <w:tcW w:w="674" w:type="dxa"/>
            <w:tcBorders>
              <w:top w:val="nil"/>
              <w:left w:val="nil"/>
              <w:bottom w:val="single" w:sz="4" w:space="0" w:color="auto"/>
              <w:right w:val="nil"/>
            </w:tcBorders>
            <w:vAlign w:val="bottom"/>
          </w:tcPr>
          <w:p w14:paraId="0FB383D6" w14:textId="69517626" w:rsidR="002411D3" w:rsidRPr="00F36B82" w:rsidRDefault="002411D3" w:rsidP="00F36B82">
            <w:pPr>
              <w:jc w:val="right"/>
              <w:rPr>
                <w:color w:val="000000"/>
                <w:sz w:val="14"/>
                <w:szCs w:val="14"/>
              </w:rPr>
            </w:pPr>
            <w:r w:rsidRPr="00F36B82">
              <w:rPr>
                <w:color w:val="000000"/>
                <w:sz w:val="14"/>
                <w:szCs w:val="14"/>
              </w:rPr>
              <w:t> </w:t>
            </w:r>
          </w:p>
        </w:tc>
        <w:tc>
          <w:tcPr>
            <w:tcW w:w="734" w:type="dxa"/>
            <w:tcBorders>
              <w:top w:val="nil"/>
              <w:left w:val="nil"/>
              <w:bottom w:val="single" w:sz="4" w:space="0" w:color="auto"/>
              <w:right w:val="nil"/>
            </w:tcBorders>
            <w:vAlign w:val="bottom"/>
          </w:tcPr>
          <w:p w14:paraId="74D568BA" w14:textId="752E8FB4" w:rsidR="002411D3" w:rsidRPr="00F36B82" w:rsidRDefault="002411D3" w:rsidP="00F36B82">
            <w:pPr>
              <w:jc w:val="right"/>
              <w:rPr>
                <w:color w:val="000000"/>
                <w:sz w:val="14"/>
                <w:szCs w:val="14"/>
              </w:rPr>
            </w:pPr>
            <w:r w:rsidRPr="00F36B82">
              <w:rPr>
                <w:color w:val="000000"/>
                <w:sz w:val="14"/>
                <w:szCs w:val="14"/>
              </w:rPr>
              <w:t> </w:t>
            </w:r>
          </w:p>
        </w:tc>
        <w:tc>
          <w:tcPr>
            <w:tcW w:w="647" w:type="dxa"/>
            <w:tcBorders>
              <w:top w:val="nil"/>
              <w:left w:val="nil"/>
              <w:bottom w:val="single" w:sz="4" w:space="0" w:color="auto"/>
              <w:right w:val="nil"/>
            </w:tcBorders>
            <w:vAlign w:val="bottom"/>
          </w:tcPr>
          <w:p w14:paraId="3A1FAC6B" w14:textId="164BEEEB" w:rsidR="002411D3" w:rsidRPr="00F36B82" w:rsidRDefault="002411D3" w:rsidP="00F36B82">
            <w:pPr>
              <w:jc w:val="right"/>
              <w:rPr>
                <w:color w:val="000000"/>
                <w:sz w:val="14"/>
                <w:szCs w:val="14"/>
              </w:rPr>
            </w:pPr>
            <w:r w:rsidRPr="00F36B82">
              <w:rPr>
                <w:color w:val="000000"/>
                <w:sz w:val="14"/>
                <w:szCs w:val="14"/>
              </w:rPr>
              <w:t> </w:t>
            </w:r>
          </w:p>
        </w:tc>
        <w:tc>
          <w:tcPr>
            <w:tcW w:w="647" w:type="dxa"/>
            <w:tcBorders>
              <w:top w:val="nil"/>
              <w:left w:val="nil"/>
              <w:bottom w:val="single" w:sz="4" w:space="0" w:color="auto"/>
              <w:right w:val="nil"/>
            </w:tcBorders>
            <w:vAlign w:val="bottom"/>
          </w:tcPr>
          <w:p w14:paraId="6C2660A8" w14:textId="7A197107" w:rsidR="002411D3" w:rsidRPr="00F36B82" w:rsidRDefault="002411D3" w:rsidP="00F36B82">
            <w:pPr>
              <w:jc w:val="right"/>
              <w:rPr>
                <w:color w:val="000000"/>
                <w:sz w:val="14"/>
                <w:szCs w:val="14"/>
              </w:rPr>
            </w:pPr>
            <w:r w:rsidRPr="00F36B82">
              <w:rPr>
                <w:color w:val="000000"/>
                <w:sz w:val="14"/>
                <w:szCs w:val="14"/>
              </w:rPr>
              <w:t> </w:t>
            </w:r>
          </w:p>
        </w:tc>
        <w:tc>
          <w:tcPr>
            <w:tcW w:w="647" w:type="dxa"/>
            <w:tcBorders>
              <w:top w:val="nil"/>
              <w:left w:val="nil"/>
              <w:bottom w:val="single" w:sz="4" w:space="0" w:color="auto"/>
              <w:right w:val="nil"/>
            </w:tcBorders>
            <w:vAlign w:val="bottom"/>
          </w:tcPr>
          <w:p w14:paraId="1756FA6E" w14:textId="3D121A92" w:rsidR="002411D3" w:rsidRPr="00F36B82" w:rsidRDefault="002411D3" w:rsidP="00F36B82">
            <w:pPr>
              <w:jc w:val="right"/>
              <w:rPr>
                <w:color w:val="000000"/>
                <w:sz w:val="14"/>
                <w:szCs w:val="14"/>
              </w:rPr>
            </w:pPr>
            <w:r w:rsidRPr="00F36B82">
              <w:rPr>
                <w:color w:val="000000"/>
                <w:sz w:val="14"/>
                <w:szCs w:val="14"/>
              </w:rPr>
              <w:t> </w:t>
            </w:r>
          </w:p>
        </w:tc>
        <w:tc>
          <w:tcPr>
            <w:tcW w:w="650" w:type="dxa"/>
            <w:tcBorders>
              <w:top w:val="nil"/>
              <w:left w:val="nil"/>
              <w:bottom w:val="single" w:sz="4" w:space="0" w:color="auto"/>
              <w:right w:val="nil"/>
            </w:tcBorders>
            <w:vAlign w:val="bottom"/>
          </w:tcPr>
          <w:p w14:paraId="7ED208ED" w14:textId="7A9224C8" w:rsidR="002411D3" w:rsidRPr="00F36B82" w:rsidRDefault="002411D3" w:rsidP="00F36B82">
            <w:pPr>
              <w:jc w:val="right"/>
              <w:rPr>
                <w:color w:val="000000"/>
                <w:sz w:val="14"/>
                <w:szCs w:val="14"/>
              </w:rPr>
            </w:pPr>
            <w:r w:rsidRPr="00F36B82">
              <w:rPr>
                <w:color w:val="000000"/>
                <w:sz w:val="14"/>
                <w:szCs w:val="14"/>
              </w:rPr>
              <w:t> </w:t>
            </w:r>
          </w:p>
        </w:tc>
        <w:tc>
          <w:tcPr>
            <w:tcW w:w="660" w:type="dxa"/>
            <w:tcBorders>
              <w:top w:val="nil"/>
              <w:left w:val="nil"/>
              <w:bottom w:val="single" w:sz="4" w:space="0" w:color="auto"/>
              <w:right w:val="nil"/>
            </w:tcBorders>
            <w:vAlign w:val="bottom"/>
          </w:tcPr>
          <w:p w14:paraId="5AAD6A6D" w14:textId="539A1360" w:rsidR="002411D3" w:rsidRPr="00F36B82" w:rsidRDefault="002411D3" w:rsidP="00F36B82">
            <w:pPr>
              <w:jc w:val="right"/>
              <w:rPr>
                <w:color w:val="000000"/>
                <w:sz w:val="14"/>
                <w:szCs w:val="14"/>
              </w:rPr>
            </w:pPr>
            <w:r w:rsidRPr="00F36B82">
              <w:rPr>
                <w:color w:val="000000"/>
                <w:sz w:val="14"/>
                <w:szCs w:val="14"/>
              </w:rPr>
              <w:t> </w:t>
            </w:r>
          </w:p>
        </w:tc>
        <w:tc>
          <w:tcPr>
            <w:tcW w:w="674" w:type="dxa"/>
            <w:tcBorders>
              <w:top w:val="nil"/>
              <w:left w:val="nil"/>
              <w:bottom w:val="single" w:sz="4" w:space="0" w:color="auto"/>
              <w:right w:val="nil"/>
            </w:tcBorders>
            <w:vAlign w:val="bottom"/>
          </w:tcPr>
          <w:p w14:paraId="49D8BB07" w14:textId="58E63A7E" w:rsidR="002411D3" w:rsidRPr="00F36B82" w:rsidRDefault="002411D3" w:rsidP="00F36B82">
            <w:pPr>
              <w:jc w:val="right"/>
              <w:rPr>
                <w:color w:val="000000"/>
                <w:sz w:val="14"/>
                <w:szCs w:val="14"/>
              </w:rPr>
            </w:pPr>
            <w:r w:rsidRPr="00F36B82">
              <w:rPr>
                <w:color w:val="000000"/>
                <w:sz w:val="14"/>
                <w:szCs w:val="14"/>
              </w:rPr>
              <w:t> </w:t>
            </w:r>
          </w:p>
        </w:tc>
        <w:tc>
          <w:tcPr>
            <w:tcW w:w="860" w:type="dxa"/>
            <w:tcBorders>
              <w:top w:val="nil"/>
              <w:left w:val="nil"/>
              <w:bottom w:val="single" w:sz="4" w:space="0" w:color="auto"/>
              <w:right w:val="nil"/>
            </w:tcBorders>
            <w:vAlign w:val="bottom"/>
          </w:tcPr>
          <w:p w14:paraId="1A8BD6CF" w14:textId="135ECDD7" w:rsidR="002411D3" w:rsidRPr="00F36B82" w:rsidRDefault="002411D3" w:rsidP="00F36B82">
            <w:pPr>
              <w:jc w:val="right"/>
              <w:rPr>
                <w:color w:val="000000"/>
                <w:sz w:val="14"/>
                <w:szCs w:val="14"/>
              </w:rPr>
            </w:pPr>
            <w:r w:rsidRPr="00F36B82">
              <w:rPr>
                <w:color w:val="000000"/>
                <w:sz w:val="14"/>
                <w:szCs w:val="14"/>
              </w:rPr>
              <w:t> </w:t>
            </w:r>
          </w:p>
        </w:tc>
      </w:tr>
      <w:tr w:rsidR="002411D3" w:rsidRPr="00F36B82" w14:paraId="610F3BC6" w14:textId="77777777" w:rsidTr="00F36B82">
        <w:trPr>
          <w:trHeight w:val="206"/>
        </w:trPr>
        <w:tc>
          <w:tcPr>
            <w:tcW w:w="2337" w:type="dxa"/>
            <w:tcBorders>
              <w:top w:val="single" w:sz="4" w:space="0" w:color="auto"/>
              <w:left w:val="nil"/>
              <w:bottom w:val="single" w:sz="4" w:space="0" w:color="auto"/>
              <w:right w:val="nil"/>
            </w:tcBorders>
            <w:vAlign w:val="bottom"/>
          </w:tcPr>
          <w:p w14:paraId="37804CBE" w14:textId="77777777" w:rsidR="002411D3" w:rsidRPr="00F36B82" w:rsidRDefault="002411D3" w:rsidP="002411D3">
            <w:pPr>
              <w:ind w:firstLineChars="30" w:firstLine="42"/>
              <w:rPr>
                <w:b/>
                <w:bCs/>
                <w:color w:val="000000"/>
                <w:sz w:val="14"/>
                <w:szCs w:val="14"/>
              </w:rPr>
            </w:pPr>
            <w:r w:rsidRPr="00F36B82">
              <w:rPr>
                <w:b/>
                <w:bCs/>
                <w:color w:val="000000"/>
                <w:sz w:val="14"/>
                <w:szCs w:val="14"/>
              </w:rPr>
              <w:t> TOPLAM</w:t>
            </w:r>
          </w:p>
        </w:tc>
        <w:tc>
          <w:tcPr>
            <w:tcW w:w="780" w:type="dxa"/>
            <w:tcBorders>
              <w:top w:val="single" w:sz="4" w:space="0" w:color="auto"/>
              <w:left w:val="nil"/>
              <w:bottom w:val="single" w:sz="4" w:space="0" w:color="auto"/>
              <w:right w:val="nil"/>
            </w:tcBorders>
            <w:vAlign w:val="bottom"/>
          </w:tcPr>
          <w:p w14:paraId="500CEA5E" w14:textId="4D0723D1" w:rsidR="002411D3" w:rsidRPr="00F36B82" w:rsidRDefault="002411D3" w:rsidP="00F36B82">
            <w:pPr>
              <w:jc w:val="right"/>
              <w:rPr>
                <w:b/>
                <w:bCs/>
                <w:color w:val="000000"/>
                <w:sz w:val="14"/>
                <w:szCs w:val="14"/>
              </w:rPr>
            </w:pPr>
            <w:r w:rsidRPr="00F36B82">
              <w:rPr>
                <w:b/>
                <w:bCs/>
                <w:color w:val="000000"/>
                <w:sz w:val="14"/>
                <w:szCs w:val="14"/>
              </w:rPr>
              <w:t>20.281.833</w:t>
            </w:r>
          </w:p>
        </w:tc>
        <w:tc>
          <w:tcPr>
            <w:tcW w:w="544" w:type="dxa"/>
            <w:tcBorders>
              <w:top w:val="single" w:sz="4" w:space="0" w:color="auto"/>
              <w:left w:val="nil"/>
              <w:bottom w:val="single" w:sz="4" w:space="0" w:color="auto"/>
              <w:right w:val="nil"/>
            </w:tcBorders>
            <w:vAlign w:val="bottom"/>
          </w:tcPr>
          <w:p w14:paraId="1A8804B9" w14:textId="6376DCFB" w:rsidR="002411D3" w:rsidRPr="00F36B82" w:rsidRDefault="002411D3" w:rsidP="00F36B82">
            <w:pPr>
              <w:jc w:val="right"/>
              <w:rPr>
                <w:b/>
                <w:bCs/>
                <w:color w:val="000000"/>
                <w:sz w:val="14"/>
                <w:szCs w:val="14"/>
              </w:rPr>
            </w:pPr>
            <w:r w:rsidRPr="00F36B82">
              <w:rPr>
                <w:b/>
                <w:bCs/>
                <w:color w:val="000000"/>
                <w:sz w:val="14"/>
                <w:szCs w:val="14"/>
              </w:rPr>
              <w:t>-</w:t>
            </w:r>
          </w:p>
        </w:tc>
        <w:tc>
          <w:tcPr>
            <w:tcW w:w="478" w:type="dxa"/>
            <w:tcBorders>
              <w:top w:val="single" w:sz="4" w:space="0" w:color="auto"/>
              <w:left w:val="nil"/>
              <w:bottom w:val="single" w:sz="4" w:space="0" w:color="auto"/>
              <w:right w:val="nil"/>
            </w:tcBorders>
            <w:vAlign w:val="bottom"/>
          </w:tcPr>
          <w:p w14:paraId="6F29E83F" w14:textId="76F3ED0A" w:rsidR="002411D3" w:rsidRPr="00F36B82" w:rsidRDefault="002411D3" w:rsidP="00F36B82">
            <w:pPr>
              <w:jc w:val="right"/>
              <w:rPr>
                <w:b/>
                <w:bCs/>
                <w:color w:val="000000"/>
                <w:sz w:val="14"/>
                <w:szCs w:val="14"/>
              </w:rPr>
            </w:pPr>
            <w:r w:rsidRPr="00F36B82">
              <w:rPr>
                <w:b/>
                <w:bCs/>
                <w:color w:val="000000"/>
                <w:sz w:val="14"/>
                <w:szCs w:val="14"/>
              </w:rPr>
              <w:t>-</w:t>
            </w:r>
          </w:p>
        </w:tc>
        <w:tc>
          <w:tcPr>
            <w:tcW w:w="409" w:type="dxa"/>
            <w:tcBorders>
              <w:top w:val="single" w:sz="4" w:space="0" w:color="auto"/>
              <w:left w:val="nil"/>
              <w:bottom w:val="single" w:sz="4" w:space="0" w:color="auto"/>
              <w:right w:val="nil"/>
            </w:tcBorders>
            <w:vAlign w:val="bottom"/>
          </w:tcPr>
          <w:p w14:paraId="35BFBE2F" w14:textId="61D23DA1" w:rsidR="002411D3" w:rsidRPr="00F36B82" w:rsidRDefault="002411D3" w:rsidP="00F36B82">
            <w:pPr>
              <w:jc w:val="right"/>
              <w:rPr>
                <w:b/>
                <w:bCs/>
                <w:color w:val="000000"/>
                <w:sz w:val="14"/>
                <w:szCs w:val="14"/>
              </w:rPr>
            </w:pPr>
            <w:r w:rsidRPr="00F36B82">
              <w:rPr>
                <w:b/>
                <w:bCs/>
                <w:color w:val="000000"/>
                <w:sz w:val="14"/>
                <w:szCs w:val="14"/>
              </w:rPr>
              <w:t>-</w:t>
            </w:r>
          </w:p>
        </w:tc>
        <w:tc>
          <w:tcPr>
            <w:tcW w:w="709" w:type="dxa"/>
            <w:tcBorders>
              <w:top w:val="single" w:sz="4" w:space="0" w:color="auto"/>
              <w:left w:val="nil"/>
              <w:bottom w:val="single" w:sz="4" w:space="0" w:color="auto"/>
              <w:right w:val="nil"/>
            </w:tcBorders>
            <w:vAlign w:val="bottom"/>
          </w:tcPr>
          <w:p w14:paraId="17EFF050" w14:textId="7FCA1C23" w:rsidR="002411D3" w:rsidRPr="00F36B82" w:rsidRDefault="002411D3" w:rsidP="00F36B82">
            <w:pPr>
              <w:jc w:val="right"/>
              <w:rPr>
                <w:b/>
                <w:bCs/>
                <w:color w:val="000000"/>
                <w:sz w:val="14"/>
                <w:szCs w:val="14"/>
              </w:rPr>
            </w:pPr>
            <w:r w:rsidRPr="00F36B82">
              <w:rPr>
                <w:b/>
                <w:bCs/>
                <w:color w:val="000000"/>
                <w:sz w:val="14"/>
                <w:szCs w:val="14"/>
              </w:rPr>
              <w:t>-</w:t>
            </w:r>
          </w:p>
        </w:tc>
        <w:tc>
          <w:tcPr>
            <w:tcW w:w="795" w:type="dxa"/>
            <w:tcBorders>
              <w:top w:val="single" w:sz="4" w:space="0" w:color="auto"/>
              <w:left w:val="nil"/>
              <w:bottom w:val="single" w:sz="4" w:space="0" w:color="auto"/>
              <w:right w:val="nil"/>
            </w:tcBorders>
            <w:vAlign w:val="bottom"/>
          </w:tcPr>
          <w:p w14:paraId="6AE2DB5E" w14:textId="15AB7332" w:rsidR="002411D3" w:rsidRPr="00F36B82" w:rsidRDefault="002411D3" w:rsidP="00F36B82">
            <w:pPr>
              <w:jc w:val="right"/>
              <w:rPr>
                <w:b/>
                <w:bCs/>
                <w:color w:val="000000"/>
                <w:sz w:val="14"/>
                <w:szCs w:val="14"/>
              </w:rPr>
            </w:pPr>
            <w:r w:rsidRPr="00F36B82">
              <w:rPr>
                <w:b/>
                <w:bCs/>
                <w:color w:val="000000"/>
                <w:sz w:val="14"/>
                <w:szCs w:val="14"/>
              </w:rPr>
              <w:t>6.939.984</w:t>
            </w:r>
          </w:p>
        </w:tc>
        <w:tc>
          <w:tcPr>
            <w:tcW w:w="908" w:type="dxa"/>
            <w:tcBorders>
              <w:top w:val="single" w:sz="4" w:space="0" w:color="auto"/>
              <w:left w:val="nil"/>
              <w:bottom w:val="single" w:sz="4" w:space="0" w:color="auto"/>
              <w:right w:val="nil"/>
            </w:tcBorders>
            <w:vAlign w:val="bottom"/>
          </w:tcPr>
          <w:p w14:paraId="1C0688BB" w14:textId="53DE2D6A" w:rsidR="002411D3" w:rsidRPr="00F36B82" w:rsidRDefault="002411D3" w:rsidP="00F36B82">
            <w:pPr>
              <w:jc w:val="right"/>
              <w:rPr>
                <w:b/>
                <w:bCs/>
                <w:color w:val="000000"/>
                <w:sz w:val="14"/>
                <w:szCs w:val="14"/>
              </w:rPr>
            </w:pPr>
            <w:r w:rsidRPr="00F36B82">
              <w:rPr>
                <w:b/>
                <w:bCs/>
                <w:color w:val="000000"/>
                <w:sz w:val="14"/>
                <w:szCs w:val="14"/>
              </w:rPr>
              <w:t>38.393.902</w:t>
            </w:r>
          </w:p>
        </w:tc>
        <w:tc>
          <w:tcPr>
            <w:tcW w:w="701" w:type="dxa"/>
            <w:tcBorders>
              <w:top w:val="single" w:sz="4" w:space="0" w:color="auto"/>
              <w:left w:val="nil"/>
              <w:bottom w:val="single" w:sz="4" w:space="0" w:color="auto"/>
              <w:right w:val="nil"/>
            </w:tcBorders>
            <w:vAlign w:val="bottom"/>
          </w:tcPr>
          <w:p w14:paraId="41B830D8" w14:textId="2E83ED54" w:rsidR="002411D3" w:rsidRPr="00F36B82" w:rsidRDefault="002411D3" w:rsidP="00F36B82">
            <w:pPr>
              <w:jc w:val="right"/>
              <w:rPr>
                <w:b/>
                <w:bCs/>
                <w:color w:val="000000"/>
                <w:sz w:val="14"/>
                <w:szCs w:val="14"/>
              </w:rPr>
            </w:pPr>
            <w:r w:rsidRPr="00F36B82">
              <w:rPr>
                <w:b/>
                <w:bCs/>
                <w:color w:val="000000"/>
                <w:sz w:val="14"/>
                <w:szCs w:val="14"/>
              </w:rPr>
              <w:t>-</w:t>
            </w:r>
          </w:p>
        </w:tc>
        <w:tc>
          <w:tcPr>
            <w:tcW w:w="718" w:type="dxa"/>
            <w:tcBorders>
              <w:top w:val="single" w:sz="4" w:space="0" w:color="auto"/>
              <w:left w:val="nil"/>
              <w:bottom w:val="single" w:sz="4" w:space="0" w:color="auto"/>
              <w:right w:val="nil"/>
            </w:tcBorders>
            <w:vAlign w:val="bottom"/>
          </w:tcPr>
          <w:p w14:paraId="5236B02D" w14:textId="788639BA" w:rsidR="002411D3" w:rsidRPr="00F36B82" w:rsidRDefault="002411D3" w:rsidP="00F36B82">
            <w:pPr>
              <w:jc w:val="right"/>
              <w:rPr>
                <w:b/>
                <w:bCs/>
                <w:color w:val="000000"/>
                <w:sz w:val="14"/>
                <w:szCs w:val="14"/>
              </w:rPr>
            </w:pPr>
            <w:r w:rsidRPr="00F36B82">
              <w:rPr>
                <w:b/>
                <w:bCs/>
                <w:color w:val="000000"/>
                <w:sz w:val="14"/>
                <w:szCs w:val="14"/>
              </w:rPr>
              <w:t>3.971.945</w:t>
            </w:r>
          </w:p>
        </w:tc>
        <w:tc>
          <w:tcPr>
            <w:tcW w:w="674" w:type="dxa"/>
            <w:tcBorders>
              <w:top w:val="single" w:sz="4" w:space="0" w:color="auto"/>
              <w:left w:val="nil"/>
              <w:bottom w:val="single" w:sz="4" w:space="0" w:color="auto"/>
              <w:right w:val="nil"/>
            </w:tcBorders>
            <w:vAlign w:val="bottom"/>
          </w:tcPr>
          <w:p w14:paraId="171182CB" w14:textId="4A840274" w:rsidR="002411D3" w:rsidRPr="00F36B82" w:rsidRDefault="002411D3" w:rsidP="00F36B82">
            <w:pPr>
              <w:jc w:val="right"/>
              <w:rPr>
                <w:b/>
                <w:bCs/>
                <w:color w:val="000000"/>
                <w:sz w:val="14"/>
                <w:szCs w:val="14"/>
              </w:rPr>
            </w:pPr>
            <w:r w:rsidRPr="00F36B82">
              <w:rPr>
                <w:b/>
                <w:bCs/>
                <w:color w:val="000000"/>
                <w:sz w:val="14"/>
                <w:szCs w:val="14"/>
              </w:rPr>
              <w:t>-</w:t>
            </w:r>
          </w:p>
        </w:tc>
        <w:tc>
          <w:tcPr>
            <w:tcW w:w="734" w:type="dxa"/>
            <w:tcBorders>
              <w:top w:val="single" w:sz="4" w:space="0" w:color="auto"/>
              <w:left w:val="nil"/>
              <w:bottom w:val="single" w:sz="4" w:space="0" w:color="auto"/>
              <w:right w:val="nil"/>
            </w:tcBorders>
            <w:vAlign w:val="bottom"/>
          </w:tcPr>
          <w:p w14:paraId="15D3746C" w14:textId="65FE5C24" w:rsidR="002411D3" w:rsidRPr="00F36B82" w:rsidRDefault="002411D3" w:rsidP="00F36B82">
            <w:pPr>
              <w:jc w:val="right"/>
              <w:rPr>
                <w:b/>
                <w:bCs/>
                <w:color w:val="000000"/>
                <w:sz w:val="14"/>
                <w:szCs w:val="14"/>
              </w:rPr>
            </w:pPr>
            <w:r w:rsidRPr="00F36B82">
              <w:rPr>
                <w:b/>
                <w:bCs/>
                <w:color w:val="000000"/>
                <w:sz w:val="14"/>
                <w:szCs w:val="14"/>
              </w:rPr>
              <w:t>-</w:t>
            </w:r>
          </w:p>
        </w:tc>
        <w:tc>
          <w:tcPr>
            <w:tcW w:w="647" w:type="dxa"/>
            <w:tcBorders>
              <w:top w:val="single" w:sz="4" w:space="0" w:color="auto"/>
              <w:left w:val="nil"/>
              <w:bottom w:val="single" w:sz="4" w:space="0" w:color="auto"/>
              <w:right w:val="nil"/>
            </w:tcBorders>
            <w:vAlign w:val="bottom"/>
          </w:tcPr>
          <w:p w14:paraId="6C26226E" w14:textId="29C35E3E" w:rsidR="002411D3" w:rsidRPr="00F36B82" w:rsidRDefault="002411D3" w:rsidP="00F36B82">
            <w:pPr>
              <w:jc w:val="right"/>
              <w:rPr>
                <w:b/>
                <w:bCs/>
                <w:color w:val="000000"/>
                <w:sz w:val="14"/>
                <w:szCs w:val="14"/>
              </w:rPr>
            </w:pPr>
            <w:r w:rsidRPr="00F36B82">
              <w:rPr>
                <w:b/>
                <w:bCs/>
                <w:color w:val="000000"/>
                <w:sz w:val="14"/>
                <w:szCs w:val="14"/>
              </w:rPr>
              <w:t>-</w:t>
            </w:r>
          </w:p>
        </w:tc>
        <w:tc>
          <w:tcPr>
            <w:tcW w:w="647" w:type="dxa"/>
            <w:tcBorders>
              <w:top w:val="single" w:sz="4" w:space="0" w:color="auto"/>
              <w:left w:val="nil"/>
              <w:bottom w:val="single" w:sz="4" w:space="0" w:color="auto"/>
              <w:right w:val="nil"/>
            </w:tcBorders>
            <w:vAlign w:val="bottom"/>
          </w:tcPr>
          <w:p w14:paraId="0E03D5F1" w14:textId="60912E43" w:rsidR="002411D3" w:rsidRPr="00F36B82" w:rsidRDefault="002411D3" w:rsidP="00F36B82">
            <w:pPr>
              <w:jc w:val="right"/>
              <w:rPr>
                <w:b/>
                <w:bCs/>
                <w:color w:val="000000"/>
                <w:sz w:val="14"/>
                <w:szCs w:val="14"/>
              </w:rPr>
            </w:pPr>
            <w:r w:rsidRPr="00F36B82">
              <w:rPr>
                <w:b/>
                <w:bCs/>
                <w:color w:val="000000"/>
                <w:sz w:val="14"/>
                <w:szCs w:val="14"/>
              </w:rPr>
              <w:t>-</w:t>
            </w:r>
          </w:p>
        </w:tc>
        <w:tc>
          <w:tcPr>
            <w:tcW w:w="647" w:type="dxa"/>
            <w:tcBorders>
              <w:top w:val="single" w:sz="4" w:space="0" w:color="auto"/>
              <w:left w:val="nil"/>
              <w:bottom w:val="single" w:sz="4" w:space="0" w:color="auto"/>
              <w:right w:val="nil"/>
            </w:tcBorders>
            <w:vAlign w:val="bottom"/>
          </w:tcPr>
          <w:p w14:paraId="44333B51" w14:textId="2E51A44D" w:rsidR="002411D3" w:rsidRPr="00F36B82" w:rsidRDefault="002411D3" w:rsidP="00F36B82">
            <w:pPr>
              <w:jc w:val="right"/>
              <w:rPr>
                <w:b/>
                <w:bCs/>
                <w:color w:val="000000"/>
                <w:sz w:val="14"/>
                <w:szCs w:val="14"/>
              </w:rPr>
            </w:pPr>
            <w:r w:rsidRPr="00F36B82">
              <w:rPr>
                <w:b/>
                <w:bCs/>
                <w:color w:val="000000"/>
                <w:sz w:val="14"/>
                <w:szCs w:val="14"/>
              </w:rPr>
              <w:t>-</w:t>
            </w:r>
          </w:p>
        </w:tc>
        <w:tc>
          <w:tcPr>
            <w:tcW w:w="650" w:type="dxa"/>
            <w:tcBorders>
              <w:top w:val="single" w:sz="4" w:space="0" w:color="auto"/>
              <w:left w:val="nil"/>
              <w:bottom w:val="single" w:sz="4" w:space="0" w:color="auto"/>
              <w:right w:val="nil"/>
            </w:tcBorders>
            <w:vAlign w:val="bottom"/>
          </w:tcPr>
          <w:p w14:paraId="7C77782D" w14:textId="12019713" w:rsidR="002411D3" w:rsidRPr="00F36B82" w:rsidRDefault="002411D3" w:rsidP="00F36B82">
            <w:pPr>
              <w:jc w:val="right"/>
              <w:rPr>
                <w:b/>
                <w:bCs/>
                <w:color w:val="000000"/>
                <w:sz w:val="14"/>
                <w:szCs w:val="14"/>
              </w:rPr>
            </w:pPr>
            <w:r w:rsidRPr="00F36B82">
              <w:rPr>
                <w:b/>
                <w:bCs/>
                <w:color w:val="000000"/>
                <w:sz w:val="14"/>
                <w:szCs w:val="14"/>
              </w:rPr>
              <w:t>1.308.897</w:t>
            </w:r>
          </w:p>
        </w:tc>
        <w:tc>
          <w:tcPr>
            <w:tcW w:w="660" w:type="dxa"/>
            <w:tcBorders>
              <w:top w:val="single" w:sz="4" w:space="0" w:color="auto"/>
              <w:left w:val="nil"/>
              <w:bottom w:val="single" w:sz="4" w:space="0" w:color="auto"/>
              <w:right w:val="nil"/>
            </w:tcBorders>
            <w:vAlign w:val="bottom"/>
          </w:tcPr>
          <w:p w14:paraId="0E4A49D1" w14:textId="3763647D" w:rsidR="002411D3" w:rsidRPr="00F36B82" w:rsidRDefault="002411D3" w:rsidP="00F36B82">
            <w:pPr>
              <w:jc w:val="right"/>
              <w:rPr>
                <w:b/>
                <w:bCs/>
                <w:color w:val="000000"/>
                <w:sz w:val="14"/>
                <w:szCs w:val="14"/>
              </w:rPr>
            </w:pPr>
            <w:r w:rsidRPr="00F36B82">
              <w:rPr>
                <w:b/>
                <w:bCs/>
                <w:color w:val="000000"/>
                <w:sz w:val="14"/>
                <w:szCs w:val="14"/>
              </w:rPr>
              <w:t>655.265</w:t>
            </w:r>
          </w:p>
        </w:tc>
        <w:tc>
          <w:tcPr>
            <w:tcW w:w="674" w:type="dxa"/>
            <w:tcBorders>
              <w:top w:val="single" w:sz="4" w:space="0" w:color="auto"/>
              <w:left w:val="nil"/>
              <w:bottom w:val="single" w:sz="4" w:space="0" w:color="auto"/>
              <w:right w:val="nil"/>
            </w:tcBorders>
            <w:vAlign w:val="bottom"/>
          </w:tcPr>
          <w:p w14:paraId="52FE86F4" w14:textId="1E6E7ABA" w:rsidR="002411D3" w:rsidRPr="00F36B82" w:rsidRDefault="002411D3" w:rsidP="00F36B82">
            <w:pPr>
              <w:jc w:val="right"/>
              <w:rPr>
                <w:b/>
                <w:bCs/>
                <w:color w:val="000000"/>
                <w:sz w:val="14"/>
                <w:szCs w:val="14"/>
              </w:rPr>
            </w:pPr>
            <w:r w:rsidRPr="00F36B82">
              <w:rPr>
                <w:b/>
                <w:bCs/>
                <w:color w:val="000000"/>
                <w:sz w:val="14"/>
                <w:szCs w:val="14"/>
              </w:rPr>
              <w:t>2.966.882</w:t>
            </w:r>
          </w:p>
        </w:tc>
        <w:tc>
          <w:tcPr>
            <w:tcW w:w="860" w:type="dxa"/>
            <w:tcBorders>
              <w:top w:val="single" w:sz="4" w:space="0" w:color="auto"/>
              <w:left w:val="nil"/>
              <w:bottom w:val="single" w:sz="4" w:space="0" w:color="auto"/>
              <w:right w:val="nil"/>
            </w:tcBorders>
            <w:vAlign w:val="bottom"/>
          </w:tcPr>
          <w:p w14:paraId="098C290B" w14:textId="7D05A5A5" w:rsidR="002411D3" w:rsidRPr="00F36B82" w:rsidRDefault="002411D3" w:rsidP="00F36B82">
            <w:pPr>
              <w:jc w:val="right"/>
              <w:rPr>
                <w:b/>
                <w:bCs/>
                <w:color w:val="000000"/>
                <w:sz w:val="14"/>
                <w:szCs w:val="14"/>
              </w:rPr>
            </w:pPr>
            <w:r w:rsidRPr="00F36B82">
              <w:rPr>
                <w:b/>
                <w:bCs/>
                <w:color w:val="000000"/>
                <w:sz w:val="14"/>
                <w:szCs w:val="14"/>
              </w:rPr>
              <w:t>74.518.708</w:t>
            </w:r>
          </w:p>
        </w:tc>
      </w:tr>
      <w:tr w:rsidR="00F91828" w:rsidRPr="00F36B82" w14:paraId="6FFED81D" w14:textId="77777777" w:rsidTr="00F36B82">
        <w:trPr>
          <w:trHeight w:val="206"/>
        </w:trPr>
        <w:tc>
          <w:tcPr>
            <w:tcW w:w="2337" w:type="dxa"/>
            <w:tcBorders>
              <w:top w:val="single" w:sz="4" w:space="0" w:color="auto"/>
              <w:left w:val="nil"/>
              <w:bottom w:val="single" w:sz="4" w:space="0" w:color="auto"/>
              <w:right w:val="nil"/>
            </w:tcBorders>
            <w:vAlign w:val="bottom"/>
          </w:tcPr>
          <w:p w14:paraId="2074FE49" w14:textId="77777777" w:rsidR="00F91828" w:rsidRPr="00F36B82" w:rsidRDefault="00F91828" w:rsidP="00B0049C">
            <w:pPr>
              <w:ind w:firstLineChars="30" w:firstLine="42"/>
              <w:rPr>
                <w:b/>
                <w:bCs/>
                <w:color w:val="000000"/>
                <w:sz w:val="14"/>
                <w:szCs w:val="14"/>
              </w:rPr>
            </w:pPr>
          </w:p>
        </w:tc>
        <w:tc>
          <w:tcPr>
            <w:tcW w:w="780" w:type="dxa"/>
            <w:tcBorders>
              <w:top w:val="single" w:sz="4" w:space="0" w:color="auto"/>
              <w:left w:val="nil"/>
              <w:bottom w:val="single" w:sz="4" w:space="0" w:color="auto"/>
              <w:right w:val="nil"/>
            </w:tcBorders>
            <w:vAlign w:val="bottom"/>
          </w:tcPr>
          <w:p w14:paraId="434C0AD0" w14:textId="77777777" w:rsidR="00F91828" w:rsidRPr="00F36B82" w:rsidRDefault="00F91828" w:rsidP="00F36B82">
            <w:pPr>
              <w:ind w:firstLineChars="30" w:firstLine="42"/>
              <w:jc w:val="right"/>
              <w:rPr>
                <w:b/>
                <w:bCs/>
                <w:color w:val="000000"/>
                <w:sz w:val="14"/>
                <w:szCs w:val="14"/>
              </w:rPr>
            </w:pPr>
          </w:p>
        </w:tc>
        <w:tc>
          <w:tcPr>
            <w:tcW w:w="544" w:type="dxa"/>
            <w:tcBorders>
              <w:top w:val="single" w:sz="4" w:space="0" w:color="auto"/>
              <w:left w:val="nil"/>
              <w:bottom w:val="single" w:sz="4" w:space="0" w:color="auto"/>
              <w:right w:val="nil"/>
            </w:tcBorders>
            <w:vAlign w:val="bottom"/>
          </w:tcPr>
          <w:p w14:paraId="5747B4AA" w14:textId="77777777" w:rsidR="00F91828" w:rsidRPr="00F36B82" w:rsidRDefault="00F91828" w:rsidP="00F36B82">
            <w:pPr>
              <w:ind w:firstLineChars="30" w:firstLine="42"/>
              <w:jc w:val="right"/>
              <w:rPr>
                <w:b/>
                <w:bCs/>
                <w:color w:val="000000"/>
                <w:sz w:val="14"/>
                <w:szCs w:val="14"/>
              </w:rPr>
            </w:pPr>
          </w:p>
        </w:tc>
        <w:tc>
          <w:tcPr>
            <w:tcW w:w="478" w:type="dxa"/>
            <w:tcBorders>
              <w:top w:val="single" w:sz="4" w:space="0" w:color="auto"/>
              <w:left w:val="nil"/>
              <w:bottom w:val="single" w:sz="4" w:space="0" w:color="auto"/>
              <w:right w:val="nil"/>
            </w:tcBorders>
            <w:vAlign w:val="bottom"/>
          </w:tcPr>
          <w:p w14:paraId="74EAB532" w14:textId="77777777" w:rsidR="00F91828" w:rsidRPr="00F36B82" w:rsidRDefault="00F91828" w:rsidP="00F36B82">
            <w:pPr>
              <w:ind w:firstLineChars="30" w:firstLine="42"/>
              <w:jc w:val="right"/>
              <w:rPr>
                <w:b/>
                <w:bCs/>
                <w:color w:val="000000"/>
                <w:sz w:val="14"/>
                <w:szCs w:val="14"/>
              </w:rPr>
            </w:pPr>
          </w:p>
        </w:tc>
        <w:tc>
          <w:tcPr>
            <w:tcW w:w="409" w:type="dxa"/>
            <w:tcBorders>
              <w:top w:val="single" w:sz="4" w:space="0" w:color="auto"/>
              <w:left w:val="nil"/>
              <w:bottom w:val="single" w:sz="4" w:space="0" w:color="auto"/>
              <w:right w:val="nil"/>
            </w:tcBorders>
            <w:vAlign w:val="bottom"/>
          </w:tcPr>
          <w:p w14:paraId="6B363E64" w14:textId="77777777" w:rsidR="00F91828" w:rsidRPr="00F36B82" w:rsidRDefault="00F91828" w:rsidP="00F36B82">
            <w:pPr>
              <w:ind w:firstLineChars="30" w:firstLine="42"/>
              <w:jc w:val="right"/>
              <w:rPr>
                <w:b/>
                <w:bCs/>
                <w:color w:val="000000"/>
                <w:sz w:val="14"/>
                <w:szCs w:val="14"/>
              </w:rPr>
            </w:pPr>
          </w:p>
        </w:tc>
        <w:tc>
          <w:tcPr>
            <w:tcW w:w="709" w:type="dxa"/>
            <w:tcBorders>
              <w:top w:val="single" w:sz="4" w:space="0" w:color="auto"/>
              <w:left w:val="nil"/>
              <w:bottom w:val="single" w:sz="4" w:space="0" w:color="auto"/>
              <w:right w:val="nil"/>
            </w:tcBorders>
            <w:vAlign w:val="bottom"/>
          </w:tcPr>
          <w:p w14:paraId="1B046CA7" w14:textId="77777777" w:rsidR="00F91828" w:rsidRPr="00F36B82" w:rsidRDefault="00F91828" w:rsidP="00F36B82">
            <w:pPr>
              <w:ind w:firstLineChars="30" w:firstLine="42"/>
              <w:jc w:val="right"/>
              <w:rPr>
                <w:b/>
                <w:bCs/>
                <w:color w:val="000000"/>
                <w:sz w:val="14"/>
                <w:szCs w:val="14"/>
              </w:rPr>
            </w:pPr>
          </w:p>
        </w:tc>
        <w:tc>
          <w:tcPr>
            <w:tcW w:w="795" w:type="dxa"/>
            <w:tcBorders>
              <w:top w:val="single" w:sz="4" w:space="0" w:color="auto"/>
              <w:left w:val="nil"/>
              <w:bottom w:val="single" w:sz="4" w:space="0" w:color="auto"/>
              <w:right w:val="nil"/>
            </w:tcBorders>
            <w:vAlign w:val="bottom"/>
          </w:tcPr>
          <w:p w14:paraId="13C912EB" w14:textId="77777777" w:rsidR="00F91828" w:rsidRPr="00F36B82" w:rsidRDefault="00F91828" w:rsidP="00F36B82">
            <w:pPr>
              <w:ind w:firstLineChars="30" w:firstLine="42"/>
              <w:jc w:val="right"/>
              <w:rPr>
                <w:b/>
                <w:bCs/>
                <w:color w:val="000000"/>
                <w:sz w:val="14"/>
                <w:szCs w:val="14"/>
              </w:rPr>
            </w:pPr>
          </w:p>
        </w:tc>
        <w:tc>
          <w:tcPr>
            <w:tcW w:w="908" w:type="dxa"/>
            <w:tcBorders>
              <w:top w:val="single" w:sz="4" w:space="0" w:color="auto"/>
              <w:left w:val="nil"/>
              <w:bottom w:val="single" w:sz="4" w:space="0" w:color="auto"/>
              <w:right w:val="nil"/>
            </w:tcBorders>
            <w:vAlign w:val="bottom"/>
          </w:tcPr>
          <w:p w14:paraId="23E78974" w14:textId="77777777" w:rsidR="00F91828" w:rsidRPr="00F36B82" w:rsidRDefault="00F91828" w:rsidP="00F36B82">
            <w:pPr>
              <w:ind w:firstLineChars="30" w:firstLine="42"/>
              <w:jc w:val="right"/>
              <w:rPr>
                <w:b/>
                <w:bCs/>
                <w:color w:val="000000"/>
                <w:sz w:val="14"/>
                <w:szCs w:val="14"/>
              </w:rPr>
            </w:pPr>
          </w:p>
        </w:tc>
        <w:tc>
          <w:tcPr>
            <w:tcW w:w="701" w:type="dxa"/>
            <w:tcBorders>
              <w:top w:val="single" w:sz="4" w:space="0" w:color="auto"/>
              <w:left w:val="nil"/>
              <w:bottom w:val="single" w:sz="4" w:space="0" w:color="auto"/>
              <w:right w:val="nil"/>
            </w:tcBorders>
            <w:vAlign w:val="bottom"/>
          </w:tcPr>
          <w:p w14:paraId="0490F6F1" w14:textId="77777777" w:rsidR="00F91828" w:rsidRPr="00F36B82" w:rsidRDefault="00F91828" w:rsidP="00F36B82">
            <w:pPr>
              <w:ind w:firstLineChars="30" w:firstLine="42"/>
              <w:jc w:val="right"/>
              <w:rPr>
                <w:b/>
                <w:bCs/>
                <w:color w:val="000000"/>
                <w:sz w:val="14"/>
                <w:szCs w:val="14"/>
              </w:rPr>
            </w:pPr>
          </w:p>
        </w:tc>
        <w:tc>
          <w:tcPr>
            <w:tcW w:w="718" w:type="dxa"/>
            <w:tcBorders>
              <w:top w:val="single" w:sz="4" w:space="0" w:color="auto"/>
              <w:left w:val="nil"/>
              <w:bottom w:val="single" w:sz="4" w:space="0" w:color="auto"/>
              <w:right w:val="nil"/>
            </w:tcBorders>
            <w:vAlign w:val="bottom"/>
          </w:tcPr>
          <w:p w14:paraId="485E402F" w14:textId="77777777" w:rsidR="00F91828" w:rsidRPr="00F36B82" w:rsidRDefault="00F91828" w:rsidP="00F36B82">
            <w:pPr>
              <w:ind w:firstLineChars="30" w:firstLine="42"/>
              <w:jc w:val="right"/>
              <w:rPr>
                <w:b/>
                <w:bCs/>
                <w:color w:val="000000"/>
                <w:sz w:val="14"/>
                <w:szCs w:val="14"/>
              </w:rPr>
            </w:pPr>
          </w:p>
        </w:tc>
        <w:tc>
          <w:tcPr>
            <w:tcW w:w="674" w:type="dxa"/>
            <w:tcBorders>
              <w:top w:val="single" w:sz="4" w:space="0" w:color="auto"/>
              <w:left w:val="nil"/>
              <w:bottom w:val="single" w:sz="4" w:space="0" w:color="auto"/>
              <w:right w:val="nil"/>
            </w:tcBorders>
            <w:vAlign w:val="bottom"/>
          </w:tcPr>
          <w:p w14:paraId="62D13399" w14:textId="77777777" w:rsidR="00F91828" w:rsidRPr="00F36B82" w:rsidRDefault="00F91828" w:rsidP="00F36B82">
            <w:pPr>
              <w:ind w:firstLineChars="30" w:firstLine="42"/>
              <w:jc w:val="right"/>
              <w:rPr>
                <w:b/>
                <w:bCs/>
                <w:color w:val="000000"/>
                <w:sz w:val="14"/>
                <w:szCs w:val="14"/>
              </w:rPr>
            </w:pPr>
          </w:p>
        </w:tc>
        <w:tc>
          <w:tcPr>
            <w:tcW w:w="734" w:type="dxa"/>
            <w:tcBorders>
              <w:top w:val="single" w:sz="4" w:space="0" w:color="auto"/>
              <w:left w:val="nil"/>
              <w:bottom w:val="single" w:sz="4" w:space="0" w:color="auto"/>
              <w:right w:val="nil"/>
            </w:tcBorders>
            <w:vAlign w:val="bottom"/>
          </w:tcPr>
          <w:p w14:paraId="0EB55D56" w14:textId="77777777" w:rsidR="00F91828" w:rsidRPr="00F36B82" w:rsidRDefault="00F91828" w:rsidP="00F36B82">
            <w:pPr>
              <w:ind w:firstLineChars="30" w:firstLine="42"/>
              <w:jc w:val="right"/>
              <w:rPr>
                <w:b/>
                <w:bCs/>
                <w:color w:val="000000"/>
                <w:sz w:val="14"/>
                <w:szCs w:val="14"/>
              </w:rPr>
            </w:pPr>
          </w:p>
        </w:tc>
        <w:tc>
          <w:tcPr>
            <w:tcW w:w="647" w:type="dxa"/>
            <w:tcBorders>
              <w:top w:val="single" w:sz="4" w:space="0" w:color="auto"/>
              <w:left w:val="nil"/>
              <w:bottom w:val="single" w:sz="4" w:space="0" w:color="auto"/>
              <w:right w:val="nil"/>
            </w:tcBorders>
            <w:vAlign w:val="bottom"/>
          </w:tcPr>
          <w:p w14:paraId="5ECA5D2B" w14:textId="77777777" w:rsidR="00F91828" w:rsidRPr="00F36B82" w:rsidRDefault="00F91828" w:rsidP="00F36B82">
            <w:pPr>
              <w:ind w:firstLineChars="30" w:firstLine="42"/>
              <w:jc w:val="right"/>
              <w:rPr>
                <w:b/>
                <w:bCs/>
                <w:color w:val="000000"/>
                <w:sz w:val="14"/>
                <w:szCs w:val="14"/>
              </w:rPr>
            </w:pPr>
          </w:p>
        </w:tc>
        <w:tc>
          <w:tcPr>
            <w:tcW w:w="647" w:type="dxa"/>
            <w:tcBorders>
              <w:top w:val="single" w:sz="4" w:space="0" w:color="auto"/>
              <w:left w:val="nil"/>
              <w:bottom w:val="single" w:sz="4" w:space="0" w:color="auto"/>
              <w:right w:val="nil"/>
            </w:tcBorders>
            <w:vAlign w:val="bottom"/>
          </w:tcPr>
          <w:p w14:paraId="14652BEA" w14:textId="77777777" w:rsidR="00F91828" w:rsidRPr="00F36B82" w:rsidRDefault="00F91828" w:rsidP="00F36B82">
            <w:pPr>
              <w:ind w:firstLineChars="30" w:firstLine="42"/>
              <w:jc w:val="right"/>
              <w:rPr>
                <w:b/>
                <w:bCs/>
                <w:color w:val="000000"/>
                <w:sz w:val="14"/>
                <w:szCs w:val="14"/>
              </w:rPr>
            </w:pPr>
          </w:p>
        </w:tc>
        <w:tc>
          <w:tcPr>
            <w:tcW w:w="647" w:type="dxa"/>
            <w:tcBorders>
              <w:top w:val="single" w:sz="4" w:space="0" w:color="auto"/>
              <w:left w:val="nil"/>
              <w:bottom w:val="single" w:sz="4" w:space="0" w:color="auto"/>
              <w:right w:val="nil"/>
            </w:tcBorders>
            <w:vAlign w:val="bottom"/>
          </w:tcPr>
          <w:p w14:paraId="08527C10" w14:textId="77777777" w:rsidR="00F91828" w:rsidRPr="00F36B82" w:rsidRDefault="00F91828" w:rsidP="00F36B82">
            <w:pPr>
              <w:ind w:firstLineChars="30" w:firstLine="42"/>
              <w:jc w:val="right"/>
              <w:rPr>
                <w:b/>
                <w:bCs/>
                <w:color w:val="000000"/>
                <w:sz w:val="14"/>
                <w:szCs w:val="14"/>
              </w:rPr>
            </w:pPr>
          </w:p>
        </w:tc>
        <w:tc>
          <w:tcPr>
            <w:tcW w:w="650" w:type="dxa"/>
            <w:tcBorders>
              <w:top w:val="single" w:sz="4" w:space="0" w:color="auto"/>
              <w:left w:val="nil"/>
              <w:bottom w:val="single" w:sz="4" w:space="0" w:color="auto"/>
              <w:right w:val="nil"/>
            </w:tcBorders>
            <w:vAlign w:val="bottom"/>
          </w:tcPr>
          <w:p w14:paraId="5F6E334C" w14:textId="77777777" w:rsidR="00F91828" w:rsidRPr="00F36B82" w:rsidRDefault="00F91828" w:rsidP="00F36B82">
            <w:pPr>
              <w:ind w:firstLineChars="30" w:firstLine="42"/>
              <w:jc w:val="right"/>
              <w:rPr>
                <w:b/>
                <w:bCs/>
                <w:color w:val="000000"/>
                <w:sz w:val="14"/>
                <w:szCs w:val="14"/>
              </w:rPr>
            </w:pPr>
          </w:p>
        </w:tc>
        <w:tc>
          <w:tcPr>
            <w:tcW w:w="660" w:type="dxa"/>
            <w:tcBorders>
              <w:top w:val="single" w:sz="4" w:space="0" w:color="auto"/>
              <w:left w:val="nil"/>
              <w:bottom w:val="single" w:sz="4" w:space="0" w:color="auto"/>
              <w:right w:val="nil"/>
            </w:tcBorders>
            <w:vAlign w:val="bottom"/>
          </w:tcPr>
          <w:p w14:paraId="21B2E15F" w14:textId="77777777" w:rsidR="00F91828" w:rsidRPr="00F36B82" w:rsidRDefault="00F91828" w:rsidP="00F36B82">
            <w:pPr>
              <w:ind w:firstLineChars="30" w:firstLine="42"/>
              <w:jc w:val="right"/>
              <w:rPr>
                <w:b/>
                <w:bCs/>
                <w:color w:val="000000"/>
                <w:sz w:val="14"/>
                <w:szCs w:val="14"/>
              </w:rPr>
            </w:pPr>
          </w:p>
        </w:tc>
        <w:tc>
          <w:tcPr>
            <w:tcW w:w="674" w:type="dxa"/>
            <w:tcBorders>
              <w:top w:val="single" w:sz="4" w:space="0" w:color="auto"/>
              <w:left w:val="nil"/>
              <w:bottom w:val="single" w:sz="4" w:space="0" w:color="auto"/>
              <w:right w:val="nil"/>
            </w:tcBorders>
            <w:vAlign w:val="bottom"/>
          </w:tcPr>
          <w:p w14:paraId="667CCF87" w14:textId="77777777" w:rsidR="00F91828" w:rsidRPr="00F36B82" w:rsidRDefault="00F91828" w:rsidP="00F36B82">
            <w:pPr>
              <w:ind w:firstLineChars="30" w:firstLine="42"/>
              <w:jc w:val="right"/>
              <w:rPr>
                <w:b/>
                <w:bCs/>
                <w:color w:val="000000"/>
                <w:sz w:val="14"/>
                <w:szCs w:val="14"/>
              </w:rPr>
            </w:pPr>
          </w:p>
        </w:tc>
        <w:tc>
          <w:tcPr>
            <w:tcW w:w="860" w:type="dxa"/>
            <w:tcBorders>
              <w:top w:val="single" w:sz="4" w:space="0" w:color="auto"/>
              <w:left w:val="nil"/>
              <w:bottom w:val="single" w:sz="4" w:space="0" w:color="auto"/>
              <w:right w:val="nil"/>
            </w:tcBorders>
            <w:vAlign w:val="bottom"/>
          </w:tcPr>
          <w:p w14:paraId="5D325BF6" w14:textId="77777777" w:rsidR="00F91828" w:rsidRPr="00F36B82" w:rsidRDefault="00F91828" w:rsidP="00F36B82">
            <w:pPr>
              <w:ind w:firstLineChars="30" w:firstLine="42"/>
              <w:jc w:val="right"/>
              <w:rPr>
                <w:b/>
                <w:bCs/>
                <w:color w:val="000000"/>
                <w:sz w:val="14"/>
                <w:szCs w:val="14"/>
              </w:rPr>
            </w:pPr>
          </w:p>
        </w:tc>
      </w:tr>
      <w:tr w:rsidR="00F91828" w:rsidRPr="00F36B82" w14:paraId="0A4F2D80" w14:textId="77777777" w:rsidTr="00F36B82">
        <w:trPr>
          <w:trHeight w:val="206"/>
        </w:trPr>
        <w:tc>
          <w:tcPr>
            <w:tcW w:w="2337" w:type="dxa"/>
            <w:tcBorders>
              <w:top w:val="single" w:sz="4" w:space="0" w:color="auto"/>
              <w:left w:val="nil"/>
              <w:bottom w:val="single" w:sz="4" w:space="0" w:color="auto"/>
              <w:right w:val="nil"/>
            </w:tcBorders>
            <w:vAlign w:val="bottom"/>
            <w:hideMark/>
          </w:tcPr>
          <w:p w14:paraId="1EB5B205" w14:textId="525B6A40" w:rsidR="00F91828" w:rsidRPr="00F36B82" w:rsidRDefault="009B1956" w:rsidP="00B0049C">
            <w:pPr>
              <w:ind w:firstLineChars="30" w:firstLine="42"/>
              <w:rPr>
                <w:b/>
                <w:bCs/>
                <w:color w:val="000000"/>
                <w:sz w:val="14"/>
                <w:szCs w:val="14"/>
              </w:rPr>
            </w:pPr>
            <w:r w:rsidRPr="00F36B82">
              <w:rPr>
                <w:b/>
                <w:bCs/>
                <w:color w:val="000000"/>
                <w:sz w:val="14"/>
                <w:szCs w:val="14"/>
              </w:rPr>
              <w:t>31 Aralık 2024</w:t>
            </w:r>
          </w:p>
        </w:tc>
        <w:tc>
          <w:tcPr>
            <w:tcW w:w="780" w:type="dxa"/>
            <w:tcBorders>
              <w:top w:val="single" w:sz="4" w:space="0" w:color="auto"/>
              <w:left w:val="nil"/>
              <w:bottom w:val="single" w:sz="4" w:space="0" w:color="auto"/>
              <w:right w:val="nil"/>
            </w:tcBorders>
            <w:vAlign w:val="bottom"/>
            <w:hideMark/>
          </w:tcPr>
          <w:p w14:paraId="3B7B296E" w14:textId="77777777" w:rsidR="00F91828" w:rsidRPr="00F36B82" w:rsidRDefault="00F91828" w:rsidP="00F36B82">
            <w:pPr>
              <w:ind w:firstLineChars="30" w:firstLine="42"/>
              <w:jc w:val="right"/>
              <w:rPr>
                <w:b/>
                <w:bCs/>
                <w:color w:val="000000"/>
                <w:sz w:val="14"/>
                <w:szCs w:val="14"/>
              </w:rPr>
            </w:pPr>
            <w:r w:rsidRPr="00F36B82">
              <w:rPr>
                <w:b/>
                <w:bCs/>
                <w:color w:val="000000"/>
                <w:sz w:val="14"/>
                <w:szCs w:val="14"/>
              </w:rPr>
              <w:t>1</w:t>
            </w:r>
          </w:p>
        </w:tc>
        <w:tc>
          <w:tcPr>
            <w:tcW w:w="544" w:type="dxa"/>
            <w:tcBorders>
              <w:top w:val="single" w:sz="4" w:space="0" w:color="auto"/>
              <w:left w:val="nil"/>
              <w:bottom w:val="single" w:sz="4" w:space="0" w:color="auto"/>
              <w:right w:val="nil"/>
            </w:tcBorders>
            <w:vAlign w:val="bottom"/>
            <w:hideMark/>
          </w:tcPr>
          <w:p w14:paraId="7EF142F7" w14:textId="77777777" w:rsidR="00F91828" w:rsidRPr="00F36B82" w:rsidRDefault="00F91828" w:rsidP="00F36B82">
            <w:pPr>
              <w:ind w:firstLineChars="30" w:firstLine="42"/>
              <w:jc w:val="right"/>
              <w:rPr>
                <w:b/>
                <w:bCs/>
                <w:color w:val="000000"/>
                <w:sz w:val="14"/>
                <w:szCs w:val="14"/>
              </w:rPr>
            </w:pPr>
            <w:r w:rsidRPr="00F36B82">
              <w:rPr>
                <w:b/>
                <w:bCs/>
                <w:color w:val="000000"/>
                <w:sz w:val="14"/>
                <w:szCs w:val="14"/>
              </w:rPr>
              <w:t>2</w:t>
            </w:r>
          </w:p>
        </w:tc>
        <w:tc>
          <w:tcPr>
            <w:tcW w:w="478" w:type="dxa"/>
            <w:tcBorders>
              <w:top w:val="single" w:sz="4" w:space="0" w:color="auto"/>
              <w:left w:val="nil"/>
              <w:bottom w:val="single" w:sz="4" w:space="0" w:color="auto"/>
              <w:right w:val="nil"/>
            </w:tcBorders>
            <w:vAlign w:val="bottom"/>
            <w:hideMark/>
          </w:tcPr>
          <w:p w14:paraId="08A2EE0D" w14:textId="77777777" w:rsidR="00F91828" w:rsidRPr="00F36B82" w:rsidRDefault="00F91828" w:rsidP="00F36B82">
            <w:pPr>
              <w:ind w:firstLineChars="30" w:firstLine="42"/>
              <w:jc w:val="right"/>
              <w:rPr>
                <w:b/>
                <w:bCs/>
                <w:color w:val="000000"/>
                <w:sz w:val="14"/>
                <w:szCs w:val="14"/>
              </w:rPr>
            </w:pPr>
            <w:r w:rsidRPr="00F36B82">
              <w:rPr>
                <w:b/>
                <w:bCs/>
                <w:color w:val="000000"/>
                <w:sz w:val="14"/>
                <w:szCs w:val="14"/>
              </w:rPr>
              <w:t>3</w:t>
            </w:r>
          </w:p>
        </w:tc>
        <w:tc>
          <w:tcPr>
            <w:tcW w:w="409" w:type="dxa"/>
            <w:tcBorders>
              <w:top w:val="single" w:sz="4" w:space="0" w:color="auto"/>
              <w:left w:val="nil"/>
              <w:bottom w:val="single" w:sz="4" w:space="0" w:color="auto"/>
              <w:right w:val="nil"/>
            </w:tcBorders>
            <w:vAlign w:val="bottom"/>
            <w:hideMark/>
          </w:tcPr>
          <w:p w14:paraId="6D9326FC" w14:textId="77777777" w:rsidR="00F91828" w:rsidRPr="00F36B82" w:rsidRDefault="00F91828" w:rsidP="00F36B82">
            <w:pPr>
              <w:ind w:firstLineChars="30" w:firstLine="42"/>
              <w:jc w:val="right"/>
              <w:rPr>
                <w:b/>
                <w:bCs/>
                <w:color w:val="000000"/>
                <w:sz w:val="14"/>
                <w:szCs w:val="14"/>
              </w:rPr>
            </w:pPr>
            <w:r w:rsidRPr="00F36B82">
              <w:rPr>
                <w:b/>
                <w:bCs/>
                <w:color w:val="000000"/>
                <w:sz w:val="14"/>
                <w:szCs w:val="14"/>
              </w:rPr>
              <w:t>4</w:t>
            </w:r>
          </w:p>
        </w:tc>
        <w:tc>
          <w:tcPr>
            <w:tcW w:w="709" w:type="dxa"/>
            <w:tcBorders>
              <w:top w:val="single" w:sz="4" w:space="0" w:color="auto"/>
              <w:left w:val="nil"/>
              <w:bottom w:val="single" w:sz="4" w:space="0" w:color="auto"/>
              <w:right w:val="nil"/>
            </w:tcBorders>
            <w:vAlign w:val="bottom"/>
            <w:hideMark/>
          </w:tcPr>
          <w:p w14:paraId="414B8F94" w14:textId="77777777" w:rsidR="00F91828" w:rsidRPr="00F36B82" w:rsidRDefault="00F91828" w:rsidP="00F36B82">
            <w:pPr>
              <w:ind w:firstLineChars="30" w:firstLine="42"/>
              <w:jc w:val="right"/>
              <w:rPr>
                <w:b/>
                <w:bCs/>
                <w:color w:val="000000"/>
                <w:sz w:val="14"/>
                <w:szCs w:val="14"/>
              </w:rPr>
            </w:pPr>
            <w:r w:rsidRPr="00F36B82">
              <w:rPr>
                <w:b/>
                <w:bCs/>
                <w:color w:val="000000"/>
                <w:sz w:val="14"/>
                <w:szCs w:val="14"/>
              </w:rPr>
              <w:t>5</w:t>
            </w:r>
          </w:p>
        </w:tc>
        <w:tc>
          <w:tcPr>
            <w:tcW w:w="795" w:type="dxa"/>
            <w:tcBorders>
              <w:top w:val="single" w:sz="4" w:space="0" w:color="auto"/>
              <w:left w:val="nil"/>
              <w:bottom w:val="single" w:sz="4" w:space="0" w:color="auto"/>
              <w:right w:val="nil"/>
            </w:tcBorders>
            <w:vAlign w:val="bottom"/>
            <w:hideMark/>
          </w:tcPr>
          <w:p w14:paraId="0ACFE853" w14:textId="77777777" w:rsidR="00F91828" w:rsidRPr="00F36B82" w:rsidRDefault="00F91828" w:rsidP="00F36B82">
            <w:pPr>
              <w:ind w:firstLineChars="30" w:firstLine="42"/>
              <w:jc w:val="right"/>
              <w:rPr>
                <w:b/>
                <w:bCs/>
                <w:color w:val="000000"/>
                <w:sz w:val="14"/>
                <w:szCs w:val="14"/>
              </w:rPr>
            </w:pPr>
            <w:r w:rsidRPr="00F36B82">
              <w:rPr>
                <w:b/>
                <w:bCs/>
                <w:color w:val="000000"/>
                <w:sz w:val="14"/>
                <w:szCs w:val="14"/>
              </w:rPr>
              <w:t>6</w:t>
            </w:r>
          </w:p>
        </w:tc>
        <w:tc>
          <w:tcPr>
            <w:tcW w:w="908" w:type="dxa"/>
            <w:tcBorders>
              <w:top w:val="single" w:sz="4" w:space="0" w:color="auto"/>
              <w:left w:val="nil"/>
              <w:bottom w:val="single" w:sz="4" w:space="0" w:color="auto"/>
              <w:right w:val="nil"/>
            </w:tcBorders>
            <w:vAlign w:val="bottom"/>
            <w:hideMark/>
          </w:tcPr>
          <w:p w14:paraId="65107D89" w14:textId="77777777" w:rsidR="00F91828" w:rsidRPr="00F36B82" w:rsidRDefault="00F91828" w:rsidP="00F36B82">
            <w:pPr>
              <w:ind w:firstLineChars="30" w:firstLine="42"/>
              <w:jc w:val="right"/>
              <w:rPr>
                <w:b/>
                <w:bCs/>
                <w:color w:val="000000"/>
                <w:sz w:val="14"/>
                <w:szCs w:val="14"/>
              </w:rPr>
            </w:pPr>
            <w:r w:rsidRPr="00F36B82">
              <w:rPr>
                <w:b/>
                <w:bCs/>
                <w:color w:val="000000"/>
                <w:sz w:val="14"/>
                <w:szCs w:val="14"/>
              </w:rPr>
              <w:t>7</w:t>
            </w:r>
          </w:p>
        </w:tc>
        <w:tc>
          <w:tcPr>
            <w:tcW w:w="701" w:type="dxa"/>
            <w:tcBorders>
              <w:top w:val="single" w:sz="4" w:space="0" w:color="auto"/>
              <w:left w:val="nil"/>
              <w:bottom w:val="single" w:sz="4" w:space="0" w:color="auto"/>
              <w:right w:val="nil"/>
            </w:tcBorders>
            <w:vAlign w:val="bottom"/>
            <w:hideMark/>
          </w:tcPr>
          <w:p w14:paraId="44ACD240" w14:textId="77777777" w:rsidR="00F91828" w:rsidRPr="00F36B82" w:rsidRDefault="00F91828" w:rsidP="00F36B82">
            <w:pPr>
              <w:ind w:firstLineChars="30" w:firstLine="42"/>
              <w:jc w:val="right"/>
              <w:rPr>
                <w:b/>
                <w:bCs/>
                <w:color w:val="000000"/>
                <w:sz w:val="14"/>
                <w:szCs w:val="14"/>
              </w:rPr>
            </w:pPr>
            <w:r w:rsidRPr="00F36B82">
              <w:rPr>
                <w:b/>
                <w:bCs/>
                <w:color w:val="000000"/>
                <w:sz w:val="14"/>
                <w:szCs w:val="14"/>
              </w:rPr>
              <w:t>8</w:t>
            </w:r>
          </w:p>
        </w:tc>
        <w:tc>
          <w:tcPr>
            <w:tcW w:w="718" w:type="dxa"/>
            <w:tcBorders>
              <w:top w:val="single" w:sz="4" w:space="0" w:color="auto"/>
              <w:left w:val="nil"/>
              <w:bottom w:val="single" w:sz="4" w:space="0" w:color="auto"/>
              <w:right w:val="nil"/>
            </w:tcBorders>
            <w:vAlign w:val="bottom"/>
            <w:hideMark/>
          </w:tcPr>
          <w:p w14:paraId="350AC727" w14:textId="77777777" w:rsidR="00F91828" w:rsidRPr="00F36B82" w:rsidRDefault="00F91828" w:rsidP="00F36B82">
            <w:pPr>
              <w:ind w:firstLineChars="30" w:firstLine="42"/>
              <w:jc w:val="right"/>
              <w:rPr>
                <w:b/>
                <w:bCs/>
                <w:color w:val="000000"/>
                <w:sz w:val="14"/>
                <w:szCs w:val="14"/>
              </w:rPr>
            </w:pPr>
            <w:r w:rsidRPr="00F36B82">
              <w:rPr>
                <w:b/>
                <w:bCs/>
                <w:color w:val="000000"/>
                <w:sz w:val="14"/>
                <w:szCs w:val="14"/>
              </w:rPr>
              <w:t>9</w:t>
            </w:r>
          </w:p>
        </w:tc>
        <w:tc>
          <w:tcPr>
            <w:tcW w:w="674" w:type="dxa"/>
            <w:tcBorders>
              <w:top w:val="single" w:sz="4" w:space="0" w:color="auto"/>
              <w:left w:val="nil"/>
              <w:bottom w:val="single" w:sz="4" w:space="0" w:color="auto"/>
              <w:right w:val="nil"/>
            </w:tcBorders>
            <w:vAlign w:val="bottom"/>
          </w:tcPr>
          <w:p w14:paraId="7986FE34" w14:textId="77777777" w:rsidR="00F91828" w:rsidRPr="00F36B82" w:rsidRDefault="00F91828" w:rsidP="00F36B82">
            <w:pPr>
              <w:ind w:firstLineChars="30" w:firstLine="42"/>
              <w:jc w:val="right"/>
              <w:rPr>
                <w:b/>
                <w:bCs/>
                <w:color w:val="000000"/>
                <w:sz w:val="14"/>
                <w:szCs w:val="14"/>
              </w:rPr>
            </w:pPr>
            <w:r w:rsidRPr="00F36B82">
              <w:rPr>
                <w:b/>
                <w:bCs/>
                <w:color w:val="000000"/>
                <w:sz w:val="14"/>
                <w:szCs w:val="14"/>
              </w:rPr>
              <w:t>10</w:t>
            </w:r>
          </w:p>
        </w:tc>
        <w:tc>
          <w:tcPr>
            <w:tcW w:w="734" w:type="dxa"/>
            <w:tcBorders>
              <w:top w:val="single" w:sz="4" w:space="0" w:color="auto"/>
              <w:left w:val="nil"/>
              <w:bottom w:val="single" w:sz="4" w:space="0" w:color="auto"/>
              <w:right w:val="nil"/>
            </w:tcBorders>
            <w:vAlign w:val="bottom"/>
            <w:hideMark/>
          </w:tcPr>
          <w:p w14:paraId="4AD30554" w14:textId="77777777" w:rsidR="00F91828" w:rsidRPr="00F36B82" w:rsidRDefault="00F91828" w:rsidP="00F36B82">
            <w:pPr>
              <w:ind w:firstLineChars="30" w:firstLine="42"/>
              <w:jc w:val="right"/>
              <w:rPr>
                <w:b/>
                <w:bCs/>
                <w:color w:val="000000"/>
                <w:sz w:val="14"/>
                <w:szCs w:val="14"/>
              </w:rPr>
            </w:pPr>
            <w:r w:rsidRPr="00F36B82">
              <w:rPr>
                <w:b/>
                <w:bCs/>
                <w:color w:val="000000"/>
                <w:sz w:val="14"/>
                <w:szCs w:val="14"/>
              </w:rPr>
              <w:t>11</w:t>
            </w:r>
          </w:p>
        </w:tc>
        <w:tc>
          <w:tcPr>
            <w:tcW w:w="647" w:type="dxa"/>
            <w:tcBorders>
              <w:top w:val="single" w:sz="4" w:space="0" w:color="auto"/>
              <w:left w:val="nil"/>
              <w:bottom w:val="single" w:sz="4" w:space="0" w:color="auto"/>
              <w:right w:val="nil"/>
            </w:tcBorders>
            <w:vAlign w:val="bottom"/>
          </w:tcPr>
          <w:p w14:paraId="1C804BD9" w14:textId="77777777" w:rsidR="00F91828" w:rsidRPr="00F36B82" w:rsidRDefault="00F91828" w:rsidP="00F36B82">
            <w:pPr>
              <w:ind w:firstLineChars="30" w:firstLine="42"/>
              <w:jc w:val="right"/>
              <w:rPr>
                <w:b/>
                <w:bCs/>
                <w:color w:val="000000"/>
                <w:sz w:val="14"/>
                <w:szCs w:val="14"/>
              </w:rPr>
            </w:pPr>
            <w:r w:rsidRPr="00F36B82">
              <w:rPr>
                <w:b/>
                <w:bCs/>
                <w:color w:val="000000"/>
                <w:sz w:val="14"/>
                <w:szCs w:val="14"/>
              </w:rPr>
              <w:t>12</w:t>
            </w:r>
          </w:p>
        </w:tc>
        <w:tc>
          <w:tcPr>
            <w:tcW w:w="647" w:type="dxa"/>
            <w:tcBorders>
              <w:top w:val="single" w:sz="4" w:space="0" w:color="auto"/>
              <w:left w:val="nil"/>
              <w:bottom w:val="single" w:sz="4" w:space="0" w:color="auto"/>
              <w:right w:val="nil"/>
            </w:tcBorders>
            <w:vAlign w:val="bottom"/>
          </w:tcPr>
          <w:p w14:paraId="00EA7FA1" w14:textId="77777777" w:rsidR="00F91828" w:rsidRPr="00F36B82" w:rsidRDefault="00F91828" w:rsidP="00F36B82">
            <w:pPr>
              <w:ind w:firstLineChars="30" w:firstLine="42"/>
              <w:jc w:val="right"/>
              <w:rPr>
                <w:b/>
                <w:bCs/>
                <w:color w:val="000000"/>
                <w:sz w:val="14"/>
                <w:szCs w:val="14"/>
              </w:rPr>
            </w:pPr>
            <w:r w:rsidRPr="00F36B82">
              <w:rPr>
                <w:b/>
                <w:bCs/>
                <w:color w:val="000000"/>
                <w:sz w:val="14"/>
                <w:szCs w:val="14"/>
              </w:rPr>
              <w:t>13</w:t>
            </w:r>
          </w:p>
        </w:tc>
        <w:tc>
          <w:tcPr>
            <w:tcW w:w="647" w:type="dxa"/>
            <w:tcBorders>
              <w:top w:val="single" w:sz="4" w:space="0" w:color="auto"/>
              <w:left w:val="nil"/>
              <w:bottom w:val="single" w:sz="4" w:space="0" w:color="auto"/>
              <w:right w:val="nil"/>
            </w:tcBorders>
            <w:vAlign w:val="bottom"/>
          </w:tcPr>
          <w:p w14:paraId="3F2EF504" w14:textId="77777777" w:rsidR="00F91828" w:rsidRPr="00F36B82" w:rsidRDefault="00F91828" w:rsidP="00F36B82">
            <w:pPr>
              <w:ind w:firstLineChars="30" w:firstLine="42"/>
              <w:jc w:val="right"/>
              <w:rPr>
                <w:b/>
                <w:bCs/>
                <w:color w:val="000000"/>
                <w:sz w:val="14"/>
                <w:szCs w:val="14"/>
              </w:rPr>
            </w:pPr>
            <w:r w:rsidRPr="00F36B82">
              <w:rPr>
                <w:b/>
                <w:bCs/>
                <w:color w:val="000000"/>
                <w:sz w:val="14"/>
                <w:szCs w:val="14"/>
              </w:rPr>
              <w:t>14</w:t>
            </w:r>
          </w:p>
        </w:tc>
        <w:tc>
          <w:tcPr>
            <w:tcW w:w="650" w:type="dxa"/>
            <w:tcBorders>
              <w:top w:val="single" w:sz="4" w:space="0" w:color="auto"/>
              <w:left w:val="nil"/>
              <w:bottom w:val="single" w:sz="4" w:space="0" w:color="auto"/>
              <w:right w:val="nil"/>
            </w:tcBorders>
            <w:vAlign w:val="bottom"/>
          </w:tcPr>
          <w:p w14:paraId="077A76C5" w14:textId="77777777" w:rsidR="00F91828" w:rsidRPr="00F36B82" w:rsidRDefault="00F91828" w:rsidP="00F36B82">
            <w:pPr>
              <w:ind w:firstLineChars="30" w:firstLine="42"/>
              <w:jc w:val="right"/>
              <w:rPr>
                <w:b/>
                <w:bCs/>
                <w:color w:val="000000"/>
                <w:sz w:val="14"/>
                <w:szCs w:val="14"/>
              </w:rPr>
            </w:pPr>
            <w:r w:rsidRPr="00F36B82">
              <w:rPr>
                <w:b/>
                <w:bCs/>
                <w:color w:val="000000"/>
                <w:sz w:val="14"/>
                <w:szCs w:val="14"/>
              </w:rPr>
              <w:t>15</w:t>
            </w:r>
          </w:p>
        </w:tc>
        <w:tc>
          <w:tcPr>
            <w:tcW w:w="660" w:type="dxa"/>
            <w:tcBorders>
              <w:top w:val="single" w:sz="4" w:space="0" w:color="auto"/>
              <w:left w:val="nil"/>
              <w:bottom w:val="single" w:sz="4" w:space="0" w:color="auto"/>
              <w:right w:val="nil"/>
            </w:tcBorders>
            <w:vAlign w:val="bottom"/>
          </w:tcPr>
          <w:p w14:paraId="002B1A1E" w14:textId="77777777" w:rsidR="00F91828" w:rsidRPr="00F36B82" w:rsidRDefault="00F91828" w:rsidP="00F36B82">
            <w:pPr>
              <w:ind w:firstLineChars="30" w:firstLine="42"/>
              <w:jc w:val="right"/>
              <w:rPr>
                <w:b/>
                <w:bCs/>
                <w:color w:val="000000"/>
                <w:sz w:val="14"/>
                <w:szCs w:val="14"/>
              </w:rPr>
            </w:pPr>
            <w:r w:rsidRPr="00F36B82">
              <w:rPr>
                <w:b/>
                <w:bCs/>
                <w:color w:val="000000"/>
                <w:sz w:val="14"/>
                <w:szCs w:val="14"/>
              </w:rPr>
              <w:t>16</w:t>
            </w:r>
          </w:p>
        </w:tc>
        <w:tc>
          <w:tcPr>
            <w:tcW w:w="674" w:type="dxa"/>
            <w:tcBorders>
              <w:top w:val="single" w:sz="4" w:space="0" w:color="auto"/>
              <w:left w:val="nil"/>
              <w:bottom w:val="single" w:sz="4" w:space="0" w:color="auto"/>
              <w:right w:val="nil"/>
            </w:tcBorders>
            <w:vAlign w:val="bottom"/>
          </w:tcPr>
          <w:p w14:paraId="1095AD5E" w14:textId="77777777" w:rsidR="00F91828" w:rsidRPr="00F36B82" w:rsidRDefault="00F91828" w:rsidP="00F36B82">
            <w:pPr>
              <w:ind w:firstLineChars="30" w:firstLine="42"/>
              <w:jc w:val="right"/>
              <w:rPr>
                <w:b/>
                <w:bCs/>
                <w:color w:val="000000"/>
                <w:sz w:val="14"/>
                <w:szCs w:val="14"/>
              </w:rPr>
            </w:pPr>
            <w:r w:rsidRPr="00F36B82">
              <w:rPr>
                <w:b/>
                <w:bCs/>
                <w:color w:val="000000"/>
                <w:sz w:val="14"/>
                <w:szCs w:val="14"/>
              </w:rPr>
              <w:t>17</w:t>
            </w:r>
          </w:p>
        </w:tc>
        <w:tc>
          <w:tcPr>
            <w:tcW w:w="860" w:type="dxa"/>
            <w:tcBorders>
              <w:top w:val="single" w:sz="4" w:space="0" w:color="auto"/>
              <w:left w:val="nil"/>
              <w:bottom w:val="single" w:sz="4" w:space="0" w:color="auto"/>
              <w:right w:val="nil"/>
            </w:tcBorders>
            <w:vAlign w:val="bottom"/>
          </w:tcPr>
          <w:p w14:paraId="5928B907" w14:textId="77777777" w:rsidR="00F91828" w:rsidRPr="00F36B82" w:rsidRDefault="00F91828" w:rsidP="00F36B82">
            <w:pPr>
              <w:ind w:firstLineChars="30" w:firstLine="42"/>
              <w:jc w:val="right"/>
              <w:rPr>
                <w:b/>
                <w:bCs/>
                <w:color w:val="000000"/>
                <w:sz w:val="14"/>
                <w:szCs w:val="14"/>
              </w:rPr>
            </w:pPr>
            <w:r w:rsidRPr="00F36B82">
              <w:rPr>
                <w:b/>
                <w:bCs/>
                <w:color w:val="000000"/>
                <w:sz w:val="14"/>
                <w:szCs w:val="14"/>
              </w:rPr>
              <w:t>Toplam</w:t>
            </w:r>
          </w:p>
        </w:tc>
      </w:tr>
      <w:tr w:rsidR="009B1956" w:rsidRPr="00F36B82" w14:paraId="7F08CFC2" w14:textId="77777777" w:rsidTr="00F36B82">
        <w:trPr>
          <w:trHeight w:val="206"/>
        </w:trPr>
        <w:tc>
          <w:tcPr>
            <w:tcW w:w="2337" w:type="dxa"/>
            <w:tcBorders>
              <w:top w:val="single" w:sz="4" w:space="0" w:color="auto"/>
              <w:left w:val="nil"/>
              <w:bottom w:val="nil"/>
              <w:right w:val="nil"/>
            </w:tcBorders>
            <w:vAlign w:val="bottom"/>
            <w:hideMark/>
          </w:tcPr>
          <w:p w14:paraId="1A913908" w14:textId="77777777" w:rsidR="009B1956" w:rsidRPr="00F36B82" w:rsidRDefault="009B1956" w:rsidP="009B1956">
            <w:pPr>
              <w:ind w:firstLineChars="30" w:firstLine="42"/>
              <w:rPr>
                <w:color w:val="000000"/>
                <w:sz w:val="14"/>
                <w:szCs w:val="14"/>
              </w:rPr>
            </w:pPr>
            <w:r w:rsidRPr="00F36B82">
              <w:rPr>
                <w:color w:val="000000"/>
                <w:sz w:val="14"/>
                <w:szCs w:val="14"/>
              </w:rPr>
              <w:t>Yurtiçi</w:t>
            </w:r>
          </w:p>
        </w:tc>
        <w:tc>
          <w:tcPr>
            <w:tcW w:w="780" w:type="dxa"/>
            <w:tcBorders>
              <w:top w:val="nil"/>
              <w:left w:val="nil"/>
              <w:bottom w:val="nil"/>
              <w:right w:val="nil"/>
            </w:tcBorders>
            <w:vAlign w:val="bottom"/>
          </w:tcPr>
          <w:p w14:paraId="50459DDB" w14:textId="4D3468AD" w:rsidR="009B1956" w:rsidRPr="00F36B82" w:rsidRDefault="009B1956" w:rsidP="00F36B82">
            <w:pPr>
              <w:jc w:val="right"/>
              <w:rPr>
                <w:color w:val="000000"/>
                <w:sz w:val="14"/>
                <w:szCs w:val="14"/>
              </w:rPr>
            </w:pPr>
            <w:r w:rsidRPr="00F36B82">
              <w:rPr>
                <w:sz w:val="14"/>
                <w:szCs w:val="14"/>
              </w:rPr>
              <w:t>4.830.858</w:t>
            </w:r>
          </w:p>
        </w:tc>
        <w:tc>
          <w:tcPr>
            <w:tcW w:w="544" w:type="dxa"/>
            <w:tcBorders>
              <w:top w:val="nil"/>
              <w:left w:val="nil"/>
              <w:bottom w:val="nil"/>
              <w:right w:val="nil"/>
            </w:tcBorders>
            <w:vAlign w:val="bottom"/>
          </w:tcPr>
          <w:p w14:paraId="19C5AC02" w14:textId="21216104" w:rsidR="009B1956" w:rsidRPr="00F36B82" w:rsidRDefault="009B1956" w:rsidP="00F36B82">
            <w:pPr>
              <w:jc w:val="right"/>
              <w:rPr>
                <w:color w:val="000000"/>
                <w:sz w:val="14"/>
                <w:szCs w:val="14"/>
              </w:rPr>
            </w:pPr>
            <w:r w:rsidRPr="00F36B82">
              <w:rPr>
                <w:sz w:val="14"/>
                <w:szCs w:val="14"/>
              </w:rPr>
              <w:t>-</w:t>
            </w:r>
          </w:p>
        </w:tc>
        <w:tc>
          <w:tcPr>
            <w:tcW w:w="478" w:type="dxa"/>
            <w:tcBorders>
              <w:top w:val="nil"/>
              <w:left w:val="nil"/>
              <w:bottom w:val="nil"/>
              <w:right w:val="nil"/>
            </w:tcBorders>
            <w:vAlign w:val="bottom"/>
          </w:tcPr>
          <w:p w14:paraId="4F648D36" w14:textId="72105F3F" w:rsidR="009B1956" w:rsidRPr="00F36B82" w:rsidRDefault="009B1956" w:rsidP="00F36B82">
            <w:pPr>
              <w:jc w:val="right"/>
              <w:rPr>
                <w:color w:val="000000"/>
                <w:sz w:val="14"/>
                <w:szCs w:val="14"/>
              </w:rPr>
            </w:pPr>
            <w:r w:rsidRPr="00F36B82">
              <w:rPr>
                <w:sz w:val="14"/>
                <w:szCs w:val="14"/>
              </w:rPr>
              <w:t>-</w:t>
            </w:r>
          </w:p>
        </w:tc>
        <w:tc>
          <w:tcPr>
            <w:tcW w:w="409" w:type="dxa"/>
            <w:tcBorders>
              <w:top w:val="nil"/>
              <w:left w:val="nil"/>
              <w:bottom w:val="nil"/>
              <w:right w:val="nil"/>
            </w:tcBorders>
            <w:vAlign w:val="bottom"/>
          </w:tcPr>
          <w:p w14:paraId="5F8A2B34" w14:textId="4C14F273" w:rsidR="009B1956" w:rsidRPr="00F36B82" w:rsidRDefault="009B1956" w:rsidP="00F36B82">
            <w:pPr>
              <w:jc w:val="right"/>
              <w:rPr>
                <w:color w:val="000000"/>
                <w:sz w:val="14"/>
                <w:szCs w:val="14"/>
              </w:rPr>
            </w:pPr>
            <w:r w:rsidRPr="00F36B82">
              <w:rPr>
                <w:sz w:val="14"/>
                <w:szCs w:val="14"/>
              </w:rPr>
              <w:t>-</w:t>
            </w:r>
          </w:p>
        </w:tc>
        <w:tc>
          <w:tcPr>
            <w:tcW w:w="709" w:type="dxa"/>
            <w:tcBorders>
              <w:top w:val="nil"/>
              <w:left w:val="nil"/>
              <w:bottom w:val="nil"/>
              <w:right w:val="nil"/>
            </w:tcBorders>
            <w:vAlign w:val="bottom"/>
          </w:tcPr>
          <w:p w14:paraId="52A85AE2" w14:textId="2BF33197" w:rsidR="009B1956" w:rsidRPr="00F36B82" w:rsidRDefault="009B1956" w:rsidP="00F36B82">
            <w:pPr>
              <w:jc w:val="right"/>
              <w:rPr>
                <w:color w:val="000000"/>
                <w:sz w:val="14"/>
                <w:szCs w:val="14"/>
              </w:rPr>
            </w:pPr>
            <w:r w:rsidRPr="00F36B82">
              <w:rPr>
                <w:sz w:val="14"/>
                <w:szCs w:val="14"/>
              </w:rPr>
              <w:t>-</w:t>
            </w:r>
          </w:p>
        </w:tc>
        <w:tc>
          <w:tcPr>
            <w:tcW w:w="795" w:type="dxa"/>
            <w:tcBorders>
              <w:top w:val="nil"/>
              <w:left w:val="nil"/>
              <w:bottom w:val="nil"/>
              <w:right w:val="nil"/>
            </w:tcBorders>
            <w:vAlign w:val="bottom"/>
          </w:tcPr>
          <w:p w14:paraId="1FB366A5" w14:textId="5693115A" w:rsidR="009B1956" w:rsidRPr="00F36B82" w:rsidRDefault="009B1956" w:rsidP="00F36B82">
            <w:pPr>
              <w:jc w:val="right"/>
              <w:rPr>
                <w:color w:val="000000"/>
                <w:sz w:val="14"/>
                <w:szCs w:val="14"/>
              </w:rPr>
            </w:pPr>
            <w:r w:rsidRPr="00F36B82">
              <w:rPr>
                <w:sz w:val="14"/>
                <w:szCs w:val="14"/>
              </w:rPr>
              <w:t>4.975.319</w:t>
            </w:r>
          </w:p>
        </w:tc>
        <w:tc>
          <w:tcPr>
            <w:tcW w:w="908" w:type="dxa"/>
            <w:tcBorders>
              <w:top w:val="nil"/>
              <w:left w:val="nil"/>
              <w:bottom w:val="nil"/>
              <w:right w:val="nil"/>
            </w:tcBorders>
            <w:vAlign w:val="bottom"/>
          </w:tcPr>
          <w:p w14:paraId="407599EA" w14:textId="1C364582" w:rsidR="009B1956" w:rsidRPr="00F36B82" w:rsidRDefault="009B1956" w:rsidP="00F36B82">
            <w:pPr>
              <w:jc w:val="right"/>
              <w:rPr>
                <w:color w:val="000000"/>
                <w:sz w:val="14"/>
                <w:szCs w:val="14"/>
              </w:rPr>
            </w:pPr>
            <w:r w:rsidRPr="00F36B82">
              <w:rPr>
                <w:sz w:val="14"/>
                <w:szCs w:val="14"/>
              </w:rPr>
              <w:t>12.957.365</w:t>
            </w:r>
          </w:p>
        </w:tc>
        <w:tc>
          <w:tcPr>
            <w:tcW w:w="701" w:type="dxa"/>
            <w:tcBorders>
              <w:top w:val="nil"/>
              <w:left w:val="nil"/>
              <w:bottom w:val="nil"/>
              <w:right w:val="nil"/>
            </w:tcBorders>
            <w:vAlign w:val="bottom"/>
          </w:tcPr>
          <w:p w14:paraId="7A9E74E7" w14:textId="7116D897" w:rsidR="009B1956" w:rsidRPr="00F36B82" w:rsidRDefault="009B1956" w:rsidP="00F36B82">
            <w:pPr>
              <w:jc w:val="right"/>
              <w:rPr>
                <w:color w:val="000000"/>
                <w:sz w:val="14"/>
                <w:szCs w:val="14"/>
              </w:rPr>
            </w:pPr>
            <w:r w:rsidRPr="00F36B82">
              <w:rPr>
                <w:sz w:val="14"/>
                <w:szCs w:val="14"/>
              </w:rPr>
              <w:t>-</w:t>
            </w:r>
          </w:p>
        </w:tc>
        <w:tc>
          <w:tcPr>
            <w:tcW w:w="718" w:type="dxa"/>
            <w:tcBorders>
              <w:top w:val="nil"/>
              <w:left w:val="nil"/>
              <w:bottom w:val="nil"/>
              <w:right w:val="nil"/>
            </w:tcBorders>
            <w:vAlign w:val="bottom"/>
          </w:tcPr>
          <w:p w14:paraId="2BF7CC63" w14:textId="12341BDA" w:rsidR="009B1956" w:rsidRPr="00F36B82" w:rsidRDefault="009B1956" w:rsidP="00F36B82">
            <w:pPr>
              <w:jc w:val="right"/>
              <w:rPr>
                <w:color w:val="000000"/>
                <w:sz w:val="14"/>
                <w:szCs w:val="14"/>
              </w:rPr>
            </w:pPr>
            <w:r w:rsidRPr="00F36B82">
              <w:rPr>
                <w:sz w:val="14"/>
                <w:szCs w:val="14"/>
              </w:rPr>
              <w:t>709.613</w:t>
            </w:r>
          </w:p>
        </w:tc>
        <w:tc>
          <w:tcPr>
            <w:tcW w:w="674" w:type="dxa"/>
            <w:tcBorders>
              <w:top w:val="nil"/>
              <w:left w:val="nil"/>
              <w:bottom w:val="nil"/>
              <w:right w:val="nil"/>
            </w:tcBorders>
            <w:vAlign w:val="bottom"/>
          </w:tcPr>
          <w:p w14:paraId="5C68BF37" w14:textId="21BDEB02" w:rsidR="009B1956" w:rsidRPr="00F36B82" w:rsidRDefault="009B1956" w:rsidP="00F36B82">
            <w:pPr>
              <w:jc w:val="right"/>
              <w:rPr>
                <w:sz w:val="14"/>
                <w:szCs w:val="14"/>
              </w:rPr>
            </w:pPr>
            <w:r w:rsidRPr="00F36B82">
              <w:rPr>
                <w:sz w:val="14"/>
                <w:szCs w:val="14"/>
              </w:rPr>
              <w:t>-</w:t>
            </w:r>
          </w:p>
        </w:tc>
        <w:tc>
          <w:tcPr>
            <w:tcW w:w="734" w:type="dxa"/>
            <w:tcBorders>
              <w:top w:val="nil"/>
              <w:left w:val="nil"/>
              <w:bottom w:val="nil"/>
              <w:right w:val="nil"/>
            </w:tcBorders>
            <w:vAlign w:val="bottom"/>
          </w:tcPr>
          <w:p w14:paraId="397C853C" w14:textId="6824CBA5" w:rsidR="009B1956" w:rsidRPr="00F36B82" w:rsidRDefault="009B1956" w:rsidP="00F36B82">
            <w:pPr>
              <w:jc w:val="right"/>
              <w:rPr>
                <w:color w:val="000000"/>
                <w:sz w:val="14"/>
                <w:szCs w:val="14"/>
              </w:rPr>
            </w:pPr>
            <w:r w:rsidRPr="00F36B82">
              <w:rPr>
                <w:sz w:val="14"/>
                <w:szCs w:val="14"/>
              </w:rPr>
              <w:t>27.648</w:t>
            </w:r>
          </w:p>
        </w:tc>
        <w:tc>
          <w:tcPr>
            <w:tcW w:w="647" w:type="dxa"/>
            <w:tcBorders>
              <w:top w:val="nil"/>
              <w:left w:val="nil"/>
              <w:bottom w:val="nil"/>
              <w:right w:val="nil"/>
            </w:tcBorders>
            <w:vAlign w:val="bottom"/>
          </w:tcPr>
          <w:p w14:paraId="791029FB" w14:textId="71F4F6D7" w:rsidR="009B1956" w:rsidRPr="00F36B82" w:rsidRDefault="009B1956" w:rsidP="00F36B82">
            <w:pPr>
              <w:jc w:val="right"/>
              <w:rPr>
                <w:color w:val="000000"/>
                <w:sz w:val="14"/>
                <w:szCs w:val="14"/>
              </w:rPr>
            </w:pPr>
            <w:r w:rsidRPr="00F36B82">
              <w:rPr>
                <w:sz w:val="14"/>
                <w:szCs w:val="14"/>
              </w:rPr>
              <w:t>-</w:t>
            </w:r>
          </w:p>
        </w:tc>
        <w:tc>
          <w:tcPr>
            <w:tcW w:w="647" w:type="dxa"/>
            <w:tcBorders>
              <w:top w:val="nil"/>
              <w:left w:val="nil"/>
              <w:bottom w:val="nil"/>
              <w:right w:val="nil"/>
            </w:tcBorders>
            <w:vAlign w:val="bottom"/>
          </w:tcPr>
          <w:p w14:paraId="7C27848E" w14:textId="0AE387D1" w:rsidR="009B1956" w:rsidRPr="00F36B82" w:rsidRDefault="009B1956" w:rsidP="00F36B82">
            <w:pPr>
              <w:jc w:val="right"/>
              <w:rPr>
                <w:color w:val="000000"/>
                <w:sz w:val="14"/>
                <w:szCs w:val="14"/>
              </w:rPr>
            </w:pPr>
            <w:r w:rsidRPr="00F36B82">
              <w:rPr>
                <w:sz w:val="14"/>
                <w:szCs w:val="14"/>
              </w:rPr>
              <w:t>-</w:t>
            </w:r>
          </w:p>
        </w:tc>
        <w:tc>
          <w:tcPr>
            <w:tcW w:w="647" w:type="dxa"/>
            <w:tcBorders>
              <w:top w:val="nil"/>
              <w:left w:val="nil"/>
              <w:bottom w:val="nil"/>
              <w:right w:val="nil"/>
            </w:tcBorders>
            <w:vAlign w:val="bottom"/>
          </w:tcPr>
          <w:p w14:paraId="13153DE4" w14:textId="427E78B8" w:rsidR="009B1956" w:rsidRPr="00F36B82" w:rsidRDefault="009B1956" w:rsidP="00F36B82">
            <w:pPr>
              <w:jc w:val="right"/>
              <w:rPr>
                <w:color w:val="000000"/>
                <w:sz w:val="14"/>
                <w:szCs w:val="14"/>
              </w:rPr>
            </w:pPr>
            <w:r w:rsidRPr="00F36B82">
              <w:rPr>
                <w:sz w:val="14"/>
                <w:szCs w:val="14"/>
              </w:rPr>
              <w:t>-</w:t>
            </w:r>
          </w:p>
        </w:tc>
        <w:tc>
          <w:tcPr>
            <w:tcW w:w="650" w:type="dxa"/>
            <w:tcBorders>
              <w:top w:val="nil"/>
              <w:left w:val="nil"/>
              <w:bottom w:val="nil"/>
              <w:right w:val="nil"/>
            </w:tcBorders>
            <w:vAlign w:val="bottom"/>
          </w:tcPr>
          <w:p w14:paraId="30F40282" w14:textId="16A289A7" w:rsidR="009B1956" w:rsidRPr="00F36B82" w:rsidRDefault="009B1956" w:rsidP="00F36B82">
            <w:pPr>
              <w:jc w:val="right"/>
              <w:rPr>
                <w:color w:val="000000"/>
                <w:sz w:val="14"/>
                <w:szCs w:val="14"/>
              </w:rPr>
            </w:pPr>
            <w:r w:rsidRPr="00F36B82">
              <w:rPr>
                <w:sz w:val="14"/>
                <w:szCs w:val="14"/>
              </w:rPr>
              <w:t>948</w:t>
            </w:r>
          </w:p>
        </w:tc>
        <w:tc>
          <w:tcPr>
            <w:tcW w:w="660" w:type="dxa"/>
            <w:tcBorders>
              <w:top w:val="nil"/>
              <w:left w:val="nil"/>
              <w:bottom w:val="nil"/>
              <w:right w:val="nil"/>
            </w:tcBorders>
            <w:vAlign w:val="bottom"/>
          </w:tcPr>
          <w:p w14:paraId="1C11154A" w14:textId="0D6D5CE2" w:rsidR="009B1956" w:rsidRPr="00F36B82" w:rsidRDefault="009B1956" w:rsidP="00F36B82">
            <w:pPr>
              <w:jc w:val="right"/>
              <w:rPr>
                <w:color w:val="000000"/>
                <w:sz w:val="14"/>
                <w:szCs w:val="14"/>
              </w:rPr>
            </w:pPr>
            <w:r w:rsidRPr="00F36B82">
              <w:rPr>
                <w:sz w:val="14"/>
                <w:szCs w:val="14"/>
              </w:rPr>
              <w:t>15</w:t>
            </w:r>
          </w:p>
        </w:tc>
        <w:tc>
          <w:tcPr>
            <w:tcW w:w="674" w:type="dxa"/>
            <w:tcBorders>
              <w:top w:val="nil"/>
              <w:left w:val="nil"/>
              <w:bottom w:val="nil"/>
              <w:right w:val="nil"/>
            </w:tcBorders>
            <w:vAlign w:val="bottom"/>
          </w:tcPr>
          <w:p w14:paraId="566A661D" w14:textId="521D5443" w:rsidR="009B1956" w:rsidRPr="00F36B82" w:rsidRDefault="009B1956" w:rsidP="00F36B82">
            <w:pPr>
              <w:jc w:val="right"/>
              <w:rPr>
                <w:color w:val="000000"/>
                <w:sz w:val="14"/>
                <w:szCs w:val="14"/>
              </w:rPr>
            </w:pPr>
            <w:r w:rsidRPr="00F36B82">
              <w:rPr>
                <w:sz w:val="14"/>
                <w:szCs w:val="14"/>
              </w:rPr>
              <w:t>991.124</w:t>
            </w:r>
          </w:p>
        </w:tc>
        <w:tc>
          <w:tcPr>
            <w:tcW w:w="860" w:type="dxa"/>
            <w:tcBorders>
              <w:top w:val="nil"/>
              <w:left w:val="nil"/>
              <w:bottom w:val="nil"/>
              <w:right w:val="nil"/>
            </w:tcBorders>
            <w:vAlign w:val="bottom"/>
          </w:tcPr>
          <w:p w14:paraId="4ADC4325" w14:textId="259AAF20" w:rsidR="009B1956" w:rsidRPr="00F36B82" w:rsidRDefault="009B1956" w:rsidP="00F36B82">
            <w:pPr>
              <w:jc w:val="right"/>
              <w:rPr>
                <w:color w:val="000000"/>
                <w:sz w:val="14"/>
                <w:szCs w:val="14"/>
              </w:rPr>
            </w:pPr>
            <w:r w:rsidRPr="00F36B82">
              <w:rPr>
                <w:sz w:val="14"/>
                <w:szCs w:val="14"/>
              </w:rPr>
              <w:t>24.492.890</w:t>
            </w:r>
          </w:p>
        </w:tc>
      </w:tr>
      <w:tr w:rsidR="009B1956" w:rsidRPr="00F36B82" w14:paraId="2983D69A" w14:textId="77777777" w:rsidTr="00F36B82">
        <w:trPr>
          <w:trHeight w:val="206"/>
        </w:trPr>
        <w:tc>
          <w:tcPr>
            <w:tcW w:w="2337" w:type="dxa"/>
            <w:tcBorders>
              <w:top w:val="nil"/>
              <w:left w:val="nil"/>
              <w:bottom w:val="nil"/>
              <w:right w:val="nil"/>
            </w:tcBorders>
            <w:vAlign w:val="bottom"/>
            <w:hideMark/>
          </w:tcPr>
          <w:p w14:paraId="10174635" w14:textId="77777777" w:rsidR="009B1956" w:rsidRPr="00F36B82" w:rsidRDefault="009B1956" w:rsidP="009B1956">
            <w:pPr>
              <w:ind w:firstLineChars="30" w:firstLine="42"/>
              <w:rPr>
                <w:color w:val="000000"/>
                <w:sz w:val="14"/>
                <w:szCs w:val="14"/>
              </w:rPr>
            </w:pPr>
            <w:r w:rsidRPr="00F36B82">
              <w:rPr>
                <w:color w:val="000000"/>
                <w:sz w:val="14"/>
                <w:szCs w:val="14"/>
              </w:rPr>
              <w:t>Avrupa birliği ülkeleri</w:t>
            </w:r>
          </w:p>
        </w:tc>
        <w:tc>
          <w:tcPr>
            <w:tcW w:w="780" w:type="dxa"/>
            <w:tcBorders>
              <w:top w:val="nil"/>
              <w:left w:val="nil"/>
              <w:bottom w:val="nil"/>
              <w:right w:val="nil"/>
            </w:tcBorders>
            <w:vAlign w:val="bottom"/>
          </w:tcPr>
          <w:p w14:paraId="67ED1520" w14:textId="55B82C6D" w:rsidR="009B1956" w:rsidRPr="00F36B82" w:rsidRDefault="009B1956" w:rsidP="00F36B82">
            <w:pPr>
              <w:jc w:val="right"/>
              <w:rPr>
                <w:color w:val="000000"/>
                <w:sz w:val="14"/>
                <w:szCs w:val="14"/>
              </w:rPr>
            </w:pPr>
            <w:r w:rsidRPr="00F36B82">
              <w:rPr>
                <w:sz w:val="14"/>
                <w:szCs w:val="14"/>
              </w:rPr>
              <w:t>-</w:t>
            </w:r>
          </w:p>
        </w:tc>
        <w:tc>
          <w:tcPr>
            <w:tcW w:w="544" w:type="dxa"/>
            <w:tcBorders>
              <w:top w:val="nil"/>
              <w:left w:val="nil"/>
              <w:bottom w:val="nil"/>
              <w:right w:val="nil"/>
            </w:tcBorders>
            <w:vAlign w:val="bottom"/>
          </w:tcPr>
          <w:p w14:paraId="0D505D78" w14:textId="62A3068C" w:rsidR="009B1956" w:rsidRPr="00F36B82" w:rsidRDefault="009B1956" w:rsidP="00F36B82">
            <w:pPr>
              <w:jc w:val="right"/>
              <w:rPr>
                <w:sz w:val="14"/>
                <w:szCs w:val="14"/>
              </w:rPr>
            </w:pPr>
            <w:r w:rsidRPr="00F36B82">
              <w:rPr>
                <w:sz w:val="14"/>
                <w:szCs w:val="14"/>
              </w:rPr>
              <w:t>-</w:t>
            </w:r>
          </w:p>
        </w:tc>
        <w:tc>
          <w:tcPr>
            <w:tcW w:w="478" w:type="dxa"/>
            <w:tcBorders>
              <w:top w:val="nil"/>
              <w:left w:val="nil"/>
              <w:bottom w:val="nil"/>
              <w:right w:val="nil"/>
            </w:tcBorders>
            <w:vAlign w:val="bottom"/>
          </w:tcPr>
          <w:p w14:paraId="5F1E8D33" w14:textId="48C6A01B" w:rsidR="009B1956" w:rsidRPr="00F36B82" w:rsidRDefault="009B1956" w:rsidP="00F36B82">
            <w:pPr>
              <w:jc w:val="right"/>
              <w:rPr>
                <w:sz w:val="14"/>
                <w:szCs w:val="14"/>
              </w:rPr>
            </w:pPr>
            <w:r w:rsidRPr="00F36B82">
              <w:rPr>
                <w:sz w:val="14"/>
                <w:szCs w:val="14"/>
              </w:rPr>
              <w:t>-</w:t>
            </w:r>
          </w:p>
        </w:tc>
        <w:tc>
          <w:tcPr>
            <w:tcW w:w="409" w:type="dxa"/>
            <w:tcBorders>
              <w:top w:val="nil"/>
              <w:left w:val="nil"/>
              <w:bottom w:val="nil"/>
              <w:right w:val="nil"/>
            </w:tcBorders>
            <w:vAlign w:val="bottom"/>
          </w:tcPr>
          <w:p w14:paraId="321BB7BE" w14:textId="1A54C33D" w:rsidR="009B1956" w:rsidRPr="00F36B82" w:rsidRDefault="009B1956" w:rsidP="00F36B82">
            <w:pPr>
              <w:jc w:val="right"/>
              <w:rPr>
                <w:sz w:val="14"/>
                <w:szCs w:val="14"/>
              </w:rPr>
            </w:pPr>
            <w:r w:rsidRPr="00F36B82">
              <w:rPr>
                <w:sz w:val="14"/>
                <w:szCs w:val="14"/>
              </w:rPr>
              <w:t>-</w:t>
            </w:r>
          </w:p>
        </w:tc>
        <w:tc>
          <w:tcPr>
            <w:tcW w:w="709" w:type="dxa"/>
            <w:tcBorders>
              <w:top w:val="nil"/>
              <w:left w:val="nil"/>
              <w:bottom w:val="nil"/>
              <w:right w:val="nil"/>
            </w:tcBorders>
            <w:vAlign w:val="bottom"/>
          </w:tcPr>
          <w:p w14:paraId="6C64C22C" w14:textId="6EAD676F" w:rsidR="009B1956" w:rsidRPr="00F36B82" w:rsidRDefault="009B1956" w:rsidP="00F36B82">
            <w:pPr>
              <w:jc w:val="right"/>
              <w:rPr>
                <w:color w:val="000000"/>
                <w:sz w:val="14"/>
                <w:szCs w:val="14"/>
              </w:rPr>
            </w:pPr>
            <w:r w:rsidRPr="00F36B82">
              <w:rPr>
                <w:sz w:val="14"/>
                <w:szCs w:val="14"/>
              </w:rPr>
              <w:t>-</w:t>
            </w:r>
          </w:p>
        </w:tc>
        <w:tc>
          <w:tcPr>
            <w:tcW w:w="795" w:type="dxa"/>
            <w:tcBorders>
              <w:top w:val="nil"/>
              <w:left w:val="nil"/>
              <w:bottom w:val="nil"/>
              <w:right w:val="nil"/>
            </w:tcBorders>
            <w:vAlign w:val="bottom"/>
          </w:tcPr>
          <w:p w14:paraId="7079FD21" w14:textId="1E1391F3" w:rsidR="009B1956" w:rsidRPr="00F36B82" w:rsidRDefault="009B1956" w:rsidP="00F36B82">
            <w:pPr>
              <w:jc w:val="right"/>
              <w:rPr>
                <w:color w:val="000000"/>
                <w:sz w:val="14"/>
                <w:szCs w:val="14"/>
              </w:rPr>
            </w:pPr>
            <w:r w:rsidRPr="00F36B82">
              <w:rPr>
                <w:sz w:val="14"/>
                <w:szCs w:val="14"/>
              </w:rPr>
              <w:t>44.367</w:t>
            </w:r>
          </w:p>
        </w:tc>
        <w:tc>
          <w:tcPr>
            <w:tcW w:w="908" w:type="dxa"/>
            <w:tcBorders>
              <w:top w:val="nil"/>
              <w:left w:val="nil"/>
              <w:bottom w:val="nil"/>
              <w:right w:val="nil"/>
            </w:tcBorders>
            <w:vAlign w:val="bottom"/>
          </w:tcPr>
          <w:p w14:paraId="12F0D19A" w14:textId="0642EE12" w:rsidR="009B1956" w:rsidRPr="00F36B82" w:rsidRDefault="009B1956" w:rsidP="00F36B82">
            <w:pPr>
              <w:jc w:val="right"/>
              <w:rPr>
                <w:color w:val="000000"/>
                <w:sz w:val="14"/>
                <w:szCs w:val="14"/>
              </w:rPr>
            </w:pPr>
            <w:r w:rsidRPr="00F36B82">
              <w:rPr>
                <w:sz w:val="14"/>
                <w:szCs w:val="14"/>
              </w:rPr>
              <w:t>39.006</w:t>
            </w:r>
          </w:p>
        </w:tc>
        <w:tc>
          <w:tcPr>
            <w:tcW w:w="701" w:type="dxa"/>
            <w:tcBorders>
              <w:top w:val="nil"/>
              <w:left w:val="nil"/>
              <w:bottom w:val="nil"/>
              <w:right w:val="nil"/>
            </w:tcBorders>
            <w:vAlign w:val="bottom"/>
          </w:tcPr>
          <w:p w14:paraId="3BA5C91A" w14:textId="209EC506" w:rsidR="009B1956" w:rsidRPr="00F36B82" w:rsidRDefault="009B1956" w:rsidP="00F36B82">
            <w:pPr>
              <w:jc w:val="right"/>
              <w:rPr>
                <w:color w:val="000000"/>
                <w:sz w:val="14"/>
                <w:szCs w:val="14"/>
              </w:rPr>
            </w:pPr>
            <w:r w:rsidRPr="00F36B82">
              <w:rPr>
                <w:sz w:val="14"/>
                <w:szCs w:val="14"/>
              </w:rPr>
              <w:t>-</w:t>
            </w:r>
          </w:p>
        </w:tc>
        <w:tc>
          <w:tcPr>
            <w:tcW w:w="718" w:type="dxa"/>
            <w:tcBorders>
              <w:top w:val="nil"/>
              <w:left w:val="nil"/>
              <w:bottom w:val="nil"/>
              <w:right w:val="nil"/>
            </w:tcBorders>
            <w:vAlign w:val="bottom"/>
          </w:tcPr>
          <w:p w14:paraId="6220C136" w14:textId="429B8411" w:rsidR="009B1956" w:rsidRPr="00F36B82" w:rsidRDefault="009B1956" w:rsidP="00F36B82">
            <w:pPr>
              <w:jc w:val="right"/>
              <w:rPr>
                <w:color w:val="000000"/>
                <w:sz w:val="14"/>
                <w:szCs w:val="14"/>
              </w:rPr>
            </w:pPr>
            <w:r w:rsidRPr="00F36B82">
              <w:rPr>
                <w:sz w:val="14"/>
                <w:szCs w:val="14"/>
              </w:rPr>
              <w:t>-</w:t>
            </w:r>
          </w:p>
        </w:tc>
        <w:tc>
          <w:tcPr>
            <w:tcW w:w="674" w:type="dxa"/>
            <w:tcBorders>
              <w:top w:val="nil"/>
              <w:left w:val="nil"/>
              <w:bottom w:val="nil"/>
              <w:right w:val="nil"/>
            </w:tcBorders>
            <w:vAlign w:val="bottom"/>
          </w:tcPr>
          <w:p w14:paraId="1DA11B7F" w14:textId="50162B9C" w:rsidR="009B1956" w:rsidRPr="00F36B82" w:rsidRDefault="009B1956" w:rsidP="00F36B82">
            <w:pPr>
              <w:jc w:val="right"/>
              <w:rPr>
                <w:sz w:val="14"/>
                <w:szCs w:val="14"/>
              </w:rPr>
            </w:pPr>
            <w:r w:rsidRPr="00F36B82">
              <w:rPr>
                <w:sz w:val="14"/>
                <w:szCs w:val="14"/>
              </w:rPr>
              <w:t>-</w:t>
            </w:r>
          </w:p>
        </w:tc>
        <w:tc>
          <w:tcPr>
            <w:tcW w:w="734" w:type="dxa"/>
            <w:tcBorders>
              <w:top w:val="nil"/>
              <w:left w:val="nil"/>
              <w:bottom w:val="nil"/>
              <w:right w:val="nil"/>
            </w:tcBorders>
            <w:vAlign w:val="bottom"/>
          </w:tcPr>
          <w:p w14:paraId="48A899AC" w14:textId="2C2906F8" w:rsidR="009B1956" w:rsidRPr="00F36B82" w:rsidRDefault="009B1956" w:rsidP="00F36B82">
            <w:pPr>
              <w:jc w:val="right"/>
              <w:rPr>
                <w:color w:val="000000"/>
                <w:sz w:val="14"/>
                <w:szCs w:val="14"/>
              </w:rPr>
            </w:pPr>
            <w:r w:rsidRPr="00F36B82">
              <w:rPr>
                <w:sz w:val="14"/>
                <w:szCs w:val="14"/>
              </w:rPr>
              <w:t>-</w:t>
            </w:r>
          </w:p>
        </w:tc>
        <w:tc>
          <w:tcPr>
            <w:tcW w:w="647" w:type="dxa"/>
            <w:tcBorders>
              <w:top w:val="nil"/>
              <w:left w:val="nil"/>
              <w:bottom w:val="nil"/>
              <w:right w:val="nil"/>
            </w:tcBorders>
            <w:vAlign w:val="bottom"/>
          </w:tcPr>
          <w:p w14:paraId="071C40B7" w14:textId="57F2F52F" w:rsidR="009B1956" w:rsidRPr="00F36B82" w:rsidRDefault="009B1956" w:rsidP="00F36B82">
            <w:pPr>
              <w:jc w:val="right"/>
              <w:rPr>
                <w:color w:val="000000"/>
                <w:sz w:val="14"/>
                <w:szCs w:val="14"/>
              </w:rPr>
            </w:pPr>
            <w:r w:rsidRPr="00F36B82">
              <w:rPr>
                <w:sz w:val="14"/>
                <w:szCs w:val="14"/>
              </w:rPr>
              <w:t>-</w:t>
            </w:r>
          </w:p>
        </w:tc>
        <w:tc>
          <w:tcPr>
            <w:tcW w:w="647" w:type="dxa"/>
            <w:tcBorders>
              <w:top w:val="nil"/>
              <w:left w:val="nil"/>
              <w:bottom w:val="nil"/>
              <w:right w:val="nil"/>
            </w:tcBorders>
            <w:vAlign w:val="bottom"/>
          </w:tcPr>
          <w:p w14:paraId="61EB6F2A" w14:textId="21012459" w:rsidR="009B1956" w:rsidRPr="00F36B82" w:rsidRDefault="009B1956" w:rsidP="00F36B82">
            <w:pPr>
              <w:jc w:val="right"/>
              <w:rPr>
                <w:color w:val="000000"/>
                <w:sz w:val="14"/>
                <w:szCs w:val="14"/>
              </w:rPr>
            </w:pPr>
            <w:r w:rsidRPr="00F36B82">
              <w:rPr>
                <w:sz w:val="14"/>
                <w:szCs w:val="14"/>
              </w:rPr>
              <w:t>-</w:t>
            </w:r>
          </w:p>
        </w:tc>
        <w:tc>
          <w:tcPr>
            <w:tcW w:w="647" w:type="dxa"/>
            <w:tcBorders>
              <w:top w:val="nil"/>
              <w:left w:val="nil"/>
              <w:bottom w:val="nil"/>
              <w:right w:val="nil"/>
            </w:tcBorders>
            <w:vAlign w:val="bottom"/>
          </w:tcPr>
          <w:p w14:paraId="2014916D" w14:textId="724D3361" w:rsidR="009B1956" w:rsidRPr="00F36B82" w:rsidRDefault="009B1956" w:rsidP="00F36B82">
            <w:pPr>
              <w:jc w:val="right"/>
              <w:rPr>
                <w:color w:val="000000"/>
                <w:sz w:val="14"/>
                <w:szCs w:val="14"/>
              </w:rPr>
            </w:pPr>
            <w:r w:rsidRPr="00F36B82">
              <w:rPr>
                <w:sz w:val="14"/>
                <w:szCs w:val="14"/>
              </w:rPr>
              <w:t>-</w:t>
            </w:r>
          </w:p>
        </w:tc>
        <w:tc>
          <w:tcPr>
            <w:tcW w:w="650" w:type="dxa"/>
            <w:tcBorders>
              <w:top w:val="nil"/>
              <w:left w:val="nil"/>
              <w:bottom w:val="nil"/>
              <w:right w:val="nil"/>
            </w:tcBorders>
            <w:vAlign w:val="bottom"/>
          </w:tcPr>
          <w:p w14:paraId="501BBD0B" w14:textId="54EC4E78" w:rsidR="009B1956" w:rsidRPr="00F36B82" w:rsidRDefault="009B1956" w:rsidP="00F36B82">
            <w:pPr>
              <w:jc w:val="right"/>
              <w:rPr>
                <w:color w:val="000000"/>
                <w:sz w:val="14"/>
                <w:szCs w:val="14"/>
              </w:rPr>
            </w:pPr>
            <w:r w:rsidRPr="00F36B82">
              <w:rPr>
                <w:sz w:val="14"/>
                <w:szCs w:val="14"/>
              </w:rPr>
              <w:t>-</w:t>
            </w:r>
          </w:p>
        </w:tc>
        <w:tc>
          <w:tcPr>
            <w:tcW w:w="660" w:type="dxa"/>
            <w:tcBorders>
              <w:top w:val="nil"/>
              <w:left w:val="nil"/>
              <w:bottom w:val="nil"/>
              <w:right w:val="nil"/>
            </w:tcBorders>
            <w:vAlign w:val="bottom"/>
          </w:tcPr>
          <w:p w14:paraId="53301C8C" w14:textId="5F69E359" w:rsidR="009B1956" w:rsidRPr="00F36B82" w:rsidRDefault="009B1956" w:rsidP="00F36B82">
            <w:pPr>
              <w:jc w:val="right"/>
              <w:rPr>
                <w:color w:val="000000"/>
                <w:sz w:val="14"/>
                <w:szCs w:val="14"/>
              </w:rPr>
            </w:pPr>
            <w:r w:rsidRPr="00F36B82">
              <w:rPr>
                <w:sz w:val="14"/>
                <w:szCs w:val="14"/>
              </w:rPr>
              <w:t>-</w:t>
            </w:r>
          </w:p>
        </w:tc>
        <w:tc>
          <w:tcPr>
            <w:tcW w:w="674" w:type="dxa"/>
            <w:tcBorders>
              <w:top w:val="nil"/>
              <w:left w:val="nil"/>
              <w:bottom w:val="nil"/>
              <w:right w:val="nil"/>
            </w:tcBorders>
            <w:vAlign w:val="bottom"/>
          </w:tcPr>
          <w:p w14:paraId="77C4009F" w14:textId="4A62B54D" w:rsidR="009B1956" w:rsidRPr="00F36B82" w:rsidRDefault="009B1956" w:rsidP="00F36B82">
            <w:pPr>
              <w:jc w:val="right"/>
              <w:rPr>
                <w:color w:val="000000"/>
                <w:sz w:val="14"/>
                <w:szCs w:val="14"/>
              </w:rPr>
            </w:pPr>
            <w:r w:rsidRPr="00F36B82">
              <w:rPr>
                <w:sz w:val="14"/>
                <w:szCs w:val="14"/>
              </w:rPr>
              <w:t>-</w:t>
            </w:r>
          </w:p>
        </w:tc>
        <w:tc>
          <w:tcPr>
            <w:tcW w:w="860" w:type="dxa"/>
            <w:tcBorders>
              <w:top w:val="nil"/>
              <w:left w:val="nil"/>
              <w:bottom w:val="nil"/>
              <w:right w:val="nil"/>
            </w:tcBorders>
            <w:vAlign w:val="bottom"/>
          </w:tcPr>
          <w:p w14:paraId="3558C4D4" w14:textId="66E32E50" w:rsidR="009B1956" w:rsidRPr="00F36B82" w:rsidRDefault="009B1956" w:rsidP="00F36B82">
            <w:pPr>
              <w:jc w:val="right"/>
              <w:rPr>
                <w:color w:val="000000"/>
                <w:sz w:val="14"/>
                <w:szCs w:val="14"/>
              </w:rPr>
            </w:pPr>
            <w:r w:rsidRPr="00F36B82">
              <w:rPr>
                <w:sz w:val="14"/>
                <w:szCs w:val="14"/>
              </w:rPr>
              <w:t>83.373</w:t>
            </w:r>
          </w:p>
        </w:tc>
      </w:tr>
      <w:tr w:rsidR="009B1956" w:rsidRPr="00F36B82" w14:paraId="68B6B96A" w14:textId="77777777" w:rsidTr="00F36B82">
        <w:trPr>
          <w:trHeight w:val="206"/>
        </w:trPr>
        <w:tc>
          <w:tcPr>
            <w:tcW w:w="2337" w:type="dxa"/>
            <w:tcBorders>
              <w:top w:val="nil"/>
              <w:left w:val="nil"/>
              <w:bottom w:val="nil"/>
              <w:right w:val="nil"/>
            </w:tcBorders>
            <w:vAlign w:val="bottom"/>
            <w:hideMark/>
          </w:tcPr>
          <w:p w14:paraId="41CCA6C4" w14:textId="77777777" w:rsidR="009B1956" w:rsidRPr="00F36B82" w:rsidRDefault="009B1956" w:rsidP="009B1956">
            <w:pPr>
              <w:ind w:firstLineChars="30" w:firstLine="42"/>
              <w:rPr>
                <w:color w:val="000000"/>
                <w:sz w:val="14"/>
                <w:szCs w:val="14"/>
              </w:rPr>
            </w:pPr>
            <w:r w:rsidRPr="00F36B82">
              <w:rPr>
                <w:color w:val="000000"/>
                <w:sz w:val="14"/>
                <w:szCs w:val="14"/>
              </w:rPr>
              <w:t xml:space="preserve">OECD ülkeleri </w:t>
            </w:r>
            <w:r w:rsidRPr="00F36B82">
              <w:rPr>
                <w:color w:val="000000"/>
                <w:sz w:val="14"/>
                <w:szCs w:val="14"/>
                <w:vertAlign w:val="superscript"/>
              </w:rPr>
              <w:t>(**)</w:t>
            </w:r>
          </w:p>
        </w:tc>
        <w:tc>
          <w:tcPr>
            <w:tcW w:w="780" w:type="dxa"/>
            <w:tcBorders>
              <w:top w:val="nil"/>
              <w:left w:val="nil"/>
              <w:bottom w:val="nil"/>
              <w:right w:val="nil"/>
            </w:tcBorders>
            <w:vAlign w:val="bottom"/>
          </w:tcPr>
          <w:p w14:paraId="6326785B" w14:textId="7BF70A68" w:rsidR="009B1956" w:rsidRPr="00F36B82" w:rsidRDefault="009B1956" w:rsidP="00F36B82">
            <w:pPr>
              <w:jc w:val="right"/>
              <w:rPr>
                <w:color w:val="000000"/>
                <w:sz w:val="14"/>
                <w:szCs w:val="14"/>
              </w:rPr>
            </w:pPr>
            <w:r w:rsidRPr="00F36B82">
              <w:rPr>
                <w:sz w:val="14"/>
                <w:szCs w:val="14"/>
              </w:rPr>
              <w:t>-</w:t>
            </w:r>
          </w:p>
        </w:tc>
        <w:tc>
          <w:tcPr>
            <w:tcW w:w="544" w:type="dxa"/>
            <w:tcBorders>
              <w:top w:val="nil"/>
              <w:left w:val="nil"/>
              <w:bottom w:val="nil"/>
              <w:right w:val="nil"/>
            </w:tcBorders>
            <w:vAlign w:val="bottom"/>
          </w:tcPr>
          <w:p w14:paraId="55E41C04" w14:textId="5F2B5A61" w:rsidR="009B1956" w:rsidRPr="00F36B82" w:rsidRDefault="009B1956" w:rsidP="00F36B82">
            <w:pPr>
              <w:jc w:val="right"/>
              <w:rPr>
                <w:sz w:val="14"/>
                <w:szCs w:val="14"/>
              </w:rPr>
            </w:pPr>
            <w:r w:rsidRPr="00F36B82">
              <w:rPr>
                <w:sz w:val="14"/>
                <w:szCs w:val="14"/>
              </w:rPr>
              <w:t>-</w:t>
            </w:r>
          </w:p>
        </w:tc>
        <w:tc>
          <w:tcPr>
            <w:tcW w:w="478" w:type="dxa"/>
            <w:tcBorders>
              <w:top w:val="nil"/>
              <w:left w:val="nil"/>
              <w:bottom w:val="nil"/>
              <w:right w:val="nil"/>
            </w:tcBorders>
            <w:vAlign w:val="bottom"/>
          </w:tcPr>
          <w:p w14:paraId="2B13A0F1" w14:textId="68582D98" w:rsidR="009B1956" w:rsidRPr="00F36B82" w:rsidRDefault="009B1956" w:rsidP="00F36B82">
            <w:pPr>
              <w:jc w:val="right"/>
              <w:rPr>
                <w:sz w:val="14"/>
                <w:szCs w:val="14"/>
              </w:rPr>
            </w:pPr>
            <w:r w:rsidRPr="00F36B82">
              <w:rPr>
                <w:sz w:val="14"/>
                <w:szCs w:val="14"/>
              </w:rPr>
              <w:t>-</w:t>
            </w:r>
          </w:p>
        </w:tc>
        <w:tc>
          <w:tcPr>
            <w:tcW w:w="409" w:type="dxa"/>
            <w:tcBorders>
              <w:top w:val="nil"/>
              <w:left w:val="nil"/>
              <w:bottom w:val="nil"/>
              <w:right w:val="nil"/>
            </w:tcBorders>
            <w:vAlign w:val="bottom"/>
          </w:tcPr>
          <w:p w14:paraId="2B120F13" w14:textId="5EF84DF7" w:rsidR="009B1956" w:rsidRPr="00F36B82" w:rsidRDefault="009B1956" w:rsidP="00F36B82">
            <w:pPr>
              <w:jc w:val="right"/>
              <w:rPr>
                <w:sz w:val="14"/>
                <w:szCs w:val="14"/>
              </w:rPr>
            </w:pPr>
            <w:r w:rsidRPr="00F36B82">
              <w:rPr>
                <w:sz w:val="14"/>
                <w:szCs w:val="14"/>
              </w:rPr>
              <w:t>-</w:t>
            </w:r>
          </w:p>
        </w:tc>
        <w:tc>
          <w:tcPr>
            <w:tcW w:w="709" w:type="dxa"/>
            <w:tcBorders>
              <w:top w:val="nil"/>
              <w:left w:val="nil"/>
              <w:bottom w:val="nil"/>
              <w:right w:val="nil"/>
            </w:tcBorders>
            <w:vAlign w:val="bottom"/>
          </w:tcPr>
          <w:p w14:paraId="6ED9175A" w14:textId="3CAC993B" w:rsidR="009B1956" w:rsidRPr="00F36B82" w:rsidRDefault="009B1956" w:rsidP="00F36B82">
            <w:pPr>
              <w:jc w:val="right"/>
              <w:rPr>
                <w:color w:val="000000"/>
                <w:sz w:val="14"/>
                <w:szCs w:val="14"/>
              </w:rPr>
            </w:pPr>
            <w:r w:rsidRPr="00F36B82">
              <w:rPr>
                <w:sz w:val="14"/>
                <w:szCs w:val="14"/>
              </w:rPr>
              <w:t>-</w:t>
            </w:r>
          </w:p>
        </w:tc>
        <w:tc>
          <w:tcPr>
            <w:tcW w:w="795" w:type="dxa"/>
            <w:tcBorders>
              <w:top w:val="nil"/>
              <w:left w:val="nil"/>
              <w:bottom w:val="nil"/>
              <w:right w:val="nil"/>
            </w:tcBorders>
            <w:vAlign w:val="bottom"/>
          </w:tcPr>
          <w:p w14:paraId="1961D487" w14:textId="612DC34F" w:rsidR="009B1956" w:rsidRPr="00F36B82" w:rsidRDefault="009B1956" w:rsidP="00F36B82">
            <w:pPr>
              <w:jc w:val="right"/>
              <w:rPr>
                <w:color w:val="000000"/>
                <w:sz w:val="14"/>
                <w:szCs w:val="14"/>
              </w:rPr>
            </w:pPr>
            <w:r w:rsidRPr="00F36B82">
              <w:rPr>
                <w:sz w:val="14"/>
                <w:szCs w:val="14"/>
              </w:rPr>
              <w:t>202.036</w:t>
            </w:r>
          </w:p>
        </w:tc>
        <w:tc>
          <w:tcPr>
            <w:tcW w:w="908" w:type="dxa"/>
            <w:tcBorders>
              <w:top w:val="nil"/>
              <w:left w:val="nil"/>
              <w:bottom w:val="nil"/>
              <w:right w:val="nil"/>
            </w:tcBorders>
            <w:vAlign w:val="bottom"/>
          </w:tcPr>
          <w:p w14:paraId="59230A32" w14:textId="30F3413C" w:rsidR="009B1956" w:rsidRPr="00F36B82" w:rsidRDefault="009B1956" w:rsidP="00F36B82">
            <w:pPr>
              <w:jc w:val="right"/>
              <w:rPr>
                <w:color w:val="000000"/>
                <w:sz w:val="14"/>
                <w:szCs w:val="14"/>
              </w:rPr>
            </w:pPr>
            <w:r w:rsidRPr="00F36B82">
              <w:rPr>
                <w:sz w:val="14"/>
                <w:szCs w:val="14"/>
              </w:rPr>
              <w:t>427.169</w:t>
            </w:r>
          </w:p>
        </w:tc>
        <w:tc>
          <w:tcPr>
            <w:tcW w:w="701" w:type="dxa"/>
            <w:tcBorders>
              <w:top w:val="nil"/>
              <w:left w:val="nil"/>
              <w:bottom w:val="nil"/>
              <w:right w:val="nil"/>
            </w:tcBorders>
            <w:vAlign w:val="bottom"/>
          </w:tcPr>
          <w:p w14:paraId="304B011F" w14:textId="3532E04D" w:rsidR="009B1956" w:rsidRPr="00F36B82" w:rsidRDefault="009B1956" w:rsidP="00F36B82">
            <w:pPr>
              <w:jc w:val="right"/>
              <w:rPr>
                <w:color w:val="000000"/>
                <w:sz w:val="14"/>
                <w:szCs w:val="14"/>
              </w:rPr>
            </w:pPr>
            <w:r w:rsidRPr="00F36B82">
              <w:rPr>
                <w:sz w:val="14"/>
                <w:szCs w:val="14"/>
              </w:rPr>
              <w:t>-</w:t>
            </w:r>
          </w:p>
        </w:tc>
        <w:tc>
          <w:tcPr>
            <w:tcW w:w="718" w:type="dxa"/>
            <w:tcBorders>
              <w:top w:val="nil"/>
              <w:left w:val="nil"/>
              <w:bottom w:val="nil"/>
              <w:right w:val="nil"/>
            </w:tcBorders>
            <w:vAlign w:val="bottom"/>
          </w:tcPr>
          <w:p w14:paraId="4876DDC0" w14:textId="0525DE96" w:rsidR="009B1956" w:rsidRPr="00F36B82" w:rsidRDefault="009B1956" w:rsidP="00F36B82">
            <w:pPr>
              <w:jc w:val="right"/>
              <w:rPr>
                <w:sz w:val="14"/>
                <w:szCs w:val="14"/>
              </w:rPr>
            </w:pPr>
            <w:r w:rsidRPr="00F36B82">
              <w:rPr>
                <w:sz w:val="14"/>
                <w:szCs w:val="14"/>
              </w:rPr>
              <w:t>-</w:t>
            </w:r>
          </w:p>
        </w:tc>
        <w:tc>
          <w:tcPr>
            <w:tcW w:w="674" w:type="dxa"/>
            <w:tcBorders>
              <w:top w:val="nil"/>
              <w:left w:val="nil"/>
              <w:bottom w:val="nil"/>
              <w:right w:val="nil"/>
            </w:tcBorders>
            <w:vAlign w:val="bottom"/>
          </w:tcPr>
          <w:p w14:paraId="1325E046" w14:textId="4EE73E2F" w:rsidR="009B1956" w:rsidRPr="00F36B82" w:rsidRDefault="009B1956" w:rsidP="00F36B82">
            <w:pPr>
              <w:jc w:val="right"/>
              <w:rPr>
                <w:sz w:val="14"/>
                <w:szCs w:val="14"/>
              </w:rPr>
            </w:pPr>
            <w:r w:rsidRPr="00F36B82">
              <w:rPr>
                <w:sz w:val="14"/>
                <w:szCs w:val="14"/>
              </w:rPr>
              <w:t>-</w:t>
            </w:r>
          </w:p>
        </w:tc>
        <w:tc>
          <w:tcPr>
            <w:tcW w:w="734" w:type="dxa"/>
            <w:tcBorders>
              <w:top w:val="nil"/>
              <w:left w:val="nil"/>
              <w:bottom w:val="nil"/>
              <w:right w:val="nil"/>
            </w:tcBorders>
            <w:vAlign w:val="bottom"/>
          </w:tcPr>
          <w:p w14:paraId="2F19A8E2" w14:textId="5238B475" w:rsidR="009B1956" w:rsidRPr="00F36B82" w:rsidRDefault="009B1956" w:rsidP="00F36B82">
            <w:pPr>
              <w:jc w:val="right"/>
              <w:rPr>
                <w:sz w:val="14"/>
                <w:szCs w:val="14"/>
              </w:rPr>
            </w:pPr>
            <w:r w:rsidRPr="00F36B82">
              <w:rPr>
                <w:sz w:val="14"/>
                <w:szCs w:val="14"/>
              </w:rPr>
              <w:t>-</w:t>
            </w:r>
          </w:p>
        </w:tc>
        <w:tc>
          <w:tcPr>
            <w:tcW w:w="647" w:type="dxa"/>
            <w:tcBorders>
              <w:top w:val="nil"/>
              <w:left w:val="nil"/>
              <w:bottom w:val="nil"/>
              <w:right w:val="nil"/>
            </w:tcBorders>
            <w:vAlign w:val="bottom"/>
          </w:tcPr>
          <w:p w14:paraId="0670BC93" w14:textId="2FA2E96F" w:rsidR="009B1956" w:rsidRPr="00F36B82" w:rsidRDefault="009B1956" w:rsidP="00F36B82">
            <w:pPr>
              <w:jc w:val="right"/>
              <w:rPr>
                <w:sz w:val="14"/>
                <w:szCs w:val="14"/>
              </w:rPr>
            </w:pPr>
            <w:r w:rsidRPr="00F36B82">
              <w:rPr>
                <w:sz w:val="14"/>
                <w:szCs w:val="14"/>
              </w:rPr>
              <w:t>-</w:t>
            </w:r>
          </w:p>
        </w:tc>
        <w:tc>
          <w:tcPr>
            <w:tcW w:w="647" w:type="dxa"/>
            <w:tcBorders>
              <w:top w:val="nil"/>
              <w:left w:val="nil"/>
              <w:bottom w:val="nil"/>
              <w:right w:val="nil"/>
            </w:tcBorders>
            <w:vAlign w:val="bottom"/>
          </w:tcPr>
          <w:p w14:paraId="2DFEF80B" w14:textId="5827E50D" w:rsidR="009B1956" w:rsidRPr="00F36B82" w:rsidRDefault="009B1956" w:rsidP="00F36B82">
            <w:pPr>
              <w:jc w:val="right"/>
              <w:rPr>
                <w:sz w:val="14"/>
                <w:szCs w:val="14"/>
              </w:rPr>
            </w:pPr>
            <w:r w:rsidRPr="00F36B82">
              <w:rPr>
                <w:sz w:val="14"/>
                <w:szCs w:val="14"/>
              </w:rPr>
              <w:t>-</w:t>
            </w:r>
          </w:p>
        </w:tc>
        <w:tc>
          <w:tcPr>
            <w:tcW w:w="647" w:type="dxa"/>
            <w:tcBorders>
              <w:top w:val="nil"/>
              <w:left w:val="nil"/>
              <w:bottom w:val="nil"/>
              <w:right w:val="nil"/>
            </w:tcBorders>
            <w:vAlign w:val="bottom"/>
          </w:tcPr>
          <w:p w14:paraId="297E9105" w14:textId="297BBFFC" w:rsidR="009B1956" w:rsidRPr="00F36B82" w:rsidRDefault="009B1956" w:rsidP="00F36B82">
            <w:pPr>
              <w:jc w:val="right"/>
              <w:rPr>
                <w:sz w:val="14"/>
                <w:szCs w:val="14"/>
              </w:rPr>
            </w:pPr>
            <w:r w:rsidRPr="00F36B82">
              <w:rPr>
                <w:sz w:val="14"/>
                <w:szCs w:val="14"/>
              </w:rPr>
              <w:t>-</w:t>
            </w:r>
          </w:p>
        </w:tc>
        <w:tc>
          <w:tcPr>
            <w:tcW w:w="650" w:type="dxa"/>
            <w:tcBorders>
              <w:top w:val="nil"/>
              <w:left w:val="nil"/>
              <w:bottom w:val="nil"/>
              <w:right w:val="nil"/>
            </w:tcBorders>
            <w:vAlign w:val="bottom"/>
          </w:tcPr>
          <w:p w14:paraId="778E2A2E" w14:textId="6C4106EE" w:rsidR="009B1956" w:rsidRPr="00F36B82" w:rsidRDefault="009B1956" w:rsidP="00F36B82">
            <w:pPr>
              <w:jc w:val="right"/>
              <w:rPr>
                <w:sz w:val="14"/>
                <w:szCs w:val="14"/>
              </w:rPr>
            </w:pPr>
            <w:r w:rsidRPr="00F36B82">
              <w:rPr>
                <w:sz w:val="14"/>
                <w:szCs w:val="14"/>
              </w:rPr>
              <w:t>-</w:t>
            </w:r>
          </w:p>
        </w:tc>
        <w:tc>
          <w:tcPr>
            <w:tcW w:w="660" w:type="dxa"/>
            <w:tcBorders>
              <w:top w:val="nil"/>
              <w:left w:val="nil"/>
              <w:bottom w:val="nil"/>
              <w:right w:val="nil"/>
            </w:tcBorders>
            <w:vAlign w:val="bottom"/>
          </w:tcPr>
          <w:p w14:paraId="23F51DD9" w14:textId="2F74C48A" w:rsidR="009B1956" w:rsidRPr="00F36B82" w:rsidRDefault="009B1956" w:rsidP="00F36B82">
            <w:pPr>
              <w:jc w:val="right"/>
              <w:rPr>
                <w:sz w:val="14"/>
                <w:szCs w:val="14"/>
              </w:rPr>
            </w:pPr>
            <w:r w:rsidRPr="00F36B82">
              <w:rPr>
                <w:sz w:val="14"/>
                <w:szCs w:val="14"/>
              </w:rPr>
              <w:t>-</w:t>
            </w:r>
          </w:p>
        </w:tc>
        <w:tc>
          <w:tcPr>
            <w:tcW w:w="674" w:type="dxa"/>
            <w:tcBorders>
              <w:top w:val="nil"/>
              <w:left w:val="nil"/>
              <w:bottom w:val="nil"/>
              <w:right w:val="nil"/>
            </w:tcBorders>
            <w:vAlign w:val="bottom"/>
          </w:tcPr>
          <w:p w14:paraId="0D86E07B" w14:textId="23F72F31" w:rsidR="009B1956" w:rsidRPr="00F36B82" w:rsidRDefault="009B1956" w:rsidP="00F36B82">
            <w:pPr>
              <w:jc w:val="right"/>
              <w:rPr>
                <w:sz w:val="14"/>
                <w:szCs w:val="14"/>
              </w:rPr>
            </w:pPr>
            <w:r w:rsidRPr="00F36B82">
              <w:rPr>
                <w:sz w:val="14"/>
                <w:szCs w:val="14"/>
              </w:rPr>
              <w:t>-</w:t>
            </w:r>
          </w:p>
        </w:tc>
        <w:tc>
          <w:tcPr>
            <w:tcW w:w="860" w:type="dxa"/>
            <w:tcBorders>
              <w:top w:val="nil"/>
              <w:left w:val="nil"/>
              <w:bottom w:val="nil"/>
              <w:right w:val="nil"/>
            </w:tcBorders>
            <w:vAlign w:val="bottom"/>
          </w:tcPr>
          <w:p w14:paraId="0A5E8F93" w14:textId="38F32281" w:rsidR="009B1956" w:rsidRPr="00F36B82" w:rsidRDefault="009B1956" w:rsidP="00F36B82">
            <w:pPr>
              <w:jc w:val="right"/>
              <w:rPr>
                <w:sz w:val="14"/>
                <w:szCs w:val="14"/>
              </w:rPr>
            </w:pPr>
            <w:r w:rsidRPr="00F36B82">
              <w:rPr>
                <w:sz w:val="14"/>
                <w:szCs w:val="14"/>
              </w:rPr>
              <w:t>629.205</w:t>
            </w:r>
          </w:p>
        </w:tc>
      </w:tr>
      <w:tr w:rsidR="009B1956" w:rsidRPr="00F36B82" w14:paraId="2295808D" w14:textId="77777777" w:rsidTr="00F36B82">
        <w:trPr>
          <w:trHeight w:val="206"/>
        </w:trPr>
        <w:tc>
          <w:tcPr>
            <w:tcW w:w="2337" w:type="dxa"/>
            <w:tcBorders>
              <w:top w:val="nil"/>
              <w:left w:val="nil"/>
              <w:bottom w:val="nil"/>
              <w:right w:val="nil"/>
            </w:tcBorders>
            <w:vAlign w:val="bottom"/>
            <w:hideMark/>
          </w:tcPr>
          <w:p w14:paraId="44F40E7E" w14:textId="77777777" w:rsidR="009B1956" w:rsidRPr="00F36B82" w:rsidRDefault="009B1956" w:rsidP="009B1956">
            <w:pPr>
              <w:ind w:firstLineChars="30" w:firstLine="42"/>
              <w:rPr>
                <w:color w:val="000000"/>
                <w:sz w:val="14"/>
                <w:szCs w:val="14"/>
              </w:rPr>
            </w:pPr>
            <w:r w:rsidRPr="00F36B82">
              <w:rPr>
                <w:color w:val="000000"/>
                <w:sz w:val="14"/>
                <w:szCs w:val="14"/>
              </w:rPr>
              <w:t>Kıyı bankacılığı bölgeleri</w:t>
            </w:r>
          </w:p>
        </w:tc>
        <w:tc>
          <w:tcPr>
            <w:tcW w:w="780" w:type="dxa"/>
            <w:tcBorders>
              <w:top w:val="nil"/>
              <w:left w:val="nil"/>
              <w:bottom w:val="nil"/>
              <w:right w:val="nil"/>
            </w:tcBorders>
            <w:vAlign w:val="bottom"/>
          </w:tcPr>
          <w:p w14:paraId="61DCE2B2" w14:textId="5324C21F" w:rsidR="009B1956" w:rsidRPr="00F36B82" w:rsidRDefault="009B1956" w:rsidP="00F36B82">
            <w:pPr>
              <w:jc w:val="right"/>
              <w:rPr>
                <w:sz w:val="14"/>
                <w:szCs w:val="14"/>
              </w:rPr>
            </w:pPr>
            <w:r w:rsidRPr="00F36B82">
              <w:rPr>
                <w:sz w:val="14"/>
                <w:szCs w:val="14"/>
              </w:rPr>
              <w:t>-</w:t>
            </w:r>
          </w:p>
        </w:tc>
        <w:tc>
          <w:tcPr>
            <w:tcW w:w="544" w:type="dxa"/>
            <w:tcBorders>
              <w:top w:val="nil"/>
              <w:left w:val="nil"/>
              <w:bottom w:val="nil"/>
              <w:right w:val="nil"/>
            </w:tcBorders>
            <w:vAlign w:val="bottom"/>
          </w:tcPr>
          <w:p w14:paraId="71F1A838" w14:textId="31E091AE" w:rsidR="009B1956" w:rsidRPr="00F36B82" w:rsidRDefault="009B1956" w:rsidP="00F36B82">
            <w:pPr>
              <w:jc w:val="right"/>
              <w:rPr>
                <w:sz w:val="14"/>
                <w:szCs w:val="14"/>
              </w:rPr>
            </w:pPr>
            <w:r w:rsidRPr="00F36B82">
              <w:rPr>
                <w:sz w:val="14"/>
                <w:szCs w:val="14"/>
              </w:rPr>
              <w:t>-</w:t>
            </w:r>
          </w:p>
        </w:tc>
        <w:tc>
          <w:tcPr>
            <w:tcW w:w="478" w:type="dxa"/>
            <w:tcBorders>
              <w:top w:val="nil"/>
              <w:left w:val="nil"/>
              <w:bottom w:val="nil"/>
              <w:right w:val="nil"/>
            </w:tcBorders>
            <w:vAlign w:val="bottom"/>
          </w:tcPr>
          <w:p w14:paraId="5ECF5937" w14:textId="607DF063" w:rsidR="009B1956" w:rsidRPr="00F36B82" w:rsidRDefault="009B1956" w:rsidP="00F36B82">
            <w:pPr>
              <w:jc w:val="right"/>
              <w:rPr>
                <w:sz w:val="14"/>
                <w:szCs w:val="14"/>
              </w:rPr>
            </w:pPr>
            <w:r w:rsidRPr="00F36B82">
              <w:rPr>
                <w:sz w:val="14"/>
                <w:szCs w:val="14"/>
              </w:rPr>
              <w:t>-</w:t>
            </w:r>
          </w:p>
        </w:tc>
        <w:tc>
          <w:tcPr>
            <w:tcW w:w="409" w:type="dxa"/>
            <w:tcBorders>
              <w:top w:val="nil"/>
              <w:left w:val="nil"/>
              <w:bottom w:val="nil"/>
              <w:right w:val="nil"/>
            </w:tcBorders>
            <w:vAlign w:val="bottom"/>
          </w:tcPr>
          <w:p w14:paraId="539E69F9" w14:textId="609B6D19" w:rsidR="009B1956" w:rsidRPr="00F36B82" w:rsidRDefault="009B1956" w:rsidP="00F36B82">
            <w:pPr>
              <w:jc w:val="right"/>
              <w:rPr>
                <w:sz w:val="14"/>
                <w:szCs w:val="14"/>
              </w:rPr>
            </w:pPr>
            <w:r w:rsidRPr="00F36B82">
              <w:rPr>
                <w:sz w:val="14"/>
                <w:szCs w:val="14"/>
              </w:rPr>
              <w:t>-</w:t>
            </w:r>
          </w:p>
        </w:tc>
        <w:tc>
          <w:tcPr>
            <w:tcW w:w="709" w:type="dxa"/>
            <w:tcBorders>
              <w:top w:val="nil"/>
              <w:left w:val="nil"/>
              <w:bottom w:val="nil"/>
              <w:right w:val="nil"/>
            </w:tcBorders>
            <w:vAlign w:val="bottom"/>
          </w:tcPr>
          <w:p w14:paraId="7F544ADF" w14:textId="53C496D8" w:rsidR="009B1956" w:rsidRPr="00F36B82" w:rsidRDefault="009B1956" w:rsidP="00F36B82">
            <w:pPr>
              <w:jc w:val="right"/>
              <w:rPr>
                <w:color w:val="000000"/>
                <w:sz w:val="14"/>
                <w:szCs w:val="14"/>
              </w:rPr>
            </w:pPr>
            <w:r w:rsidRPr="00F36B82">
              <w:rPr>
                <w:sz w:val="14"/>
                <w:szCs w:val="14"/>
              </w:rPr>
              <w:t>-</w:t>
            </w:r>
          </w:p>
        </w:tc>
        <w:tc>
          <w:tcPr>
            <w:tcW w:w="795" w:type="dxa"/>
            <w:tcBorders>
              <w:top w:val="nil"/>
              <w:left w:val="nil"/>
              <w:bottom w:val="nil"/>
              <w:right w:val="nil"/>
            </w:tcBorders>
            <w:vAlign w:val="bottom"/>
          </w:tcPr>
          <w:p w14:paraId="5FC94FE9" w14:textId="050D0DEF" w:rsidR="009B1956" w:rsidRPr="00F36B82" w:rsidRDefault="009B1956" w:rsidP="00F36B82">
            <w:pPr>
              <w:jc w:val="right"/>
              <w:rPr>
                <w:color w:val="000000"/>
                <w:sz w:val="14"/>
                <w:szCs w:val="14"/>
              </w:rPr>
            </w:pPr>
            <w:r w:rsidRPr="00F36B82">
              <w:rPr>
                <w:sz w:val="14"/>
                <w:szCs w:val="14"/>
              </w:rPr>
              <w:t>-</w:t>
            </w:r>
          </w:p>
        </w:tc>
        <w:tc>
          <w:tcPr>
            <w:tcW w:w="908" w:type="dxa"/>
            <w:tcBorders>
              <w:top w:val="nil"/>
              <w:left w:val="nil"/>
              <w:bottom w:val="nil"/>
              <w:right w:val="nil"/>
            </w:tcBorders>
            <w:vAlign w:val="bottom"/>
          </w:tcPr>
          <w:p w14:paraId="490B8412" w14:textId="7A59B976" w:rsidR="009B1956" w:rsidRPr="00F36B82" w:rsidRDefault="009B1956" w:rsidP="00F36B82">
            <w:pPr>
              <w:jc w:val="right"/>
              <w:rPr>
                <w:color w:val="000000"/>
                <w:sz w:val="14"/>
                <w:szCs w:val="14"/>
              </w:rPr>
            </w:pPr>
            <w:r w:rsidRPr="00F36B82">
              <w:rPr>
                <w:sz w:val="14"/>
                <w:szCs w:val="14"/>
              </w:rPr>
              <w:t>-</w:t>
            </w:r>
          </w:p>
        </w:tc>
        <w:tc>
          <w:tcPr>
            <w:tcW w:w="701" w:type="dxa"/>
            <w:tcBorders>
              <w:top w:val="nil"/>
              <w:left w:val="nil"/>
              <w:bottom w:val="nil"/>
              <w:right w:val="nil"/>
            </w:tcBorders>
            <w:vAlign w:val="bottom"/>
          </w:tcPr>
          <w:p w14:paraId="59D68BFE" w14:textId="59D72575" w:rsidR="009B1956" w:rsidRPr="00F36B82" w:rsidRDefault="009B1956" w:rsidP="00F36B82">
            <w:pPr>
              <w:jc w:val="right"/>
              <w:rPr>
                <w:color w:val="000000"/>
                <w:sz w:val="14"/>
                <w:szCs w:val="14"/>
              </w:rPr>
            </w:pPr>
            <w:r w:rsidRPr="00F36B82">
              <w:rPr>
                <w:sz w:val="14"/>
                <w:szCs w:val="14"/>
              </w:rPr>
              <w:t>-</w:t>
            </w:r>
          </w:p>
        </w:tc>
        <w:tc>
          <w:tcPr>
            <w:tcW w:w="718" w:type="dxa"/>
            <w:tcBorders>
              <w:top w:val="nil"/>
              <w:left w:val="nil"/>
              <w:bottom w:val="nil"/>
              <w:right w:val="nil"/>
            </w:tcBorders>
            <w:vAlign w:val="bottom"/>
          </w:tcPr>
          <w:p w14:paraId="16C566DE" w14:textId="754B2D5A" w:rsidR="009B1956" w:rsidRPr="00F36B82" w:rsidRDefault="009B1956" w:rsidP="00F36B82">
            <w:pPr>
              <w:jc w:val="right"/>
              <w:rPr>
                <w:color w:val="000000"/>
                <w:sz w:val="14"/>
                <w:szCs w:val="14"/>
              </w:rPr>
            </w:pPr>
            <w:r w:rsidRPr="00F36B82">
              <w:rPr>
                <w:sz w:val="14"/>
                <w:szCs w:val="14"/>
              </w:rPr>
              <w:t>-</w:t>
            </w:r>
          </w:p>
        </w:tc>
        <w:tc>
          <w:tcPr>
            <w:tcW w:w="674" w:type="dxa"/>
            <w:tcBorders>
              <w:top w:val="nil"/>
              <w:left w:val="nil"/>
              <w:bottom w:val="nil"/>
              <w:right w:val="nil"/>
            </w:tcBorders>
            <w:vAlign w:val="bottom"/>
          </w:tcPr>
          <w:p w14:paraId="2E081317" w14:textId="0990371B" w:rsidR="009B1956" w:rsidRPr="00F36B82" w:rsidRDefault="009B1956" w:rsidP="00F36B82">
            <w:pPr>
              <w:jc w:val="right"/>
              <w:rPr>
                <w:sz w:val="14"/>
                <w:szCs w:val="14"/>
              </w:rPr>
            </w:pPr>
            <w:r w:rsidRPr="00F36B82">
              <w:rPr>
                <w:sz w:val="14"/>
                <w:szCs w:val="14"/>
              </w:rPr>
              <w:t>-</w:t>
            </w:r>
          </w:p>
        </w:tc>
        <w:tc>
          <w:tcPr>
            <w:tcW w:w="734" w:type="dxa"/>
            <w:tcBorders>
              <w:top w:val="nil"/>
              <w:left w:val="nil"/>
              <w:bottom w:val="nil"/>
              <w:right w:val="nil"/>
            </w:tcBorders>
            <w:vAlign w:val="bottom"/>
          </w:tcPr>
          <w:p w14:paraId="06D114ED" w14:textId="71E162BB" w:rsidR="009B1956" w:rsidRPr="00F36B82" w:rsidRDefault="009B1956" w:rsidP="00F36B82">
            <w:pPr>
              <w:jc w:val="right"/>
              <w:rPr>
                <w:color w:val="000000"/>
                <w:sz w:val="14"/>
                <w:szCs w:val="14"/>
              </w:rPr>
            </w:pPr>
            <w:r w:rsidRPr="00F36B82">
              <w:rPr>
                <w:sz w:val="14"/>
                <w:szCs w:val="14"/>
              </w:rPr>
              <w:t>-</w:t>
            </w:r>
          </w:p>
        </w:tc>
        <w:tc>
          <w:tcPr>
            <w:tcW w:w="647" w:type="dxa"/>
            <w:tcBorders>
              <w:top w:val="nil"/>
              <w:left w:val="nil"/>
              <w:bottom w:val="nil"/>
              <w:right w:val="nil"/>
            </w:tcBorders>
            <w:vAlign w:val="bottom"/>
          </w:tcPr>
          <w:p w14:paraId="1E1C8B16" w14:textId="7A3C1257" w:rsidR="009B1956" w:rsidRPr="00F36B82" w:rsidRDefault="009B1956" w:rsidP="00F36B82">
            <w:pPr>
              <w:jc w:val="right"/>
              <w:rPr>
                <w:color w:val="000000"/>
                <w:sz w:val="14"/>
                <w:szCs w:val="14"/>
              </w:rPr>
            </w:pPr>
            <w:r w:rsidRPr="00F36B82">
              <w:rPr>
                <w:sz w:val="14"/>
                <w:szCs w:val="14"/>
              </w:rPr>
              <w:t>-</w:t>
            </w:r>
          </w:p>
        </w:tc>
        <w:tc>
          <w:tcPr>
            <w:tcW w:w="647" w:type="dxa"/>
            <w:tcBorders>
              <w:top w:val="nil"/>
              <w:left w:val="nil"/>
              <w:bottom w:val="nil"/>
              <w:right w:val="nil"/>
            </w:tcBorders>
            <w:vAlign w:val="bottom"/>
          </w:tcPr>
          <w:p w14:paraId="48108D4E" w14:textId="133CE900" w:rsidR="009B1956" w:rsidRPr="00F36B82" w:rsidRDefault="009B1956" w:rsidP="00F36B82">
            <w:pPr>
              <w:jc w:val="right"/>
              <w:rPr>
                <w:color w:val="000000"/>
                <w:sz w:val="14"/>
                <w:szCs w:val="14"/>
              </w:rPr>
            </w:pPr>
            <w:r w:rsidRPr="00F36B82">
              <w:rPr>
                <w:sz w:val="14"/>
                <w:szCs w:val="14"/>
              </w:rPr>
              <w:t>-</w:t>
            </w:r>
          </w:p>
        </w:tc>
        <w:tc>
          <w:tcPr>
            <w:tcW w:w="647" w:type="dxa"/>
            <w:tcBorders>
              <w:top w:val="nil"/>
              <w:left w:val="nil"/>
              <w:bottom w:val="nil"/>
              <w:right w:val="nil"/>
            </w:tcBorders>
            <w:vAlign w:val="bottom"/>
          </w:tcPr>
          <w:p w14:paraId="3E09B9A9" w14:textId="39D2E141" w:rsidR="009B1956" w:rsidRPr="00F36B82" w:rsidRDefault="009B1956" w:rsidP="00F36B82">
            <w:pPr>
              <w:jc w:val="right"/>
              <w:rPr>
                <w:color w:val="000000"/>
                <w:sz w:val="14"/>
                <w:szCs w:val="14"/>
              </w:rPr>
            </w:pPr>
            <w:r w:rsidRPr="00F36B82">
              <w:rPr>
                <w:sz w:val="14"/>
                <w:szCs w:val="14"/>
              </w:rPr>
              <w:t>-</w:t>
            </w:r>
          </w:p>
        </w:tc>
        <w:tc>
          <w:tcPr>
            <w:tcW w:w="650" w:type="dxa"/>
            <w:tcBorders>
              <w:top w:val="nil"/>
              <w:left w:val="nil"/>
              <w:bottom w:val="nil"/>
              <w:right w:val="nil"/>
            </w:tcBorders>
            <w:vAlign w:val="bottom"/>
          </w:tcPr>
          <w:p w14:paraId="16245772" w14:textId="407E4E0F" w:rsidR="009B1956" w:rsidRPr="00F36B82" w:rsidRDefault="009B1956" w:rsidP="00F36B82">
            <w:pPr>
              <w:jc w:val="right"/>
              <w:rPr>
                <w:color w:val="000000"/>
                <w:sz w:val="14"/>
                <w:szCs w:val="14"/>
              </w:rPr>
            </w:pPr>
            <w:r w:rsidRPr="00F36B82">
              <w:rPr>
                <w:sz w:val="14"/>
                <w:szCs w:val="14"/>
              </w:rPr>
              <w:t>-</w:t>
            </w:r>
          </w:p>
        </w:tc>
        <w:tc>
          <w:tcPr>
            <w:tcW w:w="660" w:type="dxa"/>
            <w:tcBorders>
              <w:top w:val="nil"/>
              <w:left w:val="nil"/>
              <w:bottom w:val="nil"/>
              <w:right w:val="nil"/>
            </w:tcBorders>
            <w:vAlign w:val="bottom"/>
          </w:tcPr>
          <w:p w14:paraId="0B3B7C18" w14:textId="3EF79EFE" w:rsidR="009B1956" w:rsidRPr="00F36B82" w:rsidRDefault="009B1956" w:rsidP="00F36B82">
            <w:pPr>
              <w:jc w:val="right"/>
              <w:rPr>
                <w:color w:val="000000"/>
                <w:sz w:val="14"/>
                <w:szCs w:val="14"/>
              </w:rPr>
            </w:pPr>
            <w:r w:rsidRPr="00F36B82">
              <w:rPr>
                <w:sz w:val="14"/>
                <w:szCs w:val="14"/>
              </w:rPr>
              <w:t>-</w:t>
            </w:r>
          </w:p>
        </w:tc>
        <w:tc>
          <w:tcPr>
            <w:tcW w:w="674" w:type="dxa"/>
            <w:tcBorders>
              <w:top w:val="nil"/>
              <w:left w:val="nil"/>
              <w:bottom w:val="nil"/>
              <w:right w:val="nil"/>
            </w:tcBorders>
            <w:vAlign w:val="bottom"/>
          </w:tcPr>
          <w:p w14:paraId="041469BB" w14:textId="2A0A607D" w:rsidR="009B1956" w:rsidRPr="00F36B82" w:rsidRDefault="009B1956" w:rsidP="00F36B82">
            <w:pPr>
              <w:jc w:val="right"/>
              <w:rPr>
                <w:color w:val="000000"/>
                <w:sz w:val="14"/>
                <w:szCs w:val="14"/>
              </w:rPr>
            </w:pPr>
            <w:r w:rsidRPr="00F36B82">
              <w:rPr>
                <w:sz w:val="14"/>
                <w:szCs w:val="14"/>
              </w:rPr>
              <w:t>-</w:t>
            </w:r>
          </w:p>
        </w:tc>
        <w:tc>
          <w:tcPr>
            <w:tcW w:w="860" w:type="dxa"/>
            <w:tcBorders>
              <w:top w:val="nil"/>
              <w:left w:val="nil"/>
              <w:bottom w:val="nil"/>
              <w:right w:val="nil"/>
            </w:tcBorders>
            <w:vAlign w:val="bottom"/>
          </w:tcPr>
          <w:p w14:paraId="1E28E993" w14:textId="6F76B825" w:rsidR="009B1956" w:rsidRPr="00F36B82" w:rsidRDefault="009B1956" w:rsidP="00F36B82">
            <w:pPr>
              <w:jc w:val="right"/>
              <w:rPr>
                <w:color w:val="000000"/>
                <w:sz w:val="14"/>
                <w:szCs w:val="14"/>
              </w:rPr>
            </w:pPr>
            <w:r w:rsidRPr="00F36B82">
              <w:rPr>
                <w:sz w:val="14"/>
                <w:szCs w:val="14"/>
              </w:rPr>
              <w:t>-</w:t>
            </w:r>
          </w:p>
        </w:tc>
      </w:tr>
      <w:tr w:rsidR="009B1956" w:rsidRPr="00F36B82" w14:paraId="49765CC1" w14:textId="77777777" w:rsidTr="00F36B82">
        <w:trPr>
          <w:trHeight w:val="206"/>
        </w:trPr>
        <w:tc>
          <w:tcPr>
            <w:tcW w:w="2337" w:type="dxa"/>
            <w:tcBorders>
              <w:top w:val="nil"/>
              <w:left w:val="nil"/>
              <w:bottom w:val="nil"/>
              <w:right w:val="nil"/>
            </w:tcBorders>
            <w:vAlign w:val="bottom"/>
            <w:hideMark/>
          </w:tcPr>
          <w:p w14:paraId="5C715406" w14:textId="77777777" w:rsidR="009B1956" w:rsidRPr="00F36B82" w:rsidRDefault="009B1956" w:rsidP="009B1956">
            <w:pPr>
              <w:ind w:firstLineChars="30" w:firstLine="42"/>
              <w:rPr>
                <w:color w:val="000000"/>
                <w:sz w:val="14"/>
                <w:szCs w:val="14"/>
              </w:rPr>
            </w:pPr>
            <w:r w:rsidRPr="00F36B82">
              <w:rPr>
                <w:color w:val="000000"/>
                <w:sz w:val="14"/>
                <w:szCs w:val="14"/>
              </w:rPr>
              <w:t>ABD, Kanada</w:t>
            </w:r>
          </w:p>
        </w:tc>
        <w:tc>
          <w:tcPr>
            <w:tcW w:w="780" w:type="dxa"/>
            <w:tcBorders>
              <w:top w:val="nil"/>
              <w:left w:val="nil"/>
              <w:bottom w:val="nil"/>
              <w:right w:val="nil"/>
            </w:tcBorders>
            <w:vAlign w:val="bottom"/>
          </w:tcPr>
          <w:p w14:paraId="02B149DE" w14:textId="22730F9F" w:rsidR="009B1956" w:rsidRPr="00F36B82" w:rsidRDefault="009B1956" w:rsidP="00F36B82">
            <w:pPr>
              <w:jc w:val="right"/>
              <w:rPr>
                <w:sz w:val="14"/>
                <w:szCs w:val="14"/>
              </w:rPr>
            </w:pPr>
            <w:r w:rsidRPr="00F36B82">
              <w:rPr>
                <w:sz w:val="14"/>
                <w:szCs w:val="14"/>
              </w:rPr>
              <w:t>-</w:t>
            </w:r>
          </w:p>
        </w:tc>
        <w:tc>
          <w:tcPr>
            <w:tcW w:w="544" w:type="dxa"/>
            <w:tcBorders>
              <w:top w:val="nil"/>
              <w:left w:val="nil"/>
              <w:bottom w:val="nil"/>
              <w:right w:val="nil"/>
            </w:tcBorders>
            <w:vAlign w:val="bottom"/>
          </w:tcPr>
          <w:p w14:paraId="666B7B66" w14:textId="180D2B71" w:rsidR="009B1956" w:rsidRPr="00F36B82" w:rsidRDefault="009B1956" w:rsidP="00F36B82">
            <w:pPr>
              <w:jc w:val="right"/>
              <w:rPr>
                <w:sz w:val="14"/>
                <w:szCs w:val="14"/>
              </w:rPr>
            </w:pPr>
            <w:r w:rsidRPr="00F36B82">
              <w:rPr>
                <w:sz w:val="14"/>
                <w:szCs w:val="14"/>
              </w:rPr>
              <w:t>-</w:t>
            </w:r>
          </w:p>
        </w:tc>
        <w:tc>
          <w:tcPr>
            <w:tcW w:w="478" w:type="dxa"/>
            <w:tcBorders>
              <w:top w:val="nil"/>
              <w:left w:val="nil"/>
              <w:bottom w:val="nil"/>
              <w:right w:val="nil"/>
            </w:tcBorders>
            <w:vAlign w:val="bottom"/>
          </w:tcPr>
          <w:p w14:paraId="4469E946" w14:textId="0A01157D" w:rsidR="009B1956" w:rsidRPr="00F36B82" w:rsidRDefault="009B1956" w:rsidP="00F36B82">
            <w:pPr>
              <w:jc w:val="right"/>
              <w:rPr>
                <w:sz w:val="14"/>
                <w:szCs w:val="14"/>
              </w:rPr>
            </w:pPr>
            <w:r w:rsidRPr="00F36B82">
              <w:rPr>
                <w:sz w:val="14"/>
                <w:szCs w:val="14"/>
              </w:rPr>
              <w:t>-</w:t>
            </w:r>
          </w:p>
        </w:tc>
        <w:tc>
          <w:tcPr>
            <w:tcW w:w="409" w:type="dxa"/>
            <w:tcBorders>
              <w:top w:val="nil"/>
              <w:left w:val="nil"/>
              <w:bottom w:val="nil"/>
              <w:right w:val="nil"/>
            </w:tcBorders>
            <w:vAlign w:val="bottom"/>
          </w:tcPr>
          <w:p w14:paraId="2E26FE85" w14:textId="70EC78C8" w:rsidR="009B1956" w:rsidRPr="00F36B82" w:rsidRDefault="009B1956" w:rsidP="00F36B82">
            <w:pPr>
              <w:jc w:val="right"/>
              <w:rPr>
                <w:sz w:val="14"/>
                <w:szCs w:val="14"/>
              </w:rPr>
            </w:pPr>
            <w:r w:rsidRPr="00F36B82">
              <w:rPr>
                <w:sz w:val="14"/>
                <w:szCs w:val="14"/>
              </w:rPr>
              <w:t>-</w:t>
            </w:r>
          </w:p>
        </w:tc>
        <w:tc>
          <w:tcPr>
            <w:tcW w:w="709" w:type="dxa"/>
            <w:tcBorders>
              <w:top w:val="nil"/>
              <w:left w:val="nil"/>
              <w:bottom w:val="nil"/>
              <w:right w:val="nil"/>
            </w:tcBorders>
            <w:vAlign w:val="bottom"/>
          </w:tcPr>
          <w:p w14:paraId="28FEF0DC" w14:textId="20C7FA80" w:rsidR="009B1956" w:rsidRPr="00F36B82" w:rsidRDefault="009B1956" w:rsidP="00F36B82">
            <w:pPr>
              <w:jc w:val="right"/>
              <w:rPr>
                <w:color w:val="000000"/>
                <w:sz w:val="14"/>
                <w:szCs w:val="14"/>
              </w:rPr>
            </w:pPr>
            <w:r w:rsidRPr="00F36B82">
              <w:rPr>
                <w:sz w:val="14"/>
                <w:szCs w:val="14"/>
              </w:rPr>
              <w:t>-</w:t>
            </w:r>
          </w:p>
        </w:tc>
        <w:tc>
          <w:tcPr>
            <w:tcW w:w="795" w:type="dxa"/>
            <w:tcBorders>
              <w:top w:val="nil"/>
              <w:left w:val="nil"/>
              <w:bottom w:val="nil"/>
              <w:right w:val="nil"/>
            </w:tcBorders>
            <w:vAlign w:val="bottom"/>
          </w:tcPr>
          <w:p w14:paraId="576AF8C5" w14:textId="1C03BE7B" w:rsidR="009B1956" w:rsidRPr="00F36B82" w:rsidRDefault="009B1956" w:rsidP="00F36B82">
            <w:pPr>
              <w:jc w:val="right"/>
              <w:rPr>
                <w:color w:val="000000"/>
                <w:sz w:val="14"/>
                <w:szCs w:val="14"/>
              </w:rPr>
            </w:pPr>
            <w:r w:rsidRPr="00F36B82">
              <w:rPr>
                <w:sz w:val="14"/>
                <w:szCs w:val="14"/>
              </w:rPr>
              <w:t>-</w:t>
            </w:r>
          </w:p>
        </w:tc>
        <w:tc>
          <w:tcPr>
            <w:tcW w:w="908" w:type="dxa"/>
            <w:tcBorders>
              <w:top w:val="nil"/>
              <w:left w:val="nil"/>
              <w:bottom w:val="nil"/>
              <w:right w:val="nil"/>
            </w:tcBorders>
            <w:vAlign w:val="bottom"/>
          </w:tcPr>
          <w:p w14:paraId="3DD67708" w14:textId="1A39CC56" w:rsidR="009B1956" w:rsidRPr="00F36B82" w:rsidRDefault="009B1956" w:rsidP="00F36B82">
            <w:pPr>
              <w:jc w:val="right"/>
              <w:rPr>
                <w:color w:val="000000"/>
                <w:sz w:val="14"/>
                <w:szCs w:val="14"/>
              </w:rPr>
            </w:pPr>
            <w:r w:rsidRPr="00F36B82">
              <w:rPr>
                <w:sz w:val="14"/>
                <w:szCs w:val="14"/>
              </w:rPr>
              <w:t>-</w:t>
            </w:r>
          </w:p>
        </w:tc>
        <w:tc>
          <w:tcPr>
            <w:tcW w:w="701" w:type="dxa"/>
            <w:tcBorders>
              <w:top w:val="nil"/>
              <w:left w:val="nil"/>
              <w:bottom w:val="nil"/>
              <w:right w:val="nil"/>
            </w:tcBorders>
            <w:vAlign w:val="bottom"/>
          </w:tcPr>
          <w:p w14:paraId="67A14319" w14:textId="35CC38FE" w:rsidR="009B1956" w:rsidRPr="00F36B82" w:rsidRDefault="009B1956" w:rsidP="00F36B82">
            <w:pPr>
              <w:jc w:val="right"/>
              <w:rPr>
                <w:color w:val="000000"/>
                <w:sz w:val="14"/>
                <w:szCs w:val="14"/>
              </w:rPr>
            </w:pPr>
            <w:r w:rsidRPr="00F36B82">
              <w:rPr>
                <w:sz w:val="14"/>
                <w:szCs w:val="14"/>
              </w:rPr>
              <w:t>-</w:t>
            </w:r>
          </w:p>
        </w:tc>
        <w:tc>
          <w:tcPr>
            <w:tcW w:w="718" w:type="dxa"/>
            <w:tcBorders>
              <w:top w:val="nil"/>
              <w:left w:val="nil"/>
              <w:bottom w:val="nil"/>
              <w:right w:val="nil"/>
            </w:tcBorders>
            <w:vAlign w:val="bottom"/>
          </w:tcPr>
          <w:p w14:paraId="30980414" w14:textId="543318C5" w:rsidR="009B1956" w:rsidRPr="00F36B82" w:rsidRDefault="009B1956" w:rsidP="00F36B82">
            <w:pPr>
              <w:jc w:val="right"/>
              <w:rPr>
                <w:sz w:val="14"/>
                <w:szCs w:val="14"/>
              </w:rPr>
            </w:pPr>
            <w:r w:rsidRPr="00F36B82">
              <w:rPr>
                <w:sz w:val="14"/>
                <w:szCs w:val="14"/>
              </w:rPr>
              <w:t>-</w:t>
            </w:r>
          </w:p>
        </w:tc>
        <w:tc>
          <w:tcPr>
            <w:tcW w:w="674" w:type="dxa"/>
            <w:tcBorders>
              <w:top w:val="nil"/>
              <w:left w:val="nil"/>
              <w:bottom w:val="nil"/>
              <w:right w:val="nil"/>
            </w:tcBorders>
            <w:vAlign w:val="bottom"/>
          </w:tcPr>
          <w:p w14:paraId="52E13F9E" w14:textId="00D83DCD" w:rsidR="009B1956" w:rsidRPr="00F36B82" w:rsidRDefault="009B1956" w:rsidP="00F36B82">
            <w:pPr>
              <w:jc w:val="right"/>
              <w:rPr>
                <w:sz w:val="14"/>
                <w:szCs w:val="14"/>
              </w:rPr>
            </w:pPr>
            <w:r w:rsidRPr="00F36B82">
              <w:rPr>
                <w:sz w:val="14"/>
                <w:szCs w:val="14"/>
              </w:rPr>
              <w:t>-</w:t>
            </w:r>
          </w:p>
        </w:tc>
        <w:tc>
          <w:tcPr>
            <w:tcW w:w="734" w:type="dxa"/>
            <w:tcBorders>
              <w:top w:val="nil"/>
              <w:left w:val="nil"/>
              <w:bottom w:val="nil"/>
              <w:right w:val="nil"/>
            </w:tcBorders>
            <w:vAlign w:val="bottom"/>
          </w:tcPr>
          <w:p w14:paraId="26526DC3" w14:textId="3E5C37EF" w:rsidR="009B1956" w:rsidRPr="00F36B82" w:rsidRDefault="009B1956" w:rsidP="00F36B82">
            <w:pPr>
              <w:jc w:val="right"/>
              <w:rPr>
                <w:sz w:val="14"/>
                <w:szCs w:val="14"/>
              </w:rPr>
            </w:pPr>
            <w:r w:rsidRPr="00F36B82">
              <w:rPr>
                <w:sz w:val="14"/>
                <w:szCs w:val="14"/>
              </w:rPr>
              <w:t>-</w:t>
            </w:r>
          </w:p>
        </w:tc>
        <w:tc>
          <w:tcPr>
            <w:tcW w:w="647" w:type="dxa"/>
            <w:tcBorders>
              <w:top w:val="nil"/>
              <w:left w:val="nil"/>
              <w:bottom w:val="nil"/>
              <w:right w:val="nil"/>
            </w:tcBorders>
            <w:vAlign w:val="bottom"/>
          </w:tcPr>
          <w:p w14:paraId="434991C1" w14:textId="46EE8E1A" w:rsidR="009B1956" w:rsidRPr="00F36B82" w:rsidRDefault="009B1956" w:rsidP="00F36B82">
            <w:pPr>
              <w:jc w:val="right"/>
              <w:rPr>
                <w:sz w:val="14"/>
                <w:szCs w:val="14"/>
              </w:rPr>
            </w:pPr>
            <w:r w:rsidRPr="00F36B82">
              <w:rPr>
                <w:sz w:val="14"/>
                <w:szCs w:val="14"/>
              </w:rPr>
              <w:t>-</w:t>
            </w:r>
          </w:p>
        </w:tc>
        <w:tc>
          <w:tcPr>
            <w:tcW w:w="647" w:type="dxa"/>
            <w:tcBorders>
              <w:top w:val="nil"/>
              <w:left w:val="nil"/>
              <w:bottom w:val="nil"/>
              <w:right w:val="nil"/>
            </w:tcBorders>
            <w:vAlign w:val="bottom"/>
          </w:tcPr>
          <w:p w14:paraId="786970A0" w14:textId="2D68B1AD" w:rsidR="009B1956" w:rsidRPr="00F36B82" w:rsidRDefault="009B1956" w:rsidP="00F36B82">
            <w:pPr>
              <w:jc w:val="right"/>
              <w:rPr>
                <w:sz w:val="14"/>
                <w:szCs w:val="14"/>
              </w:rPr>
            </w:pPr>
            <w:r w:rsidRPr="00F36B82">
              <w:rPr>
                <w:sz w:val="14"/>
                <w:szCs w:val="14"/>
              </w:rPr>
              <w:t>-</w:t>
            </w:r>
          </w:p>
        </w:tc>
        <w:tc>
          <w:tcPr>
            <w:tcW w:w="647" w:type="dxa"/>
            <w:tcBorders>
              <w:top w:val="nil"/>
              <w:left w:val="nil"/>
              <w:bottom w:val="nil"/>
              <w:right w:val="nil"/>
            </w:tcBorders>
            <w:vAlign w:val="bottom"/>
          </w:tcPr>
          <w:p w14:paraId="0012B053" w14:textId="3A9DD751" w:rsidR="009B1956" w:rsidRPr="00F36B82" w:rsidRDefault="009B1956" w:rsidP="00F36B82">
            <w:pPr>
              <w:jc w:val="right"/>
              <w:rPr>
                <w:sz w:val="14"/>
                <w:szCs w:val="14"/>
              </w:rPr>
            </w:pPr>
            <w:r w:rsidRPr="00F36B82">
              <w:rPr>
                <w:sz w:val="14"/>
                <w:szCs w:val="14"/>
              </w:rPr>
              <w:t>-</w:t>
            </w:r>
          </w:p>
        </w:tc>
        <w:tc>
          <w:tcPr>
            <w:tcW w:w="650" w:type="dxa"/>
            <w:tcBorders>
              <w:top w:val="nil"/>
              <w:left w:val="nil"/>
              <w:bottom w:val="nil"/>
              <w:right w:val="nil"/>
            </w:tcBorders>
            <w:vAlign w:val="bottom"/>
          </w:tcPr>
          <w:p w14:paraId="68031FEA" w14:textId="1EE34011" w:rsidR="009B1956" w:rsidRPr="00F36B82" w:rsidRDefault="009B1956" w:rsidP="00F36B82">
            <w:pPr>
              <w:jc w:val="right"/>
              <w:rPr>
                <w:sz w:val="14"/>
                <w:szCs w:val="14"/>
              </w:rPr>
            </w:pPr>
            <w:r w:rsidRPr="00F36B82">
              <w:rPr>
                <w:sz w:val="14"/>
                <w:szCs w:val="14"/>
              </w:rPr>
              <w:t>-</w:t>
            </w:r>
          </w:p>
        </w:tc>
        <w:tc>
          <w:tcPr>
            <w:tcW w:w="660" w:type="dxa"/>
            <w:tcBorders>
              <w:top w:val="nil"/>
              <w:left w:val="nil"/>
              <w:bottom w:val="nil"/>
              <w:right w:val="nil"/>
            </w:tcBorders>
            <w:vAlign w:val="bottom"/>
          </w:tcPr>
          <w:p w14:paraId="5AEC43F3" w14:textId="7DD30C01" w:rsidR="009B1956" w:rsidRPr="00F36B82" w:rsidRDefault="009B1956" w:rsidP="00F36B82">
            <w:pPr>
              <w:jc w:val="right"/>
              <w:rPr>
                <w:sz w:val="14"/>
                <w:szCs w:val="14"/>
              </w:rPr>
            </w:pPr>
            <w:r w:rsidRPr="00F36B82">
              <w:rPr>
                <w:sz w:val="14"/>
                <w:szCs w:val="14"/>
              </w:rPr>
              <w:t>-</w:t>
            </w:r>
          </w:p>
        </w:tc>
        <w:tc>
          <w:tcPr>
            <w:tcW w:w="674" w:type="dxa"/>
            <w:tcBorders>
              <w:top w:val="nil"/>
              <w:left w:val="nil"/>
              <w:bottom w:val="nil"/>
              <w:right w:val="nil"/>
            </w:tcBorders>
            <w:vAlign w:val="bottom"/>
          </w:tcPr>
          <w:p w14:paraId="34F7B6FE" w14:textId="6F3ADC26" w:rsidR="009B1956" w:rsidRPr="00F36B82" w:rsidRDefault="009B1956" w:rsidP="00F36B82">
            <w:pPr>
              <w:jc w:val="right"/>
              <w:rPr>
                <w:sz w:val="14"/>
                <w:szCs w:val="14"/>
              </w:rPr>
            </w:pPr>
            <w:r w:rsidRPr="00F36B82">
              <w:rPr>
                <w:sz w:val="14"/>
                <w:szCs w:val="14"/>
              </w:rPr>
              <w:t>-</w:t>
            </w:r>
          </w:p>
        </w:tc>
        <w:tc>
          <w:tcPr>
            <w:tcW w:w="860" w:type="dxa"/>
            <w:tcBorders>
              <w:top w:val="nil"/>
              <w:left w:val="nil"/>
              <w:bottom w:val="nil"/>
              <w:right w:val="nil"/>
            </w:tcBorders>
            <w:vAlign w:val="bottom"/>
          </w:tcPr>
          <w:p w14:paraId="1E33EF77" w14:textId="2065D869" w:rsidR="009B1956" w:rsidRPr="00F36B82" w:rsidRDefault="009B1956" w:rsidP="00F36B82">
            <w:pPr>
              <w:jc w:val="right"/>
              <w:rPr>
                <w:sz w:val="14"/>
                <w:szCs w:val="14"/>
              </w:rPr>
            </w:pPr>
            <w:r w:rsidRPr="00F36B82">
              <w:rPr>
                <w:sz w:val="14"/>
                <w:szCs w:val="14"/>
              </w:rPr>
              <w:t>-</w:t>
            </w:r>
          </w:p>
        </w:tc>
      </w:tr>
      <w:tr w:rsidR="009B1956" w:rsidRPr="00F36B82" w14:paraId="57C3B9D1" w14:textId="77777777" w:rsidTr="00F36B82">
        <w:trPr>
          <w:trHeight w:val="206"/>
        </w:trPr>
        <w:tc>
          <w:tcPr>
            <w:tcW w:w="2337" w:type="dxa"/>
            <w:tcBorders>
              <w:top w:val="nil"/>
              <w:left w:val="nil"/>
              <w:bottom w:val="nil"/>
              <w:right w:val="nil"/>
            </w:tcBorders>
            <w:vAlign w:val="bottom"/>
            <w:hideMark/>
          </w:tcPr>
          <w:p w14:paraId="5CD13E9D" w14:textId="77777777" w:rsidR="009B1956" w:rsidRPr="00F36B82" w:rsidRDefault="009B1956" w:rsidP="009B1956">
            <w:pPr>
              <w:ind w:firstLineChars="30" w:firstLine="42"/>
              <w:rPr>
                <w:color w:val="000000"/>
                <w:sz w:val="14"/>
                <w:szCs w:val="14"/>
              </w:rPr>
            </w:pPr>
            <w:r w:rsidRPr="00F36B82">
              <w:rPr>
                <w:color w:val="000000"/>
                <w:sz w:val="14"/>
                <w:szCs w:val="14"/>
              </w:rPr>
              <w:t>Diğer ülkeler</w:t>
            </w:r>
          </w:p>
        </w:tc>
        <w:tc>
          <w:tcPr>
            <w:tcW w:w="780" w:type="dxa"/>
            <w:tcBorders>
              <w:top w:val="nil"/>
              <w:left w:val="nil"/>
              <w:bottom w:val="nil"/>
              <w:right w:val="nil"/>
            </w:tcBorders>
            <w:vAlign w:val="bottom"/>
          </w:tcPr>
          <w:p w14:paraId="625BF974" w14:textId="77D7141C" w:rsidR="009B1956" w:rsidRPr="00F36B82" w:rsidRDefault="009B1956" w:rsidP="00F36B82">
            <w:pPr>
              <w:jc w:val="right"/>
              <w:rPr>
                <w:sz w:val="14"/>
                <w:szCs w:val="14"/>
              </w:rPr>
            </w:pPr>
            <w:r w:rsidRPr="00F36B82">
              <w:rPr>
                <w:sz w:val="14"/>
                <w:szCs w:val="14"/>
              </w:rPr>
              <w:t>-</w:t>
            </w:r>
          </w:p>
        </w:tc>
        <w:tc>
          <w:tcPr>
            <w:tcW w:w="544" w:type="dxa"/>
            <w:tcBorders>
              <w:top w:val="nil"/>
              <w:left w:val="nil"/>
              <w:bottom w:val="nil"/>
              <w:right w:val="nil"/>
            </w:tcBorders>
            <w:vAlign w:val="bottom"/>
          </w:tcPr>
          <w:p w14:paraId="7D7DD0F8" w14:textId="4855760F" w:rsidR="009B1956" w:rsidRPr="00F36B82" w:rsidRDefault="009B1956" w:rsidP="00F36B82">
            <w:pPr>
              <w:jc w:val="right"/>
              <w:rPr>
                <w:sz w:val="14"/>
                <w:szCs w:val="14"/>
              </w:rPr>
            </w:pPr>
            <w:r w:rsidRPr="00F36B82">
              <w:rPr>
                <w:sz w:val="14"/>
                <w:szCs w:val="14"/>
              </w:rPr>
              <w:t>-</w:t>
            </w:r>
          </w:p>
        </w:tc>
        <w:tc>
          <w:tcPr>
            <w:tcW w:w="478" w:type="dxa"/>
            <w:tcBorders>
              <w:top w:val="nil"/>
              <w:left w:val="nil"/>
              <w:bottom w:val="nil"/>
              <w:right w:val="nil"/>
            </w:tcBorders>
            <w:vAlign w:val="bottom"/>
          </w:tcPr>
          <w:p w14:paraId="5EC6C7A2" w14:textId="183A1DD0" w:rsidR="009B1956" w:rsidRPr="00F36B82" w:rsidRDefault="009B1956" w:rsidP="00F36B82">
            <w:pPr>
              <w:jc w:val="right"/>
              <w:rPr>
                <w:sz w:val="14"/>
                <w:szCs w:val="14"/>
              </w:rPr>
            </w:pPr>
            <w:r w:rsidRPr="00F36B82">
              <w:rPr>
                <w:sz w:val="14"/>
                <w:szCs w:val="14"/>
              </w:rPr>
              <w:t>-</w:t>
            </w:r>
          </w:p>
        </w:tc>
        <w:tc>
          <w:tcPr>
            <w:tcW w:w="409" w:type="dxa"/>
            <w:tcBorders>
              <w:top w:val="nil"/>
              <w:left w:val="nil"/>
              <w:bottom w:val="nil"/>
              <w:right w:val="nil"/>
            </w:tcBorders>
            <w:vAlign w:val="bottom"/>
          </w:tcPr>
          <w:p w14:paraId="0AE57057" w14:textId="0BF446E3" w:rsidR="009B1956" w:rsidRPr="00F36B82" w:rsidRDefault="009B1956" w:rsidP="00F36B82">
            <w:pPr>
              <w:jc w:val="right"/>
              <w:rPr>
                <w:color w:val="000000"/>
                <w:sz w:val="14"/>
                <w:szCs w:val="14"/>
              </w:rPr>
            </w:pPr>
            <w:r w:rsidRPr="00F36B82">
              <w:rPr>
                <w:sz w:val="14"/>
                <w:szCs w:val="14"/>
              </w:rPr>
              <w:t>-</w:t>
            </w:r>
          </w:p>
        </w:tc>
        <w:tc>
          <w:tcPr>
            <w:tcW w:w="709" w:type="dxa"/>
            <w:tcBorders>
              <w:top w:val="nil"/>
              <w:left w:val="nil"/>
              <w:bottom w:val="nil"/>
              <w:right w:val="nil"/>
            </w:tcBorders>
            <w:vAlign w:val="bottom"/>
          </w:tcPr>
          <w:p w14:paraId="1F136EF5" w14:textId="60562E81" w:rsidR="009B1956" w:rsidRPr="00F36B82" w:rsidRDefault="009B1956" w:rsidP="00F36B82">
            <w:pPr>
              <w:jc w:val="right"/>
              <w:rPr>
                <w:color w:val="000000"/>
                <w:sz w:val="14"/>
                <w:szCs w:val="14"/>
              </w:rPr>
            </w:pPr>
            <w:r w:rsidRPr="00F36B82">
              <w:rPr>
                <w:sz w:val="14"/>
                <w:szCs w:val="14"/>
              </w:rPr>
              <w:t>-</w:t>
            </w:r>
          </w:p>
        </w:tc>
        <w:tc>
          <w:tcPr>
            <w:tcW w:w="795" w:type="dxa"/>
            <w:tcBorders>
              <w:top w:val="nil"/>
              <w:left w:val="nil"/>
              <w:bottom w:val="nil"/>
              <w:right w:val="nil"/>
            </w:tcBorders>
            <w:vAlign w:val="bottom"/>
          </w:tcPr>
          <w:p w14:paraId="47946D11" w14:textId="53DC2D16" w:rsidR="009B1956" w:rsidRPr="00F36B82" w:rsidRDefault="009B1956" w:rsidP="00F36B82">
            <w:pPr>
              <w:jc w:val="right"/>
              <w:rPr>
                <w:color w:val="000000"/>
                <w:sz w:val="14"/>
                <w:szCs w:val="14"/>
              </w:rPr>
            </w:pPr>
            <w:r w:rsidRPr="00F36B82">
              <w:rPr>
                <w:sz w:val="14"/>
                <w:szCs w:val="14"/>
              </w:rPr>
              <w:t>-</w:t>
            </w:r>
          </w:p>
        </w:tc>
        <w:tc>
          <w:tcPr>
            <w:tcW w:w="908" w:type="dxa"/>
            <w:tcBorders>
              <w:top w:val="nil"/>
              <w:left w:val="nil"/>
              <w:bottom w:val="nil"/>
              <w:right w:val="nil"/>
            </w:tcBorders>
            <w:vAlign w:val="bottom"/>
          </w:tcPr>
          <w:p w14:paraId="24290AA1" w14:textId="4DF3DF4D" w:rsidR="009B1956" w:rsidRPr="00F36B82" w:rsidRDefault="009B1956" w:rsidP="00F36B82">
            <w:pPr>
              <w:jc w:val="right"/>
              <w:rPr>
                <w:color w:val="000000"/>
                <w:sz w:val="14"/>
                <w:szCs w:val="14"/>
              </w:rPr>
            </w:pPr>
            <w:r w:rsidRPr="00F36B82">
              <w:rPr>
                <w:sz w:val="14"/>
                <w:szCs w:val="14"/>
              </w:rPr>
              <w:t>-</w:t>
            </w:r>
          </w:p>
        </w:tc>
        <w:tc>
          <w:tcPr>
            <w:tcW w:w="701" w:type="dxa"/>
            <w:tcBorders>
              <w:top w:val="nil"/>
              <w:left w:val="nil"/>
              <w:bottom w:val="nil"/>
              <w:right w:val="nil"/>
            </w:tcBorders>
            <w:vAlign w:val="bottom"/>
          </w:tcPr>
          <w:p w14:paraId="55899A14" w14:textId="321C33A4" w:rsidR="009B1956" w:rsidRPr="00F36B82" w:rsidRDefault="009B1956" w:rsidP="00F36B82">
            <w:pPr>
              <w:jc w:val="right"/>
              <w:rPr>
                <w:color w:val="000000"/>
                <w:sz w:val="14"/>
                <w:szCs w:val="14"/>
              </w:rPr>
            </w:pPr>
            <w:r w:rsidRPr="00F36B82">
              <w:rPr>
                <w:sz w:val="14"/>
                <w:szCs w:val="14"/>
              </w:rPr>
              <w:t>-</w:t>
            </w:r>
          </w:p>
        </w:tc>
        <w:tc>
          <w:tcPr>
            <w:tcW w:w="718" w:type="dxa"/>
            <w:tcBorders>
              <w:top w:val="nil"/>
              <w:left w:val="nil"/>
              <w:bottom w:val="nil"/>
              <w:right w:val="nil"/>
            </w:tcBorders>
            <w:vAlign w:val="bottom"/>
          </w:tcPr>
          <w:p w14:paraId="1AE8D812" w14:textId="3C83607C" w:rsidR="009B1956" w:rsidRPr="00F36B82" w:rsidRDefault="009B1956" w:rsidP="00F36B82">
            <w:pPr>
              <w:jc w:val="right"/>
              <w:rPr>
                <w:color w:val="000000"/>
                <w:sz w:val="14"/>
                <w:szCs w:val="14"/>
              </w:rPr>
            </w:pPr>
            <w:r w:rsidRPr="00F36B82">
              <w:rPr>
                <w:sz w:val="14"/>
                <w:szCs w:val="14"/>
              </w:rPr>
              <w:t>-</w:t>
            </w:r>
          </w:p>
        </w:tc>
        <w:tc>
          <w:tcPr>
            <w:tcW w:w="674" w:type="dxa"/>
            <w:tcBorders>
              <w:top w:val="nil"/>
              <w:left w:val="nil"/>
              <w:bottom w:val="nil"/>
              <w:right w:val="nil"/>
            </w:tcBorders>
            <w:vAlign w:val="bottom"/>
          </w:tcPr>
          <w:p w14:paraId="71B5E61B" w14:textId="3EA9C685" w:rsidR="009B1956" w:rsidRPr="00F36B82" w:rsidRDefault="009B1956" w:rsidP="00F36B82">
            <w:pPr>
              <w:jc w:val="right"/>
              <w:rPr>
                <w:sz w:val="14"/>
                <w:szCs w:val="14"/>
              </w:rPr>
            </w:pPr>
            <w:r w:rsidRPr="00F36B82">
              <w:rPr>
                <w:sz w:val="14"/>
                <w:szCs w:val="14"/>
              </w:rPr>
              <w:t>-</w:t>
            </w:r>
          </w:p>
        </w:tc>
        <w:tc>
          <w:tcPr>
            <w:tcW w:w="734" w:type="dxa"/>
            <w:tcBorders>
              <w:top w:val="nil"/>
              <w:left w:val="nil"/>
              <w:bottom w:val="nil"/>
              <w:right w:val="nil"/>
            </w:tcBorders>
            <w:vAlign w:val="bottom"/>
          </w:tcPr>
          <w:p w14:paraId="6A498328" w14:textId="179634AC" w:rsidR="009B1956" w:rsidRPr="00F36B82" w:rsidRDefault="009B1956" w:rsidP="00F36B82">
            <w:pPr>
              <w:jc w:val="right"/>
              <w:rPr>
                <w:color w:val="000000"/>
                <w:sz w:val="14"/>
                <w:szCs w:val="14"/>
              </w:rPr>
            </w:pPr>
            <w:r w:rsidRPr="00F36B82">
              <w:rPr>
                <w:sz w:val="14"/>
                <w:szCs w:val="14"/>
              </w:rPr>
              <w:t>-</w:t>
            </w:r>
          </w:p>
        </w:tc>
        <w:tc>
          <w:tcPr>
            <w:tcW w:w="647" w:type="dxa"/>
            <w:tcBorders>
              <w:top w:val="nil"/>
              <w:left w:val="nil"/>
              <w:bottom w:val="nil"/>
              <w:right w:val="nil"/>
            </w:tcBorders>
            <w:vAlign w:val="bottom"/>
          </w:tcPr>
          <w:p w14:paraId="21397E5C" w14:textId="6585603E" w:rsidR="009B1956" w:rsidRPr="00F36B82" w:rsidRDefault="009B1956" w:rsidP="00F36B82">
            <w:pPr>
              <w:jc w:val="right"/>
              <w:rPr>
                <w:color w:val="000000"/>
                <w:sz w:val="14"/>
                <w:szCs w:val="14"/>
              </w:rPr>
            </w:pPr>
            <w:r w:rsidRPr="00F36B82">
              <w:rPr>
                <w:sz w:val="14"/>
                <w:szCs w:val="14"/>
              </w:rPr>
              <w:t>-</w:t>
            </w:r>
          </w:p>
        </w:tc>
        <w:tc>
          <w:tcPr>
            <w:tcW w:w="647" w:type="dxa"/>
            <w:tcBorders>
              <w:top w:val="nil"/>
              <w:left w:val="nil"/>
              <w:bottom w:val="nil"/>
              <w:right w:val="nil"/>
            </w:tcBorders>
            <w:vAlign w:val="bottom"/>
          </w:tcPr>
          <w:p w14:paraId="35B14752" w14:textId="0A63A675" w:rsidR="009B1956" w:rsidRPr="00F36B82" w:rsidRDefault="009B1956" w:rsidP="00F36B82">
            <w:pPr>
              <w:jc w:val="right"/>
              <w:rPr>
                <w:color w:val="000000"/>
                <w:sz w:val="14"/>
                <w:szCs w:val="14"/>
              </w:rPr>
            </w:pPr>
            <w:r w:rsidRPr="00F36B82">
              <w:rPr>
                <w:sz w:val="14"/>
                <w:szCs w:val="14"/>
              </w:rPr>
              <w:t>-</w:t>
            </w:r>
          </w:p>
        </w:tc>
        <w:tc>
          <w:tcPr>
            <w:tcW w:w="647" w:type="dxa"/>
            <w:tcBorders>
              <w:top w:val="nil"/>
              <w:left w:val="nil"/>
              <w:bottom w:val="nil"/>
              <w:right w:val="nil"/>
            </w:tcBorders>
            <w:vAlign w:val="bottom"/>
          </w:tcPr>
          <w:p w14:paraId="6D09DB98" w14:textId="08C350F1" w:rsidR="009B1956" w:rsidRPr="00F36B82" w:rsidRDefault="009B1956" w:rsidP="00F36B82">
            <w:pPr>
              <w:jc w:val="right"/>
              <w:rPr>
                <w:color w:val="000000"/>
                <w:sz w:val="14"/>
                <w:szCs w:val="14"/>
              </w:rPr>
            </w:pPr>
            <w:r w:rsidRPr="00F36B82">
              <w:rPr>
                <w:sz w:val="14"/>
                <w:szCs w:val="14"/>
              </w:rPr>
              <w:t>-</w:t>
            </w:r>
          </w:p>
        </w:tc>
        <w:tc>
          <w:tcPr>
            <w:tcW w:w="650" w:type="dxa"/>
            <w:tcBorders>
              <w:top w:val="nil"/>
              <w:left w:val="nil"/>
              <w:bottom w:val="nil"/>
              <w:right w:val="nil"/>
            </w:tcBorders>
            <w:vAlign w:val="bottom"/>
          </w:tcPr>
          <w:p w14:paraId="2E3A4903" w14:textId="7E229C3F" w:rsidR="009B1956" w:rsidRPr="00F36B82" w:rsidRDefault="009B1956" w:rsidP="00F36B82">
            <w:pPr>
              <w:jc w:val="right"/>
              <w:rPr>
                <w:color w:val="000000"/>
                <w:sz w:val="14"/>
                <w:szCs w:val="14"/>
              </w:rPr>
            </w:pPr>
            <w:r w:rsidRPr="00F36B82">
              <w:rPr>
                <w:sz w:val="14"/>
                <w:szCs w:val="14"/>
              </w:rPr>
              <w:t>-</w:t>
            </w:r>
          </w:p>
        </w:tc>
        <w:tc>
          <w:tcPr>
            <w:tcW w:w="660" w:type="dxa"/>
            <w:tcBorders>
              <w:top w:val="nil"/>
              <w:left w:val="nil"/>
              <w:bottom w:val="nil"/>
              <w:right w:val="nil"/>
            </w:tcBorders>
            <w:vAlign w:val="bottom"/>
          </w:tcPr>
          <w:p w14:paraId="0D0FB60F" w14:textId="40759731" w:rsidR="009B1956" w:rsidRPr="00F36B82" w:rsidRDefault="009B1956" w:rsidP="00F36B82">
            <w:pPr>
              <w:jc w:val="right"/>
              <w:rPr>
                <w:color w:val="000000"/>
                <w:sz w:val="14"/>
                <w:szCs w:val="14"/>
              </w:rPr>
            </w:pPr>
            <w:r w:rsidRPr="00F36B82">
              <w:rPr>
                <w:sz w:val="14"/>
                <w:szCs w:val="14"/>
              </w:rPr>
              <w:t>-</w:t>
            </w:r>
          </w:p>
        </w:tc>
        <w:tc>
          <w:tcPr>
            <w:tcW w:w="674" w:type="dxa"/>
            <w:tcBorders>
              <w:top w:val="nil"/>
              <w:left w:val="nil"/>
              <w:bottom w:val="nil"/>
              <w:right w:val="nil"/>
            </w:tcBorders>
            <w:vAlign w:val="bottom"/>
          </w:tcPr>
          <w:p w14:paraId="2EC8193E" w14:textId="03F7BF21" w:rsidR="009B1956" w:rsidRPr="00F36B82" w:rsidRDefault="009B1956" w:rsidP="00F36B82">
            <w:pPr>
              <w:jc w:val="right"/>
              <w:rPr>
                <w:color w:val="000000"/>
                <w:sz w:val="14"/>
                <w:szCs w:val="14"/>
              </w:rPr>
            </w:pPr>
            <w:r w:rsidRPr="00F36B82">
              <w:rPr>
                <w:sz w:val="14"/>
                <w:szCs w:val="14"/>
              </w:rPr>
              <w:t>-</w:t>
            </w:r>
          </w:p>
        </w:tc>
        <w:tc>
          <w:tcPr>
            <w:tcW w:w="860" w:type="dxa"/>
            <w:tcBorders>
              <w:top w:val="nil"/>
              <w:left w:val="nil"/>
              <w:bottom w:val="nil"/>
              <w:right w:val="nil"/>
            </w:tcBorders>
            <w:vAlign w:val="bottom"/>
          </w:tcPr>
          <w:p w14:paraId="4D7D376A" w14:textId="146E1BD6" w:rsidR="009B1956" w:rsidRPr="00F36B82" w:rsidRDefault="009B1956" w:rsidP="00F36B82">
            <w:pPr>
              <w:jc w:val="right"/>
              <w:rPr>
                <w:color w:val="000000"/>
                <w:sz w:val="14"/>
                <w:szCs w:val="14"/>
              </w:rPr>
            </w:pPr>
            <w:r w:rsidRPr="00F36B82">
              <w:rPr>
                <w:sz w:val="14"/>
                <w:szCs w:val="14"/>
              </w:rPr>
              <w:t>-</w:t>
            </w:r>
          </w:p>
        </w:tc>
      </w:tr>
      <w:tr w:rsidR="009B1956" w:rsidRPr="00F36B82" w14:paraId="6CEC1E90" w14:textId="77777777" w:rsidTr="00F36B82">
        <w:trPr>
          <w:trHeight w:val="206"/>
        </w:trPr>
        <w:tc>
          <w:tcPr>
            <w:tcW w:w="2337" w:type="dxa"/>
            <w:tcBorders>
              <w:top w:val="nil"/>
              <w:left w:val="nil"/>
              <w:bottom w:val="nil"/>
              <w:right w:val="nil"/>
            </w:tcBorders>
            <w:vAlign w:val="bottom"/>
            <w:hideMark/>
          </w:tcPr>
          <w:p w14:paraId="0ABC7EBD" w14:textId="77777777" w:rsidR="009B1956" w:rsidRPr="00F36B82" w:rsidRDefault="009B1956" w:rsidP="009B1956">
            <w:pPr>
              <w:ind w:firstLineChars="30" w:firstLine="42"/>
              <w:rPr>
                <w:color w:val="000000"/>
                <w:sz w:val="14"/>
                <w:szCs w:val="14"/>
              </w:rPr>
            </w:pPr>
            <w:r w:rsidRPr="00F36B82">
              <w:rPr>
                <w:color w:val="000000"/>
                <w:sz w:val="14"/>
                <w:szCs w:val="14"/>
              </w:rPr>
              <w:t xml:space="preserve">İştirak, Bağlı Ortaklık ve </w:t>
            </w:r>
          </w:p>
          <w:p w14:paraId="7C56DD24" w14:textId="77777777" w:rsidR="009B1956" w:rsidRPr="00F36B82" w:rsidRDefault="009B1956" w:rsidP="009B1956">
            <w:pPr>
              <w:ind w:firstLineChars="30" w:firstLine="42"/>
              <w:rPr>
                <w:color w:val="000000"/>
                <w:sz w:val="14"/>
                <w:szCs w:val="14"/>
              </w:rPr>
            </w:pPr>
            <w:r w:rsidRPr="00F36B82">
              <w:rPr>
                <w:color w:val="000000"/>
                <w:sz w:val="14"/>
                <w:szCs w:val="14"/>
              </w:rPr>
              <w:t>Birlikte Kontrol Edilen Ortaklıklar</w:t>
            </w:r>
          </w:p>
        </w:tc>
        <w:tc>
          <w:tcPr>
            <w:tcW w:w="780" w:type="dxa"/>
            <w:tcBorders>
              <w:top w:val="nil"/>
              <w:left w:val="nil"/>
              <w:bottom w:val="nil"/>
              <w:right w:val="nil"/>
            </w:tcBorders>
            <w:vAlign w:val="bottom"/>
          </w:tcPr>
          <w:p w14:paraId="2B6EAF08" w14:textId="1D2C09A6" w:rsidR="009B1956" w:rsidRPr="00F36B82" w:rsidRDefault="009B1956" w:rsidP="00F36B82">
            <w:pPr>
              <w:jc w:val="right"/>
              <w:rPr>
                <w:color w:val="000000"/>
                <w:sz w:val="14"/>
                <w:szCs w:val="14"/>
              </w:rPr>
            </w:pPr>
            <w:r w:rsidRPr="00F36B82">
              <w:rPr>
                <w:sz w:val="14"/>
                <w:szCs w:val="14"/>
              </w:rPr>
              <w:t>-</w:t>
            </w:r>
          </w:p>
        </w:tc>
        <w:tc>
          <w:tcPr>
            <w:tcW w:w="544" w:type="dxa"/>
            <w:tcBorders>
              <w:top w:val="nil"/>
              <w:left w:val="nil"/>
              <w:bottom w:val="nil"/>
              <w:right w:val="nil"/>
            </w:tcBorders>
            <w:vAlign w:val="bottom"/>
          </w:tcPr>
          <w:p w14:paraId="503D909C" w14:textId="31870C88" w:rsidR="009B1956" w:rsidRPr="00F36B82" w:rsidRDefault="009B1956" w:rsidP="00F36B82">
            <w:pPr>
              <w:jc w:val="right"/>
              <w:rPr>
                <w:sz w:val="14"/>
                <w:szCs w:val="14"/>
              </w:rPr>
            </w:pPr>
            <w:r w:rsidRPr="00F36B82">
              <w:rPr>
                <w:sz w:val="14"/>
                <w:szCs w:val="14"/>
              </w:rPr>
              <w:t>-</w:t>
            </w:r>
          </w:p>
        </w:tc>
        <w:tc>
          <w:tcPr>
            <w:tcW w:w="478" w:type="dxa"/>
            <w:tcBorders>
              <w:top w:val="nil"/>
              <w:left w:val="nil"/>
              <w:bottom w:val="nil"/>
              <w:right w:val="nil"/>
            </w:tcBorders>
            <w:vAlign w:val="bottom"/>
          </w:tcPr>
          <w:p w14:paraId="64E18E2E" w14:textId="6BCA0BDB" w:rsidR="009B1956" w:rsidRPr="00F36B82" w:rsidRDefault="009B1956" w:rsidP="00F36B82">
            <w:pPr>
              <w:jc w:val="right"/>
              <w:rPr>
                <w:sz w:val="14"/>
                <w:szCs w:val="14"/>
              </w:rPr>
            </w:pPr>
            <w:r w:rsidRPr="00F36B82">
              <w:rPr>
                <w:sz w:val="14"/>
                <w:szCs w:val="14"/>
              </w:rPr>
              <w:t>-</w:t>
            </w:r>
          </w:p>
        </w:tc>
        <w:tc>
          <w:tcPr>
            <w:tcW w:w="409" w:type="dxa"/>
            <w:tcBorders>
              <w:top w:val="nil"/>
              <w:left w:val="nil"/>
              <w:bottom w:val="nil"/>
              <w:right w:val="nil"/>
            </w:tcBorders>
            <w:vAlign w:val="bottom"/>
          </w:tcPr>
          <w:p w14:paraId="3C186EED" w14:textId="45663F51" w:rsidR="009B1956" w:rsidRPr="00F36B82" w:rsidRDefault="009B1956" w:rsidP="00F36B82">
            <w:pPr>
              <w:jc w:val="right"/>
              <w:rPr>
                <w:sz w:val="14"/>
                <w:szCs w:val="14"/>
              </w:rPr>
            </w:pPr>
            <w:r w:rsidRPr="00F36B82">
              <w:rPr>
                <w:sz w:val="14"/>
                <w:szCs w:val="14"/>
              </w:rPr>
              <w:t>-</w:t>
            </w:r>
          </w:p>
        </w:tc>
        <w:tc>
          <w:tcPr>
            <w:tcW w:w="709" w:type="dxa"/>
            <w:tcBorders>
              <w:top w:val="nil"/>
              <w:left w:val="nil"/>
              <w:bottom w:val="nil"/>
              <w:right w:val="nil"/>
            </w:tcBorders>
            <w:vAlign w:val="bottom"/>
          </w:tcPr>
          <w:p w14:paraId="10644960" w14:textId="21A917B7" w:rsidR="009B1956" w:rsidRPr="00F36B82" w:rsidRDefault="009B1956" w:rsidP="00F36B82">
            <w:pPr>
              <w:jc w:val="right"/>
              <w:rPr>
                <w:sz w:val="14"/>
                <w:szCs w:val="14"/>
              </w:rPr>
            </w:pPr>
            <w:r w:rsidRPr="00F36B82">
              <w:rPr>
                <w:sz w:val="14"/>
                <w:szCs w:val="14"/>
              </w:rPr>
              <w:t>-</w:t>
            </w:r>
          </w:p>
        </w:tc>
        <w:tc>
          <w:tcPr>
            <w:tcW w:w="795" w:type="dxa"/>
            <w:tcBorders>
              <w:top w:val="nil"/>
              <w:left w:val="nil"/>
              <w:bottom w:val="nil"/>
              <w:right w:val="nil"/>
            </w:tcBorders>
            <w:vAlign w:val="bottom"/>
          </w:tcPr>
          <w:p w14:paraId="725FA217" w14:textId="5E38EB57" w:rsidR="009B1956" w:rsidRPr="00F36B82" w:rsidRDefault="009B1956" w:rsidP="00F36B82">
            <w:pPr>
              <w:jc w:val="right"/>
              <w:rPr>
                <w:sz w:val="14"/>
                <w:szCs w:val="14"/>
              </w:rPr>
            </w:pPr>
            <w:r w:rsidRPr="00F36B82">
              <w:rPr>
                <w:sz w:val="14"/>
                <w:szCs w:val="14"/>
              </w:rPr>
              <w:t>-</w:t>
            </w:r>
          </w:p>
        </w:tc>
        <w:tc>
          <w:tcPr>
            <w:tcW w:w="908" w:type="dxa"/>
            <w:tcBorders>
              <w:top w:val="nil"/>
              <w:left w:val="nil"/>
              <w:bottom w:val="nil"/>
              <w:right w:val="nil"/>
            </w:tcBorders>
            <w:vAlign w:val="bottom"/>
          </w:tcPr>
          <w:p w14:paraId="59DA51BA" w14:textId="2443B49A" w:rsidR="009B1956" w:rsidRPr="00F36B82" w:rsidRDefault="009B1956" w:rsidP="00F36B82">
            <w:pPr>
              <w:jc w:val="right"/>
              <w:rPr>
                <w:sz w:val="14"/>
                <w:szCs w:val="14"/>
              </w:rPr>
            </w:pPr>
            <w:r w:rsidRPr="00F36B82">
              <w:rPr>
                <w:sz w:val="14"/>
                <w:szCs w:val="14"/>
              </w:rPr>
              <w:t>-</w:t>
            </w:r>
          </w:p>
        </w:tc>
        <w:tc>
          <w:tcPr>
            <w:tcW w:w="701" w:type="dxa"/>
            <w:tcBorders>
              <w:top w:val="nil"/>
              <w:left w:val="nil"/>
              <w:bottom w:val="nil"/>
              <w:right w:val="nil"/>
            </w:tcBorders>
            <w:vAlign w:val="bottom"/>
          </w:tcPr>
          <w:p w14:paraId="277E32B3" w14:textId="07E65D95" w:rsidR="009B1956" w:rsidRPr="00F36B82" w:rsidRDefault="009B1956" w:rsidP="00F36B82">
            <w:pPr>
              <w:jc w:val="right"/>
              <w:rPr>
                <w:sz w:val="14"/>
                <w:szCs w:val="14"/>
              </w:rPr>
            </w:pPr>
            <w:r w:rsidRPr="00F36B82">
              <w:rPr>
                <w:sz w:val="14"/>
                <w:szCs w:val="14"/>
              </w:rPr>
              <w:t>-</w:t>
            </w:r>
          </w:p>
        </w:tc>
        <w:tc>
          <w:tcPr>
            <w:tcW w:w="718" w:type="dxa"/>
            <w:tcBorders>
              <w:top w:val="nil"/>
              <w:left w:val="nil"/>
              <w:bottom w:val="nil"/>
              <w:right w:val="nil"/>
            </w:tcBorders>
            <w:vAlign w:val="bottom"/>
          </w:tcPr>
          <w:p w14:paraId="2F6BC69C" w14:textId="53C0185C" w:rsidR="009B1956" w:rsidRPr="00F36B82" w:rsidRDefault="009B1956" w:rsidP="00F36B82">
            <w:pPr>
              <w:jc w:val="right"/>
              <w:rPr>
                <w:sz w:val="14"/>
                <w:szCs w:val="14"/>
              </w:rPr>
            </w:pPr>
            <w:r w:rsidRPr="00F36B82">
              <w:rPr>
                <w:sz w:val="14"/>
                <w:szCs w:val="14"/>
              </w:rPr>
              <w:t>-</w:t>
            </w:r>
          </w:p>
        </w:tc>
        <w:tc>
          <w:tcPr>
            <w:tcW w:w="674" w:type="dxa"/>
            <w:tcBorders>
              <w:top w:val="nil"/>
              <w:left w:val="nil"/>
              <w:bottom w:val="nil"/>
              <w:right w:val="nil"/>
            </w:tcBorders>
            <w:vAlign w:val="bottom"/>
          </w:tcPr>
          <w:p w14:paraId="54AF1062" w14:textId="63642C4E" w:rsidR="009B1956" w:rsidRPr="00F36B82" w:rsidRDefault="009B1956" w:rsidP="00F36B82">
            <w:pPr>
              <w:jc w:val="right"/>
              <w:rPr>
                <w:color w:val="000000"/>
                <w:sz w:val="14"/>
                <w:szCs w:val="14"/>
              </w:rPr>
            </w:pPr>
            <w:r w:rsidRPr="00F36B82">
              <w:rPr>
                <w:sz w:val="14"/>
                <w:szCs w:val="14"/>
              </w:rPr>
              <w:t>-</w:t>
            </w:r>
          </w:p>
        </w:tc>
        <w:tc>
          <w:tcPr>
            <w:tcW w:w="734" w:type="dxa"/>
            <w:tcBorders>
              <w:top w:val="nil"/>
              <w:left w:val="nil"/>
              <w:bottom w:val="nil"/>
              <w:right w:val="nil"/>
            </w:tcBorders>
            <w:vAlign w:val="bottom"/>
          </w:tcPr>
          <w:p w14:paraId="5B1464E7" w14:textId="69F839E1" w:rsidR="009B1956" w:rsidRPr="00F36B82" w:rsidRDefault="009B1956" w:rsidP="00F36B82">
            <w:pPr>
              <w:jc w:val="right"/>
              <w:rPr>
                <w:color w:val="000000"/>
                <w:sz w:val="14"/>
                <w:szCs w:val="14"/>
              </w:rPr>
            </w:pPr>
            <w:r w:rsidRPr="00F36B82">
              <w:rPr>
                <w:sz w:val="14"/>
                <w:szCs w:val="14"/>
              </w:rPr>
              <w:t>-</w:t>
            </w:r>
          </w:p>
        </w:tc>
        <w:tc>
          <w:tcPr>
            <w:tcW w:w="647" w:type="dxa"/>
            <w:tcBorders>
              <w:top w:val="nil"/>
              <w:left w:val="nil"/>
              <w:bottom w:val="nil"/>
              <w:right w:val="nil"/>
            </w:tcBorders>
            <w:vAlign w:val="bottom"/>
          </w:tcPr>
          <w:p w14:paraId="386FE1F0" w14:textId="64B808F7" w:rsidR="009B1956" w:rsidRPr="00F36B82" w:rsidRDefault="009B1956" w:rsidP="00F36B82">
            <w:pPr>
              <w:jc w:val="right"/>
              <w:rPr>
                <w:color w:val="000000"/>
                <w:sz w:val="14"/>
                <w:szCs w:val="14"/>
              </w:rPr>
            </w:pPr>
            <w:r w:rsidRPr="00F36B82">
              <w:rPr>
                <w:sz w:val="14"/>
                <w:szCs w:val="14"/>
              </w:rPr>
              <w:t>-</w:t>
            </w:r>
          </w:p>
        </w:tc>
        <w:tc>
          <w:tcPr>
            <w:tcW w:w="647" w:type="dxa"/>
            <w:tcBorders>
              <w:top w:val="nil"/>
              <w:left w:val="nil"/>
              <w:bottom w:val="nil"/>
              <w:right w:val="nil"/>
            </w:tcBorders>
            <w:vAlign w:val="bottom"/>
          </w:tcPr>
          <w:p w14:paraId="373B7CDE" w14:textId="517395AC" w:rsidR="009B1956" w:rsidRPr="00F36B82" w:rsidRDefault="009B1956" w:rsidP="00F36B82">
            <w:pPr>
              <w:jc w:val="right"/>
              <w:rPr>
                <w:color w:val="000000"/>
                <w:sz w:val="14"/>
                <w:szCs w:val="14"/>
              </w:rPr>
            </w:pPr>
            <w:r w:rsidRPr="00F36B82">
              <w:rPr>
                <w:sz w:val="14"/>
                <w:szCs w:val="14"/>
              </w:rPr>
              <w:t>-</w:t>
            </w:r>
          </w:p>
        </w:tc>
        <w:tc>
          <w:tcPr>
            <w:tcW w:w="647" w:type="dxa"/>
            <w:tcBorders>
              <w:top w:val="nil"/>
              <w:left w:val="nil"/>
              <w:bottom w:val="nil"/>
              <w:right w:val="nil"/>
            </w:tcBorders>
            <w:vAlign w:val="bottom"/>
          </w:tcPr>
          <w:p w14:paraId="003231D6" w14:textId="262CC6A4" w:rsidR="009B1956" w:rsidRPr="00F36B82" w:rsidRDefault="009B1956" w:rsidP="00F36B82">
            <w:pPr>
              <w:jc w:val="right"/>
              <w:rPr>
                <w:color w:val="000000"/>
                <w:sz w:val="14"/>
                <w:szCs w:val="14"/>
              </w:rPr>
            </w:pPr>
            <w:r w:rsidRPr="00F36B82">
              <w:rPr>
                <w:sz w:val="14"/>
                <w:szCs w:val="14"/>
              </w:rPr>
              <w:t>-</w:t>
            </w:r>
          </w:p>
        </w:tc>
        <w:tc>
          <w:tcPr>
            <w:tcW w:w="650" w:type="dxa"/>
            <w:tcBorders>
              <w:top w:val="nil"/>
              <w:left w:val="nil"/>
              <w:bottom w:val="nil"/>
              <w:right w:val="nil"/>
            </w:tcBorders>
            <w:vAlign w:val="bottom"/>
          </w:tcPr>
          <w:p w14:paraId="20AE8269" w14:textId="45981C4C" w:rsidR="009B1956" w:rsidRPr="00F36B82" w:rsidRDefault="009B1956" w:rsidP="00F36B82">
            <w:pPr>
              <w:jc w:val="right"/>
              <w:rPr>
                <w:color w:val="000000"/>
                <w:sz w:val="14"/>
                <w:szCs w:val="14"/>
              </w:rPr>
            </w:pPr>
            <w:r w:rsidRPr="00F36B82">
              <w:rPr>
                <w:sz w:val="14"/>
                <w:szCs w:val="14"/>
              </w:rPr>
              <w:t>-</w:t>
            </w:r>
          </w:p>
        </w:tc>
        <w:tc>
          <w:tcPr>
            <w:tcW w:w="660" w:type="dxa"/>
            <w:tcBorders>
              <w:top w:val="nil"/>
              <w:left w:val="nil"/>
              <w:bottom w:val="nil"/>
              <w:right w:val="nil"/>
            </w:tcBorders>
            <w:vAlign w:val="bottom"/>
          </w:tcPr>
          <w:p w14:paraId="61CDBB4E" w14:textId="5E932F4A" w:rsidR="009B1956" w:rsidRPr="00F36B82" w:rsidRDefault="009B1956" w:rsidP="00F36B82">
            <w:pPr>
              <w:jc w:val="right"/>
              <w:rPr>
                <w:color w:val="000000"/>
                <w:sz w:val="14"/>
                <w:szCs w:val="14"/>
              </w:rPr>
            </w:pPr>
            <w:r w:rsidRPr="00F36B82">
              <w:rPr>
                <w:sz w:val="14"/>
                <w:szCs w:val="14"/>
              </w:rPr>
              <w:t>1.250</w:t>
            </w:r>
          </w:p>
        </w:tc>
        <w:tc>
          <w:tcPr>
            <w:tcW w:w="674" w:type="dxa"/>
            <w:tcBorders>
              <w:top w:val="nil"/>
              <w:left w:val="nil"/>
              <w:bottom w:val="nil"/>
              <w:right w:val="nil"/>
            </w:tcBorders>
            <w:vAlign w:val="bottom"/>
          </w:tcPr>
          <w:p w14:paraId="2C977A4D" w14:textId="7C6D257F" w:rsidR="009B1956" w:rsidRPr="00F36B82" w:rsidRDefault="009B1956" w:rsidP="00F36B82">
            <w:pPr>
              <w:jc w:val="right"/>
              <w:rPr>
                <w:color w:val="000000"/>
                <w:sz w:val="14"/>
                <w:szCs w:val="14"/>
              </w:rPr>
            </w:pPr>
            <w:r w:rsidRPr="00F36B82">
              <w:rPr>
                <w:sz w:val="14"/>
                <w:szCs w:val="14"/>
              </w:rPr>
              <w:t>-</w:t>
            </w:r>
          </w:p>
        </w:tc>
        <w:tc>
          <w:tcPr>
            <w:tcW w:w="860" w:type="dxa"/>
            <w:tcBorders>
              <w:top w:val="nil"/>
              <w:left w:val="nil"/>
              <w:bottom w:val="nil"/>
              <w:right w:val="nil"/>
            </w:tcBorders>
            <w:vAlign w:val="bottom"/>
          </w:tcPr>
          <w:p w14:paraId="4A3BA314" w14:textId="17EA109D" w:rsidR="009B1956" w:rsidRPr="00F36B82" w:rsidRDefault="009B1956" w:rsidP="00F36B82">
            <w:pPr>
              <w:jc w:val="right"/>
              <w:rPr>
                <w:color w:val="000000"/>
                <w:sz w:val="14"/>
                <w:szCs w:val="14"/>
              </w:rPr>
            </w:pPr>
            <w:r w:rsidRPr="00F36B82">
              <w:rPr>
                <w:sz w:val="14"/>
                <w:szCs w:val="14"/>
              </w:rPr>
              <w:t>1.250</w:t>
            </w:r>
          </w:p>
        </w:tc>
      </w:tr>
      <w:tr w:rsidR="009B1956" w:rsidRPr="00F36B82" w14:paraId="7788C410" w14:textId="77777777" w:rsidTr="00F36B82">
        <w:trPr>
          <w:trHeight w:val="206"/>
        </w:trPr>
        <w:tc>
          <w:tcPr>
            <w:tcW w:w="2337" w:type="dxa"/>
            <w:tcBorders>
              <w:top w:val="nil"/>
              <w:left w:val="nil"/>
              <w:bottom w:val="nil"/>
              <w:right w:val="nil"/>
            </w:tcBorders>
            <w:vAlign w:val="bottom"/>
            <w:hideMark/>
          </w:tcPr>
          <w:p w14:paraId="395D7485" w14:textId="77777777" w:rsidR="009B1956" w:rsidRPr="00F36B82" w:rsidRDefault="009B1956" w:rsidP="009B1956">
            <w:pPr>
              <w:ind w:firstLineChars="30" w:firstLine="42"/>
              <w:rPr>
                <w:sz w:val="14"/>
                <w:szCs w:val="14"/>
              </w:rPr>
            </w:pPr>
            <w:r w:rsidRPr="00F36B82">
              <w:rPr>
                <w:color w:val="000000"/>
                <w:sz w:val="14"/>
                <w:szCs w:val="14"/>
              </w:rPr>
              <w:t>Dağıtılmamış Varlıklar/</w:t>
            </w:r>
            <w:r w:rsidRPr="00F36B82">
              <w:rPr>
                <w:sz w:val="14"/>
                <w:szCs w:val="14"/>
              </w:rPr>
              <w:t xml:space="preserve"> </w:t>
            </w:r>
          </w:p>
          <w:p w14:paraId="514BF60C" w14:textId="77777777" w:rsidR="009B1956" w:rsidRPr="00F36B82" w:rsidRDefault="009B1956" w:rsidP="009B1956">
            <w:pPr>
              <w:ind w:firstLineChars="30" w:firstLine="42"/>
              <w:rPr>
                <w:color w:val="000000"/>
                <w:sz w:val="14"/>
                <w:szCs w:val="14"/>
              </w:rPr>
            </w:pPr>
            <w:r w:rsidRPr="00F36B82">
              <w:rPr>
                <w:color w:val="000000"/>
                <w:sz w:val="14"/>
                <w:szCs w:val="14"/>
              </w:rPr>
              <w:t>Yükümlülükler</w:t>
            </w:r>
            <w:r w:rsidRPr="00F36B82">
              <w:rPr>
                <w:color w:val="000000"/>
                <w:sz w:val="14"/>
                <w:szCs w:val="14"/>
                <w:vertAlign w:val="superscript"/>
              </w:rPr>
              <w:t>(***)</w:t>
            </w:r>
          </w:p>
        </w:tc>
        <w:tc>
          <w:tcPr>
            <w:tcW w:w="780" w:type="dxa"/>
            <w:tcBorders>
              <w:top w:val="nil"/>
              <w:left w:val="nil"/>
              <w:bottom w:val="nil"/>
              <w:right w:val="nil"/>
            </w:tcBorders>
            <w:vAlign w:val="bottom"/>
          </w:tcPr>
          <w:p w14:paraId="6A2AFB21" w14:textId="5EB272C9" w:rsidR="009B1956" w:rsidRPr="00F36B82" w:rsidRDefault="009B1956" w:rsidP="00F36B82">
            <w:pPr>
              <w:jc w:val="right"/>
              <w:rPr>
                <w:color w:val="000000"/>
                <w:sz w:val="14"/>
                <w:szCs w:val="14"/>
              </w:rPr>
            </w:pPr>
            <w:r w:rsidRPr="00F36B82">
              <w:rPr>
                <w:sz w:val="14"/>
                <w:szCs w:val="14"/>
              </w:rPr>
              <w:t>-</w:t>
            </w:r>
          </w:p>
        </w:tc>
        <w:tc>
          <w:tcPr>
            <w:tcW w:w="544" w:type="dxa"/>
            <w:tcBorders>
              <w:top w:val="nil"/>
              <w:left w:val="nil"/>
              <w:bottom w:val="nil"/>
              <w:right w:val="nil"/>
            </w:tcBorders>
            <w:vAlign w:val="bottom"/>
          </w:tcPr>
          <w:p w14:paraId="0DF119DA" w14:textId="04437C8B" w:rsidR="009B1956" w:rsidRPr="00F36B82" w:rsidRDefault="009B1956" w:rsidP="00F36B82">
            <w:pPr>
              <w:jc w:val="right"/>
              <w:rPr>
                <w:sz w:val="14"/>
                <w:szCs w:val="14"/>
              </w:rPr>
            </w:pPr>
            <w:r w:rsidRPr="00F36B82">
              <w:rPr>
                <w:sz w:val="14"/>
                <w:szCs w:val="14"/>
              </w:rPr>
              <w:t>-</w:t>
            </w:r>
          </w:p>
        </w:tc>
        <w:tc>
          <w:tcPr>
            <w:tcW w:w="478" w:type="dxa"/>
            <w:tcBorders>
              <w:top w:val="nil"/>
              <w:left w:val="nil"/>
              <w:bottom w:val="nil"/>
              <w:right w:val="nil"/>
            </w:tcBorders>
            <w:vAlign w:val="bottom"/>
          </w:tcPr>
          <w:p w14:paraId="75797325" w14:textId="1D57A723" w:rsidR="009B1956" w:rsidRPr="00F36B82" w:rsidRDefault="009B1956" w:rsidP="00F36B82">
            <w:pPr>
              <w:jc w:val="right"/>
              <w:rPr>
                <w:sz w:val="14"/>
                <w:szCs w:val="14"/>
              </w:rPr>
            </w:pPr>
            <w:r w:rsidRPr="00F36B82">
              <w:rPr>
                <w:sz w:val="14"/>
                <w:szCs w:val="14"/>
              </w:rPr>
              <w:t>-</w:t>
            </w:r>
          </w:p>
        </w:tc>
        <w:tc>
          <w:tcPr>
            <w:tcW w:w="409" w:type="dxa"/>
            <w:tcBorders>
              <w:top w:val="nil"/>
              <w:left w:val="nil"/>
              <w:bottom w:val="nil"/>
              <w:right w:val="nil"/>
            </w:tcBorders>
            <w:vAlign w:val="bottom"/>
          </w:tcPr>
          <w:p w14:paraId="4F434010" w14:textId="731DF86B" w:rsidR="009B1956" w:rsidRPr="00F36B82" w:rsidRDefault="009B1956" w:rsidP="00F36B82">
            <w:pPr>
              <w:jc w:val="right"/>
              <w:rPr>
                <w:sz w:val="14"/>
                <w:szCs w:val="14"/>
              </w:rPr>
            </w:pPr>
            <w:r w:rsidRPr="00F36B82">
              <w:rPr>
                <w:sz w:val="14"/>
                <w:szCs w:val="14"/>
              </w:rPr>
              <w:t>-</w:t>
            </w:r>
          </w:p>
        </w:tc>
        <w:tc>
          <w:tcPr>
            <w:tcW w:w="709" w:type="dxa"/>
            <w:tcBorders>
              <w:top w:val="nil"/>
              <w:left w:val="nil"/>
              <w:bottom w:val="nil"/>
              <w:right w:val="nil"/>
            </w:tcBorders>
            <w:vAlign w:val="bottom"/>
          </w:tcPr>
          <w:p w14:paraId="61FD75C2" w14:textId="4E2A2C4E" w:rsidR="009B1956" w:rsidRPr="00F36B82" w:rsidRDefault="009B1956" w:rsidP="00F36B82">
            <w:pPr>
              <w:jc w:val="right"/>
              <w:rPr>
                <w:sz w:val="14"/>
                <w:szCs w:val="14"/>
              </w:rPr>
            </w:pPr>
            <w:r w:rsidRPr="00F36B82">
              <w:rPr>
                <w:sz w:val="14"/>
                <w:szCs w:val="14"/>
              </w:rPr>
              <w:t>-</w:t>
            </w:r>
          </w:p>
        </w:tc>
        <w:tc>
          <w:tcPr>
            <w:tcW w:w="795" w:type="dxa"/>
            <w:tcBorders>
              <w:top w:val="nil"/>
              <w:left w:val="nil"/>
              <w:bottom w:val="nil"/>
              <w:right w:val="nil"/>
            </w:tcBorders>
            <w:vAlign w:val="bottom"/>
          </w:tcPr>
          <w:p w14:paraId="539B8C69" w14:textId="6D48DB8F" w:rsidR="009B1956" w:rsidRPr="00F36B82" w:rsidRDefault="009B1956" w:rsidP="00F36B82">
            <w:pPr>
              <w:jc w:val="right"/>
              <w:rPr>
                <w:sz w:val="14"/>
                <w:szCs w:val="14"/>
              </w:rPr>
            </w:pPr>
            <w:r w:rsidRPr="00F36B82">
              <w:rPr>
                <w:sz w:val="14"/>
                <w:szCs w:val="14"/>
              </w:rPr>
              <w:t>-</w:t>
            </w:r>
          </w:p>
        </w:tc>
        <w:tc>
          <w:tcPr>
            <w:tcW w:w="908" w:type="dxa"/>
            <w:tcBorders>
              <w:top w:val="nil"/>
              <w:left w:val="nil"/>
              <w:bottom w:val="nil"/>
              <w:right w:val="nil"/>
            </w:tcBorders>
            <w:vAlign w:val="bottom"/>
          </w:tcPr>
          <w:p w14:paraId="1166786E" w14:textId="0F7DF656" w:rsidR="009B1956" w:rsidRPr="00F36B82" w:rsidRDefault="009B1956" w:rsidP="00F36B82">
            <w:pPr>
              <w:jc w:val="right"/>
              <w:rPr>
                <w:sz w:val="14"/>
                <w:szCs w:val="14"/>
              </w:rPr>
            </w:pPr>
            <w:r w:rsidRPr="00F36B82">
              <w:rPr>
                <w:sz w:val="14"/>
                <w:szCs w:val="14"/>
              </w:rPr>
              <w:t>-</w:t>
            </w:r>
          </w:p>
        </w:tc>
        <w:tc>
          <w:tcPr>
            <w:tcW w:w="701" w:type="dxa"/>
            <w:tcBorders>
              <w:top w:val="nil"/>
              <w:left w:val="nil"/>
              <w:bottom w:val="nil"/>
              <w:right w:val="nil"/>
            </w:tcBorders>
            <w:vAlign w:val="bottom"/>
          </w:tcPr>
          <w:p w14:paraId="2326D719" w14:textId="71982FE2" w:rsidR="009B1956" w:rsidRPr="00F36B82" w:rsidRDefault="009B1956" w:rsidP="00F36B82">
            <w:pPr>
              <w:jc w:val="right"/>
              <w:rPr>
                <w:sz w:val="14"/>
                <w:szCs w:val="14"/>
              </w:rPr>
            </w:pPr>
            <w:r w:rsidRPr="00F36B82">
              <w:rPr>
                <w:sz w:val="14"/>
                <w:szCs w:val="14"/>
              </w:rPr>
              <w:t>-</w:t>
            </w:r>
          </w:p>
        </w:tc>
        <w:tc>
          <w:tcPr>
            <w:tcW w:w="718" w:type="dxa"/>
            <w:tcBorders>
              <w:top w:val="nil"/>
              <w:left w:val="nil"/>
              <w:bottom w:val="nil"/>
              <w:right w:val="nil"/>
            </w:tcBorders>
            <w:vAlign w:val="bottom"/>
          </w:tcPr>
          <w:p w14:paraId="2416AA55" w14:textId="0CE9C796" w:rsidR="009B1956" w:rsidRPr="00F36B82" w:rsidRDefault="009B1956" w:rsidP="00F36B82">
            <w:pPr>
              <w:jc w:val="right"/>
              <w:rPr>
                <w:sz w:val="14"/>
                <w:szCs w:val="14"/>
              </w:rPr>
            </w:pPr>
            <w:r w:rsidRPr="00F36B82">
              <w:rPr>
                <w:sz w:val="14"/>
                <w:szCs w:val="14"/>
              </w:rPr>
              <w:t>-</w:t>
            </w:r>
          </w:p>
        </w:tc>
        <w:tc>
          <w:tcPr>
            <w:tcW w:w="674" w:type="dxa"/>
            <w:tcBorders>
              <w:top w:val="nil"/>
              <w:left w:val="nil"/>
              <w:bottom w:val="nil"/>
              <w:right w:val="nil"/>
            </w:tcBorders>
            <w:vAlign w:val="bottom"/>
          </w:tcPr>
          <w:p w14:paraId="149146F7" w14:textId="63C957A5" w:rsidR="009B1956" w:rsidRPr="00F36B82" w:rsidRDefault="009B1956" w:rsidP="00F36B82">
            <w:pPr>
              <w:jc w:val="right"/>
              <w:rPr>
                <w:color w:val="000000"/>
                <w:sz w:val="14"/>
                <w:szCs w:val="14"/>
              </w:rPr>
            </w:pPr>
            <w:r w:rsidRPr="00F36B82">
              <w:rPr>
                <w:sz w:val="14"/>
                <w:szCs w:val="14"/>
              </w:rPr>
              <w:t>-</w:t>
            </w:r>
          </w:p>
        </w:tc>
        <w:tc>
          <w:tcPr>
            <w:tcW w:w="734" w:type="dxa"/>
            <w:tcBorders>
              <w:top w:val="nil"/>
              <w:left w:val="nil"/>
              <w:bottom w:val="nil"/>
              <w:right w:val="nil"/>
            </w:tcBorders>
            <w:vAlign w:val="bottom"/>
          </w:tcPr>
          <w:p w14:paraId="245C1B2B" w14:textId="7429F25C" w:rsidR="009B1956" w:rsidRPr="00F36B82" w:rsidRDefault="009B1956" w:rsidP="00F36B82">
            <w:pPr>
              <w:jc w:val="right"/>
              <w:rPr>
                <w:sz w:val="14"/>
                <w:szCs w:val="14"/>
              </w:rPr>
            </w:pPr>
            <w:r w:rsidRPr="00F36B82">
              <w:rPr>
                <w:sz w:val="14"/>
                <w:szCs w:val="14"/>
              </w:rPr>
              <w:t>-</w:t>
            </w:r>
          </w:p>
        </w:tc>
        <w:tc>
          <w:tcPr>
            <w:tcW w:w="647" w:type="dxa"/>
            <w:tcBorders>
              <w:top w:val="nil"/>
              <w:left w:val="nil"/>
              <w:bottom w:val="nil"/>
              <w:right w:val="nil"/>
            </w:tcBorders>
            <w:vAlign w:val="bottom"/>
          </w:tcPr>
          <w:p w14:paraId="7C8B0541" w14:textId="24C83B7B" w:rsidR="009B1956" w:rsidRPr="00F36B82" w:rsidRDefault="009B1956" w:rsidP="00F36B82">
            <w:pPr>
              <w:jc w:val="right"/>
              <w:rPr>
                <w:sz w:val="14"/>
                <w:szCs w:val="14"/>
              </w:rPr>
            </w:pPr>
            <w:r w:rsidRPr="00F36B82">
              <w:rPr>
                <w:sz w:val="14"/>
                <w:szCs w:val="14"/>
              </w:rPr>
              <w:t>-</w:t>
            </w:r>
          </w:p>
        </w:tc>
        <w:tc>
          <w:tcPr>
            <w:tcW w:w="647" w:type="dxa"/>
            <w:tcBorders>
              <w:top w:val="nil"/>
              <w:left w:val="nil"/>
              <w:bottom w:val="nil"/>
              <w:right w:val="nil"/>
            </w:tcBorders>
            <w:vAlign w:val="bottom"/>
          </w:tcPr>
          <w:p w14:paraId="7C557723" w14:textId="5360C7F2" w:rsidR="009B1956" w:rsidRPr="00F36B82" w:rsidRDefault="009B1956" w:rsidP="00F36B82">
            <w:pPr>
              <w:jc w:val="right"/>
              <w:rPr>
                <w:sz w:val="14"/>
                <w:szCs w:val="14"/>
              </w:rPr>
            </w:pPr>
            <w:r w:rsidRPr="00F36B82">
              <w:rPr>
                <w:sz w:val="14"/>
                <w:szCs w:val="14"/>
              </w:rPr>
              <w:t>-</w:t>
            </w:r>
          </w:p>
        </w:tc>
        <w:tc>
          <w:tcPr>
            <w:tcW w:w="647" w:type="dxa"/>
            <w:tcBorders>
              <w:top w:val="nil"/>
              <w:left w:val="nil"/>
              <w:bottom w:val="nil"/>
              <w:right w:val="nil"/>
            </w:tcBorders>
            <w:vAlign w:val="bottom"/>
          </w:tcPr>
          <w:p w14:paraId="75C86289" w14:textId="2BE586E1" w:rsidR="009B1956" w:rsidRPr="00F36B82" w:rsidRDefault="009B1956" w:rsidP="00F36B82">
            <w:pPr>
              <w:jc w:val="right"/>
              <w:rPr>
                <w:sz w:val="14"/>
                <w:szCs w:val="14"/>
              </w:rPr>
            </w:pPr>
            <w:r w:rsidRPr="00F36B82">
              <w:rPr>
                <w:sz w:val="14"/>
                <w:szCs w:val="14"/>
              </w:rPr>
              <w:t>-</w:t>
            </w:r>
          </w:p>
        </w:tc>
        <w:tc>
          <w:tcPr>
            <w:tcW w:w="650" w:type="dxa"/>
            <w:tcBorders>
              <w:top w:val="nil"/>
              <w:left w:val="nil"/>
              <w:bottom w:val="nil"/>
              <w:right w:val="nil"/>
            </w:tcBorders>
            <w:vAlign w:val="bottom"/>
          </w:tcPr>
          <w:p w14:paraId="23792678" w14:textId="45C6EFD5" w:rsidR="009B1956" w:rsidRPr="00F36B82" w:rsidRDefault="009B1956" w:rsidP="00F36B82">
            <w:pPr>
              <w:jc w:val="right"/>
              <w:rPr>
                <w:sz w:val="14"/>
                <w:szCs w:val="14"/>
              </w:rPr>
            </w:pPr>
            <w:r w:rsidRPr="00F36B82">
              <w:rPr>
                <w:sz w:val="14"/>
                <w:szCs w:val="14"/>
              </w:rPr>
              <w:t>-</w:t>
            </w:r>
          </w:p>
        </w:tc>
        <w:tc>
          <w:tcPr>
            <w:tcW w:w="660" w:type="dxa"/>
            <w:tcBorders>
              <w:top w:val="nil"/>
              <w:left w:val="nil"/>
              <w:bottom w:val="nil"/>
              <w:right w:val="nil"/>
            </w:tcBorders>
            <w:vAlign w:val="bottom"/>
          </w:tcPr>
          <w:p w14:paraId="79C59771" w14:textId="16782253" w:rsidR="009B1956" w:rsidRPr="00F36B82" w:rsidRDefault="009B1956" w:rsidP="00F36B82">
            <w:pPr>
              <w:jc w:val="right"/>
              <w:rPr>
                <w:sz w:val="14"/>
                <w:szCs w:val="14"/>
              </w:rPr>
            </w:pPr>
            <w:r w:rsidRPr="00F36B82">
              <w:rPr>
                <w:sz w:val="14"/>
                <w:szCs w:val="14"/>
              </w:rPr>
              <w:t>-</w:t>
            </w:r>
          </w:p>
        </w:tc>
        <w:tc>
          <w:tcPr>
            <w:tcW w:w="674" w:type="dxa"/>
            <w:tcBorders>
              <w:top w:val="nil"/>
              <w:left w:val="nil"/>
              <w:bottom w:val="nil"/>
              <w:right w:val="nil"/>
            </w:tcBorders>
            <w:vAlign w:val="bottom"/>
          </w:tcPr>
          <w:p w14:paraId="2C4FBFB1" w14:textId="6110A4BB" w:rsidR="009B1956" w:rsidRPr="00F36B82" w:rsidRDefault="009B1956" w:rsidP="00F36B82">
            <w:pPr>
              <w:jc w:val="right"/>
              <w:rPr>
                <w:sz w:val="14"/>
                <w:szCs w:val="14"/>
              </w:rPr>
            </w:pPr>
            <w:r w:rsidRPr="00F36B82">
              <w:rPr>
                <w:sz w:val="14"/>
                <w:szCs w:val="14"/>
              </w:rPr>
              <w:t>-</w:t>
            </w:r>
          </w:p>
        </w:tc>
        <w:tc>
          <w:tcPr>
            <w:tcW w:w="860" w:type="dxa"/>
            <w:tcBorders>
              <w:top w:val="nil"/>
              <w:left w:val="nil"/>
              <w:bottom w:val="nil"/>
              <w:right w:val="nil"/>
            </w:tcBorders>
            <w:vAlign w:val="bottom"/>
          </w:tcPr>
          <w:p w14:paraId="0A79A3AC" w14:textId="64E648BD" w:rsidR="009B1956" w:rsidRPr="00F36B82" w:rsidRDefault="009B1956" w:rsidP="00F36B82">
            <w:pPr>
              <w:jc w:val="right"/>
              <w:rPr>
                <w:sz w:val="14"/>
                <w:szCs w:val="14"/>
              </w:rPr>
            </w:pPr>
            <w:r w:rsidRPr="00F36B82">
              <w:rPr>
                <w:sz w:val="14"/>
                <w:szCs w:val="14"/>
              </w:rPr>
              <w:t>-</w:t>
            </w:r>
          </w:p>
        </w:tc>
      </w:tr>
      <w:tr w:rsidR="009B1956" w:rsidRPr="00F36B82" w14:paraId="1B72627C" w14:textId="77777777" w:rsidTr="00F36B82">
        <w:trPr>
          <w:trHeight w:val="206"/>
        </w:trPr>
        <w:tc>
          <w:tcPr>
            <w:tcW w:w="2337" w:type="dxa"/>
            <w:tcBorders>
              <w:top w:val="nil"/>
              <w:left w:val="nil"/>
              <w:bottom w:val="single" w:sz="4" w:space="0" w:color="auto"/>
              <w:right w:val="nil"/>
            </w:tcBorders>
            <w:vAlign w:val="bottom"/>
            <w:hideMark/>
          </w:tcPr>
          <w:p w14:paraId="54D69E0F" w14:textId="77777777" w:rsidR="009B1956" w:rsidRPr="00F36B82" w:rsidRDefault="009B1956" w:rsidP="009B1956">
            <w:pPr>
              <w:ind w:firstLineChars="30" w:firstLine="42"/>
              <w:rPr>
                <w:color w:val="000000"/>
                <w:sz w:val="14"/>
                <w:szCs w:val="14"/>
              </w:rPr>
            </w:pPr>
          </w:p>
        </w:tc>
        <w:tc>
          <w:tcPr>
            <w:tcW w:w="780" w:type="dxa"/>
            <w:tcBorders>
              <w:top w:val="nil"/>
              <w:left w:val="nil"/>
              <w:bottom w:val="single" w:sz="4" w:space="0" w:color="auto"/>
              <w:right w:val="nil"/>
            </w:tcBorders>
            <w:vAlign w:val="bottom"/>
          </w:tcPr>
          <w:p w14:paraId="487A9637" w14:textId="77777777" w:rsidR="009B1956" w:rsidRPr="00F36B82" w:rsidRDefault="009B1956" w:rsidP="00F36B82">
            <w:pPr>
              <w:jc w:val="right"/>
              <w:rPr>
                <w:sz w:val="14"/>
                <w:szCs w:val="14"/>
              </w:rPr>
            </w:pPr>
          </w:p>
        </w:tc>
        <w:tc>
          <w:tcPr>
            <w:tcW w:w="544" w:type="dxa"/>
            <w:tcBorders>
              <w:top w:val="nil"/>
              <w:left w:val="nil"/>
              <w:bottom w:val="single" w:sz="4" w:space="0" w:color="auto"/>
              <w:right w:val="nil"/>
            </w:tcBorders>
            <w:vAlign w:val="bottom"/>
          </w:tcPr>
          <w:p w14:paraId="21E1A3FC" w14:textId="77777777" w:rsidR="009B1956" w:rsidRPr="00F36B82" w:rsidRDefault="009B1956" w:rsidP="00F36B82">
            <w:pPr>
              <w:jc w:val="right"/>
              <w:rPr>
                <w:sz w:val="14"/>
                <w:szCs w:val="14"/>
              </w:rPr>
            </w:pPr>
          </w:p>
        </w:tc>
        <w:tc>
          <w:tcPr>
            <w:tcW w:w="478" w:type="dxa"/>
            <w:tcBorders>
              <w:top w:val="nil"/>
              <w:left w:val="nil"/>
              <w:bottom w:val="single" w:sz="4" w:space="0" w:color="auto"/>
              <w:right w:val="nil"/>
            </w:tcBorders>
            <w:vAlign w:val="bottom"/>
          </w:tcPr>
          <w:p w14:paraId="685CB284" w14:textId="77777777" w:rsidR="009B1956" w:rsidRPr="00F36B82" w:rsidRDefault="009B1956" w:rsidP="00F36B82">
            <w:pPr>
              <w:jc w:val="right"/>
              <w:rPr>
                <w:sz w:val="14"/>
                <w:szCs w:val="14"/>
              </w:rPr>
            </w:pPr>
          </w:p>
        </w:tc>
        <w:tc>
          <w:tcPr>
            <w:tcW w:w="409" w:type="dxa"/>
            <w:tcBorders>
              <w:top w:val="nil"/>
              <w:left w:val="nil"/>
              <w:bottom w:val="single" w:sz="4" w:space="0" w:color="auto"/>
              <w:right w:val="nil"/>
            </w:tcBorders>
            <w:vAlign w:val="bottom"/>
          </w:tcPr>
          <w:p w14:paraId="47396618" w14:textId="77777777" w:rsidR="009B1956" w:rsidRPr="00F36B82" w:rsidRDefault="009B1956" w:rsidP="00F36B82">
            <w:pPr>
              <w:jc w:val="right"/>
              <w:rPr>
                <w:sz w:val="14"/>
                <w:szCs w:val="14"/>
              </w:rPr>
            </w:pPr>
          </w:p>
        </w:tc>
        <w:tc>
          <w:tcPr>
            <w:tcW w:w="709" w:type="dxa"/>
            <w:tcBorders>
              <w:top w:val="nil"/>
              <w:left w:val="nil"/>
              <w:bottom w:val="single" w:sz="4" w:space="0" w:color="auto"/>
              <w:right w:val="nil"/>
            </w:tcBorders>
            <w:vAlign w:val="bottom"/>
          </w:tcPr>
          <w:p w14:paraId="000E6F07" w14:textId="77777777" w:rsidR="009B1956" w:rsidRPr="00F36B82" w:rsidRDefault="009B1956" w:rsidP="00F36B82">
            <w:pPr>
              <w:jc w:val="right"/>
              <w:rPr>
                <w:sz w:val="14"/>
                <w:szCs w:val="14"/>
              </w:rPr>
            </w:pPr>
          </w:p>
        </w:tc>
        <w:tc>
          <w:tcPr>
            <w:tcW w:w="795" w:type="dxa"/>
            <w:tcBorders>
              <w:top w:val="nil"/>
              <w:left w:val="nil"/>
              <w:bottom w:val="single" w:sz="4" w:space="0" w:color="auto"/>
              <w:right w:val="nil"/>
            </w:tcBorders>
            <w:vAlign w:val="bottom"/>
          </w:tcPr>
          <w:p w14:paraId="44C61DE2" w14:textId="77777777" w:rsidR="009B1956" w:rsidRPr="00F36B82" w:rsidRDefault="009B1956" w:rsidP="00F36B82">
            <w:pPr>
              <w:jc w:val="right"/>
              <w:rPr>
                <w:sz w:val="14"/>
                <w:szCs w:val="14"/>
              </w:rPr>
            </w:pPr>
          </w:p>
        </w:tc>
        <w:tc>
          <w:tcPr>
            <w:tcW w:w="908" w:type="dxa"/>
            <w:tcBorders>
              <w:top w:val="nil"/>
              <w:left w:val="nil"/>
              <w:bottom w:val="single" w:sz="4" w:space="0" w:color="auto"/>
              <w:right w:val="nil"/>
            </w:tcBorders>
            <w:vAlign w:val="bottom"/>
          </w:tcPr>
          <w:p w14:paraId="7F7545BC" w14:textId="77777777" w:rsidR="009B1956" w:rsidRPr="00F36B82" w:rsidRDefault="009B1956" w:rsidP="00F36B82">
            <w:pPr>
              <w:jc w:val="right"/>
              <w:rPr>
                <w:sz w:val="14"/>
                <w:szCs w:val="14"/>
              </w:rPr>
            </w:pPr>
          </w:p>
        </w:tc>
        <w:tc>
          <w:tcPr>
            <w:tcW w:w="701" w:type="dxa"/>
            <w:tcBorders>
              <w:top w:val="nil"/>
              <w:left w:val="nil"/>
              <w:bottom w:val="single" w:sz="4" w:space="0" w:color="auto"/>
              <w:right w:val="nil"/>
            </w:tcBorders>
            <w:vAlign w:val="bottom"/>
          </w:tcPr>
          <w:p w14:paraId="51013495" w14:textId="77777777" w:rsidR="009B1956" w:rsidRPr="00F36B82" w:rsidRDefault="009B1956" w:rsidP="00F36B82">
            <w:pPr>
              <w:jc w:val="right"/>
              <w:rPr>
                <w:sz w:val="14"/>
                <w:szCs w:val="14"/>
              </w:rPr>
            </w:pPr>
          </w:p>
        </w:tc>
        <w:tc>
          <w:tcPr>
            <w:tcW w:w="718" w:type="dxa"/>
            <w:tcBorders>
              <w:top w:val="nil"/>
              <w:left w:val="nil"/>
              <w:bottom w:val="single" w:sz="4" w:space="0" w:color="auto"/>
              <w:right w:val="nil"/>
            </w:tcBorders>
            <w:vAlign w:val="bottom"/>
          </w:tcPr>
          <w:p w14:paraId="364B1890" w14:textId="77777777" w:rsidR="009B1956" w:rsidRPr="00F36B82" w:rsidRDefault="009B1956" w:rsidP="00F36B82">
            <w:pPr>
              <w:jc w:val="right"/>
              <w:rPr>
                <w:sz w:val="14"/>
                <w:szCs w:val="14"/>
              </w:rPr>
            </w:pPr>
          </w:p>
        </w:tc>
        <w:tc>
          <w:tcPr>
            <w:tcW w:w="674" w:type="dxa"/>
            <w:tcBorders>
              <w:top w:val="nil"/>
              <w:left w:val="nil"/>
              <w:bottom w:val="single" w:sz="4" w:space="0" w:color="auto"/>
              <w:right w:val="nil"/>
            </w:tcBorders>
            <w:vAlign w:val="bottom"/>
          </w:tcPr>
          <w:p w14:paraId="79FA1D62" w14:textId="77777777" w:rsidR="009B1956" w:rsidRPr="00F36B82" w:rsidRDefault="009B1956" w:rsidP="00F36B82">
            <w:pPr>
              <w:jc w:val="right"/>
              <w:rPr>
                <w:sz w:val="14"/>
                <w:szCs w:val="14"/>
              </w:rPr>
            </w:pPr>
          </w:p>
        </w:tc>
        <w:tc>
          <w:tcPr>
            <w:tcW w:w="734" w:type="dxa"/>
            <w:tcBorders>
              <w:top w:val="nil"/>
              <w:left w:val="nil"/>
              <w:bottom w:val="single" w:sz="4" w:space="0" w:color="auto"/>
              <w:right w:val="nil"/>
            </w:tcBorders>
            <w:vAlign w:val="bottom"/>
          </w:tcPr>
          <w:p w14:paraId="0B4626F9" w14:textId="77777777" w:rsidR="009B1956" w:rsidRPr="00F36B82" w:rsidRDefault="009B1956" w:rsidP="00F36B82">
            <w:pPr>
              <w:jc w:val="right"/>
              <w:rPr>
                <w:sz w:val="14"/>
                <w:szCs w:val="14"/>
              </w:rPr>
            </w:pPr>
          </w:p>
        </w:tc>
        <w:tc>
          <w:tcPr>
            <w:tcW w:w="647" w:type="dxa"/>
            <w:tcBorders>
              <w:top w:val="nil"/>
              <w:left w:val="nil"/>
              <w:bottom w:val="single" w:sz="4" w:space="0" w:color="auto"/>
              <w:right w:val="nil"/>
            </w:tcBorders>
            <w:vAlign w:val="bottom"/>
          </w:tcPr>
          <w:p w14:paraId="1D51E75D" w14:textId="77777777" w:rsidR="009B1956" w:rsidRPr="00F36B82" w:rsidRDefault="009B1956" w:rsidP="00F36B82">
            <w:pPr>
              <w:jc w:val="right"/>
              <w:rPr>
                <w:sz w:val="14"/>
                <w:szCs w:val="14"/>
              </w:rPr>
            </w:pPr>
          </w:p>
        </w:tc>
        <w:tc>
          <w:tcPr>
            <w:tcW w:w="647" w:type="dxa"/>
            <w:tcBorders>
              <w:top w:val="nil"/>
              <w:left w:val="nil"/>
              <w:bottom w:val="single" w:sz="4" w:space="0" w:color="auto"/>
              <w:right w:val="nil"/>
            </w:tcBorders>
            <w:vAlign w:val="bottom"/>
          </w:tcPr>
          <w:p w14:paraId="6A25AA82" w14:textId="77777777" w:rsidR="009B1956" w:rsidRPr="00F36B82" w:rsidRDefault="009B1956" w:rsidP="00F36B82">
            <w:pPr>
              <w:jc w:val="right"/>
              <w:rPr>
                <w:sz w:val="14"/>
                <w:szCs w:val="14"/>
              </w:rPr>
            </w:pPr>
          </w:p>
        </w:tc>
        <w:tc>
          <w:tcPr>
            <w:tcW w:w="647" w:type="dxa"/>
            <w:tcBorders>
              <w:top w:val="nil"/>
              <w:left w:val="nil"/>
              <w:bottom w:val="single" w:sz="4" w:space="0" w:color="auto"/>
              <w:right w:val="nil"/>
            </w:tcBorders>
            <w:vAlign w:val="bottom"/>
          </w:tcPr>
          <w:p w14:paraId="420B2142" w14:textId="77777777" w:rsidR="009B1956" w:rsidRPr="00F36B82" w:rsidRDefault="009B1956" w:rsidP="00F36B82">
            <w:pPr>
              <w:jc w:val="right"/>
              <w:rPr>
                <w:sz w:val="14"/>
                <w:szCs w:val="14"/>
              </w:rPr>
            </w:pPr>
          </w:p>
        </w:tc>
        <w:tc>
          <w:tcPr>
            <w:tcW w:w="650" w:type="dxa"/>
            <w:tcBorders>
              <w:top w:val="nil"/>
              <w:left w:val="nil"/>
              <w:bottom w:val="single" w:sz="4" w:space="0" w:color="auto"/>
              <w:right w:val="nil"/>
            </w:tcBorders>
            <w:vAlign w:val="bottom"/>
          </w:tcPr>
          <w:p w14:paraId="4007A742" w14:textId="77777777" w:rsidR="009B1956" w:rsidRPr="00F36B82" w:rsidRDefault="009B1956" w:rsidP="00F36B82">
            <w:pPr>
              <w:jc w:val="right"/>
              <w:rPr>
                <w:sz w:val="14"/>
                <w:szCs w:val="14"/>
              </w:rPr>
            </w:pPr>
          </w:p>
        </w:tc>
        <w:tc>
          <w:tcPr>
            <w:tcW w:w="660" w:type="dxa"/>
            <w:tcBorders>
              <w:top w:val="nil"/>
              <w:left w:val="nil"/>
              <w:bottom w:val="single" w:sz="4" w:space="0" w:color="auto"/>
              <w:right w:val="nil"/>
            </w:tcBorders>
            <w:vAlign w:val="bottom"/>
          </w:tcPr>
          <w:p w14:paraId="00A8775B" w14:textId="77777777" w:rsidR="009B1956" w:rsidRPr="00F36B82" w:rsidRDefault="009B1956" w:rsidP="00F36B82">
            <w:pPr>
              <w:jc w:val="right"/>
              <w:rPr>
                <w:sz w:val="14"/>
                <w:szCs w:val="14"/>
              </w:rPr>
            </w:pPr>
          </w:p>
        </w:tc>
        <w:tc>
          <w:tcPr>
            <w:tcW w:w="674" w:type="dxa"/>
            <w:tcBorders>
              <w:top w:val="nil"/>
              <w:left w:val="nil"/>
              <w:bottom w:val="single" w:sz="4" w:space="0" w:color="auto"/>
              <w:right w:val="nil"/>
            </w:tcBorders>
            <w:vAlign w:val="bottom"/>
          </w:tcPr>
          <w:p w14:paraId="59F79282" w14:textId="77777777" w:rsidR="009B1956" w:rsidRPr="00F36B82" w:rsidRDefault="009B1956" w:rsidP="00F36B82">
            <w:pPr>
              <w:jc w:val="right"/>
              <w:rPr>
                <w:sz w:val="14"/>
                <w:szCs w:val="14"/>
              </w:rPr>
            </w:pPr>
          </w:p>
        </w:tc>
        <w:tc>
          <w:tcPr>
            <w:tcW w:w="860" w:type="dxa"/>
            <w:tcBorders>
              <w:top w:val="nil"/>
              <w:left w:val="nil"/>
              <w:bottom w:val="single" w:sz="4" w:space="0" w:color="auto"/>
              <w:right w:val="nil"/>
            </w:tcBorders>
            <w:vAlign w:val="bottom"/>
          </w:tcPr>
          <w:p w14:paraId="09BC64C4" w14:textId="77777777" w:rsidR="009B1956" w:rsidRPr="00F36B82" w:rsidRDefault="009B1956" w:rsidP="00F36B82">
            <w:pPr>
              <w:jc w:val="right"/>
              <w:rPr>
                <w:sz w:val="14"/>
                <w:szCs w:val="14"/>
              </w:rPr>
            </w:pPr>
          </w:p>
        </w:tc>
      </w:tr>
      <w:tr w:rsidR="009B1956" w:rsidRPr="00F36B82" w14:paraId="72966A9B" w14:textId="77777777" w:rsidTr="00F36B82">
        <w:trPr>
          <w:trHeight w:val="206"/>
        </w:trPr>
        <w:tc>
          <w:tcPr>
            <w:tcW w:w="2337" w:type="dxa"/>
            <w:tcBorders>
              <w:top w:val="single" w:sz="4" w:space="0" w:color="auto"/>
              <w:left w:val="nil"/>
              <w:bottom w:val="single" w:sz="4" w:space="0" w:color="auto"/>
              <w:right w:val="nil"/>
            </w:tcBorders>
            <w:vAlign w:val="bottom"/>
          </w:tcPr>
          <w:p w14:paraId="0E38FA21" w14:textId="77777777" w:rsidR="009B1956" w:rsidRPr="00F36B82" w:rsidRDefault="009B1956" w:rsidP="009B1956">
            <w:pPr>
              <w:ind w:firstLineChars="30" w:firstLine="42"/>
              <w:rPr>
                <w:b/>
                <w:bCs/>
                <w:color w:val="000000"/>
                <w:sz w:val="14"/>
                <w:szCs w:val="14"/>
              </w:rPr>
            </w:pPr>
            <w:r w:rsidRPr="00F36B82">
              <w:rPr>
                <w:b/>
                <w:bCs/>
                <w:color w:val="000000"/>
                <w:sz w:val="14"/>
                <w:szCs w:val="14"/>
              </w:rPr>
              <w:t>TOPLAM</w:t>
            </w:r>
          </w:p>
        </w:tc>
        <w:tc>
          <w:tcPr>
            <w:tcW w:w="780" w:type="dxa"/>
            <w:tcBorders>
              <w:top w:val="single" w:sz="4" w:space="0" w:color="auto"/>
              <w:left w:val="nil"/>
              <w:bottom w:val="single" w:sz="4" w:space="0" w:color="auto"/>
              <w:right w:val="nil"/>
            </w:tcBorders>
            <w:vAlign w:val="bottom"/>
          </w:tcPr>
          <w:p w14:paraId="3AE0779D" w14:textId="0C0627FB" w:rsidR="009B1956" w:rsidRPr="00F36B82" w:rsidRDefault="009B1956" w:rsidP="00F36B82">
            <w:pPr>
              <w:jc w:val="right"/>
              <w:rPr>
                <w:b/>
                <w:bCs/>
                <w:color w:val="000000"/>
                <w:sz w:val="14"/>
                <w:szCs w:val="14"/>
              </w:rPr>
            </w:pPr>
            <w:r w:rsidRPr="00F36B82">
              <w:rPr>
                <w:b/>
                <w:bCs/>
                <w:sz w:val="14"/>
                <w:szCs w:val="14"/>
              </w:rPr>
              <w:t>4.830.858</w:t>
            </w:r>
          </w:p>
        </w:tc>
        <w:tc>
          <w:tcPr>
            <w:tcW w:w="544" w:type="dxa"/>
            <w:tcBorders>
              <w:top w:val="single" w:sz="4" w:space="0" w:color="auto"/>
              <w:left w:val="nil"/>
              <w:bottom w:val="single" w:sz="4" w:space="0" w:color="auto"/>
              <w:right w:val="nil"/>
            </w:tcBorders>
            <w:vAlign w:val="bottom"/>
          </w:tcPr>
          <w:p w14:paraId="5059A1A5" w14:textId="0C342E4F" w:rsidR="009B1956" w:rsidRPr="00F36B82" w:rsidRDefault="009B1956" w:rsidP="00F36B82">
            <w:pPr>
              <w:jc w:val="right"/>
              <w:rPr>
                <w:b/>
                <w:bCs/>
                <w:color w:val="000000"/>
                <w:sz w:val="14"/>
                <w:szCs w:val="14"/>
              </w:rPr>
            </w:pPr>
            <w:r w:rsidRPr="00F36B82">
              <w:rPr>
                <w:b/>
                <w:bCs/>
                <w:sz w:val="14"/>
                <w:szCs w:val="14"/>
              </w:rPr>
              <w:t>-</w:t>
            </w:r>
          </w:p>
        </w:tc>
        <w:tc>
          <w:tcPr>
            <w:tcW w:w="478" w:type="dxa"/>
            <w:tcBorders>
              <w:top w:val="single" w:sz="4" w:space="0" w:color="auto"/>
              <w:left w:val="nil"/>
              <w:bottom w:val="single" w:sz="4" w:space="0" w:color="auto"/>
              <w:right w:val="nil"/>
            </w:tcBorders>
            <w:vAlign w:val="bottom"/>
          </w:tcPr>
          <w:p w14:paraId="199B0817" w14:textId="023A291D" w:rsidR="009B1956" w:rsidRPr="00F36B82" w:rsidRDefault="009B1956" w:rsidP="00F36B82">
            <w:pPr>
              <w:jc w:val="right"/>
              <w:rPr>
                <w:b/>
                <w:bCs/>
                <w:color w:val="000000"/>
                <w:sz w:val="14"/>
                <w:szCs w:val="14"/>
              </w:rPr>
            </w:pPr>
            <w:r w:rsidRPr="00F36B82">
              <w:rPr>
                <w:b/>
                <w:bCs/>
                <w:sz w:val="14"/>
                <w:szCs w:val="14"/>
              </w:rPr>
              <w:t>-</w:t>
            </w:r>
          </w:p>
        </w:tc>
        <w:tc>
          <w:tcPr>
            <w:tcW w:w="409" w:type="dxa"/>
            <w:tcBorders>
              <w:top w:val="single" w:sz="4" w:space="0" w:color="auto"/>
              <w:left w:val="nil"/>
              <w:bottom w:val="single" w:sz="4" w:space="0" w:color="auto"/>
              <w:right w:val="nil"/>
            </w:tcBorders>
            <w:vAlign w:val="bottom"/>
          </w:tcPr>
          <w:p w14:paraId="6B922954" w14:textId="3DF8DD25" w:rsidR="009B1956" w:rsidRPr="00F36B82" w:rsidRDefault="009B1956" w:rsidP="00F36B82">
            <w:pPr>
              <w:jc w:val="right"/>
              <w:rPr>
                <w:b/>
                <w:bCs/>
                <w:color w:val="000000"/>
                <w:sz w:val="14"/>
                <w:szCs w:val="14"/>
              </w:rPr>
            </w:pPr>
            <w:r w:rsidRPr="00F36B82">
              <w:rPr>
                <w:b/>
                <w:bCs/>
                <w:sz w:val="14"/>
                <w:szCs w:val="14"/>
              </w:rPr>
              <w:t>-</w:t>
            </w:r>
          </w:p>
        </w:tc>
        <w:tc>
          <w:tcPr>
            <w:tcW w:w="709" w:type="dxa"/>
            <w:tcBorders>
              <w:top w:val="single" w:sz="4" w:space="0" w:color="auto"/>
              <w:left w:val="nil"/>
              <w:bottom w:val="single" w:sz="4" w:space="0" w:color="auto"/>
              <w:right w:val="nil"/>
            </w:tcBorders>
            <w:vAlign w:val="bottom"/>
          </w:tcPr>
          <w:p w14:paraId="61486696" w14:textId="728ED319" w:rsidR="009B1956" w:rsidRPr="00F36B82" w:rsidRDefault="009B1956" w:rsidP="00F36B82">
            <w:pPr>
              <w:jc w:val="right"/>
              <w:rPr>
                <w:b/>
                <w:bCs/>
                <w:color w:val="000000"/>
                <w:sz w:val="14"/>
                <w:szCs w:val="14"/>
              </w:rPr>
            </w:pPr>
            <w:r w:rsidRPr="00F36B82">
              <w:rPr>
                <w:b/>
                <w:bCs/>
                <w:sz w:val="14"/>
                <w:szCs w:val="14"/>
              </w:rPr>
              <w:t>-</w:t>
            </w:r>
          </w:p>
        </w:tc>
        <w:tc>
          <w:tcPr>
            <w:tcW w:w="795" w:type="dxa"/>
            <w:tcBorders>
              <w:top w:val="single" w:sz="4" w:space="0" w:color="auto"/>
              <w:left w:val="nil"/>
              <w:bottom w:val="single" w:sz="4" w:space="0" w:color="auto"/>
              <w:right w:val="nil"/>
            </w:tcBorders>
            <w:vAlign w:val="bottom"/>
          </w:tcPr>
          <w:p w14:paraId="31947810" w14:textId="3B9785AE" w:rsidR="009B1956" w:rsidRPr="00F36B82" w:rsidRDefault="009B1956" w:rsidP="00F36B82">
            <w:pPr>
              <w:jc w:val="right"/>
              <w:rPr>
                <w:b/>
                <w:bCs/>
                <w:color w:val="000000"/>
                <w:sz w:val="14"/>
                <w:szCs w:val="14"/>
              </w:rPr>
            </w:pPr>
            <w:r w:rsidRPr="00F36B82">
              <w:rPr>
                <w:b/>
                <w:bCs/>
                <w:sz w:val="14"/>
                <w:szCs w:val="14"/>
              </w:rPr>
              <w:t>5.221.722</w:t>
            </w:r>
          </w:p>
        </w:tc>
        <w:tc>
          <w:tcPr>
            <w:tcW w:w="908" w:type="dxa"/>
            <w:tcBorders>
              <w:top w:val="single" w:sz="4" w:space="0" w:color="auto"/>
              <w:left w:val="nil"/>
              <w:bottom w:val="single" w:sz="4" w:space="0" w:color="auto"/>
              <w:right w:val="nil"/>
            </w:tcBorders>
            <w:vAlign w:val="bottom"/>
          </w:tcPr>
          <w:p w14:paraId="27CEC30C" w14:textId="21FC4539" w:rsidR="009B1956" w:rsidRPr="00F36B82" w:rsidRDefault="009B1956" w:rsidP="00F36B82">
            <w:pPr>
              <w:jc w:val="right"/>
              <w:rPr>
                <w:b/>
                <w:bCs/>
                <w:color w:val="000000"/>
                <w:sz w:val="14"/>
                <w:szCs w:val="14"/>
              </w:rPr>
            </w:pPr>
            <w:r w:rsidRPr="00F36B82">
              <w:rPr>
                <w:b/>
                <w:bCs/>
                <w:sz w:val="14"/>
                <w:szCs w:val="14"/>
              </w:rPr>
              <w:t>13.423.540</w:t>
            </w:r>
          </w:p>
        </w:tc>
        <w:tc>
          <w:tcPr>
            <w:tcW w:w="701" w:type="dxa"/>
            <w:tcBorders>
              <w:top w:val="single" w:sz="4" w:space="0" w:color="auto"/>
              <w:left w:val="nil"/>
              <w:bottom w:val="single" w:sz="4" w:space="0" w:color="auto"/>
              <w:right w:val="nil"/>
            </w:tcBorders>
            <w:vAlign w:val="bottom"/>
          </w:tcPr>
          <w:p w14:paraId="421D76E8" w14:textId="05FC21F8" w:rsidR="009B1956" w:rsidRPr="00F36B82" w:rsidRDefault="009B1956" w:rsidP="00F36B82">
            <w:pPr>
              <w:jc w:val="right"/>
              <w:rPr>
                <w:b/>
                <w:bCs/>
                <w:color w:val="000000"/>
                <w:sz w:val="14"/>
                <w:szCs w:val="14"/>
              </w:rPr>
            </w:pPr>
            <w:r w:rsidRPr="00F36B82">
              <w:rPr>
                <w:b/>
                <w:bCs/>
                <w:sz w:val="14"/>
                <w:szCs w:val="14"/>
              </w:rPr>
              <w:t>-</w:t>
            </w:r>
          </w:p>
        </w:tc>
        <w:tc>
          <w:tcPr>
            <w:tcW w:w="718" w:type="dxa"/>
            <w:tcBorders>
              <w:top w:val="single" w:sz="4" w:space="0" w:color="auto"/>
              <w:left w:val="nil"/>
              <w:bottom w:val="single" w:sz="4" w:space="0" w:color="auto"/>
              <w:right w:val="nil"/>
            </w:tcBorders>
            <w:vAlign w:val="bottom"/>
          </w:tcPr>
          <w:p w14:paraId="7F676A0F" w14:textId="5927674C" w:rsidR="009B1956" w:rsidRPr="00F36B82" w:rsidRDefault="009B1956" w:rsidP="00F36B82">
            <w:pPr>
              <w:jc w:val="right"/>
              <w:rPr>
                <w:b/>
                <w:bCs/>
                <w:color w:val="000000"/>
                <w:sz w:val="14"/>
                <w:szCs w:val="14"/>
              </w:rPr>
            </w:pPr>
            <w:r w:rsidRPr="00F36B82">
              <w:rPr>
                <w:b/>
                <w:bCs/>
                <w:sz w:val="14"/>
                <w:szCs w:val="14"/>
              </w:rPr>
              <w:t>709.613</w:t>
            </w:r>
          </w:p>
        </w:tc>
        <w:tc>
          <w:tcPr>
            <w:tcW w:w="674" w:type="dxa"/>
            <w:tcBorders>
              <w:top w:val="single" w:sz="4" w:space="0" w:color="auto"/>
              <w:left w:val="nil"/>
              <w:bottom w:val="single" w:sz="4" w:space="0" w:color="auto"/>
              <w:right w:val="nil"/>
            </w:tcBorders>
            <w:vAlign w:val="bottom"/>
          </w:tcPr>
          <w:p w14:paraId="3D5CC21A" w14:textId="7CBE4C65" w:rsidR="009B1956" w:rsidRPr="00F36B82" w:rsidRDefault="009B1956" w:rsidP="00F36B82">
            <w:pPr>
              <w:jc w:val="right"/>
              <w:rPr>
                <w:b/>
                <w:bCs/>
                <w:sz w:val="14"/>
                <w:szCs w:val="14"/>
              </w:rPr>
            </w:pPr>
            <w:r w:rsidRPr="00F36B82">
              <w:rPr>
                <w:b/>
                <w:bCs/>
                <w:sz w:val="14"/>
                <w:szCs w:val="14"/>
              </w:rPr>
              <w:t>-</w:t>
            </w:r>
          </w:p>
        </w:tc>
        <w:tc>
          <w:tcPr>
            <w:tcW w:w="734" w:type="dxa"/>
            <w:tcBorders>
              <w:top w:val="single" w:sz="4" w:space="0" w:color="auto"/>
              <w:left w:val="nil"/>
              <w:bottom w:val="single" w:sz="4" w:space="0" w:color="auto"/>
              <w:right w:val="nil"/>
            </w:tcBorders>
            <w:vAlign w:val="bottom"/>
          </w:tcPr>
          <w:p w14:paraId="2A8F34A4" w14:textId="41EB4C1D" w:rsidR="009B1956" w:rsidRPr="00F36B82" w:rsidRDefault="009B1956" w:rsidP="00F36B82">
            <w:pPr>
              <w:jc w:val="right"/>
              <w:rPr>
                <w:b/>
                <w:bCs/>
                <w:color w:val="000000"/>
                <w:sz w:val="14"/>
                <w:szCs w:val="14"/>
              </w:rPr>
            </w:pPr>
            <w:r w:rsidRPr="00F36B82">
              <w:rPr>
                <w:b/>
                <w:bCs/>
                <w:sz w:val="14"/>
                <w:szCs w:val="14"/>
              </w:rPr>
              <w:t>27.648</w:t>
            </w:r>
          </w:p>
        </w:tc>
        <w:tc>
          <w:tcPr>
            <w:tcW w:w="647" w:type="dxa"/>
            <w:tcBorders>
              <w:top w:val="single" w:sz="4" w:space="0" w:color="auto"/>
              <w:left w:val="nil"/>
              <w:bottom w:val="single" w:sz="4" w:space="0" w:color="auto"/>
              <w:right w:val="nil"/>
            </w:tcBorders>
            <w:vAlign w:val="bottom"/>
          </w:tcPr>
          <w:p w14:paraId="52E33F35" w14:textId="2CDD10D0" w:rsidR="009B1956" w:rsidRPr="00F36B82" w:rsidRDefault="009B1956" w:rsidP="00F36B82">
            <w:pPr>
              <w:jc w:val="right"/>
              <w:rPr>
                <w:b/>
                <w:bCs/>
                <w:color w:val="000000"/>
                <w:sz w:val="14"/>
                <w:szCs w:val="14"/>
              </w:rPr>
            </w:pPr>
            <w:r w:rsidRPr="00F36B82">
              <w:rPr>
                <w:b/>
                <w:bCs/>
                <w:sz w:val="14"/>
                <w:szCs w:val="14"/>
              </w:rPr>
              <w:t>-</w:t>
            </w:r>
          </w:p>
        </w:tc>
        <w:tc>
          <w:tcPr>
            <w:tcW w:w="647" w:type="dxa"/>
            <w:tcBorders>
              <w:top w:val="single" w:sz="4" w:space="0" w:color="auto"/>
              <w:left w:val="nil"/>
              <w:bottom w:val="single" w:sz="4" w:space="0" w:color="auto"/>
              <w:right w:val="nil"/>
            </w:tcBorders>
            <w:vAlign w:val="bottom"/>
          </w:tcPr>
          <w:p w14:paraId="72FCC6F7" w14:textId="5F007BB2" w:rsidR="009B1956" w:rsidRPr="00F36B82" w:rsidRDefault="009B1956" w:rsidP="00F36B82">
            <w:pPr>
              <w:jc w:val="right"/>
              <w:rPr>
                <w:b/>
                <w:bCs/>
                <w:color w:val="000000"/>
                <w:sz w:val="14"/>
                <w:szCs w:val="14"/>
              </w:rPr>
            </w:pPr>
            <w:r w:rsidRPr="00F36B82">
              <w:rPr>
                <w:b/>
                <w:bCs/>
                <w:sz w:val="14"/>
                <w:szCs w:val="14"/>
              </w:rPr>
              <w:t>-</w:t>
            </w:r>
          </w:p>
        </w:tc>
        <w:tc>
          <w:tcPr>
            <w:tcW w:w="647" w:type="dxa"/>
            <w:tcBorders>
              <w:top w:val="single" w:sz="4" w:space="0" w:color="auto"/>
              <w:left w:val="nil"/>
              <w:bottom w:val="single" w:sz="4" w:space="0" w:color="auto"/>
              <w:right w:val="nil"/>
            </w:tcBorders>
            <w:vAlign w:val="bottom"/>
          </w:tcPr>
          <w:p w14:paraId="6669F574" w14:textId="0F0AD678" w:rsidR="009B1956" w:rsidRPr="00F36B82" w:rsidRDefault="009B1956" w:rsidP="00F36B82">
            <w:pPr>
              <w:jc w:val="right"/>
              <w:rPr>
                <w:b/>
                <w:bCs/>
                <w:color w:val="000000"/>
                <w:sz w:val="14"/>
                <w:szCs w:val="14"/>
              </w:rPr>
            </w:pPr>
            <w:r w:rsidRPr="00F36B82">
              <w:rPr>
                <w:b/>
                <w:bCs/>
                <w:sz w:val="14"/>
                <w:szCs w:val="14"/>
              </w:rPr>
              <w:t>-</w:t>
            </w:r>
          </w:p>
        </w:tc>
        <w:tc>
          <w:tcPr>
            <w:tcW w:w="650" w:type="dxa"/>
            <w:tcBorders>
              <w:top w:val="single" w:sz="4" w:space="0" w:color="auto"/>
              <w:left w:val="nil"/>
              <w:bottom w:val="single" w:sz="4" w:space="0" w:color="auto"/>
              <w:right w:val="nil"/>
            </w:tcBorders>
            <w:vAlign w:val="bottom"/>
          </w:tcPr>
          <w:p w14:paraId="09FA4992" w14:textId="7B9569E2" w:rsidR="009B1956" w:rsidRPr="00F36B82" w:rsidRDefault="009B1956" w:rsidP="00F36B82">
            <w:pPr>
              <w:jc w:val="right"/>
              <w:rPr>
                <w:b/>
                <w:bCs/>
                <w:color w:val="000000"/>
                <w:sz w:val="14"/>
                <w:szCs w:val="14"/>
              </w:rPr>
            </w:pPr>
            <w:r w:rsidRPr="00F36B82">
              <w:rPr>
                <w:b/>
                <w:bCs/>
                <w:sz w:val="14"/>
                <w:szCs w:val="14"/>
              </w:rPr>
              <w:t>948</w:t>
            </w:r>
          </w:p>
        </w:tc>
        <w:tc>
          <w:tcPr>
            <w:tcW w:w="660" w:type="dxa"/>
            <w:tcBorders>
              <w:top w:val="single" w:sz="4" w:space="0" w:color="auto"/>
              <w:left w:val="nil"/>
              <w:bottom w:val="single" w:sz="4" w:space="0" w:color="auto"/>
              <w:right w:val="nil"/>
            </w:tcBorders>
            <w:vAlign w:val="bottom"/>
          </w:tcPr>
          <w:p w14:paraId="61E52520" w14:textId="1B1EB928" w:rsidR="009B1956" w:rsidRPr="00F36B82" w:rsidRDefault="009B1956" w:rsidP="00F36B82">
            <w:pPr>
              <w:jc w:val="right"/>
              <w:rPr>
                <w:b/>
                <w:bCs/>
                <w:color w:val="000000"/>
                <w:sz w:val="14"/>
                <w:szCs w:val="14"/>
              </w:rPr>
            </w:pPr>
            <w:r w:rsidRPr="00F36B82">
              <w:rPr>
                <w:b/>
                <w:bCs/>
                <w:sz w:val="14"/>
                <w:szCs w:val="14"/>
              </w:rPr>
              <w:t>1.265</w:t>
            </w:r>
          </w:p>
        </w:tc>
        <w:tc>
          <w:tcPr>
            <w:tcW w:w="674" w:type="dxa"/>
            <w:tcBorders>
              <w:top w:val="single" w:sz="4" w:space="0" w:color="auto"/>
              <w:left w:val="nil"/>
              <w:bottom w:val="single" w:sz="4" w:space="0" w:color="auto"/>
              <w:right w:val="nil"/>
            </w:tcBorders>
            <w:vAlign w:val="bottom"/>
          </w:tcPr>
          <w:p w14:paraId="2ECE3A95" w14:textId="3CA0F3BB" w:rsidR="009B1956" w:rsidRPr="00F36B82" w:rsidRDefault="009B1956" w:rsidP="00F36B82">
            <w:pPr>
              <w:jc w:val="right"/>
              <w:rPr>
                <w:b/>
                <w:bCs/>
                <w:color w:val="000000"/>
                <w:sz w:val="14"/>
                <w:szCs w:val="14"/>
              </w:rPr>
            </w:pPr>
            <w:r w:rsidRPr="00F36B82">
              <w:rPr>
                <w:b/>
                <w:bCs/>
                <w:sz w:val="14"/>
                <w:szCs w:val="14"/>
              </w:rPr>
              <w:t>991.124</w:t>
            </w:r>
          </w:p>
        </w:tc>
        <w:tc>
          <w:tcPr>
            <w:tcW w:w="860" w:type="dxa"/>
            <w:tcBorders>
              <w:top w:val="single" w:sz="4" w:space="0" w:color="auto"/>
              <w:left w:val="nil"/>
              <w:bottom w:val="single" w:sz="4" w:space="0" w:color="auto"/>
              <w:right w:val="nil"/>
            </w:tcBorders>
            <w:vAlign w:val="bottom"/>
          </w:tcPr>
          <w:p w14:paraId="38AA2691" w14:textId="417C52CA" w:rsidR="009B1956" w:rsidRPr="00F36B82" w:rsidRDefault="009B1956" w:rsidP="00F36B82">
            <w:pPr>
              <w:jc w:val="right"/>
              <w:rPr>
                <w:b/>
                <w:bCs/>
                <w:color w:val="000000"/>
                <w:sz w:val="14"/>
                <w:szCs w:val="14"/>
              </w:rPr>
            </w:pPr>
            <w:r w:rsidRPr="00F36B82">
              <w:rPr>
                <w:b/>
                <w:bCs/>
                <w:sz w:val="14"/>
                <w:szCs w:val="14"/>
              </w:rPr>
              <w:t>25.206.718</w:t>
            </w:r>
          </w:p>
        </w:tc>
      </w:tr>
    </w:tbl>
    <w:bookmarkEnd w:id="46"/>
    <w:p w14:paraId="0F84A5A9" w14:textId="77777777" w:rsidR="00F91828" w:rsidRPr="00471CBA" w:rsidRDefault="00F91828" w:rsidP="00F91828">
      <w:pPr>
        <w:rPr>
          <w:sz w:val="14"/>
          <w:szCs w:val="14"/>
        </w:rPr>
      </w:pPr>
      <w:r w:rsidRPr="00471CBA">
        <w:rPr>
          <w:sz w:val="14"/>
          <w:szCs w:val="14"/>
          <w:vertAlign w:val="superscript"/>
        </w:rPr>
        <w:t>(*)</w:t>
      </w:r>
      <w:r w:rsidRPr="00471CBA">
        <w:rPr>
          <w:sz w:val="14"/>
          <w:szCs w:val="14"/>
        </w:rPr>
        <w:tab/>
        <w:t xml:space="preserve">Bankaların Sermaye Yeterliliğinin Ölçülmesine ve Değerlendirilmesine İlişkin Yönetmelikte yer alan risk sınıfları dikkate alınacaktır. </w:t>
      </w:r>
    </w:p>
    <w:p w14:paraId="6ED406DA" w14:textId="77777777" w:rsidR="00F91828" w:rsidRPr="00471CBA" w:rsidRDefault="00F91828" w:rsidP="00F91828">
      <w:pPr>
        <w:rPr>
          <w:sz w:val="14"/>
          <w:szCs w:val="14"/>
        </w:rPr>
      </w:pPr>
      <w:r w:rsidRPr="00471CBA">
        <w:rPr>
          <w:sz w:val="14"/>
          <w:szCs w:val="14"/>
          <w:vertAlign w:val="superscript"/>
        </w:rPr>
        <w:t>(**)</w:t>
      </w:r>
      <w:r w:rsidRPr="00471CBA">
        <w:rPr>
          <w:sz w:val="14"/>
          <w:szCs w:val="14"/>
        </w:rPr>
        <w:tab/>
        <w:t xml:space="preserve">AB ülkeleri, ABD ve Kanada dışındaki OECD ülkeleri </w:t>
      </w:r>
    </w:p>
    <w:p w14:paraId="5717DDD1" w14:textId="77777777" w:rsidR="00F91828" w:rsidRPr="00471CBA" w:rsidRDefault="00F91828" w:rsidP="00F91828">
      <w:pPr>
        <w:rPr>
          <w:sz w:val="14"/>
          <w:szCs w:val="14"/>
        </w:rPr>
      </w:pPr>
      <w:r w:rsidRPr="00471CBA">
        <w:rPr>
          <w:sz w:val="14"/>
          <w:szCs w:val="14"/>
          <w:vertAlign w:val="superscript"/>
        </w:rPr>
        <w:t>(***)</w:t>
      </w:r>
      <w:r w:rsidRPr="00471CBA">
        <w:rPr>
          <w:sz w:val="14"/>
          <w:szCs w:val="14"/>
        </w:rPr>
        <w:tab/>
        <w:t>Tutarlı bir esasa göre bölümlere dağıtılamayan varlık ve yükümlülükler</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4801"/>
        <w:gridCol w:w="5943"/>
      </w:tblGrid>
      <w:tr w:rsidR="00F91828" w:rsidRPr="00471CBA" w14:paraId="7CD22043" w14:textId="77777777" w:rsidTr="00B0049C">
        <w:tc>
          <w:tcPr>
            <w:tcW w:w="3828" w:type="dxa"/>
          </w:tcPr>
          <w:p w14:paraId="49A5883F" w14:textId="77777777" w:rsidR="00F91828" w:rsidRPr="00471CBA" w:rsidRDefault="00F91828" w:rsidP="00B0049C">
            <w:pPr>
              <w:rPr>
                <w:sz w:val="12"/>
                <w:szCs w:val="16"/>
              </w:rPr>
            </w:pPr>
            <w:r w:rsidRPr="00471CBA">
              <w:rPr>
                <w:sz w:val="12"/>
                <w:szCs w:val="16"/>
              </w:rPr>
              <w:t>1- Merkezi yönetimlerden veya merkez bankalarından alacaklar</w:t>
            </w:r>
          </w:p>
          <w:p w14:paraId="6E68B33F" w14:textId="77777777" w:rsidR="00F91828" w:rsidRPr="00471CBA" w:rsidRDefault="00F91828" w:rsidP="00B0049C">
            <w:pPr>
              <w:rPr>
                <w:sz w:val="12"/>
                <w:szCs w:val="16"/>
              </w:rPr>
            </w:pPr>
            <w:r w:rsidRPr="00471CBA">
              <w:rPr>
                <w:sz w:val="12"/>
                <w:szCs w:val="16"/>
              </w:rPr>
              <w:t>2- Bölgesel yönetimlerden veya yerel yönetimlerden alacaklar</w:t>
            </w:r>
          </w:p>
          <w:p w14:paraId="41B17A56" w14:textId="77777777" w:rsidR="00F91828" w:rsidRPr="00471CBA" w:rsidRDefault="00F91828" w:rsidP="00B0049C">
            <w:pPr>
              <w:rPr>
                <w:sz w:val="12"/>
                <w:szCs w:val="16"/>
              </w:rPr>
            </w:pPr>
            <w:r w:rsidRPr="00471CBA">
              <w:rPr>
                <w:sz w:val="12"/>
                <w:szCs w:val="16"/>
              </w:rPr>
              <w:t>3- İdari birimlerden ve ticari olmayan girişimlerden alacaklar</w:t>
            </w:r>
          </w:p>
          <w:p w14:paraId="50AF1839" w14:textId="77777777" w:rsidR="00F91828" w:rsidRPr="00471CBA" w:rsidRDefault="00F91828" w:rsidP="00B0049C">
            <w:pPr>
              <w:rPr>
                <w:sz w:val="12"/>
                <w:szCs w:val="16"/>
              </w:rPr>
            </w:pPr>
            <w:r w:rsidRPr="00471CBA">
              <w:rPr>
                <w:sz w:val="12"/>
                <w:szCs w:val="16"/>
              </w:rPr>
              <w:t>4- Çok taraflı kalkınma bankalarından alacaklar</w:t>
            </w:r>
          </w:p>
          <w:p w14:paraId="68411A85" w14:textId="77777777" w:rsidR="00F91828" w:rsidRPr="00471CBA" w:rsidRDefault="00F91828" w:rsidP="00B0049C">
            <w:pPr>
              <w:rPr>
                <w:sz w:val="12"/>
                <w:szCs w:val="16"/>
              </w:rPr>
            </w:pPr>
            <w:r w:rsidRPr="00471CBA">
              <w:rPr>
                <w:sz w:val="12"/>
                <w:szCs w:val="16"/>
              </w:rPr>
              <w:t>5- Uluslararası teşkilatlardan alacaklar</w:t>
            </w:r>
          </w:p>
          <w:p w14:paraId="24A35C06" w14:textId="77777777" w:rsidR="00F91828" w:rsidRPr="00471CBA" w:rsidRDefault="00F91828" w:rsidP="00B0049C">
            <w:pPr>
              <w:rPr>
                <w:sz w:val="12"/>
                <w:szCs w:val="16"/>
              </w:rPr>
            </w:pPr>
            <w:r w:rsidRPr="00471CBA">
              <w:rPr>
                <w:sz w:val="12"/>
                <w:szCs w:val="16"/>
              </w:rPr>
              <w:t>6- Bankalar ve aracı kurumlardan alacaklar</w:t>
            </w:r>
          </w:p>
        </w:tc>
        <w:tc>
          <w:tcPr>
            <w:tcW w:w="4801" w:type="dxa"/>
          </w:tcPr>
          <w:p w14:paraId="2A0E27C0" w14:textId="77777777" w:rsidR="00F91828" w:rsidRPr="00471CBA" w:rsidRDefault="00F91828" w:rsidP="00B0049C">
            <w:pPr>
              <w:rPr>
                <w:sz w:val="12"/>
                <w:szCs w:val="16"/>
              </w:rPr>
            </w:pPr>
            <w:r w:rsidRPr="00471CBA">
              <w:rPr>
                <w:sz w:val="12"/>
                <w:szCs w:val="16"/>
              </w:rPr>
              <w:t>7- Kurumsal alacaklar</w:t>
            </w:r>
          </w:p>
          <w:p w14:paraId="7C17B4DB" w14:textId="77777777" w:rsidR="00F91828" w:rsidRPr="00471CBA" w:rsidRDefault="00F91828" w:rsidP="00B0049C">
            <w:pPr>
              <w:rPr>
                <w:sz w:val="12"/>
                <w:szCs w:val="16"/>
              </w:rPr>
            </w:pPr>
            <w:r w:rsidRPr="00471CBA">
              <w:rPr>
                <w:sz w:val="12"/>
                <w:szCs w:val="16"/>
              </w:rPr>
              <w:t>8- Perakende alacaklar</w:t>
            </w:r>
          </w:p>
          <w:p w14:paraId="34823A08" w14:textId="77777777" w:rsidR="00F91828" w:rsidRPr="00471CBA" w:rsidRDefault="00F91828" w:rsidP="00B0049C">
            <w:pPr>
              <w:rPr>
                <w:sz w:val="12"/>
                <w:szCs w:val="16"/>
              </w:rPr>
            </w:pPr>
            <w:r w:rsidRPr="00471CBA">
              <w:rPr>
                <w:sz w:val="12"/>
                <w:szCs w:val="16"/>
              </w:rPr>
              <w:t>9- Gayrimenkul ipoteğiyle teminatlandırılmış alacaklar</w:t>
            </w:r>
          </w:p>
          <w:p w14:paraId="02F92425" w14:textId="77777777" w:rsidR="00F91828" w:rsidRPr="00471CBA" w:rsidRDefault="00F91828" w:rsidP="00B0049C">
            <w:pPr>
              <w:rPr>
                <w:sz w:val="12"/>
                <w:szCs w:val="16"/>
              </w:rPr>
            </w:pPr>
            <w:r w:rsidRPr="00471CBA">
              <w:rPr>
                <w:sz w:val="12"/>
                <w:szCs w:val="16"/>
              </w:rPr>
              <w:t>10- Tahsili gecikmiş alacaklar</w:t>
            </w:r>
          </w:p>
          <w:p w14:paraId="2AEC4DC0" w14:textId="77777777" w:rsidR="00F91828" w:rsidRPr="00471CBA" w:rsidRDefault="00F91828" w:rsidP="00B0049C">
            <w:pPr>
              <w:rPr>
                <w:sz w:val="12"/>
                <w:szCs w:val="16"/>
              </w:rPr>
            </w:pPr>
            <w:r w:rsidRPr="00471CBA">
              <w:rPr>
                <w:sz w:val="12"/>
                <w:szCs w:val="16"/>
              </w:rPr>
              <w:t>11- Kurulca riski yüksek olarak belirlenen alacaklar</w:t>
            </w:r>
          </w:p>
          <w:p w14:paraId="466F7BF8" w14:textId="77777777" w:rsidR="00F91828" w:rsidRPr="00471CBA" w:rsidRDefault="00F91828" w:rsidP="00B0049C">
            <w:pPr>
              <w:rPr>
                <w:sz w:val="12"/>
                <w:szCs w:val="16"/>
              </w:rPr>
            </w:pPr>
            <w:r w:rsidRPr="00471CBA">
              <w:rPr>
                <w:sz w:val="12"/>
                <w:szCs w:val="16"/>
              </w:rPr>
              <w:t>12- Teminatlı menkul kıymetler</w:t>
            </w:r>
          </w:p>
        </w:tc>
        <w:tc>
          <w:tcPr>
            <w:tcW w:w="5943" w:type="dxa"/>
          </w:tcPr>
          <w:p w14:paraId="3DF3B2EF" w14:textId="77777777" w:rsidR="00F91828" w:rsidRPr="00471CBA" w:rsidRDefault="00F91828" w:rsidP="00B0049C">
            <w:pPr>
              <w:rPr>
                <w:sz w:val="12"/>
                <w:szCs w:val="16"/>
              </w:rPr>
            </w:pPr>
            <w:r w:rsidRPr="00471CBA">
              <w:rPr>
                <w:sz w:val="12"/>
                <w:szCs w:val="16"/>
              </w:rPr>
              <w:t>13- Menkul kıymetleştirme pozisyonları</w:t>
            </w:r>
          </w:p>
          <w:p w14:paraId="49244C7F" w14:textId="77777777" w:rsidR="00F91828" w:rsidRPr="00471CBA" w:rsidRDefault="00F91828" w:rsidP="00B0049C">
            <w:pPr>
              <w:rPr>
                <w:sz w:val="12"/>
                <w:szCs w:val="16"/>
              </w:rPr>
            </w:pPr>
            <w:r w:rsidRPr="00471CBA">
              <w:rPr>
                <w:sz w:val="12"/>
                <w:szCs w:val="16"/>
              </w:rPr>
              <w:t>14- Bankalar ve aracı kurumlardan olan kısa vadeli alacaklar ile kısa vadeli kurumsal alacaklar</w:t>
            </w:r>
          </w:p>
          <w:p w14:paraId="10977D88" w14:textId="77777777" w:rsidR="00F91828" w:rsidRPr="00471CBA" w:rsidRDefault="00F91828" w:rsidP="00B0049C">
            <w:pPr>
              <w:rPr>
                <w:sz w:val="12"/>
                <w:szCs w:val="16"/>
              </w:rPr>
            </w:pPr>
            <w:r w:rsidRPr="00471CBA">
              <w:rPr>
                <w:sz w:val="12"/>
                <w:szCs w:val="16"/>
              </w:rPr>
              <w:t>15- Kolektif yatırım kuruluşu niteliğindeki yatırımlar</w:t>
            </w:r>
          </w:p>
          <w:p w14:paraId="1EB77245" w14:textId="77777777" w:rsidR="00F91828" w:rsidRPr="00471CBA" w:rsidRDefault="00F91828" w:rsidP="00B0049C">
            <w:pPr>
              <w:rPr>
                <w:sz w:val="12"/>
                <w:szCs w:val="16"/>
              </w:rPr>
            </w:pPr>
            <w:r w:rsidRPr="00471CBA">
              <w:rPr>
                <w:sz w:val="12"/>
                <w:szCs w:val="16"/>
              </w:rPr>
              <w:t>16- Hisse senedi yatırımları</w:t>
            </w:r>
          </w:p>
          <w:p w14:paraId="7EA78CD1" w14:textId="77777777" w:rsidR="00F91828" w:rsidRPr="00471CBA" w:rsidRDefault="00F91828" w:rsidP="00B0049C">
            <w:pPr>
              <w:rPr>
                <w:sz w:val="12"/>
                <w:szCs w:val="16"/>
              </w:rPr>
            </w:pPr>
            <w:r w:rsidRPr="00471CBA">
              <w:rPr>
                <w:sz w:val="12"/>
                <w:szCs w:val="16"/>
              </w:rPr>
              <w:t>17- Diğer alacaklar</w:t>
            </w:r>
          </w:p>
        </w:tc>
      </w:tr>
    </w:tbl>
    <w:p w14:paraId="2AB245BA" w14:textId="77777777" w:rsidR="00F36B82" w:rsidRDefault="00F36B82" w:rsidP="0074045F">
      <w:pPr>
        <w:rPr>
          <w:b/>
          <w:szCs w:val="20"/>
        </w:rPr>
      </w:pPr>
    </w:p>
    <w:p w14:paraId="1F922EFC" w14:textId="77777777" w:rsidR="00F36B82" w:rsidRDefault="00F36B82">
      <w:pPr>
        <w:rPr>
          <w:b/>
          <w:szCs w:val="20"/>
        </w:rPr>
      </w:pPr>
      <w:r>
        <w:rPr>
          <w:b/>
          <w:szCs w:val="20"/>
        </w:rPr>
        <w:br w:type="page"/>
      </w:r>
    </w:p>
    <w:p w14:paraId="5E160D00" w14:textId="1429B85B" w:rsidR="0074045F" w:rsidRPr="00A51194" w:rsidRDefault="0074045F" w:rsidP="0074045F">
      <w:pPr>
        <w:rPr>
          <w:b/>
          <w:szCs w:val="20"/>
        </w:rPr>
      </w:pPr>
      <w:r w:rsidRPr="00A51194">
        <w:rPr>
          <w:b/>
          <w:szCs w:val="20"/>
        </w:rPr>
        <w:lastRenderedPageBreak/>
        <w:t>MALİ BÜNYEYE VE RİSK YÖNETİMİNE İLİŞKİN BİLGİLER (Devamı)</w:t>
      </w:r>
    </w:p>
    <w:p w14:paraId="242CB1BD" w14:textId="77777777" w:rsidR="00F91828" w:rsidRPr="00471CBA" w:rsidRDefault="00F91828" w:rsidP="00F91828">
      <w:pPr>
        <w:autoSpaceDE w:val="0"/>
        <w:autoSpaceDN w:val="0"/>
        <w:adjustRightInd w:val="0"/>
        <w:spacing w:before="120" w:after="120"/>
        <w:jc w:val="both"/>
        <w:rPr>
          <w:b/>
          <w:szCs w:val="20"/>
        </w:rPr>
      </w:pPr>
      <w:r w:rsidRPr="00471CBA">
        <w:rPr>
          <w:b/>
          <w:szCs w:val="20"/>
        </w:rPr>
        <w:t>II.</w:t>
      </w:r>
      <w:r w:rsidRPr="00471CBA">
        <w:rPr>
          <w:b/>
          <w:szCs w:val="20"/>
        </w:rPr>
        <w:tab/>
        <w:t>KREDİ RİSKİNE İLİŞKİN AÇIKLAMALAR (Devamı)</w:t>
      </w:r>
    </w:p>
    <w:p w14:paraId="61AB5BD3" w14:textId="77777777" w:rsidR="00F91828" w:rsidRPr="00471CBA" w:rsidRDefault="00F91828" w:rsidP="00F91828">
      <w:pPr>
        <w:tabs>
          <w:tab w:val="left" w:pos="-142"/>
        </w:tabs>
        <w:spacing w:before="120" w:after="120"/>
        <w:ind w:left="-142" w:firstLine="142"/>
        <w:rPr>
          <w:b/>
          <w:szCs w:val="20"/>
        </w:rPr>
      </w:pPr>
      <w:r w:rsidRPr="00471CBA">
        <w:rPr>
          <w:b/>
          <w:szCs w:val="20"/>
        </w:rPr>
        <w:t>Sektörlere veya Karşı Taraflara Göre Risk Profili:</w:t>
      </w:r>
    </w:p>
    <w:tbl>
      <w:tblPr>
        <w:tblW w:w="5000" w:type="pct"/>
        <w:tblCellMar>
          <w:left w:w="30" w:type="dxa"/>
          <w:right w:w="30" w:type="dxa"/>
        </w:tblCellMar>
        <w:tblLook w:val="0000" w:firstRow="0" w:lastRow="0" w:firstColumn="0" w:lastColumn="0" w:noHBand="0" w:noVBand="0"/>
      </w:tblPr>
      <w:tblGrid>
        <w:gridCol w:w="284"/>
        <w:gridCol w:w="1537"/>
        <w:gridCol w:w="697"/>
        <w:gridCol w:w="453"/>
        <w:gridCol w:w="502"/>
        <w:gridCol w:w="289"/>
        <w:gridCol w:w="651"/>
        <w:gridCol w:w="697"/>
        <w:gridCol w:w="779"/>
        <w:gridCol w:w="639"/>
        <w:gridCol w:w="620"/>
        <w:gridCol w:w="412"/>
        <w:gridCol w:w="639"/>
        <w:gridCol w:w="462"/>
        <w:gridCol w:w="710"/>
        <w:gridCol w:w="710"/>
        <w:gridCol w:w="710"/>
        <w:gridCol w:w="710"/>
        <w:gridCol w:w="710"/>
        <w:gridCol w:w="780"/>
        <w:gridCol w:w="792"/>
        <w:gridCol w:w="789"/>
      </w:tblGrid>
      <w:tr w:rsidR="00F91828" w:rsidRPr="00F36B82" w14:paraId="2C0EE1E1" w14:textId="77777777" w:rsidTr="007A5154">
        <w:trPr>
          <w:trHeight w:val="133"/>
        </w:trPr>
        <w:tc>
          <w:tcPr>
            <w:tcW w:w="98" w:type="pct"/>
            <w:tcBorders>
              <w:top w:val="single" w:sz="4" w:space="0" w:color="auto"/>
              <w:bottom w:val="single" w:sz="4" w:space="0" w:color="auto"/>
            </w:tcBorders>
          </w:tcPr>
          <w:p w14:paraId="05EEA864" w14:textId="77777777" w:rsidR="00F91828" w:rsidRPr="00F36B82" w:rsidRDefault="00F91828" w:rsidP="007A5154">
            <w:pPr>
              <w:autoSpaceDE w:val="0"/>
              <w:autoSpaceDN w:val="0"/>
              <w:adjustRightInd w:val="0"/>
              <w:ind w:left="180" w:hanging="180"/>
              <w:rPr>
                <w:rFonts w:eastAsia="Arial Unicode MS"/>
                <w:b/>
                <w:sz w:val="14"/>
                <w:szCs w:val="14"/>
              </w:rPr>
            </w:pPr>
          </w:p>
        </w:tc>
        <w:tc>
          <w:tcPr>
            <w:tcW w:w="528" w:type="pct"/>
            <w:tcBorders>
              <w:top w:val="single" w:sz="4" w:space="0" w:color="auto"/>
              <w:bottom w:val="single" w:sz="4" w:space="0" w:color="auto"/>
            </w:tcBorders>
            <w:vAlign w:val="bottom"/>
          </w:tcPr>
          <w:p w14:paraId="2FBEA5AC" w14:textId="77777777" w:rsidR="00F91828" w:rsidRPr="00F36B82" w:rsidRDefault="00F91828" w:rsidP="00B0049C">
            <w:pPr>
              <w:autoSpaceDE w:val="0"/>
              <w:autoSpaceDN w:val="0"/>
              <w:adjustRightInd w:val="0"/>
              <w:ind w:left="180" w:hanging="180"/>
              <w:rPr>
                <w:rFonts w:eastAsia="Arial Unicode MS"/>
                <w:b/>
                <w:sz w:val="14"/>
                <w:szCs w:val="14"/>
              </w:rPr>
            </w:pPr>
          </w:p>
        </w:tc>
        <w:tc>
          <w:tcPr>
            <w:tcW w:w="240" w:type="pct"/>
            <w:tcBorders>
              <w:top w:val="single" w:sz="4" w:space="0" w:color="auto"/>
              <w:bottom w:val="single" w:sz="4" w:space="0" w:color="auto"/>
            </w:tcBorders>
            <w:vAlign w:val="bottom"/>
          </w:tcPr>
          <w:p w14:paraId="3FE68ACE" w14:textId="77777777" w:rsidR="00F91828" w:rsidRPr="00F36B82" w:rsidRDefault="00F91828" w:rsidP="00B0049C">
            <w:pPr>
              <w:autoSpaceDE w:val="0"/>
              <w:autoSpaceDN w:val="0"/>
              <w:adjustRightInd w:val="0"/>
              <w:jc w:val="right"/>
              <w:rPr>
                <w:rFonts w:eastAsia="Arial Unicode MS"/>
                <w:b/>
                <w:sz w:val="14"/>
                <w:szCs w:val="14"/>
              </w:rPr>
            </w:pPr>
          </w:p>
        </w:tc>
        <w:tc>
          <w:tcPr>
            <w:tcW w:w="156" w:type="pct"/>
            <w:tcBorders>
              <w:top w:val="single" w:sz="4" w:space="0" w:color="auto"/>
              <w:bottom w:val="single" w:sz="4" w:space="0" w:color="auto"/>
            </w:tcBorders>
            <w:vAlign w:val="bottom"/>
          </w:tcPr>
          <w:p w14:paraId="0A67DA14" w14:textId="77777777" w:rsidR="00F91828" w:rsidRPr="00F36B82" w:rsidRDefault="00F91828" w:rsidP="00B0049C">
            <w:pPr>
              <w:autoSpaceDE w:val="0"/>
              <w:autoSpaceDN w:val="0"/>
              <w:adjustRightInd w:val="0"/>
              <w:jc w:val="right"/>
              <w:rPr>
                <w:rFonts w:eastAsia="Arial Unicode MS"/>
                <w:b/>
                <w:sz w:val="14"/>
                <w:szCs w:val="14"/>
              </w:rPr>
            </w:pPr>
          </w:p>
        </w:tc>
        <w:tc>
          <w:tcPr>
            <w:tcW w:w="173" w:type="pct"/>
            <w:tcBorders>
              <w:top w:val="single" w:sz="4" w:space="0" w:color="auto"/>
              <w:bottom w:val="single" w:sz="4" w:space="0" w:color="auto"/>
            </w:tcBorders>
            <w:vAlign w:val="bottom"/>
          </w:tcPr>
          <w:p w14:paraId="4D25F18E" w14:textId="77777777" w:rsidR="00F91828" w:rsidRPr="00F36B82" w:rsidRDefault="00F91828" w:rsidP="00B0049C">
            <w:pPr>
              <w:autoSpaceDE w:val="0"/>
              <w:autoSpaceDN w:val="0"/>
              <w:adjustRightInd w:val="0"/>
              <w:jc w:val="right"/>
              <w:rPr>
                <w:rFonts w:eastAsia="Arial Unicode MS"/>
                <w:b/>
                <w:sz w:val="14"/>
                <w:szCs w:val="14"/>
              </w:rPr>
            </w:pPr>
          </w:p>
        </w:tc>
        <w:tc>
          <w:tcPr>
            <w:tcW w:w="100" w:type="pct"/>
            <w:tcBorders>
              <w:top w:val="single" w:sz="4" w:space="0" w:color="auto"/>
              <w:bottom w:val="single" w:sz="4" w:space="0" w:color="auto"/>
            </w:tcBorders>
            <w:vAlign w:val="bottom"/>
          </w:tcPr>
          <w:p w14:paraId="43B0A895" w14:textId="77777777" w:rsidR="00F91828" w:rsidRPr="00F36B82" w:rsidRDefault="00F91828" w:rsidP="00B0049C">
            <w:pPr>
              <w:autoSpaceDE w:val="0"/>
              <w:autoSpaceDN w:val="0"/>
              <w:adjustRightInd w:val="0"/>
              <w:jc w:val="right"/>
              <w:rPr>
                <w:rFonts w:eastAsia="Arial Unicode MS"/>
                <w:b/>
                <w:sz w:val="14"/>
                <w:szCs w:val="14"/>
              </w:rPr>
            </w:pPr>
          </w:p>
        </w:tc>
        <w:tc>
          <w:tcPr>
            <w:tcW w:w="224" w:type="pct"/>
            <w:tcBorders>
              <w:top w:val="single" w:sz="4" w:space="0" w:color="auto"/>
              <w:bottom w:val="single" w:sz="4" w:space="0" w:color="auto"/>
            </w:tcBorders>
            <w:vAlign w:val="bottom"/>
          </w:tcPr>
          <w:p w14:paraId="6B40275B" w14:textId="77777777" w:rsidR="00F91828" w:rsidRPr="00F36B82" w:rsidRDefault="00F91828" w:rsidP="00B0049C">
            <w:pPr>
              <w:autoSpaceDE w:val="0"/>
              <w:autoSpaceDN w:val="0"/>
              <w:adjustRightInd w:val="0"/>
              <w:jc w:val="right"/>
              <w:rPr>
                <w:rFonts w:eastAsia="Arial Unicode MS"/>
                <w:b/>
                <w:sz w:val="14"/>
                <w:szCs w:val="14"/>
              </w:rPr>
            </w:pPr>
          </w:p>
        </w:tc>
        <w:tc>
          <w:tcPr>
            <w:tcW w:w="240" w:type="pct"/>
            <w:tcBorders>
              <w:top w:val="single" w:sz="4" w:space="0" w:color="auto"/>
              <w:bottom w:val="single" w:sz="4" w:space="0" w:color="auto"/>
            </w:tcBorders>
            <w:vAlign w:val="bottom"/>
          </w:tcPr>
          <w:p w14:paraId="1732B5FD" w14:textId="77777777" w:rsidR="00F91828" w:rsidRPr="00F36B82" w:rsidRDefault="00F91828" w:rsidP="00B0049C">
            <w:pPr>
              <w:autoSpaceDE w:val="0"/>
              <w:autoSpaceDN w:val="0"/>
              <w:adjustRightInd w:val="0"/>
              <w:jc w:val="right"/>
              <w:rPr>
                <w:rFonts w:eastAsia="Arial Unicode MS"/>
                <w:b/>
                <w:sz w:val="14"/>
                <w:szCs w:val="14"/>
              </w:rPr>
            </w:pPr>
          </w:p>
        </w:tc>
        <w:tc>
          <w:tcPr>
            <w:tcW w:w="268" w:type="pct"/>
            <w:tcBorders>
              <w:top w:val="single" w:sz="4" w:space="0" w:color="auto"/>
              <w:bottom w:val="single" w:sz="4" w:space="0" w:color="auto"/>
            </w:tcBorders>
            <w:vAlign w:val="bottom"/>
          </w:tcPr>
          <w:p w14:paraId="0F7C5BFE" w14:textId="77777777" w:rsidR="00F91828" w:rsidRPr="00F36B82" w:rsidRDefault="00F91828" w:rsidP="00B0049C">
            <w:pPr>
              <w:autoSpaceDE w:val="0"/>
              <w:autoSpaceDN w:val="0"/>
              <w:adjustRightInd w:val="0"/>
              <w:jc w:val="right"/>
              <w:rPr>
                <w:rFonts w:eastAsia="Arial Unicode MS"/>
                <w:b/>
                <w:sz w:val="14"/>
                <w:szCs w:val="14"/>
              </w:rPr>
            </w:pPr>
          </w:p>
        </w:tc>
        <w:tc>
          <w:tcPr>
            <w:tcW w:w="220" w:type="pct"/>
            <w:tcBorders>
              <w:top w:val="single" w:sz="4" w:space="0" w:color="auto"/>
              <w:bottom w:val="single" w:sz="4" w:space="0" w:color="auto"/>
            </w:tcBorders>
            <w:vAlign w:val="bottom"/>
          </w:tcPr>
          <w:p w14:paraId="30E1D1C7" w14:textId="77777777" w:rsidR="00F91828" w:rsidRPr="00F36B82" w:rsidRDefault="00F91828" w:rsidP="00B0049C">
            <w:pPr>
              <w:autoSpaceDE w:val="0"/>
              <w:autoSpaceDN w:val="0"/>
              <w:adjustRightInd w:val="0"/>
              <w:jc w:val="right"/>
              <w:rPr>
                <w:rFonts w:eastAsia="Arial Unicode MS"/>
                <w:b/>
                <w:sz w:val="14"/>
                <w:szCs w:val="14"/>
              </w:rPr>
            </w:pPr>
          </w:p>
        </w:tc>
        <w:tc>
          <w:tcPr>
            <w:tcW w:w="343" w:type="pct"/>
            <w:gridSpan w:val="2"/>
            <w:tcBorders>
              <w:top w:val="single" w:sz="4" w:space="0" w:color="auto"/>
              <w:bottom w:val="single" w:sz="4" w:space="0" w:color="auto"/>
            </w:tcBorders>
            <w:vAlign w:val="bottom"/>
          </w:tcPr>
          <w:p w14:paraId="6239831A" w14:textId="77777777" w:rsidR="00F91828" w:rsidRPr="00F36B82" w:rsidRDefault="00F91828" w:rsidP="00B0049C">
            <w:pPr>
              <w:jc w:val="right"/>
              <w:rPr>
                <w:b/>
                <w:bCs/>
                <w:color w:val="000000"/>
                <w:sz w:val="14"/>
                <w:szCs w:val="14"/>
              </w:rPr>
            </w:pPr>
            <w:r w:rsidRPr="00F36B82">
              <w:rPr>
                <w:rFonts w:eastAsia="Arial Unicode MS"/>
                <w:b/>
                <w:sz w:val="14"/>
                <w:szCs w:val="14"/>
              </w:rPr>
              <w:t>Risk Sınıfları</w:t>
            </w:r>
          </w:p>
        </w:tc>
        <w:tc>
          <w:tcPr>
            <w:tcW w:w="220" w:type="pct"/>
            <w:tcBorders>
              <w:top w:val="single" w:sz="4" w:space="0" w:color="auto"/>
              <w:bottom w:val="single" w:sz="4" w:space="0" w:color="auto"/>
            </w:tcBorders>
          </w:tcPr>
          <w:p w14:paraId="5367650B" w14:textId="77777777" w:rsidR="00F91828" w:rsidRPr="00F36B82" w:rsidRDefault="00F91828" w:rsidP="00B0049C">
            <w:pPr>
              <w:jc w:val="right"/>
              <w:rPr>
                <w:b/>
                <w:bCs/>
                <w:color w:val="000000"/>
                <w:sz w:val="14"/>
                <w:szCs w:val="14"/>
              </w:rPr>
            </w:pPr>
          </w:p>
        </w:tc>
        <w:tc>
          <w:tcPr>
            <w:tcW w:w="159" w:type="pct"/>
            <w:tcBorders>
              <w:top w:val="single" w:sz="4" w:space="0" w:color="auto"/>
              <w:bottom w:val="single" w:sz="4" w:space="0" w:color="auto"/>
            </w:tcBorders>
          </w:tcPr>
          <w:p w14:paraId="409C46B7" w14:textId="77777777" w:rsidR="00F91828" w:rsidRPr="00F36B82" w:rsidRDefault="00F91828" w:rsidP="00B0049C">
            <w:pPr>
              <w:tabs>
                <w:tab w:val="left" w:pos="272"/>
                <w:tab w:val="right" w:pos="606"/>
              </w:tabs>
              <w:jc w:val="right"/>
              <w:rPr>
                <w:b/>
                <w:bCs/>
                <w:color w:val="000000"/>
                <w:sz w:val="14"/>
                <w:szCs w:val="14"/>
              </w:rPr>
            </w:pPr>
          </w:p>
        </w:tc>
        <w:tc>
          <w:tcPr>
            <w:tcW w:w="244" w:type="pct"/>
            <w:tcBorders>
              <w:top w:val="single" w:sz="4" w:space="0" w:color="auto"/>
              <w:bottom w:val="single" w:sz="4" w:space="0" w:color="auto"/>
            </w:tcBorders>
          </w:tcPr>
          <w:p w14:paraId="4651ADA7" w14:textId="77777777" w:rsidR="00F91828" w:rsidRPr="00F36B82" w:rsidRDefault="00F91828" w:rsidP="00B0049C">
            <w:pPr>
              <w:jc w:val="right"/>
              <w:rPr>
                <w:b/>
                <w:bCs/>
                <w:color w:val="000000"/>
                <w:sz w:val="14"/>
                <w:szCs w:val="14"/>
              </w:rPr>
            </w:pPr>
          </w:p>
        </w:tc>
        <w:tc>
          <w:tcPr>
            <w:tcW w:w="244" w:type="pct"/>
            <w:tcBorders>
              <w:top w:val="single" w:sz="4" w:space="0" w:color="auto"/>
              <w:bottom w:val="single" w:sz="4" w:space="0" w:color="auto"/>
            </w:tcBorders>
          </w:tcPr>
          <w:p w14:paraId="467FAAF9" w14:textId="77777777" w:rsidR="00F91828" w:rsidRPr="00F36B82" w:rsidRDefault="00F91828" w:rsidP="00B0049C">
            <w:pPr>
              <w:jc w:val="right"/>
              <w:rPr>
                <w:b/>
                <w:bCs/>
                <w:color w:val="000000"/>
                <w:sz w:val="14"/>
                <w:szCs w:val="14"/>
              </w:rPr>
            </w:pPr>
          </w:p>
        </w:tc>
        <w:tc>
          <w:tcPr>
            <w:tcW w:w="244" w:type="pct"/>
            <w:tcBorders>
              <w:top w:val="single" w:sz="4" w:space="0" w:color="auto"/>
              <w:bottom w:val="single" w:sz="4" w:space="0" w:color="auto"/>
            </w:tcBorders>
          </w:tcPr>
          <w:p w14:paraId="2ACEDAFD" w14:textId="77777777" w:rsidR="00F91828" w:rsidRPr="00F36B82" w:rsidRDefault="00F91828" w:rsidP="00B0049C">
            <w:pPr>
              <w:jc w:val="right"/>
              <w:rPr>
                <w:b/>
                <w:bCs/>
                <w:color w:val="000000"/>
                <w:sz w:val="14"/>
                <w:szCs w:val="14"/>
              </w:rPr>
            </w:pPr>
          </w:p>
        </w:tc>
        <w:tc>
          <w:tcPr>
            <w:tcW w:w="244" w:type="pct"/>
            <w:tcBorders>
              <w:top w:val="single" w:sz="4" w:space="0" w:color="auto"/>
              <w:bottom w:val="single" w:sz="4" w:space="0" w:color="auto"/>
            </w:tcBorders>
          </w:tcPr>
          <w:p w14:paraId="5CB3EF27" w14:textId="77777777" w:rsidR="00F91828" w:rsidRPr="00F36B82" w:rsidRDefault="00F91828" w:rsidP="00B0049C">
            <w:pPr>
              <w:jc w:val="right"/>
              <w:rPr>
                <w:b/>
                <w:bCs/>
                <w:color w:val="000000"/>
                <w:sz w:val="14"/>
                <w:szCs w:val="14"/>
              </w:rPr>
            </w:pPr>
          </w:p>
        </w:tc>
        <w:tc>
          <w:tcPr>
            <w:tcW w:w="244" w:type="pct"/>
            <w:tcBorders>
              <w:top w:val="single" w:sz="4" w:space="0" w:color="auto"/>
              <w:bottom w:val="single" w:sz="4" w:space="0" w:color="auto"/>
            </w:tcBorders>
          </w:tcPr>
          <w:p w14:paraId="7DEAA3CD" w14:textId="77777777" w:rsidR="00F91828" w:rsidRPr="00F36B82" w:rsidRDefault="00F91828" w:rsidP="00B0049C">
            <w:pPr>
              <w:jc w:val="right"/>
              <w:rPr>
                <w:b/>
                <w:bCs/>
                <w:color w:val="000000"/>
                <w:sz w:val="14"/>
                <w:szCs w:val="14"/>
              </w:rPr>
            </w:pPr>
          </w:p>
        </w:tc>
        <w:tc>
          <w:tcPr>
            <w:tcW w:w="268" w:type="pct"/>
            <w:tcBorders>
              <w:top w:val="single" w:sz="4" w:space="0" w:color="auto"/>
              <w:bottom w:val="single" w:sz="4" w:space="0" w:color="auto"/>
            </w:tcBorders>
            <w:vAlign w:val="bottom"/>
          </w:tcPr>
          <w:p w14:paraId="2D9ADA3F" w14:textId="77777777" w:rsidR="00F91828" w:rsidRPr="00F36B82" w:rsidRDefault="00F91828" w:rsidP="00B0049C">
            <w:pPr>
              <w:jc w:val="right"/>
              <w:rPr>
                <w:b/>
                <w:bCs/>
                <w:color w:val="000000"/>
                <w:sz w:val="14"/>
                <w:szCs w:val="14"/>
              </w:rPr>
            </w:pPr>
          </w:p>
        </w:tc>
        <w:tc>
          <w:tcPr>
            <w:tcW w:w="272" w:type="pct"/>
            <w:tcBorders>
              <w:top w:val="single" w:sz="4" w:space="0" w:color="auto"/>
              <w:bottom w:val="single" w:sz="4" w:space="0" w:color="auto"/>
            </w:tcBorders>
            <w:vAlign w:val="bottom"/>
          </w:tcPr>
          <w:p w14:paraId="28B37695" w14:textId="77777777" w:rsidR="00F91828" w:rsidRPr="00F36B82" w:rsidRDefault="00F91828" w:rsidP="00B0049C">
            <w:pPr>
              <w:jc w:val="right"/>
              <w:rPr>
                <w:b/>
                <w:bCs/>
                <w:color w:val="000000"/>
                <w:sz w:val="14"/>
                <w:szCs w:val="14"/>
              </w:rPr>
            </w:pPr>
          </w:p>
        </w:tc>
        <w:tc>
          <w:tcPr>
            <w:tcW w:w="271" w:type="pct"/>
            <w:tcBorders>
              <w:top w:val="single" w:sz="4" w:space="0" w:color="auto"/>
              <w:bottom w:val="single" w:sz="4" w:space="0" w:color="auto"/>
            </w:tcBorders>
            <w:vAlign w:val="bottom"/>
          </w:tcPr>
          <w:p w14:paraId="07D907DA" w14:textId="77777777" w:rsidR="00F91828" w:rsidRPr="00F36B82" w:rsidRDefault="00F91828" w:rsidP="00B0049C">
            <w:pPr>
              <w:jc w:val="right"/>
              <w:rPr>
                <w:b/>
                <w:bCs/>
                <w:color w:val="000000"/>
                <w:sz w:val="14"/>
                <w:szCs w:val="14"/>
              </w:rPr>
            </w:pPr>
          </w:p>
        </w:tc>
      </w:tr>
      <w:tr w:rsidR="00F91828" w:rsidRPr="00F36B82" w14:paraId="7CA7AC61" w14:textId="77777777" w:rsidTr="00F36B82">
        <w:trPr>
          <w:trHeight w:val="133"/>
        </w:trPr>
        <w:tc>
          <w:tcPr>
            <w:tcW w:w="98" w:type="pct"/>
            <w:tcBorders>
              <w:top w:val="single" w:sz="4" w:space="0" w:color="auto"/>
              <w:bottom w:val="single" w:sz="4" w:space="0" w:color="auto"/>
            </w:tcBorders>
          </w:tcPr>
          <w:p w14:paraId="51FC4A9B" w14:textId="77777777" w:rsidR="00F91828" w:rsidRPr="00F36B82" w:rsidRDefault="00F91828" w:rsidP="007A5154">
            <w:pPr>
              <w:autoSpaceDE w:val="0"/>
              <w:autoSpaceDN w:val="0"/>
              <w:adjustRightInd w:val="0"/>
              <w:ind w:left="180" w:hanging="180"/>
              <w:rPr>
                <w:rFonts w:eastAsia="Arial Unicode MS"/>
                <w:b/>
                <w:sz w:val="14"/>
                <w:szCs w:val="14"/>
              </w:rPr>
            </w:pPr>
          </w:p>
        </w:tc>
        <w:tc>
          <w:tcPr>
            <w:tcW w:w="528" w:type="pct"/>
            <w:tcBorders>
              <w:top w:val="single" w:sz="4" w:space="0" w:color="auto"/>
              <w:bottom w:val="single" w:sz="4" w:space="0" w:color="auto"/>
            </w:tcBorders>
            <w:vAlign w:val="bottom"/>
          </w:tcPr>
          <w:p w14:paraId="56C6FC4A" w14:textId="77777777" w:rsidR="00F91828" w:rsidRPr="00F36B82" w:rsidRDefault="00F91828" w:rsidP="00B0049C">
            <w:pPr>
              <w:autoSpaceDE w:val="0"/>
              <w:autoSpaceDN w:val="0"/>
              <w:adjustRightInd w:val="0"/>
              <w:ind w:left="180" w:hanging="180"/>
              <w:rPr>
                <w:rFonts w:eastAsia="Arial Unicode MS"/>
                <w:b/>
                <w:sz w:val="14"/>
                <w:szCs w:val="14"/>
              </w:rPr>
            </w:pPr>
            <w:r w:rsidRPr="00F36B82">
              <w:rPr>
                <w:rFonts w:eastAsia="Arial Unicode MS"/>
                <w:b/>
                <w:sz w:val="14"/>
                <w:szCs w:val="14"/>
              </w:rPr>
              <w:t>Sektörler/Karşı Taraflar</w:t>
            </w:r>
          </w:p>
        </w:tc>
        <w:tc>
          <w:tcPr>
            <w:tcW w:w="240" w:type="pct"/>
            <w:tcBorders>
              <w:top w:val="single" w:sz="4" w:space="0" w:color="auto"/>
              <w:bottom w:val="single" w:sz="4" w:space="0" w:color="auto"/>
            </w:tcBorders>
            <w:vAlign w:val="bottom"/>
          </w:tcPr>
          <w:p w14:paraId="2AC996E0" w14:textId="77777777" w:rsidR="00F91828" w:rsidRPr="00F36B82" w:rsidRDefault="00F91828" w:rsidP="00F36B82">
            <w:pPr>
              <w:autoSpaceDE w:val="0"/>
              <w:autoSpaceDN w:val="0"/>
              <w:adjustRightInd w:val="0"/>
              <w:jc w:val="right"/>
              <w:rPr>
                <w:rFonts w:eastAsia="Arial Unicode MS"/>
                <w:b/>
                <w:sz w:val="14"/>
                <w:szCs w:val="14"/>
              </w:rPr>
            </w:pPr>
            <w:r w:rsidRPr="00F36B82">
              <w:rPr>
                <w:rFonts w:eastAsia="Arial Unicode MS"/>
                <w:b/>
                <w:sz w:val="14"/>
                <w:szCs w:val="14"/>
              </w:rPr>
              <w:t>1</w:t>
            </w:r>
          </w:p>
        </w:tc>
        <w:tc>
          <w:tcPr>
            <w:tcW w:w="156" w:type="pct"/>
            <w:tcBorders>
              <w:top w:val="single" w:sz="4" w:space="0" w:color="auto"/>
              <w:bottom w:val="single" w:sz="4" w:space="0" w:color="auto"/>
            </w:tcBorders>
            <w:vAlign w:val="bottom"/>
          </w:tcPr>
          <w:p w14:paraId="12ADC9BF" w14:textId="77777777" w:rsidR="00F91828" w:rsidRPr="00F36B82" w:rsidRDefault="00F91828" w:rsidP="00F36B82">
            <w:pPr>
              <w:autoSpaceDE w:val="0"/>
              <w:autoSpaceDN w:val="0"/>
              <w:adjustRightInd w:val="0"/>
              <w:jc w:val="right"/>
              <w:rPr>
                <w:rFonts w:eastAsia="Arial Unicode MS"/>
                <w:b/>
                <w:sz w:val="14"/>
                <w:szCs w:val="14"/>
              </w:rPr>
            </w:pPr>
            <w:r w:rsidRPr="00F36B82">
              <w:rPr>
                <w:rFonts w:eastAsia="Arial Unicode MS"/>
                <w:b/>
                <w:sz w:val="14"/>
                <w:szCs w:val="14"/>
              </w:rPr>
              <w:t>2</w:t>
            </w:r>
          </w:p>
        </w:tc>
        <w:tc>
          <w:tcPr>
            <w:tcW w:w="173" w:type="pct"/>
            <w:tcBorders>
              <w:top w:val="single" w:sz="4" w:space="0" w:color="auto"/>
              <w:bottom w:val="single" w:sz="4" w:space="0" w:color="auto"/>
            </w:tcBorders>
            <w:vAlign w:val="bottom"/>
          </w:tcPr>
          <w:p w14:paraId="30216AF8" w14:textId="77777777" w:rsidR="00F91828" w:rsidRPr="00F36B82" w:rsidRDefault="00F91828" w:rsidP="00F36B82">
            <w:pPr>
              <w:autoSpaceDE w:val="0"/>
              <w:autoSpaceDN w:val="0"/>
              <w:adjustRightInd w:val="0"/>
              <w:jc w:val="right"/>
              <w:rPr>
                <w:rFonts w:eastAsia="Arial Unicode MS"/>
                <w:b/>
                <w:sz w:val="14"/>
                <w:szCs w:val="14"/>
              </w:rPr>
            </w:pPr>
            <w:r w:rsidRPr="00F36B82">
              <w:rPr>
                <w:rFonts w:eastAsia="Arial Unicode MS"/>
                <w:b/>
                <w:sz w:val="14"/>
                <w:szCs w:val="14"/>
              </w:rPr>
              <w:t>3</w:t>
            </w:r>
          </w:p>
        </w:tc>
        <w:tc>
          <w:tcPr>
            <w:tcW w:w="100" w:type="pct"/>
            <w:tcBorders>
              <w:top w:val="single" w:sz="4" w:space="0" w:color="auto"/>
              <w:bottom w:val="single" w:sz="4" w:space="0" w:color="auto"/>
            </w:tcBorders>
            <w:vAlign w:val="bottom"/>
          </w:tcPr>
          <w:p w14:paraId="0D1189FB" w14:textId="77777777" w:rsidR="00F91828" w:rsidRPr="00F36B82" w:rsidRDefault="00F91828" w:rsidP="00F36B82">
            <w:pPr>
              <w:autoSpaceDE w:val="0"/>
              <w:autoSpaceDN w:val="0"/>
              <w:adjustRightInd w:val="0"/>
              <w:jc w:val="right"/>
              <w:rPr>
                <w:rFonts w:eastAsia="Arial Unicode MS"/>
                <w:b/>
                <w:sz w:val="14"/>
                <w:szCs w:val="14"/>
              </w:rPr>
            </w:pPr>
            <w:r w:rsidRPr="00F36B82">
              <w:rPr>
                <w:rFonts w:eastAsia="Arial Unicode MS"/>
                <w:b/>
                <w:sz w:val="14"/>
                <w:szCs w:val="14"/>
              </w:rPr>
              <w:t>4</w:t>
            </w:r>
          </w:p>
        </w:tc>
        <w:tc>
          <w:tcPr>
            <w:tcW w:w="224" w:type="pct"/>
            <w:tcBorders>
              <w:top w:val="single" w:sz="4" w:space="0" w:color="auto"/>
              <w:bottom w:val="single" w:sz="4" w:space="0" w:color="auto"/>
            </w:tcBorders>
            <w:vAlign w:val="bottom"/>
          </w:tcPr>
          <w:p w14:paraId="74E72C82" w14:textId="77777777" w:rsidR="00F91828" w:rsidRPr="00F36B82" w:rsidRDefault="00F91828" w:rsidP="00F36B82">
            <w:pPr>
              <w:autoSpaceDE w:val="0"/>
              <w:autoSpaceDN w:val="0"/>
              <w:adjustRightInd w:val="0"/>
              <w:jc w:val="right"/>
              <w:rPr>
                <w:rFonts w:eastAsia="Arial Unicode MS"/>
                <w:b/>
                <w:sz w:val="14"/>
                <w:szCs w:val="14"/>
              </w:rPr>
            </w:pPr>
            <w:r w:rsidRPr="00F36B82">
              <w:rPr>
                <w:rFonts w:eastAsia="Arial Unicode MS"/>
                <w:b/>
                <w:sz w:val="14"/>
                <w:szCs w:val="14"/>
              </w:rPr>
              <w:t>5</w:t>
            </w:r>
          </w:p>
        </w:tc>
        <w:tc>
          <w:tcPr>
            <w:tcW w:w="240" w:type="pct"/>
            <w:tcBorders>
              <w:top w:val="single" w:sz="4" w:space="0" w:color="auto"/>
              <w:bottom w:val="single" w:sz="4" w:space="0" w:color="auto"/>
            </w:tcBorders>
            <w:vAlign w:val="bottom"/>
          </w:tcPr>
          <w:p w14:paraId="63A37E9F" w14:textId="77777777" w:rsidR="00F91828" w:rsidRPr="00F36B82" w:rsidRDefault="00F91828" w:rsidP="00F36B82">
            <w:pPr>
              <w:autoSpaceDE w:val="0"/>
              <w:autoSpaceDN w:val="0"/>
              <w:adjustRightInd w:val="0"/>
              <w:jc w:val="right"/>
              <w:rPr>
                <w:rFonts w:eastAsia="Arial Unicode MS"/>
                <w:b/>
                <w:sz w:val="14"/>
                <w:szCs w:val="14"/>
              </w:rPr>
            </w:pPr>
            <w:r w:rsidRPr="00F36B82">
              <w:rPr>
                <w:rFonts w:eastAsia="Arial Unicode MS"/>
                <w:b/>
                <w:sz w:val="14"/>
                <w:szCs w:val="14"/>
              </w:rPr>
              <w:t>6</w:t>
            </w:r>
          </w:p>
        </w:tc>
        <w:tc>
          <w:tcPr>
            <w:tcW w:w="268" w:type="pct"/>
            <w:tcBorders>
              <w:top w:val="single" w:sz="4" w:space="0" w:color="auto"/>
              <w:bottom w:val="single" w:sz="4" w:space="0" w:color="auto"/>
            </w:tcBorders>
            <w:vAlign w:val="bottom"/>
          </w:tcPr>
          <w:p w14:paraId="123D7C4C" w14:textId="77777777" w:rsidR="00F91828" w:rsidRPr="00F36B82" w:rsidRDefault="00F91828" w:rsidP="00F36B82">
            <w:pPr>
              <w:autoSpaceDE w:val="0"/>
              <w:autoSpaceDN w:val="0"/>
              <w:adjustRightInd w:val="0"/>
              <w:jc w:val="right"/>
              <w:rPr>
                <w:rFonts w:eastAsia="Arial Unicode MS"/>
                <w:b/>
                <w:sz w:val="14"/>
                <w:szCs w:val="14"/>
              </w:rPr>
            </w:pPr>
            <w:r w:rsidRPr="00F36B82">
              <w:rPr>
                <w:rFonts w:eastAsia="Arial Unicode MS"/>
                <w:b/>
                <w:sz w:val="14"/>
                <w:szCs w:val="14"/>
              </w:rPr>
              <w:t>7</w:t>
            </w:r>
          </w:p>
        </w:tc>
        <w:tc>
          <w:tcPr>
            <w:tcW w:w="220" w:type="pct"/>
            <w:tcBorders>
              <w:top w:val="single" w:sz="4" w:space="0" w:color="auto"/>
              <w:bottom w:val="single" w:sz="4" w:space="0" w:color="auto"/>
            </w:tcBorders>
            <w:vAlign w:val="bottom"/>
          </w:tcPr>
          <w:p w14:paraId="5BD61D9D" w14:textId="77777777" w:rsidR="00F91828" w:rsidRPr="00F36B82" w:rsidRDefault="00F91828" w:rsidP="00F36B82">
            <w:pPr>
              <w:autoSpaceDE w:val="0"/>
              <w:autoSpaceDN w:val="0"/>
              <w:adjustRightInd w:val="0"/>
              <w:jc w:val="right"/>
              <w:rPr>
                <w:rFonts w:eastAsia="Arial Unicode MS"/>
                <w:b/>
                <w:sz w:val="14"/>
                <w:szCs w:val="14"/>
              </w:rPr>
            </w:pPr>
            <w:r w:rsidRPr="00F36B82">
              <w:rPr>
                <w:rFonts w:eastAsia="Arial Unicode MS"/>
                <w:b/>
                <w:sz w:val="14"/>
                <w:szCs w:val="14"/>
              </w:rPr>
              <w:t>8</w:t>
            </w:r>
          </w:p>
        </w:tc>
        <w:tc>
          <w:tcPr>
            <w:tcW w:w="201" w:type="pct"/>
            <w:tcBorders>
              <w:top w:val="single" w:sz="4" w:space="0" w:color="auto"/>
              <w:bottom w:val="single" w:sz="4" w:space="0" w:color="auto"/>
            </w:tcBorders>
            <w:vAlign w:val="bottom"/>
          </w:tcPr>
          <w:p w14:paraId="403AFE1B" w14:textId="77777777" w:rsidR="00F91828" w:rsidRPr="00F36B82" w:rsidRDefault="00F91828" w:rsidP="00F36B82">
            <w:pPr>
              <w:autoSpaceDE w:val="0"/>
              <w:autoSpaceDN w:val="0"/>
              <w:adjustRightInd w:val="0"/>
              <w:jc w:val="right"/>
              <w:rPr>
                <w:rFonts w:eastAsia="Arial Unicode MS"/>
                <w:b/>
                <w:sz w:val="14"/>
                <w:szCs w:val="14"/>
              </w:rPr>
            </w:pPr>
            <w:r w:rsidRPr="00F36B82">
              <w:rPr>
                <w:rFonts w:eastAsia="Arial Unicode MS"/>
                <w:b/>
                <w:sz w:val="14"/>
                <w:szCs w:val="14"/>
              </w:rPr>
              <w:t>9</w:t>
            </w:r>
          </w:p>
        </w:tc>
        <w:tc>
          <w:tcPr>
            <w:tcW w:w="142" w:type="pct"/>
            <w:tcBorders>
              <w:top w:val="single" w:sz="4" w:space="0" w:color="auto"/>
              <w:bottom w:val="single" w:sz="4" w:space="0" w:color="auto"/>
            </w:tcBorders>
            <w:vAlign w:val="bottom"/>
          </w:tcPr>
          <w:p w14:paraId="32332521" w14:textId="77777777" w:rsidR="00F91828" w:rsidRPr="00F36B82" w:rsidRDefault="00F91828" w:rsidP="00F36B82">
            <w:pPr>
              <w:jc w:val="right"/>
              <w:rPr>
                <w:b/>
                <w:bCs/>
                <w:color w:val="000000"/>
                <w:sz w:val="14"/>
                <w:szCs w:val="14"/>
              </w:rPr>
            </w:pPr>
            <w:r w:rsidRPr="00F36B82">
              <w:rPr>
                <w:b/>
                <w:bCs/>
                <w:color w:val="000000"/>
                <w:sz w:val="14"/>
                <w:szCs w:val="14"/>
              </w:rPr>
              <w:t>10</w:t>
            </w:r>
          </w:p>
        </w:tc>
        <w:tc>
          <w:tcPr>
            <w:tcW w:w="220" w:type="pct"/>
            <w:tcBorders>
              <w:top w:val="single" w:sz="4" w:space="0" w:color="auto"/>
              <w:bottom w:val="single" w:sz="4" w:space="0" w:color="auto"/>
            </w:tcBorders>
            <w:vAlign w:val="bottom"/>
          </w:tcPr>
          <w:p w14:paraId="6F243C3A" w14:textId="77777777" w:rsidR="00F91828" w:rsidRPr="00F36B82" w:rsidRDefault="00F91828" w:rsidP="00F36B82">
            <w:pPr>
              <w:jc w:val="right"/>
              <w:rPr>
                <w:b/>
                <w:bCs/>
                <w:color w:val="000000"/>
                <w:sz w:val="14"/>
                <w:szCs w:val="14"/>
              </w:rPr>
            </w:pPr>
            <w:r w:rsidRPr="00F36B82">
              <w:rPr>
                <w:b/>
                <w:bCs/>
                <w:color w:val="000000"/>
                <w:sz w:val="14"/>
                <w:szCs w:val="14"/>
              </w:rPr>
              <w:t>11</w:t>
            </w:r>
          </w:p>
        </w:tc>
        <w:tc>
          <w:tcPr>
            <w:tcW w:w="159" w:type="pct"/>
            <w:tcBorders>
              <w:top w:val="single" w:sz="4" w:space="0" w:color="auto"/>
              <w:bottom w:val="single" w:sz="4" w:space="0" w:color="auto"/>
            </w:tcBorders>
            <w:vAlign w:val="bottom"/>
          </w:tcPr>
          <w:p w14:paraId="5C2763B8" w14:textId="77777777" w:rsidR="00F91828" w:rsidRPr="00F36B82" w:rsidRDefault="00F91828" w:rsidP="00F36B82">
            <w:pPr>
              <w:tabs>
                <w:tab w:val="left" w:pos="272"/>
                <w:tab w:val="right" w:pos="606"/>
              </w:tabs>
              <w:jc w:val="right"/>
              <w:rPr>
                <w:b/>
                <w:bCs/>
                <w:color w:val="000000"/>
                <w:sz w:val="14"/>
                <w:szCs w:val="14"/>
              </w:rPr>
            </w:pPr>
            <w:r w:rsidRPr="00F36B82">
              <w:rPr>
                <w:b/>
                <w:bCs/>
                <w:color w:val="000000"/>
                <w:sz w:val="14"/>
                <w:szCs w:val="14"/>
              </w:rPr>
              <w:t>12</w:t>
            </w:r>
          </w:p>
        </w:tc>
        <w:tc>
          <w:tcPr>
            <w:tcW w:w="244" w:type="pct"/>
            <w:tcBorders>
              <w:top w:val="single" w:sz="4" w:space="0" w:color="auto"/>
              <w:bottom w:val="single" w:sz="4" w:space="0" w:color="auto"/>
            </w:tcBorders>
            <w:vAlign w:val="bottom"/>
          </w:tcPr>
          <w:p w14:paraId="6E298459" w14:textId="77777777" w:rsidR="00F91828" w:rsidRPr="00F36B82" w:rsidRDefault="00F91828" w:rsidP="00F36B82">
            <w:pPr>
              <w:jc w:val="right"/>
              <w:rPr>
                <w:b/>
                <w:bCs/>
                <w:color w:val="000000"/>
                <w:sz w:val="14"/>
                <w:szCs w:val="14"/>
              </w:rPr>
            </w:pPr>
            <w:r w:rsidRPr="00F36B82">
              <w:rPr>
                <w:b/>
                <w:bCs/>
                <w:color w:val="000000"/>
                <w:sz w:val="14"/>
                <w:szCs w:val="14"/>
              </w:rPr>
              <w:t>13</w:t>
            </w:r>
          </w:p>
        </w:tc>
        <w:tc>
          <w:tcPr>
            <w:tcW w:w="244" w:type="pct"/>
            <w:tcBorders>
              <w:top w:val="single" w:sz="4" w:space="0" w:color="auto"/>
              <w:bottom w:val="single" w:sz="4" w:space="0" w:color="auto"/>
            </w:tcBorders>
            <w:vAlign w:val="bottom"/>
          </w:tcPr>
          <w:p w14:paraId="49C749DC" w14:textId="77777777" w:rsidR="00F91828" w:rsidRPr="00F36B82" w:rsidRDefault="00F91828" w:rsidP="00F36B82">
            <w:pPr>
              <w:jc w:val="right"/>
              <w:rPr>
                <w:b/>
                <w:bCs/>
                <w:color w:val="000000"/>
                <w:sz w:val="14"/>
                <w:szCs w:val="14"/>
              </w:rPr>
            </w:pPr>
            <w:r w:rsidRPr="00F36B82">
              <w:rPr>
                <w:b/>
                <w:bCs/>
                <w:color w:val="000000"/>
                <w:sz w:val="14"/>
                <w:szCs w:val="14"/>
              </w:rPr>
              <w:t>14</w:t>
            </w:r>
          </w:p>
        </w:tc>
        <w:tc>
          <w:tcPr>
            <w:tcW w:w="244" w:type="pct"/>
            <w:tcBorders>
              <w:top w:val="single" w:sz="4" w:space="0" w:color="auto"/>
              <w:bottom w:val="single" w:sz="4" w:space="0" w:color="auto"/>
            </w:tcBorders>
            <w:vAlign w:val="bottom"/>
          </w:tcPr>
          <w:p w14:paraId="7D695CC0" w14:textId="77777777" w:rsidR="00F91828" w:rsidRPr="00F36B82" w:rsidRDefault="00F91828" w:rsidP="00F36B82">
            <w:pPr>
              <w:jc w:val="right"/>
              <w:rPr>
                <w:b/>
                <w:bCs/>
                <w:color w:val="000000"/>
                <w:sz w:val="14"/>
                <w:szCs w:val="14"/>
              </w:rPr>
            </w:pPr>
            <w:r w:rsidRPr="00F36B82">
              <w:rPr>
                <w:b/>
                <w:bCs/>
                <w:color w:val="000000"/>
                <w:sz w:val="14"/>
                <w:szCs w:val="14"/>
              </w:rPr>
              <w:t>15</w:t>
            </w:r>
          </w:p>
        </w:tc>
        <w:tc>
          <w:tcPr>
            <w:tcW w:w="244" w:type="pct"/>
            <w:tcBorders>
              <w:top w:val="single" w:sz="4" w:space="0" w:color="auto"/>
              <w:bottom w:val="single" w:sz="4" w:space="0" w:color="auto"/>
            </w:tcBorders>
            <w:vAlign w:val="bottom"/>
          </w:tcPr>
          <w:p w14:paraId="4E183E2A" w14:textId="77777777" w:rsidR="00F91828" w:rsidRPr="00F36B82" w:rsidRDefault="00F91828" w:rsidP="00F36B82">
            <w:pPr>
              <w:jc w:val="right"/>
              <w:rPr>
                <w:b/>
                <w:bCs/>
                <w:color w:val="000000"/>
                <w:sz w:val="14"/>
                <w:szCs w:val="14"/>
              </w:rPr>
            </w:pPr>
            <w:r w:rsidRPr="00F36B82">
              <w:rPr>
                <w:b/>
                <w:bCs/>
                <w:color w:val="000000"/>
                <w:sz w:val="14"/>
                <w:szCs w:val="14"/>
              </w:rPr>
              <w:t>16</w:t>
            </w:r>
          </w:p>
        </w:tc>
        <w:tc>
          <w:tcPr>
            <w:tcW w:w="244" w:type="pct"/>
            <w:tcBorders>
              <w:top w:val="single" w:sz="4" w:space="0" w:color="auto"/>
              <w:bottom w:val="single" w:sz="4" w:space="0" w:color="auto"/>
            </w:tcBorders>
            <w:vAlign w:val="bottom"/>
          </w:tcPr>
          <w:p w14:paraId="1315BA63" w14:textId="77777777" w:rsidR="00F91828" w:rsidRPr="00F36B82" w:rsidRDefault="00F91828" w:rsidP="00F36B82">
            <w:pPr>
              <w:jc w:val="right"/>
              <w:rPr>
                <w:b/>
                <w:bCs/>
                <w:color w:val="000000"/>
                <w:sz w:val="14"/>
                <w:szCs w:val="14"/>
              </w:rPr>
            </w:pPr>
            <w:r w:rsidRPr="00F36B82">
              <w:rPr>
                <w:b/>
                <w:bCs/>
                <w:color w:val="000000"/>
                <w:sz w:val="14"/>
                <w:szCs w:val="14"/>
              </w:rPr>
              <w:t>17</w:t>
            </w:r>
          </w:p>
        </w:tc>
        <w:tc>
          <w:tcPr>
            <w:tcW w:w="268" w:type="pct"/>
            <w:tcBorders>
              <w:top w:val="single" w:sz="4" w:space="0" w:color="auto"/>
              <w:bottom w:val="single" w:sz="4" w:space="0" w:color="auto"/>
            </w:tcBorders>
            <w:vAlign w:val="bottom"/>
          </w:tcPr>
          <w:p w14:paraId="439C155F" w14:textId="46214EAA" w:rsidR="00F91828" w:rsidRPr="00F36B82" w:rsidRDefault="00F91828" w:rsidP="00F36B82">
            <w:pPr>
              <w:jc w:val="right"/>
              <w:rPr>
                <w:rFonts w:eastAsia="Arial Unicode MS"/>
                <w:b/>
                <w:sz w:val="14"/>
                <w:szCs w:val="14"/>
              </w:rPr>
            </w:pPr>
            <w:r w:rsidRPr="00F36B82">
              <w:rPr>
                <w:b/>
                <w:bCs/>
                <w:color w:val="000000"/>
                <w:sz w:val="14"/>
                <w:szCs w:val="14"/>
              </w:rPr>
              <w:t>TP</w:t>
            </w:r>
          </w:p>
        </w:tc>
        <w:tc>
          <w:tcPr>
            <w:tcW w:w="272" w:type="pct"/>
            <w:tcBorders>
              <w:top w:val="single" w:sz="4" w:space="0" w:color="auto"/>
              <w:bottom w:val="single" w:sz="4" w:space="0" w:color="auto"/>
            </w:tcBorders>
            <w:vAlign w:val="bottom"/>
          </w:tcPr>
          <w:p w14:paraId="55ECBA32" w14:textId="77777777" w:rsidR="00F91828" w:rsidRPr="00F36B82" w:rsidRDefault="00F91828" w:rsidP="00F36B82">
            <w:pPr>
              <w:jc w:val="right"/>
              <w:rPr>
                <w:rFonts w:eastAsia="Arial Unicode MS"/>
                <w:b/>
                <w:sz w:val="14"/>
                <w:szCs w:val="14"/>
              </w:rPr>
            </w:pPr>
            <w:r w:rsidRPr="00F36B82">
              <w:rPr>
                <w:b/>
                <w:bCs/>
                <w:color w:val="000000"/>
                <w:sz w:val="14"/>
                <w:szCs w:val="14"/>
              </w:rPr>
              <w:t>YP</w:t>
            </w:r>
          </w:p>
        </w:tc>
        <w:tc>
          <w:tcPr>
            <w:tcW w:w="271" w:type="pct"/>
            <w:tcBorders>
              <w:top w:val="single" w:sz="4" w:space="0" w:color="auto"/>
              <w:bottom w:val="single" w:sz="4" w:space="0" w:color="auto"/>
            </w:tcBorders>
            <w:vAlign w:val="bottom"/>
          </w:tcPr>
          <w:p w14:paraId="75B00473" w14:textId="06D3B6CA" w:rsidR="00F91828" w:rsidRPr="00F36B82" w:rsidRDefault="00F91828" w:rsidP="00F36B82">
            <w:pPr>
              <w:jc w:val="right"/>
              <w:rPr>
                <w:b/>
                <w:bCs/>
                <w:color w:val="000000"/>
                <w:sz w:val="14"/>
                <w:szCs w:val="14"/>
              </w:rPr>
            </w:pPr>
            <w:r w:rsidRPr="00F36B82">
              <w:rPr>
                <w:b/>
                <w:bCs/>
                <w:color w:val="000000"/>
                <w:sz w:val="14"/>
                <w:szCs w:val="14"/>
              </w:rPr>
              <w:t>Toplam</w:t>
            </w:r>
          </w:p>
        </w:tc>
      </w:tr>
      <w:tr w:rsidR="002411D3" w:rsidRPr="00F36B82" w14:paraId="2CFD9C03" w14:textId="77777777" w:rsidTr="00F36B82">
        <w:trPr>
          <w:trHeight w:val="176"/>
        </w:trPr>
        <w:tc>
          <w:tcPr>
            <w:tcW w:w="98" w:type="pct"/>
            <w:tcBorders>
              <w:top w:val="single" w:sz="4" w:space="0" w:color="auto"/>
            </w:tcBorders>
          </w:tcPr>
          <w:p w14:paraId="478D0823" w14:textId="77777777" w:rsidR="002411D3" w:rsidRPr="00F36B82" w:rsidRDefault="002411D3" w:rsidP="007A5154">
            <w:pPr>
              <w:autoSpaceDE w:val="0"/>
              <w:autoSpaceDN w:val="0"/>
              <w:adjustRightInd w:val="0"/>
              <w:ind w:left="180" w:hanging="180"/>
              <w:rPr>
                <w:rFonts w:eastAsia="Arial Unicode MS"/>
                <w:b/>
                <w:sz w:val="14"/>
                <w:szCs w:val="14"/>
              </w:rPr>
            </w:pPr>
            <w:r w:rsidRPr="00F36B82">
              <w:rPr>
                <w:rFonts w:eastAsia="Arial Unicode MS"/>
                <w:b/>
                <w:sz w:val="14"/>
                <w:szCs w:val="14"/>
              </w:rPr>
              <w:t>1</w:t>
            </w:r>
          </w:p>
        </w:tc>
        <w:tc>
          <w:tcPr>
            <w:tcW w:w="528" w:type="pct"/>
            <w:tcBorders>
              <w:top w:val="single" w:sz="4" w:space="0" w:color="auto"/>
            </w:tcBorders>
            <w:vAlign w:val="bottom"/>
          </w:tcPr>
          <w:p w14:paraId="087E0D25" w14:textId="77777777" w:rsidR="002411D3" w:rsidRPr="00F36B82" w:rsidRDefault="002411D3" w:rsidP="002411D3">
            <w:pPr>
              <w:rPr>
                <w:b/>
                <w:bCs/>
                <w:color w:val="000000"/>
                <w:sz w:val="14"/>
                <w:szCs w:val="14"/>
              </w:rPr>
            </w:pPr>
            <w:r w:rsidRPr="00F36B82">
              <w:rPr>
                <w:b/>
                <w:bCs/>
                <w:color w:val="000000"/>
                <w:sz w:val="14"/>
                <w:szCs w:val="14"/>
              </w:rPr>
              <w:t>Tarım</w:t>
            </w:r>
          </w:p>
        </w:tc>
        <w:tc>
          <w:tcPr>
            <w:tcW w:w="240" w:type="pct"/>
            <w:tcBorders>
              <w:top w:val="nil"/>
              <w:left w:val="nil"/>
              <w:bottom w:val="nil"/>
              <w:right w:val="nil"/>
            </w:tcBorders>
            <w:vAlign w:val="bottom"/>
          </w:tcPr>
          <w:p w14:paraId="66CB0387" w14:textId="4CC330E0" w:rsidR="002411D3" w:rsidRPr="00F36B82" w:rsidRDefault="002411D3" w:rsidP="00F36B82">
            <w:pPr>
              <w:jc w:val="right"/>
              <w:rPr>
                <w:b/>
                <w:sz w:val="14"/>
                <w:szCs w:val="14"/>
              </w:rPr>
            </w:pPr>
            <w:r w:rsidRPr="00F36B82">
              <w:rPr>
                <w:b/>
                <w:bCs/>
                <w:color w:val="000000"/>
                <w:sz w:val="14"/>
                <w:szCs w:val="14"/>
              </w:rPr>
              <w:t>-</w:t>
            </w:r>
          </w:p>
        </w:tc>
        <w:tc>
          <w:tcPr>
            <w:tcW w:w="156" w:type="pct"/>
            <w:tcBorders>
              <w:top w:val="nil"/>
              <w:left w:val="nil"/>
              <w:bottom w:val="nil"/>
              <w:right w:val="nil"/>
            </w:tcBorders>
            <w:vAlign w:val="bottom"/>
          </w:tcPr>
          <w:p w14:paraId="15535000" w14:textId="10730869" w:rsidR="002411D3" w:rsidRPr="00F36B82" w:rsidRDefault="002411D3" w:rsidP="00F36B82">
            <w:pPr>
              <w:jc w:val="right"/>
              <w:rPr>
                <w:b/>
                <w:sz w:val="14"/>
                <w:szCs w:val="14"/>
              </w:rPr>
            </w:pPr>
            <w:r w:rsidRPr="00F36B82">
              <w:rPr>
                <w:b/>
                <w:bCs/>
                <w:color w:val="000000"/>
                <w:sz w:val="14"/>
                <w:szCs w:val="14"/>
              </w:rPr>
              <w:t>-</w:t>
            </w:r>
          </w:p>
        </w:tc>
        <w:tc>
          <w:tcPr>
            <w:tcW w:w="173" w:type="pct"/>
            <w:tcBorders>
              <w:top w:val="nil"/>
              <w:left w:val="nil"/>
              <w:bottom w:val="nil"/>
              <w:right w:val="nil"/>
            </w:tcBorders>
            <w:vAlign w:val="bottom"/>
          </w:tcPr>
          <w:p w14:paraId="3830D070" w14:textId="7F231E4A" w:rsidR="002411D3" w:rsidRPr="00F36B82" w:rsidRDefault="002411D3" w:rsidP="00F36B82">
            <w:pPr>
              <w:jc w:val="right"/>
              <w:rPr>
                <w:b/>
                <w:sz w:val="14"/>
                <w:szCs w:val="14"/>
              </w:rPr>
            </w:pPr>
            <w:r w:rsidRPr="00F36B82">
              <w:rPr>
                <w:b/>
                <w:bCs/>
                <w:color w:val="000000"/>
                <w:sz w:val="14"/>
                <w:szCs w:val="14"/>
              </w:rPr>
              <w:t>-</w:t>
            </w:r>
          </w:p>
        </w:tc>
        <w:tc>
          <w:tcPr>
            <w:tcW w:w="100" w:type="pct"/>
            <w:tcBorders>
              <w:top w:val="nil"/>
              <w:left w:val="nil"/>
              <w:bottom w:val="nil"/>
              <w:right w:val="nil"/>
            </w:tcBorders>
            <w:vAlign w:val="bottom"/>
          </w:tcPr>
          <w:p w14:paraId="43B93A9E" w14:textId="25D0DF50" w:rsidR="002411D3" w:rsidRPr="00F36B82" w:rsidRDefault="002411D3" w:rsidP="00F36B82">
            <w:pPr>
              <w:jc w:val="right"/>
              <w:rPr>
                <w:b/>
                <w:sz w:val="14"/>
                <w:szCs w:val="14"/>
              </w:rPr>
            </w:pPr>
            <w:r w:rsidRPr="00F36B82">
              <w:rPr>
                <w:b/>
                <w:bCs/>
                <w:color w:val="000000"/>
                <w:sz w:val="14"/>
                <w:szCs w:val="14"/>
              </w:rPr>
              <w:t>-</w:t>
            </w:r>
          </w:p>
        </w:tc>
        <w:tc>
          <w:tcPr>
            <w:tcW w:w="224" w:type="pct"/>
            <w:tcBorders>
              <w:top w:val="nil"/>
              <w:left w:val="nil"/>
              <w:bottom w:val="nil"/>
              <w:right w:val="nil"/>
            </w:tcBorders>
            <w:vAlign w:val="bottom"/>
          </w:tcPr>
          <w:p w14:paraId="340AA8C0" w14:textId="67314BE5" w:rsidR="002411D3" w:rsidRPr="00F36B82" w:rsidRDefault="002411D3" w:rsidP="00F36B82">
            <w:pPr>
              <w:jc w:val="right"/>
              <w:rPr>
                <w:b/>
                <w:sz w:val="14"/>
                <w:szCs w:val="14"/>
              </w:rPr>
            </w:pPr>
            <w:r w:rsidRPr="00F36B82">
              <w:rPr>
                <w:b/>
                <w:bCs/>
                <w:color w:val="000000"/>
                <w:sz w:val="14"/>
                <w:szCs w:val="14"/>
              </w:rPr>
              <w:t>-</w:t>
            </w:r>
          </w:p>
        </w:tc>
        <w:tc>
          <w:tcPr>
            <w:tcW w:w="240" w:type="pct"/>
            <w:tcBorders>
              <w:top w:val="nil"/>
              <w:left w:val="nil"/>
              <w:bottom w:val="nil"/>
              <w:right w:val="nil"/>
            </w:tcBorders>
            <w:vAlign w:val="bottom"/>
          </w:tcPr>
          <w:p w14:paraId="17F89010" w14:textId="5D5487AB" w:rsidR="002411D3" w:rsidRPr="00F36B82" w:rsidRDefault="002411D3" w:rsidP="00F36B82">
            <w:pPr>
              <w:jc w:val="right"/>
              <w:rPr>
                <w:b/>
                <w:sz w:val="14"/>
                <w:szCs w:val="14"/>
              </w:rPr>
            </w:pPr>
            <w:r w:rsidRPr="00F36B82">
              <w:rPr>
                <w:b/>
                <w:bCs/>
                <w:color w:val="000000"/>
                <w:sz w:val="14"/>
                <w:szCs w:val="14"/>
              </w:rPr>
              <w:t>-</w:t>
            </w:r>
          </w:p>
        </w:tc>
        <w:tc>
          <w:tcPr>
            <w:tcW w:w="268" w:type="pct"/>
            <w:tcBorders>
              <w:top w:val="nil"/>
              <w:left w:val="nil"/>
              <w:bottom w:val="nil"/>
              <w:right w:val="nil"/>
            </w:tcBorders>
            <w:vAlign w:val="bottom"/>
          </w:tcPr>
          <w:p w14:paraId="35BB8623" w14:textId="17F96E38" w:rsidR="002411D3" w:rsidRPr="00F36B82" w:rsidRDefault="002411D3" w:rsidP="00F36B82">
            <w:pPr>
              <w:jc w:val="right"/>
              <w:rPr>
                <w:b/>
                <w:sz w:val="14"/>
                <w:szCs w:val="14"/>
              </w:rPr>
            </w:pPr>
            <w:r w:rsidRPr="00F36B82">
              <w:rPr>
                <w:b/>
                <w:bCs/>
                <w:color w:val="000000"/>
                <w:sz w:val="14"/>
                <w:szCs w:val="14"/>
              </w:rPr>
              <w:t>190.159</w:t>
            </w:r>
          </w:p>
        </w:tc>
        <w:tc>
          <w:tcPr>
            <w:tcW w:w="220" w:type="pct"/>
            <w:tcBorders>
              <w:top w:val="nil"/>
              <w:left w:val="nil"/>
              <w:bottom w:val="nil"/>
              <w:right w:val="nil"/>
            </w:tcBorders>
            <w:vAlign w:val="bottom"/>
          </w:tcPr>
          <w:p w14:paraId="7615BBC3" w14:textId="2249750D" w:rsidR="002411D3" w:rsidRPr="00F36B82" w:rsidRDefault="002411D3" w:rsidP="00F36B82">
            <w:pPr>
              <w:jc w:val="right"/>
              <w:rPr>
                <w:b/>
                <w:sz w:val="14"/>
                <w:szCs w:val="14"/>
              </w:rPr>
            </w:pPr>
            <w:r w:rsidRPr="00F36B82">
              <w:rPr>
                <w:b/>
                <w:bCs/>
                <w:color w:val="000000"/>
                <w:sz w:val="14"/>
                <w:szCs w:val="14"/>
              </w:rPr>
              <w:t>-</w:t>
            </w:r>
          </w:p>
        </w:tc>
        <w:tc>
          <w:tcPr>
            <w:tcW w:w="201" w:type="pct"/>
            <w:tcBorders>
              <w:top w:val="nil"/>
              <w:left w:val="nil"/>
              <w:bottom w:val="nil"/>
              <w:right w:val="nil"/>
            </w:tcBorders>
            <w:vAlign w:val="bottom"/>
          </w:tcPr>
          <w:p w14:paraId="3AD119E2" w14:textId="1300C8B0" w:rsidR="002411D3" w:rsidRPr="00F36B82" w:rsidRDefault="002411D3" w:rsidP="00F36B82">
            <w:pPr>
              <w:jc w:val="right"/>
              <w:rPr>
                <w:b/>
                <w:sz w:val="14"/>
                <w:szCs w:val="14"/>
              </w:rPr>
            </w:pPr>
            <w:r w:rsidRPr="00F36B82">
              <w:rPr>
                <w:b/>
                <w:bCs/>
                <w:color w:val="000000"/>
                <w:sz w:val="14"/>
                <w:szCs w:val="14"/>
              </w:rPr>
              <w:t>1.740</w:t>
            </w:r>
          </w:p>
        </w:tc>
        <w:tc>
          <w:tcPr>
            <w:tcW w:w="142" w:type="pct"/>
            <w:tcBorders>
              <w:top w:val="nil"/>
              <w:left w:val="nil"/>
              <w:bottom w:val="nil"/>
              <w:right w:val="nil"/>
            </w:tcBorders>
            <w:vAlign w:val="bottom"/>
          </w:tcPr>
          <w:p w14:paraId="02DAB844" w14:textId="7CAAA013" w:rsidR="002411D3" w:rsidRPr="00F36B82" w:rsidRDefault="002411D3" w:rsidP="00F36B82">
            <w:pPr>
              <w:jc w:val="right"/>
              <w:rPr>
                <w:b/>
                <w:sz w:val="14"/>
                <w:szCs w:val="14"/>
              </w:rPr>
            </w:pPr>
            <w:r w:rsidRPr="00F36B82">
              <w:rPr>
                <w:b/>
                <w:bCs/>
                <w:color w:val="000000"/>
                <w:sz w:val="14"/>
                <w:szCs w:val="14"/>
              </w:rPr>
              <w:t>-</w:t>
            </w:r>
          </w:p>
        </w:tc>
        <w:tc>
          <w:tcPr>
            <w:tcW w:w="220" w:type="pct"/>
            <w:tcBorders>
              <w:top w:val="nil"/>
              <w:left w:val="nil"/>
              <w:bottom w:val="nil"/>
              <w:right w:val="nil"/>
            </w:tcBorders>
            <w:vAlign w:val="bottom"/>
          </w:tcPr>
          <w:p w14:paraId="1BDBAEEB" w14:textId="00BC399E" w:rsidR="002411D3" w:rsidRPr="00F36B82" w:rsidRDefault="002411D3" w:rsidP="00F36B82">
            <w:pPr>
              <w:jc w:val="right"/>
              <w:rPr>
                <w:b/>
                <w:sz w:val="14"/>
                <w:szCs w:val="14"/>
              </w:rPr>
            </w:pPr>
            <w:r w:rsidRPr="00F36B82">
              <w:rPr>
                <w:b/>
                <w:bCs/>
                <w:color w:val="000000"/>
                <w:sz w:val="14"/>
                <w:szCs w:val="14"/>
              </w:rPr>
              <w:t>-</w:t>
            </w:r>
          </w:p>
        </w:tc>
        <w:tc>
          <w:tcPr>
            <w:tcW w:w="159" w:type="pct"/>
            <w:tcBorders>
              <w:top w:val="nil"/>
              <w:left w:val="nil"/>
              <w:bottom w:val="nil"/>
              <w:right w:val="nil"/>
            </w:tcBorders>
            <w:vAlign w:val="bottom"/>
          </w:tcPr>
          <w:p w14:paraId="55D23946" w14:textId="6C46FDC8" w:rsidR="002411D3" w:rsidRPr="00F36B82" w:rsidRDefault="002411D3" w:rsidP="00F36B82">
            <w:pPr>
              <w:jc w:val="right"/>
              <w:rPr>
                <w:b/>
                <w:sz w:val="14"/>
                <w:szCs w:val="14"/>
              </w:rPr>
            </w:pPr>
            <w:r w:rsidRPr="00F36B82">
              <w:rPr>
                <w:b/>
                <w:bCs/>
                <w:color w:val="000000"/>
                <w:sz w:val="14"/>
                <w:szCs w:val="14"/>
              </w:rPr>
              <w:t>-</w:t>
            </w:r>
          </w:p>
        </w:tc>
        <w:tc>
          <w:tcPr>
            <w:tcW w:w="244" w:type="pct"/>
            <w:tcBorders>
              <w:top w:val="nil"/>
              <w:left w:val="nil"/>
              <w:bottom w:val="nil"/>
              <w:right w:val="nil"/>
            </w:tcBorders>
            <w:vAlign w:val="bottom"/>
          </w:tcPr>
          <w:p w14:paraId="7CEC2358" w14:textId="08311CEB" w:rsidR="002411D3" w:rsidRPr="00F36B82" w:rsidRDefault="002411D3" w:rsidP="00F36B82">
            <w:pPr>
              <w:jc w:val="right"/>
              <w:rPr>
                <w:b/>
                <w:sz w:val="14"/>
                <w:szCs w:val="14"/>
              </w:rPr>
            </w:pPr>
            <w:r w:rsidRPr="00F36B82">
              <w:rPr>
                <w:b/>
                <w:bCs/>
                <w:color w:val="000000"/>
                <w:sz w:val="14"/>
                <w:szCs w:val="14"/>
              </w:rPr>
              <w:t>-</w:t>
            </w:r>
          </w:p>
        </w:tc>
        <w:tc>
          <w:tcPr>
            <w:tcW w:w="244" w:type="pct"/>
            <w:tcBorders>
              <w:top w:val="nil"/>
              <w:left w:val="nil"/>
              <w:bottom w:val="nil"/>
              <w:right w:val="nil"/>
            </w:tcBorders>
            <w:vAlign w:val="bottom"/>
          </w:tcPr>
          <w:p w14:paraId="0A14DCE9" w14:textId="2A86EBC9" w:rsidR="002411D3" w:rsidRPr="00F36B82" w:rsidRDefault="002411D3" w:rsidP="00F36B82">
            <w:pPr>
              <w:jc w:val="right"/>
              <w:rPr>
                <w:b/>
                <w:sz w:val="14"/>
                <w:szCs w:val="14"/>
              </w:rPr>
            </w:pPr>
            <w:r w:rsidRPr="00F36B82">
              <w:rPr>
                <w:b/>
                <w:bCs/>
                <w:color w:val="000000"/>
                <w:sz w:val="14"/>
                <w:szCs w:val="14"/>
              </w:rPr>
              <w:t>-</w:t>
            </w:r>
          </w:p>
        </w:tc>
        <w:tc>
          <w:tcPr>
            <w:tcW w:w="244" w:type="pct"/>
            <w:tcBorders>
              <w:top w:val="nil"/>
              <w:left w:val="nil"/>
              <w:bottom w:val="nil"/>
              <w:right w:val="nil"/>
            </w:tcBorders>
            <w:vAlign w:val="bottom"/>
          </w:tcPr>
          <w:p w14:paraId="5D6B8686" w14:textId="2B24D158" w:rsidR="002411D3" w:rsidRPr="00F36B82" w:rsidRDefault="002411D3" w:rsidP="00F36B82">
            <w:pPr>
              <w:jc w:val="right"/>
              <w:rPr>
                <w:b/>
                <w:sz w:val="14"/>
                <w:szCs w:val="14"/>
              </w:rPr>
            </w:pPr>
            <w:r w:rsidRPr="00F36B82">
              <w:rPr>
                <w:b/>
                <w:bCs/>
                <w:color w:val="000000"/>
                <w:sz w:val="14"/>
                <w:szCs w:val="14"/>
              </w:rPr>
              <w:t>-</w:t>
            </w:r>
          </w:p>
        </w:tc>
        <w:tc>
          <w:tcPr>
            <w:tcW w:w="244" w:type="pct"/>
            <w:tcBorders>
              <w:top w:val="nil"/>
              <w:left w:val="nil"/>
              <w:bottom w:val="nil"/>
              <w:right w:val="nil"/>
            </w:tcBorders>
            <w:vAlign w:val="bottom"/>
          </w:tcPr>
          <w:p w14:paraId="01149F25" w14:textId="49526CBD" w:rsidR="002411D3" w:rsidRPr="00F36B82" w:rsidRDefault="002411D3" w:rsidP="00F36B82">
            <w:pPr>
              <w:jc w:val="right"/>
              <w:rPr>
                <w:b/>
                <w:sz w:val="14"/>
                <w:szCs w:val="14"/>
              </w:rPr>
            </w:pPr>
            <w:r w:rsidRPr="00F36B82">
              <w:rPr>
                <w:b/>
                <w:bCs/>
                <w:color w:val="000000"/>
                <w:sz w:val="14"/>
                <w:szCs w:val="14"/>
              </w:rPr>
              <w:t>-</w:t>
            </w:r>
          </w:p>
        </w:tc>
        <w:tc>
          <w:tcPr>
            <w:tcW w:w="244" w:type="pct"/>
            <w:tcBorders>
              <w:top w:val="nil"/>
              <w:left w:val="nil"/>
              <w:bottom w:val="nil"/>
              <w:right w:val="nil"/>
            </w:tcBorders>
            <w:vAlign w:val="bottom"/>
          </w:tcPr>
          <w:p w14:paraId="0F2A0777" w14:textId="17546E0D" w:rsidR="002411D3" w:rsidRPr="00F36B82" w:rsidRDefault="002411D3" w:rsidP="00F36B82">
            <w:pPr>
              <w:jc w:val="right"/>
              <w:rPr>
                <w:b/>
                <w:sz w:val="14"/>
                <w:szCs w:val="14"/>
              </w:rPr>
            </w:pPr>
            <w:r w:rsidRPr="00F36B82">
              <w:rPr>
                <w:b/>
                <w:bCs/>
                <w:color w:val="000000"/>
                <w:sz w:val="14"/>
                <w:szCs w:val="14"/>
              </w:rPr>
              <w:t>-</w:t>
            </w:r>
          </w:p>
        </w:tc>
        <w:tc>
          <w:tcPr>
            <w:tcW w:w="268" w:type="pct"/>
            <w:tcBorders>
              <w:top w:val="nil"/>
              <w:left w:val="nil"/>
              <w:bottom w:val="nil"/>
              <w:right w:val="nil"/>
            </w:tcBorders>
            <w:vAlign w:val="bottom"/>
          </w:tcPr>
          <w:p w14:paraId="5A6D1C79" w14:textId="56348F0F" w:rsidR="002411D3" w:rsidRPr="00F36B82" w:rsidRDefault="002411D3" w:rsidP="00F36B82">
            <w:pPr>
              <w:jc w:val="right"/>
              <w:rPr>
                <w:b/>
                <w:sz w:val="14"/>
                <w:szCs w:val="14"/>
              </w:rPr>
            </w:pPr>
            <w:r w:rsidRPr="00F36B82">
              <w:rPr>
                <w:b/>
                <w:bCs/>
                <w:color w:val="000000"/>
                <w:sz w:val="14"/>
                <w:szCs w:val="14"/>
              </w:rPr>
              <w:t>183.883</w:t>
            </w:r>
          </w:p>
        </w:tc>
        <w:tc>
          <w:tcPr>
            <w:tcW w:w="272" w:type="pct"/>
            <w:tcBorders>
              <w:top w:val="nil"/>
              <w:left w:val="nil"/>
              <w:bottom w:val="nil"/>
              <w:right w:val="nil"/>
            </w:tcBorders>
            <w:vAlign w:val="bottom"/>
          </w:tcPr>
          <w:p w14:paraId="26EA34CC" w14:textId="5BA57E9B" w:rsidR="002411D3" w:rsidRPr="00F36B82" w:rsidRDefault="002411D3" w:rsidP="00F36B82">
            <w:pPr>
              <w:jc w:val="right"/>
              <w:rPr>
                <w:b/>
                <w:sz w:val="14"/>
                <w:szCs w:val="14"/>
              </w:rPr>
            </w:pPr>
            <w:r w:rsidRPr="00F36B82">
              <w:rPr>
                <w:b/>
                <w:bCs/>
                <w:color w:val="000000"/>
                <w:sz w:val="14"/>
                <w:szCs w:val="14"/>
              </w:rPr>
              <w:t>8.016</w:t>
            </w:r>
          </w:p>
        </w:tc>
        <w:tc>
          <w:tcPr>
            <w:tcW w:w="271" w:type="pct"/>
            <w:tcBorders>
              <w:top w:val="single" w:sz="4" w:space="0" w:color="auto"/>
              <w:left w:val="nil"/>
              <w:bottom w:val="nil"/>
              <w:right w:val="nil"/>
            </w:tcBorders>
            <w:vAlign w:val="bottom"/>
          </w:tcPr>
          <w:p w14:paraId="01F84862" w14:textId="7760B25F" w:rsidR="002411D3" w:rsidRPr="00F36B82" w:rsidRDefault="002411D3" w:rsidP="00F36B82">
            <w:pPr>
              <w:jc w:val="right"/>
              <w:rPr>
                <w:b/>
                <w:sz w:val="14"/>
                <w:szCs w:val="14"/>
              </w:rPr>
            </w:pPr>
            <w:r w:rsidRPr="00F36B82">
              <w:rPr>
                <w:b/>
                <w:bCs/>
                <w:color w:val="000000"/>
                <w:sz w:val="14"/>
                <w:szCs w:val="14"/>
              </w:rPr>
              <w:t>191.899</w:t>
            </w:r>
          </w:p>
        </w:tc>
      </w:tr>
      <w:tr w:rsidR="002411D3" w:rsidRPr="00F36B82" w14:paraId="1B255398" w14:textId="77777777" w:rsidTr="00F36B82">
        <w:trPr>
          <w:trHeight w:val="133"/>
        </w:trPr>
        <w:tc>
          <w:tcPr>
            <w:tcW w:w="98" w:type="pct"/>
          </w:tcPr>
          <w:p w14:paraId="1856F2B7" w14:textId="77777777" w:rsidR="002411D3" w:rsidRPr="00F36B82" w:rsidRDefault="002411D3" w:rsidP="007A5154">
            <w:pPr>
              <w:autoSpaceDE w:val="0"/>
              <w:autoSpaceDN w:val="0"/>
              <w:adjustRightInd w:val="0"/>
              <w:ind w:left="180" w:hanging="180"/>
              <w:rPr>
                <w:rFonts w:eastAsia="Arial Unicode MS"/>
                <w:sz w:val="14"/>
                <w:szCs w:val="14"/>
              </w:rPr>
            </w:pPr>
            <w:r w:rsidRPr="00F36B82">
              <w:rPr>
                <w:rFonts w:eastAsia="Arial Unicode MS"/>
                <w:sz w:val="14"/>
                <w:szCs w:val="14"/>
              </w:rPr>
              <w:t>1.1</w:t>
            </w:r>
          </w:p>
        </w:tc>
        <w:tc>
          <w:tcPr>
            <w:tcW w:w="528" w:type="pct"/>
            <w:vAlign w:val="bottom"/>
          </w:tcPr>
          <w:p w14:paraId="5AAA15DE" w14:textId="77777777" w:rsidR="002411D3" w:rsidRPr="00F36B82" w:rsidRDefault="002411D3" w:rsidP="002411D3">
            <w:pPr>
              <w:rPr>
                <w:color w:val="000000"/>
                <w:sz w:val="14"/>
                <w:szCs w:val="14"/>
              </w:rPr>
            </w:pPr>
            <w:r w:rsidRPr="00F36B82">
              <w:rPr>
                <w:color w:val="000000"/>
                <w:sz w:val="14"/>
                <w:szCs w:val="14"/>
              </w:rPr>
              <w:t xml:space="preserve">   Çiftçilik ve Hayvancılık </w:t>
            </w:r>
          </w:p>
        </w:tc>
        <w:tc>
          <w:tcPr>
            <w:tcW w:w="240" w:type="pct"/>
            <w:tcBorders>
              <w:top w:val="nil"/>
              <w:left w:val="nil"/>
              <w:bottom w:val="nil"/>
              <w:right w:val="nil"/>
            </w:tcBorders>
            <w:vAlign w:val="bottom"/>
          </w:tcPr>
          <w:p w14:paraId="4A15D91D" w14:textId="67EC7306" w:rsidR="002411D3" w:rsidRPr="00F36B82" w:rsidRDefault="002411D3" w:rsidP="00F36B82">
            <w:pPr>
              <w:jc w:val="right"/>
              <w:rPr>
                <w:sz w:val="14"/>
                <w:szCs w:val="14"/>
              </w:rPr>
            </w:pPr>
            <w:r w:rsidRPr="00F36B82">
              <w:rPr>
                <w:color w:val="000000"/>
                <w:sz w:val="14"/>
                <w:szCs w:val="14"/>
              </w:rPr>
              <w:t>-</w:t>
            </w:r>
          </w:p>
        </w:tc>
        <w:tc>
          <w:tcPr>
            <w:tcW w:w="156" w:type="pct"/>
            <w:tcBorders>
              <w:top w:val="nil"/>
              <w:left w:val="nil"/>
              <w:bottom w:val="nil"/>
              <w:right w:val="nil"/>
            </w:tcBorders>
            <w:vAlign w:val="bottom"/>
          </w:tcPr>
          <w:p w14:paraId="433703DA" w14:textId="7261223B" w:rsidR="002411D3" w:rsidRPr="00F36B82" w:rsidRDefault="002411D3" w:rsidP="00F36B82">
            <w:pPr>
              <w:jc w:val="right"/>
              <w:rPr>
                <w:sz w:val="14"/>
                <w:szCs w:val="14"/>
              </w:rPr>
            </w:pPr>
            <w:r w:rsidRPr="00F36B82">
              <w:rPr>
                <w:color w:val="000000"/>
                <w:sz w:val="14"/>
                <w:szCs w:val="14"/>
              </w:rPr>
              <w:t>-</w:t>
            </w:r>
          </w:p>
        </w:tc>
        <w:tc>
          <w:tcPr>
            <w:tcW w:w="173" w:type="pct"/>
            <w:tcBorders>
              <w:top w:val="nil"/>
              <w:left w:val="nil"/>
              <w:bottom w:val="nil"/>
              <w:right w:val="nil"/>
            </w:tcBorders>
            <w:vAlign w:val="bottom"/>
          </w:tcPr>
          <w:p w14:paraId="309BA5A0" w14:textId="136A3FCF" w:rsidR="002411D3" w:rsidRPr="00F36B82" w:rsidRDefault="002411D3" w:rsidP="00F36B82">
            <w:pPr>
              <w:jc w:val="right"/>
              <w:rPr>
                <w:sz w:val="14"/>
                <w:szCs w:val="14"/>
              </w:rPr>
            </w:pPr>
            <w:r w:rsidRPr="00F36B82">
              <w:rPr>
                <w:color w:val="000000"/>
                <w:sz w:val="14"/>
                <w:szCs w:val="14"/>
              </w:rPr>
              <w:t>-</w:t>
            </w:r>
          </w:p>
        </w:tc>
        <w:tc>
          <w:tcPr>
            <w:tcW w:w="100" w:type="pct"/>
            <w:tcBorders>
              <w:top w:val="nil"/>
              <w:left w:val="nil"/>
              <w:bottom w:val="nil"/>
              <w:right w:val="nil"/>
            </w:tcBorders>
            <w:vAlign w:val="bottom"/>
          </w:tcPr>
          <w:p w14:paraId="5E2DC663" w14:textId="27B168BC" w:rsidR="002411D3" w:rsidRPr="00F36B82" w:rsidRDefault="002411D3" w:rsidP="00F36B82">
            <w:pPr>
              <w:jc w:val="right"/>
              <w:rPr>
                <w:sz w:val="14"/>
                <w:szCs w:val="14"/>
              </w:rPr>
            </w:pPr>
            <w:r w:rsidRPr="00F36B82">
              <w:rPr>
                <w:color w:val="000000"/>
                <w:sz w:val="14"/>
                <w:szCs w:val="14"/>
              </w:rPr>
              <w:t>-</w:t>
            </w:r>
          </w:p>
        </w:tc>
        <w:tc>
          <w:tcPr>
            <w:tcW w:w="224" w:type="pct"/>
            <w:tcBorders>
              <w:top w:val="nil"/>
              <w:left w:val="nil"/>
              <w:bottom w:val="nil"/>
              <w:right w:val="nil"/>
            </w:tcBorders>
            <w:vAlign w:val="bottom"/>
          </w:tcPr>
          <w:p w14:paraId="1D20A6F3" w14:textId="4C06E55A" w:rsidR="002411D3" w:rsidRPr="00F36B82" w:rsidRDefault="002411D3" w:rsidP="00F36B82">
            <w:pPr>
              <w:jc w:val="right"/>
              <w:rPr>
                <w:sz w:val="14"/>
                <w:szCs w:val="14"/>
              </w:rPr>
            </w:pPr>
            <w:r w:rsidRPr="00F36B82">
              <w:rPr>
                <w:color w:val="000000"/>
                <w:sz w:val="14"/>
                <w:szCs w:val="14"/>
              </w:rPr>
              <w:t>-</w:t>
            </w:r>
          </w:p>
        </w:tc>
        <w:tc>
          <w:tcPr>
            <w:tcW w:w="240" w:type="pct"/>
            <w:tcBorders>
              <w:top w:val="nil"/>
              <w:left w:val="nil"/>
              <w:bottom w:val="nil"/>
              <w:right w:val="nil"/>
            </w:tcBorders>
            <w:vAlign w:val="bottom"/>
          </w:tcPr>
          <w:p w14:paraId="08B169BC" w14:textId="00AF1BE9" w:rsidR="002411D3" w:rsidRPr="00F36B82" w:rsidRDefault="002411D3" w:rsidP="00F36B82">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19320048" w14:textId="01A796AA" w:rsidR="002411D3" w:rsidRPr="00F36B82" w:rsidRDefault="002411D3" w:rsidP="00F36B82">
            <w:pPr>
              <w:jc w:val="right"/>
              <w:rPr>
                <w:sz w:val="14"/>
                <w:szCs w:val="14"/>
              </w:rPr>
            </w:pPr>
            <w:r w:rsidRPr="00F36B82">
              <w:rPr>
                <w:color w:val="000000"/>
                <w:sz w:val="14"/>
                <w:szCs w:val="14"/>
              </w:rPr>
              <w:t>190.159</w:t>
            </w:r>
          </w:p>
        </w:tc>
        <w:tc>
          <w:tcPr>
            <w:tcW w:w="220" w:type="pct"/>
            <w:tcBorders>
              <w:top w:val="nil"/>
              <w:left w:val="nil"/>
              <w:bottom w:val="nil"/>
              <w:right w:val="nil"/>
            </w:tcBorders>
            <w:vAlign w:val="bottom"/>
          </w:tcPr>
          <w:p w14:paraId="2E41795D" w14:textId="123A16E1" w:rsidR="002411D3" w:rsidRPr="00F36B82" w:rsidRDefault="002411D3" w:rsidP="00F36B82">
            <w:pPr>
              <w:jc w:val="right"/>
              <w:rPr>
                <w:sz w:val="14"/>
                <w:szCs w:val="14"/>
              </w:rPr>
            </w:pPr>
            <w:r w:rsidRPr="00F36B82">
              <w:rPr>
                <w:color w:val="000000"/>
                <w:sz w:val="14"/>
                <w:szCs w:val="14"/>
              </w:rPr>
              <w:t>-</w:t>
            </w:r>
          </w:p>
        </w:tc>
        <w:tc>
          <w:tcPr>
            <w:tcW w:w="201" w:type="pct"/>
            <w:tcBorders>
              <w:top w:val="nil"/>
              <w:left w:val="nil"/>
              <w:bottom w:val="nil"/>
              <w:right w:val="nil"/>
            </w:tcBorders>
            <w:vAlign w:val="bottom"/>
          </w:tcPr>
          <w:p w14:paraId="20D9A8E6" w14:textId="7C3B52BD" w:rsidR="002411D3" w:rsidRPr="00F36B82" w:rsidRDefault="002411D3" w:rsidP="00F36B82">
            <w:pPr>
              <w:jc w:val="right"/>
              <w:rPr>
                <w:sz w:val="14"/>
                <w:szCs w:val="14"/>
              </w:rPr>
            </w:pPr>
            <w:r w:rsidRPr="00F36B82">
              <w:rPr>
                <w:color w:val="000000"/>
                <w:sz w:val="14"/>
                <w:szCs w:val="14"/>
              </w:rPr>
              <w:t>1.740</w:t>
            </w:r>
          </w:p>
        </w:tc>
        <w:tc>
          <w:tcPr>
            <w:tcW w:w="142" w:type="pct"/>
            <w:tcBorders>
              <w:top w:val="nil"/>
              <w:left w:val="nil"/>
              <w:bottom w:val="nil"/>
              <w:right w:val="nil"/>
            </w:tcBorders>
            <w:vAlign w:val="bottom"/>
          </w:tcPr>
          <w:p w14:paraId="5931374D" w14:textId="1D3E15B2" w:rsidR="002411D3" w:rsidRPr="00F36B82" w:rsidRDefault="002411D3" w:rsidP="00F36B82">
            <w:pPr>
              <w:jc w:val="right"/>
              <w:rPr>
                <w:sz w:val="14"/>
                <w:szCs w:val="14"/>
              </w:rPr>
            </w:pPr>
            <w:r w:rsidRPr="00F36B82">
              <w:rPr>
                <w:color w:val="000000"/>
                <w:sz w:val="14"/>
                <w:szCs w:val="14"/>
              </w:rPr>
              <w:t>-</w:t>
            </w:r>
          </w:p>
        </w:tc>
        <w:tc>
          <w:tcPr>
            <w:tcW w:w="220" w:type="pct"/>
            <w:tcBorders>
              <w:top w:val="nil"/>
              <w:left w:val="nil"/>
              <w:bottom w:val="nil"/>
              <w:right w:val="nil"/>
            </w:tcBorders>
            <w:vAlign w:val="bottom"/>
          </w:tcPr>
          <w:p w14:paraId="50236435" w14:textId="48F91B91" w:rsidR="002411D3" w:rsidRPr="00F36B82" w:rsidRDefault="002411D3" w:rsidP="00F36B82">
            <w:pPr>
              <w:jc w:val="right"/>
              <w:rPr>
                <w:sz w:val="14"/>
                <w:szCs w:val="14"/>
              </w:rPr>
            </w:pPr>
            <w:r w:rsidRPr="00F36B82">
              <w:rPr>
                <w:color w:val="000000"/>
                <w:sz w:val="14"/>
                <w:szCs w:val="14"/>
              </w:rPr>
              <w:t>-</w:t>
            </w:r>
          </w:p>
        </w:tc>
        <w:tc>
          <w:tcPr>
            <w:tcW w:w="159" w:type="pct"/>
            <w:tcBorders>
              <w:top w:val="nil"/>
              <w:left w:val="nil"/>
              <w:bottom w:val="nil"/>
              <w:right w:val="nil"/>
            </w:tcBorders>
            <w:vAlign w:val="bottom"/>
          </w:tcPr>
          <w:p w14:paraId="78C819EB" w14:textId="719DD717"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2F975651" w14:textId="0301A31E"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5BD72456" w14:textId="2EB95EC8"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6799D8F2" w14:textId="7D109CBE"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1424B6B9" w14:textId="78534AD5"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5F82A5E1" w14:textId="5409F712" w:rsidR="002411D3" w:rsidRPr="00F36B82" w:rsidRDefault="002411D3" w:rsidP="00F36B82">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32229E4D" w14:textId="5E7508E2" w:rsidR="002411D3" w:rsidRPr="00F36B82" w:rsidRDefault="002411D3" w:rsidP="00F36B82">
            <w:pPr>
              <w:jc w:val="right"/>
              <w:rPr>
                <w:sz w:val="14"/>
                <w:szCs w:val="14"/>
              </w:rPr>
            </w:pPr>
            <w:r w:rsidRPr="00F36B82">
              <w:rPr>
                <w:color w:val="000000"/>
                <w:sz w:val="14"/>
                <w:szCs w:val="14"/>
              </w:rPr>
              <w:t>183.883</w:t>
            </w:r>
          </w:p>
        </w:tc>
        <w:tc>
          <w:tcPr>
            <w:tcW w:w="272" w:type="pct"/>
            <w:tcBorders>
              <w:top w:val="nil"/>
              <w:left w:val="nil"/>
              <w:bottom w:val="nil"/>
              <w:right w:val="nil"/>
            </w:tcBorders>
            <w:vAlign w:val="bottom"/>
          </w:tcPr>
          <w:p w14:paraId="751FC995" w14:textId="75C233D4" w:rsidR="002411D3" w:rsidRPr="00F36B82" w:rsidRDefault="002411D3" w:rsidP="00F36B82">
            <w:pPr>
              <w:jc w:val="right"/>
              <w:rPr>
                <w:sz w:val="14"/>
                <w:szCs w:val="14"/>
              </w:rPr>
            </w:pPr>
            <w:r w:rsidRPr="00F36B82">
              <w:rPr>
                <w:color w:val="000000"/>
                <w:sz w:val="14"/>
                <w:szCs w:val="14"/>
              </w:rPr>
              <w:t>8.016</w:t>
            </w:r>
          </w:p>
        </w:tc>
        <w:tc>
          <w:tcPr>
            <w:tcW w:w="271" w:type="pct"/>
            <w:tcBorders>
              <w:top w:val="nil"/>
              <w:left w:val="nil"/>
              <w:bottom w:val="nil"/>
              <w:right w:val="nil"/>
            </w:tcBorders>
            <w:vAlign w:val="bottom"/>
          </w:tcPr>
          <w:p w14:paraId="5F85629F" w14:textId="003F42F6" w:rsidR="002411D3" w:rsidRPr="00F36B82" w:rsidRDefault="002411D3" w:rsidP="00F36B82">
            <w:pPr>
              <w:jc w:val="right"/>
              <w:rPr>
                <w:sz w:val="14"/>
                <w:szCs w:val="14"/>
              </w:rPr>
            </w:pPr>
            <w:r w:rsidRPr="00F36B82">
              <w:rPr>
                <w:b/>
                <w:bCs/>
                <w:color w:val="000000"/>
                <w:sz w:val="14"/>
                <w:szCs w:val="14"/>
              </w:rPr>
              <w:t>191.899</w:t>
            </w:r>
          </w:p>
        </w:tc>
      </w:tr>
      <w:tr w:rsidR="002411D3" w:rsidRPr="00F36B82" w14:paraId="5CEECB52" w14:textId="77777777" w:rsidTr="00F36B82">
        <w:trPr>
          <w:trHeight w:val="133"/>
        </w:trPr>
        <w:tc>
          <w:tcPr>
            <w:tcW w:w="98" w:type="pct"/>
          </w:tcPr>
          <w:p w14:paraId="02049BEE" w14:textId="77777777" w:rsidR="002411D3" w:rsidRPr="00F36B82" w:rsidRDefault="002411D3" w:rsidP="007A5154">
            <w:pPr>
              <w:autoSpaceDE w:val="0"/>
              <w:autoSpaceDN w:val="0"/>
              <w:adjustRightInd w:val="0"/>
              <w:ind w:left="180" w:hanging="180"/>
              <w:rPr>
                <w:rFonts w:eastAsia="Arial Unicode MS"/>
                <w:sz w:val="14"/>
                <w:szCs w:val="14"/>
              </w:rPr>
            </w:pPr>
            <w:r w:rsidRPr="00F36B82">
              <w:rPr>
                <w:rFonts w:eastAsia="Arial Unicode MS"/>
                <w:sz w:val="14"/>
                <w:szCs w:val="14"/>
              </w:rPr>
              <w:t>1.2</w:t>
            </w:r>
          </w:p>
        </w:tc>
        <w:tc>
          <w:tcPr>
            <w:tcW w:w="528" w:type="pct"/>
            <w:vAlign w:val="bottom"/>
          </w:tcPr>
          <w:p w14:paraId="05DEA54C" w14:textId="77777777" w:rsidR="002411D3" w:rsidRPr="00F36B82" w:rsidRDefault="002411D3" w:rsidP="002411D3">
            <w:pPr>
              <w:rPr>
                <w:color w:val="000000"/>
                <w:sz w:val="14"/>
                <w:szCs w:val="14"/>
              </w:rPr>
            </w:pPr>
            <w:r w:rsidRPr="00F36B82">
              <w:rPr>
                <w:color w:val="000000"/>
                <w:sz w:val="14"/>
                <w:szCs w:val="14"/>
              </w:rPr>
              <w:t xml:space="preserve">   Ormancılık</w:t>
            </w:r>
          </w:p>
        </w:tc>
        <w:tc>
          <w:tcPr>
            <w:tcW w:w="240" w:type="pct"/>
            <w:tcBorders>
              <w:top w:val="nil"/>
              <w:left w:val="nil"/>
              <w:bottom w:val="nil"/>
              <w:right w:val="nil"/>
            </w:tcBorders>
            <w:vAlign w:val="bottom"/>
          </w:tcPr>
          <w:p w14:paraId="4978120D" w14:textId="7B4C6E21" w:rsidR="002411D3" w:rsidRPr="00F36B82" w:rsidRDefault="002411D3" w:rsidP="00F36B82">
            <w:pPr>
              <w:jc w:val="right"/>
              <w:rPr>
                <w:sz w:val="14"/>
                <w:szCs w:val="14"/>
              </w:rPr>
            </w:pPr>
            <w:r w:rsidRPr="00F36B82">
              <w:rPr>
                <w:color w:val="000000"/>
                <w:sz w:val="14"/>
                <w:szCs w:val="14"/>
              </w:rPr>
              <w:t>-</w:t>
            </w:r>
          </w:p>
        </w:tc>
        <w:tc>
          <w:tcPr>
            <w:tcW w:w="156" w:type="pct"/>
            <w:tcBorders>
              <w:top w:val="nil"/>
              <w:left w:val="nil"/>
              <w:bottom w:val="nil"/>
              <w:right w:val="nil"/>
            </w:tcBorders>
            <w:vAlign w:val="bottom"/>
          </w:tcPr>
          <w:p w14:paraId="1E596B76" w14:textId="68ED9766" w:rsidR="002411D3" w:rsidRPr="00F36B82" w:rsidRDefault="002411D3" w:rsidP="00F36B82">
            <w:pPr>
              <w:jc w:val="right"/>
              <w:rPr>
                <w:sz w:val="14"/>
                <w:szCs w:val="14"/>
              </w:rPr>
            </w:pPr>
            <w:r w:rsidRPr="00F36B82">
              <w:rPr>
                <w:color w:val="000000"/>
                <w:sz w:val="14"/>
                <w:szCs w:val="14"/>
              </w:rPr>
              <w:t>-</w:t>
            </w:r>
          </w:p>
        </w:tc>
        <w:tc>
          <w:tcPr>
            <w:tcW w:w="173" w:type="pct"/>
            <w:tcBorders>
              <w:top w:val="nil"/>
              <w:left w:val="nil"/>
              <w:bottom w:val="nil"/>
              <w:right w:val="nil"/>
            </w:tcBorders>
            <w:vAlign w:val="bottom"/>
          </w:tcPr>
          <w:p w14:paraId="677C43E3" w14:textId="17DE5052" w:rsidR="002411D3" w:rsidRPr="00F36B82" w:rsidRDefault="002411D3" w:rsidP="00F36B82">
            <w:pPr>
              <w:jc w:val="right"/>
              <w:rPr>
                <w:sz w:val="14"/>
                <w:szCs w:val="14"/>
              </w:rPr>
            </w:pPr>
            <w:r w:rsidRPr="00F36B82">
              <w:rPr>
                <w:color w:val="000000"/>
                <w:sz w:val="14"/>
                <w:szCs w:val="14"/>
              </w:rPr>
              <w:t>-</w:t>
            </w:r>
          </w:p>
        </w:tc>
        <w:tc>
          <w:tcPr>
            <w:tcW w:w="100" w:type="pct"/>
            <w:tcBorders>
              <w:top w:val="nil"/>
              <w:left w:val="nil"/>
              <w:bottom w:val="nil"/>
              <w:right w:val="nil"/>
            </w:tcBorders>
            <w:vAlign w:val="bottom"/>
          </w:tcPr>
          <w:p w14:paraId="25455A3F" w14:textId="37F6B422" w:rsidR="002411D3" w:rsidRPr="00F36B82" w:rsidRDefault="002411D3" w:rsidP="00F36B82">
            <w:pPr>
              <w:jc w:val="right"/>
              <w:rPr>
                <w:sz w:val="14"/>
                <w:szCs w:val="14"/>
              </w:rPr>
            </w:pPr>
            <w:r w:rsidRPr="00F36B82">
              <w:rPr>
                <w:color w:val="000000"/>
                <w:sz w:val="14"/>
                <w:szCs w:val="14"/>
              </w:rPr>
              <w:t>-</w:t>
            </w:r>
          </w:p>
        </w:tc>
        <w:tc>
          <w:tcPr>
            <w:tcW w:w="224" w:type="pct"/>
            <w:tcBorders>
              <w:top w:val="nil"/>
              <w:left w:val="nil"/>
              <w:bottom w:val="nil"/>
              <w:right w:val="nil"/>
            </w:tcBorders>
            <w:vAlign w:val="bottom"/>
          </w:tcPr>
          <w:p w14:paraId="70A3E33F" w14:textId="79F42948" w:rsidR="002411D3" w:rsidRPr="00F36B82" w:rsidRDefault="002411D3" w:rsidP="00F36B82">
            <w:pPr>
              <w:jc w:val="right"/>
              <w:rPr>
                <w:sz w:val="14"/>
                <w:szCs w:val="14"/>
              </w:rPr>
            </w:pPr>
            <w:r w:rsidRPr="00F36B82">
              <w:rPr>
                <w:color w:val="000000"/>
                <w:sz w:val="14"/>
                <w:szCs w:val="14"/>
              </w:rPr>
              <w:t>-</w:t>
            </w:r>
          </w:p>
        </w:tc>
        <w:tc>
          <w:tcPr>
            <w:tcW w:w="240" w:type="pct"/>
            <w:tcBorders>
              <w:top w:val="nil"/>
              <w:left w:val="nil"/>
              <w:bottom w:val="nil"/>
              <w:right w:val="nil"/>
            </w:tcBorders>
            <w:vAlign w:val="bottom"/>
          </w:tcPr>
          <w:p w14:paraId="5A51E936" w14:textId="11C8CFCC" w:rsidR="002411D3" w:rsidRPr="00F36B82" w:rsidRDefault="002411D3" w:rsidP="00F36B82">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136CAA3E" w14:textId="0F297D92" w:rsidR="002411D3" w:rsidRPr="00F36B82" w:rsidRDefault="002411D3" w:rsidP="00F36B82">
            <w:pPr>
              <w:jc w:val="right"/>
              <w:rPr>
                <w:sz w:val="14"/>
                <w:szCs w:val="14"/>
              </w:rPr>
            </w:pPr>
            <w:r w:rsidRPr="00F36B82">
              <w:rPr>
                <w:color w:val="000000"/>
                <w:sz w:val="14"/>
                <w:szCs w:val="14"/>
              </w:rPr>
              <w:t>-</w:t>
            </w:r>
          </w:p>
        </w:tc>
        <w:tc>
          <w:tcPr>
            <w:tcW w:w="220" w:type="pct"/>
            <w:tcBorders>
              <w:top w:val="nil"/>
              <w:left w:val="nil"/>
              <w:bottom w:val="nil"/>
              <w:right w:val="nil"/>
            </w:tcBorders>
            <w:vAlign w:val="bottom"/>
          </w:tcPr>
          <w:p w14:paraId="4ACBB609" w14:textId="6772C0DE" w:rsidR="002411D3" w:rsidRPr="00F36B82" w:rsidRDefault="002411D3" w:rsidP="00F36B82">
            <w:pPr>
              <w:jc w:val="right"/>
              <w:rPr>
                <w:sz w:val="14"/>
                <w:szCs w:val="14"/>
              </w:rPr>
            </w:pPr>
            <w:r w:rsidRPr="00F36B82">
              <w:rPr>
                <w:color w:val="000000"/>
                <w:sz w:val="14"/>
                <w:szCs w:val="14"/>
              </w:rPr>
              <w:t>-</w:t>
            </w:r>
          </w:p>
        </w:tc>
        <w:tc>
          <w:tcPr>
            <w:tcW w:w="201" w:type="pct"/>
            <w:tcBorders>
              <w:top w:val="nil"/>
              <w:left w:val="nil"/>
              <w:bottom w:val="nil"/>
              <w:right w:val="nil"/>
            </w:tcBorders>
            <w:vAlign w:val="bottom"/>
          </w:tcPr>
          <w:p w14:paraId="041342E0" w14:textId="09A5141B" w:rsidR="002411D3" w:rsidRPr="00F36B82" w:rsidRDefault="002411D3" w:rsidP="00F36B82">
            <w:pPr>
              <w:jc w:val="right"/>
              <w:rPr>
                <w:sz w:val="14"/>
                <w:szCs w:val="14"/>
              </w:rPr>
            </w:pPr>
            <w:r w:rsidRPr="00F36B82">
              <w:rPr>
                <w:color w:val="000000"/>
                <w:sz w:val="14"/>
                <w:szCs w:val="14"/>
              </w:rPr>
              <w:t>-</w:t>
            </w:r>
          </w:p>
        </w:tc>
        <w:tc>
          <w:tcPr>
            <w:tcW w:w="142" w:type="pct"/>
            <w:tcBorders>
              <w:top w:val="nil"/>
              <w:left w:val="nil"/>
              <w:bottom w:val="nil"/>
              <w:right w:val="nil"/>
            </w:tcBorders>
            <w:vAlign w:val="bottom"/>
          </w:tcPr>
          <w:p w14:paraId="71F9496A" w14:textId="4907CECA" w:rsidR="002411D3" w:rsidRPr="00F36B82" w:rsidRDefault="002411D3" w:rsidP="00F36B82">
            <w:pPr>
              <w:jc w:val="right"/>
              <w:rPr>
                <w:sz w:val="14"/>
                <w:szCs w:val="14"/>
              </w:rPr>
            </w:pPr>
            <w:r w:rsidRPr="00F36B82">
              <w:rPr>
                <w:color w:val="000000"/>
                <w:sz w:val="14"/>
                <w:szCs w:val="14"/>
              </w:rPr>
              <w:t>-</w:t>
            </w:r>
          </w:p>
        </w:tc>
        <w:tc>
          <w:tcPr>
            <w:tcW w:w="220" w:type="pct"/>
            <w:tcBorders>
              <w:top w:val="nil"/>
              <w:left w:val="nil"/>
              <w:bottom w:val="nil"/>
              <w:right w:val="nil"/>
            </w:tcBorders>
            <w:vAlign w:val="bottom"/>
          </w:tcPr>
          <w:p w14:paraId="038250A3" w14:textId="2C26022A" w:rsidR="002411D3" w:rsidRPr="00F36B82" w:rsidRDefault="002411D3" w:rsidP="00F36B82">
            <w:pPr>
              <w:jc w:val="right"/>
              <w:rPr>
                <w:sz w:val="14"/>
                <w:szCs w:val="14"/>
              </w:rPr>
            </w:pPr>
            <w:r w:rsidRPr="00F36B82">
              <w:rPr>
                <w:color w:val="000000"/>
                <w:sz w:val="14"/>
                <w:szCs w:val="14"/>
              </w:rPr>
              <w:t>-</w:t>
            </w:r>
          </w:p>
        </w:tc>
        <w:tc>
          <w:tcPr>
            <w:tcW w:w="159" w:type="pct"/>
            <w:tcBorders>
              <w:top w:val="nil"/>
              <w:left w:val="nil"/>
              <w:bottom w:val="nil"/>
              <w:right w:val="nil"/>
            </w:tcBorders>
            <w:vAlign w:val="bottom"/>
          </w:tcPr>
          <w:p w14:paraId="395C2AB2" w14:textId="7F9DF635"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1FDED252" w14:textId="694F2B62"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42375D98" w14:textId="459DB7B5"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610E66D6" w14:textId="0B240AA9"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008BF8B0" w14:textId="6CA76F28"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14D01C5B" w14:textId="7E636B11" w:rsidR="002411D3" w:rsidRPr="00F36B82" w:rsidRDefault="002411D3" w:rsidP="00F36B82">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0EDC8D2E" w14:textId="35D67724" w:rsidR="002411D3" w:rsidRPr="00F36B82" w:rsidRDefault="002411D3" w:rsidP="00F36B82">
            <w:pPr>
              <w:jc w:val="right"/>
              <w:rPr>
                <w:sz w:val="14"/>
                <w:szCs w:val="14"/>
              </w:rPr>
            </w:pPr>
            <w:r w:rsidRPr="00F36B82">
              <w:rPr>
                <w:color w:val="000000"/>
                <w:sz w:val="14"/>
                <w:szCs w:val="14"/>
              </w:rPr>
              <w:t>-</w:t>
            </w:r>
          </w:p>
        </w:tc>
        <w:tc>
          <w:tcPr>
            <w:tcW w:w="272" w:type="pct"/>
            <w:tcBorders>
              <w:top w:val="nil"/>
              <w:left w:val="nil"/>
              <w:bottom w:val="nil"/>
              <w:right w:val="nil"/>
            </w:tcBorders>
            <w:vAlign w:val="bottom"/>
          </w:tcPr>
          <w:p w14:paraId="3E20CC94" w14:textId="09266ADA" w:rsidR="002411D3" w:rsidRPr="00F36B82" w:rsidRDefault="002411D3" w:rsidP="00F36B82">
            <w:pPr>
              <w:jc w:val="right"/>
              <w:rPr>
                <w:sz w:val="14"/>
                <w:szCs w:val="14"/>
              </w:rPr>
            </w:pPr>
            <w:r w:rsidRPr="00F36B82">
              <w:rPr>
                <w:color w:val="000000"/>
                <w:sz w:val="14"/>
                <w:szCs w:val="14"/>
              </w:rPr>
              <w:t>-</w:t>
            </w:r>
          </w:p>
        </w:tc>
        <w:tc>
          <w:tcPr>
            <w:tcW w:w="271" w:type="pct"/>
            <w:tcBorders>
              <w:top w:val="nil"/>
              <w:left w:val="nil"/>
              <w:bottom w:val="nil"/>
              <w:right w:val="nil"/>
            </w:tcBorders>
            <w:vAlign w:val="bottom"/>
          </w:tcPr>
          <w:p w14:paraId="0B552811" w14:textId="55D910FC" w:rsidR="002411D3" w:rsidRPr="00F36B82" w:rsidRDefault="002411D3" w:rsidP="00F36B82">
            <w:pPr>
              <w:jc w:val="right"/>
              <w:rPr>
                <w:sz w:val="14"/>
                <w:szCs w:val="14"/>
              </w:rPr>
            </w:pPr>
            <w:r w:rsidRPr="00F36B82">
              <w:rPr>
                <w:color w:val="000000"/>
                <w:sz w:val="14"/>
                <w:szCs w:val="14"/>
              </w:rPr>
              <w:t>-</w:t>
            </w:r>
          </w:p>
        </w:tc>
      </w:tr>
      <w:tr w:rsidR="002411D3" w:rsidRPr="00F36B82" w14:paraId="25C17589" w14:textId="77777777" w:rsidTr="00F36B82">
        <w:trPr>
          <w:trHeight w:val="133"/>
        </w:trPr>
        <w:tc>
          <w:tcPr>
            <w:tcW w:w="98" w:type="pct"/>
          </w:tcPr>
          <w:p w14:paraId="4FFAFD01" w14:textId="77777777" w:rsidR="002411D3" w:rsidRPr="00F36B82" w:rsidRDefault="002411D3" w:rsidP="007A5154">
            <w:pPr>
              <w:autoSpaceDE w:val="0"/>
              <w:autoSpaceDN w:val="0"/>
              <w:adjustRightInd w:val="0"/>
              <w:ind w:left="180" w:hanging="180"/>
              <w:rPr>
                <w:rFonts w:eastAsia="Arial Unicode MS"/>
                <w:sz w:val="14"/>
                <w:szCs w:val="14"/>
              </w:rPr>
            </w:pPr>
            <w:r w:rsidRPr="00F36B82">
              <w:rPr>
                <w:rFonts w:eastAsia="Arial Unicode MS"/>
                <w:sz w:val="14"/>
                <w:szCs w:val="14"/>
              </w:rPr>
              <w:t>1.3</w:t>
            </w:r>
          </w:p>
        </w:tc>
        <w:tc>
          <w:tcPr>
            <w:tcW w:w="528" w:type="pct"/>
            <w:vAlign w:val="bottom"/>
          </w:tcPr>
          <w:p w14:paraId="6AC8DEA3" w14:textId="77777777" w:rsidR="002411D3" w:rsidRPr="00F36B82" w:rsidRDefault="002411D3" w:rsidP="002411D3">
            <w:pPr>
              <w:rPr>
                <w:color w:val="000000"/>
                <w:sz w:val="14"/>
                <w:szCs w:val="14"/>
              </w:rPr>
            </w:pPr>
            <w:r w:rsidRPr="00F36B82">
              <w:rPr>
                <w:color w:val="000000"/>
                <w:sz w:val="14"/>
                <w:szCs w:val="14"/>
              </w:rPr>
              <w:t xml:space="preserve">   Balıkçılık</w:t>
            </w:r>
          </w:p>
        </w:tc>
        <w:tc>
          <w:tcPr>
            <w:tcW w:w="240" w:type="pct"/>
            <w:tcBorders>
              <w:top w:val="nil"/>
              <w:left w:val="nil"/>
              <w:bottom w:val="nil"/>
              <w:right w:val="nil"/>
            </w:tcBorders>
            <w:vAlign w:val="bottom"/>
          </w:tcPr>
          <w:p w14:paraId="3711F3CC" w14:textId="1B90D808" w:rsidR="002411D3" w:rsidRPr="00F36B82" w:rsidRDefault="002411D3" w:rsidP="00F36B82">
            <w:pPr>
              <w:jc w:val="right"/>
              <w:rPr>
                <w:sz w:val="14"/>
                <w:szCs w:val="14"/>
              </w:rPr>
            </w:pPr>
            <w:r w:rsidRPr="00F36B82">
              <w:rPr>
                <w:color w:val="000000"/>
                <w:sz w:val="14"/>
                <w:szCs w:val="14"/>
              </w:rPr>
              <w:t>-</w:t>
            </w:r>
          </w:p>
        </w:tc>
        <w:tc>
          <w:tcPr>
            <w:tcW w:w="156" w:type="pct"/>
            <w:tcBorders>
              <w:top w:val="nil"/>
              <w:left w:val="nil"/>
              <w:bottom w:val="nil"/>
              <w:right w:val="nil"/>
            </w:tcBorders>
            <w:vAlign w:val="bottom"/>
          </w:tcPr>
          <w:p w14:paraId="46C2B831" w14:textId="3CF91634" w:rsidR="002411D3" w:rsidRPr="00F36B82" w:rsidRDefault="002411D3" w:rsidP="00F36B82">
            <w:pPr>
              <w:jc w:val="right"/>
              <w:rPr>
                <w:sz w:val="14"/>
                <w:szCs w:val="14"/>
              </w:rPr>
            </w:pPr>
            <w:r w:rsidRPr="00F36B82">
              <w:rPr>
                <w:color w:val="000000"/>
                <w:sz w:val="14"/>
                <w:szCs w:val="14"/>
              </w:rPr>
              <w:t>-</w:t>
            </w:r>
          </w:p>
        </w:tc>
        <w:tc>
          <w:tcPr>
            <w:tcW w:w="173" w:type="pct"/>
            <w:tcBorders>
              <w:top w:val="nil"/>
              <w:left w:val="nil"/>
              <w:bottom w:val="nil"/>
              <w:right w:val="nil"/>
            </w:tcBorders>
            <w:vAlign w:val="bottom"/>
          </w:tcPr>
          <w:p w14:paraId="37211CE6" w14:textId="2FB6FE48" w:rsidR="002411D3" w:rsidRPr="00F36B82" w:rsidRDefault="002411D3" w:rsidP="00F36B82">
            <w:pPr>
              <w:jc w:val="right"/>
              <w:rPr>
                <w:sz w:val="14"/>
                <w:szCs w:val="14"/>
              </w:rPr>
            </w:pPr>
            <w:r w:rsidRPr="00F36B82">
              <w:rPr>
                <w:color w:val="000000"/>
                <w:sz w:val="14"/>
                <w:szCs w:val="14"/>
              </w:rPr>
              <w:t>-</w:t>
            </w:r>
          </w:p>
        </w:tc>
        <w:tc>
          <w:tcPr>
            <w:tcW w:w="100" w:type="pct"/>
            <w:tcBorders>
              <w:top w:val="nil"/>
              <w:left w:val="nil"/>
              <w:bottom w:val="nil"/>
              <w:right w:val="nil"/>
            </w:tcBorders>
            <w:vAlign w:val="bottom"/>
          </w:tcPr>
          <w:p w14:paraId="0C5E6904" w14:textId="0465CD63" w:rsidR="002411D3" w:rsidRPr="00F36B82" w:rsidRDefault="002411D3" w:rsidP="00F36B82">
            <w:pPr>
              <w:jc w:val="right"/>
              <w:rPr>
                <w:sz w:val="14"/>
                <w:szCs w:val="14"/>
              </w:rPr>
            </w:pPr>
            <w:r w:rsidRPr="00F36B82">
              <w:rPr>
                <w:color w:val="000000"/>
                <w:sz w:val="14"/>
                <w:szCs w:val="14"/>
              </w:rPr>
              <w:t>-</w:t>
            </w:r>
          </w:p>
        </w:tc>
        <w:tc>
          <w:tcPr>
            <w:tcW w:w="224" w:type="pct"/>
            <w:tcBorders>
              <w:top w:val="nil"/>
              <w:left w:val="nil"/>
              <w:bottom w:val="nil"/>
              <w:right w:val="nil"/>
            </w:tcBorders>
            <w:vAlign w:val="bottom"/>
          </w:tcPr>
          <w:p w14:paraId="1CEF808B" w14:textId="1799534C" w:rsidR="002411D3" w:rsidRPr="00F36B82" w:rsidRDefault="002411D3" w:rsidP="00F36B82">
            <w:pPr>
              <w:jc w:val="right"/>
              <w:rPr>
                <w:sz w:val="14"/>
                <w:szCs w:val="14"/>
              </w:rPr>
            </w:pPr>
            <w:r w:rsidRPr="00F36B82">
              <w:rPr>
                <w:color w:val="000000"/>
                <w:sz w:val="14"/>
                <w:szCs w:val="14"/>
              </w:rPr>
              <w:t>-</w:t>
            </w:r>
          </w:p>
        </w:tc>
        <w:tc>
          <w:tcPr>
            <w:tcW w:w="240" w:type="pct"/>
            <w:tcBorders>
              <w:top w:val="nil"/>
              <w:left w:val="nil"/>
              <w:bottom w:val="nil"/>
              <w:right w:val="nil"/>
            </w:tcBorders>
            <w:vAlign w:val="bottom"/>
          </w:tcPr>
          <w:p w14:paraId="2B230FEA" w14:textId="2F2E0948" w:rsidR="002411D3" w:rsidRPr="00F36B82" w:rsidRDefault="002411D3" w:rsidP="00F36B82">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7B265F6B" w14:textId="34384B23" w:rsidR="002411D3" w:rsidRPr="00F36B82" w:rsidRDefault="002411D3" w:rsidP="00F36B82">
            <w:pPr>
              <w:jc w:val="right"/>
              <w:rPr>
                <w:sz w:val="14"/>
                <w:szCs w:val="14"/>
              </w:rPr>
            </w:pPr>
            <w:r w:rsidRPr="00F36B82">
              <w:rPr>
                <w:color w:val="000000"/>
                <w:sz w:val="14"/>
                <w:szCs w:val="14"/>
              </w:rPr>
              <w:t>-</w:t>
            </w:r>
          </w:p>
        </w:tc>
        <w:tc>
          <w:tcPr>
            <w:tcW w:w="220" w:type="pct"/>
            <w:tcBorders>
              <w:top w:val="nil"/>
              <w:left w:val="nil"/>
              <w:bottom w:val="nil"/>
              <w:right w:val="nil"/>
            </w:tcBorders>
            <w:vAlign w:val="bottom"/>
          </w:tcPr>
          <w:p w14:paraId="0A277CCB" w14:textId="231088B1" w:rsidR="002411D3" w:rsidRPr="00F36B82" w:rsidRDefault="002411D3" w:rsidP="00F36B82">
            <w:pPr>
              <w:jc w:val="right"/>
              <w:rPr>
                <w:sz w:val="14"/>
                <w:szCs w:val="14"/>
              </w:rPr>
            </w:pPr>
            <w:r w:rsidRPr="00F36B82">
              <w:rPr>
                <w:color w:val="000000"/>
                <w:sz w:val="14"/>
                <w:szCs w:val="14"/>
              </w:rPr>
              <w:t>-</w:t>
            </w:r>
          </w:p>
        </w:tc>
        <w:tc>
          <w:tcPr>
            <w:tcW w:w="201" w:type="pct"/>
            <w:tcBorders>
              <w:top w:val="nil"/>
              <w:left w:val="nil"/>
              <w:bottom w:val="nil"/>
              <w:right w:val="nil"/>
            </w:tcBorders>
            <w:vAlign w:val="bottom"/>
          </w:tcPr>
          <w:p w14:paraId="27EB2109" w14:textId="04C96157" w:rsidR="002411D3" w:rsidRPr="00F36B82" w:rsidRDefault="002411D3" w:rsidP="00F36B82">
            <w:pPr>
              <w:jc w:val="right"/>
              <w:rPr>
                <w:sz w:val="14"/>
                <w:szCs w:val="14"/>
              </w:rPr>
            </w:pPr>
            <w:r w:rsidRPr="00F36B82">
              <w:rPr>
                <w:color w:val="000000"/>
                <w:sz w:val="14"/>
                <w:szCs w:val="14"/>
              </w:rPr>
              <w:t>-</w:t>
            </w:r>
          </w:p>
        </w:tc>
        <w:tc>
          <w:tcPr>
            <w:tcW w:w="142" w:type="pct"/>
            <w:tcBorders>
              <w:top w:val="nil"/>
              <w:left w:val="nil"/>
              <w:bottom w:val="nil"/>
              <w:right w:val="nil"/>
            </w:tcBorders>
            <w:vAlign w:val="bottom"/>
          </w:tcPr>
          <w:p w14:paraId="025F0CF9" w14:textId="13FB0040" w:rsidR="002411D3" w:rsidRPr="00F36B82" w:rsidRDefault="002411D3" w:rsidP="00F36B82">
            <w:pPr>
              <w:jc w:val="right"/>
              <w:rPr>
                <w:sz w:val="14"/>
                <w:szCs w:val="14"/>
              </w:rPr>
            </w:pPr>
            <w:r w:rsidRPr="00F36B82">
              <w:rPr>
                <w:color w:val="000000"/>
                <w:sz w:val="14"/>
                <w:szCs w:val="14"/>
              </w:rPr>
              <w:t>-</w:t>
            </w:r>
          </w:p>
        </w:tc>
        <w:tc>
          <w:tcPr>
            <w:tcW w:w="220" w:type="pct"/>
            <w:tcBorders>
              <w:top w:val="nil"/>
              <w:left w:val="nil"/>
              <w:bottom w:val="nil"/>
              <w:right w:val="nil"/>
            </w:tcBorders>
            <w:vAlign w:val="bottom"/>
          </w:tcPr>
          <w:p w14:paraId="13815080" w14:textId="43027434" w:rsidR="002411D3" w:rsidRPr="00F36B82" w:rsidRDefault="002411D3" w:rsidP="00F36B82">
            <w:pPr>
              <w:jc w:val="right"/>
              <w:rPr>
                <w:sz w:val="14"/>
                <w:szCs w:val="14"/>
              </w:rPr>
            </w:pPr>
            <w:r w:rsidRPr="00F36B82">
              <w:rPr>
                <w:color w:val="000000"/>
                <w:sz w:val="14"/>
                <w:szCs w:val="14"/>
              </w:rPr>
              <w:t>-</w:t>
            </w:r>
          </w:p>
        </w:tc>
        <w:tc>
          <w:tcPr>
            <w:tcW w:w="159" w:type="pct"/>
            <w:tcBorders>
              <w:top w:val="nil"/>
              <w:left w:val="nil"/>
              <w:bottom w:val="nil"/>
              <w:right w:val="nil"/>
            </w:tcBorders>
            <w:vAlign w:val="bottom"/>
          </w:tcPr>
          <w:p w14:paraId="62FA0023" w14:textId="7BC231E5"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2BE4340E" w14:textId="17AD74D3"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6CADC1CB" w14:textId="40A73C19"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60F0783D" w14:textId="6783AAD5"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0441A0CB" w14:textId="73CC1ABB"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64C23D0C" w14:textId="11695BCA" w:rsidR="002411D3" w:rsidRPr="00F36B82" w:rsidRDefault="002411D3" w:rsidP="00F36B82">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0AACE322" w14:textId="3735E9EB" w:rsidR="002411D3" w:rsidRPr="00F36B82" w:rsidRDefault="002411D3" w:rsidP="00F36B82">
            <w:pPr>
              <w:jc w:val="right"/>
              <w:rPr>
                <w:sz w:val="14"/>
                <w:szCs w:val="14"/>
              </w:rPr>
            </w:pPr>
            <w:r w:rsidRPr="00F36B82">
              <w:rPr>
                <w:color w:val="000000"/>
                <w:sz w:val="14"/>
                <w:szCs w:val="14"/>
              </w:rPr>
              <w:t>-</w:t>
            </w:r>
          </w:p>
        </w:tc>
        <w:tc>
          <w:tcPr>
            <w:tcW w:w="272" w:type="pct"/>
            <w:tcBorders>
              <w:top w:val="nil"/>
              <w:left w:val="nil"/>
              <w:bottom w:val="nil"/>
              <w:right w:val="nil"/>
            </w:tcBorders>
            <w:vAlign w:val="bottom"/>
          </w:tcPr>
          <w:p w14:paraId="259246CD" w14:textId="18C3A5D0" w:rsidR="002411D3" w:rsidRPr="00F36B82" w:rsidRDefault="002411D3" w:rsidP="00F36B82">
            <w:pPr>
              <w:jc w:val="right"/>
              <w:rPr>
                <w:sz w:val="14"/>
                <w:szCs w:val="14"/>
              </w:rPr>
            </w:pPr>
            <w:r w:rsidRPr="00F36B82">
              <w:rPr>
                <w:color w:val="000000"/>
                <w:sz w:val="14"/>
                <w:szCs w:val="14"/>
              </w:rPr>
              <w:t>-</w:t>
            </w:r>
          </w:p>
        </w:tc>
        <w:tc>
          <w:tcPr>
            <w:tcW w:w="271" w:type="pct"/>
            <w:tcBorders>
              <w:top w:val="nil"/>
              <w:left w:val="nil"/>
              <w:bottom w:val="nil"/>
              <w:right w:val="nil"/>
            </w:tcBorders>
            <w:vAlign w:val="bottom"/>
          </w:tcPr>
          <w:p w14:paraId="77B2E9D5" w14:textId="7C7A0ACC" w:rsidR="002411D3" w:rsidRPr="00F36B82" w:rsidRDefault="002411D3" w:rsidP="00F36B82">
            <w:pPr>
              <w:jc w:val="right"/>
              <w:rPr>
                <w:sz w:val="14"/>
                <w:szCs w:val="14"/>
              </w:rPr>
            </w:pPr>
            <w:r w:rsidRPr="00F36B82">
              <w:rPr>
                <w:color w:val="000000"/>
                <w:sz w:val="14"/>
                <w:szCs w:val="14"/>
              </w:rPr>
              <w:t>-</w:t>
            </w:r>
          </w:p>
        </w:tc>
      </w:tr>
      <w:tr w:rsidR="002411D3" w:rsidRPr="00F36B82" w14:paraId="37C0A767" w14:textId="77777777" w:rsidTr="00F36B82">
        <w:trPr>
          <w:trHeight w:val="133"/>
        </w:trPr>
        <w:tc>
          <w:tcPr>
            <w:tcW w:w="98" w:type="pct"/>
          </w:tcPr>
          <w:p w14:paraId="09C6C4A4" w14:textId="77777777" w:rsidR="002411D3" w:rsidRPr="00F36B82" w:rsidRDefault="002411D3" w:rsidP="007A5154">
            <w:pPr>
              <w:autoSpaceDE w:val="0"/>
              <w:autoSpaceDN w:val="0"/>
              <w:adjustRightInd w:val="0"/>
              <w:ind w:left="180" w:hanging="180"/>
              <w:rPr>
                <w:rFonts w:eastAsia="Arial Unicode MS"/>
                <w:b/>
                <w:sz w:val="14"/>
                <w:szCs w:val="14"/>
              </w:rPr>
            </w:pPr>
            <w:r w:rsidRPr="00F36B82">
              <w:rPr>
                <w:rFonts w:eastAsia="Arial Unicode MS"/>
                <w:b/>
                <w:sz w:val="14"/>
                <w:szCs w:val="14"/>
              </w:rPr>
              <w:t>2</w:t>
            </w:r>
          </w:p>
        </w:tc>
        <w:tc>
          <w:tcPr>
            <w:tcW w:w="528" w:type="pct"/>
            <w:vAlign w:val="bottom"/>
          </w:tcPr>
          <w:p w14:paraId="29728013" w14:textId="77777777" w:rsidR="002411D3" w:rsidRPr="00F36B82" w:rsidRDefault="002411D3" w:rsidP="002411D3">
            <w:pPr>
              <w:rPr>
                <w:b/>
                <w:bCs/>
                <w:color w:val="000000"/>
                <w:sz w:val="14"/>
                <w:szCs w:val="14"/>
              </w:rPr>
            </w:pPr>
            <w:r w:rsidRPr="00F36B82">
              <w:rPr>
                <w:b/>
                <w:bCs/>
                <w:color w:val="000000"/>
                <w:sz w:val="14"/>
                <w:szCs w:val="14"/>
              </w:rPr>
              <w:t>Sanayi</w:t>
            </w:r>
          </w:p>
        </w:tc>
        <w:tc>
          <w:tcPr>
            <w:tcW w:w="240" w:type="pct"/>
            <w:tcBorders>
              <w:top w:val="nil"/>
              <w:left w:val="nil"/>
              <w:bottom w:val="nil"/>
              <w:right w:val="nil"/>
            </w:tcBorders>
            <w:vAlign w:val="bottom"/>
          </w:tcPr>
          <w:p w14:paraId="28A83118" w14:textId="3E819F27" w:rsidR="002411D3" w:rsidRPr="00F36B82" w:rsidRDefault="002411D3" w:rsidP="00F36B82">
            <w:pPr>
              <w:jc w:val="right"/>
              <w:rPr>
                <w:b/>
                <w:sz w:val="14"/>
                <w:szCs w:val="14"/>
              </w:rPr>
            </w:pPr>
            <w:r w:rsidRPr="00F36B82">
              <w:rPr>
                <w:b/>
                <w:bCs/>
                <w:color w:val="000000"/>
                <w:sz w:val="14"/>
                <w:szCs w:val="14"/>
              </w:rPr>
              <w:t>-</w:t>
            </w:r>
          </w:p>
        </w:tc>
        <w:tc>
          <w:tcPr>
            <w:tcW w:w="156" w:type="pct"/>
            <w:tcBorders>
              <w:top w:val="nil"/>
              <w:left w:val="nil"/>
              <w:bottom w:val="nil"/>
              <w:right w:val="nil"/>
            </w:tcBorders>
            <w:vAlign w:val="bottom"/>
          </w:tcPr>
          <w:p w14:paraId="5770378A" w14:textId="1D86A9BF" w:rsidR="002411D3" w:rsidRPr="00F36B82" w:rsidRDefault="002411D3" w:rsidP="00F36B82">
            <w:pPr>
              <w:jc w:val="right"/>
              <w:rPr>
                <w:b/>
                <w:sz w:val="14"/>
                <w:szCs w:val="14"/>
              </w:rPr>
            </w:pPr>
            <w:r w:rsidRPr="00F36B82">
              <w:rPr>
                <w:b/>
                <w:bCs/>
                <w:color w:val="000000"/>
                <w:sz w:val="14"/>
                <w:szCs w:val="14"/>
              </w:rPr>
              <w:t>-</w:t>
            </w:r>
          </w:p>
        </w:tc>
        <w:tc>
          <w:tcPr>
            <w:tcW w:w="173" w:type="pct"/>
            <w:tcBorders>
              <w:top w:val="nil"/>
              <w:left w:val="nil"/>
              <w:bottom w:val="nil"/>
              <w:right w:val="nil"/>
            </w:tcBorders>
            <w:vAlign w:val="bottom"/>
          </w:tcPr>
          <w:p w14:paraId="070F9076" w14:textId="4F35046B" w:rsidR="002411D3" w:rsidRPr="00F36B82" w:rsidRDefault="002411D3" w:rsidP="00F36B82">
            <w:pPr>
              <w:jc w:val="right"/>
              <w:rPr>
                <w:b/>
                <w:sz w:val="14"/>
                <w:szCs w:val="14"/>
              </w:rPr>
            </w:pPr>
            <w:r w:rsidRPr="00F36B82">
              <w:rPr>
                <w:b/>
                <w:bCs/>
                <w:color w:val="000000"/>
                <w:sz w:val="14"/>
                <w:szCs w:val="14"/>
              </w:rPr>
              <w:t>-</w:t>
            </w:r>
          </w:p>
        </w:tc>
        <w:tc>
          <w:tcPr>
            <w:tcW w:w="100" w:type="pct"/>
            <w:tcBorders>
              <w:top w:val="nil"/>
              <w:left w:val="nil"/>
              <w:bottom w:val="nil"/>
              <w:right w:val="nil"/>
            </w:tcBorders>
            <w:vAlign w:val="bottom"/>
          </w:tcPr>
          <w:p w14:paraId="7B25C4D9" w14:textId="0EA3D758" w:rsidR="002411D3" w:rsidRPr="00F36B82" w:rsidRDefault="002411D3" w:rsidP="00F36B82">
            <w:pPr>
              <w:jc w:val="right"/>
              <w:rPr>
                <w:b/>
                <w:sz w:val="14"/>
                <w:szCs w:val="14"/>
              </w:rPr>
            </w:pPr>
            <w:r w:rsidRPr="00F36B82">
              <w:rPr>
                <w:b/>
                <w:bCs/>
                <w:color w:val="000000"/>
                <w:sz w:val="14"/>
                <w:szCs w:val="14"/>
              </w:rPr>
              <w:t>-</w:t>
            </w:r>
          </w:p>
        </w:tc>
        <w:tc>
          <w:tcPr>
            <w:tcW w:w="224" w:type="pct"/>
            <w:tcBorders>
              <w:top w:val="nil"/>
              <w:left w:val="nil"/>
              <w:bottom w:val="nil"/>
              <w:right w:val="nil"/>
            </w:tcBorders>
            <w:vAlign w:val="bottom"/>
          </w:tcPr>
          <w:p w14:paraId="72FDABB2" w14:textId="2A2E5AB9" w:rsidR="002411D3" w:rsidRPr="00F36B82" w:rsidRDefault="002411D3" w:rsidP="00F36B82">
            <w:pPr>
              <w:jc w:val="right"/>
              <w:rPr>
                <w:b/>
                <w:sz w:val="14"/>
                <w:szCs w:val="14"/>
              </w:rPr>
            </w:pPr>
            <w:r w:rsidRPr="00F36B82">
              <w:rPr>
                <w:b/>
                <w:bCs/>
                <w:color w:val="000000"/>
                <w:sz w:val="14"/>
                <w:szCs w:val="14"/>
              </w:rPr>
              <w:t>-</w:t>
            </w:r>
          </w:p>
        </w:tc>
        <w:tc>
          <w:tcPr>
            <w:tcW w:w="240" w:type="pct"/>
            <w:tcBorders>
              <w:top w:val="nil"/>
              <w:left w:val="nil"/>
              <w:bottom w:val="nil"/>
              <w:right w:val="nil"/>
            </w:tcBorders>
            <w:vAlign w:val="bottom"/>
          </w:tcPr>
          <w:p w14:paraId="08B0B70A" w14:textId="79EDC09E" w:rsidR="002411D3" w:rsidRPr="00F36B82" w:rsidRDefault="002411D3" w:rsidP="00F36B82">
            <w:pPr>
              <w:jc w:val="right"/>
              <w:rPr>
                <w:b/>
                <w:sz w:val="14"/>
                <w:szCs w:val="14"/>
              </w:rPr>
            </w:pPr>
            <w:r w:rsidRPr="00F36B82">
              <w:rPr>
                <w:b/>
                <w:bCs/>
                <w:color w:val="000000"/>
                <w:sz w:val="14"/>
                <w:szCs w:val="14"/>
              </w:rPr>
              <w:t>-</w:t>
            </w:r>
          </w:p>
        </w:tc>
        <w:tc>
          <w:tcPr>
            <w:tcW w:w="268" w:type="pct"/>
            <w:tcBorders>
              <w:top w:val="nil"/>
              <w:left w:val="nil"/>
              <w:bottom w:val="nil"/>
              <w:right w:val="nil"/>
            </w:tcBorders>
            <w:vAlign w:val="bottom"/>
          </w:tcPr>
          <w:p w14:paraId="7E6AB958" w14:textId="69405955" w:rsidR="002411D3" w:rsidRPr="00F36B82" w:rsidRDefault="002411D3" w:rsidP="00F36B82">
            <w:pPr>
              <w:jc w:val="right"/>
              <w:rPr>
                <w:b/>
                <w:sz w:val="14"/>
                <w:szCs w:val="14"/>
              </w:rPr>
            </w:pPr>
            <w:r w:rsidRPr="00F36B82">
              <w:rPr>
                <w:b/>
                <w:bCs/>
                <w:color w:val="000000"/>
                <w:sz w:val="14"/>
                <w:szCs w:val="14"/>
              </w:rPr>
              <w:t>13.735.123</w:t>
            </w:r>
          </w:p>
        </w:tc>
        <w:tc>
          <w:tcPr>
            <w:tcW w:w="220" w:type="pct"/>
            <w:tcBorders>
              <w:top w:val="nil"/>
              <w:left w:val="nil"/>
              <w:bottom w:val="nil"/>
              <w:right w:val="nil"/>
            </w:tcBorders>
            <w:vAlign w:val="bottom"/>
          </w:tcPr>
          <w:p w14:paraId="5F556671" w14:textId="4DAA8FBA" w:rsidR="002411D3" w:rsidRPr="00F36B82" w:rsidRDefault="002411D3" w:rsidP="00F36B82">
            <w:pPr>
              <w:jc w:val="right"/>
              <w:rPr>
                <w:b/>
                <w:sz w:val="14"/>
                <w:szCs w:val="14"/>
              </w:rPr>
            </w:pPr>
            <w:r w:rsidRPr="00F36B82">
              <w:rPr>
                <w:b/>
                <w:bCs/>
                <w:color w:val="000000"/>
                <w:sz w:val="14"/>
                <w:szCs w:val="14"/>
              </w:rPr>
              <w:t>-</w:t>
            </w:r>
          </w:p>
        </w:tc>
        <w:tc>
          <w:tcPr>
            <w:tcW w:w="201" w:type="pct"/>
            <w:tcBorders>
              <w:top w:val="nil"/>
              <w:left w:val="nil"/>
              <w:bottom w:val="nil"/>
              <w:right w:val="nil"/>
            </w:tcBorders>
            <w:vAlign w:val="bottom"/>
          </w:tcPr>
          <w:p w14:paraId="6A47F875" w14:textId="1F088538" w:rsidR="002411D3" w:rsidRPr="00F36B82" w:rsidRDefault="002411D3" w:rsidP="00F36B82">
            <w:pPr>
              <w:jc w:val="right"/>
              <w:rPr>
                <w:b/>
                <w:sz w:val="14"/>
                <w:szCs w:val="14"/>
              </w:rPr>
            </w:pPr>
            <w:r w:rsidRPr="00F36B82">
              <w:rPr>
                <w:b/>
                <w:bCs/>
                <w:color w:val="000000"/>
                <w:sz w:val="14"/>
                <w:szCs w:val="14"/>
              </w:rPr>
              <w:t>1.009.728</w:t>
            </w:r>
          </w:p>
        </w:tc>
        <w:tc>
          <w:tcPr>
            <w:tcW w:w="142" w:type="pct"/>
            <w:tcBorders>
              <w:top w:val="nil"/>
              <w:left w:val="nil"/>
              <w:bottom w:val="nil"/>
              <w:right w:val="nil"/>
            </w:tcBorders>
            <w:vAlign w:val="bottom"/>
          </w:tcPr>
          <w:p w14:paraId="6613808F" w14:textId="79824B08" w:rsidR="002411D3" w:rsidRPr="00F36B82" w:rsidRDefault="002411D3" w:rsidP="00F36B82">
            <w:pPr>
              <w:jc w:val="right"/>
              <w:rPr>
                <w:b/>
                <w:sz w:val="14"/>
                <w:szCs w:val="14"/>
              </w:rPr>
            </w:pPr>
            <w:r w:rsidRPr="00F36B82">
              <w:rPr>
                <w:b/>
                <w:bCs/>
                <w:color w:val="000000"/>
                <w:sz w:val="14"/>
                <w:szCs w:val="14"/>
              </w:rPr>
              <w:t>-</w:t>
            </w:r>
          </w:p>
        </w:tc>
        <w:tc>
          <w:tcPr>
            <w:tcW w:w="220" w:type="pct"/>
            <w:tcBorders>
              <w:top w:val="nil"/>
              <w:left w:val="nil"/>
              <w:bottom w:val="nil"/>
              <w:right w:val="nil"/>
            </w:tcBorders>
            <w:vAlign w:val="bottom"/>
          </w:tcPr>
          <w:p w14:paraId="1537E8E9" w14:textId="167AA4E3" w:rsidR="002411D3" w:rsidRPr="00F36B82" w:rsidRDefault="002411D3" w:rsidP="00F36B82">
            <w:pPr>
              <w:jc w:val="right"/>
              <w:rPr>
                <w:b/>
                <w:sz w:val="14"/>
                <w:szCs w:val="14"/>
              </w:rPr>
            </w:pPr>
            <w:r w:rsidRPr="00F36B82">
              <w:rPr>
                <w:b/>
                <w:bCs/>
                <w:color w:val="000000"/>
                <w:sz w:val="14"/>
                <w:szCs w:val="14"/>
              </w:rPr>
              <w:t>-</w:t>
            </w:r>
          </w:p>
        </w:tc>
        <w:tc>
          <w:tcPr>
            <w:tcW w:w="159" w:type="pct"/>
            <w:tcBorders>
              <w:top w:val="nil"/>
              <w:left w:val="nil"/>
              <w:bottom w:val="nil"/>
              <w:right w:val="nil"/>
            </w:tcBorders>
            <w:vAlign w:val="bottom"/>
          </w:tcPr>
          <w:p w14:paraId="1CEEE8E5" w14:textId="79CBB609" w:rsidR="002411D3" w:rsidRPr="00F36B82" w:rsidRDefault="002411D3" w:rsidP="00F36B82">
            <w:pPr>
              <w:jc w:val="right"/>
              <w:rPr>
                <w:b/>
                <w:sz w:val="14"/>
                <w:szCs w:val="14"/>
              </w:rPr>
            </w:pPr>
            <w:r w:rsidRPr="00F36B82">
              <w:rPr>
                <w:b/>
                <w:bCs/>
                <w:color w:val="000000"/>
                <w:sz w:val="14"/>
                <w:szCs w:val="14"/>
              </w:rPr>
              <w:t>-</w:t>
            </w:r>
          </w:p>
        </w:tc>
        <w:tc>
          <w:tcPr>
            <w:tcW w:w="244" w:type="pct"/>
            <w:tcBorders>
              <w:top w:val="nil"/>
              <w:left w:val="nil"/>
              <w:bottom w:val="nil"/>
              <w:right w:val="nil"/>
            </w:tcBorders>
            <w:vAlign w:val="bottom"/>
          </w:tcPr>
          <w:p w14:paraId="14696027" w14:textId="604B752B" w:rsidR="002411D3" w:rsidRPr="00F36B82" w:rsidRDefault="002411D3" w:rsidP="00F36B82">
            <w:pPr>
              <w:jc w:val="right"/>
              <w:rPr>
                <w:b/>
                <w:sz w:val="14"/>
                <w:szCs w:val="14"/>
              </w:rPr>
            </w:pPr>
            <w:r w:rsidRPr="00F36B82">
              <w:rPr>
                <w:b/>
                <w:bCs/>
                <w:color w:val="000000"/>
                <w:sz w:val="14"/>
                <w:szCs w:val="14"/>
              </w:rPr>
              <w:t>-</w:t>
            </w:r>
          </w:p>
        </w:tc>
        <w:tc>
          <w:tcPr>
            <w:tcW w:w="244" w:type="pct"/>
            <w:tcBorders>
              <w:top w:val="nil"/>
              <w:left w:val="nil"/>
              <w:bottom w:val="nil"/>
              <w:right w:val="nil"/>
            </w:tcBorders>
            <w:vAlign w:val="bottom"/>
          </w:tcPr>
          <w:p w14:paraId="299A6C2B" w14:textId="6CFED8B7" w:rsidR="002411D3" w:rsidRPr="00F36B82" w:rsidRDefault="002411D3" w:rsidP="00F36B82">
            <w:pPr>
              <w:jc w:val="right"/>
              <w:rPr>
                <w:b/>
                <w:sz w:val="14"/>
                <w:szCs w:val="14"/>
              </w:rPr>
            </w:pPr>
            <w:r w:rsidRPr="00F36B82">
              <w:rPr>
                <w:b/>
                <w:bCs/>
                <w:color w:val="000000"/>
                <w:sz w:val="14"/>
                <w:szCs w:val="14"/>
              </w:rPr>
              <w:t>-</w:t>
            </w:r>
          </w:p>
        </w:tc>
        <w:tc>
          <w:tcPr>
            <w:tcW w:w="244" w:type="pct"/>
            <w:tcBorders>
              <w:top w:val="nil"/>
              <w:left w:val="nil"/>
              <w:bottom w:val="nil"/>
              <w:right w:val="nil"/>
            </w:tcBorders>
            <w:vAlign w:val="bottom"/>
          </w:tcPr>
          <w:p w14:paraId="243489B6" w14:textId="56043238" w:rsidR="002411D3" w:rsidRPr="00F36B82" w:rsidRDefault="002411D3" w:rsidP="00F36B82">
            <w:pPr>
              <w:jc w:val="right"/>
              <w:rPr>
                <w:b/>
                <w:sz w:val="14"/>
                <w:szCs w:val="14"/>
              </w:rPr>
            </w:pPr>
            <w:r w:rsidRPr="00F36B82">
              <w:rPr>
                <w:b/>
                <w:bCs/>
                <w:color w:val="000000"/>
                <w:sz w:val="14"/>
                <w:szCs w:val="14"/>
              </w:rPr>
              <w:t>-</w:t>
            </w:r>
          </w:p>
        </w:tc>
        <w:tc>
          <w:tcPr>
            <w:tcW w:w="244" w:type="pct"/>
            <w:tcBorders>
              <w:top w:val="nil"/>
              <w:left w:val="nil"/>
              <w:bottom w:val="nil"/>
              <w:right w:val="nil"/>
            </w:tcBorders>
            <w:vAlign w:val="bottom"/>
          </w:tcPr>
          <w:p w14:paraId="0E93C7AA" w14:textId="0C791F1E" w:rsidR="002411D3" w:rsidRPr="00F36B82" w:rsidRDefault="002411D3" w:rsidP="00F36B82">
            <w:pPr>
              <w:jc w:val="right"/>
              <w:rPr>
                <w:b/>
                <w:sz w:val="14"/>
                <w:szCs w:val="14"/>
              </w:rPr>
            </w:pPr>
            <w:r w:rsidRPr="00F36B82">
              <w:rPr>
                <w:b/>
                <w:bCs/>
                <w:color w:val="000000"/>
                <w:sz w:val="14"/>
                <w:szCs w:val="14"/>
              </w:rPr>
              <w:t>-</w:t>
            </w:r>
          </w:p>
        </w:tc>
        <w:tc>
          <w:tcPr>
            <w:tcW w:w="244" w:type="pct"/>
            <w:tcBorders>
              <w:top w:val="nil"/>
              <w:left w:val="nil"/>
              <w:bottom w:val="nil"/>
              <w:right w:val="nil"/>
            </w:tcBorders>
            <w:vAlign w:val="bottom"/>
          </w:tcPr>
          <w:p w14:paraId="565F6F3E" w14:textId="54360765" w:rsidR="002411D3" w:rsidRPr="00F36B82" w:rsidRDefault="002411D3" w:rsidP="00F36B82">
            <w:pPr>
              <w:jc w:val="right"/>
              <w:rPr>
                <w:b/>
                <w:sz w:val="14"/>
                <w:szCs w:val="14"/>
              </w:rPr>
            </w:pPr>
            <w:r w:rsidRPr="00F36B82">
              <w:rPr>
                <w:b/>
                <w:bCs/>
                <w:color w:val="000000"/>
                <w:sz w:val="14"/>
                <w:szCs w:val="14"/>
              </w:rPr>
              <w:t>-</w:t>
            </w:r>
          </w:p>
        </w:tc>
        <w:tc>
          <w:tcPr>
            <w:tcW w:w="268" w:type="pct"/>
            <w:tcBorders>
              <w:top w:val="nil"/>
              <w:left w:val="nil"/>
              <w:bottom w:val="nil"/>
              <w:right w:val="nil"/>
            </w:tcBorders>
            <w:vAlign w:val="bottom"/>
          </w:tcPr>
          <w:p w14:paraId="263B76FD" w14:textId="55364A7E" w:rsidR="002411D3" w:rsidRPr="00F36B82" w:rsidRDefault="002411D3" w:rsidP="00F36B82">
            <w:pPr>
              <w:jc w:val="right"/>
              <w:rPr>
                <w:b/>
                <w:sz w:val="14"/>
                <w:szCs w:val="14"/>
              </w:rPr>
            </w:pPr>
            <w:r w:rsidRPr="00F36B82">
              <w:rPr>
                <w:b/>
                <w:bCs/>
                <w:color w:val="000000"/>
                <w:sz w:val="14"/>
                <w:szCs w:val="14"/>
              </w:rPr>
              <w:t>9.285.648</w:t>
            </w:r>
          </w:p>
        </w:tc>
        <w:tc>
          <w:tcPr>
            <w:tcW w:w="272" w:type="pct"/>
            <w:tcBorders>
              <w:top w:val="nil"/>
              <w:left w:val="nil"/>
              <w:bottom w:val="nil"/>
              <w:right w:val="nil"/>
            </w:tcBorders>
            <w:vAlign w:val="bottom"/>
          </w:tcPr>
          <w:p w14:paraId="52509D1A" w14:textId="5F6A0DCA" w:rsidR="002411D3" w:rsidRPr="00F36B82" w:rsidRDefault="002411D3" w:rsidP="00F36B82">
            <w:pPr>
              <w:jc w:val="right"/>
              <w:rPr>
                <w:b/>
                <w:sz w:val="14"/>
                <w:szCs w:val="14"/>
              </w:rPr>
            </w:pPr>
            <w:r w:rsidRPr="00F36B82">
              <w:rPr>
                <w:b/>
                <w:bCs/>
                <w:color w:val="000000"/>
                <w:sz w:val="14"/>
                <w:szCs w:val="14"/>
              </w:rPr>
              <w:t>5.459.203</w:t>
            </w:r>
          </w:p>
        </w:tc>
        <w:tc>
          <w:tcPr>
            <w:tcW w:w="271" w:type="pct"/>
            <w:tcBorders>
              <w:top w:val="nil"/>
              <w:left w:val="nil"/>
              <w:bottom w:val="nil"/>
              <w:right w:val="nil"/>
            </w:tcBorders>
            <w:vAlign w:val="bottom"/>
          </w:tcPr>
          <w:p w14:paraId="79A7DC70" w14:textId="4BC636E4" w:rsidR="002411D3" w:rsidRPr="00F36B82" w:rsidRDefault="002411D3" w:rsidP="00F36B82">
            <w:pPr>
              <w:jc w:val="right"/>
              <w:rPr>
                <w:b/>
                <w:sz w:val="14"/>
                <w:szCs w:val="14"/>
              </w:rPr>
            </w:pPr>
            <w:r w:rsidRPr="00F36B82">
              <w:rPr>
                <w:b/>
                <w:bCs/>
                <w:color w:val="000000"/>
                <w:sz w:val="14"/>
                <w:szCs w:val="14"/>
              </w:rPr>
              <w:t>14.744.851</w:t>
            </w:r>
          </w:p>
        </w:tc>
      </w:tr>
      <w:tr w:rsidR="002411D3" w:rsidRPr="00F36B82" w14:paraId="281B7343" w14:textId="77777777" w:rsidTr="00F36B82">
        <w:trPr>
          <w:trHeight w:val="133"/>
        </w:trPr>
        <w:tc>
          <w:tcPr>
            <w:tcW w:w="98" w:type="pct"/>
          </w:tcPr>
          <w:p w14:paraId="74E2F7DA" w14:textId="77777777" w:rsidR="002411D3" w:rsidRPr="00F36B82" w:rsidRDefault="002411D3" w:rsidP="007A5154">
            <w:pPr>
              <w:autoSpaceDE w:val="0"/>
              <w:autoSpaceDN w:val="0"/>
              <w:adjustRightInd w:val="0"/>
              <w:ind w:left="180" w:hanging="180"/>
              <w:rPr>
                <w:rFonts w:eastAsia="Arial Unicode MS"/>
                <w:sz w:val="14"/>
                <w:szCs w:val="14"/>
              </w:rPr>
            </w:pPr>
            <w:r w:rsidRPr="00F36B82">
              <w:rPr>
                <w:rFonts w:eastAsia="Arial Unicode MS"/>
                <w:sz w:val="14"/>
                <w:szCs w:val="14"/>
              </w:rPr>
              <w:t>2.1</w:t>
            </w:r>
          </w:p>
        </w:tc>
        <w:tc>
          <w:tcPr>
            <w:tcW w:w="528" w:type="pct"/>
            <w:vAlign w:val="bottom"/>
          </w:tcPr>
          <w:p w14:paraId="424B5371" w14:textId="77777777" w:rsidR="002411D3" w:rsidRPr="00F36B82" w:rsidRDefault="002411D3" w:rsidP="002411D3">
            <w:pPr>
              <w:ind w:left="160"/>
              <w:rPr>
                <w:rFonts w:eastAsia="Arial Unicode MS"/>
                <w:b/>
                <w:bCs/>
                <w:noProof/>
                <w:color w:val="000000"/>
                <w:sz w:val="14"/>
                <w:szCs w:val="14"/>
              </w:rPr>
            </w:pPr>
            <w:r w:rsidRPr="00F36B82">
              <w:rPr>
                <w:color w:val="000000"/>
                <w:sz w:val="14"/>
                <w:szCs w:val="14"/>
              </w:rPr>
              <w:t xml:space="preserve">Madencilik ve Taş ocakçılığı </w:t>
            </w:r>
          </w:p>
        </w:tc>
        <w:tc>
          <w:tcPr>
            <w:tcW w:w="240" w:type="pct"/>
            <w:tcBorders>
              <w:top w:val="nil"/>
              <w:left w:val="nil"/>
              <w:bottom w:val="nil"/>
              <w:right w:val="nil"/>
            </w:tcBorders>
            <w:vAlign w:val="bottom"/>
          </w:tcPr>
          <w:p w14:paraId="5ECCE998" w14:textId="172B81F3" w:rsidR="002411D3" w:rsidRPr="00F36B82" w:rsidRDefault="002411D3" w:rsidP="00F36B82">
            <w:pPr>
              <w:jc w:val="right"/>
              <w:rPr>
                <w:sz w:val="14"/>
                <w:szCs w:val="14"/>
              </w:rPr>
            </w:pPr>
            <w:r w:rsidRPr="00F36B82">
              <w:rPr>
                <w:color w:val="000000"/>
                <w:sz w:val="14"/>
                <w:szCs w:val="14"/>
              </w:rPr>
              <w:t>-</w:t>
            </w:r>
          </w:p>
        </w:tc>
        <w:tc>
          <w:tcPr>
            <w:tcW w:w="156" w:type="pct"/>
            <w:tcBorders>
              <w:top w:val="nil"/>
              <w:left w:val="nil"/>
              <w:bottom w:val="nil"/>
              <w:right w:val="nil"/>
            </w:tcBorders>
            <w:vAlign w:val="bottom"/>
          </w:tcPr>
          <w:p w14:paraId="762A5A5C" w14:textId="576390E0" w:rsidR="002411D3" w:rsidRPr="00F36B82" w:rsidRDefault="002411D3" w:rsidP="00F36B82">
            <w:pPr>
              <w:jc w:val="right"/>
              <w:rPr>
                <w:sz w:val="14"/>
                <w:szCs w:val="14"/>
              </w:rPr>
            </w:pPr>
            <w:r w:rsidRPr="00F36B82">
              <w:rPr>
                <w:color w:val="000000"/>
                <w:sz w:val="14"/>
                <w:szCs w:val="14"/>
              </w:rPr>
              <w:t>-</w:t>
            </w:r>
          </w:p>
        </w:tc>
        <w:tc>
          <w:tcPr>
            <w:tcW w:w="173" w:type="pct"/>
            <w:tcBorders>
              <w:top w:val="nil"/>
              <w:left w:val="nil"/>
              <w:bottom w:val="nil"/>
              <w:right w:val="nil"/>
            </w:tcBorders>
            <w:vAlign w:val="bottom"/>
          </w:tcPr>
          <w:p w14:paraId="51D97C13" w14:textId="6F21A9B3" w:rsidR="002411D3" w:rsidRPr="00F36B82" w:rsidRDefault="002411D3" w:rsidP="00F36B82">
            <w:pPr>
              <w:jc w:val="right"/>
              <w:rPr>
                <w:sz w:val="14"/>
                <w:szCs w:val="14"/>
              </w:rPr>
            </w:pPr>
            <w:r w:rsidRPr="00F36B82">
              <w:rPr>
                <w:color w:val="000000"/>
                <w:sz w:val="14"/>
                <w:szCs w:val="14"/>
              </w:rPr>
              <w:t>-</w:t>
            </w:r>
          </w:p>
        </w:tc>
        <w:tc>
          <w:tcPr>
            <w:tcW w:w="100" w:type="pct"/>
            <w:tcBorders>
              <w:top w:val="nil"/>
              <w:left w:val="nil"/>
              <w:bottom w:val="nil"/>
              <w:right w:val="nil"/>
            </w:tcBorders>
            <w:vAlign w:val="bottom"/>
          </w:tcPr>
          <w:p w14:paraId="1F79BA19" w14:textId="11B09C9A" w:rsidR="002411D3" w:rsidRPr="00F36B82" w:rsidRDefault="002411D3" w:rsidP="00F36B82">
            <w:pPr>
              <w:jc w:val="right"/>
              <w:rPr>
                <w:sz w:val="14"/>
                <w:szCs w:val="14"/>
              </w:rPr>
            </w:pPr>
            <w:r w:rsidRPr="00F36B82">
              <w:rPr>
                <w:color w:val="000000"/>
                <w:sz w:val="14"/>
                <w:szCs w:val="14"/>
              </w:rPr>
              <w:t>-</w:t>
            </w:r>
          </w:p>
        </w:tc>
        <w:tc>
          <w:tcPr>
            <w:tcW w:w="224" w:type="pct"/>
            <w:tcBorders>
              <w:top w:val="nil"/>
              <w:left w:val="nil"/>
              <w:bottom w:val="nil"/>
              <w:right w:val="nil"/>
            </w:tcBorders>
            <w:vAlign w:val="bottom"/>
          </w:tcPr>
          <w:p w14:paraId="1BE518B7" w14:textId="712C4B86" w:rsidR="002411D3" w:rsidRPr="00F36B82" w:rsidRDefault="002411D3" w:rsidP="00F36B82">
            <w:pPr>
              <w:jc w:val="right"/>
              <w:rPr>
                <w:sz w:val="14"/>
                <w:szCs w:val="14"/>
              </w:rPr>
            </w:pPr>
            <w:r w:rsidRPr="00F36B82">
              <w:rPr>
                <w:color w:val="000000"/>
                <w:sz w:val="14"/>
                <w:szCs w:val="14"/>
              </w:rPr>
              <w:t>-</w:t>
            </w:r>
          </w:p>
        </w:tc>
        <w:tc>
          <w:tcPr>
            <w:tcW w:w="240" w:type="pct"/>
            <w:tcBorders>
              <w:top w:val="nil"/>
              <w:left w:val="nil"/>
              <w:bottom w:val="nil"/>
              <w:right w:val="nil"/>
            </w:tcBorders>
            <w:vAlign w:val="bottom"/>
          </w:tcPr>
          <w:p w14:paraId="3EF1F0D5" w14:textId="634B171B" w:rsidR="002411D3" w:rsidRPr="00F36B82" w:rsidRDefault="002411D3" w:rsidP="00F36B82">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62B0F8BD" w14:textId="036D3881" w:rsidR="002411D3" w:rsidRPr="00F36B82" w:rsidRDefault="002411D3" w:rsidP="00F36B82">
            <w:pPr>
              <w:jc w:val="right"/>
              <w:rPr>
                <w:sz w:val="14"/>
                <w:szCs w:val="14"/>
              </w:rPr>
            </w:pPr>
            <w:r w:rsidRPr="00F36B82">
              <w:rPr>
                <w:color w:val="000000"/>
                <w:sz w:val="14"/>
                <w:szCs w:val="14"/>
              </w:rPr>
              <w:t>1.242.107</w:t>
            </w:r>
          </w:p>
        </w:tc>
        <w:tc>
          <w:tcPr>
            <w:tcW w:w="220" w:type="pct"/>
            <w:tcBorders>
              <w:top w:val="nil"/>
              <w:left w:val="nil"/>
              <w:bottom w:val="nil"/>
              <w:right w:val="nil"/>
            </w:tcBorders>
            <w:vAlign w:val="bottom"/>
          </w:tcPr>
          <w:p w14:paraId="3A4350F0" w14:textId="5105E6C9" w:rsidR="002411D3" w:rsidRPr="00F36B82" w:rsidRDefault="002411D3" w:rsidP="00F36B82">
            <w:pPr>
              <w:jc w:val="right"/>
              <w:rPr>
                <w:sz w:val="14"/>
                <w:szCs w:val="14"/>
              </w:rPr>
            </w:pPr>
            <w:r w:rsidRPr="00F36B82">
              <w:rPr>
                <w:color w:val="000000"/>
                <w:sz w:val="14"/>
                <w:szCs w:val="14"/>
              </w:rPr>
              <w:t>-</w:t>
            </w:r>
          </w:p>
        </w:tc>
        <w:tc>
          <w:tcPr>
            <w:tcW w:w="201" w:type="pct"/>
            <w:tcBorders>
              <w:top w:val="nil"/>
              <w:left w:val="nil"/>
              <w:bottom w:val="nil"/>
              <w:right w:val="nil"/>
            </w:tcBorders>
            <w:vAlign w:val="bottom"/>
          </w:tcPr>
          <w:p w14:paraId="4384DEB4" w14:textId="70313340" w:rsidR="002411D3" w:rsidRPr="00F36B82" w:rsidRDefault="002411D3" w:rsidP="00F36B82">
            <w:pPr>
              <w:jc w:val="right"/>
              <w:rPr>
                <w:sz w:val="14"/>
                <w:szCs w:val="14"/>
              </w:rPr>
            </w:pPr>
            <w:r w:rsidRPr="00F36B82">
              <w:rPr>
                <w:color w:val="000000"/>
                <w:sz w:val="14"/>
                <w:szCs w:val="14"/>
              </w:rPr>
              <w:t>14.218</w:t>
            </w:r>
          </w:p>
        </w:tc>
        <w:tc>
          <w:tcPr>
            <w:tcW w:w="142" w:type="pct"/>
            <w:tcBorders>
              <w:top w:val="nil"/>
              <w:left w:val="nil"/>
              <w:bottom w:val="nil"/>
              <w:right w:val="nil"/>
            </w:tcBorders>
            <w:vAlign w:val="bottom"/>
          </w:tcPr>
          <w:p w14:paraId="5B607F39" w14:textId="41E2C706" w:rsidR="002411D3" w:rsidRPr="00F36B82" w:rsidRDefault="002411D3" w:rsidP="00F36B82">
            <w:pPr>
              <w:jc w:val="right"/>
              <w:rPr>
                <w:sz w:val="14"/>
                <w:szCs w:val="14"/>
              </w:rPr>
            </w:pPr>
            <w:r w:rsidRPr="00F36B82">
              <w:rPr>
                <w:color w:val="000000"/>
                <w:sz w:val="14"/>
                <w:szCs w:val="14"/>
              </w:rPr>
              <w:t>-</w:t>
            </w:r>
          </w:p>
        </w:tc>
        <w:tc>
          <w:tcPr>
            <w:tcW w:w="220" w:type="pct"/>
            <w:tcBorders>
              <w:top w:val="nil"/>
              <w:left w:val="nil"/>
              <w:bottom w:val="nil"/>
              <w:right w:val="nil"/>
            </w:tcBorders>
            <w:vAlign w:val="bottom"/>
          </w:tcPr>
          <w:p w14:paraId="1FFD93C3" w14:textId="1BADA32C" w:rsidR="002411D3" w:rsidRPr="00F36B82" w:rsidRDefault="002411D3" w:rsidP="00F36B82">
            <w:pPr>
              <w:jc w:val="right"/>
              <w:rPr>
                <w:bCs/>
                <w:sz w:val="14"/>
                <w:szCs w:val="14"/>
              </w:rPr>
            </w:pPr>
            <w:r w:rsidRPr="00F36B82">
              <w:rPr>
                <w:color w:val="000000"/>
                <w:sz w:val="14"/>
                <w:szCs w:val="14"/>
              </w:rPr>
              <w:t>-</w:t>
            </w:r>
          </w:p>
        </w:tc>
        <w:tc>
          <w:tcPr>
            <w:tcW w:w="159" w:type="pct"/>
            <w:tcBorders>
              <w:top w:val="nil"/>
              <w:left w:val="nil"/>
              <w:bottom w:val="nil"/>
              <w:right w:val="nil"/>
            </w:tcBorders>
            <w:vAlign w:val="bottom"/>
          </w:tcPr>
          <w:p w14:paraId="5E1A6273" w14:textId="577E9F95"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353FC1FA" w14:textId="7F7D9FDD"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6A015262" w14:textId="4CF4832C"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4FC26D24" w14:textId="03D39FE3"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70E1DB5C" w14:textId="470F760B"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23A95E19" w14:textId="572D79A9" w:rsidR="002411D3" w:rsidRPr="00F36B82" w:rsidRDefault="002411D3" w:rsidP="00F36B82">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338B9A5B" w14:textId="7109AE2E" w:rsidR="002411D3" w:rsidRPr="00F36B82" w:rsidRDefault="002411D3" w:rsidP="00F36B82">
            <w:pPr>
              <w:jc w:val="right"/>
              <w:rPr>
                <w:sz w:val="14"/>
                <w:szCs w:val="14"/>
              </w:rPr>
            </w:pPr>
            <w:r w:rsidRPr="00F36B82">
              <w:rPr>
                <w:color w:val="000000"/>
                <w:sz w:val="14"/>
                <w:szCs w:val="14"/>
              </w:rPr>
              <w:t>1.196.861</w:t>
            </w:r>
          </w:p>
        </w:tc>
        <w:tc>
          <w:tcPr>
            <w:tcW w:w="272" w:type="pct"/>
            <w:tcBorders>
              <w:top w:val="nil"/>
              <w:left w:val="nil"/>
              <w:bottom w:val="nil"/>
              <w:right w:val="nil"/>
            </w:tcBorders>
            <w:vAlign w:val="bottom"/>
          </w:tcPr>
          <w:p w14:paraId="0DAD7485" w14:textId="196BE18F" w:rsidR="002411D3" w:rsidRPr="00F36B82" w:rsidRDefault="002411D3" w:rsidP="00F36B82">
            <w:pPr>
              <w:jc w:val="right"/>
              <w:rPr>
                <w:sz w:val="14"/>
                <w:szCs w:val="14"/>
              </w:rPr>
            </w:pPr>
            <w:r w:rsidRPr="00F36B82">
              <w:rPr>
                <w:color w:val="000000"/>
                <w:sz w:val="14"/>
                <w:szCs w:val="14"/>
              </w:rPr>
              <w:t>59.464</w:t>
            </w:r>
          </w:p>
        </w:tc>
        <w:tc>
          <w:tcPr>
            <w:tcW w:w="271" w:type="pct"/>
            <w:tcBorders>
              <w:top w:val="nil"/>
              <w:left w:val="nil"/>
              <w:bottom w:val="nil"/>
              <w:right w:val="nil"/>
            </w:tcBorders>
            <w:vAlign w:val="bottom"/>
          </w:tcPr>
          <w:p w14:paraId="525BD587" w14:textId="02BDDBD1" w:rsidR="002411D3" w:rsidRPr="00F36B82" w:rsidRDefault="002411D3" w:rsidP="00F36B82">
            <w:pPr>
              <w:jc w:val="right"/>
              <w:rPr>
                <w:sz w:val="14"/>
                <w:szCs w:val="14"/>
              </w:rPr>
            </w:pPr>
            <w:r w:rsidRPr="00F36B82">
              <w:rPr>
                <w:color w:val="000000"/>
                <w:sz w:val="14"/>
                <w:szCs w:val="14"/>
              </w:rPr>
              <w:t>1.256.325</w:t>
            </w:r>
          </w:p>
        </w:tc>
      </w:tr>
      <w:tr w:rsidR="002411D3" w:rsidRPr="00F36B82" w14:paraId="277EA601" w14:textId="77777777" w:rsidTr="00F36B82">
        <w:trPr>
          <w:trHeight w:val="133"/>
        </w:trPr>
        <w:tc>
          <w:tcPr>
            <w:tcW w:w="98" w:type="pct"/>
          </w:tcPr>
          <w:p w14:paraId="4021954D" w14:textId="77777777" w:rsidR="002411D3" w:rsidRPr="00F36B82" w:rsidRDefault="002411D3" w:rsidP="007A5154">
            <w:pPr>
              <w:autoSpaceDE w:val="0"/>
              <w:autoSpaceDN w:val="0"/>
              <w:adjustRightInd w:val="0"/>
              <w:ind w:left="180" w:hanging="180"/>
              <w:rPr>
                <w:rFonts w:eastAsia="Arial Unicode MS"/>
                <w:sz w:val="14"/>
                <w:szCs w:val="14"/>
              </w:rPr>
            </w:pPr>
            <w:r w:rsidRPr="00F36B82">
              <w:rPr>
                <w:rFonts w:eastAsia="Arial Unicode MS"/>
                <w:sz w:val="14"/>
                <w:szCs w:val="14"/>
              </w:rPr>
              <w:t>2.2</w:t>
            </w:r>
          </w:p>
        </w:tc>
        <w:tc>
          <w:tcPr>
            <w:tcW w:w="528" w:type="pct"/>
            <w:vAlign w:val="bottom"/>
          </w:tcPr>
          <w:p w14:paraId="63697B25" w14:textId="77777777" w:rsidR="002411D3" w:rsidRPr="00F36B82" w:rsidRDefault="002411D3" w:rsidP="002411D3">
            <w:pPr>
              <w:rPr>
                <w:color w:val="000000"/>
                <w:sz w:val="14"/>
                <w:szCs w:val="14"/>
              </w:rPr>
            </w:pPr>
            <w:r w:rsidRPr="00F36B82">
              <w:rPr>
                <w:color w:val="000000"/>
                <w:sz w:val="14"/>
                <w:szCs w:val="14"/>
              </w:rPr>
              <w:t xml:space="preserve">   İmalat Sanayi</w:t>
            </w:r>
          </w:p>
        </w:tc>
        <w:tc>
          <w:tcPr>
            <w:tcW w:w="240" w:type="pct"/>
            <w:tcBorders>
              <w:top w:val="nil"/>
              <w:left w:val="nil"/>
              <w:bottom w:val="nil"/>
              <w:right w:val="nil"/>
            </w:tcBorders>
            <w:vAlign w:val="bottom"/>
          </w:tcPr>
          <w:p w14:paraId="60A621EA" w14:textId="36A4071B" w:rsidR="002411D3" w:rsidRPr="00F36B82" w:rsidRDefault="002411D3" w:rsidP="00F36B82">
            <w:pPr>
              <w:jc w:val="right"/>
              <w:rPr>
                <w:sz w:val="14"/>
                <w:szCs w:val="14"/>
              </w:rPr>
            </w:pPr>
            <w:r w:rsidRPr="00F36B82">
              <w:rPr>
                <w:color w:val="000000"/>
                <w:sz w:val="14"/>
                <w:szCs w:val="14"/>
              </w:rPr>
              <w:t>-</w:t>
            </w:r>
          </w:p>
        </w:tc>
        <w:tc>
          <w:tcPr>
            <w:tcW w:w="156" w:type="pct"/>
            <w:tcBorders>
              <w:top w:val="nil"/>
              <w:left w:val="nil"/>
              <w:bottom w:val="nil"/>
              <w:right w:val="nil"/>
            </w:tcBorders>
            <w:vAlign w:val="bottom"/>
          </w:tcPr>
          <w:p w14:paraId="6070084A" w14:textId="2A4FAC95" w:rsidR="002411D3" w:rsidRPr="00F36B82" w:rsidRDefault="002411D3" w:rsidP="00F36B82">
            <w:pPr>
              <w:jc w:val="right"/>
              <w:rPr>
                <w:sz w:val="14"/>
                <w:szCs w:val="14"/>
              </w:rPr>
            </w:pPr>
            <w:r w:rsidRPr="00F36B82">
              <w:rPr>
                <w:color w:val="000000"/>
                <w:sz w:val="14"/>
                <w:szCs w:val="14"/>
              </w:rPr>
              <w:t>-</w:t>
            </w:r>
          </w:p>
        </w:tc>
        <w:tc>
          <w:tcPr>
            <w:tcW w:w="173" w:type="pct"/>
            <w:tcBorders>
              <w:top w:val="nil"/>
              <w:left w:val="nil"/>
              <w:bottom w:val="nil"/>
              <w:right w:val="nil"/>
            </w:tcBorders>
            <w:vAlign w:val="bottom"/>
          </w:tcPr>
          <w:p w14:paraId="44FAE981" w14:textId="0D066E38" w:rsidR="002411D3" w:rsidRPr="00F36B82" w:rsidRDefault="002411D3" w:rsidP="00F36B82">
            <w:pPr>
              <w:jc w:val="right"/>
              <w:rPr>
                <w:sz w:val="14"/>
                <w:szCs w:val="14"/>
              </w:rPr>
            </w:pPr>
            <w:r w:rsidRPr="00F36B82">
              <w:rPr>
                <w:color w:val="000000"/>
                <w:sz w:val="14"/>
                <w:szCs w:val="14"/>
              </w:rPr>
              <w:t>-</w:t>
            </w:r>
          </w:p>
        </w:tc>
        <w:tc>
          <w:tcPr>
            <w:tcW w:w="100" w:type="pct"/>
            <w:tcBorders>
              <w:top w:val="nil"/>
              <w:left w:val="nil"/>
              <w:bottom w:val="nil"/>
              <w:right w:val="nil"/>
            </w:tcBorders>
            <w:vAlign w:val="bottom"/>
          </w:tcPr>
          <w:p w14:paraId="68DCE5E8" w14:textId="1F6DB85C" w:rsidR="002411D3" w:rsidRPr="00F36B82" w:rsidRDefault="002411D3" w:rsidP="00F36B82">
            <w:pPr>
              <w:jc w:val="right"/>
              <w:rPr>
                <w:sz w:val="14"/>
                <w:szCs w:val="14"/>
              </w:rPr>
            </w:pPr>
            <w:r w:rsidRPr="00F36B82">
              <w:rPr>
                <w:color w:val="000000"/>
                <w:sz w:val="14"/>
                <w:szCs w:val="14"/>
              </w:rPr>
              <w:t>-</w:t>
            </w:r>
          </w:p>
        </w:tc>
        <w:tc>
          <w:tcPr>
            <w:tcW w:w="224" w:type="pct"/>
            <w:tcBorders>
              <w:top w:val="nil"/>
              <w:left w:val="nil"/>
              <w:bottom w:val="nil"/>
              <w:right w:val="nil"/>
            </w:tcBorders>
            <w:vAlign w:val="bottom"/>
          </w:tcPr>
          <w:p w14:paraId="7D6CF2A2" w14:textId="593C4154" w:rsidR="002411D3" w:rsidRPr="00F36B82" w:rsidRDefault="002411D3" w:rsidP="00F36B82">
            <w:pPr>
              <w:jc w:val="right"/>
              <w:rPr>
                <w:sz w:val="14"/>
                <w:szCs w:val="14"/>
              </w:rPr>
            </w:pPr>
            <w:r w:rsidRPr="00F36B82">
              <w:rPr>
                <w:color w:val="000000"/>
                <w:sz w:val="14"/>
                <w:szCs w:val="14"/>
              </w:rPr>
              <w:t>-</w:t>
            </w:r>
          </w:p>
        </w:tc>
        <w:tc>
          <w:tcPr>
            <w:tcW w:w="240" w:type="pct"/>
            <w:tcBorders>
              <w:top w:val="nil"/>
              <w:left w:val="nil"/>
              <w:bottom w:val="nil"/>
              <w:right w:val="nil"/>
            </w:tcBorders>
            <w:vAlign w:val="bottom"/>
          </w:tcPr>
          <w:p w14:paraId="57A52CA2" w14:textId="45DF66BF" w:rsidR="002411D3" w:rsidRPr="00F36B82" w:rsidRDefault="002411D3" w:rsidP="00F36B82">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76AE1F63" w14:textId="06E58155" w:rsidR="002411D3" w:rsidRPr="00F36B82" w:rsidRDefault="002411D3" w:rsidP="00F36B82">
            <w:pPr>
              <w:jc w:val="right"/>
              <w:rPr>
                <w:sz w:val="14"/>
                <w:szCs w:val="14"/>
              </w:rPr>
            </w:pPr>
            <w:r w:rsidRPr="00F36B82">
              <w:rPr>
                <w:color w:val="000000"/>
                <w:sz w:val="14"/>
                <w:szCs w:val="14"/>
              </w:rPr>
              <w:t>11.624.353</w:t>
            </w:r>
          </w:p>
        </w:tc>
        <w:tc>
          <w:tcPr>
            <w:tcW w:w="220" w:type="pct"/>
            <w:tcBorders>
              <w:top w:val="nil"/>
              <w:left w:val="nil"/>
              <w:bottom w:val="nil"/>
              <w:right w:val="nil"/>
            </w:tcBorders>
            <w:vAlign w:val="bottom"/>
          </w:tcPr>
          <w:p w14:paraId="10F6FF52" w14:textId="518A4333" w:rsidR="002411D3" w:rsidRPr="00F36B82" w:rsidRDefault="002411D3" w:rsidP="00F36B82">
            <w:pPr>
              <w:jc w:val="right"/>
              <w:rPr>
                <w:sz w:val="14"/>
                <w:szCs w:val="14"/>
              </w:rPr>
            </w:pPr>
            <w:r w:rsidRPr="00F36B82">
              <w:rPr>
                <w:color w:val="000000"/>
                <w:sz w:val="14"/>
                <w:szCs w:val="14"/>
              </w:rPr>
              <w:t>-</w:t>
            </w:r>
          </w:p>
        </w:tc>
        <w:tc>
          <w:tcPr>
            <w:tcW w:w="201" w:type="pct"/>
            <w:tcBorders>
              <w:top w:val="nil"/>
              <w:left w:val="nil"/>
              <w:bottom w:val="nil"/>
              <w:right w:val="nil"/>
            </w:tcBorders>
            <w:vAlign w:val="bottom"/>
          </w:tcPr>
          <w:p w14:paraId="6EADA50F" w14:textId="113DD4B9" w:rsidR="002411D3" w:rsidRPr="00F36B82" w:rsidRDefault="002411D3" w:rsidP="00F36B82">
            <w:pPr>
              <w:jc w:val="right"/>
              <w:rPr>
                <w:sz w:val="14"/>
                <w:szCs w:val="14"/>
              </w:rPr>
            </w:pPr>
            <w:r w:rsidRPr="00F36B82">
              <w:rPr>
                <w:color w:val="000000"/>
                <w:sz w:val="14"/>
                <w:szCs w:val="14"/>
              </w:rPr>
              <w:t>987.847</w:t>
            </w:r>
          </w:p>
        </w:tc>
        <w:tc>
          <w:tcPr>
            <w:tcW w:w="142" w:type="pct"/>
            <w:tcBorders>
              <w:top w:val="nil"/>
              <w:left w:val="nil"/>
              <w:bottom w:val="nil"/>
              <w:right w:val="nil"/>
            </w:tcBorders>
            <w:vAlign w:val="bottom"/>
          </w:tcPr>
          <w:p w14:paraId="16A21A1A" w14:textId="533003C8" w:rsidR="002411D3" w:rsidRPr="00F36B82" w:rsidRDefault="002411D3" w:rsidP="00F36B82">
            <w:pPr>
              <w:jc w:val="right"/>
              <w:rPr>
                <w:sz w:val="14"/>
                <w:szCs w:val="14"/>
              </w:rPr>
            </w:pPr>
            <w:r w:rsidRPr="00F36B82">
              <w:rPr>
                <w:color w:val="000000"/>
                <w:sz w:val="14"/>
                <w:szCs w:val="14"/>
              </w:rPr>
              <w:t>-</w:t>
            </w:r>
          </w:p>
        </w:tc>
        <w:tc>
          <w:tcPr>
            <w:tcW w:w="220" w:type="pct"/>
            <w:tcBorders>
              <w:top w:val="nil"/>
              <w:left w:val="nil"/>
              <w:bottom w:val="nil"/>
              <w:right w:val="nil"/>
            </w:tcBorders>
            <w:vAlign w:val="bottom"/>
          </w:tcPr>
          <w:p w14:paraId="63D00F6A" w14:textId="553679A2" w:rsidR="002411D3" w:rsidRPr="00F36B82" w:rsidRDefault="002411D3" w:rsidP="00F36B82">
            <w:pPr>
              <w:jc w:val="right"/>
              <w:rPr>
                <w:bCs/>
                <w:sz w:val="14"/>
                <w:szCs w:val="14"/>
              </w:rPr>
            </w:pPr>
            <w:r w:rsidRPr="00F36B82">
              <w:rPr>
                <w:color w:val="000000"/>
                <w:sz w:val="14"/>
                <w:szCs w:val="14"/>
              </w:rPr>
              <w:t>-</w:t>
            </w:r>
          </w:p>
        </w:tc>
        <w:tc>
          <w:tcPr>
            <w:tcW w:w="159" w:type="pct"/>
            <w:tcBorders>
              <w:top w:val="nil"/>
              <w:left w:val="nil"/>
              <w:bottom w:val="nil"/>
              <w:right w:val="nil"/>
            </w:tcBorders>
            <w:vAlign w:val="bottom"/>
          </w:tcPr>
          <w:p w14:paraId="3FEC49A6" w14:textId="647D4AEE"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66D22D9C" w14:textId="4F9B783E"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282C9E61" w14:textId="0BE21090"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52C4A782" w14:textId="3AB90C8D"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5D5B0FE0" w14:textId="2DDE5D59"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097CE290" w14:textId="68081DE1" w:rsidR="002411D3" w:rsidRPr="00F36B82" w:rsidRDefault="002411D3" w:rsidP="00F36B82">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170C6E27" w14:textId="35555AAD" w:rsidR="002411D3" w:rsidRPr="00F36B82" w:rsidRDefault="002411D3" w:rsidP="00F36B82">
            <w:pPr>
              <w:jc w:val="right"/>
              <w:rPr>
                <w:sz w:val="14"/>
                <w:szCs w:val="14"/>
              </w:rPr>
            </w:pPr>
            <w:r w:rsidRPr="00F36B82">
              <w:rPr>
                <w:color w:val="000000"/>
                <w:sz w:val="14"/>
                <w:szCs w:val="14"/>
              </w:rPr>
              <w:t>7.336.145</w:t>
            </w:r>
          </w:p>
        </w:tc>
        <w:tc>
          <w:tcPr>
            <w:tcW w:w="272" w:type="pct"/>
            <w:tcBorders>
              <w:top w:val="nil"/>
              <w:left w:val="nil"/>
              <w:bottom w:val="nil"/>
              <w:right w:val="nil"/>
            </w:tcBorders>
            <w:vAlign w:val="bottom"/>
          </w:tcPr>
          <w:p w14:paraId="52EA9EB7" w14:textId="438F842E" w:rsidR="002411D3" w:rsidRPr="00F36B82" w:rsidRDefault="002411D3" w:rsidP="00F36B82">
            <w:pPr>
              <w:jc w:val="right"/>
              <w:rPr>
                <w:sz w:val="14"/>
                <w:szCs w:val="14"/>
              </w:rPr>
            </w:pPr>
            <w:r w:rsidRPr="00F36B82">
              <w:rPr>
                <w:color w:val="000000"/>
                <w:sz w:val="14"/>
                <w:szCs w:val="14"/>
              </w:rPr>
              <w:t>5.276.055</w:t>
            </w:r>
          </w:p>
        </w:tc>
        <w:tc>
          <w:tcPr>
            <w:tcW w:w="271" w:type="pct"/>
            <w:tcBorders>
              <w:top w:val="nil"/>
              <w:left w:val="nil"/>
              <w:bottom w:val="nil"/>
              <w:right w:val="nil"/>
            </w:tcBorders>
            <w:vAlign w:val="bottom"/>
          </w:tcPr>
          <w:p w14:paraId="0DD7B670" w14:textId="58A23F8D" w:rsidR="002411D3" w:rsidRPr="00F36B82" w:rsidRDefault="002411D3" w:rsidP="00F36B82">
            <w:pPr>
              <w:jc w:val="right"/>
              <w:rPr>
                <w:sz w:val="14"/>
                <w:szCs w:val="14"/>
              </w:rPr>
            </w:pPr>
            <w:r w:rsidRPr="00F36B82">
              <w:rPr>
                <w:color w:val="000000"/>
                <w:sz w:val="14"/>
                <w:szCs w:val="14"/>
              </w:rPr>
              <w:t>12.612.200</w:t>
            </w:r>
          </w:p>
        </w:tc>
      </w:tr>
      <w:tr w:rsidR="002411D3" w:rsidRPr="00F36B82" w14:paraId="375394F0" w14:textId="77777777" w:rsidTr="00F36B82">
        <w:trPr>
          <w:trHeight w:val="133"/>
        </w:trPr>
        <w:tc>
          <w:tcPr>
            <w:tcW w:w="98" w:type="pct"/>
          </w:tcPr>
          <w:p w14:paraId="40B33A7F" w14:textId="77777777" w:rsidR="002411D3" w:rsidRPr="00F36B82" w:rsidRDefault="002411D3" w:rsidP="007A5154">
            <w:pPr>
              <w:autoSpaceDE w:val="0"/>
              <w:autoSpaceDN w:val="0"/>
              <w:adjustRightInd w:val="0"/>
              <w:ind w:left="112" w:hanging="112"/>
              <w:rPr>
                <w:rFonts w:eastAsia="Arial Unicode MS"/>
                <w:sz w:val="14"/>
                <w:szCs w:val="14"/>
              </w:rPr>
            </w:pPr>
            <w:r w:rsidRPr="00F36B82">
              <w:rPr>
                <w:rFonts w:eastAsia="Arial Unicode MS"/>
                <w:sz w:val="14"/>
                <w:szCs w:val="14"/>
              </w:rPr>
              <w:t>2.3</w:t>
            </w:r>
          </w:p>
        </w:tc>
        <w:tc>
          <w:tcPr>
            <w:tcW w:w="528" w:type="pct"/>
            <w:vAlign w:val="bottom"/>
          </w:tcPr>
          <w:p w14:paraId="36D7F493" w14:textId="77777777" w:rsidR="002411D3" w:rsidRPr="00F36B82" w:rsidRDefault="002411D3" w:rsidP="002411D3">
            <w:pPr>
              <w:rPr>
                <w:color w:val="000000"/>
                <w:sz w:val="14"/>
                <w:szCs w:val="14"/>
              </w:rPr>
            </w:pPr>
            <w:r w:rsidRPr="00F36B82">
              <w:rPr>
                <w:color w:val="000000"/>
                <w:sz w:val="14"/>
                <w:szCs w:val="14"/>
              </w:rPr>
              <w:t xml:space="preserve">   Elektrik, Gaz, Su</w:t>
            </w:r>
          </w:p>
        </w:tc>
        <w:tc>
          <w:tcPr>
            <w:tcW w:w="240" w:type="pct"/>
            <w:tcBorders>
              <w:top w:val="nil"/>
              <w:left w:val="nil"/>
              <w:bottom w:val="nil"/>
              <w:right w:val="nil"/>
            </w:tcBorders>
            <w:vAlign w:val="bottom"/>
          </w:tcPr>
          <w:p w14:paraId="15CE8E76" w14:textId="670DA9C0" w:rsidR="002411D3" w:rsidRPr="00F36B82" w:rsidRDefault="002411D3" w:rsidP="00F36B82">
            <w:pPr>
              <w:jc w:val="right"/>
              <w:rPr>
                <w:sz w:val="14"/>
                <w:szCs w:val="14"/>
              </w:rPr>
            </w:pPr>
            <w:r w:rsidRPr="00F36B82">
              <w:rPr>
                <w:color w:val="000000"/>
                <w:sz w:val="14"/>
                <w:szCs w:val="14"/>
              </w:rPr>
              <w:t>-</w:t>
            </w:r>
          </w:p>
        </w:tc>
        <w:tc>
          <w:tcPr>
            <w:tcW w:w="156" w:type="pct"/>
            <w:tcBorders>
              <w:top w:val="nil"/>
              <w:left w:val="nil"/>
              <w:bottom w:val="nil"/>
              <w:right w:val="nil"/>
            </w:tcBorders>
            <w:vAlign w:val="bottom"/>
          </w:tcPr>
          <w:p w14:paraId="303BFD4A" w14:textId="43376305" w:rsidR="002411D3" w:rsidRPr="00F36B82" w:rsidRDefault="002411D3" w:rsidP="00F36B82">
            <w:pPr>
              <w:jc w:val="right"/>
              <w:rPr>
                <w:sz w:val="14"/>
                <w:szCs w:val="14"/>
              </w:rPr>
            </w:pPr>
            <w:r w:rsidRPr="00F36B82">
              <w:rPr>
                <w:color w:val="000000"/>
                <w:sz w:val="14"/>
                <w:szCs w:val="14"/>
              </w:rPr>
              <w:t>-</w:t>
            </w:r>
          </w:p>
        </w:tc>
        <w:tc>
          <w:tcPr>
            <w:tcW w:w="173" w:type="pct"/>
            <w:tcBorders>
              <w:top w:val="nil"/>
              <w:left w:val="nil"/>
              <w:bottom w:val="nil"/>
              <w:right w:val="nil"/>
            </w:tcBorders>
            <w:vAlign w:val="bottom"/>
          </w:tcPr>
          <w:p w14:paraId="0870D11C" w14:textId="7AE1D464" w:rsidR="002411D3" w:rsidRPr="00F36B82" w:rsidRDefault="002411D3" w:rsidP="00F36B82">
            <w:pPr>
              <w:jc w:val="right"/>
              <w:rPr>
                <w:sz w:val="14"/>
                <w:szCs w:val="14"/>
              </w:rPr>
            </w:pPr>
            <w:r w:rsidRPr="00F36B82">
              <w:rPr>
                <w:color w:val="000000"/>
                <w:sz w:val="14"/>
                <w:szCs w:val="14"/>
              </w:rPr>
              <w:t>-</w:t>
            </w:r>
          </w:p>
        </w:tc>
        <w:tc>
          <w:tcPr>
            <w:tcW w:w="100" w:type="pct"/>
            <w:tcBorders>
              <w:top w:val="nil"/>
              <w:left w:val="nil"/>
              <w:bottom w:val="nil"/>
              <w:right w:val="nil"/>
            </w:tcBorders>
            <w:vAlign w:val="bottom"/>
          </w:tcPr>
          <w:p w14:paraId="6B12CEC0" w14:textId="7AE38608" w:rsidR="002411D3" w:rsidRPr="00F36B82" w:rsidRDefault="002411D3" w:rsidP="00F36B82">
            <w:pPr>
              <w:jc w:val="right"/>
              <w:rPr>
                <w:sz w:val="14"/>
                <w:szCs w:val="14"/>
              </w:rPr>
            </w:pPr>
            <w:r w:rsidRPr="00F36B82">
              <w:rPr>
                <w:color w:val="000000"/>
                <w:sz w:val="14"/>
                <w:szCs w:val="14"/>
              </w:rPr>
              <w:t>-</w:t>
            </w:r>
          </w:p>
        </w:tc>
        <w:tc>
          <w:tcPr>
            <w:tcW w:w="224" w:type="pct"/>
            <w:tcBorders>
              <w:top w:val="nil"/>
              <w:left w:val="nil"/>
              <w:bottom w:val="nil"/>
              <w:right w:val="nil"/>
            </w:tcBorders>
            <w:vAlign w:val="bottom"/>
          </w:tcPr>
          <w:p w14:paraId="4B9282B3" w14:textId="7A862A8A" w:rsidR="002411D3" w:rsidRPr="00F36B82" w:rsidRDefault="002411D3" w:rsidP="00F36B82">
            <w:pPr>
              <w:jc w:val="right"/>
              <w:rPr>
                <w:sz w:val="14"/>
                <w:szCs w:val="14"/>
              </w:rPr>
            </w:pPr>
            <w:r w:rsidRPr="00F36B82">
              <w:rPr>
                <w:color w:val="000000"/>
                <w:sz w:val="14"/>
                <w:szCs w:val="14"/>
              </w:rPr>
              <w:t>-</w:t>
            </w:r>
          </w:p>
        </w:tc>
        <w:tc>
          <w:tcPr>
            <w:tcW w:w="240" w:type="pct"/>
            <w:tcBorders>
              <w:top w:val="nil"/>
              <w:left w:val="nil"/>
              <w:bottom w:val="nil"/>
              <w:right w:val="nil"/>
            </w:tcBorders>
            <w:vAlign w:val="bottom"/>
          </w:tcPr>
          <w:p w14:paraId="4EACFD0B" w14:textId="0CC50218" w:rsidR="002411D3" w:rsidRPr="00F36B82" w:rsidRDefault="002411D3" w:rsidP="00F36B82">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5D747E0A" w14:textId="51C125B9" w:rsidR="002411D3" w:rsidRPr="00F36B82" w:rsidRDefault="002411D3" w:rsidP="00F36B82">
            <w:pPr>
              <w:jc w:val="right"/>
              <w:rPr>
                <w:sz w:val="14"/>
                <w:szCs w:val="14"/>
              </w:rPr>
            </w:pPr>
            <w:r w:rsidRPr="00F36B82">
              <w:rPr>
                <w:color w:val="000000"/>
                <w:sz w:val="14"/>
                <w:szCs w:val="14"/>
              </w:rPr>
              <w:t>868.663</w:t>
            </w:r>
          </w:p>
        </w:tc>
        <w:tc>
          <w:tcPr>
            <w:tcW w:w="220" w:type="pct"/>
            <w:tcBorders>
              <w:top w:val="nil"/>
              <w:left w:val="nil"/>
              <w:bottom w:val="nil"/>
              <w:right w:val="nil"/>
            </w:tcBorders>
            <w:vAlign w:val="bottom"/>
          </w:tcPr>
          <w:p w14:paraId="591426D0" w14:textId="65B42E14" w:rsidR="002411D3" w:rsidRPr="00F36B82" w:rsidRDefault="002411D3" w:rsidP="00F36B82">
            <w:pPr>
              <w:jc w:val="right"/>
              <w:rPr>
                <w:sz w:val="14"/>
                <w:szCs w:val="14"/>
              </w:rPr>
            </w:pPr>
            <w:r w:rsidRPr="00F36B82">
              <w:rPr>
                <w:color w:val="000000"/>
                <w:sz w:val="14"/>
                <w:szCs w:val="14"/>
              </w:rPr>
              <w:t>-</w:t>
            </w:r>
          </w:p>
        </w:tc>
        <w:tc>
          <w:tcPr>
            <w:tcW w:w="201" w:type="pct"/>
            <w:tcBorders>
              <w:top w:val="nil"/>
              <w:left w:val="nil"/>
              <w:bottom w:val="nil"/>
              <w:right w:val="nil"/>
            </w:tcBorders>
            <w:vAlign w:val="bottom"/>
          </w:tcPr>
          <w:p w14:paraId="7521E9F4" w14:textId="7D2EC833" w:rsidR="002411D3" w:rsidRPr="00F36B82" w:rsidRDefault="002411D3" w:rsidP="00F36B82">
            <w:pPr>
              <w:jc w:val="right"/>
              <w:rPr>
                <w:sz w:val="14"/>
                <w:szCs w:val="14"/>
              </w:rPr>
            </w:pPr>
            <w:r w:rsidRPr="00F36B82">
              <w:rPr>
                <w:color w:val="000000"/>
                <w:sz w:val="14"/>
                <w:szCs w:val="14"/>
              </w:rPr>
              <w:t>7.663</w:t>
            </w:r>
          </w:p>
        </w:tc>
        <w:tc>
          <w:tcPr>
            <w:tcW w:w="142" w:type="pct"/>
            <w:tcBorders>
              <w:top w:val="nil"/>
              <w:left w:val="nil"/>
              <w:bottom w:val="nil"/>
              <w:right w:val="nil"/>
            </w:tcBorders>
            <w:vAlign w:val="bottom"/>
          </w:tcPr>
          <w:p w14:paraId="3119212A" w14:textId="0E0A2C2F" w:rsidR="002411D3" w:rsidRPr="00F36B82" w:rsidRDefault="002411D3" w:rsidP="00F36B82">
            <w:pPr>
              <w:jc w:val="right"/>
              <w:rPr>
                <w:sz w:val="14"/>
                <w:szCs w:val="14"/>
              </w:rPr>
            </w:pPr>
            <w:r w:rsidRPr="00F36B82">
              <w:rPr>
                <w:color w:val="000000"/>
                <w:sz w:val="14"/>
                <w:szCs w:val="14"/>
              </w:rPr>
              <w:t>-</w:t>
            </w:r>
          </w:p>
        </w:tc>
        <w:tc>
          <w:tcPr>
            <w:tcW w:w="220" w:type="pct"/>
            <w:tcBorders>
              <w:top w:val="nil"/>
              <w:left w:val="nil"/>
              <w:bottom w:val="nil"/>
              <w:right w:val="nil"/>
            </w:tcBorders>
            <w:vAlign w:val="bottom"/>
          </w:tcPr>
          <w:p w14:paraId="2C1A14E9" w14:textId="3BA168E7" w:rsidR="002411D3" w:rsidRPr="00F36B82" w:rsidRDefault="002411D3" w:rsidP="00F36B82">
            <w:pPr>
              <w:jc w:val="right"/>
              <w:rPr>
                <w:bCs/>
                <w:sz w:val="14"/>
                <w:szCs w:val="14"/>
              </w:rPr>
            </w:pPr>
            <w:r w:rsidRPr="00F36B82">
              <w:rPr>
                <w:color w:val="000000"/>
                <w:sz w:val="14"/>
                <w:szCs w:val="14"/>
              </w:rPr>
              <w:t>-</w:t>
            </w:r>
          </w:p>
        </w:tc>
        <w:tc>
          <w:tcPr>
            <w:tcW w:w="159" w:type="pct"/>
            <w:tcBorders>
              <w:top w:val="nil"/>
              <w:left w:val="nil"/>
              <w:bottom w:val="nil"/>
              <w:right w:val="nil"/>
            </w:tcBorders>
            <w:vAlign w:val="bottom"/>
          </w:tcPr>
          <w:p w14:paraId="7FA10183" w14:textId="1C695212"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5EC3FABF" w14:textId="79C51B70"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1F774A7B" w14:textId="247C0D82"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3E710309" w14:textId="2D943492"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108E4C82" w14:textId="195D86A3"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3E19E1B5" w14:textId="69EE5769" w:rsidR="002411D3" w:rsidRPr="00F36B82" w:rsidRDefault="002411D3" w:rsidP="00F36B82">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01F4A55D" w14:textId="42D5AE41" w:rsidR="002411D3" w:rsidRPr="00F36B82" w:rsidRDefault="002411D3" w:rsidP="00F36B82">
            <w:pPr>
              <w:jc w:val="right"/>
              <w:rPr>
                <w:sz w:val="14"/>
                <w:szCs w:val="14"/>
              </w:rPr>
            </w:pPr>
            <w:r w:rsidRPr="00F36B82">
              <w:rPr>
                <w:color w:val="000000"/>
                <w:sz w:val="14"/>
                <w:szCs w:val="14"/>
              </w:rPr>
              <w:t>752.642</w:t>
            </w:r>
          </w:p>
        </w:tc>
        <w:tc>
          <w:tcPr>
            <w:tcW w:w="272" w:type="pct"/>
            <w:tcBorders>
              <w:top w:val="nil"/>
              <w:left w:val="nil"/>
              <w:bottom w:val="nil"/>
              <w:right w:val="nil"/>
            </w:tcBorders>
            <w:vAlign w:val="bottom"/>
          </w:tcPr>
          <w:p w14:paraId="217894A3" w14:textId="5BE71691" w:rsidR="002411D3" w:rsidRPr="00F36B82" w:rsidRDefault="002411D3" w:rsidP="00F36B82">
            <w:pPr>
              <w:jc w:val="right"/>
              <w:rPr>
                <w:sz w:val="14"/>
                <w:szCs w:val="14"/>
              </w:rPr>
            </w:pPr>
            <w:r w:rsidRPr="00F36B82">
              <w:rPr>
                <w:color w:val="000000"/>
                <w:sz w:val="14"/>
                <w:szCs w:val="14"/>
              </w:rPr>
              <w:t>123.684</w:t>
            </w:r>
          </w:p>
        </w:tc>
        <w:tc>
          <w:tcPr>
            <w:tcW w:w="271" w:type="pct"/>
            <w:tcBorders>
              <w:top w:val="nil"/>
              <w:left w:val="nil"/>
              <w:bottom w:val="nil"/>
              <w:right w:val="nil"/>
            </w:tcBorders>
            <w:vAlign w:val="bottom"/>
          </w:tcPr>
          <w:p w14:paraId="29EAFF5E" w14:textId="4947C1BE" w:rsidR="002411D3" w:rsidRPr="00F36B82" w:rsidRDefault="002411D3" w:rsidP="00F36B82">
            <w:pPr>
              <w:jc w:val="right"/>
              <w:rPr>
                <w:sz w:val="14"/>
                <w:szCs w:val="14"/>
              </w:rPr>
            </w:pPr>
            <w:r w:rsidRPr="00F36B82">
              <w:rPr>
                <w:color w:val="000000"/>
                <w:sz w:val="14"/>
                <w:szCs w:val="14"/>
              </w:rPr>
              <w:t>876.326</w:t>
            </w:r>
          </w:p>
        </w:tc>
      </w:tr>
      <w:tr w:rsidR="002411D3" w:rsidRPr="00F36B82" w14:paraId="41A1D9FE" w14:textId="77777777" w:rsidTr="00F36B82">
        <w:trPr>
          <w:trHeight w:val="133"/>
        </w:trPr>
        <w:tc>
          <w:tcPr>
            <w:tcW w:w="98" w:type="pct"/>
          </w:tcPr>
          <w:p w14:paraId="1C858239" w14:textId="77777777" w:rsidR="002411D3" w:rsidRPr="00F36B82" w:rsidRDefault="002411D3" w:rsidP="007A5154">
            <w:pPr>
              <w:autoSpaceDE w:val="0"/>
              <w:autoSpaceDN w:val="0"/>
              <w:adjustRightInd w:val="0"/>
              <w:rPr>
                <w:rFonts w:eastAsia="Arial Unicode MS"/>
                <w:b/>
                <w:sz w:val="14"/>
                <w:szCs w:val="14"/>
              </w:rPr>
            </w:pPr>
            <w:r w:rsidRPr="00F36B82">
              <w:rPr>
                <w:rFonts w:eastAsia="Arial Unicode MS"/>
                <w:b/>
                <w:sz w:val="14"/>
                <w:szCs w:val="14"/>
              </w:rPr>
              <w:t>3</w:t>
            </w:r>
          </w:p>
        </w:tc>
        <w:tc>
          <w:tcPr>
            <w:tcW w:w="528" w:type="pct"/>
            <w:vAlign w:val="bottom"/>
          </w:tcPr>
          <w:p w14:paraId="48E17FAD" w14:textId="77777777" w:rsidR="002411D3" w:rsidRPr="00F36B82" w:rsidRDefault="002411D3" w:rsidP="002411D3">
            <w:pPr>
              <w:rPr>
                <w:b/>
                <w:bCs/>
                <w:color w:val="000000"/>
                <w:sz w:val="14"/>
                <w:szCs w:val="14"/>
              </w:rPr>
            </w:pPr>
            <w:r w:rsidRPr="00F36B82">
              <w:rPr>
                <w:b/>
                <w:bCs/>
                <w:color w:val="000000"/>
                <w:sz w:val="14"/>
                <w:szCs w:val="14"/>
              </w:rPr>
              <w:t>İnşaat</w:t>
            </w:r>
          </w:p>
        </w:tc>
        <w:tc>
          <w:tcPr>
            <w:tcW w:w="240" w:type="pct"/>
            <w:tcBorders>
              <w:top w:val="nil"/>
              <w:left w:val="nil"/>
              <w:bottom w:val="nil"/>
              <w:right w:val="nil"/>
            </w:tcBorders>
            <w:vAlign w:val="bottom"/>
          </w:tcPr>
          <w:p w14:paraId="0DEBE7D1" w14:textId="1C4A4D4E" w:rsidR="002411D3" w:rsidRPr="00F36B82" w:rsidRDefault="002411D3" w:rsidP="00F36B82">
            <w:pPr>
              <w:jc w:val="right"/>
              <w:rPr>
                <w:b/>
                <w:sz w:val="14"/>
                <w:szCs w:val="14"/>
              </w:rPr>
            </w:pPr>
            <w:r w:rsidRPr="00F36B82">
              <w:rPr>
                <w:b/>
                <w:bCs/>
                <w:color w:val="000000"/>
                <w:sz w:val="14"/>
                <w:szCs w:val="14"/>
              </w:rPr>
              <w:t>-</w:t>
            </w:r>
          </w:p>
        </w:tc>
        <w:tc>
          <w:tcPr>
            <w:tcW w:w="156" w:type="pct"/>
            <w:tcBorders>
              <w:top w:val="nil"/>
              <w:left w:val="nil"/>
              <w:bottom w:val="nil"/>
              <w:right w:val="nil"/>
            </w:tcBorders>
            <w:vAlign w:val="bottom"/>
          </w:tcPr>
          <w:p w14:paraId="2E28F9D8" w14:textId="194202B3" w:rsidR="002411D3" w:rsidRPr="00F36B82" w:rsidRDefault="002411D3" w:rsidP="00F36B82">
            <w:pPr>
              <w:jc w:val="right"/>
              <w:rPr>
                <w:b/>
                <w:sz w:val="14"/>
                <w:szCs w:val="14"/>
              </w:rPr>
            </w:pPr>
            <w:r w:rsidRPr="00F36B82">
              <w:rPr>
                <w:b/>
                <w:bCs/>
                <w:color w:val="000000"/>
                <w:sz w:val="14"/>
                <w:szCs w:val="14"/>
              </w:rPr>
              <w:t>-</w:t>
            </w:r>
          </w:p>
        </w:tc>
        <w:tc>
          <w:tcPr>
            <w:tcW w:w="173" w:type="pct"/>
            <w:tcBorders>
              <w:top w:val="nil"/>
              <w:left w:val="nil"/>
              <w:bottom w:val="nil"/>
              <w:right w:val="nil"/>
            </w:tcBorders>
            <w:vAlign w:val="bottom"/>
          </w:tcPr>
          <w:p w14:paraId="7505A0CB" w14:textId="648AE816" w:rsidR="002411D3" w:rsidRPr="00F36B82" w:rsidRDefault="002411D3" w:rsidP="00F36B82">
            <w:pPr>
              <w:jc w:val="right"/>
              <w:rPr>
                <w:b/>
                <w:sz w:val="14"/>
                <w:szCs w:val="14"/>
              </w:rPr>
            </w:pPr>
            <w:r w:rsidRPr="00F36B82">
              <w:rPr>
                <w:b/>
                <w:bCs/>
                <w:color w:val="000000"/>
                <w:sz w:val="14"/>
                <w:szCs w:val="14"/>
              </w:rPr>
              <w:t>-</w:t>
            </w:r>
          </w:p>
        </w:tc>
        <w:tc>
          <w:tcPr>
            <w:tcW w:w="100" w:type="pct"/>
            <w:tcBorders>
              <w:top w:val="nil"/>
              <w:left w:val="nil"/>
              <w:bottom w:val="nil"/>
              <w:right w:val="nil"/>
            </w:tcBorders>
            <w:vAlign w:val="bottom"/>
          </w:tcPr>
          <w:p w14:paraId="73F676F7" w14:textId="6D7883AF" w:rsidR="002411D3" w:rsidRPr="00F36B82" w:rsidRDefault="002411D3" w:rsidP="00F36B82">
            <w:pPr>
              <w:jc w:val="right"/>
              <w:rPr>
                <w:b/>
                <w:sz w:val="14"/>
                <w:szCs w:val="14"/>
              </w:rPr>
            </w:pPr>
            <w:r w:rsidRPr="00F36B82">
              <w:rPr>
                <w:b/>
                <w:bCs/>
                <w:color w:val="000000"/>
                <w:sz w:val="14"/>
                <w:szCs w:val="14"/>
              </w:rPr>
              <w:t>-</w:t>
            </w:r>
          </w:p>
        </w:tc>
        <w:tc>
          <w:tcPr>
            <w:tcW w:w="224" w:type="pct"/>
            <w:tcBorders>
              <w:top w:val="nil"/>
              <w:left w:val="nil"/>
              <w:bottom w:val="nil"/>
              <w:right w:val="nil"/>
            </w:tcBorders>
            <w:vAlign w:val="bottom"/>
          </w:tcPr>
          <w:p w14:paraId="513EDF3C" w14:textId="72AF45A0" w:rsidR="002411D3" w:rsidRPr="00F36B82" w:rsidRDefault="002411D3" w:rsidP="00F36B82">
            <w:pPr>
              <w:jc w:val="right"/>
              <w:rPr>
                <w:b/>
                <w:sz w:val="14"/>
                <w:szCs w:val="14"/>
              </w:rPr>
            </w:pPr>
            <w:r w:rsidRPr="00F36B82">
              <w:rPr>
                <w:b/>
                <w:bCs/>
                <w:color w:val="000000"/>
                <w:sz w:val="14"/>
                <w:szCs w:val="14"/>
              </w:rPr>
              <w:t>-</w:t>
            </w:r>
          </w:p>
        </w:tc>
        <w:tc>
          <w:tcPr>
            <w:tcW w:w="240" w:type="pct"/>
            <w:tcBorders>
              <w:top w:val="nil"/>
              <w:left w:val="nil"/>
              <w:bottom w:val="nil"/>
              <w:right w:val="nil"/>
            </w:tcBorders>
            <w:vAlign w:val="bottom"/>
          </w:tcPr>
          <w:p w14:paraId="7406E439" w14:textId="5FED95F3" w:rsidR="002411D3" w:rsidRPr="00F36B82" w:rsidRDefault="002411D3" w:rsidP="00F36B82">
            <w:pPr>
              <w:jc w:val="right"/>
              <w:rPr>
                <w:b/>
                <w:sz w:val="14"/>
                <w:szCs w:val="14"/>
              </w:rPr>
            </w:pPr>
            <w:r w:rsidRPr="00F36B82">
              <w:rPr>
                <w:b/>
                <w:bCs/>
                <w:color w:val="000000"/>
                <w:sz w:val="14"/>
                <w:szCs w:val="14"/>
              </w:rPr>
              <w:t>-</w:t>
            </w:r>
          </w:p>
        </w:tc>
        <w:tc>
          <w:tcPr>
            <w:tcW w:w="268" w:type="pct"/>
            <w:tcBorders>
              <w:top w:val="nil"/>
              <w:left w:val="nil"/>
              <w:bottom w:val="nil"/>
              <w:right w:val="nil"/>
            </w:tcBorders>
            <w:vAlign w:val="bottom"/>
          </w:tcPr>
          <w:p w14:paraId="476E6055" w14:textId="326B811C" w:rsidR="002411D3" w:rsidRPr="00F36B82" w:rsidRDefault="002411D3" w:rsidP="00F36B82">
            <w:pPr>
              <w:jc w:val="right"/>
              <w:rPr>
                <w:b/>
                <w:sz w:val="14"/>
                <w:szCs w:val="14"/>
              </w:rPr>
            </w:pPr>
            <w:r w:rsidRPr="00F36B82">
              <w:rPr>
                <w:b/>
                <w:bCs/>
                <w:color w:val="000000"/>
                <w:sz w:val="14"/>
                <w:szCs w:val="14"/>
              </w:rPr>
              <w:t>7.589.747</w:t>
            </w:r>
          </w:p>
        </w:tc>
        <w:tc>
          <w:tcPr>
            <w:tcW w:w="220" w:type="pct"/>
            <w:tcBorders>
              <w:top w:val="nil"/>
              <w:left w:val="nil"/>
              <w:bottom w:val="nil"/>
              <w:right w:val="nil"/>
            </w:tcBorders>
            <w:vAlign w:val="bottom"/>
          </w:tcPr>
          <w:p w14:paraId="70728002" w14:textId="2BD14815" w:rsidR="002411D3" w:rsidRPr="00F36B82" w:rsidRDefault="002411D3" w:rsidP="00F36B82">
            <w:pPr>
              <w:jc w:val="right"/>
              <w:rPr>
                <w:b/>
                <w:sz w:val="14"/>
                <w:szCs w:val="14"/>
              </w:rPr>
            </w:pPr>
            <w:r w:rsidRPr="00F36B82">
              <w:rPr>
                <w:b/>
                <w:bCs/>
                <w:color w:val="000000"/>
                <w:sz w:val="14"/>
                <w:szCs w:val="14"/>
              </w:rPr>
              <w:t>-</w:t>
            </w:r>
          </w:p>
        </w:tc>
        <w:tc>
          <w:tcPr>
            <w:tcW w:w="201" w:type="pct"/>
            <w:tcBorders>
              <w:top w:val="nil"/>
              <w:left w:val="nil"/>
              <w:bottom w:val="nil"/>
              <w:right w:val="nil"/>
            </w:tcBorders>
            <w:vAlign w:val="bottom"/>
          </w:tcPr>
          <w:p w14:paraId="73A5B27A" w14:textId="6EE9334B" w:rsidR="002411D3" w:rsidRPr="00F36B82" w:rsidRDefault="002411D3" w:rsidP="00F36B82">
            <w:pPr>
              <w:jc w:val="right"/>
              <w:rPr>
                <w:b/>
                <w:sz w:val="14"/>
                <w:szCs w:val="14"/>
              </w:rPr>
            </w:pPr>
            <w:r w:rsidRPr="00F36B82">
              <w:rPr>
                <w:b/>
                <w:bCs/>
                <w:color w:val="000000"/>
                <w:sz w:val="14"/>
                <w:szCs w:val="14"/>
              </w:rPr>
              <w:t>546.071</w:t>
            </w:r>
          </w:p>
        </w:tc>
        <w:tc>
          <w:tcPr>
            <w:tcW w:w="142" w:type="pct"/>
            <w:tcBorders>
              <w:top w:val="nil"/>
              <w:left w:val="nil"/>
              <w:bottom w:val="nil"/>
              <w:right w:val="nil"/>
            </w:tcBorders>
            <w:vAlign w:val="bottom"/>
          </w:tcPr>
          <w:p w14:paraId="36BCE5F0" w14:textId="55814691" w:rsidR="002411D3" w:rsidRPr="00F36B82" w:rsidRDefault="002411D3" w:rsidP="00F36B82">
            <w:pPr>
              <w:jc w:val="right"/>
              <w:rPr>
                <w:b/>
                <w:sz w:val="14"/>
                <w:szCs w:val="14"/>
              </w:rPr>
            </w:pPr>
            <w:r w:rsidRPr="00F36B82">
              <w:rPr>
                <w:b/>
                <w:bCs/>
                <w:color w:val="000000"/>
                <w:sz w:val="14"/>
                <w:szCs w:val="14"/>
              </w:rPr>
              <w:t>-</w:t>
            </w:r>
          </w:p>
        </w:tc>
        <w:tc>
          <w:tcPr>
            <w:tcW w:w="220" w:type="pct"/>
            <w:tcBorders>
              <w:top w:val="nil"/>
              <w:left w:val="nil"/>
              <w:bottom w:val="nil"/>
              <w:right w:val="nil"/>
            </w:tcBorders>
            <w:vAlign w:val="bottom"/>
          </w:tcPr>
          <w:p w14:paraId="07CDE628" w14:textId="64CAFFA6" w:rsidR="002411D3" w:rsidRPr="00F36B82" w:rsidRDefault="002411D3" w:rsidP="00F36B82">
            <w:pPr>
              <w:jc w:val="right"/>
              <w:rPr>
                <w:b/>
                <w:sz w:val="14"/>
                <w:szCs w:val="14"/>
              </w:rPr>
            </w:pPr>
            <w:r w:rsidRPr="00F36B82">
              <w:rPr>
                <w:b/>
                <w:bCs/>
                <w:color w:val="000000"/>
                <w:sz w:val="14"/>
                <w:szCs w:val="14"/>
              </w:rPr>
              <w:t>-</w:t>
            </w:r>
          </w:p>
        </w:tc>
        <w:tc>
          <w:tcPr>
            <w:tcW w:w="159" w:type="pct"/>
            <w:tcBorders>
              <w:top w:val="nil"/>
              <w:left w:val="nil"/>
              <w:bottom w:val="nil"/>
              <w:right w:val="nil"/>
            </w:tcBorders>
            <w:vAlign w:val="bottom"/>
          </w:tcPr>
          <w:p w14:paraId="01034854" w14:textId="59A84552" w:rsidR="002411D3" w:rsidRPr="00F36B82" w:rsidRDefault="002411D3" w:rsidP="00F36B82">
            <w:pPr>
              <w:jc w:val="right"/>
              <w:rPr>
                <w:b/>
                <w:sz w:val="14"/>
                <w:szCs w:val="14"/>
              </w:rPr>
            </w:pPr>
            <w:r w:rsidRPr="00F36B82">
              <w:rPr>
                <w:b/>
                <w:bCs/>
                <w:color w:val="000000"/>
                <w:sz w:val="14"/>
                <w:szCs w:val="14"/>
              </w:rPr>
              <w:t>-</w:t>
            </w:r>
          </w:p>
        </w:tc>
        <w:tc>
          <w:tcPr>
            <w:tcW w:w="244" w:type="pct"/>
            <w:tcBorders>
              <w:top w:val="nil"/>
              <w:left w:val="nil"/>
              <w:bottom w:val="nil"/>
              <w:right w:val="nil"/>
            </w:tcBorders>
            <w:vAlign w:val="bottom"/>
          </w:tcPr>
          <w:p w14:paraId="75FA700A" w14:textId="4A81EAE9" w:rsidR="002411D3" w:rsidRPr="00F36B82" w:rsidRDefault="002411D3" w:rsidP="00F36B82">
            <w:pPr>
              <w:jc w:val="right"/>
              <w:rPr>
                <w:b/>
                <w:sz w:val="14"/>
                <w:szCs w:val="14"/>
              </w:rPr>
            </w:pPr>
            <w:r w:rsidRPr="00F36B82">
              <w:rPr>
                <w:b/>
                <w:bCs/>
                <w:color w:val="000000"/>
                <w:sz w:val="14"/>
                <w:szCs w:val="14"/>
              </w:rPr>
              <w:t>-</w:t>
            </w:r>
          </w:p>
        </w:tc>
        <w:tc>
          <w:tcPr>
            <w:tcW w:w="244" w:type="pct"/>
            <w:tcBorders>
              <w:top w:val="nil"/>
              <w:left w:val="nil"/>
              <w:bottom w:val="nil"/>
              <w:right w:val="nil"/>
            </w:tcBorders>
            <w:vAlign w:val="bottom"/>
          </w:tcPr>
          <w:p w14:paraId="23A93250" w14:textId="10464C63" w:rsidR="002411D3" w:rsidRPr="00F36B82" w:rsidRDefault="002411D3" w:rsidP="00F36B82">
            <w:pPr>
              <w:jc w:val="right"/>
              <w:rPr>
                <w:b/>
                <w:sz w:val="14"/>
                <w:szCs w:val="14"/>
              </w:rPr>
            </w:pPr>
            <w:r w:rsidRPr="00F36B82">
              <w:rPr>
                <w:b/>
                <w:bCs/>
                <w:color w:val="000000"/>
                <w:sz w:val="14"/>
                <w:szCs w:val="14"/>
              </w:rPr>
              <w:t>-</w:t>
            </w:r>
          </w:p>
        </w:tc>
        <w:tc>
          <w:tcPr>
            <w:tcW w:w="244" w:type="pct"/>
            <w:tcBorders>
              <w:top w:val="nil"/>
              <w:left w:val="nil"/>
              <w:bottom w:val="nil"/>
              <w:right w:val="nil"/>
            </w:tcBorders>
            <w:vAlign w:val="bottom"/>
          </w:tcPr>
          <w:p w14:paraId="2CFBDDB0" w14:textId="6F7C86C9" w:rsidR="002411D3" w:rsidRPr="00F36B82" w:rsidRDefault="002411D3" w:rsidP="00F36B82">
            <w:pPr>
              <w:jc w:val="right"/>
              <w:rPr>
                <w:b/>
                <w:sz w:val="14"/>
                <w:szCs w:val="14"/>
              </w:rPr>
            </w:pPr>
            <w:r w:rsidRPr="00F36B82">
              <w:rPr>
                <w:b/>
                <w:bCs/>
                <w:color w:val="000000"/>
                <w:sz w:val="14"/>
                <w:szCs w:val="14"/>
              </w:rPr>
              <w:t>-</w:t>
            </w:r>
          </w:p>
        </w:tc>
        <w:tc>
          <w:tcPr>
            <w:tcW w:w="244" w:type="pct"/>
            <w:tcBorders>
              <w:top w:val="nil"/>
              <w:left w:val="nil"/>
              <w:bottom w:val="nil"/>
              <w:right w:val="nil"/>
            </w:tcBorders>
            <w:vAlign w:val="bottom"/>
          </w:tcPr>
          <w:p w14:paraId="55746C5F" w14:textId="4E3001F1" w:rsidR="002411D3" w:rsidRPr="00F36B82" w:rsidRDefault="002411D3" w:rsidP="00F36B82">
            <w:pPr>
              <w:jc w:val="right"/>
              <w:rPr>
                <w:b/>
                <w:sz w:val="14"/>
                <w:szCs w:val="14"/>
              </w:rPr>
            </w:pPr>
            <w:r w:rsidRPr="00F36B82">
              <w:rPr>
                <w:b/>
                <w:bCs/>
                <w:color w:val="000000"/>
                <w:sz w:val="14"/>
                <w:szCs w:val="14"/>
              </w:rPr>
              <w:t>-</w:t>
            </w:r>
          </w:p>
        </w:tc>
        <w:tc>
          <w:tcPr>
            <w:tcW w:w="244" w:type="pct"/>
            <w:tcBorders>
              <w:top w:val="nil"/>
              <w:left w:val="nil"/>
              <w:bottom w:val="nil"/>
              <w:right w:val="nil"/>
            </w:tcBorders>
            <w:vAlign w:val="bottom"/>
          </w:tcPr>
          <w:p w14:paraId="6E6E64A1" w14:textId="54B269DA" w:rsidR="002411D3" w:rsidRPr="00F36B82" w:rsidRDefault="002411D3" w:rsidP="00F36B82">
            <w:pPr>
              <w:jc w:val="right"/>
              <w:rPr>
                <w:b/>
                <w:sz w:val="14"/>
                <w:szCs w:val="14"/>
              </w:rPr>
            </w:pPr>
            <w:r w:rsidRPr="00F36B82">
              <w:rPr>
                <w:b/>
                <w:bCs/>
                <w:color w:val="000000"/>
                <w:sz w:val="14"/>
                <w:szCs w:val="14"/>
              </w:rPr>
              <w:t>-</w:t>
            </w:r>
          </w:p>
        </w:tc>
        <w:tc>
          <w:tcPr>
            <w:tcW w:w="268" w:type="pct"/>
            <w:tcBorders>
              <w:top w:val="nil"/>
              <w:left w:val="nil"/>
              <w:bottom w:val="nil"/>
              <w:right w:val="nil"/>
            </w:tcBorders>
            <w:vAlign w:val="bottom"/>
          </w:tcPr>
          <w:p w14:paraId="1C1778D0" w14:textId="4C33BE54" w:rsidR="002411D3" w:rsidRPr="00F36B82" w:rsidRDefault="002411D3" w:rsidP="00F36B82">
            <w:pPr>
              <w:jc w:val="right"/>
              <w:rPr>
                <w:b/>
                <w:sz w:val="14"/>
                <w:szCs w:val="14"/>
              </w:rPr>
            </w:pPr>
            <w:r w:rsidRPr="00F36B82">
              <w:rPr>
                <w:b/>
                <w:bCs/>
                <w:color w:val="000000"/>
                <w:sz w:val="14"/>
                <w:szCs w:val="14"/>
              </w:rPr>
              <w:t>7.309.923</w:t>
            </w:r>
          </w:p>
        </w:tc>
        <w:tc>
          <w:tcPr>
            <w:tcW w:w="272" w:type="pct"/>
            <w:tcBorders>
              <w:top w:val="nil"/>
              <w:left w:val="nil"/>
              <w:bottom w:val="nil"/>
              <w:right w:val="nil"/>
            </w:tcBorders>
            <w:vAlign w:val="bottom"/>
          </w:tcPr>
          <w:p w14:paraId="4B829502" w14:textId="0300FCB1" w:rsidR="002411D3" w:rsidRPr="00F36B82" w:rsidRDefault="002411D3" w:rsidP="00F36B82">
            <w:pPr>
              <w:jc w:val="right"/>
              <w:rPr>
                <w:b/>
                <w:sz w:val="14"/>
                <w:szCs w:val="14"/>
              </w:rPr>
            </w:pPr>
            <w:r w:rsidRPr="00F36B82">
              <w:rPr>
                <w:b/>
                <w:bCs/>
                <w:color w:val="000000"/>
                <w:sz w:val="14"/>
                <w:szCs w:val="14"/>
              </w:rPr>
              <w:t>825.895</w:t>
            </w:r>
          </w:p>
        </w:tc>
        <w:tc>
          <w:tcPr>
            <w:tcW w:w="271" w:type="pct"/>
            <w:tcBorders>
              <w:top w:val="nil"/>
              <w:left w:val="nil"/>
              <w:bottom w:val="nil"/>
              <w:right w:val="nil"/>
            </w:tcBorders>
            <w:vAlign w:val="bottom"/>
          </w:tcPr>
          <w:p w14:paraId="6B9B5892" w14:textId="663363A3" w:rsidR="002411D3" w:rsidRPr="00F36B82" w:rsidRDefault="002411D3" w:rsidP="00F36B82">
            <w:pPr>
              <w:jc w:val="right"/>
              <w:rPr>
                <w:b/>
                <w:sz w:val="14"/>
                <w:szCs w:val="14"/>
              </w:rPr>
            </w:pPr>
            <w:r w:rsidRPr="00F36B82">
              <w:rPr>
                <w:b/>
                <w:bCs/>
                <w:color w:val="000000"/>
                <w:sz w:val="14"/>
                <w:szCs w:val="14"/>
              </w:rPr>
              <w:t>8.135.818</w:t>
            </w:r>
          </w:p>
        </w:tc>
      </w:tr>
      <w:tr w:rsidR="002411D3" w:rsidRPr="00F36B82" w14:paraId="6E961683" w14:textId="77777777" w:rsidTr="00F36B82">
        <w:trPr>
          <w:trHeight w:val="133"/>
        </w:trPr>
        <w:tc>
          <w:tcPr>
            <w:tcW w:w="98" w:type="pct"/>
          </w:tcPr>
          <w:p w14:paraId="7934AFF9" w14:textId="77777777" w:rsidR="002411D3" w:rsidRPr="00F36B82" w:rsidRDefault="002411D3" w:rsidP="007A5154">
            <w:pPr>
              <w:autoSpaceDE w:val="0"/>
              <w:autoSpaceDN w:val="0"/>
              <w:adjustRightInd w:val="0"/>
              <w:ind w:left="180" w:hanging="180"/>
              <w:rPr>
                <w:rFonts w:eastAsia="Arial Unicode MS"/>
                <w:b/>
                <w:sz w:val="14"/>
                <w:szCs w:val="14"/>
              </w:rPr>
            </w:pPr>
            <w:r w:rsidRPr="00F36B82">
              <w:rPr>
                <w:rFonts w:eastAsia="Arial Unicode MS"/>
                <w:b/>
                <w:sz w:val="14"/>
                <w:szCs w:val="14"/>
              </w:rPr>
              <w:t>4</w:t>
            </w:r>
          </w:p>
        </w:tc>
        <w:tc>
          <w:tcPr>
            <w:tcW w:w="528" w:type="pct"/>
            <w:vAlign w:val="bottom"/>
          </w:tcPr>
          <w:p w14:paraId="754FE754" w14:textId="77777777" w:rsidR="002411D3" w:rsidRPr="00F36B82" w:rsidRDefault="002411D3" w:rsidP="002411D3">
            <w:pPr>
              <w:rPr>
                <w:b/>
                <w:bCs/>
                <w:color w:val="000000"/>
                <w:sz w:val="14"/>
                <w:szCs w:val="14"/>
              </w:rPr>
            </w:pPr>
            <w:r w:rsidRPr="00F36B82">
              <w:rPr>
                <w:b/>
                <w:bCs/>
                <w:color w:val="000000"/>
                <w:sz w:val="14"/>
                <w:szCs w:val="14"/>
              </w:rPr>
              <w:t>Hizmetler</w:t>
            </w:r>
          </w:p>
        </w:tc>
        <w:tc>
          <w:tcPr>
            <w:tcW w:w="240" w:type="pct"/>
            <w:tcBorders>
              <w:top w:val="nil"/>
              <w:left w:val="nil"/>
              <w:bottom w:val="nil"/>
              <w:right w:val="nil"/>
            </w:tcBorders>
            <w:vAlign w:val="bottom"/>
          </w:tcPr>
          <w:p w14:paraId="156A75BB" w14:textId="0CB003F5" w:rsidR="002411D3" w:rsidRPr="00F36B82" w:rsidRDefault="002411D3" w:rsidP="00F36B82">
            <w:pPr>
              <w:jc w:val="right"/>
              <w:rPr>
                <w:b/>
                <w:sz w:val="14"/>
                <w:szCs w:val="14"/>
              </w:rPr>
            </w:pPr>
            <w:r w:rsidRPr="00F36B82">
              <w:rPr>
                <w:b/>
                <w:bCs/>
                <w:color w:val="000000"/>
                <w:sz w:val="14"/>
                <w:szCs w:val="14"/>
              </w:rPr>
              <w:t>20.281.833</w:t>
            </w:r>
          </w:p>
        </w:tc>
        <w:tc>
          <w:tcPr>
            <w:tcW w:w="156" w:type="pct"/>
            <w:tcBorders>
              <w:top w:val="nil"/>
              <w:left w:val="nil"/>
              <w:bottom w:val="nil"/>
              <w:right w:val="nil"/>
            </w:tcBorders>
            <w:vAlign w:val="bottom"/>
          </w:tcPr>
          <w:p w14:paraId="30335649" w14:textId="794065F2" w:rsidR="002411D3" w:rsidRPr="00F36B82" w:rsidRDefault="002411D3" w:rsidP="00F36B82">
            <w:pPr>
              <w:jc w:val="right"/>
              <w:rPr>
                <w:b/>
                <w:sz w:val="14"/>
                <w:szCs w:val="14"/>
              </w:rPr>
            </w:pPr>
            <w:r w:rsidRPr="00F36B82">
              <w:rPr>
                <w:b/>
                <w:bCs/>
                <w:color w:val="000000"/>
                <w:sz w:val="14"/>
                <w:szCs w:val="14"/>
              </w:rPr>
              <w:t>-</w:t>
            </w:r>
          </w:p>
        </w:tc>
        <w:tc>
          <w:tcPr>
            <w:tcW w:w="173" w:type="pct"/>
            <w:tcBorders>
              <w:top w:val="nil"/>
              <w:left w:val="nil"/>
              <w:bottom w:val="nil"/>
              <w:right w:val="nil"/>
            </w:tcBorders>
            <w:vAlign w:val="bottom"/>
          </w:tcPr>
          <w:p w14:paraId="3C81EFB5" w14:textId="62918FDA" w:rsidR="002411D3" w:rsidRPr="00F36B82" w:rsidRDefault="002411D3" w:rsidP="00F36B82">
            <w:pPr>
              <w:jc w:val="right"/>
              <w:rPr>
                <w:b/>
                <w:sz w:val="14"/>
                <w:szCs w:val="14"/>
              </w:rPr>
            </w:pPr>
            <w:r w:rsidRPr="00F36B82">
              <w:rPr>
                <w:b/>
                <w:bCs/>
                <w:color w:val="000000"/>
                <w:sz w:val="14"/>
                <w:szCs w:val="14"/>
              </w:rPr>
              <w:t>-</w:t>
            </w:r>
          </w:p>
        </w:tc>
        <w:tc>
          <w:tcPr>
            <w:tcW w:w="100" w:type="pct"/>
            <w:tcBorders>
              <w:top w:val="nil"/>
              <w:left w:val="nil"/>
              <w:bottom w:val="nil"/>
              <w:right w:val="nil"/>
            </w:tcBorders>
            <w:vAlign w:val="bottom"/>
          </w:tcPr>
          <w:p w14:paraId="5FD5CDA4" w14:textId="4A6249B9" w:rsidR="002411D3" w:rsidRPr="00F36B82" w:rsidRDefault="002411D3" w:rsidP="00F36B82">
            <w:pPr>
              <w:jc w:val="right"/>
              <w:rPr>
                <w:b/>
                <w:sz w:val="14"/>
                <w:szCs w:val="14"/>
              </w:rPr>
            </w:pPr>
            <w:r w:rsidRPr="00F36B82">
              <w:rPr>
                <w:b/>
                <w:bCs/>
                <w:color w:val="000000"/>
                <w:sz w:val="14"/>
                <w:szCs w:val="14"/>
              </w:rPr>
              <w:t>-</w:t>
            </w:r>
          </w:p>
        </w:tc>
        <w:tc>
          <w:tcPr>
            <w:tcW w:w="224" w:type="pct"/>
            <w:tcBorders>
              <w:top w:val="nil"/>
              <w:left w:val="nil"/>
              <w:bottom w:val="nil"/>
              <w:right w:val="nil"/>
            </w:tcBorders>
            <w:vAlign w:val="bottom"/>
          </w:tcPr>
          <w:p w14:paraId="283EF315" w14:textId="6CEAB350" w:rsidR="002411D3" w:rsidRPr="00F36B82" w:rsidRDefault="002411D3" w:rsidP="00F36B82">
            <w:pPr>
              <w:jc w:val="right"/>
              <w:rPr>
                <w:b/>
                <w:sz w:val="14"/>
                <w:szCs w:val="14"/>
              </w:rPr>
            </w:pPr>
            <w:r w:rsidRPr="00F36B82">
              <w:rPr>
                <w:b/>
                <w:bCs/>
                <w:color w:val="000000"/>
                <w:sz w:val="14"/>
                <w:szCs w:val="14"/>
              </w:rPr>
              <w:t>-</w:t>
            </w:r>
          </w:p>
        </w:tc>
        <w:tc>
          <w:tcPr>
            <w:tcW w:w="240" w:type="pct"/>
            <w:tcBorders>
              <w:top w:val="nil"/>
              <w:left w:val="nil"/>
              <w:bottom w:val="nil"/>
              <w:right w:val="nil"/>
            </w:tcBorders>
            <w:vAlign w:val="bottom"/>
          </w:tcPr>
          <w:p w14:paraId="120032B1" w14:textId="7E9CA83D" w:rsidR="002411D3" w:rsidRPr="00F36B82" w:rsidRDefault="002411D3" w:rsidP="00F36B82">
            <w:pPr>
              <w:jc w:val="right"/>
              <w:rPr>
                <w:b/>
                <w:sz w:val="14"/>
                <w:szCs w:val="14"/>
              </w:rPr>
            </w:pPr>
            <w:r w:rsidRPr="00F36B82">
              <w:rPr>
                <w:b/>
                <w:bCs/>
                <w:color w:val="000000"/>
                <w:sz w:val="14"/>
                <w:szCs w:val="14"/>
              </w:rPr>
              <w:t>6.939.984</w:t>
            </w:r>
          </w:p>
        </w:tc>
        <w:tc>
          <w:tcPr>
            <w:tcW w:w="268" w:type="pct"/>
            <w:tcBorders>
              <w:top w:val="nil"/>
              <w:left w:val="nil"/>
              <w:bottom w:val="nil"/>
              <w:right w:val="nil"/>
            </w:tcBorders>
            <w:vAlign w:val="bottom"/>
          </w:tcPr>
          <w:p w14:paraId="2CA55D69" w14:textId="24EA7003" w:rsidR="002411D3" w:rsidRPr="00F36B82" w:rsidRDefault="002411D3" w:rsidP="00F36B82">
            <w:pPr>
              <w:jc w:val="right"/>
              <w:rPr>
                <w:b/>
                <w:sz w:val="14"/>
                <w:szCs w:val="14"/>
              </w:rPr>
            </w:pPr>
            <w:r w:rsidRPr="00F36B82">
              <w:rPr>
                <w:b/>
                <w:bCs/>
                <w:color w:val="000000"/>
                <w:sz w:val="14"/>
                <w:szCs w:val="14"/>
              </w:rPr>
              <w:t>13.294.188</w:t>
            </w:r>
          </w:p>
        </w:tc>
        <w:tc>
          <w:tcPr>
            <w:tcW w:w="220" w:type="pct"/>
            <w:tcBorders>
              <w:top w:val="nil"/>
              <w:left w:val="nil"/>
              <w:bottom w:val="nil"/>
              <w:right w:val="nil"/>
            </w:tcBorders>
            <w:vAlign w:val="bottom"/>
          </w:tcPr>
          <w:p w14:paraId="5EFD45F5" w14:textId="044F1ED7" w:rsidR="002411D3" w:rsidRPr="00F36B82" w:rsidRDefault="002411D3" w:rsidP="00F36B82">
            <w:pPr>
              <w:jc w:val="right"/>
              <w:rPr>
                <w:b/>
                <w:sz w:val="14"/>
                <w:szCs w:val="14"/>
              </w:rPr>
            </w:pPr>
            <w:r w:rsidRPr="00F36B82">
              <w:rPr>
                <w:b/>
                <w:bCs/>
                <w:color w:val="000000"/>
                <w:sz w:val="14"/>
                <w:szCs w:val="14"/>
              </w:rPr>
              <w:t>-</w:t>
            </w:r>
          </w:p>
        </w:tc>
        <w:tc>
          <w:tcPr>
            <w:tcW w:w="201" w:type="pct"/>
            <w:tcBorders>
              <w:top w:val="nil"/>
              <w:left w:val="nil"/>
              <w:bottom w:val="nil"/>
              <w:right w:val="nil"/>
            </w:tcBorders>
            <w:vAlign w:val="bottom"/>
          </w:tcPr>
          <w:p w14:paraId="3571A66A" w14:textId="5510967A" w:rsidR="002411D3" w:rsidRPr="00F36B82" w:rsidRDefault="002411D3" w:rsidP="00F36B82">
            <w:pPr>
              <w:jc w:val="right"/>
              <w:rPr>
                <w:b/>
                <w:sz w:val="14"/>
                <w:szCs w:val="14"/>
              </w:rPr>
            </w:pPr>
            <w:r w:rsidRPr="00F36B82">
              <w:rPr>
                <w:b/>
                <w:bCs/>
                <w:color w:val="000000"/>
                <w:sz w:val="14"/>
                <w:szCs w:val="14"/>
              </w:rPr>
              <w:t>1.786.778</w:t>
            </w:r>
          </w:p>
        </w:tc>
        <w:tc>
          <w:tcPr>
            <w:tcW w:w="142" w:type="pct"/>
            <w:tcBorders>
              <w:top w:val="nil"/>
              <w:left w:val="nil"/>
              <w:bottom w:val="nil"/>
              <w:right w:val="nil"/>
            </w:tcBorders>
            <w:vAlign w:val="bottom"/>
          </w:tcPr>
          <w:p w14:paraId="640A0540" w14:textId="09DB57EB" w:rsidR="002411D3" w:rsidRPr="00F36B82" w:rsidRDefault="002411D3" w:rsidP="00F36B82">
            <w:pPr>
              <w:jc w:val="right"/>
              <w:rPr>
                <w:b/>
                <w:sz w:val="14"/>
                <w:szCs w:val="14"/>
              </w:rPr>
            </w:pPr>
            <w:r w:rsidRPr="00F36B82">
              <w:rPr>
                <w:b/>
                <w:bCs/>
                <w:color w:val="000000"/>
                <w:sz w:val="14"/>
                <w:szCs w:val="14"/>
              </w:rPr>
              <w:t>-</w:t>
            </w:r>
          </w:p>
        </w:tc>
        <w:tc>
          <w:tcPr>
            <w:tcW w:w="220" w:type="pct"/>
            <w:tcBorders>
              <w:top w:val="nil"/>
              <w:left w:val="nil"/>
              <w:bottom w:val="nil"/>
              <w:right w:val="nil"/>
            </w:tcBorders>
            <w:vAlign w:val="bottom"/>
          </w:tcPr>
          <w:p w14:paraId="6F7852CC" w14:textId="30D18454" w:rsidR="002411D3" w:rsidRPr="00F36B82" w:rsidRDefault="002411D3" w:rsidP="00F36B82">
            <w:pPr>
              <w:jc w:val="right"/>
              <w:rPr>
                <w:b/>
                <w:sz w:val="14"/>
                <w:szCs w:val="14"/>
              </w:rPr>
            </w:pPr>
            <w:r w:rsidRPr="00F36B82">
              <w:rPr>
                <w:b/>
                <w:bCs/>
                <w:color w:val="000000"/>
                <w:sz w:val="14"/>
                <w:szCs w:val="14"/>
              </w:rPr>
              <w:t>-</w:t>
            </w:r>
          </w:p>
        </w:tc>
        <w:tc>
          <w:tcPr>
            <w:tcW w:w="159" w:type="pct"/>
            <w:tcBorders>
              <w:top w:val="nil"/>
              <w:left w:val="nil"/>
              <w:bottom w:val="nil"/>
              <w:right w:val="nil"/>
            </w:tcBorders>
            <w:vAlign w:val="bottom"/>
          </w:tcPr>
          <w:p w14:paraId="760D412F" w14:textId="379997FE" w:rsidR="002411D3" w:rsidRPr="00F36B82" w:rsidRDefault="002411D3" w:rsidP="00F36B82">
            <w:pPr>
              <w:jc w:val="right"/>
              <w:rPr>
                <w:b/>
                <w:sz w:val="14"/>
                <w:szCs w:val="14"/>
              </w:rPr>
            </w:pPr>
            <w:r w:rsidRPr="00F36B82">
              <w:rPr>
                <w:b/>
                <w:bCs/>
                <w:color w:val="000000"/>
                <w:sz w:val="14"/>
                <w:szCs w:val="14"/>
              </w:rPr>
              <w:t>-</w:t>
            </w:r>
          </w:p>
        </w:tc>
        <w:tc>
          <w:tcPr>
            <w:tcW w:w="244" w:type="pct"/>
            <w:tcBorders>
              <w:top w:val="nil"/>
              <w:left w:val="nil"/>
              <w:bottom w:val="nil"/>
              <w:right w:val="nil"/>
            </w:tcBorders>
            <w:vAlign w:val="bottom"/>
          </w:tcPr>
          <w:p w14:paraId="758AA99F" w14:textId="3E705174" w:rsidR="002411D3" w:rsidRPr="00F36B82" w:rsidRDefault="002411D3" w:rsidP="00F36B82">
            <w:pPr>
              <w:jc w:val="right"/>
              <w:rPr>
                <w:b/>
                <w:sz w:val="14"/>
                <w:szCs w:val="14"/>
              </w:rPr>
            </w:pPr>
            <w:r w:rsidRPr="00F36B82">
              <w:rPr>
                <w:b/>
                <w:bCs/>
                <w:color w:val="000000"/>
                <w:sz w:val="14"/>
                <w:szCs w:val="14"/>
              </w:rPr>
              <w:t>-</w:t>
            </w:r>
          </w:p>
        </w:tc>
        <w:tc>
          <w:tcPr>
            <w:tcW w:w="244" w:type="pct"/>
            <w:tcBorders>
              <w:top w:val="nil"/>
              <w:left w:val="nil"/>
              <w:bottom w:val="nil"/>
              <w:right w:val="nil"/>
            </w:tcBorders>
            <w:vAlign w:val="bottom"/>
          </w:tcPr>
          <w:p w14:paraId="639A3B36" w14:textId="4FD8DA4A" w:rsidR="002411D3" w:rsidRPr="00F36B82" w:rsidRDefault="002411D3" w:rsidP="00F36B82">
            <w:pPr>
              <w:jc w:val="right"/>
              <w:rPr>
                <w:b/>
                <w:sz w:val="14"/>
                <w:szCs w:val="14"/>
              </w:rPr>
            </w:pPr>
            <w:r w:rsidRPr="00F36B82">
              <w:rPr>
                <w:b/>
                <w:bCs/>
                <w:color w:val="000000"/>
                <w:sz w:val="14"/>
                <w:szCs w:val="14"/>
              </w:rPr>
              <w:t>-</w:t>
            </w:r>
          </w:p>
        </w:tc>
        <w:tc>
          <w:tcPr>
            <w:tcW w:w="244" w:type="pct"/>
            <w:tcBorders>
              <w:top w:val="nil"/>
              <w:left w:val="nil"/>
              <w:bottom w:val="nil"/>
              <w:right w:val="nil"/>
            </w:tcBorders>
            <w:vAlign w:val="bottom"/>
          </w:tcPr>
          <w:p w14:paraId="2EDE6999" w14:textId="731CC8F1" w:rsidR="002411D3" w:rsidRPr="00F36B82" w:rsidRDefault="002411D3" w:rsidP="00F36B82">
            <w:pPr>
              <w:jc w:val="right"/>
              <w:rPr>
                <w:b/>
                <w:sz w:val="14"/>
                <w:szCs w:val="14"/>
              </w:rPr>
            </w:pPr>
            <w:r w:rsidRPr="00F36B82">
              <w:rPr>
                <w:b/>
                <w:bCs/>
                <w:color w:val="000000"/>
                <w:sz w:val="14"/>
                <w:szCs w:val="14"/>
              </w:rPr>
              <w:t>-</w:t>
            </w:r>
          </w:p>
        </w:tc>
        <w:tc>
          <w:tcPr>
            <w:tcW w:w="244" w:type="pct"/>
            <w:tcBorders>
              <w:top w:val="nil"/>
              <w:left w:val="nil"/>
              <w:bottom w:val="nil"/>
              <w:right w:val="nil"/>
            </w:tcBorders>
            <w:vAlign w:val="bottom"/>
          </w:tcPr>
          <w:p w14:paraId="2585EA66" w14:textId="1E541D17" w:rsidR="002411D3" w:rsidRPr="00F36B82" w:rsidRDefault="002411D3" w:rsidP="00F36B82">
            <w:pPr>
              <w:jc w:val="right"/>
              <w:rPr>
                <w:b/>
                <w:sz w:val="14"/>
                <w:szCs w:val="14"/>
              </w:rPr>
            </w:pPr>
            <w:r w:rsidRPr="00F36B82">
              <w:rPr>
                <w:b/>
                <w:bCs/>
                <w:color w:val="000000"/>
                <w:sz w:val="14"/>
                <w:szCs w:val="14"/>
              </w:rPr>
              <w:t>655.265</w:t>
            </w:r>
          </w:p>
        </w:tc>
        <w:tc>
          <w:tcPr>
            <w:tcW w:w="244" w:type="pct"/>
            <w:tcBorders>
              <w:top w:val="nil"/>
              <w:left w:val="nil"/>
              <w:bottom w:val="nil"/>
              <w:right w:val="nil"/>
            </w:tcBorders>
            <w:vAlign w:val="bottom"/>
          </w:tcPr>
          <w:p w14:paraId="1D7E2067" w14:textId="61E7D3F4" w:rsidR="002411D3" w:rsidRPr="00F36B82" w:rsidRDefault="002411D3" w:rsidP="00F36B82">
            <w:pPr>
              <w:jc w:val="right"/>
              <w:rPr>
                <w:b/>
                <w:sz w:val="14"/>
                <w:szCs w:val="14"/>
              </w:rPr>
            </w:pPr>
            <w:r w:rsidRPr="00F36B82">
              <w:rPr>
                <w:b/>
                <w:bCs/>
                <w:color w:val="000000"/>
                <w:sz w:val="14"/>
                <w:szCs w:val="14"/>
              </w:rPr>
              <w:t>2.966.882</w:t>
            </w:r>
          </w:p>
        </w:tc>
        <w:tc>
          <w:tcPr>
            <w:tcW w:w="268" w:type="pct"/>
            <w:tcBorders>
              <w:top w:val="nil"/>
              <w:left w:val="nil"/>
              <w:bottom w:val="nil"/>
              <w:right w:val="nil"/>
            </w:tcBorders>
            <w:vAlign w:val="bottom"/>
          </w:tcPr>
          <w:p w14:paraId="0AADBEA0" w14:textId="48DBDC57" w:rsidR="002411D3" w:rsidRPr="00F36B82" w:rsidRDefault="002411D3" w:rsidP="00F36B82">
            <w:pPr>
              <w:jc w:val="right"/>
              <w:rPr>
                <w:b/>
                <w:sz w:val="14"/>
                <w:szCs w:val="14"/>
              </w:rPr>
            </w:pPr>
            <w:r w:rsidRPr="00F36B82">
              <w:rPr>
                <w:b/>
                <w:bCs/>
                <w:color w:val="000000"/>
                <w:sz w:val="14"/>
                <w:szCs w:val="14"/>
              </w:rPr>
              <w:t>22.514.538</w:t>
            </w:r>
          </w:p>
        </w:tc>
        <w:tc>
          <w:tcPr>
            <w:tcW w:w="272" w:type="pct"/>
            <w:tcBorders>
              <w:top w:val="nil"/>
              <w:left w:val="nil"/>
              <w:bottom w:val="nil"/>
              <w:right w:val="nil"/>
            </w:tcBorders>
            <w:vAlign w:val="bottom"/>
          </w:tcPr>
          <w:p w14:paraId="4676C43C" w14:textId="76D867D9" w:rsidR="002411D3" w:rsidRPr="00F36B82" w:rsidRDefault="002411D3" w:rsidP="00F36B82">
            <w:pPr>
              <w:jc w:val="right"/>
              <w:rPr>
                <w:b/>
                <w:sz w:val="14"/>
                <w:szCs w:val="14"/>
              </w:rPr>
            </w:pPr>
            <w:r w:rsidRPr="00F36B82">
              <w:rPr>
                <w:b/>
                <w:bCs/>
                <w:color w:val="000000"/>
                <w:sz w:val="14"/>
                <w:szCs w:val="14"/>
              </w:rPr>
              <w:t>23.410.392</w:t>
            </w:r>
          </w:p>
        </w:tc>
        <w:tc>
          <w:tcPr>
            <w:tcW w:w="271" w:type="pct"/>
            <w:tcBorders>
              <w:top w:val="nil"/>
              <w:left w:val="nil"/>
              <w:bottom w:val="nil"/>
              <w:right w:val="nil"/>
            </w:tcBorders>
            <w:vAlign w:val="bottom"/>
          </w:tcPr>
          <w:p w14:paraId="55530FE8" w14:textId="28608592" w:rsidR="002411D3" w:rsidRPr="00F36B82" w:rsidRDefault="002411D3" w:rsidP="00F36B82">
            <w:pPr>
              <w:jc w:val="right"/>
              <w:rPr>
                <w:b/>
                <w:sz w:val="14"/>
                <w:szCs w:val="14"/>
              </w:rPr>
            </w:pPr>
            <w:r w:rsidRPr="00F36B82">
              <w:rPr>
                <w:b/>
                <w:bCs/>
                <w:color w:val="000000"/>
                <w:sz w:val="14"/>
                <w:szCs w:val="14"/>
              </w:rPr>
              <w:t>45.924.930</w:t>
            </w:r>
          </w:p>
        </w:tc>
      </w:tr>
      <w:tr w:rsidR="002411D3" w:rsidRPr="00F36B82" w14:paraId="71199D3D" w14:textId="77777777" w:rsidTr="00F36B82">
        <w:trPr>
          <w:trHeight w:val="133"/>
        </w:trPr>
        <w:tc>
          <w:tcPr>
            <w:tcW w:w="98" w:type="pct"/>
          </w:tcPr>
          <w:p w14:paraId="0EEA9AA0" w14:textId="77777777" w:rsidR="002411D3" w:rsidRPr="00F36B82" w:rsidRDefault="002411D3" w:rsidP="007A5154">
            <w:pPr>
              <w:autoSpaceDE w:val="0"/>
              <w:autoSpaceDN w:val="0"/>
              <w:adjustRightInd w:val="0"/>
              <w:ind w:left="180" w:hanging="180"/>
              <w:rPr>
                <w:rFonts w:eastAsia="Arial Unicode MS"/>
                <w:sz w:val="14"/>
                <w:szCs w:val="14"/>
              </w:rPr>
            </w:pPr>
            <w:r w:rsidRPr="00F36B82">
              <w:rPr>
                <w:rFonts w:eastAsia="Arial Unicode MS"/>
                <w:sz w:val="14"/>
                <w:szCs w:val="14"/>
              </w:rPr>
              <w:t>4.1</w:t>
            </w:r>
          </w:p>
        </w:tc>
        <w:tc>
          <w:tcPr>
            <w:tcW w:w="528" w:type="pct"/>
            <w:vAlign w:val="bottom"/>
          </w:tcPr>
          <w:p w14:paraId="593AA97D" w14:textId="77777777" w:rsidR="002411D3" w:rsidRPr="00F36B82" w:rsidRDefault="002411D3" w:rsidP="002411D3">
            <w:pPr>
              <w:ind w:left="160"/>
              <w:rPr>
                <w:rFonts w:eastAsia="Arial Unicode MS"/>
                <w:b/>
                <w:bCs/>
                <w:noProof/>
                <w:color w:val="000000"/>
                <w:sz w:val="14"/>
                <w:szCs w:val="14"/>
              </w:rPr>
            </w:pPr>
            <w:r w:rsidRPr="00F36B82">
              <w:rPr>
                <w:color w:val="000000"/>
                <w:sz w:val="14"/>
                <w:szCs w:val="14"/>
              </w:rPr>
              <w:t>Toptan ve Perakende Ticaret</w:t>
            </w:r>
          </w:p>
        </w:tc>
        <w:tc>
          <w:tcPr>
            <w:tcW w:w="240" w:type="pct"/>
            <w:tcBorders>
              <w:top w:val="nil"/>
              <w:left w:val="nil"/>
              <w:bottom w:val="nil"/>
              <w:right w:val="nil"/>
            </w:tcBorders>
            <w:vAlign w:val="bottom"/>
          </w:tcPr>
          <w:p w14:paraId="3A85178C" w14:textId="49EF6722" w:rsidR="002411D3" w:rsidRPr="00F36B82" w:rsidRDefault="002411D3" w:rsidP="00F36B82">
            <w:pPr>
              <w:jc w:val="right"/>
              <w:rPr>
                <w:sz w:val="14"/>
                <w:szCs w:val="14"/>
              </w:rPr>
            </w:pPr>
            <w:r w:rsidRPr="00F36B82">
              <w:rPr>
                <w:color w:val="000000"/>
                <w:sz w:val="14"/>
                <w:szCs w:val="14"/>
              </w:rPr>
              <w:t>-</w:t>
            </w:r>
          </w:p>
        </w:tc>
        <w:tc>
          <w:tcPr>
            <w:tcW w:w="156" w:type="pct"/>
            <w:tcBorders>
              <w:top w:val="nil"/>
              <w:left w:val="nil"/>
              <w:bottom w:val="nil"/>
              <w:right w:val="nil"/>
            </w:tcBorders>
            <w:vAlign w:val="bottom"/>
          </w:tcPr>
          <w:p w14:paraId="1EE5285C" w14:textId="40094CA7" w:rsidR="002411D3" w:rsidRPr="00F36B82" w:rsidRDefault="002411D3" w:rsidP="00F36B82">
            <w:pPr>
              <w:jc w:val="right"/>
              <w:rPr>
                <w:sz w:val="14"/>
                <w:szCs w:val="14"/>
              </w:rPr>
            </w:pPr>
            <w:r w:rsidRPr="00F36B82">
              <w:rPr>
                <w:color w:val="000000"/>
                <w:sz w:val="14"/>
                <w:szCs w:val="14"/>
              </w:rPr>
              <w:t>-</w:t>
            </w:r>
          </w:p>
        </w:tc>
        <w:tc>
          <w:tcPr>
            <w:tcW w:w="173" w:type="pct"/>
            <w:tcBorders>
              <w:top w:val="nil"/>
              <w:left w:val="nil"/>
              <w:bottom w:val="nil"/>
              <w:right w:val="nil"/>
            </w:tcBorders>
            <w:vAlign w:val="bottom"/>
          </w:tcPr>
          <w:p w14:paraId="584A045F" w14:textId="706E7D11" w:rsidR="002411D3" w:rsidRPr="00F36B82" w:rsidRDefault="002411D3" w:rsidP="00F36B82">
            <w:pPr>
              <w:jc w:val="right"/>
              <w:rPr>
                <w:sz w:val="14"/>
                <w:szCs w:val="14"/>
              </w:rPr>
            </w:pPr>
            <w:r w:rsidRPr="00F36B82">
              <w:rPr>
                <w:color w:val="000000"/>
                <w:sz w:val="14"/>
                <w:szCs w:val="14"/>
              </w:rPr>
              <w:t>-</w:t>
            </w:r>
          </w:p>
        </w:tc>
        <w:tc>
          <w:tcPr>
            <w:tcW w:w="100" w:type="pct"/>
            <w:tcBorders>
              <w:top w:val="nil"/>
              <w:left w:val="nil"/>
              <w:bottom w:val="nil"/>
              <w:right w:val="nil"/>
            </w:tcBorders>
            <w:vAlign w:val="bottom"/>
          </w:tcPr>
          <w:p w14:paraId="2A969E22" w14:textId="56FD652A" w:rsidR="002411D3" w:rsidRPr="00F36B82" w:rsidRDefault="002411D3" w:rsidP="00F36B82">
            <w:pPr>
              <w:jc w:val="right"/>
              <w:rPr>
                <w:sz w:val="14"/>
                <w:szCs w:val="14"/>
              </w:rPr>
            </w:pPr>
            <w:r w:rsidRPr="00F36B82">
              <w:rPr>
                <w:color w:val="000000"/>
                <w:sz w:val="14"/>
                <w:szCs w:val="14"/>
              </w:rPr>
              <w:t>-</w:t>
            </w:r>
          </w:p>
        </w:tc>
        <w:tc>
          <w:tcPr>
            <w:tcW w:w="224" w:type="pct"/>
            <w:tcBorders>
              <w:top w:val="nil"/>
              <w:left w:val="nil"/>
              <w:bottom w:val="nil"/>
              <w:right w:val="nil"/>
            </w:tcBorders>
            <w:vAlign w:val="bottom"/>
          </w:tcPr>
          <w:p w14:paraId="6F3D4E39" w14:textId="0580DDD1" w:rsidR="002411D3" w:rsidRPr="00F36B82" w:rsidRDefault="002411D3" w:rsidP="00F36B82">
            <w:pPr>
              <w:jc w:val="right"/>
              <w:rPr>
                <w:sz w:val="14"/>
                <w:szCs w:val="14"/>
              </w:rPr>
            </w:pPr>
            <w:r w:rsidRPr="00F36B82">
              <w:rPr>
                <w:color w:val="000000"/>
                <w:sz w:val="14"/>
                <w:szCs w:val="14"/>
              </w:rPr>
              <w:t>-</w:t>
            </w:r>
          </w:p>
        </w:tc>
        <w:tc>
          <w:tcPr>
            <w:tcW w:w="240" w:type="pct"/>
            <w:tcBorders>
              <w:top w:val="nil"/>
              <w:left w:val="nil"/>
              <w:bottom w:val="nil"/>
              <w:right w:val="nil"/>
            </w:tcBorders>
            <w:vAlign w:val="bottom"/>
          </w:tcPr>
          <w:p w14:paraId="1DEED2AD" w14:textId="5AB2FCA6" w:rsidR="002411D3" w:rsidRPr="00F36B82" w:rsidRDefault="002411D3" w:rsidP="00F36B82">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6E14F4F6" w14:textId="7374C2E4" w:rsidR="002411D3" w:rsidRPr="00F36B82" w:rsidRDefault="002411D3" w:rsidP="00F36B82">
            <w:pPr>
              <w:jc w:val="right"/>
              <w:rPr>
                <w:sz w:val="14"/>
                <w:szCs w:val="14"/>
              </w:rPr>
            </w:pPr>
            <w:r w:rsidRPr="00F36B82">
              <w:rPr>
                <w:color w:val="000000"/>
                <w:sz w:val="14"/>
                <w:szCs w:val="14"/>
              </w:rPr>
              <w:t>8.020.783</w:t>
            </w:r>
          </w:p>
        </w:tc>
        <w:tc>
          <w:tcPr>
            <w:tcW w:w="220" w:type="pct"/>
            <w:tcBorders>
              <w:top w:val="nil"/>
              <w:left w:val="nil"/>
              <w:bottom w:val="nil"/>
              <w:right w:val="nil"/>
            </w:tcBorders>
            <w:vAlign w:val="bottom"/>
          </w:tcPr>
          <w:p w14:paraId="35067176" w14:textId="110EF163" w:rsidR="002411D3" w:rsidRPr="00F36B82" w:rsidRDefault="002411D3" w:rsidP="00F36B82">
            <w:pPr>
              <w:jc w:val="right"/>
              <w:rPr>
                <w:sz w:val="14"/>
                <w:szCs w:val="14"/>
              </w:rPr>
            </w:pPr>
            <w:r w:rsidRPr="00F36B82">
              <w:rPr>
                <w:color w:val="000000"/>
                <w:sz w:val="14"/>
                <w:szCs w:val="14"/>
              </w:rPr>
              <w:t>-</w:t>
            </w:r>
          </w:p>
        </w:tc>
        <w:tc>
          <w:tcPr>
            <w:tcW w:w="201" w:type="pct"/>
            <w:tcBorders>
              <w:top w:val="nil"/>
              <w:left w:val="nil"/>
              <w:bottom w:val="nil"/>
              <w:right w:val="nil"/>
            </w:tcBorders>
            <w:vAlign w:val="bottom"/>
          </w:tcPr>
          <w:p w14:paraId="533B8B84" w14:textId="46985929" w:rsidR="002411D3" w:rsidRPr="00F36B82" w:rsidRDefault="002411D3" w:rsidP="00F36B82">
            <w:pPr>
              <w:jc w:val="right"/>
              <w:rPr>
                <w:sz w:val="14"/>
                <w:szCs w:val="14"/>
              </w:rPr>
            </w:pPr>
            <w:r w:rsidRPr="00F36B82">
              <w:rPr>
                <w:color w:val="000000"/>
                <w:sz w:val="14"/>
                <w:szCs w:val="14"/>
              </w:rPr>
              <w:t>1.367.633</w:t>
            </w:r>
          </w:p>
        </w:tc>
        <w:tc>
          <w:tcPr>
            <w:tcW w:w="142" w:type="pct"/>
            <w:tcBorders>
              <w:top w:val="nil"/>
              <w:left w:val="nil"/>
              <w:bottom w:val="nil"/>
              <w:right w:val="nil"/>
            </w:tcBorders>
            <w:vAlign w:val="bottom"/>
          </w:tcPr>
          <w:p w14:paraId="2E642404" w14:textId="13356C87" w:rsidR="002411D3" w:rsidRPr="00F36B82" w:rsidRDefault="002411D3" w:rsidP="00F36B82">
            <w:pPr>
              <w:jc w:val="right"/>
              <w:rPr>
                <w:sz w:val="14"/>
                <w:szCs w:val="14"/>
              </w:rPr>
            </w:pPr>
            <w:r w:rsidRPr="00F36B82">
              <w:rPr>
                <w:color w:val="000000"/>
                <w:sz w:val="14"/>
                <w:szCs w:val="14"/>
              </w:rPr>
              <w:t>-</w:t>
            </w:r>
          </w:p>
        </w:tc>
        <w:tc>
          <w:tcPr>
            <w:tcW w:w="220" w:type="pct"/>
            <w:tcBorders>
              <w:top w:val="nil"/>
              <w:left w:val="nil"/>
              <w:bottom w:val="nil"/>
              <w:right w:val="nil"/>
            </w:tcBorders>
            <w:vAlign w:val="bottom"/>
          </w:tcPr>
          <w:p w14:paraId="52C677DB" w14:textId="7709F498" w:rsidR="002411D3" w:rsidRPr="00F36B82" w:rsidRDefault="002411D3" w:rsidP="00F36B82">
            <w:pPr>
              <w:jc w:val="right"/>
              <w:rPr>
                <w:sz w:val="14"/>
                <w:szCs w:val="14"/>
              </w:rPr>
            </w:pPr>
            <w:r w:rsidRPr="00F36B82">
              <w:rPr>
                <w:color w:val="000000"/>
                <w:sz w:val="14"/>
                <w:szCs w:val="14"/>
              </w:rPr>
              <w:t>-</w:t>
            </w:r>
          </w:p>
        </w:tc>
        <w:tc>
          <w:tcPr>
            <w:tcW w:w="159" w:type="pct"/>
            <w:tcBorders>
              <w:top w:val="nil"/>
              <w:left w:val="nil"/>
              <w:bottom w:val="nil"/>
              <w:right w:val="nil"/>
            </w:tcBorders>
            <w:vAlign w:val="bottom"/>
          </w:tcPr>
          <w:p w14:paraId="22F0F490" w14:textId="1E7BEF5F"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10E2F04A" w14:textId="3595BA4C"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6D28EE4B" w14:textId="6AF5CD53"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564AA1EA" w14:textId="1C136AA3"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083272CA" w14:textId="75C97995" w:rsidR="002411D3" w:rsidRPr="00F36B82" w:rsidRDefault="002411D3" w:rsidP="00F36B82">
            <w:pPr>
              <w:jc w:val="right"/>
              <w:rPr>
                <w:sz w:val="14"/>
                <w:szCs w:val="14"/>
              </w:rPr>
            </w:pPr>
            <w:r w:rsidRPr="00F36B82">
              <w:rPr>
                <w:color w:val="000000"/>
                <w:sz w:val="14"/>
                <w:szCs w:val="14"/>
              </w:rPr>
              <w:t>5.000</w:t>
            </w:r>
          </w:p>
        </w:tc>
        <w:tc>
          <w:tcPr>
            <w:tcW w:w="244" w:type="pct"/>
            <w:tcBorders>
              <w:top w:val="nil"/>
              <w:left w:val="nil"/>
              <w:bottom w:val="nil"/>
              <w:right w:val="nil"/>
            </w:tcBorders>
            <w:vAlign w:val="bottom"/>
          </w:tcPr>
          <w:p w14:paraId="126A6EA0" w14:textId="36CC498A" w:rsidR="002411D3" w:rsidRPr="00F36B82" w:rsidRDefault="002411D3" w:rsidP="00F36B82">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1822AF4B" w14:textId="3E80EBF8" w:rsidR="002411D3" w:rsidRPr="00F36B82" w:rsidRDefault="002411D3" w:rsidP="00F36B82">
            <w:pPr>
              <w:jc w:val="right"/>
              <w:rPr>
                <w:sz w:val="14"/>
                <w:szCs w:val="14"/>
              </w:rPr>
            </w:pPr>
            <w:r w:rsidRPr="00F36B82">
              <w:rPr>
                <w:color w:val="000000"/>
                <w:sz w:val="14"/>
                <w:szCs w:val="14"/>
              </w:rPr>
              <w:t>6.490.942</w:t>
            </w:r>
          </w:p>
        </w:tc>
        <w:tc>
          <w:tcPr>
            <w:tcW w:w="272" w:type="pct"/>
            <w:tcBorders>
              <w:top w:val="nil"/>
              <w:left w:val="nil"/>
              <w:bottom w:val="nil"/>
              <w:right w:val="nil"/>
            </w:tcBorders>
            <w:vAlign w:val="bottom"/>
          </w:tcPr>
          <w:p w14:paraId="05AB8872" w14:textId="7B8B7EC4" w:rsidR="002411D3" w:rsidRPr="00F36B82" w:rsidRDefault="002411D3" w:rsidP="00F36B82">
            <w:pPr>
              <w:jc w:val="right"/>
              <w:rPr>
                <w:sz w:val="14"/>
                <w:szCs w:val="14"/>
              </w:rPr>
            </w:pPr>
            <w:r w:rsidRPr="00F36B82">
              <w:rPr>
                <w:color w:val="000000"/>
                <w:sz w:val="14"/>
                <w:szCs w:val="14"/>
              </w:rPr>
              <w:t>2.902.474</w:t>
            </w:r>
          </w:p>
        </w:tc>
        <w:tc>
          <w:tcPr>
            <w:tcW w:w="271" w:type="pct"/>
            <w:tcBorders>
              <w:top w:val="nil"/>
              <w:left w:val="nil"/>
              <w:bottom w:val="nil"/>
              <w:right w:val="nil"/>
            </w:tcBorders>
            <w:vAlign w:val="bottom"/>
          </w:tcPr>
          <w:p w14:paraId="209E39BC" w14:textId="3F07BC7B" w:rsidR="002411D3" w:rsidRPr="00F36B82" w:rsidRDefault="002411D3" w:rsidP="00F36B82">
            <w:pPr>
              <w:jc w:val="right"/>
              <w:rPr>
                <w:sz w:val="14"/>
                <w:szCs w:val="14"/>
              </w:rPr>
            </w:pPr>
            <w:r w:rsidRPr="00F36B82">
              <w:rPr>
                <w:color w:val="000000"/>
                <w:sz w:val="14"/>
                <w:szCs w:val="14"/>
              </w:rPr>
              <w:t>9.393.416</w:t>
            </w:r>
          </w:p>
        </w:tc>
      </w:tr>
      <w:tr w:rsidR="002411D3" w:rsidRPr="00F36B82" w14:paraId="648B8EF8" w14:textId="77777777" w:rsidTr="00F36B82">
        <w:trPr>
          <w:trHeight w:val="133"/>
        </w:trPr>
        <w:tc>
          <w:tcPr>
            <w:tcW w:w="98" w:type="pct"/>
          </w:tcPr>
          <w:p w14:paraId="7EB212FC" w14:textId="77777777" w:rsidR="002411D3" w:rsidRPr="00F36B82" w:rsidRDefault="002411D3" w:rsidP="007A5154">
            <w:pPr>
              <w:autoSpaceDE w:val="0"/>
              <w:autoSpaceDN w:val="0"/>
              <w:adjustRightInd w:val="0"/>
              <w:ind w:left="180" w:hanging="180"/>
              <w:rPr>
                <w:rFonts w:eastAsia="Arial Unicode MS"/>
                <w:sz w:val="14"/>
                <w:szCs w:val="14"/>
              </w:rPr>
            </w:pPr>
            <w:r w:rsidRPr="00F36B82">
              <w:rPr>
                <w:rFonts w:eastAsia="Arial Unicode MS"/>
                <w:sz w:val="14"/>
                <w:szCs w:val="14"/>
              </w:rPr>
              <w:t>4.2</w:t>
            </w:r>
          </w:p>
        </w:tc>
        <w:tc>
          <w:tcPr>
            <w:tcW w:w="528" w:type="pct"/>
            <w:vAlign w:val="bottom"/>
          </w:tcPr>
          <w:p w14:paraId="108F480F" w14:textId="77777777" w:rsidR="002411D3" w:rsidRPr="00F36B82" w:rsidRDefault="002411D3" w:rsidP="002411D3">
            <w:pPr>
              <w:rPr>
                <w:color w:val="000000"/>
                <w:sz w:val="14"/>
                <w:szCs w:val="14"/>
              </w:rPr>
            </w:pPr>
            <w:r w:rsidRPr="00F36B82">
              <w:rPr>
                <w:color w:val="000000"/>
                <w:sz w:val="14"/>
                <w:szCs w:val="14"/>
              </w:rPr>
              <w:t xml:space="preserve">   Otel ve Lokanta Hizmetleri</w:t>
            </w:r>
          </w:p>
        </w:tc>
        <w:tc>
          <w:tcPr>
            <w:tcW w:w="240" w:type="pct"/>
            <w:tcBorders>
              <w:top w:val="nil"/>
              <w:left w:val="nil"/>
              <w:bottom w:val="nil"/>
              <w:right w:val="nil"/>
            </w:tcBorders>
            <w:vAlign w:val="bottom"/>
          </w:tcPr>
          <w:p w14:paraId="63CC1A53" w14:textId="113D8828" w:rsidR="002411D3" w:rsidRPr="00F36B82" w:rsidRDefault="002411D3" w:rsidP="00F36B82">
            <w:pPr>
              <w:jc w:val="right"/>
              <w:rPr>
                <w:sz w:val="14"/>
                <w:szCs w:val="14"/>
              </w:rPr>
            </w:pPr>
            <w:r w:rsidRPr="00F36B82">
              <w:rPr>
                <w:color w:val="000000"/>
                <w:sz w:val="14"/>
                <w:szCs w:val="14"/>
              </w:rPr>
              <w:t>-</w:t>
            </w:r>
          </w:p>
        </w:tc>
        <w:tc>
          <w:tcPr>
            <w:tcW w:w="156" w:type="pct"/>
            <w:tcBorders>
              <w:top w:val="nil"/>
              <w:left w:val="nil"/>
              <w:bottom w:val="nil"/>
              <w:right w:val="nil"/>
            </w:tcBorders>
            <w:vAlign w:val="bottom"/>
          </w:tcPr>
          <w:p w14:paraId="281AC8CE" w14:textId="26EA25AB" w:rsidR="002411D3" w:rsidRPr="00F36B82" w:rsidRDefault="002411D3" w:rsidP="00F36B82">
            <w:pPr>
              <w:jc w:val="right"/>
              <w:rPr>
                <w:sz w:val="14"/>
                <w:szCs w:val="14"/>
              </w:rPr>
            </w:pPr>
            <w:r w:rsidRPr="00F36B82">
              <w:rPr>
                <w:color w:val="000000"/>
                <w:sz w:val="14"/>
                <w:szCs w:val="14"/>
              </w:rPr>
              <w:t>-</w:t>
            </w:r>
          </w:p>
        </w:tc>
        <w:tc>
          <w:tcPr>
            <w:tcW w:w="173" w:type="pct"/>
            <w:tcBorders>
              <w:top w:val="nil"/>
              <w:left w:val="nil"/>
              <w:bottom w:val="nil"/>
              <w:right w:val="nil"/>
            </w:tcBorders>
            <w:vAlign w:val="bottom"/>
          </w:tcPr>
          <w:p w14:paraId="26965AD5" w14:textId="2EF459F9" w:rsidR="002411D3" w:rsidRPr="00F36B82" w:rsidRDefault="002411D3" w:rsidP="00F36B82">
            <w:pPr>
              <w:jc w:val="right"/>
              <w:rPr>
                <w:sz w:val="14"/>
                <w:szCs w:val="14"/>
              </w:rPr>
            </w:pPr>
            <w:r w:rsidRPr="00F36B82">
              <w:rPr>
                <w:color w:val="000000"/>
                <w:sz w:val="14"/>
                <w:szCs w:val="14"/>
              </w:rPr>
              <w:t>-</w:t>
            </w:r>
          </w:p>
        </w:tc>
        <w:tc>
          <w:tcPr>
            <w:tcW w:w="100" w:type="pct"/>
            <w:tcBorders>
              <w:top w:val="nil"/>
              <w:left w:val="nil"/>
              <w:bottom w:val="nil"/>
              <w:right w:val="nil"/>
            </w:tcBorders>
            <w:vAlign w:val="bottom"/>
          </w:tcPr>
          <w:p w14:paraId="7127689B" w14:textId="15A7001E" w:rsidR="002411D3" w:rsidRPr="00F36B82" w:rsidRDefault="002411D3" w:rsidP="00F36B82">
            <w:pPr>
              <w:jc w:val="right"/>
              <w:rPr>
                <w:sz w:val="14"/>
                <w:szCs w:val="14"/>
              </w:rPr>
            </w:pPr>
            <w:r w:rsidRPr="00F36B82">
              <w:rPr>
                <w:color w:val="000000"/>
                <w:sz w:val="14"/>
                <w:szCs w:val="14"/>
              </w:rPr>
              <w:t>-</w:t>
            </w:r>
          </w:p>
        </w:tc>
        <w:tc>
          <w:tcPr>
            <w:tcW w:w="224" w:type="pct"/>
            <w:tcBorders>
              <w:top w:val="nil"/>
              <w:left w:val="nil"/>
              <w:bottom w:val="nil"/>
              <w:right w:val="nil"/>
            </w:tcBorders>
            <w:vAlign w:val="bottom"/>
          </w:tcPr>
          <w:p w14:paraId="0FE4EA3D" w14:textId="49585960" w:rsidR="002411D3" w:rsidRPr="00F36B82" w:rsidRDefault="002411D3" w:rsidP="00F36B82">
            <w:pPr>
              <w:jc w:val="right"/>
              <w:rPr>
                <w:sz w:val="14"/>
                <w:szCs w:val="14"/>
              </w:rPr>
            </w:pPr>
            <w:r w:rsidRPr="00F36B82">
              <w:rPr>
                <w:color w:val="000000"/>
                <w:sz w:val="14"/>
                <w:szCs w:val="14"/>
              </w:rPr>
              <w:t>-</w:t>
            </w:r>
          </w:p>
        </w:tc>
        <w:tc>
          <w:tcPr>
            <w:tcW w:w="240" w:type="pct"/>
            <w:tcBorders>
              <w:top w:val="nil"/>
              <w:left w:val="nil"/>
              <w:bottom w:val="nil"/>
              <w:right w:val="nil"/>
            </w:tcBorders>
            <w:vAlign w:val="bottom"/>
          </w:tcPr>
          <w:p w14:paraId="5BFAD73D" w14:textId="3441BF96" w:rsidR="002411D3" w:rsidRPr="00F36B82" w:rsidRDefault="002411D3" w:rsidP="00F36B82">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41201806" w14:textId="47CF8C23" w:rsidR="002411D3" w:rsidRPr="00F36B82" w:rsidRDefault="002411D3" w:rsidP="00F36B82">
            <w:pPr>
              <w:jc w:val="right"/>
              <w:rPr>
                <w:sz w:val="14"/>
                <w:szCs w:val="14"/>
              </w:rPr>
            </w:pPr>
            <w:r w:rsidRPr="00F36B82">
              <w:rPr>
                <w:color w:val="000000"/>
                <w:sz w:val="14"/>
                <w:szCs w:val="14"/>
              </w:rPr>
              <w:t>290.010</w:t>
            </w:r>
          </w:p>
        </w:tc>
        <w:tc>
          <w:tcPr>
            <w:tcW w:w="220" w:type="pct"/>
            <w:tcBorders>
              <w:top w:val="nil"/>
              <w:left w:val="nil"/>
              <w:bottom w:val="nil"/>
              <w:right w:val="nil"/>
            </w:tcBorders>
            <w:vAlign w:val="bottom"/>
          </w:tcPr>
          <w:p w14:paraId="0746885B" w14:textId="315EF435" w:rsidR="002411D3" w:rsidRPr="00F36B82" w:rsidRDefault="002411D3" w:rsidP="00F36B82">
            <w:pPr>
              <w:jc w:val="right"/>
              <w:rPr>
                <w:sz w:val="14"/>
                <w:szCs w:val="14"/>
              </w:rPr>
            </w:pPr>
            <w:r w:rsidRPr="00F36B82">
              <w:rPr>
                <w:color w:val="000000"/>
                <w:sz w:val="14"/>
                <w:szCs w:val="14"/>
              </w:rPr>
              <w:t>-</w:t>
            </w:r>
          </w:p>
        </w:tc>
        <w:tc>
          <w:tcPr>
            <w:tcW w:w="201" w:type="pct"/>
            <w:tcBorders>
              <w:top w:val="nil"/>
              <w:left w:val="nil"/>
              <w:bottom w:val="nil"/>
              <w:right w:val="nil"/>
            </w:tcBorders>
            <w:vAlign w:val="bottom"/>
          </w:tcPr>
          <w:p w14:paraId="37E9CD4C" w14:textId="6E63EEF3" w:rsidR="002411D3" w:rsidRPr="00F36B82" w:rsidRDefault="002411D3" w:rsidP="00F36B82">
            <w:pPr>
              <w:jc w:val="right"/>
              <w:rPr>
                <w:sz w:val="14"/>
                <w:szCs w:val="14"/>
              </w:rPr>
            </w:pPr>
            <w:r w:rsidRPr="00F36B82">
              <w:rPr>
                <w:color w:val="000000"/>
                <w:sz w:val="14"/>
                <w:szCs w:val="14"/>
              </w:rPr>
              <w:t>17.613</w:t>
            </w:r>
          </w:p>
        </w:tc>
        <w:tc>
          <w:tcPr>
            <w:tcW w:w="142" w:type="pct"/>
            <w:tcBorders>
              <w:top w:val="nil"/>
              <w:left w:val="nil"/>
              <w:bottom w:val="nil"/>
              <w:right w:val="nil"/>
            </w:tcBorders>
            <w:vAlign w:val="bottom"/>
          </w:tcPr>
          <w:p w14:paraId="1F75A5F7" w14:textId="57735AFF" w:rsidR="002411D3" w:rsidRPr="00F36B82" w:rsidRDefault="002411D3" w:rsidP="00F36B82">
            <w:pPr>
              <w:jc w:val="right"/>
              <w:rPr>
                <w:sz w:val="14"/>
                <w:szCs w:val="14"/>
              </w:rPr>
            </w:pPr>
            <w:r w:rsidRPr="00F36B82">
              <w:rPr>
                <w:color w:val="000000"/>
                <w:sz w:val="14"/>
                <w:szCs w:val="14"/>
              </w:rPr>
              <w:t>-</w:t>
            </w:r>
          </w:p>
        </w:tc>
        <w:tc>
          <w:tcPr>
            <w:tcW w:w="220" w:type="pct"/>
            <w:tcBorders>
              <w:top w:val="nil"/>
              <w:left w:val="nil"/>
              <w:bottom w:val="nil"/>
              <w:right w:val="nil"/>
            </w:tcBorders>
            <w:vAlign w:val="bottom"/>
          </w:tcPr>
          <w:p w14:paraId="7F6CC7E6" w14:textId="0DD8486A" w:rsidR="002411D3" w:rsidRPr="00F36B82" w:rsidRDefault="002411D3" w:rsidP="00F36B82">
            <w:pPr>
              <w:jc w:val="right"/>
              <w:rPr>
                <w:sz w:val="14"/>
                <w:szCs w:val="14"/>
              </w:rPr>
            </w:pPr>
            <w:r w:rsidRPr="00F36B82">
              <w:rPr>
                <w:color w:val="000000"/>
                <w:sz w:val="14"/>
                <w:szCs w:val="14"/>
              </w:rPr>
              <w:t>-</w:t>
            </w:r>
          </w:p>
        </w:tc>
        <w:tc>
          <w:tcPr>
            <w:tcW w:w="159" w:type="pct"/>
            <w:tcBorders>
              <w:top w:val="nil"/>
              <w:left w:val="nil"/>
              <w:bottom w:val="nil"/>
              <w:right w:val="nil"/>
            </w:tcBorders>
            <w:vAlign w:val="bottom"/>
          </w:tcPr>
          <w:p w14:paraId="0B3DB439" w14:textId="7574CC2F"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5937B750" w14:textId="0FF5FBB4"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49805247" w14:textId="4201174C"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5AE13BF1" w14:textId="555D4A9F"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0DC577B4" w14:textId="06A985BD"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6B8DDE20" w14:textId="2EE81737" w:rsidR="002411D3" w:rsidRPr="00F36B82" w:rsidRDefault="002411D3" w:rsidP="00F36B82">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3C8F5222" w14:textId="650826EA" w:rsidR="002411D3" w:rsidRPr="00F36B82" w:rsidRDefault="002411D3" w:rsidP="00F36B82">
            <w:pPr>
              <w:jc w:val="right"/>
              <w:rPr>
                <w:sz w:val="14"/>
                <w:szCs w:val="14"/>
              </w:rPr>
            </w:pPr>
            <w:r w:rsidRPr="00F36B82">
              <w:rPr>
                <w:color w:val="000000"/>
                <w:sz w:val="14"/>
                <w:szCs w:val="14"/>
              </w:rPr>
              <w:t>272.495</w:t>
            </w:r>
          </w:p>
        </w:tc>
        <w:tc>
          <w:tcPr>
            <w:tcW w:w="272" w:type="pct"/>
            <w:tcBorders>
              <w:top w:val="nil"/>
              <w:left w:val="nil"/>
              <w:bottom w:val="nil"/>
              <w:right w:val="nil"/>
            </w:tcBorders>
            <w:vAlign w:val="bottom"/>
          </w:tcPr>
          <w:p w14:paraId="614EBA64" w14:textId="4B9119D0" w:rsidR="002411D3" w:rsidRPr="00F36B82" w:rsidRDefault="002411D3" w:rsidP="00F36B82">
            <w:pPr>
              <w:jc w:val="right"/>
              <w:rPr>
                <w:sz w:val="14"/>
                <w:szCs w:val="14"/>
              </w:rPr>
            </w:pPr>
            <w:r w:rsidRPr="00F36B82">
              <w:rPr>
                <w:color w:val="000000"/>
                <w:sz w:val="14"/>
                <w:szCs w:val="14"/>
              </w:rPr>
              <w:t>35.128</w:t>
            </w:r>
          </w:p>
        </w:tc>
        <w:tc>
          <w:tcPr>
            <w:tcW w:w="271" w:type="pct"/>
            <w:tcBorders>
              <w:top w:val="nil"/>
              <w:left w:val="nil"/>
              <w:bottom w:val="nil"/>
              <w:right w:val="nil"/>
            </w:tcBorders>
            <w:vAlign w:val="bottom"/>
          </w:tcPr>
          <w:p w14:paraId="24517894" w14:textId="1D148049" w:rsidR="002411D3" w:rsidRPr="00F36B82" w:rsidRDefault="002411D3" w:rsidP="00F36B82">
            <w:pPr>
              <w:jc w:val="right"/>
              <w:rPr>
                <w:sz w:val="14"/>
                <w:szCs w:val="14"/>
              </w:rPr>
            </w:pPr>
            <w:r w:rsidRPr="00F36B82">
              <w:rPr>
                <w:color w:val="000000"/>
                <w:sz w:val="14"/>
                <w:szCs w:val="14"/>
              </w:rPr>
              <w:t>307.623</w:t>
            </w:r>
          </w:p>
        </w:tc>
      </w:tr>
      <w:tr w:rsidR="002411D3" w:rsidRPr="00F36B82" w14:paraId="7B776A1D" w14:textId="77777777" w:rsidTr="00F36B82">
        <w:trPr>
          <w:trHeight w:val="133"/>
        </w:trPr>
        <w:tc>
          <w:tcPr>
            <w:tcW w:w="98" w:type="pct"/>
          </w:tcPr>
          <w:p w14:paraId="58F8ABB1" w14:textId="77777777" w:rsidR="002411D3" w:rsidRPr="00F36B82" w:rsidRDefault="002411D3" w:rsidP="007A5154">
            <w:pPr>
              <w:autoSpaceDE w:val="0"/>
              <w:autoSpaceDN w:val="0"/>
              <w:adjustRightInd w:val="0"/>
              <w:ind w:left="180" w:hanging="180"/>
              <w:rPr>
                <w:rFonts w:eastAsia="Arial Unicode MS"/>
                <w:sz w:val="14"/>
                <w:szCs w:val="14"/>
              </w:rPr>
            </w:pPr>
            <w:r w:rsidRPr="00F36B82">
              <w:rPr>
                <w:rFonts w:eastAsia="Arial Unicode MS"/>
                <w:sz w:val="14"/>
                <w:szCs w:val="14"/>
              </w:rPr>
              <w:t>4.3</w:t>
            </w:r>
          </w:p>
        </w:tc>
        <w:tc>
          <w:tcPr>
            <w:tcW w:w="528" w:type="pct"/>
            <w:vAlign w:val="bottom"/>
          </w:tcPr>
          <w:p w14:paraId="56DF78D8" w14:textId="77777777" w:rsidR="002411D3" w:rsidRPr="00F36B82" w:rsidRDefault="002411D3" w:rsidP="002411D3">
            <w:pPr>
              <w:rPr>
                <w:color w:val="000000"/>
                <w:sz w:val="14"/>
                <w:szCs w:val="14"/>
              </w:rPr>
            </w:pPr>
            <w:r w:rsidRPr="00F36B82">
              <w:rPr>
                <w:color w:val="000000"/>
                <w:sz w:val="14"/>
                <w:szCs w:val="14"/>
              </w:rPr>
              <w:t xml:space="preserve">   Ulaştırma </w:t>
            </w:r>
            <w:proofErr w:type="gramStart"/>
            <w:r w:rsidRPr="00F36B82">
              <w:rPr>
                <w:color w:val="000000"/>
                <w:sz w:val="14"/>
                <w:szCs w:val="14"/>
              </w:rPr>
              <w:t>Ve</w:t>
            </w:r>
            <w:proofErr w:type="gramEnd"/>
            <w:r w:rsidRPr="00F36B82">
              <w:rPr>
                <w:color w:val="000000"/>
                <w:sz w:val="14"/>
                <w:szCs w:val="14"/>
              </w:rPr>
              <w:t xml:space="preserve"> Haberleşme</w:t>
            </w:r>
          </w:p>
        </w:tc>
        <w:tc>
          <w:tcPr>
            <w:tcW w:w="240" w:type="pct"/>
            <w:tcBorders>
              <w:top w:val="nil"/>
              <w:left w:val="nil"/>
              <w:bottom w:val="nil"/>
              <w:right w:val="nil"/>
            </w:tcBorders>
            <w:vAlign w:val="bottom"/>
          </w:tcPr>
          <w:p w14:paraId="562BE49D" w14:textId="6C4342ED" w:rsidR="002411D3" w:rsidRPr="00F36B82" w:rsidRDefault="002411D3" w:rsidP="00F36B82">
            <w:pPr>
              <w:jc w:val="right"/>
              <w:rPr>
                <w:sz w:val="14"/>
                <w:szCs w:val="14"/>
              </w:rPr>
            </w:pPr>
            <w:r w:rsidRPr="00F36B82">
              <w:rPr>
                <w:color w:val="000000"/>
                <w:sz w:val="14"/>
                <w:szCs w:val="14"/>
              </w:rPr>
              <w:t>-</w:t>
            </w:r>
          </w:p>
        </w:tc>
        <w:tc>
          <w:tcPr>
            <w:tcW w:w="156" w:type="pct"/>
            <w:tcBorders>
              <w:top w:val="nil"/>
              <w:left w:val="nil"/>
              <w:bottom w:val="nil"/>
              <w:right w:val="nil"/>
            </w:tcBorders>
            <w:vAlign w:val="bottom"/>
          </w:tcPr>
          <w:p w14:paraId="6CEE3552" w14:textId="15D361FB" w:rsidR="002411D3" w:rsidRPr="00F36B82" w:rsidRDefault="002411D3" w:rsidP="00F36B82">
            <w:pPr>
              <w:jc w:val="right"/>
              <w:rPr>
                <w:sz w:val="14"/>
                <w:szCs w:val="14"/>
              </w:rPr>
            </w:pPr>
            <w:r w:rsidRPr="00F36B82">
              <w:rPr>
                <w:color w:val="000000"/>
                <w:sz w:val="14"/>
                <w:szCs w:val="14"/>
              </w:rPr>
              <w:t>-</w:t>
            </w:r>
          </w:p>
        </w:tc>
        <w:tc>
          <w:tcPr>
            <w:tcW w:w="173" w:type="pct"/>
            <w:tcBorders>
              <w:top w:val="nil"/>
              <w:left w:val="nil"/>
              <w:bottom w:val="nil"/>
              <w:right w:val="nil"/>
            </w:tcBorders>
            <w:vAlign w:val="bottom"/>
          </w:tcPr>
          <w:p w14:paraId="09808646" w14:textId="071A8477" w:rsidR="002411D3" w:rsidRPr="00F36B82" w:rsidRDefault="002411D3" w:rsidP="00F36B82">
            <w:pPr>
              <w:jc w:val="right"/>
              <w:rPr>
                <w:sz w:val="14"/>
                <w:szCs w:val="14"/>
              </w:rPr>
            </w:pPr>
            <w:r w:rsidRPr="00F36B82">
              <w:rPr>
                <w:color w:val="000000"/>
                <w:sz w:val="14"/>
                <w:szCs w:val="14"/>
              </w:rPr>
              <w:t>-</w:t>
            </w:r>
          </w:p>
        </w:tc>
        <w:tc>
          <w:tcPr>
            <w:tcW w:w="100" w:type="pct"/>
            <w:tcBorders>
              <w:top w:val="nil"/>
              <w:left w:val="nil"/>
              <w:bottom w:val="nil"/>
              <w:right w:val="nil"/>
            </w:tcBorders>
            <w:vAlign w:val="bottom"/>
          </w:tcPr>
          <w:p w14:paraId="22ABEC18" w14:textId="1F17100D" w:rsidR="002411D3" w:rsidRPr="00F36B82" w:rsidRDefault="002411D3" w:rsidP="00F36B82">
            <w:pPr>
              <w:jc w:val="right"/>
              <w:rPr>
                <w:sz w:val="14"/>
                <w:szCs w:val="14"/>
              </w:rPr>
            </w:pPr>
            <w:r w:rsidRPr="00F36B82">
              <w:rPr>
                <w:color w:val="000000"/>
                <w:sz w:val="14"/>
                <w:szCs w:val="14"/>
              </w:rPr>
              <w:t>-</w:t>
            </w:r>
          </w:p>
        </w:tc>
        <w:tc>
          <w:tcPr>
            <w:tcW w:w="224" w:type="pct"/>
            <w:tcBorders>
              <w:top w:val="nil"/>
              <w:left w:val="nil"/>
              <w:bottom w:val="nil"/>
              <w:right w:val="nil"/>
            </w:tcBorders>
            <w:vAlign w:val="bottom"/>
          </w:tcPr>
          <w:p w14:paraId="388D2531" w14:textId="7E96F5EF" w:rsidR="002411D3" w:rsidRPr="00F36B82" w:rsidRDefault="002411D3" w:rsidP="00F36B82">
            <w:pPr>
              <w:jc w:val="right"/>
              <w:rPr>
                <w:sz w:val="14"/>
                <w:szCs w:val="14"/>
              </w:rPr>
            </w:pPr>
            <w:r w:rsidRPr="00F36B82">
              <w:rPr>
                <w:color w:val="000000"/>
                <w:sz w:val="14"/>
                <w:szCs w:val="14"/>
              </w:rPr>
              <w:t>-</w:t>
            </w:r>
          </w:p>
        </w:tc>
        <w:tc>
          <w:tcPr>
            <w:tcW w:w="240" w:type="pct"/>
            <w:tcBorders>
              <w:top w:val="nil"/>
              <w:left w:val="nil"/>
              <w:bottom w:val="nil"/>
              <w:right w:val="nil"/>
            </w:tcBorders>
            <w:vAlign w:val="bottom"/>
          </w:tcPr>
          <w:p w14:paraId="19D8A5CA" w14:textId="5C5CB21E" w:rsidR="002411D3" w:rsidRPr="00F36B82" w:rsidRDefault="002411D3" w:rsidP="00F36B82">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275CF9D2" w14:textId="47A3769A" w:rsidR="002411D3" w:rsidRPr="00F36B82" w:rsidRDefault="002411D3" w:rsidP="00F36B82">
            <w:pPr>
              <w:jc w:val="right"/>
              <w:rPr>
                <w:sz w:val="14"/>
                <w:szCs w:val="14"/>
              </w:rPr>
            </w:pPr>
            <w:r w:rsidRPr="00F36B82">
              <w:rPr>
                <w:color w:val="000000"/>
                <w:sz w:val="14"/>
                <w:szCs w:val="14"/>
              </w:rPr>
              <w:t>1.219.257</w:t>
            </w:r>
          </w:p>
        </w:tc>
        <w:tc>
          <w:tcPr>
            <w:tcW w:w="220" w:type="pct"/>
            <w:tcBorders>
              <w:top w:val="nil"/>
              <w:left w:val="nil"/>
              <w:bottom w:val="nil"/>
              <w:right w:val="nil"/>
            </w:tcBorders>
            <w:vAlign w:val="bottom"/>
          </w:tcPr>
          <w:p w14:paraId="34E8B30C" w14:textId="46B5CED8" w:rsidR="002411D3" w:rsidRPr="00F36B82" w:rsidRDefault="002411D3" w:rsidP="00F36B82">
            <w:pPr>
              <w:jc w:val="right"/>
              <w:rPr>
                <w:sz w:val="14"/>
                <w:szCs w:val="14"/>
              </w:rPr>
            </w:pPr>
            <w:r w:rsidRPr="00F36B82">
              <w:rPr>
                <w:color w:val="000000"/>
                <w:sz w:val="14"/>
                <w:szCs w:val="14"/>
              </w:rPr>
              <w:t>-</w:t>
            </w:r>
          </w:p>
        </w:tc>
        <w:tc>
          <w:tcPr>
            <w:tcW w:w="201" w:type="pct"/>
            <w:tcBorders>
              <w:top w:val="nil"/>
              <w:left w:val="nil"/>
              <w:bottom w:val="nil"/>
              <w:right w:val="nil"/>
            </w:tcBorders>
            <w:vAlign w:val="bottom"/>
          </w:tcPr>
          <w:p w14:paraId="5E29B151" w14:textId="1EF5D208" w:rsidR="002411D3" w:rsidRPr="00F36B82" w:rsidRDefault="002411D3" w:rsidP="00F36B82">
            <w:pPr>
              <w:jc w:val="right"/>
              <w:rPr>
                <w:sz w:val="14"/>
                <w:szCs w:val="14"/>
              </w:rPr>
            </w:pPr>
            <w:r w:rsidRPr="00F36B82">
              <w:rPr>
                <w:color w:val="000000"/>
                <w:sz w:val="14"/>
                <w:szCs w:val="14"/>
              </w:rPr>
              <w:t>122.358</w:t>
            </w:r>
          </w:p>
        </w:tc>
        <w:tc>
          <w:tcPr>
            <w:tcW w:w="142" w:type="pct"/>
            <w:tcBorders>
              <w:top w:val="nil"/>
              <w:left w:val="nil"/>
              <w:bottom w:val="nil"/>
              <w:right w:val="nil"/>
            </w:tcBorders>
            <w:vAlign w:val="bottom"/>
          </w:tcPr>
          <w:p w14:paraId="00846817" w14:textId="7A299C52" w:rsidR="002411D3" w:rsidRPr="00F36B82" w:rsidRDefault="002411D3" w:rsidP="00F36B82">
            <w:pPr>
              <w:jc w:val="right"/>
              <w:rPr>
                <w:sz w:val="14"/>
                <w:szCs w:val="14"/>
              </w:rPr>
            </w:pPr>
            <w:r w:rsidRPr="00F36B82">
              <w:rPr>
                <w:color w:val="000000"/>
                <w:sz w:val="14"/>
                <w:szCs w:val="14"/>
              </w:rPr>
              <w:t>-</w:t>
            </w:r>
          </w:p>
        </w:tc>
        <w:tc>
          <w:tcPr>
            <w:tcW w:w="220" w:type="pct"/>
            <w:tcBorders>
              <w:top w:val="nil"/>
              <w:left w:val="nil"/>
              <w:bottom w:val="nil"/>
              <w:right w:val="nil"/>
            </w:tcBorders>
            <w:vAlign w:val="bottom"/>
          </w:tcPr>
          <w:p w14:paraId="7299F0E7" w14:textId="38AE7E70" w:rsidR="002411D3" w:rsidRPr="00F36B82" w:rsidRDefault="002411D3" w:rsidP="00F36B82">
            <w:pPr>
              <w:jc w:val="right"/>
              <w:rPr>
                <w:sz w:val="14"/>
                <w:szCs w:val="14"/>
              </w:rPr>
            </w:pPr>
            <w:r w:rsidRPr="00F36B82">
              <w:rPr>
                <w:color w:val="000000"/>
                <w:sz w:val="14"/>
                <w:szCs w:val="14"/>
              </w:rPr>
              <w:t>-</w:t>
            </w:r>
          </w:p>
        </w:tc>
        <w:tc>
          <w:tcPr>
            <w:tcW w:w="159" w:type="pct"/>
            <w:tcBorders>
              <w:top w:val="nil"/>
              <w:left w:val="nil"/>
              <w:bottom w:val="nil"/>
              <w:right w:val="nil"/>
            </w:tcBorders>
            <w:vAlign w:val="bottom"/>
          </w:tcPr>
          <w:p w14:paraId="16BBB0C1" w14:textId="30A47877"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39788B3E" w14:textId="2981A85C"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6082AD07" w14:textId="0BBD49B4"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1034C7C7" w14:textId="484FB295"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53E0D5CA" w14:textId="18B5AD03"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73767E92" w14:textId="7F975091" w:rsidR="002411D3" w:rsidRPr="00F36B82" w:rsidRDefault="002411D3" w:rsidP="00F36B82">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23E29F3A" w14:textId="2EF311C4" w:rsidR="002411D3" w:rsidRPr="00F36B82" w:rsidRDefault="002411D3" w:rsidP="00F36B82">
            <w:pPr>
              <w:jc w:val="right"/>
              <w:rPr>
                <w:sz w:val="14"/>
                <w:szCs w:val="14"/>
              </w:rPr>
            </w:pPr>
            <w:r w:rsidRPr="00F36B82">
              <w:rPr>
                <w:color w:val="000000"/>
                <w:sz w:val="14"/>
                <w:szCs w:val="14"/>
              </w:rPr>
              <w:t>772.182</w:t>
            </w:r>
          </w:p>
        </w:tc>
        <w:tc>
          <w:tcPr>
            <w:tcW w:w="272" w:type="pct"/>
            <w:tcBorders>
              <w:top w:val="nil"/>
              <w:left w:val="nil"/>
              <w:bottom w:val="nil"/>
              <w:right w:val="nil"/>
            </w:tcBorders>
            <w:vAlign w:val="bottom"/>
          </w:tcPr>
          <w:p w14:paraId="48033508" w14:textId="3D1287BD" w:rsidR="002411D3" w:rsidRPr="00F36B82" w:rsidRDefault="002411D3" w:rsidP="00F36B82">
            <w:pPr>
              <w:jc w:val="right"/>
              <w:rPr>
                <w:sz w:val="14"/>
                <w:szCs w:val="14"/>
              </w:rPr>
            </w:pPr>
            <w:r w:rsidRPr="00F36B82">
              <w:rPr>
                <w:color w:val="000000"/>
                <w:sz w:val="14"/>
                <w:szCs w:val="14"/>
              </w:rPr>
              <w:t>569.433</w:t>
            </w:r>
          </w:p>
        </w:tc>
        <w:tc>
          <w:tcPr>
            <w:tcW w:w="271" w:type="pct"/>
            <w:tcBorders>
              <w:top w:val="nil"/>
              <w:left w:val="nil"/>
              <w:bottom w:val="nil"/>
              <w:right w:val="nil"/>
            </w:tcBorders>
            <w:vAlign w:val="bottom"/>
          </w:tcPr>
          <w:p w14:paraId="3E166041" w14:textId="6E24CE91" w:rsidR="002411D3" w:rsidRPr="00F36B82" w:rsidRDefault="002411D3" w:rsidP="00F36B82">
            <w:pPr>
              <w:jc w:val="right"/>
              <w:rPr>
                <w:sz w:val="14"/>
                <w:szCs w:val="14"/>
              </w:rPr>
            </w:pPr>
            <w:r w:rsidRPr="00F36B82">
              <w:rPr>
                <w:color w:val="000000"/>
                <w:sz w:val="14"/>
                <w:szCs w:val="14"/>
              </w:rPr>
              <w:t>1.341.615</w:t>
            </w:r>
          </w:p>
        </w:tc>
      </w:tr>
      <w:tr w:rsidR="002411D3" w:rsidRPr="00F36B82" w14:paraId="3C5E23AD" w14:textId="77777777" w:rsidTr="00F36B82">
        <w:trPr>
          <w:trHeight w:val="133"/>
        </w:trPr>
        <w:tc>
          <w:tcPr>
            <w:tcW w:w="98" w:type="pct"/>
          </w:tcPr>
          <w:p w14:paraId="2F2EC5D5" w14:textId="77777777" w:rsidR="002411D3" w:rsidRPr="00F36B82" w:rsidRDefault="002411D3" w:rsidP="007A5154">
            <w:pPr>
              <w:autoSpaceDE w:val="0"/>
              <w:autoSpaceDN w:val="0"/>
              <w:adjustRightInd w:val="0"/>
              <w:ind w:left="180" w:hanging="180"/>
              <w:rPr>
                <w:rFonts w:eastAsia="Arial Unicode MS"/>
                <w:sz w:val="14"/>
                <w:szCs w:val="14"/>
              </w:rPr>
            </w:pPr>
            <w:r w:rsidRPr="00F36B82">
              <w:rPr>
                <w:rFonts w:eastAsia="Arial Unicode MS"/>
                <w:sz w:val="14"/>
                <w:szCs w:val="14"/>
              </w:rPr>
              <w:t>4.4</w:t>
            </w:r>
          </w:p>
        </w:tc>
        <w:tc>
          <w:tcPr>
            <w:tcW w:w="528" w:type="pct"/>
            <w:vAlign w:val="bottom"/>
          </w:tcPr>
          <w:p w14:paraId="30685A6A" w14:textId="77777777" w:rsidR="002411D3" w:rsidRPr="00F36B82" w:rsidRDefault="002411D3" w:rsidP="002411D3">
            <w:pPr>
              <w:rPr>
                <w:color w:val="000000"/>
                <w:sz w:val="14"/>
                <w:szCs w:val="14"/>
              </w:rPr>
            </w:pPr>
            <w:r w:rsidRPr="00F36B82">
              <w:rPr>
                <w:color w:val="000000"/>
                <w:sz w:val="14"/>
                <w:szCs w:val="14"/>
              </w:rPr>
              <w:t xml:space="preserve">   Mali Kuruluşlar</w:t>
            </w:r>
          </w:p>
        </w:tc>
        <w:tc>
          <w:tcPr>
            <w:tcW w:w="240" w:type="pct"/>
            <w:tcBorders>
              <w:top w:val="nil"/>
              <w:left w:val="nil"/>
              <w:bottom w:val="nil"/>
              <w:right w:val="nil"/>
            </w:tcBorders>
            <w:vAlign w:val="bottom"/>
          </w:tcPr>
          <w:p w14:paraId="2E616CC6" w14:textId="77F952C2" w:rsidR="002411D3" w:rsidRPr="00F36B82" w:rsidRDefault="002411D3" w:rsidP="00F36B82">
            <w:pPr>
              <w:jc w:val="right"/>
              <w:rPr>
                <w:sz w:val="14"/>
                <w:szCs w:val="14"/>
              </w:rPr>
            </w:pPr>
            <w:r w:rsidRPr="00F36B82">
              <w:rPr>
                <w:color w:val="000000"/>
                <w:sz w:val="14"/>
                <w:szCs w:val="14"/>
              </w:rPr>
              <w:t>20.281.833</w:t>
            </w:r>
          </w:p>
        </w:tc>
        <w:tc>
          <w:tcPr>
            <w:tcW w:w="156" w:type="pct"/>
            <w:tcBorders>
              <w:top w:val="nil"/>
              <w:left w:val="nil"/>
              <w:bottom w:val="nil"/>
              <w:right w:val="nil"/>
            </w:tcBorders>
            <w:vAlign w:val="bottom"/>
          </w:tcPr>
          <w:p w14:paraId="6A96C0B8" w14:textId="28028C95" w:rsidR="002411D3" w:rsidRPr="00F36B82" w:rsidRDefault="002411D3" w:rsidP="00F36B82">
            <w:pPr>
              <w:jc w:val="right"/>
              <w:rPr>
                <w:sz w:val="14"/>
                <w:szCs w:val="14"/>
              </w:rPr>
            </w:pPr>
            <w:r w:rsidRPr="00F36B82">
              <w:rPr>
                <w:color w:val="000000"/>
                <w:sz w:val="14"/>
                <w:szCs w:val="14"/>
              </w:rPr>
              <w:t>-</w:t>
            </w:r>
          </w:p>
        </w:tc>
        <w:tc>
          <w:tcPr>
            <w:tcW w:w="173" w:type="pct"/>
            <w:tcBorders>
              <w:top w:val="nil"/>
              <w:left w:val="nil"/>
              <w:bottom w:val="nil"/>
              <w:right w:val="nil"/>
            </w:tcBorders>
            <w:vAlign w:val="bottom"/>
          </w:tcPr>
          <w:p w14:paraId="346C360D" w14:textId="6A999397" w:rsidR="002411D3" w:rsidRPr="00F36B82" w:rsidRDefault="002411D3" w:rsidP="00F36B82">
            <w:pPr>
              <w:jc w:val="right"/>
              <w:rPr>
                <w:sz w:val="14"/>
                <w:szCs w:val="14"/>
              </w:rPr>
            </w:pPr>
            <w:r w:rsidRPr="00F36B82">
              <w:rPr>
                <w:color w:val="000000"/>
                <w:sz w:val="14"/>
                <w:szCs w:val="14"/>
              </w:rPr>
              <w:t>-</w:t>
            </w:r>
          </w:p>
        </w:tc>
        <w:tc>
          <w:tcPr>
            <w:tcW w:w="100" w:type="pct"/>
            <w:tcBorders>
              <w:top w:val="nil"/>
              <w:left w:val="nil"/>
              <w:bottom w:val="nil"/>
              <w:right w:val="nil"/>
            </w:tcBorders>
            <w:vAlign w:val="bottom"/>
          </w:tcPr>
          <w:p w14:paraId="36625715" w14:textId="7D700DC1" w:rsidR="002411D3" w:rsidRPr="00F36B82" w:rsidRDefault="002411D3" w:rsidP="00F36B82">
            <w:pPr>
              <w:jc w:val="right"/>
              <w:rPr>
                <w:sz w:val="14"/>
                <w:szCs w:val="14"/>
              </w:rPr>
            </w:pPr>
            <w:r w:rsidRPr="00F36B82">
              <w:rPr>
                <w:color w:val="000000"/>
                <w:sz w:val="14"/>
                <w:szCs w:val="14"/>
              </w:rPr>
              <w:t>-</w:t>
            </w:r>
          </w:p>
        </w:tc>
        <w:tc>
          <w:tcPr>
            <w:tcW w:w="224" w:type="pct"/>
            <w:tcBorders>
              <w:top w:val="nil"/>
              <w:left w:val="nil"/>
              <w:bottom w:val="nil"/>
              <w:right w:val="nil"/>
            </w:tcBorders>
            <w:vAlign w:val="bottom"/>
          </w:tcPr>
          <w:p w14:paraId="75B3899B" w14:textId="1A429985" w:rsidR="002411D3" w:rsidRPr="00F36B82" w:rsidRDefault="002411D3" w:rsidP="00F36B82">
            <w:pPr>
              <w:jc w:val="right"/>
              <w:rPr>
                <w:sz w:val="14"/>
                <w:szCs w:val="14"/>
              </w:rPr>
            </w:pPr>
            <w:r w:rsidRPr="00F36B82">
              <w:rPr>
                <w:color w:val="000000"/>
                <w:sz w:val="14"/>
                <w:szCs w:val="14"/>
              </w:rPr>
              <w:t>-</w:t>
            </w:r>
          </w:p>
        </w:tc>
        <w:tc>
          <w:tcPr>
            <w:tcW w:w="240" w:type="pct"/>
            <w:tcBorders>
              <w:top w:val="nil"/>
              <w:left w:val="nil"/>
              <w:bottom w:val="nil"/>
              <w:right w:val="nil"/>
            </w:tcBorders>
            <w:vAlign w:val="bottom"/>
          </w:tcPr>
          <w:p w14:paraId="03B2FC5E" w14:textId="4038E3C0" w:rsidR="002411D3" w:rsidRPr="00F36B82" w:rsidRDefault="002411D3" w:rsidP="00F36B82">
            <w:pPr>
              <w:jc w:val="right"/>
              <w:rPr>
                <w:sz w:val="14"/>
                <w:szCs w:val="14"/>
              </w:rPr>
            </w:pPr>
            <w:r w:rsidRPr="00F36B82">
              <w:rPr>
                <w:color w:val="000000"/>
                <w:sz w:val="14"/>
                <w:szCs w:val="14"/>
              </w:rPr>
              <w:t>6.939.984</w:t>
            </w:r>
          </w:p>
        </w:tc>
        <w:tc>
          <w:tcPr>
            <w:tcW w:w="268" w:type="pct"/>
            <w:tcBorders>
              <w:top w:val="nil"/>
              <w:left w:val="nil"/>
              <w:bottom w:val="nil"/>
              <w:right w:val="nil"/>
            </w:tcBorders>
            <w:vAlign w:val="bottom"/>
          </w:tcPr>
          <w:p w14:paraId="04885BC6" w14:textId="72033AAB" w:rsidR="002411D3" w:rsidRPr="00F36B82" w:rsidRDefault="002411D3" w:rsidP="00F36B82">
            <w:pPr>
              <w:jc w:val="right"/>
              <w:rPr>
                <w:sz w:val="14"/>
                <w:szCs w:val="14"/>
              </w:rPr>
            </w:pPr>
            <w:r w:rsidRPr="00F36B82">
              <w:rPr>
                <w:color w:val="000000"/>
                <w:sz w:val="14"/>
                <w:szCs w:val="14"/>
              </w:rPr>
              <w:t>207.428</w:t>
            </w:r>
          </w:p>
        </w:tc>
        <w:tc>
          <w:tcPr>
            <w:tcW w:w="220" w:type="pct"/>
            <w:tcBorders>
              <w:top w:val="nil"/>
              <w:left w:val="nil"/>
              <w:bottom w:val="nil"/>
              <w:right w:val="nil"/>
            </w:tcBorders>
            <w:vAlign w:val="bottom"/>
          </w:tcPr>
          <w:p w14:paraId="7E356230" w14:textId="5F4796F7" w:rsidR="002411D3" w:rsidRPr="00F36B82" w:rsidRDefault="002411D3" w:rsidP="00F36B82">
            <w:pPr>
              <w:jc w:val="right"/>
              <w:rPr>
                <w:sz w:val="14"/>
                <w:szCs w:val="14"/>
              </w:rPr>
            </w:pPr>
            <w:r w:rsidRPr="00F36B82">
              <w:rPr>
                <w:color w:val="000000"/>
                <w:sz w:val="14"/>
                <w:szCs w:val="14"/>
              </w:rPr>
              <w:t>-</w:t>
            </w:r>
          </w:p>
        </w:tc>
        <w:tc>
          <w:tcPr>
            <w:tcW w:w="201" w:type="pct"/>
            <w:tcBorders>
              <w:top w:val="nil"/>
              <w:left w:val="nil"/>
              <w:bottom w:val="nil"/>
              <w:right w:val="nil"/>
            </w:tcBorders>
            <w:vAlign w:val="bottom"/>
          </w:tcPr>
          <w:p w14:paraId="6104D288" w14:textId="78C6CD3A" w:rsidR="002411D3" w:rsidRPr="00F36B82" w:rsidRDefault="002411D3" w:rsidP="00F36B82">
            <w:pPr>
              <w:jc w:val="right"/>
              <w:rPr>
                <w:sz w:val="14"/>
                <w:szCs w:val="14"/>
              </w:rPr>
            </w:pPr>
            <w:r w:rsidRPr="00F36B82">
              <w:rPr>
                <w:color w:val="000000"/>
                <w:sz w:val="14"/>
                <w:szCs w:val="14"/>
              </w:rPr>
              <w:t>246.018</w:t>
            </w:r>
          </w:p>
        </w:tc>
        <w:tc>
          <w:tcPr>
            <w:tcW w:w="142" w:type="pct"/>
            <w:tcBorders>
              <w:top w:val="nil"/>
              <w:left w:val="nil"/>
              <w:bottom w:val="nil"/>
              <w:right w:val="nil"/>
            </w:tcBorders>
            <w:vAlign w:val="bottom"/>
          </w:tcPr>
          <w:p w14:paraId="110D986E" w14:textId="3818C0E2" w:rsidR="002411D3" w:rsidRPr="00F36B82" w:rsidRDefault="002411D3" w:rsidP="00F36B82">
            <w:pPr>
              <w:jc w:val="right"/>
              <w:rPr>
                <w:sz w:val="14"/>
                <w:szCs w:val="14"/>
              </w:rPr>
            </w:pPr>
            <w:r w:rsidRPr="00F36B82">
              <w:rPr>
                <w:color w:val="000000"/>
                <w:sz w:val="14"/>
                <w:szCs w:val="14"/>
              </w:rPr>
              <w:t>-</w:t>
            </w:r>
          </w:p>
        </w:tc>
        <w:tc>
          <w:tcPr>
            <w:tcW w:w="220" w:type="pct"/>
            <w:tcBorders>
              <w:top w:val="nil"/>
              <w:left w:val="nil"/>
              <w:bottom w:val="nil"/>
              <w:right w:val="nil"/>
            </w:tcBorders>
            <w:vAlign w:val="bottom"/>
          </w:tcPr>
          <w:p w14:paraId="519D7273" w14:textId="796B8246" w:rsidR="002411D3" w:rsidRPr="00F36B82" w:rsidRDefault="002411D3" w:rsidP="00F36B82">
            <w:pPr>
              <w:jc w:val="right"/>
              <w:rPr>
                <w:sz w:val="14"/>
                <w:szCs w:val="14"/>
              </w:rPr>
            </w:pPr>
            <w:r w:rsidRPr="00F36B82">
              <w:rPr>
                <w:color w:val="000000"/>
                <w:sz w:val="14"/>
                <w:szCs w:val="14"/>
              </w:rPr>
              <w:t>-</w:t>
            </w:r>
          </w:p>
        </w:tc>
        <w:tc>
          <w:tcPr>
            <w:tcW w:w="159" w:type="pct"/>
            <w:tcBorders>
              <w:top w:val="nil"/>
              <w:left w:val="nil"/>
              <w:bottom w:val="nil"/>
              <w:right w:val="nil"/>
            </w:tcBorders>
            <w:vAlign w:val="bottom"/>
          </w:tcPr>
          <w:p w14:paraId="203C925A" w14:textId="217095AB"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4EC741BD" w14:textId="37E3C869"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4D31CE98" w14:textId="77D976B7"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0ACF7C62" w14:textId="27557D5C"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54E362F0" w14:textId="2772D9A3" w:rsidR="002411D3" w:rsidRPr="00F36B82" w:rsidRDefault="002411D3" w:rsidP="00F36B82">
            <w:pPr>
              <w:jc w:val="right"/>
              <w:rPr>
                <w:sz w:val="14"/>
                <w:szCs w:val="14"/>
              </w:rPr>
            </w:pPr>
            <w:r w:rsidRPr="00F36B82">
              <w:rPr>
                <w:color w:val="000000"/>
                <w:sz w:val="14"/>
                <w:szCs w:val="14"/>
              </w:rPr>
              <w:t>650.265</w:t>
            </w:r>
          </w:p>
        </w:tc>
        <w:tc>
          <w:tcPr>
            <w:tcW w:w="244" w:type="pct"/>
            <w:tcBorders>
              <w:top w:val="nil"/>
              <w:left w:val="nil"/>
              <w:bottom w:val="nil"/>
              <w:right w:val="nil"/>
            </w:tcBorders>
            <w:vAlign w:val="bottom"/>
          </w:tcPr>
          <w:p w14:paraId="325778E4" w14:textId="2A0C5C31" w:rsidR="002411D3" w:rsidRPr="00F36B82" w:rsidRDefault="002411D3" w:rsidP="00F36B82">
            <w:pPr>
              <w:jc w:val="right"/>
              <w:rPr>
                <w:sz w:val="14"/>
                <w:szCs w:val="14"/>
              </w:rPr>
            </w:pPr>
            <w:r w:rsidRPr="00F36B82">
              <w:rPr>
                <w:color w:val="000000"/>
                <w:sz w:val="14"/>
                <w:szCs w:val="14"/>
              </w:rPr>
              <w:t>2.966.882</w:t>
            </w:r>
          </w:p>
        </w:tc>
        <w:tc>
          <w:tcPr>
            <w:tcW w:w="268" w:type="pct"/>
            <w:tcBorders>
              <w:top w:val="nil"/>
              <w:left w:val="nil"/>
              <w:bottom w:val="nil"/>
              <w:right w:val="nil"/>
            </w:tcBorders>
            <w:vAlign w:val="bottom"/>
          </w:tcPr>
          <w:p w14:paraId="60C5854A" w14:textId="35818F5C" w:rsidR="002411D3" w:rsidRPr="00F36B82" w:rsidRDefault="002411D3" w:rsidP="00F36B82">
            <w:pPr>
              <w:jc w:val="right"/>
              <w:rPr>
                <w:sz w:val="14"/>
                <w:szCs w:val="14"/>
              </w:rPr>
            </w:pPr>
            <w:r w:rsidRPr="00F36B82">
              <w:rPr>
                <w:color w:val="000000"/>
                <w:sz w:val="14"/>
                <w:szCs w:val="14"/>
              </w:rPr>
              <w:t>12.276.963</w:t>
            </w:r>
          </w:p>
        </w:tc>
        <w:tc>
          <w:tcPr>
            <w:tcW w:w="272" w:type="pct"/>
            <w:tcBorders>
              <w:top w:val="nil"/>
              <w:left w:val="nil"/>
              <w:bottom w:val="nil"/>
              <w:right w:val="nil"/>
            </w:tcBorders>
            <w:vAlign w:val="bottom"/>
          </w:tcPr>
          <w:p w14:paraId="14974625" w14:textId="3F513BE5" w:rsidR="002411D3" w:rsidRPr="00F36B82" w:rsidRDefault="002411D3" w:rsidP="00F36B82">
            <w:pPr>
              <w:jc w:val="right"/>
              <w:rPr>
                <w:sz w:val="14"/>
                <w:szCs w:val="14"/>
              </w:rPr>
            </w:pPr>
            <w:r w:rsidRPr="00F36B82">
              <w:rPr>
                <w:color w:val="000000"/>
                <w:sz w:val="14"/>
                <w:szCs w:val="14"/>
              </w:rPr>
              <w:t>19.015.447</w:t>
            </w:r>
          </w:p>
        </w:tc>
        <w:tc>
          <w:tcPr>
            <w:tcW w:w="271" w:type="pct"/>
            <w:tcBorders>
              <w:top w:val="nil"/>
              <w:left w:val="nil"/>
              <w:bottom w:val="nil"/>
              <w:right w:val="nil"/>
            </w:tcBorders>
            <w:vAlign w:val="bottom"/>
          </w:tcPr>
          <w:p w14:paraId="0A6AC041" w14:textId="30AC6DC9" w:rsidR="002411D3" w:rsidRPr="00F36B82" w:rsidRDefault="002411D3" w:rsidP="00F36B82">
            <w:pPr>
              <w:jc w:val="right"/>
              <w:rPr>
                <w:sz w:val="14"/>
                <w:szCs w:val="14"/>
              </w:rPr>
            </w:pPr>
            <w:r w:rsidRPr="00F36B82">
              <w:rPr>
                <w:color w:val="000000"/>
                <w:sz w:val="14"/>
                <w:szCs w:val="14"/>
              </w:rPr>
              <w:t>31.292.410</w:t>
            </w:r>
          </w:p>
        </w:tc>
      </w:tr>
      <w:tr w:rsidR="002411D3" w:rsidRPr="00F36B82" w14:paraId="18763021" w14:textId="77777777" w:rsidTr="00F36B82">
        <w:trPr>
          <w:trHeight w:val="133"/>
        </w:trPr>
        <w:tc>
          <w:tcPr>
            <w:tcW w:w="98" w:type="pct"/>
          </w:tcPr>
          <w:p w14:paraId="028B882E" w14:textId="77777777" w:rsidR="002411D3" w:rsidRPr="00F36B82" w:rsidRDefault="002411D3" w:rsidP="007A5154">
            <w:pPr>
              <w:autoSpaceDE w:val="0"/>
              <w:autoSpaceDN w:val="0"/>
              <w:adjustRightInd w:val="0"/>
              <w:ind w:left="180" w:hanging="180"/>
              <w:rPr>
                <w:rFonts w:eastAsia="Arial Unicode MS"/>
                <w:sz w:val="14"/>
                <w:szCs w:val="14"/>
              </w:rPr>
            </w:pPr>
            <w:r w:rsidRPr="00F36B82">
              <w:rPr>
                <w:rFonts w:eastAsia="Arial Unicode MS"/>
                <w:sz w:val="14"/>
                <w:szCs w:val="14"/>
              </w:rPr>
              <w:t>4.5</w:t>
            </w:r>
          </w:p>
        </w:tc>
        <w:tc>
          <w:tcPr>
            <w:tcW w:w="528" w:type="pct"/>
            <w:vAlign w:val="bottom"/>
          </w:tcPr>
          <w:p w14:paraId="3DF40881" w14:textId="77777777" w:rsidR="002411D3" w:rsidRPr="00F36B82" w:rsidRDefault="002411D3" w:rsidP="002411D3">
            <w:pPr>
              <w:rPr>
                <w:color w:val="000000"/>
                <w:sz w:val="14"/>
                <w:szCs w:val="14"/>
              </w:rPr>
            </w:pPr>
            <w:r w:rsidRPr="00F36B82">
              <w:rPr>
                <w:color w:val="000000"/>
                <w:sz w:val="14"/>
                <w:szCs w:val="14"/>
              </w:rPr>
              <w:t xml:space="preserve">   Gayrimenkul ve Kira. </w:t>
            </w:r>
            <w:proofErr w:type="spellStart"/>
            <w:r w:rsidRPr="00F36B82">
              <w:rPr>
                <w:color w:val="000000"/>
                <w:sz w:val="14"/>
                <w:szCs w:val="14"/>
              </w:rPr>
              <w:t>Hizm</w:t>
            </w:r>
            <w:proofErr w:type="spellEnd"/>
            <w:r w:rsidRPr="00F36B82">
              <w:rPr>
                <w:color w:val="000000"/>
                <w:sz w:val="14"/>
                <w:szCs w:val="14"/>
              </w:rPr>
              <w:t>.</w:t>
            </w:r>
          </w:p>
        </w:tc>
        <w:tc>
          <w:tcPr>
            <w:tcW w:w="240" w:type="pct"/>
            <w:tcBorders>
              <w:top w:val="nil"/>
              <w:left w:val="nil"/>
              <w:bottom w:val="nil"/>
              <w:right w:val="nil"/>
            </w:tcBorders>
            <w:vAlign w:val="bottom"/>
          </w:tcPr>
          <w:p w14:paraId="55F714C1" w14:textId="2FA2CB8C" w:rsidR="002411D3" w:rsidRPr="00F36B82" w:rsidRDefault="002411D3" w:rsidP="00F36B82">
            <w:pPr>
              <w:jc w:val="right"/>
              <w:rPr>
                <w:sz w:val="14"/>
                <w:szCs w:val="14"/>
              </w:rPr>
            </w:pPr>
            <w:r w:rsidRPr="00F36B82">
              <w:rPr>
                <w:color w:val="000000"/>
                <w:sz w:val="14"/>
                <w:szCs w:val="14"/>
              </w:rPr>
              <w:t>-</w:t>
            </w:r>
          </w:p>
        </w:tc>
        <w:tc>
          <w:tcPr>
            <w:tcW w:w="156" w:type="pct"/>
            <w:tcBorders>
              <w:top w:val="nil"/>
              <w:left w:val="nil"/>
              <w:bottom w:val="nil"/>
              <w:right w:val="nil"/>
            </w:tcBorders>
            <w:vAlign w:val="bottom"/>
          </w:tcPr>
          <w:p w14:paraId="02E4236F" w14:textId="0419340E" w:rsidR="002411D3" w:rsidRPr="00F36B82" w:rsidRDefault="002411D3" w:rsidP="00F36B82">
            <w:pPr>
              <w:jc w:val="right"/>
              <w:rPr>
                <w:sz w:val="14"/>
                <w:szCs w:val="14"/>
              </w:rPr>
            </w:pPr>
            <w:r w:rsidRPr="00F36B82">
              <w:rPr>
                <w:color w:val="000000"/>
                <w:sz w:val="14"/>
                <w:szCs w:val="14"/>
              </w:rPr>
              <w:t>-</w:t>
            </w:r>
          </w:p>
        </w:tc>
        <w:tc>
          <w:tcPr>
            <w:tcW w:w="173" w:type="pct"/>
            <w:tcBorders>
              <w:top w:val="nil"/>
              <w:left w:val="nil"/>
              <w:bottom w:val="nil"/>
              <w:right w:val="nil"/>
            </w:tcBorders>
            <w:vAlign w:val="bottom"/>
          </w:tcPr>
          <w:p w14:paraId="052FFB58" w14:textId="3E1E36D5" w:rsidR="002411D3" w:rsidRPr="00F36B82" w:rsidRDefault="002411D3" w:rsidP="00F36B82">
            <w:pPr>
              <w:jc w:val="right"/>
              <w:rPr>
                <w:sz w:val="14"/>
                <w:szCs w:val="14"/>
              </w:rPr>
            </w:pPr>
            <w:r w:rsidRPr="00F36B82">
              <w:rPr>
                <w:color w:val="000000"/>
                <w:sz w:val="14"/>
                <w:szCs w:val="14"/>
              </w:rPr>
              <w:t>-</w:t>
            </w:r>
          </w:p>
        </w:tc>
        <w:tc>
          <w:tcPr>
            <w:tcW w:w="100" w:type="pct"/>
            <w:tcBorders>
              <w:top w:val="nil"/>
              <w:left w:val="nil"/>
              <w:bottom w:val="nil"/>
              <w:right w:val="nil"/>
            </w:tcBorders>
            <w:vAlign w:val="bottom"/>
          </w:tcPr>
          <w:p w14:paraId="1CCA2448" w14:textId="7EBF9AE8" w:rsidR="002411D3" w:rsidRPr="00F36B82" w:rsidRDefault="002411D3" w:rsidP="00F36B82">
            <w:pPr>
              <w:jc w:val="right"/>
              <w:rPr>
                <w:sz w:val="14"/>
                <w:szCs w:val="14"/>
              </w:rPr>
            </w:pPr>
            <w:r w:rsidRPr="00F36B82">
              <w:rPr>
                <w:color w:val="000000"/>
                <w:sz w:val="14"/>
                <w:szCs w:val="14"/>
              </w:rPr>
              <w:t>-</w:t>
            </w:r>
          </w:p>
        </w:tc>
        <w:tc>
          <w:tcPr>
            <w:tcW w:w="224" w:type="pct"/>
            <w:tcBorders>
              <w:top w:val="nil"/>
              <w:left w:val="nil"/>
              <w:bottom w:val="nil"/>
              <w:right w:val="nil"/>
            </w:tcBorders>
            <w:vAlign w:val="bottom"/>
          </w:tcPr>
          <w:p w14:paraId="11DEA94E" w14:textId="7168C827" w:rsidR="002411D3" w:rsidRPr="00F36B82" w:rsidRDefault="002411D3" w:rsidP="00F36B82">
            <w:pPr>
              <w:jc w:val="right"/>
              <w:rPr>
                <w:sz w:val="14"/>
                <w:szCs w:val="14"/>
              </w:rPr>
            </w:pPr>
            <w:r w:rsidRPr="00F36B82">
              <w:rPr>
                <w:color w:val="000000"/>
                <w:sz w:val="14"/>
                <w:szCs w:val="14"/>
              </w:rPr>
              <w:t>-</w:t>
            </w:r>
          </w:p>
        </w:tc>
        <w:tc>
          <w:tcPr>
            <w:tcW w:w="240" w:type="pct"/>
            <w:tcBorders>
              <w:top w:val="nil"/>
              <w:left w:val="nil"/>
              <w:bottom w:val="nil"/>
              <w:right w:val="nil"/>
            </w:tcBorders>
            <w:vAlign w:val="bottom"/>
          </w:tcPr>
          <w:p w14:paraId="2611C0AF" w14:textId="5BB9F0A4" w:rsidR="002411D3" w:rsidRPr="00F36B82" w:rsidRDefault="002411D3" w:rsidP="00F36B82">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1219C345" w14:textId="613C019A" w:rsidR="002411D3" w:rsidRPr="00F36B82" w:rsidRDefault="002411D3" w:rsidP="00F36B82">
            <w:pPr>
              <w:jc w:val="right"/>
              <w:rPr>
                <w:sz w:val="14"/>
                <w:szCs w:val="14"/>
              </w:rPr>
            </w:pPr>
            <w:r w:rsidRPr="00F36B82">
              <w:rPr>
                <w:color w:val="000000"/>
                <w:sz w:val="14"/>
                <w:szCs w:val="14"/>
              </w:rPr>
              <w:t>3.361.983</w:t>
            </w:r>
          </w:p>
        </w:tc>
        <w:tc>
          <w:tcPr>
            <w:tcW w:w="220" w:type="pct"/>
            <w:tcBorders>
              <w:top w:val="nil"/>
              <w:left w:val="nil"/>
              <w:bottom w:val="nil"/>
              <w:right w:val="nil"/>
            </w:tcBorders>
            <w:vAlign w:val="bottom"/>
          </w:tcPr>
          <w:p w14:paraId="0164E70E" w14:textId="326A99BC" w:rsidR="002411D3" w:rsidRPr="00F36B82" w:rsidRDefault="002411D3" w:rsidP="00F36B82">
            <w:pPr>
              <w:jc w:val="right"/>
              <w:rPr>
                <w:sz w:val="14"/>
                <w:szCs w:val="14"/>
              </w:rPr>
            </w:pPr>
            <w:r w:rsidRPr="00F36B82">
              <w:rPr>
                <w:color w:val="000000"/>
                <w:sz w:val="14"/>
                <w:szCs w:val="14"/>
              </w:rPr>
              <w:t>-</w:t>
            </w:r>
          </w:p>
        </w:tc>
        <w:tc>
          <w:tcPr>
            <w:tcW w:w="201" w:type="pct"/>
            <w:tcBorders>
              <w:top w:val="nil"/>
              <w:left w:val="nil"/>
              <w:bottom w:val="nil"/>
              <w:right w:val="nil"/>
            </w:tcBorders>
            <w:vAlign w:val="bottom"/>
          </w:tcPr>
          <w:p w14:paraId="1700A9AA" w14:textId="7B3D30A8" w:rsidR="002411D3" w:rsidRPr="00F36B82" w:rsidRDefault="002411D3" w:rsidP="00F36B82">
            <w:pPr>
              <w:jc w:val="right"/>
              <w:rPr>
                <w:sz w:val="14"/>
                <w:szCs w:val="14"/>
              </w:rPr>
            </w:pPr>
            <w:r w:rsidRPr="00F36B82">
              <w:rPr>
                <w:color w:val="000000"/>
                <w:sz w:val="14"/>
                <w:szCs w:val="14"/>
              </w:rPr>
              <w:t>28.156</w:t>
            </w:r>
          </w:p>
        </w:tc>
        <w:tc>
          <w:tcPr>
            <w:tcW w:w="142" w:type="pct"/>
            <w:tcBorders>
              <w:top w:val="nil"/>
              <w:left w:val="nil"/>
              <w:bottom w:val="nil"/>
              <w:right w:val="nil"/>
            </w:tcBorders>
            <w:vAlign w:val="bottom"/>
          </w:tcPr>
          <w:p w14:paraId="0F79A8FB" w14:textId="61A13E07" w:rsidR="002411D3" w:rsidRPr="00F36B82" w:rsidRDefault="002411D3" w:rsidP="00F36B82">
            <w:pPr>
              <w:jc w:val="right"/>
              <w:rPr>
                <w:sz w:val="14"/>
                <w:szCs w:val="14"/>
              </w:rPr>
            </w:pPr>
            <w:r w:rsidRPr="00F36B82">
              <w:rPr>
                <w:color w:val="000000"/>
                <w:sz w:val="14"/>
                <w:szCs w:val="14"/>
              </w:rPr>
              <w:t>-</w:t>
            </w:r>
          </w:p>
        </w:tc>
        <w:tc>
          <w:tcPr>
            <w:tcW w:w="220" w:type="pct"/>
            <w:tcBorders>
              <w:top w:val="nil"/>
              <w:left w:val="nil"/>
              <w:bottom w:val="nil"/>
              <w:right w:val="nil"/>
            </w:tcBorders>
            <w:vAlign w:val="bottom"/>
          </w:tcPr>
          <w:p w14:paraId="49544DB8" w14:textId="772C94EC" w:rsidR="002411D3" w:rsidRPr="00F36B82" w:rsidRDefault="002411D3" w:rsidP="00F36B82">
            <w:pPr>
              <w:jc w:val="right"/>
              <w:rPr>
                <w:sz w:val="14"/>
                <w:szCs w:val="14"/>
              </w:rPr>
            </w:pPr>
            <w:r w:rsidRPr="00F36B82">
              <w:rPr>
                <w:color w:val="000000"/>
                <w:sz w:val="14"/>
                <w:szCs w:val="14"/>
              </w:rPr>
              <w:t>-</w:t>
            </w:r>
          </w:p>
        </w:tc>
        <w:tc>
          <w:tcPr>
            <w:tcW w:w="159" w:type="pct"/>
            <w:tcBorders>
              <w:top w:val="nil"/>
              <w:left w:val="nil"/>
              <w:bottom w:val="nil"/>
              <w:right w:val="nil"/>
            </w:tcBorders>
            <w:vAlign w:val="bottom"/>
          </w:tcPr>
          <w:p w14:paraId="42366FF3" w14:textId="0DCCBFC9"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3D718A87" w14:textId="5337CAF9"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47DC414C" w14:textId="2DE16CBD"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67C1DBCC" w14:textId="1B9910B6"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1319FD20" w14:textId="040F98B9"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67106A32" w14:textId="128E73AF" w:rsidR="002411D3" w:rsidRPr="00F36B82" w:rsidRDefault="002411D3" w:rsidP="00F36B82">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7BC6FB7E" w14:textId="48E6AAFB" w:rsidR="002411D3" w:rsidRPr="00F36B82" w:rsidRDefault="002411D3" w:rsidP="00F36B82">
            <w:pPr>
              <w:jc w:val="right"/>
              <w:rPr>
                <w:sz w:val="14"/>
                <w:szCs w:val="14"/>
              </w:rPr>
            </w:pPr>
            <w:r w:rsidRPr="00F36B82">
              <w:rPr>
                <w:color w:val="000000"/>
                <w:sz w:val="14"/>
                <w:szCs w:val="14"/>
              </w:rPr>
              <w:t>2.518.612</w:t>
            </w:r>
          </w:p>
        </w:tc>
        <w:tc>
          <w:tcPr>
            <w:tcW w:w="272" w:type="pct"/>
            <w:tcBorders>
              <w:top w:val="nil"/>
              <w:left w:val="nil"/>
              <w:bottom w:val="nil"/>
              <w:right w:val="nil"/>
            </w:tcBorders>
            <w:vAlign w:val="bottom"/>
          </w:tcPr>
          <w:p w14:paraId="1BAB103B" w14:textId="5979638A" w:rsidR="002411D3" w:rsidRPr="00F36B82" w:rsidRDefault="002411D3" w:rsidP="00F36B82">
            <w:pPr>
              <w:jc w:val="right"/>
              <w:rPr>
                <w:sz w:val="14"/>
                <w:szCs w:val="14"/>
              </w:rPr>
            </w:pPr>
            <w:r w:rsidRPr="00F36B82">
              <w:rPr>
                <w:color w:val="000000"/>
                <w:sz w:val="14"/>
                <w:szCs w:val="14"/>
              </w:rPr>
              <w:t>871.527</w:t>
            </w:r>
          </w:p>
        </w:tc>
        <w:tc>
          <w:tcPr>
            <w:tcW w:w="271" w:type="pct"/>
            <w:tcBorders>
              <w:top w:val="nil"/>
              <w:left w:val="nil"/>
              <w:bottom w:val="nil"/>
              <w:right w:val="nil"/>
            </w:tcBorders>
            <w:vAlign w:val="bottom"/>
          </w:tcPr>
          <w:p w14:paraId="0C9A59DD" w14:textId="2D459751" w:rsidR="002411D3" w:rsidRPr="00F36B82" w:rsidRDefault="002411D3" w:rsidP="00F36B82">
            <w:pPr>
              <w:jc w:val="right"/>
              <w:rPr>
                <w:sz w:val="14"/>
                <w:szCs w:val="14"/>
              </w:rPr>
            </w:pPr>
            <w:r w:rsidRPr="00F36B82">
              <w:rPr>
                <w:color w:val="000000"/>
                <w:sz w:val="14"/>
                <w:szCs w:val="14"/>
              </w:rPr>
              <w:t>3.390.139</w:t>
            </w:r>
          </w:p>
        </w:tc>
      </w:tr>
      <w:tr w:rsidR="002411D3" w:rsidRPr="00F36B82" w14:paraId="369F2A2A" w14:textId="77777777" w:rsidTr="00F36B82">
        <w:trPr>
          <w:trHeight w:val="133"/>
        </w:trPr>
        <w:tc>
          <w:tcPr>
            <w:tcW w:w="98" w:type="pct"/>
          </w:tcPr>
          <w:p w14:paraId="0921285A" w14:textId="77777777" w:rsidR="002411D3" w:rsidRPr="00F36B82" w:rsidRDefault="002411D3" w:rsidP="007A5154">
            <w:pPr>
              <w:autoSpaceDE w:val="0"/>
              <w:autoSpaceDN w:val="0"/>
              <w:adjustRightInd w:val="0"/>
              <w:ind w:left="180" w:hanging="180"/>
              <w:rPr>
                <w:rFonts w:eastAsia="Arial Unicode MS"/>
                <w:sz w:val="14"/>
                <w:szCs w:val="14"/>
              </w:rPr>
            </w:pPr>
            <w:r w:rsidRPr="00F36B82">
              <w:rPr>
                <w:rFonts w:eastAsia="Arial Unicode MS"/>
                <w:sz w:val="14"/>
                <w:szCs w:val="14"/>
              </w:rPr>
              <w:t>4.6</w:t>
            </w:r>
          </w:p>
        </w:tc>
        <w:tc>
          <w:tcPr>
            <w:tcW w:w="528" w:type="pct"/>
            <w:vAlign w:val="bottom"/>
          </w:tcPr>
          <w:p w14:paraId="5815A750" w14:textId="77777777" w:rsidR="002411D3" w:rsidRPr="00F36B82" w:rsidRDefault="002411D3" w:rsidP="002411D3">
            <w:pPr>
              <w:rPr>
                <w:color w:val="000000"/>
                <w:sz w:val="14"/>
                <w:szCs w:val="14"/>
              </w:rPr>
            </w:pPr>
            <w:r w:rsidRPr="00F36B82">
              <w:rPr>
                <w:color w:val="000000"/>
                <w:sz w:val="14"/>
                <w:szCs w:val="14"/>
              </w:rPr>
              <w:t xml:space="preserve">   Serbest Meslek Hizmetleri</w:t>
            </w:r>
          </w:p>
        </w:tc>
        <w:tc>
          <w:tcPr>
            <w:tcW w:w="240" w:type="pct"/>
            <w:tcBorders>
              <w:top w:val="nil"/>
              <w:left w:val="nil"/>
              <w:bottom w:val="nil"/>
              <w:right w:val="nil"/>
            </w:tcBorders>
            <w:vAlign w:val="bottom"/>
          </w:tcPr>
          <w:p w14:paraId="51C07EC1" w14:textId="3DF9F8D3" w:rsidR="002411D3" w:rsidRPr="00F36B82" w:rsidRDefault="002411D3" w:rsidP="00F36B82">
            <w:pPr>
              <w:jc w:val="right"/>
              <w:rPr>
                <w:sz w:val="14"/>
                <w:szCs w:val="14"/>
              </w:rPr>
            </w:pPr>
            <w:r w:rsidRPr="00F36B82">
              <w:rPr>
                <w:color w:val="000000"/>
                <w:sz w:val="14"/>
                <w:szCs w:val="14"/>
              </w:rPr>
              <w:t>-</w:t>
            </w:r>
          </w:p>
        </w:tc>
        <w:tc>
          <w:tcPr>
            <w:tcW w:w="156" w:type="pct"/>
            <w:tcBorders>
              <w:top w:val="nil"/>
              <w:left w:val="nil"/>
              <w:bottom w:val="nil"/>
              <w:right w:val="nil"/>
            </w:tcBorders>
            <w:vAlign w:val="bottom"/>
          </w:tcPr>
          <w:p w14:paraId="60CB9205" w14:textId="4FB8575C" w:rsidR="002411D3" w:rsidRPr="00F36B82" w:rsidRDefault="002411D3" w:rsidP="00F36B82">
            <w:pPr>
              <w:jc w:val="right"/>
              <w:rPr>
                <w:sz w:val="14"/>
                <w:szCs w:val="14"/>
              </w:rPr>
            </w:pPr>
            <w:r w:rsidRPr="00F36B82">
              <w:rPr>
                <w:color w:val="000000"/>
                <w:sz w:val="14"/>
                <w:szCs w:val="14"/>
              </w:rPr>
              <w:t>-</w:t>
            </w:r>
          </w:p>
        </w:tc>
        <w:tc>
          <w:tcPr>
            <w:tcW w:w="173" w:type="pct"/>
            <w:tcBorders>
              <w:top w:val="nil"/>
              <w:left w:val="nil"/>
              <w:bottom w:val="nil"/>
              <w:right w:val="nil"/>
            </w:tcBorders>
            <w:vAlign w:val="bottom"/>
          </w:tcPr>
          <w:p w14:paraId="7CADB6D5" w14:textId="03FB3ED7" w:rsidR="002411D3" w:rsidRPr="00F36B82" w:rsidRDefault="002411D3" w:rsidP="00F36B82">
            <w:pPr>
              <w:jc w:val="right"/>
              <w:rPr>
                <w:sz w:val="14"/>
                <w:szCs w:val="14"/>
              </w:rPr>
            </w:pPr>
            <w:r w:rsidRPr="00F36B82">
              <w:rPr>
                <w:color w:val="000000"/>
                <w:sz w:val="14"/>
                <w:szCs w:val="14"/>
              </w:rPr>
              <w:t>-</w:t>
            </w:r>
          </w:p>
        </w:tc>
        <w:tc>
          <w:tcPr>
            <w:tcW w:w="100" w:type="pct"/>
            <w:tcBorders>
              <w:top w:val="nil"/>
              <w:left w:val="nil"/>
              <w:bottom w:val="nil"/>
              <w:right w:val="nil"/>
            </w:tcBorders>
            <w:vAlign w:val="bottom"/>
          </w:tcPr>
          <w:p w14:paraId="2F4C1499" w14:textId="0312C1CE" w:rsidR="002411D3" w:rsidRPr="00F36B82" w:rsidRDefault="002411D3" w:rsidP="00F36B82">
            <w:pPr>
              <w:jc w:val="right"/>
              <w:rPr>
                <w:sz w:val="14"/>
                <w:szCs w:val="14"/>
              </w:rPr>
            </w:pPr>
            <w:r w:rsidRPr="00F36B82">
              <w:rPr>
                <w:color w:val="000000"/>
                <w:sz w:val="14"/>
                <w:szCs w:val="14"/>
              </w:rPr>
              <w:t>-</w:t>
            </w:r>
          </w:p>
        </w:tc>
        <w:tc>
          <w:tcPr>
            <w:tcW w:w="224" w:type="pct"/>
            <w:tcBorders>
              <w:top w:val="nil"/>
              <w:left w:val="nil"/>
              <w:bottom w:val="nil"/>
              <w:right w:val="nil"/>
            </w:tcBorders>
            <w:vAlign w:val="bottom"/>
          </w:tcPr>
          <w:p w14:paraId="14BEF7F1" w14:textId="356483FE" w:rsidR="002411D3" w:rsidRPr="00F36B82" w:rsidRDefault="002411D3" w:rsidP="00F36B82">
            <w:pPr>
              <w:jc w:val="right"/>
              <w:rPr>
                <w:sz w:val="14"/>
                <w:szCs w:val="14"/>
              </w:rPr>
            </w:pPr>
            <w:r w:rsidRPr="00F36B82">
              <w:rPr>
                <w:color w:val="000000"/>
                <w:sz w:val="14"/>
                <w:szCs w:val="14"/>
              </w:rPr>
              <w:t>-</w:t>
            </w:r>
          </w:p>
        </w:tc>
        <w:tc>
          <w:tcPr>
            <w:tcW w:w="240" w:type="pct"/>
            <w:tcBorders>
              <w:top w:val="nil"/>
              <w:left w:val="nil"/>
              <w:bottom w:val="nil"/>
              <w:right w:val="nil"/>
            </w:tcBorders>
            <w:vAlign w:val="bottom"/>
          </w:tcPr>
          <w:p w14:paraId="7D3AA187" w14:textId="683E75A0" w:rsidR="002411D3" w:rsidRPr="00F36B82" w:rsidRDefault="002411D3" w:rsidP="00F36B82">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4D53B519" w14:textId="309CCA67" w:rsidR="002411D3" w:rsidRPr="00F36B82" w:rsidRDefault="002411D3" w:rsidP="00F36B82">
            <w:pPr>
              <w:jc w:val="right"/>
              <w:rPr>
                <w:sz w:val="14"/>
                <w:szCs w:val="14"/>
              </w:rPr>
            </w:pPr>
            <w:r w:rsidRPr="00F36B82">
              <w:rPr>
                <w:color w:val="000000"/>
                <w:sz w:val="14"/>
                <w:szCs w:val="14"/>
              </w:rPr>
              <w:t>-</w:t>
            </w:r>
          </w:p>
        </w:tc>
        <w:tc>
          <w:tcPr>
            <w:tcW w:w="220" w:type="pct"/>
            <w:tcBorders>
              <w:top w:val="nil"/>
              <w:left w:val="nil"/>
              <w:bottom w:val="nil"/>
              <w:right w:val="nil"/>
            </w:tcBorders>
            <w:vAlign w:val="bottom"/>
          </w:tcPr>
          <w:p w14:paraId="1F576011" w14:textId="46B833F2" w:rsidR="002411D3" w:rsidRPr="00F36B82" w:rsidRDefault="002411D3" w:rsidP="00F36B82">
            <w:pPr>
              <w:jc w:val="right"/>
              <w:rPr>
                <w:sz w:val="14"/>
                <w:szCs w:val="14"/>
              </w:rPr>
            </w:pPr>
            <w:r w:rsidRPr="00F36B82">
              <w:rPr>
                <w:color w:val="000000"/>
                <w:sz w:val="14"/>
                <w:szCs w:val="14"/>
              </w:rPr>
              <w:t>-</w:t>
            </w:r>
          </w:p>
        </w:tc>
        <w:tc>
          <w:tcPr>
            <w:tcW w:w="201" w:type="pct"/>
            <w:tcBorders>
              <w:top w:val="nil"/>
              <w:left w:val="nil"/>
              <w:bottom w:val="nil"/>
              <w:right w:val="nil"/>
            </w:tcBorders>
            <w:vAlign w:val="bottom"/>
          </w:tcPr>
          <w:p w14:paraId="760D39CC" w14:textId="577F52D2" w:rsidR="002411D3" w:rsidRPr="00F36B82" w:rsidRDefault="002411D3" w:rsidP="00F36B82">
            <w:pPr>
              <w:jc w:val="right"/>
              <w:rPr>
                <w:sz w:val="14"/>
                <w:szCs w:val="14"/>
              </w:rPr>
            </w:pPr>
            <w:r w:rsidRPr="00F36B82">
              <w:rPr>
                <w:color w:val="000000"/>
                <w:sz w:val="14"/>
                <w:szCs w:val="14"/>
              </w:rPr>
              <w:t>-</w:t>
            </w:r>
          </w:p>
        </w:tc>
        <w:tc>
          <w:tcPr>
            <w:tcW w:w="142" w:type="pct"/>
            <w:tcBorders>
              <w:top w:val="nil"/>
              <w:left w:val="nil"/>
              <w:bottom w:val="nil"/>
              <w:right w:val="nil"/>
            </w:tcBorders>
            <w:vAlign w:val="bottom"/>
          </w:tcPr>
          <w:p w14:paraId="746F4E34" w14:textId="6DF8B9BF" w:rsidR="002411D3" w:rsidRPr="00F36B82" w:rsidRDefault="002411D3" w:rsidP="00F36B82">
            <w:pPr>
              <w:jc w:val="right"/>
              <w:rPr>
                <w:sz w:val="14"/>
                <w:szCs w:val="14"/>
              </w:rPr>
            </w:pPr>
            <w:r w:rsidRPr="00F36B82">
              <w:rPr>
                <w:color w:val="000000"/>
                <w:sz w:val="14"/>
                <w:szCs w:val="14"/>
              </w:rPr>
              <w:t>-</w:t>
            </w:r>
          </w:p>
        </w:tc>
        <w:tc>
          <w:tcPr>
            <w:tcW w:w="220" w:type="pct"/>
            <w:tcBorders>
              <w:top w:val="nil"/>
              <w:left w:val="nil"/>
              <w:bottom w:val="nil"/>
              <w:right w:val="nil"/>
            </w:tcBorders>
            <w:vAlign w:val="bottom"/>
          </w:tcPr>
          <w:p w14:paraId="6D180DE9" w14:textId="23172082" w:rsidR="002411D3" w:rsidRPr="00F36B82" w:rsidRDefault="002411D3" w:rsidP="00F36B82">
            <w:pPr>
              <w:jc w:val="right"/>
              <w:rPr>
                <w:sz w:val="14"/>
                <w:szCs w:val="14"/>
              </w:rPr>
            </w:pPr>
            <w:r w:rsidRPr="00F36B82">
              <w:rPr>
                <w:color w:val="000000"/>
                <w:sz w:val="14"/>
                <w:szCs w:val="14"/>
              </w:rPr>
              <w:t>-</w:t>
            </w:r>
          </w:p>
        </w:tc>
        <w:tc>
          <w:tcPr>
            <w:tcW w:w="159" w:type="pct"/>
            <w:tcBorders>
              <w:top w:val="nil"/>
              <w:left w:val="nil"/>
              <w:bottom w:val="nil"/>
              <w:right w:val="nil"/>
            </w:tcBorders>
            <w:vAlign w:val="bottom"/>
          </w:tcPr>
          <w:p w14:paraId="4EDA8893" w14:textId="3C52229D"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30B63CA8" w14:textId="3CD422AF"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5A41B6EC" w14:textId="01425EC6"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261356ED" w14:textId="5FCC9318"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4EFA77BF" w14:textId="50925913"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79D0B652" w14:textId="7A83EE94" w:rsidR="002411D3" w:rsidRPr="00F36B82" w:rsidRDefault="002411D3" w:rsidP="00F36B82">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56EF631F" w14:textId="5A690D76" w:rsidR="002411D3" w:rsidRPr="00F36B82" w:rsidRDefault="002411D3" w:rsidP="00F36B82">
            <w:pPr>
              <w:jc w:val="right"/>
              <w:rPr>
                <w:sz w:val="14"/>
                <w:szCs w:val="14"/>
              </w:rPr>
            </w:pPr>
            <w:r w:rsidRPr="00F36B82">
              <w:rPr>
                <w:color w:val="000000"/>
                <w:sz w:val="14"/>
                <w:szCs w:val="14"/>
              </w:rPr>
              <w:t>-</w:t>
            </w:r>
          </w:p>
        </w:tc>
        <w:tc>
          <w:tcPr>
            <w:tcW w:w="272" w:type="pct"/>
            <w:tcBorders>
              <w:top w:val="nil"/>
              <w:left w:val="nil"/>
              <w:bottom w:val="nil"/>
              <w:right w:val="nil"/>
            </w:tcBorders>
            <w:vAlign w:val="bottom"/>
          </w:tcPr>
          <w:p w14:paraId="38BA7581" w14:textId="3EDF07C2" w:rsidR="002411D3" w:rsidRPr="00F36B82" w:rsidRDefault="002411D3" w:rsidP="00F36B82">
            <w:pPr>
              <w:jc w:val="right"/>
              <w:rPr>
                <w:sz w:val="14"/>
                <w:szCs w:val="14"/>
              </w:rPr>
            </w:pPr>
            <w:r w:rsidRPr="00F36B82">
              <w:rPr>
                <w:color w:val="000000"/>
                <w:sz w:val="14"/>
                <w:szCs w:val="14"/>
              </w:rPr>
              <w:t>-</w:t>
            </w:r>
          </w:p>
        </w:tc>
        <w:tc>
          <w:tcPr>
            <w:tcW w:w="271" w:type="pct"/>
            <w:tcBorders>
              <w:top w:val="nil"/>
              <w:left w:val="nil"/>
              <w:bottom w:val="nil"/>
              <w:right w:val="nil"/>
            </w:tcBorders>
            <w:vAlign w:val="bottom"/>
          </w:tcPr>
          <w:p w14:paraId="643A9626" w14:textId="6FE298C3" w:rsidR="002411D3" w:rsidRPr="00F36B82" w:rsidRDefault="002411D3" w:rsidP="00F36B82">
            <w:pPr>
              <w:jc w:val="right"/>
              <w:rPr>
                <w:sz w:val="14"/>
                <w:szCs w:val="14"/>
              </w:rPr>
            </w:pPr>
            <w:r w:rsidRPr="00F36B82">
              <w:rPr>
                <w:color w:val="000000"/>
                <w:sz w:val="14"/>
                <w:szCs w:val="14"/>
              </w:rPr>
              <w:t>-</w:t>
            </w:r>
          </w:p>
        </w:tc>
      </w:tr>
      <w:tr w:rsidR="002411D3" w:rsidRPr="00F36B82" w14:paraId="213A02CE" w14:textId="77777777" w:rsidTr="00F36B82">
        <w:trPr>
          <w:trHeight w:val="133"/>
        </w:trPr>
        <w:tc>
          <w:tcPr>
            <w:tcW w:w="98" w:type="pct"/>
          </w:tcPr>
          <w:p w14:paraId="1321587D" w14:textId="77777777" w:rsidR="002411D3" w:rsidRPr="00F36B82" w:rsidRDefault="002411D3" w:rsidP="007A5154">
            <w:pPr>
              <w:autoSpaceDE w:val="0"/>
              <w:autoSpaceDN w:val="0"/>
              <w:adjustRightInd w:val="0"/>
              <w:ind w:left="180" w:hanging="180"/>
              <w:rPr>
                <w:rFonts w:eastAsia="Arial Unicode MS"/>
                <w:sz w:val="14"/>
                <w:szCs w:val="14"/>
              </w:rPr>
            </w:pPr>
            <w:r w:rsidRPr="00F36B82">
              <w:rPr>
                <w:rFonts w:eastAsia="Arial Unicode MS"/>
                <w:sz w:val="14"/>
                <w:szCs w:val="14"/>
              </w:rPr>
              <w:t>4.7</w:t>
            </w:r>
          </w:p>
        </w:tc>
        <w:tc>
          <w:tcPr>
            <w:tcW w:w="528" w:type="pct"/>
            <w:vAlign w:val="bottom"/>
          </w:tcPr>
          <w:p w14:paraId="014C74FA" w14:textId="77777777" w:rsidR="002411D3" w:rsidRPr="00F36B82" w:rsidRDefault="002411D3" w:rsidP="002411D3">
            <w:pPr>
              <w:rPr>
                <w:color w:val="000000"/>
                <w:sz w:val="14"/>
                <w:szCs w:val="14"/>
              </w:rPr>
            </w:pPr>
            <w:r w:rsidRPr="00F36B82">
              <w:rPr>
                <w:color w:val="000000"/>
                <w:sz w:val="14"/>
                <w:szCs w:val="14"/>
              </w:rPr>
              <w:t xml:space="preserve">   Eğitim Hizmetleri</w:t>
            </w:r>
          </w:p>
        </w:tc>
        <w:tc>
          <w:tcPr>
            <w:tcW w:w="240" w:type="pct"/>
            <w:tcBorders>
              <w:top w:val="nil"/>
              <w:left w:val="nil"/>
              <w:bottom w:val="nil"/>
              <w:right w:val="nil"/>
            </w:tcBorders>
            <w:vAlign w:val="bottom"/>
          </w:tcPr>
          <w:p w14:paraId="6D304BD2" w14:textId="444DDABF" w:rsidR="002411D3" w:rsidRPr="00F36B82" w:rsidRDefault="002411D3" w:rsidP="00F36B82">
            <w:pPr>
              <w:jc w:val="right"/>
              <w:rPr>
                <w:sz w:val="14"/>
                <w:szCs w:val="14"/>
              </w:rPr>
            </w:pPr>
            <w:r w:rsidRPr="00F36B82">
              <w:rPr>
                <w:color w:val="000000"/>
                <w:sz w:val="14"/>
                <w:szCs w:val="14"/>
              </w:rPr>
              <w:t>-</w:t>
            </w:r>
          </w:p>
        </w:tc>
        <w:tc>
          <w:tcPr>
            <w:tcW w:w="156" w:type="pct"/>
            <w:tcBorders>
              <w:top w:val="nil"/>
              <w:left w:val="nil"/>
              <w:bottom w:val="nil"/>
              <w:right w:val="nil"/>
            </w:tcBorders>
            <w:vAlign w:val="bottom"/>
          </w:tcPr>
          <w:p w14:paraId="70D9AF8C" w14:textId="6306380A" w:rsidR="002411D3" w:rsidRPr="00F36B82" w:rsidRDefault="002411D3" w:rsidP="00F36B82">
            <w:pPr>
              <w:jc w:val="right"/>
              <w:rPr>
                <w:sz w:val="14"/>
                <w:szCs w:val="14"/>
              </w:rPr>
            </w:pPr>
            <w:r w:rsidRPr="00F36B82">
              <w:rPr>
                <w:color w:val="000000"/>
                <w:sz w:val="14"/>
                <w:szCs w:val="14"/>
              </w:rPr>
              <w:t>-</w:t>
            </w:r>
          </w:p>
        </w:tc>
        <w:tc>
          <w:tcPr>
            <w:tcW w:w="173" w:type="pct"/>
            <w:tcBorders>
              <w:top w:val="nil"/>
              <w:left w:val="nil"/>
              <w:bottom w:val="nil"/>
              <w:right w:val="nil"/>
            </w:tcBorders>
            <w:vAlign w:val="bottom"/>
          </w:tcPr>
          <w:p w14:paraId="6A3087C4" w14:textId="352342D0" w:rsidR="002411D3" w:rsidRPr="00F36B82" w:rsidRDefault="002411D3" w:rsidP="00F36B82">
            <w:pPr>
              <w:jc w:val="right"/>
              <w:rPr>
                <w:sz w:val="14"/>
                <w:szCs w:val="14"/>
              </w:rPr>
            </w:pPr>
            <w:r w:rsidRPr="00F36B82">
              <w:rPr>
                <w:color w:val="000000"/>
                <w:sz w:val="14"/>
                <w:szCs w:val="14"/>
              </w:rPr>
              <w:t>-</w:t>
            </w:r>
          </w:p>
        </w:tc>
        <w:tc>
          <w:tcPr>
            <w:tcW w:w="100" w:type="pct"/>
            <w:tcBorders>
              <w:top w:val="nil"/>
              <w:left w:val="nil"/>
              <w:bottom w:val="nil"/>
              <w:right w:val="nil"/>
            </w:tcBorders>
            <w:vAlign w:val="bottom"/>
          </w:tcPr>
          <w:p w14:paraId="62D5586C" w14:textId="7F300762" w:rsidR="002411D3" w:rsidRPr="00F36B82" w:rsidRDefault="002411D3" w:rsidP="00F36B82">
            <w:pPr>
              <w:jc w:val="right"/>
              <w:rPr>
                <w:sz w:val="14"/>
                <w:szCs w:val="14"/>
              </w:rPr>
            </w:pPr>
            <w:r w:rsidRPr="00F36B82">
              <w:rPr>
                <w:color w:val="000000"/>
                <w:sz w:val="14"/>
                <w:szCs w:val="14"/>
              </w:rPr>
              <w:t>-</w:t>
            </w:r>
          </w:p>
        </w:tc>
        <w:tc>
          <w:tcPr>
            <w:tcW w:w="224" w:type="pct"/>
            <w:tcBorders>
              <w:top w:val="nil"/>
              <w:left w:val="nil"/>
              <w:bottom w:val="nil"/>
              <w:right w:val="nil"/>
            </w:tcBorders>
            <w:vAlign w:val="bottom"/>
          </w:tcPr>
          <w:p w14:paraId="2DAE087E" w14:textId="1BDC89A2" w:rsidR="002411D3" w:rsidRPr="00F36B82" w:rsidRDefault="002411D3" w:rsidP="00F36B82">
            <w:pPr>
              <w:jc w:val="right"/>
              <w:rPr>
                <w:sz w:val="14"/>
                <w:szCs w:val="14"/>
              </w:rPr>
            </w:pPr>
            <w:r w:rsidRPr="00F36B82">
              <w:rPr>
                <w:color w:val="000000"/>
                <w:sz w:val="14"/>
                <w:szCs w:val="14"/>
              </w:rPr>
              <w:t>-</w:t>
            </w:r>
          </w:p>
        </w:tc>
        <w:tc>
          <w:tcPr>
            <w:tcW w:w="240" w:type="pct"/>
            <w:tcBorders>
              <w:top w:val="nil"/>
              <w:left w:val="nil"/>
              <w:bottom w:val="nil"/>
              <w:right w:val="nil"/>
            </w:tcBorders>
            <w:vAlign w:val="bottom"/>
          </w:tcPr>
          <w:p w14:paraId="08889AC6" w14:textId="6185966C" w:rsidR="002411D3" w:rsidRPr="00F36B82" w:rsidRDefault="002411D3" w:rsidP="00F36B82">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7BA65EF7" w14:textId="60842AB6" w:rsidR="002411D3" w:rsidRPr="00F36B82" w:rsidRDefault="002411D3" w:rsidP="00F36B82">
            <w:pPr>
              <w:jc w:val="right"/>
              <w:rPr>
                <w:sz w:val="14"/>
                <w:szCs w:val="14"/>
              </w:rPr>
            </w:pPr>
            <w:r w:rsidRPr="00F36B82">
              <w:rPr>
                <w:color w:val="000000"/>
                <w:sz w:val="14"/>
                <w:szCs w:val="14"/>
              </w:rPr>
              <w:t>2.465</w:t>
            </w:r>
          </w:p>
        </w:tc>
        <w:tc>
          <w:tcPr>
            <w:tcW w:w="220" w:type="pct"/>
            <w:tcBorders>
              <w:top w:val="nil"/>
              <w:left w:val="nil"/>
              <w:bottom w:val="nil"/>
              <w:right w:val="nil"/>
            </w:tcBorders>
            <w:vAlign w:val="bottom"/>
          </w:tcPr>
          <w:p w14:paraId="38961D0C" w14:textId="1DF20802" w:rsidR="002411D3" w:rsidRPr="00F36B82" w:rsidRDefault="002411D3" w:rsidP="00F36B82">
            <w:pPr>
              <w:jc w:val="right"/>
              <w:rPr>
                <w:sz w:val="14"/>
                <w:szCs w:val="14"/>
              </w:rPr>
            </w:pPr>
            <w:r w:rsidRPr="00F36B82">
              <w:rPr>
                <w:color w:val="000000"/>
                <w:sz w:val="14"/>
                <w:szCs w:val="14"/>
              </w:rPr>
              <w:t>-</w:t>
            </w:r>
          </w:p>
        </w:tc>
        <w:tc>
          <w:tcPr>
            <w:tcW w:w="201" w:type="pct"/>
            <w:tcBorders>
              <w:top w:val="nil"/>
              <w:left w:val="nil"/>
              <w:bottom w:val="nil"/>
              <w:right w:val="nil"/>
            </w:tcBorders>
            <w:vAlign w:val="bottom"/>
          </w:tcPr>
          <w:p w14:paraId="71E51DD0" w14:textId="074AE9BD" w:rsidR="002411D3" w:rsidRPr="00F36B82" w:rsidRDefault="002411D3" w:rsidP="00F36B82">
            <w:pPr>
              <w:jc w:val="right"/>
              <w:rPr>
                <w:sz w:val="14"/>
                <w:szCs w:val="14"/>
              </w:rPr>
            </w:pPr>
            <w:r w:rsidRPr="00F36B82">
              <w:rPr>
                <w:color w:val="000000"/>
                <w:sz w:val="14"/>
                <w:szCs w:val="14"/>
              </w:rPr>
              <w:t>-</w:t>
            </w:r>
          </w:p>
        </w:tc>
        <w:tc>
          <w:tcPr>
            <w:tcW w:w="142" w:type="pct"/>
            <w:tcBorders>
              <w:top w:val="nil"/>
              <w:left w:val="nil"/>
              <w:bottom w:val="nil"/>
              <w:right w:val="nil"/>
            </w:tcBorders>
            <w:vAlign w:val="bottom"/>
          </w:tcPr>
          <w:p w14:paraId="7DB5A733" w14:textId="7056DC81" w:rsidR="002411D3" w:rsidRPr="00F36B82" w:rsidRDefault="002411D3" w:rsidP="00F36B82">
            <w:pPr>
              <w:jc w:val="right"/>
              <w:rPr>
                <w:sz w:val="14"/>
                <w:szCs w:val="14"/>
              </w:rPr>
            </w:pPr>
            <w:r w:rsidRPr="00F36B82">
              <w:rPr>
                <w:color w:val="000000"/>
                <w:sz w:val="14"/>
                <w:szCs w:val="14"/>
              </w:rPr>
              <w:t>-</w:t>
            </w:r>
          </w:p>
        </w:tc>
        <w:tc>
          <w:tcPr>
            <w:tcW w:w="220" w:type="pct"/>
            <w:tcBorders>
              <w:top w:val="nil"/>
              <w:left w:val="nil"/>
              <w:bottom w:val="nil"/>
              <w:right w:val="nil"/>
            </w:tcBorders>
            <w:vAlign w:val="bottom"/>
          </w:tcPr>
          <w:p w14:paraId="3CDC4C6F" w14:textId="370BA8F7" w:rsidR="002411D3" w:rsidRPr="00F36B82" w:rsidRDefault="002411D3" w:rsidP="00F36B82">
            <w:pPr>
              <w:jc w:val="right"/>
              <w:rPr>
                <w:sz w:val="14"/>
                <w:szCs w:val="14"/>
              </w:rPr>
            </w:pPr>
            <w:r w:rsidRPr="00F36B82">
              <w:rPr>
                <w:color w:val="000000"/>
                <w:sz w:val="14"/>
                <w:szCs w:val="14"/>
              </w:rPr>
              <w:t>-</w:t>
            </w:r>
          </w:p>
        </w:tc>
        <w:tc>
          <w:tcPr>
            <w:tcW w:w="159" w:type="pct"/>
            <w:tcBorders>
              <w:top w:val="nil"/>
              <w:left w:val="nil"/>
              <w:bottom w:val="nil"/>
              <w:right w:val="nil"/>
            </w:tcBorders>
            <w:vAlign w:val="bottom"/>
          </w:tcPr>
          <w:p w14:paraId="6A6D105E" w14:textId="0ADBAAA4"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7519E260" w14:textId="0AF87A6C"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7D0E8338" w14:textId="54E00A54"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30CCEF69" w14:textId="3E109E66"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4109508F" w14:textId="03E90213"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1D644762" w14:textId="53241DDC" w:rsidR="002411D3" w:rsidRPr="00F36B82" w:rsidRDefault="002411D3" w:rsidP="00F36B82">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2B132E61" w14:textId="5DD7A2A5" w:rsidR="002411D3" w:rsidRPr="00F36B82" w:rsidRDefault="002411D3" w:rsidP="00F36B82">
            <w:pPr>
              <w:jc w:val="right"/>
              <w:rPr>
                <w:sz w:val="14"/>
                <w:szCs w:val="14"/>
              </w:rPr>
            </w:pPr>
            <w:r w:rsidRPr="00F36B82">
              <w:rPr>
                <w:color w:val="000000"/>
                <w:sz w:val="14"/>
                <w:szCs w:val="14"/>
              </w:rPr>
              <w:t>2.465</w:t>
            </w:r>
          </w:p>
        </w:tc>
        <w:tc>
          <w:tcPr>
            <w:tcW w:w="272" w:type="pct"/>
            <w:tcBorders>
              <w:top w:val="nil"/>
              <w:left w:val="nil"/>
              <w:bottom w:val="nil"/>
              <w:right w:val="nil"/>
            </w:tcBorders>
            <w:vAlign w:val="bottom"/>
          </w:tcPr>
          <w:p w14:paraId="19E7066C" w14:textId="4D7101F6" w:rsidR="002411D3" w:rsidRPr="00F36B82" w:rsidRDefault="002411D3" w:rsidP="00F36B82">
            <w:pPr>
              <w:jc w:val="right"/>
              <w:rPr>
                <w:sz w:val="14"/>
                <w:szCs w:val="14"/>
              </w:rPr>
            </w:pPr>
            <w:r w:rsidRPr="00F36B82">
              <w:rPr>
                <w:color w:val="000000"/>
                <w:sz w:val="14"/>
                <w:szCs w:val="14"/>
              </w:rPr>
              <w:t>-</w:t>
            </w:r>
          </w:p>
        </w:tc>
        <w:tc>
          <w:tcPr>
            <w:tcW w:w="271" w:type="pct"/>
            <w:tcBorders>
              <w:top w:val="nil"/>
              <w:left w:val="nil"/>
              <w:bottom w:val="nil"/>
              <w:right w:val="nil"/>
            </w:tcBorders>
            <w:vAlign w:val="bottom"/>
          </w:tcPr>
          <w:p w14:paraId="4EEE2624" w14:textId="595774D2" w:rsidR="002411D3" w:rsidRPr="00F36B82" w:rsidRDefault="002411D3" w:rsidP="00F36B82">
            <w:pPr>
              <w:jc w:val="right"/>
              <w:rPr>
                <w:sz w:val="14"/>
                <w:szCs w:val="14"/>
              </w:rPr>
            </w:pPr>
            <w:r w:rsidRPr="00F36B82">
              <w:rPr>
                <w:color w:val="000000"/>
                <w:sz w:val="14"/>
                <w:szCs w:val="14"/>
              </w:rPr>
              <w:t>2.465</w:t>
            </w:r>
          </w:p>
        </w:tc>
      </w:tr>
      <w:tr w:rsidR="002411D3" w:rsidRPr="00F36B82" w14:paraId="6A2A7132" w14:textId="77777777" w:rsidTr="00F36B82">
        <w:trPr>
          <w:trHeight w:val="133"/>
        </w:trPr>
        <w:tc>
          <w:tcPr>
            <w:tcW w:w="98" w:type="pct"/>
          </w:tcPr>
          <w:p w14:paraId="498A5680" w14:textId="77777777" w:rsidR="002411D3" w:rsidRPr="00F36B82" w:rsidRDefault="002411D3" w:rsidP="007A5154">
            <w:pPr>
              <w:autoSpaceDE w:val="0"/>
              <w:autoSpaceDN w:val="0"/>
              <w:adjustRightInd w:val="0"/>
              <w:ind w:left="112" w:hanging="112"/>
              <w:rPr>
                <w:rFonts w:eastAsia="Arial Unicode MS"/>
                <w:sz w:val="14"/>
                <w:szCs w:val="14"/>
              </w:rPr>
            </w:pPr>
            <w:r w:rsidRPr="00F36B82">
              <w:rPr>
                <w:rFonts w:eastAsia="Arial Unicode MS"/>
                <w:sz w:val="14"/>
                <w:szCs w:val="14"/>
              </w:rPr>
              <w:t>4.8</w:t>
            </w:r>
          </w:p>
        </w:tc>
        <w:tc>
          <w:tcPr>
            <w:tcW w:w="528" w:type="pct"/>
            <w:vAlign w:val="bottom"/>
          </w:tcPr>
          <w:p w14:paraId="5B255925" w14:textId="77777777" w:rsidR="002411D3" w:rsidRPr="00F36B82" w:rsidRDefault="002411D3" w:rsidP="002411D3">
            <w:pPr>
              <w:rPr>
                <w:color w:val="000000"/>
                <w:sz w:val="14"/>
                <w:szCs w:val="14"/>
              </w:rPr>
            </w:pPr>
            <w:r w:rsidRPr="00F36B82">
              <w:rPr>
                <w:color w:val="000000"/>
                <w:sz w:val="14"/>
                <w:szCs w:val="14"/>
              </w:rPr>
              <w:t xml:space="preserve">   Sağlık ve Sosyal Hizmetler</w:t>
            </w:r>
          </w:p>
        </w:tc>
        <w:tc>
          <w:tcPr>
            <w:tcW w:w="240" w:type="pct"/>
            <w:tcBorders>
              <w:top w:val="nil"/>
              <w:left w:val="nil"/>
              <w:bottom w:val="nil"/>
              <w:right w:val="nil"/>
            </w:tcBorders>
            <w:vAlign w:val="bottom"/>
          </w:tcPr>
          <w:p w14:paraId="42D9C8D1" w14:textId="505AE506" w:rsidR="002411D3" w:rsidRPr="00F36B82" w:rsidRDefault="002411D3" w:rsidP="00F36B82">
            <w:pPr>
              <w:jc w:val="right"/>
              <w:rPr>
                <w:sz w:val="14"/>
                <w:szCs w:val="14"/>
              </w:rPr>
            </w:pPr>
            <w:r w:rsidRPr="00F36B82">
              <w:rPr>
                <w:color w:val="000000"/>
                <w:sz w:val="14"/>
                <w:szCs w:val="14"/>
              </w:rPr>
              <w:t>-</w:t>
            </w:r>
          </w:p>
        </w:tc>
        <w:tc>
          <w:tcPr>
            <w:tcW w:w="156" w:type="pct"/>
            <w:tcBorders>
              <w:top w:val="nil"/>
              <w:left w:val="nil"/>
              <w:bottom w:val="nil"/>
              <w:right w:val="nil"/>
            </w:tcBorders>
            <w:vAlign w:val="bottom"/>
          </w:tcPr>
          <w:p w14:paraId="37F9D4BD" w14:textId="05B92CFA" w:rsidR="002411D3" w:rsidRPr="00F36B82" w:rsidRDefault="002411D3" w:rsidP="00F36B82">
            <w:pPr>
              <w:jc w:val="right"/>
              <w:rPr>
                <w:sz w:val="14"/>
                <w:szCs w:val="14"/>
              </w:rPr>
            </w:pPr>
            <w:r w:rsidRPr="00F36B82">
              <w:rPr>
                <w:color w:val="000000"/>
                <w:sz w:val="14"/>
                <w:szCs w:val="14"/>
              </w:rPr>
              <w:t>-</w:t>
            </w:r>
          </w:p>
        </w:tc>
        <w:tc>
          <w:tcPr>
            <w:tcW w:w="173" w:type="pct"/>
            <w:tcBorders>
              <w:top w:val="nil"/>
              <w:left w:val="nil"/>
              <w:bottom w:val="nil"/>
              <w:right w:val="nil"/>
            </w:tcBorders>
            <w:vAlign w:val="bottom"/>
          </w:tcPr>
          <w:p w14:paraId="06633633" w14:textId="7689C1FC" w:rsidR="002411D3" w:rsidRPr="00F36B82" w:rsidRDefault="002411D3" w:rsidP="00F36B82">
            <w:pPr>
              <w:jc w:val="right"/>
              <w:rPr>
                <w:sz w:val="14"/>
                <w:szCs w:val="14"/>
              </w:rPr>
            </w:pPr>
            <w:r w:rsidRPr="00F36B82">
              <w:rPr>
                <w:color w:val="000000"/>
                <w:sz w:val="14"/>
                <w:szCs w:val="14"/>
              </w:rPr>
              <w:t>-</w:t>
            </w:r>
          </w:p>
        </w:tc>
        <w:tc>
          <w:tcPr>
            <w:tcW w:w="100" w:type="pct"/>
            <w:tcBorders>
              <w:top w:val="nil"/>
              <w:left w:val="nil"/>
              <w:bottom w:val="nil"/>
              <w:right w:val="nil"/>
            </w:tcBorders>
            <w:vAlign w:val="bottom"/>
          </w:tcPr>
          <w:p w14:paraId="2722E658" w14:textId="49B37D30" w:rsidR="002411D3" w:rsidRPr="00F36B82" w:rsidRDefault="002411D3" w:rsidP="00F36B82">
            <w:pPr>
              <w:jc w:val="right"/>
              <w:rPr>
                <w:sz w:val="14"/>
                <w:szCs w:val="14"/>
              </w:rPr>
            </w:pPr>
            <w:r w:rsidRPr="00F36B82">
              <w:rPr>
                <w:color w:val="000000"/>
                <w:sz w:val="14"/>
                <w:szCs w:val="14"/>
              </w:rPr>
              <w:t>-</w:t>
            </w:r>
          </w:p>
        </w:tc>
        <w:tc>
          <w:tcPr>
            <w:tcW w:w="224" w:type="pct"/>
            <w:tcBorders>
              <w:top w:val="nil"/>
              <w:left w:val="nil"/>
              <w:bottom w:val="nil"/>
              <w:right w:val="nil"/>
            </w:tcBorders>
            <w:vAlign w:val="bottom"/>
          </w:tcPr>
          <w:p w14:paraId="00EB9112" w14:textId="0E9F4053" w:rsidR="002411D3" w:rsidRPr="00F36B82" w:rsidRDefault="002411D3" w:rsidP="00F36B82">
            <w:pPr>
              <w:jc w:val="right"/>
              <w:rPr>
                <w:sz w:val="14"/>
                <w:szCs w:val="14"/>
              </w:rPr>
            </w:pPr>
            <w:r w:rsidRPr="00F36B82">
              <w:rPr>
                <w:color w:val="000000"/>
                <w:sz w:val="14"/>
                <w:szCs w:val="14"/>
              </w:rPr>
              <w:t>-</w:t>
            </w:r>
          </w:p>
        </w:tc>
        <w:tc>
          <w:tcPr>
            <w:tcW w:w="240" w:type="pct"/>
            <w:tcBorders>
              <w:top w:val="nil"/>
              <w:left w:val="nil"/>
              <w:bottom w:val="nil"/>
              <w:right w:val="nil"/>
            </w:tcBorders>
            <w:vAlign w:val="bottom"/>
          </w:tcPr>
          <w:p w14:paraId="6828FD82" w14:textId="79ED5E3D" w:rsidR="002411D3" w:rsidRPr="00F36B82" w:rsidRDefault="002411D3" w:rsidP="00F36B82">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0792573F" w14:textId="545FE4D8" w:rsidR="002411D3" w:rsidRPr="00F36B82" w:rsidRDefault="002411D3" w:rsidP="00F36B82">
            <w:pPr>
              <w:jc w:val="right"/>
              <w:rPr>
                <w:sz w:val="14"/>
                <w:szCs w:val="14"/>
              </w:rPr>
            </w:pPr>
            <w:r w:rsidRPr="00F36B82">
              <w:rPr>
                <w:color w:val="000000"/>
                <w:sz w:val="14"/>
                <w:szCs w:val="14"/>
              </w:rPr>
              <w:t>192.262</w:t>
            </w:r>
          </w:p>
        </w:tc>
        <w:tc>
          <w:tcPr>
            <w:tcW w:w="220" w:type="pct"/>
            <w:tcBorders>
              <w:top w:val="nil"/>
              <w:left w:val="nil"/>
              <w:bottom w:val="nil"/>
              <w:right w:val="nil"/>
            </w:tcBorders>
            <w:vAlign w:val="bottom"/>
          </w:tcPr>
          <w:p w14:paraId="1429C3DC" w14:textId="5737A716" w:rsidR="002411D3" w:rsidRPr="00F36B82" w:rsidRDefault="002411D3" w:rsidP="00F36B82">
            <w:pPr>
              <w:jc w:val="right"/>
              <w:rPr>
                <w:sz w:val="14"/>
                <w:szCs w:val="14"/>
              </w:rPr>
            </w:pPr>
            <w:r w:rsidRPr="00F36B82">
              <w:rPr>
                <w:color w:val="000000"/>
                <w:sz w:val="14"/>
                <w:szCs w:val="14"/>
              </w:rPr>
              <w:t>-</w:t>
            </w:r>
          </w:p>
        </w:tc>
        <w:tc>
          <w:tcPr>
            <w:tcW w:w="201" w:type="pct"/>
            <w:tcBorders>
              <w:top w:val="nil"/>
              <w:left w:val="nil"/>
              <w:bottom w:val="nil"/>
              <w:right w:val="nil"/>
            </w:tcBorders>
            <w:vAlign w:val="bottom"/>
          </w:tcPr>
          <w:p w14:paraId="214B9CB3" w14:textId="00EF7CC3" w:rsidR="002411D3" w:rsidRPr="00F36B82" w:rsidRDefault="002411D3" w:rsidP="00F36B82">
            <w:pPr>
              <w:jc w:val="right"/>
              <w:rPr>
                <w:sz w:val="14"/>
                <w:szCs w:val="14"/>
              </w:rPr>
            </w:pPr>
            <w:r w:rsidRPr="00F36B82">
              <w:rPr>
                <w:color w:val="000000"/>
                <w:sz w:val="14"/>
                <w:szCs w:val="14"/>
              </w:rPr>
              <w:t>5.000</w:t>
            </w:r>
          </w:p>
        </w:tc>
        <w:tc>
          <w:tcPr>
            <w:tcW w:w="142" w:type="pct"/>
            <w:tcBorders>
              <w:top w:val="nil"/>
              <w:left w:val="nil"/>
              <w:bottom w:val="nil"/>
              <w:right w:val="nil"/>
            </w:tcBorders>
            <w:vAlign w:val="bottom"/>
          </w:tcPr>
          <w:p w14:paraId="6CC74755" w14:textId="3DCB314F" w:rsidR="002411D3" w:rsidRPr="00F36B82" w:rsidRDefault="002411D3" w:rsidP="00F36B82">
            <w:pPr>
              <w:jc w:val="right"/>
              <w:rPr>
                <w:sz w:val="14"/>
                <w:szCs w:val="14"/>
              </w:rPr>
            </w:pPr>
            <w:r w:rsidRPr="00F36B82">
              <w:rPr>
                <w:color w:val="000000"/>
                <w:sz w:val="14"/>
                <w:szCs w:val="14"/>
              </w:rPr>
              <w:t>-</w:t>
            </w:r>
          </w:p>
        </w:tc>
        <w:tc>
          <w:tcPr>
            <w:tcW w:w="220" w:type="pct"/>
            <w:tcBorders>
              <w:top w:val="nil"/>
              <w:left w:val="nil"/>
              <w:bottom w:val="nil"/>
              <w:right w:val="nil"/>
            </w:tcBorders>
            <w:vAlign w:val="bottom"/>
          </w:tcPr>
          <w:p w14:paraId="34086C95" w14:textId="360C507E" w:rsidR="002411D3" w:rsidRPr="00F36B82" w:rsidRDefault="002411D3" w:rsidP="00F36B82">
            <w:pPr>
              <w:jc w:val="right"/>
              <w:rPr>
                <w:sz w:val="14"/>
                <w:szCs w:val="14"/>
              </w:rPr>
            </w:pPr>
            <w:r w:rsidRPr="00F36B82">
              <w:rPr>
                <w:color w:val="000000"/>
                <w:sz w:val="14"/>
                <w:szCs w:val="14"/>
              </w:rPr>
              <w:t>-</w:t>
            </w:r>
          </w:p>
        </w:tc>
        <w:tc>
          <w:tcPr>
            <w:tcW w:w="159" w:type="pct"/>
            <w:tcBorders>
              <w:top w:val="nil"/>
              <w:left w:val="nil"/>
              <w:bottom w:val="nil"/>
              <w:right w:val="nil"/>
            </w:tcBorders>
            <w:vAlign w:val="bottom"/>
          </w:tcPr>
          <w:p w14:paraId="423A6EC3" w14:textId="60F7656A"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56B8187D" w14:textId="5D69A82C"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6F905198" w14:textId="07160D46"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0E971A6D" w14:textId="6EB0BA6F"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55DD71C8" w14:textId="00810DC3" w:rsidR="002411D3" w:rsidRPr="00F36B82" w:rsidRDefault="002411D3" w:rsidP="00F36B82">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2B62E99D" w14:textId="129DF6B6" w:rsidR="002411D3" w:rsidRPr="00F36B82" w:rsidRDefault="002411D3" w:rsidP="00F36B82">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0CA8EB5A" w14:textId="312E9244" w:rsidR="002411D3" w:rsidRPr="00F36B82" w:rsidRDefault="002411D3" w:rsidP="00F36B82">
            <w:pPr>
              <w:jc w:val="right"/>
              <w:rPr>
                <w:sz w:val="14"/>
                <w:szCs w:val="14"/>
              </w:rPr>
            </w:pPr>
            <w:r w:rsidRPr="00F36B82">
              <w:rPr>
                <w:color w:val="000000"/>
                <w:sz w:val="14"/>
                <w:szCs w:val="14"/>
              </w:rPr>
              <w:t>180.879</w:t>
            </w:r>
          </w:p>
        </w:tc>
        <w:tc>
          <w:tcPr>
            <w:tcW w:w="272" w:type="pct"/>
            <w:tcBorders>
              <w:top w:val="nil"/>
              <w:left w:val="nil"/>
              <w:bottom w:val="nil"/>
              <w:right w:val="nil"/>
            </w:tcBorders>
            <w:vAlign w:val="bottom"/>
          </w:tcPr>
          <w:p w14:paraId="4759A1D4" w14:textId="4BAD264A" w:rsidR="002411D3" w:rsidRPr="00F36B82" w:rsidRDefault="002411D3" w:rsidP="00F36B82">
            <w:pPr>
              <w:jc w:val="right"/>
              <w:rPr>
                <w:sz w:val="14"/>
                <w:szCs w:val="14"/>
              </w:rPr>
            </w:pPr>
            <w:r w:rsidRPr="00F36B82">
              <w:rPr>
                <w:color w:val="000000"/>
                <w:sz w:val="14"/>
                <w:szCs w:val="14"/>
              </w:rPr>
              <w:t>16.383</w:t>
            </w:r>
          </w:p>
        </w:tc>
        <w:tc>
          <w:tcPr>
            <w:tcW w:w="271" w:type="pct"/>
            <w:tcBorders>
              <w:top w:val="nil"/>
              <w:left w:val="nil"/>
              <w:bottom w:val="nil"/>
              <w:right w:val="nil"/>
            </w:tcBorders>
            <w:vAlign w:val="bottom"/>
          </w:tcPr>
          <w:p w14:paraId="54A21C74" w14:textId="1922A067" w:rsidR="002411D3" w:rsidRPr="00F36B82" w:rsidRDefault="002411D3" w:rsidP="00F36B82">
            <w:pPr>
              <w:jc w:val="right"/>
              <w:rPr>
                <w:sz w:val="14"/>
                <w:szCs w:val="14"/>
              </w:rPr>
            </w:pPr>
            <w:r w:rsidRPr="00F36B82">
              <w:rPr>
                <w:color w:val="000000"/>
                <w:sz w:val="14"/>
                <w:szCs w:val="14"/>
              </w:rPr>
              <w:t>197.262</w:t>
            </w:r>
          </w:p>
        </w:tc>
      </w:tr>
      <w:tr w:rsidR="002411D3" w:rsidRPr="00F36B82" w14:paraId="6F17A9DA" w14:textId="77777777" w:rsidTr="00F36B82">
        <w:trPr>
          <w:trHeight w:val="131"/>
        </w:trPr>
        <w:tc>
          <w:tcPr>
            <w:tcW w:w="98" w:type="pct"/>
            <w:tcBorders>
              <w:bottom w:val="single" w:sz="4" w:space="0" w:color="auto"/>
            </w:tcBorders>
          </w:tcPr>
          <w:p w14:paraId="794569F2" w14:textId="77777777" w:rsidR="002411D3" w:rsidRPr="00F36B82" w:rsidRDefault="002411D3" w:rsidP="007A5154">
            <w:pPr>
              <w:autoSpaceDE w:val="0"/>
              <w:autoSpaceDN w:val="0"/>
              <w:adjustRightInd w:val="0"/>
              <w:rPr>
                <w:rFonts w:eastAsia="Arial Unicode MS"/>
                <w:b/>
                <w:sz w:val="14"/>
                <w:szCs w:val="14"/>
              </w:rPr>
            </w:pPr>
            <w:r w:rsidRPr="00F36B82">
              <w:rPr>
                <w:rFonts w:eastAsia="Arial Unicode MS"/>
                <w:b/>
                <w:sz w:val="14"/>
                <w:szCs w:val="14"/>
              </w:rPr>
              <w:t>5</w:t>
            </w:r>
          </w:p>
        </w:tc>
        <w:tc>
          <w:tcPr>
            <w:tcW w:w="528" w:type="pct"/>
            <w:tcBorders>
              <w:bottom w:val="single" w:sz="4" w:space="0" w:color="auto"/>
            </w:tcBorders>
            <w:vAlign w:val="bottom"/>
          </w:tcPr>
          <w:p w14:paraId="76FE607F" w14:textId="77777777" w:rsidR="002411D3" w:rsidRPr="00F36B82" w:rsidRDefault="002411D3" w:rsidP="002411D3">
            <w:pPr>
              <w:rPr>
                <w:b/>
                <w:bCs/>
                <w:color w:val="000000"/>
                <w:sz w:val="14"/>
                <w:szCs w:val="14"/>
              </w:rPr>
            </w:pPr>
            <w:r w:rsidRPr="00F36B82">
              <w:rPr>
                <w:b/>
                <w:bCs/>
                <w:color w:val="000000"/>
                <w:sz w:val="14"/>
                <w:szCs w:val="14"/>
              </w:rPr>
              <w:t>Diğer</w:t>
            </w:r>
          </w:p>
        </w:tc>
        <w:tc>
          <w:tcPr>
            <w:tcW w:w="240" w:type="pct"/>
            <w:tcBorders>
              <w:top w:val="nil"/>
              <w:left w:val="nil"/>
              <w:bottom w:val="single" w:sz="4" w:space="0" w:color="auto"/>
              <w:right w:val="nil"/>
            </w:tcBorders>
            <w:vAlign w:val="bottom"/>
          </w:tcPr>
          <w:p w14:paraId="17C8E472" w14:textId="4D10E4E2" w:rsidR="002411D3" w:rsidRPr="00F36B82" w:rsidRDefault="002411D3" w:rsidP="00F36B82">
            <w:pPr>
              <w:jc w:val="right"/>
              <w:rPr>
                <w:b/>
                <w:sz w:val="14"/>
                <w:szCs w:val="14"/>
              </w:rPr>
            </w:pPr>
            <w:r w:rsidRPr="00F36B82">
              <w:rPr>
                <w:b/>
                <w:bCs/>
                <w:color w:val="000000"/>
                <w:sz w:val="14"/>
                <w:szCs w:val="14"/>
              </w:rPr>
              <w:t>-</w:t>
            </w:r>
          </w:p>
        </w:tc>
        <w:tc>
          <w:tcPr>
            <w:tcW w:w="156" w:type="pct"/>
            <w:tcBorders>
              <w:top w:val="nil"/>
              <w:left w:val="nil"/>
              <w:bottom w:val="single" w:sz="4" w:space="0" w:color="auto"/>
              <w:right w:val="nil"/>
            </w:tcBorders>
            <w:vAlign w:val="bottom"/>
          </w:tcPr>
          <w:p w14:paraId="10F0AA15" w14:textId="7EE5057F" w:rsidR="002411D3" w:rsidRPr="00F36B82" w:rsidRDefault="002411D3" w:rsidP="00F36B82">
            <w:pPr>
              <w:jc w:val="right"/>
              <w:rPr>
                <w:b/>
                <w:sz w:val="14"/>
                <w:szCs w:val="14"/>
              </w:rPr>
            </w:pPr>
            <w:r w:rsidRPr="00F36B82">
              <w:rPr>
                <w:b/>
                <w:bCs/>
                <w:color w:val="000000"/>
                <w:sz w:val="14"/>
                <w:szCs w:val="14"/>
              </w:rPr>
              <w:t>-</w:t>
            </w:r>
          </w:p>
        </w:tc>
        <w:tc>
          <w:tcPr>
            <w:tcW w:w="173" w:type="pct"/>
            <w:tcBorders>
              <w:top w:val="nil"/>
              <w:left w:val="nil"/>
              <w:bottom w:val="single" w:sz="4" w:space="0" w:color="auto"/>
              <w:right w:val="nil"/>
            </w:tcBorders>
            <w:vAlign w:val="bottom"/>
          </w:tcPr>
          <w:p w14:paraId="7BB991BC" w14:textId="2A4BDAE3" w:rsidR="002411D3" w:rsidRPr="00F36B82" w:rsidRDefault="002411D3" w:rsidP="00F36B82">
            <w:pPr>
              <w:jc w:val="right"/>
              <w:rPr>
                <w:b/>
                <w:sz w:val="14"/>
                <w:szCs w:val="14"/>
              </w:rPr>
            </w:pPr>
            <w:r w:rsidRPr="00F36B82">
              <w:rPr>
                <w:b/>
                <w:bCs/>
                <w:color w:val="000000"/>
                <w:sz w:val="14"/>
                <w:szCs w:val="14"/>
              </w:rPr>
              <w:t>-</w:t>
            </w:r>
          </w:p>
        </w:tc>
        <w:tc>
          <w:tcPr>
            <w:tcW w:w="100" w:type="pct"/>
            <w:tcBorders>
              <w:top w:val="nil"/>
              <w:left w:val="nil"/>
              <w:bottom w:val="single" w:sz="4" w:space="0" w:color="auto"/>
              <w:right w:val="nil"/>
            </w:tcBorders>
            <w:vAlign w:val="bottom"/>
          </w:tcPr>
          <w:p w14:paraId="1918DCA6" w14:textId="47C4DDD9" w:rsidR="002411D3" w:rsidRPr="00F36B82" w:rsidRDefault="002411D3" w:rsidP="00F36B82">
            <w:pPr>
              <w:jc w:val="right"/>
              <w:rPr>
                <w:b/>
                <w:sz w:val="14"/>
                <w:szCs w:val="14"/>
              </w:rPr>
            </w:pPr>
            <w:r w:rsidRPr="00F36B82">
              <w:rPr>
                <w:b/>
                <w:bCs/>
                <w:color w:val="000000"/>
                <w:sz w:val="14"/>
                <w:szCs w:val="14"/>
              </w:rPr>
              <w:t>-</w:t>
            </w:r>
          </w:p>
        </w:tc>
        <w:tc>
          <w:tcPr>
            <w:tcW w:w="224" w:type="pct"/>
            <w:tcBorders>
              <w:top w:val="nil"/>
              <w:left w:val="nil"/>
              <w:bottom w:val="single" w:sz="4" w:space="0" w:color="auto"/>
              <w:right w:val="nil"/>
            </w:tcBorders>
            <w:vAlign w:val="bottom"/>
          </w:tcPr>
          <w:p w14:paraId="69D58FD0" w14:textId="4CA34863" w:rsidR="002411D3" w:rsidRPr="00F36B82" w:rsidRDefault="002411D3" w:rsidP="00F36B82">
            <w:pPr>
              <w:jc w:val="right"/>
              <w:rPr>
                <w:b/>
                <w:sz w:val="14"/>
                <w:szCs w:val="14"/>
              </w:rPr>
            </w:pPr>
            <w:r w:rsidRPr="00F36B82">
              <w:rPr>
                <w:b/>
                <w:bCs/>
                <w:color w:val="000000"/>
                <w:sz w:val="14"/>
                <w:szCs w:val="14"/>
              </w:rPr>
              <w:t>-</w:t>
            </w:r>
          </w:p>
        </w:tc>
        <w:tc>
          <w:tcPr>
            <w:tcW w:w="240" w:type="pct"/>
            <w:tcBorders>
              <w:top w:val="nil"/>
              <w:left w:val="nil"/>
              <w:bottom w:val="single" w:sz="4" w:space="0" w:color="auto"/>
              <w:right w:val="nil"/>
            </w:tcBorders>
            <w:vAlign w:val="bottom"/>
          </w:tcPr>
          <w:p w14:paraId="40FB11A7" w14:textId="7F22BBEE" w:rsidR="002411D3" w:rsidRPr="00F36B82" w:rsidRDefault="002411D3" w:rsidP="00F36B82">
            <w:pPr>
              <w:jc w:val="right"/>
              <w:rPr>
                <w:b/>
                <w:sz w:val="14"/>
                <w:szCs w:val="14"/>
              </w:rPr>
            </w:pPr>
            <w:r w:rsidRPr="00F36B82">
              <w:rPr>
                <w:b/>
                <w:bCs/>
                <w:color w:val="000000"/>
                <w:sz w:val="14"/>
                <w:szCs w:val="14"/>
              </w:rPr>
              <w:t>-</w:t>
            </w:r>
          </w:p>
        </w:tc>
        <w:tc>
          <w:tcPr>
            <w:tcW w:w="268" w:type="pct"/>
            <w:tcBorders>
              <w:top w:val="nil"/>
              <w:left w:val="nil"/>
              <w:bottom w:val="single" w:sz="4" w:space="0" w:color="auto"/>
              <w:right w:val="nil"/>
            </w:tcBorders>
            <w:vAlign w:val="bottom"/>
          </w:tcPr>
          <w:p w14:paraId="7AE10D81" w14:textId="2E449906" w:rsidR="002411D3" w:rsidRPr="00F36B82" w:rsidRDefault="002411D3" w:rsidP="00F36B82">
            <w:pPr>
              <w:jc w:val="right"/>
              <w:rPr>
                <w:b/>
                <w:sz w:val="14"/>
                <w:szCs w:val="14"/>
              </w:rPr>
            </w:pPr>
            <w:r w:rsidRPr="00F36B82">
              <w:rPr>
                <w:b/>
                <w:bCs/>
                <w:color w:val="000000"/>
                <w:sz w:val="14"/>
                <w:szCs w:val="14"/>
              </w:rPr>
              <w:t>3.584.685</w:t>
            </w:r>
          </w:p>
        </w:tc>
        <w:tc>
          <w:tcPr>
            <w:tcW w:w="220" w:type="pct"/>
            <w:tcBorders>
              <w:top w:val="nil"/>
              <w:left w:val="nil"/>
              <w:bottom w:val="single" w:sz="4" w:space="0" w:color="auto"/>
              <w:right w:val="nil"/>
            </w:tcBorders>
            <w:vAlign w:val="bottom"/>
          </w:tcPr>
          <w:p w14:paraId="26D005E6" w14:textId="17638941" w:rsidR="002411D3" w:rsidRPr="00F36B82" w:rsidRDefault="002411D3" w:rsidP="00F36B82">
            <w:pPr>
              <w:jc w:val="right"/>
              <w:rPr>
                <w:b/>
                <w:sz w:val="14"/>
                <w:szCs w:val="14"/>
              </w:rPr>
            </w:pPr>
            <w:r w:rsidRPr="00F36B82">
              <w:rPr>
                <w:b/>
                <w:bCs/>
                <w:color w:val="000000"/>
                <w:sz w:val="14"/>
                <w:szCs w:val="14"/>
              </w:rPr>
              <w:t>-</w:t>
            </w:r>
          </w:p>
        </w:tc>
        <w:tc>
          <w:tcPr>
            <w:tcW w:w="201" w:type="pct"/>
            <w:tcBorders>
              <w:top w:val="nil"/>
              <w:left w:val="nil"/>
              <w:bottom w:val="single" w:sz="4" w:space="0" w:color="auto"/>
              <w:right w:val="nil"/>
            </w:tcBorders>
            <w:vAlign w:val="bottom"/>
          </w:tcPr>
          <w:p w14:paraId="157F2219" w14:textId="56ADA903" w:rsidR="002411D3" w:rsidRPr="00F36B82" w:rsidRDefault="002411D3" w:rsidP="00F36B82">
            <w:pPr>
              <w:jc w:val="right"/>
              <w:rPr>
                <w:b/>
                <w:sz w:val="14"/>
                <w:szCs w:val="14"/>
              </w:rPr>
            </w:pPr>
            <w:r w:rsidRPr="00F36B82">
              <w:rPr>
                <w:b/>
                <w:bCs/>
                <w:color w:val="000000"/>
                <w:sz w:val="14"/>
                <w:szCs w:val="14"/>
              </w:rPr>
              <w:t>627.628</w:t>
            </w:r>
          </w:p>
        </w:tc>
        <w:tc>
          <w:tcPr>
            <w:tcW w:w="142" w:type="pct"/>
            <w:tcBorders>
              <w:top w:val="nil"/>
              <w:left w:val="nil"/>
              <w:bottom w:val="single" w:sz="4" w:space="0" w:color="auto"/>
              <w:right w:val="nil"/>
            </w:tcBorders>
            <w:vAlign w:val="bottom"/>
          </w:tcPr>
          <w:p w14:paraId="494BCEE1" w14:textId="4235571A" w:rsidR="002411D3" w:rsidRPr="00F36B82" w:rsidRDefault="002411D3" w:rsidP="00F36B82">
            <w:pPr>
              <w:jc w:val="right"/>
              <w:rPr>
                <w:b/>
                <w:sz w:val="14"/>
                <w:szCs w:val="14"/>
              </w:rPr>
            </w:pPr>
            <w:r w:rsidRPr="00F36B82">
              <w:rPr>
                <w:b/>
                <w:bCs/>
                <w:color w:val="000000"/>
                <w:sz w:val="14"/>
                <w:szCs w:val="14"/>
              </w:rPr>
              <w:t>-</w:t>
            </w:r>
          </w:p>
        </w:tc>
        <w:tc>
          <w:tcPr>
            <w:tcW w:w="220" w:type="pct"/>
            <w:tcBorders>
              <w:top w:val="nil"/>
              <w:left w:val="nil"/>
              <w:bottom w:val="single" w:sz="4" w:space="0" w:color="auto"/>
              <w:right w:val="nil"/>
            </w:tcBorders>
            <w:vAlign w:val="bottom"/>
          </w:tcPr>
          <w:p w14:paraId="7C4C779C" w14:textId="3047CF5A" w:rsidR="002411D3" w:rsidRPr="00F36B82" w:rsidRDefault="002411D3" w:rsidP="00F36B82">
            <w:pPr>
              <w:jc w:val="right"/>
              <w:rPr>
                <w:b/>
                <w:sz w:val="14"/>
                <w:szCs w:val="14"/>
              </w:rPr>
            </w:pPr>
            <w:r w:rsidRPr="00F36B82">
              <w:rPr>
                <w:b/>
                <w:bCs/>
                <w:color w:val="000000"/>
                <w:sz w:val="14"/>
                <w:szCs w:val="14"/>
              </w:rPr>
              <w:t>-</w:t>
            </w:r>
          </w:p>
        </w:tc>
        <w:tc>
          <w:tcPr>
            <w:tcW w:w="159" w:type="pct"/>
            <w:tcBorders>
              <w:top w:val="nil"/>
              <w:left w:val="nil"/>
              <w:bottom w:val="single" w:sz="4" w:space="0" w:color="auto"/>
              <w:right w:val="nil"/>
            </w:tcBorders>
            <w:vAlign w:val="bottom"/>
          </w:tcPr>
          <w:p w14:paraId="1C958EC4" w14:textId="37103C72" w:rsidR="002411D3" w:rsidRPr="00F36B82" w:rsidRDefault="002411D3" w:rsidP="00F36B82">
            <w:pPr>
              <w:jc w:val="right"/>
              <w:rPr>
                <w:b/>
                <w:sz w:val="14"/>
                <w:szCs w:val="14"/>
              </w:rPr>
            </w:pPr>
            <w:r w:rsidRPr="00F36B82">
              <w:rPr>
                <w:b/>
                <w:bCs/>
                <w:color w:val="000000"/>
                <w:sz w:val="14"/>
                <w:szCs w:val="14"/>
              </w:rPr>
              <w:t>-</w:t>
            </w:r>
          </w:p>
        </w:tc>
        <w:tc>
          <w:tcPr>
            <w:tcW w:w="244" w:type="pct"/>
            <w:tcBorders>
              <w:top w:val="nil"/>
              <w:left w:val="nil"/>
              <w:bottom w:val="single" w:sz="4" w:space="0" w:color="auto"/>
              <w:right w:val="nil"/>
            </w:tcBorders>
            <w:vAlign w:val="bottom"/>
          </w:tcPr>
          <w:p w14:paraId="3092A8AE" w14:textId="61F7443B" w:rsidR="002411D3" w:rsidRPr="00F36B82" w:rsidRDefault="002411D3" w:rsidP="00F36B82">
            <w:pPr>
              <w:jc w:val="right"/>
              <w:rPr>
                <w:b/>
                <w:sz w:val="14"/>
                <w:szCs w:val="14"/>
              </w:rPr>
            </w:pPr>
            <w:r w:rsidRPr="00F36B82">
              <w:rPr>
                <w:b/>
                <w:bCs/>
                <w:color w:val="000000"/>
                <w:sz w:val="14"/>
                <w:szCs w:val="14"/>
              </w:rPr>
              <w:t>-</w:t>
            </w:r>
          </w:p>
        </w:tc>
        <w:tc>
          <w:tcPr>
            <w:tcW w:w="244" w:type="pct"/>
            <w:tcBorders>
              <w:top w:val="nil"/>
              <w:left w:val="nil"/>
              <w:bottom w:val="single" w:sz="4" w:space="0" w:color="auto"/>
              <w:right w:val="nil"/>
            </w:tcBorders>
            <w:vAlign w:val="bottom"/>
          </w:tcPr>
          <w:p w14:paraId="055DECE3" w14:textId="63EF428A" w:rsidR="002411D3" w:rsidRPr="00F36B82" w:rsidRDefault="002411D3" w:rsidP="00F36B82">
            <w:pPr>
              <w:jc w:val="right"/>
              <w:rPr>
                <w:b/>
                <w:sz w:val="14"/>
                <w:szCs w:val="14"/>
              </w:rPr>
            </w:pPr>
            <w:r w:rsidRPr="00F36B82">
              <w:rPr>
                <w:b/>
                <w:bCs/>
                <w:color w:val="000000"/>
                <w:sz w:val="14"/>
                <w:szCs w:val="14"/>
              </w:rPr>
              <w:t>-</w:t>
            </w:r>
          </w:p>
        </w:tc>
        <w:tc>
          <w:tcPr>
            <w:tcW w:w="244" w:type="pct"/>
            <w:tcBorders>
              <w:top w:val="nil"/>
              <w:left w:val="nil"/>
              <w:bottom w:val="single" w:sz="4" w:space="0" w:color="auto"/>
              <w:right w:val="nil"/>
            </w:tcBorders>
            <w:vAlign w:val="bottom"/>
          </w:tcPr>
          <w:p w14:paraId="7F55737D" w14:textId="4DEA067C" w:rsidR="002411D3" w:rsidRPr="00F36B82" w:rsidRDefault="002411D3" w:rsidP="00F36B82">
            <w:pPr>
              <w:jc w:val="right"/>
              <w:rPr>
                <w:b/>
                <w:sz w:val="14"/>
                <w:szCs w:val="14"/>
              </w:rPr>
            </w:pPr>
            <w:r w:rsidRPr="00F36B82">
              <w:rPr>
                <w:b/>
                <w:bCs/>
                <w:color w:val="000000"/>
                <w:sz w:val="14"/>
                <w:szCs w:val="14"/>
              </w:rPr>
              <w:t>1.308.897</w:t>
            </w:r>
          </w:p>
        </w:tc>
        <w:tc>
          <w:tcPr>
            <w:tcW w:w="244" w:type="pct"/>
            <w:tcBorders>
              <w:top w:val="nil"/>
              <w:left w:val="nil"/>
              <w:bottom w:val="single" w:sz="4" w:space="0" w:color="auto"/>
              <w:right w:val="nil"/>
            </w:tcBorders>
            <w:vAlign w:val="bottom"/>
          </w:tcPr>
          <w:p w14:paraId="0C3C7701" w14:textId="0CBE8647" w:rsidR="002411D3" w:rsidRPr="00F36B82" w:rsidRDefault="002411D3" w:rsidP="00F36B82">
            <w:pPr>
              <w:jc w:val="right"/>
              <w:rPr>
                <w:b/>
                <w:sz w:val="14"/>
                <w:szCs w:val="14"/>
              </w:rPr>
            </w:pPr>
            <w:r w:rsidRPr="00F36B82">
              <w:rPr>
                <w:b/>
                <w:bCs/>
                <w:color w:val="000000"/>
                <w:sz w:val="14"/>
                <w:szCs w:val="14"/>
              </w:rPr>
              <w:t>-</w:t>
            </w:r>
          </w:p>
        </w:tc>
        <w:tc>
          <w:tcPr>
            <w:tcW w:w="244" w:type="pct"/>
            <w:tcBorders>
              <w:top w:val="nil"/>
              <w:left w:val="nil"/>
              <w:bottom w:val="single" w:sz="4" w:space="0" w:color="auto"/>
              <w:right w:val="nil"/>
            </w:tcBorders>
            <w:vAlign w:val="bottom"/>
          </w:tcPr>
          <w:p w14:paraId="06AE06C2" w14:textId="10739D8C" w:rsidR="002411D3" w:rsidRPr="00F36B82" w:rsidRDefault="002411D3" w:rsidP="00F36B82">
            <w:pPr>
              <w:jc w:val="right"/>
              <w:rPr>
                <w:b/>
                <w:sz w:val="14"/>
                <w:szCs w:val="14"/>
              </w:rPr>
            </w:pPr>
            <w:r w:rsidRPr="00F36B82">
              <w:rPr>
                <w:b/>
                <w:bCs/>
                <w:color w:val="000000"/>
                <w:sz w:val="14"/>
                <w:szCs w:val="14"/>
              </w:rPr>
              <w:t>-</w:t>
            </w:r>
          </w:p>
        </w:tc>
        <w:tc>
          <w:tcPr>
            <w:tcW w:w="268" w:type="pct"/>
            <w:tcBorders>
              <w:top w:val="nil"/>
              <w:left w:val="nil"/>
              <w:bottom w:val="single" w:sz="4" w:space="0" w:color="auto"/>
              <w:right w:val="nil"/>
            </w:tcBorders>
            <w:vAlign w:val="bottom"/>
          </w:tcPr>
          <w:p w14:paraId="5D45E617" w14:textId="62208A26" w:rsidR="002411D3" w:rsidRPr="00F36B82" w:rsidRDefault="002411D3" w:rsidP="00F36B82">
            <w:pPr>
              <w:jc w:val="right"/>
              <w:rPr>
                <w:b/>
                <w:sz w:val="14"/>
                <w:szCs w:val="14"/>
              </w:rPr>
            </w:pPr>
            <w:r w:rsidRPr="00F36B82">
              <w:rPr>
                <w:b/>
                <w:bCs/>
                <w:color w:val="000000"/>
                <w:sz w:val="14"/>
                <w:szCs w:val="14"/>
              </w:rPr>
              <w:t>2.425.658</w:t>
            </w:r>
          </w:p>
        </w:tc>
        <w:tc>
          <w:tcPr>
            <w:tcW w:w="272" w:type="pct"/>
            <w:tcBorders>
              <w:top w:val="nil"/>
              <w:left w:val="nil"/>
              <w:bottom w:val="single" w:sz="4" w:space="0" w:color="auto"/>
              <w:right w:val="nil"/>
            </w:tcBorders>
            <w:vAlign w:val="bottom"/>
          </w:tcPr>
          <w:p w14:paraId="5D98E13C" w14:textId="3C847B7D" w:rsidR="002411D3" w:rsidRPr="00F36B82" w:rsidRDefault="002411D3" w:rsidP="00F36B82">
            <w:pPr>
              <w:jc w:val="right"/>
              <w:rPr>
                <w:b/>
                <w:sz w:val="14"/>
                <w:szCs w:val="14"/>
              </w:rPr>
            </w:pPr>
            <w:r w:rsidRPr="00F36B82">
              <w:rPr>
                <w:b/>
                <w:bCs/>
                <w:color w:val="000000"/>
                <w:sz w:val="14"/>
                <w:szCs w:val="14"/>
              </w:rPr>
              <w:t>3.095.552</w:t>
            </w:r>
          </w:p>
        </w:tc>
        <w:tc>
          <w:tcPr>
            <w:tcW w:w="271" w:type="pct"/>
            <w:tcBorders>
              <w:top w:val="nil"/>
              <w:left w:val="nil"/>
              <w:bottom w:val="single" w:sz="4" w:space="0" w:color="auto"/>
              <w:right w:val="nil"/>
            </w:tcBorders>
            <w:vAlign w:val="bottom"/>
          </w:tcPr>
          <w:p w14:paraId="4D05B5AE" w14:textId="3C84284E" w:rsidR="002411D3" w:rsidRPr="00F36B82" w:rsidRDefault="002411D3" w:rsidP="00F36B82">
            <w:pPr>
              <w:jc w:val="right"/>
              <w:rPr>
                <w:b/>
                <w:sz w:val="14"/>
                <w:szCs w:val="14"/>
              </w:rPr>
            </w:pPr>
            <w:r w:rsidRPr="00F36B82">
              <w:rPr>
                <w:b/>
                <w:bCs/>
                <w:color w:val="000000"/>
                <w:sz w:val="14"/>
                <w:szCs w:val="14"/>
              </w:rPr>
              <w:t>5.521.210</w:t>
            </w:r>
          </w:p>
        </w:tc>
      </w:tr>
      <w:tr w:rsidR="002411D3" w:rsidRPr="00F36B82" w14:paraId="0A6771BF" w14:textId="77777777" w:rsidTr="00F36B82">
        <w:trPr>
          <w:trHeight w:val="133"/>
        </w:trPr>
        <w:tc>
          <w:tcPr>
            <w:tcW w:w="98" w:type="pct"/>
            <w:tcBorders>
              <w:top w:val="single" w:sz="4" w:space="0" w:color="auto"/>
              <w:bottom w:val="single" w:sz="12" w:space="0" w:color="auto"/>
            </w:tcBorders>
          </w:tcPr>
          <w:p w14:paraId="79DC01A2" w14:textId="77777777" w:rsidR="002411D3" w:rsidRPr="00F36B82" w:rsidRDefault="002411D3" w:rsidP="007A5154">
            <w:pPr>
              <w:autoSpaceDE w:val="0"/>
              <w:autoSpaceDN w:val="0"/>
              <w:adjustRightInd w:val="0"/>
              <w:ind w:left="180" w:hanging="180"/>
              <w:rPr>
                <w:rFonts w:eastAsia="Arial Unicode MS"/>
                <w:b/>
                <w:sz w:val="14"/>
                <w:szCs w:val="14"/>
              </w:rPr>
            </w:pPr>
          </w:p>
        </w:tc>
        <w:tc>
          <w:tcPr>
            <w:tcW w:w="528" w:type="pct"/>
            <w:tcBorders>
              <w:top w:val="single" w:sz="4" w:space="0" w:color="auto"/>
              <w:bottom w:val="single" w:sz="12" w:space="0" w:color="auto"/>
            </w:tcBorders>
            <w:vAlign w:val="bottom"/>
          </w:tcPr>
          <w:p w14:paraId="0837A45B" w14:textId="77777777" w:rsidR="002411D3" w:rsidRPr="00F36B82" w:rsidRDefault="002411D3" w:rsidP="002411D3">
            <w:pPr>
              <w:rPr>
                <w:b/>
                <w:bCs/>
                <w:color w:val="000000"/>
                <w:sz w:val="14"/>
                <w:szCs w:val="14"/>
              </w:rPr>
            </w:pPr>
            <w:r w:rsidRPr="00F36B82">
              <w:rPr>
                <w:b/>
                <w:bCs/>
                <w:color w:val="000000"/>
                <w:sz w:val="14"/>
                <w:szCs w:val="14"/>
              </w:rPr>
              <w:t>Toplam</w:t>
            </w:r>
          </w:p>
        </w:tc>
        <w:tc>
          <w:tcPr>
            <w:tcW w:w="240" w:type="pct"/>
            <w:tcBorders>
              <w:top w:val="single" w:sz="4" w:space="0" w:color="auto"/>
              <w:left w:val="nil"/>
              <w:bottom w:val="single" w:sz="12" w:space="0" w:color="auto"/>
              <w:right w:val="nil"/>
            </w:tcBorders>
            <w:vAlign w:val="bottom"/>
          </w:tcPr>
          <w:p w14:paraId="59A8FE50" w14:textId="018EFF03" w:rsidR="002411D3" w:rsidRPr="00F36B82" w:rsidRDefault="002411D3" w:rsidP="00F36B82">
            <w:pPr>
              <w:jc w:val="right"/>
              <w:rPr>
                <w:b/>
                <w:sz w:val="14"/>
                <w:szCs w:val="14"/>
              </w:rPr>
            </w:pPr>
            <w:r w:rsidRPr="00F36B82">
              <w:rPr>
                <w:b/>
                <w:bCs/>
                <w:color w:val="000000"/>
                <w:sz w:val="14"/>
                <w:szCs w:val="14"/>
              </w:rPr>
              <w:t>20.281.833</w:t>
            </w:r>
          </w:p>
        </w:tc>
        <w:tc>
          <w:tcPr>
            <w:tcW w:w="156" w:type="pct"/>
            <w:tcBorders>
              <w:top w:val="single" w:sz="4" w:space="0" w:color="auto"/>
              <w:left w:val="nil"/>
              <w:bottom w:val="single" w:sz="12" w:space="0" w:color="auto"/>
              <w:right w:val="nil"/>
            </w:tcBorders>
            <w:vAlign w:val="bottom"/>
          </w:tcPr>
          <w:p w14:paraId="4331394D" w14:textId="6D6D247D" w:rsidR="002411D3" w:rsidRPr="00F36B82" w:rsidRDefault="002411D3" w:rsidP="00F36B82">
            <w:pPr>
              <w:jc w:val="right"/>
              <w:rPr>
                <w:b/>
                <w:sz w:val="14"/>
                <w:szCs w:val="14"/>
              </w:rPr>
            </w:pPr>
            <w:r w:rsidRPr="00F36B82">
              <w:rPr>
                <w:b/>
                <w:bCs/>
                <w:color w:val="000000"/>
                <w:sz w:val="14"/>
                <w:szCs w:val="14"/>
              </w:rPr>
              <w:t>-</w:t>
            </w:r>
          </w:p>
        </w:tc>
        <w:tc>
          <w:tcPr>
            <w:tcW w:w="173" w:type="pct"/>
            <w:tcBorders>
              <w:top w:val="single" w:sz="4" w:space="0" w:color="auto"/>
              <w:left w:val="nil"/>
              <w:bottom w:val="single" w:sz="12" w:space="0" w:color="auto"/>
              <w:right w:val="nil"/>
            </w:tcBorders>
            <w:vAlign w:val="bottom"/>
          </w:tcPr>
          <w:p w14:paraId="52700A93" w14:textId="0103E1CA" w:rsidR="002411D3" w:rsidRPr="00F36B82" w:rsidRDefault="002411D3" w:rsidP="00F36B82">
            <w:pPr>
              <w:jc w:val="right"/>
              <w:rPr>
                <w:b/>
                <w:sz w:val="14"/>
                <w:szCs w:val="14"/>
              </w:rPr>
            </w:pPr>
            <w:r w:rsidRPr="00F36B82">
              <w:rPr>
                <w:b/>
                <w:bCs/>
                <w:color w:val="000000"/>
                <w:sz w:val="14"/>
                <w:szCs w:val="14"/>
              </w:rPr>
              <w:t>-</w:t>
            </w:r>
          </w:p>
        </w:tc>
        <w:tc>
          <w:tcPr>
            <w:tcW w:w="100" w:type="pct"/>
            <w:tcBorders>
              <w:top w:val="single" w:sz="4" w:space="0" w:color="auto"/>
              <w:left w:val="nil"/>
              <w:bottom w:val="single" w:sz="12" w:space="0" w:color="auto"/>
              <w:right w:val="nil"/>
            </w:tcBorders>
            <w:vAlign w:val="bottom"/>
          </w:tcPr>
          <w:p w14:paraId="2F528DCF" w14:textId="639A20E5" w:rsidR="002411D3" w:rsidRPr="00F36B82" w:rsidRDefault="002411D3" w:rsidP="00F36B82">
            <w:pPr>
              <w:jc w:val="right"/>
              <w:rPr>
                <w:b/>
                <w:sz w:val="14"/>
                <w:szCs w:val="14"/>
              </w:rPr>
            </w:pPr>
            <w:r w:rsidRPr="00F36B82">
              <w:rPr>
                <w:b/>
                <w:bCs/>
                <w:color w:val="000000"/>
                <w:sz w:val="14"/>
                <w:szCs w:val="14"/>
              </w:rPr>
              <w:t>-</w:t>
            </w:r>
          </w:p>
        </w:tc>
        <w:tc>
          <w:tcPr>
            <w:tcW w:w="224" w:type="pct"/>
            <w:tcBorders>
              <w:top w:val="single" w:sz="4" w:space="0" w:color="auto"/>
              <w:left w:val="nil"/>
              <w:bottom w:val="single" w:sz="12" w:space="0" w:color="auto"/>
              <w:right w:val="nil"/>
            </w:tcBorders>
            <w:vAlign w:val="bottom"/>
          </w:tcPr>
          <w:p w14:paraId="0D1700F7" w14:textId="5A8A6437" w:rsidR="002411D3" w:rsidRPr="00F36B82" w:rsidRDefault="002411D3" w:rsidP="00F36B82">
            <w:pPr>
              <w:jc w:val="right"/>
              <w:rPr>
                <w:b/>
                <w:sz w:val="14"/>
                <w:szCs w:val="14"/>
              </w:rPr>
            </w:pPr>
            <w:r w:rsidRPr="00F36B82">
              <w:rPr>
                <w:b/>
                <w:bCs/>
                <w:color w:val="000000"/>
                <w:sz w:val="14"/>
                <w:szCs w:val="14"/>
              </w:rPr>
              <w:t>-</w:t>
            </w:r>
          </w:p>
        </w:tc>
        <w:tc>
          <w:tcPr>
            <w:tcW w:w="240" w:type="pct"/>
            <w:tcBorders>
              <w:top w:val="single" w:sz="4" w:space="0" w:color="auto"/>
              <w:left w:val="nil"/>
              <w:bottom w:val="single" w:sz="12" w:space="0" w:color="auto"/>
              <w:right w:val="nil"/>
            </w:tcBorders>
            <w:vAlign w:val="bottom"/>
          </w:tcPr>
          <w:p w14:paraId="468CB123" w14:textId="72B35DD6" w:rsidR="002411D3" w:rsidRPr="00F36B82" w:rsidRDefault="002411D3" w:rsidP="00F36B82">
            <w:pPr>
              <w:jc w:val="right"/>
              <w:rPr>
                <w:b/>
                <w:sz w:val="14"/>
                <w:szCs w:val="14"/>
              </w:rPr>
            </w:pPr>
            <w:r w:rsidRPr="00F36B82">
              <w:rPr>
                <w:b/>
                <w:bCs/>
                <w:color w:val="000000"/>
                <w:sz w:val="14"/>
                <w:szCs w:val="14"/>
              </w:rPr>
              <w:t>6.939.984</w:t>
            </w:r>
          </w:p>
        </w:tc>
        <w:tc>
          <w:tcPr>
            <w:tcW w:w="268" w:type="pct"/>
            <w:tcBorders>
              <w:top w:val="single" w:sz="4" w:space="0" w:color="auto"/>
              <w:left w:val="nil"/>
              <w:bottom w:val="single" w:sz="12" w:space="0" w:color="auto"/>
              <w:right w:val="nil"/>
            </w:tcBorders>
            <w:vAlign w:val="bottom"/>
          </w:tcPr>
          <w:p w14:paraId="1E746867" w14:textId="07235838" w:rsidR="002411D3" w:rsidRPr="00F36B82" w:rsidRDefault="002411D3" w:rsidP="00F36B82">
            <w:pPr>
              <w:jc w:val="right"/>
              <w:rPr>
                <w:b/>
                <w:sz w:val="14"/>
                <w:szCs w:val="14"/>
              </w:rPr>
            </w:pPr>
            <w:r w:rsidRPr="00F36B82">
              <w:rPr>
                <w:b/>
                <w:bCs/>
                <w:color w:val="000000"/>
                <w:sz w:val="14"/>
                <w:szCs w:val="14"/>
              </w:rPr>
              <w:t>38.393.902</w:t>
            </w:r>
          </w:p>
        </w:tc>
        <w:tc>
          <w:tcPr>
            <w:tcW w:w="220" w:type="pct"/>
            <w:tcBorders>
              <w:top w:val="single" w:sz="4" w:space="0" w:color="auto"/>
              <w:left w:val="nil"/>
              <w:bottom w:val="single" w:sz="12" w:space="0" w:color="auto"/>
              <w:right w:val="nil"/>
            </w:tcBorders>
            <w:vAlign w:val="bottom"/>
          </w:tcPr>
          <w:p w14:paraId="72D60557" w14:textId="6D81E243" w:rsidR="002411D3" w:rsidRPr="00F36B82" w:rsidRDefault="002411D3" w:rsidP="00F36B82">
            <w:pPr>
              <w:jc w:val="right"/>
              <w:rPr>
                <w:b/>
                <w:sz w:val="14"/>
                <w:szCs w:val="14"/>
              </w:rPr>
            </w:pPr>
            <w:r w:rsidRPr="00F36B82">
              <w:rPr>
                <w:b/>
                <w:bCs/>
                <w:color w:val="000000"/>
                <w:sz w:val="14"/>
                <w:szCs w:val="14"/>
              </w:rPr>
              <w:t>-</w:t>
            </w:r>
          </w:p>
        </w:tc>
        <w:tc>
          <w:tcPr>
            <w:tcW w:w="201" w:type="pct"/>
            <w:tcBorders>
              <w:top w:val="single" w:sz="4" w:space="0" w:color="auto"/>
              <w:left w:val="nil"/>
              <w:bottom w:val="single" w:sz="12" w:space="0" w:color="auto"/>
              <w:right w:val="nil"/>
            </w:tcBorders>
            <w:vAlign w:val="bottom"/>
          </w:tcPr>
          <w:p w14:paraId="1797D737" w14:textId="5755A255" w:rsidR="002411D3" w:rsidRPr="00F36B82" w:rsidRDefault="002411D3" w:rsidP="00F36B82">
            <w:pPr>
              <w:jc w:val="right"/>
              <w:rPr>
                <w:b/>
                <w:sz w:val="14"/>
                <w:szCs w:val="14"/>
              </w:rPr>
            </w:pPr>
            <w:r w:rsidRPr="00F36B82">
              <w:rPr>
                <w:b/>
                <w:bCs/>
                <w:color w:val="000000"/>
                <w:sz w:val="14"/>
                <w:szCs w:val="14"/>
              </w:rPr>
              <w:t>3.971.945</w:t>
            </w:r>
          </w:p>
        </w:tc>
        <w:tc>
          <w:tcPr>
            <w:tcW w:w="142" w:type="pct"/>
            <w:tcBorders>
              <w:top w:val="single" w:sz="4" w:space="0" w:color="auto"/>
              <w:left w:val="nil"/>
              <w:bottom w:val="single" w:sz="12" w:space="0" w:color="auto"/>
              <w:right w:val="nil"/>
            </w:tcBorders>
            <w:vAlign w:val="bottom"/>
          </w:tcPr>
          <w:p w14:paraId="37280F28" w14:textId="6B42D559" w:rsidR="002411D3" w:rsidRPr="00F36B82" w:rsidRDefault="002411D3" w:rsidP="00F36B82">
            <w:pPr>
              <w:jc w:val="right"/>
              <w:rPr>
                <w:b/>
                <w:sz w:val="14"/>
                <w:szCs w:val="14"/>
              </w:rPr>
            </w:pPr>
            <w:r w:rsidRPr="00F36B82">
              <w:rPr>
                <w:b/>
                <w:bCs/>
                <w:color w:val="000000"/>
                <w:sz w:val="14"/>
                <w:szCs w:val="14"/>
              </w:rPr>
              <w:t>-</w:t>
            </w:r>
          </w:p>
        </w:tc>
        <w:tc>
          <w:tcPr>
            <w:tcW w:w="220" w:type="pct"/>
            <w:tcBorders>
              <w:top w:val="single" w:sz="4" w:space="0" w:color="auto"/>
              <w:left w:val="nil"/>
              <w:bottom w:val="single" w:sz="12" w:space="0" w:color="auto"/>
              <w:right w:val="nil"/>
            </w:tcBorders>
            <w:vAlign w:val="bottom"/>
          </w:tcPr>
          <w:p w14:paraId="16DA3186" w14:textId="5103B036" w:rsidR="002411D3" w:rsidRPr="00F36B82" w:rsidRDefault="002411D3" w:rsidP="00F36B82">
            <w:pPr>
              <w:jc w:val="right"/>
              <w:rPr>
                <w:b/>
                <w:sz w:val="14"/>
                <w:szCs w:val="14"/>
              </w:rPr>
            </w:pPr>
            <w:r w:rsidRPr="00F36B82">
              <w:rPr>
                <w:b/>
                <w:bCs/>
                <w:color w:val="000000"/>
                <w:sz w:val="14"/>
                <w:szCs w:val="14"/>
              </w:rPr>
              <w:t>-</w:t>
            </w:r>
          </w:p>
        </w:tc>
        <w:tc>
          <w:tcPr>
            <w:tcW w:w="159" w:type="pct"/>
            <w:tcBorders>
              <w:top w:val="single" w:sz="4" w:space="0" w:color="auto"/>
              <w:left w:val="nil"/>
              <w:bottom w:val="single" w:sz="12" w:space="0" w:color="auto"/>
              <w:right w:val="nil"/>
            </w:tcBorders>
            <w:vAlign w:val="bottom"/>
          </w:tcPr>
          <w:p w14:paraId="4BAA99CD" w14:textId="319D1F74" w:rsidR="002411D3" w:rsidRPr="00F36B82" w:rsidRDefault="002411D3" w:rsidP="00F36B82">
            <w:pPr>
              <w:jc w:val="right"/>
              <w:rPr>
                <w:b/>
                <w:sz w:val="14"/>
                <w:szCs w:val="14"/>
              </w:rPr>
            </w:pPr>
            <w:r w:rsidRPr="00F36B82">
              <w:rPr>
                <w:b/>
                <w:bCs/>
                <w:color w:val="000000"/>
                <w:sz w:val="14"/>
                <w:szCs w:val="14"/>
              </w:rPr>
              <w:t>-</w:t>
            </w:r>
          </w:p>
        </w:tc>
        <w:tc>
          <w:tcPr>
            <w:tcW w:w="244" w:type="pct"/>
            <w:tcBorders>
              <w:top w:val="single" w:sz="4" w:space="0" w:color="auto"/>
              <w:left w:val="nil"/>
              <w:bottom w:val="single" w:sz="12" w:space="0" w:color="auto"/>
              <w:right w:val="nil"/>
            </w:tcBorders>
            <w:vAlign w:val="bottom"/>
          </w:tcPr>
          <w:p w14:paraId="6ADB292F" w14:textId="0666FDE9" w:rsidR="002411D3" w:rsidRPr="00F36B82" w:rsidRDefault="002411D3" w:rsidP="00F36B82">
            <w:pPr>
              <w:jc w:val="right"/>
              <w:rPr>
                <w:b/>
                <w:sz w:val="14"/>
                <w:szCs w:val="14"/>
              </w:rPr>
            </w:pPr>
            <w:r w:rsidRPr="00F36B82">
              <w:rPr>
                <w:b/>
                <w:bCs/>
                <w:color w:val="000000"/>
                <w:sz w:val="14"/>
                <w:szCs w:val="14"/>
              </w:rPr>
              <w:t>-</w:t>
            </w:r>
          </w:p>
        </w:tc>
        <w:tc>
          <w:tcPr>
            <w:tcW w:w="244" w:type="pct"/>
            <w:tcBorders>
              <w:top w:val="single" w:sz="4" w:space="0" w:color="auto"/>
              <w:left w:val="nil"/>
              <w:bottom w:val="single" w:sz="12" w:space="0" w:color="auto"/>
              <w:right w:val="nil"/>
            </w:tcBorders>
            <w:vAlign w:val="bottom"/>
          </w:tcPr>
          <w:p w14:paraId="74C7D680" w14:textId="6262E04F" w:rsidR="002411D3" w:rsidRPr="00F36B82" w:rsidRDefault="002411D3" w:rsidP="00F36B82">
            <w:pPr>
              <w:jc w:val="right"/>
              <w:rPr>
                <w:b/>
                <w:sz w:val="14"/>
                <w:szCs w:val="14"/>
              </w:rPr>
            </w:pPr>
            <w:r w:rsidRPr="00F36B82">
              <w:rPr>
                <w:b/>
                <w:bCs/>
                <w:color w:val="000000"/>
                <w:sz w:val="14"/>
                <w:szCs w:val="14"/>
              </w:rPr>
              <w:t>-</w:t>
            </w:r>
          </w:p>
        </w:tc>
        <w:tc>
          <w:tcPr>
            <w:tcW w:w="244" w:type="pct"/>
            <w:tcBorders>
              <w:top w:val="single" w:sz="4" w:space="0" w:color="auto"/>
              <w:left w:val="nil"/>
              <w:bottom w:val="single" w:sz="12" w:space="0" w:color="auto"/>
              <w:right w:val="nil"/>
            </w:tcBorders>
            <w:vAlign w:val="bottom"/>
          </w:tcPr>
          <w:p w14:paraId="317CD207" w14:textId="7C918BEC" w:rsidR="002411D3" w:rsidRPr="00F36B82" w:rsidRDefault="002411D3" w:rsidP="00F36B82">
            <w:pPr>
              <w:jc w:val="right"/>
              <w:rPr>
                <w:b/>
                <w:sz w:val="14"/>
                <w:szCs w:val="14"/>
              </w:rPr>
            </w:pPr>
            <w:r w:rsidRPr="00F36B82">
              <w:rPr>
                <w:b/>
                <w:bCs/>
                <w:color w:val="000000"/>
                <w:sz w:val="14"/>
                <w:szCs w:val="14"/>
              </w:rPr>
              <w:t>1.308.897</w:t>
            </w:r>
          </w:p>
        </w:tc>
        <w:tc>
          <w:tcPr>
            <w:tcW w:w="244" w:type="pct"/>
            <w:tcBorders>
              <w:top w:val="single" w:sz="4" w:space="0" w:color="auto"/>
              <w:left w:val="nil"/>
              <w:bottom w:val="single" w:sz="12" w:space="0" w:color="auto"/>
              <w:right w:val="nil"/>
            </w:tcBorders>
            <w:vAlign w:val="bottom"/>
          </w:tcPr>
          <w:p w14:paraId="1C92352E" w14:textId="1F1CC475" w:rsidR="002411D3" w:rsidRPr="00F36B82" w:rsidRDefault="002411D3" w:rsidP="00F36B82">
            <w:pPr>
              <w:jc w:val="right"/>
              <w:rPr>
                <w:b/>
                <w:sz w:val="14"/>
                <w:szCs w:val="14"/>
              </w:rPr>
            </w:pPr>
            <w:r w:rsidRPr="00F36B82">
              <w:rPr>
                <w:b/>
                <w:bCs/>
                <w:color w:val="000000"/>
                <w:sz w:val="14"/>
                <w:szCs w:val="14"/>
              </w:rPr>
              <w:t>655.265</w:t>
            </w:r>
          </w:p>
        </w:tc>
        <w:tc>
          <w:tcPr>
            <w:tcW w:w="244" w:type="pct"/>
            <w:tcBorders>
              <w:top w:val="single" w:sz="4" w:space="0" w:color="auto"/>
              <w:left w:val="nil"/>
              <w:bottom w:val="single" w:sz="12" w:space="0" w:color="auto"/>
              <w:right w:val="nil"/>
            </w:tcBorders>
            <w:vAlign w:val="bottom"/>
          </w:tcPr>
          <w:p w14:paraId="300EE8FF" w14:textId="5895BDB7" w:rsidR="002411D3" w:rsidRPr="00F36B82" w:rsidRDefault="002411D3" w:rsidP="00F36B82">
            <w:pPr>
              <w:jc w:val="right"/>
              <w:rPr>
                <w:b/>
                <w:sz w:val="14"/>
                <w:szCs w:val="14"/>
              </w:rPr>
            </w:pPr>
            <w:r w:rsidRPr="00F36B82">
              <w:rPr>
                <w:b/>
                <w:bCs/>
                <w:color w:val="000000"/>
                <w:sz w:val="14"/>
                <w:szCs w:val="14"/>
              </w:rPr>
              <w:t>2.966.882</w:t>
            </w:r>
          </w:p>
        </w:tc>
        <w:tc>
          <w:tcPr>
            <w:tcW w:w="268" w:type="pct"/>
            <w:tcBorders>
              <w:top w:val="single" w:sz="4" w:space="0" w:color="auto"/>
              <w:left w:val="nil"/>
              <w:bottom w:val="single" w:sz="12" w:space="0" w:color="auto"/>
              <w:right w:val="nil"/>
            </w:tcBorders>
            <w:vAlign w:val="bottom"/>
          </w:tcPr>
          <w:p w14:paraId="470D5CD2" w14:textId="136389FE" w:rsidR="002411D3" w:rsidRPr="00F36B82" w:rsidRDefault="002411D3" w:rsidP="00F36B82">
            <w:pPr>
              <w:jc w:val="right"/>
              <w:rPr>
                <w:b/>
                <w:sz w:val="14"/>
                <w:szCs w:val="14"/>
              </w:rPr>
            </w:pPr>
            <w:r w:rsidRPr="00F36B82">
              <w:rPr>
                <w:b/>
                <w:bCs/>
                <w:color w:val="000000"/>
                <w:sz w:val="14"/>
                <w:szCs w:val="14"/>
              </w:rPr>
              <w:t>41.719.652</w:t>
            </w:r>
          </w:p>
        </w:tc>
        <w:tc>
          <w:tcPr>
            <w:tcW w:w="272" w:type="pct"/>
            <w:tcBorders>
              <w:top w:val="single" w:sz="4" w:space="0" w:color="auto"/>
              <w:left w:val="nil"/>
              <w:bottom w:val="single" w:sz="12" w:space="0" w:color="auto"/>
              <w:right w:val="nil"/>
            </w:tcBorders>
            <w:vAlign w:val="bottom"/>
          </w:tcPr>
          <w:p w14:paraId="66AECA7D" w14:textId="75D75161" w:rsidR="002411D3" w:rsidRPr="00F36B82" w:rsidRDefault="002411D3" w:rsidP="00F36B82">
            <w:pPr>
              <w:jc w:val="right"/>
              <w:rPr>
                <w:b/>
                <w:sz w:val="14"/>
                <w:szCs w:val="14"/>
              </w:rPr>
            </w:pPr>
            <w:r w:rsidRPr="00F36B82">
              <w:rPr>
                <w:b/>
                <w:bCs/>
                <w:color w:val="000000"/>
                <w:sz w:val="14"/>
                <w:szCs w:val="14"/>
              </w:rPr>
              <w:t>32.799.058</w:t>
            </w:r>
          </w:p>
        </w:tc>
        <w:tc>
          <w:tcPr>
            <w:tcW w:w="271" w:type="pct"/>
            <w:tcBorders>
              <w:top w:val="single" w:sz="4" w:space="0" w:color="auto"/>
              <w:left w:val="nil"/>
              <w:bottom w:val="single" w:sz="12" w:space="0" w:color="auto"/>
              <w:right w:val="nil"/>
            </w:tcBorders>
            <w:vAlign w:val="bottom"/>
          </w:tcPr>
          <w:p w14:paraId="5A9B1452" w14:textId="74E02F59" w:rsidR="002411D3" w:rsidRPr="00F36B82" w:rsidRDefault="002411D3" w:rsidP="00F36B82">
            <w:pPr>
              <w:jc w:val="right"/>
              <w:rPr>
                <w:b/>
                <w:sz w:val="14"/>
                <w:szCs w:val="14"/>
              </w:rPr>
            </w:pPr>
            <w:r w:rsidRPr="00F36B82">
              <w:rPr>
                <w:b/>
                <w:bCs/>
                <w:color w:val="000000"/>
                <w:sz w:val="14"/>
                <w:szCs w:val="14"/>
              </w:rPr>
              <w:t>74.518.710</w:t>
            </w:r>
          </w:p>
        </w:tc>
      </w:tr>
    </w:tbl>
    <w:p w14:paraId="3D836BB4" w14:textId="77777777" w:rsidR="00F91828" w:rsidRPr="00471CBA" w:rsidRDefault="00F91828" w:rsidP="00F91828"/>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4801"/>
        <w:gridCol w:w="5943"/>
      </w:tblGrid>
      <w:tr w:rsidR="00F91828" w:rsidRPr="00471CBA" w14:paraId="7D14803F" w14:textId="77777777" w:rsidTr="00B0049C">
        <w:tc>
          <w:tcPr>
            <w:tcW w:w="3828" w:type="dxa"/>
          </w:tcPr>
          <w:p w14:paraId="75C79E85" w14:textId="77777777" w:rsidR="00F91828" w:rsidRPr="00471CBA" w:rsidRDefault="00F91828" w:rsidP="00B0049C">
            <w:pPr>
              <w:rPr>
                <w:sz w:val="12"/>
                <w:szCs w:val="16"/>
              </w:rPr>
            </w:pPr>
            <w:r w:rsidRPr="00471CBA">
              <w:rPr>
                <w:sz w:val="12"/>
                <w:szCs w:val="16"/>
              </w:rPr>
              <w:t>1- Merkezi yönetimlerden veya merkez bankalarından alacaklar</w:t>
            </w:r>
          </w:p>
          <w:p w14:paraId="0619551F" w14:textId="77777777" w:rsidR="00F91828" w:rsidRPr="00471CBA" w:rsidRDefault="00F91828" w:rsidP="00B0049C">
            <w:pPr>
              <w:rPr>
                <w:sz w:val="12"/>
                <w:szCs w:val="16"/>
              </w:rPr>
            </w:pPr>
            <w:r w:rsidRPr="00471CBA">
              <w:rPr>
                <w:sz w:val="12"/>
                <w:szCs w:val="16"/>
              </w:rPr>
              <w:t>2- Bölgesel yönetimlerden veya yerel yönetimlerden alacaklar</w:t>
            </w:r>
          </w:p>
          <w:p w14:paraId="14E34308" w14:textId="77777777" w:rsidR="00F91828" w:rsidRPr="00471CBA" w:rsidRDefault="00F91828" w:rsidP="00B0049C">
            <w:pPr>
              <w:rPr>
                <w:sz w:val="12"/>
                <w:szCs w:val="16"/>
              </w:rPr>
            </w:pPr>
            <w:r w:rsidRPr="00471CBA">
              <w:rPr>
                <w:sz w:val="12"/>
                <w:szCs w:val="16"/>
              </w:rPr>
              <w:t>3- İdari birimlerden ve ticari olmayan girişimlerden alacaklar</w:t>
            </w:r>
          </w:p>
          <w:p w14:paraId="6D8F494B" w14:textId="77777777" w:rsidR="00F91828" w:rsidRPr="00471CBA" w:rsidRDefault="00F91828" w:rsidP="00B0049C">
            <w:pPr>
              <w:rPr>
                <w:sz w:val="12"/>
                <w:szCs w:val="16"/>
              </w:rPr>
            </w:pPr>
            <w:r w:rsidRPr="00471CBA">
              <w:rPr>
                <w:sz w:val="12"/>
                <w:szCs w:val="16"/>
              </w:rPr>
              <w:t>4- Çok taraflı kalkınma bankalarından alacaklar</w:t>
            </w:r>
          </w:p>
          <w:p w14:paraId="2CFBB5B6" w14:textId="77777777" w:rsidR="00F91828" w:rsidRPr="00471CBA" w:rsidRDefault="00F91828" w:rsidP="00B0049C">
            <w:pPr>
              <w:rPr>
                <w:sz w:val="12"/>
                <w:szCs w:val="16"/>
              </w:rPr>
            </w:pPr>
            <w:r w:rsidRPr="00471CBA">
              <w:rPr>
                <w:sz w:val="12"/>
                <w:szCs w:val="16"/>
              </w:rPr>
              <w:t>5- Uluslararası teşkilatlardan alacaklar</w:t>
            </w:r>
          </w:p>
          <w:p w14:paraId="4F76DD82" w14:textId="77777777" w:rsidR="00F91828" w:rsidRPr="00471CBA" w:rsidRDefault="00F91828" w:rsidP="00B0049C">
            <w:pPr>
              <w:rPr>
                <w:sz w:val="12"/>
                <w:szCs w:val="16"/>
              </w:rPr>
            </w:pPr>
            <w:r w:rsidRPr="00471CBA">
              <w:rPr>
                <w:sz w:val="12"/>
                <w:szCs w:val="16"/>
              </w:rPr>
              <w:t>6- Bankalar ve aracı kurumlardan alacaklar</w:t>
            </w:r>
          </w:p>
        </w:tc>
        <w:tc>
          <w:tcPr>
            <w:tcW w:w="4801" w:type="dxa"/>
          </w:tcPr>
          <w:p w14:paraId="1E1CAEA1" w14:textId="77777777" w:rsidR="00F91828" w:rsidRPr="00471CBA" w:rsidRDefault="00F91828" w:rsidP="00B0049C">
            <w:pPr>
              <w:rPr>
                <w:sz w:val="12"/>
                <w:szCs w:val="16"/>
              </w:rPr>
            </w:pPr>
            <w:r w:rsidRPr="00471CBA">
              <w:rPr>
                <w:sz w:val="12"/>
                <w:szCs w:val="16"/>
              </w:rPr>
              <w:t>7- Kurumsal alacaklar</w:t>
            </w:r>
          </w:p>
          <w:p w14:paraId="4D640744" w14:textId="77777777" w:rsidR="00F91828" w:rsidRPr="00471CBA" w:rsidRDefault="00F91828" w:rsidP="00B0049C">
            <w:pPr>
              <w:rPr>
                <w:sz w:val="12"/>
                <w:szCs w:val="16"/>
              </w:rPr>
            </w:pPr>
            <w:r w:rsidRPr="00471CBA">
              <w:rPr>
                <w:sz w:val="12"/>
                <w:szCs w:val="16"/>
              </w:rPr>
              <w:t>8- Perakende alacaklar</w:t>
            </w:r>
          </w:p>
          <w:p w14:paraId="11779F10" w14:textId="77777777" w:rsidR="00F91828" w:rsidRPr="00471CBA" w:rsidRDefault="00F91828" w:rsidP="00B0049C">
            <w:pPr>
              <w:rPr>
                <w:sz w:val="12"/>
                <w:szCs w:val="16"/>
              </w:rPr>
            </w:pPr>
            <w:r w:rsidRPr="00471CBA">
              <w:rPr>
                <w:sz w:val="12"/>
                <w:szCs w:val="16"/>
              </w:rPr>
              <w:t>9- Gayrimenkul ipoteğiyle teminatlandırılmış alacaklar</w:t>
            </w:r>
          </w:p>
          <w:p w14:paraId="351DD6BF" w14:textId="77777777" w:rsidR="00F91828" w:rsidRPr="00471CBA" w:rsidRDefault="00F91828" w:rsidP="00B0049C">
            <w:pPr>
              <w:rPr>
                <w:sz w:val="12"/>
                <w:szCs w:val="16"/>
              </w:rPr>
            </w:pPr>
            <w:r w:rsidRPr="00471CBA">
              <w:rPr>
                <w:sz w:val="12"/>
                <w:szCs w:val="16"/>
              </w:rPr>
              <w:t>10- Tahsili gecikmiş alacaklar</w:t>
            </w:r>
          </w:p>
          <w:p w14:paraId="54C41E20" w14:textId="77777777" w:rsidR="00F91828" w:rsidRPr="00471CBA" w:rsidRDefault="00F91828" w:rsidP="00B0049C">
            <w:pPr>
              <w:rPr>
                <w:sz w:val="12"/>
                <w:szCs w:val="16"/>
              </w:rPr>
            </w:pPr>
            <w:r w:rsidRPr="00471CBA">
              <w:rPr>
                <w:sz w:val="12"/>
                <w:szCs w:val="16"/>
              </w:rPr>
              <w:t>11- Kurulca riski yüksek olarak belirlenen alacaklar</w:t>
            </w:r>
          </w:p>
          <w:p w14:paraId="02C48912" w14:textId="77777777" w:rsidR="00F91828" w:rsidRPr="00471CBA" w:rsidRDefault="00F91828" w:rsidP="00B0049C">
            <w:pPr>
              <w:rPr>
                <w:sz w:val="12"/>
                <w:szCs w:val="16"/>
              </w:rPr>
            </w:pPr>
            <w:r w:rsidRPr="00471CBA">
              <w:rPr>
                <w:sz w:val="12"/>
                <w:szCs w:val="16"/>
              </w:rPr>
              <w:t>12- Teminatlı menkul kıymetler</w:t>
            </w:r>
          </w:p>
        </w:tc>
        <w:tc>
          <w:tcPr>
            <w:tcW w:w="5943" w:type="dxa"/>
          </w:tcPr>
          <w:p w14:paraId="48CB2A0A" w14:textId="77777777" w:rsidR="00F91828" w:rsidRPr="00471CBA" w:rsidRDefault="00F91828" w:rsidP="00B0049C">
            <w:pPr>
              <w:rPr>
                <w:sz w:val="12"/>
                <w:szCs w:val="16"/>
              </w:rPr>
            </w:pPr>
            <w:r w:rsidRPr="00471CBA">
              <w:rPr>
                <w:sz w:val="12"/>
                <w:szCs w:val="16"/>
              </w:rPr>
              <w:t>13- Menkul kıymetleştirme pozisyonları</w:t>
            </w:r>
          </w:p>
          <w:p w14:paraId="3518ABCF" w14:textId="77777777" w:rsidR="00F91828" w:rsidRPr="00471CBA" w:rsidRDefault="00F91828" w:rsidP="00B0049C">
            <w:pPr>
              <w:rPr>
                <w:sz w:val="12"/>
                <w:szCs w:val="16"/>
              </w:rPr>
            </w:pPr>
            <w:r w:rsidRPr="00471CBA">
              <w:rPr>
                <w:sz w:val="12"/>
                <w:szCs w:val="16"/>
              </w:rPr>
              <w:t>14- Bankalar ve aracı kurumlardan olan kısa vadeli alacaklar ile kısa vadeli kurumsal alacaklar</w:t>
            </w:r>
          </w:p>
          <w:p w14:paraId="0E83FD71" w14:textId="77777777" w:rsidR="00F91828" w:rsidRPr="00471CBA" w:rsidRDefault="00F91828" w:rsidP="00B0049C">
            <w:pPr>
              <w:rPr>
                <w:sz w:val="12"/>
                <w:szCs w:val="16"/>
              </w:rPr>
            </w:pPr>
            <w:r w:rsidRPr="00471CBA">
              <w:rPr>
                <w:sz w:val="12"/>
                <w:szCs w:val="16"/>
              </w:rPr>
              <w:t>15- Kolektif yatırım kuruluşu niteliğindeki yatırımlar</w:t>
            </w:r>
          </w:p>
          <w:p w14:paraId="789E9856" w14:textId="77777777" w:rsidR="00F91828" w:rsidRPr="00471CBA" w:rsidRDefault="00F91828" w:rsidP="00B0049C">
            <w:pPr>
              <w:rPr>
                <w:sz w:val="12"/>
                <w:szCs w:val="16"/>
              </w:rPr>
            </w:pPr>
            <w:r w:rsidRPr="00471CBA">
              <w:rPr>
                <w:sz w:val="12"/>
                <w:szCs w:val="16"/>
              </w:rPr>
              <w:t>16- Hisse senedi yatırımları</w:t>
            </w:r>
          </w:p>
          <w:p w14:paraId="77471599" w14:textId="77777777" w:rsidR="00F91828" w:rsidRPr="00471CBA" w:rsidRDefault="00F91828" w:rsidP="00B0049C">
            <w:pPr>
              <w:rPr>
                <w:sz w:val="12"/>
                <w:szCs w:val="16"/>
              </w:rPr>
            </w:pPr>
            <w:r w:rsidRPr="00471CBA">
              <w:rPr>
                <w:sz w:val="12"/>
                <w:szCs w:val="16"/>
              </w:rPr>
              <w:t>17- Diğer alacaklar</w:t>
            </w:r>
          </w:p>
        </w:tc>
      </w:tr>
    </w:tbl>
    <w:p w14:paraId="1688DFDC" w14:textId="77777777" w:rsidR="00F91828" w:rsidRPr="00471CBA" w:rsidRDefault="00F91828" w:rsidP="00F91828"/>
    <w:p w14:paraId="1C00AEDA" w14:textId="5980D776" w:rsidR="009B1956" w:rsidRPr="00471CBA" w:rsidRDefault="009B1956">
      <w:r w:rsidRPr="00471CBA">
        <w:br w:type="page"/>
      </w:r>
    </w:p>
    <w:p w14:paraId="7093DE6F" w14:textId="77777777" w:rsidR="0074045F" w:rsidRPr="00A51194" w:rsidRDefault="0074045F" w:rsidP="0074045F">
      <w:pPr>
        <w:rPr>
          <w:b/>
          <w:szCs w:val="20"/>
        </w:rPr>
      </w:pPr>
      <w:r w:rsidRPr="00A51194">
        <w:rPr>
          <w:b/>
          <w:szCs w:val="20"/>
        </w:rPr>
        <w:lastRenderedPageBreak/>
        <w:t>MALİ BÜNYEYE VE RİSK YÖNETİMİNE İLİŞKİN BİLGİLER (Devamı)</w:t>
      </w:r>
    </w:p>
    <w:p w14:paraId="1BCDE6C3" w14:textId="77777777" w:rsidR="00A15F5D" w:rsidRPr="00471CBA" w:rsidRDefault="00A15F5D" w:rsidP="00A15F5D">
      <w:pPr>
        <w:autoSpaceDE w:val="0"/>
        <w:autoSpaceDN w:val="0"/>
        <w:adjustRightInd w:val="0"/>
        <w:spacing w:before="120" w:after="120"/>
        <w:jc w:val="both"/>
        <w:rPr>
          <w:b/>
          <w:szCs w:val="20"/>
        </w:rPr>
      </w:pPr>
      <w:r w:rsidRPr="00471CBA">
        <w:rPr>
          <w:b/>
          <w:szCs w:val="20"/>
        </w:rPr>
        <w:t>II.</w:t>
      </w:r>
      <w:r w:rsidRPr="00471CBA">
        <w:rPr>
          <w:b/>
          <w:szCs w:val="20"/>
        </w:rPr>
        <w:tab/>
        <w:t>KREDİ RİSKİNE İLİŞKİN AÇIKLAMALAR (Devamı)</w:t>
      </w:r>
    </w:p>
    <w:p w14:paraId="3DB293B4" w14:textId="43AAB467" w:rsidR="009B1956" w:rsidRPr="00471CBA" w:rsidRDefault="009B1956" w:rsidP="009B1956">
      <w:pPr>
        <w:tabs>
          <w:tab w:val="left" w:pos="-142"/>
        </w:tabs>
        <w:spacing w:before="120" w:after="120"/>
        <w:ind w:left="-142" w:firstLine="142"/>
        <w:rPr>
          <w:b/>
          <w:szCs w:val="20"/>
        </w:rPr>
      </w:pPr>
      <w:r w:rsidRPr="00471CBA">
        <w:rPr>
          <w:b/>
          <w:szCs w:val="20"/>
        </w:rPr>
        <w:t>Sektörlere veya Karşı Taraflara Göre Risk Profili:</w:t>
      </w:r>
    </w:p>
    <w:tbl>
      <w:tblPr>
        <w:tblW w:w="5000" w:type="pct"/>
        <w:tblCellMar>
          <w:left w:w="30" w:type="dxa"/>
          <w:right w:w="30" w:type="dxa"/>
        </w:tblCellMar>
        <w:tblLook w:val="0000" w:firstRow="0" w:lastRow="0" w:firstColumn="0" w:lastColumn="0" w:noHBand="0" w:noVBand="0"/>
      </w:tblPr>
      <w:tblGrid>
        <w:gridCol w:w="287"/>
        <w:gridCol w:w="1539"/>
        <w:gridCol w:w="699"/>
        <w:gridCol w:w="455"/>
        <w:gridCol w:w="504"/>
        <w:gridCol w:w="291"/>
        <w:gridCol w:w="653"/>
        <w:gridCol w:w="699"/>
        <w:gridCol w:w="781"/>
        <w:gridCol w:w="641"/>
        <w:gridCol w:w="586"/>
        <w:gridCol w:w="414"/>
        <w:gridCol w:w="641"/>
        <w:gridCol w:w="463"/>
        <w:gridCol w:w="711"/>
        <w:gridCol w:w="711"/>
        <w:gridCol w:w="711"/>
        <w:gridCol w:w="711"/>
        <w:gridCol w:w="711"/>
        <w:gridCol w:w="781"/>
        <w:gridCol w:w="793"/>
        <w:gridCol w:w="790"/>
      </w:tblGrid>
      <w:tr w:rsidR="009B1956" w:rsidRPr="00F36B82" w14:paraId="7DD27BCD" w14:textId="77777777" w:rsidTr="007A5154">
        <w:trPr>
          <w:trHeight w:val="133"/>
        </w:trPr>
        <w:tc>
          <w:tcPr>
            <w:tcW w:w="98" w:type="pct"/>
            <w:tcBorders>
              <w:top w:val="single" w:sz="4" w:space="0" w:color="auto"/>
              <w:bottom w:val="single" w:sz="4" w:space="0" w:color="auto"/>
            </w:tcBorders>
          </w:tcPr>
          <w:p w14:paraId="06D93F1B" w14:textId="77777777" w:rsidR="009B1956" w:rsidRPr="00F36B82" w:rsidRDefault="009B1956" w:rsidP="007A5154">
            <w:pPr>
              <w:autoSpaceDE w:val="0"/>
              <w:autoSpaceDN w:val="0"/>
              <w:adjustRightInd w:val="0"/>
              <w:ind w:left="180" w:hanging="180"/>
              <w:rPr>
                <w:rFonts w:eastAsia="Arial Unicode MS"/>
                <w:b/>
                <w:sz w:val="14"/>
                <w:szCs w:val="14"/>
              </w:rPr>
            </w:pPr>
          </w:p>
        </w:tc>
        <w:tc>
          <w:tcPr>
            <w:tcW w:w="528" w:type="pct"/>
            <w:tcBorders>
              <w:top w:val="single" w:sz="4" w:space="0" w:color="auto"/>
              <w:bottom w:val="single" w:sz="4" w:space="0" w:color="auto"/>
            </w:tcBorders>
            <w:vAlign w:val="bottom"/>
          </w:tcPr>
          <w:p w14:paraId="575692B3" w14:textId="5769DF06" w:rsidR="009B1956" w:rsidRPr="00F36B82" w:rsidRDefault="009B1956" w:rsidP="00887449">
            <w:pPr>
              <w:autoSpaceDE w:val="0"/>
              <w:autoSpaceDN w:val="0"/>
              <w:adjustRightInd w:val="0"/>
              <w:ind w:left="180" w:hanging="180"/>
              <w:rPr>
                <w:rFonts w:eastAsia="Arial Unicode MS"/>
                <w:b/>
                <w:sz w:val="14"/>
                <w:szCs w:val="14"/>
              </w:rPr>
            </w:pPr>
            <w:r w:rsidRPr="00F36B82">
              <w:rPr>
                <w:rFonts w:eastAsia="Arial Unicode MS"/>
                <w:b/>
                <w:sz w:val="14"/>
                <w:szCs w:val="14"/>
              </w:rPr>
              <w:t>31 Aralık 202</w:t>
            </w:r>
            <w:r w:rsidR="008509D4" w:rsidRPr="00F36B82">
              <w:rPr>
                <w:rFonts w:eastAsia="Arial Unicode MS"/>
                <w:b/>
                <w:sz w:val="14"/>
                <w:szCs w:val="14"/>
              </w:rPr>
              <w:t>4</w:t>
            </w:r>
          </w:p>
        </w:tc>
        <w:tc>
          <w:tcPr>
            <w:tcW w:w="240" w:type="pct"/>
            <w:tcBorders>
              <w:top w:val="single" w:sz="4" w:space="0" w:color="auto"/>
              <w:bottom w:val="single" w:sz="4" w:space="0" w:color="auto"/>
            </w:tcBorders>
            <w:vAlign w:val="bottom"/>
          </w:tcPr>
          <w:p w14:paraId="2F46B718" w14:textId="77777777" w:rsidR="009B1956" w:rsidRPr="00F36B82" w:rsidRDefault="009B1956" w:rsidP="00887449">
            <w:pPr>
              <w:autoSpaceDE w:val="0"/>
              <w:autoSpaceDN w:val="0"/>
              <w:adjustRightInd w:val="0"/>
              <w:jc w:val="right"/>
              <w:rPr>
                <w:rFonts w:eastAsia="Arial Unicode MS"/>
                <w:b/>
                <w:sz w:val="14"/>
                <w:szCs w:val="14"/>
              </w:rPr>
            </w:pPr>
          </w:p>
        </w:tc>
        <w:tc>
          <w:tcPr>
            <w:tcW w:w="156" w:type="pct"/>
            <w:tcBorders>
              <w:top w:val="single" w:sz="4" w:space="0" w:color="auto"/>
              <w:bottom w:val="single" w:sz="4" w:space="0" w:color="auto"/>
            </w:tcBorders>
            <w:vAlign w:val="bottom"/>
          </w:tcPr>
          <w:p w14:paraId="46EAD3EF" w14:textId="77777777" w:rsidR="009B1956" w:rsidRPr="00F36B82" w:rsidRDefault="009B1956" w:rsidP="00887449">
            <w:pPr>
              <w:autoSpaceDE w:val="0"/>
              <w:autoSpaceDN w:val="0"/>
              <w:adjustRightInd w:val="0"/>
              <w:jc w:val="right"/>
              <w:rPr>
                <w:rFonts w:eastAsia="Arial Unicode MS"/>
                <w:b/>
                <w:sz w:val="14"/>
                <w:szCs w:val="14"/>
              </w:rPr>
            </w:pPr>
          </w:p>
        </w:tc>
        <w:tc>
          <w:tcPr>
            <w:tcW w:w="173" w:type="pct"/>
            <w:tcBorders>
              <w:top w:val="single" w:sz="4" w:space="0" w:color="auto"/>
              <w:bottom w:val="single" w:sz="4" w:space="0" w:color="auto"/>
            </w:tcBorders>
            <w:vAlign w:val="bottom"/>
          </w:tcPr>
          <w:p w14:paraId="39D144DA" w14:textId="77777777" w:rsidR="009B1956" w:rsidRPr="00F36B82" w:rsidRDefault="009B1956" w:rsidP="00887449">
            <w:pPr>
              <w:autoSpaceDE w:val="0"/>
              <w:autoSpaceDN w:val="0"/>
              <w:adjustRightInd w:val="0"/>
              <w:jc w:val="right"/>
              <w:rPr>
                <w:rFonts w:eastAsia="Arial Unicode MS"/>
                <w:b/>
                <w:sz w:val="14"/>
                <w:szCs w:val="14"/>
              </w:rPr>
            </w:pPr>
          </w:p>
        </w:tc>
        <w:tc>
          <w:tcPr>
            <w:tcW w:w="100" w:type="pct"/>
            <w:tcBorders>
              <w:top w:val="single" w:sz="4" w:space="0" w:color="auto"/>
              <w:bottom w:val="single" w:sz="4" w:space="0" w:color="auto"/>
            </w:tcBorders>
            <w:vAlign w:val="bottom"/>
          </w:tcPr>
          <w:p w14:paraId="2C4B2E8C" w14:textId="77777777" w:rsidR="009B1956" w:rsidRPr="00F36B82" w:rsidRDefault="009B1956" w:rsidP="00887449">
            <w:pPr>
              <w:autoSpaceDE w:val="0"/>
              <w:autoSpaceDN w:val="0"/>
              <w:adjustRightInd w:val="0"/>
              <w:jc w:val="right"/>
              <w:rPr>
                <w:rFonts w:eastAsia="Arial Unicode MS"/>
                <w:b/>
                <w:sz w:val="14"/>
                <w:szCs w:val="14"/>
              </w:rPr>
            </w:pPr>
          </w:p>
        </w:tc>
        <w:tc>
          <w:tcPr>
            <w:tcW w:w="224" w:type="pct"/>
            <w:tcBorders>
              <w:top w:val="single" w:sz="4" w:space="0" w:color="auto"/>
              <w:bottom w:val="single" w:sz="4" w:space="0" w:color="auto"/>
            </w:tcBorders>
            <w:vAlign w:val="bottom"/>
          </w:tcPr>
          <w:p w14:paraId="5B45720C" w14:textId="77777777" w:rsidR="009B1956" w:rsidRPr="00F36B82" w:rsidRDefault="009B1956" w:rsidP="00887449">
            <w:pPr>
              <w:autoSpaceDE w:val="0"/>
              <w:autoSpaceDN w:val="0"/>
              <w:adjustRightInd w:val="0"/>
              <w:jc w:val="right"/>
              <w:rPr>
                <w:rFonts w:eastAsia="Arial Unicode MS"/>
                <w:b/>
                <w:sz w:val="14"/>
                <w:szCs w:val="14"/>
              </w:rPr>
            </w:pPr>
          </w:p>
        </w:tc>
        <w:tc>
          <w:tcPr>
            <w:tcW w:w="240" w:type="pct"/>
            <w:tcBorders>
              <w:top w:val="single" w:sz="4" w:space="0" w:color="auto"/>
              <w:bottom w:val="single" w:sz="4" w:space="0" w:color="auto"/>
            </w:tcBorders>
            <w:vAlign w:val="bottom"/>
          </w:tcPr>
          <w:p w14:paraId="12351140" w14:textId="77777777" w:rsidR="009B1956" w:rsidRPr="00F36B82" w:rsidRDefault="009B1956" w:rsidP="00887449">
            <w:pPr>
              <w:autoSpaceDE w:val="0"/>
              <w:autoSpaceDN w:val="0"/>
              <w:adjustRightInd w:val="0"/>
              <w:jc w:val="right"/>
              <w:rPr>
                <w:rFonts w:eastAsia="Arial Unicode MS"/>
                <w:b/>
                <w:sz w:val="14"/>
                <w:szCs w:val="14"/>
              </w:rPr>
            </w:pPr>
          </w:p>
        </w:tc>
        <w:tc>
          <w:tcPr>
            <w:tcW w:w="268" w:type="pct"/>
            <w:tcBorders>
              <w:top w:val="single" w:sz="4" w:space="0" w:color="auto"/>
              <w:bottom w:val="single" w:sz="4" w:space="0" w:color="auto"/>
            </w:tcBorders>
            <w:vAlign w:val="bottom"/>
          </w:tcPr>
          <w:p w14:paraId="18E38464" w14:textId="77777777" w:rsidR="009B1956" w:rsidRPr="00F36B82" w:rsidRDefault="009B1956" w:rsidP="00887449">
            <w:pPr>
              <w:autoSpaceDE w:val="0"/>
              <w:autoSpaceDN w:val="0"/>
              <w:adjustRightInd w:val="0"/>
              <w:jc w:val="right"/>
              <w:rPr>
                <w:rFonts w:eastAsia="Arial Unicode MS"/>
                <w:b/>
                <w:sz w:val="14"/>
                <w:szCs w:val="14"/>
              </w:rPr>
            </w:pPr>
          </w:p>
        </w:tc>
        <w:tc>
          <w:tcPr>
            <w:tcW w:w="220" w:type="pct"/>
            <w:tcBorders>
              <w:top w:val="single" w:sz="4" w:space="0" w:color="auto"/>
              <w:bottom w:val="single" w:sz="4" w:space="0" w:color="auto"/>
            </w:tcBorders>
            <w:vAlign w:val="bottom"/>
          </w:tcPr>
          <w:p w14:paraId="6B5AB662" w14:textId="77777777" w:rsidR="009B1956" w:rsidRPr="00F36B82" w:rsidRDefault="009B1956" w:rsidP="00887449">
            <w:pPr>
              <w:autoSpaceDE w:val="0"/>
              <w:autoSpaceDN w:val="0"/>
              <w:adjustRightInd w:val="0"/>
              <w:jc w:val="right"/>
              <w:rPr>
                <w:rFonts w:eastAsia="Arial Unicode MS"/>
                <w:b/>
                <w:sz w:val="14"/>
                <w:szCs w:val="14"/>
              </w:rPr>
            </w:pPr>
          </w:p>
        </w:tc>
        <w:tc>
          <w:tcPr>
            <w:tcW w:w="343" w:type="pct"/>
            <w:gridSpan w:val="2"/>
            <w:tcBorders>
              <w:top w:val="single" w:sz="4" w:space="0" w:color="auto"/>
              <w:bottom w:val="single" w:sz="4" w:space="0" w:color="auto"/>
            </w:tcBorders>
            <w:vAlign w:val="bottom"/>
          </w:tcPr>
          <w:p w14:paraId="1213C770" w14:textId="77777777" w:rsidR="009B1956" w:rsidRPr="00F36B82" w:rsidRDefault="009B1956" w:rsidP="00887449">
            <w:pPr>
              <w:jc w:val="right"/>
              <w:rPr>
                <w:b/>
                <w:bCs/>
                <w:color w:val="000000"/>
                <w:sz w:val="14"/>
                <w:szCs w:val="14"/>
              </w:rPr>
            </w:pPr>
            <w:r w:rsidRPr="00F36B82">
              <w:rPr>
                <w:rFonts w:eastAsia="Arial Unicode MS"/>
                <w:b/>
                <w:sz w:val="14"/>
                <w:szCs w:val="14"/>
              </w:rPr>
              <w:t>Risk Sınıfları</w:t>
            </w:r>
          </w:p>
        </w:tc>
        <w:tc>
          <w:tcPr>
            <w:tcW w:w="220" w:type="pct"/>
            <w:tcBorders>
              <w:top w:val="single" w:sz="4" w:space="0" w:color="auto"/>
              <w:bottom w:val="single" w:sz="4" w:space="0" w:color="auto"/>
            </w:tcBorders>
          </w:tcPr>
          <w:p w14:paraId="1BD6D4A7" w14:textId="77777777" w:rsidR="009B1956" w:rsidRPr="00F36B82" w:rsidRDefault="009B1956" w:rsidP="00887449">
            <w:pPr>
              <w:jc w:val="right"/>
              <w:rPr>
                <w:b/>
                <w:bCs/>
                <w:color w:val="000000"/>
                <w:sz w:val="14"/>
                <w:szCs w:val="14"/>
              </w:rPr>
            </w:pPr>
          </w:p>
        </w:tc>
        <w:tc>
          <w:tcPr>
            <w:tcW w:w="159" w:type="pct"/>
            <w:tcBorders>
              <w:top w:val="single" w:sz="4" w:space="0" w:color="auto"/>
              <w:bottom w:val="single" w:sz="4" w:space="0" w:color="auto"/>
            </w:tcBorders>
          </w:tcPr>
          <w:p w14:paraId="1BA8D0A7" w14:textId="77777777" w:rsidR="009B1956" w:rsidRPr="00F36B82" w:rsidRDefault="009B1956" w:rsidP="00887449">
            <w:pPr>
              <w:tabs>
                <w:tab w:val="left" w:pos="272"/>
                <w:tab w:val="right" w:pos="606"/>
              </w:tabs>
              <w:jc w:val="right"/>
              <w:rPr>
                <w:b/>
                <w:bCs/>
                <w:color w:val="000000"/>
                <w:sz w:val="14"/>
                <w:szCs w:val="14"/>
              </w:rPr>
            </w:pPr>
          </w:p>
        </w:tc>
        <w:tc>
          <w:tcPr>
            <w:tcW w:w="244" w:type="pct"/>
            <w:tcBorders>
              <w:top w:val="single" w:sz="4" w:space="0" w:color="auto"/>
              <w:bottom w:val="single" w:sz="4" w:space="0" w:color="auto"/>
            </w:tcBorders>
          </w:tcPr>
          <w:p w14:paraId="3659632C" w14:textId="77777777" w:rsidR="009B1956" w:rsidRPr="00F36B82" w:rsidRDefault="009B1956" w:rsidP="00887449">
            <w:pPr>
              <w:jc w:val="right"/>
              <w:rPr>
                <w:b/>
                <w:bCs/>
                <w:color w:val="000000"/>
                <w:sz w:val="14"/>
                <w:szCs w:val="14"/>
              </w:rPr>
            </w:pPr>
          </w:p>
        </w:tc>
        <w:tc>
          <w:tcPr>
            <w:tcW w:w="244" w:type="pct"/>
            <w:tcBorders>
              <w:top w:val="single" w:sz="4" w:space="0" w:color="auto"/>
              <w:bottom w:val="single" w:sz="4" w:space="0" w:color="auto"/>
            </w:tcBorders>
          </w:tcPr>
          <w:p w14:paraId="1E3E53EC" w14:textId="77777777" w:rsidR="009B1956" w:rsidRPr="00F36B82" w:rsidRDefault="009B1956" w:rsidP="00887449">
            <w:pPr>
              <w:jc w:val="right"/>
              <w:rPr>
                <w:b/>
                <w:bCs/>
                <w:color w:val="000000"/>
                <w:sz w:val="14"/>
                <w:szCs w:val="14"/>
              </w:rPr>
            </w:pPr>
          </w:p>
        </w:tc>
        <w:tc>
          <w:tcPr>
            <w:tcW w:w="244" w:type="pct"/>
            <w:tcBorders>
              <w:top w:val="single" w:sz="4" w:space="0" w:color="auto"/>
              <w:bottom w:val="single" w:sz="4" w:space="0" w:color="auto"/>
            </w:tcBorders>
          </w:tcPr>
          <w:p w14:paraId="58263C68" w14:textId="77777777" w:rsidR="009B1956" w:rsidRPr="00F36B82" w:rsidRDefault="009B1956" w:rsidP="00887449">
            <w:pPr>
              <w:jc w:val="right"/>
              <w:rPr>
                <w:b/>
                <w:bCs/>
                <w:color w:val="000000"/>
                <w:sz w:val="14"/>
                <w:szCs w:val="14"/>
              </w:rPr>
            </w:pPr>
          </w:p>
        </w:tc>
        <w:tc>
          <w:tcPr>
            <w:tcW w:w="244" w:type="pct"/>
            <w:tcBorders>
              <w:top w:val="single" w:sz="4" w:space="0" w:color="auto"/>
              <w:bottom w:val="single" w:sz="4" w:space="0" w:color="auto"/>
            </w:tcBorders>
          </w:tcPr>
          <w:p w14:paraId="4DE83A0C" w14:textId="77777777" w:rsidR="009B1956" w:rsidRPr="00F36B82" w:rsidRDefault="009B1956" w:rsidP="00887449">
            <w:pPr>
              <w:jc w:val="right"/>
              <w:rPr>
                <w:b/>
                <w:bCs/>
                <w:color w:val="000000"/>
                <w:sz w:val="14"/>
                <w:szCs w:val="14"/>
              </w:rPr>
            </w:pPr>
          </w:p>
        </w:tc>
        <w:tc>
          <w:tcPr>
            <w:tcW w:w="244" w:type="pct"/>
            <w:tcBorders>
              <w:top w:val="single" w:sz="4" w:space="0" w:color="auto"/>
              <w:bottom w:val="single" w:sz="4" w:space="0" w:color="auto"/>
            </w:tcBorders>
          </w:tcPr>
          <w:p w14:paraId="6107B726" w14:textId="77777777" w:rsidR="009B1956" w:rsidRPr="00F36B82" w:rsidRDefault="009B1956" w:rsidP="00887449">
            <w:pPr>
              <w:jc w:val="right"/>
              <w:rPr>
                <w:b/>
                <w:bCs/>
                <w:color w:val="000000"/>
                <w:sz w:val="14"/>
                <w:szCs w:val="14"/>
              </w:rPr>
            </w:pPr>
          </w:p>
        </w:tc>
        <w:tc>
          <w:tcPr>
            <w:tcW w:w="268" w:type="pct"/>
            <w:tcBorders>
              <w:top w:val="single" w:sz="4" w:space="0" w:color="auto"/>
              <w:bottom w:val="single" w:sz="4" w:space="0" w:color="auto"/>
            </w:tcBorders>
            <w:vAlign w:val="bottom"/>
          </w:tcPr>
          <w:p w14:paraId="000A1004" w14:textId="77777777" w:rsidR="009B1956" w:rsidRPr="00F36B82" w:rsidRDefault="009B1956" w:rsidP="00887449">
            <w:pPr>
              <w:jc w:val="right"/>
              <w:rPr>
                <w:b/>
                <w:bCs/>
                <w:color w:val="000000"/>
                <w:sz w:val="14"/>
                <w:szCs w:val="14"/>
              </w:rPr>
            </w:pPr>
          </w:p>
        </w:tc>
        <w:tc>
          <w:tcPr>
            <w:tcW w:w="272" w:type="pct"/>
            <w:tcBorders>
              <w:top w:val="single" w:sz="4" w:space="0" w:color="auto"/>
              <w:bottom w:val="single" w:sz="4" w:space="0" w:color="auto"/>
            </w:tcBorders>
            <w:vAlign w:val="bottom"/>
          </w:tcPr>
          <w:p w14:paraId="1D150973" w14:textId="77777777" w:rsidR="009B1956" w:rsidRPr="00F36B82" w:rsidRDefault="009B1956" w:rsidP="00887449">
            <w:pPr>
              <w:jc w:val="right"/>
              <w:rPr>
                <w:b/>
                <w:bCs/>
                <w:color w:val="000000"/>
                <w:sz w:val="14"/>
                <w:szCs w:val="14"/>
              </w:rPr>
            </w:pPr>
          </w:p>
        </w:tc>
        <w:tc>
          <w:tcPr>
            <w:tcW w:w="273" w:type="pct"/>
            <w:tcBorders>
              <w:top w:val="single" w:sz="4" w:space="0" w:color="auto"/>
              <w:bottom w:val="single" w:sz="4" w:space="0" w:color="auto"/>
            </w:tcBorders>
            <w:vAlign w:val="bottom"/>
          </w:tcPr>
          <w:p w14:paraId="4B1849C2" w14:textId="77777777" w:rsidR="009B1956" w:rsidRPr="00F36B82" w:rsidRDefault="009B1956" w:rsidP="00887449">
            <w:pPr>
              <w:jc w:val="right"/>
              <w:rPr>
                <w:b/>
                <w:bCs/>
                <w:color w:val="000000"/>
                <w:sz w:val="14"/>
                <w:szCs w:val="14"/>
              </w:rPr>
            </w:pPr>
          </w:p>
        </w:tc>
      </w:tr>
      <w:tr w:rsidR="009B1956" w:rsidRPr="00F36B82" w14:paraId="248E4CCA" w14:textId="77777777" w:rsidTr="007A5154">
        <w:trPr>
          <w:trHeight w:val="133"/>
        </w:trPr>
        <w:tc>
          <w:tcPr>
            <w:tcW w:w="98" w:type="pct"/>
            <w:tcBorders>
              <w:top w:val="single" w:sz="4" w:space="0" w:color="auto"/>
              <w:bottom w:val="single" w:sz="4" w:space="0" w:color="auto"/>
            </w:tcBorders>
          </w:tcPr>
          <w:p w14:paraId="0EE46FFF" w14:textId="77777777" w:rsidR="009B1956" w:rsidRPr="00F36B82" w:rsidRDefault="009B1956" w:rsidP="007A5154">
            <w:pPr>
              <w:autoSpaceDE w:val="0"/>
              <w:autoSpaceDN w:val="0"/>
              <w:adjustRightInd w:val="0"/>
              <w:ind w:left="180" w:hanging="180"/>
              <w:rPr>
                <w:rFonts w:eastAsia="Arial Unicode MS"/>
                <w:b/>
                <w:sz w:val="14"/>
                <w:szCs w:val="14"/>
              </w:rPr>
            </w:pPr>
          </w:p>
        </w:tc>
        <w:tc>
          <w:tcPr>
            <w:tcW w:w="528" w:type="pct"/>
            <w:tcBorders>
              <w:top w:val="single" w:sz="4" w:space="0" w:color="auto"/>
              <w:bottom w:val="single" w:sz="4" w:space="0" w:color="auto"/>
            </w:tcBorders>
            <w:vAlign w:val="bottom"/>
          </w:tcPr>
          <w:p w14:paraId="6CA93B50" w14:textId="77777777" w:rsidR="009B1956" w:rsidRPr="00F36B82" w:rsidRDefault="009B1956" w:rsidP="00887449">
            <w:pPr>
              <w:autoSpaceDE w:val="0"/>
              <w:autoSpaceDN w:val="0"/>
              <w:adjustRightInd w:val="0"/>
              <w:ind w:left="180" w:hanging="180"/>
              <w:rPr>
                <w:rFonts w:eastAsia="Arial Unicode MS"/>
                <w:b/>
                <w:sz w:val="14"/>
                <w:szCs w:val="14"/>
              </w:rPr>
            </w:pPr>
            <w:r w:rsidRPr="00F36B82">
              <w:rPr>
                <w:rFonts w:eastAsia="Arial Unicode MS"/>
                <w:b/>
                <w:sz w:val="14"/>
                <w:szCs w:val="14"/>
              </w:rPr>
              <w:t>Sektörler/Karşı Taraflar</w:t>
            </w:r>
          </w:p>
        </w:tc>
        <w:tc>
          <w:tcPr>
            <w:tcW w:w="240" w:type="pct"/>
            <w:tcBorders>
              <w:top w:val="single" w:sz="4" w:space="0" w:color="auto"/>
              <w:bottom w:val="single" w:sz="4" w:space="0" w:color="auto"/>
            </w:tcBorders>
            <w:vAlign w:val="bottom"/>
          </w:tcPr>
          <w:p w14:paraId="33555650" w14:textId="77777777" w:rsidR="009B1956" w:rsidRPr="00F36B82" w:rsidRDefault="009B1956" w:rsidP="00887449">
            <w:pPr>
              <w:autoSpaceDE w:val="0"/>
              <w:autoSpaceDN w:val="0"/>
              <w:adjustRightInd w:val="0"/>
              <w:jc w:val="right"/>
              <w:rPr>
                <w:rFonts w:eastAsia="Arial Unicode MS"/>
                <w:b/>
                <w:sz w:val="14"/>
                <w:szCs w:val="14"/>
              </w:rPr>
            </w:pPr>
            <w:r w:rsidRPr="00F36B82">
              <w:rPr>
                <w:rFonts w:eastAsia="Arial Unicode MS"/>
                <w:b/>
                <w:sz w:val="14"/>
                <w:szCs w:val="14"/>
              </w:rPr>
              <w:t>1</w:t>
            </w:r>
          </w:p>
        </w:tc>
        <w:tc>
          <w:tcPr>
            <w:tcW w:w="156" w:type="pct"/>
            <w:tcBorders>
              <w:top w:val="single" w:sz="4" w:space="0" w:color="auto"/>
              <w:bottom w:val="single" w:sz="4" w:space="0" w:color="auto"/>
            </w:tcBorders>
            <w:vAlign w:val="bottom"/>
          </w:tcPr>
          <w:p w14:paraId="6BDD046A" w14:textId="77777777" w:rsidR="009B1956" w:rsidRPr="00F36B82" w:rsidRDefault="009B1956" w:rsidP="00887449">
            <w:pPr>
              <w:autoSpaceDE w:val="0"/>
              <w:autoSpaceDN w:val="0"/>
              <w:adjustRightInd w:val="0"/>
              <w:jc w:val="right"/>
              <w:rPr>
                <w:rFonts w:eastAsia="Arial Unicode MS"/>
                <w:b/>
                <w:sz w:val="14"/>
                <w:szCs w:val="14"/>
              </w:rPr>
            </w:pPr>
            <w:r w:rsidRPr="00F36B82">
              <w:rPr>
                <w:rFonts w:eastAsia="Arial Unicode MS"/>
                <w:b/>
                <w:sz w:val="14"/>
                <w:szCs w:val="14"/>
              </w:rPr>
              <w:t>2</w:t>
            </w:r>
          </w:p>
        </w:tc>
        <w:tc>
          <w:tcPr>
            <w:tcW w:w="173" w:type="pct"/>
            <w:tcBorders>
              <w:top w:val="single" w:sz="4" w:space="0" w:color="auto"/>
              <w:bottom w:val="single" w:sz="4" w:space="0" w:color="auto"/>
            </w:tcBorders>
            <w:vAlign w:val="bottom"/>
          </w:tcPr>
          <w:p w14:paraId="18FF500B" w14:textId="77777777" w:rsidR="009B1956" w:rsidRPr="00F36B82" w:rsidRDefault="009B1956" w:rsidP="00887449">
            <w:pPr>
              <w:autoSpaceDE w:val="0"/>
              <w:autoSpaceDN w:val="0"/>
              <w:adjustRightInd w:val="0"/>
              <w:jc w:val="right"/>
              <w:rPr>
                <w:rFonts w:eastAsia="Arial Unicode MS"/>
                <w:b/>
                <w:sz w:val="14"/>
                <w:szCs w:val="14"/>
              </w:rPr>
            </w:pPr>
            <w:r w:rsidRPr="00F36B82">
              <w:rPr>
                <w:rFonts w:eastAsia="Arial Unicode MS"/>
                <w:b/>
                <w:sz w:val="14"/>
                <w:szCs w:val="14"/>
              </w:rPr>
              <w:t>3</w:t>
            </w:r>
          </w:p>
        </w:tc>
        <w:tc>
          <w:tcPr>
            <w:tcW w:w="100" w:type="pct"/>
            <w:tcBorders>
              <w:top w:val="single" w:sz="4" w:space="0" w:color="auto"/>
              <w:bottom w:val="single" w:sz="4" w:space="0" w:color="auto"/>
            </w:tcBorders>
            <w:vAlign w:val="bottom"/>
          </w:tcPr>
          <w:p w14:paraId="15AE8174" w14:textId="77777777" w:rsidR="009B1956" w:rsidRPr="00F36B82" w:rsidRDefault="009B1956" w:rsidP="00887449">
            <w:pPr>
              <w:autoSpaceDE w:val="0"/>
              <w:autoSpaceDN w:val="0"/>
              <w:adjustRightInd w:val="0"/>
              <w:jc w:val="right"/>
              <w:rPr>
                <w:rFonts w:eastAsia="Arial Unicode MS"/>
                <w:b/>
                <w:sz w:val="14"/>
                <w:szCs w:val="14"/>
              </w:rPr>
            </w:pPr>
            <w:r w:rsidRPr="00F36B82">
              <w:rPr>
                <w:rFonts w:eastAsia="Arial Unicode MS"/>
                <w:b/>
                <w:sz w:val="14"/>
                <w:szCs w:val="14"/>
              </w:rPr>
              <w:t>4</w:t>
            </w:r>
          </w:p>
        </w:tc>
        <w:tc>
          <w:tcPr>
            <w:tcW w:w="224" w:type="pct"/>
            <w:tcBorders>
              <w:top w:val="single" w:sz="4" w:space="0" w:color="auto"/>
              <w:bottom w:val="single" w:sz="4" w:space="0" w:color="auto"/>
            </w:tcBorders>
            <w:vAlign w:val="bottom"/>
          </w:tcPr>
          <w:p w14:paraId="62A8EF3E" w14:textId="77777777" w:rsidR="009B1956" w:rsidRPr="00F36B82" w:rsidRDefault="009B1956" w:rsidP="00887449">
            <w:pPr>
              <w:autoSpaceDE w:val="0"/>
              <w:autoSpaceDN w:val="0"/>
              <w:adjustRightInd w:val="0"/>
              <w:jc w:val="right"/>
              <w:rPr>
                <w:rFonts w:eastAsia="Arial Unicode MS"/>
                <w:b/>
                <w:sz w:val="14"/>
                <w:szCs w:val="14"/>
              </w:rPr>
            </w:pPr>
            <w:r w:rsidRPr="00F36B82">
              <w:rPr>
                <w:rFonts w:eastAsia="Arial Unicode MS"/>
                <w:b/>
                <w:sz w:val="14"/>
                <w:szCs w:val="14"/>
              </w:rPr>
              <w:t>5</w:t>
            </w:r>
          </w:p>
        </w:tc>
        <w:tc>
          <w:tcPr>
            <w:tcW w:w="240" w:type="pct"/>
            <w:tcBorders>
              <w:top w:val="single" w:sz="4" w:space="0" w:color="auto"/>
              <w:bottom w:val="single" w:sz="4" w:space="0" w:color="auto"/>
            </w:tcBorders>
            <w:vAlign w:val="bottom"/>
          </w:tcPr>
          <w:p w14:paraId="05EF0EE5" w14:textId="77777777" w:rsidR="009B1956" w:rsidRPr="00F36B82" w:rsidRDefault="009B1956" w:rsidP="00887449">
            <w:pPr>
              <w:autoSpaceDE w:val="0"/>
              <w:autoSpaceDN w:val="0"/>
              <w:adjustRightInd w:val="0"/>
              <w:jc w:val="right"/>
              <w:rPr>
                <w:rFonts w:eastAsia="Arial Unicode MS"/>
                <w:b/>
                <w:sz w:val="14"/>
                <w:szCs w:val="14"/>
              </w:rPr>
            </w:pPr>
            <w:r w:rsidRPr="00F36B82">
              <w:rPr>
                <w:rFonts w:eastAsia="Arial Unicode MS"/>
                <w:b/>
                <w:sz w:val="14"/>
                <w:szCs w:val="14"/>
              </w:rPr>
              <w:t>6</w:t>
            </w:r>
          </w:p>
        </w:tc>
        <w:tc>
          <w:tcPr>
            <w:tcW w:w="268" w:type="pct"/>
            <w:tcBorders>
              <w:top w:val="single" w:sz="4" w:space="0" w:color="auto"/>
              <w:bottom w:val="single" w:sz="4" w:space="0" w:color="auto"/>
            </w:tcBorders>
            <w:vAlign w:val="bottom"/>
          </w:tcPr>
          <w:p w14:paraId="3F1B13D9" w14:textId="77777777" w:rsidR="009B1956" w:rsidRPr="00F36B82" w:rsidRDefault="009B1956" w:rsidP="00887449">
            <w:pPr>
              <w:autoSpaceDE w:val="0"/>
              <w:autoSpaceDN w:val="0"/>
              <w:adjustRightInd w:val="0"/>
              <w:jc w:val="right"/>
              <w:rPr>
                <w:rFonts w:eastAsia="Arial Unicode MS"/>
                <w:b/>
                <w:sz w:val="14"/>
                <w:szCs w:val="14"/>
              </w:rPr>
            </w:pPr>
            <w:r w:rsidRPr="00F36B82">
              <w:rPr>
                <w:rFonts w:eastAsia="Arial Unicode MS"/>
                <w:b/>
                <w:sz w:val="14"/>
                <w:szCs w:val="14"/>
              </w:rPr>
              <w:t>7</w:t>
            </w:r>
          </w:p>
        </w:tc>
        <w:tc>
          <w:tcPr>
            <w:tcW w:w="220" w:type="pct"/>
            <w:tcBorders>
              <w:top w:val="single" w:sz="4" w:space="0" w:color="auto"/>
              <w:bottom w:val="single" w:sz="4" w:space="0" w:color="auto"/>
            </w:tcBorders>
            <w:vAlign w:val="bottom"/>
          </w:tcPr>
          <w:p w14:paraId="0CD54F91" w14:textId="77777777" w:rsidR="009B1956" w:rsidRPr="00F36B82" w:rsidRDefault="009B1956" w:rsidP="00887449">
            <w:pPr>
              <w:autoSpaceDE w:val="0"/>
              <w:autoSpaceDN w:val="0"/>
              <w:adjustRightInd w:val="0"/>
              <w:jc w:val="right"/>
              <w:rPr>
                <w:rFonts w:eastAsia="Arial Unicode MS"/>
                <w:b/>
                <w:sz w:val="14"/>
                <w:szCs w:val="14"/>
              </w:rPr>
            </w:pPr>
            <w:r w:rsidRPr="00F36B82">
              <w:rPr>
                <w:rFonts w:eastAsia="Arial Unicode MS"/>
                <w:b/>
                <w:sz w:val="14"/>
                <w:szCs w:val="14"/>
              </w:rPr>
              <w:t>8</w:t>
            </w:r>
          </w:p>
        </w:tc>
        <w:tc>
          <w:tcPr>
            <w:tcW w:w="201" w:type="pct"/>
            <w:tcBorders>
              <w:top w:val="single" w:sz="4" w:space="0" w:color="auto"/>
              <w:bottom w:val="single" w:sz="4" w:space="0" w:color="auto"/>
            </w:tcBorders>
            <w:vAlign w:val="bottom"/>
          </w:tcPr>
          <w:p w14:paraId="6E5A1815" w14:textId="77777777" w:rsidR="009B1956" w:rsidRPr="00F36B82" w:rsidRDefault="009B1956" w:rsidP="00887449">
            <w:pPr>
              <w:autoSpaceDE w:val="0"/>
              <w:autoSpaceDN w:val="0"/>
              <w:adjustRightInd w:val="0"/>
              <w:jc w:val="right"/>
              <w:rPr>
                <w:rFonts w:eastAsia="Arial Unicode MS"/>
                <w:b/>
                <w:sz w:val="14"/>
                <w:szCs w:val="14"/>
              </w:rPr>
            </w:pPr>
            <w:r w:rsidRPr="00F36B82">
              <w:rPr>
                <w:rFonts w:eastAsia="Arial Unicode MS"/>
                <w:b/>
                <w:sz w:val="14"/>
                <w:szCs w:val="14"/>
              </w:rPr>
              <w:t>9</w:t>
            </w:r>
          </w:p>
        </w:tc>
        <w:tc>
          <w:tcPr>
            <w:tcW w:w="142" w:type="pct"/>
            <w:tcBorders>
              <w:top w:val="single" w:sz="4" w:space="0" w:color="auto"/>
              <w:bottom w:val="single" w:sz="4" w:space="0" w:color="auto"/>
            </w:tcBorders>
            <w:vAlign w:val="bottom"/>
          </w:tcPr>
          <w:p w14:paraId="115AD67E" w14:textId="77777777" w:rsidR="009B1956" w:rsidRPr="00F36B82" w:rsidRDefault="009B1956" w:rsidP="00887449">
            <w:pPr>
              <w:jc w:val="right"/>
              <w:rPr>
                <w:b/>
                <w:bCs/>
                <w:color w:val="000000"/>
                <w:sz w:val="14"/>
                <w:szCs w:val="14"/>
              </w:rPr>
            </w:pPr>
            <w:r w:rsidRPr="00F36B82">
              <w:rPr>
                <w:b/>
                <w:bCs/>
                <w:color w:val="000000"/>
                <w:sz w:val="14"/>
                <w:szCs w:val="14"/>
              </w:rPr>
              <w:t>10</w:t>
            </w:r>
          </w:p>
        </w:tc>
        <w:tc>
          <w:tcPr>
            <w:tcW w:w="220" w:type="pct"/>
            <w:tcBorders>
              <w:top w:val="single" w:sz="4" w:space="0" w:color="auto"/>
              <w:bottom w:val="single" w:sz="4" w:space="0" w:color="auto"/>
            </w:tcBorders>
            <w:vAlign w:val="bottom"/>
          </w:tcPr>
          <w:p w14:paraId="64E352CC" w14:textId="77777777" w:rsidR="009B1956" w:rsidRPr="00F36B82" w:rsidRDefault="009B1956" w:rsidP="00887449">
            <w:pPr>
              <w:jc w:val="right"/>
              <w:rPr>
                <w:b/>
                <w:bCs/>
                <w:color w:val="000000"/>
                <w:sz w:val="14"/>
                <w:szCs w:val="14"/>
              </w:rPr>
            </w:pPr>
            <w:r w:rsidRPr="00F36B82">
              <w:rPr>
                <w:b/>
                <w:bCs/>
                <w:color w:val="000000"/>
                <w:sz w:val="14"/>
                <w:szCs w:val="14"/>
              </w:rPr>
              <w:t>11</w:t>
            </w:r>
          </w:p>
        </w:tc>
        <w:tc>
          <w:tcPr>
            <w:tcW w:w="159" w:type="pct"/>
            <w:tcBorders>
              <w:top w:val="single" w:sz="4" w:space="0" w:color="auto"/>
              <w:bottom w:val="single" w:sz="4" w:space="0" w:color="auto"/>
            </w:tcBorders>
            <w:vAlign w:val="bottom"/>
          </w:tcPr>
          <w:p w14:paraId="7FEC50B2" w14:textId="77777777" w:rsidR="009B1956" w:rsidRPr="00F36B82" w:rsidRDefault="009B1956" w:rsidP="00887449">
            <w:pPr>
              <w:tabs>
                <w:tab w:val="left" w:pos="272"/>
                <w:tab w:val="right" w:pos="606"/>
              </w:tabs>
              <w:jc w:val="right"/>
              <w:rPr>
                <w:b/>
                <w:bCs/>
                <w:color w:val="000000"/>
                <w:sz w:val="14"/>
                <w:szCs w:val="14"/>
              </w:rPr>
            </w:pPr>
            <w:r w:rsidRPr="00F36B82">
              <w:rPr>
                <w:b/>
                <w:bCs/>
                <w:color w:val="000000"/>
                <w:sz w:val="14"/>
                <w:szCs w:val="14"/>
              </w:rPr>
              <w:t>12</w:t>
            </w:r>
          </w:p>
        </w:tc>
        <w:tc>
          <w:tcPr>
            <w:tcW w:w="244" w:type="pct"/>
            <w:tcBorders>
              <w:top w:val="single" w:sz="4" w:space="0" w:color="auto"/>
              <w:bottom w:val="single" w:sz="4" w:space="0" w:color="auto"/>
            </w:tcBorders>
            <w:vAlign w:val="bottom"/>
          </w:tcPr>
          <w:p w14:paraId="27E0AEC8" w14:textId="77777777" w:rsidR="009B1956" w:rsidRPr="00F36B82" w:rsidRDefault="009B1956" w:rsidP="00887449">
            <w:pPr>
              <w:jc w:val="right"/>
              <w:rPr>
                <w:b/>
                <w:bCs/>
                <w:color w:val="000000"/>
                <w:sz w:val="14"/>
                <w:szCs w:val="14"/>
              </w:rPr>
            </w:pPr>
            <w:r w:rsidRPr="00F36B82">
              <w:rPr>
                <w:b/>
                <w:bCs/>
                <w:color w:val="000000"/>
                <w:sz w:val="14"/>
                <w:szCs w:val="14"/>
              </w:rPr>
              <w:t>13</w:t>
            </w:r>
          </w:p>
        </w:tc>
        <w:tc>
          <w:tcPr>
            <w:tcW w:w="244" w:type="pct"/>
            <w:tcBorders>
              <w:top w:val="single" w:sz="4" w:space="0" w:color="auto"/>
              <w:bottom w:val="single" w:sz="4" w:space="0" w:color="auto"/>
            </w:tcBorders>
            <w:vAlign w:val="bottom"/>
          </w:tcPr>
          <w:p w14:paraId="719DFAB5" w14:textId="77777777" w:rsidR="009B1956" w:rsidRPr="00F36B82" w:rsidRDefault="009B1956" w:rsidP="00887449">
            <w:pPr>
              <w:jc w:val="right"/>
              <w:rPr>
                <w:b/>
                <w:bCs/>
                <w:color w:val="000000"/>
                <w:sz w:val="14"/>
                <w:szCs w:val="14"/>
              </w:rPr>
            </w:pPr>
            <w:r w:rsidRPr="00F36B82">
              <w:rPr>
                <w:b/>
                <w:bCs/>
                <w:color w:val="000000"/>
                <w:sz w:val="14"/>
                <w:szCs w:val="14"/>
              </w:rPr>
              <w:t>14</w:t>
            </w:r>
          </w:p>
        </w:tc>
        <w:tc>
          <w:tcPr>
            <w:tcW w:w="244" w:type="pct"/>
            <w:tcBorders>
              <w:top w:val="single" w:sz="4" w:space="0" w:color="auto"/>
              <w:bottom w:val="single" w:sz="4" w:space="0" w:color="auto"/>
            </w:tcBorders>
            <w:vAlign w:val="bottom"/>
          </w:tcPr>
          <w:p w14:paraId="54A7D99B" w14:textId="77777777" w:rsidR="009B1956" w:rsidRPr="00F36B82" w:rsidRDefault="009B1956" w:rsidP="00887449">
            <w:pPr>
              <w:jc w:val="right"/>
              <w:rPr>
                <w:b/>
                <w:bCs/>
                <w:color w:val="000000"/>
                <w:sz w:val="14"/>
                <w:szCs w:val="14"/>
              </w:rPr>
            </w:pPr>
            <w:r w:rsidRPr="00F36B82">
              <w:rPr>
                <w:b/>
                <w:bCs/>
                <w:color w:val="000000"/>
                <w:sz w:val="14"/>
                <w:szCs w:val="14"/>
              </w:rPr>
              <w:t>15</w:t>
            </w:r>
          </w:p>
        </w:tc>
        <w:tc>
          <w:tcPr>
            <w:tcW w:w="244" w:type="pct"/>
            <w:tcBorders>
              <w:top w:val="single" w:sz="4" w:space="0" w:color="auto"/>
              <w:bottom w:val="single" w:sz="4" w:space="0" w:color="auto"/>
            </w:tcBorders>
            <w:vAlign w:val="bottom"/>
          </w:tcPr>
          <w:p w14:paraId="4653DFDB" w14:textId="77777777" w:rsidR="009B1956" w:rsidRPr="00F36B82" w:rsidRDefault="009B1956" w:rsidP="00887449">
            <w:pPr>
              <w:jc w:val="right"/>
              <w:rPr>
                <w:b/>
                <w:bCs/>
                <w:color w:val="000000"/>
                <w:sz w:val="14"/>
                <w:szCs w:val="14"/>
              </w:rPr>
            </w:pPr>
            <w:r w:rsidRPr="00F36B82">
              <w:rPr>
                <w:b/>
                <w:bCs/>
                <w:color w:val="000000"/>
                <w:sz w:val="14"/>
                <w:szCs w:val="14"/>
              </w:rPr>
              <w:t>16</w:t>
            </w:r>
          </w:p>
        </w:tc>
        <w:tc>
          <w:tcPr>
            <w:tcW w:w="244" w:type="pct"/>
            <w:tcBorders>
              <w:top w:val="single" w:sz="4" w:space="0" w:color="auto"/>
              <w:bottom w:val="single" w:sz="4" w:space="0" w:color="auto"/>
            </w:tcBorders>
            <w:vAlign w:val="bottom"/>
          </w:tcPr>
          <w:p w14:paraId="1ABFB884" w14:textId="77777777" w:rsidR="009B1956" w:rsidRPr="00F36B82" w:rsidRDefault="009B1956" w:rsidP="00887449">
            <w:pPr>
              <w:jc w:val="right"/>
              <w:rPr>
                <w:b/>
                <w:bCs/>
                <w:color w:val="000000"/>
                <w:sz w:val="14"/>
                <w:szCs w:val="14"/>
              </w:rPr>
            </w:pPr>
            <w:r w:rsidRPr="00F36B82">
              <w:rPr>
                <w:b/>
                <w:bCs/>
                <w:color w:val="000000"/>
                <w:sz w:val="14"/>
                <w:szCs w:val="14"/>
              </w:rPr>
              <w:t>17</w:t>
            </w:r>
          </w:p>
        </w:tc>
        <w:tc>
          <w:tcPr>
            <w:tcW w:w="268" w:type="pct"/>
            <w:tcBorders>
              <w:top w:val="single" w:sz="4" w:space="0" w:color="auto"/>
              <w:bottom w:val="single" w:sz="4" w:space="0" w:color="auto"/>
            </w:tcBorders>
            <w:vAlign w:val="bottom"/>
          </w:tcPr>
          <w:p w14:paraId="48165F44" w14:textId="77777777" w:rsidR="009B1956" w:rsidRPr="00F36B82" w:rsidRDefault="009B1956" w:rsidP="00887449">
            <w:pPr>
              <w:jc w:val="right"/>
              <w:rPr>
                <w:rFonts w:eastAsia="Arial Unicode MS"/>
                <w:b/>
                <w:sz w:val="14"/>
                <w:szCs w:val="14"/>
              </w:rPr>
            </w:pPr>
            <w:r w:rsidRPr="00F36B82">
              <w:rPr>
                <w:b/>
                <w:bCs/>
                <w:color w:val="000000"/>
                <w:sz w:val="14"/>
                <w:szCs w:val="14"/>
              </w:rPr>
              <w:t xml:space="preserve">    TP</w:t>
            </w:r>
          </w:p>
        </w:tc>
        <w:tc>
          <w:tcPr>
            <w:tcW w:w="272" w:type="pct"/>
            <w:tcBorders>
              <w:top w:val="single" w:sz="4" w:space="0" w:color="auto"/>
              <w:bottom w:val="single" w:sz="4" w:space="0" w:color="auto"/>
            </w:tcBorders>
            <w:vAlign w:val="bottom"/>
          </w:tcPr>
          <w:p w14:paraId="1D51A034" w14:textId="77777777" w:rsidR="009B1956" w:rsidRPr="00F36B82" w:rsidRDefault="009B1956" w:rsidP="00887449">
            <w:pPr>
              <w:jc w:val="right"/>
              <w:rPr>
                <w:rFonts w:eastAsia="Arial Unicode MS"/>
                <w:b/>
                <w:sz w:val="14"/>
                <w:szCs w:val="14"/>
              </w:rPr>
            </w:pPr>
            <w:r w:rsidRPr="00F36B82">
              <w:rPr>
                <w:b/>
                <w:bCs/>
                <w:color w:val="000000"/>
                <w:sz w:val="14"/>
                <w:szCs w:val="14"/>
              </w:rPr>
              <w:t>YP</w:t>
            </w:r>
          </w:p>
        </w:tc>
        <w:tc>
          <w:tcPr>
            <w:tcW w:w="273" w:type="pct"/>
            <w:tcBorders>
              <w:top w:val="single" w:sz="4" w:space="0" w:color="auto"/>
              <w:bottom w:val="single" w:sz="4" w:space="0" w:color="auto"/>
            </w:tcBorders>
            <w:vAlign w:val="bottom"/>
          </w:tcPr>
          <w:p w14:paraId="5F7B9EF7" w14:textId="77777777" w:rsidR="009B1956" w:rsidRPr="00F36B82" w:rsidRDefault="009B1956" w:rsidP="00887449">
            <w:pPr>
              <w:jc w:val="right"/>
              <w:rPr>
                <w:b/>
                <w:bCs/>
                <w:color w:val="000000"/>
                <w:sz w:val="14"/>
                <w:szCs w:val="14"/>
              </w:rPr>
            </w:pPr>
            <w:r w:rsidRPr="00F36B82">
              <w:rPr>
                <w:b/>
                <w:bCs/>
                <w:color w:val="000000"/>
                <w:sz w:val="14"/>
                <w:szCs w:val="14"/>
              </w:rPr>
              <w:t xml:space="preserve">      Toplam</w:t>
            </w:r>
          </w:p>
        </w:tc>
      </w:tr>
      <w:tr w:rsidR="009B1956" w:rsidRPr="00F36B82" w14:paraId="5F28F1CC" w14:textId="77777777" w:rsidTr="007A5154">
        <w:trPr>
          <w:trHeight w:val="176"/>
        </w:trPr>
        <w:tc>
          <w:tcPr>
            <w:tcW w:w="98" w:type="pct"/>
            <w:tcBorders>
              <w:top w:val="single" w:sz="4" w:space="0" w:color="auto"/>
            </w:tcBorders>
          </w:tcPr>
          <w:p w14:paraId="022499CF" w14:textId="77777777" w:rsidR="009B1956" w:rsidRPr="00F36B82" w:rsidRDefault="009B1956" w:rsidP="007A5154">
            <w:pPr>
              <w:autoSpaceDE w:val="0"/>
              <w:autoSpaceDN w:val="0"/>
              <w:adjustRightInd w:val="0"/>
              <w:ind w:left="180" w:hanging="180"/>
              <w:rPr>
                <w:rFonts w:eastAsia="Arial Unicode MS"/>
                <w:b/>
                <w:sz w:val="14"/>
                <w:szCs w:val="14"/>
              </w:rPr>
            </w:pPr>
            <w:r w:rsidRPr="00F36B82">
              <w:rPr>
                <w:rFonts w:eastAsia="Arial Unicode MS"/>
                <w:b/>
                <w:sz w:val="14"/>
                <w:szCs w:val="14"/>
              </w:rPr>
              <w:t>1</w:t>
            </w:r>
          </w:p>
        </w:tc>
        <w:tc>
          <w:tcPr>
            <w:tcW w:w="528" w:type="pct"/>
            <w:tcBorders>
              <w:top w:val="single" w:sz="4" w:space="0" w:color="auto"/>
            </w:tcBorders>
            <w:vAlign w:val="bottom"/>
          </w:tcPr>
          <w:p w14:paraId="512D450F" w14:textId="77777777" w:rsidR="009B1956" w:rsidRPr="00F36B82" w:rsidRDefault="009B1956" w:rsidP="00887449">
            <w:pPr>
              <w:rPr>
                <w:b/>
                <w:bCs/>
                <w:color w:val="000000"/>
                <w:sz w:val="14"/>
                <w:szCs w:val="14"/>
              </w:rPr>
            </w:pPr>
            <w:r w:rsidRPr="00F36B82">
              <w:rPr>
                <w:b/>
                <w:bCs/>
                <w:color w:val="000000"/>
                <w:sz w:val="14"/>
                <w:szCs w:val="14"/>
              </w:rPr>
              <w:t>Tarım</w:t>
            </w:r>
          </w:p>
        </w:tc>
        <w:tc>
          <w:tcPr>
            <w:tcW w:w="240" w:type="pct"/>
            <w:tcBorders>
              <w:top w:val="nil"/>
              <w:left w:val="nil"/>
              <w:bottom w:val="nil"/>
              <w:right w:val="nil"/>
            </w:tcBorders>
            <w:vAlign w:val="bottom"/>
          </w:tcPr>
          <w:p w14:paraId="50BF2665" w14:textId="77777777" w:rsidR="009B1956" w:rsidRPr="00F36B82" w:rsidRDefault="009B1956" w:rsidP="00887449">
            <w:pPr>
              <w:jc w:val="right"/>
              <w:rPr>
                <w:b/>
                <w:sz w:val="14"/>
                <w:szCs w:val="14"/>
              </w:rPr>
            </w:pPr>
            <w:r w:rsidRPr="00F36B82">
              <w:rPr>
                <w:b/>
                <w:bCs/>
                <w:color w:val="000000"/>
                <w:sz w:val="14"/>
                <w:szCs w:val="14"/>
              </w:rPr>
              <w:t>-</w:t>
            </w:r>
          </w:p>
        </w:tc>
        <w:tc>
          <w:tcPr>
            <w:tcW w:w="156" w:type="pct"/>
            <w:tcBorders>
              <w:top w:val="nil"/>
              <w:left w:val="nil"/>
              <w:bottom w:val="nil"/>
              <w:right w:val="nil"/>
            </w:tcBorders>
            <w:vAlign w:val="bottom"/>
          </w:tcPr>
          <w:p w14:paraId="5030C848" w14:textId="77777777" w:rsidR="009B1956" w:rsidRPr="00F36B82" w:rsidRDefault="009B1956" w:rsidP="00887449">
            <w:pPr>
              <w:jc w:val="right"/>
              <w:rPr>
                <w:b/>
                <w:sz w:val="14"/>
                <w:szCs w:val="14"/>
              </w:rPr>
            </w:pPr>
            <w:r w:rsidRPr="00F36B82">
              <w:rPr>
                <w:b/>
                <w:bCs/>
                <w:color w:val="000000"/>
                <w:sz w:val="14"/>
                <w:szCs w:val="14"/>
              </w:rPr>
              <w:t>-</w:t>
            </w:r>
          </w:p>
        </w:tc>
        <w:tc>
          <w:tcPr>
            <w:tcW w:w="173" w:type="pct"/>
            <w:tcBorders>
              <w:top w:val="nil"/>
              <w:left w:val="nil"/>
              <w:bottom w:val="nil"/>
              <w:right w:val="nil"/>
            </w:tcBorders>
            <w:vAlign w:val="bottom"/>
          </w:tcPr>
          <w:p w14:paraId="7A8058F4" w14:textId="77777777" w:rsidR="009B1956" w:rsidRPr="00F36B82" w:rsidRDefault="009B1956" w:rsidP="00887449">
            <w:pPr>
              <w:jc w:val="right"/>
              <w:rPr>
                <w:b/>
                <w:sz w:val="14"/>
                <w:szCs w:val="14"/>
              </w:rPr>
            </w:pPr>
            <w:r w:rsidRPr="00F36B82">
              <w:rPr>
                <w:b/>
                <w:bCs/>
                <w:color w:val="000000"/>
                <w:sz w:val="14"/>
                <w:szCs w:val="14"/>
              </w:rPr>
              <w:t>-</w:t>
            </w:r>
          </w:p>
        </w:tc>
        <w:tc>
          <w:tcPr>
            <w:tcW w:w="100" w:type="pct"/>
            <w:tcBorders>
              <w:top w:val="nil"/>
              <w:left w:val="nil"/>
              <w:bottom w:val="nil"/>
              <w:right w:val="nil"/>
            </w:tcBorders>
            <w:vAlign w:val="bottom"/>
          </w:tcPr>
          <w:p w14:paraId="28E190F0" w14:textId="77777777" w:rsidR="009B1956" w:rsidRPr="00F36B82" w:rsidRDefault="009B1956" w:rsidP="00887449">
            <w:pPr>
              <w:jc w:val="right"/>
              <w:rPr>
                <w:b/>
                <w:sz w:val="14"/>
                <w:szCs w:val="14"/>
              </w:rPr>
            </w:pPr>
            <w:r w:rsidRPr="00F36B82">
              <w:rPr>
                <w:b/>
                <w:bCs/>
                <w:color w:val="000000"/>
                <w:sz w:val="14"/>
                <w:szCs w:val="14"/>
              </w:rPr>
              <w:t>-</w:t>
            </w:r>
          </w:p>
        </w:tc>
        <w:tc>
          <w:tcPr>
            <w:tcW w:w="224" w:type="pct"/>
            <w:tcBorders>
              <w:top w:val="nil"/>
              <w:left w:val="nil"/>
              <w:bottom w:val="nil"/>
              <w:right w:val="nil"/>
            </w:tcBorders>
            <w:vAlign w:val="bottom"/>
          </w:tcPr>
          <w:p w14:paraId="70820A3F" w14:textId="77777777" w:rsidR="009B1956" w:rsidRPr="00F36B82" w:rsidRDefault="009B1956" w:rsidP="00887449">
            <w:pPr>
              <w:jc w:val="right"/>
              <w:rPr>
                <w:b/>
                <w:sz w:val="14"/>
                <w:szCs w:val="14"/>
              </w:rPr>
            </w:pPr>
            <w:r w:rsidRPr="00F36B82">
              <w:rPr>
                <w:b/>
                <w:bCs/>
                <w:color w:val="000000"/>
                <w:sz w:val="14"/>
                <w:szCs w:val="14"/>
              </w:rPr>
              <w:t>-</w:t>
            </w:r>
          </w:p>
        </w:tc>
        <w:tc>
          <w:tcPr>
            <w:tcW w:w="240" w:type="pct"/>
            <w:tcBorders>
              <w:top w:val="nil"/>
              <w:left w:val="nil"/>
              <w:bottom w:val="nil"/>
              <w:right w:val="nil"/>
            </w:tcBorders>
            <w:vAlign w:val="bottom"/>
          </w:tcPr>
          <w:p w14:paraId="47D00288" w14:textId="77777777" w:rsidR="009B1956" w:rsidRPr="00F36B82" w:rsidRDefault="009B1956" w:rsidP="00887449">
            <w:pPr>
              <w:jc w:val="right"/>
              <w:rPr>
                <w:b/>
                <w:sz w:val="14"/>
                <w:szCs w:val="14"/>
              </w:rPr>
            </w:pPr>
            <w:r w:rsidRPr="00F36B82">
              <w:rPr>
                <w:b/>
                <w:bCs/>
                <w:color w:val="000000"/>
                <w:sz w:val="14"/>
                <w:szCs w:val="14"/>
              </w:rPr>
              <w:t>-</w:t>
            </w:r>
          </w:p>
        </w:tc>
        <w:tc>
          <w:tcPr>
            <w:tcW w:w="268" w:type="pct"/>
            <w:tcBorders>
              <w:top w:val="nil"/>
              <w:left w:val="nil"/>
              <w:bottom w:val="nil"/>
              <w:right w:val="nil"/>
            </w:tcBorders>
            <w:vAlign w:val="bottom"/>
          </w:tcPr>
          <w:p w14:paraId="11FDE7C3" w14:textId="77777777" w:rsidR="009B1956" w:rsidRPr="00F36B82" w:rsidRDefault="009B1956" w:rsidP="00887449">
            <w:pPr>
              <w:jc w:val="right"/>
              <w:rPr>
                <w:b/>
                <w:sz w:val="14"/>
                <w:szCs w:val="14"/>
              </w:rPr>
            </w:pPr>
            <w:r w:rsidRPr="00F36B82">
              <w:rPr>
                <w:b/>
                <w:bCs/>
                <w:color w:val="000000"/>
                <w:sz w:val="14"/>
                <w:szCs w:val="14"/>
              </w:rPr>
              <w:t>147.662</w:t>
            </w:r>
          </w:p>
        </w:tc>
        <w:tc>
          <w:tcPr>
            <w:tcW w:w="220" w:type="pct"/>
            <w:tcBorders>
              <w:top w:val="nil"/>
              <w:left w:val="nil"/>
              <w:bottom w:val="nil"/>
              <w:right w:val="nil"/>
            </w:tcBorders>
            <w:vAlign w:val="bottom"/>
          </w:tcPr>
          <w:p w14:paraId="54B0DAD6" w14:textId="77777777" w:rsidR="009B1956" w:rsidRPr="00F36B82" w:rsidRDefault="009B1956" w:rsidP="00887449">
            <w:pPr>
              <w:jc w:val="right"/>
              <w:rPr>
                <w:b/>
                <w:sz w:val="14"/>
                <w:szCs w:val="14"/>
              </w:rPr>
            </w:pPr>
            <w:r w:rsidRPr="00F36B82">
              <w:rPr>
                <w:b/>
                <w:bCs/>
                <w:color w:val="000000"/>
                <w:sz w:val="14"/>
                <w:szCs w:val="14"/>
              </w:rPr>
              <w:t>-</w:t>
            </w:r>
          </w:p>
        </w:tc>
        <w:tc>
          <w:tcPr>
            <w:tcW w:w="201" w:type="pct"/>
            <w:tcBorders>
              <w:top w:val="nil"/>
              <w:left w:val="nil"/>
              <w:bottom w:val="nil"/>
              <w:right w:val="nil"/>
            </w:tcBorders>
            <w:vAlign w:val="bottom"/>
          </w:tcPr>
          <w:p w14:paraId="1FC82A06" w14:textId="77777777" w:rsidR="009B1956" w:rsidRPr="00F36B82" w:rsidRDefault="009B1956" w:rsidP="00887449">
            <w:pPr>
              <w:jc w:val="right"/>
              <w:rPr>
                <w:b/>
                <w:sz w:val="14"/>
                <w:szCs w:val="14"/>
              </w:rPr>
            </w:pPr>
            <w:r w:rsidRPr="00F36B82">
              <w:rPr>
                <w:b/>
                <w:bCs/>
                <w:color w:val="000000"/>
                <w:sz w:val="14"/>
                <w:szCs w:val="14"/>
              </w:rPr>
              <w:t>-</w:t>
            </w:r>
          </w:p>
        </w:tc>
        <w:tc>
          <w:tcPr>
            <w:tcW w:w="142" w:type="pct"/>
            <w:tcBorders>
              <w:top w:val="nil"/>
              <w:left w:val="nil"/>
              <w:bottom w:val="nil"/>
              <w:right w:val="nil"/>
            </w:tcBorders>
            <w:vAlign w:val="bottom"/>
          </w:tcPr>
          <w:p w14:paraId="5D00D955" w14:textId="77777777" w:rsidR="009B1956" w:rsidRPr="00F36B82" w:rsidRDefault="009B1956" w:rsidP="00887449">
            <w:pPr>
              <w:jc w:val="right"/>
              <w:rPr>
                <w:b/>
                <w:sz w:val="14"/>
                <w:szCs w:val="14"/>
              </w:rPr>
            </w:pPr>
            <w:r w:rsidRPr="00F36B82">
              <w:rPr>
                <w:b/>
                <w:bCs/>
                <w:color w:val="000000"/>
                <w:sz w:val="14"/>
                <w:szCs w:val="14"/>
              </w:rPr>
              <w:t>-</w:t>
            </w:r>
          </w:p>
        </w:tc>
        <w:tc>
          <w:tcPr>
            <w:tcW w:w="220" w:type="pct"/>
            <w:tcBorders>
              <w:top w:val="nil"/>
              <w:left w:val="nil"/>
              <w:bottom w:val="nil"/>
              <w:right w:val="nil"/>
            </w:tcBorders>
            <w:vAlign w:val="bottom"/>
          </w:tcPr>
          <w:p w14:paraId="049E71B7" w14:textId="77777777" w:rsidR="009B1956" w:rsidRPr="00F36B82" w:rsidRDefault="009B1956" w:rsidP="00887449">
            <w:pPr>
              <w:jc w:val="right"/>
              <w:rPr>
                <w:b/>
                <w:sz w:val="14"/>
                <w:szCs w:val="14"/>
              </w:rPr>
            </w:pPr>
            <w:r w:rsidRPr="00F36B82">
              <w:rPr>
                <w:b/>
                <w:bCs/>
                <w:color w:val="000000"/>
                <w:sz w:val="14"/>
                <w:szCs w:val="14"/>
              </w:rPr>
              <w:t>-</w:t>
            </w:r>
          </w:p>
        </w:tc>
        <w:tc>
          <w:tcPr>
            <w:tcW w:w="159" w:type="pct"/>
            <w:tcBorders>
              <w:top w:val="nil"/>
              <w:left w:val="nil"/>
              <w:bottom w:val="nil"/>
              <w:right w:val="nil"/>
            </w:tcBorders>
            <w:vAlign w:val="bottom"/>
          </w:tcPr>
          <w:p w14:paraId="4D7D392B" w14:textId="77777777" w:rsidR="009B1956" w:rsidRPr="00F36B82" w:rsidRDefault="009B1956" w:rsidP="00887449">
            <w:pPr>
              <w:jc w:val="right"/>
              <w:rPr>
                <w:b/>
                <w:sz w:val="14"/>
                <w:szCs w:val="14"/>
              </w:rPr>
            </w:pPr>
            <w:r w:rsidRPr="00F36B82">
              <w:rPr>
                <w:b/>
                <w:bCs/>
                <w:color w:val="000000"/>
                <w:sz w:val="14"/>
                <w:szCs w:val="14"/>
              </w:rPr>
              <w:t>-</w:t>
            </w:r>
          </w:p>
        </w:tc>
        <w:tc>
          <w:tcPr>
            <w:tcW w:w="244" w:type="pct"/>
            <w:tcBorders>
              <w:top w:val="nil"/>
              <w:left w:val="nil"/>
              <w:bottom w:val="nil"/>
              <w:right w:val="nil"/>
            </w:tcBorders>
            <w:vAlign w:val="bottom"/>
          </w:tcPr>
          <w:p w14:paraId="58070F98" w14:textId="77777777" w:rsidR="009B1956" w:rsidRPr="00F36B82" w:rsidRDefault="009B1956" w:rsidP="00887449">
            <w:pPr>
              <w:jc w:val="right"/>
              <w:rPr>
                <w:b/>
                <w:sz w:val="14"/>
                <w:szCs w:val="14"/>
              </w:rPr>
            </w:pPr>
            <w:r w:rsidRPr="00F36B82">
              <w:rPr>
                <w:b/>
                <w:bCs/>
                <w:color w:val="000000"/>
                <w:sz w:val="14"/>
                <w:szCs w:val="14"/>
              </w:rPr>
              <w:t>-</w:t>
            </w:r>
          </w:p>
        </w:tc>
        <w:tc>
          <w:tcPr>
            <w:tcW w:w="244" w:type="pct"/>
            <w:tcBorders>
              <w:top w:val="nil"/>
              <w:left w:val="nil"/>
              <w:bottom w:val="nil"/>
              <w:right w:val="nil"/>
            </w:tcBorders>
            <w:vAlign w:val="bottom"/>
          </w:tcPr>
          <w:p w14:paraId="21EE266B" w14:textId="77777777" w:rsidR="009B1956" w:rsidRPr="00F36B82" w:rsidRDefault="009B1956" w:rsidP="00887449">
            <w:pPr>
              <w:jc w:val="right"/>
              <w:rPr>
                <w:b/>
                <w:sz w:val="14"/>
                <w:szCs w:val="14"/>
              </w:rPr>
            </w:pPr>
            <w:r w:rsidRPr="00F36B82">
              <w:rPr>
                <w:b/>
                <w:bCs/>
                <w:color w:val="000000"/>
                <w:sz w:val="14"/>
                <w:szCs w:val="14"/>
              </w:rPr>
              <w:t>-</w:t>
            </w:r>
          </w:p>
        </w:tc>
        <w:tc>
          <w:tcPr>
            <w:tcW w:w="244" w:type="pct"/>
            <w:tcBorders>
              <w:top w:val="nil"/>
              <w:left w:val="nil"/>
              <w:bottom w:val="nil"/>
              <w:right w:val="nil"/>
            </w:tcBorders>
            <w:vAlign w:val="bottom"/>
          </w:tcPr>
          <w:p w14:paraId="48449570" w14:textId="77777777" w:rsidR="009B1956" w:rsidRPr="00F36B82" w:rsidRDefault="009B1956" w:rsidP="00887449">
            <w:pPr>
              <w:jc w:val="right"/>
              <w:rPr>
                <w:b/>
                <w:sz w:val="14"/>
                <w:szCs w:val="14"/>
              </w:rPr>
            </w:pPr>
            <w:r w:rsidRPr="00F36B82">
              <w:rPr>
                <w:b/>
                <w:bCs/>
                <w:color w:val="000000"/>
                <w:sz w:val="14"/>
                <w:szCs w:val="14"/>
              </w:rPr>
              <w:t>-</w:t>
            </w:r>
          </w:p>
        </w:tc>
        <w:tc>
          <w:tcPr>
            <w:tcW w:w="244" w:type="pct"/>
            <w:tcBorders>
              <w:top w:val="nil"/>
              <w:left w:val="nil"/>
              <w:bottom w:val="nil"/>
              <w:right w:val="nil"/>
            </w:tcBorders>
            <w:vAlign w:val="bottom"/>
          </w:tcPr>
          <w:p w14:paraId="0A25B6DE" w14:textId="77777777" w:rsidR="009B1956" w:rsidRPr="00F36B82" w:rsidRDefault="009B1956" w:rsidP="00887449">
            <w:pPr>
              <w:jc w:val="right"/>
              <w:rPr>
                <w:b/>
                <w:sz w:val="14"/>
                <w:szCs w:val="14"/>
              </w:rPr>
            </w:pPr>
            <w:r w:rsidRPr="00F36B82">
              <w:rPr>
                <w:b/>
                <w:bCs/>
                <w:color w:val="000000"/>
                <w:sz w:val="14"/>
                <w:szCs w:val="14"/>
              </w:rPr>
              <w:t>-</w:t>
            </w:r>
          </w:p>
        </w:tc>
        <w:tc>
          <w:tcPr>
            <w:tcW w:w="244" w:type="pct"/>
            <w:tcBorders>
              <w:top w:val="nil"/>
              <w:left w:val="nil"/>
              <w:bottom w:val="nil"/>
              <w:right w:val="nil"/>
            </w:tcBorders>
            <w:vAlign w:val="bottom"/>
          </w:tcPr>
          <w:p w14:paraId="63E51992" w14:textId="77777777" w:rsidR="009B1956" w:rsidRPr="00F36B82" w:rsidRDefault="009B1956" w:rsidP="00887449">
            <w:pPr>
              <w:jc w:val="right"/>
              <w:rPr>
                <w:b/>
                <w:sz w:val="14"/>
                <w:szCs w:val="14"/>
              </w:rPr>
            </w:pPr>
            <w:r w:rsidRPr="00F36B82">
              <w:rPr>
                <w:b/>
                <w:bCs/>
                <w:color w:val="000000"/>
                <w:sz w:val="14"/>
                <w:szCs w:val="14"/>
              </w:rPr>
              <w:t>-</w:t>
            </w:r>
          </w:p>
        </w:tc>
        <w:tc>
          <w:tcPr>
            <w:tcW w:w="268" w:type="pct"/>
            <w:tcBorders>
              <w:top w:val="nil"/>
              <w:left w:val="nil"/>
              <w:bottom w:val="nil"/>
              <w:right w:val="nil"/>
            </w:tcBorders>
            <w:vAlign w:val="bottom"/>
          </w:tcPr>
          <w:p w14:paraId="6712D559" w14:textId="77777777" w:rsidR="009B1956" w:rsidRPr="00F36B82" w:rsidRDefault="009B1956" w:rsidP="00887449">
            <w:pPr>
              <w:jc w:val="right"/>
              <w:rPr>
                <w:b/>
                <w:sz w:val="14"/>
                <w:szCs w:val="14"/>
              </w:rPr>
            </w:pPr>
            <w:r w:rsidRPr="00F36B82">
              <w:rPr>
                <w:b/>
                <w:bCs/>
                <w:color w:val="000000"/>
                <w:sz w:val="14"/>
                <w:szCs w:val="14"/>
              </w:rPr>
              <w:t>145.317</w:t>
            </w:r>
          </w:p>
        </w:tc>
        <w:tc>
          <w:tcPr>
            <w:tcW w:w="272" w:type="pct"/>
            <w:tcBorders>
              <w:top w:val="nil"/>
              <w:left w:val="nil"/>
              <w:bottom w:val="nil"/>
              <w:right w:val="nil"/>
            </w:tcBorders>
            <w:vAlign w:val="bottom"/>
          </w:tcPr>
          <w:p w14:paraId="588F92F8" w14:textId="77777777" w:rsidR="009B1956" w:rsidRPr="00F36B82" w:rsidRDefault="009B1956" w:rsidP="00887449">
            <w:pPr>
              <w:jc w:val="right"/>
              <w:rPr>
                <w:b/>
                <w:sz w:val="14"/>
                <w:szCs w:val="14"/>
              </w:rPr>
            </w:pPr>
            <w:r w:rsidRPr="00F36B82">
              <w:rPr>
                <w:b/>
                <w:bCs/>
                <w:color w:val="000000"/>
                <w:sz w:val="14"/>
                <w:szCs w:val="14"/>
              </w:rPr>
              <w:t>2.345</w:t>
            </w:r>
          </w:p>
        </w:tc>
        <w:tc>
          <w:tcPr>
            <w:tcW w:w="273" w:type="pct"/>
            <w:tcBorders>
              <w:top w:val="single" w:sz="4" w:space="0" w:color="auto"/>
              <w:left w:val="nil"/>
              <w:bottom w:val="nil"/>
              <w:right w:val="nil"/>
            </w:tcBorders>
            <w:vAlign w:val="bottom"/>
          </w:tcPr>
          <w:p w14:paraId="1706138E" w14:textId="77777777" w:rsidR="009B1956" w:rsidRPr="00F36B82" w:rsidRDefault="009B1956" w:rsidP="00887449">
            <w:pPr>
              <w:jc w:val="right"/>
              <w:rPr>
                <w:b/>
                <w:sz w:val="14"/>
                <w:szCs w:val="14"/>
              </w:rPr>
            </w:pPr>
            <w:r w:rsidRPr="00F36B82">
              <w:rPr>
                <w:b/>
                <w:bCs/>
                <w:color w:val="000000"/>
                <w:sz w:val="14"/>
                <w:szCs w:val="14"/>
              </w:rPr>
              <w:t>147.662</w:t>
            </w:r>
          </w:p>
        </w:tc>
      </w:tr>
      <w:tr w:rsidR="009B1956" w:rsidRPr="00F36B82" w14:paraId="49B77AFC" w14:textId="77777777" w:rsidTr="007A5154">
        <w:trPr>
          <w:trHeight w:val="133"/>
        </w:trPr>
        <w:tc>
          <w:tcPr>
            <w:tcW w:w="98" w:type="pct"/>
          </w:tcPr>
          <w:p w14:paraId="40D0F654" w14:textId="77777777" w:rsidR="009B1956" w:rsidRPr="00F36B82" w:rsidRDefault="009B1956" w:rsidP="007A5154">
            <w:pPr>
              <w:autoSpaceDE w:val="0"/>
              <w:autoSpaceDN w:val="0"/>
              <w:adjustRightInd w:val="0"/>
              <w:ind w:left="180" w:hanging="180"/>
              <w:rPr>
                <w:rFonts w:eastAsia="Arial Unicode MS"/>
                <w:sz w:val="14"/>
                <w:szCs w:val="14"/>
              </w:rPr>
            </w:pPr>
            <w:r w:rsidRPr="00F36B82">
              <w:rPr>
                <w:rFonts w:eastAsia="Arial Unicode MS"/>
                <w:sz w:val="14"/>
                <w:szCs w:val="14"/>
              </w:rPr>
              <w:t>1.1</w:t>
            </w:r>
          </w:p>
        </w:tc>
        <w:tc>
          <w:tcPr>
            <w:tcW w:w="528" w:type="pct"/>
            <w:vAlign w:val="bottom"/>
          </w:tcPr>
          <w:p w14:paraId="2B86B87A" w14:textId="77777777" w:rsidR="009B1956" w:rsidRPr="00F36B82" w:rsidRDefault="009B1956" w:rsidP="00887449">
            <w:pPr>
              <w:rPr>
                <w:color w:val="000000"/>
                <w:sz w:val="14"/>
                <w:szCs w:val="14"/>
              </w:rPr>
            </w:pPr>
            <w:r w:rsidRPr="00F36B82">
              <w:rPr>
                <w:color w:val="000000"/>
                <w:sz w:val="14"/>
                <w:szCs w:val="14"/>
              </w:rPr>
              <w:t xml:space="preserve">   Çiftçilik ve Hayvancılık </w:t>
            </w:r>
          </w:p>
        </w:tc>
        <w:tc>
          <w:tcPr>
            <w:tcW w:w="240" w:type="pct"/>
            <w:tcBorders>
              <w:top w:val="nil"/>
              <w:left w:val="nil"/>
              <w:bottom w:val="nil"/>
              <w:right w:val="nil"/>
            </w:tcBorders>
            <w:vAlign w:val="bottom"/>
          </w:tcPr>
          <w:p w14:paraId="6A5FF07E" w14:textId="77777777" w:rsidR="009B1956" w:rsidRPr="00F36B82" w:rsidRDefault="009B1956" w:rsidP="00887449">
            <w:pPr>
              <w:jc w:val="right"/>
              <w:rPr>
                <w:sz w:val="14"/>
                <w:szCs w:val="14"/>
              </w:rPr>
            </w:pPr>
            <w:r w:rsidRPr="00F36B82">
              <w:rPr>
                <w:color w:val="000000"/>
                <w:sz w:val="14"/>
                <w:szCs w:val="14"/>
              </w:rPr>
              <w:t>-</w:t>
            </w:r>
          </w:p>
        </w:tc>
        <w:tc>
          <w:tcPr>
            <w:tcW w:w="156" w:type="pct"/>
            <w:tcBorders>
              <w:top w:val="nil"/>
              <w:left w:val="nil"/>
              <w:bottom w:val="nil"/>
              <w:right w:val="nil"/>
            </w:tcBorders>
            <w:vAlign w:val="bottom"/>
          </w:tcPr>
          <w:p w14:paraId="7D99F93F" w14:textId="77777777" w:rsidR="009B1956" w:rsidRPr="00F36B82" w:rsidRDefault="009B1956" w:rsidP="00887449">
            <w:pPr>
              <w:jc w:val="right"/>
              <w:rPr>
                <w:sz w:val="14"/>
                <w:szCs w:val="14"/>
              </w:rPr>
            </w:pPr>
            <w:r w:rsidRPr="00F36B82">
              <w:rPr>
                <w:color w:val="000000"/>
                <w:sz w:val="14"/>
                <w:szCs w:val="14"/>
              </w:rPr>
              <w:t>-</w:t>
            </w:r>
          </w:p>
        </w:tc>
        <w:tc>
          <w:tcPr>
            <w:tcW w:w="173" w:type="pct"/>
            <w:tcBorders>
              <w:top w:val="nil"/>
              <w:left w:val="nil"/>
              <w:bottom w:val="nil"/>
              <w:right w:val="nil"/>
            </w:tcBorders>
            <w:vAlign w:val="bottom"/>
          </w:tcPr>
          <w:p w14:paraId="16FBE02C" w14:textId="77777777" w:rsidR="009B1956" w:rsidRPr="00F36B82" w:rsidRDefault="009B1956" w:rsidP="00887449">
            <w:pPr>
              <w:jc w:val="right"/>
              <w:rPr>
                <w:sz w:val="14"/>
                <w:szCs w:val="14"/>
              </w:rPr>
            </w:pPr>
            <w:r w:rsidRPr="00F36B82">
              <w:rPr>
                <w:color w:val="000000"/>
                <w:sz w:val="14"/>
                <w:szCs w:val="14"/>
              </w:rPr>
              <w:t>-</w:t>
            </w:r>
          </w:p>
        </w:tc>
        <w:tc>
          <w:tcPr>
            <w:tcW w:w="100" w:type="pct"/>
            <w:tcBorders>
              <w:top w:val="nil"/>
              <w:left w:val="nil"/>
              <w:bottom w:val="nil"/>
              <w:right w:val="nil"/>
            </w:tcBorders>
            <w:vAlign w:val="bottom"/>
          </w:tcPr>
          <w:p w14:paraId="57D3BC3E" w14:textId="77777777" w:rsidR="009B1956" w:rsidRPr="00F36B82" w:rsidRDefault="009B1956" w:rsidP="00887449">
            <w:pPr>
              <w:jc w:val="right"/>
              <w:rPr>
                <w:sz w:val="14"/>
                <w:szCs w:val="14"/>
              </w:rPr>
            </w:pPr>
            <w:r w:rsidRPr="00F36B82">
              <w:rPr>
                <w:color w:val="000000"/>
                <w:sz w:val="14"/>
                <w:szCs w:val="14"/>
              </w:rPr>
              <w:t>-</w:t>
            </w:r>
          </w:p>
        </w:tc>
        <w:tc>
          <w:tcPr>
            <w:tcW w:w="224" w:type="pct"/>
            <w:tcBorders>
              <w:top w:val="nil"/>
              <w:left w:val="nil"/>
              <w:bottom w:val="nil"/>
              <w:right w:val="nil"/>
            </w:tcBorders>
            <w:vAlign w:val="bottom"/>
          </w:tcPr>
          <w:p w14:paraId="70E98291" w14:textId="77777777" w:rsidR="009B1956" w:rsidRPr="00F36B82" w:rsidRDefault="009B1956" w:rsidP="00887449">
            <w:pPr>
              <w:jc w:val="right"/>
              <w:rPr>
                <w:sz w:val="14"/>
                <w:szCs w:val="14"/>
              </w:rPr>
            </w:pPr>
            <w:r w:rsidRPr="00F36B82">
              <w:rPr>
                <w:color w:val="000000"/>
                <w:sz w:val="14"/>
                <w:szCs w:val="14"/>
              </w:rPr>
              <w:t>-</w:t>
            </w:r>
          </w:p>
        </w:tc>
        <w:tc>
          <w:tcPr>
            <w:tcW w:w="240" w:type="pct"/>
            <w:tcBorders>
              <w:top w:val="nil"/>
              <w:left w:val="nil"/>
              <w:bottom w:val="nil"/>
              <w:right w:val="nil"/>
            </w:tcBorders>
            <w:vAlign w:val="bottom"/>
          </w:tcPr>
          <w:p w14:paraId="4942F208" w14:textId="77777777" w:rsidR="009B1956" w:rsidRPr="00F36B82" w:rsidRDefault="009B1956" w:rsidP="00887449">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284BF267" w14:textId="77777777" w:rsidR="009B1956" w:rsidRPr="00F36B82" w:rsidRDefault="009B1956" w:rsidP="00887449">
            <w:pPr>
              <w:jc w:val="right"/>
              <w:rPr>
                <w:sz w:val="14"/>
                <w:szCs w:val="14"/>
              </w:rPr>
            </w:pPr>
            <w:r w:rsidRPr="00F36B82">
              <w:rPr>
                <w:color w:val="000000"/>
                <w:sz w:val="14"/>
                <w:szCs w:val="14"/>
              </w:rPr>
              <w:t>147.662</w:t>
            </w:r>
          </w:p>
        </w:tc>
        <w:tc>
          <w:tcPr>
            <w:tcW w:w="220" w:type="pct"/>
            <w:tcBorders>
              <w:top w:val="nil"/>
              <w:left w:val="nil"/>
              <w:bottom w:val="nil"/>
              <w:right w:val="nil"/>
            </w:tcBorders>
            <w:vAlign w:val="bottom"/>
          </w:tcPr>
          <w:p w14:paraId="049F1690" w14:textId="77777777" w:rsidR="009B1956" w:rsidRPr="00F36B82" w:rsidRDefault="009B1956" w:rsidP="00887449">
            <w:pPr>
              <w:jc w:val="right"/>
              <w:rPr>
                <w:sz w:val="14"/>
                <w:szCs w:val="14"/>
              </w:rPr>
            </w:pPr>
            <w:r w:rsidRPr="00F36B82">
              <w:rPr>
                <w:color w:val="000000"/>
                <w:sz w:val="14"/>
                <w:szCs w:val="14"/>
              </w:rPr>
              <w:t>-</w:t>
            </w:r>
          </w:p>
        </w:tc>
        <w:tc>
          <w:tcPr>
            <w:tcW w:w="201" w:type="pct"/>
            <w:tcBorders>
              <w:top w:val="nil"/>
              <w:left w:val="nil"/>
              <w:bottom w:val="nil"/>
              <w:right w:val="nil"/>
            </w:tcBorders>
            <w:vAlign w:val="bottom"/>
          </w:tcPr>
          <w:p w14:paraId="66314E2E" w14:textId="77777777" w:rsidR="009B1956" w:rsidRPr="00F36B82" w:rsidRDefault="009B1956" w:rsidP="00887449">
            <w:pPr>
              <w:jc w:val="right"/>
              <w:rPr>
                <w:sz w:val="14"/>
                <w:szCs w:val="14"/>
              </w:rPr>
            </w:pPr>
            <w:r w:rsidRPr="00F36B82">
              <w:rPr>
                <w:color w:val="000000"/>
                <w:sz w:val="14"/>
                <w:szCs w:val="14"/>
              </w:rPr>
              <w:t>-</w:t>
            </w:r>
          </w:p>
        </w:tc>
        <w:tc>
          <w:tcPr>
            <w:tcW w:w="142" w:type="pct"/>
            <w:tcBorders>
              <w:top w:val="nil"/>
              <w:left w:val="nil"/>
              <w:bottom w:val="nil"/>
              <w:right w:val="nil"/>
            </w:tcBorders>
            <w:vAlign w:val="bottom"/>
          </w:tcPr>
          <w:p w14:paraId="0C911993" w14:textId="77777777" w:rsidR="009B1956" w:rsidRPr="00F36B82" w:rsidRDefault="009B1956" w:rsidP="00887449">
            <w:pPr>
              <w:jc w:val="right"/>
              <w:rPr>
                <w:sz w:val="14"/>
                <w:szCs w:val="14"/>
              </w:rPr>
            </w:pPr>
            <w:r w:rsidRPr="00F36B82">
              <w:rPr>
                <w:color w:val="000000"/>
                <w:sz w:val="14"/>
                <w:szCs w:val="14"/>
              </w:rPr>
              <w:t>-</w:t>
            </w:r>
          </w:p>
        </w:tc>
        <w:tc>
          <w:tcPr>
            <w:tcW w:w="220" w:type="pct"/>
            <w:tcBorders>
              <w:top w:val="nil"/>
              <w:left w:val="nil"/>
              <w:bottom w:val="nil"/>
              <w:right w:val="nil"/>
            </w:tcBorders>
            <w:vAlign w:val="bottom"/>
          </w:tcPr>
          <w:p w14:paraId="358ECE3B" w14:textId="77777777" w:rsidR="009B1956" w:rsidRPr="00F36B82" w:rsidRDefault="009B1956" w:rsidP="00887449">
            <w:pPr>
              <w:jc w:val="right"/>
              <w:rPr>
                <w:sz w:val="14"/>
                <w:szCs w:val="14"/>
              </w:rPr>
            </w:pPr>
            <w:r w:rsidRPr="00F36B82">
              <w:rPr>
                <w:color w:val="000000"/>
                <w:sz w:val="14"/>
                <w:szCs w:val="14"/>
              </w:rPr>
              <w:t>-</w:t>
            </w:r>
          </w:p>
        </w:tc>
        <w:tc>
          <w:tcPr>
            <w:tcW w:w="159" w:type="pct"/>
            <w:tcBorders>
              <w:top w:val="nil"/>
              <w:left w:val="nil"/>
              <w:bottom w:val="nil"/>
              <w:right w:val="nil"/>
            </w:tcBorders>
            <w:vAlign w:val="bottom"/>
          </w:tcPr>
          <w:p w14:paraId="428A7F41"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5640C7F0"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0E432E8A"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425D0A46"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065FE45E"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27C8A1D2" w14:textId="77777777" w:rsidR="009B1956" w:rsidRPr="00F36B82" w:rsidRDefault="009B1956" w:rsidP="00887449">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56F4CD8E" w14:textId="77777777" w:rsidR="009B1956" w:rsidRPr="00F36B82" w:rsidRDefault="009B1956" w:rsidP="00887449">
            <w:pPr>
              <w:jc w:val="right"/>
              <w:rPr>
                <w:sz w:val="14"/>
                <w:szCs w:val="14"/>
              </w:rPr>
            </w:pPr>
            <w:r w:rsidRPr="00F36B82">
              <w:rPr>
                <w:color w:val="000000"/>
                <w:sz w:val="14"/>
                <w:szCs w:val="14"/>
              </w:rPr>
              <w:t>145.317</w:t>
            </w:r>
          </w:p>
        </w:tc>
        <w:tc>
          <w:tcPr>
            <w:tcW w:w="272" w:type="pct"/>
            <w:tcBorders>
              <w:top w:val="nil"/>
              <w:left w:val="nil"/>
              <w:bottom w:val="nil"/>
              <w:right w:val="nil"/>
            </w:tcBorders>
            <w:vAlign w:val="bottom"/>
          </w:tcPr>
          <w:p w14:paraId="087E9961" w14:textId="77777777" w:rsidR="009B1956" w:rsidRPr="00F36B82" w:rsidRDefault="009B1956" w:rsidP="00887449">
            <w:pPr>
              <w:jc w:val="right"/>
              <w:rPr>
                <w:sz w:val="14"/>
                <w:szCs w:val="14"/>
              </w:rPr>
            </w:pPr>
            <w:r w:rsidRPr="00F36B82">
              <w:rPr>
                <w:color w:val="000000"/>
                <w:sz w:val="14"/>
                <w:szCs w:val="14"/>
              </w:rPr>
              <w:t>2.345</w:t>
            </w:r>
          </w:p>
        </w:tc>
        <w:tc>
          <w:tcPr>
            <w:tcW w:w="273" w:type="pct"/>
            <w:tcBorders>
              <w:top w:val="nil"/>
              <w:left w:val="nil"/>
              <w:bottom w:val="nil"/>
              <w:right w:val="nil"/>
            </w:tcBorders>
            <w:vAlign w:val="bottom"/>
          </w:tcPr>
          <w:p w14:paraId="7BCEDB14" w14:textId="77777777" w:rsidR="009B1956" w:rsidRPr="00F36B82" w:rsidRDefault="009B1956" w:rsidP="00887449">
            <w:pPr>
              <w:jc w:val="right"/>
              <w:rPr>
                <w:sz w:val="14"/>
                <w:szCs w:val="14"/>
              </w:rPr>
            </w:pPr>
            <w:r w:rsidRPr="00F36B82">
              <w:rPr>
                <w:color w:val="000000"/>
                <w:sz w:val="14"/>
                <w:szCs w:val="14"/>
              </w:rPr>
              <w:t>147.662</w:t>
            </w:r>
          </w:p>
        </w:tc>
      </w:tr>
      <w:tr w:rsidR="009B1956" w:rsidRPr="00F36B82" w14:paraId="3F979788" w14:textId="77777777" w:rsidTr="007A5154">
        <w:trPr>
          <w:trHeight w:val="133"/>
        </w:trPr>
        <w:tc>
          <w:tcPr>
            <w:tcW w:w="98" w:type="pct"/>
          </w:tcPr>
          <w:p w14:paraId="1EF604F8" w14:textId="77777777" w:rsidR="009B1956" w:rsidRPr="00F36B82" w:rsidRDefault="009B1956" w:rsidP="007A5154">
            <w:pPr>
              <w:autoSpaceDE w:val="0"/>
              <w:autoSpaceDN w:val="0"/>
              <w:adjustRightInd w:val="0"/>
              <w:ind w:left="180" w:hanging="180"/>
              <w:rPr>
                <w:rFonts w:eastAsia="Arial Unicode MS"/>
                <w:sz w:val="14"/>
                <w:szCs w:val="14"/>
              </w:rPr>
            </w:pPr>
            <w:r w:rsidRPr="00F36B82">
              <w:rPr>
                <w:rFonts w:eastAsia="Arial Unicode MS"/>
                <w:sz w:val="14"/>
                <w:szCs w:val="14"/>
              </w:rPr>
              <w:t>1.2</w:t>
            </w:r>
          </w:p>
        </w:tc>
        <w:tc>
          <w:tcPr>
            <w:tcW w:w="528" w:type="pct"/>
            <w:vAlign w:val="bottom"/>
          </w:tcPr>
          <w:p w14:paraId="5F295564" w14:textId="77777777" w:rsidR="009B1956" w:rsidRPr="00F36B82" w:rsidRDefault="009B1956" w:rsidP="00887449">
            <w:pPr>
              <w:rPr>
                <w:color w:val="000000"/>
                <w:sz w:val="14"/>
                <w:szCs w:val="14"/>
              </w:rPr>
            </w:pPr>
            <w:r w:rsidRPr="00F36B82">
              <w:rPr>
                <w:color w:val="000000"/>
                <w:sz w:val="14"/>
                <w:szCs w:val="14"/>
              </w:rPr>
              <w:t xml:space="preserve">   Ormancılık</w:t>
            </w:r>
          </w:p>
        </w:tc>
        <w:tc>
          <w:tcPr>
            <w:tcW w:w="240" w:type="pct"/>
            <w:tcBorders>
              <w:top w:val="nil"/>
              <w:left w:val="nil"/>
              <w:bottom w:val="nil"/>
              <w:right w:val="nil"/>
            </w:tcBorders>
            <w:vAlign w:val="bottom"/>
          </w:tcPr>
          <w:p w14:paraId="4FBDB91D" w14:textId="77777777" w:rsidR="009B1956" w:rsidRPr="00F36B82" w:rsidRDefault="009B1956" w:rsidP="00887449">
            <w:pPr>
              <w:jc w:val="right"/>
              <w:rPr>
                <w:sz w:val="14"/>
                <w:szCs w:val="14"/>
              </w:rPr>
            </w:pPr>
            <w:r w:rsidRPr="00F36B82">
              <w:rPr>
                <w:color w:val="000000"/>
                <w:sz w:val="14"/>
                <w:szCs w:val="14"/>
              </w:rPr>
              <w:t>-</w:t>
            </w:r>
          </w:p>
        </w:tc>
        <w:tc>
          <w:tcPr>
            <w:tcW w:w="156" w:type="pct"/>
            <w:tcBorders>
              <w:top w:val="nil"/>
              <w:left w:val="nil"/>
              <w:bottom w:val="nil"/>
              <w:right w:val="nil"/>
            </w:tcBorders>
            <w:vAlign w:val="bottom"/>
          </w:tcPr>
          <w:p w14:paraId="3C737AEE" w14:textId="77777777" w:rsidR="009B1956" w:rsidRPr="00F36B82" w:rsidRDefault="009B1956" w:rsidP="00887449">
            <w:pPr>
              <w:jc w:val="right"/>
              <w:rPr>
                <w:sz w:val="14"/>
                <w:szCs w:val="14"/>
              </w:rPr>
            </w:pPr>
            <w:r w:rsidRPr="00F36B82">
              <w:rPr>
                <w:color w:val="000000"/>
                <w:sz w:val="14"/>
                <w:szCs w:val="14"/>
              </w:rPr>
              <w:t>-</w:t>
            </w:r>
          </w:p>
        </w:tc>
        <w:tc>
          <w:tcPr>
            <w:tcW w:w="173" w:type="pct"/>
            <w:tcBorders>
              <w:top w:val="nil"/>
              <w:left w:val="nil"/>
              <w:bottom w:val="nil"/>
              <w:right w:val="nil"/>
            </w:tcBorders>
            <w:vAlign w:val="bottom"/>
          </w:tcPr>
          <w:p w14:paraId="353FDDCB" w14:textId="77777777" w:rsidR="009B1956" w:rsidRPr="00F36B82" w:rsidRDefault="009B1956" w:rsidP="00887449">
            <w:pPr>
              <w:jc w:val="right"/>
              <w:rPr>
                <w:sz w:val="14"/>
                <w:szCs w:val="14"/>
              </w:rPr>
            </w:pPr>
            <w:r w:rsidRPr="00F36B82">
              <w:rPr>
                <w:color w:val="000000"/>
                <w:sz w:val="14"/>
                <w:szCs w:val="14"/>
              </w:rPr>
              <w:t>-</w:t>
            </w:r>
          </w:p>
        </w:tc>
        <w:tc>
          <w:tcPr>
            <w:tcW w:w="100" w:type="pct"/>
            <w:tcBorders>
              <w:top w:val="nil"/>
              <w:left w:val="nil"/>
              <w:bottom w:val="nil"/>
              <w:right w:val="nil"/>
            </w:tcBorders>
            <w:vAlign w:val="bottom"/>
          </w:tcPr>
          <w:p w14:paraId="6E2C8CB6" w14:textId="77777777" w:rsidR="009B1956" w:rsidRPr="00F36B82" w:rsidRDefault="009B1956" w:rsidP="00887449">
            <w:pPr>
              <w:jc w:val="right"/>
              <w:rPr>
                <w:sz w:val="14"/>
                <w:szCs w:val="14"/>
              </w:rPr>
            </w:pPr>
            <w:r w:rsidRPr="00F36B82">
              <w:rPr>
                <w:color w:val="000000"/>
                <w:sz w:val="14"/>
                <w:szCs w:val="14"/>
              </w:rPr>
              <w:t>-</w:t>
            </w:r>
          </w:p>
        </w:tc>
        <w:tc>
          <w:tcPr>
            <w:tcW w:w="224" w:type="pct"/>
            <w:tcBorders>
              <w:top w:val="nil"/>
              <w:left w:val="nil"/>
              <w:bottom w:val="nil"/>
              <w:right w:val="nil"/>
            </w:tcBorders>
            <w:vAlign w:val="bottom"/>
          </w:tcPr>
          <w:p w14:paraId="3E1F0566" w14:textId="77777777" w:rsidR="009B1956" w:rsidRPr="00F36B82" w:rsidRDefault="009B1956" w:rsidP="00887449">
            <w:pPr>
              <w:jc w:val="right"/>
              <w:rPr>
                <w:sz w:val="14"/>
                <w:szCs w:val="14"/>
              </w:rPr>
            </w:pPr>
            <w:r w:rsidRPr="00F36B82">
              <w:rPr>
                <w:color w:val="000000"/>
                <w:sz w:val="14"/>
                <w:szCs w:val="14"/>
              </w:rPr>
              <w:t>-</w:t>
            </w:r>
          </w:p>
        </w:tc>
        <w:tc>
          <w:tcPr>
            <w:tcW w:w="240" w:type="pct"/>
            <w:tcBorders>
              <w:top w:val="nil"/>
              <w:left w:val="nil"/>
              <w:bottom w:val="nil"/>
              <w:right w:val="nil"/>
            </w:tcBorders>
            <w:vAlign w:val="bottom"/>
          </w:tcPr>
          <w:p w14:paraId="471EE775" w14:textId="77777777" w:rsidR="009B1956" w:rsidRPr="00F36B82" w:rsidRDefault="009B1956" w:rsidP="00887449">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07A23F56" w14:textId="77777777" w:rsidR="009B1956" w:rsidRPr="00F36B82" w:rsidRDefault="009B1956" w:rsidP="00887449">
            <w:pPr>
              <w:jc w:val="right"/>
              <w:rPr>
                <w:sz w:val="14"/>
                <w:szCs w:val="14"/>
              </w:rPr>
            </w:pPr>
            <w:r w:rsidRPr="00F36B82">
              <w:rPr>
                <w:color w:val="000000"/>
                <w:sz w:val="14"/>
                <w:szCs w:val="14"/>
              </w:rPr>
              <w:t>-</w:t>
            </w:r>
          </w:p>
        </w:tc>
        <w:tc>
          <w:tcPr>
            <w:tcW w:w="220" w:type="pct"/>
            <w:tcBorders>
              <w:top w:val="nil"/>
              <w:left w:val="nil"/>
              <w:bottom w:val="nil"/>
              <w:right w:val="nil"/>
            </w:tcBorders>
            <w:vAlign w:val="bottom"/>
          </w:tcPr>
          <w:p w14:paraId="766472D2" w14:textId="77777777" w:rsidR="009B1956" w:rsidRPr="00F36B82" w:rsidRDefault="009B1956" w:rsidP="00887449">
            <w:pPr>
              <w:jc w:val="right"/>
              <w:rPr>
                <w:sz w:val="14"/>
                <w:szCs w:val="14"/>
              </w:rPr>
            </w:pPr>
            <w:r w:rsidRPr="00F36B82">
              <w:rPr>
                <w:color w:val="000000"/>
                <w:sz w:val="14"/>
                <w:szCs w:val="14"/>
              </w:rPr>
              <w:t>-</w:t>
            </w:r>
          </w:p>
        </w:tc>
        <w:tc>
          <w:tcPr>
            <w:tcW w:w="201" w:type="pct"/>
            <w:tcBorders>
              <w:top w:val="nil"/>
              <w:left w:val="nil"/>
              <w:bottom w:val="nil"/>
              <w:right w:val="nil"/>
            </w:tcBorders>
            <w:vAlign w:val="bottom"/>
          </w:tcPr>
          <w:p w14:paraId="0695E56B" w14:textId="77777777" w:rsidR="009B1956" w:rsidRPr="00F36B82" w:rsidRDefault="009B1956" w:rsidP="00887449">
            <w:pPr>
              <w:jc w:val="right"/>
              <w:rPr>
                <w:sz w:val="14"/>
                <w:szCs w:val="14"/>
              </w:rPr>
            </w:pPr>
            <w:r w:rsidRPr="00F36B82">
              <w:rPr>
                <w:color w:val="000000"/>
                <w:sz w:val="14"/>
                <w:szCs w:val="14"/>
              </w:rPr>
              <w:t>-</w:t>
            </w:r>
          </w:p>
        </w:tc>
        <w:tc>
          <w:tcPr>
            <w:tcW w:w="142" w:type="pct"/>
            <w:tcBorders>
              <w:top w:val="nil"/>
              <w:left w:val="nil"/>
              <w:bottom w:val="nil"/>
              <w:right w:val="nil"/>
            </w:tcBorders>
            <w:vAlign w:val="bottom"/>
          </w:tcPr>
          <w:p w14:paraId="3F8EE88D" w14:textId="77777777" w:rsidR="009B1956" w:rsidRPr="00F36B82" w:rsidRDefault="009B1956" w:rsidP="00887449">
            <w:pPr>
              <w:jc w:val="right"/>
              <w:rPr>
                <w:sz w:val="14"/>
                <w:szCs w:val="14"/>
              </w:rPr>
            </w:pPr>
            <w:r w:rsidRPr="00F36B82">
              <w:rPr>
                <w:color w:val="000000"/>
                <w:sz w:val="14"/>
                <w:szCs w:val="14"/>
              </w:rPr>
              <w:t>-</w:t>
            </w:r>
          </w:p>
        </w:tc>
        <w:tc>
          <w:tcPr>
            <w:tcW w:w="220" w:type="pct"/>
            <w:tcBorders>
              <w:top w:val="nil"/>
              <w:left w:val="nil"/>
              <w:bottom w:val="nil"/>
              <w:right w:val="nil"/>
            </w:tcBorders>
            <w:vAlign w:val="bottom"/>
          </w:tcPr>
          <w:p w14:paraId="687C4947" w14:textId="77777777" w:rsidR="009B1956" w:rsidRPr="00F36B82" w:rsidRDefault="009B1956" w:rsidP="00887449">
            <w:pPr>
              <w:jc w:val="right"/>
              <w:rPr>
                <w:sz w:val="14"/>
                <w:szCs w:val="14"/>
              </w:rPr>
            </w:pPr>
            <w:r w:rsidRPr="00F36B82">
              <w:rPr>
                <w:color w:val="000000"/>
                <w:sz w:val="14"/>
                <w:szCs w:val="14"/>
              </w:rPr>
              <w:t>-</w:t>
            </w:r>
          </w:p>
        </w:tc>
        <w:tc>
          <w:tcPr>
            <w:tcW w:w="159" w:type="pct"/>
            <w:tcBorders>
              <w:top w:val="nil"/>
              <w:left w:val="nil"/>
              <w:bottom w:val="nil"/>
              <w:right w:val="nil"/>
            </w:tcBorders>
            <w:vAlign w:val="bottom"/>
          </w:tcPr>
          <w:p w14:paraId="031423C1"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36AC595D"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0CED0BBF"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7CE86963"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7B1FF458"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13EDDE11" w14:textId="77777777" w:rsidR="009B1956" w:rsidRPr="00F36B82" w:rsidRDefault="009B1956" w:rsidP="00887449">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276CDCA9" w14:textId="77777777" w:rsidR="009B1956" w:rsidRPr="00F36B82" w:rsidRDefault="009B1956" w:rsidP="00887449">
            <w:pPr>
              <w:jc w:val="right"/>
              <w:rPr>
                <w:sz w:val="14"/>
                <w:szCs w:val="14"/>
              </w:rPr>
            </w:pPr>
            <w:r w:rsidRPr="00F36B82">
              <w:rPr>
                <w:color w:val="000000"/>
                <w:sz w:val="14"/>
                <w:szCs w:val="14"/>
              </w:rPr>
              <w:t>-</w:t>
            </w:r>
          </w:p>
        </w:tc>
        <w:tc>
          <w:tcPr>
            <w:tcW w:w="272" w:type="pct"/>
            <w:tcBorders>
              <w:top w:val="nil"/>
              <w:left w:val="nil"/>
              <w:bottom w:val="nil"/>
              <w:right w:val="nil"/>
            </w:tcBorders>
            <w:vAlign w:val="bottom"/>
          </w:tcPr>
          <w:p w14:paraId="165A18DD" w14:textId="77777777" w:rsidR="009B1956" w:rsidRPr="00F36B82" w:rsidRDefault="009B1956" w:rsidP="00887449">
            <w:pPr>
              <w:jc w:val="right"/>
              <w:rPr>
                <w:sz w:val="14"/>
                <w:szCs w:val="14"/>
              </w:rPr>
            </w:pPr>
            <w:r w:rsidRPr="00F36B82">
              <w:rPr>
                <w:color w:val="000000"/>
                <w:sz w:val="14"/>
                <w:szCs w:val="14"/>
              </w:rPr>
              <w:t>-</w:t>
            </w:r>
          </w:p>
        </w:tc>
        <w:tc>
          <w:tcPr>
            <w:tcW w:w="273" w:type="pct"/>
            <w:tcBorders>
              <w:top w:val="nil"/>
              <w:left w:val="nil"/>
              <w:bottom w:val="nil"/>
              <w:right w:val="nil"/>
            </w:tcBorders>
            <w:vAlign w:val="bottom"/>
          </w:tcPr>
          <w:p w14:paraId="1978851E" w14:textId="77777777" w:rsidR="009B1956" w:rsidRPr="00F36B82" w:rsidRDefault="009B1956" w:rsidP="00887449">
            <w:pPr>
              <w:jc w:val="right"/>
              <w:rPr>
                <w:sz w:val="14"/>
                <w:szCs w:val="14"/>
              </w:rPr>
            </w:pPr>
            <w:r w:rsidRPr="00F36B82">
              <w:rPr>
                <w:color w:val="000000"/>
                <w:sz w:val="14"/>
                <w:szCs w:val="14"/>
              </w:rPr>
              <w:t>-</w:t>
            </w:r>
          </w:p>
        </w:tc>
      </w:tr>
      <w:tr w:rsidR="009B1956" w:rsidRPr="00F36B82" w14:paraId="26C47C36" w14:textId="77777777" w:rsidTr="007A5154">
        <w:trPr>
          <w:trHeight w:val="133"/>
        </w:trPr>
        <w:tc>
          <w:tcPr>
            <w:tcW w:w="98" w:type="pct"/>
          </w:tcPr>
          <w:p w14:paraId="359D08C2" w14:textId="77777777" w:rsidR="009B1956" w:rsidRPr="00F36B82" w:rsidRDefault="009B1956" w:rsidP="007A5154">
            <w:pPr>
              <w:autoSpaceDE w:val="0"/>
              <w:autoSpaceDN w:val="0"/>
              <w:adjustRightInd w:val="0"/>
              <w:ind w:left="180" w:hanging="180"/>
              <w:rPr>
                <w:rFonts w:eastAsia="Arial Unicode MS"/>
                <w:sz w:val="14"/>
                <w:szCs w:val="14"/>
              </w:rPr>
            </w:pPr>
            <w:r w:rsidRPr="00F36B82">
              <w:rPr>
                <w:rFonts w:eastAsia="Arial Unicode MS"/>
                <w:sz w:val="14"/>
                <w:szCs w:val="14"/>
              </w:rPr>
              <w:t>1.3</w:t>
            </w:r>
          </w:p>
        </w:tc>
        <w:tc>
          <w:tcPr>
            <w:tcW w:w="528" w:type="pct"/>
            <w:vAlign w:val="bottom"/>
          </w:tcPr>
          <w:p w14:paraId="6465D7D6" w14:textId="77777777" w:rsidR="009B1956" w:rsidRPr="00F36B82" w:rsidRDefault="009B1956" w:rsidP="00887449">
            <w:pPr>
              <w:rPr>
                <w:color w:val="000000"/>
                <w:sz w:val="14"/>
                <w:szCs w:val="14"/>
              </w:rPr>
            </w:pPr>
            <w:r w:rsidRPr="00F36B82">
              <w:rPr>
                <w:color w:val="000000"/>
                <w:sz w:val="14"/>
                <w:szCs w:val="14"/>
              </w:rPr>
              <w:t xml:space="preserve">   Balıkçılık</w:t>
            </w:r>
          </w:p>
        </w:tc>
        <w:tc>
          <w:tcPr>
            <w:tcW w:w="240" w:type="pct"/>
            <w:tcBorders>
              <w:top w:val="nil"/>
              <w:left w:val="nil"/>
              <w:bottom w:val="nil"/>
              <w:right w:val="nil"/>
            </w:tcBorders>
            <w:vAlign w:val="bottom"/>
          </w:tcPr>
          <w:p w14:paraId="32161305" w14:textId="77777777" w:rsidR="009B1956" w:rsidRPr="00F36B82" w:rsidRDefault="009B1956" w:rsidP="00887449">
            <w:pPr>
              <w:jc w:val="right"/>
              <w:rPr>
                <w:sz w:val="14"/>
                <w:szCs w:val="14"/>
              </w:rPr>
            </w:pPr>
            <w:r w:rsidRPr="00F36B82">
              <w:rPr>
                <w:color w:val="000000"/>
                <w:sz w:val="14"/>
                <w:szCs w:val="14"/>
              </w:rPr>
              <w:t>-</w:t>
            </w:r>
          </w:p>
        </w:tc>
        <w:tc>
          <w:tcPr>
            <w:tcW w:w="156" w:type="pct"/>
            <w:tcBorders>
              <w:top w:val="nil"/>
              <w:left w:val="nil"/>
              <w:bottom w:val="nil"/>
              <w:right w:val="nil"/>
            </w:tcBorders>
            <w:vAlign w:val="bottom"/>
          </w:tcPr>
          <w:p w14:paraId="13E47E56" w14:textId="77777777" w:rsidR="009B1956" w:rsidRPr="00F36B82" w:rsidRDefault="009B1956" w:rsidP="00887449">
            <w:pPr>
              <w:jc w:val="right"/>
              <w:rPr>
                <w:sz w:val="14"/>
                <w:szCs w:val="14"/>
              </w:rPr>
            </w:pPr>
            <w:r w:rsidRPr="00F36B82">
              <w:rPr>
                <w:color w:val="000000"/>
                <w:sz w:val="14"/>
                <w:szCs w:val="14"/>
              </w:rPr>
              <w:t>-</w:t>
            </w:r>
          </w:p>
        </w:tc>
        <w:tc>
          <w:tcPr>
            <w:tcW w:w="173" w:type="pct"/>
            <w:tcBorders>
              <w:top w:val="nil"/>
              <w:left w:val="nil"/>
              <w:bottom w:val="nil"/>
              <w:right w:val="nil"/>
            </w:tcBorders>
            <w:vAlign w:val="bottom"/>
          </w:tcPr>
          <w:p w14:paraId="3FCF62B6" w14:textId="77777777" w:rsidR="009B1956" w:rsidRPr="00F36B82" w:rsidRDefault="009B1956" w:rsidP="00887449">
            <w:pPr>
              <w:jc w:val="right"/>
              <w:rPr>
                <w:sz w:val="14"/>
                <w:szCs w:val="14"/>
              </w:rPr>
            </w:pPr>
            <w:r w:rsidRPr="00F36B82">
              <w:rPr>
                <w:color w:val="000000"/>
                <w:sz w:val="14"/>
                <w:szCs w:val="14"/>
              </w:rPr>
              <w:t>-</w:t>
            </w:r>
          </w:p>
        </w:tc>
        <w:tc>
          <w:tcPr>
            <w:tcW w:w="100" w:type="pct"/>
            <w:tcBorders>
              <w:top w:val="nil"/>
              <w:left w:val="nil"/>
              <w:bottom w:val="nil"/>
              <w:right w:val="nil"/>
            </w:tcBorders>
            <w:vAlign w:val="bottom"/>
          </w:tcPr>
          <w:p w14:paraId="120AC62C" w14:textId="77777777" w:rsidR="009B1956" w:rsidRPr="00F36B82" w:rsidRDefault="009B1956" w:rsidP="00887449">
            <w:pPr>
              <w:jc w:val="right"/>
              <w:rPr>
                <w:sz w:val="14"/>
                <w:szCs w:val="14"/>
              </w:rPr>
            </w:pPr>
            <w:r w:rsidRPr="00F36B82">
              <w:rPr>
                <w:color w:val="000000"/>
                <w:sz w:val="14"/>
                <w:szCs w:val="14"/>
              </w:rPr>
              <w:t>-</w:t>
            </w:r>
          </w:p>
        </w:tc>
        <w:tc>
          <w:tcPr>
            <w:tcW w:w="224" w:type="pct"/>
            <w:tcBorders>
              <w:top w:val="nil"/>
              <w:left w:val="nil"/>
              <w:bottom w:val="nil"/>
              <w:right w:val="nil"/>
            </w:tcBorders>
            <w:vAlign w:val="bottom"/>
          </w:tcPr>
          <w:p w14:paraId="42614899" w14:textId="77777777" w:rsidR="009B1956" w:rsidRPr="00F36B82" w:rsidRDefault="009B1956" w:rsidP="00887449">
            <w:pPr>
              <w:jc w:val="right"/>
              <w:rPr>
                <w:sz w:val="14"/>
                <w:szCs w:val="14"/>
              </w:rPr>
            </w:pPr>
            <w:r w:rsidRPr="00F36B82">
              <w:rPr>
                <w:color w:val="000000"/>
                <w:sz w:val="14"/>
                <w:szCs w:val="14"/>
              </w:rPr>
              <w:t>-</w:t>
            </w:r>
          </w:p>
        </w:tc>
        <w:tc>
          <w:tcPr>
            <w:tcW w:w="240" w:type="pct"/>
            <w:tcBorders>
              <w:top w:val="nil"/>
              <w:left w:val="nil"/>
              <w:bottom w:val="nil"/>
              <w:right w:val="nil"/>
            </w:tcBorders>
            <w:vAlign w:val="bottom"/>
          </w:tcPr>
          <w:p w14:paraId="292ADB6B" w14:textId="77777777" w:rsidR="009B1956" w:rsidRPr="00F36B82" w:rsidRDefault="009B1956" w:rsidP="00887449">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6C30566F" w14:textId="77777777" w:rsidR="009B1956" w:rsidRPr="00F36B82" w:rsidRDefault="009B1956" w:rsidP="00887449">
            <w:pPr>
              <w:jc w:val="right"/>
              <w:rPr>
                <w:sz w:val="14"/>
                <w:szCs w:val="14"/>
              </w:rPr>
            </w:pPr>
            <w:r w:rsidRPr="00F36B82">
              <w:rPr>
                <w:color w:val="000000"/>
                <w:sz w:val="14"/>
                <w:szCs w:val="14"/>
              </w:rPr>
              <w:t>-</w:t>
            </w:r>
          </w:p>
        </w:tc>
        <w:tc>
          <w:tcPr>
            <w:tcW w:w="220" w:type="pct"/>
            <w:tcBorders>
              <w:top w:val="nil"/>
              <w:left w:val="nil"/>
              <w:bottom w:val="nil"/>
              <w:right w:val="nil"/>
            </w:tcBorders>
            <w:vAlign w:val="bottom"/>
          </w:tcPr>
          <w:p w14:paraId="1570D3DE" w14:textId="77777777" w:rsidR="009B1956" w:rsidRPr="00F36B82" w:rsidRDefault="009B1956" w:rsidP="00887449">
            <w:pPr>
              <w:jc w:val="right"/>
              <w:rPr>
                <w:sz w:val="14"/>
                <w:szCs w:val="14"/>
              </w:rPr>
            </w:pPr>
            <w:r w:rsidRPr="00F36B82">
              <w:rPr>
                <w:color w:val="000000"/>
                <w:sz w:val="14"/>
                <w:szCs w:val="14"/>
              </w:rPr>
              <w:t>-</w:t>
            </w:r>
          </w:p>
        </w:tc>
        <w:tc>
          <w:tcPr>
            <w:tcW w:w="201" w:type="pct"/>
            <w:tcBorders>
              <w:top w:val="nil"/>
              <w:left w:val="nil"/>
              <w:bottom w:val="nil"/>
              <w:right w:val="nil"/>
            </w:tcBorders>
            <w:vAlign w:val="bottom"/>
          </w:tcPr>
          <w:p w14:paraId="247CA2B9" w14:textId="77777777" w:rsidR="009B1956" w:rsidRPr="00F36B82" w:rsidRDefault="009B1956" w:rsidP="00887449">
            <w:pPr>
              <w:jc w:val="right"/>
              <w:rPr>
                <w:sz w:val="14"/>
                <w:szCs w:val="14"/>
              </w:rPr>
            </w:pPr>
            <w:r w:rsidRPr="00F36B82">
              <w:rPr>
                <w:color w:val="000000"/>
                <w:sz w:val="14"/>
                <w:szCs w:val="14"/>
              </w:rPr>
              <w:t>-</w:t>
            </w:r>
          </w:p>
        </w:tc>
        <w:tc>
          <w:tcPr>
            <w:tcW w:w="142" w:type="pct"/>
            <w:tcBorders>
              <w:top w:val="nil"/>
              <w:left w:val="nil"/>
              <w:bottom w:val="nil"/>
              <w:right w:val="nil"/>
            </w:tcBorders>
            <w:vAlign w:val="bottom"/>
          </w:tcPr>
          <w:p w14:paraId="5C7B5A16" w14:textId="77777777" w:rsidR="009B1956" w:rsidRPr="00F36B82" w:rsidRDefault="009B1956" w:rsidP="00887449">
            <w:pPr>
              <w:jc w:val="right"/>
              <w:rPr>
                <w:sz w:val="14"/>
                <w:szCs w:val="14"/>
              </w:rPr>
            </w:pPr>
            <w:r w:rsidRPr="00F36B82">
              <w:rPr>
                <w:color w:val="000000"/>
                <w:sz w:val="14"/>
                <w:szCs w:val="14"/>
              </w:rPr>
              <w:t>-</w:t>
            </w:r>
          </w:p>
        </w:tc>
        <w:tc>
          <w:tcPr>
            <w:tcW w:w="220" w:type="pct"/>
            <w:tcBorders>
              <w:top w:val="nil"/>
              <w:left w:val="nil"/>
              <w:bottom w:val="nil"/>
              <w:right w:val="nil"/>
            </w:tcBorders>
            <w:vAlign w:val="bottom"/>
          </w:tcPr>
          <w:p w14:paraId="033BF7C1" w14:textId="77777777" w:rsidR="009B1956" w:rsidRPr="00F36B82" w:rsidRDefault="009B1956" w:rsidP="00887449">
            <w:pPr>
              <w:jc w:val="right"/>
              <w:rPr>
                <w:sz w:val="14"/>
                <w:szCs w:val="14"/>
              </w:rPr>
            </w:pPr>
            <w:r w:rsidRPr="00F36B82">
              <w:rPr>
                <w:color w:val="000000"/>
                <w:sz w:val="14"/>
                <w:szCs w:val="14"/>
              </w:rPr>
              <w:t>-</w:t>
            </w:r>
          </w:p>
        </w:tc>
        <w:tc>
          <w:tcPr>
            <w:tcW w:w="159" w:type="pct"/>
            <w:tcBorders>
              <w:top w:val="nil"/>
              <w:left w:val="nil"/>
              <w:bottom w:val="nil"/>
              <w:right w:val="nil"/>
            </w:tcBorders>
            <w:vAlign w:val="bottom"/>
          </w:tcPr>
          <w:p w14:paraId="2E9C60F6"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4040798A"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04836825"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403F1215"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4EA583C6"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3EBD1C18" w14:textId="77777777" w:rsidR="009B1956" w:rsidRPr="00F36B82" w:rsidRDefault="009B1956" w:rsidP="00887449">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77EBA466" w14:textId="77777777" w:rsidR="009B1956" w:rsidRPr="00F36B82" w:rsidRDefault="009B1956" w:rsidP="00887449">
            <w:pPr>
              <w:jc w:val="right"/>
              <w:rPr>
                <w:sz w:val="14"/>
                <w:szCs w:val="14"/>
              </w:rPr>
            </w:pPr>
            <w:r w:rsidRPr="00F36B82">
              <w:rPr>
                <w:color w:val="000000"/>
                <w:sz w:val="14"/>
                <w:szCs w:val="14"/>
              </w:rPr>
              <w:t>-</w:t>
            </w:r>
          </w:p>
        </w:tc>
        <w:tc>
          <w:tcPr>
            <w:tcW w:w="272" w:type="pct"/>
            <w:tcBorders>
              <w:top w:val="nil"/>
              <w:left w:val="nil"/>
              <w:bottom w:val="nil"/>
              <w:right w:val="nil"/>
            </w:tcBorders>
            <w:vAlign w:val="bottom"/>
          </w:tcPr>
          <w:p w14:paraId="260EDB89" w14:textId="77777777" w:rsidR="009B1956" w:rsidRPr="00F36B82" w:rsidRDefault="009B1956" w:rsidP="00887449">
            <w:pPr>
              <w:jc w:val="right"/>
              <w:rPr>
                <w:sz w:val="14"/>
                <w:szCs w:val="14"/>
              </w:rPr>
            </w:pPr>
            <w:r w:rsidRPr="00F36B82">
              <w:rPr>
                <w:color w:val="000000"/>
                <w:sz w:val="14"/>
                <w:szCs w:val="14"/>
              </w:rPr>
              <w:t>-</w:t>
            </w:r>
          </w:p>
        </w:tc>
        <w:tc>
          <w:tcPr>
            <w:tcW w:w="273" w:type="pct"/>
            <w:tcBorders>
              <w:top w:val="nil"/>
              <w:left w:val="nil"/>
              <w:bottom w:val="nil"/>
              <w:right w:val="nil"/>
            </w:tcBorders>
            <w:vAlign w:val="bottom"/>
          </w:tcPr>
          <w:p w14:paraId="2308E1A0" w14:textId="77777777" w:rsidR="009B1956" w:rsidRPr="00F36B82" w:rsidRDefault="009B1956" w:rsidP="00887449">
            <w:pPr>
              <w:jc w:val="right"/>
              <w:rPr>
                <w:sz w:val="14"/>
                <w:szCs w:val="14"/>
              </w:rPr>
            </w:pPr>
            <w:r w:rsidRPr="00F36B82">
              <w:rPr>
                <w:color w:val="000000"/>
                <w:sz w:val="14"/>
                <w:szCs w:val="14"/>
              </w:rPr>
              <w:t>-</w:t>
            </w:r>
          </w:p>
        </w:tc>
      </w:tr>
      <w:tr w:rsidR="009B1956" w:rsidRPr="00F36B82" w14:paraId="7EB77AF0" w14:textId="77777777" w:rsidTr="007A5154">
        <w:trPr>
          <w:trHeight w:val="133"/>
        </w:trPr>
        <w:tc>
          <w:tcPr>
            <w:tcW w:w="98" w:type="pct"/>
          </w:tcPr>
          <w:p w14:paraId="5ADDE939" w14:textId="77777777" w:rsidR="009B1956" w:rsidRPr="00F36B82" w:rsidRDefault="009B1956" w:rsidP="007A5154">
            <w:pPr>
              <w:autoSpaceDE w:val="0"/>
              <w:autoSpaceDN w:val="0"/>
              <w:adjustRightInd w:val="0"/>
              <w:ind w:left="180" w:hanging="180"/>
              <w:rPr>
                <w:rFonts w:eastAsia="Arial Unicode MS"/>
                <w:b/>
                <w:sz w:val="14"/>
                <w:szCs w:val="14"/>
              </w:rPr>
            </w:pPr>
            <w:r w:rsidRPr="00F36B82">
              <w:rPr>
                <w:rFonts w:eastAsia="Arial Unicode MS"/>
                <w:b/>
                <w:sz w:val="14"/>
                <w:szCs w:val="14"/>
              </w:rPr>
              <w:t>2</w:t>
            </w:r>
          </w:p>
        </w:tc>
        <w:tc>
          <w:tcPr>
            <w:tcW w:w="528" w:type="pct"/>
            <w:vAlign w:val="bottom"/>
          </w:tcPr>
          <w:p w14:paraId="0E492619" w14:textId="77777777" w:rsidR="009B1956" w:rsidRPr="00F36B82" w:rsidRDefault="009B1956" w:rsidP="00887449">
            <w:pPr>
              <w:rPr>
                <w:b/>
                <w:bCs/>
                <w:color w:val="000000"/>
                <w:sz w:val="14"/>
                <w:szCs w:val="14"/>
              </w:rPr>
            </w:pPr>
            <w:r w:rsidRPr="00F36B82">
              <w:rPr>
                <w:b/>
                <w:bCs/>
                <w:color w:val="000000"/>
                <w:sz w:val="14"/>
                <w:szCs w:val="14"/>
              </w:rPr>
              <w:t>Sanayi</w:t>
            </w:r>
          </w:p>
        </w:tc>
        <w:tc>
          <w:tcPr>
            <w:tcW w:w="240" w:type="pct"/>
            <w:tcBorders>
              <w:top w:val="nil"/>
              <w:left w:val="nil"/>
              <w:bottom w:val="nil"/>
              <w:right w:val="nil"/>
            </w:tcBorders>
            <w:vAlign w:val="bottom"/>
          </w:tcPr>
          <w:p w14:paraId="27474043" w14:textId="77777777" w:rsidR="009B1956" w:rsidRPr="00F36B82" w:rsidRDefault="009B1956" w:rsidP="00887449">
            <w:pPr>
              <w:jc w:val="right"/>
              <w:rPr>
                <w:b/>
                <w:sz w:val="14"/>
                <w:szCs w:val="14"/>
              </w:rPr>
            </w:pPr>
            <w:r w:rsidRPr="00F36B82">
              <w:rPr>
                <w:b/>
                <w:bCs/>
                <w:color w:val="000000"/>
                <w:sz w:val="14"/>
                <w:szCs w:val="14"/>
              </w:rPr>
              <w:t>-</w:t>
            </w:r>
          </w:p>
        </w:tc>
        <w:tc>
          <w:tcPr>
            <w:tcW w:w="156" w:type="pct"/>
            <w:tcBorders>
              <w:top w:val="nil"/>
              <w:left w:val="nil"/>
              <w:bottom w:val="nil"/>
              <w:right w:val="nil"/>
            </w:tcBorders>
            <w:vAlign w:val="bottom"/>
          </w:tcPr>
          <w:p w14:paraId="73790023" w14:textId="77777777" w:rsidR="009B1956" w:rsidRPr="00F36B82" w:rsidRDefault="009B1956" w:rsidP="00887449">
            <w:pPr>
              <w:jc w:val="right"/>
              <w:rPr>
                <w:b/>
                <w:sz w:val="14"/>
                <w:szCs w:val="14"/>
              </w:rPr>
            </w:pPr>
            <w:r w:rsidRPr="00F36B82">
              <w:rPr>
                <w:b/>
                <w:bCs/>
                <w:color w:val="000000"/>
                <w:sz w:val="14"/>
                <w:szCs w:val="14"/>
              </w:rPr>
              <w:t>-</w:t>
            </w:r>
          </w:p>
        </w:tc>
        <w:tc>
          <w:tcPr>
            <w:tcW w:w="173" w:type="pct"/>
            <w:tcBorders>
              <w:top w:val="nil"/>
              <w:left w:val="nil"/>
              <w:bottom w:val="nil"/>
              <w:right w:val="nil"/>
            </w:tcBorders>
            <w:vAlign w:val="bottom"/>
          </w:tcPr>
          <w:p w14:paraId="04072898" w14:textId="77777777" w:rsidR="009B1956" w:rsidRPr="00F36B82" w:rsidRDefault="009B1956" w:rsidP="00887449">
            <w:pPr>
              <w:jc w:val="right"/>
              <w:rPr>
                <w:b/>
                <w:sz w:val="14"/>
                <w:szCs w:val="14"/>
              </w:rPr>
            </w:pPr>
            <w:r w:rsidRPr="00F36B82">
              <w:rPr>
                <w:b/>
                <w:bCs/>
                <w:color w:val="000000"/>
                <w:sz w:val="14"/>
                <w:szCs w:val="14"/>
              </w:rPr>
              <w:t>-</w:t>
            </w:r>
          </w:p>
        </w:tc>
        <w:tc>
          <w:tcPr>
            <w:tcW w:w="100" w:type="pct"/>
            <w:tcBorders>
              <w:top w:val="nil"/>
              <w:left w:val="nil"/>
              <w:bottom w:val="nil"/>
              <w:right w:val="nil"/>
            </w:tcBorders>
            <w:vAlign w:val="bottom"/>
          </w:tcPr>
          <w:p w14:paraId="21ACF5A9" w14:textId="77777777" w:rsidR="009B1956" w:rsidRPr="00F36B82" w:rsidRDefault="009B1956" w:rsidP="00887449">
            <w:pPr>
              <w:jc w:val="right"/>
              <w:rPr>
                <w:b/>
                <w:sz w:val="14"/>
                <w:szCs w:val="14"/>
              </w:rPr>
            </w:pPr>
            <w:r w:rsidRPr="00F36B82">
              <w:rPr>
                <w:b/>
                <w:bCs/>
                <w:color w:val="000000"/>
                <w:sz w:val="14"/>
                <w:szCs w:val="14"/>
              </w:rPr>
              <w:t>-</w:t>
            </w:r>
          </w:p>
        </w:tc>
        <w:tc>
          <w:tcPr>
            <w:tcW w:w="224" w:type="pct"/>
            <w:tcBorders>
              <w:top w:val="nil"/>
              <w:left w:val="nil"/>
              <w:bottom w:val="nil"/>
              <w:right w:val="nil"/>
            </w:tcBorders>
            <w:vAlign w:val="bottom"/>
          </w:tcPr>
          <w:p w14:paraId="03590ED8" w14:textId="77777777" w:rsidR="009B1956" w:rsidRPr="00F36B82" w:rsidRDefault="009B1956" w:rsidP="00887449">
            <w:pPr>
              <w:jc w:val="right"/>
              <w:rPr>
                <w:b/>
                <w:sz w:val="14"/>
                <w:szCs w:val="14"/>
              </w:rPr>
            </w:pPr>
            <w:r w:rsidRPr="00F36B82">
              <w:rPr>
                <w:b/>
                <w:bCs/>
                <w:color w:val="000000"/>
                <w:sz w:val="14"/>
                <w:szCs w:val="14"/>
              </w:rPr>
              <w:t>-</w:t>
            </w:r>
          </w:p>
        </w:tc>
        <w:tc>
          <w:tcPr>
            <w:tcW w:w="240" w:type="pct"/>
            <w:tcBorders>
              <w:top w:val="nil"/>
              <w:left w:val="nil"/>
              <w:bottom w:val="nil"/>
              <w:right w:val="nil"/>
            </w:tcBorders>
            <w:vAlign w:val="bottom"/>
          </w:tcPr>
          <w:p w14:paraId="0A9B1BA9" w14:textId="77777777" w:rsidR="009B1956" w:rsidRPr="00F36B82" w:rsidRDefault="009B1956" w:rsidP="00887449">
            <w:pPr>
              <w:jc w:val="right"/>
              <w:rPr>
                <w:b/>
                <w:sz w:val="14"/>
                <w:szCs w:val="14"/>
              </w:rPr>
            </w:pPr>
            <w:r w:rsidRPr="00F36B82">
              <w:rPr>
                <w:b/>
                <w:bCs/>
                <w:color w:val="000000"/>
                <w:sz w:val="14"/>
                <w:szCs w:val="14"/>
              </w:rPr>
              <w:t>-</w:t>
            </w:r>
          </w:p>
        </w:tc>
        <w:tc>
          <w:tcPr>
            <w:tcW w:w="268" w:type="pct"/>
            <w:tcBorders>
              <w:top w:val="nil"/>
              <w:left w:val="nil"/>
              <w:bottom w:val="nil"/>
              <w:right w:val="nil"/>
            </w:tcBorders>
            <w:vAlign w:val="bottom"/>
          </w:tcPr>
          <w:p w14:paraId="7B80D5CB" w14:textId="77777777" w:rsidR="009B1956" w:rsidRPr="00F36B82" w:rsidRDefault="009B1956" w:rsidP="00887449">
            <w:pPr>
              <w:jc w:val="right"/>
              <w:rPr>
                <w:b/>
                <w:sz w:val="14"/>
                <w:szCs w:val="14"/>
              </w:rPr>
            </w:pPr>
            <w:r w:rsidRPr="00F36B82">
              <w:rPr>
                <w:b/>
                <w:bCs/>
                <w:color w:val="000000"/>
                <w:sz w:val="14"/>
                <w:szCs w:val="14"/>
              </w:rPr>
              <w:t>3.473.351</w:t>
            </w:r>
          </w:p>
        </w:tc>
        <w:tc>
          <w:tcPr>
            <w:tcW w:w="220" w:type="pct"/>
            <w:tcBorders>
              <w:top w:val="nil"/>
              <w:left w:val="nil"/>
              <w:bottom w:val="nil"/>
              <w:right w:val="nil"/>
            </w:tcBorders>
            <w:vAlign w:val="bottom"/>
          </w:tcPr>
          <w:p w14:paraId="1896BDD1" w14:textId="77777777" w:rsidR="009B1956" w:rsidRPr="00F36B82" w:rsidRDefault="009B1956" w:rsidP="00887449">
            <w:pPr>
              <w:jc w:val="right"/>
              <w:rPr>
                <w:b/>
                <w:sz w:val="14"/>
                <w:szCs w:val="14"/>
              </w:rPr>
            </w:pPr>
            <w:r w:rsidRPr="00F36B82">
              <w:rPr>
                <w:b/>
                <w:bCs/>
                <w:color w:val="000000"/>
                <w:sz w:val="14"/>
                <w:szCs w:val="14"/>
              </w:rPr>
              <w:t>-</w:t>
            </w:r>
          </w:p>
        </w:tc>
        <w:tc>
          <w:tcPr>
            <w:tcW w:w="201" w:type="pct"/>
            <w:tcBorders>
              <w:top w:val="nil"/>
              <w:left w:val="nil"/>
              <w:bottom w:val="nil"/>
              <w:right w:val="nil"/>
            </w:tcBorders>
            <w:vAlign w:val="bottom"/>
          </w:tcPr>
          <w:p w14:paraId="69FCB225" w14:textId="77777777" w:rsidR="009B1956" w:rsidRPr="00F36B82" w:rsidRDefault="009B1956" w:rsidP="00887449">
            <w:pPr>
              <w:jc w:val="right"/>
              <w:rPr>
                <w:b/>
                <w:sz w:val="14"/>
                <w:szCs w:val="14"/>
              </w:rPr>
            </w:pPr>
            <w:r w:rsidRPr="00F36B82">
              <w:rPr>
                <w:b/>
                <w:bCs/>
                <w:color w:val="000000"/>
                <w:sz w:val="14"/>
                <w:szCs w:val="14"/>
              </w:rPr>
              <w:t>238.040</w:t>
            </w:r>
          </w:p>
        </w:tc>
        <w:tc>
          <w:tcPr>
            <w:tcW w:w="142" w:type="pct"/>
            <w:tcBorders>
              <w:top w:val="nil"/>
              <w:left w:val="nil"/>
              <w:bottom w:val="nil"/>
              <w:right w:val="nil"/>
            </w:tcBorders>
            <w:vAlign w:val="bottom"/>
          </w:tcPr>
          <w:p w14:paraId="1E4B30A0" w14:textId="77777777" w:rsidR="009B1956" w:rsidRPr="00F36B82" w:rsidRDefault="009B1956" w:rsidP="00887449">
            <w:pPr>
              <w:jc w:val="right"/>
              <w:rPr>
                <w:b/>
                <w:sz w:val="14"/>
                <w:szCs w:val="14"/>
              </w:rPr>
            </w:pPr>
            <w:r w:rsidRPr="00F36B82">
              <w:rPr>
                <w:b/>
                <w:bCs/>
                <w:color w:val="000000"/>
                <w:sz w:val="14"/>
                <w:szCs w:val="14"/>
              </w:rPr>
              <w:t>-</w:t>
            </w:r>
          </w:p>
        </w:tc>
        <w:tc>
          <w:tcPr>
            <w:tcW w:w="220" w:type="pct"/>
            <w:tcBorders>
              <w:top w:val="nil"/>
              <w:left w:val="nil"/>
              <w:bottom w:val="nil"/>
              <w:right w:val="nil"/>
            </w:tcBorders>
            <w:vAlign w:val="bottom"/>
          </w:tcPr>
          <w:p w14:paraId="45953547" w14:textId="77777777" w:rsidR="009B1956" w:rsidRPr="00F36B82" w:rsidRDefault="009B1956" w:rsidP="00887449">
            <w:pPr>
              <w:jc w:val="right"/>
              <w:rPr>
                <w:b/>
                <w:sz w:val="14"/>
                <w:szCs w:val="14"/>
              </w:rPr>
            </w:pPr>
            <w:r w:rsidRPr="00F36B82">
              <w:rPr>
                <w:b/>
                <w:bCs/>
                <w:color w:val="000000"/>
                <w:sz w:val="14"/>
                <w:szCs w:val="14"/>
              </w:rPr>
              <w:t>-</w:t>
            </w:r>
          </w:p>
        </w:tc>
        <w:tc>
          <w:tcPr>
            <w:tcW w:w="159" w:type="pct"/>
            <w:tcBorders>
              <w:top w:val="nil"/>
              <w:left w:val="nil"/>
              <w:bottom w:val="nil"/>
              <w:right w:val="nil"/>
            </w:tcBorders>
            <w:vAlign w:val="bottom"/>
          </w:tcPr>
          <w:p w14:paraId="0829C5C1" w14:textId="77777777" w:rsidR="009B1956" w:rsidRPr="00F36B82" w:rsidRDefault="009B1956" w:rsidP="00887449">
            <w:pPr>
              <w:jc w:val="right"/>
              <w:rPr>
                <w:b/>
                <w:sz w:val="14"/>
                <w:szCs w:val="14"/>
              </w:rPr>
            </w:pPr>
            <w:r w:rsidRPr="00F36B82">
              <w:rPr>
                <w:b/>
                <w:bCs/>
                <w:color w:val="000000"/>
                <w:sz w:val="14"/>
                <w:szCs w:val="14"/>
              </w:rPr>
              <w:t>-</w:t>
            </w:r>
          </w:p>
        </w:tc>
        <w:tc>
          <w:tcPr>
            <w:tcW w:w="244" w:type="pct"/>
            <w:tcBorders>
              <w:top w:val="nil"/>
              <w:left w:val="nil"/>
              <w:bottom w:val="nil"/>
              <w:right w:val="nil"/>
            </w:tcBorders>
            <w:vAlign w:val="bottom"/>
          </w:tcPr>
          <w:p w14:paraId="4594323D" w14:textId="77777777" w:rsidR="009B1956" w:rsidRPr="00F36B82" w:rsidRDefault="009B1956" w:rsidP="00887449">
            <w:pPr>
              <w:jc w:val="right"/>
              <w:rPr>
                <w:b/>
                <w:sz w:val="14"/>
                <w:szCs w:val="14"/>
              </w:rPr>
            </w:pPr>
            <w:r w:rsidRPr="00F36B82">
              <w:rPr>
                <w:b/>
                <w:bCs/>
                <w:color w:val="000000"/>
                <w:sz w:val="14"/>
                <w:szCs w:val="14"/>
              </w:rPr>
              <w:t>-</w:t>
            </w:r>
          </w:p>
        </w:tc>
        <w:tc>
          <w:tcPr>
            <w:tcW w:w="244" w:type="pct"/>
            <w:tcBorders>
              <w:top w:val="nil"/>
              <w:left w:val="nil"/>
              <w:bottom w:val="nil"/>
              <w:right w:val="nil"/>
            </w:tcBorders>
            <w:vAlign w:val="bottom"/>
          </w:tcPr>
          <w:p w14:paraId="61581FAE" w14:textId="77777777" w:rsidR="009B1956" w:rsidRPr="00F36B82" w:rsidRDefault="009B1956" w:rsidP="00887449">
            <w:pPr>
              <w:jc w:val="right"/>
              <w:rPr>
                <w:b/>
                <w:sz w:val="14"/>
                <w:szCs w:val="14"/>
              </w:rPr>
            </w:pPr>
            <w:r w:rsidRPr="00F36B82">
              <w:rPr>
                <w:b/>
                <w:bCs/>
                <w:color w:val="000000"/>
                <w:sz w:val="14"/>
                <w:szCs w:val="14"/>
              </w:rPr>
              <w:t>-</w:t>
            </w:r>
          </w:p>
        </w:tc>
        <w:tc>
          <w:tcPr>
            <w:tcW w:w="244" w:type="pct"/>
            <w:tcBorders>
              <w:top w:val="nil"/>
              <w:left w:val="nil"/>
              <w:bottom w:val="nil"/>
              <w:right w:val="nil"/>
            </w:tcBorders>
            <w:vAlign w:val="bottom"/>
          </w:tcPr>
          <w:p w14:paraId="0CC44808" w14:textId="77777777" w:rsidR="009B1956" w:rsidRPr="00F36B82" w:rsidRDefault="009B1956" w:rsidP="00887449">
            <w:pPr>
              <w:jc w:val="right"/>
              <w:rPr>
                <w:b/>
                <w:sz w:val="14"/>
                <w:szCs w:val="14"/>
              </w:rPr>
            </w:pPr>
            <w:r w:rsidRPr="00F36B82">
              <w:rPr>
                <w:b/>
                <w:bCs/>
                <w:color w:val="000000"/>
                <w:sz w:val="14"/>
                <w:szCs w:val="14"/>
              </w:rPr>
              <w:t>-</w:t>
            </w:r>
          </w:p>
        </w:tc>
        <w:tc>
          <w:tcPr>
            <w:tcW w:w="244" w:type="pct"/>
            <w:tcBorders>
              <w:top w:val="nil"/>
              <w:left w:val="nil"/>
              <w:bottom w:val="nil"/>
              <w:right w:val="nil"/>
            </w:tcBorders>
            <w:vAlign w:val="bottom"/>
          </w:tcPr>
          <w:p w14:paraId="610C0B02" w14:textId="77777777" w:rsidR="009B1956" w:rsidRPr="00F36B82" w:rsidRDefault="009B1956" w:rsidP="00887449">
            <w:pPr>
              <w:jc w:val="right"/>
              <w:rPr>
                <w:b/>
                <w:sz w:val="14"/>
                <w:szCs w:val="14"/>
              </w:rPr>
            </w:pPr>
            <w:r w:rsidRPr="00F36B82">
              <w:rPr>
                <w:b/>
                <w:bCs/>
                <w:color w:val="000000"/>
                <w:sz w:val="14"/>
                <w:szCs w:val="14"/>
              </w:rPr>
              <w:t>-</w:t>
            </w:r>
          </w:p>
        </w:tc>
        <w:tc>
          <w:tcPr>
            <w:tcW w:w="244" w:type="pct"/>
            <w:tcBorders>
              <w:top w:val="nil"/>
              <w:left w:val="nil"/>
              <w:bottom w:val="nil"/>
              <w:right w:val="nil"/>
            </w:tcBorders>
            <w:vAlign w:val="bottom"/>
          </w:tcPr>
          <w:p w14:paraId="260F3D18" w14:textId="77777777" w:rsidR="009B1956" w:rsidRPr="00F36B82" w:rsidRDefault="009B1956" w:rsidP="00887449">
            <w:pPr>
              <w:jc w:val="right"/>
              <w:rPr>
                <w:b/>
                <w:sz w:val="14"/>
                <w:szCs w:val="14"/>
              </w:rPr>
            </w:pPr>
            <w:r w:rsidRPr="00F36B82">
              <w:rPr>
                <w:b/>
                <w:bCs/>
                <w:color w:val="000000"/>
                <w:sz w:val="14"/>
                <w:szCs w:val="14"/>
              </w:rPr>
              <w:t>-</w:t>
            </w:r>
          </w:p>
        </w:tc>
        <w:tc>
          <w:tcPr>
            <w:tcW w:w="268" w:type="pct"/>
            <w:tcBorders>
              <w:top w:val="nil"/>
              <w:left w:val="nil"/>
              <w:bottom w:val="nil"/>
              <w:right w:val="nil"/>
            </w:tcBorders>
            <w:vAlign w:val="bottom"/>
          </w:tcPr>
          <w:p w14:paraId="31A794BE" w14:textId="77777777" w:rsidR="009B1956" w:rsidRPr="00F36B82" w:rsidRDefault="009B1956" w:rsidP="00887449">
            <w:pPr>
              <w:jc w:val="right"/>
              <w:rPr>
                <w:b/>
                <w:sz w:val="14"/>
                <w:szCs w:val="14"/>
              </w:rPr>
            </w:pPr>
            <w:r w:rsidRPr="00F36B82">
              <w:rPr>
                <w:b/>
                <w:bCs/>
                <w:color w:val="000000"/>
                <w:sz w:val="14"/>
                <w:szCs w:val="14"/>
              </w:rPr>
              <w:t>1.881.438</w:t>
            </w:r>
          </w:p>
        </w:tc>
        <w:tc>
          <w:tcPr>
            <w:tcW w:w="272" w:type="pct"/>
            <w:tcBorders>
              <w:top w:val="nil"/>
              <w:left w:val="nil"/>
              <w:bottom w:val="nil"/>
              <w:right w:val="nil"/>
            </w:tcBorders>
            <w:vAlign w:val="bottom"/>
          </w:tcPr>
          <w:p w14:paraId="0501FA65" w14:textId="77777777" w:rsidR="009B1956" w:rsidRPr="00F36B82" w:rsidRDefault="009B1956" w:rsidP="00887449">
            <w:pPr>
              <w:jc w:val="right"/>
              <w:rPr>
                <w:b/>
                <w:sz w:val="14"/>
                <w:szCs w:val="14"/>
              </w:rPr>
            </w:pPr>
            <w:r w:rsidRPr="00F36B82">
              <w:rPr>
                <w:b/>
                <w:bCs/>
                <w:color w:val="000000"/>
                <w:sz w:val="14"/>
                <w:szCs w:val="14"/>
              </w:rPr>
              <w:t>1.829.953</w:t>
            </w:r>
          </w:p>
        </w:tc>
        <w:tc>
          <w:tcPr>
            <w:tcW w:w="273" w:type="pct"/>
            <w:tcBorders>
              <w:top w:val="nil"/>
              <w:left w:val="nil"/>
              <w:bottom w:val="nil"/>
              <w:right w:val="nil"/>
            </w:tcBorders>
            <w:vAlign w:val="bottom"/>
          </w:tcPr>
          <w:p w14:paraId="37EF9F1A" w14:textId="77777777" w:rsidR="009B1956" w:rsidRPr="00F36B82" w:rsidRDefault="009B1956" w:rsidP="00887449">
            <w:pPr>
              <w:jc w:val="right"/>
              <w:rPr>
                <w:b/>
                <w:sz w:val="14"/>
                <w:szCs w:val="14"/>
              </w:rPr>
            </w:pPr>
            <w:r w:rsidRPr="00F36B82">
              <w:rPr>
                <w:b/>
                <w:bCs/>
                <w:color w:val="000000"/>
                <w:sz w:val="14"/>
                <w:szCs w:val="14"/>
              </w:rPr>
              <w:t>3.711.391</w:t>
            </w:r>
          </w:p>
        </w:tc>
      </w:tr>
      <w:tr w:rsidR="009B1956" w:rsidRPr="00F36B82" w14:paraId="2B6E5C81" w14:textId="77777777" w:rsidTr="007A5154">
        <w:trPr>
          <w:trHeight w:val="133"/>
        </w:trPr>
        <w:tc>
          <w:tcPr>
            <w:tcW w:w="98" w:type="pct"/>
          </w:tcPr>
          <w:p w14:paraId="5FF448DD" w14:textId="77777777" w:rsidR="009B1956" w:rsidRPr="00F36B82" w:rsidRDefault="009B1956" w:rsidP="007A5154">
            <w:pPr>
              <w:autoSpaceDE w:val="0"/>
              <w:autoSpaceDN w:val="0"/>
              <w:adjustRightInd w:val="0"/>
              <w:ind w:left="180" w:hanging="180"/>
              <w:rPr>
                <w:rFonts w:eastAsia="Arial Unicode MS"/>
                <w:sz w:val="14"/>
                <w:szCs w:val="14"/>
              </w:rPr>
            </w:pPr>
            <w:r w:rsidRPr="00F36B82">
              <w:rPr>
                <w:rFonts w:eastAsia="Arial Unicode MS"/>
                <w:sz w:val="14"/>
                <w:szCs w:val="14"/>
              </w:rPr>
              <w:t>2.1</w:t>
            </w:r>
          </w:p>
        </w:tc>
        <w:tc>
          <w:tcPr>
            <w:tcW w:w="528" w:type="pct"/>
            <w:vAlign w:val="bottom"/>
          </w:tcPr>
          <w:p w14:paraId="399C33E8" w14:textId="77777777" w:rsidR="009B1956" w:rsidRPr="00F36B82" w:rsidRDefault="009B1956" w:rsidP="00887449">
            <w:pPr>
              <w:ind w:left="160"/>
              <w:rPr>
                <w:rFonts w:eastAsia="Arial Unicode MS"/>
                <w:b/>
                <w:bCs/>
                <w:noProof/>
                <w:color w:val="000000"/>
                <w:sz w:val="14"/>
                <w:szCs w:val="14"/>
              </w:rPr>
            </w:pPr>
            <w:r w:rsidRPr="00F36B82">
              <w:rPr>
                <w:color w:val="000000"/>
                <w:sz w:val="14"/>
                <w:szCs w:val="14"/>
              </w:rPr>
              <w:t xml:space="preserve">Madencilik ve Taş ocakçılığı </w:t>
            </w:r>
          </w:p>
        </w:tc>
        <w:tc>
          <w:tcPr>
            <w:tcW w:w="240" w:type="pct"/>
            <w:tcBorders>
              <w:top w:val="nil"/>
              <w:left w:val="nil"/>
              <w:bottom w:val="nil"/>
              <w:right w:val="nil"/>
            </w:tcBorders>
            <w:vAlign w:val="bottom"/>
          </w:tcPr>
          <w:p w14:paraId="38801B28" w14:textId="77777777" w:rsidR="009B1956" w:rsidRPr="00F36B82" w:rsidRDefault="009B1956" w:rsidP="00887449">
            <w:pPr>
              <w:jc w:val="right"/>
              <w:rPr>
                <w:sz w:val="14"/>
                <w:szCs w:val="14"/>
              </w:rPr>
            </w:pPr>
            <w:r w:rsidRPr="00F36B82">
              <w:rPr>
                <w:color w:val="000000"/>
                <w:sz w:val="14"/>
                <w:szCs w:val="14"/>
              </w:rPr>
              <w:t>-</w:t>
            </w:r>
          </w:p>
        </w:tc>
        <w:tc>
          <w:tcPr>
            <w:tcW w:w="156" w:type="pct"/>
            <w:tcBorders>
              <w:top w:val="nil"/>
              <w:left w:val="nil"/>
              <w:bottom w:val="nil"/>
              <w:right w:val="nil"/>
            </w:tcBorders>
            <w:vAlign w:val="bottom"/>
          </w:tcPr>
          <w:p w14:paraId="259E9923" w14:textId="77777777" w:rsidR="009B1956" w:rsidRPr="00F36B82" w:rsidRDefault="009B1956" w:rsidP="00887449">
            <w:pPr>
              <w:jc w:val="right"/>
              <w:rPr>
                <w:sz w:val="14"/>
                <w:szCs w:val="14"/>
              </w:rPr>
            </w:pPr>
            <w:r w:rsidRPr="00F36B82">
              <w:rPr>
                <w:color w:val="000000"/>
                <w:sz w:val="14"/>
                <w:szCs w:val="14"/>
              </w:rPr>
              <w:t>-</w:t>
            </w:r>
          </w:p>
        </w:tc>
        <w:tc>
          <w:tcPr>
            <w:tcW w:w="173" w:type="pct"/>
            <w:tcBorders>
              <w:top w:val="nil"/>
              <w:left w:val="nil"/>
              <w:bottom w:val="nil"/>
              <w:right w:val="nil"/>
            </w:tcBorders>
            <w:vAlign w:val="bottom"/>
          </w:tcPr>
          <w:p w14:paraId="506591C1" w14:textId="77777777" w:rsidR="009B1956" w:rsidRPr="00F36B82" w:rsidRDefault="009B1956" w:rsidP="00887449">
            <w:pPr>
              <w:jc w:val="right"/>
              <w:rPr>
                <w:sz w:val="14"/>
                <w:szCs w:val="14"/>
              </w:rPr>
            </w:pPr>
            <w:r w:rsidRPr="00F36B82">
              <w:rPr>
                <w:color w:val="000000"/>
                <w:sz w:val="14"/>
                <w:szCs w:val="14"/>
              </w:rPr>
              <w:t>-</w:t>
            </w:r>
          </w:p>
        </w:tc>
        <w:tc>
          <w:tcPr>
            <w:tcW w:w="100" w:type="pct"/>
            <w:tcBorders>
              <w:top w:val="nil"/>
              <w:left w:val="nil"/>
              <w:bottom w:val="nil"/>
              <w:right w:val="nil"/>
            </w:tcBorders>
            <w:vAlign w:val="bottom"/>
          </w:tcPr>
          <w:p w14:paraId="6395823C" w14:textId="77777777" w:rsidR="009B1956" w:rsidRPr="00F36B82" w:rsidRDefault="009B1956" w:rsidP="00887449">
            <w:pPr>
              <w:jc w:val="right"/>
              <w:rPr>
                <w:sz w:val="14"/>
                <w:szCs w:val="14"/>
              </w:rPr>
            </w:pPr>
            <w:r w:rsidRPr="00F36B82">
              <w:rPr>
                <w:color w:val="000000"/>
                <w:sz w:val="14"/>
                <w:szCs w:val="14"/>
              </w:rPr>
              <w:t>-</w:t>
            </w:r>
          </w:p>
        </w:tc>
        <w:tc>
          <w:tcPr>
            <w:tcW w:w="224" w:type="pct"/>
            <w:tcBorders>
              <w:top w:val="nil"/>
              <w:left w:val="nil"/>
              <w:bottom w:val="nil"/>
              <w:right w:val="nil"/>
            </w:tcBorders>
            <w:vAlign w:val="bottom"/>
          </w:tcPr>
          <w:p w14:paraId="79B231ED" w14:textId="77777777" w:rsidR="009B1956" w:rsidRPr="00F36B82" w:rsidRDefault="009B1956" w:rsidP="00887449">
            <w:pPr>
              <w:jc w:val="right"/>
              <w:rPr>
                <w:sz w:val="14"/>
                <w:szCs w:val="14"/>
              </w:rPr>
            </w:pPr>
            <w:r w:rsidRPr="00F36B82">
              <w:rPr>
                <w:color w:val="000000"/>
                <w:sz w:val="14"/>
                <w:szCs w:val="14"/>
              </w:rPr>
              <w:t>-</w:t>
            </w:r>
          </w:p>
        </w:tc>
        <w:tc>
          <w:tcPr>
            <w:tcW w:w="240" w:type="pct"/>
            <w:tcBorders>
              <w:top w:val="nil"/>
              <w:left w:val="nil"/>
              <w:bottom w:val="nil"/>
              <w:right w:val="nil"/>
            </w:tcBorders>
            <w:vAlign w:val="bottom"/>
          </w:tcPr>
          <w:p w14:paraId="44325426" w14:textId="77777777" w:rsidR="009B1956" w:rsidRPr="00F36B82" w:rsidRDefault="009B1956" w:rsidP="00887449">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59D303CE" w14:textId="77777777" w:rsidR="009B1956" w:rsidRPr="00F36B82" w:rsidRDefault="009B1956" w:rsidP="00887449">
            <w:pPr>
              <w:jc w:val="right"/>
              <w:rPr>
                <w:sz w:val="14"/>
                <w:szCs w:val="14"/>
              </w:rPr>
            </w:pPr>
            <w:r w:rsidRPr="00F36B82">
              <w:rPr>
                <w:color w:val="000000"/>
                <w:sz w:val="14"/>
                <w:szCs w:val="14"/>
              </w:rPr>
              <w:t>794.095</w:t>
            </w:r>
          </w:p>
        </w:tc>
        <w:tc>
          <w:tcPr>
            <w:tcW w:w="220" w:type="pct"/>
            <w:tcBorders>
              <w:top w:val="nil"/>
              <w:left w:val="nil"/>
              <w:bottom w:val="nil"/>
              <w:right w:val="nil"/>
            </w:tcBorders>
            <w:vAlign w:val="bottom"/>
          </w:tcPr>
          <w:p w14:paraId="0F45D30D" w14:textId="77777777" w:rsidR="009B1956" w:rsidRPr="00F36B82" w:rsidRDefault="009B1956" w:rsidP="00887449">
            <w:pPr>
              <w:jc w:val="right"/>
              <w:rPr>
                <w:sz w:val="14"/>
                <w:szCs w:val="14"/>
              </w:rPr>
            </w:pPr>
            <w:r w:rsidRPr="00F36B82">
              <w:rPr>
                <w:color w:val="000000"/>
                <w:sz w:val="14"/>
                <w:szCs w:val="14"/>
              </w:rPr>
              <w:t>-</w:t>
            </w:r>
          </w:p>
        </w:tc>
        <w:tc>
          <w:tcPr>
            <w:tcW w:w="201" w:type="pct"/>
            <w:tcBorders>
              <w:top w:val="nil"/>
              <w:left w:val="nil"/>
              <w:bottom w:val="nil"/>
              <w:right w:val="nil"/>
            </w:tcBorders>
            <w:vAlign w:val="bottom"/>
          </w:tcPr>
          <w:p w14:paraId="04BE4BB4" w14:textId="77777777" w:rsidR="009B1956" w:rsidRPr="00F36B82" w:rsidRDefault="009B1956" w:rsidP="00887449">
            <w:pPr>
              <w:jc w:val="right"/>
              <w:rPr>
                <w:sz w:val="14"/>
                <w:szCs w:val="14"/>
              </w:rPr>
            </w:pPr>
            <w:r w:rsidRPr="00F36B82">
              <w:rPr>
                <w:color w:val="000000"/>
                <w:sz w:val="14"/>
                <w:szCs w:val="14"/>
              </w:rPr>
              <w:t>-</w:t>
            </w:r>
          </w:p>
        </w:tc>
        <w:tc>
          <w:tcPr>
            <w:tcW w:w="142" w:type="pct"/>
            <w:tcBorders>
              <w:top w:val="nil"/>
              <w:left w:val="nil"/>
              <w:bottom w:val="nil"/>
              <w:right w:val="nil"/>
            </w:tcBorders>
            <w:vAlign w:val="bottom"/>
          </w:tcPr>
          <w:p w14:paraId="136AF1CA" w14:textId="77777777" w:rsidR="009B1956" w:rsidRPr="00F36B82" w:rsidRDefault="009B1956" w:rsidP="00887449">
            <w:pPr>
              <w:jc w:val="right"/>
              <w:rPr>
                <w:sz w:val="14"/>
                <w:szCs w:val="14"/>
              </w:rPr>
            </w:pPr>
            <w:r w:rsidRPr="00F36B82">
              <w:rPr>
                <w:color w:val="000000"/>
                <w:sz w:val="14"/>
                <w:szCs w:val="14"/>
              </w:rPr>
              <w:t>-</w:t>
            </w:r>
          </w:p>
        </w:tc>
        <w:tc>
          <w:tcPr>
            <w:tcW w:w="220" w:type="pct"/>
            <w:tcBorders>
              <w:top w:val="nil"/>
              <w:left w:val="nil"/>
              <w:bottom w:val="nil"/>
              <w:right w:val="nil"/>
            </w:tcBorders>
            <w:vAlign w:val="bottom"/>
          </w:tcPr>
          <w:p w14:paraId="08CA8B1B" w14:textId="77777777" w:rsidR="009B1956" w:rsidRPr="00F36B82" w:rsidRDefault="009B1956" w:rsidP="00887449">
            <w:pPr>
              <w:jc w:val="right"/>
              <w:rPr>
                <w:bCs/>
                <w:sz w:val="14"/>
                <w:szCs w:val="14"/>
              </w:rPr>
            </w:pPr>
            <w:r w:rsidRPr="00F36B82">
              <w:rPr>
                <w:color w:val="000000"/>
                <w:sz w:val="14"/>
                <w:szCs w:val="14"/>
              </w:rPr>
              <w:t>-</w:t>
            </w:r>
          </w:p>
        </w:tc>
        <w:tc>
          <w:tcPr>
            <w:tcW w:w="159" w:type="pct"/>
            <w:tcBorders>
              <w:top w:val="nil"/>
              <w:left w:val="nil"/>
              <w:bottom w:val="nil"/>
              <w:right w:val="nil"/>
            </w:tcBorders>
            <w:vAlign w:val="bottom"/>
          </w:tcPr>
          <w:p w14:paraId="5D47518A"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141006F5"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45E7A717"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6301FF23"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5EA5BD20"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1755658B" w14:textId="77777777" w:rsidR="009B1956" w:rsidRPr="00F36B82" w:rsidRDefault="009B1956" w:rsidP="00887449">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42255512" w14:textId="77777777" w:rsidR="009B1956" w:rsidRPr="00F36B82" w:rsidRDefault="009B1956" w:rsidP="00887449">
            <w:pPr>
              <w:jc w:val="right"/>
              <w:rPr>
                <w:sz w:val="14"/>
                <w:szCs w:val="14"/>
              </w:rPr>
            </w:pPr>
            <w:r w:rsidRPr="00F36B82">
              <w:rPr>
                <w:color w:val="000000"/>
                <w:sz w:val="14"/>
                <w:szCs w:val="14"/>
              </w:rPr>
              <w:t>794.095</w:t>
            </w:r>
          </w:p>
        </w:tc>
        <w:tc>
          <w:tcPr>
            <w:tcW w:w="272" w:type="pct"/>
            <w:tcBorders>
              <w:top w:val="nil"/>
              <w:left w:val="nil"/>
              <w:bottom w:val="nil"/>
              <w:right w:val="nil"/>
            </w:tcBorders>
            <w:vAlign w:val="bottom"/>
          </w:tcPr>
          <w:p w14:paraId="2D3D69A2" w14:textId="77777777" w:rsidR="009B1956" w:rsidRPr="00F36B82" w:rsidRDefault="009B1956" w:rsidP="00887449">
            <w:pPr>
              <w:jc w:val="right"/>
              <w:rPr>
                <w:sz w:val="14"/>
                <w:szCs w:val="14"/>
              </w:rPr>
            </w:pPr>
            <w:r w:rsidRPr="00F36B82">
              <w:rPr>
                <w:color w:val="000000"/>
                <w:sz w:val="14"/>
                <w:szCs w:val="14"/>
              </w:rPr>
              <w:t>-</w:t>
            </w:r>
          </w:p>
        </w:tc>
        <w:tc>
          <w:tcPr>
            <w:tcW w:w="273" w:type="pct"/>
            <w:tcBorders>
              <w:top w:val="nil"/>
              <w:left w:val="nil"/>
              <w:bottom w:val="nil"/>
              <w:right w:val="nil"/>
            </w:tcBorders>
            <w:vAlign w:val="bottom"/>
          </w:tcPr>
          <w:p w14:paraId="280A3A61" w14:textId="77777777" w:rsidR="009B1956" w:rsidRPr="00F36B82" w:rsidRDefault="009B1956" w:rsidP="00887449">
            <w:pPr>
              <w:jc w:val="right"/>
              <w:rPr>
                <w:sz w:val="14"/>
                <w:szCs w:val="14"/>
              </w:rPr>
            </w:pPr>
            <w:r w:rsidRPr="00F36B82">
              <w:rPr>
                <w:color w:val="000000"/>
                <w:sz w:val="14"/>
                <w:szCs w:val="14"/>
              </w:rPr>
              <w:t>794.095</w:t>
            </w:r>
          </w:p>
        </w:tc>
      </w:tr>
      <w:tr w:rsidR="009B1956" w:rsidRPr="00F36B82" w14:paraId="3C94987B" w14:textId="77777777" w:rsidTr="007A5154">
        <w:trPr>
          <w:trHeight w:val="133"/>
        </w:trPr>
        <w:tc>
          <w:tcPr>
            <w:tcW w:w="98" w:type="pct"/>
          </w:tcPr>
          <w:p w14:paraId="43DF7C5B" w14:textId="77777777" w:rsidR="009B1956" w:rsidRPr="00F36B82" w:rsidRDefault="009B1956" w:rsidP="007A5154">
            <w:pPr>
              <w:autoSpaceDE w:val="0"/>
              <w:autoSpaceDN w:val="0"/>
              <w:adjustRightInd w:val="0"/>
              <w:ind w:left="180" w:hanging="180"/>
              <w:rPr>
                <w:rFonts w:eastAsia="Arial Unicode MS"/>
                <w:sz w:val="14"/>
                <w:szCs w:val="14"/>
              </w:rPr>
            </w:pPr>
            <w:r w:rsidRPr="00F36B82">
              <w:rPr>
                <w:rFonts w:eastAsia="Arial Unicode MS"/>
                <w:sz w:val="14"/>
                <w:szCs w:val="14"/>
              </w:rPr>
              <w:t>2.2</w:t>
            </w:r>
          </w:p>
        </w:tc>
        <w:tc>
          <w:tcPr>
            <w:tcW w:w="528" w:type="pct"/>
            <w:vAlign w:val="bottom"/>
          </w:tcPr>
          <w:p w14:paraId="6FB29170" w14:textId="77777777" w:rsidR="009B1956" w:rsidRPr="00F36B82" w:rsidRDefault="009B1956" w:rsidP="00887449">
            <w:pPr>
              <w:rPr>
                <w:color w:val="000000"/>
                <w:sz w:val="14"/>
                <w:szCs w:val="14"/>
              </w:rPr>
            </w:pPr>
            <w:r w:rsidRPr="00F36B82">
              <w:rPr>
                <w:color w:val="000000"/>
                <w:sz w:val="14"/>
                <w:szCs w:val="14"/>
              </w:rPr>
              <w:t xml:space="preserve">   İmalat Sanayi</w:t>
            </w:r>
          </w:p>
        </w:tc>
        <w:tc>
          <w:tcPr>
            <w:tcW w:w="240" w:type="pct"/>
            <w:tcBorders>
              <w:top w:val="nil"/>
              <w:left w:val="nil"/>
              <w:bottom w:val="nil"/>
              <w:right w:val="nil"/>
            </w:tcBorders>
            <w:vAlign w:val="bottom"/>
          </w:tcPr>
          <w:p w14:paraId="3082627C" w14:textId="77777777" w:rsidR="009B1956" w:rsidRPr="00F36B82" w:rsidRDefault="009B1956" w:rsidP="00887449">
            <w:pPr>
              <w:jc w:val="right"/>
              <w:rPr>
                <w:sz w:val="14"/>
                <w:szCs w:val="14"/>
              </w:rPr>
            </w:pPr>
            <w:r w:rsidRPr="00F36B82">
              <w:rPr>
                <w:color w:val="000000"/>
                <w:sz w:val="14"/>
                <w:szCs w:val="14"/>
              </w:rPr>
              <w:t>-</w:t>
            </w:r>
          </w:p>
        </w:tc>
        <w:tc>
          <w:tcPr>
            <w:tcW w:w="156" w:type="pct"/>
            <w:tcBorders>
              <w:top w:val="nil"/>
              <w:left w:val="nil"/>
              <w:bottom w:val="nil"/>
              <w:right w:val="nil"/>
            </w:tcBorders>
            <w:vAlign w:val="bottom"/>
          </w:tcPr>
          <w:p w14:paraId="1508FF00" w14:textId="77777777" w:rsidR="009B1956" w:rsidRPr="00F36B82" w:rsidRDefault="009B1956" w:rsidP="00887449">
            <w:pPr>
              <w:jc w:val="right"/>
              <w:rPr>
                <w:sz w:val="14"/>
                <w:szCs w:val="14"/>
              </w:rPr>
            </w:pPr>
            <w:r w:rsidRPr="00F36B82">
              <w:rPr>
                <w:color w:val="000000"/>
                <w:sz w:val="14"/>
                <w:szCs w:val="14"/>
              </w:rPr>
              <w:t>-</w:t>
            </w:r>
          </w:p>
        </w:tc>
        <w:tc>
          <w:tcPr>
            <w:tcW w:w="173" w:type="pct"/>
            <w:tcBorders>
              <w:top w:val="nil"/>
              <w:left w:val="nil"/>
              <w:bottom w:val="nil"/>
              <w:right w:val="nil"/>
            </w:tcBorders>
            <w:vAlign w:val="bottom"/>
          </w:tcPr>
          <w:p w14:paraId="152B4F36" w14:textId="77777777" w:rsidR="009B1956" w:rsidRPr="00F36B82" w:rsidRDefault="009B1956" w:rsidP="00887449">
            <w:pPr>
              <w:jc w:val="right"/>
              <w:rPr>
                <w:sz w:val="14"/>
                <w:szCs w:val="14"/>
              </w:rPr>
            </w:pPr>
            <w:r w:rsidRPr="00F36B82">
              <w:rPr>
                <w:color w:val="000000"/>
                <w:sz w:val="14"/>
                <w:szCs w:val="14"/>
              </w:rPr>
              <w:t>-</w:t>
            </w:r>
          </w:p>
        </w:tc>
        <w:tc>
          <w:tcPr>
            <w:tcW w:w="100" w:type="pct"/>
            <w:tcBorders>
              <w:top w:val="nil"/>
              <w:left w:val="nil"/>
              <w:bottom w:val="nil"/>
              <w:right w:val="nil"/>
            </w:tcBorders>
            <w:vAlign w:val="bottom"/>
          </w:tcPr>
          <w:p w14:paraId="398A848A" w14:textId="77777777" w:rsidR="009B1956" w:rsidRPr="00F36B82" w:rsidRDefault="009B1956" w:rsidP="00887449">
            <w:pPr>
              <w:jc w:val="right"/>
              <w:rPr>
                <w:sz w:val="14"/>
                <w:szCs w:val="14"/>
              </w:rPr>
            </w:pPr>
            <w:r w:rsidRPr="00F36B82">
              <w:rPr>
                <w:color w:val="000000"/>
                <w:sz w:val="14"/>
                <w:szCs w:val="14"/>
              </w:rPr>
              <w:t>-</w:t>
            </w:r>
          </w:p>
        </w:tc>
        <w:tc>
          <w:tcPr>
            <w:tcW w:w="224" w:type="pct"/>
            <w:tcBorders>
              <w:top w:val="nil"/>
              <w:left w:val="nil"/>
              <w:bottom w:val="nil"/>
              <w:right w:val="nil"/>
            </w:tcBorders>
            <w:vAlign w:val="bottom"/>
          </w:tcPr>
          <w:p w14:paraId="120B6546" w14:textId="77777777" w:rsidR="009B1956" w:rsidRPr="00F36B82" w:rsidRDefault="009B1956" w:rsidP="00887449">
            <w:pPr>
              <w:jc w:val="right"/>
              <w:rPr>
                <w:sz w:val="14"/>
                <w:szCs w:val="14"/>
              </w:rPr>
            </w:pPr>
            <w:r w:rsidRPr="00F36B82">
              <w:rPr>
                <w:color w:val="000000"/>
                <w:sz w:val="14"/>
                <w:szCs w:val="14"/>
              </w:rPr>
              <w:t>-</w:t>
            </w:r>
          </w:p>
        </w:tc>
        <w:tc>
          <w:tcPr>
            <w:tcW w:w="240" w:type="pct"/>
            <w:tcBorders>
              <w:top w:val="nil"/>
              <w:left w:val="nil"/>
              <w:bottom w:val="nil"/>
              <w:right w:val="nil"/>
            </w:tcBorders>
            <w:vAlign w:val="bottom"/>
          </w:tcPr>
          <w:p w14:paraId="5A38D850" w14:textId="77777777" w:rsidR="009B1956" w:rsidRPr="00F36B82" w:rsidRDefault="009B1956" w:rsidP="00887449">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51CF6382" w14:textId="77777777" w:rsidR="009B1956" w:rsidRPr="00F36B82" w:rsidRDefault="009B1956" w:rsidP="00887449">
            <w:pPr>
              <w:jc w:val="right"/>
              <w:rPr>
                <w:sz w:val="14"/>
                <w:szCs w:val="14"/>
              </w:rPr>
            </w:pPr>
            <w:r w:rsidRPr="00F36B82">
              <w:rPr>
                <w:color w:val="000000"/>
                <w:sz w:val="14"/>
                <w:szCs w:val="14"/>
              </w:rPr>
              <w:t>2.439.665</w:t>
            </w:r>
          </w:p>
        </w:tc>
        <w:tc>
          <w:tcPr>
            <w:tcW w:w="220" w:type="pct"/>
            <w:tcBorders>
              <w:top w:val="nil"/>
              <w:left w:val="nil"/>
              <w:bottom w:val="nil"/>
              <w:right w:val="nil"/>
            </w:tcBorders>
            <w:vAlign w:val="bottom"/>
          </w:tcPr>
          <w:p w14:paraId="1C294207" w14:textId="77777777" w:rsidR="009B1956" w:rsidRPr="00F36B82" w:rsidRDefault="009B1956" w:rsidP="00887449">
            <w:pPr>
              <w:jc w:val="right"/>
              <w:rPr>
                <w:sz w:val="14"/>
                <w:szCs w:val="14"/>
              </w:rPr>
            </w:pPr>
            <w:r w:rsidRPr="00F36B82">
              <w:rPr>
                <w:color w:val="000000"/>
                <w:sz w:val="14"/>
                <w:szCs w:val="14"/>
              </w:rPr>
              <w:t>-</w:t>
            </w:r>
          </w:p>
        </w:tc>
        <w:tc>
          <w:tcPr>
            <w:tcW w:w="201" w:type="pct"/>
            <w:tcBorders>
              <w:top w:val="nil"/>
              <w:left w:val="nil"/>
              <w:bottom w:val="nil"/>
              <w:right w:val="nil"/>
            </w:tcBorders>
            <w:vAlign w:val="bottom"/>
          </w:tcPr>
          <w:p w14:paraId="75D6CB2D" w14:textId="77777777" w:rsidR="009B1956" w:rsidRPr="00F36B82" w:rsidRDefault="009B1956" w:rsidP="00887449">
            <w:pPr>
              <w:jc w:val="right"/>
              <w:rPr>
                <w:sz w:val="14"/>
                <w:szCs w:val="14"/>
              </w:rPr>
            </w:pPr>
            <w:r w:rsidRPr="00F36B82">
              <w:rPr>
                <w:color w:val="000000"/>
                <w:sz w:val="14"/>
                <w:szCs w:val="14"/>
              </w:rPr>
              <w:t>231.177</w:t>
            </w:r>
          </w:p>
        </w:tc>
        <w:tc>
          <w:tcPr>
            <w:tcW w:w="142" w:type="pct"/>
            <w:tcBorders>
              <w:top w:val="nil"/>
              <w:left w:val="nil"/>
              <w:bottom w:val="nil"/>
              <w:right w:val="nil"/>
            </w:tcBorders>
            <w:vAlign w:val="bottom"/>
          </w:tcPr>
          <w:p w14:paraId="4C3D65DF" w14:textId="77777777" w:rsidR="009B1956" w:rsidRPr="00F36B82" w:rsidRDefault="009B1956" w:rsidP="00887449">
            <w:pPr>
              <w:jc w:val="right"/>
              <w:rPr>
                <w:sz w:val="14"/>
                <w:szCs w:val="14"/>
              </w:rPr>
            </w:pPr>
            <w:r w:rsidRPr="00F36B82">
              <w:rPr>
                <w:color w:val="000000"/>
                <w:sz w:val="14"/>
                <w:szCs w:val="14"/>
              </w:rPr>
              <w:t>-</w:t>
            </w:r>
          </w:p>
        </w:tc>
        <w:tc>
          <w:tcPr>
            <w:tcW w:w="220" w:type="pct"/>
            <w:tcBorders>
              <w:top w:val="nil"/>
              <w:left w:val="nil"/>
              <w:bottom w:val="nil"/>
              <w:right w:val="nil"/>
            </w:tcBorders>
            <w:vAlign w:val="bottom"/>
          </w:tcPr>
          <w:p w14:paraId="6A7A04D6" w14:textId="77777777" w:rsidR="009B1956" w:rsidRPr="00F36B82" w:rsidRDefault="009B1956" w:rsidP="00887449">
            <w:pPr>
              <w:jc w:val="right"/>
              <w:rPr>
                <w:bCs/>
                <w:sz w:val="14"/>
                <w:szCs w:val="14"/>
              </w:rPr>
            </w:pPr>
            <w:r w:rsidRPr="00F36B82">
              <w:rPr>
                <w:color w:val="000000"/>
                <w:sz w:val="14"/>
                <w:szCs w:val="14"/>
              </w:rPr>
              <w:t>-</w:t>
            </w:r>
          </w:p>
        </w:tc>
        <w:tc>
          <w:tcPr>
            <w:tcW w:w="159" w:type="pct"/>
            <w:tcBorders>
              <w:top w:val="nil"/>
              <w:left w:val="nil"/>
              <w:bottom w:val="nil"/>
              <w:right w:val="nil"/>
            </w:tcBorders>
            <w:vAlign w:val="bottom"/>
          </w:tcPr>
          <w:p w14:paraId="66186400"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50C1412B"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20EE016A"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65B8FD79"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04E0ED1E"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43F5496D" w14:textId="77777777" w:rsidR="009B1956" w:rsidRPr="00F36B82" w:rsidRDefault="009B1956" w:rsidP="00887449">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340EB6E9" w14:textId="77777777" w:rsidR="009B1956" w:rsidRPr="00F36B82" w:rsidRDefault="009B1956" w:rsidP="00887449">
            <w:pPr>
              <w:jc w:val="right"/>
              <w:rPr>
                <w:sz w:val="14"/>
                <w:szCs w:val="14"/>
              </w:rPr>
            </w:pPr>
            <w:r w:rsidRPr="00F36B82">
              <w:rPr>
                <w:color w:val="000000"/>
                <w:sz w:val="14"/>
                <w:szCs w:val="14"/>
              </w:rPr>
              <w:t>847.752</w:t>
            </w:r>
          </w:p>
        </w:tc>
        <w:tc>
          <w:tcPr>
            <w:tcW w:w="272" w:type="pct"/>
            <w:tcBorders>
              <w:top w:val="nil"/>
              <w:left w:val="nil"/>
              <w:bottom w:val="nil"/>
              <w:right w:val="nil"/>
            </w:tcBorders>
            <w:vAlign w:val="bottom"/>
          </w:tcPr>
          <w:p w14:paraId="338BDA18" w14:textId="77777777" w:rsidR="009B1956" w:rsidRPr="00F36B82" w:rsidRDefault="009B1956" w:rsidP="00887449">
            <w:pPr>
              <w:jc w:val="right"/>
              <w:rPr>
                <w:sz w:val="14"/>
                <w:szCs w:val="14"/>
              </w:rPr>
            </w:pPr>
            <w:r w:rsidRPr="00F36B82">
              <w:rPr>
                <w:color w:val="000000"/>
                <w:sz w:val="14"/>
                <w:szCs w:val="14"/>
              </w:rPr>
              <w:t>1.823.090</w:t>
            </w:r>
          </w:p>
        </w:tc>
        <w:tc>
          <w:tcPr>
            <w:tcW w:w="273" w:type="pct"/>
            <w:tcBorders>
              <w:top w:val="nil"/>
              <w:left w:val="nil"/>
              <w:bottom w:val="nil"/>
              <w:right w:val="nil"/>
            </w:tcBorders>
            <w:vAlign w:val="bottom"/>
          </w:tcPr>
          <w:p w14:paraId="173A8F35" w14:textId="77777777" w:rsidR="009B1956" w:rsidRPr="00F36B82" w:rsidRDefault="009B1956" w:rsidP="00887449">
            <w:pPr>
              <w:jc w:val="right"/>
              <w:rPr>
                <w:sz w:val="14"/>
                <w:szCs w:val="14"/>
              </w:rPr>
            </w:pPr>
            <w:r w:rsidRPr="00F36B82">
              <w:rPr>
                <w:color w:val="000000"/>
                <w:sz w:val="14"/>
                <w:szCs w:val="14"/>
              </w:rPr>
              <w:t>2.670.842</w:t>
            </w:r>
          </w:p>
        </w:tc>
      </w:tr>
      <w:tr w:rsidR="009B1956" w:rsidRPr="00F36B82" w14:paraId="13597B73" w14:textId="77777777" w:rsidTr="007A5154">
        <w:trPr>
          <w:trHeight w:val="133"/>
        </w:trPr>
        <w:tc>
          <w:tcPr>
            <w:tcW w:w="98" w:type="pct"/>
          </w:tcPr>
          <w:p w14:paraId="2BAA7150" w14:textId="77777777" w:rsidR="009B1956" w:rsidRPr="00F36B82" w:rsidRDefault="009B1956" w:rsidP="007A5154">
            <w:pPr>
              <w:autoSpaceDE w:val="0"/>
              <w:autoSpaceDN w:val="0"/>
              <w:adjustRightInd w:val="0"/>
              <w:ind w:left="112" w:hanging="112"/>
              <w:rPr>
                <w:rFonts w:eastAsia="Arial Unicode MS"/>
                <w:sz w:val="14"/>
                <w:szCs w:val="14"/>
              </w:rPr>
            </w:pPr>
            <w:r w:rsidRPr="00F36B82">
              <w:rPr>
                <w:rFonts w:eastAsia="Arial Unicode MS"/>
                <w:sz w:val="14"/>
                <w:szCs w:val="14"/>
              </w:rPr>
              <w:t>2.3</w:t>
            </w:r>
          </w:p>
        </w:tc>
        <w:tc>
          <w:tcPr>
            <w:tcW w:w="528" w:type="pct"/>
            <w:vAlign w:val="bottom"/>
          </w:tcPr>
          <w:p w14:paraId="44C9E09B" w14:textId="77777777" w:rsidR="009B1956" w:rsidRPr="00F36B82" w:rsidRDefault="009B1956" w:rsidP="00887449">
            <w:pPr>
              <w:rPr>
                <w:color w:val="000000"/>
                <w:sz w:val="14"/>
                <w:szCs w:val="14"/>
              </w:rPr>
            </w:pPr>
            <w:r w:rsidRPr="00F36B82">
              <w:rPr>
                <w:color w:val="000000"/>
                <w:sz w:val="14"/>
                <w:szCs w:val="14"/>
              </w:rPr>
              <w:t xml:space="preserve">   Elektrik, Gaz, Su</w:t>
            </w:r>
          </w:p>
        </w:tc>
        <w:tc>
          <w:tcPr>
            <w:tcW w:w="240" w:type="pct"/>
            <w:tcBorders>
              <w:top w:val="nil"/>
              <w:left w:val="nil"/>
              <w:bottom w:val="nil"/>
              <w:right w:val="nil"/>
            </w:tcBorders>
            <w:vAlign w:val="bottom"/>
          </w:tcPr>
          <w:p w14:paraId="0FBA6C49" w14:textId="77777777" w:rsidR="009B1956" w:rsidRPr="00F36B82" w:rsidRDefault="009B1956" w:rsidP="00887449">
            <w:pPr>
              <w:jc w:val="right"/>
              <w:rPr>
                <w:sz w:val="14"/>
                <w:szCs w:val="14"/>
              </w:rPr>
            </w:pPr>
            <w:r w:rsidRPr="00F36B82">
              <w:rPr>
                <w:color w:val="000000"/>
                <w:sz w:val="14"/>
                <w:szCs w:val="14"/>
              </w:rPr>
              <w:t>-</w:t>
            </w:r>
          </w:p>
        </w:tc>
        <w:tc>
          <w:tcPr>
            <w:tcW w:w="156" w:type="pct"/>
            <w:tcBorders>
              <w:top w:val="nil"/>
              <w:left w:val="nil"/>
              <w:bottom w:val="nil"/>
              <w:right w:val="nil"/>
            </w:tcBorders>
            <w:vAlign w:val="bottom"/>
          </w:tcPr>
          <w:p w14:paraId="7DD8D50D" w14:textId="77777777" w:rsidR="009B1956" w:rsidRPr="00F36B82" w:rsidRDefault="009B1956" w:rsidP="00887449">
            <w:pPr>
              <w:jc w:val="right"/>
              <w:rPr>
                <w:sz w:val="14"/>
                <w:szCs w:val="14"/>
              </w:rPr>
            </w:pPr>
            <w:r w:rsidRPr="00F36B82">
              <w:rPr>
                <w:color w:val="000000"/>
                <w:sz w:val="14"/>
                <w:szCs w:val="14"/>
              </w:rPr>
              <w:t>-</w:t>
            </w:r>
          </w:p>
        </w:tc>
        <w:tc>
          <w:tcPr>
            <w:tcW w:w="173" w:type="pct"/>
            <w:tcBorders>
              <w:top w:val="nil"/>
              <w:left w:val="nil"/>
              <w:bottom w:val="nil"/>
              <w:right w:val="nil"/>
            </w:tcBorders>
            <w:vAlign w:val="bottom"/>
          </w:tcPr>
          <w:p w14:paraId="02725E32" w14:textId="77777777" w:rsidR="009B1956" w:rsidRPr="00F36B82" w:rsidRDefault="009B1956" w:rsidP="00887449">
            <w:pPr>
              <w:jc w:val="right"/>
              <w:rPr>
                <w:sz w:val="14"/>
                <w:szCs w:val="14"/>
              </w:rPr>
            </w:pPr>
            <w:r w:rsidRPr="00F36B82">
              <w:rPr>
                <w:color w:val="000000"/>
                <w:sz w:val="14"/>
                <w:szCs w:val="14"/>
              </w:rPr>
              <w:t>-</w:t>
            </w:r>
          </w:p>
        </w:tc>
        <w:tc>
          <w:tcPr>
            <w:tcW w:w="100" w:type="pct"/>
            <w:tcBorders>
              <w:top w:val="nil"/>
              <w:left w:val="nil"/>
              <w:bottom w:val="nil"/>
              <w:right w:val="nil"/>
            </w:tcBorders>
            <w:vAlign w:val="bottom"/>
          </w:tcPr>
          <w:p w14:paraId="78944B0C" w14:textId="77777777" w:rsidR="009B1956" w:rsidRPr="00F36B82" w:rsidRDefault="009B1956" w:rsidP="00887449">
            <w:pPr>
              <w:jc w:val="right"/>
              <w:rPr>
                <w:sz w:val="14"/>
                <w:szCs w:val="14"/>
              </w:rPr>
            </w:pPr>
            <w:r w:rsidRPr="00F36B82">
              <w:rPr>
                <w:color w:val="000000"/>
                <w:sz w:val="14"/>
                <w:szCs w:val="14"/>
              </w:rPr>
              <w:t>-</w:t>
            </w:r>
          </w:p>
        </w:tc>
        <w:tc>
          <w:tcPr>
            <w:tcW w:w="224" w:type="pct"/>
            <w:tcBorders>
              <w:top w:val="nil"/>
              <w:left w:val="nil"/>
              <w:bottom w:val="nil"/>
              <w:right w:val="nil"/>
            </w:tcBorders>
            <w:vAlign w:val="bottom"/>
          </w:tcPr>
          <w:p w14:paraId="6C1015FA" w14:textId="77777777" w:rsidR="009B1956" w:rsidRPr="00F36B82" w:rsidRDefault="009B1956" w:rsidP="00887449">
            <w:pPr>
              <w:jc w:val="right"/>
              <w:rPr>
                <w:sz w:val="14"/>
                <w:szCs w:val="14"/>
              </w:rPr>
            </w:pPr>
            <w:r w:rsidRPr="00F36B82">
              <w:rPr>
                <w:color w:val="000000"/>
                <w:sz w:val="14"/>
                <w:szCs w:val="14"/>
              </w:rPr>
              <w:t>-</w:t>
            </w:r>
          </w:p>
        </w:tc>
        <w:tc>
          <w:tcPr>
            <w:tcW w:w="240" w:type="pct"/>
            <w:tcBorders>
              <w:top w:val="nil"/>
              <w:left w:val="nil"/>
              <w:bottom w:val="nil"/>
              <w:right w:val="nil"/>
            </w:tcBorders>
            <w:vAlign w:val="bottom"/>
          </w:tcPr>
          <w:p w14:paraId="40280A16" w14:textId="77777777" w:rsidR="009B1956" w:rsidRPr="00F36B82" w:rsidRDefault="009B1956" w:rsidP="00887449">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5B17C7FB" w14:textId="77777777" w:rsidR="009B1956" w:rsidRPr="00F36B82" w:rsidRDefault="009B1956" w:rsidP="00887449">
            <w:pPr>
              <w:jc w:val="right"/>
              <w:rPr>
                <w:sz w:val="14"/>
                <w:szCs w:val="14"/>
              </w:rPr>
            </w:pPr>
            <w:r w:rsidRPr="00F36B82">
              <w:rPr>
                <w:color w:val="000000"/>
                <w:sz w:val="14"/>
                <w:szCs w:val="14"/>
              </w:rPr>
              <w:t>239.591</w:t>
            </w:r>
          </w:p>
        </w:tc>
        <w:tc>
          <w:tcPr>
            <w:tcW w:w="220" w:type="pct"/>
            <w:tcBorders>
              <w:top w:val="nil"/>
              <w:left w:val="nil"/>
              <w:bottom w:val="nil"/>
              <w:right w:val="nil"/>
            </w:tcBorders>
            <w:vAlign w:val="bottom"/>
          </w:tcPr>
          <w:p w14:paraId="3A5FC7CB" w14:textId="77777777" w:rsidR="009B1956" w:rsidRPr="00F36B82" w:rsidRDefault="009B1956" w:rsidP="00887449">
            <w:pPr>
              <w:jc w:val="right"/>
              <w:rPr>
                <w:sz w:val="14"/>
                <w:szCs w:val="14"/>
              </w:rPr>
            </w:pPr>
            <w:r w:rsidRPr="00F36B82">
              <w:rPr>
                <w:color w:val="000000"/>
                <w:sz w:val="14"/>
                <w:szCs w:val="14"/>
              </w:rPr>
              <w:t>-</w:t>
            </w:r>
          </w:p>
        </w:tc>
        <w:tc>
          <w:tcPr>
            <w:tcW w:w="201" w:type="pct"/>
            <w:tcBorders>
              <w:top w:val="nil"/>
              <w:left w:val="nil"/>
              <w:bottom w:val="nil"/>
              <w:right w:val="nil"/>
            </w:tcBorders>
            <w:vAlign w:val="bottom"/>
          </w:tcPr>
          <w:p w14:paraId="078087E6" w14:textId="77777777" w:rsidR="009B1956" w:rsidRPr="00F36B82" w:rsidRDefault="009B1956" w:rsidP="00887449">
            <w:pPr>
              <w:jc w:val="right"/>
              <w:rPr>
                <w:sz w:val="14"/>
                <w:szCs w:val="14"/>
              </w:rPr>
            </w:pPr>
            <w:r w:rsidRPr="00F36B82">
              <w:rPr>
                <w:color w:val="000000"/>
                <w:sz w:val="14"/>
                <w:szCs w:val="14"/>
              </w:rPr>
              <w:t>6.863</w:t>
            </w:r>
          </w:p>
        </w:tc>
        <w:tc>
          <w:tcPr>
            <w:tcW w:w="142" w:type="pct"/>
            <w:tcBorders>
              <w:top w:val="nil"/>
              <w:left w:val="nil"/>
              <w:bottom w:val="nil"/>
              <w:right w:val="nil"/>
            </w:tcBorders>
            <w:vAlign w:val="bottom"/>
          </w:tcPr>
          <w:p w14:paraId="68EA2B2A" w14:textId="77777777" w:rsidR="009B1956" w:rsidRPr="00F36B82" w:rsidRDefault="009B1956" w:rsidP="00887449">
            <w:pPr>
              <w:jc w:val="right"/>
              <w:rPr>
                <w:sz w:val="14"/>
                <w:szCs w:val="14"/>
              </w:rPr>
            </w:pPr>
            <w:r w:rsidRPr="00F36B82">
              <w:rPr>
                <w:color w:val="000000"/>
                <w:sz w:val="14"/>
                <w:szCs w:val="14"/>
              </w:rPr>
              <w:t>-</w:t>
            </w:r>
          </w:p>
        </w:tc>
        <w:tc>
          <w:tcPr>
            <w:tcW w:w="220" w:type="pct"/>
            <w:tcBorders>
              <w:top w:val="nil"/>
              <w:left w:val="nil"/>
              <w:bottom w:val="nil"/>
              <w:right w:val="nil"/>
            </w:tcBorders>
            <w:vAlign w:val="bottom"/>
          </w:tcPr>
          <w:p w14:paraId="7A86D554" w14:textId="77777777" w:rsidR="009B1956" w:rsidRPr="00F36B82" w:rsidRDefault="009B1956" w:rsidP="00887449">
            <w:pPr>
              <w:jc w:val="right"/>
              <w:rPr>
                <w:bCs/>
                <w:sz w:val="14"/>
                <w:szCs w:val="14"/>
              </w:rPr>
            </w:pPr>
            <w:r w:rsidRPr="00F36B82">
              <w:rPr>
                <w:color w:val="000000"/>
                <w:sz w:val="14"/>
                <w:szCs w:val="14"/>
              </w:rPr>
              <w:t>-</w:t>
            </w:r>
          </w:p>
        </w:tc>
        <w:tc>
          <w:tcPr>
            <w:tcW w:w="159" w:type="pct"/>
            <w:tcBorders>
              <w:top w:val="nil"/>
              <w:left w:val="nil"/>
              <w:bottom w:val="nil"/>
              <w:right w:val="nil"/>
            </w:tcBorders>
            <w:vAlign w:val="bottom"/>
          </w:tcPr>
          <w:p w14:paraId="21B2E703"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67551C5A"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472DA6B9"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3D61F4FA"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71FFF8A1"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03F22237" w14:textId="77777777" w:rsidR="009B1956" w:rsidRPr="00F36B82" w:rsidRDefault="009B1956" w:rsidP="00887449">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7B1756D8" w14:textId="77777777" w:rsidR="009B1956" w:rsidRPr="00F36B82" w:rsidRDefault="009B1956" w:rsidP="00887449">
            <w:pPr>
              <w:jc w:val="right"/>
              <w:rPr>
                <w:sz w:val="14"/>
                <w:szCs w:val="14"/>
              </w:rPr>
            </w:pPr>
            <w:r w:rsidRPr="00F36B82">
              <w:rPr>
                <w:color w:val="000000"/>
                <w:sz w:val="14"/>
                <w:szCs w:val="14"/>
              </w:rPr>
              <w:t>239.591</w:t>
            </w:r>
          </w:p>
        </w:tc>
        <w:tc>
          <w:tcPr>
            <w:tcW w:w="272" w:type="pct"/>
            <w:tcBorders>
              <w:top w:val="nil"/>
              <w:left w:val="nil"/>
              <w:bottom w:val="nil"/>
              <w:right w:val="nil"/>
            </w:tcBorders>
            <w:vAlign w:val="bottom"/>
          </w:tcPr>
          <w:p w14:paraId="496B8585" w14:textId="77777777" w:rsidR="009B1956" w:rsidRPr="00F36B82" w:rsidRDefault="009B1956" w:rsidP="00887449">
            <w:pPr>
              <w:jc w:val="right"/>
              <w:rPr>
                <w:sz w:val="14"/>
                <w:szCs w:val="14"/>
              </w:rPr>
            </w:pPr>
            <w:r w:rsidRPr="00F36B82">
              <w:rPr>
                <w:color w:val="000000"/>
                <w:sz w:val="14"/>
                <w:szCs w:val="14"/>
              </w:rPr>
              <w:t>6.863</w:t>
            </w:r>
          </w:p>
        </w:tc>
        <w:tc>
          <w:tcPr>
            <w:tcW w:w="273" w:type="pct"/>
            <w:tcBorders>
              <w:top w:val="nil"/>
              <w:left w:val="nil"/>
              <w:bottom w:val="nil"/>
              <w:right w:val="nil"/>
            </w:tcBorders>
            <w:vAlign w:val="bottom"/>
          </w:tcPr>
          <w:p w14:paraId="3CEE0C45" w14:textId="77777777" w:rsidR="009B1956" w:rsidRPr="00F36B82" w:rsidRDefault="009B1956" w:rsidP="00887449">
            <w:pPr>
              <w:jc w:val="right"/>
              <w:rPr>
                <w:sz w:val="14"/>
                <w:szCs w:val="14"/>
              </w:rPr>
            </w:pPr>
            <w:r w:rsidRPr="00F36B82">
              <w:rPr>
                <w:color w:val="000000"/>
                <w:sz w:val="14"/>
                <w:szCs w:val="14"/>
              </w:rPr>
              <w:t>246.454</w:t>
            </w:r>
          </w:p>
        </w:tc>
      </w:tr>
      <w:tr w:rsidR="009B1956" w:rsidRPr="00F36B82" w14:paraId="172904F9" w14:textId="77777777" w:rsidTr="007A5154">
        <w:trPr>
          <w:trHeight w:val="133"/>
        </w:trPr>
        <w:tc>
          <w:tcPr>
            <w:tcW w:w="98" w:type="pct"/>
          </w:tcPr>
          <w:p w14:paraId="6AE1B015" w14:textId="77777777" w:rsidR="009B1956" w:rsidRPr="00F36B82" w:rsidRDefault="009B1956" w:rsidP="007A5154">
            <w:pPr>
              <w:autoSpaceDE w:val="0"/>
              <w:autoSpaceDN w:val="0"/>
              <w:adjustRightInd w:val="0"/>
              <w:rPr>
                <w:rFonts w:eastAsia="Arial Unicode MS"/>
                <w:b/>
                <w:sz w:val="14"/>
                <w:szCs w:val="14"/>
              </w:rPr>
            </w:pPr>
            <w:r w:rsidRPr="00F36B82">
              <w:rPr>
                <w:rFonts w:eastAsia="Arial Unicode MS"/>
                <w:b/>
                <w:sz w:val="14"/>
                <w:szCs w:val="14"/>
              </w:rPr>
              <w:t>3</w:t>
            </w:r>
          </w:p>
        </w:tc>
        <w:tc>
          <w:tcPr>
            <w:tcW w:w="528" w:type="pct"/>
            <w:vAlign w:val="bottom"/>
          </w:tcPr>
          <w:p w14:paraId="6F2D1681" w14:textId="77777777" w:rsidR="009B1956" w:rsidRPr="00F36B82" w:rsidRDefault="009B1956" w:rsidP="00887449">
            <w:pPr>
              <w:rPr>
                <w:b/>
                <w:bCs/>
                <w:color w:val="000000"/>
                <w:sz w:val="14"/>
                <w:szCs w:val="14"/>
              </w:rPr>
            </w:pPr>
            <w:r w:rsidRPr="00F36B82">
              <w:rPr>
                <w:b/>
                <w:bCs/>
                <w:color w:val="000000"/>
                <w:sz w:val="14"/>
                <w:szCs w:val="14"/>
              </w:rPr>
              <w:t>İnşaat</w:t>
            </w:r>
          </w:p>
        </w:tc>
        <w:tc>
          <w:tcPr>
            <w:tcW w:w="240" w:type="pct"/>
            <w:tcBorders>
              <w:top w:val="nil"/>
              <w:left w:val="nil"/>
              <w:bottom w:val="nil"/>
              <w:right w:val="nil"/>
            </w:tcBorders>
            <w:vAlign w:val="bottom"/>
          </w:tcPr>
          <w:p w14:paraId="2FC53CE3" w14:textId="77777777" w:rsidR="009B1956" w:rsidRPr="00F36B82" w:rsidRDefault="009B1956" w:rsidP="00887449">
            <w:pPr>
              <w:jc w:val="right"/>
              <w:rPr>
                <w:b/>
                <w:sz w:val="14"/>
                <w:szCs w:val="14"/>
              </w:rPr>
            </w:pPr>
            <w:r w:rsidRPr="00F36B82">
              <w:rPr>
                <w:b/>
                <w:bCs/>
                <w:color w:val="000000"/>
                <w:sz w:val="14"/>
                <w:szCs w:val="14"/>
              </w:rPr>
              <w:t>-</w:t>
            </w:r>
          </w:p>
        </w:tc>
        <w:tc>
          <w:tcPr>
            <w:tcW w:w="156" w:type="pct"/>
            <w:tcBorders>
              <w:top w:val="nil"/>
              <w:left w:val="nil"/>
              <w:bottom w:val="nil"/>
              <w:right w:val="nil"/>
            </w:tcBorders>
            <w:vAlign w:val="bottom"/>
          </w:tcPr>
          <w:p w14:paraId="3CBDAB34" w14:textId="77777777" w:rsidR="009B1956" w:rsidRPr="00F36B82" w:rsidRDefault="009B1956" w:rsidP="00887449">
            <w:pPr>
              <w:jc w:val="right"/>
              <w:rPr>
                <w:b/>
                <w:sz w:val="14"/>
                <w:szCs w:val="14"/>
              </w:rPr>
            </w:pPr>
            <w:r w:rsidRPr="00F36B82">
              <w:rPr>
                <w:b/>
                <w:bCs/>
                <w:color w:val="000000"/>
                <w:sz w:val="14"/>
                <w:szCs w:val="14"/>
              </w:rPr>
              <w:t>-</w:t>
            </w:r>
          </w:p>
        </w:tc>
        <w:tc>
          <w:tcPr>
            <w:tcW w:w="173" w:type="pct"/>
            <w:tcBorders>
              <w:top w:val="nil"/>
              <w:left w:val="nil"/>
              <w:bottom w:val="nil"/>
              <w:right w:val="nil"/>
            </w:tcBorders>
            <w:vAlign w:val="bottom"/>
          </w:tcPr>
          <w:p w14:paraId="535DC274" w14:textId="77777777" w:rsidR="009B1956" w:rsidRPr="00F36B82" w:rsidRDefault="009B1956" w:rsidP="00887449">
            <w:pPr>
              <w:jc w:val="right"/>
              <w:rPr>
                <w:b/>
                <w:sz w:val="14"/>
                <w:szCs w:val="14"/>
              </w:rPr>
            </w:pPr>
            <w:r w:rsidRPr="00F36B82">
              <w:rPr>
                <w:b/>
                <w:bCs/>
                <w:color w:val="000000"/>
                <w:sz w:val="14"/>
                <w:szCs w:val="14"/>
              </w:rPr>
              <w:t>-</w:t>
            </w:r>
          </w:p>
        </w:tc>
        <w:tc>
          <w:tcPr>
            <w:tcW w:w="100" w:type="pct"/>
            <w:tcBorders>
              <w:top w:val="nil"/>
              <w:left w:val="nil"/>
              <w:bottom w:val="nil"/>
              <w:right w:val="nil"/>
            </w:tcBorders>
            <w:vAlign w:val="bottom"/>
          </w:tcPr>
          <w:p w14:paraId="4EF9D0CE" w14:textId="77777777" w:rsidR="009B1956" w:rsidRPr="00F36B82" w:rsidRDefault="009B1956" w:rsidP="00887449">
            <w:pPr>
              <w:jc w:val="right"/>
              <w:rPr>
                <w:b/>
                <w:sz w:val="14"/>
                <w:szCs w:val="14"/>
              </w:rPr>
            </w:pPr>
            <w:r w:rsidRPr="00F36B82">
              <w:rPr>
                <w:b/>
                <w:bCs/>
                <w:color w:val="000000"/>
                <w:sz w:val="14"/>
                <w:szCs w:val="14"/>
              </w:rPr>
              <w:t>-</w:t>
            </w:r>
          </w:p>
        </w:tc>
        <w:tc>
          <w:tcPr>
            <w:tcW w:w="224" w:type="pct"/>
            <w:tcBorders>
              <w:top w:val="nil"/>
              <w:left w:val="nil"/>
              <w:bottom w:val="nil"/>
              <w:right w:val="nil"/>
            </w:tcBorders>
            <w:vAlign w:val="bottom"/>
          </w:tcPr>
          <w:p w14:paraId="60CC418E" w14:textId="77777777" w:rsidR="009B1956" w:rsidRPr="00F36B82" w:rsidRDefault="009B1956" w:rsidP="00887449">
            <w:pPr>
              <w:jc w:val="right"/>
              <w:rPr>
                <w:b/>
                <w:sz w:val="14"/>
                <w:szCs w:val="14"/>
              </w:rPr>
            </w:pPr>
            <w:r w:rsidRPr="00F36B82">
              <w:rPr>
                <w:b/>
                <w:bCs/>
                <w:color w:val="000000"/>
                <w:sz w:val="14"/>
                <w:szCs w:val="14"/>
              </w:rPr>
              <w:t>-</w:t>
            </w:r>
          </w:p>
        </w:tc>
        <w:tc>
          <w:tcPr>
            <w:tcW w:w="240" w:type="pct"/>
            <w:tcBorders>
              <w:top w:val="nil"/>
              <w:left w:val="nil"/>
              <w:bottom w:val="nil"/>
              <w:right w:val="nil"/>
            </w:tcBorders>
            <w:vAlign w:val="bottom"/>
          </w:tcPr>
          <w:p w14:paraId="16FBD2CF" w14:textId="77777777" w:rsidR="009B1956" w:rsidRPr="00F36B82" w:rsidRDefault="009B1956" w:rsidP="00887449">
            <w:pPr>
              <w:jc w:val="right"/>
              <w:rPr>
                <w:b/>
                <w:sz w:val="14"/>
                <w:szCs w:val="14"/>
              </w:rPr>
            </w:pPr>
            <w:r w:rsidRPr="00F36B82">
              <w:rPr>
                <w:b/>
                <w:bCs/>
                <w:color w:val="000000"/>
                <w:sz w:val="14"/>
                <w:szCs w:val="14"/>
              </w:rPr>
              <w:t>-</w:t>
            </w:r>
          </w:p>
        </w:tc>
        <w:tc>
          <w:tcPr>
            <w:tcW w:w="268" w:type="pct"/>
            <w:tcBorders>
              <w:top w:val="nil"/>
              <w:left w:val="nil"/>
              <w:bottom w:val="nil"/>
              <w:right w:val="nil"/>
            </w:tcBorders>
            <w:vAlign w:val="bottom"/>
          </w:tcPr>
          <w:p w14:paraId="55D30A18" w14:textId="77777777" w:rsidR="009B1956" w:rsidRPr="00F36B82" w:rsidRDefault="009B1956" w:rsidP="00887449">
            <w:pPr>
              <w:jc w:val="right"/>
              <w:rPr>
                <w:b/>
                <w:sz w:val="14"/>
                <w:szCs w:val="14"/>
              </w:rPr>
            </w:pPr>
            <w:r w:rsidRPr="00F36B82">
              <w:rPr>
                <w:b/>
                <w:bCs/>
                <w:color w:val="000000"/>
                <w:sz w:val="14"/>
                <w:szCs w:val="14"/>
              </w:rPr>
              <w:t>2.147.548</w:t>
            </w:r>
          </w:p>
        </w:tc>
        <w:tc>
          <w:tcPr>
            <w:tcW w:w="220" w:type="pct"/>
            <w:tcBorders>
              <w:top w:val="nil"/>
              <w:left w:val="nil"/>
              <w:bottom w:val="nil"/>
              <w:right w:val="nil"/>
            </w:tcBorders>
            <w:vAlign w:val="bottom"/>
          </w:tcPr>
          <w:p w14:paraId="1C370BB8" w14:textId="77777777" w:rsidR="009B1956" w:rsidRPr="00F36B82" w:rsidRDefault="009B1956" w:rsidP="00887449">
            <w:pPr>
              <w:jc w:val="right"/>
              <w:rPr>
                <w:b/>
                <w:sz w:val="14"/>
                <w:szCs w:val="14"/>
              </w:rPr>
            </w:pPr>
            <w:r w:rsidRPr="00F36B82">
              <w:rPr>
                <w:b/>
                <w:bCs/>
                <w:color w:val="000000"/>
                <w:sz w:val="14"/>
                <w:szCs w:val="14"/>
              </w:rPr>
              <w:t>-</w:t>
            </w:r>
          </w:p>
        </w:tc>
        <w:tc>
          <w:tcPr>
            <w:tcW w:w="201" w:type="pct"/>
            <w:tcBorders>
              <w:top w:val="nil"/>
              <w:left w:val="nil"/>
              <w:bottom w:val="nil"/>
              <w:right w:val="nil"/>
            </w:tcBorders>
            <w:vAlign w:val="bottom"/>
          </w:tcPr>
          <w:p w14:paraId="06C952E3" w14:textId="77777777" w:rsidR="009B1956" w:rsidRPr="00F36B82" w:rsidRDefault="009B1956" w:rsidP="00887449">
            <w:pPr>
              <w:jc w:val="right"/>
              <w:rPr>
                <w:b/>
                <w:sz w:val="14"/>
                <w:szCs w:val="14"/>
              </w:rPr>
            </w:pPr>
            <w:r w:rsidRPr="00F36B82">
              <w:rPr>
                <w:b/>
                <w:bCs/>
                <w:color w:val="000000"/>
                <w:sz w:val="14"/>
                <w:szCs w:val="14"/>
              </w:rPr>
              <w:t>197.024</w:t>
            </w:r>
          </w:p>
        </w:tc>
        <w:tc>
          <w:tcPr>
            <w:tcW w:w="142" w:type="pct"/>
            <w:tcBorders>
              <w:top w:val="nil"/>
              <w:left w:val="nil"/>
              <w:bottom w:val="nil"/>
              <w:right w:val="nil"/>
            </w:tcBorders>
            <w:vAlign w:val="bottom"/>
          </w:tcPr>
          <w:p w14:paraId="747D750D" w14:textId="77777777" w:rsidR="009B1956" w:rsidRPr="00F36B82" w:rsidRDefault="009B1956" w:rsidP="00887449">
            <w:pPr>
              <w:jc w:val="right"/>
              <w:rPr>
                <w:b/>
                <w:sz w:val="14"/>
                <w:szCs w:val="14"/>
              </w:rPr>
            </w:pPr>
            <w:r w:rsidRPr="00F36B82">
              <w:rPr>
                <w:b/>
                <w:bCs/>
                <w:color w:val="000000"/>
                <w:sz w:val="14"/>
                <w:szCs w:val="14"/>
              </w:rPr>
              <w:t>-</w:t>
            </w:r>
          </w:p>
        </w:tc>
        <w:tc>
          <w:tcPr>
            <w:tcW w:w="220" w:type="pct"/>
            <w:tcBorders>
              <w:top w:val="nil"/>
              <w:left w:val="nil"/>
              <w:bottom w:val="nil"/>
              <w:right w:val="nil"/>
            </w:tcBorders>
            <w:vAlign w:val="bottom"/>
          </w:tcPr>
          <w:p w14:paraId="0C006278" w14:textId="77777777" w:rsidR="009B1956" w:rsidRPr="00F36B82" w:rsidRDefault="009B1956" w:rsidP="00887449">
            <w:pPr>
              <w:jc w:val="right"/>
              <w:rPr>
                <w:b/>
                <w:sz w:val="14"/>
                <w:szCs w:val="14"/>
              </w:rPr>
            </w:pPr>
            <w:r w:rsidRPr="00F36B82">
              <w:rPr>
                <w:b/>
                <w:bCs/>
                <w:color w:val="000000"/>
                <w:sz w:val="14"/>
                <w:szCs w:val="14"/>
              </w:rPr>
              <w:t>-</w:t>
            </w:r>
          </w:p>
        </w:tc>
        <w:tc>
          <w:tcPr>
            <w:tcW w:w="159" w:type="pct"/>
            <w:tcBorders>
              <w:top w:val="nil"/>
              <w:left w:val="nil"/>
              <w:bottom w:val="nil"/>
              <w:right w:val="nil"/>
            </w:tcBorders>
            <w:vAlign w:val="bottom"/>
          </w:tcPr>
          <w:p w14:paraId="05CE5B0E" w14:textId="77777777" w:rsidR="009B1956" w:rsidRPr="00F36B82" w:rsidRDefault="009B1956" w:rsidP="00887449">
            <w:pPr>
              <w:jc w:val="right"/>
              <w:rPr>
                <w:b/>
                <w:sz w:val="14"/>
                <w:szCs w:val="14"/>
              </w:rPr>
            </w:pPr>
            <w:r w:rsidRPr="00F36B82">
              <w:rPr>
                <w:b/>
                <w:bCs/>
                <w:color w:val="000000"/>
                <w:sz w:val="14"/>
                <w:szCs w:val="14"/>
              </w:rPr>
              <w:t>-</w:t>
            </w:r>
          </w:p>
        </w:tc>
        <w:tc>
          <w:tcPr>
            <w:tcW w:w="244" w:type="pct"/>
            <w:tcBorders>
              <w:top w:val="nil"/>
              <w:left w:val="nil"/>
              <w:bottom w:val="nil"/>
              <w:right w:val="nil"/>
            </w:tcBorders>
            <w:vAlign w:val="bottom"/>
          </w:tcPr>
          <w:p w14:paraId="5887EA2C" w14:textId="77777777" w:rsidR="009B1956" w:rsidRPr="00F36B82" w:rsidRDefault="009B1956" w:rsidP="00887449">
            <w:pPr>
              <w:jc w:val="right"/>
              <w:rPr>
                <w:b/>
                <w:sz w:val="14"/>
                <w:szCs w:val="14"/>
              </w:rPr>
            </w:pPr>
            <w:r w:rsidRPr="00F36B82">
              <w:rPr>
                <w:b/>
                <w:bCs/>
                <w:color w:val="000000"/>
                <w:sz w:val="14"/>
                <w:szCs w:val="14"/>
              </w:rPr>
              <w:t>-</w:t>
            </w:r>
          </w:p>
        </w:tc>
        <w:tc>
          <w:tcPr>
            <w:tcW w:w="244" w:type="pct"/>
            <w:tcBorders>
              <w:top w:val="nil"/>
              <w:left w:val="nil"/>
              <w:bottom w:val="nil"/>
              <w:right w:val="nil"/>
            </w:tcBorders>
            <w:vAlign w:val="bottom"/>
          </w:tcPr>
          <w:p w14:paraId="712F7BC3" w14:textId="77777777" w:rsidR="009B1956" w:rsidRPr="00F36B82" w:rsidRDefault="009B1956" w:rsidP="00887449">
            <w:pPr>
              <w:jc w:val="right"/>
              <w:rPr>
                <w:b/>
                <w:sz w:val="14"/>
                <w:szCs w:val="14"/>
              </w:rPr>
            </w:pPr>
            <w:r w:rsidRPr="00F36B82">
              <w:rPr>
                <w:b/>
                <w:bCs/>
                <w:color w:val="000000"/>
                <w:sz w:val="14"/>
                <w:szCs w:val="14"/>
              </w:rPr>
              <w:t>-</w:t>
            </w:r>
          </w:p>
        </w:tc>
        <w:tc>
          <w:tcPr>
            <w:tcW w:w="244" w:type="pct"/>
            <w:tcBorders>
              <w:top w:val="nil"/>
              <w:left w:val="nil"/>
              <w:bottom w:val="nil"/>
              <w:right w:val="nil"/>
            </w:tcBorders>
            <w:vAlign w:val="bottom"/>
          </w:tcPr>
          <w:p w14:paraId="45ABE99E" w14:textId="77777777" w:rsidR="009B1956" w:rsidRPr="00F36B82" w:rsidRDefault="009B1956" w:rsidP="00887449">
            <w:pPr>
              <w:jc w:val="right"/>
              <w:rPr>
                <w:b/>
                <w:sz w:val="14"/>
                <w:szCs w:val="14"/>
              </w:rPr>
            </w:pPr>
            <w:r w:rsidRPr="00F36B82">
              <w:rPr>
                <w:b/>
                <w:bCs/>
                <w:color w:val="000000"/>
                <w:sz w:val="14"/>
                <w:szCs w:val="14"/>
              </w:rPr>
              <w:t>-</w:t>
            </w:r>
          </w:p>
        </w:tc>
        <w:tc>
          <w:tcPr>
            <w:tcW w:w="244" w:type="pct"/>
            <w:tcBorders>
              <w:top w:val="nil"/>
              <w:left w:val="nil"/>
              <w:bottom w:val="nil"/>
              <w:right w:val="nil"/>
            </w:tcBorders>
            <w:vAlign w:val="bottom"/>
          </w:tcPr>
          <w:p w14:paraId="6F2E1CF3" w14:textId="77777777" w:rsidR="009B1956" w:rsidRPr="00F36B82" w:rsidRDefault="009B1956" w:rsidP="00887449">
            <w:pPr>
              <w:jc w:val="right"/>
              <w:rPr>
                <w:b/>
                <w:sz w:val="14"/>
                <w:szCs w:val="14"/>
              </w:rPr>
            </w:pPr>
            <w:r w:rsidRPr="00F36B82">
              <w:rPr>
                <w:b/>
                <w:bCs/>
                <w:color w:val="000000"/>
                <w:sz w:val="14"/>
                <w:szCs w:val="14"/>
              </w:rPr>
              <w:t>-</w:t>
            </w:r>
          </w:p>
        </w:tc>
        <w:tc>
          <w:tcPr>
            <w:tcW w:w="244" w:type="pct"/>
            <w:tcBorders>
              <w:top w:val="nil"/>
              <w:left w:val="nil"/>
              <w:bottom w:val="nil"/>
              <w:right w:val="nil"/>
            </w:tcBorders>
            <w:vAlign w:val="bottom"/>
          </w:tcPr>
          <w:p w14:paraId="57198C37" w14:textId="77777777" w:rsidR="009B1956" w:rsidRPr="00F36B82" w:rsidRDefault="009B1956" w:rsidP="00887449">
            <w:pPr>
              <w:jc w:val="right"/>
              <w:rPr>
                <w:b/>
                <w:sz w:val="14"/>
                <w:szCs w:val="14"/>
              </w:rPr>
            </w:pPr>
            <w:r w:rsidRPr="00F36B82">
              <w:rPr>
                <w:b/>
                <w:bCs/>
                <w:color w:val="000000"/>
                <w:sz w:val="14"/>
                <w:szCs w:val="14"/>
              </w:rPr>
              <w:t>-</w:t>
            </w:r>
          </w:p>
        </w:tc>
        <w:tc>
          <w:tcPr>
            <w:tcW w:w="268" w:type="pct"/>
            <w:tcBorders>
              <w:top w:val="nil"/>
              <w:left w:val="nil"/>
              <w:bottom w:val="nil"/>
              <w:right w:val="nil"/>
            </w:tcBorders>
            <w:vAlign w:val="bottom"/>
          </w:tcPr>
          <w:p w14:paraId="0A24F03A" w14:textId="77777777" w:rsidR="009B1956" w:rsidRPr="00F36B82" w:rsidRDefault="009B1956" w:rsidP="00887449">
            <w:pPr>
              <w:jc w:val="right"/>
              <w:rPr>
                <w:b/>
                <w:sz w:val="14"/>
                <w:szCs w:val="14"/>
              </w:rPr>
            </w:pPr>
            <w:r w:rsidRPr="00F36B82">
              <w:rPr>
                <w:b/>
                <w:bCs/>
                <w:color w:val="000000"/>
                <w:sz w:val="14"/>
                <w:szCs w:val="14"/>
              </w:rPr>
              <w:t>2.241.348</w:t>
            </w:r>
          </w:p>
        </w:tc>
        <w:tc>
          <w:tcPr>
            <w:tcW w:w="272" w:type="pct"/>
            <w:tcBorders>
              <w:top w:val="nil"/>
              <w:left w:val="nil"/>
              <w:bottom w:val="nil"/>
              <w:right w:val="nil"/>
            </w:tcBorders>
            <w:vAlign w:val="bottom"/>
          </w:tcPr>
          <w:p w14:paraId="4620972B" w14:textId="77777777" w:rsidR="009B1956" w:rsidRPr="00F36B82" w:rsidRDefault="009B1956" w:rsidP="00887449">
            <w:pPr>
              <w:jc w:val="right"/>
              <w:rPr>
                <w:b/>
                <w:sz w:val="14"/>
                <w:szCs w:val="14"/>
              </w:rPr>
            </w:pPr>
            <w:r w:rsidRPr="00F36B82">
              <w:rPr>
                <w:b/>
                <w:bCs/>
                <w:color w:val="000000"/>
                <w:sz w:val="14"/>
                <w:szCs w:val="14"/>
              </w:rPr>
              <w:t>103.224</w:t>
            </w:r>
          </w:p>
        </w:tc>
        <w:tc>
          <w:tcPr>
            <w:tcW w:w="273" w:type="pct"/>
            <w:tcBorders>
              <w:top w:val="nil"/>
              <w:left w:val="nil"/>
              <w:bottom w:val="nil"/>
              <w:right w:val="nil"/>
            </w:tcBorders>
            <w:vAlign w:val="bottom"/>
          </w:tcPr>
          <w:p w14:paraId="6B542C01" w14:textId="77777777" w:rsidR="009B1956" w:rsidRPr="00F36B82" w:rsidRDefault="009B1956" w:rsidP="00887449">
            <w:pPr>
              <w:jc w:val="right"/>
              <w:rPr>
                <w:b/>
                <w:sz w:val="14"/>
                <w:szCs w:val="14"/>
              </w:rPr>
            </w:pPr>
            <w:r w:rsidRPr="00F36B82">
              <w:rPr>
                <w:b/>
                <w:bCs/>
                <w:color w:val="000000"/>
                <w:sz w:val="14"/>
                <w:szCs w:val="14"/>
              </w:rPr>
              <w:t>2.344.572</w:t>
            </w:r>
          </w:p>
        </w:tc>
      </w:tr>
      <w:tr w:rsidR="009B1956" w:rsidRPr="00F36B82" w14:paraId="3475745C" w14:textId="77777777" w:rsidTr="007A5154">
        <w:trPr>
          <w:trHeight w:val="133"/>
        </w:trPr>
        <w:tc>
          <w:tcPr>
            <w:tcW w:w="98" w:type="pct"/>
          </w:tcPr>
          <w:p w14:paraId="1BB0796F" w14:textId="77777777" w:rsidR="009B1956" w:rsidRPr="00F36B82" w:rsidRDefault="009B1956" w:rsidP="007A5154">
            <w:pPr>
              <w:autoSpaceDE w:val="0"/>
              <w:autoSpaceDN w:val="0"/>
              <w:adjustRightInd w:val="0"/>
              <w:ind w:left="180" w:hanging="180"/>
              <w:rPr>
                <w:rFonts w:eastAsia="Arial Unicode MS"/>
                <w:b/>
                <w:sz w:val="14"/>
                <w:szCs w:val="14"/>
              </w:rPr>
            </w:pPr>
            <w:r w:rsidRPr="00F36B82">
              <w:rPr>
                <w:rFonts w:eastAsia="Arial Unicode MS"/>
                <w:b/>
                <w:sz w:val="14"/>
                <w:szCs w:val="14"/>
              </w:rPr>
              <w:t>4</w:t>
            </w:r>
          </w:p>
        </w:tc>
        <w:tc>
          <w:tcPr>
            <w:tcW w:w="528" w:type="pct"/>
            <w:vAlign w:val="bottom"/>
          </w:tcPr>
          <w:p w14:paraId="5C2F5AE8" w14:textId="77777777" w:rsidR="009B1956" w:rsidRPr="00F36B82" w:rsidRDefault="009B1956" w:rsidP="00887449">
            <w:pPr>
              <w:rPr>
                <w:b/>
                <w:bCs/>
                <w:color w:val="000000"/>
                <w:sz w:val="14"/>
                <w:szCs w:val="14"/>
              </w:rPr>
            </w:pPr>
            <w:r w:rsidRPr="00F36B82">
              <w:rPr>
                <w:b/>
                <w:bCs/>
                <w:color w:val="000000"/>
                <w:sz w:val="14"/>
                <w:szCs w:val="14"/>
              </w:rPr>
              <w:t>Hizmetler</w:t>
            </w:r>
          </w:p>
        </w:tc>
        <w:tc>
          <w:tcPr>
            <w:tcW w:w="240" w:type="pct"/>
            <w:tcBorders>
              <w:top w:val="nil"/>
              <w:left w:val="nil"/>
              <w:bottom w:val="nil"/>
              <w:right w:val="nil"/>
            </w:tcBorders>
            <w:vAlign w:val="bottom"/>
          </w:tcPr>
          <w:p w14:paraId="1FBF7057" w14:textId="77777777" w:rsidR="009B1956" w:rsidRPr="00F36B82" w:rsidRDefault="009B1956" w:rsidP="00887449">
            <w:pPr>
              <w:jc w:val="right"/>
              <w:rPr>
                <w:b/>
                <w:sz w:val="14"/>
                <w:szCs w:val="14"/>
              </w:rPr>
            </w:pPr>
            <w:r w:rsidRPr="00F36B82">
              <w:rPr>
                <w:b/>
                <w:bCs/>
                <w:color w:val="000000"/>
                <w:sz w:val="14"/>
                <w:szCs w:val="14"/>
              </w:rPr>
              <w:t>4.830.858</w:t>
            </w:r>
          </w:p>
        </w:tc>
        <w:tc>
          <w:tcPr>
            <w:tcW w:w="156" w:type="pct"/>
            <w:tcBorders>
              <w:top w:val="nil"/>
              <w:left w:val="nil"/>
              <w:bottom w:val="nil"/>
              <w:right w:val="nil"/>
            </w:tcBorders>
            <w:vAlign w:val="bottom"/>
          </w:tcPr>
          <w:p w14:paraId="0E458F54" w14:textId="77777777" w:rsidR="009B1956" w:rsidRPr="00F36B82" w:rsidRDefault="009B1956" w:rsidP="00887449">
            <w:pPr>
              <w:jc w:val="right"/>
              <w:rPr>
                <w:b/>
                <w:sz w:val="14"/>
                <w:szCs w:val="14"/>
              </w:rPr>
            </w:pPr>
            <w:r w:rsidRPr="00F36B82">
              <w:rPr>
                <w:b/>
                <w:bCs/>
                <w:color w:val="000000"/>
                <w:sz w:val="14"/>
                <w:szCs w:val="14"/>
              </w:rPr>
              <w:t>-</w:t>
            </w:r>
          </w:p>
        </w:tc>
        <w:tc>
          <w:tcPr>
            <w:tcW w:w="173" w:type="pct"/>
            <w:tcBorders>
              <w:top w:val="nil"/>
              <w:left w:val="nil"/>
              <w:bottom w:val="nil"/>
              <w:right w:val="nil"/>
            </w:tcBorders>
            <w:vAlign w:val="bottom"/>
          </w:tcPr>
          <w:p w14:paraId="1D983534" w14:textId="77777777" w:rsidR="009B1956" w:rsidRPr="00F36B82" w:rsidRDefault="009B1956" w:rsidP="00887449">
            <w:pPr>
              <w:jc w:val="right"/>
              <w:rPr>
                <w:b/>
                <w:sz w:val="14"/>
                <w:szCs w:val="14"/>
              </w:rPr>
            </w:pPr>
            <w:r w:rsidRPr="00F36B82">
              <w:rPr>
                <w:b/>
                <w:bCs/>
                <w:color w:val="000000"/>
                <w:sz w:val="14"/>
                <w:szCs w:val="14"/>
              </w:rPr>
              <w:t>-</w:t>
            </w:r>
          </w:p>
        </w:tc>
        <w:tc>
          <w:tcPr>
            <w:tcW w:w="100" w:type="pct"/>
            <w:tcBorders>
              <w:top w:val="nil"/>
              <w:left w:val="nil"/>
              <w:bottom w:val="nil"/>
              <w:right w:val="nil"/>
            </w:tcBorders>
            <w:vAlign w:val="bottom"/>
          </w:tcPr>
          <w:p w14:paraId="733DBB64" w14:textId="77777777" w:rsidR="009B1956" w:rsidRPr="00F36B82" w:rsidRDefault="009B1956" w:rsidP="00887449">
            <w:pPr>
              <w:jc w:val="right"/>
              <w:rPr>
                <w:b/>
                <w:sz w:val="14"/>
                <w:szCs w:val="14"/>
              </w:rPr>
            </w:pPr>
            <w:r w:rsidRPr="00F36B82">
              <w:rPr>
                <w:b/>
                <w:bCs/>
                <w:color w:val="000000"/>
                <w:sz w:val="14"/>
                <w:szCs w:val="14"/>
              </w:rPr>
              <w:t>-</w:t>
            </w:r>
          </w:p>
        </w:tc>
        <w:tc>
          <w:tcPr>
            <w:tcW w:w="224" w:type="pct"/>
            <w:tcBorders>
              <w:top w:val="nil"/>
              <w:left w:val="nil"/>
              <w:bottom w:val="nil"/>
              <w:right w:val="nil"/>
            </w:tcBorders>
            <w:vAlign w:val="bottom"/>
          </w:tcPr>
          <w:p w14:paraId="224AF1AD" w14:textId="77777777" w:rsidR="009B1956" w:rsidRPr="00F36B82" w:rsidRDefault="009B1956" w:rsidP="00887449">
            <w:pPr>
              <w:jc w:val="right"/>
              <w:rPr>
                <w:b/>
                <w:sz w:val="14"/>
                <w:szCs w:val="14"/>
              </w:rPr>
            </w:pPr>
            <w:r w:rsidRPr="00F36B82">
              <w:rPr>
                <w:b/>
                <w:bCs/>
                <w:color w:val="000000"/>
                <w:sz w:val="14"/>
                <w:szCs w:val="14"/>
              </w:rPr>
              <w:t>-</w:t>
            </w:r>
          </w:p>
        </w:tc>
        <w:tc>
          <w:tcPr>
            <w:tcW w:w="240" w:type="pct"/>
            <w:tcBorders>
              <w:top w:val="nil"/>
              <w:left w:val="nil"/>
              <w:bottom w:val="nil"/>
              <w:right w:val="nil"/>
            </w:tcBorders>
            <w:vAlign w:val="bottom"/>
          </w:tcPr>
          <w:p w14:paraId="3026478D" w14:textId="77777777" w:rsidR="009B1956" w:rsidRPr="00F36B82" w:rsidRDefault="009B1956" w:rsidP="00887449">
            <w:pPr>
              <w:jc w:val="right"/>
              <w:rPr>
                <w:b/>
                <w:sz w:val="14"/>
                <w:szCs w:val="14"/>
              </w:rPr>
            </w:pPr>
            <w:r w:rsidRPr="00F36B82">
              <w:rPr>
                <w:b/>
                <w:bCs/>
                <w:color w:val="000000"/>
                <w:sz w:val="14"/>
                <w:szCs w:val="14"/>
              </w:rPr>
              <w:t>5.221.722</w:t>
            </w:r>
          </w:p>
        </w:tc>
        <w:tc>
          <w:tcPr>
            <w:tcW w:w="268" w:type="pct"/>
            <w:tcBorders>
              <w:top w:val="nil"/>
              <w:left w:val="nil"/>
              <w:bottom w:val="nil"/>
              <w:right w:val="nil"/>
            </w:tcBorders>
            <w:vAlign w:val="bottom"/>
          </w:tcPr>
          <w:p w14:paraId="4793AD8F" w14:textId="77777777" w:rsidR="009B1956" w:rsidRPr="00F36B82" w:rsidRDefault="009B1956" w:rsidP="00887449">
            <w:pPr>
              <w:jc w:val="right"/>
              <w:rPr>
                <w:b/>
                <w:sz w:val="14"/>
                <w:szCs w:val="14"/>
              </w:rPr>
            </w:pPr>
            <w:r w:rsidRPr="00F36B82">
              <w:rPr>
                <w:b/>
                <w:bCs/>
                <w:color w:val="000000"/>
                <w:sz w:val="14"/>
                <w:szCs w:val="14"/>
              </w:rPr>
              <w:t>6.639.062</w:t>
            </w:r>
          </w:p>
        </w:tc>
        <w:tc>
          <w:tcPr>
            <w:tcW w:w="220" w:type="pct"/>
            <w:tcBorders>
              <w:top w:val="nil"/>
              <w:left w:val="nil"/>
              <w:bottom w:val="nil"/>
              <w:right w:val="nil"/>
            </w:tcBorders>
            <w:vAlign w:val="bottom"/>
          </w:tcPr>
          <w:p w14:paraId="07762FC7" w14:textId="77777777" w:rsidR="009B1956" w:rsidRPr="00F36B82" w:rsidRDefault="009B1956" w:rsidP="00887449">
            <w:pPr>
              <w:jc w:val="right"/>
              <w:rPr>
                <w:b/>
                <w:sz w:val="14"/>
                <w:szCs w:val="14"/>
              </w:rPr>
            </w:pPr>
            <w:r w:rsidRPr="00F36B82">
              <w:rPr>
                <w:b/>
                <w:bCs/>
                <w:color w:val="000000"/>
                <w:sz w:val="14"/>
                <w:szCs w:val="14"/>
              </w:rPr>
              <w:t>-</w:t>
            </w:r>
          </w:p>
        </w:tc>
        <w:tc>
          <w:tcPr>
            <w:tcW w:w="201" w:type="pct"/>
            <w:tcBorders>
              <w:top w:val="nil"/>
              <w:left w:val="nil"/>
              <w:bottom w:val="nil"/>
              <w:right w:val="nil"/>
            </w:tcBorders>
            <w:vAlign w:val="bottom"/>
          </w:tcPr>
          <w:p w14:paraId="5C139D30" w14:textId="77777777" w:rsidR="009B1956" w:rsidRPr="00F36B82" w:rsidRDefault="009B1956" w:rsidP="00887449">
            <w:pPr>
              <w:jc w:val="right"/>
              <w:rPr>
                <w:b/>
                <w:sz w:val="14"/>
                <w:szCs w:val="14"/>
              </w:rPr>
            </w:pPr>
            <w:r w:rsidRPr="00F36B82">
              <w:rPr>
                <w:b/>
                <w:bCs/>
                <w:color w:val="000000"/>
                <w:sz w:val="14"/>
                <w:szCs w:val="14"/>
              </w:rPr>
              <w:t>271.533</w:t>
            </w:r>
          </w:p>
        </w:tc>
        <w:tc>
          <w:tcPr>
            <w:tcW w:w="142" w:type="pct"/>
            <w:tcBorders>
              <w:top w:val="nil"/>
              <w:left w:val="nil"/>
              <w:bottom w:val="nil"/>
              <w:right w:val="nil"/>
            </w:tcBorders>
            <w:vAlign w:val="bottom"/>
          </w:tcPr>
          <w:p w14:paraId="7782279B" w14:textId="77777777" w:rsidR="009B1956" w:rsidRPr="00F36B82" w:rsidRDefault="009B1956" w:rsidP="00887449">
            <w:pPr>
              <w:jc w:val="right"/>
              <w:rPr>
                <w:b/>
                <w:sz w:val="14"/>
                <w:szCs w:val="14"/>
              </w:rPr>
            </w:pPr>
            <w:r w:rsidRPr="00F36B82">
              <w:rPr>
                <w:b/>
                <w:bCs/>
                <w:color w:val="000000"/>
                <w:sz w:val="14"/>
                <w:szCs w:val="14"/>
              </w:rPr>
              <w:t>-</w:t>
            </w:r>
          </w:p>
        </w:tc>
        <w:tc>
          <w:tcPr>
            <w:tcW w:w="220" w:type="pct"/>
            <w:tcBorders>
              <w:top w:val="nil"/>
              <w:left w:val="nil"/>
              <w:bottom w:val="nil"/>
              <w:right w:val="nil"/>
            </w:tcBorders>
            <w:vAlign w:val="bottom"/>
          </w:tcPr>
          <w:p w14:paraId="57365819" w14:textId="77777777" w:rsidR="009B1956" w:rsidRPr="00F36B82" w:rsidRDefault="009B1956" w:rsidP="00887449">
            <w:pPr>
              <w:jc w:val="right"/>
              <w:rPr>
                <w:b/>
                <w:sz w:val="14"/>
                <w:szCs w:val="14"/>
              </w:rPr>
            </w:pPr>
            <w:r w:rsidRPr="00F36B82">
              <w:rPr>
                <w:b/>
                <w:bCs/>
                <w:color w:val="000000"/>
                <w:sz w:val="14"/>
                <w:szCs w:val="14"/>
              </w:rPr>
              <w:t>27.648</w:t>
            </w:r>
          </w:p>
        </w:tc>
        <w:tc>
          <w:tcPr>
            <w:tcW w:w="159" w:type="pct"/>
            <w:tcBorders>
              <w:top w:val="nil"/>
              <w:left w:val="nil"/>
              <w:bottom w:val="nil"/>
              <w:right w:val="nil"/>
            </w:tcBorders>
            <w:vAlign w:val="bottom"/>
          </w:tcPr>
          <w:p w14:paraId="5ADE9B69" w14:textId="77777777" w:rsidR="009B1956" w:rsidRPr="00F36B82" w:rsidRDefault="009B1956" w:rsidP="00887449">
            <w:pPr>
              <w:jc w:val="right"/>
              <w:rPr>
                <w:b/>
                <w:sz w:val="14"/>
                <w:szCs w:val="14"/>
              </w:rPr>
            </w:pPr>
            <w:r w:rsidRPr="00F36B82">
              <w:rPr>
                <w:b/>
                <w:bCs/>
                <w:color w:val="000000"/>
                <w:sz w:val="14"/>
                <w:szCs w:val="14"/>
              </w:rPr>
              <w:t>-</w:t>
            </w:r>
          </w:p>
        </w:tc>
        <w:tc>
          <w:tcPr>
            <w:tcW w:w="244" w:type="pct"/>
            <w:tcBorders>
              <w:top w:val="nil"/>
              <w:left w:val="nil"/>
              <w:bottom w:val="nil"/>
              <w:right w:val="nil"/>
            </w:tcBorders>
            <w:vAlign w:val="bottom"/>
          </w:tcPr>
          <w:p w14:paraId="28FCED4D" w14:textId="77777777" w:rsidR="009B1956" w:rsidRPr="00F36B82" w:rsidRDefault="009B1956" w:rsidP="00887449">
            <w:pPr>
              <w:jc w:val="right"/>
              <w:rPr>
                <w:b/>
                <w:sz w:val="14"/>
                <w:szCs w:val="14"/>
              </w:rPr>
            </w:pPr>
            <w:r w:rsidRPr="00F36B82">
              <w:rPr>
                <w:b/>
                <w:bCs/>
                <w:color w:val="000000"/>
                <w:sz w:val="14"/>
                <w:szCs w:val="14"/>
              </w:rPr>
              <w:t>-</w:t>
            </w:r>
          </w:p>
        </w:tc>
        <w:tc>
          <w:tcPr>
            <w:tcW w:w="244" w:type="pct"/>
            <w:tcBorders>
              <w:top w:val="nil"/>
              <w:left w:val="nil"/>
              <w:bottom w:val="nil"/>
              <w:right w:val="nil"/>
            </w:tcBorders>
            <w:vAlign w:val="bottom"/>
          </w:tcPr>
          <w:p w14:paraId="0A287ADE" w14:textId="77777777" w:rsidR="009B1956" w:rsidRPr="00F36B82" w:rsidRDefault="009B1956" w:rsidP="00887449">
            <w:pPr>
              <w:jc w:val="right"/>
              <w:rPr>
                <w:b/>
                <w:sz w:val="14"/>
                <w:szCs w:val="14"/>
              </w:rPr>
            </w:pPr>
            <w:r w:rsidRPr="00F36B82">
              <w:rPr>
                <w:b/>
                <w:bCs/>
                <w:color w:val="000000"/>
                <w:sz w:val="14"/>
                <w:szCs w:val="14"/>
              </w:rPr>
              <w:t>-</w:t>
            </w:r>
          </w:p>
        </w:tc>
        <w:tc>
          <w:tcPr>
            <w:tcW w:w="244" w:type="pct"/>
            <w:tcBorders>
              <w:top w:val="nil"/>
              <w:left w:val="nil"/>
              <w:bottom w:val="nil"/>
              <w:right w:val="nil"/>
            </w:tcBorders>
            <w:vAlign w:val="bottom"/>
          </w:tcPr>
          <w:p w14:paraId="4DFE4C99" w14:textId="77777777" w:rsidR="009B1956" w:rsidRPr="00F36B82" w:rsidRDefault="009B1956" w:rsidP="00887449">
            <w:pPr>
              <w:jc w:val="right"/>
              <w:rPr>
                <w:b/>
                <w:sz w:val="14"/>
                <w:szCs w:val="14"/>
              </w:rPr>
            </w:pPr>
            <w:r w:rsidRPr="00F36B82">
              <w:rPr>
                <w:b/>
                <w:bCs/>
                <w:color w:val="000000"/>
                <w:sz w:val="14"/>
                <w:szCs w:val="14"/>
              </w:rPr>
              <w:t>-</w:t>
            </w:r>
          </w:p>
        </w:tc>
        <w:tc>
          <w:tcPr>
            <w:tcW w:w="244" w:type="pct"/>
            <w:tcBorders>
              <w:top w:val="nil"/>
              <w:left w:val="nil"/>
              <w:bottom w:val="nil"/>
              <w:right w:val="nil"/>
            </w:tcBorders>
            <w:vAlign w:val="bottom"/>
          </w:tcPr>
          <w:p w14:paraId="2FCD5B08" w14:textId="77777777" w:rsidR="009B1956" w:rsidRPr="00F36B82" w:rsidRDefault="009B1956" w:rsidP="00887449">
            <w:pPr>
              <w:jc w:val="right"/>
              <w:rPr>
                <w:b/>
                <w:sz w:val="14"/>
                <w:szCs w:val="14"/>
              </w:rPr>
            </w:pPr>
            <w:r w:rsidRPr="00F36B82">
              <w:rPr>
                <w:b/>
                <w:bCs/>
                <w:color w:val="000000"/>
                <w:sz w:val="14"/>
                <w:szCs w:val="14"/>
              </w:rPr>
              <w:t>1.265</w:t>
            </w:r>
          </w:p>
        </w:tc>
        <w:tc>
          <w:tcPr>
            <w:tcW w:w="244" w:type="pct"/>
            <w:tcBorders>
              <w:top w:val="nil"/>
              <w:left w:val="nil"/>
              <w:bottom w:val="nil"/>
              <w:right w:val="nil"/>
            </w:tcBorders>
            <w:vAlign w:val="bottom"/>
          </w:tcPr>
          <w:p w14:paraId="742A0663" w14:textId="77777777" w:rsidR="009B1956" w:rsidRPr="00F36B82" w:rsidRDefault="009B1956" w:rsidP="00887449">
            <w:pPr>
              <w:jc w:val="right"/>
              <w:rPr>
                <w:b/>
                <w:sz w:val="14"/>
                <w:szCs w:val="14"/>
              </w:rPr>
            </w:pPr>
            <w:r w:rsidRPr="00F36B82">
              <w:rPr>
                <w:b/>
                <w:bCs/>
                <w:color w:val="000000"/>
                <w:sz w:val="14"/>
                <w:szCs w:val="14"/>
              </w:rPr>
              <w:t>991.124</w:t>
            </w:r>
          </w:p>
        </w:tc>
        <w:tc>
          <w:tcPr>
            <w:tcW w:w="268" w:type="pct"/>
            <w:tcBorders>
              <w:top w:val="nil"/>
              <w:left w:val="nil"/>
              <w:bottom w:val="nil"/>
              <w:right w:val="nil"/>
            </w:tcBorders>
            <w:vAlign w:val="bottom"/>
          </w:tcPr>
          <w:p w14:paraId="0B4404EC" w14:textId="77777777" w:rsidR="009B1956" w:rsidRPr="00F36B82" w:rsidRDefault="009B1956" w:rsidP="00887449">
            <w:pPr>
              <w:jc w:val="right"/>
              <w:rPr>
                <w:b/>
                <w:sz w:val="14"/>
                <w:szCs w:val="14"/>
              </w:rPr>
            </w:pPr>
            <w:r w:rsidRPr="00F36B82">
              <w:rPr>
                <w:b/>
                <w:bCs/>
                <w:color w:val="000000"/>
                <w:sz w:val="14"/>
                <w:szCs w:val="14"/>
              </w:rPr>
              <w:t>11.830.164</w:t>
            </w:r>
          </w:p>
        </w:tc>
        <w:tc>
          <w:tcPr>
            <w:tcW w:w="272" w:type="pct"/>
            <w:tcBorders>
              <w:top w:val="nil"/>
              <w:left w:val="nil"/>
              <w:bottom w:val="nil"/>
              <w:right w:val="nil"/>
            </w:tcBorders>
            <w:vAlign w:val="bottom"/>
          </w:tcPr>
          <w:p w14:paraId="4B7D7613" w14:textId="77777777" w:rsidR="009B1956" w:rsidRPr="00F36B82" w:rsidRDefault="009B1956" w:rsidP="00887449">
            <w:pPr>
              <w:jc w:val="right"/>
              <w:rPr>
                <w:b/>
                <w:sz w:val="14"/>
                <w:szCs w:val="14"/>
              </w:rPr>
            </w:pPr>
            <w:r w:rsidRPr="00F36B82">
              <w:rPr>
                <w:b/>
                <w:bCs/>
                <w:color w:val="000000"/>
                <w:sz w:val="14"/>
                <w:szCs w:val="14"/>
              </w:rPr>
              <w:t>6.153.048</w:t>
            </w:r>
          </w:p>
        </w:tc>
        <w:tc>
          <w:tcPr>
            <w:tcW w:w="273" w:type="pct"/>
            <w:tcBorders>
              <w:top w:val="nil"/>
              <w:left w:val="nil"/>
              <w:bottom w:val="nil"/>
              <w:right w:val="nil"/>
            </w:tcBorders>
            <w:vAlign w:val="bottom"/>
          </w:tcPr>
          <w:p w14:paraId="2727946A" w14:textId="77777777" w:rsidR="009B1956" w:rsidRPr="00F36B82" w:rsidRDefault="009B1956" w:rsidP="00887449">
            <w:pPr>
              <w:jc w:val="right"/>
              <w:rPr>
                <w:b/>
                <w:sz w:val="14"/>
                <w:szCs w:val="14"/>
              </w:rPr>
            </w:pPr>
            <w:r w:rsidRPr="00F36B82">
              <w:rPr>
                <w:b/>
                <w:bCs/>
                <w:color w:val="000000"/>
                <w:sz w:val="14"/>
                <w:szCs w:val="14"/>
              </w:rPr>
              <w:t>17.983.212</w:t>
            </w:r>
          </w:p>
        </w:tc>
      </w:tr>
      <w:tr w:rsidR="009B1956" w:rsidRPr="00F36B82" w14:paraId="7C7DA262" w14:textId="77777777" w:rsidTr="007A5154">
        <w:trPr>
          <w:trHeight w:val="133"/>
        </w:trPr>
        <w:tc>
          <w:tcPr>
            <w:tcW w:w="98" w:type="pct"/>
          </w:tcPr>
          <w:p w14:paraId="18FDBCB3" w14:textId="77777777" w:rsidR="009B1956" w:rsidRPr="00F36B82" w:rsidRDefault="009B1956" w:rsidP="007A5154">
            <w:pPr>
              <w:autoSpaceDE w:val="0"/>
              <w:autoSpaceDN w:val="0"/>
              <w:adjustRightInd w:val="0"/>
              <w:ind w:left="180" w:hanging="180"/>
              <w:rPr>
                <w:rFonts w:eastAsia="Arial Unicode MS"/>
                <w:sz w:val="14"/>
                <w:szCs w:val="14"/>
              </w:rPr>
            </w:pPr>
            <w:r w:rsidRPr="00F36B82">
              <w:rPr>
                <w:rFonts w:eastAsia="Arial Unicode MS"/>
                <w:sz w:val="14"/>
                <w:szCs w:val="14"/>
              </w:rPr>
              <w:t>4.1</w:t>
            </w:r>
          </w:p>
        </w:tc>
        <w:tc>
          <w:tcPr>
            <w:tcW w:w="528" w:type="pct"/>
            <w:vAlign w:val="bottom"/>
          </w:tcPr>
          <w:p w14:paraId="593CD93F" w14:textId="77777777" w:rsidR="009B1956" w:rsidRPr="00F36B82" w:rsidRDefault="009B1956" w:rsidP="00887449">
            <w:pPr>
              <w:ind w:left="160"/>
              <w:rPr>
                <w:rFonts w:eastAsia="Arial Unicode MS"/>
                <w:b/>
                <w:bCs/>
                <w:noProof/>
                <w:color w:val="000000"/>
                <w:sz w:val="14"/>
                <w:szCs w:val="14"/>
              </w:rPr>
            </w:pPr>
            <w:r w:rsidRPr="00F36B82">
              <w:rPr>
                <w:color w:val="000000"/>
                <w:sz w:val="14"/>
                <w:szCs w:val="14"/>
              </w:rPr>
              <w:t>Toptan ve Perakende Ticaret</w:t>
            </w:r>
          </w:p>
        </w:tc>
        <w:tc>
          <w:tcPr>
            <w:tcW w:w="240" w:type="pct"/>
            <w:tcBorders>
              <w:top w:val="nil"/>
              <w:left w:val="nil"/>
              <w:bottom w:val="nil"/>
              <w:right w:val="nil"/>
            </w:tcBorders>
            <w:vAlign w:val="bottom"/>
          </w:tcPr>
          <w:p w14:paraId="0E6724E6" w14:textId="77777777" w:rsidR="009B1956" w:rsidRPr="00F36B82" w:rsidRDefault="009B1956" w:rsidP="00887449">
            <w:pPr>
              <w:jc w:val="right"/>
              <w:rPr>
                <w:sz w:val="14"/>
                <w:szCs w:val="14"/>
              </w:rPr>
            </w:pPr>
            <w:r w:rsidRPr="00F36B82">
              <w:rPr>
                <w:color w:val="000000"/>
                <w:sz w:val="14"/>
                <w:szCs w:val="14"/>
              </w:rPr>
              <w:t>-</w:t>
            </w:r>
          </w:p>
        </w:tc>
        <w:tc>
          <w:tcPr>
            <w:tcW w:w="156" w:type="pct"/>
            <w:tcBorders>
              <w:top w:val="nil"/>
              <w:left w:val="nil"/>
              <w:bottom w:val="nil"/>
              <w:right w:val="nil"/>
            </w:tcBorders>
            <w:vAlign w:val="bottom"/>
          </w:tcPr>
          <w:p w14:paraId="25FF4B52" w14:textId="77777777" w:rsidR="009B1956" w:rsidRPr="00F36B82" w:rsidRDefault="009B1956" w:rsidP="00887449">
            <w:pPr>
              <w:jc w:val="right"/>
              <w:rPr>
                <w:sz w:val="14"/>
                <w:szCs w:val="14"/>
              </w:rPr>
            </w:pPr>
            <w:r w:rsidRPr="00F36B82">
              <w:rPr>
                <w:color w:val="000000"/>
                <w:sz w:val="14"/>
                <w:szCs w:val="14"/>
              </w:rPr>
              <w:t>-</w:t>
            </w:r>
          </w:p>
        </w:tc>
        <w:tc>
          <w:tcPr>
            <w:tcW w:w="173" w:type="pct"/>
            <w:tcBorders>
              <w:top w:val="nil"/>
              <w:left w:val="nil"/>
              <w:bottom w:val="nil"/>
              <w:right w:val="nil"/>
            </w:tcBorders>
            <w:vAlign w:val="bottom"/>
          </w:tcPr>
          <w:p w14:paraId="4DF9525E" w14:textId="77777777" w:rsidR="009B1956" w:rsidRPr="00F36B82" w:rsidRDefault="009B1956" w:rsidP="00887449">
            <w:pPr>
              <w:jc w:val="right"/>
              <w:rPr>
                <w:sz w:val="14"/>
                <w:szCs w:val="14"/>
              </w:rPr>
            </w:pPr>
            <w:r w:rsidRPr="00F36B82">
              <w:rPr>
                <w:color w:val="000000"/>
                <w:sz w:val="14"/>
                <w:szCs w:val="14"/>
              </w:rPr>
              <w:t>-</w:t>
            </w:r>
          </w:p>
        </w:tc>
        <w:tc>
          <w:tcPr>
            <w:tcW w:w="100" w:type="pct"/>
            <w:tcBorders>
              <w:top w:val="nil"/>
              <w:left w:val="nil"/>
              <w:bottom w:val="nil"/>
              <w:right w:val="nil"/>
            </w:tcBorders>
            <w:vAlign w:val="bottom"/>
          </w:tcPr>
          <w:p w14:paraId="70D9C839" w14:textId="77777777" w:rsidR="009B1956" w:rsidRPr="00F36B82" w:rsidRDefault="009B1956" w:rsidP="00887449">
            <w:pPr>
              <w:jc w:val="right"/>
              <w:rPr>
                <w:sz w:val="14"/>
                <w:szCs w:val="14"/>
              </w:rPr>
            </w:pPr>
            <w:r w:rsidRPr="00F36B82">
              <w:rPr>
                <w:color w:val="000000"/>
                <w:sz w:val="14"/>
                <w:szCs w:val="14"/>
              </w:rPr>
              <w:t>-</w:t>
            </w:r>
          </w:p>
        </w:tc>
        <w:tc>
          <w:tcPr>
            <w:tcW w:w="224" w:type="pct"/>
            <w:tcBorders>
              <w:top w:val="nil"/>
              <w:left w:val="nil"/>
              <w:bottom w:val="nil"/>
              <w:right w:val="nil"/>
            </w:tcBorders>
            <w:vAlign w:val="bottom"/>
          </w:tcPr>
          <w:p w14:paraId="6DE31802" w14:textId="77777777" w:rsidR="009B1956" w:rsidRPr="00F36B82" w:rsidRDefault="009B1956" w:rsidP="00887449">
            <w:pPr>
              <w:jc w:val="right"/>
              <w:rPr>
                <w:sz w:val="14"/>
                <w:szCs w:val="14"/>
              </w:rPr>
            </w:pPr>
            <w:r w:rsidRPr="00F36B82">
              <w:rPr>
                <w:color w:val="000000"/>
                <w:sz w:val="14"/>
                <w:szCs w:val="14"/>
              </w:rPr>
              <w:t>-</w:t>
            </w:r>
          </w:p>
        </w:tc>
        <w:tc>
          <w:tcPr>
            <w:tcW w:w="240" w:type="pct"/>
            <w:tcBorders>
              <w:top w:val="nil"/>
              <w:left w:val="nil"/>
              <w:bottom w:val="nil"/>
              <w:right w:val="nil"/>
            </w:tcBorders>
            <w:vAlign w:val="bottom"/>
          </w:tcPr>
          <w:p w14:paraId="3C1CF4BF" w14:textId="77777777" w:rsidR="009B1956" w:rsidRPr="00F36B82" w:rsidRDefault="009B1956" w:rsidP="00887449">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3DE60C24" w14:textId="77777777" w:rsidR="009B1956" w:rsidRPr="00F36B82" w:rsidRDefault="009B1956" w:rsidP="00887449">
            <w:pPr>
              <w:jc w:val="right"/>
              <w:rPr>
                <w:sz w:val="14"/>
                <w:szCs w:val="14"/>
              </w:rPr>
            </w:pPr>
            <w:r w:rsidRPr="00F36B82">
              <w:rPr>
                <w:color w:val="000000"/>
                <w:sz w:val="14"/>
                <w:szCs w:val="14"/>
              </w:rPr>
              <w:t>3.436.862</w:t>
            </w:r>
          </w:p>
        </w:tc>
        <w:tc>
          <w:tcPr>
            <w:tcW w:w="220" w:type="pct"/>
            <w:tcBorders>
              <w:top w:val="nil"/>
              <w:left w:val="nil"/>
              <w:bottom w:val="nil"/>
              <w:right w:val="nil"/>
            </w:tcBorders>
            <w:vAlign w:val="bottom"/>
          </w:tcPr>
          <w:p w14:paraId="3D6CA93B" w14:textId="77777777" w:rsidR="009B1956" w:rsidRPr="00F36B82" w:rsidRDefault="009B1956" w:rsidP="00887449">
            <w:pPr>
              <w:jc w:val="right"/>
              <w:rPr>
                <w:sz w:val="14"/>
                <w:szCs w:val="14"/>
              </w:rPr>
            </w:pPr>
            <w:r w:rsidRPr="00F36B82">
              <w:rPr>
                <w:color w:val="000000"/>
                <w:sz w:val="14"/>
                <w:szCs w:val="14"/>
              </w:rPr>
              <w:t>-</w:t>
            </w:r>
          </w:p>
        </w:tc>
        <w:tc>
          <w:tcPr>
            <w:tcW w:w="201" w:type="pct"/>
            <w:tcBorders>
              <w:top w:val="nil"/>
              <w:left w:val="nil"/>
              <w:bottom w:val="nil"/>
              <w:right w:val="nil"/>
            </w:tcBorders>
            <w:vAlign w:val="bottom"/>
          </w:tcPr>
          <w:p w14:paraId="0CA50258" w14:textId="77777777" w:rsidR="009B1956" w:rsidRPr="00F36B82" w:rsidRDefault="009B1956" w:rsidP="00887449">
            <w:pPr>
              <w:jc w:val="right"/>
              <w:rPr>
                <w:sz w:val="14"/>
                <w:szCs w:val="14"/>
              </w:rPr>
            </w:pPr>
            <w:r w:rsidRPr="00F36B82">
              <w:rPr>
                <w:color w:val="000000"/>
                <w:sz w:val="14"/>
                <w:szCs w:val="14"/>
              </w:rPr>
              <w:t>235.146</w:t>
            </w:r>
          </w:p>
        </w:tc>
        <w:tc>
          <w:tcPr>
            <w:tcW w:w="142" w:type="pct"/>
            <w:tcBorders>
              <w:top w:val="nil"/>
              <w:left w:val="nil"/>
              <w:bottom w:val="nil"/>
              <w:right w:val="nil"/>
            </w:tcBorders>
            <w:vAlign w:val="bottom"/>
          </w:tcPr>
          <w:p w14:paraId="3157AF81" w14:textId="77777777" w:rsidR="009B1956" w:rsidRPr="00F36B82" w:rsidRDefault="009B1956" w:rsidP="00887449">
            <w:pPr>
              <w:jc w:val="right"/>
              <w:rPr>
                <w:sz w:val="14"/>
                <w:szCs w:val="14"/>
              </w:rPr>
            </w:pPr>
            <w:r w:rsidRPr="00F36B82">
              <w:rPr>
                <w:color w:val="000000"/>
                <w:sz w:val="14"/>
                <w:szCs w:val="14"/>
              </w:rPr>
              <w:t>-</w:t>
            </w:r>
          </w:p>
        </w:tc>
        <w:tc>
          <w:tcPr>
            <w:tcW w:w="220" w:type="pct"/>
            <w:tcBorders>
              <w:top w:val="nil"/>
              <w:left w:val="nil"/>
              <w:bottom w:val="nil"/>
              <w:right w:val="nil"/>
            </w:tcBorders>
            <w:vAlign w:val="bottom"/>
          </w:tcPr>
          <w:p w14:paraId="0BF4B0EC" w14:textId="77777777" w:rsidR="009B1956" w:rsidRPr="00F36B82" w:rsidRDefault="009B1956" w:rsidP="00887449">
            <w:pPr>
              <w:jc w:val="right"/>
              <w:rPr>
                <w:sz w:val="14"/>
                <w:szCs w:val="14"/>
              </w:rPr>
            </w:pPr>
            <w:r w:rsidRPr="00F36B82">
              <w:rPr>
                <w:color w:val="000000"/>
                <w:sz w:val="14"/>
                <w:szCs w:val="14"/>
              </w:rPr>
              <w:t>27.648</w:t>
            </w:r>
          </w:p>
        </w:tc>
        <w:tc>
          <w:tcPr>
            <w:tcW w:w="159" w:type="pct"/>
            <w:tcBorders>
              <w:top w:val="nil"/>
              <w:left w:val="nil"/>
              <w:bottom w:val="nil"/>
              <w:right w:val="nil"/>
            </w:tcBorders>
            <w:vAlign w:val="bottom"/>
          </w:tcPr>
          <w:p w14:paraId="45340508"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77B1DFB1"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7DDF76B1"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00D96C00"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3010EDAE"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147AF01A" w14:textId="77777777" w:rsidR="009B1956" w:rsidRPr="00F36B82" w:rsidRDefault="009B1956" w:rsidP="00887449">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4B59C3CA" w14:textId="77777777" w:rsidR="009B1956" w:rsidRPr="00F36B82" w:rsidRDefault="009B1956" w:rsidP="00887449">
            <w:pPr>
              <w:jc w:val="right"/>
              <w:rPr>
                <w:sz w:val="14"/>
                <w:szCs w:val="14"/>
              </w:rPr>
            </w:pPr>
            <w:r w:rsidRPr="00F36B82">
              <w:rPr>
                <w:color w:val="000000"/>
                <w:sz w:val="14"/>
                <w:szCs w:val="14"/>
              </w:rPr>
              <w:t>2.596.297</w:t>
            </w:r>
          </w:p>
        </w:tc>
        <w:tc>
          <w:tcPr>
            <w:tcW w:w="272" w:type="pct"/>
            <w:tcBorders>
              <w:top w:val="nil"/>
              <w:left w:val="nil"/>
              <w:bottom w:val="nil"/>
              <w:right w:val="nil"/>
            </w:tcBorders>
            <w:vAlign w:val="bottom"/>
          </w:tcPr>
          <w:p w14:paraId="4DB8F044" w14:textId="77777777" w:rsidR="009B1956" w:rsidRPr="00F36B82" w:rsidRDefault="009B1956" w:rsidP="00887449">
            <w:pPr>
              <w:jc w:val="right"/>
              <w:rPr>
                <w:sz w:val="14"/>
                <w:szCs w:val="14"/>
              </w:rPr>
            </w:pPr>
            <w:r w:rsidRPr="00F36B82">
              <w:rPr>
                <w:color w:val="000000"/>
                <w:sz w:val="14"/>
                <w:szCs w:val="14"/>
              </w:rPr>
              <w:t>1.103.359</w:t>
            </w:r>
          </w:p>
        </w:tc>
        <w:tc>
          <w:tcPr>
            <w:tcW w:w="273" w:type="pct"/>
            <w:tcBorders>
              <w:top w:val="nil"/>
              <w:left w:val="nil"/>
              <w:bottom w:val="nil"/>
              <w:right w:val="nil"/>
            </w:tcBorders>
            <w:vAlign w:val="bottom"/>
          </w:tcPr>
          <w:p w14:paraId="4AE6349F" w14:textId="77777777" w:rsidR="009B1956" w:rsidRPr="00F36B82" w:rsidRDefault="009B1956" w:rsidP="00887449">
            <w:pPr>
              <w:jc w:val="right"/>
              <w:rPr>
                <w:sz w:val="14"/>
                <w:szCs w:val="14"/>
              </w:rPr>
            </w:pPr>
            <w:r w:rsidRPr="00F36B82">
              <w:rPr>
                <w:color w:val="000000"/>
                <w:sz w:val="14"/>
                <w:szCs w:val="14"/>
              </w:rPr>
              <w:t>3.699.656</w:t>
            </w:r>
          </w:p>
        </w:tc>
      </w:tr>
      <w:tr w:rsidR="009B1956" w:rsidRPr="00F36B82" w14:paraId="69160BF7" w14:textId="77777777" w:rsidTr="007A5154">
        <w:trPr>
          <w:trHeight w:val="133"/>
        </w:trPr>
        <w:tc>
          <w:tcPr>
            <w:tcW w:w="98" w:type="pct"/>
          </w:tcPr>
          <w:p w14:paraId="7ACB75A5" w14:textId="77777777" w:rsidR="009B1956" w:rsidRPr="00F36B82" w:rsidRDefault="009B1956" w:rsidP="007A5154">
            <w:pPr>
              <w:autoSpaceDE w:val="0"/>
              <w:autoSpaceDN w:val="0"/>
              <w:adjustRightInd w:val="0"/>
              <w:ind w:left="180" w:hanging="180"/>
              <w:rPr>
                <w:rFonts w:eastAsia="Arial Unicode MS"/>
                <w:sz w:val="14"/>
                <w:szCs w:val="14"/>
              </w:rPr>
            </w:pPr>
            <w:r w:rsidRPr="00F36B82">
              <w:rPr>
                <w:rFonts w:eastAsia="Arial Unicode MS"/>
                <w:sz w:val="14"/>
                <w:szCs w:val="14"/>
              </w:rPr>
              <w:t>4.2</w:t>
            </w:r>
          </w:p>
        </w:tc>
        <w:tc>
          <w:tcPr>
            <w:tcW w:w="528" w:type="pct"/>
            <w:vAlign w:val="bottom"/>
          </w:tcPr>
          <w:p w14:paraId="6A6D3872" w14:textId="77777777" w:rsidR="009B1956" w:rsidRPr="00F36B82" w:rsidRDefault="009B1956" w:rsidP="00887449">
            <w:pPr>
              <w:rPr>
                <w:color w:val="000000"/>
                <w:sz w:val="14"/>
                <w:szCs w:val="14"/>
              </w:rPr>
            </w:pPr>
            <w:r w:rsidRPr="00F36B82">
              <w:rPr>
                <w:color w:val="000000"/>
                <w:sz w:val="14"/>
                <w:szCs w:val="14"/>
              </w:rPr>
              <w:t xml:space="preserve">   Otel ve Lokanta Hizmetleri</w:t>
            </w:r>
          </w:p>
        </w:tc>
        <w:tc>
          <w:tcPr>
            <w:tcW w:w="240" w:type="pct"/>
            <w:tcBorders>
              <w:top w:val="nil"/>
              <w:left w:val="nil"/>
              <w:bottom w:val="nil"/>
              <w:right w:val="nil"/>
            </w:tcBorders>
            <w:vAlign w:val="bottom"/>
          </w:tcPr>
          <w:p w14:paraId="7B1B50D7" w14:textId="77777777" w:rsidR="009B1956" w:rsidRPr="00F36B82" w:rsidRDefault="009B1956" w:rsidP="00887449">
            <w:pPr>
              <w:jc w:val="right"/>
              <w:rPr>
                <w:sz w:val="14"/>
                <w:szCs w:val="14"/>
              </w:rPr>
            </w:pPr>
            <w:r w:rsidRPr="00F36B82">
              <w:rPr>
                <w:color w:val="000000"/>
                <w:sz w:val="14"/>
                <w:szCs w:val="14"/>
              </w:rPr>
              <w:t>-</w:t>
            </w:r>
          </w:p>
        </w:tc>
        <w:tc>
          <w:tcPr>
            <w:tcW w:w="156" w:type="pct"/>
            <w:tcBorders>
              <w:top w:val="nil"/>
              <w:left w:val="nil"/>
              <w:bottom w:val="nil"/>
              <w:right w:val="nil"/>
            </w:tcBorders>
            <w:vAlign w:val="bottom"/>
          </w:tcPr>
          <w:p w14:paraId="61F949BB" w14:textId="77777777" w:rsidR="009B1956" w:rsidRPr="00F36B82" w:rsidRDefault="009B1956" w:rsidP="00887449">
            <w:pPr>
              <w:jc w:val="right"/>
              <w:rPr>
                <w:sz w:val="14"/>
                <w:szCs w:val="14"/>
              </w:rPr>
            </w:pPr>
            <w:r w:rsidRPr="00F36B82">
              <w:rPr>
                <w:color w:val="000000"/>
                <w:sz w:val="14"/>
                <w:szCs w:val="14"/>
              </w:rPr>
              <w:t>-</w:t>
            </w:r>
          </w:p>
        </w:tc>
        <w:tc>
          <w:tcPr>
            <w:tcW w:w="173" w:type="pct"/>
            <w:tcBorders>
              <w:top w:val="nil"/>
              <w:left w:val="nil"/>
              <w:bottom w:val="nil"/>
              <w:right w:val="nil"/>
            </w:tcBorders>
            <w:vAlign w:val="bottom"/>
          </w:tcPr>
          <w:p w14:paraId="338E6E11" w14:textId="77777777" w:rsidR="009B1956" w:rsidRPr="00F36B82" w:rsidRDefault="009B1956" w:rsidP="00887449">
            <w:pPr>
              <w:jc w:val="right"/>
              <w:rPr>
                <w:sz w:val="14"/>
                <w:szCs w:val="14"/>
              </w:rPr>
            </w:pPr>
            <w:r w:rsidRPr="00F36B82">
              <w:rPr>
                <w:color w:val="000000"/>
                <w:sz w:val="14"/>
                <w:szCs w:val="14"/>
              </w:rPr>
              <w:t>-</w:t>
            </w:r>
          </w:p>
        </w:tc>
        <w:tc>
          <w:tcPr>
            <w:tcW w:w="100" w:type="pct"/>
            <w:tcBorders>
              <w:top w:val="nil"/>
              <w:left w:val="nil"/>
              <w:bottom w:val="nil"/>
              <w:right w:val="nil"/>
            </w:tcBorders>
            <w:vAlign w:val="bottom"/>
          </w:tcPr>
          <w:p w14:paraId="7A214190" w14:textId="77777777" w:rsidR="009B1956" w:rsidRPr="00F36B82" w:rsidRDefault="009B1956" w:rsidP="00887449">
            <w:pPr>
              <w:jc w:val="right"/>
              <w:rPr>
                <w:sz w:val="14"/>
                <w:szCs w:val="14"/>
              </w:rPr>
            </w:pPr>
            <w:r w:rsidRPr="00F36B82">
              <w:rPr>
                <w:color w:val="000000"/>
                <w:sz w:val="14"/>
                <w:szCs w:val="14"/>
              </w:rPr>
              <w:t>-</w:t>
            </w:r>
          </w:p>
        </w:tc>
        <w:tc>
          <w:tcPr>
            <w:tcW w:w="224" w:type="pct"/>
            <w:tcBorders>
              <w:top w:val="nil"/>
              <w:left w:val="nil"/>
              <w:bottom w:val="nil"/>
              <w:right w:val="nil"/>
            </w:tcBorders>
            <w:vAlign w:val="bottom"/>
          </w:tcPr>
          <w:p w14:paraId="68DD24C6" w14:textId="77777777" w:rsidR="009B1956" w:rsidRPr="00F36B82" w:rsidRDefault="009B1956" w:rsidP="00887449">
            <w:pPr>
              <w:jc w:val="right"/>
              <w:rPr>
                <w:sz w:val="14"/>
                <w:szCs w:val="14"/>
              </w:rPr>
            </w:pPr>
            <w:r w:rsidRPr="00F36B82">
              <w:rPr>
                <w:color w:val="000000"/>
                <w:sz w:val="14"/>
                <w:szCs w:val="14"/>
              </w:rPr>
              <w:t>-</w:t>
            </w:r>
          </w:p>
        </w:tc>
        <w:tc>
          <w:tcPr>
            <w:tcW w:w="240" w:type="pct"/>
            <w:tcBorders>
              <w:top w:val="nil"/>
              <w:left w:val="nil"/>
              <w:bottom w:val="nil"/>
              <w:right w:val="nil"/>
            </w:tcBorders>
            <w:vAlign w:val="bottom"/>
          </w:tcPr>
          <w:p w14:paraId="06D8BCB0" w14:textId="77777777" w:rsidR="009B1956" w:rsidRPr="00F36B82" w:rsidRDefault="009B1956" w:rsidP="00887449">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43CB6FF9" w14:textId="77777777" w:rsidR="009B1956" w:rsidRPr="00F36B82" w:rsidRDefault="009B1956" w:rsidP="00887449">
            <w:pPr>
              <w:jc w:val="right"/>
              <w:rPr>
                <w:sz w:val="14"/>
                <w:szCs w:val="14"/>
              </w:rPr>
            </w:pPr>
            <w:r w:rsidRPr="00F36B82">
              <w:rPr>
                <w:color w:val="000000"/>
                <w:sz w:val="14"/>
                <w:szCs w:val="14"/>
              </w:rPr>
              <w:t>57.659</w:t>
            </w:r>
          </w:p>
        </w:tc>
        <w:tc>
          <w:tcPr>
            <w:tcW w:w="220" w:type="pct"/>
            <w:tcBorders>
              <w:top w:val="nil"/>
              <w:left w:val="nil"/>
              <w:bottom w:val="nil"/>
              <w:right w:val="nil"/>
            </w:tcBorders>
            <w:vAlign w:val="bottom"/>
          </w:tcPr>
          <w:p w14:paraId="6E937A99" w14:textId="77777777" w:rsidR="009B1956" w:rsidRPr="00F36B82" w:rsidRDefault="009B1956" w:rsidP="00887449">
            <w:pPr>
              <w:jc w:val="right"/>
              <w:rPr>
                <w:sz w:val="14"/>
                <w:szCs w:val="14"/>
              </w:rPr>
            </w:pPr>
            <w:r w:rsidRPr="00F36B82">
              <w:rPr>
                <w:color w:val="000000"/>
                <w:sz w:val="14"/>
                <w:szCs w:val="14"/>
              </w:rPr>
              <w:t>-</w:t>
            </w:r>
          </w:p>
        </w:tc>
        <w:tc>
          <w:tcPr>
            <w:tcW w:w="201" w:type="pct"/>
            <w:tcBorders>
              <w:top w:val="nil"/>
              <w:left w:val="nil"/>
              <w:bottom w:val="nil"/>
              <w:right w:val="nil"/>
            </w:tcBorders>
            <w:vAlign w:val="bottom"/>
          </w:tcPr>
          <w:p w14:paraId="2AD322F0" w14:textId="77777777" w:rsidR="009B1956" w:rsidRPr="00F36B82" w:rsidRDefault="009B1956" w:rsidP="00887449">
            <w:pPr>
              <w:jc w:val="right"/>
              <w:rPr>
                <w:sz w:val="14"/>
                <w:szCs w:val="14"/>
              </w:rPr>
            </w:pPr>
            <w:r w:rsidRPr="00F36B82">
              <w:rPr>
                <w:color w:val="000000"/>
                <w:sz w:val="14"/>
                <w:szCs w:val="14"/>
              </w:rPr>
              <w:t>19.208</w:t>
            </w:r>
          </w:p>
        </w:tc>
        <w:tc>
          <w:tcPr>
            <w:tcW w:w="142" w:type="pct"/>
            <w:tcBorders>
              <w:top w:val="nil"/>
              <w:left w:val="nil"/>
              <w:bottom w:val="nil"/>
              <w:right w:val="nil"/>
            </w:tcBorders>
            <w:vAlign w:val="bottom"/>
          </w:tcPr>
          <w:p w14:paraId="00F025A3" w14:textId="77777777" w:rsidR="009B1956" w:rsidRPr="00F36B82" w:rsidRDefault="009B1956" w:rsidP="00887449">
            <w:pPr>
              <w:jc w:val="right"/>
              <w:rPr>
                <w:sz w:val="14"/>
                <w:szCs w:val="14"/>
              </w:rPr>
            </w:pPr>
            <w:r w:rsidRPr="00F36B82">
              <w:rPr>
                <w:color w:val="000000"/>
                <w:sz w:val="14"/>
                <w:szCs w:val="14"/>
              </w:rPr>
              <w:t>-</w:t>
            </w:r>
          </w:p>
        </w:tc>
        <w:tc>
          <w:tcPr>
            <w:tcW w:w="220" w:type="pct"/>
            <w:tcBorders>
              <w:top w:val="nil"/>
              <w:left w:val="nil"/>
              <w:bottom w:val="nil"/>
              <w:right w:val="nil"/>
            </w:tcBorders>
            <w:vAlign w:val="bottom"/>
          </w:tcPr>
          <w:p w14:paraId="17E08687" w14:textId="77777777" w:rsidR="009B1956" w:rsidRPr="00F36B82" w:rsidRDefault="009B1956" w:rsidP="00887449">
            <w:pPr>
              <w:jc w:val="right"/>
              <w:rPr>
                <w:sz w:val="14"/>
                <w:szCs w:val="14"/>
              </w:rPr>
            </w:pPr>
            <w:r w:rsidRPr="00F36B82">
              <w:rPr>
                <w:color w:val="000000"/>
                <w:sz w:val="14"/>
                <w:szCs w:val="14"/>
              </w:rPr>
              <w:t>-</w:t>
            </w:r>
          </w:p>
        </w:tc>
        <w:tc>
          <w:tcPr>
            <w:tcW w:w="159" w:type="pct"/>
            <w:tcBorders>
              <w:top w:val="nil"/>
              <w:left w:val="nil"/>
              <w:bottom w:val="nil"/>
              <w:right w:val="nil"/>
            </w:tcBorders>
            <w:vAlign w:val="bottom"/>
          </w:tcPr>
          <w:p w14:paraId="1B95B83F"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59CA07A3"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3693E9FF"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63849B79"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714D67DE"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4196939A" w14:textId="77777777" w:rsidR="009B1956" w:rsidRPr="00F36B82" w:rsidRDefault="009B1956" w:rsidP="00887449">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48A960C6" w14:textId="77777777" w:rsidR="009B1956" w:rsidRPr="00F36B82" w:rsidRDefault="009B1956" w:rsidP="00887449">
            <w:pPr>
              <w:jc w:val="right"/>
              <w:rPr>
                <w:sz w:val="14"/>
                <w:szCs w:val="14"/>
              </w:rPr>
            </w:pPr>
            <w:r w:rsidRPr="00F36B82">
              <w:rPr>
                <w:color w:val="000000"/>
                <w:sz w:val="14"/>
                <w:szCs w:val="14"/>
              </w:rPr>
              <w:t>76.867</w:t>
            </w:r>
          </w:p>
        </w:tc>
        <w:tc>
          <w:tcPr>
            <w:tcW w:w="272" w:type="pct"/>
            <w:tcBorders>
              <w:top w:val="nil"/>
              <w:left w:val="nil"/>
              <w:bottom w:val="nil"/>
              <w:right w:val="nil"/>
            </w:tcBorders>
            <w:vAlign w:val="bottom"/>
          </w:tcPr>
          <w:p w14:paraId="24F26000" w14:textId="77777777" w:rsidR="009B1956" w:rsidRPr="00F36B82" w:rsidRDefault="009B1956" w:rsidP="00887449">
            <w:pPr>
              <w:jc w:val="right"/>
              <w:rPr>
                <w:sz w:val="14"/>
                <w:szCs w:val="14"/>
              </w:rPr>
            </w:pPr>
            <w:r w:rsidRPr="00F36B82">
              <w:rPr>
                <w:color w:val="000000"/>
                <w:sz w:val="14"/>
                <w:szCs w:val="14"/>
              </w:rPr>
              <w:t>-</w:t>
            </w:r>
          </w:p>
        </w:tc>
        <w:tc>
          <w:tcPr>
            <w:tcW w:w="273" w:type="pct"/>
            <w:tcBorders>
              <w:top w:val="nil"/>
              <w:left w:val="nil"/>
              <w:bottom w:val="nil"/>
              <w:right w:val="nil"/>
            </w:tcBorders>
            <w:vAlign w:val="bottom"/>
          </w:tcPr>
          <w:p w14:paraId="0159B233" w14:textId="77777777" w:rsidR="009B1956" w:rsidRPr="00F36B82" w:rsidRDefault="009B1956" w:rsidP="00887449">
            <w:pPr>
              <w:jc w:val="right"/>
              <w:rPr>
                <w:sz w:val="14"/>
                <w:szCs w:val="14"/>
              </w:rPr>
            </w:pPr>
            <w:r w:rsidRPr="00F36B82">
              <w:rPr>
                <w:color w:val="000000"/>
                <w:sz w:val="14"/>
                <w:szCs w:val="14"/>
              </w:rPr>
              <w:t>76.867</w:t>
            </w:r>
          </w:p>
        </w:tc>
      </w:tr>
      <w:tr w:rsidR="009B1956" w:rsidRPr="00F36B82" w14:paraId="2F6BBE9C" w14:textId="77777777" w:rsidTr="007A5154">
        <w:trPr>
          <w:trHeight w:val="133"/>
        </w:trPr>
        <w:tc>
          <w:tcPr>
            <w:tcW w:w="98" w:type="pct"/>
          </w:tcPr>
          <w:p w14:paraId="0DD600D7" w14:textId="77777777" w:rsidR="009B1956" w:rsidRPr="00F36B82" w:rsidRDefault="009B1956" w:rsidP="007A5154">
            <w:pPr>
              <w:autoSpaceDE w:val="0"/>
              <w:autoSpaceDN w:val="0"/>
              <w:adjustRightInd w:val="0"/>
              <w:ind w:left="180" w:hanging="180"/>
              <w:rPr>
                <w:rFonts w:eastAsia="Arial Unicode MS"/>
                <w:sz w:val="14"/>
                <w:szCs w:val="14"/>
              </w:rPr>
            </w:pPr>
            <w:r w:rsidRPr="00F36B82">
              <w:rPr>
                <w:rFonts w:eastAsia="Arial Unicode MS"/>
                <w:sz w:val="14"/>
                <w:szCs w:val="14"/>
              </w:rPr>
              <w:t>4.3</w:t>
            </w:r>
          </w:p>
        </w:tc>
        <w:tc>
          <w:tcPr>
            <w:tcW w:w="528" w:type="pct"/>
            <w:vAlign w:val="bottom"/>
          </w:tcPr>
          <w:p w14:paraId="65EAEB94" w14:textId="77777777" w:rsidR="009B1956" w:rsidRPr="00F36B82" w:rsidRDefault="009B1956" w:rsidP="00887449">
            <w:pPr>
              <w:rPr>
                <w:color w:val="000000"/>
                <w:sz w:val="14"/>
                <w:szCs w:val="14"/>
              </w:rPr>
            </w:pPr>
            <w:r w:rsidRPr="00F36B82">
              <w:rPr>
                <w:color w:val="000000"/>
                <w:sz w:val="14"/>
                <w:szCs w:val="14"/>
              </w:rPr>
              <w:t xml:space="preserve">   Ulaştırma </w:t>
            </w:r>
            <w:proofErr w:type="gramStart"/>
            <w:r w:rsidRPr="00F36B82">
              <w:rPr>
                <w:color w:val="000000"/>
                <w:sz w:val="14"/>
                <w:szCs w:val="14"/>
              </w:rPr>
              <w:t>Ve</w:t>
            </w:r>
            <w:proofErr w:type="gramEnd"/>
            <w:r w:rsidRPr="00F36B82">
              <w:rPr>
                <w:color w:val="000000"/>
                <w:sz w:val="14"/>
                <w:szCs w:val="14"/>
              </w:rPr>
              <w:t xml:space="preserve"> Haberleşme</w:t>
            </w:r>
          </w:p>
        </w:tc>
        <w:tc>
          <w:tcPr>
            <w:tcW w:w="240" w:type="pct"/>
            <w:tcBorders>
              <w:top w:val="nil"/>
              <w:left w:val="nil"/>
              <w:bottom w:val="nil"/>
              <w:right w:val="nil"/>
            </w:tcBorders>
            <w:vAlign w:val="bottom"/>
          </w:tcPr>
          <w:p w14:paraId="005C84CE" w14:textId="77777777" w:rsidR="009B1956" w:rsidRPr="00F36B82" w:rsidRDefault="009B1956" w:rsidP="00887449">
            <w:pPr>
              <w:jc w:val="right"/>
              <w:rPr>
                <w:sz w:val="14"/>
                <w:szCs w:val="14"/>
              </w:rPr>
            </w:pPr>
            <w:r w:rsidRPr="00F36B82">
              <w:rPr>
                <w:color w:val="000000"/>
                <w:sz w:val="14"/>
                <w:szCs w:val="14"/>
              </w:rPr>
              <w:t>-</w:t>
            </w:r>
          </w:p>
        </w:tc>
        <w:tc>
          <w:tcPr>
            <w:tcW w:w="156" w:type="pct"/>
            <w:tcBorders>
              <w:top w:val="nil"/>
              <w:left w:val="nil"/>
              <w:bottom w:val="nil"/>
              <w:right w:val="nil"/>
            </w:tcBorders>
            <w:vAlign w:val="bottom"/>
          </w:tcPr>
          <w:p w14:paraId="785F85DC" w14:textId="77777777" w:rsidR="009B1956" w:rsidRPr="00F36B82" w:rsidRDefault="009B1956" w:rsidP="00887449">
            <w:pPr>
              <w:jc w:val="right"/>
              <w:rPr>
                <w:sz w:val="14"/>
                <w:szCs w:val="14"/>
              </w:rPr>
            </w:pPr>
            <w:r w:rsidRPr="00F36B82">
              <w:rPr>
                <w:color w:val="000000"/>
                <w:sz w:val="14"/>
                <w:szCs w:val="14"/>
              </w:rPr>
              <w:t>-</w:t>
            </w:r>
          </w:p>
        </w:tc>
        <w:tc>
          <w:tcPr>
            <w:tcW w:w="173" w:type="pct"/>
            <w:tcBorders>
              <w:top w:val="nil"/>
              <w:left w:val="nil"/>
              <w:bottom w:val="nil"/>
              <w:right w:val="nil"/>
            </w:tcBorders>
            <w:vAlign w:val="bottom"/>
          </w:tcPr>
          <w:p w14:paraId="039F3D84" w14:textId="77777777" w:rsidR="009B1956" w:rsidRPr="00F36B82" w:rsidRDefault="009B1956" w:rsidP="00887449">
            <w:pPr>
              <w:jc w:val="right"/>
              <w:rPr>
                <w:sz w:val="14"/>
                <w:szCs w:val="14"/>
              </w:rPr>
            </w:pPr>
            <w:r w:rsidRPr="00F36B82">
              <w:rPr>
                <w:color w:val="000000"/>
                <w:sz w:val="14"/>
                <w:szCs w:val="14"/>
              </w:rPr>
              <w:t>-</w:t>
            </w:r>
          </w:p>
        </w:tc>
        <w:tc>
          <w:tcPr>
            <w:tcW w:w="100" w:type="pct"/>
            <w:tcBorders>
              <w:top w:val="nil"/>
              <w:left w:val="nil"/>
              <w:bottom w:val="nil"/>
              <w:right w:val="nil"/>
            </w:tcBorders>
            <w:vAlign w:val="bottom"/>
          </w:tcPr>
          <w:p w14:paraId="0F07A4BB" w14:textId="77777777" w:rsidR="009B1956" w:rsidRPr="00F36B82" w:rsidRDefault="009B1956" w:rsidP="00887449">
            <w:pPr>
              <w:jc w:val="right"/>
              <w:rPr>
                <w:sz w:val="14"/>
                <w:szCs w:val="14"/>
              </w:rPr>
            </w:pPr>
            <w:r w:rsidRPr="00F36B82">
              <w:rPr>
                <w:color w:val="000000"/>
                <w:sz w:val="14"/>
                <w:szCs w:val="14"/>
              </w:rPr>
              <w:t>-</w:t>
            </w:r>
          </w:p>
        </w:tc>
        <w:tc>
          <w:tcPr>
            <w:tcW w:w="224" w:type="pct"/>
            <w:tcBorders>
              <w:top w:val="nil"/>
              <w:left w:val="nil"/>
              <w:bottom w:val="nil"/>
              <w:right w:val="nil"/>
            </w:tcBorders>
            <w:vAlign w:val="bottom"/>
          </w:tcPr>
          <w:p w14:paraId="3347611E" w14:textId="77777777" w:rsidR="009B1956" w:rsidRPr="00F36B82" w:rsidRDefault="009B1956" w:rsidP="00887449">
            <w:pPr>
              <w:jc w:val="right"/>
              <w:rPr>
                <w:sz w:val="14"/>
                <w:szCs w:val="14"/>
              </w:rPr>
            </w:pPr>
            <w:r w:rsidRPr="00F36B82">
              <w:rPr>
                <w:color w:val="000000"/>
                <w:sz w:val="14"/>
                <w:szCs w:val="14"/>
              </w:rPr>
              <w:t>-</w:t>
            </w:r>
          </w:p>
        </w:tc>
        <w:tc>
          <w:tcPr>
            <w:tcW w:w="240" w:type="pct"/>
            <w:tcBorders>
              <w:top w:val="nil"/>
              <w:left w:val="nil"/>
              <w:bottom w:val="nil"/>
              <w:right w:val="nil"/>
            </w:tcBorders>
            <w:vAlign w:val="bottom"/>
          </w:tcPr>
          <w:p w14:paraId="546584CE" w14:textId="77777777" w:rsidR="009B1956" w:rsidRPr="00F36B82" w:rsidRDefault="009B1956" w:rsidP="00887449">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55A4A28F" w14:textId="77777777" w:rsidR="009B1956" w:rsidRPr="00F36B82" w:rsidRDefault="009B1956" w:rsidP="00887449">
            <w:pPr>
              <w:jc w:val="right"/>
              <w:rPr>
                <w:sz w:val="14"/>
                <w:szCs w:val="14"/>
              </w:rPr>
            </w:pPr>
            <w:r w:rsidRPr="00F36B82">
              <w:rPr>
                <w:color w:val="000000"/>
                <w:sz w:val="14"/>
                <w:szCs w:val="14"/>
              </w:rPr>
              <w:t>1.093.175</w:t>
            </w:r>
          </w:p>
        </w:tc>
        <w:tc>
          <w:tcPr>
            <w:tcW w:w="220" w:type="pct"/>
            <w:tcBorders>
              <w:top w:val="nil"/>
              <w:left w:val="nil"/>
              <w:bottom w:val="nil"/>
              <w:right w:val="nil"/>
            </w:tcBorders>
            <w:vAlign w:val="bottom"/>
          </w:tcPr>
          <w:p w14:paraId="27FD2BFB" w14:textId="77777777" w:rsidR="009B1956" w:rsidRPr="00F36B82" w:rsidRDefault="009B1956" w:rsidP="00887449">
            <w:pPr>
              <w:jc w:val="right"/>
              <w:rPr>
                <w:sz w:val="14"/>
                <w:szCs w:val="14"/>
              </w:rPr>
            </w:pPr>
            <w:r w:rsidRPr="00F36B82">
              <w:rPr>
                <w:color w:val="000000"/>
                <w:sz w:val="14"/>
                <w:szCs w:val="14"/>
              </w:rPr>
              <w:t>-</w:t>
            </w:r>
          </w:p>
        </w:tc>
        <w:tc>
          <w:tcPr>
            <w:tcW w:w="201" w:type="pct"/>
            <w:tcBorders>
              <w:top w:val="nil"/>
              <w:left w:val="nil"/>
              <w:bottom w:val="nil"/>
              <w:right w:val="nil"/>
            </w:tcBorders>
            <w:vAlign w:val="bottom"/>
          </w:tcPr>
          <w:p w14:paraId="368D0278" w14:textId="77777777" w:rsidR="009B1956" w:rsidRPr="00F36B82" w:rsidRDefault="009B1956" w:rsidP="00887449">
            <w:pPr>
              <w:jc w:val="right"/>
              <w:rPr>
                <w:sz w:val="14"/>
                <w:szCs w:val="14"/>
              </w:rPr>
            </w:pPr>
            <w:r w:rsidRPr="00F36B82">
              <w:rPr>
                <w:color w:val="000000"/>
                <w:sz w:val="14"/>
                <w:szCs w:val="14"/>
              </w:rPr>
              <w:t>2.819</w:t>
            </w:r>
          </w:p>
        </w:tc>
        <w:tc>
          <w:tcPr>
            <w:tcW w:w="142" w:type="pct"/>
            <w:tcBorders>
              <w:top w:val="nil"/>
              <w:left w:val="nil"/>
              <w:bottom w:val="nil"/>
              <w:right w:val="nil"/>
            </w:tcBorders>
            <w:vAlign w:val="bottom"/>
          </w:tcPr>
          <w:p w14:paraId="5AA4779B" w14:textId="77777777" w:rsidR="009B1956" w:rsidRPr="00F36B82" w:rsidRDefault="009B1956" w:rsidP="00887449">
            <w:pPr>
              <w:jc w:val="right"/>
              <w:rPr>
                <w:sz w:val="14"/>
                <w:szCs w:val="14"/>
              </w:rPr>
            </w:pPr>
            <w:r w:rsidRPr="00F36B82">
              <w:rPr>
                <w:color w:val="000000"/>
                <w:sz w:val="14"/>
                <w:szCs w:val="14"/>
              </w:rPr>
              <w:t>-</w:t>
            </w:r>
          </w:p>
        </w:tc>
        <w:tc>
          <w:tcPr>
            <w:tcW w:w="220" w:type="pct"/>
            <w:tcBorders>
              <w:top w:val="nil"/>
              <w:left w:val="nil"/>
              <w:bottom w:val="nil"/>
              <w:right w:val="nil"/>
            </w:tcBorders>
            <w:vAlign w:val="bottom"/>
          </w:tcPr>
          <w:p w14:paraId="728D501E" w14:textId="77777777" w:rsidR="009B1956" w:rsidRPr="00F36B82" w:rsidRDefault="009B1956" w:rsidP="00887449">
            <w:pPr>
              <w:jc w:val="right"/>
              <w:rPr>
                <w:sz w:val="14"/>
                <w:szCs w:val="14"/>
              </w:rPr>
            </w:pPr>
            <w:r w:rsidRPr="00F36B82">
              <w:rPr>
                <w:color w:val="000000"/>
                <w:sz w:val="14"/>
                <w:szCs w:val="14"/>
              </w:rPr>
              <w:t>-</w:t>
            </w:r>
          </w:p>
        </w:tc>
        <w:tc>
          <w:tcPr>
            <w:tcW w:w="159" w:type="pct"/>
            <w:tcBorders>
              <w:top w:val="nil"/>
              <w:left w:val="nil"/>
              <w:bottom w:val="nil"/>
              <w:right w:val="nil"/>
            </w:tcBorders>
            <w:vAlign w:val="bottom"/>
          </w:tcPr>
          <w:p w14:paraId="324794CC"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7F24205C"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27FA69DA"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4CBB908F"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52A598E9"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35E8101E" w14:textId="77777777" w:rsidR="009B1956" w:rsidRPr="00F36B82" w:rsidRDefault="009B1956" w:rsidP="00887449">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22BF10D6" w14:textId="77777777" w:rsidR="009B1956" w:rsidRPr="00F36B82" w:rsidRDefault="009B1956" w:rsidP="00887449">
            <w:pPr>
              <w:jc w:val="right"/>
              <w:rPr>
                <w:sz w:val="14"/>
                <w:szCs w:val="14"/>
              </w:rPr>
            </w:pPr>
            <w:r w:rsidRPr="00F36B82">
              <w:rPr>
                <w:color w:val="000000"/>
                <w:sz w:val="14"/>
                <w:szCs w:val="14"/>
              </w:rPr>
              <w:t>812.957</w:t>
            </w:r>
          </w:p>
        </w:tc>
        <w:tc>
          <w:tcPr>
            <w:tcW w:w="272" w:type="pct"/>
            <w:tcBorders>
              <w:top w:val="nil"/>
              <w:left w:val="nil"/>
              <w:bottom w:val="nil"/>
              <w:right w:val="nil"/>
            </w:tcBorders>
            <w:vAlign w:val="bottom"/>
          </w:tcPr>
          <w:p w14:paraId="16F5B597" w14:textId="77777777" w:rsidR="009B1956" w:rsidRPr="00F36B82" w:rsidRDefault="009B1956" w:rsidP="00887449">
            <w:pPr>
              <w:jc w:val="right"/>
              <w:rPr>
                <w:sz w:val="14"/>
                <w:szCs w:val="14"/>
              </w:rPr>
            </w:pPr>
            <w:r w:rsidRPr="00F36B82">
              <w:rPr>
                <w:color w:val="000000"/>
                <w:sz w:val="14"/>
                <w:szCs w:val="14"/>
              </w:rPr>
              <w:t>283.037</w:t>
            </w:r>
          </w:p>
        </w:tc>
        <w:tc>
          <w:tcPr>
            <w:tcW w:w="273" w:type="pct"/>
            <w:tcBorders>
              <w:top w:val="nil"/>
              <w:left w:val="nil"/>
              <w:bottom w:val="nil"/>
              <w:right w:val="nil"/>
            </w:tcBorders>
            <w:vAlign w:val="bottom"/>
          </w:tcPr>
          <w:p w14:paraId="6B441F25" w14:textId="77777777" w:rsidR="009B1956" w:rsidRPr="00F36B82" w:rsidRDefault="009B1956" w:rsidP="00887449">
            <w:pPr>
              <w:jc w:val="right"/>
              <w:rPr>
                <w:sz w:val="14"/>
                <w:szCs w:val="14"/>
              </w:rPr>
            </w:pPr>
            <w:r w:rsidRPr="00F36B82">
              <w:rPr>
                <w:color w:val="000000"/>
                <w:sz w:val="14"/>
                <w:szCs w:val="14"/>
              </w:rPr>
              <w:t>1.095.994</w:t>
            </w:r>
          </w:p>
        </w:tc>
      </w:tr>
      <w:tr w:rsidR="009B1956" w:rsidRPr="00F36B82" w14:paraId="25E64A76" w14:textId="77777777" w:rsidTr="007A5154">
        <w:trPr>
          <w:trHeight w:val="133"/>
        </w:trPr>
        <w:tc>
          <w:tcPr>
            <w:tcW w:w="98" w:type="pct"/>
          </w:tcPr>
          <w:p w14:paraId="537C3D5D" w14:textId="77777777" w:rsidR="009B1956" w:rsidRPr="00F36B82" w:rsidRDefault="009B1956" w:rsidP="007A5154">
            <w:pPr>
              <w:autoSpaceDE w:val="0"/>
              <w:autoSpaceDN w:val="0"/>
              <w:adjustRightInd w:val="0"/>
              <w:ind w:left="180" w:hanging="180"/>
              <w:rPr>
                <w:rFonts w:eastAsia="Arial Unicode MS"/>
                <w:sz w:val="14"/>
                <w:szCs w:val="14"/>
              </w:rPr>
            </w:pPr>
            <w:r w:rsidRPr="00F36B82">
              <w:rPr>
                <w:rFonts w:eastAsia="Arial Unicode MS"/>
                <w:sz w:val="14"/>
                <w:szCs w:val="14"/>
              </w:rPr>
              <w:t>4.4</w:t>
            </w:r>
          </w:p>
        </w:tc>
        <w:tc>
          <w:tcPr>
            <w:tcW w:w="528" w:type="pct"/>
            <w:vAlign w:val="bottom"/>
          </w:tcPr>
          <w:p w14:paraId="604AF8B1" w14:textId="77777777" w:rsidR="009B1956" w:rsidRPr="00F36B82" w:rsidRDefault="009B1956" w:rsidP="00887449">
            <w:pPr>
              <w:rPr>
                <w:color w:val="000000"/>
                <w:sz w:val="14"/>
                <w:szCs w:val="14"/>
              </w:rPr>
            </w:pPr>
            <w:r w:rsidRPr="00F36B82">
              <w:rPr>
                <w:color w:val="000000"/>
                <w:sz w:val="14"/>
                <w:szCs w:val="14"/>
              </w:rPr>
              <w:t xml:space="preserve">   Mali Kuruluşlar</w:t>
            </w:r>
          </w:p>
        </w:tc>
        <w:tc>
          <w:tcPr>
            <w:tcW w:w="240" w:type="pct"/>
            <w:tcBorders>
              <w:top w:val="nil"/>
              <w:left w:val="nil"/>
              <w:bottom w:val="nil"/>
              <w:right w:val="nil"/>
            </w:tcBorders>
            <w:vAlign w:val="bottom"/>
          </w:tcPr>
          <w:p w14:paraId="37338B53" w14:textId="77777777" w:rsidR="009B1956" w:rsidRPr="00F36B82" w:rsidRDefault="009B1956" w:rsidP="00887449">
            <w:pPr>
              <w:jc w:val="right"/>
              <w:rPr>
                <w:sz w:val="14"/>
                <w:szCs w:val="14"/>
              </w:rPr>
            </w:pPr>
            <w:r w:rsidRPr="00F36B82">
              <w:rPr>
                <w:color w:val="000000"/>
                <w:sz w:val="14"/>
                <w:szCs w:val="14"/>
              </w:rPr>
              <w:t>4.830.858</w:t>
            </w:r>
          </w:p>
        </w:tc>
        <w:tc>
          <w:tcPr>
            <w:tcW w:w="156" w:type="pct"/>
            <w:tcBorders>
              <w:top w:val="nil"/>
              <w:left w:val="nil"/>
              <w:bottom w:val="nil"/>
              <w:right w:val="nil"/>
            </w:tcBorders>
            <w:vAlign w:val="bottom"/>
          </w:tcPr>
          <w:p w14:paraId="4F74ADA4" w14:textId="77777777" w:rsidR="009B1956" w:rsidRPr="00F36B82" w:rsidRDefault="009B1956" w:rsidP="00887449">
            <w:pPr>
              <w:jc w:val="right"/>
              <w:rPr>
                <w:sz w:val="14"/>
                <w:szCs w:val="14"/>
              </w:rPr>
            </w:pPr>
            <w:r w:rsidRPr="00F36B82">
              <w:rPr>
                <w:color w:val="000000"/>
                <w:sz w:val="14"/>
                <w:szCs w:val="14"/>
              </w:rPr>
              <w:t>-</w:t>
            </w:r>
          </w:p>
        </w:tc>
        <w:tc>
          <w:tcPr>
            <w:tcW w:w="173" w:type="pct"/>
            <w:tcBorders>
              <w:top w:val="nil"/>
              <w:left w:val="nil"/>
              <w:bottom w:val="nil"/>
              <w:right w:val="nil"/>
            </w:tcBorders>
            <w:vAlign w:val="bottom"/>
          </w:tcPr>
          <w:p w14:paraId="4A365926" w14:textId="77777777" w:rsidR="009B1956" w:rsidRPr="00F36B82" w:rsidRDefault="009B1956" w:rsidP="00887449">
            <w:pPr>
              <w:jc w:val="right"/>
              <w:rPr>
                <w:sz w:val="14"/>
                <w:szCs w:val="14"/>
              </w:rPr>
            </w:pPr>
            <w:r w:rsidRPr="00F36B82">
              <w:rPr>
                <w:color w:val="000000"/>
                <w:sz w:val="14"/>
                <w:szCs w:val="14"/>
              </w:rPr>
              <w:t>-</w:t>
            </w:r>
          </w:p>
        </w:tc>
        <w:tc>
          <w:tcPr>
            <w:tcW w:w="100" w:type="pct"/>
            <w:tcBorders>
              <w:top w:val="nil"/>
              <w:left w:val="nil"/>
              <w:bottom w:val="nil"/>
              <w:right w:val="nil"/>
            </w:tcBorders>
            <w:vAlign w:val="bottom"/>
          </w:tcPr>
          <w:p w14:paraId="2206E837" w14:textId="77777777" w:rsidR="009B1956" w:rsidRPr="00F36B82" w:rsidRDefault="009B1956" w:rsidP="00887449">
            <w:pPr>
              <w:jc w:val="right"/>
              <w:rPr>
                <w:sz w:val="14"/>
                <w:szCs w:val="14"/>
              </w:rPr>
            </w:pPr>
            <w:r w:rsidRPr="00F36B82">
              <w:rPr>
                <w:color w:val="000000"/>
                <w:sz w:val="14"/>
                <w:szCs w:val="14"/>
              </w:rPr>
              <w:t>-</w:t>
            </w:r>
          </w:p>
        </w:tc>
        <w:tc>
          <w:tcPr>
            <w:tcW w:w="224" w:type="pct"/>
            <w:tcBorders>
              <w:top w:val="nil"/>
              <w:left w:val="nil"/>
              <w:bottom w:val="nil"/>
              <w:right w:val="nil"/>
            </w:tcBorders>
            <w:vAlign w:val="bottom"/>
          </w:tcPr>
          <w:p w14:paraId="7E073E8C" w14:textId="77777777" w:rsidR="009B1956" w:rsidRPr="00F36B82" w:rsidRDefault="009B1956" w:rsidP="00887449">
            <w:pPr>
              <w:jc w:val="right"/>
              <w:rPr>
                <w:sz w:val="14"/>
                <w:szCs w:val="14"/>
              </w:rPr>
            </w:pPr>
            <w:r w:rsidRPr="00F36B82">
              <w:rPr>
                <w:color w:val="000000"/>
                <w:sz w:val="14"/>
                <w:szCs w:val="14"/>
              </w:rPr>
              <w:t>-</w:t>
            </w:r>
          </w:p>
        </w:tc>
        <w:tc>
          <w:tcPr>
            <w:tcW w:w="240" w:type="pct"/>
            <w:tcBorders>
              <w:top w:val="nil"/>
              <w:left w:val="nil"/>
              <w:bottom w:val="nil"/>
              <w:right w:val="nil"/>
            </w:tcBorders>
            <w:vAlign w:val="bottom"/>
          </w:tcPr>
          <w:p w14:paraId="76F78661" w14:textId="77777777" w:rsidR="009B1956" w:rsidRPr="00F36B82" w:rsidRDefault="009B1956" w:rsidP="00887449">
            <w:pPr>
              <w:jc w:val="right"/>
              <w:rPr>
                <w:sz w:val="14"/>
                <w:szCs w:val="14"/>
              </w:rPr>
            </w:pPr>
            <w:r w:rsidRPr="00F36B82">
              <w:rPr>
                <w:color w:val="000000"/>
                <w:sz w:val="14"/>
                <w:szCs w:val="14"/>
              </w:rPr>
              <w:t>5.221.722</w:t>
            </w:r>
          </w:p>
        </w:tc>
        <w:tc>
          <w:tcPr>
            <w:tcW w:w="268" w:type="pct"/>
            <w:tcBorders>
              <w:top w:val="nil"/>
              <w:left w:val="nil"/>
              <w:bottom w:val="nil"/>
              <w:right w:val="nil"/>
            </w:tcBorders>
            <w:vAlign w:val="bottom"/>
          </w:tcPr>
          <w:p w14:paraId="10EB2B75" w14:textId="77777777" w:rsidR="009B1956" w:rsidRPr="00F36B82" w:rsidRDefault="009B1956" w:rsidP="00887449">
            <w:pPr>
              <w:jc w:val="right"/>
              <w:rPr>
                <w:sz w:val="14"/>
                <w:szCs w:val="14"/>
              </w:rPr>
            </w:pPr>
            <w:r w:rsidRPr="00F36B82">
              <w:rPr>
                <w:color w:val="000000"/>
                <w:sz w:val="14"/>
                <w:szCs w:val="14"/>
              </w:rPr>
              <w:t>1.036.207</w:t>
            </w:r>
          </w:p>
        </w:tc>
        <w:tc>
          <w:tcPr>
            <w:tcW w:w="220" w:type="pct"/>
            <w:tcBorders>
              <w:top w:val="nil"/>
              <w:left w:val="nil"/>
              <w:bottom w:val="nil"/>
              <w:right w:val="nil"/>
            </w:tcBorders>
            <w:vAlign w:val="bottom"/>
          </w:tcPr>
          <w:p w14:paraId="28EED07E" w14:textId="77777777" w:rsidR="009B1956" w:rsidRPr="00F36B82" w:rsidRDefault="009B1956" w:rsidP="00887449">
            <w:pPr>
              <w:jc w:val="right"/>
              <w:rPr>
                <w:sz w:val="14"/>
                <w:szCs w:val="14"/>
              </w:rPr>
            </w:pPr>
            <w:r w:rsidRPr="00F36B82">
              <w:rPr>
                <w:color w:val="000000"/>
                <w:sz w:val="14"/>
                <w:szCs w:val="14"/>
              </w:rPr>
              <w:t>-</w:t>
            </w:r>
          </w:p>
        </w:tc>
        <w:tc>
          <w:tcPr>
            <w:tcW w:w="201" w:type="pct"/>
            <w:tcBorders>
              <w:top w:val="nil"/>
              <w:left w:val="nil"/>
              <w:bottom w:val="nil"/>
              <w:right w:val="nil"/>
            </w:tcBorders>
            <w:vAlign w:val="bottom"/>
          </w:tcPr>
          <w:p w14:paraId="6CC132F5" w14:textId="77777777" w:rsidR="009B1956" w:rsidRPr="00F36B82" w:rsidRDefault="009B1956" w:rsidP="00887449">
            <w:pPr>
              <w:jc w:val="right"/>
              <w:rPr>
                <w:sz w:val="14"/>
                <w:szCs w:val="14"/>
              </w:rPr>
            </w:pPr>
            <w:r w:rsidRPr="00F36B82">
              <w:rPr>
                <w:color w:val="000000"/>
                <w:sz w:val="14"/>
                <w:szCs w:val="14"/>
              </w:rPr>
              <w:t>8.613</w:t>
            </w:r>
          </w:p>
        </w:tc>
        <w:tc>
          <w:tcPr>
            <w:tcW w:w="142" w:type="pct"/>
            <w:tcBorders>
              <w:top w:val="nil"/>
              <w:left w:val="nil"/>
              <w:bottom w:val="nil"/>
              <w:right w:val="nil"/>
            </w:tcBorders>
            <w:vAlign w:val="bottom"/>
          </w:tcPr>
          <w:p w14:paraId="4ACCE241" w14:textId="77777777" w:rsidR="009B1956" w:rsidRPr="00F36B82" w:rsidRDefault="009B1956" w:rsidP="00887449">
            <w:pPr>
              <w:jc w:val="right"/>
              <w:rPr>
                <w:sz w:val="14"/>
                <w:szCs w:val="14"/>
              </w:rPr>
            </w:pPr>
            <w:r w:rsidRPr="00F36B82">
              <w:rPr>
                <w:color w:val="000000"/>
                <w:sz w:val="14"/>
                <w:szCs w:val="14"/>
              </w:rPr>
              <w:t>-</w:t>
            </w:r>
          </w:p>
        </w:tc>
        <w:tc>
          <w:tcPr>
            <w:tcW w:w="220" w:type="pct"/>
            <w:tcBorders>
              <w:top w:val="nil"/>
              <w:left w:val="nil"/>
              <w:bottom w:val="nil"/>
              <w:right w:val="nil"/>
            </w:tcBorders>
            <w:vAlign w:val="bottom"/>
          </w:tcPr>
          <w:p w14:paraId="3110BE31" w14:textId="77777777" w:rsidR="009B1956" w:rsidRPr="00F36B82" w:rsidRDefault="009B1956" w:rsidP="00887449">
            <w:pPr>
              <w:jc w:val="right"/>
              <w:rPr>
                <w:sz w:val="14"/>
                <w:szCs w:val="14"/>
              </w:rPr>
            </w:pPr>
            <w:r w:rsidRPr="00F36B82">
              <w:rPr>
                <w:color w:val="000000"/>
                <w:sz w:val="14"/>
                <w:szCs w:val="14"/>
              </w:rPr>
              <w:t>-</w:t>
            </w:r>
          </w:p>
        </w:tc>
        <w:tc>
          <w:tcPr>
            <w:tcW w:w="159" w:type="pct"/>
            <w:tcBorders>
              <w:top w:val="nil"/>
              <w:left w:val="nil"/>
              <w:bottom w:val="nil"/>
              <w:right w:val="nil"/>
            </w:tcBorders>
            <w:vAlign w:val="bottom"/>
          </w:tcPr>
          <w:p w14:paraId="6A5D2AD3"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1340D65E"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396C9556"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15A9DF22"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30E1DB7E" w14:textId="77777777" w:rsidR="009B1956" w:rsidRPr="00F36B82" w:rsidRDefault="009B1956" w:rsidP="00887449">
            <w:pPr>
              <w:jc w:val="right"/>
              <w:rPr>
                <w:sz w:val="14"/>
                <w:szCs w:val="14"/>
              </w:rPr>
            </w:pPr>
            <w:r w:rsidRPr="00F36B82">
              <w:rPr>
                <w:color w:val="000000"/>
                <w:sz w:val="14"/>
                <w:szCs w:val="14"/>
              </w:rPr>
              <w:t>1.265</w:t>
            </w:r>
          </w:p>
        </w:tc>
        <w:tc>
          <w:tcPr>
            <w:tcW w:w="244" w:type="pct"/>
            <w:tcBorders>
              <w:top w:val="nil"/>
              <w:left w:val="nil"/>
              <w:bottom w:val="nil"/>
              <w:right w:val="nil"/>
            </w:tcBorders>
            <w:vAlign w:val="bottom"/>
          </w:tcPr>
          <w:p w14:paraId="63AE36D4" w14:textId="77777777" w:rsidR="009B1956" w:rsidRPr="00F36B82" w:rsidRDefault="009B1956" w:rsidP="00887449">
            <w:pPr>
              <w:jc w:val="right"/>
              <w:rPr>
                <w:sz w:val="14"/>
                <w:szCs w:val="14"/>
              </w:rPr>
            </w:pPr>
            <w:r w:rsidRPr="00F36B82">
              <w:rPr>
                <w:color w:val="000000"/>
                <w:sz w:val="14"/>
                <w:szCs w:val="14"/>
              </w:rPr>
              <w:t>991.124</w:t>
            </w:r>
          </w:p>
        </w:tc>
        <w:tc>
          <w:tcPr>
            <w:tcW w:w="268" w:type="pct"/>
            <w:tcBorders>
              <w:top w:val="nil"/>
              <w:left w:val="nil"/>
              <w:bottom w:val="nil"/>
              <w:right w:val="nil"/>
            </w:tcBorders>
            <w:vAlign w:val="bottom"/>
          </w:tcPr>
          <w:p w14:paraId="2D7A5CDA" w14:textId="77777777" w:rsidR="009B1956" w:rsidRPr="00F36B82" w:rsidRDefault="009B1956" w:rsidP="00887449">
            <w:pPr>
              <w:jc w:val="right"/>
              <w:rPr>
                <w:sz w:val="14"/>
                <w:szCs w:val="14"/>
              </w:rPr>
            </w:pPr>
            <w:r w:rsidRPr="00F36B82">
              <w:rPr>
                <w:color w:val="000000"/>
                <w:sz w:val="14"/>
                <w:szCs w:val="14"/>
              </w:rPr>
              <w:t>7.539.656</w:t>
            </w:r>
          </w:p>
        </w:tc>
        <w:tc>
          <w:tcPr>
            <w:tcW w:w="272" w:type="pct"/>
            <w:tcBorders>
              <w:top w:val="nil"/>
              <w:left w:val="nil"/>
              <w:bottom w:val="nil"/>
              <w:right w:val="nil"/>
            </w:tcBorders>
            <w:vAlign w:val="bottom"/>
          </w:tcPr>
          <w:p w14:paraId="4A48D802" w14:textId="77777777" w:rsidR="009B1956" w:rsidRPr="00F36B82" w:rsidRDefault="009B1956" w:rsidP="00887449">
            <w:pPr>
              <w:jc w:val="right"/>
              <w:rPr>
                <w:sz w:val="14"/>
                <w:szCs w:val="14"/>
              </w:rPr>
            </w:pPr>
            <w:r w:rsidRPr="00F36B82">
              <w:rPr>
                <w:color w:val="000000"/>
                <w:sz w:val="14"/>
                <w:szCs w:val="14"/>
              </w:rPr>
              <w:t>4.550.133</w:t>
            </w:r>
          </w:p>
        </w:tc>
        <w:tc>
          <w:tcPr>
            <w:tcW w:w="273" w:type="pct"/>
            <w:tcBorders>
              <w:top w:val="nil"/>
              <w:left w:val="nil"/>
              <w:bottom w:val="nil"/>
              <w:right w:val="nil"/>
            </w:tcBorders>
            <w:vAlign w:val="bottom"/>
          </w:tcPr>
          <w:p w14:paraId="6793A322" w14:textId="77777777" w:rsidR="009B1956" w:rsidRPr="00F36B82" w:rsidRDefault="009B1956" w:rsidP="00887449">
            <w:pPr>
              <w:jc w:val="right"/>
              <w:rPr>
                <w:sz w:val="14"/>
                <w:szCs w:val="14"/>
              </w:rPr>
            </w:pPr>
            <w:r w:rsidRPr="00F36B82">
              <w:rPr>
                <w:color w:val="000000"/>
                <w:sz w:val="14"/>
                <w:szCs w:val="14"/>
              </w:rPr>
              <w:t>12.089.789</w:t>
            </w:r>
          </w:p>
        </w:tc>
      </w:tr>
      <w:tr w:rsidR="009B1956" w:rsidRPr="00F36B82" w14:paraId="56228277" w14:textId="77777777" w:rsidTr="007A5154">
        <w:trPr>
          <w:trHeight w:val="133"/>
        </w:trPr>
        <w:tc>
          <w:tcPr>
            <w:tcW w:w="98" w:type="pct"/>
          </w:tcPr>
          <w:p w14:paraId="0EC3550E" w14:textId="77777777" w:rsidR="009B1956" w:rsidRPr="00F36B82" w:rsidRDefault="009B1956" w:rsidP="007A5154">
            <w:pPr>
              <w:autoSpaceDE w:val="0"/>
              <w:autoSpaceDN w:val="0"/>
              <w:adjustRightInd w:val="0"/>
              <w:ind w:left="180" w:hanging="180"/>
              <w:rPr>
                <w:rFonts w:eastAsia="Arial Unicode MS"/>
                <w:sz w:val="14"/>
                <w:szCs w:val="14"/>
              </w:rPr>
            </w:pPr>
            <w:r w:rsidRPr="00F36B82">
              <w:rPr>
                <w:rFonts w:eastAsia="Arial Unicode MS"/>
                <w:sz w:val="14"/>
                <w:szCs w:val="14"/>
              </w:rPr>
              <w:t>4.5</w:t>
            </w:r>
          </w:p>
        </w:tc>
        <w:tc>
          <w:tcPr>
            <w:tcW w:w="528" w:type="pct"/>
            <w:vAlign w:val="bottom"/>
          </w:tcPr>
          <w:p w14:paraId="76A2B8CC" w14:textId="77777777" w:rsidR="009B1956" w:rsidRPr="00F36B82" w:rsidRDefault="009B1956" w:rsidP="00887449">
            <w:pPr>
              <w:rPr>
                <w:color w:val="000000"/>
                <w:sz w:val="14"/>
                <w:szCs w:val="14"/>
              </w:rPr>
            </w:pPr>
            <w:r w:rsidRPr="00F36B82">
              <w:rPr>
                <w:color w:val="000000"/>
                <w:sz w:val="14"/>
                <w:szCs w:val="14"/>
              </w:rPr>
              <w:t xml:space="preserve">   Gayrimenkul ve Kira. </w:t>
            </w:r>
            <w:proofErr w:type="spellStart"/>
            <w:r w:rsidRPr="00F36B82">
              <w:rPr>
                <w:color w:val="000000"/>
                <w:sz w:val="14"/>
                <w:szCs w:val="14"/>
              </w:rPr>
              <w:t>Hizm</w:t>
            </w:r>
            <w:proofErr w:type="spellEnd"/>
            <w:r w:rsidRPr="00F36B82">
              <w:rPr>
                <w:color w:val="000000"/>
                <w:sz w:val="14"/>
                <w:szCs w:val="14"/>
              </w:rPr>
              <w:t>.</w:t>
            </w:r>
          </w:p>
        </w:tc>
        <w:tc>
          <w:tcPr>
            <w:tcW w:w="240" w:type="pct"/>
            <w:tcBorders>
              <w:top w:val="nil"/>
              <w:left w:val="nil"/>
              <w:bottom w:val="nil"/>
              <w:right w:val="nil"/>
            </w:tcBorders>
            <w:vAlign w:val="bottom"/>
          </w:tcPr>
          <w:p w14:paraId="5B986B96" w14:textId="77777777" w:rsidR="009B1956" w:rsidRPr="00F36B82" w:rsidRDefault="009B1956" w:rsidP="00887449">
            <w:pPr>
              <w:jc w:val="right"/>
              <w:rPr>
                <w:sz w:val="14"/>
                <w:szCs w:val="14"/>
              </w:rPr>
            </w:pPr>
            <w:r w:rsidRPr="00F36B82">
              <w:rPr>
                <w:color w:val="000000"/>
                <w:sz w:val="14"/>
                <w:szCs w:val="14"/>
              </w:rPr>
              <w:t>-</w:t>
            </w:r>
          </w:p>
        </w:tc>
        <w:tc>
          <w:tcPr>
            <w:tcW w:w="156" w:type="pct"/>
            <w:tcBorders>
              <w:top w:val="nil"/>
              <w:left w:val="nil"/>
              <w:bottom w:val="nil"/>
              <w:right w:val="nil"/>
            </w:tcBorders>
            <w:vAlign w:val="bottom"/>
          </w:tcPr>
          <w:p w14:paraId="01642E8A" w14:textId="77777777" w:rsidR="009B1956" w:rsidRPr="00F36B82" w:rsidRDefault="009B1956" w:rsidP="00887449">
            <w:pPr>
              <w:jc w:val="right"/>
              <w:rPr>
                <w:sz w:val="14"/>
                <w:szCs w:val="14"/>
              </w:rPr>
            </w:pPr>
            <w:r w:rsidRPr="00F36B82">
              <w:rPr>
                <w:color w:val="000000"/>
                <w:sz w:val="14"/>
                <w:szCs w:val="14"/>
              </w:rPr>
              <w:t>-</w:t>
            </w:r>
          </w:p>
        </w:tc>
        <w:tc>
          <w:tcPr>
            <w:tcW w:w="173" w:type="pct"/>
            <w:tcBorders>
              <w:top w:val="nil"/>
              <w:left w:val="nil"/>
              <w:bottom w:val="nil"/>
              <w:right w:val="nil"/>
            </w:tcBorders>
            <w:vAlign w:val="bottom"/>
          </w:tcPr>
          <w:p w14:paraId="7B5A1DD3" w14:textId="77777777" w:rsidR="009B1956" w:rsidRPr="00F36B82" w:rsidRDefault="009B1956" w:rsidP="00887449">
            <w:pPr>
              <w:jc w:val="right"/>
              <w:rPr>
                <w:sz w:val="14"/>
                <w:szCs w:val="14"/>
              </w:rPr>
            </w:pPr>
            <w:r w:rsidRPr="00F36B82">
              <w:rPr>
                <w:color w:val="000000"/>
                <w:sz w:val="14"/>
                <w:szCs w:val="14"/>
              </w:rPr>
              <w:t>-</w:t>
            </w:r>
          </w:p>
        </w:tc>
        <w:tc>
          <w:tcPr>
            <w:tcW w:w="100" w:type="pct"/>
            <w:tcBorders>
              <w:top w:val="nil"/>
              <w:left w:val="nil"/>
              <w:bottom w:val="nil"/>
              <w:right w:val="nil"/>
            </w:tcBorders>
            <w:vAlign w:val="bottom"/>
          </w:tcPr>
          <w:p w14:paraId="4B37229C" w14:textId="77777777" w:rsidR="009B1956" w:rsidRPr="00F36B82" w:rsidRDefault="009B1956" w:rsidP="00887449">
            <w:pPr>
              <w:jc w:val="right"/>
              <w:rPr>
                <w:sz w:val="14"/>
                <w:szCs w:val="14"/>
              </w:rPr>
            </w:pPr>
            <w:r w:rsidRPr="00F36B82">
              <w:rPr>
                <w:color w:val="000000"/>
                <w:sz w:val="14"/>
                <w:szCs w:val="14"/>
              </w:rPr>
              <w:t>-</w:t>
            </w:r>
          </w:p>
        </w:tc>
        <w:tc>
          <w:tcPr>
            <w:tcW w:w="224" w:type="pct"/>
            <w:tcBorders>
              <w:top w:val="nil"/>
              <w:left w:val="nil"/>
              <w:bottom w:val="nil"/>
              <w:right w:val="nil"/>
            </w:tcBorders>
            <w:vAlign w:val="bottom"/>
          </w:tcPr>
          <w:p w14:paraId="1D37A2E6" w14:textId="77777777" w:rsidR="009B1956" w:rsidRPr="00F36B82" w:rsidRDefault="009B1956" w:rsidP="00887449">
            <w:pPr>
              <w:jc w:val="right"/>
              <w:rPr>
                <w:sz w:val="14"/>
                <w:szCs w:val="14"/>
              </w:rPr>
            </w:pPr>
            <w:r w:rsidRPr="00F36B82">
              <w:rPr>
                <w:color w:val="000000"/>
                <w:sz w:val="14"/>
                <w:szCs w:val="14"/>
              </w:rPr>
              <w:t>-</w:t>
            </w:r>
          </w:p>
        </w:tc>
        <w:tc>
          <w:tcPr>
            <w:tcW w:w="240" w:type="pct"/>
            <w:tcBorders>
              <w:top w:val="nil"/>
              <w:left w:val="nil"/>
              <w:bottom w:val="nil"/>
              <w:right w:val="nil"/>
            </w:tcBorders>
            <w:vAlign w:val="bottom"/>
          </w:tcPr>
          <w:p w14:paraId="7A711E6E" w14:textId="77777777" w:rsidR="009B1956" w:rsidRPr="00F36B82" w:rsidRDefault="009B1956" w:rsidP="00887449">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60A949BC" w14:textId="77777777" w:rsidR="009B1956" w:rsidRPr="00F36B82" w:rsidRDefault="009B1956" w:rsidP="00887449">
            <w:pPr>
              <w:jc w:val="right"/>
              <w:rPr>
                <w:sz w:val="14"/>
                <w:szCs w:val="14"/>
              </w:rPr>
            </w:pPr>
            <w:r w:rsidRPr="00F36B82">
              <w:rPr>
                <w:color w:val="000000"/>
                <w:sz w:val="14"/>
                <w:szCs w:val="14"/>
              </w:rPr>
              <w:t>910.555</w:t>
            </w:r>
          </w:p>
        </w:tc>
        <w:tc>
          <w:tcPr>
            <w:tcW w:w="220" w:type="pct"/>
            <w:tcBorders>
              <w:top w:val="nil"/>
              <w:left w:val="nil"/>
              <w:bottom w:val="nil"/>
              <w:right w:val="nil"/>
            </w:tcBorders>
            <w:vAlign w:val="bottom"/>
          </w:tcPr>
          <w:p w14:paraId="597EA12A" w14:textId="77777777" w:rsidR="009B1956" w:rsidRPr="00F36B82" w:rsidRDefault="009B1956" w:rsidP="00887449">
            <w:pPr>
              <w:jc w:val="right"/>
              <w:rPr>
                <w:sz w:val="14"/>
                <w:szCs w:val="14"/>
              </w:rPr>
            </w:pPr>
            <w:r w:rsidRPr="00F36B82">
              <w:rPr>
                <w:color w:val="000000"/>
                <w:sz w:val="14"/>
                <w:szCs w:val="14"/>
              </w:rPr>
              <w:t>-</w:t>
            </w:r>
          </w:p>
        </w:tc>
        <w:tc>
          <w:tcPr>
            <w:tcW w:w="201" w:type="pct"/>
            <w:tcBorders>
              <w:top w:val="nil"/>
              <w:left w:val="nil"/>
              <w:bottom w:val="nil"/>
              <w:right w:val="nil"/>
            </w:tcBorders>
            <w:vAlign w:val="bottom"/>
          </w:tcPr>
          <w:p w14:paraId="69F9A95D" w14:textId="77777777" w:rsidR="009B1956" w:rsidRPr="00F36B82" w:rsidRDefault="009B1956" w:rsidP="00887449">
            <w:pPr>
              <w:jc w:val="right"/>
              <w:rPr>
                <w:sz w:val="14"/>
                <w:szCs w:val="14"/>
              </w:rPr>
            </w:pPr>
            <w:r w:rsidRPr="00F36B82">
              <w:rPr>
                <w:color w:val="000000"/>
                <w:sz w:val="14"/>
                <w:szCs w:val="14"/>
              </w:rPr>
              <w:t>5.747</w:t>
            </w:r>
          </w:p>
        </w:tc>
        <w:tc>
          <w:tcPr>
            <w:tcW w:w="142" w:type="pct"/>
            <w:tcBorders>
              <w:top w:val="nil"/>
              <w:left w:val="nil"/>
              <w:bottom w:val="nil"/>
              <w:right w:val="nil"/>
            </w:tcBorders>
            <w:vAlign w:val="bottom"/>
          </w:tcPr>
          <w:p w14:paraId="29E33E36" w14:textId="77777777" w:rsidR="009B1956" w:rsidRPr="00F36B82" w:rsidRDefault="009B1956" w:rsidP="00887449">
            <w:pPr>
              <w:jc w:val="right"/>
              <w:rPr>
                <w:sz w:val="14"/>
                <w:szCs w:val="14"/>
              </w:rPr>
            </w:pPr>
            <w:r w:rsidRPr="00F36B82">
              <w:rPr>
                <w:color w:val="000000"/>
                <w:sz w:val="14"/>
                <w:szCs w:val="14"/>
              </w:rPr>
              <w:t>-</w:t>
            </w:r>
          </w:p>
        </w:tc>
        <w:tc>
          <w:tcPr>
            <w:tcW w:w="220" w:type="pct"/>
            <w:tcBorders>
              <w:top w:val="nil"/>
              <w:left w:val="nil"/>
              <w:bottom w:val="nil"/>
              <w:right w:val="nil"/>
            </w:tcBorders>
            <w:vAlign w:val="bottom"/>
          </w:tcPr>
          <w:p w14:paraId="0DD666E7" w14:textId="77777777" w:rsidR="009B1956" w:rsidRPr="00F36B82" w:rsidRDefault="009B1956" w:rsidP="00887449">
            <w:pPr>
              <w:jc w:val="right"/>
              <w:rPr>
                <w:sz w:val="14"/>
                <w:szCs w:val="14"/>
              </w:rPr>
            </w:pPr>
            <w:r w:rsidRPr="00F36B82">
              <w:rPr>
                <w:color w:val="000000"/>
                <w:sz w:val="14"/>
                <w:szCs w:val="14"/>
              </w:rPr>
              <w:t>-</w:t>
            </w:r>
          </w:p>
        </w:tc>
        <w:tc>
          <w:tcPr>
            <w:tcW w:w="159" w:type="pct"/>
            <w:tcBorders>
              <w:top w:val="nil"/>
              <w:left w:val="nil"/>
              <w:bottom w:val="nil"/>
              <w:right w:val="nil"/>
            </w:tcBorders>
            <w:vAlign w:val="bottom"/>
          </w:tcPr>
          <w:p w14:paraId="753651C1"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3FEB4EE7"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413EBC13"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1EC1FBAC"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12E0B600"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51B2E089" w14:textId="77777777" w:rsidR="009B1956" w:rsidRPr="00F36B82" w:rsidRDefault="009B1956" w:rsidP="00887449">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565CCCFF" w14:textId="77777777" w:rsidR="009B1956" w:rsidRPr="00F36B82" w:rsidRDefault="009B1956" w:rsidP="00887449">
            <w:pPr>
              <w:jc w:val="right"/>
              <w:rPr>
                <w:sz w:val="14"/>
                <w:szCs w:val="14"/>
              </w:rPr>
            </w:pPr>
            <w:r w:rsidRPr="00F36B82">
              <w:rPr>
                <w:color w:val="000000"/>
                <w:sz w:val="14"/>
                <w:szCs w:val="14"/>
              </w:rPr>
              <w:t>699.783</w:t>
            </w:r>
          </w:p>
        </w:tc>
        <w:tc>
          <w:tcPr>
            <w:tcW w:w="272" w:type="pct"/>
            <w:tcBorders>
              <w:top w:val="nil"/>
              <w:left w:val="nil"/>
              <w:bottom w:val="nil"/>
              <w:right w:val="nil"/>
            </w:tcBorders>
            <w:vAlign w:val="bottom"/>
          </w:tcPr>
          <w:p w14:paraId="41313BB0" w14:textId="77777777" w:rsidR="009B1956" w:rsidRPr="00F36B82" w:rsidRDefault="009B1956" w:rsidP="00887449">
            <w:pPr>
              <w:jc w:val="right"/>
              <w:rPr>
                <w:sz w:val="14"/>
                <w:szCs w:val="14"/>
              </w:rPr>
            </w:pPr>
            <w:r w:rsidRPr="00F36B82">
              <w:rPr>
                <w:color w:val="000000"/>
                <w:sz w:val="14"/>
                <w:szCs w:val="14"/>
              </w:rPr>
              <w:t>216.519</w:t>
            </w:r>
          </w:p>
        </w:tc>
        <w:tc>
          <w:tcPr>
            <w:tcW w:w="273" w:type="pct"/>
            <w:tcBorders>
              <w:top w:val="nil"/>
              <w:left w:val="nil"/>
              <w:bottom w:val="nil"/>
              <w:right w:val="nil"/>
            </w:tcBorders>
            <w:vAlign w:val="bottom"/>
          </w:tcPr>
          <w:p w14:paraId="18CB9BBE" w14:textId="77777777" w:rsidR="009B1956" w:rsidRPr="00F36B82" w:rsidRDefault="009B1956" w:rsidP="00887449">
            <w:pPr>
              <w:jc w:val="right"/>
              <w:rPr>
                <w:sz w:val="14"/>
                <w:szCs w:val="14"/>
              </w:rPr>
            </w:pPr>
            <w:r w:rsidRPr="00F36B82">
              <w:rPr>
                <w:color w:val="000000"/>
                <w:sz w:val="14"/>
                <w:szCs w:val="14"/>
              </w:rPr>
              <w:t>916.302</w:t>
            </w:r>
          </w:p>
        </w:tc>
      </w:tr>
      <w:tr w:rsidR="009B1956" w:rsidRPr="00F36B82" w14:paraId="35778FD1" w14:textId="77777777" w:rsidTr="007A5154">
        <w:trPr>
          <w:trHeight w:val="133"/>
        </w:trPr>
        <w:tc>
          <w:tcPr>
            <w:tcW w:w="98" w:type="pct"/>
          </w:tcPr>
          <w:p w14:paraId="04F40326" w14:textId="77777777" w:rsidR="009B1956" w:rsidRPr="00F36B82" w:rsidRDefault="009B1956" w:rsidP="007A5154">
            <w:pPr>
              <w:autoSpaceDE w:val="0"/>
              <w:autoSpaceDN w:val="0"/>
              <w:adjustRightInd w:val="0"/>
              <w:ind w:left="180" w:hanging="180"/>
              <w:rPr>
                <w:rFonts w:eastAsia="Arial Unicode MS"/>
                <w:sz w:val="14"/>
                <w:szCs w:val="14"/>
              </w:rPr>
            </w:pPr>
            <w:r w:rsidRPr="00F36B82">
              <w:rPr>
                <w:rFonts w:eastAsia="Arial Unicode MS"/>
                <w:sz w:val="14"/>
                <w:szCs w:val="14"/>
              </w:rPr>
              <w:t>4.6</w:t>
            </w:r>
          </w:p>
        </w:tc>
        <w:tc>
          <w:tcPr>
            <w:tcW w:w="528" w:type="pct"/>
            <w:vAlign w:val="bottom"/>
          </w:tcPr>
          <w:p w14:paraId="20297C35" w14:textId="77777777" w:rsidR="009B1956" w:rsidRPr="00F36B82" w:rsidRDefault="009B1956" w:rsidP="00887449">
            <w:pPr>
              <w:rPr>
                <w:color w:val="000000"/>
                <w:sz w:val="14"/>
                <w:szCs w:val="14"/>
              </w:rPr>
            </w:pPr>
            <w:r w:rsidRPr="00F36B82">
              <w:rPr>
                <w:color w:val="000000"/>
                <w:sz w:val="14"/>
                <w:szCs w:val="14"/>
              </w:rPr>
              <w:t xml:space="preserve">   Serbest Meslek Hizmetleri</w:t>
            </w:r>
          </w:p>
        </w:tc>
        <w:tc>
          <w:tcPr>
            <w:tcW w:w="240" w:type="pct"/>
            <w:tcBorders>
              <w:top w:val="nil"/>
              <w:left w:val="nil"/>
              <w:bottom w:val="nil"/>
              <w:right w:val="nil"/>
            </w:tcBorders>
            <w:vAlign w:val="bottom"/>
          </w:tcPr>
          <w:p w14:paraId="728EC7F4" w14:textId="77777777" w:rsidR="009B1956" w:rsidRPr="00F36B82" w:rsidRDefault="009B1956" w:rsidP="00887449">
            <w:pPr>
              <w:jc w:val="right"/>
              <w:rPr>
                <w:sz w:val="14"/>
                <w:szCs w:val="14"/>
              </w:rPr>
            </w:pPr>
            <w:r w:rsidRPr="00F36B82">
              <w:rPr>
                <w:color w:val="000000"/>
                <w:sz w:val="14"/>
                <w:szCs w:val="14"/>
              </w:rPr>
              <w:t>-</w:t>
            </w:r>
          </w:p>
        </w:tc>
        <w:tc>
          <w:tcPr>
            <w:tcW w:w="156" w:type="pct"/>
            <w:tcBorders>
              <w:top w:val="nil"/>
              <w:left w:val="nil"/>
              <w:bottom w:val="nil"/>
              <w:right w:val="nil"/>
            </w:tcBorders>
            <w:vAlign w:val="bottom"/>
          </w:tcPr>
          <w:p w14:paraId="6A99DF83" w14:textId="77777777" w:rsidR="009B1956" w:rsidRPr="00F36B82" w:rsidRDefault="009B1956" w:rsidP="00887449">
            <w:pPr>
              <w:jc w:val="right"/>
              <w:rPr>
                <w:sz w:val="14"/>
                <w:szCs w:val="14"/>
              </w:rPr>
            </w:pPr>
            <w:r w:rsidRPr="00F36B82">
              <w:rPr>
                <w:color w:val="000000"/>
                <w:sz w:val="14"/>
                <w:szCs w:val="14"/>
              </w:rPr>
              <w:t>-</w:t>
            </w:r>
          </w:p>
        </w:tc>
        <w:tc>
          <w:tcPr>
            <w:tcW w:w="173" w:type="pct"/>
            <w:tcBorders>
              <w:top w:val="nil"/>
              <w:left w:val="nil"/>
              <w:bottom w:val="nil"/>
              <w:right w:val="nil"/>
            </w:tcBorders>
            <w:vAlign w:val="bottom"/>
          </w:tcPr>
          <w:p w14:paraId="2C2098CE" w14:textId="77777777" w:rsidR="009B1956" w:rsidRPr="00F36B82" w:rsidRDefault="009B1956" w:rsidP="00887449">
            <w:pPr>
              <w:jc w:val="right"/>
              <w:rPr>
                <w:sz w:val="14"/>
                <w:szCs w:val="14"/>
              </w:rPr>
            </w:pPr>
            <w:r w:rsidRPr="00F36B82">
              <w:rPr>
                <w:color w:val="000000"/>
                <w:sz w:val="14"/>
                <w:szCs w:val="14"/>
              </w:rPr>
              <w:t>-</w:t>
            </w:r>
          </w:p>
        </w:tc>
        <w:tc>
          <w:tcPr>
            <w:tcW w:w="100" w:type="pct"/>
            <w:tcBorders>
              <w:top w:val="nil"/>
              <w:left w:val="nil"/>
              <w:bottom w:val="nil"/>
              <w:right w:val="nil"/>
            </w:tcBorders>
            <w:vAlign w:val="bottom"/>
          </w:tcPr>
          <w:p w14:paraId="7992E61B" w14:textId="77777777" w:rsidR="009B1956" w:rsidRPr="00F36B82" w:rsidRDefault="009B1956" w:rsidP="00887449">
            <w:pPr>
              <w:jc w:val="right"/>
              <w:rPr>
                <w:sz w:val="14"/>
                <w:szCs w:val="14"/>
              </w:rPr>
            </w:pPr>
            <w:r w:rsidRPr="00F36B82">
              <w:rPr>
                <w:color w:val="000000"/>
                <w:sz w:val="14"/>
                <w:szCs w:val="14"/>
              </w:rPr>
              <w:t>-</w:t>
            </w:r>
          </w:p>
        </w:tc>
        <w:tc>
          <w:tcPr>
            <w:tcW w:w="224" w:type="pct"/>
            <w:tcBorders>
              <w:top w:val="nil"/>
              <w:left w:val="nil"/>
              <w:bottom w:val="nil"/>
              <w:right w:val="nil"/>
            </w:tcBorders>
            <w:vAlign w:val="bottom"/>
          </w:tcPr>
          <w:p w14:paraId="1392A0C2" w14:textId="77777777" w:rsidR="009B1956" w:rsidRPr="00F36B82" w:rsidRDefault="009B1956" w:rsidP="00887449">
            <w:pPr>
              <w:jc w:val="right"/>
              <w:rPr>
                <w:sz w:val="14"/>
                <w:szCs w:val="14"/>
              </w:rPr>
            </w:pPr>
            <w:r w:rsidRPr="00F36B82">
              <w:rPr>
                <w:color w:val="000000"/>
                <w:sz w:val="14"/>
                <w:szCs w:val="14"/>
              </w:rPr>
              <w:t>-</w:t>
            </w:r>
          </w:p>
        </w:tc>
        <w:tc>
          <w:tcPr>
            <w:tcW w:w="240" w:type="pct"/>
            <w:tcBorders>
              <w:top w:val="nil"/>
              <w:left w:val="nil"/>
              <w:bottom w:val="nil"/>
              <w:right w:val="nil"/>
            </w:tcBorders>
            <w:vAlign w:val="bottom"/>
          </w:tcPr>
          <w:p w14:paraId="7B2DEB32" w14:textId="77777777" w:rsidR="009B1956" w:rsidRPr="00F36B82" w:rsidRDefault="009B1956" w:rsidP="00887449">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2BA4CA43" w14:textId="77777777" w:rsidR="009B1956" w:rsidRPr="00F36B82" w:rsidRDefault="009B1956" w:rsidP="00887449">
            <w:pPr>
              <w:jc w:val="right"/>
              <w:rPr>
                <w:sz w:val="14"/>
                <w:szCs w:val="14"/>
              </w:rPr>
            </w:pPr>
            <w:r w:rsidRPr="00F36B82">
              <w:rPr>
                <w:color w:val="000000"/>
                <w:sz w:val="14"/>
                <w:szCs w:val="14"/>
              </w:rPr>
              <w:t>-</w:t>
            </w:r>
          </w:p>
        </w:tc>
        <w:tc>
          <w:tcPr>
            <w:tcW w:w="220" w:type="pct"/>
            <w:tcBorders>
              <w:top w:val="nil"/>
              <w:left w:val="nil"/>
              <w:bottom w:val="nil"/>
              <w:right w:val="nil"/>
            </w:tcBorders>
            <w:vAlign w:val="bottom"/>
          </w:tcPr>
          <w:p w14:paraId="6BF031CC" w14:textId="77777777" w:rsidR="009B1956" w:rsidRPr="00F36B82" w:rsidRDefault="009B1956" w:rsidP="00887449">
            <w:pPr>
              <w:jc w:val="right"/>
              <w:rPr>
                <w:sz w:val="14"/>
                <w:szCs w:val="14"/>
              </w:rPr>
            </w:pPr>
            <w:r w:rsidRPr="00F36B82">
              <w:rPr>
                <w:color w:val="000000"/>
                <w:sz w:val="14"/>
                <w:szCs w:val="14"/>
              </w:rPr>
              <w:t>-</w:t>
            </w:r>
          </w:p>
        </w:tc>
        <w:tc>
          <w:tcPr>
            <w:tcW w:w="201" w:type="pct"/>
            <w:tcBorders>
              <w:top w:val="nil"/>
              <w:left w:val="nil"/>
              <w:bottom w:val="nil"/>
              <w:right w:val="nil"/>
            </w:tcBorders>
            <w:vAlign w:val="bottom"/>
          </w:tcPr>
          <w:p w14:paraId="78B3478E" w14:textId="77777777" w:rsidR="009B1956" w:rsidRPr="00F36B82" w:rsidRDefault="009B1956" w:rsidP="00887449">
            <w:pPr>
              <w:jc w:val="right"/>
              <w:rPr>
                <w:sz w:val="14"/>
                <w:szCs w:val="14"/>
              </w:rPr>
            </w:pPr>
            <w:r w:rsidRPr="00F36B82">
              <w:rPr>
                <w:color w:val="000000"/>
                <w:sz w:val="14"/>
                <w:szCs w:val="14"/>
              </w:rPr>
              <w:t>-</w:t>
            </w:r>
          </w:p>
        </w:tc>
        <w:tc>
          <w:tcPr>
            <w:tcW w:w="142" w:type="pct"/>
            <w:tcBorders>
              <w:top w:val="nil"/>
              <w:left w:val="nil"/>
              <w:bottom w:val="nil"/>
              <w:right w:val="nil"/>
            </w:tcBorders>
            <w:vAlign w:val="bottom"/>
          </w:tcPr>
          <w:p w14:paraId="10CD1AE2" w14:textId="77777777" w:rsidR="009B1956" w:rsidRPr="00F36B82" w:rsidRDefault="009B1956" w:rsidP="00887449">
            <w:pPr>
              <w:jc w:val="right"/>
              <w:rPr>
                <w:sz w:val="14"/>
                <w:szCs w:val="14"/>
              </w:rPr>
            </w:pPr>
            <w:r w:rsidRPr="00F36B82">
              <w:rPr>
                <w:color w:val="000000"/>
                <w:sz w:val="14"/>
                <w:szCs w:val="14"/>
              </w:rPr>
              <w:t>-</w:t>
            </w:r>
          </w:p>
        </w:tc>
        <w:tc>
          <w:tcPr>
            <w:tcW w:w="220" w:type="pct"/>
            <w:tcBorders>
              <w:top w:val="nil"/>
              <w:left w:val="nil"/>
              <w:bottom w:val="nil"/>
              <w:right w:val="nil"/>
            </w:tcBorders>
            <w:vAlign w:val="bottom"/>
          </w:tcPr>
          <w:p w14:paraId="278D132A" w14:textId="77777777" w:rsidR="009B1956" w:rsidRPr="00F36B82" w:rsidRDefault="009B1956" w:rsidP="00887449">
            <w:pPr>
              <w:jc w:val="right"/>
              <w:rPr>
                <w:sz w:val="14"/>
                <w:szCs w:val="14"/>
              </w:rPr>
            </w:pPr>
            <w:r w:rsidRPr="00F36B82">
              <w:rPr>
                <w:color w:val="000000"/>
                <w:sz w:val="14"/>
                <w:szCs w:val="14"/>
              </w:rPr>
              <w:t>-</w:t>
            </w:r>
          </w:p>
        </w:tc>
        <w:tc>
          <w:tcPr>
            <w:tcW w:w="159" w:type="pct"/>
            <w:tcBorders>
              <w:top w:val="nil"/>
              <w:left w:val="nil"/>
              <w:bottom w:val="nil"/>
              <w:right w:val="nil"/>
            </w:tcBorders>
            <w:vAlign w:val="bottom"/>
          </w:tcPr>
          <w:p w14:paraId="6A24FB89"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27D2A956"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57B717AA"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2613C347"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5F37518F"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6840C1D3" w14:textId="77777777" w:rsidR="009B1956" w:rsidRPr="00F36B82" w:rsidRDefault="009B1956" w:rsidP="00887449">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1758A48E" w14:textId="77777777" w:rsidR="009B1956" w:rsidRPr="00F36B82" w:rsidRDefault="009B1956" w:rsidP="00887449">
            <w:pPr>
              <w:jc w:val="right"/>
              <w:rPr>
                <w:sz w:val="14"/>
                <w:szCs w:val="14"/>
              </w:rPr>
            </w:pPr>
            <w:r w:rsidRPr="00F36B82">
              <w:rPr>
                <w:color w:val="000000"/>
                <w:sz w:val="14"/>
                <w:szCs w:val="14"/>
              </w:rPr>
              <w:t>-</w:t>
            </w:r>
          </w:p>
        </w:tc>
        <w:tc>
          <w:tcPr>
            <w:tcW w:w="272" w:type="pct"/>
            <w:tcBorders>
              <w:top w:val="nil"/>
              <w:left w:val="nil"/>
              <w:bottom w:val="nil"/>
              <w:right w:val="nil"/>
            </w:tcBorders>
            <w:vAlign w:val="bottom"/>
          </w:tcPr>
          <w:p w14:paraId="3EAD9A74" w14:textId="77777777" w:rsidR="009B1956" w:rsidRPr="00F36B82" w:rsidRDefault="009B1956" w:rsidP="00887449">
            <w:pPr>
              <w:jc w:val="right"/>
              <w:rPr>
                <w:sz w:val="14"/>
                <w:szCs w:val="14"/>
              </w:rPr>
            </w:pPr>
            <w:r w:rsidRPr="00F36B82">
              <w:rPr>
                <w:color w:val="000000"/>
                <w:sz w:val="14"/>
                <w:szCs w:val="14"/>
              </w:rPr>
              <w:t>-</w:t>
            </w:r>
          </w:p>
        </w:tc>
        <w:tc>
          <w:tcPr>
            <w:tcW w:w="273" w:type="pct"/>
            <w:tcBorders>
              <w:top w:val="nil"/>
              <w:left w:val="nil"/>
              <w:bottom w:val="nil"/>
              <w:right w:val="nil"/>
            </w:tcBorders>
            <w:vAlign w:val="bottom"/>
          </w:tcPr>
          <w:p w14:paraId="250B16D4" w14:textId="77777777" w:rsidR="009B1956" w:rsidRPr="00F36B82" w:rsidRDefault="009B1956" w:rsidP="00887449">
            <w:pPr>
              <w:jc w:val="right"/>
              <w:rPr>
                <w:sz w:val="14"/>
                <w:szCs w:val="14"/>
              </w:rPr>
            </w:pPr>
            <w:r w:rsidRPr="00F36B82">
              <w:rPr>
                <w:color w:val="000000"/>
                <w:sz w:val="14"/>
                <w:szCs w:val="14"/>
              </w:rPr>
              <w:t>-</w:t>
            </w:r>
          </w:p>
        </w:tc>
      </w:tr>
      <w:tr w:rsidR="009B1956" w:rsidRPr="00F36B82" w14:paraId="446CF391" w14:textId="77777777" w:rsidTr="007A5154">
        <w:trPr>
          <w:trHeight w:val="133"/>
        </w:trPr>
        <w:tc>
          <w:tcPr>
            <w:tcW w:w="98" w:type="pct"/>
          </w:tcPr>
          <w:p w14:paraId="46D525BC" w14:textId="77777777" w:rsidR="009B1956" w:rsidRPr="00F36B82" w:rsidRDefault="009B1956" w:rsidP="007A5154">
            <w:pPr>
              <w:autoSpaceDE w:val="0"/>
              <w:autoSpaceDN w:val="0"/>
              <w:adjustRightInd w:val="0"/>
              <w:ind w:left="180" w:hanging="180"/>
              <w:rPr>
                <w:rFonts w:eastAsia="Arial Unicode MS"/>
                <w:sz w:val="14"/>
                <w:szCs w:val="14"/>
              </w:rPr>
            </w:pPr>
            <w:r w:rsidRPr="00F36B82">
              <w:rPr>
                <w:rFonts w:eastAsia="Arial Unicode MS"/>
                <w:sz w:val="14"/>
                <w:szCs w:val="14"/>
              </w:rPr>
              <w:t>4.7</w:t>
            </w:r>
          </w:p>
        </w:tc>
        <w:tc>
          <w:tcPr>
            <w:tcW w:w="528" w:type="pct"/>
            <w:vAlign w:val="bottom"/>
          </w:tcPr>
          <w:p w14:paraId="7A156AD8" w14:textId="77777777" w:rsidR="009B1956" w:rsidRPr="00F36B82" w:rsidRDefault="009B1956" w:rsidP="00887449">
            <w:pPr>
              <w:rPr>
                <w:color w:val="000000"/>
                <w:sz w:val="14"/>
                <w:szCs w:val="14"/>
              </w:rPr>
            </w:pPr>
            <w:r w:rsidRPr="00F36B82">
              <w:rPr>
                <w:color w:val="000000"/>
                <w:sz w:val="14"/>
                <w:szCs w:val="14"/>
              </w:rPr>
              <w:t xml:space="preserve">   Eğitim Hizmetleri</w:t>
            </w:r>
          </w:p>
        </w:tc>
        <w:tc>
          <w:tcPr>
            <w:tcW w:w="240" w:type="pct"/>
            <w:tcBorders>
              <w:top w:val="nil"/>
              <w:left w:val="nil"/>
              <w:bottom w:val="nil"/>
              <w:right w:val="nil"/>
            </w:tcBorders>
            <w:vAlign w:val="bottom"/>
          </w:tcPr>
          <w:p w14:paraId="22B0E099" w14:textId="77777777" w:rsidR="009B1956" w:rsidRPr="00F36B82" w:rsidRDefault="009B1956" w:rsidP="00887449">
            <w:pPr>
              <w:jc w:val="right"/>
              <w:rPr>
                <w:sz w:val="14"/>
                <w:szCs w:val="14"/>
              </w:rPr>
            </w:pPr>
            <w:r w:rsidRPr="00F36B82">
              <w:rPr>
                <w:color w:val="000000"/>
                <w:sz w:val="14"/>
                <w:szCs w:val="14"/>
              </w:rPr>
              <w:t>-</w:t>
            </w:r>
          </w:p>
        </w:tc>
        <w:tc>
          <w:tcPr>
            <w:tcW w:w="156" w:type="pct"/>
            <w:tcBorders>
              <w:top w:val="nil"/>
              <w:left w:val="nil"/>
              <w:bottom w:val="nil"/>
              <w:right w:val="nil"/>
            </w:tcBorders>
            <w:vAlign w:val="bottom"/>
          </w:tcPr>
          <w:p w14:paraId="76A5186F" w14:textId="77777777" w:rsidR="009B1956" w:rsidRPr="00F36B82" w:rsidRDefault="009B1956" w:rsidP="00887449">
            <w:pPr>
              <w:jc w:val="right"/>
              <w:rPr>
                <w:sz w:val="14"/>
                <w:szCs w:val="14"/>
              </w:rPr>
            </w:pPr>
            <w:r w:rsidRPr="00F36B82">
              <w:rPr>
                <w:color w:val="000000"/>
                <w:sz w:val="14"/>
                <w:szCs w:val="14"/>
              </w:rPr>
              <w:t>-</w:t>
            </w:r>
          </w:p>
        </w:tc>
        <w:tc>
          <w:tcPr>
            <w:tcW w:w="173" w:type="pct"/>
            <w:tcBorders>
              <w:top w:val="nil"/>
              <w:left w:val="nil"/>
              <w:bottom w:val="nil"/>
              <w:right w:val="nil"/>
            </w:tcBorders>
            <w:vAlign w:val="bottom"/>
          </w:tcPr>
          <w:p w14:paraId="36A745C6" w14:textId="77777777" w:rsidR="009B1956" w:rsidRPr="00F36B82" w:rsidRDefault="009B1956" w:rsidP="00887449">
            <w:pPr>
              <w:jc w:val="right"/>
              <w:rPr>
                <w:sz w:val="14"/>
                <w:szCs w:val="14"/>
              </w:rPr>
            </w:pPr>
            <w:r w:rsidRPr="00F36B82">
              <w:rPr>
                <w:color w:val="000000"/>
                <w:sz w:val="14"/>
                <w:szCs w:val="14"/>
              </w:rPr>
              <w:t>-</w:t>
            </w:r>
          </w:p>
        </w:tc>
        <w:tc>
          <w:tcPr>
            <w:tcW w:w="100" w:type="pct"/>
            <w:tcBorders>
              <w:top w:val="nil"/>
              <w:left w:val="nil"/>
              <w:bottom w:val="nil"/>
              <w:right w:val="nil"/>
            </w:tcBorders>
            <w:vAlign w:val="bottom"/>
          </w:tcPr>
          <w:p w14:paraId="4A2C82B0" w14:textId="77777777" w:rsidR="009B1956" w:rsidRPr="00F36B82" w:rsidRDefault="009B1956" w:rsidP="00887449">
            <w:pPr>
              <w:jc w:val="right"/>
              <w:rPr>
                <w:sz w:val="14"/>
                <w:szCs w:val="14"/>
              </w:rPr>
            </w:pPr>
            <w:r w:rsidRPr="00F36B82">
              <w:rPr>
                <w:color w:val="000000"/>
                <w:sz w:val="14"/>
                <w:szCs w:val="14"/>
              </w:rPr>
              <w:t>-</w:t>
            </w:r>
          </w:p>
        </w:tc>
        <w:tc>
          <w:tcPr>
            <w:tcW w:w="224" w:type="pct"/>
            <w:tcBorders>
              <w:top w:val="nil"/>
              <w:left w:val="nil"/>
              <w:bottom w:val="nil"/>
              <w:right w:val="nil"/>
            </w:tcBorders>
            <w:vAlign w:val="bottom"/>
          </w:tcPr>
          <w:p w14:paraId="289E77E6" w14:textId="77777777" w:rsidR="009B1956" w:rsidRPr="00F36B82" w:rsidRDefault="009B1956" w:rsidP="00887449">
            <w:pPr>
              <w:jc w:val="right"/>
              <w:rPr>
                <w:sz w:val="14"/>
                <w:szCs w:val="14"/>
              </w:rPr>
            </w:pPr>
            <w:r w:rsidRPr="00F36B82">
              <w:rPr>
                <w:color w:val="000000"/>
                <w:sz w:val="14"/>
                <w:szCs w:val="14"/>
              </w:rPr>
              <w:t>-</w:t>
            </w:r>
          </w:p>
        </w:tc>
        <w:tc>
          <w:tcPr>
            <w:tcW w:w="240" w:type="pct"/>
            <w:tcBorders>
              <w:top w:val="nil"/>
              <w:left w:val="nil"/>
              <w:bottom w:val="nil"/>
              <w:right w:val="nil"/>
            </w:tcBorders>
            <w:vAlign w:val="bottom"/>
          </w:tcPr>
          <w:p w14:paraId="626A83DA" w14:textId="77777777" w:rsidR="009B1956" w:rsidRPr="00F36B82" w:rsidRDefault="009B1956" w:rsidP="00887449">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2B511F1C" w14:textId="77777777" w:rsidR="009B1956" w:rsidRPr="00F36B82" w:rsidRDefault="009B1956" w:rsidP="00887449">
            <w:pPr>
              <w:jc w:val="right"/>
              <w:rPr>
                <w:sz w:val="14"/>
                <w:szCs w:val="14"/>
              </w:rPr>
            </w:pPr>
            <w:r w:rsidRPr="00F36B82">
              <w:rPr>
                <w:color w:val="000000"/>
                <w:sz w:val="14"/>
                <w:szCs w:val="14"/>
              </w:rPr>
              <w:t>-</w:t>
            </w:r>
          </w:p>
        </w:tc>
        <w:tc>
          <w:tcPr>
            <w:tcW w:w="220" w:type="pct"/>
            <w:tcBorders>
              <w:top w:val="nil"/>
              <w:left w:val="nil"/>
              <w:bottom w:val="nil"/>
              <w:right w:val="nil"/>
            </w:tcBorders>
            <w:vAlign w:val="bottom"/>
          </w:tcPr>
          <w:p w14:paraId="622331A3" w14:textId="77777777" w:rsidR="009B1956" w:rsidRPr="00F36B82" w:rsidRDefault="009B1956" w:rsidP="00887449">
            <w:pPr>
              <w:jc w:val="right"/>
              <w:rPr>
                <w:sz w:val="14"/>
                <w:szCs w:val="14"/>
              </w:rPr>
            </w:pPr>
            <w:r w:rsidRPr="00F36B82">
              <w:rPr>
                <w:color w:val="000000"/>
                <w:sz w:val="14"/>
                <w:szCs w:val="14"/>
              </w:rPr>
              <w:t>-</w:t>
            </w:r>
          </w:p>
        </w:tc>
        <w:tc>
          <w:tcPr>
            <w:tcW w:w="201" w:type="pct"/>
            <w:tcBorders>
              <w:top w:val="nil"/>
              <w:left w:val="nil"/>
              <w:bottom w:val="nil"/>
              <w:right w:val="nil"/>
            </w:tcBorders>
            <w:vAlign w:val="bottom"/>
          </w:tcPr>
          <w:p w14:paraId="7B342A74" w14:textId="77777777" w:rsidR="009B1956" w:rsidRPr="00F36B82" w:rsidRDefault="009B1956" w:rsidP="00887449">
            <w:pPr>
              <w:jc w:val="right"/>
              <w:rPr>
                <w:sz w:val="14"/>
                <w:szCs w:val="14"/>
              </w:rPr>
            </w:pPr>
            <w:r w:rsidRPr="00F36B82">
              <w:rPr>
                <w:color w:val="000000"/>
                <w:sz w:val="14"/>
                <w:szCs w:val="14"/>
              </w:rPr>
              <w:t>-</w:t>
            </w:r>
          </w:p>
        </w:tc>
        <w:tc>
          <w:tcPr>
            <w:tcW w:w="142" w:type="pct"/>
            <w:tcBorders>
              <w:top w:val="nil"/>
              <w:left w:val="nil"/>
              <w:bottom w:val="nil"/>
              <w:right w:val="nil"/>
            </w:tcBorders>
            <w:vAlign w:val="bottom"/>
          </w:tcPr>
          <w:p w14:paraId="1B4DA818" w14:textId="77777777" w:rsidR="009B1956" w:rsidRPr="00F36B82" w:rsidRDefault="009B1956" w:rsidP="00887449">
            <w:pPr>
              <w:jc w:val="right"/>
              <w:rPr>
                <w:sz w:val="14"/>
                <w:szCs w:val="14"/>
              </w:rPr>
            </w:pPr>
            <w:r w:rsidRPr="00F36B82">
              <w:rPr>
                <w:color w:val="000000"/>
                <w:sz w:val="14"/>
                <w:szCs w:val="14"/>
              </w:rPr>
              <w:t>-</w:t>
            </w:r>
          </w:p>
        </w:tc>
        <w:tc>
          <w:tcPr>
            <w:tcW w:w="220" w:type="pct"/>
            <w:tcBorders>
              <w:top w:val="nil"/>
              <w:left w:val="nil"/>
              <w:bottom w:val="nil"/>
              <w:right w:val="nil"/>
            </w:tcBorders>
            <w:vAlign w:val="bottom"/>
          </w:tcPr>
          <w:p w14:paraId="0D364F41" w14:textId="77777777" w:rsidR="009B1956" w:rsidRPr="00F36B82" w:rsidRDefault="009B1956" w:rsidP="00887449">
            <w:pPr>
              <w:jc w:val="right"/>
              <w:rPr>
                <w:sz w:val="14"/>
                <w:szCs w:val="14"/>
              </w:rPr>
            </w:pPr>
            <w:r w:rsidRPr="00F36B82">
              <w:rPr>
                <w:color w:val="000000"/>
                <w:sz w:val="14"/>
                <w:szCs w:val="14"/>
              </w:rPr>
              <w:t>-</w:t>
            </w:r>
          </w:p>
        </w:tc>
        <w:tc>
          <w:tcPr>
            <w:tcW w:w="159" w:type="pct"/>
            <w:tcBorders>
              <w:top w:val="nil"/>
              <w:left w:val="nil"/>
              <w:bottom w:val="nil"/>
              <w:right w:val="nil"/>
            </w:tcBorders>
            <w:vAlign w:val="bottom"/>
          </w:tcPr>
          <w:p w14:paraId="778B1C5E"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2ECC4559"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6D8D4344"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5F5A8309"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2E61C983"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787C66E0" w14:textId="77777777" w:rsidR="009B1956" w:rsidRPr="00F36B82" w:rsidRDefault="009B1956" w:rsidP="00887449">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578399BB" w14:textId="77777777" w:rsidR="009B1956" w:rsidRPr="00F36B82" w:rsidRDefault="009B1956" w:rsidP="00887449">
            <w:pPr>
              <w:jc w:val="right"/>
              <w:rPr>
                <w:sz w:val="14"/>
                <w:szCs w:val="14"/>
              </w:rPr>
            </w:pPr>
            <w:r w:rsidRPr="00F36B82">
              <w:rPr>
                <w:color w:val="000000"/>
                <w:sz w:val="14"/>
                <w:szCs w:val="14"/>
              </w:rPr>
              <w:t>-</w:t>
            </w:r>
          </w:p>
        </w:tc>
        <w:tc>
          <w:tcPr>
            <w:tcW w:w="272" w:type="pct"/>
            <w:tcBorders>
              <w:top w:val="nil"/>
              <w:left w:val="nil"/>
              <w:bottom w:val="nil"/>
              <w:right w:val="nil"/>
            </w:tcBorders>
            <w:vAlign w:val="bottom"/>
          </w:tcPr>
          <w:p w14:paraId="6EAD8C99" w14:textId="77777777" w:rsidR="009B1956" w:rsidRPr="00F36B82" w:rsidRDefault="009B1956" w:rsidP="00887449">
            <w:pPr>
              <w:jc w:val="right"/>
              <w:rPr>
                <w:sz w:val="14"/>
                <w:szCs w:val="14"/>
              </w:rPr>
            </w:pPr>
            <w:r w:rsidRPr="00F36B82">
              <w:rPr>
                <w:color w:val="000000"/>
                <w:sz w:val="14"/>
                <w:szCs w:val="14"/>
              </w:rPr>
              <w:t>-</w:t>
            </w:r>
          </w:p>
        </w:tc>
        <w:tc>
          <w:tcPr>
            <w:tcW w:w="273" w:type="pct"/>
            <w:tcBorders>
              <w:top w:val="nil"/>
              <w:left w:val="nil"/>
              <w:bottom w:val="nil"/>
              <w:right w:val="nil"/>
            </w:tcBorders>
            <w:vAlign w:val="bottom"/>
          </w:tcPr>
          <w:p w14:paraId="12F7B87B" w14:textId="77777777" w:rsidR="009B1956" w:rsidRPr="00F36B82" w:rsidRDefault="009B1956" w:rsidP="00887449">
            <w:pPr>
              <w:jc w:val="right"/>
              <w:rPr>
                <w:sz w:val="14"/>
                <w:szCs w:val="14"/>
              </w:rPr>
            </w:pPr>
            <w:r w:rsidRPr="00F36B82">
              <w:rPr>
                <w:color w:val="000000"/>
                <w:sz w:val="14"/>
                <w:szCs w:val="14"/>
              </w:rPr>
              <w:t>-</w:t>
            </w:r>
          </w:p>
        </w:tc>
      </w:tr>
      <w:tr w:rsidR="009B1956" w:rsidRPr="00F36B82" w14:paraId="40A97954" w14:textId="77777777" w:rsidTr="007A5154">
        <w:trPr>
          <w:trHeight w:val="133"/>
        </w:trPr>
        <w:tc>
          <w:tcPr>
            <w:tcW w:w="98" w:type="pct"/>
          </w:tcPr>
          <w:p w14:paraId="22C8D3F3" w14:textId="77777777" w:rsidR="009B1956" w:rsidRPr="00F36B82" w:rsidRDefault="009B1956" w:rsidP="007A5154">
            <w:pPr>
              <w:autoSpaceDE w:val="0"/>
              <w:autoSpaceDN w:val="0"/>
              <w:adjustRightInd w:val="0"/>
              <w:ind w:left="112" w:hanging="112"/>
              <w:rPr>
                <w:rFonts w:eastAsia="Arial Unicode MS"/>
                <w:sz w:val="14"/>
                <w:szCs w:val="14"/>
              </w:rPr>
            </w:pPr>
            <w:r w:rsidRPr="00F36B82">
              <w:rPr>
                <w:rFonts w:eastAsia="Arial Unicode MS"/>
                <w:sz w:val="14"/>
                <w:szCs w:val="14"/>
              </w:rPr>
              <w:t>4.8</w:t>
            </w:r>
          </w:p>
        </w:tc>
        <w:tc>
          <w:tcPr>
            <w:tcW w:w="528" w:type="pct"/>
            <w:vAlign w:val="bottom"/>
          </w:tcPr>
          <w:p w14:paraId="0D77D5B1" w14:textId="77777777" w:rsidR="009B1956" w:rsidRPr="00F36B82" w:rsidRDefault="009B1956" w:rsidP="00887449">
            <w:pPr>
              <w:rPr>
                <w:color w:val="000000"/>
                <w:sz w:val="14"/>
                <w:szCs w:val="14"/>
              </w:rPr>
            </w:pPr>
            <w:r w:rsidRPr="00F36B82">
              <w:rPr>
                <w:color w:val="000000"/>
                <w:sz w:val="14"/>
                <w:szCs w:val="14"/>
              </w:rPr>
              <w:t xml:space="preserve">   Sağlık ve Sosyal Hizmetler</w:t>
            </w:r>
          </w:p>
        </w:tc>
        <w:tc>
          <w:tcPr>
            <w:tcW w:w="240" w:type="pct"/>
            <w:tcBorders>
              <w:top w:val="nil"/>
              <w:left w:val="nil"/>
              <w:bottom w:val="nil"/>
              <w:right w:val="nil"/>
            </w:tcBorders>
            <w:vAlign w:val="bottom"/>
          </w:tcPr>
          <w:p w14:paraId="494D948F" w14:textId="77777777" w:rsidR="009B1956" w:rsidRPr="00F36B82" w:rsidRDefault="009B1956" w:rsidP="00887449">
            <w:pPr>
              <w:jc w:val="right"/>
              <w:rPr>
                <w:sz w:val="14"/>
                <w:szCs w:val="14"/>
              </w:rPr>
            </w:pPr>
            <w:r w:rsidRPr="00F36B82">
              <w:rPr>
                <w:color w:val="000000"/>
                <w:sz w:val="14"/>
                <w:szCs w:val="14"/>
              </w:rPr>
              <w:t>-</w:t>
            </w:r>
          </w:p>
        </w:tc>
        <w:tc>
          <w:tcPr>
            <w:tcW w:w="156" w:type="pct"/>
            <w:tcBorders>
              <w:top w:val="nil"/>
              <w:left w:val="nil"/>
              <w:bottom w:val="nil"/>
              <w:right w:val="nil"/>
            </w:tcBorders>
            <w:vAlign w:val="bottom"/>
          </w:tcPr>
          <w:p w14:paraId="404900B3" w14:textId="77777777" w:rsidR="009B1956" w:rsidRPr="00F36B82" w:rsidRDefault="009B1956" w:rsidP="00887449">
            <w:pPr>
              <w:jc w:val="right"/>
              <w:rPr>
                <w:sz w:val="14"/>
                <w:szCs w:val="14"/>
              </w:rPr>
            </w:pPr>
            <w:r w:rsidRPr="00F36B82">
              <w:rPr>
                <w:color w:val="000000"/>
                <w:sz w:val="14"/>
                <w:szCs w:val="14"/>
              </w:rPr>
              <w:t>-</w:t>
            </w:r>
          </w:p>
        </w:tc>
        <w:tc>
          <w:tcPr>
            <w:tcW w:w="173" w:type="pct"/>
            <w:tcBorders>
              <w:top w:val="nil"/>
              <w:left w:val="nil"/>
              <w:bottom w:val="nil"/>
              <w:right w:val="nil"/>
            </w:tcBorders>
            <w:vAlign w:val="bottom"/>
          </w:tcPr>
          <w:p w14:paraId="4BACA932" w14:textId="77777777" w:rsidR="009B1956" w:rsidRPr="00F36B82" w:rsidRDefault="009B1956" w:rsidP="00887449">
            <w:pPr>
              <w:jc w:val="right"/>
              <w:rPr>
                <w:sz w:val="14"/>
                <w:szCs w:val="14"/>
              </w:rPr>
            </w:pPr>
            <w:r w:rsidRPr="00F36B82">
              <w:rPr>
                <w:color w:val="000000"/>
                <w:sz w:val="14"/>
                <w:szCs w:val="14"/>
              </w:rPr>
              <w:t>-</w:t>
            </w:r>
          </w:p>
        </w:tc>
        <w:tc>
          <w:tcPr>
            <w:tcW w:w="100" w:type="pct"/>
            <w:tcBorders>
              <w:top w:val="nil"/>
              <w:left w:val="nil"/>
              <w:bottom w:val="nil"/>
              <w:right w:val="nil"/>
            </w:tcBorders>
            <w:vAlign w:val="bottom"/>
          </w:tcPr>
          <w:p w14:paraId="39E3B8A8" w14:textId="77777777" w:rsidR="009B1956" w:rsidRPr="00F36B82" w:rsidRDefault="009B1956" w:rsidP="00887449">
            <w:pPr>
              <w:jc w:val="right"/>
              <w:rPr>
                <w:sz w:val="14"/>
                <w:szCs w:val="14"/>
              </w:rPr>
            </w:pPr>
            <w:r w:rsidRPr="00F36B82">
              <w:rPr>
                <w:color w:val="000000"/>
                <w:sz w:val="14"/>
                <w:szCs w:val="14"/>
              </w:rPr>
              <w:t>-</w:t>
            </w:r>
          </w:p>
        </w:tc>
        <w:tc>
          <w:tcPr>
            <w:tcW w:w="224" w:type="pct"/>
            <w:tcBorders>
              <w:top w:val="nil"/>
              <w:left w:val="nil"/>
              <w:bottom w:val="nil"/>
              <w:right w:val="nil"/>
            </w:tcBorders>
            <w:vAlign w:val="bottom"/>
          </w:tcPr>
          <w:p w14:paraId="702FE889" w14:textId="77777777" w:rsidR="009B1956" w:rsidRPr="00F36B82" w:rsidRDefault="009B1956" w:rsidP="00887449">
            <w:pPr>
              <w:jc w:val="right"/>
              <w:rPr>
                <w:sz w:val="14"/>
                <w:szCs w:val="14"/>
              </w:rPr>
            </w:pPr>
            <w:r w:rsidRPr="00F36B82">
              <w:rPr>
                <w:color w:val="000000"/>
                <w:sz w:val="14"/>
                <w:szCs w:val="14"/>
              </w:rPr>
              <w:t>-</w:t>
            </w:r>
          </w:p>
        </w:tc>
        <w:tc>
          <w:tcPr>
            <w:tcW w:w="240" w:type="pct"/>
            <w:tcBorders>
              <w:top w:val="nil"/>
              <w:left w:val="nil"/>
              <w:bottom w:val="nil"/>
              <w:right w:val="nil"/>
            </w:tcBorders>
            <w:vAlign w:val="bottom"/>
          </w:tcPr>
          <w:p w14:paraId="78F8B1FF" w14:textId="77777777" w:rsidR="009B1956" w:rsidRPr="00F36B82" w:rsidRDefault="009B1956" w:rsidP="00887449">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77D188EE" w14:textId="77777777" w:rsidR="009B1956" w:rsidRPr="00F36B82" w:rsidRDefault="009B1956" w:rsidP="00887449">
            <w:pPr>
              <w:jc w:val="right"/>
              <w:rPr>
                <w:sz w:val="14"/>
                <w:szCs w:val="14"/>
              </w:rPr>
            </w:pPr>
            <w:r w:rsidRPr="00F36B82">
              <w:rPr>
                <w:color w:val="000000"/>
                <w:sz w:val="14"/>
                <w:szCs w:val="14"/>
              </w:rPr>
              <w:t>104.604</w:t>
            </w:r>
          </w:p>
        </w:tc>
        <w:tc>
          <w:tcPr>
            <w:tcW w:w="220" w:type="pct"/>
            <w:tcBorders>
              <w:top w:val="nil"/>
              <w:left w:val="nil"/>
              <w:bottom w:val="nil"/>
              <w:right w:val="nil"/>
            </w:tcBorders>
            <w:vAlign w:val="bottom"/>
          </w:tcPr>
          <w:p w14:paraId="3C7F180F" w14:textId="77777777" w:rsidR="009B1956" w:rsidRPr="00F36B82" w:rsidRDefault="009B1956" w:rsidP="00887449">
            <w:pPr>
              <w:jc w:val="right"/>
              <w:rPr>
                <w:sz w:val="14"/>
                <w:szCs w:val="14"/>
              </w:rPr>
            </w:pPr>
            <w:r w:rsidRPr="00F36B82">
              <w:rPr>
                <w:color w:val="000000"/>
                <w:sz w:val="14"/>
                <w:szCs w:val="14"/>
              </w:rPr>
              <w:t>-</w:t>
            </w:r>
          </w:p>
        </w:tc>
        <w:tc>
          <w:tcPr>
            <w:tcW w:w="201" w:type="pct"/>
            <w:tcBorders>
              <w:top w:val="nil"/>
              <w:left w:val="nil"/>
              <w:bottom w:val="nil"/>
              <w:right w:val="nil"/>
            </w:tcBorders>
            <w:vAlign w:val="bottom"/>
          </w:tcPr>
          <w:p w14:paraId="72CACC31" w14:textId="77777777" w:rsidR="009B1956" w:rsidRPr="00F36B82" w:rsidRDefault="009B1956" w:rsidP="00887449">
            <w:pPr>
              <w:jc w:val="right"/>
              <w:rPr>
                <w:sz w:val="14"/>
                <w:szCs w:val="14"/>
              </w:rPr>
            </w:pPr>
            <w:r w:rsidRPr="00F36B82">
              <w:rPr>
                <w:color w:val="000000"/>
                <w:sz w:val="14"/>
                <w:szCs w:val="14"/>
              </w:rPr>
              <w:t>-</w:t>
            </w:r>
          </w:p>
        </w:tc>
        <w:tc>
          <w:tcPr>
            <w:tcW w:w="142" w:type="pct"/>
            <w:tcBorders>
              <w:top w:val="nil"/>
              <w:left w:val="nil"/>
              <w:bottom w:val="nil"/>
              <w:right w:val="nil"/>
            </w:tcBorders>
            <w:vAlign w:val="bottom"/>
          </w:tcPr>
          <w:p w14:paraId="69085E59" w14:textId="77777777" w:rsidR="009B1956" w:rsidRPr="00F36B82" w:rsidRDefault="009B1956" w:rsidP="00887449">
            <w:pPr>
              <w:jc w:val="right"/>
              <w:rPr>
                <w:sz w:val="14"/>
                <w:szCs w:val="14"/>
              </w:rPr>
            </w:pPr>
            <w:r w:rsidRPr="00F36B82">
              <w:rPr>
                <w:color w:val="000000"/>
                <w:sz w:val="14"/>
                <w:szCs w:val="14"/>
              </w:rPr>
              <w:t>-</w:t>
            </w:r>
          </w:p>
        </w:tc>
        <w:tc>
          <w:tcPr>
            <w:tcW w:w="220" w:type="pct"/>
            <w:tcBorders>
              <w:top w:val="nil"/>
              <w:left w:val="nil"/>
              <w:bottom w:val="nil"/>
              <w:right w:val="nil"/>
            </w:tcBorders>
            <w:vAlign w:val="bottom"/>
          </w:tcPr>
          <w:p w14:paraId="01186190" w14:textId="77777777" w:rsidR="009B1956" w:rsidRPr="00F36B82" w:rsidRDefault="009B1956" w:rsidP="00887449">
            <w:pPr>
              <w:jc w:val="right"/>
              <w:rPr>
                <w:sz w:val="14"/>
                <w:szCs w:val="14"/>
              </w:rPr>
            </w:pPr>
            <w:r w:rsidRPr="00F36B82">
              <w:rPr>
                <w:color w:val="000000"/>
                <w:sz w:val="14"/>
                <w:szCs w:val="14"/>
              </w:rPr>
              <w:t>-</w:t>
            </w:r>
          </w:p>
        </w:tc>
        <w:tc>
          <w:tcPr>
            <w:tcW w:w="159" w:type="pct"/>
            <w:tcBorders>
              <w:top w:val="nil"/>
              <w:left w:val="nil"/>
              <w:bottom w:val="nil"/>
              <w:right w:val="nil"/>
            </w:tcBorders>
            <w:vAlign w:val="bottom"/>
          </w:tcPr>
          <w:p w14:paraId="1F639400"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4A3190CD"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6A8CF4C7"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3C9778D2"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1A02D3CD" w14:textId="77777777" w:rsidR="009B1956" w:rsidRPr="00F36B82" w:rsidRDefault="009B1956" w:rsidP="00887449">
            <w:pPr>
              <w:jc w:val="right"/>
              <w:rPr>
                <w:sz w:val="14"/>
                <w:szCs w:val="14"/>
              </w:rPr>
            </w:pPr>
            <w:r w:rsidRPr="00F36B82">
              <w:rPr>
                <w:color w:val="000000"/>
                <w:sz w:val="14"/>
                <w:szCs w:val="14"/>
              </w:rPr>
              <w:t>-</w:t>
            </w:r>
          </w:p>
        </w:tc>
        <w:tc>
          <w:tcPr>
            <w:tcW w:w="244" w:type="pct"/>
            <w:tcBorders>
              <w:top w:val="nil"/>
              <w:left w:val="nil"/>
              <w:bottom w:val="nil"/>
              <w:right w:val="nil"/>
            </w:tcBorders>
            <w:vAlign w:val="bottom"/>
          </w:tcPr>
          <w:p w14:paraId="79842C32" w14:textId="77777777" w:rsidR="009B1956" w:rsidRPr="00F36B82" w:rsidRDefault="009B1956" w:rsidP="00887449">
            <w:pPr>
              <w:jc w:val="right"/>
              <w:rPr>
                <w:sz w:val="14"/>
                <w:szCs w:val="14"/>
              </w:rPr>
            </w:pPr>
            <w:r w:rsidRPr="00F36B82">
              <w:rPr>
                <w:color w:val="000000"/>
                <w:sz w:val="14"/>
                <w:szCs w:val="14"/>
              </w:rPr>
              <w:t>-</w:t>
            </w:r>
          </w:p>
        </w:tc>
        <w:tc>
          <w:tcPr>
            <w:tcW w:w="268" w:type="pct"/>
            <w:tcBorders>
              <w:top w:val="nil"/>
              <w:left w:val="nil"/>
              <w:bottom w:val="nil"/>
              <w:right w:val="nil"/>
            </w:tcBorders>
            <w:vAlign w:val="bottom"/>
          </w:tcPr>
          <w:p w14:paraId="5EA07A5D" w14:textId="77777777" w:rsidR="009B1956" w:rsidRPr="00F36B82" w:rsidRDefault="009B1956" w:rsidP="00887449">
            <w:pPr>
              <w:jc w:val="right"/>
              <w:rPr>
                <w:sz w:val="14"/>
                <w:szCs w:val="14"/>
              </w:rPr>
            </w:pPr>
            <w:r w:rsidRPr="00F36B82">
              <w:rPr>
                <w:color w:val="000000"/>
                <w:sz w:val="14"/>
                <w:szCs w:val="14"/>
              </w:rPr>
              <w:t>104.604</w:t>
            </w:r>
          </w:p>
        </w:tc>
        <w:tc>
          <w:tcPr>
            <w:tcW w:w="272" w:type="pct"/>
            <w:tcBorders>
              <w:top w:val="nil"/>
              <w:left w:val="nil"/>
              <w:bottom w:val="nil"/>
              <w:right w:val="nil"/>
            </w:tcBorders>
            <w:vAlign w:val="bottom"/>
          </w:tcPr>
          <w:p w14:paraId="4D8339E5" w14:textId="77777777" w:rsidR="009B1956" w:rsidRPr="00F36B82" w:rsidRDefault="009B1956" w:rsidP="00887449">
            <w:pPr>
              <w:jc w:val="right"/>
              <w:rPr>
                <w:sz w:val="14"/>
                <w:szCs w:val="14"/>
              </w:rPr>
            </w:pPr>
            <w:r w:rsidRPr="00F36B82">
              <w:rPr>
                <w:color w:val="000000"/>
                <w:sz w:val="14"/>
                <w:szCs w:val="14"/>
              </w:rPr>
              <w:t>-</w:t>
            </w:r>
          </w:p>
        </w:tc>
        <w:tc>
          <w:tcPr>
            <w:tcW w:w="273" w:type="pct"/>
            <w:tcBorders>
              <w:top w:val="nil"/>
              <w:left w:val="nil"/>
              <w:bottom w:val="nil"/>
              <w:right w:val="nil"/>
            </w:tcBorders>
            <w:vAlign w:val="bottom"/>
          </w:tcPr>
          <w:p w14:paraId="3E50E68D" w14:textId="77777777" w:rsidR="009B1956" w:rsidRPr="00F36B82" w:rsidRDefault="009B1956" w:rsidP="00887449">
            <w:pPr>
              <w:jc w:val="right"/>
              <w:rPr>
                <w:sz w:val="14"/>
                <w:szCs w:val="14"/>
              </w:rPr>
            </w:pPr>
            <w:r w:rsidRPr="00F36B82">
              <w:rPr>
                <w:color w:val="000000"/>
                <w:sz w:val="14"/>
                <w:szCs w:val="14"/>
              </w:rPr>
              <w:t>104.604</w:t>
            </w:r>
          </w:p>
        </w:tc>
      </w:tr>
      <w:tr w:rsidR="009B1956" w:rsidRPr="00F36B82" w14:paraId="690AFAEB" w14:textId="77777777" w:rsidTr="007A5154">
        <w:trPr>
          <w:trHeight w:val="131"/>
        </w:trPr>
        <w:tc>
          <w:tcPr>
            <w:tcW w:w="98" w:type="pct"/>
            <w:tcBorders>
              <w:bottom w:val="single" w:sz="4" w:space="0" w:color="auto"/>
            </w:tcBorders>
          </w:tcPr>
          <w:p w14:paraId="40A057A5" w14:textId="77777777" w:rsidR="009B1956" w:rsidRPr="00F36B82" w:rsidRDefault="009B1956" w:rsidP="007A5154">
            <w:pPr>
              <w:autoSpaceDE w:val="0"/>
              <w:autoSpaceDN w:val="0"/>
              <w:adjustRightInd w:val="0"/>
              <w:rPr>
                <w:rFonts w:eastAsia="Arial Unicode MS"/>
                <w:b/>
                <w:sz w:val="14"/>
                <w:szCs w:val="14"/>
              </w:rPr>
            </w:pPr>
            <w:r w:rsidRPr="00F36B82">
              <w:rPr>
                <w:rFonts w:eastAsia="Arial Unicode MS"/>
                <w:b/>
                <w:sz w:val="14"/>
                <w:szCs w:val="14"/>
              </w:rPr>
              <w:t>5</w:t>
            </w:r>
          </w:p>
        </w:tc>
        <w:tc>
          <w:tcPr>
            <w:tcW w:w="528" w:type="pct"/>
            <w:tcBorders>
              <w:bottom w:val="single" w:sz="4" w:space="0" w:color="auto"/>
            </w:tcBorders>
            <w:vAlign w:val="bottom"/>
          </w:tcPr>
          <w:p w14:paraId="624F1D65" w14:textId="77777777" w:rsidR="009B1956" w:rsidRPr="00F36B82" w:rsidRDefault="009B1956" w:rsidP="00887449">
            <w:pPr>
              <w:rPr>
                <w:b/>
                <w:bCs/>
                <w:color w:val="000000"/>
                <w:sz w:val="14"/>
                <w:szCs w:val="14"/>
              </w:rPr>
            </w:pPr>
            <w:r w:rsidRPr="00F36B82">
              <w:rPr>
                <w:b/>
                <w:bCs/>
                <w:color w:val="000000"/>
                <w:sz w:val="14"/>
                <w:szCs w:val="14"/>
              </w:rPr>
              <w:t>Diğer</w:t>
            </w:r>
          </w:p>
        </w:tc>
        <w:tc>
          <w:tcPr>
            <w:tcW w:w="240" w:type="pct"/>
            <w:tcBorders>
              <w:top w:val="nil"/>
              <w:left w:val="nil"/>
              <w:bottom w:val="single" w:sz="4" w:space="0" w:color="auto"/>
              <w:right w:val="nil"/>
            </w:tcBorders>
            <w:vAlign w:val="bottom"/>
          </w:tcPr>
          <w:p w14:paraId="10279E56" w14:textId="77777777" w:rsidR="009B1956" w:rsidRPr="00F36B82" w:rsidRDefault="009B1956" w:rsidP="00887449">
            <w:pPr>
              <w:jc w:val="right"/>
              <w:rPr>
                <w:b/>
                <w:sz w:val="14"/>
                <w:szCs w:val="14"/>
              </w:rPr>
            </w:pPr>
            <w:r w:rsidRPr="00F36B82">
              <w:rPr>
                <w:b/>
                <w:bCs/>
                <w:color w:val="000000"/>
                <w:sz w:val="14"/>
                <w:szCs w:val="14"/>
              </w:rPr>
              <w:t>-</w:t>
            </w:r>
          </w:p>
        </w:tc>
        <w:tc>
          <w:tcPr>
            <w:tcW w:w="156" w:type="pct"/>
            <w:tcBorders>
              <w:top w:val="nil"/>
              <w:left w:val="nil"/>
              <w:bottom w:val="single" w:sz="4" w:space="0" w:color="auto"/>
              <w:right w:val="nil"/>
            </w:tcBorders>
            <w:vAlign w:val="bottom"/>
          </w:tcPr>
          <w:p w14:paraId="5AF1F945" w14:textId="77777777" w:rsidR="009B1956" w:rsidRPr="00F36B82" w:rsidRDefault="009B1956" w:rsidP="00887449">
            <w:pPr>
              <w:jc w:val="right"/>
              <w:rPr>
                <w:b/>
                <w:sz w:val="14"/>
                <w:szCs w:val="14"/>
              </w:rPr>
            </w:pPr>
            <w:r w:rsidRPr="00F36B82">
              <w:rPr>
                <w:b/>
                <w:bCs/>
                <w:color w:val="000000"/>
                <w:sz w:val="14"/>
                <w:szCs w:val="14"/>
              </w:rPr>
              <w:t>-</w:t>
            </w:r>
          </w:p>
        </w:tc>
        <w:tc>
          <w:tcPr>
            <w:tcW w:w="173" w:type="pct"/>
            <w:tcBorders>
              <w:top w:val="nil"/>
              <w:left w:val="nil"/>
              <w:bottom w:val="single" w:sz="4" w:space="0" w:color="auto"/>
              <w:right w:val="nil"/>
            </w:tcBorders>
            <w:vAlign w:val="bottom"/>
          </w:tcPr>
          <w:p w14:paraId="0FF4B678" w14:textId="77777777" w:rsidR="009B1956" w:rsidRPr="00F36B82" w:rsidRDefault="009B1956" w:rsidP="00887449">
            <w:pPr>
              <w:jc w:val="right"/>
              <w:rPr>
                <w:b/>
                <w:sz w:val="14"/>
                <w:szCs w:val="14"/>
              </w:rPr>
            </w:pPr>
            <w:r w:rsidRPr="00F36B82">
              <w:rPr>
                <w:b/>
                <w:bCs/>
                <w:color w:val="000000"/>
                <w:sz w:val="14"/>
                <w:szCs w:val="14"/>
              </w:rPr>
              <w:t>-</w:t>
            </w:r>
          </w:p>
        </w:tc>
        <w:tc>
          <w:tcPr>
            <w:tcW w:w="100" w:type="pct"/>
            <w:tcBorders>
              <w:top w:val="nil"/>
              <w:left w:val="nil"/>
              <w:bottom w:val="single" w:sz="4" w:space="0" w:color="auto"/>
              <w:right w:val="nil"/>
            </w:tcBorders>
            <w:vAlign w:val="bottom"/>
          </w:tcPr>
          <w:p w14:paraId="3A08CA5F" w14:textId="77777777" w:rsidR="009B1956" w:rsidRPr="00F36B82" w:rsidRDefault="009B1956" w:rsidP="00887449">
            <w:pPr>
              <w:jc w:val="right"/>
              <w:rPr>
                <w:b/>
                <w:sz w:val="14"/>
                <w:szCs w:val="14"/>
              </w:rPr>
            </w:pPr>
            <w:r w:rsidRPr="00F36B82">
              <w:rPr>
                <w:b/>
                <w:bCs/>
                <w:color w:val="000000"/>
                <w:sz w:val="14"/>
                <w:szCs w:val="14"/>
              </w:rPr>
              <w:t>-</w:t>
            </w:r>
          </w:p>
        </w:tc>
        <w:tc>
          <w:tcPr>
            <w:tcW w:w="224" w:type="pct"/>
            <w:tcBorders>
              <w:top w:val="nil"/>
              <w:left w:val="nil"/>
              <w:bottom w:val="single" w:sz="4" w:space="0" w:color="auto"/>
              <w:right w:val="nil"/>
            </w:tcBorders>
            <w:vAlign w:val="bottom"/>
          </w:tcPr>
          <w:p w14:paraId="7E4881DD" w14:textId="77777777" w:rsidR="009B1956" w:rsidRPr="00F36B82" w:rsidRDefault="009B1956" w:rsidP="00887449">
            <w:pPr>
              <w:jc w:val="right"/>
              <w:rPr>
                <w:b/>
                <w:sz w:val="14"/>
                <w:szCs w:val="14"/>
              </w:rPr>
            </w:pPr>
            <w:r w:rsidRPr="00F36B82">
              <w:rPr>
                <w:b/>
                <w:bCs/>
                <w:color w:val="000000"/>
                <w:sz w:val="14"/>
                <w:szCs w:val="14"/>
              </w:rPr>
              <w:t>-</w:t>
            </w:r>
          </w:p>
        </w:tc>
        <w:tc>
          <w:tcPr>
            <w:tcW w:w="240" w:type="pct"/>
            <w:tcBorders>
              <w:top w:val="nil"/>
              <w:left w:val="nil"/>
              <w:bottom w:val="single" w:sz="4" w:space="0" w:color="auto"/>
              <w:right w:val="nil"/>
            </w:tcBorders>
            <w:vAlign w:val="bottom"/>
          </w:tcPr>
          <w:p w14:paraId="3EAAF5F1" w14:textId="77777777" w:rsidR="009B1956" w:rsidRPr="00F36B82" w:rsidRDefault="009B1956" w:rsidP="00887449">
            <w:pPr>
              <w:jc w:val="right"/>
              <w:rPr>
                <w:b/>
                <w:sz w:val="14"/>
                <w:szCs w:val="14"/>
              </w:rPr>
            </w:pPr>
            <w:r w:rsidRPr="00F36B82">
              <w:rPr>
                <w:b/>
                <w:bCs/>
                <w:color w:val="000000"/>
                <w:sz w:val="14"/>
                <w:szCs w:val="14"/>
              </w:rPr>
              <w:t>-</w:t>
            </w:r>
          </w:p>
        </w:tc>
        <w:tc>
          <w:tcPr>
            <w:tcW w:w="268" w:type="pct"/>
            <w:tcBorders>
              <w:top w:val="nil"/>
              <w:left w:val="nil"/>
              <w:bottom w:val="single" w:sz="4" w:space="0" w:color="auto"/>
              <w:right w:val="nil"/>
            </w:tcBorders>
            <w:vAlign w:val="bottom"/>
          </w:tcPr>
          <w:p w14:paraId="3FAA05BA" w14:textId="77777777" w:rsidR="009B1956" w:rsidRPr="00F36B82" w:rsidRDefault="009B1956" w:rsidP="00887449">
            <w:pPr>
              <w:jc w:val="right"/>
              <w:rPr>
                <w:b/>
                <w:sz w:val="14"/>
                <w:szCs w:val="14"/>
              </w:rPr>
            </w:pPr>
            <w:r w:rsidRPr="00F36B82">
              <w:rPr>
                <w:b/>
                <w:bCs/>
                <w:color w:val="000000"/>
                <w:sz w:val="14"/>
                <w:szCs w:val="14"/>
              </w:rPr>
              <w:t>1.015.917</w:t>
            </w:r>
          </w:p>
        </w:tc>
        <w:tc>
          <w:tcPr>
            <w:tcW w:w="220" w:type="pct"/>
            <w:tcBorders>
              <w:top w:val="nil"/>
              <w:left w:val="nil"/>
              <w:bottom w:val="single" w:sz="4" w:space="0" w:color="auto"/>
              <w:right w:val="nil"/>
            </w:tcBorders>
            <w:vAlign w:val="bottom"/>
          </w:tcPr>
          <w:p w14:paraId="78AA8EFA" w14:textId="77777777" w:rsidR="009B1956" w:rsidRPr="00F36B82" w:rsidRDefault="009B1956" w:rsidP="00887449">
            <w:pPr>
              <w:jc w:val="right"/>
              <w:rPr>
                <w:b/>
                <w:sz w:val="14"/>
                <w:szCs w:val="14"/>
              </w:rPr>
            </w:pPr>
            <w:r w:rsidRPr="00F36B82">
              <w:rPr>
                <w:b/>
                <w:bCs/>
                <w:color w:val="000000"/>
                <w:sz w:val="14"/>
                <w:szCs w:val="14"/>
              </w:rPr>
              <w:t>-</w:t>
            </w:r>
          </w:p>
        </w:tc>
        <w:tc>
          <w:tcPr>
            <w:tcW w:w="201" w:type="pct"/>
            <w:tcBorders>
              <w:top w:val="nil"/>
              <w:left w:val="nil"/>
              <w:bottom w:val="single" w:sz="4" w:space="0" w:color="auto"/>
              <w:right w:val="nil"/>
            </w:tcBorders>
            <w:vAlign w:val="bottom"/>
          </w:tcPr>
          <w:p w14:paraId="423C07ED" w14:textId="77777777" w:rsidR="009B1956" w:rsidRPr="00F36B82" w:rsidRDefault="009B1956" w:rsidP="00887449">
            <w:pPr>
              <w:jc w:val="right"/>
              <w:rPr>
                <w:b/>
                <w:sz w:val="14"/>
                <w:szCs w:val="14"/>
              </w:rPr>
            </w:pPr>
            <w:r w:rsidRPr="00F36B82">
              <w:rPr>
                <w:b/>
                <w:bCs/>
                <w:color w:val="000000"/>
                <w:sz w:val="14"/>
                <w:szCs w:val="14"/>
              </w:rPr>
              <w:t>3.016</w:t>
            </w:r>
          </w:p>
        </w:tc>
        <w:tc>
          <w:tcPr>
            <w:tcW w:w="142" w:type="pct"/>
            <w:tcBorders>
              <w:top w:val="nil"/>
              <w:left w:val="nil"/>
              <w:bottom w:val="single" w:sz="4" w:space="0" w:color="auto"/>
              <w:right w:val="nil"/>
            </w:tcBorders>
            <w:vAlign w:val="bottom"/>
          </w:tcPr>
          <w:p w14:paraId="1408F9B9" w14:textId="77777777" w:rsidR="009B1956" w:rsidRPr="00F36B82" w:rsidRDefault="009B1956" w:rsidP="00887449">
            <w:pPr>
              <w:jc w:val="right"/>
              <w:rPr>
                <w:b/>
                <w:sz w:val="14"/>
                <w:szCs w:val="14"/>
              </w:rPr>
            </w:pPr>
            <w:r w:rsidRPr="00F36B82">
              <w:rPr>
                <w:b/>
                <w:bCs/>
                <w:color w:val="000000"/>
                <w:sz w:val="14"/>
                <w:szCs w:val="14"/>
              </w:rPr>
              <w:t>-</w:t>
            </w:r>
          </w:p>
        </w:tc>
        <w:tc>
          <w:tcPr>
            <w:tcW w:w="220" w:type="pct"/>
            <w:tcBorders>
              <w:top w:val="nil"/>
              <w:left w:val="nil"/>
              <w:bottom w:val="single" w:sz="4" w:space="0" w:color="auto"/>
              <w:right w:val="nil"/>
            </w:tcBorders>
            <w:vAlign w:val="bottom"/>
          </w:tcPr>
          <w:p w14:paraId="3760F3E4" w14:textId="77777777" w:rsidR="009B1956" w:rsidRPr="00F36B82" w:rsidRDefault="009B1956" w:rsidP="00887449">
            <w:pPr>
              <w:jc w:val="right"/>
              <w:rPr>
                <w:b/>
                <w:sz w:val="14"/>
                <w:szCs w:val="14"/>
              </w:rPr>
            </w:pPr>
            <w:r w:rsidRPr="00F36B82">
              <w:rPr>
                <w:b/>
                <w:bCs/>
                <w:color w:val="000000"/>
                <w:sz w:val="14"/>
                <w:szCs w:val="14"/>
              </w:rPr>
              <w:t>-</w:t>
            </w:r>
          </w:p>
        </w:tc>
        <w:tc>
          <w:tcPr>
            <w:tcW w:w="159" w:type="pct"/>
            <w:tcBorders>
              <w:top w:val="nil"/>
              <w:left w:val="nil"/>
              <w:bottom w:val="single" w:sz="4" w:space="0" w:color="auto"/>
              <w:right w:val="nil"/>
            </w:tcBorders>
            <w:vAlign w:val="bottom"/>
          </w:tcPr>
          <w:p w14:paraId="1D7948D3" w14:textId="77777777" w:rsidR="009B1956" w:rsidRPr="00F36B82" w:rsidRDefault="009B1956" w:rsidP="00887449">
            <w:pPr>
              <w:jc w:val="right"/>
              <w:rPr>
                <w:b/>
                <w:sz w:val="14"/>
                <w:szCs w:val="14"/>
              </w:rPr>
            </w:pPr>
            <w:r w:rsidRPr="00F36B82">
              <w:rPr>
                <w:b/>
                <w:bCs/>
                <w:color w:val="000000"/>
                <w:sz w:val="14"/>
                <w:szCs w:val="14"/>
              </w:rPr>
              <w:t>-</w:t>
            </w:r>
          </w:p>
        </w:tc>
        <w:tc>
          <w:tcPr>
            <w:tcW w:w="244" w:type="pct"/>
            <w:tcBorders>
              <w:top w:val="nil"/>
              <w:left w:val="nil"/>
              <w:bottom w:val="single" w:sz="4" w:space="0" w:color="auto"/>
              <w:right w:val="nil"/>
            </w:tcBorders>
            <w:vAlign w:val="bottom"/>
          </w:tcPr>
          <w:p w14:paraId="50EB75B5" w14:textId="77777777" w:rsidR="009B1956" w:rsidRPr="00F36B82" w:rsidRDefault="009B1956" w:rsidP="00887449">
            <w:pPr>
              <w:jc w:val="right"/>
              <w:rPr>
                <w:b/>
                <w:sz w:val="14"/>
                <w:szCs w:val="14"/>
              </w:rPr>
            </w:pPr>
            <w:r w:rsidRPr="00F36B82">
              <w:rPr>
                <w:b/>
                <w:bCs/>
                <w:color w:val="000000"/>
                <w:sz w:val="14"/>
                <w:szCs w:val="14"/>
              </w:rPr>
              <w:t>-</w:t>
            </w:r>
          </w:p>
        </w:tc>
        <w:tc>
          <w:tcPr>
            <w:tcW w:w="244" w:type="pct"/>
            <w:tcBorders>
              <w:top w:val="nil"/>
              <w:left w:val="nil"/>
              <w:bottom w:val="single" w:sz="4" w:space="0" w:color="auto"/>
              <w:right w:val="nil"/>
            </w:tcBorders>
            <w:vAlign w:val="bottom"/>
          </w:tcPr>
          <w:p w14:paraId="740F7D4A" w14:textId="77777777" w:rsidR="009B1956" w:rsidRPr="00F36B82" w:rsidRDefault="009B1956" w:rsidP="00887449">
            <w:pPr>
              <w:jc w:val="right"/>
              <w:rPr>
                <w:b/>
                <w:sz w:val="14"/>
                <w:szCs w:val="14"/>
              </w:rPr>
            </w:pPr>
            <w:r w:rsidRPr="00F36B82">
              <w:rPr>
                <w:b/>
                <w:bCs/>
                <w:color w:val="000000"/>
                <w:sz w:val="14"/>
                <w:szCs w:val="14"/>
              </w:rPr>
              <w:t>-</w:t>
            </w:r>
          </w:p>
        </w:tc>
        <w:tc>
          <w:tcPr>
            <w:tcW w:w="244" w:type="pct"/>
            <w:tcBorders>
              <w:top w:val="nil"/>
              <w:left w:val="nil"/>
              <w:bottom w:val="single" w:sz="4" w:space="0" w:color="auto"/>
              <w:right w:val="nil"/>
            </w:tcBorders>
            <w:vAlign w:val="bottom"/>
          </w:tcPr>
          <w:p w14:paraId="1146663D" w14:textId="77777777" w:rsidR="009B1956" w:rsidRPr="00F36B82" w:rsidRDefault="009B1956" w:rsidP="00887449">
            <w:pPr>
              <w:jc w:val="right"/>
              <w:rPr>
                <w:b/>
                <w:sz w:val="14"/>
                <w:szCs w:val="14"/>
              </w:rPr>
            </w:pPr>
            <w:r w:rsidRPr="00F36B82">
              <w:rPr>
                <w:b/>
                <w:bCs/>
                <w:color w:val="000000"/>
                <w:sz w:val="14"/>
                <w:szCs w:val="14"/>
              </w:rPr>
              <w:t>948</w:t>
            </w:r>
          </w:p>
        </w:tc>
        <w:tc>
          <w:tcPr>
            <w:tcW w:w="244" w:type="pct"/>
            <w:tcBorders>
              <w:top w:val="nil"/>
              <w:left w:val="nil"/>
              <w:bottom w:val="single" w:sz="4" w:space="0" w:color="auto"/>
              <w:right w:val="nil"/>
            </w:tcBorders>
            <w:vAlign w:val="bottom"/>
          </w:tcPr>
          <w:p w14:paraId="54CCEA6E" w14:textId="77777777" w:rsidR="009B1956" w:rsidRPr="00F36B82" w:rsidRDefault="009B1956" w:rsidP="00887449">
            <w:pPr>
              <w:jc w:val="right"/>
              <w:rPr>
                <w:b/>
                <w:sz w:val="14"/>
                <w:szCs w:val="14"/>
              </w:rPr>
            </w:pPr>
            <w:r w:rsidRPr="00F36B82">
              <w:rPr>
                <w:b/>
                <w:bCs/>
                <w:color w:val="000000"/>
                <w:sz w:val="14"/>
                <w:szCs w:val="14"/>
              </w:rPr>
              <w:t>-</w:t>
            </w:r>
          </w:p>
        </w:tc>
        <w:tc>
          <w:tcPr>
            <w:tcW w:w="244" w:type="pct"/>
            <w:tcBorders>
              <w:top w:val="nil"/>
              <w:left w:val="nil"/>
              <w:bottom w:val="single" w:sz="4" w:space="0" w:color="auto"/>
              <w:right w:val="nil"/>
            </w:tcBorders>
            <w:vAlign w:val="bottom"/>
          </w:tcPr>
          <w:p w14:paraId="544A679C" w14:textId="77777777" w:rsidR="009B1956" w:rsidRPr="00F36B82" w:rsidRDefault="009B1956" w:rsidP="00887449">
            <w:pPr>
              <w:jc w:val="right"/>
              <w:rPr>
                <w:b/>
                <w:sz w:val="14"/>
                <w:szCs w:val="14"/>
              </w:rPr>
            </w:pPr>
            <w:r w:rsidRPr="00F36B82">
              <w:rPr>
                <w:b/>
                <w:bCs/>
                <w:color w:val="000000"/>
                <w:sz w:val="14"/>
                <w:szCs w:val="14"/>
              </w:rPr>
              <w:t>-</w:t>
            </w:r>
          </w:p>
        </w:tc>
        <w:tc>
          <w:tcPr>
            <w:tcW w:w="268" w:type="pct"/>
            <w:tcBorders>
              <w:top w:val="nil"/>
              <w:left w:val="nil"/>
              <w:bottom w:val="single" w:sz="4" w:space="0" w:color="auto"/>
              <w:right w:val="nil"/>
            </w:tcBorders>
            <w:vAlign w:val="bottom"/>
          </w:tcPr>
          <w:p w14:paraId="4575A9DB" w14:textId="77777777" w:rsidR="009B1956" w:rsidRPr="00F36B82" w:rsidRDefault="009B1956" w:rsidP="00887449">
            <w:pPr>
              <w:jc w:val="right"/>
              <w:rPr>
                <w:b/>
                <w:sz w:val="14"/>
                <w:szCs w:val="14"/>
              </w:rPr>
            </w:pPr>
            <w:r w:rsidRPr="00F36B82">
              <w:rPr>
                <w:b/>
                <w:bCs/>
                <w:color w:val="000000"/>
                <w:sz w:val="14"/>
                <w:szCs w:val="14"/>
              </w:rPr>
              <w:t>555.499</w:t>
            </w:r>
          </w:p>
        </w:tc>
        <w:tc>
          <w:tcPr>
            <w:tcW w:w="272" w:type="pct"/>
            <w:tcBorders>
              <w:top w:val="nil"/>
              <w:left w:val="nil"/>
              <w:bottom w:val="single" w:sz="4" w:space="0" w:color="auto"/>
              <w:right w:val="nil"/>
            </w:tcBorders>
            <w:vAlign w:val="bottom"/>
          </w:tcPr>
          <w:p w14:paraId="4E021CC3" w14:textId="77777777" w:rsidR="009B1956" w:rsidRPr="00F36B82" w:rsidRDefault="009B1956" w:rsidP="00887449">
            <w:pPr>
              <w:jc w:val="right"/>
              <w:rPr>
                <w:b/>
                <w:sz w:val="14"/>
                <w:szCs w:val="14"/>
              </w:rPr>
            </w:pPr>
            <w:r w:rsidRPr="00F36B82">
              <w:rPr>
                <w:b/>
                <w:bCs/>
                <w:color w:val="000000"/>
                <w:sz w:val="14"/>
                <w:szCs w:val="14"/>
              </w:rPr>
              <w:t>464.382</w:t>
            </w:r>
          </w:p>
        </w:tc>
        <w:tc>
          <w:tcPr>
            <w:tcW w:w="273" w:type="pct"/>
            <w:tcBorders>
              <w:top w:val="nil"/>
              <w:left w:val="nil"/>
              <w:bottom w:val="single" w:sz="4" w:space="0" w:color="auto"/>
              <w:right w:val="nil"/>
            </w:tcBorders>
            <w:vAlign w:val="bottom"/>
          </w:tcPr>
          <w:p w14:paraId="42163563" w14:textId="77777777" w:rsidR="009B1956" w:rsidRPr="00F36B82" w:rsidRDefault="009B1956" w:rsidP="00887449">
            <w:pPr>
              <w:jc w:val="right"/>
              <w:rPr>
                <w:b/>
                <w:sz w:val="14"/>
                <w:szCs w:val="14"/>
              </w:rPr>
            </w:pPr>
            <w:r w:rsidRPr="00F36B82">
              <w:rPr>
                <w:b/>
                <w:bCs/>
                <w:color w:val="000000"/>
                <w:sz w:val="14"/>
                <w:szCs w:val="14"/>
              </w:rPr>
              <w:t>1.019.881</w:t>
            </w:r>
          </w:p>
        </w:tc>
      </w:tr>
      <w:tr w:rsidR="009B1956" w:rsidRPr="00F36B82" w14:paraId="4EA3A7B2" w14:textId="77777777" w:rsidTr="007A5154">
        <w:trPr>
          <w:trHeight w:val="133"/>
        </w:trPr>
        <w:tc>
          <w:tcPr>
            <w:tcW w:w="98" w:type="pct"/>
            <w:tcBorders>
              <w:top w:val="single" w:sz="4" w:space="0" w:color="auto"/>
              <w:bottom w:val="single" w:sz="12" w:space="0" w:color="auto"/>
            </w:tcBorders>
          </w:tcPr>
          <w:p w14:paraId="6548EF0C" w14:textId="77777777" w:rsidR="009B1956" w:rsidRPr="00F36B82" w:rsidRDefault="009B1956" w:rsidP="007A5154">
            <w:pPr>
              <w:autoSpaceDE w:val="0"/>
              <w:autoSpaceDN w:val="0"/>
              <w:adjustRightInd w:val="0"/>
              <w:ind w:left="180" w:hanging="180"/>
              <w:rPr>
                <w:rFonts w:eastAsia="Arial Unicode MS"/>
                <w:b/>
                <w:sz w:val="14"/>
                <w:szCs w:val="14"/>
              </w:rPr>
            </w:pPr>
          </w:p>
        </w:tc>
        <w:tc>
          <w:tcPr>
            <w:tcW w:w="528" w:type="pct"/>
            <w:tcBorders>
              <w:top w:val="single" w:sz="4" w:space="0" w:color="auto"/>
              <w:bottom w:val="single" w:sz="12" w:space="0" w:color="auto"/>
            </w:tcBorders>
            <w:vAlign w:val="bottom"/>
          </w:tcPr>
          <w:p w14:paraId="3A078BDB" w14:textId="77777777" w:rsidR="009B1956" w:rsidRPr="00F36B82" w:rsidRDefault="009B1956" w:rsidP="00887449">
            <w:pPr>
              <w:rPr>
                <w:b/>
                <w:bCs/>
                <w:color w:val="000000"/>
                <w:sz w:val="14"/>
                <w:szCs w:val="14"/>
              </w:rPr>
            </w:pPr>
            <w:r w:rsidRPr="00F36B82">
              <w:rPr>
                <w:b/>
                <w:bCs/>
                <w:color w:val="000000"/>
                <w:sz w:val="14"/>
                <w:szCs w:val="14"/>
              </w:rPr>
              <w:t>Toplam</w:t>
            </w:r>
          </w:p>
        </w:tc>
        <w:tc>
          <w:tcPr>
            <w:tcW w:w="240" w:type="pct"/>
            <w:tcBorders>
              <w:top w:val="single" w:sz="4" w:space="0" w:color="auto"/>
              <w:left w:val="nil"/>
              <w:bottom w:val="single" w:sz="12" w:space="0" w:color="auto"/>
              <w:right w:val="nil"/>
            </w:tcBorders>
            <w:vAlign w:val="bottom"/>
          </w:tcPr>
          <w:p w14:paraId="4E8D2AFF" w14:textId="77777777" w:rsidR="009B1956" w:rsidRPr="00F36B82" w:rsidRDefault="009B1956" w:rsidP="00887449">
            <w:pPr>
              <w:jc w:val="right"/>
              <w:rPr>
                <w:b/>
                <w:sz w:val="14"/>
                <w:szCs w:val="14"/>
              </w:rPr>
            </w:pPr>
            <w:r w:rsidRPr="00F36B82">
              <w:rPr>
                <w:b/>
                <w:bCs/>
                <w:color w:val="000000"/>
                <w:sz w:val="14"/>
                <w:szCs w:val="14"/>
              </w:rPr>
              <w:t>4.830.858</w:t>
            </w:r>
          </w:p>
        </w:tc>
        <w:tc>
          <w:tcPr>
            <w:tcW w:w="156" w:type="pct"/>
            <w:tcBorders>
              <w:top w:val="single" w:sz="4" w:space="0" w:color="auto"/>
              <w:left w:val="nil"/>
              <w:bottom w:val="single" w:sz="12" w:space="0" w:color="auto"/>
              <w:right w:val="nil"/>
            </w:tcBorders>
            <w:vAlign w:val="bottom"/>
          </w:tcPr>
          <w:p w14:paraId="18B75BB2" w14:textId="77777777" w:rsidR="009B1956" w:rsidRPr="00F36B82" w:rsidRDefault="009B1956" w:rsidP="00887449">
            <w:pPr>
              <w:jc w:val="right"/>
              <w:rPr>
                <w:b/>
                <w:sz w:val="14"/>
                <w:szCs w:val="14"/>
              </w:rPr>
            </w:pPr>
            <w:r w:rsidRPr="00F36B82">
              <w:rPr>
                <w:b/>
                <w:bCs/>
                <w:color w:val="000000"/>
                <w:sz w:val="14"/>
                <w:szCs w:val="14"/>
              </w:rPr>
              <w:t>-</w:t>
            </w:r>
          </w:p>
        </w:tc>
        <w:tc>
          <w:tcPr>
            <w:tcW w:w="173" w:type="pct"/>
            <w:tcBorders>
              <w:top w:val="single" w:sz="4" w:space="0" w:color="auto"/>
              <w:left w:val="nil"/>
              <w:bottom w:val="single" w:sz="12" w:space="0" w:color="auto"/>
              <w:right w:val="nil"/>
            </w:tcBorders>
            <w:vAlign w:val="bottom"/>
          </w:tcPr>
          <w:p w14:paraId="4D457416" w14:textId="77777777" w:rsidR="009B1956" w:rsidRPr="00F36B82" w:rsidRDefault="009B1956" w:rsidP="00887449">
            <w:pPr>
              <w:jc w:val="right"/>
              <w:rPr>
                <w:b/>
                <w:sz w:val="14"/>
                <w:szCs w:val="14"/>
              </w:rPr>
            </w:pPr>
            <w:r w:rsidRPr="00F36B82">
              <w:rPr>
                <w:b/>
                <w:bCs/>
                <w:color w:val="000000"/>
                <w:sz w:val="14"/>
                <w:szCs w:val="14"/>
              </w:rPr>
              <w:t>-</w:t>
            </w:r>
          </w:p>
        </w:tc>
        <w:tc>
          <w:tcPr>
            <w:tcW w:w="100" w:type="pct"/>
            <w:tcBorders>
              <w:top w:val="single" w:sz="4" w:space="0" w:color="auto"/>
              <w:left w:val="nil"/>
              <w:bottom w:val="single" w:sz="12" w:space="0" w:color="auto"/>
              <w:right w:val="nil"/>
            </w:tcBorders>
            <w:vAlign w:val="bottom"/>
          </w:tcPr>
          <w:p w14:paraId="7C834136" w14:textId="77777777" w:rsidR="009B1956" w:rsidRPr="00F36B82" w:rsidRDefault="009B1956" w:rsidP="00887449">
            <w:pPr>
              <w:jc w:val="right"/>
              <w:rPr>
                <w:b/>
                <w:sz w:val="14"/>
                <w:szCs w:val="14"/>
              </w:rPr>
            </w:pPr>
            <w:r w:rsidRPr="00F36B82">
              <w:rPr>
                <w:b/>
                <w:bCs/>
                <w:color w:val="000000"/>
                <w:sz w:val="14"/>
                <w:szCs w:val="14"/>
              </w:rPr>
              <w:t>-</w:t>
            </w:r>
          </w:p>
        </w:tc>
        <w:tc>
          <w:tcPr>
            <w:tcW w:w="224" w:type="pct"/>
            <w:tcBorders>
              <w:top w:val="single" w:sz="4" w:space="0" w:color="auto"/>
              <w:left w:val="nil"/>
              <w:bottom w:val="single" w:sz="12" w:space="0" w:color="auto"/>
              <w:right w:val="nil"/>
            </w:tcBorders>
            <w:vAlign w:val="bottom"/>
          </w:tcPr>
          <w:p w14:paraId="5269B0EC" w14:textId="77777777" w:rsidR="009B1956" w:rsidRPr="00F36B82" w:rsidRDefault="009B1956" w:rsidP="00887449">
            <w:pPr>
              <w:jc w:val="right"/>
              <w:rPr>
                <w:b/>
                <w:sz w:val="14"/>
                <w:szCs w:val="14"/>
              </w:rPr>
            </w:pPr>
            <w:r w:rsidRPr="00F36B82">
              <w:rPr>
                <w:b/>
                <w:bCs/>
                <w:color w:val="000000"/>
                <w:sz w:val="14"/>
                <w:szCs w:val="14"/>
              </w:rPr>
              <w:t>-</w:t>
            </w:r>
          </w:p>
        </w:tc>
        <w:tc>
          <w:tcPr>
            <w:tcW w:w="240" w:type="pct"/>
            <w:tcBorders>
              <w:top w:val="single" w:sz="4" w:space="0" w:color="auto"/>
              <w:left w:val="nil"/>
              <w:bottom w:val="single" w:sz="12" w:space="0" w:color="auto"/>
              <w:right w:val="nil"/>
            </w:tcBorders>
            <w:vAlign w:val="bottom"/>
          </w:tcPr>
          <w:p w14:paraId="3BB534C3" w14:textId="77777777" w:rsidR="009B1956" w:rsidRPr="00F36B82" w:rsidRDefault="009B1956" w:rsidP="00887449">
            <w:pPr>
              <w:jc w:val="right"/>
              <w:rPr>
                <w:b/>
                <w:sz w:val="14"/>
                <w:szCs w:val="14"/>
              </w:rPr>
            </w:pPr>
            <w:r w:rsidRPr="00F36B82">
              <w:rPr>
                <w:b/>
                <w:bCs/>
                <w:color w:val="000000"/>
                <w:sz w:val="14"/>
                <w:szCs w:val="14"/>
              </w:rPr>
              <w:t>5.221.722</w:t>
            </w:r>
          </w:p>
        </w:tc>
        <w:tc>
          <w:tcPr>
            <w:tcW w:w="268" w:type="pct"/>
            <w:tcBorders>
              <w:top w:val="single" w:sz="4" w:space="0" w:color="auto"/>
              <w:left w:val="nil"/>
              <w:bottom w:val="single" w:sz="12" w:space="0" w:color="auto"/>
              <w:right w:val="nil"/>
            </w:tcBorders>
            <w:vAlign w:val="bottom"/>
          </w:tcPr>
          <w:p w14:paraId="31B5ED50" w14:textId="77777777" w:rsidR="009B1956" w:rsidRPr="00F36B82" w:rsidRDefault="009B1956" w:rsidP="00887449">
            <w:pPr>
              <w:jc w:val="right"/>
              <w:rPr>
                <w:b/>
                <w:sz w:val="14"/>
                <w:szCs w:val="14"/>
              </w:rPr>
            </w:pPr>
            <w:r w:rsidRPr="00F36B82">
              <w:rPr>
                <w:b/>
                <w:bCs/>
                <w:color w:val="000000"/>
                <w:sz w:val="14"/>
                <w:szCs w:val="14"/>
              </w:rPr>
              <w:t>13.423.540</w:t>
            </w:r>
          </w:p>
        </w:tc>
        <w:tc>
          <w:tcPr>
            <w:tcW w:w="220" w:type="pct"/>
            <w:tcBorders>
              <w:top w:val="single" w:sz="4" w:space="0" w:color="auto"/>
              <w:left w:val="nil"/>
              <w:bottom w:val="single" w:sz="12" w:space="0" w:color="auto"/>
              <w:right w:val="nil"/>
            </w:tcBorders>
            <w:vAlign w:val="bottom"/>
          </w:tcPr>
          <w:p w14:paraId="2B5DF30D" w14:textId="77777777" w:rsidR="009B1956" w:rsidRPr="00F36B82" w:rsidRDefault="009B1956" w:rsidP="00887449">
            <w:pPr>
              <w:jc w:val="right"/>
              <w:rPr>
                <w:b/>
                <w:sz w:val="14"/>
                <w:szCs w:val="14"/>
              </w:rPr>
            </w:pPr>
            <w:r w:rsidRPr="00F36B82">
              <w:rPr>
                <w:b/>
                <w:bCs/>
                <w:color w:val="000000"/>
                <w:sz w:val="14"/>
                <w:szCs w:val="14"/>
              </w:rPr>
              <w:t>-</w:t>
            </w:r>
          </w:p>
        </w:tc>
        <w:tc>
          <w:tcPr>
            <w:tcW w:w="201" w:type="pct"/>
            <w:tcBorders>
              <w:top w:val="single" w:sz="4" w:space="0" w:color="auto"/>
              <w:left w:val="nil"/>
              <w:bottom w:val="single" w:sz="12" w:space="0" w:color="auto"/>
              <w:right w:val="nil"/>
            </w:tcBorders>
            <w:vAlign w:val="bottom"/>
          </w:tcPr>
          <w:p w14:paraId="4E41FD28" w14:textId="77777777" w:rsidR="009B1956" w:rsidRPr="00F36B82" w:rsidRDefault="009B1956" w:rsidP="00887449">
            <w:pPr>
              <w:jc w:val="right"/>
              <w:rPr>
                <w:b/>
                <w:sz w:val="14"/>
                <w:szCs w:val="14"/>
              </w:rPr>
            </w:pPr>
            <w:r w:rsidRPr="00F36B82">
              <w:rPr>
                <w:b/>
                <w:bCs/>
                <w:color w:val="000000"/>
                <w:sz w:val="14"/>
                <w:szCs w:val="14"/>
              </w:rPr>
              <w:t>709.613</w:t>
            </w:r>
          </w:p>
        </w:tc>
        <w:tc>
          <w:tcPr>
            <w:tcW w:w="142" w:type="pct"/>
            <w:tcBorders>
              <w:top w:val="single" w:sz="4" w:space="0" w:color="auto"/>
              <w:left w:val="nil"/>
              <w:bottom w:val="single" w:sz="12" w:space="0" w:color="auto"/>
              <w:right w:val="nil"/>
            </w:tcBorders>
            <w:vAlign w:val="bottom"/>
          </w:tcPr>
          <w:p w14:paraId="5499D3A7" w14:textId="77777777" w:rsidR="009B1956" w:rsidRPr="00F36B82" w:rsidRDefault="009B1956" w:rsidP="00887449">
            <w:pPr>
              <w:jc w:val="right"/>
              <w:rPr>
                <w:b/>
                <w:sz w:val="14"/>
                <w:szCs w:val="14"/>
              </w:rPr>
            </w:pPr>
            <w:r w:rsidRPr="00F36B82">
              <w:rPr>
                <w:b/>
                <w:bCs/>
                <w:color w:val="000000"/>
                <w:sz w:val="14"/>
                <w:szCs w:val="14"/>
              </w:rPr>
              <w:t>-</w:t>
            </w:r>
          </w:p>
        </w:tc>
        <w:tc>
          <w:tcPr>
            <w:tcW w:w="220" w:type="pct"/>
            <w:tcBorders>
              <w:top w:val="single" w:sz="4" w:space="0" w:color="auto"/>
              <w:left w:val="nil"/>
              <w:bottom w:val="single" w:sz="12" w:space="0" w:color="auto"/>
              <w:right w:val="nil"/>
            </w:tcBorders>
            <w:vAlign w:val="bottom"/>
          </w:tcPr>
          <w:p w14:paraId="2C598BA1" w14:textId="77777777" w:rsidR="009B1956" w:rsidRPr="00F36B82" w:rsidRDefault="009B1956" w:rsidP="00887449">
            <w:pPr>
              <w:jc w:val="right"/>
              <w:rPr>
                <w:b/>
                <w:sz w:val="14"/>
                <w:szCs w:val="14"/>
              </w:rPr>
            </w:pPr>
            <w:r w:rsidRPr="00F36B82">
              <w:rPr>
                <w:b/>
                <w:bCs/>
                <w:color w:val="000000"/>
                <w:sz w:val="14"/>
                <w:szCs w:val="14"/>
              </w:rPr>
              <w:t>27.648</w:t>
            </w:r>
          </w:p>
        </w:tc>
        <w:tc>
          <w:tcPr>
            <w:tcW w:w="159" w:type="pct"/>
            <w:tcBorders>
              <w:top w:val="single" w:sz="4" w:space="0" w:color="auto"/>
              <w:left w:val="nil"/>
              <w:bottom w:val="single" w:sz="12" w:space="0" w:color="auto"/>
              <w:right w:val="nil"/>
            </w:tcBorders>
            <w:vAlign w:val="bottom"/>
          </w:tcPr>
          <w:p w14:paraId="024E70CA" w14:textId="77777777" w:rsidR="009B1956" w:rsidRPr="00F36B82" w:rsidRDefault="009B1956" w:rsidP="00887449">
            <w:pPr>
              <w:jc w:val="right"/>
              <w:rPr>
                <w:b/>
                <w:sz w:val="14"/>
                <w:szCs w:val="14"/>
              </w:rPr>
            </w:pPr>
            <w:r w:rsidRPr="00F36B82">
              <w:rPr>
                <w:b/>
                <w:bCs/>
                <w:color w:val="000000"/>
                <w:sz w:val="14"/>
                <w:szCs w:val="14"/>
              </w:rPr>
              <w:t>-</w:t>
            </w:r>
          </w:p>
        </w:tc>
        <w:tc>
          <w:tcPr>
            <w:tcW w:w="244" w:type="pct"/>
            <w:tcBorders>
              <w:top w:val="single" w:sz="4" w:space="0" w:color="auto"/>
              <w:left w:val="nil"/>
              <w:bottom w:val="single" w:sz="12" w:space="0" w:color="auto"/>
              <w:right w:val="nil"/>
            </w:tcBorders>
            <w:vAlign w:val="bottom"/>
          </w:tcPr>
          <w:p w14:paraId="1649ABEF" w14:textId="77777777" w:rsidR="009B1956" w:rsidRPr="00F36B82" w:rsidRDefault="009B1956" w:rsidP="00887449">
            <w:pPr>
              <w:jc w:val="right"/>
              <w:rPr>
                <w:b/>
                <w:sz w:val="14"/>
                <w:szCs w:val="14"/>
              </w:rPr>
            </w:pPr>
            <w:r w:rsidRPr="00F36B82">
              <w:rPr>
                <w:b/>
                <w:bCs/>
                <w:color w:val="000000"/>
                <w:sz w:val="14"/>
                <w:szCs w:val="14"/>
              </w:rPr>
              <w:t>-</w:t>
            </w:r>
          </w:p>
        </w:tc>
        <w:tc>
          <w:tcPr>
            <w:tcW w:w="244" w:type="pct"/>
            <w:tcBorders>
              <w:top w:val="single" w:sz="4" w:space="0" w:color="auto"/>
              <w:left w:val="nil"/>
              <w:bottom w:val="single" w:sz="12" w:space="0" w:color="auto"/>
              <w:right w:val="nil"/>
            </w:tcBorders>
            <w:vAlign w:val="bottom"/>
          </w:tcPr>
          <w:p w14:paraId="2355AC4C" w14:textId="77777777" w:rsidR="009B1956" w:rsidRPr="00F36B82" w:rsidRDefault="009B1956" w:rsidP="00887449">
            <w:pPr>
              <w:jc w:val="right"/>
              <w:rPr>
                <w:b/>
                <w:sz w:val="14"/>
                <w:szCs w:val="14"/>
              </w:rPr>
            </w:pPr>
            <w:r w:rsidRPr="00F36B82">
              <w:rPr>
                <w:b/>
                <w:bCs/>
                <w:color w:val="000000"/>
                <w:sz w:val="14"/>
                <w:szCs w:val="14"/>
              </w:rPr>
              <w:t>-</w:t>
            </w:r>
          </w:p>
        </w:tc>
        <w:tc>
          <w:tcPr>
            <w:tcW w:w="244" w:type="pct"/>
            <w:tcBorders>
              <w:top w:val="single" w:sz="4" w:space="0" w:color="auto"/>
              <w:left w:val="nil"/>
              <w:bottom w:val="single" w:sz="12" w:space="0" w:color="auto"/>
              <w:right w:val="nil"/>
            </w:tcBorders>
            <w:vAlign w:val="bottom"/>
          </w:tcPr>
          <w:p w14:paraId="28BF9A21" w14:textId="77777777" w:rsidR="009B1956" w:rsidRPr="00F36B82" w:rsidRDefault="009B1956" w:rsidP="00887449">
            <w:pPr>
              <w:jc w:val="right"/>
              <w:rPr>
                <w:b/>
                <w:sz w:val="14"/>
                <w:szCs w:val="14"/>
              </w:rPr>
            </w:pPr>
            <w:r w:rsidRPr="00F36B82">
              <w:rPr>
                <w:b/>
                <w:bCs/>
                <w:color w:val="000000"/>
                <w:sz w:val="14"/>
                <w:szCs w:val="14"/>
              </w:rPr>
              <w:t>948</w:t>
            </w:r>
          </w:p>
        </w:tc>
        <w:tc>
          <w:tcPr>
            <w:tcW w:w="244" w:type="pct"/>
            <w:tcBorders>
              <w:top w:val="single" w:sz="4" w:space="0" w:color="auto"/>
              <w:left w:val="nil"/>
              <w:bottom w:val="single" w:sz="12" w:space="0" w:color="auto"/>
              <w:right w:val="nil"/>
            </w:tcBorders>
            <w:vAlign w:val="bottom"/>
          </w:tcPr>
          <w:p w14:paraId="5988B882" w14:textId="77777777" w:rsidR="009B1956" w:rsidRPr="00F36B82" w:rsidRDefault="009B1956" w:rsidP="00887449">
            <w:pPr>
              <w:jc w:val="right"/>
              <w:rPr>
                <w:b/>
                <w:sz w:val="14"/>
                <w:szCs w:val="14"/>
              </w:rPr>
            </w:pPr>
            <w:r w:rsidRPr="00F36B82">
              <w:rPr>
                <w:b/>
                <w:bCs/>
                <w:color w:val="000000"/>
                <w:sz w:val="14"/>
                <w:szCs w:val="14"/>
              </w:rPr>
              <w:t>1.265</w:t>
            </w:r>
          </w:p>
        </w:tc>
        <w:tc>
          <w:tcPr>
            <w:tcW w:w="244" w:type="pct"/>
            <w:tcBorders>
              <w:top w:val="single" w:sz="4" w:space="0" w:color="auto"/>
              <w:left w:val="nil"/>
              <w:bottom w:val="single" w:sz="12" w:space="0" w:color="auto"/>
              <w:right w:val="nil"/>
            </w:tcBorders>
            <w:vAlign w:val="bottom"/>
          </w:tcPr>
          <w:p w14:paraId="6D1B28DE" w14:textId="77777777" w:rsidR="009B1956" w:rsidRPr="00F36B82" w:rsidRDefault="009B1956" w:rsidP="00887449">
            <w:pPr>
              <w:jc w:val="right"/>
              <w:rPr>
                <w:b/>
                <w:sz w:val="14"/>
                <w:szCs w:val="14"/>
              </w:rPr>
            </w:pPr>
            <w:r w:rsidRPr="00F36B82">
              <w:rPr>
                <w:b/>
                <w:bCs/>
                <w:color w:val="000000"/>
                <w:sz w:val="14"/>
                <w:szCs w:val="14"/>
              </w:rPr>
              <w:t>991.124</w:t>
            </w:r>
          </w:p>
        </w:tc>
        <w:tc>
          <w:tcPr>
            <w:tcW w:w="268" w:type="pct"/>
            <w:tcBorders>
              <w:top w:val="single" w:sz="4" w:space="0" w:color="auto"/>
              <w:left w:val="nil"/>
              <w:bottom w:val="single" w:sz="12" w:space="0" w:color="auto"/>
              <w:right w:val="nil"/>
            </w:tcBorders>
            <w:vAlign w:val="bottom"/>
          </w:tcPr>
          <w:p w14:paraId="45FBBE17" w14:textId="77777777" w:rsidR="009B1956" w:rsidRPr="00F36B82" w:rsidRDefault="009B1956" w:rsidP="00887449">
            <w:pPr>
              <w:jc w:val="right"/>
              <w:rPr>
                <w:b/>
                <w:sz w:val="14"/>
                <w:szCs w:val="14"/>
              </w:rPr>
            </w:pPr>
            <w:r w:rsidRPr="00F36B82">
              <w:rPr>
                <w:b/>
                <w:bCs/>
                <w:color w:val="000000"/>
                <w:sz w:val="14"/>
                <w:szCs w:val="14"/>
              </w:rPr>
              <w:t>16.653.766</w:t>
            </w:r>
          </w:p>
        </w:tc>
        <w:tc>
          <w:tcPr>
            <w:tcW w:w="272" w:type="pct"/>
            <w:tcBorders>
              <w:top w:val="single" w:sz="4" w:space="0" w:color="auto"/>
              <w:left w:val="nil"/>
              <w:bottom w:val="single" w:sz="12" w:space="0" w:color="auto"/>
              <w:right w:val="nil"/>
            </w:tcBorders>
            <w:vAlign w:val="bottom"/>
          </w:tcPr>
          <w:p w14:paraId="65B8527E" w14:textId="77777777" w:rsidR="009B1956" w:rsidRPr="00F36B82" w:rsidRDefault="009B1956" w:rsidP="00887449">
            <w:pPr>
              <w:jc w:val="right"/>
              <w:rPr>
                <w:b/>
                <w:sz w:val="14"/>
                <w:szCs w:val="14"/>
              </w:rPr>
            </w:pPr>
            <w:r w:rsidRPr="00F36B82">
              <w:rPr>
                <w:b/>
                <w:bCs/>
                <w:color w:val="000000"/>
                <w:sz w:val="14"/>
                <w:szCs w:val="14"/>
              </w:rPr>
              <w:t>8.552.952</w:t>
            </w:r>
          </w:p>
        </w:tc>
        <w:tc>
          <w:tcPr>
            <w:tcW w:w="273" w:type="pct"/>
            <w:tcBorders>
              <w:top w:val="single" w:sz="4" w:space="0" w:color="auto"/>
              <w:left w:val="nil"/>
              <w:bottom w:val="single" w:sz="12" w:space="0" w:color="auto"/>
              <w:right w:val="nil"/>
            </w:tcBorders>
            <w:vAlign w:val="bottom"/>
          </w:tcPr>
          <w:p w14:paraId="6B419951" w14:textId="77777777" w:rsidR="009B1956" w:rsidRPr="00F36B82" w:rsidRDefault="009B1956" w:rsidP="00887449">
            <w:pPr>
              <w:jc w:val="right"/>
              <w:rPr>
                <w:b/>
                <w:sz w:val="14"/>
                <w:szCs w:val="14"/>
              </w:rPr>
            </w:pPr>
            <w:r w:rsidRPr="00F36B82">
              <w:rPr>
                <w:b/>
                <w:bCs/>
                <w:color w:val="000000"/>
                <w:sz w:val="14"/>
                <w:szCs w:val="14"/>
              </w:rPr>
              <w:t>25.206.718</w:t>
            </w:r>
          </w:p>
        </w:tc>
      </w:tr>
    </w:tbl>
    <w:p w14:paraId="77652776" w14:textId="77777777" w:rsidR="009B1956" w:rsidRPr="00471CBA" w:rsidRDefault="009B1956" w:rsidP="009B1956"/>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4801"/>
        <w:gridCol w:w="5943"/>
      </w:tblGrid>
      <w:tr w:rsidR="009B1956" w:rsidRPr="00471CBA" w14:paraId="237A1F34" w14:textId="77777777" w:rsidTr="00887449">
        <w:tc>
          <w:tcPr>
            <w:tcW w:w="3828" w:type="dxa"/>
          </w:tcPr>
          <w:p w14:paraId="7EA7C4DC" w14:textId="77777777" w:rsidR="009B1956" w:rsidRPr="00471CBA" w:rsidRDefault="009B1956" w:rsidP="00887449">
            <w:pPr>
              <w:rPr>
                <w:sz w:val="12"/>
                <w:szCs w:val="16"/>
              </w:rPr>
            </w:pPr>
            <w:r w:rsidRPr="00471CBA">
              <w:rPr>
                <w:sz w:val="12"/>
                <w:szCs w:val="16"/>
              </w:rPr>
              <w:t>1- Merkezi yönetimlerden veya merkez bankalarından alacaklar</w:t>
            </w:r>
          </w:p>
          <w:p w14:paraId="05383AD0" w14:textId="77777777" w:rsidR="009B1956" w:rsidRPr="00471CBA" w:rsidRDefault="009B1956" w:rsidP="00887449">
            <w:pPr>
              <w:rPr>
                <w:sz w:val="12"/>
                <w:szCs w:val="16"/>
              </w:rPr>
            </w:pPr>
            <w:r w:rsidRPr="00471CBA">
              <w:rPr>
                <w:sz w:val="12"/>
                <w:szCs w:val="16"/>
              </w:rPr>
              <w:t>2- Bölgesel yönetimlerden veya yerel yönetimlerden alacaklar</w:t>
            </w:r>
          </w:p>
          <w:p w14:paraId="59350006" w14:textId="77777777" w:rsidR="009B1956" w:rsidRPr="00471CBA" w:rsidRDefault="009B1956" w:rsidP="00887449">
            <w:pPr>
              <w:rPr>
                <w:sz w:val="12"/>
                <w:szCs w:val="16"/>
              </w:rPr>
            </w:pPr>
            <w:r w:rsidRPr="00471CBA">
              <w:rPr>
                <w:sz w:val="12"/>
                <w:szCs w:val="16"/>
              </w:rPr>
              <w:t>3- İdari birimlerden ve ticari olmayan girişimlerden alacaklar</w:t>
            </w:r>
          </w:p>
          <w:p w14:paraId="614EC470" w14:textId="77777777" w:rsidR="009B1956" w:rsidRPr="00471CBA" w:rsidRDefault="009B1956" w:rsidP="00887449">
            <w:pPr>
              <w:rPr>
                <w:sz w:val="12"/>
                <w:szCs w:val="16"/>
              </w:rPr>
            </w:pPr>
            <w:r w:rsidRPr="00471CBA">
              <w:rPr>
                <w:sz w:val="12"/>
                <w:szCs w:val="16"/>
              </w:rPr>
              <w:t>4- Çok taraflı kalkınma bankalarından alacaklar</w:t>
            </w:r>
          </w:p>
          <w:p w14:paraId="25D2E9DC" w14:textId="77777777" w:rsidR="009B1956" w:rsidRPr="00471CBA" w:rsidRDefault="009B1956" w:rsidP="00887449">
            <w:pPr>
              <w:rPr>
                <w:sz w:val="12"/>
                <w:szCs w:val="16"/>
              </w:rPr>
            </w:pPr>
            <w:r w:rsidRPr="00471CBA">
              <w:rPr>
                <w:sz w:val="12"/>
                <w:szCs w:val="16"/>
              </w:rPr>
              <w:t>5- Uluslararası teşkilatlardan alacaklar</w:t>
            </w:r>
          </w:p>
          <w:p w14:paraId="2762695A" w14:textId="77777777" w:rsidR="009B1956" w:rsidRPr="00471CBA" w:rsidRDefault="009B1956" w:rsidP="00887449">
            <w:pPr>
              <w:rPr>
                <w:sz w:val="12"/>
                <w:szCs w:val="16"/>
              </w:rPr>
            </w:pPr>
            <w:r w:rsidRPr="00471CBA">
              <w:rPr>
                <w:sz w:val="12"/>
                <w:szCs w:val="16"/>
              </w:rPr>
              <w:t>6- Bankalar ve aracı kurumlardan alacaklar</w:t>
            </w:r>
          </w:p>
        </w:tc>
        <w:tc>
          <w:tcPr>
            <w:tcW w:w="4801" w:type="dxa"/>
          </w:tcPr>
          <w:p w14:paraId="05705FAA" w14:textId="77777777" w:rsidR="009B1956" w:rsidRPr="00471CBA" w:rsidRDefault="009B1956" w:rsidP="00887449">
            <w:pPr>
              <w:rPr>
                <w:sz w:val="12"/>
                <w:szCs w:val="16"/>
              </w:rPr>
            </w:pPr>
            <w:r w:rsidRPr="00471CBA">
              <w:rPr>
                <w:sz w:val="12"/>
                <w:szCs w:val="16"/>
              </w:rPr>
              <w:t>7- Kurumsal alacaklar</w:t>
            </w:r>
          </w:p>
          <w:p w14:paraId="4312B88D" w14:textId="77777777" w:rsidR="009B1956" w:rsidRPr="00471CBA" w:rsidRDefault="009B1956" w:rsidP="00887449">
            <w:pPr>
              <w:rPr>
                <w:sz w:val="12"/>
                <w:szCs w:val="16"/>
              </w:rPr>
            </w:pPr>
            <w:r w:rsidRPr="00471CBA">
              <w:rPr>
                <w:sz w:val="12"/>
                <w:szCs w:val="16"/>
              </w:rPr>
              <w:t>8- Perakende alacaklar</w:t>
            </w:r>
          </w:p>
          <w:p w14:paraId="403ED11D" w14:textId="77777777" w:rsidR="009B1956" w:rsidRPr="00471CBA" w:rsidRDefault="009B1956" w:rsidP="00887449">
            <w:pPr>
              <w:rPr>
                <w:sz w:val="12"/>
                <w:szCs w:val="16"/>
              </w:rPr>
            </w:pPr>
            <w:r w:rsidRPr="00471CBA">
              <w:rPr>
                <w:sz w:val="12"/>
                <w:szCs w:val="16"/>
              </w:rPr>
              <w:t>9- Gayrimenkul ipoteğiyle teminatlandırılmış alacaklar</w:t>
            </w:r>
          </w:p>
          <w:p w14:paraId="44E921D9" w14:textId="77777777" w:rsidR="009B1956" w:rsidRPr="00471CBA" w:rsidRDefault="009B1956" w:rsidP="00887449">
            <w:pPr>
              <w:rPr>
                <w:sz w:val="12"/>
                <w:szCs w:val="16"/>
              </w:rPr>
            </w:pPr>
            <w:r w:rsidRPr="00471CBA">
              <w:rPr>
                <w:sz w:val="12"/>
                <w:szCs w:val="16"/>
              </w:rPr>
              <w:t>10- Tahsili gecikmiş alacaklar</w:t>
            </w:r>
          </w:p>
          <w:p w14:paraId="3EC45348" w14:textId="77777777" w:rsidR="009B1956" w:rsidRPr="00471CBA" w:rsidRDefault="009B1956" w:rsidP="00887449">
            <w:pPr>
              <w:rPr>
                <w:sz w:val="12"/>
                <w:szCs w:val="16"/>
              </w:rPr>
            </w:pPr>
            <w:r w:rsidRPr="00471CBA">
              <w:rPr>
                <w:sz w:val="12"/>
                <w:szCs w:val="16"/>
              </w:rPr>
              <w:t>11- Kurulca riski yüksek olarak belirlenen alacaklar</w:t>
            </w:r>
          </w:p>
          <w:p w14:paraId="0CBBB5A5" w14:textId="77777777" w:rsidR="009B1956" w:rsidRPr="00471CBA" w:rsidRDefault="009B1956" w:rsidP="00887449">
            <w:pPr>
              <w:rPr>
                <w:sz w:val="12"/>
                <w:szCs w:val="16"/>
              </w:rPr>
            </w:pPr>
            <w:r w:rsidRPr="00471CBA">
              <w:rPr>
                <w:sz w:val="12"/>
                <w:szCs w:val="16"/>
              </w:rPr>
              <w:t>12- Teminatlı menkul kıymetler</w:t>
            </w:r>
          </w:p>
        </w:tc>
        <w:tc>
          <w:tcPr>
            <w:tcW w:w="5943" w:type="dxa"/>
          </w:tcPr>
          <w:p w14:paraId="18342F2B" w14:textId="77777777" w:rsidR="009B1956" w:rsidRPr="00471CBA" w:rsidRDefault="009B1956" w:rsidP="00887449">
            <w:pPr>
              <w:rPr>
                <w:sz w:val="12"/>
                <w:szCs w:val="16"/>
              </w:rPr>
            </w:pPr>
            <w:r w:rsidRPr="00471CBA">
              <w:rPr>
                <w:sz w:val="12"/>
                <w:szCs w:val="16"/>
              </w:rPr>
              <w:t>13- Menkul kıymetleştirme pozisyonları</w:t>
            </w:r>
          </w:p>
          <w:p w14:paraId="25024F40" w14:textId="77777777" w:rsidR="009B1956" w:rsidRPr="00471CBA" w:rsidRDefault="009B1956" w:rsidP="00887449">
            <w:pPr>
              <w:rPr>
                <w:sz w:val="12"/>
                <w:szCs w:val="16"/>
              </w:rPr>
            </w:pPr>
            <w:r w:rsidRPr="00471CBA">
              <w:rPr>
                <w:sz w:val="12"/>
                <w:szCs w:val="16"/>
              </w:rPr>
              <w:t>14- Bankalar ve aracı kurumlardan olan kısa vadeli alacaklar ile kısa vadeli kurumsal alacaklar</w:t>
            </w:r>
          </w:p>
          <w:p w14:paraId="64A720CA" w14:textId="77777777" w:rsidR="009B1956" w:rsidRPr="00471CBA" w:rsidRDefault="009B1956" w:rsidP="00887449">
            <w:pPr>
              <w:rPr>
                <w:sz w:val="12"/>
                <w:szCs w:val="16"/>
              </w:rPr>
            </w:pPr>
            <w:r w:rsidRPr="00471CBA">
              <w:rPr>
                <w:sz w:val="12"/>
                <w:szCs w:val="16"/>
              </w:rPr>
              <w:t>15- Kolektif yatırım kuruluşu niteliğindeki yatırımlar</w:t>
            </w:r>
          </w:p>
          <w:p w14:paraId="7AA1DDB7" w14:textId="77777777" w:rsidR="009B1956" w:rsidRPr="00471CBA" w:rsidRDefault="009B1956" w:rsidP="00887449">
            <w:pPr>
              <w:rPr>
                <w:sz w:val="12"/>
                <w:szCs w:val="16"/>
              </w:rPr>
            </w:pPr>
            <w:r w:rsidRPr="00471CBA">
              <w:rPr>
                <w:sz w:val="12"/>
                <w:szCs w:val="16"/>
              </w:rPr>
              <w:t>16- Hisse senedi yatırımları</w:t>
            </w:r>
          </w:p>
          <w:p w14:paraId="2EC3AABF" w14:textId="77777777" w:rsidR="009B1956" w:rsidRPr="00471CBA" w:rsidRDefault="009B1956" w:rsidP="00887449">
            <w:pPr>
              <w:rPr>
                <w:sz w:val="12"/>
                <w:szCs w:val="16"/>
              </w:rPr>
            </w:pPr>
            <w:r w:rsidRPr="00471CBA">
              <w:rPr>
                <w:sz w:val="12"/>
                <w:szCs w:val="16"/>
              </w:rPr>
              <w:t>17- Diğer alacaklar</w:t>
            </w:r>
          </w:p>
        </w:tc>
      </w:tr>
    </w:tbl>
    <w:p w14:paraId="3ED6C008" w14:textId="243B11A9" w:rsidR="009B1956" w:rsidRPr="00471CBA" w:rsidRDefault="009B1956">
      <w:r w:rsidRPr="00471CBA">
        <w:br w:type="page"/>
      </w:r>
    </w:p>
    <w:p w14:paraId="092142C9" w14:textId="77777777" w:rsidR="00F91828" w:rsidRPr="00471CBA" w:rsidRDefault="00F91828" w:rsidP="00F91828">
      <w:pPr>
        <w:sectPr w:rsidR="00F91828" w:rsidRPr="00471CBA" w:rsidSect="007B7B09">
          <w:pgSz w:w="16840" w:h="11907" w:orient="landscape" w:code="9"/>
          <w:pgMar w:top="1134" w:right="1134" w:bottom="1134" w:left="1134" w:header="851" w:footer="851" w:gutter="0"/>
          <w:cols w:space="708"/>
          <w:titlePg/>
          <w:docGrid w:linePitch="360"/>
        </w:sectPr>
      </w:pPr>
    </w:p>
    <w:p w14:paraId="74526715" w14:textId="77777777" w:rsidR="00D32D13" w:rsidRPr="00471CBA" w:rsidRDefault="00D32D13" w:rsidP="00D32D13">
      <w:pPr>
        <w:rPr>
          <w:b/>
          <w:szCs w:val="20"/>
        </w:rPr>
      </w:pPr>
      <w:r w:rsidRPr="00471CBA">
        <w:rPr>
          <w:b/>
          <w:szCs w:val="20"/>
        </w:rPr>
        <w:lastRenderedPageBreak/>
        <w:t>MALİ BÜNYEYE VE RİSK YÖNETİMİNE İLİŞKİN BİLGİLER (Devamı)</w:t>
      </w:r>
    </w:p>
    <w:p w14:paraId="7202CF0C" w14:textId="77777777" w:rsidR="00DC0101" w:rsidRDefault="00DC0101" w:rsidP="00A15F5D">
      <w:pPr>
        <w:autoSpaceDE w:val="0"/>
        <w:autoSpaceDN w:val="0"/>
        <w:adjustRightInd w:val="0"/>
        <w:spacing w:after="120"/>
        <w:jc w:val="both"/>
        <w:rPr>
          <w:b/>
          <w:szCs w:val="20"/>
        </w:rPr>
      </w:pPr>
    </w:p>
    <w:p w14:paraId="61408FF3" w14:textId="3A5BE23B" w:rsidR="00F91828" w:rsidRPr="00471CBA" w:rsidRDefault="00F91828" w:rsidP="00A15F5D">
      <w:pPr>
        <w:autoSpaceDE w:val="0"/>
        <w:autoSpaceDN w:val="0"/>
        <w:adjustRightInd w:val="0"/>
        <w:spacing w:after="120"/>
        <w:jc w:val="both"/>
        <w:rPr>
          <w:b/>
          <w:szCs w:val="20"/>
        </w:rPr>
      </w:pPr>
      <w:r w:rsidRPr="00471CBA">
        <w:rPr>
          <w:b/>
          <w:szCs w:val="20"/>
        </w:rPr>
        <w:t>II.</w:t>
      </w:r>
      <w:r w:rsidRPr="00471CBA">
        <w:rPr>
          <w:b/>
          <w:szCs w:val="20"/>
        </w:rPr>
        <w:tab/>
        <w:t>KREDİ RİSKİNE İLİŞKİN AÇIKLAMALAR (Devamı)</w:t>
      </w:r>
    </w:p>
    <w:p w14:paraId="04DF444F" w14:textId="77777777" w:rsidR="00F91828" w:rsidRPr="00471CBA" w:rsidRDefault="00F91828" w:rsidP="00F91828">
      <w:pPr>
        <w:spacing w:before="60" w:after="120"/>
        <w:rPr>
          <w:b/>
          <w:szCs w:val="20"/>
        </w:rPr>
      </w:pPr>
      <w:r w:rsidRPr="00471CBA">
        <w:rPr>
          <w:b/>
          <w:szCs w:val="20"/>
        </w:rPr>
        <w:t>Vade Unsuru Taşıyan Risklerin Kalan Vadelerine Göre Dağılımı:</w:t>
      </w:r>
    </w:p>
    <w:tbl>
      <w:tblPr>
        <w:tblW w:w="5000" w:type="pct"/>
        <w:tblLook w:val="01E0" w:firstRow="1" w:lastRow="1" w:firstColumn="1" w:lastColumn="1" w:noHBand="0" w:noVBand="0"/>
      </w:tblPr>
      <w:tblGrid>
        <w:gridCol w:w="508"/>
        <w:gridCol w:w="3354"/>
        <w:gridCol w:w="1074"/>
        <w:gridCol w:w="1074"/>
        <w:gridCol w:w="1074"/>
        <w:gridCol w:w="1074"/>
        <w:gridCol w:w="1481"/>
      </w:tblGrid>
      <w:tr w:rsidR="00F91828" w:rsidRPr="00471CBA" w14:paraId="3B117122" w14:textId="77777777" w:rsidTr="00B0049C">
        <w:trPr>
          <w:cantSplit/>
          <w:trHeight w:val="20"/>
        </w:trPr>
        <w:tc>
          <w:tcPr>
            <w:tcW w:w="264" w:type="pct"/>
            <w:tcBorders>
              <w:top w:val="single" w:sz="4" w:space="0" w:color="auto"/>
              <w:left w:val="nil"/>
              <w:bottom w:val="single" w:sz="4" w:space="0" w:color="auto"/>
              <w:right w:val="nil"/>
            </w:tcBorders>
            <w:vAlign w:val="bottom"/>
          </w:tcPr>
          <w:p w14:paraId="044C34D0" w14:textId="77777777" w:rsidR="00F91828" w:rsidRPr="00471CBA" w:rsidRDefault="00F91828" w:rsidP="00B0049C">
            <w:pPr>
              <w:rPr>
                <w:b/>
                <w:sz w:val="18"/>
                <w:szCs w:val="18"/>
              </w:rPr>
            </w:pPr>
          </w:p>
        </w:tc>
        <w:tc>
          <w:tcPr>
            <w:tcW w:w="1740" w:type="pct"/>
            <w:tcBorders>
              <w:top w:val="single" w:sz="4" w:space="0" w:color="auto"/>
              <w:left w:val="nil"/>
              <w:bottom w:val="single" w:sz="4" w:space="0" w:color="auto"/>
              <w:right w:val="nil"/>
            </w:tcBorders>
            <w:vAlign w:val="bottom"/>
          </w:tcPr>
          <w:p w14:paraId="7A92C62F" w14:textId="34999365" w:rsidR="00F91828" w:rsidRPr="00471CBA" w:rsidRDefault="002411D3" w:rsidP="00B0049C">
            <w:pPr>
              <w:rPr>
                <w:sz w:val="18"/>
                <w:szCs w:val="18"/>
              </w:rPr>
            </w:pPr>
            <w:r w:rsidRPr="00471CBA">
              <w:rPr>
                <w:b/>
                <w:bCs/>
                <w:sz w:val="18"/>
                <w:szCs w:val="18"/>
              </w:rPr>
              <w:t>31 Aralık 2025</w:t>
            </w:r>
          </w:p>
        </w:tc>
        <w:tc>
          <w:tcPr>
            <w:tcW w:w="2997" w:type="pct"/>
            <w:gridSpan w:val="5"/>
            <w:tcBorders>
              <w:top w:val="single" w:sz="4" w:space="0" w:color="auto"/>
              <w:left w:val="nil"/>
              <w:bottom w:val="single" w:sz="4" w:space="0" w:color="auto"/>
              <w:right w:val="nil"/>
            </w:tcBorders>
            <w:vAlign w:val="bottom"/>
            <w:hideMark/>
          </w:tcPr>
          <w:p w14:paraId="6BC9E2DF" w14:textId="77777777" w:rsidR="00F91828" w:rsidRPr="00471CBA" w:rsidRDefault="00F91828" w:rsidP="00B0049C">
            <w:pPr>
              <w:spacing w:line="240" w:lineRule="exact"/>
              <w:jc w:val="center"/>
              <w:rPr>
                <w:b/>
                <w:sz w:val="18"/>
                <w:szCs w:val="18"/>
              </w:rPr>
            </w:pPr>
            <w:r w:rsidRPr="00471CBA">
              <w:rPr>
                <w:b/>
                <w:sz w:val="18"/>
                <w:szCs w:val="18"/>
              </w:rPr>
              <w:t>Vadeye Kalan Süre</w:t>
            </w:r>
          </w:p>
        </w:tc>
      </w:tr>
      <w:tr w:rsidR="00F91828" w:rsidRPr="00E87B78" w14:paraId="1F640F1F" w14:textId="77777777" w:rsidTr="00B0049C">
        <w:trPr>
          <w:cantSplit/>
          <w:trHeight w:val="20"/>
        </w:trPr>
        <w:tc>
          <w:tcPr>
            <w:tcW w:w="264" w:type="pct"/>
            <w:tcBorders>
              <w:top w:val="single" w:sz="4" w:space="0" w:color="auto"/>
              <w:left w:val="nil"/>
              <w:bottom w:val="single" w:sz="4" w:space="0" w:color="auto"/>
              <w:right w:val="nil"/>
            </w:tcBorders>
            <w:vAlign w:val="bottom"/>
            <w:hideMark/>
          </w:tcPr>
          <w:p w14:paraId="272E0363" w14:textId="77777777" w:rsidR="00F91828" w:rsidRPr="00E87B78" w:rsidRDefault="00F91828" w:rsidP="00B0049C">
            <w:pPr>
              <w:rPr>
                <w:b/>
                <w:sz w:val="18"/>
                <w:szCs w:val="18"/>
              </w:rPr>
            </w:pPr>
          </w:p>
        </w:tc>
        <w:tc>
          <w:tcPr>
            <w:tcW w:w="1740" w:type="pct"/>
            <w:tcBorders>
              <w:top w:val="single" w:sz="4" w:space="0" w:color="auto"/>
              <w:left w:val="nil"/>
              <w:bottom w:val="single" w:sz="4" w:space="0" w:color="auto"/>
              <w:right w:val="nil"/>
            </w:tcBorders>
            <w:vAlign w:val="bottom"/>
            <w:hideMark/>
          </w:tcPr>
          <w:p w14:paraId="2B44C53B" w14:textId="77777777" w:rsidR="00F91828" w:rsidRPr="00E87B78" w:rsidRDefault="00F91828" w:rsidP="00B0049C">
            <w:pPr>
              <w:ind w:hanging="10"/>
              <w:rPr>
                <w:b/>
                <w:sz w:val="18"/>
                <w:szCs w:val="18"/>
              </w:rPr>
            </w:pPr>
            <w:r w:rsidRPr="00E87B78">
              <w:rPr>
                <w:b/>
                <w:sz w:val="18"/>
                <w:szCs w:val="18"/>
              </w:rPr>
              <w:t>Risk Sınıfları</w:t>
            </w:r>
          </w:p>
        </w:tc>
        <w:tc>
          <w:tcPr>
            <w:tcW w:w="557" w:type="pct"/>
            <w:tcBorders>
              <w:top w:val="single" w:sz="4" w:space="0" w:color="auto"/>
              <w:left w:val="nil"/>
              <w:bottom w:val="single" w:sz="4" w:space="0" w:color="auto"/>
              <w:right w:val="nil"/>
            </w:tcBorders>
            <w:vAlign w:val="bottom"/>
            <w:hideMark/>
          </w:tcPr>
          <w:p w14:paraId="084F413A" w14:textId="77777777" w:rsidR="00F91828" w:rsidRPr="00E87B78" w:rsidRDefault="00F91828" w:rsidP="00B0049C">
            <w:pPr>
              <w:spacing w:line="240" w:lineRule="exact"/>
              <w:jc w:val="right"/>
              <w:rPr>
                <w:b/>
                <w:sz w:val="18"/>
                <w:szCs w:val="18"/>
              </w:rPr>
            </w:pPr>
            <w:r w:rsidRPr="00E87B78">
              <w:rPr>
                <w:b/>
                <w:sz w:val="18"/>
                <w:szCs w:val="18"/>
              </w:rPr>
              <w:t>1 ay</w:t>
            </w:r>
          </w:p>
        </w:tc>
        <w:tc>
          <w:tcPr>
            <w:tcW w:w="557" w:type="pct"/>
            <w:tcBorders>
              <w:top w:val="single" w:sz="4" w:space="0" w:color="auto"/>
              <w:left w:val="nil"/>
              <w:bottom w:val="single" w:sz="4" w:space="0" w:color="auto"/>
              <w:right w:val="nil"/>
            </w:tcBorders>
            <w:vAlign w:val="bottom"/>
            <w:hideMark/>
          </w:tcPr>
          <w:p w14:paraId="63860AE9" w14:textId="77777777" w:rsidR="00F91828" w:rsidRPr="00E87B78" w:rsidRDefault="00F91828" w:rsidP="00B0049C">
            <w:pPr>
              <w:spacing w:line="240" w:lineRule="exact"/>
              <w:jc w:val="right"/>
              <w:rPr>
                <w:b/>
                <w:sz w:val="18"/>
                <w:szCs w:val="18"/>
              </w:rPr>
            </w:pPr>
            <w:r w:rsidRPr="00E87B78">
              <w:rPr>
                <w:b/>
                <w:sz w:val="18"/>
                <w:szCs w:val="18"/>
              </w:rPr>
              <w:t>1–3 ay</w:t>
            </w:r>
          </w:p>
        </w:tc>
        <w:tc>
          <w:tcPr>
            <w:tcW w:w="557" w:type="pct"/>
            <w:tcBorders>
              <w:top w:val="single" w:sz="4" w:space="0" w:color="auto"/>
              <w:left w:val="nil"/>
              <w:bottom w:val="single" w:sz="4" w:space="0" w:color="auto"/>
              <w:right w:val="nil"/>
            </w:tcBorders>
            <w:vAlign w:val="bottom"/>
            <w:hideMark/>
          </w:tcPr>
          <w:p w14:paraId="285D795E" w14:textId="77777777" w:rsidR="00F91828" w:rsidRPr="00E87B78" w:rsidRDefault="00F91828" w:rsidP="00B0049C">
            <w:pPr>
              <w:spacing w:line="240" w:lineRule="exact"/>
              <w:jc w:val="right"/>
              <w:rPr>
                <w:b/>
                <w:sz w:val="18"/>
                <w:szCs w:val="18"/>
              </w:rPr>
            </w:pPr>
            <w:r w:rsidRPr="00E87B78">
              <w:rPr>
                <w:b/>
                <w:sz w:val="18"/>
                <w:szCs w:val="18"/>
              </w:rPr>
              <w:t>3–6 ay</w:t>
            </w:r>
          </w:p>
        </w:tc>
        <w:tc>
          <w:tcPr>
            <w:tcW w:w="557" w:type="pct"/>
            <w:tcBorders>
              <w:top w:val="single" w:sz="4" w:space="0" w:color="auto"/>
              <w:left w:val="nil"/>
              <w:bottom w:val="single" w:sz="4" w:space="0" w:color="auto"/>
              <w:right w:val="nil"/>
            </w:tcBorders>
            <w:vAlign w:val="bottom"/>
            <w:hideMark/>
          </w:tcPr>
          <w:p w14:paraId="2505D421" w14:textId="77777777" w:rsidR="00F91828" w:rsidRPr="00E87B78" w:rsidRDefault="00F91828" w:rsidP="00B0049C">
            <w:pPr>
              <w:spacing w:line="240" w:lineRule="exact"/>
              <w:jc w:val="right"/>
              <w:rPr>
                <w:b/>
                <w:sz w:val="18"/>
                <w:szCs w:val="18"/>
              </w:rPr>
            </w:pPr>
            <w:r w:rsidRPr="00E87B78">
              <w:rPr>
                <w:b/>
                <w:sz w:val="18"/>
                <w:szCs w:val="18"/>
              </w:rPr>
              <w:t>6–12 ay</w:t>
            </w:r>
          </w:p>
        </w:tc>
        <w:tc>
          <w:tcPr>
            <w:tcW w:w="768" w:type="pct"/>
            <w:tcBorders>
              <w:top w:val="single" w:sz="4" w:space="0" w:color="auto"/>
              <w:left w:val="nil"/>
              <w:bottom w:val="single" w:sz="4" w:space="0" w:color="auto"/>
              <w:right w:val="nil"/>
            </w:tcBorders>
            <w:vAlign w:val="bottom"/>
            <w:hideMark/>
          </w:tcPr>
          <w:p w14:paraId="6BA7CCAE" w14:textId="77777777" w:rsidR="00F91828" w:rsidRPr="00E87B78" w:rsidRDefault="00F91828" w:rsidP="00B0049C">
            <w:pPr>
              <w:spacing w:line="240" w:lineRule="exact"/>
              <w:jc w:val="right"/>
              <w:rPr>
                <w:b/>
                <w:sz w:val="18"/>
                <w:szCs w:val="18"/>
              </w:rPr>
            </w:pPr>
            <w:r w:rsidRPr="00E87B78">
              <w:rPr>
                <w:b/>
                <w:sz w:val="18"/>
                <w:szCs w:val="18"/>
              </w:rPr>
              <w:t>1 yıl üzeri</w:t>
            </w:r>
          </w:p>
        </w:tc>
      </w:tr>
      <w:tr w:rsidR="002411D3" w:rsidRPr="00E87B78" w14:paraId="6FC78D1D" w14:textId="77777777" w:rsidTr="002411D3">
        <w:trPr>
          <w:cantSplit/>
          <w:trHeight w:val="20"/>
        </w:trPr>
        <w:tc>
          <w:tcPr>
            <w:tcW w:w="264" w:type="pct"/>
            <w:tcBorders>
              <w:top w:val="single" w:sz="4" w:space="0" w:color="auto"/>
              <w:left w:val="nil"/>
              <w:bottom w:val="nil"/>
              <w:right w:val="nil"/>
            </w:tcBorders>
            <w:hideMark/>
          </w:tcPr>
          <w:p w14:paraId="5CA4DEEB" w14:textId="77777777" w:rsidR="002411D3" w:rsidRPr="00E87B78" w:rsidRDefault="002411D3" w:rsidP="002411D3">
            <w:pPr>
              <w:spacing w:line="240" w:lineRule="exact"/>
              <w:rPr>
                <w:sz w:val="18"/>
                <w:szCs w:val="18"/>
              </w:rPr>
            </w:pPr>
            <w:r w:rsidRPr="00E87B78">
              <w:rPr>
                <w:sz w:val="18"/>
                <w:szCs w:val="18"/>
              </w:rPr>
              <w:t>1</w:t>
            </w:r>
          </w:p>
        </w:tc>
        <w:tc>
          <w:tcPr>
            <w:tcW w:w="1740" w:type="pct"/>
            <w:tcBorders>
              <w:top w:val="single" w:sz="4" w:space="0" w:color="auto"/>
              <w:left w:val="nil"/>
              <w:bottom w:val="nil"/>
              <w:right w:val="nil"/>
            </w:tcBorders>
            <w:vAlign w:val="bottom"/>
            <w:hideMark/>
          </w:tcPr>
          <w:p w14:paraId="3C08C23A" w14:textId="77777777" w:rsidR="002411D3" w:rsidRPr="00E87B78" w:rsidRDefault="002411D3" w:rsidP="002411D3">
            <w:pPr>
              <w:ind w:left="-10"/>
              <w:rPr>
                <w:sz w:val="18"/>
                <w:szCs w:val="18"/>
              </w:rPr>
            </w:pPr>
            <w:r w:rsidRPr="00E87B78">
              <w:rPr>
                <w:sz w:val="18"/>
                <w:szCs w:val="18"/>
              </w:rPr>
              <w:t>Merkezi yönetimlerden veya merkez bankalarından alacaklar</w:t>
            </w:r>
          </w:p>
        </w:tc>
        <w:tc>
          <w:tcPr>
            <w:tcW w:w="557" w:type="pct"/>
            <w:vAlign w:val="bottom"/>
          </w:tcPr>
          <w:p w14:paraId="370FF147" w14:textId="36CBFAA6" w:rsidR="002411D3" w:rsidRPr="00E87B78" w:rsidRDefault="002411D3" w:rsidP="002411D3">
            <w:pPr>
              <w:jc w:val="right"/>
              <w:rPr>
                <w:color w:val="000000"/>
                <w:sz w:val="18"/>
                <w:szCs w:val="18"/>
              </w:rPr>
            </w:pPr>
            <w:r w:rsidRPr="00E87B78">
              <w:rPr>
                <w:color w:val="000000"/>
                <w:sz w:val="18"/>
                <w:szCs w:val="18"/>
              </w:rPr>
              <w:t>14.800.002</w:t>
            </w:r>
          </w:p>
        </w:tc>
        <w:tc>
          <w:tcPr>
            <w:tcW w:w="557" w:type="pct"/>
            <w:vAlign w:val="bottom"/>
          </w:tcPr>
          <w:p w14:paraId="79A81232" w14:textId="33A969CC" w:rsidR="002411D3" w:rsidRPr="00E87B78" w:rsidRDefault="002411D3" w:rsidP="002411D3">
            <w:pPr>
              <w:jc w:val="right"/>
              <w:rPr>
                <w:color w:val="000000"/>
                <w:sz w:val="18"/>
                <w:szCs w:val="18"/>
              </w:rPr>
            </w:pPr>
            <w:r w:rsidRPr="00E87B78">
              <w:rPr>
                <w:color w:val="000000"/>
                <w:sz w:val="18"/>
                <w:szCs w:val="18"/>
              </w:rPr>
              <w:t>-</w:t>
            </w:r>
          </w:p>
        </w:tc>
        <w:tc>
          <w:tcPr>
            <w:tcW w:w="557" w:type="pct"/>
            <w:vAlign w:val="bottom"/>
          </w:tcPr>
          <w:p w14:paraId="3FCF0D76" w14:textId="647E762A" w:rsidR="002411D3" w:rsidRPr="00E87B78" w:rsidRDefault="002411D3" w:rsidP="002411D3">
            <w:pPr>
              <w:jc w:val="right"/>
              <w:rPr>
                <w:color w:val="000000"/>
                <w:sz w:val="18"/>
                <w:szCs w:val="18"/>
              </w:rPr>
            </w:pPr>
            <w:r w:rsidRPr="00E87B78">
              <w:rPr>
                <w:color w:val="000000"/>
                <w:sz w:val="18"/>
                <w:szCs w:val="18"/>
              </w:rPr>
              <w:t>709.400</w:t>
            </w:r>
          </w:p>
        </w:tc>
        <w:tc>
          <w:tcPr>
            <w:tcW w:w="557" w:type="pct"/>
            <w:vAlign w:val="bottom"/>
          </w:tcPr>
          <w:p w14:paraId="0544471B" w14:textId="19A62855" w:rsidR="002411D3" w:rsidRPr="00E87B78" w:rsidRDefault="002411D3" w:rsidP="002411D3">
            <w:pPr>
              <w:jc w:val="right"/>
              <w:rPr>
                <w:color w:val="000000"/>
                <w:sz w:val="18"/>
                <w:szCs w:val="18"/>
              </w:rPr>
            </w:pPr>
            <w:r w:rsidRPr="00E87B78">
              <w:rPr>
                <w:color w:val="000000"/>
                <w:sz w:val="18"/>
                <w:szCs w:val="18"/>
              </w:rPr>
              <w:t>690.473</w:t>
            </w:r>
          </w:p>
        </w:tc>
        <w:tc>
          <w:tcPr>
            <w:tcW w:w="768" w:type="pct"/>
            <w:vAlign w:val="bottom"/>
          </w:tcPr>
          <w:p w14:paraId="2768851E" w14:textId="604BF45C" w:rsidR="002411D3" w:rsidRPr="00E87B78" w:rsidRDefault="002411D3" w:rsidP="002411D3">
            <w:pPr>
              <w:jc w:val="right"/>
              <w:rPr>
                <w:color w:val="000000"/>
                <w:sz w:val="18"/>
                <w:szCs w:val="18"/>
              </w:rPr>
            </w:pPr>
            <w:r w:rsidRPr="00E87B78">
              <w:rPr>
                <w:color w:val="000000"/>
                <w:sz w:val="18"/>
                <w:szCs w:val="18"/>
              </w:rPr>
              <w:t>4.081.958</w:t>
            </w:r>
          </w:p>
        </w:tc>
      </w:tr>
      <w:tr w:rsidR="002411D3" w:rsidRPr="00E87B78" w14:paraId="3CEA15AB" w14:textId="77777777" w:rsidTr="002411D3">
        <w:trPr>
          <w:cantSplit/>
          <w:trHeight w:val="20"/>
        </w:trPr>
        <w:tc>
          <w:tcPr>
            <w:tcW w:w="264" w:type="pct"/>
            <w:hideMark/>
          </w:tcPr>
          <w:p w14:paraId="557D7ABC" w14:textId="77777777" w:rsidR="002411D3" w:rsidRPr="00E87B78" w:rsidRDefault="002411D3" w:rsidP="002411D3">
            <w:pPr>
              <w:spacing w:line="240" w:lineRule="exact"/>
              <w:rPr>
                <w:sz w:val="18"/>
                <w:szCs w:val="18"/>
              </w:rPr>
            </w:pPr>
            <w:r w:rsidRPr="00E87B78">
              <w:rPr>
                <w:sz w:val="18"/>
                <w:szCs w:val="18"/>
              </w:rPr>
              <w:t>2</w:t>
            </w:r>
          </w:p>
        </w:tc>
        <w:tc>
          <w:tcPr>
            <w:tcW w:w="1740" w:type="pct"/>
            <w:vAlign w:val="bottom"/>
            <w:hideMark/>
          </w:tcPr>
          <w:p w14:paraId="49DA5909" w14:textId="77777777" w:rsidR="002411D3" w:rsidRPr="00E87B78" w:rsidRDefault="002411D3" w:rsidP="002411D3">
            <w:pPr>
              <w:ind w:left="-10"/>
              <w:rPr>
                <w:sz w:val="18"/>
                <w:szCs w:val="18"/>
              </w:rPr>
            </w:pPr>
            <w:r w:rsidRPr="00E87B78">
              <w:rPr>
                <w:sz w:val="18"/>
                <w:szCs w:val="18"/>
              </w:rPr>
              <w:t>Bölgesel yönetimlerden veya yerel yönetimlerden alacaklar</w:t>
            </w:r>
          </w:p>
        </w:tc>
        <w:tc>
          <w:tcPr>
            <w:tcW w:w="557" w:type="pct"/>
            <w:vAlign w:val="bottom"/>
          </w:tcPr>
          <w:p w14:paraId="589686D5" w14:textId="249CB16B" w:rsidR="002411D3" w:rsidRPr="00E87B78" w:rsidRDefault="002411D3" w:rsidP="002411D3">
            <w:pPr>
              <w:jc w:val="right"/>
              <w:rPr>
                <w:color w:val="000000"/>
                <w:sz w:val="18"/>
                <w:szCs w:val="18"/>
              </w:rPr>
            </w:pPr>
            <w:r w:rsidRPr="00E87B78">
              <w:rPr>
                <w:color w:val="000000"/>
                <w:sz w:val="18"/>
                <w:szCs w:val="18"/>
              </w:rPr>
              <w:t>-</w:t>
            </w:r>
          </w:p>
        </w:tc>
        <w:tc>
          <w:tcPr>
            <w:tcW w:w="557" w:type="pct"/>
            <w:vAlign w:val="bottom"/>
          </w:tcPr>
          <w:p w14:paraId="21BF8E0B" w14:textId="356E49C6" w:rsidR="002411D3" w:rsidRPr="00E87B78" w:rsidRDefault="002411D3" w:rsidP="002411D3">
            <w:pPr>
              <w:jc w:val="right"/>
              <w:rPr>
                <w:color w:val="000000"/>
                <w:sz w:val="18"/>
                <w:szCs w:val="18"/>
              </w:rPr>
            </w:pPr>
            <w:r w:rsidRPr="00E87B78">
              <w:rPr>
                <w:color w:val="000000"/>
                <w:sz w:val="18"/>
                <w:szCs w:val="18"/>
              </w:rPr>
              <w:t>-</w:t>
            </w:r>
          </w:p>
        </w:tc>
        <w:tc>
          <w:tcPr>
            <w:tcW w:w="557" w:type="pct"/>
            <w:vAlign w:val="bottom"/>
          </w:tcPr>
          <w:p w14:paraId="4CB90EB7" w14:textId="1BD4C769" w:rsidR="002411D3" w:rsidRPr="00E87B78" w:rsidRDefault="002411D3" w:rsidP="002411D3">
            <w:pPr>
              <w:jc w:val="right"/>
              <w:rPr>
                <w:color w:val="000000"/>
                <w:sz w:val="18"/>
                <w:szCs w:val="18"/>
              </w:rPr>
            </w:pPr>
            <w:r w:rsidRPr="00E87B78">
              <w:rPr>
                <w:color w:val="000000"/>
                <w:sz w:val="18"/>
                <w:szCs w:val="18"/>
              </w:rPr>
              <w:t>-</w:t>
            </w:r>
          </w:p>
        </w:tc>
        <w:tc>
          <w:tcPr>
            <w:tcW w:w="557" w:type="pct"/>
            <w:vAlign w:val="bottom"/>
          </w:tcPr>
          <w:p w14:paraId="727670B2" w14:textId="18DF8110" w:rsidR="002411D3" w:rsidRPr="00E87B78" w:rsidRDefault="002411D3" w:rsidP="002411D3">
            <w:pPr>
              <w:jc w:val="right"/>
              <w:rPr>
                <w:color w:val="000000"/>
                <w:sz w:val="18"/>
                <w:szCs w:val="18"/>
              </w:rPr>
            </w:pPr>
            <w:r w:rsidRPr="00E87B78">
              <w:rPr>
                <w:color w:val="000000"/>
                <w:sz w:val="18"/>
                <w:szCs w:val="18"/>
              </w:rPr>
              <w:t>-</w:t>
            </w:r>
          </w:p>
        </w:tc>
        <w:tc>
          <w:tcPr>
            <w:tcW w:w="768" w:type="pct"/>
            <w:vAlign w:val="bottom"/>
          </w:tcPr>
          <w:p w14:paraId="44CE6449" w14:textId="78564BC8" w:rsidR="002411D3" w:rsidRPr="00E87B78" w:rsidRDefault="002411D3" w:rsidP="002411D3">
            <w:pPr>
              <w:jc w:val="right"/>
              <w:rPr>
                <w:color w:val="000000"/>
                <w:sz w:val="18"/>
                <w:szCs w:val="18"/>
              </w:rPr>
            </w:pPr>
            <w:r w:rsidRPr="00E87B78">
              <w:rPr>
                <w:color w:val="000000"/>
                <w:sz w:val="18"/>
                <w:szCs w:val="18"/>
              </w:rPr>
              <w:t>-</w:t>
            </w:r>
          </w:p>
        </w:tc>
      </w:tr>
      <w:tr w:rsidR="002411D3" w:rsidRPr="00E87B78" w14:paraId="3DD07603" w14:textId="77777777" w:rsidTr="002411D3">
        <w:trPr>
          <w:cantSplit/>
          <w:trHeight w:val="20"/>
        </w:trPr>
        <w:tc>
          <w:tcPr>
            <w:tcW w:w="264" w:type="pct"/>
            <w:hideMark/>
          </w:tcPr>
          <w:p w14:paraId="7B4E1018" w14:textId="77777777" w:rsidR="002411D3" w:rsidRPr="00E87B78" w:rsidRDefault="002411D3" w:rsidP="002411D3">
            <w:pPr>
              <w:spacing w:line="240" w:lineRule="exact"/>
              <w:rPr>
                <w:sz w:val="18"/>
                <w:szCs w:val="18"/>
              </w:rPr>
            </w:pPr>
            <w:r w:rsidRPr="00E87B78">
              <w:rPr>
                <w:sz w:val="18"/>
                <w:szCs w:val="18"/>
              </w:rPr>
              <w:t>3</w:t>
            </w:r>
          </w:p>
        </w:tc>
        <w:tc>
          <w:tcPr>
            <w:tcW w:w="1740" w:type="pct"/>
            <w:vAlign w:val="bottom"/>
            <w:hideMark/>
          </w:tcPr>
          <w:p w14:paraId="7CCC53CA" w14:textId="77777777" w:rsidR="002411D3" w:rsidRPr="00E87B78" w:rsidRDefault="002411D3" w:rsidP="002411D3">
            <w:pPr>
              <w:ind w:left="-10"/>
              <w:rPr>
                <w:sz w:val="18"/>
                <w:szCs w:val="18"/>
              </w:rPr>
            </w:pPr>
            <w:r w:rsidRPr="00E87B78">
              <w:rPr>
                <w:sz w:val="18"/>
                <w:szCs w:val="18"/>
              </w:rPr>
              <w:t>İdari birimlerden ve ticari olmayan girişimlerden alacaklar</w:t>
            </w:r>
          </w:p>
        </w:tc>
        <w:tc>
          <w:tcPr>
            <w:tcW w:w="557" w:type="pct"/>
            <w:vAlign w:val="bottom"/>
          </w:tcPr>
          <w:p w14:paraId="45B75BF3" w14:textId="7F4CB504" w:rsidR="002411D3" w:rsidRPr="00E87B78" w:rsidRDefault="002411D3" w:rsidP="002411D3">
            <w:pPr>
              <w:jc w:val="right"/>
              <w:rPr>
                <w:color w:val="000000"/>
                <w:sz w:val="18"/>
                <w:szCs w:val="18"/>
              </w:rPr>
            </w:pPr>
            <w:r w:rsidRPr="00E87B78">
              <w:rPr>
                <w:color w:val="000000"/>
                <w:sz w:val="18"/>
                <w:szCs w:val="18"/>
              </w:rPr>
              <w:t>-</w:t>
            </w:r>
          </w:p>
        </w:tc>
        <w:tc>
          <w:tcPr>
            <w:tcW w:w="557" w:type="pct"/>
            <w:vAlign w:val="bottom"/>
          </w:tcPr>
          <w:p w14:paraId="264F64F4" w14:textId="1188694C" w:rsidR="002411D3" w:rsidRPr="00E87B78" w:rsidRDefault="002411D3" w:rsidP="002411D3">
            <w:pPr>
              <w:jc w:val="right"/>
              <w:rPr>
                <w:color w:val="000000"/>
                <w:sz w:val="18"/>
                <w:szCs w:val="18"/>
              </w:rPr>
            </w:pPr>
            <w:r w:rsidRPr="00E87B78">
              <w:rPr>
                <w:color w:val="000000"/>
                <w:sz w:val="18"/>
                <w:szCs w:val="18"/>
              </w:rPr>
              <w:t>-</w:t>
            </w:r>
          </w:p>
        </w:tc>
        <w:tc>
          <w:tcPr>
            <w:tcW w:w="557" w:type="pct"/>
            <w:vAlign w:val="bottom"/>
          </w:tcPr>
          <w:p w14:paraId="4EE098CA" w14:textId="5A9CDE57" w:rsidR="002411D3" w:rsidRPr="00E87B78" w:rsidRDefault="002411D3" w:rsidP="002411D3">
            <w:pPr>
              <w:jc w:val="right"/>
              <w:rPr>
                <w:color w:val="000000"/>
                <w:sz w:val="18"/>
                <w:szCs w:val="18"/>
              </w:rPr>
            </w:pPr>
            <w:r w:rsidRPr="00E87B78">
              <w:rPr>
                <w:color w:val="000000"/>
                <w:sz w:val="18"/>
                <w:szCs w:val="18"/>
              </w:rPr>
              <w:t>-</w:t>
            </w:r>
          </w:p>
        </w:tc>
        <w:tc>
          <w:tcPr>
            <w:tcW w:w="557" w:type="pct"/>
            <w:vAlign w:val="bottom"/>
          </w:tcPr>
          <w:p w14:paraId="19526769" w14:textId="624A8BF4" w:rsidR="002411D3" w:rsidRPr="00E87B78" w:rsidRDefault="002411D3" w:rsidP="002411D3">
            <w:pPr>
              <w:jc w:val="right"/>
              <w:rPr>
                <w:color w:val="000000"/>
                <w:sz w:val="18"/>
                <w:szCs w:val="18"/>
              </w:rPr>
            </w:pPr>
            <w:r w:rsidRPr="00E87B78">
              <w:rPr>
                <w:color w:val="000000"/>
                <w:sz w:val="18"/>
                <w:szCs w:val="18"/>
              </w:rPr>
              <w:t>-</w:t>
            </w:r>
          </w:p>
        </w:tc>
        <w:tc>
          <w:tcPr>
            <w:tcW w:w="768" w:type="pct"/>
            <w:vAlign w:val="bottom"/>
          </w:tcPr>
          <w:p w14:paraId="0955DB73" w14:textId="41054B08" w:rsidR="002411D3" w:rsidRPr="00E87B78" w:rsidRDefault="002411D3" w:rsidP="002411D3">
            <w:pPr>
              <w:jc w:val="right"/>
              <w:rPr>
                <w:color w:val="000000"/>
                <w:sz w:val="18"/>
                <w:szCs w:val="18"/>
              </w:rPr>
            </w:pPr>
            <w:r w:rsidRPr="00E87B78">
              <w:rPr>
                <w:color w:val="000000"/>
                <w:sz w:val="18"/>
                <w:szCs w:val="18"/>
              </w:rPr>
              <w:t>-</w:t>
            </w:r>
          </w:p>
        </w:tc>
      </w:tr>
      <w:tr w:rsidR="002411D3" w:rsidRPr="00E87B78" w14:paraId="7A7FFCFF" w14:textId="77777777" w:rsidTr="002411D3">
        <w:trPr>
          <w:cantSplit/>
          <w:trHeight w:val="20"/>
        </w:trPr>
        <w:tc>
          <w:tcPr>
            <w:tcW w:w="264" w:type="pct"/>
            <w:hideMark/>
          </w:tcPr>
          <w:p w14:paraId="014C2384" w14:textId="77777777" w:rsidR="002411D3" w:rsidRPr="00E87B78" w:rsidRDefault="002411D3" w:rsidP="002411D3">
            <w:pPr>
              <w:spacing w:line="240" w:lineRule="exact"/>
              <w:rPr>
                <w:sz w:val="18"/>
                <w:szCs w:val="18"/>
              </w:rPr>
            </w:pPr>
            <w:r w:rsidRPr="00E87B78">
              <w:rPr>
                <w:sz w:val="18"/>
                <w:szCs w:val="18"/>
              </w:rPr>
              <w:t>4</w:t>
            </w:r>
          </w:p>
        </w:tc>
        <w:tc>
          <w:tcPr>
            <w:tcW w:w="1740" w:type="pct"/>
            <w:vAlign w:val="bottom"/>
            <w:hideMark/>
          </w:tcPr>
          <w:p w14:paraId="60FB2AEF" w14:textId="77777777" w:rsidR="002411D3" w:rsidRPr="00E87B78" w:rsidRDefault="002411D3" w:rsidP="002411D3">
            <w:pPr>
              <w:ind w:left="-10"/>
              <w:rPr>
                <w:sz w:val="18"/>
                <w:szCs w:val="18"/>
              </w:rPr>
            </w:pPr>
            <w:r w:rsidRPr="00E87B78">
              <w:rPr>
                <w:sz w:val="18"/>
                <w:szCs w:val="18"/>
              </w:rPr>
              <w:t>Çok taraflı kalkınma bankalarından alacaklar</w:t>
            </w:r>
          </w:p>
        </w:tc>
        <w:tc>
          <w:tcPr>
            <w:tcW w:w="557" w:type="pct"/>
            <w:vAlign w:val="bottom"/>
          </w:tcPr>
          <w:p w14:paraId="1EAB0492" w14:textId="6CEF2E73" w:rsidR="002411D3" w:rsidRPr="00E87B78" w:rsidRDefault="002411D3" w:rsidP="002411D3">
            <w:pPr>
              <w:jc w:val="right"/>
              <w:rPr>
                <w:color w:val="000000"/>
                <w:sz w:val="18"/>
                <w:szCs w:val="18"/>
              </w:rPr>
            </w:pPr>
            <w:r w:rsidRPr="00E87B78">
              <w:rPr>
                <w:color w:val="000000"/>
                <w:sz w:val="18"/>
                <w:szCs w:val="18"/>
              </w:rPr>
              <w:t>-</w:t>
            </w:r>
          </w:p>
        </w:tc>
        <w:tc>
          <w:tcPr>
            <w:tcW w:w="557" w:type="pct"/>
            <w:vAlign w:val="bottom"/>
          </w:tcPr>
          <w:p w14:paraId="21DB09A4" w14:textId="5C4765C2" w:rsidR="002411D3" w:rsidRPr="00E87B78" w:rsidRDefault="002411D3" w:rsidP="002411D3">
            <w:pPr>
              <w:jc w:val="right"/>
              <w:rPr>
                <w:color w:val="000000"/>
                <w:sz w:val="18"/>
                <w:szCs w:val="18"/>
              </w:rPr>
            </w:pPr>
            <w:r w:rsidRPr="00E87B78">
              <w:rPr>
                <w:color w:val="000000"/>
                <w:sz w:val="18"/>
                <w:szCs w:val="18"/>
              </w:rPr>
              <w:t>-</w:t>
            </w:r>
          </w:p>
        </w:tc>
        <w:tc>
          <w:tcPr>
            <w:tcW w:w="557" w:type="pct"/>
            <w:vAlign w:val="bottom"/>
          </w:tcPr>
          <w:p w14:paraId="6B0D9FAF" w14:textId="37D85424" w:rsidR="002411D3" w:rsidRPr="00E87B78" w:rsidRDefault="002411D3" w:rsidP="002411D3">
            <w:pPr>
              <w:jc w:val="right"/>
              <w:rPr>
                <w:color w:val="000000"/>
                <w:sz w:val="18"/>
                <w:szCs w:val="18"/>
              </w:rPr>
            </w:pPr>
            <w:r w:rsidRPr="00E87B78">
              <w:rPr>
                <w:color w:val="000000"/>
                <w:sz w:val="18"/>
                <w:szCs w:val="18"/>
              </w:rPr>
              <w:t>-</w:t>
            </w:r>
          </w:p>
        </w:tc>
        <w:tc>
          <w:tcPr>
            <w:tcW w:w="557" w:type="pct"/>
            <w:vAlign w:val="bottom"/>
          </w:tcPr>
          <w:p w14:paraId="04B3E4E1" w14:textId="5F41B5CB" w:rsidR="002411D3" w:rsidRPr="00E87B78" w:rsidRDefault="002411D3" w:rsidP="002411D3">
            <w:pPr>
              <w:jc w:val="right"/>
              <w:rPr>
                <w:color w:val="000000"/>
                <w:sz w:val="18"/>
                <w:szCs w:val="18"/>
              </w:rPr>
            </w:pPr>
            <w:r w:rsidRPr="00E87B78">
              <w:rPr>
                <w:color w:val="000000"/>
                <w:sz w:val="18"/>
                <w:szCs w:val="18"/>
              </w:rPr>
              <w:t>-</w:t>
            </w:r>
          </w:p>
        </w:tc>
        <w:tc>
          <w:tcPr>
            <w:tcW w:w="768" w:type="pct"/>
            <w:vAlign w:val="bottom"/>
          </w:tcPr>
          <w:p w14:paraId="04603939" w14:textId="41904041" w:rsidR="002411D3" w:rsidRPr="00E87B78" w:rsidRDefault="002411D3" w:rsidP="002411D3">
            <w:pPr>
              <w:jc w:val="right"/>
              <w:rPr>
                <w:color w:val="000000"/>
                <w:sz w:val="18"/>
                <w:szCs w:val="18"/>
              </w:rPr>
            </w:pPr>
            <w:r w:rsidRPr="00E87B78">
              <w:rPr>
                <w:color w:val="000000"/>
                <w:sz w:val="18"/>
                <w:szCs w:val="18"/>
              </w:rPr>
              <w:t>-</w:t>
            </w:r>
          </w:p>
        </w:tc>
      </w:tr>
      <w:tr w:rsidR="002411D3" w:rsidRPr="00E87B78" w14:paraId="1CA7B4A8" w14:textId="77777777" w:rsidTr="002411D3">
        <w:trPr>
          <w:cantSplit/>
          <w:trHeight w:val="20"/>
        </w:trPr>
        <w:tc>
          <w:tcPr>
            <w:tcW w:w="264" w:type="pct"/>
            <w:hideMark/>
          </w:tcPr>
          <w:p w14:paraId="1B19B2CF" w14:textId="77777777" w:rsidR="002411D3" w:rsidRPr="00E87B78" w:rsidRDefault="002411D3" w:rsidP="002411D3">
            <w:pPr>
              <w:spacing w:line="240" w:lineRule="exact"/>
              <w:rPr>
                <w:sz w:val="18"/>
                <w:szCs w:val="18"/>
              </w:rPr>
            </w:pPr>
            <w:r w:rsidRPr="00E87B78">
              <w:rPr>
                <w:sz w:val="18"/>
                <w:szCs w:val="18"/>
              </w:rPr>
              <w:t>5</w:t>
            </w:r>
          </w:p>
        </w:tc>
        <w:tc>
          <w:tcPr>
            <w:tcW w:w="1740" w:type="pct"/>
            <w:vAlign w:val="bottom"/>
            <w:hideMark/>
          </w:tcPr>
          <w:p w14:paraId="43ED5F87" w14:textId="77777777" w:rsidR="002411D3" w:rsidRPr="00E87B78" w:rsidRDefault="002411D3" w:rsidP="002411D3">
            <w:pPr>
              <w:ind w:left="-10"/>
              <w:rPr>
                <w:sz w:val="18"/>
                <w:szCs w:val="18"/>
              </w:rPr>
            </w:pPr>
            <w:r w:rsidRPr="00E87B78">
              <w:rPr>
                <w:sz w:val="18"/>
                <w:szCs w:val="18"/>
              </w:rPr>
              <w:t>Uluslararası teşkilatlardan alacaklar</w:t>
            </w:r>
          </w:p>
        </w:tc>
        <w:tc>
          <w:tcPr>
            <w:tcW w:w="557" w:type="pct"/>
            <w:vAlign w:val="bottom"/>
          </w:tcPr>
          <w:p w14:paraId="04769DF5" w14:textId="04B86068" w:rsidR="002411D3" w:rsidRPr="00E87B78" w:rsidRDefault="002411D3" w:rsidP="002411D3">
            <w:pPr>
              <w:jc w:val="right"/>
              <w:rPr>
                <w:color w:val="000000"/>
                <w:sz w:val="18"/>
                <w:szCs w:val="18"/>
              </w:rPr>
            </w:pPr>
            <w:r w:rsidRPr="00E87B78">
              <w:rPr>
                <w:color w:val="000000"/>
                <w:sz w:val="18"/>
                <w:szCs w:val="18"/>
              </w:rPr>
              <w:t>-</w:t>
            </w:r>
          </w:p>
        </w:tc>
        <w:tc>
          <w:tcPr>
            <w:tcW w:w="557" w:type="pct"/>
            <w:vAlign w:val="bottom"/>
          </w:tcPr>
          <w:p w14:paraId="5596604C" w14:textId="1886754B" w:rsidR="002411D3" w:rsidRPr="00E87B78" w:rsidRDefault="002411D3" w:rsidP="002411D3">
            <w:pPr>
              <w:jc w:val="right"/>
              <w:rPr>
                <w:color w:val="000000"/>
                <w:sz w:val="18"/>
                <w:szCs w:val="18"/>
              </w:rPr>
            </w:pPr>
            <w:r w:rsidRPr="00E87B78">
              <w:rPr>
                <w:color w:val="000000"/>
                <w:sz w:val="18"/>
                <w:szCs w:val="18"/>
              </w:rPr>
              <w:t>-</w:t>
            </w:r>
          </w:p>
        </w:tc>
        <w:tc>
          <w:tcPr>
            <w:tcW w:w="557" w:type="pct"/>
            <w:vAlign w:val="bottom"/>
          </w:tcPr>
          <w:p w14:paraId="04F92877" w14:textId="521A101E" w:rsidR="002411D3" w:rsidRPr="00E87B78" w:rsidRDefault="002411D3" w:rsidP="002411D3">
            <w:pPr>
              <w:jc w:val="right"/>
              <w:rPr>
                <w:color w:val="000000"/>
                <w:sz w:val="18"/>
                <w:szCs w:val="18"/>
              </w:rPr>
            </w:pPr>
            <w:r w:rsidRPr="00E87B78">
              <w:rPr>
                <w:color w:val="000000"/>
                <w:sz w:val="18"/>
                <w:szCs w:val="18"/>
              </w:rPr>
              <w:t>-</w:t>
            </w:r>
          </w:p>
        </w:tc>
        <w:tc>
          <w:tcPr>
            <w:tcW w:w="557" w:type="pct"/>
            <w:vAlign w:val="bottom"/>
          </w:tcPr>
          <w:p w14:paraId="65922370" w14:textId="2AF1881F" w:rsidR="002411D3" w:rsidRPr="00E87B78" w:rsidRDefault="002411D3" w:rsidP="002411D3">
            <w:pPr>
              <w:jc w:val="right"/>
              <w:rPr>
                <w:color w:val="000000"/>
                <w:sz w:val="18"/>
                <w:szCs w:val="18"/>
              </w:rPr>
            </w:pPr>
            <w:r w:rsidRPr="00E87B78">
              <w:rPr>
                <w:color w:val="000000"/>
                <w:sz w:val="18"/>
                <w:szCs w:val="18"/>
              </w:rPr>
              <w:t>-</w:t>
            </w:r>
          </w:p>
        </w:tc>
        <w:tc>
          <w:tcPr>
            <w:tcW w:w="768" w:type="pct"/>
            <w:vAlign w:val="bottom"/>
          </w:tcPr>
          <w:p w14:paraId="32666118" w14:textId="09CD6812" w:rsidR="002411D3" w:rsidRPr="00E87B78" w:rsidRDefault="002411D3" w:rsidP="002411D3">
            <w:pPr>
              <w:jc w:val="right"/>
              <w:rPr>
                <w:color w:val="000000"/>
                <w:sz w:val="18"/>
                <w:szCs w:val="18"/>
              </w:rPr>
            </w:pPr>
            <w:r w:rsidRPr="00E87B78">
              <w:rPr>
                <w:color w:val="000000"/>
                <w:sz w:val="18"/>
                <w:szCs w:val="18"/>
              </w:rPr>
              <w:t>-</w:t>
            </w:r>
          </w:p>
        </w:tc>
      </w:tr>
      <w:tr w:rsidR="002411D3" w:rsidRPr="00E87B78" w14:paraId="4204DF9C" w14:textId="77777777" w:rsidTr="002411D3">
        <w:trPr>
          <w:cantSplit/>
          <w:trHeight w:val="20"/>
        </w:trPr>
        <w:tc>
          <w:tcPr>
            <w:tcW w:w="264" w:type="pct"/>
            <w:hideMark/>
          </w:tcPr>
          <w:p w14:paraId="68CA49D3" w14:textId="77777777" w:rsidR="002411D3" w:rsidRPr="00E87B78" w:rsidRDefault="002411D3" w:rsidP="002411D3">
            <w:pPr>
              <w:spacing w:line="240" w:lineRule="exact"/>
              <w:rPr>
                <w:sz w:val="18"/>
                <w:szCs w:val="18"/>
              </w:rPr>
            </w:pPr>
            <w:r w:rsidRPr="00E87B78">
              <w:rPr>
                <w:sz w:val="18"/>
                <w:szCs w:val="18"/>
              </w:rPr>
              <w:t>6</w:t>
            </w:r>
          </w:p>
        </w:tc>
        <w:tc>
          <w:tcPr>
            <w:tcW w:w="1740" w:type="pct"/>
            <w:vAlign w:val="bottom"/>
            <w:hideMark/>
          </w:tcPr>
          <w:p w14:paraId="337F17B8" w14:textId="77777777" w:rsidR="002411D3" w:rsidRPr="00E87B78" w:rsidRDefault="002411D3" w:rsidP="002411D3">
            <w:pPr>
              <w:tabs>
                <w:tab w:val="left" w:pos="490"/>
                <w:tab w:val="left" w:pos="2722"/>
              </w:tabs>
              <w:ind w:left="-10"/>
              <w:rPr>
                <w:sz w:val="18"/>
                <w:szCs w:val="18"/>
              </w:rPr>
            </w:pPr>
            <w:r w:rsidRPr="00E87B78">
              <w:rPr>
                <w:sz w:val="18"/>
                <w:szCs w:val="18"/>
              </w:rPr>
              <w:t>Bankalardan ve aracı kurumlardan alacaklar</w:t>
            </w:r>
          </w:p>
        </w:tc>
        <w:tc>
          <w:tcPr>
            <w:tcW w:w="557" w:type="pct"/>
            <w:vAlign w:val="bottom"/>
          </w:tcPr>
          <w:p w14:paraId="2DBDAF2F" w14:textId="2870A5C8" w:rsidR="002411D3" w:rsidRPr="00E87B78" w:rsidRDefault="002411D3" w:rsidP="002411D3">
            <w:pPr>
              <w:jc w:val="right"/>
              <w:rPr>
                <w:color w:val="000000"/>
                <w:sz w:val="18"/>
                <w:szCs w:val="18"/>
              </w:rPr>
            </w:pPr>
            <w:r w:rsidRPr="00E87B78">
              <w:rPr>
                <w:color w:val="000000"/>
                <w:sz w:val="18"/>
                <w:szCs w:val="18"/>
              </w:rPr>
              <w:t>6.921.706</w:t>
            </w:r>
          </w:p>
        </w:tc>
        <w:tc>
          <w:tcPr>
            <w:tcW w:w="557" w:type="pct"/>
            <w:vAlign w:val="bottom"/>
          </w:tcPr>
          <w:p w14:paraId="60F66089" w14:textId="5947FA61" w:rsidR="002411D3" w:rsidRPr="00E87B78" w:rsidRDefault="002411D3" w:rsidP="002411D3">
            <w:pPr>
              <w:jc w:val="right"/>
              <w:rPr>
                <w:color w:val="000000"/>
                <w:sz w:val="18"/>
                <w:szCs w:val="18"/>
              </w:rPr>
            </w:pPr>
            <w:r w:rsidRPr="00E87B78">
              <w:rPr>
                <w:color w:val="000000"/>
                <w:sz w:val="18"/>
                <w:szCs w:val="18"/>
              </w:rPr>
              <w:t>18.277</w:t>
            </w:r>
          </w:p>
        </w:tc>
        <w:tc>
          <w:tcPr>
            <w:tcW w:w="557" w:type="pct"/>
            <w:vAlign w:val="bottom"/>
          </w:tcPr>
          <w:p w14:paraId="66E24607" w14:textId="476E1613" w:rsidR="002411D3" w:rsidRPr="00E87B78" w:rsidRDefault="002411D3" w:rsidP="002411D3">
            <w:pPr>
              <w:jc w:val="right"/>
              <w:rPr>
                <w:color w:val="000000"/>
                <w:sz w:val="18"/>
                <w:szCs w:val="18"/>
              </w:rPr>
            </w:pPr>
            <w:r w:rsidRPr="00E87B78">
              <w:rPr>
                <w:color w:val="000000"/>
                <w:sz w:val="18"/>
                <w:szCs w:val="18"/>
              </w:rPr>
              <w:t>-</w:t>
            </w:r>
          </w:p>
        </w:tc>
        <w:tc>
          <w:tcPr>
            <w:tcW w:w="557" w:type="pct"/>
            <w:vAlign w:val="bottom"/>
          </w:tcPr>
          <w:p w14:paraId="11A567B7" w14:textId="0C68DE81" w:rsidR="002411D3" w:rsidRPr="00E87B78" w:rsidRDefault="002411D3" w:rsidP="002411D3">
            <w:pPr>
              <w:jc w:val="right"/>
              <w:rPr>
                <w:color w:val="000000"/>
                <w:sz w:val="18"/>
                <w:szCs w:val="18"/>
              </w:rPr>
            </w:pPr>
            <w:r w:rsidRPr="00E87B78">
              <w:rPr>
                <w:color w:val="000000"/>
                <w:sz w:val="18"/>
                <w:szCs w:val="18"/>
              </w:rPr>
              <w:t>-</w:t>
            </w:r>
          </w:p>
        </w:tc>
        <w:tc>
          <w:tcPr>
            <w:tcW w:w="768" w:type="pct"/>
            <w:vAlign w:val="bottom"/>
          </w:tcPr>
          <w:p w14:paraId="1188A3E9" w14:textId="06706B85" w:rsidR="002411D3" w:rsidRPr="00E87B78" w:rsidRDefault="002411D3" w:rsidP="002411D3">
            <w:pPr>
              <w:jc w:val="right"/>
              <w:rPr>
                <w:color w:val="000000"/>
                <w:sz w:val="18"/>
                <w:szCs w:val="18"/>
              </w:rPr>
            </w:pPr>
            <w:r w:rsidRPr="00E87B78">
              <w:rPr>
                <w:color w:val="000000"/>
                <w:sz w:val="18"/>
                <w:szCs w:val="18"/>
              </w:rPr>
              <w:t>1</w:t>
            </w:r>
          </w:p>
        </w:tc>
      </w:tr>
      <w:tr w:rsidR="002411D3" w:rsidRPr="00E87B78" w14:paraId="327BA09E" w14:textId="77777777" w:rsidTr="002411D3">
        <w:trPr>
          <w:cantSplit/>
          <w:trHeight w:val="20"/>
        </w:trPr>
        <w:tc>
          <w:tcPr>
            <w:tcW w:w="264" w:type="pct"/>
            <w:hideMark/>
          </w:tcPr>
          <w:p w14:paraId="500345D4" w14:textId="77777777" w:rsidR="002411D3" w:rsidRPr="00E87B78" w:rsidRDefault="002411D3" w:rsidP="002411D3">
            <w:pPr>
              <w:spacing w:line="240" w:lineRule="exact"/>
              <w:rPr>
                <w:sz w:val="18"/>
                <w:szCs w:val="18"/>
              </w:rPr>
            </w:pPr>
            <w:r w:rsidRPr="00E87B78">
              <w:rPr>
                <w:sz w:val="18"/>
                <w:szCs w:val="18"/>
              </w:rPr>
              <w:t>7</w:t>
            </w:r>
          </w:p>
        </w:tc>
        <w:tc>
          <w:tcPr>
            <w:tcW w:w="1740" w:type="pct"/>
            <w:vAlign w:val="bottom"/>
            <w:hideMark/>
          </w:tcPr>
          <w:p w14:paraId="289AADE9" w14:textId="77777777" w:rsidR="002411D3" w:rsidRPr="00E87B78" w:rsidRDefault="002411D3" w:rsidP="002411D3">
            <w:pPr>
              <w:ind w:left="-10"/>
              <w:rPr>
                <w:sz w:val="18"/>
                <w:szCs w:val="18"/>
              </w:rPr>
            </w:pPr>
            <w:r w:rsidRPr="00E87B78">
              <w:rPr>
                <w:sz w:val="18"/>
                <w:szCs w:val="18"/>
              </w:rPr>
              <w:t>Kurumsal alacaklar</w:t>
            </w:r>
          </w:p>
        </w:tc>
        <w:tc>
          <w:tcPr>
            <w:tcW w:w="557" w:type="pct"/>
            <w:vAlign w:val="bottom"/>
          </w:tcPr>
          <w:p w14:paraId="510E7998" w14:textId="2E011682" w:rsidR="002411D3" w:rsidRPr="00E87B78" w:rsidRDefault="002411D3" w:rsidP="002411D3">
            <w:pPr>
              <w:jc w:val="right"/>
              <w:rPr>
                <w:color w:val="000000"/>
                <w:sz w:val="18"/>
                <w:szCs w:val="18"/>
              </w:rPr>
            </w:pPr>
            <w:r w:rsidRPr="00E87B78">
              <w:rPr>
                <w:color w:val="000000"/>
                <w:sz w:val="18"/>
                <w:szCs w:val="18"/>
              </w:rPr>
              <w:t>7.502.147</w:t>
            </w:r>
          </w:p>
        </w:tc>
        <w:tc>
          <w:tcPr>
            <w:tcW w:w="557" w:type="pct"/>
            <w:vAlign w:val="bottom"/>
          </w:tcPr>
          <w:p w14:paraId="335B8DAB" w14:textId="1787903B" w:rsidR="002411D3" w:rsidRPr="00E87B78" w:rsidRDefault="002411D3" w:rsidP="002411D3">
            <w:pPr>
              <w:jc w:val="right"/>
              <w:rPr>
                <w:color w:val="000000"/>
                <w:sz w:val="18"/>
                <w:szCs w:val="18"/>
              </w:rPr>
            </w:pPr>
            <w:r w:rsidRPr="00E87B78">
              <w:rPr>
                <w:color w:val="000000"/>
                <w:sz w:val="18"/>
                <w:szCs w:val="18"/>
              </w:rPr>
              <w:t>6.598.654</w:t>
            </w:r>
          </w:p>
        </w:tc>
        <w:tc>
          <w:tcPr>
            <w:tcW w:w="557" w:type="pct"/>
            <w:vAlign w:val="bottom"/>
          </w:tcPr>
          <w:p w14:paraId="5A569D9B" w14:textId="25CE50D5" w:rsidR="002411D3" w:rsidRPr="00E87B78" w:rsidRDefault="002411D3" w:rsidP="002411D3">
            <w:pPr>
              <w:jc w:val="right"/>
              <w:rPr>
                <w:color w:val="000000"/>
                <w:sz w:val="18"/>
                <w:szCs w:val="18"/>
              </w:rPr>
            </w:pPr>
            <w:r w:rsidRPr="00E87B78">
              <w:rPr>
                <w:color w:val="000000"/>
                <w:sz w:val="18"/>
                <w:szCs w:val="18"/>
              </w:rPr>
              <w:t>7.333.296</w:t>
            </w:r>
          </w:p>
        </w:tc>
        <w:tc>
          <w:tcPr>
            <w:tcW w:w="557" w:type="pct"/>
            <w:vAlign w:val="bottom"/>
          </w:tcPr>
          <w:p w14:paraId="47E91DE6" w14:textId="4CBDF862" w:rsidR="002411D3" w:rsidRPr="00E87B78" w:rsidRDefault="002411D3" w:rsidP="002411D3">
            <w:pPr>
              <w:jc w:val="right"/>
              <w:rPr>
                <w:color w:val="000000"/>
                <w:sz w:val="18"/>
                <w:szCs w:val="18"/>
              </w:rPr>
            </w:pPr>
            <w:r w:rsidRPr="00E87B78">
              <w:rPr>
                <w:color w:val="000000"/>
                <w:sz w:val="18"/>
                <w:szCs w:val="18"/>
              </w:rPr>
              <w:t>9.426.935</w:t>
            </w:r>
          </w:p>
        </w:tc>
        <w:tc>
          <w:tcPr>
            <w:tcW w:w="768" w:type="pct"/>
            <w:vAlign w:val="bottom"/>
          </w:tcPr>
          <w:p w14:paraId="552CCB2F" w14:textId="697AEAEE" w:rsidR="002411D3" w:rsidRPr="00E87B78" w:rsidRDefault="002411D3" w:rsidP="002411D3">
            <w:pPr>
              <w:jc w:val="right"/>
              <w:rPr>
                <w:color w:val="000000"/>
                <w:sz w:val="18"/>
                <w:szCs w:val="18"/>
              </w:rPr>
            </w:pPr>
            <w:r w:rsidRPr="00E87B78">
              <w:rPr>
                <w:color w:val="000000"/>
                <w:sz w:val="18"/>
                <w:szCs w:val="18"/>
              </w:rPr>
              <w:t>7.532.87</w:t>
            </w:r>
            <w:r w:rsidR="007A5154" w:rsidRPr="00E87B78">
              <w:rPr>
                <w:color w:val="000000"/>
                <w:sz w:val="18"/>
                <w:szCs w:val="18"/>
              </w:rPr>
              <w:t>0</w:t>
            </w:r>
          </w:p>
        </w:tc>
      </w:tr>
      <w:tr w:rsidR="002411D3" w:rsidRPr="00E87B78" w14:paraId="25C91BB0" w14:textId="77777777" w:rsidTr="002411D3">
        <w:trPr>
          <w:cantSplit/>
          <w:trHeight w:val="20"/>
        </w:trPr>
        <w:tc>
          <w:tcPr>
            <w:tcW w:w="264" w:type="pct"/>
            <w:hideMark/>
          </w:tcPr>
          <w:p w14:paraId="4BCD9F5F" w14:textId="77777777" w:rsidR="002411D3" w:rsidRPr="00E87B78" w:rsidRDefault="002411D3" w:rsidP="002411D3">
            <w:pPr>
              <w:spacing w:line="240" w:lineRule="exact"/>
              <w:rPr>
                <w:sz w:val="18"/>
                <w:szCs w:val="18"/>
              </w:rPr>
            </w:pPr>
            <w:r w:rsidRPr="00E87B78">
              <w:rPr>
                <w:sz w:val="18"/>
                <w:szCs w:val="18"/>
              </w:rPr>
              <w:t>8</w:t>
            </w:r>
          </w:p>
        </w:tc>
        <w:tc>
          <w:tcPr>
            <w:tcW w:w="1740" w:type="pct"/>
            <w:vAlign w:val="bottom"/>
            <w:hideMark/>
          </w:tcPr>
          <w:p w14:paraId="2A67CE6A" w14:textId="77777777" w:rsidR="002411D3" w:rsidRPr="00E87B78" w:rsidRDefault="002411D3" w:rsidP="002411D3">
            <w:pPr>
              <w:ind w:left="-10"/>
              <w:rPr>
                <w:sz w:val="18"/>
                <w:szCs w:val="18"/>
              </w:rPr>
            </w:pPr>
            <w:r w:rsidRPr="00E87B78">
              <w:rPr>
                <w:sz w:val="18"/>
                <w:szCs w:val="18"/>
              </w:rPr>
              <w:t>Perakende alacaklar</w:t>
            </w:r>
          </w:p>
        </w:tc>
        <w:tc>
          <w:tcPr>
            <w:tcW w:w="557" w:type="pct"/>
            <w:vAlign w:val="bottom"/>
          </w:tcPr>
          <w:p w14:paraId="6B66763F" w14:textId="15CA0BFD" w:rsidR="002411D3" w:rsidRPr="00E87B78" w:rsidRDefault="002411D3" w:rsidP="002411D3">
            <w:pPr>
              <w:jc w:val="right"/>
              <w:rPr>
                <w:color w:val="000000"/>
                <w:sz w:val="18"/>
                <w:szCs w:val="18"/>
              </w:rPr>
            </w:pPr>
            <w:r w:rsidRPr="00E87B78">
              <w:rPr>
                <w:color w:val="000000"/>
                <w:sz w:val="18"/>
                <w:szCs w:val="18"/>
              </w:rPr>
              <w:t>-</w:t>
            </w:r>
          </w:p>
        </w:tc>
        <w:tc>
          <w:tcPr>
            <w:tcW w:w="557" w:type="pct"/>
            <w:vAlign w:val="bottom"/>
          </w:tcPr>
          <w:p w14:paraId="54D34280" w14:textId="7DECACD6" w:rsidR="002411D3" w:rsidRPr="00E87B78" w:rsidRDefault="002411D3" w:rsidP="002411D3">
            <w:pPr>
              <w:jc w:val="right"/>
              <w:rPr>
                <w:color w:val="000000"/>
                <w:sz w:val="18"/>
                <w:szCs w:val="18"/>
              </w:rPr>
            </w:pPr>
            <w:r w:rsidRPr="00E87B78">
              <w:rPr>
                <w:color w:val="000000"/>
                <w:sz w:val="18"/>
                <w:szCs w:val="18"/>
              </w:rPr>
              <w:t>-</w:t>
            </w:r>
          </w:p>
        </w:tc>
        <w:tc>
          <w:tcPr>
            <w:tcW w:w="557" w:type="pct"/>
            <w:vAlign w:val="bottom"/>
          </w:tcPr>
          <w:p w14:paraId="47AB0CD4" w14:textId="1786B55F" w:rsidR="002411D3" w:rsidRPr="00E87B78" w:rsidRDefault="002411D3" w:rsidP="002411D3">
            <w:pPr>
              <w:jc w:val="right"/>
              <w:rPr>
                <w:color w:val="000000"/>
                <w:sz w:val="18"/>
                <w:szCs w:val="18"/>
              </w:rPr>
            </w:pPr>
            <w:r w:rsidRPr="00E87B78">
              <w:rPr>
                <w:color w:val="000000"/>
                <w:sz w:val="18"/>
                <w:szCs w:val="18"/>
              </w:rPr>
              <w:t>-</w:t>
            </w:r>
          </w:p>
        </w:tc>
        <w:tc>
          <w:tcPr>
            <w:tcW w:w="557" w:type="pct"/>
            <w:vAlign w:val="bottom"/>
          </w:tcPr>
          <w:p w14:paraId="0818032D" w14:textId="6A0BB4E4" w:rsidR="002411D3" w:rsidRPr="00E87B78" w:rsidRDefault="002411D3" w:rsidP="002411D3">
            <w:pPr>
              <w:jc w:val="right"/>
              <w:rPr>
                <w:color w:val="000000"/>
                <w:sz w:val="18"/>
                <w:szCs w:val="18"/>
              </w:rPr>
            </w:pPr>
            <w:r w:rsidRPr="00E87B78">
              <w:rPr>
                <w:color w:val="000000"/>
                <w:sz w:val="18"/>
                <w:szCs w:val="18"/>
              </w:rPr>
              <w:t>-</w:t>
            </w:r>
          </w:p>
        </w:tc>
        <w:tc>
          <w:tcPr>
            <w:tcW w:w="768" w:type="pct"/>
            <w:vAlign w:val="bottom"/>
          </w:tcPr>
          <w:p w14:paraId="1C3E86E1" w14:textId="2D0EC9F2" w:rsidR="002411D3" w:rsidRPr="00E87B78" w:rsidRDefault="002411D3" w:rsidP="002411D3">
            <w:pPr>
              <w:jc w:val="right"/>
              <w:rPr>
                <w:color w:val="000000"/>
                <w:sz w:val="18"/>
                <w:szCs w:val="18"/>
              </w:rPr>
            </w:pPr>
            <w:r w:rsidRPr="00E87B78">
              <w:rPr>
                <w:color w:val="000000"/>
                <w:sz w:val="18"/>
                <w:szCs w:val="18"/>
              </w:rPr>
              <w:t>-</w:t>
            </w:r>
          </w:p>
        </w:tc>
      </w:tr>
      <w:tr w:rsidR="002411D3" w:rsidRPr="00E87B78" w14:paraId="6FE86715" w14:textId="77777777" w:rsidTr="002411D3">
        <w:trPr>
          <w:cantSplit/>
          <w:trHeight w:val="20"/>
        </w:trPr>
        <w:tc>
          <w:tcPr>
            <w:tcW w:w="264" w:type="pct"/>
            <w:hideMark/>
          </w:tcPr>
          <w:p w14:paraId="2F380063" w14:textId="77777777" w:rsidR="002411D3" w:rsidRPr="00E87B78" w:rsidRDefault="002411D3" w:rsidP="002411D3">
            <w:pPr>
              <w:spacing w:line="240" w:lineRule="exact"/>
              <w:rPr>
                <w:sz w:val="18"/>
                <w:szCs w:val="18"/>
              </w:rPr>
            </w:pPr>
            <w:r w:rsidRPr="00E87B78">
              <w:rPr>
                <w:sz w:val="18"/>
                <w:szCs w:val="18"/>
              </w:rPr>
              <w:t>9</w:t>
            </w:r>
          </w:p>
        </w:tc>
        <w:tc>
          <w:tcPr>
            <w:tcW w:w="1740" w:type="pct"/>
            <w:vAlign w:val="bottom"/>
            <w:hideMark/>
          </w:tcPr>
          <w:p w14:paraId="12739A74" w14:textId="77777777" w:rsidR="002411D3" w:rsidRPr="00E87B78" w:rsidRDefault="002411D3" w:rsidP="002411D3">
            <w:pPr>
              <w:ind w:left="-10"/>
              <w:rPr>
                <w:sz w:val="18"/>
                <w:szCs w:val="18"/>
              </w:rPr>
            </w:pPr>
            <w:r w:rsidRPr="00E87B78">
              <w:rPr>
                <w:sz w:val="18"/>
                <w:szCs w:val="18"/>
              </w:rPr>
              <w:t>Gayrimenkul ipoteği ile teminatlandırılan alacaklar</w:t>
            </w:r>
          </w:p>
        </w:tc>
        <w:tc>
          <w:tcPr>
            <w:tcW w:w="557" w:type="pct"/>
            <w:vAlign w:val="bottom"/>
          </w:tcPr>
          <w:p w14:paraId="77F9085D" w14:textId="03F4C9F8" w:rsidR="002411D3" w:rsidRPr="00E87B78" w:rsidRDefault="002411D3" w:rsidP="002411D3">
            <w:pPr>
              <w:jc w:val="right"/>
              <w:rPr>
                <w:color w:val="000000"/>
                <w:sz w:val="18"/>
                <w:szCs w:val="18"/>
              </w:rPr>
            </w:pPr>
            <w:r w:rsidRPr="00E87B78">
              <w:rPr>
                <w:color w:val="000000"/>
                <w:sz w:val="18"/>
                <w:szCs w:val="18"/>
              </w:rPr>
              <w:t>326.835</w:t>
            </w:r>
          </w:p>
        </w:tc>
        <w:tc>
          <w:tcPr>
            <w:tcW w:w="557" w:type="pct"/>
            <w:vAlign w:val="bottom"/>
          </w:tcPr>
          <w:p w14:paraId="27C2C8C7" w14:textId="2BBC22B3" w:rsidR="002411D3" w:rsidRPr="00E87B78" w:rsidRDefault="002411D3" w:rsidP="002411D3">
            <w:pPr>
              <w:jc w:val="right"/>
              <w:rPr>
                <w:color w:val="000000"/>
                <w:sz w:val="18"/>
                <w:szCs w:val="18"/>
              </w:rPr>
            </w:pPr>
            <w:r w:rsidRPr="00E87B78">
              <w:rPr>
                <w:color w:val="000000"/>
                <w:sz w:val="18"/>
                <w:szCs w:val="18"/>
              </w:rPr>
              <w:t>164.828</w:t>
            </w:r>
          </w:p>
        </w:tc>
        <w:tc>
          <w:tcPr>
            <w:tcW w:w="557" w:type="pct"/>
            <w:vAlign w:val="bottom"/>
          </w:tcPr>
          <w:p w14:paraId="769D50D5" w14:textId="71A075FB" w:rsidR="002411D3" w:rsidRPr="00E87B78" w:rsidRDefault="002411D3" w:rsidP="002411D3">
            <w:pPr>
              <w:jc w:val="right"/>
              <w:rPr>
                <w:color w:val="000000"/>
                <w:sz w:val="18"/>
                <w:szCs w:val="18"/>
              </w:rPr>
            </w:pPr>
            <w:r w:rsidRPr="00E87B78">
              <w:rPr>
                <w:color w:val="000000"/>
                <w:sz w:val="18"/>
                <w:szCs w:val="18"/>
              </w:rPr>
              <w:t>443.087</w:t>
            </w:r>
          </w:p>
        </w:tc>
        <w:tc>
          <w:tcPr>
            <w:tcW w:w="557" w:type="pct"/>
            <w:vAlign w:val="bottom"/>
          </w:tcPr>
          <w:p w14:paraId="0C32F3B8" w14:textId="73CE3FE3" w:rsidR="002411D3" w:rsidRPr="00E87B78" w:rsidRDefault="002411D3" w:rsidP="002411D3">
            <w:pPr>
              <w:jc w:val="right"/>
              <w:rPr>
                <w:color w:val="000000"/>
                <w:sz w:val="18"/>
                <w:szCs w:val="18"/>
              </w:rPr>
            </w:pPr>
            <w:r w:rsidRPr="00E87B78">
              <w:rPr>
                <w:color w:val="000000"/>
                <w:sz w:val="18"/>
                <w:szCs w:val="18"/>
              </w:rPr>
              <w:t>1.311.246</w:t>
            </w:r>
          </w:p>
        </w:tc>
        <w:tc>
          <w:tcPr>
            <w:tcW w:w="768" w:type="pct"/>
            <w:vAlign w:val="bottom"/>
          </w:tcPr>
          <w:p w14:paraId="19BC8288" w14:textId="276806E7" w:rsidR="002411D3" w:rsidRPr="00E87B78" w:rsidRDefault="002411D3" w:rsidP="002411D3">
            <w:pPr>
              <w:jc w:val="right"/>
              <w:rPr>
                <w:color w:val="000000"/>
                <w:sz w:val="18"/>
                <w:szCs w:val="18"/>
              </w:rPr>
            </w:pPr>
            <w:r w:rsidRPr="00E87B78">
              <w:rPr>
                <w:color w:val="000000"/>
                <w:sz w:val="18"/>
                <w:szCs w:val="18"/>
              </w:rPr>
              <w:t>1.725.949</w:t>
            </w:r>
          </w:p>
        </w:tc>
      </w:tr>
      <w:tr w:rsidR="002411D3" w:rsidRPr="00E87B78" w14:paraId="5492A148" w14:textId="77777777" w:rsidTr="002411D3">
        <w:trPr>
          <w:cantSplit/>
          <w:trHeight w:val="20"/>
        </w:trPr>
        <w:tc>
          <w:tcPr>
            <w:tcW w:w="264" w:type="pct"/>
            <w:hideMark/>
          </w:tcPr>
          <w:p w14:paraId="41C77C00" w14:textId="77777777" w:rsidR="002411D3" w:rsidRPr="00E87B78" w:rsidRDefault="002411D3" w:rsidP="002411D3">
            <w:pPr>
              <w:spacing w:line="240" w:lineRule="exact"/>
              <w:rPr>
                <w:sz w:val="18"/>
                <w:szCs w:val="18"/>
              </w:rPr>
            </w:pPr>
            <w:r w:rsidRPr="00E87B78">
              <w:rPr>
                <w:sz w:val="18"/>
                <w:szCs w:val="18"/>
              </w:rPr>
              <w:t>10</w:t>
            </w:r>
          </w:p>
        </w:tc>
        <w:tc>
          <w:tcPr>
            <w:tcW w:w="1740" w:type="pct"/>
            <w:vAlign w:val="bottom"/>
            <w:hideMark/>
          </w:tcPr>
          <w:p w14:paraId="1CECF115" w14:textId="77777777" w:rsidR="002411D3" w:rsidRPr="00E87B78" w:rsidRDefault="002411D3" w:rsidP="002411D3">
            <w:pPr>
              <w:ind w:left="-10"/>
              <w:rPr>
                <w:sz w:val="18"/>
                <w:szCs w:val="18"/>
              </w:rPr>
            </w:pPr>
            <w:r w:rsidRPr="00E87B78">
              <w:rPr>
                <w:sz w:val="18"/>
                <w:szCs w:val="18"/>
              </w:rPr>
              <w:t>Tahsili gecikmiş alacaklar</w:t>
            </w:r>
          </w:p>
        </w:tc>
        <w:tc>
          <w:tcPr>
            <w:tcW w:w="557" w:type="pct"/>
            <w:vAlign w:val="bottom"/>
          </w:tcPr>
          <w:p w14:paraId="48E96761" w14:textId="3C020E1C" w:rsidR="002411D3" w:rsidRPr="00E87B78" w:rsidRDefault="002411D3" w:rsidP="002411D3">
            <w:pPr>
              <w:jc w:val="right"/>
              <w:rPr>
                <w:color w:val="000000"/>
                <w:sz w:val="18"/>
                <w:szCs w:val="18"/>
              </w:rPr>
            </w:pPr>
            <w:r w:rsidRPr="00E87B78">
              <w:rPr>
                <w:color w:val="000000"/>
                <w:sz w:val="18"/>
                <w:szCs w:val="18"/>
              </w:rPr>
              <w:t>-</w:t>
            </w:r>
          </w:p>
        </w:tc>
        <w:tc>
          <w:tcPr>
            <w:tcW w:w="557" w:type="pct"/>
            <w:vAlign w:val="bottom"/>
          </w:tcPr>
          <w:p w14:paraId="3D2FC948" w14:textId="0A5E9142" w:rsidR="002411D3" w:rsidRPr="00E87B78" w:rsidRDefault="002411D3" w:rsidP="002411D3">
            <w:pPr>
              <w:jc w:val="right"/>
              <w:rPr>
                <w:color w:val="000000"/>
                <w:sz w:val="18"/>
                <w:szCs w:val="18"/>
              </w:rPr>
            </w:pPr>
            <w:r w:rsidRPr="00E87B78">
              <w:rPr>
                <w:color w:val="000000"/>
                <w:sz w:val="18"/>
                <w:szCs w:val="18"/>
              </w:rPr>
              <w:t>-</w:t>
            </w:r>
          </w:p>
        </w:tc>
        <w:tc>
          <w:tcPr>
            <w:tcW w:w="557" w:type="pct"/>
            <w:vAlign w:val="bottom"/>
          </w:tcPr>
          <w:p w14:paraId="6D49AF36" w14:textId="730C70A9" w:rsidR="002411D3" w:rsidRPr="00E87B78" w:rsidRDefault="002411D3" w:rsidP="002411D3">
            <w:pPr>
              <w:jc w:val="right"/>
              <w:rPr>
                <w:color w:val="000000"/>
                <w:sz w:val="18"/>
                <w:szCs w:val="18"/>
              </w:rPr>
            </w:pPr>
            <w:r w:rsidRPr="00E87B78">
              <w:rPr>
                <w:color w:val="000000"/>
                <w:sz w:val="18"/>
                <w:szCs w:val="18"/>
              </w:rPr>
              <w:t>-</w:t>
            </w:r>
          </w:p>
        </w:tc>
        <w:tc>
          <w:tcPr>
            <w:tcW w:w="557" w:type="pct"/>
            <w:vAlign w:val="bottom"/>
          </w:tcPr>
          <w:p w14:paraId="3ED3A593" w14:textId="3A744629" w:rsidR="002411D3" w:rsidRPr="00E87B78" w:rsidRDefault="002411D3" w:rsidP="002411D3">
            <w:pPr>
              <w:jc w:val="right"/>
              <w:rPr>
                <w:color w:val="000000"/>
                <w:sz w:val="18"/>
                <w:szCs w:val="18"/>
              </w:rPr>
            </w:pPr>
            <w:r w:rsidRPr="00E87B78">
              <w:rPr>
                <w:color w:val="000000"/>
                <w:sz w:val="18"/>
                <w:szCs w:val="18"/>
              </w:rPr>
              <w:t>-</w:t>
            </w:r>
          </w:p>
        </w:tc>
        <w:tc>
          <w:tcPr>
            <w:tcW w:w="768" w:type="pct"/>
            <w:vAlign w:val="bottom"/>
          </w:tcPr>
          <w:p w14:paraId="5883D516" w14:textId="3AE44CA6" w:rsidR="002411D3" w:rsidRPr="00E87B78" w:rsidRDefault="002411D3" w:rsidP="002411D3">
            <w:pPr>
              <w:jc w:val="right"/>
              <w:rPr>
                <w:color w:val="000000"/>
                <w:sz w:val="18"/>
                <w:szCs w:val="18"/>
              </w:rPr>
            </w:pPr>
            <w:r w:rsidRPr="00E87B78">
              <w:rPr>
                <w:color w:val="000000"/>
                <w:sz w:val="18"/>
                <w:szCs w:val="18"/>
              </w:rPr>
              <w:t>-</w:t>
            </w:r>
          </w:p>
        </w:tc>
      </w:tr>
      <w:tr w:rsidR="002411D3" w:rsidRPr="00E87B78" w14:paraId="04D2F362" w14:textId="77777777" w:rsidTr="002411D3">
        <w:trPr>
          <w:cantSplit/>
          <w:trHeight w:val="20"/>
        </w:trPr>
        <w:tc>
          <w:tcPr>
            <w:tcW w:w="264" w:type="pct"/>
            <w:hideMark/>
          </w:tcPr>
          <w:p w14:paraId="18421D67" w14:textId="77777777" w:rsidR="002411D3" w:rsidRPr="00E87B78" w:rsidRDefault="002411D3" w:rsidP="002411D3">
            <w:pPr>
              <w:spacing w:line="240" w:lineRule="exact"/>
              <w:rPr>
                <w:sz w:val="18"/>
                <w:szCs w:val="18"/>
              </w:rPr>
            </w:pPr>
            <w:r w:rsidRPr="00E87B78">
              <w:rPr>
                <w:sz w:val="18"/>
                <w:szCs w:val="18"/>
              </w:rPr>
              <w:t>11</w:t>
            </w:r>
          </w:p>
        </w:tc>
        <w:tc>
          <w:tcPr>
            <w:tcW w:w="1740" w:type="pct"/>
            <w:vAlign w:val="bottom"/>
            <w:hideMark/>
          </w:tcPr>
          <w:p w14:paraId="3B6EAE84" w14:textId="77777777" w:rsidR="002411D3" w:rsidRPr="00E87B78" w:rsidRDefault="002411D3" w:rsidP="002411D3">
            <w:pPr>
              <w:spacing w:line="240" w:lineRule="exact"/>
              <w:ind w:left="-10"/>
              <w:rPr>
                <w:sz w:val="18"/>
                <w:szCs w:val="18"/>
              </w:rPr>
            </w:pPr>
            <w:r w:rsidRPr="00E87B78">
              <w:rPr>
                <w:sz w:val="18"/>
                <w:szCs w:val="18"/>
              </w:rPr>
              <w:t>Kurulca riski yüksek belirlenmiş alacaklar</w:t>
            </w:r>
          </w:p>
        </w:tc>
        <w:tc>
          <w:tcPr>
            <w:tcW w:w="557" w:type="pct"/>
            <w:vAlign w:val="bottom"/>
          </w:tcPr>
          <w:p w14:paraId="2029DD57" w14:textId="0E4E8029" w:rsidR="002411D3" w:rsidRPr="00E87B78" w:rsidRDefault="002411D3" w:rsidP="002411D3">
            <w:pPr>
              <w:jc w:val="right"/>
              <w:rPr>
                <w:color w:val="000000"/>
                <w:sz w:val="18"/>
                <w:szCs w:val="18"/>
              </w:rPr>
            </w:pPr>
            <w:r w:rsidRPr="00E87B78">
              <w:rPr>
                <w:color w:val="000000"/>
                <w:sz w:val="18"/>
                <w:szCs w:val="18"/>
              </w:rPr>
              <w:t>-</w:t>
            </w:r>
          </w:p>
        </w:tc>
        <w:tc>
          <w:tcPr>
            <w:tcW w:w="557" w:type="pct"/>
            <w:vAlign w:val="bottom"/>
          </w:tcPr>
          <w:p w14:paraId="011D0EDA" w14:textId="6E2B9A6A" w:rsidR="002411D3" w:rsidRPr="00E87B78" w:rsidRDefault="002411D3" w:rsidP="002411D3">
            <w:pPr>
              <w:jc w:val="right"/>
              <w:rPr>
                <w:color w:val="000000"/>
                <w:sz w:val="18"/>
                <w:szCs w:val="18"/>
              </w:rPr>
            </w:pPr>
            <w:r w:rsidRPr="00E87B78">
              <w:rPr>
                <w:color w:val="000000"/>
                <w:sz w:val="18"/>
                <w:szCs w:val="18"/>
              </w:rPr>
              <w:t>-</w:t>
            </w:r>
          </w:p>
        </w:tc>
        <w:tc>
          <w:tcPr>
            <w:tcW w:w="557" w:type="pct"/>
            <w:vAlign w:val="bottom"/>
          </w:tcPr>
          <w:p w14:paraId="52CF762B" w14:textId="509C8FDA" w:rsidR="002411D3" w:rsidRPr="00E87B78" w:rsidRDefault="002411D3" w:rsidP="002411D3">
            <w:pPr>
              <w:jc w:val="right"/>
              <w:rPr>
                <w:color w:val="000000"/>
                <w:sz w:val="18"/>
                <w:szCs w:val="18"/>
              </w:rPr>
            </w:pPr>
            <w:r w:rsidRPr="00E87B78">
              <w:rPr>
                <w:color w:val="000000"/>
                <w:sz w:val="18"/>
                <w:szCs w:val="18"/>
              </w:rPr>
              <w:t>-</w:t>
            </w:r>
          </w:p>
        </w:tc>
        <w:tc>
          <w:tcPr>
            <w:tcW w:w="557" w:type="pct"/>
            <w:vAlign w:val="bottom"/>
          </w:tcPr>
          <w:p w14:paraId="7BF53991" w14:textId="4FDD0B88" w:rsidR="002411D3" w:rsidRPr="00E87B78" w:rsidRDefault="002411D3" w:rsidP="002411D3">
            <w:pPr>
              <w:jc w:val="right"/>
              <w:rPr>
                <w:color w:val="000000"/>
                <w:sz w:val="18"/>
                <w:szCs w:val="18"/>
              </w:rPr>
            </w:pPr>
            <w:r w:rsidRPr="00E87B78">
              <w:rPr>
                <w:color w:val="000000"/>
                <w:sz w:val="18"/>
                <w:szCs w:val="18"/>
              </w:rPr>
              <w:t>-</w:t>
            </w:r>
          </w:p>
        </w:tc>
        <w:tc>
          <w:tcPr>
            <w:tcW w:w="768" w:type="pct"/>
            <w:vAlign w:val="bottom"/>
          </w:tcPr>
          <w:p w14:paraId="09AE7534" w14:textId="02B9507B" w:rsidR="002411D3" w:rsidRPr="00E87B78" w:rsidRDefault="002411D3" w:rsidP="002411D3">
            <w:pPr>
              <w:jc w:val="right"/>
              <w:rPr>
                <w:color w:val="000000"/>
                <w:sz w:val="18"/>
                <w:szCs w:val="18"/>
              </w:rPr>
            </w:pPr>
            <w:r w:rsidRPr="00E87B78">
              <w:rPr>
                <w:color w:val="000000"/>
                <w:sz w:val="18"/>
                <w:szCs w:val="18"/>
              </w:rPr>
              <w:t>-</w:t>
            </w:r>
          </w:p>
        </w:tc>
      </w:tr>
      <w:tr w:rsidR="002411D3" w:rsidRPr="00E87B78" w14:paraId="6DD5EEC2" w14:textId="77777777" w:rsidTr="002411D3">
        <w:trPr>
          <w:cantSplit/>
          <w:trHeight w:val="20"/>
        </w:trPr>
        <w:tc>
          <w:tcPr>
            <w:tcW w:w="264" w:type="pct"/>
            <w:hideMark/>
          </w:tcPr>
          <w:p w14:paraId="2BCF9F84" w14:textId="77777777" w:rsidR="002411D3" w:rsidRPr="00E87B78" w:rsidRDefault="002411D3" w:rsidP="002411D3">
            <w:pPr>
              <w:spacing w:line="240" w:lineRule="exact"/>
              <w:rPr>
                <w:sz w:val="18"/>
                <w:szCs w:val="18"/>
              </w:rPr>
            </w:pPr>
            <w:r w:rsidRPr="00E87B78">
              <w:rPr>
                <w:sz w:val="18"/>
                <w:szCs w:val="18"/>
              </w:rPr>
              <w:t>12</w:t>
            </w:r>
          </w:p>
        </w:tc>
        <w:tc>
          <w:tcPr>
            <w:tcW w:w="1740" w:type="pct"/>
            <w:vAlign w:val="bottom"/>
            <w:hideMark/>
          </w:tcPr>
          <w:p w14:paraId="5727452C" w14:textId="77777777" w:rsidR="002411D3" w:rsidRPr="00E87B78" w:rsidRDefault="002411D3" w:rsidP="002411D3">
            <w:pPr>
              <w:spacing w:line="240" w:lineRule="exact"/>
              <w:ind w:left="-10"/>
              <w:rPr>
                <w:sz w:val="18"/>
                <w:szCs w:val="18"/>
              </w:rPr>
            </w:pPr>
            <w:r w:rsidRPr="00E87B78">
              <w:rPr>
                <w:sz w:val="18"/>
                <w:szCs w:val="18"/>
              </w:rPr>
              <w:t>Teminatlı menkul kıymetler</w:t>
            </w:r>
          </w:p>
        </w:tc>
        <w:tc>
          <w:tcPr>
            <w:tcW w:w="557" w:type="pct"/>
            <w:vAlign w:val="bottom"/>
          </w:tcPr>
          <w:p w14:paraId="189587FF" w14:textId="381ADF47" w:rsidR="002411D3" w:rsidRPr="00E87B78" w:rsidRDefault="002411D3" w:rsidP="002411D3">
            <w:pPr>
              <w:jc w:val="right"/>
              <w:rPr>
                <w:color w:val="000000"/>
                <w:sz w:val="18"/>
                <w:szCs w:val="18"/>
              </w:rPr>
            </w:pPr>
            <w:r w:rsidRPr="00E87B78">
              <w:rPr>
                <w:color w:val="000000"/>
                <w:sz w:val="18"/>
                <w:szCs w:val="18"/>
              </w:rPr>
              <w:t>-</w:t>
            </w:r>
          </w:p>
        </w:tc>
        <w:tc>
          <w:tcPr>
            <w:tcW w:w="557" w:type="pct"/>
            <w:vAlign w:val="bottom"/>
          </w:tcPr>
          <w:p w14:paraId="3B8F0167" w14:textId="312BD8BA" w:rsidR="002411D3" w:rsidRPr="00E87B78" w:rsidRDefault="002411D3" w:rsidP="002411D3">
            <w:pPr>
              <w:jc w:val="right"/>
              <w:rPr>
                <w:color w:val="000000"/>
                <w:sz w:val="18"/>
                <w:szCs w:val="18"/>
              </w:rPr>
            </w:pPr>
            <w:r w:rsidRPr="00E87B78">
              <w:rPr>
                <w:color w:val="000000"/>
                <w:sz w:val="18"/>
                <w:szCs w:val="18"/>
              </w:rPr>
              <w:t>-</w:t>
            </w:r>
          </w:p>
        </w:tc>
        <w:tc>
          <w:tcPr>
            <w:tcW w:w="557" w:type="pct"/>
            <w:vAlign w:val="bottom"/>
          </w:tcPr>
          <w:p w14:paraId="783595FF" w14:textId="24C12C26" w:rsidR="002411D3" w:rsidRPr="00E87B78" w:rsidRDefault="002411D3" w:rsidP="002411D3">
            <w:pPr>
              <w:jc w:val="right"/>
              <w:rPr>
                <w:color w:val="000000"/>
                <w:sz w:val="18"/>
                <w:szCs w:val="18"/>
              </w:rPr>
            </w:pPr>
            <w:r w:rsidRPr="00E87B78">
              <w:rPr>
                <w:color w:val="000000"/>
                <w:sz w:val="18"/>
                <w:szCs w:val="18"/>
              </w:rPr>
              <w:t>-</w:t>
            </w:r>
          </w:p>
        </w:tc>
        <w:tc>
          <w:tcPr>
            <w:tcW w:w="557" w:type="pct"/>
            <w:vAlign w:val="bottom"/>
          </w:tcPr>
          <w:p w14:paraId="3AC83FB6" w14:textId="7B1F3F7A" w:rsidR="002411D3" w:rsidRPr="00E87B78" w:rsidRDefault="002411D3" w:rsidP="002411D3">
            <w:pPr>
              <w:jc w:val="right"/>
              <w:rPr>
                <w:color w:val="000000"/>
                <w:sz w:val="18"/>
                <w:szCs w:val="18"/>
              </w:rPr>
            </w:pPr>
            <w:r w:rsidRPr="00E87B78">
              <w:rPr>
                <w:color w:val="000000"/>
                <w:sz w:val="18"/>
                <w:szCs w:val="18"/>
              </w:rPr>
              <w:t>-</w:t>
            </w:r>
          </w:p>
        </w:tc>
        <w:tc>
          <w:tcPr>
            <w:tcW w:w="768" w:type="pct"/>
            <w:vAlign w:val="bottom"/>
          </w:tcPr>
          <w:p w14:paraId="2F410E7F" w14:textId="57D7C9D3" w:rsidR="002411D3" w:rsidRPr="00E87B78" w:rsidRDefault="002411D3" w:rsidP="002411D3">
            <w:pPr>
              <w:jc w:val="right"/>
              <w:rPr>
                <w:color w:val="000000"/>
                <w:sz w:val="18"/>
                <w:szCs w:val="18"/>
              </w:rPr>
            </w:pPr>
            <w:r w:rsidRPr="00E87B78">
              <w:rPr>
                <w:color w:val="000000"/>
                <w:sz w:val="18"/>
                <w:szCs w:val="18"/>
              </w:rPr>
              <w:t>-</w:t>
            </w:r>
          </w:p>
        </w:tc>
      </w:tr>
      <w:tr w:rsidR="002411D3" w:rsidRPr="00E87B78" w14:paraId="5A778E48" w14:textId="77777777" w:rsidTr="002411D3">
        <w:trPr>
          <w:cantSplit/>
          <w:trHeight w:val="20"/>
        </w:trPr>
        <w:tc>
          <w:tcPr>
            <w:tcW w:w="264" w:type="pct"/>
            <w:hideMark/>
          </w:tcPr>
          <w:p w14:paraId="43357366" w14:textId="77777777" w:rsidR="002411D3" w:rsidRPr="00E87B78" w:rsidRDefault="002411D3" w:rsidP="002411D3">
            <w:pPr>
              <w:spacing w:line="240" w:lineRule="exact"/>
              <w:rPr>
                <w:sz w:val="18"/>
                <w:szCs w:val="18"/>
              </w:rPr>
            </w:pPr>
            <w:r w:rsidRPr="00E87B78">
              <w:rPr>
                <w:sz w:val="18"/>
                <w:szCs w:val="18"/>
              </w:rPr>
              <w:t>13</w:t>
            </w:r>
          </w:p>
        </w:tc>
        <w:tc>
          <w:tcPr>
            <w:tcW w:w="1740" w:type="pct"/>
            <w:vAlign w:val="bottom"/>
            <w:hideMark/>
          </w:tcPr>
          <w:p w14:paraId="7498F1AF" w14:textId="77777777" w:rsidR="002411D3" w:rsidRPr="00E87B78" w:rsidRDefault="002411D3" w:rsidP="002411D3">
            <w:pPr>
              <w:ind w:left="-10"/>
              <w:rPr>
                <w:sz w:val="18"/>
                <w:szCs w:val="18"/>
              </w:rPr>
            </w:pPr>
            <w:r w:rsidRPr="00E87B78">
              <w:rPr>
                <w:sz w:val="18"/>
                <w:szCs w:val="18"/>
              </w:rPr>
              <w:t>Bankalardan ve aracı kurumlardan olan kısa vadeli alacaklar ile kısa vadeli kurumsal alacaklar</w:t>
            </w:r>
          </w:p>
        </w:tc>
        <w:tc>
          <w:tcPr>
            <w:tcW w:w="557" w:type="pct"/>
            <w:vAlign w:val="bottom"/>
          </w:tcPr>
          <w:p w14:paraId="2A7CBA6A" w14:textId="51E66815" w:rsidR="002411D3" w:rsidRPr="00E87B78" w:rsidRDefault="002411D3" w:rsidP="002411D3">
            <w:pPr>
              <w:jc w:val="right"/>
              <w:rPr>
                <w:color w:val="000000"/>
                <w:sz w:val="18"/>
                <w:szCs w:val="18"/>
              </w:rPr>
            </w:pPr>
            <w:r w:rsidRPr="00E87B78">
              <w:rPr>
                <w:color w:val="000000"/>
                <w:sz w:val="18"/>
                <w:szCs w:val="18"/>
              </w:rPr>
              <w:t>-</w:t>
            </w:r>
          </w:p>
        </w:tc>
        <w:tc>
          <w:tcPr>
            <w:tcW w:w="557" w:type="pct"/>
            <w:vAlign w:val="bottom"/>
          </w:tcPr>
          <w:p w14:paraId="0E084775" w14:textId="543DECD0" w:rsidR="002411D3" w:rsidRPr="00E87B78" w:rsidRDefault="002411D3" w:rsidP="002411D3">
            <w:pPr>
              <w:jc w:val="right"/>
              <w:rPr>
                <w:color w:val="000000"/>
                <w:sz w:val="18"/>
                <w:szCs w:val="18"/>
              </w:rPr>
            </w:pPr>
            <w:r w:rsidRPr="00E87B78">
              <w:rPr>
                <w:color w:val="000000"/>
                <w:sz w:val="18"/>
                <w:szCs w:val="18"/>
              </w:rPr>
              <w:t>-</w:t>
            </w:r>
          </w:p>
        </w:tc>
        <w:tc>
          <w:tcPr>
            <w:tcW w:w="557" w:type="pct"/>
            <w:vAlign w:val="bottom"/>
          </w:tcPr>
          <w:p w14:paraId="6EAA09E6" w14:textId="72172512" w:rsidR="002411D3" w:rsidRPr="00E87B78" w:rsidRDefault="002411D3" w:rsidP="002411D3">
            <w:pPr>
              <w:jc w:val="right"/>
              <w:rPr>
                <w:color w:val="000000"/>
                <w:sz w:val="18"/>
                <w:szCs w:val="18"/>
              </w:rPr>
            </w:pPr>
            <w:r w:rsidRPr="00E87B78">
              <w:rPr>
                <w:color w:val="000000"/>
                <w:sz w:val="18"/>
                <w:szCs w:val="18"/>
              </w:rPr>
              <w:t>-</w:t>
            </w:r>
          </w:p>
        </w:tc>
        <w:tc>
          <w:tcPr>
            <w:tcW w:w="557" w:type="pct"/>
            <w:vAlign w:val="bottom"/>
          </w:tcPr>
          <w:p w14:paraId="0C4AB7D1" w14:textId="088F8FBE" w:rsidR="002411D3" w:rsidRPr="00E87B78" w:rsidRDefault="002411D3" w:rsidP="002411D3">
            <w:pPr>
              <w:jc w:val="right"/>
              <w:rPr>
                <w:color w:val="000000"/>
                <w:sz w:val="18"/>
                <w:szCs w:val="18"/>
              </w:rPr>
            </w:pPr>
            <w:r w:rsidRPr="00E87B78">
              <w:rPr>
                <w:color w:val="000000"/>
                <w:sz w:val="18"/>
                <w:szCs w:val="18"/>
              </w:rPr>
              <w:t>-</w:t>
            </w:r>
          </w:p>
        </w:tc>
        <w:tc>
          <w:tcPr>
            <w:tcW w:w="768" w:type="pct"/>
            <w:vAlign w:val="bottom"/>
          </w:tcPr>
          <w:p w14:paraId="297A78C3" w14:textId="7A99D22C" w:rsidR="002411D3" w:rsidRPr="00E87B78" w:rsidRDefault="002411D3" w:rsidP="002411D3">
            <w:pPr>
              <w:jc w:val="right"/>
              <w:rPr>
                <w:color w:val="000000"/>
                <w:sz w:val="18"/>
                <w:szCs w:val="18"/>
              </w:rPr>
            </w:pPr>
            <w:r w:rsidRPr="00E87B78">
              <w:rPr>
                <w:color w:val="000000"/>
                <w:sz w:val="18"/>
                <w:szCs w:val="18"/>
              </w:rPr>
              <w:t>-</w:t>
            </w:r>
          </w:p>
        </w:tc>
      </w:tr>
      <w:tr w:rsidR="002411D3" w:rsidRPr="00E87B78" w14:paraId="2245C4DE" w14:textId="77777777" w:rsidTr="002411D3">
        <w:trPr>
          <w:cantSplit/>
          <w:trHeight w:val="20"/>
        </w:trPr>
        <w:tc>
          <w:tcPr>
            <w:tcW w:w="264" w:type="pct"/>
            <w:hideMark/>
          </w:tcPr>
          <w:p w14:paraId="379A37E6" w14:textId="77777777" w:rsidR="002411D3" w:rsidRPr="00E87B78" w:rsidRDefault="002411D3" w:rsidP="002411D3">
            <w:pPr>
              <w:spacing w:line="240" w:lineRule="exact"/>
              <w:rPr>
                <w:sz w:val="18"/>
                <w:szCs w:val="18"/>
              </w:rPr>
            </w:pPr>
            <w:r w:rsidRPr="00E87B78">
              <w:rPr>
                <w:sz w:val="18"/>
                <w:szCs w:val="18"/>
              </w:rPr>
              <w:t>14</w:t>
            </w:r>
          </w:p>
        </w:tc>
        <w:tc>
          <w:tcPr>
            <w:tcW w:w="1740" w:type="pct"/>
            <w:vAlign w:val="bottom"/>
            <w:hideMark/>
          </w:tcPr>
          <w:p w14:paraId="325F40EE" w14:textId="77777777" w:rsidR="002411D3" w:rsidRPr="00E87B78" w:rsidRDefault="002411D3" w:rsidP="002411D3">
            <w:pPr>
              <w:spacing w:line="240" w:lineRule="exact"/>
              <w:ind w:left="-10"/>
              <w:rPr>
                <w:sz w:val="18"/>
                <w:szCs w:val="18"/>
              </w:rPr>
            </w:pPr>
            <w:r w:rsidRPr="00E87B78">
              <w:rPr>
                <w:sz w:val="18"/>
                <w:szCs w:val="18"/>
              </w:rPr>
              <w:t>Kolektif yatırım kuruluşu niteliğindeki yatırımlar</w:t>
            </w:r>
          </w:p>
        </w:tc>
        <w:tc>
          <w:tcPr>
            <w:tcW w:w="557" w:type="pct"/>
            <w:vAlign w:val="bottom"/>
          </w:tcPr>
          <w:p w14:paraId="0B4AC427" w14:textId="576781A7" w:rsidR="002411D3" w:rsidRPr="00E87B78" w:rsidRDefault="002411D3" w:rsidP="002411D3">
            <w:pPr>
              <w:jc w:val="right"/>
              <w:rPr>
                <w:color w:val="000000"/>
                <w:sz w:val="18"/>
                <w:szCs w:val="18"/>
              </w:rPr>
            </w:pPr>
            <w:r w:rsidRPr="00E87B78">
              <w:rPr>
                <w:color w:val="000000"/>
                <w:sz w:val="18"/>
                <w:szCs w:val="18"/>
              </w:rPr>
              <w:t>1.308.897</w:t>
            </w:r>
          </w:p>
        </w:tc>
        <w:tc>
          <w:tcPr>
            <w:tcW w:w="557" w:type="pct"/>
            <w:vAlign w:val="bottom"/>
          </w:tcPr>
          <w:p w14:paraId="4E53CFE7" w14:textId="6350171E" w:rsidR="002411D3" w:rsidRPr="00E87B78" w:rsidRDefault="002411D3" w:rsidP="002411D3">
            <w:pPr>
              <w:jc w:val="right"/>
              <w:rPr>
                <w:color w:val="000000"/>
                <w:sz w:val="18"/>
                <w:szCs w:val="18"/>
              </w:rPr>
            </w:pPr>
            <w:r w:rsidRPr="00E87B78">
              <w:rPr>
                <w:color w:val="000000"/>
                <w:sz w:val="18"/>
                <w:szCs w:val="18"/>
              </w:rPr>
              <w:t>-</w:t>
            </w:r>
          </w:p>
        </w:tc>
        <w:tc>
          <w:tcPr>
            <w:tcW w:w="557" w:type="pct"/>
            <w:vAlign w:val="bottom"/>
          </w:tcPr>
          <w:p w14:paraId="005BB28E" w14:textId="49D00F66" w:rsidR="002411D3" w:rsidRPr="00E87B78" w:rsidRDefault="002411D3" w:rsidP="002411D3">
            <w:pPr>
              <w:jc w:val="right"/>
              <w:rPr>
                <w:color w:val="000000"/>
                <w:sz w:val="18"/>
                <w:szCs w:val="18"/>
              </w:rPr>
            </w:pPr>
            <w:r w:rsidRPr="00E87B78">
              <w:rPr>
                <w:color w:val="000000"/>
                <w:sz w:val="18"/>
                <w:szCs w:val="18"/>
              </w:rPr>
              <w:t>-</w:t>
            </w:r>
          </w:p>
        </w:tc>
        <w:tc>
          <w:tcPr>
            <w:tcW w:w="557" w:type="pct"/>
            <w:vAlign w:val="bottom"/>
          </w:tcPr>
          <w:p w14:paraId="58DD98B3" w14:textId="60A61216" w:rsidR="002411D3" w:rsidRPr="00E87B78" w:rsidRDefault="002411D3" w:rsidP="002411D3">
            <w:pPr>
              <w:jc w:val="right"/>
              <w:rPr>
                <w:color w:val="000000"/>
                <w:sz w:val="18"/>
                <w:szCs w:val="18"/>
              </w:rPr>
            </w:pPr>
            <w:r w:rsidRPr="00E87B78">
              <w:rPr>
                <w:color w:val="000000"/>
                <w:sz w:val="18"/>
                <w:szCs w:val="18"/>
              </w:rPr>
              <w:t>-</w:t>
            </w:r>
          </w:p>
        </w:tc>
        <w:tc>
          <w:tcPr>
            <w:tcW w:w="768" w:type="pct"/>
            <w:vAlign w:val="bottom"/>
          </w:tcPr>
          <w:p w14:paraId="4837DDD3" w14:textId="45D69AC5" w:rsidR="002411D3" w:rsidRPr="00E87B78" w:rsidRDefault="002411D3" w:rsidP="002411D3">
            <w:pPr>
              <w:jc w:val="right"/>
              <w:rPr>
                <w:color w:val="000000"/>
                <w:sz w:val="18"/>
                <w:szCs w:val="18"/>
              </w:rPr>
            </w:pPr>
            <w:r w:rsidRPr="00E87B78">
              <w:rPr>
                <w:color w:val="000000"/>
                <w:sz w:val="18"/>
                <w:szCs w:val="18"/>
              </w:rPr>
              <w:t>-</w:t>
            </w:r>
          </w:p>
        </w:tc>
      </w:tr>
      <w:tr w:rsidR="002411D3" w:rsidRPr="00E87B78" w14:paraId="303B5124" w14:textId="77777777" w:rsidTr="002411D3">
        <w:trPr>
          <w:cantSplit/>
          <w:trHeight w:val="20"/>
        </w:trPr>
        <w:tc>
          <w:tcPr>
            <w:tcW w:w="264" w:type="pct"/>
            <w:hideMark/>
          </w:tcPr>
          <w:p w14:paraId="699E2AA0" w14:textId="77777777" w:rsidR="002411D3" w:rsidRPr="00E87B78" w:rsidRDefault="002411D3" w:rsidP="002411D3">
            <w:pPr>
              <w:spacing w:line="240" w:lineRule="exact"/>
              <w:rPr>
                <w:sz w:val="18"/>
                <w:szCs w:val="18"/>
              </w:rPr>
            </w:pPr>
            <w:r w:rsidRPr="00E87B78">
              <w:rPr>
                <w:sz w:val="18"/>
                <w:szCs w:val="18"/>
              </w:rPr>
              <w:t>15</w:t>
            </w:r>
          </w:p>
        </w:tc>
        <w:tc>
          <w:tcPr>
            <w:tcW w:w="1740" w:type="pct"/>
            <w:vAlign w:val="bottom"/>
            <w:hideMark/>
          </w:tcPr>
          <w:p w14:paraId="73D61BE1" w14:textId="77777777" w:rsidR="002411D3" w:rsidRPr="00E87B78" w:rsidRDefault="002411D3" w:rsidP="002411D3">
            <w:pPr>
              <w:spacing w:line="240" w:lineRule="exact"/>
              <w:ind w:left="-10"/>
              <w:rPr>
                <w:sz w:val="18"/>
                <w:szCs w:val="18"/>
              </w:rPr>
            </w:pPr>
            <w:r w:rsidRPr="00E87B78">
              <w:rPr>
                <w:sz w:val="18"/>
                <w:szCs w:val="18"/>
              </w:rPr>
              <w:t>Diğer alacaklar</w:t>
            </w:r>
          </w:p>
        </w:tc>
        <w:tc>
          <w:tcPr>
            <w:tcW w:w="557" w:type="pct"/>
            <w:vAlign w:val="bottom"/>
          </w:tcPr>
          <w:p w14:paraId="77F88C2F" w14:textId="6D3F264C" w:rsidR="002411D3" w:rsidRPr="00E87B78" w:rsidRDefault="002411D3" w:rsidP="002411D3">
            <w:pPr>
              <w:jc w:val="right"/>
              <w:rPr>
                <w:sz w:val="18"/>
                <w:szCs w:val="18"/>
              </w:rPr>
            </w:pPr>
            <w:r w:rsidRPr="00E87B78">
              <w:rPr>
                <w:color w:val="000000"/>
                <w:sz w:val="18"/>
                <w:szCs w:val="18"/>
              </w:rPr>
              <w:t>2.966.882</w:t>
            </w:r>
          </w:p>
        </w:tc>
        <w:tc>
          <w:tcPr>
            <w:tcW w:w="557" w:type="pct"/>
            <w:vAlign w:val="bottom"/>
          </w:tcPr>
          <w:p w14:paraId="1526D43F" w14:textId="5048D6B9" w:rsidR="002411D3" w:rsidRPr="00E87B78" w:rsidRDefault="002411D3" w:rsidP="002411D3">
            <w:pPr>
              <w:jc w:val="right"/>
              <w:rPr>
                <w:sz w:val="18"/>
                <w:szCs w:val="18"/>
              </w:rPr>
            </w:pPr>
            <w:r w:rsidRPr="00E87B78">
              <w:rPr>
                <w:color w:val="000000"/>
                <w:sz w:val="18"/>
                <w:szCs w:val="18"/>
              </w:rPr>
              <w:t>-</w:t>
            </w:r>
          </w:p>
        </w:tc>
        <w:tc>
          <w:tcPr>
            <w:tcW w:w="557" w:type="pct"/>
            <w:vAlign w:val="bottom"/>
          </w:tcPr>
          <w:p w14:paraId="0DA94164" w14:textId="7A920B16" w:rsidR="002411D3" w:rsidRPr="00E87B78" w:rsidRDefault="002411D3" w:rsidP="002411D3">
            <w:pPr>
              <w:jc w:val="right"/>
              <w:rPr>
                <w:sz w:val="18"/>
                <w:szCs w:val="18"/>
              </w:rPr>
            </w:pPr>
            <w:r w:rsidRPr="00E87B78">
              <w:rPr>
                <w:color w:val="000000"/>
                <w:sz w:val="18"/>
                <w:szCs w:val="18"/>
              </w:rPr>
              <w:t>-</w:t>
            </w:r>
          </w:p>
        </w:tc>
        <w:tc>
          <w:tcPr>
            <w:tcW w:w="557" w:type="pct"/>
            <w:vAlign w:val="bottom"/>
          </w:tcPr>
          <w:p w14:paraId="313E5E43" w14:textId="1BEF92EC" w:rsidR="002411D3" w:rsidRPr="00E87B78" w:rsidRDefault="002411D3" w:rsidP="002411D3">
            <w:pPr>
              <w:jc w:val="right"/>
              <w:rPr>
                <w:sz w:val="18"/>
                <w:szCs w:val="18"/>
              </w:rPr>
            </w:pPr>
            <w:r w:rsidRPr="00E87B78">
              <w:rPr>
                <w:color w:val="000000"/>
                <w:sz w:val="18"/>
                <w:szCs w:val="18"/>
              </w:rPr>
              <w:t>-</w:t>
            </w:r>
          </w:p>
        </w:tc>
        <w:tc>
          <w:tcPr>
            <w:tcW w:w="768" w:type="pct"/>
            <w:vAlign w:val="bottom"/>
          </w:tcPr>
          <w:p w14:paraId="40B30E60" w14:textId="59B85B01" w:rsidR="002411D3" w:rsidRPr="00E87B78" w:rsidRDefault="002411D3" w:rsidP="002411D3">
            <w:pPr>
              <w:jc w:val="right"/>
              <w:rPr>
                <w:sz w:val="18"/>
                <w:szCs w:val="18"/>
              </w:rPr>
            </w:pPr>
            <w:r w:rsidRPr="00E87B78">
              <w:rPr>
                <w:color w:val="000000"/>
                <w:sz w:val="18"/>
                <w:szCs w:val="18"/>
              </w:rPr>
              <w:t>-</w:t>
            </w:r>
          </w:p>
        </w:tc>
      </w:tr>
      <w:tr w:rsidR="002411D3" w:rsidRPr="00E87B78" w14:paraId="3C2457C3" w14:textId="77777777" w:rsidTr="002411D3">
        <w:trPr>
          <w:cantSplit/>
          <w:trHeight w:val="20"/>
        </w:trPr>
        <w:tc>
          <w:tcPr>
            <w:tcW w:w="264" w:type="pct"/>
            <w:tcBorders>
              <w:top w:val="nil"/>
              <w:left w:val="nil"/>
              <w:bottom w:val="single" w:sz="4" w:space="0" w:color="auto"/>
              <w:right w:val="nil"/>
            </w:tcBorders>
            <w:hideMark/>
          </w:tcPr>
          <w:p w14:paraId="6EA4AADE" w14:textId="77777777" w:rsidR="002411D3" w:rsidRPr="00E87B78" w:rsidRDefault="002411D3" w:rsidP="002411D3">
            <w:pPr>
              <w:spacing w:line="240" w:lineRule="exact"/>
              <w:rPr>
                <w:sz w:val="18"/>
                <w:szCs w:val="18"/>
              </w:rPr>
            </w:pPr>
            <w:r w:rsidRPr="00E87B78">
              <w:rPr>
                <w:sz w:val="18"/>
                <w:szCs w:val="18"/>
              </w:rPr>
              <w:t>16</w:t>
            </w:r>
          </w:p>
        </w:tc>
        <w:tc>
          <w:tcPr>
            <w:tcW w:w="1740" w:type="pct"/>
            <w:tcBorders>
              <w:top w:val="nil"/>
              <w:left w:val="nil"/>
              <w:bottom w:val="single" w:sz="4" w:space="0" w:color="auto"/>
              <w:right w:val="nil"/>
            </w:tcBorders>
            <w:vAlign w:val="bottom"/>
            <w:hideMark/>
          </w:tcPr>
          <w:p w14:paraId="3E3BE9DB" w14:textId="77777777" w:rsidR="002411D3" w:rsidRPr="00E87B78" w:rsidRDefault="002411D3" w:rsidP="002411D3">
            <w:pPr>
              <w:spacing w:line="240" w:lineRule="exact"/>
              <w:ind w:left="-10"/>
              <w:rPr>
                <w:sz w:val="18"/>
                <w:szCs w:val="18"/>
              </w:rPr>
            </w:pPr>
            <w:r w:rsidRPr="00E87B78">
              <w:rPr>
                <w:sz w:val="18"/>
                <w:szCs w:val="18"/>
              </w:rPr>
              <w:t>Hisse senedi yatırımları</w:t>
            </w:r>
          </w:p>
        </w:tc>
        <w:tc>
          <w:tcPr>
            <w:tcW w:w="557" w:type="pct"/>
            <w:tcBorders>
              <w:top w:val="nil"/>
              <w:left w:val="nil"/>
              <w:bottom w:val="single" w:sz="4" w:space="0" w:color="auto"/>
              <w:right w:val="nil"/>
            </w:tcBorders>
            <w:vAlign w:val="bottom"/>
          </w:tcPr>
          <w:p w14:paraId="1B873CEB" w14:textId="50235F65" w:rsidR="002411D3" w:rsidRPr="00E87B78" w:rsidRDefault="002411D3" w:rsidP="002411D3">
            <w:pPr>
              <w:jc w:val="right"/>
              <w:rPr>
                <w:sz w:val="18"/>
                <w:szCs w:val="18"/>
              </w:rPr>
            </w:pPr>
            <w:r w:rsidRPr="00E87B78">
              <w:rPr>
                <w:color w:val="000000"/>
                <w:sz w:val="18"/>
                <w:szCs w:val="18"/>
              </w:rPr>
              <w:t>655.265</w:t>
            </w:r>
          </w:p>
        </w:tc>
        <w:tc>
          <w:tcPr>
            <w:tcW w:w="557" w:type="pct"/>
            <w:tcBorders>
              <w:top w:val="nil"/>
              <w:left w:val="nil"/>
              <w:bottom w:val="single" w:sz="4" w:space="0" w:color="auto"/>
              <w:right w:val="nil"/>
            </w:tcBorders>
            <w:vAlign w:val="bottom"/>
          </w:tcPr>
          <w:p w14:paraId="2E38CC5A" w14:textId="08D550F7" w:rsidR="002411D3" w:rsidRPr="00E87B78" w:rsidRDefault="002411D3" w:rsidP="002411D3">
            <w:pPr>
              <w:jc w:val="right"/>
              <w:rPr>
                <w:sz w:val="18"/>
                <w:szCs w:val="18"/>
              </w:rPr>
            </w:pPr>
            <w:r w:rsidRPr="00E87B78">
              <w:rPr>
                <w:color w:val="000000"/>
                <w:sz w:val="18"/>
                <w:szCs w:val="18"/>
              </w:rPr>
              <w:t>-</w:t>
            </w:r>
          </w:p>
        </w:tc>
        <w:tc>
          <w:tcPr>
            <w:tcW w:w="557" w:type="pct"/>
            <w:tcBorders>
              <w:top w:val="nil"/>
              <w:left w:val="nil"/>
              <w:bottom w:val="single" w:sz="4" w:space="0" w:color="auto"/>
              <w:right w:val="nil"/>
            </w:tcBorders>
            <w:vAlign w:val="bottom"/>
          </w:tcPr>
          <w:p w14:paraId="54046F63" w14:textId="79C5C351" w:rsidR="002411D3" w:rsidRPr="00E87B78" w:rsidRDefault="002411D3" w:rsidP="002411D3">
            <w:pPr>
              <w:jc w:val="right"/>
              <w:rPr>
                <w:sz w:val="18"/>
                <w:szCs w:val="18"/>
              </w:rPr>
            </w:pPr>
            <w:r w:rsidRPr="00E87B78">
              <w:rPr>
                <w:color w:val="000000"/>
                <w:sz w:val="18"/>
                <w:szCs w:val="18"/>
              </w:rPr>
              <w:t>-</w:t>
            </w:r>
          </w:p>
        </w:tc>
        <w:tc>
          <w:tcPr>
            <w:tcW w:w="557" w:type="pct"/>
            <w:tcBorders>
              <w:top w:val="nil"/>
              <w:left w:val="nil"/>
              <w:bottom w:val="single" w:sz="4" w:space="0" w:color="auto"/>
              <w:right w:val="nil"/>
            </w:tcBorders>
            <w:vAlign w:val="bottom"/>
          </w:tcPr>
          <w:p w14:paraId="493208DF" w14:textId="49BE3856" w:rsidR="002411D3" w:rsidRPr="00E87B78" w:rsidRDefault="002411D3" w:rsidP="002411D3">
            <w:pPr>
              <w:jc w:val="right"/>
              <w:rPr>
                <w:sz w:val="18"/>
                <w:szCs w:val="18"/>
              </w:rPr>
            </w:pPr>
            <w:r w:rsidRPr="00E87B78">
              <w:rPr>
                <w:color w:val="000000"/>
                <w:sz w:val="18"/>
                <w:szCs w:val="18"/>
              </w:rPr>
              <w:t>-</w:t>
            </w:r>
          </w:p>
        </w:tc>
        <w:tc>
          <w:tcPr>
            <w:tcW w:w="768" w:type="pct"/>
            <w:tcBorders>
              <w:top w:val="nil"/>
              <w:left w:val="nil"/>
              <w:bottom w:val="single" w:sz="4" w:space="0" w:color="auto"/>
              <w:right w:val="nil"/>
            </w:tcBorders>
            <w:vAlign w:val="bottom"/>
          </w:tcPr>
          <w:p w14:paraId="1F8B4009" w14:textId="64D0254A" w:rsidR="002411D3" w:rsidRPr="00E87B78" w:rsidRDefault="002411D3" w:rsidP="002411D3">
            <w:pPr>
              <w:jc w:val="right"/>
              <w:rPr>
                <w:sz w:val="18"/>
                <w:szCs w:val="18"/>
              </w:rPr>
            </w:pPr>
            <w:r w:rsidRPr="00E87B78">
              <w:rPr>
                <w:color w:val="000000"/>
                <w:sz w:val="18"/>
                <w:szCs w:val="18"/>
              </w:rPr>
              <w:t>-</w:t>
            </w:r>
          </w:p>
        </w:tc>
      </w:tr>
      <w:tr w:rsidR="002411D3" w:rsidRPr="00E87B78" w14:paraId="386D1D66" w14:textId="77777777" w:rsidTr="002411D3">
        <w:trPr>
          <w:cantSplit/>
          <w:trHeight w:val="20"/>
        </w:trPr>
        <w:tc>
          <w:tcPr>
            <w:tcW w:w="264" w:type="pct"/>
            <w:tcBorders>
              <w:top w:val="single" w:sz="4" w:space="0" w:color="auto"/>
              <w:left w:val="nil"/>
              <w:bottom w:val="single" w:sz="12" w:space="0" w:color="auto"/>
              <w:right w:val="nil"/>
            </w:tcBorders>
            <w:hideMark/>
          </w:tcPr>
          <w:p w14:paraId="59479A0C" w14:textId="77777777" w:rsidR="002411D3" w:rsidRPr="00E87B78" w:rsidRDefault="002411D3" w:rsidP="002411D3">
            <w:pPr>
              <w:spacing w:line="240" w:lineRule="exact"/>
              <w:rPr>
                <w:b/>
                <w:sz w:val="18"/>
                <w:szCs w:val="18"/>
              </w:rPr>
            </w:pPr>
            <w:r w:rsidRPr="00E87B78">
              <w:rPr>
                <w:b/>
                <w:sz w:val="18"/>
                <w:szCs w:val="18"/>
              </w:rPr>
              <w:t>17</w:t>
            </w:r>
          </w:p>
        </w:tc>
        <w:tc>
          <w:tcPr>
            <w:tcW w:w="1740" w:type="pct"/>
            <w:tcBorders>
              <w:top w:val="single" w:sz="4" w:space="0" w:color="auto"/>
              <w:left w:val="nil"/>
              <w:bottom w:val="single" w:sz="12" w:space="0" w:color="auto"/>
              <w:right w:val="nil"/>
            </w:tcBorders>
            <w:vAlign w:val="bottom"/>
            <w:hideMark/>
          </w:tcPr>
          <w:p w14:paraId="2AED9FC5" w14:textId="77777777" w:rsidR="002411D3" w:rsidRPr="00E87B78" w:rsidRDefault="002411D3" w:rsidP="002411D3">
            <w:pPr>
              <w:spacing w:line="240" w:lineRule="exact"/>
              <w:rPr>
                <w:b/>
                <w:snapToGrid w:val="0"/>
                <w:sz w:val="18"/>
                <w:szCs w:val="18"/>
              </w:rPr>
            </w:pPr>
            <w:r w:rsidRPr="00E87B78">
              <w:rPr>
                <w:b/>
                <w:sz w:val="18"/>
                <w:szCs w:val="18"/>
              </w:rPr>
              <w:t>Toplam</w:t>
            </w:r>
          </w:p>
        </w:tc>
        <w:tc>
          <w:tcPr>
            <w:tcW w:w="557" w:type="pct"/>
            <w:tcBorders>
              <w:top w:val="single" w:sz="4" w:space="0" w:color="auto"/>
              <w:left w:val="nil"/>
              <w:bottom w:val="single" w:sz="12" w:space="0" w:color="auto"/>
              <w:right w:val="nil"/>
            </w:tcBorders>
            <w:vAlign w:val="bottom"/>
          </w:tcPr>
          <w:p w14:paraId="79170122" w14:textId="6F5B1AD0" w:rsidR="002411D3" w:rsidRPr="00E87B78" w:rsidRDefault="002411D3" w:rsidP="002411D3">
            <w:pPr>
              <w:jc w:val="right"/>
              <w:rPr>
                <w:b/>
                <w:sz w:val="18"/>
                <w:szCs w:val="18"/>
              </w:rPr>
            </w:pPr>
            <w:r w:rsidRPr="00E87B78">
              <w:rPr>
                <w:b/>
                <w:bCs/>
                <w:color w:val="000000"/>
                <w:sz w:val="18"/>
                <w:szCs w:val="18"/>
              </w:rPr>
              <w:t>34.481.734</w:t>
            </w:r>
          </w:p>
        </w:tc>
        <w:tc>
          <w:tcPr>
            <w:tcW w:w="557" w:type="pct"/>
            <w:tcBorders>
              <w:top w:val="single" w:sz="4" w:space="0" w:color="auto"/>
              <w:left w:val="nil"/>
              <w:bottom w:val="single" w:sz="12" w:space="0" w:color="auto"/>
              <w:right w:val="nil"/>
            </w:tcBorders>
            <w:vAlign w:val="bottom"/>
          </w:tcPr>
          <w:p w14:paraId="02937AE1" w14:textId="201D50D8" w:rsidR="002411D3" w:rsidRPr="00E87B78" w:rsidRDefault="002411D3" w:rsidP="002411D3">
            <w:pPr>
              <w:jc w:val="right"/>
              <w:rPr>
                <w:b/>
                <w:sz w:val="18"/>
                <w:szCs w:val="18"/>
              </w:rPr>
            </w:pPr>
            <w:r w:rsidRPr="00E87B78">
              <w:rPr>
                <w:b/>
                <w:bCs/>
                <w:color w:val="000000"/>
                <w:sz w:val="18"/>
                <w:szCs w:val="18"/>
              </w:rPr>
              <w:t>6.781.759</w:t>
            </w:r>
          </w:p>
        </w:tc>
        <w:tc>
          <w:tcPr>
            <w:tcW w:w="557" w:type="pct"/>
            <w:tcBorders>
              <w:top w:val="single" w:sz="4" w:space="0" w:color="auto"/>
              <w:left w:val="nil"/>
              <w:bottom w:val="single" w:sz="12" w:space="0" w:color="auto"/>
              <w:right w:val="nil"/>
            </w:tcBorders>
            <w:vAlign w:val="bottom"/>
          </w:tcPr>
          <w:p w14:paraId="6EDDB139" w14:textId="3A54829B" w:rsidR="002411D3" w:rsidRPr="00E87B78" w:rsidRDefault="002411D3" w:rsidP="002411D3">
            <w:pPr>
              <w:jc w:val="right"/>
              <w:rPr>
                <w:b/>
                <w:sz w:val="18"/>
                <w:szCs w:val="18"/>
              </w:rPr>
            </w:pPr>
            <w:r w:rsidRPr="00E87B78">
              <w:rPr>
                <w:b/>
                <w:bCs/>
                <w:color w:val="000000"/>
                <w:sz w:val="18"/>
                <w:szCs w:val="18"/>
              </w:rPr>
              <w:t>8.485.783</w:t>
            </w:r>
          </w:p>
        </w:tc>
        <w:tc>
          <w:tcPr>
            <w:tcW w:w="557" w:type="pct"/>
            <w:tcBorders>
              <w:top w:val="single" w:sz="4" w:space="0" w:color="auto"/>
              <w:left w:val="nil"/>
              <w:bottom w:val="single" w:sz="12" w:space="0" w:color="auto"/>
              <w:right w:val="nil"/>
            </w:tcBorders>
            <w:vAlign w:val="bottom"/>
          </w:tcPr>
          <w:p w14:paraId="49E4CD59" w14:textId="0140308F" w:rsidR="002411D3" w:rsidRPr="00E87B78" w:rsidRDefault="002411D3" w:rsidP="002411D3">
            <w:pPr>
              <w:jc w:val="right"/>
              <w:rPr>
                <w:b/>
                <w:sz w:val="18"/>
                <w:szCs w:val="18"/>
              </w:rPr>
            </w:pPr>
            <w:r w:rsidRPr="00E87B78">
              <w:rPr>
                <w:b/>
                <w:bCs/>
                <w:color w:val="000000"/>
                <w:sz w:val="18"/>
                <w:szCs w:val="18"/>
              </w:rPr>
              <w:t>11.428.654</w:t>
            </w:r>
          </w:p>
        </w:tc>
        <w:tc>
          <w:tcPr>
            <w:tcW w:w="768" w:type="pct"/>
            <w:tcBorders>
              <w:top w:val="single" w:sz="4" w:space="0" w:color="auto"/>
              <w:left w:val="nil"/>
              <w:bottom w:val="single" w:sz="12" w:space="0" w:color="auto"/>
              <w:right w:val="nil"/>
            </w:tcBorders>
            <w:vAlign w:val="bottom"/>
          </w:tcPr>
          <w:p w14:paraId="69A6A0A1" w14:textId="5651C11C" w:rsidR="002411D3" w:rsidRPr="00E87B78" w:rsidRDefault="002411D3" w:rsidP="002411D3">
            <w:pPr>
              <w:jc w:val="right"/>
              <w:rPr>
                <w:b/>
                <w:sz w:val="18"/>
                <w:szCs w:val="18"/>
              </w:rPr>
            </w:pPr>
            <w:r w:rsidRPr="00E87B78">
              <w:rPr>
                <w:b/>
                <w:bCs/>
                <w:color w:val="000000"/>
                <w:sz w:val="18"/>
                <w:szCs w:val="18"/>
              </w:rPr>
              <w:t>13.340.77</w:t>
            </w:r>
            <w:r w:rsidR="007A5154" w:rsidRPr="00E87B78">
              <w:rPr>
                <w:b/>
                <w:bCs/>
                <w:color w:val="000000"/>
                <w:sz w:val="18"/>
                <w:szCs w:val="18"/>
              </w:rPr>
              <w:t>8</w:t>
            </w:r>
          </w:p>
        </w:tc>
      </w:tr>
    </w:tbl>
    <w:p w14:paraId="5DBA3C78" w14:textId="5B7DC466" w:rsidR="00A15F5D" w:rsidRPr="00471CBA" w:rsidRDefault="00A15F5D" w:rsidP="00F91828">
      <w:pPr>
        <w:spacing w:before="120" w:after="120" w:line="240" w:lineRule="exact"/>
        <w:jc w:val="both"/>
        <w:rPr>
          <w:b/>
          <w:szCs w:val="20"/>
        </w:rPr>
      </w:pPr>
    </w:p>
    <w:p w14:paraId="02E45D1E" w14:textId="77777777" w:rsidR="00A15F5D" w:rsidRPr="00471CBA" w:rsidRDefault="00A15F5D">
      <w:pPr>
        <w:rPr>
          <w:b/>
          <w:szCs w:val="20"/>
        </w:rPr>
      </w:pPr>
      <w:r w:rsidRPr="00471CBA">
        <w:rPr>
          <w:b/>
          <w:szCs w:val="20"/>
        </w:rPr>
        <w:br w:type="page"/>
      </w:r>
    </w:p>
    <w:p w14:paraId="41785C24" w14:textId="77777777" w:rsidR="00D32D13" w:rsidRPr="00471CBA" w:rsidRDefault="00D32D13" w:rsidP="00D32D13">
      <w:pPr>
        <w:rPr>
          <w:b/>
          <w:szCs w:val="20"/>
        </w:rPr>
      </w:pPr>
      <w:bookmarkStart w:id="47" w:name="_Hlk223359207"/>
      <w:r w:rsidRPr="00471CBA">
        <w:rPr>
          <w:b/>
          <w:szCs w:val="20"/>
        </w:rPr>
        <w:lastRenderedPageBreak/>
        <w:t>MALİ BÜNYEYE VE RİSK YÖNETİMİNE İLİŞKİN BİLGİLER (Devamı)</w:t>
      </w:r>
    </w:p>
    <w:bookmarkEnd w:id="47"/>
    <w:p w14:paraId="41739CD5" w14:textId="77777777" w:rsidR="00D32D13" w:rsidRPr="00471CBA" w:rsidRDefault="00D32D13" w:rsidP="00D32D13">
      <w:pPr>
        <w:autoSpaceDE w:val="0"/>
        <w:autoSpaceDN w:val="0"/>
        <w:adjustRightInd w:val="0"/>
        <w:spacing w:before="120" w:after="120"/>
        <w:jc w:val="both"/>
        <w:rPr>
          <w:b/>
          <w:szCs w:val="20"/>
        </w:rPr>
      </w:pPr>
      <w:r w:rsidRPr="00471CBA">
        <w:rPr>
          <w:b/>
          <w:szCs w:val="20"/>
        </w:rPr>
        <w:t>II.</w:t>
      </w:r>
      <w:r w:rsidRPr="00471CBA">
        <w:rPr>
          <w:b/>
          <w:szCs w:val="20"/>
        </w:rPr>
        <w:tab/>
        <w:t>KREDİ RİSKİNE İLİŞKİN AÇIKLAMALAR (Devamı)</w:t>
      </w:r>
    </w:p>
    <w:p w14:paraId="0AB1A118" w14:textId="77777777" w:rsidR="008509D4" w:rsidRPr="00471CBA" w:rsidRDefault="008509D4" w:rsidP="00A15F5D"/>
    <w:tbl>
      <w:tblPr>
        <w:tblW w:w="5000" w:type="pct"/>
        <w:tblLook w:val="01E0" w:firstRow="1" w:lastRow="1" w:firstColumn="1" w:lastColumn="1" w:noHBand="0" w:noVBand="0"/>
      </w:tblPr>
      <w:tblGrid>
        <w:gridCol w:w="508"/>
        <w:gridCol w:w="3354"/>
        <w:gridCol w:w="1074"/>
        <w:gridCol w:w="1074"/>
        <w:gridCol w:w="1074"/>
        <w:gridCol w:w="1074"/>
        <w:gridCol w:w="1481"/>
      </w:tblGrid>
      <w:tr w:rsidR="008509D4" w:rsidRPr="00471CBA" w14:paraId="6F45B2F1" w14:textId="77777777" w:rsidTr="00887449">
        <w:trPr>
          <w:cantSplit/>
          <w:trHeight w:val="20"/>
        </w:trPr>
        <w:tc>
          <w:tcPr>
            <w:tcW w:w="264" w:type="pct"/>
            <w:tcBorders>
              <w:top w:val="single" w:sz="4" w:space="0" w:color="auto"/>
              <w:left w:val="nil"/>
              <w:bottom w:val="single" w:sz="4" w:space="0" w:color="auto"/>
              <w:right w:val="nil"/>
            </w:tcBorders>
            <w:vAlign w:val="bottom"/>
          </w:tcPr>
          <w:p w14:paraId="4264B514" w14:textId="77777777" w:rsidR="008509D4" w:rsidRPr="00471CBA" w:rsidRDefault="008509D4" w:rsidP="00887449">
            <w:pPr>
              <w:rPr>
                <w:b/>
                <w:sz w:val="18"/>
                <w:szCs w:val="18"/>
              </w:rPr>
            </w:pPr>
          </w:p>
        </w:tc>
        <w:tc>
          <w:tcPr>
            <w:tcW w:w="1740" w:type="pct"/>
            <w:tcBorders>
              <w:top w:val="single" w:sz="4" w:space="0" w:color="auto"/>
              <w:left w:val="nil"/>
              <w:bottom w:val="single" w:sz="4" w:space="0" w:color="auto"/>
              <w:right w:val="nil"/>
            </w:tcBorders>
            <w:vAlign w:val="bottom"/>
          </w:tcPr>
          <w:p w14:paraId="2C8394B6" w14:textId="7FD5A481" w:rsidR="008509D4" w:rsidRPr="00471CBA" w:rsidRDefault="008509D4" w:rsidP="00887449">
            <w:pPr>
              <w:rPr>
                <w:b/>
                <w:bCs/>
                <w:sz w:val="18"/>
                <w:szCs w:val="18"/>
              </w:rPr>
            </w:pPr>
            <w:r w:rsidRPr="00471CBA">
              <w:rPr>
                <w:b/>
                <w:bCs/>
                <w:sz w:val="18"/>
                <w:szCs w:val="18"/>
              </w:rPr>
              <w:t>31 Aralık 2024</w:t>
            </w:r>
          </w:p>
        </w:tc>
        <w:tc>
          <w:tcPr>
            <w:tcW w:w="2997" w:type="pct"/>
            <w:gridSpan w:val="5"/>
            <w:tcBorders>
              <w:top w:val="single" w:sz="4" w:space="0" w:color="auto"/>
              <w:left w:val="nil"/>
              <w:bottom w:val="single" w:sz="4" w:space="0" w:color="auto"/>
              <w:right w:val="nil"/>
            </w:tcBorders>
            <w:vAlign w:val="bottom"/>
            <w:hideMark/>
          </w:tcPr>
          <w:p w14:paraId="4EECD8CB" w14:textId="77777777" w:rsidR="008509D4" w:rsidRPr="00471CBA" w:rsidRDefault="008509D4" w:rsidP="00887449">
            <w:pPr>
              <w:jc w:val="center"/>
              <w:rPr>
                <w:b/>
                <w:sz w:val="18"/>
                <w:szCs w:val="18"/>
              </w:rPr>
            </w:pPr>
            <w:r w:rsidRPr="00471CBA">
              <w:rPr>
                <w:b/>
                <w:sz w:val="18"/>
                <w:szCs w:val="18"/>
              </w:rPr>
              <w:t>Vadeye Kalan Süre</w:t>
            </w:r>
          </w:p>
        </w:tc>
      </w:tr>
      <w:tr w:rsidR="008509D4" w:rsidRPr="00471CBA" w14:paraId="53C868BF" w14:textId="77777777" w:rsidTr="00887449">
        <w:trPr>
          <w:cantSplit/>
          <w:trHeight w:val="20"/>
        </w:trPr>
        <w:tc>
          <w:tcPr>
            <w:tcW w:w="264" w:type="pct"/>
            <w:tcBorders>
              <w:top w:val="single" w:sz="4" w:space="0" w:color="auto"/>
              <w:left w:val="nil"/>
              <w:bottom w:val="single" w:sz="4" w:space="0" w:color="auto"/>
              <w:right w:val="nil"/>
            </w:tcBorders>
            <w:vAlign w:val="bottom"/>
            <w:hideMark/>
          </w:tcPr>
          <w:p w14:paraId="5FEEC787" w14:textId="77777777" w:rsidR="008509D4" w:rsidRPr="00471CBA" w:rsidRDefault="008509D4" w:rsidP="00887449">
            <w:pPr>
              <w:rPr>
                <w:b/>
                <w:sz w:val="18"/>
                <w:szCs w:val="18"/>
              </w:rPr>
            </w:pPr>
          </w:p>
        </w:tc>
        <w:tc>
          <w:tcPr>
            <w:tcW w:w="1740" w:type="pct"/>
            <w:tcBorders>
              <w:top w:val="single" w:sz="4" w:space="0" w:color="auto"/>
              <w:left w:val="nil"/>
              <w:bottom w:val="single" w:sz="4" w:space="0" w:color="auto"/>
              <w:right w:val="nil"/>
            </w:tcBorders>
            <w:vAlign w:val="bottom"/>
            <w:hideMark/>
          </w:tcPr>
          <w:p w14:paraId="6669692C" w14:textId="77777777" w:rsidR="008509D4" w:rsidRPr="00471CBA" w:rsidRDefault="008509D4" w:rsidP="00887449">
            <w:pPr>
              <w:ind w:hanging="10"/>
              <w:rPr>
                <w:b/>
                <w:sz w:val="18"/>
                <w:szCs w:val="18"/>
              </w:rPr>
            </w:pPr>
            <w:r w:rsidRPr="00471CBA">
              <w:rPr>
                <w:b/>
                <w:sz w:val="18"/>
                <w:szCs w:val="18"/>
              </w:rPr>
              <w:t>Risk Sınıfları</w:t>
            </w:r>
          </w:p>
        </w:tc>
        <w:tc>
          <w:tcPr>
            <w:tcW w:w="557" w:type="pct"/>
            <w:tcBorders>
              <w:top w:val="single" w:sz="4" w:space="0" w:color="auto"/>
              <w:left w:val="nil"/>
              <w:bottom w:val="single" w:sz="4" w:space="0" w:color="auto"/>
              <w:right w:val="nil"/>
            </w:tcBorders>
            <w:vAlign w:val="bottom"/>
            <w:hideMark/>
          </w:tcPr>
          <w:p w14:paraId="74F4A2BC" w14:textId="77777777" w:rsidR="008509D4" w:rsidRPr="00471CBA" w:rsidRDefault="008509D4" w:rsidP="00887449">
            <w:pPr>
              <w:jc w:val="right"/>
              <w:rPr>
                <w:b/>
                <w:sz w:val="18"/>
                <w:szCs w:val="18"/>
              </w:rPr>
            </w:pPr>
            <w:r w:rsidRPr="00471CBA">
              <w:rPr>
                <w:b/>
                <w:sz w:val="18"/>
                <w:szCs w:val="18"/>
              </w:rPr>
              <w:t>1 ay</w:t>
            </w:r>
          </w:p>
        </w:tc>
        <w:tc>
          <w:tcPr>
            <w:tcW w:w="557" w:type="pct"/>
            <w:tcBorders>
              <w:top w:val="single" w:sz="4" w:space="0" w:color="auto"/>
              <w:left w:val="nil"/>
              <w:bottom w:val="single" w:sz="4" w:space="0" w:color="auto"/>
              <w:right w:val="nil"/>
            </w:tcBorders>
            <w:vAlign w:val="bottom"/>
            <w:hideMark/>
          </w:tcPr>
          <w:p w14:paraId="6813F9C2" w14:textId="77777777" w:rsidR="008509D4" w:rsidRPr="00471CBA" w:rsidRDefault="008509D4" w:rsidP="00887449">
            <w:pPr>
              <w:jc w:val="right"/>
              <w:rPr>
                <w:b/>
                <w:sz w:val="18"/>
                <w:szCs w:val="18"/>
              </w:rPr>
            </w:pPr>
            <w:r w:rsidRPr="00471CBA">
              <w:rPr>
                <w:b/>
                <w:sz w:val="18"/>
                <w:szCs w:val="18"/>
              </w:rPr>
              <w:t>1–3 ay</w:t>
            </w:r>
          </w:p>
        </w:tc>
        <w:tc>
          <w:tcPr>
            <w:tcW w:w="557" w:type="pct"/>
            <w:tcBorders>
              <w:top w:val="single" w:sz="4" w:space="0" w:color="auto"/>
              <w:left w:val="nil"/>
              <w:bottom w:val="single" w:sz="4" w:space="0" w:color="auto"/>
              <w:right w:val="nil"/>
            </w:tcBorders>
            <w:vAlign w:val="bottom"/>
            <w:hideMark/>
          </w:tcPr>
          <w:p w14:paraId="6161843B" w14:textId="77777777" w:rsidR="008509D4" w:rsidRPr="00471CBA" w:rsidRDefault="008509D4" w:rsidP="00887449">
            <w:pPr>
              <w:jc w:val="right"/>
              <w:rPr>
                <w:b/>
                <w:sz w:val="18"/>
                <w:szCs w:val="18"/>
              </w:rPr>
            </w:pPr>
            <w:r w:rsidRPr="00471CBA">
              <w:rPr>
                <w:b/>
                <w:sz w:val="18"/>
                <w:szCs w:val="18"/>
              </w:rPr>
              <w:t>3–6 ay</w:t>
            </w:r>
          </w:p>
        </w:tc>
        <w:tc>
          <w:tcPr>
            <w:tcW w:w="557" w:type="pct"/>
            <w:tcBorders>
              <w:top w:val="single" w:sz="4" w:space="0" w:color="auto"/>
              <w:left w:val="nil"/>
              <w:bottom w:val="single" w:sz="4" w:space="0" w:color="auto"/>
              <w:right w:val="nil"/>
            </w:tcBorders>
            <w:vAlign w:val="bottom"/>
            <w:hideMark/>
          </w:tcPr>
          <w:p w14:paraId="751AB5D4" w14:textId="77777777" w:rsidR="008509D4" w:rsidRPr="00471CBA" w:rsidRDefault="008509D4" w:rsidP="00887449">
            <w:pPr>
              <w:jc w:val="right"/>
              <w:rPr>
                <w:b/>
                <w:sz w:val="18"/>
                <w:szCs w:val="18"/>
              </w:rPr>
            </w:pPr>
            <w:r w:rsidRPr="00471CBA">
              <w:rPr>
                <w:b/>
                <w:sz w:val="18"/>
                <w:szCs w:val="18"/>
              </w:rPr>
              <w:t>6–12 ay</w:t>
            </w:r>
          </w:p>
        </w:tc>
        <w:tc>
          <w:tcPr>
            <w:tcW w:w="768" w:type="pct"/>
            <w:tcBorders>
              <w:top w:val="single" w:sz="4" w:space="0" w:color="auto"/>
              <w:left w:val="nil"/>
              <w:bottom w:val="single" w:sz="4" w:space="0" w:color="auto"/>
              <w:right w:val="nil"/>
            </w:tcBorders>
            <w:vAlign w:val="bottom"/>
            <w:hideMark/>
          </w:tcPr>
          <w:p w14:paraId="1CBE8386" w14:textId="77777777" w:rsidR="008509D4" w:rsidRPr="00471CBA" w:rsidRDefault="008509D4" w:rsidP="00887449">
            <w:pPr>
              <w:jc w:val="right"/>
              <w:rPr>
                <w:b/>
                <w:sz w:val="18"/>
                <w:szCs w:val="18"/>
              </w:rPr>
            </w:pPr>
            <w:r w:rsidRPr="00471CBA">
              <w:rPr>
                <w:b/>
                <w:sz w:val="18"/>
                <w:szCs w:val="18"/>
              </w:rPr>
              <w:t>1 yıl üzeri</w:t>
            </w:r>
          </w:p>
        </w:tc>
      </w:tr>
      <w:tr w:rsidR="008509D4" w:rsidRPr="00471CBA" w14:paraId="4DFF92E8" w14:textId="77777777" w:rsidTr="00887449">
        <w:trPr>
          <w:cantSplit/>
          <w:trHeight w:val="20"/>
        </w:trPr>
        <w:tc>
          <w:tcPr>
            <w:tcW w:w="264" w:type="pct"/>
            <w:tcBorders>
              <w:top w:val="single" w:sz="4" w:space="0" w:color="auto"/>
              <w:left w:val="nil"/>
              <w:bottom w:val="nil"/>
              <w:right w:val="nil"/>
            </w:tcBorders>
            <w:hideMark/>
          </w:tcPr>
          <w:p w14:paraId="4A6742A6" w14:textId="77777777" w:rsidR="008509D4" w:rsidRPr="00471CBA" w:rsidRDefault="008509D4" w:rsidP="00887449">
            <w:pPr>
              <w:rPr>
                <w:sz w:val="18"/>
                <w:szCs w:val="18"/>
              </w:rPr>
            </w:pPr>
            <w:r w:rsidRPr="00471CBA">
              <w:rPr>
                <w:sz w:val="18"/>
                <w:szCs w:val="18"/>
              </w:rPr>
              <w:t>1</w:t>
            </w:r>
          </w:p>
        </w:tc>
        <w:tc>
          <w:tcPr>
            <w:tcW w:w="1740" w:type="pct"/>
            <w:tcBorders>
              <w:top w:val="single" w:sz="4" w:space="0" w:color="auto"/>
              <w:left w:val="nil"/>
              <w:bottom w:val="nil"/>
              <w:right w:val="nil"/>
            </w:tcBorders>
            <w:vAlign w:val="bottom"/>
            <w:hideMark/>
          </w:tcPr>
          <w:p w14:paraId="7674BD48" w14:textId="77777777" w:rsidR="008509D4" w:rsidRPr="00471CBA" w:rsidRDefault="008509D4" w:rsidP="00887449">
            <w:pPr>
              <w:ind w:left="-10"/>
              <w:rPr>
                <w:sz w:val="18"/>
                <w:szCs w:val="18"/>
              </w:rPr>
            </w:pPr>
            <w:r w:rsidRPr="00471CBA">
              <w:rPr>
                <w:sz w:val="18"/>
                <w:szCs w:val="18"/>
              </w:rPr>
              <w:t>Merkezi yönetimlerden veya merkez bankalarından alacaklar</w:t>
            </w:r>
          </w:p>
        </w:tc>
        <w:tc>
          <w:tcPr>
            <w:tcW w:w="557" w:type="pct"/>
            <w:vAlign w:val="bottom"/>
          </w:tcPr>
          <w:p w14:paraId="778E7155" w14:textId="77777777" w:rsidR="008509D4" w:rsidRPr="00471CBA" w:rsidRDefault="008509D4" w:rsidP="00887449">
            <w:pPr>
              <w:jc w:val="right"/>
              <w:rPr>
                <w:color w:val="000000"/>
                <w:sz w:val="18"/>
                <w:szCs w:val="18"/>
              </w:rPr>
            </w:pPr>
            <w:r w:rsidRPr="00471CBA">
              <w:rPr>
                <w:color w:val="000000"/>
                <w:sz w:val="18"/>
                <w:szCs w:val="18"/>
              </w:rPr>
              <w:t>3.475.105</w:t>
            </w:r>
          </w:p>
        </w:tc>
        <w:tc>
          <w:tcPr>
            <w:tcW w:w="557" w:type="pct"/>
            <w:vAlign w:val="bottom"/>
          </w:tcPr>
          <w:p w14:paraId="2E9EC596" w14:textId="77777777" w:rsidR="008509D4" w:rsidRPr="00471CBA" w:rsidRDefault="008509D4" w:rsidP="00887449">
            <w:pPr>
              <w:jc w:val="right"/>
              <w:rPr>
                <w:color w:val="000000"/>
                <w:sz w:val="18"/>
                <w:szCs w:val="18"/>
              </w:rPr>
            </w:pPr>
            <w:r w:rsidRPr="00471CBA">
              <w:rPr>
                <w:color w:val="000000"/>
                <w:sz w:val="18"/>
                <w:szCs w:val="18"/>
              </w:rPr>
              <w:t>-</w:t>
            </w:r>
          </w:p>
        </w:tc>
        <w:tc>
          <w:tcPr>
            <w:tcW w:w="557" w:type="pct"/>
            <w:vAlign w:val="bottom"/>
          </w:tcPr>
          <w:p w14:paraId="1C0EE123" w14:textId="77777777" w:rsidR="008509D4" w:rsidRPr="00471CBA" w:rsidRDefault="008509D4" w:rsidP="00887449">
            <w:pPr>
              <w:jc w:val="right"/>
              <w:rPr>
                <w:color w:val="000000"/>
                <w:sz w:val="18"/>
                <w:szCs w:val="18"/>
              </w:rPr>
            </w:pPr>
            <w:r w:rsidRPr="00471CBA">
              <w:rPr>
                <w:color w:val="000000"/>
                <w:sz w:val="18"/>
                <w:szCs w:val="18"/>
              </w:rPr>
              <w:t>-</w:t>
            </w:r>
          </w:p>
        </w:tc>
        <w:tc>
          <w:tcPr>
            <w:tcW w:w="557" w:type="pct"/>
            <w:vAlign w:val="bottom"/>
          </w:tcPr>
          <w:p w14:paraId="01DFC6CC" w14:textId="77777777" w:rsidR="008509D4" w:rsidRPr="00471CBA" w:rsidRDefault="008509D4" w:rsidP="00887449">
            <w:pPr>
              <w:jc w:val="right"/>
              <w:rPr>
                <w:color w:val="000000"/>
                <w:sz w:val="18"/>
                <w:szCs w:val="18"/>
              </w:rPr>
            </w:pPr>
            <w:r w:rsidRPr="00471CBA">
              <w:rPr>
                <w:color w:val="000000"/>
                <w:sz w:val="18"/>
                <w:szCs w:val="18"/>
              </w:rPr>
              <w:t>-</w:t>
            </w:r>
          </w:p>
        </w:tc>
        <w:tc>
          <w:tcPr>
            <w:tcW w:w="768" w:type="pct"/>
            <w:vAlign w:val="bottom"/>
          </w:tcPr>
          <w:p w14:paraId="00DA33BD" w14:textId="77777777" w:rsidR="008509D4" w:rsidRPr="00471CBA" w:rsidRDefault="008509D4" w:rsidP="00887449">
            <w:pPr>
              <w:jc w:val="right"/>
              <w:rPr>
                <w:color w:val="000000"/>
                <w:sz w:val="18"/>
                <w:szCs w:val="18"/>
              </w:rPr>
            </w:pPr>
            <w:r w:rsidRPr="00471CBA">
              <w:rPr>
                <w:color w:val="000000"/>
                <w:sz w:val="18"/>
                <w:szCs w:val="18"/>
              </w:rPr>
              <w:t>1.355.753</w:t>
            </w:r>
          </w:p>
        </w:tc>
      </w:tr>
      <w:tr w:rsidR="008509D4" w:rsidRPr="00471CBA" w14:paraId="7D94D6CA" w14:textId="77777777" w:rsidTr="00887449">
        <w:trPr>
          <w:cantSplit/>
          <w:trHeight w:val="20"/>
        </w:trPr>
        <w:tc>
          <w:tcPr>
            <w:tcW w:w="264" w:type="pct"/>
            <w:hideMark/>
          </w:tcPr>
          <w:p w14:paraId="60B3B66D" w14:textId="77777777" w:rsidR="008509D4" w:rsidRPr="00471CBA" w:rsidRDefault="008509D4" w:rsidP="00887449">
            <w:pPr>
              <w:rPr>
                <w:sz w:val="18"/>
                <w:szCs w:val="18"/>
              </w:rPr>
            </w:pPr>
            <w:r w:rsidRPr="00471CBA">
              <w:rPr>
                <w:sz w:val="18"/>
                <w:szCs w:val="18"/>
              </w:rPr>
              <w:t>2</w:t>
            </w:r>
          </w:p>
        </w:tc>
        <w:tc>
          <w:tcPr>
            <w:tcW w:w="1740" w:type="pct"/>
            <w:vAlign w:val="bottom"/>
            <w:hideMark/>
          </w:tcPr>
          <w:p w14:paraId="696A4CC3" w14:textId="77777777" w:rsidR="008509D4" w:rsidRPr="00471CBA" w:rsidRDefault="008509D4" w:rsidP="00887449">
            <w:pPr>
              <w:ind w:left="-10"/>
              <w:rPr>
                <w:sz w:val="18"/>
                <w:szCs w:val="18"/>
              </w:rPr>
            </w:pPr>
            <w:r w:rsidRPr="00471CBA">
              <w:rPr>
                <w:sz w:val="18"/>
                <w:szCs w:val="18"/>
              </w:rPr>
              <w:t>Bölgesel yönetimlerden veya yerel yönetimlerden alacaklar</w:t>
            </w:r>
          </w:p>
        </w:tc>
        <w:tc>
          <w:tcPr>
            <w:tcW w:w="557" w:type="pct"/>
            <w:vAlign w:val="bottom"/>
          </w:tcPr>
          <w:p w14:paraId="2E0FB486" w14:textId="77777777" w:rsidR="008509D4" w:rsidRPr="00471CBA" w:rsidRDefault="008509D4" w:rsidP="00887449">
            <w:pPr>
              <w:jc w:val="right"/>
              <w:rPr>
                <w:color w:val="000000"/>
                <w:sz w:val="18"/>
                <w:szCs w:val="18"/>
              </w:rPr>
            </w:pPr>
            <w:r w:rsidRPr="00471CBA">
              <w:rPr>
                <w:color w:val="000000"/>
                <w:sz w:val="18"/>
                <w:szCs w:val="18"/>
              </w:rPr>
              <w:t>-</w:t>
            </w:r>
          </w:p>
        </w:tc>
        <w:tc>
          <w:tcPr>
            <w:tcW w:w="557" w:type="pct"/>
            <w:vAlign w:val="bottom"/>
          </w:tcPr>
          <w:p w14:paraId="2B8D50CC" w14:textId="77777777" w:rsidR="008509D4" w:rsidRPr="00471CBA" w:rsidRDefault="008509D4" w:rsidP="00887449">
            <w:pPr>
              <w:jc w:val="right"/>
              <w:rPr>
                <w:color w:val="000000"/>
                <w:sz w:val="18"/>
                <w:szCs w:val="18"/>
              </w:rPr>
            </w:pPr>
            <w:r w:rsidRPr="00471CBA">
              <w:rPr>
                <w:color w:val="000000"/>
                <w:sz w:val="18"/>
                <w:szCs w:val="18"/>
              </w:rPr>
              <w:t>-</w:t>
            </w:r>
          </w:p>
        </w:tc>
        <w:tc>
          <w:tcPr>
            <w:tcW w:w="557" w:type="pct"/>
            <w:vAlign w:val="bottom"/>
          </w:tcPr>
          <w:p w14:paraId="67616CF6" w14:textId="77777777" w:rsidR="008509D4" w:rsidRPr="00471CBA" w:rsidRDefault="008509D4" w:rsidP="00887449">
            <w:pPr>
              <w:jc w:val="right"/>
              <w:rPr>
                <w:color w:val="000000"/>
                <w:sz w:val="18"/>
                <w:szCs w:val="18"/>
              </w:rPr>
            </w:pPr>
            <w:r w:rsidRPr="00471CBA">
              <w:rPr>
                <w:color w:val="000000"/>
                <w:sz w:val="18"/>
                <w:szCs w:val="18"/>
              </w:rPr>
              <w:t>-</w:t>
            </w:r>
          </w:p>
        </w:tc>
        <w:tc>
          <w:tcPr>
            <w:tcW w:w="557" w:type="pct"/>
            <w:vAlign w:val="bottom"/>
          </w:tcPr>
          <w:p w14:paraId="1F9E04D1" w14:textId="77777777" w:rsidR="008509D4" w:rsidRPr="00471CBA" w:rsidRDefault="008509D4" w:rsidP="00887449">
            <w:pPr>
              <w:jc w:val="right"/>
              <w:rPr>
                <w:color w:val="000000"/>
                <w:sz w:val="18"/>
                <w:szCs w:val="18"/>
              </w:rPr>
            </w:pPr>
            <w:r w:rsidRPr="00471CBA">
              <w:rPr>
                <w:color w:val="000000"/>
                <w:sz w:val="18"/>
                <w:szCs w:val="18"/>
              </w:rPr>
              <w:t>-</w:t>
            </w:r>
          </w:p>
        </w:tc>
        <w:tc>
          <w:tcPr>
            <w:tcW w:w="768" w:type="pct"/>
            <w:vAlign w:val="bottom"/>
          </w:tcPr>
          <w:p w14:paraId="0C2B8B8A" w14:textId="77777777" w:rsidR="008509D4" w:rsidRPr="00471CBA" w:rsidRDefault="008509D4" w:rsidP="00887449">
            <w:pPr>
              <w:jc w:val="right"/>
              <w:rPr>
                <w:color w:val="000000"/>
                <w:sz w:val="18"/>
                <w:szCs w:val="18"/>
              </w:rPr>
            </w:pPr>
            <w:r w:rsidRPr="00471CBA">
              <w:rPr>
                <w:color w:val="000000"/>
                <w:sz w:val="18"/>
                <w:szCs w:val="18"/>
              </w:rPr>
              <w:t>-</w:t>
            </w:r>
          </w:p>
        </w:tc>
      </w:tr>
      <w:tr w:rsidR="008509D4" w:rsidRPr="00471CBA" w14:paraId="03F6CF54" w14:textId="77777777" w:rsidTr="00887449">
        <w:trPr>
          <w:cantSplit/>
          <w:trHeight w:val="20"/>
        </w:trPr>
        <w:tc>
          <w:tcPr>
            <w:tcW w:w="264" w:type="pct"/>
            <w:hideMark/>
          </w:tcPr>
          <w:p w14:paraId="52010349" w14:textId="77777777" w:rsidR="008509D4" w:rsidRPr="00471CBA" w:rsidRDefault="008509D4" w:rsidP="00887449">
            <w:pPr>
              <w:rPr>
                <w:sz w:val="18"/>
                <w:szCs w:val="18"/>
              </w:rPr>
            </w:pPr>
            <w:r w:rsidRPr="00471CBA">
              <w:rPr>
                <w:sz w:val="18"/>
                <w:szCs w:val="18"/>
              </w:rPr>
              <w:t>3</w:t>
            </w:r>
          </w:p>
        </w:tc>
        <w:tc>
          <w:tcPr>
            <w:tcW w:w="1740" w:type="pct"/>
            <w:vAlign w:val="bottom"/>
            <w:hideMark/>
          </w:tcPr>
          <w:p w14:paraId="0BE7E3C2" w14:textId="77777777" w:rsidR="008509D4" w:rsidRPr="00471CBA" w:rsidRDefault="008509D4" w:rsidP="00887449">
            <w:pPr>
              <w:ind w:left="-10"/>
              <w:rPr>
                <w:sz w:val="18"/>
                <w:szCs w:val="18"/>
              </w:rPr>
            </w:pPr>
            <w:r w:rsidRPr="00471CBA">
              <w:rPr>
                <w:sz w:val="18"/>
                <w:szCs w:val="18"/>
              </w:rPr>
              <w:t>İdari birimlerden ve ticari olmayan girişimlerden alacaklar</w:t>
            </w:r>
          </w:p>
        </w:tc>
        <w:tc>
          <w:tcPr>
            <w:tcW w:w="557" w:type="pct"/>
            <w:vAlign w:val="bottom"/>
          </w:tcPr>
          <w:p w14:paraId="5A1953F4" w14:textId="77777777" w:rsidR="008509D4" w:rsidRPr="00471CBA" w:rsidRDefault="008509D4" w:rsidP="00887449">
            <w:pPr>
              <w:jc w:val="right"/>
              <w:rPr>
                <w:color w:val="000000"/>
                <w:sz w:val="18"/>
                <w:szCs w:val="18"/>
              </w:rPr>
            </w:pPr>
            <w:r w:rsidRPr="00471CBA">
              <w:rPr>
                <w:color w:val="000000"/>
                <w:sz w:val="18"/>
                <w:szCs w:val="18"/>
              </w:rPr>
              <w:t>-</w:t>
            </w:r>
          </w:p>
        </w:tc>
        <w:tc>
          <w:tcPr>
            <w:tcW w:w="557" w:type="pct"/>
            <w:vAlign w:val="bottom"/>
          </w:tcPr>
          <w:p w14:paraId="18B6A69D" w14:textId="77777777" w:rsidR="008509D4" w:rsidRPr="00471CBA" w:rsidRDefault="008509D4" w:rsidP="00887449">
            <w:pPr>
              <w:jc w:val="right"/>
              <w:rPr>
                <w:color w:val="000000"/>
                <w:sz w:val="18"/>
                <w:szCs w:val="18"/>
              </w:rPr>
            </w:pPr>
            <w:r w:rsidRPr="00471CBA">
              <w:rPr>
                <w:color w:val="000000"/>
                <w:sz w:val="18"/>
                <w:szCs w:val="18"/>
              </w:rPr>
              <w:t>-</w:t>
            </w:r>
          </w:p>
        </w:tc>
        <w:tc>
          <w:tcPr>
            <w:tcW w:w="557" w:type="pct"/>
            <w:vAlign w:val="bottom"/>
          </w:tcPr>
          <w:p w14:paraId="322288E3" w14:textId="77777777" w:rsidR="008509D4" w:rsidRPr="00471CBA" w:rsidRDefault="008509D4" w:rsidP="00887449">
            <w:pPr>
              <w:jc w:val="right"/>
              <w:rPr>
                <w:color w:val="000000"/>
                <w:sz w:val="18"/>
                <w:szCs w:val="18"/>
              </w:rPr>
            </w:pPr>
            <w:r w:rsidRPr="00471CBA">
              <w:rPr>
                <w:color w:val="000000"/>
                <w:sz w:val="18"/>
                <w:szCs w:val="18"/>
              </w:rPr>
              <w:t>-</w:t>
            </w:r>
          </w:p>
        </w:tc>
        <w:tc>
          <w:tcPr>
            <w:tcW w:w="557" w:type="pct"/>
            <w:vAlign w:val="bottom"/>
          </w:tcPr>
          <w:p w14:paraId="71EA3A9D" w14:textId="77777777" w:rsidR="008509D4" w:rsidRPr="00471CBA" w:rsidRDefault="008509D4" w:rsidP="00887449">
            <w:pPr>
              <w:jc w:val="right"/>
              <w:rPr>
                <w:color w:val="000000"/>
                <w:sz w:val="18"/>
                <w:szCs w:val="18"/>
              </w:rPr>
            </w:pPr>
            <w:r w:rsidRPr="00471CBA">
              <w:rPr>
                <w:color w:val="000000"/>
                <w:sz w:val="18"/>
                <w:szCs w:val="18"/>
              </w:rPr>
              <w:t>-</w:t>
            </w:r>
          </w:p>
        </w:tc>
        <w:tc>
          <w:tcPr>
            <w:tcW w:w="768" w:type="pct"/>
            <w:vAlign w:val="bottom"/>
          </w:tcPr>
          <w:p w14:paraId="41D7842F" w14:textId="77777777" w:rsidR="008509D4" w:rsidRPr="00471CBA" w:rsidRDefault="008509D4" w:rsidP="00887449">
            <w:pPr>
              <w:jc w:val="right"/>
              <w:rPr>
                <w:color w:val="000000"/>
                <w:sz w:val="18"/>
                <w:szCs w:val="18"/>
              </w:rPr>
            </w:pPr>
            <w:r w:rsidRPr="00471CBA">
              <w:rPr>
                <w:color w:val="000000"/>
                <w:sz w:val="18"/>
                <w:szCs w:val="18"/>
              </w:rPr>
              <w:t>-</w:t>
            </w:r>
          </w:p>
        </w:tc>
      </w:tr>
      <w:tr w:rsidR="008509D4" w:rsidRPr="00471CBA" w14:paraId="44389956" w14:textId="77777777" w:rsidTr="00887449">
        <w:trPr>
          <w:cantSplit/>
          <w:trHeight w:val="20"/>
        </w:trPr>
        <w:tc>
          <w:tcPr>
            <w:tcW w:w="264" w:type="pct"/>
            <w:hideMark/>
          </w:tcPr>
          <w:p w14:paraId="2E7C6B3C" w14:textId="77777777" w:rsidR="008509D4" w:rsidRPr="00471CBA" w:rsidRDefault="008509D4" w:rsidP="00887449">
            <w:pPr>
              <w:rPr>
                <w:sz w:val="18"/>
                <w:szCs w:val="18"/>
              </w:rPr>
            </w:pPr>
            <w:r w:rsidRPr="00471CBA">
              <w:rPr>
                <w:sz w:val="18"/>
                <w:szCs w:val="18"/>
              </w:rPr>
              <w:t>4</w:t>
            </w:r>
          </w:p>
        </w:tc>
        <w:tc>
          <w:tcPr>
            <w:tcW w:w="1740" w:type="pct"/>
            <w:vAlign w:val="bottom"/>
            <w:hideMark/>
          </w:tcPr>
          <w:p w14:paraId="762AAC98" w14:textId="77777777" w:rsidR="008509D4" w:rsidRPr="00471CBA" w:rsidRDefault="008509D4" w:rsidP="00887449">
            <w:pPr>
              <w:ind w:left="-10"/>
              <w:rPr>
                <w:sz w:val="18"/>
                <w:szCs w:val="18"/>
              </w:rPr>
            </w:pPr>
            <w:r w:rsidRPr="00471CBA">
              <w:rPr>
                <w:sz w:val="18"/>
                <w:szCs w:val="18"/>
              </w:rPr>
              <w:t>Çok taraflı kalkınma bankalarından alacaklar</w:t>
            </w:r>
          </w:p>
        </w:tc>
        <w:tc>
          <w:tcPr>
            <w:tcW w:w="557" w:type="pct"/>
            <w:vAlign w:val="bottom"/>
          </w:tcPr>
          <w:p w14:paraId="5E2C2E37" w14:textId="77777777" w:rsidR="008509D4" w:rsidRPr="00471CBA" w:rsidRDefault="008509D4" w:rsidP="00887449">
            <w:pPr>
              <w:jc w:val="right"/>
              <w:rPr>
                <w:color w:val="000000"/>
                <w:sz w:val="18"/>
                <w:szCs w:val="18"/>
              </w:rPr>
            </w:pPr>
            <w:r w:rsidRPr="00471CBA">
              <w:rPr>
                <w:color w:val="000000"/>
                <w:sz w:val="18"/>
                <w:szCs w:val="18"/>
              </w:rPr>
              <w:t>-</w:t>
            </w:r>
          </w:p>
        </w:tc>
        <w:tc>
          <w:tcPr>
            <w:tcW w:w="557" w:type="pct"/>
            <w:vAlign w:val="bottom"/>
          </w:tcPr>
          <w:p w14:paraId="5FF5DC81" w14:textId="77777777" w:rsidR="008509D4" w:rsidRPr="00471CBA" w:rsidRDefault="008509D4" w:rsidP="00887449">
            <w:pPr>
              <w:jc w:val="right"/>
              <w:rPr>
                <w:color w:val="000000"/>
                <w:sz w:val="18"/>
                <w:szCs w:val="18"/>
              </w:rPr>
            </w:pPr>
            <w:r w:rsidRPr="00471CBA">
              <w:rPr>
                <w:color w:val="000000"/>
                <w:sz w:val="18"/>
                <w:szCs w:val="18"/>
              </w:rPr>
              <w:t>-</w:t>
            </w:r>
          </w:p>
        </w:tc>
        <w:tc>
          <w:tcPr>
            <w:tcW w:w="557" w:type="pct"/>
            <w:vAlign w:val="bottom"/>
          </w:tcPr>
          <w:p w14:paraId="7619299C" w14:textId="77777777" w:rsidR="008509D4" w:rsidRPr="00471CBA" w:rsidRDefault="008509D4" w:rsidP="00887449">
            <w:pPr>
              <w:jc w:val="right"/>
              <w:rPr>
                <w:color w:val="000000"/>
                <w:sz w:val="18"/>
                <w:szCs w:val="18"/>
              </w:rPr>
            </w:pPr>
            <w:r w:rsidRPr="00471CBA">
              <w:rPr>
                <w:color w:val="000000"/>
                <w:sz w:val="18"/>
                <w:szCs w:val="18"/>
              </w:rPr>
              <w:t>-</w:t>
            </w:r>
          </w:p>
        </w:tc>
        <w:tc>
          <w:tcPr>
            <w:tcW w:w="557" w:type="pct"/>
            <w:vAlign w:val="bottom"/>
          </w:tcPr>
          <w:p w14:paraId="3E5E4354" w14:textId="77777777" w:rsidR="008509D4" w:rsidRPr="00471CBA" w:rsidRDefault="008509D4" w:rsidP="00887449">
            <w:pPr>
              <w:jc w:val="right"/>
              <w:rPr>
                <w:color w:val="000000"/>
                <w:sz w:val="18"/>
                <w:szCs w:val="18"/>
              </w:rPr>
            </w:pPr>
            <w:r w:rsidRPr="00471CBA">
              <w:rPr>
                <w:color w:val="000000"/>
                <w:sz w:val="18"/>
                <w:szCs w:val="18"/>
              </w:rPr>
              <w:t>-</w:t>
            </w:r>
          </w:p>
        </w:tc>
        <w:tc>
          <w:tcPr>
            <w:tcW w:w="768" w:type="pct"/>
            <w:vAlign w:val="bottom"/>
          </w:tcPr>
          <w:p w14:paraId="4149B885" w14:textId="77777777" w:rsidR="008509D4" w:rsidRPr="00471CBA" w:rsidRDefault="008509D4" w:rsidP="00887449">
            <w:pPr>
              <w:jc w:val="right"/>
              <w:rPr>
                <w:color w:val="000000"/>
                <w:sz w:val="18"/>
                <w:szCs w:val="18"/>
              </w:rPr>
            </w:pPr>
            <w:r w:rsidRPr="00471CBA">
              <w:rPr>
                <w:color w:val="000000"/>
                <w:sz w:val="18"/>
                <w:szCs w:val="18"/>
              </w:rPr>
              <w:t>-</w:t>
            </w:r>
          </w:p>
        </w:tc>
      </w:tr>
      <w:tr w:rsidR="008509D4" w:rsidRPr="00471CBA" w14:paraId="79AB8DFA" w14:textId="77777777" w:rsidTr="00887449">
        <w:trPr>
          <w:cantSplit/>
          <w:trHeight w:val="20"/>
        </w:trPr>
        <w:tc>
          <w:tcPr>
            <w:tcW w:w="264" w:type="pct"/>
            <w:hideMark/>
          </w:tcPr>
          <w:p w14:paraId="4A5F5BF9" w14:textId="77777777" w:rsidR="008509D4" w:rsidRPr="00471CBA" w:rsidRDefault="008509D4" w:rsidP="00887449">
            <w:pPr>
              <w:rPr>
                <w:sz w:val="18"/>
                <w:szCs w:val="18"/>
              </w:rPr>
            </w:pPr>
            <w:r w:rsidRPr="00471CBA">
              <w:rPr>
                <w:sz w:val="18"/>
                <w:szCs w:val="18"/>
              </w:rPr>
              <w:t>5</w:t>
            </w:r>
          </w:p>
        </w:tc>
        <w:tc>
          <w:tcPr>
            <w:tcW w:w="1740" w:type="pct"/>
            <w:vAlign w:val="bottom"/>
            <w:hideMark/>
          </w:tcPr>
          <w:p w14:paraId="4758303B" w14:textId="77777777" w:rsidR="008509D4" w:rsidRPr="00471CBA" w:rsidRDefault="008509D4" w:rsidP="00887449">
            <w:pPr>
              <w:ind w:left="-10"/>
              <w:rPr>
                <w:sz w:val="18"/>
                <w:szCs w:val="18"/>
              </w:rPr>
            </w:pPr>
            <w:r w:rsidRPr="00471CBA">
              <w:rPr>
                <w:sz w:val="18"/>
                <w:szCs w:val="18"/>
              </w:rPr>
              <w:t>Uluslararası teşkilatlardan alacaklar</w:t>
            </w:r>
          </w:p>
        </w:tc>
        <w:tc>
          <w:tcPr>
            <w:tcW w:w="557" w:type="pct"/>
            <w:vAlign w:val="bottom"/>
          </w:tcPr>
          <w:p w14:paraId="1D3F19EF" w14:textId="77777777" w:rsidR="008509D4" w:rsidRPr="00471CBA" w:rsidRDefault="008509D4" w:rsidP="00887449">
            <w:pPr>
              <w:jc w:val="right"/>
              <w:rPr>
                <w:color w:val="000000"/>
                <w:sz w:val="18"/>
                <w:szCs w:val="18"/>
              </w:rPr>
            </w:pPr>
            <w:r w:rsidRPr="00471CBA">
              <w:rPr>
                <w:color w:val="000000"/>
                <w:sz w:val="18"/>
                <w:szCs w:val="18"/>
              </w:rPr>
              <w:t>-</w:t>
            </w:r>
          </w:p>
        </w:tc>
        <w:tc>
          <w:tcPr>
            <w:tcW w:w="557" w:type="pct"/>
            <w:vAlign w:val="bottom"/>
          </w:tcPr>
          <w:p w14:paraId="18D298C7" w14:textId="77777777" w:rsidR="008509D4" w:rsidRPr="00471CBA" w:rsidRDefault="008509D4" w:rsidP="00887449">
            <w:pPr>
              <w:jc w:val="right"/>
              <w:rPr>
                <w:color w:val="000000"/>
                <w:sz w:val="18"/>
                <w:szCs w:val="18"/>
              </w:rPr>
            </w:pPr>
            <w:r w:rsidRPr="00471CBA">
              <w:rPr>
                <w:color w:val="000000"/>
                <w:sz w:val="18"/>
                <w:szCs w:val="18"/>
              </w:rPr>
              <w:t>-</w:t>
            </w:r>
          </w:p>
        </w:tc>
        <w:tc>
          <w:tcPr>
            <w:tcW w:w="557" w:type="pct"/>
            <w:vAlign w:val="bottom"/>
          </w:tcPr>
          <w:p w14:paraId="623BD18C" w14:textId="77777777" w:rsidR="008509D4" w:rsidRPr="00471CBA" w:rsidRDefault="008509D4" w:rsidP="00887449">
            <w:pPr>
              <w:jc w:val="right"/>
              <w:rPr>
                <w:color w:val="000000"/>
                <w:sz w:val="18"/>
                <w:szCs w:val="18"/>
              </w:rPr>
            </w:pPr>
            <w:r w:rsidRPr="00471CBA">
              <w:rPr>
                <w:color w:val="000000"/>
                <w:sz w:val="18"/>
                <w:szCs w:val="18"/>
              </w:rPr>
              <w:t>-</w:t>
            </w:r>
          </w:p>
        </w:tc>
        <w:tc>
          <w:tcPr>
            <w:tcW w:w="557" w:type="pct"/>
            <w:vAlign w:val="bottom"/>
          </w:tcPr>
          <w:p w14:paraId="2BE2DE19" w14:textId="77777777" w:rsidR="008509D4" w:rsidRPr="00471CBA" w:rsidRDefault="008509D4" w:rsidP="00887449">
            <w:pPr>
              <w:jc w:val="right"/>
              <w:rPr>
                <w:color w:val="000000"/>
                <w:sz w:val="18"/>
                <w:szCs w:val="18"/>
              </w:rPr>
            </w:pPr>
            <w:r w:rsidRPr="00471CBA">
              <w:rPr>
                <w:color w:val="000000"/>
                <w:sz w:val="18"/>
                <w:szCs w:val="18"/>
              </w:rPr>
              <w:t>-</w:t>
            </w:r>
          </w:p>
        </w:tc>
        <w:tc>
          <w:tcPr>
            <w:tcW w:w="768" w:type="pct"/>
            <w:vAlign w:val="bottom"/>
          </w:tcPr>
          <w:p w14:paraId="396F30AF" w14:textId="77777777" w:rsidR="008509D4" w:rsidRPr="00471CBA" w:rsidRDefault="008509D4" w:rsidP="00887449">
            <w:pPr>
              <w:jc w:val="right"/>
              <w:rPr>
                <w:color w:val="000000"/>
                <w:sz w:val="18"/>
                <w:szCs w:val="18"/>
              </w:rPr>
            </w:pPr>
            <w:r w:rsidRPr="00471CBA">
              <w:rPr>
                <w:color w:val="000000"/>
                <w:sz w:val="18"/>
                <w:szCs w:val="18"/>
              </w:rPr>
              <w:t>-</w:t>
            </w:r>
          </w:p>
        </w:tc>
      </w:tr>
      <w:tr w:rsidR="008509D4" w:rsidRPr="00471CBA" w14:paraId="15E32BE4" w14:textId="77777777" w:rsidTr="00887449">
        <w:trPr>
          <w:cantSplit/>
          <w:trHeight w:val="20"/>
        </w:trPr>
        <w:tc>
          <w:tcPr>
            <w:tcW w:w="264" w:type="pct"/>
            <w:hideMark/>
          </w:tcPr>
          <w:p w14:paraId="457298F2" w14:textId="77777777" w:rsidR="008509D4" w:rsidRPr="00471CBA" w:rsidRDefault="008509D4" w:rsidP="00887449">
            <w:pPr>
              <w:rPr>
                <w:sz w:val="18"/>
                <w:szCs w:val="18"/>
              </w:rPr>
            </w:pPr>
            <w:r w:rsidRPr="00471CBA">
              <w:rPr>
                <w:sz w:val="18"/>
                <w:szCs w:val="18"/>
              </w:rPr>
              <w:t>6</w:t>
            </w:r>
          </w:p>
        </w:tc>
        <w:tc>
          <w:tcPr>
            <w:tcW w:w="1740" w:type="pct"/>
            <w:vAlign w:val="bottom"/>
            <w:hideMark/>
          </w:tcPr>
          <w:p w14:paraId="58624FC2" w14:textId="77777777" w:rsidR="008509D4" w:rsidRPr="00471CBA" w:rsidRDefault="008509D4" w:rsidP="00887449">
            <w:pPr>
              <w:tabs>
                <w:tab w:val="left" w:pos="490"/>
                <w:tab w:val="left" w:pos="2722"/>
              </w:tabs>
              <w:ind w:left="-10"/>
              <w:rPr>
                <w:sz w:val="18"/>
                <w:szCs w:val="18"/>
              </w:rPr>
            </w:pPr>
            <w:r w:rsidRPr="00471CBA">
              <w:rPr>
                <w:sz w:val="18"/>
                <w:szCs w:val="18"/>
              </w:rPr>
              <w:t>Bankalardan ve aracı kurumlardan alacaklar</w:t>
            </w:r>
          </w:p>
        </w:tc>
        <w:tc>
          <w:tcPr>
            <w:tcW w:w="557" w:type="pct"/>
            <w:vAlign w:val="bottom"/>
          </w:tcPr>
          <w:p w14:paraId="4E9AA921" w14:textId="77777777" w:rsidR="008509D4" w:rsidRPr="00471CBA" w:rsidRDefault="008509D4" w:rsidP="00887449">
            <w:pPr>
              <w:jc w:val="right"/>
              <w:rPr>
                <w:color w:val="000000"/>
                <w:sz w:val="18"/>
                <w:szCs w:val="18"/>
              </w:rPr>
            </w:pPr>
            <w:r w:rsidRPr="00471CBA">
              <w:rPr>
                <w:color w:val="000000"/>
                <w:sz w:val="18"/>
                <w:szCs w:val="18"/>
              </w:rPr>
              <w:t>5.221.721</w:t>
            </w:r>
          </w:p>
        </w:tc>
        <w:tc>
          <w:tcPr>
            <w:tcW w:w="557" w:type="pct"/>
            <w:vAlign w:val="bottom"/>
          </w:tcPr>
          <w:p w14:paraId="1E574729" w14:textId="77777777" w:rsidR="008509D4" w:rsidRPr="00471CBA" w:rsidRDefault="008509D4" w:rsidP="00887449">
            <w:pPr>
              <w:jc w:val="right"/>
              <w:rPr>
                <w:color w:val="000000"/>
                <w:sz w:val="18"/>
                <w:szCs w:val="18"/>
              </w:rPr>
            </w:pPr>
            <w:r w:rsidRPr="00471CBA">
              <w:rPr>
                <w:color w:val="000000"/>
                <w:sz w:val="18"/>
                <w:szCs w:val="18"/>
              </w:rPr>
              <w:t>-</w:t>
            </w:r>
          </w:p>
        </w:tc>
        <w:tc>
          <w:tcPr>
            <w:tcW w:w="557" w:type="pct"/>
            <w:vAlign w:val="bottom"/>
          </w:tcPr>
          <w:p w14:paraId="1551A027" w14:textId="77777777" w:rsidR="008509D4" w:rsidRPr="00471CBA" w:rsidRDefault="008509D4" w:rsidP="00887449">
            <w:pPr>
              <w:jc w:val="right"/>
              <w:rPr>
                <w:color w:val="000000"/>
                <w:sz w:val="18"/>
                <w:szCs w:val="18"/>
              </w:rPr>
            </w:pPr>
            <w:r w:rsidRPr="00471CBA">
              <w:rPr>
                <w:color w:val="000000"/>
                <w:sz w:val="18"/>
                <w:szCs w:val="18"/>
              </w:rPr>
              <w:t>-</w:t>
            </w:r>
          </w:p>
        </w:tc>
        <w:tc>
          <w:tcPr>
            <w:tcW w:w="557" w:type="pct"/>
            <w:vAlign w:val="bottom"/>
          </w:tcPr>
          <w:p w14:paraId="7779AABE" w14:textId="77777777" w:rsidR="008509D4" w:rsidRPr="00471CBA" w:rsidRDefault="008509D4" w:rsidP="00887449">
            <w:pPr>
              <w:jc w:val="right"/>
              <w:rPr>
                <w:color w:val="000000"/>
                <w:sz w:val="18"/>
                <w:szCs w:val="18"/>
              </w:rPr>
            </w:pPr>
            <w:r w:rsidRPr="00471CBA">
              <w:rPr>
                <w:color w:val="000000"/>
                <w:sz w:val="18"/>
                <w:szCs w:val="18"/>
              </w:rPr>
              <w:t>-</w:t>
            </w:r>
          </w:p>
        </w:tc>
        <w:tc>
          <w:tcPr>
            <w:tcW w:w="768" w:type="pct"/>
            <w:vAlign w:val="bottom"/>
          </w:tcPr>
          <w:p w14:paraId="11982C2B" w14:textId="77777777" w:rsidR="008509D4" w:rsidRPr="00471CBA" w:rsidRDefault="008509D4" w:rsidP="00887449">
            <w:pPr>
              <w:jc w:val="right"/>
              <w:rPr>
                <w:color w:val="000000"/>
                <w:sz w:val="18"/>
                <w:szCs w:val="18"/>
              </w:rPr>
            </w:pPr>
            <w:r w:rsidRPr="00471CBA">
              <w:rPr>
                <w:color w:val="000000"/>
                <w:sz w:val="18"/>
                <w:szCs w:val="18"/>
              </w:rPr>
              <w:t>1</w:t>
            </w:r>
          </w:p>
        </w:tc>
      </w:tr>
      <w:tr w:rsidR="008509D4" w:rsidRPr="00471CBA" w14:paraId="12C4CFE8" w14:textId="77777777" w:rsidTr="00887449">
        <w:trPr>
          <w:cantSplit/>
          <w:trHeight w:val="20"/>
        </w:trPr>
        <w:tc>
          <w:tcPr>
            <w:tcW w:w="264" w:type="pct"/>
            <w:hideMark/>
          </w:tcPr>
          <w:p w14:paraId="47177B21" w14:textId="77777777" w:rsidR="008509D4" w:rsidRPr="00471CBA" w:rsidRDefault="008509D4" w:rsidP="00887449">
            <w:pPr>
              <w:rPr>
                <w:sz w:val="18"/>
                <w:szCs w:val="18"/>
              </w:rPr>
            </w:pPr>
            <w:r w:rsidRPr="00471CBA">
              <w:rPr>
                <w:sz w:val="18"/>
                <w:szCs w:val="18"/>
              </w:rPr>
              <w:t>7</w:t>
            </w:r>
          </w:p>
        </w:tc>
        <w:tc>
          <w:tcPr>
            <w:tcW w:w="1740" w:type="pct"/>
            <w:vAlign w:val="bottom"/>
            <w:hideMark/>
          </w:tcPr>
          <w:p w14:paraId="6ADB8EC2" w14:textId="77777777" w:rsidR="008509D4" w:rsidRPr="00471CBA" w:rsidRDefault="008509D4" w:rsidP="00887449">
            <w:pPr>
              <w:ind w:left="-10"/>
              <w:rPr>
                <w:sz w:val="18"/>
                <w:szCs w:val="18"/>
              </w:rPr>
            </w:pPr>
            <w:r w:rsidRPr="00471CBA">
              <w:rPr>
                <w:sz w:val="18"/>
                <w:szCs w:val="18"/>
              </w:rPr>
              <w:t>Kurumsal alacaklar</w:t>
            </w:r>
          </w:p>
        </w:tc>
        <w:tc>
          <w:tcPr>
            <w:tcW w:w="557" w:type="pct"/>
            <w:vAlign w:val="bottom"/>
          </w:tcPr>
          <w:p w14:paraId="0400864A" w14:textId="77777777" w:rsidR="008509D4" w:rsidRPr="00471CBA" w:rsidRDefault="008509D4" w:rsidP="00887449">
            <w:pPr>
              <w:jc w:val="right"/>
              <w:rPr>
                <w:color w:val="000000"/>
                <w:sz w:val="18"/>
                <w:szCs w:val="18"/>
              </w:rPr>
            </w:pPr>
            <w:r w:rsidRPr="00471CBA">
              <w:rPr>
                <w:color w:val="000000"/>
                <w:sz w:val="18"/>
                <w:szCs w:val="18"/>
              </w:rPr>
              <w:t>1.845.945</w:t>
            </w:r>
          </w:p>
        </w:tc>
        <w:tc>
          <w:tcPr>
            <w:tcW w:w="557" w:type="pct"/>
            <w:vAlign w:val="bottom"/>
          </w:tcPr>
          <w:p w14:paraId="232C883F" w14:textId="77777777" w:rsidR="008509D4" w:rsidRPr="00471CBA" w:rsidRDefault="008509D4" w:rsidP="00887449">
            <w:pPr>
              <w:jc w:val="right"/>
              <w:rPr>
                <w:color w:val="000000"/>
                <w:sz w:val="18"/>
                <w:szCs w:val="18"/>
              </w:rPr>
            </w:pPr>
            <w:r w:rsidRPr="00471CBA">
              <w:rPr>
                <w:color w:val="000000"/>
                <w:sz w:val="18"/>
                <w:szCs w:val="18"/>
              </w:rPr>
              <w:t>3.025.603</w:t>
            </w:r>
          </w:p>
        </w:tc>
        <w:tc>
          <w:tcPr>
            <w:tcW w:w="557" w:type="pct"/>
            <w:vAlign w:val="bottom"/>
          </w:tcPr>
          <w:p w14:paraId="7E7397AC" w14:textId="77777777" w:rsidR="008509D4" w:rsidRPr="00471CBA" w:rsidRDefault="008509D4" w:rsidP="00887449">
            <w:pPr>
              <w:jc w:val="right"/>
              <w:rPr>
                <w:color w:val="000000"/>
                <w:sz w:val="18"/>
                <w:szCs w:val="18"/>
              </w:rPr>
            </w:pPr>
            <w:r w:rsidRPr="00471CBA">
              <w:rPr>
                <w:color w:val="000000"/>
                <w:sz w:val="18"/>
                <w:szCs w:val="18"/>
              </w:rPr>
              <w:t>2.931.029</w:t>
            </w:r>
          </w:p>
        </w:tc>
        <w:tc>
          <w:tcPr>
            <w:tcW w:w="557" w:type="pct"/>
            <w:vAlign w:val="bottom"/>
          </w:tcPr>
          <w:p w14:paraId="338EA9EE" w14:textId="77777777" w:rsidR="008509D4" w:rsidRPr="00471CBA" w:rsidRDefault="008509D4" w:rsidP="00887449">
            <w:pPr>
              <w:jc w:val="right"/>
              <w:rPr>
                <w:color w:val="000000"/>
                <w:sz w:val="18"/>
                <w:szCs w:val="18"/>
              </w:rPr>
            </w:pPr>
            <w:r w:rsidRPr="00471CBA">
              <w:rPr>
                <w:color w:val="000000"/>
                <w:sz w:val="18"/>
                <w:szCs w:val="18"/>
              </w:rPr>
              <w:t>2.487.398</w:t>
            </w:r>
          </w:p>
        </w:tc>
        <w:tc>
          <w:tcPr>
            <w:tcW w:w="768" w:type="pct"/>
            <w:vAlign w:val="bottom"/>
          </w:tcPr>
          <w:p w14:paraId="0319E076" w14:textId="77777777" w:rsidR="008509D4" w:rsidRPr="00471CBA" w:rsidRDefault="008509D4" w:rsidP="00887449">
            <w:pPr>
              <w:jc w:val="right"/>
              <w:rPr>
                <w:color w:val="000000"/>
                <w:sz w:val="18"/>
                <w:szCs w:val="18"/>
              </w:rPr>
            </w:pPr>
            <w:r w:rsidRPr="00471CBA">
              <w:rPr>
                <w:color w:val="000000"/>
                <w:sz w:val="18"/>
                <w:szCs w:val="18"/>
              </w:rPr>
              <w:t>3.133.565</w:t>
            </w:r>
          </w:p>
        </w:tc>
      </w:tr>
      <w:tr w:rsidR="008509D4" w:rsidRPr="00471CBA" w14:paraId="4BEC2698" w14:textId="77777777" w:rsidTr="00887449">
        <w:trPr>
          <w:cantSplit/>
          <w:trHeight w:val="20"/>
        </w:trPr>
        <w:tc>
          <w:tcPr>
            <w:tcW w:w="264" w:type="pct"/>
            <w:hideMark/>
          </w:tcPr>
          <w:p w14:paraId="2368C43D" w14:textId="77777777" w:rsidR="008509D4" w:rsidRPr="00471CBA" w:rsidRDefault="008509D4" w:rsidP="00887449">
            <w:pPr>
              <w:rPr>
                <w:sz w:val="18"/>
                <w:szCs w:val="18"/>
              </w:rPr>
            </w:pPr>
            <w:r w:rsidRPr="00471CBA">
              <w:rPr>
                <w:sz w:val="18"/>
                <w:szCs w:val="18"/>
              </w:rPr>
              <w:t>8</w:t>
            </w:r>
          </w:p>
        </w:tc>
        <w:tc>
          <w:tcPr>
            <w:tcW w:w="1740" w:type="pct"/>
            <w:vAlign w:val="bottom"/>
            <w:hideMark/>
          </w:tcPr>
          <w:p w14:paraId="053D112F" w14:textId="77777777" w:rsidR="008509D4" w:rsidRPr="00471CBA" w:rsidRDefault="008509D4" w:rsidP="00887449">
            <w:pPr>
              <w:ind w:left="-10"/>
              <w:rPr>
                <w:sz w:val="18"/>
                <w:szCs w:val="18"/>
              </w:rPr>
            </w:pPr>
            <w:r w:rsidRPr="00471CBA">
              <w:rPr>
                <w:sz w:val="18"/>
                <w:szCs w:val="18"/>
              </w:rPr>
              <w:t>Perakende alacaklar</w:t>
            </w:r>
          </w:p>
        </w:tc>
        <w:tc>
          <w:tcPr>
            <w:tcW w:w="557" w:type="pct"/>
            <w:vAlign w:val="bottom"/>
          </w:tcPr>
          <w:p w14:paraId="12C8F452" w14:textId="77777777" w:rsidR="008509D4" w:rsidRPr="00471CBA" w:rsidRDefault="008509D4" w:rsidP="00887449">
            <w:pPr>
              <w:jc w:val="right"/>
              <w:rPr>
                <w:color w:val="000000"/>
                <w:sz w:val="18"/>
                <w:szCs w:val="18"/>
              </w:rPr>
            </w:pPr>
            <w:r w:rsidRPr="00471CBA">
              <w:rPr>
                <w:color w:val="000000"/>
                <w:sz w:val="18"/>
                <w:szCs w:val="18"/>
              </w:rPr>
              <w:t>-</w:t>
            </w:r>
          </w:p>
        </w:tc>
        <w:tc>
          <w:tcPr>
            <w:tcW w:w="557" w:type="pct"/>
            <w:vAlign w:val="bottom"/>
          </w:tcPr>
          <w:p w14:paraId="4251A2C3" w14:textId="77777777" w:rsidR="008509D4" w:rsidRPr="00471CBA" w:rsidRDefault="008509D4" w:rsidP="00887449">
            <w:pPr>
              <w:jc w:val="right"/>
              <w:rPr>
                <w:color w:val="000000"/>
                <w:sz w:val="18"/>
                <w:szCs w:val="18"/>
              </w:rPr>
            </w:pPr>
            <w:r w:rsidRPr="00471CBA">
              <w:rPr>
                <w:color w:val="000000"/>
                <w:sz w:val="18"/>
                <w:szCs w:val="18"/>
              </w:rPr>
              <w:t>-</w:t>
            </w:r>
          </w:p>
        </w:tc>
        <w:tc>
          <w:tcPr>
            <w:tcW w:w="557" w:type="pct"/>
            <w:vAlign w:val="bottom"/>
          </w:tcPr>
          <w:p w14:paraId="50DDFCCA" w14:textId="77777777" w:rsidR="008509D4" w:rsidRPr="00471CBA" w:rsidRDefault="008509D4" w:rsidP="00887449">
            <w:pPr>
              <w:jc w:val="right"/>
              <w:rPr>
                <w:color w:val="000000"/>
                <w:sz w:val="18"/>
                <w:szCs w:val="18"/>
              </w:rPr>
            </w:pPr>
            <w:r w:rsidRPr="00471CBA">
              <w:rPr>
                <w:color w:val="000000"/>
                <w:sz w:val="18"/>
                <w:szCs w:val="18"/>
              </w:rPr>
              <w:t>-</w:t>
            </w:r>
          </w:p>
        </w:tc>
        <w:tc>
          <w:tcPr>
            <w:tcW w:w="557" w:type="pct"/>
            <w:vAlign w:val="bottom"/>
          </w:tcPr>
          <w:p w14:paraId="6F37A513" w14:textId="77777777" w:rsidR="008509D4" w:rsidRPr="00471CBA" w:rsidRDefault="008509D4" w:rsidP="00887449">
            <w:pPr>
              <w:jc w:val="right"/>
              <w:rPr>
                <w:color w:val="000000"/>
                <w:sz w:val="18"/>
                <w:szCs w:val="18"/>
              </w:rPr>
            </w:pPr>
            <w:r w:rsidRPr="00471CBA">
              <w:rPr>
                <w:color w:val="000000"/>
                <w:sz w:val="18"/>
                <w:szCs w:val="18"/>
              </w:rPr>
              <w:t>-</w:t>
            </w:r>
          </w:p>
        </w:tc>
        <w:tc>
          <w:tcPr>
            <w:tcW w:w="768" w:type="pct"/>
            <w:vAlign w:val="bottom"/>
          </w:tcPr>
          <w:p w14:paraId="44C4C5FC" w14:textId="77777777" w:rsidR="008509D4" w:rsidRPr="00471CBA" w:rsidRDefault="008509D4" w:rsidP="00887449">
            <w:pPr>
              <w:jc w:val="right"/>
              <w:rPr>
                <w:color w:val="000000"/>
                <w:sz w:val="18"/>
                <w:szCs w:val="18"/>
              </w:rPr>
            </w:pPr>
            <w:r w:rsidRPr="00471CBA">
              <w:rPr>
                <w:color w:val="000000"/>
                <w:sz w:val="18"/>
                <w:szCs w:val="18"/>
              </w:rPr>
              <w:t>-</w:t>
            </w:r>
          </w:p>
        </w:tc>
      </w:tr>
      <w:tr w:rsidR="008509D4" w:rsidRPr="00471CBA" w14:paraId="2C651DB7" w14:textId="77777777" w:rsidTr="00887449">
        <w:trPr>
          <w:cantSplit/>
          <w:trHeight w:val="20"/>
        </w:trPr>
        <w:tc>
          <w:tcPr>
            <w:tcW w:w="264" w:type="pct"/>
            <w:hideMark/>
          </w:tcPr>
          <w:p w14:paraId="3D916B16" w14:textId="77777777" w:rsidR="008509D4" w:rsidRPr="00471CBA" w:rsidRDefault="008509D4" w:rsidP="00887449">
            <w:pPr>
              <w:rPr>
                <w:sz w:val="18"/>
                <w:szCs w:val="18"/>
              </w:rPr>
            </w:pPr>
            <w:r w:rsidRPr="00471CBA">
              <w:rPr>
                <w:sz w:val="18"/>
                <w:szCs w:val="18"/>
              </w:rPr>
              <w:t>9</w:t>
            </w:r>
          </w:p>
        </w:tc>
        <w:tc>
          <w:tcPr>
            <w:tcW w:w="1740" w:type="pct"/>
            <w:vAlign w:val="bottom"/>
            <w:hideMark/>
          </w:tcPr>
          <w:p w14:paraId="0EC60AFB" w14:textId="77777777" w:rsidR="008509D4" w:rsidRPr="00471CBA" w:rsidRDefault="008509D4" w:rsidP="00887449">
            <w:pPr>
              <w:ind w:left="-10"/>
              <w:rPr>
                <w:sz w:val="18"/>
                <w:szCs w:val="18"/>
              </w:rPr>
            </w:pPr>
            <w:r w:rsidRPr="00471CBA">
              <w:rPr>
                <w:sz w:val="18"/>
                <w:szCs w:val="18"/>
              </w:rPr>
              <w:t>Gayrimenkul ipoteği ile teminatlandırılan alacaklar</w:t>
            </w:r>
          </w:p>
        </w:tc>
        <w:tc>
          <w:tcPr>
            <w:tcW w:w="557" w:type="pct"/>
            <w:vAlign w:val="bottom"/>
          </w:tcPr>
          <w:p w14:paraId="5E9FE672" w14:textId="77777777" w:rsidR="008509D4" w:rsidRPr="00471CBA" w:rsidRDefault="008509D4" w:rsidP="00887449">
            <w:pPr>
              <w:jc w:val="right"/>
              <w:rPr>
                <w:color w:val="000000"/>
                <w:sz w:val="18"/>
                <w:szCs w:val="18"/>
              </w:rPr>
            </w:pPr>
            <w:r w:rsidRPr="00471CBA">
              <w:rPr>
                <w:color w:val="000000"/>
                <w:sz w:val="18"/>
                <w:szCs w:val="18"/>
              </w:rPr>
              <w:t>62.670</w:t>
            </w:r>
          </w:p>
        </w:tc>
        <w:tc>
          <w:tcPr>
            <w:tcW w:w="557" w:type="pct"/>
            <w:vAlign w:val="bottom"/>
          </w:tcPr>
          <w:p w14:paraId="37588426" w14:textId="77777777" w:rsidR="008509D4" w:rsidRPr="00471CBA" w:rsidRDefault="008509D4" w:rsidP="00887449">
            <w:pPr>
              <w:jc w:val="right"/>
              <w:rPr>
                <w:color w:val="000000"/>
                <w:sz w:val="18"/>
                <w:szCs w:val="18"/>
              </w:rPr>
            </w:pPr>
            <w:r w:rsidRPr="00471CBA">
              <w:rPr>
                <w:color w:val="000000"/>
                <w:sz w:val="18"/>
                <w:szCs w:val="18"/>
              </w:rPr>
              <w:t>64.169</w:t>
            </w:r>
          </w:p>
        </w:tc>
        <w:tc>
          <w:tcPr>
            <w:tcW w:w="557" w:type="pct"/>
            <w:vAlign w:val="bottom"/>
          </w:tcPr>
          <w:p w14:paraId="59D26C63" w14:textId="77777777" w:rsidR="008509D4" w:rsidRPr="00471CBA" w:rsidRDefault="008509D4" w:rsidP="00887449">
            <w:pPr>
              <w:jc w:val="right"/>
              <w:rPr>
                <w:color w:val="000000"/>
                <w:sz w:val="18"/>
                <w:szCs w:val="18"/>
              </w:rPr>
            </w:pPr>
            <w:r w:rsidRPr="00471CBA">
              <w:rPr>
                <w:color w:val="000000"/>
                <w:sz w:val="18"/>
                <w:szCs w:val="18"/>
              </w:rPr>
              <w:t>115.226</w:t>
            </w:r>
          </w:p>
        </w:tc>
        <w:tc>
          <w:tcPr>
            <w:tcW w:w="557" w:type="pct"/>
            <w:vAlign w:val="bottom"/>
          </w:tcPr>
          <w:p w14:paraId="7894EFD9" w14:textId="77777777" w:rsidR="008509D4" w:rsidRPr="00471CBA" w:rsidRDefault="008509D4" w:rsidP="00887449">
            <w:pPr>
              <w:jc w:val="right"/>
              <w:rPr>
                <w:color w:val="000000"/>
                <w:sz w:val="18"/>
                <w:szCs w:val="18"/>
              </w:rPr>
            </w:pPr>
            <w:r w:rsidRPr="00471CBA">
              <w:rPr>
                <w:color w:val="000000"/>
                <w:sz w:val="18"/>
                <w:szCs w:val="18"/>
              </w:rPr>
              <w:t>153.239</w:t>
            </w:r>
          </w:p>
        </w:tc>
        <w:tc>
          <w:tcPr>
            <w:tcW w:w="768" w:type="pct"/>
            <w:vAlign w:val="bottom"/>
          </w:tcPr>
          <w:p w14:paraId="04C24887" w14:textId="77777777" w:rsidR="008509D4" w:rsidRPr="00471CBA" w:rsidRDefault="008509D4" w:rsidP="00887449">
            <w:pPr>
              <w:jc w:val="right"/>
              <w:rPr>
                <w:color w:val="000000"/>
                <w:sz w:val="18"/>
                <w:szCs w:val="18"/>
              </w:rPr>
            </w:pPr>
            <w:r w:rsidRPr="00471CBA">
              <w:rPr>
                <w:color w:val="000000"/>
                <w:sz w:val="18"/>
                <w:szCs w:val="18"/>
              </w:rPr>
              <w:t>314.309</w:t>
            </w:r>
          </w:p>
        </w:tc>
      </w:tr>
      <w:tr w:rsidR="008509D4" w:rsidRPr="00471CBA" w14:paraId="36B4329B" w14:textId="77777777" w:rsidTr="00887449">
        <w:trPr>
          <w:cantSplit/>
          <w:trHeight w:val="20"/>
        </w:trPr>
        <w:tc>
          <w:tcPr>
            <w:tcW w:w="264" w:type="pct"/>
            <w:hideMark/>
          </w:tcPr>
          <w:p w14:paraId="3E31B193" w14:textId="77777777" w:rsidR="008509D4" w:rsidRPr="00471CBA" w:rsidRDefault="008509D4" w:rsidP="00887449">
            <w:pPr>
              <w:rPr>
                <w:sz w:val="18"/>
                <w:szCs w:val="18"/>
              </w:rPr>
            </w:pPr>
            <w:r w:rsidRPr="00471CBA">
              <w:rPr>
                <w:sz w:val="18"/>
                <w:szCs w:val="18"/>
              </w:rPr>
              <w:t>10</w:t>
            </w:r>
          </w:p>
        </w:tc>
        <w:tc>
          <w:tcPr>
            <w:tcW w:w="1740" w:type="pct"/>
            <w:vAlign w:val="bottom"/>
            <w:hideMark/>
          </w:tcPr>
          <w:p w14:paraId="137621CE" w14:textId="77777777" w:rsidR="008509D4" w:rsidRPr="00471CBA" w:rsidRDefault="008509D4" w:rsidP="00887449">
            <w:pPr>
              <w:ind w:left="-10"/>
              <w:rPr>
                <w:sz w:val="18"/>
                <w:szCs w:val="18"/>
              </w:rPr>
            </w:pPr>
            <w:r w:rsidRPr="00471CBA">
              <w:rPr>
                <w:sz w:val="18"/>
                <w:szCs w:val="18"/>
              </w:rPr>
              <w:t>Tahsili gecikmiş alacaklar</w:t>
            </w:r>
          </w:p>
        </w:tc>
        <w:tc>
          <w:tcPr>
            <w:tcW w:w="557" w:type="pct"/>
            <w:vAlign w:val="bottom"/>
          </w:tcPr>
          <w:p w14:paraId="35FBA7AA" w14:textId="77777777" w:rsidR="008509D4" w:rsidRPr="00471CBA" w:rsidRDefault="008509D4" w:rsidP="00887449">
            <w:pPr>
              <w:jc w:val="right"/>
              <w:rPr>
                <w:color w:val="000000"/>
                <w:sz w:val="18"/>
                <w:szCs w:val="18"/>
              </w:rPr>
            </w:pPr>
            <w:r w:rsidRPr="00471CBA">
              <w:rPr>
                <w:color w:val="000000"/>
                <w:sz w:val="18"/>
                <w:szCs w:val="18"/>
              </w:rPr>
              <w:t>-</w:t>
            </w:r>
          </w:p>
        </w:tc>
        <w:tc>
          <w:tcPr>
            <w:tcW w:w="557" w:type="pct"/>
            <w:vAlign w:val="bottom"/>
          </w:tcPr>
          <w:p w14:paraId="125BF7B5" w14:textId="77777777" w:rsidR="008509D4" w:rsidRPr="00471CBA" w:rsidRDefault="008509D4" w:rsidP="00887449">
            <w:pPr>
              <w:jc w:val="right"/>
              <w:rPr>
                <w:color w:val="000000"/>
                <w:sz w:val="18"/>
                <w:szCs w:val="18"/>
              </w:rPr>
            </w:pPr>
            <w:r w:rsidRPr="00471CBA">
              <w:rPr>
                <w:color w:val="000000"/>
                <w:sz w:val="18"/>
                <w:szCs w:val="18"/>
              </w:rPr>
              <w:t>-</w:t>
            </w:r>
          </w:p>
        </w:tc>
        <w:tc>
          <w:tcPr>
            <w:tcW w:w="557" w:type="pct"/>
            <w:vAlign w:val="bottom"/>
          </w:tcPr>
          <w:p w14:paraId="6D3A9126" w14:textId="77777777" w:rsidR="008509D4" w:rsidRPr="00471CBA" w:rsidRDefault="008509D4" w:rsidP="00887449">
            <w:pPr>
              <w:jc w:val="right"/>
              <w:rPr>
                <w:color w:val="000000"/>
                <w:sz w:val="18"/>
                <w:szCs w:val="18"/>
              </w:rPr>
            </w:pPr>
            <w:r w:rsidRPr="00471CBA">
              <w:rPr>
                <w:color w:val="000000"/>
                <w:sz w:val="18"/>
                <w:szCs w:val="18"/>
              </w:rPr>
              <w:t>-</w:t>
            </w:r>
          </w:p>
        </w:tc>
        <w:tc>
          <w:tcPr>
            <w:tcW w:w="557" w:type="pct"/>
            <w:vAlign w:val="bottom"/>
          </w:tcPr>
          <w:p w14:paraId="7ADF5A0F" w14:textId="77777777" w:rsidR="008509D4" w:rsidRPr="00471CBA" w:rsidRDefault="008509D4" w:rsidP="00887449">
            <w:pPr>
              <w:jc w:val="right"/>
              <w:rPr>
                <w:color w:val="000000"/>
                <w:sz w:val="18"/>
                <w:szCs w:val="18"/>
              </w:rPr>
            </w:pPr>
            <w:r w:rsidRPr="00471CBA">
              <w:rPr>
                <w:color w:val="000000"/>
                <w:sz w:val="18"/>
                <w:szCs w:val="18"/>
              </w:rPr>
              <w:t>-</w:t>
            </w:r>
          </w:p>
        </w:tc>
        <w:tc>
          <w:tcPr>
            <w:tcW w:w="768" w:type="pct"/>
            <w:vAlign w:val="bottom"/>
          </w:tcPr>
          <w:p w14:paraId="658EEA02" w14:textId="77777777" w:rsidR="008509D4" w:rsidRPr="00471CBA" w:rsidRDefault="008509D4" w:rsidP="00887449">
            <w:pPr>
              <w:jc w:val="right"/>
              <w:rPr>
                <w:color w:val="000000"/>
                <w:sz w:val="18"/>
                <w:szCs w:val="18"/>
              </w:rPr>
            </w:pPr>
            <w:r w:rsidRPr="00471CBA">
              <w:rPr>
                <w:color w:val="000000"/>
                <w:sz w:val="18"/>
                <w:szCs w:val="18"/>
              </w:rPr>
              <w:t>-</w:t>
            </w:r>
          </w:p>
        </w:tc>
      </w:tr>
      <w:tr w:rsidR="008509D4" w:rsidRPr="00471CBA" w14:paraId="419BE8AD" w14:textId="77777777" w:rsidTr="00887449">
        <w:trPr>
          <w:cantSplit/>
          <w:trHeight w:val="20"/>
        </w:trPr>
        <w:tc>
          <w:tcPr>
            <w:tcW w:w="264" w:type="pct"/>
            <w:hideMark/>
          </w:tcPr>
          <w:p w14:paraId="3A064305" w14:textId="77777777" w:rsidR="008509D4" w:rsidRPr="00471CBA" w:rsidRDefault="008509D4" w:rsidP="00887449">
            <w:pPr>
              <w:rPr>
                <w:sz w:val="18"/>
                <w:szCs w:val="18"/>
              </w:rPr>
            </w:pPr>
            <w:r w:rsidRPr="00471CBA">
              <w:rPr>
                <w:sz w:val="18"/>
                <w:szCs w:val="18"/>
              </w:rPr>
              <w:t>11</w:t>
            </w:r>
          </w:p>
        </w:tc>
        <w:tc>
          <w:tcPr>
            <w:tcW w:w="1740" w:type="pct"/>
            <w:vAlign w:val="bottom"/>
            <w:hideMark/>
          </w:tcPr>
          <w:p w14:paraId="1D45E113" w14:textId="77777777" w:rsidR="008509D4" w:rsidRPr="00471CBA" w:rsidRDefault="008509D4" w:rsidP="00887449">
            <w:pPr>
              <w:ind w:left="-10"/>
              <w:rPr>
                <w:sz w:val="18"/>
                <w:szCs w:val="18"/>
              </w:rPr>
            </w:pPr>
            <w:r w:rsidRPr="00471CBA">
              <w:rPr>
                <w:sz w:val="18"/>
                <w:szCs w:val="18"/>
              </w:rPr>
              <w:t>Kurulca riski yüksek belirlenmiş alacaklar</w:t>
            </w:r>
          </w:p>
        </w:tc>
        <w:tc>
          <w:tcPr>
            <w:tcW w:w="557" w:type="pct"/>
            <w:vAlign w:val="bottom"/>
          </w:tcPr>
          <w:p w14:paraId="1CD8499B" w14:textId="77777777" w:rsidR="008509D4" w:rsidRPr="00471CBA" w:rsidRDefault="008509D4" w:rsidP="00887449">
            <w:pPr>
              <w:jc w:val="right"/>
              <w:rPr>
                <w:color w:val="000000"/>
                <w:sz w:val="18"/>
                <w:szCs w:val="18"/>
              </w:rPr>
            </w:pPr>
            <w:r w:rsidRPr="00471CBA">
              <w:rPr>
                <w:color w:val="000000"/>
                <w:sz w:val="18"/>
                <w:szCs w:val="18"/>
              </w:rPr>
              <w:t>1</w:t>
            </w:r>
          </w:p>
        </w:tc>
        <w:tc>
          <w:tcPr>
            <w:tcW w:w="557" w:type="pct"/>
            <w:vAlign w:val="bottom"/>
          </w:tcPr>
          <w:p w14:paraId="308C7F86" w14:textId="77777777" w:rsidR="008509D4" w:rsidRPr="00471CBA" w:rsidRDefault="008509D4" w:rsidP="00887449">
            <w:pPr>
              <w:jc w:val="right"/>
              <w:rPr>
                <w:color w:val="000000"/>
                <w:sz w:val="18"/>
                <w:szCs w:val="18"/>
              </w:rPr>
            </w:pPr>
            <w:r w:rsidRPr="00471CBA">
              <w:rPr>
                <w:color w:val="000000"/>
                <w:sz w:val="18"/>
                <w:szCs w:val="18"/>
              </w:rPr>
              <w:t>-</w:t>
            </w:r>
          </w:p>
        </w:tc>
        <w:tc>
          <w:tcPr>
            <w:tcW w:w="557" w:type="pct"/>
            <w:vAlign w:val="bottom"/>
          </w:tcPr>
          <w:p w14:paraId="190504B5" w14:textId="77777777" w:rsidR="008509D4" w:rsidRPr="00471CBA" w:rsidRDefault="008509D4" w:rsidP="00887449">
            <w:pPr>
              <w:jc w:val="right"/>
              <w:rPr>
                <w:color w:val="000000"/>
                <w:sz w:val="18"/>
                <w:szCs w:val="18"/>
              </w:rPr>
            </w:pPr>
            <w:r w:rsidRPr="00471CBA">
              <w:rPr>
                <w:color w:val="000000"/>
                <w:sz w:val="18"/>
                <w:szCs w:val="18"/>
              </w:rPr>
              <w:t>2.458</w:t>
            </w:r>
          </w:p>
        </w:tc>
        <w:tc>
          <w:tcPr>
            <w:tcW w:w="557" w:type="pct"/>
            <w:vAlign w:val="bottom"/>
          </w:tcPr>
          <w:p w14:paraId="7092631A" w14:textId="77777777" w:rsidR="008509D4" w:rsidRPr="00471CBA" w:rsidRDefault="008509D4" w:rsidP="00887449">
            <w:pPr>
              <w:jc w:val="right"/>
              <w:rPr>
                <w:color w:val="000000"/>
                <w:sz w:val="18"/>
                <w:szCs w:val="18"/>
              </w:rPr>
            </w:pPr>
            <w:r w:rsidRPr="00471CBA">
              <w:rPr>
                <w:color w:val="000000"/>
                <w:sz w:val="18"/>
                <w:szCs w:val="18"/>
              </w:rPr>
              <w:t>25.189</w:t>
            </w:r>
          </w:p>
        </w:tc>
        <w:tc>
          <w:tcPr>
            <w:tcW w:w="768" w:type="pct"/>
            <w:vAlign w:val="bottom"/>
          </w:tcPr>
          <w:p w14:paraId="3AF0C3FF" w14:textId="77777777" w:rsidR="008509D4" w:rsidRPr="00471CBA" w:rsidRDefault="008509D4" w:rsidP="00887449">
            <w:pPr>
              <w:jc w:val="right"/>
              <w:rPr>
                <w:color w:val="000000"/>
                <w:sz w:val="18"/>
                <w:szCs w:val="18"/>
              </w:rPr>
            </w:pPr>
            <w:r w:rsidRPr="00471CBA">
              <w:rPr>
                <w:color w:val="000000"/>
                <w:sz w:val="18"/>
                <w:szCs w:val="18"/>
              </w:rPr>
              <w:t>-</w:t>
            </w:r>
          </w:p>
        </w:tc>
      </w:tr>
      <w:tr w:rsidR="008509D4" w:rsidRPr="00471CBA" w14:paraId="5E2E58A4" w14:textId="77777777" w:rsidTr="00887449">
        <w:trPr>
          <w:cantSplit/>
          <w:trHeight w:val="20"/>
        </w:trPr>
        <w:tc>
          <w:tcPr>
            <w:tcW w:w="264" w:type="pct"/>
            <w:hideMark/>
          </w:tcPr>
          <w:p w14:paraId="153A02ED" w14:textId="77777777" w:rsidR="008509D4" w:rsidRPr="00471CBA" w:rsidRDefault="008509D4" w:rsidP="00887449">
            <w:pPr>
              <w:rPr>
                <w:sz w:val="18"/>
                <w:szCs w:val="18"/>
              </w:rPr>
            </w:pPr>
            <w:r w:rsidRPr="00471CBA">
              <w:rPr>
                <w:sz w:val="18"/>
                <w:szCs w:val="18"/>
              </w:rPr>
              <w:t>12</w:t>
            </w:r>
          </w:p>
        </w:tc>
        <w:tc>
          <w:tcPr>
            <w:tcW w:w="1740" w:type="pct"/>
            <w:vAlign w:val="bottom"/>
            <w:hideMark/>
          </w:tcPr>
          <w:p w14:paraId="6D8EFBE9" w14:textId="77777777" w:rsidR="008509D4" w:rsidRPr="00471CBA" w:rsidRDefault="008509D4" w:rsidP="00887449">
            <w:pPr>
              <w:ind w:left="-10"/>
              <w:rPr>
                <w:sz w:val="18"/>
                <w:szCs w:val="18"/>
              </w:rPr>
            </w:pPr>
            <w:r w:rsidRPr="00471CBA">
              <w:rPr>
                <w:sz w:val="18"/>
                <w:szCs w:val="18"/>
              </w:rPr>
              <w:t>Teminatlı menkul kıymetler</w:t>
            </w:r>
          </w:p>
        </w:tc>
        <w:tc>
          <w:tcPr>
            <w:tcW w:w="557" w:type="pct"/>
            <w:vAlign w:val="bottom"/>
          </w:tcPr>
          <w:p w14:paraId="2163143B" w14:textId="77777777" w:rsidR="008509D4" w:rsidRPr="00471CBA" w:rsidRDefault="008509D4" w:rsidP="00887449">
            <w:pPr>
              <w:jc w:val="right"/>
              <w:rPr>
                <w:color w:val="000000"/>
                <w:sz w:val="18"/>
                <w:szCs w:val="18"/>
              </w:rPr>
            </w:pPr>
            <w:r w:rsidRPr="00471CBA">
              <w:rPr>
                <w:color w:val="000000"/>
                <w:sz w:val="18"/>
                <w:szCs w:val="18"/>
              </w:rPr>
              <w:t>-</w:t>
            </w:r>
          </w:p>
        </w:tc>
        <w:tc>
          <w:tcPr>
            <w:tcW w:w="557" w:type="pct"/>
            <w:vAlign w:val="bottom"/>
          </w:tcPr>
          <w:p w14:paraId="710BD533" w14:textId="77777777" w:rsidR="008509D4" w:rsidRPr="00471CBA" w:rsidRDefault="008509D4" w:rsidP="00887449">
            <w:pPr>
              <w:jc w:val="right"/>
              <w:rPr>
                <w:color w:val="000000"/>
                <w:sz w:val="18"/>
                <w:szCs w:val="18"/>
              </w:rPr>
            </w:pPr>
            <w:r w:rsidRPr="00471CBA">
              <w:rPr>
                <w:color w:val="000000"/>
                <w:sz w:val="18"/>
                <w:szCs w:val="18"/>
              </w:rPr>
              <w:t>-</w:t>
            </w:r>
          </w:p>
        </w:tc>
        <w:tc>
          <w:tcPr>
            <w:tcW w:w="557" w:type="pct"/>
            <w:vAlign w:val="bottom"/>
          </w:tcPr>
          <w:p w14:paraId="6DFF0773" w14:textId="77777777" w:rsidR="008509D4" w:rsidRPr="00471CBA" w:rsidRDefault="008509D4" w:rsidP="00887449">
            <w:pPr>
              <w:jc w:val="right"/>
              <w:rPr>
                <w:color w:val="000000"/>
                <w:sz w:val="18"/>
                <w:szCs w:val="18"/>
              </w:rPr>
            </w:pPr>
            <w:r w:rsidRPr="00471CBA">
              <w:rPr>
                <w:color w:val="000000"/>
                <w:sz w:val="18"/>
                <w:szCs w:val="18"/>
              </w:rPr>
              <w:t>-</w:t>
            </w:r>
          </w:p>
        </w:tc>
        <w:tc>
          <w:tcPr>
            <w:tcW w:w="557" w:type="pct"/>
            <w:vAlign w:val="bottom"/>
          </w:tcPr>
          <w:p w14:paraId="6BCDC5C7" w14:textId="77777777" w:rsidR="008509D4" w:rsidRPr="00471CBA" w:rsidRDefault="008509D4" w:rsidP="00887449">
            <w:pPr>
              <w:jc w:val="right"/>
              <w:rPr>
                <w:color w:val="000000"/>
                <w:sz w:val="18"/>
                <w:szCs w:val="18"/>
              </w:rPr>
            </w:pPr>
            <w:r w:rsidRPr="00471CBA">
              <w:rPr>
                <w:color w:val="000000"/>
                <w:sz w:val="18"/>
                <w:szCs w:val="18"/>
              </w:rPr>
              <w:t>-</w:t>
            </w:r>
          </w:p>
        </w:tc>
        <w:tc>
          <w:tcPr>
            <w:tcW w:w="768" w:type="pct"/>
            <w:vAlign w:val="bottom"/>
          </w:tcPr>
          <w:p w14:paraId="50295F00" w14:textId="77777777" w:rsidR="008509D4" w:rsidRPr="00471CBA" w:rsidRDefault="008509D4" w:rsidP="00887449">
            <w:pPr>
              <w:jc w:val="right"/>
              <w:rPr>
                <w:color w:val="000000"/>
                <w:sz w:val="18"/>
                <w:szCs w:val="18"/>
              </w:rPr>
            </w:pPr>
            <w:r w:rsidRPr="00471CBA">
              <w:rPr>
                <w:color w:val="000000"/>
                <w:sz w:val="18"/>
                <w:szCs w:val="18"/>
              </w:rPr>
              <w:t>-</w:t>
            </w:r>
          </w:p>
        </w:tc>
      </w:tr>
      <w:tr w:rsidR="008509D4" w:rsidRPr="00471CBA" w14:paraId="42F82AD5" w14:textId="77777777" w:rsidTr="00887449">
        <w:trPr>
          <w:cantSplit/>
          <w:trHeight w:val="20"/>
        </w:trPr>
        <w:tc>
          <w:tcPr>
            <w:tcW w:w="264" w:type="pct"/>
            <w:hideMark/>
          </w:tcPr>
          <w:p w14:paraId="330B7D05" w14:textId="77777777" w:rsidR="008509D4" w:rsidRPr="00471CBA" w:rsidRDefault="008509D4" w:rsidP="00887449">
            <w:pPr>
              <w:rPr>
                <w:sz w:val="18"/>
                <w:szCs w:val="18"/>
              </w:rPr>
            </w:pPr>
            <w:r w:rsidRPr="00471CBA">
              <w:rPr>
                <w:sz w:val="18"/>
                <w:szCs w:val="18"/>
              </w:rPr>
              <w:t>13</w:t>
            </w:r>
          </w:p>
        </w:tc>
        <w:tc>
          <w:tcPr>
            <w:tcW w:w="1740" w:type="pct"/>
            <w:vAlign w:val="bottom"/>
            <w:hideMark/>
          </w:tcPr>
          <w:p w14:paraId="5AC802CE" w14:textId="77777777" w:rsidR="008509D4" w:rsidRPr="00471CBA" w:rsidRDefault="008509D4" w:rsidP="00887449">
            <w:pPr>
              <w:ind w:left="-10"/>
              <w:rPr>
                <w:sz w:val="18"/>
                <w:szCs w:val="18"/>
              </w:rPr>
            </w:pPr>
            <w:r w:rsidRPr="00471CBA">
              <w:rPr>
                <w:sz w:val="18"/>
                <w:szCs w:val="18"/>
              </w:rPr>
              <w:t>Bankalardan ve aracı kurumlardan olan kısa vadeli alacaklar ile kısa vadeli kurumsal alacaklar</w:t>
            </w:r>
          </w:p>
        </w:tc>
        <w:tc>
          <w:tcPr>
            <w:tcW w:w="557" w:type="pct"/>
            <w:vAlign w:val="bottom"/>
          </w:tcPr>
          <w:p w14:paraId="46207872" w14:textId="77777777" w:rsidR="008509D4" w:rsidRPr="00471CBA" w:rsidRDefault="008509D4" w:rsidP="00887449">
            <w:pPr>
              <w:jc w:val="right"/>
              <w:rPr>
                <w:color w:val="000000"/>
                <w:sz w:val="18"/>
                <w:szCs w:val="18"/>
              </w:rPr>
            </w:pPr>
            <w:r w:rsidRPr="00471CBA">
              <w:rPr>
                <w:color w:val="000000"/>
                <w:sz w:val="18"/>
                <w:szCs w:val="18"/>
              </w:rPr>
              <w:t>-</w:t>
            </w:r>
          </w:p>
        </w:tc>
        <w:tc>
          <w:tcPr>
            <w:tcW w:w="557" w:type="pct"/>
            <w:vAlign w:val="bottom"/>
          </w:tcPr>
          <w:p w14:paraId="66B97E8F" w14:textId="77777777" w:rsidR="008509D4" w:rsidRPr="00471CBA" w:rsidRDefault="008509D4" w:rsidP="00887449">
            <w:pPr>
              <w:jc w:val="right"/>
              <w:rPr>
                <w:color w:val="000000"/>
                <w:sz w:val="18"/>
                <w:szCs w:val="18"/>
              </w:rPr>
            </w:pPr>
            <w:r w:rsidRPr="00471CBA">
              <w:rPr>
                <w:color w:val="000000"/>
                <w:sz w:val="18"/>
                <w:szCs w:val="18"/>
              </w:rPr>
              <w:t>-</w:t>
            </w:r>
          </w:p>
        </w:tc>
        <w:tc>
          <w:tcPr>
            <w:tcW w:w="557" w:type="pct"/>
            <w:vAlign w:val="bottom"/>
          </w:tcPr>
          <w:p w14:paraId="75392949" w14:textId="77777777" w:rsidR="008509D4" w:rsidRPr="00471CBA" w:rsidRDefault="008509D4" w:rsidP="00887449">
            <w:pPr>
              <w:jc w:val="right"/>
              <w:rPr>
                <w:color w:val="000000"/>
                <w:sz w:val="18"/>
                <w:szCs w:val="18"/>
              </w:rPr>
            </w:pPr>
            <w:r w:rsidRPr="00471CBA">
              <w:rPr>
                <w:color w:val="000000"/>
                <w:sz w:val="18"/>
                <w:szCs w:val="18"/>
              </w:rPr>
              <w:t>-</w:t>
            </w:r>
          </w:p>
        </w:tc>
        <w:tc>
          <w:tcPr>
            <w:tcW w:w="557" w:type="pct"/>
            <w:vAlign w:val="bottom"/>
          </w:tcPr>
          <w:p w14:paraId="2CF1C098" w14:textId="77777777" w:rsidR="008509D4" w:rsidRPr="00471CBA" w:rsidRDefault="008509D4" w:rsidP="00887449">
            <w:pPr>
              <w:jc w:val="right"/>
              <w:rPr>
                <w:color w:val="000000"/>
                <w:sz w:val="18"/>
                <w:szCs w:val="18"/>
              </w:rPr>
            </w:pPr>
            <w:r w:rsidRPr="00471CBA">
              <w:rPr>
                <w:color w:val="000000"/>
                <w:sz w:val="18"/>
                <w:szCs w:val="18"/>
              </w:rPr>
              <w:t>-</w:t>
            </w:r>
          </w:p>
        </w:tc>
        <w:tc>
          <w:tcPr>
            <w:tcW w:w="768" w:type="pct"/>
            <w:vAlign w:val="bottom"/>
          </w:tcPr>
          <w:p w14:paraId="5176506C" w14:textId="77777777" w:rsidR="008509D4" w:rsidRPr="00471CBA" w:rsidRDefault="008509D4" w:rsidP="00887449">
            <w:pPr>
              <w:jc w:val="right"/>
              <w:rPr>
                <w:color w:val="000000"/>
                <w:sz w:val="18"/>
                <w:szCs w:val="18"/>
              </w:rPr>
            </w:pPr>
            <w:r w:rsidRPr="00471CBA">
              <w:rPr>
                <w:color w:val="000000"/>
                <w:sz w:val="18"/>
                <w:szCs w:val="18"/>
              </w:rPr>
              <w:t>-</w:t>
            </w:r>
          </w:p>
        </w:tc>
      </w:tr>
      <w:tr w:rsidR="008509D4" w:rsidRPr="00471CBA" w14:paraId="73DC0F33" w14:textId="77777777" w:rsidTr="00887449">
        <w:trPr>
          <w:cantSplit/>
          <w:trHeight w:val="20"/>
        </w:trPr>
        <w:tc>
          <w:tcPr>
            <w:tcW w:w="264" w:type="pct"/>
            <w:hideMark/>
          </w:tcPr>
          <w:p w14:paraId="459000ED" w14:textId="77777777" w:rsidR="008509D4" w:rsidRPr="00471CBA" w:rsidRDefault="008509D4" w:rsidP="00887449">
            <w:pPr>
              <w:rPr>
                <w:sz w:val="18"/>
                <w:szCs w:val="18"/>
              </w:rPr>
            </w:pPr>
            <w:r w:rsidRPr="00471CBA">
              <w:rPr>
                <w:sz w:val="18"/>
                <w:szCs w:val="18"/>
              </w:rPr>
              <w:t>14</w:t>
            </w:r>
          </w:p>
        </w:tc>
        <w:tc>
          <w:tcPr>
            <w:tcW w:w="1740" w:type="pct"/>
            <w:vAlign w:val="bottom"/>
            <w:hideMark/>
          </w:tcPr>
          <w:p w14:paraId="40804BE1" w14:textId="77777777" w:rsidR="008509D4" w:rsidRPr="00471CBA" w:rsidRDefault="008509D4" w:rsidP="00887449">
            <w:pPr>
              <w:ind w:left="-10"/>
              <w:rPr>
                <w:sz w:val="18"/>
                <w:szCs w:val="18"/>
              </w:rPr>
            </w:pPr>
            <w:r w:rsidRPr="00471CBA">
              <w:rPr>
                <w:sz w:val="18"/>
                <w:szCs w:val="18"/>
              </w:rPr>
              <w:t>Kolektif yatırım kuruluşu niteliğindeki yatırımlar</w:t>
            </w:r>
          </w:p>
        </w:tc>
        <w:tc>
          <w:tcPr>
            <w:tcW w:w="557" w:type="pct"/>
            <w:vAlign w:val="bottom"/>
          </w:tcPr>
          <w:p w14:paraId="14EBD108" w14:textId="77777777" w:rsidR="008509D4" w:rsidRPr="00471CBA" w:rsidRDefault="008509D4" w:rsidP="00887449">
            <w:pPr>
              <w:jc w:val="right"/>
              <w:rPr>
                <w:color w:val="000000"/>
                <w:sz w:val="18"/>
                <w:szCs w:val="18"/>
              </w:rPr>
            </w:pPr>
            <w:r w:rsidRPr="00471CBA">
              <w:rPr>
                <w:color w:val="000000"/>
                <w:sz w:val="18"/>
                <w:szCs w:val="18"/>
              </w:rPr>
              <w:t>948</w:t>
            </w:r>
          </w:p>
        </w:tc>
        <w:tc>
          <w:tcPr>
            <w:tcW w:w="557" w:type="pct"/>
            <w:vAlign w:val="bottom"/>
          </w:tcPr>
          <w:p w14:paraId="35BECEAA" w14:textId="77777777" w:rsidR="008509D4" w:rsidRPr="00471CBA" w:rsidRDefault="008509D4" w:rsidP="00887449">
            <w:pPr>
              <w:jc w:val="right"/>
              <w:rPr>
                <w:color w:val="000000"/>
                <w:sz w:val="18"/>
                <w:szCs w:val="18"/>
              </w:rPr>
            </w:pPr>
            <w:r w:rsidRPr="00471CBA">
              <w:rPr>
                <w:color w:val="000000"/>
                <w:sz w:val="18"/>
                <w:szCs w:val="18"/>
              </w:rPr>
              <w:t>-</w:t>
            </w:r>
          </w:p>
        </w:tc>
        <w:tc>
          <w:tcPr>
            <w:tcW w:w="557" w:type="pct"/>
            <w:vAlign w:val="bottom"/>
          </w:tcPr>
          <w:p w14:paraId="740B106B" w14:textId="77777777" w:rsidR="008509D4" w:rsidRPr="00471CBA" w:rsidRDefault="008509D4" w:rsidP="00887449">
            <w:pPr>
              <w:jc w:val="right"/>
              <w:rPr>
                <w:color w:val="000000"/>
                <w:sz w:val="18"/>
                <w:szCs w:val="18"/>
              </w:rPr>
            </w:pPr>
            <w:r w:rsidRPr="00471CBA">
              <w:rPr>
                <w:color w:val="000000"/>
                <w:sz w:val="18"/>
                <w:szCs w:val="18"/>
              </w:rPr>
              <w:t>-</w:t>
            </w:r>
          </w:p>
        </w:tc>
        <w:tc>
          <w:tcPr>
            <w:tcW w:w="557" w:type="pct"/>
            <w:vAlign w:val="bottom"/>
          </w:tcPr>
          <w:p w14:paraId="6781CFB5" w14:textId="77777777" w:rsidR="008509D4" w:rsidRPr="00471CBA" w:rsidRDefault="008509D4" w:rsidP="00887449">
            <w:pPr>
              <w:jc w:val="right"/>
              <w:rPr>
                <w:color w:val="000000"/>
                <w:sz w:val="18"/>
                <w:szCs w:val="18"/>
              </w:rPr>
            </w:pPr>
            <w:r w:rsidRPr="00471CBA">
              <w:rPr>
                <w:color w:val="000000"/>
                <w:sz w:val="18"/>
                <w:szCs w:val="18"/>
              </w:rPr>
              <w:t>-</w:t>
            </w:r>
          </w:p>
        </w:tc>
        <w:tc>
          <w:tcPr>
            <w:tcW w:w="768" w:type="pct"/>
            <w:vAlign w:val="bottom"/>
          </w:tcPr>
          <w:p w14:paraId="7A0A2FE3" w14:textId="77777777" w:rsidR="008509D4" w:rsidRPr="00471CBA" w:rsidRDefault="008509D4" w:rsidP="00887449">
            <w:pPr>
              <w:jc w:val="right"/>
              <w:rPr>
                <w:color w:val="000000"/>
                <w:sz w:val="18"/>
                <w:szCs w:val="18"/>
              </w:rPr>
            </w:pPr>
            <w:r w:rsidRPr="00471CBA">
              <w:rPr>
                <w:color w:val="000000"/>
                <w:sz w:val="18"/>
                <w:szCs w:val="18"/>
              </w:rPr>
              <w:t>-</w:t>
            </w:r>
          </w:p>
        </w:tc>
      </w:tr>
      <w:tr w:rsidR="008509D4" w:rsidRPr="00471CBA" w14:paraId="425FEA04" w14:textId="77777777" w:rsidTr="00887449">
        <w:trPr>
          <w:cantSplit/>
          <w:trHeight w:val="20"/>
        </w:trPr>
        <w:tc>
          <w:tcPr>
            <w:tcW w:w="264" w:type="pct"/>
            <w:hideMark/>
          </w:tcPr>
          <w:p w14:paraId="5C3FFB8E" w14:textId="77777777" w:rsidR="008509D4" w:rsidRPr="00471CBA" w:rsidRDefault="008509D4" w:rsidP="00887449">
            <w:pPr>
              <w:rPr>
                <w:sz w:val="18"/>
                <w:szCs w:val="18"/>
              </w:rPr>
            </w:pPr>
            <w:r w:rsidRPr="00471CBA">
              <w:rPr>
                <w:sz w:val="18"/>
                <w:szCs w:val="18"/>
              </w:rPr>
              <w:t>15</w:t>
            </w:r>
          </w:p>
        </w:tc>
        <w:tc>
          <w:tcPr>
            <w:tcW w:w="1740" w:type="pct"/>
            <w:vAlign w:val="bottom"/>
            <w:hideMark/>
          </w:tcPr>
          <w:p w14:paraId="1DA2634F" w14:textId="77777777" w:rsidR="008509D4" w:rsidRPr="00471CBA" w:rsidRDefault="008509D4" w:rsidP="00887449">
            <w:pPr>
              <w:ind w:left="-10"/>
              <w:rPr>
                <w:sz w:val="18"/>
                <w:szCs w:val="18"/>
              </w:rPr>
            </w:pPr>
            <w:r w:rsidRPr="00471CBA">
              <w:rPr>
                <w:sz w:val="18"/>
                <w:szCs w:val="18"/>
              </w:rPr>
              <w:t>Diğer alacaklar</w:t>
            </w:r>
          </w:p>
        </w:tc>
        <w:tc>
          <w:tcPr>
            <w:tcW w:w="557" w:type="pct"/>
            <w:vAlign w:val="bottom"/>
          </w:tcPr>
          <w:p w14:paraId="79C896AD" w14:textId="77777777" w:rsidR="008509D4" w:rsidRPr="00471CBA" w:rsidRDefault="008509D4" w:rsidP="00887449">
            <w:pPr>
              <w:jc w:val="right"/>
              <w:rPr>
                <w:sz w:val="18"/>
                <w:szCs w:val="18"/>
              </w:rPr>
            </w:pPr>
            <w:r w:rsidRPr="00471CBA">
              <w:rPr>
                <w:color w:val="000000"/>
                <w:sz w:val="18"/>
                <w:szCs w:val="18"/>
              </w:rPr>
              <w:t>991.124</w:t>
            </w:r>
          </w:p>
        </w:tc>
        <w:tc>
          <w:tcPr>
            <w:tcW w:w="557" w:type="pct"/>
            <w:vAlign w:val="bottom"/>
          </w:tcPr>
          <w:p w14:paraId="1F4967E8" w14:textId="77777777" w:rsidR="008509D4" w:rsidRPr="00471CBA" w:rsidRDefault="008509D4" w:rsidP="00887449">
            <w:pPr>
              <w:jc w:val="right"/>
              <w:rPr>
                <w:sz w:val="18"/>
                <w:szCs w:val="18"/>
              </w:rPr>
            </w:pPr>
            <w:r w:rsidRPr="00471CBA">
              <w:rPr>
                <w:color w:val="000000"/>
                <w:sz w:val="18"/>
                <w:szCs w:val="18"/>
              </w:rPr>
              <w:t>-</w:t>
            </w:r>
          </w:p>
        </w:tc>
        <w:tc>
          <w:tcPr>
            <w:tcW w:w="557" w:type="pct"/>
            <w:vAlign w:val="bottom"/>
          </w:tcPr>
          <w:p w14:paraId="5E23E8E6" w14:textId="77777777" w:rsidR="008509D4" w:rsidRPr="00471CBA" w:rsidRDefault="008509D4" w:rsidP="00887449">
            <w:pPr>
              <w:jc w:val="right"/>
              <w:rPr>
                <w:sz w:val="18"/>
                <w:szCs w:val="18"/>
              </w:rPr>
            </w:pPr>
            <w:r w:rsidRPr="00471CBA">
              <w:rPr>
                <w:color w:val="000000"/>
                <w:sz w:val="18"/>
                <w:szCs w:val="18"/>
              </w:rPr>
              <w:t>-</w:t>
            </w:r>
          </w:p>
        </w:tc>
        <w:tc>
          <w:tcPr>
            <w:tcW w:w="557" w:type="pct"/>
            <w:vAlign w:val="bottom"/>
          </w:tcPr>
          <w:p w14:paraId="22AAB38C" w14:textId="77777777" w:rsidR="008509D4" w:rsidRPr="00471CBA" w:rsidRDefault="008509D4" w:rsidP="00887449">
            <w:pPr>
              <w:jc w:val="right"/>
              <w:rPr>
                <w:sz w:val="18"/>
                <w:szCs w:val="18"/>
              </w:rPr>
            </w:pPr>
            <w:r w:rsidRPr="00471CBA">
              <w:rPr>
                <w:color w:val="000000"/>
                <w:sz w:val="18"/>
                <w:szCs w:val="18"/>
              </w:rPr>
              <w:t>-</w:t>
            </w:r>
          </w:p>
        </w:tc>
        <w:tc>
          <w:tcPr>
            <w:tcW w:w="768" w:type="pct"/>
            <w:vAlign w:val="bottom"/>
          </w:tcPr>
          <w:p w14:paraId="09B6BC3B" w14:textId="77777777" w:rsidR="008509D4" w:rsidRPr="00471CBA" w:rsidRDefault="008509D4" w:rsidP="00887449">
            <w:pPr>
              <w:jc w:val="right"/>
              <w:rPr>
                <w:sz w:val="18"/>
                <w:szCs w:val="18"/>
              </w:rPr>
            </w:pPr>
            <w:r w:rsidRPr="00471CBA">
              <w:rPr>
                <w:color w:val="000000"/>
                <w:sz w:val="18"/>
                <w:szCs w:val="18"/>
              </w:rPr>
              <w:t>-</w:t>
            </w:r>
          </w:p>
        </w:tc>
      </w:tr>
      <w:tr w:rsidR="008509D4" w:rsidRPr="00471CBA" w14:paraId="42D042C6" w14:textId="77777777" w:rsidTr="00887449">
        <w:trPr>
          <w:cantSplit/>
          <w:trHeight w:val="20"/>
        </w:trPr>
        <w:tc>
          <w:tcPr>
            <w:tcW w:w="264" w:type="pct"/>
            <w:tcBorders>
              <w:top w:val="nil"/>
              <w:left w:val="nil"/>
              <w:bottom w:val="single" w:sz="4" w:space="0" w:color="auto"/>
              <w:right w:val="nil"/>
            </w:tcBorders>
            <w:hideMark/>
          </w:tcPr>
          <w:p w14:paraId="74A17956" w14:textId="77777777" w:rsidR="008509D4" w:rsidRPr="00471CBA" w:rsidRDefault="008509D4" w:rsidP="00887449">
            <w:pPr>
              <w:rPr>
                <w:sz w:val="18"/>
                <w:szCs w:val="18"/>
              </w:rPr>
            </w:pPr>
            <w:r w:rsidRPr="00471CBA">
              <w:rPr>
                <w:sz w:val="18"/>
                <w:szCs w:val="18"/>
              </w:rPr>
              <w:t>16</w:t>
            </w:r>
          </w:p>
        </w:tc>
        <w:tc>
          <w:tcPr>
            <w:tcW w:w="1740" w:type="pct"/>
            <w:tcBorders>
              <w:top w:val="nil"/>
              <w:left w:val="nil"/>
              <w:bottom w:val="single" w:sz="4" w:space="0" w:color="auto"/>
              <w:right w:val="nil"/>
            </w:tcBorders>
            <w:vAlign w:val="bottom"/>
            <w:hideMark/>
          </w:tcPr>
          <w:p w14:paraId="71B8C8EE" w14:textId="77777777" w:rsidR="008509D4" w:rsidRPr="00471CBA" w:rsidRDefault="008509D4" w:rsidP="00887449">
            <w:pPr>
              <w:ind w:left="-10"/>
              <w:rPr>
                <w:sz w:val="18"/>
                <w:szCs w:val="18"/>
              </w:rPr>
            </w:pPr>
            <w:r w:rsidRPr="00471CBA">
              <w:rPr>
                <w:sz w:val="18"/>
                <w:szCs w:val="18"/>
              </w:rPr>
              <w:t>Hisse senedi yatırımları</w:t>
            </w:r>
          </w:p>
        </w:tc>
        <w:tc>
          <w:tcPr>
            <w:tcW w:w="557" w:type="pct"/>
            <w:tcBorders>
              <w:top w:val="nil"/>
              <w:left w:val="nil"/>
              <w:bottom w:val="single" w:sz="4" w:space="0" w:color="auto"/>
              <w:right w:val="nil"/>
            </w:tcBorders>
            <w:vAlign w:val="bottom"/>
          </w:tcPr>
          <w:p w14:paraId="590159DB" w14:textId="77777777" w:rsidR="008509D4" w:rsidRPr="00471CBA" w:rsidRDefault="008509D4" w:rsidP="00887449">
            <w:pPr>
              <w:jc w:val="right"/>
              <w:rPr>
                <w:sz w:val="18"/>
                <w:szCs w:val="18"/>
              </w:rPr>
            </w:pPr>
            <w:r w:rsidRPr="00471CBA">
              <w:rPr>
                <w:color w:val="000000"/>
                <w:sz w:val="18"/>
                <w:szCs w:val="18"/>
              </w:rPr>
              <w:t>1.265</w:t>
            </w:r>
          </w:p>
        </w:tc>
        <w:tc>
          <w:tcPr>
            <w:tcW w:w="557" w:type="pct"/>
            <w:tcBorders>
              <w:top w:val="nil"/>
              <w:left w:val="nil"/>
              <w:bottom w:val="single" w:sz="4" w:space="0" w:color="auto"/>
              <w:right w:val="nil"/>
            </w:tcBorders>
            <w:vAlign w:val="bottom"/>
          </w:tcPr>
          <w:p w14:paraId="23E10917" w14:textId="77777777" w:rsidR="008509D4" w:rsidRPr="00471CBA" w:rsidRDefault="008509D4" w:rsidP="00887449">
            <w:pPr>
              <w:jc w:val="right"/>
              <w:rPr>
                <w:sz w:val="18"/>
                <w:szCs w:val="18"/>
              </w:rPr>
            </w:pPr>
            <w:r w:rsidRPr="00471CBA">
              <w:rPr>
                <w:color w:val="000000"/>
                <w:sz w:val="18"/>
                <w:szCs w:val="18"/>
              </w:rPr>
              <w:t>-</w:t>
            </w:r>
          </w:p>
        </w:tc>
        <w:tc>
          <w:tcPr>
            <w:tcW w:w="557" w:type="pct"/>
            <w:tcBorders>
              <w:top w:val="nil"/>
              <w:left w:val="nil"/>
              <w:bottom w:val="single" w:sz="4" w:space="0" w:color="auto"/>
              <w:right w:val="nil"/>
            </w:tcBorders>
            <w:vAlign w:val="bottom"/>
          </w:tcPr>
          <w:p w14:paraId="0B268BBA" w14:textId="77777777" w:rsidR="008509D4" w:rsidRPr="00471CBA" w:rsidRDefault="008509D4" w:rsidP="00887449">
            <w:pPr>
              <w:jc w:val="right"/>
              <w:rPr>
                <w:sz w:val="18"/>
                <w:szCs w:val="18"/>
              </w:rPr>
            </w:pPr>
            <w:r w:rsidRPr="00471CBA">
              <w:rPr>
                <w:color w:val="000000"/>
                <w:sz w:val="18"/>
                <w:szCs w:val="18"/>
              </w:rPr>
              <w:t>-</w:t>
            </w:r>
          </w:p>
        </w:tc>
        <w:tc>
          <w:tcPr>
            <w:tcW w:w="557" w:type="pct"/>
            <w:tcBorders>
              <w:top w:val="nil"/>
              <w:left w:val="nil"/>
              <w:bottom w:val="single" w:sz="4" w:space="0" w:color="auto"/>
              <w:right w:val="nil"/>
            </w:tcBorders>
            <w:vAlign w:val="bottom"/>
          </w:tcPr>
          <w:p w14:paraId="60CB2646" w14:textId="77777777" w:rsidR="008509D4" w:rsidRPr="00471CBA" w:rsidRDefault="008509D4" w:rsidP="00887449">
            <w:pPr>
              <w:jc w:val="right"/>
              <w:rPr>
                <w:sz w:val="18"/>
                <w:szCs w:val="18"/>
              </w:rPr>
            </w:pPr>
            <w:r w:rsidRPr="00471CBA">
              <w:rPr>
                <w:color w:val="000000"/>
                <w:sz w:val="18"/>
                <w:szCs w:val="18"/>
              </w:rPr>
              <w:t>-</w:t>
            </w:r>
          </w:p>
        </w:tc>
        <w:tc>
          <w:tcPr>
            <w:tcW w:w="768" w:type="pct"/>
            <w:tcBorders>
              <w:top w:val="nil"/>
              <w:left w:val="nil"/>
              <w:bottom w:val="single" w:sz="4" w:space="0" w:color="auto"/>
              <w:right w:val="nil"/>
            </w:tcBorders>
            <w:vAlign w:val="bottom"/>
          </w:tcPr>
          <w:p w14:paraId="6C88451C" w14:textId="77777777" w:rsidR="008509D4" w:rsidRPr="00471CBA" w:rsidRDefault="008509D4" w:rsidP="00887449">
            <w:pPr>
              <w:jc w:val="right"/>
              <w:rPr>
                <w:sz w:val="18"/>
                <w:szCs w:val="18"/>
              </w:rPr>
            </w:pPr>
            <w:r w:rsidRPr="00471CBA">
              <w:rPr>
                <w:color w:val="000000"/>
                <w:sz w:val="18"/>
                <w:szCs w:val="18"/>
              </w:rPr>
              <w:t>-</w:t>
            </w:r>
          </w:p>
        </w:tc>
      </w:tr>
      <w:tr w:rsidR="008509D4" w:rsidRPr="00471CBA" w14:paraId="4066A257" w14:textId="77777777" w:rsidTr="00887449">
        <w:trPr>
          <w:cantSplit/>
          <w:trHeight w:val="20"/>
        </w:trPr>
        <w:tc>
          <w:tcPr>
            <w:tcW w:w="264" w:type="pct"/>
            <w:tcBorders>
              <w:top w:val="single" w:sz="4" w:space="0" w:color="auto"/>
              <w:left w:val="nil"/>
              <w:bottom w:val="single" w:sz="12" w:space="0" w:color="auto"/>
              <w:right w:val="nil"/>
            </w:tcBorders>
            <w:hideMark/>
          </w:tcPr>
          <w:p w14:paraId="4A9E8CA8" w14:textId="77777777" w:rsidR="008509D4" w:rsidRPr="00471CBA" w:rsidRDefault="008509D4" w:rsidP="00887449">
            <w:pPr>
              <w:rPr>
                <w:b/>
                <w:sz w:val="18"/>
                <w:szCs w:val="18"/>
              </w:rPr>
            </w:pPr>
            <w:r w:rsidRPr="00471CBA">
              <w:rPr>
                <w:b/>
                <w:sz w:val="18"/>
                <w:szCs w:val="18"/>
              </w:rPr>
              <w:t>17</w:t>
            </w:r>
          </w:p>
        </w:tc>
        <w:tc>
          <w:tcPr>
            <w:tcW w:w="1740" w:type="pct"/>
            <w:tcBorders>
              <w:top w:val="single" w:sz="4" w:space="0" w:color="auto"/>
              <w:left w:val="nil"/>
              <w:bottom w:val="single" w:sz="12" w:space="0" w:color="auto"/>
              <w:right w:val="nil"/>
            </w:tcBorders>
            <w:vAlign w:val="bottom"/>
            <w:hideMark/>
          </w:tcPr>
          <w:p w14:paraId="3F86E3FF" w14:textId="77777777" w:rsidR="008509D4" w:rsidRPr="00471CBA" w:rsidRDefault="008509D4" w:rsidP="00887449">
            <w:pPr>
              <w:rPr>
                <w:b/>
                <w:snapToGrid w:val="0"/>
                <w:sz w:val="18"/>
                <w:szCs w:val="18"/>
              </w:rPr>
            </w:pPr>
            <w:r w:rsidRPr="00471CBA">
              <w:rPr>
                <w:b/>
                <w:sz w:val="18"/>
                <w:szCs w:val="18"/>
              </w:rPr>
              <w:t>Toplam</w:t>
            </w:r>
          </w:p>
        </w:tc>
        <w:tc>
          <w:tcPr>
            <w:tcW w:w="557" w:type="pct"/>
            <w:tcBorders>
              <w:top w:val="single" w:sz="4" w:space="0" w:color="auto"/>
              <w:left w:val="nil"/>
              <w:bottom w:val="single" w:sz="12" w:space="0" w:color="auto"/>
              <w:right w:val="nil"/>
            </w:tcBorders>
            <w:vAlign w:val="bottom"/>
          </w:tcPr>
          <w:p w14:paraId="34E574BF" w14:textId="77777777" w:rsidR="008509D4" w:rsidRPr="00471CBA" w:rsidRDefault="008509D4" w:rsidP="00887449">
            <w:pPr>
              <w:jc w:val="right"/>
              <w:rPr>
                <w:b/>
                <w:sz w:val="18"/>
                <w:szCs w:val="18"/>
              </w:rPr>
            </w:pPr>
            <w:r w:rsidRPr="00471CBA">
              <w:rPr>
                <w:b/>
                <w:bCs/>
                <w:color w:val="000000"/>
                <w:sz w:val="18"/>
                <w:szCs w:val="18"/>
              </w:rPr>
              <w:t>11.598.779</w:t>
            </w:r>
          </w:p>
        </w:tc>
        <w:tc>
          <w:tcPr>
            <w:tcW w:w="557" w:type="pct"/>
            <w:tcBorders>
              <w:top w:val="single" w:sz="4" w:space="0" w:color="auto"/>
              <w:left w:val="nil"/>
              <w:bottom w:val="single" w:sz="12" w:space="0" w:color="auto"/>
              <w:right w:val="nil"/>
            </w:tcBorders>
            <w:vAlign w:val="bottom"/>
          </w:tcPr>
          <w:p w14:paraId="61BC8552" w14:textId="77777777" w:rsidR="008509D4" w:rsidRPr="00471CBA" w:rsidRDefault="008509D4" w:rsidP="00887449">
            <w:pPr>
              <w:jc w:val="right"/>
              <w:rPr>
                <w:b/>
                <w:sz w:val="18"/>
                <w:szCs w:val="18"/>
              </w:rPr>
            </w:pPr>
            <w:r w:rsidRPr="00471CBA">
              <w:rPr>
                <w:b/>
                <w:bCs/>
                <w:color w:val="000000"/>
                <w:sz w:val="18"/>
                <w:szCs w:val="18"/>
              </w:rPr>
              <w:t>3.089.772</w:t>
            </w:r>
          </w:p>
        </w:tc>
        <w:tc>
          <w:tcPr>
            <w:tcW w:w="557" w:type="pct"/>
            <w:tcBorders>
              <w:top w:val="single" w:sz="4" w:space="0" w:color="auto"/>
              <w:left w:val="nil"/>
              <w:bottom w:val="single" w:sz="12" w:space="0" w:color="auto"/>
              <w:right w:val="nil"/>
            </w:tcBorders>
            <w:vAlign w:val="bottom"/>
          </w:tcPr>
          <w:p w14:paraId="18539500" w14:textId="77777777" w:rsidR="008509D4" w:rsidRPr="00471CBA" w:rsidRDefault="008509D4" w:rsidP="00887449">
            <w:pPr>
              <w:jc w:val="right"/>
              <w:rPr>
                <w:b/>
                <w:sz w:val="18"/>
                <w:szCs w:val="18"/>
              </w:rPr>
            </w:pPr>
            <w:r w:rsidRPr="00471CBA">
              <w:rPr>
                <w:b/>
                <w:bCs/>
                <w:color w:val="000000"/>
                <w:sz w:val="18"/>
                <w:szCs w:val="18"/>
              </w:rPr>
              <w:t>3.048.713</w:t>
            </w:r>
          </w:p>
        </w:tc>
        <w:tc>
          <w:tcPr>
            <w:tcW w:w="557" w:type="pct"/>
            <w:tcBorders>
              <w:top w:val="single" w:sz="4" w:space="0" w:color="auto"/>
              <w:left w:val="nil"/>
              <w:bottom w:val="single" w:sz="12" w:space="0" w:color="auto"/>
              <w:right w:val="nil"/>
            </w:tcBorders>
            <w:vAlign w:val="bottom"/>
          </w:tcPr>
          <w:p w14:paraId="5987DE4A" w14:textId="77777777" w:rsidR="008509D4" w:rsidRPr="00471CBA" w:rsidRDefault="008509D4" w:rsidP="00887449">
            <w:pPr>
              <w:jc w:val="right"/>
              <w:rPr>
                <w:b/>
                <w:sz w:val="18"/>
                <w:szCs w:val="18"/>
              </w:rPr>
            </w:pPr>
            <w:r w:rsidRPr="00471CBA">
              <w:rPr>
                <w:b/>
                <w:bCs/>
                <w:color w:val="000000"/>
                <w:sz w:val="18"/>
                <w:szCs w:val="18"/>
              </w:rPr>
              <w:t>2.665.826</w:t>
            </w:r>
          </w:p>
        </w:tc>
        <w:tc>
          <w:tcPr>
            <w:tcW w:w="768" w:type="pct"/>
            <w:tcBorders>
              <w:top w:val="single" w:sz="4" w:space="0" w:color="auto"/>
              <w:left w:val="nil"/>
              <w:bottom w:val="single" w:sz="12" w:space="0" w:color="auto"/>
              <w:right w:val="nil"/>
            </w:tcBorders>
            <w:vAlign w:val="bottom"/>
          </w:tcPr>
          <w:p w14:paraId="4C67AD0D" w14:textId="77777777" w:rsidR="008509D4" w:rsidRPr="00471CBA" w:rsidRDefault="008509D4" w:rsidP="00887449">
            <w:pPr>
              <w:jc w:val="right"/>
              <w:rPr>
                <w:b/>
                <w:sz w:val="18"/>
                <w:szCs w:val="18"/>
              </w:rPr>
            </w:pPr>
            <w:r w:rsidRPr="00471CBA">
              <w:rPr>
                <w:b/>
                <w:bCs/>
                <w:color w:val="000000"/>
                <w:sz w:val="18"/>
                <w:szCs w:val="18"/>
              </w:rPr>
              <w:t>4.803.628</w:t>
            </w:r>
          </w:p>
        </w:tc>
      </w:tr>
    </w:tbl>
    <w:p w14:paraId="4D0DB4E2" w14:textId="25D3FB0D" w:rsidR="00F91828" w:rsidRPr="00471CBA" w:rsidRDefault="00F91828" w:rsidP="00F36B82">
      <w:pPr>
        <w:spacing w:before="120" w:after="120" w:line="240" w:lineRule="exact"/>
        <w:ind w:left="851" w:hanging="851"/>
        <w:jc w:val="both"/>
        <w:rPr>
          <w:szCs w:val="20"/>
        </w:rPr>
      </w:pPr>
      <w:r w:rsidRPr="00471CBA">
        <w:rPr>
          <w:b/>
          <w:szCs w:val="20"/>
        </w:rPr>
        <w:t>(9)</w:t>
      </w:r>
      <w:r w:rsidRPr="00471CBA">
        <w:rPr>
          <w:szCs w:val="20"/>
        </w:rPr>
        <w:t xml:space="preserve"> </w:t>
      </w:r>
      <w:r w:rsidRPr="00471CBA">
        <w:rPr>
          <w:szCs w:val="20"/>
        </w:rPr>
        <w:tab/>
        <w:t>Bankaların Sermaye Yeterliliğinin Ölçülmesine ve Değerlendirilmesine İlişkin Yönetmeliğin 6’ncı maddesinde belirtilen risk sınıflarına ait risk ağırlıklarının belirlenmesinde kredi müşterileri tarafından görevlendirilen derecelendirme kuruluşlarından alınan derecelendirme notları kullanılmamaktadır. Derecelendirilmemiş merkezi yönetimlerden ve merkez bankalarından alacaklar için OECD (</w:t>
      </w:r>
      <w:proofErr w:type="spellStart"/>
      <w:r w:rsidRPr="00471CBA">
        <w:rPr>
          <w:szCs w:val="20"/>
        </w:rPr>
        <w:t>Organization</w:t>
      </w:r>
      <w:proofErr w:type="spellEnd"/>
      <w:r w:rsidRPr="00471CBA">
        <w:rPr>
          <w:szCs w:val="20"/>
        </w:rPr>
        <w:t xml:space="preserve"> </w:t>
      </w:r>
      <w:proofErr w:type="spellStart"/>
      <w:r w:rsidRPr="00471CBA">
        <w:rPr>
          <w:szCs w:val="20"/>
        </w:rPr>
        <w:t>for</w:t>
      </w:r>
      <w:proofErr w:type="spellEnd"/>
      <w:r w:rsidRPr="00471CBA">
        <w:rPr>
          <w:szCs w:val="20"/>
        </w:rPr>
        <w:t xml:space="preserve"> </w:t>
      </w:r>
      <w:proofErr w:type="spellStart"/>
      <w:r w:rsidRPr="00471CBA">
        <w:rPr>
          <w:szCs w:val="20"/>
        </w:rPr>
        <w:t>Economic</w:t>
      </w:r>
      <w:proofErr w:type="spellEnd"/>
      <w:r w:rsidRPr="00471CBA">
        <w:rPr>
          <w:szCs w:val="20"/>
        </w:rPr>
        <w:t xml:space="preserve"> </w:t>
      </w:r>
      <w:proofErr w:type="spellStart"/>
      <w:r w:rsidRPr="00471CBA">
        <w:rPr>
          <w:szCs w:val="20"/>
        </w:rPr>
        <w:t>Cooperation</w:t>
      </w:r>
      <w:proofErr w:type="spellEnd"/>
      <w:r w:rsidRPr="00471CBA">
        <w:rPr>
          <w:szCs w:val="20"/>
        </w:rPr>
        <w:t xml:space="preserve"> </w:t>
      </w:r>
      <w:proofErr w:type="spellStart"/>
      <w:r w:rsidRPr="00471CBA">
        <w:rPr>
          <w:szCs w:val="20"/>
        </w:rPr>
        <w:t>and</w:t>
      </w:r>
      <w:proofErr w:type="spellEnd"/>
      <w:r w:rsidRPr="00471CBA">
        <w:rPr>
          <w:szCs w:val="20"/>
        </w:rPr>
        <w:t xml:space="preserve"> Development) tarafından verilen derecelendirme notları dikkate alınmaktadır. Yönetmelikte yer alan diğer alacaklar derecesiz kabul edilmek suretiyle sermaye yeterliliği hesabına dâhil edilmektedir.</w:t>
      </w:r>
    </w:p>
    <w:p w14:paraId="21E13259" w14:textId="77777777" w:rsidR="00F91828" w:rsidRPr="00471CBA" w:rsidRDefault="00F91828" w:rsidP="00F91828">
      <w:pPr>
        <w:spacing w:before="120" w:after="120" w:line="240" w:lineRule="exact"/>
        <w:jc w:val="both"/>
        <w:rPr>
          <w:szCs w:val="20"/>
        </w:rPr>
      </w:pPr>
      <w:r w:rsidRPr="00471CBA">
        <w:rPr>
          <w:szCs w:val="20"/>
        </w:rPr>
        <w:t xml:space="preserve">Kredi derecelendirme kuruluşlarının verdiği derecelerin eşleştirmesini gösteren “Kredi Kalite Kademesi Tablosu” </w:t>
      </w:r>
      <w:proofErr w:type="spellStart"/>
      <w:r w:rsidRPr="00471CBA">
        <w:rPr>
          <w:szCs w:val="20"/>
        </w:rPr>
        <w:t>na</w:t>
      </w:r>
      <w:proofErr w:type="spellEnd"/>
      <w:r w:rsidRPr="00471CBA">
        <w:rPr>
          <w:szCs w:val="20"/>
        </w:rPr>
        <w:t xml:space="preserve"> aşağıda yer verilmiştir.</w:t>
      </w:r>
    </w:p>
    <w:p w14:paraId="5755378E" w14:textId="77777777" w:rsidR="00F91828" w:rsidRPr="00471CBA" w:rsidRDefault="00F91828" w:rsidP="00F91828">
      <w:r w:rsidRPr="00471CBA">
        <w:br w:type="page"/>
      </w:r>
    </w:p>
    <w:p w14:paraId="7B411767" w14:textId="77777777" w:rsidR="00F91828" w:rsidRPr="00471CBA" w:rsidRDefault="00F91828" w:rsidP="00F91828">
      <w:pPr>
        <w:rPr>
          <w:b/>
          <w:szCs w:val="20"/>
        </w:rPr>
      </w:pPr>
      <w:bookmarkStart w:id="48" w:name="_Hlk223359167"/>
      <w:r w:rsidRPr="00471CBA">
        <w:rPr>
          <w:b/>
          <w:szCs w:val="20"/>
        </w:rPr>
        <w:lastRenderedPageBreak/>
        <w:t>MALİ BÜNYEYE VE RİSK YÖNETİMİNE İLİŞKİN BİLGİLER (Devamı)</w:t>
      </w:r>
    </w:p>
    <w:p w14:paraId="0B2BBBF0" w14:textId="77777777" w:rsidR="00F91828" w:rsidRPr="00471CBA" w:rsidRDefault="00F91828" w:rsidP="00F91828">
      <w:pPr>
        <w:autoSpaceDE w:val="0"/>
        <w:autoSpaceDN w:val="0"/>
        <w:adjustRightInd w:val="0"/>
        <w:spacing w:before="120" w:after="120"/>
        <w:jc w:val="both"/>
        <w:rPr>
          <w:b/>
          <w:szCs w:val="20"/>
        </w:rPr>
      </w:pPr>
      <w:r w:rsidRPr="00471CBA">
        <w:rPr>
          <w:b/>
          <w:szCs w:val="20"/>
        </w:rPr>
        <w:t>II.</w:t>
      </w:r>
      <w:r w:rsidRPr="00471CBA">
        <w:rPr>
          <w:b/>
          <w:szCs w:val="20"/>
        </w:rPr>
        <w:tab/>
        <w:t>KREDİ RİSKİNE İLİŞKİN AÇIKLAMALAR (Devamı)</w:t>
      </w:r>
    </w:p>
    <w:tbl>
      <w:tblPr>
        <w:tblStyle w:val="TableGrid"/>
        <w:tblW w:w="5000" w:type="pct"/>
        <w:tblInd w:w="0" w:type="dxa"/>
        <w:tblCellMar>
          <w:top w:w="46" w:type="dxa"/>
          <w:left w:w="60" w:type="dxa"/>
          <w:right w:w="21" w:type="dxa"/>
        </w:tblCellMar>
        <w:tblLook w:val="04A0" w:firstRow="1" w:lastRow="0" w:firstColumn="1" w:lastColumn="0" w:noHBand="0" w:noVBand="1"/>
      </w:tblPr>
      <w:tblGrid>
        <w:gridCol w:w="422"/>
        <w:gridCol w:w="992"/>
        <w:gridCol w:w="951"/>
        <w:gridCol w:w="953"/>
        <w:gridCol w:w="790"/>
        <w:gridCol w:w="1781"/>
        <w:gridCol w:w="849"/>
        <w:gridCol w:w="1793"/>
        <w:gridCol w:w="1098"/>
      </w:tblGrid>
      <w:tr w:rsidR="00F91828" w:rsidRPr="00471CBA" w14:paraId="0316B295" w14:textId="77777777" w:rsidTr="00F36B82">
        <w:trPr>
          <w:cantSplit/>
          <w:trHeight w:val="20"/>
        </w:trPr>
        <w:tc>
          <w:tcPr>
            <w:tcW w:w="219" w:type="pct"/>
            <w:vMerge w:val="restart"/>
            <w:tcBorders>
              <w:top w:val="single" w:sz="4" w:space="0" w:color="000000"/>
              <w:left w:val="single" w:sz="4" w:space="0" w:color="000000"/>
              <w:bottom w:val="single" w:sz="4" w:space="0" w:color="000000"/>
              <w:right w:val="single" w:sz="4" w:space="0" w:color="000000"/>
            </w:tcBorders>
            <w:textDirection w:val="btLr"/>
            <w:vAlign w:val="center"/>
            <w:hideMark/>
          </w:tcPr>
          <w:bookmarkEnd w:id="48"/>
          <w:p w14:paraId="27D5A0DC" w14:textId="77777777" w:rsidR="00F91828" w:rsidRPr="00471CBA" w:rsidRDefault="00F91828" w:rsidP="00F36B82">
            <w:pPr>
              <w:spacing w:line="256" w:lineRule="auto"/>
              <w:ind w:left="85" w:right="113"/>
              <w:jc w:val="center"/>
              <w:rPr>
                <w:rFonts w:ascii="Times New Roman" w:hAnsi="Times New Roman" w:cs="Times New Roman"/>
                <w:b/>
                <w:sz w:val="15"/>
                <w:szCs w:val="15"/>
              </w:rPr>
            </w:pPr>
            <w:r w:rsidRPr="00471CBA">
              <w:rPr>
                <w:rFonts w:ascii="Times New Roman" w:hAnsi="Times New Roman" w:cs="Times New Roman"/>
                <w:b/>
                <w:sz w:val="15"/>
                <w:szCs w:val="15"/>
              </w:rPr>
              <w:t>Eşleştirilecek Derecelendirmeler</w:t>
            </w:r>
          </w:p>
        </w:tc>
        <w:tc>
          <w:tcPr>
            <w:tcW w:w="515" w:type="pct"/>
            <w:tcBorders>
              <w:top w:val="single" w:sz="4" w:space="0" w:color="000000"/>
              <w:left w:val="single" w:sz="4" w:space="0" w:color="000000"/>
              <w:bottom w:val="single" w:sz="4" w:space="0" w:color="000000"/>
              <w:right w:val="single" w:sz="4" w:space="0" w:color="000000"/>
            </w:tcBorders>
            <w:vAlign w:val="center"/>
          </w:tcPr>
          <w:p w14:paraId="4988D404" w14:textId="77777777" w:rsidR="00F91828" w:rsidRPr="00471CBA" w:rsidRDefault="00F91828" w:rsidP="00F36B82">
            <w:pPr>
              <w:ind w:left="2"/>
              <w:jc w:val="center"/>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213A6ADB" w14:textId="77777777" w:rsidR="00F91828" w:rsidRPr="00471CBA" w:rsidRDefault="00F91828" w:rsidP="00F36B82">
            <w:pPr>
              <w:ind w:right="35"/>
              <w:jc w:val="center"/>
              <w:rPr>
                <w:rFonts w:ascii="Times New Roman" w:hAnsi="Times New Roman" w:cs="Times New Roman"/>
                <w:sz w:val="15"/>
                <w:szCs w:val="15"/>
              </w:rPr>
            </w:pPr>
            <w:r w:rsidRPr="00471CBA">
              <w:rPr>
                <w:rFonts w:ascii="Times New Roman" w:hAnsi="Times New Roman" w:cs="Times New Roman"/>
                <w:b/>
                <w:sz w:val="15"/>
                <w:szCs w:val="15"/>
              </w:rPr>
              <w:t>Kredi</w:t>
            </w:r>
          </w:p>
          <w:p w14:paraId="59221F63" w14:textId="77777777" w:rsidR="00F91828" w:rsidRPr="00471CBA" w:rsidRDefault="00F91828" w:rsidP="00F36B82">
            <w:pPr>
              <w:ind w:right="35"/>
              <w:jc w:val="center"/>
              <w:rPr>
                <w:rFonts w:ascii="Times New Roman" w:hAnsi="Times New Roman" w:cs="Times New Roman"/>
                <w:sz w:val="15"/>
                <w:szCs w:val="15"/>
              </w:rPr>
            </w:pPr>
            <w:r w:rsidRPr="00471CBA">
              <w:rPr>
                <w:rFonts w:ascii="Times New Roman" w:hAnsi="Times New Roman" w:cs="Times New Roman"/>
                <w:b/>
                <w:sz w:val="15"/>
                <w:szCs w:val="15"/>
              </w:rPr>
              <w:t>Kalitesi</w:t>
            </w:r>
          </w:p>
          <w:p w14:paraId="0D1AEBEA" w14:textId="77777777" w:rsidR="00F91828" w:rsidRPr="00471CBA" w:rsidRDefault="00F91828" w:rsidP="00F36B82">
            <w:pPr>
              <w:ind w:left="19"/>
              <w:jc w:val="center"/>
              <w:rPr>
                <w:rFonts w:ascii="Times New Roman" w:hAnsi="Times New Roman" w:cs="Times New Roman"/>
                <w:sz w:val="15"/>
                <w:szCs w:val="15"/>
              </w:rPr>
            </w:pPr>
            <w:r w:rsidRPr="00471CBA">
              <w:rPr>
                <w:rFonts w:ascii="Times New Roman" w:hAnsi="Times New Roman" w:cs="Times New Roman"/>
                <w:b/>
                <w:sz w:val="15"/>
                <w:szCs w:val="15"/>
              </w:rPr>
              <w:t>Kademesi</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5CD92668" w14:textId="77777777" w:rsidR="00F91828" w:rsidRPr="00471CBA" w:rsidRDefault="00F91828" w:rsidP="00F36B82">
            <w:pPr>
              <w:ind w:left="26"/>
              <w:jc w:val="center"/>
              <w:rPr>
                <w:rFonts w:ascii="Times New Roman" w:hAnsi="Times New Roman" w:cs="Times New Roman"/>
                <w:sz w:val="15"/>
                <w:szCs w:val="15"/>
              </w:rPr>
            </w:pPr>
            <w:proofErr w:type="spellStart"/>
            <w:r w:rsidRPr="00471CBA">
              <w:rPr>
                <w:rFonts w:ascii="Times New Roman" w:hAnsi="Times New Roman" w:cs="Times New Roman"/>
                <w:b/>
                <w:sz w:val="15"/>
                <w:szCs w:val="15"/>
              </w:rPr>
              <w:t>Fitch</w:t>
            </w:r>
            <w:proofErr w:type="spellEnd"/>
            <w:r w:rsidRPr="00471CBA">
              <w:rPr>
                <w:rFonts w:ascii="Times New Roman" w:hAnsi="Times New Roman" w:cs="Times New Roman"/>
                <w:b/>
                <w:sz w:val="15"/>
                <w:szCs w:val="15"/>
              </w:rPr>
              <w:t xml:space="preserve"> </w:t>
            </w:r>
            <w:proofErr w:type="spellStart"/>
            <w:r w:rsidRPr="00471CBA">
              <w:rPr>
                <w:rFonts w:ascii="Times New Roman" w:hAnsi="Times New Roman" w:cs="Times New Roman"/>
                <w:b/>
                <w:sz w:val="15"/>
                <w:szCs w:val="15"/>
              </w:rPr>
              <w:t>Ratings</w:t>
            </w:r>
            <w:proofErr w:type="spellEnd"/>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11A338AE" w14:textId="77777777" w:rsidR="00F91828" w:rsidRPr="00471CBA" w:rsidRDefault="00F91828" w:rsidP="00F36B82">
            <w:pPr>
              <w:ind w:right="41"/>
              <w:jc w:val="center"/>
              <w:rPr>
                <w:rFonts w:ascii="Times New Roman" w:hAnsi="Times New Roman" w:cs="Times New Roman"/>
                <w:sz w:val="15"/>
                <w:szCs w:val="15"/>
              </w:rPr>
            </w:pPr>
            <w:r w:rsidRPr="00471CBA">
              <w:rPr>
                <w:rFonts w:ascii="Times New Roman" w:hAnsi="Times New Roman" w:cs="Times New Roman"/>
                <w:b/>
                <w:sz w:val="15"/>
                <w:szCs w:val="15"/>
              </w:rPr>
              <w:t>Moody's</w:t>
            </w:r>
          </w:p>
          <w:p w14:paraId="3DC216F8" w14:textId="77777777" w:rsidR="00F91828" w:rsidRPr="00471CBA" w:rsidRDefault="00F91828" w:rsidP="00F36B82">
            <w:pPr>
              <w:jc w:val="center"/>
              <w:rPr>
                <w:rFonts w:ascii="Times New Roman" w:hAnsi="Times New Roman" w:cs="Times New Roman"/>
                <w:sz w:val="15"/>
                <w:szCs w:val="15"/>
              </w:rPr>
            </w:pPr>
            <w:r w:rsidRPr="00471CBA">
              <w:rPr>
                <w:rFonts w:ascii="Times New Roman" w:hAnsi="Times New Roman" w:cs="Times New Roman"/>
                <w:b/>
                <w:sz w:val="15"/>
                <w:szCs w:val="15"/>
              </w:rPr>
              <w:t>Investor Service</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59F804EE" w14:textId="77777777" w:rsidR="00F91828" w:rsidRPr="00471CBA" w:rsidRDefault="00F91828" w:rsidP="00F36B82">
            <w:pPr>
              <w:jc w:val="center"/>
              <w:rPr>
                <w:rFonts w:ascii="Times New Roman" w:hAnsi="Times New Roman" w:cs="Times New Roman"/>
                <w:sz w:val="15"/>
                <w:szCs w:val="15"/>
              </w:rPr>
            </w:pPr>
            <w:r w:rsidRPr="00471CBA">
              <w:rPr>
                <w:rFonts w:ascii="Times New Roman" w:hAnsi="Times New Roman" w:cs="Times New Roman"/>
                <w:b/>
                <w:sz w:val="15"/>
                <w:szCs w:val="15"/>
              </w:rPr>
              <w:t xml:space="preserve">S&amp;P </w:t>
            </w:r>
            <w:proofErr w:type="spellStart"/>
            <w:r w:rsidRPr="00471CBA">
              <w:rPr>
                <w:rFonts w:ascii="Times New Roman" w:hAnsi="Times New Roman" w:cs="Times New Roman"/>
                <w:b/>
                <w:sz w:val="15"/>
                <w:szCs w:val="15"/>
              </w:rPr>
              <w:t>Ratings</w:t>
            </w:r>
            <w:proofErr w:type="spellEnd"/>
            <w:r w:rsidRPr="00471CBA">
              <w:rPr>
                <w:rFonts w:ascii="Times New Roman" w:hAnsi="Times New Roman" w:cs="Times New Roman"/>
                <w:b/>
                <w:sz w:val="15"/>
                <w:szCs w:val="15"/>
              </w:rPr>
              <w:t xml:space="preserve"> Services</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1AE1FA53" w14:textId="77777777" w:rsidR="00F91828" w:rsidRPr="00471CBA" w:rsidRDefault="00F91828" w:rsidP="00F36B82">
            <w:pPr>
              <w:jc w:val="center"/>
              <w:rPr>
                <w:rFonts w:ascii="Times New Roman" w:hAnsi="Times New Roman" w:cs="Times New Roman"/>
                <w:sz w:val="15"/>
                <w:szCs w:val="15"/>
              </w:rPr>
            </w:pPr>
            <w:r w:rsidRPr="00471CBA">
              <w:rPr>
                <w:rFonts w:ascii="Times New Roman" w:hAnsi="Times New Roman" w:cs="Times New Roman"/>
                <w:b/>
                <w:sz w:val="15"/>
                <w:szCs w:val="15"/>
              </w:rPr>
              <w:t xml:space="preserve">Japan </w:t>
            </w:r>
            <w:proofErr w:type="spellStart"/>
            <w:r w:rsidRPr="00471CBA">
              <w:rPr>
                <w:rFonts w:ascii="Times New Roman" w:hAnsi="Times New Roman" w:cs="Times New Roman"/>
                <w:b/>
                <w:sz w:val="15"/>
                <w:szCs w:val="15"/>
              </w:rPr>
              <w:t>Credit</w:t>
            </w:r>
            <w:proofErr w:type="spellEnd"/>
            <w:r w:rsidRPr="00471CBA">
              <w:rPr>
                <w:rFonts w:ascii="Times New Roman" w:hAnsi="Times New Roman" w:cs="Times New Roman"/>
                <w:b/>
                <w:sz w:val="15"/>
                <w:szCs w:val="15"/>
              </w:rPr>
              <w:t xml:space="preserve"> </w:t>
            </w:r>
            <w:proofErr w:type="spellStart"/>
            <w:r w:rsidRPr="00471CBA">
              <w:rPr>
                <w:rFonts w:ascii="Times New Roman" w:hAnsi="Times New Roman" w:cs="Times New Roman"/>
                <w:b/>
                <w:sz w:val="15"/>
                <w:szCs w:val="15"/>
              </w:rPr>
              <w:t>Rating</w:t>
            </w:r>
            <w:proofErr w:type="spellEnd"/>
            <w:r w:rsidRPr="00471CBA">
              <w:rPr>
                <w:rFonts w:ascii="Times New Roman" w:hAnsi="Times New Roman" w:cs="Times New Roman"/>
                <w:b/>
                <w:sz w:val="15"/>
                <w:szCs w:val="15"/>
              </w:rPr>
              <w:t xml:space="preserve"> </w:t>
            </w:r>
            <w:proofErr w:type="spellStart"/>
            <w:r w:rsidRPr="00471CBA">
              <w:rPr>
                <w:rFonts w:ascii="Times New Roman" w:hAnsi="Times New Roman" w:cs="Times New Roman"/>
                <w:b/>
                <w:sz w:val="15"/>
                <w:szCs w:val="15"/>
              </w:rPr>
              <w:t>Agency</w:t>
            </w:r>
            <w:proofErr w:type="spellEnd"/>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6A4D1027" w14:textId="77777777" w:rsidR="00F91828" w:rsidRPr="00471CBA" w:rsidRDefault="00F91828" w:rsidP="00F36B82">
            <w:pPr>
              <w:ind w:right="39"/>
              <w:jc w:val="center"/>
              <w:rPr>
                <w:rFonts w:ascii="Times New Roman" w:hAnsi="Times New Roman" w:cs="Times New Roman"/>
                <w:sz w:val="15"/>
                <w:szCs w:val="15"/>
              </w:rPr>
            </w:pPr>
            <w:r w:rsidRPr="00471CBA">
              <w:rPr>
                <w:rFonts w:ascii="Times New Roman" w:eastAsia="Calibri" w:hAnsi="Times New Roman" w:cs="Times New Roman"/>
                <w:b/>
                <w:sz w:val="15"/>
                <w:szCs w:val="15"/>
              </w:rPr>
              <w:t>DBRS</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29718561" w14:textId="77777777" w:rsidR="00F91828" w:rsidRPr="00471CBA" w:rsidRDefault="00F91828" w:rsidP="00F36B82">
            <w:pPr>
              <w:ind w:right="36"/>
              <w:jc w:val="center"/>
              <w:rPr>
                <w:rFonts w:ascii="Times New Roman" w:hAnsi="Times New Roman" w:cs="Times New Roman"/>
                <w:sz w:val="15"/>
                <w:szCs w:val="15"/>
              </w:rPr>
            </w:pPr>
            <w:r w:rsidRPr="00471CBA">
              <w:rPr>
                <w:rFonts w:ascii="Times New Roman" w:eastAsia="Calibri" w:hAnsi="Times New Roman" w:cs="Times New Roman"/>
                <w:b/>
                <w:sz w:val="15"/>
                <w:szCs w:val="15"/>
              </w:rPr>
              <w:t>IIRA</w:t>
            </w:r>
          </w:p>
        </w:tc>
      </w:tr>
      <w:tr w:rsidR="00F91828" w:rsidRPr="00471CBA" w14:paraId="366F037B" w14:textId="77777777" w:rsidTr="00F36B82">
        <w:trPr>
          <w:cantSplit/>
          <w:trHeight w:val="2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18CDB787" w14:textId="77777777" w:rsidR="00F91828" w:rsidRPr="00471CBA" w:rsidRDefault="00F91828" w:rsidP="00F36B82">
            <w:pPr>
              <w:rPr>
                <w:rFonts w:ascii="Times New Roman" w:hAnsi="Times New Roman" w:cs="Times New Roman"/>
                <w:b/>
                <w:sz w:val="15"/>
                <w:szCs w:val="15"/>
              </w:rPr>
            </w:pPr>
          </w:p>
        </w:tc>
        <w:tc>
          <w:tcPr>
            <w:tcW w:w="515" w:type="pct"/>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14:paraId="27066EC5" w14:textId="77777777" w:rsidR="00F91828" w:rsidRPr="00471CBA" w:rsidRDefault="00F91828" w:rsidP="00F36B82">
            <w:pPr>
              <w:ind w:left="351" w:right="113"/>
              <w:jc w:val="center"/>
              <w:rPr>
                <w:rFonts w:ascii="Times New Roman" w:hAnsi="Times New Roman" w:cs="Times New Roman"/>
                <w:b/>
                <w:sz w:val="15"/>
                <w:szCs w:val="15"/>
              </w:rPr>
            </w:pPr>
            <w:r w:rsidRPr="00471CBA">
              <w:rPr>
                <w:rFonts w:ascii="Times New Roman" w:hAnsi="Times New Roman" w:cs="Times New Roman"/>
                <w:b/>
                <w:sz w:val="15"/>
                <w:szCs w:val="15"/>
              </w:rPr>
              <w:t>Uzun vadeli kredi derecelendirmeleri</w:t>
            </w: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3CD432F0" w14:textId="77777777" w:rsidR="00F91828" w:rsidRPr="00471CBA" w:rsidRDefault="00F91828" w:rsidP="00F36B82">
            <w:pPr>
              <w:ind w:right="35"/>
              <w:jc w:val="center"/>
              <w:rPr>
                <w:rFonts w:ascii="Times New Roman" w:hAnsi="Times New Roman" w:cs="Times New Roman"/>
                <w:sz w:val="15"/>
                <w:szCs w:val="15"/>
              </w:rPr>
            </w:pPr>
            <w:r w:rsidRPr="00471CBA">
              <w:rPr>
                <w:rFonts w:ascii="Times New Roman" w:hAnsi="Times New Roman" w:cs="Times New Roman"/>
                <w:sz w:val="15"/>
                <w:szCs w:val="15"/>
              </w:rPr>
              <w:t>1</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33B303F2" w14:textId="77777777" w:rsidR="00F91828" w:rsidRPr="00471CBA" w:rsidRDefault="00F91828" w:rsidP="00F36B82">
            <w:pPr>
              <w:ind w:left="50"/>
              <w:jc w:val="center"/>
              <w:rPr>
                <w:rFonts w:ascii="Times New Roman" w:hAnsi="Times New Roman" w:cs="Times New Roman"/>
                <w:sz w:val="15"/>
                <w:szCs w:val="15"/>
              </w:rPr>
            </w:pPr>
            <w:r w:rsidRPr="00471CBA">
              <w:rPr>
                <w:rFonts w:ascii="Times New Roman" w:hAnsi="Times New Roman" w:cs="Times New Roman"/>
                <w:sz w:val="15"/>
                <w:szCs w:val="15"/>
              </w:rPr>
              <w:t xml:space="preserve">AAA ile AA-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75AB1DD2" w14:textId="77777777" w:rsidR="00F91828" w:rsidRPr="00471CBA" w:rsidRDefault="00F91828" w:rsidP="00F36B82">
            <w:pPr>
              <w:ind w:right="38"/>
              <w:jc w:val="center"/>
              <w:rPr>
                <w:rFonts w:ascii="Times New Roman" w:hAnsi="Times New Roman" w:cs="Times New Roman"/>
                <w:sz w:val="15"/>
                <w:szCs w:val="15"/>
              </w:rPr>
            </w:pPr>
            <w:proofErr w:type="spellStart"/>
            <w:r w:rsidRPr="00471CBA">
              <w:rPr>
                <w:rFonts w:ascii="Times New Roman" w:hAnsi="Times New Roman" w:cs="Times New Roman"/>
                <w:sz w:val="15"/>
                <w:szCs w:val="15"/>
              </w:rPr>
              <w:t>Aaa</w:t>
            </w:r>
            <w:proofErr w:type="spellEnd"/>
            <w:r w:rsidRPr="00471CBA">
              <w:rPr>
                <w:rFonts w:ascii="Times New Roman" w:hAnsi="Times New Roman" w:cs="Times New Roman"/>
                <w:sz w:val="15"/>
                <w:szCs w:val="15"/>
              </w:rPr>
              <w:t xml:space="preserve"> ile Aa3 </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40A4095C" w14:textId="77777777" w:rsidR="00F91828" w:rsidRPr="00471CBA" w:rsidRDefault="00F91828" w:rsidP="00F36B82">
            <w:pPr>
              <w:ind w:right="35"/>
              <w:jc w:val="center"/>
              <w:rPr>
                <w:rFonts w:ascii="Times New Roman" w:hAnsi="Times New Roman" w:cs="Times New Roman"/>
                <w:sz w:val="15"/>
                <w:szCs w:val="15"/>
              </w:rPr>
            </w:pPr>
            <w:r w:rsidRPr="00471CBA">
              <w:rPr>
                <w:rFonts w:ascii="Times New Roman" w:hAnsi="Times New Roman" w:cs="Times New Roman"/>
                <w:sz w:val="15"/>
                <w:szCs w:val="15"/>
              </w:rPr>
              <w:t xml:space="preserve">AAA ile AA-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7007E2DD" w14:textId="77777777" w:rsidR="00F91828" w:rsidRPr="00471CBA" w:rsidRDefault="00F91828" w:rsidP="00F36B82">
            <w:pPr>
              <w:ind w:right="39"/>
              <w:jc w:val="center"/>
              <w:rPr>
                <w:rFonts w:ascii="Times New Roman" w:hAnsi="Times New Roman" w:cs="Times New Roman"/>
                <w:sz w:val="15"/>
                <w:szCs w:val="15"/>
              </w:rPr>
            </w:pPr>
            <w:r w:rsidRPr="00471CBA">
              <w:rPr>
                <w:rFonts w:ascii="Times New Roman" w:hAnsi="Times New Roman" w:cs="Times New Roman"/>
                <w:sz w:val="15"/>
                <w:szCs w:val="15"/>
              </w:rPr>
              <w:t xml:space="preserve">AAA ile AA-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79972D52" w14:textId="77777777" w:rsidR="00F91828" w:rsidRPr="00471CBA" w:rsidRDefault="00F91828" w:rsidP="00F36B82">
            <w:pPr>
              <w:spacing w:line="256" w:lineRule="auto"/>
              <w:ind w:right="41"/>
              <w:jc w:val="center"/>
              <w:rPr>
                <w:rFonts w:ascii="Times New Roman" w:hAnsi="Times New Roman" w:cs="Times New Roman"/>
                <w:sz w:val="15"/>
                <w:szCs w:val="15"/>
              </w:rPr>
            </w:pPr>
            <w:r w:rsidRPr="00471CBA">
              <w:rPr>
                <w:rFonts w:ascii="Times New Roman" w:eastAsia="Calibri" w:hAnsi="Times New Roman" w:cs="Times New Roman"/>
                <w:sz w:val="15"/>
                <w:szCs w:val="15"/>
              </w:rPr>
              <w:t xml:space="preserve">AAA </w:t>
            </w:r>
            <w:r w:rsidRPr="00471CBA">
              <w:rPr>
                <w:rFonts w:ascii="Times New Roman" w:hAnsi="Times New Roman" w:cs="Times New Roman"/>
                <w:sz w:val="15"/>
                <w:szCs w:val="15"/>
              </w:rPr>
              <w:t>ile</w:t>
            </w:r>
            <w:r w:rsidRPr="00471CBA">
              <w:rPr>
                <w:rFonts w:ascii="Times New Roman" w:eastAsia="Calibri" w:hAnsi="Times New Roman" w:cs="Times New Roman"/>
                <w:sz w:val="15"/>
                <w:szCs w:val="15"/>
              </w:rPr>
              <w:t xml:space="preserve"> AA </w:t>
            </w:r>
          </w:p>
          <w:p w14:paraId="37B29881" w14:textId="77777777" w:rsidR="00F91828" w:rsidRPr="00471CBA" w:rsidRDefault="00F91828" w:rsidP="00F36B82">
            <w:pPr>
              <w:ind w:right="37"/>
              <w:jc w:val="center"/>
              <w:rPr>
                <w:rFonts w:ascii="Times New Roman" w:hAnsi="Times New Roman" w:cs="Times New Roman"/>
                <w:sz w:val="15"/>
                <w:szCs w:val="15"/>
              </w:rPr>
            </w:pPr>
            <w:r w:rsidRPr="00471CBA">
              <w:rPr>
                <w:rFonts w:ascii="Times New Roman" w:eastAsia="Calibri" w:hAnsi="Times New Roman" w:cs="Times New Roman"/>
                <w:sz w:val="15"/>
                <w:szCs w:val="15"/>
              </w:rPr>
              <w:t>(</w:t>
            </w:r>
            <w:r w:rsidRPr="00471CBA">
              <w:rPr>
                <w:rFonts w:ascii="Times New Roman" w:hAnsi="Times New Roman" w:cs="Times New Roman"/>
                <w:sz w:val="15"/>
                <w:szCs w:val="15"/>
              </w:rPr>
              <w:t>düşük</w:t>
            </w:r>
            <w:r w:rsidRPr="00471CBA">
              <w:rPr>
                <w:rFonts w:ascii="Times New Roman" w:eastAsia="Calibri" w:hAnsi="Times New Roman" w:cs="Times New Roman"/>
                <w:sz w:val="15"/>
                <w:szCs w:val="15"/>
              </w:rPr>
              <w:t xml:space="preserve">)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59914E20" w14:textId="77777777" w:rsidR="00F91828" w:rsidRPr="00471CBA" w:rsidRDefault="00F91828" w:rsidP="00F36B82">
            <w:pPr>
              <w:ind w:left="36"/>
              <w:jc w:val="center"/>
              <w:rPr>
                <w:rFonts w:ascii="Times New Roman" w:hAnsi="Times New Roman" w:cs="Times New Roman"/>
                <w:sz w:val="15"/>
                <w:szCs w:val="15"/>
              </w:rPr>
            </w:pPr>
            <w:r w:rsidRPr="00471CBA">
              <w:rPr>
                <w:rFonts w:ascii="Times New Roman" w:hAnsi="Times New Roman" w:cs="Times New Roman"/>
                <w:sz w:val="15"/>
                <w:szCs w:val="15"/>
              </w:rPr>
              <w:t xml:space="preserve">AAA ile AA- </w:t>
            </w:r>
          </w:p>
        </w:tc>
      </w:tr>
      <w:tr w:rsidR="00F91828" w:rsidRPr="00471CBA" w14:paraId="4AF8974D" w14:textId="77777777" w:rsidTr="00F36B82">
        <w:trPr>
          <w:cantSplit/>
          <w:trHeight w:val="2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5BE56810" w14:textId="77777777" w:rsidR="00F91828" w:rsidRPr="00471CBA" w:rsidRDefault="00F91828" w:rsidP="00F36B82">
            <w:pPr>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0AD61A9D" w14:textId="77777777" w:rsidR="00F91828" w:rsidRPr="00471CBA" w:rsidRDefault="00F91828" w:rsidP="00F36B82">
            <w:pPr>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52C7A29F" w14:textId="77777777" w:rsidR="00F91828" w:rsidRPr="00471CBA" w:rsidRDefault="00F91828" w:rsidP="00F36B82">
            <w:pPr>
              <w:ind w:right="35"/>
              <w:jc w:val="center"/>
              <w:rPr>
                <w:rFonts w:ascii="Times New Roman" w:hAnsi="Times New Roman" w:cs="Times New Roman"/>
                <w:sz w:val="15"/>
                <w:szCs w:val="15"/>
              </w:rPr>
            </w:pPr>
            <w:r w:rsidRPr="00471CBA">
              <w:rPr>
                <w:rFonts w:ascii="Times New Roman" w:hAnsi="Times New Roman" w:cs="Times New Roman"/>
                <w:sz w:val="15"/>
                <w:szCs w:val="15"/>
              </w:rPr>
              <w:t>2</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4FB68055" w14:textId="77777777" w:rsidR="00F91828" w:rsidRPr="00471CBA" w:rsidRDefault="00F91828" w:rsidP="00F36B82">
            <w:pPr>
              <w:ind w:right="39"/>
              <w:jc w:val="center"/>
              <w:rPr>
                <w:rFonts w:ascii="Times New Roman" w:hAnsi="Times New Roman" w:cs="Times New Roman"/>
                <w:sz w:val="15"/>
                <w:szCs w:val="15"/>
              </w:rPr>
            </w:pPr>
            <w:r w:rsidRPr="00471CBA">
              <w:rPr>
                <w:rFonts w:ascii="Times New Roman" w:hAnsi="Times New Roman" w:cs="Times New Roman"/>
                <w:sz w:val="15"/>
                <w:szCs w:val="15"/>
              </w:rPr>
              <w:t xml:space="preserve">A+ ile A-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27661D2A" w14:textId="77777777" w:rsidR="00F91828" w:rsidRPr="00471CBA" w:rsidRDefault="00F91828" w:rsidP="00F36B82">
            <w:pPr>
              <w:ind w:right="43"/>
              <w:jc w:val="center"/>
              <w:rPr>
                <w:rFonts w:ascii="Times New Roman" w:hAnsi="Times New Roman" w:cs="Times New Roman"/>
                <w:sz w:val="15"/>
                <w:szCs w:val="15"/>
              </w:rPr>
            </w:pPr>
            <w:r w:rsidRPr="00471CBA">
              <w:rPr>
                <w:rFonts w:ascii="Times New Roman" w:hAnsi="Times New Roman" w:cs="Times New Roman"/>
                <w:sz w:val="15"/>
                <w:szCs w:val="15"/>
              </w:rPr>
              <w:t xml:space="preserve">A1 ile A3 </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13799766" w14:textId="77777777" w:rsidR="00F91828" w:rsidRPr="00471CBA" w:rsidRDefault="00F91828" w:rsidP="00F36B82">
            <w:pPr>
              <w:ind w:right="37"/>
              <w:jc w:val="center"/>
              <w:rPr>
                <w:rFonts w:ascii="Times New Roman" w:hAnsi="Times New Roman" w:cs="Times New Roman"/>
                <w:sz w:val="15"/>
                <w:szCs w:val="15"/>
              </w:rPr>
            </w:pPr>
            <w:r w:rsidRPr="00471CBA">
              <w:rPr>
                <w:rFonts w:ascii="Times New Roman" w:hAnsi="Times New Roman" w:cs="Times New Roman"/>
                <w:sz w:val="15"/>
                <w:szCs w:val="15"/>
              </w:rPr>
              <w:t xml:space="preserve">A+ ile A-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3AB1CDF1" w14:textId="77777777" w:rsidR="00F91828" w:rsidRPr="00471CBA" w:rsidRDefault="00F91828" w:rsidP="00F36B82">
            <w:pPr>
              <w:ind w:right="37"/>
              <w:jc w:val="center"/>
              <w:rPr>
                <w:rFonts w:ascii="Times New Roman" w:hAnsi="Times New Roman" w:cs="Times New Roman"/>
                <w:sz w:val="15"/>
                <w:szCs w:val="15"/>
              </w:rPr>
            </w:pPr>
            <w:r w:rsidRPr="00471CBA">
              <w:rPr>
                <w:rFonts w:ascii="Times New Roman" w:hAnsi="Times New Roman" w:cs="Times New Roman"/>
                <w:sz w:val="15"/>
                <w:szCs w:val="15"/>
              </w:rPr>
              <w:t xml:space="preserve">A+ ile A-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52365EA2" w14:textId="77777777" w:rsidR="00F91828" w:rsidRPr="00471CBA" w:rsidRDefault="00F91828" w:rsidP="00F36B82">
            <w:pPr>
              <w:jc w:val="center"/>
              <w:rPr>
                <w:rFonts w:ascii="Times New Roman" w:hAnsi="Times New Roman" w:cs="Times New Roman"/>
                <w:sz w:val="15"/>
                <w:szCs w:val="15"/>
              </w:rPr>
            </w:pPr>
            <w:r w:rsidRPr="00471CBA">
              <w:rPr>
                <w:rFonts w:ascii="Times New Roman" w:eastAsia="Calibri" w:hAnsi="Times New Roman" w:cs="Times New Roman"/>
                <w:sz w:val="15"/>
                <w:szCs w:val="15"/>
              </w:rPr>
              <w:t>A (</w:t>
            </w:r>
            <w:r w:rsidRPr="00471CBA">
              <w:rPr>
                <w:rFonts w:ascii="Times New Roman" w:hAnsi="Times New Roman" w:cs="Times New Roman"/>
                <w:sz w:val="15"/>
                <w:szCs w:val="15"/>
              </w:rPr>
              <w:t>yüksek</w:t>
            </w:r>
            <w:r w:rsidRPr="00471CBA">
              <w:rPr>
                <w:rFonts w:ascii="Times New Roman" w:eastAsia="Calibri" w:hAnsi="Times New Roman" w:cs="Times New Roman"/>
                <w:sz w:val="15"/>
                <w:szCs w:val="15"/>
              </w:rPr>
              <w:t>)</w:t>
            </w:r>
            <w:r w:rsidRPr="00471CBA">
              <w:rPr>
                <w:rFonts w:ascii="Times New Roman" w:hAnsi="Times New Roman" w:cs="Times New Roman"/>
                <w:sz w:val="15"/>
                <w:szCs w:val="15"/>
              </w:rPr>
              <w:t xml:space="preserve"> ile</w:t>
            </w:r>
            <w:r w:rsidRPr="00471CBA">
              <w:rPr>
                <w:rFonts w:ascii="Times New Roman" w:eastAsia="Calibri" w:hAnsi="Times New Roman" w:cs="Times New Roman"/>
                <w:sz w:val="15"/>
                <w:szCs w:val="15"/>
              </w:rPr>
              <w:t xml:space="preserve"> A (</w:t>
            </w:r>
            <w:r w:rsidRPr="00471CBA">
              <w:rPr>
                <w:rFonts w:ascii="Times New Roman" w:hAnsi="Times New Roman" w:cs="Times New Roman"/>
                <w:sz w:val="15"/>
                <w:szCs w:val="15"/>
              </w:rPr>
              <w:t>düşük</w:t>
            </w:r>
            <w:r w:rsidRPr="00471CBA">
              <w:rPr>
                <w:rFonts w:ascii="Times New Roman" w:eastAsia="Calibri" w:hAnsi="Times New Roman" w:cs="Times New Roman"/>
                <w:sz w:val="15"/>
                <w:szCs w:val="15"/>
              </w:rPr>
              <w:t xml:space="preserve">)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0AD93CA7" w14:textId="77777777" w:rsidR="00F91828" w:rsidRPr="00471CBA" w:rsidRDefault="00F91828" w:rsidP="00F36B82">
            <w:pPr>
              <w:ind w:right="42"/>
              <w:jc w:val="center"/>
              <w:rPr>
                <w:rFonts w:ascii="Times New Roman" w:hAnsi="Times New Roman" w:cs="Times New Roman"/>
                <w:sz w:val="15"/>
                <w:szCs w:val="15"/>
              </w:rPr>
            </w:pPr>
            <w:r w:rsidRPr="00471CBA">
              <w:rPr>
                <w:rFonts w:ascii="Times New Roman" w:hAnsi="Times New Roman" w:cs="Times New Roman"/>
                <w:sz w:val="15"/>
                <w:szCs w:val="15"/>
              </w:rPr>
              <w:t xml:space="preserve">A+ ile A- </w:t>
            </w:r>
          </w:p>
        </w:tc>
      </w:tr>
      <w:tr w:rsidR="00F91828" w:rsidRPr="00471CBA" w14:paraId="2DCE0D6C" w14:textId="77777777" w:rsidTr="00F36B82">
        <w:trPr>
          <w:cantSplit/>
          <w:trHeight w:val="2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3DD14D80" w14:textId="77777777" w:rsidR="00F91828" w:rsidRPr="00471CBA" w:rsidRDefault="00F91828" w:rsidP="00F36B82">
            <w:pPr>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2196E9E3" w14:textId="77777777" w:rsidR="00F91828" w:rsidRPr="00471CBA" w:rsidRDefault="00F91828" w:rsidP="00F36B82">
            <w:pPr>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359780C2" w14:textId="77777777" w:rsidR="00F91828" w:rsidRPr="00471CBA" w:rsidRDefault="00F91828" w:rsidP="00F36B82">
            <w:pPr>
              <w:ind w:right="35"/>
              <w:jc w:val="center"/>
              <w:rPr>
                <w:rFonts w:ascii="Times New Roman" w:hAnsi="Times New Roman" w:cs="Times New Roman"/>
                <w:sz w:val="15"/>
                <w:szCs w:val="15"/>
              </w:rPr>
            </w:pPr>
            <w:r w:rsidRPr="00471CBA">
              <w:rPr>
                <w:rFonts w:ascii="Times New Roman" w:hAnsi="Times New Roman" w:cs="Times New Roman"/>
                <w:sz w:val="15"/>
                <w:szCs w:val="15"/>
              </w:rPr>
              <w:t>3</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10335D68" w14:textId="77777777" w:rsidR="00F91828" w:rsidRPr="00471CBA" w:rsidRDefault="00F91828" w:rsidP="00F36B82">
            <w:pPr>
              <w:jc w:val="center"/>
              <w:rPr>
                <w:rFonts w:ascii="Times New Roman" w:hAnsi="Times New Roman" w:cs="Times New Roman"/>
                <w:sz w:val="15"/>
                <w:szCs w:val="15"/>
              </w:rPr>
            </w:pPr>
            <w:r w:rsidRPr="00471CBA">
              <w:rPr>
                <w:rFonts w:ascii="Times New Roman" w:hAnsi="Times New Roman" w:cs="Times New Roman"/>
                <w:sz w:val="15"/>
                <w:szCs w:val="15"/>
              </w:rPr>
              <w:t xml:space="preserve">BBB+ ile BBB-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1D932AD6" w14:textId="77777777" w:rsidR="00F91828" w:rsidRPr="00471CBA" w:rsidRDefault="00F91828" w:rsidP="00F36B82">
            <w:pPr>
              <w:ind w:right="38"/>
              <w:jc w:val="center"/>
              <w:rPr>
                <w:rFonts w:ascii="Times New Roman" w:hAnsi="Times New Roman" w:cs="Times New Roman"/>
                <w:sz w:val="15"/>
                <w:szCs w:val="15"/>
              </w:rPr>
            </w:pPr>
            <w:r w:rsidRPr="00471CBA">
              <w:rPr>
                <w:rFonts w:ascii="Times New Roman" w:hAnsi="Times New Roman" w:cs="Times New Roman"/>
                <w:sz w:val="15"/>
                <w:szCs w:val="15"/>
              </w:rPr>
              <w:t xml:space="preserve">Baa1 ile Baa3 </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31DF153B" w14:textId="77777777" w:rsidR="00F91828" w:rsidRPr="00471CBA" w:rsidRDefault="00F91828" w:rsidP="00F36B82">
            <w:pPr>
              <w:ind w:left="46"/>
              <w:jc w:val="center"/>
              <w:rPr>
                <w:rFonts w:ascii="Times New Roman" w:hAnsi="Times New Roman" w:cs="Times New Roman"/>
                <w:sz w:val="15"/>
                <w:szCs w:val="15"/>
              </w:rPr>
            </w:pPr>
            <w:r w:rsidRPr="00471CBA">
              <w:rPr>
                <w:rFonts w:ascii="Times New Roman" w:hAnsi="Times New Roman" w:cs="Times New Roman"/>
                <w:sz w:val="15"/>
                <w:szCs w:val="15"/>
              </w:rPr>
              <w:t xml:space="preserve">BBB+ ile BBB-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563E48D5" w14:textId="77777777" w:rsidR="00F91828" w:rsidRPr="00471CBA" w:rsidRDefault="00F91828" w:rsidP="00F36B82">
            <w:pPr>
              <w:ind w:left="2"/>
              <w:jc w:val="center"/>
              <w:rPr>
                <w:rFonts w:ascii="Times New Roman" w:hAnsi="Times New Roman" w:cs="Times New Roman"/>
                <w:sz w:val="15"/>
                <w:szCs w:val="15"/>
              </w:rPr>
            </w:pPr>
            <w:r w:rsidRPr="00471CBA">
              <w:rPr>
                <w:rFonts w:ascii="Times New Roman" w:hAnsi="Times New Roman" w:cs="Times New Roman"/>
                <w:sz w:val="15"/>
                <w:szCs w:val="15"/>
              </w:rPr>
              <w:t xml:space="preserve">BBB+ ile BBB-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2E7CE966" w14:textId="77777777" w:rsidR="00F91828" w:rsidRPr="00471CBA" w:rsidRDefault="00F91828" w:rsidP="00F36B82">
            <w:pPr>
              <w:ind w:left="26" w:right="27"/>
              <w:jc w:val="center"/>
              <w:rPr>
                <w:rFonts w:ascii="Times New Roman" w:hAnsi="Times New Roman" w:cs="Times New Roman"/>
                <w:sz w:val="15"/>
                <w:szCs w:val="15"/>
              </w:rPr>
            </w:pPr>
            <w:r w:rsidRPr="00471CBA">
              <w:rPr>
                <w:rFonts w:ascii="Times New Roman" w:eastAsia="Calibri" w:hAnsi="Times New Roman" w:cs="Times New Roman"/>
                <w:sz w:val="15"/>
                <w:szCs w:val="15"/>
              </w:rPr>
              <w:t>BBB (</w:t>
            </w:r>
            <w:r w:rsidRPr="00471CBA">
              <w:rPr>
                <w:rFonts w:ascii="Times New Roman" w:hAnsi="Times New Roman" w:cs="Times New Roman"/>
                <w:sz w:val="15"/>
                <w:szCs w:val="15"/>
              </w:rPr>
              <w:t>yüksek</w:t>
            </w:r>
            <w:r w:rsidRPr="00471CBA">
              <w:rPr>
                <w:rFonts w:ascii="Times New Roman" w:eastAsia="Calibri" w:hAnsi="Times New Roman" w:cs="Times New Roman"/>
                <w:sz w:val="15"/>
                <w:szCs w:val="15"/>
              </w:rPr>
              <w:t>)</w:t>
            </w:r>
            <w:r w:rsidRPr="00471CBA">
              <w:rPr>
                <w:rFonts w:ascii="Times New Roman" w:hAnsi="Times New Roman" w:cs="Times New Roman"/>
                <w:sz w:val="15"/>
                <w:szCs w:val="15"/>
              </w:rPr>
              <w:t xml:space="preserve"> ile</w:t>
            </w:r>
            <w:r w:rsidRPr="00471CBA">
              <w:rPr>
                <w:rFonts w:ascii="Times New Roman" w:eastAsia="Calibri" w:hAnsi="Times New Roman" w:cs="Times New Roman"/>
                <w:sz w:val="15"/>
                <w:szCs w:val="15"/>
              </w:rPr>
              <w:t xml:space="preserve"> BBB (</w:t>
            </w:r>
            <w:r w:rsidRPr="00471CBA">
              <w:rPr>
                <w:rFonts w:ascii="Times New Roman" w:hAnsi="Times New Roman" w:cs="Times New Roman"/>
                <w:sz w:val="15"/>
                <w:szCs w:val="15"/>
              </w:rPr>
              <w:t>düşük</w:t>
            </w:r>
            <w:r w:rsidRPr="00471CBA">
              <w:rPr>
                <w:rFonts w:ascii="Times New Roman" w:eastAsia="Calibri" w:hAnsi="Times New Roman" w:cs="Times New Roman"/>
                <w:sz w:val="15"/>
                <w:szCs w:val="15"/>
              </w:rPr>
              <w:t xml:space="preserve">)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0912B59D" w14:textId="77777777" w:rsidR="00F91828" w:rsidRPr="00471CBA" w:rsidRDefault="00F91828" w:rsidP="00F36B82">
            <w:pPr>
              <w:jc w:val="center"/>
              <w:rPr>
                <w:rFonts w:ascii="Times New Roman" w:hAnsi="Times New Roman" w:cs="Times New Roman"/>
                <w:sz w:val="15"/>
                <w:szCs w:val="15"/>
              </w:rPr>
            </w:pPr>
            <w:r w:rsidRPr="00471CBA">
              <w:rPr>
                <w:rFonts w:ascii="Times New Roman" w:hAnsi="Times New Roman" w:cs="Times New Roman"/>
                <w:sz w:val="15"/>
                <w:szCs w:val="15"/>
              </w:rPr>
              <w:t xml:space="preserve">BBB+ ile BBB- </w:t>
            </w:r>
          </w:p>
        </w:tc>
      </w:tr>
      <w:tr w:rsidR="00F91828" w:rsidRPr="00471CBA" w14:paraId="2DDE2ECC" w14:textId="77777777" w:rsidTr="00F36B82">
        <w:trPr>
          <w:cantSplit/>
          <w:trHeight w:val="2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54E5A35A" w14:textId="77777777" w:rsidR="00F91828" w:rsidRPr="00471CBA" w:rsidRDefault="00F91828" w:rsidP="00F36B82">
            <w:pPr>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08B8999A" w14:textId="77777777" w:rsidR="00F91828" w:rsidRPr="00471CBA" w:rsidRDefault="00F91828" w:rsidP="00F36B82">
            <w:pPr>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2CE95D9F" w14:textId="77777777" w:rsidR="00F91828" w:rsidRPr="00471CBA" w:rsidRDefault="00F91828" w:rsidP="00F36B82">
            <w:pPr>
              <w:ind w:right="35"/>
              <w:jc w:val="center"/>
              <w:rPr>
                <w:rFonts w:ascii="Times New Roman" w:hAnsi="Times New Roman" w:cs="Times New Roman"/>
                <w:sz w:val="15"/>
                <w:szCs w:val="15"/>
              </w:rPr>
            </w:pPr>
            <w:r w:rsidRPr="00471CBA">
              <w:rPr>
                <w:rFonts w:ascii="Times New Roman" w:hAnsi="Times New Roman" w:cs="Times New Roman"/>
                <w:sz w:val="15"/>
                <w:szCs w:val="15"/>
              </w:rPr>
              <w:t>4</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0FB96AD7" w14:textId="77777777" w:rsidR="00F91828" w:rsidRPr="00471CBA" w:rsidRDefault="00F91828" w:rsidP="00F36B82">
            <w:pPr>
              <w:ind w:right="37"/>
              <w:jc w:val="center"/>
              <w:rPr>
                <w:rFonts w:ascii="Times New Roman" w:hAnsi="Times New Roman" w:cs="Times New Roman"/>
                <w:sz w:val="15"/>
                <w:szCs w:val="15"/>
              </w:rPr>
            </w:pPr>
            <w:r w:rsidRPr="00471CBA">
              <w:rPr>
                <w:rFonts w:ascii="Times New Roman" w:hAnsi="Times New Roman" w:cs="Times New Roman"/>
                <w:sz w:val="15"/>
                <w:szCs w:val="15"/>
              </w:rPr>
              <w:t xml:space="preserve">BB+ ile BB-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574477EC" w14:textId="77777777" w:rsidR="00F91828" w:rsidRPr="00471CBA" w:rsidRDefault="00F91828" w:rsidP="00F36B82">
            <w:pPr>
              <w:ind w:right="40"/>
              <w:jc w:val="center"/>
              <w:rPr>
                <w:rFonts w:ascii="Times New Roman" w:hAnsi="Times New Roman" w:cs="Times New Roman"/>
                <w:sz w:val="15"/>
                <w:szCs w:val="15"/>
              </w:rPr>
            </w:pPr>
            <w:r w:rsidRPr="00471CBA">
              <w:rPr>
                <w:rFonts w:ascii="Times New Roman" w:hAnsi="Times New Roman" w:cs="Times New Roman"/>
                <w:sz w:val="15"/>
                <w:szCs w:val="15"/>
              </w:rPr>
              <w:t xml:space="preserve">Ba1 ile Ba3 </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78B96CF3" w14:textId="77777777" w:rsidR="00F91828" w:rsidRPr="00471CBA" w:rsidRDefault="00F91828" w:rsidP="00F36B82">
            <w:pPr>
              <w:ind w:right="35"/>
              <w:jc w:val="center"/>
              <w:rPr>
                <w:rFonts w:ascii="Times New Roman" w:hAnsi="Times New Roman" w:cs="Times New Roman"/>
                <w:sz w:val="15"/>
                <w:szCs w:val="15"/>
              </w:rPr>
            </w:pPr>
            <w:r w:rsidRPr="00471CBA">
              <w:rPr>
                <w:rFonts w:ascii="Times New Roman" w:hAnsi="Times New Roman" w:cs="Times New Roman"/>
                <w:sz w:val="15"/>
                <w:szCs w:val="15"/>
              </w:rPr>
              <w:t xml:space="preserve">BB+ ile BB-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7C95ACC5" w14:textId="77777777" w:rsidR="00F91828" w:rsidRPr="00471CBA" w:rsidRDefault="00F91828" w:rsidP="00F36B82">
            <w:pPr>
              <w:ind w:right="35"/>
              <w:jc w:val="center"/>
              <w:rPr>
                <w:rFonts w:ascii="Times New Roman" w:hAnsi="Times New Roman" w:cs="Times New Roman"/>
                <w:sz w:val="15"/>
                <w:szCs w:val="15"/>
              </w:rPr>
            </w:pPr>
            <w:r w:rsidRPr="00471CBA">
              <w:rPr>
                <w:rFonts w:ascii="Times New Roman" w:hAnsi="Times New Roman" w:cs="Times New Roman"/>
                <w:sz w:val="15"/>
                <w:szCs w:val="15"/>
              </w:rPr>
              <w:t xml:space="preserve">BB+ ile BB-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15120392" w14:textId="77777777" w:rsidR="00F91828" w:rsidRPr="00471CBA" w:rsidRDefault="00F91828" w:rsidP="00F36B82">
            <w:pPr>
              <w:jc w:val="center"/>
              <w:rPr>
                <w:rFonts w:ascii="Times New Roman" w:hAnsi="Times New Roman" w:cs="Times New Roman"/>
                <w:sz w:val="15"/>
                <w:szCs w:val="15"/>
              </w:rPr>
            </w:pPr>
            <w:r w:rsidRPr="00471CBA">
              <w:rPr>
                <w:rFonts w:ascii="Times New Roman" w:eastAsia="Calibri" w:hAnsi="Times New Roman" w:cs="Times New Roman"/>
                <w:sz w:val="15"/>
                <w:szCs w:val="15"/>
              </w:rPr>
              <w:t>BB (</w:t>
            </w:r>
            <w:r w:rsidRPr="00471CBA">
              <w:rPr>
                <w:rFonts w:ascii="Times New Roman" w:hAnsi="Times New Roman" w:cs="Times New Roman"/>
                <w:sz w:val="15"/>
                <w:szCs w:val="15"/>
              </w:rPr>
              <w:t>yüksek</w:t>
            </w:r>
            <w:r w:rsidRPr="00471CBA">
              <w:rPr>
                <w:rFonts w:ascii="Times New Roman" w:eastAsia="Calibri" w:hAnsi="Times New Roman" w:cs="Times New Roman"/>
                <w:sz w:val="15"/>
                <w:szCs w:val="15"/>
              </w:rPr>
              <w:t>)</w:t>
            </w:r>
            <w:r w:rsidRPr="00471CBA">
              <w:rPr>
                <w:rFonts w:ascii="Times New Roman" w:hAnsi="Times New Roman" w:cs="Times New Roman"/>
                <w:sz w:val="15"/>
                <w:szCs w:val="15"/>
              </w:rPr>
              <w:t xml:space="preserve"> ile</w:t>
            </w:r>
            <w:r w:rsidRPr="00471CBA">
              <w:rPr>
                <w:rFonts w:ascii="Times New Roman" w:eastAsia="Calibri" w:hAnsi="Times New Roman" w:cs="Times New Roman"/>
                <w:sz w:val="15"/>
                <w:szCs w:val="15"/>
              </w:rPr>
              <w:t xml:space="preserve"> BB (</w:t>
            </w:r>
            <w:r w:rsidRPr="00471CBA">
              <w:rPr>
                <w:rFonts w:ascii="Times New Roman" w:hAnsi="Times New Roman" w:cs="Times New Roman"/>
                <w:sz w:val="15"/>
                <w:szCs w:val="15"/>
              </w:rPr>
              <w:t>düşük</w:t>
            </w:r>
            <w:r w:rsidRPr="00471CBA">
              <w:rPr>
                <w:rFonts w:ascii="Times New Roman" w:eastAsia="Calibri" w:hAnsi="Times New Roman" w:cs="Times New Roman"/>
                <w:sz w:val="15"/>
                <w:szCs w:val="15"/>
              </w:rPr>
              <w:t xml:space="preserve">)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6F1FB135" w14:textId="77777777" w:rsidR="00F91828" w:rsidRPr="00471CBA" w:rsidRDefault="00F91828" w:rsidP="00F36B82">
            <w:pPr>
              <w:ind w:right="39"/>
              <w:jc w:val="center"/>
              <w:rPr>
                <w:rFonts w:ascii="Times New Roman" w:hAnsi="Times New Roman" w:cs="Times New Roman"/>
                <w:sz w:val="15"/>
                <w:szCs w:val="15"/>
              </w:rPr>
            </w:pPr>
            <w:r w:rsidRPr="00471CBA">
              <w:rPr>
                <w:rFonts w:ascii="Times New Roman" w:hAnsi="Times New Roman" w:cs="Times New Roman"/>
                <w:sz w:val="15"/>
                <w:szCs w:val="15"/>
              </w:rPr>
              <w:t xml:space="preserve">BB+ ile BB- </w:t>
            </w:r>
          </w:p>
        </w:tc>
      </w:tr>
      <w:tr w:rsidR="00F91828" w:rsidRPr="00471CBA" w14:paraId="0F9E5063" w14:textId="77777777" w:rsidTr="00F36B82">
        <w:trPr>
          <w:cantSplit/>
          <w:trHeight w:val="2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3FB61B5B" w14:textId="77777777" w:rsidR="00F91828" w:rsidRPr="00471CBA" w:rsidRDefault="00F91828" w:rsidP="00F36B82">
            <w:pPr>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48444454" w14:textId="77777777" w:rsidR="00F91828" w:rsidRPr="00471CBA" w:rsidRDefault="00F91828" w:rsidP="00F36B82">
            <w:pPr>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7DFE3549" w14:textId="77777777" w:rsidR="00F91828" w:rsidRPr="00471CBA" w:rsidRDefault="00F91828" w:rsidP="00F36B82">
            <w:pPr>
              <w:ind w:right="35"/>
              <w:jc w:val="center"/>
              <w:rPr>
                <w:rFonts w:ascii="Times New Roman" w:hAnsi="Times New Roman" w:cs="Times New Roman"/>
                <w:sz w:val="15"/>
                <w:szCs w:val="15"/>
              </w:rPr>
            </w:pPr>
            <w:r w:rsidRPr="00471CBA">
              <w:rPr>
                <w:rFonts w:ascii="Times New Roman" w:hAnsi="Times New Roman" w:cs="Times New Roman"/>
                <w:sz w:val="15"/>
                <w:szCs w:val="15"/>
              </w:rPr>
              <w:t>5</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1C4F2B81" w14:textId="77777777" w:rsidR="00F91828" w:rsidRPr="00471CBA" w:rsidRDefault="00F91828" w:rsidP="00F36B82">
            <w:pPr>
              <w:ind w:right="32"/>
              <w:jc w:val="center"/>
              <w:rPr>
                <w:rFonts w:ascii="Times New Roman" w:hAnsi="Times New Roman" w:cs="Times New Roman"/>
                <w:sz w:val="15"/>
                <w:szCs w:val="15"/>
              </w:rPr>
            </w:pPr>
            <w:r w:rsidRPr="00471CBA">
              <w:rPr>
                <w:rFonts w:ascii="Times New Roman" w:hAnsi="Times New Roman" w:cs="Times New Roman"/>
                <w:sz w:val="15"/>
                <w:szCs w:val="15"/>
              </w:rPr>
              <w:t xml:space="preserve">B+ ile B-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2444C29D" w14:textId="77777777" w:rsidR="00F91828" w:rsidRPr="00471CBA" w:rsidRDefault="00F91828" w:rsidP="00F36B82">
            <w:pPr>
              <w:ind w:right="37"/>
              <w:jc w:val="center"/>
              <w:rPr>
                <w:rFonts w:ascii="Times New Roman" w:hAnsi="Times New Roman" w:cs="Times New Roman"/>
                <w:sz w:val="15"/>
                <w:szCs w:val="15"/>
              </w:rPr>
            </w:pPr>
            <w:r w:rsidRPr="00471CBA">
              <w:rPr>
                <w:rFonts w:ascii="Times New Roman" w:hAnsi="Times New Roman" w:cs="Times New Roman"/>
                <w:sz w:val="15"/>
                <w:szCs w:val="15"/>
              </w:rPr>
              <w:t xml:space="preserve">B1 ile B3 </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7CEAD733" w14:textId="77777777" w:rsidR="00F91828" w:rsidRPr="00471CBA" w:rsidRDefault="00F91828" w:rsidP="00F36B82">
            <w:pPr>
              <w:ind w:right="30"/>
              <w:jc w:val="center"/>
              <w:rPr>
                <w:rFonts w:ascii="Times New Roman" w:hAnsi="Times New Roman" w:cs="Times New Roman"/>
                <w:sz w:val="15"/>
                <w:szCs w:val="15"/>
              </w:rPr>
            </w:pPr>
            <w:r w:rsidRPr="00471CBA">
              <w:rPr>
                <w:rFonts w:ascii="Times New Roman" w:hAnsi="Times New Roman" w:cs="Times New Roman"/>
                <w:sz w:val="15"/>
                <w:szCs w:val="15"/>
              </w:rPr>
              <w:t xml:space="preserve">B+ ile B-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584EBB62" w14:textId="77777777" w:rsidR="00F91828" w:rsidRPr="00471CBA" w:rsidRDefault="00F91828" w:rsidP="00F36B82">
            <w:pPr>
              <w:ind w:right="35"/>
              <w:jc w:val="center"/>
              <w:rPr>
                <w:rFonts w:ascii="Times New Roman" w:hAnsi="Times New Roman" w:cs="Times New Roman"/>
                <w:sz w:val="15"/>
                <w:szCs w:val="15"/>
              </w:rPr>
            </w:pPr>
            <w:r w:rsidRPr="00471CBA">
              <w:rPr>
                <w:rFonts w:ascii="Times New Roman" w:hAnsi="Times New Roman" w:cs="Times New Roman"/>
                <w:sz w:val="15"/>
                <w:szCs w:val="15"/>
              </w:rPr>
              <w:t xml:space="preserve">B+ ile B-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5F77822E" w14:textId="77777777" w:rsidR="00F91828" w:rsidRPr="00471CBA" w:rsidRDefault="00F91828" w:rsidP="00F36B82">
            <w:pPr>
              <w:jc w:val="center"/>
              <w:rPr>
                <w:rFonts w:ascii="Times New Roman" w:hAnsi="Times New Roman" w:cs="Times New Roman"/>
                <w:sz w:val="15"/>
                <w:szCs w:val="15"/>
              </w:rPr>
            </w:pPr>
            <w:r w:rsidRPr="00471CBA">
              <w:rPr>
                <w:rFonts w:ascii="Times New Roman" w:eastAsia="Calibri" w:hAnsi="Times New Roman" w:cs="Times New Roman"/>
                <w:sz w:val="15"/>
                <w:szCs w:val="15"/>
              </w:rPr>
              <w:t>B (</w:t>
            </w:r>
            <w:r w:rsidRPr="00471CBA">
              <w:rPr>
                <w:rFonts w:ascii="Times New Roman" w:hAnsi="Times New Roman" w:cs="Times New Roman"/>
                <w:sz w:val="15"/>
                <w:szCs w:val="15"/>
              </w:rPr>
              <w:t>yüksek</w:t>
            </w:r>
            <w:r w:rsidRPr="00471CBA">
              <w:rPr>
                <w:rFonts w:ascii="Times New Roman" w:eastAsia="Calibri" w:hAnsi="Times New Roman" w:cs="Times New Roman"/>
                <w:sz w:val="15"/>
                <w:szCs w:val="15"/>
              </w:rPr>
              <w:t xml:space="preserve">) </w:t>
            </w:r>
            <w:r w:rsidRPr="00471CBA">
              <w:rPr>
                <w:rFonts w:ascii="Times New Roman" w:hAnsi="Times New Roman" w:cs="Times New Roman"/>
                <w:sz w:val="15"/>
                <w:szCs w:val="15"/>
              </w:rPr>
              <w:t>ile</w:t>
            </w:r>
            <w:r w:rsidRPr="00471CBA">
              <w:rPr>
                <w:rFonts w:ascii="Times New Roman" w:eastAsia="Calibri" w:hAnsi="Times New Roman" w:cs="Times New Roman"/>
                <w:sz w:val="15"/>
                <w:szCs w:val="15"/>
              </w:rPr>
              <w:t xml:space="preserve"> B (</w:t>
            </w:r>
            <w:r w:rsidRPr="00471CBA">
              <w:rPr>
                <w:rFonts w:ascii="Times New Roman" w:hAnsi="Times New Roman" w:cs="Times New Roman"/>
                <w:sz w:val="15"/>
                <w:szCs w:val="15"/>
              </w:rPr>
              <w:t>düşük</w:t>
            </w:r>
            <w:r w:rsidRPr="00471CBA">
              <w:rPr>
                <w:rFonts w:ascii="Times New Roman" w:eastAsia="Calibri" w:hAnsi="Times New Roman" w:cs="Times New Roman"/>
                <w:sz w:val="15"/>
                <w:szCs w:val="15"/>
              </w:rPr>
              <w:t xml:space="preserve">)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06CA07EA" w14:textId="77777777" w:rsidR="00F91828" w:rsidRPr="00471CBA" w:rsidRDefault="00F91828" w:rsidP="00F36B82">
            <w:pPr>
              <w:ind w:right="35"/>
              <w:jc w:val="center"/>
              <w:rPr>
                <w:rFonts w:ascii="Times New Roman" w:hAnsi="Times New Roman" w:cs="Times New Roman"/>
                <w:sz w:val="15"/>
                <w:szCs w:val="15"/>
              </w:rPr>
            </w:pPr>
            <w:r w:rsidRPr="00471CBA">
              <w:rPr>
                <w:rFonts w:ascii="Times New Roman" w:hAnsi="Times New Roman" w:cs="Times New Roman"/>
                <w:sz w:val="15"/>
                <w:szCs w:val="15"/>
              </w:rPr>
              <w:t xml:space="preserve">B+ ile B- </w:t>
            </w:r>
          </w:p>
        </w:tc>
      </w:tr>
      <w:tr w:rsidR="00F91828" w:rsidRPr="00471CBA" w14:paraId="395914F9" w14:textId="77777777" w:rsidTr="00F36B82">
        <w:trPr>
          <w:cantSplit/>
          <w:trHeight w:val="2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477E982B" w14:textId="77777777" w:rsidR="00F91828" w:rsidRPr="00471CBA" w:rsidRDefault="00F91828" w:rsidP="00F36B82">
            <w:pPr>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5EA077EB" w14:textId="77777777" w:rsidR="00F91828" w:rsidRPr="00471CBA" w:rsidRDefault="00F91828" w:rsidP="00F36B82">
            <w:pPr>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4D256B74" w14:textId="77777777" w:rsidR="00F91828" w:rsidRPr="00471CBA" w:rsidRDefault="00F91828" w:rsidP="00F36B82">
            <w:pPr>
              <w:ind w:right="35"/>
              <w:jc w:val="center"/>
              <w:rPr>
                <w:rFonts w:ascii="Times New Roman" w:hAnsi="Times New Roman" w:cs="Times New Roman"/>
                <w:sz w:val="15"/>
                <w:szCs w:val="15"/>
              </w:rPr>
            </w:pPr>
            <w:r w:rsidRPr="00471CBA">
              <w:rPr>
                <w:rFonts w:ascii="Times New Roman" w:hAnsi="Times New Roman" w:cs="Times New Roman"/>
                <w:sz w:val="15"/>
                <w:szCs w:val="15"/>
              </w:rPr>
              <w:t>6</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2F982F5D" w14:textId="77777777" w:rsidR="00F91828" w:rsidRPr="00471CBA" w:rsidRDefault="00F91828" w:rsidP="00F36B82">
            <w:pPr>
              <w:jc w:val="center"/>
              <w:rPr>
                <w:rFonts w:ascii="Times New Roman" w:hAnsi="Times New Roman" w:cs="Times New Roman"/>
                <w:sz w:val="15"/>
                <w:szCs w:val="15"/>
              </w:rPr>
            </w:pPr>
            <w:r w:rsidRPr="00471CBA">
              <w:rPr>
                <w:rFonts w:ascii="Times New Roman" w:hAnsi="Times New Roman" w:cs="Times New Roman"/>
                <w:sz w:val="15"/>
                <w:szCs w:val="15"/>
              </w:rPr>
              <w:t xml:space="preserve">CCC+ ve aşağısı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7C5DBDAD" w14:textId="77777777" w:rsidR="00F91828" w:rsidRPr="00471CBA" w:rsidRDefault="00F91828" w:rsidP="00F36B82">
            <w:pPr>
              <w:ind w:right="40"/>
              <w:jc w:val="center"/>
              <w:rPr>
                <w:rFonts w:ascii="Times New Roman" w:hAnsi="Times New Roman" w:cs="Times New Roman"/>
                <w:sz w:val="15"/>
                <w:szCs w:val="15"/>
              </w:rPr>
            </w:pPr>
            <w:r w:rsidRPr="00471CBA">
              <w:rPr>
                <w:rFonts w:ascii="Times New Roman" w:hAnsi="Times New Roman" w:cs="Times New Roman"/>
                <w:sz w:val="15"/>
                <w:szCs w:val="15"/>
              </w:rPr>
              <w:t xml:space="preserve">Caa1 ve aşağısı </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33428D36" w14:textId="77777777" w:rsidR="00F91828" w:rsidRPr="00471CBA" w:rsidRDefault="00F91828" w:rsidP="00F36B82">
            <w:pPr>
              <w:ind w:left="19"/>
              <w:jc w:val="center"/>
              <w:rPr>
                <w:rFonts w:ascii="Times New Roman" w:hAnsi="Times New Roman" w:cs="Times New Roman"/>
                <w:sz w:val="15"/>
                <w:szCs w:val="15"/>
              </w:rPr>
            </w:pPr>
            <w:r w:rsidRPr="00471CBA">
              <w:rPr>
                <w:rFonts w:ascii="Times New Roman" w:hAnsi="Times New Roman" w:cs="Times New Roman"/>
                <w:sz w:val="15"/>
                <w:szCs w:val="15"/>
              </w:rPr>
              <w:t xml:space="preserve">CCC+ ve aşağısı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1B3011BC" w14:textId="77777777" w:rsidR="00F91828" w:rsidRPr="00471CBA" w:rsidRDefault="00F91828" w:rsidP="00F36B82">
            <w:pPr>
              <w:ind w:left="22"/>
              <w:jc w:val="center"/>
              <w:rPr>
                <w:rFonts w:ascii="Times New Roman" w:hAnsi="Times New Roman" w:cs="Times New Roman"/>
                <w:sz w:val="15"/>
                <w:szCs w:val="15"/>
              </w:rPr>
            </w:pPr>
            <w:r w:rsidRPr="00471CBA">
              <w:rPr>
                <w:rFonts w:ascii="Times New Roman" w:hAnsi="Times New Roman" w:cs="Times New Roman"/>
                <w:sz w:val="15"/>
                <w:szCs w:val="15"/>
              </w:rPr>
              <w:t xml:space="preserve">CCC ve aşağısı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1E2506DB" w14:textId="77777777" w:rsidR="00F91828" w:rsidRPr="00471CBA" w:rsidRDefault="00F91828" w:rsidP="00F36B82">
            <w:pPr>
              <w:ind w:left="13" w:right="17"/>
              <w:jc w:val="center"/>
              <w:rPr>
                <w:rFonts w:ascii="Times New Roman" w:hAnsi="Times New Roman" w:cs="Times New Roman"/>
                <w:sz w:val="15"/>
                <w:szCs w:val="15"/>
              </w:rPr>
            </w:pPr>
            <w:r w:rsidRPr="00471CBA">
              <w:rPr>
                <w:rFonts w:ascii="Times New Roman" w:eastAsia="Calibri" w:hAnsi="Times New Roman" w:cs="Times New Roman"/>
                <w:sz w:val="15"/>
                <w:szCs w:val="15"/>
              </w:rPr>
              <w:t>CCC (</w:t>
            </w:r>
            <w:r w:rsidRPr="00471CBA">
              <w:rPr>
                <w:rFonts w:ascii="Times New Roman" w:hAnsi="Times New Roman" w:cs="Times New Roman"/>
                <w:sz w:val="15"/>
                <w:szCs w:val="15"/>
              </w:rPr>
              <w:t>yüksek</w:t>
            </w:r>
            <w:r w:rsidRPr="00471CBA">
              <w:rPr>
                <w:rFonts w:ascii="Times New Roman" w:eastAsia="Calibri" w:hAnsi="Times New Roman" w:cs="Times New Roman"/>
                <w:sz w:val="15"/>
                <w:szCs w:val="15"/>
              </w:rPr>
              <w:t xml:space="preserve">) </w:t>
            </w:r>
            <w:r w:rsidRPr="00471CBA">
              <w:rPr>
                <w:rFonts w:ascii="Times New Roman" w:hAnsi="Times New Roman" w:cs="Times New Roman"/>
                <w:sz w:val="15"/>
                <w:szCs w:val="15"/>
              </w:rPr>
              <w:t xml:space="preserve">ve aşağısı </w:t>
            </w:r>
            <w:r w:rsidRPr="00471CBA">
              <w:rPr>
                <w:rFonts w:ascii="Times New Roman" w:eastAsia="Calibri" w:hAnsi="Times New Roman" w:cs="Times New Roman"/>
                <w:sz w:val="15"/>
                <w:szCs w:val="15"/>
              </w:rPr>
              <w:t xml:space="preserve">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0D84C3D2" w14:textId="77777777" w:rsidR="00F91828" w:rsidRPr="00471CBA" w:rsidRDefault="00F91828" w:rsidP="00F36B82">
            <w:pPr>
              <w:jc w:val="center"/>
              <w:rPr>
                <w:rFonts w:ascii="Times New Roman" w:hAnsi="Times New Roman" w:cs="Times New Roman"/>
                <w:sz w:val="15"/>
                <w:szCs w:val="15"/>
              </w:rPr>
            </w:pPr>
            <w:r w:rsidRPr="00471CBA">
              <w:rPr>
                <w:rFonts w:ascii="Times New Roman" w:hAnsi="Times New Roman" w:cs="Times New Roman"/>
                <w:sz w:val="15"/>
                <w:szCs w:val="15"/>
              </w:rPr>
              <w:t xml:space="preserve">CCC+ ve aşağısı </w:t>
            </w:r>
          </w:p>
        </w:tc>
      </w:tr>
      <w:tr w:rsidR="00F91828" w:rsidRPr="00471CBA" w14:paraId="55E2F5CB" w14:textId="77777777" w:rsidTr="00F36B82">
        <w:trPr>
          <w:cantSplit/>
          <w:trHeight w:val="227"/>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29866B73" w14:textId="77777777" w:rsidR="00F91828" w:rsidRPr="00471CBA" w:rsidRDefault="00F91828" w:rsidP="00F36B82">
            <w:pPr>
              <w:rPr>
                <w:rFonts w:ascii="Times New Roman" w:hAnsi="Times New Roman" w:cs="Times New Roman"/>
                <w:b/>
                <w:sz w:val="15"/>
                <w:szCs w:val="15"/>
              </w:rPr>
            </w:pPr>
          </w:p>
        </w:tc>
        <w:tc>
          <w:tcPr>
            <w:tcW w:w="515" w:type="pct"/>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14:paraId="24D4F033" w14:textId="77777777" w:rsidR="00F91828" w:rsidRPr="00471CBA" w:rsidRDefault="00F91828" w:rsidP="00F36B82">
            <w:pPr>
              <w:ind w:left="351" w:right="113"/>
              <w:jc w:val="center"/>
              <w:rPr>
                <w:rFonts w:ascii="Times New Roman" w:hAnsi="Times New Roman" w:cs="Times New Roman"/>
                <w:b/>
                <w:sz w:val="15"/>
                <w:szCs w:val="15"/>
              </w:rPr>
            </w:pPr>
            <w:r w:rsidRPr="00471CBA">
              <w:rPr>
                <w:rFonts w:ascii="Times New Roman" w:hAnsi="Times New Roman" w:cs="Times New Roman"/>
                <w:b/>
                <w:sz w:val="15"/>
                <w:szCs w:val="15"/>
              </w:rPr>
              <w:t>Kısa vadeli kredi derecelendirmeleri</w:t>
            </w: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180F8AB4" w14:textId="77777777" w:rsidR="00F91828" w:rsidRPr="00471CBA" w:rsidRDefault="00F91828" w:rsidP="00F36B82">
            <w:pPr>
              <w:ind w:right="35"/>
              <w:jc w:val="center"/>
              <w:rPr>
                <w:rFonts w:ascii="Times New Roman" w:hAnsi="Times New Roman" w:cs="Times New Roman"/>
                <w:sz w:val="15"/>
                <w:szCs w:val="15"/>
              </w:rPr>
            </w:pPr>
            <w:r w:rsidRPr="00471CBA">
              <w:rPr>
                <w:rFonts w:ascii="Times New Roman" w:hAnsi="Times New Roman" w:cs="Times New Roman"/>
                <w:sz w:val="15"/>
                <w:szCs w:val="15"/>
              </w:rPr>
              <w:t>1</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2748DB62" w14:textId="77777777" w:rsidR="00F91828" w:rsidRPr="00471CBA" w:rsidRDefault="00F91828" w:rsidP="00F36B82">
            <w:pPr>
              <w:ind w:right="38"/>
              <w:jc w:val="center"/>
              <w:rPr>
                <w:rFonts w:ascii="Times New Roman" w:hAnsi="Times New Roman" w:cs="Times New Roman"/>
                <w:sz w:val="15"/>
                <w:szCs w:val="15"/>
              </w:rPr>
            </w:pPr>
            <w:r w:rsidRPr="00471CBA">
              <w:rPr>
                <w:rFonts w:ascii="Times New Roman" w:hAnsi="Times New Roman" w:cs="Times New Roman"/>
                <w:sz w:val="15"/>
                <w:szCs w:val="15"/>
              </w:rPr>
              <w:t xml:space="preserve">F1+ ile F1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3114F6B9" w14:textId="77777777" w:rsidR="00F91828" w:rsidRPr="00471CBA" w:rsidRDefault="00F91828" w:rsidP="00F36B82">
            <w:pPr>
              <w:ind w:right="42"/>
              <w:jc w:val="center"/>
              <w:rPr>
                <w:rFonts w:ascii="Times New Roman" w:hAnsi="Times New Roman" w:cs="Times New Roman"/>
                <w:sz w:val="15"/>
                <w:szCs w:val="15"/>
              </w:rPr>
            </w:pPr>
            <w:r w:rsidRPr="00471CBA">
              <w:rPr>
                <w:rFonts w:ascii="Times New Roman" w:hAnsi="Times New Roman" w:cs="Times New Roman"/>
                <w:sz w:val="15"/>
                <w:szCs w:val="15"/>
              </w:rPr>
              <w:t xml:space="preserve">P-1 </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0C49F2EC" w14:textId="77777777" w:rsidR="00F91828" w:rsidRPr="00471CBA" w:rsidRDefault="00F91828" w:rsidP="00F36B82">
            <w:pPr>
              <w:ind w:right="34"/>
              <w:jc w:val="center"/>
              <w:rPr>
                <w:rFonts w:ascii="Times New Roman" w:hAnsi="Times New Roman" w:cs="Times New Roman"/>
                <w:sz w:val="15"/>
                <w:szCs w:val="15"/>
              </w:rPr>
            </w:pPr>
            <w:r w:rsidRPr="00471CBA">
              <w:rPr>
                <w:rFonts w:ascii="Times New Roman" w:hAnsi="Times New Roman" w:cs="Times New Roman"/>
                <w:sz w:val="15"/>
                <w:szCs w:val="15"/>
              </w:rPr>
              <w:t xml:space="preserve">A-1+ ile A-1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0BF907CD" w14:textId="77777777" w:rsidR="00F91828" w:rsidRPr="00471CBA" w:rsidRDefault="00F91828" w:rsidP="00F36B82">
            <w:pPr>
              <w:ind w:right="37"/>
              <w:jc w:val="center"/>
              <w:rPr>
                <w:rFonts w:ascii="Times New Roman" w:hAnsi="Times New Roman" w:cs="Times New Roman"/>
                <w:sz w:val="15"/>
                <w:szCs w:val="15"/>
              </w:rPr>
            </w:pPr>
            <w:r w:rsidRPr="00471CBA">
              <w:rPr>
                <w:rFonts w:ascii="Times New Roman" w:hAnsi="Times New Roman" w:cs="Times New Roman"/>
                <w:sz w:val="15"/>
                <w:szCs w:val="15"/>
              </w:rPr>
              <w:t xml:space="preserve">J-1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6BAD028F" w14:textId="77777777" w:rsidR="00F91828" w:rsidRPr="00471CBA" w:rsidRDefault="00F91828" w:rsidP="00F36B82">
            <w:pPr>
              <w:jc w:val="center"/>
              <w:rPr>
                <w:rFonts w:ascii="Times New Roman" w:hAnsi="Times New Roman" w:cs="Times New Roman"/>
                <w:sz w:val="15"/>
                <w:szCs w:val="15"/>
              </w:rPr>
            </w:pPr>
            <w:r w:rsidRPr="00471CBA">
              <w:rPr>
                <w:rFonts w:ascii="Times New Roman" w:eastAsia="Calibri" w:hAnsi="Times New Roman" w:cs="Times New Roman"/>
                <w:sz w:val="15"/>
                <w:szCs w:val="15"/>
              </w:rPr>
              <w:t>R-1 (</w:t>
            </w:r>
            <w:r w:rsidRPr="00471CBA">
              <w:rPr>
                <w:rFonts w:ascii="Times New Roman" w:hAnsi="Times New Roman" w:cs="Times New Roman"/>
                <w:sz w:val="15"/>
                <w:szCs w:val="15"/>
              </w:rPr>
              <w:t>yüksek</w:t>
            </w:r>
            <w:r w:rsidRPr="00471CBA">
              <w:rPr>
                <w:rFonts w:ascii="Times New Roman" w:eastAsia="Calibri" w:hAnsi="Times New Roman" w:cs="Times New Roman"/>
                <w:sz w:val="15"/>
                <w:szCs w:val="15"/>
              </w:rPr>
              <w:t>)</w:t>
            </w:r>
            <w:r w:rsidRPr="00471CBA">
              <w:rPr>
                <w:rFonts w:ascii="Times New Roman" w:hAnsi="Times New Roman" w:cs="Times New Roman"/>
                <w:sz w:val="15"/>
                <w:szCs w:val="15"/>
              </w:rPr>
              <w:t xml:space="preserve"> ile</w:t>
            </w:r>
            <w:r w:rsidRPr="00471CBA">
              <w:rPr>
                <w:rFonts w:ascii="Times New Roman" w:eastAsia="Calibri" w:hAnsi="Times New Roman" w:cs="Times New Roman"/>
                <w:sz w:val="15"/>
                <w:szCs w:val="15"/>
              </w:rPr>
              <w:t xml:space="preserve"> R-1 (</w:t>
            </w:r>
            <w:r w:rsidRPr="00471CBA">
              <w:rPr>
                <w:rFonts w:ascii="Times New Roman" w:hAnsi="Times New Roman" w:cs="Times New Roman"/>
                <w:sz w:val="15"/>
                <w:szCs w:val="15"/>
              </w:rPr>
              <w:t>düşük</w:t>
            </w:r>
            <w:r w:rsidRPr="00471CBA">
              <w:rPr>
                <w:rFonts w:ascii="Times New Roman" w:eastAsia="Calibri" w:hAnsi="Times New Roman" w:cs="Times New Roman"/>
                <w:sz w:val="15"/>
                <w:szCs w:val="15"/>
              </w:rPr>
              <w:t xml:space="preserve">)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674825E7" w14:textId="77777777" w:rsidR="00F91828" w:rsidRPr="00471CBA" w:rsidRDefault="00F91828" w:rsidP="00F36B82">
            <w:pPr>
              <w:ind w:right="39"/>
              <w:jc w:val="center"/>
              <w:rPr>
                <w:rFonts w:ascii="Times New Roman" w:hAnsi="Times New Roman" w:cs="Times New Roman"/>
                <w:sz w:val="15"/>
                <w:szCs w:val="15"/>
              </w:rPr>
            </w:pPr>
            <w:r w:rsidRPr="00471CBA">
              <w:rPr>
                <w:rFonts w:ascii="Times New Roman" w:hAnsi="Times New Roman" w:cs="Times New Roman"/>
                <w:sz w:val="15"/>
                <w:szCs w:val="15"/>
              </w:rPr>
              <w:t xml:space="preserve">A-1+ ile A-1 </w:t>
            </w:r>
          </w:p>
        </w:tc>
      </w:tr>
      <w:tr w:rsidR="00F91828" w:rsidRPr="00471CBA" w14:paraId="5B979A36" w14:textId="77777777" w:rsidTr="00F36B82">
        <w:trPr>
          <w:cantSplit/>
          <w:trHeight w:val="227"/>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7EFC55A4" w14:textId="77777777" w:rsidR="00F91828" w:rsidRPr="00471CBA" w:rsidRDefault="00F91828" w:rsidP="00F36B82">
            <w:pPr>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316E802C" w14:textId="77777777" w:rsidR="00F91828" w:rsidRPr="00471CBA" w:rsidRDefault="00F91828" w:rsidP="00F36B82">
            <w:pPr>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7737DABE" w14:textId="77777777" w:rsidR="00F91828" w:rsidRPr="00471CBA" w:rsidRDefault="00F91828" w:rsidP="00F36B82">
            <w:pPr>
              <w:ind w:right="35"/>
              <w:jc w:val="center"/>
              <w:rPr>
                <w:rFonts w:ascii="Times New Roman" w:hAnsi="Times New Roman" w:cs="Times New Roman"/>
                <w:sz w:val="15"/>
                <w:szCs w:val="15"/>
              </w:rPr>
            </w:pPr>
            <w:r w:rsidRPr="00471CBA">
              <w:rPr>
                <w:rFonts w:ascii="Times New Roman" w:hAnsi="Times New Roman" w:cs="Times New Roman"/>
                <w:sz w:val="15"/>
                <w:szCs w:val="15"/>
              </w:rPr>
              <w:t>2</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34CFA528" w14:textId="77777777" w:rsidR="00F91828" w:rsidRPr="00471CBA" w:rsidRDefault="00F91828" w:rsidP="00F36B82">
            <w:pPr>
              <w:ind w:right="39"/>
              <w:jc w:val="center"/>
              <w:rPr>
                <w:rFonts w:ascii="Times New Roman" w:hAnsi="Times New Roman" w:cs="Times New Roman"/>
                <w:sz w:val="15"/>
                <w:szCs w:val="15"/>
              </w:rPr>
            </w:pPr>
            <w:r w:rsidRPr="00471CBA">
              <w:rPr>
                <w:rFonts w:ascii="Times New Roman" w:hAnsi="Times New Roman" w:cs="Times New Roman"/>
                <w:sz w:val="15"/>
                <w:szCs w:val="15"/>
              </w:rPr>
              <w:t xml:space="preserve">F2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1CFFCC5F" w14:textId="77777777" w:rsidR="00F91828" w:rsidRPr="00471CBA" w:rsidRDefault="00F91828" w:rsidP="00F36B82">
            <w:pPr>
              <w:ind w:right="42"/>
              <w:jc w:val="center"/>
              <w:rPr>
                <w:rFonts w:ascii="Times New Roman" w:hAnsi="Times New Roman" w:cs="Times New Roman"/>
                <w:sz w:val="15"/>
                <w:szCs w:val="15"/>
              </w:rPr>
            </w:pPr>
            <w:r w:rsidRPr="00471CBA">
              <w:rPr>
                <w:rFonts w:ascii="Times New Roman" w:hAnsi="Times New Roman" w:cs="Times New Roman"/>
                <w:sz w:val="15"/>
                <w:szCs w:val="15"/>
              </w:rPr>
              <w:t xml:space="preserve">P-2 </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1C500E03" w14:textId="77777777" w:rsidR="00F91828" w:rsidRPr="00471CBA" w:rsidRDefault="00F91828" w:rsidP="00F36B82">
            <w:pPr>
              <w:ind w:right="39"/>
              <w:jc w:val="center"/>
              <w:rPr>
                <w:rFonts w:ascii="Times New Roman" w:hAnsi="Times New Roman" w:cs="Times New Roman"/>
                <w:sz w:val="15"/>
                <w:szCs w:val="15"/>
              </w:rPr>
            </w:pPr>
            <w:r w:rsidRPr="00471CBA">
              <w:rPr>
                <w:rFonts w:ascii="Times New Roman" w:hAnsi="Times New Roman" w:cs="Times New Roman"/>
                <w:sz w:val="15"/>
                <w:szCs w:val="15"/>
              </w:rPr>
              <w:t xml:space="preserve">A-2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46365717" w14:textId="77777777" w:rsidR="00F91828" w:rsidRPr="00471CBA" w:rsidRDefault="00F91828" w:rsidP="00F36B82">
            <w:pPr>
              <w:ind w:right="37"/>
              <w:jc w:val="center"/>
              <w:rPr>
                <w:rFonts w:ascii="Times New Roman" w:hAnsi="Times New Roman" w:cs="Times New Roman"/>
                <w:sz w:val="15"/>
                <w:szCs w:val="15"/>
              </w:rPr>
            </w:pPr>
            <w:r w:rsidRPr="00471CBA">
              <w:rPr>
                <w:rFonts w:ascii="Times New Roman" w:hAnsi="Times New Roman" w:cs="Times New Roman"/>
                <w:sz w:val="15"/>
                <w:szCs w:val="15"/>
              </w:rPr>
              <w:t xml:space="preserve">J-2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2DB7EA91" w14:textId="77777777" w:rsidR="00F91828" w:rsidRPr="00471CBA" w:rsidRDefault="00F91828" w:rsidP="00F36B82">
            <w:pPr>
              <w:jc w:val="center"/>
              <w:rPr>
                <w:rFonts w:ascii="Times New Roman" w:hAnsi="Times New Roman" w:cs="Times New Roman"/>
                <w:sz w:val="15"/>
                <w:szCs w:val="15"/>
              </w:rPr>
            </w:pPr>
            <w:r w:rsidRPr="00471CBA">
              <w:rPr>
                <w:rFonts w:ascii="Times New Roman" w:eastAsia="Calibri" w:hAnsi="Times New Roman" w:cs="Times New Roman"/>
                <w:sz w:val="15"/>
                <w:szCs w:val="15"/>
              </w:rPr>
              <w:t>R-2 (</w:t>
            </w:r>
            <w:r w:rsidRPr="00471CBA">
              <w:rPr>
                <w:rFonts w:ascii="Times New Roman" w:hAnsi="Times New Roman" w:cs="Times New Roman"/>
                <w:sz w:val="15"/>
                <w:szCs w:val="15"/>
              </w:rPr>
              <w:t>yüksek</w:t>
            </w:r>
            <w:r w:rsidRPr="00471CBA">
              <w:rPr>
                <w:rFonts w:ascii="Times New Roman" w:eastAsia="Calibri" w:hAnsi="Times New Roman" w:cs="Times New Roman"/>
                <w:sz w:val="15"/>
                <w:szCs w:val="15"/>
              </w:rPr>
              <w:t xml:space="preserve">) </w:t>
            </w:r>
            <w:proofErr w:type="spellStart"/>
            <w:r w:rsidRPr="00471CBA">
              <w:rPr>
                <w:rFonts w:ascii="Times New Roman" w:hAnsi="Times New Roman" w:cs="Times New Roman"/>
                <w:sz w:val="15"/>
                <w:szCs w:val="15"/>
              </w:rPr>
              <w:t>to</w:t>
            </w:r>
            <w:proofErr w:type="spellEnd"/>
            <w:r w:rsidRPr="00471CBA">
              <w:rPr>
                <w:rFonts w:ascii="Times New Roman" w:eastAsia="Calibri" w:hAnsi="Times New Roman" w:cs="Times New Roman"/>
                <w:sz w:val="15"/>
                <w:szCs w:val="15"/>
              </w:rPr>
              <w:t xml:space="preserve"> R-2 (</w:t>
            </w:r>
            <w:r w:rsidRPr="00471CBA">
              <w:rPr>
                <w:rFonts w:ascii="Times New Roman" w:hAnsi="Times New Roman" w:cs="Times New Roman"/>
                <w:sz w:val="15"/>
                <w:szCs w:val="15"/>
              </w:rPr>
              <w:t>düşük</w:t>
            </w:r>
            <w:r w:rsidRPr="00471CBA">
              <w:rPr>
                <w:rFonts w:ascii="Times New Roman" w:eastAsia="Calibri" w:hAnsi="Times New Roman" w:cs="Times New Roman"/>
                <w:sz w:val="15"/>
                <w:szCs w:val="15"/>
              </w:rPr>
              <w:t xml:space="preserve">)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03AE9505" w14:textId="77777777" w:rsidR="00F91828" w:rsidRPr="00471CBA" w:rsidRDefault="00F91828" w:rsidP="00F36B82">
            <w:pPr>
              <w:ind w:right="43"/>
              <w:jc w:val="center"/>
              <w:rPr>
                <w:rFonts w:ascii="Times New Roman" w:hAnsi="Times New Roman" w:cs="Times New Roman"/>
                <w:sz w:val="15"/>
                <w:szCs w:val="15"/>
              </w:rPr>
            </w:pPr>
            <w:r w:rsidRPr="00471CBA">
              <w:rPr>
                <w:rFonts w:ascii="Times New Roman" w:hAnsi="Times New Roman" w:cs="Times New Roman"/>
                <w:sz w:val="15"/>
                <w:szCs w:val="15"/>
              </w:rPr>
              <w:t xml:space="preserve">A-2 </w:t>
            </w:r>
          </w:p>
        </w:tc>
      </w:tr>
      <w:tr w:rsidR="00F91828" w:rsidRPr="00471CBA" w14:paraId="11F885D4" w14:textId="77777777" w:rsidTr="00F36B82">
        <w:trPr>
          <w:cantSplit/>
          <w:trHeight w:val="227"/>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6203E8B3" w14:textId="77777777" w:rsidR="00F91828" w:rsidRPr="00471CBA" w:rsidRDefault="00F91828" w:rsidP="00F36B82">
            <w:pPr>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4B03081F" w14:textId="77777777" w:rsidR="00F91828" w:rsidRPr="00471CBA" w:rsidRDefault="00F91828" w:rsidP="00F36B82">
            <w:pPr>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4E5B7915" w14:textId="77777777" w:rsidR="00F91828" w:rsidRPr="00471CBA" w:rsidRDefault="00F91828" w:rsidP="00F36B82">
            <w:pPr>
              <w:ind w:right="35"/>
              <w:jc w:val="center"/>
              <w:rPr>
                <w:rFonts w:ascii="Times New Roman" w:hAnsi="Times New Roman" w:cs="Times New Roman"/>
                <w:sz w:val="15"/>
                <w:szCs w:val="15"/>
              </w:rPr>
            </w:pPr>
            <w:r w:rsidRPr="00471CBA">
              <w:rPr>
                <w:rFonts w:ascii="Times New Roman" w:hAnsi="Times New Roman" w:cs="Times New Roman"/>
                <w:sz w:val="15"/>
                <w:szCs w:val="15"/>
              </w:rPr>
              <w:t>3</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26410315" w14:textId="77777777" w:rsidR="00F91828" w:rsidRPr="00471CBA" w:rsidRDefault="00F91828" w:rsidP="00F36B82">
            <w:pPr>
              <w:ind w:right="39"/>
              <w:jc w:val="center"/>
              <w:rPr>
                <w:rFonts w:ascii="Times New Roman" w:hAnsi="Times New Roman" w:cs="Times New Roman"/>
                <w:sz w:val="15"/>
                <w:szCs w:val="15"/>
              </w:rPr>
            </w:pPr>
            <w:r w:rsidRPr="00471CBA">
              <w:rPr>
                <w:rFonts w:ascii="Times New Roman" w:hAnsi="Times New Roman" w:cs="Times New Roman"/>
                <w:sz w:val="15"/>
                <w:szCs w:val="15"/>
              </w:rPr>
              <w:t xml:space="preserve">F3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271FF80D" w14:textId="77777777" w:rsidR="00F91828" w:rsidRPr="00471CBA" w:rsidRDefault="00F91828" w:rsidP="00F36B82">
            <w:pPr>
              <w:ind w:right="42"/>
              <w:jc w:val="center"/>
              <w:rPr>
                <w:rFonts w:ascii="Times New Roman" w:hAnsi="Times New Roman" w:cs="Times New Roman"/>
                <w:sz w:val="15"/>
                <w:szCs w:val="15"/>
              </w:rPr>
            </w:pPr>
            <w:r w:rsidRPr="00471CBA">
              <w:rPr>
                <w:rFonts w:ascii="Times New Roman" w:hAnsi="Times New Roman" w:cs="Times New Roman"/>
                <w:sz w:val="15"/>
                <w:szCs w:val="15"/>
              </w:rPr>
              <w:t xml:space="preserve">P-3 </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107BBFC6" w14:textId="77777777" w:rsidR="00F91828" w:rsidRPr="00471CBA" w:rsidRDefault="00F91828" w:rsidP="00F36B82">
            <w:pPr>
              <w:ind w:right="39"/>
              <w:jc w:val="center"/>
              <w:rPr>
                <w:rFonts w:ascii="Times New Roman" w:hAnsi="Times New Roman" w:cs="Times New Roman"/>
                <w:sz w:val="15"/>
                <w:szCs w:val="15"/>
              </w:rPr>
            </w:pPr>
            <w:r w:rsidRPr="00471CBA">
              <w:rPr>
                <w:rFonts w:ascii="Times New Roman" w:hAnsi="Times New Roman" w:cs="Times New Roman"/>
                <w:sz w:val="15"/>
                <w:szCs w:val="15"/>
              </w:rPr>
              <w:t xml:space="preserve">A-3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7678D97B" w14:textId="77777777" w:rsidR="00F91828" w:rsidRPr="00471CBA" w:rsidRDefault="00F91828" w:rsidP="00F36B82">
            <w:pPr>
              <w:ind w:right="37"/>
              <w:jc w:val="center"/>
              <w:rPr>
                <w:rFonts w:ascii="Times New Roman" w:hAnsi="Times New Roman" w:cs="Times New Roman"/>
                <w:sz w:val="15"/>
                <w:szCs w:val="15"/>
              </w:rPr>
            </w:pPr>
            <w:r w:rsidRPr="00471CBA">
              <w:rPr>
                <w:rFonts w:ascii="Times New Roman" w:hAnsi="Times New Roman" w:cs="Times New Roman"/>
                <w:sz w:val="15"/>
                <w:szCs w:val="15"/>
              </w:rPr>
              <w:t xml:space="preserve">J-3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153C39A0" w14:textId="77777777" w:rsidR="00F91828" w:rsidRPr="00471CBA" w:rsidRDefault="00F91828" w:rsidP="00F36B82">
            <w:pPr>
              <w:ind w:right="38"/>
              <w:jc w:val="center"/>
              <w:rPr>
                <w:rFonts w:ascii="Times New Roman" w:hAnsi="Times New Roman" w:cs="Times New Roman"/>
                <w:sz w:val="15"/>
                <w:szCs w:val="15"/>
              </w:rPr>
            </w:pPr>
            <w:r w:rsidRPr="00471CBA">
              <w:rPr>
                <w:rFonts w:ascii="Times New Roman" w:eastAsia="Calibri" w:hAnsi="Times New Roman" w:cs="Times New Roman"/>
                <w:sz w:val="15"/>
                <w:szCs w:val="15"/>
              </w:rPr>
              <w:t xml:space="preserve">R-3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427B5F01" w14:textId="77777777" w:rsidR="00F91828" w:rsidRPr="00471CBA" w:rsidRDefault="00F91828" w:rsidP="00F36B82">
            <w:pPr>
              <w:ind w:right="43"/>
              <w:jc w:val="center"/>
              <w:rPr>
                <w:rFonts w:ascii="Times New Roman" w:hAnsi="Times New Roman" w:cs="Times New Roman"/>
                <w:sz w:val="15"/>
                <w:szCs w:val="15"/>
              </w:rPr>
            </w:pPr>
            <w:r w:rsidRPr="00471CBA">
              <w:rPr>
                <w:rFonts w:ascii="Times New Roman" w:hAnsi="Times New Roman" w:cs="Times New Roman"/>
                <w:sz w:val="15"/>
                <w:szCs w:val="15"/>
              </w:rPr>
              <w:t xml:space="preserve">A-3 </w:t>
            </w:r>
          </w:p>
        </w:tc>
      </w:tr>
      <w:tr w:rsidR="00F91828" w:rsidRPr="00471CBA" w14:paraId="0F00A262" w14:textId="77777777" w:rsidTr="00F36B82">
        <w:trPr>
          <w:cantSplit/>
          <w:trHeight w:val="227"/>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0632CF0A" w14:textId="77777777" w:rsidR="00F91828" w:rsidRPr="00471CBA" w:rsidRDefault="00F91828" w:rsidP="00F36B82">
            <w:pPr>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663D6EE0" w14:textId="77777777" w:rsidR="00F91828" w:rsidRPr="00471CBA" w:rsidRDefault="00F91828" w:rsidP="00F36B82">
            <w:pPr>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5DD362B6" w14:textId="77777777" w:rsidR="00F91828" w:rsidRPr="00471CBA" w:rsidRDefault="00F91828" w:rsidP="00F36B82">
            <w:pPr>
              <w:ind w:right="35"/>
              <w:jc w:val="center"/>
              <w:rPr>
                <w:rFonts w:ascii="Times New Roman" w:hAnsi="Times New Roman" w:cs="Times New Roman"/>
                <w:sz w:val="15"/>
                <w:szCs w:val="15"/>
              </w:rPr>
            </w:pPr>
            <w:r w:rsidRPr="00471CBA">
              <w:rPr>
                <w:rFonts w:ascii="Times New Roman" w:hAnsi="Times New Roman" w:cs="Times New Roman"/>
                <w:sz w:val="15"/>
                <w:szCs w:val="15"/>
              </w:rPr>
              <w:t>4</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117ECA12" w14:textId="77777777" w:rsidR="00F91828" w:rsidRPr="00471CBA" w:rsidRDefault="00F91828" w:rsidP="00F36B82">
            <w:pPr>
              <w:ind w:right="34"/>
              <w:jc w:val="center"/>
              <w:rPr>
                <w:rFonts w:ascii="Times New Roman" w:hAnsi="Times New Roman" w:cs="Times New Roman"/>
                <w:sz w:val="15"/>
                <w:szCs w:val="15"/>
              </w:rPr>
            </w:pPr>
            <w:r w:rsidRPr="00471CBA">
              <w:rPr>
                <w:rFonts w:ascii="Times New Roman" w:hAnsi="Times New Roman" w:cs="Times New Roman"/>
                <w:sz w:val="15"/>
                <w:szCs w:val="15"/>
              </w:rPr>
              <w:t xml:space="preserve">F3 aşağısı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481AC1DF" w14:textId="77777777" w:rsidR="00F91828" w:rsidRPr="00471CBA" w:rsidRDefault="00F91828" w:rsidP="00F36B82">
            <w:pPr>
              <w:ind w:right="40"/>
              <w:jc w:val="center"/>
              <w:rPr>
                <w:rFonts w:ascii="Times New Roman" w:hAnsi="Times New Roman" w:cs="Times New Roman"/>
                <w:sz w:val="15"/>
                <w:szCs w:val="15"/>
              </w:rPr>
            </w:pPr>
            <w:r w:rsidRPr="00471CBA">
              <w:rPr>
                <w:rFonts w:ascii="Times New Roman" w:hAnsi="Times New Roman" w:cs="Times New Roman"/>
                <w:sz w:val="15"/>
                <w:szCs w:val="15"/>
              </w:rPr>
              <w:t xml:space="preserve">NP </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458C5DBB" w14:textId="77777777" w:rsidR="00F91828" w:rsidRPr="00471CBA" w:rsidRDefault="00F91828" w:rsidP="00F36B82">
            <w:pPr>
              <w:ind w:right="34"/>
              <w:jc w:val="center"/>
              <w:rPr>
                <w:rFonts w:ascii="Times New Roman" w:hAnsi="Times New Roman" w:cs="Times New Roman"/>
                <w:sz w:val="15"/>
                <w:szCs w:val="15"/>
              </w:rPr>
            </w:pPr>
            <w:r w:rsidRPr="00471CBA">
              <w:rPr>
                <w:rFonts w:ascii="Times New Roman" w:hAnsi="Times New Roman" w:cs="Times New Roman"/>
                <w:sz w:val="15"/>
                <w:szCs w:val="15"/>
              </w:rPr>
              <w:t xml:space="preserve">A-3 aşağısı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34F4A0FB" w14:textId="77777777" w:rsidR="00F91828" w:rsidRPr="00471CBA" w:rsidRDefault="00F91828" w:rsidP="00F36B82">
            <w:pPr>
              <w:ind w:right="35"/>
              <w:jc w:val="center"/>
              <w:rPr>
                <w:rFonts w:ascii="Times New Roman" w:hAnsi="Times New Roman" w:cs="Times New Roman"/>
                <w:sz w:val="15"/>
                <w:szCs w:val="15"/>
              </w:rPr>
            </w:pPr>
            <w:r w:rsidRPr="00471CBA">
              <w:rPr>
                <w:rFonts w:ascii="Times New Roman" w:hAnsi="Times New Roman" w:cs="Times New Roman"/>
                <w:sz w:val="15"/>
                <w:szCs w:val="15"/>
              </w:rPr>
              <w:t xml:space="preserve">J-3 aşağısı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27D0930E" w14:textId="77777777" w:rsidR="00F91828" w:rsidRPr="00471CBA" w:rsidRDefault="00F91828" w:rsidP="00F36B82">
            <w:pPr>
              <w:spacing w:line="256" w:lineRule="auto"/>
              <w:rPr>
                <w:rFonts w:ascii="Times New Roman" w:hAnsi="Times New Roman" w:cs="Times New Roman"/>
                <w:sz w:val="15"/>
                <w:szCs w:val="15"/>
              </w:rPr>
            </w:pPr>
            <w:r w:rsidRPr="00471CBA">
              <w:rPr>
                <w:rFonts w:ascii="Times New Roman" w:eastAsia="Calibri" w:hAnsi="Times New Roman" w:cs="Times New Roman"/>
                <w:sz w:val="15"/>
                <w:szCs w:val="15"/>
              </w:rPr>
              <w:t xml:space="preserve">         R-3 aşağısı</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07A639B6" w14:textId="77777777" w:rsidR="00F91828" w:rsidRPr="00471CBA" w:rsidRDefault="00F91828" w:rsidP="00F36B82">
            <w:pPr>
              <w:ind w:right="40"/>
              <w:jc w:val="center"/>
              <w:rPr>
                <w:rFonts w:ascii="Times New Roman" w:hAnsi="Times New Roman" w:cs="Times New Roman"/>
                <w:sz w:val="15"/>
                <w:szCs w:val="15"/>
              </w:rPr>
            </w:pPr>
            <w:r w:rsidRPr="00471CBA">
              <w:rPr>
                <w:rFonts w:ascii="Times New Roman" w:hAnsi="Times New Roman" w:cs="Times New Roman"/>
                <w:sz w:val="15"/>
                <w:szCs w:val="15"/>
              </w:rPr>
              <w:t xml:space="preserve">A-3 aşağısı </w:t>
            </w:r>
          </w:p>
        </w:tc>
      </w:tr>
      <w:tr w:rsidR="00F91828" w:rsidRPr="00471CBA" w14:paraId="0CCC2397" w14:textId="77777777" w:rsidTr="00F36B82">
        <w:trPr>
          <w:cantSplit/>
          <w:trHeight w:val="227"/>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266243F9" w14:textId="77777777" w:rsidR="00F91828" w:rsidRPr="00471CBA" w:rsidRDefault="00F91828" w:rsidP="00F36B82">
            <w:pPr>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22D66E0B" w14:textId="77777777" w:rsidR="00F91828" w:rsidRPr="00471CBA" w:rsidRDefault="00F91828" w:rsidP="00F36B82">
            <w:pPr>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17485385" w14:textId="77777777" w:rsidR="00F91828" w:rsidRPr="00471CBA" w:rsidRDefault="00F91828" w:rsidP="00F36B82">
            <w:pPr>
              <w:ind w:right="35"/>
              <w:jc w:val="center"/>
              <w:rPr>
                <w:rFonts w:ascii="Times New Roman" w:hAnsi="Times New Roman" w:cs="Times New Roman"/>
                <w:sz w:val="15"/>
                <w:szCs w:val="15"/>
              </w:rPr>
            </w:pPr>
            <w:r w:rsidRPr="00471CBA">
              <w:rPr>
                <w:rFonts w:ascii="Times New Roman" w:hAnsi="Times New Roman" w:cs="Times New Roman"/>
                <w:sz w:val="15"/>
                <w:szCs w:val="15"/>
              </w:rPr>
              <w:t>5</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4CB8DFA5" w14:textId="77777777" w:rsidR="00F91828" w:rsidRPr="00471CBA" w:rsidRDefault="00F91828" w:rsidP="00F36B82">
            <w:pPr>
              <w:ind w:right="37"/>
              <w:jc w:val="center"/>
              <w:rPr>
                <w:rFonts w:ascii="Times New Roman" w:hAnsi="Times New Roman" w:cs="Times New Roman"/>
                <w:sz w:val="15"/>
                <w:szCs w:val="15"/>
              </w:rPr>
            </w:pPr>
            <w:r w:rsidRPr="00471CBA">
              <w:rPr>
                <w:rFonts w:ascii="Times New Roman" w:hAnsi="Times New Roman" w:cs="Times New Roman"/>
                <w:sz w:val="15"/>
                <w:szCs w:val="15"/>
              </w:rPr>
              <w:t xml:space="preserve">-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6B689DF9" w14:textId="77777777" w:rsidR="00F91828" w:rsidRPr="00471CBA" w:rsidRDefault="00F91828" w:rsidP="00F36B82">
            <w:pPr>
              <w:ind w:right="37"/>
              <w:jc w:val="center"/>
              <w:rPr>
                <w:rFonts w:ascii="Times New Roman" w:hAnsi="Times New Roman" w:cs="Times New Roman"/>
                <w:sz w:val="15"/>
                <w:szCs w:val="15"/>
              </w:rPr>
            </w:pPr>
            <w:r w:rsidRPr="00471CBA">
              <w:rPr>
                <w:rFonts w:ascii="Times New Roman" w:hAnsi="Times New Roman" w:cs="Times New Roman"/>
                <w:sz w:val="15"/>
                <w:szCs w:val="15"/>
              </w:rPr>
              <w:t xml:space="preserve">- </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27813BEA" w14:textId="77777777" w:rsidR="00F91828" w:rsidRPr="00471CBA" w:rsidRDefault="00F91828" w:rsidP="00F36B82">
            <w:pPr>
              <w:ind w:right="35"/>
              <w:jc w:val="center"/>
              <w:rPr>
                <w:rFonts w:ascii="Times New Roman" w:hAnsi="Times New Roman" w:cs="Times New Roman"/>
                <w:sz w:val="15"/>
                <w:szCs w:val="15"/>
              </w:rPr>
            </w:pPr>
            <w:r w:rsidRPr="00471CBA">
              <w:rPr>
                <w:rFonts w:ascii="Times New Roman" w:hAnsi="Times New Roman" w:cs="Times New Roman"/>
                <w:sz w:val="15"/>
                <w:szCs w:val="15"/>
              </w:rPr>
              <w:t xml:space="preserve">-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23E44D90" w14:textId="77777777" w:rsidR="00F91828" w:rsidRPr="00471CBA" w:rsidRDefault="00F91828" w:rsidP="00F36B82">
            <w:pPr>
              <w:ind w:right="34"/>
              <w:jc w:val="center"/>
              <w:rPr>
                <w:rFonts w:ascii="Times New Roman" w:hAnsi="Times New Roman" w:cs="Times New Roman"/>
                <w:sz w:val="15"/>
                <w:szCs w:val="15"/>
              </w:rPr>
            </w:pPr>
            <w:r w:rsidRPr="00471CBA">
              <w:rPr>
                <w:rFonts w:ascii="Times New Roman" w:hAnsi="Times New Roman" w:cs="Times New Roman"/>
                <w:sz w:val="15"/>
                <w:szCs w:val="15"/>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088040B8" w14:textId="77777777" w:rsidR="00F91828" w:rsidRPr="00471CBA" w:rsidRDefault="00F91828" w:rsidP="00F36B82">
            <w:pPr>
              <w:ind w:right="37"/>
              <w:jc w:val="center"/>
              <w:rPr>
                <w:rFonts w:ascii="Times New Roman" w:hAnsi="Times New Roman" w:cs="Times New Roman"/>
                <w:sz w:val="15"/>
                <w:szCs w:val="15"/>
              </w:rPr>
            </w:pPr>
            <w:r w:rsidRPr="00471CBA">
              <w:rPr>
                <w:rFonts w:ascii="Times New Roman" w:eastAsia="Calibri" w:hAnsi="Times New Roman" w:cs="Times New Roman"/>
                <w:sz w:val="15"/>
                <w:szCs w:val="15"/>
              </w:rPr>
              <w:t>-</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3B3F772F" w14:textId="77777777" w:rsidR="00F91828" w:rsidRPr="00471CBA" w:rsidRDefault="00F91828" w:rsidP="00F36B82">
            <w:pPr>
              <w:ind w:right="39"/>
              <w:jc w:val="center"/>
              <w:rPr>
                <w:rFonts w:ascii="Times New Roman" w:hAnsi="Times New Roman" w:cs="Times New Roman"/>
                <w:sz w:val="15"/>
                <w:szCs w:val="15"/>
              </w:rPr>
            </w:pPr>
            <w:r w:rsidRPr="00471CBA">
              <w:rPr>
                <w:rFonts w:ascii="Times New Roman" w:hAnsi="Times New Roman" w:cs="Times New Roman"/>
                <w:sz w:val="15"/>
                <w:szCs w:val="15"/>
              </w:rPr>
              <w:t xml:space="preserve">- </w:t>
            </w:r>
          </w:p>
        </w:tc>
      </w:tr>
      <w:tr w:rsidR="00F91828" w:rsidRPr="00471CBA" w14:paraId="186B891E" w14:textId="77777777" w:rsidTr="00F36B82">
        <w:trPr>
          <w:cantSplit/>
          <w:trHeight w:val="227"/>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0E7DFF59" w14:textId="77777777" w:rsidR="00F91828" w:rsidRPr="00471CBA" w:rsidRDefault="00F91828" w:rsidP="00F36B82">
            <w:pPr>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12B9A23F" w14:textId="77777777" w:rsidR="00F91828" w:rsidRPr="00471CBA" w:rsidRDefault="00F91828" w:rsidP="00F36B82">
            <w:pPr>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7692051A" w14:textId="77777777" w:rsidR="00F91828" w:rsidRPr="00471CBA" w:rsidRDefault="00F91828" w:rsidP="00F36B82">
            <w:pPr>
              <w:ind w:right="35"/>
              <w:jc w:val="center"/>
              <w:rPr>
                <w:rFonts w:ascii="Times New Roman" w:hAnsi="Times New Roman" w:cs="Times New Roman"/>
                <w:sz w:val="15"/>
                <w:szCs w:val="15"/>
              </w:rPr>
            </w:pPr>
            <w:r w:rsidRPr="00471CBA">
              <w:rPr>
                <w:rFonts w:ascii="Times New Roman" w:hAnsi="Times New Roman" w:cs="Times New Roman"/>
                <w:sz w:val="15"/>
                <w:szCs w:val="15"/>
              </w:rPr>
              <w:t>6</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5ADABBD1" w14:textId="77777777" w:rsidR="00F91828" w:rsidRPr="00471CBA" w:rsidRDefault="00F91828" w:rsidP="00F36B82">
            <w:pPr>
              <w:ind w:right="37"/>
              <w:jc w:val="center"/>
              <w:rPr>
                <w:rFonts w:ascii="Times New Roman" w:hAnsi="Times New Roman" w:cs="Times New Roman"/>
                <w:sz w:val="15"/>
                <w:szCs w:val="15"/>
              </w:rPr>
            </w:pPr>
            <w:r w:rsidRPr="00471CBA">
              <w:rPr>
                <w:rFonts w:ascii="Times New Roman" w:hAnsi="Times New Roman" w:cs="Times New Roman"/>
                <w:sz w:val="15"/>
                <w:szCs w:val="15"/>
              </w:rPr>
              <w:t xml:space="preserve">-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1464270E" w14:textId="77777777" w:rsidR="00F91828" w:rsidRPr="00471CBA" w:rsidRDefault="00F91828" w:rsidP="00F36B82">
            <w:pPr>
              <w:ind w:right="37"/>
              <w:jc w:val="center"/>
              <w:rPr>
                <w:rFonts w:ascii="Times New Roman" w:hAnsi="Times New Roman" w:cs="Times New Roman"/>
                <w:sz w:val="15"/>
                <w:szCs w:val="15"/>
              </w:rPr>
            </w:pPr>
            <w:r w:rsidRPr="00471CBA">
              <w:rPr>
                <w:rFonts w:ascii="Times New Roman" w:hAnsi="Times New Roman" w:cs="Times New Roman"/>
                <w:sz w:val="15"/>
                <w:szCs w:val="15"/>
              </w:rPr>
              <w:t xml:space="preserve">- </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613B0DAA" w14:textId="77777777" w:rsidR="00F91828" w:rsidRPr="00471CBA" w:rsidRDefault="00F91828" w:rsidP="00F36B82">
            <w:pPr>
              <w:ind w:right="35"/>
              <w:jc w:val="center"/>
              <w:rPr>
                <w:rFonts w:ascii="Times New Roman" w:hAnsi="Times New Roman" w:cs="Times New Roman"/>
                <w:sz w:val="15"/>
                <w:szCs w:val="15"/>
              </w:rPr>
            </w:pPr>
            <w:r w:rsidRPr="00471CBA">
              <w:rPr>
                <w:rFonts w:ascii="Times New Roman" w:hAnsi="Times New Roman" w:cs="Times New Roman"/>
                <w:sz w:val="15"/>
                <w:szCs w:val="15"/>
              </w:rPr>
              <w:t xml:space="preserve">-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31881AD6" w14:textId="77777777" w:rsidR="00F91828" w:rsidRPr="00471CBA" w:rsidRDefault="00F91828" w:rsidP="00F36B82">
            <w:pPr>
              <w:ind w:right="34"/>
              <w:jc w:val="center"/>
              <w:rPr>
                <w:rFonts w:ascii="Times New Roman" w:hAnsi="Times New Roman" w:cs="Times New Roman"/>
                <w:sz w:val="15"/>
                <w:szCs w:val="15"/>
              </w:rPr>
            </w:pPr>
            <w:r w:rsidRPr="00471CBA">
              <w:rPr>
                <w:rFonts w:ascii="Times New Roman" w:hAnsi="Times New Roman" w:cs="Times New Roman"/>
                <w:sz w:val="15"/>
                <w:szCs w:val="15"/>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4D7A42AE" w14:textId="77777777" w:rsidR="00F91828" w:rsidRPr="00471CBA" w:rsidRDefault="00F91828" w:rsidP="00F36B82">
            <w:pPr>
              <w:ind w:right="37"/>
              <w:jc w:val="center"/>
              <w:rPr>
                <w:rFonts w:ascii="Times New Roman" w:hAnsi="Times New Roman" w:cs="Times New Roman"/>
                <w:sz w:val="15"/>
                <w:szCs w:val="15"/>
              </w:rPr>
            </w:pPr>
            <w:r w:rsidRPr="00471CBA">
              <w:rPr>
                <w:rFonts w:ascii="Times New Roman" w:eastAsia="Calibri" w:hAnsi="Times New Roman" w:cs="Times New Roman"/>
                <w:sz w:val="15"/>
                <w:szCs w:val="15"/>
              </w:rPr>
              <w:t>-</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665CFD3A" w14:textId="77777777" w:rsidR="00F91828" w:rsidRPr="00471CBA" w:rsidRDefault="00F91828" w:rsidP="00F36B82">
            <w:pPr>
              <w:ind w:right="39"/>
              <w:jc w:val="center"/>
              <w:rPr>
                <w:rFonts w:ascii="Times New Roman" w:hAnsi="Times New Roman" w:cs="Times New Roman"/>
                <w:sz w:val="15"/>
                <w:szCs w:val="15"/>
              </w:rPr>
            </w:pPr>
            <w:r w:rsidRPr="00471CBA">
              <w:rPr>
                <w:rFonts w:ascii="Times New Roman" w:hAnsi="Times New Roman" w:cs="Times New Roman"/>
                <w:sz w:val="15"/>
                <w:szCs w:val="15"/>
              </w:rPr>
              <w:t xml:space="preserve">- </w:t>
            </w:r>
          </w:p>
        </w:tc>
      </w:tr>
      <w:tr w:rsidR="00F91828" w:rsidRPr="00471CBA" w14:paraId="604FF3D0" w14:textId="77777777" w:rsidTr="00F36B82">
        <w:trPr>
          <w:cantSplit/>
          <w:trHeight w:val="2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7077FEB7" w14:textId="77777777" w:rsidR="00F91828" w:rsidRPr="00471CBA" w:rsidRDefault="00F91828" w:rsidP="00F36B82">
            <w:pPr>
              <w:rPr>
                <w:rFonts w:ascii="Times New Roman" w:hAnsi="Times New Roman" w:cs="Times New Roman"/>
                <w:b/>
                <w:sz w:val="15"/>
                <w:szCs w:val="15"/>
              </w:rPr>
            </w:pPr>
          </w:p>
        </w:tc>
        <w:tc>
          <w:tcPr>
            <w:tcW w:w="515" w:type="pct"/>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14:paraId="4673A2DF" w14:textId="77777777" w:rsidR="00F91828" w:rsidRPr="00471CBA" w:rsidRDefault="00F91828" w:rsidP="00F36B82">
            <w:pPr>
              <w:ind w:left="292" w:right="113"/>
              <w:jc w:val="center"/>
              <w:rPr>
                <w:rFonts w:ascii="Times New Roman" w:hAnsi="Times New Roman" w:cs="Times New Roman"/>
                <w:b/>
                <w:sz w:val="15"/>
                <w:szCs w:val="15"/>
              </w:rPr>
            </w:pPr>
            <w:r w:rsidRPr="00471CBA">
              <w:rPr>
                <w:rFonts w:ascii="Times New Roman" w:hAnsi="Times New Roman" w:cs="Times New Roman"/>
                <w:b/>
                <w:sz w:val="15"/>
                <w:szCs w:val="15"/>
              </w:rPr>
              <w:t>Uzun vadeli menkul kıymetleştirme pozisyonları için derecelendirmeler</w:t>
            </w: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5D3C3088" w14:textId="77777777" w:rsidR="00F91828" w:rsidRPr="00471CBA" w:rsidRDefault="00F91828" w:rsidP="00F36B82">
            <w:pPr>
              <w:ind w:right="35"/>
              <w:jc w:val="center"/>
              <w:rPr>
                <w:rFonts w:ascii="Times New Roman" w:hAnsi="Times New Roman" w:cs="Times New Roman"/>
                <w:sz w:val="15"/>
                <w:szCs w:val="15"/>
              </w:rPr>
            </w:pPr>
            <w:r w:rsidRPr="00471CBA">
              <w:rPr>
                <w:rFonts w:ascii="Times New Roman" w:hAnsi="Times New Roman" w:cs="Times New Roman"/>
                <w:sz w:val="15"/>
                <w:szCs w:val="15"/>
              </w:rPr>
              <w:t>1</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691EC458" w14:textId="77777777" w:rsidR="00F91828" w:rsidRPr="00471CBA" w:rsidRDefault="00F91828" w:rsidP="00F36B82">
            <w:pPr>
              <w:ind w:left="50"/>
              <w:jc w:val="center"/>
              <w:rPr>
                <w:rFonts w:ascii="Times New Roman" w:hAnsi="Times New Roman" w:cs="Times New Roman"/>
                <w:sz w:val="15"/>
                <w:szCs w:val="15"/>
              </w:rPr>
            </w:pPr>
            <w:r w:rsidRPr="00471CBA">
              <w:rPr>
                <w:rFonts w:ascii="Times New Roman" w:hAnsi="Times New Roman" w:cs="Times New Roman"/>
                <w:sz w:val="15"/>
                <w:szCs w:val="15"/>
              </w:rPr>
              <w:t xml:space="preserve">AAA ile AA-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5C5F563C" w14:textId="77777777" w:rsidR="00F91828" w:rsidRPr="00471CBA" w:rsidRDefault="00F91828" w:rsidP="00F36B82">
            <w:pPr>
              <w:ind w:right="38"/>
              <w:jc w:val="center"/>
              <w:rPr>
                <w:rFonts w:ascii="Times New Roman" w:hAnsi="Times New Roman" w:cs="Times New Roman"/>
                <w:sz w:val="15"/>
                <w:szCs w:val="15"/>
              </w:rPr>
            </w:pPr>
            <w:proofErr w:type="spellStart"/>
            <w:r w:rsidRPr="00471CBA">
              <w:rPr>
                <w:rFonts w:ascii="Times New Roman" w:hAnsi="Times New Roman" w:cs="Times New Roman"/>
                <w:sz w:val="15"/>
                <w:szCs w:val="15"/>
              </w:rPr>
              <w:t>Aaa</w:t>
            </w:r>
            <w:proofErr w:type="spellEnd"/>
            <w:r w:rsidRPr="00471CBA">
              <w:rPr>
                <w:rFonts w:ascii="Times New Roman" w:hAnsi="Times New Roman" w:cs="Times New Roman"/>
                <w:sz w:val="15"/>
                <w:szCs w:val="15"/>
              </w:rPr>
              <w:t xml:space="preserve"> ile Aa3 </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507C15B6" w14:textId="77777777" w:rsidR="00F91828" w:rsidRPr="00471CBA" w:rsidRDefault="00F91828" w:rsidP="00F36B82">
            <w:pPr>
              <w:ind w:right="35"/>
              <w:jc w:val="center"/>
              <w:rPr>
                <w:rFonts w:ascii="Times New Roman" w:hAnsi="Times New Roman" w:cs="Times New Roman"/>
                <w:sz w:val="15"/>
                <w:szCs w:val="15"/>
              </w:rPr>
            </w:pPr>
            <w:r w:rsidRPr="00471CBA">
              <w:rPr>
                <w:rFonts w:ascii="Times New Roman" w:hAnsi="Times New Roman" w:cs="Times New Roman"/>
                <w:sz w:val="15"/>
                <w:szCs w:val="15"/>
              </w:rPr>
              <w:t xml:space="preserve">AAA ile AA-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4359BFC2" w14:textId="77777777" w:rsidR="00F91828" w:rsidRPr="00471CBA" w:rsidRDefault="00F91828" w:rsidP="00F36B82">
            <w:pPr>
              <w:ind w:right="34"/>
              <w:jc w:val="center"/>
              <w:rPr>
                <w:rFonts w:ascii="Times New Roman" w:hAnsi="Times New Roman" w:cs="Times New Roman"/>
                <w:sz w:val="15"/>
                <w:szCs w:val="15"/>
              </w:rPr>
            </w:pPr>
            <w:r w:rsidRPr="00471CBA">
              <w:rPr>
                <w:rFonts w:ascii="Times New Roman" w:hAnsi="Times New Roman" w:cs="Times New Roman"/>
                <w:sz w:val="15"/>
                <w:szCs w:val="15"/>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651E4ABE" w14:textId="77777777" w:rsidR="00F91828" w:rsidRPr="00471CBA" w:rsidRDefault="00F91828" w:rsidP="00F36B82">
            <w:pPr>
              <w:spacing w:line="256" w:lineRule="auto"/>
              <w:ind w:right="41"/>
              <w:jc w:val="center"/>
              <w:rPr>
                <w:rFonts w:ascii="Times New Roman" w:hAnsi="Times New Roman" w:cs="Times New Roman"/>
                <w:sz w:val="15"/>
                <w:szCs w:val="15"/>
              </w:rPr>
            </w:pPr>
            <w:r w:rsidRPr="00471CBA">
              <w:rPr>
                <w:rFonts w:ascii="Times New Roman" w:eastAsia="Calibri" w:hAnsi="Times New Roman" w:cs="Times New Roman"/>
                <w:sz w:val="15"/>
                <w:szCs w:val="15"/>
              </w:rPr>
              <w:t>AAA</w:t>
            </w:r>
            <w:r w:rsidRPr="00471CBA">
              <w:rPr>
                <w:rFonts w:ascii="Times New Roman" w:hAnsi="Times New Roman" w:cs="Times New Roman"/>
                <w:sz w:val="15"/>
                <w:szCs w:val="15"/>
              </w:rPr>
              <w:t xml:space="preserve"> ile</w:t>
            </w:r>
            <w:r w:rsidRPr="00471CBA">
              <w:rPr>
                <w:rFonts w:ascii="Times New Roman" w:eastAsia="Calibri" w:hAnsi="Times New Roman" w:cs="Times New Roman"/>
                <w:sz w:val="15"/>
                <w:szCs w:val="15"/>
              </w:rPr>
              <w:t xml:space="preserve"> AA </w:t>
            </w:r>
          </w:p>
          <w:p w14:paraId="56264FFC" w14:textId="77777777" w:rsidR="00F91828" w:rsidRPr="00471CBA" w:rsidRDefault="00F91828" w:rsidP="00F36B82">
            <w:pPr>
              <w:ind w:right="37"/>
              <w:jc w:val="center"/>
              <w:rPr>
                <w:rFonts w:ascii="Times New Roman" w:hAnsi="Times New Roman" w:cs="Times New Roman"/>
                <w:sz w:val="15"/>
                <w:szCs w:val="15"/>
              </w:rPr>
            </w:pPr>
            <w:r w:rsidRPr="00471CBA">
              <w:rPr>
                <w:rFonts w:ascii="Times New Roman" w:eastAsia="Calibri" w:hAnsi="Times New Roman" w:cs="Times New Roman"/>
                <w:sz w:val="15"/>
                <w:szCs w:val="15"/>
              </w:rPr>
              <w:t>(</w:t>
            </w:r>
            <w:r w:rsidRPr="00471CBA">
              <w:rPr>
                <w:rFonts w:ascii="Times New Roman" w:hAnsi="Times New Roman" w:cs="Times New Roman"/>
                <w:sz w:val="15"/>
                <w:szCs w:val="15"/>
              </w:rPr>
              <w:t>düşük</w:t>
            </w:r>
            <w:r w:rsidRPr="00471CBA">
              <w:rPr>
                <w:rFonts w:ascii="Times New Roman" w:eastAsia="Calibri" w:hAnsi="Times New Roman" w:cs="Times New Roman"/>
                <w:sz w:val="15"/>
                <w:szCs w:val="15"/>
              </w:rPr>
              <w:t xml:space="preserve">)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16D76525" w14:textId="77777777" w:rsidR="00F91828" w:rsidRPr="00471CBA" w:rsidRDefault="00F91828" w:rsidP="00F36B82">
            <w:pPr>
              <w:ind w:left="36"/>
              <w:jc w:val="center"/>
              <w:rPr>
                <w:rFonts w:ascii="Times New Roman" w:hAnsi="Times New Roman" w:cs="Times New Roman"/>
                <w:sz w:val="15"/>
                <w:szCs w:val="15"/>
              </w:rPr>
            </w:pPr>
            <w:r w:rsidRPr="00471CBA">
              <w:rPr>
                <w:rFonts w:ascii="Times New Roman" w:hAnsi="Times New Roman" w:cs="Times New Roman"/>
                <w:sz w:val="15"/>
                <w:szCs w:val="15"/>
              </w:rPr>
              <w:t xml:space="preserve">AAA ile AA- </w:t>
            </w:r>
          </w:p>
        </w:tc>
      </w:tr>
      <w:tr w:rsidR="00F91828" w:rsidRPr="00471CBA" w14:paraId="6B43449E" w14:textId="77777777" w:rsidTr="00F36B82">
        <w:trPr>
          <w:cantSplit/>
          <w:trHeight w:val="2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76495551" w14:textId="77777777" w:rsidR="00F91828" w:rsidRPr="00471CBA" w:rsidRDefault="00F91828" w:rsidP="00F36B82">
            <w:pPr>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765AEDB2" w14:textId="77777777" w:rsidR="00F91828" w:rsidRPr="00471CBA" w:rsidRDefault="00F91828" w:rsidP="00F36B82">
            <w:pPr>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195DCDD0" w14:textId="77777777" w:rsidR="00F91828" w:rsidRPr="00471CBA" w:rsidRDefault="00F91828" w:rsidP="00F36B82">
            <w:pPr>
              <w:ind w:right="35"/>
              <w:jc w:val="center"/>
              <w:rPr>
                <w:rFonts w:ascii="Times New Roman" w:hAnsi="Times New Roman" w:cs="Times New Roman"/>
                <w:sz w:val="15"/>
                <w:szCs w:val="15"/>
              </w:rPr>
            </w:pPr>
            <w:r w:rsidRPr="00471CBA">
              <w:rPr>
                <w:rFonts w:ascii="Times New Roman" w:hAnsi="Times New Roman" w:cs="Times New Roman"/>
                <w:sz w:val="15"/>
                <w:szCs w:val="15"/>
              </w:rPr>
              <w:t>2</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3EAD59B0" w14:textId="77777777" w:rsidR="00F91828" w:rsidRPr="00471CBA" w:rsidRDefault="00F91828" w:rsidP="00F36B82">
            <w:pPr>
              <w:ind w:right="39"/>
              <w:jc w:val="center"/>
              <w:rPr>
                <w:rFonts w:ascii="Times New Roman" w:hAnsi="Times New Roman" w:cs="Times New Roman"/>
                <w:sz w:val="15"/>
                <w:szCs w:val="15"/>
              </w:rPr>
            </w:pPr>
            <w:r w:rsidRPr="00471CBA">
              <w:rPr>
                <w:rFonts w:ascii="Times New Roman" w:hAnsi="Times New Roman" w:cs="Times New Roman"/>
                <w:sz w:val="15"/>
                <w:szCs w:val="15"/>
              </w:rPr>
              <w:t xml:space="preserve">A+ ile A-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1B568676" w14:textId="77777777" w:rsidR="00F91828" w:rsidRPr="00471CBA" w:rsidRDefault="00F91828" w:rsidP="00F36B82">
            <w:pPr>
              <w:ind w:right="43"/>
              <w:jc w:val="center"/>
              <w:rPr>
                <w:rFonts w:ascii="Times New Roman" w:hAnsi="Times New Roman" w:cs="Times New Roman"/>
                <w:sz w:val="15"/>
                <w:szCs w:val="15"/>
              </w:rPr>
            </w:pPr>
            <w:r w:rsidRPr="00471CBA">
              <w:rPr>
                <w:rFonts w:ascii="Times New Roman" w:hAnsi="Times New Roman" w:cs="Times New Roman"/>
                <w:sz w:val="15"/>
                <w:szCs w:val="15"/>
              </w:rPr>
              <w:t xml:space="preserve">A1 ile A3 </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61712851" w14:textId="77777777" w:rsidR="00F91828" w:rsidRPr="00471CBA" w:rsidRDefault="00F91828" w:rsidP="00F36B82">
            <w:pPr>
              <w:ind w:right="37"/>
              <w:jc w:val="center"/>
              <w:rPr>
                <w:rFonts w:ascii="Times New Roman" w:hAnsi="Times New Roman" w:cs="Times New Roman"/>
                <w:sz w:val="15"/>
                <w:szCs w:val="15"/>
              </w:rPr>
            </w:pPr>
            <w:r w:rsidRPr="00471CBA">
              <w:rPr>
                <w:rFonts w:ascii="Times New Roman" w:hAnsi="Times New Roman" w:cs="Times New Roman"/>
                <w:sz w:val="15"/>
                <w:szCs w:val="15"/>
              </w:rPr>
              <w:t xml:space="preserve">A+ ile A-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4D24A841" w14:textId="77777777" w:rsidR="00F91828" w:rsidRPr="00471CBA" w:rsidRDefault="00F91828" w:rsidP="00F36B82">
            <w:pPr>
              <w:ind w:right="34"/>
              <w:jc w:val="center"/>
              <w:rPr>
                <w:rFonts w:ascii="Times New Roman" w:hAnsi="Times New Roman" w:cs="Times New Roman"/>
                <w:sz w:val="15"/>
                <w:szCs w:val="15"/>
              </w:rPr>
            </w:pPr>
            <w:r w:rsidRPr="00471CBA">
              <w:rPr>
                <w:rFonts w:ascii="Times New Roman" w:hAnsi="Times New Roman" w:cs="Times New Roman"/>
                <w:sz w:val="15"/>
                <w:szCs w:val="15"/>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1257B6FC" w14:textId="77777777" w:rsidR="00F91828" w:rsidRPr="00471CBA" w:rsidRDefault="00F91828" w:rsidP="00F36B82">
            <w:pPr>
              <w:jc w:val="center"/>
              <w:rPr>
                <w:rFonts w:ascii="Times New Roman" w:hAnsi="Times New Roman" w:cs="Times New Roman"/>
                <w:sz w:val="15"/>
                <w:szCs w:val="15"/>
              </w:rPr>
            </w:pPr>
            <w:r w:rsidRPr="00471CBA">
              <w:rPr>
                <w:rFonts w:ascii="Times New Roman" w:eastAsia="Calibri" w:hAnsi="Times New Roman" w:cs="Times New Roman"/>
                <w:sz w:val="15"/>
                <w:szCs w:val="15"/>
              </w:rPr>
              <w:t>A (</w:t>
            </w:r>
            <w:r w:rsidRPr="00471CBA">
              <w:rPr>
                <w:rFonts w:ascii="Times New Roman" w:hAnsi="Times New Roman" w:cs="Times New Roman"/>
                <w:sz w:val="15"/>
                <w:szCs w:val="15"/>
              </w:rPr>
              <w:t>yüksek</w:t>
            </w:r>
            <w:r w:rsidRPr="00471CBA">
              <w:rPr>
                <w:rFonts w:ascii="Times New Roman" w:eastAsia="Calibri" w:hAnsi="Times New Roman" w:cs="Times New Roman"/>
                <w:sz w:val="15"/>
                <w:szCs w:val="15"/>
              </w:rPr>
              <w:t xml:space="preserve">) </w:t>
            </w:r>
            <w:r w:rsidRPr="00471CBA">
              <w:rPr>
                <w:rFonts w:ascii="Times New Roman" w:hAnsi="Times New Roman" w:cs="Times New Roman"/>
                <w:sz w:val="15"/>
                <w:szCs w:val="15"/>
              </w:rPr>
              <w:t>ile</w:t>
            </w:r>
            <w:r w:rsidRPr="00471CBA">
              <w:rPr>
                <w:rFonts w:ascii="Times New Roman" w:eastAsia="Calibri" w:hAnsi="Times New Roman" w:cs="Times New Roman"/>
                <w:sz w:val="15"/>
                <w:szCs w:val="15"/>
              </w:rPr>
              <w:t xml:space="preserve"> A (</w:t>
            </w:r>
            <w:r w:rsidRPr="00471CBA">
              <w:rPr>
                <w:rFonts w:ascii="Times New Roman" w:hAnsi="Times New Roman" w:cs="Times New Roman"/>
                <w:sz w:val="15"/>
                <w:szCs w:val="15"/>
              </w:rPr>
              <w:t>düşük</w:t>
            </w:r>
            <w:r w:rsidRPr="00471CBA">
              <w:rPr>
                <w:rFonts w:ascii="Times New Roman" w:eastAsia="Calibri" w:hAnsi="Times New Roman" w:cs="Times New Roman"/>
                <w:sz w:val="15"/>
                <w:szCs w:val="15"/>
              </w:rPr>
              <w:t xml:space="preserve">)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4A138E34" w14:textId="77777777" w:rsidR="00F91828" w:rsidRPr="00471CBA" w:rsidRDefault="00F91828" w:rsidP="00F36B82">
            <w:pPr>
              <w:ind w:right="42"/>
              <w:jc w:val="center"/>
              <w:rPr>
                <w:rFonts w:ascii="Times New Roman" w:hAnsi="Times New Roman" w:cs="Times New Roman"/>
                <w:sz w:val="15"/>
                <w:szCs w:val="15"/>
              </w:rPr>
            </w:pPr>
            <w:r w:rsidRPr="00471CBA">
              <w:rPr>
                <w:rFonts w:ascii="Times New Roman" w:hAnsi="Times New Roman" w:cs="Times New Roman"/>
                <w:sz w:val="15"/>
                <w:szCs w:val="15"/>
              </w:rPr>
              <w:t xml:space="preserve">A+ ile A- </w:t>
            </w:r>
          </w:p>
        </w:tc>
      </w:tr>
      <w:tr w:rsidR="00F91828" w:rsidRPr="00471CBA" w14:paraId="1F3472D1" w14:textId="77777777" w:rsidTr="00F36B82">
        <w:trPr>
          <w:cantSplit/>
          <w:trHeight w:val="2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0EAC588A" w14:textId="77777777" w:rsidR="00F91828" w:rsidRPr="00471CBA" w:rsidRDefault="00F91828" w:rsidP="00F36B82">
            <w:pPr>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04CD526B" w14:textId="77777777" w:rsidR="00F91828" w:rsidRPr="00471CBA" w:rsidRDefault="00F91828" w:rsidP="00F36B82">
            <w:pPr>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53DF93C2" w14:textId="77777777" w:rsidR="00F91828" w:rsidRPr="00471CBA" w:rsidRDefault="00F91828" w:rsidP="00F36B82">
            <w:pPr>
              <w:ind w:right="35"/>
              <w:jc w:val="center"/>
              <w:rPr>
                <w:rFonts w:ascii="Times New Roman" w:hAnsi="Times New Roman" w:cs="Times New Roman"/>
                <w:sz w:val="15"/>
                <w:szCs w:val="15"/>
              </w:rPr>
            </w:pPr>
            <w:r w:rsidRPr="00471CBA">
              <w:rPr>
                <w:rFonts w:ascii="Times New Roman" w:hAnsi="Times New Roman" w:cs="Times New Roman"/>
                <w:sz w:val="15"/>
                <w:szCs w:val="15"/>
              </w:rPr>
              <w:t>3</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43345EDB" w14:textId="77777777" w:rsidR="00F91828" w:rsidRPr="00471CBA" w:rsidRDefault="00F91828" w:rsidP="00F36B82">
            <w:pPr>
              <w:jc w:val="center"/>
              <w:rPr>
                <w:rFonts w:ascii="Times New Roman" w:hAnsi="Times New Roman" w:cs="Times New Roman"/>
                <w:sz w:val="15"/>
                <w:szCs w:val="15"/>
              </w:rPr>
            </w:pPr>
            <w:r w:rsidRPr="00471CBA">
              <w:rPr>
                <w:rFonts w:ascii="Times New Roman" w:hAnsi="Times New Roman" w:cs="Times New Roman"/>
                <w:sz w:val="15"/>
                <w:szCs w:val="15"/>
              </w:rPr>
              <w:t xml:space="preserve">BBB+ ile BBB-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4B27C82E" w14:textId="77777777" w:rsidR="00F91828" w:rsidRPr="00471CBA" w:rsidRDefault="00F91828" w:rsidP="00F36B82">
            <w:pPr>
              <w:ind w:right="38"/>
              <w:jc w:val="center"/>
              <w:rPr>
                <w:rFonts w:ascii="Times New Roman" w:hAnsi="Times New Roman" w:cs="Times New Roman"/>
                <w:sz w:val="15"/>
                <w:szCs w:val="15"/>
              </w:rPr>
            </w:pPr>
            <w:r w:rsidRPr="00471CBA">
              <w:rPr>
                <w:rFonts w:ascii="Times New Roman" w:hAnsi="Times New Roman" w:cs="Times New Roman"/>
                <w:sz w:val="15"/>
                <w:szCs w:val="15"/>
              </w:rPr>
              <w:t xml:space="preserve">Baa1 ile Baa3 </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503777A2" w14:textId="77777777" w:rsidR="00F91828" w:rsidRPr="00471CBA" w:rsidRDefault="00F91828" w:rsidP="00F36B82">
            <w:pPr>
              <w:ind w:left="46"/>
              <w:jc w:val="center"/>
              <w:rPr>
                <w:rFonts w:ascii="Times New Roman" w:hAnsi="Times New Roman" w:cs="Times New Roman"/>
                <w:sz w:val="15"/>
                <w:szCs w:val="15"/>
              </w:rPr>
            </w:pPr>
            <w:r w:rsidRPr="00471CBA">
              <w:rPr>
                <w:rFonts w:ascii="Times New Roman" w:hAnsi="Times New Roman" w:cs="Times New Roman"/>
                <w:sz w:val="15"/>
                <w:szCs w:val="15"/>
              </w:rPr>
              <w:t xml:space="preserve">BBB+ ile BBB-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7AF56368" w14:textId="77777777" w:rsidR="00F91828" w:rsidRPr="00471CBA" w:rsidRDefault="00F91828" w:rsidP="00F36B82">
            <w:pPr>
              <w:ind w:right="34"/>
              <w:jc w:val="center"/>
              <w:rPr>
                <w:rFonts w:ascii="Times New Roman" w:hAnsi="Times New Roman" w:cs="Times New Roman"/>
                <w:sz w:val="15"/>
                <w:szCs w:val="15"/>
              </w:rPr>
            </w:pPr>
            <w:r w:rsidRPr="00471CBA">
              <w:rPr>
                <w:rFonts w:ascii="Times New Roman" w:hAnsi="Times New Roman" w:cs="Times New Roman"/>
                <w:sz w:val="15"/>
                <w:szCs w:val="15"/>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32F379A7" w14:textId="77777777" w:rsidR="00F91828" w:rsidRPr="00471CBA" w:rsidRDefault="00F91828" w:rsidP="00F36B82">
            <w:pPr>
              <w:ind w:left="26" w:right="27"/>
              <w:jc w:val="center"/>
              <w:rPr>
                <w:rFonts w:ascii="Times New Roman" w:hAnsi="Times New Roman" w:cs="Times New Roman"/>
                <w:sz w:val="15"/>
                <w:szCs w:val="15"/>
              </w:rPr>
            </w:pPr>
            <w:r w:rsidRPr="00471CBA">
              <w:rPr>
                <w:rFonts w:ascii="Times New Roman" w:eastAsia="Calibri" w:hAnsi="Times New Roman" w:cs="Times New Roman"/>
                <w:sz w:val="15"/>
                <w:szCs w:val="15"/>
              </w:rPr>
              <w:t>BBB (</w:t>
            </w:r>
            <w:r w:rsidRPr="00471CBA">
              <w:rPr>
                <w:rFonts w:ascii="Times New Roman" w:hAnsi="Times New Roman" w:cs="Times New Roman"/>
                <w:sz w:val="15"/>
                <w:szCs w:val="15"/>
              </w:rPr>
              <w:t>yüksek</w:t>
            </w:r>
            <w:r w:rsidRPr="00471CBA">
              <w:rPr>
                <w:rFonts w:ascii="Times New Roman" w:eastAsia="Calibri" w:hAnsi="Times New Roman" w:cs="Times New Roman"/>
                <w:sz w:val="15"/>
                <w:szCs w:val="15"/>
              </w:rPr>
              <w:t xml:space="preserve">) </w:t>
            </w:r>
            <w:r w:rsidRPr="00471CBA">
              <w:rPr>
                <w:rFonts w:ascii="Times New Roman" w:hAnsi="Times New Roman" w:cs="Times New Roman"/>
                <w:sz w:val="15"/>
                <w:szCs w:val="15"/>
              </w:rPr>
              <w:t>ile</w:t>
            </w:r>
            <w:r w:rsidRPr="00471CBA">
              <w:rPr>
                <w:rFonts w:ascii="Times New Roman" w:eastAsia="Calibri" w:hAnsi="Times New Roman" w:cs="Times New Roman"/>
                <w:sz w:val="15"/>
                <w:szCs w:val="15"/>
              </w:rPr>
              <w:t xml:space="preserve"> BBB (</w:t>
            </w:r>
            <w:r w:rsidRPr="00471CBA">
              <w:rPr>
                <w:rFonts w:ascii="Times New Roman" w:hAnsi="Times New Roman" w:cs="Times New Roman"/>
                <w:sz w:val="15"/>
                <w:szCs w:val="15"/>
              </w:rPr>
              <w:t>düşük</w:t>
            </w:r>
            <w:r w:rsidRPr="00471CBA">
              <w:rPr>
                <w:rFonts w:ascii="Times New Roman" w:eastAsia="Calibri" w:hAnsi="Times New Roman" w:cs="Times New Roman"/>
                <w:sz w:val="15"/>
                <w:szCs w:val="15"/>
              </w:rPr>
              <w:t xml:space="preserve">)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418ED2A9" w14:textId="77777777" w:rsidR="00F91828" w:rsidRPr="00471CBA" w:rsidRDefault="00F91828" w:rsidP="00F36B82">
            <w:pPr>
              <w:jc w:val="center"/>
              <w:rPr>
                <w:rFonts w:ascii="Times New Roman" w:hAnsi="Times New Roman" w:cs="Times New Roman"/>
                <w:sz w:val="15"/>
                <w:szCs w:val="15"/>
              </w:rPr>
            </w:pPr>
            <w:r w:rsidRPr="00471CBA">
              <w:rPr>
                <w:rFonts w:ascii="Times New Roman" w:hAnsi="Times New Roman" w:cs="Times New Roman"/>
                <w:sz w:val="15"/>
                <w:szCs w:val="15"/>
              </w:rPr>
              <w:t xml:space="preserve">BBB+ ile BBB- </w:t>
            </w:r>
          </w:p>
        </w:tc>
      </w:tr>
      <w:tr w:rsidR="00F91828" w:rsidRPr="00471CBA" w14:paraId="1D20A329" w14:textId="77777777" w:rsidTr="00F36B82">
        <w:trPr>
          <w:cantSplit/>
          <w:trHeight w:val="2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3A25721A" w14:textId="77777777" w:rsidR="00F91828" w:rsidRPr="00471CBA" w:rsidRDefault="00F91828" w:rsidP="00F36B82">
            <w:pPr>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49970F6F" w14:textId="77777777" w:rsidR="00F91828" w:rsidRPr="00471CBA" w:rsidRDefault="00F91828" w:rsidP="00F36B82">
            <w:pPr>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4337F3CF" w14:textId="77777777" w:rsidR="00F91828" w:rsidRPr="00471CBA" w:rsidRDefault="00F91828" w:rsidP="00F36B82">
            <w:pPr>
              <w:ind w:right="35"/>
              <w:jc w:val="center"/>
              <w:rPr>
                <w:rFonts w:ascii="Times New Roman" w:hAnsi="Times New Roman" w:cs="Times New Roman"/>
                <w:sz w:val="15"/>
                <w:szCs w:val="15"/>
              </w:rPr>
            </w:pPr>
            <w:r w:rsidRPr="00471CBA">
              <w:rPr>
                <w:rFonts w:ascii="Times New Roman" w:hAnsi="Times New Roman" w:cs="Times New Roman"/>
                <w:sz w:val="15"/>
                <w:szCs w:val="15"/>
              </w:rPr>
              <w:t>4</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549127E9" w14:textId="77777777" w:rsidR="00F91828" w:rsidRPr="00471CBA" w:rsidRDefault="00F91828" w:rsidP="00F36B82">
            <w:pPr>
              <w:ind w:right="37"/>
              <w:jc w:val="center"/>
              <w:rPr>
                <w:rFonts w:ascii="Times New Roman" w:hAnsi="Times New Roman" w:cs="Times New Roman"/>
                <w:sz w:val="15"/>
                <w:szCs w:val="15"/>
              </w:rPr>
            </w:pPr>
            <w:r w:rsidRPr="00471CBA">
              <w:rPr>
                <w:rFonts w:ascii="Times New Roman" w:hAnsi="Times New Roman" w:cs="Times New Roman"/>
                <w:sz w:val="15"/>
                <w:szCs w:val="15"/>
              </w:rPr>
              <w:t xml:space="preserve">BB+ ile BB-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5FB4FC12" w14:textId="77777777" w:rsidR="00F91828" w:rsidRPr="00471CBA" w:rsidRDefault="00F91828" w:rsidP="00F36B82">
            <w:pPr>
              <w:ind w:right="40"/>
              <w:jc w:val="center"/>
              <w:rPr>
                <w:rFonts w:ascii="Times New Roman" w:hAnsi="Times New Roman" w:cs="Times New Roman"/>
                <w:sz w:val="15"/>
                <w:szCs w:val="15"/>
              </w:rPr>
            </w:pPr>
            <w:r w:rsidRPr="00471CBA">
              <w:rPr>
                <w:rFonts w:ascii="Times New Roman" w:hAnsi="Times New Roman" w:cs="Times New Roman"/>
                <w:sz w:val="15"/>
                <w:szCs w:val="15"/>
              </w:rPr>
              <w:t xml:space="preserve">Ba1 ile Ba3 </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3D3723FE" w14:textId="77777777" w:rsidR="00F91828" w:rsidRPr="00471CBA" w:rsidRDefault="00F91828" w:rsidP="00F36B82">
            <w:pPr>
              <w:ind w:right="35"/>
              <w:jc w:val="center"/>
              <w:rPr>
                <w:rFonts w:ascii="Times New Roman" w:hAnsi="Times New Roman" w:cs="Times New Roman"/>
                <w:sz w:val="15"/>
                <w:szCs w:val="15"/>
              </w:rPr>
            </w:pPr>
            <w:r w:rsidRPr="00471CBA">
              <w:rPr>
                <w:rFonts w:ascii="Times New Roman" w:hAnsi="Times New Roman" w:cs="Times New Roman"/>
                <w:sz w:val="15"/>
                <w:szCs w:val="15"/>
              </w:rPr>
              <w:t xml:space="preserve">BB+ ile BB-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076C9EDE" w14:textId="77777777" w:rsidR="00F91828" w:rsidRPr="00471CBA" w:rsidRDefault="00F91828" w:rsidP="00F36B82">
            <w:pPr>
              <w:ind w:right="34"/>
              <w:jc w:val="center"/>
              <w:rPr>
                <w:rFonts w:ascii="Times New Roman" w:hAnsi="Times New Roman" w:cs="Times New Roman"/>
                <w:sz w:val="15"/>
                <w:szCs w:val="15"/>
              </w:rPr>
            </w:pPr>
            <w:r w:rsidRPr="00471CBA">
              <w:rPr>
                <w:rFonts w:ascii="Times New Roman" w:hAnsi="Times New Roman" w:cs="Times New Roman"/>
                <w:sz w:val="15"/>
                <w:szCs w:val="15"/>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6D176B16" w14:textId="77777777" w:rsidR="00F91828" w:rsidRPr="00471CBA" w:rsidRDefault="00F91828" w:rsidP="00F36B82">
            <w:pPr>
              <w:jc w:val="center"/>
              <w:rPr>
                <w:rFonts w:ascii="Times New Roman" w:hAnsi="Times New Roman" w:cs="Times New Roman"/>
                <w:sz w:val="15"/>
                <w:szCs w:val="15"/>
              </w:rPr>
            </w:pPr>
            <w:r w:rsidRPr="00471CBA">
              <w:rPr>
                <w:rFonts w:ascii="Times New Roman" w:eastAsia="Calibri" w:hAnsi="Times New Roman" w:cs="Times New Roman"/>
                <w:sz w:val="15"/>
                <w:szCs w:val="15"/>
              </w:rPr>
              <w:t>BB (</w:t>
            </w:r>
            <w:r w:rsidRPr="00471CBA">
              <w:rPr>
                <w:rFonts w:ascii="Times New Roman" w:hAnsi="Times New Roman" w:cs="Times New Roman"/>
                <w:sz w:val="15"/>
                <w:szCs w:val="15"/>
              </w:rPr>
              <w:t>yüksek</w:t>
            </w:r>
            <w:r w:rsidRPr="00471CBA">
              <w:rPr>
                <w:rFonts w:ascii="Times New Roman" w:eastAsia="Calibri" w:hAnsi="Times New Roman" w:cs="Times New Roman"/>
                <w:sz w:val="15"/>
                <w:szCs w:val="15"/>
              </w:rPr>
              <w:t>)</w:t>
            </w:r>
            <w:r w:rsidRPr="00471CBA">
              <w:rPr>
                <w:rFonts w:ascii="Times New Roman" w:hAnsi="Times New Roman" w:cs="Times New Roman"/>
                <w:sz w:val="15"/>
                <w:szCs w:val="15"/>
              </w:rPr>
              <w:t xml:space="preserve"> ile</w:t>
            </w:r>
            <w:r w:rsidRPr="00471CBA">
              <w:rPr>
                <w:rFonts w:ascii="Times New Roman" w:eastAsia="Calibri" w:hAnsi="Times New Roman" w:cs="Times New Roman"/>
                <w:sz w:val="15"/>
                <w:szCs w:val="15"/>
              </w:rPr>
              <w:t xml:space="preserve"> BB (</w:t>
            </w:r>
            <w:r w:rsidRPr="00471CBA">
              <w:rPr>
                <w:rFonts w:ascii="Times New Roman" w:hAnsi="Times New Roman" w:cs="Times New Roman"/>
                <w:sz w:val="15"/>
                <w:szCs w:val="15"/>
              </w:rPr>
              <w:t>düşük</w:t>
            </w:r>
            <w:r w:rsidRPr="00471CBA">
              <w:rPr>
                <w:rFonts w:ascii="Times New Roman" w:eastAsia="Calibri" w:hAnsi="Times New Roman" w:cs="Times New Roman"/>
                <w:sz w:val="15"/>
                <w:szCs w:val="15"/>
              </w:rPr>
              <w:t xml:space="preserve">)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36740CED" w14:textId="77777777" w:rsidR="00F91828" w:rsidRPr="00471CBA" w:rsidRDefault="00F91828" w:rsidP="00F36B82">
            <w:pPr>
              <w:ind w:right="39"/>
              <w:jc w:val="center"/>
              <w:rPr>
                <w:rFonts w:ascii="Times New Roman" w:hAnsi="Times New Roman" w:cs="Times New Roman"/>
                <w:sz w:val="15"/>
                <w:szCs w:val="15"/>
              </w:rPr>
            </w:pPr>
            <w:r w:rsidRPr="00471CBA">
              <w:rPr>
                <w:rFonts w:ascii="Times New Roman" w:hAnsi="Times New Roman" w:cs="Times New Roman"/>
                <w:sz w:val="15"/>
                <w:szCs w:val="15"/>
              </w:rPr>
              <w:t xml:space="preserve">BB+ ile BB- </w:t>
            </w:r>
          </w:p>
        </w:tc>
      </w:tr>
      <w:tr w:rsidR="00F91828" w:rsidRPr="00471CBA" w14:paraId="4914AC68" w14:textId="77777777" w:rsidTr="00F36B82">
        <w:trPr>
          <w:cantSplit/>
          <w:trHeight w:val="2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0820252E" w14:textId="77777777" w:rsidR="00F91828" w:rsidRPr="00471CBA" w:rsidRDefault="00F91828" w:rsidP="00F36B82">
            <w:pPr>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543EFB8C" w14:textId="77777777" w:rsidR="00F91828" w:rsidRPr="00471CBA" w:rsidRDefault="00F91828" w:rsidP="00F36B82">
            <w:pPr>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0F451FA6" w14:textId="77777777" w:rsidR="00F91828" w:rsidRPr="00471CBA" w:rsidRDefault="00F91828" w:rsidP="00F36B82">
            <w:pPr>
              <w:ind w:right="35"/>
              <w:jc w:val="center"/>
              <w:rPr>
                <w:rFonts w:ascii="Times New Roman" w:hAnsi="Times New Roman" w:cs="Times New Roman"/>
                <w:sz w:val="15"/>
                <w:szCs w:val="15"/>
              </w:rPr>
            </w:pPr>
            <w:r w:rsidRPr="00471CBA">
              <w:rPr>
                <w:rFonts w:ascii="Times New Roman" w:hAnsi="Times New Roman" w:cs="Times New Roman"/>
                <w:sz w:val="15"/>
                <w:szCs w:val="15"/>
              </w:rPr>
              <w:t>5</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69DBEB75" w14:textId="77777777" w:rsidR="00F91828" w:rsidRPr="00471CBA" w:rsidRDefault="00F91828" w:rsidP="00F36B82">
            <w:pPr>
              <w:ind w:right="37"/>
              <w:jc w:val="center"/>
              <w:rPr>
                <w:rFonts w:ascii="Times New Roman" w:hAnsi="Times New Roman" w:cs="Times New Roman"/>
                <w:sz w:val="15"/>
                <w:szCs w:val="15"/>
              </w:rPr>
            </w:pPr>
            <w:r w:rsidRPr="00471CBA">
              <w:rPr>
                <w:rFonts w:ascii="Times New Roman" w:hAnsi="Times New Roman" w:cs="Times New Roman"/>
                <w:sz w:val="15"/>
                <w:szCs w:val="15"/>
              </w:rPr>
              <w:t xml:space="preserve">B+ ve aşağısı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34E4E4A3" w14:textId="77777777" w:rsidR="00F91828" w:rsidRPr="00471CBA" w:rsidRDefault="00F91828" w:rsidP="00F36B82">
            <w:pPr>
              <w:ind w:right="37"/>
              <w:jc w:val="center"/>
              <w:rPr>
                <w:rFonts w:ascii="Times New Roman" w:hAnsi="Times New Roman" w:cs="Times New Roman"/>
                <w:sz w:val="15"/>
                <w:szCs w:val="15"/>
              </w:rPr>
            </w:pPr>
            <w:r w:rsidRPr="00471CBA">
              <w:rPr>
                <w:rFonts w:ascii="Times New Roman" w:hAnsi="Times New Roman" w:cs="Times New Roman"/>
                <w:sz w:val="15"/>
                <w:szCs w:val="15"/>
              </w:rPr>
              <w:t xml:space="preserve">B1 ve aşağısı </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4C2401BA" w14:textId="77777777" w:rsidR="00F91828" w:rsidRPr="00471CBA" w:rsidRDefault="00F91828" w:rsidP="00F36B82">
            <w:pPr>
              <w:ind w:right="34"/>
              <w:jc w:val="center"/>
              <w:rPr>
                <w:rFonts w:ascii="Times New Roman" w:hAnsi="Times New Roman" w:cs="Times New Roman"/>
                <w:sz w:val="15"/>
                <w:szCs w:val="15"/>
              </w:rPr>
            </w:pPr>
            <w:r w:rsidRPr="00471CBA">
              <w:rPr>
                <w:rFonts w:ascii="Times New Roman" w:hAnsi="Times New Roman" w:cs="Times New Roman"/>
                <w:sz w:val="15"/>
                <w:szCs w:val="15"/>
              </w:rPr>
              <w:t xml:space="preserve">B+ ve aşağısı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1C632579" w14:textId="77777777" w:rsidR="00F91828" w:rsidRPr="00471CBA" w:rsidRDefault="00F91828" w:rsidP="00F36B82">
            <w:pPr>
              <w:ind w:right="34"/>
              <w:jc w:val="center"/>
              <w:rPr>
                <w:rFonts w:ascii="Times New Roman" w:hAnsi="Times New Roman" w:cs="Times New Roman"/>
                <w:sz w:val="15"/>
                <w:szCs w:val="15"/>
              </w:rPr>
            </w:pPr>
            <w:r w:rsidRPr="00471CBA">
              <w:rPr>
                <w:rFonts w:ascii="Times New Roman" w:hAnsi="Times New Roman" w:cs="Times New Roman"/>
                <w:sz w:val="15"/>
                <w:szCs w:val="15"/>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22A151D3" w14:textId="77777777" w:rsidR="00F91828" w:rsidRPr="00471CBA" w:rsidRDefault="00F91828" w:rsidP="00F36B82">
            <w:pPr>
              <w:jc w:val="center"/>
              <w:rPr>
                <w:rFonts w:ascii="Times New Roman" w:hAnsi="Times New Roman" w:cs="Times New Roman"/>
                <w:sz w:val="15"/>
                <w:szCs w:val="15"/>
              </w:rPr>
            </w:pPr>
            <w:r w:rsidRPr="00471CBA">
              <w:rPr>
                <w:rFonts w:ascii="Times New Roman" w:eastAsia="Calibri" w:hAnsi="Times New Roman" w:cs="Times New Roman"/>
                <w:sz w:val="15"/>
                <w:szCs w:val="15"/>
              </w:rPr>
              <w:t>B (</w:t>
            </w:r>
            <w:r w:rsidRPr="00471CBA">
              <w:rPr>
                <w:rFonts w:ascii="Times New Roman" w:hAnsi="Times New Roman" w:cs="Times New Roman"/>
                <w:sz w:val="15"/>
                <w:szCs w:val="15"/>
              </w:rPr>
              <w:t>yüksek</w:t>
            </w:r>
            <w:r w:rsidRPr="00471CBA">
              <w:rPr>
                <w:rFonts w:ascii="Times New Roman" w:eastAsia="Calibri" w:hAnsi="Times New Roman" w:cs="Times New Roman"/>
                <w:sz w:val="15"/>
                <w:szCs w:val="15"/>
              </w:rPr>
              <w:t xml:space="preserve">) </w:t>
            </w:r>
            <w:r w:rsidRPr="00471CBA">
              <w:rPr>
                <w:rFonts w:ascii="Times New Roman" w:hAnsi="Times New Roman" w:cs="Times New Roman"/>
                <w:sz w:val="15"/>
                <w:szCs w:val="15"/>
              </w:rPr>
              <w:t xml:space="preserve">ve aşağısı </w:t>
            </w:r>
            <w:r w:rsidRPr="00471CBA">
              <w:rPr>
                <w:rFonts w:ascii="Times New Roman" w:eastAsia="Calibri" w:hAnsi="Times New Roman" w:cs="Times New Roman"/>
                <w:sz w:val="15"/>
                <w:szCs w:val="15"/>
              </w:rPr>
              <w:t xml:space="preserve">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21CCCE57" w14:textId="77777777" w:rsidR="00F91828" w:rsidRPr="00471CBA" w:rsidRDefault="00F91828" w:rsidP="00F36B82">
            <w:pPr>
              <w:ind w:left="38"/>
              <w:jc w:val="center"/>
              <w:rPr>
                <w:rFonts w:ascii="Times New Roman" w:hAnsi="Times New Roman" w:cs="Times New Roman"/>
                <w:sz w:val="15"/>
                <w:szCs w:val="15"/>
              </w:rPr>
            </w:pPr>
            <w:r w:rsidRPr="00471CBA">
              <w:rPr>
                <w:rFonts w:ascii="Times New Roman" w:hAnsi="Times New Roman" w:cs="Times New Roman"/>
                <w:sz w:val="15"/>
                <w:szCs w:val="15"/>
              </w:rPr>
              <w:t xml:space="preserve">B+ ve aşağısı </w:t>
            </w:r>
          </w:p>
        </w:tc>
      </w:tr>
      <w:tr w:rsidR="00F91828" w:rsidRPr="00471CBA" w14:paraId="76F41186" w14:textId="77777777" w:rsidTr="00F36B82">
        <w:trPr>
          <w:cantSplit/>
          <w:trHeight w:val="2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3926F297" w14:textId="77777777" w:rsidR="00F91828" w:rsidRPr="00471CBA" w:rsidRDefault="00F91828" w:rsidP="00F36B82">
            <w:pPr>
              <w:rPr>
                <w:rFonts w:ascii="Times New Roman" w:hAnsi="Times New Roman" w:cs="Times New Roman"/>
                <w:b/>
                <w:sz w:val="15"/>
                <w:szCs w:val="15"/>
              </w:rPr>
            </w:pPr>
          </w:p>
        </w:tc>
        <w:tc>
          <w:tcPr>
            <w:tcW w:w="515" w:type="pct"/>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14:paraId="26355868" w14:textId="77777777" w:rsidR="00F91828" w:rsidRPr="00471CBA" w:rsidRDefault="00F91828" w:rsidP="00F36B82">
            <w:pPr>
              <w:ind w:left="54" w:right="113"/>
              <w:jc w:val="center"/>
              <w:rPr>
                <w:rFonts w:ascii="Times New Roman" w:hAnsi="Times New Roman" w:cs="Times New Roman"/>
                <w:b/>
                <w:sz w:val="15"/>
                <w:szCs w:val="15"/>
              </w:rPr>
            </w:pPr>
            <w:r w:rsidRPr="00471CBA">
              <w:rPr>
                <w:rFonts w:ascii="Times New Roman" w:hAnsi="Times New Roman" w:cs="Times New Roman"/>
                <w:b/>
                <w:sz w:val="15"/>
                <w:szCs w:val="15"/>
              </w:rPr>
              <w:t>Kısa vadeli menkul Kıymetleştirme pozisyonları için derecelendirmeler</w:t>
            </w: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678D678B" w14:textId="77777777" w:rsidR="00F91828" w:rsidRPr="00471CBA" w:rsidRDefault="00F91828" w:rsidP="00F36B82">
            <w:pPr>
              <w:ind w:right="35"/>
              <w:jc w:val="center"/>
              <w:rPr>
                <w:rFonts w:ascii="Times New Roman" w:hAnsi="Times New Roman" w:cs="Times New Roman"/>
                <w:sz w:val="15"/>
                <w:szCs w:val="15"/>
              </w:rPr>
            </w:pPr>
            <w:r w:rsidRPr="00471CBA">
              <w:rPr>
                <w:rFonts w:ascii="Times New Roman" w:hAnsi="Times New Roman" w:cs="Times New Roman"/>
                <w:sz w:val="15"/>
                <w:szCs w:val="15"/>
              </w:rPr>
              <w:t>1</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36CA3090" w14:textId="77777777" w:rsidR="00F91828" w:rsidRPr="00471CBA" w:rsidRDefault="00F91828" w:rsidP="00F36B82">
            <w:pPr>
              <w:ind w:right="38"/>
              <w:jc w:val="center"/>
              <w:rPr>
                <w:rFonts w:ascii="Times New Roman" w:hAnsi="Times New Roman" w:cs="Times New Roman"/>
                <w:sz w:val="15"/>
                <w:szCs w:val="15"/>
              </w:rPr>
            </w:pPr>
            <w:r w:rsidRPr="00471CBA">
              <w:rPr>
                <w:rFonts w:ascii="Times New Roman" w:hAnsi="Times New Roman" w:cs="Times New Roman"/>
                <w:sz w:val="15"/>
                <w:szCs w:val="15"/>
              </w:rPr>
              <w:t xml:space="preserve">F1+ ile F1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05B5E1D4" w14:textId="77777777" w:rsidR="00F91828" w:rsidRPr="00471CBA" w:rsidRDefault="00F91828" w:rsidP="00F36B82">
            <w:pPr>
              <w:ind w:right="42"/>
              <w:jc w:val="center"/>
              <w:rPr>
                <w:rFonts w:ascii="Times New Roman" w:hAnsi="Times New Roman" w:cs="Times New Roman"/>
                <w:sz w:val="15"/>
                <w:szCs w:val="15"/>
              </w:rPr>
            </w:pPr>
            <w:r w:rsidRPr="00471CBA">
              <w:rPr>
                <w:rFonts w:ascii="Times New Roman" w:hAnsi="Times New Roman" w:cs="Times New Roman"/>
                <w:sz w:val="15"/>
                <w:szCs w:val="15"/>
              </w:rPr>
              <w:t xml:space="preserve">P-1 </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2DA52981" w14:textId="77777777" w:rsidR="00F91828" w:rsidRPr="00471CBA" w:rsidRDefault="00F91828" w:rsidP="00F36B82">
            <w:pPr>
              <w:ind w:right="34"/>
              <w:jc w:val="center"/>
              <w:rPr>
                <w:rFonts w:ascii="Times New Roman" w:hAnsi="Times New Roman" w:cs="Times New Roman"/>
                <w:sz w:val="15"/>
                <w:szCs w:val="15"/>
              </w:rPr>
            </w:pPr>
            <w:r w:rsidRPr="00471CBA">
              <w:rPr>
                <w:rFonts w:ascii="Times New Roman" w:hAnsi="Times New Roman" w:cs="Times New Roman"/>
                <w:sz w:val="15"/>
                <w:szCs w:val="15"/>
              </w:rPr>
              <w:t xml:space="preserve">A-1+ ile A-1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34360923" w14:textId="77777777" w:rsidR="00F91828" w:rsidRPr="00471CBA" w:rsidRDefault="00F91828" w:rsidP="00F36B82">
            <w:pPr>
              <w:ind w:right="34"/>
              <w:jc w:val="center"/>
              <w:rPr>
                <w:rFonts w:ascii="Times New Roman" w:hAnsi="Times New Roman" w:cs="Times New Roman"/>
                <w:sz w:val="15"/>
                <w:szCs w:val="15"/>
              </w:rPr>
            </w:pPr>
            <w:r w:rsidRPr="00471CBA">
              <w:rPr>
                <w:rFonts w:ascii="Times New Roman" w:hAnsi="Times New Roman" w:cs="Times New Roman"/>
                <w:sz w:val="15"/>
                <w:szCs w:val="15"/>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1809644D" w14:textId="77777777" w:rsidR="00F91828" w:rsidRPr="00471CBA" w:rsidRDefault="00F91828" w:rsidP="00F36B82">
            <w:pPr>
              <w:jc w:val="center"/>
              <w:rPr>
                <w:rFonts w:ascii="Times New Roman" w:hAnsi="Times New Roman" w:cs="Times New Roman"/>
                <w:sz w:val="15"/>
                <w:szCs w:val="15"/>
              </w:rPr>
            </w:pPr>
            <w:r w:rsidRPr="00471CBA">
              <w:rPr>
                <w:rFonts w:ascii="Times New Roman" w:eastAsia="Calibri" w:hAnsi="Times New Roman" w:cs="Times New Roman"/>
                <w:sz w:val="15"/>
                <w:szCs w:val="15"/>
              </w:rPr>
              <w:t>R-1 (</w:t>
            </w:r>
            <w:r w:rsidRPr="00471CBA">
              <w:rPr>
                <w:rFonts w:ascii="Times New Roman" w:hAnsi="Times New Roman" w:cs="Times New Roman"/>
                <w:sz w:val="15"/>
                <w:szCs w:val="15"/>
              </w:rPr>
              <w:t>yüksek</w:t>
            </w:r>
            <w:r w:rsidRPr="00471CBA">
              <w:rPr>
                <w:rFonts w:ascii="Times New Roman" w:eastAsia="Calibri" w:hAnsi="Times New Roman" w:cs="Times New Roman"/>
                <w:sz w:val="15"/>
                <w:szCs w:val="15"/>
              </w:rPr>
              <w:t xml:space="preserve">) </w:t>
            </w:r>
            <w:r w:rsidRPr="00471CBA">
              <w:rPr>
                <w:rFonts w:ascii="Times New Roman" w:hAnsi="Times New Roman" w:cs="Times New Roman"/>
                <w:sz w:val="15"/>
                <w:szCs w:val="15"/>
              </w:rPr>
              <w:t>ile</w:t>
            </w:r>
            <w:r w:rsidRPr="00471CBA">
              <w:rPr>
                <w:rFonts w:ascii="Times New Roman" w:eastAsia="Calibri" w:hAnsi="Times New Roman" w:cs="Times New Roman"/>
                <w:sz w:val="15"/>
                <w:szCs w:val="15"/>
              </w:rPr>
              <w:t xml:space="preserve"> R-1 (</w:t>
            </w:r>
            <w:r w:rsidRPr="00471CBA">
              <w:rPr>
                <w:rFonts w:ascii="Times New Roman" w:hAnsi="Times New Roman" w:cs="Times New Roman"/>
                <w:sz w:val="15"/>
                <w:szCs w:val="15"/>
              </w:rPr>
              <w:t>düşük</w:t>
            </w:r>
            <w:r w:rsidRPr="00471CBA">
              <w:rPr>
                <w:rFonts w:ascii="Times New Roman" w:eastAsia="Calibri" w:hAnsi="Times New Roman" w:cs="Times New Roman"/>
                <w:sz w:val="15"/>
                <w:szCs w:val="15"/>
              </w:rPr>
              <w:t xml:space="preserve">)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3B59969E" w14:textId="77777777" w:rsidR="00F91828" w:rsidRPr="00471CBA" w:rsidRDefault="00F91828" w:rsidP="00F36B82">
            <w:pPr>
              <w:ind w:right="39"/>
              <w:jc w:val="center"/>
              <w:rPr>
                <w:rFonts w:ascii="Times New Roman" w:hAnsi="Times New Roman" w:cs="Times New Roman"/>
                <w:sz w:val="15"/>
                <w:szCs w:val="15"/>
              </w:rPr>
            </w:pPr>
            <w:r w:rsidRPr="00471CBA">
              <w:rPr>
                <w:rFonts w:ascii="Times New Roman" w:hAnsi="Times New Roman" w:cs="Times New Roman"/>
                <w:sz w:val="15"/>
                <w:szCs w:val="15"/>
              </w:rPr>
              <w:t xml:space="preserve">A-1+ ile A-1 </w:t>
            </w:r>
          </w:p>
        </w:tc>
      </w:tr>
      <w:tr w:rsidR="00F91828" w:rsidRPr="00471CBA" w14:paraId="4C8C0854" w14:textId="77777777" w:rsidTr="00F36B82">
        <w:trPr>
          <w:cantSplit/>
          <w:trHeight w:val="2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0C5131A0" w14:textId="77777777" w:rsidR="00F91828" w:rsidRPr="00471CBA" w:rsidRDefault="00F91828" w:rsidP="00F36B82">
            <w:pPr>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21E988FD" w14:textId="77777777" w:rsidR="00F91828" w:rsidRPr="00471CBA" w:rsidRDefault="00F91828" w:rsidP="00F36B82">
            <w:pPr>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17391ECA" w14:textId="77777777" w:rsidR="00F91828" w:rsidRPr="00471CBA" w:rsidRDefault="00F91828" w:rsidP="00F36B82">
            <w:pPr>
              <w:ind w:right="35"/>
              <w:jc w:val="center"/>
              <w:rPr>
                <w:rFonts w:ascii="Times New Roman" w:hAnsi="Times New Roman" w:cs="Times New Roman"/>
                <w:sz w:val="15"/>
                <w:szCs w:val="15"/>
              </w:rPr>
            </w:pPr>
            <w:r w:rsidRPr="00471CBA">
              <w:rPr>
                <w:rFonts w:ascii="Times New Roman" w:hAnsi="Times New Roman" w:cs="Times New Roman"/>
                <w:sz w:val="15"/>
                <w:szCs w:val="15"/>
              </w:rPr>
              <w:t>2</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055EECCD" w14:textId="77777777" w:rsidR="00F91828" w:rsidRPr="00471CBA" w:rsidRDefault="00F91828" w:rsidP="00F36B82">
            <w:pPr>
              <w:ind w:right="39"/>
              <w:jc w:val="center"/>
              <w:rPr>
                <w:rFonts w:ascii="Times New Roman" w:hAnsi="Times New Roman" w:cs="Times New Roman"/>
                <w:sz w:val="15"/>
                <w:szCs w:val="15"/>
              </w:rPr>
            </w:pPr>
            <w:r w:rsidRPr="00471CBA">
              <w:rPr>
                <w:rFonts w:ascii="Times New Roman" w:hAnsi="Times New Roman" w:cs="Times New Roman"/>
                <w:sz w:val="15"/>
                <w:szCs w:val="15"/>
              </w:rPr>
              <w:t xml:space="preserve">F2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25AF178B" w14:textId="77777777" w:rsidR="00F91828" w:rsidRPr="00471CBA" w:rsidRDefault="00F91828" w:rsidP="00F36B82">
            <w:pPr>
              <w:ind w:right="42"/>
              <w:jc w:val="center"/>
              <w:rPr>
                <w:rFonts w:ascii="Times New Roman" w:hAnsi="Times New Roman" w:cs="Times New Roman"/>
                <w:sz w:val="15"/>
                <w:szCs w:val="15"/>
              </w:rPr>
            </w:pPr>
            <w:r w:rsidRPr="00471CBA">
              <w:rPr>
                <w:rFonts w:ascii="Times New Roman" w:hAnsi="Times New Roman" w:cs="Times New Roman"/>
                <w:sz w:val="15"/>
                <w:szCs w:val="15"/>
              </w:rPr>
              <w:t xml:space="preserve">P-2 </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4926E345" w14:textId="77777777" w:rsidR="00F91828" w:rsidRPr="00471CBA" w:rsidRDefault="00F91828" w:rsidP="00F36B82">
            <w:pPr>
              <w:ind w:right="39"/>
              <w:jc w:val="center"/>
              <w:rPr>
                <w:rFonts w:ascii="Times New Roman" w:hAnsi="Times New Roman" w:cs="Times New Roman"/>
                <w:sz w:val="15"/>
                <w:szCs w:val="15"/>
              </w:rPr>
            </w:pPr>
            <w:r w:rsidRPr="00471CBA">
              <w:rPr>
                <w:rFonts w:ascii="Times New Roman" w:hAnsi="Times New Roman" w:cs="Times New Roman"/>
                <w:sz w:val="15"/>
                <w:szCs w:val="15"/>
              </w:rPr>
              <w:t xml:space="preserve">A-2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73E9BB9C" w14:textId="77777777" w:rsidR="00F91828" w:rsidRPr="00471CBA" w:rsidRDefault="00F91828" w:rsidP="00F36B82">
            <w:pPr>
              <w:ind w:right="34"/>
              <w:jc w:val="center"/>
              <w:rPr>
                <w:rFonts w:ascii="Times New Roman" w:hAnsi="Times New Roman" w:cs="Times New Roman"/>
                <w:sz w:val="15"/>
                <w:szCs w:val="15"/>
              </w:rPr>
            </w:pPr>
            <w:r w:rsidRPr="00471CBA">
              <w:rPr>
                <w:rFonts w:ascii="Times New Roman" w:hAnsi="Times New Roman" w:cs="Times New Roman"/>
                <w:sz w:val="15"/>
                <w:szCs w:val="15"/>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68CF3EF0" w14:textId="77777777" w:rsidR="00F91828" w:rsidRPr="00471CBA" w:rsidRDefault="00F91828" w:rsidP="00F36B82">
            <w:pPr>
              <w:jc w:val="center"/>
              <w:rPr>
                <w:rFonts w:ascii="Times New Roman" w:hAnsi="Times New Roman" w:cs="Times New Roman"/>
                <w:sz w:val="15"/>
                <w:szCs w:val="15"/>
              </w:rPr>
            </w:pPr>
            <w:r w:rsidRPr="00471CBA">
              <w:rPr>
                <w:rFonts w:ascii="Times New Roman" w:eastAsia="Calibri" w:hAnsi="Times New Roman" w:cs="Times New Roman"/>
                <w:sz w:val="15"/>
                <w:szCs w:val="15"/>
              </w:rPr>
              <w:t>R-2 (</w:t>
            </w:r>
            <w:r w:rsidRPr="00471CBA">
              <w:rPr>
                <w:rFonts w:ascii="Times New Roman" w:hAnsi="Times New Roman" w:cs="Times New Roman"/>
                <w:sz w:val="15"/>
                <w:szCs w:val="15"/>
              </w:rPr>
              <w:t>yüksek</w:t>
            </w:r>
            <w:r w:rsidRPr="00471CBA">
              <w:rPr>
                <w:rFonts w:ascii="Times New Roman" w:eastAsia="Calibri" w:hAnsi="Times New Roman" w:cs="Times New Roman"/>
                <w:sz w:val="15"/>
                <w:szCs w:val="15"/>
              </w:rPr>
              <w:t xml:space="preserve">) </w:t>
            </w:r>
            <w:r w:rsidRPr="00471CBA">
              <w:rPr>
                <w:rFonts w:ascii="Times New Roman" w:hAnsi="Times New Roman" w:cs="Times New Roman"/>
                <w:sz w:val="15"/>
                <w:szCs w:val="15"/>
              </w:rPr>
              <w:t>ile</w:t>
            </w:r>
            <w:r w:rsidRPr="00471CBA">
              <w:rPr>
                <w:rFonts w:ascii="Times New Roman" w:eastAsia="Calibri" w:hAnsi="Times New Roman" w:cs="Times New Roman"/>
                <w:sz w:val="15"/>
                <w:szCs w:val="15"/>
              </w:rPr>
              <w:t xml:space="preserve"> R-2 (</w:t>
            </w:r>
            <w:r w:rsidRPr="00471CBA">
              <w:rPr>
                <w:rFonts w:ascii="Times New Roman" w:hAnsi="Times New Roman" w:cs="Times New Roman"/>
                <w:sz w:val="15"/>
                <w:szCs w:val="15"/>
              </w:rPr>
              <w:t>düşük</w:t>
            </w:r>
            <w:r w:rsidRPr="00471CBA">
              <w:rPr>
                <w:rFonts w:ascii="Times New Roman" w:eastAsia="Calibri" w:hAnsi="Times New Roman" w:cs="Times New Roman"/>
                <w:sz w:val="15"/>
                <w:szCs w:val="15"/>
              </w:rPr>
              <w:t xml:space="preserve">)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71AE7359" w14:textId="77777777" w:rsidR="00F91828" w:rsidRPr="00471CBA" w:rsidRDefault="00F91828" w:rsidP="00F36B82">
            <w:pPr>
              <w:ind w:right="43"/>
              <w:jc w:val="center"/>
              <w:rPr>
                <w:rFonts w:ascii="Times New Roman" w:hAnsi="Times New Roman" w:cs="Times New Roman"/>
                <w:sz w:val="15"/>
                <w:szCs w:val="15"/>
              </w:rPr>
            </w:pPr>
            <w:r w:rsidRPr="00471CBA">
              <w:rPr>
                <w:rFonts w:ascii="Times New Roman" w:hAnsi="Times New Roman" w:cs="Times New Roman"/>
                <w:sz w:val="15"/>
                <w:szCs w:val="15"/>
              </w:rPr>
              <w:t xml:space="preserve">A-2 </w:t>
            </w:r>
          </w:p>
        </w:tc>
      </w:tr>
      <w:tr w:rsidR="00F91828" w:rsidRPr="00471CBA" w14:paraId="5CEC9FC0" w14:textId="77777777" w:rsidTr="00F36B82">
        <w:trPr>
          <w:cantSplit/>
          <w:trHeight w:val="2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3328670B" w14:textId="77777777" w:rsidR="00F91828" w:rsidRPr="00471CBA" w:rsidRDefault="00F91828" w:rsidP="00F36B82">
            <w:pPr>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3005D362" w14:textId="77777777" w:rsidR="00F91828" w:rsidRPr="00471CBA" w:rsidRDefault="00F91828" w:rsidP="00F36B82">
            <w:pPr>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6A8B2DE4" w14:textId="77777777" w:rsidR="00F91828" w:rsidRPr="00471CBA" w:rsidRDefault="00F91828" w:rsidP="00F36B82">
            <w:pPr>
              <w:ind w:right="35"/>
              <w:jc w:val="center"/>
              <w:rPr>
                <w:rFonts w:ascii="Times New Roman" w:hAnsi="Times New Roman" w:cs="Times New Roman"/>
                <w:sz w:val="15"/>
                <w:szCs w:val="15"/>
              </w:rPr>
            </w:pPr>
            <w:r w:rsidRPr="00471CBA">
              <w:rPr>
                <w:rFonts w:ascii="Times New Roman" w:hAnsi="Times New Roman" w:cs="Times New Roman"/>
                <w:sz w:val="15"/>
                <w:szCs w:val="15"/>
              </w:rPr>
              <w:t>3</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786C751E" w14:textId="77777777" w:rsidR="00F91828" w:rsidRPr="00471CBA" w:rsidRDefault="00F91828" w:rsidP="00F36B82">
            <w:pPr>
              <w:ind w:right="39"/>
              <w:jc w:val="center"/>
              <w:rPr>
                <w:rFonts w:ascii="Times New Roman" w:hAnsi="Times New Roman" w:cs="Times New Roman"/>
                <w:sz w:val="15"/>
                <w:szCs w:val="15"/>
              </w:rPr>
            </w:pPr>
            <w:r w:rsidRPr="00471CBA">
              <w:rPr>
                <w:rFonts w:ascii="Times New Roman" w:hAnsi="Times New Roman" w:cs="Times New Roman"/>
                <w:sz w:val="15"/>
                <w:szCs w:val="15"/>
              </w:rPr>
              <w:t xml:space="preserve">F3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73D5F250" w14:textId="77777777" w:rsidR="00F91828" w:rsidRPr="00471CBA" w:rsidRDefault="00F91828" w:rsidP="00F36B82">
            <w:pPr>
              <w:ind w:right="42"/>
              <w:jc w:val="center"/>
              <w:rPr>
                <w:rFonts w:ascii="Times New Roman" w:hAnsi="Times New Roman" w:cs="Times New Roman"/>
                <w:sz w:val="15"/>
                <w:szCs w:val="15"/>
              </w:rPr>
            </w:pPr>
            <w:r w:rsidRPr="00471CBA">
              <w:rPr>
                <w:rFonts w:ascii="Times New Roman" w:hAnsi="Times New Roman" w:cs="Times New Roman"/>
                <w:sz w:val="15"/>
                <w:szCs w:val="15"/>
              </w:rPr>
              <w:t xml:space="preserve">P-3 </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71BDCEFC" w14:textId="77777777" w:rsidR="00F91828" w:rsidRPr="00471CBA" w:rsidRDefault="00F91828" w:rsidP="00F36B82">
            <w:pPr>
              <w:ind w:right="39"/>
              <w:jc w:val="center"/>
              <w:rPr>
                <w:rFonts w:ascii="Times New Roman" w:hAnsi="Times New Roman" w:cs="Times New Roman"/>
                <w:sz w:val="15"/>
                <w:szCs w:val="15"/>
              </w:rPr>
            </w:pPr>
            <w:r w:rsidRPr="00471CBA">
              <w:rPr>
                <w:rFonts w:ascii="Times New Roman" w:hAnsi="Times New Roman" w:cs="Times New Roman"/>
                <w:sz w:val="15"/>
                <w:szCs w:val="15"/>
              </w:rPr>
              <w:t xml:space="preserve">A-3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19BA975B" w14:textId="77777777" w:rsidR="00F91828" w:rsidRPr="00471CBA" w:rsidRDefault="00F91828" w:rsidP="00F36B82">
            <w:pPr>
              <w:ind w:right="34"/>
              <w:jc w:val="center"/>
              <w:rPr>
                <w:rFonts w:ascii="Times New Roman" w:hAnsi="Times New Roman" w:cs="Times New Roman"/>
                <w:sz w:val="15"/>
                <w:szCs w:val="15"/>
              </w:rPr>
            </w:pPr>
            <w:r w:rsidRPr="00471CBA">
              <w:rPr>
                <w:rFonts w:ascii="Times New Roman" w:hAnsi="Times New Roman" w:cs="Times New Roman"/>
                <w:sz w:val="15"/>
                <w:szCs w:val="15"/>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264D30A3" w14:textId="77777777" w:rsidR="00F91828" w:rsidRPr="00471CBA" w:rsidRDefault="00F91828" w:rsidP="00F36B82">
            <w:pPr>
              <w:ind w:right="38"/>
              <w:jc w:val="center"/>
              <w:rPr>
                <w:rFonts w:ascii="Times New Roman" w:hAnsi="Times New Roman" w:cs="Times New Roman"/>
                <w:sz w:val="15"/>
                <w:szCs w:val="15"/>
              </w:rPr>
            </w:pPr>
            <w:r w:rsidRPr="00471CBA">
              <w:rPr>
                <w:rFonts w:ascii="Times New Roman" w:eastAsia="Calibri" w:hAnsi="Times New Roman" w:cs="Times New Roman"/>
                <w:sz w:val="15"/>
                <w:szCs w:val="15"/>
              </w:rPr>
              <w:t xml:space="preserve">R-3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7A4FA7FD" w14:textId="77777777" w:rsidR="00F91828" w:rsidRPr="00471CBA" w:rsidRDefault="00F91828" w:rsidP="00F36B82">
            <w:pPr>
              <w:ind w:right="43"/>
              <w:jc w:val="center"/>
              <w:rPr>
                <w:rFonts w:ascii="Times New Roman" w:hAnsi="Times New Roman" w:cs="Times New Roman"/>
                <w:sz w:val="15"/>
                <w:szCs w:val="15"/>
              </w:rPr>
            </w:pPr>
            <w:r w:rsidRPr="00471CBA">
              <w:rPr>
                <w:rFonts w:ascii="Times New Roman" w:hAnsi="Times New Roman" w:cs="Times New Roman"/>
                <w:sz w:val="15"/>
                <w:szCs w:val="15"/>
              </w:rPr>
              <w:t xml:space="preserve">A-3 </w:t>
            </w:r>
          </w:p>
        </w:tc>
      </w:tr>
      <w:tr w:rsidR="00F91828" w:rsidRPr="00471CBA" w14:paraId="22FB9DB1" w14:textId="77777777" w:rsidTr="00F36B82">
        <w:trPr>
          <w:cantSplit/>
          <w:trHeight w:val="49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7CB978EA" w14:textId="77777777" w:rsidR="00F91828" w:rsidRPr="00471CBA" w:rsidRDefault="00F91828" w:rsidP="00F36B82">
            <w:pPr>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7260A5FC" w14:textId="77777777" w:rsidR="00F91828" w:rsidRPr="00471CBA" w:rsidRDefault="00F91828" w:rsidP="00F36B82">
            <w:pPr>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00CCB3DB" w14:textId="77777777" w:rsidR="00F91828" w:rsidRPr="00471CBA" w:rsidRDefault="00F91828" w:rsidP="00F36B82">
            <w:pPr>
              <w:ind w:right="40"/>
              <w:jc w:val="center"/>
              <w:rPr>
                <w:rFonts w:ascii="Times New Roman" w:hAnsi="Times New Roman" w:cs="Times New Roman"/>
                <w:sz w:val="15"/>
                <w:szCs w:val="15"/>
              </w:rPr>
            </w:pPr>
            <w:r w:rsidRPr="00471CBA">
              <w:rPr>
                <w:rFonts w:ascii="Times New Roman" w:hAnsi="Times New Roman" w:cs="Times New Roman"/>
                <w:sz w:val="15"/>
                <w:szCs w:val="15"/>
              </w:rPr>
              <w:t>Diğerleri</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481C7D0C" w14:textId="77777777" w:rsidR="00F91828" w:rsidRPr="00471CBA" w:rsidRDefault="00F91828" w:rsidP="00F36B82">
            <w:pPr>
              <w:ind w:right="34"/>
              <w:jc w:val="center"/>
              <w:rPr>
                <w:rFonts w:ascii="Times New Roman" w:hAnsi="Times New Roman" w:cs="Times New Roman"/>
                <w:sz w:val="15"/>
                <w:szCs w:val="15"/>
              </w:rPr>
            </w:pPr>
            <w:r w:rsidRPr="00471CBA">
              <w:rPr>
                <w:rFonts w:ascii="Times New Roman" w:hAnsi="Times New Roman" w:cs="Times New Roman"/>
                <w:sz w:val="15"/>
                <w:szCs w:val="15"/>
              </w:rPr>
              <w:t xml:space="preserve">F3 aşağısı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07F620D0" w14:textId="77777777" w:rsidR="00F91828" w:rsidRPr="00471CBA" w:rsidRDefault="00F91828" w:rsidP="00F36B82">
            <w:pPr>
              <w:ind w:right="40"/>
              <w:jc w:val="center"/>
              <w:rPr>
                <w:rFonts w:ascii="Times New Roman" w:hAnsi="Times New Roman" w:cs="Times New Roman"/>
                <w:sz w:val="15"/>
                <w:szCs w:val="15"/>
              </w:rPr>
            </w:pPr>
            <w:r w:rsidRPr="00471CBA">
              <w:rPr>
                <w:rFonts w:ascii="Times New Roman" w:hAnsi="Times New Roman" w:cs="Times New Roman"/>
                <w:sz w:val="15"/>
                <w:szCs w:val="15"/>
              </w:rPr>
              <w:t xml:space="preserve">NP </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08557646" w14:textId="77777777" w:rsidR="00F91828" w:rsidRPr="00471CBA" w:rsidRDefault="00F91828" w:rsidP="00F36B82">
            <w:pPr>
              <w:ind w:right="34"/>
              <w:jc w:val="center"/>
              <w:rPr>
                <w:rFonts w:ascii="Times New Roman" w:hAnsi="Times New Roman" w:cs="Times New Roman"/>
                <w:sz w:val="15"/>
                <w:szCs w:val="15"/>
              </w:rPr>
            </w:pPr>
            <w:r w:rsidRPr="00471CBA">
              <w:rPr>
                <w:rFonts w:ascii="Times New Roman" w:hAnsi="Times New Roman" w:cs="Times New Roman"/>
                <w:sz w:val="15"/>
                <w:szCs w:val="15"/>
              </w:rPr>
              <w:t xml:space="preserve">A-3 aşağısı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51A7236F" w14:textId="77777777" w:rsidR="00F91828" w:rsidRPr="00471CBA" w:rsidRDefault="00F91828" w:rsidP="00F36B82">
            <w:pPr>
              <w:ind w:right="34"/>
              <w:jc w:val="center"/>
              <w:rPr>
                <w:rFonts w:ascii="Times New Roman" w:hAnsi="Times New Roman" w:cs="Times New Roman"/>
                <w:sz w:val="15"/>
                <w:szCs w:val="15"/>
              </w:rPr>
            </w:pPr>
            <w:r w:rsidRPr="00471CBA">
              <w:rPr>
                <w:rFonts w:ascii="Times New Roman" w:hAnsi="Times New Roman" w:cs="Times New Roman"/>
                <w:sz w:val="15"/>
                <w:szCs w:val="15"/>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14074885" w14:textId="77777777" w:rsidR="00F91828" w:rsidRPr="00471CBA" w:rsidRDefault="00F91828" w:rsidP="00F36B82">
            <w:pPr>
              <w:ind w:right="38"/>
              <w:jc w:val="center"/>
              <w:rPr>
                <w:rFonts w:ascii="Times New Roman" w:hAnsi="Times New Roman" w:cs="Times New Roman"/>
                <w:sz w:val="15"/>
                <w:szCs w:val="15"/>
              </w:rPr>
            </w:pPr>
            <w:r w:rsidRPr="00471CBA">
              <w:rPr>
                <w:rFonts w:ascii="Times New Roman" w:eastAsia="Calibri" w:hAnsi="Times New Roman" w:cs="Times New Roman"/>
                <w:sz w:val="15"/>
                <w:szCs w:val="15"/>
              </w:rPr>
              <w:t xml:space="preserve">R-3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7675DF12" w14:textId="77777777" w:rsidR="00F91828" w:rsidRPr="00471CBA" w:rsidRDefault="00F91828" w:rsidP="00F36B82">
            <w:pPr>
              <w:ind w:right="40"/>
              <w:jc w:val="center"/>
              <w:rPr>
                <w:rFonts w:ascii="Times New Roman" w:hAnsi="Times New Roman" w:cs="Times New Roman"/>
                <w:sz w:val="15"/>
                <w:szCs w:val="15"/>
              </w:rPr>
            </w:pPr>
            <w:r w:rsidRPr="00471CBA">
              <w:rPr>
                <w:rFonts w:ascii="Times New Roman" w:hAnsi="Times New Roman" w:cs="Times New Roman"/>
                <w:sz w:val="15"/>
                <w:szCs w:val="15"/>
              </w:rPr>
              <w:t xml:space="preserve">A-3 aşağısı </w:t>
            </w:r>
          </w:p>
        </w:tc>
      </w:tr>
      <w:tr w:rsidR="00F91828" w:rsidRPr="00471CBA" w14:paraId="6FACCCFA" w14:textId="77777777" w:rsidTr="00F36B82">
        <w:trPr>
          <w:cantSplit/>
          <w:trHeight w:val="20"/>
        </w:trPr>
        <w:tc>
          <w:tcPr>
            <w:tcW w:w="219" w:type="pct"/>
            <w:vMerge w:val="restart"/>
            <w:tcBorders>
              <w:top w:val="single" w:sz="4" w:space="0" w:color="000000"/>
              <w:left w:val="single" w:sz="4" w:space="0" w:color="000000"/>
              <w:bottom w:val="single" w:sz="4" w:space="0" w:color="000000"/>
              <w:right w:val="single" w:sz="4" w:space="0" w:color="000000"/>
            </w:tcBorders>
            <w:vAlign w:val="center"/>
          </w:tcPr>
          <w:p w14:paraId="29DD555C" w14:textId="77777777" w:rsidR="00F91828" w:rsidRPr="00471CBA" w:rsidRDefault="00F91828" w:rsidP="00F36B82">
            <w:pPr>
              <w:spacing w:after="160" w:line="256" w:lineRule="auto"/>
              <w:jc w:val="center"/>
              <w:rPr>
                <w:rFonts w:ascii="Times New Roman" w:hAnsi="Times New Roman" w:cs="Times New Roman"/>
                <w:b/>
                <w:sz w:val="15"/>
                <w:szCs w:val="15"/>
              </w:rPr>
            </w:pPr>
          </w:p>
        </w:tc>
        <w:tc>
          <w:tcPr>
            <w:tcW w:w="515" w:type="pct"/>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14:paraId="2B207DE5" w14:textId="77777777" w:rsidR="00F91828" w:rsidRPr="00471CBA" w:rsidRDefault="00F91828" w:rsidP="00F36B82">
            <w:pPr>
              <w:ind w:left="373" w:right="113"/>
              <w:jc w:val="center"/>
              <w:rPr>
                <w:rFonts w:ascii="Times New Roman" w:hAnsi="Times New Roman" w:cs="Times New Roman"/>
                <w:b/>
                <w:sz w:val="15"/>
                <w:szCs w:val="15"/>
              </w:rPr>
            </w:pPr>
            <w:r w:rsidRPr="00471CBA">
              <w:rPr>
                <w:rFonts w:ascii="Times New Roman" w:hAnsi="Times New Roman" w:cs="Times New Roman"/>
                <w:b/>
                <w:sz w:val="15"/>
                <w:szCs w:val="15"/>
              </w:rPr>
              <w:t>Kolektif yatırım kuruluşlarına ilişkin eşleştirme</w:t>
            </w: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188A7B02" w14:textId="77777777" w:rsidR="00F91828" w:rsidRPr="00471CBA" w:rsidRDefault="00F91828" w:rsidP="00F36B82">
            <w:pPr>
              <w:ind w:right="39"/>
              <w:jc w:val="center"/>
              <w:rPr>
                <w:rFonts w:ascii="Times New Roman" w:hAnsi="Times New Roman" w:cs="Times New Roman"/>
                <w:sz w:val="15"/>
                <w:szCs w:val="15"/>
              </w:rPr>
            </w:pPr>
            <w:r w:rsidRPr="00471CBA">
              <w:rPr>
                <w:rFonts w:ascii="Times New Roman" w:hAnsi="Times New Roman" w:cs="Times New Roman"/>
                <w:sz w:val="15"/>
                <w:szCs w:val="15"/>
              </w:rPr>
              <w:t>1</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139DB3C7" w14:textId="77777777" w:rsidR="00F91828" w:rsidRPr="00471CBA" w:rsidRDefault="00F91828" w:rsidP="00F36B82">
            <w:pPr>
              <w:ind w:left="72"/>
              <w:jc w:val="center"/>
              <w:rPr>
                <w:rFonts w:ascii="Times New Roman" w:hAnsi="Times New Roman" w:cs="Times New Roman"/>
                <w:sz w:val="15"/>
                <w:szCs w:val="15"/>
              </w:rPr>
            </w:pPr>
            <w:r w:rsidRPr="00471CBA">
              <w:rPr>
                <w:rFonts w:ascii="Times New Roman" w:hAnsi="Times New Roman" w:cs="Times New Roman"/>
                <w:sz w:val="15"/>
                <w:szCs w:val="15"/>
              </w:rPr>
              <w:t xml:space="preserve">AAA ile AA-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240687AD" w14:textId="77777777" w:rsidR="00F91828" w:rsidRPr="00471CBA" w:rsidRDefault="00F91828" w:rsidP="00F36B82">
            <w:pPr>
              <w:ind w:right="42"/>
              <w:jc w:val="center"/>
              <w:rPr>
                <w:rFonts w:ascii="Times New Roman" w:hAnsi="Times New Roman" w:cs="Times New Roman"/>
                <w:sz w:val="15"/>
                <w:szCs w:val="15"/>
              </w:rPr>
            </w:pPr>
            <w:proofErr w:type="spellStart"/>
            <w:r w:rsidRPr="00471CBA">
              <w:rPr>
                <w:rFonts w:ascii="Times New Roman" w:hAnsi="Times New Roman" w:cs="Times New Roman"/>
                <w:sz w:val="15"/>
                <w:szCs w:val="15"/>
              </w:rPr>
              <w:t>Aaa</w:t>
            </w:r>
            <w:proofErr w:type="spellEnd"/>
            <w:r w:rsidRPr="00471CBA">
              <w:rPr>
                <w:rFonts w:ascii="Times New Roman" w:hAnsi="Times New Roman" w:cs="Times New Roman"/>
                <w:sz w:val="15"/>
                <w:szCs w:val="15"/>
              </w:rPr>
              <w:t xml:space="preserve"> ile Aa3 </w:t>
            </w:r>
          </w:p>
        </w:tc>
        <w:tc>
          <w:tcPr>
            <w:tcW w:w="925" w:type="pct"/>
            <w:tcBorders>
              <w:top w:val="single" w:sz="4" w:space="0" w:color="000000"/>
              <w:left w:val="single" w:sz="4" w:space="0" w:color="000000"/>
              <w:bottom w:val="single" w:sz="4" w:space="0" w:color="000000"/>
              <w:right w:val="single" w:sz="4" w:space="0" w:color="000000"/>
            </w:tcBorders>
            <w:hideMark/>
          </w:tcPr>
          <w:p w14:paraId="298FBC09" w14:textId="77777777" w:rsidR="00F91828" w:rsidRPr="00471CBA" w:rsidRDefault="00F91828" w:rsidP="00F36B82">
            <w:pPr>
              <w:spacing w:after="43" w:line="232" w:lineRule="auto"/>
              <w:jc w:val="center"/>
              <w:rPr>
                <w:rFonts w:ascii="Times New Roman" w:hAnsi="Times New Roman" w:cs="Times New Roman"/>
                <w:sz w:val="15"/>
                <w:szCs w:val="15"/>
              </w:rPr>
            </w:pPr>
            <w:r w:rsidRPr="00471CBA">
              <w:rPr>
                <w:rFonts w:ascii="Times New Roman" w:hAnsi="Times New Roman" w:cs="Times New Roman"/>
                <w:sz w:val="15"/>
                <w:szCs w:val="15"/>
              </w:rPr>
              <w:t xml:space="preserve">FCQR: </w:t>
            </w:r>
            <w:proofErr w:type="spellStart"/>
            <w:r w:rsidRPr="00471CBA">
              <w:rPr>
                <w:rFonts w:ascii="Times New Roman" w:hAnsi="Times New Roman" w:cs="Times New Roman"/>
                <w:sz w:val="15"/>
                <w:szCs w:val="15"/>
              </w:rPr>
              <w:t>AAAf</w:t>
            </w:r>
            <w:proofErr w:type="spellEnd"/>
            <w:r w:rsidRPr="00471CBA">
              <w:rPr>
                <w:rFonts w:ascii="Times New Roman" w:hAnsi="Times New Roman" w:cs="Times New Roman"/>
                <w:sz w:val="15"/>
                <w:szCs w:val="15"/>
              </w:rPr>
              <w:t xml:space="preserve"> ile AA-f; </w:t>
            </w:r>
          </w:p>
          <w:p w14:paraId="0A2D63FD" w14:textId="77777777" w:rsidR="00F91828" w:rsidRPr="00471CBA" w:rsidRDefault="00F91828" w:rsidP="00F36B82">
            <w:pPr>
              <w:jc w:val="center"/>
              <w:rPr>
                <w:rFonts w:ascii="Times New Roman" w:hAnsi="Times New Roman" w:cs="Times New Roman"/>
                <w:sz w:val="15"/>
                <w:szCs w:val="15"/>
              </w:rPr>
            </w:pPr>
            <w:r w:rsidRPr="00471CBA">
              <w:rPr>
                <w:rFonts w:ascii="Times New Roman" w:hAnsi="Times New Roman" w:cs="Times New Roman"/>
                <w:sz w:val="15"/>
                <w:szCs w:val="15"/>
              </w:rPr>
              <w:t xml:space="preserve">PSFR: </w:t>
            </w:r>
            <w:proofErr w:type="spellStart"/>
            <w:r w:rsidRPr="00471CBA">
              <w:rPr>
                <w:rFonts w:ascii="Times New Roman" w:hAnsi="Times New Roman" w:cs="Times New Roman"/>
                <w:sz w:val="15"/>
                <w:szCs w:val="15"/>
              </w:rPr>
              <w:t>AAAm</w:t>
            </w:r>
            <w:proofErr w:type="spellEnd"/>
            <w:r w:rsidRPr="00471CBA">
              <w:rPr>
                <w:rFonts w:ascii="Times New Roman" w:hAnsi="Times New Roman" w:cs="Times New Roman"/>
                <w:sz w:val="15"/>
                <w:szCs w:val="15"/>
              </w:rPr>
              <w:t xml:space="preserve"> ile AA-m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0A6195AA" w14:textId="77777777" w:rsidR="00F91828" w:rsidRPr="00471CBA" w:rsidRDefault="00F91828" w:rsidP="00F36B82">
            <w:pPr>
              <w:ind w:right="38"/>
              <w:jc w:val="center"/>
              <w:rPr>
                <w:rFonts w:ascii="Times New Roman" w:hAnsi="Times New Roman" w:cs="Times New Roman"/>
                <w:sz w:val="15"/>
                <w:szCs w:val="15"/>
              </w:rPr>
            </w:pPr>
            <w:r w:rsidRPr="00471CBA">
              <w:rPr>
                <w:rFonts w:ascii="Times New Roman" w:hAnsi="Times New Roman" w:cs="Times New Roman"/>
                <w:sz w:val="15"/>
                <w:szCs w:val="15"/>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5CB74970" w14:textId="77777777" w:rsidR="00F91828" w:rsidRPr="00471CBA" w:rsidRDefault="00F91828" w:rsidP="00F36B82">
            <w:pPr>
              <w:ind w:right="43"/>
              <w:jc w:val="center"/>
              <w:rPr>
                <w:rFonts w:ascii="Times New Roman" w:hAnsi="Times New Roman" w:cs="Times New Roman"/>
                <w:sz w:val="15"/>
                <w:szCs w:val="15"/>
              </w:rPr>
            </w:pPr>
            <w:r w:rsidRPr="00471CBA">
              <w:rPr>
                <w:rFonts w:ascii="Times New Roman" w:eastAsia="Calibri" w:hAnsi="Times New Roman" w:cs="Times New Roman"/>
                <w:sz w:val="15"/>
                <w:szCs w:val="15"/>
              </w:rPr>
              <w:t xml:space="preserve">-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7E892DBE" w14:textId="77777777" w:rsidR="00F91828" w:rsidRPr="00471CBA" w:rsidRDefault="00F91828" w:rsidP="00F36B82">
            <w:pPr>
              <w:ind w:right="43"/>
              <w:jc w:val="center"/>
              <w:rPr>
                <w:rFonts w:ascii="Times New Roman" w:hAnsi="Times New Roman" w:cs="Times New Roman"/>
                <w:sz w:val="15"/>
                <w:szCs w:val="15"/>
              </w:rPr>
            </w:pPr>
            <w:r w:rsidRPr="00471CBA">
              <w:rPr>
                <w:rFonts w:ascii="Times New Roman" w:eastAsia="Calibri" w:hAnsi="Times New Roman" w:cs="Times New Roman"/>
                <w:sz w:val="15"/>
                <w:szCs w:val="15"/>
              </w:rPr>
              <w:t xml:space="preserve">- </w:t>
            </w:r>
          </w:p>
        </w:tc>
      </w:tr>
      <w:tr w:rsidR="00F91828" w:rsidRPr="00471CBA" w14:paraId="46FFB6E6" w14:textId="77777777" w:rsidTr="00F36B82">
        <w:trPr>
          <w:cantSplit/>
          <w:trHeight w:val="2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534095DE" w14:textId="77777777" w:rsidR="00F91828" w:rsidRPr="00471CBA" w:rsidRDefault="00F91828" w:rsidP="00F36B82">
            <w:pPr>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6FC25A02" w14:textId="77777777" w:rsidR="00F91828" w:rsidRPr="00471CBA" w:rsidRDefault="00F91828" w:rsidP="00F36B82">
            <w:pPr>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0E04024E" w14:textId="77777777" w:rsidR="00F91828" w:rsidRPr="00471CBA" w:rsidRDefault="00F91828" w:rsidP="00F36B82">
            <w:pPr>
              <w:ind w:right="39"/>
              <w:jc w:val="center"/>
              <w:rPr>
                <w:rFonts w:ascii="Times New Roman" w:hAnsi="Times New Roman" w:cs="Times New Roman"/>
                <w:sz w:val="15"/>
                <w:szCs w:val="15"/>
              </w:rPr>
            </w:pPr>
            <w:r w:rsidRPr="00471CBA">
              <w:rPr>
                <w:rFonts w:ascii="Times New Roman" w:hAnsi="Times New Roman" w:cs="Times New Roman"/>
                <w:sz w:val="15"/>
                <w:szCs w:val="15"/>
              </w:rPr>
              <w:t>2</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4AD91C50" w14:textId="77777777" w:rsidR="00F91828" w:rsidRPr="00471CBA" w:rsidRDefault="00F91828" w:rsidP="00F36B82">
            <w:pPr>
              <w:ind w:right="43"/>
              <w:jc w:val="center"/>
              <w:rPr>
                <w:rFonts w:ascii="Times New Roman" w:hAnsi="Times New Roman" w:cs="Times New Roman"/>
                <w:sz w:val="15"/>
                <w:szCs w:val="15"/>
              </w:rPr>
            </w:pPr>
            <w:r w:rsidRPr="00471CBA">
              <w:rPr>
                <w:rFonts w:ascii="Times New Roman" w:hAnsi="Times New Roman" w:cs="Times New Roman"/>
                <w:sz w:val="15"/>
                <w:szCs w:val="15"/>
              </w:rPr>
              <w:t xml:space="preserve">A+ ile A-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062008D3" w14:textId="77777777" w:rsidR="00F91828" w:rsidRPr="00471CBA" w:rsidRDefault="00F91828" w:rsidP="00F36B82">
            <w:pPr>
              <w:ind w:right="47"/>
              <w:jc w:val="center"/>
              <w:rPr>
                <w:rFonts w:ascii="Times New Roman" w:hAnsi="Times New Roman" w:cs="Times New Roman"/>
                <w:sz w:val="15"/>
                <w:szCs w:val="15"/>
              </w:rPr>
            </w:pPr>
            <w:r w:rsidRPr="00471CBA">
              <w:rPr>
                <w:rFonts w:ascii="Times New Roman" w:hAnsi="Times New Roman" w:cs="Times New Roman"/>
                <w:sz w:val="15"/>
                <w:szCs w:val="15"/>
              </w:rPr>
              <w:t xml:space="preserve">A1 ile A3 </w:t>
            </w:r>
          </w:p>
        </w:tc>
        <w:tc>
          <w:tcPr>
            <w:tcW w:w="925" w:type="pct"/>
            <w:tcBorders>
              <w:top w:val="single" w:sz="4" w:space="0" w:color="000000"/>
              <w:left w:val="single" w:sz="4" w:space="0" w:color="000000"/>
              <w:bottom w:val="single" w:sz="4" w:space="0" w:color="000000"/>
              <w:right w:val="single" w:sz="4" w:space="0" w:color="000000"/>
            </w:tcBorders>
            <w:hideMark/>
          </w:tcPr>
          <w:p w14:paraId="15FF3F60" w14:textId="77777777" w:rsidR="00F91828" w:rsidRPr="00471CBA" w:rsidRDefault="00F91828" w:rsidP="00F36B82">
            <w:pPr>
              <w:spacing w:after="41" w:line="232" w:lineRule="auto"/>
              <w:jc w:val="center"/>
              <w:rPr>
                <w:rFonts w:ascii="Times New Roman" w:hAnsi="Times New Roman" w:cs="Times New Roman"/>
                <w:sz w:val="15"/>
                <w:szCs w:val="15"/>
              </w:rPr>
            </w:pPr>
            <w:r w:rsidRPr="00471CBA">
              <w:rPr>
                <w:rFonts w:ascii="Times New Roman" w:hAnsi="Times New Roman" w:cs="Times New Roman"/>
                <w:sz w:val="15"/>
                <w:szCs w:val="15"/>
              </w:rPr>
              <w:t xml:space="preserve">FCQR: </w:t>
            </w:r>
            <w:proofErr w:type="spellStart"/>
            <w:r w:rsidRPr="00471CBA">
              <w:rPr>
                <w:rFonts w:ascii="Times New Roman" w:hAnsi="Times New Roman" w:cs="Times New Roman"/>
                <w:sz w:val="15"/>
                <w:szCs w:val="15"/>
              </w:rPr>
              <w:t>A+f</w:t>
            </w:r>
            <w:proofErr w:type="spellEnd"/>
            <w:r w:rsidRPr="00471CBA">
              <w:rPr>
                <w:rFonts w:ascii="Times New Roman" w:hAnsi="Times New Roman" w:cs="Times New Roman"/>
                <w:sz w:val="15"/>
                <w:szCs w:val="15"/>
              </w:rPr>
              <w:t xml:space="preserve"> ile A-f; </w:t>
            </w:r>
          </w:p>
          <w:p w14:paraId="7C2F0C9B" w14:textId="77777777" w:rsidR="00F91828" w:rsidRPr="00471CBA" w:rsidRDefault="00F91828" w:rsidP="00F36B82">
            <w:pPr>
              <w:jc w:val="center"/>
              <w:rPr>
                <w:rFonts w:ascii="Times New Roman" w:hAnsi="Times New Roman" w:cs="Times New Roman"/>
                <w:sz w:val="15"/>
                <w:szCs w:val="15"/>
              </w:rPr>
            </w:pPr>
            <w:r w:rsidRPr="00471CBA">
              <w:rPr>
                <w:rFonts w:ascii="Times New Roman" w:hAnsi="Times New Roman" w:cs="Times New Roman"/>
                <w:sz w:val="15"/>
                <w:szCs w:val="15"/>
              </w:rPr>
              <w:t xml:space="preserve">PSFR: </w:t>
            </w:r>
            <w:proofErr w:type="spellStart"/>
            <w:r w:rsidRPr="00471CBA">
              <w:rPr>
                <w:rFonts w:ascii="Times New Roman" w:hAnsi="Times New Roman" w:cs="Times New Roman"/>
                <w:sz w:val="15"/>
                <w:szCs w:val="15"/>
              </w:rPr>
              <w:t>A+m</w:t>
            </w:r>
            <w:proofErr w:type="spellEnd"/>
            <w:r w:rsidRPr="00471CBA">
              <w:rPr>
                <w:rFonts w:ascii="Times New Roman" w:hAnsi="Times New Roman" w:cs="Times New Roman"/>
                <w:sz w:val="15"/>
                <w:szCs w:val="15"/>
              </w:rPr>
              <w:t xml:space="preserve"> ile A-m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34038222" w14:textId="77777777" w:rsidR="00F91828" w:rsidRPr="00471CBA" w:rsidRDefault="00F91828" w:rsidP="00F36B82">
            <w:pPr>
              <w:ind w:right="38"/>
              <w:jc w:val="center"/>
              <w:rPr>
                <w:rFonts w:ascii="Times New Roman" w:hAnsi="Times New Roman" w:cs="Times New Roman"/>
                <w:sz w:val="15"/>
                <w:szCs w:val="15"/>
              </w:rPr>
            </w:pPr>
            <w:r w:rsidRPr="00471CBA">
              <w:rPr>
                <w:rFonts w:ascii="Times New Roman" w:hAnsi="Times New Roman" w:cs="Times New Roman"/>
                <w:sz w:val="15"/>
                <w:szCs w:val="15"/>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05A41484" w14:textId="77777777" w:rsidR="00F91828" w:rsidRPr="00471CBA" w:rsidRDefault="00F91828" w:rsidP="00F36B82">
            <w:pPr>
              <w:ind w:right="43"/>
              <w:jc w:val="center"/>
              <w:rPr>
                <w:rFonts w:ascii="Times New Roman" w:hAnsi="Times New Roman" w:cs="Times New Roman"/>
                <w:sz w:val="15"/>
                <w:szCs w:val="15"/>
              </w:rPr>
            </w:pPr>
            <w:r w:rsidRPr="00471CBA">
              <w:rPr>
                <w:rFonts w:ascii="Times New Roman" w:eastAsia="Calibri" w:hAnsi="Times New Roman" w:cs="Times New Roman"/>
                <w:sz w:val="15"/>
                <w:szCs w:val="15"/>
              </w:rPr>
              <w:t xml:space="preserve">-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02B3CE58" w14:textId="77777777" w:rsidR="00F91828" w:rsidRPr="00471CBA" w:rsidRDefault="00F91828" w:rsidP="00F36B82">
            <w:pPr>
              <w:ind w:right="43"/>
              <w:jc w:val="center"/>
              <w:rPr>
                <w:rFonts w:ascii="Times New Roman" w:hAnsi="Times New Roman" w:cs="Times New Roman"/>
                <w:sz w:val="15"/>
                <w:szCs w:val="15"/>
              </w:rPr>
            </w:pPr>
            <w:r w:rsidRPr="00471CBA">
              <w:rPr>
                <w:rFonts w:ascii="Times New Roman" w:eastAsia="Calibri" w:hAnsi="Times New Roman" w:cs="Times New Roman"/>
                <w:sz w:val="15"/>
                <w:szCs w:val="15"/>
              </w:rPr>
              <w:t xml:space="preserve">- </w:t>
            </w:r>
          </w:p>
        </w:tc>
      </w:tr>
      <w:tr w:rsidR="00F91828" w:rsidRPr="00471CBA" w14:paraId="00B96CAA" w14:textId="77777777" w:rsidTr="00F36B82">
        <w:trPr>
          <w:cantSplit/>
          <w:trHeight w:val="2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5B18607C" w14:textId="77777777" w:rsidR="00F91828" w:rsidRPr="00471CBA" w:rsidRDefault="00F91828" w:rsidP="00F36B82">
            <w:pPr>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513A581A" w14:textId="77777777" w:rsidR="00F91828" w:rsidRPr="00471CBA" w:rsidRDefault="00F91828" w:rsidP="00F36B82">
            <w:pPr>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4652BC3B" w14:textId="77777777" w:rsidR="00F91828" w:rsidRPr="00471CBA" w:rsidRDefault="00F91828" w:rsidP="00F36B82">
            <w:pPr>
              <w:ind w:right="39"/>
              <w:jc w:val="center"/>
              <w:rPr>
                <w:rFonts w:ascii="Times New Roman" w:hAnsi="Times New Roman" w:cs="Times New Roman"/>
                <w:sz w:val="15"/>
                <w:szCs w:val="15"/>
              </w:rPr>
            </w:pPr>
            <w:r w:rsidRPr="00471CBA">
              <w:rPr>
                <w:rFonts w:ascii="Times New Roman" w:hAnsi="Times New Roman" w:cs="Times New Roman"/>
                <w:sz w:val="15"/>
                <w:szCs w:val="15"/>
              </w:rPr>
              <w:t>3</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6F0BF4A7" w14:textId="77777777" w:rsidR="00F91828" w:rsidRPr="00471CBA" w:rsidRDefault="00F91828" w:rsidP="00F36B82">
            <w:pPr>
              <w:ind w:left="14" w:right="14"/>
              <w:jc w:val="center"/>
              <w:rPr>
                <w:rFonts w:ascii="Times New Roman" w:hAnsi="Times New Roman" w:cs="Times New Roman"/>
                <w:sz w:val="15"/>
                <w:szCs w:val="15"/>
              </w:rPr>
            </w:pPr>
            <w:r w:rsidRPr="00471CBA">
              <w:rPr>
                <w:rFonts w:ascii="Times New Roman" w:hAnsi="Times New Roman" w:cs="Times New Roman"/>
                <w:sz w:val="15"/>
                <w:szCs w:val="15"/>
              </w:rPr>
              <w:t xml:space="preserve">BBB+ ile BBB-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38B5A6FA" w14:textId="77777777" w:rsidR="00F91828" w:rsidRPr="00471CBA" w:rsidRDefault="00F91828" w:rsidP="00F36B82">
            <w:pPr>
              <w:ind w:right="42"/>
              <w:jc w:val="center"/>
              <w:rPr>
                <w:rFonts w:ascii="Times New Roman" w:hAnsi="Times New Roman" w:cs="Times New Roman"/>
                <w:sz w:val="15"/>
                <w:szCs w:val="15"/>
              </w:rPr>
            </w:pPr>
            <w:r w:rsidRPr="00471CBA">
              <w:rPr>
                <w:rFonts w:ascii="Times New Roman" w:hAnsi="Times New Roman" w:cs="Times New Roman"/>
                <w:sz w:val="15"/>
                <w:szCs w:val="15"/>
              </w:rPr>
              <w:t xml:space="preserve">Baa1 ile Baa3 </w:t>
            </w:r>
          </w:p>
        </w:tc>
        <w:tc>
          <w:tcPr>
            <w:tcW w:w="925" w:type="pct"/>
            <w:tcBorders>
              <w:top w:val="single" w:sz="4" w:space="0" w:color="000000"/>
              <w:left w:val="single" w:sz="4" w:space="0" w:color="000000"/>
              <w:bottom w:val="single" w:sz="4" w:space="0" w:color="000000"/>
              <w:right w:val="single" w:sz="4" w:space="0" w:color="000000"/>
            </w:tcBorders>
            <w:hideMark/>
          </w:tcPr>
          <w:p w14:paraId="2BD3857C" w14:textId="77777777" w:rsidR="00F91828" w:rsidRPr="00471CBA" w:rsidRDefault="00F91828" w:rsidP="00F36B82">
            <w:pPr>
              <w:spacing w:after="18" w:line="264" w:lineRule="auto"/>
              <w:ind w:left="16" w:right="14"/>
              <w:jc w:val="center"/>
              <w:rPr>
                <w:rFonts w:ascii="Times New Roman" w:hAnsi="Times New Roman" w:cs="Times New Roman"/>
                <w:sz w:val="15"/>
                <w:szCs w:val="15"/>
              </w:rPr>
            </w:pPr>
            <w:r w:rsidRPr="00471CBA">
              <w:rPr>
                <w:rFonts w:ascii="Times New Roman" w:hAnsi="Times New Roman" w:cs="Times New Roman"/>
                <w:sz w:val="15"/>
                <w:szCs w:val="15"/>
              </w:rPr>
              <w:t xml:space="preserve">FCQR: </w:t>
            </w:r>
            <w:proofErr w:type="spellStart"/>
            <w:r w:rsidRPr="00471CBA">
              <w:rPr>
                <w:rFonts w:ascii="Times New Roman" w:hAnsi="Times New Roman" w:cs="Times New Roman"/>
                <w:sz w:val="15"/>
                <w:szCs w:val="15"/>
              </w:rPr>
              <w:t>BBB+f</w:t>
            </w:r>
            <w:proofErr w:type="spellEnd"/>
            <w:r w:rsidRPr="00471CBA">
              <w:rPr>
                <w:rFonts w:ascii="Times New Roman" w:hAnsi="Times New Roman" w:cs="Times New Roman"/>
                <w:sz w:val="15"/>
                <w:szCs w:val="15"/>
              </w:rPr>
              <w:t xml:space="preserve"> ile BBB-f; </w:t>
            </w:r>
          </w:p>
          <w:p w14:paraId="6CB4B684" w14:textId="77777777" w:rsidR="00F91828" w:rsidRPr="00471CBA" w:rsidRDefault="00F91828" w:rsidP="00F36B82">
            <w:pPr>
              <w:ind w:left="2" w:right="2"/>
              <w:jc w:val="center"/>
              <w:rPr>
                <w:rFonts w:ascii="Times New Roman" w:hAnsi="Times New Roman" w:cs="Times New Roman"/>
                <w:sz w:val="15"/>
                <w:szCs w:val="15"/>
              </w:rPr>
            </w:pPr>
            <w:r w:rsidRPr="00471CBA">
              <w:rPr>
                <w:rFonts w:ascii="Times New Roman" w:hAnsi="Times New Roman" w:cs="Times New Roman"/>
                <w:sz w:val="15"/>
                <w:szCs w:val="15"/>
              </w:rPr>
              <w:t xml:space="preserve">PSFR: </w:t>
            </w:r>
            <w:proofErr w:type="spellStart"/>
            <w:r w:rsidRPr="00471CBA">
              <w:rPr>
                <w:rFonts w:ascii="Times New Roman" w:hAnsi="Times New Roman" w:cs="Times New Roman"/>
                <w:sz w:val="15"/>
                <w:szCs w:val="15"/>
              </w:rPr>
              <w:t>BBB+m</w:t>
            </w:r>
            <w:proofErr w:type="spellEnd"/>
            <w:r w:rsidRPr="00471CBA">
              <w:rPr>
                <w:rFonts w:ascii="Times New Roman" w:hAnsi="Times New Roman" w:cs="Times New Roman"/>
                <w:sz w:val="15"/>
                <w:szCs w:val="15"/>
              </w:rPr>
              <w:t xml:space="preserve"> ile BBB-m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6BCAE94D" w14:textId="77777777" w:rsidR="00F91828" w:rsidRPr="00471CBA" w:rsidRDefault="00F91828" w:rsidP="00F36B82">
            <w:pPr>
              <w:ind w:right="38"/>
              <w:jc w:val="center"/>
              <w:rPr>
                <w:rFonts w:ascii="Times New Roman" w:hAnsi="Times New Roman" w:cs="Times New Roman"/>
                <w:sz w:val="15"/>
                <w:szCs w:val="15"/>
              </w:rPr>
            </w:pPr>
            <w:r w:rsidRPr="00471CBA">
              <w:rPr>
                <w:rFonts w:ascii="Times New Roman" w:hAnsi="Times New Roman" w:cs="Times New Roman"/>
                <w:sz w:val="15"/>
                <w:szCs w:val="15"/>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626518D8" w14:textId="77777777" w:rsidR="00F91828" w:rsidRPr="00471CBA" w:rsidRDefault="00F91828" w:rsidP="00F36B82">
            <w:pPr>
              <w:ind w:right="43"/>
              <w:jc w:val="center"/>
              <w:rPr>
                <w:rFonts w:ascii="Times New Roman" w:hAnsi="Times New Roman" w:cs="Times New Roman"/>
                <w:sz w:val="15"/>
                <w:szCs w:val="15"/>
              </w:rPr>
            </w:pPr>
            <w:r w:rsidRPr="00471CBA">
              <w:rPr>
                <w:rFonts w:ascii="Times New Roman" w:eastAsia="Calibri" w:hAnsi="Times New Roman" w:cs="Times New Roman"/>
                <w:sz w:val="15"/>
                <w:szCs w:val="15"/>
              </w:rPr>
              <w:t xml:space="preserve">-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5B7709A2" w14:textId="77777777" w:rsidR="00F91828" w:rsidRPr="00471CBA" w:rsidRDefault="00F91828" w:rsidP="00F36B82">
            <w:pPr>
              <w:ind w:right="43"/>
              <w:jc w:val="center"/>
              <w:rPr>
                <w:rFonts w:ascii="Times New Roman" w:hAnsi="Times New Roman" w:cs="Times New Roman"/>
                <w:sz w:val="15"/>
                <w:szCs w:val="15"/>
              </w:rPr>
            </w:pPr>
            <w:r w:rsidRPr="00471CBA">
              <w:rPr>
                <w:rFonts w:ascii="Times New Roman" w:eastAsia="Calibri" w:hAnsi="Times New Roman" w:cs="Times New Roman"/>
                <w:sz w:val="15"/>
                <w:szCs w:val="15"/>
              </w:rPr>
              <w:t xml:space="preserve">- </w:t>
            </w:r>
          </w:p>
        </w:tc>
      </w:tr>
      <w:tr w:rsidR="00F91828" w:rsidRPr="00471CBA" w14:paraId="15F70766" w14:textId="77777777" w:rsidTr="00F36B82">
        <w:trPr>
          <w:cantSplit/>
          <w:trHeight w:val="2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648A5CF2" w14:textId="77777777" w:rsidR="00F91828" w:rsidRPr="00471CBA" w:rsidRDefault="00F91828" w:rsidP="00F36B82">
            <w:pPr>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2B1C89AE" w14:textId="77777777" w:rsidR="00F91828" w:rsidRPr="00471CBA" w:rsidRDefault="00F91828" w:rsidP="00F36B82">
            <w:pPr>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00DAAE62" w14:textId="77777777" w:rsidR="00F91828" w:rsidRPr="00471CBA" w:rsidRDefault="00F91828" w:rsidP="00F36B82">
            <w:pPr>
              <w:ind w:right="39"/>
              <w:jc w:val="center"/>
              <w:rPr>
                <w:rFonts w:ascii="Times New Roman" w:hAnsi="Times New Roman" w:cs="Times New Roman"/>
                <w:sz w:val="15"/>
                <w:szCs w:val="15"/>
              </w:rPr>
            </w:pPr>
            <w:r w:rsidRPr="00471CBA">
              <w:rPr>
                <w:rFonts w:ascii="Times New Roman" w:hAnsi="Times New Roman" w:cs="Times New Roman"/>
                <w:sz w:val="15"/>
                <w:szCs w:val="15"/>
              </w:rPr>
              <w:t>4</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606094BB" w14:textId="77777777" w:rsidR="00F91828" w:rsidRPr="00471CBA" w:rsidRDefault="00F91828" w:rsidP="00F36B82">
            <w:pPr>
              <w:ind w:right="41"/>
              <w:jc w:val="center"/>
              <w:rPr>
                <w:rFonts w:ascii="Times New Roman" w:hAnsi="Times New Roman" w:cs="Times New Roman"/>
                <w:sz w:val="15"/>
                <w:szCs w:val="15"/>
              </w:rPr>
            </w:pPr>
            <w:r w:rsidRPr="00471CBA">
              <w:rPr>
                <w:rFonts w:ascii="Times New Roman" w:hAnsi="Times New Roman" w:cs="Times New Roman"/>
                <w:sz w:val="15"/>
                <w:szCs w:val="15"/>
              </w:rPr>
              <w:t xml:space="preserve">BB+ ile BB-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7436AD70" w14:textId="77777777" w:rsidR="00F91828" w:rsidRPr="00471CBA" w:rsidRDefault="00F91828" w:rsidP="00F36B82">
            <w:pPr>
              <w:ind w:right="44"/>
              <w:jc w:val="center"/>
              <w:rPr>
                <w:rFonts w:ascii="Times New Roman" w:hAnsi="Times New Roman" w:cs="Times New Roman"/>
                <w:sz w:val="15"/>
                <w:szCs w:val="15"/>
              </w:rPr>
            </w:pPr>
            <w:r w:rsidRPr="00471CBA">
              <w:rPr>
                <w:rFonts w:ascii="Times New Roman" w:hAnsi="Times New Roman" w:cs="Times New Roman"/>
                <w:sz w:val="15"/>
                <w:szCs w:val="15"/>
              </w:rPr>
              <w:t xml:space="preserve">Ba1 ile Ba3 </w:t>
            </w:r>
          </w:p>
        </w:tc>
        <w:tc>
          <w:tcPr>
            <w:tcW w:w="925" w:type="pct"/>
            <w:tcBorders>
              <w:top w:val="single" w:sz="4" w:space="0" w:color="000000"/>
              <w:left w:val="single" w:sz="4" w:space="0" w:color="000000"/>
              <w:bottom w:val="single" w:sz="4" w:space="0" w:color="000000"/>
              <w:right w:val="single" w:sz="4" w:space="0" w:color="000000"/>
            </w:tcBorders>
            <w:hideMark/>
          </w:tcPr>
          <w:p w14:paraId="70A88F61" w14:textId="77777777" w:rsidR="00F91828" w:rsidRPr="00471CBA" w:rsidRDefault="00F91828" w:rsidP="00F36B82">
            <w:pPr>
              <w:spacing w:after="38" w:line="237" w:lineRule="auto"/>
              <w:jc w:val="center"/>
              <w:rPr>
                <w:rFonts w:ascii="Times New Roman" w:hAnsi="Times New Roman" w:cs="Times New Roman"/>
                <w:sz w:val="15"/>
                <w:szCs w:val="15"/>
              </w:rPr>
            </w:pPr>
            <w:r w:rsidRPr="00471CBA">
              <w:rPr>
                <w:rFonts w:ascii="Times New Roman" w:hAnsi="Times New Roman" w:cs="Times New Roman"/>
                <w:sz w:val="15"/>
                <w:szCs w:val="15"/>
              </w:rPr>
              <w:t xml:space="preserve">FCQR: </w:t>
            </w:r>
            <w:proofErr w:type="spellStart"/>
            <w:r w:rsidRPr="00471CBA">
              <w:rPr>
                <w:rFonts w:ascii="Times New Roman" w:hAnsi="Times New Roman" w:cs="Times New Roman"/>
                <w:sz w:val="15"/>
                <w:szCs w:val="15"/>
              </w:rPr>
              <w:t>BB+f</w:t>
            </w:r>
            <w:proofErr w:type="spellEnd"/>
            <w:r w:rsidRPr="00471CBA">
              <w:rPr>
                <w:rFonts w:ascii="Times New Roman" w:hAnsi="Times New Roman" w:cs="Times New Roman"/>
                <w:sz w:val="15"/>
                <w:szCs w:val="15"/>
              </w:rPr>
              <w:t xml:space="preserve"> ile BB-f; </w:t>
            </w:r>
          </w:p>
          <w:p w14:paraId="0D917972" w14:textId="77777777" w:rsidR="00F91828" w:rsidRPr="00471CBA" w:rsidRDefault="00F91828" w:rsidP="00F36B82">
            <w:pPr>
              <w:jc w:val="center"/>
              <w:rPr>
                <w:rFonts w:ascii="Times New Roman" w:hAnsi="Times New Roman" w:cs="Times New Roman"/>
                <w:sz w:val="15"/>
                <w:szCs w:val="15"/>
              </w:rPr>
            </w:pPr>
            <w:r w:rsidRPr="00471CBA">
              <w:rPr>
                <w:rFonts w:ascii="Times New Roman" w:hAnsi="Times New Roman" w:cs="Times New Roman"/>
                <w:sz w:val="15"/>
                <w:szCs w:val="15"/>
              </w:rPr>
              <w:t xml:space="preserve">PSFR: </w:t>
            </w:r>
            <w:proofErr w:type="spellStart"/>
            <w:r w:rsidRPr="00471CBA">
              <w:rPr>
                <w:rFonts w:ascii="Times New Roman" w:hAnsi="Times New Roman" w:cs="Times New Roman"/>
                <w:sz w:val="15"/>
                <w:szCs w:val="15"/>
              </w:rPr>
              <w:t>BB+m</w:t>
            </w:r>
            <w:proofErr w:type="spellEnd"/>
            <w:r w:rsidRPr="00471CBA">
              <w:rPr>
                <w:rFonts w:ascii="Times New Roman" w:hAnsi="Times New Roman" w:cs="Times New Roman"/>
                <w:sz w:val="15"/>
                <w:szCs w:val="15"/>
              </w:rPr>
              <w:t xml:space="preserve"> ile BB-m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20ECD1F9" w14:textId="77777777" w:rsidR="00F91828" w:rsidRPr="00471CBA" w:rsidRDefault="00F91828" w:rsidP="00F36B82">
            <w:pPr>
              <w:ind w:right="38"/>
              <w:jc w:val="center"/>
              <w:rPr>
                <w:rFonts w:ascii="Times New Roman" w:hAnsi="Times New Roman" w:cs="Times New Roman"/>
                <w:sz w:val="15"/>
                <w:szCs w:val="15"/>
              </w:rPr>
            </w:pPr>
            <w:r w:rsidRPr="00471CBA">
              <w:rPr>
                <w:rFonts w:ascii="Times New Roman" w:hAnsi="Times New Roman" w:cs="Times New Roman"/>
                <w:sz w:val="15"/>
                <w:szCs w:val="15"/>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384002D7" w14:textId="77777777" w:rsidR="00F91828" w:rsidRPr="00471CBA" w:rsidRDefault="00F91828" w:rsidP="00F36B82">
            <w:pPr>
              <w:ind w:right="43"/>
              <w:jc w:val="center"/>
              <w:rPr>
                <w:rFonts w:ascii="Times New Roman" w:hAnsi="Times New Roman" w:cs="Times New Roman"/>
                <w:sz w:val="15"/>
                <w:szCs w:val="15"/>
              </w:rPr>
            </w:pPr>
            <w:r w:rsidRPr="00471CBA">
              <w:rPr>
                <w:rFonts w:ascii="Times New Roman" w:eastAsia="Calibri" w:hAnsi="Times New Roman" w:cs="Times New Roman"/>
                <w:sz w:val="15"/>
                <w:szCs w:val="15"/>
              </w:rPr>
              <w:t xml:space="preserve">-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0AB9D397" w14:textId="77777777" w:rsidR="00F91828" w:rsidRPr="00471CBA" w:rsidRDefault="00F91828" w:rsidP="00F36B82">
            <w:pPr>
              <w:ind w:right="43"/>
              <w:jc w:val="center"/>
              <w:rPr>
                <w:rFonts w:ascii="Times New Roman" w:hAnsi="Times New Roman" w:cs="Times New Roman"/>
                <w:sz w:val="15"/>
                <w:szCs w:val="15"/>
              </w:rPr>
            </w:pPr>
            <w:r w:rsidRPr="00471CBA">
              <w:rPr>
                <w:rFonts w:ascii="Times New Roman" w:eastAsia="Calibri" w:hAnsi="Times New Roman" w:cs="Times New Roman"/>
                <w:sz w:val="15"/>
                <w:szCs w:val="15"/>
              </w:rPr>
              <w:t xml:space="preserve">- </w:t>
            </w:r>
          </w:p>
        </w:tc>
      </w:tr>
      <w:tr w:rsidR="00F91828" w:rsidRPr="00471CBA" w14:paraId="28C9A9CE" w14:textId="77777777" w:rsidTr="00F36B82">
        <w:trPr>
          <w:cantSplit/>
          <w:trHeight w:val="2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40E388BB" w14:textId="77777777" w:rsidR="00F91828" w:rsidRPr="00471CBA" w:rsidRDefault="00F91828" w:rsidP="00F36B82">
            <w:pPr>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74013C02" w14:textId="77777777" w:rsidR="00F91828" w:rsidRPr="00471CBA" w:rsidRDefault="00F91828" w:rsidP="00F36B82">
            <w:pPr>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6E67FCE7" w14:textId="77777777" w:rsidR="00F91828" w:rsidRPr="00471CBA" w:rsidRDefault="00F91828" w:rsidP="00F36B82">
            <w:pPr>
              <w:ind w:right="39"/>
              <w:jc w:val="center"/>
              <w:rPr>
                <w:rFonts w:ascii="Times New Roman" w:hAnsi="Times New Roman" w:cs="Times New Roman"/>
                <w:sz w:val="15"/>
                <w:szCs w:val="15"/>
              </w:rPr>
            </w:pPr>
            <w:r w:rsidRPr="00471CBA">
              <w:rPr>
                <w:rFonts w:ascii="Times New Roman" w:hAnsi="Times New Roman" w:cs="Times New Roman"/>
                <w:sz w:val="15"/>
                <w:szCs w:val="15"/>
              </w:rPr>
              <w:t>5</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265E2494" w14:textId="77777777" w:rsidR="00F91828" w:rsidRPr="00471CBA" w:rsidRDefault="00F91828" w:rsidP="00F36B82">
            <w:pPr>
              <w:ind w:right="36"/>
              <w:jc w:val="center"/>
              <w:rPr>
                <w:rFonts w:ascii="Times New Roman" w:hAnsi="Times New Roman" w:cs="Times New Roman"/>
                <w:sz w:val="15"/>
                <w:szCs w:val="15"/>
              </w:rPr>
            </w:pPr>
            <w:r w:rsidRPr="00471CBA">
              <w:rPr>
                <w:rFonts w:ascii="Times New Roman" w:hAnsi="Times New Roman" w:cs="Times New Roman"/>
                <w:sz w:val="15"/>
                <w:szCs w:val="15"/>
              </w:rPr>
              <w:t xml:space="preserve">B+ ile B-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04AE0295" w14:textId="77777777" w:rsidR="00F91828" w:rsidRPr="00471CBA" w:rsidRDefault="00F91828" w:rsidP="00F36B82">
            <w:pPr>
              <w:ind w:right="41"/>
              <w:jc w:val="center"/>
              <w:rPr>
                <w:rFonts w:ascii="Times New Roman" w:hAnsi="Times New Roman" w:cs="Times New Roman"/>
                <w:sz w:val="15"/>
                <w:szCs w:val="15"/>
              </w:rPr>
            </w:pPr>
            <w:r w:rsidRPr="00471CBA">
              <w:rPr>
                <w:rFonts w:ascii="Times New Roman" w:hAnsi="Times New Roman" w:cs="Times New Roman"/>
                <w:sz w:val="15"/>
                <w:szCs w:val="15"/>
              </w:rPr>
              <w:t xml:space="preserve">B1 ile B3 </w:t>
            </w:r>
          </w:p>
        </w:tc>
        <w:tc>
          <w:tcPr>
            <w:tcW w:w="925" w:type="pct"/>
            <w:tcBorders>
              <w:top w:val="single" w:sz="4" w:space="0" w:color="000000"/>
              <w:left w:val="single" w:sz="4" w:space="0" w:color="000000"/>
              <w:bottom w:val="single" w:sz="4" w:space="0" w:color="000000"/>
              <w:right w:val="single" w:sz="4" w:space="0" w:color="000000"/>
            </w:tcBorders>
            <w:hideMark/>
          </w:tcPr>
          <w:p w14:paraId="22A5C62D" w14:textId="77777777" w:rsidR="00F91828" w:rsidRPr="00471CBA" w:rsidRDefault="00F91828" w:rsidP="00F36B82">
            <w:pPr>
              <w:spacing w:line="256" w:lineRule="auto"/>
              <w:ind w:left="2"/>
              <w:rPr>
                <w:rFonts w:ascii="Times New Roman" w:hAnsi="Times New Roman" w:cs="Times New Roman"/>
                <w:sz w:val="15"/>
                <w:szCs w:val="15"/>
              </w:rPr>
            </w:pPr>
            <w:r w:rsidRPr="00471CBA">
              <w:rPr>
                <w:rFonts w:ascii="Times New Roman" w:hAnsi="Times New Roman" w:cs="Times New Roman"/>
                <w:sz w:val="15"/>
                <w:szCs w:val="15"/>
              </w:rPr>
              <w:t xml:space="preserve">FCQR: </w:t>
            </w:r>
            <w:proofErr w:type="spellStart"/>
            <w:r w:rsidRPr="00471CBA">
              <w:rPr>
                <w:rFonts w:ascii="Times New Roman" w:hAnsi="Times New Roman" w:cs="Times New Roman"/>
                <w:sz w:val="15"/>
                <w:szCs w:val="15"/>
              </w:rPr>
              <w:t>B+f</w:t>
            </w:r>
            <w:proofErr w:type="spellEnd"/>
            <w:r w:rsidRPr="00471CBA">
              <w:rPr>
                <w:rFonts w:ascii="Times New Roman" w:hAnsi="Times New Roman" w:cs="Times New Roman"/>
                <w:sz w:val="15"/>
                <w:szCs w:val="15"/>
              </w:rPr>
              <w:t xml:space="preserve"> ile B-</w:t>
            </w:r>
          </w:p>
          <w:p w14:paraId="4CB08117" w14:textId="77777777" w:rsidR="00F91828" w:rsidRPr="00471CBA" w:rsidRDefault="00F91828" w:rsidP="00F36B82">
            <w:pPr>
              <w:spacing w:after="22" w:line="256" w:lineRule="auto"/>
              <w:ind w:right="38"/>
              <w:jc w:val="center"/>
              <w:rPr>
                <w:rFonts w:ascii="Times New Roman" w:hAnsi="Times New Roman" w:cs="Times New Roman"/>
                <w:sz w:val="15"/>
                <w:szCs w:val="15"/>
              </w:rPr>
            </w:pPr>
            <w:r w:rsidRPr="00471CBA">
              <w:rPr>
                <w:rFonts w:ascii="Times New Roman" w:hAnsi="Times New Roman" w:cs="Times New Roman"/>
                <w:sz w:val="15"/>
                <w:szCs w:val="15"/>
              </w:rPr>
              <w:t xml:space="preserve">f;  </w:t>
            </w:r>
          </w:p>
          <w:p w14:paraId="2A5539E8" w14:textId="77777777" w:rsidR="00F91828" w:rsidRPr="00471CBA" w:rsidRDefault="00F91828" w:rsidP="00F36B82">
            <w:pPr>
              <w:jc w:val="center"/>
              <w:rPr>
                <w:rFonts w:ascii="Times New Roman" w:hAnsi="Times New Roman" w:cs="Times New Roman"/>
                <w:sz w:val="15"/>
                <w:szCs w:val="15"/>
              </w:rPr>
            </w:pPr>
            <w:r w:rsidRPr="00471CBA">
              <w:rPr>
                <w:rFonts w:ascii="Times New Roman" w:hAnsi="Times New Roman" w:cs="Times New Roman"/>
                <w:sz w:val="15"/>
                <w:szCs w:val="15"/>
              </w:rPr>
              <w:t xml:space="preserve">PSFR: </w:t>
            </w:r>
            <w:proofErr w:type="spellStart"/>
            <w:r w:rsidRPr="00471CBA">
              <w:rPr>
                <w:rFonts w:ascii="Times New Roman" w:hAnsi="Times New Roman" w:cs="Times New Roman"/>
                <w:sz w:val="15"/>
                <w:szCs w:val="15"/>
              </w:rPr>
              <w:t>B+m</w:t>
            </w:r>
            <w:proofErr w:type="spellEnd"/>
            <w:r w:rsidRPr="00471CBA">
              <w:rPr>
                <w:rFonts w:ascii="Times New Roman" w:hAnsi="Times New Roman" w:cs="Times New Roman"/>
                <w:sz w:val="15"/>
                <w:szCs w:val="15"/>
              </w:rPr>
              <w:t xml:space="preserve"> ile B-m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229B3800" w14:textId="77777777" w:rsidR="00F91828" w:rsidRPr="00471CBA" w:rsidRDefault="00F91828" w:rsidP="00F36B82">
            <w:pPr>
              <w:ind w:right="38"/>
              <w:jc w:val="center"/>
              <w:rPr>
                <w:rFonts w:ascii="Times New Roman" w:hAnsi="Times New Roman" w:cs="Times New Roman"/>
                <w:sz w:val="15"/>
                <w:szCs w:val="15"/>
              </w:rPr>
            </w:pPr>
            <w:r w:rsidRPr="00471CBA">
              <w:rPr>
                <w:rFonts w:ascii="Times New Roman" w:hAnsi="Times New Roman" w:cs="Times New Roman"/>
                <w:sz w:val="15"/>
                <w:szCs w:val="15"/>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37C00CC0" w14:textId="77777777" w:rsidR="00F91828" w:rsidRPr="00471CBA" w:rsidRDefault="00F91828" w:rsidP="00F36B82">
            <w:pPr>
              <w:ind w:right="43"/>
              <w:jc w:val="center"/>
              <w:rPr>
                <w:rFonts w:ascii="Times New Roman" w:hAnsi="Times New Roman" w:cs="Times New Roman"/>
                <w:sz w:val="15"/>
                <w:szCs w:val="15"/>
              </w:rPr>
            </w:pPr>
            <w:r w:rsidRPr="00471CBA">
              <w:rPr>
                <w:rFonts w:ascii="Times New Roman" w:eastAsia="Calibri" w:hAnsi="Times New Roman" w:cs="Times New Roman"/>
                <w:sz w:val="15"/>
                <w:szCs w:val="15"/>
              </w:rPr>
              <w:t xml:space="preserve">-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5DB5F6CB" w14:textId="77777777" w:rsidR="00F91828" w:rsidRPr="00471CBA" w:rsidRDefault="00F91828" w:rsidP="00F36B82">
            <w:pPr>
              <w:ind w:right="43"/>
              <w:jc w:val="center"/>
              <w:rPr>
                <w:rFonts w:ascii="Times New Roman" w:hAnsi="Times New Roman" w:cs="Times New Roman"/>
                <w:sz w:val="15"/>
                <w:szCs w:val="15"/>
              </w:rPr>
            </w:pPr>
            <w:r w:rsidRPr="00471CBA">
              <w:rPr>
                <w:rFonts w:ascii="Times New Roman" w:eastAsia="Calibri" w:hAnsi="Times New Roman" w:cs="Times New Roman"/>
                <w:sz w:val="15"/>
                <w:szCs w:val="15"/>
              </w:rPr>
              <w:t xml:space="preserve">- </w:t>
            </w:r>
          </w:p>
        </w:tc>
      </w:tr>
      <w:tr w:rsidR="00F91828" w:rsidRPr="00471CBA" w14:paraId="089DF075" w14:textId="77777777" w:rsidTr="00F36B82">
        <w:trPr>
          <w:cantSplit/>
          <w:trHeight w:val="415"/>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5B84186E" w14:textId="77777777" w:rsidR="00F91828" w:rsidRPr="00471CBA" w:rsidRDefault="00F91828" w:rsidP="00F36B82">
            <w:pPr>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75AA1092" w14:textId="77777777" w:rsidR="00F91828" w:rsidRPr="00471CBA" w:rsidRDefault="00F91828" w:rsidP="00F36B82">
            <w:pPr>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184A9E5D" w14:textId="77777777" w:rsidR="00F91828" w:rsidRPr="00471CBA" w:rsidRDefault="00F91828" w:rsidP="00F36B82">
            <w:pPr>
              <w:ind w:right="39"/>
              <w:jc w:val="center"/>
              <w:rPr>
                <w:rFonts w:ascii="Times New Roman" w:hAnsi="Times New Roman" w:cs="Times New Roman"/>
                <w:sz w:val="15"/>
                <w:szCs w:val="15"/>
              </w:rPr>
            </w:pPr>
            <w:r w:rsidRPr="00471CBA">
              <w:rPr>
                <w:rFonts w:ascii="Times New Roman" w:hAnsi="Times New Roman" w:cs="Times New Roman"/>
                <w:sz w:val="15"/>
                <w:szCs w:val="15"/>
              </w:rPr>
              <w:t>6</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01AA09DD" w14:textId="77777777" w:rsidR="00F91828" w:rsidRPr="00471CBA" w:rsidRDefault="00F91828" w:rsidP="00F36B82">
            <w:pPr>
              <w:jc w:val="center"/>
              <w:rPr>
                <w:rFonts w:ascii="Times New Roman" w:hAnsi="Times New Roman" w:cs="Times New Roman"/>
                <w:sz w:val="15"/>
                <w:szCs w:val="15"/>
              </w:rPr>
            </w:pPr>
            <w:r w:rsidRPr="00471CBA">
              <w:rPr>
                <w:rFonts w:ascii="Times New Roman" w:hAnsi="Times New Roman" w:cs="Times New Roman"/>
                <w:sz w:val="15"/>
                <w:szCs w:val="15"/>
              </w:rPr>
              <w:t xml:space="preserve">CCC+ ve aşağısı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73491FF9" w14:textId="77777777" w:rsidR="00F91828" w:rsidRPr="00471CBA" w:rsidRDefault="00F91828" w:rsidP="00F36B82">
            <w:pPr>
              <w:ind w:right="44"/>
              <w:jc w:val="center"/>
              <w:rPr>
                <w:rFonts w:ascii="Times New Roman" w:hAnsi="Times New Roman" w:cs="Times New Roman"/>
                <w:sz w:val="15"/>
                <w:szCs w:val="15"/>
              </w:rPr>
            </w:pPr>
            <w:r w:rsidRPr="00471CBA">
              <w:rPr>
                <w:rFonts w:ascii="Times New Roman" w:hAnsi="Times New Roman" w:cs="Times New Roman"/>
                <w:sz w:val="15"/>
                <w:szCs w:val="15"/>
              </w:rPr>
              <w:t xml:space="preserve">Caa1 ve aşağısı </w:t>
            </w:r>
          </w:p>
        </w:tc>
        <w:tc>
          <w:tcPr>
            <w:tcW w:w="925" w:type="pct"/>
            <w:tcBorders>
              <w:top w:val="single" w:sz="4" w:space="0" w:color="000000"/>
              <w:left w:val="single" w:sz="4" w:space="0" w:color="000000"/>
              <w:bottom w:val="single" w:sz="4" w:space="0" w:color="000000"/>
              <w:right w:val="single" w:sz="4" w:space="0" w:color="000000"/>
            </w:tcBorders>
            <w:hideMark/>
          </w:tcPr>
          <w:p w14:paraId="575C989B" w14:textId="77777777" w:rsidR="00F91828" w:rsidRPr="00471CBA" w:rsidRDefault="00F91828" w:rsidP="00F36B82">
            <w:pPr>
              <w:ind w:left="18" w:hanging="18"/>
              <w:jc w:val="center"/>
              <w:rPr>
                <w:rFonts w:ascii="Times New Roman" w:hAnsi="Times New Roman" w:cs="Times New Roman"/>
                <w:sz w:val="15"/>
                <w:szCs w:val="15"/>
              </w:rPr>
            </w:pPr>
            <w:r w:rsidRPr="00471CBA">
              <w:rPr>
                <w:rFonts w:ascii="Times New Roman" w:hAnsi="Times New Roman" w:cs="Times New Roman"/>
                <w:sz w:val="15"/>
                <w:szCs w:val="15"/>
              </w:rPr>
              <w:t xml:space="preserve">FCQR: </w:t>
            </w:r>
            <w:proofErr w:type="spellStart"/>
            <w:r w:rsidRPr="00471CBA">
              <w:rPr>
                <w:rFonts w:ascii="Times New Roman" w:hAnsi="Times New Roman" w:cs="Times New Roman"/>
                <w:sz w:val="15"/>
                <w:szCs w:val="15"/>
              </w:rPr>
              <w:t>CCC+f</w:t>
            </w:r>
            <w:proofErr w:type="spellEnd"/>
            <w:r w:rsidRPr="00471CBA">
              <w:rPr>
                <w:rFonts w:ascii="Times New Roman" w:hAnsi="Times New Roman" w:cs="Times New Roman"/>
                <w:sz w:val="15"/>
                <w:szCs w:val="15"/>
              </w:rPr>
              <w:t xml:space="preserve"> ve aşağısı; PSFR: </w:t>
            </w:r>
            <w:proofErr w:type="spellStart"/>
            <w:r w:rsidRPr="00471CBA">
              <w:rPr>
                <w:rFonts w:ascii="Times New Roman" w:hAnsi="Times New Roman" w:cs="Times New Roman"/>
                <w:sz w:val="15"/>
                <w:szCs w:val="15"/>
              </w:rPr>
              <w:t>CCC+m</w:t>
            </w:r>
            <w:proofErr w:type="spellEnd"/>
            <w:r w:rsidRPr="00471CBA">
              <w:rPr>
                <w:rFonts w:ascii="Times New Roman" w:hAnsi="Times New Roman" w:cs="Times New Roman"/>
                <w:sz w:val="15"/>
                <w:szCs w:val="15"/>
              </w:rPr>
              <w:t xml:space="preserve"> ve aşağısı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16574F26" w14:textId="77777777" w:rsidR="00F91828" w:rsidRPr="00471CBA" w:rsidRDefault="00F91828" w:rsidP="00F36B82">
            <w:pPr>
              <w:ind w:right="38"/>
              <w:jc w:val="center"/>
              <w:rPr>
                <w:rFonts w:ascii="Times New Roman" w:hAnsi="Times New Roman" w:cs="Times New Roman"/>
                <w:sz w:val="15"/>
                <w:szCs w:val="15"/>
              </w:rPr>
            </w:pPr>
            <w:r w:rsidRPr="00471CBA">
              <w:rPr>
                <w:rFonts w:ascii="Times New Roman" w:hAnsi="Times New Roman" w:cs="Times New Roman"/>
                <w:sz w:val="15"/>
                <w:szCs w:val="15"/>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2E841A4E" w14:textId="77777777" w:rsidR="00F91828" w:rsidRPr="00471CBA" w:rsidRDefault="00F91828" w:rsidP="00F36B82">
            <w:pPr>
              <w:ind w:right="43"/>
              <w:jc w:val="center"/>
              <w:rPr>
                <w:rFonts w:ascii="Times New Roman" w:hAnsi="Times New Roman" w:cs="Times New Roman"/>
                <w:sz w:val="15"/>
                <w:szCs w:val="15"/>
              </w:rPr>
            </w:pPr>
            <w:r w:rsidRPr="00471CBA">
              <w:rPr>
                <w:rFonts w:ascii="Times New Roman" w:eastAsia="Calibri" w:hAnsi="Times New Roman" w:cs="Times New Roman"/>
                <w:sz w:val="15"/>
                <w:szCs w:val="15"/>
              </w:rPr>
              <w:t xml:space="preserve">-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1CF1F057" w14:textId="77777777" w:rsidR="00F91828" w:rsidRPr="00471CBA" w:rsidRDefault="00F91828" w:rsidP="00F36B82">
            <w:pPr>
              <w:ind w:right="43"/>
              <w:jc w:val="center"/>
              <w:rPr>
                <w:rFonts w:ascii="Times New Roman" w:hAnsi="Times New Roman" w:cs="Times New Roman"/>
                <w:sz w:val="15"/>
                <w:szCs w:val="15"/>
              </w:rPr>
            </w:pPr>
            <w:r w:rsidRPr="00471CBA">
              <w:rPr>
                <w:rFonts w:ascii="Times New Roman" w:eastAsia="Calibri" w:hAnsi="Times New Roman" w:cs="Times New Roman"/>
                <w:sz w:val="15"/>
                <w:szCs w:val="15"/>
              </w:rPr>
              <w:t xml:space="preserve">- </w:t>
            </w:r>
          </w:p>
        </w:tc>
      </w:tr>
    </w:tbl>
    <w:p w14:paraId="2E1E6A7C" w14:textId="77777777" w:rsidR="00F91828" w:rsidRPr="00471CBA" w:rsidRDefault="00F91828" w:rsidP="00F91828">
      <w:r w:rsidRPr="00471CBA">
        <w:br w:type="page"/>
      </w:r>
    </w:p>
    <w:p w14:paraId="12546018" w14:textId="77777777" w:rsidR="00A15F5D" w:rsidRPr="00471CBA" w:rsidRDefault="00A15F5D" w:rsidP="00A15F5D">
      <w:pPr>
        <w:rPr>
          <w:b/>
          <w:szCs w:val="20"/>
        </w:rPr>
      </w:pPr>
    </w:p>
    <w:p w14:paraId="5FE7D071" w14:textId="75F35016" w:rsidR="00F91828" w:rsidRPr="00471CBA" w:rsidRDefault="00F91828" w:rsidP="00A15F5D">
      <w:pPr>
        <w:rPr>
          <w:b/>
          <w:szCs w:val="20"/>
        </w:rPr>
      </w:pPr>
      <w:r w:rsidRPr="00471CBA">
        <w:rPr>
          <w:b/>
          <w:szCs w:val="20"/>
        </w:rPr>
        <w:t>MALİ BÜNYEYE VE RİSK YÖNETİMİNE İLİŞKİN BİLGİLER (Devamı)</w:t>
      </w:r>
    </w:p>
    <w:p w14:paraId="5B345E22" w14:textId="77777777" w:rsidR="00F91828" w:rsidRPr="00471CBA" w:rsidRDefault="00F91828" w:rsidP="00F91828">
      <w:pPr>
        <w:autoSpaceDE w:val="0"/>
        <w:autoSpaceDN w:val="0"/>
        <w:adjustRightInd w:val="0"/>
        <w:spacing w:before="120" w:after="120"/>
        <w:jc w:val="both"/>
        <w:rPr>
          <w:b/>
          <w:szCs w:val="20"/>
        </w:rPr>
      </w:pPr>
      <w:r w:rsidRPr="00471CBA">
        <w:rPr>
          <w:b/>
          <w:szCs w:val="20"/>
        </w:rPr>
        <w:t>II.</w:t>
      </w:r>
      <w:r w:rsidRPr="00471CBA">
        <w:rPr>
          <w:b/>
          <w:szCs w:val="20"/>
        </w:rPr>
        <w:tab/>
        <w:t>KREDİ RİSKİNE İLİŞKİN AÇIKLAMALAR (Devamı)</w:t>
      </w:r>
    </w:p>
    <w:p w14:paraId="030C2B74" w14:textId="77777777" w:rsidR="00F91828" w:rsidRPr="00471CBA" w:rsidRDefault="00F91828" w:rsidP="00F91828">
      <w:pPr>
        <w:spacing w:before="120" w:after="120"/>
        <w:ind w:right="-182"/>
        <w:jc w:val="both"/>
        <w:rPr>
          <w:szCs w:val="20"/>
        </w:rPr>
      </w:pPr>
      <w:r w:rsidRPr="00471CBA">
        <w:rPr>
          <w:szCs w:val="20"/>
        </w:rPr>
        <w:t>Bankaların Sermaye Yeterliliğinin Ölçülmesine ve Değerlendirilmesine İlişkin Yönetmeliğin Ek-1’inde tanımlanan her bir risk ağırlığına tekabül eden kredi riski azaltımı öncesi ve sonrası toplam risk tutarı ve özkaynaklardan indirilen tutarlara ilişkin bilgiler:</w:t>
      </w:r>
    </w:p>
    <w:tbl>
      <w:tblPr>
        <w:tblW w:w="5000" w:type="pct"/>
        <w:tblCellMar>
          <w:left w:w="30" w:type="dxa"/>
          <w:right w:w="30" w:type="dxa"/>
        </w:tblCellMar>
        <w:tblLook w:val="04A0" w:firstRow="1" w:lastRow="0" w:firstColumn="1" w:lastColumn="0" w:noHBand="0" w:noVBand="1"/>
      </w:tblPr>
      <w:tblGrid>
        <w:gridCol w:w="150"/>
        <w:gridCol w:w="1339"/>
        <w:gridCol w:w="870"/>
        <w:gridCol w:w="420"/>
        <w:gridCol w:w="870"/>
        <w:gridCol w:w="780"/>
        <w:gridCol w:w="780"/>
        <w:gridCol w:w="755"/>
        <w:gridCol w:w="894"/>
        <w:gridCol w:w="577"/>
        <w:gridCol w:w="843"/>
        <w:gridCol w:w="1361"/>
      </w:tblGrid>
      <w:tr w:rsidR="002F67F0" w:rsidRPr="00471CBA" w14:paraId="7DBF8D55" w14:textId="77777777" w:rsidTr="007913A4">
        <w:trPr>
          <w:trHeight w:val="144"/>
        </w:trPr>
        <w:tc>
          <w:tcPr>
            <w:tcW w:w="78" w:type="pct"/>
            <w:tcBorders>
              <w:top w:val="single" w:sz="4" w:space="0" w:color="auto"/>
              <w:left w:val="nil"/>
              <w:bottom w:val="single" w:sz="4" w:space="0" w:color="auto"/>
              <w:right w:val="nil"/>
            </w:tcBorders>
            <w:vAlign w:val="bottom"/>
          </w:tcPr>
          <w:p w14:paraId="0049FC17" w14:textId="77777777" w:rsidR="002F67F0" w:rsidRPr="00471CBA" w:rsidRDefault="002F67F0" w:rsidP="00B0049C">
            <w:pPr>
              <w:autoSpaceDE w:val="0"/>
              <w:autoSpaceDN w:val="0"/>
              <w:adjustRightInd w:val="0"/>
              <w:ind w:left="180" w:hanging="180"/>
              <w:rPr>
                <w:rFonts w:eastAsia="Arial Unicode MS"/>
                <w:b/>
                <w:sz w:val="18"/>
                <w:szCs w:val="18"/>
              </w:rPr>
            </w:pPr>
          </w:p>
        </w:tc>
        <w:tc>
          <w:tcPr>
            <w:tcW w:w="720" w:type="pct"/>
            <w:tcBorders>
              <w:top w:val="single" w:sz="4" w:space="0" w:color="auto"/>
              <w:left w:val="nil"/>
              <w:bottom w:val="single" w:sz="4" w:space="0" w:color="auto"/>
              <w:right w:val="nil"/>
            </w:tcBorders>
            <w:vAlign w:val="bottom"/>
          </w:tcPr>
          <w:p w14:paraId="3158B19C" w14:textId="3E7EF1B6" w:rsidR="002F67F0" w:rsidRPr="00471CBA" w:rsidRDefault="002F67F0" w:rsidP="00B0049C">
            <w:pPr>
              <w:autoSpaceDE w:val="0"/>
              <w:autoSpaceDN w:val="0"/>
              <w:adjustRightInd w:val="0"/>
              <w:rPr>
                <w:rFonts w:eastAsia="Arial Unicode MS"/>
                <w:b/>
                <w:sz w:val="18"/>
                <w:szCs w:val="18"/>
              </w:rPr>
            </w:pPr>
            <w:r w:rsidRPr="00471CBA">
              <w:rPr>
                <w:rFonts w:eastAsia="Arial Unicode MS"/>
                <w:b/>
                <w:sz w:val="18"/>
                <w:szCs w:val="18"/>
              </w:rPr>
              <w:t>31 Aralık 2025</w:t>
            </w:r>
          </w:p>
        </w:tc>
        <w:tc>
          <w:tcPr>
            <w:tcW w:w="435" w:type="pct"/>
            <w:tcBorders>
              <w:top w:val="single" w:sz="4" w:space="0" w:color="auto"/>
              <w:left w:val="nil"/>
              <w:bottom w:val="single" w:sz="4" w:space="0" w:color="auto"/>
              <w:right w:val="nil"/>
            </w:tcBorders>
            <w:vAlign w:val="bottom"/>
          </w:tcPr>
          <w:p w14:paraId="32A26A71" w14:textId="77777777" w:rsidR="002F67F0" w:rsidRPr="00471CBA" w:rsidRDefault="002F67F0" w:rsidP="00B0049C">
            <w:pPr>
              <w:autoSpaceDE w:val="0"/>
              <w:autoSpaceDN w:val="0"/>
              <w:adjustRightInd w:val="0"/>
              <w:jc w:val="center"/>
              <w:rPr>
                <w:rFonts w:eastAsia="Arial Unicode MS"/>
                <w:b/>
                <w:sz w:val="18"/>
                <w:szCs w:val="18"/>
              </w:rPr>
            </w:pPr>
          </w:p>
        </w:tc>
        <w:tc>
          <w:tcPr>
            <w:tcW w:w="218" w:type="pct"/>
            <w:tcBorders>
              <w:top w:val="single" w:sz="4" w:space="0" w:color="auto"/>
              <w:left w:val="nil"/>
              <w:bottom w:val="single" w:sz="4" w:space="0" w:color="auto"/>
              <w:right w:val="nil"/>
            </w:tcBorders>
            <w:vAlign w:val="bottom"/>
          </w:tcPr>
          <w:p w14:paraId="1BDA3ED4" w14:textId="77777777" w:rsidR="002F67F0" w:rsidRPr="00471CBA" w:rsidRDefault="002F67F0" w:rsidP="00B0049C">
            <w:pPr>
              <w:autoSpaceDE w:val="0"/>
              <w:autoSpaceDN w:val="0"/>
              <w:adjustRightInd w:val="0"/>
              <w:jc w:val="center"/>
              <w:rPr>
                <w:rFonts w:eastAsia="Arial Unicode MS"/>
                <w:b/>
                <w:sz w:val="18"/>
                <w:szCs w:val="18"/>
              </w:rPr>
            </w:pPr>
          </w:p>
        </w:tc>
        <w:tc>
          <w:tcPr>
            <w:tcW w:w="436" w:type="pct"/>
            <w:tcBorders>
              <w:top w:val="single" w:sz="4" w:space="0" w:color="auto"/>
              <w:left w:val="nil"/>
              <w:bottom w:val="single" w:sz="4" w:space="0" w:color="auto"/>
              <w:right w:val="nil"/>
            </w:tcBorders>
            <w:vAlign w:val="bottom"/>
          </w:tcPr>
          <w:p w14:paraId="1EA91353" w14:textId="77777777" w:rsidR="002F67F0" w:rsidRPr="00471CBA" w:rsidRDefault="002F67F0" w:rsidP="00B0049C">
            <w:pPr>
              <w:autoSpaceDE w:val="0"/>
              <w:autoSpaceDN w:val="0"/>
              <w:adjustRightInd w:val="0"/>
              <w:jc w:val="center"/>
              <w:rPr>
                <w:rFonts w:eastAsia="Arial Unicode MS"/>
                <w:b/>
                <w:sz w:val="18"/>
                <w:szCs w:val="18"/>
              </w:rPr>
            </w:pPr>
          </w:p>
        </w:tc>
        <w:tc>
          <w:tcPr>
            <w:tcW w:w="356" w:type="pct"/>
            <w:tcBorders>
              <w:top w:val="single" w:sz="4" w:space="0" w:color="auto"/>
              <w:left w:val="nil"/>
              <w:bottom w:val="single" w:sz="4" w:space="0" w:color="auto"/>
              <w:right w:val="nil"/>
            </w:tcBorders>
            <w:vAlign w:val="bottom"/>
          </w:tcPr>
          <w:p w14:paraId="5757157E" w14:textId="77777777" w:rsidR="002F67F0" w:rsidRPr="00471CBA" w:rsidRDefault="002F67F0" w:rsidP="00B0049C">
            <w:pPr>
              <w:autoSpaceDE w:val="0"/>
              <w:autoSpaceDN w:val="0"/>
              <w:adjustRightInd w:val="0"/>
              <w:jc w:val="center"/>
              <w:rPr>
                <w:rFonts w:eastAsia="Arial Unicode MS"/>
                <w:b/>
                <w:sz w:val="18"/>
                <w:szCs w:val="18"/>
              </w:rPr>
            </w:pPr>
          </w:p>
        </w:tc>
        <w:tc>
          <w:tcPr>
            <w:tcW w:w="361" w:type="pct"/>
            <w:tcBorders>
              <w:top w:val="single" w:sz="4" w:space="0" w:color="auto"/>
              <w:left w:val="nil"/>
              <w:bottom w:val="single" w:sz="4" w:space="0" w:color="auto"/>
              <w:right w:val="nil"/>
            </w:tcBorders>
            <w:vAlign w:val="bottom"/>
          </w:tcPr>
          <w:p w14:paraId="42E06168" w14:textId="77777777" w:rsidR="002F67F0" w:rsidRPr="00471CBA" w:rsidRDefault="002F67F0" w:rsidP="00B0049C">
            <w:pPr>
              <w:autoSpaceDE w:val="0"/>
              <w:autoSpaceDN w:val="0"/>
              <w:adjustRightInd w:val="0"/>
              <w:jc w:val="center"/>
              <w:rPr>
                <w:rFonts w:eastAsia="Arial Unicode MS"/>
                <w:b/>
                <w:sz w:val="18"/>
                <w:szCs w:val="18"/>
              </w:rPr>
            </w:pPr>
          </w:p>
        </w:tc>
        <w:tc>
          <w:tcPr>
            <w:tcW w:w="417" w:type="pct"/>
            <w:tcBorders>
              <w:top w:val="single" w:sz="4" w:space="0" w:color="auto"/>
              <w:left w:val="nil"/>
              <w:bottom w:val="single" w:sz="4" w:space="0" w:color="auto"/>
              <w:right w:val="nil"/>
            </w:tcBorders>
            <w:vAlign w:val="bottom"/>
          </w:tcPr>
          <w:p w14:paraId="3505BC6E" w14:textId="77777777" w:rsidR="002F67F0" w:rsidRPr="00471CBA" w:rsidRDefault="002F67F0" w:rsidP="00B0049C">
            <w:pPr>
              <w:autoSpaceDE w:val="0"/>
              <w:autoSpaceDN w:val="0"/>
              <w:adjustRightInd w:val="0"/>
              <w:jc w:val="center"/>
              <w:rPr>
                <w:rFonts w:eastAsia="Arial Unicode MS"/>
                <w:b/>
                <w:sz w:val="18"/>
                <w:szCs w:val="18"/>
              </w:rPr>
            </w:pPr>
          </w:p>
        </w:tc>
        <w:tc>
          <w:tcPr>
            <w:tcW w:w="489" w:type="pct"/>
            <w:tcBorders>
              <w:top w:val="single" w:sz="4" w:space="0" w:color="auto"/>
              <w:left w:val="nil"/>
              <w:bottom w:val="single" w:sz="4" w:space="0" w:color="auto"/>
              <w:right w:val="nil"/>
            </w:tcBorders>
            <w:vAlign w:val="bottom"/>
          </w:tcPr>
          <w:p w14:paraId="381AA626" w14:textId="77777777" w:rsidR="002F67F0" w:rsidRPr="00471CBA" w:rsidRDefault="002F67F0" w:rsidP="00B0049C">
            <w:pPr>
              <w:autoSpaceDE w:val="0"/>
              <w:autoSpaceDN w:val="0"/>
              <w:adjustRightInd w:val="0"/>
              <w:jc w:val="center"/>
              <w:rPr>
                <w:rFonts w:eastAsia="Arial Unicode MS"/>
                <w:b/>
                <w:sz w:val="18"/>
                <w:szCs w:val="18"/>
              </w:rPr>
            </w:pPr>
          </w:p>
        </w:tc>
        <w:tc>
          <w:tcPr>
            <w:tcW w:w="324" w:type="pct"/>
            <w:tcBorders>
              <w:top w:val="single" w:sz="4" w:space="0" w:color="auto"/>
              <w:left w:val="nil"/>
              <w:bottom w:val="single" w:sz="4" w:space="0" w:color="auto"/>
              <w:right w:val="nil"/>
            </w:tcBorders>
            <w:vAlign w:val="bottom"/>
          </w:tcPr>
          <w:p w14:paraId="7164BFA4" w14:textId="77777777" w:rsidR="002F67F0" w:rsidRPr="00471CBA" w:rsidRDefault="002F67F0" w:rsidP="00B0049C">
            <w:pPr>
              <w:autoSpaceDE w:val="0"/>
              <w:autoSpaceDN w:val="0"/>
              <w:adjustRightInd w:val="0"/>
              <w:jc w:val="center"/>
              <w:rPr>
                <w:rFonts w:eastAsia="Arial Unicode MS"/>
                <w:b/>
                <w:sz w:val="18"/>
                <w:szCs w:val="18"/>
              </w:rPr>
            </w:pPr>
          </w:p>
        </w:tc>
        <w:tc>
          <w:tcPr>
            <w:tcW w:w="462" w:type="pct"/>
            <w:tcBorders>
              <w:top w:val="single" w:sz="4" w:space="0" w:color="auto"/>
              <w:left w:val="nil"/>
              <w:bottom w:val="single" w:sz="4" w:space="0" w:color="auto"/>
              <w:right w:val="nil"/>
            </w:tcBorders>
            <w:vAlign w:val="bottom"/>
          </w:tcPr>
          <w:p w14:paraId="4118ED7D" w14:textId="77777777" w:rsidR="002F67F0" w:rsidRPr="00471CBA" w:rsidRDefault="002F67F0" w:rsidP="00B0049C">
            <w:pPr>
              <w:autoSpaceDE w:val="0"/>
              <w:autoSpaceDN w:val="0"/>
              <w:adjustRightInd w:val="0"/>
              <w:jc w:val="center"/>
              <w:rPr>
                <w:rFonts w:eastAsia="Arial Unicode MS"/>
                <w:b/>
                <w:sz w:val="18"/>
                <w:szCs w:val="18"/>
              </w:rPr>
            </w:pPr>
          </w:p>
        </w:tc>
        <w:tc>
          <w:tcPr>
            <w:tcW w:w="706" w:type="pct"/>
            <w:tcBorders>
              <w:top w:val="single" w:sz="4" w:space="0" w:color="auto"/>
              <w:left w:val="nil"/>
              <w:bottom w:val="single" w:sz="4" w:space="0" w:color="auto"/>
              <w:right w:val="nil"/>
            </w:tcBorders>
            <w:vAlign w:val="bottom"/>
          </w:tcPr>
          <w:p w14:paraId="745BB870" w14:textId="77777777" w:rsidR="002F67F0" w:rsidRPr="00471CBA" w:rsidRDefault="002F67F0" w:rsidP="00B0049C">
            <w:pPr>
              <w:autoSpaceDE w:val="0"/>
              <w:autoSpaceDN w:val="0"/>
              <w:adjustRightInd w:val="0"/>
              <w:jc w:val="right"/>
              <w:rPr>
                <w:rFonts w:eastAsia="Arial Unicode MS"/>
                <w:b/>
                <w:sz w:val="18"/>
                <w:szCs w:val="18"/>
              </w:rPr>
            </w:pPr>
          </w:p>
        </w:tc>
      </w:tr>
      <w:tr w:rsidR="00F91828" w:rsidRPr="00471CBA" w14:paraId="41D9F0E0" w14:textId="77777777" w:rsidTr="007913A4">
        <w:trPr>
          <w:trHeight w:val="453"/>
        </w:trPr>
        <w:tc>
          <w:tcPr>
            <w:tcW w:w="78" w:type="pct"/>
            <w:tcBorders>
              <w:top w:val="single" w:sz="4" w:space="0" w:color="auto"/>
              <w:left w:val="nil"/>
              <w:bottom w:val="single" w:sz="4" w:space="0" w:color="auto"/>
              <w:right w:val="nil"/>
            </w:tcBorders>
            <w:vAlign w:val="bottom"/>
          </w:tcPr>
          <w:p w14:paraId="04EBA03D" w14:textId="77777777" w:rsidR="00F91828" w:rsidRPr="00471CBA" w:rsidRDefault="00F91828" w:rsidP="00B0049C">
            <w:pPr>
              <w:autoSpaceDE w:val="0"/>
              <w:autoSpaceDN w:val="0"/>
              <w:adjustRightInd w:val="0"/>
              <w:ind w:left="180" w:hanging="180"/>
              <w:rPr>
                <w:rFonts w:eastAsia="Arial Unicode MS"/>
                <w:b/>
                <w:sz w:val="18"/>
                <w:szCs w:val="18"/>
              </w:rPr>
            </w:pPr>
            <w:bookmarkStart w:id="49" w:name="_Hlk127257166"/>
          </w:p>
        </w:tc>
        <w:tc>
          <w:tcPr>
            <w:tcW w:w="720" w:type="pct"/>
            <w:tcBorders>
              <w:top w:val="single" w:sz="4" w:space="0" w:color="auto"/>
              <w:left w:val="nil"/>
              <w:bottom w:val="single" w:sz="4" w:space="0" w:color="auto"/>
              <w:right w:val="nil"/>
            </w:tcBorders>
            <w:vAlign w:val="bottom"/>
            <w:hideMark/>
          </w:tcPr>
          <w:p w14:paraId="5E6F063F" w14:textId="77777777" w:rsidR="00F91828" w:rsidRPr="00471CBA" w:rsidRDefault="00F91828" w:rsidP="00B0049C">
            <w:pPr>
              <w:autoSpaceDE w:val="0"/>
              <w:autoSpaceDN w:val="0"/>
              <w:adjustRightInd w:val="0"/>
              <w:rPr>
                <w:rFonts w:eastAsia="Arial Unicode MS"/>
                <w:b/>
                <w:sz w:val="18"/>
                <w:szCs w:val="18"/>
              </w:rPr>
            </w:pPr>
            <w:r w:rsidRPr="00471CBA">
              <w:rPr>
                <w:rFonts w:eastAsia="Arial Unicode MS"/>
                <w:b/>
                <w:sz w:val="18"/>
                <w:szCs w:val="18"/>
              </w:rPr>
              <w:t>Risk Ağırlığı</w:t>
            </w:r>
          </w:p>
        </w:tc>
        <w:tc>
          <w:tcPr>
            <w:tcW w:w="435" w:type="pct"/>
            <w:tcBorders>
              <w:top w:val="single" w:sz="4" w:space="0" w:color="auto"/>
              <w:left w:val="nil"/>
              <w:bottom w:val="single" w:sz="4" w:space="0" w:color="auto"/>
              <w:right w:val="nil"/>
            </w:tcBorders>
            <w:vAlign w:val="bottom"/>
            <w:hideMark/>
          </w:tcPr>
          <w:p w14:paraId="644F97A9" w14:textId="77777777" w:rsidR="00F91828" w:rsidRPr="00471CBA" w:rsidRDefault="00F91828" w:rsidP="00B0049C">
            <w:pPr>
              <w:autoSpaceDE w:val="0"/>
              <w:autoSpaceDN w:val="0"/>
              <w:adjustRightInd w:val="0"/>
              <w:jc w:val="center"/>
              <w:rPr>
                <w:rFonts w:eastAsia="Arial Unicode MS"/>
                <w:b/>
                <w:sz w:val="18"/>
                <w:szCs w:val="18"/>
              </w:rPr>
            </w:pPr>
            <w:r w:rsidRPr="00471CBA">
              <w:rPr>
                <w:rFonts w:eastAsia="Arial Unicode MS"/>
                <w:b/>
                <w:sz w:val="18"/>
                <w:szCs w:val="18"/>
              </w:rPr>
              <w:t>%0</w:t>
            </w:r>
          </w:p>
        </w:tc>
        <w:tc>
          <w:tcPr>
            <w:tcW w:w="218" w:type="pct"/>
            <w:tcBorders>
              <w:top w:val="single" w:sz="4" w:space="0" w:color="auto"/>
              <w:left w:val="nil"/>
              <w:bottom w:val="single" w:sz="4" w:space="0" w:color="auto"/>
              <w:right w:val="nil"/>
            </w:tcBorders>
            <w:vAlign w:val="bottom"/>
            <w:hideMark/>
          </w:tcPr>
          <w:p w14:paraId="5C7A17D1" w14:textId="77777777" w:rsidR="00F91828" w:rsidRPr="00471CBA" w:rsidRDefault="00F91828" w:rsidP="00B0049C">
            <w:pPr>
              <w:autoSpaceDE w:val="0"/>
              <w:autoSpaceDN w:val="0"/>
              <w:adjustRightInd w:val="0"/>
              <w:jc w:val="center"/>
              <w:rPr>
                <w:rFonts w:eastAsia="Arial Unicode MS"/>
                <w:b/>
                <w:sz w:val="18"/>
                <w:szCs w:val="18"/>
              </w:rPr>
            </w:pPr>
            <w:r w:rsidRPr="00471CBA">
              <w:rPr>
                <w:rFonts w:eastAsia="Arial Unicode MS"/>
                <w:b/>
                <w:sz w:val="18"/>
                <w:szCs w:val="18"/>
              </w:rPr>
              <w:t>%10</w:t>
            </w:r>
          </w:p>
        </w:tc>
        <w:tc>
          <w:tcPr>
            <w:tcW w:w="436" w:type="pct"/>
            <w:tcBorders>
              <w:top w:val="single" w:sz="4" w:space="0" w:color="auto"/>
              <w:left w:val="nil"/>
              <w:bottom w:val="single" w:sz="4" w:space="0" w:color="auto"/>
              <w:right w:val="nil"/>
            </w:tcBorders>
            <w:vAlign w:val="bottom"/>
            <w:hideMark/>
          </w:tcPr>
          <w:p w14:paraId="52F09C91" w14:textId="77777777" w:rsidR="00F91828" w:rsidRPr="00471CBA" w:rsidRDefault="00F91828" w:rsidP="00B0049C">
            <w:pPr>
              <w:autoSpaceDE w:val="0"/>
              <w:autoSpaceDN w:val="0"/>
              <w:adjustRightInd w:val="0"/>
              <w:jc w:val="center"/>
              <w:rPr>
                <w:rFonts w:eastAsia="Arial Unicode MS"/>
                <w:b/>
                <w:sz w:val="18"/>
                <w:szCs w:val="18"/>
              </w:rPr>
            </w:pPr>
            <w:r w:rsidRPr="00471CBA">
              <w:rPr>
                <w:rFonts w:eastAsia="Arial Unicode MS"/>
                <w:b/>
                <w:sz w:val="18"/>
                <w:szCs w:val="18"/>
              </w:rPr>
              <w:t>%20</w:t>
            </w:r>
          </w:p>
        </w:tc>
        <w:tc>
          <w:tcPr>
            <w:tcW w:w="356" w:type="pct"/>
            <w:tcBorders>
              <w:top w:val="single" w:sz="4" w:space="0" w:color="auto"/>
              <w:left w:val="nil"/>
              <w:bottom w:val="single" w:sz="4" w:space="0" w:color="auto"/>
              <w:right w:val="nil"/>
            </w:tcBorders>
            <w:vAlign w:val="bottom"/>
            <w:hideMark/>
          </w:tcPr>
          <w:p w14:paraId="73B3593D" w14:textId="77777777" w:rsidR="00F91828" w:rsidRPr="00471CBA" w:rsidRDefault="00F91828" w:rsidP="00B0049C">
            <w:pPr>
              <w:autoSpaceDE w:val="0"/>
              <w:autoSpaceDN w:val="0"/>
              <w:adjustRightInd w:val="0"/>
              <w:jc w:val="center"/>
              <w:rPr>
                <w:rFonts w:eastAsia="Arial Unicode MS"/>
                <w:b/>
                <w:sz w:val="18"/>
                <w:szCs w:val="18"/>
              </w:rPr>
            </w:pPr>
            <w:r w:rsidRPr="00471CBA">
              <w:rPr>
                <w:rFonts w:eastAsia="Arial Unicode MS"/>
                <w:b/>
                <w:sz w:val="18"/>
                <w:szCs w:val="18"/>
              </w:rPr>
              <w:t>%35</w:t>
            </w:r>
          </w:p>
        </w:tc>
        <w:tc>
          <w:tcPr>
            <w:tcW w:w="361" w:type="pct"/>
            <w:tcBorders>
              <w:top w:val="single" w:sz="4" w:space="0" w:color="auto"/>
              <w:left w:val="nil"/>
              <w:bottom w:val="single" w:sz="4" w:space="0" w:color="auto"/>
              <w:right w:val="nil"/>
            </w:tcBorders>
            <w:vAlign w:val="bottom"/>
            <w:hideMark/>
          </w:tcPr>
          <w:p w14:paraId="42736EF3" w14:textId="77777777" w:rsidR="00F91828" w:rsidRPr="00471CBA" w:rsidRDefault="00F91828" w:rsidP="00B0049C">
            <w:pPr>
              <w:autoSpaceDE w:val="0"/>
              <w:autoSpaceDN w:val="0"/>
              <w:adjustRightInd w:val="0"/>
              <w:jc w:val="center"/>
              <w:rPr>
                <w:rFonts w:eastAsia="Arial Unicode MS"/>
                <w:b/>
                <w:sz w:val="18"/>
                <w:szCs w:val="18"/>
              </w:rPr>
            </w:pPr>
            <w:r w:rsidRPr="00471CBA">
              <w:rPr>
                <w:rFonts w:eastAsia="Arial Unicode MS"/>
                <w:b/>
                <w:sz w:val="18"/>
                <w:szCs w:val="18"/>
              </w:rPr>
              <w:t>%50</w:t>
            </w:r>
          </w:p>
        </w:tc>
        <w:tc>
          <w:tcPr>
            <w:tcW w:w="417" w:type="pct"/>
            <w:tcBorders>
              <w:top w:val="single" w:sz="4" w:space="0" w:color="auto"/>
              <w:left w:val="nil"/>
              <w:bottom w:val="single" w:sz="4" w:space="0" w:color="auto"/>
              <w:right w:val="nil"/>
            </w:tcBorders>
            <w:vAlign w:val="bottom"/>
            <w:hideMark/>
          </w:tcPr>
          <w:p w14:paraId="6174286E" w14:textId="77777777" w:rsidR="00F91828" w:rsidRPr="00471CBA" w:rsidRDefault="00F91828" w:rsidP="00B0049C">
            <w:pPr>
              <w:autoSpaceDE w:val="0"/>
              <w:autoSpaceDN w:val="0"/>
              <w:adjustRightInd w:val="0"/>
              <w:jc w:val="center"/>
              <w:rPr>
                <w:rFonts w:eastAsia="Arial Unicode MS"/>
                <w:b/>
                <w:sz w:val="18"/>
                <w:szCs w:val="18"/>
              </w:rPr>
            </w:pPr>
            <w:r w:rsidRPr="00471CBA">
              <w:rPr>
                <w:rFonts w:eastAsia="Arial Unicode MS"/>
                <w:b/>
                <w:sz w:val="18"/>
                <w:szCs w:val="18"/>
              </w:rPr>
              <w:t>%75</w:t>
            </w:r>
          </w:p>
        </w:tc>
        <w:tc>
          <w:tcPr>
            <w:tcW w:w="489" w:type="pct"/>
            <w:tcBorders>
              <w:top w:val="single" w:sz="4" w:space="0" w:color="auto"/>
              <w:left w:val="nil"/>
              <w:bottom w:val="single" w:sz="4" w:space="0" w:color="auto"/>
              <w:right w:val="nil"/>
            </w:tcBorders>
            <w:vAlign w:val="bottom"/>
            <w:hideMark/>
          </w:tcPr>
          <w:p w14:paraId="40400117" w14:textId="77777777" w:rsidR="00F91828" w:rsidRPr="00471CBA" w:rsidRDefault="00F91828" w:rsidP="00B0049C">
            <w:pPr>
              <w:autoSpaceDE w:val="0"/>
              <w:autoSpaceDN w:val="0"/>
              <w:adjustRightInd w:val="0"/>
              <w:jc w:val="center"/>
              <w:rPr>
                <w:rFonts w:eastAsia="Arial Unicode MS"/>
                <w:b/>
                <w:sz w:val="18"/>
                <w:szCs w:val="18"/>
              </w:rPr>
            </w:pPr>
            <w:r w:rsidRPr="00471CBA">
              <w:rPr>
                <w:rFonts w:eastAsia="Arial Unicode MS"/>
                <w:b/>
                <w:sz w:val="18"/>
                <w:szCs w:val="18"/>
              </w:rPr>
              <w:t>%100</w:t>
            </w:r>
          </w:p>
        </w:tc>
        <w:tc>
          <w:tcPr>
            <w:tcW w:w="324" w:type="pct"/>
            <w:tcBorders>
              <w:top w:val="single" w:sz="4" w:space="0" w:color="auto"/>
              <w:left w:val="nil"/>
              <w:bottom w:val="single" w:sz="4" w:space="0" w:color="auto"/>
              <w:right w:val="nil"/>
            </w:tcBorders>
            <w:vAlign w:val="bottom"/>
            <w:hideMark/>
          </w:tcPr>
          <w:p w14:paraId="7276B63B" w14:textId="77777777" w:rsidR="00F91828" w:rsidRPr="00471CBA" w:rsidRDefault="00F91828" w:rsidP="00B0049C">
            <w:pPr>
              <w:autoSpaceDE w:val="0"/>
              <w:autoSpaceDN w:val="0"/>
              <w:adjustRightInd w:val="0"/>
              <w:jc w:val="center"/>
              <w:rPr>
                <w:rFonts w:eastAsia="Arial Unicode MS"/>
                <w:b/>
                <w:sz w:val="18"/>
                <w:szCs w:val="18"/>
              </w:rPr>
            </w:pPr>
            <w:r w:rsidRPr="00471CBA">
              <w:rPr>
                <w:rFonts w:eastAsia="Arial Unicode MS"/>
                <w:b/>
                <w:sz w:val="18"/>
                <w:szCs w:val="18"/>
              </w:rPr>
              <w:t>%150</w:t>
            </w:r>
          </w:p>
        </w:tc>
        <w:tc>
          <w:tcPr>
            <w:tcW w:w="462" w:type="pct"/>
            <w:tcBorders>
              <w:top w:val="single" w:sz="4" w:space="0" w:color="auto"/>
              <w:left w:val="nil"/>
              <w:bottom w:val="single" w:sz="4" w:space="0" w:color="auto"/>
              <w:right w:val="nil"/>
            </w:tcBorders>
            <w:vAlign w:val="bottom"/>
            <w:hideMark/>
          </w:tcPr>
          <w:p w14:paraId="4F39DE55" w14:textId="3D821279" w:rsidR="00F91828" w:rsidRPr="00471CBA" w:rsidRDefault="00F91828" w:rsidP="00B0049C">
            <w:pPr>
              <w:autoSpaceDE w:val="0"/>
              <w:autoSpaceDN w:val="0"/>
              <w:adjustRightInd w:val="0"/>
              <w:jc w:val="center"/>
              <w:rPr>
                <w:rFonts w:eastAsia="Arial Unicode MS"/>
                <w:b/>
                <w:sz w:val="18"/>
                <w:szCs w:val="18"/>
              </w:rPr>
            </w:pPr>
            <w:r w:rsidRPr="00471CBA">
              <w:rPr>
                <w:rFonts w:eastAsia="Arial Unicode MS"/>
                <w:b/>
                <w:sz w:val="18"/>
                <w:szCs w:val="18"/>
              </w:rPr>
              <w:t>Diğerleri</w:t>
            </w:r>
            <w:r w:rsidR="007913A4" w:rsidRPr="00471CBA">
              <w:rPr>
                <w:rFonts w:eastAsia="Arial Unicode MS"/>
                <w:b/>
                <w:sz w:val="18"/>
                <w:szCs w:val="18"/>
              </w:rPr>
              <w:t xml:space="preserve"> </w:t>
            </w:r>
            <w:r w:rsidRPr="00471CBA">
              <w:rPr>
                <w:rFonts w:eastAsia="Arial Unicode MS"/>
                <w:b/>
                <w:sz w:val="18"/>
                <w:szCs w:val="18"/>
                <w:vertAlign w:val="superscript"/>
              </w:rPr>
              <w:t>(*)</w:t>
            </w:r>
          </w:p>
        </w:tc>
        <w:tc>
          <w:tcPr>
            <w:tcW w:w="706" w:type="pct"/>
            <w:tcBorders>
              <w:top w:val="single" w:sz="4" w:space="0" w:color="auto"/>
              <w:left w:val="nil"/>
              <w:bottom w:val="single" w:sz="4" w:space="0" w:color="auto"/>
              <w:right w:val="nil"/>
            </w:tcBorders>
            <w:vAlign w:val="bottom"/>
            <w:hideMark/>
          </w:tcPr>
          <w:p w14:paraId="7A13481B" w14:textId="77777777" w:rsidR="00F91828" w:rsidRPr="00471CBA" w:rsidRDefault="00F91828" w:rsidP="00B0049C">
            <w:pPr>
              <w:autoSpaceDE w:val="0"/>
              <w:autoSpaceDN w:val="0"/>
              <w:adjustRightInd w:val="0"/>
              <w:jc w:val="right"/>
              <w:rPr>
                <w:rFonts w:eastAsia="Arial Unicode MS"/>
                <w:b/>
                <w:sz w:val="18"/>
                <w:szCs w:val="18"/>
              </w:rPr>
            </w:pPr>
            <w:r w:rsidRPr="00471CBA">
              <w:rPr>
                <w:rFonts w:eastAsia="Arial Unicode MS"/>
                <w:b/>
                <w:sz w:val="18"/>
                <w:szCs w:val="18"/>
              </w:rPr>
              <w:t>Özkaynaklardan</w:t>
            </w:r>
          </w:p>
          <w:p w14:paraId="50C21CDB" w14:textId="77777777" w:rsidR="00F91828" w:rsidRPr="00471CBA" w:rsidRDefault="00F91828" w:rsidP="00B0049C">
            <w:pPr>
              <w:autoSpaceDE w:val="0"/>
              <w:autoSpaceDN w:val="0"/>
              <w:adjustRightInd w:val="0"/>
              <w:jc w:val="right"/>
              <w:rPr>
                <w:rFonts w:eastAsia="Arial Unicode MS"/>
                <w:b/>
                <w:sz w:val="18"/>
                <w:szCs w:val="18"/>
              </w:rPr>
            </w:pPr>
            <w:r w:rsidRPr="00471CBA">
              <w:rPr>
                <w:rFonts w:eastAsia="Arial Unicode MS"/>
                <w:b/>
                <w:sz w:val="18"/>
                <w:szCs w:val="18"/>
              </w:rPr>
              <w:t>İndirilenler</w:t>
            </w:r>
          </w:p>
        </w:tc>
      </w:tr>
      <w:bookmarkEnd w:id="49"/>
      <w:tr w:rsidR="007913A4" w:rsidRPr="00E87B78" w14:paraId="720444BC" w14:textId="77777777" w:rsidTr="007913A4">
        <w:trPr>
          <w:trHeight w:val="403"/>
        </w:trPr>
        <w:tc>
          <w:tcPr>
            <w:tcW w:w="78" w:type="pct"/>
            <w:tcBorders>
              <w:top w:val="single" w:sz="4" w:space="0" w:color="auto"/>
              <w:left w:val="nil"/>
              <w:bottom w:val="nil"/>
              <w:right w:val="nil"/>
            </w:tcBorders>
            <w:hideMark/>
          </w:tcPr>
          <w:p w14:paraId="60FA89C1" w14:textId="77777777" w:rsidR="007913A4" w:rsidRPr="00471CBA" w:rsidRDefault="007913A4" w:rsidP="007913A4">
            <w:pPr>
              <w:autoSpaceDE w:val="0"/>
              <w:autoSpaceDN w:val="0"/>
              <w:adjustRightInd w:val="0"/>
              <w:ind w:left="180" w:hanging="180"/>
              <w:rPr>
                <w:rFonts w:eastAsia="Arial Unicode MS"/>
                <w:sz w:val="18"/>
                <w:szCs w:val="18"/>
              </w:rPr>
            </w:pPr>
            <w:r w:rsidRPr="00471CBA">
              <w:rPr>
                <w:rFonts w:eastAsia="Arial Unicode MS"/>
                <w:sz w:val="18"/>
                <w:szCs w:val="18"/>
              </w:rPr>
              <w:t>1</w:t>
            </w:r>
          </w:p>
        </w:tc>
        <w:tc>
          <w:tcPr>
            <w:tcW w:w="720" w:type="pct"/>
            <w:tcBorders>
              <w:top w:val="single" w:sz="4" w:space="0" w:color="auto"/>
              <w:left w:val="nil"/>
              <w:bottom w:val="nil"/>
              <w:right w:val="nil"/>
            </w:tcBorders>
            <w:hideMark/>
          </w:tcPr>
          <w:p w14:paraId="06839CCA" w14:textId="77777777" w:rsidR="007913A4" w:rsidRPr="00471CBA" w:rsidRDefault="007913A4" w:rsidP="007913A4">
            <w:pPr>
              <w:autoSpaceDE w:val="0"/>
              <w:autoSpaceDN w:val="0"/>
              <w:adjustRightInd w:val="0"/>
              <w:rPr>
                <w:rFonts w:eastAsia="Arial Unicode MS"/>
                <w:sz w:val="18"/>
                <w:szCs w:val="18"/>
              </w:rPr>
            </w:pPr>
            <w:r w:rsidRPr="00471CBA">
              <w:rPr>
                <w:rFonts w:eastAsia="Arial Unicode MS"/>
                <w:sz w:val="18"/>
                <w:szCs w:val="18"/>
              </w:rPr>
              <w:t xml:space="preserve">Kredi Riski Azaltımı </w:t>
            </w:r>
          </w:p>
          <w:p w14:paraId="0222A589" w14:textId="77777777" w:rsidR="007913A4" w:rsidRPr="00471CBA" w:rsidRDefault="007913A4" w:rsidP="007913A4">
            <w:pPr>
              <w:autoSpaceDE w:val="0"/>
              <w:autoSpaceDN w:val="0"/>
              <w:adjustRightInd w:val="0"/>
              <w:ind w:left="180" w:hanging="180"/>
              <w:rPr>
                <w:rFonts w:eastAsia="Arial Unicode MS"/>
                <w:sz w:val="18"/>
                <w:szCs w:val="18"/>
              </w:rPr>
            </w:pPr>
            <w:r w:rsidRPr="00471CBA">
              <w:rPr>
                <w:rFonts w:eastAsia="Arial Unicode MS"/>
                <w:sz w:val="18"/>
                <w:szCs w:val="18"/>
              </w:rPr>
              <w:t>Öncesi Tutar</w:t>
            </w:r>
          </w:p>
        </w:tc>
        <w:tc>
          <w:tcPr>
            <w:tcW w:w="435" w:type="pct"/>
            <w:tcBorders>
              <w:top w:val="single" w:sz="4" w:space="0" w:color="auto"/>
              <w:left w:val="nil"/>
              <w:bottom w:val="nil"/>
              <w:right w:val="nil"/>
            </w:tcBorders>
            <w:vAlign w:val="bottom"/>
          </w:tcPr>
          <w:p w14:paraId="06353C6F" w14:textId="5F8B2EE7" w:rsidR="007913A4" w:rsidRPr="00471CBA" w:rsidRDefault="007913A4" w:rsidP="007913A4">
            <w:pPr>
              <w:jc w:val="right"/>
              <w:rPr>
                <w:sz w:val="18"/>
                <w:szCs w:val="18"/>
              </w:rPr>
            </w:pPr>
            <w:r w:rsidRPr="00471CBA">
              <w:rPr>
                <w:sz w:val="18"/>
                <w:szCs w:val="18"/>
              </w:rPr>
              <w:t>22.032.121</w:t>
            </w:r>
          </w:p>
        </w:tc>
        <w:tc>
          <w:tcPr>
            <w:tcW w:w="218" w:type="pct"/>
            <w:tcBorders>
              <w:top w:val="single" w:sz="4" w:space="0" w:color="auto"/>
              <w:left w:val="nil"/>
              <w:bottom w:val="nil"/>
              <w:right w:val="nil"/>
            </w:tcBorders>
            <w:vAlign w:val="bottom"/>
          </w:tcPr>
          <w:p w14:paraId="435C22A0" w14:textId="1FE48AEA" w:rsidR="007913A4" w:rsidRPr="00471CBA" w:rsidRDefault="007913A4" w:rsidP="007913A4">
            <w:pPr>
              <w:jc w:val="right"/>
              <w:rPr>
                <w:sz w:val="18"/>
                <w:szCs w:val="18"/>
              </w:rPr>
            </w:pPr>
            <w:r w:rsidRPr="00471CBA">
              <w:rPr>
                <w:sz w:val="18"/>
                <w:szCs w:val="18"/>
              </w:rPr>
              <w:t>-</w:t>
            </w:r>
          </w:p>
        </w:tc>
        <w:tc>
          <w:tcPr>
            <w:tcW w:w="436" w:type="pct"/>
            <w:tcBorders>
              <w:top w:val="single" w:sz="4" w:space="0" w:color="auto"/>
              <w:left w:val="nil"/>
              <w:bottom w:val="nil"/>
              <w:right w:val="nil"/>
            </w:tcBorders>
            <w:vAlign w:val="bottom"/>
          </w:tcPr>
          <w:p w14:paraId="40A93CB7" w14:textId="51BDBCD9" w:rsidR="007913A4" w:rsidRPr="00471CBA" w:rsidRDefault="007913A4" w:rsidP="007913A4">
            <w:pPr>
              <w:jc w:val="right"/>
              <w:rPr>
                <w:sz w:val="18"/>
                <w:szCs w:val="18"/>
              </w:rPr>
            </w:pPr>
            <w:r w:rsidRPr="00471CBA">
              <w:rPr>
                <w:sz w:val="18"/>
                <w:szCs w:val="18"/>
              </w:rPr>
              <w:t>6.905.543</w:t>
            </w:r>
          </w:p>
        </w:tc>
        <w:tc>
          <w:tcPr>
            <w:tcW w:w="356" w:type="pct"/>
            <w:tcBorders>
              <w:top w:val="single" w:sz="4" w:space="0" w:color="auto"/>
              <w:left w:val="nil"/>
              <w:bottom w:val="nil"/>
              <w:right w:val="nil"/>
            </w:tcBorders>
            <w:vAlign w:val="bottom"/>
          </w:tcPr>
          <w:p w14:paraId="378B18EA" w14:textId="3FB2F39E" w:rsidR="007913A4" w:rsidRPr="00E87B78" w:rsidRDefault="007913A4" w:rsidP="007913A4">
            <w:pPr>
              <w:jc w:val="right"/>
              <w:rPr>
                <w:sz w:val="18"/>
                <w:szCs w:val="18"/>
              </w:rPr>
            </w:pPr>
            <w:r w:rsidRPr="00E87B78">
              <w:rPr>
                <w:sz w:val="18"/>
                <w:szCs w:val="18"/>
              </w:rPr>
              <w:t>1.737.144</w:t>
            </w:r>
          </w:p>
        </w:tc>
        <w:tc>
          <w:tcPr>
            <w:tcW w:w="361" w:type="pct"/>
            <w:tcBorders>
              <w:top w:val="single" w:sz="4" w:space="0" w:color="auto"/>
              <w:left w:val="nil"/>
              <w:bottom w:val="nil"/>
              <w:right w:val="nil"/>
            </w:tcBorders>
            <w:vAlign w:val="bottom"/>
          </w:tcPr>
          <w:p w14:paraId="6E479A14" w14:textId="512A4D62" w:rsidR="007913A4" w:rsidRPr="00E87B78" w:rsidRDefault="007913A4" w:rsidP="007913A4">
            <w:pPr>
              <w:jc w:val="right"/>
              <w:rPr>
                <w:sz w:val="18"/>
                <w:szCs w:val="18"/>
              </w:rPr>
            </w:pPr>
            <w:r w:rsidRPr="00E87B78">
              <w:rPr>
                <w:sz w:val="18"/>
                <w:szCs w:val="18"/>
              </w:rPr>
              <w:t>1.747.073</w:t>
            </w:r>
          </w:p>
        </w:tc>
        <w:tc>
          <w:tcPr>
            <w:tcW w:w="417" w:type="pct"/>
            <w:tcBorders>
              <w:top w:val="single" w:sz="4" w:space="0" w:color="auto"/>
              <w:left w:val="nil"/>
              <w:bottom w:val="nil"/>
              <w:right w:val="nil"/>
            </w:tcBorders>
            <w:vAlign w:val="bottom"/>
          </w:tcPr>
          <w:p w14:paraId="4BEEDFA2" w14:textId="741C285B" w:rsidR="007913A4" w:rsidRPr="00E87B78" w:rsidRDefault="007913A4" w:rsidP="007913A4">
            <w:pPr>
              <w:jc w:val="right"/>
              <w:rPr>
                <w:sz w:val="18"/>
                <w:szCs w:val="18"/>
              </w:rPr>
            </w:pPr>
            <w:r w:rsidRPr="00E87B78">
              <w:rPr>
                <w:sz w:val="18"/>
                <w:szCs w:val="18"/>
              </w:rPr>
              <w:t>-</w:t>
            </w:r>
          </w:p>
        </w:tc>
        <w:tc>
          <w:tcPr>
            <w:tcW w:w="489" w:type="pct"/>
            <w:tcBorders>
              <w:top w:val="single" w:sz="4" w:space="0" w:color="auto"/>
              <w:left w:val="nil"/>
              <w:bottom w:val="nil"/>
              <w:right w:val="nil"/>
            </w:tcBorders>
            <w:vAlign w:val="bottom"/>
          </w:tcPr>
          <w:p w14:paraId="2606391F" w14:textId="181EB07D" w:rsidR="007913A4" w:rsidRPr="00E87B78" w:rsidRDefault="007913A4" w:rsidP="007913A4">
            <w:pPr>
              <w:jc w:val="right"/>
              <w:rPr>
                <w:sz w:val="18"/>
                <w:szCs w:val="18"/>
              </w:rPr>
            </w:pPr>
            <w:r w:rsidRPr="00E87B78">
              <w:rPr>
                <w:sz w:val="18"/>
                <w:szCs w:val="18"/>
              </w:rPr>
              <w:t>42.096.82</w:t>
            </w:r>
            <w:r w:rsidR="007A5154" w:rsidRPr="00E87B78">
              <w:rPr>
                <w:sz w:val="18"/>
                <w:szCs w:val="18"/>
              </w:rPr>
              <w:t>7</w:t>
            </w:r>
          </w:p>
        </w:tc>
        <w:tc>
          <w:tcPr>
            <w:tcW w:w="324" w:type="pct"/>
            <w:tcBorders>
              <w:top w:val="single" w:sz="4" w:space="0" w:color="auto"/>
              <w:left w:val="nil"/>
              <w:bottom w:val="nil"/>
              <w:right w:val="nil"/>
            </w:tcBorders>
            <w:vAlign w:val="bottom"/>
          </w:tcPr>
          <w:p w14:paraId="57CA29FC" w14:textId="2E4B1A18" w:rsidR="007913A4" w:rsidRPr="00E87B78" w:rsidRDefault="007913A4" w:rsidP="007913A4">
            <w:pPr>
              <w:jc w:val="right"/>
              <w:rPr>
                <w:sz w:val="18"/>
                <w:szCs w:val="18"/>
              </w:rPr>
            </w:pPr>
            <w:r w:rsidRPr="00E87B78">
              <w:rPr>
                <w:sz w:val="18"/>
                <w:szCs w:val="18"/>
              </w:rPr>
              <w:t>-</w:t>
            </w:r>
          </w:p>
        </w:tc>
        <w:tc>
          <w:tcPr>
            <w:tcW w:w="462" w:type="pct"/>
            <w:tcBorders>
              <w:top w:val="single" w:sz="4" w:space="0" w:color="auto"/>
              <w:left w:val="nil"/>
              <w:bottom w:val="nil"/>
              <w:right w:val="nil"/>
            </w:tcBorders>
            <w:vAlign w:val="bottom"/>
          </w:tcPr>
          <w:p w14:paraId="01B98C95" w14:textId="124DD255" w:rsidR="007913A4" w:rsidRPr="00E87B78" w:rsidRDefault="007913A4" w:rsidP="007913A4">
            <w:pPr>
              <w:jc w:val="right"/>
              <w:rPr>
                <w:sz w:val="18"/>
                <w:szCs w:val="18"/>
              </w:rPr>
            </w:pPr>
            <w:r w:rsidRPr="00E87B78">
              <w:rPr>
                <w:sz w:val="18"/>
                <w:szCs w:val="18"/>
              </w:rPr>
              <w:t>-</w:t>
            </w:r>
          </w:p>
        </w:tc>
        <w:tc>
          <w:tcPr>
            <w:tcW w:w="706" w:type="pct"/>
            <w:tcBorders>
              <w:top w:val="single" w:sz="4" w:space="0" w:color="auto"/>
              <w:left w:val="nil"/>
              <w:bottom w:val="nil"/>
              <w:right w:val="nil"/>
            </w:tcBorders>
            <w:vAlign w:val="bottom"/>
          </w:tcPr>
          <w:p w14:paraId="4652D00C" w14:textId="3A9D8C6C" w:rsidR="007913A4" w:rsidRPr="00E87B78" w:rsidRDefault="007913A4" w:rsidP="007913A4">
            <w:pPr>
              <w:jc w:val="right"/>
              <w:rPr>
                <w:sz w:val="18"/>
                <w:szCs w:val="18"/>
              </w:rPr>
            </w:pPr>
            <w:r w:rsidRPr="00E87B78">
              <w:rPr>
                <w:sz w:val="18"/>
                <w:szCs w:val="18"/>
              </w:rPr>
              <w:t>708.606</w:t>
            </w:r>
          </w:p>
        </w:tc>
      </w:tr>
      <w:tr w:rsidR="007913A4" w:rsidRPr="00E87B78" w14:paraId="7F406DF8" w14:textId="77777777" w:rsidTr="007913A4">
        <w:trPr>
          <w:trHeight w:val="413"/>
        </w:trPr>
        <w:tc>
          <w:tcPr>
            <w:tcW w:w="78" w:type="pct"/>
            <w:tcBorders>
              <w:top w:val="nil"/>
              <w:left w:val="nil"/>
              <w:bottom w:val="single" w:sz="4" w:space="0" w:color="auto"/>
              <w:right w:val="nil"/>
            </w:tcBorders>
            <w:hideMark/>
          </w:tcPr>
          <w:p w14:paraId="28CDD21D" w14:textId="77777777" w:rsidR="007913A4" w:rsidRPr="00471CBA" w:rsidRDefault="007913A4" w:rsidP="007913A4">
            <w:pPr>
              <w:autoSpaceDE w:val="0"/>
              <w:autoSpaceDN w:val="0"/>
              <w:adjustRightInd w:val="0"/>
              <w:ind w:left="180" w:hanging="180"/>
              <w:rPr>
                <w:rFonts w:eastAsia="Arial Unicode MS"/>
                <w:sz w:val="18"/>
                <w:szCs w:val="18"/>
              </w:rPr>
            </w:pPr>
            <w:r w:rsidRPr="00471CBA">
              <w:rPr>
                <w:rFonts w:eastAsia="Arial Unicode MS"/>
                <w:sz w:val="18"/>
                <w:szCs w:val="18"/>
              </w:rPr>
              <w:t>2</w:t>
            </w:r>
          </w:p>
        </w:tc>
        <w:tc>
          <w:tcPr>
            <w:tcW w:w="720" w:type="pct"/>
            <w:tcBorders>
              <w:top w:val="nil"/>
              <w:left w:val="nil"/>
              <w:bottom w:val="single" w:sz="4" w:space="0" w:color="auto"/>
              <w:right w:val="nil"/>
            </w:tcBorders>
            <w:hideMark/>
          </w:tcPr>
          <w:p w14:paraId="7B027913" w14:textId="77777777" w:rsidR="007913A4" w:rsidRPr="00471CBA" w:rsidRDefault="007913A4" w:rsidP="007913A4">
            <w:pPr>
              <w:autoSpaceDE w:val="0"/>
              <w:autoSpaceDN w:val="0"/>
              <w:adjustRightInd w:val="0"/>
              <w:rPr>
                <w:rFonts w:eastAsia="Arial Unicode MS"/>
                <w:sz w:val="18"/>
                <w:szCs w:val="18"/>
              </w:rPr>
            </w:pPr>
            <w:r w:rsidRPr="00471CBA">
              <w:rPr>
                <w:rFonts w:eastAsia="Arial Unicode MS"/>
                <w:sz w:val="18"/>
                <w:szCs w:val="18"/>
              </w:rPr>
              <w:t xml:space="preserve">Kredi Riski Azaltımı </w:t>
            </w:r>
          </w:p>
          <w:p w14:paraId="28EBC63D" w14:textId="77777777" w:rsidR="007913A4" w:rsidRPr="00471CBA" w:rsidRDefault="007913A4" w:rsidP="007913A4">
            <w:pPr>
              <w:autoSpaceDE w:val="0"/>
              <w:autoSpaceDN w:val="0"/>
              <w:adjustRightInd w:val="0"/>
              <w:rPr>
                <w:rFonts w:eastAsia="Arial Unicode MS"/>
                <w:sz w:val="18"/>
                <w:szCs w:val="18"/>
              </w:rPr>
            </w:pPr>
            <w:r w:rsidRPr="00471CBA">
              <w:rPr>
                <w:rFonts w:eastAsia="Arial Unicode MS"/>
                <w:sz w:val="18"/>
                <w:szCs w:val="18"/>
              </w:rPr>
              <w:t>Sonrası Tutar</w:t>
            </w:r>
          </w:p>
        </w:tc>
        <w:tc>
          <w:tcPr>
            <w:tcW w:w="435" w:type="pct"/>
            <w:tcBorders>
              <w:top w:val="nil"/>
              <w:left w:val="nil"/>
              <w:bottom w:val="single" w:sz="4" w:space="0" w:color="auto"/>
              <w:right w:val="nil"/>
            </w:tcBorders>
            <w:vAlign w:val="bottom"/>
          </w:tcPr>
          <w:p w14:paraId="7820E135" w14:textId="0C5D2E76" w:rsidR="007913A4" w:rsidRPr="00471CBA" w:rsidRDefault="007913A4" w:rsidP="007913A4">
            <w:pPr>
              <w:jc w:val="right"/>
              <w:rPr>
                <w:sz w:val="18"/>
                <w:szCs w:val="18"/>
              </w:rPr>
            </w:pPr>
            <w:r w:rsidRPr="00471CBA">
              <w:rPr>
                <w:sz w:val="18"/>
                <w:szCs w:val="18"/>
              </w:rPr>
              <w:t>22.896.831</w:t>
            </w:r>
          </w:p>
        </w:tc>
        <w:tc>
          <w:tcPr>
            <w:tcW w:w="218" w:type="pct"/>
            <w:tcBorders>
              <w:top w:val="nil"/>
              <w:left w:val="nil"/>
              <w:bottom w:val="single" w:sz="4" w:space="0" w:color="auto"/>
              <w:right w:val="nil"/>
            </w:tcBorders>
            <w:vAlign w:val="bottom"/>
          </w:tcPr>
          <w:p w14:paraId="206CA04C" w14:textId="47EBCF5E" w:rsidR="007913A4" w:rsidRPr="00471CBA" w:rsidRDefault="007913A4" w:rsidP="007913A4">
            <w:pPr>
              <w:jc w:val="right"/>
              <w:rPr>
                <w:sz w:val="18"/>
                <w:szCs w:val="18"/>
              </w:rPr>
            </w:pPr>
            <w:r w:rsidRPr="00471CBA">
              <w:rPr>
                <w:sz w:val="18"/>
                <w:szCs w:val="18"/>
              </w:rPr>
              <w:t>-</w:t>
            </w:r>
          </w:p>
        </w:tc>
        <w:tc>
          <w:tcPr>
            <w:tcW w:w="436" w:type="pct"/>
            <w:tcBorders>
              <w:top w:val="nil"/>
              <w:left w:val="nil"/>
              <w:bottom w:val="single" w:sz="4" w:space="0" w:color="auto"/>
              <w:right w:val="nil"/>
            </w:tcBorders>
            <w:vAlign w:val="bottom"/>
          </w:tcPr>
          <w:p w14:paraId="024E48C6" w14:textId="74A792FE" w:rsidR="007913A4" w:rsidRPr="00471CBA" w:rsidRDefault="007913A4" w:rsidP="007913A4">
            <w:pPr>
              <w:jc w:val="right"/>
              <w:rPr>
                <w:sz w:val="18"/>
                <w:szCs w:val="18"/>
              </w:rPr>
            </w:pPr>
            <w:r w:rsidRPr="00471CBA">
              <w:rPr>
                <w:sz w:val="18"/>
                <w:szCs w:val="18"/>
              </w:rPr>
              <w:t>10.051.494</w:t>
            </w:r>
          </w:p>
        </w:tc>
        <w:tc>
          <w:tcPr>
            <w:tcW w:w="356" w:type="pct"/>
            <w:tcBorders>
              <w:top w:val="nil"/>
              <w:left w:val="nil"/>
              <w:bottom w:val="single" w:sz="4" w:space="0" w:color="auto"/>
              <w:right w:val="nil"/>
            </w:tcBorders>
            <w:vAlign w:val="bottom"/>
          </w:tcPr>
          <w:p w14:paraId="104A7A25" w14:textId="0B43161E" w:rsidR="007913A4" w:rsidRPr="00E87B78" w:rsidRDefault="007913A4" w:rsidP="007913A4">
            <w:pPr>
              <w:jc w:val="right"/>
              <w:rPr>
                <w:sz w:val="18"/>
                <w:szCs w:val="18"/>
              </w:rPr>
            </w:pPr>
            <w:r w:rsidRPr="00E87B78">
              <w:rPr>
                <w:sz w:val="18"/>
                <w:szCs w:val="18"/>
              </w:rPr>
              <w:t>1.619.23</w:t>
            </w:r>
            <w:r w:rsidR="007A5154" w:rsidRPr="00E87B78">
              <w:rPr>
                <w:sz w:val="18"/>
                <w:szCs w:val="18"/>
              </w:rPr>
              <w:t>1</w:t>
            </w:r>
          </w:p>
        </w:tc>
        <w:tc>
          <w:tcPr>
            <w:tcW w:w="361" w:type="pct"/>
            <w:tcBorders>
              <w:top w:val="nil"/>
              <w:left w:val="nil"/>
              <w:bottom w:val="single" w:sz="4" w:space="0" w:color="auto"/>
              <w:right w:val="nil"/>
            </w:tcBorders>
            <w:vAlign w:val="bottom"/>
          </w:tcPr>
          <w:p w14:paraId="143CA959" w14:textId="57FAC93F" w:rsidR="007913A4" w:rsidRPr="00E87B78" w:rsidRDefault="007913A4" w:rsidP="007913A4">
            <w:pPr>
              <w:jc w:val="right"/>
              <w:rPr>
                <w:sz w:val="18"/>
                <w:szCs w:val="18"/>
              </w:rPr>
            </w:pPr>
            <w:r w:rsidRPr="00E87B78">
              <w:rPr>
                <w:sz w:val="18"/>
                <w:szCs w:val="18"/>
              </w:rPr>
              <w:t>1.691.661</w:t>
            </w:r>
          </w:p>
        </w:tc>
        <w:tc>
          <w:tcPr>
            <w:tcW w:w="417" w:type="pct"/>
            <w:tcBorders>
              <w:top w:val="nil"/>
              <w:left w:val="nil"/>
              <w:bottom w:val="single" w:sz="4" w:space="0" w:color="auto"/>
              <w:right w:val="nil"/>
            </w:tcBorders>
            <w:vAlign w:val="bottom"/>
          </w:tcPr>
          <w:p w14:paraId="763985E2" w14:textId="738478FD" w:rsidR="007913A4" w:rsidRPr="00E87B78" w:rsidRDefault="007913A4" w:rsidP="007913A4">
            <w:pPr>
              <w:jc w:val="right"/>
              <w:rPr>
                <w:sz w:val="18"/>
                <w:szCs w:val="18"/>
              </w:rPr>
            </w:pPr>
            <w:r w:rsidRPr="00E87B78">
              <w:rPr>
                <w:sz w:val="18"/>
                <w:szCs w:val="18"/>
              </w:rPr>
              <w:t>-</w:t>
            </w:r>
          </w:p>
        </w:tc>
        <w:tc>
          <w:tcPr>
            <w:tcW w:w="489" w:type="pct"/>
            <w:tcBorders>
              <w:top w:val="nil"/>
              <w:left w:val="nil"/>
              <w:bottom w:val="single" w:sz="4" w:space="0" w:color="auto"/>
              <w:right w:val="nil"/>
            </w:tcBorders>
            <w:vAlign w:val="bottom"/>
          </w:tcPr>
          <w:p w14:paraId="17D2250B" w14:textId="10D85BE0" w:rsidR="007913A4" w:rsidRPr="00E87B78" w:rsidRDefault="007913A4" w:rsidP="007913A4">
            <w:pPr>
              <w:jc w:val="right"/>
              <w:rPr>
                <w:sz w:val="18"/>
                <w:szCs w:val="18"/>
              </w:rPr>
            </w:pPr>
            <w:r w:rsidRPr="00E87B78">
              <w:rPr>
                <w:sz w:val="18"/>
                <w:szCs w:val="18"/>
              </w:rPr>
              <w:t>38.259.491</w:t>
            </w:r>
          </w:p>
        </w:tc>
        <w:tc>
          <w:tcPr>
            <w:tcW w:w="324" w:type="pct"/>
            <w:tcBorders>
              <w:top w:val="nil"/>
              <w:left w:val="nil"/>
              <w:bottom w:val="single" w:sz="4" w:space="0" w:color="auto"/>
              <w:right w:val="nil"/>
            </w:tcBorders>
            <w:vAlign w:val="bottom"/>
          </w:tcPr>
          <w:p w14:paraId="73E3C6DF" w14:textId="36DA1910" w:rsidR="007913A4" w:rsidRPr="00E87B78" w:rsidRDefault="007913A4" w:rsidP="007913A4">
            <w:pPr>
              <w:jc w:val="right"/>
              <w:rPr>
                <w:sz w:val="18"/>
                <w:szCs w:val="18"/>
              </w:rPr>
            </w:pPr>
            <w:r w:rsidRPr="00E87B78">
              <w:rPr>
                <w:sz w:val="18"/>
                <w:szCs w:val="18"/>
              </w:rPr>
              <w:t>-</w:t>
            </w:r>
          </w:p>
        </w:tc>
        <w:tc>
          <w:tcPr>
            <w:tcW w:w="462" w:type="pct"/>
            <w:tcBorders>
              <w:top w:val="nil"/>
              <w:left w:val="nil"/>
              <w:bottom w:val="single" w:sz="4" w:space="0" w:color="auto"/>
              <w:right w:val="nil"/>
            </w:tcBorders>
            <w:vAlign w:val="bottom"/>
          </w:tcPr>
          <w:p w14:paraId="04515BD7" w14:textId="6C77E1F9" w:rsidR="007913A4" w:rsidRPr="00E87B78" w:rsidRDefault="007913A4" w:rsidP="007913A4">
            <w:pPr>
              <w:jc w:val="right"/>
              <w:rPr>
                <w:sz w:val="18"/>
                <w:szCs w:val="18"/>
              </w:rPr>
            </w:pPr>
            <w:r w:rsidRPr="00E87B78">
              <w:rPr>
                <w:sz w:val="18"/>
                <w:szCs w:val="18"/>
              </w:rPr>
              <w:t>-</w:t>
            </w:r>
          </w:p>
        </w:tc>
        <w:tc>
          <w:tcPr>
            <w:tcW w:w="706" w:type="pct"/>
            <w:tcBorders>
              <w:top w:val="nil"/>
              <w:left w:val="nil"/>
              <w:bottom w:val="single" w:sz="4" w:space="0" w:color="auto"/>
              <w:right w:val="nil"/>
            </w:tcBorders>
            <w:vAlign w:val="bottom"/>
          </w:tcPr>
          <w:p w14:paraId="403D0047" w14:textId="7A373001" w:rsidR="007913A4" w:rsidRPr="00E87B78" w:rsidRDefault="007913A4" w:rsidP="007913A4">
            <w:pPr>
              <w:jc w:val="right"/>
              <w:rPr>
                <w:sz w:val="18"/>
                <w:szCs w:val="18"/>
              </w:rPr>
            </w:pPr>
            <w:r w:rsidRPr="00E87B78">
              <w:rPr>
                <w:sz w:val="18"/>
                <w:szCs w:val="18"/>
              </w:rPr>
              <w:t>-</w:t>
            </w:r>
          </w:p>
        </w:tc>
      </w:tr>
    </w:tbl>
    <w:p w14:paraId="65C7BC8D" w14:textId="0F83DA6E" w:rsidR="00F91828" w:rsidRPr="00471CBA" w:rsidRDefault="00F91828" w:rsidP="00F91828">
      <w:pPr>
        <w:spacing w:before="120"/>
        <w:ind w:left="-56" w:right="-182" w:firstLine="210"/>
        <w:jc w:val="both"/>
        <w:rPr>
          <w:szCs w:val="20"/>
        </w:rPr>
      </w:pPr>
      <w:r w:rsidRPr="00471CBA">
        <w:rPr>
          <w:szCs w:val="20"/>
          <w:vertAlign w:val="superscript"/>
        </w:rPr>
        <w:t>(*)</w:t>
      </w:r>
      <w:r w:rsidRPr="00471CBA">
        <w:rPr>
          <w:szCs w:val="20"/>
        </w:rPr>
        <w:t xml:space="preserve"> %500 risk ağırlığını ifade eder.</w:t>
      </w:r>
    </w:p>
    <w:p w14:paraId="505F7092" w14:textId="77777777" w:rsidR="00571ECD" w:rsidRPr="00471CBA" w:rsidRDefault="00571ECD" w:rsidP="00F91828">
      <w:pPr>
        <w:spacing w:before="120"/>
        <w:ind w:left="-56" w:right="-182" w:firstLine="210"/>
        <w:jc w:val="both"/>
        <w:rPr>
          <w:szCs w:val="20"/>
        </w:rPr>
      </w:pPr>
    </w:p>
    <w:tbl>
      <w:tblPr>
        <w:tblW w:w="5000" w:type="pct"/>
        <w:tblCellMar>
          <w:left w:w="30" w:type="dxa"/>
          <w:right w:w="30" w:type="dxa"/>
        </w:tblCellMar>
        <w:tblLook w:val="04A0" w:firstRow="1" w:lastRow="0" w:firstColumn="1" w:lastColumn="0" w:noHBand="0" w:noVBand="1"/>
      </w:tblPr>
      <w:tblGrid>
        <w:gridCol w:w="150"/>
        <w:gridCol w:w="1402"/>
        <w:gridCol w:w="853"/>
        <w:gridCol w:w="420"/>
        <w:gridCol w:w="853"/>
        <w:gridCol w:w="700"/>
        <w:gridCol w:w="708"/>
        <w:gridCol w:w="816"/>
        <w:gridCol w:w="955"/>
        <w:gridCol w:w="637"/>
        <w:gridCol w:w="784"/>
        <w:gridCol w:w="1361"/>
      </w:tblGrid>
      <w:tr w:rsidR="002F67F0" w:rsidRPr="00471CBA" w14:paraId="1487F8CA" w14:textId="77777777" w:rsidTr="002F67F0">
        <w:trPr>
          <w:trHeight w:val="53"/>
        </w:trPr>
        <w:tc>
          <w:tcPr>
            <w:tcW w:w="74" w:type="pct"/>
            <w:tcBorders>
              <w:top w:val="single" w:sz="4" w:space="0" w:color="auto"/>
              <w:left w:val="nil"/>
              <w:bottom w:val="single" w:sz="4" w:space="0" w:color="auto"/>
              <w:right w:val="nil"/>
            </w:tcBorders>
            <w:vAlign w:val="bottom"/>
          </w:tcPr>
          <w:p w14:paraId="68859966" w14:textId="77777777" w:rsidR="002F67F0" w:rsidRPr="00471CBA" w:rsidRDefault="002F67F0" w:rsidP="00887449">
            <w:pPr>
              <w:autoSpaceDE w:val="0"/>
              <w:autoSpaceDN w:val="0"/>
              <w:adjustRightInd w:val="0"/>
              <w:ind w:left="180" w:hanging="180"/>
              <w:rPr>
                <w:rFonts w:eastAsia="Arial Unicode MS"/>
                <w:b/>
                <w:sz w:val="18"/>
                <w:szCs w:val="18"/>
              </w:rPr>
            </w:pPr>
          </w:p>
        </w:tc>
        <w:tc>
          <w:tcPr>
            <w:tcW w:w="735" w:type="pct"/>
            <w:tcBorders>
              <w:top w:val="single" w:sz="4" w:space="0" w:color="auto"/>
              <w:left w:val="nil"/>
              <w:bottom w:val="single" w:sz="4" w:space="0" w:color="auto"/>
              <w:right w:val="nil"/>
            </w:tcBorders>
            <w:vAlign w:val="bottom"/>
          </w:tcPr>
          <w:p w14:paraId="685AC587" w14:textId="4767EBD8" w:rsidR="002F67F0" w:rsidRPr="00471CBA" w:rsidRDefault="002F67F0" w:rsidP="00887449">
            <w:pPr>
              <w:autoSpaceDE w:val="0"/>
              <w:autoSpaceDN w:val="0"/>
              <w:adjustRightInd w:val="0"/>
              <w:rPr>
                <w:rFonts w:eastAsia="Arial Unicode MS"/>
                <w:b/>
                <w:sz w:val="18"/>
                <w:szCs w:val="18"/>
              </w:rPr>
            </w:pPr>
            <w:r w:rsidRPr="00471CBA">
              <w:rPr>
                <w:rFonts w:eastAsia="Arial Unicode MS"/>
                <w:b/>
                <w:sz w:val="18"/>
                <w:szCs w:val="18"/>
              </w:rPr>
              <w:t>31 Aralık 2024</w:t>
            </w:r>
          </w:p>
        </w:tc>
        <w:tc>
          <w:tcPr>
            <w:tcW w:w="450" w:type="pct"/>
            <w:tcBorders>
              <w:top w:val="single" w:sz="4" w:space="0" w:color="auto"/>
              <w:left w:val="nil"/>
              <w:bottom w:val="single" w:sz="4" w:space="0" w:color="auto"/>
              <w:right w:val="nil"/>
            </w:tcBorders>
            <w:vAlign w:val="bottom"/>
          </w:tcPr>
          <w:p w14:paraId="7D58C653" w14:textId="77777777" w:rsidR="002F67F0" w:rsidRPr="00471CBA" w:rsidRDefault="002F67F0" w:rsidP="00887449">
            <w:pPr>
              <w:autoSpaceDE w:val="0"/>
              <w:autoSpaceDN w:val="0"/>
              <w:adjustRightInd w:val="0"/>
              <w:jc w:val="center"/>
              <w:rPr>
                <w:rFonts w:eastAsia="Arial Unicode MS"/>
                <w:b/>
                <w:sz w:val="18"/>
                <w:szCs w:val="18"/>
              </w:rPr>
            </w:pPr>
          </w:p>
        </w:tc>
        <w:tc>
          <w:tcPr>
            <w:tcW w:w="200" w:type="pct"/>
            <w:tcBorders>
              <w:top w:val="single" w:sz="4" w:space="0" w:color="auto"/>
              <w:left w:val="nil"/>
              <w:bottom w:val="single" w:sz="4" w:space="0" w:color="auto"/>
              <w:right w:val="nil"/>
            </w:tcBorders>
            <w:vAlign w:val="bottom"/>
          </w:tcPr>
          <w:p w14:paraId="51BD48C6" w14:textId="77777777" w:rsidR="002F67F0" w:rsidRPr="00471CBA" w:rsidRDefault="002F67F0" w:rsidP="00887449">
            <w:pPr>
              <w:autoSpaceDE w:val="0"/>
              <w:autoSpaceDN w:val="0"/>
              <w:adjustRightInd w:val="0"/>
              <w:jc w:val="center"/>
              <w:rPr>
                <w:rFonts w:eastAsia="Arial Unicode MS"/>
                <w:b/>
                <w:sz w:val="18"/>
                <w:szCs w:val="18"/>
              </w:rPr>
            </w:pPr>
          </w:p>
        </w:tc>
        <w:tc>
          <w:tcPr>
            <w:tcW w:w="450" w:type="pct"/>
            <w:tcBorders>
              <w:top w:val="single" w:sz="4" w:space="0" w:color="auto"/>
              <w:left w:val="nil"/>
              <w:bottom w:val="single" w:sz="4" w:space="0" w:color="auto"/>
              <w:right w:val="nil"/>
            </w:tcBorders>
            <w:vAlign w:val="bottom"/>
          </w:tcPr>
          <w:p w14:paraId="659DC00D" w14:textId="77777777" w:rsidR="002F67F0" w:rsidRPr="00471CBA" w:rsidRDefault="002F67F0" w:rsidP="00887449">
            <w:pPr>
              <w:autoSpaceDE w:val="0"/>
              <w:autoSpaceDN w:val="0"/>
              <w:adjustRightInd w:val="0"/>
              <w:jc w:val="center"/>
              <w:rPr>
                <w:rFonts w:eastAsia="Arial Unicode MS"/>
                <w:b/>
                <w:sz w:val="18"/>
                <w:szCs w:val="18"/>
              </w:rPr>
            </w:pPr>
          </w:p>
        </w:tc>
        <w:tc>
          <w:tcPr>
            <w:tcW w:w="371" w:type="pct"/>
            <w:tcBorders>
              <w:top w:val="single" w:sz="4" w:space="0" w:color="auto"/>
              <w:left w:val="nil"/>
              <w:bottom w:val="single" w:sz="4" w:space="0" w:color="auto"/>
              <w:right w:val="nil"/>
            </w:tcBorders>
            <w:vAlign w:val="bottom"/>
          </w:tcPr>
          <w:p w14:paraId="6FDD90AE" w14:textId="77777777" w:rsidR="002F67F0" w:rsidRPr="00471CBA" w:rsidRDefault="002F67F0" w:rsidP="00887449">
            <w:pPr>
              <w:autoSpaceDE w:val="0"/>
              <w:autoSpaceDN w:val="0"/>
              <w:adjustRightInd w:val="0"/>
              <w:jc w:val="center"/>
              <w:rPr>
                <w:rFonts w:eastAsia="Arial Unicode MS"/>
                <w:b/>
                <w:sz w:val="18"/>
                <w:szCs w:val="18"/>
              </w:rPr>
            </w:pPr>
          </w:p>
        </w:tc>
        <w:tc>
          <w:tcPr>
            <w:tcW w:w="375" w:type="pct"/>
            <w:tcBorders>
              <w:top w:val="single" w:sz="4" w:space="0" w:color="auto"/>
              <w:left w:val="nil"/>
              <w:bottom w:val="single" w:sz="4" w:space="0" w:color="auto"/>
              <w:right w:val="nil"/>
            </w:tcBorders>
            <w:vAlign w:val="bottom"/>
          </w:tcPr>
          <w:p w14:paraId="22045AE0" w14:textId="77777777" w:rsidR="002F67F0" w:rsidRPr="00471CBA" w:rsidRDefault="002F67F0" w:rsidP="00887449">
            <w:pPr>
              <w:autoSpaceDE w:val="0"/>
              <w:autoSpaceDN w:val="0"/>
              <w:adjustRightInd w:val="0"/>
              <w:jc w:val="center"/>
              <w:rPr>
                <w:rFonts w:eastAsia="Arial Unicode MS"/>
                <w:b/>
                <w:sz w:val="18"/>
                <w:szCs w:val="18"/>
              </w:rPr>
            </w:pPr>
          </w:p>
        </w:tc>
        <w:tc>
          <w:tcPr>
            <w:tcW w:w="431" w:type="pct"/>
            <w:tcBorders>
              <w:top w:val="single" w:sz="4" w:space="0" w:color="auto"/>
              <w:left w:val="nil"/>
              <w:bottom w:val="single" w:sz="4" w:space="0" w:color="auto"/>
              <w:right w:val="nil"/>
            </w:tcBorders>
            <w:vAlign w:val="bottom"/>
          </w:tcPr>
          <w:p w14:paraId="1C1EFA00" w14:textId="77777777" w:rsidR="002F67F0" w:rsidRPr="00471CBA" w:rsidRDefault="002F67F0" w:rsidP="00887449">
            <w:pPr>
              <w:autoSpaceDE w:val="0"/>
              <w:autoSpaceDN w:val="0"/>
              <w:adjustRightInd w:val="0"/>
              <w:jc w:val="center"/>
              <w:rPr>
                <w:rFonts w:eastAsia="Arial Unicode MS"/>
                <w:b/>
                <w:sz w:val="18"/>
                <w:szCs w:val="18"/>
              </w:rPr>
            </w:pPr>
          </w:p>
        </w:tc>
        <w:tc>
          <w:tcPr>
            <w:tcW w:w="503" w:type="pct"/>
            <w:tcBorders>
              <w:top w:val="single" w:sz="4" w:space="0" w:color="auto"/>
              <w:left w:val="nil"/>
              <w:bottom w:val="single" w:sz="4" w:space="0" w:color="auto"/>
              <w:right w:val="nil"/>
            </w:tcBorders>
            <w:vAlign w:val="bottom"/>
          </w:tcPr>
          <w:p w14:paraId="6B69956F" w14:textId="77777777" w:rsidR="002F67F0" w:rsidRPr="00471CBA" w:rsidRDefault="002F67F0" w:rsidP="00887449">
            <w:pPr>
              <w:autoSpaceDE w:val="0"/>
              <w:autoSpaceDN w:val="0"/>
              <w:adjustRightInd w:val="0"/>
              <w:jc w:val="center"/>
              <w:rPr>
                <w:rFonts w:eastAsia="Arial Unicode MS"/>
                <w:b/>
                <w:sz w:val="18"/>
                <w:szCs w:val="18"/>
              </w:rPr>
            </w:pPr>
          </w:p>
        </w:tc>
        <w:tc>
          <w:tcPr>
            <w:tcW w:w="338" w:type="pct"/>
            <w:tcBorders>
              <w:top w:val="single" w:sz="4" w:space="0" w:color="auto"/>
              <w:left w:val="nil"/>
              <w:bottom w:val="single" w:sz="4" w:space="0" w:color="auto"/>
              <w:right w:val="nil"/>
            </w:tcBorders>
            <w:vAlign w:val="bottom"/>
          </w:tcPr>
          <w:p w14:paraId="4C96AF72" w14:textId="77777777" w:rsidR="002F67F0" w:rsidRPr="00471CBA" w:rsidRDefault="002F67F0" w:rsidP="00887449">
            <w:pPr>
              <w:autoSpaceDE w:val="0"/>
              <w:autoSpaceDN w:val="0"/>
              <w:adjustRightInd w:val="0"/>
              <w:jc w:val="center"/>
              <w:rPr>
                <w:rFonts w:eastAsia="Arial Unicode MS"/>
                <w:b/>
                <w:sz w:val="18"/>
                <w:szCs w:val="18"/>
              </w:rPr>
            </w:pPr>
          </w:p>
        </w:tc>
        <w:tc>
          <w:tcPr>
            <w:tcW w:w="414" w:type="pct"/>
            <w:tcBorders>
              <w:top w:val="single" w:sz="4" w:space="0" w:color="auto"/>
              <w:left w:val="nil"/>
              <w:bottom w:val="single" w:sz="4" w:space="0" w:color="auto"/>
              <w:right w:val="nil"/>
            </w:tcBorders>
            <w:vAlign w:val="bottom"/>
          </w:tcPr>
          <w:p w14:paraId="4BD58673" w14:textId="77777777" w:rsidR="002F67F0" w:rsidRPr="00471CBA" w:rsidRDefault="002F67F0" w:rsidP="00887449">
            <w:pPr>
              <w:autoSpaceDE w:val="0"/>
              <w:autoSpaceDN w:val="0"/>
              <w:adjustRightInd w:val="0"/>
              <w:jc w:val="center"/>
              <w:rPr>
                <w:rFonts w:eastAsia="Arial Unicode MS"/>
                <w:b/>
                <w:sz w:val="18"/>
                <w:szCs w:val="18"/>
              </w:rPr>
            </w:pPr>
          </w:p>
        </w:tc>
        <w:tc>
          <w:tcPr>
            <w:tcW w:w="658" w:type="pct"/>
            <w:tcBorders>
              <w:top w:val="single" w:sz="4" w:space="0" w:color="auto"/>
              <w:left w:val="nil"/>
              <w:bottom w:val="single" w:sz="4" w:space="0" w:color="auto"/>
              <w:right w:val="nil"/>
            </w:tcBorders>
            <w:vAlign w:val="bottom"/>
          </w:tcPr>
          <w:p w14:paraId="5993C20B" w14:textId="77777777" w:rsidR="002F67F0" w:rsidRPr="00471CBA" w:rsidRDefault="002F67F0" w:rsidP="00887449">
            <w:pPr>
              <w:autoSpaceDE w:val="0"/>
              <w:autoSpaceDN w:val="0"/>
              <w:adjustRightInd w:val="0"/>
              <w:jc w:val="right"/>
              <w:rPr>
                <w:rFonts w:eastAsia="Arial Unicode MS"/>
                <w:b/>
                <w:sz w:val="18"/>
                <w:szCs w:val="18"/>
              </w:rPr>
            </w:pPr>
          </w:p>
        </w:tc>
      </w:tr>
      <w:tr w:rsidR="00571ECD" w:rsidRPr="00471CBA" w14:paraId="76540DA8" w14:textId="77777777" w:rsidTr="00887449">
        <w:trPr>
          <w:trHeight w:val="453"/>
        </w:trPr>
        <w:tc>
          <w:tcPr>
            <w:tcW w:w="74" w:type="pct"/>
            <w:tcBorders>
              <w:top w:val="single" w:sz="4" w:space="0" w:color="auto"/>
              <w:left w:val="nil"/>
              <w:bottom w:val="single" w:sz="4" w:space="0" w:color="auto"/>
              <w:right w:val="nil"/>
            </w:tcBorders>
            <w:vAlign w:val="bottom"/>
          </w:tcPr>
          <w:p w14:paraId="7A044130" w14:textId="77777777" w:rsidR="00571ECD" w:rsidRPr="00471CBA" w:rsidRDefault="00571ECD" w:rsidP="00887449">
            <w:pPr>
              <w:autoSpaceDE w:val="0"/>
              <w:autoSpaceDN w:val="0"/>
              <w:adjustRightInd w:val="0"/>
              <w:ind w:left="180" w:hanging="180"/>
              <w:rPr>
                <w:rFonts w:eastAsia="Arial Unicode MS"/>
                <w:b/>
                <w:sz w:val="18"/>
                <w:szCs w:val="18"/>
              </w:rPr>
            </w:pPr>
          </w:p>
        </w:tc>
        <w:tc>
          <w:tcPr>
            <w:tcW w:w="735" w:type="pct"/>
            <w:tcBorders>
              <w:top w:val="single" w:sz="4" w:space="0" w:color="auto"/>
              <w:left w:val="nil"/>
              <w:bottom w:val="single" w:sz="4" w:space="0" w:color="auto"/>
              <w:right w:val="nil"/>
            </w:tcBorders>
            <w:vAlign w:val="bottom"/>
            <w:hideMark/>
          </w:tcPr>
          <w:p w14:paraId="629669FE" w14:textId="77777777" w:rsidR="00571ECD" w:rsidRPr="00471CBA" w:rsidRDefault="00571ECD" w:rsidP="00887449">
            <w:pPr>
              <w:autoSpaceDE w:val="0"/>
              <w:autoSpaceDN w:val="0"/>
              <w:adjustRightInd w:val="0"/>
              <w:rPr>
                <w:rFonts w:eastAsia="Arial Unicode MS"/>
                <w:b/>
                <w:sz w:val="18"/>
                <w:szCs w:val="18"/>
              </w:rPr>
            </w:pPr>
            <w:r w:rsidRPr="00471CBA">
              <w:rPr>
                <w:rFonts w:eastAsia="Arial Unicode MS"/>
                <w:b/>
                <w:sz w:val="18"/>
                <w:szCs w:val="18"/>
              </w:rPr>
              <w:t>Risk Ağırlığı</w:t>
            </w:r>
          </w:p>
        </w:tc>
        <w:tc>
          <w:tcPr>
            <w:tcW w:w="450" w:type="pct"/>
            <w:tcBorders>
              <w:top w:val="single" w:sz="4" w:space="0" w:color="auto"/>
              <w:left w:val="nil"/>
              <w:bottom w:val="single" w:sz="4" w:space="0" w:color="auto"/>
              <w:right w:val="nil"/>
            </w:tcBorders>
            <w:vAlign w:val="bottom"/>
            <w:hideMark/>
          </w:tcPr>
          <w:p w14:paraId="3F6D2CDC" w14:textId="77777777" w:rsidR="00571ECD" w:rsidRPr="00471CBA" w:rsidRDefault="00571ECD" w:rsidP="00887449">
            <w:pPr>
              <w:autoSpaceDE w:val="0"/>
              <w:autoSpaceDN w:val="0"/>
              <w:adjustRightInd w:val="0"/>
              <w:jc w:val="center"/>
              <w:rPr>
                <w:rFonts w:eastAsia="Arial Unicode MS"/>
                <w:b/>
                <w:sz w:val="18"/>
                <w:szCs w:val="18"/>
              </w:rPr>
            </w:pPr>
            <w:r w:rsidRPr="00471CBA">
              <w:rPr>
                <w:rFonts w:eastAsia="Arial Unicode MS"/>
                <w:b/>
                <w:sz w:val="18"/>
                <w:szCs w:val="18"/>
              </w:rPr>
              <w:t>%0</w:t>
            </w:r>
          </w:p>
        </w:tc>
        <w:tc>
          <w:tcPr>
            <w:tcW w:w="200" w:type="pct"/>
            <w:tcBorders>
              <w:top w:val="single" w:sz="4" w:space="0" w:color="auto"/>
              <w:left w:val="nil"/>
              <w:bottom w:val="single" w:sz="4" w:space="0" w:color="auto"/>
              <w:right w:val="nil"/>
            </w:tcBorders>
            <w:vAlign w:val="bottom"/>
            <w:hideMark/>
          </w:tcPr>
          <w:p w14:paraId="5A5EC9DD" w14:textId="77777777" w:rsidR="00571ECD" w:rsidRPr="00471CBA" w:rsidRDefault="00571ECD" w:rsidP="00887449">
            <w:pPr>
              <w:autoSpaceDE w:val="0"/>
              <w:autoSpaceDN w:val="0"/>
              <w:adjustRightInd w:val="0"/>
              <w:jc w:val="center"/>
              <w:rPr>
                <w:rFonts w:eastAsia="Arial Unicode MS"/>
                <w:b/>
                <w:sz w:val="18"/>
                <w:szCs w:val="18"/>
              </w:rPr>
            </w:pPr>
            <w:r w:rsidRPr="00471CBA">
              <w:rPr>
                <w:rFonts w:eastAsia="Arial Unicode MS"/>
                <w:b/>
                <w:sz w:val="18"/>
                <w:szCs w:val="18"/>
              </w:rPr>
              <w:t>%10</w:t>
            </w:r>
          </w:p>
        </w:tc>
        <w:tc>
          <w:tcPr>
            <w:tcW w:w="450" w:type="pct"/>
            <w:tcBorders>
              <w:top w:val="single" w:sz="4" w:space="0" w:color="auto"/>
              <w:left w:val="nil"/>
              <w:bottom w:val="single" w:sz="4" w:space="0" w:color="auto"/>
              <w:right w:val="nil"/>
            </w:tcBorders>
            <w:vAlign w:val="bottom"/>
            <w:hideMark/>
          </w:tcPr>
          <w:p w14:paraId="01730A3E" w14:textId="77777777" w:rsidR="00571ECD" w:rsidRPr="00471CBA" w:rsidRDefault="00571ECD" w:rsidP="00887449">
            <w:pPr>
              <w:autoSpaceDE w:val="0"/>
              <w:autoSpaceDN w:val="0"/>
              <w:adjustRightInd w:val="0"/>
              <w:jc w:val="center"/>
              <w:rPr>
                <w:rFonts w:eastAsia="Arial Unicode MS"/>
                <w:b/>
                <w:sz w:val="18"/>
                <w:szCs w:val="18"/>
              </w:rPr>
            </w:pPr>
            <w:r w:rsidRPr="00471CBA">
              <w:rPr>
                <w:rFonts w:eastAsia="Arial Unicode MS"/>
                <w:b/>
                <w:sz w:val="18"/>
                <w:szCs w:val="18"/>
              </w:rPr>
              <w:t>%20</w:t>
            </w:r>
          </w:p>
        </w:tc>
        <w:tc>
          <w:tcPr>
            <w:tcW w:w="371" w:type="pct"/>
            <w:tcBorders>
              <w:top w:val="single" w:sz="4" w:space="0" w:color="auto"/>
              <w:left w:val="nil"/>
              <w:bottom w:val="single" w:sz="4" w:space="0" w:color="auto"/>
              <w:right w:val="nil"/>
            </w:tcBorders>
            <w:vAlign w:val="bottom"/>
            <w:hideMark/>
          </w:tcPr>
          <w:p w14:paraId="355C8FAA" w14:textId="77777777" w:rsidR="00571ECD" w:rsidRPr="00471CBA" w:rsidRDefault="00571ECD" w:rsidP="00887449">
            <w:pPr>
              <w:autoSpaceDE w:val="0"/>
              <w:autoSpaceDN w:val="0"/>
              <w:adjustRightInd w:val="0"/>
              <w:jc w:val="center"/>
              <w:rPr>
                <w:rFonts w:eastAsia="Arial Unicode MS"/>
                <w:b/>
                <w:sz w:val="18"/>
                <w:szCs w:val="18"/>
              </w:rPr>
            </w:pPr>
            <w:r w:rsidRPr="00471CBA">
              <w:rPr>
                <w:rFonts w:eastAsia="Arial Unicode MS"/>
                <w:b/>
                <w:sz w:val="18"/>
                <w:szCs w:val="18"/>
              </w:rPr>
              <w:t>%35</w:t>
            </w:r>
          </w:p>
        </w:tc>
        <w:tc>
          <w:tcPr>
            <w:tcW w:w="375" w:type="pct"/>
            <w:tcBorders>
              <w:top w:val="single" w:sz="4" w:space="0" w:color="auto"/>
              <w:left w:val="nil"/>
              <w:bottom w:val="single" w:sz="4" w:space="0" w:color="auto"/>
              <w:right w:val="nil"/>
            </w:tcBorders>
            <w:vAlign w:val="bottom"/>
            <w:hideMark/>
          </w:tcPr>
          <w:p w14:paraId="3B004DDE" w14:textId="77777777" w:rsidR="00571ECD" w:rsidRPr="00471CBA" w:rsidRDefault="00571ECD" w:rsidP="00887449">
            <w:pPr>
              <w:autoSpaceDE w:val="0"/>
              <w:autoSpaceDN w:val="0"/>
              <w:adjustRightInd w:val="0"/>
              <w:jc w:val="center"/>
              <w:rPr>
                <w:rFonts w:eastAsia="Arial Unicode MS"/>
                <w:b/>
                <w:sz w:val="18"/>
                <w:szCs w:val="18"/>
              </w:rPr>
            </w:pPr>
            <w:r w:rsidRPr="00471CBA">
              <w:rPr>
                <w:rFonts w:eastAsia="Arial Unicode MS"/>
                <w:b/>
                <w:sz w:val="18"/>
                <w:szCs w:val="18"/>
              </w:rPr>
              <w:t>%50</w:t>
            </w:r>
          </w:p>
        </w:tc>
        <w:tc>
          <w:tcPr>
            <w:tcW w:w="431" w:type="pct"/>
            <w:tcBorders>
              <w:top w:val="single" w:sz="4" w:space="0" w:color="auto"/>
              <w:left w:val="nil"/>
              <w:bottom w:val="single" w:sz="4" w:space="0" w:color="auto"/>
              <w:right w:val="nil"/>
            </w:tcBorders>
            <w:vAlign w:val="bottom"/>
            <w:hideMark/>
          </w:tcPr>
          <w:p w14:paraId="15B80C37" w14:textId="77777777" w:rsidR="00571ECD" w:rsidRPr="00471CBA" w:rsidRDefault="00571ECD" w:rsidP="00887449">
            <w:pPr>
              <w:autoSpaceDE w:val="0"/>
              <w:autoSpaceDN w:val="0"/>
              <w:adjustRightInd w:val="0"/>
              <w:jc w:val="center"/>
              <w:rPr>
                <w:rFonts w:eastAsia="Arial Unicode MS"/>
                <w:b/>
                <w:sz w:val="18"/>
                <w:szCs w:val="18"/>
              </w:rPr>
            </w:pPr>
            <w:r w:rsidRPr="00471CBA">
              <w:rPr>
                <w:rFonts w:eastAsia="Arial Unicode MS"/>
                <w:b/>
                <w:sz w:val="18"/>
                <w:szCs w:val="18"/>
              </w:rPr>
              <w:t>%75</w:t>
            </w:r>
          </w:p>
        </w:tc>
        <w:tc>
          <w:tcPr>
            <w:tcW w:w="503" w:type="pct"/>
            <w:tcBorders>
              <w:top w:val="single" w:sz="4" w:space="0" w:color="auto"/>
              <w:left w:val="nil"/>
              <w:bottom w:val="single" w:sz="4" w:space="0" w:color="auto"/>
              <w:right w:val="nil"/>
            </w:tcBorders>
            <w:vAlign w:val="bottom"/>
            <w:hideMark/>
          </w:tcPr>
          <w:p w14:paraId="50B94B95" w14:textId="77777777" w:rsidR="00571ECD" w:rsidRPr="00471CBA" w:rsidRDefault="00571ECD" w:rsidP="00887449">
            <w:pPr>
              <w:autoSpaceDE w:val="0"/>
              <w:autoSpaceDN w:val="0"/>
              <w:adjustRightInd w:val="0"/>
              <w:jc w:val="center"/>
              <w:rPr>
                <w:rFonts w:eastAsia="Arial Unicode MS"/>
                <w:b/>
                <w:sz w:val="18"/>
                <w:szCs w:val="18"/>
              </w:rPr>
            </w:pPr>
            <w:r w:rsidRPr="00471CBA">
              <w:rPr>
                <w:rFonts w:eastAsia="Arial Unicode MS"/>
                <w:b/>
                <w:sz w:val="18"/>
                <w:szCs w:val="18"/>
              </w:rPr>
              <w:t>%100</w:t>
            </w:r>
          </w:p>
        </w:tc>
        <w:tc>
          <w:tcPr>
            <w:tcW w:w="338" w:type="pct"/>
            <w:tcBorders>
              <w:top w:val="single" w:sz="4" w:space="0" w:color="auto"/>
              <w:left w:val="nil"/>
              <w:bottom w:val="single" w:sz="4" w:space="0" w:color="auto"/>
              <w:right w:val="nil"/>
            </w:tcBorders>
            <w:vAlign w:val="bottom"/>
            <w:hideMark/>
          </w:tcPr>
          <w:p w14:paraId="6F957668" w14:textId="77777777" w:rsidR="00571ECD" w:rsidRPr="00471CBA" w:rsidRDefault="00571ECD" w:rsidP="00887449">
            <w:pPr>
              <w:autoSpaceDE w:val="0"/>
              <w:autoSpaceDN w:val="0"/>
              <w:adjustRightInd w:val="0"/>
              <w:jc w:val="center"/>
              <w:rPr>
                <w:rFonts w:eastAsia="Arial Unicode MS"/>
                <w:b/>
                <w:sz w:val="18"/>
                <w:szCs w:val="18"/>
              </w:rPr>
            </w:pPr>
            <w:r w:rsidRPr="00471CBA">
              <w:rPr>
                <w:rFonts w:eastAsia="Arial Unicode MS"/>
                <w:b/>
                <w:sz w:val="18"/>
                <w:szCs w:val="18"/>
              </w:rPr>
              <w:t>%150</w:t>
            </w:r>
          </w:p>
        </w:tc>
        <w:tc>
          <w:tcPr>
            <w:tcW w:w="414" w:type="pct"/>
            <w:tcBorders>
              <w:top w:val="single" w:sz="4" w:space="0" w:color="auto"/>
              <w:left w:val="nil"/>
              <w:bottom w:val="single" w:sz="4" w:space="0" w:color="auto"/>
              <w:right w:val="nil"/>
            </w:tcBorders>
            <w:vAlign w:val="bottom"/>
            <w:hideMark/>
          </w:tcPr>
          <w:p w14:paraId="53EC6778" w14:textId="420B8100" w:rsidR="00571ECD" w:rsidRPr="00471CBA" w:rsidRDefault="00571ECD" w:rsidP="00887449">
            <w:pPr>
              <w:autoSpaceDE w:val="0"/>
              <w:autoSpaceDN w:val="0"/>
              <w:adjustRightInd w:val="0"/>
              <w:jc w:val="center"/>
              <w:rPr>
                <w:rFonts w:eastAsia="Arial Unicode MS"/>
                <w:b/>
                <w:sz w:val="18"/>
                <w:szCs w:val="18"/>
              </w:rPr>
            </w:pPr>
            <w:r w:rsidRPr="00471CBA">
              <w:rPr>
                <w:rFonts w:eastAsia="Arial Unicode MS"/>
                <w:b/>
                <w:sz w:val="18"/>
                <w:szCs w:val="18"/>
              </w:rPr>
              <w:t>Diğerleri</w:t>
            </w:r>
            <w:r w:rsidR="007913A4" w:rsidRPr="00471CBA">
              <w:rPr>
                <w:rFonts w:eastAsia="Arial Unicode MS"/>
                <w:b/>
                <w:sz w:val="18"/>
                <w:szCs w:val="18"/>
              </w:rPr>
              <w:t xml:space="preserve"> </w:t>
            </w:r>
            <w:r w:rsidRPr="00471CBA">
              <w:rPr>
                <w:rFonts w:eastAsia="Arial Unicode MS"/>
                <w:b/>
                <w:sz w:val="18"/>
                <w:szCs w:val="18"/>
                <w:vertAlign w:val="superscript"/>
              </w:rPr>
              <w:t>(*)</w:t>
            </w:r>
          </w:p>
        </w:tc>
        <w:tc>
          <w:tcPr>
            <w:tcW w:w="658" w:type="pct"/>
            <w:tcBorders>
              <w:top w:val="single" w:sz="4" w:space="0" w:color="auto"/>
              <w:left w:val="nil"/>
              <w:bottom w:val="single" w:sz="4" w:space="0" w:color="auto"/>
              <w:right w:val="nil"/>
            </w:tcBorders>
            <w:vAlign w:val="bottom"/>
            <w:hideMark/>
          </w:tcPr>
          <w:p w14:paraId="2F4A51D1" w14:textId="77777777" w:rsidR="00571ECD" w:rsidRPr="00471CBA" w:rsidRDefault="00571ECD" w:rsidP="00887449">
            <w:pPr>
              <w:autoSpaceDE w:val="0"/>
              <w:autoSpaceDN w:val="0"/>
              <w:adjustRightInd w:val="0"/>
              <w:jc w:val="right"/>
              <w:rPr>
                <w:rFonts w:eastAsia="Arial Unicode MS"/>
                <w:b/>
                <w:sz w:val="18"/>
                <w:szCs w:val="18"/>
              </w:rPr>
            </w:pPr>
            <w:r w:rsidRPr="00471CBA">
              <w:rPr>
                <w:rFonts w:eastAsia="Arial Unicode MS"/>
                <w:b/>
                <w:sz w:val="18"/>
                <w:szCs w:val="18"/>
              </w:rPr>
              <w:t>Özkaynaklardan</w:t>
            </w:r>
          </w:p>
          <w:p w14:paraId="513195FE" w14:textId="77777777" w:rsidR="00571ECD" w:rsidRPr="00471CBA" w:rsidRDefault="00571ECD" w:rsidP="00887449">
            <w:pPr>
              <w:autoSpaceDE w:val="0"/>
              <w:autoSpaceDN w:val="0"/>
              <w:adjustRightInd w:val="0"/>
              <w:jc w:val="right"/>
              <w:rPr>
                <w:rFonts w:eastAsia="Arial Unicode MS"/>
                <w:b/>
                <w:sz w:val="18"/>
                <w:szCs w:val="18"/>
              </w:rPr>
            </w:pPr>
            <w:r w:rsidRPr="00471CBA">
              <w:rPr>
                <w:rFonts w:eastAsia="Arial Unicode MS"/>
                <w:b/>
                <w:sz w:val="18"/>
                <w:szCs w:val="18"/>
              </w:rPr>
              <w:t>İndirilenler</w:t>
            </w:r>
          </w:p>
        </w:tc>
      </w:tr>
      <w:tr w:rsidR="00571ECD" w:rsidRPr="00471CBA" w14:paraId="178209CD" w14:textId="77777777" w:rsidTr="00887449">
        <w:trPr>
          <w:trHeight w:val="403"/>
        </w:trPr>
        <w:tc>
          <w:tcPr>
            <w:tcW w:w="74" w:type="pct"/>
            <w:tcBorders>
              <w:top w:val="single" w:sz="4" w:space="0" w:color="auto"/>
              <w:left w:val="nil"/>
              <w:bottom w:val="nil"/>
              <w:right w:val="nil"/>
            </w:tcBorders>
            <w:hideMark/>
          </w:tcPr>
          <w:p w14:paraId="119CE4D0" w14:textId="77777777" w:rsidR="00571ECD" w:rsidRPr="00471CBA" w:rsidRDefault="00571ECD" w:rsidP="00887449">
            <w:pPr>
              <w:autoSpaceDE w:val="0"/>
              <w:autoSpaceDN w:val="0"/>
              <w:adjustRightInd w:val="0"/>
              <w:ind w:left="180" w:hanging="180"/>
              <w:rPr>
                <w:rFonts w:eastAsia="Arial Unicode MS"/>
                <w:sz w:val="18"/>
                <w:szCs w:val="18"/>
              </w:rPr>
            </w:pPr>
            <w:r w:rsidRPr="00471CBA">
              <w:rPr>
                <w:rFonts w:eastAsia="Arial Unicode MS"/>
                <w:sz w:val="18"/>
                <w:szCs w:val="18"/>
              </w:rPr>
              <w:t>1</w:t>
            </w:r>
          </w:p>
        </w:tc>
        <w:tc>
          <w:tcPr>
            <w:tcW w:w="735" w:type="pct"/>
            <w:tcBorders>
              <w:top w:val="single" w:sz="4" w:space="0" w:color="auto"/>
              <w:left w:val="nil"/>
              <w:bottom w:val="nil"/>
              <w:right w:val="nil"/>
            </w:tcBorders>
            <w:hideMark/>
          </w:tcPr>
          <w:p w14:paraId="4B02BFED" w14:textId="77777777" w:rsidR="00571ECD" w:rsidRPr="00471CBA" w:rsidRDefault="00571ECD" w:rsidP="00887449">
            <w:pPr>
              <w:autoSpaceDE w:val="0"/>
              <w:autoSpaceDN w:val="0"/>
              <w:adjustRightInd w:val="0"/>
              <w:rPr>
                <w:rFonts w:eastAsia="Arial Unicode MS"/>
                <w:sz w:val="18"/>
                <w:szCs w:val="18"/>
              </w:rPr>
            </w:pPr>
            <w:r w:rsidRPr="00471CBA">
              <w:rPr>
                <w:rFonts w:eastAsia="Arial Unicode MS"/>
                <w:sz w:val="18"/>
                <w:szCs w:val="18"/>
              </w:rPr>
              <w:t xml:space="preserve">Kredi Riski Azaltımı </w:t>
            </w:r>
          </w:p>
          <w:p w14:paraId="4389C210" w14:textId="77777777" w:rsidR="00571ECD" w:rsidRPr="00471CBA" w:rsidRDefault="00571ECD" w:rsidP="00887449">
            <w:pPr>
              <w:autoSpaceDE w:val="0"/>
              <w:autoSpaceDN w:val="0"/>
              <w:adjustRightInd w:val="0"/>
              <w:ind w:left="180" w:hanging="180"/>
              <w:rPr>
                <w:rFonts w:eastAsia="Arial Unicode MS"/>
                <w:sz w:val="18"/>
                <w:szCs w:val="18"/>
              </w:rPr>
            </w:pPr>
            <w:r w:rsidRPr="00471CBA">
              <w:rPr>
                <w:rFonts w:eastAsia="Arial Unicode MS"/>
                <w:sz w:val="18"/>
                <w:szCs w:val="18"/>
              </w:rPr>
              <w:t>Öncesi Tutar</w:t>
            </w:r>
          </w:p>
        </w:tc>
        <w:tc>
          <w:tcPr>
            <w:tcW w:w="450" w:type="pct"/>
            <w:tcBorders>
              <w:top w:val="single" w:sz="4" w:space="0" w:color="auto"/>
              <w:left w:val="nil"/>
              <w:bottom w:val="nil"/>
              <w:right w:val="nil"/>
            </w:tcBorders>
            <w:vAlign w:val="bottom"/>
          </w:tcPr>
          <w:p w14:paraId="16E6A6EC" w14:textId="77777777" w:rsidR="00571ECD" w:rsidRPr="00471CBA" w:rsidRDefault="00571ECD" w:rsidP="00887449">
            <w:pPr>
              <w:jc w:val="center"/>
              <w:rPr>
                <w:sz w:val="18"/>
                <w:szCs w:val="18"/>
              </w:rPr>
            </w:pPr>
            <w:r w:rsidRPr="00471CBA">
              <w:rPr>
                <w:sz w:val="18"/>
                <w:szCs w:val="18"/>
              </w:rPr>
              <w:t>5.252.628</w:t>
            </w:r>
          </w:p>
        </w:tc>
        <w:tc>
          <w:tcPr>
            <w:tcW w:w="200" w:type="pct"/>
            <w:tcBorders>
              <w:top w:val="single" w:sz="4" w:space="0" w:color="auto"/>
              <w:left w:val="nil"/>
              <w:bottom w:val="nil"/>
              <w:right w:val="nil"/>
            </w:tcBorders>
            <w:vAlign w:val="bottom"/>
          </w:tcPr>
          <w:p w14:paraId="299E6DAC" w14:textId="77777777" w:rsidR="00571ECD" w:rsidRPr="00471CBA" w:rsidRDefault="00571ECD" w:rsidP="00887449">
            <w:pPr>
              <w:jc w:val="center"/>
              <w:rPr>
                <w:sz w:val="18"/>
                <w:szCs w:val="18"/>
              </w:rPr>
            </w:pPr>
            <w:r w:rsidRPr="00471CBA">
              <w:rPr>
                <w:sz w:val="18"/>
                <w:szCs w:val="18"/>
              </w:rPr>
              <w:t>-</w:t>
            </w:r>
          </w:p>
        </w:tc>
        <w:tc>
          <w:tcPr>
            <w:tcW w:w="450" w:type="pct"/>
            <w:tcBorders>
              <w:top w:val="single" w:sz="4" w:space="0" w:color="auto"/>
              <w:left w:val="nil"/>
              <w:bottom w:val="nil"/>
              <w:right w:val="nil"/>
            </w:tcBorders>
            <w:vAlign w:val="bottom"/>
          </w:tcPr>
          <w:p w14:paraId="3DE23354" w14:textId="77777777" w:rsidR="00571ECD" w:rsidRPr="00471CBA" w:rsidRDefault="00571ECD" w:rsidP="00887449">
            <w:pPr>
              <w:jc w:val="center"/>
              <w:rPr>
                <w:sz w:val="18"/>
                <w:szCs w:val="18"/>
              </w:rPr>
            </w:pPr>
            <w:r w:rsidRPr="00471CBA">
              <w:rPr>
                <w:sz w:val="18"/>
                <w:szCs w:val="18"/>
              </w:rPr>
              <w:t>5.222.627</w:t>
            </w:r>
          </w:p>
        </w:tc>
        <w:tc>
          <w:tcPr>
            <w:tcW w:w="371" w:type="pct"/>
            <w:tcBorders>
              <w:top w:val="single" w:sz="4" w:space="0" w:color="auto"/>
              <w:left w:val="nil"/>
              <w:bottom w:val="nil"/>
              <w:right w:val="nil"/>
            </w:tcBorders>
            <w:vAlign w:val="bottom"/>
          </w:tcPr>
          <w:p w14:paraId="29D8012C" w14:textId="77777777" w:rsidR="00571ECD" w:rsidRPr="00471CBA" w:rsidRDefault="00571ECD" w:rsidP="00887449">
            <w:pPr>
              <w:jc w:val="center"/>
              <w:rPr>
                <w:sz w:val="18"/>
                <w:szCs w:val="18"/>
              </w:rPr>
            </w:pPr>
            <w:r w:rsidRPr="00471CBA">
              <w:rPr>
                <w:sz w:val="18"/>
                <w:szCs w:val="18"/>
              </w:rPr>
              <w:t>349.381</w:t>
            </w:r>
          </w:p>
        </w:tc>
        <w:tc>
          <w:tcPr>
            <w:tcW w:w="375" w:type="pct"/>
            <w:tcBorders>
              <w:top w:val="single" w:sz="4" w:space="0" w:color="auto"/>
              <w:left w:val="nil"/>
              <w:bottom w:val="nil"/>
              <w:right w:val="nil"/>
            </w:tcBorders>
            <w:vAlign w:val="bottom"/>
          </w:tcPr>
          <w:p w14:paraId="5EB1BECA" w14:textId="77777777" w:rsidR="00571ECD" w:rsidRPr="00471CBA" w:rsidRDefault="00571ECD" w:rsidP="00887449">
            <w:pPr>
              <w:jc w:val="center"/>
              <w:rPr>
                <w:sz w:val="18"/>
                <w:szCs w:val="18"/>
              </w:rPr>
            </w:pPr>
            <w:r w:rsidRPr="00471CBA">
              <w:rPr>
                <w:sz w:val="18"/>
                <w:szCs w:val="18"/>
              </w:rPr>
              <w:t>563.239</w:t>
            </w:r>
          </w:p>
        </w:tc>
        <w:tc>
          <w:tcPr>
            <w:tcW w:w="431" w:type="pct"/>
            <w:tcBorders>
              <w:top w:val="single" w:sz="4" w:space="0" w:color="auto"/>
              <w:left w:val="nil"/>
              <w:bottom w:val="nil"/>
              <w:right w:val="nil"/>
            </w:tcBorders>
            <w:vAlign w:val="bottom"/>
          </w:tcPr>
          <w:p w14:paraId="63F12200" w14:textId="77777777" w:rsidR="00571ECD" w:rsidRPr="00471CBA" w:rsidRDefault="00571ECD" w:rsidP="00887449">
            <w:pPr>
              <w:jc w:val="center"/>
              <w:rPr>
                <w:sz w:val="18"/>
                <w:szCs w:val="18"/>
              </w:rPr>
            </w:pPr>
            <w:r w:rsidRPr="00471CBA">
              <w:rPr>
                <w:sz w:val="18"/>
                <w:szCs w:val="18"/>
              </w:rPr>
              <w:t>-</w:t>
            </w:r>
          </w:p>
        </w:tc>
        <w:tc>
          <w:tcPr>
            <w:tcW w:w="503" w:type="pct"/>
            <w:tcBorders>
              <w:top w:val="single" w:sz="4" w:space="0" w:color="auto"/>
              <w:left w:val="nil"/>
              <w:bottom w:val="nil"/>
              <w:right w:val="nil"/>
            </w:tcBorders>
            <w:vAlign w:val="bottom"/>
          </w:tcPr>
          <w:p w14:paraId="34B232F1" w14:textId="77777777" w:rsidR="00571ECD" w:rsidRPr="00471CBA" w:rsidRDefault="00571ECD" w:rsidP="00887449">
            <w:pPr>
              <w:jc w:val="center"/>
              <w:rPr>
                <w:sz w:val="18"/>
                <w:szCs w:val="18"/>
              </w:rPr>
            </w:pPr>
            <w:r w:rsidRPr="00471CBA">
              <w:rPr>
                <w:sz w:val="18"/>
                <w:szCs w:val="18"/>
              </w:rPr>
              <w:t>13.791.195</w:t>
            </w:r>
          </w:p>
        </w:tc>
        <w:tc>
          <w:tcPr>
            <w:tcW w:w="338" w:type="pct"/>
            <w:tcBorders>
              <w:top w:val="single" w:sz="4" w:space="0" w:color="auto"/>
              <w:left w:val="nil"/>
              <w:bottom w:val="nil"/>
              <w:right w:val="nil"/>
            </w:tcBorders>
            <w:vAlign w:val="bottom"/>
          </w:tcPr>
          <w:p w14:paraId="33591255" w14:textId="77777777" w:rsidR="00571ECD" w:rsidRPr="00471CBA" w:rsidRDefault="00571ECD" w:rsidP="00887449">
            <w:pPr>
              <w:jc w:val="center"/>
              <w:rPr>
                <w:sz w:val="18"/>
                <w:szCs w:val="18"/>
              </w:rPr>
            </w:pPr>
            <w:r w:rsidRPr="00471CBA">
              <w:rPr>
                <w:sz w:val="18"/>
                <w:szCs w:val="18"/>
              </w:rPr>
              <w:t>-</w:t>
            </w:r>
          </w:p>
        </w:tc>
        <w:tc>
          <w:tcPr>
            <w:tcW w:w="414" w:type="pct"/>
            <w:tcBorders>
              <w:top w:val="single" w:sz="4" w:space="0" w:color="auto"/>
              <w:left w:val="nil"/>
              <w:bottom w:val="nil"/>
              <w:right w:val="nil"/>
            </w:tcBorders>
            <w:vAlign w:val="bottom"/>
          </w:tcPr>
          <w:p w14:paraId="7B2104FE" w14:textId="77777777" w:rsidR="00571ECD" w:rsidRPr="00471CBA" w:rsidRDefault="00571ECD" w:rsidP="00887449">
            <w:pPr>
              <w:jc w:val="center"/>
              <w:rPr>
                <w:sz w:val="18"/>
                <w:szCs w:val="18"/>
              </w:rPr>
            </w:pPr>
            <w:r w:rsidRPr="00471CBA">
              <w:rPr>
                <w:sz w:val="18"/>
                <w:szCs w:val="18"/>
              </w:rPr>
              <w:t>27.648</w:t>
            </w:r>
          </w:p>
        </w:tc>
        <w:tc>
          <w:tcPr>
            <w:tcW w:w="658" w:type="pct"/>
            <w:tcBorders>
              <w:top w:val="single" w:sz="4" w:space="0" w:color="auto"/>
              <w:left w:val="nil"/>
              <w:bottom w:val="nil"/>
              <w:right w:val="nil"/>
            </w:tcBorders>
            <w:vAlign w:val="bottom"/>
          </w:tcPr>
          <w:p w14:paraId="3CC9745E" w14:textId="77777777" w:rsidR="00571ECD" w:rsidRPr="00471CBA" w:rsidRDefault="00571ECD" w:rsidP="00887449">
            <w:pPr>
              <w:jc w:val="center"/>
              <w:rPr>
                <w:sz w:val="18"/>
                <w:szCs w:val="18"/>
              </w:rPr>
            </w:pPr>
            <w:r w:rsidRPr="00471CBA">
              <w:rPr>
                <w:sz w:val="18"/>
                <w:szCs w:val="18"/>
              </w:rPr>
              <w:t>359.940</w:t>
            </w:r>
          </w:p>
        </w:tc>
      </w:tr>
      <w:tr w:rsidR="00571ECD" w:rsidRPr="00471CBA" w14:paraId="15999970" w14:textId="77777777" w:rsidTr="00887449">
        <w:trPr>
          <w:trHeight w:val="413"/>
        </w:trPr>
        <w:tc>
          <w:tcPr>
            <w:tcW w:w="74" w:type="pct"/>
            <w:tcBorders>
              <w:top w:val="nil"/>
              <w:left w:val="nil"/>
              <w:bottom w:val="single" w:sz="4" w:space="0" w:color="auto"/>
              <w:right w:val="nil"/>
            </w:tcBorders>
            <w:hideMark/>
          </w:tcPr>
          <w:p w14:paraId="72BEB42B" w14:textId="77777777" w:rsidR="00571ECD" w:rsidRPr="00471CBA" w:rsidRDefault="00571ECD" w:rsidP="00887449">
            <w:pPr>
              <w:autoSpaceDE w:val="0"/>
              <w:autoSpaceDN w:val="0"/>
              <w:adjustRightInd w:val="0"/>
              <w:ind w:left="180" w:hanging="180"/>
              <w:rPr>
                <w:rFonts w:eastAsia="Arial Unicode MS"/>
                <w:sz w:val="18"/>
                <w:szCs w:val="18"/>
              </w:rPr>
            </w:pPr>
            <w:r w:rsidRPr="00471CBA">
              <w:rPr>
                <w:rFonts w:eastAsia="Arial Unicode MS"/>
                <w:sz w:val="18"/>
                <w:szCs w:val="18"/>
              </w:rPr>
              <w:t>2</w:t>
            </w:r>
          </w:p>
        </w:tc>
        <w:tc>
          <w:tcPr>
            <w:tcW w:w="735" w:type="pct"/>
            <w:tcBorders>
              <w:top w:val="nil"/>
              <w:left w:val="nil"/>
              <w:bottom w:val="single" w:sz="4" w:space="0" w:color="auto"/>
              <w:right w:val="nil"/>
            </w:tcBorders>
            <w:hideMark/>
          </w:tcPr>
          <w:p w14:paraId="1912C664" w14:textId="77777777" w:rsidR="00571ECD" w:rsidRPr="00471CBA" w:rsidRDefault="00571ECD" w:rsidP="00887449">
            <w:pPr>
              <w:autoSpaceDE w:val="0"/>
              <w:autoSpaceDN w:val="0"/>
              <w:adjustRightInd w:val="0"/>
              <w:rPr>
                <w:rFonts w:eastAsia="Arial Unicode MS"/>
                <w:sz w:val="18"/>
                <w:szCs w:val="18"/>
              </w:rPr>
            </w:pPr>
            <w:r w:rsidRPr="00471CBA">
              <w:rPr>
                <w:rFonts w:eastAsia="Arial Unicode MS"/>
                <w:sz w:val="18"/>
                <w:szCs w:val="18"/>
              </w:rPr>
              <w:t xml:space="preserve">Kredi Riski Azaltımı </w:t>
            </w:r>
          </w:p>
          <w:p w14:paraId="0051AC0B" w14:textId="77777777" w:rsidR="00571ECD" w:rsidRPr="00471CBA" w:rsidRDefault="00571ECD" w:rsidP="00887449">
            <w:pPr>
              <w:autoSpaceDE w:val="0"/>
              <w:autoSpaceDN w:val="0"/>
              <w:adjustRightInd w:val="0"/>
              <w:rPr>
                <w:rFonts w:eastAsia="Arial Unicode MS"/>
                <w:sz w:val="18"/>
                <w:szCs w:val="18"/>
              </w:rPr>
            </w:pPr>
            <w:r w:rsidRPr="00471CBA">
              <w:rPr>
                <w:rFonts w:eastAsia="Arial Unicode MS"/>
                <w:sz w:val="18"/>
                <w:szCs w:val="18"/>
              </w:rPr>
              <w:t>Sonrası Tutar</w:t>
            </w:r>
          </w:p>
        </w:tc>
        <w:tc>
          <w:tcPr>
            <w:tcW w:w="450" w:type="pct"/>
            <w:tcBorders>
              <w:top w:val="nil"/>
              <w:left w:val="nil"/>
              <w:bottom w:val="single" w:sz="4" w:space="0" w:color="auto"/>
              <w:right w:val="nil"/>
            </w:tcBorders>
            <w:vAlign w:val="bottom"/>
          </w:tcPr>
          <w:p w14:paraId="5841E0EF" w14:textId="77777777" w:rsidR="00571ECD" w:rsidRPr="00471CBA" w:rsidRDefault="00571ECD" w:rsidP="00887449">
            <w:pPr>
              <w:jc w:val="center"/>
              <w:rPr>
                <w:sz w:val="18"/>
                <w:szCs w:val="18"/>
              </w:rPr>
            </w:pPr>
            <w:r w:rsidRPr="00471CBA">
              <w:rPr>
                <w:sz w:val="18"/>
                <w:szCs w:val="18"/>
              </w:rPr>
              <w:t>5.904.002</w:t>
            </w:r>
          </w:p>
        </w:tc>
        <w:tc>
          <w:tcPr>
            <w:tcW w:w="200" w:type="pct"/>
            <w:tcBorders>
              <w:top w:val="nil"/>
              <w:left w:val="nil"/>
              <w:bottom w:val="single" w:sz="4" w:space="0" w:color="auto"/>
              <w:right w:val="nil"/>
            </w:tcBorders>
            <w:vAlign w:val="bottom"/>
          </w:tcPr>
          <w:p w14:paraId="725F20D7" w14:textId="77777777" w:rsidR="00571ECD" w:rsidRPr="00471CBA" w:rsidRDefault="00571ECD" w:rsidP="00887449">
            <w:pPr>
              <w:jc w:val="center"/>
              <w:rPr>
                <w:sz w:val="18"/>
                <w:szCs w:val="18"/>
              </w:rPr>
            </w:pPr>
            <w:r w:rsidRPr="00471CBA">
              <w:rPr>
                <w:sz w:val="18"/>
                <w:szCs w:val="18"/>
              </w:rPr>
              <w:t>-</w:t>
            </w:r>
          </w:p>
        </w:tc>
        <w:tc>
          <w:tcPr>
            <w:tcW w:w="450" w:type="pct"/>
            <w:tcBorders>
              <w:top w:val="nil"/>
              <w:left w:val="nil"/>
              <w:bottom w:val="single" w:sz="4" w:space="0" w:color="auto"/>
              <w:right w:val="nil"/>
            </w:tcBorders>
            <w:vAlign w:val="bottom"/>
          </w:tcPr>
          <w:p w14:paraId="467BD589" w14:textId="77777777" w:rsidR="00571ECD" w:rsidRPr="00471CBA" w:rsidRDefault="00571ECD" w:rsidP="00887449">
            <w:pPr>
              <w:jc w:val="center"/>
              <w:rPr>
                <w:sz w:val="18"/>
                <w:szCs w:val="18"/>
              </w:rPr>
            </w:pPr>
            <w:r w:rsidRPr="00471CBA">
              <w:rPr>
                <w:sz w:val="18"/>
                <w:szCs w:val="18"/>
              </w:rPr>
              <w:t>5.372.368</w:t>
            </w:r>
          </w:p>
        </w:tc>
        <w:tc>
          <w:tcPr>
            <w:tcW w:w="371" w:type="pct"/>
            <w:tcBorders>
              <w:top w:val="nil"/>
              <w:left w:val="nil"/>
              <w:bottom w:val="single" w:sz="4" w:space="0" w:color="auto"/>
              <w:right w:val="nil"/>
            </w:tcBorders>
            <w:vAlign w:val="bottom"/>
          </w:tcPr>
          <w:p w14:paraId="17BBC54F" w14:textId="77777777" w:rsidR="00571ECD" w:rsidRPr="00471CBA" w:rsidRDefault="00571ECD" w:rsidP="00887449">
            <w:pPr>
              <w:jc w:val="center"/>
              <w:rPr>
                <w:sz w:val="18"/>
                <w:szCs w:val="18"/>
              </w:rPr>
            </w:pPr>
            <w:r w:rsidRPr="00471CBA">
              <w:rPr>
                <w:sz w:val="18"/>
                <w:szCs w:val="18"/>
              </w:rPr>
              <w:t>348.627</w:t>
            </w:r>
          </w:p>
        </w:tc>
        <w:tc>
          <w:tcPr>
            <w:tcW w:w="375" w:type="pct"/>
            <w:tcBorders>
              <w:top w:val="nil"/>
              <w:left w:val="nil"/>
              <w:bottom w:val="single" w:sz="4" w:space="0" w:color="auto"/>
              <w:right w:val="nil"/>
            </w:tcBorders>
            <w:vAlign w:val="bottom"/>
          </w:tcPr>
          <w:p w14:paraId="198D27B1" w14:textId="77777777" w:rsidR="00571ECD" w:rsidRPr="00471CBA" w:rsidRDefault="00571ECD" w:rsidP="00887449">
            <w:pPr>
              <w:jc w:val="center"/>
              <w:rPr>
                <w:sz w:val="18"/>
                <w:szCs w:val="18"/>
              </w:rPr>
            </w:pPr>
            <w:r w:rsidRPr="00471CBA">
              <w:rPr>
                <w:sz w:val="18"/>
                <w:szCs w:val="18"/>
              </w:rPr>
              <w:t>563.239</w:t>
            </w:r>
          </w:p>
        </w:tc>
        <w:tc>
          <w:tcPr>
            <w:tcW w:w="431" w:type="pct"/>
            <w:tcBorders>
              <w:top w:val="nil"/>
              <w:left w:val="nil"/>
              <w:bottom w:val="single" w:sz="4" w:space="0" w:color="auto"/>
              <w:right w:val="nil"/>
            </w:tcBorders>
            <w:vAlign w:val="bottom"/>
          </w:tcPr>
          <w:p w14:paraId="5738696C" w14:textId="77777777" w:rsidR="00571ECD" w:rsidRPr="00471CBA" w:rsidRDefault="00571ECD" w:rsidP="00887449">
            <w:pPr>
              <w:jc w:val="center"/>
              <w:rPr>
                <w:sz w:val="18"/>
                <w:szCs w:val="18"/>
              </w:rPr>
            </w:pPr>
            <w:r w:rsidRPr="00471CBA">
              <w:rPr>
                <w:sz w:val="18"/>
                <w:szCs w:val="18"/>
              </w:rPr>
              <w:t>-</w:t>
            </w:r>
          </w:p>
        </w:tc>
        <w:tc>
          <w:tcPr>
            <w:tcW w:w="503" w:type="pct"/>
            <w:tcBorders>
              <w:top w:val="nil"/>
              <w:left w:val="nil"/>
              <w:bottom w:val="single" w:sz="4" w:space="0" w:color="auto"/>
              <w:right w:val="nil"/>
            </w:tcBorders>
            <w:vAlign w:val="bottom"/>
          </w:tcPr>
          <w:p w14:paraId="2A312FF3" w14:textId="77777777" w:rsidR="00571ECD" w:rsidRPr="00471CBA" w:rsidRDefault="00571ECD" w:rsidP="00887449">
            <w:pPr>
              <w:jc w:val="center"/>
              <w:rPr>
                <w:sz w:val="18"/>
                <w:szCs w:val="18"/>
              </w:rPr>
            </w:pPr>
            <w:r w:rsidRPr="00471CBA">
              <w:rPr>
                <w:sz w:val="18"/>
                <w:szCs w:val="18"/>
              </w:rPr>
              <w:t>12.990.834</w:t>
            </w:r>
          </w:p>
        </w:tc>
        <w:tc>
          <w:tcPr>
            <w:tcW w:w="338" w:type="pct"/>
            <w:tcBorders>
              <w:top w:val="nil"/>
              <w:left w:val="nil"/>
              <w:bottom w:val="single" w:sz="4" w:space="0" w:color="auto"/>
              <w:right w:val="nil"/>
            </w:tcBorders>
            <w:vAlign w:val="bottom"/>
          </w:tcPr>
          <w:p w14:paraId="3C093D57" w14:textId="77777777" w:rsidR="00571ECD" w:rsidRPr="00471CBA" w:rsidRDefault="00571ECD" w:rsidP="00887449">
            <w:pPr>
              <w:jc w:val="center"/>
              <w:rPr>
                <w:sz w:val="18"/>
                <w:szCs w:val="18"/>
              </w:rPr>
            </w:pPr>
            <w:r w:rsidRPr="00471CBA">
              <w:rPr>
                <w:sz w:val="18"/>
                <w:szCs w:val="18"/>
              </w:rPr>
              <w:t>-</w:t>
            </w:r>
          </w:p>
        </w:tc>
        <w:tc>
          <w:tcPr>
            <w:tcW w:w="414" w:type="pct"/>
            <w:tcBorders>
              <w:top w:val="nil"/>
              <w:left w:val="nil"/>
              <w:bottom w:val="single" w:sz="4" w:space="0" w:color="auto"/>
              <w:right w:val="nil"/>
            </w:tcBorders>
            <w:vAlign w:val="bottom"/>
          </w:tcPr>
          <w:p w14:paraId="4983180F" w14:textId="77777777" w:rsidR="00571ECD" w:rsidRPr="00471CBA" w:rsidRDefault="00571ECD" w:rsidP="00887449">
            <w:pPr>
              <w:jc w:val="center"/>
              <w:rPr>
                <w:sz w:val="18"/>
                <w:szCs w:val="18"/>
              </w:rPr>
            </w:pPr>
            <w:r w:rsidRPr="00471CBA">
              <w:rPr>
                <w:sz w:val="18"/>
                <w:szCs w:val="18"/>
              </w:rPr>
              <w:t>27.648</w:t>
            </w:r>
          </w:p>
        </w:tc>
        <w:tc>
          <w:tcPr>
            <w:tcW w:w="658" w:type="pct"/>
            <w:tcBorders>
              <w:top w:val="nil"/>
              <w:left w:val="nil"/>
              <w:bottom w:val="single" w:sz="4" w:space="0" w:color="auto"/>
              <w:right w:val="nil"/>
            </w:tcBorders>
            <w:vAlign w:val="bottom"/>
          </w:tcPr>
          <w:p w14:paraId="453ECF0A" w14:textId="77777777" w:rsidR="00571ECD" w:rsidRPr="00471CBA" w:rsidRDefault="00571ECD" w:rsidP="00887449">
            <w:pPr>
              <w:jc w:val="center"/>
              <w:rPr>
                <w:sz w:val="18"/>
                <w:szCs w:val="18"/>
              </w:rPr>
            </w:pPr>
            <w:r w:rsidRPr="00471CBA">
              <w:rPr>
                <w:sz w:val="18"/>
                <w:szCs w:val="18"/>
              </w:rPr>
              <w:t>-</w:t>
            </w:r>
          </w:p>
        </w:tc>
      </w:tr>
    </w:tbl>
    <w:p w14:paraId="40A01941" w14:textId="77777777" w:rsidR="00571ECD" w:rsidRPr="00471CBA" w:rsidRDefault="00571ECD" w:rsidP="00571ECD">
      <w:pPr>
        <w:spacing w:before="120"/>
        <w:ind w:left="851" w:right="-182"/>
        <w:jc w:val="both"/>
        <w:rPr>
          <w:szCs w:val="20"/>
        </w:rPr>
      </w:pPr>
      <w:r w:rsidRPr="00471CBA">
        <w:rPr>
          <w:szCs w:val="20"/>
          <w:vertAlign w:val="superscript"/>
        </w:rPr>
        <w:t>(*)</w:t>
      </w:r>
      <w:r w:rsidRPr="00471CBA">
        <w:rPr>
          <w:szCs w:val="20"/>
        </w:rPr>
        <w:t xml:space="preserve"> %500 risk ağırlığını ifade eder.</w:t>
      </w:r>
    </w:p>
    <w:p w14:paraId="3A9957FF" w14:textId="77777777" w:rsidR="00F91828" w:rsidRPr="00471CBA" w:rsidRDefault="00F91828" w:rsidP="00F36B82">
      <w:pPr>
        <w:spacing w:before="120"/>
        <w:ind w:left="851" w:right="-182" w:hanging="851"/>
        <w:jc w:val="both"/>
        <w:rPr>
          <w:b/>
          <w:szCs w:val="20"/>
        </w:rPr>
      </w:pPr>
      <w:r w:rsidRPr="00471CBA">
        <w:rPr>
          <w:b/>
          <w:szCs w:val="20"/>
        </w:rPr>
        <w:t xml:space="preserve">(10) </w:t>
      </w:r>
      <w:r w:rsidRPr="00471CBA">
        <w:rPr>
          <w:b/>
          <w:szCs w:val="20"/>
        </w:rPr>
        <w:tab/>
        <w:t>Sektörlere veya karşı taraf türüne göre; ayrı ayrı, değer kaybına uğramış kredi ve tahsili gecikmiş kredi tutarları, değer ayarlamaları ve karşılıklar, dönem içinde değer ayarlamaları ve karşılıklara ilişkin tutarlar:</w:t>
      </w:r>
    </w:p>
    <w:p w14:paraId="27D1A542" w14:textId="77777777" w:rsidR="00F91828" w:rsidRPr="00471CBA" w:rsidRDefault="00F91828" w:rsidP="00F36B82">
      <w:pPr>
        <w:spacing w:before="120"/>
        <w:ind w:left="851" w:right="-182"/>
        <w:jc w:val="both"/>
        <w:rPr>
          <w:bCs/>
          <w:szCs w:val="20"/>
        </w:rPr>
      </w:pPr>
      <w:r w:rsidRPr="00471CBA">
        <w:rPr>
          <w:bCs/>
          <w:szCs w:val="20"/>
        </w:rPr>
        <w:t xml:space="preserve">TMS ve TFRS uyarınca, Değer Kaybına Uğramış Krediler: Raporlama dönemi sonu itibarıyla 90 günden fazla gecikmiş olması veya kredibilitesi nedeniyle değer düşüklüğüne uğradığına kanaat getirilmiş kredilerdir. Bu krediler için Karşılıklar Yönetmeliği kapsamında “Özel Karşılık” hesaplaması yapılmaktadır.  </w:t>
      </w:r>
    </w:p>
    <w:p w14:paraId="30BDA3BA" w14:textId="77777777" w:rsidR="00F91828" w:rsidRPr="00471CBA" w:rsidRDefault="00F91828" w:rsidP="00F36B82">
      <w:pPr>
        <w:spacing w:before="120"/>
        <w:ind w:left="851" w:right="-182"/>
        <w:jc w:val="both"/>
        <w:rPr>
          <w:szCs w:val="20"/>
        </w:rPr>
      </w:pPr>
      <w:r w:rsidRPr="00471CBA">
        <w:rPr>
          <w:bCs/>
          <w:szCs w:val="20"/>
        </w:rPr>
        <w:t>Tahsili Gecikmiş Krediler: Raporlama dönemi sonu itibarıyla vadesi 90 güne kadar gecikmiş ancak değer düşüklüğüne uğramamış kredilerdir. Bu krediler için Karşılıklar Yönetmeliği kapsamında “Genel Karşılık” hesaplaması yapılmaktadır.</w:t>
      </w:r>
    </w:p>
    <w:p w14:paraId="011ADF9C" w14:textId="49F73530" w:rsidR="0069337C" w:rsidRPr="00471CBA" w:rsidRDefault="0069337C" w:rsidP="00F36B82">
      <w:pPr>
        <w:ind w:left="851"/>
        <w:rPr>
          <w:b/>
          <w:szCs w:val="20"/>
        </w:rPr>
      </w:pPr>
      <w:r w:rsidRPr="00471CBA">
        <w:rPr>
          <w:b/>
          <w:szCs w:val="20"/>
        </w:rPr>
        <w:br w:type="page"/>
      </w:r>
    </w:p>
    <w:p w14:paraId="33E37CBE" w14:textId="77777777" w:rsidR="00A15F5D" w:rsidRPr="00471CBA" w:rsidRDefault="00A15F5D" w:rsidP="00A15F5D">
      <w:pPr>
        <w:rPr>
          <w:b/>
          <w:szCs w:val="20"/>
        </w:rPr>
      </w:pPr>
      <w:r w:rsidRPr="00471CBA">
        <w:rPr>
          <w:b/>
          <w:szCs w:val="20"/>
        </w:rPr>
        <w:lastRenderedPageBreak/>
        <w:t>MALİ BÜNYEYE VE RİSK YÖNETİMİNE İLİŞKİN BİLGİLER (Devamı)</w:t>
      </w:r>
    </w:p>
    <w:p w14:paraId="39356216" w14:textId="77777777" w:rsidR="00A15F5D" w:rsidRPr="00471CBA" w:rsidRDefault="00A15F5D" w:rsidP="00A15F5D">
      <w:pPr>
        <w:autoSpaceDE w:val="0"/>
        <w:autoSpaceDN w:val="0"/>
        <w:adjustRightInd w:val="0"/>
        <w:spacing w:before="120" w:after="120"/>
        <w:jc w:val="both"/>
        <w:rPr>
          <w:b/>
          <w:szCs w:val="20"/>
        </w:rPr>
      </w:pPr>
      <w:r w:rsidRPr="00471CBA">
        <w:rPr>
          <w:b/>
          <w:szCs w:val="20"/>
        </w:rPr>
        <w:t>II.</w:t>
      </w:r>
      <w:r w:rsidRPr="00471CBA">
        <w:rPr>
          <w:b/>
          <w:szCs w:val="20"/>
        </w:rPr>
        <w:tab/>
        <w:t>KREDİ RİSKİNE İLİŞKİN AÇIKLAMALAR (Devamı)</w:t>
      </w:r>
    </w:p>
    <w:p w14:paraId="22C19D4B" w14:textId="77777777" w:rsidR="0069337C" w:rsidRPr="00471CBA" w:rsidRDefault="0069337C" w:rsidP="00A15F5D"/>
    <w:tbl>
      <w:tblPr>
        <w:tblStyle w:val="TableGrid"/>
        <w:tblW w:w="5095"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bottom w:w="4" w:type="dxa"/>
        </w:tblCellMar>
        <w:tblLook w:val="04A0" w:firstRow="1" w:lastRow="0" w:firstColumn="1" w:lastColumn="0" w:noHBand="0" w:noVBand="1"/>
      </w:tblPr>
      <w:tblGrid>
        <w:gridCol w:w="350"/>
        <w:gridCol w:w="3536"/>
        <w:gridCol w:w="1958"/>
        <w:gridCol w:w="1878"/>
        <w:gridCol w:w="2090"/>
      </w:tblGrid>
      <w:tr w:rsidR="0069337C" w:rsidRPr="00471CBA" w14:paraId="40C58EFD" w14:textId="77777777" w:rsidTr="008A7C85">
        <w:trPr>
          <w:trHeight w:val="113"/>
        </w:trPr>
        <w:tc>
          <w:tcPr>
            <w:tcW w:w="1980" w:type="pct"/>
            <w:gridSpan w:val="2"/>
            <w:vMerge w:val="restart"/>
            <w:tcBorders>
              <w:top w:val="single" w:sz="4" w:space="0" w:color="000000"/>
              <w:left w:val="single" w:sz="4" w:space="0" w:color="000000"/>
              <w:right w:val="single" w:sz="4" w:space="0" w:color="000000"/>
            </w:tcBorders>
            <w:vAlign w:val="bottom"/>
            <w:hideMark/>
          </w:tcPr>
          <w:p w14:paraId="69E73F66" w14:textId="77777777" w:rsidR="009B19FA" w:rsidRPr="00471CBA" w:rsidRDefault="009B19FA" w:rsidP="00526FB1">
            <w:pPr>
              <w:spacing w:line="256" w:lineRule="auto"/>
              <w:ind w:left="31"/>
              <w:jc w:val="center"/>
              <w:rPr>
                <w:rFonts w:ascii="Times New Roman" w:hAnsi="Times New Roman" w:cs="Times New Roman"/>
                <w:b/>
                <w:sz w:val="18"/>
                <w:szCs w:val="18"/>
              </w:rPr>
            </w:pPr>
          </w:p>
          <w:p w14:paraId="0455BF0C" w14:textId="79F76D32" w:rsidR="009B19FA" w:rsidRPr="00471CBA" w:rsidRDefault="009B19FA" w:rsidP="00526FB1">
            <w:pPr>
              <w:spacing w:line="256" w:lineRule="auto"/>
              <w:ind w:left="31"/>
              <w:jc w:val="center"/>
              <w:rPr>
                <w:rFonts w:ascii="Times New Roman" w:hAnsi="Times New Roman" w:cs="Times New Roman"/>
                <w:b/>
                <w:sz w:val="18"/>
                <w:szCs w:val="18"/>
              </w:rPr>
            </w:pPr>
            <w:r w:rsidRPr="00471CBA">
              <w:rPr>
                <w:rFonts w:ascii="Times New Roman" w:hAnsi="Times New Roman" w:cs="Times New Roman"/>
                <w:b/>
                <w:sz w:val="18"/>
                <w:szCs w:val="18"/>
              </w:rPr>
              <w:t>31 Aralık 2025</w:t>
            </w:r>
          </w:p>
          <w:p w14:paraId="242520A9" w14:textId="77777777" w:rsidR="009B19FA" w:rsidRPr="00471CBA" w:rsidRDefault="009B19FA" w:rsidP="00526FB1">
            <w:pPr>
              <w:spacing w:line="256" w:lineRule="auto"/>
              <w:ind w:left="31"/>
              <w:jc w:val="center"/>
              <w:rPr>
                <w:rFonts w:ascii="Times New Roman" w:hAnsi="Times New Roman" w:cs="Times New Roman"/>
                <w:b/>
                <w:sz w:val="18"/>
                <w:szCs w:val="18"/>
              </w:rPr>
            </w:pPr>
          </w:p>
          <w:p w14:paraId="0E5BE9A2" w14:textId="677811F5" w:rsidR="0069337C" w:rsidRPr="00471CBA" w:rsidRDefault="0069337C" w:rsidP="00526FB1">
            <w:pPr>
              <w:spacing w:line="256" w:lineRule="auto"/>
              <w:ind w:left="31"/>
              <w:jc w:val="center"/>
              <w:rPr>
                <w:rFonts w:ascii="Times New Roman" w:hAnsi="Times New Roman" w:cs="Times New Roman"/>
                <w:b/>
                <w:sz w:val="18"/>
                <w:szCs w:val="18"/>
              </w:rPr>
            </w:pPr>
            <w:r w:rsidRPr="00471CBA">
              <w:rPr>
                <w:rFonts w:ascii="Times New Roman" w:hAnsi="Times New Roman" w:cs="Times New Roman"/>
                <w:b/>
                <w:sz w:val="18"/>
                <w:szCs w:val="18"/>
              </w:rPr>
              <w:t>Önemli Sektörler</w:t>
            </w:r>
          </w:p>
          <w:p w14:paraId="487C6EC0" w14:textId="77777777" w:rsidR="0069337C" w:rsidRPr="00471CBA" w:rsidRDefault="0069337C" w:rsidP="00526FB1">
            <w:pPr>
              <w:spacing w:line="256" w:lineRule="auto"/>
              <w:ind w:left="31"/>
              <w:jc w:val="center"/>
              <w:rPr>
                <w:rFonts w:ascii="Times New Roman" w:hAnsi="Times New Roman" w:cs="Times New Roman"/>
                <w:b/>
                <w:sz w:val="18"/>
                <w:szCs w:val="18"/>
              </w:rPr>
            </w:pPr>
            <w:r w:rsidRPr="00471CBA">
              <w:rPr>
                <w:rFonts w:ascii="Times New Roman" w:hAnsi="Times New Roman" w:cs="Times New Roman"/>
                <w:b/>
                <w:sz w:val="18"/>
                <w:szCs w:val="18"/>
              </w:rPr>
              <w:t>/Karşı taraflar</w:t>
            </w:r>
          </w:p>
          <w:p w14:paraId="771E9BE1" w14:textId="36DF6378" w:rsidR="0069337C" w:rsidRPr="00471CBA" w:rsidRDefault="0069337C" w:rsidP="009B19FA">
            <w:pPr>
              <w:spacing w:line="256" w:lineRule="auto"/>
              <w:ind w:left="10"/>
              <w:rPr>
                <w:rFonts w:ascii="Times New Roman" w:hAnsi="Times New Roman" w:cs="Times New Roman"/>
                <w:b/>
                <w:sz w:val="18"/>
                <w:szCs w:val="18"/>
              </w:rPr>
            </w:pPr>
          </w:p>
        </w:tc>
        <w:tc>
          <w:tcPr>
            <w:tcW w:w="1955" w:type="pct"/>
            <w:gridSpan w:val="2"/>
            <w:tcBorders>
              <w:top w:val="single" w:sz="4" w:space="0" w:color="000000"/>
              <w:left w:val="single" w:sz="4" w:space="0" w:color="000000"/>
              <w:bottom w:val="single" w:sz="4" w:space="0" w:color="000000"/>
              <w:right w:val="single" w:sz="4" w:space="0" w:color="000000"/>
            </w:tcBorders>
            <w:vAlign w:val="bottom"/>
            <w:hideMark/>
          </w:tcPr>
          <w:p w14:paraId="6C4EF122" w14:textId="77777777" w:rsidR="0069337C" w:rsidRPr="00471CBA" w:rsidRDefault="0069337C" w:rsidP="00526FB1">
            <w:pPr>
              <w:spacing w:line="256" w:lineRule="auto"/>
              <w:ind w:right="6"/>
              <w:jc w:val="center"/>
              <w:rPr>
                <w:rFonts w:ascii="Times New Roman" w:hAnsi="Times New Roman" w:cs="Times New Roman"/>
                <w:b/>
                <w:sz w:val="18"/>
                <w:szCs w:val="18"/>
              </w:rPr>
            </w:pPr>
            <w:r w:rsidRPr="00471CBA">
              <w:rPr>
                <w:rFonts w:ascii="Times New Roman" w:hAnsi="Times New Roman" w:cs="Times New Roman"/>
                <w:b/>
                <w:sz w:val="18"/>
                <w:szCs w:val="18"/>
              </w:rPr>
              <w:t xml:space="preserve">Krediler </w:t>
            </w:r>
          </w:p>
        </w:tc>
        <w:tc>
          <w:tcPr>
            <w:tcW w:w="1065" w:type="pct"/>
            <w:tcBorders>
              <w:top w:val="single" w:sz="4" w:space="0" w:color="000000"/>
              <w:left w:val="single" w:sz="4" w:space="0" w:color="000000"/>
              <w:bottom w:val="single" w:sz="4" w:space="0" w:color="000000"/>
              <w:right w:val="single" w:sz="4" w:space="0" w:color="000000"/>
            </w:tcBorders>
            <w:vAlign w:val="bottom"/>
            <w:hideMark/>
          </w:tcPr>
          <w:p w14:paraId="2B85A2DC" w14:textId="77777777" w:rsidR="0069337C" w:rsidRPr="00471CBA" w:rsidRDefault="0069337C" w:rsidP="00526FB1">
            <w:pPr>
              <w:spacing w:line="256" w:lineRule="auto"/>
              <w:ind w:right="6"/>
              <w:jc w:val="center"/>
              <w:rPr>
                <w:rFonts w:ascii="Times New Roman" w:hAnsi="Times New Roman" w:cs="Times New Roman"/>
                <w:b/>
                <w:sz w:val="18"/>
                <w:szCs w:val="18"/>
              </w:rPr>
            </w:pPr>
            <w:r w:rsidRPr="00471CBA">
              <w:rPr>
                <w:rFonts w:ascii="Times New Roman" w:hAnsi="Times New Roman" w:cs="Times New Roman"/>
                <w:b/>
                <w:sz w:val="18"/>
                <w:szCs w:val="18"/>
              </w:rPr>
              <w:t>Karşılıklar</w:t>
            </w:r>
          </w:p>
        </w:tc>
      </w:tr>
      <w:tr w:rsidR="0069337C" w:rsidRPr="00471CBA" w14:paraId="14EB3A5A" w14:textId="77777777" w:rsidTr="008A7C85">
        <w:trPr>
          <w:trHeight w:val="113"/>
        </w:trPr>
        <w:tc>
          <w:tcPr>
            <w:tcW w:w="1980" w:type="pct"/>
            <w:gridSpan w:val="2"/>
            <w:vMerge/>
            <w:tcBorders>
              <w:left w:val="single" w:sz="4" w:space="0" w:color="000000"/>
              <w:right w:val="single" w:sz="4" w:space="0" w:color="000000"/>
            </w:tcBorders>
            <w:vAlign w:val="bottom"/>
            <w:hideMark/>
          </w:tcPr>
          <w:p w14:paraId="2CB589F7" w14:textId="01161DA8" w:rsidR="0069337C" w:rsidRPr="00471CBA" w:rsidRDefault="0069337C" w:rsidP="00526FB1">
            <w:pPr>
              <w:spacing w:line="256" w:lineRule="auto"/>
              <w:rPr>
                <w:rFonts w:ascii="Times New Roman" w:hAnsi="Times New Roman" w:cs="Times New Roman"/>
                <w:b/>
                <w:sz w:val="18"/>
                <w:szCs w:val="18"/>
              </w:rPr>
            </w:pPr>
          </w:p>
        </w:tc>
        <w:tc>
          <w:tcPr>
            <w:tcW w:w="1955" w:type="pct"/>
            <w:gridSpan w:val="2"/>
            <w:tcBorders>
              <w:top w:val="single" w:sz="4" w:space="0" w:color="000000"/>
              <w:left w:val="single" w:sz="4" w:space="0" w:color="000000"/>
              <w:bottom w:val="single" w:sz="4" w:space="0" w:color="000000"/>
              <w:right w:val="single" w:sz="4" w:space="0" w:color="000000"/>
            </w:tcBorders>
            <w:vAlign w:val="bottom"/>
            <w:hideMark/>
          </w:tcPr>
          <w:p w14:paraId="4B7AA09F" w14:textId="77777777" w:rsidR="0069337C" w:rsidRPr="00471CBA" w:rsidRDefault="0069337C" w:rsidP="00526FB1">
            <w:pPr>
              <w:spacing w:line="256" w:lineRule="auto"/>
              <w:ind w:left="61"/>
              <w:jc w:val="center"/>
              <w:rPr>
                <w:rFonts w:ascii="Times New Roman" w:hAnsi="Times New Roman" w:cs="Times New Roman"/>
                <w:b/>
                <w:sz w:val="18"/>
                <w:szCs w:val="18"/>
              </w:rPr>
            </w:pPr>
            <w:r w:rsidRPr="00471CBA">
              <w:rPr>
                <w:rFonts w:ascii="Times New Roman" w:hAnsi="Times New Roman" w:cs="Times New Roman"/>
                <w:b/>
                <w:sz w:val="18"/>
                <w:szCs w:val="18"/>
              </w:rPr>
              <w:t>Değer Kaybına Uğramış (TFRS 9)</w:t>
            </w:r>
          </w:p>
        </w:tc>
        <w:tc>
          <w:tcPr>
            <w:tcW w:w="1065" w:type="pct"/>
            <w:vMerge w:val="restart"/>
            <w:tcBorders>
              <w:top w:val="single" w:sz="4" w:space="0" w:color="000000"/>
              <w:left w:val="single" w:sz="4" w:space="0" w:color="000000"/>
              <w:right w:val="single" w:sz="4" w:space="0" w:color="000000"/>
            </w:tcBorders>
            <w:vAlign w:val="center"/>
            <w:hideMark/>
          </w:tcPr>
          <w:p w14:paraId="3A70D013" w14:textId="77777777" w:rsidR="0069337C" w:rsidRPr="00471CBA" w:rsidRDefault="0069337C" w:rsidP="00526FB1">
            <w:pPr>
              <w:spacing w:line="256" w:lineRule="auto"/>
              <w:ind w:left="52"/>
              <w:jc w:val="center"/>
              <w:rPr>
                <w:rFonts w:ascii="Times New Roman" w:hAnsi="Times New Roman" w:cs="Times New Roman"/>
                <w:b/>
                <w:sz w:val="18"/>
                <w:szCs w:val="18"/>
              </w:rPr>
            </w:pPr>
            <w:r w:rsidRPr="00471CBA">
              <w:rPr>
                <w:rFonts w:ascii="Times New Roman" w:hAnsi="Times New Roman" w:cs="Times New Roman"/>
                <w:b/>
                <w:sz w:val="18"/>
                <w:szCs w:val="18"/>
              </w:rPr>
              <w:t>Beklenen Kredi Zararı Karşılıkları (TFRS 9)</w:t>
            </w:r>
          </w:p>
        </w:tc>
      </w:tr>
      <w:tr w:rsidR="0069337C" w:rsidRPr="00471CBA" w14:paraId="20FF616C" w14:textId="77777777" w:rsidTr="008A7C85">
        <w:trPr>
          <w:trHeight w:val="113"/>
        </w:trPr>
        <w:tc>
          <w:tcPr>
            <w:tcW w:w="0" w:type="auto"/>
            <w:gridSpan w:val="2"/>
            <w:vMerge/>
            <w:tcBorders>
              <w:left w:val="single" w:sz="4" w:space="0" w:color="000000"/>
              <w:bottom w:val="single" w:sz="4" w:space="0" w:color="000000"/>
              <w:right w:val="single" w:sz="4" w:space="0" w:color="000000"/>
            </w:tcBorders>
            <w:vAlign w:val="center"/>
            <w:hideMark/>
          </w:tcPr>
          <w:p w14:paraId="1F2A532F" w14:textId="77777777" w:rsidR="0069337C" w:rsidRPr="00471CBA" w:rsidRDefault="0069337C" w:rsidP="00526FB1">
            <w:pPr>
              <w:rPr>
                <w:rFonts w:ascii="Times New Roman" w:hAnsi="Times New Roman" w:cs="Times New Roman"/>
                <w:b/>
                <w:sz w:val="18"/>
                <w:szCs w:val="18"/>
              </w:rPr>
            </w:pPr>
          </w:p>
        </w:tc>
        <w:tc>
          <w:tcPr>
            <w:tcW w:w="998" w:type="pct"/>
            <w:tcBorders>
              <w:top w:val="single" w:sz="4" w:space="0" w:color="000000"/>
              <w:left w:val="single" w:sz="4" w:space="0" w:color="000000"/>
              <w:bottom w:val="single" w:sz="4" w:space="0" w:color="000000"/>
              <w:right w:val="single" w:sz="4" w:space="0" w:color="000000"/>
            </w:tcBorders>
            <w:vAlign w:val="bottom"/>
            <w:hideMark/>
          </w:tcPr>
          <w:p w14:paraId="35C5E64D" w14:textId="77777777" w:rsidR="0069337C" w:rsidRPr="00471CBA" w:rsidRDefault="0069337C" w:rsidP="00526FB1">
            <w:pPr>
              <w:spacing w:line="256" w:lineRule="auto"/>
              <w:ind w:left="48" w:right="1"/>
              <w:jc w:val="center"/>
              <w:rPr>
                <w:rFonts w:ascii="Times New Roman" w:hAnsi="Times New Roman" w:cs="Times New Roman"/>
                <w:b/>
                <w:sz w:val="18"/>
                <w:szCs w:val="18"/>
              </w:rPr>
            </w:pPr>
            <w:r w:rsidRPr="00471CBA">
              <w:rPr>
                <w:rFonts w:ascii="Times New Roman" w:hAnsi="Times New Roman" w:cs="Times New Roman"/>
                <w:b/>
                <w:sz w:val="18"/>
                <w:szCs w:val="18"/>
              </w:rPr>
              <w:t xml:space="preserve">Kredi Riskinde Önemli Artış </w:t>
            </w:r>
          </w:p>
          <w:p w14:paraId="0420E29B" w14:textId="77777777" w:rsidR="0069337C" w:rsidRPr="00471CBA" w:rsidRDefault="0069337C" w:rsidP="00526FB1">
            <w:pPr>
              <w:spacing w:line="256" w:lineRule="auto"/>
              <w:ind w:left="48" w:right="1"/>
              <w:jc w:val="center"/>
              <w:rPr>
                <w:rFonts w:ascii="Times New Roman" w:hAnsi="Times New Roman" w:cs="Times New Roman"/>
                <w:b/>
                <w:sz w:val="18"/>
                <w:szCs w:val="18"/>
              </w:rPr>
            </w:pPr>
            <w:r w:rsidRPr="00471CBA">
              <w:rPr>
                <w:rFonts w:ascii="Times New Roman" w:hAnsi="Times New Roman" w:cs="Times New Roman"/>
                <w:b/>
                <w:sz w:val="18"/>
                <w:szCs w:val="18"/>
              </w:rPr>
              <w:t>(İkinci Aşama)</w:t>
            </w:r>
          </w:p>
        </w:tc>
        <w:tc>
          <w:tcPr>
            <w:tcW w:w="957" w:type="pct"/>
            <w:tcBorders>
              <w:top w:val="single" w:sz="4" w:space="0" w:color="000000"/>
              <w:left w:val="single" w:sz="4" w:space="0" w:color="000000"/>
              <w:bottom w:val="single" w:sz="4" w:space="0" w:color="000000"/>
              <w:right w:val="single" w:sz="4" w:space="0" w:color="000000"/>
            </w:tcBorders>
            <w:vAlign w:val="bottom"/>
            <w:hideMark/>
          </w:tcPr>
          <w:p w14:paraId="7CA2047C" w14:textId="77777777" w:rsidR="0069337C" w:rsidRPr="00471CBA" w:rsidRDefault="0069337C" w:rsidP="00526FB1">
            <w:pPr>
              <w:spacing w:line="256" w:lineRule="auto"/>
              <w:ind w:left="84"/>
              <w:jc w:val="center"/>
              <w:rPr>
                <w:rFonts w:ascii="Times New Roman" w:hAnsi="Times New Roman" w:cs="Times New Roman"/>
                <w:b/>
                <w:sz w:val="18"/>
                <w:szCs w:val="18"/>
              </w:rPr>
            </w:pPr>
            <w:r w:rsidRPr="00471CBA">
              <w:rPr>
                <w:rFonts w:ascii="Times New Roman" w:hAnsi="Times New Roman" w:cs="Times New Roman"/>
                <w:b/>
                <w:sz w:val="18"/>
                <w:szCs w:val="18"/>
              </w:rPr>
              <w:t>Temerrüt</w:t>
            </w:r>
          </w:p>
          <w:p w14:paraId="6E930161" w14:textId="77777777" w:rsidR="0069337C" w:rsidRPr="00471CBA" w:rsidRDefault="0069337C" w:rsidP="00526FB1">
            <w:pPr>
              <w:spacing w:line="256" w:lineRule="auto"/>
              <w:jc w:val="center"/>
              <w:rPr>
                <w:rFonts w:ascii="Times New Roman" w:hAnsi="Times New Roman" w:cs="Times New Roman"/>
                <w:b/>
                <w:sz w:val="18"/>
                <w:szCs w:val="18"/>
              </w:rPr>
            </w:pPr>
            <w:r w:rsidRPr="00471CBA">
              <w:rPr>
                <w:rFonts w:ascii="Times New Roman" w:hAnsi="Times New Roman" w:cs="Times New Roman"/>
                <w:b/>
                <w:sz w:val="18"/>
                <w:szCs w:val="18"/>
              </w:rPr>
              <w:t>(Üçüncü Aşama)</w:t>
            </w:r>
          </w:p>
        </w:tc>
        <w:tc>
          <w:tcPr>
            <w:tcW w:w="1065" w:type="pct"/>
            <w:vMerge/>
            <w:tcBorders>
              <w:left w:val="single" w:sz="4" w:space="0" w:color="000000"/>
              <w:bottom w:val="single" w:sz="4" w:space="0" w:color="000000"/>
              <w:right w:val="single" w:sz="4" w:space="0" w:color="000000"/>
            </w:tcBorders>
            <w:vAlign w:val="bottom"/>
          </w:tcPr>
          <w:p w14:paraId="18A8DBA7" w14:textId="77777777" w:rsidR="0069337C" w:rsidRPr="00471CBA" w:rsidRDefault="0069337C" w:rsidP="00526FB1">
            <w:pPr>
              <w:spacing w:after="160" w:line="256" w:lineRule="auto"/>
              <w:rPr>
                <w:rFonts w:ascii="Times New Roman" w:hAnsi="Times New Roman" w:cs="Times New Roman"/>
                <w:sz w:val="18"/>
                <w:szCs w:val="18"/>
              </w:rPr>
            </w:pPr>
          </w:p>
        </w:tc>
      </w:tr>
      <w:tr w:rsidR="0069337C" w:rsidRPr="00471CBA" w14:paraId="2BE9F768" w14:textId="77777777" w:rsidTr="00526FB1">
        <w:trPr>
          <w:trHeight w:val="70"/>
        </w:trPr>
        <w:tc>
          <w:tcPr>
            <w:tcW w:w="178" w:type="pct"/>
            <w:tcBorders>
              <w:top w:val="single" w:sz="4" w:space="0" w:color="000000"/>
              <w:left w:val="nil"/>
              <w:bottom w:val="nil"/>
              <w:right w:val="nil"/>
            </w:tcBorders>
            <w:vAlign w:val="bottom"/>
          </w:tcPr>
          <w:p w14:paraId="00493837" w14:textId="77777777" w:rsidR="0069337C" w:rsidRPr="00471CBA" w:rsidRDefault="0069337C" w:rsidP="00526FB1">
            <w:pPr>
              <w:autoSpaceDE w:val="0"/>
              <w:autoSpaceDN w:val="0"/>
              <w:adjustRightInd w:val="0"/>
              <w:ind w:left="180" w:hanging="180"/>
              <w:rPr>
                <w:rFonts w:ascii="Times New Roman" w:eastAsia="Arial Unicode MS" w:hAnsi="Times New Roman" w:cs="Times New Roman"/>
                <w:b/>
                <w:sz w:val="18"/>
                <w:szCs w:val="18"/>
              </w:rPr>
            </w:pPr>
          </w:p>
        </w:tc>
        <w:tc>
          <w:tcPr>
            <w:tcW w:w="1802" w:type="pct"/>
            <w:tcBorders>
              <w:top w:val="single" w:sz="4" w:space="0" w:color="000000"/>
              <w:left w:val="nil"/>
              <w:bottom w:val="nil"/>
              <w:right w:val="nil"/>
            </w:tcBorders>
            <w:vAlign w:val="bottom"/>
          </w:tcPr>
          <w:p w14:paraId="13FE5081" w14:textId="77777777" w:rsidR="0069337C" w:rsidRPr="00471CBA" w:rsidRDefault="0069337C" w:rsidP="00526FB1">
            <w:pPr>
              <w:autoSpaceDE w:val="0"/>
              <w:autoSpaceDN w:val="0"/>
              <w:adjustRightInd w:val="0"/>
              <w:ind w:left="180" w:hanging="180"/>
              <w:rPr>
                <w:rFonts w:ascii="Times New Roman" w:eastAsia="Arial Unicode MS" w:hAnsi="Times New Roman" w:cs="Times New Roman"/>
                <w:b/>
                <w:sz w:val="18"/>
                <w:szCs w:val="18"/>
              </w:rPr>
            </w:pPr>
          </w:p>
        </w:tc>
        <w:tc>
          <w:tcPr>
            <w:tcW w:w="998" w:type="pct"/>
            <w:tcBorders>
              <w:top w:val="single" w:sz="4" w:space="0" w:color="000000"/>
              <w:left w:val="nil"/>
              <w:bottom w:val="nil"/>
              <w:right w:val="nil"/>
            </w:tcBorders>
            <w:vAlign w:val="bottom"/>
          </w:tcPr>
          <w:p w14:paraId="1E631306" w14:textId="77777777" w:rsidR="0069337C" w:rsidRPr="00471CBA" w:rsidRDefault="0069337C" w:rsidP="00526FB1">
            <w:pPr>
              <w:spacing w:before="100" w:beforeAutospacing="1" w:line="256" w:lineRule="auto"/>
              <w:ind w:left="31" w:right="110"/>
              <w:jc w:val="right"/>
              <w:rPr>
                <w:rFonts w:ascii="Times New Roman" w:hAnsi="Times New Roman" w:cs="Times New Roman"/>
                <w:b/>
                <w:color w:val="000000"/>
                <w:sz w:val="18"/>
                <w:szCs w:val="18"/>
              </w:rPr>
            </w:pPr>
          </w:p>
        </w:tc>
        <w:tc>
          <w:tcPr>
            <w:tcW w:w="957" w:type="pct"/>
            <w:tcBorders>
              <w:top w:val="single" w:sz="4" w:space="0" w:color="000000"/>
              <w:left w:val="nil"/>
              <w:bottom w:val="nil"/>
              <w:right w:val="nil"/>
            </w:tcBorders>
            <w:vAlign w:val="bottom"/>
          </w:tcPr>
          <w:p w14:paraId="59DD8AD3" w14:textId="77777777" w:rsidR="0069337C" w:rsidRPr="00471CBA" w:rsidRDefault="0069337C" w:rsidP="00526FB1">
            <w:pPr>
              <w:spacing w:before="100" w:beforeAutospacing="1" w:line="256" w:lineRule="auto"/>
              <w:ind w:left="31" w:right="110"/>
              <w:jc w:val="right"/>
              <w:rPr>
                <w:rFonts w:ascii="Times New Roman" w:hAnsi="Times New Roman" w:cs="Times New Roman"/>
                <w:b/>
                <w:color w:val="000000"/>
                <w:sz w:val="18"/>
                <w:szCs w:val="18"/>
              </w:rPr>
            </w:pPr>
          </w:p>
        </w:tc>
        <w:tc>
          <w:tcPr>
            <w:tcW w:w="1065" w:type="pct"/>
            <w:tcBorders>
              <w:top w:val="single" w:sz="4" w:space="0" w:color="000000"/>
              <w:left w:val="nil"/>
              <w:bottom w:val="nil"/>
              <w:right w:val="nil"/>
            </w:tcBorders>
            <w:vAlign w:val="bottom"/>
          </w:tcPr>
          <w:p w14:paraId="2323B52B" w14:textId="77777777" w:rsidR="0069337C" w:rsidRPr="00471CBA" w:rsidRDefault="0069337C" w:rsidP="00526FB1">
            <w:pPr>
              <w:spacing w:before="100" w:beforeAutospacing="1" w:line="256" w:lineRule="auto"/>
              <w:ind w:left="29" w:right="110"/>
              <w:jc w:val="right"/>
              <w:rPr>
                <w:rFonts w:ascii="Times New Roman" w:hAnsi="Times New Roman" w:cs="Times New Roman"/>
                <w:b/>
                <w:color w:val="000000"/>
                <w:sz w:val="18"/>
                <w:szCs w:val="18"/>
              </w:rPr>
            </w:pPr>
          </w:p>
        </w:tc>
      </w:tr>
      <w:tr w:rsidR="0069337C" w:rsidRPr="00471CBA" w14:paraId="0755345F" w14:textId="77777777" w:rsidTr="00FF0B5D">
        <w:trPr>
          <w:trHeight w:val="113"/>
        </w:trPr>
        <w:tc>
          <w:tcPr>
            <w:tcW w:w="178" w:type="pct"/>
            <w:tcBorders>
              <w:top w:val="nil"/>
              <w:left w:val="nil"/>
              <w:bottom w:val="nil"/>
              <w:right w:val="nil"/>
            </w:tcBorders>
            <w:vAlign w:val="bottom"/>
            <w:hideMark/>
          </w:tcPr>
          <w:p w14:paraId="49C520E1" w14:textId="77777777" w:rsidR="0069337C" w:rsidRPr="00471CBA" w:rsidRDefault="0069337C" w:rsidP="0069337C">
            <w:pPr>
              <w:autoSpaceDE w:val="0"/>
              <w:autoSpaceDN w:val="0"/>
              <w:adjustRightInd w:val="0"/>
              <w:ind w:left="180" w:hanging="180"/>
              <w:rPr>
                <w:rFonts w:ascii="Times New Roman" w:eastAsia="Arial Unicode MS" w:hAnsi="Times New Roman" w:cs="Times New Roman"/>
                <w:b/>
                <w:sz w:val="18"/>
                <w:szCs w:val="18"/>
              </w:rPr>
            </w:pPr>
            <w:r w:rsidRPr="00471CBA">
              <w:rPr>
                <w:rFonts w:ascii="Times New Roman" w:eastAsia="Arial Unicode MS" w:hAnsi="Times New Roman" w:cs="Times New Roman"/>
                <w:b/>
                <w:sz w:val="18"/>
                <w:szCs w:val="18"/>
              </w:rPr>
              <w:t>1</w:t>
            </w:r>
          </w:p>
        </w:tc>
        <w:tc>
          <w:tcPr>
            <w:tcW w:w="1802" w:type="pct"/>
            <w:tcBorders>
              <w:top w:val="nil"/>
              <w:left w:val="nil"/>
              <w:bottom w:val="nil"/>
              <w:right w:val="nil"/>
            </w:tcBorders>
            <w:vAlign w:val="bottom"/>
            <w:hideMark/>
          </w:tcPr>
          <w:p w14:paraId="2A8B383F" w14:textId="77777777" w:rsidR="0069337C" w:rsidRPr="00471CBA" w:rsidRDefault="0069337C" w:rsidP="0069337C">
            <w:pPr>
              <w:autoSpaceDE w:val="0"/>
              <w:autoSpaceDN w:val="0"/>
              <w:adjustRightInd w:val="0"/>
              <w:ind w:left="180" w:hanging="180"/>
              <w:rPr>
                <w:rFonts w:ascii="Times New Roman" w:eastAsia="Arial Unicode MS" w:hAnsi="Times New Roman" w:cs="Times New Roman"/>
                <w:b/>
                <w:sz w:val="18"/>
                <w:szCs w:val="18"/>
              </w:rPr>
            </w:pPr>
            <w:r w:rsidRPr="00471CBA">
              <w:rPr>
                <w:rFonts w:ascii="Times New Roman" w:eastAsia="Arial Unicode MS" w:hAnsi="Times New Roman" w:cs="Times New Roman"/>
                <w:b/>
                <w:sz w:val="18"/>
                <w:szCs w:val="18"/>
              </w:rPr>
              <w:t>Tarım</w:t>
            </w:r>
          </w:p>
        </w:tc>
        <w:tc>
          <w:tcPr>
            <w:tcW w:w="998" w:type="pct"/>
            <w:tcBorders>
              <w:top w:val="nil"/>
              <w:left w:val="nil"/>
              <w:bottom w:val="nil"/>
              <w:right w:val="nil"/>
            </w:tcBorders>
            <w:vAlign w:val="center"/>
          </w:tcPr>
          <w:p w14:paraId="39F9A0EE" w14:textId="6597F405" w:rsidR="0069337C" w:rsidRPr="00471CBA" w:rsidRDefault="0069337C" w:rsidP="0069337C">
            <w:pPr>
              <w:autoSpaceDE w:val="0"/>
              <w:autoSpaceDN w:val="0"/>
              <w:adjustRightInd w:val="0"/>
              <w:ind w:right="111"/>
              <w:jc w:val="right"/>
              <w:rPr>
                <w:rFonts w:ascii="Times New Roman" w:hAnsi="Times New Roman" w:cs="Times New Roman"/>
                <w:b/>
                <w:color w:val="000000"/>
                <w:sz w:val="18"/>
                <w:szCs w:val="18"/>
                <w:lang w:eastAsia="en-US"/>
              </w:rPr>
            </w:pPr>
            <w:r w:rsidRPr="00471CBA">
              <w:rPr>
                <w:rFonts w:ascii="Times New Roman" w:hAnsi="Times New Roman" w:cs="Times New Roman"/>
                <w:b/>
                <w:bCs/>
                <w:color w:val="000000"/>
                <w:sz w:val="18"/>
                <w:szCs w:val="18"/>
              </w:rPr>
              <w:t>-</w:t>
            </w:r>
          </w:p>
        </w:tc>
        <w:tc>
          <w:tcPr>
            <w:tcW w:w="957" w:type="pct"/>
            <w:tcBorders>
              <w:top w:val="nil"/>
              <w:left w:val="nil"/>
              <w:bottom w:val="nil"/>
              <w:right w:val="nil"/>
            </w:tcBorders>
            <w:vAlign w:val="center"/>
          </w:tcPr>
          <w:p w14:paraId="389F8E59" w14:textId="735BE668" w:rsidR="0069337C" w:rsidRPr="00471CBA" w:rsidRDefault="0069337C" w:rsidP="0069337C">
            <w:pPr>
              <w:autoSpaceDE w:val="0"/>
              <w:autoSpaceDN w:val="0"/>
              <w:adjustRightInd w:val="0"/>
              <w:ind w:right="111"/>
              <w:jc w:val="right"/>
              <w:rPr>
                <w:rFonts w:ascii="Times New Roman" w:hAnsi="Times New Roman" w:cs="Times New Roman"/>
                <w:b/>
                <w:color w:val="000000"/>
                <w:sz w:val="18"/>
                <w:szCs w:val="18"/>
                <w:lang w:eastAsia="en-US"/>
              </w:rPr>
            </w:pPr>
            <w:r w:rsidRPr="00471CBA">
              <w:rPr>
                <w:rFonts w:ascii="Times New Roman" w:hAnsi="Times New Roman" w:cs="Times New Roman"/>
                <w:b/>
                <w:bCs/>
                <w:color w:val="000000"/>
                <w:sz w:val="18"/>
                <w:szCs w:val="18"/>
              </w:rPr>
              <w:t>8.932</w:t>
            </w:r>
          </w:p>
        </w:tc>
        <w:tc>
          <w:tcPr>
            <w:tcW w:w="1065" w:type="pct"/>
            <w:tcBorders>
              <w:top w:val="nil"/>
              <w:left w:val="nil"/>
              <w:bottom w:val="nil"/>
              <w:right w:val="nil"/>
            </w:tcBorders>
            <w:vAlign w:val="center"/>
          </w:tcPr>
          <w:p w14:paraId="5C24B589" w14:textId="3829D1FC" w:rsidR="0069337C" w:rsidRPr="00471CBA" w:rsidRDefault="0069337C" w:rsidP="0069337C">
            <w:pPr>
              <w:autoSpaceDE w:val="0"/>
              <w:autoSpaceDN w:val="0"/>
              <w:adjustRightInd w:val="0"/>
              <w:ind w:right="111"/>
              <w:jc w:val="right"/>
              <w:rPr>
                <w:rFonts w:ascii="Times New Roman" w:hAnsi="Times New Roman" w:cs="Times New Roman"/>
                <w:b/>
                <w:color w:val="000000"/>
                <w:sz w:val="18"/>
                <w:szCs w:val="18"/>
                <w:lang w:eastAsia="en-US"/>
              </w:rPr>
            </w:pPr>
            <w:r w:rsidRPr="00471CBA">
              <w:rPr>
                <w:rFonts w:ascii="Times New Roman" w:hAnsi="Times New Roman" w:cs="Times New Roman"/>
                <w:b/>
                <w:bCs/>
                <w:color w:val="000000"/>
                <w:sz w:val="18"/>
                <w:szCs w:val="18"/>
              </w:rPr>
              <w:t>8.932</w:t>
            </w:r>
          </w:p>
        </w:tc>
      </w:tr>
      <w:tr w:rsidR="0069337C" w:rsidRPr="00471CBA" w14:paraId="531CAE7E" w14:textId="77777777" w:rsidTr="00FF0B5D">
        <w:trPr>
          <w:trHeight w:val="113"/>
        </w:trPr>
        <w:tc>
          <w:tcPr>
            <w:tcW w:w="178" w:type="pct"/>
            <w:tcBorders>
              <w:top w:val="nil"/>
              <w:left w:val="nil"/>
              <w:bottom w:val="nil"/>
              <w:right w:val="nil"/>
            </w:tcBorders>
            <w:vAlign w:val="bottom"/>
            <w:hideMark/>
          </w:tcPr>
          <w:p w14:paraId="6AC6CDB1" w14:textId="77777777" w:rsidR="0069337C" w:rsidRPr="00471CBA" w:rsidRDefault="0069337C" w:rsidP="0069337C">
            <w:pPr>
              <w:autoSpaceDE w:val="0"/>
              <w:autoSpaceDN w:val="0"/>
              <w:adjustRightInd w:val="0"/>
              <w:ind w:left="180" w:hanging="180"/>
              <w:rPr>
                <w:rFonts w:ascii="Times New Roman" w:eastAsia="Arial Unicode MS" w:hAnsi="Times New Roman" w:cs="Times New Roman"/>
                <w:sz w:val="18"/>
                <w:szCs w:val="18"/>
              </w:rPr>
            </w:pPr>
            <w:r w:rsidRPr="00471CBA">
              <w:rPr>
                <w:rFonts w:ascii="Times New Roman" w:eastAsia="Arial Unicode MS" w:hAnsi="Times New Roman" w:cs="Times New Roman"/>
                <w:sz w:val="18"/>
                <w:szCs w:val="18"/>
              </w:rPr>
              <w:t>1.1</w:t>
            </w:r>
          </w:p>
        </w:tc>
        <w:tc>
          <w:tcPr>
            <w:tcW w:w="1802" w:type="pct"/>
            <w:tcBorders>
              <w:top w:val="nil"/>
              <w:left w:val="nil"/>
              <w:bottom w:val="nil"/>
              <w:right w:val="nil"/>
            </w:tcBorders>
            <w:vAlign w:val="bottom"/>
            <w:hideMark/>
          </w:tcPr>
          <w:p w14:paraId="67CDED71" w14:textId="77777777" w:rsidR="0069337C" w:rsidRPr="00471CBA" w:rsidRDefault="0069337C" w:rsidP="0069337C">
            <w:pPr>
              <w:autoSpaceDE w:val="0"/>
              <w:autoSpaceDN w:val="0"/>
              <w:adjustRightInd w:val="0"/>
              <w:ind w:left="180" w:hanging="180"/>
              <w:rPr>
                <w:rFonts w:ascii="Times New Roman" w:eastAsia="Arial Unicode MS" w:hAnsi="Times New Roman" w:cs="Times New Roman"/>
                <w:sz w:val="18"/>
                <w:szCs w:val="18"/>
              </w:rPr>
            </w:pPr>
            <w:r w:rsidRPr="00471CBA">
              <w:rPr>
                <w:rFonts w:ascii="Times New Roman" w:eastAsia="Arial Unicode MS" w:hAnsi="Times New Roman" w:cs="Times New Roman"/>
                <w:sz w:val="18"/>
                <w:szCs w:val="18"/>
              </w:rPr>
              <w:t xml:space="preserve">   Çiftçilik ve Hayvancılık</w:t>
            </w:r>
          </w:p>
        </w:tc>
        <w:tc>
          <w:tcPr>
            <w:tcW w:w="998" w:type="pct"/>
            <w:tcBorders>
              <w:top w:val="nil"/>
              <w:left w:val="nil"/>
              <w:bottom w:val="nil"/>
              <w:right w:val="nil"/>
            </w:tcBorders>
            <w:vAlign w:val="center"/>
          </w:tcPr>
          <w:p w14:paraId="621B08DA" w14:textId="6656707D"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lang w:eastAsia="en-US"/>
              </w:rPr>
            </w:pPr>
            <w:r w:rsidRPr="00471CBA">
              <w:rPr>
                <w:rFonts w:ascii="Times New Roman" w:hAnsi="Times New Roman" w:cs="Times New Roman"/>
                <w:color w:val="000000"/>
                <w:sz w:val="18"/>
                <w:szCs w:val="18"/>
              </w:rPr>
              <w:t>-</w:t>
            </w:r>
          </w:p>
        </w:tc>
        <w:tc>
          <w:tcPr>
            <w:tcW w:w="957" w:type="pct"/>
            <w:tcBorders>
              <w:top w:val="nil"/>
              <w:left w:val="nil"/>
              <w:bottom w:val="nil"/>
              <w:right w:val="nil"/>
            </w:tcBorders>
            <w:vAlign w:val="center"/>
          </w:tcPr>
          <w:p w14:paraId="422F7640" w14:textId="6426ACC9"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lang w:eastAsia="en-US"/>
              </w:rPr>
            </w:pPr>
            <w:r w:rsidRPr="00471CBA">
              <w:rPr>
                <w:rFonts w:ascii="Times New Roman" w:hAnsi="Times New Roman" w:cs="Times New Roman"/>
                <w:color w:val="000000"/>
                <w:sz w:val="18"/>
                <w:szCs w:val="18"/>
              </w:rPr>
              <w:t>8.932</w:t>
            </w:r>
          </w:p>
        </w:tc>
        <w:tc>
          <w:tcPr>
            <w:tcW w:w="1065" w:type="pct"/>
            <w:tcBorders>
              <w:top w:val="nil"/>
              <w:left w:val="nil"/>
              <w:bottom w:val="nil"/>
              <w:right w:val="nil"/>
            </w:tcBorders>
            <w:vAlign w:val="center"/>
          </w:tcPr>
          <w:p w14:paraId="31D85409" w14:textId="60CFEC9D"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lang w:eastAsia="en-US"/>
              </w:rPr>
            </w:pPr>
            <w:r w:rsidRPr="00471CBA">
              <w:rPr>
                <w:rFonts w:ascii="Times New Roman" w:hAnsi="Times New Roman" w:cs="Times New Roman"/>
                <w:color w:val="000000"/>
                <w:sz w:val="18"/>
                <w:szCs w:val="18"/>
              </w:rPr>
              <w:t>8.932</w:t>
            </w:r>
          </w:p>
        </w:tc>
      </w:tr>
      <w:tr w:rsidR="0069337C" w:rsidRPr="00471CBA" w14:paraId="33E7C21C" w14:textId="77777777" w:rsidTr="00FF0B5D">
        <w:trPr>
          <w:trHeight w:val="113"/>
        </w:trPr>
        <w:tc>
          <w:tcPr>
            <w:tcW w:w="178" w:type="pct"/>
            <w:tcBorders>
              <w:top w:val="nil"/>
              <w:left w:val="nil"/>
              <w:bottom w:val="nil"/>
              <w:right w:val="nil"/>
            </w:tcBorders>
            <w:vAlign w:val="bottom"/>
            <w:hideMark/>
          </w:tcPr>
          <w:p w14:paraId="0E5EEDB8" w14:textId="77777777" w:rsidR="0069337C" w:rsidRPr="00471CBA" w:rsidRDefault="0069337C" w:rsidP="0069337C">
            <w:pPr>
              <w:autoSpaceDE w:val="0"/>
              <w:autoSpaceDN w:val="0"/>
              <w:adjustRightInd w:val="0"/>
              <w:ind w:left="180" w:hanging="180"/>
              <w:rPr>
                <w:rFonts w:ascii="Times New Roman" w:eastAsia="Arial Unicode MS" w:hAnsi="Times New Roman" w:cs="Times New Roman"/>
                <w:sz w:val="18"/>
                <w:szCs w:val="18"/>
              </w:rPr>
            </w:pPr>
            <w:r w:rsidRPr="00471CBA">
              <w:rPr>
                <w:rFonts w:ascii="Times New Roman" w:eastAsia="Arial Unicode MS" w:hAnsi="Times New Roman" w:cs="Times New Roman"/>
                <w:sz w:val="18"/>
                <w:szCs w:val="18"/>
              </w:rPr>
              <w:t>1.2</w:t>
            </w:r>
          </w:p>
        </w:tc>
        <w:tc>
          <w:tcPr>
            <w:tcW w:w="1802" w:type="pct"/>
            <w:tcBorders>
              <w:top w:val="nil"/>
              <w:left w:val="nil"/>
              <w:bottom w:val="nil"/>
              <w:right w:val="nil"/>
            </w:tcBorders>
            <w:vAlign w:val="bottom"/>
            <w:hideMark/>
          </w:tcPr>
          <w:p w14:paraId="6AD26C6E" w14:textId="77777777" w:rsidR="0069337C" w:rsidRPr="00471CBA" w:rsidRDefault="0069337C" w:rsidP="0069337C">
            <w:pPr>
              <w:autoSpaceDE w:val="0"/>
              <w:autoSpaceDN w:val="0"/>
              <w:adjustRightInd w:val="0"/>
              <w:ind w:left="180" w:hanging="180"/>
              <w:rPr>
                <w:rFonts w:ascii="Times New Roman" w:eastAsia="Arial Unicode MS" w:hAnsi="Times New Roman" w:cs="Times New Roman"/>
                <w:sz w:val="18"/>
                <w:szCs w:val="18"/>
              </w:rPr>
            </w:pPr>
            <w:r w:rsidRPr="00471CBA">
              <w:rPr>
                <w:rFonts w:ascii="Times New Roman" w:eastAsia="Arial Unicode MS" w:hAnsi="Times New Roman" w:cs="Times New Roman"/>
                <w:sz w:val="18"/>
                <w:szCs w:val="18"/>
              </w:rPr>
              <w:t xml:space="preserve">   Ormancılık</w:t>
            </w:r>
          </w:p>
        </w:tc>
        <w:tc>
          <w:tcPr>
            <w:tcW w:w="998" w:type="pct"/>
            <w:tcBorders>
              <w:top w:val="nil"/>
              <w:left w:val="nil"/>
              <w:bottom w:val="nil"/>
              <w:right w:val="nil"/>
            </w:tcBorders>
            <w:vAlign w:val="center"/>
          </w:tcPr>
          <w:p w14:paraId="2596A7D5" w14:textId="798E4799"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lang w:eastAsia="en-US"/>
              </w:rPr>
            </w:pPr>
            <w:r w:rsidRPr="00471CBA">
              <w:rPr>
                <w:rFonts w:ascii="Times New Roman" w:hAnsi="Times New Roman" w:cs="Times New Roman"/>
                <w:color w:val="000000"/>
                <w:sz w:val="18"/>
                <w:szCs w:val="18"/>
              </w:rPr>
              <w:t>-</w:t>
            </w:r>
          </w:p>
        </w:tc>
        <w:tc>
          <w:tcPr>
            <w:tcW w:w="957" w:type="pct"/>
            <w:tcBorders>
              <w:top w:val="nil"/>
              <w:left w:val="nil"/>
              <w:bottom w:val="nil"/>
              <w:right w:val="nil"/>
            </w:tcBorders>
            <w:vAlign w:val="center"/>
          </w:tcPr>
          <w:p w14:paraId="1FB15133" w14:textId="41D159F8"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lang w:eastAsia="en-US"/>
              </w:rPr>
            </w:pPr>
            <w:r w:rsidRPr="00471CBA">
              <w:rPr>
                <w:rFonts w:ascii="Times New Roman" w:hAnsi="Times New Roman" w:cs="Times New Roman"/>
                <w:color w:val="000000"/>
                <w:sz w:val="18"/>
                <w:szCs w:val="18"/>
              </w:rPr>
              <w:t>-</w:t>
            </w:r>
          </w:p>
        </w:tc>
        <w:tc>
          <w:tcPr>
            <w:tcW w:w="1065" w:type="pct"/>
            <w:tcBorders>
              <w:top w:val="nil"/>
              <w:left w:val="nil"/>
              <w:bottom w:val="nil"/>
              <w:right w:val="nil"/>
            </w:tcBorders>
            <w:vAlign w:val="center"/>
          </w:tcPr>
          <w:p w14:paraId="7084DB8E" w14:textId="0BDEBAA1"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lang w:eastAsia="en-US"/>
              </w:rPr>
            </w:pPr>
            <w:r w:rsidRPr="00471CBA">
              <w:rPr>
                <w:rFonts w:ascii="Times New Roman" w:hAnsi="Times New Roman" w:cs="Times New Roman"/>
                <w:color w:val="000000"/>
                <w:sz w:val="18"/>
                <w:szCs w:val="18"/>
              </w:rPr>
              <w:t>-</w:t>
            </w:r>
          </w:p>
        </w:tc>
      </w:tr>
      <w:tr w:rsidR="0069337C" w:rsidRPr="00471CBA" w14:paraId="40F43A40" w14:textId="77777777" w:rsidTr="00FF0B5D">
        <w:trPr>
          <w:trHeight w:val="113"/>
        </w:trPr>
        <w:tc>
          <w:tcPr>
            <w:tcW w:w="178" w:type="pct"/>
            <w:tcBorders>
              <w:top w:val="nil"/>
              <w:left w:val="nil"/>
              <w:bottom w:val="nil"/>
              <w:right w:val="nil"/>
            </w:tcBorders>
            <w:vAlign w:val="bottom"/>
            <w:hideMark/>
          </w:tcPr>
          <w:p w14:paraId="5D0E78D2" w14:textId="77777777" w:rsidR="0069337C" w:rsidRPr="00471CBA" w:rsidRDefault="0069337C" w:rsidP="0069337C">
            <w:pPr>
              <w:autoSpaceDE w:val="0"/>
              <w:autoSpaceDN w:val="0"/>
              <w:adjustRightInd w:val="0"/>
              <w:ind w:left="180" w:hanging="180"/>
              <w:rPr>
                <w:rFonts w:ascii="Times New Roman" w:eastAsia="Arial Unicode MS" w:hAnsi="Times New Roman" w:cs="Times New Roman"/>
                <w:sz w:val="18"/>
                <w:szCs w:val="18"/>
              </w:rPr>
            </w:pPr>
            <w:r w:rsidRPr="00471CBA">
              <w:rPr>
                <w:rFonts w:ascii="Times New Roman" w:eastAsia="Arial Unicode MS" w:hAnsi="Times New Roman" w:cs="Times New Roman"/>
                <w:sz w:val="18"/>
                <w:szCs w:val="18"/>
              </w:rPr>
              <w:t>1.3</w:t>
            </w:r>
          </w:p>
        </w:tc>
        <w:tc>
          <w:tcPr>
            <w:tcW w:w="1802" w:type="pct"/>
            <w:tcBorders>
              <w:top w:val="nil"/>
              <w:left w:val="nil"/>
              <w:bottom w:val="nil"/>
              <w:right w:val="nil"/>
            </w:tcBorders>
            <w:vAlign w:val="bottom"/>
            <w:hideMark/>
          </w:tcPr>
          <w:p w14:paraId="0F3E0987" w14:textId="77777777" w:rsidR="0069337C" w:rsidRPr="00471CBA" w:rsidRDefault="0069337C" w:rsidP="0069337C">
            <w:pPr>
              <w:autoSpaceDE w:val="0"/>
              <w:autoSpaceDN w:val="0"/>
              <w:adjustRightInd w:val="0"/>
              <w:ind w:left="180" w:hanging="180"/>
              <w:rPr>
                <w:rFonts w:ascii="Times New Roman" w:eastAsia="Arial Unicode MS" w:hAnsi="Times New Roman" w:cs="Times New Roman"/>
                <w:sz w:val="18"/>
                <w:szCs w:val="18"/>
              </w:rPr>
            </w:pPr>
            <w:r w:rsidRPr="00471CBA">
              <w:rPr>
                <w:rFonts w:ascii="Times New Roman" w:eastAsia="Arial Unicode MS" w:hAnsi="Times New Roman" w:cs="Times New Roman"/>
                <w:sz w:val="18"/>
                <w:szCs w:val="18"/>
              </w:rPr>
              <w:t xml:space="preserve">   Balıkçılık</w:t>
            </w:r>
          </w:p>
        </w:tc>
        <w:tc>
          <w:tcPr>
            <w:tcW w:w="998" w:type="pct"/>
            <w:tcBorders>
              <w:top w:val="nil"/>
              <w:left w:val="nil"/>
              <w:bottom w:val="nil"/>
              <w:right w:val="nil"/>
            </w:tcBorders>
            <w:vAlign w:val="center"/>
          </w:tcPr>
          <w:p w14:paraId="5A002F79" w14:textId="76A36010"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lang w:eastAsia="en-US"/>
              </w:rPr>
            </w:pPr>
            <w:r w:rsidRPr="00471CBA">
              <w:rPr>
                <w:rFonts w:ascii="Times New Roman" w:hAnsi="Times New Roman" w:cs="Times New Roman"/>
                <w:color w:val="000000"/>
                <w:sz w:val="18"/>
                <w:szCs w:val="18"/>
              </w:rPr>
              <w:t>-</w:t>
            </w:r>
          </w:p>
        </w:tc>
        <w:tc>
          <w:tcPr>
            <w:tcW w:w="957" w:type="pct"/>
            <w:tcBorders>
              <w:top w:val="nil"/>
              <w:left w:val="nil"/>
              <w:bottom w:val="nil"/>
              <w:right w:val="nil"/>
            </w:tcBorders>
            <w:vAlign w:val="center"/>
          </w:tcPr>
          <w:p w14:paraId="542A0DF9" w14:textId="1B5D6B4F"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lang w:eastAsia="en-US"/>
              </w:rPr>
            </w:pPr>
            <w:r w:rsidRPr="00471CBA">
              <w:rPr>
                <w:rFonts w:ascii="Times New Roman" w:hAnsi="Times New Roman" w:cs="Times New Roman"/>
                <w:color w:val="000000"/>
                <w:sz w:val="18"/>
                <w:szCs w:val="18"/>
              </w:rPr>
              <w:t>-</w:t>
            </w:r>
          </w:p>
        </w:tc>
        <w:tc>
          <w:tcPr>
            <w:tcW w:w="1065" w:type="pct"/>
            <w:tcBorders>
              <w:top w:val="nil"/>
              <w:left w:val="nil"/>
              <w:bottom w:val="nil"/>
              <w:right w:val="nil"/>
            </w:tcBorders>
            <w:vAlign w:val="center"/>
          </w:tcPr>
          <w:p w14:paraId="6C66DB34" w14:textId="6208270D"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lang w:eastAsia="en-US"/>
              </w:rPr>
            </w:pPr>
            <w:r w:rsidRPr="00471CBA">
              <w:rPr>
                <w:rFonts w:ascii="Times New Roman" w:hAnsi="Times New Roman" w:cs="Times New Roman"/>
                <w:color w:val="000000"/>
                <w:sz w:val="18"/>
                <w:szCs w:val="18"/>
              </w:rPr>
              <w:t>-</w:t>
            </w:r>
          </w:p>
        </w:tc>
      </w:tr>
      <w:tr w:rsidR="0069337C" w:rsidRPr="00471CBA" w14:paraId="3D4D792A" w14:textId="77777777" w:rsidTr="00FF0B5D">
        <w:trPr>
          <w:trHeight w:val="113"/>
        </w:trPr>
        <w:tc>
          <w:tcPr>
            <w:tcW w:w="178" w:type="pct"/>
            <w:tcBorders>
              <w:top w:val="nil"/>
              <w:left w:val="nil"/>
              <w:bottom w:val="nil"/>
              <w:right w:val="nil"/>
            </w:tcBorders>
            <w:vAlign w:val="bottom"/>
            <w:hideMark/>
          </w:tcPr>
          <w:p w14:paraId="746B7380" w14:textId="77777777" w:rsidR="0069337C" w:rsidRPr="00471CBA" w:rsidRDefault="0069337C" w:rsidP="0069337C">
            <w:pPr>
              <w:autoSpaceDE w:val="0"/>
              <w:autoSpaceDN w:val="0"/>
              <w:adjustRightInd w:val="0"/>
              <w:ind w:left="180" w:hanging="180"/>
              <w:rPr>
                <w:rFonts w:ascii="Times New Roman" w:eastAsia="Arial Unicode MS" w:hAnsi="Times New Roman" w:cs="Times New Roman"/>
                <w:b/>
                <w:sz w:val="18"/>
                <w:szCs w:val="18"/>
              </w:rPr>
            </w:pPr>
            <w:r w:rsidRPr="00471CBA">
              <w:rPr>
                <w:rFonts w:ascii="Times New Roman" w:eastAsia="Arial Unicode MS" w:hAnsi="Times New Roman" w:cs="Times New Roman"/>
                <w:b/>
                <w:sz w:val="18"/>
                <w:szCs w:val="18"/>
              </w:rPr>
              <w:t>2</w:t>
            </w:r>
          </w:p>
        </w:tc>
        <w:tc>
          <w:tcPr>
            <w:tcW w:w="1802" w:type="pct"/>
            <w:tcBorders>
              <w:top w:val="nil"/>
              <w:left w:val="nil"/>
              <w:bottom w:val="nil"/>
              <w:right w:val="nil"/>
            </w:tcBorders>
            <w:vAlign w:val="bottom"/>
            <w:hideMark/>
          </w:tcPr>
          <w:p w14:paraId="593AF5ED" w14:textId="77777777" w:rsidR="0069337C" w:rsidRPr="00471CBA" w:rsidRDefault="0069337C" w:rsidP="0069337C">
            <w:pPr>
              <w:autoSpaceDE w:val="0"/>
              <w:autoSpaceDN w:val="0"/>
              <w:adjustRightInd w:val="0"/>
              <w:ind w:left="180" w:hanging="180"/>
              <w:rPr>
                <w:rFonts w:ascii="Times New Roman" w:eastAsia="Arial Unicode MS" w:hAnsi="Times New Roman" w:cs="Times New Roman"/>
                <w:b/>
                <w:sz w:val="18"/>
                <w:szCs w:val="18"/>
              </w:rPr>
            </w:pPr>
            <w:r w:rsidRPr="00471CBA">
              <w:rPr>
                <w:rFonts w:ascii="Times New Roman" w:eastAsia="Arial Unicode MS" w:hAnsi="Times New Roman" w:cs="Times New Roman"/>
                <w:b/>
                <w:sz w:val="18"/>
                <w:szCs w:val="18"/>
              </w:rPr>
              <w:t>Sanayi</w:t>
            </w:r>
          </w:p>
        </w:tc>
        <w:tc>
          <w:tcPr>
            <w:tcW w:w="998" w:type="pct"/>
            <w:tcBorders>
              <w:top w:val="nil"/>
              <w:left w:val="nil"/>
              <w:bottom w:val="nil"/>
              <w:right w:val="nil"/>
            </w:tcBorders>
            <w:vAlign w:val="center"/>
          </w:tcPr>
          <w:p w14:paraId="45F96BD3" w14:textId="3A354761" w:rsidR="0069337C" w:rsidRPr="00471CBA" w:rsidRDefault="0069337C" w:rsidP="0069337C">
            <w:pPr>
              <w:autoSpaceDE w:val="0"/>
              <w:autoSpaceDN w:val="0"/>
              <w:adjustRightInd w:val="0"/>
              <w:ind w:right="111"/>
              <w:jc w:val="right"/>
              <w:rPr>
                <w:rFonts w:ascii="Times New Roman" w:hAnsi="Times New Roman" w:cs="Times New Roman"/>
                <w:b/>
                <w:color w:val="000000"/>
                <w:sz w:val="18"/>
                <w:szCs w:val="18"/>
                <w:lang w:eastAsia="en-US"/>
              </w:rPr>
            </w:pPr>
            <w:r w:rsidRPr="00471CBA">
              <w:rPr>
                <w:rFonts w:ascii="Times New Roman" w:hAnsi="Times New Roman" w:cs="Times New Roman"/>
                <w:b/>
                <w:bCs/>
                <w:color w:val="000000"/>
                <w:sz w:val="18"/>
                <w:szCs w:val="18"/>
              </w:rPr>
              <w:t>245.596</w:t>
            </w:r>
          </w:p>
        </w:tc>
        <w:tc>
          <w:tcPr>
            <w:tcW w:w="957" w:type="pct"/>
            <w:tcBorders>
              <w:top w:val="nil"/>
              <w:left w:val="nil"/>
              <w:bottom w:val="nil"/>
              <w:right w:val="nil"/>
            </w:tcBorders>
            <w:vAlign w:val="center"/>
          </w:tcPr>
          <w:p w14:paraId="0CAA589E" w14:textId="05569990" w:rsidR="0069337C" w:rsidRPr="00471CBA" w:rsidRDefault="0069337C" w:rsidP="0069337C">
            <w:pPr>
              <w:autoSpaceDE w:val="0"/>
              <w:autoSpaceDN w:val="0"/>
              <w:adjustRightInd w:val="0"/>
              <w:ind w:right="111"/>
              <w:jc w:val="right"/>
              <w:rPr>
                <w:rFonts w:ascii="Times New Roman" w:hAnsi="Times New Roman" w:cs="Times New Roman"/>
                <w:b/>
                <w:color w:val="000000"/>
                <w:sz w:val="18"/>
                <w:szCs w:val="18"/>
                <w:lang w:eastAsia="en-US"/>
              </w:rPr>
            </w:pPr>
            <w:r w:rsidRPr="00471CBA">
              <w:rPr>
                <w:rFonts w:ascii="Times New Roman" w:hAnsi="Times New Roman" w:cs="Times New Roman"/>
                <w:b/>
                <w:bCs/>
                <w:color w:val="000000"/>
                <w:sz w:val="18"/>
                <w:szCs w:val="18"/>
              </w:rPr>
              <w:t>166.174</w:t>
            </w:r>
          </w:p>
        </w:tc>
        <w:tc>
          <w:tcPr>
            <w:tcW w:w="1065" w:type="pct"/>
            <w:tcBorders>
              <w:top w:val="nil"/>
              <w:left w:val="nil"/>
              <w:bottom w:val="nil"/>
              <w:right w:val="nil"/>
            </w:tcBorders>
            <w:vAlign w:val="center"/>
          </w:tcPr>
          <w:p w14:paraId="7E166C80" w14:textId="56BCA4CB" w:rsidR="0069337C" w:rsidRPr="00471CBA" w:rsidRDefault="0069337C" w:rsidP="0069337C">
            <w:pPr>
              <w:autoSpaceDE w:val="0"/>
              <w:autoSpaceDN w:val="0"/>
              <w:adjustRightInd w:val="0"/>
              <w:ind w:right="111"/>
              <w:jc w:val="right"/>
              <w:rPr>
                <w:rFonts w:ascii="Times New Roman" w:hAnsi="Times New Roman" w:cs="Times New Roman"/>
                <w:b/>
                <w:color w:val="000000"/>
                <w:sz w:val="18"/>
                <w:szCs w:val="18"/>
                <w:lang w:eastAsia="en-US"/>
              </w:rPr>
            </w:pPr>
            <w:r w:rsidRPr="00471CBA">
              <w:rPr>
                <w:rFonts w:ascii="Times New Roman" w:hAnsi="Times New Roman" w:cs="Times New Roman"/>
                <w:b/>
                <w:bCs/>
                <w:color w:val="000000"/>
                <w:sz w:val="18"/>
                <w:szCs w:val="18"/>
              </w:rPr>
              <w:t>171.928</w:t>
            </w:r>
          </w:p>
        </w:tc>
      </w:tr>
      <w:tr w:rsidR="0069337C" w:rsidRPr="00471CBA" w14:paraId="393D91A2" w14:textId="77777777" w:rsidTr="00FF0B5D">
        <w:trPr>
          <w:trHeight w:val="113"/>
        </w:trPr>
        <w:tc>
          <w:tcPr>
            <w:tcW w:w="178" w:type="pct"/>
            <w:tcBorders>
              <w:top w:val="nil"/>
              <w:left w:val="nil"/>
              <w:bottom w:val="nil"/>
              <w:right w:val="nil"/>
            </w:tcBorders>
            <w:vAlign w:val="bottom"/>
            <w:hideMark/>
          </w:tcPr>
          <w:p w14:paraId="602E141A" w14:textId="77777777" w:rsidR="0069337C" w:rsidRPr="00471CBA" w:rsidRDefault="0069337C" w:rsidP="0069337C">
            <w:pPr>
              <w:autoSpaceDE w:val="0"/>
              <w:autoSpaceDN w:val="0"/>
              <w:adjustRightInd w:val="0"/>
              <w:ind w:left="180" w:hanging="180"/>
              <w:rPr>
                <w:rFonts w:ascii="Times New Roman" w:eastAsia="Arial Unicode MS" w:hAnsi="Times New Roman" w:cs="Times New Roman"/>
                <w:sz w:val="18"/>
                <w:szCs w:val="18"/>
              </w:rPr>
            </w:pPr>
            <w:r w:rsidRPr="00471CBA">
              <w:rPr>
                <w:rFonts w:ascii="Times New Roman" w:eastAsia="Arial Unicode MS" w:hAnsi="Times New Roman" w:cs="Times New Roman"/>
                <w:sz w:val="18"/>
                <w:szCs w:val="18"/>
              </w:rPr>
              <w:t>2.1</w:t>
            </w:r>
          </w:p>
        </w:tc>
        <w:tc>
          <w:tcPr>
            <w:tcW w:w="1802" w:type="pct"/>
            <w:tcBorders>
              <w:top w:val="nil"/>
              <w:left w:val="nil"/>
              <w:bottom w:val="nil"/>
              <w:right w:val="nil"/>
            </w:tcBorders>
            <w:vAlign w:val="bottom"/>
            <w:hideMark/>
          </w:tcPr>
          <w:p w14:paraId="62C60D19" w14:textId="77777777" w:rsidR="0069337C" w:rsidRPr="00471CBA" w:rsidRDefault="0069337C" w:rsidP="0069337C">
            <w:pPr>
              <w:autoSpaceDE w:val="0"/>
              <w:autoSpaceDN w:val="0"/>
              <w:adjustRightInd w:val="0"/>
              <w:ind w:left="180" w:hanging="180"/>
              <w:rPr>
                <w:rFonts w:ascii="Times New Roman" w:eastAsia="Arial Unicode MS" w:hAnsi="Times New Roman" w:cs="Times New Roman"/>
                <w:sz w:val="18"/>
                <w:szCs w:val="18"/>
              </w:rPr>
            </w:pPr>
            <w:r w:rsidRPr="00471CBA">
              <w:rPr>
                <w:rFonts w:ascii="Times New Roman" w:eastAsia="Arial Unicode MS" w:hAnsi="Times New Roman" w:cs="Times New Roman"/>
                <w:sz w:val="18"/>
                <w:szCs w:val="18"/>
              </w:rPr>
              <w:t xml:space="preserve">   Madencilik ve Taş ocakçılığı</w:t>
            </w:r>
          </w:p>
        </w:tc>
        <w:tc>
          <w:tcPr>
            <w:tcW w:w="998" w:type="pct"/>
            <w:tcBorders>
              <w:top w:val="nil"/>
              <w:left w:val="nil"/>
              <w:bottom w:val="nil"/>
              <w:right w:val="nil"/>
            </w:tcBorders>
            <w:vAlign w:val="center"/>
          </w:tcPr>
          <w:p w14:paraId="62F1683F" w14:textId="206FAAFF"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lang w:eastAsia="en-US"/>
              </w:rPr>
            </w:pPr>
            <w:r w:rsidRPr="00471CBA">
              <w:rPr>
                <w:rFonts w:ascii="Times New Roman" w:hAnsi="Times New Roman" w:cs="Times New Roman"/>
                <w:color w:val="000000"/>
                <w:sz w:val="18"/>
                <w:szCs w:val="18"/>
              </w:rPr>
              <w:t>-</w:t>
            </w:r>
          </w:p>
        </w:tc>
        <w:tc>
          <w:tcPr>
            <w:tcW w:w="957" w:type="pct"/>
            <w:tcBorders>
              <w:top w:val="nil"/>
              <w:left w:val="nil"/>
              <w:bottom w:val="nil"/>
              <w:right w:val="nil"/>
            </w:tcBorders>
            <w:vAlign w:val="center"/>
          </w:tcPr>
          <w:p w14:paraId="623935DE" w14:textId="4A5ADC1F"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lang w:eastAsia="en-US"/>
              </w:rPr>
            </w:pPr>
            <w:r w:rsidRPr="00471CBA">
              <w:rPr>
                <w:rFonts w:ascii="Times New Roman" w:hAnsi="Times New Roman" w:cs="Times New Roman"/>
                <w:color w:val="000000"/>
                <w:sz w:val="18"/>
                <w:szCs w:val="18"/>
              </w:rPr>
              <w:t>2.393</w:t>
            </w:r>
          </w:p>
        </w:tc>
        <w:tc>
          <w:tcPr>
            <w:tcW w:w="1065" w:type="pct"/>
            <w:tcBorders>
              <w:top w:val="nil"/>
              <w:left w:val="nil"/>
              <w:bottom w:val="nil"/>
              <w:right w:val="nil"/>
            </w:tcBorders>
            <w:vAlign w:val="center"/>
          </w:tcPr>
          <w:p w14:paraId="47D45E97" w14:textId="20C9AFFC"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lang w:eastAsia="en-US"/>
              </w:rPr>
            </w:pPr>
            <w:r w:rsidRPr="00471CBA">
              <w:rPr>
                <w:rFonts w:ascii="Times New Roman" w:hAnsi="Times New Roman" w:cs="Times New Roman"/>
                <w:color w:val="000000"/>
                <w:sz w:val="18"/>
                <w:szCs w:val="18"/>
              </w:rPr>
              <w:t>2.393</w:t>
            </w:r>
          </w:p>
        </w:tc>
      </w:tr>
      <w:tr w:rsidR="0069337C" w:rsidRPr="00471CBA" w14:paraId="06977A96" w14:textId="77777777" w:rsidTr="00FF0B5D">
        <w:trPr>
          <w:trHeight w:val="113"/>
        </w:trPr>
        <w:tc>
          <w:tcPr>
            <w:tcW w:w="178" w:type="pct"/>
            <w:tcBorders>
              <w:top w:val="nil"/>
              <w:left w:val="nil"/>
              <w:bottom w:val="nil"/>
              <w:right w:val="nil"/>
            </w:tcBorders>
            <w:vAlign w:val="bottom"/>
            <w:hideMark/>
          </w:tcPr>
          <w:p w14:paraId="0A08D856" w14:textId="77777777" w:rsidR="0069337C" w:rsidRPr="00471CBA" w:rsidRDefault="0069337C" w:rsidP="0069337C">
            <w:pPr>
              <w:autoSpaceDE w:val="0"/>
              <w:autoSpaceDN w:val="0"/>
              <w:adjustRightInd w:val="0"/>
              <w:ind w:left="180" w:hanging="180"/>
              <w:rPr>
                <w:rFonts w:ascii="Times New Roman" w:eastAsia="Arial Unicode MS" w:hAnsi="Times New Roman" w:cs="Times New Roman"/>
                <w:sz w:val="18"/>
                <w:szCs w:val="18"/>
              </w:rPr>
            </w:pPr>
            <w:r w:rsidRPr="00471CBA">
              <w:rPr>
                <w:rFonts w:ascii="Times New Roman" w:eastAsia="Arial Unicode MS" w:hAnsi="Times New Roman" w:cs="Times New Roman"/>
                <w:sz w:val="18"/>
                <w:szCs w:val="18"/>
              </w:rPr>
              <w:t>2.2</w:t>
            </w:r>
          </w:p>
        </w:tc>
        <w:tc>
          <w:tcPr>
            <w:tcW w:w="1802" w:type="pct"/>
            <w:tcBorders>
              <w:top w:val="nil"/>
              <w:left w:val="nil"/>
              <w:bottom w:val="nil"/>
              <w:right w:val="nil"/>
            </w:tcBorders>
            <w:vAlign w:val="bottom"/>
            <w:hideMark/>
          </w:tcPr>
          <w:p w14:paraId="105FFE9D" w14:textId="77777777" w:rsidR="0069337C" w:rsidRPr="00471CBA" w:rsidRDefault="0069337C" w:rsidP="0069337C">
            <w:pPr>
              <w:autoSpaceDE w:val="0"/>
              <w:autoSpaceDN w:val="0"/>
              <w:adjustRightInd w:val="0"/>
              <w:ind w:left="180" w:hanging="180"/>
              <w:rPr>
                <w:rFonts w:ascii="Times New Roman" w:eastAsia="Arial Unicode MS" w:hAnsi="Times New Roman" w:cs="Times New Roman"/>
                <w:sz w:val="18"/>
                <w:szCs w:val="18"/>
              </w:rPr>
            </w:pPr>
            <w:r w:rsidRPr="00471CBA">
              <w:rPr>
                <w:rFonts w:ascii="Times New Roman" w:eastAsia="Arial Unicode MS" w:hAnsi="Times New Roman" w:cs="Times New Roman"/>
                <w:sz w:val="18"/>
                <w:szCs w:val="18"/>
              </w:rPr>
              <w:t xml:space="preserve">   İmalat Sanayi</w:t>
            </w:r>
          </w:p>
        </w:tc>
        <w:tc>
          <w:tcPr>
            <w:tcW w:w="998" w:type="pct"/>
            <w:tcBorders>
              <w:top w:val="nil"/>
              <w:left w:val="nil"/>
              <w:bottom w:val="nil"/>
              <w:right w:val="nil"/>
            </w:tcBorders>
            <w:vAlign w:val="center"/>
          </w:tcPr>
          <w:p w14:paraId="4DB77652" w14:textId="3251FA8E"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lang w:eastAsia="en-US"/>
              </w:rPr>
            </w:pPr>
            <w:r w:rsidRPr="00471CBA">
              <w:rPr>
                <w:rFonts w:ascii="Times New Roman" w:hAnsi="Times New Roman" w:cs="Times New Roman"/>
                <w:color w:val="000000"/>
                <w:sz w:val="18"/>
                <w:szCs w:val="18"/>
              </w:rPr>
              <w:t>245.596</w:t>
            </w:r>
          </w:p>
        </w:tc>
        <w:tc>
          <w:tcPr>
            <w:tcW w:w="957" w:type="pct"/>
            <w:tcBorders>
              <w:top w:val="nil"/>
              <w:left w:val="nil"/>
              <w:bottom w:val="nil"/>
              <w:right w:val="nil"/>
            </w:tcBorders>
            <w:vAlign w:val="center"/>
          </w:tcPr>
          <w:p w14:paraId="124304DA" w14:textId="154CEECA"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lang w:eastAsia="en-US"/>
              </w:rPr>
            </w:pPr>
            <w:r w:rsidRPr="00471CBA">
              <w:rPr>
                <w:rFonts w:ascii="Times New Roman" w:hAnsi="Times New Roman" w:cs="Times New Roman"/>
                <w:color w:val="000000"/>
                <w:sz w:val="18"/>
                <w:szCs w:val="18"/>
              </w:rPr>
              <w:t>163.781</w:t>
            </w:r>
          </w:p>
        </w:tc>
        <w:tc>
          <w:tcPr>
            <w:tcW w:w="1065" w:type="pct"/>
            <w:tcBorders>
              <w:top w:val="nil"/>
              <w:left w:val="nil"/>
              <w:bottom w:val="nil"/>
              <w:right w:val="nil"/>
            </w:tcBorders>
            <w:vAlign w:val="center"/>
          </w:tcPr>
          <w:p w14:paraId="301DE99A" w14:textId="741DE3EA"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lang w:eastAsia="en-US"/>
              </w:rPr>
            </w:pPr>
            <w:r w:rsidRPr="00471CBA">
              <w:rPr>
                <w:rFonts w:ascii="Times New Roman" w:hAnsi="Times New Roman" w:cs="Times New Roman"/>
                <w:color w:val="000000"/>
                <w:sz w:val="18"/>
                <w:szCs w:val="18"/>
              </w:rPr>
              <w:t>169.535</w:t>
            </w:r>
          </w:p>
        </w:tc>
      </w:tr>
      <w:tr w:rsidR="0069337C" w:rsidRPr="00471CBA" w14:paraId="21BADC64" w14:textId="77777777" w:rsidTr="00FF0B5D">
        <w:trPr>
          <w:trHeight w:val="113"/>
        </w:trPr>
        <w:tc>
          <w:tcPr>
            <w:tcW w:w="178" w:type="pct"/>
            <w:tcBorders>
              <w:top w:val="nil"/>
              <w:left w:val="nil"/>
              <w:bottom w:val="nil"/>
              <w:right w:val="nil"/>
            </w:tcBorders>
            <w:vAlign w:val="bottom"/>
            <w:hideMark/>
          </w:tcPr>
          <w:p w14:paraId="7C468476" w14:textId="77777777" w:rsidR="0069337C" w:rsidRPr="00471CBA" w:rsidRDefault="0069337C" w:rsidP="0069337C">
            <w:pPr>
              <w:autoSpaceDE w:val="0"/>
              <w:autoSpaceDN w:val="0"/>
              <w:adjustRightInd w:val="0"/>
              <w:ind w:left="112" w:hanging="112"/>
              <w:rPr>
                <w:rFonts w:ascii="Times New Roman" w:eastAsia="Arial Unicode MS" w:hAnsi="Times New Roman" w:cs="Times New Roman"/>
                <w:sz w:val="18"/>
                <w:szCs w:val="18"/>
              </w:rPr>
            </w:pPr>
            <w:r w:rsidRPr="00471CBA">
              <w:rPr>
                <w:rFonts w:ascii="Times New Roman" w:eastAsia="Arial Unicode MS" w:hAnsi="Times New Roman" w:cs="Times New Roman"/>
                <w:sz w:val="18"/>
                <w:szCs w:val="18"/>
              </w:rPr>
              <w:t>2.3</w:t>
            </w:r>
          </w:p>
        </w:tc>
        <w:tc>
          <w:tcPr>
            <w:tcW w:w="1802" w:type="pct"/>
            <w:tcBorders>
              <w:top w:val="nil"/>
              <w:left w:val="nil"/>
              <w:bottom w:val="nil"/>
              <w:right w:val="nil"/>
            </w:tcBorders>
            <w:vAlign w:val="bottom"/>
            <w:hideMark/>
          </w:tcPr>
          <w:p w14:paraId="38549702" w14:textId="77777777" w:rsidR="0069337C" w:rsidRPr="00471CBA" w:rsidRDefault="0069337C" w:rsidP="0069337C">
            <w:pPr>
              <w:autoSpaceDE w:val="0"/>
              <w:autoSpaceDN w:val="0"/>
              <w:adjustRightInd w:val="0"/>
              <w:ind w:left="112" w:hanging="112"/>
              <w:rPr>
                <w:rFonts w:ascii="Times New Roman" w:eastAsia="Arial Unicode MS" w:hAnsi="Times New Roman" w:cs="Times New Roman"/>
                <w:sz w:val="18"/>
                <w:szCs w:val="18"/>
              </w:rPr>
            </w:pPr>
            <w:r w:rsidRPr="00471CBA">
              <w:rPr>
                <w:rFonts w:ascii="Times New Roman" w:eastAsia="Arial Unicode MS" w:hAnsi="Times New Roman" w:cs="Times New Roman"/>
                <w:sz w:val="18"/>
                <w:szCs w:val="18"/>
              </w:rPr>
              <w:t xml:space="preserve">   Elektrik, Gaz, Su</w:t>
            </w:r>
          </w:p>
        </w:tc>
        <w:tc>
          <w:tcPr>
            <w:tcW w:w="998" w:type="pct"/>
            <w:tcBorders>
              <w:top w:val="nil"/>
              <w:left w:val="nil"/>
              <w:bottom w:val="nil"/>
              <w:right w:val="nil"/>
            </w:tcBorders>
            <w:vAlign w:val="center"/>
          </w:tcPr>
          <w:p w14:paraId="2031F02F" w14:textId="371F515D"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lang w:eastAsia="en-US"/>
              </w:rPr>
            </w:pPr>
            <w:r w:rsidRPr="00471CBA">
              <w:rPr>
                <w:rFonts w:ascii="Times New Roman" w:hAnsi="Times New Roman" w:cs="Times New Roman"/>
                <w:color w:val="000000"/>
                <w:sz w:val="18"/>
                <w:szCs w:val="18"/>
              </w:rPr>
              <w:t>-</w:t>
            </w:r>
          </w:p>
        </w:tc>
        <w:tc>
          <w:tcPr>
            <w:tcW w:w="957" w:type="pct"/>
            <w:tcBorders>
              <w:top w:val="nil"/>
              <w:left w:val="nil"/>
              <w:bottom w:val="nil"/>
              <w:right w:val="nil"/>
            </w:tcBorders>
            <w:vAlign w:val="center"/>
          </w:tcPr>
          <w:p w14:paraId="36D8075A" w14:textId="44137E8C"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lang w:eastAsia="en-US"/>
              </w:rPr>
            </w:pPr>
            <w:r w:rsidRPr="00471CBA">
              <w:rPr>
                <w:rFonts w:ascii="Times New Roman" w:hAnsi="Times New Roman" w:cs="Times New Roman"/>
                <w:color w:val="000000"/>
                <w:sz w:val="18"/>
                <w:szCs w:val="18"/>
              </w:rPr>
              <w:t>-</w:t>
            </w:r>
          </w:p>
        </w:tc>
        <w:tc>
          <w:tcPr>
            <w:tcW w:w="1065" w:type="pct"/>
            <w:tcBorders>
              <w:top w:val="nil"/>
              <w:left w:val="nil"/>
              <w:bottom w:val="nil"/>
              <w:right w:val="nil"/>
            </w:tcBorders>
            <w:vAlign w:val="center"/>
          </w:tcPr>
          <w:p w14:paraId="189EDE17" w14:textId="532F8E5D"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lang w:eastAsia="en-US"/>
              </w:rPr>
            </w:pPr>
            <w:r w:rsidRPr="00471CBA">
              <w:rPr>
                <w:rFonts w:ascii="Times New Roman" w:hAnsi="Times New Roman" w:cs="Times New Roman"/>
                <w:color w:val="000000"/>
                <w:sz w:val="18"/>
                <w:szCs w:val="18"/>
              </w:rPr>
              <w:t>-</w:t>
            </w:r>
          </w:p>
        </w:tc>
      </w:tr>
      <w:tr w:rsidR="0069337C" w:rsidRPr="00471CBA" w14:paraId="1F40E22F" w14:textId="77777777" w:rsidTr="00FF0B5D">
        <w:trPr>
          <w:trHeight w:val="113"/>
        </w:trPr>
        <w:tc>
          <w:tcPr>
            <w:tcW w:w="178" w:type="pct"/>
            <w:tcBorders>
              <w:top w:val="nil"/>
              <w:left w:val="nil"/>
              <w:bottom w:val="nil"/>
              <w:right w:val="nil"/>
            </w:tcBorders>
            <w:vAlign w:val="bottom"/>
            <w:hideMark/>
          </w:tcPr>
          <w:p w14:paraId="18A5BF79" w14:textId="77777777" w:rsidR="0069337C" w:rsidRPr="00471CBA" w:rsidRDefault="0069337C" w:rsidP="0069337C">
            <w:pPr>
              <w:autoSpaceDE w:val="0"/>
              <w:autoSpaceDN w:val="0"/>
              <w:adjustRightInd w:val="0"/>
              <w:rPr>
                <w:rFonts w:ascii="Times New Roman" w:eastAsia="Arial Unicode MS" w:hAnsi="Times New Roman" w:cs="Times New Roman"/>
                <w:b/>
                <w:sz w:val="18"/>
                <w:szCs w:val="18"/>
              </w:rPr>
            </w:pPr>
            <w:r w:rsidRPr="00471CBA">
              <w:rPr>
                <w:rFonts w:ascii="Times New Roman" w:eastAsia="Arial Unicode MS" w:hAnsi="Times New Roman" w:cs="Times New Roman"/>
                <w:b/>
                <w:sz w:val="18"/>
                <w:szCs w:val="18"/>
              </w:rPr>
              <w:t>3</w:t>
            </w:r>
          </w:p>
        </w:tc>
        <w:tc>
          <w:tcPr>
            <w:tcW w:w="1802" w:type="pct"/>
            <w:tcBorders>
              <w:top w:val="nil"/>
              <w:left w:val="nil"/>
              <w:bottom w:val="nil"/>
              <w:right w:val="nil"/>
            </w:tcBorders>
            <w:vAlign w:val="bottom"/>
            <w:hideMark/>
          </w:tcPr>
          <w:p w14:paraId="29AF41F3" w14:textId="77777777" w:rsidR="0069337C" w:rsidRPr="00471CBA" w:rsidRDefault="0069337C" w:rsidP="0069337C">
            <w:pPr>
              <w:autoSpaceDE w:val="0"/>
              <w:autoSpaceDN w:val="0"/>
              <w:adjustRightInd w:val="0"/>
              <w:rPr>
                <w:rFonts w:ascii="Times New Roman" w:eastAsia="Arial Unicode MS" w:hAnsi="Times New Roman" w:cs="Times New Roman"/>
                <w:b/>
                <w:sz w:val="18"/>
                <w:szCs w:val="18"/>
              </w:rPr>
            </w:pPr>
            <w:r w:rsidRPr="00471CBA">
              <w:rPr>
                <w:rFonts w:ascii="Times New Roman" w:eastAsia="Arial Unicode MS" w:hAnsi="Times New Roman" w:cs="Times New Roman"/>
                <w:b/>
                <w:sz w:val="18"/>
                <w:szCs w:val="18"/>
              </w:rPr>
              <w:t>İnşaat</w:t>
            </w:r>
          </w:p>
        </w:tc>
        <w:tc>
          <w:tcPr>
            <w:tcW w:w="998" w:type="pct"/>
            <w:tcBorders>
              <w:top w:val="nil"/>
              <w:left w:val="nil"/>
              <w:bottom w:val="nil"/>
              <w:right w:val="nil"/>
            </w:tcBorders>
            <w:vAlign w:val="center"/>
          </w:tcPr>
          <w:p w14:paraId="4381DB92" w14:textId="4F99C3FD" w:rsidR="0069337C" w:rsidRPr="00471CBA" w:rsidRDefault="0069337C" w:rsidP="0069337C">
            <w:pPr>
              <w:autoSpaceDE w:val="0"/>
              <w:autoSpaceDN w:val="0"/>
              <w:adjustRightInd w:val="0"/>
              <w:ind w:right="111"/>
              <w:jc w:val="right"/>
              <w:rPr>
                <w:rFonts w:ascii="Times New Roman" w:hAnsi="Times New Roman" w:cs="Times New Roman"/>
                <w:b/>
                <w:color w:val="000000"/>
                <w:sz w:val="18"/>
                <w:szCs w:val="18"/>
                <w:lang w:eastAsia="en-US"/>
              </w:rPr>
            </w:pPr>
            <w:r w:rsidRPr="00471CBA">
              <w:rPr>
                <w:rFonts w:ascii="Times New Roman" w:hAnsi="Times New Roman" w:cs="Times New Roman"/>
                <w:b/>
                <w:bCs/>
                <w:color w:val="000000"/>
                <w:sz w:val="18"/>
                <w:szCs w:val="18"/>
              </w:rPr>
              <w:t>29.529</w:t>
            </w:r>
          </w:p>
        </w:tc>
        <w:tc>
          <w:tcPr>
            <w:tcW w:w="957" w:type="pct"/>
            <w:tcBorders>
              <w:top w:val="nil"/>
              <w:left w:val="nil"/>
              <w:bottom w:val="nil"/>
              <w:right w:val="nil"/>
            </w:tcBorders>
            <w:vAlign w:val="center"/>
          </w:tcPr>
          <w:p w14:paraId="67D15723" w14:textId="09B8CCD8" w:rsidR="0069337C" w:rsidRPr="00471CBA" w:rsidRDefault="0069337C" w:rsidP="0069337C">
            <w:pPr>
              <w:autoSpaceDE w:val="0"/>
              <w:autoSpaceDN w:val="0"/>
              <w:adjustRightInd w:val="0"/>
              <w:ind w:right="111"/>
              <w:jc w:val="right"/>
              <w:rPr>
                <w:rFonts w:ascii="Times New Roman" w:hAnsi="Times New Roman" w:cs="Times New Roman"/>
                <w:b/>
                <w:color w:val="000000"/>
                <w:sz w:val="18"/>
                <w:szCs w:val="18"/>
                <w:lang w:eastAsia="en-US"/>
              </w:rPr>
            </w:pPr>
            <w:r w:rsidRPr="00471CBA">
              <w:rPr>
                <w:rFonts w:ascii="Times New Roman" w:hAnsi="Times New Roman" w:cs="Times New Roman"/>
                <w:b/>
                <w:bCs/>
                <w:color w:val="000000"/>
                <w:sz w:val="18"/>
                <w:szCs w:val="18"/>
              </w:rPr>
              <w:t>101.424</w:t>
            </w:r>
          </w:p>
        </w:tc>
        <w:tc>
          <w:tcPr>
            <w:tcW w:w="1065" w:type="pct"/>
            <w:tcBorders>
              <w:top w:val="nil"/>
              <w:left w:val="nil"/>
              <w:bottom w:val="nil"/>
              <w:right w:val="nil"/>
            </w:tcBorders>
            <w:vAlign w:val="center"/>
          </w:tcPr>
          <w:p w14:paraId="6508D784" w14:textId="71377E29" w:rsidR="0069337C" w:rsidRPr="00471CBA" w:rsidRDefault="0069337C" w:rsidP="0069337C">
            <w:pPr>
              <w:autoSpaceDE w:val="0"/>
              <w:autoSpaceDN w:val="0"/>
              <w:adjustRightInd w:val="0"/>
              <w:ind w:right="111"/>
              <w:jc w:val="right"/>
              <w:rPr>
                <w:rFonts w:ascii="Times New Roman" w:hAnsi="Times New Roman" w:cs="Times New Roman"/>
                <w:b/>
                <w:color w:val="000000"/>
                <w:sz w:val="18"/>
                <w:szCs w:val="18"/>
                <w:lang w:eastAsia="en-US"/>
              </w:rPr>
            </w:pPr>
            <w:r w:rsidRPr="00471CBA">
              <w:rPr>
                <w:rFonts w:ascii="Times New Roman" w:hAnsi="Times New Roman" w:cs="Times New Roman"/>
                <w:b/>
                <w:bCs/>
                <w:color w:val="000000"/>
                <w:sz w:val="18"/>
                <w:szCs w:val="18"/>
              </w:rPr>
              <w:t>101.492</w:t>
            </w:r>
          </w:p>
        </w:tc>
      </w:tr>
      <w:tr w:rsidR="0069337C" w:rsidRPr="00471CBA" w14:paraId="03BA5F0A" w14:textId="77777777" w:rsidTr="00FF0B5D">
        <w:trPr>
          <w:trHeight w:val="113"/>
        </w:trPr>
        <w:tc>
          <w:tcPr>
            <w:tcW w:w="178" w:type="pct"/>
            <w:tcBorders>
              <w:top w:val="nil"/>
              <w:left w:val="nil"/>
              <w:bottom w:val="nil"/>
              <w:right w:val="nil"/>
            </w:tcBorders>
            <w:vAlign w:val="bottom"/>
            <w:hideMark/>
          </w:tcPr>
          <w:p w14:paraId="1731E8E3" w14:textId="77777777" w:rsidR="0069337C" w:rsidRPr="00471CBA" w:rsidRDefault="0069337C" w:rsidP="0069337C">
            <w:pPr>
              <w:autoSpaceDE w:val="0"/>
              <w:autoSpaceDN w:val="0"/>
              <w:adjustRightInd w:val="0"/>
              <w:ind w:left="180" w:hanging="180"/>
              <w:rPr>
                <w:rFonts w:ascii="Times New Roman" w:eastAsia="Arial Unicode MS" w:hAnsi="Times New Roman" w:cs="Times New Roman"/>
                <w:b/>
                <w:sz w:val="18"/>
                <w:szCs w:val="18"/>
              </w:rPr>
            </w:pPr>
            <w:r w:rsidRPr="00471CBA">
              <w:rPr>
                <w:rFonts w:ascii="Times New Roman" w:eastAsia="Arial Unicode MS" w:hAnsi="Times New Roman" w:cs="Times New Roman"/>
                <w:b/>
                <w:sz w:val="18"/>
                <w:szCs w:val="18"/>
              </w:rPr>
              <w:t>4</w:t>
            </w:r>
          </w:p>
        </w:tc>
        <w:tc>
          <w:tcPr>
            <w:tcW w:w="1802" w:type="pct"/>
            <w:tcBorders>
              <w:top w:val="nil"/>
              <w:left w:val="nil"/>
              <w:bottom w:val="nil"/>
              <w:right w:val="nil"/>
            </w:tcBorders>
            <w:vAlign w:val="bottom"/>
            <w:hideMark/>
          </w:tcPr>
          <w:p w14:paraId="70C00EB3" w14:textId="77777777" w:rsidR="0069337C" w:rsidRPr="00471CBA" w:rsidRDefault="0069337C" w:rsidP="0069337C">
            <w:pPr>
              <w:autoSpaceDE w:val="0"/>
              <w:autoSpaceDN w:val="0"/>
              <w:adjustRightInd w:val="0"/>
              <w:ind w:left="180" w:hanging="180"/>
              <w:rPr>
                <w:rFonts w:ascii="Times New Roman" w:eastAsia="Arial Unicode MS" w:hAnsi="Times New Roman" w:cs="Times New Roman"/>
                <w:b/>
                <w:sz w:val="18"/>
                <w:szCs w:val="18"/>
              </w:rPr>
            </w:pPr>
            <w:r w:rsidRPr="00471CBA">
              <w:rPr>
                <w:rFonts w:ascii="Times New Roman" w:eastAsia="Arial Unicode MS" w:hAnsi="Times New Roman" w:cs="Times New Roman"/>
                <w:b/>
                <w:sz w:val="18"/>
                <w:szCs w:val="18"/>
              </w:rPr>
              <w:t>Hizmetler</w:t>
            </w:r>
          </w:p>
        </w:tc>
        <w:tc>
          <w:tcPr>
            <w:tcW w:w="998" w:type="pct"/>
            <w:tcBorders>
              <w:top w:val="nil"/>
              <w:left w:val="nil"/>
              <w:bottom w:val="nil"/>
              <w:right w:val="nil"/>
            </w:tcBorders>
            <w:vAlign w:val="center"/>
          </w:tcPr>
          <w:p w14:paraId="1300D8C0" w14:textId="2357FB15" w:rsidR="0069337C" w:rsidRPr="00471CBA" w:rsidRDefault="0069337C" w:rsidP="0069337C">
            <w:pPr>
              <w:autoSpaceDE w:val="0"/>
              <w:autoSpaceDN w:val="0"/>
              <w:adjustRightInd w:val="0"/>
              <w:ind w:right="111"/>
              <w:jc w:val="right"/>
              <w:rPr>
                <w:rFonts w:ascii="Times New Roman" w:hAnsi="Times New Roman" w:cs="Times New Roman"/>
                <w:b/>
                <w:color w:val="000000"/>
                <w:sz w:val="18"/>
                <w:szCs w:val="18"/>
                <w:lang w:eastAsia="en-US"/>
              </w:rPr>
            </w:pPr>
            <w:r w:rsidRPr="00471CBA">
              <w:rPr>
                <w:rFonts w:ascii="Times New Roman" w:hAnsi="Times New Roman" w:cs="Times New Roman"/>
                <w:b/>
                <w:bCs/>
                <w:color w:val="000000"/>
                <w:sz w:val="18"/>
                <w:szCs w:val="18"/>
              </w:rPr>
              <w:t>233.858</w:t>
            </w:r>
          </w:p>
        </w:tc>
        <w:tc>
          <w:tcPr>
            <w:tcW w:w="957" w:type="pct"/>
            <w:tcBorders>
              <w:top w:val="nil"/>
              <w:left w:val="nil"/>
              <w:bottom w:val="nil"/>
              <w:right w:val="nil"/>
            </w:tcBorders>
            <w:vAlign w:val="center"/>
          </w:tcPr>
          <w:p w14:paraId="2287EAA2" w14:textId="43494708" w:rsidR="0069337C" w:rsidRPr="00471CBA" w:rsidRDefault="0069337C" w:rsidP="0069337C">
            <w:pPr>
              <w:autoSpaceDE w:val="0"/>
              <w:autoSpaceDN w:val="0"/>
              <w:adjustRightInd w:val="0"/>
              <w:ind w:right="111"/>
              <w:jc w:val="right"/>
              <w:rPr>
                <w:rFonts w:ascii="Times New Roman" w:hAnsi="Times New Roman" w:cs="Times New Roman"/>
                <w:b/>
                <w:color w:val="000000"/>
                <w:sz w:val="18"/>
                <w:szCs w:val="18"/>
                <w:lang w:eastAsia="en-US"/>
              </w:rPr>
            </w:pPr>
            <w:r w:rsidRPr="00471CBA">
              <w:rPr>
                <w:rFonts w:ascii="Times New Roman" w:hAnsi="Times New Roman" w:cs="Times New Roman"/>
                <w:b/>
                <w:bCs/>
                <w:color w:val="000000"/>
                <w:sz w:val="18"/>
                <w:szCs w:val="18"/>
              </w:rPr>
              <w:t>111.728</w:t>
            </w:r>
          </w:p>
        </w:tc>
        <w:tc>
          <w:tcPr>
            <w:tcW w:w="1065" w:type="pct"/>
            <w:tcBorders>
              <w:top w:val="nil"/>
              <w:left w:val="nil"/>
              <w:bottom w:val="nil"/>
              <w:right w:val="nil"/>
            </w:tcBorders>
            <w:vAlign w:val="center"/>
          </w:tcPr>
          <w:p w14:paraId="53411B1F" w14:textId="6D97C528" w:rsidR="0069337C" w:rsidRPr="00471CBA" w:rsidRDefault="0069337C" w:rsidP="0069337C">
            <w:pPr>
              <w:autoSpaceDE w:val="0"/>
              <w:autoSpaceDN w:val="0"/>
              <w:adjustRightInd w:val="0"/>
              <w:ind w:right="111"/>
              <w:jc w:val="right"/>
              <w:rPr>
                <w:rFonts w:ascii="Times New Roman" w:hAnsi="Times New Roman" w:cs="Times New Roman"/>
                <w:b/>
                <w:color w:val="000000"/>
                <w:sz w:val="18"/>
                <w:szCs w:val="18"/>
                <w:lang w:eastAsia="en-US"/>
              </w:rPr>
            </w:pPr>
            <w:r w:rsidRPr="00471CBA">
              <w:rPr>
                <w:rFonts w:ascii="Times New Roman" w:hAnsi="Times New Roman" w:cs="Times New Roman"/>
                <w:b/>
                <w:bCs/>
                <w:color w:val="000000"/>
                <w:sz w:val="18"/>
                <w:szCs w:val="18"/>
              </w:rPr>
              <w:t>119.805</w:t>
            </w:r>
          </w:p>
        </w:tc>
      </w:tr>
      <w:tr w:rsidR="0069337C" w:rsidRPr="00471CBA" w14:paraId="38DD1F58" w14:textId="77777777" w:rsidTr="00FF0B5D">
        <w:trPr>
          <w:trHeight w:val="113"/>
        </w:trPr>
        <w:tc>
          <w:tcPr>
            <w:tcW w:w="178" w:type="pct"/>
            <w:tcBorders>
              <w:top w:val="nil"/>
              <w:left w:val="nil"/>
              <w:bottom w:val="nil"/>
              <w:right w:val="nil"/>
            </w:tcBorders>
            <w:vAlign w:val="bottom"/>
            <w:hideMark/>
          </w:tcPr>
          <w:p w14:paraId="1FDCAFE4" w14:textId="77777777" w:rsidR="0069337C" w:rsidRPr="00471CBA" w:rsidRDefault="0069337C" w:rsidP="0069337C">
            <w:pPr>
              <w:autoSpaceDE w:val="0"/>
              <w:autoSpaceDN w:val="0"/>
              <w:adjustRightInd w:val="0"/>
              <w:ind w:left="180" w:hanging="180"/>
              <w:rPr>
                <w:rFonts w:ascii="Times New Roman" w:eastAsia="Arial Unicode MS" w:hAnsi="Times New Roman" w:cs="Times New Roman"/>
                <w:sz w:val="18"/>
                <w:szCs w:val="18"/>
              </w:rPr>
            </w:pPr>
            <w:r w:rsidRPr="00471CBA">
              <w:rPr>
                <w:rFonts w:ascii="Times New Roman" w:eastAsia="Arial Unicode MS" w:hAnsi="Times New Roman" w:cs="Times New Roman"/>
                <w:sz w:val="18"/>
                <w:szCs w:val="18"/>
              </w:rPr>
              <w:t>4.1</w:t>
            </w:r>
          </w:p>
        </w:tc>
        <w:tc>
          <w:tcPr>
            <w:tcW w:w="1802" w:type="pct"/>
            <w:tcBorders>
              <w:top w:val="nil"/>
              <w:left w:val="nil"/>
              <w:bottom w:val="nil"/>
              <w:right w:val="nil"/>
            </w:tcBorders>
            <w:vAlign w:val="bottom"/>
            <w:hideMark/>
          </w:tcPr>
          <w:p w14:paraId="70548C93" w14:textId="77777777" w:rsidR="0069337C" w:rsidRPr="00471CBA" w:rsidRDefault="0069337C" w:rsidP="0069337C">
            <w:pPr>
              <w:autoSpaceDE w:val="0"/>
              <w:autoSpaceDN w:val="0"/>
              <w:adjustRightInd w:val="0"/>
              <w:ind w:left="180" w:hanging="180"/>
              <w:rPr>
                <w:rFonts w:ascii="Times New Roman" w:eastAsia="Arial Unicode MS" w:hAnsi="Times New Roman" w:cs="Times New Roman"/>
                <w:sz w:val="18"/>
                <w:szCs w:val="18"/>
              </w:rPr>
            </w:pPr>
            <w:r w:rsidRPr="00471CBA">
              <w:rPr>
                <w:rFonts w:ascii="Times New Roman" w:eastAsia="Arial Unicode MS" w:hAnsi="Times New Roman" w:cs="Times New Roman"/>
                <w:sz w:val="18"/>
                <w:szCs w:val="18"/>
              </w:rPr>
              <w:t xml:space="preserve">   Toptan ve Perakende Ticaret</w:t>
            </w:r>
          </w:p>
        </w:tc>
        <w:tc>
          <w:tcPr>
            <w:tcW w:w="998" w:type="pct"/>
            <w:tcBorders>
              <w:top w:val="nil"/>
              <w:left w:val="nil"/>
              <w:bottom w:val="nil"/>
              <w:right w:val="nil"/>
            </w:tcBorders>
            <w:vAlign w:val="center"/>
          </w:tcPr>
          <w:p w14:paraId="76A1DFEE" w14:textId="53A65057"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lang w:eastAsia="en-US"/>
              </w:rPr>
            </w:pPr>
            <w:r w:rsidRPr="00471CBA">
              <w:rPr>
                <w:rFonts w:ascii="Times New Roman" w:hAnsi="Times New Roman" w:cs="Times New Roman"/>
                <w:color w:val="000000"/>
                <w:sz w:val="18"/>
                <w:szCs w:val="18"/>
              </w:rPr>
              <w:t>44.314</w:t>
            </w:r>
          </w:p>
        </w:tc>
        <w:tc>
          <w:tcPr>
            <w:tcW w:w="957" w:type="pct"/>
            <w:tcBorders>
              <w:top w:val="nil"/>
              <w:left w:val="nil"/>
              <w:bottom w:val="nil"/>
              <w:right w:val="nil"/>
            </w:tcBorders>
            <w:vAlign w:val="center"/>
          </w:tcPr>
          <w:p w14:paraId="3B18A978" w14:textId="72D362F6"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lang w:eastAsia="en-US"/>
              </w:rPr>
            </w:pPr>
            <w:r w:rsidRPr="00471CBA">
              <w:rPr>
                <w:rFonts w:ascii="Times New Roman" w:hAnsi="Times New Roman" w:cs="Times New Roman"/>
                <w:color w:val="000000"/>
                <w:sz w:val="18"/>
                <w:szCs w:val="18"/>
              </w:rPr>
              <w:t>5.028</w:t>
            </w:r>
          </w:p>
        </w:tc>
        <w:tc>
          <w:tcPr>
            <w:tcW w:w="1065" w:type="pct"/>
            <w:tcBorders>
              <w:top w:val="nil"/>
              <w:left w:val="nil"/>
              <w:bottom w:val="nil"/>
              <w:right w:val="nil"/>
            </w:tcBorders>
            <w:vAlign w:val="center"/>
          </w:tcPr>
          <w:p w14:paraId="3C2A2BBF" w14:textId="36EFFE57"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lang w:eastAsia="en-US"/>
              </w:rPr>
            </w:pPr>
            <w:r w:rsidRPr="00471CBA">
              <w:rPr>
                <w:rFonts w:ascii="Times New Roman" w:hAnsi="Times New Roman" w:cs="Times New Roman"/>
                <w:color w:val="000000"/>
                <w:sz w:val="18"/>
                <w:szCs w:val="18"/>
              </w:rPr>
              <w:t>5.436</w:t>
            </w:r>
          </w:p>
        </w:tc>
      </w:tr>
      <w:tr w:rsidR="0069337C" w:rsidRPr="00471CBA" w14:paraId="57EED495" w14:textId="77777777" w:rsidTr="00FF0B5D">
        <w:trPr>
          <w:trHeight w:val="113"/>
        </w:trPr>
        <w:tc>
          <w:tcPr>
            <w:tcW w:w="178" w:type="pct"/>
            <w:tcBorders>
              <w:top w:val="nil"/>
              <w:left w:val="nil"/>
              <w:bottom w:val="nil"/>
              <w:right w:val="nil"/>
            </w:tcBorders>
            <w:vAlign w:val="bottom"/>
            <w:hideMark/>
          </w:tcPr>
          <w:p w14:paraId="16084E76" w14:textId="77777777" w:rsidR="0069337C" w:rsidRPr="00471CBA" w:rsidRDefault="0069337C" w:rsidP="0069337C">
            <w:pPr>
              <w:autoSpaceDE w:val="0"/>
              <w:autoSpaceDN w:val="0"/>
              <w:adjustRightInd w:val="0"/>
              <w:ind w:left="180" w:hanging="180"/>
              <w:rPr>
                <w:rFonts w:ascii="Times New Roman" w:eastAsia="Arial Unicode MS" w:hAnsi="Times New Roman" w:cs="Times New Roman"/>
                <w:sz w:val="18"/>
                <w:szCs w:val="18"/>
              </w:rPr>
            </w:pPr>
            <w:r w:rsidRPr="00471CBA">
              <w:rPr>
                <w:rFonts w:ascii="Times New Roman" w:eastAsia="Arial Unicode MS" w:hAnsi="Times New Roman" w:cs="Times New Roman"/>
                <w:sz w:val="18"/>
                <w:szCs w:val="18"/>
              </w:rPr>
              <w:t>4.2</w:t>
            </w:r>
          </w:p>
        </w:tc>
        <w:tc>
          <w:tcPr>
            <w:tcW w:w="1802" w:type="pct"/>
            <w:tcBorders>
              <w:top w:val="nil"/>
              <w:left w:val="nil"/>
              <w:bottom w:val="nil"/>
              <w:right w:val="nil"/>
            </w:tcBorders>
            <w:vAlign w:val="bottom"/>
            <w:hideMark/>
          </w:tcPr>
          <w:p w14:paraId="57B6B006" w14:textId="77777777" w:rsidR="0069337C" w:rsidRPr="00471CBA" w:rsidRDefault="0069337C" w:rsidP="0069337C">
            <w:pPr>
              <w:autoSpaceDE w:val="0"/>
              <w:autoSpaceDN w:val="0"/>
              <w:adjustRightInd w:val="0"/>
              <w:ind w:left="180" w:hanging="180"/>
              <w:rPr>
                <w:rFonts w:ascii="Times New Roman" w:eastAsia="Arial Unicode MS" w:hAnsi="Times New Roman" w:cs="Times New Roman"/>
                <w:sz w:val="18"/>
                <w:szCs w:val="18"/>
              </w:rPr>
            </w:pPr>
            <w:r w:rsidRPr="00471CBA">
              <w:rPr>
                <w:rFonts w:ascii="Times New Roman" w:eastAsia="Arial Unicode MS" w:hAnsi="Times New Roman" w:cs="Times New Roman"/>
                <w:sz w:val="18"/>
                <w:szCs w:val="18"/>
              </w:rPr>
              <w:t xml:space="preserve">   Otel ve Lokanta Hizmetleri</w:t>
            </w:r>
          </w:p>
        </w:tc>
        <w:tc>
          <w:tcPr>
            <w:tcW w:w="998" w:type="pct"/>
            <w:tcBorders>
              <w:top w:val="nil"/>
              <w:left w:val="nil"/>
              <w:bottom w:val="nil"/>
              <w:right w:val="nil"/>
            </w:tcBorders>
            <w:vAlign w:val="center"/>
          </w:tcPr>
          <w:p w14:paraId="168BC800" w14:textId="1DB5F164"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lang w:eastAsia="en-US"/>
              </w:rPr>
            </w:pPr>
            <w:r w:rsidRPr="00471CBA">
              <w:rPr>
                <w:rFonts w:ascii="Times New Roman" w:hAnsi="Times New Roman" w:cs="Times New Roman"/>
                <w:color w:val="000000"/>
                <w:sz w:val="18"/>
                <w:szCs w:val="18"/>
              </w:rPr>
              <w:t>-</w:t>
            </w:r>
          </w:p>
        </w:tc>
        <w:tc>
          <w:tcPr>
            <w:tcW w:w="957" w:type="pct"/>
            <w:tcBorders>
              <w:top w:val="nil"/>
              <w:left w:val="nil"/>
              <w:bottom w:val="nil"/>
              <w:right w:val="nil"/>
            </w:tcBorders>
            <w:vAlign w:val="center"/>
          </w:tcPr>
          <w:p w14:paraId="0B84581C" w14:textId="083D4284"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lang w:eastAsia="en-US"/>
              </w:rPr>
            </w:pPr>
            <w:r w:rsidRPr="00471CBA">
              <w:rPr>
                <w:rFonts w:ascii="Times New Roman" w:hAnsi="Times New Roman" w:cs="Times New Roman"/>
                <w:color w:val="000000"/>
                <w:sz w:val="18"/>
                <w:szCs w:val="18"/>
              </w:rPr>
              <w:t>-</w:t>
            </w:r>
          </w:p>
        </w:tc>
        <w:tc>
          <w:tcPr>
            <w:tcW w:w="1065" w:type="pct"/>
            <w:tcBorders>
              <w:top w:val="nil"/>
              <w:left w:val="nil"/>
              <w:bottom w:val="nil"/>
              <w:right w:val="nil"/>
            </w:tcBorders>
            <w:vAlign w:val="center"/>
          </w:tcPr>
          <w:p w14:paraId="6F34CECF" w14:textId="3A465461"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lang w:eastAsia="en-US"/>
              </w:rPr>
            </w:pPr>
            <w:r w:rsidRPr="00471CBA">
              <w:rPr>
                <w:rFonts w:ascii="Times New Roman" w:hAnsi="Times New Roman" w:cs="Times New Roman"/>
                <w:color w:val="000000"/>
                <w:sz w:val="18"/>
                <w:szCs w:val="18"/>
              </w:rPr>
              <w:t>-</w:t>
            </w:r>
          </w:p>
        </w:tc>
      </w:tr>
      <w:tr w:rsidR="0069337C" w:rsidRPr="00471CBA" w14:paraId="595C4254" w14:textId="77777777" w:rsidTr="00FF0B5D">
        <w:trPr>
          <w:trHeight w:val="113"/>
        </w:trPr>
        <w:tc>
          <w:tcPr>
            <w:tcW w:w="178" w:type="pct"/>
            <w:tcBorders>
              <w:top w:val="nil"/>
              <w:left w:val="nil"/>
              <w:bottom w:val="nil"/>
              <w:right w:val="nil"/>
            </w:tcBorders>
            <w:vAlign w:val="bottom"/>
            <w:hideMark/>
          </w:tcPr>
          <w:p w14:paraId="005E3BDD" w14:textId="77777777" w:rsidR="0069337C" w:rsidRPr="00471CBA" w:rsidRDefault="0069337C" w:rsidP="0069337C">
            <w:pPr>
              <w:autoSpaceDE w:val="0"/>
              <w:autoSpaceDN w:val="0"/>
              <w:adjustRightInd w:val="0"/>
              <w:ind w:left="180" w:hanging="180"/>
              <w:rPr>
                <w:rFonts w:ascii="Times New Roman" w:eastAsia="Arial Unicode MS" w:hAnsi="Times New Roman" w:cs="Times New Roman"/>
                <w:sz w:val="18"/>
                <w:szCs w:val="18"/>
              </w:rPr>
            </w:pPr>
            <w:r w:rsidRPr="00471CBA">
              <w:rPr>
                <w:rFonts w:ascii="Times New Roman" w:eastAsia="Arial Unicode MS" w:hAnsi="Times New Roman" w:cs="Times New Roman"/>
                <w:sz w:val="18"/>
                <w:szCs w:val="18"/>
              </w:rPr>
              <w:t>4.3</w:t>
            </w:r>
          </w:p>
        </w:tc>
        <w:tc>
          <w:tcPr>
            <w:tcW w:w="1802" w:type="pct"/>
            <w:tcBorders>
              <w:top w:val="nil"/>
              <w:left w:val="nil"/>
              <w:bottom w:val="nil"/>
              <w:right w:val="nil"/>
            </w:tcBorders>
            <w:vAlign w:val="bottom"/>
            <w:hideMark/>
          </w:tcPr>
          <w:p w14:paraId="3A2B37B2" w14:textId="77777777" w:rsidR="0069337C" w:rsidRPr="00471CBA" w:rsidRDefault="0069337C" w:rsidP="0069337C">
            <w:pPr>
              <w:autoSpaceDE w:val="0"/>
              <w:autoSpaceDN w:val="0"/>
              <w:adjustRightInd w:val="0"/>
              <w:ind w:left="180" w:hanging="180"/>
              <w:rPr>
                <w:rFonts w:ascii="Times New Roman" w:eastAsia="Arial Unicode MS" w:hAnsi="Times New Roman" w:cs="Times New Roman"/>
                <w:sz w:val="18"/>
                <w:szCs w:val="18"/>
              </w:rPr>
            </w:pPr>
            <w:r w:rsidRPr="00471CBA">
              <w:rPr>
                <w:rFonts w:ascii="Times New Roman" w:eastAsia="Arial Unicode MS" w:hAnsi="Times New Roman" w:cs="Times New Roman"/>
                <w:sz w:val="18"/>
                <w:szCs w:val="18"/>
              </w:rPr>
              <w:t xml:space="preserve">   Ulaştırma ve Haberleşme</w:t>
            </w:r>
          </w:p>
        </w:tc>
        <w:tc>
          <w:tcPr>
            <w:tcW w:w="998" w:type="pct"/>
            <w:tcBorders>
              <w:top w:val="nil"/>
              <w:left w:val="nil"/>
              <w:bottom w:val="nil"/>
              <w:right w:val="nil"/>
            </w:tcBorders>
            <w:vAlign w:val="center"/>
          </w:tcPr>
          <w:p w14:paraId="27047A2A" w14:textId="5EFC0FE9"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lang w:eastAsia="en-US"/>
              </w:rPr>
            </w:pPr>
            <w:r w:rsidRPr="00471CBA">
              <w:rPr>
                <w:rFonts w:ascii="Times New Roman" w:hAnsi="Times New Roman" w:cs="Times New Roman"/>
                <w:color w:val="000000"/>
                <w:sz w:val="18"/>
                <w:szCs w:val="18"/>
              </w:rPr>
              <w:t>9.589</w:t>
            </w:r>
          </w:p>
        </w:tc>
        <w:tc>
          <w:tcPr>
            <w:tcW w:w="957" w:type="pct"/>
            <w:tcBorders>
              <w:top w:val="nil"/>
              <w:left w:val="nil"/>
              <w:bottom w:val="nil"/>
              <w:right w:val="nil"/>
            </w:tcBorders>
            <w:vAlign w:val="center"/>
          </w:tcPr>
          <w:p w14:paraId="71CF5E98" w14:textId="6E8981D8"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lang w:eastAsia="en-US"/>
              </w:rPr>
            </w:pPr>
            <w:r w:rsidRPr="00471CBA">
              <w:rPr>
                <w:rFonts w:ascii="Times New Roman" w:hAnsi="Times New Roman" w:cs="Times New Roman"/>
                <w:color w:val="000000"/>
                <w:sz w:val="18"/>
                <w:szCs w:val="18"/>
              </w:rPr>
              <w:t>104.677</w:t>
            </w:r>
          </w:p>
        </w:tc>
        <w:tc>
          <w:tcPr>
            <w:tcW w:w="1065" w:type="pct"/>
            <w:tcBorders>
              <w:top w:val="nil"/>
              <w:left w:val="nil"/>
              <w:bottom w:val="nil"/>
              <w:right w:val="nil"/>
            </w:tcBorders>
            <w:vAlign w:val="center"/>
          </w:tcPr>
          <w:p w14:paraId="3B6CD60B" w14:textId="4455E0D2"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lang w:eastAsia="en-US"/>
              </w:rPr>
            </w:pPr>
            <w:r w:rsidRPr="00471CBA">
              <w:rPr>
                <w:rFonts w:ascii="Times New Roman" w:hAnsi="Times New Roman" w:cs="Times New Roman"/>
                <w:color w:val="000000"/>
                <w:sz w:val="18"/>
                <w:szCs w:val="18"/>
              </w:rPr>
              <w:t>105.424</w:t>
            </w:r>
          </w:p>
        </w:tc>
      </w:tr>
      <w:tr w:rsidR="0069337C" w:rsidRPr="00471CBA" w14:paraId="591DFB8F" w14:textId="77777777" w:rsidTr="00FF0B5D">
        <w:trPr>
          <w:trHeight w:val="113"/>
        </w:trPr>
        <w:tc>
          <w:tcPr>
            <w:tcW w:w="178" w:type="pct"/>
            <w:tcBorders>
              <w:top w:val="nil"/>
              <w:left w:val="nil"/>
              <w:bottom w:val="nil"/>
              <w:right w:val="nil"/>
            </w:tcBorders>
            <w:vAlign w:val="bottom"/>
            <w:hideMark/>
          </w:tcPr>
          <w:p w14:paraId="436984A8" w14:textId="77777777" w:rsidR="0069337C" w:rsidRPr="00471CBA" w:rsidRDefault="0069337C" w:rsidP="0069337C">
            <w:pPr>
              <w:autoSpaceDE w:val="0"/>
              <w:autoSpaceDN w:val="0"/>
              <w:adjustRightInd w:val="0"/>
              <w:ind w:left="180" w:hanging="180"/>
              <w:rPr>
                <w:rFonts w:ascii="Times New Roman" w:eastAsia="Arial Unicode MS" w:hAnsi="Times New Roman" w:cs="Times New Roman"/>
                <w:sz w:val="18"/>
                <w:szCs w:val="18"/>
              </w:rPr>
            </w:pPr>
            <w:r w:rsidRPr="00471CBA">
              <w:rPr>
                <w:rFonts w:ascii="Times New Roman" w:eastAsia="Arial Unicode MS" w:hAnsi="Times New Roman" w:cs="Times New Roman"/>
                <w:sz w:val="18"/>
                <w:szCs w:val="18"/>
              </w:rPr>
              <w:t>4.4</w:t>
            </w:r>
          </w:p>
        </w:tc>
        <w:tc>
          <w:tcPr>
            <w:tcW w:w="1802" w:type="pct"/>
            <w:tcBorders>
              <w:top w:val="nil"/>
              <w:left w:val="nil"/>
              <w:bottom w:val="nil"/>
              <w:right w:val="nil"/>
            </w:tcBorders>
            <w:vAlign w:val="bottom"/>
            <w:hideMark/>
          </w:tcPr>
          <w:p w14:paraId="4212E956" w14:textId="77777777" w:rsidR="0069337C" w:rsidRPr="00471CBA" w:rsidRDefault="0069337C" w:rsidP="0069337C">
            <w:pPr>
              <w:autoSpaceDE w:val="0"/>
              <w:autoSpaceDN w:val="0"/>
              <w:adjustRightInd w:val="0"/>
              <w:ind w:left="180" w:hanging="180"/>
              <w:rPr>
                <w:rFonts w:ascii="Times New Roman" w:eastAsia="Arial Unicode MS" w:hAnsi="Times New Roman" w:cs="Times New Roman"/>
                <w:sz w:val="18"/>
                <w:szCs w:val="18"/>
              </w:rPr>
            </w:pPr>
            <w:r w:rsidRPr="00471CBA">
              <w:rPr>
                <w:rFonts w:ascii="Times New Roman" w:eastAsia="Arial Unicode MS" w:hAnsi="Times New Roman" w:cs="Times New Roman"/>
                <w:sz w:val="18"/>
                <w:szCs w:val="18"/>
              </w:rPr>
              <w:t xml:space="preserve">   Mali Kuruluşlar</w:t>
            </w:r>
          </w:p>
        </w:tc>
        <w:tc>
          <w:tcPr>
            <w:tcW w:w="998" w:type="pct"/>
            <w:tcBorders>
              <w:top w:val="nil"/>
              <w:left w:val="nil"/>
              <w:bottom w:val="nil"/>
              <w:right w:val="nil"/>
            </w:tcBorders>
            <w:vAlign w:val="center"/>
          </w:tcPr>
          <w:p w14:paraId="6A8E6CF2" w14:textId="3A8F1FE5"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lang w:eastAsia="en-US"/>
              </w:rPr>
            </w:pPr>
            <w:r w:rsidRPr="00471CBA">
              <w:rPr>
                <w:rFonts w:ascii="Times New Roman" w:hAnsi="Times New Roman" w:cs="Times New Roman"/>
                <w:color w:val="000000"/>
                <w:sz w:val="18"/>
                <w:szCs w:val="18"/>
              </w:rPr>
              <w:t>-</w:t>
            </w:r>
          </w:p>
        </w:tc>
        <w:tc>
          <w:tcPr>
            <w:tcW w:w="957" w:type="pct"/>
            <w:tcBorders>
              <w:top w:val="nil"/>
              <w:left w:val="nil"/>
              <w:bottom w:val="nil"/>
              <w:right w:val="nil"/>
            </w:tcBorders>
            <w:vAlign w:val="center"/>
          </w:tcPr>
          <w:p w14:paraId="74F65E8C" w14:textId="419B51A8"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lang w:eastAsia="en-US"/>
              </w:rPr>
            </w:pPr>
            <w:r w:rsidRPr="00471CBA">
              <w:rPr>
                <w:rFonts w:ascii="Times New Roman" w:hAnsi="Times New Roman" w:cs="Times New Roman"/>
                <w:color w:val="000000"/>
                <w:sz w:val="18"/>
                <w:szCs w:val="18"/>
              </w:rPr>
              <w:t>-</w:t>
            </w:r>
          </w:p>
        </w:tc>
        <w:tc>
          <w:tcPr>
            <w:tcW w:w="1065" w:type="pct"/>
            <w:tcBorders>
              <w:top w:val="nil"/>
              <w:left w:val="nil"/>
              <w:bottom w:val="nil"/>
              <w:right w:val="nil"/>
            </w:tcBorders>
            <w:vAlign w:val="center"/>
          </w:tcPr>
          <w:p w14:paraId="2A960A83" w14:textId="37323FC0"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lang w:eastAsia="en-US"/>
              </w:rPr>
            </w:pPr>
            <w:r w:rsidRPr="00471CBA">
              <w:rPr>
                <w:rFonts w:ascii="Times New Roman" w:hAnsi="Times New Roman" w:cs="Times New Roman"/>
                <w:color w:val="000000"/>
                <w:sz w:val="18"/>
                <w:szCs w:val="18"/>
              </w:rPr>
              <w:t>-</w:t>
            </w:r>
          </w:p>
        </w:tc>
      </w:tr>
      <w:tr w:rsidR="0069337C" w:rsidRPr="00471CBA" w14:paraId="6AC2BC44" w14:textId="77777777" w:rsidTr="00FF0B5D">
        <w:trPr>
          <w:trHeight w:val="113"/>
        </w:trPr>
        <w:tc>
          <w:tcPr>
            <w:tcW w:w="178" w:type="pct"/>
            <w:tcBorders>
              <w:top w:val="nil"/>
              <w:left w:val="nil"/>
              <w:bottom w:val="nil"/>
              <w:right w:val="nil"/>
            </w:tcBorders>
            <w:vAlign w:val="bottom"/>
            <w:hideMark/>
          </w:tcPr>
          <w:p w14:paraId="6E489116" w14:textId="77777777" w:rsidR="0069337C" w:rsidRPr="00471CBA" w:rsidRDefault="0069337C" w:rsidP="0069337C">
            <w:pPr>
              <w:autoSpaceDE w:val="0"/>
              <w:autoSpaceDN w:val="0"/>
              <w:adjustRightInd w:val="0"/>
              <w:ind w:left="180" w:hanging="180"/>
              <w:rPr>
                <w:rFonts w:ascii="Times New Roman" w:eastAsia="Arial Unicode MS" w:hAnsi="Times New Roman" w:cs="Times New Roman"/>
                <w:sz w:val="18"/>
                <w:szCs w:val="18"/>
              </w:rPr>
            </w:pPr>
            <w:r w:rsidRPr="00471CBA">
              <w:rPr>
                <w:rFonts w:ascii="Times New Roman" w:eastAsia="Arial Unicode MS" w:hAnsi="Times New Roman" w:cs="Times New Roman"/>
                <w:sz w:val="18"/>
                <w:szCs w:val="18"/>
              </w:rPr>
              <w:t>4.5</w:t>
            </w:r>
          </w:p>
        </w:tc>
        <w:tc>
          <w:tcPr>
            <w:tcW w:w="1802" w:type="pct"/>
            <w:tcBorders>
              <w:top w:val="nil"/>
              <w:left w:val="nil"/>
              <w:bottom w:val="nil"/>
              <w:right w:val="nil"/>
            </w:tcBorders>
            <w:vAlign w:val="bottom"/>
            <w:hideMark/>
          </w:tcPr>
          <w:p w14:paraId="70F2E7A9" w14:textId="77777777" w:rsidR="0069337C" w:rsidRPr="00471CBA" w:rsidRDefault="0069337C" w:rsidP="0069337C">
            <w:pPr>
              <w:autoSpaceDE w:val="0"/>
              <w:autoSpaceDN w:val="0"/>
              <w:adjustRightInd w:val="0"/>
              <w:ind w:left="180" w:hanging="180"/>
              <w:rPr>
                <w:rFonts w:ascii="Times New Roman" w:eastAsia="Arial Unicode MS" w:hAnsi="Times New Roman" w:cs="Times New Roman"/>
                <w:sz w:val="18"/>
                <w:szCs w:val="18"/>
              </w:rPr>
            </w:pPr>
            <w:r w:rsidRPr="00471CBA">
              <w:rPr>
                <w:rFonts w:ascii="Times New Roman" w:eastAsia="Arial Unicode MS" w:hAnsi="Times New Roman" w:cs="Times New Roman"/>
                <w:sz w:val="18"/>
                <w:szCs w:val="18"/>
              </w:rPr>
              <w:t xml:space="preserve">   Gayrimenkul ve Kira. </w:t>
            </w:r>
            <w:proofErr w:type="spellStart"/>
            <w:r w:rsidRPr="00471CBA">
              <w:rPr>
                <w:rFonts w:ascii="Times New Roman" w:eastAsia="Arial Unicode MS" w:hAnsi="Times New Roman" w:cs="Times New Roman"/>
                <w:sz w:val="18"/>
                <w:szCs w:val="18"/>
              </w:rPr>
              <w:t>Hizm</w:t>
            </w:r>
            <w:proofErr w:type="spellEnd"/>
            <w:r w:rsidRPr="00471CBA">
              <w:rPr>
                <w:rFonts w:ascii="Times New Roman" w:eastAsia="Arial Unicode MS" w:hAnsi="Times New Roman" w:cs="Times New Roman"/>
                <w:sz w:val="18"/>
                <w:szCs w:val="18"/>
              </w:rPr>
              <w:t>.</w:t>
            </w:r>
          </w:p>
        </w:tc>
        <w:tc>
          <w:tcPr>
            <w:tcW w:w="998" w:type="pct"/>
            <w:tcBorders>
              <w:top w:val="nil"/>
              <w:left w:val="nil"/>
              <w:bottom w:val="nil"/>
              <w:right w:val="nil"/>
            </w:tcBorders>
            <w:vAlign w:val="center"/>
          </w:tcPr>
          <w:p w14:paraId="31AE232D" w14:textId="12CD9AD4"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lang w:eastAsia="en-US"/>
              </w:rPr>
            </w:pPr>
            <w:r w:rsidRPr="00471CBA">
              <w:rPr>
                <w:rFonts w:ascii="Times New Roman" w:hAnsi="Times New Roman" w:cs="Times New Roman"/>
                <w:color w:val="000000"/>
                <w:sz w:val="18"/>
                <w:szCs w:val="18"/>
              </w:rPr>
              <w:t>174.985</w:t>
            </w:r>
          </w:p>
        </w:tc>
        <w:tc>
          <w:tcPr>
            <w:tcW w:w="957" w:type="pct"/>
            <w:tcBorders>
              <w:top w:val="nil"/>
              <w:left w:val="nil"/>
              <w:bottom w:val="nil"/>
              <w:right w:val="nil"/>
            </w:tcBorders>
            <w:vAlign w:val="center"/>
          </w:tcPr>
          <w:p w14:paraId="008834AB" w14:textId="0AC697F6"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lang w:eastAsia="en-US"/>
              </w:rPr>
            </w:pPr>
            <w:r w:rsidRPr="00471CBA">
              <w:rPr>
                <w:rFonts w:ascii="Times New Roman" w:hAnsi="Times New Roman" w:cs="Times New Roman"/>
                <w:color w:val="000000"/>
                <w:sz w:val="18"/>
                <w:szCs w:val="18"/>
              </w:rPr>
              <w:t>-</w:t>
            </w:r>
          </w:p>
        </w:tc>
        <w:tc>
          <w:tcPr>
            <w:tcW w:w="1065" w:type="pct"/>
            <w:tcBorders>
              <w:top w:val="nil"/>
              <w:left w:val="nil"/>
              <w:bottom w:val="nil"/>
              <w:right w:val="nil"/>
            </w:tcBorders>
            <w:vAlign w:val="center"/>
          </w:tcPr>
          <w:p w14:paraId="045923E5" w14:textId="16D5EE09"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lang w:eastAsia="en-US"/>
              </w:rPr>
            </w:pPr>
            <w:r w:rsidRPr="00471CBA">
              <w:rPr>
                <w:rFonts w:ascii="Times New Roman" w:hAnsi="Times New Roman" w:cs="Times New Roman"/>
                <w:color w:val="000000"/>
                <w:sz w:val="18"/>
                <w:szCs w:val="18"/>
              </w:rPr>
              <w:t>6.916</w:t>
            </w:r>
          </w:p>
        </w:tc>
      </w:tr>
      <w:tr w:rsidR="0069337C" w:rsidRPr="00471CBA" w14:paraId="74AF2A4F" w14:textId="77777777" w:rsidTr="00FF0B5D">
        <w:trPr>
          <w:trHeight w:val="113"/>
        </w:trPr>
        <w:tc>
          <w:tcPr>
            <w:tcW w:w="178" w:type="pct"/>
            <w:tcBorders>
              <w:top w:val="nil"/>
              <w:left w:val="nil"/>
              <w:bottom w:val="nil"/>
              <w:right w:val="nil"/>
            </w:tcBorders>
            <w:vAlign w:val="bottom"/>
            <w:hideMark/>
          </w:tcPr>
          <w:p w14:paraId="4BBD6B41" w14:textId="77777777" w:rsidR="0069337C" w:rsidRPr="00471CBA" w:rsidRDefault="0069337C" w:rsidP="0069337C">
            <w:pPr>
              <w:autoSpaceDE w:val="0"/>
              <w:autoSpaceDN w:val="0"/>
              <w:adjustRightInd w:val="0"/>
              <w:ind w:left="180" w:hanging="180"/>
              <w:rPr>
                <w:rFonts w:ascii="Times New Roman" w:eastAsia="Arial Unicode MS" w:hAnsi="Times New Roman" w:cs="Times New Roman"/>
                <w:sz w:val="18"/>
                <w:szCs w:val="18"/>
              </w:rPr>
            </w:pPr>
            <w:r w:rsidRPr="00471CBA">
              <w:rPr>
                <w:rFonts w:ascii="Times New Roman" w:eastAsia="Arial Unicode MS" w:hAnsi="Times New Roman" w:cs="Times New Roman"/>
                <w:sz w:val="18"/>
                <w:szCs w:val="18"/>
              </w:rPr>
              <w:t>4.6</w:t>
            </w:r>
          </w:p>
        </w:tc>
        <w:tc>
          <w:tcPr>
            <w:tcW w:w="1802" w:type="pct"/>
            <w:tcBorders>
              <w:top w:val="nil"/>
              <w:left w:val="nil"/>
              <w:bottom w:val="nil"/>
              <w:right w:val="nil"/>
            </w:tcBorders>
            <w:vAlign w:val="bottom"/>
            <w:hideMark/>
          </w:tcPr>
          <w:p w14:paraId="3CC88271" w14:textId="77777777" w:rsidR="0069337C" w:rsidRPr="00471CBA" w:rsidRDefault="0069337C" w:rsidP="0069337C">
            <w:pPr>
              <w:autoSpaceDE w:val="0"/>
              <w:autoSpaceDN w:val="0"/>
              <w:adjustRightInd w:val="0"/>
              <w:ind w:left="180" w:hanging="180"/>
              <w:rPr>
                <w:rFonts w:ascii="Times New Roman" w:eastAsia="Arial Unicode MS" w:hAnsi="Times New Roman" w:cs="Times New Roman"/>
                <w:sz w:val="18"/>
                <w:szCs w:val="18"/>
              </w:rPr>
            </w:pPr>
            <w:r w:rsidRPr="00471CBA">
              <w:rPr>
                <w:rFonts w:ascii="Times New Roman" w:eastAsia="Arial Unicode MS" w:hAnsi="Times New Roman" w:cs="Times New Roman"/>
                <w:sz w:val="18"/>
                <w:szCs w:val="18"/>
              </w:rPr>
              <w:t xml:space="preserve">   Serbest Meslek Hizmetleri</w:t>
            </w:r>
          </w:p>
        </w:tc>
        <w:tc>
          <w:tcPr>
            <w:tcW w:w="998" w:type="pct"/>
            <w:tcBorders>
              <w:top w:val="nil"/>
              <w:left w:val="nil"/>
              <w:bottom w:val="nil"/>
              <w:right w:val="nil"/>
            </w:tcBorders>
            <w:vAlign w:val="center"/>
          </w:tcPr>
          <w:p w14:paraId="7340FD1E" w14:textId="788E0A77"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lang w:eastAsia="en-US"/>
              </w:rPr>
            </w:pPr>
            <w:r w:rsidRPr="00471CBA">
              <w:rPr>
                <w:rFonts w:ascii="Times New Roman" w:hAnsi="Times New Roman" w:cs="Times New Roman"/>
                <w:color w:val="000000"/>
                <w:sz w:val="18"/>
                <w:szCs w:val="18"/>
              </w:rPr>
              <w:t>4.970</w:t>
            </w:r>
          </w:p>
        </w:tc>
        <w:tc>
          <w:tcPr>
            <w:tcW w:w="957" w:type="pct"/>
            <w:tcBorders>
              <w:top w:val="nil"/>
              <w:left w:val="nil"/>
              <w:bottom w:val="nil"/>
              <w:right w:val="nil"/>
            </w:tcBorders>
            <w:vAlign w:val="center"/>
          </w:tcPr>
          <w:p w14:paraId="1F3B6076" w14:textId="035DF482"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lang w:eastAsia="en-US"/>
              </w:rPr>
            </w:pPr>
            <w:r w:rsidRPr="00471CBA">
              <w:rPr>
                <w:rFonts w:ascii="Times New Roman" w:hAnsi="Times New Roman" w:cs="Times New Roman"/>
                <w:color w:val="000000"/>
                <w:sz w:val="18"/>
                <w:szCs w:val="18"/>
              </w:rPr>
              <w:t>2.023</w:t>
            </w:r>
          </w:p>
        </w:tc>
        <w:tc>
          <w:tcPr>
            <w:tcW w:w="1065" w:type="pct"/>
            <w:tcBorders>
              <w:top w:val="nil"/>
              <w:left w:val="nil"/>
              <w:bottom w:val="nil"/>
              <w:right w:val="nil"/>
            </w:tcBorders>
            <w:vAlign w:val="center"/>
          </w:tcPr>
          <w:p w14:paraId="43F04C62" w14:textId="48C36A03"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lang w:eastAsia="en-US"/>
              </w:rPr>
            </w:pPr>
            <w:r w:rsidRPr="00471CBA">
              <w:rPr>
                <w:rFonts w:ascii="Times New Roman" w:hAnsi="Times New Roman" w:cs="Times New Roman"/>
                <w:color w:val="000000"/>
                <w:sz w:val="18"/>
                <w:szCs w:val="18"/>
              </w:rPr>
              <w:t>2.029</w:t>
            </w:r>
          </w:p>
        </w:tc>
      </w:tr>
      <w:tr w:rsidR="0069337C" w:rsidRPr="00471CBA" w14:paraId="294631B6" w14:textId="77777777" w:rsidTr="00FF0B5D">
        <w:trPr>
          <w:trHeight w:val="113"/>
        </w:trPr>
        <w:tc>
          <w:tcPr>
            <w:tcW w:w="178" w:type="pct"/>
            <w:tcBorders>
              <w:top w:val="nil"/>
              <w:left w:val="nil"/>
              <w:bottom w:val="nil"/>
              <w:right w:val="nil"/>
            </w:tcBorders>
            <w:vAlign w:val="bottom"/>
            <w:hideMark/>
          </w:tcPr>
          <w:p w14:paraId="7EF70950" w14:textId="77777777" w:rsidR="0069337C" w:rsidRPr="00471CBA" w:rsidRDefault="0069337C" w:rsidP="0069337C">
            <w:pPr>
              <w:autoSpaceDE w:val="0"/>
              <w:autoSpaceDN w:val="0"/>
              <w:adjustRightInd w:val="0"/>
              <w:ind w:left="180" w:hanging="180"/>
              <w:rPr>
                <w:rFonts w:ascii="Times New Roman" w:eastAsia="Arial Unicode MS" w:hAnsi="Times New Roman" w:cs="Times New Roman"/>
                <w:sz w:val="18"/>
                <w:szCs w:val="18"/>
              </w:rPr>
            </w:pPr>
            <w:r w:rsidRPr="00471CBA">
              <w:rPr>
                <w:rFonts w:ascii="Times New Roman" w:eastAsia="Arial Unicode MS" w:hAnsi="Times New Roman" w:cs="Times New Roman"/>
                <w:sz w:val="18"/>
                <w:szCs w:val="18"/>
              </w:rPr>
              <w:t>4.7</w:t>
            </w:r>
          </w:p>
        </w:tc>
        <w:tc>
          <w:tcPr>
            <w:tcW w:w="1802" w:type="pct"/>
            <w:tcBorders>
              <w:top w:val="nil"/>
              <w:left w:val="nil"/>
              <w:bottom w:val="nil"/>
              <w:right w:val="nil"/>
            </w:tcBorders>
            <w:vAlign w:val="bottom"/>
            <w:hideMark/>
          </w:tcPr>
          <w:p w14:paraId="662D4290" w14:textId="77777777" w:rsidR="0069337C" w:rsidRPr="00471CBA" w:rsidRDefault="0069337C" w:rsidP="0069337C">
            <w:pPr>
              <w:autoSpaceDE w:val="0"/>
              <w:autoSpaceDN w:val="0"/>
              <w:adjustRightInd w:val="0"/>
              <w:ind w:left="180" w:hanging="180"/>
              <w:rPr>
                <w:rFonts w:ascii="Times New Roman" w:eastAsia="Arial Unicode MS" w:hAnsi="Times New Roman" w:cs="Times New Roman"/>
                <w:sz w:val="18"/>
                <w:szCs w:val="18"/>
              </w:rPr>
            </w:pPr>
            <w:r w:rsidRPr="00471CBA">
              <w:rPr>
                <w:rFonts w:ascii="Times New Roman" w:eastAsia="Arial Unicode MS" w:hAnsi="Times New Roman" w:cs="Times New Roman"/>
                <w:sz w:val="18"/>
                <w:szCs w:val="18"/>
              </w:rPr>
              <w:t xml:space="preserve">   Eğitim Hizmetleri</w:t>
            </w:r>
          </w:p>
        </w:tc>
        <w:tc>
          <w:tcPr>
            <w:tcW w:w="998" w:type="pct"/>
            <w:tcBorders>
              <w:top w:val="nil"/>
              <w:left w:val="nil"/>
              <w:bottom w:val="nil"/>
              <w:right w:val="nil"/>
            </w:tcBorders>
            <w:vAlign w:val="center"/>
          </w:tcPr>
          <w:p w14:paraId="715F7BEE" w14:textId="673C3844"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lang w:eastAsia="en-US"/>
              </w:rPr>
            </w:pPr>
            <w:r w:rsidRPr="00471CBA">
              <w:rPr>
                <w:rFonts w:ascii="Times New Roman" w:hAnsi="Times New Roman" w:cs="Times New Roman"/>
                <w:color w:val="000000"/>
                <w:sz w:val="18"/>
                <w:szCs w:val="18"/>
              </w:rPr>
              <w:t>-</w:t>
            </w:r>
          </w:p>
        </w:tc>
        <w:tc>
          <w:tcPr>
            <w:tcW w:w="957" w:type="pct"/>
            <w:tcBorders>
              <w:top w:val="nil"/>
              <w:left w:val="nil"/>
              <w:bottom w:val="nil"/>
              <w:right w:val="nil"/>
            </w:tcBorders>
            <w:vAlign w:val="center"/>
          </w:tcPr>
          <w:p w14:paraId="77224FB2" w14:textId="2C81DECE"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lang w:eastAsia="en-US"/>
              </w:rPr>
            </w:pPr>
            <w:r w:rsidRPr="00471CBA">
              <w:rPr>
                <w:rFonts w:ascii="Times New Roman" w:hAnsi="Times New Roman" w:cs="Times New Roman"/>
                <w:color w:val="000000"/>
                <w:sz w:val="18"/>
                <w:szCs w:val="18"/>
              </w:rPr>
              <w:t>-</w:t>
            </w:r>
          </w:p>
        </w:tc>
        <w:tc>
          <w:tcPr>
            <w:tcW w:w="1065" w:type="pct"/>
            <w:tcBorders>
              <w:top w:val="nil"/>
              <w:left w:val="nil"/>
              <w:bottom w:val="nil"/>
              <w:right w:val="nil"/>
            </w:tcBorders>
            <w:vAlign w:val="center"/>
          </w:tcPr>
          <w:p w14:paraId="7A5851C7" w14:textId="680894A0"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lang w:eastAsia="en-US"/>
              </w:rPr>
            </w:pPr>
            <w:r w:rsidRPr="00471CBA">
              <w:rPr>
                <w:rFonts w:ascii="Times New Roman" w:hAnsi="Times New Roman" w:cs="Times New Roman"/>
                <w:color w:val="000000"/>
                <w:sz w:val="18"/>
                <w:szCs w:val="18"/>
              </w:rPr>
              <w:t>-</w:t>
            </w:r>
          </w:p>
        </w:tc>
      </w:tr>
      <w:tr w:rsidR="0069337C" w:rsidRPr="00471CBA" w14:paraId="49BD9235" w14:textId="77777777" w:rsidTr="00FF0B5D">
        <w:trPr>
          <w:trHeight w:val="113"/>
        </w:trPr>
        <w:tc>
          <w:tcPr>
            <w:tcW w:w="178" w:type="pct"/>
            <w:tcBorders>
              <w:top w:val="nil"/>
              <w:left w:val="nil"/>
              <w:bottom w:val="nil"/>
              <w:right w:val="nil"/>
            </w:tcBorders>
            <w:vAlign w:val="bottom"/>
            <w:hideMark/>
          </w:tcPr>
          <w:p w14:paraId="04EDD4AF" w14:textId="77777777" w:rsidR="0069337C" w:rsidRPr="00471CBA" w:rsidRDefault="0069337C" w:rsidP="0069337C">
            <w:pPr>
              <w:autoSpaceDE w:val="0"/>
              <w:autoSpaceDN w:val="0"/>
              <w:adjustRightInd w:val="0"/>
              <w:ind w:left="112" w:hanging="112"/>
              <w:rPr>
                <w:rFonts w:ascii="Times New Roman" w:eastAsia="Arial Unicode MS" w:hAnsi="Times New Roman" w:cs="Times New Roman"/>
                <w:sz w:val="18"/>
                <w:szCs w:val="18"/>
              </w:rPr>
            </w:pPr>
            <w:r w:rsidRPr="00471CBA">
              <w:rPr>
                <w:rFonts w:ascii="Times New Roman" w:eastAsia="Arial Unicode MS" w:hAnsi="Times New Roman" w:cs="Times New Roman"/>
                <w:sz w:val="18"/>
                <w:szCs w:val="18"/>
              </w:rPr>
              <w:t>4.8</w:t>
            </w:r>
          </w:p>
        </w:tc>
        <w:tc>
          <w:tcPr>
            <w:tcW w:w="1802" w:type="pct"/>
            <w:tcBorders>
              <w:top w:val="nil"/>
              <w:left w:val="nil"/>
              <w:bottom w:val="nil"/>
              <w:right w:val="nil"/>
            </w:tcBorders>
            <w:vAlign w:val="bottom"/>
            <w:hideMark/>
          </w:tcPr>
          <w:p w14:paraId="3304EE94" w14:textId="77777777" w:rsidR="0069337C" w:rsidRPr="00471CBA" w:rsidRDefault="0069337C" w:rsidP="0069337C">
            <w:pPr>
              <w:autoSpaceDE w:val="0"/>
              <w:autoSpaceDN w:val="0"/>
              <w:adjustRightInd w:val="0"/>
              <w:ind w:left="112" w:hanging="112"/>
              <w:rPr>
                <w:rFonts w:ascii="Times New Roman" w:eastAsia="Arial Unicode MS" w:hAnsi="Times New Roman" w:cs="Times New Roman"/>
                <w:sz w:val="18"/>
                <w:szCs w:val="18"/>
              </w:rPr>
            </w:pPr>
            <w:r w:rsidRPr="00471CBA">
              <w:rPr>
                <w:rFonts w:ascii="Times New Roman" w:eastAsia="Arial Unicode MS" w:hAnsi="Times New Roman" w:cs="Times New Roman"/>
                <w:sz w:val="18"/>
                <w:szCs w:val="18"/>
              </w:rPr>
              <w:t xml:space="preserve">   Sağlık ve Sosyal Hizmetler</w:t>
            </w:r>
          </w:p>
        </w:tc>
        <w:tc>
          <w:tcPr>
            <w:tcW w:w="998" w:type="pct"/>
            <w:tcBorders>
              <w:top w:val="nil"/>
              <w:left w:val="nil"/>
              <w:bottom w:val="nil"/>
              <w:right w:val="nil"/>
            </w:tcBorders>
            <w:vAlign w:val="center"/>
          </w:tcPr>
          <w:p w14:paraId="5F4175A9" w14:textId="6459B18C"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lang w:eastAsia="en-US"/>
              </w:rPr>
            </w:pPr>
            <w:r w:rsidRPr="00471CBA">
              <w:rPr>
                <w:rFonts w:ascii="Times New Roman" w:hAnsi="Times New Roman" w:cs="Times New Roman"/>
                <w:color w:val="000000"/>
                <w:sz w:val="18"/>
                <w:szCs w:val="18"/>
              </w:rPr>
              <w:t>-</w:t>
            </w:r>
          </w:p>
        </w:tc>
        <w:tc>
          <w:tcPr>
            <w:tcW w:w="957" w:type="pct"/>
            <w:tcBorders>
              <w:top w:val="nil"/>
              <w:left w:val="nil"/>
              <w:bottom w:val="nil"/>
              <w:right w:val="nil"/>
            </w:tcBorders>
            <w:vAlign w:val="center"/>
          </w:tcPr>
          <w:p w14:paraId="6D4BC2B0" w14:textId="11806DF9"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lang w:eastAsia="en-US"/>
              </w:rPr>
            </w:pPr>
            <w:r w:rsidRPr="00471CBA">
              <w:rPr>
                <w:rFonts w:ascii="Times New Roman" w:hAnsi="Times New Roman" w:cs="Times New Roman"/>
                <w:color w:val="000000"/>
                <w:sz w:val="18"/>
                <w:szCs w:val="18"/>
              </w:rPr>
              <w:t>-</w:t>
            </w:r>
          </w:p>
        </w:tc>
        <w:tc>
          <w:tcPr>
            <w:tcW w:w="1065" w:type="pct"/>
            <w:tcBorders>
              <w:top w:val="nil"/>
              <w:left w:val="nil"/>
              <w:bottom w:val="nil"/>
              <w:right w:val="nil"/>
            </w:tcBorders>
            <w:vAlign w:val="center"/>
          </w:tcPr>
          <w:p w14:paraId="0E78C22B" w14:textId="4A390D34"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lang w:eastAsia="en-US"/>
              </w:rPr>
            </w:pPr>
            <w:r w:rsidRPr="00471CBA">
              <w:rPr>
                <w:rFonts w:ascii="Times New Roman" w:hAnsi="Times New Roman" w:cs="Times New Roman"/>
                <w:color w:val="000000"/>
                <w:sz w:val="18"/>
                <w:szCs w:val="18"/>
              </w:rPr>
              <w:t>-</w:t>
            </w:r>
          </w:p>
        </w:tc>
      </w:tr>
      <w:tr w:rsidR="0069337C" w:rsidRPr="00471CBA" w14:paraId="52A7D2A9" w14:textId="77777777" w:rsidTr="00FF0B5D">
        <w:trPr>
          <w:trHeight w:val="113"/>
        </w:trPr>
        <w:tc>
          <w:tcPr>
            <w:tcW w:w="178" w:type="pct"/>
            <w:tcBorders>
              <w:top w:val="nil"/>
              <w:left w:val="nil"/>
              <w:bottom w:val="nil"/>
              <w:right w:val="nil"/>
            </w:tcBorders>
            <w:vAlign w:val="bottom"/>
            <w:hideMark/>
          </w:tcPr>
          <w:p w14:paraId="089EEA00" w14:textId="77777777" w:rsidR="0069337C" w:rsidRPr="00471CBA" w:rsidRDefault="0069337C" w:rsidP="0069337C">
            <w:pPr>
              <w:autoSpaceDE w:val="0"/>
              <w:autoSpaceDN w:val="0"/>
              <w:adjustRightInd w:val="0"/>
              <w:rPr>
                <w:rFonts w:ascii="Times New Roman" w:eastAsia="Arial Unicode MS" w:hAnsi="Times New Roman" w:cs="Times New Roman"/>
                <w:b/>
                <w:sz w:val="18"/>
                <w:szCs w:val="18"/>
              </w:rPr>
            </w:pPr>
            <w:r w:rsidRPr="00471CBA">
              <w:rPr>
                <w:rFonts w:ascii="Times New Roman" w:eastAsia="Arial Unicode MS" w:hAnsi="Times New Roman" w:cs="Times New Roman"/>
                <w:b/>
                <w:sz w:val="18"/>
                <w:szCs w:val="18"/>
              </w:rPr>
              <w:t>5</w:t>
            </w:r>
          </w:p>
        </w:tc>
        <w:tc>
          <w:tcPr>
            <w:tcW w:w="1802" w:type="pct"/>
            <w:tcBorders>
              <w:top w:val="nil"/>
              <w:left w:val="nil"/>
              <w:bottom w:val="nil"/>
              <w:right w:val="nil"/>
            </w:tcBorders>
            <w:vAlign w:val="bottom"/>
            <w:hideMark/>
          </w:tcPr>
          <w:p w14:paraId="5383C74F" w14:textId="77777777" w:rsidR="0069337C" w:rsidRPr="00471CBA" w:rsidRDefault="0069337C" w:rsidP="0069337C">
            <w:pPr>
              <w:autoSpaceDE w:val="0"/>
              <w:autoSpaceDN w:val="0"/>
              <w:adjustRightInd w:val="0"/>
              <w:rPr>
                <w:rFonts w:ascii="Times New Roman" w:eastAsia="Arial Unicode MS" w:hAnsi="Times New Roman" w:cs="Times New Roman"/>
                <w:b/>
                <w:sz w:val="18"/>
                <w:szCs w:val="18"/>
              </w:rPr>
            </w:pPr>
            <w:r w:rsidRPr="00471CBA">
              <w:rPr>
                <w:rFonts w:ascii="Times New Roman" w:eastAsia="Arial Unicode MS" w:hAnsi="Times New Roman" w:cs="Times New Roman"/>
                <w:b/>
                <w:sz w:val="18"/>
                <w:szCs w:val="18"/>
              </w:rPr>
              <w:t>Diğer</w:t>
            </w:r>
          </w:p>
        </w:tc>
        <w:tc>
          <w:tcPr>
            <w:tcW w:w="998" w:type="pct"/>
            <w:tcBorders>
              <w:top w:val="nil"/>
              <w:left w:val="nil"/>
              <w:bottom w:val="nil"/>
              <w:right w:val="nil"/>
            </w:tcBorders>
            <w:vAlign w:val="center"/>
          </w:tcPr>
          <w:p w14:paraId="0181FC37" w14:textId="19E6264C" w:rsidR="0069337C" w:rsidRPr="00471CBA" w:rsidRDefault="0069337C" w:rsidP="0069337C">
            <w:pPr>
              <w:autoSpaceDE w:val="0"/>
              <w:autoSpaceDN w:val="0"/>
              <w:adjustRightInd w:val="0"/>
              <w:ind w:right="111"/>
              <w:jc w:val="right"/>
              <w:rPr>
                <w:rFonts w:ascii="Times New Roman" w:hAnsi="Times New Roman" w:cs="Times New Roman"/>
                <w:b/>
                <w:color w:val="000000"/>
                <w:sz w:val="18"/>
                <w:szCs w:val="18"/>
                <w:lang w:eastAsia="en-US"/>
              </w:rPr>
            </w:pPr>
            <w:r w:rsidRPr="00471CBA">
              <w:rPr>
                <w:rFonts w:ascii="Times New Roman" w:hAnsi="Times New Roman" w:cs="Times New Roman"/>
                <w:b/>
                <w:bCs/>
                <w:color w:val="000000"/>
                <w:sz w:val="18"/>
                <w:szCs w:val="18"/>
              </w:rPr>
              <w:t>2.741</w:t>
            </w:r>
          </w:p>
        </w:tc>
        <w:tc>
          <w:tcPr>
            <w:tcW w:w="957" w:type="pct"/>
            <w:tcBorders>
              <w:top w:val="nil"/>
              <w:left w:val="nil"/>
              <w:bottom w:val="nil"/>
              <w:right w:val="nil"/>
            </w:tcBorders>
            <w:vAlign w:val="center"/>
          </w:tcPr>
          <w:p w14:paraId="72B58DA3" w14:textId="24185F55" w:rsidR="0069337C" w:rsidRPr="00471CBA" w:rsidRDefault="0069337C" w:rsidP="0069337C">
            <w:pPr>
              <w:autoSpaceDE w:val="0"/>
              <w:autoSpaceDN w:val="0"/>
              <w:adjustRightInd w:val="0"/>
              <w:ind w:right="111"/>
              <w:jc w:val="right"/>
              <w:rPr>
                <w:rFonts w:ascii="Times New Roman" w:hAnsi="Times New Roman" w:cs="Times New Roman"/>
                <w:b/>
                <w:color w:val="000000"/>
                <w:sz w:val="18"/>
                <w:szCs w:val="18"/>
                <w:lang w:eastAsia="en-US"/>
              </w:rPr>
            </w:pPr>
            <w:r w:rsidRPr="00471CBA">
              <w:rPr>
                <w:rFonts w:ascii="Times New Roman" w:hAnsi="Times New Roman" w:cs="Times New Roman"/>
                <w:b/>
                <w:bCs/>
                <w:color w:val="000000"/>
                <w:sz w:val="18"/>
                <w:szCs w:val="18"/>
              </w:rPr>
              <w:t>247</w:t>
            </w:r>
          </w:p>
        </w:tc>
        <w:tc>
          <w:tcPr>
            <w:tcW w:w="1065" w:type="pct"/>
            <w:tcBorders>
              <w:top w:val="nil"/>
              <w:left w:val="nil"/>
              <w:bottom w:val="nil"/>
              <w:right w:val="nil"/>
            </w:tcBorders>
            <w:vAlign w:val="center"/>
          </w:tcPr>
          <w:p w14:paraId="3A07A73E" w14:textId="741A8F3D" w:rsidR="0069337C" w:rsidRPr="00471CBA" w:rsidRDefault="0069337C" w:rsidP="0069337C">
            <w:pPr>
              <w:autoSpaceDE w:val="0"/>
              <w:autoSpaceDN w:val="0"/>
              <w:adjustRightInd w:val="0"/>
              <w:ind w:right="111"/>
              <w:jc w:val="right"/>
              <w:rPr>
                <w:rFonts w:ascii="Times New Roman" w:hAnsi="Times New Roman" w:cs="Times New Roman"/>
                <w:b/>
                <w:color w:val="000000"/>
                <w:sz w:val="18"/>
                <w:szCs w:val="18"/>
                <w:lang w:eastAsia="en-US"/>
              </w:rPr>
            </w:pPr>
            <w:r w:rsidRPr="00471CBA">
              <w:rPr>
                <w:rFonts w:ascii="Times New Roman" w:hAnsi="Times New Roman" w:cs="Times New Roman"/>
                <w:b/>
                <w:bCs/>
                <w:color w:val="000000"/>
                <w:sz w:val="18"/>
                <w:szCs w:val="18"/>
              </w:rPr>
              <w:t>398</w:t>
            </w:r>
          </w:p>
        </w:tc>
      </w:tr>
      <w:tr w:rsidR="0069337C" w:rsidRPr="00471CBA" w14:paraId="1593DF20" w14:textId="77777777" w:rsidTr="00FF0B5D">
        <w:trPr>
          <w:trHeight w:val="113"/>
        </w:trPr>
        <w:tc>
          <w:tcPr>
            <w:tcW w:w="178" w:type="pct"/>
            <w:tcBorders>
              <w:top w:val="nil"/>
              <w:left w:val="nil"/>
              <w:bottom w:val="single" w:sz="4" w:space="0" w:color="auto"/>
              <w:right w:val="nil"/>
            </w:tcBorders>
            <w:vAlign w:val="bottom"/>
          </w:tcPr>
          <w:p w14:paraId="0B496EC5" w14:textId="77777777" w:rsidR="0069337C" w:rsidRPr="00471CBA" w:rsidRDefault="0069337C" w:rsidP="0069337C">
            <w:pPr>
              <w:autoSpaceDE w:val="0"/>
              <w:autoSpaceDN w:val="0"/>
              <w:adjustRightInd w:val="0"/>
              <w:rPr>
                <w:rFonts w:ascii="Times New Roman" w:eastAsia="Arial Unicode MS" w:hAnsi="Times New Roman" w:cs="Times New Roman"/>
                <w:sz w:val="18"/>
                <w:szCs w:val="18"/>
              </w:rPr>
            </w:pPr>
          </w:p>
        </w:tc>
        <w:tc>
          <w:tcPr>
            <w:tcW w:w="1802" w:type="pct"/>
            <w:tcBorders>
              <w:top w:val="nil"/>
              <w:left w:val="nil"/>
              <w:bottom w:val="single" w:sz="4" w:space="0" w:color="auto"/>
              <w:right w:val="nil"/>
            </w:tcBorders>
            <w:vAlign w:val="bottom"/>
          </w:tcPr>
          <w:p w14:paraId="1B2B3916" w14:textId="77777777" w:rsidR="0069337C" w:rsidRPr="00471CBA" w:rsidRDefault="0069337C" w:rsidP="0069337C">
            <w:pPr>
              <w:autoSpaceDE w:val="0"/>
              <w:autoSpaceDN w:val="0"/>
              <w:adjustRightInd w:val="0"/>
              <w:rPr>
                <w:rFonts w:ascii="Times New Roman" w:eastAsia="Arial Unicode MS" w:hAnsi="Times New Roman" w:cs="Times New Roman"/>
                <w:sz w:val="18"/>
                <w:szCs w:val="18"/>
              </w:rPr>
            </w:pPr>
          </w:p>
        </w:tc>
        <w:tc>
          <w:tcPr>
            <w:tcW w:w="998" w:type="pct"/>
            <w:tcBorders>
              <w:top w:val="nil"/>
              <w:left w:val="nil"/>
              <w:bottom w:val="single" w:sz="4" w:space="0" w:color="auto"/>
              <w:right w:val="nil"/>
            </w:tcBorders>
            <w:vAlign w:val="center"/>
          </w:tcPr>
          <w:p w14:paraId="6439B956" w14:textId="77777777"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rPr>
            </w:pPr>
          </w:p>
        </w:tc>
        <w:tc>
          <w:tcPr>
            <w:tcW w:w="957" w:type="pct"/>
            <w:tcBorders>
              <w:top w:val="nil"/>
              <w:left w:val="nil"/>
              <w:bottom w:val="single" w:sz="4" w:space="0" w:color="auto"/>
              <w:right w:val="nil"/>
            </w:tcBorders>
            <w:vAlign w:val="center"/>
          </w:tcPr>
          <w:p w14:paraId="158808DD" w14:textId="77777777"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rPr>
            </w:pPr>
          </w:p>
        </w:tc>
        <w:tc>
          <w:tcPr>
            <w:tcW w:w="1065" w:type="pct"/>
            <w:tcBorders>
              <w:top w:val="nil"/>
              <w:left w:val="nil"/>
              <w:bottom w:val="single" w:sz="4" w:space="0" w:color="auto"/>
              <w:right w:val="nil"/>
            </w:tcBorders>
            <w:vAlign w:val="center"/>
          </w:tcPr>
          <w:p w14:paraId="1EC8B9FD" w14:textId="77777777" w:rsidR="0069337C" w:rsidRPr="00471CBA" w:rsidRDefault="0069337C" w:rsidP="0069337C">
            <w:pPr>
              <w:autoSpaceDE w:val="0"/>
              <w:autoSpaceDN w:val="0"/>
              <w:adjustRightInd w:val="0"/>
              <w:ind w:right="111"/>
              <w:jc w:val="right"/>
              <w:rPr>
                <w:rFonts w:ascii="Times New Roman" w:hAnsi="Times New Roman" w:cs="Times New Roman"/>
                <w:color w:val="000000"/>
                <w:sz w:val="18"/>
                <w:szCs w:val="18"/>
              </w:rPr>
            </w:pPr>
          </w:p>
        </w:tc>
      </w:tr>
      <w:tr w:rsidR="0069337C" w:rsidRPr="00471CBA" w14:paraId="4F6C7E0B" w14:textId="77777777" w:rsidTr="00FF0B5D">
        <w:trPr>
          <w:trHeight w:val="113"/>
        </w:trPr>
        <w:tc>
          <w:tcPr>
            <w:tcW w:w="178" w:type="pct"/>
            <w:tcBorders>
              <w:top w:val="single" w:sz="4" w:space="0" w:color="auto"/>
              <w:left w:val="nil"/>
              <w:bottom w:val="single" w:sz="4" w:space="0" w:color="auto"/>
              <w:right w:val="nil"/>
            </w:tcBorders>
            <w:vAlign w:val="bottom"/>
            <w:hideMark/>
          </w:tcPr>
          <w:p w14:paraId="64E39BA6" w14:textId="77777777" w:rsidR="0069337C" w:rsidRPr="00471CBA" w:rsidRDefault="0069337C" w:rsidP="0069337C">
            <w:pPr>
              <w:spacing w:before="100" w:beforeAutospacing="1" w:line="256" w:lineRule="auto"/>
              <w:ind w:left="31" w:right="110"/>
              <w:rPr>
                <w:rFonts w:ascii="Times New Roman" w:eastAsia="Times New Roman" w:hAnsi="Times New Roman" w:cs="Times New Roman"/>
                <w:b/>
                <w:color w:val="000000"/>
                <w:sz w:val="18"/>
                <w:szCs w:val="18"/>
              </w:rPr>
            </w:pPr>
            <w:r w:rsidRPr="00471CBA">
              <w:rPr>
                <w:rFonts w:ascii="Times New Roman" w:eastAsia="Times New Roman" w:hAnsi="Times New Roman" w:cs="Times New Roman"/>
                <w:b/>
                <w:color w:val="000000"/>
                <w:sz w:val="18"/>
                <w:szCs w:val="18"/>
              </w:rPr>
              <w:t>6</w:t>
            </w:r>
          </w:p>
        </w:tc>
        <w:tc>
          <w:tcPr>
            <w:tcW w:w="1802" w:type="pct"/>
            <w:tcBorders>
              <w:top w:val="single" w:sz="4" w:space="0" w:color="auto"/>
              <w:left w:val="nil"/>
              <w:bottom w:val="single" w:sz="4" w:space="0" w:color="auto"/>
              <w:right w:val="nil"/>
            </w:tcBorders>
            <w:vAlign w:val="bottom"/>
            <w:hideMark/>
          </w:tcPr>
          <w:p w14:paraId="0AD72505" w14:textId="77777777" w:rsidR="0069337C" w:rsidRPr="00471CBA" w:rsidRDefault="0069337C" w:rsidP="0069337C">
            <w:pPr>
              <w:spacing w:before="100" w:beforeAutospacing="1" w:line="256" w:lineRule="auto"/>
              <w:ind w:left="31" w:right="110"/>
              <w:rPr>
                <w:rFonts w:ascii="Times New Roman" w:eastAsia="Times New Roman" w:hAnsi="Times New Roman" w:cs="Times New Roman"/>
                <w:b/>
                <w:color w:val="000000"/>
                <w:sz w:val="18"/>
                <w:szCs w:val="18"/>
              </w:rPr>
            </w:pPr>
            <w:r w:rsidRPr="00471CBA">
              <w:rPr>
                <w:rFonts w:ascii="Times New Roman" w:eastAsia="Times New Roman" w:hAnsi="Times New Roman" w:cs="Times New Roman"/>
                <w:b/>
                <w:color w:val="000000"/>
                <w:sz w:val="18"/>
                <w:szCs w:val="18"/>
              </w:rPr>
              <w:t>Toplam</w:t>
            </w:r>
          </w:p>
        </w:tc>
        <w:tc>
          <w:tcPr>
            <w:tcW w:w="998" w:type="pct"/>
            <w:tcBorders>
              <w:top w:val="single" w:sz="4" w:space="0" w:color="auto"/>
              <w:left w:val="nil"/>
              <w:bottom w:val="single" w:sz="4" w:space="0" w:color="auto"/>
              <w:right w:val="nil"/>
            </w:tcBorders>
            <w:vAlign w:val="center"/>
          </w:tcPr>
          <w:p w14:paraId="7AB3F200" w14:textId="311EDA35" w:rsidR="0069337C" w:rsidRPr="00471CBA" w:rsidRDefault="0069337C" w:rsidP="0069337C">
            <w:pPr>
              <w:autoSpaceDE w:val="0"/>
              <w:autoSpaceDN w:val="0"/>
              <w:adjustRightInd w:val="0"/>
              <w:ind w:right="111"/>
              <w:jc w:val="right"/>
              <w:rPr>
                <w:rFonts w:ascii="Times New Roman" w:hAnsi="Times New Roman" w:cs="Times New Roman"/>
                <w:b/>
                <w:color w:val="000000"/>
                <w:sz w:val="18"/>
                <w:szCs w:val="18"/>
                <w:lang w:eastAsia="en-US"/>
              </w:rPr>
            </w:pPr>
            <w:r w:rsidRPr="00471CBA">
              <w:rPr>
                <w:rFonts w:ascii="Times New Roman" w:hAnsi="Times New Roman" w:cs="Times New Roman"/>
                <w:b/>
                <w:bCs/>
                <w:color w:val="000000"/>
                <w:sz w:val="18"/>
                <w:szCs w:val="18"/>
              </w:rPr>
              <w:t>511.724</w:t>
            </w:r>
          </w:p>
        </w:tc>
        <w:tc>
          <w:tcPr>
            <w:tcW w:w="957" w:type="pct"/>
            <w:tcBorders>
              <w:top w:val="single" w:sz="4" w:space="0" w:color="auto"/>
              <w:left w:val="nil"/>
              <w:bottom w:val="single" w:sz="4" w:space="0" w:color="auto"/>
              <w:right w:val="nil"/>
            </w:tcBorders>
            <w:vAlign w:val="center"/>
          </w:tcPr>
          <w:p w14:paraId="6457EB40" w14:textId="018765F6" w:rsidR="0069337C" w:rsidRPr="00471CBA" w:rsidRDefault="0069337C" w:rsidP="0069337C">
            <w:pPr>
              <w:autoSpaceDE w:val="0"/>
              <w:autoSpaceDN w:val="0"/>
              <w:adjustRightInd w:val="0"/>
              <w:ind w:right="111"/>
              <w:jc w:val="right"/>
              <w:rPr>
                <w:rFonts w:ascii="Times New Roman" w:hAnsi="Times New Roman" w:cs="Times New Roman"/>
                <w:b/>
                <w:color w:val="000000"/>
                <w:sz w:val="18"/>
                <w:szCs w:val="18"/>
                <w:lang w:eastAsia="en-US"/>
              </w:rPr>
            </w:pPr>
            <w:r w:rsidRPr="00471CBA">
              <w:rPr>
                <w:rFonts w:ascii="Times New Roman" w:hAnsi="Times New Roman" w:cs="Times New Roman"/>
                <w:b/>
                <w:bCs/>
                <w:color w:val="000000"/>
                <w:sz w:val="18"/>
                <w:szCs w:val="18"/>
              </w:rPr>
              <w:t>388.505</w:t>
            </w:r>
          </w:p>
        </w:tc>
        <w:tc>
          <w:tcPr>
            <w:tcW w:w="1065" w:type="pct"/>
            <w:tcBorders>
              <w:top w:val="single" w:sz="4" w:space="0" w:color="auto"/>
              <w:left w:val="nil"/>
              <w:bottom w:val="single" w:sz="4" w:space="0" w:color="auto"/>
              <w:right w:val="nil"/>
            </w:tcBorders>
            <w:vAlign w:val="center"/>
          </w:tcPr>
          <w:p w14:paraId="1BE8DCD4" w14:textId="5B5F6DC9" w:rsidR="0069337C" w:rsidRPr="00471CBA" w:rsidRDefault="0069337C" w:rsidP="0069337C">
            <w:pPr>
              <w:autoSpaceDE w:val="0"/>
              <w:autoSpaceDN w:val="0"/>
              <w:adjustRightInd w:val="0"/>
              <w:ind w:right="111"/>
              <w:jc w:val="right"/>
              <w:rPr>
                <w:rFonts w:ascii="Times New Roman" w:hAnsi="Times New Roman" w:cs="Times New Roman"/>
                <w:b/>
                <w:color w:val="000000"/>
                <w:sz w:val="18"/>
                <w:szCs w:val="18"/>
                <w:lang w:eastAsia="en-US"/>
              </w:rPr>
            </w:pPr>
            <w:r w:rsidRPr="00471CBA">
              <w:rPr>
                <w:rFonts w:ascii="Times New Roman" w:hAnsi="Times New Roman" w:cs="Times New Roman"/>
                <w:b/>
                <w:bCs/>
                <w:color w:val="000000"/>
                <w:sz w:val="18"/>
                <w:szCs w:val="18"/>
              </w:rPr>
              <w:t>402.555</w:t>
            </w:r>
          </w:p>
        </w:tc>
      </w:tr>
    </w:tbl>
    <w:p w14:paraId="670CE427" w14:textId="4F11EAA6" w:rsidR="00F91828" w:rsidRPr="00C93640" w:rsidRDefault="00F91828" w:rsidP="00F91828">
      <w:pPr>
        <w:spacing w:before="120" w:after="120"/>
        <w:rPr>
          <w:b/>
          <w:szCs w:val="20"/>
        </w:rPr>
      </w:pPr>
      <w:r w:rsidRPr="00C93640">
        <w:rPr>
          <w:b/>
          <w:szCs w:val="20"/>
        </w:rPr>
        <w:t xml:space="preserve">(11) </w:t>
      </w:r>
      <w:r w:rsidRPr="00C93640">
        <w:rPr>
          <w:b/>
          <w:szCs w:val="20"/>
        </w:rPr>
        <w:tab/>
        <w:t>Değer Ayarlamaları ve Kredi Karşılıkları Değişimine İlişkin Bilgiler:</w:t>
      </w:r>
    </w:p>
    <w:tbl>
      <w:tblPr>
        <w:tblW w:w="9465" w:type="dxa"/>
        <w:tblInd w:w="30" w:type="dxa"/>
        <w:tblLayout w:type="fixed"/>
        <w:tblCellMar>
          <w:left w:w="30" w:type="dxa"/>
          <w:right w:w="30" w:type="dxa"/>
        </w:tblCellMar>
        <w:tblLook w:val="04A0" w:firstRow="1" w:lastRow="0" w:firstColumn="1" w:lastColumn="0" w:noHBand="0" w:noVBand="1"/>
      </w:tblPr>
      <w:tblGrid>
        <w:gridCol w:w="292"/>
        <w:gridCol w:w="2370"/>
        <w:gridCol w:w="1275"/>
        <w:gridCol w:w="1559"/>
        <w:gridCol w:w="1418"/>
        <w:gridCol w:w="1418"/>
        <w:gridCol w:w="1133"/>
      </w:tblGrid>
      <w:tr w:rsidR="00375C6F" w:rsidRPr="00C93640" w14:paraId="55F1150B" w14:textId="77777777" w:rsidTr="00221C87">
        <w:trPr>
          <w:trHeight w:val="170"/>
        </w:trPr>
        <w:tc>
          <w:tcPr>
            <w:tcW w:w="292" w:type="dxa"/>
            <w:tcBorders>
              <w:top w:val="single" w:sz="4" w:space="0" w:color="auto"/>
              <w:left w:val="nil"/>
              <w:bottom w:val="single" w:sz="4" w:space="0" w:color="auto"/>
              <w:right w:val="nil"/>
            </w:tcBorders>
            <w:vAlign w:val="bottom"/>
          </w:tcPr>
          <w:p w14:paraId="3DD7D065" w14:textId="77777777" w:rsidR="00375C6F" w:rsidRPr="00C93640" w:rsidRDefault="00375C6F" w:rsidP="00375C6F">
            <w:pPr>
              <w:autoSpaceDE w:val="0"/>
              <w:autoSpaceDN w:val="0"/>
              <w:adjustRightInd w:val="0"/>
              <w:ind w:left="180" w:hanging="180"/>
              <w:rPr>
                <w:rFonts w:eastAsia="Arial Unicode MS"/>
                <w:b/>
                <w:sz w:val="18"/>
                <w:szCs w:val="18"/>
              </w:rPr>
            </w:pPr>
            <w:bookmarkStart w:id="50" w:name="_Hlk222914347"/>
            <w:bookmarkStart w:id="51" w:name="_Hlk223345008"/>
          </w:p>
        </w:tc>
        <w:tc>
          <w:tcPr>
            <w:tcW w:w="2370" w:type="dxa"/>
            <w:tcBorders>
              <w:top w:val="single" w:sz="4" w:space="0" w:color="auto"/>
              <w:left w:val="nil"/>
              <w:bottom w:val="single" w:sz="4" w:space="0" w:color="auto"/>
              <w:right w:val="nil"/>
            </w:tcBorders>
            <w:vAlign w:val="bottom"/>
          </w:tcPr>
          <w:p w14:paraId="1B6276F4" w14:textId="1EB2F4C1" w:rsidR="00375C6F" w:rsidRPr="00C93640" w:rsidRDefault="00375C6F" w:rsidP="00375C6F">
            <w:pPr>
              <w:autoSpaceDE w:val="0"/>
              <w:autoSpaceDN w:val="0"/>
              <w:adjustRightInd w:val="0"/>
              <w:ind w:left="180" w:hanging="180"/>
              <w:rPr>
                <w:rFonts w:eastAsia="Arial Unicode MS"/>
                <w:b/>
                <w:sz w:val="18"/>
                <w:szCs w:val="18"/>
              </w:rPr>
            </w:pPr>
            <w:r w:rsidRPr="00C93640">
              <w:rPr>
                <w:rFonts w:eastAsia="Arial Unicode MS"/>
                <w:b/>
                <w:sz w:val="18"/>
                <w:szCs w:val="18"/>
              </w:rPr>
              <w:t>31 Aralık 2025</w:t>
            </w:r>
          </w:p>
        </w:tc>
        <w:tc>
          <w:tcPr>
            <w:tcW w:w="1275" w:type="dxa"/>
            <w:tcBorders>
              <w:top w:val="single" w:sz="4" w:space="0" w:color="auto"/>
              <w:left w:val="nil"/>
              <w:bottom w:val="single" w:sz="4" w:space="0" w:color="auto"/>
              <w:right w:val="nil"/>
            </w:tcBorders>
            <w:vAlign w:val="bottom"/>
          </w:tcPr>
          <w:p w14:paraId="2B7A3453" w14:textId="77777777" w:rsidR="00375C6F" w:rsidRPr="00C93640" w:rsidRDefault="00375C6F" w:rsidP="00375C6F">
            <w:pPr>
              <w:autoSpaceDE w:val="0"/>
              <w:autoSpaceDN w:val="0"/>
              <w:adjustRightInd w:val="0"/>
              <w:ind w:right="111"/>
              <w:jc w:val="right"/>
              <w:rPr>
                <w:rFonts w:eastAsia="Arial Unicode MS"/>
                <w:b/>
                <w:sz w:val="18"/>
                <w:szCs w:val="18"/>
              </w:rPr>
            </w:pPr>
          </w:p>
        </w:tc>
        <w:tc>
          <w:tcPr>
            <w:tcW w:w="1559" w:type="dxa"/>
            <w:tcBorders>
              <w:top w:val="single" w:sz="4" w:space="0" w:color="auto"/>
              <w:left w:val="nil"/>
              <w:bottom w:val="single" w:sz="4" w:space="0" w:color="auto"/>
              <w:right w:val="nil"/>
            </w:tcBorders>
            <w:vAlign w:val="bottom"/>
          </w:tcPr>
          <w:p w14:paraId="0A362B26" w14:textId="77777777" w:rsidR="00375C6F" w:rsidRPr="00C93640" w:rsidRDefault="00375C6F" w:rsidP="00375C6F">
            <w:pPr>
              <w:autoSpaceDE w:val="0"/>
              <w:autoSpaceDN w:val="0"/>
              <w:adjustRightInd w:val="0"/>
              <w:ind w:right="111"/>
              <w:jc w:val="right"/>
              <w:rPr>
                <w:rFonts w:eastAsia="Arial Unicode MS"/>
                <w:b/>
                <w:sz w:val="18"/>
                <w:szCs w:val="18"/>
              </w:rPr>
            </w:pPr>
          </w:p>
        </w:tc>
        <w:tc>
          <w:tcPr>
            <w:tcW w:w="1418" w:type="dxa"/>
            <w:tcBorders>
              <w:top w:val="single" w:sz="4" w:space="0" w:color="auto"/>
              <w:left w:val="nil"/>
              <w:bottom w:val="single" w:sz="4" w:space="0" w:color="auto"/>
              <w:right w:val="nil"/>
            </w:tcBorders>
            <w:vAlign w:val="bottom"/>
          </w:tcPr>
          <w:p w14:paraId="5B21FFDC" w14:textId="77777777" w:rsidR="00375C6F" w:rsidRPr="00C93640" w:rsidRDefault="00375C6F" w:rsidP="00375C6F">
            <w:pPr>
              <w:autoSpaceDE w:val="0"/>
              <w:autoSpaceDN w:val="0"/>
              <w:adjustRightInd w:val="0"/>
              <w:ind w:right="111"/>
              <w:jc w:val="right"/>
              <w:rPr>
                <w:rFonts w:eastAsia="Arial Unicode MS"/>
                <w:b/>
                <w:sz w:val="18"/>
                <w:szCs w:val="18"/>
              </w:rPr>
            </w:pPr>
          </w:p>
        </w:tc>
        <w:tc>
          <w:tcPr>
            <w:tcW w:w="1418" w:type="dxa"/>
            <w:tcBorders>
              <w:top w:val="single" w:sz="4" w:space="0" w:color="auto"/>
              <w:left w:val="nil"/>
              <w:bottom w:val="single" w:sz="4" w:space="0" w:color="auto"/>
              <w:right w:val="nil"/>
            </w:tcBorders>
            <w:vAlign w:val="bottom"/>
          </w:tcPr>
          <w:p w14:paraId="42617775" w14:textId="77777777" w:rsidR="00375C6F" w:rsidRPr="00C93640" w:rsidRDefault="00375C6F" w:rsidP="00375C6F">
            <w:pPr>
              <w:autoSpaceDE w:val="0"/>
              <w:autoSpaceDN w:val="0"/>
              <w:adjustRightInd w:val="0"/>
              <w:ind w:right="111"/>
              <w:jc w:val="right"/>
              <w:rPr>
                <w:rFonts w:eastAsia="Arial Unicode MS"/>
                <w:b/>
                <w:sz w:val="18"/>
                <w:szCs w:val="18"/>
              </w:rPr>
            </w:pPr>
          </w:p>
        </w:tc>
        <w:tc>
          <w:tcPr>
            <w:tcW w:w="1133" w:type="dxa"/>
            <w:tcBorders>
              <w:top w:val="single" w:sz="4" w:space="0" w:color="auto"/>
              <w:left w:val="nil"/>
              <w:bottom w:val="single" w:sz="4" w:space="0" w:color="auto"/>
              <w:right w:val="nil"/>
            </w:tcBorders>
            <w:vAlign w:val="bottom"/>
          </w:tcPr>
          <w:p w14:paraId="3030A9DB" w14:textId="77777777" w:rsidR="00375C6F" w:rsidRPr="00C93640" w:rsidRDefault="00375C6F" w:rsidP="00375C6F">
            <w:pPr>
              <w:autoSpaceDE w:val="0"/>
              <w:autoSpaceDN w:val="0"/>
              <w:adjustRightInd w:val="0"/>
              <w:ind w:right="111"/>
              <w:jc w:val="right"/>
              <w:rPr>
                <w:rFonts w:eastAsia="Arial Unicode MS"/>
                <w:b/>
                <w:sz w:val="18"/>
                <w:szCs w:val="18"/>
              </w:rPr>
            </w:pPr>
          </w:p>
        </w:tc>
      </w:tr>
      <w:tr w:rsidR="00375C6F" w:rsidRPr="00C93640" w14:paraId="6935A0BD" w14:textId="77777777" w:rsidTr="00526FB1">
        <w:trPr>
          <w:trHeight w:val="170"/>
        </w:trPr>
        <w:tc>
          <w:tcPr>
            <w:tcW w:w="292" w:type="dxa"/>
            <w:tcBorders>
              <w:top w:val="single" w:sz="4" w:space="0" w:color="auto"/>
              <w:left w:val="nil"/>
              <w:bottom w:val="single" w:sz="4" w:space="0" w:color="auto"/>
              <w:right w:val="nil"/>
            </w:tcBorders>
            <w:vAlign w:val="bottom"/>
          </w:tcPr>
          <w:p w14:paraId="043F3B30" w14:textId="77777777" w:rsidR="00375C6F" w:rsidRPr="00C93640" w:rsidRDefault="00375C6F" w:rsidP="00375C6F">
            <w:pPr>
              <w:autoSpaceDE w:val="0"/>
              <w:autoSpaceDN w:val="0"/>
              <w:adjustRightInd w:val="0"/>
              <w:ind w:left="180" w:hanging="180"/>
              <w:rPr>
                <w:rFonts w:eastAsia="Arial Unicode MS"/>
                <w:b/>
                <w:sz w:val="18"/>
                <w:szCs w:val="18"/>
              </w:rPr>
            </w:pPr>
          </w:p>
        </w:tc>
        <w:tc>
          <w:tcPr>
            <w:tcW w:w="2370" w:type="dxa"/>
            <w:tcBorders>
              <w:top w:val="single" w:sz="4" w:space="0" w:color="auto"/>
              <w:left w:val="nil"/>
              <w:bottom w:val="single" w:sz="4" w:space="0" w:color="auto"/>
              <w:right w:val="nil"/>
            </w:tcBorders>
            <w:vAlign w:val="bottom"/>
            <w:hideMark/>
          </w:tcPr>
          <w:p w14:paraId="08CE5724" w14:textId="77777777" w:rsidR="00375C6F" w:rsidRPr="00C93640" w:rsidRDefault="00375C6F" w:rsidP="00375C6F">
            <w:pPr>
              <w:autoSpaceDE w:val="0"/>
              <w:autoSpaceDN w:val="0"/>
              <w:adjustRightInd w:val="0"/>
              <w:ind w:left="180" w:hanging="180"/>
              <w:rPr>
                <w:rFonts w:eastAsia="Arial Unicode MS"/>
                <w:b/>
                <w:sz w:val="18"/>
                <w:szCs w:val="18"/>
              </w:rPr>
            </w:pPr>
            <w:r w:rsidRPr="00C93640">
              <w:rPr>
                <w:rFonts w:eastAsia="Arial Unicode MS"/>
                <w:b/>
                <w:sz w:val="18"/>
                <w:szCs w:val="18"/>
              </w:rPr>
              <w:t>Risk Ağırlığı</w:t>
            </w:r>
          </w:p>
        </w:tc>
        <w:tc>
          <w:tcPr>
            <w:tcW w:w="1275" w:type="dxa"/>
            <w:tcBorders>
              <w:top w:val="single" w:sz="4" w:space="0" w:color="auto"/>
              <w:left w:val="nil"/>
              <w:bottom w:val="single" w:sz="4" w:space="0" w:color="auto"/>
              <w:right w:val="nil"/>
            </w:tcBorders>
            <w:vAlign w:val="bottom"/>
            <w:hideMark/>
          </w:tcPr>
          <w:p w14:paraId="6EF1A41E" w14:textId="77777777" w:rsidR="00375C6F" w:rsidRPr="00C93640" w:rsidRDefault="00375C6F" w:rsidP="00375C6F">
            <w:pPr>
              <w:autoSpaceDE w:val="0"/>
              <w:autoSpaceDN w:val="0"/>
              <w:adjustRightInd w:val="0"/>
              <w:ind w:right="111"/>
              <w:jc w:val="right"/>
              <w:rPr>
                <w:rFonts w:eastAsia="Arial Unicode MS"/>
                <w:b/>
                <w:sz w:val="18"/>
                <w:szCs w:val="18"/>
              </w:rPr>
            </w:pPr>
            <w:r w:rsidRPr="00C93640">
              <w:rPr>
                <w:rFonts w:eastAsia="Arial Unicode MS"/>
                <w:b/>
                <w:sz w:val="18"/>
                <w:szCs w:val="18"/>
              </w:rPr>
              <w:t>Açılış Bakiyesi</w:t>
            </w:r>
          </w:p>
        </w:tc>
        <w:tc>
          <w:tcPr>
            <w:tcW w:w="1559" w:type="dxa"/>
            <w:tcBorders>
              <w:top w:val="single" w:sz="4" w:space="0" w:color="auto"/>
              <w:left w:val="nil"/>
              <w:bottom w:val="single" w:sz="4" w:space="0" w:color="auto"/>
              <w:right w:val="nil"/>
            </w:tcBorders>
            <w:vAlign w:val="bottom"/>
            <w:hideMark/>
          </w:tcPr>
          <w:p w14:paraId="4731FAE6" w14:textId="3567E893" w:rsidR="00375C6F" w:rsidRPr="00C93640" w:rsidRDefault="00375C6F" w:rsidP="00375C6F">
            <w:pPr>
              <w:autoSpaceDE w:val="0"/>
              <w:autoSpaceDN w:val="0"/>
              <w:adjustRightInd w:val="0"/>
              <w:ind w:right="111"/>
              <w:jc w:val="right"/>
              <w:rPr>
                <w:rFonts w:eastAsia="Arial Unicode MS"/>
                <w:b/>
                <w:sz w:val="18"/>
                <w:szCs w:val="18"/>
              </w:rPr>
            </w:pPr>
            <w:r w:rsidRPr="00C93640">
              <w:rPr>
                <w:rFonts w:eastAsia="Arial Unicode MS"/>
                <w:b/>
                <w:sz w:val="18"/>
                <w:szCs w:val="18"/>
              </w:rPr>
              <w:t>Dönem İçinde Ayrılan Karşılık Tutarları</w:t>
            </w:r>
          </w:p>
        </w:tc>
        <w:tc>
          <w:tcPr>
            <w:tcW w:w="1418" w:type="dxa"/>
            <w:tcBorders>
              <w:top w:val="single" w:sz="4" w:space="0" w:color="auto"/>
              <w:left w:val="nil"/>
              <w:bottom w:val="single" w:sz="4" w:space="0" w:color="auto"/>
              <w:right w:val="nil"/>
            </w:tcBorders>
            <w:vAlign w:val="bottom"/>
            <w:hideMark/>
          </w:tcPr>
          <w:p w14:paraId="637327E3" w14:textId="06C201C3" w:rsidR="00375C6F" w:rsidRPr="00C93640" w:rsidRDefault="00375C6F" w:rsidP="00375C6F">
            <w:pPr>
              <w:autoSpaceDE w:val="0"/>
              <w:autoSpaceDN w:val="0"/>
              <w:adjustRightInd w:val="0"/>
              <w:ind w:right="111"/>
              <w:jc w:val="right"/>
              <w:rPr>
                <w:rFonts w:eastAsia="Arial Unicode MS"/>
                <w:b/>
                <w:sz w:val="18"/>
                <w:szCs w:val="18"/>
              </w:rPr>
            </w:pPr>
            <w:r w:rsidRPr="00C93640">
              <w:rPr>
                <w:rFonts w:eastAsia="Arial Unicode MS"/>
                <w:b/>
                <w:sz w:val="18"/>
                <w:szCs w:val="18"/>
              </w:rPr>
              <w:t>Karşılık İptalleri</w:t>
            </w:r>
            <w:r w:rsidR="00942AF1" w:rsidRPr="00C93640">
              <w:rPr>
                <w:rFonts w:eastAsia="Arial Unicode MS"/>
                <w:b/>
                <w:sz w:val="18"/>
                <w:szCs w:val="18"/>
              </w:rPr>
              <w:t xml:space="preserve"> </w:t>
            </w:r>
            <w:r w:rsidR="00942AF1" w:rsidRPr="00C93640">
              <w:rPr>
                <w:rFonts w:eastAsia="Arial Unicode MS"/>
                <w:b/>
                <w:sz w:val="18"/>
                <w:szCs w:val="18"/>
                <w:vertAlign w:val="superscript"/>
              </w:rPr>
              <w:t>(*)</w:t>
            </w:r>
          </w:p>
        </w:tc>
        <w:tc>
          <w:tcPr>
            <w:tcW w:w="1418" w:type="dxa"/>
            <w:tcBorders>
              <w:top w:val="single" w:sz="4" w:space="0" w:color="auto"/>
              <w:left w:val="nil"/>
              <w:bottom w:val="single" w:sz="4" w:space="0" w:color="auto"/>
              <w:right w:val="nil"/>
            </w:tcBorders>
            <w:vAlign w:val="bottom"/>
            <w:hideMark/>
          </w:tcPr>
          <w:p w14:paraId="53CE239A" w14:textId="61807554" w:rsidR="00375C6F" w:rsidRPr="00C93640" w:rsidRDefault="00375C6F" w:rsidP="00375C6F">
            <w:pPr>
              <w:autoSpaceDE w:val="0"/>
              <w:autoSpaceDN w:val="0"/>
              <w:adjustRightInd w:val="0"/>
              <w:ind w:right="111"/>
              <w:jc w:val="right"/>
              <w:rPr>
                <w:rFonts w:eastAsia="Arial Unicode MS"/>
                <w:b/>
                <w:sz w:val="18"/>
                <w:szCs w:val="18"/>
              </w:rPr>
            </w:pPr>
            <w:r w:rsidRPr="00C93640">
              <w:rPr>
                <w:rFonts w:eastAsia="Arial Unicode MS"/>
                <w:b/>
                <w:sz w:val="18"/>
                <w:szCs w:val="18"/>
              </w:rPr>
              <w:t>Diğer Ayarlamalar</w:t>
            </w:r>
          </w:p>
        </w:tc>
        <w:tc>
          <w:tcPr>
            <w:tcW w:w="1133" w:type="dxa"/>
            <w:tcBorders>
              <w:top w:val="single" w:sz="4" w:space="0" w:color="auto"/>
              <w:left w:val="nil"/>
              <w:bottom w:val="single" w:sz="4" w:space="0" w:color="auto"/>
              <w:right w:val="nil"/>
            </w:tcBorders>
            <w:vAlign w:val="bottom"/>
            <w:hideMark/>
          </w:tcPr>
          <w:p w14:paraId="2638B99E" w14:textId="77777777" w:rsidR="00375C6F" w:rsidRPr="00C93640" w:rsidRDefault="00375C6F" w:rsidP="00375C6F">
            <w:pPr>
              <w:autoSpaceDE w:val="0"/>
              <w:autoSpaceDN w:val="0"/>
              <w:adjustRightInd w:val="0"/>
              <w:ind w:right="111"/>
              <w:jc w:val="right"/>
              <w:rPr>
                <w:rFonts w:eastAsia="Arial Unicode MS"/>
                <w:b/>
                <w:sz w:val="18"/>
                <w:szCs w:val="18"/>
              </w:rPr>
            </w:pPr>
            <w:r w:rsidRPr="00C93640">
              <w:rPr>
                <w:rFonts w:eastAsia="Arial Unicode MS"/>
                <w:b/>
                <w:sz w:val="18"/>
                <w:szCs w:val="18"/>
              </w:rPr>
              <w:t>Kapanış Bakiyesi</w:t>
            </w:r>
          </w:p>
        </w:tc>
      </w:tr>
      <w:tr w:rsidR="00375C6F" w:rsidRPr="00C93640" w14:paraId="5868FB32" w14:textId="77777777" w:rsidTr="00526FB1">
        <w:trPr>
          <w:trHeight w:val="170"/>
        </w:trPr>
        <w:tc>
          <w:tcPr>
            <w:tcW w:w="292" w:type="dxa"/>
            <w:tcBorders>
              <w:top w:val="single" w:sz="4" w:space="0" w:color="auto"/>
              <w:left w:val="nil"/>
              <w:bottom w:val="nil"/>
              <w:right w:val="nil"/>
            </w:tcBorders>
            <w:vAlign w:val="bottom"/>
          </w:tcPr>
          <w:p w14:paraId="4964514B" w14:textId="77777777" w:rsidR="00375C6F" w:rsidRPr="00C93640" w:rsidRDefault="00375C6F" w:rsidP="00375C6F">
            <w:pPr>
              <w:autoSpaceDE w:val="0"/>
              <w:autoSpaceDN w:val="0"/>
              <w:adjustRightInd w:val="0"/>
              <w:ind w:left="180" w:hanging="180"/>
              <w:rPr>
                <w:rFonts w:eastAsia="Arial Unicode MS"/>
                <w:b/>
                <w:sz w:val="18"/>
                <w:szCs w:val="18"/>
              </w:rPr>
            </w:pPr>
          </w:p>
        </w:tc>
        <w:tc>
          <w:tcPr>
            <w:tcW w:w="2370" w:type="dxa"/>
            <w:tcBorders>
              <w:top w:val="single" w:sz="4" w:space="0" w:color="auto"/>
              <w:left w:val="nil"/>
              <w:bottom w:val="nil"/>
              <w:right w:val="nil"/>
            </w:tcBorders>
            <w:vAlign w:val="bottom"/>
          </w:tcPr>
          <w:p w14:paraId="288F93E6" w14:textId="77777777" w:rsidR="00375C6F" w:rsidRPr="00C93640" w:rsidRDefault="00375C6F" w:rsidP="00375C6F">
            <w:pPr>
              <w:autoSpaceDE w:val="0"/>
              <w:autoSpaceDN w:val="0"/>
              <w:adjustRightInd w:val="0"/>
              <w:ind w:left="180" w:hanging="180"/>
              <w:rPr>
                <w:rFonts w:eastAsia="Arial Unicode MS"/>
                <w:b/>
                <w:sz w:val="18"/>
                <w:szCs w:val="18"/>
              </w:rPr>
            </w:pPr>
          </w:p>
        </w:tc>
        <w:tc>
          <w:tcPr>
            <w:tcW w:w="1275" w:type="dxa"/>
            <w:tcBorders>
              <w:top w:val="single" w:sz="4" w:space="0" w:color="auto"/>
              <w:left w:val="nil"/>
              <w:bottom w:val="nil"/>
              <w:right w:val="nil"/>
            </w:tcBorders>
            <w:vAlign w:val="bottom"/>
          </w:tcPr>
          <w:p w14:paraId="27299661" w14:textId="77777777" w:rsidR="00375C6F" w:rsidRPr="00C93640" w:rsidRDefault="00375C6F" w:rsidP="00375C6F">
            <w:pPr>
              <w:autoSpaceDE w:val="0"/>
              <w:autoSpaceDN w:val="0"/>
              <w:adjustRightInd w:val="0"/>
              <w:ind w:right="111"/>
              <w:jc w:val="right"/>
              <w:rPr>
                <w:rFonts w:eastAsia="Arial Unicode MS"/>
                <w:b/>
                <w:sz w:val="18"/>
                <w:szCs w:val="18"/>
              </w:rPr>
            </w:pPr>
          </w:p>
        </w:tc>
        <w:tc>
          <w:tcPr>
            <w:tcW w:w="1559" w:type="dxa"/>
            <w:tcBorders>
              <w:top w:val="single" w:sz="4" w:space="0" w:color="auto"/>
              <w:left w:val="nil"/>
              <w:bottom w:val="nil"/>
              <w:right w:val="nil"/>
            </w:tcBorders>
            <w:vAlign w:val="bottom"/>
          </w:tcPr>
          <w:p w14:paraId="017AC715" w14:textId="77777777" w:rsidR="00375C6F" w:rsidRPr="00C93640" w:rsidRDefault="00375C6F" w:rsidP="00375C6F">
            <w:pPr>
              <w:autoSpaceDE w:val="0"/>
              <w:autoSpaceDN w:val="0"/>
              <w:adjustRightInd w:val="0"/>
              <w:ind w:right="111"/>
              <w:jc w:val="right"/>
              <w:rPr>
                <w:rFonts w:eastAsia="Arial Unicode MS"/>
                <w:b/>
                <w:sz w:val="18"/>
                <w:szCs w:val="18"/>
              </w:rPr>
            </w:pPr>
          </w:p>
        </w:tc>
        <w:tc>
          <w:tcPr>
            <w:tcW w:w="1418" w:type="dxa"/>
            <w:tcBorders>
              <w:top w:val="single" w:sz="4" w:space="0" w:color="auto"/>
              <w:left w:val="nil"/>
              <w:bottom w:val="nil"/>
              <w:right w:val="nil"/>
            </w:tcBorders>
            <w:vAlign w:val="bottom"/>
          </w:tcPr>
          <w:p w14:paraId="5E341AD0" w14:textId="77777777" w:rsidR="00375C6F" w:rsidRPr="00C93640" w:rsidRDefault="00375C6F" w:rsidP="00375C6F">
            <w:pPr>
              <w:autoSpaceDE w:val="0"/>
              <w:autoSpaceDN w:val="0"/>
              <w:adjustRightInd w:val="0"/>
              <w:ind w:right="111"/>
              <w:jc w:val="right"/>
              <w:rPr>
                <w:rFonts w:eastAsia="Arial Unicode MS"/>
                <w:b/>
                <w:sz w:val="18"/>
                <w:szCs w:val="18"/>
              </w:rPr>
            </w:pPr>
          </w:p>
        </w:tc>
        <w:tc>
          <w:tcPr>
            <w:tcW w:w="1418" w:type="dxa"/>
            <w:tcBorders>
              <w:top w:val="single" w:sz="4" w:space="0" w:color="auto"/>
              <w:left w:val="nil"/>
              <w:bottom w:val="nil"/>
              <w:right w:val="nil"/>
            </w:tcBorders>
            <w:vAlign w:val="bottom"/>
          </w:tcPr>
          <w:p w14:paraId="0FF58185" w14:textId="77777777" w:rsidR="00375C6F" w:rsidRPr="00C93640" w:rsidRDefault="00375C6F" w:rsidP="00375C6F">
            <w:pPr>
              <w:autoSpaceDE w:val="0"/>
              <w:autoSpaceDN w:val="0"/>
              <w:adjustRightInd w:val="0"/>
              <w:ind w:right="111"/>
              <w:jc w:val="right"/>
              <w:rPr>
                <w:rFonts w:eastAsia="Arial Unicode MS"/>
                <w:b/>
                <w:sz w:val="18"/>
                <w:szCs w:val="18"/>
              </w:rPr>
            </w:pPr>
          </w:p>
        </w:tc>
        <w:tc>
          <w:tcPr>
            <w:tcW w:w="1133" w:type="dxa"/>
            <w:tcBorders>
              <w:top w:val="single" w:sz="4" w:space="0" w:color="auto"/>
              <w:left w:val="nil"/>
              <w:bottom w:val="nil"/>
              <w:right w:val="nil"/>
            </w:tcBorders>
            <w:vAlign w:val="bottom"/>
          </w:tcPr>
          <w:p w14:paraId="58769618" w14:textId="77777777" w:rsidR="00375C6F" w:rsidRPr="00C93640" w:rsidRDefault="00375C6F" w:rsidP="00375C6F">
            <w:pPr>
              <w:autoSpaceDE w:val="0"/>
              <w:autoSpaceDN w:val="0"/>
              <w:adjustRightInd w:val="0"/>
              <w:ind w:right="111"/>
              <w:jc w:val="right"/>
              <w:rPr>
                <w:rFonts w:eastAsia="Arial Unicode MS"/>
                <w:b/>
                <w:sz w:val="18"/>
                <w:szCs w:val="18"/>
              </w:rPr>
            </w:pPr>
          </w:p>
        </w:tc>
      </w:tr>
      <w:tr w:rsidR="00942AF1" w:rsidRPr="00C93640" w14:paraId="09412DA7" w14:textId="77777777" w:rsidTr="00C174DC">
        <w:trPr>
          <w:trHeight w:val="170"/>
        </w:trPr>
        <w:tc>
          <w:tcPr>
            <w:tcW w:w="292" w:type="dxa"/>
            <w:vAlign w:val="bottom"/>
            <w:hideMark/>
          </w:tcPr>
          <w:p w14:paraId="4E799D42" w14:textId="77777777" w:rsidR="00942AF1" w:rsidRPr="00C93640" w:rsidRDefault="00942AF1" w:rsidP="00942AF1">
            <w:pPr>
              <w:autoSpaceDE w:val="0"/>
              <w:autoSpaceDN w:val="0"/>
              <w:adjustRightInd w:val="0"/>
              <w:ind w:left="180" w:hanging="180"/>
              <w:jc w:val="center"/>
              <w:rPr>
                <w:rFonts w:eastAsia="Arial Unicode MS"/>
                <w:sz w:val="18"/>
                <w:szCs w:val="18"/>
              </w:rPr>
            </w:pPr>
            <w:r w:rsidRPr="00C93640">
              <w:rPr>
                <w:rFonts w:eastAsia="Arial Unicode MS"/>
                <w:sz w:val="18"/>
                <w:szCs w:val="18"/>
              </w:rPr>
              <w:t>1</w:t>
            </w:r>
          </w:p>
        </w:tc>
        <w:tc>
          <w:tcPr>
            <w:tcW w:w="2370" w:type="dxa"/>
            <w:vAlign w:val="bottom"/>
            <w:hideMark/>
          </w:tcPr>
          <w:p w14:paraId="2A92BCA1" w14:textId="77777777" w:rsidR="00942AF1" w:rsidRPr="00C93640" w:rsidRDefault="00942AF1" w:rsidP="00942AF1">
            <w:pPr>
              <w:autoSpaceDE w:val="0"/>
              <w:autoSpaceDN w:val="0"/>
              <w:adjustRightInd w:val="0"/>
              <w:ind w:left="180" w:hanging="180"/>
              <w:rPr>
                <w:rFonts w:eastAsia="Arial Unicode MS"/>
                <w:sz w:val="18"/>
                <w:szCs w:val="18"/>
              </w:rPr>
            </w:pPr>
            <w:r w:rsidRPr="00C93640">
              <w:rPr>
                <w:rFonts w:eastAsia="Arial Unicode MS"/>
                <w:sz w:val="18"/>
                <w:szCs w:val="18"/>
              </w:rPr>
              <w:t xml:space="preserve">3. Aşama Karşılıklar </w:t>
            </w:r>
          </w:p>
        </w:tc>
        <w:tc>
          <w:tcPr>
            <w:tcW w:w="1275" w:type="dxa"/>
          </w:tcPr>
          <w:p w14:paraId="5A5B232F" w14:textId="40E2C301" w:rsidR="00942AF1" w:rsidRPr="00C93640" w:rsidRDefault="00942AF1" w:rsidP="00942AF1">
            <w:pPr>
              <w:autoSpaceDE w:val="0"/>
              <w:autoSpaceDN w:val="0"/>
              <w:adjustRightInd w:val="0"/>
              <w:ind w:right="111"/>
              <w:jc w:val="right"/>
              <w:rPr>
                <w:color w:val="000000"/>
                <w:sz w:val="18"/>
                <w:szCs w:val="18"/>
              </w:rPr>
            </w:pPr>
            <w:r w:rsidRPr="00C93640">
              <w:rPr>
                <w:sz w:val="18"/>
                <w:szCs w:val="18"/>
              </w:rPr>
              <w:t>-</w:t>
            </w:r>
          </w:p>
        </w:tc>
        <w:tc>
          <w:tcPr>
            <w:tcW w:w="1559" w:type="dxa"/>
          </w:tcPr>
          <w:p w14:paraId="7561B2D7" w14:textId="794EC1EE" w:rsidR="00942AF1" w:rsidRPr="00C93640" w:rsidRDefault="0028205C" w:rsidP="00942AF1">
            <w:pPr>
              <w:autoSpaceDE w:val="0"/>
              <w:autoSpaceDN w:val="0"/>
              <w:adjustRightInd w:val="0"/>
              <w:ind w:right="111"/>
              <w:jc w:val="right"/>
              <w:rPr>
                <w:color w:val="000000"/>
                <w:sz w:val="18"/>
                <w:szCs w:val="18"/>
              </w:rPr>
            </w:pPr>
            <w:r w:rsidRPr="00C93640">
              <w:rPr>
                <w:sz w:val="18"/>
                <w:szCs w:val="18"/>
              </w:rPr>
              <w:t>392.160</w:t>
            </w:r>
          </w:p>
        </w:tc>
        <w:tc>
          <w:tcPr>
            <w:tcW w:w="1418" w:type="dxa"/>
          </w:tcPr>
          <w:p w14:paraId="4016CA1B" w14:textId="62FFFAAA" w:rsidR="00942AF1" w:rsidRPr="00C93640" w:rsidRDefault="00942AF1" w:rsidP="00942AF1">
            <w:pPr>
              <w:autoSpaceDE w:val="0"/>
              <w:autoSpaceDN w:val="0"/>
              <w:adjustRightInd w:val="0"/>
              <w:ind w:right="111"/>
              <w:jc w:val="right"/>
              <w:rPr>
                <w:color w:val="000000"/>
                <w:sz w:val="18"/>
                <w:szCs w:val="18"/>
              </w:rPr>
            </w:pPr>
            <w:r w:rsidRPr="00C93640">
              <w:rPr>
                <w:sz w:val="18"/>
                <w:szCs w:val="18"/>
              </w:rPr>
              <w:t>(</w:t>
            </w:r>
            <w:r w:rsidR="0028205C" w:rsidRPr="00C93640">
              <w:rPr>
                <w:sz w:val="18"/>
                <w:szCs w:val="18"/>
              </w:rPr>
              <w:t>3.655</w:t>
            </w:r>
            <w:r w:rsidRPr="00C93640">
              <w:rPr>
                <w:sz w:val="18"/>
                <w:szCs w:val="18"/>
              </w:rPr>
              <w:t>)</w:t>
            </w:r>
          </w:p>
        </w:tc>
        <w:tc>
          <w:tcPr>
            <w:tcW w:w="1418" w:type="dxa"/>
          </w:tcPr>
          <w:p w14:paraId="45544C25" w14:textId="1A5FEF34" w:rsidR="00942AF1" w:rsidRPr="00C93640" w:rsidRDefault="00942AF1" w:rsidP="00942AF1">
            <w:pPr>
              <w:autoSpaceDE w:val="0"/>
              <w:autoSpaceDN w:val="0"/>
              <w:adjustRightInd w:val="0"/>
              <w:ind w:right="111"/>
              <w:jc w:val="right"/>
              <w:rPr>
                <w:color w:val="000000"/>
                <w:sz w:val="18"/>
                <w:szCs w:val="18"/>
              </w:rPr>
            </w:pPr>
            <w:r w:rsidRPr="00C93640">
              <w:rPr>
                <w:sz w:val="18"/>
                <w:szCs w:val="18"/>
              </w:rPr>
              <w:t>-</w:t>
            </w:r>
          </w:p>
        </w:tc>
        <w:tc>
          <w:tcPr>
            <w:tcW w:w="1133" w:type="dxa"/>
          </w:tcPr>
          <w:p w14:paraId="4DF9F537" w14:textId="5A648283" w:rsidR="00942AF1" w:rsidRPr="00C93640" w:rsidRDefault="00942AF1" w:rsidP="00942AF1">
            <w:pPr>
              <w:autoSpaceDE w:val="0"/>
              <w:autoSpaceDN w:val="0"/>
              <w:adjustRightInd w:val="0"/>
              <w:ind w:right="111"/>
              <w:jc w:val="right"/>
              <w:rPr>
                <w:color w:val="000000"/>
                <w:sz w:val="18"/>
                <w:szCs w:val="18"/>
              </w:rPr>
            </w:pPr>
            <w:r w:rsidRPr="00C93640">
              <w:rPr>
                <w:sz w:val="18"/>
                <w:szCs w:val="18"/>
              </w:rPr>
              <w:t>388.505</w:t>
            </w:r>
          </w:p>
        </w:tc>
      </w:tr>
      <w:tr w:rsidR="00942AF1" w:rsidRPr="00C93640" w14:paraId="30D01C4B" w14:textId="77777777" w:rsidTr="00C174DC">
        <w:trPr>
          <w:trHeight w:val="170"/>
        </w:trPr>
        <w:tc>
          <w:tcPr>
            <w:tcW w:w="292" w:type="dxa"/>
            <w:vAlign w:val="bottom"/>
            <w:hideMark/>
          </w:tcPr>
          <w:p w14:paraId="24811E03" w14:textId="77777777" w:rsidR="00942AF1" w:rsidRPr="00C93640" w:rsidRDefault="00942AF1" w:rsidP="00942AF1">
            <w:pPr>
              <w:autoSpaceDE w:val="0"/>
              <w:autoSpaceDN w:val="0"/>
              <w:adjustRightInd w:val="0"/>
              <w:ind w:left="180" w:hanging="180"/>
              <w:jc w:val="center"/>
              <w:rPr>
                <w:rFonts w:eastAsia="Arial Unicode MS"/>
                <w:sz w:val="18"/>
                <w:szCs w:val="18"/>
              </w:rPr>
            </w:pPr>
            <w:r w:rsidRPr="00C93640">
              <w:rPr>
                <w:rFonts w:eastAsia="Arial Unicode MS"/>
                <w:sz w:val="18"/>
                <w:szCs w:val="18"/>
              </w:rPr>
              <w:t>2</w:t>
            </w:r>
          </w:p>
        </w:tc>
        <w:tc>
          <w:tcPr>
            <w:tcW w:w="2370" w:type="dxa"/>
            <w:vAlign w:val="bottom"/>
            <w:hideMark/>
          </w:tcPr>
          <w:p w14:paraId="0869115D" w14:textId="77777777" w:rsidR="00942AF1" w:rsidRPr="00C93640" w:rsidRDefault="00942AF1" w:rsidP="00942AF1">
            <w:pPr>
              <w:autoSpaceDE w:val="0"/>
              <w:autoSpaceDN w:val="0"/>
              <w:adjustRightInd w:val="0"/>
              <w:ind w:left="180" w:hanging="180"/>
              <w:rPr>
                <w:rFonts w:eastAsia="Arial Unicode MS"/>
                <w:sz w:val="18"/>
                <w:szCs w:val="18"/>
              </w:rPr>
            </w:pPr>
            <w:r w:rsidRPr="00C93640">
              <w:rPr>
                <w:rFonts w:eastAsia="Arial Unicode MS"/>
                <w:sz w:val="18"/>
                <w:szCs w:val="18"/>
              </w:rPr>
              <w:t>1. ve 2. Aşama Karşılıklar</w:t>
            </w:r>
          </w:p>
        </w:tc>
        <w:tc>
          <w:tcPr>
            <w:tcW w:w="1275" w:type="dxa"/>
          </w:tcPr>
          <w:p w14:paraId="41CBE012" w14:textId="743B012E" w:rsidR="00942AF1" w:rsidRPr="00C93640" w:rsidRDefault="00942AF1" w:rsidP="00942AF1">
            <w:pPr>
              <w:autoSpaceDE w:val="0"/>
              <w:autoSpaceDN w:val="0"/>
              <w:adjustRightInd w:val="0"/>
              <w:ind w:right="111"/>
              <w:jc w:val="right"/>
              <w:rPr>
                <w:color w:val="000000"/>
                <w:sz w:val="18"/>
                <w:szCs w:val="18"/>
              </w:rPr>
            </w:pPr>
            <w:r w:rsidRPr="00C93640">
              <w:rPr>
                <w:sz w:val="18"/>
                <w:szCs w:val="18"/>
              </w:rPr>
              <w:t>369.935</w:t>
            </w:r>
          </w:p>
        </w:tc>
        <w:tc>
          <w:tcPr>
            <w:tcW w:w="1559" w:type="dxa"/>
          </w:tcPr>
          <w:p w14:paraId="455FF0B9" w14:textId="75444BE9" w:rsidR="00942AF1" w:rsidRPr="00C93640" w:rsidRDefault="00942AF1" w:rsidP="00942AF1">
            <w:pPr>
              <w:autoSpaceDE w:val="0"/>
              <w:autoSpaceDN w:val="0"/>
              <w:adjustRightInd w:val="0"/>
              <w:ind w:right="111"/>
              <w:jc w:val="right"/>
              <w:rPr>
                <w:color w:val="000000"/>
                <w:sz w:val="18"/>
                <w:szCs w:val="18"/>
              </w:rPr>
            </w:pPr>
            <w:r w:rsidRPr="00C93640">
              <w:rPr>
                <w:sz w:val="18"/>
                <w:szCs w:val="18"/>
              </w:rPr>
              <w:t>273.341</w:t>
            </w:r>
          </w:p>
        </w:tc>
        <w:tc>
          <w:tcPr>
            <w:tcW w:w="1418" w:type="dxa"/>
          </w:tcPr>
          <w:p w14:paraId="0CA2CF6A" w14:textId="07194C01" w:rsidR="00942AF1" w:rsidRPr="00C93640" w:rsidRDefault="00942AF1" w:rsidP="00942AF1">
            <w:pPr>
              <w:autoSpaceDE w:val="0"/>
              <w:autoSpaceDN w:val="0"/>
              <w:adjustRightInd w:val="0"/>
              <w:ind w:right="111"/>
              <w:jc w:val="right"/>
              <w:rPr>
                <w:color w:val="000000"/>
                <w:sz w:val="18"/>
                <w:szCs w:val="18"/>
              </w:rPr>
            </w:pPr>
            <w:r w:rsidRPr="00C93640">
              <w:rPr>
                <w:sz w:val="18"/>
                <w:szCs w:val="18"/>
              </w:rPr>
              <w:t>(314.046)</w:t>
            </w:r>
          </w:p>
        </w:tc>
        <w:tc>
          <w:tcPr>
            <w:tcW w:w="1418" w:type="dxa"/>
          </w:tcPr>
          <w:p w14:paraId="5CFBBFB1" w14:textId="4C9618CD" w:rsidR="00942AF1" w:rsidRPr="00C93640" w:rsidRDefault="00942AF1" w:rsidP="00942AF1">
            <w:pPr>
              <w:autoSpaceDE w:val="0"/>
              <w:autoSpaceDN w:val="0"/>
              <w:adjustRightInd w:val="0"/>
              <w:ind w:right="111"/>
              <w:jc w:val="right"/>
              <w:rPr>
                <w:color w:val="000000"/>
                <w:sz w:val="18"/>
                <w:szCs w:val="18"/>
              </w:rPr>
            </w:pPr>
            <w:r w:rsidRPr="00C93640">
              <w:rPr>
                <w:sz w:val="18"/>
                <w:szCs w:val="18"/>
              </w:rPr>
              <w:t>(178.382)</w:t>
            </w:r>
          </w:p>
        </w:tc>
        <w:tc>
          <w:tcPr>
            <w:tcW w:w="1133" w:type="dxa"/>
          </w:tcPr>
          <w:p w14:paraId="40F5CD41" w14:textId="4B7FECDB" w:rsidR="00942AF1" w:rsidRPr="00C93640" w:rsidRDefault="00942AF1" w:rsidP="00942AF1">
            <w:pPr>
              <w:autoSpaceDE w:val="0"/>
              <w:autoSpaceDN w:val="0"/>
              <w:adjustRightInd w:val="0"/>
              <w:ind w:right="111"/>
              <w:jc w:val="right"/>
              <w:rPr>
                <w:color w:val="000000"/>
                <w:sz w:val="18"/>
                <w:szCs w:val="18"/>
              </w:rPr>
            </w:pPr>
            <w:r w:rsidRPr="00C93640">
              <w:rPr>
                <w:sz w:val="18"/>
                <w:szCs w:val="18"/>
              </w:rPr>
              <w:t>150.848</w:t>
            </w:r>
          </w:p>
        </w:tc>
      </w:tr>
      <w:tr w:rsidR="00375C6F" w:rsidRPr="00C93640" w14:paraId="7C70D195" w14:textId="77777777" w:rsidTr="00526FB1">
        <w:trPr>
          <w:trHeight w:val="170"/>
        </w:trPr>
        <w:tc>
          <w:tcPr>
            <w:tcW w:w="292" w:type="dxa"/>
            <w:tcBorders>
              <w:top w:val="nil"/>
              <w:left w:val="nil"/>
              <w:bottom w:val="single" w:sz="4" w:space="0" w:color="auto"/>
              <w:right w:val="nil"/>
            </w:tcBorders>
            <w:vAlign w:val="bottom"/>
          </w:tcPr>
          <w:p w14:paraId="3ADA2F61" w14:textId="77777777" w:rsidR="00375C6F" w:rsidRPr="00C93640" w:rsidRDefault="00375C6F" w:rsidP="00375C6F">
            <w:pPr>
              <w:autoSpaceDE w:val="0"/>
              <w:autoSpaceDN w:val="0"/>
              <w:adjustRightInd w:val="0"/>
              <w:ind w:left="180" w:hanging="180"/>
              <w:jc w:val="center"/>
              <w:rPr>
                <w:rFonts w:eastAsia="Arial Unicode MS"/>
                <w:sz w:val="18"/>
                <w:szCs w:val="18"/>
              </w:rPr>
            </w:pPr>
          </w:p>
        </w:tc>
        <w:tc>
          <w:tcPr>
            <w:tcW w:w="2370" w:type="dxa"/>
            <w:tcBorders>
              <w:top w:val="nil"/>
              <w:left w:val="nil"/>
              <w:bottom w:val="single" w:sz="4" w:space="0" w:color="auto"/>
              <w:right w:val="nil"/>
            </w:tcBorders>
            <w:vAlign w:val="bottom"/>
          </w:tcPr>
          <w:p w14:paraId="5F5876AD" w14:textId="77777777" w:rsidR="00375C6F" w:rsidRPr="00C93640" w:rsidRDefault="00375C6F" w:rsidP="00375C6F">
            <w:pPr>
              <w:autoSpaceDE w:val="0"/>
              <w:autoSpaceDN w:val="0"/>
              <w:adjustRightInd w:val="0"/>
              <w:ind w:left="180" w:hanging="180"/>
              <w:rPr>
                <w:rFonts w:eastAsia="Arial Unicode MS"/>
                <w:sz w:val="18"/>
                <w:szCs w:val="18"/>
              </w:rPr>
            </w:pPr>
          </w:p>
        </w:tc>
        <w:tc>
          <w:tcPr>
            <w:tcW w:w="1275" w:type="dxa"/>
            <w:tcBorders>
              <w:top w:val="nil"/>
              <w:left w:val="nil"/>
              <w:bottom w:val="single" w:sz="4" w:space="0" w:color="auto"/>
              <w:right w:val="nil"/>
            </w:tcBorders>
            <w:vAlign w:val="center"/>
          </w:tcPr>
          <w:p w14:paraId="5FCDADE7" w14:textId="77777777" w:rsidR="00375C6F" w:rsidRPr="00C93640" w:rsidRDefault="00375C6F" w:rsidP="00375C6F">
            <w:pPr>
              <w:autoSpaceDE w:val="0"/>
              <w:autoSpaceDN w:val="0"/>
              <w:adjustRightInd w:val="0"/>
              <w:ind w:right="111"/>
              <w:jc w:val="right"/>
              <w:rPr>
                <w:color w:val="000000"/>
                <w:sz w:val="18"/>
                <w:szCs w:val="18"/>
              </w:rPr>
            </w:pPr>
          </w:p>
        </w:tc>
        <w:tc>
          <w:tcPr>
            <w:tcW w:w="1559" w:type="dxa"/>
            <w:tcBorders>
              <w:top w:val="nil"/>
              <w:left w:val="nil"/>
              <w:bottom w:val="single" w:sz="4" w:space="0" w:color="auto"/>
              <w:right w:val="nil"/>
            </w:tcBorders>
            <w:vAlign w:val="center"/>
          </w:tcPr>
          <w:p w14:paraId="709555B3" w14:textId="77777777" w:rsidR="00375C6F" w:rsidRPr="00C93640" w:rsidRDefault="00375C6F" w:rsidP="00375C6F">
            <w:pPr>
              <w:autoSpaceDE w:val="0"/>
              <w:autoSpaceDN w:val="0"/>
              <w:adjustRightInd w:val="0"/>
              <w:ind w:right="111"/>
              <w:jc w:val="right"/>
              <w:rPr>
                <w:color w:val="000000"/>
                <w:sz w:val="18"/>
                <w:szCs w:val="18"/>
              </w:rPr>
            </w:pPr>
          </w:p>
        </w:tc>
        <w:tc>
          <w:tcPr>
            <w:tcW w:w="1418" w:type="dxa"/>
            <w:tcBorders>
              <w:top w:val="nil"/>
              <w:left w:val="nil"/>
              <w:bottom w:val="single" w:sz="4" w:space="0" w:color="auto"/>
              <w:right w:val="nil"/>
            </w:tcBorders>
            <w:vAlign w:val="center"/>
          </w:tcPr>
          <w:p w14:paraId="2C05AB9D" w14:textId="77777777" w:rsidR="00375C6F" w:rsidRPr="00C93640" w:rsidRDefault="00375C6F" w:rsidP="00375C6F">
            <w:pPr>
              <w:autoSpaceDE w:val="0"/>
              <w:autoSpaceDN w:val="0"/>
              <w:adjustRightInd w:val="0"/>
              <w:ind w:right="111"/>
              <w:jc w:val="right"/>
              <w:rPr>
                <w:color w:val="000000"/>
                <w:sz w:val="18"/>
                <w:szCs w:val="18"/>
              </w:rPr>
            </w:pPr>
          </w:p>
        </w:tc>
        <w:tc>
          <w:tcPr>
            <w:tcW w:w="1418" w:type="dxa"/>
            <w:tcBorders>
              <w:top w:val="nil"/>
              <w:left w:val="nil"/>
              <w:bottom w:val="single" w:sz="4" w:space="0" w:color="auto"/>
              <w:right w:val="nil"/>
            </w:tcBorders>
            <w:vAlign w:val="center"/>
          </w:tcPr>
          <w:p w14:paraId="70957BFA" w14:textId="77777777" w:rsidR="00375C6F" w:rsidRPr="00C93640" w:rsidRDefault="00375C6F" w:rsidP="00375C6F">
            <w:pPr>
              <w:autoSpaceDE w:val="0"/>
              <w:autoSpaceDN w:val="0"/>
              <w:adjustRightInd w:val="0"/>
              <w:ind w:right="111"/>
              <w:jc w:val="right"/>
              <w:rPr>
                <w:color w:val="000000"/>
                <w:sz w:val="18"/>
                <w:szCs w:val="18"/>
              </w:rPr>
            </w:pPr>
          </w:p>
        </w:tc>
        <w:tc>
          <w:tcPr>
            <w:tcW w:w="1133" w:type="dxa"/>
            <w:tcBorders>
              <w:top w:val="nil"/>
              <w:left w:val="nil"/>
              <w:bottom w:val="single" w:sz="4" w:space="0" w:color="auto"/>
              <w:right w:val="nil"/>
            </w:tcBorders>
            <w:vAlign w:val="center"/>
          </w:tcPr>
          <w:p w14:paraId="31C20CC6" w14:textId="77777777" w:rsidR="00375C6F" w:rsidRPr="00C93640" w:rsidRDefault="00375C6F" w:rsidP="00375C6F">
            <w:pPr>
              <w:autoSpaceDE w:val="0"/>
              <w:autoSpaceDN w:val="0"/>
              <w:adjustRightInd w:val="0"/>
              <w:ind w:right="111"/>
              <w:jc w:val="right"/>
              <w:rPr>
                <w:color w:val="000000"/>
                <w:sz w:val="18"/>
                <w:szCs w:val="18"/>
              </w:rPr>
            </w:pPr>
          </w:p>
        </w:tc>
      </w:tr>
    </w:tbl>
    <w:p w14:paraId="64AB09F6" w14:textId="15B7F92A" w:rsidR="00942AF1" w:rsidRPr="00C93640" w:rsidRDefault="00942AF1" w:rsidP="00F91828">
      <w:pPr>
        <w:spacing w:before="120" w:after="120"/>
        <w:rPr>
          <w:b/>
          <w:szCs w:val="20"/>
        </w:rPr>
      </w:pPr>
      <w:bookmarkStart w:id="52" w:name="_Hlk223336401"/>
      <w:bookmarkEnd w:id="50"/>
      <w:r w:rsidRPr="00C93640">
        <w:rPr>
          <w:bCs/>
          <w:szCs w:val="20"/>
          <w:vertAlign w:val="superscript"/>
        </w:rPr>
        <w:t xml:space="preserve">(*) </w:t>
      </w:r>
      <w:r w:rsidRPr="00C93640">
        <w:rPr>
          <w:bCs/>
          <w:szCs w:val="20"/>
        </w:rPr>
        <w:t>Finansal tablolara ilişkin açıklama ve dipnotlar üçüncü bölümde belirtilen TFRS 9 geçiş öncesi değer düşüklüğü karşılığı ile 1 Temmuz 2025 itibarıyla TFRS 9’da öngörülen beklenen kredi zarar modeline uygun olarak ölçülen yeni beklenen zarar karşılığı arasındaki karşılık iptali dahil edilmiştir.</w:t>
      </w:r>
    </w:p>
    <w:tbl>
      <w:tblPr>
        <w:tblW w:w="5000" w:type="pct"/>
        <w:tblCellMar>
          <w:left w:w="30" w:type="dxa"/>
          <w:right w:w="30" w:type="dxa"/>
        </w:tblCellMar>
        <w:tblLook w:val="04A0" w:firstRow="1" w:lastRow="0" w:firstColumn="1" w:lastColumn="0" w:noHBand="0" w:noVBand="1"/>
      </w:tblPr>
      <w:tblGrid>
        <w:gridCol w:w="2023"/>
        <w:gridCol w:w="1224"/>
        <w:gridCol w:w="1993"/>
        <w:gridCol w:w="1577"/>
        <w:gridCol w:w="1590"/>
        <w:gridCol w:w="1232"/>
      </w:tblGrid>
      <w:tr w:rsidR="00F91828" w:rsidRPr="00C93640" w14:paraId="03465286" w14:textId="77777777" w:rsidTr="00221C87">
        <w:trPr>
          <w:trHeight w:val="170"/>
        </w:trPr>
        <w:tc>
          <w:tcPr>
            <w:tcW w:w="1049" w:type="pct"/>
            <w:tcBorders>
              <w:top w:val="single" w:sz="4" w:space="0" w:color="auto"/>
              <w:left w:val="nil"/>
              <w:bottom w:val="single" w:sz="4" w:space="0" w:color="auto"/>
              <w:right w:val="nil"/>
            </w:tcBorders>
            <w:vAlign w:val="bottom"/>
          </w:tcPr>
          <w:bookmarkEnd w:id="51"/>
          <w:bookmarkEnd w:id="52"/>
          <w:p w14:paraId="74998FBF" w14:textId="6A8122ED" w:rsidR="0069337C" w:rsidRPr="00C93640" w:rsidRDefault="0069337C" w:rsidP="0069337C">
            <w:pPr>
              <w:autoSpaceDE w:val="0"/>
              <w:autoSpaceDN w:val="0"/>
              <w:adjustRightInd w:val="0"/>
              <w:ind w:left="180" w:hanging="180"/>
              <w:rPr>
                <w:rFonts w:eastAsia="Arial Unicode MS"/>
                <w:b/>
                <w:sz w:val="18"/>
                <w:szCs w:val="18"/>
              </w:rPr>
            </w:pPr>
            <w:r w:rsidRPr="00C93640">
              <w:rPr>
                <w:rFonts w:eastAsia="Arial Unicode MS"/>
                <w:b/>
                <w:sz w:val="18"/>
                <w:szCs w:val="18"/>
              </w:rPr>
              <w:t>31 Aralık 2024</w:t>
            </w:r>
          </w:p>
        </w:tc>
        <w:tc>
          <w:tcPr>
            <w:tcW w:w="635" w:type="pct"/>
            <w:tcBorders>
              <w:top w:val="single" w:sz="4" w:space="0" w:color="auto"/>
              <w:left w:val="nil"/>
              <w:bottom w:val="single" w:sz="4" w:space="0" w:color="auto"/>
              <w:right w:val="nil"/>
            </w:tcBorders>
            <w:vAlign w:val="bottom"/>
          </w:tcPr>
          <w:p w14:paraId="422C7B96" w14:textId="77777777" w:rsidR="00F91828" w:rsidRPr="00C93640" w:rsidRDefault="00F91828" w:rsidP="00B0049C">
            <w:pPr>
              <w:autoSpaceDE w:val="0"/>
              <w:autoSpaceDN w:val="0"/>
              <w:adjustRightInd w:val="0"/>
              <w:ind w:right="111"/>
              <w:jc w:val="right"/>
              <w:rPr>
                <w:rFonts w:eastAsia="Arial Unicode MS"/>
                <w:b/>
                <w:sz w:val="18"/>
                <w:szCs w:val="18"/>
              </w:rPr>
            </w:pPr>
          </w:p>
        </w:tc>
        <w:tc>
          <w:tcPr>
            <w:tcW w:w="1034" w:type="pct"/>
            <w:tcBorders>
              <w:top w:val="single" w:sz="4" w:space="0" w:color="auto"/>
              <w:left w:val="nil"/>
              <w:bottom w:val="single" w:sz="4" w:space="0" w:color="auto"/>
              <w:right w:val="nil"/>
            </w:tcBorders>
            <w:vAlign w:val="bottom"/>
          </w:tcPr>
          <w:p w14:paraId="3F8E043B" w14:textId="77777777" w:rsidR="00F91828" w:rsidRPr="00C93640" w:rsidRDefault="00F91828" w:rsidP="00B0049C">
            <w:pPr>
              <w:autoSpaceDE w:val="0"/>
              <w:autoSpaceDN w:val="0"/>
              <w:adjustRightInd w:val="0"/>
              <w:ind w:right="111"/>
              <w:jc w:val="right"/>
              <w:rPr>
                <w:rFonts w:eastAsia="Arial Unicode MS"/>
                <w:b/>
                <w:sz w:val="18"/>
                <w:szCs w:val="18"/>
              </w:rPr>
            </w:pPr>
          </w:p>
        </w:tc>
        <w:tc>
          <w:tcPr>
            <w:tcW w:w="818" w:type="pct"/>
            <w:tcBorders>
              <w:top w:val="single" w:sz="4" w:space="0" w:color="auto"/>
              <w:left w:val="nil"/>
              <w:bottom w:val="single" w:sz="4" w:space="0" w:color="auto"/>
              <w:right w:val="nil"/>
            </w:tcBorders>
            <w:vAlign w:val="bottom"/>
          </w:tcPr>
          <w:p w14:paraId="46452400" w14:textId="77777777" w:rsidR="00F91828" w:rsidRPr="00C93640" w:rsidRDefault="00F91828" w:rsidP="00B0049C">
            <w:pPr>
              <w:autoSpaceDE w:val="0"/>
              <w:autoSpaceDN w:val="0"/>
              <w:adjustRightInd w:val="0"/>
              <w:ind w:right="111"/>
              <w:jc w:val="right"/>
              <w:rPr>
                <w:rFonts w:eastAsia="Arial Unicode MS"/>
                <w:b/>
                <w:sz w:val="18"/>
                <w:szCs w:val="18"/>
              </w:rPr>
            </w:pPr>
          </w:p>
        </w:tc>
        <w:tc>
          <w:tcPr>
            <w:tcW w:w="825" w:type="pct"/>
            <w:tcBorders>
              <w:top w:val="single" w:sz="4" w:space="0" w:color="auto"/>
              <w:left w:val="nil"/>
              <w:bottom w:val="single" w:sz="4" w:space="0" w:color="auto"/>
              <w:right w:val="nil"/>
            </w:tcBorders>
            <w:vAlign w:val="bottom"/>
          </w:tcPr>
          <w:p w14:paraId="6582E24C" w14:textId="77777777" w:rsidR="00F91828" w:rsidRPr="00C93640" w:rsidRDefault="00F91828" w:rsidP="00B0049C">
            <w:pPr>
              <w:autoSpaceDE w:val="0"/>
              <w:autoSpaceDN w:val="0"/>
              <w:adjustRightInd w:val="0"/>
              <w:ind w:right="111"/>
              <w:jc w:val="right"/>
              <w:rPr>
                <w:rFonts w:eastAsia="Arial Unicode MS"/>
                <w:b/>
                <w:sz w:val="18"/>
                <w:szCs w:val="18"/>
              </w:rPr>
            </w:pPr>
          </w:p>
        </w:tc>
        <w:tc>
          <w:tcPr>
            <w:tcW w:w="639" w:type="pct"/>
            <w:tcBorders>
              <w:top w:val="single" w:sz="4" w:space="0" w:color="auto"/>
              <w:left w:val="nil"/>
              <w:bottom w:val="single" w:sz="4" w:space="0" w:color="auto"/>
              <w:right w:val="nil"/>
            </w:tcBorders>
            <w:vAlign w:val="bottom"/>
          </w:tcPr>
          <w:p w14:paraId="693076B1" w14:textId="77777777" w:rsidR="00F91828" w:rsidRPr="00C93640" w:rsidRDefault="00F91828" w:rsidP="00B0049C">
            <w:pPr>
              <w:autoSpaceDE w:val="0"/>
              <w:autoSpaceDN w:val="0"/>
              <w:adjustRightInd w:val="0"/>
              <w:ind w:right="111"/>
              <w:jc w:val="right"/>
              <w:rPr>
                <w:rFonts w:eastAsia="Arial Unicode MS"/>
                <w:b/>
                <w:sz w:val="18"/>
                <w:szCs w:val="18"/>
              </w:rPr>
            </w:pPr>
          </w:p>
        </w:tc>
      </w:tr>
      <w:tr w:rsidR="00F91828" w:rsidRPr="00C93640" w14:paraId="58B6B3ED" w14:textId="77777777" w:rsidTr="00B0049C">
        <w:trPr>
          <w:trHeight w:val="170"/>
        </w:trPr>
        <w:tc>
          <w:tcPr>
            <w:tcW w:w="1049" w:type="pct"/>
            <w:tcBorders>
              <w:top w:val="single" w:sz="4" w:space="0" w:color="auto"/>
              <w:left w:val="nil"/>
              <w:bottom w:val="single" w:sz="4" w:space="0" w:color="auto"/>
              <w:right w:val="nil"/>
            </w:tcBorders>
            <w:vAlign w:val="bottom"/>
            <w:hideMark/>
          </w:tcPr>
          <w:p w14:paraId="3BD89993" w14:textId="77777777" w:rsidR="00F91828" w:rsidRPr="00C93640" w:rsidRDefault="00F91828" w:rsidP="00B0049C">
            <w:pPr>
              <w:autoSpaceDE w:val="0"/>
              <w:autoSpaceDN w:val="0"/>
              <w:adjustRightInd w:val="0"/>
              <w:ind w:left="180" w:hanging="180"/>
              <w:rPr>
                <w:rFonts w:eastAsia="Arial Unicode MS"/>
                <w:b/>
                <w:sz w:val="18"/>
                <w:szCs w:val="18"/>
              </w:rPr>
            </w:pPr>
            <w:r w:rsidRPr="00C93640">
              <w:rPr>
                <w:rFonts w:eastAsia="Arial Unicode MS"/>
                <w:b/>
                <w:sz w:val="18"/>
                <w:szCs w:val="18"/>
              </w:rPr>
              <w:t>Risk Ağırlığı</w:t>
            </w:r>
          </w:p>
        </w:tc>
        <w:tc>
          <w:tcPr>
            <w:tcW w:w="635" w:type="pct"/>
            <w:tcBorders>
              <w:top w:val="single" w:sz="4" w:space="0" w:color="auto"/>
              <w:left w:val="nil"/>
              <w:bottom w:val="single" w:sz="4" w:space="0" w:color="auto"/>
              <w:right w:val="nil"/>
            </w:tcBorders>
            <w:vAlign w:val="bottom"/>
            <w:hideMark/>
          </w:tcPr>
          <w:p w14:paraId="7F886D66" w14:textId="77777777" w:rsidR="00F91828" w:rsidRPr="00C93640" w:rsidRDefault="00F91828" w:rsidP="00B0049C">
            <w:pPr>
              <w:autoSpaceDE w:val="0"/>
              <w:autoSpaceDN w:val="0"/>
              <w:adjustRightInd w:val="0"/>
              <w:ind w:right="111"/>
              <w:jc w:val="right"/>
              <w:rPr>
                <w:rFonts w:eastAsia="Arial Unicode MS"/>
                <w:b/>
                <w:sz w:val="18"/>
                <w:szCs w:val="18"/>
              </w:rPr>
            </w:pPr>
            <w:r w:rsidRPr="00C93640">
              <w:rPr>
                <w:rFonts w:eastAsia="Arial Unicode MS"/>
                <w:b/>
                <w:sz w:val="18"/>
                <w:szCs w:val="18"/>
              </w:rPr>
              <w:t>Açılış Bakiyesi</w:t>
            </w:r>
          </w:p>
        </w:tc>
        <w:tc>
          <w:tcPr>
            <w:tcW w:w="1034" w:type="pct"/>
            <w:tcBorders>
              <w:top w:val="single" w:sz="4" w:space="0" w:color="auto"/>
              <w:left w:val="nil"/>
              <w:bottom w:val="single" w:sz="4" w:space="0" w:color="auto"/>
              <w:right w:val="nil"/>
            </w:tcBorders>
            <w:vAlign w:val="bottom"/>
            <w:hideMark/>
          </w:tcPr>
          <w:p w14:paraId="2FD9E076" w14:textId="007DDC4A" w:rsidR="00F91828" w:rsidRPr="00C93640" w:rsidRDefault="00F91828" w:rsidP="00B0049C">
            <w:pPr>
              <w:autoSpaceDE w:val="0"/>
              <w:autoSpaceDN w:val="0"/>
              <w:adjustRightInd w:val="0"/>
              <w:ind w:right="111"/>
              <w:jc w:val="right"/>
              <w:rPr>
                <w:rFonts w:eastAsia="Arial Unicode MS"/>
                <w:b/>
                <w:sz w:val="18"/>
                <w:szCs w:val="18"/>
              </w:rPr>
            </w:pPr>
            <w:r w:rsidRPr="00C93640">
              <w:rPr>
                <w:rFonts w:eastAsia="Arial Unicode MS"/>
                <w:b/>
                <w:sz w:val="18"/>
                <w:szCs w:val="18"/>
              </w:rPr>
              <w:t xml:space="preserve">Dönem İçinde Ayrılan </w:t>
            </w:r>
            <w:r w:rsidR="0069337C" w:rsidRPr="00C93640">
              <w:rPr>
                <w:rFonts w:eastAsia="Arial Unicode MS"/>
                <w:b/>
                <w:sz w:val="18"/>
                <w:szCs w:val="18"/>
              </w:rPr>
              <w:t>K</w:t>
            </w:r>
            <w:r w:rsidRPr="00C93640">
              <w:rPr>
                <w:rFonts w:eastAsia="Arial Unicode MS"/>
                <w:b/>
                <w:sz w:val="18"/>
                <w:szCs w:val="18"/>
              </w:rPr>
              <w:t>arşılık Tutarları</w:t>
            </w:r>
          </w:p>
        </w:tc>
        <w:tc>
          <w:tcPr>
            <w:tcW w:w="818" w:type="pct"/>
            <w:tcBorders>
              <w:top w:val="single" w:sz="4" w:space="0" w:color="auto"/>
              <w:left w:val="nil"/>
              <w:bottom w:val="single" w:sz="4" w:space="0" w:color="auto"/>
              <w:right w:val="nil"/>
            </w:tcBorders>
            <w:vAlign w:val="bottom"/>
            <w:hideMark/>
          </w:tcPr>
          <w:p w14:paraId="5484D2D4" w14:textId="77777777" w:rsidR="00F91828" w:rsidRPr="00C93640" w:rsidRDefault="00F91828" w:rsidP="00B0049C">
            <w:pPr>
              <w:autoSpaceDE w:val="0"/>
              <w:autoSpaceDN w:val="0"/>
              <w:adjustRightInd w:val="0"/>
              <w:ind w:right="111"/>
              <w:jc w:val="right"/>
              <w:rPr>
                <w:rFonts w:eastAsia="Arial Unicode MS"/>
                <w:b/>
                <w:sz w:val="18"/>
                <w:szCs w:val="18"/>
              </w:rPr>
            </w:pPr>
            <w:r w:rsidRPr="00C93640">
              <w:rPr>
                <w:rFonts w:eastAsia="Arial Unicode MS"/>
                <w:b/>
                <w:sz w:val="18"/>
                <w:szCs w:val="18"/>
              </w:rPr>
              <w:t>Karşılık İptalleri</w:t>
            </w:r>
          </w:p>
        </w:tc>
        <w:tc>
          <w:tcPr>
            <w:tcW w:w="825" w:type="pct"/>
            <w:tcBorders>
              <w:top w:val="single" w:sz="4" w:space="0" w:color="auto"/>
              <w:left w:val="nil"/>
              <w:bottom w:val="single" w:sz="4" w:space="0" w:color="auto"/>
              <w:right w:val="nil"/>
            </w:tcBorders>
            <w:vAlign w:val="bottom"/>
            <w:hideMark/>
          </w:tcPr>
          <w:p w14:paraId="0698DF31" w14:textId="77777777" w:rsidR="00F91828" w:rsidRPr="00C93640" w:rsidRDefault="00F91828" w:rsidP="00B0049C">
            <w:pPr>
              <w:autoSpaceDE w:val="0"/>
              <w:autoSpaceDN w:val="0"/>
              <w:adjustRightInd w:val="0"/>
              <w:ind w:right="111"/>
              <w:jc w:val="right"/>
              <w:rPr>
                <w:rFonts w:eastAsia="Arial Unicode MS"/>
                <w:b/>
                <w:sz w:val="18"/>
                <w:szCs w:val="18"/>
              </w:rPr>
            </w:pPr>
            <w:r w:rsidRPr="00C93640">
              <w:rPr>
                <w:rFonts w:eastAsia="Arial Unicode MS"/>
                <w:b/>
                <w:sz w:val="18"/>
                <w:szCs w:val="18"/>
              </w:rPr>
              <w:t>Diğer Ayarlamalar</w:t>
            </w:r>
          </w:p>
        </w:tc>
        <w:tc>
          <w:tcPr>
            <w:tcW w:w="639" w:type="pct"/>
            <w:tcBorders>
              <w:top w:val="single" w:sz="4" w:space="0" w:color="auto"/>
              <w:left w:val="nil"/>
              <w:bottom w:val="single" w:sz="4" w:space="0" w:color="auto"/>
              <w:right w:val="nil"/>
            </w:tcBorders>
            <w:vAlign w:val="bottom"/>
            <w:hideMark/>
          </w:tcPr>
          <w:p w14:paraId="31B71BEA" w14:textId="77777777" w:rsidR="00F91828" w:rsidRPr="00C93640" w:rsidRDefault="00F91828" w:rsidP="00B0049C">
            <w:pPr>
              <w:autoSpaceDE w:val="0"/>
              <w:autoSpaceDN w:val="0"/>
              <w:adjustRightInd w:val="0"/>
              <w:ind w:right="111"/>
              <w:jc w:val="right"/>
              <w:rPr>
                <w:rFonts w:eastAsia="Arial Unicode MS"/>
                <w:b/>
                <w:sz w:val="18"/>
                <w:szCs w:val="18"/>
              </w:rPr>
            </w:pPr>
            <w:r w:rsidRPr="00C93640">
              <w:rPr>
                <w:rFonts w:eastAsia="Arial Unicode MS"/>
                <w:b/>
                <w:sz w:val="18"/>
                <w:szCs w:val="18"/>
              </w:rPr>
              <w:t>Kapanış Bakiyesi</w:t>
            </w:r>
          </w:p>
        </w:tc>
      </w:tr>
      <w:tr w:rsidR="00F91828" w:rsidRPr="00C93640" w14:paraId="1532B506" w14:textId="77777777" w:rsidTr="00B0049C">
        <w:trPr>
          <w:trHeight w:val="170"/>
        </w:trPr>
        <w:tc>
          <w:tcPr>
            <w:tcW w:w="1049" w:type="pct"/>
            <w:tcBorders>
              <w:top w:val="single" w:sz="4" w:space="0" w:color="auto"/>
              <w:left w:val="nil"/>
              <w:bottom w:val="nil"/>
              <w:right w:val="nil"/>
            </w:tcBorders>
            <w:vAlign w:val="bottom"/>
          </w:tcPr>
          <w:p w14:paraId="742175B8" w14:textId="77777777" w:rsidR="00F91828" w:rsidRPr="00C93640" w:rsidRDefault="00F91828" w:rsidP="00B0049C">
            <w:pPr>
              <w:autoSpaceDE w:val="0"/>
              <w:autoSpaceDN w:val="0"/>
              <w:adjustRightInd w:val="0"/>
              <w:ind w:left="180" w:hanging="180"/>
              <w:rPr>
                <w:rFonts w:eastAsia="Arial Unicode MS"/>
                <w:b/>
                <w:sz w:val="18"/>
                <w:szCs w:val="18"/>
              </w:rPr>
            </w:pPr>
          </w:p>
        </w:tc>
        <w:tc>
          <w:tcPr>
            <w:tcW w:w="635" w:type="pct"/>
            <w:tcBorders>
              <w:top w:val="single" w:sz="4" w:space="0" w:color="auto"/>
              <w:left w:val="nil"/>
              <w:bottom w:val="nil"/>
              <w:right w:val="nil"/>
            </w:tcBorders>
            <w:vAlign w:val="bottom"/>
          </w:tcPr>
          <w:p w14:paraId="42ADFFE4" w14:textId="77777777" w:rsidR="00F91828" w:rsidRPr="00C93640" w:rsidRDefault="00F91828" w:rsidP="00B0049C">
            <w:pPr>
              <w:autoSpaceDE w:val="0"/>
              <w:autoSpaceDN w:val="0"/>
              <w:adjustRightInd w:val="0"/>
              <w:ind w:right="111"/>
              <w:jc w:val="right"/>
              <w:rPr>
                <w:rFonts w:eastAsia="Arial Unicode MS"/>
                <w:b/>
                <w:sz w:val="18"/>
                <w:szCs w:val="18"/>
              </w:rPr>
            </w:pPr>
          </w:p>
        </w:tc>
        <w:tc>
          <w:tcPr>
            <w:tcW w:w="1034" w:type="pct"/>
            <w:tcBorders>
              <w:top w:val="single" w:sz="4" w:space="0" w:color="auto"/>
              <w:left w:val="nil"/>
              <w:bottom w:val="nil"/>
              <w:right w:val="nil"/>
            </w:tcBorders>
            <w:vAlign w:val="bottom"/>
          </w:tcPr>
          <w:p w14:paraId="283EA4F9" w14:textId="77777777" w:rsidR="00F91828" w:rsidRPr="00C93640" w:rsidRDefault="00F91828" w:rsidP="00B0049C">
            <w:pPr>
              <w:autoSpaceDE w:val="0"/>
              <w:autoSpaceDN w:val="0"/>
              <w:adjustRightInd w:val="0"/>
              <w:ind w:right="111"/>
              <w:jc w:val="right"/>
              <w:rPr>
                <w:rFonts w:eastAsia="Arial Unicode MS"/>
                <w:b/>
                <w:sz w:val="18"/>
                <w:szCs w:val="18"/>
              </w:rPr>
            </w:pPr>
          </w:p>
        </w:tc>
        <w:tc>
          <w:tcPr>
            <w:tcW w:w="818" w:type="pct"/>
            <w:tcBorders>
              <w:top w:val="single" w:sz="4" w:space="0" w:color="auto"/>
              <w:left w:val="nil"/>
              <w:bottom w:val="nil"/>
              <w:right w:val="nil"/>
            </w:tcBorders>
            <w:vAlign w:val="bottom"/>
          </w:tcPr>
          <w:p w14:paraId="064BA174" w14:textId="77777777" w:rsidR="00F91828" w:rsidRPr="00C93640" w:rsidRDefault="00F91828" w:rsidP="00B0049C">
            <w:pPr>
              <w:autoSpaceDE w:val="0"/>
              <w:autoSpaceDN w:val="0"/>
              <w:adjustRightInd w:val="0"/>
              <w:ind w:right="111"/>
              <w:jc w:val="right"/>
              <w:rPr>
                <w:rFonts w:eastAsia="Arial Unicode MS"/>
                <w:b/>
                <w:sz w:val="18"/>
                <w:szCs w:val="18"/>
              </w:rPr>
            </w:pPr>
          </w:p>
        </w:tc>
        <w:tc>
          <w:tcPr>
            <w:tcW w:w="825" w:type="pct"/>
            <w:tcBorders>
              <w:top w:val="single" w:sz="4" w:space="0" w:color="auto"/>
              <w:left w:val="nil"/>
              <w:bottom w:val="nil"/>
              <w:right w:val="nil"/>
            </w:tcBorders>
            <w:vAlign w:val="bottom"/>
          </w:tcPr>
          <w:p w14:paraId="1E7D8D13" w14:textId="77777777" w:rsidR="00F91828" w:rsidRPr="00C93640" w:rsidRDefault="00F91828" w:rsidP="00B0049C">
            <w:pPr>
              <w:autoSpaceDE w:val="0"/>
              <w:autoSpaceDN w:val="0"/>
              <w:adjustRightInd w:val="0"/>
              <w:ind w:right="111"/>
              <w:jc w:val="right"/>
              <w:rPr>
                <w:rFonts w:eastAsia="Arial Unicode MS"/>
                <w:b/>
                <w:sz w:val="18"/>
                <w:szCs w:val="18"/>
              </w:rPr>
            </w:pPr>
          </w:p>
        </w:tc>
        <w:tc>
          <w:tcPr>
            <w:tcW w:w="639" w:type="pct"/>
            <w:tcBorders>
              <w:top w:val="single" w:sz="4" w:space="0" w:color="auto"/>
              <w:left w:val="nil"/>
              <w:bottom w:val="nil"/>
              <w:right w:val="nil"/>
            </w:tcBorders>
            <w:vAlign w:val="bottom"/>
          </w:tcPr>
          <w:p w14:paraId="5199D2A4" w14:textId="77777777" w:rsidR="00F91828" w:rsidRPr="00C93640" w:rsidRDefault="00F91828" w:rsidP="00B0049C">
            <w:pPr>
              <w:autoSpaceDE w:val="0"/>
              <w:autoSpaceDN w:val="0"/>
              <w:adjustRightInd w:val="0"/>
              <w:ind w:right="111"/>
              <w:jc w:val="right"/>
              <w:rPr>
                <w:rFonts w:eastAsia="Arial Unicode MS"/>
                <w:b/>
                <w:sz w:val="18"/>
                <w:szCs w:val="18"/>
              </w:rPr>
            </w:pPr>
          </w:p>
        </w:tc>
      </w:tr>
      <w:tr w:rsidR="00F91828" w:rsidRPr="00471CBA" w14:paraId="343DA0A5" w14:textId="77777777" w:rsidTr="00B0049C">
        <w:trPr>
          <w:trHeight w:val="170"/>
        </w:trPr>
        <w:tc>
          <w:tcPr>
            <w:tcW w:w="1049" w:type="pct"/>
            <w:vAlign w:val="bottom"/>
            <w:hideMark/>
          </w:tcPr>
          <w:p w14:paraId="555759AE" w14:textId="77777777" w:rsidR="00F91828" w:rsidRPr="00C93640" w:rsidRDefault="00F91828" w:rsidP="00B0049C">
            <w:pPr>
              <w:autoSpaceDE w:val="0"/>
              <w:autoSpaceDN w:val="0"/>
              <w:adjustRightInd w:val="0"/>
              <w:ind w:left="180" w:hanging="180"/>
              <w:rPr>
                <w:rFonts w:eastAsia="Arial Unicode MS"/>
                <w:sz w:val="18"/>
                <w:szCs w:val="18"/>
              </w:rPr>
            </w:pPr>
            <w:r w:rsidRPr="00C93640">
              <w:rPr>
                <w:rFonts w:eastAsia="Arial Unicode MS"/>
                <w:sz w:val="18"/>
                <w:szCs w:val="18"/>
              </w:rPr>
              <w:t>Genel Karşılıklar</w:t>
            </w:r>
          </w:p>
        </w:tc>
        <w:tc>
          <w:tcPr>
            <w:tcW w:w="635" w:type="pct"/>
            <w:vAlign w:val="center"/>
          </w:tcPr>
          <w:p w14:paraId="13185263" w14:textId="77777777" w:rsidR="00F91828" w:rsidRPr="00C93640" w:rsidRDefault="00F91828" w:rsidP="00B0049C">
            <w:pPr>
              <w:autoSpaceDE w:val="0"/>
              <w:autoSpaceDN w:val="0"/>
              <w:adjustRightInd w:val="0"/>
              <w:ind w:right="111"/>
              <w:jc w:val="right"/>
              <w:rPr>
                <w:color w:val="000000"/>
                <w:sz w:val="18"/>
                <w:szCs w:val="18"/>
              </w:rPr>
            </w:pPr>
            <w:r w:rsidRPr="00C93640">
              <w:rPr>
                <w:color w:val="000000"/>
                <w:sz w:val="18"/>
                <w:szCs w:val="18"/>
              </w:rPr>
              <w:t>88</w:t>
            </w:r>
          </w:p>
        </w:tc>
        <w:tc>
          <w:tcPr>
            <w:tcW w:w="1034" w:type="pct"/>
            <w:vAlign w:val="center"/>
          </w:tcPr>
          <w:p w14:paraId="271D6234" w14:textId="77777777" w:rsidR="00F91828" w:rsidRPr="00C93640" w:rsidRDefault="00F91828" w:rsidP="00B0049C">
            <w:pPr>
              <w:autoSpaceDE w:val="0"/>
              <w:autoSpaceDN w:val="0"/>
              <w:adjustRightInd w:val="0"/>
              <w:ind w:right="111"/>
              <w:jc w:val="right"/>
              <w:rPr>
                <w:color w:val="000000"/>
                <w:sz w:val="18"/>
                <w:szCs w:val="18"/>
              </w:rPr>
            </w:pPr>
            <w:r w:rsidRPr="00C93640">
              <w:rPr>
                <w:color w:val="000000"/>
                <w:sz w:val="18"/>
                <w:szCs w:val="18"/>
              </w:rPr>
              <w:t>369.847</w:t>
            </w:r>
          </w:p>
        </w:tc>
        <w:tc>
          <w:tcPr>
            <w:tcW w:w="818" w:type="pct"/>
            <w:vAlign w:val="center"/>
          </w:tcPr>
          <w:p w14:paraId="2D4D2E3F" w14:textId="77777777" w:rsidR="00F91828" w:rsidRPr="00C93640" w:rsidRDefault="00F91828" w:rsidP="00B0049C">
            <w:pPr>
              <w:autoSpaceDE w:val="0"/>
              <w:autoSpaceDN w:val="0"/>
              <w:adjustRightInd w:val="0"/>
              <w:ind w:right="111"/>
              <w:jc w:val="right"/>
              <w:rPr>
                <w:color w:val="000000"/>
                <w:sz w:val="18"/>
                <w:szCs w:val="18"/>
              </w:rPr>
            </w:pPr>
            <w:r w:rsidRPr="00C93640">
              <w:rPr>
                <w:color w:val="000000"/>
                <w:sz w:val="18"/>
                <w:szCs w:val="18"/>
              </w:rPr>
              <w:t>-</w:t>
            </w:r>
          </w:p>
        </w:tc>
        <w:tc>
          <w:tcPr>
            <w:tcW w:w="825" w:type="pct"/>
            <w:vAlign w:val="center"/>
          </w:tcPr>
          <w:p w14:paraId="04F3FA10" w14:textId="77777777" w:rsidR="00F91828" w:rsidRPr="00C93640" w:rsidRDefault="00F91828" w:rsidP="00B0049C">
            <w:pPr>
              <w:autoSpaceDE w:val="0"/>
              <w:autoSpaceDN w:val="0"/>
              <w:adjustRightInd w:val="0"/>
              <w:ind w:right="111"/>
              <w:jc w:val="right"/>
              <w:rPr>
                <w:color w:val="000000"/>
                <w:sz w:val="18"/>
                <w:szCs w:val="18"/>
              </w:rPr>
            </w:pPr>
            <w:r w:rsidRPr="00C93640">
              <w:rPr>
                <w:color w:val="000000"/>
                <w:sz w:val="18"/>
                <w:szCs w:val="18"/>
              </w:rPr>
              <w:t>-</w:t>
            </w:r>
          </w:p>
        </w:tc>
        <w:tc>
          <w:tcPr>
            <w:tcW w:w="639" w:type="pct"/>
            <w:vAlign w:val="center"/>
          </w:tcPr>
          <w:p w14:paraId="1ECCDCC1" w14:textId="77777777" w:rsidR="00F91828" w:rsidRPr="00471CBA" w:rsidRDefault="00F91828" w:rsidP="00B0049C">
            <w:pPr>
              <w:autoSpaceDE w:val="0"/>
              <w:autoSpaceDN w:val="0"/>
              <w:adjustRightInd w:val="0"/>
              <w:ind w:right="111"/>
              <w:jc w:val="right"/>
              <w:rPr>
                <w:color w:val="000000"/>
                <w:sz w:val="18"/>
                <w:szCs w:val="18"/>
              </w:rPr>
            </w:pPr>
            <w:r w:rsidRPr="00C93640">
              <w:rPr>
                <w:color w:val="000000"/>
                <w:sz w:val="18"/>
                <w:szCs w:val="18"/>
              </w:rPr>
              <w:t>369.935</w:t>
            </w:r>
          </w:p>
        </w:tc>
      </w:tr>
      <w:tr w:rsidR="00F91828" w:rsidRPr="00471CBA" w14:paraId="03115964" w14:textId="77777777" w:rsidTr="00B0049C">
        <w:trPr>
          <w:trHeight w:val="170"/>
        </w:trPr>
        <w:tc>
          <w:tcPr>
            <w:tcW w:w="1049" w:type="pct"/>
            <w:tcBorders>
              <w:top w:val="nil"/>
              <w:left w:val="nil"/>
              <w:bottom w:val="single" w:sz="4" w:space="0" w:color="auto"/>
              <w:right w:val="nil"/>
            </w:tcBorders>
            <w:vAlign w:val="bottom"/>
          </w:tcPr>
          <w:p w14:paraId="3B48AD30" w14:textId="77777777" w:rsidR="00F91828" w:rsidRPr="00471CBA" w:rsidRDefault="00F91828" w:rsidP="00B0049C">
            <w:pPr>
              <w:autoSpaceDE w:val="0"/>
              <w:autoSpaceDN w:val="0"/>
              <w:adjustRightInd w:val="0"/>
              <w:ind w:left="180" w:hanging="180"/>
              <w:rPr>
                <w:rFonts w:eastAsia="Arial Unicode MS"/>
                <w:sz w:val="18"/>
                <w:szCs w:val="18"/>
              </w:rPr>
            </w:pPr>
          </w:p>
        </w:tc>
        <w:tc>
          <w:tcPr>
            <w:tcW w:w="635" w:type="pct"/>
            <w:tcBorders>
              <w:top w:val="nil"/>
              <w:left w:val="nil"/>
              <w:bottom w:val="single" w:sz="4" w:space="0" w:color="auto"/>
              <w:right w:val="nil"/>
            </w:tcBorders>
            <w:vAlign w:val="center"/>
          </w:tcPr>
          <w:p w14:paraId="6E28DCB5" w14:textId="77777777" w:rsidR="00F91828" w:rsidRPr="00471CBA" w:rsidRDefault="00F91828" w:rsidP="00B0049C">
            <w:pPr>
              <w:autoSpaceDE w:val="0"/>
              <w:autoSpaceDN w:val="0"/>
              <w:adjustRightInd w:val="0"/>
              <w:ind w:right="111"/>
              <w:jc w:val="right"/>
              <w:rPr>
                <w:color w:val="000000"/>
                <w:sz w:val="18"/>
                <w:szCs w:val="18"/>
              </w:rPr>
            </w:pPr>
          </w:p>
        </w:tc>
        <w:tc>
          <w:tcPr>
            <w:tcW w:w="1034" w:type="pct"/>
            <w:tcBorders>
              <w:top w:val="nil"/>
              <w:left w:val="nil"/>
              <w:bottom w:val="single" w:sz="4" w:space="0" w:color="auto"/>
              <w:right w:val="nil"/>
            </w:tcBorders>
            <w:vAlign w:val="center"/>
          </w:tcPr>
          <w:p w14:paraId="30A7F687" w14:textId="77777777" w:rsidR="00F91828" w:rsidRPr="00471CBA" w:rsidRDefault="00F91828" w:rsidP="00B0049C">
            <w:pPr>
              <w:autoSpaceDE w:val="0"/>
              <w:autoSpaceDN w:val="0"/>
              <w:adjustRightInd w:val="0"/>
              <w:ind w:right="111"/>
              <w:jc w:val="right"/>
              <w:rPr>
                <w:color w:val="000000"/>
                <w:sz w:val="18"/>
                <w:szCs w:val="18"/>
              </w:rPr>
            </w:pPr>
          </w:p>
        </w:tc>
        <w:tc>
          <w:tcPr>
            <w:tcW w:w="818" w:type="pct"/>
            <w:tcBorders>
              <w:top w:val="nil"/>
              <w:left w:val="nil"/>
              <w:bottom w:val="single" w:sz="4" w:space="0" w:color="auto"/>
              <w:right w:val="nil"/>
            </w:tcBorders>
            <w:vAlign w:val="center"/>
          </w:tcPr>
          <w:p w14:paraId="36A96CBD" w14:textId="77777777" w:rsidR="00F91828" w:rsidRPr="00471CBA" w:rsidRDefault="00F91828" w:rsidP="00B0049C">
            <w:pPr>
              <w:autoSpaceDE w:val="0"/>
              <w:autoSpaceDN w:val="0"/>
              <w:adjustRightInd w:val="0"/>
              <w:ind w:right="111"/>
              <w:jc w:val="right"/>
              <w:rPr>
                <w:color w:val="000000"/>
                <w:sz w:val="18"/>
                <w:szCs w:val="18"/>
              </w:rPr>
            </w:pPr>
          </w:p>
        </w:tc>
        <w:tc>
          <w:tcPr>
            <w:tcW w:w="825" w:type="pct"/>
            <w:tcBorders>
              <w:top w:val="nil"/>
              <w:left w:val="nil"/>
              <w:bottom w:val="single" w:sz="4" w:space="0" w:color="auto"/>
              <w:right w:val="nil"/>
            </w:tcBorders>
            <w:vAlign w:val="center"/>
          </w:tcPr>
          <w:p w14:paraId="1CBD6461" w14:textId="77777777" w:rsidR="00F91828" w:rsidRPr="00471CBA" w:rsidRDefault="00F91828" w:rsidP="00B0049C">
            <w:pPr>
              <w:autoSpaceDE w:val="0"/>
              <w:autoSpaceDN w:val="0"/>
              <w:adjustRightInd w:val="0"/>
              <w:ind w:right="111"/>
              <w:jc w:val="right"/>
              <w:rPr>
                <w:color w:val="000000"/>
                <w:sz w:val="18"/>
                <w:szCs w:val="18"/>
              </w:rPr>
            </w:pPr>
          </w:p>
        </w:tc>
        <w:tc>
          <w:tcPr>
            <w:tcW w:w="639" w:type="pct"/>
            <w:tcBorders>
              <w:top w:val="nil"/>
              <w:left w:val="nil"/>
              <w:bottom w:val="single" w:sz="4" w:space="0" w:color="auto"/>
              <w:right w:val="nil"/>
            </w:tcBorders>
            <w:vAlign w:val="center"/>
          </w:tcPr>
          <w:p w14:paraId="28C0AF49" w14:textId="77777777" w:rsidR="00F91828" w:rsidRPr="00471CBA" w:rsidRDefault="00F91828" w:rsidP="00B0049C">
            <w:pPr>
              <w:autoSpaceDE w:val="0"/>
              <w:autoSpaceDN w:val="0"/>
              <w:adjustRightInd w:val="0"/>
              <w:ind w:right="111"/>
              <w:jc w:val="right"/>
              <w:rPr>
                <w:color w:val="000000"/>
                <w:sz w:val="18"/>
                <w:szCs w:val="18"/>
              </w:rPr>
            </w:pPr>
          </w:p>
        </w:tc>
      </w:tr>
    </w:tbl>
    <w:p w14:paraId="4B9F0AF3" w14:textId="49D4056E" w:rsidR="00571ECD" w:rsidRPr="00471CBA" w:rsidRDefault="00571ECD" w:rsidP="00F91828">
      <w:pPr>
        <w:rPr>
          <w:b/>
          <w:szCs w:val="20"/>
        </w:rPr>
      </w:pPr>
    </w:p>
    <w:p w14:paraId="65E121ED" w14:textId="77777777" w:rsidR="00571ECD" w:rsidRPr="00471CBA" w:rsidRDefault="00571ECD">
      <w:pPr>
        <w:rPr>
          <w:b/>
          <w:szCs w:val="20"/>
        </w:rPr>
      </w:pPr>
      <w:r w:rsidRPr="00471CBA">
        <w:rPr>
          <w:b/>
          <w:szCs w:val="20"/>
        </w:rPr>
        <w:br w:type="page"/>
      </w:r>
    </w:p>
    <w:p w14:paraId="38B496F0" w14:textId="7AE20D89" w:rsidR="00A15F5D" w:rsidRPr="00471CBA" w:rsidRDefault="00A15F5D" w:rsidP="00A15F5D">
      <w:pPr>
        <w:rPr>
          <w:b/>
          <w:szCs w:val="20"/>
        </w:rPr>
      </w:pPr>
      <w:r w:rsidRPr="00471CBA">
        <w:rPr>
          <w:b/>
          <w:szCs w:val="20"/>
        </w:rPr>
        <w:lastRenderedPageBreak/>
        <w:t>MALİ BÜNYEYE VE RİSK YÖNETİMİNE İLİŞKİN BİLGİLER (Devamı)</w:t>
      </w:r>
    </w:p>
    <w:p w14:paraId="030F3E9F" w14:textId="77777777" w:rsidR="00A15F5D" w:rsidRPr="00471CBA" w:rsidRDefault="00A15F5D" w:rsidP="00A15F5D">
      <w:pPr>
        <w:autoSpaceDE w:val="0"/>
        <w:autoSpaceDN w:val="0"/>
        <w:adjustRightInd w:val="0"/>
        <w:spacing w:before="120" w:after="120"/>
        <w:jc w:val="both"/>
        <w:rPr>
          <w:b/>
          <w:szCs w:val="20"/>
        </w:rPr>
      </w:pPr>
      <w:r w:rsidRPr="00471CBA">
        <w:rPr>
          <w:b/>
          <w:szCs w:val="20"/>
        </w:rPr>
        <w:t>II.</w:t>
      </w:r>
      <w:r w:rsidRPr="00471CBA">
        <w:rPr>
          <w:b/>
          <w:szCs w:val="20"/>
        </w:rPr>
        <w:tab/>
        <w:t>KREDİ RİSKİNE İLİŞKİN AÇIKLAMALAR (Devamı)</w:t>
      </w:r>
    </w:p>
    <w:p w14:paraId="2F73D9E8" w14:textId="77777777" w:rsidR="00F91828" w:rsidRPr="00471CBA" w:rsidRDefault="00F91828" w:rsidP="00F91828">
      <w:pPr>
        <w:spacing w:after="120"/>
        <w:rPr>
          <w:b/>
          <w:szCs w:val="20"/>
        </w:rPr>
      </w:pPr>
      <w:r w:rsidRPr="00471CBA">
        <w:rPr>
          <w:b/>
          <w:szCs w:val="20"/>
        </w:rPr>
        <w:t>Döngüsel Sermaye Tamponu Hesaplamasına Dâhil Riskler</w:t>
      </w:r>
    </w:p>
    <w:p w14:paraId="0A7B6AA8" w14:textId="77777777" w:rsidR="00F91828" w:rsidRPr="00471CBA" w:rsidRDefault="00F91828" w:rsidP="00F91828">
      <w:pPr>
        <w:spacing w:after="120"/>
        <w:rPr>
          <w:b/>
          <w:szCs w:val="20"/>
        </w:rPr>
      </w:pPr>
      <w:r w:rsidRPr="00471CBA">
        <w:rPr>
          <w:b/>
          <w:szCs w:val="20"/>
        </w:rPr>
        <w:t>Konsolide özel sektörden alacaklara ilişkin bilgiler:</w:t>
      </w:r>
    </w:p>
    <w:tbl>
      <w:tblPr>
        <w:tblW w:w="0" w:type="auto"/>
        <w:tblInd w:w="28" w:type="dxa"/>
        <w:tblLayout w:type="fixed"/>
        <w:tblCellMar>
          <w:left w:w="0" w:type="dxa"/>
          <w:right w:w="0" w:type="dxa"/>
        </w:tblCellMar>
        <w:tblLook w:val="04A0" w:firstRow="1" w:lastRow="0" w:firstColumn="1" w:lastColumn="0" w:noHBand="0" w:noVBand="1"/>
      </w:tblPr>
      <w:tblGrid>
        <w:gridCol w:w="2898"/>
        <w:gridCol w:w="2268"/>
        <w:gridCol w:w="2976"/>
        <w:gridCol w:w="1349"/>
      </w:tblGrid>
      <w:tr w:rsidR="002F67F0" w:rsidRPr="00471CBA" w14:paraId="5B557381" w14:textId="77777777" w:rsidTr="00B0049C">
        <w:trPr>
          <w:cantSplit/>
          <w:trHeight w:val="113"/>
        </w:trPr>
        <w:tc>
          <w:tcPr>
            <w:tcW w:w="2898" w:type="dxa"/>
            <w:tcBorders>
              <w:top w:val="single" w:sz="4" w:space="0" w:color="auto"/>
              <w:left w:val="nil"/>
              <w:bottom w:val="single" w:sz="4" w:space="0" w:color="auto"/>
              <w:right w:val="nil"/>
            </w:tcBorders>
            <w:vAlign w:val="bottom"/>
          </w:tcPr>
          <w:p w14:paraId="0A9DFA1D" w14:textId="3C2D04BA" w:rsidR="002F67F0" w:rsidRPr="00471CBA" w:rsidRDefault="002F67F0" w:rsidP="00B0049C">
            <w:pPr>
              <w:rPr>
                <w:b/>
                <w:szCs w:val="18"/>
              </w:rPr>
            </w:pPr>
            <w:r w:rsidRPr="00471CBA">
              <w:rPr>
                <w:b/>
                <w:szCs w:val="18"/>
              </w:rPr>
              <w:t>31 Aralık 2025</w:t>
            </w:r>
          </w:p>
        </w:tc>
        <w:tc>
          <w:tcPr>
            <w:tcW w:w="2268" w:type="dxa"/>
            <w:tcBorders>
              <w:top w:val="single" w:sz="4" w:space="0" w:color="auto"/>
              <w:left w:val="nil"/>
              <w:bottom w:val="single" w:sz="4" w:space="0" w:color="auto"/>
              <w:right w:val="nil"/>
            </w:tcBorders>
            <w:vAlign w:val="bottom"/>
          </w:tcPr>
          <w:p w14:paraId="6990ED72" w14:textId="77777777" w:rsidR="002F67F0" w:rsidRPr="00471CBA" w:rsidRDefault="002F67F0" w:rsidP="00B0049C">
            <w:pPr>
              <w:ind w:right="55"/>
              <w:jc w:val="right"/>
              <w:rPr>
                <w:b/>
                <w:szCs w:val="18"/>
              </w:rPr>
            </w:pPr>
          </w:p>
        </w:tc>
        <w:tc>
          <w:tcPr>
            <w:tcW w:w="2976" w:type="dxa"/>
            <w:tcBorders>
              <w:top w:val="single" w:sz="4" w:space="0" w:color="auto"/>
              <w:left w:val="nil"/>
              <w:bottom w:val="single" w:sz="4" w:space="0" w:color="auto"/>
              <w:right w:val="nil"/>
            </w:tcBorders>
            <w:noWrap/>
            <w:tcMar>
              <w:top w:w="15" w:type="dxa"/>
              <w:left w:w="15" w:type="dxa"/>
              <w:bottom w:w="0" w:type="dxa"/>
              <w:right w:w="15" w:type="dxa"/>
            </w:tcMar>
            <w:vAlign w:val="bottom"/>
          </w:tcPr>
          <w:p w14:paraId="77F2101E" w14:textId="77777777" w:rsidR="002F67F0" w:rsidRPr="00471CBA" w:rsidRDefault="002F67F0" w:rsidP="00B0049C">
            <w:pPr>
              <w:ind w:right="55"/>
              <w:jc w:val="right"/>
              <w:rPr>
                <w:b/>
                <w:szCs w:val="18"/>
              </w:rPr>
            </w:pPr>
          </w:p>
        </w:tc>
        <w:tc>
          <w:tcPr>
            <w:tcW w:w="1349" w:type="dxa"/>
            <w:tcBorders>
              <w:top w:val="single" w:sz="4" w:space="0" w:color="auto"/>
              <w:left w:val="nil"/>
              <w:bottom w:val="single" w:sz="4" w:space="0" w:color="auto"/>
              <w:right w:val="nil"/>
            </w:tcBorders>
            <w:vAlign w:val="bottom"/>
          </w:tcPr>
          <w:p w14:paraId="1C6149B5" w14:textId="77777777" w:rsidR="002F67F0" w:rsidRPr="00471CBA" w:rsidRDefault="002F67F0" w:rsidP="00B0049C">
            <w:pPr>
              <w:ind w:right="55"/>
              <w:jc w:val="right"/>
              <w:rPr>
                <w:b/>
                <w:szCs w:val="18"/>
              </w:rPr>
            </w:pPr>
          </w:p>
        </w:tc>
      </w:tr>
      <w:tr w:rsidR="00F91828" w:rsidRPr="00471CBA" w14:paraId="631EC446" w14:textId="77777777" w:rsidTr="00B0049C">
        <w:trPr>
          <w:cantSplit/>
          <w:trHeight w:val="113"/>
        </w:trPr>
        <w:tc>
          <w:tcPr>
            <w:tcW w:w="2898" w:type="dxa"/>
            <w:tcBorders>
              <w:top w:val="single" w:sz="4" w:space="0" w:color="auto"/>
              <w:left w:val="nil"/>
              <w:bottom w:val="single" w:sz="4" w:space="0" w:color="auto"/>
              <w:right w:val="nil"/>
            </w:tcBorders>
            <w:vAlign w:val="bottom"/>
            <w:hideMark/>
          </w:tcPr>
          <w:p w14:paraId="3BB76C8C" w14:textId="77777777" w:rsidR="00F91828" w:rsidRPr="00471CBA" w:rsidRDefault="00F91828" w:rsidP="00B0049C">
            <w:pPr>
              <w:rPr>
                <w:b/>
                <w:szCs w:val="18"/>
              </w:rPr>
            </w:pPr>
            <w:r w:rsidRPr="00471CBA">
              <w:rPr>
                <w:b/>
                <w:szCs w:val="18"/>
              </w:rPr>
              <w:t xml:space="preserve">Nihai olarak risk </w:t>
            </w:r>
            <w:r w:rsidRPr="00471CBA">
              <w:rPr>
                <w:b/>
                <w:szCs w:val="18"/>
              </w:rPr>
              <w:br/>
              <w:t>alınan ülke</w:t>
            </w:r>
          </w:p>
        </w:tc>
        <w:tc>
          <w:tcPr>
            <w:tcW w:w="2268" w:type="dxa"/>
            <w:tcBorders>
              <w:top w:val="single" w:sz="4" w:space="0" w:color="auto"/>
              <w:left w:val="nil"/>
              <w:bottom w:val="single" w:sz="4" w:space="0" w:color="auto"/>
              <w:right w:val="nil"/>
            </w:tcBorders>
            <w:vAlign w:val="bottom"/>
            <w:hideMark/>
          </w:tcPr>
          <w:p w14:paraId="06CC1593" w14:textId="77777777" w:rsidR="00F91828" w:rsidRPr="00471CBA" w:rsidRDefault="00F91828" w:rsidP="00B0049C">
            <w:pPr>
              <w:ind w:right="55"/>
              <w:jc w:val="right"/>
              <w:rPr>
                <w:b/>
                <w:szCs w:val="18"/>
              </w:rPr>
            </w:pPr>
            <w:r w:rsidRPr="00471CBA">
              <w:rPr>
                <w:b/>
                <w:szCs w:val="18"/>
              </w:rPr>
              <w:t xml:space="preserve">Bankacılık hesaplarındaki </w:t>
            </w:r>
            <w:r w:rsidRPr="00471CBA">
              <w:rPr>
                <w:b/>
                <w:szCs w:val="18"/>
              </w:rPr>
              <w:br/>
              <w:t>özel sektör kredileri</w:t>
            </w:r>
          </w:p>
        </w:tc>
        <w:tc>
          <w:tcPr>
            <w:tcW w:w="2976" w:type="dxa"/>
            <w:tcBorders>
              <w:top w:val="single" w:sz="4" w:space="0" w:color="auto"/>
              <w:left w:val="nil"/>
              <w:bottom w:val="single" w:sz="4" w:space="0" w:color="auto"/>
              <w:right w:val="nil"/>
            </w:tcBorders>
            <w:noWrap/>
            <w:tcMar>
              <w:top w:w="15" w:type="dxa"/>
              <w:left w:w="15" w:type="dxa"/>
              <w:bottom w:w="0" w:type="dxa"/>
              <w:right w:w="15" w:type="dxa"/>
            </w:tcMar>
            <w:vAlign w:val="bottom"/>
            <w:hideMark/>
          </w:tcPr>
          <w:p w14:paraId="5E644C4B" w14:textId="77777777" w:rsidR="00F91828" w:rsidRPr="00471CBA" w:rsidRDefault="00F91828" w:rsidP="00B0049C">
            <w:pPr>
              <w:ind w:right="55"/>
              <w:jc w:val="right"/>
              <w:rPr>
                <w:b/>
                <w:szCs w:val="18"/>
              </w:rPr>
            </w:pPr>
            <w:r w:rsidRPr="00471CBA">
              <w:rPr>
                <w:b/>
                <w:szCs w:val="18"/>
              </w:rPr>
              <w:t xml:space="preserve">Alım satım hesapları kapsamında </w:t>
            </w:r>
            <w:r w:rsidRPr="00471CBA">
              <w:rPr>
                <w:b/>
                <w:szCs w:val="18"/>
              </w:rPr>
              <w:br/>
              <w:t>hesaplanan risk ağırlıklı tutar</w:t>
            </w:r>
          </w:p>
        </w:tc>
        <w:tc>
          <w:tcPr>
            <w:tcW w:w="1349" w:type="dxa"/>
            <w:tcBorders>
              <w:top w:val="single" w:sz="4" w:space="0" w:color="auto"/>
              <w:left w:val="nil"/>
              <w:bottom w:val="single" w:sz="4" w:space="0" w:color="auto"/>
              <w:right w:val="nil"/>
            </w:tcBorders>
            <w:vAlign w:val="bottom"/>
            <w:hideMark/>
          </w:tcPr>
          <w:p w14:paraId="48CFB34F" w14:textId="77777777" w:rsidR="00F91828" w:rsidRPr="00471CBA" w:rsidRDefault="00F91828" w:rsidP="00B0049C">
            <w:pPr>
              <w:ind w:right="55"/>
              <w:jc w:val="right"/>
              <w:rPr>
                <w:b/>
                <w:szCs w:val="18"/>
              </w:rPr>
            </w:pPr>
            <w:r w:rsidRPr="00471CBA">
              <w:rPr>
                <w:b/>
                <w:szCs w:val="18"/>
              </w:rPr>
              <w:t>Toplam</w:t>
            </w:r>
          </w:p>
        </w:tc>
      </w:tr>
      <w:tr w:rsidR="00F91828" w:rsidRPr="00471CBA" w14:paraId="0D49A5DC" w14:textId="77777777" w:rsidTr="00B0049C">
        <w:trPr>
          <w:cantSplit/>
          <w:trHeight w:val="113"/>
        </w:trPr>
        <w:tc>
          <w:tcPr>
            <w:tcW w:w="2898" w:type="dxa"/>
            <w:tcBorders>
              <w:top w:val="single" w:sz="4" w:space="0" w:color="auto"/>
              <w:left w:val="nil"/>
              <w:bottom w:val="nil"/>
              <w:right w:val="nil"/>
            </w:tcBorders>
            <w:vAlign w:val="bottom"/>
          </w:tcPr>
          <w:p w14:paraId="2E5CA4D2" w14:textId="77777777" w:rsidR="00F91828" w:rsidRPr="00471CBA" w:rsidRDefault="00F91828" w:rsidP="00B0049C">
            <w:pPr>
              <w:ind w:left="98"/>
              <w:rPr>
                <w:b/>
                <w:szCs w:val="18"/>
              </w:rPr>
            </w:pPr>
          </w:p>
        </w:tc>
        <w:tc>
          <w:tcPr>
            <w:tcW w:w="2268" w:type="dxa"/>
            <w:tcBorders>
              <w:top w:val="single" w:sz="4" w:space="0" w:color="auto"/>
              <w:left w:val="nil"/>
              <w:bottom w:val="nil"/>
              <w:right w:val="nil"/>
            </w:tcBorders>
            <w:vAlign w:val="bottom"/>
          </w:tcPr>
          <w:p w14:paraId="332BDBA4" w14:textId="77777777" w:rsidR="00F91828" w:rsidRPr="00471CBA" w:rsidRDefault="00F91828" w:rsidP="00B0049C">
            <w:pPr>
              <w:ind w:right="55"/>
              <w:jc w:val="right"/>
              <w:rPr>
                <w:b/>
                <w:szCs w:val="18"/>
              </w:rPr>
            </w:pPr>
          </w:p>
        </w:tc>
        <w:tc>
          <w:tcPr>
            <w:tcW w:w="2976" w:type="dxa"/>
            <w:tcBorders>
              <w:top w:val="single" w:sz="4" w:space="0" w:color="auto"/>
              <w:left w:val="nil"/>
              <w:bottom w:val="nil"/>
              <w:right w:val="nil"/>
            </w:tcBorders>
            <w:noWrap/>
            <w:tcMar>
              <w:top w:w="15" w:type="dxa"/>
              <w:left w:w="15" w:type="dxa"/>
              <w:bottom w:w="0" w:type="dxa"/>
              <w:right w:w="15" w:type="dxa"/>
            </w:tcMar>
            <w:vAlign w:val="bottom"/>
          </w:tcPr>
          <w:p w14:paraId="3495E3C4" w14:textId="77777777" w:rsidR="00F91828" w:rsidRPr="00471CBA" w:rsidRDefault="00F91828" w:rsidP="00B0049C">
            <w:pPr>
              <w:ind w:right="55"/>
              <w:jc w:val="right"/>
              <w:rPr>
                <w:b/>
                <w:szCs w:val="18"/>
              </w:rPr>
            </w:pPr>
          </w:p>
        </w:tc>
        <w:tc>
          <w:tcPr>
            <w:tcW w:w="1349" w:type="dxa"/>
            <w:tcBorders>
              <w:top w:val="single" w:sz="4" w:space="0" w:color="auto"/>
              <w:left w:val="nil"/>
              <w:bottom w:val="nil"/>
              <w:right w:val="nil"/>
            </w:tcBorders>
            <w:vAlign w:val="bottom"/>
          </w:tcPr>
          <w:p w14:paraId="754FB117" w14:textId="77777777" w:rsidR="00F91828" w:rsidRPr="00471CBA" w:rsidRDefault="00F91828" w:rsidP="00B0049C">
            <w:pPr>
              <w:ind w:right="55"/>
              <w:jc w:val="right"/>
              <w:rPr>
                <w:b/>
                <w:szCs w:val="18"/>
              </w:rPr>
            </w:pPr>
          </w:p>
        </w:tc>
      </w:tr>
      <w:tr w:rsidR="00A330A8" w:rsidRPr="00471CBA" w14:paraId="547DAB7B" w14:textId="77777777" w:rsidTr="00542B6B">
        <w:trPr>
          <w:cantSplit/>
          <w:trHeight w:val="113"/>
        </w:trPr>
        <w:tc>
          <w:tcPr>
            <w:tcW w:w="2898" w:type="dxa"/>
          </w:tcPr>
          <w:p w14:paraId="5D6CAEFA" w14:textId="4D0F8B2C" w:rsidR="00A330A8" w:rsidRPr="00471CBA" w:rsidRDefault="00A330A8" w:rsidP="00A330A8">
            <w:pPr>
              <w:ind w:right="112"/>
              <w:rPr>
                <w:color w:val="000000"/>
                <w:szCs w:val="18"/>
              </w:rPr>
            </w:pPr>
            <w:r w:rsidRPr="00471CBA">
              <w:t>Türkiye</w:t>
            </w:r>
          </w:p>
        </w:tc>
        <w:tc>
          <w:tcPr>
            <w:tcW w:w="2268" w:type="dxa"/>
          </w:tcPr>
          <w:p w14:paraId="2D81A6A8" w14:textId="02826F97" w:rsidR="00A330A8" w:rsidRPr="00471CBA" w:rsidRDefault="00A330A8" w:rsidP="00A330A8">
            <w:pPr>
              <w:ind w:right="112"/>
              <w:jc w:val="right"/>
              <w:rPr>
                <w:color w:val="000000"/>
                <w:szCs w:val="18"/>
              </w:rPr>
            </w:pPr>
            <w:r w:rsidRPr="00471CBA">
              <w:t>33.707.585</w:t>
            </w:r>
          </w:p>
        </w:tc>
        <w:tc>
          <w:tcPr>
            <w:tcW w:w="2976" w:type="dxa"/>
            <w:noWrap/>
            <w:tcMar>
              <w:top w:w="15" w:type="dxa"/>
              <w:left w:w="15" w:type="dxa"/>
              <w:bottom w:w="0" w:type="dxa"/>
              <w:right w:w="15" w:type="dxa"/>
            </w:tcMar>
          </w:tcPr>
          <w:p w14:paraId="61E33BD8" w14:textId="48D4CFCC" w:rsidR="00A330A8" w:rsidRPr="00471CBA" w:rsidRDefault="00A330A8" w:rsidP="00A330A8">
            <w:pPr>
              <w:ind w:right="112"/>
              <w:jc w:val="right"/>
              <w:rPr>
                <w:color w:val="000000"/>
                <w:szCs w:val="18"/>
              </w:rPr>
            </w:pPr>
            <w:r w:rsidRPr="00471CBA">
              <w:t>656.603</w:t>
            </w:r>
          </w:p>
        </w:tc>
        <w:tc>
          <w:tcPr>
            <w:tcW w:w="1349" w:type="dxa"/>
          </w:tcPr>
          <w:p w14:paraId="657BABE0" w14:textId="29217DAF" w:rsidR="00A330A8" w:rsidRPr="00471CBA" w:rsidRDefault="00A330A8" w:rsidP="00A330A8">
            <w:pPr>
              <w:ind w:right="112"/>
              <w:jc w:val="right"/>
              <w:rPr>
                <w:color w:val="000000"/>
                <w:szCs w:val="18"/>
              </w:rPr>
            </w:pPr>
            <w:r w:rsidRPr="00471CBA">
              <w:t>34.364.188</w:t>
            </w:r>
          </w:p>
        </w:tc>
      </w:tr>
      <w:tr w:rsidR="00A330A8" w:rsidRPr="00471CBA" w14:paraId="2F19C246" w14:textId="77777777" w:rsidTr="00542B6B">
        <w:trPr>
          <w:cantSplit/>
          <w:trHeight w:val="113"/>
        </w:trPr>
        <w:tc>
          <w:tcPr>
            <w:tcW w:w="2898" w:type="dxa"/>
          </w:tcPr>
          <w:p w14:paraId="7428783B" w14:textId="0981850B" w:rsidR="00A330A8" w:rsidRPr="00471CBA" w:rsidRDefault="00A330A8" w:rsidP="00A330A8">
            <w:pPr>
              <w:ind w:right="112"/>
              <w:rPr>
                <w:color w:val="000000"/>
                <w:szCs w:val="18"/>
              </w:rPr>
            </w:pPr>
            <w:r w:rsidRPr="00471CBA">
              <w:t>İngiltere</w:t>
            </w:r>
          </w:p>
        </w:tc>
        <w:tc>
          <w:tcPr>
            <w:tcW w:w="2268" w:type="dxa"/>
          </w:tcPr>
          <w:p w14:paraId="4F995483" w14:textId="5F262FE1" w:rsidR="00A330A8" w:rsidRPr="00471CBA" w:rsidRDefault="00A330A8" w:rsidP="00A330A8">
            <w:pPr>
              <w:ind w:right="112"/>
              <w:jc w:val="right"/>
              <w:rPr>
                <w:color w:val="000000"/>
                <w:szCs w:val="18"/>
              </w:rPr>
            </w:pPr>
            <w:r w:rsidRPr="00471CBA">
              <w:t>903.224</w:t>
            </w:r>
          </w:p>
        </w:tc>
        <w:tc>
          <w:tcPr>
            <w:tcW w:w="2976" w:type="dxa"/>
            <w:noWrap/>
            <w:tcMar>
              <w:top w:w="15" w:type="dxa"/>
              <w:left w:w="15" w:type="dxa"/>
              <w:bottom w:w="0" w:type="dxa"/>
              <w:right w:w="15" w:type="dxa"/>
            </w:tcMar>
          </w:tcPr>
          <w:p w14:paraId="484C00C7" w14:textId="5FD37ECD" w:rsidR="00A330A8" w:rsidRPr="00471CBA" w:rsidRDefault="00A330A8" w:rsidP="00A330A8">
            <w:pPr>
              <w:ind w:right="112"/>
              <w:jc w:val="right"/>
              <w:rPr>
                <w:color w:val="000000"/>
                <w:szCs w:val="18"/>
              </w:rPr>
            </w:pPr>
            <w:r w:rsidRPr="00471CBA">
              <w:t>1.015.927</w:t>
            </w:r>
          </w:p>
        </w:tc>
        <w:tc>
          <w:tcPr>
            <w:tcW w:w="1349" w:type="dxa"/>
          </w:tcPr>
          <w:p w14:paraId="26C6AE4F" w14:textId="56369504" w:rsidR="00A330A8" w:rsidRPr="00471CBA" w:rsidRDefault="00A330A8" w:rsidP="00A330A8">
            <w:pPr>
              <w:ind w:right="112"/>
              <w:jc w:val="right"/>
              <w:rPr>
                <w:color w:val="000000"/>
                <w:szCs w:val="18"/>
              </w:rPr>
            </w:pPr>
            <w:r w:rsidRPr="00471CBA">
              <w:t>1.919.151</w:t>
            </w:r>
          </w:p>
        </w:tc>
      </w:tr>
      <w:tr w:rsidR="00A330A8" w:rsidRPr="00471CBA" w14:paraId="58193C0B" w14:textId="77777777" w:rsidTr="00542B6B">
        <w:trPr>
          <w:cantSplit/>
          <w:trHeight w:val="113"/>
        </w:trPr>
        <w:tc>
          <w:tcPr>
            <w:tcW w:w="2898" w:type="dxa"/>
          </w:tcPr>
          <w:p w14:paraId="0A3ECC67" w14:textId="177860F2" w:rsidR="00A330A8" w:rsidRPr="00471CBA" w:rsidRDefault="00A330A8" w:rsidP="00A330A8">
            <w:pPr>
              <w:ind w:right="112"/>
              <w:rPr>
                <w:color w:val="000000"/>
                <w:szCs w:val="18"/>
              </w:rPr>
            </w:pPr>
            <w:r w:rsidRPr="00471CBA">
              <w:t>İsviçre</w:t>
            </w:r>
          </w:p>
        </w:tc>
        <w:tc>
          <w:tcPr>
            <w:tcW w:w="2268" w:type="dxa"/>
          </w:tcPr>
          <w:p w14:paraId="26343E25" w14:textId="2D464540" w:rsidR="00A330A8" w:rsidRPr="00471CBA" w:rsidRDefault="00A330A8" w:rsidP="00A330A8">
            <w:pPr>
              <w:ind w:right="112"/>
              <w:jc w:val="right"/>
              <w:rPr>
                <w:color w:val="000000"/>
                <w:szCs w:val="18"/>
              </w:rPr>
            </w:pPr>
            <w:r w:rsidRPr="00471CBA">
              <w:t>376.674</w:t>
            </w:r>
          </w:p>
        </w:tc>
        <w:tc>
          <w:tcPr>
            <w:tcW w:w="2976" w:type="dxa"/>
            <w:noWrap/>
            <w:tcMar>
              <w:top w:w="15" w:type="dxa"/>
              <w:left w:w="15" w:type="dxa"/>
              <w:bottom w:w="0" w:type="dxa"/>
              <w:right w:w="15" w:type="dxa"/>
            </w:tcMar>
          </w:tcPr>
          <w:p w14:paraId="3D40EA28" w14:textId="2E5FB4D2" w:rsidR="00A330A8" w:rsidRPr="00471CBA" w:rsidRDefault="00A330A8" w:rsidP="00A330A8">
            <w:pPr>
              <w:ind w:right="112"/>
              <w:jc w:val="right"/>
              <w:rPr>
                <w:color w:val="000000"/>
                <w:szCs w:val="18"/>
              </w:rPr>
            </w:pPr>
            <w:r w:rsidRPr="00471CBA">
              <w:t>249.458</w:t>
            </w:r>
          </w:p>
        </w:tc>
        <w:tc>
          <w:tcPr>
            <w:tcW w:w="1349" w:type="dxa"/>
          </w:tcPr>
          <w:p w14:paraId="7E63DCC4" w14:textId="6A7FABBF" w:rsidR="00A330A8" w:rsidRPr="00471CBA" w:rsidRDefault="00A330A8" w:rsidP="00A330A8">
            <w:pPr>
              <w:ind w:right="112"/>
              <w:jc w:val="right"/>
              <w:rPr>
                <w:color w:val="000000"/>
                <w:szCs w:val="18"/>
              </w:rPr>
            </w:pPr>
            <w:r w:rsidRPr="00471CBA">
              <w:t>626.132</w:t>
            </w:r>
          </w:p>
        </w:tc>
      </w:tr>
      <w:tr w:rsidR="00A330A8" w:rsidRPr="00471CBA" w14:paraId="3C353F34" w14:textId="77777777" w:rsidTr="00542B6B">
        <w:trPr>
          <w:cantSplit/>
          <w:trHeight w:val="113"/>
        </w:trPr>
        <w:tc>
          <w:tcPr>
            <w:tcW w:w="2898" w:type="dxa"/>
          </w:tcPr>
          <w:p w14:paraId="5B21611D" w14:textId="17B5226F" w:rsidR="00A330A8" w:rsidRPr="00471CBA" w:rsidRDefault="00A330A8" w:rsidP="00A330A8">
            <w:pPr>
              <w:ind w:right="112"/>
              <w:rPr>
                <w:color w:val="000000"/>
                <w:szCs w:val="18"/>
              </w:rPr>
            </w:pPr>
            <w:r w:rsidRPr="00471CBA">
              <w:t>Malezya</w:t>
            </w:r>
          </w:p>
        </w:tc>
        <w:tc>
          <w:tcPr>
            <w:tcW w:w="2268" w:type="dxa"/>
          </w:tcPr>
          <w:p w14:paraId="2A977DB0" w14:textId="03926ADB" w:rsidR="00A330A8" w:rsidRPr="00471CBA" w:rsidRDefault="00A330A8" w:rsidP="00A330A8">
            <w:pPr>
              <w:ind w:right="112"/>
              <w:jc w:val="right"/>
              <w:rPr>
                <w:color w:val="000000"/>
                <w:szCs w:val="18"/>
              </w:rPr>
            </w:pPr>
            <w:r w:rsidRPr="00471CBA">
              <w:t>114.954</w:t>
            </w:r>
          </w:p>
        </w:tc>
        <w:tc>
          <w:tcPr>
            <w:tcW w:w="2976" w:type="dxa"/>
            <w:noWrap/>
            <w:tcMar>
              <w:top w:w="15" w:type="dxa"/>
              <w:left w:w="15" w:type="dxa"/>
              <w:bottom w:w="0" w:type="dxa"/>
              <w:right w:w="15" w:type="dxa"/>
            </w:tcMar>
          </w:tcPr>
          <w:p w14:paraId="10BD8ED9" w14:textId="3AB49D1D" w:rsidR="00A330A8" w:rsidRPr="00471CBA" w:rsidRDefault="00A330A8" w:rsidP="00A330A8">
            <w:pPr>
              <w:ind w:right="112"/>
              <w:jc w:val="right"/>
              <w:rPr>
                <w:color w:val="000000"/>
                <w:szCs w:val="18"/>
              </w:rPr>
            </w:pPr>
            <w:r w:rsidRPr="00471CBA">
              <w:t>-</w:t>
            </w:r>
          </w:p>
        </w:tc>
        <w:tc>
          <w:tcPr>
            <w:tcW w:w="1349" w:type="dxa"/>
          </w:tcPr>
          <w:p w14:paraId="531DE05D" w14:textId="0CD58DB6" w:rsidR="00A330A8" w:rsidRPr="00471CBA" w:rsidRDefault="00A330A8" w:rsidP="00A330A8">
            <w:pPr>
              <w:ind w:right="112"/>
              <w:jc w:val="right"/>
              <w:rPr>
                <w:color w:val="000000"/>
                <w:szCs w:val="18"/>
              </w:rPr>
            </w:pPr>
            <w:r w:rsidRPr="00471CBA">
              <w:t>114.954</w:t>
            </w:r>
          </w:p>
        </w:tc>
      </w:tr>
      <w:tr w:rsidR="00A330A8" w:rsidRPr="00471CBA" w14:paraId="53831DE4" w14:textId="77777777" w:rsidTr="00542B6B">
        <w:trPr>
          <w:cantSplit/>
          <w:trHeight w:val="113"/>
        </w:trPr>
        <w:tc>
          <w:tcPr>
            <w:tcW w:w="2898" w:type="dxa"/>
          </w:tcPr>
          <w:p w14:paraId="71DA40A8" w14:textId="77AA32E4" w:rsidR="00A330A8" w:rsidRPr="00471CBA" w:rsidRDefault="00A330A8" w:rsidP="00A330A8">
            <w:pPr>
              <w:ind w:right="112"/>
            </w:pPr>
            <w:r w:rsidRPr="00471CBA">
              <w:t>Romanya</w:t>
            </w:r>
          </w:p>
        </w:tc>
        <w:tc>
          <w:tcPr>
            <w:tcW w:w="2268" w:type="dxa"/>
          </w:tcPr>
          <w:p w14:paraId="5CEF5DCC" w14:textId="576F425F" w:rsidR="00A330A8" w:rsidRPr="00471CBA" w:rsidRDefault="00A330A8" w:rsidP="00A330A8">
            <w:pPr>
              <w:ind w:right="112"/>
              <w:jc w:val="right"/>
            </w:pPr>
            <w:r w:rsidRPr="00471CBA">
              <w:t>98.804</w:t>
            </w:r>
          </w:p>
        </w:tc>
        <w:tc>
          <w:tcPr>
            <w:tcW w:w="2976" w:type="dxa"/>
            <w:noWrap/>
            <w:tcMar>
              <w:top w:w="15" w:type="dxa"/>
              <w:left w:w="15" w:type="dxa"/>
              <w:bottom w:w="0" w:type="dxa"/>
              <w:right w:w="15" w:type="dxa"/>
            </w:tcMar>
          </w:tcPr>
          <w:p w14:paraId="65EE432F" w14:textId="625225EE" w:rsidR="00A330A8" w:rsidRPr="00471CBA" w:rsidRDefault="00A330A8" w:rsidP="00A330A8">
            <w:pPr>
              <w:ind w:right="112"/>
              <w:jc w:val="right"/>
            </w:pPr>
            <w:r w:rsidRPr="00471CBA">
              <w:t>-</w:t>
            </w:r>
          </w:p>
        </w:tc>
        <w:tc>
          <w:tcPr>
            <w:tcW w:w="1349" w:type="dxa"/>
          </w:tcPr>
          <w:p w14:paraId="00944762" w14:textId="0485F920" w:rsidR="00A330A8" w:rsidRPr="00471CBA" w:rsidRDefault="00A330A8" w:rsidP="00A330A8">
            <w:pPr>
              <w:ind w:right="112"/>
              <w:jc w:val="right"/>
            </w:pPr>
            <w:r w:rsidRPr="00471CBA">
              <w:t>98.804</w:t>
            </w:r>
          </w:p>
        </w:tc>
      </w:tr>
      <w:tr w:rsidR="00A330A8" w:rsidRPr="00471CBA" w14:paraId="51D7DEC1" w14:textId="77777777" w:rsidTr="00A15F5D">
        <w:trPr>
          <w:cantSplit/>
          <w:trHeight w:val="113"/>
        </w:trPr>
        <w:tc>
          <w:tcPr>
            <w:tcW w:w="2898" w:type="dxa"/>
          </w:tcPr>
          <w:p w14:paraId="11E83756" w14:textId="22B2F60D" w:rsidR="00A330A8" w:rsidRPr="00471CBA" w:rsidRDefault="00A330A8" w:rsidP="00A330A8">
            <w:pPr>
              <w:ind w:right="112"/>
            </w:pPr>
            <w:r w:rsidRPr="00471CBA">
              <w:t>Birleşik Arap Emirlikleri</w:t>
            </w:r>
          </w:p>
        </w:tc>
        <w:tc>
          <w:tcPr>
            <w:tcW w:w="2268" w:type="dxa"/>
          </w:tcPr>
          <w:p w14:paraId="149F9B89" w14:textId="469617C1" w:rsidR="00A330A8" w:rsidRPr="00471CBA" w:rsidRDefault="00A330A8" w:rsidP="00A330A8">
            <w:pPr>
              <w:ind w:right="112"/>
              <w:jc w:val="right"/>
            </w:pPr>
            <w:r w:rsidRPr="00471CBA">
              <w:t>6.080</w:t>
            </w:r>
          </w:p>
        </w:tc>
        <w:tc>
          <w:tcPr>
            <w:tcW w:w="2976" w:type="dxa"/>
            <w:noWrap/>
            <w:tcMar>
              <w:top w:w="15" w:type="dxa"/>
              <w:left w:w="15" w:type="dxa"/>
              <w:bottom w:w="0" w:type="dxa"/>
              <w:right w:w="15" w:type="dxa"/>
            </w:tcMar>
          </w:tcPr>
          <w:p w14:paraId="4A1EA093" w14:textId="071A2873" w:rsidR="00A330A8" w:rsidRPr="00471CBA" w:rsidRDefault="00A330A8" w:rsidP="00A330A8">
            <w:pPr>
              <w:ind w:right="112"/>
              <w:jc w:val="right"/>
            </w:pPr>
            <w:r w:rsidRPr="00471CBA">
              <w:t>-</w:t>
            </w:r>
          </w:p>
        </w:tc>
        <w:tc>
          <w:tcPr>
            <w:tcW w:w="1349" w:type="dxa"/>
          </w:tcPr>
          <w:p w14:paraId="1402FE06" w14:textId="118E7562" w:rsidR="00A330A8" w:rsidRPr="00471CBA" w:rsidRDefault="00A330A8" w:rsidP="00A330A8">
            <w:pPr>
              <w:ind w:right="112"/>
              <w:jc w:val="right"/>
            </w:pPr>
            <w:r w:rsidRPr="00471CBA">
              <w:t>6.080</w:t>
            </w:r>
          </w:p>
        </w:tc>
      </w:tr>
      <w:tr w:rsidR="00F91828" w:rsidRPr="00471CBA" w14:paraId="02F04330" w14:textId="77777777" w:rsidTr="00A15F5D">
        <w:trPr>
          <w:cantSplit/>
          <w:trHeight w:val="113"/>
        </w:trPr>
        <w:tc>
          <w:tcPr>
            <w:tcW w:w="2898" w:type="dxa"/>
            <w:tcBorders>
              <w:top w:val="nil"/>
              <w:left w:val="nil"/>
              <w:bottom w:val="single" w:sz="8" w:space="0" w:color="auto"/>
              <w:right w:val="nil"/>
            </w:tcBorders>
          </w:tcPr>
          <w:p w14:paraId="61C68B8D" w14:textId="77777777" w:rsidR="00F91828" w:rsidRPr="00471CBA" w:rsidRDefault="00F91828" w:rsidP="00B0049C">
            <w:pPr>
              <w:ind w:right="112"/>
              <w:jc w:val="right"/>
              <w:rPr>
                <w:color w:val="000000"/>
                <w:sz w:val="18"/>
                <w:szCs w:val="18"/>
              </w:rPr>
            </w:pPr>
          </w:p>
        </w:tc>
        <w:tc>
          <w:tcPr>
            <w:tcW w:w="2268" w:type="dxa"/>
            <w:tcBorders>
              <w:top w:val="nil"/>
              <w:left w:val="nil"/>
              <w:bottom w:val="single" w:sz="8" w:space="0" w:color="auto"/>
              <w:right w:val="nil"/>
            </w:tcBorders>
          </w:tcPr>
          <w:p w14:paraId="18E47C03" w14:textId="77777777" w:rsidR="00F91828" w:rsidRPr="00471CBA" w:rsidRDefault="00F91828" w:rsidP="00B0049C">
            <w:pPr>
              <w:ind w:right="112"/>
              <w:jc w:val="right"/>
              <w:rPr>
                <w:color w:val="000000"/>
                <w:sz w:val="18"/>
                <w:szCs w:val="18"/>
              </w:rPr>
            </w:pPr>
          </w:p>
        </w:tc>
        <w:tc>
          <w:tcPr>
            <w:tcW w:w="2976" w:type="dxa"/>
            <w:tcBorders>
              <w:top w:val="nil"/>
              <w:left w:val="nil"/>
              <w:bottom w:val="single" w:sz="8" w:space="0" w:color="auto"/>
              <w:right w:val="nil"/>
            </w:tcBorders>
            <w:noWrap/>
            <w:tcMar>
              <w:top w:w="15" w:type="dxa"/>
              <w:left w:w="15" w:type="dxa"/>
              <w:bottom w:w="0" w:type="dxa"/>
              <w:right w:w="15" w:type="dxa"/>
            </w:tcMar>
          </w:tcPr>
          <w:p w14:paraId="10764620" w14:textId="77777777" w:rsidR="00F91828" w:rsidRPr="00471CBA" w:rsidRDefault="00F91828" w:rsidP="00B0049C">
            <w:pPr>
              <w:ind w:right="112"/>
              <w:jc w:val="right"/>
              <w:rPr>
                <w:color w:val="000000"/>
                <w:sz w:val="18"/>
                <w:szCs w:val="18"/>
              </w:rPr>
            </w:pPr>
          </w:p>
        </w:tc>
        <w:tc>
          <w:tcPr>
            <w:tcW w:w="1349" w:type="dxa"/>
            <w:tcBorders>
              <w:top w:val="nil"/>
              <w:left w:val="nil"/>
              <w:bottom w:val="single" w:sz="8" w:space="0" w:color="auto"/>
              <w:right w:val="nil"/>
            </w:tcBorders>
          </w:tcPr>
          <w:p w14:paraId="246CF498" w14:textId="77777777" w:rsidR="00F91828" w:rsidRPr="00471CBA" w:rsidRDefault="00F91828" w:rsidP="00B0049C">
            <w:pPr>
              <w:ind w:right="112"/>
              <w:jc w:val="right"/>
              <w:rPr>
                <w:color w:val="000000"/>
                <w:sz w:val="18"/>
                <w:szCs w:val="18"/>
              </w:rPr>
            </w:pPr>
          </w:p>
        </w:tc>
      </w:tr>
    </w:tbl>
    <w:p w14:paraId="564E455A" w14:textId="3621997D" w:rsidR="00F91828" w:rsidRPr="00471CBA" w:rsidRDefault="00F91828" w:rsidP="00F91828"/>
    <w:tbl>
      <w:tblPr>
        <w:tblW w:w="0" w:type="auto"/>
        <w:tblInd w:w="28" w:type="dxa"/>
        <w:tblLayout w:type="fixed"/>
        <w:tblCellMar>
          <w:left w:w="0" w:type="dxa"/>
          <w:right w:w="0" w:type="dxa"/>
        </w:tblCellMar>
        <w:tblLook w:val="04A0" w:firstRow="1" w:lastRow="0" w:firstColumn="1" w:lastColumn="0" w:noHBand="0" w:noVBand="1"/>
      </w:tblPr>
      <w:tblGrid>
        <w:gridCol w:w="2898"/>
        <w:gridCol w:w="2268"/>
        <w:gridCol w:w="2976"/>
        <w:gridCol w:w="1349"/>
      </w:tblGrid>
      <w:tr w:rsidR="002F67F0" w:rsidRPr="00471CBA" w14:paraId="611EC29E" w14:textId="77777777" w:rsidTr="00887449">
        <w:trPr>
          <w:cantSplit/>
          <w:trHeight w:val="113"/>
        </w:trPr>
        <w:tc>
          <w:tcPr>
            <w:tcW w:w="2898" w:type="dxa"/>
            <w:tcBorders>
              <w:top w:val="single" w:sz="4" w:space="0" w:color="auto"/>
              <w:left w:val="nil"/>
              <w:bottom w:val="single" w:sz="4" w:space="0" w:color="auto"/>
              <w:right w:val="nil"/>
            </w:tcBorders>
            <w:vAlign w:val="bottom"/>
          </w:tcPr>
          <w:p w14:paraId="6AF18375" w14:textId="13AAAE75" w:rsidR="002F67F0" w:rsidRPr="00471CBA" w:rsidRDefault="002F67F0" w:rsidP="00887449">
            <w:pPr>
              <w:rPr>
                <w:b/>
                <w:bCs/>
              </w:rPr>
            </w:pPr>
            <w:r w:rsidRPr="00471CBA">
              <w:rPr>
                <w:b/>
                <w:bCs/>
              </w:rPr>
              <w:t>31 Aralık 2024</w:t>
            </w:r>
          </w:p>
        </w:tc>
        <w:tc>
          <w:tcPr>
            <w:tcW w:w="2268" w:type="dxa"/>
            <w:tcBorders>
              <w:top w:val="single" w:sz="4" w:space="0" w:color="auto"/>
              <w:left w:val="nil"/>
              <w:bottom w:val="single" w:sz="4" w:space="0" w:color="auto"/>
              <w:right w:val="nil"/>
            </w:tcBorders>
            <w:vAlign w:val="bottom"/>
          </w:tcPr>
          <w:p w14:paraId="4E4D1E6F" w14:textId="77777777" w:rsidR="002F67F0" w:rsidRPr="00471CBA" w:rsidRDefault="002F67F0" w:rsidP="00887449">
            <w:pPr>
              <w:ind w:right="55"/>
              <w:jc w:val="right"/>
              <w:rPr>
                <w:b/>
                <w:szCs w:val="18"/>
              </w:rPr>
            </w:pPr>
          </w:p>
        </w:tc>
        <w:tc>
          <w:tcPr>
            <w:tcW w:w="2976" w:type="dxa"/>
            <w:tcBorders>
              <w:top w:val="single" w:sz="4" w:space="0" w:color="auto"/>
              <w:left w:val="nil"/>
              <w:bottom w:val="single" w:sz="4" w:space="0" w:color="auto"/>
              <w:right w:val="nil"/>
            </w:tcBorders>
            <w:noWrap/>
            <w:tcMar>
              <w:top w:w="15" w:type="dxa"/>
              <w:left w:w="15" w:type="dxa"/>
              <w:bottom w:w="0" w:type="dxa"/>
              <w:right w:w="15" w:type="dxa"/>
            </w:tcMar>
            <w:vAlign w:val="bottom"/>
          </w:tcPr>
          <w:p w14:paraId="7F9556C5" w14:textId="77777777" w:rsidR="002F67F0" w:rsidRPr="00471CBA" w:rsidRDefault="002F67F0" w:rsidP="00887449">
            <w:pPr>
              <w:ind w:right="55"/>
              <w:jc w:val="right"/>
              <w:rPr>
                <w:b/>
                <w:szCs w:val="18"/>
              </w:rPr>
            </w:pPr>
          </w:p>
        </w:tc>
        <w:tc>
          <w:tcPr>
            <w:tcW w:w="1349" w:type="dxa"/>
            <w:tcBorders>
              <w:top w:val="single" w:sz="4" w:space="0" w:color="auto"/>
              <w:left w:val="nil"/>
              <w:bottom w:val="single" w:sz="4" w:space="0" w:color="auto"/>
              <w:right w:val="nil"/>
            </w:tcBorders>
            <w:vAlign w:val="bottom"/>
          </w:tcPr>
          <w:p w14:paraId="1F2ECA97" w14:textId="77777777" w:rsidR="002F67F0" w:rsidRPr="00471CBA" w:rsidRDefault="002F67F0" w:rsidP="00887449">
            <w:pPr>
              <w:ind w:right="55"/>
              <w:jc w:val="right"/>
              <w:rPr>
                <w:b/>
                <w:szCs w:val="18"/>
              </w:rPr>
            </w:pPr>
          </w:p>
        </w:tc>
      </w:tr>
      <w:tr w:rsidR="00571ECD" w:rsidRPr="00471CBA" w14:paraId="56EA969D" w14:textId="77777777" w:rsidTr="00887449">
        <w:trPr>
          <w:cantSplit/>
          <w:trHeight w:val="113"/>
        </w:trPr>
        <w:tc>
          <w:tcPr>
            <w:tcW w:w="2898" w:type="dxa"/>
            <w:tcBorders>
              <w:top w:val="single" w:sz="4" w:space="0" w:color="auto"/>
              <w:left w:val="nil"/>
              <w:bottom w:val="single" w:sz="4" w:space="0" w:color="auto"/>
              <w:right w:val="nil"/>
            </w:tcBorders>
            <w:vAlign w:val="bottom"/>
            <w:hideMark/>
          </w:tcPr>
          <w:p w14:paraId="00826295" w14:textId="3A7BF136" w:rsidR="00571ECD" w:rsidRPr="00471CBA" w:rsidRDefault="00F91828" w:rsidP="00887449">
            <w:pPr>
              <w:rPr>
                <w:b/>
                <w:szCs w:val="18"/>
              </w:rPr>
            </w:pPr>
            <w:r w:rsidRPr="00471CBA">
              <w:br w:type="page"/>
            </w:r>
            <w:r w:rsidR="00571ECD" w:rsidRPr="00471CBA">
              <w:rPr>
                <w:b/>
                <w:szCs w:val="18"/>
              </w:rPr>
              <w:t xml:space="preserve">Nihai olarak risk </w:t>
            </w:r>
            <w:r w:rsidR="00571ECD" w:rsidRPr="00471CBA">
              <w:rPr>
                <w:b/>
                <w:szCs w:val="18"/>
              </w:rPr>
              <w:br/>
              <w:t>alınan ülke</w:t>
            </w:r>
          </w:p>
        </w:tc>
        <w:tc>
          <w:tcPr>
            <w:tcW w:w="2268" w:type="dxa"/>
            <w:tcBorders>
              <w:top w:val="single" w:sz="4" w:space="0" w:color="auto"/>
              <w:left w:val="nil"/>
              <w:bottom w:val="single" w:sz="4" w:space="0" w:color="auto"/>
              <w:right w:val="nil"/>
            </w:tcBorders>
            <w:vAlign w:val="bottom"/>
            <w:hideMark/>
          </w:tcPr>
          <w:p w14:paraId="250CA714" w14:textId="77777777" w:rsidR="00571ECD" w:rsidRPr="00471CBA" w:rsidRDefault="00571ECD" w:rsidP="00887449">
            <w:pPr>
              <w:ind w:right="55"/>
              <w:jc w:val="right"/>
              <w:rPr>
                <w:b/>
                <w:szCs w:val="18"/>
              </w:rPr>
            </w:pPr>
            <w:r w:rsidRPr="00471CBA">
              <w:rPr>
                <w:b/>
                <w:szCs w:val="18"/>
              </w:rPr>
              <w:t xml:space="preserve">Bankacılık hesaplarındaki </w:t>
            </w:r>
            <w:r w:rsidRPr="00471CBA">
              <w:rPr>
                <w:b/>
                <w:szCs w:val="18"/>
              </w:rPr>
              <w:br/>
              <w:t>özel sektör kredileri</w:t>
            </w:r>
          </w:p>
        </w:tc>
        <w:tc>
          <w:tcPr>
            <w:tcW w:w="2976" w:type="dxa"/>
            <w:tcBorders>
              <w:top w:val="single" w:sz="4" w:space="0" w:color="auto"/>
              <w:left w:val="nil"/>
              <w:bottom w:val="single" w:sz="4" w:space="0" w:color="auto"/>
              <w:right w:val="nil"/>
            </w:tcBorders>
            <w:noWrap/>
            <w:tcMar>
              <w:top w:w="15" w:type="dxa"/>
              <w:left w:w="15" w:type="dxa"/>
              <w:bottom w:w="0" w:type="dxa"/>
              <w:right w:w="15" w:type="dxa"/>
            </w:tcMar>
            <w:vAlign w:val="bottom"/>
            <w:hideMark/>
          </w:tcPr>
          <w:p w14:paraId="71725F8A" w14:textId="77777777" w:rsidR="00571ECD" w:rsidRPr="00471CBA" w:rsidRDefault="00571ECD" w:rsidP="00887449">
            <w:pPr>
              <w:ind w:right="55"/>
              <w:jc w:val="right"/>
              <w:rPr>
                <w:b/>
                <w:szCs w:val="18"/>
              </w:rPr>
            </w:pPr>
            <w:r w:rsidRPr="00471CBA">
              <w:rPr>
                <w:b/>
                <w:szCs w:val="18"/>
              </w:rPr>
              <w:t xml:space="preserve">Alım satım hesapları kapsamında </w:t>
            </w:r>
            <w:r w:rsidRPr="00471CBA">
              <w:rPr>
                <w:b/>
                <w:szCs w:val="18"/>
              </w:rPr>
              <w:br/>
              <w:t>hesaplanan risk ağırlıklı tutar</w:t>
            </w:r>
          </w:p>
        </w:tc>
        <w:tc>
          <w:tcPr>
            <w:tcW w:w="1349" w:type="dxa"/>
            <w:tcBorders>
              <w:top w:val="single" w:sz="4" w:space="0" w:color="auto"/>
              <w:left w:val="nil"/>
              <w:bottom w:val="single" w:sz="4" w:space="0" w:color="auto"/>
              <w:right w:val="nil"/>
            </w:tcBorders>
            <w:vAlign w:val="bottom"/>
            <w:hideMark/>
          </w:tcPr>
          <w:p w14:paraId="4BC81C18" w14:textId="77777777" w:rsidR="00571ECD" w:rsidRPr="00471CBA" w:rsidRDefault="00571ECD" w:rsidP="00887449">
            <w:pPr>
              <w:ind w:right="55"/>
              <w:jc w:val="right"/>
              <w:rPr>
                <w:b/>
                <w:szCs w:val="18"/>
              </w:rPr>
            </w:pPr>
            <w:r w:rsidRPr="00471CBA">
              <w:rPr>
                <w:b/>
                <w:szCs w:val="18"/>
              </w:rPr>
              <w:t>Toplam</w:t>
            </w:r>
          </w:p>
        </w:tc>
      </w:tr>
      <w:tr w:rsidR="00571ECD" w:rsidRPr="00471CBA" w14:paraId="3C93DB86" w14:textId="77777777" w:rsidTr="00887449">
        <w:trPr>
          <w:cantSplit/>
          <w:trHeight w:val="113"/>
        </w:trPr>
        <w:tc>
          <w:tcPr>
            <w:tcW w:w="2898" w:type="dxa"/>
            <w:tcBorders>
              <w:top w:val="single" w:sz="4" w:space="0" w:color="auto"/>
              <w:left w:val="nil"/>
              <w:bottom w:val="nil"/>
              <w:right w:val="nil"/>
            </w:tcBorders>
            <w:vAlign w:val="bottom"/>
          </w:tcPr>
          <w:p w14:paraId="00A0F355" w14:textId="77777777" w:rsidR="00571ECD" w:rsidRPr="00471CBA" w:rsidRDefault="00571ECD" w:rsidP="00887449">
            <w:pPr>
              <w:ind w:left="98"/>
              <w:rPr>
                <w:b/>
                <w:szCs w:val="18"/>
              </w:rPr>
            </w:pPr>
          </w:p>
        </w:tc>
        <w:tc>
          <w:tcPr>
            <w:tcW w:w="2268" w:type="dxa"/>
            <w:tcBorders>
              <w:top w:val="single" w:sz="4" w:space="0" w:color="auto"/>
              <w:left w:val="nil"/>
              <w:bottom w:val="nil"/>
              <w:right w:val="nil"/>
            </w:tcBorders>
            <w:vAlign w:val="bottom"/>
          </w:tcPr>
          <w:p w14:paraId="39A3C5BE" w14:textId="77777777" w:rsidR="00571ECD" w:rsidRPr="00471CBA" w:rsidRDefault="00571ECD" w:rsidP="00887449">
            <w:pPr>
              <w:ind w:right="55"/>
              <w:jc w:val="right"/>
              <w:rPr>
                <w:b/>
                <w:szCs w:val="18"/>
              </w:rPr>
            </w:pPr>
          </w:p>
        </w:tc>
        <w:tc>
          <w:tcPr>
            <w:tcW w:w="2976" w:type="dxa"/>
            <w:tcBorders>
              <w:top w:val="single" w:sz="4" w:space="0" w:color="auto"/>
              <w:left w:val="nil"/>
              <w:bottom w:val="nil"/>
              <w:right w:val="nil"/>
            </w:tcBorders>
            <w:noWrap/>
            <w:tcMar>
              <w:top w:w="15" w:type="dxa"/>
              <w:left w:w="15" w:type="dxa"/>
              <w:bottom w:w="0" w:type="dxa"/>
              <w:right w:w="15" w:type="dxa"/>
            </w:tcMar>
            <w:vAlign w:val="bottom"/>
          </w:tcPr>
          <w:p w14:paraId="5AE5D6E6" w14:textId="77777777" w:rsidR="00571ECD" w:rsidRPr="00471CBA" w:rsidRDefault="00571ECD" w:rsidP="00887449">
            <w:pPr>
              <w:ind w:right="55"/>
              <w:jc w:val="right"/>
              <w:rPr>
                <w:b/>
                <w:szCs w:val="18"/>
              </w:rPr>
            </w:pPr>
          </w:p>
        </w:tc>
        <w:tc>
          <w:tcPr>
            <w:tcW w:w="1349" w:type="dxa"/>
            <w:tcBorders>
              <w:top w:val="single" w:sz="4" w:space="0" w:color="auto"/>
              <w:left w:val="nil"/>
              <w:bottom w:val="nil"/>
              <w:right w:val="nil"/>
            </w:tcBorders>
            <w:vAlign w:val="bottom"/>
          </w:tcPr>
          <w:p w14:paraId="3E7228CB" w14:textId="77777777" w:rsidR="00571ECD" w:rsidRPr="00471CBA" w:rsidRDefault="00571ECD" w:rsidP="00887449">
            <w:pPr>
              <w:ind w:right="55"/>
              <w:jc w:val="right"/>
              <w:rPr>
                <w:b/>
                <w:szCs w:val="18"/>
              </w:rPr>
            </w:pPr>
          </w:p>
        </w:tc>
      </w:tr>
      <w:tr w:rsidR="00571ECD" w:rsidRPr="00471CBA" w14:paraId="6971CD35" w14:textId="77777777" w:rsidTr="00887449">
        <w:trPr>
          <w:cantSplit/>
          <w:trHeight w:val="113"/>
        </w:trPr>
        <w:tc>
          <w:tcPr>
            <w:tcW w:w="2898" w:type="dxa"/>
          </w:tcPr>
          <w:p w14:paraId="0F596D1D" w14:textId="77777777" w:rsidR="00571ECD" w:rsidRPr="00471CBA" w:rsidRDefault="00571ECD" w:rsidP="00887449">
            <w:pPr>
              <w:ind w:right="112"/>
              <w:rPr>
                <w:color w:val="000000"/>
                <w:szCs w:val="18"/>
              </w:rPr>
            </w:pPr>
            <w:r w:rsidRPr="00471CBA">
              <w:t>Türkiye</w:t>
            </w:r>
          </w:p>
        </w:tc>
        <w:tc>
          <w:tcPr>
            <w:tcW w:w="2268" w:type="dxa"/>
            <w:vAlign w:val="bottom"/>
          </w:tcPr>
          <w:p w14:paraId="74BBA54F" w14:textId="77777777" w:rsidR="00571ECD" w:rsidRPr="00471CBA" w:rsidRDefault="00571ECD" w:rsidP="00887449">
            <w:pPr>
              <w:ind w:right="112"/>
              <w:jc w:val="right"/>
              <w:rPr>
                <w:color w:val="000000"/>
                <w:szCs w:val="18"/>
              </w:rPr>
            </w:pPr>
            <w:r w:rsidRPr="00471CBA">
              <w:t>12.474.117</w:t>
            </w:r>
          </w:p>
        </w:tc>
        <w:tc>
          <w:tcPr>
            <w:tcW w:w="2976" w:type="dxa"/>
            <w:noWrap/>
            <w:tcMar>
              <w:top w:w="15" w:type="dxa"/>
              <w:left w:w="15" w:type="dxa"/>
              <w:bottom w:w="0" w:type="dxa"/>
              <w:right w:w="15" w:type="dxa"/>
            </w:tcMar>
            <w:vAlign w:val="bottom"/>
          </w:tcPr>
          <w:p w14:paraId="5DC1B53E" w14:textId="77777777" w:rsidR="00571ECD" w:rsidRPr="00471CBA" w:rsidRDefault="00571ECD" w:rsidP="00887449">
            <w:pPr>
              <w:ind w:right="112"/>
              <w:jc w:val="right"/>
              <w:rPr>
                <w:color w:val="000000"/>
                <w:szCs w:val="18"/>
              </w:rPr>
            </w:pPr>
            <w:r w:rsidRPr="00471CBA">
              <w:t>60.007</w:t>
            </w:r>
          </w:p>
        </w:tc>
        <w:tc>
          <w:tcPr>
            <w:tcW w:w="1349" w:type="dxa"/>
            <w:vAlign w:val="bottom"/>
          </w:tcPr>
          <w:p w14:paraId="6B52FAF1" w14:textId="77777777" w:rsidR="00571ECD" w:rsidRPr="00471CBA" w:rsidRDefault="00571ECD" w:rsidP="00887449">
            <w:pPr>
              <w:ind w:right="112"/>
              <w:jc w:val="right"/>
              <w:rPr>
                <w:color w:val="000000"/>
                <w:szCs w:val="18"/>
              </w:rPr>
            </w:pPr>
            <w:r w:rsidRPr="00471CBA">
              <w:t>12.534.124</w:t>
            </w:r>
          </w:p>
        </w:tc>
      </w:tr>
      <w:tr w:rsidR="00571ECD" w:rsidRPr="00471CBA" w14:paraId="4B31D98D" w14:textId="77777777" w:rsidTr="00887449">
        <w:trPr>
          <w:cantSplit/>
          <w:trHeight w:val="113"/>
        </w:trPr>
        <w:tc>
          <w:tcPr>
            <w:tcW w:w="2898" w:type="dxa"/>
          </w:tcPr>
          <w:p w14:paraId="4DDA6C8E" w14:textId="77777777" w:rsidR="00571ECD" w:rsidRPr="00471CBA" w:rsidRDefault="00571ECD" w:rsidP="00887449">
            <w:pPr>
              <w:ind w:right="112"/>
              <w:rPr>
                <w:color w:val="000000"/>
                <w:szCs w:val="18"/>
              </w:rPr>
            </w:pPr>
            <w:r w:rsidRPr="00471CBA">
              <w:t>İngiltere</w:t>
            </w:r>
          </w:p>
        </w:tc>
        <w:tc>
          <w:tcPr>
            <w:tcW w:w="2268" w:type="dxa"/>
            <w:vAlign w:val="bottom"/>
          </w:tcPr>
          <w:p w14:paraId="4F83588E" w14:textId="77777777" w:rsidR="00571ECD" w:rsidRPr="00471CBA" w:rsidRDefault="00571ECD" w:rsidP="00887449">
            <w:pPr>
              <w:ind w:right="112"/>
              <w:jc w:val="right"/>
              <w:rPr>
                <w:color w:val="000000"/>
                <w:szCs w:val="18"/>
              </w:rPr>
            </w:pPr>
            <w:r w:rsidRPr="00471CBA">
              <w:t>427.169</w:t>
            </w:r>
          </w:p>
        </w:tc>
        <w:tc>
          <w:tcPr>
            <w:tcW w:w="2976" w:type="dxa"/>
            <w:noWrap/>
            <w:tcMar>
              <w:top w:w="15" w:type="dxa"/>
              <w:left w:w="15" w:type="dxa"/>
              <w:bottom w:w="0" w:type="dxa"/>
              <w:right w:w="15" w:type="dxa"/>
            </w:tcMar>
            <w:vAlign w:val="bottom"/>
          </w:tcPr>
          <w:p w14:paraId="7CE918AC" w14:textId="77777777" w:rsidR="00571ECD" w:rsidRPr="00471CBA" w:rsidRDefault="00571ECD" w:rsidP="00887449">
            <w:pPr>
              <w:ind w:right="112"/>
              <w:jc w:val="right"/>
              <w:rPr>
                <w:color w:val="000000"/>
                <w:szCs w:val="18"/>
              </w:rPr>
            </w:pPr>
            <w:r w:rsidRPr="00471CBA">
              <w:t>-</w:t>
            </w:r>
          </w:p>
        </w:tc>
        <w:tc>
          <w:tcPr>
            <w:tcW w:w="1349" w:type="dxa"/>
            <w:vAlign w:val="bottom"/>
          </w:tcPr>
          <w:p w14:paraId="15647D91" w14:textId="77777777" w:rsidR="00571ECD" w:rsidRPr="00471CBA" w:rsidRDefault="00571ECD" w:rsidP="00887449">
            <w:pPr>
              <w:ind w:right="112"/>
              <w:jc w:val="right"/>
              <w:rPr>
                <w:color w:val="000000"/>
                <w:szCs w:val="18"/>
              </w:rPr>
            </w:pPr>
            <w:r w:rsidRPr="00471CBA">
              <w:t>427.169</w:t>
            </w:r>
          </w:p>
        </w:tc>
      </w:tr>
      <w:tr w:rsidR="00571ECD" w:rsidRPr="00471CBA" w14:paraId="44CB251E" w14:textId="77777777" w:rsidTr="00887449">
        <w:trPr>
          <w:cantSplit/>
          <w:trHeight w:val="113"/>
        </w:trPr>
        <w:tc>
          <w:tcPr>
            <w:tcW w:w="2898" w:type="dxa"/>
          </w:tcPr>
          <w:p w14:paraId="5273C0B3" w14:textId="77777777" w:rsidR="00571ECD" w:rsidRPr="00471CBA" w:rsidRDefault="00571ECD" w:rsidP="00887449">
            <w:pPr>
              <w:ind w:right="112"/>
              <w:rPr>
                <w:color w:val="000000"/>
                <w:szCs w:val="18"/>
              </w:rPr>
            </w:pPr>
            <w:r w:rsidRPr="00471CBA">
              <w:t>Malezya</w:t>
            </w:r>
          </w:p>
        </w:tc>
        <w:tc>
          <w:tcPr>
            <w:tcW w:w="2268" w:type="dxa"/>
            <w:vAlign w:val="bottom"/>
          </w:tcPr>
          <w:p w14:paraId="3DB481FF" w14:textId="77777777" w:rsidR="00571ECD" w:rsidRPr="00471CBA" w:rsidRDefault="00571ECD" w:rsidP="00887449">
            <w:pPr>
              <w:ind w:right="112"/>
              <w:jc w:val="right"/>
              <w:rPr>
                <w:color w:val="000000"/>
                <w:szCs w:val="18"/>
              </w:rPr>
            </w:pPr>
            <w:r w:rsidRPr="00471CBA">
              <w:t>-</w:t>
            </w:r>
          </w:p>
        </w:tc>
        <w:tc>
          <w:tcPr>
            <w:tcW w:w="2976" w:type="dxa"/>
            <w:noWrap/>
            <w:tcMar>
              <w:top w:w="15" w:type="dxa"/>
              <w:left w:w="15" w:type="dxa"/>
              <w:bottom w:w="0" w:type="dxa"/>
              <w:right w:w="15" w:type="dxa"/>
            </w:tcMar>
            <w:vAlign w:val="bottom"/>
          </w:tcPr>
          <w:p w14:paraId="50EBEDDA" w14:textId="77777777" w:rsidR="00571ECD" w:rsidRPr="00471CBA" w:rsidRDefault="00571ECD" w:rsidP="00887449">
            <w:pPr>
              <w:ind w:right="112"/>
              <w:jc w:val="right"/>
              <w:rPr>
                <w:color w:val="000000"/>
                <w:szCs w:val="18"/>
              </w:rPr>
            </w:pPr>
            <w:r w:rsidRPr="00471CBA">
              <w:t>96.862</w:t>
            </w:r>
          </w:p>
        </w:tc>
        <w:tc>
          <w:tcPr>
            <w:tcW w:w="1349" w:type="dxa"/>
            <w:vAlign w:val="bottom"/>
          </w:tcPr>
          <w:p w14:paraId="06109259" w14:textId="77777777" w:rsidR="00571ECD" w:rsidRPr="00471CBA" w:rsidRDefault="00571ECD" w:rsidP="00887449">
            <w:pPr>
              <w:ind w:right="112"/>
              <w:jc w:val="right"/>
              <w:rPr>
                <w:color w:val="000000"/>
                <w:szCs w:val="18"/>
              </w:rPr>
            </w:pPr>
            <w:r w:rsidRPr="00471CBA">
              <w:t>96.862</w:t>
            </w:r>
          </w:p>
        </w:tc>
      </w:tr>
      <w:tr w:rsidR="00571ECD" w:rsidRPr="00471CBA" w14:paraId="09E1AF08" w14:textId="77777777" w:rsidTr="00A15F5D">
        <w:trPr>
          <w:cantSplit/>
          <w:trHeight w:val="113"/>
        </w:trPr>
        <w:tc>
          <w:tcPr>
            <w:tcW w:w="2898" w:type="dxa"/>
          </w:tcPr>
          <w:p w14:paraId="405BBFFF" w14:textId="77777777" w:rsidR="00571ECD" w:rsidRPr="00471CBA" w:rsidRDefault="00571ECD" w:rsidP="00887449">
            <w:pPr>
              <w:ind w:right="112"/>
              <w:rPr>
                <w:color w:val="000000"/>
                <w:szCs w:val="18"/>
              </w:rPr>
            </w:pPr>
            <w:r w:rsidRPr="00471CBA">
              <w:t>Hollanda</w:t>
            </w:r>
          </w:p>
        </w:tc>
        <w:tc>
          <w:tcPr>
            <w:tcW w:w="2268" w:type="dxa"/>
            <w:vAlign w:val="bottom"/>
          </w:tcPr>
          <w:p w14:paraId="1AE17A26" w14:textId="77777777" w:rsidR="00571ECD" w:rsidRPr="00471CBA" w:rsidRDefault="00571ECD" w:rsidP="00887449">
            <w:pPr>
              <w:ind w:right="112"/>
              <w:jc w:val="right"/>
              <w:rPr>
                <w:color w:val="000000"/>
                <w:szCs w:val="18"/>
              </w:rPr>
            </w:pPr>
            <w:r w:rsidRPr="00471CBA">
              <w:t>30.006</w:t>
            </w:r>
          </w:p>
        </w:tc>
        <w:tc>
          <w:tcPr>
            <w:tcW w:w="2976" w:type="dxa"/>
            <w:noWrap/>
            <w:tcMar>
              <w:top w:w="15" w:type="dxa"/>
              <w:left w:w="15" w:type="dxa"/>
              <w:bottom w:w="0" w:type="dxa"/>
              <w:right w:w="15" w:type="dxa"/>
            </w:tcMar>
            <w:vAlign w:val="bottom"/>
          </w:tcPr>
          <w:p w14:paraId="5717B57B" w14:textId="77777777" w:rsidR="00571ECD" w:rsidRPr="00471CBA" w:rsidRDefault="00571ECD" w:rsidP="00887449">
            <w:pPr>
              <w:ind w:right="112"/>
              <w:jc w:val="right"/>
              <w:rPr>
                <w:color w:val="000000"/>
                <w:szCs w:val="18"/>
              </w:rPr>
            </w:pPr>
            <w:r w:rsidRPr="00471CBA">
              <w:t>-</w:t>
            </w:r>
          </w:p>
        </w:tc>
        <w:tc>
          <w:tcPr>
            <w:tcW w:w="1349" w:type="dxa"/>
            <w:vAlign w:val="bottom"/>
          </w:tcPr>
          <w:p w14:paraId="439A19EF" w14:textId="77777777" w:rsidR="00571ECD" w:rsidRPr="00471CBA" w:rsidRDefault="00571ECD" w:rsidP="00887449">
            <w:pPr>
              <w:ind w:right="112"/>
              <w:jc w:val="right"/>
              <w:rPr>
                <w:color w:val="000000"/>
                <w:szCs w:val="18"/>
              </w:rPr>
            </w:pPr>
            <w:r w:rsidRPr="00471CBA">
              <w:t>30.006</w:t>
            </w:r>
          </w:p>
        </w:tc>
      </w:tr>
      <w:tr w:rsidR="00571ECD" w:rsidRPr="00471CBA" w14:paraId="72FEF7F9" w14:textId="77777777" w:rsidTr="00A15F5D">
        <w:trPr>
          <w:cantSplit/>
          <w:trHeight w:val="113"/>
        </w:trPr>
        <w:tc>
          <w:tcPr>
            <w:tcW w:w="2898" w:type="dxa"/>
            <w:tcBorders>
              <w:top w:val="nil"/>
              <w:left w:val="nil"/>
              <w:bottom w:val="single" w:sz="8" w:space="0" w:color="auto"/>
              <w:right w:val="nil"/>
            </w:tcBorders>
          </w:tcPr>
          <w:p w14:paraId="32048B24" w14:textId="77777777" w:rsidR="00571ECD" w:rsidRPr="00471CBA" w:rsidRDefault="00571ECD" w:rsidP="00887449">
            <w:pPr>
              <w:ind w:right="112"/>
              <w:jc w:val="right"/>
              <w:rPr>
                <w:color w:val="000000"/>
                <w:sz w:val="18"/>
                <w:szCs w:val="18"/>
              </w:rPr>
            </w:pPr>
          </w:p>
        </w:tc>
        <w:tc>
          <w:tcPr>
            <w:tcW w:w="2268" w:type="dxa"/>
            <w:tcBorders>
              <w:top w:val="nil"/>
              <w:left w:val="nil"/>
              <w:bottom w:val="single" w:sz="8" w:space="0" w:color="auto"/>
              <w:right w:val="nil"/>
            </w:tcBorders>
          </w:tcPr>
          <w:p w14:paraId="735AB79F" w14:textId="77777777" w:rsidR="00571ECD" w:rsidRPr="00471CBA" w:rsidRDefault="00571ECD" w:rsidP="00887449">
            <w:pPr>
              <w:ind w:right="112"/>
              <w:jc w:val="right"/>
              <w:rPr>
                <w:color w:val="000000"/>
                <w:sz w:val="18"/>
                <w:szCs w:val="18"/>
              </w:rPr>
            </w:pPr>
          </w:p>
        </w:tc>
        <w:tc>
          <w:tcPr>
            <w:tcW w:w="2976" w:type="dxa"/>
            <w:tcBorders>
              <w:top w:val="nil"/>
              <w:left w:val="nil"/>
              <w:bottom w:val="single" w:sz="8" w:space="0" w:color="auto"/>
              <w:right w:val="nil"/>
            </w:tcBorders>
            <w:noWrap/>
            <w:tcMar>
              <w:top w:w="15" w:type="dxa"/>
              <w:left w:w="15" w:type="dxa"/>
              <w:bottom w:w="0" w:type="dxa"/>
              <w:right w:w="15" w:type="dxa"/>
            </w:tcMar>
          </w:tcPr>
          <w:p w14:paraId="7A433CE7" w14:textId="77777777" w:rsidR="00571ECD" w:rsidRPr="00471CBA" w:rsidRDefault="00571ECD" w:rsidP="00887449">
            <w:pPr>
              <w:ind w:right="112"/>
              <w:jc w:val="right"/>
              <w:rPr>
                <w:color w:val="000000"/>
                <w:sz w:val="18"/>
                <w:szCs w:val="18"/>
              </w:rPr>
            </w:pPr>
          </w:p>
        </w:tc>
        <w:tc>
          <w:tcPr>
            <w:tcW w:w="1349" w:type="dxa"/>
            <w:tcBorders>
              <w:top w:val="nil"/>
              <w:left w:val="nil"/>
              <w:bottom w:val="single" w:sz="8" w:space="0" w:color="auto"/>
              <w:right w:val="nil"/>
            </w:tcBorders>
          </w:tcPr>
          <w:p w14:paraId="00846AB9" w14:textId="77777777" w:rsidR="00571ECD" w:rsidRPr="00471CBA" w:rsidRDefault="00571ECD" w:rsidP="00887449">
            <w:pPr>
              <w:ind w:right="112"/>
              <w:jc w:val="right"/>
              <w:rPr>
                <w:color w:val="000000"/>
                <w:sz w:val="18"/>
                <w:szCs w:val="18"/>
              </w:rPr>
            </w:pPr>
          </w:p>
        </w:tc>
      </w:tr>
    </w:tbl>
    <w:p w14:paraId="13C78164" w14:textId="461DEF62" w:rsidR="00F91828" w:rsidRPr="00471CBA" w:rsidRDefault="00F91828" w:rsidP="00F91828"/>
    <w:p w14:paraId="0761C31D" w14:textId="21CFC54B" w:rsidR="002C6E36" w:rsidRPr="00471CBA" w:rsidRDefault="00AA12B1" w:rsidP="009F6E11">
      <w:pPr>
        <w:widowControl w:val="0"/>
        <w:autoSpaceDE w:val="0"/>
        <w:autoSpaceDN w:val="0"/>
        <w:adjustRightInd w:val="0"/>
        <w:ind w:left="851" w:right="-1" w:hanging="851"/>
        <w:jc w:val="both"/>
        <w:rPr>
          <w:b/>
          <w:szCs w:val="20"/>
        </w:rPr>
      </w:pPr>
      <w:r w:rsidRPr="00471CBA">
        <w:rPr>
          <w:b/>
          <w:szCs w:val="20"/>
        </w:rPr>
        <w:t>I</w:t>
      </w:r>
      <w:r w:rsidR="00C25A1D" w:rsidRPr="00471CBA">
        <w:rPr>
          <w:b/>
          <w:szCs w:val="20"/>
        </w:rPr>
        <w:t>II</w:t>
      </w:r>
      <w:r w:rsidR="0029638A" w:rsidRPr="00471CBA">
        <w:rPr>
          <w:b/>
          <w:szCs w:val="20"/>
        </w:rPr>
        <w:t>.</w:t>
      </w:r>
      <w:r w:rsidR="0029638A" w:rsidRPr="00471CBA">
        <w:rPr>
          <w:b/>
          <w:szCs w:val="20"/>
        </w:rPr>
        <w:tab/>
      </w:r>
      <w:r w:rsidR="006218A8" w:rsidRPr="00471CBA">
        <w:rPr>
          <w:b/>
          <w:szCs w:val="20"/>
        </w:rPr>
        <w:t>KUR RİSKİNE İLİŞKİN AÇIKLAMALAR</w:t>
      </w:r>
    </w:p>
    <w:bookmarkEnd w:id="44"/>
    <w:p w14:paraId="0F644F6B" w14:textId="77777777" w:rsidR="006D346D" w:rsidRPr="00471CBA" w:rsidRDefault="006D346D" w:rsidP="006D346D">
      <w:pPr>
        <w:widowControl w:val="0"/>
        <w:autoSpaceDE w:val="0"/>
        <w:autoSpaceDN w:val="0"/>
        <w:adjustRightInd w:val="0"/>
        <w:ind w:right="-1"/>
        <w:jc w:val="both"/>
        <w:rPr>
          <w:szCs w:val="20"/>
        </w:rPr>
      </w:pPr>
    </w:p>
    <w:p w14:paraId="4C86DCDE" w14:textId="7A905D9D" w:rsidR="002C6E36" w:rsidRPr="00471CBA" w:rsidRDefault="002C6E36" w:rsidP="006D346D">
      <w:pPr>
        <w:widowControl w:val="0"/>
        <w:autoSpaceDE w:val="0"/>
        <w:autoSpaceDN w:val="0"/>
        <w:adjustRightInd w:val="0"/>
        <w:ind w:left="851" w:right="-1"/>
        <w:jc w:val="both"/>
        <w:rPr>
          <w:szCs w:val="20"/>
        </w:rPr>
      </w:pPr>
      <w:r w:rsidRPr="00471CBA">
        <w:rPr>
          <w:szCs w:val="20"/>
        </w:rPr>
        <w:t xml:space="preserve">Kur riski, döviz kurlarında meydana gelebilecek değişiklikler nedeniyle </w:t>
      </w:r>
      <w:r w:rsidR="006F0CD1" w:rsidRPr="00471CBA">
        <w:rPr>
          <w:szCs w:val="20"/>
        </w:rPr>
        <w:t>Banka’nın maruz</w:t>
      </w:r>
      <w:r w:rsidRPr="00471CBA">
        <w:rPr>
          <w:szCs w:val="20"/>
        </w:rPr>
        <w:t xml:space="preserve"> kalabileceği zarar olasılığını ifade etmektir.</w:t>
      </w:r>
    </w:p>
    <w:p w14:paraId="4C5108F8" w14:textId="77777777" w:rsidR="006D346D" w:rsidRPr="00471CBA" w:rsidRDefault="006D346D" w:rsidP="006D346D">
      <w:pPr>
        <w:widowControl w:val="0"/>
        <w:autoSpaceDE w:val="0"/>
        <w:autoSpaceDN w:val="0"/>
        <w:adjustRightInd w:val="0"/>
        <w:ind w:right="-1"/>
        <w:jc w:val="both"/>
        <w:rPr>
          <w:szCs w:val="20"/>
        </w:rPr>
      </w:pPr>
    </w:p>
    <w:p w14:paraId="6CD4065D" w14:textId="4AC6101F" w:rsidR="002C6E36" w:rsidRPr="00471CBA" w:rsidRDefault="002C6E36" w:rsidP="00212E4A">
      <w:pPr>
        <w:pStyle w:val="ListeParagraf"/>
        <w:widowControl w:val="0"/>
        <w:numPr>
          <w:ilvl w:val="0"/>
          <w:numId w:val="29"/>
        </w:numPr>
        <w:ind w:left="1276" w:right="-1" w:hanging="425"/>
        <w:jc w:val="both"/>
        <w:rPr>
          <w:szCs w:val="20"/>
        </w:rPr>
      </w:pPr>
      <w:r w:rsidRPr="00471CBA">
        <w:rPr>
          <w:szCs w:val="20"/>
        </w:rPr>
        <w:t>Piyasa riski olarak kur riskine maruz kalan Banka, açık ya da fazla pozisyon oluşmamasına dikkat ederek kur riskini dengede tutmaktadır. Banka kur riskini günlük olarak takip etmektedir. Yabancı para net genel pozisyonu/</w:t>
      </w:r>
      <w:r w:rsidR="00883560" w:rsidRPr="00471CBA">
        <w:rPr>
          <w:szCs w:val="20"/>
        </w:rPr>
        <w:t>Öz</w:t>
      </w:r>
      <w:r w:rsidR="008F25B4" w:rsidRPr="00471CBA">
        <w:rPr>
          <w:szCs w:val="20"/>
        </w:rPr>
        <w:t>kaynak</w:t>
      </w:r>
      <w:r w:rsidRPr="00471CBA">
        <w:rPr>
          <w:szCs w:val="20"/>
        </w:rPr>
        <w:t xml:space="preserve"> rasyosu günlük olarak kontrol edilmektedir. Kur riskine esas sermaye yükümlülüğü hesaplanırken Banka’nın tüm döviz varlıkları, yükümlülükleri ve vadeli döviz işlemleri göz önünde bulundurulmakta, yasal raporlarda kullanılan standart </w:t>
      </w:r>
      <w:r w:rsidR="008F25B4" w:rsidRPr="00471CBA">
        <w:rPr>
          <w:szCs w:val="20"/>
        </w:rPr>
        <w:t>metot</w:t>
      </w:r>
      <w:r w:rsidRPr="00471CBA">
        <w:rPr>
          <w:szCs w:val="20"/>
        </w:rPr>
        <w:t xml:space="preserve"> ile riske maruz değer aylık olarak hesaplanmaktadır</w:t>
      </w:r>
      <w:r w:rsidRPr="00471CBA">
        <w:rPr>
          <w:color w:val="0000FF"/>
          <w:szCs w:val="20"/>
        </w:rPr>
        <w:t>.</w:t>
      </w:r>
    </w:p>
    <w:p w14:paraId="09768CCE" w14:textId="77777777" w:rsidR="00E26866" w:rsidRPr="00471CBA" w:rsidRDefault="00E26866" w:rsidP="00E26866">
      <w:pPr>
        <w:pStyle w:val="ListeParagraf"/>
        <w:widowControl w:val="0"/>
        <w:ind w:left="1276" w:right="-1"/>
        <w:jc w:val="both"/>
        <w:rPr>
          <w:szCs w:val="20"/>
        </w:rPr>
      </w:pPr>
    </w:p>
    <w:p w14:paraId="1D051633" w14:textId="4689FD72" w:rsidR="002C6E36" w:rsidRPr="00471CBA" w:rsidRDefault="002C6E36" w:rsidP="00212E4A">
      <w:pPr>
        <w:pStyle w:val="ListeParagraf"/>
        <w:widowControl w:val="0"/>
        <w:numPr>
          <w:ilvl w:val="0"/>
          <w:numId w:val="29"/>
        </w:numPr>
        <w:ind w:left="1276" w:right="-1" w:hanging="425"/>
        <w:jc w:val="both"/>
        <w:rPr>
          <w:szCs w:val="20"/>
        </w:rPr>
      </w:pPr>
      <w:r w:rsidRPr="00471CBA">
        <w:rPr>
          <w:szCs w:val="20"/>
        </w:rPr>
        <w:t>Banka’nın riskten korunma amaçlı türev finansal aracı bulunmamaktadır.</w:t>
      </w:r>
    </w:p>
    <w:p w14:paraId="6898FA5B" w14:textId="77777777" w:rsidR="00E26866" w:rsidRPr="00471CBA" w:rsidRDefault="00E26866" w:rsidP="00E26866">
      <w:pPr>
        <w:widowControl w:val="0"/>
        <w:ind w:right="-1"/>
        <w:jc w:val="both"/>
        <w:rPr>
          <w:szCs w:val="20"/>
        </w:rPr>
      </w:pPr>
    </w:p>
    <w:p w14:paraId="6731521B" w14:textId="36CCEAC3" w:rsidR="002C6E36" w:rsidRPr="00471CBA" w:rsidRDefault="002C6E36" w:rsidP="00212E4A">
      <w:pPr>
        <w:pStyle w:val="ListeParagraf"/>
        <w:widowControl w:val="0"/>
        <w:numPr>
          <w:ilvl w:val="0"/>
          <w:numId w:val="29"/>
        </w:numPr>
        <w:ind w:left="1276" w:right="-1" w:hanging="425"/>
        <w:jc w:val="both"/>
        <w:rPr>
          <w:szCs w:val="20"/>
        </w:rPr>
      </w:pPr>
      <w:r w:rsidRPr="00471CBA">
        <w:rPr>
          <w:szCs w:val="20"/>
        </w:rPr>
        <w:t>Piyasalarda yaşanan belirsizlikler ve dalgalanmalar nedeniyle döviz pozisyonu dengede tutulmakta, dolayısıyla kur riski taşınmaması öngörülmektedir. Banka</w:t>
      </w:r>
      <w:r w:rsidR="00D21F8A" w:rsidRPr="00471CBA">
        <w:rPr>
          <w:szCs w:val="20"/>
        </w:rPr>
        <w:t xml:space="preserve">, </w:t>
      </w:r>
      <w:r w:rsidRPr="00471CBA">
        <w:rPr>
          <w:szCs w:val="20"/>
        </w:rPr>
        <w:t xml:space="preserve">kur riskini minimum seviyede tutmak için gerekli tedbirleri almaktadır. </w:t>
      </w:r>
    </w:p>
    <w:p w14:paraId="41F17AF7" w14:textId="77777777" w:rsidR="00E26866" w:rsidRPr="00471CBA" w:rsidRDefault="00E26866" w:rsidP="00E26866">
      <w:pPr>
        <w:widowControl w:val="0"/>
        <w:ind w:right="-1"/>
        <w:jc w:val="both"/>
        <w:rPr>
          <w:szCs w:val="20"/>
        </w:rPr>
      </w:pPr>
    </w:p>
    <w:p w14:paraId="6A27BCC2" w14:textId="31895738" w:rsidR="00873DBD" w:rsidRPr="00471CBA" w:rsidRDefault="002C6E36" w:rsidP="00212E4A">
      <w:pPr>
        <w:pStyle w:val="ListeParagraf"/>
        <w:widowControl w:val="0"/>
        <w:numPr>
          <w:ilvl w:val="0"/>
          <w:numId w:val="29"/>
        </w:numPr>
        <w:ind w:left="1276" w:right="-1" w:hanging="425"/>
        <w:jc w:val="both"/>
        <w:rPr>
          <w:szCs w:val="20"/>
        </w:rPr>
      </w:pPr>
      <w:r w:rsidRPr="00471CBA">
        <w:rPr>
          <w:szCs w:val="20"/>
        </w:rPr>
        <w:t>Banka’nın finansal tablo tarihi ile bu tarihten geriye doğru son beş iş günü</w:t>
      </w:r>
      <w:r w:rsidR="00203C04" w:rsidRPr="00471CBA">
        <w:rPr>
          <w:szCs w:val="20"/>
        </w:rPr>
        <w:t xml:space="preserve"> boyunca TCMB tarafından</w:t>
      </w:r>
      <w:r w:rsidRPr="00471CBA">
        <w:rPr>
          <w:szCs w:val="20"/>
        </w:rPr>
        <w:t xml:space="preserve"> kamuya duyurulan cari döviz alış kurları aşağıdaki gibidir:</w:t>
      </w:r>
    </w:p>
    <w:p w14:paraId="7CE3CAB8" w14:textId="77777777" w:rsidR="00873DBD" w:rsidRPr="00471CBA" w:rsidRDefault="00873DBD">
      <w:pPr>
        <w:rPr>
          <w:szCs w:val="20"/>
        </w:rPr>
      </w:pPr>
      <w:r w:rsidRPr="00471CBA">
        <w:rPr>
          <w:szCs w:val="20"/>
        </w:rPr>
        <w:br w:type="page"/>
      </w:r>
    </w:p>
    <w:p w14:paraId="590541AD" w14:textId="77777777" w:rsidR="00A15F5D" w:rsidRPr="00471CBA" w:rsidRDefault="00A15F5D" w:rsidP="00A15F5D">
      <w:pPr>
        <w:pStyle w:val="GvdeMetniGirintisi"/>
        <w:widowControl w:val="0"/>
        <w:spacing w:line="235" w:lineRule="auto"/>
        <w:ind w:firstLine="0"/>
        <w:jc w:val="left"/>
        <w:rPr>
          <w:b/>
          <w:szCs w:val="20"/>
        </w:rPr>
      </w:pPr>
      <w:bookmarkStart w:id="53" w:name="_Hlk223359976"/>
      <w:r w:rsidRPr="00471CBA">
        <w:rPr>
          <w:b/>
          <w:szCs w:val="20"/>
        </w:rPr>
        <w:lastRenderedPageBreak/>
        <w:t>MALİ BÜNYEYE VE RİSK YÖNETİMİNE İLİŞKİN BİLGİLER (Devamı)</w:t>
      </w:r>
    </w:p>
    <w:p w14:paraId="39B57D9D" w14:textId="77777777" w:rsidR="00A15F5D" w:rsidRPr="00471CBA" w:rsidRDefault="00A15F5D" w:rsidP="00A15F5D">
      <w:pPr>
        <w:widowControl w:val="0"/>
        <w:ind w:right="46" w:hanging="567"/>
        <w:jc w:val="both"/>
        <w:rPr>
          <w:bCs/>
          <w:szCs w:val="20"/>
        </w:rPr>
      </w:pPr>
    </w:p>
    <w:p w14:paraId="02A0BBDE" w14:textId="77777777" w:rsidR="00A15F5D" w:rsidRPr="00471CBA" w:rsidRDefault="00A15F5D" w:rsidP="00A15F5D">
      <w:pPr>
        <w:widowControl w:val="0"/>
        <w:ind w:left="851" w:hanging="851"/>
        <w:jc w:val="both"/>
        <w:rPr>
          <w:b/>
          <w:snapToGrid w:val="0"/>
          <w:szCs w:val="20"/>
        </w:rPr>
      </w:pPr>
      <w:r w:rsidRPr="00471CBA">
        <w:rPr>
          <w:b/>
          <w:szCs w:val="20"/>
        </w:rPr>
        <w:t>III</w:t>
      </w:r>
      <w:r w:rsidRPr="00471CBA">
        <w:rPr>
          <w:szCs w:val="20"/>
        </w:rPr>
        <w:t>.</w:t>
      </w:r>
      <w:r w:rsidRPr="00471CBA">
        <w:rPr>
          <w:szCs w:val="20"/>
        </w:rPr>
        <w:tab/>
      </w:r>
      <w:r w:rsidRPr="00471CBA">
        <w:rPr>
          <w:b/>
          <w:szCs w:val="20"/>
        </w:rPr>
        <w:t>KUR RİSKİNE İLİŞKİN AÇIKLAMALAR (Devamı)</w:t>
      </w:r>
    </w:p>
    <w:bookmarkEnd w:id="53"/>
    <w:p w14:paraId="77594873" w14:textId="77777777" w:rsidR="006D346D" w:rsidRPr="00471CBA" w:rsidRDefault="006D346D" w:rsidP="006D346D">
      <w:pPr>
        <w:pStyle w:val="GvdeMetniGirintisi"/>
        <w:widowControl w:val="0"/>
        <w:ind w:left="-56" w:right="-1" w:hanging="504"/>
        <w:rPr>
          <w:szCs w:val="20"/>
        </w:rPr>
      </w:pPr>
    </w:p>
    <w:tbl>
      <w:tblPr>
        <w:tblW w:w="5000" w:type="pct"/>
        <w:tblLook w:val="0000" w:firstRow="0" w:lastRow="0" w:firstColumn="0" w:lastColumn="0" w:noHBand="0" w:noVBand="0"/>
      </w:tblPr>
      <w:tblGrid>
        <w:gridCol w:w="6159"/>
        <w:gridCol w:w="1739"/>
        <w:gridCol w:w="1741"/>
      </w:tblGrid>
      <w:tr w:rsidR="002C6E36" w:rsidRPr="00471CBA" w14:paraId="2219B8CC" w14:textId="77777777" w:rsidTr="007B041F">
        <w:trPr>
          <w:trHeight w:val="221"/>
        </w:trPr>
        <w:tc>
          <w:tcPr>
            <w:tcW w:w="3195" w:type="pct"/>
            <w:vAlign w:val="bottom"/>
          </w:tcPr>
          <w:p w14:paraId="11814E59" w14:textId="77777777" w:rsidR="002C6E36" w:rsidRPr="00471CBA" w:rsidRDefault="002C6E36" w:rsidP="009F6E11">
            <w:pPr>
              <w:widowControl w:val="0"/>
              <w:ind w:left="-43"/>
              <w:jc w:val="both"/>
              <w:rPr>
                <w:szCs w:val="20"/>
              </w:rPr>
            </w:pPr>
          </w:p>
        </w:tc>
        <w:tc>
          <w:tcPr>
            <w:tcW w:w="902" w:type="pct"/>
            <w:tcBorders>
              <w:bottom w:val="single" w:sz="4" w:space="0" w:color="auto"/>
            </w:tcBorders>
            <w:vAlign w:val="bottom"/>
          </w:tcPr>
          <w:p w14:paraId="28A76714" w14:textId="77777777" w:rsidR="002C6E36" w:rsidRPr="00471CBA" w:rsidRDefault="002C6E36" w:rsidP="00C67CCF">
            <w:pPr>
              <w:widowControl w:val="0"/>
              <w:ind w:right="-83"/>
              <w:jc w:val="right"/>
              <w:rPr>
                <w:b/>
                <w:szCs w:val="20"/>
              </w:rPr>
            </w:pPr>
            <w:r w:rsidRPr="00471CBA">
              <w:rPr>
                <w:b/>
                <w:szCs w:val="20"/>
              </w:rPr>
              <w:t>ABD Doları</w:t>
            </w:r>
          </w:p>
        </w:tc>
        <w:tc>
          <w:tcPr>
            <w:tcW w:w="903" w:type="pct"/>
            <w:tcBorders>
              <w:bottom w:val="single" w:sz="4" w:space="0" w:color="auto"/>
            </w:tcBorders>
            <w:vAlign w:val="bottom"/>
          </w:tcPr>
          <w:p w14:paraId="392A2D54" w14:textId="77777777" w:rsidR="002C6E36" w:rsidRPr="00471CBA" w:rsidRDefault="002C6E36" w:rsidP="00C67CCF">
            <w:pPr>
              <w:widowControl w:val="0"/>
              <w:ind w:right="-83"/>
              <w:jc w:val="right"/>
              <w:rPr>
                <w:b/>
                <w:szCs w:val="20"/>
              </w:rPr>
            </w:pPr>
            <w:r w:rsidRPr="00471CBA">
              <w:rPr>
                <w:b/>
                <w:szCs w:val="20"/>
              </w:rPr>
              <w:t>EUR</w:t>
            </w:r>
            <w:r w:rsidR="00C003D1" w:rsidRPr="00471CBA">
              <w:rPr>
                <w:b/>
                <w:szCs w:val="20"/>
              </w:rPr>
              <w:t>O</w:t>
            </w:r>
          </w:p>
        </w:tc>
      </w:tr>
      <w:tr w:rsidR="009E3A26" w:rsidRPr="00471CBA" w14:paraId="61746A7C" w14:textId="77777777" w:rsidTr="006420EF">
        <w:trPr>
          <w:trHeight w:val="73"/>
        </w:trPr>
        <w:tc>
          <w:tcPr>
            <w:tcW w:w="3195" w:type="pct"/>
            <w:vAlign w:val="bottom"/>
          </w:tcPr>
          <w:p w14:paraId="4FCA8DE3" w14:textId="77777777" w:rsidR="009E3A26" w:rsidRPr="00471CBA" w:rsidRDefault="009E3A26" w:rsidP="009F6E11">
            <w:pPr>
              <w:widowControl w:val="0"/>
              <w:ind w:left="-43"/>
              <w:rPr>
                <w:szCs w:val="20"/>
              </w:rPr>
            </w:pPr>
          </w:p>
        </w:tc>
        <w:tc>
          <w:tcPr>
            <w:tcW w:w="902" w:type="pct"/>
            <w:tcBorders>
              <w:top w:val="single" w:sz="4" w:space="0" w:color="auto"/>
              <w:left w:val="nil"/>
              <w:right w:val="nil"/>
            </w:tcBorders>
            <w:vAlign w:val="bottom"/>
          </w:tcPr>
          <w:p w14:paraId="28B20F83" w14:textId="77777777" w:rsidR="009E3A26" w:rsidRPr="00471CBA" w:rsidRDefault="009E3A26" w:rsidP="00C67CCF">
            <w:pPr>
              <w:widowControl w:val="0"/>
              <w:ind w:right="-83"/>
              <w:jc w:val="right"/>
              <w:rPr>
                <w:szCs w:val="20"/>
              </w:rPr>
            </w:pPr>
          </w:p>
        </w:tc>
        <w:tc>
          <w:tcPr>
            <w:tcW w:w="903" w:type="pct"/>
            <w:tcBorders>
              <w:top w:val="single" w:sz="4" w:space="0" w:color="auto"/>
              <w:left w:val="nil"/>
              <w:right w:val="nil"/>
            </w:tcBorders>
            <w:vAlign w:val="bottom"/>
          </w:tcPr>
          <w:p w14:paraId="5209EA75" w14:textId="77777777" w:rsidR="009E3A26" w:rsidRPr="00471CBA" w:rsidRDefault="009E3A26" w:rsidP="00C67CCF">
            <w:pPr>
              <w:widowControl w:val="0"/>
              <w:ind w:right="-83"/>
              <w:jc w:val="right"/>
              <w:rPr>
                <w:szCs w:val="20"/>
              </w:rPr>
            </w:pPr>
          </w:p>
        </w:tc>
      </w:tr>
      <w:tr w:rsidR="001D2F2B" w:rsidRPr="00471CBA" w14:paraId="02C5787D" w14:textId="77777777" w:rsidTr="0010261C">
        <w:trPr>
          <w:trHeight w:val="73"/>
        </w:trPr>
        <w:tc>
          <w:tcPr>
            <w:tcW w:w="3195" w:type="pct"/>
            <w:tcBorders>
              <w:bottom w:val="single" w:sz="4" w:space="0" w:color="auto"/>
            </w:tcBorders>
            <w:vAlign w:val="bottom"/>
          </w:tcPr>
          <w:p w14:paraId="55AF4FCC" w14:textId="1D2E89B4" w:rsidR="001D2F2B" w:rsidRPr="00471CBA" w:rsidRDefault="001D2F2B" w:rsidP="001D2F2B">
            <w:pPr>
              <w:widowControl w:val="0"/>
              <w:ind w:left="-43"/>
              <w:rPr>
                <w:b/>
                <w:bCs/>
                <w:szCs w:val="20"/>
              </w:rPr>
            </w:pPr>
            <w:r w:rsidRPr="00471CBA">
              <w:rPr>
                <w:b/>
                <w:bCs/>
                <w:szCs w:val="20"/>
              </w:rPr>
              <w:t>31 Aralık 2025 Bilanço Değerleme Kuru</w:t>
            </w:r>
          </w:p>
        </w:tc>
        <w:tc>
          <w:tcPr>
            <w:tcW w:w="902" w:type="pct"/>
            <w:tcBorders>
              <w:top w:val="nil"/>
              <w:left w:val="nil"/>
              <w:bottom w:val="single" w:sz="4" w:space="0" w:color="auto"/>
              <w:right w:val="nil"/>
            </w:tcBorders>
          </w:tcPr>
          <w:p w14:paraId="41952A0A" w14:textId="08D2AE71" w:rsidR="001D2F2B" w:rsidRPr="00471CBA" w:rsidRDefault="001D2F2B" w:rsidP="001D2F2B">
            <w:pPr>
              <w:widowControl w:val="0"/>
              <w:ind w:right="-83"/>
              <w:jc w:val="right"/>
              <w:rPr>
                <w:b/>
                <w:bCs/>
                <w:szCs w:val="20"/>
              </w:rPr>
            </w:pPr>
            <w:r w:rsidRPr="00471CBA">
              <w:t>42,8457</w:t>
            </w:r>
          </w:p>
        </w:tc>
        <w:tc>
          <w:tcPr>
            <w:tcW w:w="903" w:type="pct"/>
            <w:tcBorders>
              <w:top w:val="nil"/>
              <w:left w:val="nil"/>
              <w:bottom w:val="single" w:sz="4" w:space="0" w:color="auto"/>
              <w:right w:val="nil"/>
            </w:tcBorders>
          </w:tcPr>
          <w:p w14:paraId="127A8ED0" w14:textId="22AC7D6B" w:rsidR="001D2F2B" w:rsidRPr="00471CBA" w:rsidRDefault="001D2F2B" w:rsidP="001D2F2B">
            <w:pPr>
              <w:widowControl w:val="0"/>
              <w:ind w:right="-83"/>
              <w:jc w:val="right"/>
              <w:rPr>
                <w:b/>
                <w:bCs/>
                <w:szCs w:val="20"/>
              </w:rPr>
            </w:pPr>
            <w:r w:rsidRPr="00471CBA">
              <w:t>50,2859</w:t>
            </w:r>
          </w:p>
        </w:tc>
      </w:tr>
      <w:tr w:rsidR="00650BBC" w:rsidRPr="00471CBA" w14:paraId="5CF40D2A" w14:textId="77777777" w:rsidTr="006420EF">
        <w:trPr>
          <w:trHeight w:val="73"/>
        </w:trPr>
        <w:tc>
          <w:tcPr>
            <w:tcW w:w="3195" w:type="pct"/>
            <w:tcBorders>
              <w:top w:val="single" w:sz="4" w:space="0" w:color="auto"/>
            </w:tcBorders>
            <w:vAlign w:val="bottom"/>
          </w:tcPr>
          <w:p w14:paraId="5703F599" w14:textId="77777777" w:rsidR="00650BBC" w:rsidRPr="00471CBA" w:rsidRDefault="00650BBC" w:rsidP="00F61513">
            <w:pPr>
              <w:widowControl w:val="0"/>
              <w:ind w:left="-43"/>
              <w:rPr>
                <w:b/>
                <w:bCs/>
                <w:szCs w:val="20"/>
              </w:rPr>
            </w:pPr>
          </w:p>
        </w:tc>
        <w:tc>
          <w:tcPr>
            <w:tcW w:w="902" w:type="pct"/>
            <w:tcBorders>
              <w:top w:val="single" w:sz="4" w:space="0" w:color="auto"/>
              <w:left w:val="nil"/>
              <w:bottom w:val="nil"/>
              <w:right w:val="nil"/>
            </w:tcBorders>
            <w:vAlign w:val="bottom"/>
          </w:tcPr>
          <w:p w14:paraId="4DF1DD53" w14:textId="77777777" w:rsidR="00650BBC" w:rsidRPr="00471CBA" w:rsidRDefault="00650BBC" w:rsidP="00C67CCF">
            <w:pPr>
              <w:widowControl w:val="0"/>
              <w:ind w:right="-83"/>
              <w:jc w:val="right"/>
              <w:rPr>
                <w:b/>
                <w:bCs/>
                <w:color w:val="000000"/>
                <w:szCs w:val="20"/>
              </w:rPr>
            </w:pPr>
          </w:p>
        </w:tc>
        <w:tc>
          <w:tcPr>
            <w:tcW w:w="903" w:type="pct"/>
            <w:tcBorders>
              <w:top w:val="single" w:sz="4" w:space="0" w:color="auto"/>
              <w:left w:val="nil"/>
              <w:bottom w:val="nil"/>
              <w:right w:val="nil"/>
            </w:tcBorders>
            <w:vAlign w:val="bottom"/>
          </w:tcPr>
          <w:p w14:paraId="52C4A4D3" w14:textId="77777777" w:rsidR="00650BBC" w:rsidRPr="00471CBA" w:rsidRDefault="00650BBC" w:rsidP="00C67CCF">
            <w:pPr>
              <w:widowControl w:val="0"/>
              <w:ind w:right="-83"/>
              <w:jc w:val="right"/>
              <w:rPr>
                <w:b/>
                <w:bCs/>
                <w:color w:val="000000"/>
                <w:szCs w:val="20"/>
              </w:rPr>
            </w:pPr>
          </w:p>
        </w:tc>
      </w:tr>
      <w:tr w:rsidR="001D2F2B" w:rsidRPr="00471CBA" w14:paraId="04948E5F" w14:textId="77777777" w:rsidTr="00CB1C55">
        <w:trPr>
          <w:trHeight w:val="73"/>
        </w:trPr>
        <w:tc>
          <w:tcPr>
            <w:tcW w:w="3195" w:type="pct"/>
          </w:tcPr>
          <w:p w14:paraId="40E88DDB" w14:textId="4916919C" w:rsidR="001D2F2B" w:rsidRPr="00471CBA" w:rsidRDefault="001D2F2B" w:rsidP="001D2F2B">
            <w:pPr>
              <w:widowControl w:val="0"/>
              <w:ind w:left="-43"/>
              <w:rPr>
                <w:szCs w:val="20"/>
              </w:rPr>
            </w:pPr>
            <w:r w:rsidRPr="00471CBA">
              <w:t>24 Aralık 2025 tarihi itibarıyla</w:t>
            </w:r>
          </w:p>
        </w:tc>
        <w:tc>
          <w:tcPr>
            <w:tcW w:w="902" w:type="pct"/>
            <w:tcBorders>
              <w:top w:val="nil"/>
              <w:left w:val="nil"/>
              <w:bottom w:val="nil"/>
              <w:right w:val="nil"/>
            </w:tcBorders>
          </w:tcPr>
          <w:p w14:paraId="3496E78C" w14:textId="193BB89A" w:rsidR="001D2F2B" w:rsidRPr="00471CBA" w:rsidRDefault="001D2F2B" w:rsidP="001D2F2B">
            <w:pPr>
              <w:widowControl w:val="0"/>
              <w:ind w:right="-83"/>
              <w:jc w:val="right"/>
            </w:pPr>
            <w:r w:rsidRPr="00471CBA">
              <w:t>42,7434</w:t>
            </w:r>
          </w:p>
        </w:tc>
        <w:tc>
          <w:tcPr>
            <w:tcW w:w="903" w:type="pct"/>
            <w:tcBorders>
              <w:top w:val="nil"/>
              <w:left w:val="nil"/>
              <w:bottom w:val="nil"/>
              <w:right w:val="nil"/>
            </w:tcBorders>
          </w:tcPr>
          <w:p w14:paraId="1C3DA94C" w14:textId="391B16B3" w:rsidR="001D2F2B" w:rsidRPr="00471CBA" w:rsidRDefault="001D2F2B" w:rsidP="001D2F2B">
            <w:pPr>
              <w:widowControl w:val="0"/>
              <w:ind w:right="-83"/>
              <w:jc w:val="right"/>
            </w:pPr>
            <w:r w:rsidRPr="00471CBA">
              <w:t>50,4208</w:t>
            </w:r>
          </w:p>
        </w:tc>
      </w:tr>
      <w:tr w:rsidR="001D2F2B" w:rsidRPr="00471CBA" w14:paraId="7A25AA9D" w14:textId="77777777" w:rsidTr="00CB1C55">
        <w:trPr>
          <w:trHeight w:val="73"/>
        </w:trPr>
        <w:tc>
          <w:tcPr>
            <w:tcW w:w="3195" w:type="pct"/>
          </w:tcPr>
          <w:p w14:paraId="5932507B" w14:textId="30A3A4CF" w:rsidR="001D2F2B" w:rsidRPr="00471CBA" w:rsidRDefault="001D2F2B" w:rsidP="001D2F2B">
            <w:pPr>
              <w:widowControl w:val="0"/>
              <w:ind w:left="-43"/>
              <w:rPr>
                <w:szCs w:val="20"/>
              </w:rPr>
            </w:pPr>
            <w:r w:rsidRPr="00471CBA">
              <w:t>25 Aralık 2025 tarihi itibarıyla</w:t>
            </w:r>
          </w:p>
        </w:tc>
        <w:tc>
          <w:tcPr>
            <w:tcW w:w="902" w:type="pct"/>
            <w:tcBorders>
              <w:top w:val="nil"/>
              <w:left w:val="nil"/>
              <w:bottom w:val="nil"/>
              <w:right w:val="nil"/>
            </w:tcBorders>
          </w:tcPr>
          <w:p w14:paraId="7A465C44" w14:textId="76AF34E7" w:rsidR="001D2F2B" w:rsidRPr="00471CBA" w:rsidRDefault="001D2F2B" w:rsidP="001D2F2B">
            <w:pPr>
              <w:widowControl w:val="0"/>
              <w:ind w:right="-83"/>
              <w:jc w:val="right"/>
              <w:rPr>
                <w:szCs w:val="20"/>
              </w:rPr>
            </w:pPr>
            <w:r w:rsidRPr="00471CBA">
              <w:t>42,7641</w:t>
            </w:r>
          </w:p>
        </w:tc>
        <w:tc>
          <w:tcPr>
            <w:tcW w:w="903" w:type="pct"/>
            <w:tcBorders>
              <w:top w:val="nil"/>
              <w:left w:val="nil"/>
              <w:bottom w:val="nil"/>
              <w:right w:val="nil"/>
            </w:tcBorders>
          </w:tcPr>
          <w:p w14:paraId="784E97E2" w14:textId="18A53AB9" w:rsidR="001D2F2B" w:rsidRPr="00471CBA" w:rsidRDefault="001D2F2B" w:rsidP="001D2F2B">
            <w:pPr>
              <w:widowControl w:val="0"/>
              <w:ind w:right="-83"/>
              <w:jc w:val="right"/>
              <w:rPr>
                <w:szCs w:val="20"/>
              </w:rPr>
            </w:pPr>
            <w:r w:rsidRPr="00471CBA">
              <w:t>50,3896</w:t>
            </w:r>
          </w:p>
        </w:tc>
      </w:tr>
      <w:tr w:rsidR="001D2F2B" w:rsidRPr="00471CBA" w14:paraId="20390D23" w14:textId="77777777" w:rsidTr="00CB1C55">
        <w:trPr>
          <w:trHeight w:val="73"/>
        </w:trPr>
        <w:tc>
          <w:tcPr>
            <w:tcW w:w="3195" w:type="pct"/>
          </w:tcPr>
          <w:p w14:paraId="6CAC0C5A" w14:textId="70750ABD" w:rsidR="001D2F2B" w:rsidRPr="00471CBA" w:rsidRDefault="001D2F2B" w:rsidP="001D2F2B">
            <w:pPr>
              <w:widowControl w:val="0"/>
              <w:ind w:left="-43"/>
              <w:rPr>
                <w:szCs w:val="20"/>
              </w:rPr>
            </w:pPr>
            <w:r w:rsidRPr="00471CBA">
              <w:t>26 Aralık 2025 tarihi itibarıyla</w:t>
            </w:r>
          </w:p>
        </w:tc>
        <w:tc>
          <w:tcPr>
            <w:tcW w:w="902" w:type="pct"/>
            <w:tcBorders>
              <w:top w:val="nil"/>
              <w:left w:val="nil"/>
              <w:bottom w:val="nil"/>
              <w:right w:val="nil"/>
            </w:tcBorders>
          </w:tcPr>
          <w:p w14:paraId="1F62DAB3" w14:textId="5F0E104E" w:rsidR="001D2F2B" w:rsidRPr="00471CBA" w:rsidRDefault="001D2F2B" w:rsidP="001D2F2B">
            <w:pPr>
              <w:widowControl w:val="0"/>
              <w:ind w:right="-83"/>
              <w:jc w:val="right"/>
              <w:rPr>
                <w:szCs w:val="20"/>
              </w:rPr>
            </w:pPr>
            <w:r w:rsidRPr="00471CBA">
              <w:t>42,7656</w:t>
            </w:r>
          </w:p>
        </w:tc>
        <w:tc>
          <w:tcPr>
            <w:tcW w:w="903" w:type="pct"/>
            <w:tcBorders>
              <w:top w:val="nil"/>
              <w:left w:val="nil"/>
              <w:bottom w:val="nil"/>
              <w:right w:val="nil"/>
            </w:tcBorders>
          </w:tcPr>
          <w:p w14:paraId="2E6CD521" w14:textId="17A6AC01" w:rsidR="001D2F2B" w:rsidRPr="00471CBA" w:rsidRDefault="001D2F2B" w:rsidP="001D2F2B">
            <w:pPr>
              <w:widowControl w:val="0"/>
              <w:ind w:right="-83"/>
              <w:jc w:val="right"/>
              <w:rPr>
                <w:szCs w:val="20"/>
              </w:rPr>
            </w:pPr>
            <w:r w:rsidRPr="00471CBA">
              <w:t>50,3547</w:t>
            </w:r>
          </w:p>
        </w:tc>
      </w:tr>
      <w:tr w:rsidR="001D2F2B" w:rsidRPr="00471CBA" w14:paraId="60C756B0" w14:textId="77777777" w:rsidTr="00CB1C55">
        <w:trPr>
          <w:trHeight w:val="73"/>
        </w:trPr>
        <w:tc>
          <w:tcPr>
            <w:tcW w:w="3195" w:type="pct"/>
          </w:tcPr>
          <w:p w14:paraId="47B9A964" w14:textId="49B1703B" w:rsidR="001D2F2B" w:rsidRPr="00471CBA" w:rsidRDefault="001D2F2B" w:rsidP="001D2F2B">
            <w:pPr>
              <w:widowControl w:val="0"/>
              <w:ind w:left="-43"/>
              <w:rPr>
                <w:szCs w:val="20"/>
              </w:rPr>
            </w:pPr>
            <w:r w:rsidRPr="00471CBA">
              <w:t>29 Aralık 2025 tarihi itibarıyla</w:t>
            </w:r>
          </w:p>
        </w:tc>
        <w:tc>
          <w:tcPr>
            <w:tcW w:w="902" w:type="pct"/>
            <w:tcBorders>
              <w:top w:val="nil"/>
              <w:left w:val="nil"/>
              <w:bottom w:val="nil"/>
              <w:right w:val="nil"/>
            </w:tcBorders>
          </w:tcPr>
          <w:p w14:paraId="38A44B94" w14:textId="0C489708" w:rsidR="001D2F2B" w:rsidRPr="00471CBA" w:rsidRDefault="001D2F2B" w:rsidP="001D2F2B">
            <w:pPr>
              <w:widowControl w:val="0"/>
              <w:ind w:right="-83"/>
              <w:jc w:val="right"/>
              <w:rPr>
                <w:szCs w:val="20"/>
              </w:rPr>
            </w:pPr>
            <w:r w:rsidRPr="00471CBA">
              <w:t>42,8542</w:t>
            </w:r>
          </w:p>
        </w:tc>
        <w:tc>
          <w:tcPr>
            <w:tcW w:w="903" w:type="pct"/>
            <w:tcBorders>
              <w:top w:val="nil"/>
              <w:left w:val="nil"/>
              <w:bottom w:val="nil"/>
              <w:right w:val="nil"/>
            </w:tcBorders>
          </w:tcPr>
          <w:p w14:paraId="11F435F9" w14:textId="4A31A76A" w:rsidR="001D2F2B" w:rsidRPr="00471CBA" w:rsidRDefault="001D2F2B" w:rsidP="001D2F2B">
            <w:pPr>
              <w:widowControl w:val="0"/>
              <w:ind w:right="-83"/>
              <w:jc w:val="right"/>
              <w:rPr>
                <w:szCs w:val="20"/>
              </w:rPr>
            </w:pPr>
            <w:r w:rsidRPr="00471CBA">
              <w:t>50,4519</w:t>
            </w:r>
          </w:p>
        </w:tc>
      </w:tr>
      <w:tr w:rsidR="001D2F2B" w:rsidRPr="00471CBA" w14:paraId="70072145" w14:textId="77777777" w:rsidTr="00CB1C55">
        <w:trPr>
          <w:trHeight w:val="73"/>
        </w:trPr>
        <w:tc>
          <w:tcPr>
            <w:tcW w:w="3195" w:type="pct"/>
          </w:tcPr>
          <w:p w14:paraId="5A5597D8" w14:textId="4C7089E9" w:rsidR="001D2F2B" w:rsidRPr="00471CBA" w:rsidRDefault="001D2F2B" w:rsidP="001D2F2B">
            <w:pPr>
              <w:widowControl w:val="0"/>
              <w:ind w:left="-43"/>
              <w:rPr>
                <w:szCs w:val="20"/>
              </w:rPr>
            </w:pPr>
            <w:r w:rsidRPr="00471CBA">
              <w:t>30 Aralık 2025 tarihi itibarıyla</w:t>
            </w:r>
          </w:p>
        </w:tc>
        <w:tc>
          <w:tcPr>
            <w:tcW w:w="902" w:type="pct"/>
            <w:tcBorders>
              <w:top w:val="nil"/>
              <w:left w:val="nil"/>
              <w:right w:val="nil"/>
            </w:tcBorders>
          </w:tcPr>
          <w:p w14:paraId="20AF279E" w14:textId="63F3C7B6" w:rsidR="001D2F2B" w:rsidRPr="00471CBA" w:rsidRDefault="001D2F2B" w:rsidP="001D2F2B">
            <w:pPr>
              <w:widowControl w:val="0"/>
              <w:ind w:right="-83"/>
              <w:jc w:val="right"/>
              <w:rPr>
                <w:szCs w:val="20"/>
              </w:rPr>
            </w:pPr>
            <w:r w:rsidRPr="00471CBA">
              <w:t>42,8623</w:t>
            </w:r>
          </w:p>
        </w:tc>
        <w:tc>
          <w:tcPr>
            <w:tcW w:w="903" w:type="pct"/>
            <w:tcBorders>
              <w:top w:val="nil"/>
              <w:left w:val="nil"/>
              <w:right w:val="nil"/>
            </w:tcBorders>
          </w:tcPr>
          <w:p w14:paraId="7A8F8C52" w14:textId="3BD90612" w:rsidR="001D2F2B" w:rsidRPr="00471CBA" w:rsidRDefault="001D2F2B" w:rsidP="001D2F2B">
            <w:pPr>
              <w:widowControl w:val="0"/>
              <w:ind w:right="-83"/>
              <w:jc w:val="right"/>
              <w:rPr>
                <w:szCs w:val="20"/>
              </w:rPr>
            </w:pPr>
            <w:r w:rsidRPr="00471CBA">
              <w:t>50,4532</w:t>
            </w:r>
          </w:p>
        </w:tc>
      </w:tr>
      <w:tr w:rsidR="001D2F2B" w:rsidRPr="00471CBA" w14:paraId="51E4EEB5" w14:textId="77777777" w:rsidTr="00CB1C55">
        <w:trPr>
          <w:trHeight w:val="158"/>
        </w:trPr>
        <w:tc>
          <w:tcPr>
            <w:tcW w:w="3195" w:type="pct"/>
            <w:tcBorders>
              <w:bottom w:val="single" w:sz="4" w:space="0" w:color="auto"/>
            </w:tcBorders>
          </w:tcPr>
          <w:p w14:paraId="5C943B17" w14:textId="62E02433" w:rsidR="001D2F2B" w:rsidRPr="00471CBA" w:rsidRDefault="001D2F2B" w:rsidP="001D2F2B">
            <w:pPr>
              <w:widowControl w:val="0"/>
              <w:ind w:left="-43"/>
              <w:rPr>
                <w:szCs w:val="20"/>
              </w:rPr>
            </w:pPr>
            <w:r w:rsidRPr="00471CBA">
              <w:t>31 Aralık 2025 tarihi itibarıyla</w:t>
            </w:r>
          </w:p>
        </w:tc>
        <w:tc>
          <w:tcPr>
            <w:tcW w:w="902" w:type="pct"/>
            <w:tcBorders>
              <w:top w:val="nil"/>
              <w:left w:val="nil"/>
              <w:bottom w:val="single" w:sz="4" w:space="0" w:color="auto"/>
              <w:right w:val="nil"/>
            </w:tcBorders>
          </w:tcPr>
          <w:p w14:paraId="3DABD844" w14:textId="5F76B3B6" w:rsidR="001D2F2B" w:rsidRPr="00471CBA" w:rsidRDefault="001D2F2B" w:rsidP="001D2F2B">
            <w:pPr>
              <w:widowControl w:val="0"/>
              <w:ind w:right="-83"/>
              <w:jc w:val="right"/>
              <w:rPr>
                <w:szCs w:val="20"/>
              </w:rPr>
            </w:pPr>
            <w:r w:rsidRPr="00471CBA">
              <w:t>42,8457</w:t>
            </w:r>
          </w:p>
        </w:tc>
        <w:tc>
          <w:tcPr>
            <w:tcW w:w="903" w:type="pct"/>
            <w:tcBorders>
              <w:top w:val="nil"/>
              <w:left w:val="nil"/>
              <w:bottom w:val="single" w:sz="4" w:space="0" w:color="auto"/>
              <w:right w:val="nil"/>
            </w:tcBorders>
          </w:tcPr>
          <w:p w14:paraId="04948CA9" w14:textId="70CCDC5B" w:rsidR="001D2F2B" w:rsidRPr="00471CBA" w:rsidRDefault="001D2F2B" w:rsidP="001D2F2B">
            <w:pPr>
              <w:widowControl w:val="0"/>
              <w:ind w:right="-83"/>
              <w:jc w:val="right"/>
              <w:rPr>
                <w:szCs w:val="20"/>
              </w:rPr>
            </w:pPr>
            <w:r w:rsidRPr="00471CBA">
              <w:t>50,2859</w:t>
            </w:r>
          </w:p>
        </w:tc>
      </w:tr>
      <w:tr w:rsidR="00363EA0" w:rsidRPr="00471CBA" w14:paraId="5A5D2A0C" w14:textId="77777777" w:rsidTr="006420EF">
        <w:trPr>
          <w:trHeight w:val="158"/>
        </w:trPr>
        <w:tc>
          <w:tcPr>
            <w:tcW w:w="3195" w:type="pct"/>
            <w:tcBorders>
              <w:top w:val="single" w:sz="4" w:space="0" w:color="auto"/>
            </w:tcBorders>
            <w:vAlign w:val="bottom"/>
          </w:tcPr>
          <w:p w14:paraId="0F00C5E4" w14:textId="77777777" w:rsidR="00363EA0" w:rsidRPr="00471CBA" w:rsidRDefault="00363EA0" w:rsidP="00363EA0">
            <w:pPr>
              <w:widowControl w:val="0"/>
              <w:ind w:left="-43"/>
              <w:rPr>
                <w:szCs w:val="20"/>
              </w:rPr>
            </w:pPr>
          </w:p>
        </w:tc>
        <w:tc>
          <w:tcPr>
            <w:tcW w:w="902" w:type="pct"/>
            <w:tcBorders>
              <w:top w:val="single" w:sz="4" w:space="0" w:color="auto"/>
              <w:left w:val="nil"/>
              <w:bottom w:val="nil"/>
              <w:right w:val="nil"/>
            </w:tcBorders>
            <w:vAlign w:val="bottom"/>
          </w:tcPr>
          <w:p w14:paraId="2BB467D0" w14:textId="77777777" w:rsidR="00363EA0" w:rsidRPr="00471CBA" w:rsidRDefault="00363EA0" w:rsidP="00363EA0">
            <w:pPr>
              <w:widowControl w:val="0"/>
              <w:ind w:right="-83"/>
              <w:jc w:val="right"/>
              <w:rPr>
                <w:color w:val="000000"/>
                <w:szCs w:val="20"/>
              </w:rPr>
            </w:pPr>
          </w:p>
        </w:tc>
        <w:tc>
          <w:tcPr>
            <w:tcW w:w="903" w:type="pct"/>
            <w:tcBorders>
              <w:top w:val="single" w:sz="4" w:space="0" w:color="auto"/>
              <w:left w:val="nil"/>
              <w:bottom w:val="nil"/>
              <w:right w:val="nil"/>
            </w:tcBorders>
            <w:vAlign w:val="bottom"/>
          </w:tcPr>
          <w:p w14:paraId="42FF61F1" w14:textId="77777777" w:rsidR="00363EA0" w:rsidRPr="00471CBA" w:rsidRDefault="00363EA0" w:rsidP="00363EA0">
            <w:pPr>
              <w:widowControl w:val="0"/>
              <w:ind w:right="-83"/>
              <w:jc w:val="right"/>
              <w:rPr>
                <w:color w:val="000000"/>
                <w:szCs w:val="20"/>
              </w:rPr>
            </w:pPr>
          </w:p>
        </w:tc>
      </w:tr>
      <w:tr w:rsidR="00363EA0" w:rsidRPr="00471CBA" w14:paraId="44F16620" w14:textId="77777777" w:rsidTr="006420EF">
        <w:trPr>
          <w:trHeight w:val="158"/>
        </w:trPr>
        <w:tc>
          <w:tcPr>
            <w:tcW w:w="3195" w:type="pct"/>
            <w:tcBorders>
              <w:bottom w:val="single" w:sz="4" w:space="0" w:color="auto"/>
            </w:tcBorders>
            <w:vAlign w:val="bottom"/>
          </w:tcPr>
          <w:p w14:paraId="6D3DF5A8" w14:textId="618BF0AB" w:rsidR="00363EA0" w:rsidRPr="00471CBA" w:rsidRDefault="00363EA0" w:rsidP="00363EA0">
            <w:pPr>
              <w:widowControl w:val="0"/>
              <w:ind w:left="-43"/>
              <w:rPr>
                <w:b/>
                <w:bCs/>
                <w:szCs w:val="20"/>
              </w:rPr>
            </w:pPr>
            <w:r w:rsidRPr="00471CBA">
              <w:rPr>
                <w:b/>
                <w:bCs/>
                <w:szCs w:val="20"/>
              </w:rPr>
              <w:t>30 günün basit aritmetik ortalaması</w:t>
            </w:r>
          </w:p>
        </w:tc>
        <w:tc>
          <w:tcPr>
            <w:tcW w:w="902" w:type="pct"/>
            <w:tcBorders>
              <w:top w:val="nil"/>
              <w:left w:val="nil"/>
              <w:bottom w:val="single" w:sz="4" w:space="0" w:color="auto"/>
              <w:right w:val="nil"/>
            </w:tcBorders>
            <w:vAlign w:val="bottom"/>
          </w:tcPr>
          <w:p w14:paraId="7D0619A0" w14:textId="71061E20" w:rsidR="00363EA0" w:rsidRPr="00471CBA" w:rsidRDefault="001D2F2B" w:rsidP="00363EA0">
            <w:pPr>
              <w:widowControl w:val="0"/>
              <w:ind w:right="-83"/>
              <w:jc w:val="right"/>
              <w:rPr>
                <w:b/>
                <w:bCs/>
                <w:szCs w:val="20"/>
              </w:rPr>
            </w:pPr>
            <w:r w:rsidRPr="00471CBA">
              <w:rPr>
                <w:b/>
                <w:bCs/>
                <w:color w:val="000000"/>
                <w:szCs w:val="20"/>
              </w:rPr>
              <w:t>42,6061</w:t>
            </w:r>
          </w:p>
        </w:tc>
        <w:tc>
          <w:tcPr>
            <w:tcW w:w="903" w:type="pct"/>
            <w:tcBorders>
              <w:top w:val="nil"/>
              <w:left w:val="nil"/>
              <w:bottom w:val="single" w:sz="4" w:space="0" w:color="auto"/>
              <w:right w:val="nil"/>
            </w:tcBorders>
            <w:vAlign w:val="bottom"/>
          </w:tcPr>
          <w:p w14:paraId="6E120908" w14:textId="220A830C" w:rsidR="00363EA0" w:rsidRPr="00471CBA" w:rsidRDefault="001D2F2B" w:rsidP="00363EA0">
            <w:pPr>
              <w:widowControl w:val="0"/>
              <w:ind w:right="-83"/>
              <w:jc w:val="right"/>
              <w:rPr>
                <w:b/>
                <w:bCs/>
                <w:szCs w:val="20"/>
              </w:rPr>
            </w:pPr>
            <w:r w:rsidRPr="00471CBA">
              <w:rPr>
                <w:b/>
                <w:bCs/>
                <w:color w:val="000000"/>
                <w:szCs w:val="20"/>
              </w:rPr>
              <w:t>49,9225</w:t>
            </w:r>
          </w:p>
        </w:tc>
      </w:tr>
    </w:tbl>
    <w:p w14:paraId="6BE9C27D" w14:textId="77777777" w:rsidR="00393907" w:rsidRPr="00471CBA" w:rsidRDefault="00393907" w:rsidP="00393907">
      <w:pPr>
        <w:widowControl w:val="0"/>
        <w:ind w:right="46" w:hanging="567"/>
        <w:jc w:val="both"/>
        <w:rPr>
          <w:b/>
          <w:snapToGrid w:val="0"/>
          <w:szCs w:val="20"/>
        </w:rPr>
      </w:pPr>
    </w:p>
    <w:p w14:paraId="05F6F447" w14:textId="509CA936" w:rsidR="00393907" w:rsidRPr="00471CBA" w:rsidRDefault="00393907" w:rsidP="00212E4A">
      <w:pPr>
        <w:pStyle w:val="ListeParagraf"/>
        <w:widowControl w:val="0"/>
        <w:numPr>
          <w:ilvl w:val="0"/>
          <w:numId w:val="30"/>
        </w:numPr>
        <w:ind w:left="851" w:right="46" w:hanging="851"/>
        <w:jc w:val="both"/>
        <w:rPr>
          <w:bCs/>
          <w:szCs w:val="20"/>
        </w:rPr>
      </w:pPr>
      <w:r w:rsidRPr="00471CBA">
        <w:rPr>
          <w:bCs/>
          <w:szCs w:val="20"/>
        </w:rPr>
        <w:br w:type="page"/>
      </w:r>
    </w:p>
    <w:p w14:paraId="35254B1F" w14:textId="4E0BECB3" w:rsidR="00393907" w:rsidRPr="00471CBA" w:rsidRDefault="006218A8" w:rsidP="00E91DEA">
      <w:pPr>
        <w:pStyle w:val="GvdeMetniGirintisi"/>
        <w:widowControl w:val="0"/>
        <w:spacing w:line="235" w:lineRule="auto"/>
        <w:ind w:firstLine="0"/>
        <w:jc w:val="left"/>
        <w:rPr>
          <w:b/>
          <w:szCs w:val="20"/>
        </w:rPr>
      </w:pPr>
      <w:r w:rsidRPr="00471CBA">
        <w:rPr>
          <w:b/>
          <w:szCs w:val="20"/>
        </w:rPr>
        <w:lastRenderedPageBreak/>
        <w:t xml:space="preserve">MALİ BÜNYEYE VE RİSK YÖNETİMİNE İLİŞKİN BİLGİLER </w:t>
      </w:r>
      <w:r w:rsidR="00393907" w:rsidRPr="00471CBA">
        <w:rPr>
          <w:b/>
          <w:szCs w:val="20"/>
        </w:rPr>
        <w:t>(Devamı)</w:t>
      </w:r>
    </w:p>
    <w:p w14:paraId="1184489B" w14:textId="77777777" w:rsidR="002C6E36" w:rsidRPr="00471CBA" w:rsidRDefault="002C6E36" w:rsidP="009F6E11">
      <w:pPr>
        <w:widowControl w:val="0"/>
        <w:ind w:right="46" w:hanging="567"/>
        <w:jc w:val="both"/>
        <w:rPr>
          <w:bCs/>
          <w:szCs w:val="20"/>
        </w:rPr>
      </w:pPr>
    </w:p>
    <w:p w14:paraId="6E05EAB5" w14:textId="62B118B5" w:rsidR="002C6E36" w:rsidRPr="00471CBA" w:rsidRDefault="00AA12B1" w:rsidP="009F6E11">
      <w:pPr>
        <w:widowControl w:val="0"/>
        <w:ind w:left="851" w:hanging="851"/>
        <w:jc w:val="both"/>
        <w:rPr>
          <w:b/>
          <w:snapToGrid w:val="0"/>
          <w:szCs w:val="20"/>
        </w:rPr>
      </w:pPr>
      <w:r w:rsidRPr="00471CBA">
        <w:rPr>
          <w:b/>
          <w:szCs w:val="20"/>
        </w:rPr>
        <w:t>I</w:t>
      </w:r>
      <w:r w:rsidR="00C25A1D" w:rsidRPr="00471CBA">
        <w:rPr>
          <w:b/>
          <w:szCs w:val="20"/>
        </w:rPr>
        <w:t>II</w:t>
      </w:r>
      <w:r w:rsidR="001F5A0E" w:rsidRPr="00471CBA">
        <w:rPr>
          <w:szCs w:val="20"/>
        </w:rPr>
        <w:t>.</w:t>
      </w:r>
      <w:r w:rsidR="001F5A0E" w:rsidRPr="00471CBA">
        <w:rPr>
          <w:szCs w:val="20"/>
        </w:rPr>
        <w:tab/>
      </w:r>
      <w:r w:rsidR="006218A8" w:rsidRPr="00471CBA">
        <w:rPr>
          <w:b/>
          <w:szCs w:val="20"/>
        </w:rPr>
        <w:t>KUR RİSKİNE İLİŞKİN AÇIKLAMALAR</w:t>
      </w:r>
      <w:r w:rsidR="001F5A0E" w:rsidRPr="00471CBA">
        <w:rPr>
          <w:b/>
          <w:szCs w:val="20"/>
        </w:rPr>
        <w:t xml:space="preserve"> (</w:t>
      </w:r>
      <w:r w:rsidR="00393907" w:rsidRPr="00471CBA">
        <w:rPr>
          <w:b/>
          <w:szCs w:val="20"/>
        </w:rPr>
        <w:t>Devamı</w:t>
      </w:r>
      <w:r w:rsidR="001F5A0E" w:rsidRPr="00471CBA">
        <w:rPr>
          <w:b/>
          <w:szCs w:val="20"/>
        </w:rPr>
        <w:t>)</w:t>
      </w:r>
    </w:p>
    <w:p w14:paraId="50A61DEA" w14:textId="77777777" w:rsidR="00393907" w:rsidRPr="00471CBA" w:rsidRDefault="00393907" w:rsidP="00393907">
      <w:pPr>
        <w:widowControl w:val="0"/>
        <w:tabs>
          <w:tab w:val="left" w:pos="720"/>
        </w:tabs>
        <w:jc w:val="both"/>
        <w:rPr>
          <w:b/>
          <w:snapToGrid w:val="0"/>
          <w:szCs w:val="20"/>
        </w:rPr>
      </w:pPr>
      <w:bookmarkStart w:id="54" w:name="_Hlk96528977"/>
    </w:p>
    <w:p w14:paraId="740A1451" w14:textId="6246C951" w:rsidR="002C6E36" w:rsidRPr="00471CBA" w:rsidRDefault="001F5A0E">
      <w:pPr>
        <w:widowControl w:val="0"/>
        <w:tabs>
          <w:tab w:val="left" w:pos="720"/>
        </w:tabs>
        <w:jc w:val="both"/>
        <w:rPr>
          <w:b/>
          <w:szCs w:val="20"/>
        </w:rPr>
      </w:pPr>
      <w:r w:rsidRPr="00471CBA">
        <w:rPr>
          <w:b/>
          <w:snapToGrid w:val="0"/>
          <w:szCs w:val="20"/>
        </w:rPr>
        <w:t>B</w:t>
      </w:r>
      <w:r w:rsidR="002C6E36" w:rsidRPr="00471CBA">
        <w:rPr>
          <w:b/>
          <w:snapToGrid w:val="0"/>
          <w:szCs w:val="20"/>
        </w:rPr>
        <w:t>anka’nın</w:t>
      </w:r>
      <w:r w:rsidR="002C6E36" w:rsidRPr="00471CBA">
        <w:rPr>
          <w:b/>
          <w:szCs w:val="20"/>
        </w:rPr>
        <w:t xml:space="preserve"> kur riskine ilişkin bilgiler:</w:t>
      </w:r>
    </w:p>
    <w:bookmarkEnd w:id="54"/>
    <w:p w14:paraId="57DA0571" w14:textId="3EAEB3D2" w:rsidR="00A74C68" w:rsidRPr="00471CBA" w:rsidRDefault="00A74C68" w:rsidP="00A74C68">
      <w:pPr>
        <w:pStyle w:val="GvdeMetni2"/>
        <w:widowControl w:val="0"/>
        <w:tabs>
          <w:tab w:val="left" w:pos="406"/>
        </w:tabs>
        <w:ind w:left="567" w:right="-40" w:hanging="563"/>
        <w:rPr>
          <w:b w:val="0"/>
        </w:rPr>
      </w:pPr>
    </w:p>
    <w:tbl>
      <w:tblPr>
        <w:tblW w:w="9753" w:type="dxa"/>
        <w:tblCellMar>
          <w:left w:w="70" w:type="dxa"/>
          <w:right w:w="70" w:type="dxa"/>
        </w:tblCellMar>
        <w:tblLook w:val="04A0" w:firstRow="1" w:lastRow="0" w:firstColumn="1" w:lastColumn="0" w:noHBand="0" w:noVBand="1"/>
      </w:tblPr>
      <w:tblGrid>
        <w:gridCol w:w="4678"/>
        <w:gridCol w:w="1275"/>
        <w:gridCol w:w="1560"/>
        <w:gridCol w:w="1120"/>
        <w:gridCol w:w="1120"/>
      </w:tblGrid>
      <w:tr w:rsidR="00A74C68" w:rsidRPr="00471CBA" w14:paraId="0A05D90E" w14:textId="77777777" w:rsidTr="00A74C68">
        <w:trPr>
          <w:divId w:val="1897205856"/>
          <w:trHeight w:val="170"/>
        </w:trPr>
        <w:tc>
          <w:tcPr>
            <w:tcW w:w="4678" w:type="dxa"/>
            <w:tcBorders>
              <w:top w:val="nil"/>
              <w:left w:val="nil"/>
              <w:bottom w:val="single" w:sz="4" w:space="0" w:color="auto"/>
              <w:right w:val="nil"/>
            </w:tcBorders>
            <w:hideMark/>
          </w:tcPr>
          <w:p w14:paraId="440F49AB" w14:textId="78BF2421" w:rsidR="00A74C68" w:rsidRPr="00471CBA" w:rsidRDefault="00A74C68" w:rsidP="00A74C68">
            <w:pPr>
              <w:jc w:val="both"/>
              <w:rPr>
                <w:b/>
                <w:bCs/>
                <w:color w:val="000000"/>
                <w:sz w:val="16"/>
                <w:szCs w:val="16"/>
              </w:rPr>
            </w:pPr>
            <w:r w:rsidRPr="00471CBA">
              <w:rPr>
                <w:b/>
                <w:bCs/>
                <w:color w:val="000000"/>
                <w:sz w:val="16"/>
                <w:szCs w:val="16"/>
              </w:rPr>
              <w:t> </w:t>
            </w:r>
          </w:p>
        </w:tc>
        <w:tc>
          <w:tcPr>
            <w:tcW w:w="1275" w:type="dxa"/>
            <w:tcBorders>
              <w:top w:val="nil"/>
              <w:left w:val="nil"/>
              <w:bottom w:val="single" w:sz="4" w:space="0" w:color="auto"/>
              <w:right w:val="nil"/>
            </w:tcBorders>
            <w:vAlign w:val="bottom"/>
            <w:hideMark/>
          </w:tcPr>
          <w:p w14:paraId="1989FAFE" w14:textId="77777777" w:rsidR="00A74C68" w:rsidRPr="00471CBA" w:rsidRDefault="00A74C68" w:rsidP="00A74C68">
            <w:pPr>
              <w:jc w:val="right"/>
              <w:rPr>
                <w:b/>
                <w:bCs/>
                <w:color w:val="000000"/>
                <w:sz w:val="16"/>
                <w:szCs w:val="16"/>
              </w:rPr>
            </w:pPr>
            <w:r w:rsidRPr="00471CBA">
              <w:rPr>
                <w:b/>
                <w:bCs/>
                <w:snapToGrid w:val="0"/>
                <w:color w:val="000000"/>
                <w:sz w:val="16"/>
                <w:szCs w:val="16"/>
              </w:rPr>
              <w:t>EURO</w:t>
            </w:r>
          </w:p>
        </w:tc>
        <w:tc>
          <w:tcPr>
            <w:tcW w:w="1560" w:type="dxa"/>
            <w:tcBorders>
              <w:top w:val="nil"/>
              <w:left w:val="nil"/>
              <w:bottom w:val="single" w:sz="4" w:space="0" w:color="auto"/>
              <w:right w:val="nil"/>
            </w:tcBorders>
            <w:vAlign w:val="bottom"/>
            <w:hideMark/>
          </w:tcPr>
          <w:p w14:paraId="5D6E9BE4" w14:textId="77777777" w:rsidR="00A74C68" w:rsidRPr="00471CBA" w:rsidRDefault="00A74C68" w:rsidP="00A74C68">
            <w:pPr>
              <w:jc w:val="right"/>
              <w:rPr>
                <w:b/>
                <w:bCs/>
                <w:color w:val="000000"/>
                <w:sz w:val="16"/>
                <w:szCs w:val="16"/>
              </w:rPr>
            </w:pPr>
            <w:r w:rsidRPr="00471CBA">
              <w:rPr>
                <w:b/>
                <w:bCs/>
                <w:color w:val="000000"/>
                <w:sz w:val="16"/>
                <w:szCs w:val="16"/>
              </w:rPr>
              <w:t>ABD Doları</w:t>
            </w:r>
          </w:p>
        </w:tc>
        <w:tc>
          <w:tcPr>
            <w:tcW w:w="1120" w:type="dxa"/>
            <w:tcBorders>
              <w:top w:val="nil"/>
              <w:left w:val="nil"/>
              <w:bottom w:val="single" w:sz="4" w:space="0" w:color="auto"/>
              <w:right w:val="nil"/>
            </w:tcBorders>
            <w:vAlign w:val="bottom"/>
            <w:hideMark/>
          </w:tcPr>
          <w:p w14:paraId="775F6DD0" w14:textId="77777777" w:rsidR="00A74C68" w:rsidRPr="00471CBA" w:rsidRDefault="00A74C68" w:rsidP="00A74C68">
            <w:pPr>
              <w:jc w:val="right"/>
              <w:rPr>
                <w:b/>
                <w:bCs/>
                <w:color w:val="000000"/>
                <w:sz w:val="16"/>
                <w:szCs w:val="16"/>
                <w:lang w:eastAsia="tr-TR"/>
              </w:rPr>
            </w:pPr>
            <w:r w:rsidRPr="00471CBA">
              <w:rPr>
                <w:b/>
                <w:bCs/>
                <w:snapToGrid w:val="0"/>
                <w:color w:val="000000"/>
                <w:sz w:val="16"/>
                <w:szCs w:val="16"/>
              </w:rPr>
              <w:t>Diğer YP</w:t>
            </w:r>
            <w:r w:rsidRPr="00471CBA">
              <w:rPr>
                <w:b/>
                <w:bCs/>
                <w:color w:val="000000"/>
                <w:sz w:val="16"/>
                <w:szCs w:val="16"/>
              </w:rPr>
              <w:t xml:space="preserve"> </w:t>
            </w:r>
            <w:r w:rsidRPr="00471CBA">
              <w:rPr>
                <w:b/>
                <w:bCs/>
                <w:color w:val="000000"/>
                <w:sz w:val="16"/>
                <w:szCs w:val="16"/>
                <w:vertAlign w:val="superscript"/>
                <w:lang w:eastAsia="tr-TR"/>
              </w:rPr>
              <w:t>(*)</w:t>
            </w:r>
          </w:p>
        </w:tc>
        <w:tc>
          <w:tcPr>
            <w:tcW w:w="1120" w:type="dxa"/>
            <w:tcBorders>
              <w:top w:val="nil"/>
              <w:left w:val="nil"/>
              <w:bottom w:val="single" w:sz="4" w:space="0" w:color="auto"/>
              <w:right w:val="nil"/>
            </w:tcBorders>
            <w:vAlign w:val="bottom"/>
            <w:hideMark/>
          </w:tcPr>
          <w:p w14:paraId="2304CBA9" w14:textId="77777777" w:rsidR="00A74C68" w:rsidRPr="00471CBA" w:rsidRDefault="00A74C68" w:rsidP="00A74C68">
            <w:pPr>
              <w:jc w:val="right"/>
              <w:rPr>
                <w:b/>
                <w:bCs/>
                <w:color w:val="000000"/>
                <w:sz w:val="16"/>
                <w:szCs w:val="16"/>
              </w:rPr>
            </w:pPr>
            <w:r w:rsidRPr="00471CBA">
              <w:rPr>
                <w:b/>
                <w:bCs/>
                <w:snapToGrid w:val="0"/>
                <w:color w:val="000000"/>
                <w:sz w:val="16"/>
                <w:szCs w:val="16"/>
              </w:rPr>
              <w:t>Toplam</w:t>
            </w:r>
          </w:p>
        </w:tc>
      </w:tr>
      <w:tr w:rsidR="00A74C68" w:rsidRPr="00471CBA" w14:paraId="6CC3B290" w14:textId="77777777" w:rsidTr="00A74C68">
        <w:trPr>
          <w:divId w:val="1897205856"/>
          <w:trHeight w:val="170"/>
        </w:trPr>
        <w:tc>
          <w:tcPr>
            <w:tcW w:w="4678" w:type="dxa"/>
            <w:tcBorders>
              <w:top w:val="nil"/>
              <w:left w:val="nil"/>
              <w:bottom w:val="nil"/>
              <w:right w:val="nil"/>
            </w:tcBorders>
            <w:noWrap/>
            <w:vAlign w:val="center"/>
            <w:hideMark/>
          </w:tcPr>
          <w:p w14:paraId="1D64AC94" w14:textId="77777777" w:rsidR="00A74C68" w:rsidRPr="00471CBA" w:rsidRDefault="00A74C68" w:rsidP="00A74C68">
            <w:pPr>
              <w:rPr>
                <w:b/>
                <w:bCs/>
                <w:color w:val="000000"/>
                <w:sz w:val="16"/>
                <w:szCs w:val="16"/>
              </w:rPr>
            </w:pPr>
            <w:r w:rsidRPr="00471CBA">
              <w:rPr>
                <w:b/>
                <w:bCs/>
                <w:color w:val="000000"/>
                <w:sz w:val="16"/>
                <w:szCs w:val="16"/>
              </w:rPr>
              <w:t>31 Aralık 2025</w:t>
            </w:r>
          </w:p>
        </w:tc>
        <w:tc>
          <w:tcPr>
            <w:tcW w:w="1275" w:type="dxa"/>
            <w:tcBorders>
              <w:top w:val="nil"/>
              <w:left w:val="nil"/>
              <w:bottom w:val="nil"/>
              <w:right w:val="nil"/>
            </w:tcBorders>
            <w:hideMark/>
          </w:tcPr>
          <w:p w14:paraId="3A3D6FF9" w14:textId="77777777" w:rsidR="00A74C68" w:rsidRPr="00471CBA" w:rsidRDefault="00A74C68" w:rsidP="00A74C68">
            <w:pPr>
              <w:rPr>
                <w:b/>
                <w:bCs/>
                <w:color w:val="000000"/>
                <w:sz w:val="16"/>
                <w:szCs w:val="16"/>
              </w:rPr>
            </w:pPr>
          </w:p>
        </w:tc>
        <w:tc>
          <w:tcPr>
            <w:tcW w:w="1560" w:type="dxa"/>
            <w:tcBorders>
              <w:top w:val="nil"/>
              <w:left w:val="nil"/>
              <w:bottom w:val="nil"/>
              <w:right w:val="nil"/>
            </w:tcBorders>
            <w:hideMark/>
          </w:tcPr>
          <w:p w14:paraId="61FD84DD" w14:textId="77777777" w:rsidR="00A74C68" w:rsidRPr="00471CBA" w:rsidRDefault="00A74C68" w:rsidP="00A74C68">
            <w:pPr>
              <w:jc w:val="right"/>
              <w:rPr>
                <w:sz w:val="16"/>
                <w:szCs w:val="16"/>
              </w:rPr>
            </w:pPr>
          </w:p>
        </w:tc>
        <w:tc>
          <w:tcPr>
            <w:tcW w:w="1120" w:type="dxa"/>
            <w:tcBorders>
              <w:top w:val="nil"/>
              <w:left w:val="nil"/>
              <w:bottom w:val="nil"/>
              <w:right w:val="nil"/>
            </w:tcBorders>
            <w:hideMark/>
          </w:tcPr>
          <w:p w14:paraId="55DEF138" w14:textId="77777777" w:rsidR="00A74C68" w:rsidRPr="00471CBA" w:rsidRDefault="00A74C68" w:rsidP="00A74C68">
            <w:pPr>
              <w:jc w:val="right"/>
              <w:rPr>
                <w:sz w:val="16"/>
                <w:szCs w:val="16"/>
              </w:rPr>
            </w:pPr>
          </w:p>
        </w:tc>
        <w:tc>
          <w:tcPr>
            <w:tcW w:w="1120" w:type="dxa"/>
            <w:tcBorders>
              <w:top w:val="nil"/>
              <w:left w:val="nil"/>
              <w:bottom w:val="nil"/>
              <w:right w:val="nil"/>
            </w:tcBorders>
            <w:hideMark/>
          </w:tcPr>
          <w:p w14:paraId="64D8D080" w14:textId="77777777" w:rsidR="00A74C68" w:rsidRPr="00471CBA" w:rsidRDefault="00A74C68" w:rsidP="00A74C68">
            <w:pPr>
              <w:jc w:val="right"/>
              <w:rPr>
                <w:sz w:val="16"/>
                <w:szCs w:val="16"/>
              </w:rPr>
            </w:pPr>
          </w:p>
        </w:tc>
      </w:tr>
      <w:tr w:rsidR="00A74C68" w:rsidRPr="00471CBA" w14:paraId="76482EAB" w14:textId="77777777" w:rsidTr="00A74C68">
        <w:trPr>
          <w:divId w:val="1897205856"/>
          <w:trHeight w:val="170"/>
        </w:trPr>
        <w:tc>
          <w:tcPr>
            <w:tcW w:w="4678" w:type="dxa"/>
            <w:tcBorders>
              <w:top w:val="nil"/>
              <w:left w:val="nil"/>
              <w:bottom w:val="nil"/>
              <w:right w:val="nil"/>
            </w:tcBorders>
            <w:noWrap/>
            <w:vAlign w:val="bottom"/>
            <w:hideMark/>
          </w:tcPr>
          <w:p w14:paraId="2AA62604" w14:textId="77777777" w:rsidR="00A74C68" w:rsidRPr="00471CBA" w:rsidRDefault="00A74C68" w:rsidP="00A74C68">
            <w:pPr>
              <w:rPr>
                <w:b/>
                <w:bCs/>
                <w:color w:val="000000"/>
                <w:sz w:val="16"/>
                <w:szCs w:val="16"/>
              </w:rPr>
            </w:pPr>
            <w:r w:rsidRPr="00471CBA">
              <w:rPr>
                <w:b/>
                <w:bCs/>
                <w:snapToGrid w:val="0"/>
                <w:color w:val="000000"/>
                <w:sz w:val="16"/>
                <w:szCs w:val="16"/>
              </w:rPr>
              <w:t>Varlıklar</w:t>
            </w:r>
          </w:p>
        </w:tc>
        <w:tc>
          <w:tcPr>
            <w:tcW w:w="1275" w:type="dxa"/>
            <w:tcBorders>
              <w:top w:val="nil"/>
              <w:left w:val="nil"/>
              <w:bottom w:val="nil"/>
              <w:right w:val="nil"/>
            </w:tcBorders>
            <w:noWrap/>
            <w:vAlign w:val="bottom"/>
            <w:hideMark/>
          </w:tcPr>
          <w:p w14:paraId="430D29EA" w14:textId="77777777" w:rsidR="00A74C68" w:rsidRPr="00471CBA" w:rsidRDefault="00A74C68" w:rsidP="00A74C68">
            <w:pPr>
              <w:rPr>
                <w:b/>
                <w:bCs/>
                <w:color w:val="000000"/>
                <w:sz w:val="16"/>
                <w:szCs w:val="16"/>
              </w:rPr>
            </w:pPr>
          </w:p>
        </w:tc>
        <w:tc>
          <w:tcPr>
            <w:tcW w:w="1560" w:type="dxa"/>
            <w:tcBorders>
              <w:top w:val="nil"/>
              <w:left w:val="nil"/>
              <w:bottom w:val="nil"/>
              <w:right w:val="nil"/>
            </w:tcBorders>
            <w:noWrap/>
            <w:vAlign w:val="bottom"/>
            <w:hideMark/>
          </w:tcPr>
          <w:p w14:paraId="6B0DD444" w14:textId="77777777" w:rsidR="00A74C68" w:rsidRPr="00471CBA" w:rsidRDefault="00A74C68" w:rsidP="00A74C68">
            <w:pPr>
              <w:rPr>
                <w:sz w:val="16"/>
                <w:szCs w:val="16"/>
              </w:rPr>
            </w:pPr>
          </w:p>
        </w:tc>
        <w:tc>
          <w:tcPr>
            <w:tcW w:w="1120" w:type="dxa"/>
            <w:tcBorders>
              <w:top w:val="nil"/>
              <w:left w:val="nil"/>
              <w:bottom w:val="nil"/>
              <w:right w:val="nil"/>
            </w:tcBorders>
            <w:noWrap/>
            <w:vAlign w:val="bottom"/>
            <w:hideMark/>
          </w:tcPr>
          <w:p w14:paraId="0C9521E1" w14:textId="77777777" w:rsidR="00A74C68" w:rsidRPr="00471CBA" w:rsidRDefault="00A74C68" w:rsidP="00A74C68">
            <w:pPr>
              <w:rPr>
                <w:sz w:val="16"/>
                <w:szCs w:val="16"/>
              </w:rPr>
            </w:pPr>
          </w:p>
        </w:tc>
        <w:tc>
          <w:tcPr>
            <w:tcW w:w="1120" w:type="dxa"/>
            <w:tcBorders>
              <w:top w:val="nil"/>
              <w:left w:val="nil"/>
              <w:bottom w:val="nil"/>
              <w:right w:val="nil"/>
            </w:tcBorders>
            <w:noWrap/>
            <w:vAlign w:val="bottom"/>
            <w:hideMark/>
          </w:tcPr>
          <w:p w14:paraId="50415AE0" w14:textId="77777777" w:rsidR="00A74C68" w:rsidRPr="00471CBA" w:rsidRDefault="00A74C68" w:rsidP="00A74C68">
            <w:pPr>
              <w:rPr>
                <w:sz w:val="16"/>
                <w:szCs w:val="16"/>
              </w:rPr>
            </w:pPr>
          </w:p>
        </w:tc>
      </w:tr>
      <w:tr w:rsidR="00A74C68" w:rsidRPr="00471CBA" w14:paraId="5EB14DF9" w14:textId="77777777" w:rsidTr="00A74C68">
        <w:trPr>
          <w:divId w:val="1897205856"/>
          <w:trHeight w:val="170"/>
        </w:trPr>
        <w:tc>
          <w:tcPr>
            <w:tcW w:w="4678" w:type="dxa"/>
            <w:tcBorders>
              <w:top w:val="nil"/>
              <w:left w:val="nil"/>
              <w:bottom w:val="nil"/>
              <w:right w:val="nil"/>
            </w:tcBorders>
            <w:noWrap/>
            <w:vAlign w:val="bottom"/>
            <w:hideMark/>
          </w:tcPr>
          <w:p w14:paraId="4A335A85" w14:textId="77777777" w:rsidR="00A74C68" w:rsidRPr="00471CBA" w:rsidRDefault="00A74C68" w:rsidP="00A74C68">
            <w:pPr>
              <w:rPr>
                <w:color w:val="000000"/>
                <w:sz w:val="16"/>
                <w:szCs w:val="16"/>
              </w:rPr>
            </w:pPr>
            <w:r w:rsidRPr="00471CBA">
              <w:rPr>
                <w:snapToGrid w:val="0"/>
                <w:color w:val="000000"/>
                <w:sz w:val="16"/>
                <w:szCs w:val="16"/>
              </w:rPr>
              <w:t>Nakit Değerler (Kasa, Efektif Deposu, Yoldaki Paralar, Satın Alınan Çekler) ve T.C. Merkez Bnk.</w:t>
            </w:r>
          </w:p>
        </w:tc>
        <w:tc>
          <w:tcPr>
            <w:tcW w:w="1275" w:type="dxa"/>
            <w:tcBorders>
              <w:top w:val="nil"/>
              <w:left w:val="nil"/>
              <w:bottom w:val="nil"/>
              <w:right w:val="nil"/>
            </w:tcBorders>
            <w:vAlign w:val="bottom"/>
            <w:hideMark/>
          </w:tcPr>
          <w:p w14:paraId="2F2478A9" w14:textId="77777777" w:rsidR="00A74C68" w:rsidRPr="00471CBA" w:rsidRDefault="00A74C68" w:rsidP="00A74C68">
            <w:pPr>
              <w:jc w:val="right"/>
              <w:rPr>
                <w:color w:val="000000"/>
                <w:sz w:val="16"/>
                <w:szCs w:val="16"/>
              </w:rPr>
            </w:pPr>
            <w:r w:rsidRPr="00471CBA">
              <w:rPr>
                <w:color w:val="000000"/>
                <w:sz w:val="16"/>
                <w:szCs w:val="16"/>
              </w:rPr>
              <w:t>11.448.476</w:t>
            </w:r>
          </w:p>
        </w:tc>
        <w:tc>
          <w:tcPr>
            <w:tcW w:w="1560" w:type="dxa"/>
            <w:tcBorders>
              <w:top w:val="nil"/>
              <w:left w:val="nil"/>
              <w:bottom w:val="nil"/>
              <w:right w:val="nil"/>
            </w:tcBorders>
            <w:vAlign w:val="bottom"/>
            <w:hideMark/>
          </w:tcPr>
          <w:p w14:paraId="2535A4CB" w14:textId="77777777" w:rsidR="00A74C68" w:rsidRPr="00471CBA" w:rsidRDefault="00A74C68" w:rsidP="00A74C68">
            <w:pPr>
              <w:jc w:val="right"/>
              <w:rPr>
                <w:color w:val="000000"/>
                <w:sz w:val="16"/>
                <w:szCs w:val="16"/>
              </w:rPr>
            </w:pPr>
            <w:r w:rsidRPr="00471CBA">
              <w:rPr>
                <w:color w:val="000000"/>
                <w:sz w:val="16"/>
                <w:szCs w:val="16"/>
              </w:rPr>
              <w:t>3.177.319</w:t>
            </w:r>
          </w:p>
        </w:tc>
        <w:tc>
          <w:tcPr>
            <w:tcW w:w="1120" w:type="dxa"/>
            <w:tcBorders>
              <w:top w:val="nil"/>
              <w:left w:val="nil"/>
              <w:bottom w:val="nil"/>
              <w:right w:val="nil"/>
            </w:tcBorders>
            <w:vAlign w:val="bottom"/>
            <w:hideMark/>
          </w:tcPr>
          <w:p w14:paraId="15FFB878" w14:textId="77777777" w:rsidR="00A74C68" w:rsidRPr="00471CBA" w:rsidRDefault="00A74C68" w:rsidP="00A74C68">
            <w:pPr>
              <w:jc w:val="right"/>
              <w:rPr>
                <w:color w:val="000000"/>
                <w:sz w:val="16"/>
                <w:szCs w:val="16"/>
              </w:rPr>
            </w:pPr>
            <w:r w:rsidRPr="00471CBA">
              <w:rPr>
                <w:color w:val="000000"/>
                <w:sz w:val="16"/>
                <w:szCs w:val="16"/>
              </w:rPr>
              <w:t>9.307.022</w:t>
            </w:r>
          </w:p>
        </w:tc>
        <w:tc>
          <w:tcPr>
            <w:tcW w:w="1120" w:type="dxa"/>
            <w:tcBorders>
              <w:top w:val="nil"/>
              <w:left w:val="nil"/>
              <w:bottom w:val="nil"/>
              <w:right w:val="nil"/>
            </w:tcBorders>
            <w:vAlign w:val="bottom"/>
            <w:hideMark/>
          </w:tcPr>
          <w:p w14:paraId="0E549A54" w14:textId="77777777" w:rsidR="00A74C68" w:rsidRPr="00471CBA" w:rsidRDefault="00A74C68" w:rsidP="00A74C68">
            <w:pPr>
              <w:jc w:val="right"/>
              <w:rPr>
                <w:color w:val="000000"/>
                <w:sz w:val="16"/>
                <w:szCs w:val="16"/>
              </w:rPr>
            </w:pPr>
            <w:r w:rsidRPr="00471CBA">
              <w:rPr>
                <w:color w:val="000000"/>
                <w:sz w:val="16"/>
                <w:szCs w:val="16"/>
              </w:rPr>
              <w:t>23.932.817</w:t>
            </w:r>
          </w:p>
        </w:tc>
      </w:tr>
      <w:tr w:rsidR="00A74C68" w:rsidRPr="00471CBA" w14:paraId="624A691E" w14:textId="77777777" w:rsidTr="00A74C68">
        <w:trPr>
          <w:divId w:val="1897205856"/>
          <w:trHeight w:val="170"/>
        </w:trPr>
        <w:tc>
          <w:tcPr>
            <w:tcW w:w="4678" w:type="dxa"/>
            <w:tcBorders>
              <w:top w:val="nil"/>
              <w:left w:val="nil"/>
              <w:bottom w:val="nil"/>
              <w:right w:val="nil"/>
            </w:tcBorders>
            <w:noWrap/>
            <w:vAlign w:val="bottom"/>
            <w:hideMark/>
          </w:tcPr>
          <w:p w14:paraId="530931E8" w14:textId="77777777" w:rsidR="00A74C68" w:rsidRPr="00471CBA" w:rsidRDefault="00A74C68" w:rsidP="00A74C68">
            <w:pPr>
              <w:rPr>
                <w:color w:val="000000"/>
                <w:sz w:val="16"/>
                <w:szCs w:val="16"/>
              </w:rPr>
            </w:pPr>
            <w:r w:rsidRPr="00471CBA">
              <w:rPr>
                <w:snapToGrid w:val="0"/>
                <w:color w:val="000000"/>
                <w:sz w:val="16"/>
                <w:szCs w:val="16"/>
              </w:rPr>
              <w:t>Bankalar</w:t>
            </w:r>
          </w:p>
        </w:tc>
        <w:tc>
          <w:tcPr>
            <w:tcW w:w="1275" w:type="dxa"/>
            <w:tcBorders>
              <w:top w:val="nil"/>
              <w:left w:val="nil"/>
              <w:bottom w:val="nil"/>
              <w:right w:val="nil"/>
            </w:tcBorders>
            <w:vAlign w:val="bottom"/>
            <w:hideMark/>
          </w:tcPr>
          <w:p w14:paraId="22CC7311" w14:textId="77777777" w:rsidR="00A74C68" w:rsidRPr="00471CBA" w:rsidRDefault="00A74C68" w:rsidP="00A74C68">
            <w:pPr>
              <w:jc w:val="right"/>
              <w:rPr>
                <w:color w:val="000000"/>
                <w:sz w:val="16"/>
                <w:szCs w:val="16"/>
              </w:rPr>
            </w:pPr>
            <w:r w:rsidRPr="00471CBA">
              <w:rPr>
                <w:color w:val="000000"/>
                <w:sz w:val="16"/>
                <w:szCs w:val="16"/>
              </w:rPr>
              <w:t>842.104</w:t>
            </w:r>
          </w:p>
        </w:tc>
        <w:tc>
          <w:tcPr>
            <w:tcW w:w="1560" w:type="dxa"/>
            <w:tcBorders>
              <w:top w:val="nil"/>
              <w:left w:val="nil"/>
              <w:bottom w:val="nil"/>
              <w:right w:val="nil"/>
            </w:tcBorders>
            <w:vAlign w:val="bottom"/>
            <w:hideMark/>
          </w:tcPr>
          <w:p w14:paraId="1867083A" w14:textId="77777777" w:rsidR="00A74C68" w:rsidRPr="00471CBA" w:rsidRDefault="00A74C68" w:rsidP="00A74C68">
            <w:pPr>
              <w:jc w:val="right"/>
              <w:rPr>
                <w:color w:val="000000"/>
                <w:sz w:val="16"/>
                <w:szCs w:val="16"/>
              </w:rPr>
            </w:pPr>
            <w:r w:rsidRPr="00471CBA">
              <w:rPr>
                <w:color w:val="000000"/>
                <w:sz w:val="16"/>
                <w:szCs w:val="16"/>
              </w:rPr>
              <w:t>2.791.117</w:t>
            </w:r>
          </w:p>
        </w:tc>
        <w:tc>
          <w:tcPr>
            <w:tcW w:w="1120" w:type="dxa"/>
            <w:tcBorders>
              <w:top w:val="nil"/>
              <w:left w:val="nil"/>
              <w:bottom w:val="nil"/>
              <w:right w:val="nil"/>
            </w:tcBorders>
            <w:vAlign w:val="bottom"/>
            <w:hideMark/>
          </w:tcPr>
          <w:p w14:paraId="43B363A0" w14:textId="77777777" w:rsidR="00A74C68" w:rsidRPr="00471CBA" w:rsidRDefault="00A74C68" w:rsidP="00A74C68">
            <w:pPr>
              <w:jc w:val="right"/>
              <w:rPr>
                <w:color w:val="000000"/>
                <w:sz w:val="16"/>
                <w:szCs w:val="16"/>
              </w:rPr>
            </w:pPr>
            <w:r w:rsidRPr="00471CBA">
              <w:rPr>
                <w:color w:val="000000"/>
                <w:sz w:val="16"/>
                <w:szCs w:val="16"/>
              </w:rPr>
              <w:t>3.093.915</w:t>
            </w:r>
          </w:p>
        </w:tc>
        <w:tc>
          <w:tcPr>
            <w:tcW w:w="1120" w:type="dxa"/>
            <w:tcBorders>
              <w:top w:val="nil"/>
              <w:left w:val="nil"/>
              <w:bottom w:val="nil"/>
              <w:right w:val="nil"/>
            </w:tcBorders>
            <w:vAlign w:val="bottom"/>
            <w:hideMark/>
          </w:tcPr>
          <w:p w14:paraId="5401C0B3" w14:textId="77777777" w:rsidR="00A74C68" w:rsidRPr="00471CBA" w:rsidRDefault="00A74C68" w:rsidP="00A74C68">
            <w:pPr>
              <w:jc w:val="right"/>
              <w:rPr>
                <w:color w:val="000000"/>
                <w:sz w:val="16"/>
                <w:szCs w:val="16"/>
              </w:rPr>
            </w:pPr>
            <w:r w:rsidRPr="00471CBA">
              <w:rPr>
                <w:color w:val="000000"/>
                <w:sz w:val="16"/>
                <w:szCs w:val="16"/>
              </w:rPr>
              <w:t>6.727.136</w:t>
            </w:r>
          </w:p>
        </w:tc>
      </w:tr>
      <w:tr w:rsidR="00A74C68" w:rsidRPr="00471CBA" w14:paraId="076155FD" w14:textId="77777777" w:rsidTr="00A74C68">
        <w:trPr>
          <w:divId w:val="1897205856"/>
          <w:trHeight w:val="170"/>
        </w:trPr>
        <w:tc>
          <w:tcPr>
            <w:tcW w:w="4678" w:type="dxa"/>
            <w:tcBorders>
              <w:top w:val="nil"/>
              <w:left w:val="nil"/>
              <w:bottom w:val="nil"/>
              <w:right w:val="nil"/>
            </w:tcBorders>
            <w:noWrap/>
            <w:vAlign w:val="bottom"/>
            <w:hideMark/>
          </w:tcPr>
          <w:p w14:paraId="5BAF98C9" w14:textId="77777777" w:rsidR="00A74C68" w:rsidRPr="00471CBA" w:rsidRDefault="00A74C68" w:rsidP="00A74C68">
            <w:pPr>
              <w:rPr>
                <w:color w:val="000000"/>
                <w:sz w:val="16"/>
                <w:szCs w:val="16"/>
                <w:lang w:eastAsia="tr-TR"/>
              </w:rPr>
            </w:pPr>
            <w:r w:rsidRPr="00471CBA">
              <w:rPr>
                <w:snapToGrid w:val="0"/>
                <w:color w:val="000000"/>
                <w:sz w:val="16"/>
                <w:szCs w:val="16"/>
              </w:rPr>
              <w:t xml:space="preserve">Gerçeğe Uygun Değer Farkı Kâr veya Zarara Yansıtılan Finansal Varlıklar </w:t>
            </w:r>
            <w:r w:rsidRPr="00471CBA">
              <w:rPr>
                <w:color w:val="000000"/>
                <w:sz w:val="16"/>
                <w:szCs w:val="16"/>
                <w:vertAlign w:val="superscript"/>
                <w:lang w:eastAsia="tr-TR"/>
              </w:rPr>
              <w:t>(*****)</w:t>
            </w:r>
          </w:p>
        </w:tc>
        <w:tc>
          <w:tcPr>
            <w:tcW w:w="1275" w:type="dxa"/>
            <w:tcBorders>
              <w:top w:val="nil"/>
              <w:left w:val="nil"/>
              <w:bottom w:val="nil"/>
              <w:right w:val="nil"/>
            </w:tcBorders>
            <w:vAlign w:val="bottom"/>
            <w:hideMark/>
          </w:tcPr>
          <w:p w14:paraId="7A853EA4" w14:textId="77777777" w:rsidR="00A74C68" w:rsidRPr="00471CBA" w:rsidRDefault="00A74C68" w:rsidP="00A74C68">
            <w:pPr>
              <w:jc w:val="right"/>
              <w:rPr>
                <w:color w:val="000000"/>
                <w:sz w:val="16"/>
                <w:szCs w:val="16"/>
              </w:rPr>
            </w:pPr>
            <w:r w:rsidRPr="00471CBA">
              <w:rPr>
                <w:color w:val="000000"/>
                <w:sz w:val="16"/>
                <w:szCs w:val="16"/>
              </w:rPr>
              <w:t>-</w:t>
            </w:r>
          </w:p>
        </w:tc>
        <w:tc>
          <w:tcPr>
            <w:tcW w:w="1560" w:type="dxa"/>
            <w:tcBorders>
              <w:top w:val="nil"/>
              <w:left w:val="nil"/>
              <w:bottom w:val="nil"/>
              <w:right w:val="nil"/>
            </w:tcBorders>
            <w:vAlign w:val="bottom"/>
            <w:hideMark/>
          </w:tcPr>
          <w:p w14:paraId="64C121CC" w14:textId="77777777" w:rsidR="00A74C68" w:rsidRPr="00471CBA" w:rsidRDefault="00A74C68" w:rsidP="00A74C68">
            <w:pPr>
              <w:jc w:val="right"/>
              <w:rPr>
                <w:color w:val="000000"/>
                <w:sz w:val="16"/>
                <w:szCs w:val="16"/>
              </w:rPr>
            </w:pPr>
            <w:r w:rsidRPr="00471CBA">
              <w:rPr>
                <w:color w:val="000000"/>
                <w:sz w:val="16"/>
                <w:szCs w:val="16"/>
              </w:rPr>
              <w:t>1.014.227</w:t>
            </w:r>
          </w:p>
        </w:tc>
        <w:tc>
          <w:tcPr>
            <w:tcW w:w="1120" w:type="dxa"/>
            <w:tcBorders>
              <w:top w:val="nil"/>
              <w:left w:val="nil"/>
              <w:bottom w:val="nil"/>
              <w:right w:val="nil"/>
            </w:tcBorders>
            <w:vAlign w:val="bottom"/>
            <w:hideMark/>
          </w:tcPr>
          <w:p w14:paraId="603A71A3" w14:textId="77777777" w:rsidR="00A74C68" w:rsidRPr="00471CBA" w:rsidRDefault="00A74C68" w:rsidP="00A74C68">
            <w:pPr>
              <w:jc w:val="right"/>
              <w:rPr>
                <w:color w:val="000000"/>
                <w:sz w:val="16"/>
                <w:szCs w:val="16"/>
              </w:rPr>
            </w:pPr>
            <w:r w:rsidRPr="00471CBA">
              <w:rPr>
                <w:color w:val="000000"/>
                <w:sz w:val="16"/>
                <w:szCs w:val="16"/>
              </w:rPr>
              <w:t>-</w:t>
            </w:r>
          </w:p>
        </w:tc>
        <w:tc>
          <w:tcPr>
            <w:tcW w:w="1120" w:type="dxa"/>
            <w:tcBorders>
              <w:top w:val="nil"/>
              <w:left w:val="nil"/>
              <w:bottom w:val="nil"/>
              <w:right w:val="nil"/>
            </w:tcBorders>
            <w:vAlign w:val="bottom"/>
            <w:hideMark/>
          </w:tcPr>
          <w:p w14:paraId="3D2674F3" w14:textId="77777777" w:rsidR="00A74C68" w:rsidRPr="00471CBA" w:rsidRDefault="00A74C68" w:rsidP="00A74C68">
            <w:pPr>
              <w:jc w:val="right"/>
              <w:rPr>
                <w:color w:val="000000"/>
                <w:sz w:val="16"/>
                <w:szCs w:val="16"/>
              </w:rPr>
            </w:pPr>
            <w:r w:rsidRPr="00471CBA">
              <w:rPr>
                <w:color w:val="000000"/>
                <w:sz w:val="16"/>
                <w:szCs w:val="16"/>
              </w:rPr>
              <w:t>1.014.227</w:t>
            </w:r>
          </w:p>
        </w:tc>
      </w:tr>
      <w:tr w:rsidR="00A74C68" w:rsidRPr="00471CBA" w14:paraId="2EE6EDCC" w14:textId="77777777" w:rsidTr="00A74C68">
        <w:trPr>
          <w:divId w:val="1897205856"/>
          <w:trHeight w:val="170"/>
        </w:trPr>
        <w:tc>
          <w:tcPr>
            <w:tcW w:w="4678" w:type="dxa"/>
            <w:tcBorders>
              <w:top w:val="nil"/>
              <w:left w:val="nil"/>
              <w:bottom w:val="nil"/>
              <w:right w:val="nil"/>
            </w:tcBorders>
            <w:noWrap/>
            <w:vAlign w:val="bottom"/>
            <w:hideMark/>
          </w:tcPr>
          <w:p w14:paraId="3C2C77DE" w14:textId="77777777" w:rsidR="00A74C68" w:rsidRPr="00471CBA" w:rsidRDefault="00A74C68" w:rsidP="00A74C68">
            <w:pPr>
              <w:rPr>
                <w:color w:val="000000"/>
                <w:sz w:val="16"/>
                <w:szCs w:val="16"/>
              </w:rPr>
            </w:pPr>
            <w:r w:rsidRPr="00471CBA">
              <w:rPr>
                <w:snapToGrid w:val="0"/>
                <w:color w:val="000000"/>
                <w:sz w:val="16"/>
                <w:szCs w:val="16"/>
              </w:rPr>
              <w:t>Para Piyasalarından Alacaklar</w:t>
            </w:r>
          </w:p>
        </w:tc>
        <w:tc>
          <w:tcPr>
            <w:tcW w:w="1275" w:type="dxa"/>
            <w:tcBorders>
              <w:top w:val="nil"/>
              <w:left w:val="nil"/>
              <w:bottom w:val="nil"/>
              <w:right w:val="nil"/>
            </w:tcBorders>
            <w:vAlign w:val="bottom"/>
            <w:hideMark/>
          </w:tcPr>
          <w:p w14:paraId="10FF58E4" w14:textId="77777777" w:rsidR="00A74C68" w:rsidRPr="00471CBA" w:rsidRDefault="00A74C68" w:rsidP="00A74C68">
            <w:pPr>
              <w:jc w:val="right"/>
              <w:rPr>
                <w:color w:val="000000"/>
                <w:sz w:val="16"/>
                <w:szCs w:val="16"/>
              </w:rPr>
            </w:pPr>
            <w:r w:rsidRPr="00471CBA">
              <w:rPr>
                <w:color w:val="000000"/>
                <w:sz w:val="16"/>
                <w:szCs w:val="16"/>
              </w:rPr>
              <w:t>-</w:t>
            </w:r>
          </w:p>
        </w:tc>
        <w:tc>
          <w:tcPr>
            <w:tcW w:w="1560" w:type="dxa"/>
            <w:tcBorders>
              <w:top w:val="nil"/>
              <w:left w:val="nil"/>
              <w:bottom w:val="nil"/>
              <w:right w:val="nil"/>
            </w:tcBorders>
            <w:vAlign w:val="bottom"/>
            <w:hideMark/>
          </w:tcPr>
          <w:p w14:paraId="2F01E31E" w14:textId="77777777" w:rsidR="00A74C68" w:rsidRPr="00471CBA" w:rsidRDefault="00A74C68" w:rsidP="00A74C68">
            <w:pPr>
              <w:jc w:val="right"/>
              <w:rPr>
                <w:color w:val="000000"/>
                <w:sz w:val="16"/>
                <w:szCs w:val="16"/>
              </w:rPr>
            </w:pPr>
            <w:r w:rsidRPr="00471CBA">
              <w:rPr>
                <w:color w:val="000000"/>
                <w:sz w:val="16"/>
                <w:szCs w:val="16"/>
              </w:rPr>
              <w:t>-</w:t>
            </w:r>
          </w:p>
        </w:tc>
        <w:tc>
          <w:tcPr>
            <w:tcW w:w="1120" w:type="dxa"/>
            <w:tcBorders>
              <w:top w:val="nil"/>
              <w:left w:val="nil"/>
              <w:bottom w:val="nil"/>
              <w:right w:val="nil"/>
            </w:tcBorders>
            <w:vAlign w:val="bottom"/>
            <w:hideMark/>
          </w:tcPr>
          <w:p w14:paraId="7672C9E4" w14:textId="77777777" w:rsidR="00A74C68" w:rsidRPr="00471CBA" w:rsidRDefault="00A74C68" w:rsidP="00A74C68">
            <w:pPr>
              <w:jc w:val="right"/>
              <w:rPr>
                <w:color w:val="000000"/>
                <w:sz w:val="16"/>
                <w:szCs w:val="16"/>
              </w:rPr>
            </w:pPr>
            <w:r w:rsidRPr="00471CBA">
              <w:rPr>
                <w:color w:val="000000"/>
                <w:sz w:val="16"/>
                <w:szCs w:val="16"/>
              </w:rPr>
              <w:t>-</w:t>
            </w:r>
          </w:p>
        </w:tc>
        <w:tc>
          <w:tcPr>
            <w:tcW w:w="1120" w:type="dxa"/>
            <w:tcBorders>
              <w:top w:val="nil"/>
              <w:left w:val="nil"/>
              <w:bottom w:val="nil"/>
              <w:right w:val="nil"/>
            </w:tcBorders>
            <w:vAlign w:val="bottom"/>
            <w:hideMark/>
          </w:tcPr>
          <w:p w14:paraId="2CB8216C" w14:textId="77777777" w:rsidR="00A74C68" w:rsidRPr="00471CBA" w:rsidRDefault="00A74C68" w:rsidP="00A74C68">
            <w:pPr>
              <w:jc w:val="right"/>
              <w:rPr>
                <w:color w:val="000000"/>
                <w:sz w:val="16"/>
                <w:szCs w:val="16"/>
              </w:rPr>
            </w:pPr>
            <w:r w:rsidRPr="00471CBA">
              <w:rPr>
                <w:color w:val="000000"/>
                <w:sz w:val="16"/>
                <w:szCs w:val="16"/>
              </w:rPr>
              <w:t>-</w:t>
            </w:r>
          </w:p>
        </w:tc>
      </w:tr>
      <w:tr w:rsidR="00A74C68" w:rsidRPr="00471CBA" w14:paraId="7E3A2E42" w14:textId="77777777" w:rsidTr="00A74C68">
        <w:trPr>
          <w:divId w:val="1897205856"/>
          <w:trHeight w:val="170"/>
        </w:trPr>
        <w:tc>
          <w:tcPr>
            <w:tcW w:w="4678" w:type="dxa"/>
            <w:tcBorders>
              <w:top w:val="nil"/>
              <w:left w:val="nil"/>
              <w:bottom w:val="nil"/>
              <w:right w:val="nil"/>
            </w:tcBorders>
            <w:noWrap/>
            <w:vAlign w:val="bottom"/>
            <w:hideMark/>
          </w:tcPr>
          <w:p w14:paraId="6C3D8279" w14:textId="77777777" w:rsidR="00A74C68" w:rsidRPr="00471CBA" w:rsidRDefault="00A74C68" w:rsidP="00A74C68">
            <w:pPr>
              <w:rPr>
                <w:snapToGrid w:val="0"/>
                <w:color w:val="000000"/>
                <w:sz w:val="16"/>
                <w:szCs w:val="16"/>
              </w:rPr>
            </w:pPr>
            <w:r w:rsidRPr="00471CBA">
              <w:rPr>
                <w:snapToGrid w:val="0"/>
                <w:color w:val="000000"/>
                <w:sz w:val="16"/>
                <w:szCs w:val="16"/>
              </w:rPr>
              <w:t>Gerçeğe Uygun Değer Farkı Diğer Kapsamlı Gelire Yansıtılan Finansal Varlıklar</w:t>
            </w:r>
          </w:p>
        </w:tc>
        <w:tc>
          <w:tcPr>
            <w:tcW w:w="1275" w:type="dxa"/>
            <w:tcBorders>
              <w:top w:val="nil"/>
              <w:left w:val="nil"/>
              <w:bottom w:val="nil"/>
              <w:right w:val="nil"/>
            </w:tcBorders>
            <w:vAlign w:val="bottom"/>
            <w:hideMark/>
          </w:tcPr>
          <w:p w14:paraId="0EC35438" w14:textId="77777777" w:rsidR="00A74C68" w:rsidRPr="00471CBA" w:rsidRDefault="00A74C68" w:rsidP="00A74C68">
            <w:pPr>
              <w:jc w:val="right"/>
              <w:rPr>
                <w:color w:val="000000"/>
                <w:sz w:val="16"/>
                <w:szCs w:val="16"/>
              </w:rPr>
            </w:pPr>
            <w:r w:rsidRPr="00471CBA">
              <w:rPr>
                <w:color w:val="000000"/>
                <w:sz w:val="16"/>
                <w:szCs w:val="16"/>
              </w:rPr>
              <w:t>-</w:t>
            </w:r>
          </w:p>
        </w:tc>
        <w:tc>
          <w:tcPr>
            <w:tcW w:w="1560" w:type="dxa"/>
            <w:tcBorders>
              <w:top w:val="nil"/>
              <w:left w:val="nil"/>
              <w:bottom w:val="nil"/>
              <w:right w:val="nil"/>
            </w:tcBorders>
            <w:vAlign w:val="bottom"/>
            <w:hideMark/>
          </w:tcPr>
          <w:p w14:paraId="7682B059" w14:textId="77777777" w:rsidR="00A74C68" w:rsidRPr="00471CBA" w:rsidRDefault="00A74C68" w:rsidP="00A74C68">
            <w:pPr>
              <w:jc w:val="right"/>
              <w:rPr>
                <w:color w:val="000000"/>
                <w:sz w:val="16"/>
                <w:szCs w:val="16"/>
              </w:rPr>
            </w:pPr>
            <w:r w:rsidRPr="00471CBA">
              <w:rPr>
                <w:color w:val="000000"/>
                <w:sz w:val="16"/>
                <w:szCs w:val="16"/>
              </w:rPr>
              <w:t>1.215.297</w:t>
            </w:r>
          </w:p>
        </w:tc>
        <w:tc>
          <w:tcPr>
            <w:tcW w:w="1120" w:type="dxa"/>
            <w:tcBorders>
              <w:top w:val="nil"/>
              <w:left w:val="nil"/>
              <w:bottom w:val="nil"/>
              <w:right w:val="nil"/>
            </w:tcBorders>
            <w:vAlign w:val="bottom"/>
            <w:hideMark/>
          </w:tcPr>
          <w:p w14:paraId="0EB43587" w14:textId="77777777" w:rsidR="00A74C68" w:rsidRPr="00471CBA" w:rsidRDefault="00A74C68" w:rsidP="00A74C68">
            <w:pPr>
              <w:jc w:val="right"/>
              <w:rPr>
                <w:color w:val="000000"/>
                <w:sz w:val="16"/>
                <w:szCs w:val="16"/>
              </w:rPr>
            </w:pPr>
            <w:r w:rsidRPr="00471CBA">
              <w:rPr>
                <w:color w:val="000000"/>
                <w:sz w:val="16"/>
                <w:szCs w:val="16"/>
              </w:rPr>
              <w:t>-</w:t>
            </w:r>
          </w:p>
        </w:tc>
        <w:tc>
          <w:tcPr>
            <w:tcW w:w="1120" w:type="dxa"/>
            <w:tcBorders>
              <w:top w:val="nil"/>
              <w:left w:val="nil"/>
              <w:bottom w:val="nil"/>
              <w:right w:val="nil"/>
            </w:tcBorders>
            <w:vAlign w:val="bottom"/>
            <w:hideMark/>
          </w:tcPr>
          <w:p w14:paraId="327644CD" w14:textId="77777777" w:rsidR="00A74C68" w:rsidRPr="00471CBA" w:rsidRDefault="00A74C68" w:rsidP="00A74C68">
            <w:pPr>
              <w:jc w:val="right"/>
              <w:rPr>
                <w:color w:val="000000"/>
                <w:sz w:val="16"/>
                <w:szCs w:val="16"/>
              </w:rPr>
            </w:pPr>
            <w:r w:rsidRPr="00471CBA">
              <w:rPr>
                <w:color w:val="000000"/>
                <w:sz w:val="16"/>
                <w:szCs w:val="16"/>
              </w:rPr>
              <w:t>1.215.297</w:t>
            </w:r>
          </w:p>
        </w:tc>
      </w:tr>
      <w:tr w:rsidR="00A74C68" w:rsidRPr="00471CBA" w14:paraId="51D0CBD8" w14:textId="77777777" w:rsidTr="00A74C68">
        <w:trPr>
          <w:divId w:val="1897205856"/>
          <w:trHeight w:val="170"/>
        </w:trPr>
        <w:tc>
          <w:tcPr>
            <w:tcW w:w="4678" w:type="dxa"/>
            <w:tcBorders>
              <w:top w:val="nil"/>
              <w:left w:val="nil"/>
              <w:bottom w:val="nil"/>
              <w:right w:val="nil"/>
            </w:tcBorders>
            <w:noWrap/>
            <w:vAlign w:val="bottom"/>
            <w:hideMark/>
          </w:tcPr>
          <w:p w14:paraId="190D8640" w14:textId="77777777" w:rsidR="00A74C68" w:rsidRPr="00471CBA" w:rsidRDefault="00A74C68" w:rsidP="00A74C68">
            <w:pPr>
              <w:rPr>
                <w:color w:val="000000"/>
                <w:sz w:val="16"/>
                <w:szCs w:val="16"/>
              </w:rPr>
            </w:pPr>
            <w:r w:rsidRPr="00471CBA">
              <w:rPr>
                <w:snapToGrid w:val="0"/>
                <w:color w:val="000000"/>
                <w:sz w:val="16"/>
                <w:szCs w:val="16"/>
              </w:rPr>
              <w:t>Krediler</w:t>
            </w:r>
          </w:p>
        </w:tc>
        <w:tc>
          <w:tcPr>
            <w:tcW w:w="1275" w:type="dxa"/>
            <w:tcBorders>
              <w:top w:val="nil"/>
              <w:left w:val="nil"/>
              <w:bottom w:val="nil"/>
              <w:right w:val="nil"/>
            </w:tcBorders>
            <w:vAlign w:val="bottom"/>
            <w:hideMark/>
          </w:tcPr>
          <w:p w14:paraId="36E40ADC" w14:textId="77777777" w:rsidR="00A74C68" w:rsidRPr="00471CBA" w:rsidRDefault="00A74C68" w:rsidP="00A74C68">
            <w:pPr>
              <w:jc w:val="right"/>
              <w:rPr>
                <w:color w:val="000000"/>
                <w:sz w:val="16"/>
                <w:szCs w:val="16"/>
              </w:rPr>
            </w:pPr>
            <w:r w:rsidRPr="00471CBA">
              <w:rPr>
                <w:color w:val="000000"/>
                <w:sz w:val="16"/>
                <w:szCs w:val="16"/>
              </w:rPr>
              <w:t>6.376.280</w:t>
            </w:r>
          </w:p>
        </w:tc>
        <w:tc>
          <w:tcPr>
            <w:tcW w:w="1560" w:type="dxa"/>
            <w:tcBorders>
              <w:top w:val="nil"/>
              <w:left w:val="nil"/>
              <w:bottom w:val="nil"/>
              <w:right w:val="nil"/>
            </w:tcBorders>
            <w:vAlign w:val="bottom"/>
            <w:hideMark/>
          </w:tcPr>
          <w:p w14:paraId="658169F1" w14:textId="77777777" w:rsidR="00A74C68" w:rsidRPr="00471CBA" w:rsidRDefault="00A74C68" w:rsidP="00A74C68">
            <w:pPr>
              <w:jc w:val="right"/>
              <w:rPr>
                <w:color w:val="000000"/>
                <w:sz w:val="16"/>
                <w:szCs w:val="16"/>
              </w:rPr>
            </w:pPr>
            <w:r w:rsidRPr="00471CBA">
              <w:rPr>
                <w:color w:val="000000"/>
                <w:sz w:val="16"/>
                <w:szCs w:val="16"/>
              </w:rPr>
              <w:t>6.884.627</w:t>
            </w:r>
          </w:p>
        </w:tc>
        <w:tc>
          <w:tcPr>
            <w:tcW w:w="1120" w:type="dxa"/>
            <w:tcBorders>
              <w:top w:val="nil"/>
              <w:left w:val="nil"/>
              <w:bottom w:val="nil"/>
              <w:right w:val="nil"/>
            </w:tcBorders>
            <w:vAlign w:val="bottom"/>
            <w:hideMark/>
          </w:tcPr>
          <w:p w14:paraId="30CA4274" w14:textId="77777777" w:rsidR="00A74C68" w:rsidRPr="00471CBA" w:rsidRDefault="00A74C68" w:rsidP="00A74C68">
            <w:pPr>
              <w:jc w:val="right"/>
              <w:rPr>
                <w:color w:val="000000"/>
                <w:sz w:val="16"/>
                <w:szCs w:val="16"/>
              </w:rPr>
            </w:pPr>
            <w:r w:rsidRPr="00471CBA">
              <w:rPr>
                <w:color w:val="000000"/>
                <w:sz w:val="16"/>
                <w:szCs w:val="16"/>
              </w:rPr>
              <w:t>8.577.566</w:t>
            </w:r>
          </w:p>
        </w:tc>
        <w:tc>
          <w:tcPr>
            <w:tcW w:w="1120" w:type="dxa"/>
            <w:tcBorders>
              <w:top w:val="nil"/>
              <w:left w:val="nil"/>
              <w:bottom w:val="nil"/>
              <w:right w:val="nil"/>
            </w:tcBorders>
            <w:vAlign w:val="bottom"/>
            <w:hideMark/>
          </w:tcPr>
          <w:p w14:paraId="5A64384D" w14:textId="77777777" w:rsidR="00A74C68" w:rsidRPr="00471CBA" w:rsidRDefault="00A74C68" w:rsidP="00A74C68">
            <w:pPr>
              <w:jc w:val="right"/>
              <w:rPr>
                <w:color w:val="000000"/>
                <w:sz w:val="16"/>
                <w:szCs w:val="16"/>
              </w:rPr>
            </w:pPr>
            <w:r w:rsidRPr="00471CBA">
              <w:rPr>
                <w:color w:val="000000"/>
                <w:sz w:val="16"/>
                <w:szCs w:val="16"/>
              </w:rPr>
              <w:t>21.838.473</w:t>
            </w:r>
          </w:p>
        </w:tc>
      </w:tr>
      <w:tr w:rsidR="00A74C68" w:rsidRPr="00471CBA" w14:paraId="7837009C" w14:textId="77777777" w:rsidTr="00A74C68">
        <w:trPr>
          <w:divId w:val="1897205856"/>
          <w:trHeight w:val="170"/>
        </w:trPr>
        <w:tc>
          <w:tcPr>
            <w:tcW w:w="4678" w:type="dxa"/>
            <w:tcBorders>
              <w:top w:val="nil"/>
              <w:left w:val="nil"/>
              <w:bottom w:val="nil"/>
              <w:right w:val="nil"/>
            </w:tcBorders>
            <w:noWrap/>
            <w:vAlign w:val="bottom"/>
            <w:hideMark/>
          </w:tcPr>
          <w:p w14:paraId="5229108F" w14:textId="77777777" w:rsidR="00A74C68" w:rsidRPr="00471CBA" w:rsidRDefault="00A74C68" w:rsidP="00A74C68">
            <w:pPr>
              <w:rPr>
                <w:color w:val="000000"/>
                <w:sz w:val="16"/>
                <w:szCs w:val="16"/>
              </w:rPr>
            </w:pPr>
            <w:r w:rsidRPr="00471CBA">
              <w:rPr>
                <w:snapToGrid w:val="0"/>
                <w:color w:val="000000"/>
                <w:sz w:val="16"/>
                <w:szCs w:val="16"/>
              </w:rPr>
              <w:t>İştirak, Bağlı Ortaklık ve Birlikte Kontrol Edilen Ortaklıklar (İş Ortaklıkları)</w:t>
            </w:r>
          </w:p>
        </w:tc>
        <w:tc>
          <w:tcPr>
            <w:tcW w:w="1275" w:type="dxa"/>
            <w:tcBorders>
              <w:top w:val="nil"/>
              <w:left w:val="nil"/>
              <w:bottom w:val="nil"/>
              <w:right w:val="nil"/>
            </w:tcBorders>
            <w:vAlign w:val="bottom"/>
            <w:hideMark/>
          </w:tcPr>
          <w:p w14:paraId="0C6D17CB" w14:textId="77777777" w:rsidR="00A74C68" w:rsidRPr="00471CBA" w:rsidRDefault="00A74C68" w:rsidP="00A74C68">
            <w:pPr>
              <w:jc w:val="right"/>
              <w:rPr>
                <w:color w:val="000000"/>
                <w:sz w:val="16"/>
                <w:szCs w:val="16"/>
              </w:rPr>
            </w:pPr>
            <w:r w:rsidRPr="00471CBA">
              <w:rPr>
                <w:color w:val="000000"/>
                <w:sz w:val="16"/>
                <w:szCs w:val="16"/>
              </w:rPr>
              <w:t>-</w:t>
            </w:r>
          </w:p>
        </w:tc>
        <w:tc>
          <w:tcPr>
            <w:tcW w:w="1560" w:type="dxa"/>
            <w:tcBorders>
              <w:top w:val="nil"/>
              <w:left w:val="nil"/>
              <w:bottom w:val="nil"/>
              <w:right w:val="nil"/>
            </w:tcBorders>
            <w:vAlign w:val="bottom"/>
            <w:hideMark/>
          </w:tcPr>
          <w:p w14:paraId="5036720E" w14:textId="77777777" w:rsidR="00A74C68" w:rsidRPr="00471CBA" w:rsidRDefault="00A74C68" w:rsidP="00A74C68">
            <w:pPr>
              <w:jc w:val="right"/>
              <w:rPr>
                <w:color w:val="000000"/>
                <w:sz w:val="16"/>
                <w:szCs w:val="16"/>
              </w:rPr>
            </w:pPr>
            <w:r w:rsidRPr="00471CBA">
              <w:rPr>
                <w:color w:val="000000"/>
                <w:sz w:val="16"/>
                <w:szCs w:val="16"/>
              </w:rPr>
              <w:t>-</w:t>
            </w:r>
          </w:p>
        </w:tc>
        <w:tc>
          <w:tcPr>
            <w:tcW w:w="1120" w:type="dxa"/>
            <w:tcBorders>
              <w:top w:val="nil"/>
              <w:left w:val="nil"/>
              <w:bottom w:val="nil"/>
              <w:right w:val="nil"/>
            </w:tcBorders>
            <w:vAlign w:val="bottom"/>
            <w:hideMark/>
          </w:tcPr>
          <w:p w14:paraId="53C25C79" w14:textId="77777777" w:rsidR="00A74C68" w:rsidRPr="00471CBA" w:rsidRDefault="00A74C68" w:rsidP="00A74C68">
            <w:pPr>
              <w:jc w:val="right"/>
              <w:rPr>
                <w:color w:val="000000"/>
                <w:sz w:val="16"/>
                <w:szCs w:val="16"/>
              </w:rPr>
            </w:pPr>
            <w:r w:rsidRPr="00471CBA">
              <w:rPr>
                <w:color w:val="000000"/>
                <w:sz w:val="16"/>
                <w:szCs w:val="16"/>
              </w:rPr>
              <w:t>-</w:t>
            </w:r>
          </w:p>
        </w:tc>
        <w:tc>
          <w:tcPr>
            <w:tcW w:w="1120" w:type="dxa"/>
            <w:tcBorders>
              <w:top w:val="nil"/>
              <w:left w:val="nil"/>
              <w:bottom w:val="nil"/>
              <w:right w:val="nil"/>
            </w:tcBorders>
            <w:vAlign w:val="bottom"/>
            <w:hideMark/>
          </w:tcPr>
          <w:p w14:paraId="6262828B" w14:textId="77777777" w:rsidR="00A74C68" w:rsidRPr="00471CBA" w:rsidRDefault="00A74C68" w:rsidP="00A74C68">
            <w:pPr>
              <w:jc w:val="right"/>
              <w:rPr>
                <w:color w:val="000000"/>
                <w:sz w:val="16"/>
                <w:szCs w:val="16"/>
              </w:rPr>
            </w:pPr>
            <w:r w:rsidRPr="00471CBA">
              <w:rPr>
                <w:color w:val="000000"/>
                <w:sz w:val="16"/>
                <w:szCs w:val="16"/>
              </w:rPr>
              <w:t>-</w:t>
            </w:r>
          </w:p>
        </w:tc>
      </w:tr>
      <w:tr w:rsidR="00A74C68" w:rsidRPr="00471CBA" w14:paraId="1974C9A2" w14:textId="77777777" w:rsidTr="00A74C68">
        <w:trPr>
          <w:divId w:val="1897205856"/>
          <w:trHeight w:val="170"/>
        </w:trPr>
        <w:tc>
          <w:tcPr>
            <w:tcW w:w="4678" w:type="dxa"/>
            <w:tcBorders>
              <w:top w:val="nil"/>
              <w:left w:val="nil"/>
              <w:bottom w:val="nil"/>
              <w:right w:val="nil"/>
            </w:tcBorders>
            <w:noWrap/>
            <w:vAlign w:val="bottom"/>
            <w:hideMark/>
          </w:tcPr>
          <w:p w14:paraId="711F5303" w14:textId="77777777" w:rsidR="00A74C68" w:rsidRPr="00471CBA" w:rsidRDefault="00A74C68" w:rsidP="00A74C68">
            <w:pPr>
              <w:rPr>
                <w:color w:val="000000"/>
                <w:sz w:val="16"/>
                <w:szCs w:val="16"/>
              </w:rPr>
            </w:pPr>
            <w:r w:rsidRPr="00471CBA">
              <w:rPr>
                <w:snapToGrid w:val="0"/>
                <w:color w:val="000000"/>
                <w:sz w:val="16"/>
                <w:szCs w:val="16"/>
              </w:rPr>
              <w:t xml:space="preserve">İtfa Edilmiş Maliyet Üzerinden Değerlenen Finansal Varlıklar </w:t>
            </w:r>
          </w:p>
        </w:tc>
        <w:tc>
          <w:tcPr>
            <w:tcW w:w="1275" w:type="dxa"/>
            <w:tcBorders>
              <w:top w:val="nil"/>
              <w:left w:val="nil"/>
              <w:bottom w:val="nil"/>
              <w:right w:val="nil"/>
            </w:tcBorders>
            <w:vAlign w:val="bottom"/>
            <w:hideMark/>
          </w:tcPr>
          <w:p w14:paraId="59C07B1F" w14:textId="77777777" w:rsidR="00A74C68" w:rsidRPr="00471CBA" w:rsidRDefault="00A74C68" w:rsidP="00A74C68">
            <w:pPr>
              <w:jc w:val="right"/>
              <w:rPr>
                <w:color w:val="000000"/>
                <w:sz w:val="16"/>
                <w:szCs w:val="16"/>
              </w:rPr>
            </w:pPr>
            <w:r w:rsidRPr="00471CBA">
              <w:rPr>
                <w:color w:val="000000"/>
                <w:sz w:val="16"/>
                <w:szCs w:val="16"/>
              </w:rPr>
              <w:t>-</w:t>
            </w:r>
          </w:p>
        </w:tc>
        <w:tc>
          <w:tcPr>
            <w:tcW w:w="1560" w:type="dxa"/>
            <w:tcBorders>
              <w:top w:val="nil"/>
              <w:left w:val="nil"/>
              <w:bottom w:val="nil"/>
              <w:right w:val="nil"/>
            </w:tcBorders>
            <w:vAlign w:val="bottom"/>
            <w:hideMark/>
          </w:tcPr>
          <w:p w14:paraId="484036CB" w14:textId="77777777" w:rsidR="00A74C68" w:rsidRPr="00471CBA" w:rsidRDefault="00A74C68" w:rsidP="00A74C68">
            <w:pPr>
              <w:jc w:val="right"/>
              <w:rPr>
                <w:color w:val="000000"/>
                <w:sz w:val="16"/>
                <w:szCs w:val="16"/>
              </w:rPr>
            </w:pPr>
            <w:r w:rsidRPr="00471CBA">
              <w:rPr>
                <w:color w:val="000000"/>
                <w:sz w:val="16"/>
                <w:szCs w:val="16"/>
              </w:rPr>
              <w:t>-</w:t>
            </w:r>
          </w:p>
        </w:tc>
        <w:tc>
          <w:tcPr>
            <w:tcW w:w="1120" w:type="dxa"/>
            <w:tcBorders>
              <w:top w:val="nil"/>
              <w:left w:val="nil"/>
              <w:bottom w:val="nil"/>
              <w:right w:val="nil"/>
            </w:tcBorders>
            <w:vAlign w:val="bottom"/>
            <w:hideMark/>
          </w:tcPr>
          <w:p w14:paraId="6282DE1D" w14:textId="77777777" w:rsidR="00A74C68" w:rsidRPr="00471CBA" w:rsidRDefault="00A74C68" w:rsidP="00A74C68">
            <w:pPr>
              <w:jc w:val="right"/>
              <w:rPr>
                <w:color w:val="000000"/>
                <w:sz w:val="16"/>
                <w:szCs w:val="16"/>
              </w:rPr>
            </w:pPr>
            <w:r w:rsidRPr="00471CBA">
              <w:rPr>
                <w:color w:val="000000"/>
                <w:sz w:val="16"/>
                <w:szCs w:val="16"/>
              </w:rPr>
              <w:t>-</w:t>
            </w:r>
          </w:p>
        </w:tc>
        <w:tc>
          <w:tcPr>
            <w:tcW w:w="1120" w:type="dxa"/>
            <w:tcBorders>
              <w:top w:val="nil"/>
              <w:left w:val="nil"/>
              <w:bottom w:val="nil"/>
              <w:right w:val="nil"/>
            </w:tcBorders>
            <w:vAlign w:val="bottom"/>
            <w:hideMark/>
          </w:tcPr>
          <w:p w14:paraId="518FEC9B" w14:textId="77777777" w:rsidR="00A74C68" w:rsidRPr="00471CBA" w:rsidRDefault="00A74C68" w:rsidP="00A74C68">
            <w:pPr>
              <w:jc w:val="right"/>
              <w:rPr>
                <w:color w:val="000000"/>
                <w:sz w:val="16"/>
                <w:szCs w:val="16"/>
              </w:rPr>
            </w:pPr>
            <w:r w:rsidRPr="00471CBA">
              <w:rPr>
                <w:color w:val="000000"/>
                <w:sz w:val="16"/>
                <w:szCs w:val="16"/>
              </w:rPr>
              <w:t>-</w:t>
            </w:r>
          </w:p>
        </w:tc>
      </w:tr>
      <w:tr w:rsidR="00A74C68" w:rsidRPr="00471CBA" w14:paraId="290AEE85" w14:textId="77777777" w:rsidTr="00A74C68">
        <w:trPr>
          <w:divId w:val="1897205856"/>
          <w:trHeight w:val="170"/>
        </w:trPr>
        <w:tc>
          <w:tcPr>
            <w:tcW w:w="4678" w:type="dxa"/>
            <w:tcBorders>
              <w:top w:val="nil"/>
              <w:left w:val="nil"/>
              <w:bottom w:val="nil"/>
              <w:right w:val="nil"/>
            </w:tcBorders>
            <w:noWrap/>
            <w:vAlign w:val="bottom"/>
            <w:hideMark/>
          </w:tcPr>
          <w:p w14:paraId="3067FEBB" w14:textId="77777777" w:rsidR="00A74C68" w:rsidRPr="00471CBA" w:rsidRDefault="00A74C68" w:rsidP="00A74C68">
            <w:pPr>
              <w:rPr>
                <w:color w:val="000000"/>
                <w:sz w:val="16"/>
                <w:szCs w:val="16"/>
              </w:rPr>
            </w:pPr>
            <w:r w:rsidRPr="00471CBA">
              <w:rPr>
                <w:snapToGrid w:val="0"/>
                <w:color w:val="000000"/>
                <w:sz w:val="16"/>
                <w:szCs w:val="16"/>
              </w:rPr>
              <w:t>Riskten Korunma Amaçlı Türev Finansal Varlıklar</w:t>
            </w:r>
          </w:p>
        </w:tc>
        <w:tc>
          <w:tcPr>
            <w:tcW w:w="1275" w:type="dxa"/>
            <w:tcBorders>
              <w:top w:val="nil"/>
              <w:left w:val="nil"/>
              <w:bottom w:val="nil"/>
              <w:right w:val="nil"/>
            </w:tcBorders>
            <w:vAlign w:val="bottom"/>
            <w:hideMark/>
          </w:tcPr>
          <w:p w14:paraId="20A40C39" w14:textId="77777777" w:rsidR="00A74C68" w:rsidRPr="00471CBA" w:rsidRDefault="00A74C68" w:rsidP="00A74C68">
            <w:pPr>
              <w:jc w:val="right"/>
              <w:rPr>
                <w:color w:val="000000"/>
                <w:sz w:val="16"/>
                <w:szCs w:val="16"/>
              </w:rPr>
            </w:pPr>
            <w:r w:rsidRPr="00471CBA">
              <w:rPr>
                <w:color w:val="000000"/>
                <w:sz w:val="16"/>
                <w:szCs w:val="16"/>
              </w:rPr>
              <w:t>-</w:t>
            </w:r>
          </w:p>
        </w:tc>
        <w:tc>
          <w:tcPr>
            <w:tcW w:w="1560" w:type="dxa"/>
            <w:tcBorders>
              <w:top w:val="nil"/>
              <w:left w:val="nil"/>
              <w:bottom w:val="nil"/>
              <w:right w:val="nil"/>
            </w:tcBorders>
            <w:vAlign w:val="bottom"/>
            <w:hideMark/>
          </w:tcPr>
          <w:p w14:paraId="5075BAB3" w14:textId="77777777" w:rsidR="00A74C68" w:rsidRPr="00471CBA" w:rsidRDefault="00A74C68" w:rsidP="00A74C68">
            <w:pPr>
              <w:jc w:val="right"/>
              <w:rPr>
                <w:color w:val="000000"/>
                <w:sz w:val="16"/>
                <w:szCs w:val="16"/>
              </w:rPr>
            </w:pPr>
            <w:r w:rsidRPr="00471CBA">
              <w:rPr>
                <w:color w:val="000000"/>
                <w:sz w:val="16"/>
                <w:szCs w:val="16"/>
              </w:rPr>
              <w:t>-</w:t>
            </w:r>
          </w:p>
        </w:tc>
        <w:tc>
          <w:tcPr>
            <w:tcW w:w="1120" w:type="dxa"/>
            <w:tcBorders>
              <w:top w:val="nil"/>
              <w:left w:val="nil"/>
              <w:bottom w:val="nil"/>
              <w:right w:val="nil"/>
            </w:tcBorders>
            <w:vAlign w:val="bottom"/>
            <w:hideMark/>
          </w:tcPr>
          <w:p w14:paraId="4F88569E" w14:textId="77777777" w:rsidR="00A74C68" w:rsidRPr="00471CBA" w:rsidRDefault="00A74C68" w:rsidP="00A74C68">
            <w:pPr>
              <w:jc w:val="right"/>
              <w:rPr>
                <w:color w:val="000000"/>
                <w:sz w:val="16"/>
                <w:szCs w:val="16"/>
              </w:rPr>
            </w:pPr>
            <w:r w:rsidRPr="00471CBA">
              <w:rPr>
                <w:color w:val="000000"/>
                <w:sz w:val="16"/>
                <w:szCs w:val="16"/>
              </w:rPr>
              <w:t>-</w:t>
            </w:r>
          </w:p>
        </w:tc>
        <w:tc>
          <w:tcPr>
            <w:tcW w:w="1120" w:type="dxa"/>
            <w:tcBorders>
              <w:top w:val="nil"/>
              <w:left w:val="nil"/>
              <w:bottom w:val="nil"/>
              <w:right w:val="nil"/>
            </w:tcBorders>
            <w:vAlign w:val="bottom"/>
            <w:hideMark/>
          </w:tcPr>
          <w:p w14:paraId="3C6FD353" w14:textId="77777777" w:rsidR="00A74C68" w:rsidRPr="00471CBA" w:rsidRDefault="00A74C68" w:rsidP="00A74C68">
            <w:pPr>
              <w:jc w:val="right"/>
              <w:rPr>
                <w:color w:val="000000"/>
                <w:sz w:val="16"/>
                <w:szCs w:val="16"/>
              </w:rPr>
            </w:pPr>
            <w:r w:rsidRPr="00471CBA">
              <w:rPr>
                <w:color w:val="000000"/>
                <w:sz w:val="16"/>
                <w:szCs w:val="16"/>
              </w:rPr>
              <w:t>-</w:t>
            </w:r>
          </w:p>
        </w:tc>
      </w:tr>
      <w:tr w:rsidR="00A74C68" w:rsidRPr="00471CBA" w14:paraId="4FFC2BF4" w14:textId="77777777" w:rsidTr="00A74C68">
        <w:trPr>
          <w:divId w:val="1897205856"/>
          <w:trHeight w:val="170"/>
        </w:trPr>
        <w:tc>
          <w:tcPr>
            <w:tcW w:w="4678" w:type="dxa"/>
            <w:tcBorders>
              <w:top w:val="nil"/>
              <w:left w:val="nil"/>
              <w:bottom w:val="nil"/>
              <w:right w:val="nil"/>
            </w:tcBorders>
            <w:noWrap/>
            <w:vAlign w:val="bottom"/>
            <w:hideMark/>
          </w:tcPr>
          <w:p w14:paraId="236D3637" w14:textId="77777777" w:rsidR="00A74C68" w:rsidRPr="00471CBA" w:rsidRDefault="00A74C68" w:rsidP="00A74C68">
            <w:pPr>
              <w:rPr>
                <w:color w:val="000000"/>
                <w:sz w:val="16"/>
                <w:szCs w:val="16"/>
              </w:rPr>
            </w:pPr>
            <w:r w:rsidRPr="00471CBA">
              <w:rPr>
                <w:snapToGrid w:val="0"/>
                <w:color w:val="000000"/>
                <w:sz w:val="16"/>
                <w:szCs w:val="16"/>
              </w:rPr>
              <w:t>Maddi Duran Varlıklar</w:t>
            </w:r>
          </w:p>
        </w:tc>
        <w:tc>
          <w:tcPr>
            <w:tcW w:w="1275" w:type="dxa"/>
            <w:tcBorders>
              <w:top w:val="nil"/>
              <w:left w:val="nil"/>
              <w:bottom w:val="nil"/>
              <w:right w:val="nil"/>
            </w:tcBorders>
            <w:vAlign w:val="bottom"/>
            <w:hideMark/>
          </w:tcPr>
          <w:p w14:paraId="2FC5A3EA" w14:textId="77777777" w:rsidR="00A74C68" w:rsidRPr="00471CBA" w:rsidRDefault="00A74C68" w:rsidP="00A74C68">
            <w:pPr>
              <w:jc w:val="right"/>
              <w:rPr>
                <w:color w:val="000000"/>
                <w:sz w:val="16"/>
                <w:szCs w:val="16"/>
              </w:rPr>
            </w:pPr>
            <w:r w:rsidRPr="00471CBA">
              <w:rPr>
                <w:color w:val="000000"/>
                <w:sz w:val="16"/>
                <w:szCs w:val="16"/>
              </w:rPr>
              <w:t>-</w:t>
            </w:r>
          </w:p>
        </w:tc>
        <w:tc>
          <w:tcPr>
            <w:tcW w:w="1560" w:type="dxa"/>
            <w:tcBorders>
              <w:top w:val="nil"/>
              <w:left w:val="nil"/>
              <w:bottom w:val="nil"/>
              <w:right w:val="nil"/>
            </w:tcBorders>
            <w:vAlign w:val="bottom"/>
            <w:hideMark/>
          </w:tcPr>
          <w:p w14:paraId="4C2E09DF" w14:textId="77777777" w:rsidR="00A74C68" w:rsidRPr="00471CBA" w:rsidRDefault="00A74C68" w:rsidP="00A74C68">
            <w:pPr>
              <w:jc w:val="right"/>
              <w:rPr>
                <w:color w:val="000000"/>
                <w:sz w:val="16"/>
                <w:szCs w:val="16"/>
              </w:rPr>
            </w:pPr>
            <w:r w:rsidRPr="00471CBA">
              <w:rPr>
                <w:color w:val="000000"/>
                <w:sz w:val="16"/>
                <w:szCs w:val="16"/>
              </w:rPr>
              <w:t>-</w:t>
            </w:r>
          </w:p>
        </w:tc>
        <w:tc>
          <w:tcPr>
            <w:tcW w:w="1120" w:type="dxa"/>
            <w:tcBorders>
              <w:top w:val="nil"/>
              <w:left w:val="nil"/>
              <w:bottom w:val="nil"/>
              <w:right w:val="nil"/>
            </w:tcBorders>
            <w:vAlign w:val="bottom"/>
            <w:hideMark/>
          </w:tcPr>
          <w:p w14:paraId="1D3D7CE4" w14:textId="77777777" w:rsidR="00A74C68" w:rsidRPr="00471CBA" w:rsidRDefault="00A74C68" w:rsidP="00A74C68">
            <w:pPr>
              <w:jc w:val="right"/>
              <w:rPr>
                <w:color w:val="000000"/>
                <w:sz w:val="16"/>
                <w:szCs w:val="16"/>
              </w:rPr>
            </w:pPr>
            <w:r w:rsidRPr="00471CBA">
              <w:rPr>
                <w:color w:val="000000"/>
                <w:sz w:val="16"/>
                <w:szCs w:val="16"/>
              </w:rPr>
              <w:t>-</w:t>
            </w:r>
          </w:p>
        </w:tc>
        <w:tc>
          <w:tcPr>
            <w:tcW w:w="1120" w:type="dxa"/>
            <w:tcBorders>
              <w:top w:val="nil"/>
              <w:left w:val="nil"/>
              <w:bottom w:val="nil"/>
              <w:right w:val="nil"/>
            </w:tcBorders>
            <w:vAlign w:val="bottom"/>
            <w:hideMark/>
          </w:tcPr>
          <w:p w14:paraId="5AECF83D" w14:textId="77777777" w:rsidR="00A74C68" w:rsidRPr="00471CBA" w:rsidRDefault="00A74C68" w:rsidP="00A74C68">
            <w:pPr>
              <w:jc w:val="right"/>
              <w:rPr>
                <w:color w:val="000000"/>
                <w:sz w:val="16"/>
                <w:szCs w:val="16"/>
              </w:rPr>
            </w:pPr>
            <w:r w:rsidRPr="00471CBA">
              <w:rPr>
                <w:color w:val="000000"/>
                <w:sz w:val="16"/>
                <w:szCs w:val="16"/>
              </w:rPr>
              <w:t>-</w:t>
            </w:r>
          </w:p>
        </w:tc>
      </w:tr>
      <w:tr w:rsidR="00A74C68" w:rsidRPr="00471CBA" w14:paraId="1A111B81" w14:textId="77777777" w:rsidTr="00A74C68">
        <w:trPr>
          <w:divId w:val="1897205856"/>
          <w:trHeight w:val="170"/>
        </w:trPr>
        <w:tc>
          <w:tcPr>
            <w:tcW w:w="4678" w:type="dxa"/>
            <w:tcBorders>
              <w:top w:val="nil"/>
              <w:left w:val="nil"/>
              <w:bottom w:val="nil"/>
              <w:right w:val="nil"/>
            </w:tcBorders>
            <w:noWrap/>
            <w:vAlign w:val="bottom"/>
            <w:hideMark/>
          </w:tcPr>
          <w:p w14:paraId="182F09C8" w14:textId="77777777" w:rsidR="00A74C68" w:rsidRPr="00471CBA" w:rsidRDefault="00A74C68" w:rsidP="00A74C68">
            <w:pPr>
              <w:rPr>
                <w:color w:val="000000"/>
                <w:sz w:val="16"/>
                <w:szCs w:val="16"/>
              </w:rPr>
            </w:pPr>
            <w:r w:rsidRPr="00471CBA">
              <w:rPr>
                <w:snapToGrid w:val="0"/>
                <w:color w:val="000000"/>
                <w:sz w:val="16"/>
                <w:szCs w:val="16"/>
              </w:rPr>
              <w:t>Maddi Olmayan Duran Varlıklar</w:t>
            </w:r>
          </w:p>
        </w:tc>
        <w:tc>
          <w:tcPr>
            <w:tcW w:w="1275" w:type="dxa"/>
            <w:tcBorders>
              <w:top w:val="nil"/>
              <w:left w:val="nil"/>
              <w:bottom w:val="nil"/>
              <w:right w:val="nil"/>
            </w:tcBorders>
            <w:vAlign w:val="bottom"/>
            <w:hideMark/>
          </w:tcPr>
          <w:p w14:paraId="5F9704D6" w14:textId="77777777" w:rsidR="00A74C68" w:rsidRPr="00471CBA" w:rsidRDefault="00A74C68" w:rsidP="00A74C68">
            <w:pPr>
              <w:jc w:val="right"/>
              <w:rPr>
                <w:color w:val="000000"/>
                <w:sz w:val="16"/>
                <w:szCs w:val="16"/>
              </w:rPr>
            </w:pPr>
            <w:r w:rsidRPr="00471CBA">
              <w:rPr>
                <w:color w:val="000000"/>
                <w:sz w:val="16"/>
                <w:szCs w:val="16"/>
              </w:rPr>
              <w:t>-</w:t>
            </w:r>
          </w:p>
        </w:tc>
        <w:tc>
          <w:tcPr>
            <w:tcW w:w="1560" w:type="dxa"/>
            <w:tcBorders>
              <w:top w:val="nil"/>
              <w:left w:val="nil"/>
              <w:bottom w:val="nil"/>
              <w:right w:val="nil"/>
            </w:tcBorders>
            <w:vAlign w:val="bottom"/>
            <w:hideMark/>
          </w:tcPr>
          <w:p w14:paraId="3FA17503" w14:textId="77777777" w:rsidR="00A74C68" w:rsidRPr="00471CBA" w:rsidRDefault="00A74C68" w:rsidP="00A74C68">
            <w:pPr>
              <w:jc w:val="right"/>
              <w:rPr>
                <w:color w:val="000000"/>
                <w:sz w:val="16"/>
                <w:szCs w:val="16"/>
              </w:rPr>
            </w:pPr>
            <w:r w:rsidRPr="00471CBA">
              <w:rPr>
                <w:color w:val="000000"/>
                <w:sz w:val="16"/>
                <w:szCs w:val="16"/>
              </w:rPr>
              <w:t>-</w:t>
            </w:r>
          </w:p>
        </w:tc>
        <w:tc>
          <w:tcPr>
            <w:tcW w:w="1120" w:type="dxa"/>
            <w:tcBorders>
              <w:top w:val="nil"/>
              <w:left w:val="nil"/>
              <w:bottom w:val="nil"/>
              <w:right w:val="nil"/>
            </w:tcBorders>
            <w:vAlign w:val="bottom"/>
            <w:hideMark/>
          </w:tcPr>
          <w:p w14:paraId="3012C3D1" w14:textId="77777777" w:rsidR="00A74C68" w:rsidRPr="00471CBA" w:rsidRDefault="00A74C68" w:rsidP="00A74C68">
            <w:pPr>
              <w:jc w:val="right"/>
              <w:rPr>
                <w:color w:val="000000"/>
                <w:sz w:val="16"/>
                <w:szCs w:val="16"/>
              </w:rPr>
            </w:pPr>
            <w:r w:rsidRPr="00471CBA">
              <w:rPr>
                <w:color w:val="000000"/>
                <w:sz w:val="16"/>
                <w:szCs w:val="16"/>
              </w:rPr>
              <w:t>-</w:t>
            </w:r>
          </w:p>
        </w:tc>
        <w:tc>
          <w:tcPr>
            <w:tcW w:w="1120" w:type="dxa"/>
            <w:tcBorders>
              <w:top w:val="nil"/>
              <w:left w:val="nil"/>
              <w:bottom w:val="nil"/>
              <w:right w:val="nil"/>
            </w:tcBorders>
            <w:vAlign w:val="bottom"/>
            <w:hideMark/>
          </w:tcPr>
          <w:p w14:paraId="5AEEE697" w14:textId="77777777" w:rsidR="00A74C68" w:rsidRPr="00471CBA" w:rsidRDefault="00A74C68" w:rsidP="00A74C68">
            <w:pPr>
              <w:jc w:val="right"/>
              <w:rPr>
                <w:color w:val="000000"/>
                <w:sz w:val="16"/>
                <w:szCs w:val="16"/>
              </w:rPr>
            </w:pPr>
            <w:r w:rsidRPr="00471CBA">
              <w:rPr>
                <w:color w:val="000000"/>
                <w:sz w:val="16"/>
                <w:szCs w:val="16"/>
              </w:rPr>
              <w:t>-</w:t>
            </w:r>
          </w:p>
        </w:tc>
      </w:tr>
      <w:tr w:rsidR="00A74C68" w:rsidRPr="00471CBA" w14:paraId="06A6524B" w14:textId="77777777" w:rsidTr="00A74C68">
        <w:trPr>
          <w:divId w:val="1897205856"/>
          <w:trHeight w:val="170"/>
        </w:trPr>
        <w:tc>
          <w:tcPr>
            <w:tcW w:w="4678" w:type="dxa"/>
            <w:tcBorders>
              <w:top w:val="nil"/>
              <w:left w:val="nil"/>
              <w:bottom w:val="single" w:sz="4" w:space="0" w:color="auto"/>
              <w:right w:val="nil"/>
            </w:tcBorders>
            <w:noWrap/>
            <w:vAlign w:val="bottom"/>
            <w:hideMark/>
          </w:tcPr>
          <w:p w14:paraId="1D58E5E1" w14:textId="77777777" w:rsidR="00A74C68" w:rsidRPr="00471CBA" w:rsidRDefault="00A74C68" w:rsidP="00A74C68">
            <w:pPr>
              <w:rPr>
                <w:color w:val="000000"/>
                <w:sz w:val="16"/>
                <w:szCs w:val="16"/>
              </w:rPr>
            </w:pPr>
            <w:r w:rsidRPr="00471CBA">
              <w:rPr>
                <w:snapToGrid w:val="0"/>
                <w:color w:val="000000"/>
                <w:sz w:val="16"/>
                <w:szCs w:val="16"/>
              </w:rPr>
              <w:t>Diğer Varlıklar</w:t>
            </w:r>
          </w:p>
        </w:tc>
        <w:tc>
          <w:tcPr>
            <w:tcW w:w="1275" w:type="dxa"/>
            <w:tcBorders>
              <w:top w:val="nil"/>
              <w:left w:val="nil"/>
              <w:bottom w:val="single" w:sz="4" w:space="0" w:color="auto"/>
              <w:right w:val="nil"/>
            </w:tcBorders>
            <w:vAlign w:val="bottom"/>
            <w:hideMark/>
          </w:tcPr>
          <w:p w14:paraId="76779D2F" w14:textId="77777777" w:rsidR="00A74C68" w:rsidRPr="00471CBA" w:rsidRDefault="00A74C68" w:rsidP="00A74C68">
            <w:pPr>
              <w:jc w:val="right"/>
              <w:rPr>
                <w:color w:val="000000"/>
                <w:sz w:val="16"/>
                <w:szCs w:val="16"/>
              </w:rPr>
            </w:pPr>
            <w:r w:rsidRPr="00471CBA">
              <w:rPr>
                <w:color w:val="000000"/>
                <w:sz w:val="16"/>
                <w:szCs w:val="16"/>
              </w:rPr>
              <w:t>245</w:t>
            </w:r>
          </w:p>
        </w:tc>
        <w:tc>
          <w:tcPr>
            <w:tcW w:w="1560" w:type="dxa"/>
            <w:tcBorders>
              <w:top w:val="nil"/>
              <w:left w:val="nil"/>
              <w:bottom w:val="single" w:sz="4" w:space="0" w:color="auto"/>
              <w:right w:val="nil"/>
            </w:tcBorders>
            <w:vAlign w:val="bottom"/>
            <w:hideMark/>
          </w:tcPr>
          <w:p w14:paraId="65D619F8" w14:textId="77777777" w:rsidR="00A74C68" w:rsidRPr="00471CBA" w:rsidRDefault="00A74C68" w:rsidP="00A74C68">
            <w:pPr>
              <w:jc w:val="right"/>
              <w:rPr>
                <w:color w:val="000000"/>
                <w:sz w:val="16"/>
                <w:szCs w:val="16"/>
              </w:rPr>
            </w:pPr>
            <w:r w:rsidRPr="00471CBA">
              <w:rPr>
                <w:color w:val="000000"/>
                <w:sz w:val="16"/>
                <w:szCs w:val="16"/>
              </w:rPr>
              <w:t>2.995</w:t>
            </w:r>
          </w:p>
        </w:tc>
        <w:tc>
          <w:tcPr>
            <w:tcW w:w="1120" w:type="dxa"/>
            <w:tcBorders>
              <w:top w:val="nil"/>
              <w:left w:val="nil"/>
              <w:bottom w:val="single" w:sz="4" w:space="0" w:color="auto"/>
              <w:right w:val="nil"/>
            </w:tcBorders>
            <w:vAlign w:val="bottom"/>
            <w:hideMark/>
          </w:tcPr>
          <w:p w14:paraId="61AF2FB6" w14:textId="77777777" w:rsidR="00A74C68" w:rsidRPr="00471CBA" w:rsidRDefault="00A74C68" w:rsidP="00A74C68">
            <w:pPr>
              <w:jc w:val="right"/>
              <w:rPr>
                <w:color w:val="000000"/>
                <w:sz w:val="16"/>
                <w:szCs w:val="16"/>
              </w:rPr>
            </w:pPr>
            <w:r w:rsidRPr="00471CBA">
              <w:rPr>
                <w:color w:val="000000"/>
                <w:sz w:val="16"/>
                <w:szCs w:val="16"/>
              </w:rPr>
              <w:t>-</w:t>
            </w:r>
          </w:p>
        </w:tc>
        <w:tc>
          <w:tcPr>
            <w:tcW w:w="1120" w:type="dxa"/>
            <w:tcBorders>
              <w:top w:val="nil"/>
              <w:left w:val="nil"/>
              <w:bottom w:val="single" w:sz="4" w:space="0" w:color="auto"/>
              <w:right w:val="nil"/>
            </w:tcBorders>
            <w:vAlign w:val="bottom"/>
            <w:hideMark/>
          </w:tcPr>
          <w:p w14:paraId="18C6332F" w14:textId="77777777" w:rsidR="00A74C68" w:rsidRPr="00471CBA" w:rsidRDefault="00A74C68" w:rsidP="00A74C68">
            <w:pPr>
              <w:jc w:val="right"/>
              <w:rPr>
                <w:color w:val="000000"/>
                <w:sz w:val="16"/>
                <w:szCs w:val="16"/>
              </w:rPr>
            </w:pPr>
            <w:r w:rsidRPr="00471CBA">
              <w:rPr>
                <w:color w:val="000000"/>
                <w:sz w:val="16"/>
                <w:szCs w:val="16"/>
              </w:rPr>
              <w:t>3.240</w:t>
            </w:r>
          </w:p>
        </w:tc>
      </w:tr>
      <w:tr w:rsidR="00A74C68" w:rsidRPr="00471CBA" w14:paraId="249DDD25" w14:textId="77777777" w:rsidTr="00A74C68">
        <w:trPr>
          <w:divId w:val="1897205856"/>
          <w:trHeight w:val="170"/>
        </w:trPr>
        <w:tc>
          <w:tcPr>
            <w:tcW w:w="4678" w:type="dxa"/>
            <w:tcBorders>
              <w:top w:val="nil"/>
              <w:left w:val="nil"/>
              <w:bottom w:val="single" w:sz="4" w:space="0" w:color="auto"/>
              <w:right w:val="nil"/>
            </w:tcBorders>
            <w:noWrap/>
            <w:vAlign w:val="bottom"/>
            <w:hideMark/>
          </w:tcPr>
          <w:p w14:paraId="35AFADE9" w14:textId="77777777" w:rsidR="00A74C68" w:rsidRPr="00471CBA" w:rsidRDefault="00A74C68" w:rsidP="00A74C68">
            <w:pPr>
              <w:rPr>
                <w:b/>
                <w:bCs/>
                <w:color w:val="000000"/>
                <w:sz w:val="16"/>
                <w:szCs w:val="16"/>
              </w:rPr>
            </w:pPr>
            <w:r w:rsidRPr="00471CBA">
              <w:rPr>
                <w:b/>
                <w:bCs/>
                <w:snapToGrid w:val="0"/>
                <w:color w:val="000000"/>
                <w:sz w:val="16"/>
                <w:szCs w:val="16"/>
              </w:rPr>
              <w:t>Toplam Varlıklar</w:t>
            </w:r>
          </w:p>
        </w:tc>
        <w:tc>
          <w:tcPr>
            <w:tcW w:w="1275" w:type="dxa"/>
            <w:tcBorders>
              <w:top w:val="nil"/>
              <w:left w:val="nil"/>
              <w:bottom w:val="single" w:sz="4" w:space="0" w:color="auto"/>
              <w:right w:val="nil"/>
            </w:tcBorders>
            <w:vAlign w:val="bottom"/>
            <w:hideMark/>
          </w:tcPr>
          <w:p w14:paraId="2FAF92FF" w14:textId="77777777" w:rsidR="00A74C68" w:rsidRPr="00471CBA" w:rsidRDefault="00A74C68" w:rsidP="00A74C68">
            <w:pPr>
              <w:jc w:val="right"/>
              <w:rPr>
                <w:b/>
                <w:bCs/>
                <w:color w:val="000000"/>
                <w:sz w:val="16"/>
                <w:szCs w:val="16"/>
              </w:rPr>
            </w:pPr>
            <w:r w:rsidRPr="00471CBA">
              <w:rPr>
                <w:b/>
                <w:bCs/>
                <w:color w:val="000000"/>
                <w:sz w:val="16"/>
                <w:szCs w:val="16"/>
              </w:rPr>
              <w:t>18.667.105</w:t>
            </w:r>
          </w:p>
        </w:tc>
        <w:tc>
          <w:tcPr>
            <w:tcW w:w="1560" w:type="dxa"/>
            <w:tcBorders>
              <w:top w:val="nil"/>
              <w:left w:val="nil"/>
              <w:bottom w:val="single" w:sz="4" w:space="0" w:color="auto"/>
              <w:right w:val="nil"/>
            </w:tcBorders>
            <w:vAlign w:val="bottom"/>
            <w:hideMark/>
          </w:tcPr>
          <w:p w14:paraId="7DA701D2" w14:textId="77777777" w:rsidR="00A74C68" w:rsidRPr="00471CBA" w:rsidRDefault="00A74C68" w:rsidP="00A74C68">
            <w:pPr>
              <w:jc w:val="right"/>
              <w:rPr>
                <w:b/>
                <w:bCs/>
                <w:color w:val="000000"/>
                <w:sz w:val="16"/>
                <w:szCs w:val="16"/>
              </w:rPr>
            </w:pPr>
            <w:r w:rsidRPr="00471CBA">
              <w:rPr>
                <w:b/>
                <w:bCs/>
                <w:color w:val="000000"/>
                <w:sz w:val="16"/>
                <w:szCs w:val="16"/>
              </w:rPr>
              <w:t>15.085.582</w:t>
            </w:r>
          </w:p>
        </w:tc>
        <w:tc>
          <w:tcPr>
            <w:tcW w:w="1120" w:type="dxa"/>
            <w:tcBorders>
              <w:top w:val="nil"/>
              <w:left w:val="nil"/>
              <w:bottom w:val="single" w:sz="4" w:space="0" w:color="auto"/>
              <w:right w:val="nil"/>
            </w:tcBorders>
            <w:vAlign w:val="bottom"/>
            <w:hideMark/>
          </w:tcPr>
          <w:p w14:paraId="0AFDD68B" w14:textId="77777777" w:rsidR="00A74C68" w:rsidRPr="00471CBA" w:rsidRDefault="00A74C68" w:rsidP="00A74C68">
            <w:pPr>
              <w:jc w:val="right"/>
              <w:rPr>
                <w:b/>
                <w:bCs/>
                <w:color w:val="000000"/>
                <w:sz w:val="16"/>
                <w:szCs w:val="16"/>
              </w:rPr>
            </w:pPr>
            <w:r w:rsidRPr="00471CBA">
              <w:rPr>
                <w:b/>
                <w:bCs/>
                <w:color w:val="000000"/>
                <w:sz w:val="16"/>
                <w:szCs w:val="16"/>
              </w:rPr>
              <w:t>20.978.503</w:t>
            </w:r>
          </w:p>
        </w:tc>
        <w:tc>
          <w:tcPr>
            <w:tcW w:w="1120" w:type="dxa"/>
            <w:tcBorders>
              <w:top w:val="nil"/>
              <w:left w:val="nil"/>
              <w:bottom w:val="single" w:sz="4" w:space="0" w:color="auto"/>
              <w:right w:val="nil"/>
            </w:tcBorders>
            <w:vAlign w:val="bottom"/>
            <w:hideMark/>
          </w:tcPr>
          <w:p w14:paraId="471C52B6" w14:textId="77777777" w:rsidR="00A74C68" w:rsidRPr="00471CBA" w:rsidRDefault="00A74C68" w:rsidP="00A74C68">
            <w:pPr>
              <w:jc w:val="right"/>
              <w:rPr>
                <w:b/>
                <w:bCs/>
                <w:color w:val="000000"/>
                <w:sz w:val="16"/>
                <w:szCs w:val="16"/>
              </w:rPr>
            </w:pPr>
            <w:r w:rsidRPr="00471CBA">
              <w:rPr>
                <w:b/>
                <w:bCs/>
                <w:color w:val="000000"/>
                <w:sz w:val="16"/>
                <w:szCs w:val="16"/>
              </w:rPr>
              <w:t>54.731.190</w:t>
            </w:r>
          </w:p>
        </w:tc>
      </w:tr>
      <w:tr w:rsidR="00A74C68" w:rsidRPr="00471CBA" w14:paraId="1EC296C3" w14:textId="77777777" w:rsidTr="00A74C68">
        <w:trPr>
          <w:divId w:val="1897205856"/>
          <w:trHeight w:val="170"/>
        </w:trPr>
        <w:tc>
          <w:tcPr>
            <w:tcW w:w="4678" w:type="dxa"/>
            <w:tcBorders>
              <w:top w:val="nil"/>
              <w:left w:val="nil"/>
              <w:bottom w:val="nil"/>
              <w:right w:val="nil"/>
            </w:tcBorders>
            <w:noWrap/>
            <w:hideMark/>
          </w:tcPr>
          <w:p w14:paraId="5739A3CA" w14:textId="77777777" w:rsidR="00A74C68" w:rsidRPr="00471CBA" w:rsidRDefault="00A74C68" w:rsidP="00A74C68">
            <w:pPr>
              <w:rPr>
                <w:b/>
                <w:bCs/>
                <w:color w:val="000000"/>
                <w:sz w:val="16"/>
                <w:szCs w:val="16"/>
              </w:rPr>
            </w:pPr>
          </w:p>
        </w:tc>
        <w:tc>
          <w:tcPr>
            <w:tcW w:w="1275" w:type="dxa"/>
            <w:tcBorders>
              <w:top w:val="nil"/>
              <w:left w:val="nil"/>
              <w:bottom w:val="nil"/>
              <w:right w:val="nil"/>
            </w:tcBorders>
            <w:vAlign w:val="bottom"/>
            <w:hideMark/>
          </w:tcPr>
          <w:p w14:paraId="594D63EF" w14:textId="77777777" w:rsidR="00A74C68" w:rsidRPr="00471CBA" w:rsidRDefault="00A74C68" w:rsidP="00A74C68">
            <w:pPr>
              <w:jc w:val="right"/>
              <w:rPr>
                <w:sz w:val="16"/>
                <w:szCs w:val="16"/>
              </w:rPr>
            </w:pPr>
          </w:p>
        </w:tc>
        <w:tc>
          <w:tcPr>
            <w:tcW w:w="1560" w:type="dxa"/>
            <w:tcBorders>
              <w:top w:val="nil"/>
              <w:left w:val="nil"/>
              <w:bottom w:val="nil"/>
              <w:right w:val="nil"/>
            </w:tcBorders>
            <w:vAlign w:val="bottom"/>
            <w:hideMark/>
          </w:tcPr>
          <w:p w14:paraId="08FFA2B7" w14:textId="77777777" w:rsidR="00A74C68" w:rsidRPr="00471CBA" w:rsidRDefault="00A74C68" w:rsidP="00A74C68">
            <w:pPr>
              <w:jc w:val="right"/>
              <w:rPr>
                <w:sz w:val="16"/>
                <w:szCs w:val="16"/>
              </w:rPr>
            </w:pPr>
          </w:p>
        </w:tc>
        <w:tc>
          <w:tcPr>
            <w:tcW w:w="1120" w:type="dxa"/>
            <w:tcBorders>
              <w:top w:val="nil"/>
              <w:left w:val="nil"/>
              <w:bottom w:val="nil"/>
              <w:right w:val="nil"/>
            </w:tcBorders>
            <w:vAlign w:val="bottom"/>
            <w:hideMark/>
          </w:tcPr>
          <w:p w14:paraId="5212069E" w14:textId="77777777" w:rsidR="00A74C68" w:rsidRPr="00471CBA" w:rsidRDefault="00A74C68" w:rsidP="00A74C68">
            <w:pPr>
              <w:jc w:val="right"/>
              <w:rPr>
                <w:sz w:val="16"/>
                <w:szCs w:val="16"/>
              </w:rPr>
            </w:pPr>
          </w:p>
        </w:tc>
        <w:tc>
          <w:tcPr>
            <w:tcW w:w="1120" w:type="dxa"/>
            <w:tcBorders>
              <w:top w:val="nil"/>
              <w:left w:val="nil"/>
              <w:bottom w:val="nil"/>
              <w:right w:val="nil"/>
            </w:tcBorders>
            <w:vAlign w:val="bottom"/>
            <w:hideMark/>
          </w:tcPr>
          <w:p w14:paraId="1894C7D3" w14:textId="77777777" w:rsidR="00A74C68" w:rsidRPr="00471CBA" w:rsidRDefault="00A74C68" w:rsidP="00A74C68">
            <w:pPr>
              <w:jc w:val="right"/>
              <w:rPr>
                <w:sz w:val="16"/>
                <w:szCs w:val="16"/>
              </w:rPr>
            </w:pPr>
          </w:p>
        </w:tc>
      </w:tr>
      <w:tr w:rsidR="00A74C68" w:rsidRPr="00471CBA" w14:paraId="4B09AD1A" w14:textId="77777777" w:rsidTr="00A74C68">
        <w:trPr>
          <w:divId w:val="1897205856"/>
          <w:trHeight w:val="170"/>
        </w:trPr>
        <w:tc>
          <w:tcPr>
            <w:tcW w:w="4678" w:type="dxa"/>
            <w:tcBorders>
              <w:top w:val="nil"/>
              <w:left w:val="nil"/>
              <w:bottom w:val="nil"/>
              <w:right w:val="nil"/>
            </w:tcBorders>
            <w:noWrap/>
            <w:vAlign w:val="bottom"/>
            <w:hideMark/>
          </w:tcPr>
          <w:p w14:paraId="2A1E77A8" w14:textId="77777777" w:rsidR="00A74C68" w:rsidRPr="00471CBA" w:rsidRDefault="00A74C68" w:rsidP="00A74C68">
            <w:pPr>
              <w:rPr>
                <w:b/>
                <w:bCs/>
                <w:color w:val="000000"/>
                <w:sz w:val="16"/>
                <w:szCs w:val="16"/>
              </w:rPr>
            </w:pPr>
            <w:r w:rsidRPr="00471CBA">
              <w:rPr>
                <w:b/>
                <w:bCs/>
                <w:snapToGrid w:val="0"/>
                <w:color w:val="000000"/>
                <w:sz w:val="16"/>
                <w:szCs w:val="16"/>
              </w:rPr>
              <w:t>Yükümlülükler</w:t>
            </w:r>
          </w:p>
        </w:tc>
        <w:tc>
          <w:tcPr>
            <w:tcW w:w="1275" w:type="dxa"/>
            <w:tcBorders>
              <w:top w:val="nil"/>
              <w:left w:val="nil"/>
              <w:bottom w:val="nil"/>
              <w:right w:val="nil"/>
            </w:tcBorders>
            <w:noWrap/>
            <w:vAlign w:val="bottom"/>
            <w:hideMark/>
          </w:tcPr>
          <w:p w14:paraId="6DE12013" w14:textId="77777777" w:rsidR="00A74C68" w:rsidRPr="00471CBA" w:rsidRDefault="00A74C68" w:rsidP="00A74C68">
            <w:pPr>
              <w:jc w:val="right"/>
              <w:rPr>
                <w:b/>
                <w:bCs/>
                <w:color w:val="000000"/>
                <w:sz w:val="16"/>
                <w:szCs w:val="16"/>
              </w:rPr>
            </w:pPr>
          </w:p>
        </w:tc>
        <w:tc>
          <w:tcPr>
            <w:tcW w:w="1560" w:type="dxa"/>
            <w:tcBorders>
              <w:top w:val="nil"/>
              <w:left w:val="nil"/>
              <w:bottom w:val="nil"/>
              <w:right w:val="nil"/>
            </w:tcBorders>
            <w:noWrap/>
            <w:vAlign w:val="bottom"/>
            <w:hideMark/>
          </w:tcPr>
          <w:p w14:paraId="70987402" w14:textId="77777777" w:rsidR="00A74C68" w:rsidRPr="00471CBA" w:rsidRDefault="00A74C68" w:rsidP="00A74C68">
            <w:pPr>
              <w:jc w:val="right"/>
              <w:rPr>
                <w:sz w:val="16"/>
                <w:szCs w:val="16"/>
              </w:rPr>
            </w:pPr>
          </w:p>
        </w:tc>
        <w:tc>
          <w:tcPr>
            <w:tcW w:w="1120" w:type="dxa"/>
            <w:tcBorders>
              <w:top w:val="nil"/>
              <w:left w:val="nil"/>
              <w:bottom w:val="nil"/>
              <w:right w:val="nil"/>
            </w:tcBorders>
            <w:noWrap/>
            <w:vAlign w:val="bottom"/>
            <w:hideMark/>
          </w:tcPr>
          <w:p w14:paraId="23A75B5A" w14:textId="77777777" w:rsidR="00A74C68" w:rsidRPr="00471CBA" w:rsidRDefault="00A74C68" w:rsidP="00A74C68">
            <w:pPr>
              <w:jc w:val="right"/>
              <w:rPr>
                <w:sz w:val="16"/>
                <w:szCs w:val="16"/>
              </w:rPr>
            </w:pPr>
          </w:p>
        </w:tc>
        <w:tc>
          <w:tcPr>
            <w:tcW w:w="1120" w:type="dxa"/>
            <w:tcBorders>
              <w:top w:val="nil"/>
              <w:left w:val="nil"/>
              <w:bottom w:val="nil"/>
              <w:right w:val="nil"/>
            </w:tcBorders>
            <w:noWrap/>
            <w:vAlign w:val="bottom"/>
            <w:hideMark/>
          </w:tcPr>
          <w:p w14:paraId="66685174" w14:textId="77777777" w:rsidR="00A74C68" w:rsidRPr="00471CBA" w:rsidRDefault="00A74C68" w:rsidP="00A74C68">
            <w:pPr>
              <w:jc w:val="right"/>
              <w:rPr>
                <w:sz w:val="16"/>
                <w:szCs w:val="16"/>
              </w:rPr>
            </w:pPr>
          </w:p>
        </w:tc>
      </w:tr>
      <w:tr w:rsidR="00A74C68" w:rsidRPr="00471CBA" w14:paraId="18ECC141" w14:textId="77777777" w:rsidTr="00A74C68">
        <w:trPr>
          <w:divId w:val="1897205856"/>
          <w:trHeight w:val="170"/>
        </w:trPr>
        <w:tc>
          <w:tcPr>
            <w:tcW w:w="4678" w:type="dxa"/>
            <w:tcBorders>
              <w:top w:val="nil"/>
              <w:left w:val="nil"/>
              <w:bottom w:val="nil"/>
              <w:right w:val="nil"/>
            </w:tcBorders>
            <w:noWrap/>
            <w:vAlign w:val="bottom"/>
            <w:hideMark/>
          </w:tcPr>
          <w:p w14:paraId="4D428FBE" w14:textId="77777777" w:rsidR="00A74C68" w:rsidRPr="00471CBA" w:rsidRDefault="00A74C68" w:rsidP="00A74C68">
            <w:pPr>
              <w:rPr>
                <w:color w:val="000000"/>
                <w:sz w:val="16"/>
                <w:szCs w:val="16"/>
              </w:rPr>
            </w:pPr>
            <w:r w:rsidRPr="00471CBA">
              <w:rPr>
                <w:color w:val="000000"/>
                <w:sz w:val="16"/>
                <w:szCs w:val="16"/>
              </w:rPr>
              <w:t>Özel Cari Hesap ve Katılma Hesapları Aracılığı ile Bankalardan Toplanan Fonlar</w:t>
            </w:r>
          </w:p>
        </w:tc>
        <w:tc>
          <w:tcPr>
            <w:tcW w:w="1275" w:type="dxa"/>
            <w:tcBorders>
              <w:top w:val="nil"/>
              <w:left w:val="nil"/>
              <w:bottom w:val="nil"/>
              <w:right w:val="nil"/>
            </w:tcBorders>
            <w:vAlign w:val="bottom"/>
            <w:hideMark/>
          </w:tcPr>
          <w:p w14:paraId="0D9148F0" w14:textId="77777777" w:rsidR="00A74C68" w:rsidRPr="00471CBA" w:rsidRDefault="00A74C68" w:rsidP="00A74C68">
            <w:pPr>
              <w:jc w:val="right"/>
              <w:rPr>
                <w:color w:val="000000"/>
                <w:sz w:val="16"/>
                <w:szCs w:val="16"/>
              </w:rPr>
            </w:pPr>
            <w:r w:rsidRPr="00471CBA">
              <w:rPr>
                <w:color w:val="000000"/>
                <w:sz w:val="16"/>
                <w:szCs w:val="16"/>
              </w:rPr>
              <w:t>-</w:t>
            </w:r>
          </w:p>
        </w:tc>
        <w:tc>
          <w:tcPr>
            <w:tcW w:w="1560" w:type="dxa"/>
            <w:tcBorders>
              <w:top w:val="nil"/>
              <w:left w:val="nil"/>
              <w:bottom w:val="nil"/>
              <w:right w:val="nil"/>
            </w:tcBorders>
            <w:vAlign w:val="bottom"/>
            <w:hideMark/>
          </w:tcPr>
          <w:p w14:paraId="19A7DBA8" w14:textId="77777777" w:rsidR="00A74C68" w:rsidRPr="00471CBA" w:rsidRDefault="00A74C68" w:rsidP="00A74C68">
            <w:pPr>
              <w:jc w:val="right"/>
              <w:rPr>
                <w:color w:val="000000"/>
                <w:sz w:val="16"/>
                <w:szCs w:val="16"/>
              </w:rPr>
            </w:pPr>
            <w:r w:rsidRPr="00471CBA">
              <w:rPr>
                <w:color w:val="000000"/>
                <w:sz w:val="16"/>
                <w:szCs w:val="16"/>
              </w:rPr>
              <w:t>-</w:t>
            </w:r>
          </w:p>
        </w:tc>
        <w:tc>
          <w:tcPr>
            <w:tcW w:w="1120" w:type="dxa"/>
            <w:tcBorders>
              <w:top w:val="nil"/>
              <w:left w:val="nil"/>
              <w:bottom w:val="nil"/>
              <w:right w:val="nil"/>
            </w:tcBorders>
            <w:vAlign w:val="bottom"/>
            <w:hideMark/>
          </w:tcPr>
          <w:p w14:paraId="57A285E9" w14:textId="77777777" w:rsidR="00A74C68" w:rsidRPr="00471CBA" w:rsidRDefault="00A74C68" w:rsidP="00A74C68">
            <w:pPr>
              <w:jc w:val="right"/>
              <w:rPr>
                <w:color w:val="000000"/>
                <w:sz w:val="16"/>
                <w:szCs w:val="16"/>
              </w:rPr>
            </w:pPr>
            <w:r w:rsidRPr="00471CBA">
              <w:rPr>
                <w:color w:val="000000"/>
                <w:sz w:val="16"/>
                <w:szCs w:val="16"/>
              </w:rPr>
              <w:t>4.353</w:t>
            </w:r>
          </w:p>
        </w:tc>
        <w:tc>
          <w:tcPr>
            <w:tcW w:w="1120" w:type="dxa"/>
            <w:tcBorders>
              <w:top w:val="nil"/>
              <w:left w:val="nil"/>
              <w:bottom w:val="nil"/>
              <w:right w:val="nil"/>
            </w:tcBorders>
            <w:vAlign w:val="bottom"/>
            <w:hideMark/>
          </w:tcPr>
          <w:p w14:paraId="10F8193C" w14:textId="77777777" w:rsidR="00A74C68" w:rsidRPr="00471CBA" w:rsidRDefault="00A74C68" w:rsidP="00A74C68">
            <w:pPr>
              <w:jc w:val="right"/>
              <w:rPr>
                <w:color w:val="000000"/>
                <w:sz w:val="16"/>
                <w:szCs w:val="16"/>
              </w:rPr>
            </w:pPr>
            <w:r w:rsidRPr="00471CBA">
              <w:rPr>
                <w:color w:val="000000"/>
                <w:sz w:val="16"/>
                <w:szCs w:val="16"/>
              </w:rPr>
              <w:t>4.353</w:t>
            </w:r>
          </w:p>
        </w:tc>
      </w:tr>
      <w:tr w:rsidR="00A74C68" w:rsidRPr="00471CBA" w14:paraId="0FFAFAD0" w14:textId="77777777" w:rsidTr="00A74C68">
        <w:trPr>
          <w:divId w:val="1897205856"/>
          <w:trHeight w:val="170"/>
        </w:trPr>
        <w:tc>
          <w:tcPr>
            <w:tcW w:w="4678" w:type="dxa"/>
            <w:tcBorders>
              <w:top w:val="nil"/>
              <w:left w:val="nil"/>
              <w:bottom w:val="nil"/>
              <w:right w:val="nil"/>
            </w:tcBorders>
            <w:noWrap/>
            <w:vAlign w:val="bottom"/>
            <w:hideMark/>
          </w:tcPr>
          <w:p w14:paraId="4DBEA5C4" w14:textId="77777777" w:rsidR="00A74C68" w:rsidRPr="00471CBA" w:rsidRDefault="00A74C68" w:rsidP="00A74C68">
            <w:pPr>
              <w:rPr>
                <w:color w:val="000000"/>
                <w:sz w:val="16"/>
                <w:szCs w:val="16"/>
                <w:lang w:eastAsia="tr-TR"/>
              </w:rPr>
            </w:pPr>
            <w:r w:rsidRPr="00471CBA">
              <w:rPr>
                <w:color w:val="000000"/>
                <w:sz w:val="16"/>
                <w:szCs w:val="16"/>
              </w:rPr>
              <w:t xml:space="preserve">Diğer Özel Cari Hesap ve Katılma Hesapları </w:t>
            </w:r>
            <w:r w:rsidRPr="00471CBA">
              <w:rPr>
                <w:color w:val="000000"/>
                <w:sz w:val="16"/>
                <w:szCs w:val="16"/>
                <w:vertAlign w:val="superscript"/>
                <w:lang w:eastAsia="tr-TR"/>
              </w:rPr>
              <w:t>(**)</w:t>
            </w:r>
          </w:p>
        </w:tc>
        <w:tc>
          <w:tcPr>
            <w:tcW w:w="1275" w:type="dxa"/>
            <w:tcBorders>
              <w:top w:val="nil"/>
              <w:left w:val="nil"/>
              <w:bottom w:val="nil"/>
              <w:right w:val="nil"/>
            </w:tcBorders>
            <w:vAlign w:val="bottom"/>
            <w:hideMark/>
          </w:tcPr>
          <w:p w14:paraId="25EA312A" w14:textId="77777777" w:rsidR="00A74C68" w:rsidRPr="00471CBA" w:rsidRDefault="00A74C68" w:rsidP="00A74C68">
            <w:pPr>
              <w:jc w:val="right"/>
              <w:rPr>
                <w:color w:val="000000"/>
                <w:sz w:val="16"/>
                <w:szCs w:val="16"/>
              </w:rPr>
            </w:pPr>
            <w:r w:rsidRPr="00471CBA">
              <w:rPr>
                <w:color w:val="000000"/>
                <w:sz w:val="16"/>
                <w:szCs w:val="16"/>
              </w:rPr>
              <w:t>10.366.816</w:t>
            </w:r>
          </w:p>
        </w:tc>
        <w:tc>
          <w:tcPr>
            <w:tcW w:w="1560" w:type="dxa"/>
            <w:tcBorders>
              <w:top w:val="nil"/>
              <w:left w:val="nil"/>
              <w:bottom w:val="nil"/>
              <w:right w:val="nil"/>
            </w:tcBorders>
            <w:vAlign w:val="bottom"/>
            <w:hideMark/>
          </w:tcPr>
          <w:p w14:paraId="246CCD62" w14:textId="77777777" w:rsidR="00A74C68" w:rsidRPr="00471CBA" w:rsidRDefault="00A74C68" w:rsidP="00A74C68">
            <w:pPr>
              <w:jc w:val="right"/>
              <w:rPr>
                <w:color w:val="000000"/>
                <w:sz w:val="16"/>
                <w:szCs w:val="16"/>
              </w:rPr>
            </w:pPr>
            <w:r w:rsidRPr="00471CBA">
              <w:rPr>
                <w:color w:val="000000"/>
                <w:sz w:val="16"/>
                <w:szCs w:val="16"/>
              </w:rPr>
              <w:t>8.042.154</w:t>
            </w:r>
          </w:p>
        </w:tc>
        <w:tc>
          <w:tcPr>
            <w:tcW w:w="1120" w:type="dxa"/>
            <w:tcBorders>
              <w:top w:val="nil"/>
              <w:left w:val="nil"/>
              <w:bottom w:val="nil"/>
              <w:right w:val="nil"/>
            </w:tcBorders>
            <w:vAlign w:val="bottom"/>
            <w:hideMark/>
          </w:tcPr>
          <w:p w14:paraId="7D0FFA1F" w14:textId="77777777" w:rsidR="00A74C68" w:rsidRPr="00471CBA" w:rsidRDefault="00A74C68" w:rsidP="00A74C68">
            <w:pPr>
              <w:jc w:val="right"/>
              <w:rPr>
                <w:color w:val="000000"/>
                <w:sz w:val="16"/>
                <w:szCs w:val="16"/>
              </w:rPr>
            </w:pPr>
            <w:r w:rsidRPr="00471CBA">
              <w:rPr>
                <w:color w:val="000000"/>
                <w:sz w:val="16"/>
                <w:szCs w:val="16"/>
              </w:rPr>
              <w:t>36.158.371</w:t>
            </w:r>
          </w:p>
        </w:tc>
        <w:tc>
          <w:tcPr>
            <w:tcW w:w="1120" w:type="dxa"/>
            <w:tcBorders>
              <w:top w:val="nil"/>
              <w:left w:val="nil"/>
              <w:bottom w:val="nil"/>
              <w:right w:val="nil"/>
            </w:tcBorders>
            <w:vAlign w:val="bottom"/>
            <w:hideMark/>
          </w:tcPr>
          <w:p w14:paraId="68FB6913" w14:textId="77777777" w:rsidR="00A74C68" w:rsidRPr="00471CBA" w:rsidRDefault="00A74C68" w:rsidP="00A74C68">
            <w:pPr>
              <w:jc w:val="right"/>
              <w:rPr>
                <w:color w:val="000000"/>
                <w:sz w:val="16"/>
                <w:szCs w:val="16"/>
              </w:rPr>
            </w:pPr>
            <w:r w:rsidRPr="00471CBA">
              <w:rPr>
                <w:color w:val="000000"/>
                <w:sz w:val="16"/>
                <w:szCs w:val="16"/>
              </w:rPr>
              <w:t>54.567.341</w:t>
            </w:r>
          </w:p>
        </w:tc>
      </w:tr>
      <w:tr w:rsidR="00A74C68" w:rsidRPr="00471CBA" w14:paraId="0A41C217" w14:textId="77777777" w:rsidTr="00A74C68">
        <w:trPr>
          <w:divId w:val="1897205856"/>
          <w:trHeight w:val="170"/>
        </w:trPr>
        <w:tc>
          <w:tcPr>
            <w:tcW w:w="4678" w:type="dxa"/>
            <w:tcBorders>
              <w:top w:val="nil"/>
              <w:left w:val="nil"/>
              <w:bottom w:val="nil"/>
              <w:right w:val="nil"/>
            </w:tcBorders>
            <w:noWrap/>
            <w:vAlign w:val="bottom"/>
            <w:hideMark/>
          </w:tcPr>
          <w:p w14:paraId="2A74A92C" w14:textId="77777777" w:rsidR="00A74C68" w:rsidRPr="00471CBA" w:rsidRDefault="00A74C68" w:rsidP="00A74C68">
            <w:pPr>
              <w:rPr>
                <w:color w:val="000000"/>
                <w:sz w:val="16"/>
                <w:szCs w:val="16"/>
              </w:rPr>
            </w:pPr>
            <w:r w:rsidRPr="00471CBA">
              <w:rPr>
                <w:snapToGrid w:val="0"/>
                <w:color w:val="000000"/>
                <w:sz w:val="16"/>
                <w:szCs w:val="16"/>
              </w:rPr>
              <w:t>Para Piyasalarına Borçlar</w:t>
            </w:r>
          </w:p>
        </w:tc>
        <w:tc>
          <w:tcPr>
            <w:tcW w:w="1275" w:type="dxa"/>
            <w:tcBorders>
              <w:top w:val="nil"/>
              <w:left w:val="nil"/>
              <w:bottom w:val="nil"/>
              <w:right w:val="nil"/>
            </w:tcBorders>
            <w:vAlign w:val="bottom"/>
            <w:hideMark/>
          </w:tcPr>
          <w:p w14:paraId="588ACBE2" w14:textId="77777777" w:rsidR="00A74C68" w:rsidRPr="00471CBA" w:rsidRDefault="00A74C68" w:rsidP="00A74C68">
            <w:pPr>
              <w:jc w:val="right"/>
              <w:rPr>
                <w:color w:val="000000"/>
                <w:sz w:val="16"/>
                <w:szCs w:val="16"/>
              </w:rPr>
            </w:pPr>
            <w:r w:rsidRPr="00471CBA">
              <w:rPr>
                <w:color w:val="000000"/>
                <w:sz w:val="16"/>
                <w:szCs w:val="16"/>
              </w:rPr>
              <w:t>-</w:t>
            </w:r>
          </w:p>
        </w:tc>
        <w:tc>
          <w:tcPr>
            <w:tcW w:w="1560" w:type="dxa"/>
            <w:tcBorders>
              <w:top w:val="nil"/>
              <w:left w:val="nil"/>
              <w:bottom w:val="nil"/>
              <w:right w:val="nil"/>
            </w:tcBorders>
            <w:vAlign w:val="bottom"/>
            <w:hideMark/>
          </w:tcPr>
          <w:p w14:paraId="5FBC8134" w14:textId="77777777" w:rsidR="00A74C68" w:rsidRPr="00471CBA" w:rsidRDefault="00A74C68" w:rsidP="00A74C68">
            <w:pPr>
              <w:jc w:val="right"/>
              <w:rPr>
                <w:color w:val="000000"/>
                <w:sz w:val="16"/>
                <w:szCs w:val="16"/>
              </w:rPr>
            </w:pPr>
            <w:r w:rsidRPr="00471CBA">
              <w:rPr>
                <w:color w:val="000000"/>
                <w:sz w:val="16"/>
                <w:szCs w:val="16"/>
              </w:rPr>
              <w:t>-</w:t>
            </w:r>
          </w:p>
        </w:tc>
        <w:tc>
          <w:tcPr>
            <w:tcW w:w="1120" w:type="dxa"/>
            <w:tcBorders>
              <w:top w:val="nil"/>
              <w:left w:val="nil"/>
              <w:bottom w:val="nil"/>
              <w:right w:val="nil"/>
            </w:tcBorders>
            <w:vAlign w:val="bottom"/>
            <w:hideMark/>
          </w:tcPr>
          <w:p w14:paraId="5DB59B81" w14:textId="77777777" w:rsidR="00A74C68" w:rsidRPr="00471CBA" w:rsidRDefault="00A74C68" w:rsidP="00A74C68">
            <w:pPr>
              <w:jc w:val="right"/>
              <w:rPr>
                <w:color w:val="000000"/>
                <w:sz w:val="16"/>
                <w:szCs w:val="16"/>
              </w:rPr>
            </w:pPr>
            <w:r w:rsidRPr="00471CBA">
              <w:rPr>
                <w:color w:val="000000"/>
                <w:sz w:val="16"/>
                <w:szCs w:val="16"/>
              </w:rPr>
              <w:t>-</w:t>
            </w:r>
          </w:p>
        </w:tc>
        <w:tc>
          <w:tcPr>
            <w:tcW w:w="1120" w:type="dxa"/>
            <w:tcBorders>
              <w:top w:val="nil"/>
              <w:left w:val="nil"/>
              <w:bottom w:val="nil"/>
              <w:right w:val="nil"/>
            </w:tcBorders>
            <w:vAlign w:val="bottom"/>
            <w:hideMark/>
          </w:tcPr>
          <w:p w14:paraId="1B1B881F" w14:textId="77777777" w:rsidR="00A74C68" w:rsidRPr="00471CBA" w:rsidRDefault="00A74C68" w:rsidP="00A74C68">
            <w:pPr>
              <w:jc w:val="right"/>
              <w:rPr>
                <w:color w:val="000000"/>
                <w:sz w:val="16"/>
                <w:szCs w:val="16"/>
              </w:rPr>
            </w:pPr>
            <w:r w:rsidRPr="00471CBA">
              <w:rPr>
                <w:color w:val="000000"/>
                <w:sz w:val="16"/>
                <w:szCs w:val="16"/>
              </w:rPr>
              <w:t>-</w:t>
            </w:r>
          </w:p>
        </w:tc>
      </w:tr>
      <w:tr w:rsidR="00A74C68" w:rsidRPr="00471CBA" w14:paraId="7E7EED7B" w14:textId="77777777" w:rsidTr="00A74C68">
        <w:trPr>
          <w:divId w:val="1897205856"/>
          <w:trHeight w:val="170"/>
        </w:trPr>
        <w:tc>
          <w:tcPr>
            <w:tcW w:w="4678" w:type="dxa"/>
            <w:tcBorders>
              <w:top w:val="nil"/>
              <w:left w:val="nil"/>
              <w:bottom w:val="nil"/>
              <w:right w:val="nil"/>
            </w:tcBorders>
            <w:noWrap/>
            <w:vAlign w:val="bottom"/>
            <w:hideMark/>
          </w:tcPr>
          <w:p w14:paraId="17BFA202" w14:textId="77777777" w:rsidR="00A74C68" w:rsidRPr="00471CBA" w:rsidRDefault="00A74C68" w:rsidP="00A74C68">
            <w:pPr>
              <w:rPr>
                <w:color w:val="000000"/>
                <w:sz w:val="16"/>
                <w:szCs w:val="16"/>
              </w:rPr>
            </w:pPr>
            <w:r w:rsidRPr="00471CBA">
              <w:rPr>
                <w:snapToGrid w:val="0"/>
                <w:color w:val="000000"/>
                <w:sz w:val="16"/>
                <w:szCs w:val="16"/>
              </w:rPr>
              <w:t>Diğer Mali Kuruluşlardan Sağlanan Fonlar ve Sermaye Benzeri Krediler</w:t>
            </w:r>
          </w:p>
        </w:tc>
        <w:tc>
          <w:tcPr>
            <w:tcW w:w="1275" w:type="dxa"/>
            <w:tcBorders>
              <w:top w:val="nil"/>
              <w:left w:val="nil"/>
              <w:bottom w:val="nil"/>
              <w:right w:val="nil"/>
            </w:tcBorders>
            <w:vAlign w:val="bottom"/>
            <w:hideMark/>
          </w:tcPr>
          <w:p w14:paraId="2DB6DC4D" w14:textId="77777777" w:rsidR="00A74C68" w:rsidRPr="00471CBA" w:rsidRDefault="00A74C68" w:rsidP="00A74C68">
            <w:pPr>
              <w:jc w:val="right"/>
              <w:rPr>
                <w:color w:val="000000"/>
                <w:sz w:val="16"/>
                <w:szCs w:val="16"/>
              </w:rPr>
            </w:pPr>
            <w:r w:rsidRPr="00471CBA">
              <w:rPr>
                <w:color w:val="000000"/>
                <w:sz w:val="16"/>
                <w:szCs w:val="16"/>
              </w:rPr>
              <w:t>-</w:t>
            </w:r>
          </w:p>
        </w:tc>
        <w:tc>
          <w:tcPr>
            <w:tcW w:w="1560" w:type="dxa"/>
            <w:tcBorders>
              <w:top w:val="nil"/>
              <w:left w:val="nil"/>
              <w:bottom w:val="nil"/>
              <w:right w:val="nil"/>
            </w:tcBorders>
            <w:vAlign w:val="bottom"/>
            <w:hideMark/>
          </w:tcPr>
          <w:p w14:paraId="5B2E4AF1" w14:textId="77777777" w:rsidR="00A74C68" w:rsidRPr="00471CBA" w:rsidRDefault="00A74C68" w:rsidP="00A74C68">
            <w:pPr>
              <w:jc w:val="right"/>
              <w:rPr>
                <w:color w:val="000000"/>
                <w:sz w:val="16"/>
                <w:szCs w:val="16"/>
              </w:rPr>
            </w:pPr>
            <w:r w:rsidRPr="00471CBA">
              <w:rPr>
                <w:color w:val="000000"/>
                <w:sz w:val="16"/>
                <w:szCs w:val="16"/>
              </w:rPr>
              <w:t>587.753</w:t>
            </w:r>
          </w:p>
        </w:tc>
        <w:tc>
          <w:tcPr>
            <w:tcW w:w="1120" w:type="dxa"/>
            <w:tcBorders>
              <w:top w:val="nil"/>
              <w:left w:val="nil"/>
              <w:bottom w:val="nil"/>
              <w:right w:val="nil"/>
            </w:tcBorders>
            <w:vAlign w:val="bottom"/>
            <w:hideMark/>
          </w:tcPr>
          <w:p w14:paraId="19FDD8A5" w14:textId="77777777" w:rsidR="00A74C68" w:rsidRPr="00471CBA" w:rsidRDefault="00A74C68" w:rsidP="00A74C68">
            <w:pPr>
              <w:jc w:val="right"/>
              <w:rPr>
                <w:color w:val="000000"/>
                <w:sz w:val="16"/>
                <w:szCs w:val="16"/>
              </w:rPr>
            </w:pPr>
            <w:r w:rsidRPr="00471CBA">
              <w:rPr>
                <w:color w:val="000000"/>
                <w:sz w:val="16"/>
                <w:szCs w:val="16"/>
              </w:rPr>
              <w:t>-</w:t>
            </w:r>
          </w:p>
        </w:tc>
        <w:tc>
          <w:tcPr>
            <w:tcW w:w="1120" w:type="dxa"/>
            <w:tcBorders>
              <w:top w:val="nil"/>
              <w:left w:val="nil"/>
              <w:bottom w:val="nil"/>
              <w:right w:val="nil"/>
            </w:tcBorders>
            <w:vAlign w:val="bottom"/>
            <w:hideMark/>
          </w:tcPr>
          <w:p w14:paraId="3A6CE44B" w14:textId="77777777" w:rsidR="00A74C68" w:rsidRPr="00471CBA" w:rsidRDefault="00A74C68" w:rsidP="00A74C68">
            <w:pPr>
              <w:jc w:val="right"/>
              <w:rPr>
                <w:color w:val="000000"/>
                <w:sz w:val="16"/>
                <w:szCs w:val="16"/>
              </w:rPr>
            </w:pPr>
            <w:r w:rsidRPr="00471CBA">
              <w:rPr>
                <w:color w:val="000000"/>
                <w:sz w:val="16"/>
                <w:szCs w:val="16"/>
              </w:rPr>
              <w:t>587.753</w:t>
            </w:r>
          </w:p>
        </w:tc>
      </w:tr>
      <w:tr w:rsidR="00A74C68" w:rsidRPr="00471CBA" w14:paraId="1C0E64DC" w14:textId="77777777" w:rsidTr="00A74C68">
        <w:trPr>
          <w:divId w:val="1897205856"/>
          <w:trHeight w:val="170"/>
        </w:trPr>
        <w:tc>
          <w:tcPr>
            <w:tcW w:w="4678" w:type="dxa"/>
            <w:tcBorders>
              <w:top w:val="nil"/>
              <w:left w:val="nil"/>
              <w:bottom w:val="nil"/>
              <w:right w:val="nil"/>
            </w:tcBorders>
            <w:noWrap/>
            <w:vAlign w:val="bottom"/>
            <w:hideMark/>
          </w:tcPr>
          <w:p w14:paraId="66697886" w14:textId="77777777" w:rsidR="00A74C68" w:rsidRPr="00471CBA" w:rsidRDefault="00A74C68" w:rsidP="00A74C68">
            <w:pPr>
              <w:rPr>
                <w:color w:val="000000"/>
                <w:sz w:val="16"/>
                <w:szCs w:val="16"/>
              </w:rPr>
            </w:pPr>
            <w:r w:rsidRPr="00471CBA">
              <w:rPr>
                <w:snapToGrid w:val="0"/>
                <w:color w:val="000000"/>
                <w:sz w:val="16"/>
                <w:szCs w:val="16"/>
              </w:rPr>
              <w:t>İhraç Edilen Menkul Değerler</w:t>
            </w:r>
          </w:p>
        </w:tc>
        <w:tc>
          <w:tcPr>
            <w:tcW w:w="1275" w:type="dxa"/>
            <w:tcBorders>
              <w:top w:val="nil"/>
              <w:left w:val="nil"/>
              <w:bottom w:val="nil"/>
              <w:right w:val="nil"/>
            </w:tcBorders>
            <w:vAlign w:val="bottom"/>
            <w:hideMark/>
          </w:tcPr>
          <w:p w14:paraId="77419BCC" w14:textId="77777777" w:rsidR="00A74C68" w:rsidRPr="00471CBA" w:rsidRDefault="00A74C68" w:rsidP="00A74C68">
            <w:pPr>
              <w:jc w:val="right"/>
              <w:rPr>
                <w:color w:val="000000"/>
                <w:sz w:val="16"/>
                <w:szCs w:val="16"/>
              </w:rPr>
            </w:pPr>
            <w:r w:rsidRPr="00471CBA">
              <w:rPr>
                <w:color w:val="000000"/>
                <w:sz w:val="16"/>
                <w:szCs w:val="16"/>
              </w:rPr>
              <w:t>-</w:t>
            </w:r>
          </w:p>
        </w:tc>
        <w:tc>
          <w:tcPr>
            <w:tcW w:w="1560" w:type="dxa"/>
            <w:tcBorders>
              <w:top w:val="nil"/>
              <w:left w:val="nil"/>
              <w:bottom w:val="nil"/>
              <w:right w:val="nil"/>
            </w:tcBorders>
            <w:vAlign w:val="bottom"/>
            <w:hideMark/>
          </w:tcPr>
          <w:p w14:paraId="2B02C943" w14:textId="77777777" w:rsidR="00A74C68" w:rsidRPr="00471CBA" w:rsidRDefault="00A74C68" w:rsidP="00A74C68">
            <w:pPr>
              <w:jc w:val="right"/>
              <w:rPr>
                <w:color w:val="000000"/>
                <w:sz w:val="16"/>
                <w:szCs w:val="16"/>
              </w:rPr>
            </w:pPr>
            <w:r w:rsidRPr="00471CBA">
              <w:rPr>
                <w:color w:val="000000"/>
                <w:sz w:val="16"/>
                <w:szCs w:val="16"/>
              </w:rPr>
              <w:t>-</w:t>
            </w:r>
          </w:p>
        </w:tc>
        <w:tc>
          <w:tcPr>
            <w:tcW w:w="1120" w:type="dxa"/>
            <w:tcBorders>
              <w:top w:val="nil"/>
              <w:left w:val="nil"/>
              <w:bottom w:val="nil"/>
              <w:right w:val="nil"/>
            </w:tcBorders>
            <w:vAlign w:val="bottom"/>
            <w:hideMark/>
          </w:tcPr>
          <w:p w14:paraId="24EFD566" w14:textId="77777777" w:rsidR="00A74C68" w:rsidRPr="00471CBA" w:rsidRDefault="00A74C68" w:rsidP="00A74C68">
            <w:pPr>
              <w:jc w:val="right"/>
              <w:rPr>
                <w:color w:val="000000"/>
                <w:sz w:val="16"/>
                <w:szCs w:val="16"/>
              </w:rPr>
            </w:pPr>
            <w:r w:rsidRPr="00471CBA">
              <w:rPr>
                <w:color w:val="000000"/>
                <w:sz w:val="16"/>
                <w:szCs w:val="16"/>
              </w:rPr>
              <w:t>-</w:t>
            </w:r>
          </w:p>
        </w:tc>
        <w:tc>
          <w:tcPr>
            <w:tcW w:w="1120" w:type="dxa"/>
            <w:tcBorders>
              <w:top w:val="nil"/>
              <w:left w:val="nil"/>
              <w:bottom w:val="nil"/>
              <w:right w:val="nil"/>
            </w:tcBorders>
            <w:vAlign w:val="bottom"/>
            <w:hideMark/>
          </w:tcPr>
          <w:p w14:paraId="1FDA7D87" w14:textId="77777777" w:rsidR="00A74C68" w:rsidRPr="00471CBA" w:rsidRDefault="00A74C68" w:rsidP="00A74C68">
            <w:pPr>
              <w:jc w:val="right"/>
              <w:rPr>
                <w:color w:val="000000"/>
                <w:sz w:val="16"/>
                <w:szCs w:val="16"/>
              </w:rPr>
            </w:pPr>
            <w:r w:rsidRPr="00471CBA">
              <w:rPr>
                <w:color w:val="000000"/>
                <w:sz w:val="16"/>
                <w:szCs w:val="16"/>
              </w:rPr>
              <w:t>-</w:t>
            </w:r>
          </w:p>
        </w:tc>
      </w:tr>
      <w:tr w:rsidR="00A74C68" w:rsidRPr="00471CBA" w14:paraId="1C288FEF" w14:textId="77777777" w:rsidTr="00A74C68">
        <w:trPr>
          <w:divId w:val="1897205856"/>
          <w:trHeight w:val="170"/>
        </w:trPr>
        <w:tc>
          <w:tcPr>
            <w:tcW w:w="4678" w:type="dxa"/>
            <w:tcBorders>
              <w:top w:val="nil"/>
              <w:left w:val="nil"/>
              <w:bottom w:val="nil"/>
              <w:right w:val="nil"/>
            </w:tcBorders>
            <w:noWrap/>
            <w:vAlign w:val="bottom"/>
            <w:hideMark/>
          </w:tcPr>
          <w:p w14:paraId="6F4003F7" w14:textId="77777777" w:rsidR="00A74C68" w:rsidRPr="00471CBA" w:rsidRDefault="00A74C68" w:rsidP="00A74C68">
            <w:pPr>
              <w:rPr>
                <w:color w:val="000000"/>
                <w:sz w:val="16"/>
                <w:szCs w:val="16"/>
              </w:rPr>
            </w:pPr>
            <w:r w:rsidRPr="00471CBA">
              <w:rPr>
                <w:snapToGrid w:val="0"/>
                <w:color w:val="000000"/>
                <w:sz w:val="16"/>
                <w:szCs w:val="16"/>
              </w:rPr>
              <w:t>Muhtelif Borçlar</w:t>
            </w:r>
          </w:p>
        </w:tc>
        <w:tc>
          <w:tcPr>
            <w:tcW w:w="1275" w:type="dxa"/>
            <w:tcBorders>
              <w:top w:val="nil"/>
              <w:left w:val="nil"/>
              <w:bottom w:val="nil"/>
              <w:right w:val="nil"/>
            </w:tcBorders>
            <w:vAlign w:val="bottom"/>
            <w:hideMark/>
          </w:tcPr>
          <w:p w14:paraId="05E515D7" w14:textId="77777777" w:rsidR="00A74C68" w:rsidRPr="00471CBA" w:rsidRDefault="00A74C68" w:rsidP="00A74C68">
            <w:pPr>
              <w:jc w:val="right"/>
              <w:rPr>
                <w:color w:val="000000"/>
                <w:sz w:val="16"/>
                <w:szCs w:val="16"/>
              </w:rPr>
            </w:pPr>
            <w:r w:rsidRPr="00471CBA">
              <w:rPr>
                <w:color w:val="000000"/>
                <w:sz w:val="16"/>
                <w:szCs w:val="16"/>
              </w:rPr>
              <w:t>1.187</w:t>
            </w:r>
          </w:p>
        </w:tc>
        <w:tc>
          <w:tcPr>
            <w:tcW w:w="1560" w:type="dxa"/>
            <w:tcBorders>
              <w:top w:val="nil"/>
              <w:left w:val="nil"/>
              <w:bottom w:val="nil"/>
              <w:right w:val="nil"/>
            </w:tcBorders>
            <w:vAlign w:val="bottom"/>
            <w:hideMark/>
          </w:tcPr>
          <w:p w14:paraId="40839D5E" w14:textId="77777777" w:rsidR="00A74C68" w:rsidRPr="00471CBA" w:rsidRDefault="00A74C68" w:rsidP="00A74C68">
            <w:pPr>
              <w:jc w:val="right"/>
              <w:rPr>
                <w:color w:val="000000"/>
                <w:sz w:val="16"/>
                <w:szCs w:val="16"/>
              </w:rPr>
            </w:pPr>
            <w:r w:rsidRPr="00471CBA">
              <w:rPr>
                <w:color w:val="000000"/>
                <w:sz w:val="16"/>
                <w:szCs w:val="16"/>
              </w:rPr>
              <w:t>5.161.310</w:t>
            </w:r>
          </w:p>
        </w:tc>
        <w:tc>
          <w:tcPr>
            <w:tcW w:w="1120" w:type="dxa"/>
            <w:tcBorders>
              <w:top w:val="nil"/>
              <w:left w:val="nil"/>
              <w:bottom w:val="nil"/>
              <w:right w:val="nil"/>
            </w:tcBorders>
            <w:vAlign w:val="bottom"/>
            <w:hideMark/>
          </w:tcPr>
          <w:p w14:paraId="1438E4D6" w14:textId="77777777" w:rsidR="00A74C68" w:rsidRPr="00471CBA" w:rsidRDefault="00A74C68" w:rsidP="00A74C68">
            <w:pPr>
              <w:jc w:val="right"/>
              <w:rPr>
                <w:color w:val="000000"/>
                <w:sz w:val="16"/>
                <w:szCs w:val="16"/>
              </w:rPr>
            </w:pPr>
            <w:r w:rsidRPr="00471CBA">
              <w:rPr>
                <w:color w:val="000000"/>
                <w:sz w:val="16"/>
                <w:szCs w:val="16"/>
              </w:rPr>
              <w:t>1.265</w:t>
            </w:r>
          </w:p>
        </w:tc>
        <w:tc>
          <w:tcPr>
            <w:tcW w:w="1120" w:type="dxa"/>
            <w:tcBorders>
              <w:top w:val="nil"/>
              <w:left w:val="nil"/>
              <w:bottom w:val="nil"/>
              <w:right w:val="nil"/>
            </w:tcBorders>
            <w:vAlign w:val="bottom"/>
            <w:hideMark/>
          </w:tcPr>
          <w:p w14:paraId="65AF965E" w14:textId="77777777" w:rsidR="00A74C68" w:rsidRPr="00471CBA" w:rsidRDefault="00A74C68" w:rsidP="00A74C68">
            <w:pPr>
              <w:jc w:val="right"/>
              <w:rPr>
                <w:color w:val="000000"/>
                <w:sz w:val="16"/>
                <w:szCs w:val="16"/>
              </w:rPr>
            </w:pPr>
            <w:r w:rsidRPr="00471CBA">
              <w:rPr>
                <w:color w:val="000000"/>
                <w:sz w:val="16"/>
                <w:szCs w:val="16"/>
              </w:rPr>
              <w:t>5.163.762</w:t>
            </w:r>
          </w:p>
        </w:tc>
      </w:tr>
      <w:tr w:rsidR="00A74C68" w:rsidRPr="00471CBA" w14:paraId="3F92C5D0" w14:textId="77777777" w:rsidTr="00A74C68">
        <w:trPr>
          <w:divId w:val="1897205856"/>
          <w:trHeight w:val="170"/>
        </w:trPr>
        <w:tc>
          <w:tcPr>
            <w:tcW w:w="4678" w:type="dxa"/>
            <w:tcBorders>
              <w:top w:val="nil"/>
              <w:left w:val="nil"/>
              <w:bottom w:val="nil"/>
              <w:right w:val="nil"/>
            </w:tcBorders>
            <w:noWrap/>
            <w:vAlign w:val="bottom"/>
            <w:hideMark/>
          </w:tcPr>
          <w:p w14:paraId="5B2679FF" w14:textId="77777777" w:rsidR="00A74C68" w:rsidRPr="00471CBA" w:rsidRDefault="00A74C68" w:rsidP="00A74C68">
            <w:pPr>
              <w:rPr>
                <w:color w:val="000000"/>
                <w:sz w:val="16"/>
                <w:szCs w:val="16"/>
              </w:rPr>
            </w:pPr>
            <w:r w:rsidRPr="00471CBA">
              <w:rPr>
                <w:snapToGrid w:val="0"/>
                <w:color w:val="000000"/>
                <w:sz w:val="16"/>
                <w:szCs w:val="16"/>
              </w:rPr>
              <w:t>Riskten Korunma Amaçlı Türev Finansal Borçlar</w:t>
            </w:r>
          </w:p>
        </w:tc>
        <w:tc>
          <w:tcPr>
            <w:tcW w:w="1275" w:type="dxa"/>
            <w:tcBorders>
              <w:top w:val="nil"/>
              <w:left w:val="nil"/>
              <w:bottom w:val="nil"/>
              <w:right w:val="nil"/>
            </w:tcBorders>
            <w:vAlign w:val="bottom"/>
            <w:hideMark/>
          </w:tcPr>
          <w:p w14:paraId="6E2311FC" w14:textId="77777777" w:rsidR="00A74C68" w:rsidRPr="00471CBA" w:rsidRDefault="00A74C68" w:rsidP="00A74C68">
            <w:pPr>
              <w:jc w:val="right"/>
              <w:rPr>
                <w:color w:val="000000"/>
                <w:sz w:val="16"/>
                <w:szCs w:val="16"/>
              </w:rPr>
            </w:pPr>
            <w:r w:rsidRPr="00471CBA">
              <w:rPr>
                <w:color w:val="000000"/>
                <w:sz w:val="16"/>
                <w:szCs w:val="16"/>
              </w:rPr>
              <w:t>-</w:t>
            </w:r>
          </w:p>
        </w:tc>
        <w:tc>
          <w:tcPr>
            <w:tcW w:w="1560" w:type="dxa"/>
            <w:tcBorders>
              <w:top w:val="nil"/>
              <w:left w:val="nil"/>
              <w:bottom w:val="nil"/>
              <w:right w:val="nil"/>
            </w:tcBorders>
            <w:vAlign w:val="bottom"/>
            <w:hideMark/>
          </w:tcPr>
          <w:p w14:paraId="5275F565" w14:textId="77777777" w:rsidR="00A74C68" w:rsidRPr="00471CBA" w:rsidRDefault="00A74C68" w:rsidP="00A74C68">
            <w:pPr>
              <w:jc w:val="right"/>
              <w:rPr>
                <w:color w:val="000000"/>
                <w:sz w:val="16"/>
                <w:szCs w:val="16"/>
              </w:rPr>
            </w:pPr>
            <w:r w:rsidRPr="00471CBA">
              <w:rPr>
                <w:color w:val="000000"/>
                <w:sz w:val="16"/>
                <w:szCs w:val="16"/>
              </w:rPr>
              <w:t>-</w:t>
            </w:r>
          </w:p>
        </w:tc>
        <w:tc>
          <w:tcPr>
            <w:tcW w:w="1120" w:type="dxa"/>
            <w:tcBorders>
              <w:top w:val="nil"/>
              <w:left w:val="nil"/>
              <w:bottom w:val="nil"/>
              <w:right w:val="nil"/>
            </w:tcBorders>
            <w:vAlign w:val="bottom"/>
            <w:hideMark/>
          </w:tcPr>
          <w:p w14:paraId="1253FF7B" w14:textId="77777777" w:rsidR="00A74C68" w:rsidRPr="00471CBA" w:rsidRDefault="00A74C68" w:rsidP="00A74C68">
            <w:pPr>
              <w:jc w:val="right"/>
              <w:rPr>
                <w:color w:val="000000"/>
                <w:sz w:val="16"/>
                <w:szCs w:val="16"/>
              </w:rPr>
            </w:pPr>
            <w:r w:rsidRPr="00471CBA">
              <w:rPr>
                <w:color w:val="000000"/>
                <w:sz w:val="16"/>
                <w:szCs w:val="16"/>
              </w:rPr>
              <w:t>-</w:t>
            </w:r>
          </w:p>
        </w:tc>
        <w:tc>
          <w:tcPr>
            <w:tcW w:w="1120" w:type="dxa"/>
            <w:tcBorders>
              <w:top w:val="nil"/>
              <w:left w:val="nil"/>
              <w:bottom w:val="nil"/>
              <w:right w:val="nil"/>
            </w:tcBorders>
            <w:vAlign w:val="bottom"/>
            <w:hideMark/>
          </w:tcPr>
          <w:p w14:paraId="3B7CD8B7" w14:textId="77777777" w:rsidR="00A74C68" w:rsidRPr="00471CBA" w:rsidRDefault="00A74C68" w:rsidP="00A74C68">
            <w:pPr>
              <w:jc w:val="right"/>
              <w:rPr>
                <w:color w:val="000000"/>
                <w:sz w:val="16"/>
                <w:szCs w:val="16"/>
              </w:rPr>
            </w:pPr>
            <w:r w:rsidRPr="00471CBA">
              <w:rPr>
                <w:color w:val="000000"/>
                <w:sz w:val="16"/>
                <w:szCs w:val="16"/>
              </w:rPr>
              <w:t>-</w:t>
            </w:r>
          </w:p>
        </w:tc>
      </w:tr>
      <w:tr w:rsidR="00A74C68" w:rsidRPr="00471CBA" w14:paraId="6BCB9DE6" w14:textId="77777777" w:rsidTr="00A74C68">
        <w:trPr>
          <w:divId w:val="1897205856"/>
          <w:trHeight w:val="170"/>
        </w:trPr>
        <w:tc>
          <w:tcPr>
            <w:tcW w:w="4678" w:type="dxa"/>
            <w:tcBorders>
              <w:top w:val="nil"/>
              <w:left w:val="nil"/>
              <w:bottom w:val="nil"/>
              <w:right w:val="nil"/>
            </w:tcBorders>
            <w:noWrap/>
            <w:vAlign w:val="bottom"/>
            <w:hideMark/>
          </w:tcPr>
          <w:p w14:paraId="7CBB9486" w14:textId="77777777" w:rsidR="00A74C68" w:rsidRPr="00471CBA" w:rsidRDefault="00A74C68" w:rsidP="00A74C68">
            <w:pPr>
              <w:rPr>
                <w:color w:val="000000"/>
                <w:sz w:val="16"/>
                <w:szCs w:val="16"/>
                <w:lang w:eastAsia="tr-TR"/>
              </w:rPr>
            </w:pPr>
            <w:r w:rsidRPr="00471CBA">
              <w:rPr>
                <w:snapToGrid w:val="0"/>
                <w:color w:val="000000"/>
                <w:sz w:val="16"/>
                <w:szCs w:val="16"/>
              </w:rPr>
              <w:t>Diğer Yükümlülükler</w:t>
            </w:r>
            <w:r w:rsidRPr="00471CBA">
              <w:rPr>
                <w:color w:val="000000"/>
                <w:sz w:val="16"/>
                <w:szCs w:val="16"/>
              </w:rPr>
              <w:t xml:space="preserve"> </w:t>
            </w:r>
            <w:r w:rsidRPr="00471CBA">
              <w:rPr>
                <w:color w:val="000000"/>
                <w:sz w:val="16"/>
                <w:szCs w:val="16"/>
                <w:vertAlign w:val="superscript"/>
                <w:lang w:eastAsia="tr-TR"/>
              </w:rPr>
              <w:t>(******)</w:t>
            </w:r>
          </w:p>
        </w:tc>
        <w:tc>
          <w:tcPr>
            <w:tcW w:w="1275" w:type="dxa"/>
            <w:tcBorders>
              <w:top w:val="nil"/>
              <w:left w:val="nil"/>
              <w:bottom w:val="nil"/>
              <w:right w:val="nil"/>
            </w:tcBorders>
            <w:vAlign w:val="bottom"/>
            <w:hideMark/>
          </w:tcPr>
          <w:p w14:paraId="433DE253" w14:textId="77777777" w:rsidR="00A74C68" w:rsidRPr="00471CBA" w:rsidRDefault="00A74C68" w:rsidP="00A74C68">
            <w:pPr>
              <w:jc w:val="right"/>
              <w:rPr>
                <w:color w:val="000000"/>
                <w:sz w:val="16"/>
                <w:szCs w:val="16"/>
              </w:rPr>
            </w:pPr>
            <w:r w:rsidRPr="00471CBA">
              <w:rPr>
                <w:color w:val="000000"/>
                <w:sz w:val="16"/>
                <w:szCs w:val="16"/>
              </w:rPr>
              <w:t>66.361</w:t>
            </w:r>
          </w:p>
        </w:tc>
        <w:tc>
          <w:tcPr>
            <w:tcW w:w="1560" w:type="dxa"/>
            <w:tcBorders>
              <w:top w:val="nil"/>
              <w:left w:val="nil"/>
              <w:bottom w:val="nil"/>
              <w:right w:val="nil"/>
            </w:tcBorders>
            <w:vAlign w:val="bottom"/>
            <w:hideMark/>
          </w:tcPr>
          <w:p w14:paraId="3820578E" w14:textId="77777777" w:rsidR="00A74C68" w:rsidRPr="00471CBA" w:rsidRDefault="00A74C68" w:rsidP="00A74C68">
            <w:pPr>
              <w:jc w:val="right"/>
              <w:rPr>
                <w:color w:val="000000"/>
                <w:sz w:val="16"/>
                <w:szCs w:val="16"/>
              </w:rPr>
            </w:pPr>
            <w:r w:rsidRPr="00471CBA">
              <w:rPr>
                <w:color w:val="000000"/>
                <w:sz w:val="16"/>
                <w:szCs w:val="16"/>
              </w:rPr>
              <w:t>1.072.270</w:t>
            </w:r>
          </w:p>
        </w:tc>
        <w:tc>
          <w:tcPr>
            <w:tcW w:w="1120" w:type="dxa"/>
            <w:tcBorders>
              <w:top w:val="nil"/>
              <w:left w:val="nil"/>
              <w:bottom w:val="nil"/>
              <w:right w:val="nil"/>
            </w:tcBorders>
            <w:vAlign w:val="bottom"/>
            <w:hideMark/>
          </w:tcPr>
          <w:p w14:paraId="4BCBAE6A" w14:textId="77777777" w:rsidR="00A74C68" w:rsidRPr="00471CBA" w:rsidRDefault="00A74C68" w:rsidP="00A74C68">
            <w:pPr>
              <w:jc w:val="right"/>
              <w:rPr>
                <w:color w:val="000000"/>
                <w:sz w:val="16"/>
                <w:szCs w:val="16"/>
              </w:rPr>
            </w:pPr>
            <w:r w:rsidRPr="00471CBA">
              <w:rPr>
                <w:color w:val="000000"/>
                <w:sz w:val="16"/>
                <w:szCs w:val="16"/>
              </w:rPr>
              <w:t>1.825</w:t>
            </w:r>
          </w:p>
        </w:tc>
        <w:tc>
          <w:tcPr>
            <w:tcW w:w="1120" w:type="dxa"/>
            <w:tcBorders>
              <w:top w:val="nil"/>
              <w:left w:val="nil"/>
              <w:bottom w:val="nil"/>
              <w:right w:val="nil"/>
            </w:tcBorders>
            <w:vAlign w:val="bottom"/>
            <w:hideMark/>
          </w:tcPr>
          <w:p w14:paraId="5FEEEB74" w14:textId="77777777" w:rsidR="00A74C68" w:rsidRPr="00471CBA" w:rsidRDefault="00A74C68" w:rsidP="00A74C68">
            <w:pPr>
              <w:jc w:val="right"/>
              <w:rPr>
                <w:color w:val="000000"/>
                <w:sz w:val="16"/>
                <w:szCs w:val="16"/>
              </w:rPr>
            </w:pPr>
            <w:r w:rsidRPr="00471CBA">
              <w:rPr>
                <w:color w:val="000000"/>
                <w:sz w:val="16"/>
                <w:szCs w:val="16"/>
              </w:rPr>
              <w:t>1.140.456</w:t>
            </w:r>
          </w:p>
        </w:tc>
      </w:tr>
      <w:tr w:rsidR="00A74C68" w:rsidRPr="00471CBA" w14:paraId="731E885A" w14:textId="77777777" w:rsidTr="00A74C68">
        <w:trPr>
          <w:divId w:val="1897205856"/>
          <w:trHeight w:val="170"/>
        </w:trPr>
        <w:tc>
          <w:tcPr>
            <w:tcW w:w="4678" w:type="dxa"/>
            <w:tcBorders>
              <w:top w:val="single" w:sz="4" w:space="0" w:color="auto"/>
              <w:left w:val="nil"/>
              <w:bottom w:val="single" w:sz="4" w:space="0" w:color="auto"/>
              <w:right w:val="nil"/>
            </w:tcBorders>
            <w:noWrap/>
            <w:vAlign w:val="bottom"/>
            <w:hideMark/>
          </w:tcPr>
          <w:p w14:paraId="7D757BCF" w14:textId="77777777" w:rsidR="00A74C68" w:rsidRPr="00471CBA" w:rsidRDefault="00A74C68" w:rsidP="00A74C68">
            <w:pPr>
              <w:rPr>
                <w:b/>
                <w:bCs/>
                <w:color w:val="000000"/>
                <w:sz w:val="16"/>
                <w:szCs w:val="16"/>
              </w:rPr>
            </w:pPr>
            <w:r w:rsidRPr="00471CBA">
              <w:rPr>
                <w:b/>
                <w:bCs/>
                <w:snapToGrid w:val="0"/>
                <w:color w:val="000000"/>
                <w:sz w:val="16"/>
                <w:szCs w:val="16"/>
              </w:rPr>
              <w:t>Toplam Yükümlülükler</w:t>
            </w:r>
          </w:p>
        </w:tc>
        <w:tc>
          <w:tcPr>
            <w:tcW w:w="1275" w:type="dxa"/>
            <w:tcBorders>
              <w:top w:val="single" w:sz="4" w:space="0" w:color="auto"/>
              <w:left w:val="nil"/>
              <w:bottom w:val="single" w:sz="4" w:space="0" w:color="auto"/>
              <w:right w:val="nil"/>
            </w:tcBorders>
            <w:vAlign w:val="bottom"/>
            <w:hideMark/>
          </w:tcPr>
          <w:p w14:paraId="1F1BACC3" w14:textId="77777777" w:rsidR="00A74C68" w:rsidRPr="00471CBA" w:rsidRDefault="00A74C68" w:rsidP="00A74C68">
            <w:pPr>
              <w:jc w:val="right"/>
              <w:rPr>
                <w:b/>
                <w:bCs/>
                <w:color w:val="000000"/>
                <w:sz w:val="16"/>
                <w:szCs w:val="16"/>
              </w:rPr>
            </w:pPr>
            <w:r w:rsidRPr="00471CBA">
              <w:rPr>
                <w:b/>
                <w:bCs/>
                <w:color w:val="000000"/>
                <w:sz w:val="16"/>
                <w:szCs w:val="16"/>
              </w:rPr>
              <w:t>10.434.364</w:t>
            </w:r>
          </w:p>
        </w:tc>
        <w:tc>
          <w:tcPr>
            <w:tcW w:w="1560" w:type="dxa"/>
            <w:tcBorders>
              <w:top w:val="single" w:sz="4" w:space="0" w:color="auto"/>
              <w:left w:val="nil"/>
              <w:bottom w:val="single" w:sz="4" w:space="0" w:color="auto"/>
              <w:right w:val="nil"/>
            </w:tcBorders>
            <w:vAlign w:val="bottom"/>
            <w:hideMark/>
          </w:tcPr>
          <w:p w14:paraId="03BF725C" w14:textId="77777777" w:rsidR="00A74C68" w:rsidRPr="00471CBA" w:rsidRDefault="00A74C68" w:rsidP="00A74C68">
            <w:pPr>
              <w:jc w:val="right"/>
              <w:rPr>
                <w:b/>
                <w:bCs/>
                <w:color w:val="000000"/>
                <w:sz w:val="16"/>
                <w:szCs w:val="16"/>
              </w:rPr>
            </w:pPr>
            <w:r w:rsidRPr="00471CBA">
              <w:rPr>
                <w:b/>
                <w:bCs/>
                <w:color w:val="000000"/>
                <w:sz w:val="16"/>
                <w:szCs w:val="16"/>
              </w:rPr>
              <w:t>14.863.487</w:t>
            </w:r>
          </w:p>
        </w:tc>
        <w:tc>
          <w:tcPr>
            <w:tcW w:w="1120" w:type="dxa"/>
            <w:tcBorders>
              <w:top w:val="single" w:sz="4" w:space="0" w:color="auto"/>
              <w:left w:val="nil"/>
              <w:bottom w:val="single" w:sz="4" w:space="0" w:color="auto"/>
              <w:right w:val="nil"/>
            </w:tcBorders>
            <w:vAlign w:val="bottom"/>
            <w:hideMark/>
          </w:tcPr>
          <w:p w14:paraId="6292EBC4" w14:textId="77777777" w:rsidR="00A74C68" w:rsidRPr="00471CBA" w:rsidRDefault="00A74C68" w:rsidP="00A74C68">
            <w:pPr>
              <w:jc w:val="right"/>
              <w:rPr>
                <w:b/>
                <w:bCs/>
                <w:color w:val="000000"/>
                <w:sz w:val="16"/>
                <w:szCs w:val="16"/>
              </w:rPr>
            </w:pPr>
            <w:r w:rsidRPr="00471CBA">
              <w:rPr>
                <w:b/>
                <w:bCs/>
                <w:color w:val="000000"/>
                <w:sz w:val="16"/>
                <w:szCs w:val="16"/>
              </w:rPr>
              <w:t>36.165.814</w:t>
            </w:r>
          </w:p>
        </w:tc>
        <w:tc>
          <w:tcPr>
            <w:tcW w:w="1120" w:type="dxa"/>
            <w:tcBorders>
              <w:top w:val="single" w:sz="4" w:space="0" w:color="auto"/>
              <w:left w:val="nil"/>
              <w:bottom w:val="single" w:sz="4" w:space="0" w:color="auto"/>
              <w:right w:val="nil"/>
            </w:tcBorders>
            <w:vAlign w:val="bottom"/>
            <w:hideMark/>
          </w:tcPr>
          <w:p w14:paraId="396BAED2" w14:textId="77777777" w:rsidR="00A74C68" w:rsidRPr="00471CBA" w:rsidRDefault="00A74C68" w:rsidP="00A74C68">
            <w:pPr>
              <w:jc w:val="right"/>
              <w:rPr>
                <w:b/>
                <w:bCs/>
                <w:color w:val="000000"/>
                <w:sz w:val="16"/>
                <w:szCs w:val="16"/>
              </w:rPr>
            </w:pPr>
            <w:r w:rsidRPr="00471CBA">
              <w:rPr>
                <w:b/>
                <w:bCs/>
                <w:color w:val="000000"/>
                <w:sz w:val="16"/>
                <w:szCs w:val="16"/>
              </w:rPr>
              <w:t>61.463.665</w:t>
            </w:r>
          </w:p>
        </w:tc>
      </w:tr>
      <w:tr w:rsidR="00A74C68" w:rsidRPr="00471CBA" w14:paraId="38B98B81" w14:textId="77777777" w:rsidTr="00A74C68">
        <w:trPr>
          <w:divId w:val="1897205856"/>
          <w:trHeight w:val="170"/>
        </w:trPr>
        <w:tc>
          <w:tcPr>
            <w:tcW w:w="4678" w:type="dxa"/>
            <w:tcBorders>
              <w:top w:val="nil"/>
              <w:left w:val="nil"/>
              <w:bottom w:val="nil"/>
              <w:right w:val="nil"/>
            </w:tcBorders>
            <w:noWrap/>
            <w:vAlign w:val="center"/>
            <w:hideMark/>
          </w:tcPr>
          <w:p w14:paraId="7561CB45" w14:textId="77777777" w:rsidR="00A74C68" w:rsidRPr="00471CBA" w:rsidRDefault="00A74C68" w:rsidP="00A74C68">
            <w:pPr>
              <w:rPr>
                <w:b/>
                <w:bCs/>
                <w:color w:val="000000"/>
                <w:sz w:val="16"/>
                <w:szCs w:val="16"/>
              </w:rPr>
            </w:pPr>
          </w:p>
        </w:tc>
        <w:tc>
          <w:tcPr>
            <w:tcW w:w="1275" w:type="dxa"/>
            <w:tcBorders>
              <w:top w:val="nil"/>
              <w:left w:val="nil"/>
              <w:bottom w:val="nil"/>
              <w:right w:val="nil"/>
            </w:tcBorders>
            <w:vAlign w:val="bottom"/>
            <w:hideMark/>
          </w:tcPr>
          <w:p w14:paraId="43C00988" w14:textId="77777777" w:rsidR="00A74C68" w:rsidRPr="00471CBA" w:rsidRDefault="00A74C68" w:rsidP="00A74C68">
            <w:pPr>
              <w:jc w:val="right"/>
              <w:rPr>
                <w:sz w:val="16"/>
                <w:szCs w:val="16"/>
              </w:rPr>
            </w:pPr>
          </w:p>
        </w:tc>
        <w:tc>
          <w:tcPr>
            <w:tcW w:w="1560" w:type="dxa"/>
            <w:tcBorders>
              <w:top w:val="nil"/>
              <w:left w:val="nil"/>
              <w:bottom w:val="nil"/>
              <w:right w:val="nil"/>
            </w:tcBorders>
            <w:vAlign w:val="bottom"/>
            <w:hideMark/>
          </w:tcPr>
          <w:p w14:paraId="393A7CCD" w14:textId="77777777" w:rsidR="00A74C68" w:rsidRPr="00471CBA" w:rsidRDefault="00A74C68" w:rsidP="00A74C68">
            <w:pPr>
              <w:jc w:val="right"/>
              <w:rPr>
                <w:sz w:val="16"/>
                <w:szCs w:val="16"/>
              </w:rPr>
            </w:pPr>
          </w:p>
        </w:tc>
        <w:tc>
          <w:tcPr>
            <w:tcW w:w="1120" w:type="dxa"/>
            <w:tcBorders>
              <w:top w:val="nil"/>
              <w:left w:val="nil"/>
              <w:bottom w:val="nil"/>
              <w:right w:val="nil"/>
            </w:tcBorders>
            <w:vAlign w:val="bottom"/>
            <w:hideMark/>
          </w:tcPr>
          <w:p w14:paraId="13D28883" w14:textId="77777777" w:rsidR="00A74C68" w:rsidRPr="00471CBA" w:rsidRDefault="00A74C68" w:rsidP="00A74C68">
            <w:pPr>
              <w:jc w:val="right"/>
              <w:rPr>
                <w:sz w:val="16"/>
                <w:szCs w:val="16"/>
              </w:rPr>
            </w:pPr>
          </w:p>
        </w:tc>
        <w:tc>
          <w:tcPr>
            <w:tcW w:w="1120" w:type="dxa"/>
            <w:tcBorders>
              <w:top w:val="nil"/>
              <w:left w:val="nil"/>
              <w:bottom w:val="nil"/>
              <w:right w:val="nil"/>
            </w:tcBorders>
            <w:vAlign w:val="bottom"/>
            <w:hideMark/>
          </w:tcPr>
          <w:p w14:paraId="0ECBBA5F" w14:textId="77777777" w:rsidR="00A74C68" w:rsidRPr="00471CBA" w:rsidRDefault="00A74C68" w:rsidP="00A74C68">
            <w:pPr>
              <w:jc w:val="right"/>
              <w:rPr>
                <w:sz w:val="16"/>
                <w:szCs w:val="16"/>
              </w:rPr>
            </w:pPr>
          </w:p>
        </w:tc>
      </w:tr>
      <w:tr w:rsidR="00A74C68" w:rsidRPr="00471CBA" w14:paraId="11911E77" w14:textId="77777777" w:rsidTr="00A74C68">
        <w:trPr>
          <w:divId w:val="1897205856"/>
          <w:trHeight w:val="170"/>
        </w:trPr>
        <w:tc>
          <w:tcPr>
            <w:tcW w:w="4678" w:type="dxa"/>
            <w:tcBorders>
              <w:top w:val="single" w:sz="4" w:space="0" w:color="auto"/>
              <w:left w:val="nil"/>
              <w:bottom w:val="single" w:sz="4" w:space="0" w:color="auto"/>
              <w:right w:val="nil"/>
            </w:tcBorders>
            <w:noWrap/>
            <w:vAlign w:val="bottom"/>
            <w:hideMark/>
          </w:tcPr>
          <w:p w14:paraId="4129A828" w14:textId="77777777" w:rsidR="00A74C68" w:rsidRPr="00471CBA" w:rsidRDefault="00A74C68" w:rsidP="00A74C68">
            <w:pPr>
              <w:rPr>
                <w:b/>
                <w:bCs/>
                <w:color w:val="000000"/>
                <w:sz w:val="16"/>
                <w:szCs w:val="16"/>
              </w:rPr>
            </w:pPr>
            <w:r w:rsidRPr="00471CBA">
              <w:rPr>
                <w:b/>
                <w:bCs/>
                <w:snapToGrid w:val="0"/>
                <w:color w:val="000000"/>
                <w:sz w:val="16"/>
                <w:szCs w:val="16"/>
              </w:rPr>
              <w:t>Net Bilanço Pozisyonu</w:t>
            </w:r>
          </w:p>
        </w:tc>
        <w:tc>
          <w:tcPr>
            <w:tcW w:w="1275" w:type="dxa"/>
            <w:tcBorders>
              <w:top w:val="single" w:sz="4" w:space="0" w:color="auto"/>
              <w:left w:val="nil"/>
              <w:bottom w:val="single" w:sz="4" w:space="0" w:color="auto"/>
              <w:right w:val="nil"/>
            </w:tcBorders>
            <w:vAlign w:val="bottom"/>
            <w:hideMark/>
          </w:tcPr>
          <w:p w14:paraId="7624EDA1" w14:textId="77777777" w:rsidR="00A74C68" w:rsidRPr="00471CBA" w:rsidRDefault="00A74C68" w:rsidP="00A74C68">
            <w:pPr>
              <w:jc w:val="right"/>
              <w:rPr>
                <w:b/>
                <w:bCs/>
                <w:color w:val="000000"/>
                <w:sz w:val="16"/>
                <w:szCs w:val="16"/>
              </w:rPr>
            </w:pPr>
            <w:r w:rsidRPr="00471CBA">
              <w:rPr>
                <w:b/>
                <w:bCs/>
                <w:color w:val="000000"/>
                <w:sz w:val="16"/>
                <w:szCs w:val="16"/>
              </w:rPr>
              <w:t>8.232.741</w:t>
            </w:r>
          </w:p>
        </w:tc>
        <w:tc>
          <w:tcPr>
            <w:tcW w:w="1560" w:type="dxa"/>
            <w:tcBorders>
              <w:top w:val="single" w:sz="4" w:space="0" w:color="auto"/>
              <w:left w:val="nil"/>
              <w:bottom w:val="single" w:sz="4" w:space="0" w:color="auto"/>
              <w:right w:val="nil"/>
            </w:tcBorders>
            <w:vAlign w:val="bottom"/>
            <w:hideMark/>
          </w:tcPr>
          <w:p w14:paraId="01BD374C" w14:textId="77777777" w:rsidR="00A74C68" w:rsidRPr="00471CBA" w:rsidRDefault="00A74C68" w:rsidP="00A74C68">
            <w:pPr>
              <w:jc w:val="right"/>
              <w:rPr>
                <w:b/>
                <w:bCs/>
                <w:color w:val="000000"/>
                <w:sz w:val="16"/>
                <w:szCs w:val="16"/>
              </w:rPr>
            </w:pPr>
            <w:r w:rsidRPr="00471CBA">
              <w:rPr>
                <w:b/>
                <w:bCs/>
                <w:color w:val="000000"/>
                <w:sz w:val="16"/>
                <w:szCs w:val="16"/>
              </w:rPr>
              <w:t>222.095</w:t>
            </w:r>
          </w:p>
        </w:tc>
        <w:tc>
          <w:tcPr>
            <w:tcW w:w="1120" w:type="dxa"/>
            <w:tcBorders>
              <w:top w:val="single" w:sz="4" w:space="0" w:color="auto"/>
              <w:left w:val="nil"/>
              <w:bottom w:val="single" w:sz="4" w:space="0" w:color="auto"/>
              <w:right w:val="nil"/>
            </w:tcBorders>
            <w:vAlign w:val="bottom"/>
            <w:hideMark/>
          </w:tcPr>
          <w:p w14:paraId="52FF112F" w14:textId="77777777" w:rsidR="00A74C68" w:rsidRPr="00471CBA" w:rsidRDefault="00A74C68" w:rsidP="00A74C68">
            <w:pPr>
              <w:jc w:val="right"/>
              <w:rPr>
                <w:b/>
                <w:bCs/>
                <w:color w:val="000000"/>
                <w:sz w:val="16"/>
                <w:szCs w:val="16"/>
                <w:lang w:eastAsia="tr-TR"/>
              </w:rPr>
            </w:pPr>
            <w:r w:rsidRPr="00471CBA">
              <w:rPr>
                <w:b/>
                <w:bCs/>
                <w:color w:val="000000"/>
                <w:sz w:val="16"/>
                <w:szCs w:val="16"/>
              </w:rPr>
              <w:t>(15.187.311</w:t>
            </w:r>
            <w:r w:rsidRPr="00471CBA">
              <w:rPr>
                <w:b/>
                <w:bCs/>
                <w:color w:val="000000"/>
                <w:sz w:val="16"/>
                <w:szCs w:val="16"/>
                <w:lang w:eastAsia="tr-TR"/>
              </w:rPr>
              <w:t>)</w:t>
            </w:r>
          </w:p>
        </w:tc>
        <w:tc>
          <w:tcPr>
            <w:tcW w:w="1120" w:type="dxa"/>
            <w:tcBorders>
              <w:top w:val="single" w:sz="4" w:space="0" w:color="auto"/>
              <w:left w:val="nil"/>
              <w:bottom w:val="single" w:sz="4" w:space="0" w:color="auto"/>
              <w:right w:val="nil"/>
            </w:tcBorders>
            <w:vAlign w:val="bottom"/>
            <w:hideMark/>
          </w:tcPr>
          <w:p w14:paraId="1E432938" w14:textId="77777777" w:rsidR="00A74C68" w:rsidRPr="00471CBA" w:rsidRDefault="00A74C68" w:rsidP="00A74C68">
            <w:pPr>
              <w:jc w:val="right"/>
              <w:rPr>
                <w:b/>
                <w:bCs/>
                <w:color w:val="000000"/>
                <w:sz w:val="16"/>
                <w:szCs w:val="16"/>
                <w:lang w:eastAsia="tr-TR"/>
              </w:rPr>
            </w:pPr>
            <w:r w:rsidRPr="00471CBA">
              <w:rPr>
                <w:b/>
                <w:bCs/>
                <w:color w:val="000000"/>
                <w:sz w:val="16"/>
                <w:szCs w:val="16"/>
              </w:rPr>
              <w:t>(6.732.475</w:t>
            </w:r>
            <w:r w:rsidRPr="00471CBA">
              <w:rPr>
                <w:b/>
                <w:bCs/>
                <w:color w:val="000000"/>
                <w:sz w:val="16"/>
                <w:szCs w:val="16"/>
                <w:lang w:eastAsia="tr-TR"/>
              </w:rPr>
              <w:t>)</w:t>
            </w:r>
          </w:p>
        </w:tc>
      </w:tr>
      <w:tr w:rsidR="00A74C68" w:rsidRPr="00471CBA" w14:paraId="40E55E1B" w14:textId="77777777" w:rsidTr="00A74C68">
        <w:trPr>
          <w:divId w:val="1897205856"/>
          <w:trHeight w:val="170"/>
        </w:trPr>
        <w:tc>
          <w:tcPr>
            <w:tcW w:w="4678" w:type="dxa"/>
            <w:tcBorders>
              <w:top w:val="nil"/>
              <w:left w:val="nil"/>
              <w:bottom w:val="nil"/>
              <w:right w:val="nil"/>
            </w:tcBorders>
            <w:noWrap/>
            <w:vAlign w:val="center"/>
            <w:hideMark/>
          </w:tcPr>
          <w:p w14:paraId="074A7BE6" w14:textId="77777777" w:rsidR="00A74C68" w:rsidRPr="00471CBA" w:rsidRDefault="00A74C68" w:rsidP="00A74C68">
            <w:pPr>
              <w:rPr>
                <w:b/>
                <w:bCs/>
                <w:color w:val="000000"/>
                <w:sz w:val="16"/>
                <w:szCs w:val="16"/>
              </w:rPr>
            </w:pPr>
          </w:p>
        </w:tc>
        <w:tc>
          <w:tcPr>
            <w:tcW w:w="1275" w:type="dxa"/>
            <w:tcBorders>
              <w:top w:val="nil"/>
              <w:left w:val="nil"/>
              <w:bottom w:val="nil"/>
              <w:right w:val="nil"/>
            </w:tcBorders>
            <w:vAlign w:val="bottom"/>
            <w:hideMark/>
          </w:tcPr>
          <w:p w14:paraId="4F7FD0AA" w14:textId="77777777" w:rsidR="00A74C68" w:rsidRPr="00471CBA" w:rsidRDefault="00A74C68" w:rsidP="00A74C68">
            <w:pPr>
              <w:jc w:val="right"/>
              <w:rPr>
                <w:sz w:val="16"/>
                <w:szCs w:val="16"/>
              </w:rPr>
            </w:pPr>
          </w:p>
        </w:tc>
        <w:tc>
          <w:tcPr>
            <w:tcW w:w="1560" w:type="dxa"/>
            <w:tcBorders>
              <w:top w:val="nil"/>
              <w:left w:val="nil"/>
              <w:bottom w:val="nil"/>
              <w:right w:val="nil"/>
            </w:tcBorders>
            <w:vAlign w:val="bottom"/>
            <w:hideMark/>
          </w:tcPr>
          <w:p w14:paraId="7574E6BE" w14:textId="77777777" w:rsidR="00A74C68" w:rsidRPr="00471CBA" w:rsidRDefault="00A74C68" w:rsidP="00A74C68">
            <w:pPr>
              <w:jc w:val="right"/>
              <w:rPr>
                <w:sz w:val="16"/>
                <w:szCs w:val="16"/>
              </w:rPr>
            </w:pPr>
          </w:p>
        </w:tc>
        <w:tc>
          <w:tcPr>
            <w:tcW w:w="1120" w:type="dxa"/>
            <w:tcBorders>
              <w:top w:val="nil"/>
              <w:left w:val="nil"/>
              <w:bottom w:val="nil"/>
              <w:right w:val="nil"/>
            </w:tcBorders>
            <w:vAlign w:val="bottom"/>
            <w:hideMark/>
          </w:tcPr>
          <w:p w14:paraId="20C4F0D3" w14:textId="77777777" w:rsidR="00A74C68" w:rsidRPr="00471CBA" w:rsidRDefault="00A74C68" w:rsidP="00A74C68">
            <w:pPr>
              <w:jc w:val="right"/>
              <w:rPr>
                <w:sz w:val="16"/>
                <w:szCs w:val="16"/>
              </w:rPr>
            </w:pPr>
          </w:p>
        </w:tc>
        <w:tc>
          <w:tcPr>
            <w:tcW w:w="1120" w:type="dxa"/>
            <w:tcBorders>
              <w:top w:val="nil"/>
              <w:left w:val="nil"/>
              <w:bottom w:val="nil"/>
              <w:right w:val="nil"/>
            </w:tcBorders>
            <w:vAlign w:val="bottom"/>
            <w:hideMark/>
          </w:tcPr>
          <w:p w14:paraId="3E579469" w14:textId="77777777" w:rsidR="00A74C68" w:rsidRPr="00471CBA" w:rsidRDefault="00A74C68" w:rsidP="00A74C68">
            <w:pPr>
              <w:jc w:val="right"/>
              <w:rPr>
                <w:sz w:val="16"/>
                <w:szCs w:val="16"/>
              </w:rPr>
            </w:pPr>
          </w:p>
        </w:tc>
      </w:tr>
      <w:tr w:rsidR="00A74C68" w:rsidRPr="00471CBA" w14:paraId="5CBC9A17" w14:textId="77777777" w:rsidTr="00A74C68">
        <w:trPr>
          <w:divId w:val="1897205856"/>
          <w:trHeight w:val="170"/>
        </w:trPr>
        <w:tc>
          <w:tcPr>
            <w:tcW w:w="4678" w:type="dxa"/>
            <w:tcBorders>
              <w:top w:val="single" w:sz="4" w:space="0" w:color="auto"/>
              <w:left w:val="nil"/>
              <w:bottom w:val="single" w:sz="4" w:space="0" w:color="auto"/>
              <w:right w:val="nil"/>
            </w:tcBorders>
            <w:noWrap/>
            <w:vAlign w:val="bottom"/>
            <w:hideMark/>
          </w:tcPr>
          <w:p w14:paraId="3A58031B" w14:textId="77777777" w:rsidR="00A74C68" w:rsidRPr="00471CBA" w:rsidRDefault="00A74C68" w:rsidP="00A74C68">
            <w:pPr>
              <w:rPr>
                <w:b/>
                <w:bCs/>
                <w:color w:val="000000"/>
                <w:sz w:val="16"/>
                <w:szCs w:val="16"/>
              </w:rPr>
            </w:pPr>
            <w:r w:rsidRPr="00471CBA">
              <w:rPr>
                <w:b/>
                <w:bCs/>
                <w:snapToGrid w:val="0"/>
                <w:color w:val="000000"/>
                <w:sz w:val="16"/>
                <w:szCs w:val="16"/>
              </w:rPr>
              <w:t>Net Nazım Hesap Pozisyonu</w:t>
            </w:r>
          </w:p>
        </w:tc>
        <w:tc>
          <w:tcPr>
            <w:tcW w:w="1275" w:type="dxa"/>
            <w:tcBorders>
              <w:top w:val="single" w:sz="4" w:space="0" w:color="auto"/>
              <w:left w:val="nil"/>
              <w:bottom w:val="single" w:sz="4" w:space="0" w:color="auto"/>
              <w:right w:val="nil"/>
            </w:tcBorders>
            <w:vAlign w:val="bottom"/>
            <w:hideMark/>
          </w:tcPr>
          <w:p w14:paraId="5D7BFFB8" w14:textId="77777777" w:rsidR="00A74C68" w:rsidRPr="00471CBA" w:rsidRDefault="00A74C68" w:rsidP="00A74C68">
            <w:pPr>
              <w:jc w:val="right"/>
              <w:rPr>
                <w:b/>
                <w:bCs/>
                <w:color w:val="000000"/>
                <w:sz w:val="16"/>
                <w:szCs w:val="16"/>
                <w:lang w:eastAsia="tr-TR"/>
              </w:rPr>
            </w:pPr>
            <w:r w:rsidRPr="00471CBA">
              <w:rPr>
                <w:b/>
                <w:bCs/>
                <w:color w:val="000000"/>
                <w:sz w:val="16"/>
                <w:szCs w:val="16"/>
              </w:rPr>
              <w:t>(8.225.177</w:t>
            </w:r>
            <w:r w:rsidRPr="00471CBA">
              <w:rPr>
                <w:b/>
                <w:bCs/>
                <w:color w:val="000000"/>
                <w:sz w:val="16"/>
                <w:szCs w:val="16"/>
                <w:lang w:eastAsia="tr-TR"/>
              </w:rPr>
              <w:t>)</w:t>
            </w:r>
          </w:p>
        </w:tc>
        <w:tc>
          <w:tcPr>
            <w:tcW w:w="1560" w:type="dxa"/>
            <w:tcBorders>
              <w:top w:val="single" w:sz="4" w:space="0" w:color="auto"/>
              <w:left w:val="nil"/>
              <w:bottom w:val="single" w:sz="4" w:space="0" w:color="auto"/>
              <w:right w:val="nil"/>
            </w:tcBorders>
            <w:vAlign w:val="bottom"/>
            <w:hideMark/>
          </w:tcPr>
          <w:p w14:paraId="790E18AC" w14:textId="77777777" w:rsidR="00A74C68" w:rsidRPr="00471CBA" w:rsidRDefault="00A74C68" w:rsidP="00A74C68">
            <w:pPr>
              <w:jc w:val="right"/>
              <w:rPr>
                <w:b/>
                <w:bCs/>
                <w:color w:val="000000"/>
                <w:sz w:val="16"/>
                <w:szCs w:val="16"/>
                <w:lang w:eastAsia="tr-TR"/>
              </w:rPr>
            </w:pPr>
            <w:r w:rsidRPr="00471CBA">
              <w:rPr>
                <w:b/>
                <w:bCs/>
                <w:color w:val="000000"/>
                <w:sz w:val="16"/>
                <w:szCs w:val="16"/>
              </w:rPr>
              <w:t>(53.503</w:t>
            </w:r>
            <w:r w:rsidRPr="00471CBA">
              <w:rPr>
                <w:b/>
                <w:bCs/>
                <w:color w:val="000000"/>
                <w:sz w:val="16"/>
                <w:szCs w:val="16"/>
                <w:lang w:eastAsia="tr-TR"/>
              </w:rPr>
              <w:t>)</w:t>
            </w:r>
          </w:p>
        </w:tc>
        <w:tc>
          <w:tcPr>
            <w:tcW w:w="1120" w:type="dxa"/>
            <w:tcBorders>
              <w:top w:val="single" w:sz="4" w:space="0" w:color="auto"/>
              <w:left w:val="nil"/>
              <w:bottom w:val="single" w:sz="4" w:space="0" w:color="auto"/>
              <w:right w:val="nil"/>
            </w:tcBorders>
            <w:vAlign w:val="bottom"/>
            <w:hideMark/>
          </w:tcPr>
          <w:p w14:paraId="2CD56EBA" w14:textId="77777777" w:rsidR="00A74C68" w:rsidRPr="00471CBA" w:rsidRDefault="00A74C68" w:rsidP="00A74C68">
            <w:pPr>
              <w:jc w:val="right"/>
              <w:rPr>
                <w:b/>
                <w:bCs/>
                <w:color w:val="000000"/>
                <w:sz w:val="16"/>
                <w:szCs w:val="16"/>
              </w:rPr>
            </w:pPr>
            <w:r w:rsidRPr="00471CBA">
              <w:rPr>
                <w:b/>
                <w:bCs/>
                <w:color w:val="000000"/>
                <w:sz w:val="16"/>
                <w:szCs w:val="16"/>
              </w:rPr>
              <w:t>15.193.281</w:t>
            </w:r>
          </w:p>
        </w:tc>
        <w:tc>
          <w:tcPr>
            <w:tcW w:w="1120" w:type="dxa"/>
            <w:tcBorders>
              <w:top w:val="single" w:sz="4" w:space="0" w:color="auto"/>
              <w:left w:val="nil"/>
              <w:bottom w:val="single" w:sz="4" w:space="0" w:color="auto"/>
              <w:right w:val="nil"/>
            </w:tcBorders>
            <w:vAlign w:val="bottom"/>
            <w:hideMark/>
          </w:tcPr>
          <w:p w14:paraId="1305B34F" w14:textId="77777777" w:rsidR="00A74C68" w:rsidRPr="00471CBA" w:rsidRDefault="00A74C68" w:rsidP="00A74C68">
            <w:pPr>
              <w:jc w:val="right"/>
              <w:rPr>
                <w:b/>
                <w:bCs/>
                <w:color w:val="000000"/>
                <w:sz w:val="16"/>
                <w:szCs w:val="16"/>
              </w:rPr>
            </w:pPr>
            <w:r w:rsidRPr="00471CBA">
              <w:rPr>
                <w:b/>
                <w:bCs/>
                <w:color w:val="000000"/>
                <w:sz w:val="16"/>
                <w:szCs w:val="16"/>
              </w:rPr>
              <w:t>6.914.601</w:t>
            </w:r>
          </w:p>
        </w:tc>
      </w:tr>
      <w:tr w:rsidR="00A74C68" w:rsidRPr="00471CBA" w14:paraId="6F381805" w14:textId="77777777" w:rsidTr="00A74C68">
        <w:trPr>
          <w:divId w:val="1897205856"/>
          <w:trHeight w:val="170"/>
        </w:trPr>
        <w:tc>
          <w:tcPr>
            <w:tcW w:w="4678" w:type="dxa"/>
            <w:tcBorders>
              <w:top w:val="nil"/>
              <w:left w:val="nil"/>
              <w:bottom w:val="nil"/>
              <w:right w:val="nil"/>
            </w:tcBorders>
            <w:noWrap/>
            <w:vAlign w:val="bottom"/>
            <w:hideMark/>
          </w:tcPr>
          <w:p w14:paraId="4A704DA1" w14:textId="77777777" w:rsidR="00A74C68" w:rsidRPr="00471CBA" w:rsidRDefault="00A74C68" w:rsidP="00A74C68">
            <w:pPr>
              <w:rPr>
                <w:color w:val="000000"/>
                <w:sz w:val="16"/>
                <w:szCs w:val="16"/>
                <w:lang w:eastAsia="tr-TR"/>
              </w:rPr>
            </w:pPr>
            <w:r w:rsidRPr="00471CBA">
              <w:rPr>
                <w:snapToGrid w:val="0"/>
                <w:color w:val="000000"/>
                <w:sz w:val="16"/>
                <w:szCs w:val="16"/>
              </w:rPr>
              <w:t>Türev Finansal Araçlardan Alacaklar</w:t>
            </w:r>
            <w:r w:rsidRPr="00471CBA">
              <w:rPr>
                <w:color w:val="000000"/>
                <w:sz w:val="16"/>
                <w:szCs w:val="16"/>
              </w:rPr>
              <w:t xml:space="preserve"> </w:t>
            </w:r>
            <w:r w:rsidRPr="00471CBA">
              <w:rPr>
                <w:color w:val="000000"/>
                <w:sz w:val="16"/>
                <w:szCs w:val="16"/>
                <w:vertAlign w:val="superscript"/>
                <w:lang w:eastAsia="tr-TR"/>
              </w:rPr>
              <w:t>(***)</w:t>
            </w:r>
          </w:p>
        </w:tc>
        <w:tc>
          <w:tcPr>
            <w:tcW w:w="1275" w:type="dxa"/>
            <w:tcBorders>
              <w:top w:val="nil"/>
              <w:left w:val="nil"/>
              <w:bottom w:val="nil"/>
              <w:right w:val="nil"/>
            </w:tcBorders>
            <w:vAlign w:val="bottom"/>
            <w:hideMark/>
          </w:tcPr>
          <w:p w14:paraId="515EFB32" w14:textId="77777777" w:rsidR="00A74C68" w:rsidRPr="00471CBA" w:rsidRDefault="00A74C68" w:rsidP="00A74C68">
            <w:pPr>
              <w:jc w:val="right"/>
              <w:rPr>
                <w:color w:val="000000"/>
                <w:sz w:val="16"/>
                <w:szCs w:val="16"/>
              </w:rPr>
            </w:pPr>
            <w:r w:rsidRPr="00471CBA">
              <w:rPr>
                <w:color w:val="000000"/>
                <w:sz w:val="16"/>
                <w:szCs w:val="16"/>
              </w:rPr>
              <w:t>14.197.369</w:t>
            </w:r>
          </w:p>
        </w:tc>
        <w:tc>
          <w:tcPr>
            <w:tcW w:w="1560" w:type="dxa"/>
            <w:tcBorders>
              <w:top w:val="nil"/>
              <w:left w:val="nil"/>
              <w:bottom w:val="nil"/>
              <w:right w:val="nil"/>
            </w:tcBorders>
            <w:vAlign w:val="bottom"/>
            <w:hideMark/>
          </w:tcPr>
          <w:p w14:paraId="43D7819C" w14:textId="77777777" w:rsidR="00A74C68" w:rsidRPr="00471CBA" w:rsidRDefault="00A74C68" w:rsidP="00A74C68">
            <w:pPr>
              <w:jc w:val="right"/>
              <w:rPr>
                <w:color w:val="000000"/>
                <w:sz w:val="16"/>
                <w:szCs w:val="16"/>
              </w:rPr>
            </w:pPr>
            <w:r w:rsidRPr="00471CBA">
              <w:rPr>
                <w:color w:val="000000"/>
                <w:sz w:val="16"/>
                <w:szCs w:val="16"/>
              </w:rPr>
              <w:t>82.349.199</w:t>
            </w:r>
          </w:p>
        </w:tc>
        <w:tc>
          <w:tcPr>
            <w:tcW w:w="1120" w:type="dxa"/>
            <w:tcBorders>
              <w:top w:val="nil"/>
              <w:left w:val="nil"/>
              <w:bottom w:val="nil"/>
              <w:right w:val="nil"/>
            </w:tcBorders>
            <w:vAlign w:val="bottom"/>
            <w:hideMark/>
          </w:tcPr>
          <w:p w14:paraId="3D940C59" w14:textId="77777777" w:rsidR="00A74C68" w:rsidRPr="00471CBA" w:rsidRDefault="00A74C68" w:rsidP="00A74C68">
            <w:pPr>
              <w:jc w:val="right"/>
              <w:rPr>
                <w:color w:val="000000"/>
                <w:sz w:val="16"/>
                <w:szCs w:val="16"/>
              </w:rPr>
            </w:pPr>
            <w:r w:rsidRPr="00471CBA">
              <w:rPr>
                <w:color w:val="000000"/>
                <w:sz w:val="16"/>
                <w:szCs w:val="16"/>
              </w:rPr>
              <w:t>60.288.260</w:t>
            </w:r>
          </w:p>
        </w:tc>
        <w:tc>
          <w:tcPr>
            <w:tcW w:w="1120" w:type="dxa"/>
            <w:tcBorders>
              <w:top w:val="nil"/>
              <w:left w:val="nil"/>
              <w:bottom w:val="nil"/>
              <w:right w:val="nil"/>
            </w:tcBorders>
            <w:vAlign w:val="bottom"/>
            <w:hideMark/>
          </w:tcPr>
          <w:p w14:paraId="73AA8187" w14:textId="77777777" w:rsidR="00A74C68" w:rsidRPr="00471CBA" w:rsidRDefault="00A74C68" w:rsidP="00A74C68">
            <w:pPr>
              <w:jc w:val="right"/>
              <w:rPr>
                <w:color w:val="000000"/>
                <w:sz w:val="16"/>
                <w:szCs w:val="16"/>
              </w:rPr>
            </w:pPr>
            <w:r w:rsidRPr="00471CBA">
              <w:rPr>
                <w:color w:val="000000"/>
                <w:sz w:val="16"/>
                <w:szCs w:val="16"/>
              </w:rPr>
              <w:t>156.834.828</w:t>
            </w:r>
          </w:p>
        </w:tc>
      </w:tr>
      <w:tr w:rsidR="00A74C68" w:rsidRPr="00471CBA" w14:paraId="7E1E2D4D" w14:textId="77777777" w:rsidTr="00A74C68">
        <w:trPr>
          <w:divId w:val="1897205856"/>
          <w:trHeight w:val="170"/>
        </w:trPr>
        <w:tc>
          <w:tcPr>
            <w:tcW w:w="4678" w:type="dxa"/>
            <w:tcBorders>
              <w:top w:val="nil"/>
              <w:left w:val="nil"/>
              <w:bottom w:val="nil"/>
              <w:right w:val="nil"/>
            </w:tcBorders>
            <w:noWrap/>
            <w:vAlign w:val="bottom"/>
            <w:hideMark/>
          </w:tcPr>
          <w:p w14:paraId="55FE5AF2" w14:textId="77777777" w:rsidR="00A74C68" w:rsidRPr="00471CBA" w:rsidRDefault="00A74C68" w:rsidP="00A74C68">
            <w:pPr>
              <w:rPr>
                <w:color w:val="000000"/>
                <w:sz w:val="16"/>
                <w:szCs w:val="16"/>
                <w:lang w:eastAsia="tr-TR"/>
              </w:rPr>
            </w:pPr>
            <w:r w:rsidRPr="00471CBA">
              <w:rPr>
                <w:snapToGrid w:val="0"/>
                <w:color w:val="000000"/>
                <w:sz w:val="16"/>
                <w:szCs w:val="16"/>
              </w:rPr>
              <w:t>Türev Finansal Araçlardan Borçlar</w:t>
            </w:r>
            <w:r w:rsidRPr="00471CBA">
              <w:rPr>
                <w:color w:val="000000"/>
                <w:sz w:val="16"/>
                <w:szCs w:val="16"/>
              </w:rPr>
              <w:t xml:space="preserve"> </w:t>
            </w:r>
            <w:r w:rsidRPr="00471CBA">
              <w:rPr>
                <w:color w:val="000000"/>
                <w:sz w:val="16"/>
                <w:szCs w:val="16"/>
                <w:vertAlign w:val="superscript"/>
                <w:lang w:eastAsia="tr-TR"/>
              </w:rPr>
              <w:t>(***)</w:t>
            </w:r>
          </w:p>
        </w:tc>
        <w:tc>
          <w:tcPr>
            <w:tcW w:w="1275" w:type="dxa"/>
            <w:tcBorders>
              <w:top w:val="nil"/>
              <w:left w:val="nil"/>
              <w:bottom w:val="nil"/>
              <w:right w:val="nil"/>
            </w:tcBorders>
            <w:vAlign w:val="bottom"/>
            <w:hideMark/>
          </w:tcPr>
          <w:p w14:paraId="19F3DBBF" w14:textId="77777777" w:rsidR="00A74C68" w:rsidRPr="00471CBA" w:rsidRDefault="00A74C68" w:rsidP="00A74C68">
            <w:pPr>
              <w:jc w:val="right"/>
              <w:rPr>
                <w:color w:val="000000"/>
                <w:sz w:val="16"/>
                <w:szCs w:val="16"/>
              </w:rPr>
            </w:pPr>
            <w:r w:rsidRPr="00471CBA">
              <w:rPr>
                <w:color w:val="000000"/>
                <w:sz w:val="16"/>
                <w:szCs w:val="16"/>
              </w:rPr>
              <w:t>22.422.546</w:t>
            </w:r>
          </w:p>
        </w:tc>
        <w:tc>
          <w:tcPr>
            <w:tcW w:w="1560" w:type="dxa"/>
            <w:tcBorders>
              <w:top w:val="nil"/>
              <w:left w:val="nil"/>
              <w:bottom w:val="nil"/>
              <w:right w:val="nil"/>
            </w:tcBorders>
            <w:vAlign w:val="bottom"/>
            <w:hideMark/>
          </w:tcPr>
          <w:p w14:paraId="3B41DC18" w14:textId="77777777" w:rsidR="00A74C68" w:rsidRPr="00471CBA" w:rsidRDefault="00A74C68" w:rsidP="00A74C68">
            <w:pPr>
              <w:jc w:val="right"/>
              <w:rPr>
                <w:color w:val="000000"/>
                <w:sz w:val="16"/>
                <w:szCs w:val="16"/>
              </w:rPr>
            </w:pPr>
            <w:r w:rsidRPr="00471CBA">
              <w:rPr>
                <w:color w:val="000000"/>
                <w:sz w:val="16"/>
                <w:szCs w:val="16"/>
              </w:rPr>
              <w:t>82.402.702</w:t>
            </w:r>
          </w:p>
        </w:tc>
        <w:tc>
          <w:tcPr>
            <w:tcW w:w="1120" w:type="dxa"/>
            <w:tcBorders>
              <w:top w:val="nil"/>
              <w:left w:val="nil"/>
              <w:bottom w:val="nil"/>
              <w:right w:val="nil"/>
            </w:tcBorders>
            <w:vAlign w:val="bottom"/>
            <w:hideMark/>
          </w:tcPr>
          <w:p w14:paraId="68A556EA" w14:textId="77777777" w:rsidR="00A74C68" w:rsidRPr="00471CBA" w:rsidRDefault="00A74C68" w:rsidP="00A74C68">
            <w:pPr>
              <w:jc w:val="right"/>
              <w:rPr>
                <w:color w:val="000000"/>
                <w:sz w:val="16"/>
                <w:szCs w:val="16"/>
              </w:rPr>
            </w:pPr>
            <w:r w:rsidRPr="00471CBA">
              <w:rPr>
                <w:color w:val="000000"/>
                <w:sz w:val="16"/>
                <w:szCs w:val="16"/>
              </w:rPr>
              <w:t>45.094.979</w:t>
            </w:r>
          </w:p>
        </w:tc>
        <w:tc>
          <w:tcPr>
            <w:tcW w:w="1120" w:type="dxa"/>
            <w:tcBorders>
              <w:top w:val="nil"/>
              <w:left w:val="nil"/>
              <w:bottom w:val="nil"/>
              <w:right w:val="nil"/>
            </w:tcBorders>
            <w:vAlign w:val="bottom"/>
            <w:hideMark/>
          </w:tcPr>
          <w:p w14:paraId="2A0432D0" w14:textId="77777777" w:rsidR="00A74C68" w:rsidRPr="00471CBA" w:rsidRDefault="00A74C68" w:rsidP="00A74C68">
            <w:pPr>
              <w:jc w:val="right"/>
              <w:rPr>
                <w:color w:val="000000"/>
                <w:sz w:val="16"/>
                <w:szCs w:val="16"/>
              </w:rPr>
            </w:pPr>
            <w:r w:rsidRPr="00471CBA">
              <w:rPr>
                <w:color w:val="000000"/>
                <w:sz w:val="16"/>
                <w:szCs w:val="16"/>
              </w:rPr>
              <w:t>149.920.227</w:t>
            </w:r>
          </w:p>
        </w:tc>
      </w:tr>
      <w:tr w:rsidR="00A74C68" w:rsidRPr="00471CBA" w14:paraId="2B58B75F" w14:textId="77777777" w:rsidTr="00A74C68">
        <w:trPr>
          <w:divId w:val="1897205856"/>
          <w:trHeight w:val="170"/>
        </w:trPr>
        <w:tc>
          <w:tcPr>
            <w:tcW w:w="4678" w:type="dxa"/>
            <w:tcBorders>
              <w:top w:val="nil"/>
              <w:left w:val="nil"/>
              <w:bottom w:val="single" w:sz="4" w:space="0" w:color="auto"/>
              <w:right w:val="nil"/>
            </w:tcBorders>
            <w:noWrap/>
            <w:vAlign w:val="bottom"/>
            <w:hideMark/>
          </w:tcPr>
          <w:p w14:paraId="66BCD7B5" w14:textId="77777777" w:rsidR="00A74C68" w:rsidRPr="00471CBA" w:rsidRDefault="00A74C68" w:rsidP="00A74C68">
            <w:pPr>
              <w:rPr>
                <w:color w:val="000000"/>
                <w:sz w:val="16"/>
                <w:szCs w:val="16"/>
                <w:lang w:eastAsia="tr-TR"/>
              </w:rPr>
            </w:pPr>
            <w:proofErr w:type="spellStart"/>
            <w:r w:rsidRPr="00471CBA">
              <w:rPr>
                <w:color w:val="000000"/>
                <w:sz w:val="16"/>
                <w:szCs w:val="16"/>
              </w:rPr>
              <w:t>Gayrinakdi</w:t>
            </w:r>
            <w:proofErr w:type="spellEnd"/>
            <w:r w:rsidRPr="00471CBA">
              <w:rPr>
                <w:color w:val="000000"/>
                <w:sz w:val="16"/>
                <w:szCs w:val="16"/>
              </w:rPr>
              <w:t xml:space="preserve"> Krediler </w:t>
            </w:r>
            <w:r w:rsidRPr="00471CBA">
              <w:rPr>
                <w:color w:val="000000"/>
                <w:sz w:val="16"/>
                <w:szCs w:val="16"/>
                <w:vertAlign w:val="superscript"/>
                <w:lang w:eastAsia="tr-TR"/>
              </w:rPr>
              <w:t>(****)</w:t>
            </w:r>
          </w:p>
        </w:tc>
        <w:tc>
          <w:tcPr>
            <w:tcW w:w="1275" w:type="dxa"/>
            <w:tcBorders>
              <w:top w:val="nil"/>
              <w:left w:val="nil"/>
              <w:bottom w:val="single" w:sz="4" w:space="0" w:color="auto"/>
              <w:right w:val="nil"/>
            </w:tcBorders>
            <w:vAlign w:val="bottom"/>
            <w:hideMark/>
          </w:tcPr>
          <w:p w14:paraId="75AC3AF4" w14:textId="77777777" w:rsidR="00A74C68" w:rsidRPr="00471CBA" w:rsidRDefault="00A74C68" w:rsidP="00A74C68">
            <w:pPr>
              <w:jc w:val="right"/>
              <w:rPr>
                <w:color w:val="000000"/>
                <w:sz w:val="16"/>
                <w:szCs w:val="16"/>
              </w:rPr>
            </w:pPr>
            <w:r w:rsidRPr="00471CBA">
              <w:rPr>
                <w:color w:val="000000"/>
                <w:sz w:val="16"/>
                <w:szCs w:val="16"/>
              </w:rPr>
              <w:t>4.450.536</w:t>
            </w:r>
          </w:p>
        </w:tc>
        <w:tc>
          <w:tcPr>
            <w:tcW w:w="1560" w:type="dxa"/>
            <w:tcBorders>
              <w:top w:val="nil"/>
              <w:left w:val="nil"/>
              <w:bottom w:val="single" w:sz="4" w:space="0" w:color="auto"/>
              <w:right w:val="nil"/>
            </w:tcBorders>
            <w:vAlign w:val="bottom"/>
            <w:hideMark/>
          </w:tcPr>
          <w:p w14:paraId="6B5E9AAC" w14:textId="77777777" w:rsidR="00A74C68" w:rsidRPr="00471CBA" w:rsidRDefault="00A74C68" w:rsidP="00A74C68">
            <w:pPr>
              <w:jc w:val="right"/>
              <w:rPr>
                <w:color w:val="000000"/>
                <w:sz w:val="16"/>
                <w:szCs w:val="16"/>
              </w:rPr>
            </w:pPr>
            <w:r w:rsidRPr="00471CBA">
              <w:rPr>
                <w:color w:val="000000"/>
                <w:sz w:val="16"/>
                <w:szCs w:val="16"/>
              </w:rPr>
              <w:t>3.522.106</w:t>
            </w:r>
          </w:p>
        </w:tc>
        <w:tc>
          <w:tcPr>
            <w:tcW w:w="1120" w:type="dxa"/>
            <w:tcBorders>
              <w:top w:val="nil"/>
              <w:left w:val="nil"/>
              <w:bottom w:val="single" w:sz="4" w:space="0" w:color="auto"/>
              <w:right w:val="nil"/>
            </w:tcBorders>
            <w:vAlign w:val="bottom"/>
            <w:hideMark/>
          </w:tcPr>
          <w:p w14:paraId="2760B864" w14:textId="77777777" w:rsidR="00A74C68" w:rsidRPr="00471CBA" w:rsidRDefault="00A74C68" w:rsidP="00A74C68">
            <w:pPr>
              <w:jc w:val="right"/>
              <w:rPr>
                <w:color w:val="000000"/>
                <w:sz w:val="16"/>
                <w:szCs w:val="16"/>
              </w:rPr>
            </w:pPr>
            <w:r w:rsidRPr="00471CBA">
              <w:rPr>
                <w:color w:val="000000"/>
                <w:sz w:val="16"/>
                <w:szCs w:val="16"/>
              </w:rPr>
              <w:t>233.253</w:t>
            </w:r>
          </w:p>
        </w:tc>
        <w:tc>
          <w:tcPr>
            <w:tcW w:w="1120" w:type="dxa"/>
            <w:tcBorders>
              <w:top w:val="nil"/>
              <w:left w:val="nil"/>
              <w:bottom w:val="single" w:sz="4" w:space="0" w:color="auto"/>
              <w:right w:val="nil"/>
            </w:tcBorders>
            <w:vAlign w:val="bottom"/>
            <w:hideMark/>
          </w:tcPr>
          <w:p w14:paraId="448E8A34" w14:textId="77777777" w:rsidR="00A74C68" w:rsidRPr="00471CBA" w:rsidRDefault="00A74C68" w:rsidP="00A74C68">
            <w:pPr>
              <w:jc w:val="right"/>
              <w:rPr>
                <w:color w:val="000000"/>
                <w:sz w:val="16"/>
                <w:szCs w:val="16"/>
              </w:rPr>
            </w:pPr>
            <w:r w:rsidRPr="00471CBA">
              <w:rPr>
                <w:color w:val="000000"/>
                <w:sz w:val="16"/>
                <w:szCs w:val="16"/>
              </w:rPr>
              <w:t>8.205.895</w:t>
            </w:r>
          </w:p>
        </w:tc>
      </w:tr>
      <w:tr w:rsidR="00A74C68" w:rsidRPr="00471CBA" w14:paraId="3C854096" w14:textId="77777777" w:rsidTr="00A74C68">
        <w:trPr>
          <w:divId w:val="1897205856"/>
          <w:trHeight w:val="170"/>
        </w:trPr>
        <w:tc>
          <w:tcPr>
            <w:tcW w:w="4678" w:type="dxa"/>
            <w:tcBorders>
              <w:top w:val="nil"/>
              <w:left w:val="nil"/>
              <w:bottom w:val="nil"/>
              <w:right w:val="nil"/>
            </w:tcBorders>
            <w:noWrap/>
            <w:vAlign w:val="bottom"/>
            <w:hideMark/>
          </w:tcPr>
          <w:p w14:paraId="057F801F" w14:textId="77777777" w:rsidR="00A74C68" w:rsidRPr="00471CBA" w:rsidRDefault="00A74C68" w:rsidP="00A74C68">
            <w:pPr>
              <w:rPr>
                <w:color w:val="000000"/>
                <w:sz w:val="16"/>
                <w:szCs w:val="16"/>
              </w:rPr>
            </w:pPr>
          </w:p>
        </w:tc>
        <w:tc>
          <w:tcPr>
            <w:tcW w:w="1275" w:type="dxa"/>
            <w:tcBorders>
              <w:top w:val="nil"/>
              <w:left w:val="nil"/>
              <w:bottom w:val="nil"/>
              <w:right w:val="nil"/>
            </w:tcBorders>
            <w:vAlign w:val="center"/>
            <w:hideMark/>
          </w:tcPr>
          <w:p w14:paraId="0762D91E" w14:textId="77777777" w:rsidR="00A74C68" w:rsidRPr="00471CBA" w:rsidRDefault="00A74C68" w:rsidP="00A74C68">
            <w:pPr>
              <w:jc w:val="right"/>
              <w:rPr>
                <w:sz w:val="16"/>
                <w:szCs w:val="16"/>
              </w:rPr>
            </w:pPr>
          </w:p>
        </w:tc>
        <w:tc>
          <w:tcPr>
            <w:tcW w:w="1560" w:type="dxa"/>
            <w:tcBorders>
              <w:top w:val="nil"/>
              <w:left w:val="nil"/>
              <w:bottom w:val="nil"/>
              <w:right w:val="nil"/>
            </w:tcBorders>
            <w:vAlign w:val="center"/>
            <w:hideMark/>
          </w:tcPr>
          <w:p w14:paraId="762FFBAF" w14:textId="77777777" w:rsidR="00A74C68" w:rsidRPr="00471CBA" w:rsidRDefault="00A74C68" w:rsidP="00A74C68">
            <w:pPr>
              <w:jc w:val="right"/>
              <w:rPr>
                <w:sz w:val="16"/>
                <w:szCs w:val="16"/>
              </w:rPr>
            </w:pPr>
          </w:p>
        </w:tc>
        <w:tc>
          <w:tcPr>
            <w:tcW w:w="1120" w:type="dxa"/>
            <w:tcBorders>
              <w:top w:val="nil"/>
              <w:left w:val="nil"/>
              <w:bottom w:val="nil"/>
              <w:right w:val="nil"/>
            </w:tcBorders>
            <w:vAlign w:val="center"/>
            <w:hideMark/>
          </w:tcPr>
          <w:p w14:paraId="29D753B9" w14:textId="77777777" w:rsidR="00A74C68" w:rsidRPr="00471CBA" w:rsidRDefault="00A74C68" w:rsidP="00A74C68">
            <w:pPr>
              <w:jc w:val="right"/>
              <w:rPr>
                <w:sz w:val="16"/>
                <w:szCs w:val="16"/>
              </w:rPr>
            </w:pPr>
          </w:p>
        </w:tc>
        <w:tc>
          <w:tcPr>
            <w:tcW w:w="1120" w:type="dxa"/>
            <w:tcBorders>
              <w:top w:val="nil"/>
              <w:left w:val="nil"/>
              <w:bottom w:val="nil"/>
              <w:right w:val="nil"/>
            </w:tcBorders>
            <w:vAlign w:val="center"/>
            <w:hideMark/>
          </w:tcPr>
          <w:p w14:paraId="44B3B075" w14:textId="77777777" w:rsidR="00A74C68" w:rsidRPr="00471CBA" w:rsidRDefault="00A74C68" w:rsidP="00A74C68">
            <w:pPr>
              <w:jc w:val="right"/>
              <w:rPr>
                <w:sz w:val="16"/>
                <w:szCs w:val="16"/>
              </w:rPr>
            </w:pPr>
          </w:p>
        </w:tc>
      </w:tr>
      <w:tr w:rsidR="00A74C68" w:rsidRPr="00471CBA" w14:paraId="5D41AE3B" w14:textId="77777777" w:rsidTr="00A74C68">
        <w:trPr>
          <w:divId w:val="1897205856"/>
          <w:trHeight w:val="170"/>
        </w:trPr>
        <w:tc>
          <w:tcPr>
            <w:tcW w:w="4678" w:type="dxa"/>
            <w:tcBorders>
              <w:top w:val="nil"/>
              <w:left w:val="nil"/>
              <w:bottom w:val="single" w:sz="4" w:space="0" w:color="auto"/>
              <w:right w:val="nil"/>
            </w:tcBorders>
            <w:noWrap/>
            <w:vAlign w:val="center"/>
            <w:hideMark/>
          </w:tcPr>
          <w:p w14:paraId="5F0B8A4A" w14:textId="77777777" w:rsidR="00A74C68" w:rsidRPr="00471CBA" w:rsidRDefault="00A74C68" w:rsidP="00A74C68">
            <w:pPr>
              <w:jc w:val="both"/>
              <w:rPr>
                <w:b/>
                <w:bCs/>
                <w:color w:val="000000"/>
                <w:sz w:val="16"/>
                <w:szCs w:val="16"/>
              </w:rPr>
            </w:pPr>
            <w:r w:rsidRPr="00471CBA">
              <w:rPr>
                <w:b/>
                <w:bCs/>
                <w:color w:val="000000"/>
                <w:sz w:val="16"/>
                <w:szCs w:val="16"/>
              </w:rPr>
              <w:t>31 Aralık 2024</w:t>
            </w:r>
          </w:p>
        </w:tc>
        <w:tc>
          <w:tcPr>
            <w:tcW w:w="1275" w:type="dxa"/>
            <w:tcBorders>
              <w:top w:val="nil"/>
              <w:left w:val="nil"/>
              <w:bottom w:val="single" w:sz="4" w:space="0" w:color="auto"/>
              <w:right w:val="nil"/>
            </w:tcBorders>
            <w:noWrap/>
            <w:vAlign w:val="bottom"/>
            <w:hideMark/>
          </w:tcPr>
          <w:p w14:paraId="58C523E1" w14:textId="77777777" w:rsidR="00A74C68" w:rsidRPr="00471CBA" w:rsidRDefault="00A74C68" w:rsidP="00A74C68">
            <w:pPr>
              <w:jc w:val="right"/>
              <w:rPr>
                <w:color w:val="000000"/>
                <w:sz w:val="16"/>
                <w:szCs w:val="16"/>
              </w:rPr>
            </w:pPr>
            <w:r w:rsidRPr="00471CBA">
              <w:rPr>
                <w:color w:val="000000"/>
                <w:sz w:val="16"/>
                <w:szCs w:val="16"/>
              </w:rPr>
              <w:t> </w:t>
            </w:r>
          </w:p>
        </w:tc>
        <w:tc>
          <w:tcPr>
            <w:tcW w:w="1560" w:type="dxa"/>
            <w:tcBorders>
              <w:top w:val="nil"/>
              <w:left w:val="nil"/>
              <w:bottom w:val="single" w:sz="4" w:space="0" w:color="auto"/>
              <w:right w:val="nil"/>
            </w:tcBorders>
            <w:noWrap/>
            <w:vAlign w:val="bottom"/>
            <w:hideMark/>
          </w:tcPr>
          <w:p w14:paraId="1DFE5744" w14:textId="77777777" w:rsidR="00A74C68" w:rsidRPr="00471CBA" w:rsidRDefault="00A74C68" w:rsidP="00A74C68">
            <w:pPr>
              <w:jc w:val="right"/>
              <w:rPr>
                <w:color w:val="000000"/>
                <w:sz w:val="16"/>
                <w:szCs w:val="16"/>
              </w:rPr>
            </w:pPr>
            <w:r w:rsidRPr="00471CBA">
              <w:rPr>
                <w:color w:val="000000"/>
                <w:sz w:val="16"/>
                <w:szCs w:val="16"/>
              </w:rPr>
              <w:t> </w:t>
            </w:r>
          </w:p>
        </w:tc>
        <w:tc>
          <w:tcPr>
            <w:tcW w:w="1120" w:type="dxa"/>
            <w:tcBorders>
              <w:top w:val="nil"/>
              <w:left w:val="nil"/>
              <w:bottom w:val="single" w:sz="4" w:space="0" w:color="auto"/>
              <w:right w:val="nil"/>
            </w:tcBorders>
            <w:noWrap/>
            <w:vAlign w:val="bottom"/>
            <w:hideMark/>
          </w:tcPr>
          <w:p w14:paraId="41668E17" w14:textId="77777777" w:rsidR="00A74C68" w:rsidRPr="00471CBA" w:rsidRDefault="00A74C68" w:rsidP="00A74C68">
            <w:pPr>
              <w:jc w:val="right"/>
              <w:rPr>
                <w:color w:val="000000"/>
                <w:sz w:val="16"/>
                <w:szCs w:val="16"/>
              </w:rPr>
            </w:pPr>
            <w:r w:rsidRPr="00471CBA">
              <w:rPr>
                <w:color w:val="000000"/>
                <w:sz w:val="16"/>
                <w:szCs w:val="16"/>
              </w:rPr>
              <w:t> </w:t>
            </w:r>
          </w:p>
        </w:tc>
        <w:tc>
          <w:tcPr>
            <w:tcW w:w="1120" w:type="dxa"/>
            <w:tcBorders>
              <w:top w:val="nil"/>
              <w:left w:val="nil"/>
              <w:bottom w:val="single" w:sz="4" w:space="0" w:color="auto"/>
              <w:right w:val="nil"/>
            </w:tcBorders>
            <w:noWrap/>
            <w:vAlign w:val="bottom"/>
            <w:hideMark/>
          </w:tcPr>
          <w:p w14:paraId="1665DFA6" w14:textId="77777777" w:rsidR="00A74C68" w:rsidRPr="00471CBA" w:rsidRDefault="00A74C68" w:rsidP="00A74C68">
            <w:pPr>
              <w:jc w:val="right"/>
              <w:rPr>
                <w:color w:val="000000"/>
                <w:sz w:val="16"/>
                <w:szCs w:val="16"/>
              </w:rPr>
            </w:pPr>
            <w:r w:rsidRPr="00471CBA">
              <w:rPr>
                <w:color w:val="000000"/>
                <w:sz w:val="16"/>
                <w:szCs w:val="16"/>
              </w:rPr>
              <w:t> </w:t>
            </w:r>
          </w:p>
        </w:tc>
      </w:tr>
      <w:tr w:rsidR="00A74C68" w:rsidRPr="00471CBA" w14:paraId="4404321F" w14:textId="77777777" w:rsidTr="00A74C68">
        <w:trPr>
          <w:divId w:val="1897205856"/>
          <w:trHeight w:val="170"/>
        </w:trPr>
        <w:tc>
          <w:tcPr>
            <w:tcW w:w="4678" w:type="dxa"/>
            <w:tcBorders>
              <w:top w:val="nil"/>
              <w:left w:val="nil"/>
              <w:bottom w:val="nil"/>
              <w:right w:val="nil"/>
            </w:tcBorders>
            <w:noWrap/>
            <w:vAlign w:val="bottom"/>
            <w:hideMark/>
          </w:tcPr>
          <w:p w14:paraId="3BC5FFDA" w14:textId="77777777" w:rsidR="00A74C68" w:rsidRPr="00471CBA" w:rsidRDefault="00A74C68" w:rsidP="00A74C68">
            <w:pPr>
              <w:rPr>
                <w:color w:val="000000"/>
                <w:sz w:val="16"/>
                <w:szCs w:val="16"/>
              </w:rPr>
            </w:pPr>
            <w:r w:rsidRPr="00471CBA">
              <w:rPr>
                <w:snapToGrid w:val="0"/>
                <w:color w:val="000000"/>
                <w:sz w:val="16"/>
                <w:szCs w:val="16"/>
              </w:rPr>
              <w:t xml:space="preserve">Toplam Varlıklar </w:t>
            </w:r>
          </w:p>
        </w:tc>
        <w:tc>
          <w:tcPr>
            <w:tcW w:w="1275" w:type="dxa"/>
            <w:tcBorders>
              <w:top w:val="nil"/>
              <w:left w:val="nil"/>
              <w:bottom w:val="nil"/>
              <w:right w:val="nil"/>
            </w:tcBorders>
            <w:vAlign w:val="center"/>
            <w:hideMark/>
          </w:tcPr>
          <w:p w14:paraId="35F50FAF" w14:textId="77777777" w:rsidR="00A74C68" w:rsidRPr="00471CBA" w:rsidRDefault="00A74C68" w:rsidP="00A74C68">
            <w:pPr>
              <w:jc w:val="right"/>
              <w:rPr>
                <w:color w:val="000000"/>
                <w:sz w:val="16"/>
                <w:szCs w:val="16"/>
              </w:rPr>
            </w:pPr>
            <w:r w:rsidRPr="00471CBA">
              <w:rPr>
                <w:color w:val="000000"/>
                <w:sz w:val="16"/>
                <w:szCs w:val="16"/>
              </w:rPr>
              <w:t>6.215.760</w:t>
            </w:r>
          </w:p>
        </w:tc>
        <w:tc>
          <w:tcPr>
            <w:tcW w:w="1560" w:type="dxa"/>
            <w:tcBorders>
              <w:top w:val="nil"/>
              <w:left w:val="nil"/>
              <w:bottom w:val="nil"/>
              <w:right w:val="nil"/>
            </w:tcBorders>
            <w:vAlign w:val="center"/>
            <w:hideMark/>
          </w:tcPr>
          <w:p w14:paraId="15677CFA" w14:textId="77777777" w:rsidR="00A74C68" w:rsidRPr="00471CBA" w:rsidRDefault="00A74C68" w:rsidP="00A74C68">
            <w:pPr>
              <w:jc w:val="right"/>
              <w:rPr>
                <w:color w:val="000000"/>
                <w:sz w:val="16"/>
                <w:szCs w:val="16"/>
              </w:rPr>
            </w:pPr>
            <w:r w:rsidRPr="00471CBA">
              <w:rPr>
                <w:color w:val="000000"/>
                <w:sz w:val="16"/>
                <w:szCs w:val="16"/>
              </w:rPr>
              <w:t>6.299.982</w:t>
            </w:r>
          </w:p>
        </w:tc>
        <w:tc>
          <w:tcPr>
            <w:tcW w:w="1120" w:type="dxa"/>
            <w:tcBorders>
              <w:top w:val="nil"/>
              <w:left w:val="nil"/>
              <w:bottom w:val="nil"/>
              <w:right w:val="nil"/>
            </w:tcBorders>
            <w:vAlign w:val="center"/>
            <w:hideMark/>
          </w:tcPr>
          <w:p w14:paraId="3E32327A" w14:textId="77777777" w:rsidR="00A74C68" w:rsidRPr="00471CBA" w:rsidRDefault="00A74C68" w:rsidP="00A74C68">
            <w:pPr>
              <w:jc w:val="right"/>
              <w:rPr>
                <w:color w:val="000000"/>
                <w:sz w:val="16"/>
                <w:szCs w:val="16"/>
              </w:rPr>
            </w:pPr>
            <w:r w:rsidRPr="00471CBA">
              <w:rPr>
                <w:color w:val="000000"/>
                <w:sz w:val="16"/>
                <w:szCs w:val="16"/>
              </w:rPr>
              <w:t>1.593.142</w:t>
            </w:r>
          </w:p>
        </w:tc>
        <w:tc>
          <w:tcPr>
            <w:tcW w:w="1120" w:type="dxa"/>
            <w:tcBorders>
              <w:top w:val="nil"/>
              <w:left w:val="nil"/>
              <w:bottom w:val="nil"/>
              <w:right w:val="nil"/>
            </w:tcBorders>
            <w:vAlign w:val="center"/>
            <w:hideMark/>
          </w:tcPr>
          <w:p w14:paraId="26C739E1" w14:textId="77777777" w:rsidR="00A74C68" w:rsidRPr="00471CBA" w:rsidRDefault="00A74C68" w:rsidP="00A74C68">
            <w:pPr>
              <w:jc w:val="right"/>
              <w:rPr>
                <w:color w:val="000000"/>
                <w:sz w:val="16"/>
                <w:szCs w:val="16"/>
              </w:rPr>
            </w:pPr>
            <w:r w:rsidRPr="00471CBA">
              <w:rPr>
                <w:color w:val="000000"/>
                <w:sz w:val="16"/>
                <w:szCs w:val="16"/>
              </w:rPr>
              <w:t>14.108.884</w:t>
            </w:r>
          </w:p>
        </w:tc>
      </w:tr>
      <w:tr w:rsidR="00A74C68" w:rsidRPr="00471CBA" w14:paraId="23594289" w14:textId="77777777" w:rsidTr="00A74C68">
        <w:trPr>
          <w:divId w:val="1897205856"/>
          <w:trHeight w:val="170"/>
        </w:trPr>
        <w:tc>
          <w:tcPr>
            <w:tcW w:w="4678" w:type="dxa"/>
            <w:tcBorders>
              <w:top w:val="nil"/>
              <w:left w:val="nil"/>
              <w:bottom w:val="single" w:sz="4" w:space="0" w:color="auto"/>
              <w:right w:val="nil"/>
            </w:tcBorders>
            <w:noWrap/>
            <w:vAlign w:val="bottom"/>
            <w:hideMark/>
          </w:tcPr>
          <w:p w14:paraId="7003B0BE" w14:textId="77777777" w:rsidR="00A74C68" w:rsidRPr="00471CBA" w:rsidRDefault="00A74C68" w:rsidP="00A74C68">
            <w:pPr>
              <w:rPr>
                <w:color w:val="000000"/>
                <w:sz w:val="16"/>
                <w:szCs w:val="16"/>
              </w:rPr>
            </w:pPr>
            <w:r w:rsidRPr="00471CBA">
              <w:rPr>
                <w:color w:val="000000"/>
                <w:sz w:val="16"/>
                <w:szCs w:val="16"/>
              </w:rPr>
              <w:t xml:space="preserve">Toplam Yükümlülükler </w:t>
            </w:r>
          </w:p>
        </w:tc>
        <w:tc>
          <w:tcPr>
            <w:tcW w:w="1275" w:type="dxa"/>
            <w:tcBorders>
              <w:top w:val="nil"/>
              <w:left w:val="nil"/>
              <w:bottom w:val="single" w:sz="4" w:space="0" w:color="auto"/>
              <w:right w:val="nil"/>
            </w:tcBorders>
            <w:vAlign w:val="center"/>
            <w:hideMark/>
          </w:tcPr>
          <w:p w14:paraId="58A04EED" w14:textId="77777777" w:rsidR="00A74C68" w:rsidRPr="00471CBA" w:rsidRDefault="00A74C68" w:rsidP="00A74C68">
            <w:pPr>
              <w:jc w:val="right"/>
              <w:rPr>
                <w:color w:val="000000"/>
                <w:sz w:val="16"/>
                <w:szCs w:val="16"/>
              </w:rPr>
            </w:pPr>
            <w:r w:rsidRPr="00471CBA">
              <w:rPr>
                <w:color w:val="000000"/>
                <w:sz w:val="16"/>
                <w:szCs w:val="16"/>
              </w:rPr>
              <w:t>5.131.056</w:t>
            </w:r>
          </w:p>
        </w:tc>
        <w:tc>
          <w:tcPr>
            <w:tcW w:w="1560" w:type="dxa"/>
            <w:tcBorders>
              <w:top w:val="nil"/>
              <w:left w:val="nil"/>
              <w:bottom w:val="single" w:sz="4" w:space="0" w:color="auto"/>
              <w:right w:val="nil"/>
            </w:tcBorders>
            <w:vAlign w:val="center"/>
            <w:hideMark/>
          </w:tcPr>
          <w:p w14:paraId="1900B523" w14:textId="77777777" w:rsidR="00A74C68" w:rsidRPr="00471CBA" w:rsidRDefault="00A74C68" w:rsidP="00A74C68">
            <w:pPr>
              <w:jc w:val="right"/>
              <w:rPr>
                <w:color w:val="000000"/>
                <w:sz w:val="16"/>
                <w:szCs w:val="16"/>
              </w:rPr>
            </w:pPr>
            <w:r w:rsidRPr="00471CBA">
              <w:rPr>
                <w:color w:val="000000"/>
                <w:sz w:val="16"/>
                <w:szCs w:val="16"/>
              </w:rPr>
              <w:t>5.618.541</w:t>
            </w:r>
          </w:p>
        </w:tc>
        <w:tc>
          <w:tcPr>
            <w:tcW w:w="1120" w:type="dxa"/>
            <w:tcBorders>
              <w:top w:val="nil"/>
              <w:left w:val="nil"/>
              <w:bottom w:val="single" w:sz="4" w:space="0" w:color="auto"/>
              <w:right w:val="nil"/>
            </w:tcBorders>
            <w:vAlign w:val="center"/>
            <w:hideMark/>
          </w:tcPr>
          <w:p w14:paraId="4B31CDCA" w14:textId="77777777" w:rsidR="00A74C68" w:rsidRPr="00471CBA" w:rsidRDefault="00A74C68" w:rsidP="00A74C68">
            <w:pPr>
              <w:jc w:val="right"/>
              <w:rPr>
                <w:color w:val="000000"/>
                <w:sz w:val="16"/>
                <w:szCs w:val="16"/>
              </w:rPr>
            </w:pPr>
            <w:r w:rsidRPr="00471CBA">
              <w:rPr>
                <w:color w:val="000000"/>
                <w:sz w:val="16"/>
                <w:szCs w:val="16"/>
              </w:rPr>
              <w:t>1.646.430</w:t>
            </w:r>
          </w:p>
        </w:tc>
        <w:tc>
          <w:tcPr>
            <w:tcW w:w="1120" w:type="dxa"/>
            <w:tcBorders>
              <w:top w:val="nil"/>
              <w:left w:val="nil"/>
              <w:bottom w:val="single" w:sz="4" w:space="0" w:color="auto"/>
              <w:right w:val="nil"/>
            </w:tcBorders>
            <w:vAlign w:val="center"/>
            <w:hideMark/>
          </w:tcPr>
          <w:p w14:paraId="50B0A290" w14:textId="77777777" w:rsidR="00A74C68" w:rsidRPr="00471CBA" w:rsidRDefault="00A74C68" w:rsidP="00A74C68">
            <w:pPr>
              <w:jc w:val="right"/>
              <w:rPr>
                <w:color w:val="000000"/>
                <w:sz w:val="16"/>
                <w:szCs w:val="16"/>
              </w:rPr>
            </w:pPr>
            <w:r w:rsidRPr="00471CBA">
              <w:rPr>
                <w:color w:val="000000"/>
                <w:sz w:val="16"/>
                <w:szCs w:val="16"/>
              </w:rPr>
              <w:t>12.396.027</w:t>
            </w:r>
          </w:p>
        </w:tc>
      </w:tr>
      <w:tr w:rsidR="00A74C68" w:rsidRPr="00471CBA" w14:paraId="2B597879" w14:textId="77777777" w:rsidTr="00A74C68">
        <w:trPr>
          <w:divId w:val="1897205856"/>
          <w:trHeight w:val="170"/>
        </w:trPr>
        <w:tc>
          <w:tcPr>
            <w:tcW w:w="4678" w:type="dxa"/>
            <w:tcBorders>
              <w:top w:val="nil"/>
              <w:left w:val="nil"/>
              <w:bottom w:val="nil"/>
              <w:right w:val="nil"/>
            </w:tcBorders>
            <w:noWrap/>
            <w:vAlign w:val="bottom"/>
            <w:hideMark/>
          </w:tcPr>
          <w:p w14:paraId="325A3B8A" w14:textId="77777777" w:rsidR="00A74C68" w:rsidRPr="00471CBA" w:rsidRDefault="00A74C68" w:rsidP="00A74C68">
            <w:pPr>
              <w:jc w:val="right"/>
              <w:rPr>
                <w:color w:val="000000"/>
                <w:sz w:val="16"/>
                <w:szCs w:val="16"/>
              </w:rPr>
            </w:pPr>
          </w:p>
        </w:tc>
        <w:tc>
          <w:tcPr>
            <w:tcW w:w="1275" w:type="dxa"/>
            <w:tcBorders>
              <w:top w:val="nil"/>
              <w:left w:val="nil"/>
              <w:bottom w:val="nil"/>
              <w:right w:val="nil"/>
            </w:tcBorders>
            <w:noWrap/>
            <w:vAlign w:val="bottom"/>
            <w:hideMark/>
          </w:tcPr>
          <w:p w14:paraId="4AAAF8B2" w14:textId="77777777" w:rsidR="00A74C68" w:rsidRPr="00471CBA" w:rsidRDefault="00A74C68" w:rsidP="00A74C68">
            <w:pPr>
              <w:jc w:val="right"/>
              <w:rPr>
                <w:sz w:val="16"/>
                <w:szCs w:val="16"/>
              </w:rPr>
            </w:pPr>
          </w:p>
        </w:tc>
        <w:tc>
          <w:tcPr>
            <w:tcW w:w="1560" w:type="dxa"/>
            <w:tcBorders>
              <w:top w:val="nil"/>
              <w:left w:val="nil"/>
              <w:bottom w:val="nil"/>
              <w:right w:val="nil"/>
            </w:tcBorders>
            <w:noWrap/>
            <w:vAlign w:val="bottom"/>
            <w:hideMark/>
          </w:tcPr>
          <w:p w14:paraId="1C139D28" w14:textId="77777777" w:rsidR="00A74C68" w:rsidRPr="00471CBA" w:rsidRDefault="00A74C68" w:rsidP="00A74C68">
            <w:pPr>
              <w:jc w:val="right"/>
              <w:rPr>
                <w:sz w:val="16"/>
                <w:szCs w:val="16"/>
              </w:rPr>
            </w:pPr>
          </w:p>
        </w:tc>
        <w:tc>
          <w:tcPr>
            <w:tcW w:w="1120" w:type="dxa"/>
            <w:tcBorders>
              <w:top w:val="nil"/>
              <w:left w:val="nil"/>
              <w:bottom w:val="nil"/>
              <w:right w:val="nil"/>
            </w:tcBorders>
            <w:noWrap/>
            <w:vAlign w:val="bottom"/>
            <w:hideMark/>
          </w:tcPr>
          <w:p w14:paraId="3780CEDD" w14:textId="77777777" w:rsidR="00A74C68" w:rsidRPr="00471CBA" w:rsidRDefault="00A74C68" w:rsidP="00A74C68">
            <w:pPr>
              <w:jc w:val="right"/>
              <w:rPr>
                <w:sz w:val="16"/>
                <w:szCs w:val="16"/>
              </w:rPr>
            </w:pPr>
          </w:p>
        </w:tc>
        <w:tc>
          <w:tcPr>
            <w:tcW w:w="1120" w:type="dxa"/>
            <w:tcBorders>
              <w:top w:val="nil"/>
              <w:left w:val="nil"/>
              <w:bottom w:val="nil"/>
              <w:right w:val="nil"/>
            </w:tcBorders>
            <w:noWrap/>
            <w:vAlign w:val="bottom"/>
            <w:hideMark/>
          </w:tcPr>
          <w:p w14:paraId="638CCB20" w14:textId="77777777" w:rsidR="00A74C68" w:rsidRPr="00471CBA" w:rsidRDefault="00A74C68" w:rsidP="00A74C68">
            <w:pPr>
              <w:jc w:val="right"/>
              <w:rPr>
                <w:sz w:val="16"/>
                <w:szCs w:val="16"/>
              </w:rPr>
            </w:pPr>
          </w:p>
        </w:tc>
      </w:tr>
      <w:tr w:rsidR="00A74C68" w:rsidRPr="00471CBA" w14:paraId="6DA5F11B" w14:textId="77777777" w:rsidTr="00A74C68">
        <w:trPr>
          <w:divId w:val="1897205856"/>
          <w:trHeight w:val="170"/>
        </w:trPr>
        <w:tc>
          <w:tcPr>
            <w:tcW w:w="4678" w:type="dxa"/>
            <w:tcBorders>
              <w:top w:val="single" w:sz="4" w:space="0" w:color="auto"/>
              <w:left w:val="nil"/>
              <w:bottom w:val="single" w:sz="4" w:space="0" w:color="auto"/>
              <w:right w:val="nil"/>
            </w:tcBorders>
            <w:noWrap/>
            <w:vAlign w:val="bottom"/>
            <w:hideMark/>
          </w:tcPr>
          <w:p w14:paraId="226F7860" w14:textId="77777777" w:rsidR="00A74C68" w:rsidRPr="00471CBA" w:rsidRDefault="00A74C68" w:rsidP="00A74C68">
            <w:pPr>
              <w:rPr>
                <w:b/>
                <w:bCs/>
                <w:color w:val="000000"/>
                <w:sz w:val="16"/>
                <w:szCs w:val="16"/>
              </w:rPr>
            </w:pPr>
            <w:r w:rsidRPr="00471CBA">
              <w:rPr>
                <w:b/>
                <w:bCs/>
                <w:color w:val="000000"/>
                <w:sz w:val="16"/>
                <w:szCs w:val="16"/>
              </w:rPr>
              <w:t>Net Bilanço Pozisyonu</w:t>
            </w:r>
          </w:p>
        </w:tc>
        <w:tc>
          <w:tcPr>
            <w:tcW w:w="1275" w:type="dxa"/>
            <w:tcBorders>
              <w:top w:val="single" w:sz="4" w:space="0" w:color="auto"/>
              <w:left w:val="nil"/>
              <w:bottom w:val="single" w:sz="4" w:space="0" w:color="auto"/>
              <w:right w:val="nil"/>
            </w:tcBorders>
            <w:vAlign w:val="center"/>
            <w:hideMark/>
          </w:tcPr>
          <w:p w14:paraId="2969BA1E" w14:textId="77777777" w:rsidR="00A74C68" w:rsidRPr="00471CBA" w:rsidRDefault="00A74C68" w:rsidP="00A74C68">
            <w:pPr>
              <w:jc w:val="right"/>
              <w:rPr>
                <w:b/>
                <w:bCs/>
                <w:color w:val="000000"/>
                <w:sz w:val="16"/>
                <w:szCs w:val="16"/>
              </w:rPr>
            </w:pPr>
            <w:r w:rsidRPr="00471CBA">
              <w:rPr>
                <w:b/>
                <w:bCs/>
                <w:color w:val="000000"/>
                <w:sz w:val="16"/>
                <w:szCs w:val="16"/>
              </w:rPr>
              <w:t>1.084.704</w:t>
            </w:r>
          </w:p>
        </w:tc>
        <w:tc>
          <w:tcPr>
            <w:tcW w:w="1560" w:type="dxa"/>
            <w:tcBorders>
              <w:top w:val="single" w:sz="4" w:space="0" w:color="auto"/>
              <w:left w:val="nil"/>
              <w:bottom w:val="single" w:sz="4" w:space="0" w:color="auto"/>
              <w:right w:val="nil"/>
            </w:tcBorders>
            <w:vAlign w:val="center"/>
            <w:hideMark/>
          </w:tcPr>
          <w:p w14:paraId="5815D010" w14:textId="77777777" w:rsidR="00A74C68" w:rsidRPr="00471CBA" w:rsidRDefault="00A74C68" w:rsidP="00A74C68">
            <w:pPr>
              <w:jc w:val="right"/>
              <w:rPr>
                <w:b/>
                <w:bCs/>
                <w:color w:val="000000"/>
                <w:sz w:val="16"/>
                <w:szCs w:val="16"/>
              </w:rPr>
            </w:pPr>
            <w:r w:rsidRPr="00471CBA">
              <w:rPr>
                <w:b/>
                <w:bCs/>
                <w:color w:val="000000"/>
                <w:sz w:val="16"/>
                <w:szCs w:val="16"/>
              </w:rPr>
              <w:t>681.441</w:t>
            </w:r>
          </w:p>
        </w:tc>
        <w:tc>
          <w:tcPr>
            <w:tcW w:w="1120" w:type="dxa"/>
            <w:tcBorders>
              <w:top w:val="single" w:sz="4" w:space="0" w:color="auto"/>
              <w:left w:val="nil"/>
              <w:bottom w:val="single" w:sz="4" w:space="0" w:color="auto"/>
              <w:right w:val="nil"/>
            </w:tcBorders>
            <w:vAlign w:val="center"/>
            <w:hideMark/>
          </w:tcPr>
          <w:p w14:paraId="57DBD45F" w14:textId="77777777" w:rsidR="00A74C68" w:rsidRPr="00471CBA" w:rsidRDefault="00A74C68" w:rsidP="00A74C68">
            <w:pPr>
              <w:jc w:val="right"/>
              <w:rPr>
                <w:b/>
                <w:bCs/>
                <w:color w:val="000000"/>
                <w:sz w:val="16"/>
                <w:szCs w:val="16"/>
                <w:lang w:eastAsia="tr-TR"/>
              </w:rPr>
            </w:pPr>
            <w:r w:rsidRPr="00471CBA">
              <w:rPr>
                <w:b/>
                <w:bCs/>
                <w:color w:val="000000"/>
                <w:sz w:val="16"/>
                <w:szCs w:val="16"/>
              </w:rPr>
              <w:t>(53.288</w:t>
            </w:r>
            <w:r w:rsidRPr="00471CBA">
              <w:rPr>
                <w:b/>
                <w:bCs/>
                <w:color w:val="000000"/>
                <w:sz w:val="16"/>
                <w:szCs w:val="16"/>
                <w:lang w:eastAsia="tr-TR"/>
              </w:rPr>
              <w:t>)</w:t>
            </w:r>
          </w:p>
        </w:tc>
        <w:tc>
          <w:tcPr>
            <w:tcW w:w="1120" w:type="dxa"/>
            <w:tcBorders>
              <w:top w:val="single" w:sz="4" w:space="0" w:color="auto"/>
              <w:left w:val="nil"/>
              <w:bottom w:val="single" w:sz="4" w:space="0" w:color="auto"/>
              <w:right w:val="nil"/>
            </w:tcBorders>
            <w:vAlign w:val="center"/>
            <w:hideMark/>
          </w:tcPr>
          <w:p w14:paraId="276F2332" w14:textId="77777777" w:rsidR="00A74C68" w:rsidRPr="00471CBA" w:rsidRDefault="00A74C68" w:rsidP="00A74C68">
            <w:pPr>
              <w:jc w:val="right"/>
              <w:rPr>
                <w:b/>
                <w:bCs/>
                <w:color w:val="000000"/>
                <w:sz w:val="16"/>
                <w:szCs w:val="16"/>
              </w:rPr>
            </w:pPr>
            <w:r w:rsidRPr="00471CBA">
              <w:rPr>
                <w:b/>
                <w:bCs/>
                <w:color w:val="000000"/>
                <w:sz w:val="16"/>
                <w:szCs w:val="16"/>
              </w:rPr>
              <w:t>1.712.857</w:t>
            </w:r>
          </w:p>
        </w:tc>
      </w:tr>
      <w:tr w:rsidR="00A74C68" w:rsidRPr="00471CBA" w14:paraId="160C88F5" w14:textId="77777777" w:rsidTr="00A74C68">
        <w:trPr>
          <w:divId w:val="1897205856"/>
          <w:trHeight w:val="170"/>
        </w:trPr>
        <w:tc>
          <w:tcPr>
            <w:tcW w:w="4678" w:type="dxa"/>
            <w:tcBorders>
              <w:top w:val="nil"/>
              <w:left w:val="nil"/>
              <w:bottom w:val="nil"/>
              <w:right w:val="nil"/>
            </w:tcBorders>
            <w:noWrap/>
            <w:vAlign w:val="bottom"/>
            <w:hideMark/>
          </w:tcPr>
          <w:p w14:paraId="121F7EA4" w14:textId="77777777" w:rsidR="00A74C68" w:rsidRPr="00471CBA" w:rsidRDefault="00A74C68" w:rsidP="00A74C68">
            <w:pPr>
              <w:jc w:val="right"/>
              <w:rPr>
                <w:b/>
                <w:bCs/>
                <w:color w:val="000000"/>
                <w:sz w:val="16"/>
                <w:szCs w:val="16"/>
              </w:rPr>
            </w:pPr>
          </w:p>
        </w:tc>
        <w:tc>
          <w:tcPr>
            <w:tcW w:w="1275" w:type="dxa"/>
            <w:tcBorders>
              <w:top w:val="nil"/>
              <w:left w:val="nil"/>
              <w:bottom w:val="nil"/>
              <w:right w:val="nil"/>
            </w:tcBorders>
            <w:vAlign w:val="center"/>
            <w:hideMark/>
          </w:tcPr>
          <w:p w14:paraId="5D4A075C" w14:textId="77777777" w:rsidR="00A74C68" w:rsidRPr="00471CBA" w:rsidRDefault="00A74C68" w:rsidP="00A74C68">
            <w:pPr>
              <w:jc w:val="right"/>
              <w:rPr>
                <w:sz w:val="16"/>
                <w:szCs w:val="16"/>
              </w:rPr>
            </w:pPr>
          </w:p>
        </w:tc>
        <w:tc>
          <w:tcPr>
            <w:tcW w:w="1560" w:type="dxa"/>
            <w:tcBorders>
              <w:top w:val="nil"/>
              <w:left w:val="nil"/>
              <w:bottom w:val="nil"/>
              <w:right w:val="nil"/>
            </w:tcBorders>
            <w:vAlign w:val="center"/>
            <w:hideMark/>
          </w:tcPr>
          <w:p w14:paraId="7C092D95" w14:textId="77777777" w:rsidR="00A74C68" w:rsidRPr="00471CBA" w:rsidRDefault="00A74C68" w:rsidP="00A74C68">
            <w:pPr>
              <w:jc w:val="right"/>
              <w:rPr>
                <w:sz w:val="16"/>
                <w:szCs w:val="16"/>
              </w:rPr>
            </w:pPr>
          </w:p>
        </w:tc>
        <w:tc>
          <w:tcPr>
            <w:tcW w:w="1120" w:type="dxa"/>
            <w:tcBorders>
              <w:top w:val="nil"/>
              <w:left w:val="nil"/>
              <w:bottom w:val="nil"/>
              <w:right w:val="nil"/>
            </w:tcBorders>
            <w:vAlign w:val="center"/>
            <w:hideMark/>
          </w:tcPr>
          <w:p w14:paraId="0726B32E" w14:textId="77777777" w:rsidR="00A74C68" w:rsidRPr="00471CBA" w:rsidRDefault="00A74C68" w:rsidP="00A74C68">
            <w:pPr>
              <w:jc w:val="right"/>
              <w:rPr>
                <w:sz w:val="16"/>
                <w:szCs w:val="16"/>
              </w:rPr>
            </w:pPr>
          </w:p>
        </w:tc>
        <w:tc>
          <w:tcPr>
            <w:tcW w:w="1120" w:type="dxa"/>
            <w:tcBorders>
              <w:top w:val="nil"/>
              <w:left w:val="nil"/>
              <w:bottom w:val="nil"/>
              <w:right w:val="nil"/>
            </w:tcBorders>
            <w:vAlign w:val="center"/>
            <w:hideMark/>
          </w:tcPr>
          <w:p w14:paraId="72B49D89" w14:textId="77777777" w:rsidR="00A74C68" w:rsidRPr="00471CBA" w:rsidRDefault="00A74C68" w:rsidP="00A74C68">
            <w:pPr>
              <w:jc w:val="right"/>
              <w:rPr>
                <w:sz w:val="16"/>
                <w:szCs w:val="16"/>
              </w:rPr>
            </w:pPr>
          </w:p>
        </w:tc>
      </w:tr>
      <w:tr w:rsidR="00A74C68" w:rsidRPr="00471CBA" w14:paraId="5B20D070" w14:textId="77777777" w:rsidTr="00A74C68">
        <w:trPr>
          <w:divId w:val="1897205856"/>
          <w:trHeight w:val="170"/>
        </w:trPr>
        <w:tc>
          <w:tcPr>
            <w:tcW w:w="4678" w:type="dxa"/>
            <w:tcBorders>
              <w:top w:val="single" w:sz="4" w:space="0" w:color="auto"/>
              <w:left w:val="nil"/>
              <w:bottom w:val="single" w:sz="4" w:space="0" w:color="auto"/>
              <w:right w:val="nil"/>
            </w:tcBorders>
            <w:noWrap/>
            <w:vAlign w:val="bottom"/>
            <w:hideMark/>
          </w:tcPr>
          <w:p w14:paraId="79EEDFF7" w14:textId="77777777" w:rsidR="00A74C68" w:rsidRPr="00471CBA" w:rsidRDefault="00A74C68" w:rsidP="00A74C68">
            <w:pPr>
              <w:rPr>
                <w:b/>
                <w:bCs/>
                <w:color w:val="000000"/>
                <w:sz w:val="16"/>
                <w:szCs w:val="16"/>
              </w:rPr>
            </w:pPr>
            <w:r w:rsidRPr="00471CBA">
              <w:rPr>
                <w:b/>
                <w:bCs/>
                <w:snapToGrid w:val="0"/>
                <w:color w:val="000000"/>
                <w:sz w:val="16"/>
                <w:szCs w:val="16"/>
              </w:rPr>
              <w:t>Net Nazım Hesap Pozisyonu</w:t>
            </w:r>
          </w:p>
        </w:tc>
        <w:tc>
          <w:tcPr>
            <w:tcW w:w="1275" w:type="dxa"/>
            <w:tcBorders>
              <w:top w:val="single" w:sz="4" w:space="0" w:color="auto"/>
              <w:left w:val="nil"/>
              <w:bottom w:val="single" w:sz="4" w:space="0" w:color="auto"/>
              <w:right w:val="nil"/>
            </w:tcBorders>
            <w:vAlign w:val="center"/>
            <w:hideMark/>
          </w:tcPr>
          <w:p w14:paraId="5C12F313" w14:textId="77777777" w:rsidR="00A74C68" w:rsidRPr="00471CBA" w:rsidRDefault="00A74C68" w:rsidP="00A74C68">
            <w:pPr>
              <w:jc w:val="right"/>
              <w:rPr>
                <w:b/>
                <w:bCs/>
                <w:color w:val="000000"/>
                <w:sz w:val="16"/>
                <w:szCs w:val="16"/>
                <w:lang w:eastAsia="tr-TR"/>
              </w:rPr>
            </w:pPr>
            <w:r w:rsidRPr="00471CBA">
              <w:rPr>
                <w:b/>
                <w:bCs/>
                <w:color w:val="000000"/>
                <w:sz w:val="16"/>
                <w:szCs w:val="16"/>
              </w:rPr>
              <w:t>(1.085.003</w:t>
            </w:r>
            <w:r w:rsidRPr="00471CBA">
              <w:rPr>
                <w:b/>
                <w:bCs/>
                <w:color w:val="000000"/>
                <w:sz w:val="16"/>
                <w:szCs w:val="16"/>
                <w:lang w:eastAsia="tr-TR"/>
              </w:rPr>
              <w:t>)</w:t>
            </w:r>
          </w:p>
        </w:tc>
        <w:tc>
          <w:tcPr>
            <w:tcW w:w="1560" w:type="dxa"/>
            <w:tcBorders>
              <w:top w:val="single" w:sz="4" w:space="0" w:color="auto"/>
              <w:left w:val="nil"/>
              <w:bottom w:val="single" w:sz="4" w:space="0" w:color="auto"/>
              <w:right w:val="nil"/>
            </w:tcBorders>
            <w:vAlign w:val="center"/>
            <w:hideMark/>
          </w:tcPr>
          <w:p w14:paraId="5E0412EA" w14:textId="77777777" w:rsidR="00A74C68" w:rsidRPr="00471CBA" w:rsidRDefault="00A74C68" w:rsidP="00A74C68">
            <w:pPr>
              <w:jc w:val="right"/>
              <w:rPr>
                <w:b/>
                <w:bCs/>
                <w:color w:val="000000"/>
                <w:sz w:val="16"/>
                <w:szCs w:val="16"/>
                <w:lang w:eastAsia="tr-TR"/>
              </w:rPr>
            </w:pPr>
            <w:r w:rsidRPr="00471CBA">
              <w:rPr>
                <w:b/>
                <w:bCs/>
                <w:color w:val="000000"/>
                <w:sz w:val="16"/>
                <w:szCs w:val="16"/>
              </w:rPr>
              <w:t>(900.571</w:t>
            </w:r>
            <w:r w:rsidRPr="00471CBA">
              <w:rPr>
                <w:b/>
                <w:bCs/>
                <w:color w:val="000000"/>
                <w:sz w:val="16"/>
                <w:szCs w:val="16"/>
                <w:lang w:eastAsia="tr-TR"/>
              </w:rPr>
              <w:t>)</w:t>
            </w:r>
          </w:p>
        </w:tc>
        <w:tc>
          <w:tcPr>
            <w:tcW w:w="1120" w:type="dxa"/>
            <w:tcBorders>
              <w:top w:val="single" w:sz="4" w:space="0" w:color="auto"/>
              <w:left w:val="nil"/>
              <w:bottom w:val="single" w:sz="4" w:space="0" w:color="auto"/>
              <w:right w:val="nil"/>
            </w:tcBorders>
            <w:vAlign w:val="center"/>
            <w:hideMark/>
          </w:tcPr>
          <w:p w14:paraId="5D56943E" w14:textId="77777777" w:rsidR="00A74C68" w:rsidRPr="00471CBA" w:rsidRDefault="00A74C68" w:rsidP="00A74C68">
            <w:pPr>
              <w:jc w:val="right"/>
              <w:rPr>
                <w:b/>
                <w:bCs/>
                <w:color w:val="000000"/>
                <w:sz w:val="16"/>
                <w:szCs w:val="16"/>
              </w:rPr>
            </w:pPr>
            <w:r w:rsidRPr="00471CBA">
              <w:rPr>
                <w:b/>
                <w:bCs/>
                <w:color w:val="000000"/>
                <w:sz w:val="16"/>
                <w:szCs w:val="16"/>
              </w:rPr>
              <w:t>50.204</w:t>
            </w:r>
          </w:p>
        </w:tc>
        <w:tc>
          <w:tcPr>
            <w:tcW w:w="1120" w:type="dxa"/>
            <w:tcBorders>
              <w:top w:val="single" w:sz="4" w:space="0" w:color="auto"/>
              <w:left w:val="nil"/>
              <w:bottom w:val="single" w:sz="4" w:space="0" w:color="auto"/>
              <w:right w:val="nil"/>
            </w:tcBorders>
            <w:vAlign w:val="center"/>
            <w:hideMark/>
          </w:tcPr>
          <w:p w14:paraId="5D81E451" w14:textId="77777777" w:rsidR="00A74C68" w:rsidRPr="00471CBA" w:rsidRDefault="00A74C68" w:rsidP="00A74C68">
            <w:pPr>
              <w:jc w:val="right"/>
              <w:rPr>
                <w:b/>
                <w:bCs/>
                <w:color w:val="000000"/>
                <w:sz w:val="16"/>
                <w:szCs w:val="16"/>
                <w:lang w:eastAsia="tr-TR"/>
              </w:rPr>
            </w:pPr>
            <w:r w:rsidRPr="00471CBA">
              <w:rPr>
                <w:b/>
                <w:bCs/>
                <w:color w:val="000000"/>
                <w:sz w:val="16"/>
                <w:szCs w:val="16"/>
              </w:rPr>
              <w:t>(1.935.370</w:t>
            </w:r>
            <w:r w:rsidRPr="00471CBA">
              <w:rPr>
                <w:b/>
                <w:bCs/>
                <w:color w:val="000000"/>
                <w:sz w:val="16"/>
                <w:szCs w:val="16"/>
                <w:lang w:eastAsia="tr-TR"/>
              </w:rPr>
              <w:t>)</w:t>
            </w:r>
          </w:p>
        </w:tc>
      </w:tr>
      <w:tr w:rsidR="00A74C68" w:rsidRPr="00471CBA" w14:paraId="5A7E7630" w14:textId="77777777" w:rsidTr="00A74C68">
        <w:trPr>
          <w:divId w:val="1897205856"/>
          <w:trHeight w:val="170"/>
        </w:trPr>
        <w:tc>
          <w:tcPr>
            <w:tcW w:w="4678" w:type="dxa"/>
            <w:tcBorders>
              <w:top w:val="nil"/>
              <w:left w:val="nil"/>
              <w:bottom w:val="nil"/>
              <w:right w:val="nil"/>
            </w:tcBorders>
            <w:noWrap/>
            <w:vAlign w:val="bottom"/>
            <w:hideMark/>
          </w:tcPr>
          <w:p w14:paraId="14E950CD" w14:textId="77777777" w:rsidR="00A74C68" w:rsidRPr="00471CBA" w:rsidRDefault="00A74C68" w:rsidP="00A74C68">
            <w:pPr>
              <w:rPr>
                <w:color w:val="000000"/>
                <w:sz w:val="16"/>
                <w:szCs w:val="16"/>
              </w:rPr>
            </w:pPr>
            <w:r w:rsidRPr="00471CBA">
              <w:rPr>
                <w:snapToGrid w:val="0"/>
                <w:color w:val="000000"/>
                <w:sz w:val="16"/>
                <w:szCs w:val="16"/>
              </w:rPr>
              <w:t>Türev Finansal Araçlardan Alacak</w:t>
            </w:r>
          </w:p>
        </w:tc>
        <w:tc>
          <w:tcPr>
            <w:tcW w:w="1275" w:type="dxa"/>
            <w:tcBorders>
              <w:top w:val="nil"/>
              <w:left w:val="nil"/>
              <w:bottom w:val="nil"/>
              <w:right w:val="nil"/>
            </w:tcBorders>
            <w:vAlign w:val="center"/>
            <w:hideMark/>
          </w:tcPr>
          <w:p w14:paraId="55CD8277" w14:textId="77777777" w:rsidR="00A74C68" w:rsidRPr="00471CBA" w:rsidRDefault="00A74C68" w:rsidP="00A74C68">
            <w:pPr>
              <w:jc w:val="right"/>
              <w:rPr>
                <w:color w:val="000000"/>
                <w:sz w:val="16"/>
                <w:szCs w:val="16"/>
              </w:rPr>
            </w:pPr>
            <w:r w:rsidRPr="00471CBA">
              <w:rPr>
                <w:color w:val="000000"/>
                <w:sz w:val="16"/>
                <w:szCs w:val="16"/>
              </w:rPr>
              <w:t>1.840.484</w:t>
            </w:r>
          </w:p>
        </w:tc>
        <w:tc>
          <w:tcPr>
            <w:tcW w:w="1560" w:type="dxa"/>
            <w:tcBorders>
              <w:top w:val="nil"/>
              <w:left w:val="nil"/>
              <w:bottom w:val="nil"/>
              <w:right w:val="nil"/>
            </w:tcBorders>
            <w:vAlign w:val="center"/>
            <w:hideMark/>
          </w:tcPr>
          <w:p w14:paraId="4812FFB3" w14:textId="77777777" w:rsidR="00A74C68" w:rsidRPr="00471CBA" w:rsidRDefault="00A74C68" w:rsidP="00A74C68">
            <w:pPr>
              <w:jc w:val="right"/>
              <w:rPr>
                <w:color w:val="000000"/>
                <w:sz w:val="16"/>
                <w:szCs w:val="16"/>
              </w:rPr>
            </w:pPr>
            <w:r w:rsidRPr="00471CBA">
              <w:rPr>
                <w:color w:val="000000"/>
                <w:sz w:val="16"/>
                <w:szCs w:val="16"/>
              </w:rPr>
              <w:t>5.240.477</w:t>
            </w:r>
          </w:p>
        </w:tc>
        <w:tc>
          <w:tcPr>
            <w:tcW w:w="1120" w:type="dxa"/>
            <w:tcBorders>
              <w:top w:val="nil"/>
              <w:left w:val="nil"/>
              <w:bottom w:val="nil"/>
              <w:right w:val="nil"/>
            </w:tcBorders>
            <w:vAlign w:val="center"/>
            <w:hideMark/>
          </w:tcPr>
          <w:p w14:paraId="1BE84228" w14:textId="77777777" w:rsidR="00A74C68" w:rsidRPr="00471CBA" w:rsidRDefault="00A74C68" w:rsidP="00A74C68">
            <w:pPr>
              <w:jc w:val="right"/>
              <w:rPr>
                <w:color w:val="000000"/>
                <w:sz w:val="16"/>
                <w:szCs w:val="16"/>
              </w:rPr>
            </w:pPr>
            <w:r w:rsidRPr="00471CBA">
              <w:rPr>
                <w:color w:val="000000"/>
                <w:sz w:val="16"/>
                <w:szCs w:val="16"/>
              </w:rPr>
              <w:t>2.441.729</w:t>
            </w:r>
          </w:p>
        </w:tc>
        <w:tc>
          <w:tcPr>
            <w:tcW w:w="1120" w:type="dxa"/>
            <w:tcBorders>
              <w:top w:val="nil"/>
              <w:left w:val="nil"/>
              <w:bottom w:val="nil"/>
              <w:right w:val="nil"/>
            </w:tcBorders>
            <w:vAlign w:val="center"/>
            <w:hideMark/>
          </w:tcPr>
          <w:p w14:paraId="383EC0FD" w14:textId="77777777" w:rsidR="00A74C68" w:rsidRPr="00471CBA" w:rsidRDefault="00A74C68" w:rsidP="00A74C68">
            <w:pPr>
              <w:jc w:val="right"/>
              <w:rPr>
                <w:color w:val="000000"/>
                <w:sz w:val="16"/>
                <w:szCs w:val="16"/>
              </w:rPr>
            </w:pPr>
            <w:r w:rsidRPr="00471CBA">
              <w:rPr>
                <w:color w:val="000000"/>
                <w:sz w:val="16"/>
                <w:szCs w:val="16"/>
              </w:rPr>
              <w:t>9.522.690</w:t>
            </w:r>
          </w:p>
        </w:tc>
      </w:tr>
      <w:tr w:rsidR="00A74C68" w:rsidRPr="00471CBA" w14:paraId="3A4E0A0A" w14:textId="77777777" w:rsidTr="00A74C68">
        <w:trPr>
          <w:divId w:val="1897205856"/>
          <w:trHeight w:val="170"/>
        </w:trPr>
        <w:tc>
          <w:tcPr>
            <w:tcW w:w="4678" w:type="dxa"/>
            <w:tcBorders>
              <w:top w:val="nil"/>
              <w:left w:val="nil"/>
              <w:bottom w:val="nil"/>
              <w:right w:val="nil"/>
            </w:tcBorders>
            <w:noWrap/>
            <w:vAlign w:val="bottom"/>
            <w:hideMark/>
          </w:tcPr>
          <w:p w14:paraId="4088E5D5" w14:textId="77777777" w:rsidR="00A74C68" w:rsidRPr="00471CBA" w:rsidRDefault="00A74C68" w:rsidP="00A74C68">
            <w:pPr>
              <w:rPr>
                <w:color w:val="000000"/>
                <w:sz w:val="16"/>
                <w:szCs w:val="16"/>
              </w:rPr>
            </w:pPr>
            <w:r w:rsidRPr="00471CBA">
              <w:rPr>
                <w:snapToGrid w:val="0"/>
                <w:color w:val="000000"/>
                <w:sz w:val="16"/>
                <w:szCs w:val="16"/>
              </w:rPr>
              <w:t>Türev Finansal Araçlardan Borçlar</w:t>
            </w:r>
          </w:p>
        </w:tc>
        <w:tc>
          <w:tcPr>
            <w:tcW w:w="1275" w:type="dxa"/>
            <w:tcBorders>
              <w:top w:val="nil"/>
              <w:left w:val="nil"/>
              <w:bottom w:val="nil"/>
              <w:right w:val="nil"/>
            </w:tcBorders>
            <w:vAlign w:val="center"/>
            <w:hideMark/>
          </w:tcPr>
          <w:p w14:paraId="5EE5E06A" w14:textId="77777777" w:rsidR="00A74C68" w:rsidRPr="00471CBA" w:rsidRDefault="00A74C68" w:rsidP="00A74C68">
            <w:pPr>
              <w:jc w:val="right"/>
              <w:rPr>
                <w:color w:val="000000"/>
                <w:sz w:val="16"/>
                <w:szCs w:val="16"/>
              </w:rPr>
            </w:pPr>
            <w:r w:rsidRPr="00471CBA">
              <w:rPr>
                <w:color w:val="000000"/>
                <w:sz w:val="16"/>
                <w:szCs w:val="16"/>
              </w:rPr>
              <w:t>2.925.487</w:t>
            </w:r>
          </w:p>
        </w:tc>
        <w:tc>
          <w:tcPr>
            <w:tcW w:w="1560" w:type="dxa"/>
            <w:tcBorders>
              <w:top w:val="nil"/>
              <w:left w:val="nil"/>
              <w:bottom w:val="nil"/>
              <w:right w:val="nil"/>
            </w:tcBorders>
            <w:vAlign w:val="center"/>
            <w:hideMark/>
          </w:tcPr>
          <w:p w14:paraId="33DF19A7" w14:textId="77777777" w:rsidR="00A74C68" w:rsidRPr="00471CBA" w:rsidRDefault="00A74C68" w:rsidP="00A74C68">
            <w:pPr>
              <w:jc w:val="right"/>
              <w:rPr>
                <w:color w:val="000000"/>
                <w:sz w:val="16"/>
                <w:szCs w:val="16"/>
              </w:rPr>
            </w:pPr>
            <w:r w:rsidRPr="00471CBA">
              <w:rPr>
                <w:color w:val="000000"/>
                <w:sz w:val="16"/>
                <w:szCs w:val="16"/>
              </w:rPr>
              <w:t>6.141.048</w:t>
            </w:r>
          </w:p>
        </w:tc>
        <w:tc>
          <w:tcPr>
            <w:tcW w:w="1120" w:type="dxa"/>
            <w:tcBorders>
              <w:top w:val="nil"/>
              <w:left w:val="nil"/>
              <w:bottom w:val="nil"/>
              <w:right w:val="nil"/>
            </w:tcBorders>
            <w:vAlign w:val="center"/>
            <w:hideMark/>
          </w:tcPr>
          <w:p w14:paraId="10E7D8AA" w14:textId="77777777" w:rsidR="00A74C68" w:rsidRPr="00471CBA" w:rsidRDefault="00A74C68" w:rsidP="00A74C68">
            <w:pPr>
              <w:jc w:val="right"/>
              <w:rPr>
                <w:color w:val="000000"/>
                <w:sz w:val="16"/>
                <w:szCs w:val="16"/>
              </w:rPr>
            </w:pPr>
            <w:r w:rsidRPr="00471CBA">
              <w:rPr>
                <w:color w:val="000000"/>
                <w:sz w:val="16"/>
                <w:szCs w:val="16"/>
              </w:rPr>
              <w:t>2.391.525</w:t>
            </w:r>
          </w:p>
        </w:tc>
        <w:tc>
          <w:tcPr>
            <w:tcW w:w="1120" w:type="dxa"/>
            <w:tcBorders>
              <w:top w:val="nil"/>
              <w:left w:val="nil"/>
              <w:bottom w:val="nil"/>
              <w:right w:val="nil"/>
            </w:tcBorders>
            <w:vAlign w:val="center"/>
            <w:hideMark/>
          </w:tcPr>
          <w:p w14:paraId="296F9FB1" w14:textId="77777777" w:rsidR="00A74C68" w:rsidRPr="00471CBA" w:rsidRDefault="00A74C68" w:rsidP="00A74C68">
            <w:pPr>
              <w:jc w:val="right"/>
              <w:rPr>
                <w:color w:val="000000"/>
                <w:sz w:val="16"/>
                <w:szCs w:val="16"/>
              </w:rPr>
            </w:pPr>
            <w:r w:rsidRPr="00471CBA">
              <w:rPr>
                <w:color w:val="000000"/>
                <w:sz w:val="16"/>
                <w:szCs w:val="16"/>
              </w:rPr>
              <w:t>11.458.060</w:t>
            </w:r>
          </w:p>
        </w:tc>
      </w:tr>
      <w:tr w:rsidR="00A74C68" w:rsidRPr="00471CBA" w14:paraId="29D4ACE9" w14:textId="77777777" w:rsidTr="00A74C68">
        <w:trPr>
          <w:divId w:val="1897205856"/>
          <w:trHeight w:val="170"/>
        </w:trPr>
        <w:tc>
          <w:tcPr>
            <w:tcW w:w="4678" w:type="dxa"/>
            <w:tcBorders>
              <w:top w:val="nil"/>
              <w:left w:val="nil"/>
              <w:bottom w:val="single" w:sz="4" w:space="0" w:color="auto"/>
              <w:right w:val="nil"/>
            </w:tcBorders>
            <w:noWrap/>
            <w:vAlign w:val="bottom"/>
            <w:hideMark/>
          </w:tcPr>
          <w:p w14:paraId="5EE3F913" w14:textId="77777777" w:rsidR="00A74C68" w:rsidRPr="00471CBA" w:rsidRDefault="00A74C68" w:rsidP="00A74C68">
            <w:pPr>
              <w:rPr>
                <w:b/>
                <w:bCs/>
                <w:color w:val="000000"/>
                <w:sz w:val="16"/>
                <w:szCs w:val="16"/>
              </w:rPr>
            </w:pPr>
            <w:proofErr w:type="spellStart"/>
            <w:r w:rsidRPr="00471CBA">
              <w:rPr>
                <w:b/>
                <w:bCs/>
                <w:snapToGrid w:val="0"/>
                <w:color w:val="000000"/>
                <w:sz w:val="16"/>
                <w:szCs w:val="16"/>
              </w:rPr>
              <w:t>Gayrinakdi</w:t>
            </w:r>
            <w:proofErr w:type="spellEnd"/>
            <w:r w:rsidRPr="00471CBA">
              <w:rPr>
                <w:b/>
                <w:bCs/>
                <w:snapToGrid w:val="0"/>
                <w:color w:val="000000"/>
                <w:sz w:val="16"/>
                <w:szCs w:val="16"/>
              </w:rPr>
              <w:t xml:space="preserve"> Krediler</w:t>
            </w:r>
          </w:p>
        </w:tc>
        <w:tc>
          <w:tcPr>
            <w:tcW w:w="1275" w:type="dxa"/>
            <w:tcBorders>
              <w:top w:val="nil"/>
              <w:left w:val="nil"/>
              <w:bottom w:val="single" w:sz="4" w:space="0" w:color="auto"/>
              <w:right w:val="nil"/>
            </w:tcBorders>
            <w:vAlign w:val="center"/>
            <w:hideMark/>
          </w:tcPr>
          <w:p w14:paraId="6AD726C4" w14:textId="77777777" w:rsidR="00A74C68" w:rsidRPr="00471CBA" w:rsidRDefault="00A74C68" w:rsidP="00A74C68">
            <w:pPr>
              <w:jc w:val="right"/>
              <w:rPr>
                <w:b/>
                <w:bCs/>
                <w:color w:val="000000"/>
                <w:sz w:val="16"/>
                <w:szCs w:val="16"/>
              </w:rPr>
            </w:pPr>
            <w:r w:rsidRPr="00471CBA">
              <w:rPr>
                <w:b/>
                <w:bCs/>
                <w:color w:val="000000"/>
                <w:sz w:val="16"/>
                <w:szCs w:val="16"/>
              </w:rPr>
              <w:t>991.284</w:t>
            </w:r>
          </w:p>
        </w:tc>
        <w:tc>
          <w:tcPr>
            <w:tcW w:w="1560" w:type="dxa"/>
            <w:tcBorders>
              <w:top w:val="nil"/>
              <w:left w:val="nil"/>
              <w:bottom w:val="single" w:sz="4" w:space="0" w:color="auto"/>
              <w:right w:val="nil"/>
            </w:tcBorders>
            <w:vAlign w:val="center"/>
            <w:hideMark/>
          </w:tcPr>
          <w:p w14:paraId="5AF71760" w14:textId="77777777" w:rsidR="00A74C68" w:rsidRPr="00471CBA" w:rsidRDefault="00A74C68" w:rsidP="00A74C68">
            <w:pPr>
              <w:jc w:val="right"/>
              <w:rPr>
                <w:b/>
                <w:bCs/>
                <w:color w:val="000000"/>
                <w:sz w:val="16"/>
                <w:szCs w:val="16"/>
              </w:rPr>
            </w:pPr>
            <w:r w:rsidRPr="00471CBA">
              <w:rPr>
                <w:b/>
                <w:bCs/>
                <w:color w:val="000000"/>
                <w:sz w:val="16"/>
                <w:szCs w:val="16"/>
              </w:rPr>
              <w:t>1.064.700</w:t>
            </w:r>
          </w:p>
        </w:tc>
        <w:tc>
          <w:tcPr>
            <w:tcW w:w="1120" w:type="dxa"/>
            <w:tcBorders>
              <w:top w:val="nil"/>
              <w:left w:val="nil"/>
              <w:bottom w:val="single" w:sz="4" w:space="0" w:color="auto"/>
              <w:right w:val="nil"/>
            </w:tcBorders>
            <w:vAlign w:val="center"/>
            <w:hideMark/>
          </w:tcPr>
          <w:p w14:paraId="5448A68D" w14:textId="77777777" w:rsidR="00A74C68" w:rsidRPr="00471CBA" w:rsidRDefault="00A74C68" w:rsidP="00A74C68">
            <w:pPr>
              <w:jc w:val="right"/>
              <w:rPr>
                <w:b/>
                <w:bCs/>
                <w:color w:val="000000"/>
                <w:sz w:val="16"/>
                <w:szCs w:val="16"/>
              </w:rPr>
            </w:pPr>
            <w:r w:rsidRPr="00471CBA">
              <w:rPr>
                <w:b/>
                <w:bCs/>
                <w:color w:val="000000"/>
                <w:sz w:val="16"/>
                <w:szCs w:val="16"/>
              </w:rPr>
              <w:t>-</w:t>
            </w:r>
          </w:p>
        </w:tc>
        <w:tc>
          <w:tcPr>
            <w:tcW w:w="1120" w:type="dxa"/>
            <w:tcBorders>
              <w:top w:val="nil"/>
              <w:left w:val="nil"/>
              <w:bottom w:val="single" w:sz="4" w:space="0" w:color="auto"/>
              <w:right w:val="nil"/>
            </w:tcBorders>
            <w:vAlign w:val="center"/>
            <w:hideMark/>
          </w:tcPr>
          <w:p w14:paraId="022A3F8D" w14:textId="77777777" w:rsidR="00A74C68" w:rsidRPr="00471CBA" w:rsidRDefault="00A74C68" w:rsidP="00A74C68">
            <w:pPr>
              <w:jc w:val="right"/>
              <w:rPr>
                <w:b/>
                <w:bCs/>
                <w:color w:val="000000"/>
                <w:sz w:val="16"/>
                <w:szCs w:val="16"/>
              </w:rPr>
            </w:pPr>
            <w:r w:rsidRPr="00471CBA">
              <w:rPr>
                <w:b/>
                <w:bCs/>
                <w:color w:val="000000"/>
                <w:sz w:val="16"/>
                <w:szCs w:val="16"/>
              </w:rPr>
              <w:t>2.055.984</w:t>
            </w:r>
          </w:p>
        </w:tc>
      </w:tr>
    </w:tbl>
    <w:p w14:paraId="32D280EE" w14:textId="4F1A4AA6" w:rsidR="00DF7AFD" w:rsidRPr="00471CBA" w:rsidRDefault="00DF7AFD" w:rsidP="00D86E8B"/>
    <w:p w14:paraId="1315A37F" w14:textId="7664486D" w:rsidR="000E62E2" w:rsidRPr="00471CBA" w:rsidRDefault="000E62E2" w:rsidP="004036EA">
      <w:pPr>
        <w:ind w:left="567" w:hanging="567"/>
        <w:rPr>
          <w:sz w:val="16"/>
          <w:szCs w:val="20"/>
        </w:rPr>
      </w:pPr>
      <w:r w:rsidRPr="00471CBA">
        <w:rPr>
          <w:sz w:val="16"/>
          <w:szCs w:val="20"/>
          <w:vertAlign w:val="superscript"/>
        </w:rPr>
        <w:t>(*)</w:t>
      </w:r>
      <w:r w:rsidR="00A81901" w:rsidRPr="00471CBA">
        <w:rPr>
          <w:sz w:val="16"/>
          <w:szCs w:val="20"/>
        </w:rPr>
        <w:tab/>
      </w:r>
      <w:r w:rsidR="00D745AF" w:rsidRPr="00471CBA">
        <w:rPr>
          <w:sz w:val="16"/>
          <w:szCs w:val="20"/>
        </w:rPr>
        <w:t>Kıymetli madenler de “Diğer YP” sütununda gösterilmektedir.</w:t>
      </w:r>
    </w:p>
    <w:p w14:paraId="27D42F67" w14:textId="0FF4075A" w:rsidR="000F02CB" w:rsidRPr="00471CBA" w:rsidRDefault="007F66B2" w:rsidP="004036EA">
      <w:pPr>
        <w:ind w:left="567" w:hanging="567"/>
        <w:rPr>
          <w:sz w:val="16"/>
          <w:szCs w:val="20"/>
          <w:vertAlign w:val="superscript"/>
        </w:rPr>
      </w:pPr>
      <w:r w:rsidRPr="00471CBA">
        <w:rPr>
          <w:sz w:val="16"/>
          <w:szCs w:val="20"/>
          <w:vertAlign w:val="superscript"/>
        </w:rPr>
        <w:t>(**)</w:t>
      </w:r>
      <w:r w:rsidRPr="00471CBA">
        <w:rPr>
          <w:sz w:val="16"/>
          <w:szCs w:val="20"/>
          <w:vertAlign w:val="superscript"/>
        </w:rPr>
        <w:tab/>
      </w:r>
      <w:r w:rsidR="000F02CB" w:rsidRPr="00471CBA">
        <w:rPr>
          <w:sz w:val="16"/>
          <w:szCs w:val="20"/>
        </w:rPr>
        <w:t xml:space="preserve">Diğer özel cari hesap ve Katılma hesapları satırında diğer YP olarak gösterilen bakiyenin </w:t>
      </w:r>
      <w:r w:rsidR="00E82916" w:rsidRPr="00471CBA">
        <w:rPr>
          <w:sz w:val="16"/>
          <w:szCs w:val="20"/>
        </w:rPr>
        <w:t>36.149.734</w:t>
      </w:r>
      <w:r w:rsidR="000F02CB" w:rsidRPr="00471CBA">
        <w:rPr>
          <w:sz w:val="16"/>
          <w:szCs w:val="20"/>
        </w:rPr>
        <w:t xml:space="preserve"> TL'si, kıymetli maden hesaplarından oluşmaktadır.</w:t>
      </w:r>
    </w:p>
    <w:p w14:paraId="6488BD12" w14:textId="3096AEE4" w:rsidR="00A81901" w:rsidRPr="00471CBA" w:rsidRDefault="00A81901" w:rsidP="004036EA">
      <w:pPr>
        <w:ind w:left="567" w:hanging="567"/>
        <w:rPr>
          <w:sz w:val="16"/>
          <w:szCs w:val="20"/>
        </w:rPr>
      </w:pPr>
      <w:r w:rsidRPr="00471CBA">
        <w:rPr>
          <w:sz w:val="16"/>
          <w:szCs w:val="20"/>
          <w:vertAlign w:val="superscript"/>
        </w:rPr>
        <w:t>(**</w:t>
      </w:r>
      <w:r w:rsidR="007F66B2" w:rsidRPr="00471CBA">
        <w:rPr>
          <w:sz w:val="16"/>
          <w:szCs w:val="20"/>
          <w:vertAlign w:val="superscript"/>
        </w:rPr>
        <w:t>*</w:t>
      </w:r>
      <w:r w:rsidRPr="00471CBA">
        <w:rPr>
          <w:sz w:val="16"/>
          <w:szCs w:val="20"/>
          <w:vertAlign w:val="superscript"/>
        </w:rPr>
        <w:t>)</w:t>
      </w:r>
      <w:r w:rsidRPr="00471CBA">
        <w:rPr>
          <w:sz w:val="16"/>
          <w:szCs w:val="20"/>
        </w:rPr>
        <w:tab/>
      </w:r>
      <w:r w:rsidR="00932390" w:rsidRPr="00471CBA">
        <w:rPr>
          <w:sz w:val="16"/>
          <w:szCs w:val="20"/>
        </w:rPr>
        <w:t>3</w:t>
      </w:r>
      <w:r w:rsidR="00B42CDF" w:rsidRPr="00471CBA">
        <w:rPr>
          <w:sz w:val="16"/>
          <w:szCs w:val="20"/>
        </w:rPr>
        <w:t>1</w:t>
      </w:r>
      <w:r w:rsidR="00932390" w:rsidRPr="00471CBA">
        <w:rPr>
          <w:sz w:val="16"/>
          <w:szCs w:val="20"/>
        </w:rPr>
        <w:t xml:space="preserve"> </w:t>
      </w:r>
      <w:r w:rsidR="00B42CDF" w:rsidRPr="00471CBA">
        <w:rPr>
          <w:sz w:val="16"/>
          <w:szCs w:val="20"/>
        </w:rPr>
        <w:t>Aralık</w:t>
      </w:r>
      <w:r w:rsidR="00932390" w:rsidRPr="00471CBA">
        <w:rPr>
          <w:sz w:val="16"/>
          <w:szCs w:val="20"/>
        </w:rPr>
        <w:t xml:space="preserve"> 2025</w:t>
      </w:r>
      <w:r w:rsidR="006B7AF7" w:rsidRPr="00471CBA">
        <w:rPr>
          <w:sz w:val="16"/>
          <w:szCs w:val="20"/>
        </w:rPr>
        <w:t xml:space="preserve"> tarihi itibarıyla</w:t>
      </w:r>
      <w:r w:rsidRPr="00471CBA">
        <w:rPr>
          <w:sz w:val="16"/>
          <w:szCs w:val="20"/>
        </w:rPr>
        <w:t xml:space="preserve"> türev finansal araçlar içerisinde </w:t>
      </w:r>
      <w:r w:rsidR="00B42CDF" w:rsidRPr="00471CBA">
        <w:rPr>
          <w:sz w:val="16"/>
          <w:szCs w:val="20"/>
        </w:rPr>
        <w:t>28.870.650</w:t>
      </w:r>
      <w:r w:rsidR="006B7AF7" w:rsidRPr="00471CBA">
        <w:rPr>
          <w:sz w:val="16"/>
          <w:szCs w:val="20"/>
        </w:rPr>
        <w:t xml:space="preserve"> </w:t>
      </w:r>
      <w:r w:rsidRPr="00471CBA">
        <w:rPr>
          <w:sz w:val="16"/>
          <w:szCs w:val="20"/>
        </w:rPr>
        <w:t>TL</w:t>
      </w:r>
      <w:r w:rsidR="006B7AF7" w:rsidRPr="00471CBA">
        <w:rPr>
          <w:sz w:val="16"/>
          <w:szCs w:val="20"/>
        </w:rPr>
        <w:t xml:space="preserve"> (</w:t>
      </w:r>
      <w:r w:rsidR="002872AE" w:rsidRPr="00471CBA">
        <w:rPr>
          <w:sz w:val="16"/>
          <w:szCs w:val="20"/>
        </w:rPr>
        <w:t>3</w:t>
      </w:r>
      <w:r w:rsidR="006B7AF7" w:rsidRPr="00471CBA">
        <w:rPr>
          <w:sz w:val="16"/>
          <w:szCs w:val="20"/>
        </w:rPr>
        <w:t xml:space="preserve">1 </w:t>
      </w:r>
      <w:r w:rsidR="002872AE" w:rsidRPr="00471CBA">
        <w:rPr>
          <w:sz w:val="16"/>
          <w:szCs w:val="20"/>
        </w:rPr>
        <w:t>Aralık</w:t>
      </w:r>
      <w:r w:rsidR="006B7AF7" w:rsidRPr="00471CBA">
        <w:rPr>
          <w:sz w:val="16"/>
          <w:szCs w:val="20"/>
        </w:rPr>
        <w:t xml:space="preserve"> 2024: </w:t>
      </w:r>
      <w:r w:rsidR="002872AE" w:rsidRPr="00471CBA">
        <w:rPr>
          <w:sz w:val="16"/>
          <w:szCs w:val="20"/>
        </w:rPr>
        <w:t>4.634.521 TL</w:t>
      </w:r>
      <w:r w:rsidR="006B7AF7" w:rsidRPr="00471CBA">
        <w:rPr>
          <w:sz w:val="16"/>
          <w:szCs w:val="20"/>
        </w:rPr>
        <w:t>)</w:t>
      </w:r>
      <w:r w:rsidRPr="00471CBA">
        <w:rPr>
          <w:sz w:val="16"/>
          <w:szCs w:val="20"/>
        </w:rPr>
        <w:t xml:space="preserve"> döviz alım taahhüdü, türev finansal borçlar içerisinde </w:t>
      </w:r>
      <w:r w:rsidR="00B42CDF" w:rsidRPr="00471CBA">
        <w:rPr>
          <w:sz w:val="16"/>
          <w:szCs w:val="20"/>
        </w:rPr>
        <w:t>22.823.086</w:t>
      </w:r>
      <w:r w:rsidRPr="00471CBA">
        <w:rPr>
          <w:sz w:val="16"/>
          <w:szCs w:val="20"/>
        </w:rPr>
        <w:t xml:space="preserve"> TL</w:t>
      </w:r>
      <w:r w:rsidR="006B7AF7" w:rsidRPr="00471CBA">
        <w:rPr>
          <w:sz w:val="16"/>
          <w:szCs w:val="20"/>
        </w:rPr>
        <w:t xml:space="preserve"> (</w:t>
      </w:r>
      <w:r w:rsidR="002872AE" w:rsidRPr="00471CBA">
        <w:rPr>
          <w:sz w:val="16"/>
          <w:szCs w:val="20"/>
        </w:rPr>
        <w:t>31 Aralık 2024</w:t>
      </w:r>
      <w:r w:rsidR="006B7AF7" w:rsidRPr="00471CBA">
        <w:rPr>
          <w:sz w:val="16"/>
          <w:szCs w:val="20"/>
        </w:rPr>
        <w:t xml:space="preserve">: </w:t>
      </w:r>
      <w:r w:rsidR="002872AE" w:rsidRPr="00471CBA">
        <w:rPr>
          <w:sz w:val="16"/>
          <w:szCs w:val="20"/>
        </w:rPr>
        <w:t>3.818.130 TL</w:t>
      </w:r>
      <w:r w:rsidR="006B7AF7" w:rsidRPr="00471CBA">
        <w:rPr>
          <w:sz w:val="16"/>
          <w:szCs w:val="20"/>
        </w:rPr>
        <w:t>)</w:t>
      </w:r>
      <w:r w:rsidRPr="00471CBA">
        <w:rPr>
          <w:sz w:val="16"/>
          <w:szCs w:val="20"/>
        </w:rPr>
        <w:t xml:space="preserve"> döviz satım taahhüdü yer almaktadır.</w:t>
      </w:r>
    </w:p>
    <w:p w14:paraId="73E34540" w14:textId="1A772C72" w:rsidR="00AD5CE1" w:rsidRPr="00471CBA" w:rsidRDefault="00AD5CE1" w:rsidP="004036EA">
      <w:pPr>
        <w:ind w:left="567" w:hanging="567"/>
        <w:rPr>
          <w:sz w:val="16"/>
          <w:szCs w:val="20"/>
        </w:rPr>
      </w:pPr>
      <w:r w:rsidRPr="00471CBA">
        <w:rPr>
          <w:sz w:val="16"/>
          <w:szCs w:val="20"/>
          <w:vertAlign w:val="superscript"/>
        </w:rPr>
        <w:t>(***</w:t>
      </w:r>
      <w:r w:rsidR="00304F54" w:rsidRPr="00471CBA">
        <w:rPr>
          <w:sz w:val="16"/>
          <w:szCs w:val="20"/>
          <w:vertAlign w:val="superscript"/>
        </w:rPr>
        <w:t>*</w:t>
      </w:r>
      <w:r w:rsidRPr="00471CBA">
        <w:rPr>
          <w:sz w:val="16"/>
          <w:szCs w:val="20"/>
          <w:vertAlign w:val="superscript"/>
        </w:rPr>
        <w:t>)</w:t>
      </w:r>
      <w:r w:rsidRPr="00471CBA">
        <w:rPr>
          <w:sz w:val="16"/>
          <w:szCs w:val="20"/>
        </w:rPr>
        <w:tab/>
        <w:t>Net bilanço dışı pozisyona etkisi bulunmamaktadır.</w:t>
      </w:r>
    </w:p>
    <w:p w14:paraId="6B597302" w14:textId="56A5B2BC" w:rsidR="000B5205" w:rsidRPr="00471CBA" w:rsidRDefault="000B5205" w:rsidP="004036EA">
      <w:pPr>
        <w:ind w:left="567" w:hanging="567"/>
        <w:rPr>
          <w:sz w:val="16"/>
          <w:szCs w:val="20"/>
        </w:rPr>
      </w:pPr>
      <w:r w:rsidRPr="00471CBA">
        <w:rPr>
          <w:sz w:val="16"/>
          <w:szCs w:val="20"/>
          <w:vertAlign w:val="superscript"/>
        </w:rPr>
        <w:t>(****</w:t>
      </w:r>
      <w:r w:rsidR="00304F54" w:rsidRPr="00471CBA">
        <w:rPr>
          <w:sz w:val="16"/>
          <w:szCs w:val="20"/>
          <w:vertAlign w:val="superscript"/>
        </w:rPr>
        <w:t>*</w:t>
      </w:r>
      <w:r w:rsidRPr="00471CBA">
        <w:rPr>
          <w:sz w:val="16"/>
          <w:szCs w:val="20"/>
          <w:vertAlign w:val="superscript"/>
        </w:rPr>
        <w:t>)</w:t>
      </w:r>
      <w:r w:rsidRPr="00471CBA">
        <w:rPr>
          <w:sz w:val="16"/>
          <w:szCs w:val="20"/>
        </w:rPr>
        <w:tab/>
        <w:t>Türev finansal araçlar dahil edilmiştir.</w:t>
      </w:r>
    </w:p>
    <w:p w14:paraId="619DF2CF" w14:textId="5661A85F" w:rsidR="000B5205" w:rsidRPr="00471CBA" w:rsidRDefault="000B5205" w:rsidP="004036EA">
      <w:pPr>
        <w:ind w:left="567" w:hanging="567"/>
        <w:rPr>
          <w:sz w:val="16"/>
          <w:szCs w:val="20"/>
        </w:rPr>
      </w:pPr>
      <w:r w:rsidRPr="00471CBA">
        <w:rPr>
          <w:sz w:val="16"/>
          <w:szCs w:val="20"/>
          <w:vertAlign w:val="superscript"/>
        </w:rPr>
        <w:t>(***</w:t>
      </w:r>
      <w:r w:rsidR="00304F54" w:rsidRPr="00471CBA">
        <w:rPr>
          <w:sz w:val="16"/>
          <w:szCs w:val="20"/>
          <w:vertAlign w:val="superscript"/>
        </w:rPr>
        <w:t>*</w:t>
      </w:r>
      <w:r w:rsidRPr="00471CBA">
        <w:rPr>
          <w:sz w:val="16"/>
          <w:szCs w:val="20"/>
          <w:vertAlign w:val="superscript"/>
        </w:rPr>
        <w:t>**)</w:t>
      </w:r>
      <w:r w:rsidRPr="00471CBA">
        <w:rPr>
          <w:sz w:val="16"/>
          <w:szCs w:val="20"/>
          <w:vertAlign w:val="superscript"/>
        </w:rPr>
        <w:tab/>
      </w:r>
      <w:r w:rsidRPr="00471CBA">
        <w:rPr>
          <w:sz w:val="16"/>
          <w:szCs w:val="20"/>
        </w:rPr>
        <w:t>Genel karşılıklar ve Türev finansal yükümlülükler gösterilmektedir.</w:t>
      </w:r>
    </w:p>
    <w:p w14:paraId="65836CA2" w14:textId="7A5661C1" w:rsidR="00E2561C" w:rsidRPr="00471CBA" w:rsidRDefault="00E2561C" w:rsidP="00A81901">
      <w:r w:rsidRPr="00471CBA">
        <w:br w:type="page"/>
      </w:r>
    </w:p>
    <w:p w14:paraId="06A68315" w14:textId="74E9336C" w:rsidR="00263A00" w:rsidRPr="00471CBA" w:rsidRDefault="006218A8" w:rsidP="00263A00">
      <w:pPr>
        <w:pStyle w:val="GvdeMetniGirintisi"/>
        <w:widowControl w:val="0"/>
        <w:spacing w:line="235" w:lineRule="auto"/>
        <w:ind w:firstLine="0"/>
        <w:jc w:val="left"/>
        <w:rPr>
          <w:b/>
          <w:szCs w:val="20"/>
        </w:rPr>
      </w:pPr>
      <w:r w:rsidRPr="00471CBA">
        <w:rPr>
          <w:b/>
          <w:szCs w:val="20"/>
        </w:rPr>
        <w:lastRenderedPageBreak/>
        <w:t>MALİ BÜNYEYE VE RİSK YÖNETİMİNE İLİŞKİN BİLGİLER</w:t>
      </w:r>
      <w:r w:rsidR="00263A00" w:rsidRPr="00471CBA">
        <w:rPr>
          <w:b/>
          <w:szCs w:val="20"/>
        </w:rPr>
        <w:t xml:space="preserve"> (Devamı)</w:t>
      </w:r>
    </w:p>
    <w:p w14:paraId="27E0DC0A" w14:textId="77777777" w:rsidR="00263A00" w:rsidRPr="00471CBA" w:rsidRDefault="00263A00" w:rsidP="00263A00">
      <w:pPr>
        <w:widowControl w:val="0"/>
        <w:tabs>
          <w:tab w:val="left" w:pos="720"/>
        </w:tabs>
        <w:ind w:hanging="567"/>
        <w:jc w:val="both"/>
        <w:rPr>
          <w:b/>
          <w:szCs w:val="20"/>
        </w:rPr>
      </w:pPr>
    </w:p>
    <w:p w14:paraId="5A512CAC" w14:textId="2C7215B7" w:rsidR="000E604F" w:rsidRPr="00471CBA" w:rsidRDefault="00C25A1D" w:rsidP="009F6E11">
      <w:pPr>
        <w:widowControl w:val="0"/>
        <w:autoSpaceDE w:val="0"/>
        <w:autoSpaceDN w:val="0"/>
        <w:adjustRightInd w:val="0"/>
        <w:ind w:left="851" w:hanging="851"/>
        <w:rPr>
          <w:b/>
          <w:szCs w:val="20"/>
        </w:rPr>
      </w:pPr>
      <w:bookmarkStart w:id="55" w:name="_Hlk85101661"/>
      <w:r w:rsidRPr="00471CBA">
        <w:rPr>
          <w:b/>
          <w:szCs w:val="20"/>
        </w:rPr>
        <w:t>I</w:t>
      </w:r>
      <w:r w:rsidR="0004114F" w:rsidRPr="00471CBA">
        <w:rPr>
          <w:b/>
          <w:szCs w:val="20"/>
        </w:rPr>
        <w:t>V</w:t>
      </w:r>
      <w:r w:rsidR="000E604F" w:rsidRPr="00471CBA">
        <w:rPr>
          <w:b/>
          <w:szCs w:val="20"/>
        </w:rPr>
        <w:t>.</w:t>
      </w:r>
      <w:r w:rsidR="000E604F" w:rsidRPr="00471CBA">
        <w:rPr>
          <w:szCs w:val="20"/>
        </w:rPr>
        <w:tab/>
      </w:r>
      <w:r w:rsidR="006218A8" w:rsidRPr="00471CBA">
        <w:rPr>
          <w:b/>
          <w:szCs w:val="20"/>
        </w:rPr>
        <w:t>BANKACILIK HESAPLARINDAN KAYNAKLANAN HİSSE SENEDİ POZİSYON RİSKİNE İLİŞKİN AÇIKLAMALAR</w:t>
      </w:r>
    </w:p>
    <w:p w14:paraId="4CEB9550" w14:textId="77777777" w:rsidR="0093278A" w:rsidRPr="00471CBA" w:rsidRDefault="0093278A" w:rsidP="0093278A"/>
    <w:p w14:paraId="784E6062" w14:textId="427C8F1E" w:rsidR="000633F7" w:rsidRPr="00471CBA" w:rsidRDefault="007F6642" w:rsidP="009245E5">
      <w:pPr>
        <w:widowControl w:val="0"/>
        <w:ind w:left="851"/>
        <w:jc w:val="both"/>
        <w:rPr>
          <w:bCs/>
          <w:szCs w:val="20"/>
        </w:rPr>
      </w:pPr>
      <w:r w:rsidRPr="00471CBA">
        <w:rPr>
          <w:szCs w:val="20"/>
        </w:rPr>
        <w:t>Banka’nın hisse senedi pozisyonu bulunmamaktadır</w:t>
      </w:r>
      <w:r w:rsidR="009245E5" w:rsidRPr="00471CBA">
        <w:rPr>
          <w:szCs w:val="20"/>
        </w:rPr>
        <w:t>.</w:t>
      </w:r>
    </w:p>
    <w:p w14:paraId="0014A0D9" w14:textId="77777777" w:rsidR="007F6642" w:rsidRPr="00471CBA" w:rsidRDefault="007F6642" w:rsidP="000633F7">
      <w:pPr>
        <w:widowControl w:val="0"/>
        <w:jc w:val="both"/>
        <w:rPr>
          <w:bCs/>
          <w:szCs w:val="20"/>
        </w:rPr>
      </w:pPr>
    </w:p>
    <w:bookmarkEnd w:id="55"/>
    <w:p w14:paraId="636E7BE7" w14:textId="2FB7E91E" w:rsidR="002C6E36" w:rsidRPr="00471CBA" w:rsidRDefault="0004114F" w:rsidP="009F6E11">
      <w:pPr>
        <w:widowControl w:val="0"/>
        <w:autoSpaceDE w:val="0"/>
        <w:autoSpaceDN w:val="0"/>
        <w:adjustRightInd w:val="0"/>
        <w:ind w:left="851" w:hanging="851"/>
        <w:rPr>
          <w:b/>
          <w:szCs w:val="20"/>
        </w:rPr>
      </w:pPr>
      <w:r w:rsidRPr="00471CBA">
        <w:rPr>
          <w:b/>
          <w:szCs w:val="20"/>
        </w:rPr>
        <w:t>V</w:t>
      </w:r>
      <w:r w:rsidR="002C6E36" w:rsidRPr="00471CBA">
        <w:rPr>
          <w:b/>
          <w:szCs w:val="20"/>
        </w:rPr>
        <w:t>.</w:t>
      </w:r>
      <w:r w:rsidR="002C6E36" w:rsidRPr="00471CBA">
        <w:rPr>
          <w:b/>
          <w:szCs w:val="20"/>
        </w:rPr>
        <w:tab/>
      </w:r>
      <w:r w:rsidR="006218A8" w:rsidRPr="00471CBA">
        <w:rPr>
          <w:b/>
          <w:szCs w:val="20"/>
        </w:rPr>
        <w:t>LİKİDİTE RİSKİNE İLİŞKİN AÇIKLAMALAR</w:t>
      </w:r>
    </w:p>
    <w:p w14:paraId="50B55E44" w14:textId="77777777" w:rsidR="000633F7" w:rsidRPr="00471CBA" w:rsidRDefault="000633F7" w:rsidP="000633F7">
      <w:pPr>
        <w:widowControl w:val="0"/>
        <w:autoSpaceDE w:val="0"/>
        <w:autoSpaceDN w:val="0"/>
        <w:jc w:val="both"/>
        <w:rPr>
          <w:szCs w:val="20"/>
        </w:rPr>
      </w:pPr>
    </w:p>
    <w:p w14:paraId="20943AD7" w14:textId="78E3A81D" w:rsidR="006F4231" w:rsidRPr="00471CBA" w:rsidRDefault="006F4231" w:rsidP="00701863">
      <w:pPr>
        <w:widowControl w:val="0"/>
        <w:autoSpaceDE w:val="0"/>
        <w:autoSpaceDN w:val="0"/>
        <w:ind w:left="840"/>
        <w:jc w:val="both"/>
        <w:rPr>
          <w:szCs w:val="20"/>
        </w:rPr>
      </w:pPr>
      <w:r w:rsidRPr="00471CBA">
        <w:rPr>
          <w:szCs w:val="20"/>
        </w:rPr>
        <w:t>Likidite Riski, Yönetim Kurulu’nun onayladığı risk yönetimi politikaları ve iştahı çerçevesinde piyasa koşulları ve banka bilanço yapısından kaynaklanabilecek olası likidite sıkışıklıklarına karşı gerekli tedbirlerin zamanında ve doğru şekilde alınmasını sağlamak amacıyla Aktif Pasif Komitesi (APKO) tarafından yönetilmektedir. Stres koşullarında likidite riski yönetimi ise Acil Eylem Planı çerçevesinde yürütülmektedir.</w:t>
      </w:r>
    </w:p>
    <w:p w14:paraId="45530FF6" w14:textId="77777777" w:rsidR="000633F7" w:rsidRPr="00471CBA" w:rsidRDefault="000633F7" w:rsidP="00701863">
      <w:pPr>
        <w:widowControl w:val="0"/>
        <w:autoSpaceDE w:val="0"/>
        <w:autoSpaceDN w:val="0"/>
        <w:ind w:left="840"/>
        <w:jc w:val="both"/>
        <w:rPr>
          <w:szCs w:val="20"/>
        </w:rPr>
      </w:pPr>
    </w:p>
    <w:p w14:paraId="71A20F7D" w14:textId="3AC29A1A" w:rsidR="006F4231" w:rsidRPr="00471CBA" w:rsidRDefault="006F4231" w:rsidP="00701863">
      <w:pPr>
        <w:widowControl w:val="0"/>
        <w:autoSpaceDE w:val="0"/>
        <w:autoSpaceDN w:val="0"/>
        <w:ind w:left="840"/>
        <w:jc w:val="both"/>
        <w:rPr>
          <w:szCs w:val="20"/>
        </w:rPr>
      </w:pPr>
      <w:r w:rsidRPr="00471CBA">
        <w:rPr>
          <w:szCs w:val="20"/>
        </w:rPr>
        <w:t>Yönetim Kurulu, likidite riski yönetimine ilişkin strateji, politika ve uygulamaları gözden geçirmektedir. Yönetim Kurulu; risk yönetimi strateji ve politikaları çerçevesinde likidite riski strateji ve politikalarını onaylamakta, bu strateji, süreç ve politikaların etkin olarak uygulanmasını ve bütünüyle Banka’nın risk yönetimi sistemine dahil edilmesini sağlamaktadır. Likidite riskinin ölçümü ve izlenmesinde dikkate alınacak temel ölçütleri belirlemektedir. Ayrıca likidite riski yönetiminde Banka’nın risk iştahını ve bu risk iştahı doğrultusunda alabileceği likidite risk limitlerini belirlemekte ve düzenli olarak gözden geçirmektedir.</w:t>
      </w:r>
    </w:p>
    <w:p w14:paraId="4DA0D00C" w14:textId="77777777" w:rsidR="000633F7" w:rsidRPr="00471CBA" w:rsidRDefault="000633F7" w:rsidP="00701863">
      <w:pPr>
        <w:widowControl w:val="0"/>
        <w:autoSpaceDE w:val="0"/>
        <w:autoSpaceDN w:val="0"/>
        <w:ind w:left="840"/>
        <w:jc w:val="both"/>
        <w:rPr>
          <w:szCs w:val="20"/>
        </w:rPr>
      </w:pPr>
    </w:p>
    <w:p w14:paraId="71390FE4" w14:textId="77777777" w:rsidR="006F4231" w:rsidRPr="00471CBA" w:rsidRDefault="006F4231" w:rsidP="00701863">
      <w:pPr>
        <w:widowControl w:val="0"/>
        <w:autoSpaceDE w:val="0"/>
        <w:autoSpaceDN w:val="0"/>
        <w:ind w:left="840"/>
        <w:jc w:val="both"/>
        <w:rPr>
          <w:szCs w:val="20"/>
        </w:rPr>
      </w:pPr>
      <w:r w:rsidRPr="00471CBA">
        <w:rPr>
          <w:szCs w:val="20"/>
        </w:rPr>
        <w:t>APKO, Banka’nın maruz kaldığı likidite riskini değerlendirerek banka stratejilerini ve rekabet koşullarını da dikkate alarak banka bilançosunun yönetilmesi için ilgili birimlerce icra edilecek kararları almakta ve uygulamaları izlemektedir.</w:t>
      </w:r>
    </w:p>
    <w:p w14:paraId="7A2B8532" w14:textId="77777777" w:rsidR="000633F7" w:rsidRPr="00471CBA" w:rsidRDefault="000633F7" w:rsidP="00701863">
      <w:pPr>
        <w:widowControl w:val="0"/>
        <w:autoSpaceDE w:val="0"/>
        <w:autoSpaceDN w:val="0"/>
        <w:ind w:left="840"/>
        <w:jc w:val="both"/>
        <w:rPr>
          <w:szCs w:val="20"/>
        </w:rPr>
      </w:pPr>
    </w:p>
    <w:p w14:paraId="2E8457EB" w14:textId="0C9A2DC4" w:rsidR="006F4231" w:rsidRPr="00471CBA" w:rsidRDefault="006F4231" w:rsidP="00701863">
      <w:pPr>
        <w:widowControl w:val="0"/>
        <w:autoSpaceDE w:val="0"/>
        <w:autoSpaceDN w:val="0"/>
        <w:ind w:left="840"/>
        <w:jc w:val="both"/>
        <w:rPr>
          <w:szCs w:val="20"/>
        </w:rPr>
      </w:pPr>
      <w:r w:rsidRPr="00471CBA">
        <w:rPr>
          <w:szCs w:val="20"/>
        </w:rPr>
        <w:t>Risk Yönetim Başkanlığı, Banka likidite riskini tanımlayıp,</w:t>
      </w:r>
      <w:r w:rsidRPr="00471CBA">
        <w:rPr>
          <w:color w:val="1F497D"/>
          <w:szCs w:val="20"/>
        </w:rPr>
        <w:t xml:space="preserve"> </w:t>
      </w:r>
      <w:r w:rsidRPr="00471CBA">
        <w:rPr>
          <w:szCs w:val="20"/>
        </w:rPr>
        <w:t>yasal mevzuata uygun likidite riski ölçümleme yöntemleri ile riskleri ölçmekte, izlemekte ve periyodik olarak ilgili birim, kom</w:t>
      </w:r>
      <w:r w:rsidR="005561C7" w:rsidRPr="00471CBA">
        <w:rPr>
          <w:szCs w:val="20"/>
        </w:rPr>
        <w:t>ite ve üst yönetime sunmaktadır, ayrıca</w:t>
      </w:r>
      <w:r w:rsidRPr="00471CBA">
        <w:rPr>
          <w:szCs w:val="20"/>
        </w:rPr>
        <w:t xml:space="preserve"> Banka’nın risk profili, faaliyet ortamı ve stratejik planlarına uyumlu likidite yönetimi sürecinin yasal düzenlemelere uygun bir biçimde işletilmesi için ilgili tarafları koordine etmektedir. Likidite riski analizleri ile önemli erken uyarı sinyalleri periyodik olarak ilgili üst yönetime raporlanmaktadır. Ayrıca, likidite riskine ilişkin takip edilen yasal ve içsel ihtiyat limiti oranları ile birlikte yapılan analizler APKO raporunda yer almaktadır. Yönetim Kurulu tarafından onaylanan ihtiyat limiti oranları ve uyarı seviyeleri düzenli olarak izlenmekte ve ilgili taraflara raporlanmaktadır.</w:t>
      </w:r>
    </w:p>
    <w:p w14:paraId="41E57A31" w14:textId="77777777" w:rsidR="000633F7" w:rsidRPr="00471CBA" w:rsidRDefault="000633F7" w:rsidP="00701863">
      <w:pPr>
        <w:widowControl w:val="0"/>
        <w:autoSpaceDE w:val="0"/>
        <w:autoSpaceDN w:val="0"/>
        <w:ind w:left="840"/>
        <w:jc w:val="both"/>
        <w:rPr>
          <w:szCs w:val="20"/>
        </w:rPr>
      </w:pPr>
    </w:p>
    <w:p w14:paraId="7A1625EE" w14:textId="5833F403" w:rsidR="007F6642" w:rsidRPr="00471CBA" w:rsidRDefault="007F6642" w:rsidP="00701863">
      <w:pPr>
        <w:ind w:left="840"/>
        <w:jc w:val="both"/>
        <w:rPr>
          <w:szCs w:val="20"/>
        </w:rPr>
      </w:pPr>
      <w:r w:rsidRPr="00471CBA">
        <w:rPr>
          <w:szCs w:val="20"/>
        </w:rPr>
        <w:t>Banka üst düzey yönetimi, likidite riskine ilişkin yönetim stratejilerini belirlemek için;</w:t>
      </w:r>
    </w:p>
    <w:p w14:paraId="0373C9B7" w14:textId="77777777" w:rsidR="007F6642" w:rsidRPr="00471CBA" w:rsidRDefault="007F6642" w:rsidP="00701863">
      <w:pPr>
        <w:ind w:left="840"/>
        <w:jc w:val="both"/>
        <w:rPr>
          <w:szCs w:val="20"/>
        </w:rPr>
      </w:pPr>
    </w:p>
    <w:p w14:paraId="5B9E9FB3" w14:textId="77777777" w:rsidR="007F6642" w:rsidRPr="00471CBA" w:rsidRDefault="007F6642" w:rsidP="00701863">
      <w:pPr>
        <w:ind w:left="840"/>
        <w:jc w:val="both"/>
        <w:rPr>
          <w:szCs w:val="20"/>
        </w:rPr>
      </w:pPr>
      <w:r w:rsidRPr="00471CBA">
        <w:rPr>
          <w:szCs w:val="20"/>
        </w:rPr>
        <w:t xml:space="preserve">-Yerli ve yabancı para birimlerinden oluşan yükümlülüklerini izler. </w:t>
      </w:r>
    </w:p>
    <w:p w14:paraId="64465BAF" w14:textId="453AB305" w:rsidR="007F6642" w:rsidRPr="00471CBA" w:rsidRDefault="007F6642" w:rsidP="00701863">
      <w:pPr>
        <w:ind w:left="840"/>
        <w:jc w:val="both"/>
        <w:rPr>
          <w:szCs w:val="20"/>
        </w:rPr>
      </w:pPr>
      <w:r w:rsidRPr="00471CBA">
        <w:rPr>
          <w:szCs w:val="20"/>
        </w:rPr>
        <w:t>-Plasmana ilişkin yoğunlaşma risklerini tespit eder.</w:t>
      </w:r>
    </w:p>
    <w:p w14:paraId="58E2F347" w14:textId="2A0897BF" w:rsidR="007F6642" w:rsidRPr="00471CBA" w:rsidRDefault="007F6642" w:rsidP="00701863">
      <w:pPr>
        <w:ind w:left="840"/>
        <w:jc w:val="both"/>
        <w:rPr>
          <w:szCs w:val="20"/>
        </w:rPr>
      </w:pPr>
      <w:r w:rsidRPr="00471CBA">
        <w:rPr>
          <w:szCs w:val="20"/>
        </w:rPr>
        <w:t xml:space="preserve">-Fon kaynaklarını aktif olarak takip eder. </w:t>
      </w:r>
    </w:p>
    <w:p w14:paraId="178DA197" w14:textId="26B24AF0" w:rsidR="007F6642" w:rsidRPr="00471CBA" w:rsidRDefault="007F6642" w:rsidP="00701863">
      <w:pPr>
        <w:ind w:left="840"/>
        <w:jc w:val="both"/>
        <w:rPr>
          <w:szCs w:val="20"/>
        </w:rPr>
      </w:pPr>
      <w:r w:rsidRPr="00471CBA">
        <w:rPr>
          <w:szCs w:val="20"/>
        </w:rPr>
        <w:t>-Portföy çeşitliliğini dikkate alır.</w:t>
      </w:r>
    </w:p>
    <w:p w14:paraId="744D5796" w14:textId="77777777" w:rsidR="007F6642" w:rsidRPr="00471CBA" w:rsidRDefault="007F6642" w:rsidP="00701863">
      <w:pPr>
        <w:ind w:left="840"/>
        <w:jc w:val="both"/>
        <w:rPr>
          <w:szCs w:val="20"/>
        </w:rPr>
      </w:pPr>
      <w:r w:rsidRPr="00471CBA">
        <w:rPr>
          <w:szCs w:val="20"/>
        </w:rPr>
        <w:t>-Varlık ve yükümlülüklere ilişkin fon akışlarını vadelere bağlı olarak izler</w:t>
      </w:r>
    </w:p>
    <w:p w14:paraId="0E321E61" w14:textId="77777777" w:rsidR="007F6642" w:rsidRPr="00471CBA" w:rsidRDefault="007F6642" w:rsidP="00701863">
      <w:pPr>
        <w:ind w:left="840"/>
        <w:jc w:val="both"/>
        <w:rPr>
          <w:szCs w:val="20"/>
        </w:rPr>
      </w:pPr>
    </w:p>
    <w:p w14:paraId="1FF73121" w14:textId="13274890" w:rsidR="006218A8" w:rsidRPr="00471CBA" w:rsidRDefault="007F6642" w:rsidP="00701863">
      <w:pPr>
        <w:ind w:left="840"/>
        <w:jc w:val="both"/>
        <w:rPr>
          <w:szCs w:val="20"/>
        </w:rPr>
      </w:pPr>
      <w:r w:rsidRPr="00471CBA">
        <w:rPr>
          <w:szCs w:val="20"/>
        </w:rPr>
        <w:t>Piyasa koşulları sürekli olarak izlenerek bankanın fon ihtiyacına yönelik erişim sorunları analiz edilir ve fon kaynaklarında meydana gelebilecek ani değişimlerin etkisi değerlendirilir. Likiditeyi etkileyen unsurlara stres testi uygulanarak likidite yeterliliği ölçülür. Likidite riski stres testi ile Banka’nın belirlenen senaryolar çerçevesinde nakit akışında meydana gelebilecek bozulma ve nakit oluşturma kapasitesi arasındaki uyum analiz edilir. Stres testleri için ihtiyaç duyulan senaryolar değişen bilanço yapısı dikkate alınarak oluşturulur. Elde edilen sonuçlar likidite riskine ilişkin politikaların belirlenmesinde ve acil eylem planının oluşturulmasında dikkate alınır. Banka’nın maruz kalabileceği likidite riskinin azaltılması amacıyla yürütülen stratejilere uyum, yasal ve ihtiyati limitler gözetilerek Banka üst düzey yönetimi tarafından etkin bir biçimde izlenir.</w:t>
      </w:r>
      <w:r w:rsidR="006218A8" w:rsidRPr="00471CBA">
        <w:rPr>
          <w:szCs w:val="20"/>
        </w:rPr>
        <w:br w:type="page"/>
      </w:r>
    </w:p>
    <w:p w14:paraId="0BCE1433" w14:textId="77777777" w:rsidR="00A15F5D" w:rsidRPr="00471CBA" w:rsidRDefault="00A15F5D" w:rsidP="00263A00">
      <w:pPr>
        <w:pStyle w:val="GvdeMetniGirintisi"/>
        <w:widowControl w:val="0"/>
        <w:spacing w:line="235" w:lineRule="auto"/>
        <w:ind w:firstLine="0"/>
        <w:jc w:val="left"/>
        <w:rPr>
          <w:b/>
          <w:szCs w:val="20"/>
        </w:rPr>
      </w:pPr>
    </w:p>
    <w:p w14:paraId="1F3FCDB3" w14:textId="6B53E03A" w:rsidR="00263A00" w:rsidRPr="00471CBA" w:rsidRDefault="006218A8" w:rsidP="00263A00">
      <w:pPr>
        <w:pStyle w:val="GvdeMetniGirintisi"/>
        <w:widowControl w:val="0"/>
        <w:spacing w:line="235" w:lineRule="auto"/>
        <w:ind w:firstLine="0"/>
        <w:jc w:val="left"/>
        <w:rPr>
          <w:b/>
          <w:szCs w:val="20"/>
        </w:rPr>
      </w:pPr>
      <w:r w:rsidRPr="00471CBA">
        <w:rPr>
          <w:b/>
          <w:szCs w:val="20"/>
        </w:rPr>
        <w:t xml:space="preserve">MALİ BÜNYEYE VE RİSK YÖNETİMİNE İLİŞKİN BİLGİLER </w:t>
      </w:r>
      <w:r w:rsidR="00263A00" w:rsidRPr="00471CBA">
        <w:rPr>
          <w:b/>
          <w:szCs w:val="20"/>
        </w:rPr>
        <w:t>(Devamı)</w:t>
      </w:r>
    </w:p>
    <w:p w14:paraId="46EA5207" w14:textId="77777777" w:rsidR="000633F7" w:rsidRPr="00471CBA" w:rsidRDefault="000633F7" w:rsidP="00263A00">
      <w:pPr>
        <w:widowControl w:val="0"/>
        <w:autoSpaceDE w:val="0"/>
        <w:autoSpaceDN w:val="0"/>
        <w:ind w:left="851"/>
        <w:jc w:val="both"/>
        <w:rPr>
          <w:szCs w:val="20"/>
        </w:rPr>
      </w:pPr>
    </w:p>
    <w:p w14:paraId="30F33385" w14:textId="3D77035C" w:rsidR="00263A00" w:rsidRPr="00471CBA" w:rsidRDefault="00263A00" w:rsidP="009F6E11">
      <w:pPr>
        <w:widowControl w:val="0"/>
        <w:autoSpaceDE w:val="0"/>
        <w:autoSpaceDN w:val="0"/>
        <w:adjustRightInd w:val="0"/>
        <w:ind w:left="851" w:hanging="851"/>
        <w:rPr>
          <w:b/>
          <w:szCs w:val="20"/>
        </w:rPr>
      </w:pPr>
      <w:r w:rsidRPr="00471CBA">
        <w:rPr>
          <w:b/>
          <w:szCs w:val="20"/>
        </w:rPr>
        <w:t>V.</w:t>
      </w:r>
      <w:r w:rsidRPr="00471CBA">
        <w:rPr>
          <w:b/>
          <w:szCs w:val="20"/>
        </w:rPr>
        <w:tab/>
      </w:r>
      <w:r w:rsidR="006218A8" w:rsidRPr="00471CBA">
        <w:rPr>
          <w:b/>
          <w:szCs w:val="20"/>
        </w:rPr>
        <w:t xml:space="preserve">LİKİDİTE RİSKİNE İLİŞKİN AÇIKLAMALAR </w:t>
      </w:r>
      <w:r w:rsidRPr="00471CBA">
        <w:rPr>
          <w:b/>
          <w:szCs w:val="20"/>
        </w:rPr>
        <w:t>(Devamı)</w:t>
      </w:r>
    </w:p>
    <w:p w14:paraId="047C55C6" w14:textId="77777777" w:rsidR="00263A00" w:rsidRPr="00471CBA" w:rsidRDefault="00263A00" w:rsidP="00263A00">
      <w:pPr>
        <w:widowControl w:val="0"/>
        <w:autoSpaceDE w:val="0"/>
        <w:autoSpaceDN w:val="0"/>
        <w:ind w:left="851"/>
        <w:jc w:val="both"/>
        <w:rPr>
          <w:szCs w:val="20"/>
        </w:rPr>
      </w:pPr>
    </w:p>
    <w:p w14:paraId="0FA8D072" w14:textId="632C77DC" w:rsidR="00840285" w:rsidRPr="00471CBA" w:rsidRDefault="008A3BB5" w:rsidP="00935BA9">
      <w:pPr>
        <w:widowControl w:val="0"/>
        <w:autoSpaceDE w:val="0"/>
        <w:autoSpaceDN w:val="0"/>
        <w:adjustRightInd w:val="0"/>
        <w:jc w:val="both"/>
        <w:rPr>
          <w:b/>
          <w:szCs w:val="20"/>
        </w:rPr>
      </w:pPr>
      <w:r w:rsidRPr="00471CBA">
        <w:rPr>
          <w:b/>
          <w:szCs w:val="20"/>
        </w:rPr>
        <w:t xml:space="preserve">Likidite karşılama </w:t>
      </w:r>
      <w:r w:rsidR="00EC6888" w:rsidRPr="00471CBA">
        <w:rPr>
          <w:b/>
          <w:szCs w:val="20"/>
        </w:rPr>
        <w:t>o</w:t>
      </w:r>
      <w:r w:rsidRPr="00471CBA">
        <w:rPr>
          <w:b/>
          <w:szCs w:val="20"/>
        </w:rPr>
        <w:t>ranı</w:t>
      </w:r>
      <w:r w:rsidR="00334B23" w:rsidRPr="00471CBA">
        <w:rPr>
          <w:b/>
          <w:szCs w:val="20"/>
        </w:rPr>
        <w:t xml:space="preserve"> </w:t>
      </w:r>
    </w:p>
    <w:p w14:paraId="5B99C235" w14:textId="0ECFA5DA" w:rsidR="00A74C68" w:rsidRPr="00471CBA" w:rsidRDefault="00A74C68" w:rsidP="00A74C68">
      <w:pPr>
        <w:widowControl w:val="0"/>
        <w:autoSpaceDE w:val="0"/>
        <w:autoSpaceDN w:val="0"/>
        <w:adjustRightInd w:val="0"/>
        <w:ind w:left="851"/>
        <w:jc w:val="both"/>
      </w:pPr>
    </w:p>
    <w:tbl>
      <w:tblPr>
        <w:tblW w:w="9626" w:type="dxa"/>
        <w:tblCellMar>
          <w:left w:w="70" w:type="dxa"/>
          <w:right w:w="70" w:type="dxa"/>
        </w:tblCellMar>
        <w:tblLook w:val="04A0" w:firstRow="1" w:lastRow="0" w:firstColumn="1" w:lastColumn="0" w:noHBand="0" w:noVBand="1"/>
      </w:tblPr>
      <w:tblGrid>
        <w:gridCol w:w="331"/>
        <w:gridCol w:w="5180"/>
        <w:gridCol w:w="1035"/>
        <w:gridCol w:w="896"/>
        <w:gridCol w:w="1092"/>
        <w:gridCol w:w="1092"/>
      </w:tblGrid>
      <w:tr w:rsidR="00A74C68" w:rsidRPr="00471CBA" w14:paraId="7C63F1EC" w14:textId="77777777" w:rsidTr="00A74C68">
        <w:trPr>
          <w:divId w:val="1780682172"/>
          <w:trHeight w:val="20"/>
        </w:trPr>
        <w:tc>
          <w:tcPr>
            <w:tcW w:w="331" w:type="dxa"/>
            <w:tcBorders>
              <w:top w:val="single" w:sz="4" w:space="0" w:color="auto"/>
              <w:left w:val="single" w:sz="4" w:space="0" w:color="auto"/>
              <w:bottom w:val="single" w:sz="4" w:space="0" w:color="auto"/>
              <w:right w:val="single" w:sz="4" w:space="0" w:color="auto"/>
            </w:tcBorders>
            <w:noWrap/>
            <w:hideMark/>
          </w:tcPr>
          <w:p w14:paraId="7E426657" w14:textId="513E3C3D" w:rsidR="00A74C68" w:rsidRPr="00471CBA" w:rsidRDefault="00A74C68" w:rsidP="00A74C68">
            <w:pPr>
              <w:rPr>
                <w:color w:val="000000"/>
                <w:sz w:val="16"/>
                <w:szCs w:val="16"/>
                <w:lang w:eastAsia="tr-TR"/>
              </w:rPr>
            </w:pPr>
            <w:r w:rsidRPr="00471CBA">
              <w:rPr>
                <w:color w:val="000000"/>
                <w:sz w:val="16"/>
                <w:szCs w:val="16"/>
                <w:lang w:eastAsia="tr-TR"/>
              </w:rPr>
              <w:t> </w:t>
            </w:r>
          </w:p>
        </w:tc>
        <w:tc>
          <w:tcPr>
            <w:tcW w:w="5180" w:type="dxa"/>
            <w:tcBorders>
              <w:top w:val="single" w:sz="4" w:space="0" w:color="auto"/>
              <w:left w:val="nil"/>
              <w:bottom w:val="single" w:sz="4" w:space="0" w:color="auto"/>
              <w:right w:val="single" w:sz="4" w:space="0" w:color="auto"/>
            </w:tcBorders>
            <w:noWrap/>
            <w:vAlign w:val="center"/>
            <w:hideMark/>
          </w:tcPr>
          <w:p w14:paraId="545D1496" w14:textId="77777777" w:rsidR="00A74C68" w:rsidRPr="00471CBA" w:rsidRDefault="00A74C68" w:rsidP="00A74C68">
            <w:pPr>
              <w:rPr>
                <w:b/>
                <w:bCs/>
                <w:color w:val="000000"/>
                <w:sz w:val="16"/>
                <w:szCs w:val="16"/>
                <w:lang w:eastAsia="tr-TR"/>
              </w:rPr>
            </w:pPr>
            <w:r w:rsidRPr="00471CBA">
              <w:rPr>
                <w:b/>
                <w:bCs/>
                <w:color w:val="000000"/>
                <w:sz w:val="16"/>
                <w:szCs w:val="16"/>
                <w:lang w:eastAsia="tr-TR"/>
              </w:rPr>
              <w:t> </w:t>
            </w:r>
          </w:p>
        </w:tc>
        <w:tc>
          <w:tcPr>
            <w:tcW w:w="1931" w:type="dxa"/>
            <w:gridSpan w:val="2"/>
            <w:tcBorders>
              <w:top w:val="single" w:sz="4" w:space="0" w:color="auto"/>
              <w:left w:val="nil"/>
              <w:bottom w:val="single" w:sz="4" w:space="0" w:color="auto"/>
              <w:right w:val="single" w:sz="4" w:space="0" w:color="auto"/>
            </w:tcBorders>
            <w:vAlign w:val="center"/>
            <w:hideMark/>
          </w:tcPr>
          <w:p w14:paraId="11EB976F" w14:textId="77777777" w:rsidR="00A74C68" w:rsidRPr="00471CBA" w:rsidRDefault="00A74C68" w:rsidP="00A74C68">
            <w:pPr>
              <w:jc w:val="center"/>
              <w:rPr>
                <w:b/>
                <w:bCs/>
                <w:color w:val="000000"/>
                <w:sz w:val="16"/>
                <w:szCs w:val="16"/>
                <w:lang w:eastAsia="tr-TR"/>
              </w:rPr>
            </w:pPr>
            <w:r w:rsidRPr="00471CBA">
              <w:rPr>
                <w:b/>
                <w:bCs/>
                <w:color w:val="000000"/>
                <w:sz w:val="16"/>
                <w:szCs w:val="16"/>
                <w:lang w:eastAsia="tr-TR"/>
              </w:rPr>
              <w:t>Dikkate Alınma Oranı Uygulanmamış Toplam Değer</w:t>
            </w:r>
            <w:r w:rsidRPr="00471CBA">
              <w:rPr>
                <w:b/>
                <w:bCs/>
                <w:color w:val="000000"/>
                <w:sz w:val="16"/>
                <w:szCs w:val="16"/>
                <w:vertAlign w:val="superscript"/>
                <w:lang w:eastAsia="tr-TR"/>
              </w:rPr>
              <w:t>(*)</w:t>
            </w:r>
          </w:p>
        </w:tc>
        <w:tc>
          <w:tcPr>
            <w:tcW w:w="2184" w:type="dxa"/>
            <w:gridSpan w:val="2"/>
            <w:tcBorders>
              <w:top w:val="single" w:sz="4" w:space="0" w:color="auto"/>
              <w:left w:val="nil"/>
              <w:bottom w:val="single" w:sz="4" w:space="0" w:color="auto"/>
              <w:right w:val="single" w:sz="4" w:space="0" w:color="auto"/>
            </w:tcBorders>
            <w:vAlign w:val="center"/>
            <w:hideMark/>
          </w:tcPr>
          <w:p w14:paraId="161D481B" w14:textId="77777777" w:rsidR="00A74C68" w:rsidRPr="00471CBA" w:rsidRDefault="00A74C68" w:rsidP="00A74C68">
            <w:pPr>
              <w:jc w:val="center"/>
              <w:rPr>
                <w:b/>
                <w:bCs/>
                <w:color w:val="000000"/>
                <w:sz w:val="16"/>
                <w:szCs w:val="16"/>
                <w:lang w:eastAsia="tr-TR"/>
              </w:rPr>
            </w:pPr>
            <w:r w:rsidRPr="00471CBA">
              <w:rPr>
                <w:b/>
                <w:bCs/>
                <w:color w:val="000000"/>
                <w:sz w:val="16"/>
                <w:szCs w:val="16"/>
                <w:lang w:eastAsia="tr-TR"/>
              </w:rPr>
              <w:t>Dikkate Alınma Oranı Uygulanmış Toplam Değer</w:t>
            </w:r>
            <w:r w:rsidRPr="00471CBA">
              <w:rPr>
                <w:b/>
                <w:bCs/>
                <w:color w:val="000000"/>
                <w:sz w:val="16"/>
                <w:szCs w:val="16"/>
                <w:vertAlign w:val="superscript"/>
                <w:lang w:eastAsia="tr-TR"/>
              </w:rPr>
              <w:t>(*)</w:t>
            </w:r>
          </w:p>
        </w:tc>
      </w:tr>
      <w:tr w:rsidR="00A74C68" w:rsidRPr="00471CBA" w14:paraId="5AB39879" w14:textId="77777777" w:rsidTr="00A74C68">
        <w:trPr>
          <w:divId w:val="1780682172"/>
          <w:trHeight w:val="20"/>
        </w:trPr>
        <w:tc>
          <w:tcPr>
            <w:tcW w:w="331" w:type="dxa"/>
            <w:tcBorders>
              <w:top w:val="single" w:sz="4" w:space="0" w:color="auto"/>
              <w:left w:val="single" w:sz="4" w:space="0" w:color="auto"/>
              <w:bottom w:val="single" w:sz="4" w:space="0" w:color="auto"/>
              <w:right w:val="single" w:sz="4" w:space="0" w:color="auto"/>
            </w:tcBorders>
            <w:noWrap/>
            <w:hideMark/>
          </w:tcPr>
          <w:p w14:paraId="2144DAD4" w14:textId="77777777" w:rsidR="00A74C68" w:rsidRPr="00471CBA" w:rsidRDefault="00A74C68" w:rsidP="00A74C68">
            <w:pPr>
              <w:rPr>
                <w:color w:val="000000"/>
                <w:sz w:val="16"/>
                <w:szCs w:val="16"/>
                <w:lang w:eastAsia="tr-TR"/>
              </w:rPr>
            </w:pPr>
            <w:r w:rsidRPr="00471CBA">
              <w:rPr>
                <w:color w:val="000000"/>
                <w:sz w:val="16"/>
                <w:szCs w:val="16"/>
                <w:lang w:eastAsia="tr-TR"/>
              </w:rPr>
              <w:t> </w:t>
            </w:r>
          </w:p>
        </w:tc>
        <w:tc>
          <w:tcPr>
            <w:tcW w:w="5180" w:type="dxa"/>
            <w:tcBorders>
              <w:top w:val="single" w:sz="4" w:space="0" w:color="auto"/>
              <w:left w:val="nil"/>
              <w:bottom w:val="single" w:sz="4" w:space="0" w:color="auto"/>
              <w:right w:val="single" w:sz="4" w:space="0" w:color="auto"/>
            </w:tcBorders>
            <w:noWrap/>
            <w:vAlign w:val="center"/>
            <w:hideMark/>
          </w:tcPr>
          <w:p w14:paraId="698BC6AA" w14:textId="77777777" w:rsidR="00A74C68" w:rsidRPr="00471CBA" w:rsidRDefault="00A74C68" w:rsidP="00A74C68">
            <w:pPr>
              <w:rPr>
                <w:b/>
                <w:bCs/>
                <w:color w:val="000000"/>
                <w:sz w:val="16"/>
                <w:szCs w:val="16"/>
                <w:lang w:eastAsia="tr-TR"/>
              </w:rPr>
            </w:pPr>
            <w:r w:rsidRPr="00471CBA">
              <w:rPr>
                <w:b/>
                <w:bCs/>
                <w:color w:val="000000"/>
                <w:sz w:val="16"/>
                <w:szCs w:val="16"/>
                <w:lang w:eastAsia="tr-TR"/>
              </w:rPr>
              <w:t>31 Aralık 2025</w:t>
            </w:r>
          </w:p>
        </w:tc>
        <w:tc>
          <w:tcPr>
            <w:tcW w:w="1035" w:type="dxa"/>
            <w:tcBorders>
              <w:top w:val="single" w:sz="4" w:space="0" w:color="auto"/>
              <w:left w:val="nil"/>
              <w:bottom w:val="single" w:sz="4" w:space="0" w:color="auto"/>
              <w:right w:val="single" w:sz="4" w:space="0" w:color="auto"/>
            </w:tcBorders>
            <w:noWrap/>
            <w:vAlign w:val="center"/>
            <w:hideMark/>
          </w:tcPr>
          <w:p w14:paraId="325144D2" w14:textId="77777777" w:rsidR="00A74C68" w:rsidRPr="00471CBA" w:rsidRDefault="00A74C68" w:rsidP="00A74C68">
            <w:pPr>
              <w:jc w:val="center"/>
              <w:rPr>
                <w:b/>
                <w:bCs/>
                <w:color w:val="000000"/>
                <w:sz w:val="16"/>
                <w:szCs w:val="16"/>
                <w:lang w:eastAsia="tr-TR"/>
              </w:rPr>
            </w:pPr>
            <w:r w:rsidRPr="00471CBA">
              <w:rPr>
                <w:b/>
                <w:bCs/>
                <w:color w:val="000000"/>
                <w:sz w:val="16"/>
                <w:szCs w:val="16"/>
                <w:lang w:eastAsia="tr-TR"/>
              </w:rPr>
              <w:t>TP+YP</w:t>
            </w:r>
          </w:p>
        </w:tc>
        <w:tc>
          <w:tcPr>
            <w:tcW w:w="896" w:type="dxa"/>
            <w:tcBorders>
              <w:top w:val="single" w:sz="4" w:space="0" w:color="auto"/>
              <w:left w:val="nil"/>
              <w:bottom w:val="single" w:sz="4" w:space="0" w:color="auto"/>
              <w:right w:val="single" w:sz="4" w:space="0" w:color="auto"/>
            </w:tcBorders>
            <w:noWrap/>
            <w:vAlign w:val="center"/>
            <w:hideMark/>
          </w:tcPr>
          <w:p w14:paraId="72C9F6B1" w14:textId="77777777" w:rsidR="00A74C68" w:rsidRPr="00471CBA" w:rsidRDefault="00A74C68" w:rsidP="00A74C68">
            <w:pPr>
              <w:jc w:val="center"/>
              <w:rPr>
                <w:b/>
                <w:bCs/>
                <w:color w:val="000000"/>
                <w:sz w:val="16"/>
                <w:szCs w:val="16"/>
                <w:lang w:eastAsia="tr-TR"/>
              </w:rPr>
            </w:pPr>
            <w:r w:rsidRPr="00471CBA">
              <w:rPr>
                <w:b/>
                <w:bCs/>
                <w:color w:val="000000"/>
                <w:sz w:val="16"/>
                <w:szCs w:val="16"/>
                <w:lang w:eastAsia="tr-TR"/>
              </w:rPr>
              <w:t>YP</w:t>
            </w:r>
          </w:p>
        </w:tc>
        <w:tc>
          <w:tcPr>
            <w:tcW w:w="1092" w:type="dxa"/>
            <w:tcBorders>
              <w:top w:val="single" w:sz="4" w:space="0" w:color="auto"/>
              <w:left w:val="nil"/>
              <w:bottom w:val="single" w:sz="4" w:space="0" w:color="auto"/>
              <w:right w:val="single" w:sz="4" w:space="0" w:color="auto"/>
            </w:tcBorders>
            <w:noWrap/>
            <w:vAlign w:val="center"/>
            <w:hideMark/>
          </w:tcPr>
          <w:p w14:paraId="4909CC4D" w14:textId="77777777" w:rsidR="00A74C68" w:rsidRPr="00471CBA" w:rsidRDefault="00A74C68" w:rsidP="00A74C68">
            <w:pPr>
              <w:jc w:val="center"/>
              <w:rPr>
                <w:b/>
                <w:bCs/>
                <w:color w:val="000000"/>
                <w:sz w:val="16"/>
                <w:szCs w:val="16"/>
                <w:lang w:eastAsia="tr-TR"/>
              </w:rPr>
            </w:pPr>
            <w:r w:rsidRPr="00471CBA">
              <w:rPr>
                <w:b/>
                <w:bCs/>
                <w:color w:val="000000"/>
                <w:sz w:val="16"/>
                <w:szCs w:val="16"/>
                <w:lang w:eastAsia="tr-TR"/>
              </w:rPr>
              <w:t>TP+YP</w:t>
            </w:r>
          </w:p>
        </w:tc>
        <w:tc>
          <w:tcPr>
            <w:tcW w:w="1092" w:type="dxa"/>
            <w:tcBorders>
              <w:top w:val="single" w:sz="4" w:space="0" w:color="auto"/>
              <w:left w:val="nil"/>
              <w:bottom w:val="single" w:sz="4" w:space="0" w:color="auto"/>
              <w:right w:val="single" w:sz="4" w:space="0" w:color="auto"/>
            </w:tcBorders>
            <w:noWrap/>
            <w:vAlign w:val="center"/>
            <w:hideMark/>
          </w:tcPr>
          <w:p w14:paraId="17EF844F" w14:textId="77777777" w:rsidR="00A74C68" w:rsidRPr="00471CBA" w:rsidRDefault="00A74C68" w:rsidP="00A74C68">
            <w:pPr>
              <w:jc w:val="center"/>
              <w:rPr>
                <w:b/>
                <w:bCs/>
                <w:color w:val="000000"/>
                <w:sz w:val="16"/>
                <w:szCs w:val="16"/>
                <w:lang w:eastAsia="tr-TR"/>
              </w:rPr>
            </w:pPr>
            <w:r w:rsidRPr="00471CBA">
              <w:rPr>
                <w:b/>
                <w:bCs/>
                <w:color w:val="000000"/>
                <w:sz w:val="16"/>
                <w:szCs w:val="16"/>
                <w:lang w:eastAsia="tr-TR"/>
              </w:rPr>
              <w:t>YP</w:t>
            </w:r>
          </w:p>
        </w:tc>
      </w:tr>
      <w:tr w:rsidR="00A74C68" w:rsidRPr="00471CBA" w14:paraId="412455E3" w14:textId="77777777" w:rsidTr="00A74C68">
        <w:trPr>
          <w:divId w:val="1780682172"/>
          <w:trHeight w:val="20"/>
        </w:trPr>
        <w:tc>
          <w:tcPr>
            <w:tcW w:w="331" w:type="dxa"/>
            <w:tcBorders>
              <w:top w:val="single" w:sz="4" w:space="0" w:color="auto"/>
              <w:left w:val="single" w:sz="4" w:space="0" w:color="auto"/>
              <w:bottom w:val="single" w:sz="4" w:space="0" w:color="auto"/>
              <w:right w:val="single" w:sz="4" w:space="0" w:color="auto"/>
            </w:tcBorders>
            <w:noWrap/>
            <w:hideMark/>
          </w:tcPr>
          <w:p w14:paraId="36ED48A1" w14:textId="77777777" w:rsidR="00A74C68" w:rsidRPr="00471CBA" w:rsidRDefault="00A74C68" w:rsidP="00A74C68">
            <w:pPr>
              <w:rPr>
                <w:color w:val="000000"/>
                <w:sz w:val="16"/>
                <w:szCs w:val="16"/>
                <w:lang w:eastAsia="tr-TR"/>
              </w:rPr>
            </w:pPr>
            <w:r w:rsidRPr="00471CBA">
              <w:rPr>
                <w:color w:val="000000"/>
                <w:sz w:val="16"/>
                <w:szCs w:val="16"/>
                <w:lang w:eastAsia="tr-TR"/>
              </w:rPr>
              <w:t> </w:t>
            </w:r>
          </w:p>
        </w:tc>
        <w:tc>
          <w:tcPr>
            <w:tcW w:w="5180" w:type="dxa"/>
            <w:tcBorders>
              <w:top w:val="single" w:sz="4" w:space="0" w:color="auto"/>
              <w:left w:val="nil"/>
              <w:bottom w:val="single" w:sz="4" w:space="0" w:color="auto"/>
              <w:right w:val="single" w:sz="4" w:space="0" w:color="auto"/>
            </w:tcBorders>
            <w:noWrap/>
            <w:hideMark/>
          </w:tcPr>
          <w:p w14:paraId="480806D4" w14:textId="77777777" w:rsidR="00A74C68" w:rsidRPr="00471CBA" w:rsidRDefault="00A74C68" w:rsidP="00A74C68">
            <w:pPr>
              <w:rPr>
                <w:b/>
                <w:bCs/>
                <w:color w:val="000000"/>
                <w:sz w:val="16"/>
                <w:szCs w:val="16"/>
                <w:lang w:eastAsia="tr-TR"/>
              </w:rPr>
            </w:pPr>
            <w:r w:rsidRPr="00471CBA">
              <w:rPr>
                <w:b/>
                <w:bCs/>
                <w:color w:val="000000"/>
                <w:sz w:val="16"/>
                <w:szCs w:val="16"/>
                <w:lang w:eastAsia="tr-TR"/>
              </w:rPr>
              <w:t>YÜKSEK KALİTELİ LİKİT VARLIKLAR (YKLV)</w:t>
            </w:r>
          </w:p>
        </w:tc>
        <w:tc>
          <w:tcPr>
            <w:tcW w:w="1035" w:type="dxa"/>
            <w:tcBorders>
              <w:top w:val="single" w:sz="4" w:space="0" w:color="auto"/>
              <w:left w:val="nil"/>
              <w:bottom w:val="single" w:sz="4" w:space="0" w:color="auto"/>
              <w:right w:val="single" w:sz="4" w:space="0" w:color="auto"/>
            </w:tcBorders>
            <w:noWrap/>
            <w:vAlign w:val="bottom"/>
            <w:hideMark/>
          </w:tcPr>
          <w:p w14:paraId="76FAD1A6" w14:textId="77777777" w:rsidR="00A74C68" w:rsidRPr="00471CBA" w:rsidRDefault="00A74C68" w:rsidP="00A74C68">
            <w:pPr>
              <w:jc w:val="right"/>
              <w:rPr>
                <w:color w:val="000000"/>
                <w:sz w:val="16"/>
                <w:szCs w:val="16"/>
                <w:lang w:eastAsia="tr-TR"/>
              </w:rPr>
            </w:pPr>
            <w:r w:rsidRPr="00471CBA">
              <w:rPr>
                <w:color w:val="000000"/>
                <w:sz w:val="16"/>
                <w:szCs w:val="16"/>
                <w:lang w:eastAsia="tr-TR"/>
              </w:rPr>
              <w:t> </w:t>
            </w:r>
          </w:p>
        </w:tc>
        <w:tc>
          <w:tcPr>
            <w:tcW w:w="896" w:type="dxa"/>
            <w:tcBorders>
              <w:top w:val="single" w:sz="4" w:space="0" w:color="auto"/>
              <w:left w:val="nil"/>
              <w:bottom w:val="single" w:sz="4" w:space="0" w:color="auto"/>
              <w:right w:val="single" w:sz="4" w:space="0" w:color="auto"/>
            </w:tcBorders>
            <w:noWrap/>
            <w:vAlign w:val="center"/>
            <w:hideMark/>
          </w:tcPr>
          <w:p w14:paraId="0F49B6F5" w14:textId="77777777" w:rsidR="00A74C68" w:rsidRPr="00471CBA" w:rsidRDefault="00A74C68" w:rsidP="00A74C68">
            <w:pPr>
              <w:jc w:val="right"/>
              <w:rPr>
                <w:color w:val="000000"/>
                <w:sz w:val="16"/>
                <w:szCs w:val="16"/>
                <w:lang w:eastAsia="tr-TR"/>
              </w:rPr>
            </w:pPr>
            <w:r w:rsidRPr="00471CBA">
              <w:rPr>
                <w:color w:val="000000"/>
                <w:sz w:val="16"/>
                <w:szCs w:val="16"/>
                <w:lang w:eastAsia="tr-TR"/>
              </w:rPr>
              <w:t> </w:t>
            </w:r>
          </w:p>
        </w:tc>
        <w:tc>
          <w:tcPr>
            <w:tcW w:w="1092" w:type="dxa"/>
            <w:tcBorders>
              <w:top w:val="single" w:sz="4" w:space="0" w:color="auto"/>
              <w:left w:val="nil"/>
              <w:bottom w:val="single" w:sz="4" w:space="0" w:color="auto"/>
              <w:right w:val="single" w:sz="4" w:space="0" w:color="auto"/>
            </w:tcBorders>
            <w:noWrap/>
            <w:vAlign w:val="bottom"/>
            <w:hideMark/>
          </w:tcPr>
          <w:p w14:paraId="19FC8CFA" w14:textId="77777777" w:rsidR="00A74C68" w:rsidRPr="00471CBA" w:rsidRDefault="00A74C68" w:rsidP="00A74C68">
            <w:pPr>
              <w:jc w:val="right"/>
              <w:rPr>
                <w:color w:val="000000"/>
                <w:sz w:val="16"/>
                <w:szCs w:val="16"/>
                <w:lang w:eastAsia="tr-TR"/>
              </w:rPr>
            </w:pPr>
            <w:r w:rsidRPr="00471CBA">
              <w:rPr>
                <w:color w:val="000000"/>
                <w:sz w:val="16"/>
                <w:szCs w:val="16"/>
                <w:lang w:eastAsia="tr-TR"/>
              </w:rPr>
              <w:t> </w:t>
            </w:r>
          </w:p>
        </w:tc>
        <w:tc>
          <w:tcPr>
            <w:tcW w:w="1092" w:type="dxa"/>
            <w:tcBorders>
              <w:top w:val="single" w:sz="4" w:space="0" w:color="auto"/>
              <w:left w:val="nil"/>
              <w:bottom w:val="single" w:sz="4" w:space="0" w:color="auto"/>
              <w:right w:val="single" w:sz="4" w:space="0" w:color="auto"/>
            </w:tcBorders>
            <w:noWrap/>
            <w:vAlign w:val="center"/>
            <w:hideMark/>
          </w:tcPr>
          <w:p w14:paraId="08B92099" w14:textId="77777777" w:rsidR="00A74C68" w:rsidRPr="00471CBA" w:rsidRDefault="00A74C68" w:rsidP="00A74C68">
            <w:pPr>
              <w:jc w:val="right"/>
              <w:rPr>
                <w:color w:val="000000"/>
                <w:sz w:val="16"/>
                <w:szCs w:val="16"/>
                <w:lang w:eastAsia="tr-TR"/>
              </w:rPr>
            </w:pPr>
            <w:r w:rsidRPr="00471CBA">
              <w:rPr>
                <w:color w:val="000000"/>
                <w:sz w:val="16"/>
                <w:szCs w:val="16"/>
                <w:lang w:eastAsia="tr-TR"/>
              </w:rPr>
              <w:t> </w:t>
            </w:r>
          </w:p>
        </w:tc>
      </w:tr>
      <w:tr w:rsidR="00A74C68" w:rsidRPr="00471CBA" w14:paraId="5382ED55" w14:textId="77777777" w:rsidTr="00A74C68">
        <w:trPr>
          <w:divId w:val="1780682172"/>
          <w:trHeight w:val="20"/>
        </w:trPr>
        <w:tc>
          <w:tcPr>
            <w:tcW w:w="331" w:type="dxa"/>
            <w:tcBorders>
              <w:top w:val="single" w:sz="4" w:space="0" w:color="auto"/>
              <w:left w:val="single" w:sz="4" w:space="0" w:color="auto"/>
              <w:bottom w:val="single" w:sz="4" w:space="0" w:color="auto"/>
              <w:right w:val="single" w:sz="4" w:space="0" w:color="auto"/>
            </w:tcBorders>
            <w:noWrap/>
            <w:hideMark/>
          </w:tcPr>
          <w:p w14:paraId="29FFCA2C" w14:textId="77777777" w:rsidR="00A74C68" w:rsidRPr="00471CBA" w:rsidRDefault="00A74C68" w:rsidP="00A74C68">
            <w:pPr>
              <w:jc w:val="center"/>
              <w:rPr>
                <w:color w:val="000000"/>
                <w:sz w:val="16"/>
                <w:szCs w:val="16"/>
                <w:lang w:eastAsia="tr-TR"/>
              </w:rPr>
            </w:pPr>
            <w:r w:rsidRPr="00471CBA">
              <w:rPr>
                <w:color w:val="000000"/>
                <w:sz w:val="16"/>
                <w:szCs w:val="16"/>
                <w:lang w:eastAsia="tr-TR"/>
              </w:rPr>
              <w:t>1</w:t>
            </w:r>
          </w:p>
        </w:tc>
        <w:tc>
          <w:tcPr>
            <w:tcW w:w="5180" w:type="dxa"/>
            <w:tcBorders>
              <w:top w:val="single" w:sz="4" w:space="0" w:color="auto"/>
              <w:left w:val="nil"/>
              <w:bottom w:val="single" w:sz="4" w:space="0" w:color="auto"/>
              <w:right w:val="single" w:sz="4" w:space="0" w:color="auto"/>
            </w:tcBorders>
            <w:noWrap/>
            <w:hideMark/>
          </w:tcPr>
          <w:p w14:paraId="54FBB241" w14:textId="77777777" w:rsidR="00A74C68" w:rsidRPr="00471CBA" w:rsidRDefault="00A74C68" w:rsidP="00A74C68">
            <w:pPr>
              <w:rPr>
                <w:color w:val="000000"/>
                <w:sz w:val="16"/>
                <w:szCs w:val="16"/>
                <w:lang w:eastAsia="tr-TR"/>
              </w:rPr>
            </w:pPr>
            <w:r w:rsidRPr="00471CBA">
              <w:rPr>
                <w:color w:val="000000"/>
                <w:sz w:val="16"/>
                <w:szCs w:val="16"/>
                <w:lang w:eastAsia="tr-TR"/>
              </w:rPr>
              <w:t>YÜKSEK KALİTELİ LİKİT VARLIKLAR</w:t>
            </w:r>
          </w:p>
        </w:tc>
        <w:tc>
          <w:tcPr>
            <w:tcW w:w="1035" w:type="dxa"/>
            <w:tcBorders>
              <w:top w:val="single" w:sz="4" w:space="0" w:color="auto"/>
              <w:left w:val="nil"/>
              <w:bottom w:val="single" w:sz="4" w:space="0" w:color="auto"/>
              <w:right w:val="single" w:sz="4" w:space="0" w:color="auto"/>
            </w:tcBorders>
            <w:shd w:val="clear" w:color="000000" w:fill="000000"/>
            <w:noWrap/>
            <w:vAlign w:val="center"/>
            <w:hideMark/>
          </w:tcPr>
          <w:p w14:paraId="56F25143" w14:textId="77777777" w:rsidR="00A74C68" w:rsidRPr="00471CBA" w:rsidRDefault="00A74C68" w:rsidP="00A74C68">
            <w:pPr>
              <w:jc w:val="right"/>
              <w:rPr>
                <w:b/>
                <w:bCs/>
                <w:color w:val="FFFFFF"/>
                <w:sz w:val="16"/>
                <w:szCs w:val="16"/>
                <w:lang w:eastAsia="tr-TR"/>
              </w:rPr>
            </w:pPr>
            <w:r w:rsidRPr="00471CBA">
              <w:rPr>
                <w:b/>
                <w:bCs/>
                <w:color w:val="FFFFFF"/>
                <w:sz w:val="16"/>
                <w:szCs w:val="16"/>
                <w:lang w:eastAsia="tr-TR"/>
              </w:rPr>
              <w:t> </w:t>
            </w:r>
          </w:p>
        </w:tc>
        <w:tc>
          <w:tcPr>
            <w:tcW w:w="896" w:type="dxa"/>
            <w:tcBorders>
              <w:top w:val="single" w:sz="4" w:space="0" w:color="auto"/>
              <w:left w:val="nil"/>
              <w:bottom w:val="single" w:sz="4" w:space="0" w:color="auto"/>
              <w:right w:val="single" w:sz="4" w:space="0" w:color="auto"/>
            </w:tcBorders>
            <w:shd w:val="clear" w:color="000000" w:fill="000000"/>
            <w:noWrap/>
            <w:vAlign w:val="center"/>
            <w:hideMark/>
          </w:tcPr>
          <w:p w14:paraId="29245587" w14:textId="77777777" w:rsidR="00A74C68" w:rsidRPr="00471CBA" w:rsidRDefault="00A74C68" w:rsidP="00A74C68">
            <w:pPr>
              <w:jc w:val="right"/>
              <w:rPr>
                <w:b/>
                <w:bCs/>
                <w:color w:val="FFFFFF"/>
                <w:sz w:val="16"/>
                <w:szCs w:val="16"/>
                <w:lang w:eastAsia="tr-TR"/>
              </w:rPr>
            </w:pPr>
            <w:r w:rsidRPr="00471CBA">
              <w:rPr>
                <w:b/>
                <w:bCs/>
                <w:color w:val="FFFFFF"/>
                <w:sz w:val="16"/>
                <w:szCs w:val="16"/>
                <w:lang w:eastAsia="tr-TR"/>
              </w:rPr>
              <w:t> </w:t>
            </w:r>
          </w:p>
        </w:tc>
        <w:tc>
          <w:tcPr>
            <w:tcW w:w="1092" w:type="dxa"/>
            <w:tcBorders>
              <w:top w:val="single" w:sz="4" w:space="0" w:color="auto"/>
              <w:left w:val="nil"/>
              <w:bottom w:val="single" w:sz="4" w:space="0" w:color="auto"/>
              <w:right w:val="single" w:sz="4" w:space="0" w:color="auto"/>
            </w:tcBorders>
            <w:vAlign w:val="center"/>
            <w:hideMark/>
          </w:tcPr>
          <w:p w14:paraId="71F1DBE1" w14:textId="77777777" w:rsidR="00A74C68" w:rsidRPr="00471CBA" w:rsidRDefault="00A74C68" w:rsidP="00A74C68">
            <w:pPr>
              <w:jc w:val="right"/>
              <w:rPr>
                <w:color w:val="000000"/>
                <w:sz w:val="16"/>
                <w:szCs w:val="16"/>
                <w:lang w:eastAsia="tr-TR"/>
              </w:rPr>
            </w:pPr>
            <w:r w:rsidRPr="00471CBA">
              <w:rPr>
                <w:color w:val="000000"/>
                <w:sz w:val="16"/>
                <w:szCs w:val="16"/>
                <w:lang w:eastAsia="tr-TR"/>
              </w:rPr>
              <w:t>19.700.474</w:t>
            </w:r>
          </w:p>
        </w:tc>
        <w:tc>
          <w:tcPr>
            <w:tcW w:w="1092" w:type="dxa"/>
            <w:tcBorders>
              <w:top w:val="single" w:sz="4" w:space="0" w:color="auto"/>
              <w:left w:val="nil"/>
              <w:bottom w:val="single" w:sz="4" w:space="0" w:color="auto"/>
              <w:right w:val="single" w:sz="4" w:space="0" w:color="auto"/>
            </w:tcBorders>
            <w:vAlign w:val="center"/>
            <w:hideMark/>
          </w:tcPr>
          <w:p w14:paraId="668D3DA6" w14:textId="77777777" w:rsidR="00A74C68" w:rsidRPr="00471CBA" w:rsidRDefault="00A74C68" w:rsidP="00A74C68">
            <w:pPr>
              <w:jc w:val="right"/>
              <w:rPr>
                <w:color w:val="000000"/>
                <w:sz w:val="16"/>
                <w:szCs w:val="16"/>
                <w:lang w:eastAsia="tr-TR"/>
              </w:rPr>
            </w:pPr>
            <w:r w:rsidRPr="00471CBA">
              <w:rPr>
                <w:color w:val="000000"/>
                <w:sz w:val="16"/>
                <w:szCs w:val="16"/>
                <w:lang w:eastAsia="tr-TR"/>
              </w:rPr>
              <w:t>14.706.443</w:t>
            </w:r>
          </w:p>
        </w:tc>
      </w:tr>
      <w:tr w:rsidR="00A74C68" w:rsidRPr="00471CBA" w14:paraId="65E261BE" w14:textId="77777777" w:rsidTr="00A74C68">
        <w:trPr>
          <w:divId w:val="1780682172"/>
          <w:trHeight w:val="20"/>
        </w:trPr>
        <w:tc>
          <w:tcPr>
            <w:tcW w:w="331" w:type="dxa"/>
            <w:tcBorders>
              <w:top w:val="single" w:sz="4" w:space="0" w:color="auto"/>
              <w:left w:val="single" w:sz="4" w:space="0" w:color="auto"/>
              <w:bottom w:val="single" w:sz="4" w:space="0" w:color="auto"/>
              <w:right w:val="single" w:sz="4" w:space="0" w:color="auto"/>
            </w:tcBorders>
            <w:noWrap/>
            <w:hideMark/>
          </w:tcPr>
          <w:p w14:paraId="60D7C286" w14:textId="77777777" w:rsidR="00A74C68" w:rsidRPr="00471CBA" w:rsidRDefault="00A74C68" w:rsidP="00A74C68">
            <w:pPr>
              <w:rPr>
                <w:color w:val="000000"/>
                <w:sz w:val="16"/>
                <w:szCs w:val="16"/>
                <w:lang w:eastAsia="tr-TR"/>
              </w:rPr>
            </w:pPr>
            <w:r w:rsidRPr="00471CBA">
              <w:rPr>
                <w:color w:val="000000"/>
                <w:sz w:val="16"/>
                <w:szCs w:val="16"/>
                <w:lang w:eastAsia="tr-TR"/>
              </w:rPr>
              <w:t> </w:t>
            </w:r>
          </w:p>
        </w:tc>
        <w:tc>
          <w:tcPr>
            <w:tcW w:w="5180" w:type="dxa"/>
            <w:tcBorders>
              <w:top w:val="single" w:sz="4" w:space="0" w:color="auto"/>
              <w:left w:val="nil"/>
              <w:bottom w:val="single" w:sz="4" w:space="0" w:color="auto"/>
              <w:right w:val="single" w:sz="4" w:space="0" w:color="auto"/>
            </w:tcBorders>
            <w:noWrap/>
            <w:hideMark/>
          </w:tcPr>
          <w:p w14:paraId="504E770E" w14:textId="77777777" w:rsidR="00A74C68" w:rsidRPr="00471CBA" w:rsidRDefault="00A74C68" w:rsidP="00A74C68">
            <w:pPr>
              <w:rPr>
                <w:b/>
                <w:bCs/>
                <w:color w:val="000000"/>
                <w:sz w:val="16"/>
                <w:szCs w:val="16"/>
                <w:lang w:eastAsia="tr-TR"/>
              </w:rPr>
            </w:pPr>
            <w:r w:rsidRPr="00471CBA">
              <w:rPr>
                <w:b/>
                <w:bCs/>
                <w:color w:val="000000"/>
                <w:sz w:val="16"/>
                <w:szCs w:val="16"/>
                <w:lang w:eastAsia="tr-TR"/>
              </w:rPr>
              <w:t>NAKİT ÇIKIŞLARI</w:t>
            </w:r>
          </w:p>
        </w:tc>
        <w:tc>
          <w:tcPr>
            <w:tcW w:w="1035" w:type="dxa"/>
            <w:tcBorders>
              <w:top w:val="single" w:sz="4" w:space="0" w:color="auto"/>
              <w:left w:val="nil"/>
              <w:bottom w:val="single" w:sz="4" w:space="0" w:color="auto"/>
              <w:right w:val="single" w:sz="4" w:space="0" w:color="auto"/>
            </w:tcBorders>
            <w:noWrap/>
            <w:vAlign w:val="bottom"/>
            <w:hideMark/>
          </w:tcPr>
          <w:p w14:paraId="6D3A2EE6" w14:textId="77777777" w:rsidR="00A74C68" w:rsidRPr="00471CBA" w:rsidRDefault="00A74C68" w:rsidP="00A74C68">
            <w:pPr>
              <w:jc w:val="right"/>
              <w:rPr>
                <w:color w:val="000000"/>
                <w:sz w:val="16"/>
                <w:szCs w:val="16"/>
                <w:lang w:eastAsia="tr-TR"/>
              </w:rPr>
            </w:pPr>
            <w:r w:rsidRPr="00471CBA">
              <w:rPr>
                <w:color w:val="000000"/>
                <w:sz w:val="16"/>
                <w:szCs w:val="16"/>
                <w:lang w:eastAsia="tr-TR"/>
              </w:rPr>
              <w:t> </w:t>
            </w:r>
          </w:p>
        </w:tc>
        <w:tc>
          <w:tcPr>
            <w:tcW w:w="896" w:type="dxa"/>
            <w:tcBorders>
              <w:top w:val="single" w:sz="4" w:space="0" w:color="auto"/>
              <w:left w:val="nil"/>
              <w:bottom w:val="single" w:sz="4" w:space="0" w:color="auto"/>
              <w:right w:val="single" w:sz="4" w:space="0" w:color="auto"/>
            </w:tcBorders>
            <w:noWrap/>
            <w:vAlign w:val="center"/>
            <w:hideMark/>
          </w:tcPr>
          <w:p w14:paraId="6C260D16" w14:textId="77777777" w:rsidR="00A74C68" w:rsidRPr="00471CBA" w:rsidRDefault="00A74C68" w:rsidP="00A74C68">
            <w:pPr>
              <w:jc w:val="right"/>
              <w:rPr>
                <w:color w:val="000000"/>
                <w:sz w:val="16"/>
                <w:szCs w:val="16"/>
                <w:lang w:eastAsia="tr-TR"/>
              </w:rPr>
            </w:pPr>
            <w:r w:rsidRPr="00471CBA">
              <w:rPr>
                <w:color w:val="000000"/>
                <w:sz w:val="16"/>
                <w:szCs w:val="16"/>
                <w:lang w:eastAsia="tr-TR"/>
              </w:rPr>
              <w:t> </w:t>
            </w:r>
          </w:p>
        </w:tc>
        <w:tc>
          <w:tcPr>
            <w:tcW w:w="1092" w:type="dxa"/>
            <w:tcBorders>
              <w:top w:val="single" w:sz="4" w:space="0" w:color="auto"/>
              <w:left w:val="nil"/>
              <w:bottom w:val="single" w:sz="4" w:space="0" w:color="auto"/>
              <w:right w:val="single" w:sz="4" w:space="0" w:color="auto"/>
            </w:tcBorders>
            <w:noWrap/>
            <w:vAlign w:val="bottom"/>
            <w:hideMark/>
          </w:tcPr>
          <w:p w14:paraId="0AD0F59D" w14:textId="77777777" w:rsidR="00A74C68" w:rsidRPr="00471CBA" w:rsidRDefault="00A74C68" w:rsidP="00A74C68">
            <w:pPr>
              <w:jc w:val="right"/>
              <w:rPr>
                <w:color w:val="000000"/>
                <w:sz w:val="16"/>
                <w:szCs w:val="16"/>
                <w:lang w:eastAsia="tr-TR"/>
              </w:rPr>
            </w:pPr>
            <w:r w:rsidRPr="00471CBA">
              <w:rPr>
                <w:color w:val="000000"/>
                <w:sz w:val="16"/>
                <w:szCs w:val="16"/>
                <w:lang w:eastAsia="tr-TR"/>
              </w:rPr>
              <w:t> </w:t>
            </w:r>
          </w:p>
        </w:tc>
        <w:tc>
          <w:tcPr>
            <w:tcW w:w="1092" w:type="dxa"/>
            <w:tcBorders>
              <w:top w:val="single" w:sz="4" w:space="0" w:color="auto"/>
              <w:left w:val="nil"/>
              <w:bottom w:val="single" w:sz="4" w:space="0" w:color="auto"/>
              <w:right w:val="single" w:sz="4" w:space="0" w:color="auto"/>
            </w:tcBorders>
            <w:noWrap/>
            <w:vAlign w:val="center"/>
            <w:hideMark/>
          </w:tcPr>
          <w:p w14:paraId="0D6B3BD0" w14:textId="77777777" w:rsidR="00A74C68" w:rsidRPr="00471CBA" w:rsidRDefault="00A74C68" w:rsidP="00A74C68">
            <w:pPr>
              <w:jc w:val="right"/>
              <w:rPr>
                <w:color w:val="000000"/>
                <w:sz w:val="16"/>
                <w:szCs w:val="16"/>
                <w:lang w:eastAsia="tr-TR"/>
              </w:rPr>
            </w:pPr>
            <w:r w:rsidRPr="00471CBA">
              <w:rPr>
                <w:color w:val="000000"/>
                <w:sz w:val="16"/>
                <w:szCs w:val="16"/>
                <w:lang w:eastAsia="tr-TR"/>
              </w:rPr>
              <w:t> </w:t>
            </w:r>
          </w:p>
        </w:tc>
      </w:tr>
      <w:tr w:rsidR="00A74C68" w:rsidRPr="00471CBA" w14:paraId="47B05101" w14:textId="77777777" w:rsidTr="00A74C68">
        <w:trPr>
          <w:divId w:val="1780682172"/>
          <w:trHeight w:val="20"/>
        </w:trPr>
        <w:tc>
          <w:tcPr>
            <w:tcW w:w="331" w:type="dxa"/>
            <w:tcBorders>
              <w:top w:val="nil"/>
              <w:left w:val="single" w:sz="4" w:space="0" w:color="auto"/>
              <w:bottom w:val="nil"/>
              <w:right w:val="single" w:sz="4" w:space="0" w:color="auto"/>
            </w:tcBorders>
            <w:noWrap/>
            <w:hideMark/>
          </w:tcPr>
          <w:p w14:paraId="38CCA54B" w14:textId="77777777" w:rsidR="00A74C68" w:rsidRPr="00471CBA" w:rsidRDefault="00A74C68" w:rsidP="00A74C68">
            <w:pPr>
              <w:jc w:val="center"/>
              <w:rPr>
                <w:color w:val="000000"/>
                <w:sz w:val="16"/>
                <w:szCs w:val="16"/>
                <w:lang w:eastAsia="tr-TR"/>
              </w:rPr>
            </w:pPr>
            <w:r w:rsidRPr="00471CBA">
              <w:rPr>
                <w:color w:val="000000"/>
                <w:sz w:val="16"/>
                <w:szCs w:val="16"/>
                <w:lang w:eastAsia="tr-TR"/>
              </w:rPr>
              <w:t>2</w:t>
            </w:r>
          </w:p>
        </w:tc>
        <w:tc>
          <w:tcPr>
            <w:tcW w:w="5180" w:type="dxa"/>
            <w:tcBorders>
              <w:top w:val="nil"/>
              <w:left w:val="nil"/>
              <w:bottom w:val="nil"/>
              <w:right w:val="single" w:sz="4" w:space="0" w:color="auto"/>
            </w:tcBorders>
            <w:noWrap/>
            <w:hideMark/>
          </w:tcPr>
          <w:p w14:paraId="1DEDFDF9" w14:textId="77777777" w:rsidR="00A74C68" w:rsidRPr="00471CBA" w:rsidRDefault="00A74C68" w:rsidP="00A74C68">
            <w:pPr>
              <w:rPr>
                <w:color w:val="000000"/>
                <w:sz w:val="16"/>
                <w:szCs w:val="16"/>
                <w:lang w:eastAsia="tr-TR"/>
              </w:rPr>
            </w:pPr>
            <w:r w:rsidRPr="00471CBA">
              <w:rPr>
                <w:color w:val="000000"/>
                <w:sz w:val="16"/>
                <w:szCs w:val="16"/>
                <w:lang w:eastAsia="tr-TR"/>
              </w:rPr>
              <w:t>Gerçek kişi toplanan fon ve perakende toplanan fon</w:t>
            </w:r>
          </w:p>
        </w:tc>
        <w:tc>
          <w:tcPr>
            <w:tcW w:w="1035" w:type="dxa"/>
            <w:tcBorders>
              <w:top w:val="nil"/>
              <w:left w:val="nil"/>
              <w:bottom w:val="nil"/>
              <w:right w:val="single" w:sz="4" w:space="0" w:color="auto"/>
            </w:tcBorders>
            <w:vAlign w:val="center"/>
            <w:hideMark/>
          </w:tcPr>
          <w:p w14:paraId="4E34F71F" w14:textId="77777777" w:rsidR="00A74C68" w:rsidRPr="00471CBA" w:rsidRDefault="00A74C68" w:rsidP="00A74C68">
            <w:pPr>
              <w:jc w:val="right"/>
              <w:rPr>
                <w:color w:val="000000"/>
                <w:sz w:val="16"/>
                <w:szCs w:val="16"/>
                <w:lang w:eastAsia="tr-TR"/>
              </w:rPr>
            </w:pPr>
            <w:r w:rsidRPr="00471CBA">
              <w:rPr>
                <w:color w:val="000000"/>
                <w:sz w:val="16"/>
                <w:szCs w:val="16"/>
                <w:lang w:eastAsia="tr-TR"/>
              </w:rPr>
              <w:t>14.839.442</w:t>
            </w:r>
          </w:p>
        </w:tc>
        <w:tc>
          <w:tcPr>
            <w:tcW w:w="896" w:type="dxa"/>
            <w:tcBorders>
              <w:top w:val="nil"/>
              <w:left w:val="nil"/>
              <w:bottom w:val="nil"/>
              <w:right w:val="single" w:sz="4" w:space="0" w:color="auto"/>
            </w:tcBorders>
            <w:vAlign w:val="center"/>
            <w:hideMark/>
          </w:tcPr>
          <w:p w14:paraId="60F94CE8" w14:textId="77777777" w:rsidR="00A74C68" w:rsidRPr="00471CBA" w:rsidRDefault="00A74C68" w:rsidP="00A74C68">
            <w:pPr>
              <w:jc w:val="right"/>
              <w:rPr>
                <w:color w:val="000000"/>
                <w:sz w:val="16"/>
                <w:szCs w:val="16"/>
                <w:lang w:eastAsia="tr-TR"/>
              </w:rPr>
            </w:pPr>
            <w:r w:rsidRPr="00471CBA">
              <w:rPr>
                <w:color w:val="000000"/>
                <w:sz w:val="16"/>
                <w:szCs w:val="16"/>
                <w:lang w:eastAsia="tr-TR"/>
              </w:rPr>
              <w:t>12.987.130</w:t>
            </w:r>
          </w:p>
        </w:tc>
        <w:tc>
          <w:tcPr>
            <w:tcW w:w="1092" w:type="dxa"/>
            <w:tcBorders>
              <w:top w:val="nil"/>
              <w:left w:val="nil"/>
              <w:bottom w:val="nil"/>
              <w:right w:val="single" w:sz="4" w:space="0" w:color="auto"/>
            </w:tcBorders>
            <w:vAlign w:val="center"/>
            <w:hideMark/>
          </w:tcPr>
          <w:p w14:paraId="570848A8" w14:textId="77777777" w:rsidR="00A74C68" w:rsidRPr="00471CBA" w:rsidRDefault="00A74C68" w:rsidP="00A74C68">
            <w:pPr>
              <w:jc w:val="right"/>
              <w:rPr>
                <w:color w:val="000000"/>
                <w:sz w:val="16"/>
                <w:szCs w:val="16"/>
                <w:lang w:eastAsia="tr-TR"/>
              </w:rPr>
            </w:pPr>
            <w:r w:rsidRPr="00471CBA">
              <w:rPr>
                <w:color w:val="000000"/>
                <w:sz w:val="16"/>
                <w:szCs w:val="16"/>
                <w:lang w:eastAsia="tr-TR"/>
              </w:rPr>
              <w:t>1.483.944</w:t>
            </w:r>
          </w:p>
        </w:tc>
        <w:tc>
          <w:tcPr>
            <w:tcW w:w="1092" w:type="dxa"/>
            <w:tcBorders>
              <w:top w:val="nil"/>
              <w:left w:val="nil"/>
              <w:bottom w:val="nil"/>
              <w:right w:val="single" w:sz="4" w:space="0" w:color="auto"/>
            </w:tcBorders>
            <w:vAlign w:val="center"/>
            <w:hideMark/>
          </w:tcPr>
          <w:p w14:paraId="73D82FD7" w14:textId="77777777" w:rsidR="00A74C68" w:rsidRPr="00471CBA" w:rsidRDefault="00A74C68" w:rsidP="00A74C68">
            <w:pPr>
              <w:jc w:val="right"/>
              <w:rPr>
                <w:color w:val="000000"/>
                <w:sz w:val="16"/>
                <w:szCs w:val="16"/>
                <w:lang w:eastAsia="tr-TR"/>
              </w:rPr>
            </w:pPr>
            <w:r w:rsidRPr="00471CBA">
              <w:rPr>
                <w:color w:val="000000"/>
                <w:sz w:val="16"/>
                <w:szCs w:val="16"/>
                <w:lang w:eastAsia="tr-TR"/>
              </w:rPr>
              <w:t>1.298.713</w:t>
            </w:r>
          </w:p>
        </w:tc>
      </w:tr>
      <w:tr w:rsidR="00A74C68" w:rsidRPr="00471CBA" w14:paraId="34DFD259" w14:textId="77777777" w:rsidTr="00A74C68">
        <w:trPr>
          <w:divId w:val="1780682172"/>
          <w:trHeight w:val="20"/>
        </w:trPr>
        <w:tc>
          <w:tcPr>
            <w:tcW w:w="331" w:type="dxa"/>
            <w:tcBorders>
              <w:top w:val="nil"/>
              <w:left w:val="single" w:sz="4" w:space="0" w:color="auto"/>
              <w:bottom w:val="nil"/>
              <w:right w:val="single" w:sz="4" w:space="0" w:color="auto"/>
            </w:tcBorders>
            <w:noWrap/>
            <w:hideMark/>
          </w:tcPr>
          <w:p w14:paraId="52205D9E" w14:textId="77777777" w:rsidR="00A74C68" w:rsidRPr="00471CBA" w:rsidRDefault="00A74C68" w:rsidP="00A74C68">
            <w:pPr>
              <w:jc w:val="center"/>
              <w:rPr>
                <w:color w:val="000000"/>
                <w:sz w:val="16"/>
                <w:szCs w:val="16"/>
                <w:lang w:eastAsia="tr-TR"/>
              </w:rPr>
            </w:pPr>
            <w:r w:rsidRPr="00471CBA">
              <w:rPr>
                <w:color w:val="000000"/>
                <w:sz w:val="16"/>
                <w:szCs w:val="16"/>
                <w:lang w:eastAsia="tr-TR"/>
              </w:rPr>
              <w:t>3</w:t>
            </w:r>
          </w:p>
        </w:tc>
        <w:tc>
          <w:tcPr>
            <w:tcW w:w="5180" w:type="dxa"/>
            <w:tcBorders>
              <w:top w:val="nil"/>
              <w:left w:val="nil"/>
              <w:bottom w:val="nil"/>
              <w:right w:val="single" w:sz="4" w:space="0" w:color="auto"/>
            </w:tcBorders>
            <w:noWrap/>
            <w:hideMark/>
          </w:tcPr>
          <w:p w14:paraId="3EB45076" w14:textId="77777777" w:rsidR="00A74C68" w:rsidRPr="00471CBA" w:rsidRDefault="00A74C68" w:rsidP="00A74C68">
            <w:pPr>
              <w:widowControl w:val="0"/>
              <w:ind w:left="227"/>
              <w:rPr>
                <w:color w:val="000000"/>
                <w:sz w:val="16"/>
                <w:szCs w:val="16"/>
              </w:rPr>
            </w:pPr>
            <w:r w:rsidRPr="00471CBA">
              <w:rPr>
                <w:color w:val="000000"/>
                <w:sz w:val="16"/>
                <w:szCs w:val="16"/>
              </w:rPr>
              <w:t>İstikrarlı toplanan fon</w:t>
            </w:r>
          </w:p>
        </w:tc>
        <w:tc>
          <w:tcPr>
            <w:tcW w:w="1035" w:type="dxa"/>
            <w:tcBorders>
              <w:top w:val="nil"/>
              <w:left w:val="nil"/>
              <w:bottom w:val="nil"/>
              <w:right w:val="single" w:sz="4" w:space="0" w:color="auto"/>
            </w:tcBorders>
            <w:vAlign w:val="center"/>
            <w:hideMark/>
          </w:tcPr>
          <w:p w14:paraId="267FA572"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c>
          <w:tcPr>
            <w:tcW w:w="896" w:type="dxa"/>
            <w:tcBorders>
              <w:top w:val="nil"/>
              <w:left w:val="nil"/>
              <w:bottom w:val="nil"/>
              <w:right w:val="single" w:sz="4" w:space="0" w:color="auto"/>
            </w:tcBorders>
            <w:vAlign w:val="center"/>
            <w:hideMark/>
          </w:tcPr>
          <w:p w14:paraId="09FAD372"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c>
          <w:tcPr>
            <w:tcW w:w="1092" w:type="dxa"/>
            <w:tcBorders>
              <w:top w:val="nil"/>
              <w:left w:val="nil"/>
              <w:bottom w:val="nil"/>
              <w:right w:val="single" w:sz="4" w:space="0" w:color="auto"/>
            </w:tcBorders>
            <w:vAlign w:val="center"/>
            <w:hideMark/>
          </w:tcPr>
          <w:p w14:paraId="768E6566"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c>
          <w:tcPr>
            <w:tcW w:w="1092" w:type="dxa"/>
            <w:tcBorders>
              <w:top w:val="nil"/>
              <w:left w:val="nil"/>
              <w:bottom w:val="nil"/>
              <w:right w:val="single" w:sz="4" w:space="0" w:color="auto"/>
            </w:tcBorders>
            <w:vAlign w:val="center"/>
            <w:hideMark/>
          </w:tcPr>
          <w:p w14:paraId="4FD4E19B"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r>
      <w:tr w:rsidR="00A74C68" w:rsidRPr="00471CBA" w14:paraId="1BD1DE4C" w14:textId="77777777" w:rsidTr="00A74C68">
        <w:trPr>
          <w:divId w:val="1780682172"/>
          <w:trHeight w:val="20"/>
        </w:trPr>
        <w:tc>
          <w:tcPr>
            <w:tcW w:w="331" w:type="dxa"/>
            <w:tcBorders>
              <w:top w:val="nil"/>
              <w:left w:val="single" w:sz="4" w:space="0" w:color="auto"/>
              <w:bottom w:val="nil"/>
              <w:right w:val="single" w:sz="4" w:space="0" w:color="auto"/>
            </w:tcBorders>
            <w:noWrap/>
            <w:hideMark/>
          </w:tcPr>
          <w:p w14:paraId="09956E69" w14:textId="77777777" w:rsidR="00A74C68" w:rsidRPr="00471CBA" w:rsidRDefault="00A74C68" w:rsidP="00A74C68">
            <w:pPr>
              <w:jc w:val="center"/>
              <w:rPr>
                <w:color w:val="000000"/>
                <w:sz w:val="16"/>
                <w:szCs w:val="16"/>
                <w:lang w:eastAsia="tr-TR"/>
              </w:rPr>
            </w:pPr>
            <w:r w:rsidRPr="00471CBA">
              <w:rPr>
                <w:color w:val="000000"/>
                <w:sz w:val="16"/>
                <w:szCs w:val="16"/>
                <w:lang w:eastAsia="tr-TR"/>
              </w:rPr>
              <w:t>4</w:t>
            </w:r>
          </w:p>
        </w:tc>
        <w:tc>
          <w:tcPr>
            <w:tcW w:w="5180" w:type="dxa"/>
            <w:tcBorders>
              <w:top w:val="nil"/>
              <w:left w:val="nil"/>
              <w:bottom w:val="nil"/>
              <w:right w:val="single" w:sz="4" w:space="0" w:color="auto"/>
            </w:tcBorders>
            <w:noWrap/>
            <w:hideMark/>
          </w:tcPr>
          <w:p w14:paraId="44B96FF6" w14:textId="77777777" w:rsidR="00A74C68" w:rsidRPr="00471CBA" w:rsidRDefault="00A74C68" w:rsidP="00A74C68">
            <w:pPr>
              <w:widowControl w:val="0"/>
              <w:ind w:left="227"/>
              <w:rPr>
                <w:color w:val="000000"/>
                <w:sz w:val="16"/>
                <w:szCs w:val="16"/>
              </w:rPr>
            </w:pPr>
            <w:r w:rsidRPr="00471CBA">
              <w:rPr>
                <w:color w:val="000000"/>
                <w:sz w:val="16"/>
                <w:szCs w:val="16"/>
              </w:rPr>
              <w:t>Düşük istikrarlı toplanan fon</w:t>
            </w:r>
          </w:p>
        </w:tc>
        <w:tc>
          <w:tcPr>
            <w:tcW w:w="1035" w:type="dxa"/>
            <w:tcBorders>
              <w:top w:val="nil"/>
              <w:left w:val="nil"/>
              <w:bottom w:val="nil"/>
              <w:right w:val="single" w:sz="4" w:space="0" w:color="auto"/>
            </w:tcBorders>
            <w:vAlign w:val="center"/>
            <w:hideMark/>
          </w:tcPr>
          <w:p w14:paraId="19090497" w14:textId="77777777" w:rsidR="00A74C68" w:rsidRPr="00471CBA" w:rsidRDefault="00A74C68" w:rsidP="00A74C68">
            <w:pPr>
              <w:jc w:val="right"/>
              <w:rPr>
                <w:color w:val="000000"/>
                <w:sz w:val="16"/>
                <w:szCs w:val="16"/>
                <w:lang w:eastAsia="tr-TR"/>
              </w:rPr>
            </w:pPr>
            <w:r w:rsidRPr="00471CBA">
              <w:rPr>
                <w:color w:val="000000"/>
                <w:sz w:val="16"/>
                <w:szCs w:val="16"/>
                <w:lang w:eastAsia="tr-TR"/>
              </w:rPr>
              <w:t>14.839.442</w:t>
            </w:r>
          </w:p>
        </w:tc>
        <w:tc>
          <w:tcPr>
            <w:tcW w:w="896" w:type="dxa"/>
            <w:tcBorders>
              <w:top w:val="nil"/>
              <w:left w:val="nil"/>
              <w:bottom w:val="nil"/>
              <w:right w:val="single" w:sz="4" w:space="0" w:color="auto"/>
            </w:tcBorders>
            <w:vAlign w:val="center"/>
            <w:hideMark/>
          </w:tcPr>
          <w:p w14:paraId="0A01CEA1" w14:textId="77777777" w:rsidR="00A74C68" w:rsidRPr="00471CBA" w:rsidRDefault="00A74C68" w:rsidP="00A74C68">
            <w:pPr>
              <w:jc w:val="right"/>
              <w:rPr>
                <w:color w:val="000000"/>
                <w:sz w:val="16"/>
                <w:szCs w:val="16"/>
                <w:lang w:eastAsia="tr-TR"/>
              </w:rPr>
            </w:pPr>
            <w:r w:rsidRPr="00471CBA">
              <w:rPr>
                <w:color w:val="000000"/>
                <w:sz w:val="16"/>
                <w:szCs w:val="16"/>
                <w:lang w:eastAsia="tr-TR"/>
              </w:rPr>
              <w:t>12.987.130</w:t>
            </w:r>
          </w:p>
        </w:tc>
        <w:tc>
          <w:tcPr>
            <w:tcW w:w="1092" w:type="dxa"/>
            <w:tcBorders>
              <w:top w:val="nil"/>
              <w:left w:val="nil"/>
              <w:bottom w:val="nil"/>
              <w:right w:val="single" w:sz="4" w:space="0" w:color="auto"/>
            </w:tcBorders>
            <w:vAlign w:val="center"/>
            <w:hideMark/>
          </w:tcPr>
          <w:p w14:paraId="0260ABB1" w14:textId="77777777" w:rsidR="00A74C68" w:rsidRPr="00471CBA" w:rsidRDefault="00A74C68" w:rsidP="00A74C68">
            <w:pPr>
              <w:jc w:val="right"/>
              <w:rPr>
                <w:color w:val="000000"/>
                <w:sz w:val="16"/>
                <w:szCs w:val="16"/>
                <w:lang w:eastAsia="tr-TR"/>
              </w:rPr>
            </w:pPr>
            <w:r w:rsidRPr="00471CBA">
              <w:rPr>
                <w:color w:val="000000"/>
                <w:sz w:val="16"/>
                <w:szCs w:val="16"/>
                <w:lang w:eastAsia="tr-TR"/>
              </w:rPr>
              <w:t>1.483.944</w:t>
            </w:r>
          </w:p>
        </w:tc>
        <w:tc>
          <w:tcPr>
            <w:tcW w:w="1092" w:type="dxa"/>
            <w:tcBorders>
              <w:top w:val="nil"/>
              <w:left w:val="nil"/>
              <w:bottom w:val="nil"/>
              <w:right w:val="single" w:sz="4" w:space="0" w:color="auto"/>
            </w:tcBorders>
            <w:vAlign w:val="center"/>
            <w:hideMark/>
          </w:tcPr>
          <w:p w14:paraId="51A7576D" w14:textId="77777777" w:rsidR="00A74C68" w:rsidRPr="00471CBA" w:rsidRDefault="00A74C68" w:rsidP="00A74C68">
            <w:pPr>
              <w:jc w:val="right"/>
              <w:rPr>
                <w:color w:val="000000"/>
                <w:sz w:val="16"/>
                <w:szCs w:val="16"/>
                <w:lang w:eastAsia="tr-TR"/>
              </w:rPr>
            </w:pPr>
            <w:r w:rsidRPr="00471CBA">
              <w:rPr>
                <w:color w:val="000000"/>
                <w:sz w:val="16"/>
                <w:szCs w:val="16"/>
                <w:lang w:eastAsia="tr-TR"/>
              </w:rPr>
              <w:t>1.298.713</w:t>
            </w:r>
          </w:p>
        </w:tc>
      </w:tr>
      <w:tr w:rsidR="00A74C68" w:rsidRPr="00471CBA" w14:paraId="54BAC8A2" w14:textId="77777777" w:rsidTr="00A74C68">
        <w:trPr>
          <w:divId w:val="1780682172"/>
          <w:trHeight w:val="20"/>
        </w:trPr>
        <w:tc>
          <w:tcPr>
            <w:tcW w:w="331" w:type="dxa"/>
            <w:tcBorders>
              <w:top w:val="nil"/>
              <w:left w:val="single" w:sz="4" w:space="0" w:color="auto"/>
              <w:bottom w:val="nil"/>
              <w:right w:val="single" w:sz="4" w:space="0" w:color="auto"/>
            </w:tcBorders>
            <w:noWrap/>
            <w:hideMark/>
          </w:tcPr>
          <w:p w14:paraId="5D49D117" w14:textId="77777777" w:rsidR="00A74C68" w:rsidRPr="00471CBA" w:rsidRDefault="00A74C68" w:rsidP="00A74C68">
            <w:pPr>
              <w:jc w:val="center"/>
              <w:rPr>
                <w:color w:val="000000"/>
                <w:sz w:val="16"/>
                <w:szCs w:val="16"/>
                <w:lang w:eastAsia="tr-TR"/>
              </w:rPr>
            </w:pPr>
            <w:r w:rsidRPr="00471CBA">
              <w:rPr>
                <w:color w:val="000000"/>
                <w:sz w:val="16"/>
                <w:szCs w:val="16"/>
                <w:lang w:eastAsia="tr-TR"/>
              </w:rPr>
              <w:t>5</w:t>
            </w:r>
          </w:p>
        </w:tc>
        <w:tc>
          <w:tcPr>
            <w:tcW w:w="5180" w:type="dxa"/>
            <w:tcBorders>
              <w:top w:val="nil"/>
              <w:left w:val="nil"/>
              <w:bottom w:val="nil"/>
              <w:right w:val="single" w:sz="4" w:space="0" w:color="auto"/>
            </w:tcBorders>
            <w:hideMark/>
          </w:tcPr>
          <w:p w14:paraId="73E74422" w14:textId="77777777" w:rsidR="00A74C68" w:rsidRPr="00471CBA" w:rsidRDefault="00A74C68" w:rsidP="00A74C68">
            <w:pPr>
              <w:rPr>
                <w:color w:val="000000"/>
                <w:sz w:val="16"/>
                <w:szCs w:val="16"/>
                <w:lang w:eastAsia="tr-TR"/>
              </w:rPr>
            </w:pPr>
            <w:r w:rsidRPr="00471CBA">
              <w:rPr>
                <w:color w:val="000000"/>
                <w:sz w:val="16"/>
                <w:szCs w:val="16"/>
                <w:lang w:eastAsia="tr-TR"/>
              </w:rPr>
              <w:t>Gerçek kişi toplanan fon ve perakende toplanan fon dışında kalan teminatsız borçlar</w:t>
            </w:r>
          </w:p>
        </w:tc>
        <w:tc>
          <w:tcPr>
            <w:tcW w:w="1035" w:type="dxa"/>
            <w:tcBorders>
              <w:top w:val="nil"/>
              <w:left w:val="nil"/>
              <w:bottom w:val="nil"/>
              <w:right w:val="single" w:sz="4" w:space="0" w:color="auto"/>
            </w:tcBorders>
            <w:vAlign w:val="center"/>
            <w:hideMark/>
          </w:tcPr>
          <w:p w14:paraId="0A2DB1F5" w14:textId="77777777" w:rsidR="00A74C68" w:rsidRPr="00471CBA" w:rsidRDefault="00A74C68" w:rsidP="00A74C68">
            <w:pPr>
              <w:jc w:val="right"/>
              <w:rPr>
                <w:color w:val="000000"/>
                <w:sz w:val="16"/>
                <w:szCs w:val="16"/>
                <w:lang w:eastAsia="tr-TR"/>
              </w:rPr>
            </w:pPr>
            <w:r w:rsidRPr="00471CBA">
              <w:rPr>
                <w:color w:val="000000"/>
                <w:sz w:val="16"/>
                <w:szCs w:val="16"/>
                <w:lang w:eastAsia="tr-TR"/>
              </w:rPr>
              <w:t>37.652.336</w:t>
            </w:r>
          </w:p>
        </w:tc>
        <w:tc>
          <w:tcPr>
            <w:tcW w:w="896" w:type="dxa"/>
            <w:tcBorders>
              <w:top w:val="nil"/>
              <w:left w:val="nil"/>
              <w:bottom w:val="nil"/>
              <w:right w:val="single" w:sz="4" w:space="0" w:color="auto"/>
            </w:tcBorders>
            <w:vAlign w:val="center"/>
            <w:hideMark/>
          </w:tcPr>
          <w:p w14:paraId="1610C32C" w14:textId="77777777" w:rsidR="00A74C68" w:rsidRPr="00471CBA" w:rsidRDefault="00A74C68" w:rsidP="00A74C68">
            <w:pPr>
              <w:jc w:val="right"/>
              <w:rPr>
                <w:color w:val="000000"/>
                <w:sz w:val="16"/>
                <w:szCs w:val="16"/>
                <w:lang w:eastAsia="tr-TR"/>
              </w:rPr>
            </w:pPr>
            <w:r w:rsidRPr="00471CBA">
              <w:rPr>
                <w:color w:val="000000"/>
                <w:sz w:val="16"/>
                <w:szCs w:val="16"/>
                <w:lang w:eastAsia="tr-TR"/>
              </w:rPr>
              <w:t>26.884.118</w:t>
            </w:r>
          </w:p>
        </w:tc>
        <w:tc>
          <w:tcPr>
            <w:tcW w:w="1092" w:type="dxa"/>
            <w:tcBorders>
              <w:top w:val="nil"/>
              <w:left w:val="nil"/>
              <w:bottom w:val="nil"/>
              <w:right w:val="single" w:sz="4" w:space="0" w:color="auto"/>
            </w:tcBorders>
            <w:vAlign w:val="center"/>
            <w:hideMark/>
          </w:tcPr>
          <w:p w14:paraId="1C1C272F" w14:textId="77777777" w:rsidR="00A74C68" w:rsidRPr="00471CBA" w:rsidRDefault="00A74C68" w:rsidP="00A74C68">
            <w:pPr>
              <w:jc w:val="right"/>
              <w:rPr>
                <w:color w:val="000000"/>
                <w:sz w:val="16"/>
                <w:szCs w:val="16"/>
                <w:lang w:eastAsia="tr-TR"/>
              </w:rPr>
            </w:pPr>
            <w:r w:rsidRPr="00471CBA">
              <w:rPr>
                <w:color w:val="000000"/>
                <w:sz w:val="16"/>
                <w:szCs w:val="16"/>
                <w:lang w:eastAsia="tr-TR"/>
              </w:rPr>
              <w:t>23.571.654</w:t>
            </w:r>
          </w:p>
        </w:tc>
        <w:tc>
          <w:tcPr>
            <w:tcW w:w="1092" w:type="dxa"/>
            <w:tcBorders>
              <w:top w:val="nil"/>
              <w:left w:val="nil"/>
              <w:bottom w:val="nil"/>
              <w:right w:val="single" w:sz="4" w:space="0" w:color="auto"/>
            </w:tcBorders>
            <w:vAlign w:val="center"/>
            <w:hideMark/>
          </w:tcPr>
          <w:p w14:paraId="7F17F263" w14:textId="77777777" w:rsidR="00A74C68" w:rsidRPr="00471CBA" w:rsidRDefault="00A74C68" w:rsidP="00A74C68">
            <w:pPr>
              <w:jc w:val="right"/>
              <w:rPr>
                <w:color w:val="000000"/>
                <w:sz w:val="16"/>
                <w:szCs w:val="16"/>
                <w:lang w:eastAsia="tr-TR"/>
              </w:rPr>
            </w:pPr>
            <w:r w:rsidRPr="00471CBA">
              <w:rPr>
                <w:color w:val="000000"/>
                <w:sz w:val="16"/>
                <w:szCs w:val="16"/>
                <w:lang w:eastAsia="tr-TR"/>
              </w:rPr>
              <w:t>17.734.535</w:t>
            </w:r>
          </w:p>
        </w:tc>
      </w:tr>
      <w:tr w:rsidR="00A74C68" w:rsidRPr="00471CBA" w14:paraId="08FD6A31" w14:textId="77777777" w:rsidTr="00A74C68">
        <w:trPr>
          <w:divId w:val="1780682172"/>
          <w:trHeight w:val="20"/>
        </w:trPr>
        <w:tc>
          <w:tcPr>
            <w:tcW w:w="331" w:type="dxa"/>
            <w:tcBorders>
              <w:top w:val="nil"/>
              <w:left w:val="single" w:sz="4" w:space="0" w:color="auto"/>
              <w:bottom w:val="nil"/>
              <w:right w:val="single" w:sz="4" w:space="0" w:color="auto"/>
            </w:tcBorders>
            <w:noWrap/>
            <w:hideMark/>
          </w:tcPr>
          <w:p w14:paraId="1CAFD4AE" w14:textId="77777777" w:rsidR="00A74C68" w:rsidRPr="00471CBA" w:rsidRDefault="00A74C68" w:rsidP="00A74C68">
            <w:pPr>
              <w:jc w:val="center"/>
              <w:rPr>
                <w:color w:val="000000"/>
                <w:sz w:val="16"/>
                <w:szCs w:val="16"/>
                <w:lang w:eastAsia="tr-TR"/>
              </w:rPr>
            </w:pPr>
            <w:r w:rsidRPr="00471CBA">
              <w:rPr>
                <w:color w:val="000000"/>
                <w:sz w:val="16"/>
                <w:szCs w:val="16"/>
                <w:lang w:eastAsia="tr-TR"/>
              </w:rPr>
              <w:t>6</w:t>
            </w:r>
          </w:p>
        </w:tc>
        <w:tc>
          <w:tcPr>
            <w:tcW w:w="5180" w:type="dxa"/>
            <w:tcBorders>
              <w:top w:val="nil"/>
              <w:left w:val="nil"/>
              <w:bottom w:val="nil"/>
              <w:right w:val="single" w:sz="4" w:space="0" w:color="auto"/>
            </w:tcBorders>
            <w:noWrap/>
            <w:hideMark/>
          </w:tcPr>
          <w:p w14:paraId="207EEB48" w14:textId="77777777" w:rsidR="00A74C68" w:rsidRPr="00471CBA" w:rsidRDefault="00A74C68" w:rsidP="00A74C68">
            <w:pPr>
              <w:widowControl w:val="0"/>
              <w:ind w:left="227"/>
              <w:rPr>
                <w:color w:val="000000"/>
                <w:sz w:val="16"/>
                <w:szCs w:val="16"/>
              </w:rPr>
            </w:pPr>
            <w:r w:rsidRPr="00471CBA">
              <w:rPr>
                <w:color w:val="000000"/>
                <w:sz w:val="16"/>
                <w:szCs w:val="16"/>
              </w:rPr>
              <w:t>Operasyonel toplanan fon</w:t>
            </w:r>
          </w:p>
        </w:tc>
        <w:tc>
          <w:tcPr>
            <w:tcW w:w="1035" w:type="dxa"/>
            <w:tcBorders>
              <w:top w:val="nil"/>
              <w:left w:val="nil"/>
              <w:bottom w:val="nil"/>
              <w:right w:val="single" w:sz="4" w:space="0" w:color="auto"/>
            </w:tcBorders>
            <w:vAlign w:val="center"/>
            <w:hideMark/>
          </w:tcPr>
          <w:p w14:paraId="4014FB5A"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c>
          <w:tcPr>
            <w:tcW w:w="896" w:type="dxa"/>
            <w:tcBorders>
              <w:top w:val="nil"/>
              <w:left w:val="nil"/>
              <w:bottom w:val="nil"/>
              <w:right w:val="single" w:sz="4" w:space="0" w:color="auto"/>
            </w:tcBorders>
            <w:vAlign w:val="center"/>
            <w:hideMark/>
          </w:tcPr>
          <w:p w14:paraId="7FFB8F7F"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c>
          <w:tcPr>
            <w:tcW w:w="1092" w:type="dxa"/>
            <w:tcBorders>
              <w:top w:val="nil"/>
              <w:left w:val="nil"/>
              <w:bottom w:val="nil"/>
              <w:right w:val="single" w:sz="4" w:space="0" w:color="auto"/>
            </w:tcBorders>
            <w:vAlign w:val="center"/>
            <w:hideMark/>
          </w:tcPr>
          <w:p w14:paraId="70BCF93D"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c>
          <w:tcPr>
            <w:tcW w:w="1092" w:type="dxa"/>
            <w:tcBorders>
              <w:top w:val="nil"/>
              <w:left w:val="nil"/>
              <w:bottom w:val="nil"/>
              <w:right w:val="single" w:sz="4" w:space="0" w:color="auto"/>
            </w:tcBorders>
            <w:vAlign w:val="center"/>
            <w:hideMark/>
          </w:tcPr>
          <w:p w14:paraId="1CB28DFA"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r>
      <w:tr w:rsidR="00A74C68" w:rsidRPr="00471CBA" w14:paraId="1AA3A2CF" w14:textId="77777777" w:rsidTr="00A74C68">
        <w:trPr>
          <w:divId w:val="1780682172"/>
          <w:trHeight w:val="20"/>
        </w:trPr>
        <w:tc>
          <w:tcPr>
            <w:tcW w:w="331" w:type="dxa"/>
            <w:tcBorders>
              <w:top w:val="nil"/>
              <w:left w:val="single" w:sz="4" w:space="0" w:color="auto"/>
              <w:bottom w:val="nil"/>
              <w:right w:val="single" w:sz="4" w:space="0" w:color="auto"/>
            </w:tcBorders>
            <w:noWrap/>
            <w:hideMark/>
          </w:tcPr>
          <w:p w14:paraId="7CDFA061" w14:textId="77777777" w:rsidR="00A74C68" w:rsidRPr="00471CBA" w:rsidRDefault="00A74C68" w:rsidP="00A74C68">
            <w:pPr>
              <w:jc w:val="center"/>
              <w:rPr>
                <w:color w:val="000000"/>
                <w:sz w:val="16"/>
                <w:szCs w:val="16"/>
                <w:lang w:eastAsia="tr-TR"/>
              </w:rPr>
            </w:pPr>
            <w:r w:rsidRPr="00471CBA">
              <w:rPr>
                <w:color w:val="000000"/>
                <w:sz w:val="16"/>
                <w:szCs w:val="16"/>
                <w:lang w:eastAsia="tr-TR"/>
              </w:rPr>
              <w:t>7</w:t>
            </w:r>
          </w:p>
        </w:tc>
        <w:tc>
          <w:tcPr>
            <w:tcW w:w="5180" w:type="dxa"/>
            <w:tcBorders>
              <w:top w:val="nil"/>
              <w:left w:val="nil"/>
              <w:bottom w:val="nil"/>
              <w:right w:val="single" w:sz="4" w:space="0" w:color="auto"/>
            </w:tcBorders>
            <w:noWrap/>
            <w:hideMark/>
          </w:tcPr>
          <w:p w14:paraId="2A18AD7D" w14:textId="77777777" w:rsidR="00A74C68" w:rsidRPr="00471CBA" w:rsidRDefault="00A74C68" w:rsidP="00A74C68">
            <w:pPr>
              <w:widowControl w:val="0"/>
              <w:ind w:left="227"/>
              <w:rPr>
                <w:color w:val="000000"/>
                <w:sz w:val="16"/>
                <w:szCs w:val="16"/>
              </w:rPr>
            </w:pPr>
            <w:r w:rsidRPr="00471CBA">
              <w:rPr>
                <w:color w:val="000000"/>
                <w:sz w:val="16"/>
                <w:szCs w:val="16"/>
              </w:rPr>
              <w:t>Operasyonel olmayan toplanan fon</w:t>
            </w:r>
          </w:p>
        </w:tc>
        <w:tc>
          <w:tcPr>
            <w:tcW w:w="1035" w:type="dxa"/>
            <w:tcBorders>
              <w:top w:val="nil"/>
              <w:left w:val="nil"/>
              <w:bottom w:val="nil"/>
              <w:right w:val="single" w:sz="4" w:space="0" w:color="auto"/>
            </w:tcBorders>
            <w:vAlign w:val="center"/>
            <w:hideMark/>
          </w:tcPr>
          <w:p w14:paraId="0FC45ED1" w14:textId="77777777" w:rsidR="00A74C68" w:rsidRPr="00471CBA" w:rsidRDefault="00A74C68" w:rsidP="00A74C68">
            <w:pPr>
              <w:jc w:val="right"/>
              <w:rPr>
                <w:color w:val="000000"/>
                <w:sz w:val="16"/>
                <w:szCs w:val="16"/>
                <w:lang w:eastAsia="tr-TR"/>
              </w:rPr>
            </w:pPr>
            <w:r w:rsidRPr="00471CBA">
              <w:rPr>
                <w:color w:val="000000"/>
                <w:sz w:val="16"/>
                <w:szCs w:val="16"/>
                <w:lang w:eastAsia="tr-TR"/>
              </w:rPr>
              <w:t>28.582.009</w:t>
            </w:r>
          </w:p>
        </w:tc>
        <w:tc>
          <w:tcPr>
            <w:tcW w:w="896" w:type="dxa"/>
            <w:tcBorders>
              <w:top w:val="nil"/>
              <w:left w:val="nil"/>
              <w:bottom w:val="nil"/>
              <w:right w:val="single" w:sz="4" w:space="0" w:color="auto"/>
            </w:tcBorders>
            <w:vAlign w:val="center"/>
            <w:hideMark/>
          </w:tcPr>
          <w:p w14:paraId="7B76398F" w14:textId="77777777" w:rsidR="00A74C68" w:rsidRPr="00471CBA" w:rsidRDefault="00A74C68" w:rsidP="00A74C68">
            <w:pPr>
              <w:jc w:val="right"/>
              <w:rPr>
                <w:color w:val="000000"/>
                <w:sz w:val="16"/>
                <w:szCs w:val="16"/>
                <w:lang w:eastAsia="tr-TR"/>
              </w:rPr>
            </w:pPr>
            <w:r w:rsidRPr="00471CBA">
              <w:rPr>
                <w:color w:val="000000"/>
                <w:sz w:val="16"/>
                <w:szCs w:val="16"/>
                <w:lang w:eastAsia="tr-TR"/>
              </w:rPr>
              <w:t>18.954.520</w:t>
            </w:r>
          </w:p>
        </w:tc>
        <w:tc>
          <w:tcPr>
            <w:tcW w:w="1092" w:type="dxa"/>
            <w:tcBorders>
              <w:top w:val="nil"/>
              <w:left w:val="nil"/>
              <w:bottom w:val="nil"/>
              <w:right w:val="single" w:sz="4" w:space="0" w:color="auto"/>
            </w:tcBorders>
            <w:vAlign w:val="center"/>
            <w:hideMark/>
          </w:tcPr>
          <w:p w14:paraId="018B27A7" w14:textId="77777777" w:rsidR="00A74C68" w:rsidRPr="00471CBA" w:rsidRDefault="00A74C68" w:rsidP="00A74C68">
            <w:pPr>
              <w:jc w:val="right"/>
              <w:rPr>
                <w:color w:val="000000"/>
                <w:sz w:val="16"/>
                <w:szCs w:val="16"/>
                <w:lang w:eastAsia="tr-TR"/>
              </w:rPr>
            </w:pPr>
            <w:r w:rsidRPr="00471CBA">
              <w:rPr>
                <w:color w:val="000000"/>
                <w:sz w:val="16"/>
                <w:szCs w:val="16"/>
                <w:lang w:eastAsia="tr-TR"/>
              </w:rPr>
              <w:t>14.501.327</w:t>
            </w:r>
          </w:p>
        </w:tc>
        <w:tc>
          <w:tcPr>
            <w:tcW w:w="1092" w:type="dxa"/>
            <w:tcBorders>
              <w:top w:val="nil"/>
              <w:left w:val="nil"/>
              <w:bottom w:val="nil"/>
              <w:right w:val="single" w:sz="4" w:space="0" w:color="auto"/>
            </w:tcBorders>
            <w:vAlign w:val="center"/>
            <w:hideMark/>
          </w:tcPr>
          <w:p w14:paraId="527CD928" w14:textId="77777777" w:rsidR="00A74C68" w:rsidRPr="00471CBA" w:rsidRDefault="00A74C68" w:rsidP="00A74C68">
            <w:pPr>
              <w:jc w:val="right"/>
              <w:rPr>
                <w:color w:val="000000"/>
                <w:sz w:val="16"/>
                <w:szCs w:val="16"/>
                <w:lang w:eastAsia="tr-TR"/>
              </w:rPr>
            </w:pPr>
            <w:r w:rsidRPr="00471CBA">
              <w:rPr>
                <w:color w:val="000000"/>
                <w:sz w:val="16"/>
                <w:szCs w:val="16"/>
                <w:lang w:eastAsia="tr-TR"/>
              </w:rPr>
              <w:t>9.804.937</w:t>
            </w:r>
          </w:p>
        </w:tc>
      </w:tr>
      <w:tr w:rsidR="00A74C68" w:rsidRPr="00471CBA" w14:paraId="2A2250AD" w14:textId="77777777" w:rsidTr="00A74C68">
        <w:trPr>
          <w:divId w:val="1780682172"/>
          <w:trHeight w:val="20"/>
        </w:trPr>
        <w:tc>
          <w:tcPr>
            <w:tcW w:w="331" w:type="dxa"/>
            <w:tcBorders>
              <w:top w:val="nil"/>
              <w:left w:val="single" w:sz="4" w:space="0" w:color="auto"/>
              <w:bottom w:val="nil"/>
              <w:right w:val="single" w:sz="4" w:space="0" w:color="auto"/>
            </w:tcBorders>
            <w:noWrap/>
            <w:hideMark/>
          </w:tcPr>
          <w:p w14:paraId="12A9A4E3" w14:textId="77777777" w:rsidR="00A74C68" w:rsidRPr="00471CBA" w:rsidRDefault="00A74C68" w:rsidP="00A74C68">
            <w:pPr>
              <w:jc w:val="center"/>
              <w:rPr>
                <w:color w:val="000000"/>
                <w:sz w:val="16"/>
                <w:szCs w:val="16"/>
                <w:lang w:eastAsia="tr-TR"/>
              </w:rPr>
            </w:pPr>
            <w:r w:rsidRPr="00471CBA">
              <w:rPr>
                <w:color w:val="000000"/>
                <w:sz w:val="16"/>
                <w:szCs w:val="16"/>
                <w:lang w:eastAsia="tr-TR"/>
              </w:rPr>
              <w:t>8</w:t>
            </w:r>
          </w:p>
        </w:tc>
        <w:tc>
          <w:tcPr>
            <w:tcW w:w="5180" w:type="dxa"/>
            <w:tcBorders>
              <w:top w:val="nil"/>
              <w:left w:val="nil"/>
              <w:bottom w:val="nil"/>
              <w:right w:val="single" w:sz="4" w:space="0" w:color="auto"/>
            </w:tcBorders>
            <w:noWrap/>
            <w:hideMark/>
          </w:tcPr>
          <w:p w14:paraId="11274919" w14:textId="77777777" w:rsidR="00A74C68" w:rsidRPr="00471CBA" w:rsidRDefault="00A74C68" w:rsidP="00A74C68">
            <w:pPr>
              <w:widowControl w:val="0"/>
              <w:ind w:left="227"/>
              <w:rPr>
                <w:color w:val="000000"/>
                <w:sz w:val="16"/>
                <w:szCs w:val="16"/>
              </w:rPr>
            </w:pPr>
            <w:r w:rsidRPr="00471CBA">
              <w:rPr>
                <w:color w:val="000000"/>
                <w:sz w:val="16"/>
                <w:szCs w:val="16"/>
              </w:rPr>
              <w:t>Diğer teminatsız borçlar</w:t>
            </w:r>
          </w:p>
        </w:tc>
        <w:tc>
          <w:tcPr>
            <w:tcW w:w="1035" w:type="dxa"/>
            <w:tcBorders>
              <w:top w:val="nil"/>
              <w:left w:val="nil"/>
              <w:bottom w:val="nil"/>
              <w:right w:val="single" w:sz="4" w:space="0" w:color="auto"/>
            </w:tcBorders>
            <w:vAlign w:val="center"/>
            <w:hideMark/>
          </w:tcPr>
          <w:p w14:paraId="2B2BF323" w14:textId="77777777" w:rsidR="00A74C68" w:rsidRPr="00471CBA" w:rsidRDefault="00A74C68" w:rsidP="00A74C68">
            <w:pPr>
              <w:jc w:val="right"/>
              <w:rPr>
                <w:color w:val="000000"/>
                <w:sz w:val="16"/>
                <w:szCs w:val="16"/>
                <w:lang w:eastAsia="tr-TR"/>
              </w:rPr>
            </w:pPr>
            <w:r w:rsidRPr="00471CBA">
              <w:rPr>
                <w:color w:val="000000"/>
                <w:sz w:val="16"/>
                <w:szCs w:val="16"/>
                <w:lang w:eastAsia="tr-TR"/>
              </w:rPr>
              <w:t>9.070.327</w:t>
            </w:r>
          </w:p>
        </w:tc>
        <w:tc>
          <w:tcPr>
            <w:tcW w:w="896" w:type="dxa"/>
            <w:tcBorders>
              <w:top w:val="nil"/>
              <w:left w:val="nil"/>
              <w:bottom w:val="nil"/>
              <w:right w:val="single" w:sz="4" w:space="0" w:color="auto"/>
            </w:tcBorders>
            <w:vAlign w:val="center"/>
            <w:hideMark/>
          </w:tcPr>
          <w:p w14:paraId="501B6240" w14:textId="77777777" w:rsidR="00A74C68" w:rsidRPr="00471CBA" w:rsidRDefault="00A74C68" w:rsidP="00A74C68">
            <w:pPr>
              <w:jc w:val="right"/>
              <w:rPr>
                <w:color w:val="000000"/>
                <w:sz w:val="16"/>
                <w:szCs w:val="16"/>
                <w:lang w:eastAsia="tr-TR"/>
              </w:rPr>
            </w:pPr>
            <w:r w:rsidRPr="00471CBA">
              <w:rPr>
                <w:color w:val="000000"/>
                <w:sz w:val="16"/>
                <w:szCs w:val="16"/>
                <w:lang w:eastAsia="tr-TR"/>
              </w:rPr>
              <w:t>7.929.598</w:t>
            </w:r>
          </w:p>
        </w:tc>
        <w:tc>
          <w:tcPr>
            <w:tcW w:w="1092" w:type="dxa"/>
            <w:tcBorders>
              <w:top w:val="nil"/>
              <w:left w:val="nil"/>
              <w:bottom w:val="nil"/>
              <w:right w:val="single" w:sz="4" w:space="0" w:color="auto"/>
            </w:tcBorders>
            <w:vAlign w:val="center"/>
            <w:hideMark/>
          </w:tcPr>
          <w:p w14:paraId="4595179A" w14:textId="77777777" w:rsidR="00A74C68" w:rsidRPr="00471CBA" w:rsidRDefault="00A74C68" w:rsidP="00A74C68">
            <w:pPr>
              <w:jc w:val="right"/>
              <w:rPr>
                <w:color w:val="000000"/>
                <w:sz w:val="16"/>
                <w:szCs w:val="16"/>
                <w:lang w:eastAsia="tr-TR"/>
              </w:rPr>
            </w:pPr>
            <w:r w:rsidRPr="00471CBA">
              <w:rPr>
                <w:color w:val="000000"/>
                <w:sz w:val="16"/>
                <w:szCs w:val="16"/>
                <w:lang w:eastAsia="tr-TR"/>
              </w:rPr>
              <w:t>9.070.327</w:t>
            </w:r>
          </w:p>
        </w:tc>
        <w:tc>
          <w:tcPr>
            <w:tcW w:w="1092" w:type="dxa"/>
            <w:tcBorders>
              <w:top w:val="nil"/>
              <w:left w:val="nil"/>
              <w:bottom w:val="nil"/>
              <w:right w:val="single" w:sz="4" w:space="0" w:color="auto"/>
            </w:tcBorders>
            <w:vAlign w:val="center"/>
            <w:hideMark/>
          </w:tcPr>
          <w:p w14:paraId="03B74D6F" w14:textId="77777777" w:rsidR="00A74C68" w:rsidRPr="00471CBA" w:rsidRDefault="00A74C68" w:rsidP="00A74C68">
            <w:pPr>
              <w:jc w:val="right"/>
              <w:rPr>
                <w:color w:val="000000"/>
                <w:sz w:val="16"/>
                <w:szCs w:val="16"/>
                <w:lang w:eastAsia="tr-TR"/>
              </w:rPr>
            </w:pPr>
            <w:r w:rsidRPr="00471CBA">
              <w:rPr>
                <w:color w:val="000000"/>
                <w:sz w:val="16"/>
                <w:szCs w:val="16"/>
                <w:lang w:eastAsia="tr-TR"/>
              </w:rPr>
              <w:t>7.929.598</w:t>
            </w:r>
          </w:p>
        </w:tc>
      </w:tr>
      <w:tr w:rsidR="00A74C68" w:rsidRPr="00471CBA" w14:paraId="6DB5B952" w14:textId="77777777" w:rsidTr="00A74C68">
        <w:trPr>
          <w:divId w:val="1780682172"/>
          <w:trHeight w:val="20"/>
        </w:trPr>
        <w:tc>
          <w:tcPr>
            <w:tcW w:w="331" w:type="dxa"/>
            <w:tcBorders>
              <w:top w:val="nil"/>
              <w:left w:val="single" w:sz="4" w:space="0" w:color="auto"/>
              <w:bottom w:val="nil"/>
              <w:right w:val="single" w:sz="4" w:space="0" w:color="auto"/>
            </w:tcBorders>
            <w:noWrap/>
            <w:hideMark/>
          </w:tcPr>
          <w:p w14:paraId="017DBCEA" w14:textId="77777777" w:rsidR="00A74C68" w:rsidRPr="00471CBA" w:rsidRDefault="00A74C68" w:rsidP="00A74C68">
            <w:pPr>
              <w:jc w:val="center"/>
              <w:rPr>
                <w:color w:val="000000"/>
                <w:sz w:val="16"/>
                <w:szCs w:val="16"/>
                <w:lang w:eastAsia="tr-TR"/>
              </w:rPr>
            </w:pPr>
            <w:r w:rsidRPr="00471CBA">
              <w:rPr>
                <w:color w:val="000000"/>
                <w:sz w:val="16"/>
                <w:szCs w:val="16"/>
                <w:lang w:eastAsia="tr-TR"/>
              </w:rPr>
              <w:t>9</w:t>
            </w:r>
          </w:p>
        </w:tc>
        <w:tc>
          <w:tcPr>
            <w:tcW w:w="5180" w:type="dxa"/>
            <w:tcBorders>
              <w:top w:val="nil"/>
              <w:left w:val="nil"/>
              <w:bottom w:val="nil"/>
              <w:right w:val="single" w:sz="4" w:space="0" w:color="auto"/>
            </w:tcBorders>
            <w:noWrap/>
            <w:hideMark/>
          </w:tcPr>
          <w:p w14:paraId="4FC51C19" w14:textId="77777777" w:rsidR="00A74C68" w:rsidRPr="00471CBA" w:rsidRDefault="00A74C68" w:rsidP="00A74C68">
            <w:pPr>
              <w:rPr>
                <w:color w:val="000000"/>
                <w:sz w:val="16"/>
                <w:szCs w:val="16"/>
                <w:lang w:eastAsia="tr-TR"/>
              </w:rPr>
            </w:pPr>
            <w:r w:rsidRPr="00471CBA">
              <w:rPr>
                <w:color w:val="000000"/>
                <w:sz w:val="16"/>
                <w:szCs w:val="16"/>
                <w:lang w:eastAsia="tr-TR"/>
              </w:rPr>
              <w:t>Teminatlı borçlar</w:t>
            </w:r>
          </w:p>
        </w:tc>
        <w:tc>
          <w:tcPr>
            <w:tcW w:w="1035" w:type="dxa"/>
            <w:tcBorders>
              <w:top w:val="single" w:sz="4" w:space="0" w:color="auto"/>
              <w:left w:val="nil"/>
              <w:bottom w:val="single" w:sz="4" w:space="0" w:color="auto"/>
              <w:right w:val="single" w:sz="4" w:space="0" w:color="auto"/>
            </w:tcBorders>
            <w:shd w:val="clear" w:color="000000" w:fill="000000"/>
            <w:noWrap/>
            <w:vAlign w:val="center"/>
            <w:hideMark/>
          </w:tcPr>
          <w:p w14:paraId="57D3C2AC" w14:textId="77777777" w:rsidR="00A74C68" w:rsidRPr="00471CBA" w:rsidRDefault="00A74C68" w:rsidP="00A74C68">
            <w:pPr>
              <w:jc w:val="right"/>
              <w:rPr>
                <w:b/>
                <w:bCs/>
                <w:color w:val="FFFFFF"/>
                <w:sz w:val="16"/>
                <w:szCs w:val="16"/>
                <w:lang w:eastAsia="tr-TR"/>
              </w:rPr>
            </w:pPr>
            <w:r w:rsidRPr="00471CBA">
              <w:rPr>
                <w:b/>
                <w:bCs/>
                <w:color w:val="FFFFFF"/>
                <w:sz w:val="16"/>
                <w:szCs w:val="16"/>
                <w:lang w:eastAsia="tr-TR"/>
              </w:rPr>
              <w:t> </w:t>
            </w:r>
          </w:p>
        </w:tc>
        <w:tc>
          <w:tcPr>
            <w:tcW w:w="896" w:type="dxa"/>
            <w:tcBorders>
              <w:top w:val="single" w:sz="4" w:space="0" w:color="auto"/>
              <w:left w:val="nil"/>
              <w:bottom w:val="single" w:sz="4" w:space="0" w:color="auto"/>
              <w:right w:val="single" w:sz="4" w:space="0" w:color="auto"/>
            </w:tcBorders>
            <w:shd w:val="clear" w:color="000000" w:fill="000000"/>
            <w:noWrap/>
            <w:vAlign w:val="center"/>
            <w:hideMark/>
          </w:tcPr>
          <w:p w14:paraId="71E032BF" w14:textId="77777777" w:rsidR="00A74C68" w:rsidRPr="00471CBA" w:rsidRDefault="00A74C68" w:rsidP="00A74C68">
            <w:pPr>
              <w:jc w:val="right"/>
              <w:rPr>
                <w:b/>
                <w:bCs/>
                <w:color w:val="FFFFFF"/>
                <w:sz w:val="16"/>
                <w:szCs w:val="16"/>
                <w:lang w:eastAsia="tr-TR"/>
              </w:rPr>
            </w:pPr>
            <w:r w:rsidRPr="00471CBA">
              <w:rPr>
                <w:b/>
                <w:bCs/>
                <w:color w:val="FFFFFF"/>
                <w:sz w:val="16"/>
                <w:szCs w:val="16"/>
                <w:lang w:eastAsia="tr-TR"/>
              </w:rPr>
              <w:t> </w:t>
            </w:r>
          </w:p>
        </w:tc>
        <w:tc>
          <w:tcPr>
            <w:tcW w:w="1092" w:type="dxa"/>
            <w:tcBorders>
              <w:top w:val="single" w:sz="4" w:space="0" w:color="auto"/>
              <w:left w:val="nil"/>
              <w:bottom w:val="single" w:sz="4" w:space="0" w:color="auto"/>
              <w:right w:val="single" w:sz="4" w:space="0" w:color="auto"/>
            </w:tcBorders>
            <w:noWrap/>
            <w:vAlign w:val="bottom"/>
            <w:hideMark/>
          </w:tcPr>
          <w:p w14:paraId="4107C9AA" w14:textId="77777777" w:rsidR="00A74C68" w:rsidRPr="00471CBA" w:rsidRDefault="00A74C68" w:rsidP="00A74C68">
            <w:pPr>
              <w:jc w:val="right"/>
              <w:rPr>
                <w:b/>
                <w:bCs/>
                <w:sz w:val="16"/>
                <w:szCs w:val="16"/>
                <w:lang w:eastAsia="tr-TR"/>
              </w:rPr>
            </w:pPr>
            <w:r w:rsidRPr="00471CBA">
              <w:rPr>
                <w:b/>
                <w:bCs/>
                <w:sz w:val="16"/>
                <w:szCs w:val="16"/>
                <w:lang w:eastAsia="tr-TR"/>
              </w:rPr>
              <w:t>-</w:t>
            </w:r>
          </w:p>
        </w:tc>
        <w:tc>
          <w:tcPr>
            <w:tcW w:w="1092" w:type="dxa"/>
            <w:tcBorders>
              <w:top w:val="single" w:sz="4" w:space="0" w:color="auto"/>
              <w:left w:val="nil"/>
              <w:bottom w:val="single" w:sz="4" w:space="0" w:color="auto"/>
              <w:right w:val="single" w:sz="4" w:space="0" w:color="auto"/>
            </w:tcBorders>
            <w:noWrap/>
            <w:vAlign w:val="bottom"/>
            <w:hideMark/>
          </w:tcPr>
          <w:p w14:paraId="62D05765" w14:textId="77777777" w:rsidR="00A74C68" w:rsidRPr="00471CBA" w:rsidRDefault="00A74C68" w:rsidP="00A74C68">
            <w:pPr>
              <w:jc w:val="right"/>
              <w:rPr>
                <w:b/>
                <w:bCs/>
                <w:sz w:val="16"/>
                <w:szCs w:val="16"/>
                <w:lang w:eastAsia="tr-TR"/>
              </w:rPr>
            </w:pPr>
            <w:r w:rsidRPr="00471CBA">
              <w:rPr>
                <w:b/>
                <w:bCs/>
                <w:sz w:val="16"/>
                <w:szCs w:val="16"/>
                <w:lang w:eastAsia="tr-TR"/>
              </w:rPr>
              <w:t>-</w:t>
            </w:r>
          </w:p>
        </w:tc>
      </w:tr>
      <w:tr w:rsidR="00A74C68" w:rsidRPr="00471CBA" w14:paraId="7B3D5227" w14:textId="77777777" w:rsidTr="00A74C68">
        <w:trPr>
          <w:divId w:val="1780682172"/>
          <w:trHeight w:val="20"/>
        </w:trPr>
        <w:tc>
          <w:tcPr>
            <w:tcW w:w="331" w:type="dxa"/>
            <w:tcBorders>
              <w:top w:val="nil"/>
              <w:left w:val="single" w:sz="4" w:space="0" w:color="auto"/>
              <w:bottom w:val="nil"/>
              <w:right w:val="single" w:sz="4" w:space="0" w:color="auto"/>
            </w:tcBorders>
            <w:noWrap/>
            <w:hideMark/>
          </w:tcPr>
          <w:p w14:paraId="6F9373C0" w14:textId="77777777" w:rsidR="00A74C68" w:rsidRPr="00471CBA" w:rsidRDefault="00A74C68" w:rsidP="00A74C68">
            <w:pPr>
              <w:jc w:val="center"/>
              <w:rPr>
                <w:color w:val="000000"/>
                <w:sz w:val="16"/>
                <w:szCs w:val="16"/>
                <w:lang w:eastAsia="tr-TR"/>
              </w:rPr>
            </w:pPr>
            <w:r w:rsidRPr="00471CBA">
              <w:rPr>
                <w:color w:val="000000"/>
                <w:sz w:val="16"/>
                <w:szCs w:val="16"/>
                <w:lang w:eastAsia="tr-TR"/>
              </w:rPr>
              <w:t>10</w:t>
            </w:r>
          </w:p>
        </w:tc>
        <w:tc>
          <w:tcPr>
            <w:tcW w:w="5180" w:type="dxa"/>
            <w:tcBorders>
              <w:top w:val="nil"/>
              <w:left w:val="nil"/>
              <w:bottom w:val="nil"/>
              <w:right w:val="single" w:sz="4" w:space="0" w:color="auto"/>
            </w:tcBorders>
            <w:noWrap/>
            <w:hideMark/>
          </w:tcPr>
          <w:p w14:paraId="06CC7B6C" w14:textId="77777777" w:rsidR="00A74C68" w:rsidRPr="00471CBA" w:rsidRDefault="00A74C68" w:rsidP="00A74C68">
            <w:pPr>
              <w:rPr>
                <w:color w:val="000000"/>
                <w:sz w:val="16"/>
                <w:szCs w:val="16"/>
                <w:lang w:eastAsia="tr-TR"/>
              </w:rPr>
            </w:pPr>
            <w:r w:rsidRPr="00471CBA">
              <w:rPr>
                <w:color w:val="000000"/>
                <w:sz w:val="16"/>
                <w:szCs w:val="16"/>
                <w:lang w:eastAsia="tr-TR"/>
              </w:rPr>
              <w:t>Diğer nakit çıkışları</w:t>
            </w:r>
          </w:p>
        </w:tc>
        <w:tc>
          <w:tcPr>
            <w:tcW w:w="1035" w:type="dxa"/>
            <w:tcBorders>
              <w:top w:val="nil"/>
              <w:left w:val="nil"/>
              <w:bottom w:val="nil"/>
              <w:right w:val="single" w:sz="4" w:space="0" w:color="auto"/>
            </w:tcBorders>
            <w:vAlign w:val="center"/>
            <w:hideMark/>
          </w:tcPr>
          <w:p w14:paraId="6DA79CA6" w14:textId="77777777" w:rsidR="00A74C68" w:rsidRPr="00471CBA" w:rsidRDefault="00A74C68" w:rsidP="00A74C68">
            <w:pPr>
              <w:jc w:val="right"/>
              <w:rPr>
                <w:color w:val="000000"/>
                <w:sz w:val="16"/>
                <w:szCs w:val="16"/>
                <w:lang w:eastAsia="tr-TR"/>
              </w:rPr>
            </w:pPr>
            <w:r w:rsidRPr="00471CBA">
              <w:rPr>
                <w:color w:val="000000"/>
                <w:sz w:val="16"/>
                <w:szCs w:val="16"/>
                <w:lang w:eastAsia="tr-TR"/>
              </w:rPr>
              <w:t>7.870.903</w:t>
            </w:r>
          </w:p>
        </w:tc>
        <w:tc>
          <w:tcPr>
            <w:tcW w:w="896" w:type="dxa"/>
            <w:tcBorders>
              <w:top w:val="nil"/>
              <w:left w:val="nil"/>
              <w:bottom w:val="nil"/>
              <w:right w:val="single" w:sz="4" w:space="0" w:color="auto"/>
            </w:tcBorders>
            <w:vAlign w:val="center"/>
            <w:hideMark/>
          </w:tcPr>
          <w:p w14:paraId="523171E8" w14:textId="77777777" w:rsidR="00A74C68" w:rsidRPr="00471CBA" w:rsidRDefault="00A74C68" w:rsidP="00A74C68">
            <w:pPr>
              <w:jc w:val="right"/>
              <w:rPr>
                <w:color w:val="000000"/>
                <w:sz w:val="16"/>
                <w:szCs w:val="16"/>
                <w:lang w:eastAsia="tr-TR"/>
              </w:rPr>
            </w:pPr>
            <w:r w:rsidRPr="00471CBA">
              <w:rPr>
                <w:color w:val="000000"/>
                <w:sz w:val="16"/>
                <w:szCs w:val="16"/>
                <w:lang w:eastAsia="tr-TR"/>
              </w:rPr>
              <w:t>2.534.559</w:t>
            </w:r>
          </w:p>
        </w:tc>
        <w:tc>
          <w:tcPr>
            <w:tcW w:w="1092" w:type="dxa"/>
            <w:tcBorders>
              <w:top w:val="nil"/>
              <w:left w:val="nil"/>
              <w:bottom w:val="nil"/>
              <w:right w:val="single" w:sz="4" w:space="0" w:color="auto"/>
            </w:tcBorders>
            <w:vAlign w:val="center"/>
            <w:hideMark/>
          </w:tcPr>
          <w:p w14:paraId="4DEBB6CF" w14:textId="77777777" w:rsidR="00A74C68" w:rsidRPr="00471CBA" w:rsidRDefault="00A74C68" w:rsidP="00A74C68">
            <w:pPr>
              <w:jc w:val="right"/>
              <w:rPr>
                <w:color w:val="000000"/>
                <w:sz w:val="16"/>
                <w:szCs w:val="16"/>
                <w:lang w:eastAsia="tr-TR"/>
              </w:rPr>
            </w:pPr>
            <w:r w:rsidRPr="00471CBA">
              <w:rPr>
                <w:color w:val="000000"/>
                <w:sz w:val="16"/>
                <w:szCs w:val="16"/>
                <w:lang w:eastAsia="tr-TR"/>
              </w:rPr>
              <w:t>1.979.938</w:t>
            </w:r>
          </w:p>
        </w:tc>
        <w:tc>
          <w:tcPr>
            <w:tcW w:w="1092" w:type="dxa"/>
            <w:tcBorders>
              <w:top w:val="nil"/>
              <w:left w:val="nil"/>
              <w:bottom w:val="nil"/>
              <w:right w:val="single" w:sz="4" w:space="0" w:color="auto"/>
            </w:tcBorders>
            <w:vAlign w:val="center"/>
            <w:hideMark/>
          </w:tcPr>
          <w:p w14:paraId="66D101C2" w14:textId="77777777" w:rsidR="00A74C68" w:rsidRPr="00471CBA" w:rsidRDefault="00A74C68" w:rsidP="00A74C68">
            <w:pPr>
              <w:jc w:val="right"/>
              <w:rPr>
                <w:color w:val="000000"/>
                <w:sz w:val="16"/>
                <w:szCs w:val="16"/>
                <w:lang w:eastAsia="tr-TR"/>
              </w:rPr>
            </w:pPr>
            <w:r w:rsidRPr="00471CBA">
              <w:rPr>
                <w:color w:val="000000"/>
                <w:sz w:val="16"/>
                <w:szCs w:val="16"/>
                <w:lang w:eastAsia="tr-TR"/>
              </w:rPr>
              <w:t>1.371.139</w:t>
            </w:r>
          </w:p>
        </w:tc>
      </w:tr>
      <w:tr w:rsidR="00A74C68" w:rsidRPr="00471CBA" w14:paraId="243E0C8D" w14:textId="77777777" w:rsidTr="00A74C68">
        <w:trPr>
          <w:divId w:val="1780682172"/>
          <w:trHeight w:val="20"/>
        </w:trPr>
        <w:tc>
          <w:tcPr>
            <w:tcW w:w="331" w:type="dxa"/>
            <w:tcBorders>
              <w:top w:val="nil"/>
              <w:left w:val="single" w:sz="4" w:space="0" w:color="auto"/>
              <w:bottom w:val="nil"/>
              <w:right w:val="single" w:sz="4" w:space="0" w:color="auto"/>
            </w:tcBorders>
            <w:noWrap/>
            <w:hideMark/>
          </w:tcPr>
          <w:p w14:paraId="7A85AAD5" w14:textId="77777777" w:rsidR="00A74C68" w:rsidRPr="00471CBA" w:rsidRDefault="00A74C68" w:rsidP="00A74C68">
            <w:pPr>
              <w:jc w:val="center"/>
              <w:rPr>
                <w:color w:val="000000"/>
                <w:sz w:val="16"/>
                <w:szCs w:val="16"/>
                <w:lang w:eastAsia="tr-TR"/>
              </w:rPr>
            </w:pPr>
            <w:r w:rsidRPr="00471CBA">
              <w:rPr>
                <w:color w:val="000000"/>
                <w:sz w:val="16"/>
                <w:szCs w:val="16"/>
                <w:lang w:eastAsia="tr-TR"/>
              </w:rPr>
              <w:t>11</w:t>
            </w:r>
          </w:p>
        </w:tc>
        <w:tc>
          <w:tcPr>
            <w:tcW w:w="5180" w:type="dxa"/>
            <w:tcBorders>
              <w:top w:val="nil"/>
              <w:left w:val="nil"/>
              <w:bottom w:val="nil"/>
              <w:right w:val="single" w:sz="4" w:space="0" w:color="auto"/>
            </w:tcBorders>
            <w:noWrap/>
            <w:hideMark/>
          </w:tcPr>
          <w:p w14:paraId="74F7B991" w14:textId="77777777" w:rsidR="00A74C68" w:rsidRPr="00471CBA" w:rsidRDefault="00A74C68" w:rsidP="00A74C68">
            <w:pPr>
              <w:widowControl w:val="0"/>
              <w:ind w:left="227"/>
              <w:rPr>
                <w:color w:val="000000"/>
                <w:sz w:val="16"/>
                <w:szCs w:val="16"/>
              </w:rPr>
            </w:pPr>
            <w:r w:rsidRPr="00471CBA">
              <w:rPr>
                <w:color w:val="000000"/>
                <w:sz w:val="16"/>
                <w:szCs w:val="16"/>
              </w:rPr>
              <w:t>Türev yükümlülükler ve teminat tamamlama yükümlülükleri</w:t>
            </w:r>
          </w:p>
        </w:tc>
        <w:tc>
          <w:tcPr>
            <w:tcW w:w="1035" w:type="dxa"/>
            <w:tcBorders>
              <w:top w:val="nil"/>
              <w:left w:val="nil"/>
              <w:bottom w:val="nil"/>
              <w:right w:val="single" w:sz="4" w:space="0" w:color="auto"/>
            </w:tcBorders>
            <w:vAlign w:val="center"/>
            <w:hideMark/>
          </w:tcPr>
          <w:p w14:paraId="5E96EA2F" w14:textId="77777777" w:rsidR="00A74C68" w:rsidRPr="00471CBA" w:rsidRDefault="00A74C68" w:rsidP="00A74C68">
            <w:pPr>
              <w:jc w:val="right"/>
              <w:rPr>
                <w:color w:val="000000"/>
                <w:sz w:val="16"/>
                <w:szCs w:val="16"/>
                <w:lang w:eastAsia="tr-TR"/>
              </w:rPr>
            </w:pPr>
            <w:r w:rsidRPr="00471CBA">
              <w:rPr>
                <w:color w:val="000000"/>
                <w:sz w:val="16"/>
                <w:szCs w:val="16"/>
                <w:lang w:eastAsia="tr-TR"/>
              </w:rPr>
              <w:t>1.330.416</w:t>
            </w:r>
          </w:p>
        </w:tc>
        <w:tc>
          <w:tcPr>
            <w:tcW w:w="896" w:type="dxa"/>
            <w:tcBorders>
              <w:top w:val="nil"/>
              <w:left w:val="nil"/>
              <w:bottom w:val="nil"/>
              <w:right w:val="single" w:sz="4" w:space="0" w:color="auto"/>
            </w:tcBorders>
            <w:vAlign w:val="center"/>
            <w:hideMark/>
          </w:tcPr>
          <w:p w14:paraId="5EA2E650" w14:textId="77777777" w:rsidR="00A74C68" w:rsidRPr="00471CBA" w:rsidRDefault="00A74C68" w:rsidP="00A74C68">
            <w:pPr>
              <w:jc w:val="right"/>
              <w:rPr>
                <w:color w:val="000000"/>
                <w:sz w:val="16"/>
                <w:szCs w:val="16"/>
                <w:lang w:eastAsia="tr-TR"/>
              </w:rPr>
            </w:pPr>
            <w:r w:rsidRPr="00471CBA">
              <w:rPr>
                <w:color w:val="000000"/>
                <w:sz w:val="16"/>
                <w:szCs w:val="16"/>
                <w:lang w:eastAsia="tr-TR"/>
              </w:rPr>
              <w:t>1.264.286</w:t>
            </w:r>
          </w:p>
        </w:tc>
        <w:tc>
          <w:tcPr>
            <w:tcW w:w="1092" w:type="dxa"/>
            <w:tcBorders>
              <w:top w:val="nil"/>
              <w:left w:val="nil"/>
              <w:bottom w:val="nil"/>
              <w:right w:val="single" w:sz="4" w:space="0" w:color="auto"/>
            </w:tcBorders>
            <w:vAlign w:val="center"/>
            <w:hideMark/>
          </w:tcPr>
          <w:p w14:paraId="2A6A71B7" w14:textId="77777777" w:rsidR="00A74C68" w:rsidRPr="00471CBA" w:rsidRDefault="00A74C68" w:rsidP="00A74C68">
            <w:pPr>
              <w:jc w:val="right"/>
              <w:rPr>
                <w:color w:val="000000"/>
                <w:sz w:val="16"/>
                <w:szCs w:val="16"/>
                <w:lang w:eastAsia="tr-TR"/>
              </w:rPr>
            </w:pPr>
            <w:r w:rsidRPr="00471CBA">
              <w:rPr>
                <w:color w:val="000000"/>
                <w:sz w:val="16"/>
                <w:szCs w:val="16"/>
                <w:lang w:eastAsia="tr-TR"/>
              </w:rPr>
              <w:t>1.330.416</w:t>
            </w:r>
          </w:p>
        </w:tc>
        <w:tc>
          <w:tcPr>
            <w:tcW w:w="1092" w:type="dxa"/>
            <w:tcBorders>
              <w:top w:val="nil"/>
              <w:left w:val="nil"/>
              <w:bottom w:val="nil"/>
              <w:right w:val="single" w:sz="4" w:space="0" w:color="auto"/>
            </w:tcBorders>
            <w:vAlign w:val="center"/>
            <w:hideMark/>
          </w:tcPr>
          <w:p w14:paraId="50994D79" w14:textId="77777777" w:rsidR="00A74C68" w:rsidRPr="00471CBA" w:rsidRDefault="00A74C68" w:rsidP="00A74C68">
            <w:pPr>
              <w:jc w:val="right"/>
              <w:rPr>
                <w:color w:val="000000"/>
                <w:sz w:val="16"/>
                <w:szCs w:val="16"/>
                <w:lang w:eastAsia="tr-TR"/>
              </w:rPr>
            </w:pPr>
            <w:r w:rsidRPr="00471CBA">
              <w:rPr>
                <w:color w:val="000000"/>
                <w:sz w:val="16"/>
                <w:szCs w:val="16"/>
                <w:lang w:eastAsia="tr-TR"/>
              </w:rPr>
              <w:t>1.264.286</w:t>
            </w:r>
          </w:p>
        </w:tc>
      </w:tr>
      <w:tr w:rsidR="00A74C68" w:rsidRPr="00471CBA" w14:paraId="033DE560" w14:textId="77777777" w:rsidTr="00A74C68">
        <w:trPr>
          <w:divId w:val="1780682172"/>
          <w:trHeight w:val="20"/>
        </w:trPr>
        <w:tc>
          <w:tcPr>
            <w:tcW w:w="331" w:type="dxa"/>
            <w:tcBorders>
              <w:top w:val="nil"/>
              <w:left w:val="single" w:sz="4" w:space="0" w:color="auto"/>
              <w:bottom w:val="nil"/>
              <w:right w:val="single" w:sz="4" w:space="0" w:color="auto"/>
            </w:tcBorders>
            <w:noWrap/>
            <w:hideMark/>
          </w:tcPr>
          <w:p w14:paraId="7B743EC8" w14:textId="77777777" w:rsidR="00A74C68" w:rsidRPr="00471CBA" w:rsidRDefault="00A74C68" w:rsidP="00A74C68">
            <w:pPr>
              <w:jc w:val="center"/>
              <w:rPr>
                <w:color w:val="000000"/>
                <w:sz w:val="16"/>
                <w:szCs w:val="16"/>
                <w:lang w:eastAsia="tr-TR"/>
              </w:rPr>
            </w:pPr>
            <w:r w:rsidRPr="00471CBA">
              <w:rPr>
                <w:color w:val="000000"/>
                <w:sz w:val="16"/>
                <w:szCs w:val="16"/>
                <w:lang w:eastAsia="tr-TR"/>
              </w:rPr>
              <w:t>12</w:t>
            </w:r>
          </w:p>
        </w:tc>
        <w:tc>
          <w:tcPr>
            <w:tcW w:w="5180" w:type="dxa"/>
            <w:tcBorders>
              <w:top w:val="nil"/>
              <w:left w:val="nil"/>
              <w:bottom w:val="nil"/>
              <w:right w:val="single" w:sz="4" w:space="0" w:color="auto"/>
            </w:tcBorders>
            <w:noWrap/>
            <w:hideMark/>
          </w:tcPr>
          <w:p w14:paraId="35997C63" w14:textId="77777777" w:rsidR="00A74C68" w:rsidRPr="00471CBA" w:rsidRDefault="00A74C68" w:rsidP="00A74C68">
            <w:pPr>
              <w:widowControl w:val="0"/>
              <w:ind w:left="227"/>
              <w:rPr>
                <w:color w:val="000000"/>
                <w:sz w:val="16"/>
                <w:szCs w:val="16"/>
              </w:rPr>
            </w:pPr>
            <w:r w:rsidRPr="00471CBA">
              <w:rPr>
                <w:color w:val="000000"/>
                <w:sz w:val="16"/>
                <w:szCs w:val="16"/>
              </w:rPr>
              <w:t>Yapılandırılmış finansal araçlardan borçlar</w:t>
            </w:r>
          </w:p>
        </w:tc>
        <w:tc>
          <w:tcPr>
            <w:tcW w:w="1035" w:type="dxa"/>
            <w:tcBorders>
              <w:top w:val="nil"/>
              <w:left w:val="nil"/>
              <w:bottom w:val="nil"/>
              <w:right w:val="single" w:sz="4" w:space="0" w:color="auto"/>
            </w:tcBorders>
            <w:vAlign w:val="center"/>
            <w:hideMark/>
          </w:tcPr>
          <w:p w14:paraId="5C45B403"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c>
          <w:tcPr>
            <w:tcW w:w="896" w:type="dxa"/>
            <w:tcBorders>
              <w:top w:val="nil"/>
              <w:left w:val="nil"/>
              <w:bottom w:val="nil"/>
              <w:right w:val="single" w:sz="4" w:space="0" w:color="auto"/>
            </w:tcBorders>
            <w:vAlign w:val="center"/>
            <w:hideMark/>
          </w:tcPr>
          <w:p w14:paraId="7917ACF4"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c>
          <w:tcPr>
            <w:tcW w:w="1092" w:type="dxa"/>
            <w:tcBorders>
              <w:top w:val="nil"/>
              <w:left w:val="nil"/>
              <w:bottom w:val="nil"/>
              <w:right w:val="single" w:sz="4" w:space="0" w:color="auto"/>
            </w:tcBorders>
            <w:vAlign w:val="center"/>
            <w:hideMark/>
          </w:tcPr>
          <w:p w14:paraId="1C5312FD"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c>
          <w:tcPr>
            <w:tcW w:w="1092" w:type="dxa"/>
            <w:tcBorders>
              <w:top w:val="nil"/>
              <w:left w:val="nil"/>
              <w:bottom w:val="nil"/>
              <w:right w:val="single" w:sz="4" w:space="0" w:color="auto"/>
            </w:tcBorders>
            <w:vAlign w:val="center"/>
            <w:hideMark/>
          </w:tcPr>
          <w:p w14:paraId="3A0C419D"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r>
      <w:tr w:rsidR="00A74C68" w:rsidRPr="00471CBA" w14:paraId="27DE3C73" w14:textId="77777777" w:rsidTr="00A74C68">
        <w:trPr>
          <w:divId w:val="1780682172"/>
          <w:trHeight w:val="20"/>
        </w:trPr>
        <w:tc>
          <w:tcPr>
            <w:tcW w:w="331" w:type="dxa"/>
            <w:tcBorders>
              <w:top w:val="nil"/>
              <w:left w:val="single" w:sz="4" w:space="0" w:color="auto"/>
              <w:bottom w:val="nil"/>
              <w:right w:val="single" w:sz="4" w:space="0" w:color="auto"/>
            </w:tcBorders>
            <w:noWrap/>
            <w:hideMark/>
          </w:tcPr>
          <w:p w14:paraId="78955655" w14:textId="77777777" w:rsidR="00A74C68" w:rsidRPr="00471CBA" w:rsidRDefault="00A74C68" w:rsidP="00A74C68">
            <w:pPr>
              <w:jc w:val="center"/>
              <w:rPr>
                <w:color w:val="000000"/>
                <w:sz w:val="16"/>
                <w:szCs w:val="16"/>
                <w:lang w:eastAsia="tr-TR"/>
              </w:rPr>
            </w:pPr>
            <w:r w:rsidRPr="00471CBA">
              <w:rPr>
                <w:color w:val="000000"/>
                <w:sz w:val="16"/>
                <w:szCs w:val="16"/>
                <w:lang w:eastAsia="tr-TR"/>
              </w:rPr>
              <w:t>13</w:t>
            </w:r>
          </w:p>
        </w:tc>
        <w:tc>
          <w:tcPr>
            <w:tcW w:w="5180" w:type="dxa"/>
            <w:tcBorders>
              <w:top w:val="nil"/>
              <w:left w:val="nil"/>
              <w:bottom w:val="nil"/>
              <w:right w:val="single" w:sz="4" w:space="0" w:color="auto"/>
            </w:tcBorders>
            <w:hideMark/>
          </w:tcPr>
          <w:p w14:paraId="141DFF82" w14:textId="77777777" w:rsidR="00A74C68" w:rsidRPr="00471CBA" w:rsidRDefault="00A74C68" w:rsidP="00A74C68">
            <w:pPr>
              <w:widowControl w:val="0"/>
              <w:ind w:left="227"/>
              <w:rPr>
                <w:color w:val="000000"/>
                <w:sz w:val="16"/>
                <w:szCs w:val="16"/>
              </w:rPr>
            </w:pPr>
            <w:r w:rsidRPr="00471CBA">
              <w:rPr>
                <w:color w:val="000000"/>
                <w:sz w:val="16"/>
                <w:szCs w:val="16"/>
              </w:rPr>
              <w:t>Finansal piyasalara olan borçlar için verilen ödeme taahhütleri ile diğer bilanço dışı yükümlülükler</w:t>
            </w:r>
          </w:p>
        </w:tc>
        <w:tc>
          <w:tcPr>
            <w:tcW w:w="1035" w:type="dxa"/>
            <w:tcBorders>
              <w:top w:val="nil"/>
              <w:left w:val="nil"/>
              <w:bottom w:val="nil"/>
              <w:right w:val="single" w:sz="4" w:space="0" w:color="auto"/>
            </w:tcBorders>
            <w:vAlign w:val="center"/>
            <w:hideMark/>
          </w:tcPr>
          <w:p w14:paraId="5DDFD5BF" w14:textId="77777777" w:rsidR="00A74C68" w:rsidRPr="00471CBA" w:rsidRDefault="00A74C68" w:rsidP="00A74C68">
            <w:pPr>
              <w:jc w:val="right"/>
              <w:rPr>
                <w:color w:val="000000"/>
                <w:sz w:val="16"/>
                <w:szCs w:val="16"/>
                <w:lang w:eastAsia="tr-TR"/>
              </w:rPr>
            </w:pPr>
            <w:r w:rsidRPr="00471CBA">
              <w:rPr>
                <w:color w:val="000000"/>
                <w:sz w:val="16"/>
                <w:szCs w:val="16"/>
                <w:lang w:eastAsia="tr-TR"/>
              </w:rPr>
              <w:t>6.540.487</w:t>
            </w:r>
          </w:p>
        </w:tc>
        <w:tc>
          <w:tcPr>
            <w:tcW w:w="896" w:type="dxa"/>
            <w:tcBorders>
              <w:top w:val="nil"/>
              <w:left w:val="nil"/>
              <w:bottom w:val="nil"/>
              <w:right w:val="single" w:sz="4" w:space="0" w:color="auto"/>
            </w:tcBorders>
            <w:vAlign w:val="center"/>
            <w:hideMark/>
          </w:tcPr>
          <w:p w14:paraId="6F17F114" w14:textId="77777777" w:rsidR="00A74C68" w:rsidRPr="00471CBA" w:rsidRDefault="00A74C68" w:rsidP="00A74C68">
            <w:pPr>
              <w:jc w:val="right"/>
              <w:rPr>
                <w:color w:val="000000"/>
                <w:sz w:val="16"/>
                <w:szCs w:val="16"/>
                <w:lang w:eastAsia="tr-TR"/>
              </w:rPr>
            </w:pPr>
            <w:r w:rsidRPr="00471CBA">
              <w:rPr>
                <w:color w:val="000000"/>
                <w:sz w:val="16"/>
                <w:szCs w:val="16"/>
                <w:lang w:eastAsia="tr-TR"/>
              </w:rPr>
              <w:t>1.270.273</w:t>
            </w:r>
          </w:p>
        </w:tc>
        <w:tc>
          <w:tcPr>
            <w:tcW w:w="1092" w:type="dxa"/>
            <w:tcBorders>
              <w:top w:val="nil"/>
              <w:left w:val="nil"/>
              <w:bottom w:val="nil"/>
              <w:right w:val="single" w:sz="4" w:space="0" w:color="auto"/>
            </w:tcBorders>
            <w:vAlign w:val="center"/>
            <w:hideMark/>
          </w:tcPr>
          <w:p w14:paraId="04886D4D" w14:textId="77777777" w:rsidR="00A74C68" w:rsidRPr="00471CBA" w:rsidRDefault="00A74C68" w:rsidP="00A74C68">
            <w:pPr>
              <w:jc w:val="right"/>
              <w:rPr>
                <w:color w:val="000000"/>
                <w:sz w:val="16"/>
                <w:szCs w:val="16"/>
                <w:lang w:eastAsia="tr-TR"/>
              </w:rPr>
            </w:pPr>
            <w:r w:rsidRPr="00471CBA">
              <w:rPr>
                <w:color w:val="000000"/>
                <w:sz w:val="16"/>
                <w:szCs w:val="16"/>
                <w:lang w:eastAsia="tr-TR"/>
              </w:rPr>
              <w:t>649.522</w:t>
            </w:r>
          </w:p>
        </w:tc>
        <w:tc>
          <w:tcPr>
            <w:tcW w:w="1092" w:type="dxa"/>
            <w:tcBorders>
              <w:top w:val="nil"/>
              <w:left w:val="nil"/>
              <w:bottom w:val="nil"/>
              <w:right w:val="single" w:sz="4" w:space="0" w:color="auto"/>
            </w:tcBorders>
            <w:vAlign w:val="center"/>
            <w:hideMark/>
          </w:tcPr>
          <w:p w14:paraId="00D5DF25" w14:textId="77777777" w:rsidR="00A74C68" w:rsidRPr="00471CBA" w:rsidRDefault="00A74C68" w:rsidP="00A74C68">
            <w:pPr>
              <w:jc w:val="right"/>
              <w:rPr>
                <w:color w:val="000000"/>
                <w:sz w:val="16"/>
                <w:szCs w:val="16"/>
                <w:lang w:eastAsia="tr-TR"/>
              </w:rPr>
            </w:pPr>
            <w:r w:rsidRPr="00471CBA">
              <w:rPr>
                <w:color w:val="000000"/>
                <w:sz w:val="16"/>
                <w:szCs w:val="16"/>
                <w:lang w:eastAsia="tr-TR"/>
              </w:rPr>
              <w:t>106.853</w:t>
            </w:r>
          </w:p>
        </w:tc>
      </w:tr>
      <w:tr w:rsidR="00A74C68" w:rsidRPr="00471CBA" w14:paraId="4FDBE96F" w14:textId="77777777" w:rsidTr="00A74C68">
        <w:trPr>
          <w:divId w:val="1780682172"/>
          <w:trHeight w:val="20"/>
        </w:trPr>
        <w:tc>
          <w:tcPr>
            <w:tcW w:w="331" w:type="dxa"/>
            <w:tcBorders>
              <w:top w:val="nil"/>
              <w:left w:val="single" w:sz="4" w:space="0" w:color="auto"/>
              <w:bottom w:val="nil"/>
              <w:right w:val="single" w:sz="4" w:space="0" w:color="auto"/>
            </w:tcBorders>
            <w:noWrap/>
            <w:hideMark/>
          </w:tcPr>
          <w:p w14:paraId="13C1CF7D" w14:textId="77777777" w:rsidR="00A74C68" w:rsidRPr="00471CBA" w:rsidRDefault="00A74C68" w:rsidP="00A74C68">
            <w:pPr>
              <w:jc w:val="center"/>
              <w:rPr>
                <w:color w:val="000000"/>
                <w:sz w:val="16"/>
                <w:szCs w:val="16"/>
                <w:lang w:eastAsia="tr-TR"/>
              </w:rPr>
            </w:pPr>
            <w:r w:rsidRPr="00471CBA">
              <w:rPr>
                <w:color w:val="000000"/>
                <w:sz w:val="16"/>
                <w:szCs w:val="16"/>
                <w:lang w:eastAsia="tr-TR"/>
              </w:rPr>
              <w:t>14</w:t>
            </w:r>
          </w:p>
        </w:tc>
        <w:tc>
          <w:tcPr>
            <w:tcW w:w="5180" w:type="dxa"/>
            <w:tcBorders>
              <w:top w:val="nil"/>
              <w:left w:val="nil"/>
              <w:bottom w:val="nil"/>
              <w:right w:val="single" w:sz="4" w:space="0" w:color="auto"/>
            </w:tcBorders>
            <w:hideMark/>
          </w:tcPr>
          <w:p w14:paraId="0D41A6DF" w14:textId="77777777" w:rsidR="00A74C68" w:rsidRPr="00471CBA" w:rsidRDefault="00A74C68" w:rsidP="00A74C68">
            <w:pPr>
              <w:rPr>
                <w:color w:val="000000"/>
                <w:sz w:val="16"/>
                <w:szCs w:val="16"/>
                <w:lang w:eastAsia="tr-TR"/>
              </w:rPr>
            </w:pPr>
            <w:r w:rsidRPr="00471CBA">
              <w:rPr>
                <w:color w:val="000000"/>
                <w:sz w:val="16"/>
                <w:szCs w:val="16"/>
                <w:lang w:eastAsia="tr-TR"/>
              </w:rPr>
              <w:t>Herhangi bir şarta bağlı olmaksızın cayılabilir bilanço dışı diğer yükümlülükler ile sözleşmeye dayalı diğer yükümlülükler</w:t>
            </w:r>
          </w:p>
        </w:tc>
        <w:tc>
          <w:tcPr>
            <w:tcW w:w="1035" w:type="dxa"/>
            <w:tcBorders>
              <w:top w:val="nil"/>
              <w:left w:val="nil"/>
              <w:bottom w:val="nil"/>
              <w:right w:val="single" w:sz="4" w:space="0" w:color="auto"/>
            </w:tcBorders>
            <w:vAlign w:val="center"/>
            <w:hideMark/>
          </w:tcPr>
          <w:p w14:paraId="2AAB7A8A" w14:textId="77777777" w:rsidR="00A74C68" w:rsidRPr="00471CBA" w:rsidRDefault="00A74C68" w:rsidP="00A74C68">
            <w:pPr>
              <w:jc w:val="right"/>
              <w:rPr>
                <w:color w:val="000000"/>
                <w:sz w:val="16"/>
                <w:szCs w:val="16"/>
                <w:lang w:eastAsia="tr-TR"/>
              </w:rPr>
            </w:pPr>
            <w:r w:rsidRPr="00471CBA">
              <w:rPr>
                <w:color w:val="000000"/>
                <w:sz w:val="16"/>
                <w:szCs w:val="16"/>
                <w:lang w:eastAsia="tr-TR"/>
              </w:rPr>
              <w:t>121.771</w:t>
            </w:r>
          </w:p>
        </w:tc>
        <w:tc>
          <w:tcPr>
            <w:tcW w:w="896" w:type="dxa"/>
            <w:tcBorders>
              <w:top w:val="nil"/>
              <w:left w:val="nil"/>
              <w:bottom w:val="nil"/>
              <w:right w:val="single" w:sz="4" w:space="0" w:color="auto"/>
            </w:tcBorders>
            <w:vAlign w:val="center"/>
            <w:hideMark/>
          </w:tcPr>
          <w:p w14:paraId="0F88C0D6"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c>
          <w:tcPr>
            <w:tcW w:w="1092" w:type="dxa"/>
            <w:tcBorders>
              <w:top w:val="nil"/>
              <w:left w:val="nil"/>
              <w:bottom w:val="nil"/>
              <w:right w:val="single" w:sz="4" w:space="0" w:color="auto"/>
            </w:tcBorders>
            <w:vAlign w:val="center"/>
            <w:hideMark/>
          </w:tcPr>
          <w:p w14:paraId="0C5A9285" w14:textId="77777777" w:rsidR="00A74C68" w:rsidRPr="00471CBA" w:rsidRDefault="00A74C68" w:rsidP="00A74C68">
            <w:pPr>
              <w:jc w:val="right"/>
              <w:rPr>
                <w:color w:val="000000"/>
                <w:sz w:val="16"/>
                <w:szCs w:val="16"/>
                <w:lang w:eastAsia="tr-TR"/>
              </w:rPr>
            </w:pPr>
            <w:r w:rsidRPr="00471CBA">
              <w:rPr>
                <w:color w:val="000000"/>
                <w:sz w:val="16"/>
                <w:szCs w:val="16"/>
                <w:lang w:eastAsia="tr-TR"/>
              </w:rPr>
              <w:t>6.089</w:t>
            </w:r>
          </w:p>
        </w:tc>
        <w:tc>
          <w:tcPr>
            <w:tcW w:w="1092" w:type="dxa"/>
            <w:tcBorders>
              <w:top w:val="nil"/>
              <w:left w:val="nil"/>
              <w:bottom w:val="nil"/>
              <w:right w:val="single" w:sz="4" w:space="0" w:color="auto"/>
            </w:tcBorders>
            <w:vAlign w:val="center"/>
            <w:hideMark/>
          </w:tcPr>
          <w:p w14:paraId="09B3C010"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r>
      <w:tr w:rsidR="00A74C68" w:rsidRPr="00471CBA" w14:paraId="0985C5F5" w14:textId="77777777" w:rsidTr="00A74C68">
        <w:trPr>
          <w:divId w:val="1780682172"/>
          <w:trHeight w:val="20"/>
        </w:trPr>
        <w:tc>
          <w:tcPr>
            <w:tcW w:w="331" w:type="dxa"/>
            <w:tcBorders>
              <w:top w:val="nil"/>
              <w:left w:val="single" w:sz="4" w:space="0" w:color="auto"/>
              <w:bottom w:val="nil"/>
              <w:right w:val="single" w:sz="4" w:space="0" w:color="auto"/>
            </w:tcBorders>
            <w:noWrap/>
            <w:hideMark/>
          </w:tcPr>
          <w:p w14:paraId="429731AF" w14:textId="77777777" w:rsidR="00A74C68" w:rsidRPr="00471CBA" w:rsidRDefault="00A74C68" w:rsidP="00A74C68">
            <w:pPr>
              <w:jc w:val="center"/>
              <w:rPr>
                <w:color w:val="000000"/>
                <w:sz w:val="16"/>
                <w:szCs w:val="16"/>
                <w:lang w:eastAsia="tr-TR"/>
              </w:rPr>
            </w:pPr>
            <w:r w:rsidRPr="00471CBA">
              <w:rPr>
                <w:color w:val="000000"/>
                <w:sz w:val="16"/>
                <w:szCs w:val="16"/>
                <w:lang w:eastAsia="tr-TR"/>
              </w:rPr>
              <w:t>15</w:t>
            </w:r>
          </w:p>
        </w:tc>
        <w:tc>
          <w:tcPr>
            <w:tcW w:w="5180" w:type="dxa"/>
            <w:tcBorders>
              <w:top w:val="nil"/>
              <w:left w:val="nil"/>
              <w:bottom w:val="nil"/>
              <w:right w:val="single" w:sz="4" w:space="0" w:color="auto"/>
            </w:tcBorders>
            <w:noWrap/>
            <w:hideMark/>
          </w:tcPr>
          <w:p w14:paraId="3D59ED60" w14:textId="77777777" w:rsidR="00A74C68" w:rsidRPr="00471CBA" w:rsidRDefault="00A74C68" w:rsidP="00A74C68">
            <w:pPr>
              <w:rPr>
                <w:color w:val="000000"/>
                <w:sz w:val="16"/>
                <w:szCs w:val="16"/>
                <w:lang w:eastAsia="tr-TR"/>
              </w:rPr>
            </w:pPr>
            <w:r w:rsidRPr="00471CBA">
              <w:rPr>
                <w:color w:val="000000"/>
                <w:sz w:val="16"/>
                <w:szCs w:val="16"/>
                <w:lang w:eastAsia="tr-TR"/>
              </w:rPr>
              <w:t>Diğer cayılamaz veya şartı bağlı olarak cayılabilir bilanço dışı borçlar</w:t>
            </w:r>
          </w:p>
        </w:tc>
        <w:tc>
          <w:tcPr>
            <w:tcW w:w="1035" w:type="dxa"/>
            <w:tcBorders>
              <w:top w:val="nil"/>
              <w:left w:val="nil"/>
              <w:bottom w:val="nil"/>
              <w:right w:val="single" w:sz="4" w:space="0" w:color="auto"/>
            </w:tcBorders>
            <w:vAlign w:val="center"/>
            <w:hideMark/>
          </w:tcPr>
          <w:p w14:paraId="3DF45DCF"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c>
          <w:tcPr>
            <w:tcW w:w="896" w:type="dxa"/>
            <w:tcBorders>
              <w:top w:val="nil"/>
              <w:left w:val="nil"/>
              <w:bottom w:val="nil"/>
              <w:right w:val="single" w:sz="4" w:space="0" w:color="auto"/>
            </w:tcBorders>
            <w:vAlign w:val="center"/>
            <w:hideMark/>
          </w:tcPr>
          <w:p w14:paraId="62BF912F"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c>
          <w:tcPr>
            <w:tcW w:w="1092" w:type="dxa"/>
            <w:tcBorders>
              <w:top w:val="nil"/>
              <w:left w:val="nil"/>
              <w:bottom w:val="nil"/>
              <w:right w:val="single" w:sz="4" w:space="0" w:color="auto"/>
            </w:tcBorders>
            <w:vAlign w:val="center"/>
            <w:hideMark/>
          </w:tcPr>
          <w:p w14:paraId="6A31A0BF"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c>
          <w:tcPr>
            <w:tcW w:w="1092" w:type="dxa"/>
            <w:tcBorders>
              <w:top w:val="nil"/>
              <w:left w:val="nil"/>
              <w:bottom w:val="nil"/>
              <w:right w:val="single" w:sz="4" w:space="0" w:color="auto"/>
            </w:tcBorders>
            <w:vAlign w:val="center"/>
            <w:hideMark/>
          </w:tcPr>
          <w:p w14:paraId="0CF0B614"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r>
      <w:tr w:rsidR="00A74C68" w:rsidRPr="00471CBA" w14:paraId="08248170" w14:textId="77777777" w:rsidTr="00A74C68">
        <w:trPr>
          <w:divId w:val="1780682172"/>
          <w:trHeight w:val="20"/>
        </w:trPr>
        <w:tc>
          <w:tcPr>
            <w:tcW w:w="331" w:type="dxa"/>
            <w:tcBorders>
              <w:top w:val="single" w:sz="4" w:space="0" w:color="auto"/>
              <w:left w:val="single" w:sz="4" w:space="0" w:color="auto"/>
              <w:bottom w:val="single" w:sz="4" w:space="0" w:color="auto"/>
              <w:right w:val="single" w:sz="4" w:space="0" w:color="auto"/>
            </w:tcBorders>
            <w:noWrap/>
            <w:hideMark/>
          </w:tcPr>
          <w:p w14:paraId="6C07ED51" w14:textId="77777777" w:rsidR="00A74C68" w:rsidRPr="00471CBA" w:rsidRDefault="00A74C68" w:rsidP="00A74C68">
            <w:pPr>
              <w:jc w:val="center"/>
              <w:rPr>
                <w:b/>
                <w:bCs/>
                <w:color w:val="000000"/>
                <w:sz w:val="16"/>
                <w:szCs w:val="16"/>
                <w:lang w:eastAsia="tr-TR"/>
              </w:rPr>
            </w:pPr>
            <w:r w:rsidRPr="00471CBA">
              <w:rPr>
                <w:b/>
                <w:bCs/>
                <w:color w:val="000000"/>
                <w:sz w:val="16"/>
                <w:szCs w:val="16"/>
                <w:lang w:eastAsia="tr-TR"/>
              </w:rPr>
              <w:t>16</w:t>
            </w:r>
          </w:p>
        </w:tc>
        <w:tc>
          <w:tcPr>
            <w:tcW w:w="5180" w:type="dxa"/>
            <w:tcBorders>
              <w:top w:val="single" w:sz="4" w:space="0" w:color="auto"/>
              <w:left w:val="nil"/>
              <w:bottom w:val="single" w:sz="4" w:space="0" w:color="auto"/>
              <w:right w:val="single" w:sz="4" w:space="0" w:color="auto"/>
            </w:tcBorders>
            <w:noWrap/>
            <w:hideMark/>
          </w:tcPr>
          <w:p w14:paraId="072827CD" w14:textId="77777777" w:rsidR="00A74C68" w:rsidRPr="00471CBA" w:rsidRDefault="00A74C68" w:rsidP="00A74C68">
            <w:pPr>
              <w:rPr>
                <w:b/>
                <w:bCs/>
                <w:color w:val="000000"/>
                <w:sz w:val="16"/>
                <w:szCs w:val="16"/>
                <w:lang w:eastAsia="tr-TR"/>
              </w:rPr>
            </w:pPr>
            <w:r w:rsidRPr="00471CBA">
              <w:rPr>
                <w:b/>
                <w:bCs/>
                <w:color w:val="000000"/>
                <w:sz w:val="16"/>
                <w:szCs w:val="16"/>
                <w:lang w:eastAsia="tr-TR"/>
              </w:rPr>
              <w:t>TOPLAM NAKİT ÇIKIŞLARI</w:t>
            </w:r>
          </w:p>
        </w:tc>
        <w:tc>
          <w:tcPr>
            <w:tcW w:w="1035" w:type="dxa"/>
            <w:tcBorders>
              <w:top w:val="single" w:sz="4" w:space="0" w:color="auto"/>
              <w:left w:val="nil"/>
              <w:bottom w:val="single" w:sz="4" w:space="0" w:color="auto"/>
              <w:right w:val="single" w:sz="4" w:space="0" w:color="auto"/>
            </w:tcBorders>
            <w:shd w:val="clear" w:color="000000" w:fill="000000"/>
            <w:noWrap/>
            <w:vAlign w:val="center"/>
            <w:hideMark/>
          </w:tcPr>
          <w:p w14:paraId="2A8BA230" w14:textId="77777777" w:rsidR="00A74C68" w:rsidRPr="00471CBA" w:rsidRDefault="00A74C68" w:rsidP="00A74C68">
            <w:pPr>
              <w:jc w:val="right"/>
              <w:rPr>
                <w:b/>
                <w:bCs/>
                <w:color w:val="FFFFFF"/>
                <w:sz w:val="16"/>
                <w:szCs w:val="16"/>
                <w:lang w:eastAsia="tr-TR"/>
              </w:rPr>
            </w:pPr>
            <w:r w:rsidRPr="00471CBA">
              <w:rPr>
                <w:b/>
                <w:bCs/>
                <w:color w:val="FFFFFF"/>
                <w:sz w:val="16"/>
                <w:szCs w:val="16"/>
                <w:lang w:eastAsia="tr-TR"/>
              </w:rPr>
              <w:t> </w:t>
            </w:r>
          </w:p>
        </w:tc>
        <w:tc>
          <w:tcPr>
            <w:tcW w:w="896" w:type="dxa"/>
            <w:tcBorders>
              <w:top w:val="single" w:sz="4" w:space="0" w:color="auto"/>
              <w:left w:val="nil"/>
              <w:bottom w:val="single" w:sz="4" w:space="0" w:color="auto"/>
              <w:right w:val="single" w:sz="4" w:space="0" w:color="auto"/>
            </w:tcBorders>
            <w:shd w:val="clear" w:color="000000" w:fill="000000"/>
            <w:noWrap/>
            <w:vAlign w:val="center"/>
            <w:hideMark/>
          </w:tcPr>
          <w:p w14:paraId="49D9E68D" w14:textId="77777777" w:rsidR="00A74C68" w:rsidRPr="00471CBA" w:rsidRDefault="00A74C68" w:rsidP="00A74C68">
            <w:pPr>
              <w:jc w:val="right"/>
              <w:rPr>
                <w:b/>
                <w:bCs/>
                <w:color w:val="FFFFFF"/>
                <w:sz w:val="16"/>
                <w:szCs w:val="16"/>
                <w:lang w:eastAsia="tr-TR"/>
              </w:rPr>
            </w:pPr>
            <w:r w:rsidRPr="00471CBA">
              <w:rPr>
                <w:b/>
                <w:bCs/>
                <w:color w:val="FFFFFF"/>
                <w:sz w:val="16"/>
                <w:szCs w:val="16"/>
                <w:lang w:eastAsia="tr-TR"/>
              </w:rPr>
              <w:t> </w:t>
            </w:r>
          </w:p>
        </w:tc>
        <w:tc>
          <w:tcPr>
            <w:tcW w:w="1092" w:type="dxa"/>
            <w:tcBorders>
              <w:top w:val="single" w:sz="4" w:space="0" w:color="auto"/>
              <w:left w:val="nil"/>
              <w:bottom w:val="single" w:sz="4" w:space="0" w:color="auto"/>
              <w:right w:val="single" w:sz="4" w:space="0" w:color="auto"/>
            </w:tcBorders>
            <w:noWrap/>
            <w:vAlign w:val="center"/>
            <w:hideMark/>
          </w:tcPr>
          <w:p w14:paraId="476E8444"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27.041.625</w:t>
            </w:r>
          </w:p>
        </w:tc>
        <w:tc>
          <w:tcPr>
            <w:tcW w:w="1092" w:type="dxa"/>
            <w:tcBorders>
              <w:top w:val="single" w:sz="4" w:space="0" w:color="auto"/>
              <w:left w:val="nil"/>
              <w:bottom w:val="single" w:sz="4" w:space="0" w:color="auto"/>
              <w:right w:val="single" w:sz="4" w:space="0" w:color="auto"/>
            </w:tcBorders>
            <w:noWrap/>
            <w:vAlign w:val="center"/>
            <w:hideMark/>
          </w:tcPr>
          <w:p w14:paraId="75D504C2"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20.404.387</w:t>
            </w:r>
          </w:p>
        </w:tc>
      </w:tr>
      <w:tr w:rsidR="00A74C68" w:rsidRPr="00471CBA" w14:paraId="7796B36B" w14:textId="77777777" w:rsidTr="00A74C68">
        <w:trPr>
          <w:divId w:val="1780682172"/>
          <w:trHeight w:val="20"/>
        </w:trPr>
        <w:tc>
          <w:tcPr>
            <w:tcW w:w="331" w:type="dxa"/>
            <w:tcBorders>
              <w:top w:val="single" w:sz="4" w:space="0" w:color="auto"/>
              <w:left w:val="single" w:sz="4" w:space="0" w:color="auto"/>
              <w:bottom w:val="single" w:sz="4" w:space="0" w:color="auto"/>
              <w:right w:val="single" w:sz="4" w:space="0" w:color="auto"/>
            </w:tcBorders>
            <w:noWrap/>
            <w:hideMark/>
          </w:tcPr>
          <w:p w14:paraId="7B865C02" w14:textId="77777777" w:rsidR="00A74C68" w:rsidRPr="00471CBA" w:rsidRDefault="00A74C68" w:rsidP="00A74C68">
            <w:pPr>
              <w:rPr>
                <w:color w:val="000000"/>
                <w:sz w:val="16"/>
                <w:szCs w:val="16"/>
                <w:lang w:eastAsia="tr-TR"/>
              </w:rPr>
            </w:pPr>
            <w:r w:rsidRPr="00471CBA">
              <w:rPr>
                <w:color w:val="000000"/>
                <w:sz w:val="16"/>
                <w:szCs w:val="16"/>
                <w:lang w:eastAsia="tr-TR"/>
              </w:rPr>
              <w:t> </w:t>
            </w:r>
          </w:p>
        </w:tc>
        <w:tc>
          <w:tcPr>
            <w:tcW w:w="5180" w:type="dxa"/>
            <w:tcBorders>
              <w:top w:val="single" w:sz="4" w:space="0" w:color="auto"/>
              <w:left w:val="nil"/>
              <w:bottom w:val="single" w:sz="4" w:space="0" w:color="auto"/>
              <w:right w:val="single" w:sz="4" w:space="0" w:color="auto"/>
            </w:tcBorders>
            <w:noWrap/>
            <w:hideMark/>
          </w:tcPr>
          <w:p w14:paraId="6C84AD03" w14:textId="77777777" w:rsidR="00A74C68" w:rsidRPr="00471CBA" w:rsidRDefault="00A74C68" w:rsidP="00A74C68">
            <w:pPr>
              <w:rPr>
                <w:b/>
                <w:bCs/>
                <w:color w:val="000000"/>
                <w:sz w:val="16"/>
                <w:szCs w:val="16"/>
                <w:lang w:eastAsia="tr-TR"/>
              </w:rPr>
            </w:pPr>
            <w:r w:rsidRPr="00471CBA">
              <w:rPr>
                <w:b/>
                <w:bCs/>
                <w:color w:val="000000"/>
                <w:sz w:val="16"/>
                <w:szCs w:val="16"/>
                <w:lang w:eastAsia="tr-TR"/>
              </w:rPr>
              <w:t>NAKİT GİRİŞLERİ</w:t>
            </w:r>
          </w:p>
        </w:tc>
        <w:tc>
          <w:tcPr>
            <w:tcW w:w="1035" w:type="dxa"/>
            <w:tcBorders>
              <w:top w:val="single" w:sz="4" w:space="0" w:color="auto"/>
              <w:left w:val="nil"/>
              <w:bottom w:val="single" w:sz="4" w:space="0" w:color="auto"/>
              <w:right w:val="single" w:sz="4" w:space="0" w:color="auto"/>
            </w:tcBorders>
            <w:noWrap/>
            <w:vAlign w:val="bottom"/>
            <w:hideMark/>
          </w:tcPr>
          <w:p w14:paraId="38EE48B2" w14:textId="77777777" w:rsidR="00A74C68" w:rsidRPr="00471CBA" w:rsidRDefault="00A74C68" w:rsidP="00A74C68">
            <w:pPr>
              <w:jc w:val="right"/>
              <w:rPr>
                <w:color w:val="000000"/>
                <w:sz w:val="16"/>
                <w:szCs w:val="16"/>
                <w:lang w:eastAsia="tr-TR"/>
              </w:rPr>
            </w:pPr>
            <w:r w:rsidRPr="00471CBA">
              <w:rPr>
                <w:color w:val="000000"/>
                <w:sz w:val="16"/>
                <w:szCs w:val="16"/>
                <w:lang w:eastAsia="tr-TR"/>
              </w:rPr>
              <w:t> </w:t>
            </w:r>
          </w:p>
        </w:tc>
        <w:tc>
          <w:tcPr>
            <w:tcW w:w="896" w:type="dxa"/>
            <w:tcBorders>
              <w:top w:val="single" w:sz="4" w:space="0" w:color="auto"/>
              <w:left w:val="nil"/>
              <w:bottom w:val="single" w:sz="4" w:space="0" w:color="auto"/>
              <w:right w:val="single" w:sz="4" w:space="0" w:color="auto"/>
            </w:tcBorders>
            <w:noWrap/>
            <w:vAlign w:val="center"/>
            <w:hideMark/>
          </w:tcPr>
          <w:p w14:paraId="2867B134" w14:textId="77777777" w:rsidR="00A74C68" w:rsidRPr="00471CBA" w:rsidRDefault="00A74C68" w:rsidP="00A74C68">
            <w:pPr>
              <w:jc w:val="right"/>
              <w:rPr>
                <w:color w:val="000000"/>
                <w:sz w:val="16"/>
                <w:szCs w:val="16"/>
                <w:lang w:eastAsia="tr-TR"/>
              </w:rPr>
            </w:pPr>
            <w:r w:rsidRPr="00471CBA">
              <w:rPr>
                <w:color w:val="000000"/>
                <w:sz w:val="16"/>
                <w:szCs w:val="16"/>
                <w:lang w:eastAsia="tr-TR"/>
              </w:rPr>
              <w:t> </w:t>
            </w:r>
          </w:p>
        </w:tc>
        <w:tc>
          <w:tcPr>
            <w:tcW w:w="1092" w:type="dxa"/>
            <w:tcBorders>
              <w:top w:val="single" w:sz="4" w:space="0" w:color="auto"/>
              <w:left w:val="nil"/>
              <w:bottom w:val="single" w:sz="4" w:space="0" w:color="auto"/>
              <w:right w:val="single" w:sz="4" w:space="0" w:color="auto"/>
            </w:tcBorders>
            <w:noWrap/>
            <w:vAlign w:val="bottom"/>
            <w:hideMark/>
          </w:tcPr>
          <w:p w14:paraId="2D05D7E2" w14:textId="77777777" w:rsidR="00A74C68" w:rsidRPr="00471CBA" w:rsidRDefault="00A74C68" w:rsidP="00A74C68">
            <w:pPr>
              <w:jc w:val="right"/>
              <w:rPr>
                <w:color w:val="000000"/>
                <w:sz w:val="16"/>
                <w:szCs w:val="16"/>
                <w:lang w:eastAsia="tr-TR"/>
              </w:rPr>
            </w:pPr>
            <w:r w:rsidRPr="00471CBA">
              <w:rPr>
                <w:color w:val="000000"/>
                <w:sz w:val="16"/>
                <w:szCs w:val="16"/>
                <w:lang w:eastAsia="tr-TR"/>
              </w:rPr>
              <w:t> </w:t>
            </w:r>
          </w:p>
        </w:tc>
        <w:tc>
          <w:tcPr>
            <w:tcW w:w="1092" w:type="dxa"/>
            <w:tcBorders>
              <w:top w:val="single" w:sz="4" w:space="0" w:color="auto"/>
              <w:left w:val="nil"/>
              <w:bottom w:val="single" w:sz="4" w:space="0" w:color="auto"/>
              <w:right w:val="single" w:sz="4" w:space="0" w:color="auto"/>
            </w:tcBorders>
            <w:noWrap/>
            <w:vAlign w:val="center"/>
            <w:hideMark/>
          </w:tcPr>
          <w:p w14:paraId="5437B139" w14:textId="77777777" w:rsidR="00A74C68" w:rsidRPr="00471CBA" w:rsidRDefault="00A74C68" w:rsidP="00A74C68">
            <w:pPr>
              <w:jc w:val="right"/>
              <w:rPr>
                <w:color w:val="000000"/>
                <w:sz w:val="16"/>
                <w:szCs w:val="16"/>
                <w:lang w:eastAsia="tr-TR"/>
              </w:rPr>
            </w:pPr>
            <w:r w:rsidRPr="00471CBA">
              <w:rPr>
                <w:color w:val="000000"/>
                <w:sz w:val="16"/>
                <w:szCs w:val="16"/>
                <w:lang w:eastAsia="tr-TR"/>
              </w:rPr>
              <w:t> </w:t>
            </w:r>
          </w:p>
        </w:tc>
      </w:tr>
      <w:tr w:rsidR="00A74C68" w:rsidRPr="00471CBA" w14:paraId="02F23F86" w14:textId="77777777" w:rsidTr="00A74C68">
        <w:trPr>
          <w:divId w:val="1780682172"/>
          <w:trHeight w:val="20"/>
        </w:trPr>
        <w:tc>
          <w:tcPr>
            <w:tcW w:w="331" w:type="dxa"/>
            <w:tcBorders>
              <w:top w:val="nil"/>
              <w:left w:val="single" w:sz="4" w:space="0" w:color="auto"/>
              <w:bottom w:val="nil"/>
              <w:right w:val="single" w:sz="4" w:space="0" w:color="auto"/>
            </w:tcBorders>
            <w:noWrap/>
            <w:hideMark/>
          </w:tcPr>
          <w:p w14:paraId="6B6DF64C" w14:textId="77777777" w:rsidR="00A74C68" w:rsidRPr="00471CBA" w:rsidRDefault="00A74C68" w:rsidP="00A74C68">
            <w:pPr>
              <w:jc w:val="center"/>
              <w:rPr>
                <w:color w:val="000000"/>
                <w:sz w:val="16"/>
                <w:szCs w:val="16"/>
                <w:lang w:eastAsia="tr-TR"/>
              </w:rPr>
            </w:pPr>
            <w:r w:rsidRPr="00471CBA">
              <w:rPr>
                <w:color w:val="000000"/>
                <w:sz w:val="16"/>
                <w:szCs w:val="16"/>
                <w:lang w:eastAsia="tr-TR"/>
              </w:rPr>
              <w:t>17</w:t>
            </w:r>
          </w:p>
        </w:tc>
        <w:tc>
          <w:tcPr>
            <w:tcW w:w="5180" w:type="dxa"/>
            <w:tcBorders>
              <w:top w:val="nil"/>
              <w:left w:val="nil"/>
              <w:bottom w:val="nil"/>
              <w:right w:val="single" w:sz="4" w:space="0" w:color="auto"/>
            </w:tcBorders>
            <w:noWrap/>
            <w:hideMark/>
          </w:tcPr>
          <w:p w14:paraId="748EA722" w14:textId="77777777" w:rsidR="00A74C68" w:rsidRPr="00471CBA" w:rsidRDefault="00A74C68" w:rsidP="00A74C68">
            <w:pPr>
              <w:rPr>
                <w:color w:val="000000"/>
                <w:sz w:val="16"/>
                <w:szCs w:val="16"/>
                <w:lang w:eastAsia="tr-TR"/>
              </w:rPr>
            </w:pPr>
            <w:r w:rsidRPr="00471CBA">
              <w:rPr>
                <w:color w:val="000000"/>
                <w:sz w:val="16"/>
                <w:szCs w:val="16"/>
                <w:lang w:eastAsia="tr-TR"/>
              </w:rPr>
              <w:t>Teminatlı alacaklar</w:t>
            </w:r>
          </w:p>
        </w:tc>
        <w:tc>
          <w:tcPr>
            <w:tcW w:w="1035" w:type="dxa"/>
            <w:tcBorders>
              <w:top w:val="nil"/>
              <w:left w:val="nil"/>
              <w:bottom w:val="nil"/>
              <w:right w:val="single" w:sz="4" w:space="0" w:color="auto"/>
            </w:tcBorders>
            <w:vAlign w:val="center"/>
            <w:hideMark/>
          </w:tcPr>
          <w:p w14:paraId="1FAEC85A"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c>
          <w:tcPr>
            <w:tcW w:w="896" w:type="dxa"/>
            <w:tcBorders>
              <w:top w:val="nil"/>
              <w:left w:val="nil"/>
              <w:bottom w:val="nil"/>
              <w:right w:val="single" w:sz="4" w:space="0" w:color="auto"/>
            </w:tcBorders>
            <w:vAlign w:val="center"/>
            <w:hideMark/>
          </w:tcPr>
          <w:p w14:paraId="0F48E80F"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c>
          <w:tcPr>
            <w:tcW w:w="1092" w:type="dxa"/>
            <w:tcBorders>
              <w:top w:val="nil"/>
              <w:left w:val="nil"/>
              <w:bottom w:val="nil"/>
              <w:right w:val="single" w:sz="4" w:space="0" w:color="auto"/>
            </w:tcBorders>
            <w:vAlign w:val="center"/>
            <w:hideMark/>
          </w:tcPr>
          <w:p w14:paraId="7AFB463C"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c>
          <w:tcPr>
            <w:tcW w:w="1092" w:type="dxa"/>
            <w:tcBorders>
              <w:top w:val="nil"/>
              <w:left w:val="nil"/>
              <w:bottom w:val="nil"/>
              <w:right w:val="single" w:sz="4" w:space="0" w:color="auto"/>
            </w:tcBorders>
            <w:vAlign w:val="center"/>
            <w:hideMark/>
          </w:tcPr>
          <w:p w14:paraId="14C2743F"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r>
      <w:tr w:rsidR="00A74C68" w:rsidRPr="00471CBA" w14:paraId="4C99B198" w14:textId="77777777" w:rsidTr="00A74C68">
        <w:trPr>
          <w:divId w:val="1780682172"/>
          <w:trHeight w:val="20"/>
        </w:trPr>
        <w:tc>
          <w:tcPr>
            <w:tcW w:w="331" w:type="dxa"/>
            <w:tcBorders>
              <w:top w:val="nil"/>
              <w:left w:val="single" w:sz="4" w:space="0" w:color="auto"/>
              <w:bottom w:val="nil"/>
              <w:right w:val="single" w:sz="4" w:space="0" w:color="auto"/>
            </w:tcBorders>
            <w:noWrap/>
            <w:hideMark/>
          </w:tcPr>
          <w:p w14:paraId="227BB8B8" w14:textId="77777777" w:rsidR="00A74C68" w:rsidRPr="00471CBA" w:rsidRDefault="00A74C68" w:rsidP="00A74C68">
            <w:pPr>
              <w:jc w:val="center"/>
              <w:rPr>
                <w:color w:val="000000"/>
                <w:sz w:val="16"/>
                <w:szCs w:val="16"/>
                <w:lang w:eastAsia="tr-TR"/>
              </w:rPr>
            </w:pPr>
            <w:r w:rsidRPr="00471CBA">
              <w:rPr>
                <w:color w:val="000000"/>
                <w:sz w:val="16"/>
                <w:szCs w:val="16"/>
                <w:lang w:eastAsia="tr-TR"/>
              </w:rPr>
              <w:t>18</w:t>
            </w:r>
          </w:p>
        </w:tc>
        <w:tc>
          <w:tcPr>
            <w:tcW w:w="5180" w:type="dxa"/>
            <w:tcBorders>
              <w:top w:val="nil"/>
              <w:left w:val="nil"/>
              <w:bottom w:val="nil"/>
              <w:right w:val="single" w:sz="4" w:space="0" w:color="auto"/>
            </w:tcBorders>
            <w:noWrap/>
            <w:hideMark/>
          </w:tcPr>
          <w:p w14:paraId="7F6A37CB" w14:textId="77777777" w:rsidR="00A74C68" w:rsidRPr="00471CBA" w:rsidRDefault="00A74C68" w:rsidP="00A74C68">
            <w:pPr>
              <w:rPr>
                <w:color w:val="000000"/>
                <w:sz w:val="16"/>
                <w:szCs w:val="16"/>
                <w:lang w:eastAsia="tr-TR"/>
              </w:rPr>
            </w:pPr>
            <w:r w:rsidRPr="00471CBA">
              <w:rPr>
                <w:color w:val="000000"/>
                <w:sz w:val="16"/>
                <w:szCs w:val="16"/>
                <w:lang w:eastAsia="tr-TR"/>
              </w:rPr>
              <w:t>Teminatsız alacaklar</w:t>
            </w:r>
          </w:p>
        </w:tc>
        <w:tc>
          <w:tcPr>
            <w:tcW w:w="1035" w:type="dxa"/>
            <w:tcBorders>
              <w:top w:val="nil"/>
              <w:left w:val="nil"/>
              <w:bottom w:val="nil"/>
              <w:right w:val="single" w:sz="4" w:space="0" w:color="auto"/>
            </w:tcBorders>
            <w:vAlign w:val="center"/>
            <w:hideMark/>
          </w:tcPr>
          <w:p w14:paraId="28EB6C7F" w14:textId="77777777" w:rsidR="00A74C68" w:rsidRPr="00471CBA" w:rsidRDefault="00A74C68" w:rsidP="00A74C68">
            <w:pPr>
              <w:jc w:val="right"/>
              <w:rPr>
                <w:color w:val="000000"/>
                <w:sz w:val="16"/>
                <w:szCs w:val="16"/>
                <w:lang w:eastAsia="tr-TR"/>
              </w:rPr>
            </w:pPr>
            <w:r w:rsidRPr="00471CBA">
              <w:rPr>
                <w:color w:val="000000"/>
                <w:sz w:val="16"/>
                <w:szCs w:val="16"/>
                <w:lang w:eastAsia="tr-TR"/>
              </w:rPr>
              <w:t>13.133.705</w:t>
            </w:r>
          </w:p>
        </w:tc>
        <w:tc>
          <w:tcPr>
            <w:tcW w:w="896" w:type="dxa"/>
            <w:tcBorders>
              <w:top w:val="nil"/>
              <w:left w:val="nil"/>
              <w:bottom w:val="nil"/>
              <w:right w:val="single" w:sz="4" w:space="0" w:color="auto"/>
            </w:tcBorders>
            <w:vAlign w:val="center"/>
            <w:hideMark/>
          </w:tcPr>
          <w:p w14:paraId="6AAE0074" w14:textId="77777777" w:rsidR="00A74C68" w:rsidRPr="00471CBA" w:rsidRDefault="00A74C68" w:rsidP="00A74C68">
            <w:pPr>
              <w:jc w:val="right"/>
              <w:rPr>
                <w:color w:val="000000"/>
                <w:sz w:val="16"/>
                <w:szCs w:val="16"/>
                <w:lang w:eastAsia="tr-TR"/>
              </w:rPr>
            </w:pPr>
            <w:r w:rsidRPr="00471CBA">
              <w:rPr>
                <w:color w:val="000000"/>
                <w:sz w:val="16"/>
                <w:szCs w:val="16"/>
                <w:lang w:eastAsia="tr-TR"/>
              </w:rPr>
              <w:t>8.299.052</w:t>
            </w:r>
          </w:p>
        </w:tc>
        <w:tc>
          <w:tcPr>
            <w:tcW w:w="1092" w:type="dxa"/>
            <w:tcBorders>
              <w:top w:val="nil"/>
              <w:left w:val="nil"/>
              <w:bottom w:val="nil"/>
              <w:right w:val="single" w:sz="4" w:space="0" w:color="auto"/>
            </w:tcBorders>
            <w:vAlign w:val="center"/>
            <w:hideMark/>
          </w:tcPr>
          <w:p w14:paraId="30544473" w14:textId="77777777" w:rsidR="00A74C68" w:rsidRPr="00471CBA" w:rsidRDefault="00A74C68" w:rsidP="00A74C68">
            <w:pPr>
              <w:jc w:val="right"/>
              <w:rPr>
                <w:color w:val="000000"/>
                <w:sz w:val="16"/>
                <w:szCs w:val="16"/>
                <w:lang w:eastAsia="tr-TR"/>
              </w:rPr>
            </w:pPr>
            <w:r w:rsidRPr="00471CBA">
              <w:rPr>
                <w:color w:val="000000"/>
                <w:sz w:val="16"/>
                <w:szCs w:val="16"/>
                <w:lang w:eastAsia="tr-TR"/>
              </w:rPr>
              <w:t>10.378.064</w:t>
            </w:r>
          </w:p>
        </w:tc>
        <w:tc>
          <w:tcPr>
            <w:tcW w:w="1092" w:type="dxa"/>
            <w:tcBorders>
              <w:top w:val="nil"/>
              <w:left w:val="nil"/>
              <w:bottom w:val="nil"/>
              <w:right w:val="single" w:sz="4" w:space="0" w:color="auto"/>
            </w:tcBorders>
            <w:vAlign w:val="center"/>
            <w:hideMark/>
          </w:tcPr>
          <w:p w14:paraId="2BD2AF3E" w14:textId="77777777" w:rsidR="00A74C68" w:rsidRPr="00471CBA" w:rsidRDefault="00A74C68" w:rsidP="00A74C68">
            <w:pPr>
              <w:jc w:val="right"/>
              <w:rPr>
                <w:color w:val="000000"/>
                <w:sz w:val="16"/>
                <w:szCs w:val="16"/>
                <w:lang w:eastAsia="tr-TR"/>
              </w:rPr>
            </w:pPr>
            <w:r w:rsidRPr="00471CBA">
              <w:rPr>
                <w:color w:val="000000"/>
                <w:sz w:val="16"/>
                <w:szCs w:val="16"/>
                <w:lang w:eastAsia="tr-TR"/>
              </w:rPr>
              <w:t>7.186.961</w:t>
            </w:r>
          </w:p>
        </w:tc>
      </w:tr>
      <w:tr w:rsidR="00A74C68" w:rsidRPr="00471CBA" w14:paraId="037DA20E" w14:textId="77777777" w:rsidTr="00A74C68">
        <w:trPr>
          <w:divId w:val="1780682172"/>
          <w:trHeight w:val="20"/>
        </w:trPr>
        <w:tc>
          <w:tcPr>
            <w:tcW w:w="331" w:type="dxa"/>
            <w:tcBorders>
              <w:top w:val="nil"/>
              <w:left w:val="single" w:sz="4" w:space="0" w:color="auto"/>
              <w:bottom w:val="nil"/>
              <w:right w:val="single" w:sz="4" w:space="0" w:color="auto"/>
            </w:tcBorders>
            <w:noWrap/>
            <w:hideMark/>
          </w:tcPr>
          <w:p w14:paraId="3F3EE66A" w14:textId="77777777" w:rsidR="00A74C68" w:rsidRPr="00471CBA" w:rsidRDefault="00A74C68" w:rsidP="00A74C68">
            <w:pPr>
              <w:jc w:val="center"/>
              <w:rPr>
                <w:color w:val="000000"/>
                <w:sz w:val="16"/>
                <w:szCs w:val="16"/>
                <w:lang w:eastAsia="tr-TR"/>
              </w:rPr>
            </w:pPr>
            <w:r w:rsidRPr="00471CBA">
              <w:rPr>
                <w:color w:val="000000"/>
                <w:sz w:val="16"/>
                <w:szCs w:val="16"/>
                <w:lang w:eastAsia="tr-TR"/>
              </w:rPr>
              <w:t>19</w:t>
            </w:r>
          </w:p>
        </w:tc>
        <w:tc>
          <w:tcPr>
            <w:tcW w:w="5180" w:type="dxa"/>
            <w:tcBorders>
              <w:top w:val="nil"/>
              <w:left w:val="nil"/>
              <w:bottom w:val="nil"/>
              <w:right w:val="single" w:sz="4" w:space="0" w:color="auto"/>
            </w:tcBorders>
            <w:noWrap/>
            <w:hideMark/>
          </w:tcPr>
          <w:p w14:paraId="6B1A544F" w14:textId="77777777" w:rsidR="00A74C68" w:rsidRPr="00471CBA" w:rsidRDefault="00A74C68" w:rsidP="00A74C68">
            <w:pPr>
              <w:rPr>
                <w:color w:val="000000"/>
                <w:sz w:val="16"/>
                <w:szCs w:val="16"/>
                <w:lang w:eastAsia="tr-TR"/>
              </w:rPr>
            </w:pPr>
            <w:r w:rsidRPr="00471CBA">
              <w:rPr>
                <w:color w:val="000000"/>
                <w:sz w:val="16"/>
                <w:szCs w:val="16"/>
                <w:lang w:eastAsia="tr-TR"/>
              </w:rPr>
              <w:t>Diğer nakit girişleri</w:t>
            </w:r>
          </w:p>
        </w:tc>
        <w:tc>
          <w:tcPr>
            <w:tcW w:w="1035" w:type="dxa"/>
            <w:tcBorders>
              <w:top w:val="nil"/>
              <w:left w:val="nil"/>
              <w:bottom w:val="nil"/>
              <w:right w:val="single" w:sz="4" w:space="0" w:color="auto"/>
            </w:tcBorders>
            <w:vAlign w:val="center"/>
            <w:hideMark/>
          </w:tcPr>
          <w:p w14:paraId="6C2158CD" w14:textId="77777777" w:rsidR="00A74C68" w:rsidRPr="00471CBA" w:rsidRDefault="00A74C68" w:rsidP="00A74C68">
            <w:pPr>
              <w:jc w:val="right"/>
              <w:rPr>
                <w:color w:val="000000"/>
                <w:sz w:val="16"/>
                <w:szCs w:val="16"/>
                <w:lang w:eastAsia="tr-TR"/>
              </w:rPr>
            </w:pPr>
            <w:r w:rsidRPr="00471CBA">
              <w:rPr>
                <w:color w:val="000000"/>
                <w:sz w:val="16"/>
                <w:szCs w:val="16"/>
                <w:lang w:eastAsia="tr-TR"/>
              </w:rPr>
              <w:t>1.632.506</w:t>
            </w:r>
          </w:p>
        </w:tc>
        <w:tc>
          <w:tcPr>
            <w:tcW w:w="896" w:type="dxa"/>
            <w:tcBorders>
              <w:top w:val="nil"/>
              <w:left w:val="nil"/>
              <w:bottom w:val="nil"/>
              <w:right w:val="single" w:sz="4" w:space="0" w:color="auto"/>
            </w:tcBorders>
            <w:vAlign w:val="center"/>
            <w:hideMark/>
          </w:tcPr>
          <w:p w14:paraId="5658A549" w14:textId="77777777" w:rsidR="00A74C68" w:rsidRPr="00471CBA" w:rsidRDefault="00A74C68" w:rsidP="00A74C68">
            <w:pPr>
              <w:jc w:val="right"/>
              <w:rPr>
                <w:color w:val="000000"/>
                <w:sz w:val="16"/>
                <w:szCs w:val="16"/>
                <w:lang w:eastAsia="tr-TR"/>
              </w:rPr>
            </w:pPr>
            <w:r w:rsidRPr="00471CBA">
              <w:rPr>
                <w:color w:val="000000"/>
                <w:sz w:val="16"/>
                <w:szCs w:val="16"/>
                <w:lang w:eastAsia="tr-TR"/>
              </w:rPr>
              <w:t>1.612.888</w:t>
            </w:r>
          </w:p>
        </w:tc>
        <w:tc>
          <w:tcPr>
            <w:tcW w:w="1092" w:type="dxa"/>
            <w:tcBorders>
              <w:top w:val="nil"/>
              <w:left w:val="nil"/>
              <w:bottom w:val="nil"/>
              <w:right w:val="single" w:sz="4" w:space="0" w:color="auto"/>
            </w:tcBorders>
            <w:vAlign w:val="center"/>
            <w:hideMark/>
          </w:tcPr>
          <w:p w14:paraId="21C9C241" w14:textId="77777777" w:rsidR="00A74C68" w:rsidRPr="00471CBA" w:rsidRDefault="00A74C68" w:rsidP="00A74C68">
            <w:pPr>
              <w:jc w:val="right"/>
              <w:rPr>
                <w:color w:val="000000"/>
                <w:sz w:val="16"/>
                <w:szCs w:val="16"/>
                <w:lang w:eastAsia="tr-TR"/>
              </w:rPr>
            </w:pPr>
            <w:r w:rsidRPr="00471CBA">
              <w:rPr>
                <w:color w:val="000000"/>
                <w:sz w:val="16"/>
                <w:szCs w:val="16"/>
                <w:lang w:eastAsia="tr-TR"/>
              </w:rPr>
              <w:t>1.632.506</w:t>
            </w:r>
          </w:p>
        </w:tc>
        <w:tc>
          <w:tcPr>
            <w:tcW w:w="1092" w:type="dxa"/>
            <w:tcBorders>
              <w:top w:val="nil"/>
              <w:left w:val="nil"/>
              <w:bottom w:val="nil"/>
              <w:right w:val="single" w:sz="4" w:space="0" w:color="auto"/>
            </w:tcBorders>
            <w:vAlign w:val="center"/>
            <w:hideMark/>
          </w:tcPr>
          <w:p w14:paraId="542DFE32" w14:textId="77777777" w:rsidR="00A74C68" w:rsidRPr="00471CBA" w:rsidRDefault="00A74C68" w:rsidP="00A74C68">
            <w:pPr>
              <w:jc w:val="right"/>
              <w:rPr>
                <w:color w:val="000000"/>
                <w:sz w:val="16"/>
                <w:szCs w:val="16"/>
                <w:lang w:eastAsia="tr-TR"/>
              </w:rPr>
            </w:pPr>
            <w:r w:rsidRPr="00471CBA">
              <w:rPr>
                <w:color w:val="000000"/>
                <w:sz w:val="16"/>
                <w:szCs w:val="16"/>
                <w:lang w:eastAsia="tr-TR"/>
              </w:rPr>
              <w:t>1.612.888</w:t>
            </w:r>
          </w:p>
        </w:tc>
      </w:tr>
      <w:tr w:rsidR="00A74C68" w:rsidRPr="00471CBA" w14:paraId="6C678CBD" w14:textId="77777777" w:rsidTr="00A74C68">
        <w:trPr>
          <w:divId w:val="1780682172"/>
          <w:trHeight w:val="20"/>
        </w:trPr>
        <w:tc>
          <w:tcPr>
            <w:tcW w:w="331" w:type="dxa"/>
            <w:tcBorders>
              <w:top w:val="single" w:sz="4" w:space="0" w:color="auto"/>
              <w:left w:val="single" w:sz="4" w:space="0" w:color="auto"/>
              <w:bottom w:val="single" w:sz="4" w:space="0" w:color="auto"/>
              <w:right w:val="single" w:sz="4" w:space="0" w:color="auto"/>
            </w:tcBorders>
            <w:noWrap/>
            <w:hideMark/>
          </w:tcPr>
          <w:p w14:paraId="05BE970E" w14:textId="77777777" w:rsidR="00A74C68" w:rsidRPr="00471CBA" w:rsidRDefault="00A74C68" w:rsidP="00A74C68">
            <w:pPr>
              <w:jc w:val="center"/>
              <w:rPr>
                <w:b/>
                <w:bCs/>
                <w:color w:val="000000"/>
                <w:sz w:val="16"/>
                <w:szCs w:val="16"/>
                <w:lang w:eastAsia="tr-TR"/>
              </w:rPr>
            </w:pPr>
            <w:r w:rsidRPr="00471CBA">
              <w:rPr>
                <w:b/>
                <w:bCs/>
                <w:color w:val="000000"/>
                <w:sz w:val="16"/>
                <w:szCs w:val="16"/>
                <w:lang w:eastAsia="tr-TR"/>
              </w:rPr>
              <w:t>20</w:t>
            </w:r>
          </w:p>
        </w:tc>
        <w:tc>
          <w:tcPr>
            <w:tcW w:w="5180" w:type="dxa"/>
            <w:tcBorders>
              <w:top w:val="single" w:sz="4" w:space="0" w:color="auto"/>
              <w:left w:val="nil"/>
              <w:bottom w:val="single" w:sz="4" w:space="0" w:color="auto"/>
              <w:right w:val="single" w:sz="4" w:space="0" w:color="auto"/>
            </w:tcBorders>
            <w:noWrap/>
            <w:hideMark/>
          </w:tcPr>
          <w:p w14:paraId="7BB5AEC0" w14:textId="77777777" w:rsidR="00A74C68" w:rsidRPr="00471CBA" w:rsidRDefault="00A74C68" w:rsidP="00A74C68">
            <w:pPr>
              <w:rPr>
                <w:b/>
                <w:bCs/>
                <w:color w:val="000000"/>
                <w:sz w:val="16"/>
                <w:szCs w:val="16"/>
                <w:lang w:eastAsia="tr-TR"/>
              </w:rPr>
            </w:pPr>
            <w:r w:rsidRPr="00471CBA">
              <w:rPr>
                <w:b/>
                <w:bCs/>
                <w:color w:val="000000"/>
                <w:sz w:val="16"/>
                <w:szCs w:val="16"/>
                <w:lang w:eastAsia="tr-TR"/>
              </w:rPr>
              <w:t>TOPLAM NAKİT GİRİŞLERİ</w:t>
            </w:r>
          </w:p>
        </w:tc>
        <w:tc>
          <w:tcPr>
            <w:tcW w:w="1035" w:type="dxa"/>
            <w:tcBorders>
              <w:top w:val="single" w:sz="4" w:space="0" w:color="auto"/>
              <w:left w:val="nil"/>
              <w:bottom w:val="single" w:sz="4" w:space="0" w:color="auto"/>
              <w:right w:val="single" w:sz="4" w:space="0" w:color="auto"/>
            </w:tcBorders>
            <w:vAlign w:val="center"/>
            <w:hideMark/>
          </w:tcPr>
          <w:p w14:paraId="03FE0493" w14:textId="77777777" w:rsidR="00A74C68" w:rsidRPr="00471CBA" w:rsidRDefault="00A74C68" w:rsidP="00A74C68">
            <w:pPr>
              <w:jc w:val="right"/>
              <w:rPr>
                <w:color w:val="000000"/>
                <w:sz w:val="16"/>
                <w:szCs w:val="16"/>
                <w:lang w:eastAsia="tr-TR"/>
              </w:rPr>
            </w:pPr>
            <w:r w:rsidRPr="00471CBA">
              <w:rPr>
                <w:color w:val="000000"/>
                <w:sz w:val="16"/>
                <w:szCs w:val="16"/>
                <w:lang w:eastAsia="tr-TR"/>
              </w:rPr>
              <w:t>14.766.211</w:t>
            </w:r>
          </w:p>
        </w:tc>
        <w:tc>
          <w:tcPr>
            <w:tcW w:w="896" w:type="dxa"/>
            <w:tcBorders>
              <w:top w:val="single" w:sz="4" w:space="0" w:color="auto"/>
              <w:left w:val="nil"/>
              <w:bottom w:val="single" w:sz="4" w:space="0" w:color="auto"/>
              <w:right w:val="single" w:sz="4" w:space="0" w:color="auto"/>
            </w:tcBorders>
            <w:vAlign w:val="center"/>
            <w:hideMark/>
          </w:tcPr>
          <w:p w14:paraId="43022297" w14:textId="77777777" w:rsidR="00A74C68" w:rsidRPr="00471CBA" w:rsidRDefault="00A74C68" w:rsidP="00A74C68">
            <w:pPr>
              <w:jc w:val="right"/>
              <w:rPr>
                <w:color w:val="000000"/>
                <w:sz w:val="16"/>
                <w:szCs w:val="16"/>
                <w:lang w:eastAsia="tr-TR"/>
              </w:rPr>
            </w:pPr>
            <w:r w:rsidRPr="00471CBA">
              <w:rPr>
                <w:color w:val="000000"/>
                <w:sz w:val="16"/>
                <w:szCs w:val="16"/>
                <w:lang w:eastAsia="tr-TR"/>
              </w:rPr>
              <w:t>9.911.940</w:t>
            </w:r>
          </w:p>
        </w:tc>
        <w:tc>
          <w:tcPr>
            <w:tcW w:w="1092" w:type="dxa"/>
            <w:tcBorders>
              <w:top w:val="single" w:sz="4" w:space="0" w:color="auto"/>
              <w:left w:val="nil"/>
              <w:bottom w:val="single" w:sz="4" w:space="0" w:color="auto"/>
              <w:right w:val="single" w:sz="4" w:space="0" w:color="auto"/>
            </w:tcBorders>
            <w:vAlign w:val="center"/>
            <w:hideMark/>
          </w:tcPr>
          <w:p w14:paraId="43F5D49F" w14:textId="77777777" w:rsidR="00A74C68" w:rsidRPr="00471CBA" w:rsidRDefault="00A74C68" w:rsidP="00A74C68">
            <w:pPr>
              <w:jc w:val="right"/>
              <w:rPr>
                <w:color w:val="000000"/>
                <w:sz w:val="16"/>
                <w:szCs w:val="16"/>
                <w:lang w:eastAsia="tr-TR"/>
              </w:rPr>
            </w:pPr>
            <w:r w:rsidRPr="00471CBA">
              <w:rPr>
                <w:color w:val="000000"/>
                <w:sz w:val="16"/>
                <w:szCs w:val="16"/>
                <w:lang w:eastAsia="tr-TR"/>
              </w:rPr>
              <w:t>12.010.570</w:t>
            </w:r>
          </w:p>
        </w:tc>
        <w:tc>
          <w:tcPr>
            <w:tcW w:w="1092" w:type="dxa"/>
            <w:tcBorders>
              <w:top w:val="single" w:sz="4" w:space="0" w:color="auto"/>
              <w:left w:val="nil"/>
              <w:bottom w:val="single" w:sz="4" w:space="0" w:color="auto"/>
              <w:right w:val="single" w:sz="4" w:space="0" w:color="auto"/>
            </w:tcBorders>
            <w:vAlign w:val="center"/>
            <w:hideMark/>
          </w:tcPr>
          <w:p w14:paraId="48EAA277" w14:textId="77777777" w:rsidR="00A74C68" w:rsidRPr="00471CBA" w:rsidRDefault="00A74C68" w:rsidP="00A74C68">
            <w:pPr>
              <w:jc w:val="right"/>
              <w:rPr>
                <w:color w:val="000000"/>
                <w:sz w:val="16"/>
                <w:szCs w:val="16"/>
                <w:lang w:eastAsia="tr-TR"/>
              </w:rPr>
            </w:pPr>
            <w:r w:rsidRPr="00471CBA">
              <w:rPr>
                <w:color w:val="000000"/>
                <w:sz w:val="16"/>
                <w:szCs w:val="16"/>
                <w:lang w:eastAsia="tr-TR"/>
              </w:rPr>
              <w:t>8.799.849</w:t>
            </w:r>
          </w:p>
        </w:tc>
      </w:tr>
      <w:tr w:rsidR="00A74C68" w:rsidRPr="00471CBA" w14:paraId="0541A9F2" w14:textId="77777777" w:rsidTr="00A74C68">
        <w:trPr>
          <w:divId w:val="1780682172"/>
          <w:trHeight w:val="20"/>
        </w:trPr>
        <w:tc>
          <w:tcPr>
            <w:tcW w:w="331" w:type="dxa"/>
            <w:tcBorders>
              <w:top w:val="single" w:sz="4" w:space="0" w:color="auto"/>
              <w:left w:val="single" w:sz="4" w:space="0" w:color="auto"/>
              <w:bottom w:val="single" w:sz="4" w:space="0" w:color="auto"/>
              <w:right w:val="single" w:sz="4" w:space="0" w:color="auto"/>
            </w:tcBorders>
            <w:noWrap/>
            <w:hideMark/>
          </w:tcPr>
          <w:p w14:paraId="5B8F22DF" w14:textId="77777777" w:rsidR="00A74C68" w:rsidRPr="00471CBA" w:rsidRDefault="00A74C68" w:rsidP="00A74C68">
            <w:pPr>
              <w:rPr>
                <w:color w:val="000000"/>
                <w:sz w:val="16"/>
                <w:szCs w:val="16"/>
                <w:lang w:eastAsia="tr-TR"/>
              </w:rPr>
            </w:pPr>
            <w:r w:rsidRPr="00471CBA">
              <w:rPr>
                <w:color w:val="000000"/>
                <w:sz w:val="16"/>
                <w:szCs w:val="16"/>
                <w:lang w:eastAsia="tr-TR"/>
              </w:rPr>
              <w:t> </w:t>
            </w:r>
          </w:p>
        </w:tc>
        <w:tc>
          <w:tcPr>
            <w:tcW w:w="5180" w:type="dxa"/>
            <w:tcBorders>
              <w:top w:val="single" w:sz="4" w:space="0" w:color="auto"/>
              <w:left w:val="nil"/>
              <w:bottom w:val="single" w:sz="4" w:space="0" w:color="auto"/>
              <w:right w:val="single" w:sz="4" w:space="0" w:color="auto"/>
            </w:tcBorders>
            <w:noWrap/>
            <w:hideMark/>
          </w:tcPr>
          <w:p w14:paraId="1D39BABA" w14:textId="77777777" w:rsidR="00A74C68" w:rsidRPr="00471CBA" w:rsidRDefault="00A74C68" w:rsidP="00A74C68">
            <w:pPr>
              <w:rPr>
                <w:color w:val="000000"/>
                <w:sz w:val="16"/>
                <w:szCs w:val="16"/>
                <w:lang w:eastAsia="tr-TR"/>
              </w:rPr>
            </w:pPr>
            <w:r w:rsidRPr="00471CBA">
              <w:rPr>
                <w:color w:val="000000"/>
                <w:sz w:val="16"/>
                <w:szCs w:val="16"/>
                <w:lang w:eastAsia="tr-TR"/>
              </w:rPr>
              <w:t> </w:t>
            </w:r>
          </w:p>
        </w:tc>
        <w:tc>
          <w:tcPr>
            <w:tcW w:w="1035" w:type="dxa"/>
            <w:tcBorders>
              <w:top w:val="single" w:sz="4" w:space="0" w:color="auto"/>
              <w:left w:val="nil"/>
              <w:bottom w:val="single" w:sz="4" w:space="0" w:color="auto"/>
              <w:right w:val="single" w:sz="4" w:space="0" w:color="auto"/>
            </w:tcBorders>
            <w:noWrap/>
            <w:vAlign w:val="center"/>
            <w:hideMark/>
          </w:tcPr>
          <w:p w14:paraId="4ABD32C2" w14:textId="77777777" w:rsidR="00A74C68" w:rsidRPr="00471CBA" w:rsidRDefault="00A74C68" w:rsidP="00A74C68">
            <w:pPr>
              <w:jc w:val="right"/>
              <w:rPr>
                <w:color w:val="000000"/>
                <w:sz w:val="16"/>
                <w:szCs w:val="16"/>
                <w:lang w:eastAsia="tr-TR"/>
              </w:rPr>
            </w:pPr>
            <w:r w:rsidRPr="00471CBA">
              <w:rPr>
                <w:color w:val="000000"/>
                <w:sz w:val="16"/>
                <w:szCs w:val="16"/>
                <w:lang w:eastAsia="tr-TR"/>
              </w:rPr>
              <w:t> </w:t>
            </w:r>
          </w:p>
        </w:tc>
        <w:tc>
          <w:tcPr>
            <w:tcW w:w="896" w:type="dxa"/>
            <w:tcBorders>
              <w:top w:val="single" w:sz="4" w:space="0" w:color="auto"/>
              <w:left w:val="nil"/>
              <w:bottom w:val="single" w:sz="4" w:space="0" w:color="auto"/>
              <w:right w:val="single" w:sz="4" w:space="0" w:color="auto"/>
            </w:tcBorders>
            <w:noWrap/>
            <w:vAlign w:val="center"/>
            <w:hideMark/>
          </w:tcPr>
          <w:p w14:paraId="5751175D"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 </w:t>
            </w:r>
          </w:p>
        </w:tc>
        <w:tc>
          <w:tcPr>
            <w:tcW w:w="2184" w:type="dxa"/>
            <w:gridSpan w:val="2"/>
            <w:tcBorders>
              <w:top w:val="single" w:sz="4" w:space="0" w:color="auto"/>
              <w:left w:val="nil"/>
              <w:bottom w:val="single" w:sz="4" w:space="0" w:color="auto"/>
              <w:right w:val="single" w:sz="4" w:space="0" w:color="auto"/>
            </w:tcBorders>
            <w:noWrap/>
            <w:vAlign w:val="center"/>
            <w:hideMark/>
          </w:tcPr>
          <w:p w14:paraId="5CFA3149" w14:textId="77777777" w:rsidR="00A74C68" w:rsidRPr="00471CBA" w:rsidRDefault="00A74C68" w:rsidP="00A74C68">
            <w:pPr>
              <w:jc w:val="center"/>
              <w:rPr>
                <w:b/>
                <w:bCs/>
                <w:color w:val="000000"/>
                <w:sz w:val="16"/>
                <w:szCs w:val="16"/>
                <w:lang w:eastAsia="tr-TR"/>
              </w:rPr>
            </w:pPr>
            <w:r w:rsidRPr="00471CBA">
              <w:rPr>
                <w:b/>
                <w:bCs/>
                <w:color w:val="000000"/>
                <w:sz w:val="16"/>
                <w:szCs w:val="16"/>
                <w:lang w:eastAsia="tr-TR"/>
              </w:rPr>
              <w:t>Üst Sınır Uygulanmış değerler</w:t>
            </w:r>
          </w:p>
        </w:tc>
      </w:tr>
      <w:tr w:rsidR="00A74C68" w:rsidRPr="00471CBA" w14:paraId="157FCAA6" w14:textId="77777777" w:rsidTr="00A74C68">
        <w:trPr>
          <w:divId w:val="1780682172"/>
          <w:trHeight w:val="20"/>
        </w:trPr>
        <w:tc>
          <w:tcPr>
            <w:tcW w:w="331" w:type="dxa"/>
            <w:tcBorders>
              <w:top w:val="single" w:sz="4" w:space="0" w:color="auto"/>
              <w:left w:val="single" w:sz="4" w:space="0" w:color="auto"/>
              <w:bottom w:val="single" w:sz="4" w:space="0" w:color="auto"/>
              <w:right w:val="single" w:sz="4" w:space="0" w:color="auto"/>
            </w:tcBorders>
            <w:noWrap/>
            <w:hideMark/>
          </w:tcPr>
          <w:p w14:paraId="43215605" w14:textId="77777777" w:rsidR="00A74C68" w:rsidRPr="00471CBA" w:rsidRDefault="00A74C68" w:rsidP="00A74C68">
            <w:pPr>
              <w:jc w:val="center"/>
              <w:rPr>
                <w:b/>
                <w:bCs/>
                <w:color w:val="000000"/>
                <w:sz w:val="16"/>
                <w:szCs w:val="16"/>
                <w:lang w:eastAsia="tr-TR"/>
              </w:rPr>
            </w:pPr>
            <w:r w:rsidRPr="00471CBA">
              <w:rPr>
                <w:b/>
                <w:bCs/>
                <w:color w:val="000000"/>
                <w:sz w:val="16"/>
                <w:szCs w:val="16"/>
                <w:lang w:eastAsia="tr-TR"/>
              </w:rPr>
              <w:t>21</w:t>
            </w:r>
          </w:p>
        </w:tc>
        <w:tc>
          <w:tcPr>
            <w:tcW w:w="5180" w:type="dxa"/>
            <w:tcBorders>
              <w:top w:val="single" w:sz="4" w:space="0" w:color="auto"/>
              <w:left w:val="nil"/>
              <w:bottom w:val="single" w:sz="4" w:space="0" w:color="auto"/>
              <w:right w:val="single" w:sz="4" w:space="0" w:color="auto"/>
            </w:tcBorders>
            <w:noWrap/>
            <w:hideMark/>
          </w:tcPr>
          <w:p w14:paraId="70EDE4FD" w14:textId="77777777" w:rsidR="00A74C68" w:rsidRPr="00471CBA" w:rsidRDefault="00A74C68" w:rsidP="00A74C68">
            <w:pPr>
              <w:rPr>
                <w:b/>
                <w:bCs/>
                <w:color w:val="000000"/>
                <w:sz w:val="16"/>
                <w:szCs w:val="16"/>
                <w:lang w:eastAsia="tr-TR"/>
              </w:rPr>
            </w:pPr>
            <w:r w:rsidRPr="00471CBA">
              <w:rPr>
                <w:b/>
                <w:bCs/>
                <w:color w:val="000000"/>
                <w:sz w:val="16"/>
                <w:szCs w:val="16"/>
                <w:lang w:eastAsia="tr-TR"/>
              </w:rPr>
              <w:t>TOPLAM YKLV STOKU</w:t>
            </w:r>
          </w:p>
        </w:tc>
        <w:tc>
          <w:tcPr>
            <w:tcW w:w="1035" w:type="dxa"/>
            <w:tcBorders>
              <w:top w:val="single" w:sz="4" w:space="0" w:color="auto"/>
              <w:left w:val="nil"/>
              <w:bottom w:val="single" w:sz="4" w:space="0" w:color="auto"/>
              <w:right w:val="single" w:sz="4" w:space="0" w:color="auto"/>
            </w:tcBorders>
            <w:shd w:val="clear" w:color="000000" w:fill="000000"/>
            <w:noWrap/>
            <w:vAlign w:val="center"/>
            <w:hideMark/>
          </w:tcPr>
          <w:p w14:paraId="7176C2AE" w14:textId="77777777" w:rsidR="00A74C68" w:rsidRPr="00471CBA" w:rsidRDefault="00A74C68" w:rsidP="00A74C68">
            <w:pPr>
              <w:jc w:val="right"/>
              <w:rPr>
                <w:b/>
                <w:bCs/>
                <w:color w:val="FFFFFF"/>
                <w:sz w:val="16"/>
                <w:szCs w:val="16"/>
                <w:lang w:eastAsia="tr-TR"/>
              </w:rPr>
            </w:pPr>
            <w:r w:rsidRPr="00471CBA">
              <w:rPr>
                <w:b/>
                <w:bCs/>
                <w:color w:val="FFFFFF"/>
                <w:sz w:val="16"/>
                <w:szCs w:val="16"/>
                <w:lang w:eastAsia="tr-TR"/>
              </w:rPr>
              <w:t> </w:t>
            </w:r>
          </w:p>
        </w:tc>
        <w:tc>
          <w:tcPr>
            <w:tcW w:w="896" w:type="dxa"/>
            <w:tcBorders>
              <w:top w:val="single" w:sz="4" w:space="0" w:color="auto"/>
              <w:left w:val="nil"/>
              <w:bottom w:val="single" w:sz="4" w:space="0" w:color="auto"/>
              <w:right w:val="single" w:sz="4" w:space="0" w:color="auto"/>
            </w:tcBorders>
            <w:shd w:val="clear" w:color="000000" w:fill="000000"/>
            <w:noWrap/>
            <w:vAlign w:val="center"/>
            <w:hideMark/>
          </w:tcPr>
          <w:p w14:paraId="74178851" w14:textId="77777777" w:rsidR="00A74C68" w:rsidRPr="00471CBA" w:rsidRDefault="00A74C68" w:rsidP="00A74C68">
            <w:pPr>
              <w:jc w:val="right"/>
              <w:rPr>
                <w:b/>
                <w:bCs/>
                <w:color w:val="FFFFFF"/>
                <w:sz w:val="16"/>
                <w:szCs w:val="16"/>
                <w:lang w:eastAsia="tr-TR"/>
              </w:rPr>
            </w:pPr>
            <w:r w:rsidRPr="00471CBA">
              <w:rPr>
                <w:b/>
                <w:bCs/>
                <w:color w:val="FFFFFF"/>
                <w:sz w:val="16"/>
                <w:szCs w:val="16"/>
                <w:lang w:eastAsia="tr-TR"/>
              </w:rPr>
              <w:t> </w:t>
            </w:r>
          </w:p>
        </w:tc>
        <w:tc>
          <w:tcPr>
            <w:tcW w:w="1092" w:type="dxa"/>
            <w:tcBorders>
              <w:top w:val="single" w:sz="4" w:space="0" w:color="auto"/>
              <w:left w:val="nil"/>
              <w:bottom w:val="single" w:sz="4" w:space="0" w:color="auto"/>
              <w:right w:val="single" w:sz="4" w:space="0" w:color="auto"/>
            </w:tcBorders>
            <w:vAlign w:val="center"/>
            <w:hideMark/>
          </w:tcPr>
          <w:p w14:paraId="45D5760C" w14:textId="77777777" w:rsidR="00A74C68" w:rsidRPr="00471CBA" w:rsidRDefault="00A74C68" w:rsidP="00A74C68">
            <w:pPr>
              <w:jc w:val="right"/>
              <w:rPr>
                <w:color w:val="000000"/>
                <w:sz w:val="16"/>
                <w:szCs w:val="16"/>
                <w:lang w:eastAsia="tr-TR"/>
              </w:rPr>
            </w:pPr>
            <w:r w:rsidRPr="00471CBA">
              <w:rPr>
                <w:color w:val="000000"/>
                <w:sz w:val="16"/>
                <w:szCs w:val="16"/>
                <w:lang w:eastAsia="tr-TR"/>
              </w:rPr>
              <w:t>19.700.474</w:t>
            </w:r>
          </w:p>
        </w:tc>
        <w:tc>
          <w:tcPr>
            <w:tcW w:w="1092" w:type="dxa"/>
            <w:tcBorders>
              <w:top w:val="single" w:sz="4" w:space="0" w:color="auto"/>
              <w:left w:val="nil"/>
              <w:bottom w:val="single" w:sz="4" w:space="0" w:color="auto"/>
              <w:right w:val="single" w:sz="4" w:space="0" w:color="auto"/>
            </w:tcBorders>
            <w:vAlign w:val="center"/>
            <w:hideMark/>
          </w:tcPr>
          <w:p w14:paraId="291E967C" w14:textId="77777777" w:rsidR="00A74C68" w:rsidRPr="00471CBA" w:rsidRDefault="00A74C68" w:rsidP="00A74C68">
            <w:pPr>
              <w:jc w:val="right"/>
              <w:rPr>
                <w:color w:val="000000"/>
                <w:sz w:val="16"/>
                <w:szCs w:val="16"/>
                <w:lang w:eastAsia="tr-TR"/>
              </w:rPr>
            </w:pPr>
            <w:r w:rsidRPr="00471CBA">
              <w:rPr>
                <w:color w:val="000000"/>
                <w:sz w:val="16"/>
                <w:szCs w:val="16"/>
                <w:lang w:eastAsia="tr-TR"/>
              </w:rPr>
              <w:t>14.706.443</w:t>
            </w:r>
          </w:p>
        </w:tc>
      </w:tr>
      <w:tr w:rsidR="00A74C68" w:rsidRPr="00471CBA" w14:paraId="6859475F" w14:textId="77777777" w:rsidTr="00A74C68">
        <w:trPr>
          <w:divId w:val="1780682172"/>
          <w:trHeight w:val="20"/>
        </w:trPr>
        <w:tc>
          <w:tcPr>
            <w:tcW w:w="331" w:type="dxa"/>
            <w:tcBorders>
              <w:top w:val="single" w:sz="4" w:space="0" w:color="auto"/>
              <w:left w:val="single" w:sz="4" w:space="0" w:color="auto"/>
              <w:bottom w:val="single" w:sz="4" w:space="0" w:color="auto"/>
              <w:right w:val="single" w:sz="4" w:space="0" w:color="auto"/>
            </w:tcBorders>
            <w:noWrap/>
            <w:hideMark/>
          </w:tcPr>
          <w:p w14:paraId="628DED3D" w14:textId="77777777" w:rsidR="00A74C68" w:rsidRPr="00471CBA" w:rsidRDefault="00A74C68" w:rsidP="00A74C68">
            <w:pPr>
              <w:jc w:val="center"/>
              <w:rPr>
                <w:b/>
                <w:bCs/>
                <w:color w:val="000000"/>
                <w:sz w:val="16"/>
                <w:szCs w:val="16"/>
                <w:lang w:eastAsia="tr-TR"/>
              </w:rPr>
            </w:pPr>
            <w:r w:rsidRPr="00471CBA">
              <w:rPr>
                <w:b/>
                <w:bCs/>
                <w:color w:val="000000"/>
                <w:sz w:val="16"/>
                <w:szCs w:val="16"/>
                <w:lang w:eastAsia="tr-TR"/>
              </w:rPr>
              <w:t>22</w:t>
            </w:r>
          </w:p>
        </w:tc>
        <w:tc>
          <w:tcPr>
            <w:tcW w:w="5180" w:type="dxa"/>
            <w:tcBorders>
              <w:top w:val="single" w:sz="4" w:space="0" w:color="auto"/>
              <w:left w:val="nil"/>
              <w:bottom w:val="single" w:sz="4" w:space="0" w:color="auto"/>
              <w:right w:val="single" w:sz="4" w:space="0" w:color="auto"/>
            </w:tcBorders>
            <w:noWrap/>
            <w:hideMark/>
          </w:tcPr>
          <w:p w14:paraId="79D31A11" w14:textId="77777777" w:rsidR="00A74C68" w:rsidRPr="00471CBA" w:rsidRDefault="00A74C68" w:rsidP="00A74C68">
            <w:pPr>
              <w:rPr>
                <w:b/>
                <w:bCs/>
                <w:color w:val="000000"/>
                <w:sz w:val="16"/>
                <w:szCs w:val="16"/>
                <w:lang w:eastAsia="tr-TR"/>
              </w:rPr>
            </w:pPr>
            <w:r w:rsidRPr="00471CBA">
              <w:rPr>
                <w:b/>
                <w:bCs/>
                <w:color w:val="000000"/>
                <w:sz w:val="16"/>
                <w:szCs w:val="16"/>
                <w:lang w:eastAsia="tr-TR"/>
              </w:rPr>
              <w:t>TOPLAM NET NAKİT ÇIKIŞLARI</w:t>
            </w:r>
          </w:p>
        </w:tc>
        <w:tc>
          <w:tcPr>
            <w:tcW w:w="1035" w:type="dxa"/>
            <w:tcBorders>
              <w:top w:val="single" w:sz="4" w:space="0" w:color="auto"/>
              <w:left w:val="nil"/>
              <w:bottom w:val="single" w:sz="4" w:space="0" w:color="auto"/>
              <w:right w:val="single" w:sz="4" w:space="0" w:color="auto"/>
            </w:tcBorders>
            <w:shd w:val="clear" w:color="000000" w:fill="000000"/>
            <w:noWrap/>
            <w:vAlign w:val="center"/>
            <w:hideMark/>
          </w:tcPr>
          <w:p w14:paraId="329C075F" w14:textId="77777777" w:rsidR="00A74C68" w:rsidRPr="00471CBA" w:rsidRDefault="00A74C68" w:rsidP="00A74C68">
            <w:pPr>
              <w:jc w:val="right"/>
              <w:rPr>
                <w:b/>
                <w:bCs/>
                <w:color w:val="FFFFFF"/>
                <w:sz w:val="16"/>
                <w:szCs w:val="16"/>
                <w:lang w:eastAsia="tr-TR"/>
              </w:rPr>
            </w:pPr>
            <w:r w:rsidRPr="00471CBA">
              <w:rPr>
                <w:b/>
                <w:bCs/>
                <w:color w:val="FFFFFF"/>
                <w:sz w:val="16"/>
                <w:szCs w:val="16"/>
                <w:lang w:eastAsia="tr-TR"/>
              </w:rPr>
              <w:t> </w:t>
            </w:r>
          </w:p>
        </w:tc>
        <w:tc>
          <w:tcPr>
            <w:tcW w:w="896" w:type="dxa"/>
            <w:tcBorders>
              <w:top w:val="single" w:sz="4" w:space="0" w:color="auto"/>
              <w:left w:val="nil"/>
              <w:bottom w:val="single" w:sz="4" w:space="0" w:color="auto"/>
              <w:right w:val="single" w:sz="4" w:space="0" w:color="auto"/>
            </w:tcBorders>
            <w:shd w:val="clear" w:color="000000" w:fill="000000"/>
            <w:noWrap/>
            <w:vAlign w:val="center"/>
            <w:hideMark/>
          </w:tcPr>
          <w:p w14:paraId="26D39178" w14:textId="77777777" w:rsidR="00A74C68" w:rsidRPr="00471CBA" w:rsidRDefault="00A74C68" w:rsidP="00A74C68">
            <w:pPr>
              <w:jc w:val="right"/>
              <w:rPr>
                <w:b/>
                <w:bCs/>
                <w:color w:val="FFFFFF"/>
                <w:sz w:val="16"/>
                <w:szCs w:val="16"/>
                <w:lang w:eastAsia="tr-TR"/>
              </w:rPr>
            </w:pPr>
            <w:r w:rsidRPr="00471CBA">
              <w:rPr>
                <w:b/>
                <w:bCs/>
                <w:color w:val="FFFFFF"/>
                <w:sz w:val="16"/>
                <w:szCs w:val="16"/>
                <w:lang w:eastAsia="tr-TR"/>
              </w:rPr>
              <w:t> </w:t>
            </w:r>
          </w:p>
        </w:tc>
        <w:tc>
          <w:tcPr>
            <w:tcW w:w="1092" w:type="dxa"/>
            <w:tcBorders>
              <w:top w:val="single" w:sz="4" w:space="0" w:color="auto"/>
              <w:left w:val="nil"/>
              <w:bottom w:val="single" w:sz="4" w:space="0" w:color="auto"/>
              <w:right w:val="single" w:sz="4" w:space="0" w:color="auto"/>
            </w:tcBorders>
            <w:vAlign w:val="center"/>
            <w:hideMark/>
          </w:tcPr>
          <w:p w14:paraId="1D8066C9" w14:textId="77777777" w:rsidR="00A74C68" w:rsidRPr="00471CBA" w:rsidRDefault="00A74C68" w:rsidP="00A74C68">
            <w:pPr>
              <w:jc w:val="right"/>
              <w:rPr>
                <w:color w:val="000000"/>
                <w:sz w:val="16"/>
                <w:szCs w:val="16"/>
                <w:lang w:eastAsia="tr-TR"/>
              </w:rPr>
            </w:pPr>
            <w:r w:rsidRPr="00471CBA">
              <w:rPr>
                <w:color w:val="000000"/>
                <w:sz w:val="16"/>
                <w:szCs w:val="16"/>
                <w:lang w:eastAsia="tr-TR"/>
              </w:rPr>
              <w:t>15.031.055</w:t>
            </w:r>
          </w:p>
        </w:tc>
        <w:tc>
          <w:tcPr>
            <w:tcW w:w="1092" w:type="dxa"/>
            <w:tcBorders>
              <w:top w:val="single" w:sz="4" w:space="0" w:color="auto"/>
              <w:left w:val="nil"/>
              <w:bottom w:val="single" w:sz="4" w:space="0" w:color="auto"/>
              <w:right w:val="single" w:sz="4" w:space="0" w:color="auto"/>
            </w:tcBorders>
            <w:vAlign w:val="center"/>
            <w:hideMark/>
          </w:tcPr>
          <w:p w14:paraId="61F3FDB7" w14:textId="77777777" w:rsidR="00A74C68" w:rsidRPr="00471CBA" w:rsidRDefault="00A74C68" w:rsidP="00A74C68">
            <w:pPr>
              <w:jc w:val="right"/>
              <w:rPr>
                <w:color w:val="000000"/>
                <w:sz w:val="16"/>
                <w:szCs w:val="16"/>
                <w:lang w:eastAsia="tr-TR"/>
              </w:rPr>
            </w:pPr>
            <w:r w:rsidRPr="00471CBA">
              <w:rPr>
                <w:color w:val="000000"/>
                <w:sz w:val="16"/>
                <w:szCs w:val="16"/>
                <w:lang w:eastAsia="tr-TR"/>
              </w:rPr>
              <w:t>11.604.538</w:t>
            </w:r>
          </w:p>
        </w:tc>
      </w:tr>
      <w:tr w:rsidR="00A74C68" w:rsidRPr="00471CBA" w14:paraId="58833173" w14:textId="77777777" w:rsidTr="00A74C68">
        <w:trPr>
          <w:divId w:val="1780682172"/>
          <w:trHeight w:val="20"/>
        </w:trPr>
        <w:tc>
          <w:tcPr>
            <w:tcW w:w="331" w:type="dxa"/>
            <w:tcBorders>
              <w:top w:val="single" w:sz="4" w:space="0" w:color="auto"/>
              <w:left w:val="single" w:sz="4" w:space="0" w:color="auto"/>
              <w:bottom w:val="single" w:sz="4" w:space="0" w:color="auto"/>
              <w:right w:val="single" w:sz="4" w:space="0" w:color="auto"/>
            </w:tcBorders>
            <w:noWrap/>
            <w:hideMark/>
          </w:tcPr>
          <w:p w14:paraId="4413E4F3" w14:textId="77777777" w:rsidR="00A74C68" w:rsidRPr="00471CBA" w:rsidRDefault="00A74C68" w:rsidP="00A74C68">
            <w:pPr>
              <w:jc w:val="center"/>
              <w:rPr>
                <w:b/>
                <w:bCs/>
                <w:color w:val="000000"/>
                <w:sz w:val="16"/>
                <w:szCs w:val="16"/>
                <w:lang w:eastAsia="tr-TR"/>
              </w:rPr>
            </w:pPr>
            <w:r w:rsidRPr="00471CBA">
              <w:rPr>
                <w:b/>
                <w:bCs/>
                <w:color w:val="000000"/>
                <w:sz w:val="16"/>
                <w:szCs w:val="16"/>
                <w:lang w:eastAsia="tr-TR"/>
              </w:rPr>
              <w:t>23</w:t>
            </w:r>
          </w:p>
        </w:tc>
        <w:tc>
          <w:tcPr>
            <w:tcW w:w="5180" w:type="dxa"/>
            <w:tcBorders>
              <w:top w:val="single" w:sz="4" w:space="0" w:color="auto"/>
              <w:left w:val="nil"/>
              <w:bottom w:val="single" w:sz="4" w:space="0" w:color="auto"/>
              <w:right w:val="single" w:sz="4" w:space="0" w:color="auto"/>
            </w:tcBorders>
            <w:noWrap/>
            <w:hideMark/>
          </w:tcPr>
          <w:p w14:paraId="4A430529" w14:textId="77777777" w:rsidR="00A74C68" w:rsidRPr="00471CBA" w:rsidRDefault="00A74C68" w:rsidP="00A74C68">
            <w:pPr>
              <w:rPr>
                <w:b/>
                <w:bCs/>
                <w:color w:val="000000"/>
                <w:sz w:val="16"/>
                <w:szCs w:val="16"/>
                <w:lang w:eastAsia="tr-TR"/>
              </w:rPr>
            </w:pPr>
            <w:r w:rsidRPr="00471CBA">
              <w:rPr>
                <w:b/>
                <w:bCs/>
                <w:color w:val="000000"/>
                <w:sz w:val="16"/>
                <w:szCs w:val="16"/>
                <w:lang w:eastAsia="tr-TR"/>
              </w:rPr>
              <w:t>LİKİDİTE KARŞILAMA ORANI (%)</w:t>
            </w:r>
          </w:p>
        </w:tc>
        <w:tc>
          <w:tcPr>
            <w:tcW w:w="1035" w:type="dxa"/>
            <w:tcBorders>
              <w:top w:val="single" w:sz="4" w:space="0" w:color="auto"/>
              <w:left w:val="nil"/>
              <w:bottom w:val="single" w:sz="4" w:space="0" w:color="auto"/>
              <w:right w:val="single" w:sz="4" w:space="0" w:color="auto"/>
            </w:tcBorders>
            <w:shd w:val="clear" w:color="000000" w:fill="000000"/>
            <w:noWrap/>
            <w:vAlign w:val="center"/>
            <w:hideMark/>
          </w:tcPr>
          <w:p w14:paraId="0829C94B" w14:textId="77777777" w:rsidR="00A74C68" w:rsidRPr="00471CBA" w:rsidRDefault="00A74C68" w:rsidP="00A74C68">
            <w:pPr>
              <w:jc w:val="right"/>
              <w:rPr>
                <w:b/>
                <w:bCs/>
                <w:color w:val="FFFFFF"/>
                <w:sz w:val="16"/>
                <w:szCs w:val="16"/>
                <w:lang w:eastAsia="tr-TR"/>
              </w:rPr>
            </w:pPr>
            <w:r w:rsidRPr="00471CBA">
              <w:rPr>
                <w:b/>
                <w:bCs/>
                <w:color w:val="FFFFFF"/>
                <w:sz w:val="16"/>
                <w:szCs w:val="16"/>
                <w:lang w:eastAsia="tr-TR"/>
              </w:rPr>
              <w:t> </w:t>
            </w:r>
          </w:p>
        </w:tc>
        <w:tc>
          <w:tcPr>
            <w:tcW w:w="896" w:type="dxa"/>
            <w:tcBorders>
              <w:top w:val="single" w:sz="4" w:space="0" w:color="auto"/>
              <w:left w:val="nil"/>
              <w:bottom w:val="single" w:sz="4" w:space="0" w:color="auto"/>
              <w:right w:val="single" w:sz="4" w:space="0" w:color="auto"/>
            </w:tcBorders>
            <w:shd w:val="clear" w:color="000000" w:fill="000000"/>
            <w:noWrap/>
            <w:vAlign w:val="center"/>
            <w:hideMark/>
          </w:tcPr>
          <w:p w14:paraId="461BFC17" w14:textId="77777777" w:rsidR="00A74C68" w:rsidRPr="00471CBA" w:rsidRDefault="00A74C68" w:rsidP="00A74C68">
            <w:pPr>
              <w:jc w:val="right"/>
              <w:rPr>
                <w:b/>
                <w:bCs/>
                <w:color w:val="FFFFFF"/>
                <w:sz w:val="16"/>
                <w:szCs w:val="16"/>
                <w:lang w:eastAsia="tr-TR"/>
              </w:rPr>
            </w:pPr>
            <w:r w:rsidRPr="00471CBA">
              <w:rPr>
                <w:b/>
                <w:bCs/>
                <w:color w:val="FFFFFF"/>
                <w:sz w:val="16"/>
                <w:szCs w:val="16"/>
                <w:lang w:eastAsia="tr-TR"/>
              </w:rPr>
              <w:t> </w:t>
            </w:r>
          </w:p>
        </w:tc>
        <w:tc>
          <w:tcPr>
            <w:tcW w:w="1092" w:type="dxa"/>
            <w:tcBorders>
              <w:top w:val="single" w:sz="4" w:space="0" w:color="auto"/>
              <w:left w:val="nil"/>
              <w:bottom w:val="single" w:sz="4" w:space="0" w:color="auto"/>
              <w:right w:val="single" w:sz="4" w:space="0" w:color="auto"/>
            </w:tcBorders>
            <w:vAlign w:val="center"/>
            <w:hideMark/>
          </w:tcPr>
          <w:p w14:paraId="3AA2E0E3" w14:textId="77777777" w:rsidR="00A74C68" w:rsidRPr="00471CBA" w:rsidRDefault="00A74C68" w:rsidP="00A74C68">
            <w:pPr>
              <w:jc w:val="right"/>
              <w:rPr>
                <w:color w:val="000000"/>
                <w:sz w:val="16"/>
                <w:szCs w:val="16"/>
                <w:lang w:eastAsia="tr-TR"/>
              </w:rPr>
            </w:pPr>
            <w:r w:rsidRPr="00471CBA">
              <w:rPr>
                <w:color w:val="000000"/>
                <w:sz w:val="16"/>
                <w:szCs w:val="16"/>
                <w:lang w:eastAsia="tr-TR"/>
              </w:rPr>
              <w:t>131,07</w:t>
            </w:r>
          </w:p>
        </w:tc>
        <w:tc>
          <w:tcPr>
            <w:tcW w:w="1092" w:type="dxa"/>
            <w:tcBorders>
              <w:top w:val="single" w:sz="4" w:space="0" w:color="auto"/>
              <w:left w:val="nil"/>
              <w:bottom w:val="single" w:sz="4" w:space="0" w:color="auto"/>
              <w:right w:val="single" w:sz="4" w:space="0" w:color="auto"/>
            </w:tcBorders>
            <w:vAlign w:val="center"/>
            <w:hideMark/>
          </w:tcPr>
          <w:p w14:paraId="159A38D6" w14:textId="77777777" w:rsidR="00A74C68" w:rsidRPr="00471CBA" w:rsidRDefault="00A74C68" w:rsidP="00A74C68">
            <w:pPr>
              <w:jc w:val="right"/>
              <w:rPr>
                <w:color w:val="000000"/>
                <w:sz w:val="16"/>
                <w:szCs w:val="16"/>
                <w:lang w:eastAsia="tr-TR"/>
              </w:rPr>
            </w:pPr>
            <w:r w:rsidRPr="00471CBA">
              <w:rPr>
                <w:color w:val="000000"/>
                <w:sz w:val="16"/>
                <w:szCs w:val="16"/>
                <w:lang w:eastAsia="tr-TR"/>
              </w:rPr>
              <w:t>126,73</w:t>
            </w:r>
          </w:p>
        </w:tc>
      </w:tr>
    </w:tbl>
    <w:p w14:paraId="65472737" w14:textId="2C2E7F1F" w:rsidR="00A865D5" w:rsidRPr="00471CBA" w:rsidRDefault="00A865D5" w:rsidP="005E11FA">
      <w:pPr>
        <w:widowControl w:val="0"/>
        <w:autoSpaceDE w:val="0"/>
        <w:autoSpaceDN w:val="0"/>
        <w:adjustRightInd w:val="0"/>
        <w:spacing w:before="120"/>
        <w:jc w:val="both"/>
        <w:rPr>
          <w:sz w:val="16"/>
          <w:szCs w:val="16"/>
        </w:rPr>
      </w:pPr>
      <w:r w:rsidRPr="00471CBA">
        <w:rPr>
          <w:sz w:val="16"/>
          <w:szCs w:val="16"/>
          <w:vertAlign w:val="superscript"/>
        </w:rPr>
        <w:t>(*)</w:t>
      </w:r>
      <w:r w:rsidR="00263A00" w:rsidRPr="00471CBA">
        <w:rPr>
          <w:sz w:val="16"/>
          <w:szCs w:val="16"/>
        </w:rPr>
        <w:tab/>
      </w:r>
      <w:r w:rsidR="00143336" w:rsidRPr="00471CBA">
        <w:rPr>
          <w:sz w:val="16"/>
          <w:szCs w:val="16"/>
        </w:rPr>
        <w:t>Haftalık basit aritmetik ortalama alınmak suretiyle hesaplanan likidite karşılama oranının son üç ay için hesaplanan ortalamasıdır.</w:t>
      </w:r>
    </w:p>
    <w:p w14:paraId="033B6AD4" w14:textId="77777777" w:rsidR="007F6642" w:rsidRPr="00471CBA" w:rsidRDefault="007F6642" w:rsidP="00E638DD">
      <w:pPr>
        <w:widowControl w:val="0"/>
        <w:ind w:left="426" w:right="-166" w:hanging="425"/>
        <w:jc w:val="both"/>
        <w:rPr>
          <w:szCs w:val="20"/>
        </w:rPr>
      </w:pPr>
    </w:p>
    <w:p w14:paraId="115906C7" w14:textId="2DDBFCFA" w:rsidR="007F6642" w:rsidRPr="00471CBA" w:rsidRDefault="007F6642" w:rsidP="00121992">
      <w:pPr>
        <w:widowControl w:val="0"/>
        <w:jc w:val="both"/>
        <w:rPr>
          <w:szCs w:val="20"/>
        </w:rPr>
      </w:pPr>
      <w:r w:rsidRPr="00471CBA">
        <w:rPr>
          <w:szCs w:val="20"/>
        </w:rPr>
        <w:t xml:space="preserve">21 Mart 2014 tarih ve 28948 sayılı </w:t>
      </w:r>
      <w:r w:rsidR="00AE2AF0" w:rsidRPr="00471CBA">
        <w:rPr>
          <w:szCs w:val="20"/>
        </w:rPr>
        <w:t>Resmî</w:t>
      </w:r>
      <w:r w:rsidRPr="00471CBA">
        <w:rPr>
          <w:szCs w:val="20"/>
        </w:rPr>
        <w:t xml:space="preserve"> </w:t>
      </w:r>
      <w:proofErr w:type="spellStart"/>
      <w:r w:rsidRPr="00471CBA">
        <w:rPr>
          <w:szCs w:val="20"/>
        </w:rPr>
        <w:t>Gazete’de</w:t>
      </w:r>
      <w:proofErr w:type="spellEnd"/>
      <w:r w:rsidRPr="00471CBA">
        <w:rPr>
          <w:szCs w:val="20"/>
        </w:rPr>
        <w:t xml:space="preserve"> yayımlanan “Bankaların Likidite Karşılama Oranı Hesaplamasına İlişkin Yönetmelik” uyarınca son üç ay için hesaplanan likidite karşılama oranlarının en yüksek ve en düşük olduğu tarihler aşağıda verilmiştir.</w:t>
      </w:r>
    </w:p>
    <w:p w14:paraId="2D8847BF" w14:textId="6436FA55" w:rsidR="00A74C68" w:rsidRPr="00471CBA" w:rsidRDefault="00A74C68" w:rsidP="009F6E11">
      <w:pPr>
        <w:widowControl w:val="0"/>
        <w:ind w:left="1276" w:right="-166" w:hanging="425"/>
        <w:jc w:val="both"/>
      </w:pPr>
    </w:p>
    <w:tbl>
      <w:tblPr>
        <w:tblW w:w="5000" w:type="pct"/>
        <w:tblCellMar>
          <w:left w:w="70" w:type="dxa"/>
          <w:right w:w="70" w:type="dxa"/>
        </w:tblCellMar>
        <w:tblLook w:val="04A0" w:firstRow="1" w:lastRow="0" w:firstColumn="1" w:lastColumn="0" w:noHBand="0" w:noVBand="1"/>
      </w:tblPr>
      <w:tblGrid>
        <w:gridCol w:w="5211"/>
        <w:gridCol w:w="2298"/>
        <w:gridCol w:w="2130"/>
      </w:tblGrid>
      <w:tr w:rsidR="00A74C68" w:rsidRPr="00471CBA" w14:paraId="31AD18AC" w14:textId="77777777" w:rsidTr="00A74C68">
        <w:trPr>
          <w:divId w:val="860317013"/>
          <w:trHeight w:val="227"/>
        </w:trPr>
        <w:tc>
          <w:tcPr>
            <w:tcW w:w="2703" w:type="pct"/>
            <w:tcBorders>
              <w:top w:val="nil"/>
              <w:left w:val="nil"/>
              <w:bottom w:val="nil"/>
              <w:right w:val="nil"/>
            </w:tcBorders>
            <w:noWrap/>
            <w:vAlign w:val="center"/>
            <w:hideMark/>
          </w:tcPr>
          <w:p w14:paraId="25E40FCB" w14:textId="1BA895D2" w:rsidR="00A74C68" w:rsidRPr="00471CBA" w:rsidRDefault="00A74C68" w:rsidP="00A74C68">
            <w:pPr>
              <w:rPr>
                <w:b/>
                <w:bCs/>
                <w:color w:val="000000"/>
                <w:szCs w:val="20"/>
                <w:lang w:eastAsia="tr-TR"/>
              </w:rPr>
            </w:pPr>
            <w:r w:rsidRPr="00471CBA">
              <w:rPr>
                <w:b/>
                <w:bCs/>
                <w:color w:val="000000"/>
                <w:szCs w:val="20"/>
                <w:lang w:eastAsia="tr-TR"/>
              </w:rPr>
              <w:t>Likidite Karşılama Oranı (%)</w:t>
            </w:r>
          </w:p>
        </w:tc>
        <w:tc>
          <w:tcPr>
            <w:tcW w:w="2297" w:type="pct"/>
            <w:gridSpan w:val="2"/>
            <w:tcBorders>
              <w:top w:val="nil"/>
              <w:left w:val="nil"/>
              <w:bottom w:val="single" w:sz="4" w:space="0" w:color="auto"/>
              <w:right w:val="nil"/>
            </w:tcBorders>
            <w:noWrap/>
            <w:vAlign w:val="center"/>
            <w:hideMark/>
          </w:tcPr>
          <w:p w14:paraId="393E9A2A" w14:textId="77777777" w:rsidR="00A74C68" w:rsidRPr="00471CBA" w:rsidRDefault="00A74C68" w:rsidP="00A74C68">
            <w:pPr>
              <w:jc w:val="center"/>
              <w:rPr>
                <w:b/>
                <w:bCs/>
                <w:color w:val="000000"/>
                <w:szCs w:val="20"/>
                <w:lang w:eastAsia="tr-TR"/>
              </w:rPr>
            </w:pPr>
            <w:r w:rsidRPr="00471CBA">
              <w:rPr>
                <w:b/>
                <w:bCs/>
                <w:color w:val="000000"/>
                <w:szCs w:val="20"/>
                <w:lang w:eastAsia="tr-TR"/>
              </w:rPr>
              <w:t>31 Aralık 2025</w:t>
            </w:r>
          </w:p>
        </w:tc>
      </w:tr>
      <w:tr w:rsidR="00A74C68" w:rsidRPr="00471CBA" w14:paraId="25C0E3DC" w14:textId="77777777" w:rsidTr="00A74C68">
        <w:trPr>
          <w:divId w:val="860317013"/>
          <w:trHeight w:val="227"/>
        </w:trPr>
        <w:tc>
          <w:tcPr>
            <w:tcW w:w="2703" w:type="pct"/>
            <w:tcBorders>
              <w:top w:val="nil"/>
              <w:left w:val="nil"/>
              <w:bottom w:val="single" w:sz="4" w:space="0" w:color="auto"/>
              <w:right w:val="nil"/>
            </w:tcBorders>
            <w:noWrap/>
            <w:vAlign w:val="bottom"/>
            <w:hideMark/>
          </w:tcPr>
          <w:p w14:paraId="58984909" w14:textId="77777777" w:rsidR="00A74C68" w:rsidRPr="00471CBA" w:rsidRDefault="00A74C68" w:rsidP="00A74C68">
            <w:pPr>
              <w:rPr>
                <w:color w:val="000000"/>
                <w:szCs w:val="20"/>
                <w:lang w:eastAsia="tr-TR"/>
              </w:rPr>
            </w:pPr>
            <w:r w:rsidRPr="00471CBA">
              <w:rPr>
                <w:color w:val="000000"/>
                <w:szCs w:val="20"/>
                <w:lang w:eastAsia="tr-TR"/>
              </w:rPr>
              <w:t> </w:t>
            </w:r>
          </w:p>
        </w:tc>
        <w:tc>
          <w:tcPr>
            <w:tcW w:w="1192" w:type="pct"/>
            <w:tcBorders>
              <w:top w:val="nil"/>
              <w:left w:val="nil"/>
              <w:bottom w:val="single" w:sz="4" w:space="0" w:color="auto"/>
              <w:right w:val="nil"/>
            </w:tcBorders>
            <w:noWrap/>
            <w:vAlign w:val="center"/>
            <w:hideMark/>
          </w:tcPr>
          <w:p w14:paraId="6536D434" w14:textId="77777777" w:rsidR="00A74C68" w:rsidRPr="00471CBA" w:rsidRDefault="00A74C68" w:rsidP="00A74C68">
            <w:pPr>
              <w:jc w:val="right"/>
              <w:rPr>
                <w:b/>
                <w:bCs/>
                <w:color w:val="000000"/>
                <w:szCs w:val="20"/>
                <w:lang w:eastAsia="tr-TR"/>
              </w:rPr>
            </w:pPr>
            <w:r w:rsidRPr="00471CBA">
              <w:rPr>
                <w:b/>
                <w:bCs/>
                <w:color w:val="000000"/>
                <w:szCs w:val="20"/>
                <w:lang w:eastAsia="tr-TR"/>
              </w:rPr>
              <w:t>TP+YP</w:t>
            </w:r>
          </w:p>
        </w:tc>
        <w:tc>
          <w:tcPr>
            <w:tcW w:w="1105" w:type="pct"/>
            <w:tcBorders>
              <w:top w:val="nil"/>
              <w:left w:val="nil"/>
              <w:bottom w:val="single" w:sz="4" w:space="0" w:color="auto"/>
              <w:right w:val="nil"/>
            </w:tcBorders>
            <w:noWrap/>
            <w:vAlign w:val="center"/>
            <w:hideMark/>
          </w:tcPr>
          <w:p w14:paraId="0377CB5A" w14:textId="77777777" w:rsidR="00A74C68" w:rsidRPr="00471CBA" w:rsidRDefault="00A74C68" w:rsidP="00A74C68">
            <w:pPr>
              <w:jc w:val="right"/>
              <w:rPr>
                <w:b/>
                <w:bCs/>
                <w:color w:val="000000"/>
                <w:szCs w:val="20"/>
                <w:lang w:eastAsia="tr-TR"/>
              </w:rPr>
            </w:pPr>
            <w:r w:rsidRPr="00471CBA">
              <w:rPr>
                <w:b/>
                <w:bCs/>
                <w:color w:val="000000"/>
                <w:szCs w:val="20"/>
                <w:lang w:eastAsia="tr-TR"/>
              </w:rPr>
              <w:t>YP</w:t>
            </w:r>
          </w:p>
        </w:tc>
      </w:tr>
      <w:tr w:rsidR="00A74C68" w:rsidRPr="00471CBA" w14:paraId="45B8FCA5" w14:textId="77777777" w:rsidTr="00A74C68">
        <w:trPr>
          <w:divId w:val="860317013"/>
          <w:trHeight w:val="227"/>
        </w:trPr>
        <w:tc>
          <w:tcPr>
            <w:tcW w:w="2703" w:type="pct"/>
            <w:tcBorders>
              <w:top w:val="nil"/>
              <w:left w:val="nil"/>
              <w:bottom w:val="nil"/>
              <w:right w:val="nil"/>
            </w:tcBorders>
            <w:noWrap/>
            <w:vAlign w:val="center"/>
            <w:hideMark/>
          </w:tcPr>
          <w:p w14:paraId="73F2302E" w14:textId="77777777" w:rsidR="00A74C68" w:rsidRPr="00471CBA" w:rsidRDefault="00A74C68" w:rsidP="00A74C68">
            <w:pPr>
              <w:rPr>
                <w:color w:val="000000"/>
                <w:szCs w:val="20"/>
                <w:lang w:eastAsia="tr-TR"/>
              </w:rPr>
            </w:pPr>
            <w:r w:rsidRPr="00471CBA">
              <w:rPr>
                <w:color w:val="000000"/>
                <w:szCs w:val="20"/>
                <w:lang w:eastAsia="tr-TR"/>
              </w:rPr>
              <w:t>En Düşük</w:t>
            </w:r>
          </w:p>
        </w:tc>
        <w:tc>
          <w:tcPr>
            <w:tcW w:w="1192" w:type="pct"/>
            <w:tcBorders>
              <w:top w:val="nil"/>
              <w:left w:val="nil"/>
              <w:bottom w:val="nil"/>
              <w:right w:val="nil"/>
            </w:tcBorders>
            <w:vAlign w:val="center"/>
            <w:hideMark/>
          </w:tcPr>
          <w:p w14:paraId="2D2F5CEF" w14:textId="77777777" w:rsidR="00A74C68" w:rsidRPr="00471CBA" w:rsidRDefault="00A74C68" w:rsidP="00A74C68">
            <w:pPr>
              <w:jc w:val="right"/>
              <w:rPr>
                <w:color w:val="000000"/>
                <w:szCs w:val="20"/>
                <w:lang w:eastAsia="tr-TR"/>
              </w:rPr>
            </w:pPr>
            <w:r w:rsidRPr="00471CBA">
              <w:rPr>
                <w:color w:val="000000"/>
                <w:szCs w:val="20"/>
                <w:lang w:eastAsia="tr-TR"/>
              </w:rPr>
              <w:t>92,70</w:t>
            </w:r>
          </w:p>
        </w:tc>
        <w:tc>
          <w:tcPr>
            <w:tcW w:w="1105" w:type="pct"/>
            <w:tcBorders>
              <w:top w:val="nil"/>
              <w:left w:val="nil"/>
              <w:bottom w:val="nil"/>
              <w:right w:val="nil"/>
            </w:tcBorders>
            <w:vAlign w:val="center"/>
            <w:hideMark/>
          </w:tcPr>
          <w:p w14:paraId="0D0CF8FF" w14:textId="77777777" w:rsidR="00A74C68" w:rsidRPr="00471CBA" w:rsidRDefault="00A74C68" w:rsidP="00A74C68">
            <w:pPr>
              <w:jc w:val="right"/>
              <w:rPr>
                <w:color w:val="000000"/>
                <w:szCs w:val="20"/>
                <w:lang w:eastAsia="tr-TR"/>
              </w:rPr>
            </w:pPr>
            <w:r w:rsidRPr="00471CBA">
              <w:rPr>
                <w:color w:val="000000"/>
                <w:szCs w:val="20"/>
                <w:lang w:eastAsia="tr-TR"/>
              </w:rPr>
              <w:t>80,44</w:t>
            </w:r>
          </w:p>
        </w:tc>
      </w:tr>
      <w:tr w:rsidR="00A74C68" w:rsidRPr="00471CBA" w14:paraId="227B4970" w14:textId="77777777" w:rsidTr="00A74C68">
        <w:trPr>
          <w:divId w:val="860317013"/>
          <w:trHeight w:val="227"/>
        </w:trPr>
        <w:tc>
          <w:tcPr>
            <w:tcW w:w="2703" w:type="pct"/>
            <w:tcBorders>
              <w:top w:val="nil"/>
              <w:left w:val="nil"/>
              <w:bottom w:val="nil"/>
              <w:right w:val="nil"/>
            </w:tcBorders>
            <w:noWrap/>
            <w:vAlign w:val="center"/>
            <w:hideMark/>
          </w:tcPr>
          <w:p w14:paraId="64C10DA5" w14:textId="77777777" w:rsidR="00A74C68" w:rsidRPr="00471CBA" w:rsidRDefault="00A74C68" w:rsidP="00A74C68">
            <w:pPr>
              <w:rPr>
                <w:color w:val="000000"/>
                <w:szCs w:val="20"/>
                <w:lang w:eastAsia="tr-TR"/>
              </w:rPr>
            </w:pPr>
            <w:r w:rsidRPr="00471CBA">
              <w:rPr>
                <w:color w:val="000000"/>
                <w:szCs w:val="20"/>
                <w:lang w:eastAsia="tr-TR"/>
              </w:rPr>
              <w:t>Tarih</w:t>
            </w:r>
          </w:p>
        </w:tc>
        <w:tc>
          <w:tcPr>
            <w:tcW w:w="1192" w:type="pct"/>
            <w:tcBorders>
              <w:top w:val="nil"/>
              <w:left w:val="nil"/>
              <w:bottom w:val="nil"/>
              <w:right w:val="nil"/>
            </w:tcBorders>
            <w:noWrap/>
            <w:vAlign w:val="center"/>
            <w:hideMark/>
          </w:tcPr>
          <w:p w14:paraId="5D356CA0" w14:textId="77777777" w:rsidR="00A74C68" w:rsidRPr="00471CBA" w:rsidRDefault="00A74C68" w:rsidP="00A74C68">
            <w:pPr>
              <w:jc w:val="right"/>
              <w:rPr>
                <w:color w:val="000000"/>
                <w:szCs w:val="20"/>
                <w:lang w:eastAsia="tr-TR"/>
              </w:rPr>
            </w:pPr>
            <w:r w:rsidRPr="00471CBA">
              <w:rPr>
                <w:color w:val="000000"/>
                <w:szCs w:val="20"/>
                <w:lang w:eastAsia="tr-TR"/>
              </w:rPr>
              <w:t>5 Kasım 2025</w:t>
            </w:r>
          </w:p>
        </w:tc>
        <w:tc>
          <w:tcPr>
            <w:tcW w:w="1105" w:type="pct"/>
            <w:tcBorders>
              <w:top w:val="nil"/>
              <w:left w:val="nil"/>
              <w:bottom w:val="nil"/>
              <w:right w:val="nil"/>
            </w:tcBorders>
            <w:noWrap/>
            <w:vAlign w:val="center"/>
            <w:hideMark/>
          </w:tcPr>
          <w:p w14:paraId="65950F5D" w14:textId="77777777" w:rsidR="00A74C68" w:rsidRPr="00471CBA" w:rsidRDefault="00A74C68" w:rsidP="00A74C68">
            <w:pPr>
              <w:jc w:val="right"/>
              <w:rPr>
                <w:color w:val="000000"/>
                <w:szCs w:val="20"/>
                <w:lang w:eastAsia="tr-TR"/>
              </w:rPr>
            </w:pPr>
            <w:r w:rsidRPr="00471CBA">
              <w:rPr>
                <w:color w:val="000000"/>
                <w:szCs w:val="20"/>
                <w:lang w:eastAsia="tr-TR"/>
              </w:rPr>
              <w:t>5 Kasım 2025</w:t>
            </w:r>
          </w:p>
        </w:tc>
      </w:tr>
      <w:tr w:rsidR="00A74C68" w:rsidRPr="00471CBA" w14:paraId="2DC5096C" w14:textId="77777777" w:rsidTr="00A74C68">
        <w:trPr>
          <w:divId w:val="860317013"/>
          <w:trHeight w:val="227"/>
        </w:trPr>
        <w:tc>
          <w:tcPr>
            <w:tcW w:w="2703" w:type="pct"/>
            <w:tcBorders>
              <w:top w:val="nil"/>
              <w:left w:val="nil"/>
              <w:bottom w:val="nil"/>
              <w:right w:val="nil"/>
            </w:tcBorders>
            <w:noWrap/>
            <w:vAlign w:val="center"/>
            <w:hideMark/>
          </w:tcPr>
          <w:p w14:paraId="6EBD21AE" w14:textId="77777777" w:rsidR="00A74C68" w:rsidRPr="00471CBA" w:rsidRDefault="00A74C68" w:rsidP="00A74C68">
            <w:pPr>
              <w:rPr>
                <w:color w:val="000000"/>
                <w:szCs w:val="20"/>
                <w:lang w:eastAsia="tr-TR"/>
              </w:rPr>
            </w:pPr>
            <w:r w:rsidRPr="00471CBA">
              <w:rPr>
                <w:color w:val="000000"/>
                <w:szCs w:val="20"/>
                <w:lang w:eastAsia="tr-TR"/>
              </w:rPr>
              <w:t>En Yüksek</w:t>
            </w:r>
          </w:p>
        </w:tc>
        <w:tc>
          <w:tcPr>
            <w:tcW w:w="1192" w:type="pct"/>
            <w:tcBorders>
              <w:top w:val="nil"/>
              <w:left w:val="nil"/>
              <w:bottom w:val="nil"/>
              <w:right w:val="nil"/>
            </w:tcBorders>
            <w:vAlign w:val="center"/>
            <w:hideMark/>
          </w:tcPr>
          <w:p w14:paraId="68C201CD" w14:textId="77777777" w:rsidR="00A74C68" w:rsidRPr="00471CBA" w:rsidRDefault="00A74C68" w:rsidP="00A74C68">
            <w:pPr>
              <w:jc w:val="right"/>
              <w:rPr>
                <w:color w:val="000000"/>
                <w:szCs w:val="20"/>
                <w:lang w:eastAsia="tr-TR"/>
              </w:rPr>
            </w:pPr>
            <w:r w:rsidRPr="00471CBA">
              <w:rPr>
                <w:color w:val="000000"/>
                <w:szCs w:val="20"/>
                <w:lang w:eastAsia="tr-TR"/>
              </w:rPr>
              <w:t>200,98</w:t>
            </w:r>
          </w:p>
        </w:tc>
        <w:tc>
          <w:tcPr>
            <w:tcW w:w="1105" w:type="pct"/>
            <w:tcBorders>
              <w:top w:val="nil"/>
              <w:left w:val="nil"/>
              <w:bottom w:val="nil"/>
              <w:right w:val="nil"/>
            </w:tcBorders>
            <w:vAlign w:val="center"/>
            <w:hideMark/>
          </w:tcPr>
          <w:p w14:paraId="75CBFD65" w14:textId="77777777" w:rsidR="00A74C68" w:rsidRPr="00471CBA" w:rsidRDefault="00A74C68" w:rsidP="00A74C68">
            <w:pPr>
              <w:jc w:val="right"/>
              <w:rPr>
                <w:color w:val="000000"/>
                <w:szCs w:val="20"/>
                <w:lang w:eastAsia="tr-TR"/>
              </w:rPr>
            </w:pPr>
            <w:r w:rsidRPr="00471CBA">
              <w:rPr>
                <w:color w:val="000000"/>
                <w:szCs w:val="20"/>
                <w:lang w:eastAsia="tr-TR"/>
              </w:rPr>
              <w:t>229,36</w:t>
            </w:r>
          </w:p>
        </w:tc>
      </w:tr>
      <w:tr w:rsidR="00A74C68" w:rsidRPr="00471CBA" w14:paraId="58FEC4A0" w14:textId="77777777" w:rsidTr="00A74C68">
        <w:trPr>
          <w:divId w:val="860317013"/>
          <w:trHeight w:val="227"/>
        </w:trPr>
        <w:tc>
          <w:tcPr>
            <w:tcW w:w="2703" w:type="pct"/>
            <w:tcBorders>
              <w:top w:val="nil"/>
              <w:left w:val="nil"/>
              <w:bottom w:val="nil"/>
              <w:right w:val="nil"/>
            </w:tcBorders>
            <w:noWrap/>
            <w:vAlign w:val="center"/>
            <w:hideMark/>
          </w:tcPr>
          <w:p w14:paraId="7B074647" w14:textId="77777777" w:rsidR="00A74C68" w:rsidRPr="00471CBA" w:rsidRDefault="00A74C68" w:rsidP="00A74C68">
            <w:pPr>
              <w:rPr>
                <w:color w:val="000000"/>
                <w:szCs w:val="20"/>
                <w:lang w:eastAsia="tr-TR"/>
              </w:rPr>
            </w:pPr>
            <w:r w:rsidRPr="00471CBA">
              <w:rPr>
                <w:color w:val="000000"/>
                <w:szCs w:val="20"/>
                <w:lang w:eastAsia="tr-TR"/>
              </w:rPr>
              <w:t>Tarih</w:t>
            </w:r>
          </w:p>
        </w:tc>
        <w:tc>
          <w:tcPr>
            <w:tcW w:w="1192" w:type="pct"/>
            <w:tcBorders>
              <w:top w:val="nil"/>
              <w:left w:val="nil"/>
              <w:bottom w:val="nil"/>
              <w:right w:val="nil"/>
            </w:tcBorders>
            <w:noWrap/>
            <w:vAlign w:val="center"/>
            <w:hideMark/>
          </w:tcPr>
          <w:p w14:paraId="61200E06" w14:textId="77777777" w:rsidR="00A74C68" w:rsidRPr="00471CBA" w:rsidRDefault="00A74C68" w:rsidP="00A74C68">
            <w:pPr>
              <w:jc w:val="right"/>
              <w:rPr>
                <w:color w:val="000000"/>
                <w:szCs w:val="20"/>
                <w:lang w:eastAsia="tr-TR"/>
              </w:rPr>
            </w:pPr>
            <w:r w:rsidRPr="00471CBA">
              <w:rPr>
                <w:color w:val="000000"/>
                <w:szCs w:val="20"/>
                <w:lang w:eastAsia="tr-TR"/>
              </w:rPr>
              <w:t>31 Aralık 2025</w:t>
            </w:r>
          </w:p>
        </w:tc>
        <w:tc>
          <w:tcPr>
            <w:tcW w:w="1105" w:type="pct"/>
            <w:tcBorders>
              <w:top w:val="nil"/>
              <w:left w:val="nil"/>
              <w:bottom w:val="nil"/>
              <w:right w:val="nil"/>
            </w:tcBorders>
            <w:noWrap/>
            <w:vAlign w:val="center"/>
            <w:hideMark/>
          </w:tcPr>
          <w:p w14:paraId="25C6DC51" w14:textId="77777777" w:rsidR="00A74C68" w:rsidRPr="00471CBA" w:rsidRDefault="00A74C68" w:rsidP="00A74C68">
            <w:pPr>
              <w:jc w:val="right"/>
              <w:rPr>
                <w:color w:val="000000"/>
                <w:szCs w:val="20"/>
                <w:lang w:eastAsia="tr-TR"/>
              </w:rPr>
            </w:pPr>
            <w:r w:rsidRPr="00471CBA">
              <w:rPr>
                <w:color w:val="000000"/>
                <w:szCs w:val="20"/>
                <w:lang w:eastAsia="tr-TR"/>
              </w:rPr>
              <w:t>31 Aralık 2025</w:t>
            </w:r>
          </w:p>
        </w:tc>
      </w:tr>
      <w:tr w:rsidR="00A74C68" w:rsidRPr="00471CBA" w14:paraId="598FB7C6" w14:textId="77777777" w:rsidTr="00A74C68">
        <w:trPr>
          <w:divId w:val="860317013"/>
          <w:trHeight w:val="227"/>
        </w:trPr>
        <w:tc>
          <w:tcPr>
            <w:tcW w:w="2703" w:type="pct"/>
            <w:tcBorders>
              <w:top w:val="nil"/>
              <w:left w:val="nil"/>
              <w:bottom w:val="single" w:sz="4" w:space="0" w:color="auto"/>
              <w:right w:val="nil"/>
            </w:tcBorders>
            <w:noWrap/>
            <w:vAlign w:val="center"/>
            <w:hideMark/>
          </w:tcPr>
          <w:p w14:paraId="40CA069E" w14:textId="77777777" w:rsidR="00A74C68" w:rsidRPr="00471CBA" w:rsidRDefault="00A74C68" w:rsidP="00A74C68">
            <w:pPr>
              <w:rPr>
                <w:color w:val="000000"/>
                <w:szCs w:val="20"/>
                <w:lang w:eastAsia="tr-TR"/>
              </w:rPr>
            </w:pPr>
            <w:r w:rsidRPr="00471CBA">
              <w:rPr>
                <w:color w:val="000000"/>
                <w:szCs w:val="20"/>
                <w:lang w:eastAsia="tr-TR"/>
              </w:rPr>
              <w:t>Ortalama</w:t>
            </w:r>
          </w:p>
        </w:tc>
        <w:tc>
          <w:tcPr>
            <w:tcW w:w="1192" w:type="pct"/>
            <w:tcBorders>
              <w:top w:val="nil"/>
              <w:left w:val="nil"/>
              <w:bottom w:val="single" w:sz="4" w:space="0" w:color="auto"/>
              <w:right w:val="nil"/>
            </w:tcBorders>
            <w:noWrap/>
            <w:vAlign w:val="center"/>
            <w:hideMark/>
          </w:tcPr>
          <w:p w14:paraId="216CA2BB" w14:textId="77777777" w:rsidR="00A74C68" w:rsidRPr="00471CBA" w:rsidRDefault="00A74C68" w:rsidP="00A74C68">
            <w:pPr>
              <w:jc w:val="right"/>
              <w:rPr>
                <w:color w:val="000000"/>
                <w:szCs w:val="20"/>
                <w:lang w:eastAsia="tr-TR"/>
              </w:rPr>
            </w:pPr>
            <w:r w:rsidRPr="00471CBA">
              <w:rPr>
                <w:color w:val="000000"/>
                <w:szCs w:val="20"/>
                <w:lang w:eastAsia="tr-TR"/>
              </w:rPr>
              <w:t>131,07</w:t>
            </w:r>
          </w:p>
        </w:tc>
        <w:tc>
          <w:tcPr>
            <w:tcW w:w="1105" w:type="pct"/>
            <w:tcBorders>
              <w:top w:val="nil"/>
              <w:left w:val="nil"/>
              <w:bottom w:val="single" w:sz="4" w:space="0" w:color="auto"/>
              <w:right w:val="nil"/>
            </w:tcBorders>
            <w:noWrap/>
            <w:vAlign w:val="center"/>
            <w:hideMark/>
          </w:tcPr>
          <w:p w14:paraId="5FABB6C6" w14:textId="77777777" w:rsidR="00A74C68" w:rsidRPr="00471CBA" w:rsidRDefault="00A74C68" w:rsidP="00A74C68">
            <w:pPr>
              <w:jc w:val="right"/>
              <w:rPr>
                <w:color w:val="000000"/>
                <w:szCs w:val="20"/>
                <w:lang w:eastAsia="tr-TR"/>
              </w:rPr>
            </w:pPr>
            <w:r w:rsidRPr="00471CBA">
              <w:rPr>
                <w:color w:val="000000"/>
                <w:szCs w:val="20"/>
                <w:lang w:eastAsia="tr-TR"/>
              </w:rPr>
              <w:t>126,73</w:t>
            </w:r>
          </w:p>
        </w:tc>
      </w:tr>
    </w:tbl>
    <w:p w14:paraId="2BC4F842" w14:textId="56F3DB75" w:rsidR="007F6642" w:rsidRPr="00471CBA" w:rsidRDefault="007F6642" w:rsidP="009F6E11">
      <w:pPr>
        <w:widowControl w:val="0"/>
        <w:ind w:left="1276" w:right="-166" w:hanging="425"/>
        <w:jc w:val="both"/>
        <w:rPr>
          <w:szCs w:val="20"/>
        </w:rPr>
      </w:pPr>
    </w:p>
    <w:p w14:paraId="5619F854" w14:textId="19235DC8" w:rsidR="00F36B82" w:rsidRDefault="007F6642" w:rsidP="00E638DD">
      <w:pPr>
        <w:widowControl w:val="0"/>
        <w:jc w:val="both"/>
        <w:rPr>
          <w:rFonts w:eastAsia="Calibri"/>
          <w:szCs w:val="20"/>
        </w:rPr>
      </w:pPr>
      <w:r w:rsidRPr="00471CBA">
        <w:rPr>
          <w:rFonts w:eastAsia="Calibri"/>
          <w:szCs w:val="20"/>
        </w:rPr>
        <w:t>Likidite karşılama oranı, bankanın sahip olduğu yüksek kaliteli likit varlıkların, 30 günlük vade penceresindeki net nakit çıkışlarına oranlanması ile hesaplanır. Oran üzerinde belirleyici olan önemli bilanço kalemleri; TCMB nezdinde tutulan zorunlu karşılıklar, geri alım vaadi ile satım/teminata konu olmayan menkul kıymetler, bankalardan alacaklar, toplanan fonlar, yurtdışı kaynaklı fonlar olarak sıralanabilir. Bu kalemlerin likit aktifler ve net nakit çıkışları içinde tutarsal olarak yüksek paya sahip olmaları, dikkate alınma oranlarının yüksek olması ve zaman içinde değişkenlik gösterebilmeleri nedeniyle likidite karşılama oranına etkileri diğer kalemlere oranla fazladır.</w:t>
      </w:r>
      <w:r w:rsidR="00F36B82">
        <w:rPr>
          <w:rFonts w:eastAsia="Calibri"/>
          <w:szCs w:val="20"/>
        </w:rPr>
        <w:br w:type="page"/>
      </w:r>
    </w:p>
    <w:p w14:paraId="41B3DA25" w14:textId="7D90EF27" w:rsidR="00263A00" w:rsidRPr="00471CBA" w:rsidRDefault="006218A8" w:rsidP="00263A00">
      <w:pPr>
        <w:pStyle w:val="GvdeMetniGirintisi"/>
        <w:widowControl w:val="0"/>
        <w:spacing w:line="235" w:lineRule="auto"/>
        <w:ind w:firstLine="0"/>
        <w:jc w:val="left"/>
        <w:rPr>
          <w:b/>
          <w:szCs w:val="20"/>
        </w:rPr>
      </w:pPr>
      <w:r w:rsidRPr="00471CBA">
        <w:rPr>
          <w:b/>
          <w:szCs w:val="20"/>
        </w:rPr>
        <w:lastRenderedPageBreak/>
        <w:t xml:space="preserve">MALİ BÜNYEYE VE RİSK YÖNETİMİNE İLİŞKİN BİLGİLER </w:t>
      </w:r>
      <w:r w:rsidR="00263A00" w:rsidRPr="00471CBA">
        <w:rPr>
          <w:b/>
          <w:szCs w:val="20"/>
        </w:rPr>
        <w:t>(Devamı)</w:t>
      </w:r>
    </w:p>
    <w:p w14:paraId="2BC496D5" w14:textId="77777777" w:rsidR="00263A00" w:rsidRPr="00471CBA" w:rsidRDefault="00263A00" w:rsidP="00263A00">
      <w:pPr>
        <w:widowControl w:val="0"/>
        <w:autoSpaceDE w:val="0"/>
        <w:autoSpaceDN w:val="0"/>
        <w:ind w:left="851"/>
        <w:jc w:val="both"/>
        <w:rPr>
          <w:szCs w:val="20"/>
        </w:rPr>
      </w:pPr>
    </w:p>
    <w:p w14:paraId="789B6246" w14:textId="19C8A3A3" w:rsidR="00AA12B1" w:rsidRPr="00471CBA" w:rsidRDefault="00AA12B1" w:rsidP="00AA12B1">
      <w:pPr>
        <w:widowControl w:val="0"/>
        <w:autoSpaceDE w:val="0"/>
        <w:autoSpaceDN w:val="0"/>
        <w:adjustRightInd w:val="0"/>
        <w:ind w:left="851" w:hanging="851"/>
        <w:rPr>
          <w:b/>
          <w:szCs w:val="20"/>
        </w:rPr>
      </w:pPr>
      <w:r w:rsidRPr="00471CBA">
        <w:rPr>
          <w:b/>
          <w:szCs w:val="20"/>
        </w:rPr>
        <w:t>V.</w:t>
      </w:r>
      <w:r w:rsidRPr="00471CBA">
        <w:rPr>
          <w:b/>
          <w:szCs w:val="20"/>
        </w:rPr>
        <w:tab/>
        <w:t>LİKİDİTE RİSKİNE İLİŞKİN AÇIKLAMALAR (Devamı)</w:t>
      </w:r>
    </w:p>
    <w:p w14:paraId="69C79B45" w14:textId="5ADC77FC" w:rsidR="00A74C68" w:rsidRPr="00471CBA" w:rsidRDefault="00A74C68" w:rsidP="008A0E29">
      <w:pPr>
        <w:widowControl w:val="0"/>
        <w:spacing w:before="120"/>
        <w:ind w:left="426" w:right="188" w:hanging="425"/>
        <w:jc w:val="both"/>
      </w:pPr>
    </w:p>
    <w:tbl>
      <w:tblPr>
        <w:tblW w:w="5000" w:type="pct"/>
        <w:tblCellMar>
          <w:left w:w="70" w:type="dxa"/>
          <w:right w:w="70" w:type="dxa"/>
        </w:tblCellMar>
        <w:tblLook w:val="04A0" w:firstRow="1" w:lastRow="0" w:firstColumn="1" w:lastColumn="0" w:noHBand="0" w:noVBand="1"/>
      </w:tblPr>
      <w:tblGrid>
        <w:gridCol w:w="300"/>
        <w:gridCol w:w="5103"/>
        <w:gridCol w:w="1075"/>
        <w:gridCol w:w="934"/>
        <w:gridCol w:w="1182"/>
        <w:gridCol w:w="1035"/>
      </w:tblGrid>
      <w:tr w:rsidR="00A74C68" w:rsidRPr="00471CBA" w14:paraId="0474CF39" w14:textId="77777777" w:rsidTr="00A74C68">
        <w:trPr>
          <w:divId w:val="601498852"/>
          <w:trHeight w:val="170"/>
        </w:trPr>
        <w:tc>
          <w:tcPr>
            <w:tcW w:w="153" w:type="pct"/>
            <w:tcBorders>
              <w:top w:val="single" w:sz="4" w:space="0" w:color="auto"/>
              <w:left w:val="single" w:sz="4" w:space="0" w:color="auto"/>
              <w:bottom w:val="single" w:sz="4" w:space="0" w:color="auto"/>
              <w:right w:val="single" w:sz="4" w:space="0" w:color="auto"/>
            </w:tcBorders>
            <w:noWrap/>
            <w:hideMark/>
          </w:tcPr>
          <w:p w14:paraId="42E4254B" w14:textId="7C65D5CA" w:rsidR="00A74C68" w:rsidRPr="00471CBA" w:rsidRDefault="00A74C68" w:rsidP="00A74C68">
            <w:pPr>
              <w:rPr>
                <w:color w:val="000000"/>
                <w:sz w:val="16"/>
                <w:szCs w:val="16"/>
                <w:lang w:eastAsia="tr-TR"/>
              </w:rPr>
            </w:pPr>
            <w:r w:rsidRPr="00471CBA">
              <w:rPr>
                <w:color w:val="000000"/>
                <w:sz w:val="16"/>
                <w:szCs w:val="16"/>
                <w:lang w:eastAsia="tr-TR"/>
              </w:rPr>
              <w:t> </w:t>
            </w:r>
          </w:p>
        </w:tc>
        <w:tc>
          <w:tcPr>
            <w:tcW w:w="2672" w:type="pct"/>
            <w:tcBorders>
              <w:top w:val="single" w:sz="4" w:space="0" w:color="auto"/>
              <w:left w:val="nil"/>
              <w:bottom w:val="single" w:sz="4" w:space="0" w:color="auto"/>
              <w:right w:val="single" w:sz="4" w:space="0" w:color="auto"/>
            </w:tcBorders>
            <w:noWrap/>
            <w:vAlign w:val="center"/>
            <w:hideMark/>
          </w:tcPr>
          <w:p w14:paraId="4577980B" w14:textId="77777777" w:rsidR="00A74C68" w:rsidRPr="00471CBA" w:rsidRDefault="00A74C68" w:rsidP="00A74C68">
            <w:pPr>
              <w:rPr>
                <w:b/>
                <w:bCs/>
                <w:color w:val="000000"/>
                <w:sz w:val="16"/>
                <w:szCs w:val="16"/>
                <w:lang w:eastAsia="tr-TR"/>
              </w:rPr>
            </w:pPr>
            <w:r w:rsidRPr="00471CBA">
              <w:rPr>
                <w:b/>
                <w:bCs/>
                <w:color w:val="000000"/>
                <w:sz w:val="16"/>
                <w:szCs w:val="16"/>
                <w:lang w:eastAsia="tr-TR"/>
              </w:rPr>
              <w:t> </w:t>
            </w:r>
          </w:p>
        </w:tc>
        <w:tc>
          <w:tcPr>
            <w:tcW w:w="1087" w:type="pct"/>
            <w:gridSpan w:val="2"/>
            <w:tcBorders>
              <w:top w:val="single" w:sz="4" w:space="0" w:color="auto"/>
              <w:left w:val="nil"/>
              <w:bottom w:val="single" w:sz="4" w:space="0" w:color="auto"/>
              <w:right w:val="single" w:sz="4" w:space="0" w:color="auto"/>
            </w:tcBorders>
            <w:vAlign w:val="center"/>
            <w:hideMark/>
          </w:tcPr>
          <w:p w14:paraId="1810CA1F" w14:textId="77777777" w:rsidR="00A74C68" w:rsidRPr="00471CBA" w:rsidRDefault="00A74C68" w:rsidP="00A74C68">
            <w:pPr>
              <w:jc w:val="center"/>
              <w:rPr>
                <w:b/>
                <w:bCs/>
                <w:color w:val="000000"/>
                <w:sz w:val="16"/>
                <w:szCs w:val="16"/>
                <w:lang w:eastAsia="tr-TR"/>
              </w:rPr>
            </w:pPr>
            <w:r w:rsidRPr="00471CBA">
              <w:rPr>
                <w:b/>
                <w:bCs/>
                <w:color w:val="000000"/>
                <w:sz w:val="16"/>
                <w:szCs w:val="16"/>
                <w:lang w:eastAsia="tr-TR"/>
              </w:rPr>
              <w:t>Dikkate Alınma Oranı Uygulanmamış Toplam Değer</w:t>
            </w:r>
            <w:r w:rsidRPr="00471CBA">
              <w:rPr>
                <w:b/>
                <w:bCs/>
                <w:color w:val="000000"/>
                <w:sz w:val="16"/>
                <w:szCs w:val="16"/>
                <w:vertAlign w:val="superscript"/>
                <w:lang w:eastAsia="tr-TR"/>
              </w:rPr>
              <w:t>(*)</w:t>
            </w:r>
          </w:p>
        </w:tc>
        <w:tc>
          <w:tcPr>
            <w:tcW w:w="1088" w:type="pct"/>
            <w:gridSpan w:val="2"/>
            <w:tcBorders>
              <w:top w:val="single" w:sz="4" w:space="0" w:color="auto"/>
              <w:left w:val="nil"/>
              <w:bottom w:val="single" w:sz="4" w:space="0" w:color="auto"/>
              <w:right w:val="single" w:sz="4" w:space="0" w:color="auto"/>
            </w:tcBorders>
            <w:vAlign w:val="center"/>
            <w:hideMark/>
          </w:tcPr>
          <w:p w14:paraId="5726BEDC" w14:textId="77777777" w:rsidR="00A74C68" w:rsidRPr="00471CBA" w:rsidRDefault="00A74C68" w:rsidP="00A74C68">
            <w:pPr>
              <w:jc w:val="center"/>
              <w:rPr>
                <w:b/>
                <w:bCs/>
                <w:color w:val="000000"/>
                <w:sz w:val="16"/>
                <w:szCs w:val="16"/>
                <w:lang w:eastAsia="tr-TR"/>
              </w:rPr>
            </w:pPr>
            <w:r w:rsidRPr="00471CBA">
              <w:rPr>
                <w:b/>
                <w:bCs/>
                <w:color w:val="000000"/>
                <w:sz w:val="16"/>
                <w:szCs w:val="16"/>
                <w:lang w:eastAsia="tr-TR"/>
              </w:rPr>
              <w:t>Dikkate Alınma Oranı Uygulanmış Toplam Değer</w:t>
            </w:r>
            <w:r w:rsidRPr="00471CBA">
              <w:rPr>
                <w:b/>
                <w:bCs/>
                <w:color w:val="000000"/>
                <w:sz w:val="16"/>
                <w:szCs w:val="16"/>
                <w:vertAlign w:val="superscript"/>
                <w:lang w:eastAsia="tr-TR"/>
              </w:rPr>
              <w:t>(*)</w:t>
            </w:r>
          </w:p>
        </w:tc>
      </w:tr>
      <w:tr w:rsidR="00A74C68" w:rsidRPr="00471CBA" w14:paraId="75A00C2A" w14:textId="77777777" w:rsidTr="00A74C68">
        <w:trPr>
          <w:divId w:val="601498852"/>
          <w:trHeight w:val="170"/>
        </w:trPr>
        <w:tc>
          <w:tcPr>
            <w:tcW w:w="153" w:type="pct"/>
            <w:tcBorders>
              <w:top w:val="single" w:sz="4" w:space="0" w:color="auto"/>
              <w:left w:val="single" w:sz="4" w:space="0" w:color="auto"/>
              <w:bottom w:val="single" w:sz="4" w:space="0" w:color="auto"/>
              <w:right w:val="single" w:sz="4" w:space="0" w:color="auto"/>
            </w:tcBorders>
            <w:noWrap/>
            <w:hideMark/>
          </w:tcPr>
          <w:p w14:paraId="103E7442" w14:textId="77777777" w:rsidR="00A74C68" w:rsidRPr="00471CBA" w:rsidRDefault="00A74C68" w:rsidP="00A74C68">
            <w:pPr>
              <w:rPr>
                <w:color w:val="000000"/>
                <w:sz w:val="16"/>
                <w:szCs w:val="16"/>
                <w:lang w:eastAsia="tr-TR"/>
              </w:rPr>
            </w:pPr>
            <w:r w:rsidRPr="00471CBA">
              <w:rPr>
                <w:color w:val="000000"/>
                <w:sz w:val="16"/>
                <w:szCs w:val="16"/>
                <w:lang w:eastAsia="tr-TR"/>
              </w:rPr>
              <w:t> </w:t>
            </w:r>
          </w:p>
        </w:tc>
        <w:tc>
          <w:tcPr>
            <w:tcW w:w="2672" w:type="pct"/>
            <w:tcBorders>
              <w:top w:val="single" w:sz="4" w:space="0" w:color="auto"/>
              <w:left w:val="nil"/>
              <w:bottom w:val="single" w:sz="4" w:space="0" w:color="auto"/>
              <w:right w:val="single" w:sz="4" w:space="0" w:color="auto"/>
            </w:tcBorders>
            <w:noWrap/>
            <w:vAlign w:val="center"/>
            <w:hideMark/>
          </w:tcPr>
          <w:p w14:paraId="46FEC472" w14:textId="77777777" w:rsidR="00A74C68" w:rsidRPr="00471CBA" w:rsidRDefault="00A74C68" w:rsidP="00A74C68">
            <w:pPr>
              <w:rPr>
                <w:b/>
                <w:bCs/>
                <w:color w:val="000000"/>
                <w:sz w:val="16"/>
                <w:szCs w:val="16"/>
                <w:lang w:eastAsia="tr-TR"/>
              </w:rPr>
            </w:pPr>
            <w:r w:rsidRPr="00471CBA">
              <w:rPr>
                <w:b/>
                <w:bCs/>
                <w:color w:val="000000"/>
                <w:sz w:val="16"/>
                <w:szCs w:val="16"/>
                <w:lang w:eastAsia="tr-TR"/>
              </w:rPr>
              <w:t>31 Aralık 2024</w:t>
            </w:r>
          </w:p>
        </w:tc>
        <w:tc>
          <w:tcPr>
            <w:tcW w:w="580" w:type="pct"/>
            <w:tcBorders>
              <w:top w:val="single" w:sz="4" w:space="0" w:color="auto"/>
              <w:left w:val="nil"/>
              <w:bottom w:val="single" w:sz="4" w:space="0" w:color="auto"/>
              <w:right w:val="single" w:sz="4" w:space="0" w:color="auto"/>
            </w:tcBorders>
            <w:noWrap/>
            <w:vAlign w:val="center"/>
            <w:hideMark/>
          </w:tcPr>
          <w:p w14:paraId="36C3134B" w14:textId="77777777" w:rsidR="00A74C68" w:rsidRPr="00471CBA" w:rsidRDefault="00A74C68" w:rsidP="00A74C68">
            <w:pPr>
              <w:jc w:val="center"/>
              <w:rPr>
                <w:b/>
                <w:bCs/>
                <w:color w:val="000000"/>
                <w:sz w:val="16"/>
                <w:szCs w:val="16"/>
                <w:lang w:eastAsia="tr-TR"/>
              </w:rPr>
            </w:pPr>
            <w:r w:rsidRPr="00471CBA">
              <w:rPr>
                <w:b/>
                <w:bCs/>
                <w:color w:val="000000"/>
                <w:sz w:val="16"/>
                <w:szCs w:val="16"/>
                <w:lang w:eastAsia="tr-TR"/>
              </w:rPr>
              <w:t>TP+YP</w:t>
            </w:r>
          </w:p>
        </w:tc>
        <w:tc>
          <w:tcPr>
            <w:tcW w:w="507" w:type="pct"/>
            <w:tcBorders>
              <w:top w:val="single" w:sz="4" w:space="0" w:color="auto"/>
              <w:left w:val="nil"/>
              <w:bottom w:val="single" w:sz="4" w:space="0" w:color="auto"/>
              <w:right w:val="single" w:sz="4" w:space="0" w:color="auto"/>
            </w:tcBorders>
            <w:noWrap/>
            <w:vAlign w:val="center"/>
            <w:hideMark/>
          </w:tcPr>
          <w:p w14:paraId="74C801D4" w14:textId="77777777" w:rsidR="00A74C68" w:rsidRPr="00471CBA" w:rsidRDefault="00A74C68" w:rsidP="00A74C68">
            <w:pPr>
              <w:jc w:val="center"/>
              <w:rPr>
                <w:b/>
                <w:bCs/>
                <w:color w:val="000000"/>
                <w:sz w:val="16"/>
                <w:szCs w:val="16"/>
                <w:lang w:eastAsia="tr-TR"/>
              </w:rPr>
            </w:pPr>
            <w:r w:rsidRPr="00471CBA">
              <w:rPr>
                <w:b/>
                <w:bCs/>
                <w:color w:val="000000"/>
                <w:sz w:val="16"/>
                <w:szCs w:val="16"/>
                <w:lang w:eastAsia="tr-TR"/>
              </w:rPr>
              <w:t>YP</w:t>
            </w:r>
          </w:p>
        </w:tc>
        <w:tc>
          <w:tcPr>
            <w:tcW w:w="580" w:type="pct"/>
            <w:tcBorders>
              <w:top w:val="single" w:sz="4" w:space="0" w:color="auto"/>
              <w:left w:val="nil"/>
              <w:bottom w:val="single" w:sz="4" w:space="0" w:color="auto"/>
              <w:right w:val="single" w:sz="4" w:space="0" w:color="auto"/>
            </w:tcBorders>
            <w:noWrap/>
            <w:vAlign w:val="center"/>
            <w:hideMark/>
          </w:tcPr>
          <w:p w14:paraId="37FB1D33" w14:textId="77777777" w:rsidR="00A74C68" w:rsidRPr="00471CBA" w:rsidRDefault="00A74C68" w:rsidP="00A74C68">
            <w:pPr>
              <w:jc w:val="center"/>
              <w:rPr>
                <w:b/>
                <w:bCs/>
                <w:color w:val="000000"/>
                <w:sz w:val="16"/>
                <w:szCs w:val="16"/>
                <w:lang w:eastAsia="tr-TR"/>
              </w:rPr>
            </w:pPr>
            <w:r w:rsidRPr="00471CBA">
              <w:rPr>
                <w:b/>
                <w:bCs/>
                <w:color w:val="000000"/>
                <w:sz w:val="16"/>
                <w:szCs w:val="16"/>
                <w:lang w:eastAsia="tr-TR"/>
              </w:rPr>
              <w:t>TP+YP</w:t>
            </w:r>
          </w:p>
        </w:tc>
        <w:tc>
          <w:tcPr>
            <w:tcW w:w="508" w:type="pct"/>
            <w:tcBorders>
              <w:top w:val="single" w:sz="4" w:space="0" w:color="auto"/>
              <w:left w:val="nil"/>
              <w:bottom w:val="single" w:sz="4" w:space="0" w:color="auto"/>
              <w:right w:val="single" w:sz="4" w:space="0" w:color="auto"/>
            </w:tcBorders>
            <w:noWrap/>
            <w:vAlign w:val="center"/>
            <w:hideMark/>
          </w:tcPr>
          <w:p w14:paraId="379BF8AE" w14:textId="77777777" w:rsidR="00A74C68" w:rsidRPr="00471CBA" w:rsidRDefault="00A74C68" w:rsidP="00A74C68">
            <w:pPr>
              <w:jc w:val="center"/>
              <w:rPr>
                <w:b/>
                <w:bCs/>
                <w:color w:val="000000"/>
                <w:sz w:val="16"/>
                <w:szCs w:val="16"/>
                <w:lang w:eastAsia="tr-TR"/>
              </w:rPr>
            </w:pPr>
            <w:r w:rsidRPr="00471CBA">
              <w:rPr>
                <w:b/>
                <w:bCs/>
                <w:color w:val="000000"/>
                <w:sz w:val="16"/>
                <w:szCs w:val="16"/>
                <w:lang w:eastAsia="tr-TR"/>
              </w:rPr>
              <w:t>YP</w:t>
            </w:r>
          </w:p>
        </w:tc>
      </w:tr>
      <w:tr w:rsidR="00A74C68" w:rsidRPr="00471CBA" w14:paraId="20570913" w14:textId="77777777" w:rsidTr="00A74C68">
        <w:trPr>
          <w:divId w:val="601498852"/>
          <w:trHeight w:val="170"/>
        </w:trPr>
        <w:tc>
          <w:tcPr>
            <w:tcW w:w="153" w:type="pct"/>
            <w:tcBorders>
              <w:top w:val="single" w:sz="4" w:space="0" w:color="auto"/>
              <w:left w:val="single" w:sz="4" w:space="0" w:color="auto"/>
              <w:bottom w:val="single" w:sz="4" w:space="0" w:color="auto"/>
              <w:right w:val="single" w:sz="4" w:space="0" w:color="auto"/>
            </w:tcBorders>
            <w:noWrap/>
            <w:hideMark/>
          </w:tcPr>
          <w:p w14:paraId="17FFA91C" w14:textId="77777777" w:rsidR="00A74C68" w:rsidRPr="00471CBA" w:rsidRDefault="00A74C68" w:rsidP="00A74C68">
            <w:pPr>
              <w:rPr>
                <w:color w:val="000000"/>
                <w:sz w:val="16"/>
                <w:szCs w:val="16"/>
                <w:lang w:eastAsia="tr-TR"/>
              </w:rPr>
            </w:pPr>
            <w:r w:rsidRPr="00471CBA">
              <w:rPr>
                <w:color w:val="000000"/>
                <w:sz w:val="16"/>
                <w:szCs w:val="16"/>
                <w:lang w:eastAsia="tr-TR"/>
              </w:rPr>
              <w:t> </w:t>
            </w:r>
          </w:p>
        </w:tc>
        <w:tc>
          <w:tcPr>
            <w:tcW w:w="2672" w:type="pct"/>
            <w:tcBorders>
              <w:top w:val="single" w:sz="4" w:space="0" w:color="auto"/>
              <w:left w:val="nil"/>
              <w:bottom w:val="single" w:sz="4" w:space="0" w:color="auto"/>
              <w:right w:val="single" w:sz="4" w:space="0" w:color="auto"/>
            </w:tcBorders>
            <w:noWrap/>
            <w:hideMark/>
          </w:tcPr>
          <w:p w14:paraId="460768C5" w14:textId="77777777" w:rsidR="00A74C68" w:rsidRPr="00471CBA" w:rsidRDefault="00A74C68" w:rsidP="00A74C68">
            <w:pPr>
              <w:rPr>
                <w:b/>
                <w:bCs/>
                <w:color w:val="000000"/>
                <w:sz w:val="16"/>
                <w:szCs w:val="16"/>
                <w:lang w:eastAsia="tr-TR"/>
              </w:rPr>
            </w:pPr>
            <w:r w:rsidRPr="00471CBA">
              <w:rPr>
                <w:b/>
                <w:bCs/>
                <w:color w:val="000000"/>
                <w:sz w:val="16"/>
                <w:szCs w:val="16"/>
                <w:lang w:eastAsia="tr-TR"/>
              </w:rPr>
              <w:t>YÜKSEK KALİTELİ LİKİT VARLIKLAR (YKLV)</w:t>
            </w:r>
          </w:p>
        </w:tc>
        <w:tc>
          <w:tcPr>
            <w:tcW w:w="580" w:type="pct"/>
            <w:tcBorders>
              <w:top w:val="single" w:sz="4" w:space="0" w:color="auto"/>
              <w:left w:val="nil"/>
              <w:bottom w:val="single" w:sz="4" w:space="0" w:color="auto"/>
              <w:right w:val="single" w:sz="4" w:space="0" w:color="auto"/>
            </w:tcBorders>
            <w:noWrap/>
            <w:vAlign w:val="bottom"/>
            <w:hideMark/>
          </w:tcPr>
          <w:p w14:paraId="254B1FFD" w14:textId="77777777" w:rsidR="00A74C68" w:rsidRPr="00471CBA" w:rsidRDefault="00A74C68" w:rsidP="00A74C68">
            <w:pPr>
              <w:jc w:val="right"/>
              <w:rPr>
                <w:color w:val="000000"/>
                <w:sz w:val="16"/>
                <w:szCs w:val="16"/>
                <w:lang w:eastAsia="tr-TR"/>
              </w:rPr>
            </w:pPr>
            <w:r w:rsidRPr="00471CBA">
              <w:rPr>
                <w:color w:val="000000"/>
                <w:sz w:val="16"/>
                <w:szCs w:val="16"/>
                <w:lang w:eastAsia="tr-TR"/>
              </w:rPr>
              <w:t> </w:t>
            </w:r>
          </w:p>
        </w:tc>
        <w:tc>
          <w:tcPr>
            <w:tcW w:w="507" w:type="pct"/>
            <w:tcBorders>
              <w:top w:val="single" w:sz="4" w:space="0" w:color="auto"/>
              <w:left w:val="nil"/>
              <w:bottom w:val="single" w:sz="4" w:space="0" w:color="auto"/>
              <w:right w:val="single" w:sz="4" w:space="0" w:color="auto"/>
            </w:tcBorders>
            <w:noWrap/>
            <w:vAlign w:val="center"/>
            <w:hideMark/>
          </w:tcPr>
          <w:p w14:paraId="4E16FF41" w14:textId="77777777" w:rsidR="00A74C68" w:rsidRPr="00471CBA" w:rsidRDefault="00A74C68" w:rsidP="00A74C68">
            <w:pPr>
              <w:jc w:val="right"/>
              <w:rPr>
                <w:color w:val="000000"/>
                <w:sz w:val="16"/>
                <w:szCs w:val="16"/>
                <w:lang w:eastAsia="tr-TR"/>
              </w:rPr>
            </w:pPr>
            <w:r w:rsidRPr="00471CBA">
              <w:rPr>
                <w:color w:val="000000"/>
                <w:sz w:val="16"/>
                <w:szCs w:val="16"/>
                <w:lang w:eastAsia="tr-TR"/>
              </w:rPr>
              <w:t> </w:t>
            </w:r>
          </w:p>
        </w:tc>
        <w:tc>
          <w:tcPr>
            <w:tcW w:w="580" w:type="pct"/>
            <w:tcBorders>
              <w:top w:val="single" w:sz="4" w:space="0" w:color="auto"/>
              <w:left w:val="nil"/>
              <w:bottom w:val="single" w:sz="4" w:space="0" w:color="auto"/>
              <w:right w:val="single" w:sz="4" w:space="0" w:color="auto"/>
            </w:tcBorders>
            <w:noWrap/>
            <w:vAlign w:val="bottom"/>
            <w:hideMark/>
          </w:tcPr>
          <w:p w14:paraId="634B525A" w14:textId="77777777" w:rsidR="00A74C68" w:rsidRPr="00471CBA" w:rsidRDefault="00A74C68" w:rsidP="00A74C68">
            <w:pPr>
              <w:jc w:val="right"/>
              <w:rPr>
                <w:color w:val="000000"/>
                <w:sz w:val="16"/>
                <w:szCs w:val="16"/>
                <w:lang w:eastAsia="tr-TR"/>
              </w:rPr>
            </w:pPr>
            <w:r w:rsidRPr="00471CBA">
              <w:rPr>
                <w:color w:val="000000"/>
                <w:sz w:val="16"/>
                <w:szCs w:val="16"/>
                <w:lang w:eastAsia="tr-TR"/>
              </w:rPr>
              <w:t> </w:t>
            </w:r>
          </w:p>
        </w:tc>
        <w:tc>
          <w:tcPr>
            <w:tcW w:w="508" w:type="pct"/>
            <w:tcBorders>
              <w:top w:val="single" w:sz="4" w:space="0" w:color="auto"/>
              <w:left w:val="nil"/>
              <w:bottom w:val="single" w:sz="4" w:space="0" w:color="auto"/>
              <w:right w:val="single" w:sz="4" w:space="0" w:color="auto"/>
            </w:tcBorders>
            <w:noWrap/>
            <w:vAlign w:val="center"/>
            <w:hideMark/>
          </w:tcPr>
          <w:p w14:paraId="5BA33C8E" w14:textId="77777777" w:rsidR="00A74C68" w:rsidRPr="00471CBA" w:rsidRDefault="00A74C68" w:rsidP="00A74C68">
            <w:pPr>
              <w:jc w:val="right"/>
              <w:rPr>
                <w:color w:val="000000"/>
                <w:sz w:val="16"/>
                <w:szCs w:val="16"/>
                <w:lang w:eastAsia="tr-TR"/>
              </w:rPr>
            </w:pPr>
            <w:r w:rsidRPr="00471CBA">
              <w:rPr>
                <w:color w:val="000000"/>
                <w:sz w:val="16"/>
                <w:szCs w:val="16"/>
                <w:lang w:eastAsia="tr-TR"/>
              </w:rPr>
              <w:t> </w:t>
            </w:r>
          </w:p>
        </w:tc>
      </w:tr>
      <w:tr w:rsidR="00A74C68" w:rsidRPr="00471CBA" w14:paraId="316E8AF9" w14:textId="77777777" w:rsidTr="00A74C68">
        <w:trPr>
          <w:divId w:val="601498852"/>
          <w:trHeight w:val="170"/>
        </w:trPr>
        <w:tc>
          <w:tcPr>
            <w:tcW w:w="153" w:type="pct"/>
            <w:tcBorders>
              <w:top w:val="single" w:sz="4" w:space="0" w:color="auto"/>
              <w:left w:val="single" w:sz="4" w:space="0" w:color="auto"/>
              <w:bottom w:val="single" w:sz="4" w:space="0" w:color="auto"/>
              <w:right w:val="single" w:sz="4" w:space="0" w:color="auto"/>
            </w:tcBorders>
            <w:noWrap/>
            <w:hideMark/>
          </w:tcPr>
          <w:p w14:paraId="4603F08C" w14:textId="77777777" w:rsidR="00A74C68" w:rsidRPr="00471CBA" w:rsidRDefault="00A74C68" w:rsidP="00A74C68">
            <w:pPr>
              <w:jc w:val="center"/>
              <w:rPr>
                <w:color w:val="000000"/>
                <w:sz w:val="16"/>
                <w:szCs w:val="16"/>
                <w:lang w:eastAsia="tr-TR"/>
              </w:rPr>
            </w:pPr>
            <w:r w:rsidRPr="00471CBA">
              <w:rPr>
                <w:color w:val="000000"/>
                <w:sz w:val="16"/>
                <w:szCs w:val="16"/>
                <w:lang w:eastAsia="tr-TR"/>
              </w:rPr>
              <w:t>1</w:t>
            </w:r>
          </w:p>
        </w:tc>
        <w:tc>
          <w:tcPr>
            <w:tcW w:w="2672" w:type="pct"/>
            <w:tcBorders>
              <w:top w:val="single" w:sz="4" w:space="0" w:color="auto"/>
              <w:left w:val="nil"/>
              <w:bottom w:val="single" w:sz="4" w:space="0" w:color="auto"/>
              <w:right w:val="single" w:sz="4" w:space="0" w:color="auto"/>
            </w:tcBorders>
            <w:noWrap/>
            <w:hideMark/>
          </w:tcPr>
          <w:p w14:paraId="2030121D" w14:textId="77777777" w:rsidR="00A74C68" w:rsidRPr="00471CBA" w:rsidRDefault="00A74C68" w:rsidP="00A74C68">
            <w:pPr>
              <w:rPr>
                <w:color w:val="000000"/>
                <w:sz w:val="16"/>
                <w:szCs w:val="16"/>
                <w:lang w:eastAsia="tr-TR"/>
              </w:rPr>
            </w:pPr>
            <w:r w:rsidRPr="00471CBA">
              <w:rPr>
                <w:color w:val="000000"/>
                <w:sz w:val="16"/>
                <w:szCs w:val="16"/>
                <w:lang w:eastAsia="tr-TR"/>
              </w:rPr>
              <w:t>YÜKSEK KALİTELİ LİKİT VARLIKLAR</w:t>
            </w:r>
          </w:p>
        </w:tc>
        <w:tc>
          <w:tcPr>
            <w:tcW w:w="580" w:type="pct"/>
            <w:tcBorders>
              <w:top w:val="single" w:sz="4" w:space="0" w:color="auto"/>
              <w:left w:val="nil"/>
              <w:bottom w:val="single" w:sz="4" w:space="0" w:color="auto"/>
              <w:right w:val="single" w:sz="4" w:space="0" w:color="auto"/>
            </w:tcBorders>
            <w:shd w:val="clear" w:color="000000" w:fill="000000"/>
            <w:noWrap/>
            <w:vAlign w:val="center"/>
            <w:hideMark/>
          </w:tcPr>
          <w:p w14:paraId="6F33A18C" w14:textId="77777777" w:rsidR="00A74C68" w:rsidRPr="00471CBA" w:rsidRDefault="00A74C68" w:rsidP="00A74C68">
            <w:pPr>
              <w:jc w:val="right"/>
              <w:rPr>
                <w:b/>
                <w:bCs/>
                <w:color w:val="FFFFFF"/>
                <w:sz w:val="16"/>
                <w:szCs w:val="16"/>
                <w:lang w:eastAsia="tr-TR"/>
              </w:rPr>
            </w:pPr>
            <w:r w:rsidRPr="00471CBA">
              <w:rPr>
                <w:b/>
                <w:bCs/>
                <w:color w:val="FFFFFF"/>
                <w:sz w:val="16"/>
                <w:szCs w:val="16"/>
                <w:lang w:eastAsia="tr-TR"/>
              </w:rPr>
              <w:t> </w:t>
            </w:r>
          </w:p>
        </w:tc>
        <w:tc>
          <w:tcPr>
            <w:tcW w:w="507" w:type="pct"/>
            <w:tcBorders>
              <w:top w:val="single" w:sz="4" w:space="0" w:color="auto"/>
              <w:left w:val="nil"/>
              <w:bottom w:val="single" w:sz="4" w:space="0" w:color="auto"/>
              <w:right w:val="single" w:sz="4" w:space="0" w:color="auto"/>
            </w:tcBorders>
            <w:shd w:val="clear" w:color="000000" w:fill="000000"/>
            <w:noWrap/>
            <w:vAlign w:val="center"/>
            <w:hideMark/>
          </w:tcPr>
          <w:p w14:paraId="2AC96ED9" w14:textId="77777777" w:rsidR="00A74C68" w:rsidRPr="00471CBA" w:rsidRDefault="00A74C68" w:rsidP="00A74C68">
            <w:pPr>
              <w:jc w:val="right"/>
              <w:rPr>
                <w:b/>
                <w:bCs/>
                <w:color w:val="FFFFFF"/>
                <w:sz w:val="16"/>
                <w:szCs w:val="16"/>
                <w:lang w:eastAsia="tr-TR"/>
              </w:rPr>
            </w:pPr>
            <w:r w:rsidRPr="00471CBA">
              <w:rPr>
                <w:b/>
                <w:bCs/>
                <w:color w:val="FFFFFF"/>
                <w:sz w:val="16"/>
                <w:szCs w:val="16"/>
                <w:lang w:eastAsia="tr-TR"/>
              </w:rPr>
              <w:t> </w:t>
            </w:r>
          </w:p>
        </w:tc>
        <w:tc>
          <w:tcPr>
            <w:tcW w:w="580" w:type="pct"/>
            <w:tcBorders>
              <w:top w:val="single" w:sz="4" w:space="0" w:color="auto"/>
              <w:left w:val="nil"/>
              <w:bottom w:val="single" w:sz="4" w:space="0" w:color="auto"/>
              <w:right w:val="single" w:sz="4" w:space="0" w:color="auto"/>
            </w:tcBorders>
            <w:vAlign w:val="center"/>
            <w:hideMark/>
          </w:tcPr>
          <w:p w14:paraId="0CAE3F65" w14:textId="77777777" w:rsidR="00A74C68" w:rsidRPr="00471CBA" w:rsidRDefault="00A74C68" w:rsidP="00A74C68">
            <w:pPr>
              <w:jc w:val="right"/>
              <w:rPr>
                <w:color w:val="000000"/>
                <w:sz w:val="16"/>
                <w:szCs w:val="16"/>
                <w:lang w:eastAsia="tr-TR"/>
              </w:rPr>
            </w:pPr>
            <w:r w:rsidRPr="00471CBA">
              <w:rPr>
                <w:color w:val="000000"/>
                <w:sz w:val="16"/>
                <w:szCs w:val="16"/>
                <w:lang w:eastAsia="tr-TR"/>
              </w:rPr>
              <w:t>4.301.413</w:t>
            </w:r>
          </w:p>
        </w:tc>
        <w:tc>
          <w:tcPr>
            <w:tcW w:w="508" w:type="pct"/>
            <w:tcBorders>
              <w:top w:val="single" w:sz="4" w:space="0" w:color="auto"/>
              <w:left w:val="nil"/>
              <w:bottom w:val="single" w:sz="4" w:space="0" w:color="auto"/>
              <w:right w:val="single" w:sz="4" w:space="0" w:color="auto"/>
            </w:tcBorders>
            <w:vAlign w:val="center"/>
            <w:hideMark/>
          </w:tcPr>
          <w:p w14:paraId="13C2C0E3" w14:textId="77777777" w:rsidR="00A74C68" w:rsidRPr="00471CBA" w:rsidRDefault="00A74C68" w:rsidP="00A74C68">
            <w:pPr>
              <w:jc w:val="right"/>
              <w:rPr>
                <w:color w:val="000000"/>
                <w:sz w:val="16"/>
                <w:szCs w:val="16"/>
                <w:lang w:eastAsia="tr-TR"/>
              </w:rPr>
            </w:pPr>
            <w:r w:rsidRPr="00471CBA">
              <w:rPr>
                <w:color w:val="000000"/>
                <w:sz w:val="16"/>
                <w:szCs w:val="16"/>
                <w:lang w:eastAsia="tr-TR"/>
              </w:rPr>
              <w:t>2.631.654</w:t>
            </w:r>
          </w:p>
        </w:tc>
      </w:tr>
      <w:tr w:rsidR="00A74C68" w:rsidRPr="00471CBA" w14:paraId="10B1CD04" w14:textId="77777777" w:rsidTr="00A74C68">
        <w:trPr>
          <w:divId w:val="601498852"/>
          <w:trHeight w:val="170"/>
        </w:trPr>
        <w:tc>
          <w:tcPr>
            <w:tcW w:w="153" w:type="pct"/>
            <w:tcBorders>
              <w:top w:val="single" w:sz="4" w:space="0" w:color="auto"/>
              <w:left w:val="single" w:sz="4" w:space="0" w:color="auto"/>
              <w:bottom w:val="single" w:sz="4" w:space="0" w:color="auto"/>
              <w:right w:val="single" w:sz="4" w:space="0" w:color="auto"/>
            </w:tcBorders>
            <w:noWrap/>
            <w:hideMark/>
          </w:tcPr>
          <w:p w14:paraId="78D6495F" w14:textId="77777777" w:rsidR="00A74C68" w:rsidRPr="00471CBA" w:rsidRDefault="00A74C68" w:rsidP="00A74C68">
            <w:pPr>
              <w:rPr>
                <w:color w:val="000000"/>
                <w:sz w:val="16"/>
                <w:szCs w:val="16"/>
                <w:lang w:eastAsia="tr-TR"/>
              </w:rPr>
            </w:pPr>
            <w:r w:rsidRPr="00471CBA">
              <w:rPr>
                <w:color w:val="000000"/>
                <w:sz w:val="16"/>
                <w:szCs w:val="16"/>
                <w:lang w:eastAsia="tr-TR"/>
              </w:rPr>
              <w:t> </w:t>
            </w:r>
          </w:p>
        </w:tc>
        <w:tc>
          <w:tcPr>
            <w:tcW w:w="2672" w:type="pct"/>
            <w:tcBorders>
              <w:top w:val="single" w:sz="4" w:space="0" w:color="auto"/>
              <w:left w:val="nil"/>
              <w:bottom w:val="single" w:sz="4" w:space="0" w:color="auto"/>
              <w:right w:val="single" w:sz="4" w:space="0" w:color="auto"/>
            </w:tcBorders>
            <w:noWrap/>
            <w:hideMark/>
          </w:tcPr>
          <w:p w14:paraId="4FC9B653" w14:textId="77777777" w:rsidR="00A74C68" w:rsidRPr="00471CBA" w:rsidRDefault="00A74C68" w:rsidP="00A74C68">
            <w:pPr>
              <w:rPr>
                <w:b/>
                <w:bCs/>
                <w:color w:val="000000"/>
                <w:sz w:val="16"/>
                <w:szCs w:val="16"/>
                <w:lang w:eastAsia="tr-TR"/>
              </w:rPr>
            </w:pPr>
            <w:r w:rsidRPr="00471CBA">
              <w:rPr>
                <w:b/>
                <w:bCs/>
                <w:color w:val="000000"/>
                <w:sz w:val="16"/>
                <w:szCs w:val="16"/>
                <w:lang w:eastAsia="tr-TR"/>
              </w:rPr>
              <w:t>NAKİT ÇIKIŞLARI</w:t>
            </w:r>
          </w:p>
        </w:tc>
        <w:tc>
          <w:tcPr>
            <w:tcW w:w="580" w:type="pct"/>
            <w:tcBorders>
              <w:top w:val="single" w:sz="4" w:space="0" w:color="auto"/>
              <w:left w:val="nil"/>
              <w:bottom w:val="single" w:sz="4" w:space="0" w:color="auto"/>
              <w:right w:val="single" w:sz="4" w:space="0" w:color="auto"/>
            </w:tcBorders>
            <w:noWrap/>
            <w:vAlign w:val="bottom"/>
            <w:hideMark/>
          </w:tcPr>
          <w:p w14:paraId="08646EE3" w14:textId="77777777" w:rsidR="00A74C68" w:rsidRPr="00471CBA" w:rsidRDefault="00A74C68" w:rsidP="00A74C68">
            <w:pPr>
              <w:jc w:val="right"/>
              <w:rPr>
                <w:color w:val="000000"/>
                <w:sz w:val="16"/>
                <w:szCs w:val="16"/>
                <w:lang w:eastAsia="tr-TR"/>
              </w:rPr>
            </w:pPr>
            <w:r w:rsidRPr="00471CBA">
              <w:rPr>
                <w:color w:val="000000"/>
                <w:sz w:val="16"/>
                <w:szCs w:val="16"/>
                <w:lang w:eastAsia="tr-TR"/>
              </w:rPr>
              <w:t> </w:t>
            </w:r>
          </w:p>
        </w:tc>
        <w:tc>
          <w:tcPr>
            <w:tcW w:w="507" w:type="pct"/>
            <w:tcBorders>
              <w:top w:val="single" w:sz="4" w:space="0" w:color="auto"/>
              <w:left w:val="nil"/>
              <w:bottom w:val="single" w:sz="4" w:space="0" w:color="auto"/>
              <w:right w:val="single" w:sz="4" w:space="0" w:color="auto"/>
            </w:tcBorders>
            <w:noWrap/>
            <w:vAlign w:val="center"/>
            <w:hideMark/>
          </w:tcPr>
          <w:p w14:paraId="0FFEC10D" w14:textId="77777777" w:rsidR="00A74C68" w:rsidRPr="00471CBA" w:rsidRDefault="00A74C68" w:rsidP="00A74C68">
            <w:pPr>
              <w:jc w:val="right"/>
              <w:rPr>
                <w:color w:val="000000"/>
                <w:sz w:val="16"/>
                <w:szCs w:val="16"/>
                <w:lang w:eastAsia="tr-TR"/>
              </w:rPr>
            </w:pPr>
            <w:r w:rsidRPr="00471CBA">
              <w:rPr>
                <w:color w:val="000000"/>
                <w:sz w:val="16"/>
                <w:szCs w:val="16"/>
                <w:lang w:eastAsia="tr-TR"/>
              </w:rPr>
              <w:t> </w:t>
            </w:r>
          </w:p>
        </w:tc>
        <w:tc>
          <w:tcPr>
            <w:tcW w:w="580" w:type="pct"/>
            <w:tcBorders>
              <w:top w:val="single" w:sz="4" w:space="0" w:color="auto"/>
              <w:left w:val="nil"/>
              <w:bottom w:val="single" w:sz="4" w:space="0" w:color="auto"/>
              <w:right w:val="single" w:sz="4" w:space="0" w:color="auto"/>
            </w:tcBorders>
            <w:noWrap/>
            <w:vAlign w:val="bottom"/>
            <w:hideMark/>
          </w:tcPr>
          <w:p w14:paraId="3B40C73F" w14:textId="77777777" w:rsidR="00A74C68" w:rsidRPr="00471CBA" w:rsidRDefault="00A74C68" w:rsidP="00A74C68">
            <w:pPr>
              <w:jc w:val="right"/>
              <w:rPr>
                <w:color w:val="000000"/>
                <w:sz w:val="16"/>
                <w:szCs w:val="16"/>
                <w:lang w:eastAsia="tr-TR"/>
              </w:rPr>
            </w:pPr>
            <w:r w:rsidRPr="00471CBA">
              <w:rPr>
                <w:color w:val="000000"/>
                <w:sz w:val="16"/>
                <w:szCs w:val="16"/>
                <w:lang w:eastAsia="tr-TR"/>
              </w:rPr>
              <w:t> </w:t>
            </w:r>
          </w:p>
        </w:tc>
        <w:tc>
          <w:tcPr>
            <w:tcW w:w="508" w:type="pct"/>
            <w:tcBorders>
              <w:top w:val="single" w:sz="4" w:space="0" w:color="auto"/>
              <w:left w:val="nil"/>
              <w:bottom w:val="single" w:sz="4" w:space="0" w:color="auto"/>
              <w:right w:val="single" w:sz="4" w:space="0" w:color="auto"/>
            </w:tcBorders>
            <w:noWrap/>
            <w:vAlign w:val="center"/>
            <w:hideMark/>
          </w:tcPr>
          <w:p w14:paraId="3F288637" w14:textId="77777777" w:rsidR="00A74C68" w:rsidRPr="00471CBA" w:rsidRDefault="00A74C68" w:rsidP="00A74C68">
            <w:pPr>
              <w:jc w:val="right"/>
              <w:rPr>
                <w:color w:val="000000"/>
                <w:sz w:val="16"/>
                <w:szCs w:val="16"/>
                <w:lang w:eastAsia="tr-TR"/>
              </w:rPr>
            </w:pPr>
            <w:r w:rsidRPr="00471CBA">
              <w:rPr>
                <w:color w:val="000000"/>
                <w:sz w:val="16"/>
                <w:szCs w:val="16"/>
                <w:lang w:eastAsia="tr-TR"/>
              </w:rPr>
              <w:t> </w:t>
            </w:r>
          </w:p>
        </w:tc>
      </w:tr>
      <w:tr w:rsidR="00A74C68" w:rsidRPr="00471CBA" w14:paraId="45720E40" w14:textId="77777777" w:rsidTr="00A74C68">
        <w:trPr>
          <w:divId w:val="601498852"/>
          <w:trHeight w:val="170"/>
        </w:trPr>
        <w:tc>
          <w:tcPr>
            <w:tcW w:w="153" w:type="pct"/>
            <w:tcBorders>
              <w:top w:val="nil"/>
              <w:left w:val="single" w:sz="4" w:space="0" w:color="auto"/>
              <w:bottom w:val="nil"/>
              <w:right w:val="single" w:sz="4" w:space="0" w:color="auto"/>
            </w:tcBorders>
            <w:noWrap/>
            <w:hideMark/>
          </w:tcPr>
          <w:p w14:paraId="1012CE8D" w14:textId="77777777" w:rsidR="00A74C68" w:rsidRPr="00471CBA" w:rsidRDefault="00A74C68" w:rsidP="00A74C68">
            <w:pPr>
              <w:jc w:val="center"/>
              <w:rPr>
                <w:color w:val="000000"/>
                <w:sz w:val="16"/>
                <w:szCs w:val="16"/>
                <w:lang w:eastAsia="tr-TR"/>
              </w:rPr>
            </w:pPr>
            <w:r w:rsidRPr="00471CBA">
              <w:rPr>
                <w:color w:val="000000"/>
                <w:sz w:val="16"/>
                <w:szCs w:val="16"/>
                <w:lang w:eastAsia="tr-TR"/>
              </w:rPr>
              <w:t>2</w:t>
            </w:r>
          </w:p>
        </w:tc>
        <w:tc>
          <w:tcPr>
            <w:tcW w:w="2672" w:type="pct"/>
            <w:tcBorders>
              <w:top w:val="nil"/>
              <w:left w:val="nil"/>
              <w:bottom w:val="nil"/>
              <w:right w:val="single" w:sz="4" w:space="0" w:color="auto"/>
            </w:tcBorders>
            <w:noWrap/>
            <w:hideMark/>
          </w:tcPr>
          <w:p w14:paraId="3C8A9E43" w14:textId="77777777" w:rsidR="00A74C68" w:rsidRPr="00471CBA" w:rsidRDefault="00A74C68" w:rsidP="00A74C68">
            <w:pPr>
              <w:rPr>
                <w:color w:val="000000"/>
                <w:sz w:val="16"/>
                <w:szCs w:val="16"/>
                <w:lang w:eastAsia="tr-TR"/>
              </w:rPr>
            </w:pPr>
            <w:r w:rsidRPr="00471CBA">
              <w:rPr>
                <w:color w:val="000000"/>
                <w:sz w:val="16"/>
                <w:szCs w:val="16"/>
                <w:lang w:eastAsia="tr-TR"/>
              </w:rPr>
              <w:t>Gerçek kişi toplanan fon ve perakende toplanan fon</w:t>
            </w:r>
          </w:p>
        </w:tc>
        <w:tc>
          <w:tcPr>
            <w:tcW w:w="580" w:type="pct"/>
            <w:tcBorders>
              <w:top w:val="nil"/>
              <w:left w:val="nil"/>
              <w:bottom w:val="nil"/>
              <w:right w:val="single" w:sz="4" w:space="0" w:color="auto"/>
            </w:tcBorders>
            <w:vAlign w:val="center"/>
            <w:hideMark/>
          </w:tcPr>
          <w:p w14:paraId="2CE63C2B" w14:textId="77777777" w:rsidR="00A74C68" w:rsidRPr="00471CBA" w:rsidRDefault="00A74C68" w:rsidP="00A74C68">
            <w:pPr>
              <w:jc w:val="right"/>
              <w:rPr>
                <w:color w:val="000000"/>
                <w:sz w:val="16"/>
                <w:szCs w:val="16"/>
                <w:lang w:eastAsia="tr-TR"/>
              </w:rPr>
            </w:pPr>
            <w:r w:rsidRPr="00471CBA">
              <w:rPr>
                <w:color w:val="000000"/>
                <w:sz w:val="16"/>
                <w:szCs w:val="16"/>
                <w:lang w:eastAsia="tr-TR"/>
              </w:rPr>
              <w:t>920.565</w:t>
            </w:r>
          </w:p>
        </w:tc>
        <w:tc>
          <w:tcPr>
            <w:tcW w:w="507" w:type="pct"/>
            <w:tcBorders>
              <w:top w:val="nil"/>
              <w:left w:val="nil"/>
              <w:bottom w:val="nil"/>
              <w:right w:val="single" w:sz="4" w:space="0" w:color="auto"/>
            </w:tcBorders>
            <w:vAlign w:val="center"/>
            <w:hideMark/>
          </w:tcPr>
          <w:p w14:paraId="179F1092" w14:textId="77777777" w:rsidR="00A74C68" w:rsidRPr="00471CBA" w:rsidRDefault="00A74C68" w:rsidP="00A74C68">
            <w:pPr>
              <w:jc w:val="right"/>
              <w:rPr>
                <w:color w:val="000000"/>
                <w:sz w:val="16"/>
                <w:szCs w:val="16"/>
                <w:lang w:eastAsia="tr-TR"/>
              </w:rPr>
            </w:pPr>
            <w:r w:rsidRPr="00471CBA">
              <w:rPr>
                <w:color w:val="000000"/>
                <w:sz w:val="16"/>
                <w:szCs w:val="16"/>
                <w:lang w:eastAsia="tr-TR"/>
              </w:rPr>
              <w:t>586.825</w:t>
            </w:r>
          </w:p>
        </w:tc>
        <w:tc>
          <w:tcPr>
            <w:tcW w:w="580" w:type="pct"/>
            <w:tcBorders>
              <w:top w:val="nil"/>
              <w:left w:val="nil"/>
              <w:bottom w:val="nil"/>
              <w:right w:val="single" w:sz="4" w:space="0" w:color="auto"/>
            </w:tcBorders>
            <w:vAlign w:val="center"/>
            <w:hideMark/>
          </w:tcPr>
          <w:p w14:paraId="4C4B6770" w14:textId="77777777" w:rsidR="00A74C68" w:rsidRPr="00471CBA" w:rsidRDefault="00A74C68" w:rsidP="00A74C68">
            <w:pPr>
              <w:jc w:val="right"/>
              <w:rPr>
                <w:color w:val="000000"/>
                <w:sz w:val="16"/>
                <w:szCs w:val="16"/>
                <w:lang w:eastAsia="tr-TR"/>
              </w:rPr>
            </w:pPr>
            <w:r w:rsidRPr="00471CBA">
              <w:rPr>
                <w:color w:val="000000"/>
                <w:sz w:val="16"/>
                <w:szCs w:val="16"/>
                <w:lang w:eastAsia="tr-TR"/>
              </w:rPr>
              <w:t>92.057</w:t>
            </w:r>
          </w:p>
        </w:tc>
        <w:tc>
          <w:tcPr>
            <w:tcW w:w="508" w:type="pct"/>
            <w:tcBorders>
              <w:top w:val="nil"/>
              <w:left w:val="nil"/>
              <w:bottom w:val="nil"/>
              <w:right w:val="single" w:sz="4" w:space="0" w:color="auto"/>
            </w:tcBorders>
            <w:vAlign w:val="center"/>
            <w:hideMark/>
          </w:tcPr>
          <w:p w14:paraId="03CC0896" w14:textId="77777777" w:rsidR="00A74C68" w:rsidRPr="00471CBA" w:rsidRDefault="00A74C68" w:rsidP="00A74C68">
            <w:pPr>
              <w:jc w:val="right"/>
              <w:rPr>
                <w:color w:val="000000"/>
                <w:sz w:val="16"/>
                <w:szCs w:val="16"/>
                <w:lang w:eastAsia="tr-TR"/>
              </w:rPr>
            </w:pPr>
            <w:r w:rsidRPr="00471CBA">
              <w:rPr>
                <w:color w:val="000000"/>
                <w:sz w:val="16"/>
                <w:szCs w:val="16"/>
                <w:lang w:eastAsia="tr-TR"/>
              </w:rPr>
              <w:t>58.683</w:t>
            </w:r>
          </w:p>
        </w:tc>
      </w:tr>
      <w:tr w:rsidR="00A74C68" w:rsidRPr="00471CBA" w14:paraId="45113FDF" w14:textId="77777777" w:rsidTr="00A74C68">
        <w:trPr>
          <w:divId w:val="601498852"/>
          <w:trHeight w:val="170"/>
        </w:trPr>
        <w:tc>
          <w:tcPr>
            <w:tcW w:w="153" w:type="pct"/>
            <w:tcBorders>
              <w:top w:val="nil"/>
              <w:left w:val="single" w:sz="4" w:space="0" w:color="auto"/>
              <w:bottom w:val="nil"/>
              <w:right w:val="single" w:sz="4" w:space="0" w:color="auto"/>
            </w:tcBorders>
            <w:noWrap/>
            <w:hideMark/>
          </w:tcPr>
          <w:p w14:paraId="43998A16" w14:textId="77777777" w:rsidR="00A74C68" w:rsidRPr="00471CBA" w:rsidRDefault="00A74C68" w:rsidP="00A74C68">
            <w:pPr>
              <w:jc w:val="center"/>
              <w:rPr>
                <w:color w:val="000000"/>
                <w:sz w:val="16"/>
                <w:szCs w:val="16"/>
                <w:lang w:eastAsia="tr-TR"/>
              </w:rPr>
            </w:pPr>
            <w:r w:rsidRPr="00471CBA">
              <w:rPr>
                <w:color w:val="000000"/>
                <w:sz w:val="16"/>
                <w:szCs w:val="16"/>
                <w:lang w:eastAsia="tr-TR"/>
              </w:rPr>
              <w:t>3</w:t>
            </w:r>
          </w:p>
        </w:tc>
        <w:tc>
          <w:tcPr>
            <w:tcW w:w="2672" w:type="pct"/>
            <w:tcBorders>
              <w:top w:val="nil"/>
              <w:left w:val="nil"/>
              <w:bottom w:val="nil"/>
              <w:right w:val="single" w:sz="4" w:space="0" w:color="auto"/>
            </w:tcBorders>
            <w:noWrap/>
            <w:hideMark/>
          </w:tcPr>
          <w:p w14:paraId="745349DA" w14:textId="77777777" w:rsidR="00A74C68" w:rsidRPr="00471CBA" w:rsidRDefault="00A74C68" w:rsidP="00A74C68">
            <w:pPr>
              <w:ind w:firstLineChars="100" w:firstLine="160"/>
              <w:rPr>
                <w:color w:val="000000"/>
                <w:sz w:val="16"/>
                <w:szCs w:val="16"/>
                <w:lang w:eastAsia="tr-TR"/>
              </w:rPr>
            </w:pPr>
            <w:r w:rsidRPr="00471CBA">
              <w:rPr>
                <w:color w:val="000000"/>
                <w:sz w:val="16"/>
                <w:szCs w:val="16"/>
                <w:lang w:eastAsia="tr-TR"/>
              </w:rPr>
              <w:t>İstikrarlı toplanan fon</w:t>
            </w:r>
          </w:p>
        </w:tc>
        <w:tc>
          <w:tcPr>
            <w:tcW w:w="580" w:type="pct"/>
            <w:tcBorders>
              <w:top w:val="nil"/>
              <w:left w:val="nil"/>
              <w:bottom w:val="nil"/>
              <w:right w:val="single" w:sz="4" w:space="0" w:color="auto"/>
            </w:tcBorders>
            <w:vAlign w:val="center"/>
            <w:hideMark/>
          </w:tcPr>
          <w:p w14:paraId="3A45248F"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c>
          <w:tcPr>
            <w:tcW w:w="507" w:type="pct"/>
            <w:tcBorders>
              <w:top w:val="nil"/>
              <w:left w:val="nil"/>
              <w:bottom w:val="nil"/>
              <w:right w:val="single" w:sz="4" w:space="0" w:color="auto"/>
            </w:tcBorders>
            <w:vAlign w:val="center"/>
            <w:hideMark/>
          </w:tcPr>
          <w:p w14:paraId="09985F3D"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c>
          <w:tcPr>
            <w:tcW w:w="580" w:type="pct"/>
            <w:tcBorders>
              <w:top w:val="nil"/>
              <w:left w:val="nil"/>
              <w:bottom w:val="nil"/>
              <w:right w:val="single" w:sz="4" w:space="0" w:color="auto"/>
            </w:tcBorders>
            <w:vAlign w:val="center"/>
            <w:hideMark/>
          </w:tcPr>
          <w:p w14:paraId="358A601B"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c>
          <w:tcPr>
            <w:tcW w:w="508" w:type="pct"/>
            <w:tcBorders>
              <w:top w:val="nil"/>
              <w:left w:val="nil"/>
              <w:bottom w:val="nil"/>
              <w:right w:val="single" w:sz="4" w:space="0" w:color="auto"/>
            </w:tcBorders>
            <w:vAlign w:val="center"/>
            <w:hideMark/>
          </w:tcPr>
          <w:p w14:paraId="1895C773"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r>
      <w:tr w:rsidR="00A74C68" w:rsidRPr="00471CBA" w14:paraId="5C6BACF8" w14:textId="77777777" w:rsidTr="00A74C68">
        <w:trPr>
          <w:divId w:val="601498852"/>
          <w:trHeight w:val="170"/>
        </w:trPr>
        <w:tc>
          <w:tcPr>
            <w:tcW w:w="153" w:type="pct"/>
            <w:tcBorders>
              <w:top w:val="nil"/>
              <w:left w:val="single" w:sz="4" w:space="0" w:color="auto"/>
              <w:bottom w:val="nil"/>
              <w:right w:val="single" w:sz="4" w:space="0" w:color="auto"/>
            </w:tcBorders>
            <w:noWrap/>
            <w:hideMark/>
          </w:tcPr>
          <w:p w14:paraId="41CC3796" w14:textId="77777777" w:rsidR="00A74C68" w:rsidRPr="00471CBA" w:rsidRDefault="00A74C68" w:rsidP="00A74C68">
            <w:pPr>
              <w:jc w:val="center"/>
              <w:rPr>
                <w:color w:val="000000"/>
                <w:sz w:val="16"/>
                <w:szCs w:val="16"/>
                <w:lang w:eastAsia="tr-TR"/>
              </w:rPr>
            </w:pPr>
            <w:r w:rsidRPr="00471CBA">
              <w:rPr>
                <w:color w:val="000000"/>
                <w:sz w:val="16"/>
                <w:szCs w:val="16"/>
                <w:lang w:eastAsia="tr-TR"/>
              </w:rPr>
              <w:t>4</w:t>
            </w:r>
          </w:p>
        </w:tc>
        <w:tc>
          <w:tcPr>
            <w:tcW w:w="2672" w:type="pct"/>
            <w:tcBorders>
              <w:top w:val="nil"/>
              <w:left w:val="nil"/>
              <w:bottom w:val="nil"/>
              <w:right w:val="single" w:sz="4" w:space="0" w:color="auto"/>
            </w:tcBorders>
            <w:noWrap/>
            <w:hideMark/>
          </w:tcPr>
          <w:p w14:paraId="527D4CB5" w14:textId="77777777" w:rsidR="00A74C68" w:rsidRPr="00471CBA" w:rsidRDefault="00A74C68" w:rsidP="00A74C68">
            <w:pPr>
              <w:ind w:firstLineChars="100" w:firstLine="160"/>
              <w:rPr>
                <w:color w:val="000000"/>
                <w:sz w:val="16"/>
                <w:szCs w:val="16"/>
                <w:lang w:eastAsia="tr-TR"/>
              </w:rPr>
            </w:pPr>
            <w:r w:rsidRPr="00471CBA">
              <w:rPr>
                <w:color w:val="000000"/>
                <w:sz w:val="16"/>
                <w:szCs w:val="16"/>
                <w:lang w:eastAsia="tr-TR"/>
              </w:rPr>
              <w:t>Düşük istikrarlı toplanan fon</w:t>
            </w:r>
          </w:p>
        </w:tc>
        <w:tc>
          <w:tcPr>
            <w:tcW w:w="580" w:type="pct"/>
            <w:tcBorders>
              <w:top w:val="nil"/>
              <w:left w:val="nil"/>
              <w:bottom w:val="nil"/>
              <w:right w:val="single" w:sz="4" w:space="0" w:color="auto"/>
            </w:tcBorders>
            <w:vAlign w:val="center"/>
            <w:hideMark/>
          </w:tcPr>
          <w:p w14:paraId="2BF4A614" w14:textId="77777777" w:rsidR="00A74C68" w:rsidRPr="00471CBA" w:rsidRDefault="00A74C68" w:rsidP="00A74C68">
            <w:pPr>
              <w:jc w:val="right"/>
              <w:rPr>
                <w:color w:val="000000"/>
                <w:sz w:val="16"/>
                <w:szCs w:val="16"/>
                <w:lang w:eastAsia="tr-TR"/>
              </w:rPr>
            </w:pPr>
            <w:r w:rsidRPr="00471CBA">
              <w:rPr>
                <w:color w:val="000000"/>
                <w:sz w:val="16"/>
                <w:szCs w:val="16"/>
                <w:lang w:eastAsia="tr-TR"/>
              </w:rPr>
              <w:t>920.565</w:t>
            </w:r>
          </w:p>
        </w:tc>
        <w:tc>
          <w:tcPr>
            <w:tcW w:w="507" w:type="pct"/>
            <w:tcBorders>
              <w:top w:val="nil"/>
              <w:left w:val="nil"/>
              <w:bottom w:val="nil"/>
              <w:right w:val="single" w:sz="4" w:space="0" w:color="auto"/>
            </w:tcBorders>
            <w:vAlign w:val="center"/>
            <w:hideMark/>
          </w:tcPr>
          <w:p w14:paraId="63941D70" w14:textId="77777777" w:rsidR="00A74C68" w:rsidRPr="00471CBA" w:rsidRDefault="00A74C68" w:rsidP="00A74C68">
            <w:pPr>
              <w:jc w:val="right"/>
              <w:rPr>
                <w:color w:val="000000"/>
                <w:sz w:val="16"/>
                <w:szCs w:val="16"/>
                <w:lang w:eastAsia="tr-TR"/>
              </w:rPr>
            </w:pPr>
            <w:r w:rsidRPr="00471CBA">
              <w:rPr>
                <w:color w:val="000000"/>
                <w:sz w:val="16"/>
                <w:szCs w:val="16"/>
                <w:lang w:eastAsia="tr-TR"/>
              </w:rPr>
              <w:t>586.825</w:t>
            </w:r>
          </w:p>
        </w:tc>
        <w:tc>
          <w:tcPr>
            <w:tcW w:w="580" w:type="pct"/>
            <w:tcBorders>
              <w:top w:val="nil"/>
              <w:left w:val="nil"/>
              <w:bottom w:val="nil"/>
              <w:right w:val="single" w:sz="4" w:space="0" w:color="auto"/>
            </w:tcBorders>
            <w:vAlign w:val="center"/>
            <w:hideMark/>
          </w:tcPr>
          <w:p w14:paraId="443A392A" w14:textId="77777777" w:rsidR="00A74C68" w:rsidRPr="00471CBA" w:rsidRDefault="00A74C68" w:rsidP="00A74C68">
            <w:pPr>
              <w:jc w:val="right"/>
              <w:rPr>
                <w:color w:val="000000"/>
                <w:sz w:val="16"/>
                <w:szCs w:val="16"/>
                <w:lang w:eastAsia="tr-TR"/>
              </w:rPr>
            </w:pPr>
            <w:r w:rsidRPr="00471CBA">
              <w:rPr>
                <w:color w:val="000000"/>
                <w:sz w:val="16"/>
                <w:szCs w:val="16"/>
                <w:lang w:eastAsia="tr-TR"/>
              </w:rPr>
              <w:t>92.057</w:t>
            </w:r>
          </w:p>
        </w:tc>
        <w:tc>
          <w:tcPr>
            <w:tcW w:w="508" w:type="pct"/>
            <w:tcBorders>
              <w:top w:val="nil"/>
              <w:left w:val="nil"/>
              <w:bottom w:val="nil"/>
              <w:right w:val="single" w:sz="4" w:space="0" w:color="auto"/>
            </w:tcBorders>
            <w:vAlign w:val="center"/>
            <w:hideMark/>
          </w:tcPr>
          <w:p w14:paraId="08AFD42E" w14:textId="77777777" w:rsidR="00A74C68" w:rsidRPr="00471CBA" w:rsidRDefault="00A74C68" w:rsidP="00A74C68">
            <w:pPr>
              <w:jc w:val="right"/>
              <w:rPr>
                <w:color w:val="000000"/>
                <w:sz w:val="16"/>
                <w:szCs w:val="16"/>
                <w:lang w:eastAsia="tr-TR"/>
              </w:rPr>
            </w:pPr>
            <w:r w:rsidRPr="00471CBA">
              <w:rPr>
                <w:color w:val="000000"/>
                <w:sz w:val="16"/>
                <w:szCs w:val="16"/>
                <w:lang w:eastAsia="tr-TR"/>
              </w:rPr>
              <w:t>58.683</w:t>
            </w:r>
          </w:p>
        </w:tc>
      </w:tr>
      <w:tr w:rsidR="00A74C68" w:rsidRPr="00471CBA" w14:paraId="19AE1C1F" w14:textId="77777777" w:rsidTr="00A74C68">
        <w:trPr>
          <w:divId w:val="601498852"/>
          <w:trHeight w:val="170"/>
        </w:trPr>
        <w:tc>
          <w:tcPr>
            <w:tcW w:w="153" w:type="pct"/>
            <w:tcBorders>
              <w:top w:val="nil"/>
              <w:left w:val="single" w:sz="4" w:space="0" w:color="auto"/>
              <w:bottom w:val="nil"/>
              <w:right w:val="single" w:sz="4" w:space="0" w:color="auto"/>
            </w:tcBorders>
            <w:noWrap/>
            <w:hideMark/>
          </w:tcPr>
          <w:p w14:paraId="29D79224" w14:textId="77777777" w:rsidR="00A74C68" w:rsidRPr="00471CBA" w:rsidRDefault="00A74C68" w:rsidP="00A74C68">
            <w:pPr>
              <w:jc w:val="center"/>
              <w:rPr>
                <w:color w:val="000000"/>
                <w:sz w:val="16"/>
                <w:szCs w:val="16"/>
                <w:lang w:eastAsia="tr-TR"/>
              </w:rPr>
            </w:pPr>
            <w:r w:rsidRPr="00471CBA">
              <w:rPr>
                <w:color w:val="000000"/>
                <w:sz w:val="16"/>
                <w:szCs w:val="16"/>
                <w:lang w:eastAsia="tr-TR"/>
              </w:rPr>
              <w:t>5</w:t>
            </w:r>
          </w:p>
        </w:tc>
        <w:tc>
          <w:tcPr>
            <w:tcW w:w="2672" w:type="pct"/>
            <w:tcBorders>
              <w:top w:val="nil"/>
              <w:left w:val="nil"/>
              <w:bottom w:val="nil"/>
              <w:right w:val="single" w:sz="4" w:space="0" w:color="auto"/>
            </w:tcBorders>
            <w:hideMark/>
          </w:tcPr>
          <w:p w14:paraId="4E0E4612" w14:textId="77777777" w:rsidR="00A74C68" w:rsidRPr="00471CBA" w:rsidRDefault="00A74C68" w:rsidP="00A74C68">
            <w:pPr>
              <w:rPr>
                <w:color w:val="000000"/>
                <w:sz w:val="16"/>
                <w:szCs w:val="16"/>
                <w:lang w:eastAsia="tr-TR"/>
              </w:rPr>
            </w:pPr>
            <w:r w:rsidRPr="00471CBA">
              <w:rPr>
                <w:color w:val="000000"/>
                <w:sz w:val="16"/>
                <w:szCs w:val="16"/>
                <w:lang w:eastAsia="tr-TR"/>
              </w:rPr>
              <w:t>Gerçek kişi toplanan fon ve perakende toplanan fon dışında kalan teminatsız borçlar</w:t>
            </w:r>
          </w:p>
        </w:tc>
        <w:tc>
          <w:tcPr>
            <w:tcW w:w="580" w:type="pct"/>
            <w:tcBorders>
              <w:top w:val="nil"/>
              <w:left w:val="nil"/>
              <w:bottom w:val="nil"/>
              <w:right w:val="single" w:sz="4" w:space="0" w:color="auto"/>
            </w:tcBorders>
            <w:vAlign w:val="center"/>
            <w:hideMark/>
          </w:tcPr>
          <w:p w14:paraId="14A2F5F6" w14:textId="77777777" w:rsidR="00A74C68" w:rsidRPr="00471CBA" w:rsidRDefault="00A74C68" w:rsidP="00A74C68">
            <w:pPr>
              <w:jc w:val="right"/>
              <w:rPr>
                <w:color w:val="000000"/>
                <w:sz w:val="16"/>
                <w:szCs w:val="16"/>
                <w:lang w:eastAsia="tr-TR"/>
              </w:rPr>
            </w:pPr>
            <w:r w:rsidRPr="00471CBA">
              <w:rPr>
                <w:color w:val="000000"/>
                <w:sz w:val="16"/>
                <w:szCs w:val="16"/>
                <w:lang w:eastAsia="tr-TR"/>
              </w:rPr>
              <w:t>10.568.062</w:t>
            </w:r>
          </w:p>
        </w:tc>
        <w:tc>
          <w:tcPr>
            <w:tcW w:w="507" w:type="pct"/>
            <w:tcBorders>
              <w:top w:val="nil"/>
              <w:left w:val="nil"/>
              <w:bottom w:val="nil"/>
              <w:right w:val="single" w:sz="4" w:space="0" w:color="auto"/>
            </w:tcBorders>
            <w:vAlign w:val="center"/>
            <w:hideMark/>
          </w:tcPr>
          <w:p w14:paraId="4AC2948A" w14:textId="77777777" w:rsidR="00A74C68" w:rsidRPr="00471CBA" w:rsidRDefault="00A74C68" w:rsidP="00A74C68">
            <w:pPr>
              <w:jc w:val="right"/>
              <w:rPr>
                <w:color w:val="000000"/>
                <w:sz w:val="16"/>
                <w:szCs w:val="16"/>
                <w:lang w:eastAsia="tr-TR"/>
              </w:rPr>
            </w:pPr>
            <w:r w:rsidRPr="00471CBA">
              <w:rPr>
                <w:color w:val="000000"/>
                <w:sz w:val="16"/>
                <w:szCs w:val="16"/>
                <w:lang w:eastAsia="tr-TR"/>
              </w:rPr>
              <w:t>5.152.822</w:t>
            </w:r>
          </w:p>
        </w:tc>
        <w:tc>
          <w:tcPr>
            <w:tcW w:w="580" w:type="pct"/>
            <w:tcBorders>
              <w:top w:val="nil"/>
              <w:left w:val="nil"/>
              <w:bottom w:val="nil"/>
              <w:right w:val="single" w:sz="4" w:space="0" w:color="auto"/>
            </w:tcBorders>
            <w:vAlign w:val="center"/>
            <w:hideMark/>
          </w:tcPr>
          <w:p w14:paraId="25C9587D" w14:textId="77777777" w:rsidR="00A74C68" w:rsidRPr="00471CBA" w:rsidRDefault="00A74C68" w:rsidP="00A74C68">
            <w:pPr>
              <w:jc w:val="right"/>
              <w:rPr>
                <w:color w:val="000000"/>
                <w:sz w:val="16"/>
                <w:szCs w:val="16"/>
                <w:lang w:eastAsia="tr-TR"/>
              </w:rPr>
            </w:pPr>
            <w:r w:rsidRPr="00471CBA">
              <w:rPr>
                <w:color w:val="000000"/>
                <w:sz w:val="16"/>
                <w:szCs w:val="16"/>
                <w:lang w:eastAsia="tr-TR"/>
              </w:rPr>
              <w:t>5.956.242</w:t>
            </w:r>
          </w:p>
        </w:tc>
        <w:tc>
          <w:tcPr>
            <w:tcW w:w="508" w:type="pct"/>
            <w:tcBorders>
              <w:top w:val="nil"/>
              <w:left w:val="nil"/>
              <w:bottom w:val="nil"/>
              <w:right w:val="single" w:sz="4" w:space="0" w:color="auto"/>
            </w:tcBorders>
            <w:vAlign w:val="center"/>
            <w:hideMark/>
          </w:tcPr>
          <w:p w14:paraId="38546B88" w14:textId="77777777" w:rsidR="00A74C68" w:rsidRPr="00471CBA" w:rsidRDefault="00A74C68" w:rsidP="00A74C68">
            <w:pPr>
              <w:jc w:val="right"/>
              <w:rPr>
                <w:color w:val="000000"/>
                <w:sz w:val="16"/>
                <w:szCs w:val="16"/>
                <w:lang w:eastAsia="tr-TR"/>
              </w:rPr>
            </w:pPr>
            <w:r w:rsidRPr="00471CBA">
              <w:rPr>
                <w:color w:val="000000"/>
                <w:sz w:val="16"/>
                <w:szCs w:val="16"/>
                <w:lang w:eastAsia="tr-TR"/>
              </w:rPr>
              <w:t>2.779.449</w:t>
            </w:r>
          </w:p>
        </w:tc>
      </w:tr>
      <w:tr w:rsidR="00A74C68" w:rsidRPr="00471CBA" w14:paraId="3A59A8A7" w14:textId="77777777" w:rsidTr="00A74C68">
        <w:trPr>
          <w:divId w:val="601498852"/>
          <w:trHeight w:val="170"/>
        </w:trPr>
        <w:tc>
          <w:tcPr>
            <w:tcW w:w="153" w:type="pct"/>
            <w:tcBorders>
              <w:top w:val="nil"/>
              <w:left w:val="single" w:sz="4" w:space="0" w:color="auto"/>
              <w:bottom w:val="nil"/>
              <w:right w:val="single" w:sz="4" w:space="0" w:color="auto"/>
            </w:tcBorders>
            <w:noWrap/>
            <w:hideMark/>
          </w:tcPr>
          <w:p w14:paraId="47799153" w14:textId="77777777" w:rsidR="00A74C68" w:rsidRPr="00471CBA" w:rsidRDefault="00A74C68" w:rsidP="00A74C68">
            <w:pPr>
              <w:jc w:val="center"/>
              <w:rPr>
                <w:color w:val="000000"/>
                <w:sz w:val="16"/>
                <w:szCs w:val="16"/>
                <w:lang w:eastAsia="tr-TR"/>
              </w:rPr>
            </w:pPr>
            <w:r w:rsidRPr="00471CBA">
              <w:rPr>
                <w:color w:val="000000"/>
                <w:sz w:val="16"/>
                <w:szCs w:val="16"/>
                <w:lang w:eastAsia="tr-TR"/>
              </w:rPr>
              <w:t>6</w:t>
            </w:r>
          </w:p>
        </w:tc>
        <w:tc>
          <w:tcPr>
            <w:tcW w:w="2672" w:type="pct"/>
            <w:tcBorders>
              <w:top w:val="nil"/>
              <w:left w:val="nil"/>
              <w:bottom w:val="nil"/>
              <w:right w:val="single" w:sz="4" w:space="0" w:color="auto"/>
            </w:tcBorders>
            <w:noWrap/>
            <w:hideMark/>
          </w:tcPr>
          <w:p w14:paraId="1DC9029C" w14:textId="77777777" w:rsidR="00A74C68" w:rsidRPr="00471CBA" w:rsidRDefault="00A74C68" w:rsidP="00A74C68">
            <w:pPr>
              <w:ind w:firstLineChars="100" w:firstLine="160"/>
              <w:rPr>
                <w:color w:val="000000"/>
                <w:sz w:val="16"/>
                <w:szCs w:val="16"/>
                <w:lang w:eastAsia="tr-TR"/>
              </w:rPr>
            </w:pPr>
            <w:r w:rsidRPr="00471CBA">
              <w:rPr>
                <w:color w:val="000000"/>
                <w:sz w:val="16"/>
                <w:szCs w:val="16"/>
                <w:lang w:eastAsia="tr-TR"/>
              </w:rPr>
              <w:t>Operasyonel toplanan fon</w:t>
            </w:r>
          </w:p>
        </w:tc>
        <w:tc>
          <w:tcPr>
            <w:tcW w:w="580" w:type="pct"/>
            <w:tcBorders>
              <w:top w:val="nil"/>
              <w:left w:val="nil"/>
              <w:bottom w:val="nil"/>
              <w:right w:val="single" w:sz="4" w:space="0" w:color="auto"/>
            </w:tcBorders>
            <w:vAlign w:val="center"/>
            <w:hideMark/>
          </w:tcPr>
          <w:p w14:paraId="4375CBE6"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c>
          <w:tcPr>
            <w:tcW w:w="507" w:type="pct"/>
            <w:tcBorders>
              <w:top w:val="nil"/>
              <w:left w:val="nil"/>
              <w:bottom w:val="nil"/>
              <w:right w:val="single" w:sz="4" w:space="0" w:color="auto"/>
            </w:tcBorders>
            <w:vAlign w:val="center"/>
            <w:hideMark/>
          </w:tcPr>
          <w:p w14:paraId="191C1D5C"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c>
          <w:tcPr>
            <w:tcW w:w="580" w:type="pct"/>
            <w:tcBorders>
              <w:top w:val="nil"/>
              <w:left w:val="nil"/>
              <w:bottom w:val="nil"/>
              <w:right w:val="single" w:sz="4" w:space="0" w:color="auto"/>
            </w:tcBorders>
            <w:vAlign w:val="center"/>
            <w:hideMark/>
          </w:tcPr>
          <w:p w14:paraId="669F0DFD"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c>
          <w:tcPr>
            <w:tcW w:w="508" w:type="pct"/>
            <w:tcBorders>
              <w:top w:val="nil"/>
              <w:left w:val="nil"/>
              <w:bottom w:val="nil"/>
              <w:right w:val="single" w:sz="4" w:space="0" w:color="auto"/>
            </w:tcBorders>
            <w:vAlign w:val="center"/>
            <w:hideMark/>
          </w:tcPr>
          <w:p w14:paraId="7EE88C41"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r>
      <w:tr w:rsidR="00A74C68" w:rsidRPr="00471CBA" w14:paraId="37C219AF" w14:textId="77777777" w:rsidTr="00A74C68">
        <w:trPr>
          <w:divId w:val="601498852"/>
          <w:trHeight w:val="170"/>
        </w:trPr>
        <w:tc>
          <w:tcPr>
            <w:tcW w:w="153" w:type="pct"/>
            <w:tcBorders>
              <w:top w:val="nil"/>
              <w:left w:val="single" w:sz="4" w:space="0" w:color="auto"/>
              <w:bottom w:val="nil"/>
              <w:right w:val="single" w:sz="4" w:space="0" w:color="auto"/>
            </w:tcBorders>
            <w:noWrap/>
            <w:hideMark/>
          </w:tcPr>
          <w:p w14:paraId="1CA7DF12" w14:textId="77777777" w:rsidR="00A74C68" w:rsidRPr="00471CBA" w:rsidRDefault="00A74C68" w:rsidP="00A74C68">
            <w:pPr>
              <w:jc w:val="center"/>
              <w:rPr>
                <w:color w:val="000000"/>
                <w:sz w:val="16"/>
                <w:szCs w:val="16"/>
                <w:lang w:eastAsia="tr-TR"/>
              </w:rPr>
            </w:pPr>
            <w:r w:rsidRPr="00471CBA">
              <w:rPr>
                <w:color w:val="000000"/>
                <w:sz w:val="16"/>
                <w:szCs w:val="16"/>
                <w:lang w:eastAsia="tr-TR"/>
              </w:rPr>
              <w:t>7</w:t>
            </w:r>
          </w:p>
        </w:tc>
        <w:tc>
          <w:tcPr>
            <w:tcW w:w="2672" w:type="pct"/>
            <w:tcBorders>
              <w:top w:val="nil"/>
              <w:left w:val="nil"/>
              <w:bottom w:val="nil"/>
              <w:right w:val="single" w:sz="4" w:space="0" w:color="auto"/>
            </w:tcBorders>
            <w:noWrap/>
            <w:hideMark/>
          </w:tcPr>
          <w:p w14:paraId="6F256531" w14:textId="77777777" w:rsidR="00A74C68" w:rsidRPr="00471CBA" w:rsidRDefault="00A74C68" w:rsidP="00A74C68">
            <w:pPr>
              <w:ind w:firstLineChars="100" w:firstLine="160"/>
              <w:rPr>
                <w:color w:val="000000"/>
                <w:sz w:val="16"/>
                <w:szCs w:val="16"/>
                <w:lang w:eastAsia="tr-TR"/>
              </w:rPr>
            </w:pPr>
            <w:r w:rsidRPr="00471CBA">
              <w:rPr>
                <w:color w:val="000000"/>
                <w:sz w:val="16"/>
                <w:szCs w:val="16"/>
                <w:lang w:eastAsia="tr-TR"/>
              </w:rPr>
              <w:t>Operasyonel olmayan toplanan fon</w:t>
            </w:r>
          </w:p>
        </w:tc>
        <w:tc>
          <w:tcPr>
            <w:tcW w:w="580" w:type="pct"/>
            <w:tcBorders>
              <w:top w:val="nil"/>
              <w:left w:val="nil"/>
              <w:bottom w:val="nil"/>
              <w:right w:val="single" w:sz="4" w:space="0" w:color="auto"/>
            </w:tcBorders>
            <w:vAlign w:val="center"/>
            <w:hideMark/>
          </w:tcPr>
          <w:p w14:paraId="08A7F6B9" w14:textId="77777777" w:rsidR="00A74C68" w:rsidRPr="00471CBA" w:rsidRDefault="00A74C68" w:rsidP="00A74C68">
            <w:pPr>
              <w:jc w:val="right"/>
              <w:rPr>
                <w:color w:val="000000"/>
                <w:sz w:val="16"/>
                <w:szCs w:val="16"/>
                <w:lang w:eastAsia="tr-TR"/>
              </w:rPr>
            </w:pPr>
            <w:r w:rsidRPr="00471CBA">
              <w:rPr>
                <w:color w:val="000000"/>
                <w:sz w:val="16"/>
                <w:szCs w:val="16"/>
                <w:lang w:eastAsia="tr-TR"/>
              </w:rPr>
              <w:t>9.499.519</w:t>
            </w:r>
          </w:p>
        </w:tc>
        <w:tc>
          <w:tcPr>
            <w:tcW w:w="507" w:type="pct"/>
            <w:tcBorders>
              <w:top w:val="nil"/>
              <w:left w:val="nil"/>
              <w:bottom w:val="nil"/>
              <w:right w:val="single" w:sz="4" w:space="0" w:color="auto"/>
            </w:tcBorders>
            <w:vAlign w:val="center"/>
            <w:hideMark/>
          </w:tcPr>
          <w:p w14:paraId="2EB0DCAB" w14:textId="77777777" w:rsidR="00A74C68" w:rsidRPr="00471CBA" w:rsidRDefault="00A74C68" w:rsidP="00A74C68">
            <w:pPr>
              <w:jc w:val="right"/>
              <w:rPr>
                <w:color w:val="000000"/>
                <w:sz w:val="16"/>
                <w:szCs w:val="16"/>
                <w:lang w:eastAsia="tr-TR"/>
              </w:rPr>
            </w:pPr>
            <w:r w:rsidRPr="00471CBA">
              <w:rPr>
                <w:color w:val="000000"/>
                <w:sz w:val="16"/>
                <w:szCs w:val="16"/>
                <w:lang w:eastAsia="tr-TR"/>
              </w:rPr>
              <w:t>4.565.768</w:t>
            </w:r>
          </w:p>
        </w:tc>
        <w:tc>
          <w:tcPr>
            <w:tcW w:w="580" w:type="pct"/>
            <w:tcBorders>
              <w:top w:val="nil"/>
              <w:left w:val="nil"/>
              <w:bottom w:val="nil"/>
              <w:right w:val="single" w:sz="4" w:space="0" w:color="auto"/>
            </w:tcBorders>
            <w:vAlign w:val="center"/>
            <w:hideMark/>
          </w:tcPr>
          <w:p w14:paraId="520E4E35" w14:textId="77777777" w:rsidR="00A74C68" w:rsidRPr="00471CBA" w:rsidRDefault="00A74C68" w:rsidP="00A74C68">
            <w:pPr>
              <w:jc w:val="right"/>
              <w:rPr>
                <w:color w:val="000000"/>
                <w:sz w:val="16"/>
                <w:szCs w:val="16"/>
                <w:lang w:eastAsia="tr-TR"/>
              </w:rPr>
            </w:pPr>
            <w:r w:rsidRPr="00471CBA">
              <w:rPr>
                <w:color w:val="000000"/>
                <w:sz w:val="16"/>
                <w:szCs w:val="16"/>
                <w:lang w:eastAsia="tr-TR"/>
              </w:rPr>
              <w:t>4.887.699</w:t>
            </w:r>
          </w:p>
        </w:tc>
        <w:tc>
          <w:tcPr>
            <w:tcW w:w="508" w:type="pct"/>
            <w:tcBorders>
              <w:top w:val="nil"/>
              <w:left w:val="nil"/>
              <w:bottom w:val="nil"/>
              <w:right w:val="single" w:sz="4" w:space="0" w:color="auto"/>
            </w:tcBorders>
            <w:vAlign w:val="center"/>
            <w:hideMark/>
          </w:tcPr>
          <w:p w14:paraId="09DB290A" w14:textId="77777777" w:rsidR="00A74C68" w:rsidRPr="00471CBA" w:rsidRDefault="00A74C68" w:rsidP="00A74C68">
            <w:pPr>
              <w:jc w:val="right"/>
              <w:rPr>
                <w:color w:val="000000"/>
                <w:sz w:val="16"/>
                <w:szCs w:val="16"/>
                <w:lang w:eastAsia="tr-TR"/>
              </w:rPr>
            </w:pPr>
            <w:r w:rsidRPr="00471CBA">
              <w:rPr>
                <w:color w:val="000000"/>
                <w:sz w:val="16"/>
                <w:szCs w:val="16"/>
                <w:lang w:eastAsia="tr-TR"/>
              </w:rPr>
              <w:t>2.192.395</w:t>
            </w:r>
          </w:p>
        </w:tc>
      </w:tr>
      <w:tr w:rsidR="00A74C68" w:rsidRPr="00471CBA" w14:paraId="07E24B5F" w14:textId="77777777" w:rsidTr="00A74C68">
        <w:trPr>
          <w:divId w:val="601498852"/>
          <w:trHeight w:val="170"/>
        </w:trPr>
        <w:tc>
          <w:tcPr>
            <w:tcW w:w="153" w:type="pct"/>
            <w:tcBorders>
              <w:top w:val="nil"/>
              <w:left w:val="single" w:sz="4" w:space="0" w:color="auto"/>
              <w:bottom w:val="nil"/>
              <w:right w:val="single" w:sz="4" w:space="0" w:color="auto"/>
            </w:tcBorders>
            <w:noWrap/>
            <w:hideMark/>
          </w:tcPr>
          <w:p w14:paraId="2C601921" w14:textId="77777777" w:rsidR="00A74C68" w:rsidRPr="00471CBA" w:rsidRDefault="00A74C68" w:rsidP="00A74C68">
            <w:pPr>
              <w:jc w:val="center"/>
              <w:rPr>
                <w:color w:val="000000"/>
                <w:sz w:val="16"/>
                <w:szCs w:val="16"/>
                <w:lang w:eastAsia="tr-TR"/>
              </w:rPr>
            </w:pPr>
            <w:r w:rsidRPr="00471CBA">
              <w:rPr>
                <w:color w:val="000000"/>
                <w:sz w:val="16"/>
                <w:szCs w:val="16"/>
                <w:lang w:eastAsia="tr-TR"/>
              </w:rPr>
              <w:t>8</w:t>
            </w:r>
          </w:p>
        </w:tc>
        <w:tc>
          <w:tcPr>
            <w:tcW w:w="2672" w:type="pct"/>
            <w:tcBorders>
              <w:top w:val="nil"/>
              <w:left w:val="nil"/>
              <w:bottom w:val="nil"/>
              <w:right w:val="single" w:sz="4" w:space="0" w:color="auto"/>
            </w:tcBorders>
            <w:noWrap/>
            <w:hideMark/>
          </w:tcPr>
          <w:p w14:paraId="7DB0D68F" w14:textId="77777777" w:rsidR="00A74C68" w:rsidRPr="00471CBA" w:rsidRDefault="00A74C68" w:rsidP="00A74C68">
            <w:pPr>
              <w:ind w:firstLineChars="100" w:firstLine="160"/>
              <w:rPr>
                <w:color w:val="000000"/>
                <w:sz w:val="16"/>
                <w:szCs w:val="16"/>
                <w:lang w:eastAsia="tr-TR"/>
              </w:rPr>
            </w:pPr>
            <w:r w:rsidRPr="00471CBA">
              <w:rPr>
                <w:color w:val="000000"/>
                <w:sz w:val="16"/>
                <w:szCs w:val="16"/>
                <w:lang w:eastAsia="tr-TR"/>
              </w:rPr>
              <w:t>Diğer teminatsız borçlar</w:t>
            </w:r>
          </w:p>
        </w:tc>
        <w:tc>
          <w:tcPr>
            <w:tcW w:w="580" w:type="pct"/>
            <w:tcBorders>
              <w:top w:val="nil"/>
              <w:left w:val="nil"/>
              <w:bottom w:val="nil"/>
              <w:right w:val="single" w:sz="4" w:space="0" w:color="auto"/>
            </w:tcBorders>
            <w:vAlign w:val="center"/>
            <w:hideMark/>
          </w:tcPr>
          <w:p w14:paraId="04242869" w14:textId="77777777" w:rsidR="00A74C68" w:rsidRPr="00471CBA" w:rsidRDefault="00A74C68" w:rsidP="00A74C68">
            <w:pPr>
              <w:jc w:val="right"/>
              <w:rPr>
                <w:color w:val="000000"/>
                <w:sz w:val="16"/>
                <w:szCs w:val="16"/>
                <w:lang w:eastAsia="tr-TR"/>
              </w:rPr>
            </w:pPr>
            <w:r w:rsidRPr="00471CBA">
              <w:rPr>
                <w:color w:val="000000"/>
                <w:sz w:val="16"/>
                <w:szCs w:val="16"/>
                <w:lang w:eastAsia="tr-TR"/>
              </w:rPr>
              <w:t>1.068.543</w:t>
            </w:r>
          </w:p>
        </w:tc>
        <w:tc>
          <w:tcPr>
            <w:tcW w:w="507" w:type="pct"/>
            <w:tcBorders>
              <w:top w:val="nil"/>
              <w:left w:val="nil"/>
              <w:bottom w:val="nil"/>
              <w:right w:val="single" w:sz="4" w:space="0" w:color="auto"/>
            </w:tcBorders>
            <w:vAlign w:val="center"/>
            <w:hideMark/>
          </w:tcPr>
          <w:p w14:paraId="7A2EEC61" w14:textId="77777777" w:rsidR="00A74C68" w:rsidRPr="00471CBA" w:rsidRDefault="00A74C68" w:rsidP="00A74C68">
            <w:pPr>
              <w:jc w:val="right"/>
              <w:rPr>
                <w:color w:val="000000"/>
                <w:sz w:val="16"/>
                <w:szCs w:val="16"/>
                <w:lang w:eastAsia="tr-TR"/>
              </w:rPr>
            </w:pPr>
            <w:r w:rsidRPr="00471CBA">
              <w:rPr>
                <w:color w:val="000000"/>
                <w:sz w:val="16"/>
                <w:szCs w:val="16"/>
                <w:lang w:eastAsia="tr-TR"/>
              </w:rPr>
              <w:t>587.054</w:t>
            </w:r>
          </w:p>
        </w:tc>
        <w:tc>
          <w:tcPr>
            <w:tcW w:w="580" w:type="pct"/>
            <w:tcBorders>
              <w:top w:val="nil"/>
              <w:left w:val="nil"/>
              <w:bottom w:val="nil"/>
              <w:right w:val="single" w:sz="4" w:space="0" w:color="auto"/>
            </w:tcBorders>
            <w:vAlign w:val="center"/>
            <w:hideMark/>
          </w:tcPr>
          <w:p w14:paraId="752F33D4" w14:textId="77777777" w:rsidR="00A74C68" w:rsidRPr="00471CBA" w:rsidRDefault="00A74C68" w:rsidP="00A74C68">
            <w:pPr>
              <w:jc w:val="right"/>
              <w:rPr>
                <w:color w:val="000000"/>
                <w:sz w:val="16"/>
                <w:szCs w:val="16"/>
                <w:lang w:eastAsia="tr-TR"/>
              </w:rPr>
            </w:pPr>
            <w:r w:rsidRPr="00471CBA">
              <w:rPr>
                <w:color w:val="000000"/>
                <w:sz w:val="16"/>
                <w:szCs w:val="16"/>
                <w:lang w:eastAsia="tr-TR"/>
              </w:rPr>
              <w:t>1.068.543</w:t>
            </w:r>
          </w:p>
        </w:tc>
        <w:tc>
          <w:tcPr>
            <w:tcW w:w="508" w:type="pct"/>
            <w:tcBorders>
              <w:top w:val="nil"/>
              <w:left w:val="nil"/>
              <w:bottom w:val="nil"/>
              <w:right w:val="single" w:sz="4" w:space="0" w:color="auto"/>
            </w:tcBorders>
            <w:vAlign w:val="center"/>
            <w:hideMark/>
          </w:tcPr>
          <w:p w14:paraId="2EE4501E" w14:textId="77777777" w:rsidR="00A74C68" w:rsidRPr="00471CBA" w:rsidRDefault="00A74C68" w:rsidP="00A74C68">
            <w:pPr>
              <w:jc w:val="right"/>
              <w:rPr>
                <w:color w:val="000000"/>
                <w:sz w:val="16"/>
                <w:szCs w:val="16"/>
                <w:lang w:eastAsia="tr-TR"/>
              </w:rPr>
            </w:pPr>
            <w:r w:rsidRPr="00471CBA">
              <w:rPr>
                <w:color w:val="000000"/>
                <w:sz w:val="16"/>
                <w:szCs w:val="16"/>
                <w:lang w:eastAsia="tr-TR"/>
              </w:rPr>
              <w:t>587.054</w:t>
            </w:r>
          </w:p>
        </w:tc>
      </w:tr>
      <w:tr w:rsidR="00A74C68" w:rsidRPr="00471CBA" w14:paraId="14C6C65A" w14:textId="77777777" w:rsidTr="00A74C68">
        <w:trPr>
          <w:divId w:val="601498852"/>
          <w:trHeight w:val="170"/>
        </w:trPr>
        <w:tc>
          <w:tcPr>
            <w:tcW w:w="153" w:type="pct"/>
            <w:tcBorders>
              <w:top w:val="nil"/>
              <w:left w:val="single" w:sz="4" w:space="0" w:color="auto"/>
              <w:bottom w:val="nil"/>
              <w:right w:val="single" w:sz="4" w:space="0" w:color="auto"/>
            </w:tcBorders>
            <w:noWrap/>
            <w:hideMark/>
          </w:tcPr>
          <w:p w14:paraId="0F721F08" w14:textId="77777777" w:rsidR="00A74C68" w:rsidRPr="00471CBA" w:rsidRDefault="00A74C68" w:rsidP="00A74C68">
            <w:pPr>
              <w:jc w:val="center"/>
              <w:rPr>
                <w:color w:val="000000"/>
                <w:sz w:val="16"/>
                <w:szCs w:val="16"/>
                <w:lang w:eastAsia="tr-TR"/>
              </w:rPr>
            </w:pPr>
            <w:r w:rsidRPr="00471CBA">
              <w:rPr>
                <w:color w:val="000000"/>
                <w:sz w:val="16"/>
                <w:szCs w:val="16"/>
                <w:lang w:eastAsia="tr-TR"/>
              </w:rPr>
              <w:t>9</w:t>
            </w:r>
          </w:p>
        </w:tc>
        <w:tc>
          <w:tcPr>
            <w:tcW w:w="2672" w:type="pct"/>
            <w:tcBorders>
              <w:top w:val="nil"/>
              <w:left w:val="nil"/>
              <w:bottom w:val="nil"/>
              <w:right w:val="single" w:sz="4" w:space="0" w:color="auto"/>
            </w:tcBorders>
            <w:noWrap/>
            <w:hideMark/>
          </w:tcPr>
          <w:p w14:paraId="281D2D21" w14:textId="77777777" w:rsidR="00A74C68" w:rsidRPr="00471CBA" w:rsidRDefault="00A74C68" w:rsidP="00A74C68">
            <w:pPr>
              <w:rPr>
                <w:color w:val="000000"/>
                <w:sz w:val="16"/>
                <w:szCs w:val="16"/>
                <w:lang w:eastAsia="tr-TR"/>
              </w:rPr>
            </w:pPr>
            <w:r w:rsidRPr="00471CBA">
              <w:rPr>
                <w:color w:val="000000"/>
                <w:sz w:val="16"/>
                <w:szCs w:val="16"/>
                <w:lang w:eastAsia="tr-TR"/>
              </w:rPr>
              <w:t>Teminatlı borçlar</w:t>
            </w:r>
          </w:p>
        </w:tc>
        <w:tc>
          <w:tcPr>
            <w:tcW w:w="580" w:type="pct"/>
            <w:tcBorders>
              <w:top w:val="single" w:sz="4" w:space="0" w:color="auto"/>
              <w:left w:val="nil"/>
              <w:bottom w:val="single" w:sz="4" w:space="0" w:color="auto"/>
              <w:right w:val="single" w:sz="4" w:space="0" w:color="auto"/>
            </w:tcBorders>
            <w:shd w:val="clear" w:color="000000" w:fill="000000"/>
            <w:noWrap/>
            <w:vAlign w:val="center"/>
            <w:hideMark/>
          </w:tcPr>
          <w:p w14:paraId="02591FD0" w14:textId="77777777" w:rsidR="00A74C68" w:rsidRPr="00471CBA" w:rsidRDefault="00A74C68" w:rsidP="00A74C68">
            <w:pPr>
              <w:jc w:val="right"/>
              <w:rPr>
                <w:b/>
                <w:bCs/>
                <w:color w:val="FFFFFF"/>
                <w:sz w:val="16"/>
                <w:szCs w:val="16"/>
                <w:lang w:eastAsia="tr-TR"/>
              </w:rPr>
            </w:pPr>
            <w:r w:rsidRPr="00471CBA">
              <w:rPr>
                <w:b/>
                <w:bCs/>
                <w:color w:val="FFFFFF"/>
                <w:sz w:val="16"/>
                <w:szCs w:val="16"/>
                <w:lang w:eastAsia="tr-TR"/>
              </w:rPr>
              <w:t> </w:t>
            </w:r>
          </w:p>
        </w:tc>
        <w:tc>
          <w:tcPr>
            <w:tcW w:w="507" w:type="pct"/>
            <w:tcBorders>
              <w:top w:val="single" w:sz="4" w:space="0" w:color="auto"/>
              <w:left w:val="nil"/>
              <w:bottom w:val="single" w:sz="4" w:space="0" w:color="auto"/>
              <w:right w:val="single" w:sz="4" w:space="0" w:color="auto"/>
            </w:tcBorders>
            <w:shd w:val="clear" w:color="000000" w:fill="000000"/>
            <w:noWrap/>
            <w:vAlign w:val="center"/>
            <w:hideMark/>
          </w:tcPr>
          <w:p w14:paraId="3026135B" w14:textId="77777777" w:rsidR="00A74C68" w:rsidRPr="00471CBA" w:rsidRDefault="00A74C68" w:rsidP="00A74C68">
            <w:pPr>
              <w:jc w:val="right"/>
              <w:rPr>
                <w:b/>
                <w:bCs/>
                <w:color w:val="FFFFFF"/>
                <w:sz w:val="16"/>
                <w:szCs w:val="16"/>
                <w:lang w:eastAsia="tr-TR"/>
              </w:rPr>
            </w:pPr>
            <w:r w:rsidRPr="00471CBA">
              <w:rPr>
                <w:b/>
                <w:bCs/>
                <w:color w:val="FFFFFF"/>
                <w:sz w:val="16"/>
                <w:szCs w:val="16"/>
                <w:lang w:eastAsia="tr-TR"/>
              </w:rPr>
              <w:t> </w:t>
            </w:r>
          </w:p>
        </w:tc>
        <w:tc>
          <w:tcPr>
            <w:tcW w:w="580" w:type="pct"/>
            <w:tcBorders>
              <w:top w:val="single" w:sz="4" w:space="0" w:color="auto"/>
              <w:left w:val="nil"/>
              <w:bottom w:val="single" w:sz="4" w:space="0" w:color="auto"/>
              <w:right w:val="single" w:sz="4" w:space="0" w:color="auto"/>
            </w:tcBorders>
            <w:noWrap/>
            <w:vAlign w:val="bottom"/>
            <w:hideMark/>
          </w:tcPr>
          <w:p w14:paraId="3FC144A8" w14:textId="77777777" w:rsidR="00A74C68" w:rsidRPr="00471CBA" w:rsidRDefault="00A74C68" w:rsidP="00A74C68">
            <w:pPr>
              <w:jc w:val="right"/>
              <w:rPr>
                <w:b/>
                <w:bCs/>
                <w:sz w:val="16"/>
                <w:szCs w:val="16"/>
                <w:lang w:eastAsia="tr-TR"/>
              </w:rPr>
            </w:pPr>
            <w:r w:rsidRPr="00471CBA">
              <w:rPr>
                <w:b/>
                <w:bCs/>
                <w:sz w:val="16"/>
                <w:szCs w:val="16"/>
                <w:lang w:eastAsia="tr-TR"/>
              </w:rPr>
              <w:t>-</w:t>
            </w:r>
          </w:p>
        </w:tc>
        <w:tc>
          <w:tcPr>
            <w:tcW w:w="508" w:type="pct"/>
            <w:tcBorders>
              <w:top w:val="single" w:sz="4" w:space="0" w:color="auto"/>
              <w:left w:val="nil"/>
              <w:bottom w:val="single" w:sz="4" w:space="0" w:color="auto"/>
              <w:right w:val="single" w:sz="4" w:space="0" w:color="auto"/>
            </w:tcBorders>
            <w:noWrap/>
            <w:vAlign w:val="bottom"/>
            <w:hideMark/>
          </w:tcPr>
          <w:p w14:paraId="7473AD28" w14:textId="77777777" w:rsidR="00A74C68" w:rsidRPr="00471CBA" w:rsidRDefault="00A74C68" w:rsidP="00A74C68">
            <w:pPr>
              <w:jc w:val="right"/>
              <w:rPr>
                <w:b/>
                <w:bCs/>
                <w:sz w:val="16"/>
                <w:szCs w:val="16"/>
                <w:lang w:eastAsia="tr-TR"/>
              </w:rPr>
            </w:pPr>
            <w:r w:rsidRPr="00471CBA">
              <w:rPr>
                <w:b/>
                <w:bCs/>
                <w:sz w:val="16"/>
                <w:szCs w:val="16"/>
                <w:lang w:eastAsia="tr-TR"/>
              </w:rPr>
              <w:t>-</w:t>
            </w:r>
          </w:p>
        </w:tc>
      </w:tr>
      <w:tr w:rsidR="00A74C68" w:rsidRPr="00471CBA" w14:paraId="59B2EDD2" w14:textId="77777777" w:rsidTr="00A74C68">
        <w:trPr>
          <w:divId w:val="601498852"/>
          <w:trHeight w:val="170"/>
        </w:trPr>
        <w:tc>
          <w:tcPr>
            <w:tcW w:w="153" w:type="pct"/>
            <w:tcBorders>
              <w:top w:val="nil"/>
              <w:left w:val="single" w:sz="4" w:space="0" w:color="auto"/>
              <w:bottom w:val="nil"/>
              <w:right w:val="single" w:sz="4" w:space="0" w:color="auto"/>
            </w:tcBorders>
            <w:noWrap/>
            <w:hideMark/>
          </w:tcPr>
          <w:p w14:paraId="28B4370D" w14:textId="77777777" w:rsidR="00A74C68" w:rsidRPr="00471CBA" w:rsidRDefault="00A74C68" w:rsidP="00A74C68">
            <w:pPr>
              <w:jc w:val="center"/>
              <w:rPr>
                <w:color w:val="000000"/>
                <w:sz w:val="16"/>
                <w:szCs w:val="16"/>
                <w:lang w:eastAsia="tr-TR"/>
              </w:rPr>
            </w:pPr>
            <w:r w:rsidRPr="00471CBA">
              <w:rPr>
                <w:color w:val="000000"/>
                <w:sz w:val="16"/>
                <w:szCs w:val="16"/>
                <w:lang w:eastAsia="tr-TR"/>
              </w:rPr>
              <w:t>10</w:t>
            </w:r>
          </w:p>
        </w:tc>
        <w:tc>
          <w:tcPr>
            <w:tcW w:w="2672" w:type="pct"/>
            <w:tcBorders>
              <w:top w:val="nil"/>
              <w:left w:val="nil"/>
              <w:bottom w:val="nil"/>
              <w:right w:val="single" w:sz="4" w:space="0" w:color="auto"/>
            </w:tcBorders>
            <w:noWrap/>
            <w:hideMark/>
          </w:tcPr>
          <w:p w14:paraId="24B0A4B9" w14:textId="77777777" w:rsidR="00A74C68" w:rsidRPr="00471CBA" w:rsidRDefault="00A74C68" w:rsidP="00A74C68">
            <w:pPr>
              <w:rPr>
                <w:color w:val="000000"/>
                <w:sz w:val="16"/>
                <w:szCs w:val="16"/>
                <w:lang w:eastAsia="tr-TR"/>
              </w:rPr>
            </w:pPr>
            <w:r w:rsidRPr="00471CBA">
              <w:rPr>
                <w:color w:val="000000"/>
                <w:sz w:val="16"/>
                <w:szCs w:val="16"/>
                <w:lang w:eastAsia="tr-TR"/>
              </w:rPr>
              <w:t>Diğer nakit çıkışları</w:t>
            </w:r>
          </w:p>
        </w:tc>
        <w:tc>
          <w:tcPr>
            <w:tcW w:w="580" w:type="pct"/>
            <w:tcBorders>
              <w:top w:val="nil"/>
              <w:left w:val="nil"/>
              <w:bottom w:val="nil"/>
              <w:right w:val="single" w:sz="4" w:space="0" w:color="auto"/>
            </w:tcBorders>
            <w:vAlign w:val="center"/>
            <w:hideMark/>
          </w:tcPr>
          <w:p w14:paraId="27AC0D1F" w14:textId="77777777" w:rsidR="00A74C68" w:rsidRPr="00471CBA" w:rsidRDefault="00A74C68" w:rsidP="00A74C68">
            <w:pPr>
              <w:jc w:val="right"/>
              <w:rPr>
                <w:color w:val="000000"/>
                <w:sz w:val="16"/>
                <w:szCs w:val="16"/>
                <w:lang w:eastAsia="tr-TR"/>
              </w:rPr>
            </w:pPr>
            <w:r w:rsidRPr="00471CBA">
              <w:rPr>
                <w:color w:val="000000"/>
                <w:sz w:val="16"/>
                <w:szCs w:val="16"/>
                <w:lang w:eastAsia="tr-TR"/>
              </w:rPr>
              <w:t>16.793</w:t>
            </w:r>
          </w:p>
        </w:tc>
        <w:tc>
          <w:tcPr>
            <w:tcW w:w="507" w:type="pct"/>
            <w:tcBorders>
              <w:top w:val="nil"/>
              <w:left w:val="nil"/>
              <w:bottom w:val="nil"/>
              <w:right w:val="single" w:sz="4" w:space="0" w:color="auto"/>
            </w:tcBorders>
            <w:vAlign w:val="center"/>
            <w:hideMark/>
          </w:tcPr>
          <w:p w14:paraId="0E8035C8" w14:textId="77777777" w:rsidR="00A74C68" w:rsidRPr="00471CBA" w:rsidRDefault="00A74C68" w:rsidP="00A74C68">
            <w:pPr>
              <w:jc w:val="right"/>
              <w:rPr>
                <w:color w:val="000000"/>
                <w:sz w:val="16"/>
                <w:szCs w:val="16"/>
                <w:lang w:eastAsia="tr-TR"/>
              </w:rPr>
            </w:pPr>
            <w:r w:rsidRPr="00471CBA">
              <w:rPr>
                <w:color w:val="000000"/>
                <w:sz w:val="16"/>
                <w:szCs w:val="16"/>
                <w:lang w:eastAsia="tr-TR"/>
              </w:rPr>
              <w:t>11.526</w:t>
            </w:r>
          </w:p>
        </w:tc>
        <w:tc>
          <w:tcPr>
            <w:tcW w:w="580" w:type="pct"/>
            <w:tcBorders>
              <w:top w:val="nil"/>
              <w:left w:val="nil"/>
              <w:bottom w:val="nil"/>
              <w:right w:val="single" w:sz="4" w:space="0" w:color="auto"/>
            </w:tcBorders>
            <w:vAlign w:val="center"/>
            <w:hideMark/>
          </w:tcPr>
          <w:p w14:paraId="679BF320" w14:textId="77777777" w:rsidR="00A74C68" w:rsidRPr="00471CBA" w:rsidRDefault="00A74C68" w:rsidP="00A74C68">
            <w:pPr>
              <w:jc w:val="right"/>
              <w:rPr>
                <w:color w:val="000000"/>
                <w:sz w:val="16"/>
                <w:szCs w:val="16"/>
                <w:lang w:eastAsia="tr-TR"/>
              </w:rPr>
            </w:pPr>
            <w:r w:rsidRPr="00471CBA">
              <w:rPr>
                <w:color w:val="000000"/>
                <w:sz w:val="16"/>
                <w:szCs w:val="16"/>
                <w:lang w:eastAsia="tr-TR"/>
              </w:rPr>
              <w:t>12.876</w:t>
            </w:r>
          </w:p>
        </w:tc>
        <w:tc>
          <w:tcPr>
            <w:tcW w:w="508" w:type="pct"/>
            <w:tcBorders>
              <w:top w:val="nil"/>
              <w:left w:val="nil"/>
              <w:bottom w:val="nil"/>
              <w:right w:val="single" w:sz="4" w:space="0" w:color="auto"/>
            </w:tcBorders>
            <w:vAlign w:val="center"/>
            <w:hideMark/>
          </w:tcPr>
          <w:p w14:paraId="64CAF8AD" w14:textId="77777777" w:rsidR="00A74C68" w:rsidRPr="00471CBA" w:rsidRDefault="00A74C68" w:rsidP="00A74C68">
            <w:pPr>
              <w:jc w:val="right"/>
              <w:rPr>
                <w:color w:val="000000"/>
                <w:sz w:val="16"/>
                <w:szCs w:val="16"/>
                <w:lang w:eastAsia="tr-TR"/>
              </w:rPr>
            </w:pPr>
            <w:r w:rsidRPr="00471CBA">
              <w:rPr>
                <w:color w:val="000000"/>
                <w:sz w:val="16"/>
                <w:szCs w:val="16"/>
                <w:lang w:eastAsia="tr-TR"/>
              </w:rPr>
              <w:t>11.108</w:t>
            </w:r>
          </w:p>
        </w:tc>
      </w:tr>
      <w:tr w:rsidR="00A74C68" w:rsidRPr="00471CBA" w14:paraId="2AB33463" w14:textId="77777777" w:rsidTr="00A74C68">
        <w:trPr>
          <w:divId w:val="601498852"/>
          <w:trHeight w:val="170"/>
        </w:trPr>
        <w:tc>
          <w:tcPr>
            <w:tcW w:w="153" w:type="pct"/>
            <w:tcBorders>
              <w:top w:val="nil"/>
              <w:left w:val="single" w:sz="4" w:space="0" w:color="auto"/>
              <w:bottom w:val="nil"/>
              <w:right w:val="single" w:sz="4" w:space="0" w:color="auto"/>
            </w:tcBorders>
            <w:noWrap/>
            <w:hideMark/>
          </w:tcPr>
          <w:p w14:paraId="405A7D7C" w14:textId="77777777" w:rsidR="00A74C68" w:rsidRPr="00471CBA" w:rsidRDefault="00A74C68" w:rsidP="00A74C68">
            <w:pPr>
              <w:jc w:val="center"/>
              <w:rPr>
                <w:color w:val="000000"/>
                <w:sz w:val="16"/>
                <w:szCs w:val="16"/>
                <w:lang w:eastAsia="tr-TR"/>
              </w:rPr>
            </w:pPr>
            <w:r w:rsidRPr="00471CBA">
              <w:rPr>
                <w:color w:val="000000"/>
                <w:sz w:val="16"/>
                <w:szCs w:val="16"/>
                <w:lang w:eastAsia="tr-TR"/>
              </w:rPr>
              <w:t>11</w:t>
            </w:r>
          </w:p>
        </w:tc>
        <w:tc>
          <w:tcPr>
            <w:tcW w:w="2672" w:type="pct"/>
            <w:tcBorders>
              <w:top w:val="nil"/>
              <w:left w:val="nil"/>
              <w:bottom w:val="nil"/>
              <w:right w:val="single" w:sz="4" w:space="0" w:color="auto"/>
            </w:tcBorders>
            <w:noWrap/>
            <w:hideMark/>
          </w:tcPr>
          <w:p w14:paraId="6A8CE2F9" w14:textId="77777777" w:rsidR="00A74C68" w:rsidRPr="00471CBA" w:rsidRDefault="00A74C68" w:rsidP="00A74C68">
            <w:pPr>
              <w:ind w:firstLineChars="100" w:firstLine="160"/>
              <w:rPr>
                <w:color w:val="000000"/>
                <w:sz w:val="16"/>
                <w:szCs w:val="16"/>
                <w:lang w:eastAsia="tr-TR"/>
              </w:rPr>
            </w:pPr>
            <w:r w:rsidRPr="00471CBA">
              <w:rPr>
                <w:color w:val="000000"/>
                <w:sz w:val="16"/>
                <w:szCs w:val="16"/>
                <w:lang w:eastAsia="tr-TR"/>
              </w:rPr>
              <w:t>Türev yükümlülükler ve teminat tamamlama yükümlülükleri</w:t>
            </w:r>
          </w:p>
        </w:tc>
        <w:tc>
          <w:tcPr>
            <w:tcW w:w="580" w:type="pct"/>
            <w:tcBorders>
              <w:top w:val="nil"/>
              <w:left w:val="nil"/>
              <w:bottom w:val="nil"/>
              <w:right w:val="single" w:sz="4" w:space="0" w:color="auto"/>
            </w:tcBorders>
            <w:vAlign w:val="center"/>
            <w:hideMark/>
          </w:tcPr>
          <w:p w14:paraId="39EC5DFF" w14:textId="77777777" w:rsidR="00A74C68" w:rsidRPr="00471CBA" w:rsidRDefault="00A74C68" w:rsidP="00A74C68">
            <w:pPr>
              <w:jc w:val="right"/>
              <w:rPr>
                <w:color w:val="000000"/>
                <w:sz w:val="16"/>
                <w:szCs w:val="16"/>
                <w:lang w:eastAsia="tr-TR"/>
              </w:rPr>
            </w:pPr>
            <w:r w:rsidRPr="00471CBA">
              <w:rPr>
                <w:color w:val="000000"/>
                <w:sz w:val="16"/>
                <w:szCs w:val="16"/>
                <w:lang w:eastAsia="tr-TR"/>
              </w:rPr>
              <w:t>12.441</w:t>
            </w:r>
          </w:p>
        </w:tc>
        <w:tc>
          <w:tcPr>
            <w:tcW w:w="507" w:type="pct"/>
            <w:tcBorders>
              <w:top w:val="nil"/>
              <w:left w:val="nil"/>
              <w:bottom w:val="nil"/>
              <w:right w:val="single" w:sz="4" w:space="0" w:color="auto"/>
            </w:tcBorders>
            <w:vAlign w:val="center"/>
            <w:hideMark/>
          </w:tcPr>
          <w:p w14:paraId="3BDEDCEC" w14:textId="77777777" w:rsidR="00A74C68" w:rsidRPr="00471CBA" w:rsidRDefault="00A74C68" w:rsidP="00A74C68">
            <w:pPr>
              <w:jc w:val="right"/>
              <w:rPr>
                <w:color w:val="000000"/>
                <w:sz w:val="16"/>
                <w:szCs w:val="16"/>
                <w:lang w:eastAsia="tr-TR"/>
              </w:rPr>
            </w:pPr>
            <w:r w:rsidRPr="00471CBA">
              <w:rPr>
                <w:color w:val="000000"/>
                <w:sz w:val="16"/>
                <w:szCs w:val="16"/>
                <w:lang w:eastAsia="tr-TR"/>
              </w:rPr>
              <w:t>11.062</w:t>
            </w:r>
          </w:p>
        </w:tc>
        <w:tc>
          <w:tcPr>
            <w:tcW w:w="580" w:type="pct"/>
            <w:tcBorders>
              <w:top w:val="nil"/>
              <w:left w:val="nil"/>
              <w:bottom w:val="nil"/>
              <w:right w:val="single" w:sz="4" w:space="0" w:color="auto"/>
            </w:tcBorders>
            <w:vAlign w:val="center"/>
            <w:hideMark/>
          </w:tcPr>
          <w:p w14:paraId="6FCE290A" w14:textId="77777777" w:rsidR="00A74C68" w:rsidRPr="00471CBA" w:rsidRDefault="00A74C68" w:rsidP="00A74C68">
            <w:pPr>
              <w:jc w:val="right"/>
              <w:rPr>
                <w:color w:val="000000"/>
                <w:sz w:val="16"/>
                <w:szCs w:val="16"/>
                <w:lang w:eastAsia="tr-TR"/>
              </w:rPr>
            </w:pPr>
            <w:r w:rsidRPr="00471CBA">
              <w:rPr>
                <w:color w:val="000000"/>
                <w:sz w:val="16"/>
                <w:szCs w:val="16"/>
                <w:lang w:eastAsia="tr-TR"/>
              </w:rPr>
              <w:t>12.441</w:t>
            </w:r>
          </w:p>
        </w:tc>
        <w:tc>
          <w:tcPr>
            <w:tcW w:w="508" w:type="pct"/>
            <w:tcBorders>
              <w:top w:val="nil"/>
              <w:left w:val="nil"/>
              <w:bottom w:val="nil"/>
              <w:right w:val="single" w:sz="4" w:space="0" w:color="auto"/>
            </w:tcBorders>
            <w:vAlign w:val="center"/>
            <w:hideMark/>
          </w:tcPr>
          <w:p w14:paraId="530966A2" w14:textId="77777777" w:rsidR="00A74C68" w:rsidRPr="00471CBA" w:rsidRDefault="00A74C68" w:rsidP="00A74C68">
            <w:pPr>
              <w:jc w:val="right"/>
              <w:rPr>
                <w:color w:val="000000"/>
                <w:sz w:val="16"/>
                <w:szCs w:val="16"/>
                <w:lang w:eastAsia="tr-TR"/>
              </w:rPr>
            </w:pPr>
            <w:r w:rsidRPr="00471CBA">
              <w:rPr>
                <w:color w:val="000000"/>
                <w:sz w:val="16"/>
                <w:szCs w:val="16"/>
                <w:lang w:eastAsia="tr-TR"/>
              </w:rPr>
              <w:t>11.062</w:t>
            </w:r>
          </w:p>
        </w:tc>
      </w:tr>
      <w:tr w:rsidR="00A74C68" w:rsidRPr="00471CBA" w14:paraId="2032F715" w14:textId="77777777" w:rsidTr="00A74C68">
        <w:trPr>
          <w:divId w:val="601498852"/>
          <w:trHeight w:val="170"/>
        </w:trPr>
        <w:tc>
          <w:tcPr>
            <w:tcW w:w="153" w:type="pct"/>
            <w:tcBorders>
              <w:top w:val="nil"/>
              <w:left w:val="single" w:sz="4" w:space="0" w:color="auto"/>
              <w:bottom w:val="nil"/>
              <w:right w:val="single" w:sz="4" w:space="0" w:color="auto"/>
            </w:tcBorders>
            <w:noWrap/>
            <w:hideMark/>
          </w:tcPr>
          <w:p w14:paraId="37ED8425" w14:textId="77777777" w:rsidR="00A74C68" w:rsidRPr="00471CBA" w:rsidRDefault="00A74C68" w:rsidP="00A74C68">
            <w:pPr>
              <w:jc w:val="center"/>
              <w:rPr>
                <w:color w:val="000000"/>
                <w:sz w:val="16"/>
                <w:szCs w:val="16"/>
                <w:lang w:eastAsia="tr-TR"/>
              </w:rPr>
            </w:pPr>
            <w:r w:rsidRPr="00471CBA">
              <w:rPr>
                <w:color w:val="000000"/>
                <w:sz w:val="16"/>
                <w:szCs w:val="16"/>
                <w:lang w:eastAsia="tr-TR"/>
              </w:rPr>
              <w:t>12</w:t>
            </w:r>
          </w:p>
        </w:tc>
        <w:tc>
          <w:tcPr>
            <w:tcW w:w="2672" w:type="pct"/>
            <w:tcBorders>
              <w:top w:val="nil"/>
              <w:left w:val="nil"/>
              <w:bottom w:val="nil"/>
              <w:right w:val="single" w:sz="4" w:space="0" w:color="auto"/>
            </w:tcBorders>
            <w:noWrap/>
            <w:hideMark/>
          </w:tcPr>
          <w:p w14:paraId="2DF3528A" w14:textId="77777777" w:rsidR="00A74C68" w:rsidRPr="00471CBA" w:rsidRDefault="00A74C68" w:rsidP="00A74C68">
            <w:pPr>
              <w:ind w:firstLineChars="100" w:firstLine="160"/>
              <w:rPr>
                <w:color w:val="000000"/>
                <w:sz w:val="16"/>
                <w:szCs w:val="16"/>
                <w:lang w:eastAsia="tr-TR"/>
              </w:rPr>
            </w:pPr>
            <w:r w:rsidRPr="00471CBA">
              <w:rPr>
                <w:color w:val="000000"/>
                <w:sz w:val="16"/>
                <w:szCs w:val="16"/>
                <w:lang w:eastAsia="tr-TR"/>
              </w:rPr>
              <w:t>Yapılandırılmış finansal araçlardan borçlar</w:t>
            </w:r>
          </w:p>
        </w:tc>
        <w:tc>
          <w:tcPr>
            <w:tcW w:w="580" w:type="pct"/>
            <w:tcBorders>
              <w:top w:val="nil"/>
              <w:left w:val="nil"/>
              <w:bottom w:val="nil"/>
              <w:right w:val="single" w:sz="4" w:space="0" w:color="auto"/>
            </w:tcBorders>
            <w:vAlign w:val="center"/>
            <w:hideMark/>
          </w:tcPr>
          <w:p w14:paraId="6AB23C77"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c>
          <w:tcPr>
            <w:tcW w:w="507" w:type="pct"/>
            <w:tcBorders>
              <w:top w:val="nil"/>
              <w:left w:val="nil"/>
              <w:bottom w:val="nil"/>
              <w:right w:val="single" w:sz="4" w:space="0" w:color="auto"/>
            </w:tcBorders>
            <w:vAlign w:val="center"/>
            <w:hideMark/>
          </w:tcPr>
          <w:p w14:paraId="52C6943F"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c>
          <w:tcPr>
            <w:tcW w:w="580" w:type="pct"/>
            <w:tcBorders>
              <w:top w:val="nil"/>
              <w:left w:val="nil"/>
              <w:bottom w:val="nil"/>
              <w:right w:val="single" w:sz="4" w:space="0" w:color="auto"/>
            </w:tcBorders>
            <w:vAlign w:val="center"/>
            <w:hideMark/>
          </w:tcPr>
          <w:p w14:paraId="273207C2"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c>
          <w:tcPr>
            <w:tcW w:w="508" w:type="pct"/>
            <w:tcBorders>
              <w:top w:val="nil"/>
              <w:left w:val="nil"/>
              <w:bottom w:val="nil"/>
              <w:right w:val="single" w:sz="4" w:space="0" w:color="auto"/>
            </w:tcBorders>
            <w:vAlign w:val="center"/>
            <w:hideMark/>
          </w:tcPr>
          <w:p w14:paraId="45607345"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r>
      <w:tr w:rsidR="00A74C68" w:rsidRPr="00471CBA" w14:paraId="1E3EFD7D" w14:textId="77777777" w:rsidTr="00A74C68">
        <w:trPr>
          <w:divId w:val="601498852"/>
          <w:trHeight w:val="170"/>
        </w:trPr>
        <w:tc>
          <w:tcPr>
            <w:tcW w:w="153" w:type="pct"/>
            <w:tcBorders>
              <w:top w:val="nil"/>
              <w:left w:val="single" w:sz="4" w:space="0" w:color="auto"/>
              <w:bottom w:val="nil"/>
              <w:right w:val="single" w:sz="4" w:space="0" w:color="auto"/>
            </w:tcBorders>
            <w:noWrap/>
            <w:hideMark/>
          </w:tcPr>
          <w:p w14:paraId="5E3DB260" w14:textId="77777777" w:rsidR="00A74C68" w:rsidRPr="00471CBA" w:rsidRDefault="00A74C68" w:rsidP="00A74C68">
            <w:pPr>
              <w:jc w:val="center"/>
              <w:rPr>
                <w:color w:val="000000"/>
                <w:sz w:val="16"/>
                <w:szCs w:val="16"/>
                <w:lang w:eastAsia="tr-TR"/>
              </w:rPr>
            </w:pPr>
            <w:r w:rsidRPr="00471CBA">
              <w:rPr>
                <w:color w:val="000000"/>
                <w:sz w:val="16"/>
                <w:szCs w:val="16"/>
                <w:lang w:eastAsia="tr-TR"/>
              </w:rPr>
              <w:t>13</w:t>
            </w:r>
          </w:p>
        </w:tc>
        <w:tc>
          <w:tcPr>
            <w:tcW w:w="2672" w:type="pct"/>
            <w:tcBorders>
              <w:top w:val="nil"/>
              <w:left w:val="nil"/>
              <w:bottom w:val="nil"/>
              <w:right w:val="single" w:sz="4" w:space="0" w:color="auto"/>
            </w:tcBorders>
            <w:hideMark/>
          </w:tcPr>
          <w:p w14:paraId="7FF0ED3B" w14:textId="77777777" w:rsidR="00A74C68" w:rsidRPr="00471CBA" w:rsidRDefault="00A74C68" w:rsidP="00A74C68">
            <w:pPr>
              <w:ind w:firstLineChars="100" w:firstLine="160"/>
              <w:rPr>
                <w:color w:val="000000"/>
                <w:sz w:val="16"/>
                <w:szCs w:val="16"/>
                <w:lang w:eastAsia="tr-TR"/>
              </w:rPr>
            </w:pPr>
            <w:r w:rsidRPr="00471CBA">
              <w:rPr>
                <w:color w:val="000000"/>
                <w:sz w:val="16"/>
                <w:szCs w:val="16"/>
                <w:lang w:eastAsia="tr-TR"/>
              </w:rPr>
              <w:t>Finansal piyasalara olan borçlar için verilen ödeme taahhütleri ile diğer bilanço dışı yükümlülükler</w:t>
            </w:r>
          </w:p>
        </w:tc>
        <w:tc>
          <w:tcPr>
            <w:tcW w:w="580" w:type="pct"/>
            <w:tcBorders>
              <w:top w:val="nil"/>
              <w:left w:val="nil"/>
              <w:bottom w:val="nil"/>
              <w:right w:val="single" w:sz="4" w:space="0" w:color="auto"/>
            </w:tcBorders>
            <w:vAlign w:val="center"/>
            <w:hideMark/>
          </w:tcPr>
          <w:p w14:paraId="58C9E0E6" w14:textId="77777777" w:rsidR="00A74C68" w:rsidRPr="00471CBA" w:rsidRDefault="00A74C68" w:rsidP="00A74C68">
            <w:pPr>
              <w:jc w:val="right"/>
              <w:rPr>
                <w:color w:val="000000"/>
                <w:sz w:val="16"/>
                <w:szCs w:val="16"/>
                <w:lang w:eastAsia="tr-TR"/>
              </w:rPr>
            </w:pPr>
            <w:r w:rsidRPr="00471CBA">
              <w:rPr>
                <w:color w:val="000000"/>
                <w:sz w:val="16"/>
                <w:szCs w:val="16"/>
                <w:lang w:eastAsia="tr-TR"/>
              </w:rPr>
              <w:t>4.352</w:t>
            </w:r>
          </w:p>
        </w:tc>
        <w:tc>
          <w:tcPr>
            <w:tcW w:w="507" w:type="pct"/>
            <w:tcBorders>
              <w:top w:val="nil"/>
              <w:left w:val="nil"/>
              <w:bottom w:val="nil"/>
              <w:right w:val="single" w:sz="4" w:space="0" w:color="auto"/>
            </w:tcBorders>
            <w:vAlign w:val="center"/>
            <w:hideMark/>
          </w:tcPr>
          <w:p w14:paraId="53C5CA1F" w14:textId="77777777" w:rsidR="00A74C68" w:rsidRPr="00471CBA" w:rsidRDefault="00A74C68" w:rsidP="00A74C68">
            <w:pPr>
              <w:jc w:val="right"/>
              <w:rPr>
                <w:color w:val="000000"/>
                <w:sz w:val="16"/>
                <w:szCs w:val="16"/>
                <w:lang w:eastAsia="tr-TR"/>
              </w:rPr>
            </w:pPr>
            <w:r w:rsidRPr="00471CBA">
              <w:rPr>
                <w:color w:val="000000"/>
                <w:sz w:val="16"/>
                <w:szCs w:val="16"/>
                <w:lang w:eastAsia="tr-TR"/>
              </w:rPr>
              <w:t>464</w:t>
            </w:r>
          </w:p>
        </w:tc>
        <w:tc>
          <w:tcPr>
            <w:tcW w:w="580" w:type="pct"/>
            <w:tcBorders>
              <w:top w:val="nil"/>
              <w:left w:val="nil"/>
              <w:bottom w:val="nil"/>
              <w:right w:val="single" w:sz="4" w:space="0" w:color="auto"/>
            </w:tcBorders>
            <w:vAlign w:val="center"/>
            <w:hideMark/>
          </w:tcPr>
          <w:p w14:paraId="65E7D6AF" w14:textId="77777777" w:rsidR="00A74C68" w:rsidRPr="00471CBA" w:rsidRDefault="00A74C68" w:rsidP="00A74C68">
            <w:pPr>
              <w:jc w:val="right"/>
              <w:rPr>
                <w:color w:val="000000"/>
                <w:sz w:val="16"/>
                <w:szCs w:val="16"/>
                <w:lang w:eastAsia="tr-TR"/>
              </w:rPr>
            </w:pPr>
            <w:r w:rsidRPr="00471CBA">
              <w:rPr>
                <w:color w:val="000000"/>
                <w:sz w:val="16"/>
                <w:szCs w:val="16"/>
                <w:lang w:eastAsia="tr-TR"/>
              </w:rPr>
              <w:t>435</w:t>
            </w:r>
          </w:p>
        </w:tc>
        <w:tc>
          <w:tcPr>
            <w:tcW w:w="508" w:type="pct"/>
            <w:tcBorders>
              <w:top w:val="nil"/>
              <w:left w:val="nil"/>
              <w:bottom w:val="nil"/>
              <w:right w:val="single" w:sz="4" w:space="0" w:color="auto"/>
            </w:tcBorders>
            <w:vAlign w:val="center"/>
            <w:hideMark/>
          </w:tcPr>
          <w:p w14:paraId="0A23E619" w14:textId="77777777" w:rsidR="00A74C68" w:rsidRPr="00471CBA" w:rsidRDefault="00A74C68" w:rsidP="00A74C68">
            <w:pPr>
              <w:jc w:val="right"/>
              <w:rPr>
                <w:color w:val="000000"/>
                <w:sz w:val="16"/>
                <w:szCs w:val="16"/>
                <w:lang w:eastAsia="tr-TR"/>
              </w:rPr>
            </w:pPr>
            <w:r w:rsidRPr="00471CBA">
              <w:rPr>
                <w:color w:val="000000"/>
                <w:sz w:val="16"/>
                <w:szCs w:val="16"/>
                <w:lang w:eastAsia="tr-TR"/>
              </w:rPr>
              <w:t>46</w:t>
            </w:r>
          </w:p>
        </w:tc>
      </w:tr>
      <w:tr w:rsidR="00A74C68" w:rsidRPr="00471CBA" w14:paraId="6F44A849" w14:textId="77777777" w:rsidTr="00A74C68">
        <w:trPr>
          <w:divId w:val="601498852"/>
          <w:trHeight w:val="170"/>
        </w:trPr>
        <w:tc>
          <w:tcPr>
            <w:tcW w:w="153" w:type="pct"/>
            <w:tcBorders>
              <w:top w:val="nil"/>
              <w:left w:val="single" w:sz="4" w:space="0" w:color="auto"/>
              <w:bottom w:val="nil"/>
              <w:right w:val="single" w:sz="4" w:space="0" w:color="auto"/>
            </w:tcBorders>
            <w:noWrap/>
            <w:hideMark/>
          </w:tcPr>
          <w:p w14:paraId="718F64EC" w14:textId="77777777" w:rsidR="00A74C68" w:rsidRPr="00471CBA" w:rsidRDefault="00A74C68" w:rsidP="00A74C68">
            <w:pPr>
              <w:jc w:val="center"/>
              <w:rPr>
                <w:color w:val="000000"/>
                <w:sz w:val="16"/>
                <w:szCs w:val="16"/>
                <w:lang w:eastAsia="tr-TR"/>
              </w:rPr>
            </w:pPr>
            <w:r w:rsidRPr="00471CBA">
              <w:rPr>
                <w:color w:val="000000"/>
                <w:sz w:val="16"/>
                <w:szCs w:val="16"/>
                <w:lang w:eastAsia="tr-TR"/>
              </w:rPr>
              <w:t>14</w:t>
            </w:r>
          </w:p>
        </w:tc>
        <w:tc>
          <w:tcPr>
            <w:tcW w:w="2672" w:type="pct"/>
            <w:tcBorders>
              <w:top w:val="nil"/>
              <w:left w:val="nil"/>
              <w:bottom w:val="nil"/>
              <w:right w:val="single" w:sz="4" w:space="0" w:color="auto"/>
            </w:tcBorders>
            <w:hideMark/>
          </w:tcPr>
          <w:p w14:paraId="251F9AA3" w14:textId="77777777" w:rsidR="00A74C68" w:rsidRPr="00471CBA" w:rsidRDefault="00A74C68" w:rsidP="00A74C68">
            <w:pPr>
              <w:rPr>
                <w:color w:val="000000"/>
                <w:sz w:val="16"/>
                <w:szCs w:val="16"/>
                <w:lang w:eastAsia="tr-TR"/>
              </w:rPr>
            </w:pPr>
            <w:r w:rsidRPr="00471CBA">
              <w:rPr>
                <w:color w:val="000000"/>
                <w:sz w:val="16"/>
                <w:szCs w:val="16"/>
                <w:lang w:eastAsia="tr-TR"/>
              </w:rPr>
              <w:t>Herhangi bir şarta bağlı olmaksızın cayılabilir bilanço dışı diğer yükümlülükler ile sözleşmeye dayalı diğer yükümlülükler</w:t>
            </w:r>
          </w:p>
        </w:tc>
        <w:tc>
          <w:tcPr>
            <w:tcW w:w="580" w:type="pct"/>
            <w:tcBorders>
              <w:top w:val="nil"/>
              <w:left w:val="nil"/>
              <w:bottom w:val="nil"/>
              <w:right w:val="single" w:sz="4" w:space="0" w:color="auto"/>
            </w:tcBorders>
            <w:vAlign w:val="center"/>
            <w:hideMark/>
          </w:tcPr>
          <w:p w14:paraId="487C1E14"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c>
          <w:tcPr>
            <w:tcW w:w="507" w:type="pct"/>
            <w:tcBorders>
              <w:top w:val="nil"/>
              <w:left w:val="nil"/>
              <w:bottom w:val="nil"/>
              <w:right w:val="single" w:sz="4" w:space="0" w:color="auto"/>
            </w:tcBorders>
            <w:vAlign w:val="center"/>
            <w:hideMark/>
          </w:tcPr>
          <w:p w14:paraId="5C9ACE50"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c>
          <w:tcPr>
            <w:tcW w:w="580" w:type="pct"/>
            <w:tcBorders>
              <w:top w:val="nil"/>
              <w:left w:val="nil"/>
              <w:bottom w:val="nil"/>
              <w:right w:val="single" w:sz="4" w:space="0" w:color="auto"/>
            </w:tcBorders>
            <w:vAlign w:val="center"/>
            <w:hideMark/>
          </w:tcPr>
          <w:p w14:paraId="39E9C63A"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c>
          <w:tcPr>
            <w:tcW w:w="508" w:type="pct"/>
            <w:tcBorders>
              <w:top w:val="nil"/>
              <w:left w:val="nil"/>
              <w:bottom w:val="nil"/>
              <w:right w:val="single" w:sz="4" w:space="0" w:color="auto"/>
            </w:tcBorders>
            <w:vAlign w:val="center"/>
            <w:hideMark/>
          </w:tcPr>
          <w:p w14:paraId="58667FE0"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r>
      <w:tr w:rsidR="00A74C68" w:rsidRPr="00471CBA" w14:paraId="270E67F9" w14:textId="77777777" w:rsidTr="00A74C68">
        <w:trPr>
          <w:divId w:val="601498852"/>
          <w:trHeight w:val="170"/>
        </w:trPr>
        <w:tc>
          <w:tcPr>
            <w:tcW w:w="153" w:type="pct"/>
            <w:tcBorders>
              <w:top w:val="nil"/>
              <w:left w:val="single" w:sz="4" w:space="0" w:color="auto"/>
              <w:bottom w:val="nil"/>
              <w:right w:val="single" w:sz="4" w:space="0" w:color="auto"/>
            </w:tcBorders>
            <w:noWrap/>
            <w:hideMark/>
          </w:tcPr>
          <w:p w14:paraId="37F8F8A6" w14:textId="77777777" w:rsidR="00A74C68" w:rsidRPr="00471CBA" w:rsidRDefault="00A74C68" w:rsidP="00A74C68">
            <w:pPr>
              <w:jc w:val="center"/>
              <w:rPr>
                <w:color w:val="000000"/>
                <w:sz w:val="16"/>
                <w:szCs w:val="16"/>
                <w:lang w:eastAsia="tr-TR"/>
              </w:rPr>
            </w:pPr>
            <w:r w:rsidRPr="00471CBA">
              <w:rPr>
                <w:color w:val="000000"/>
                <w:sz w:val="16"/>
                <w:szCs w:val="16"/>
                <w:lang w:eastAsia="tr-TR"/>
              </w:rPr>
              <w:t>15</w:t>
            </w:r>
          </w:p>
        </w:tc>
        <w:tc>
          <w:tcPr>
            <w:tcW w:w="2672" w:type="pct"/>
            <w:tcBorders>
              <w:top w:val="nil"/>
              <w:left w:val="nil"/>
              <w:bottom w:val="nil"/>
              <w:right w:val="single" w:sz="4" w:space="0" w:color="auto"/>
            </w:tcBorders>
            <w:noWrap/>
            <w:hideMark/>
          </w:tcPr>
          <w:p w14:paraId="6567C328" w14:textId="77777777" w:rsidR="00A74C68" w:rsidRPr="00471CBA" w:rsidRDefault="00A74C68" w:rsidP="00A74C68">
            <w:pPr>
              <w:rPr>
                <w:color w:val="000000"/>
                <w:sz w:val="16"/>
                <w:szCs w:val="16"/>
                <w:lang w:eastAsia="tr-TR"/>
              </w:rPr>
            </w:pPr>
            <w:r w:rsidRPr="00471CBA">
              <w:rPr>
                <w:color w:val="000000"/>
                <w:sz w:val="16"/>
                <w:szCs w:val="16"/>
                <w:lang w:eastAsia="tr-TR"/>
              </w:rPr>
              <w:t>Diğer cayılamaz veya şartı bağlı olarak cayılabilir bilanço dışı borçlar</w:t>
            </w:r>
          </w:p>
        </w:tc>
        <w:tc>
          <w:tcPr>
            <w:tcW w:w="580" w:type="pct"/>
            <w:tcBorders>
              <w:top w:val="nil"/>
              <w:left w:val="nil"/>
              <w:bottom w:val="nil"/>
              <w:right w:val="single" w:sz="4" w:space="0" w:color="auto"/>
            </w:tcBorders>
            <w:vAlign w:val="center"/>
            <w:hideMark/>
          </w:tcPr>
          <w:p w14:paraId="58B6C0FA"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c>
          <w:tcPr>
            <w:tcW w:w="507" w:type="pct"/>
            <w:tcBorders>
              <w:top w:val="nil"/>
              <w:left w:val="nil"/>
              <w:bottom w:val="nil"/>
              <w:right w:val="single" w:sz="4" w:space="0" w:color="auto"/>
            </w:tcBorders>
            <w:vAlign w:val="center"/>
            <w:hideMark/>
          </w:tcPr>
          <w:p w14:paraId="761622CA"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c>
          <w:tcPr>
            <w:tcW w:w="580" w:type="pct"/>
            <w:tcBorders>
              <w:top w:val="nil"/>
              <w:left w:val="nil"/>
              <w:bottom w:val="nil"/>
              <w:right w:val="single" w:sz="4" w:space="0" w:color="auto"/>
            </w:tcBorders>
            <w:vAlign w:val="center"/>
            <w:hideMark/>
          </w:tcPr>
          <w:p w14:paraId="4A4195C5"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c>
          <w:tcPr>
            <w:tcW w:w="508" w:type="pct"/>
            <w:tcBorders>
              <w:top w:val="nil"/>
              <w:left w:val="nil"/>
              <w:bottom w:val="nil"/>
              <w:right w:val="single" w:sz="4" w:space="0" w:color="auto"/>
            </w:tcBorders>
            <w:vAlign w:val="center"/>
            <w:hideMark/>
          </w:tcPr>
          <w:p w14:paraId="511B801B"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r>
      <w:tr w:rsidR="00A74C68" w:rsidRPr="00471CBA" w14:paraId="7F62AEA3" w14:textId="77777777" w:rsidTr="00A74C68">
        <w:trPr>
          <w:divId w:val="601498852"/>
          <w:trHeight w:val="170"/>
        </w:trPr>
        <w:tc>
          <w:tcPr>
            <w:tcW w:w="153" w:type="pct"/>
            <w:tcBorders>
              <w:top w:val="single" w:sz="4" w:space="0" w:color="auto"/>
              <w:left w:val="single" w:sz="4" w:space="0" w:color="auto"/>
              <w:bottom w:val="single" w:sz="4" w:space="0" w:color="auto"/>
              <w:right w:val="single" w:sz="4" w:space="0" w:color="auto"/>
            </w:tcBorders>
            <w:noWrap/>
            <w:hideMark/>
          </w:tcPr>
          <w:p w14:paraId="6EB77EF7" w14:textId="77777777" w:rsidR="00A74C68" w:rsidRPr="00471CBA" w:rsidRDefault="00A74C68" w:rsidP="00A74C68">
            <w:pPr>
              <w:jc w:val="center"/>
              <w:rPr>
                <w:b/>
                <w:bCs/>
                <w:color w:val="000000"/>
                <w:sz w:val="16"/>
                <w:szCs w:val="16"/>
                <w:lang w:eastAsia="tr-TR"/>
              </w:rPr>
            </w:pPr>
            <w:r w:rsidRPr="00471CBA">
              <w:rPr>
                <w:b/>
                <w:bCs/>
                <w:color w:val="000000"/>
                <w:sz w:val="16"/>
                <w:szCs w:val="16"/>
                <w:lang w:eastAsia="tr-TR"/>
              </w:rPr>
              <w:t>16</w:t>
            </w:r>
          </w:p>
        </w:tc>
        <w:tc>
          <w:tcPr>
            <w:tcW w:w="2672" w:type="pct"/>
            <w:tcBorders>
              <w:top w:val="single" w:sz="4" w:space="0" w:color="auto"/>
              <w:left w:val="nil"/>
              <w:bottom w:val="single" w:sz="4" w:space="0" w:color="auto"/>
              <w:right w:val="single" w:sz="4" w:space="0" w:color="auto"/>
            </w:tcBorders>
            <w:noWrap/>
            <w:hideMark/>
          </w:tcPr>
          <w:p w14:paraId="108EBCD3" w14:textId="77777777" w:rsidR="00A74C68" w:rsidRPr="00471CBA" w:rsidRDefault="00A74C68" w:rsidP="00A74C68">
            <w:pPr>
              <w:rPr>
                <w:b/>
                <w:bCs/>
                <w:color w:val="000000"/>
                <w:sz w:val="16"/>
                <w:szCs w:val="16"/>
                <w:lang w:eastAsia="tr-TR"/>
              </w:rPr>
            </w:pPr>
            <w:r w:rsidRPr="00471CBA">
              <w:rPr>
                <w:b/>
                <w:bCs/>
                <w:color w:val="000000"/>
                <w:sz w:val="16"/>
                <w:szCs w:val="16"/>
                <w:lang w:eastAsia="tr-TR"/>
              </w:rPr>
              <w:t>TOPLAM NAKİT ÇIKIŞLARI</w:t>
            </w:r>
          </w:p>
        </w:tc>
        <w:tc>
          <w:tcPr>
            <w:tcW w:w="580" w:type="pct"/>
            <w:tcBorders>
              <w:top w:val="single" w:sz="4" w:space="0" w:color="auto"/>
              <w:left w:val="nil"/>
              <w:bottom w:val="single" w:sz="4" w:space="0" w:color="auto"/>
              <w:right w:val="single" w:sz="4" w:space="0" w:color="auto"/>
            </w:tcBorders>
            <w:shd w:val="clear" w:color="000000" w:fill="000000"/>
            <w:noWrap/>
            <w:vAlign w:val="center"/>
            <w:hideMark/>
          </w:tcPr>
          <w:p w14:paraId="4EEE9E21" w14:textId="77777777" w:rsidR="00A74C68" w:rsidRPr="00471CBA" w:rsidRDefault="00A74C68" w:rsidP="00A74C68">
            <w:pPr>
              <w:jc w:val="right"/>
              <w:rPr>
                <w:b/>
                <w:bCs/>
                <w:color w:val="FFFFFF"/>
                <w:sz w:val="16"/>
                <w:szCs w:val="16"/>
                <w:lang w:eastAsia="tr-TR"/>
              </w:rPr>
            </w:pPr>
            <w:r w:rsidRPr="00471CBA">
              <w:rPr>
                <w:b/>
                <w:bCs/>
                <w:color w:val="FFFFFF"/>
                <w:sz w:val="16"/>
                <w:szCs w:val="16"/>
                <w:lang w:eastAsia="tr-TR"/>
              </w:rPr>
              <w:t> </w:t>
            </w:r>
          </w:p>
        </w:tc>
        <w:tc>
          <w:tcPr>
            <w:tcW w:w="507" w:type="pct"/>
            <w:tcBorders>
              <w:top w:val="single" w:sz="4" w:space="0" w:color="auto"/>
              <w:left w:val="nil"/>
              <w:bottom w:val="single" w:sz="4" w:space="0" w:color="auto"/>
              <w:right w:val="single" w:sz="4" w:space="0" w:color="auto"/>
            </w:tcBorders>
            <w:shd w:val="clear" w:color="000000" w:fill="000000"/>
            <w:noWrap/>
            <w:vAlign w:val="center"/>
            <w:hideMark/>
          </w:tcPr>
          <w:p w14:paraId="333529A9" w14:textId="77777777" w:rsidR="00A74C68" w:rsidRPr="00471CBA" w:rsidRDefault="00A74C68" w:rsidP="00A74C68">
            <w:pPr>
              <w:jc w:val="right"/>
              <w:rPr>
                <w:b/>
                <w:bCs/>
                <w:color w:val="FFFFFF"/>
                <w:sz w:val="16"/>
                <w:szCs w:val="16"/>
                <w:lang w:eastAsia="tr-TR"/>
              </w:rPr>
            </w:pPr>
            <w:r w:rsidRPr="00471CBA">
              <w:rPr>
                <w:b/>
                <w:bCs/>
                <w:color w:val="FFFFFF"/>
                <w:sz w:val="16"/>
                <w:szCs w:val="16"/>
                <w:lang w:eastAsia="tr-TR"/>
              </w:rPr>
              <w:t> </w:t>
            </w:r>
          </w:p>
        </w:tc>
        <w:tc>
          <w:tcPr>
            <w:tcW w:w="580" w:type="pct"/>
            <w:tcBorders>
              <w:top w:val="single" w:sz="4" w:space="0" w:color="auto"/>
              <w:left w:val="nil"/>
              <w:bottom w:val="single" w:sz="4" w:space="0" w:color="auto"/>
              <w:right w:val="single" w:sz="4" w:space="0" w:color="auto"/>
            </w:tcBorders>
            <w:noWrap/>
            <w:vAlign w:val="center"/>
            <w:hideMark/>
          </w:tcPr>
          <w:p w14:paraId="198C11C9"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6.061.175</w:t>
            </w:r>
          </w:p>
        </w:tc>
        <w:tc>
          <w:tcPr>
            <w:tcW w:w="508" w:type="pct"/>
            <w:tcBorders>
              <w:top w:val="single" w:sz="4" w:space="0" w:color="auto"/>
              <w:left w:val="nil"/>
              <w:bottom w:val="single" w:sz="4" w:space="0" w:color="auto"/>
              <w:right w:val="single" w:sz="4" w:space="0" w:color="auto"/>
            </w:tcBorders>
            <w:noWrap/>
            <w:vAlign w:val="center"/>
            <w:hideMark/>
          </w:tcPr>
          <w:p w14:paraId="2D931A3F"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2.849.240</w:t>
            </w:r>
          </w:p>
        </w:tc>
      </w:tr>
      <w:tr w:rsidR="00A74C68" w:rsidRPr="00471CBA" w14:paraId="5D9096EE" w14:textId="77777777" w:rsidTr="00A74C68">
        <w:trPr>
          <w:divId w:val="601498852"/>
          <w:trHeight w:val="170"/>
        </w:trPr>
        <w:tc>
          <w:tcPr>
            <w:tcW w:w="153" w:type="pct"/>
            <w:tcBorders>
              <w:top w:val="single" w:sz="4" w:space="0" w:color="auto"/>
              <w:left w:val="single" w:sz="4" w:space="0" w:color="auto"/>
              <w:bottom w:val="single" w:sz="4" w:space="0" w:color="auto"/>
              <w:right w:val="single" w:sz="4" w:space="0" w:color="auto"/>
            </w:tcBorders>
            <w:noWrap/>
            <w:hideMark/>
          </w:tcPr>
          <w:p w14:paraId="07D2958F" w14:textId="77777777" w:rsidR="00A74C68" w:rsidRPr="00471CBA" w:rsidRDefault="00A74C68" w:rsidP="00A74C68">
            <w:pPr>
              <w:rPr>
                <w:color w:val="000000"/>
                <w:sz w:val="16"/>
                <w:szCs w:val="16"/>
                <w:lang w:eastAsia="tr-TR"/>
              </w:rPr>
            </w:pPr>
            <w:r w:rsidRPr="00471CBA">
              <w:rPr>
                <w:color w:val="000000"/>
                <w:sz w:val="16"/>
                <w:szCs w:val="16"/>
                <w:lang w:eastAsia="tr-TR"/>
              </w:rPr>
              <w:t> </w:t>
            </w:r>
          </w:p>
        </w:tc>
        <w:tc>
          <w:tcPr>
            <w:tcW w:w="2672" w:type="pct"/>
            <w:tcBorders>
              <w:top w:val="single" w:sz="4" w:space="0" w:color="auto"/>
              <w:left w:val="nil"/>
              <w:bottom w:val="single" w:sz="4" w:space="0" w:color="auto"/>
              <w:right w:val="single" w:sz="4" w:space="0" w:color="auto"/>
            </w:tcBorders>
            <w:noWrap/>
            <w:hideMark/>
          </w:tcPr>
          <w:p w14:paraId="34C0499E" w14:textId="77777777" w:rsidR="00A74C68" w:rsidRPr="00471CBA" w:rsidRDefault="00A74C68" w:rsidP="00A74C68">
            <w:pPr>
              <w:rPr>
                <w:b/>
                <w:bCs/>
                <w:color w:val="000000"/>
                <w:sz w:val="16"/>
                <w:szCs w:val="16"/>
                <w:lang w:eastAsia="tr-TR"/>
              </w:rPr>
            </w:pPr>
            <w:r w:rsidRPr="00471CBA">
              <w:rPr>
                <w:b/>
                <w:bCs/>
                <w:color w:val="000000"/>
                <w:sz w:val="16"/>
                <w:szCs w:val="16"/>
                <w:lang w:eastAsia="tr-TR"/>
              </w:rPr>
              <w:t>NAKİT GİRİŞLERİ</w:t>
            </w:r>
          </w:p>
        </w:tc>
        <w:tc>
          <w:tcPr>
            <w:tcW w:w="580" w:type="pct"/>
            <w:tcBorders>
              <w:top w:val="single" w:sz="4" w:space="0" w:color="auto"/>
              <w:left w:val="nil"/>
              <w:bottom w:val="single" w:sz="4" w:space="0" w:color="auto"/>
              <w:right w:val="single" w:sz="4" w:space="0" w:color="auto"/>
            </w:tcBorders>
            <w:noWrap/>
            <w:vAlign w:val="bottom"/>
            <w:hideMark/>
          </w:tcPr>
          <w:p w14:paraId="4FD514DB" w14:textId="77777777" w:rsidR="00A74C68" w:rsidRPr="00471CBA" w:rsidRDefault="00A74C68" w:rsidP="00A74C68">
            <w:pPr>
              <w:jc w:val="right"/>
              <w:rPr>
                <w:color w:val="000000"/>
                <w:sz w:val="16"/>
                <w:szCs w:val="16"/>
                <w:lang w:eastAsia="tr-TR"/>
              </w:rPr>
            </w:pPr>
            <w:r w:rsidRPr="00471CBA">
              <w:rPr>
                <w:color w:val="000000"/>
                <w:sz w:val="16"/>
                <w:szCs w:val="16"/>
                <w:lang w:eastAsia="tr-TR"/>
              </w:rPr>
              <w:t> </w:t>
            </w:r>
          </w:p>
        </w:tc>
        <w:tc>
          <w:tcPr>
            <w:tcW w:w="507" w:type="pct"/>
            <w:tcBorders>
              <w:top w:val="single" w:sz="4" w:space="0" w:color="auto"/>
              <w:left w:val="nil"/>
              <w:bottom w:val="single" w:sz="4" w:space="0" w:color="auto"/>
              <w:right w:val="single" w:sz="4" w:space="0" w:color="auto"/>
            </w:tcBorders>
            <w:noWrap/>
            <w:vAlign w:val="center"/>
            <w:hideMark/>
          </w:tcPr>
          <w:p w14:paraId="3C8DE2F6" w14:textId="77777777" w:rsidR="00A74C68" w:rsidRPr="00471CBA" w:rsidRDefault="00A74C68" w:rsidP="00A74C68">
            <w:pPr>
              <w:jc w:val="right"/>
              <w:rPr>
                <w:color w:val="000000"/>
                <w:sz w:val="16"/>
                <w:szCs w:val="16"/>
                <w:lang w:eastAsia="tr-TR"/>
              </w:rPr>
            </w:pPr>
            <w:r w:rsidRPr="00471CBA">
              <w:rPr>
                <w:color w:val="000000"/>
                <w:sz w:val="16"/>
                <w:szCs w:val="16"/>
                <w:lang w:eastAsia="tr-TR"/>
              </w:rPr>
              <w:t> </w:t>
            </w:r>
          </w:p>
        </w:tc>
        <w:tc>
          <w:tcPr>
            <w:tcW w:w="580" w:type="pct"/>
            <w:tcBorders>
              <w:top w:val="single" w:sz="4" w:space="0" w:color="auto"/>
              <w:left w:val="nil"/>
              <w:bottom w:val="single" w:sz="4" w:space="0" w:color="auto"/>
              <w:right w:val="single" w:sz="4" w:space="0" w:color="auto"/>
            </w:tcBorders>
            <w:noWrap/>
            <w:vAlign w:val="bottom"/>
            <w:hideMark/>
          </w:tcPr>
          <w:p w14:paraId="2A48C332" w14:textId="77777777" w:rsidR="00A74C68" w:rsidRPr="00471CBA" w:rsidRDefault="00A74C68" w:rsidP="00A74C68">
            <w:pPr>
              <w:jc w:val="right"/>
              <w:rPr>
                <w:color w:val="000000"/>
                <w:sz w:val="16"/>
                <w:szCs w:val="16"/>
                <w:lang w:eastAsia="tr-TR"/>
              </w:rPr>
            </w:pPr>
            <w:r w:rsidRPr="00471CBA">
              <w:rPr>
                <w:color w:val="000000"/>
                <w:sz w:val="16"/>
                <w:szCs w:val="16"/>
                <w:lang w:eastAsia="tr-TR"/>
              </w:rPr>
              <w:t> </w:t>
            </w:r>
          </w:p>
        </w:tc>
        <w:tc>
          <w:tcPr>
            <w:tcW w:w="508" w:type="pct"/>
            <w:tcBorders>
              <w:top w:val="single" w:sz="4" w:space="0" w:color="auto"/>
              <w:left w:val="nil"/>
              <w:bottom w:val="single" w:sz="4" w:space="0" w:color="auto"/>
              <w:right w:val="single" w:sz="4" w:space="0" w:color="auto"/>
            </w:tcBorders>
            <w:noWrap/>
            <w:vAlign w:val="center"/>
            <w:hideMark/>
          </w:tcPr>
          <w:p w14:paraId="4475281C" w14:textId="77777777" w:rsidR="00A74C68" w:rsidRPr="00471CBA" w:rsidRDefault="00A74C68" w:rsidP="00A74C68">
            <w:pPr>
              <w:jc w:val="right"/>
              <w:rPr>
                <w:color w:val="000000"/>
                <w:sz w:val="16"/>
                <w:szCs w:val="16"/>
                <w:lang w:eastAsia="tr-TR"/>
              </w:rPr>
            </w:pPr>
            <w:r w:rsidRPr="00471CBA">
              <w:rPr>
                <w:color w:val="000000"/>
                <w:sz w:val="16"/>
                <w:szCs w:val="16"/>
                <w:lang w:eastAsia="tr-TR"/>
              </w:rPr>
              <w:t> </w:t>
            </w:r>
          </w:p>
        </w:tc>
      </w:tr>
      <w:tr w:rsidR="00A74C68" w:rsidRPr="00471CBA" w14:paraId="105F7687" w14:textId="77777777" w:rsidTr="00A74C68">
        <w:trPr>
          <w:divId w:val="601498852"/>
          <w:trHeight w:val="170"/>
        </w:trPr>
        <w:tc>
          <w:tcPr>
            <w:tcW w:w="153" w:type="pct"/>
            <w:tcBorders>
              <w:top w:val="nil"/>
              <w:left w:val="single" w:sz="4" w:space="0" w:color="auto"/>
              <w:bottom w:val="nil"/>
              <w:right w:val="single" w:sz="4" w:space="0" w:color="auto"/>
            </w:tcBorders>
            <w:noWrap/>
            <w:hideMark/>
          </w:tcPr>
          <w:p w14:paraId="0EFB23B9" w14:textId="77777777" w:rsidR="00A74C68" w:rsidRPr="00471CBA" w:rsidRDefault="00A74C68" w:rsidP="00A74C68">
            <w:pPr>
              <w:jc w:val="center"/>
              <w:rPr>
                <w:color w:val="000000"/>
                <w:sz w:val="16"/>
                <w:szCs w:val="16"/>
                <w:lang w:eastAsia="tr-TR"/>
              </w:rPr>
            </w:pPr>
            <w:r w:rsidRPr="00471CBA">
              <w:rPr>
                <w:color w:val="000000"/>
                <w:sz w:val="16"/>
                <w:szCs w:val="16"/>
                <w:lang w:eastAsia="tr-TR"/>
              </w:rPr>
              <w:t>17</w:t>
            </w:r>
          </w:p>
        </w:tc>
        <w:tc>
          <w:tcPr>
            <w:tcW w:w="2672" w:type="pct"/>
            <w:tcBorders>
              <w:top w:val="nil"/>
              <w:left w:val="nil"/>
              <w:bottom w:val="nil"/>
              <w:right w:val="single" w:sz="4" w:space="0" w:color="auto"/>
            </w:tcBorders>
            <w:noWrap/>
            <w:hideMark/>
          </w:tcPr>
          <w:p w14:paraId="53961BF7" w14:textId="77777777" w:rsidR="00A74C68" w:rsidRPr="00471CBA" w:rsidRDefault="00A74C68" w:rsidP="00A74C68">
            <w:pPr>
              <w:rPr>
                <w:color w:val="000000"/>
                <w:sz w:val="16"/>
                <w:szCs w:val="16"/>
                <w:lang w:eastAsia="tr-TR"/>
              </w:rPr>
            </w:pPr>
            <w:r w:rsidRPr="00471CBA">
              <w:rPr>
                <w:color w:val="000000"/>
                <w:sz w:val="16"/>
                <w:szCs w:val="16"/>
                <w:lang w:eastAsia="tr-TR"/>
              </w:rPr>
              <w:t>Teminatlı alacaklar</w:t>
            </w:r>
          </w:p>
        </w:tc>
        <w:tc>
          <w:tcPr>
            <w:tcW w:w="580" w:type="pct"/>
            <w:tcBorders>
              <w:top w:val="nil"/>
              <w:left w:val="nil"/>
              <w:bottom w:val="nil"/>
              <w:right w:val="single" w:sz="4" w:space="0" w:color="auto"/>
            </w:tcBorders>
            <w:vAlign w:val="center"/>
            <w:hideMark/>
          </w:tcPr>
          <w:p w14:paraId="40BBAF91"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c>
          <w:tcPr>
            <w:tcW w:w="507" w:type="pct"/>
            <w:tcBorders>
              <w:top w:val="nil"/>
              <w:left w:val="nil"/>
              <w:bottom w:val="nil"/>
              <w:right w:val="single" w:sz="4" w:space="0" w:color="auto"/>
            </w:tcBorders>
            <w:vAlign w:val="center"/>
            <w:hideMark/>
          </w:tcPr>
          <w:p w14:paraId="7B4B2989"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c>
          <w:tcPr>
            <w:tcW w:w="580" w:type="pct"/>
            <w:tcBorders>
              <w:top w:val="nil"/>
              <w:left w:val="nil"/>
              <w:bottom w:val="nil"/>
              <w:right w:val="single" w:sz="4" w:space="0" w:color="auto"/>
            </w:tcBorders>
            <w:vAlign w:val="center"/>
            <w:hideMark/>
          </w:tcPr>
          <w:p w14:paraId="0D856123"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c>
          <w:tcPr>
            <w:tcW w:w="508" w:type="pct"/>
            <w:tcBorders>
              <w:top w:val="nil"/>
              <w:left w:val="nil"/>
              <w:bottom w:val="nil"/>
              <w:right w:val="single" w:sz="4" w:space="0" w:color="auto"/>
            </w:tcBorders>
            <w:vAlign w:val="center"/>
            <w:hideMark/>
          </w:tcPr>
          <w:p w14:paraId="50EC32A3" w14:textId="77777777" w:rsidR="00A74C68" w:rsidRPr="00471CBA" w:rsidRDefault="00A74C68" w:rsidP="00A74C68">
            <w:pPr>
              <w:jc w:val="right"/>
              <w:rPr>
                <w:color w:val="000000"/>
                <w:sz w:val="16"/>
                <w:szCs w:val="16"/>
                <w:lang w:eastAsia="tr-TR"/>
              </w:rPr>
            </w:pPr>
            <w:r w:rsidRPr="00471CBA">
              <w:rPr>
                <w:color w:val="000000"/>
                <w:sz w:val="16"/>
                <w:szCs w:val="16"/>
                <w:lang w:eastAsia="tr-TR"/>
              </w:rPr>
              <w:t>-</w:t>
            </w:r>
          </w:p>
        </w:tc>
      </w:tr>
      <w:tr w:rsidR="00A74C68" w:rsidRPr="00471CBA" w14:paraId="522014F1" w14:textId="77777777" w:rsidTr="00A74C68">
        <w:trPr>
          <w:divId w:val="601498852"/>
          <w:trHeight w:val="170"/>
        </w:trPr>
        <w:tc>
          <w:tcPr>
            <w:tcW w:w="153" w:type="pct"/>
            <w:tcBorders>
              <w:top w:val="nil"/>
              <w:left w:val="single" w:sz="4" w:space="0" w:color="auto"/>
              <w:bottom w:val="nil"/>
              <w:right w:val="single" w:sz="4" w:space="0" w:color="auto"/>
            </w:tcBorders>
            <w:noWrap/>
            <w:hideMark/>
          </w:tcPr>
          <w:p w14:paraId="3952CE51" w14:textId="77777777" w:rsidR="00A74C68" w:rsidRPr="00471CBA" w:rsidRDefault="00A74C68" w:rsidP="00A74C68">
            <w:pPr>
              <w:jc w:val="center"/>
              <w:rPr>
                <w:color w:val="000000"/>
                <w:sz w:val="16"/>
                <w:szCs w:val="16"/>
                <w:lang w:eastAsia="tr-TR"/>
              </w:rPr>
            </w:pPr>
            <w:r w:rsidRPr="00471CBA">
              <w:rPr>
                <w:color w:val="000000"/>
                <w:sz w:val="16"/>
                <w:szCs w:val="16"/>
                <w:lang w:eastAsia="tr-TR"/>
              </w:rPr>
              <w:t>18</w:t>
            </w:r>
          </w:p>
        </w:tc>
        <w:tc>
          <w:tcPr>
            <w:tcW w:w="2672" w:type="pct"/>
            <w:tcBorders>
              <w:top w:val="nil"/>
              <w:left w:val="nil"/>
              <w:bottom w:val="nil"/>
              <w:right w:val="single" w:sz="4" w:space="0" w:color="auto"/>
            </w:tcBorders>
            <w:noWrap/>
            <w:hideMark/>
          </w:tcPr>
          <w:p w14:paraId="38C1D8E3" w14:textId="77777777" w:rsidR="00A74C68" w:rsidRPr="00471CBA" w:rsidRDefault="00A74C68" w:rsidP="00A74C68">
            <w:pPr>
              <w:rPr>
                <w:color w:val="000000"/>
                <w:sz w:val="16"/>
                <w:szCs w:val="16"/>
                <w:lang w:eastAsia="tr-TR"/>
              </w:rPr>
            </w:pPr>
            <w:r w:rsidRPr="00471CBA">
              <w:rPr>
                <w:color w:val="000000"/>
                <w:sz w:val="16"/>
                <w:szCs w:val="16"/>
                <w:lang w:eastAsia="tr-TR"/>
              </w:rPr>
              <w:t>Teminatsız alacaklar</w:t>
            </w:r>
          </w:p>
        </w:tc>
        <w:tc>
          <w:tcPr>
            <w:tcW w:w="580" w:type="pct"/>
            <w:tcBorders>
              <w:top w:val="nil"/>
              <w:left w:val="nil"/>
              <w:bottom w:val="nil"/>
              <w:right w:val="single" w:sz="4" w:space="0" w:color="auto"/>
            </w:tcBorders>
            <w:vAlign w:val="center"/>
            <w:hideMark/>
          </w:tcPr>
          <w:p w14:paraId="7FAA3FAC" w14:textId="77777777" w:rsidR="00A74C68" w:rsidRPr="00471CBA" w:rsidRDefault="00A74C68" w:rsidP="00A74C68">
            <w:pPr>
              <w:jc w:val="right"/>
              <w:rPr>
                <w:color w:val="000000"/>
                <w:sz w:val="16"/>
                <w:szCs w:val="16"/>
                <w:lang w:eastAsia="tr-TR"/>
              </w:rPr>
            </w:pPr>
            <w:r w:rsidRPr="00471CBA">
              <w:rPr>
                <w:color w:val="000000"/>
                <w:sz w:val="16"/>
                <w:szCs w:val="16"/>
                <w:lang w:eastAsia="tr-TR"/>
              </w:rPr>
              <w:t>4.529.801</w:t>
            </w:r>
          </w:p>
        </w:tc>
        <w:tc>
          <w:tcPr>
            <w:tcW w:w="507" w:type="pct"/>
            <w:tcBorders>
              <w:top w:val="nil"/>
              <w:left w:val="nil"/>
              <w:bottom w:val="nil"/>
              <w:right w:val="single" w:sz="4" w:space="0" w:color="auto"/>
            </w:tcBorders>
            <w:vAlign w:val="center"/>
            <w:hideMark/>
          </w:tcPr>
          <w:p w14:paraId="4159A710" w14:textId="77777777" w:rsidR="00A74C68" w:rsidRPr="00471CBA" w:rsidRDefault="00A74C68" w:rsidP="00A74C68">
            <w:pPr>
              <w:jc w:val="right"/>
              <w:rPr>
                <w:color w:val="000000"/>
                <w:sz w:val="16"/>
                <w:szCs w:val="16"/>
                <w:lang w:eastAsia="tr-TR"/>
              </w:rPr>
            </w:pPr>
            <w:r w:rsidRPr="00471CBA">
              <w:rPr>
                <w:color w:val="000000"/>
                <w:sz w:val="16"/>
                <w:szCs w:val="16"/>
                <w:lang w:eastAsia="tr-TR"/>
              </w:rPr>
              <w:t>2.445.422</w:t>
            </w:r>
          </w:p>
        </w:tc>
        <w:tc>
          <w:tcPr>
            <w:tcW w:w="580" w:type="pct"/>
            <w:tcBorders>
              <w:top w:val="nil"/>
              <w:left w:val="nil"/>
              <w:bottom w:val="nil"/>
              <w:right w:val="single" w:sz="4" w:space="0" w:color="auto"/>
            </w:tcBorders>
            <w:vAlign w:val="center"/>
            <w:hideMark/>
          </w:tcPr>
          <w:p w14:paraId="276AFB23" w14:textId="77777777" w:rsidR="00A74C68" w:rsidRPr="00471CBA" w:rsidRDefault="00A74C68" w:rsidP="00A74C68">
            <w:pPr>
              <w:jc w:val="right"/>
              <w:rPr>
                <w:color w:val="000000"/>
                <w:sz w:val="16"/>
                <w:szCs w:val="16"/>
                <w:lang w:eastAsia="tr-TR"/>
              </w:rPr>
            </w:pPr>
            <w:r w:rsidRPr="00471CBA">
              <w:rPr>
                <w:color w:val="000000"/>
                <w:sz w:val="16"/>
                <w:szCs w:val="16"/>
                <w:lang w:eastAsia="tr-TR"/>
              </w:rPr>
              <w:t>3.511.387</w:t>
            </w:r>
          </w:p>
        </w:tc>
        <w:tc>
          <w:tcPr>
            <w:tcW w:w="508" w:type="pct"/>
            <w:tcBorders>
              <w:top w:val="nil"/>
              <w:left w:val="nil"/>
              <w:bottom w:val="nil"/>
              <w:right w:val="single" w:sz="4" w:space="0" w:color="auto"/>
            </w:tcBorders>
            <w:vAlign w:val="center"/>
            <w:hideMark/>
          </w:tcPr>
          <w:p w14:paraId="4E313DE3" w14:textId="77777777" w:rsidR="00A74C68" w:rsidRPr="00471CBA" w:rsidRDefault="00A74C68" w:rsidP="00A74C68">
            <w:pPr>
              <w:jc w:val="right"/>
              <w:rPr>
                <w:color w:val="000000"/>
                <w:sz w:val="16"/>
                <w:szCs w:val="16"/>
                <w:lang w:eastAsia="tr-TR"/>
              </w:rPr>
            </w:pPr>
            <w:r w:rsidRPr="00471CBA">
              <w:rPr>
                <w:color w:val="000000"/>
                <w:sz w:val="16"/>
                <w:szCs w:val="16"/>
                <w:lang w:eastAsia="tr-TR"/>
              </w:rPr>
              <w:t>2.131.474</w:t>
            </w:r>
          </w:p>
        </w:tc>
      </w:tr>
      <w:tr w:rsidR="00A74C68" w:rsidRPr="00471CBA" w14:paraId="693D32B3" w14:textId="77777777" w:rsidTr="00A74C68">
        <w:trPr>
          <w:divId w:val="601498852"/>
          <w:trHeight w:val="170"/>
        </w:trPr>
        <w:tc>
          <w:tcPr>
            <w:tcW w:w="153" w:type="pct"/>
            <w:tcBorders>
              <w:top w:val="nil"/>
              <w:left w:val="single" w:sz="4" w:space="0" w:color="auto"/>
              <w:bottom w:val="nil"/>
              <w:right w:val="single" w:sz="4" w:space="0" w:color="auto"/>
            </w:tcBorders>
            <w:noWrap/>
            <w:hideMark/>
          </w:tcPr>
          <w:p w14:paraId="33D03579" w14:textId="77777777" w:rsidR="00A74C68" w:rsidRPr="00471CBA" w:rsidRDefault="00A74C68" w:rsidP="00A74C68">
            <w:pPr>
              <w:jc w:val="center"/>
              <w:rPr>
                <w:color w:val="000000"/>
                <w:sz w:val="16"/>
                <w:szCs w:val="16"/>
                <w:lang w:eastAsia="tr-TR"/>
              </w:rPr>
            </w:pPr>
            <w:r w:rsidRPr="00471CBA">
              <w:rPr>
                <w:color w:val="000000"/>
                <w:sz w:val="16"/>
                <w:szCs w:val="16"/>
                <w:lang w:eastAsia="tr-TR"/>
              </w:rPr>
              <w:t>19</w:t>
            </w:r>
          </w:p>
        </w:tc>
        <w:tc>
          <w:tcPr>
            <w:tcW w:w="2672" w:type="pct"/>
            <w:tcBorders>
              <w:top w:val="nil"/>
              <w:left w:val="nil"/>
              <w:bottom w:val="nil"/>
              <w:right w:val="single" w:sz="4" w:space="0" w:color="auto"/>
            </w:tcBorders>
            <w:noWrap/>
            <w:hideMark/>
          </w:tcPr>
          <w:p w14:paraId="55A02737" w14:textId="77777777" w:rsidR="00A74C68" w:rsidRPr="00471CBA" w:rsidRDefault="00A74C68" w:rsidP="00A74C68">
            <w:pPr>
              <w:rPr>
                <w:color w:val="000000"/>
                <w:sz w:val="16"/>
                <w:szCs w:val="16"/>
                <w:lang w:eastAsia="tr-TR"/>
              </w:rPr>
            </w:pPr>
            <w:r w:rsidRPr="00471CBA">
              <w:rPr>
                <w:color w:val="000000"/>
                <w:sz w:val="16"/>
                <w:szCs w:val="16"/>
                <w:lang w:eastAsia="tr-TR"/>
              </w:rPr>
              <w:t>Diğer nakit girişleri</w:t>
            </w:r>
          </w:p>
        </w:tc>
        <w:tc>
          <w:tcPr>
            <w:tcW w:w="580" w:type="pct"/>
            <w:tcBorders>
              <w:top w:val="nil"/>
              <w:left w:val="nil"/>
              <w:bottom w:val="nil"/>
              <w:right w:val="single" w:sz="4" w:space="0" w:color="auto"/>
            </w:tcBorders>
            <w:vAlign w:val="center"/>
            <w:hideMark/>
          </w:tcPr>
          <w:p w14:paraId="7C0D5506" w14:textId="77777777" w:rsidR="00A74C68" w:rsidRPr="00471CBA" w:rsidRDefault="00A74C68" w:rsidP="00A74C68">
            <w:pPr>
              <w:jc w:val="right"/>
              <w:rPr>
                <w:color w:val="000000"/>
                <w:sz w:val="16"/>
                <w:szCs w:val="16"/>
                <w:lang w:eastAsia="tr-TR"/>
              </w:rPr>
            </w:pPr>
            <w:r w:rsidRPr="00471CBA">
              <w:rPr>
                <w:color w:val="000000"/>
                <w:sz w:val="16"/>
                <w:szCs w:val="16"/>
                <w:lang w:eastAsia="tr-TR"/>
              </w:rPr>
              <w:t>51.413</w:t>
            </w:r>
          </w:p>
        </w:tc>
        <w:tc>
          <w:tcPr>
            <w:tcW w:w="507" w:type="pct"/>
            <w:tcBorders>
              <w:top w:val="nil"/>
              <w:left w:val="nil"/>
              <w:bottom w:val="nil"/>
              <w:right w:val="single" w:sz="4" w:space="0" w:color="auto"/>
            </w:tcBorders>
            <w:vAlign w:val="center"/>
            <w:hideMark/>
          </w:tcPr>
          <w:p w14:paraId="2683C489" w14:textId="77777777" w:rsidR="00A74C68" w:rsidRPr="00471CBA" w:rsidRDefault="00A74C68" w:rsidP="00A74C68">
            <w:pPr>
              <w:jc w:val="right"/>
              <w:rPr>
                <w:color w:val="000000"/>
                <w:sz w:val="16"/>
                <w:szCs w:val="16"/>
                <w:lang w:eastAsia="tr-TR"/>
              </w:rPr>
            </w:pPr>
            <w:r w:rsidRPr="00471CBA">
              <w:rPr>
                <w:color w:val="000000"/>
                <w:sz w:val="16"/>
                <w:szCs w:val="16"/>
                <w:lang w:eastAsia="tr-TR"/>
              </w:rPr>
              <w:t>17.794</w:t>
            </w:r>
          </w:p>
        </w:tc>
        <w:tc>
          <w:tcPr>
            <w:tcW w:w="580" w:type="pct"/>
            <w:tcBorders>
              <w:top w:val="nil"/>
              <w:left w:val="nil"/>
              <w:bottom w:val="nil"/>
              <w:right w:val="single" w:sz="4" w:space="0" w:color="auto"/>
            </w:tcBorders>
            <w:vAlign w:val="center"/>
            <w:hideMark/>
          </w:tcPr>
          <w:p w14:paraId="28179144" w14:textId="77777777" w:rsidR="00A74C68" w:rsidRPr="00471CBA" w:rsidRDefault="00A74C68" w:rsidP="00A74C68">
            <w:pPr>
              <w:jc w:val="right"/>
              <w:rPr>
                <w:color w:val="000000"/>
                <w:sz w:val="16"/>
                <w:szCs w:val="16"/>
                <w:lang w:eastAsia="tr-TR"/>
              </w:rPr>
            </w:pPr>
            <w:r w:rsidRPr="00471CBA">
              <w:rPr>
                <w:color w:val="000000"/>
                <w:sz w:val="16"/>
                <w:szCs w:val="16"/>
                <w:lang w:eastAsia="tr-TR"/>
              </w:rPr>
              <w:t>51.413</w:t>
            </w:r>
          </w:p>
        </w:tc>
        <w:tc>
          <w:tcPr>
            <w:tcW w:w="508" w:type="pct"/>
            <w:tcBorders>
              <w:top w:val="nil"/>
              <w:left w:val="nil"/>
              <w:bottom w:val="nil"/>
              <w:right w:val="single" w:sz="4" w:space="0" w:color="auto"/>
            </w:tcBorders>
            <w:vAlign w:val="center"/>
            <w:hideMark/>
          </w:tcPr>
          <w:p w14:paraId="2B2C9AD9" w14:textId="77777777" w:rsidR="00A74C68" w:rsidRPr="00471CBA" w:rsidRDefault="00A74C68" w:rsidP="00A74C68">
            <w:pPr>
              <w:jc w:val="right"/>
              <w:rPr>
                <w:color w:val="000000"/>
                <w:sz w:val="16"/>
                <w:szCs w:val="16"/>
                <w:lang w:eastAsia="tr-TR"/>
              </w:rPr>
            </w:pPr>
            <w:r w:rsidRPr="00471CBA">
              <w:rPr>
                <w:color w:val="000000"/>
                <w:sz w:val="16"/>
                <w:szCs w:val="16"/>
                <w:lang w:eastAsia="tr-TR"/>
              </w:rPr>
              <w:t>17.794</w:t>
            </w:r>
          </w:p>
        </w:tc>
      </w:tr>
      <w:tr w:rsidR="00A74C68" w:rsidRPr="00471CBA" w14:paraId="0B4BD5D9" w14:textId="77777777" w:rsidTr="00A74C68">
        <w:trPr>
          <w:divId w:val="601498852"/>
          <w:trHeight w:val="170"/>
        </w:trPr>
        <w:tc>
          <w:tcPr>
            <w:tcW w:w="153" w:type="pct"/>
            <w:tcBorders>
              <w:top w:val="single" w:sz="4" w:space="0" w:color="auto"/>
              <w:left w:val="single" w:sz="4" w:space="0" w:color="auto"/>
              <w:bottom w:val="single" w:sz="4" w:space="0" w:color="auto"/>
              <w:right w:val="single" w:sz="4" w:space="0" w:color="auto"/>
            </w:tcBorders>
            <w:noWrap/>
            <w:hideMark/>
          </w:tcPr>
          <w:p w14:paraId="6BCEDBE2" w14:textId="77777777" w:rsidR="00A74C68" w:rsidRPr="00471CBA" w:rsidRDefault="00A74C68" w:rsidP="00A74C68">
            <w:pPr>
              <w:jc w:val="center"/>
              <w:rPr>
                <w:b/>
                <w:bCs/>
                <w:color w:val="000000"/>
                <w:sz w:val="16"/>
                <w:szCs w:val="16"/>
                <w:lang w:eastAsia="tr-TR"/>
              </w:rPr>
            </w:pPr>
            <w:r w:rsidRPr="00471CBA">
              <w:rPr>
                <w:b/>
                <w:bCs/>
                <w:color w:val="000000"/>
                <w:sz w:val="16"/>
                <w:szCs w:val="16"/>
                <w:lang w:eastAsia="tr-TR"/>
              </w:rPr>
              <w:t>20</w:t>
            </w:r>
          </w:p>
        </w:tc>
        <w:tc>
          <w:tcPr>
            <w:tcW w:w="2672" w:type="pct"/>
            <w:tcBorders>
              <w:top w:val="single" w:sz="4" w:space="0" w:color="auto"/>
              <w:left w:val="nil"/>
              <w:bottom w:val="single" w:sz="4" w:space="0" w:color="auto"/>
              <w:right w:val="single" w:sz="4" w:space="0" w:color="auto"/>
            </w:tcBorders>
            <w:noWrap/>
            <w:hideMark/>
          </w:tcPr>
          <w:p w14:paraId="79D66BA7" w14:textId="77777777" w:rsidR="00A74C68" w:rsidRPr="00471CBA" w:rsidRDefault="00A74C68" w:rsidP="00A74C68">
            <w:pPr>
              <w:rPr>
                <w:b/>
                <w:bCs/>
                <w:color w:val="000000"/>
                <w:sz w:val="16"/>
                <w:szCs w:val="16"/>
                <w:lang w:eastAsia="tr-TR"/>
              </w:rPr>
            </w:pPr>
            <w:r w:rsidRPr="00471CBA">
              <w:rPr>
                <w:b/>
                <w:bCs/>
                <w:color w:val="000000"/>
                <w:sz w:val="16"/>
                <w:szCs w:val="16"/>
                <w:lang w:eastAsia="tr-TR"/>
              </w:rPr>
              <w:t>TOPLAM NAKİT GİRİŞLERİ</w:t>
            </w:r>
          </w:p>
        </w:tc>
        <w:tc>
          <w:tcPr>
            <w:tcW w:w="580" w:type="pct"/>
            <w:tcBorders>
              <w:top w:val="single" w:sz="4" w:space="0" w:color="auto"/>
              <w:left w:val="nil"/>
              <w:bottom w:val="single" w:sz="4" w:space="0" w:color="auto"/>
              <w:right w:val="single" w:sz="4" w:space="0" w:color="auto"/>
            </w:tcBorders>
            <w:vAlign w:val="center"/>
            <w:hideMark/>
          </w:tcPr>
          <w:p w14:paraId="31ECDDEE" w14:textId="77777777" w:rsidR="00A74C68" w:rsidRPr="00471CBA" w:rsidRDefault="00A74C68" w:rsidP="00A74C68">
            <w:pPr>
              <w:jc w:val="right"/>
              <w:rPr>
                <w:color w:val="000000"/>
                <w:sz w:val="16"/>
                <w:szCs w:val="16"/>
                <w:lang w:eastAsia="tr-TR"/>
              </w:rPr>
            </w:pPr>
            <w:r w:rsidRPr="00471CBA">
              <w:rPr>
                <w:color w:val="000000"/>
                <w:sz w:val="16"/>
                <w:szCs w:val="16"/>
                <w:lang w:eastAsia="tr-TR"/>
              </w:rPr>
              <w:t>4.581.214</w:t>
            </w:r>
          </w:p>
        </w:tc>
        <w:tc>
          <w:tcPr>
            <w:tcW w:w="507" w:type="pct"/>
            <w:tcBorders>
              <w:top w:val="single" w:sz="4" w:space="0" w:color="auto"/>
              <w:left w:val="nil"/>
              <w:bottom w:val="single" w:sz="4" w:space="0" w:color="auto"/>
              <w:right w:val="single" w:sz="4" w:space="0" w:color="auto"/>
            </w:tcBorders>
            <w:vAlign w:val="center"/>
            <w:hideMark/>
          </w:tcPr>
          <w:p w14:paraId="670ABB77" w14:textId="77777777" w:rsidR="00A74C68" w:rsidRPr="00471CBA" w:rsidRDefault="00A74C68" w:rsidP="00A74C68">
            <w:pPr>
              <w:jc w:val="right"/>
              <w:rPr>
                <w:color w:val="000000"/>
                <w:sz w:val="16"/>
                <w:szCs w:val="16"/>
                <w:lang w:eastAsia="tr-TR"/>
              </w:rPr>
            </w:pPr>
            <w:r w:rsidRPr="00471CBA">
              <w:rPr>
                <w:color w:val="000000"/>
                <w:sz w:val="16"/>
                <w:szCs w:val="16"/>
                <w:lang w:eastAsia="tr-TR"/>
              </w:rPr>
              <w:t>2.463.216</w:t>
            </w:r>
          </w:p>
        </w:tc>
        <w:tc>
          <w:tcPr>
            <w:tcW w:w="580" w:type="pct"/>
            <w:tcBorders>
              <w:top w:val="single" w:sz="4" w:space="0" w:color="auto"/>
              <w:left w:val="nil"/>
              <w:bottom w:val="single" w:sz="4" w:space="0" w:color="auto"/>
              <w:right w:val="single" w:sz="4" w:space="0" w:color="auto"/>
            </w:tcBorders>
            <w:vAlign w:val="center"/>
            <w:hideMark/>
          </w:tcPr>
          <w:p w14:paraId="21C6B36D" w14:textId="77777777" w:rsidR="00A74C68" w:rsidRPr="00471CBA" w:rsidRDefault="00A74C68" w:rsidP="00A74C68">
            <w:pPr>
              <w:jc w:val="right"/>
              <w:rPr>
                <w:color w:val="000000"/>
                <w:sz w:val="16"/>
                <w:szCs w:val="16"/>
                <w:lang w:eastAsia="tr-TR"/>
              </w:rPr>
            </w:pPr>
            <w:r w:rsidRPr="00471CBA">
              <w:rPr>
                <w:color w:val="000000"/>
                <w:sz w:val="16"/>
                <w:szCs w:val="16"/>
                <w:lang w:eastAsia="tr-TR"/>
              </w:rPr>
              <w:t>3.562.800</w:t>
            </w:r>
          </w:p>
        </w:tc>
        <w:tc>
          <w:tcPr>
            <w:tcW w:w="508" w:type="pct"/>
            <w:tcBorders>
              <w:top w:val="single" w:sz="4" w:space="0" w:color="auto"/>
              <w:left w:val="nil"/>
              <w:bottom w:val="single" w:sz="4" w:space="0" w:color="auto"/>
              <w:right w:val="single" w:sz="4" w:space="0" w:color="auto"/>
            </w:tcBorders>
            <w:vAlign w:val="center"/>
            <w:hideMark/>
          </w:tcPr>
          <w:p w14:paraId="5EDE255A" w14:textId="77777777" w:rsidR="00A74C68" w:rsidRPr="00471CBA" w:rsidRDefault="00A74C68" w:rsidP="00A74C68">
            <w:pPr>
              <w:jc w:val="right"/>
              <w:rPr>
                <w:color w:val="000000"/>
                <w:sz w:val="16"/>
                <w:szCs w:val="16"/>
                <w:lang w:eastAsia="tr-TR"/>
              </w:rPr>
            </w:pPr>
            <w:r w:rsidRPr="00471CBA">
              <w:rPr>
                <w:color w:val="000000"/>
                <w:sz w:val="16"/>
                <w:szCs w:val="16"/>
                <w:lang w:eastAsia="tr-TR"/>
              </w:rPr>
              <w:t>2.149.268</w:t>
            </w:r>
          </w:p>
        </w:tc>
      </w:tr>
      <w:tr w:rsidR="00A74C68" w:rsidRPr="00471CBA" w14:paraId="71479C04" w14:textId="77777777" w:rsidTr="00A74C68">
        <w:trPr>
          <w:divId w:val="601498852"/>
          <w:trHeight w:val="170"/>
        </w:trPr>
        <w:tc>
          <w:tcPr>
            <w:tcW w:w="153" w:type="pct"/>
            <w:tcBorders>
              <w:top w:val="single" w:sz="4" w:space="0" w:color="auto"/>
              <w:left w:val="single" w:sz="4" w:space="0" w:color="auto"/>
              <w:bottom w:val="single" w:sz="4" w:space="0" w:color="auto"/>
              <w:right w:val="single" w:sz="4" w:space="0" w:color="auto"/>
            </w:tcBorders>
            <w:noWrap/>
            <w:hideMark/>
          </w:tcPr>
          <w:p w14:paraId="7757ABBD" w14:textId="77777777" w:rsidR="00A74C68" w:rsidRPr="00471CBA" w:rsidRDefault="00A74C68" w:rsidP="00A74C68">
            <w:pPr>
              <w:rPr>
                <w:color w:val="000000"/>
                <w:sz w:val="16"/>
                <w:szCs w:val="16"/>
                <w:lang w:eastAsia="tr-TR"/>
              </w:rPr>
            </w:pPr>
            <w:r w:rsidRPr="00471CBA">
              <w:rPr>
                <w:color w:val="000000"/>
                <w:sz w:val="16"/>
                <w:szCs w:val="16"/>
                <w:lang w:eastAsia="tr-TR"/>
              </w:rPr>
              <w:t> </w:t>
            </w:r>
          </w:p>
        </w:tc>
        <w:tc>
          <w:tcPr>
            <w:tcW w:w="2672" w:type="pct"/>
            <w:tcBorders>
              <w:top w:val="single" w:sz="4" w:space="0" w:color="auto"/>
              <w:left w:val="nil"/>
              <w:bottom w:val="single" w:sz="4" w:space="0" w:color="auto"/>
              <w:right w:val="single" w:sz="4" w:space="0" w:color="auto"/>
            </w:tcBorders>
            <w:noWrap/>
            <w:hideMark/>
          </w:tcPr>
          <w:p w14:paraId="79645D8E" w14:textId="77777777" w:rsidR="00A74C68" w:rsidRPr="00471CBA" w:rsidRDefault="00A74C68" w:rsidP="00A74C68">
            <w:pPr>
              <w:rPr>
                <w:color w:val="000000"/>
                <w:sz w:val="16"/>
                <w:szCs w:val="16"/>
                <w:lang w:eastAsia="tr-TR"/>
              </w:rPr>
            </w:pPr>
            <w:r w:rsidRPr="00471CBA">
              <w:rPr>
                <w:color w:val="000000"/>
                <w:sz w:val="16"/>
                <w:szCs w:val="16"/>
                <w:lang w:eastAsia="tr-TR"/>
              </w:rPr>
              <w:t> </w:t>
            </w:r>
          </w:p>
        </w:tc>
        <w:tc>
          <w:tcPr>
            <w:tcW w:w="580" w:type="pct"/>
            <w:tcBorders>
              <w:top w:val="single" w:sz="4" w:space="0" w:color="auto"/>
              <w:left w:val="nil"/>
              <w:bottom w:val="single" w:sz="4" w:space="0" w:color="auto"/>
              <w:right w:val="single" w:sz="4" w:space="0" w:color="auto"/>
            </w:tcBorders>
            <w:noWrap/>
            <w:vAlign w:val="center"/>
            <w:hideMark/>
          </w:tcPr>
          <w:p w14:paraId="1A660002" w14:textId="77777777" w:rsidR="00A74C68" w:rsidRPr="00471CBA" w:rsidRDefault="00A74C68" w:rsidP="00A74C68">
            <w:pPr>
              <w:jc w:val="right"/>
              <w:rPr>
                <w:color w:val="000000"/>
                <w:sz w:val="16"/>
                <w:szCs w:val="16"/>
                <w:lang w:eastAsia="tr-TR"/>
              </w:rPr>
            </w:pPr>
            <w:r w:rsidRPr="00471CBA">
              <w:rPr>
                <w:color w:val="000000"/>
                <w:sz w:val="16"/>
                <w:szCs w:val="16"/>
                <w:lang w:eastAsia="tr-TR"/>
              </w:rPr>
              <w:t> </w:t>
            </w:r>
          </w:p>
        </w:tc>
        <w:tc>
          <w:tcPr>
            <w:tcW w:w="507" w:type="pct"/>
            <w:tcBorders>
              <w:top w:val="single" w:sz="4" w:space="0" w:color="auto"/>
              <w:left w:val="nil"/>
              <w:bottom w:val="single" w:sz="4" w:space="0" w:color="auto"/>
              <w:right w:val="single" w:sz="4" w:space="0" w:color="auto"/>
            </w:tcBorders>
            <w:noWrap/>
            <w:vAlign w:val="center"/>
            <w:hideMark/>
          </w:tcPr>
          <w:p w14:paraId="561B0419"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 </w:t>
            </w:r>
          </w:p>
        </w:tc>
        <w:tc>
          <w:tcPr>
            <w:tcW w:w="1088" w:type="pct"/>
            <w:gridSpan w:val="2"/>
            <w:tcBorders>
              <w:top w:val="single" w:sz="4" w:space="0" w:color="auto"/>
              <w:left w:val="nil"/>
              <w:bottom w:val="single" w:sz="4" w:space="0" w:color="auto"/>
              <w:right w:val="single" w:sz="4" w:space="0" w:color="auto"/>
            </w:tcBorders>
            <w:noWrap/>
            <w:vAlign w:val="center"/>
            <w:hideMark/>
          </w:tcPr>
          <w:p w14:paraId="657915D6" w14:textId="77777777" w:rsidR="00A74C68" w:rsidRPr="00471CBA" w:rsidRDefault="00A74C68" w:rsidP="00A74C68">
            <w:pPr>
              <w:jc w:val="center"/>
              <w:rPr>
                <w:b/>
                <w:bCs/>
                <w:color w:val="000000"/>
                <w:sz w:val="16"/>
                <w:szCs w:val="16"/>
                <w:lang w:eastAsia="tr-TR"/>
              </w:rPr>
            </w:pPr>
            <w:r w:rsidRPr="00471CBA">
              <w:rPr>
                <w:b/>
                <w:bCs/>
                <w:color w:val="000000"/>
                <w:sz w:val="16"/>
                <w:szCs w:val="16"/>
                <w:lang w:eastAsia="tr-TR"/>
              </w:rPr>
              <w:t>Üst Sınır Uygulanmış değerler</w:t>
            </w:r>
          </w:p>
        </w:tc>
      </w:tr>
      <w:tr w:rsidR="00A74C68" w:rsidRPr="00471CBA" w14:paraId="359440AE" w14:textId="77777777" w:rsidTr="00A74C68">
        <w:trPr>
          <w:divId w:val="601498852"/>
          <w:trHeight w:val="170"/>
        </w:trPr>
        <w:tc>
          <w:tcPr>
            <w:tcW w:w="153" w:type="pct"/>
            <w:tcBorders>
              <w:top w:val="single" w:sz="4" w:space="0" w:color="auto"/>
              <w:left w:val="single" w:sz="4" w:space="0" w:color="auto"/>
              <w:bottom w:val="single" w:sz="4" w:space="0" w:color="auto"/>
              <w:right w:val="single" w:sz="4" w:space="0" w:color="auto"/>
            </w:tcBorders>
            <w:noWrap/>
            <w:hideMark/>
          </w:tcPr>
          <w:p w14:paraId="63392728" w14:textId="77777777" w:rsidR="00A74C68" w:rsidRPr="00471CBA" w:rsidRDefault="00A74C68" w:rsidP="00A74C68">
            <w:pPr>
              <w:jc w:val="center"/>
              <w:rPr>
                <w:b/>
                <w:bCs/>
                <w:color w:val="000000"/>
                <w:sz w:val="16"/>
                <w:szCs w:val="16"/>
                <w:lang w:eastAsia="tr-TR"/>
              </w:rPr>
            </w:pPr>
            <w:r w:rsidRPr="00471CBA">
              <w:rPr>
                <w:b/>
                <w:bCs/>
                <w:color w:val="000000"/>
                <w:sz w:val="16"/>
                <w:szCs w:val="16"/>
                <w:lang w:eastAsia="tr-TR"/>
              </w:rPr>
              <w:t>21</w:t>
            </w:r>
          </w:p>
        </w:tc>
        <w:tc>
          <w:tcPr>
            <w:tcW w:w="2672" w:type="pct"/>
            <w:tcBorders>
              <w:top w:val="single" w:sz="4" w:space="0" w:color="auto"/>
              <w:left w:val="nil"/>
              <w:bottom w:val="single" w:sz="4" w:space="0" w:color="auto"/>
              <w:right w:val="single" w:sz="4" w:space="0" w:color="auto"/>
            </w:tcBorders>
            <w:noWrap/>
            <w:hideMark/>
          </w:tcPr>
          <w:p w14:paraId="22A02457" w14:textId="77777777" w:rsidR="00A74C68" w:rsidRPr="00471CBA" w:rsidRDefault="00A74C68" w:rsidP="00A74C68">
            <w:pPr>
              <w:rPr>
                <w:b/>
                <w:bCs/>
                <w:color w:val="000000"/>
                <w:sz w:val="16"/>
                <w:szCs w:val="16"/>
                <w:lang w:eastAsia="tr-TR"/>
              </w:rPr>
            </w:pPr>
            <w:r w:rsidRPr="00471CBA">
              <w:rPr>
                <w:b/>
                <w:bCs/>
                <w:color w:val="000000"/>
                <w:sz w:val="16"/>
                <w:szCs w:val="16"/>
                <w:lang w:eastAsia="tr-TR"/>
              </w:rPr>
              <w:t>TOPLAM YKLV STOKU</w:t>
            </w:r>
          </w:p>
        </w:tc>
        <w:tc>
          <w:tcPr>
            <w:tcW w:w="580" w:type="pct"/>
            <w:tcBorders>
              <w:top w:val="single" w:sz="4" w:space="0" w:color="auto"/>
              <w:left w:val="nil"/>
              <w:bottom w:val="single" w:sz="4" w:space="0" w:color="auto"/>
              <w:right w:val="single" w:sz="4" w:space="0" w:color="auto"/>
            </w:tcBorders>
            <w:shd w:val="clear" w:color="000000" w:fill="000000"/>
            <w:noWrap/>
            <w:vAlign w:val="center"/>
            <w:hideMark/>
          </w:tcPr>
          <w:p w14:paraId="749EEC47" w14:textId="77777777" w:rsidR="00A74C68" w:rsidRPr="00471CBA" w:rsidRDefault="00A74C68" w:rsidP="00A74C68">
            <w:pPr>
              <w:jc w:val="right"/>
              <w:rPr>
                <w:b/>
                <w:bCs/>
                <w:color w:val="FFFFFF"/>
                <w:sz w:val="16"/>
                <w:szCs w:val="16"/>
                <w:lang w:eastAsia="tr-TR"/>
              </w:rPr>
            </w:pPr>
            <w:r w:rsidRPr="00471CBA">
              <w:rPr>
                <w:b/>
                <w:bCs/>
                <w:color w:val="FFFFFF"/>
                <w:sz w:val="16"/>
                <w:szCs w:val="16"/>
                <w:lang w:eastAsia="tr-TR"/>
              </w:rPr>
              <w:t> </w:t>
            </w:r>
          </w:p>
        </w:tc>
        <w:tc>
          <w:tcPr>
            <w:tcW w:w="507" w:type="pct"/>
            <w:tcBorders>
              <w:top w:val="single" w:sz="4" w:space="0" w:color="auto"/>
              <w:left w:val="nil"/>
              <w:bottom w:val="single" w:sz="4" w:space="0" w:color="auto"/>
              <w:right w:val="single" w:sz="4" w:space="0" w:color="auto"/>
            </w:tcBorders>
            <w:shd w:val="clear" w:color="000000" w:fill="000000"/>
            <w:noWrap/>
            <w:vAlign w:val="center"/>
            <w:hideMark/>
          </w:tcPr>
          <w:p w14:paraId="0FDB555C" w14:textId="77777777" w:rsidR="00A74C68" w:rsidRPr="00471CBA" w:rsidRDefault="00A74C68" w:rsidP="00A74C68">
            <w:pPr>
              <w:jc w:val="right"/>
              <w:rPr>
                <w:b/>
                <w:bCs/>
                <w:color w:val="FFFFFF"/>
                <w:sz w:val="16"/>
                <w:szCs w:val="16"/>
                <w:lang w:eastAsia="tr-TR"/>
              </w:rPr>
            </w:pPr>
            <w:r w:rsidRPr="00471CBA">
              <w:rPr>
                <w:b/>
                <w:bCs/>
                <w:color w:val="FFFFFF"/>
                <w:sz w:val="16"/>
                <w:szCs w:val="16"/>
                <w:lang w:eastAsia="tr-TR"/>
              </w:rPr>
              <w:t> </w:t>
            </w:r>
          </w:p>
        </w:tc>
        <w:tc>
          <w:tcPr>
            <w:tcW w:w="580" w:type="pct"/>
            <w:tcBorders>
              <w:top w:val="single" w:sz="4" w:space="0" w:color="auto"/>
              <w:left w:val="nil"/>
              <w:bottom w:val="single" w:sz="4" w:space="0" w:color="auto"/>
              <w:right w:val="single" w:sz="4" w:space="0" w:color="auto"/>
            </w:tcBorders>
            <w:vAlign w:val="center"/>
            <w:hideMark/>
          </w:tcPr>
          <w:p w14:paraId="6C665DBF" w14:textId="77777777" w:rsidR="00A74C68" w:rsidRPr="00471CBA" w:rsidRDefault="00A74C68" w:rsidP="00A74C68">
            <w:pPr>
              <w:jc w:val="right"/>
              <w:rPr>
                <w:color w:val="000000"/>
                <w:sz w:val="16"/>
                <w:szCs w:val="16"/>
                <w:lang w:eastAsia="tr-TR"/>
              </w:rPr>
            </w:pPr>
            <w:r w:rsidRPr="00471CBA">
              <w:rPr>
                <w:color w:val="000000"/>
                <w:sz w:val="16"/>
                <w:szCs w:val="16"/>
                <w:lang w:eastAsia="tr-TR"/>
              </w:rPr>
              <w:t>4.301.413</w:t>
            </w:r>
          </w:p>
        </w:tc>
        <w:tc>
          <w:tcPr>
            <w:tcW w:w="508" w:type="pct"/>
            <w:tcBorders>
              <w:top w:val="single" w:sz="4" w:space="0" w:color="auto"/>
              <w:left w:val="nil"/>
              <w:bottom w:val="single" w:sz="4" w:space="0" w:color="auto"/>
              <w:right w:val="single" w:sz="4" w:space="0" w:color="auto"/>
            </w:tcBorders>
            <w:vAlign w:val="center"/>
            <w:hideMark/>
          </w:tcPr>
          <w:p w14:paraId="2E27527D" w14:textId="77777777" w:rsidR="00A74C68" w:rsidRPr="00471CBA" w:rsidRDefault="00A74C68" w:rsidP="00A74C68">
            <w:pPr>
              <w:jc w:val="right"/>
              <w:rPr>
                <w:color w:val="000000"/>
                <w:sz w:val="16"/>
                <w:szCs w:val="16"/>
                <w:lang w:eastAsia="tr-TR"/>
              </w:rPr>
            </w:pPr>
            <w:r w:rsidRPr="00471CBA">
              <w:rPr>
                <w:color w:val="000000"/>
                <w:sz w:val="16"/>
                <w:szCs w:val="16"/>
                <w:lang w:eastAsia="tr-TR"/>
              </w:rPr>
              <w:t>2.631.654</w:t>
            </w:r>
          </w:p>
        </w:tc>
      </w:tr>
      <w:tr w:rsidR="00A74C68" w:rsidRPr="00471CBA" w14:paraId="782D5439" w14:textId="77777777" w:rsidTr="00A74C68">
        <w:trPr>
          <w:divId w:val="601498852"/>
          <w:trHeight w:val="170"/>
        </w:trPr>
        <w:tc>
          <w:tcPr>
            <w:tcW w:w="153" w:type="pct"/>
            <w:tcBorders>
              <w:top w:val="single" w:sz="4" w:space="0" w:color="auto"/>
              <w:left w:val="single" w:sz="4" w:space="0" w:color="auto"/>
              <w:bottom w:val="single" w:sz="4" w:space="0" w:color="auto"/>
              <w:right w:val="single" w:sz="4" w:space="0" w:color="auto"/>
            </w:tcBorders>
            <w:noWrap/>
            <w:hideMark/>
          </w:tcPr>
          <w:p w14:paraId="138220B1" w14:textId="77777777" w:rsidR="00A74C68" w:rsidRPr="00471CBA" w:rsidRDefault="00A74C68" w:rsidP="00A74C68">
            <w:pPr>
              <w:jc w:val="center"/>
              <w:rPr>
                <w:b/>
                <w:bCs/>
                <w:color w:val="000000"/>
                <w:sz w:val="16"/>
                <w:szCs w:val="16"/>
                <w:lang w:eastAsia="tr-TR"/>
              </w:rPr>
            </w:pPr>
            <w:r w:rsidRPr="00471CBA">
              <w:rPr>
                <w:b/>
                <w:bCs/>
                <w:color w:val="000000"/>
                <w:sz w:val="16"/>
                <w:szCs w:val="16"/>
                <w:lang w:eastAsia="tr-TR"/>
              </w:rPr>
              <w:t>22</w:t>
            </w:r>
          </w:p>
        </w:tc>
        <w:tc>
          <w:tcPr>
            <w:tcW w:w="2672" w:type="pct"/>
            <w:tcBorders>
              <w:top w:val="single" w:sz="4" w:space="0" w:color="auto"/>
              <w:left w:val="nil"/>
              <w:bottom w:val="single" w:sz="4" w:space="0" w:color="auto"/>
              <w:right w:val="single" w:sz="4" w:space="0" w:color="auto"/>
            </w:tcBorders>
            <w:noWrap/>
            <w:hideMark/>
          </w:tcPr>
          <w:p w14:paraId="022CD2BD" w14:textId="77777777" w:rsidR="00A74C68" w:rsidRPr="00471CBA" w:rsidRDefault="00A74C68" w:rsidP="00A74C68">
            <w:pPr>
              <w:rPr>
                <w:b/>
                <w:bCs/>
                <w:color w:val="000000"/>
                <w:sz w:val="16"/>
                <w:szCs w:val="16"/>
                <w:lang w:eastAsia="tr-TR"/>
              </w:rPr>
            </w:pPr>
            <w:r w:rsidRPr="00471CBA">
              <w:rPr>
                <w:b/>
                <w:bCs/>
                <w:color w:val="000000"/>
                <w:sz w:val="16"/>
                <w:szCs w:val="16"/>
                <w:lang w:eastAsia="tr-TR"/>
              </w:rPr>
              <w:t>TOPLAM NET NAKİT ÇIKIŞLARI</w:t>
            </w:r>
          </w:p>
        </w:tc>
        <w:tc>
          <w:tcPr>
            <w:tcW w:w="580" w:type="pct"/>
            <w:tcBorders>
              <w:top w:val="single" w:sz="4" w:space="0" w:color="auto"/>
              <w:left w:val="nil"/>
              <w:bottom w:val="single" w:sz="4" w:space="0" w:color="auto"/>
              <w:right w:val="single" w:sz="4" w:space="0" w:color="auto"/>
            </w:tcBorders>
            <w:shd w:val="clear" w:color="000000" w:fill="000000"/>
            <w:noWrap/>
            <w:vAlign w:val="center"/>
            <w:hideMark/>
          </w:tcPr>
          <w:p w14:paraId="0C9D4520" w14:textId="77777777" w:rsidR="00A74C68" w:rsidRPr="00471CBA" w:rsidRDefault="00A74C68" w:rsidP="00A74C68">
            <w:pPr>
              <w:jc w:val="right"/>
              <w:rPr>
                <w:b/>
                <w:bCs/>
                <w:color w:val="FFFFFF"/>
                <w:sz w:val="16"/>
                <w:szCs w:val="16"/>
                <w:lang w:eastAsia="tr-TR"/>
              </w:rPr>
            </w:pPr>
            <w:r w:rsidRPr="00471CBA">
              <w:rPr>
                <w:b/>
                <w:bCs/>
                <w:color w:val="FFFFFF"/>
                <w:sz w:val="16"/>
                <w:szCs w:val="16"/>
                <w:lang w:eastAsia="tr-TR"/>
              </w:rPr>
              <w:t> </w:t>
            </w:r>
          </w:p>
        </w:tc>
        <w:tc>
          <w:tcPr>
            <w:tcW w:w="507" w:type="pct"/>
            <w:tcBorders>
              <w:top w:val="single" w:sz="4" w:space="0" w:color="auto"/>
              <w:left w:val="nil"/>
              <w:bottom w:val="single" w:sz="4" w:space="0" w:color="auto"/>
              <w:right w:val="single" w:sz="4" w:space="0" w:color="auto"/>
            </w:tcBorders>
            <w:shd w:val="clear" w:color="000000" w:fill="000000"/>
            <w:noWrap/>
            <w:vAlign w:val="center"/>
            <w:hideMark/>
          </w:tcPr>
          <w:p w14:paraId="08719367" w14:textId="77777777" w:rsidR="00A74C68" w:rsidRPr="00471CBA" w:rsidRDefault="00A74C68" w:rsidP="00A74C68">
            <w:pPr>
              <w:jc w:val="right"/>
              <w:rPr>
                <w:b/>
                <w:bCs/>
                <w:color w:val="FFFFFF"/>
                <w:sz w:val="16"/>
                <w:szCs w:val="16"/>
                <w:lang w:eastAsia="tr-TR"/>
              </w:rPr>
            </w:pPr>
            <w:r w:rsidRPr="00471CBA">
              <w:rPr>
                <w:b/>
                <w:bCs/>
                <w:color w:val="FFFFFF"/>
                <w:sz w:val="16"/>
                <w:szCs w:val="16"/>
                <w:lang w:eastAsia="tr-TR"/>
              </w:rPr>
              <w:t> </w:t>
            </w:r>
          </w:p>
        </w:tc>
        <w:tc>
          <w:tcPr>
            <w:tcW w:w="580" w:type="pct"/>
            <w:tcBorders>
              <w:top w:val="single" w:sz="4" w:space="0" w:color="auto"/>
              <w:left w:val="nil"/>
              <w:bottom w:val="single" w:sz="4" w:space="0" w:color="auto"/>
              <w:right w:val="single" w:sz="4" w:space="0" w:color="auto"/>
            </w:tcBorders>
            <w:vAlign w:val="center"/>
            <w:hideMark/>
          </w:tcPr>
          <w:p w14:paraId="0830986D" w14:textId="77777777" w:rsidR="00A74C68" w:rsidRPr="00471CBA" w:rsidRDefault="00A74C68" w:rsidP="00A74C68">
            <w:pPr>
              <w:jc w:val="right"/>
              <w:rPr>
                <w:color w:val="000000"/>
                <w:sz w:val="16"/>
                <w:szCs w:val="16"/>
                <w:lang w:eastAsia="tr-TR"/>
              </w:rPr>
            </w:pPr>
            <w:r w:rsidRPr="00471CBA">
              <w:rPr>
                <w:color w:val="000000"/>
                <w:sz w:val="16"/>
                <w:szCs w:val="16"/>
                <w:lang w:eastAsia="tr-TR"/>
              </w:rPr>
              <w:t>2.498.375</w:t>
            </w:r>
          </w:p>
        </w:tc>
        <w:tc>
          <w:tcPr>
            <w:tcW w:w="508" w:type="pct"/>
            <w:tcBorders>
              <w:top w:val="single" w:sz="4" w:space="0" w:color="auto"/>
              <w:left w:val="nil"/>
              <w:bottom w:val="single" w:sz="4" w:space="0" w:color="auto"/>
              <w:right w:val="single" w:sz="4" w:space="0" w:color="auto"/>
            </w:tcBorders>
            <w:vAlign w:val="center"/>
            <w:hideMark/>
          </w:tcPr>
          <w:p w14:paraId="4B5432CA" w14:textId="77777777" w:rsidR="00A74C68" w:rsidRPr="00471CBA" w:rsidRDefault="00A74C68" w:rsidP="00A74C68">
            <w:pPr>
              <w:jc w:val="right"/>
              <w:rPr>
                <w:color w:val="000000"/>
                <w:sz w:val="16"/>
                <w:szCs w:val="16"/>
                <w:lang w:eastAsia="tr-TR"/>
              </w:rPr>
            </w:pPr>
            <w:r w:rsidRPr="00471CBA">
              <w:rPr>
                <w:color w:val="000000"/>
                <w:sz w:val="16"/>
                <w:szCs w:val="16"/>
                <w:lang w:eastAsia="tr-TR"/>
              </w:rPr>
              <w:t>712.310</w:t>
            </w:r>
          </w:p>
        </w:tc>
      </w:tr>
      <w:tr w:rsidR="00A74C68" w:rsidRPr="00471CBA" w14:paraId="6FFAFA55" w14:textId="77777777" w:rsidTr="00A74C68">
        <w:trPr>
          <w:divId w:val="601498852"/>
          <w:trHeight w:val="170"/>
        </w:trPr>
        <w:tc>
          <w:tcPr>
            <w:tcW w:w="153" w:type="pct"/>
            <w:tcBorders>
              <w:top w:val="single" w:sz="4" w:space="0" w:color="auto"/>
              <w:left w:val="single" w:sz="4" w:space="0" w:color="auto"/>
              <w:bottom w:val="single" w:sz="4" w:space="0" w:color="auto"/>
              <w:right w:val="single" w:sz="4" w:space="0" w:color="auto"/>
            </w:tcBorders>
            <w:noWrap/>
            <w:hideMark/>
          </w:tcPr>
          <w:p w14:paraId="7E05125A" w14:textId="77777777" w:rsidR="00A74C68" w:rsidRPr="00471CBA" w:rsidRDefault="00A74C68" w:rsidP="00A74C68">
            <w:pPr>
              <w:jc w:val="center"/>
              <w:rPr>
                <w:b/>
                <w:bCs/>
                <w:color w:val="000000"/>
                <w:sz w:val="16"/>
                <w:szCs w:val="16"/>
                <w:lang w:eastAsia="tr-TR"/>
              </w:rPr>
            </w:pPr>
            <w:r w:rsidRPr="00471CBA">
              <w:rPr>
                <w:b/>
                <w:bCs/>
                <w:color w:val="000000"/>
                <w:sz w:val="16"/>
                <w:szCs w:val="16"/>
                <w:lang w:eastAsia="tr-TR"/>
              </w:rPr>
              <w:t>23</w:t>
            </w:r>
          </w:p>
        </w:tc>
        <w:tc>
          <w:tcPr>
            <w:tcW w:w="2672" w:type="pct"/>
            <w:tcBorders>
              <w:top w:val="single" w:sz="4" w:space="0" w:color="auto"/>
              <w:left w:val="nil"/>
              <w:bottom w:val="single" w:sz="4" w:space="0" w:color="auto"/>
              <w:right w:val="single" w:sz="4" w:space="0" w:color="auto"/>
            </w:tcBorders>
            <w:noWrap/>
            <w:hideMark/>
          </w:tcPr>
          <w:p w14:paraId="239E0C72" w14:textId="77777777" w:rsidR="00A74C68" w:rsidRPr="00471CBA" w:rsidRDefault="00A74C68" w:rsidP="00A74C68">
            <w:pPr>
              <w:rPr>
                <w:b/>
                <w:bCs/>
                <w:color w:val="000000"/>
                <w:sz w:val="16"/>
                <w:szCs w:val="16"/>
                <w:lang w:eastAsia="tr-TR"/>
              </w:rPr>
            </w:pPr>
            <w:r w:rsidRPr="00471CBA">
              <w:rPr>
                <w:b/>
                <w:bCs/>
                <w:color w:val="000000"/>
                <w:sz w:val="16"/>
                <w:szCs w:val="16"/>
                <w:lang w:eastAsia="tr-TR"/>
              </w:rPr>
              <w:t>LİKİDİTE KARŞILAMA ORANI (%)</w:t>
            </w:r>
          </w:p>
        </w:tc>
        <w:tc>
          <w:tcPr>
            <w:tcW w:w="580" w:type="pct"/>
            <w:tcBorders>
              <w:top w:val="single" w:sz="4" w:space="0" w:color="auto"/>
              <w:left w:val="nil"/>
              <w:bottom w:val="single" w:sz="4" w:space="0" w:color="auto"/>
              <w:right w:val="single" w:sz="4" w:space="0" w:color="auto"/>
            </w:tcBorders>
            <w:shd w:val="clear" w:color="000000" w:fill="000000"/>
            <w:noWrap/>
            <w:vAlign w:val="center"/>
            <w:hideMark/>
          </w:tcPr>
          <w:p w14:paraId="01502DBC" w14:textId="77777777" w:rsidR="00A74C68" w:rsidRPr="00471CBA" w:rsidRDefault="00A74C68" w:rsidP="00A74C68">
            <w:pPr>
              <w:jc w:val="right"/>
              <w:rPr>
                <w:b/>
                <w:bCs/>
                <w:color w:val="FFFFFF"/>
                <w:sz w:val="16"/>
                <w:szCs w:val="16"/>
                <w:lang w:eastAsia="tr-TR"/>
              </w:rPr>
            </w:pPr>
            <w:r w:rsidRPr="00471CBA">
              <w:rPr>
                <w:b/>
                <w:bCs/>
                <w:color w:val="FFFFFF"/>
                <w:sz w:val="16"/>
                <w:szCs w:val="16"/>
                <w:lang w:eastAsia="tr-TR"/>
              </w:rPr>
              <w:t> </w:t>
            </w:r>
          </w:p>
        </w:tc>
        <w:tc>
          <w:tcPr>
            <w:tcW w:w="507" w:type="pct"/>
            <w:tcBorders>
              <w:top w:val="single" w:sz="4" w:space="0" w:color="auto"/>
              <w:left w:val="nil"/>
              <w:bottom w:val="single" w:sz="4" w:space="0" w:color="auto"/>
              <w:right w:val="single" w:sz="4" w:space="0" w:color="auto"/>
            </w:tcBorders>
            <w:shd w:val="clear" w:color="000000" w:fill="000000"/>
            <w:noWrap/>
            <w:vAlign w:val="center"/>
            <w:hideMark/>
          </w:tcPr>
          <w:p w14:paraId="7BF7413C" w14:textId="77777777" w:rsidR="00A74C68" w:rsidRPr="00471CBA" w:rsidRDefault="00A74C68" w:rsidP="00A74C68">
            <w:pPr>
              <w:jc w:val="right"/>
              <w:rPr>
                <w:b/>
                <w:bCs/>
                <w:color w:val="FFFFFF"/>
                <w:sz w:val="16"/>
                <w:szCs w:val="16"/>
                <w:lang w:eastAsia="tr-TR"/>
              </w:rPr>
            </w:pPr>
            <w:r w:rsidRPr="00471CBA">
              <w:rPr>
                <w:b/>
                <w:bCs/>
                <w:color w:val="FFFFFF"/>
                <w:sz w:val="16"/>
                <w:szCs w:val="16"/>
                <w:lang w:eastAsia="tr-TR"/>
              </w:rPr>
              <w:t> </w:t>
            </w:r>
          </w:p>
        </w:tc>
        <w:tc>
          <w:tcPr>
            <w:tcW w:w="580" w:type="pct"/>
            <w:tcBorders>
              <w:top w:val="single" w:sz="4" w:space="0" w:color="auto"/>
              <w:left w:val="nil"/>
              <w:bottom w:val="single" w:sz="4" w:space="0" w:color="auto"/>
              <w:right w:val="single" w:sz="4" w:space="0" w:color="auto"/>
            </w:tcBorders>
            <w:vAlign w:val="center"/>
            <w:hideMark/>
          </w:tcPr>
          <w:p w14:paraId="578EA6FD" w14:textId="77777777" w:rsidR="00A74C68" w:rsidRPr="00471CBA" w:rsidRDefault="00A74C68" w:rsidP="00A74C68">
            <w:pPr>
              <w:jc w:val="right"/>
              <w:rPr>
                <w:color w:val="000000"/>
                <w:sz w:val="16"/>
                <w:szCs w:val="16"/>
                <w:lang w:eastAsia="tr-TR"/>
              </w:rPr>
            </w:pPr>
            <w:r w:rsidRPr="00471CBA">
              <w:rPr>
                <w:color w:val="000000"/>
                <w:sz w:val="16"/>
                <w:szCs w:val="16"/>
                <w:lang w:eastAsia="tr-TR"/>
              </w:rPr>
              <w:t>172,17</w:t>
            </w:r>
          </w:p>
        </w:tc>
        <w:tc>
          <w:tcPr>
            <w:tcW w:w="508" w:type="pct"/>
            <w:tcBorders>
              <w:top w:val="single" w:sz="4" w:space="0" w:color="auto"/>
              <w:left w:val="nil"/>
              <w:bottom w:val="single" w:sz="4" w:space="0" w:color="auto"/>
              <w:right w:val="single" w:sz="4" w:space="0" w:color="auto"/>
            </w:tcBorders>
            <w:vAlign w:val="center"/>
            <w:hideMark/>
          </w:tcPr>
          <w:p w14:paraId="16A91799" w14:textId="77777777" w:rsidR="00A74C68" w:rsidRPr="00471CBA" w:rsidRDefault="00A74C68" w:rsidP="00A74C68">
            <w:pPr>
              <w:jc w:val="right"/>
              <w:rPr>
                <w:color w:val="000000"/>
                <w:sz w:val="16"/>
                <w:szCs w:val="16"/>
                <w:lang w:eastAsia="tr-TR"/>
              </w:rPr>
            </w:pPr>
            <w:r w:rsidRPr="00471CBA">
              <w:rPr>
                <w:color w:val="000000"/>
                <w:sz w:val="16"/>
                <w:szCs w:val="16"/>
                <w:lang w:eastAsia="tr-TR"/>
              </w:rPr>
              <w:t>369,45</w:t>
            </w:r>
          </w:p>
        </w:tc>
      </w:tr>
    </w:tbl>
    <w:p w14:paraId="41F01836" w14:textId="53BB7DF8" w:rsidR="00A42F68" w:rsidRPr="00471CBA" w:rsidRDefault="00A42F68" w:rsidP="008A0E29">
      <w:pPr>
        <w:widowControl w:val="0"/>
        <w:spacing w:before="120"/>
        <w:ind w:left="426" w:right="188" w:hanging="425"/>
        <w:jc w:val="both"/>
        <w:rPr>
          <w:sz w:val="16"/>
          <w:szCs w:val="16"/>
        </w:rPr>
      </w:pPr>
      <w:r w:rsidRPr="00471CBA">
        <w:rPr>
          <w:sz w:val="16"/>
          <w:szCs w:val="16"/>
          <w:vertAlign w:val="superscript"/>
        </w:rPr>
        <w:t>(*)</w:t>
      </w:r>
      <w:r w:rsidR="00263A00" w:rsidRPr="00471CBA">
        <w:rPr>
          <w:sz w:val="16"/>
          <w:szCs w:val="16"/>
        </w:rPr>
        <w:tab/>
      </w:r>
      <w:r w:rsidR="00F42967" w:rsidRPr="00471CBA">
        <w:rPr>
          <w:sz w:val="16"/>
          <w:szCs w:val="16"/>
        </w:rPr>
        <w:t>Haftalık basit aritmetik ortalama alınmak suretiyle hesaplanan likidite karşılama oranının son üç ay için hesaplanan ortalamasıdır.</w:t>
      </w:r>
    </w:p>
    <w:p w14:paraId="740E24F5" w14:textId="77777777" w:rsidR="00263A00" w:rsidRPr="00471CBA" w:rsidRDefault="00263A00" w:rsidP="00263A00">
      <w:pPr>
        <w:widowControl w:val="0"/>
        <w:ind w:left="-14" w:right="188"/>
        <w:jc w:val="both"/>
        <w:rPr>
          <w:szCs w:val="20"/>
          <w:vertAlign w:val="superscript"/>
        </w:rPr>
      </w:pPr>
    </w:p>
    <w:p w14:paraId="32DDB1C6" w14:textId="18C0159A" w:rsidR="007769C3" w:rsidRPr="00471CBA" w:rsidRDefault="007769C3" w:rsidP="00F95068">
      <w:pPr>
        <w:widowControl w:val="0"/>
        <w:ind w:right="-166"/>
        <w:jc w:val="both"/>
        <w:rPr>
          <w:szCs w:val="20"/>
        </w:rPr>
      </w:pPr>
      <w:r w:rsidRPr="00471CBA">
        <w:rPr>
          <w:szCs w:val="20"/>
        </w:rPr>
        <w:t xml:space="preserve">21 Mart 2014 tarih ve 28948 sayılı </w:t>
      </w:r>
      <w:r w:rsidR="001161FC" w:rsidRPr="00471CBA">
        <w:rPr>
          <w:szCs w:val="20"/>
        </w:rPr>
        <w:t>Resmî</w:t>
      </w:r>
      <w:r w:rsidRPr="00471CBA">
        <w:rPr>
          <w:szCs w:val="20"/>
        </w:rPr>
        <w:t xml:space="preserve"> </w:t>
      </w:r>
      <w:proofErr w:type="spellStart"/>
      <w:r w:rsidR="00F040BE" w:rsidRPr="00471CBA">
        <w:rPr>
          <w:szCs w:val="20"/>
        </w:rPr>
        <w:t>Gazete’de</w:t>
      </w:r>
      <w:proofErr w:type="spellEnd"/>
      <w:r w:rsidR="00F040BE" w:rsidRPr="00471CBA">
        <w:rPr>
          <w:szCs w:val="20"/>
        </w:rPr>
        <w:t xml:space="preserve"> </w:t>
      </w:r>
      <w:r w:rsidRPr="00471CBA">
        <w:rPr>
          <w:szCs w:val="20"/>
        </w:rPr>
        <w:t>yayımlanan “Bankaların Likidite Karşılama Oranı Hesaplamasına İlişki</w:t>
      </w:r>
      <w:r w:rsidR="00E832E2" w:rsidRPr="00471CBA">
        <w:rPr>
          <w:szCs w:val="20"/>
        </w:rPr>
        <w:t xml:space="preserve">n Yönetmelik” uyarınca </w:t>
      </w:r>
      <w:r w:rsidR="004A1B21" w:rsidRPr="00471CBA">
        <w:rPr>
          <w:szCs w:val="20"/>
        </w:rPr>
        <w:t>20</w:t>
      </w:r>
      <w:r w:rsidR="00396D37" w:rsidRPr="00471CBA">
        <w:rPr>
          <w:szCs w:val="20"/>
        </w:rPr>
        <w:t>2</w:t>
      </w:r>
      <w:r w:rsidR="00C171C4" w:rsidRPr="00471CBA">
        <w:rPr>
          <w:szCs w:val="20"/>
        </w:rPr>
        <w:t>4</w:t>
      </w:r>
      <w:r w:rsidR="00651CDC" w:rsidRPr="00471CBA">
        <w:rPr>
          <w:szCs w:val="20"/>
        </w:rPr>
        <w:t>’</w:t>
      </w:r>
      <w:r w:rsidR="00C63217" w:rsidRPr="00471CBA">
        <w:rPr>
          <w:szCs w:val="20"/>
        </w:rPr>
        <w:t>ü</w:t>
      </w:r>
      <w:r w:rsidR="00396D37" w:rsidRPr="00471CBA">
        <w:rPr>
          <w:szCs w:val="20"/>
        </w:rPr>
        <w:t>n</w:t>
      </w:r>
      <w:r w:rsidR="00651CDC" w:rsidRPr="00471CBA">
        <w:rPr>
          <w:szCs w:val="20"/>
        </w:rPr>
        <w:t xml:space="preserve"> </w:t>
      </w:r>
      <w:r w:rsidRPr="00471CBA">
        <w:rPr>
          <w:szCs w:val="20"/>
        </w:rPr>
        <w:t xml:space="preserve">son üç ayı için hesaplanan likidite karşılama oranlarının en yüksek ve en düşük olduğu </w:t>
      </w:r>
      <w:r w:rsidR="008E6022" w:rsidRPr="00471CBA">
        <w:rPr>
          <w:szCs w:val="20"/>
        </w:rPr>
        <w:t>tarihler</w:t>
      </w:r>
      <w:r w:rsidRPr="00471CBA">
        <w:rPr>
          <w:szCs w:val="20"/>
        </w:rPr>
        <w:t xml:space="preserve"> aşağıda verilmiştir.</w:t>
      </w:r>
    </w:p>
    <w:p w14:paraId="5F865D48" w14:textId="325A7807" w:rsidR="00A74C68" w:rsidRPr="00471CBA" w:rsidRDefault="00A74C68"/>
    <w:tbl>
      <w:tblPr>
        <w:tblW w:w="5000" w:type="pct"/>
        <w:tblCellMar>
          <w:left w:w="70" w:type="dxa"/>
          <w:right w:w="70" w:type="dxa"/>
        </w:tblCellMar>
        <w:tblLook w:val="04A0" w:firstRow="1" w:lastRow="0" w:firstColumn="1" w:lastColumn="0" w:noHBand="0" w:noVBand="1"/>
      </w:tblPr>
      <w:tblGrid>
        <w:gridCol w:w="5328"/>
        <w:gridCol w:w="2167"/>
        <w:gridCol w:w="2144"/>
      </w:tblGrid>
      <w:tr w:rsidR="00A74C68" w:rsidRPr="00471CBA" w14:paraId="22079410" w14:textId="77777777" w:rsidTr="00A74C68">
        <w:trPr>
          <w:divId w:val="1910537374"/>
          <w:trHeight w:val="255"/>
        </w:trPr>
        <w:tc>
          <w:tcPr>
            <w:tcW w:w="2764" w:type="pct"/>
            <w:tcBorders>
              <w:top w:val="nil"/>
              <w:left w:val="nil"/>
              <w:bottom w:val="nil"/>
              <w:right w:val="nil"/>
            </w:tcBorders>
            <w:noWrap/>
            <w:vAlign w:val="center"/>
            <w:hideMark/>
          </w:tcPr>
          <w:p w14:paraId="54032981" w14:textId="35462857" w:rsidR="00A74C68" w:rsidRPr="00471CBA" w:rsidRDefault="00A74C68" w:rsidP="00A74C68">
            <w:pPr>
              <w:rPr>
                <w:b/>
                <w:bCs/>
                <w:color w:val="000000"/>
                <w:szCs w:val="20"/>
                <w:lang w:eastAsia="tr-TR"/>
              </w:rPr>
            </w:pPr>
            <w:r w:rsidRPr="00471CBA">
              <w:rPr>
                <w:b/>
                <w:bCs/>
                <w:color w:val="000000"/>
                <w:szCs w:val="20"/>
                <w:lang w:eastAsia="tr-TR"/>
              </w:rPr>
              <w:t>Likidite Karşılama Oranı (%)</w:t>
            </w:r>
          </w:p>
        </w:tc>
        <w:tc>
          <w:tcPr>
            <w:tcW w:w="2236" w:type="pct"/>
            <w:gridSpan w:val="2"/>
            <w:tcBorders>
              <w:top w:val="nil"/>
              <w:left w:val="nil"/>
              <w:bottom w:val="single" w:sz="4" w:space="0" w:color="auto"/>
              <w:right w:val="nil"/>
            </w:tcBorders>
            <w:noWrap/>
            <w:vAlign w:val="center"/>
            <w:hideMark/>
          </w:tcPr>
          <w:p w14:paraId="185C2517" w14:textId="77777777" w:rsidR="00A74C68" w:rsidRPr="00471CBA" w:rsidRDefault="00A74C68" w:rsidP="00A74C68">
            <w:pPr>
              <w:jc w:val="center"/>
              <w:rPr>
                <w:b/>
                <w:bCs/>
                <w:color w:val="000000"/>
                <w:szCs w:val="20"/>
                <w:lang w:eastAsia="tr-TR"/>
              </w:rPr>
            </w:pPr>
            <w:r w:rsidRPr="00471CBA">
              <w:rPr>
                <w:b/>
                <w:bCs/>
                <w:color w:val="000000"/>
                <w:szCs w:val="20"/>
                <w:lang w:eastAsia="tr-TR"/>
              </w:rPr>
              <w:t>31 Aralık 2024</w:t>
            </w:r>
          </w:p>
        </w:tc>
      </w:tr>
      <w:tr w:rsidR="00A74C68" w:rsidRPr="00471CBA" w14:paraId="3E1704F1" w14:textId="77777777" w:rsidTr="00A74C68">
        <w:trPr>
          <w:divId w:val="1910537374"/>
          <w:trHeight w:val="255"/>
        </w:trPr>
        <w:tc>
          <w:tcPr>
            <w:tcW w:w="2764" w:type="pct"/>
            <w:tcBorders>
              <w:top w:val="nil"/>
              <w:left w:val="nil"/>
              <w:bottom w:val="single" w:sz="4" w:space="0" w:color="auto"/>
              <w:right w:val="nil"/>
            </w:tcBorders>
            <w:noWrap/>
            <w:vAlign w:val="bottom"/>
            <w:hideMark/>
          </w:tcPr>
          <w:p w14:paraId="17C7DFD7" w14:textId="77777777" w:rsidR="00A74C68" w:rsidRPr="00471CBA" w:rsidRDefault="00A74C68" w:rsidP="00A74C68">
            <w:pPr>
              <w:rPr>
                <w:color w:val="000000"/>
                <w:szCs w:val="20"/>
                <w:lang w:eastAsia="tr-TR"/>
              </w:rPr>
            </w:pPr>
            <w:r w:rsidRPr="00471CBA">
              <w:rPr>
                <w:color w:val="000000"/>
                <w:szCs w:val="20"/>
                <w:lang w:eastAsia="tr-TR"/>
              </w:rPr>
              <w:t> </w:t>
            </w:r>
          </w:p>
        </w:tc>
        <w:tc>
          <w:tcPr>
            <w:tcW w:w="1124" w:type="pct"/>
            <w:tcBorders>
              <w:top w:val="nil"/>
              <w:left w:val="nil"/>
              <w:bottom w:val="single" w:sz="4" w:space="0" w:color="auto"/>
              <w:right w:val="nil"/>
            </w:tcBorders>
            <w:noWrap/>
            <w:vAlign w:val="center"/>
            <w:hideMark/>
          </w:tcPr>
          <w:p w14:paraId="69E2ED28" w14:textId="77777777" w:rsidR="00A74C68" w:rsidRPr="00471CBA" w:rsidRDefault="00A74C68" w:rsidP="00A74C68">
            <w:pPr>
              <w:jc w:val="right"/>
              <w:rPr>
                <w:b/>
                <w:bCs/>
                <w:color w:val="000000"/>
                <w:szCs w:val="20"/>
                <w:lang w:eastAsia="tr-TR"/>
              </w:rPr>
            </w:pPr>
            <w:r w:rsidRPr="00471CBA">
              <w:rPr>
                <w:b/>
                <w:bCs/>
                <w:color w:val="000000"/>
                <w:szCs w:val="20"/>
                <w:lang w:eastAsia="tr-TR"/>
              </w:rPr>
              <w:t>TP+YP</w:t>
            </w:r>
          </w:p>
        </w:tc>
        <w:tc>
          <w:tcPr>
            <w:tcW w:w="1112" w:type="pct"/>
            <w:tcBorders>
              <w:top w:val="nil"/>
              <w:left w:val="nil"/>
              <w:bottom w:val="single" w:sz="4" w:space="0" w:color="auto"/>
              <w:right w:val="nil"/>
            </w:tcBorders>
            <w:noWrap/>
            <w:vAlign w:val="center"/>
            <w:hideMark/>
          </w:tcPr>
          <w:p w14:paraId="41B0FE42" w14:textId="77777777" w:rsidR="00A74C68" w:rsidRPr="00471CBA" w:rsidRDefault="00A74C68" w:rsidP="00A74C68">
            <w:pPr>
              <w:jc w:val="right"/>
              <w:rPr>
                <w:b/>
                <w:bCs/>
                <w:color w:val="000000"/>
                <w:szCs w:val="20"/>
                <w:lang w:eastAsia="tr-TR"/>
              </w:rPr>
            </w:pPr>
            <w:r w:rsidRPr="00471CBA">
              <w:rPr>
                <w:b/>
                <w:bCs/>
                <w:color w:val="000000"/>
                <w:szCs w:val="20"/>
                <w:lang w:eastAsia="tr-TR"/>
              </w:rPr>
              <w:t>YP</w:t>
            </w:r>
          </w:p>
        </w:tc>
      </w:tr>
      <w:tr w:rsidR="00A74C68" w:rsidRPr="00471CBA" w14:paraId="71B421EF" w14:textId="77777777" w:rsidTr="00A74C68">
        <w:trPr>
          <w:divId w:val="1910537374"/>
          <w:trHeight w:val="255"/>
        </w:trPr>
        <w:tc>
          <w:tcPr>
            <w:tcW w:w="2764" w:type="pct"/>
            <w:tcBorders>
              <w:top w:val="nil"/>
              <w:left w:val="nil"/>
              <w:bottom w:val="nil"/>
              <w:right w:val="nil"/>
            </w:tcBorders>
            <w:noWrap/>
            <w:vAlign w:val="center"/>
            <w:hideMark/>
          </w:tcPr>
          <w:p w14:paraId="142558A9" w14:textId="77777777" w:rsidR="00A74C68" w:rsidRPr="00471CBA" w:rsidRDefault="00A74C68" w:rsidP="00A74C68">
            <w:pPr>
              <w:rPr>
                <w:color w:val="000000"/>
                <w:szCs w:val="20"/>
                <w:lang w:eastAsia="tr-TR"/>
              </w:rPr>
            </w:pPr>
            <w:r w:rsidRPr="00471CBA">
              <w:rPr>
                <w:color w:val="000000"/>
                <w:szCs w:val="20"/>
                <w:lang w:eastAsia="tr-TR"/>
              </w:rPr>
              <w:t>En Düşük</w:t>
            </w:r>
          </w:p>
        </w:tc>
        <w:tc>
          <w:tcPr>
            <w:tcW w:w="1124" w:type="pct"/>
            <w:tcBorders>
              <w:top w:val="nil"/>
              <w:left w:val="nil"/>
              <w:bottom w:val="nil"/>
              <w:right w:val="nil"/>
            </w:tcBorders>
            <w:vAlign w:val="center"/>
            <w:hideMark/>
          </w:tcPr>
          <w:p w14:paraId="77C70D54" w14:textId="77777777" w:rsidR="00A74C68" w:rsidRPr="00471CBA" w:rsidRDefault="00A74C68" w:rsidP="00A74C68">
            <w:pPr>
              <w:jc w:val="right"/>
              <w:rPr>
                <w:color w:val="000000"/>
                <w:szCs w:val="20"/>
                <w:lang w:eastAsia="tr-TR"/>
              </w:rPr>
            </w:pPr>
            <w:r w:rsidRPr="00471CBA">
              <w:rPr>
                <w:color w:val="000000"/>
                <w:szCs w:val="20"/>
                <w:lang w:eastAsia="tr-TR"/>
              </w:rPr>
              <w:t>54,48</w:t>
            </w:r>
          </w:p>
        </w:tc>
        <w:tc>
          <w:tcPr>
            <w:tcW w:w="1112" w:type="pct"/>
            <w:tcBorders>
              <w:top w:val="nil"/>
              <w:left w:val="nil"/>
              <w:bottom w:val="nil"/>
              <w:right w:val="nil"/>
            </w:tcBorders>
            <w:vAlign w:val="center"/>
            <w:hideMark/>
          </w:tcPr>
          <w:p w14:paraId="2A5749BA" w14:textId="77777777" w:rsidR="00A74C68" w:rsidRPr="00471CBA" w:rsidRDefault="00A74C68" w:rsidP="00A74C68">
            <w:pPr>
              <w:jc w:val="right"/>
              <w:rPr>
                <w:color w:val="000000"/>
                <w:szCs w:val="20"/>
                <w:lang w:eastAsia="tr-TR"/>
              </w:rPr>
            </w:pPr>
            <w:r w:rsidRPr="00471CBA">
              <w:rPr>
                <w:color w:val="000000"/>
                <w:szCs w:val="20"/>
                <w:lang w:eastAsia="tr-TR"/>
              </w:rPr>
              <w:t>119,09</w:t>
            </w:r>
          </w:p>
        </w:tc>
      </w:tr>
      <w:tr w:rsidR="00A74C68" w:rsidRPr="00471CBA" w14:paraId="5904A4FB" w14:textId="77777777" w:rsidTr="00A74C68">
        <w:trPr>
          <w:divId w:val="1910537374"/>
          <w:trHeight w:val="255"/>
        </w:trPr>
        <w:tc>
          <w:tcPr>
            <w:tcW w:w="2764" w:type="pct"/>
            <w:tcBorders>
              <w:top w:val="nil"/>
              <w:left w:val="nil"/>
              <w:bottom w:val="nil"/>
              <w:right w:val="nil"/>
            </w:tcBorders>
            <w:noWrap/>
            <w:vAlign w:val="center"/>
            <w:hideMark/>
          </w:tcPr>
          <w:p w14:paraId="2686C4F6" w14:textId="77777777" w:rsidR="00A74C68" w:rsidRPr="00471CBA" w:rsidRDefault="00A74C68" w:rsidP="00A74C68">
            <w:pPr>
              <w:rPr>
                <w:color w:val="000000"/>
                <w:szCs w:val="20"/>
                <w:lang w:eastAsia="tr-TR"/>
              </w:rPr>
            </w:pPr>
            <w:r w:rsidRPr="00471CBA">
              <w:rPr>
                <w:color w:val="000000"/>
                <w:szCs w:val="20"/>
                <w:lang w:eastAsia="tr-TR"/>
              </w:rPr>
              <w:t>Tarih</w:t>
            </w:r>
          </w:p>
        </w:tc>
        <w:tc>
          <w:tcPr>
            <w:tcW w:w="1124" w:type="pct"/>
            <w:tcBorders>
              <w:top w:val="nil"/>
              <w:left w:val="nil"/>
              <w:bottom w:val="nil"/>
              <w:right w:val="nil"/>
            </w:tcBorders>
            <w:noWrap/>
            <w:vAlign w:val="center"/>
            <w:hideMark/>
          </w:tcPr>
          <w:p w14:paraId="1B3EE404" w14:textId="77777777" w:rsidR="00A74C68" w:rsidRPr="00471CBA" w:rsidRDefault="00A74C68" w:rsidP="00A74C68">
            <w:pPr>
              <w:jc w:val="right"/>
              <w:rPr>
                <w:color w:val="000000"/>
                <w:szCs w:val="20"/>
                <w:lang w:eastAsia="tr-TR"/>
              </w:rPr>
            </w:pPr>
            <w:r w:rsidRPr="00471CBA">
              <w:rPr>
                <w:color w:val="000000"/>
                <w:szCs w:val="20"/>
                <w:lang w:eastAsia="tr-TR"/>
              </w:rPr>
              <w:t>31 Ekim 2024</w:t>
            </w:r>
          </w:p>
        </w:tc>
        <w:tc>
          <w:tcPr>
            <w:tcW w:w="1112" w:type="pct"/>
            <w:tcBorders>
              <w:top w:val="nil"/>
              <w:left w:val="nil"/>
              <w:bottom w:val="nil"/>
              <w:right w:val="nil"/>
            </w:tcBorders>
            <w:noWrap/>
            <w:vAlign w:val="center"/>
            <w:hideMark/>
          </w:tcPr>
          <w:p w14:paraId="56BE2E57" w14:textId="77777777" w:rsidR="00A74C68" w:rsidRPr="00471CBA" w:rsidRDefault="00A74C68" w:rsidP="00A74C68">
            <w:pPr>
              <w:jc w:val="right"/>
              <w:rPr>
                <w:color w:val="000000"/>
                <w:szCs w:val="20"/>
                <w:lang w:eastAsia="tr-TR"/>
              </w:rPr>
            </w:pPr>
            <w:r w:rsidRPr="00471CBA">
              <w:rPr>
                <w:color w:val="000000"/>
                <w:szCs w:val="20"/>
                <w:lang w:eastAsia="tr-TR"/>
              </w:rPr>
              <w:t>31 Aralık 2024</w:t>
            </w:r>
          </w:p>
        </w:tc>
      </w:tr>
      <w:tr w:rsidR="00A74C68" w:rsidRPr="00471CBA" w14:paraId="3AD40198" w14:textId="77777777" w:rsidTr="00A74C68">
        <w:trPr>
          <w:divId w:val="1910537374"/>
          <w:trHeight w:val="255"/>
        </w:trPr>
        <w:tc>
          <w:tcPr>
            <w:tcW w:w="2764" w:type="pct"/>
            <w:tcBorders>
              <w:top w:val="nil"/>
              <w:left w:val="nil"/>
              <w:bottom w:val="nil"/>
              <w:right w:val="nil"/>
            </w:tcBorders>
            <w:noWrap/>
            <w:vAlign w:val="center"/>
            <w:hideMark/>
          </w:tcPr>
          <w:p w14:paraId="223A282C" w14:textId="77777777" w:rsidR="00A74C68" w:rsidRPr="00471CBA" w:rsidRDefault="00A74C68" w:rsidP="00A74C68">
            <w:pPr>
              <w:rPr>
                <w:color w:val="000000"/>
                <w:szCs w:val="20"/>
                <w:lang w:eastAsia="tr-TR"/>
              </w:rPr>
            </w:pPr>
            <w:r w:rsidRPr="00471CBA">
              <w:rPr>
                <w:color w:val="000000"/>
                <w:szCs w:val="20"/>
                <w:lang w:eastAsia="tr-TR"/>
              </w:rPr>
              <w:t>En Yüksek</w:t>
            </w:r>
          </w:p>
        </w:tc>
        <w:tc>
          <w:tcPr>
            <w:tcW w:w="1124" w:type="pct"/>
            <w:tcBorders>
              <w:top w:val="nil"/>
              <w:left w:val="nil"/>
              <w:bottom w:val="nil"/>
              <w:right w:val="nil"/>
            </w:tcBorders>
            <w:vAlign w:val="center"/>
            <w:hideMark/>
          </w:tcPr>
          <w:p w14:paraId="2C23E48C" w14:textId="77777777" w:rsidR="00A74C68" w:rsidRPr="00471CBA" w:rsidRDefault="00A74C68" w:rsidP="00A74C68">
            <w:pPr>
              <w:jc w:val="right"/>
              <w:rPr>
                <w:color w:val="000000"/>
                <w:szCs w:val="20"/>
                <w:lang w:eastAsia="tr-TR"/>
              </w:rPr>
            </w:pPr>
            <w:r w:rsidRPr="00471CBA">
              <w:rPr>
                <w:color w:val="000000"/>
                <w:szCs w:val="20"/>
                <w:lang w:eastAsia="tr-TR"/>
              </w:rPr>
              <w:t>390,15</w:t>
            </w:r>
          </w:p>
        </w:tc>
        <w:tc>
          <w:tcPr>
            <w:tcW w:w="1112" w:type="pct"/>
            <w:tcBorders>
              <w:top w:val="nil"/>
              <w:left w:val="nil"/>
              <w:bottom w:val="nil"/>
              <w:right w:val="nil"/>
            </w:tcBorders>
            <w:vAlign w:val="center"/>
            <w:hideMark/>
          </w:tcPr>
          <w:p w14:paraId="78038A0D" w14:textId="77777777" w:rsidR="00A74C68" w:rsidRPr="00471CBA" w:rsidRDefault="00A74C68" w:rsidP="00A74C68">
            <w:pPr>
              <w:jc w:val="right"/>
              <w:rPr>
                <w:color w:val="000000"/>
                <w:szCs w:val="20"/>
                <w:lang w:eastAsia="tr-TR"/>
              </w:rPr>
            </w:pPr>
            <w:r w:rsidRPr="00471CBA">
              <w:rPr>
                <w:color w:val="000000"/>
                <w:szCs w:val="20"/>
                <w:lang w:eastAsia="tr-TR"/>
              </w:rPr>
              <w:t>855,07</w:t>
            </w:r>
          </w:p>
        </w:tc>
      </w:tr>
      <w:tr w:rsidR="00A74C68" w:rsidRPr="00471CBA" w14:paraId="1D380231" w14:textId="77777777" w:rsidTr="00A74C68">
        <w:trPr>
          <w:divId w:val="1910537374"/>
          <w:trHeight w:val="255"/>
        </w:trPr>
        <w:tc>
          <w:tcPr>
            <w:tcW w:w="2764" w:type="pct"/>
            <w:tcBorders>
              <w:top w:val="nil"/>
              <w:left w:val="nil"/>
              <w:bottom w:val="nil"/>
              <w:right w:val="nil"/>
            </w:tcBorders>
            <w:noWrap/>
            <w:vAlign w:val="center"/>
            <w:hideMark/>
          </w:tcPr>
          <w:p w14:paraId="724DFB35" w14:textId="77777777" w:rsidR="00A74C68" w:rsidRPr="00471CBA" w:rsidRDefault="00A74C68" w:rsidP="00A74C68">
            <w:pPr>
              <w:rPr>
                <w:color w:val="000000"/>
                <w:szCs w:val="20"/>
                <w:lang w:eastAsia="tr-TR"/>
              </w:rPr>
            </w:pPr>
            <w:r w:rsidRPr="00471CBA">
              <w:rPr>
                <w:color w:val="000000"/>
                <w:szCs w:val="20"/>
                <w:lang w:eastAsia="tr-TR"/>
              </w:rPr>
              <w:t>Tarih</w:t>
            </w:r>
          </w:p>
        </w:tc>
        <w:tc>
          <w:tcPr>
            <w:tcW w:w="1124" w:type="pct"/>
            <w:tcBorders>
              <w:top w:val="nil"/>
              <w:left w:val="nil"/>
              <w:bottom w:val="nil"/>
              <w:right w:val="nil"/>
            </w:tcBorders>
            <w:noWrap/>
            <w:vAlign w:val="center"/>
            <w:hideMark/>
          </w:tcPr>
          <w:p w14:paraId="34AB1C09" w14:textId="77777777" w:rsidR="00A74C68" w:rsidRPr="00471CBA" w:rsidRDefault="00A74C68" w:rsidP="00A74C68">
            <w:pPr>
              <w:jc w:val="right"/>
              <w:rPr>
                <w:color w:val="000000"/>
                <w:szCs w:val="20"/>
                <w:lang w:eastAsia="tr-TR"/>
              </w:rPr>
            </w:pPr>
            <w:r w:rsidRPr="00471CBA">
              <w:rPr>
                <w:color w:val="000000"/>
                <w:szCs w:val="20"/>
                <w:lang w:eastAsia="tr-TR"/>
              </w:rPr>
              <w:t>7 Ekim 2024</w:t>
            </w:r>
          </w:p>
        </w:tc>
        <w:tc>
          <w:tcPr>
            <w:tcW w:w="1112" w:type="pct"/>
            <w:tcBorders>
              <w:top w:val="nil"/>
              <w:left w:val="nil"/>
              <w:bottom w:val="nil"/>
              <w:right w:val="nil"/>
            </w:tcBorders>
            <w:noWrap/>
            <w:vAlign w:val="center"/>
            <w:hideMark/>
          </w:tcPr>
          <w:p w14:paraId="235F61CF" w14:textId="77777777" w:rsidR="00A74C68" w:rsidRPr="00471CBA" w:rsidRDefault="00A74C68" w:rsidP="00A74C68">
            <w:pPr>
              <w:jc w:val="right"/>
              <w:rPr>
                <w:color w:val="000000"/>
                <w:szCs w:val="20"/>
                <w:lang w:eastAsia="tr-TR"/>
              </w:rPr>
            </w:pPr>
            <w:r w:rsidRPr="00471CBA">
              <w:rPr>
                <w:color w:val="000000"/>
                <w:szCs w:val="20"/>
                <w:lang w:eastAsia="tr-TR"/>
              </w:rPr>
              <w:t>10 Ekim 2024</w:t>
            </w:r>
          </w:p>
        </w:tc>
      </w:tr>
      <w:tr w:rsidR="00A74C68" w:rsidRPr="00471CBA" w14:paraId="15E8FA90" w14:textId="77777777" w:rsidTr="00A74C68">
        <w:trPr>
          <w:divId w:val="1910537374"/>
          <w:trHeight w:val="255"/>
        </w:trPr>
        <w:tc>
          <w:tcPr>
            <w:tcW w:w="2764" w:type="pct"/>
            <w:tcBorders>
              <w:top w:val="nil"/>
              <w:left w:val="nil"/>
              <w:bottom w:val="single" w:sz="4" w:space="0" w:color="auto"/>
              <w:right w:val="nil"/>
            </w:tcBorders>
            <w:noWrap/>
            <w:vAlign w:val="center"/>
            <w:hideMark/>
          </w:tcPr>
          <w:p w14:paraId="08B8C9ED" w14:textId="77777777" w:rsidR="00A74C68" w:rsidRPr="00471CBA" w:rsidRDefault="00A74C68" w:rsidP="00A74C68">
            <w:pPr>
              <w:rPr>
                <w:color w:val="000000"/>
                <w:szCs w:val="20"/>
                <w:lang w:eastAsia="tr-TR"/>
              </w:rPr>
            </w:pPr>
            <w:r w:rsidRPr="00471CBA">
              <w:rPr>
                <w:color w:val="000000"/>
                <w:szCs w:val="20"/>
                <w:lang w:eastAsia="tr-TR"/>
              </w:rPr>
              <w:t>Ortalama</w:t>
            </w:r>
          </w:p>
        </w:tc>
        <w:tc>
          <w:tcPr>
            <w:tcW w:w="1124" w:type="pct"/>
            <w:tcBorders>
              <w:top w:val="nil"/>
              <w:left w:val="nil"/>
              <w:bottom w:val="single" w:sz="4" w:space="0" w:color="auto"/>
              <w:right w:val="nil"/>
            </w:tcBorders>
            <w:noWrap/>
            <w:vAlign w:val="center"/>
            <w:hideMark/>
          </w:tcPr>
          <w:p w14:paraId="34273E73" w14:textId="77777777" w:rsidR="00A74C68" w:rsidRPr="00471CBA" w:rsidRDefault="00A74C68" w:rsidP="00A74C68">
            <w:pPr>
              <w:jc w:val="right"/>
              <w:rPr>
                <w:color w:val="000000"/>
                <w:szCs w:val="20"/>
                <w:lang w:eastAsia="tr-TR"/>
              </w:rPr>
            </w:pPr>
            <w:r w:rsidRPr="00471CBA">
              <w:rPr>
                <w:color w:val="000000"/>
                <w:szCs w:val="20"/>
                <w:lang w:eastAsia="tr-TR"/>
              </w:rPr>
              <w:t>172,17</w:t>
            </w:r>
          </w:p>
        </w:tc>
        <w:tc>
          <w:tcPr>
            <w:tcW w:w="1112" w:type="pct"/>
            <w:tcBorders>
              <w:top w:val="nil"/>
              <w:left w:val="nil"/>
              <w:bottom w:val="single" w:sz="4" w:space="0" w:color="auto"/>
              <w:right w:val="nil"/>
            </w:tcBorders>
            <w:noWrap/>
            <w:vAlign w:val="center"/>
            <w:hideMark/>
          </w:tcPr>
          <w:p w14:paraId="609381D7" w14:textId="77777777" w:rsidR="00A74C68" w:rsidRPr="00471CBA" w:rsidRDefault="00A74C68" w:rsidP="00A74C68">
            <w:pPr>
              <w:jc w:val="right"/>
              <w:rPr>
                <w:color w:val="000000"/>
                <w:szCs w:val="20"/>
                <w:lang w:eastAsia="tr-TR"/>
              </w:rPr>
            </w:pPr>
            <w:r w:rsidRPr="00471CBA">
              <w:rPr>
                <w:color w:val="000000"/>
                <w:szCs w:val="20"/>
                <w:lang w:eastAsia="tr-TR"/>
              </w:rPr>
              <w:t>369,45</w:t>
            </w:r>
          </w:p>
        </w:tc>
      </w:tr>
    </w:tbl>
    <w:p w14:paraId="45AFD34A" w14:textId="08D6C544" w:rsidR="00263A00" w:rsidRPr="00471CBA" w:rsidRDefault="00263A00">
      <w:pPr>
        <w:rPr>
          <w:rFonts w:eastAsia="Calibri"/>
          <w:szCs w:val="20"/>
        </w:rPr>
      </w:pPr>
      <w:r w:rsidRPr="00471CBA">
        <w:rPr>
          <w:rFonts w:eastAsia="Calibri"/>
          <w:szCs w:val="20"/>
        </w:rPr>
        <w:br w:type="page"/>
      </w:r>
    </w:p>
    <w:p w14:paraId="46C99033" w14:textId="1C96A620" w:rsidR="006218A8" w:rsidRPr="00471CBA" w:rsidRDefault="006218A8" w:rsidP="00F36B82">
      <w:pPr>
        <w:pStyle w:val="GvdeMetniGirintisi"/>
        <w:widowControl w:val="0"/>
        <w:spacing w:after="120" w:line="226" w:lineRule="auto"/>
        <w:ind w:firstLine="0"/>
        <w:jc w:val="left"/>
        <w:rPr>
          <w:b/>
          <w:szCs w:val="20"/>
        </w:rPr>
      </w:pPr>
      <w:r w:rsidRPr="00471CBA">
        <w:rPr>
          <w:b/>
          <w:szCs w:val="20"/>
        </w:rPr>
        <w:lastRenderedPageBreak/>
        <w:t>MALİ BÜNYEYE VE RİSK YÖNETİMİNE İLİŞKİN BİLGİLER (Devamı)</w:t>
      </w:r>
    </w:p>
    <w:p w14:paraId="7C161E5F" w14:textId="413A5511" w:rsidR="00AA12B1" w:rsidRPr="00471CBA" w:rsidRDefault="00AA12B1" w:rsidP="00F36B82">
      <w:pPr>
        <w:widowControl w:val="0"/>
        <w:autoSpaceDE w:val="0"/>
        <w:autoSpaceDN w:val="0"/>
        <w:adjustRightInd w:val="0"/>
        <w:spacing w:line="226" w:lineRule="auto"/>
        <w:ind w:left="851" w:hanging="851"/>
        <w:rPr>
          <w:b/>
          <w:szCs w:val="20"/>
        </w:rPr>
      </w:pPr>
      <w:r w:rsidRPr="00471CBA">
        <w:rPr>
          <w:b/>
          <w:szCs w:val="20"/>
        </w:rPr>
        <w:t>V.</w:t>
      </w:r>
      <w:r w:rsidRPr="00471CBA">
        <w:rPr>
          <w:b/>
          <w:szCs w:val="20"/>
        </w:rPr>
        <w:tab/>
        <w:t>LİKİDİTE RİSKİNE İLİŞKİN AÇIKLAMALAR (Devamı)</w:t>
      </w:r>
    </w:p>
    <w:p w14:paraId="2341CF2D" w14:textId="77777777" w:rsidR="00AA12B1" w:rsidRPr="00F36B82" w:rsidRDefault="00AA12B1" w:rsidP="00F36B82">
      <w:pPr>
        <w:pStyle w:val="GvdeMetniGirintisi"/>
        <w:widowControl w:val="0"/>
        <w:spacing w:line="226" w:lineRule="auto"/>
        <w:ind w:firstLine="0"/>
        <w:rPr>
          <w:b/>
          <w:sz w:val="16"/>
          <w:szCs w:val="16"/>
        </w:rPr>
      </w:pPr>
    </w:p>
    <w:p w14:paraId="556A624B" w14:textId="779827F5" w:rsidR="008E4144" w:rsidRPr="00471CBA" w:rsidRDefault="002C6E36" w:rsidP="00F36B82">
      <w:pPr>
        <w:pStyle w:val="GvdeMetniGirintisi"/>
        <w:widowControl w:val="0"/>
        <w:spacing w:line="226" w:lineRule="auto"/>
        <w:ind w:firstLine="0"/>
        <w:rPr>
          <w:b/>
          <w:szCs w:val="20"/>
        </w:rPr>
      </w:pPr>
      <w:r w:rsidRPr="00471CBA">
        <w:rPr>
          <w:b/>
          <w:szCs w:val="20"/>
        </w:rPr>
        <w:t>Aktif ve pasif kalemlerin kalan vadelerine göre gösterimi</w:t>
      </w:r>
    </w:p>
    <w:p w14:paraId="3626FEF4" w14:textId="017BE397" w:rsidR="00A74C68" w:rsidRPr="00F36B82" w:rsidRDefault="00A74C68" w:rsidP="00F36B82">
      <w:pPr>
        <w:widowControl w:val="0"/>
        <w:tabs>
          <w:tab w:val="left" w:pos="224"/>
          <w:tab w:val="left" w:pos="284"/>
        </w:tabs>
        <w:spacing w:line="226" w:lineRule="auto"/>
        <w:ind w:left="238" w:right="-194" w:hanging="238"/>
        <w:jc w:val="both"/>
        <w:rPr>
          <w:sz w:val="16"/>
          <w:szCs w:val="16"/>
        </w:rPr>
      </w:pPr>
    </w:p>
    <w:tbl>
      <w:tblPr>
        <w:tblW w:w="5098" w:type="pct"/>
        <w:tblCellMar>
          <w:left w:w="70" w:type="dxa"/>
          <w:right w:w="70" w:type="dxa"/>
        </w:tblCellMar>
        <w:tblLook w:val="04A0" w:firstRow="1" w:lastRow="0" w:firstColumn="1" w:lastColumn="0" w:noHBand="0" w:noVBand="1"/>
      </w:tblPr>
      <w:tblGrid>
        <w:gridCol w:w="2240"/>
        <w:gridCol w:w="967"/>
        <w:gridCol w:w="967"/>
        <w:gridCol w:w="887"/>
        <w:gridCol w:w="860"/>
        <w:gridCol w:w="860"/>
        <w:gridCol w:w="780"/>
        <w:gridCol w:w="1145"/>
        <w:gridCol w:w="1122"/>
      </w:tblGrid>
      <w:tr w:rsidR="00A74C68" w:rsidRPr="00471CBA" w14:paraId="1413DF01" w14:textId="77777777" w:rsidTr="00A74C68">
        <w:trPr>
          <w:divId w:val="758410951"/>
          <w:trHeight w:val="170"/>
        </w:trPr>
        <w:tc>
          <w:tcPr>
            <w:tcW w:w="1154" w:type="pct"/>
            <w:tcBorders>
              <w:top w:val="single" w:sz="2" w:space="0" w:color="auto"/>
              <w:left w:val="nil"/>
              <w:bottom w:val="single" w:sz="4" w:space="0" w:color="auto"/>
              <w:right w:val="nil"/>
            </w:tcBorders>
            <w:vAlign w:val="center"/>
            <w:hideMark/>
          </w:tcPr>
          <w:p w14:paraId="7B44FF71" w14:textId="117E5246" w:rsidR="00A74C68" w:rsidRPr="00471CBA" w:rsidRDefault="00A74C68" w:rsidP="00F36B82">
            <w:pPr>
              <w:spacing w:line="226" w:lineRule="auto"/>
              <w:rPr>
                <w:b/>
                <w:bCs/>
                <w:color w:val="000000"/>
                <w:sz w:val="16"/>
                <w:szCs w:val="16"/>
              </w:rPr>
            </w:pPr>
            <w:r w:rsidRPr="00471CBA">
              <w:rPr>
                <w:b/>
                <w:bCs/>
                <w:color w:val="000000"/>
                <w:sz w:val="16"/>
                <w:szCs w:val="16"/>
              </w:rPr>
              <w:t>31 Aralık 2025</w:t>
            </w:r>
          </w:p>
        </w:tc>
        <w:tc>
          <w:tcPr>
            <w:tcW w:w="455" w:type="pct"/>
            <w:tcBorders>
              <w:top w:val="single" w:sz="2" w:space="0" w:color="auto"/>
              <w:left w:val="nil"/>
              <w:bottom w:val="single" w:sz="4" w:space="0" w:color="auto"/>
              <w:right w:val="nil"/>
            </w:tcBorders>
            <w:vAlign w:val="center"/>
            <w:hideMark/>
          </w:tcPr>
          <w:p w14:paraId="2108855E" w14:textId="77777777" w:rsidR="00A74C68" w:rsidRPr="00471CBA" w:rsidRDefault="00A74C68" w:rsidP="00F36B82">
            <w:pPr>
              <w:spacing w:line="226" w:lineRule="auto"/>
              <w:jc w:val="right"/>
              <w:rPr>
                <w:b/>
                <w:bCs/>
                <w:snapToGrid w:val="0"/>
                <w:color w:val="000000"/>
                <w:sz w:val="16"/>
                <w:szCs w:val="16"/>
                <w:vertAlign w:val="superscript"/>
              </w:rPr>
            </w:pPr>
            <w:r w:rsidRPr="00471CBA">
              <w:rPr>
                <w:b/>
                <w:bCs/>
                <w:snapToGrid w:val="0"/>
                <w:color w:val="000000"/>
                <w:sz w:val="16"/>
                <w:szCs w:val="16"/>
              </w:rPr>
              <w:t>Vadesiz</w:t>
            </w:r>
          </w:p>
        </w:tc>
        <w:tc>
          <w:tcPr>
            <w:tcW w:w="482" w:type="pct"/>
            <w:tcBorders>
              <w:top w:val="single" w:sz="2" w:space="0" w:color="auto"/>
              <w:left w:val="nil"/>
              <w:bottom w:val="single" w:sz="4" w:space="0" w:color="auto"/>
              <w:right w:val="nil"/>
            </w:tcBorders>
            <w:vAlign w:val="center"/>
            <w:hideMark/>
          </w:tcPr>
          <w:p w14:paraId="5EF12F9A"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1 Aya Kadar</w:t>
            </w:r>
          </w:p>
        </w:tc>
        <w:tc>
          <w:tcPr>
            <w:tcW w:w="446" w:type="pct"/>
            <w:tcBorders>
              <w:top w:val="single" w:sz="2" w:space="0" w:color="auto"/>
              <w:left w:val="nil"/>
              <w:bottom w:val="single" w:sz="4" w:space="0" w:color="auto"/>
              <w:right w:val="nil"/>
            </w:tcBorders>
            <w:vAlign w:val="center"/>
            <w:hideMark/>
          </w:tcPr>
          <w:p w14:paraId="65BC1995" w14:textId="77777777" w:rsidR="00A74C68" w:rsidRPr="00471CBA" w:rsidRDefault="00A74C68" w:rsidP="00F36B82">
            <w:pPr>
              <w:spacing w:line="226" w:lineRule="auto"/>
              <w:jc w:val="right"/>
              <w:rPr>
                <w:b/>
                <w:bCs/>
                <w:color w:val="000000"/>
                <w:sz w:val="16"/>
                <w:szCs w:val="16"/>
              </w:rPr>
            </w:pPr>
            <w:r w:rsidRPr="00471CBA">
              <w:rPr>
                <w:b/>
                <w:bCs/>
                <w:snapToGrid w:val="0"/>
                <w:color w:val="000000"/>
                <w:sz w:val="16"/>
                <w:szCs w:val="16"/>
              </w:rPr>
              <w:t>1-3 Ay</w:t>
            </w:r>
          </w:p>
        </w:tc>
        <w:tc>
          <w:tcPr>
            <w:tcW w:w="417" w:type="pct"/>
            <w:tcBorders>
              <w:top w:val="single" w:sz="2" w:space="0" w:color="auto"/>
              <w:left w:val="nil"/>
              <w:bottom w:val="single" w:sz="4" w:space="0" w:color="auto"/>
              <w:right w:val="nil"/>
            </w:tcBorders>
            <w:vAlign w:val="center"/>
            <w:hideMark/>
          </w:tcPr>
          <w:p w14:paraId="7C2E65E2" w14:textId="77777777" w:rsidR="00A74C68" w:rsidRPr="00471CBA" w:rsidRDefault="00A74C68" w:rsidP="00F36B82">
            <w:pPr>
              <w:spacing w:line="226" w:lineRule="auto"/>
              <w:jc w:val="right"/>
              <w:rPr>
                <w:b/>
                <w:bCs/>
                <w:color w:val="000000"/>
                <w:sz w:val="16"/>
                <w:szCs w:val="16"/>
              </w:rPr>
            </w:pPr>
            <w:r w:rsidRPr="00471CBA">
              <w:rPr>
                <w:b/>
                <w:bCs/>
                <w:snapToGrid w:val="0"/>
                <w:color w:val="000000"/>
                <w:sz w:val="16"/>
                <w:szCs w:val="16"/>
              </w:rPr>
              <w:t>3-12 Ay</w:t>
            </w:r>
          </w:p>
        </w:tc>
        <w:tc>
          <w:tcPr>
            <w:tcW w:w="446" w:type="pct"/>
            <w:tcBorders>
              <w:top w:val="single" w:sz="2" w:space="0" w:color="auto"/>
              <w:left w:val="nil"/>
              <w:bottom w:val="single" w:sz="4" w:space="0" w:color="auto"/>
              <w:right w:val="nil"/>
            </w:tcBorders>
            <w:vAlign w:val="center"/>
            <w:hideMark/>
          </w:tcPr>
          <w:p w14:paraId="1B077981" w14:textId="77777777" w:rsidR="00A74C68" w:rsidRPr="00471CBA" w:rsidRDefault="00A74C68" w:rsidP="00F36B82">
            <w:pPr>
              <w:spacing w:line="226" w:lineRule="auto"/>
              <w:jc w:val="right"/>
              <w:rPr>
                <w:b/>
                <w:bCs/>
                <w:color w:val="000000"/>
                <w:sz w:val="16"/>
                <w:szCs w:val="16"/>
              </w:rPr>
            </w:pPr>
            <w:r w:rsidRPr="00471CBA">
              <w:rPr>
                <w:b/>
                <w:bCs/>
                <w:snapToGrid w:val="0"/>
                <w:color w:val="000000"/>
                <w:sz w:val="16"/>
                <w:szCs w:val="16"/>
              </w:rPr>
              <w:t>1-5 Yıl</w:t>
            </w:r>
          </w:p>
        </w:tc>
        <w:tc>
          <w:tcPr>
            <w:tcW w:w="398" w:type="pct"/>
            <w:tcBorders>
              <w:top w:val="single" w:sz="2" w:space="0" w:color="auto"/>
              <w:left w:val="nil"/>
              <w:bottom w:val="single" w:sz="4" w:space="0" w:color="auto"/>
              <w:right w:val="nil"/>
            </w:tcBorders>
            <w:vAlign w:val="center"/>
            <w:hideMark/>
          </w:tcPr>
          <w:p w14:paraId="08CCFAA5" w14:textId="77777777" w:rsidR="00A74C68" w:rsidRPr="00471CBA" w:rsidRDefault="00A74C68" w:rsidP="00F36B82">
            <w:pPr>
              <w:spacing w:line="226" w:lineRule="auto"/>
              <w:jc w:val="right"/>
              <w:rPr>
                <w:b/>
                <w:bCs/>
                <w:color w:val="000000"/>
                <w:sz w:val="16"/>
                <w:szCs w:val="16"/>
              </w:rPr>
            </w:pPr>
            <w:r w:rsidRPr="00471CBA">
              <w:rPr>
                <w:b/>
                <w:bCs/>
                <w:snapToGrid w:val="0"/>
                <w:color w:val="000000"/>
                <w:sz w:val="16"/>
                <w:szCs w:val="16"/>
              </w:rPr>
              <w:t>5 Yıl ve Üzeri</w:t>
            </w:r>
          </w:p>
        </w:tc>
        <w:tc>
          <w:tcPr>
            <w:tcW w:w="600" w:type="pct"/>
            <w:tcBorders>
              <w:top w:val="single" w:sz="2" w:space="0" w:color="auto"/>
              <w:left w:val="nil"/>
              <w:bottom w:val="single" w:sz="4" w:space="0" w:color="auto"/>
              <w:right w:val="nil"/>
            </w:tcBorders>
            <w:vAlign w:val="center"/>
            <w:hideMark/>
          </w:tcPr>
          <w:p w14:paraId="3AB848EF" w14:textId="77777777" w:rsidR="00A74C68" w:rsidRPr="00471CBA" w:rsidRDefault="00A74C68" w:rsidP="00F36B82">
            <w:pPr>
              <w:spacing w:line="226" w:lineRule="auto"/>
              <w:jc w:val="right"/>
              <w:rPr>
                <w:b/>
                <w:bCs/>
                <w:color w:val="000000"/>
                <w:sz w:val="16"/>
                <w:szCs w:val="16"/>
              </w:rPr>
            </w:pPr>
            <w:r w:rsidRPr="00471CBA">
              <w:rPr>
                <w:b/>
                <w:bCs/>
                <w:snapToGrid w:val="0"/>
                <w:color w:val="000000"/>
                <w:sz w:val="16"/>
                <w:szCs w:val="16"/>
              </w:rPr>
              <w:t>Dağıtılamayan</w:t>
            </w:r>
          </w:p>
        </w:tc>
        <w:tc>
          <w:tcPr>
            <w:tcW w:w="601" w:type="pct"/>
            <w:tcBorders>
              <w:top w:val="single" w:sz="2" w:space="0" w:color="auto"/>
              <w:left w:val="nil"/>
              <w:bottom w:val="single" w:sz="4" w:space="0" w:color="auto"/>
              <w:right w:val="nil"/>
            </w:tcBorders>
            <w:vAlign w:val="center"/>
            <w:hideMark/>
          </w:tcPr>
          <w:p w14:paraId="4AD2CD1E" w14:textId="77777777" w:rsidR="00A74C68" w:rsidRPr="00471CBA" w:rsidRDefault="00A74C68" w:rsidP="00F36B82">
            <w:pPr>
              <w:spacing w:line="226" w:lineRule="auto"/>
              <w:jc w:val="right"/>
              <w:rPr>
                <w:b/>
                <w:bCs/>
                <w:color w:val="000000"/>
                <w:sz w:val="16"/>
                <w:szCs w:val="16"/>
              </w:rPr>
            </w:pPr>
            <w:r w:rsidRPr="00471CBA">
              <w:rPr>
                <w:b/>
                <w:bCs/>
                <w:snapToGrid w:val="0"/>
                <w:color w:val="000000"/>
                <w:sz w:val="16"/>
                <w:szCs w:val="16"/>
              </w:rPr>
              <w:t>Toplam</w:t>
            </w:r>
          </w:p>
        </w:tc>
      </w:tr>
      <w:tr w:rsidR="00A74C68" w:rsidRPr="00471CBA" w14:paraId="26934285" w14:textId="77777777" w:rsidTr="00A74C68">
        <w:trPr>
          <w:divId w:val="758410951"/>
          <w:trHeight w:val="170"/>
        </w:trPr>
        <w:tc>
          <w:tcPr>
            <w:tcW w:w="1154" w:type="pct"/>
            <w:tcBorders>
              <w:top w:val="nil"/>
              <w:left w:val="nil"/>
              <w:bottom w:val="nil"/>
              <w:right w:val="nil"/>
            </w:tcBorders>
            <w:hideMark/>
          </w:tcPr>
          <w:p w14:paraId="595EDA71" w14:textId="77777777" w:rsidR="00A74C68" w:rsidRPr="00471CBA" w:rsidRDefault="00A74C68" w:rsidP="00F36B82">
            <w:pPr>
              <w:spacing w:line="226" w:lineRule="auto"/>
              <w:jc w:val="center"/>
              <w:rPr>
                <w:b/>
                <w:bCs/>
                <w:color w:val="000000"/>
                <w:sz w:val="16"/>
                <w:szCs w:val="16"/>
              </w:rPr>
            </w:pPr>
          </w:p>
        </w:tc>
        <w:tc>
          <w:tcPr>
            <w:tcW w:w="455" w:type="pct"/>
            <w:tcBorders>
              <w:top w:val="nil"/>
              <w:left w:val="nil"/>
              <w:bottom w:val="nil"/>
              <w:right w:val="nil"/>
            </w:tcBorders>
            <w:noWrap/>
            <w:vAlign w:val="bottom"/>
            <w:hideMark/>
          </w:tcPr>
          <w:p w14:paraId="26EEF9EB" w14:textId="77777777" w:rsidR="00A74C68" w:rsidRPr="00471CBA" w:rsidRDefault="00A74C68" w:rsidP="00F36B82">
            <w:pPr>
              <w:spacing w:line="226" w:lineRule="auto"/>
              <w:jc w:val="both"/>
              <w:rPr>
                <w:szCs w:val="20"/>
              </w:rPr>
            </w:pPr>
          </w:p>
        </w:tc>
        <w:tc>
          <w:tcPr>
            <w:tcW w:w="482" w:type="pct"/>
            <w:tcBorders>
              <w:top w:val="nil"/>
              <w:left w:val="nil"/>
              <w:bottom w:val="nil"/>
              <w:right w:val="nil"/>
            </w:tcBorders>
            <w:noWrap/>
            <w:vAlign w:val="bottom"/>
            <w:hideMark/>
          </w:tcPr>
          <w:p w14:paraId="38F6702F" w14:textId="77777777" w:rsidR="00A74C68" w:rsidRPr="00471CBA" w:rsidRDefault="00A74C68" w:rsidP="00F36B82">
            <w:pPr>
              <w:spacing w:line="226" w:lineRule="auto"/>
              <w:rPr>
                <w:szCs w:val="20"/>
              </w:rPr>
            </w:pPr>
          </w:p>
        </w:tc>
        <w:tc>
          <w:tcPr>
            <w:tcW w:w="446" w:type="pct"/>
            <w:tcBorders>
              <w:top w:val="nil"/>
              <w:left w:val="nil"/>
              <w:bottom w:val="nil"/>
              <w:right w:val="nil"/>
            </w:tcBorders>
            <w:noWrap/>
            <w:vAlign w:val="bottom"/>
            <w:hideMark/>
          </w:tcPr>
          <w:p w14:paraId="613A7D4F" w14:textId="77777777" w:rsidR="00A74C68" w:rsidRPr="00471CBA" w:rsidRDefault="00A74C68" w:rsidP="00F36B82">
            <w:pPr>
              <w:spacing w:line="226" w:lineRule="auto"/>
              <w:rPr>
                <w:szCs w:val="20"/>
              </w:rPr>
            </w:pPr>
          </w:p>
        </w:tc>
        <w:tc>
          <w:tcPr>
            <w:tcW w:w="417" w:type="pct"/>
            <w:tcBorders>
              <w:top w:val="nil"/>
              <w:left w:val="nil"/>
              <w:bottom w:val="nil"/>
              <w:right w:val="nil"/>
            </w:tcBorders>
            <w:noWrap/>
            <w:vAlign w:val="bottom"/>
            <w:hideMark/>
          </w:tcPr>
          <w:p w14:paraId="1BE62F6B" w14:textId="77777777" w:rsidR="00A74C68" w:rsidRPr="00471CBA" w:rsidRDefault="00A74C68" w:rsidP="00F36B82">
            <w:pPr>
              <w:spacing w:line="226" w:lineRule="auto"/>
              <w:rPr>
                <w:szCs w:val="20"/>
              </w:rPr>
            </w:pPr>
          </w:p>
        </w:tc>
        <w:tc>
          <w:tcPr>
            <w:tcW w:w="446" w:type="pct"/>
            <w:tcBorders>
              <w:top w:val="nil"/>
              <w:left w:val="nil"/>
              <w:bottom w:val="nil"/>
              <w:right w:val="nil"/>
            </w:tcBorders>
            <w:noWrap/>
            <w:vAlign w:val="bottom"/>
            <w:hideMark/>
          </w:tcPr>
          <w:p w14:paraId="68B5EF0A" w14:textId="77777777" w:rsidR="00A74C68" w:rsidRPr="00471CBA" w:rsidRDefault="00A74C68" w:rsidP="00F36B82">
            <w:pPr>
              <w:spacing w:line="226" w:lineRule="auto"/>
              <w:rPr>
                <w:szCs w:val="20"/>
              </w:rPr>
            </w:pPr>
          </w:p>
        </w:tc>
        <w:tc>
          <w:tcPr>
            <w:tcW w:w="398" w:type="pct"/>
            <w:tcBorders>
              <w:top w:val="nil"/>
              <w:left w:val="nil"/>
              <w:bottom w:val="nil"/>
              <w:right w:val="nil"/>
            </w:tcBorders>
            <w:noWrap/>
            <w:vAlign w:val="bottom"/>
            <w:hideMark/>
          </w:tcPr>
          <w:p w14:paraId="26A0444D" w14:textId="77777777" w:rsidR="00A74C68" w:rsidRPr="00471CBA" w:rsidRDefault="00A74C68" w:rsidP="00F36B82">
            <w:pPr>
              <w:spacing w:line="226" w:lineRule="auto"/>
              <w:rPr>
                <w:szCs w:val="20"/>
              </w:rPr>
            </w:pPr>
          </w:p>
        </w:tc>
        <w:tc>
          <w:tcPr>
            <w:tcW w:w="600" w:type="pct"/>
            <w:tcBorders>
              <w:top w:val="nil"/>
              <w:left w:val="nil"/>
              <w:bottom w:val="nil"/>
              <w:right w:val="nil"/>
            </w:tcBorders>
            <w:noWrap/>
            <w:vAlign w:val="bottom"/>
            <w:hideMark/>
          </w:tcPr>
          <w:p w14:paraId="6D690680" w14:textId="77777777" w:rsidR="00A74C68" w:rsidRPr="00471CBA" w:rsidRDefault="00A74C68" w:rsidP="00F36B82">
            <w:pPr>
              <w:spacing w:line="226" w:lineRule="auto"/>
              <w:rPr>
                <w:szCs w:val="20"/>
              </w:rPr>
            </w:pPr>
          </w:p>
        </w:tc>
        <w:tc>
          <w:tcPr>
            <w:tcW w:w="601" w:type="pct"/>
            <w:tcBorders>
              <w:top w:val="nil"/>
              <w:left w:val="nil"/>
              <w:bottom w:val="nil"/>
              <w:right w:val="nil"/>
            </w:tcBorders>
            <w:noWrap/>
            <w:vAlign w:val="bottom"/>
            <w:hideMark/>
          </w:tcPr>
          <w:p w14:paraId="712B561B" w14:textId="77777777" w:rsidR="00A74C68" w:rsidRPr="00471CBA" w:rsidRDefault="00A74C68" w:rsidP="00F36B82">
            <w:pPr>
              <w:spacing w:line="226" w:lineRule="auto"/>
              <w:rPr>
                <w:szCs w:val="20"/>
              </w:rPr>
            </w:pPr>
          </w:p>
        </w:tc>
      </w:tr>
      <w:tr w:rsidR="00A74C68" w:rsidRPr="00471CBA" w14:paraId="0FCE66AA" w14:textId="77777777" w:rsidTr="00A74C68">
        <w:trPr>
          <w:divId w:val="758410951"/>
          <w:trHeight w:val="170"/>
        </w:trPr>
        <w:tc>
          <w:tcPr>
            <w:tcW w:w="1154" w:type="pct"/>
            <w:tcBorders>
              <w:top w:val="nil"/>
              <w:left w:val="nil"/>
              <w:bottom w:val="nil"/>
              <w:right w:val="nil"/>
            </w:tcBorders>
            <w:vAlign w:val="center"/>
            <w:hideMark/>
          </w:tcPr>
          <w:p w14:paraId="7A6BB3C4" w14:textId="77777777" w:rsidR="00A74C68" w:rsidRPr="00471CBA" w:rsidRDefault="00A74C68" w:rsidP="00F36B82">
            <w:pPr>
              <w:spacing w:line="226" w:lineRule="auto"/>
              <w:rPr>
                <w:b/>
                <w:bCs/>
                <w:color w:val="000000"/>
                <w:sz w:val="16"/>
                <w:szCs w:val="16"/>
              </w:rPr>
            </w:pPr>
            <w:r w:rsidRPr="00471CBA">
              <w:rPr>
                <w:b/>
                <w:bCs/>
                <w:color w:val="000000"/>
                <w:sz w:val="16"/>
                <w:szCs w:val="16"/>
              </w:rPr>
              <w:t>Varlıklar</w:t>
            </w:r>
          </w:p>
        </w:tc>
        <w:tc>
          <w:tcPr>
            <w:tcW w:w="455" w:type="pct"/>
            <w:tcBorders>
              <w:top w:val="nil"/>
              <w:left w:val="nil"/>
              <w:bottom w:val="nil"/>
              <w:right w:val="nil"/>
            </w:tcBorders>
            <w:noWrap/>
            <w:vAlign w:val="bottom"/>
            <w:hideMark/>
          </w:tcPr>
          <w:p w14:paraId="10DC6309" w14:textId="77777777" w:rsidR="00A74C68" w:rsidRPr="00471CBA" w:rsidRDefault="00A74C68" w:rsidP="00F36B82">
            <w:pPr>
              <w:spacing w:line="226" w:lineRule="auto"/>
              <w:rPr>
                <w:b/>
                <w:bCs/>
                <w:color w:val="000000"/>
                <w:sz w:val="16"/>
                <w:szCs w:val="16"/>
              </w:rPr>
            </w:pPr>
          </w:p>
        </w:tc>
        <w:tc>
          <w:tcPr>
            <w:tcW w:w="482" w:type="pct"/>
            <w:tcBorders>
              <w:top w:val="nil"/>
              <w:left w:val="nil"/>
              <w:bottom w:val="nil"/>
              <w:right w:val="nil"/>
            </w:tcBorders>
            <w:noWrap/>
            <w:vAlign w:val="bottom"/>
            <w:hideMark/>
          </w:tcPr>
          <w:p w14:paraId="71D01B6B" w14:textId="77777777" w:rsidR="00A74C68" w:rsidRPr="00471CBA" w:rsidRDefault="00A74C68" w:rsidP="00F36B82">
            <w:pPr>
              <w:spacing w:line="226" w:lineRule="auto"/>
              <w:rPr>
                <w:szCs w:val="20"/>
              </w:rPr>
            </w:pPr>
          </w:p>
        </w:tc>
        <w:tc>
          <w:tcPr>
            <w:tcW w:w="446" w:type="pct"/>
            <w:tcBorders>
              <w:top w:val="nil"/>
              <w:left w:val="nil"/>
              <w:bottom w:val="nil"/>
              <w:right w:val="nil"/>
            </w:tcBorders>
            <w:noWrap/>
            <w:vAlign w:val="bottom"/>
            <w:hideMark/>
          </w:tcPr>
          <w:p w14:paraId="57B8DF31" w14:textId="77777777" w:rsidR="00A74C68" w:rsidRPr="00471CBA" w:rsidRDefault="00A74C68" w:rsidP="00F36B82">
            <w:pPr>
              <w:spacing w:line="226" w:lineRule="auto"/>
              <w:rPr>
                <w:szCs w:val="20"/>
              </w:rPr>
            </w:pPr>
          </w:p>
        </w:tc>
        <w:tc>
          <w:tcPr>
            <w:tcW w:w="417" w:type="pct"/>
            <w:tcBorders>
              <w:top w:val="nil"/>
              <w:left w:val="nil"/>
              <w:bottom w:val="nil"/>
              <w:right w:val="nil"/>
            </w:tcBorders>
            <w:noWrap/>
            <w:vAlign w:val="bottom"/>
            <w:hideMark/>
          </w:tcPr>
          <w:p w14:paraId="6A573670" w14:textId="77777777" w:rsidR="00A74C68" w:rsidRPr="00471CBA" w:rsidRDefault="00A74C68" w:rsidP="00F36B82">
            <w:pPr>
              <w:spacing w:line="226" w:lineRule="auto"/>
              <w:rPr>
                <w:szCs w:val="20"/>
              </w:rPr>
            </w:pPr>
          </w:p>
        </w:tc>
        <w:tc>
          <w:tcPr>
            <w:tcW w:w="446" w:type="pct"/>
            <w:tcBorders>
              <w:top w:val="nil"/>
              <w:left w:val="nil"/>
              <w:bottom w:val="nil"/>
              <w:right w:val="nil"/>
            </w:tcBorders>
            <w:noWrap/>
            <w:vAlign w:val="bottom"/>
            <w:hideMark/>
          </w:tcPr>
          <w:p w14:paraId="2ED04626" w14:textId="77777777" w:rsidR="00A74C68" w:rsidRPr="00471CBA" w:rsidRDefault="00A74C68" w:rsidP="00F36B82">
            <w:pPr>
              <w:spacing w:line="226" w:lineRule="auto"/>
              <w:rPr>
                <w:szCs w:val="20"/>
              </w:rPr>
            </w:pPr>
          </w:p>
        </w:tc>
        <w:tc>
          <w:tcPr>
            <w:tcW w:w="398" w:type="pct"/>
            <w:tcBorders>
              <w:top w:val="nil"/>
              <w:left w:val="nil"/>
              <w:bottom w:val="nil"/>
              <w:right w:val="nil"/>
            </w:tcBorders>
            <w:noWrap/>
            <w:vAlign w:val="bottom"/>
            <w:hideMark/>
          </w:tcPr>
          <w:p w14:paraId="071FE305" w14:textId="77777777" w:rsidR="00A74C68" w:rsidRPr="00471CBA" w:rsidRDefault="00A74C68" w:rsidP="00F36B82">
            <w:pPr>
              <w:spacing w:line="226" w:lineRule="auto"/>
              <w:rPr>
                <w:szCs w:val="20"/>
              </w:rPr>
            </w:pPr>
          </w:p>
        </w:tc>
        <w:tc>
          <w:tcPr>
            <w:tcW w:w="600" w:type="pct"/>
            <w:tcBorders>
              <w:top w:val="nil"/>
              <w:left w:val="nil"/>
              <w:bottom w:val="nil"/>
              <w:right w:val="nil"/>
            </w:tcBorders>
            <w:noWrap/>
            <w:vAlign w:val="bottom"/>
            <w:hideMark/>
          </w:tcPr>
          <w:p w14:paraId="6D54E7AB" w14:textId="77777777" w:rsidR="00A74C68" w:rsidRPr="00471CBA" w:rsidRDefault="00A74C68" w:rsidP="00F36B82">
            <w:pPr>
              <w:spacing w:line="226" w:lineRule="auto"/>
              <w:rPr>
                <w:szCs w:val="20"/>
              </w:rPr>
            </w:pPr>
          </w:p>
        </w:tc>
        <w:tc>
          <w:tcPr>
            <w:tcW w:w="601" w:type="pct"/>
            <w:tcBorders>
              <w:top w:val="nil"/>
              <w:left w:val="nil"/>
              <w:bottom w:val="nil"/>
              <w:right w:val="nil"/>
            </w:tcBorders>
            <w:noWrap/>
            <w:vAlign w:val="bottom"/>
            <w:hideMark/>
          </w:tcPr>
          <w:p w14:paraId="6D487571" w14:textId="77777777" w:rsidR="00A74C68" w:rsidRPr="00471CBA" w:rsidRDefault="00A74C68" w:rsidP="00F36B82">
            <w:pPr>
              <w:spacing w:line="226" w:lineRule="auto"/>
              <w:rPr>
                <w:szCs w:val="20"/>
              </w:rPr>
            </w:pPr>
          </w:p>
        </w:tc>
      </w:tr>
      <w:tr w:rsidR="00A74C68" w:rsidRPr="00471CBA" w14:paraId="0AC3AE09" w14:textId="77777777" w:rsidTr="00A74C68">
        <w:trPr>
          <w:divId w:val="758410951"/>
          <w:trHeight w:val="170"/>
        </w:trPr>
        <w:tc>
          <w:tcPr>
            <w:tcW w:w="1154" w:type="pct"/>
            <w:tcBorders>
              <w:top w:val="nil"/>
              <w:left w:val="nil"/>
              <w:bottom w:val="nil"/>
              <w:right w:val="nil"/>
            </w:tcBorders>
            <w:vAlign w:val="center"/>
            <w:hideMark/>
          </w:tcPr>
          <w:p w14:paraId="7C454FE9" w14:textId="77777777" w:rsidR="00A74C68" w:rsidRPr="00471CBA" w:rsidRDefault="00A74C68" w:rsidP="00F36B82">
            <w:pPr>
              <w:spacing w:line="226" w:lineRule="auto"/>
              <w:rPr>
                <w:color w:val="000000"/>
                <w:sz w:val="16"/>
                <w:szCs w:val="16"/>
              </w:rPr>
            </w:pPr>
            <w:r w:rsidRPr="00471CBA">
              <w:rPr>
                <w:snapToGrid w:val="0"/>
                <w:color w:val="000000"/>
                <w:sz w:val="16"/>
                <w:szCs w:val="16"/>
              </w:rPr>
              <w:t>Nakit Değerler (Kasa, Efektif Deposu, Yoldaki Paralar, Satın Alınan Çekler) ve TCMB</w:t>
            </w:r>
          </w:p>
        </w:tc>
        <w:tc>
          <w:tcPr>
            <w:tcW w:w="455" w:type="pct"/>
            <w:tcBorders>
              <w:top w:val="nil"/>
              <w:left w:val="nil"/>
              <w:bottom w:val="nil"/>
              <w:right w:val="nil"/>
            </w:tcBorders>
            <w:vAlign w:val="bottom"/>
            <w:hideMark/>
          </w:tcPr>
          <w:p w14:paraId="0A179AC7" w14:textId="77777777" w:rsidR="00A74C68" w:rsidRPr="00471CBA" w:rsidRDefault="00A74C68" w:rsidP="00F36B82">
            <w:pPr>
              <w:spacing w:line="226" w:lineRule="auto"/>
              <w:jc w:val="right"/>
              <w:rPr>
                <w:color w:val="000000"/>
                <w:sz w:val="16"/>
                <w:szCs w:val="16"/>
              </w:rPr>
            </w:pPr>
            <w:r w:rsidRPr="00471CBA">
              <w:rPr>
                <w:color w:val="000000"/>
                <w:sz w:val="16"/>
                <w:szCs w:val="16"/>
              </w:rPr>
              <w:t>12.982.768</w:t>
            </w:r>
          </w:p>
        </w:tc>
        <w:tc>
          <w:tcPr>
            <w:tcW w:w="482" w:type="pct"/>
            <w:tcBorders>
              <w:top w:val="nil"/>
              <w:left w:val="nil"/>
              <w:bottom w:val="nil"/>
              <w:right w:val="nil"/>
            </w:tcBorders>
            <w:vAlign w:val="bottom"/>
            <w:hideMark/>
          </w:tcPr>
          <w:p w14:paraId="469984F5" w14:textId="77777777" w:rsidR="00A74C68" w:rsidRPr="00471CBA" w:rsidRDefault="00A74C68" w:rsidP="00F36B82">
            <w:pPr>
              <w:spacing w:line="226" w:lineRule="auto"/>
              <w:jc w:val="right"/>
              <w:rPr>
                <w:color w:val="000000"/>
                <w:sz w:val="16"/>
                <w:szCs w:val="16"/>
              </w:rPr>
            </w:pPr>
            <w:r w:rsidRPr="00471CBA">
              <w:rPr>
                <w:color w:val="000000"/>
                <w:sz w:val="16"/>
                <w:szCs w:val="16"/>
              </w:rPr>
              <w:t>13.024.772</w:t>
            </w:r>
          </w:p>
        </w:tc>
        <w:tc>
          <w:tcPr>
            <w:tcW w:w="446" w:type="pct"/>
            <w:tcBorders>
              <w:top w:val="nil"/>
              <w:left w:val="nil"/>
              <w:bottom w:val="nil"/>
              <w:right w:val="nil"/>
            </w:tcBorders>
            <w:vAlign w:val="bottom"/>
            <w:hideMark/>
          </w:tcPr>
          <w:p w14:paraId="0A8E7B7B"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417" w:type="pct"/>
            <w:tcBorders>
              <w:top w:val="nil"/>
              <w:left w:val="nil"/>
              <w:bottom w:val="nil"/>
              <w:right w:val="nil"/>
            </w:tcBorders>
            <w:vAlign w:val="bottom"/>
            <w:hideMark/>
          </w:tcPr>
          <w:p w14:paraId="1723D44F"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446" w:type="pct"/>
            <w:tcBorders>
              <w:top w:val="nil"/>
              <w:left w:val="nil"/>
              <w:bottom w:val="nil"/>
              <w:right w:val="nil"/>
            </w:tcBorders>
            <w:vAlign w:val="bottom"/>
            <w:hideMark/>
          </w:tcPr>
          <w:p w14:paraId="54949E22"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398" w:type="pct"/>
            <w:tcBorders>
              <w:top w:val="nil"/>
              <w:left w:val="nil"/>
              <w:bottom w:val="nil"/>
              <w:right w:val="nil"/>
            </w:tcBorders>
            <w:vAlign w:val="bottom"/>
            <w:hideMark/>
          </w:tcPr>
          <w:p w14:paraId="64836A79"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600" w:type="pct"/>
            <w:tcBorders>
              <w:top w:val="nil"/>
              <w:left w:val="nil"/>
              <w:bottom w:val="nil"/>
              <w:right w:val="nil"/>
            </w:tcBorders>
            <w:vAlign w:val="bottom"/>
            <w:hideMark/>
          </w:tcPr>
          <w:p w14:paraId="209881EB"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601" w:type="pct"/>
            <w:tcBorders>
              <w:top w:val="nil"/>
              <w:left w:val="nil"/>
              <w:bottom w:val="nil"/>
              <w:right w:val="nil"/>
            </w:tcBorders>
            <w:vAlign w:val="bottom"/>
            <w:hideMark/>
          </w:tcPr>
          <w:p w14:paraId="15BCE5AC" w14:textId="77777777" w:rsidR="00A74C68" w:rsidRPr="00471CBA" w:rsidRDefault="00A74C68" w:rsidP="00F36B82">
            <w:pPr>
              <w:spacing w:line="226" w:lineRule="auto"/>
              <w:jc w:val="right"/>
              <w:rPr>
                <w:color w:val="000000"/>
                <w:sz w:val="16"/>
                <w:szCs w:val="16"/>
              </w:rPr>
            </w:pPr>
            <w:r w:rsidRPr="00471CBA">
              <w:rPr>
                <w:color w:val="000000"/>
                <w:sz w:val="16"/>
                <w:szCs w:val="16"/>
              </w:rPr>
              <w:t>26.007.540</w:t>
            </w:r>
          </w:p>
        </w:tc>
      </w:tr>
      <w:tr w:rsidR="00A74C68" w:rsidRPr="00471CBA" w14:paraId="25752D10" w14:textId="77777777" w:rsidTr="00A74C68">
        <w:trPr>
          <w:divId w:val="758410951"/>
          <w:trHeight w:val="170"/>
        </w:trPr>
        <w:tc>
          <w:tcPr>
            <w:tcW w:w="1154" w:type="pct"/>
            <w:tcBorders>
              <w:top w:val="nil"/>
              <w:left w:val="nil"/>
              <w:bottom w:val="nil"/>
              <w:right w:val="nil"/>
            </w:tcBorders>
            <w:vAlign w:val="center"/>
            <w:hideMark/>
          </w:tcPr>
          <w:p w14:paraId="0FF84BBD" w14:textId="77777777" w:rsidR="00A74C68" w:rsidRPr="00471CBA" w:rsidRDefault="00A74C68" w:rsidP="00F36B82">
            <w:pPr>
              <w:spacing w:line="226" w:lineRule="auto"/>
              <w:rPr>
                <w:color w:val="000000"/>
                <w:sz w:val="16"/>
                <w:szCs w:val="16"/>
              </w:rPr>
            </w:pPr>
            <w:r w:rsidRPr="00471CBA">
              <w:rPr>
                <w:snapToGrid w:val="0"/>
                <w:color w:val="000000"/>
                <w:sz w:val="16"/>
                <w:szCs w:val="16"/>
              </w:rPr>
              <w:t>Bankalar</w:t>
            </w:r>
          </w:p>
        </w:tc>
        <w:tc>
          <w:tcPr>
            <w:tcW w:w="455" w:type="pct"/>
            <w:tcBorders>
              <w:top w:val="nil"/>
              <w:left w:val="nil"/>
              <w:bottom w:val="nil"/>
              <w:right w:val="nil"/>
            </w:tcBorders>
            <w:vAlign w:val="bottom"/>
            <w:hideMark/>
          </w:tcPr>
          <w:p w14:paraId="437E5B8A" w14:textId="77777777" w:rsidR="00A74C68" w:rsidRPr="00471CBA" w:rsidRDefault="00A74C68" w:rsidP="00F36B82">
            <w:pPr>
              <w:spacing w:line="226" w:lineRule="auto"/>
              <w:jc w:val="right"/>
              <w:rPr>
                <w:color w:val="000000"/>
                <w:sz w:val="16"/>
                <w:szCs w:val="16"/>
              </w:rPr>
            </w:pPr>
            <w:r w:rsidRPr="00471CBA">
              <w:rPr>
                <w:color w:val="000000"/>
                <w:sz w:val="16"/>
                <w:szCs w:val="16"/>
              </w:rPr>
              <w:t>6.747.381</w:t>
            </w:r>
          </w:p>
        </w:tc>
        <w:tc>
          <w:tcPr>
            <w:tcW w:w="482" w:type="pct"/>
            <w:tcBorders>
              <w:top w:val="nil"/>
              <w:left w:val="nil"/>
              <w:bottom w:val="nil"/>
              <w:right w:val="nil"/>
            </w:tcBorders>
            <w:vAlign w:val="bottom"/>
            <w:hideMark/>
          </w:tcPr>
          <w:p w14:paraId="618A9AB7" w14:textId="77777777" w:rsidR="00A74C68" w:rsidRPr="00471CBA" w:rsidRDefault="00A74C68" w:rsidP="00F36B82">
            <w:pPr>
              <w:spacing w:line="226" w:lineRule="auto"/>
              <w:jc w:val="right"/>
              <w:rPr>
                <w:color w:val="000000"/>
                <w:sz w:val="16"/>
                <w:szCs w:val="16"/>
              </w:rPr>
            </w:pPr>
            <w:r w:rsidRPr="00471CBA">
              <w:rPr>
                <w:color w:val="000000"/>
                <w:sz w:val="16"/>
                <w:szCs w:val="16"/>
              </w:rPr>
              <w:t>1.763.000</w:t>
            </w:r>
          </w:p>
        </w:tc>
        <w:tc>
          <w:tcPr>
            <w:tcW w:w="446" w:type="pct"/>
            <w:tcBorders>
              <w:top w:val="nil"/>
              <w:left w:val="nil"/>
              <w:bottom w:val="nil"/>
              <w:right w:val="nil"/>
            </w:tcBorders>
            <w:vAlign w:val="bottom"/>
            <w:hideMark/>
          </w:tcPr>
          <w:p w14:paraId="1D5E59AA"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417" w:type="pct"/>
            <w:tcBorders>
              <w:top w:val="nil"/>
              <w:left w:val="nil"/>
              <w:bottom w:val="nil"/>
              <w:right w:val="nil"/>
            </w:tcBorders>
            <w:vAlign w:val="bottom"/>
            <w:hideMark/>
          </w:tcPr>
          <w:p w14:paraId="47A299E9"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446" w:type="pct"/>
            <w:tcBorders>
              <w:top w:val="nil"/>
              <w:left w:val="nil"/>
              <w:bottom w:val="nil"/>
              <w:right w:val="nil"/>
            </w:tcBorders>
            <w:vAlign w:val="bottom"/>
            <w:hideMark/>
          </w:tcPr>
          <w:p w14:paraId="43F7609A"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398" w:type="pct"/>
            <w:tcBorders>
              <w:top w:val="nil"/>
              <w:left w:val="nil"/>
              <w:bottom w:val="nil"/>
              <w:right w:val="nil"/>
            </w:tcBorders>
            <w:vAlign w:val="bottom"/>
            <w:hideMark/>
          </w:tcPr>
          <w:p w14:paraId="0441CF70"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600" w:type="pct"/>
            <w:tcBorders>
              <w:top w:val="nil"/>
              <w:left w:val="nil"/>
              <w:bottom w:val="nil"/>
              <w:right w:val="nil"/>
            </w:tcBorders>
            <w:vAlign w:val="bottom"/>
            <w:hideMark/>
          </w:tcPr>
          <w:p w14:paraId="6BBFA6D8"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601" w:type="pct"/>
            <w:tcBorders>
              <w:top w:val="nil"/>
              <w:left w:val="nil"/>
              <w:bottom w:val="nil"/>
              <w:right w:val="nil"/>
            </w:tcBorders>
            <w:vAlign w:val="bottom"/>
            <w:hideMark/>
          </w:tcPr>
          <w:p w14:paraId="32709E49" w14:textId="77777777" w:rsidR="00A74C68" w:rsidRPr="00471CBA" w:rsidRDefault="00A74C68" w:rsidP="00F36B82">
            <w:pPr>
              <w:spacing w:line="226" w:lineRule="auto"/>
              <w:jc w:val="right"/>
              <w:rPr>
                <w:color w:val="000000"/>
                <w:sz w:val="16"/>
                <w:szCs w:val="16"/>
              </w:rPr>
            </w:pPr>
            <w:r w:rsidRPr="00471CBA">
              <w:rPr>
                <w:color w:val="000000"/>
                <w:sz w:val="16"/>
                <w:szCs w:val="16"/>
              </w:rPr>
              <w:t>8.510.381</w:t>
            </w:r>
          </w:p>
        </w:tc>
      </w:tr>
      <w:tr w:rsidR="00A74C68" w:rsidRPr="00471CBA" w14:paraId="3468284D" w14:textId="77777777" w:rsidTr="00A74C68">
        <w:trPr>
          <w:divId w:val="758410951"/>
          <w:trHeight w:val="170"/>
        </w:trPr>
        <w:tc>
          <w:tcPr>
            <w:tcW w:w="1154" w:type="pct"/>
            <w:tcBorders>
              <w:top w:val="nil"/>
              <w:left w:val="nil"/>
              <w:bottom w:val="nil"/>
              <w:right w:val="nil"/>
            </w:tcBorders>
            <w:vAlign w:val="center"/>
            <w:hideMark/>
          </w:tcPr>
          <w:p w14:paraId="1B4E90C9" w14:textId="77777777" w:rsidR="00A74C68" w:rsidRPr="00471CBA" w:rsidRDefault="00A74C68" w:rsidP="00F36B82">
            <w:pPr>
              <w:spacing w:line="226" w:lineRule="auto"/>
              <w:rPr>
                <w:snapToGrid w:val="0"/>
                <w:color w:val="000000"/>
                <w:sz w:val="16"/>
                <w:szCs w:val="16"/>
              </w:rPr>
            </w:pPr>
            <w:r w:rsidRPr="00471CBA">
              <w:rPr>
                <w:snapToGrid w:val="0"/>
                <w:color w:val="000000"/>
                <w:sz w:val="16"/>
                <w:szCs w:val="16"/>
              </w:rPr>
              <w:t>Gerçeğe Uygun Değer Farkı Kâr veya Zarara Yansıtılan Finansal Varlıklar</w:t>
            </w:r>
          </w:p>
        </w:tc>
        <w:tc>
          <w:tcPr>
            <w:tcW w:w="455" w:type="pct"/>
            <w:tcBorders>
              <w:top w:val="nil"/>
              <w:left w:val="nil"/>
              <w:bottom w:val="nil"/>
              <w:right w:val="nil"/>
            </w:tcBorders>
            <w:vAlign w:val="bottom"/>
            <w:hideMark/>
          </w:tcPr>
          <w:p w14:paraId="30153DEC" w14:textId="77777777" w:rsidR="00A74C68" w:rsidRPr="00471CBA" w:rsidRDefault="00A74C68" w:rsidP="00F36B82">
            <w:pPr>
              <w:spacing w:line="226" w:lineRule="auto"/>
              <w:jc w:val="right"/>
              <w:rPr>
                <w:color w:val="000000"/>
                <w:sz w:val="16"/>
                <w:szCs w:val="16"/>
              </w:rPr>
            </w:pPr>
            <w:r w:rsidRPr="00471CBA">
              <w:rPr>
                <w:color w:val="000000"/>
                <w:sz w:val="16"/>
                <w:szCs w:val="16"/>
              </w:rPr>
              <w:t>1.339.304</w:t>
            </w:r>
          </w:p>
        </w:tc>
        <w:tc>
          <w:tcPr>
            <w:tcW w:w="482" w:type="pct"/>
            <w:tcBorders>
              <w:top w:val="nil"/>
              <w:left w:val="nil"/>
              <w:bottom w:val="nil"/>
              <w:right w:val="nil"/>
            </w:tcBorders>
            <w:vAlign w:val="bottom"/>
            <w:hideMark/>
          </w:tcPr>
          <w:p w14:paraId="39F5447A" w14:textId="77777777" w:rsidR="00A74C68" w:rsidRPr="00471CBA" w:rsidRDefault="00A74C68" w:rsidP="00F36B82">
            <w:pPr>
              <w:spacing w:line="226" w:lineRule="auto"/>
              <w:jc w:val="right"/>
              <w:rPr>
                <w:color w:val="000000"/>
                <w:sz w:val="16"/>
                <w:szCs w:val="16"/>
              </w:rPr>
            </w:pPr>
            <w:r w:rsidRPr="00471CBA">
              <w:rPr>
                <w:color w:val="000000"/>
                <w:sz w:val="16"/>
                <w:szCs w:val="16"/>
              </w:rPr>
              <w:t>1.147.565</w:t>
            </w:r>
          </w:p>
        </w:tc>
        <w:tc>
          <w:tcPr>
            <w:tcW w:w="446" w:type="pct"/>
            <w:tcBorders>
              <w:top w:val="nil"/>
              <w:left w:val="nil"/>
              <w:bottom w:val="nil"/>
              <w:right w:val="nil"/>
            </w:tcBorders>
            <w:vAlign w:val="bottom"/>
            <w:hideMark/>
          </w:tcPr>
          <w:p w14:paraId="1150C993"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417" w:type="pct"/>
            <w:tcBorders>
              <w:top w:val="nil"/>
              <w:left w:val="nil"/>
              <w:bottom w:val="nil"/>
              <w:right w:val="nil"/>
            </w:tcBorders>
            <w:vAlign w:val="bottom"/>
            <w:hideMark/>
          </w:tcPr>
          <w:p w14:paraId="6351CA4B"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446" w:type="pct"/>
            <w:tcBorders>
              <w:top w:val="nil"/>
              <w:left w:val="nil"/>
              <w:bottom w:val="nil"/>
              <w:right w:val="nil"/>
            </w:tcBorders>
            <w:vAlign w:val="bottom"/>
            <w:hideMark/>
          </w:tcPr>
          <w:p w14:paraId="53CA7A6F"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398" w:type="pct"/>
            <w:tcBorders>
              <w:top w:val="nil"/>
              <w:left w:val="nil"/>
              <w:bottom w:val="nil"/>
              <w:right w:val="nil"/>
            </w:tcBorders>
            <w:vAlign w:val="bottom"/>
            <w:hideMark/>
          </w:tcPr>
          <w:p w14:paraId="19C7D057"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600" w:type="pct"/>
            <w:tcBorders>
              <w:top w:val="nil"/>
              <w:left w:val="nil"/>
              <w:bottom w:val="nil"/>
              <w:right w:val="nil"/>
            </w:tcBorders>
            <w:vAlign w:val="bottom"/>
            <w:hideMark/>
          </w:tcPr>
          <w:p w14:paraId="21904F2E"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601" w:type="pct"/>
            <w:tcBorders>
              <w:top w:val="nil"/>
              <w:left w:val="nil"/>
              <w:bottom w:val="nil"/>
              <w:right w:val="nil"/>
            </w:tcBorders>
            <w:vAlign w:val="bottom"/>
            <w:hideMark/>
          </w:tcPr>
          <w:p w14:paraId="383A6CAE" w14:textId="77777777" w:rsidR="00A74C68" w:rsidRPr="00471CBA" w:rsidRDefault="00A74C68" w:rsidP="00F36B82">
            <w:pPr>
              <w:spacing w:line="226" w:lineRule="auto"/>
              <w:jc w:val="right"/>
              <w:rPr>
                <w:color w:val="000000"/>
                <w:sz w:val="16"/>
                <w:szCs w:val="16"/>
              </w:rPr>
            </w:pPr>
            <w:r w:rsidRPr="00471CBA">
              <w:rPr>
                <w:color w:val="000000"/>
                <w:sz w:val="16"/>
                <w:szCs w:val="16"/>
              </w:rPr>
              <w:t>2.486.869</w:t>
            </w:r>
          </w:p>
        </w:tc>
      </w:tr>
      <w:tr w:rsidR="00A74C68" w:rsidRPr="00471CBA" w14:paraId="60780D06" w14:textId="77777777" w:rsidTr="00A74C68">
        <w:trPr>
          <w:divId w:val="758410951"/>
          <w:trHeight w:val="170"/>
        </w:trPr>
        <w:tc>
          <w:tcPr>
            <w:tcW w:w="1154" w:type="pct"/>
            <w:tcBorders>
              <w:top w:val="nil"/>
              <w:left w:val="nil"/>
              <w:bottom w:val="nil"/>
              <w:right w:val="nil"/>
            </w:tcBorders>
            <w:vAlign w:val="center"/>
            <w:hideMark/>
          </w:tcPr>
          <w:p w14:paraId="1ADEEAB1" w14:textId="77777777" w:rsidR="00A74C68" w:rsidRPr="00471CBA" w:rsidRDefault="00A74C68" w:rsidP="00F36B82">
            <w:pPr>
              <w:spacing w:line="226" w:lineRule="auto"/>
              <w:rPr>
                <w:color w:val="000000"/>
                <w:sz w:val="16"/>
                <w:szCs w:val="16"/>
              </w:rPr>
            </w:pPr>
            <w:r w:rsidRPr="00471CBA">
              <w:rPr>
                <w:snapToGrid w:val="0"/>
                <w:color w:val="000000"/>
                <w:sz w:val="16"/>
                <w:szCs w:val="16"/>
              </w:rPr>
              <w:t>Para Piyasalarından Alacaklar</w:t>
            </w:r>
          </w:p>
        </w:tc>
        <w:tc>
          <w:tcPr>
            <w:tcW w:w="455" w:type="pct"/>
            <w:tcBorders>
              <w:top w:val="nil"/>
              <w:left w:val="nil"/>
              <w:bottom w:val="nil"/>
              <w:right w:val="nil"/>
            </w:tcBorders>
            <w:vAlign w:val="bottom"/>
            <w:hideMark/>
          </w:tcPr>
          <w:p w14:paraId="74DE3E2C"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482" w:type="pct"/>
            <w:tcBorders>
              <w:top w:val="nil"/>
              <w:left w:val="nil"/>
              <w:bottom w:val="nil"/>
              <w:right w:val="nil"/>
            </w:tcBorders>
            <w:vAlign w:val="bottom"/>
            <w:hideMark/>
          </w:tcPr>
          <w:p w14:paraId="0D040ED4"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446" w:type="pct"/>
            <w:tcBorders>
              <w:top w:val="nil"/>
              <w:left w:val="nil"/>
              <w:bottom w:val="nil"/>
              <w:right w:val="nil"/>
            </w:tcBorders>
            <w:vAlign w:val="bottom"/>
            <w:hideMark/>
          </w:tcPr>
          <w:p w14:paraId="6FB9A3C5"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417" w:type="pct"/>
            <w:tcBorders>
              <w:top w:val="nil"/>
              <w:left w:val="nil"/>
              <w:bottom w:val="nil"/>
              <w:right w:val="nil"/>
            </w:tcBorders>
            <w:vAlign w:val="bottom"/>
            <w:hideMark/>
          </w:tcPr>
          <w:p w14:paraId="3FCCA4B8"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446" w:type="pct"/>
            <w:tcBorders>
              <w:top w:val="nil"/>
              <w:left w:val="nil"/>
              <w:bottom w:val="nil"/>
              <w:right w:val="nil"/>
            </w:tcBorders>
            <w:vAlign w:val="bottom"/>
            <w:hideMark/>
          </w:tcPr>
          <w:p w14:paraId="28D7ECE7"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398" w:type="pct"/>
            <w:tcBorders>
              <w:top w:val="nil"/>
              <w:left w:val="nil"/>
              <w:bottom w:val="nil"/>
              <w:right w:val="nil"/>
            </w:tcBorders>
            <w:vAlign w:val="bottom"/>
            <w:hideMark/>
          </w:tcPr>
          <w:p w14:paraId="7EA82D62"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600" w:type="pct"/>
            <w:tcBorders>
              <w:top w:val="nil"/>
              <w:left w:val="nil"/>
              <w:bottom w:val="nil"/>
              <w:right w:val="nil"/>
            </w:tcBorders>
            <w:vAlign w:val="bottom"/>
            <w:hideMark/>
          </w:tcPr>
          <w:p w14:paraId="14E21625"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601" w:type="pct"/>
            <w:tcBorders>
              <w:top w:val="nil"/>
              <w:left w:val="nil"/>
              <w:bottom w:val="nil"/>
              <w:right w:val="nil"/>
            </w:tcBorders>
            <w:vAlign w:val="bottom"/>
            <w:hideMark/>
          </w:tcPr>
          <w:p w14:paraId="40784190"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r>
      <w:tr w:rsidR="00A74C68" w:rsidRPr="00471CBA" w14:paraId="5161C533" w14:textId="77777777" w:rsidTr="00A74C68">
        <w:trPr>
          <w:divId w:val="758410951"/>
          <w:trHeight w:val="170"/>
        </w:trPr>
        <w:tc>
          <w:tcPr>
            <w:tcW w:w="1154" w:type="pct"/>
            <w:tcBorders>
              <w:top w:val="nil"/>
              <w:left w:val="nil"/>
              <w:bottom w:val="nil"/>
              <w:right w:val="nil"/>
            </w:tcBorders>
            <w:vAlign w:val="center"/>
            <w:hideMark/>
          </w:tcPr>
          <w:p w14:paraId="7898859B" w14:textId="77777777" w:rsidR="00A74C68" w:rsidRPr="00471CBA" w:rsidRDefault="00A74C68" w:rsidP="00F36B82">
            <w:pPr>
              <w:spacing w:line="226" w:lineRule="auto"/>
              <w:rPr>
                <w:color w:val="000000"/>
                <w:sz w:val="16"/>
                <w:szCs w:val="16"/>
              </w:rPr>
            </w:pPr>
            <w:r w:rsidRPr="00471CBA">
              <w:rPr>
                <w:snapToGrid w:val="0"/>
                <w:color w:val="000000"/>
                <w:sz w:val="16"/>
                <w:szCs w:val="16"/>
              </w:rPr>
              <w:t>Gerçeğe Uygun Değer Farkı Diğer Kapsamlı Gelire Yansıtılan Finansal Varlıklar</w:t>
            </w:r>
          </w:p>
        </w:tc>
        <w:tc>
          <w:tcPr>
            <w:tcW w:w="455" w:type="pct"/>
            <w:tcBorders>
              <w:top w:val="nil"/>
              <w:left w:val="nil"/>
              <w:bottom w:val="nil"/>
              <w:right w:val="nil"/>
            </w:tcBorders>
            <w:vAlign w:val="bottom"/>
            <w:hideMark/>
          </w:tcPr>
          <w:p w14:paraId="0E4A70C4"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482" w:type="pct"/>
            <w:tcBorders>
              <w:top w:val="nil"/>
              <w:left w:val="nil"/>
              <w:bottom w:val="nil"/>
              <w:right w:val="nil"/>
            </w:tcBorders>
            <w:vAlign w:val="bottom"/>
            <w:hideMark/>
          </w:tcPr>
          <w:p w14:paraId="58D4C094" w14:textId="77777777" w:rsidR="00A74C68" w:rsidRPr="00471CBA" w:rsidRDefault="00A74C68" w:rsidP="00F36B82">
            <w:pPr>
              <w:spacing w:line="226" w:lineRule="auto"/>
              <w:jc w:val="right"/>
              <w:rPr>
                <w:color w:val="000000"/>
                <w:sz w:val="16"/>
                <w:szCs w:val="16"/>
              </w:rPr>
            </w:pPr>
            <w:r w:rsidRPr="00471CBA">
              <w:rPr>
                <w:color w:val="000000"/>
                <w:sz w:val="16"/>
                <w:szCs w:val="16"/>
              </w:rPr>
              <w:t>5.076</w:t>
            </w:r>
          </w:p>
        </w:tc>
        <w:tc>
          <w:tcPr>
            <w:tcW w:w="446" w:type="pct"/>
            <w:tcBorders>
              <w:top w:val="nil"/>
              <w:left w:val="nil"/>
              <w:bottom w:val="nil"/>
              <w:right w:val="nil"/>
            </w:tcBorders>
            <w:vAlign w:val="bottom"/>
            <w:hideMark/>
          </w:tcPr>
          <w:p w14:paraId="74ECE280" w14:textId="77777777" w:rsidR="00A74C68" w:rsidRPr="00471CBA" w:rsidRDefault="00A74C68" w:rsidP="00F36B82">
            <w:pPr>
              <w:spacing w:line="226" w:lineRule="auto"/>
              <w:jc w:val="right"/>
              <w:rPr>
                <w:color w:val="000000"/>
                <w:sz w:val="16"/>
                <w:szCs w:val="16"/>
              </w:rPr>
            </w:pPr>
            <w:r w:rsidRPr="00471CBA">
              <w:rPr>
                <w:color w:val="000000"/>
                <w:sz w:val="16"/>
                <w:szCs w:val="16"/>
              </w:rPr>
              <w:t>200.477</w:t>
            </w:r>
          </w:p>
        </w:tc>
        <w:tc>
          <w:tcPr>
            <w:tcW w:w="417" w:type="pct"/>
            <w:tcBorders>
              <w:top w:val="nil"/>
              <w:left w:val="nil"/>
              <w:bottom w:val="nil"/>
              <w:right w:val="nil"/>
            </w:tcBorders>
            <w:vAlign w:val="bottom"/>
            <w:hideMark/>
          </w:tcPr>
          <w:p w14:paraId="3EBA488E" w14:textId="77777777" w:rsidR="00A74C68" w:rsidRPr="00471CBA" w:rsidRDefault="00A74C68" w:rsidP="00F36B82">
            <w:pPr>
              <w:spacing w:line="226" w:lineRule="auto"/>
              <w:jc w:val="right"/>
              <w:rPr>
                <w:color w:val="000000"/>
                <w:sz w:val="16"/>
                <w:szCs w:val="16"/>
              </w:rPr>
            </w:pPr>
            <w:r w:rsidRPr="00471CBA">
              <w:rPr>
                <w:color w:val="000000"/>
                <w:sz w:val="16"/>
                <w:szCs w:val="16"/>
              </w:rPr>
              <w:t>1.096.346</w:t>
            </w:r>
          </w:p>
        </w:tc>
        <w:tc>
          <w:tcPr>
            <w:tcW w:w="446" w:type="pct"/>
            <w:tcBorders>
              <w:top w:val="nil"/>
              <w:left w:val="nil"/>
              <w:bottom w:val="nil"/>
              <w:right w:val="nil"/>
            </w:tcBorders>
            <w:vAlign w:val="bottom"/>
            <w:hideMark/>
          </w:tcPr>
          <w:p w14:paraId="0B7E3366" w14:textId="77777777" w:rsidR="00A74C68" w:rsidRPr="00471CBA" w:rsidRDefault="00A74C68" w:rsidP="00F36B82">
            <w:pPr>
              <w:spacing w:line="226" w:lineRule="auto"/>
              <w:jc w:val="right"/>
              <w:rPr>
                <w:color w:val="000000"/>
                <w:sz w:val="16"/>
                <w:szCs w:val="16"/>
              </w:rPr>
            </w:pPr>
            <w:r w:rsidRPr="00471CBA">
              <w:rPr>
                <w:color w:val="000000"/>
                <w:sz w:val="16"/>
                <w:szCs w:val="16"/>
              </w:rPr>
              <w:t>3.885.958</w:t>
            </w:r>
          </w:p>
        </w:tc>
        <w:tc>
          <w:tcPr>
            <w:tcW w:w="398" w:type="pct"/>
            <w:tcBorders>
              <w:top w:val="nil"/>
              <w:left w:val="nil"/>
              <w:bottom w:val="nil"/>
              <w:right w:val="nil"/>
            </w:tcBorders>
            <w:vAlign w:val="bottom"/>
            <w:hideMark/>
          </w:tcPr>
          <w:p w14:paraId="0386924C"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600" w:type="pct"/>
            <w:tcBorders>
              <w:top w:val="nil"/>
              <w:left w:val="nil"/>
              <w:bottom w:val="nil"/>
              <w:right w:val="nil"/>
            </w:tcBorders>
            <w:vAlign w:val="bottom"/>
            <w:hideMark/>
          </w:tcPr>
          <w:p w14:paraId="5CA71099"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601" w:type="pct"/>
            <w:tcBorders>
              <w:top w:val="nil"/>
              <w:left w:val="nil"/>
              <w:bottom w:val="nil"/>
              <w:right w:val="nil"/>
            </w:tcBorders>
            <w:vAlign w:val="bottom"/>
            <w:hideMark/>
          </w:tcPr>
          <w:p w14:paraId="1034B71E" w14:textId="77777777" w:rsidR="00A74C68" w:rsidRPr="00471CBA" w:rsidRDefault="00A74C68" w:rsidP="00F36B82">
            <w:pPr>
              <w:spacing w:line="226" w:lineRule="auto"/>
              <w:jc w:val="right"/>
              <w:rPr>
                <w:color w:val="000000"/>
                <w:sz w:val="16"/>
                <w:szCs w:val="16"/>
              </w:rPr>
            </w:pPr>
            <w:r w:rsidRPr="00471CBA">
              <w:rPr>
                <w:color w:val="000000"/>
                <w:sz w:val="16"/>
                <w:szCs w:val="16"/>
              </w:rPr>
              <w:t>5.187.857</w:t>
            </w:r>
          </w:p>
        </w:tc>
      </w:tr>
      <w:tr w:rsidR="00A74C68" w:rsidRPr="00471CBA" w14:paraId="149DCAD2" w14:textId="77777777" w:rsidTr="00A74C68">
        <w:trPr>
          <w:divId w:val="758410951"/>
          <w:trHeight w:val="170"/>
        </w:trPr>
        <w:tc>
          <w:tcPr>
            <w:tcW w:w="1154" w:type="pct"/>
            <w:tcBorders>
              <w:top w:val="nil"/>
              <w:left w:val="nil"/>
              <w:bottom w:val="nil"/>
              <w:right w:val="nil"/>
            </w:tcBorders>
            <w:vAlign w:val="center"/>
            <w:hideMark/>
          </w:tcPr>
          <w:p w14:paraId="2ED7246C" w14:textId="77777777" w:rsidR="00A74C68" w:rsidRPr="00471CBA" w:rsidRDefault="00A74C68" w:rsidP="00F36B82">
            <w:pPr>
              <w:spacing w:line="226" w:lineRule="auto"/>
              <w:rPr>
                <w:color w:val="000000"/>
                <w:sz w:val="16"/>
                <w:szCs w:val="16"/>
              </w:rPr>
            </w:pPr>
            <w:r w:rsidRPr="00471CBA">
              <w:rPr>
                <w:snapToGrid w:val="0"/>
                <w:color w:val="000000"/>
                <w:sz w:val="16"/>
                <w:szCs w:val="16"/>
              </w:rPr>
              <w:t>Verilen Krediler</w:t>
            </w:r>
          </w:p>
        </w:tc>
        <w:tc>
          <w:tcPr>
            <w:tcW w:w="455" w:type="pct"/>
            <w:tcBorders>
              <w:top w:val="nil"/>
              <w:left w:val="nil"/>
              <w:bottom w:val="nil"/>
              <w:right w:val="nil"/>
            </w:tcBorders>
            <w:vAlign w:val="bottom"/>
            <w:hideMark/>
          </w:tcPr>
          <w:p w14:paraId="0E9D167C" w14:textId="77777777" w:rsidR="00A74C68" w:rsidRPr="00471CBA" w:rsidRDefault="00A74C68" w:rsidP="00F36B82">
            <w:pPr>
              <w:spacing w:line="226" w:lineRule="auto"/>
              <w:jc w:val="right"/>
              <w:rPr>
                <w:color w:val="000000"/>
                <w:sz w:val="16"/>
                <w:szCs w:val="16"/>
              </w:rPr>
            </w:pPr>
            <w:r w:rsidRPr="00471CBA">
              <w:rPr>
                <w:color w:val="000000"/>
                <w:sz w:val="16"/>
                <w:szCs w:val="16"/>
              </w:rPr>
              <w:t>72.154</w:t>
            </w:r>
          </w:p>
        </w:tc>
        <w:tc>
          <w:tcPr>
            <w:tcW w:w="482" w:type="pct"/>
            <w:tcBorders>
              <w:top w:val="nil"/>
              <w:left w:val="nil"/>
              <w:bottom w:val="nil"/>
              <w:right w:val="nil"/>
            </w:tcBorders>
            <w:vAlign w:val="bottom"/>
            <w:hideMark/>
          </w:tcPr>
          <w:p w14:paraId="3B743EF5" w14:textId="77777777" w:rsidR="00A74C68" w:rsidRPr="00471CBA" w:rsidRDefault="00A74C68" w:rsidP="00F36B82">
            <w:pPr>
              <w:spacing w:line="226" w:lineRule="auto"/>
              <w:jc w:val="right"/>
              <w:rPr>
                <w:color w:val="000000"/>
                <w:sz w:val="16"/>
                <w:szCs w:val="16"/>
              </w:rPr>
            </w:pPr>
            <w:r w:rsidRPr="00471CBA">
              <w:rPr>
                <w:color w:val="000000"/>
                <w:sz w:val="16"/>
                <w:szCs w:val="16"/>
              </w:rPr>
              <w:t>5.661.976</w:t>
            </w:r>
          </w:p>
        </w:tc>
        <w:tc>
          <w:tcPr>
            <w:tcW w:w="446" w:type="pct"/>
            <w:tcBorders>
              <w:top w:val="nil"/>
              <w:left w:val="nil"/>
              <w:bottom w:val="nil"/>
              <w:right w:val="nil"/>
            </w:tcBorders>
            <w:vAlign w:val="bottom"/>
            <w:hideMark/>
          </w:tcPr>
          <w:p w14:paraId="75A00169" w14:textId="77777777" w:rsidR="00A74C68" w:rsidRPr="00471CBA" w:rsidRDefault="00A74C68" w:rsidP="00F36B82">
            <w:pPr>
              <w:spacing w:line="226" w:lineRule="auto"/>
              <w:jc w:val="right"/>
              <w:rPr>
                <w:color w:val="000000"/>
                <w:sz w:val="16"/>
                <w:szCs w:val="16"/>
              </w:rPr>
            </w:pPr>
            <w:r w:rsidRPr="00471CBA">
              <w:rPr>
                <w:color w:val="000000"/>
                <w:sz w:val="16"/>
                <w:szCs w:val="16"/>
              </w:rPr>
              <w:t>8.206.647</w:t>
            </w:r>
          </w:p>
        </w:tc>
        <w:tc>
          <w:tcPr>
            <w:tcW w:w="417" w:type="pct"/>
            <w:tcBorders>
              <w:top w:val="nil"/>
              <w:left w:val="nil"/>
              <w:bottom w:val="nil"/>
              <w:right w:val="nil"/>
            </w:tcBorders>
            <w:vAlign w:val="bottom"/>
            <w:hideMark/>
          </w:tcPr>
          <w:p w14:paraId="16631321" w14:textId="77777777" w:rsidR="00A74C68" w:rsidRPr="00471CBA" w:rsidRDefault="00A74C68" w:rsidP="00F36B82">
            <w:pPr>
              <w:spacing w:line="226" w:lineRule="auto"/>
              <w:jc w:val="right"/>
              <w:rPr>
                <w:color w:val="000000"/>
                <w:sz w:val="16"/>
                <w:szCs w:val="16"/>
              </w:rPr>
            </w:pPr>
            <w:r w:rsidRPr="00471CBA">
              <w:rPr>
                <w:color w:val="000000"/>
                <w:sz w:val="16"/>
                <w:szCs w:val="16"/>
              </w:rPr>
              <w:t>26.779.019</w:t>
            </w:r>
          </w:p>
        </w:tc>
        <w:tc>
          <w:tcPr>
            <w:tcW w:w="446" w:type="pct"/>
            <w:tcBorders>
              <w:top w:val="nil"/>
              <w:left w:val="nil"/>
              <w:bottom w:val="nil"/>
              <w:right w:val="nil"/>
            </w:tcBorders>
            <w:vAlign w:val="bottom"/>
            <w:hideMark/>
          </w:tcPr>
          <w:p w14:paraId="71E1A7BC" w14:textId="77777777" w:rsidR="00A74C68" w:rsidRPr="00471CBA" w:rsidRDefault="00A74C68" w:rsidP="00F36B82">
            <w:pPr>
              <w:spacing w:line="226" w:lineRule="auto"/>
              <w:jc w:val="right"/>
              <w:rPr>
                <w:color w:val="000000"/>
                <w:sz w:val="16"/>
                <w:szCs w:val="16"/>
              </w:rPr>
            </w:pPr>
            <w:r w:rsidRPr="00471CBA">
              <w:rPr>
                <w:color w:val="000000"/>
                <w:sz w:val="16"/>
                <w:szCs w:val="16"/>
              </w:rPr>
              <w:t>13.235.542</w:t>
            </w:r>
          </w:p>
        </w:tc>
        <w:tc>
          <w:tcPr>
            <w:tcW w:w="398" w:type="pct"/>
            <w:tcBorders>
              <w:top w:val="nil"/>
              <w:left w:val="nil"/>
              <w:bottom w:val="nil"/>
              <w:right w:val="nil"/>
            </w:tcBorders>
            <w:vAlign w:val="bottom"/>
            <w:hideMark/>
          </w:tcPr>
          <w:p w14:paraId="78ECD3D3" w14:textId="77777777" w:rsidR="00A74C68" w:rsidRPr="00471CBA" w:rsidRDefault="00A74C68" w:rsidP="00F36B82">
            <w:pPr>
              <w:spacing w:line="226" w:lineRule="auto"/>
              <w:jc w:val="right"/>
              <w:rPr>
                <w:color w:val="000000"/>
                <w:sz w:val="16"/>
                <w:szCs w:val="16"/>
              </w:rPr>
            </w:pPr>
            <w:r w:rsidRPr="00471CBA">
              <w:rPr>
                <w:color w:val="000000"/>
                <w:sz w:val="16"/>
                <w:szCs w:val="16"/>
              </w:rPr>
              <w:t>347.598</w:t>
            </w:r>
          </w:p>
        </w:tc>
        <w:tc>
          <w:tcPr>
            <w:tcW w:w="600" w:type="pct"/>
            <w:tcBorders>
              <w:top w:val="nil"/>
              <w:left w:val="nil"/>
              <w:bottom w:val="nil"/>
              <w:right w:val="nil"/>
            </w:tcBorders>
            <w:vAlign w:val="bottom"/>
            <w:hideMark/>
          </w:tcPr>
          <w:p w14:paraId="308741A9"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601" w:type="pct"/>
            <w:tcBorders>
              <w:top w:val="nil"/>
              <w:left w:val="nil"/>
              <w:bottom w:val="nil"/>
              <w:right w:val="nil"/>
            </w:tcBorders>
            <w:vAlign w:val="bottom"/>
            <w:hideMark/>
          </w:tcPr>
          <w:p w14:paraId="4FEEBB8C" w14:textId="77777777" w:rsidR="00A74C68" w:rsidRPr="00471CBA" w:rsidRDefault="00A74C68" w:rsidP="00F36B82">
            <w:pPr>
              <w:spacing w:line="226" w:lineRule="auto"/>
              <w:jc w:val="right"/>
              <w:rPr>
                <w:color w:val="000000"/>
                <w:sz w:val="16"/>
                <w:szCs w:val="16"/>
              </w:rPr>
            </w:pPr>
            <w:r w:rsidRPr="00471CBA">
              <w:rPr>
                <w:color w:val="000000"/>
                <w:sz w:val="16"/>
                <w:szCs w:val="16"/>
              </w:rPr>
              <w:t>54.302.936</w:t>
            </w:r>
          </w:p>
        </w:tc>
      </w:tr>
      <w:tr w:rsidR="00A74C68" w:rsidRPr="00471CBA" w14:paraId="4DC7EEBB" w14:textId="77777777" w:rsidTr="00A74C68">
        <w:trPr>
          <w:divId w:val="758410951"/>
          <w:trHeight w:val="170"/>
        </w:trPr>
        <w:tc>
          <w:tcPr>
            <w:tcW w:w="1154" w:type="pct"/>
            <w:tcBorders>
              <w:top w:val="nil"/>
              <w:left w:val="nil"/>
              <w:bottom w:val="nil"/>
              <w:right w:val="nil"/>
            </w:tcBorders>
            <w:vAlign w:val="center"/>
            <w:hideMark/>
          </w:tcPr>
          <w:p w14:paraId="047A8F6B" w14:textId="77777777" w:rsidR="00A74C68" w:rsidRPr="00471CBA" w:rsidRDefault="00A74C68" w:rsidP="00F36B82">
            <w:pPr>
              <w:spacing w:line="226" w:lineRule="auto"/>
              <w:rPr>
                <w:color w:val="000000"/>
                <w:sz w:val="16"/>
                <w:szCs w:val="16"/>
              </w:rPr>
            </w:pPr>
            <w:r w:rsidRPr="00471CBA">
              <w:rPr>
                <w:snapToGrid w:val="0"/>
                <w:color w:val="000000"/>
                <w:sz w:val="16"/>
                <w:szCs w:val="16"/>
              </w:rPr>
              <w:t>İtfa Edilmiş Maliyeti Üzerinden Değerlenen Finansal Varlıklar</w:t>
            </w:r>
          </w:p>
        </w:tc>
        <w:tc>
          <w:tcPr>
            <w:tcW w:w="455" w:type="pct"/>
            <w:tcBorders>
              <w:top w:val="nil"/>
              <w:left w:val="nil"/>
              <w:bottom w:val="nil"/>
              <w:right w:val="nil"/>
            </w:tcBorders>
            <w:vAlign w:val="bottom"/>
            <w:hideMark/>
          </w:tcPr>
          <w:p w14:paraId="6CDCA707"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482" w:type="pct"/>
            <w:tcBorders>
              <w:top w:val="nil"/>
              <w:left w:val="nil"/>
              <w:bottom w:val="nil"/>
              <w:right w:val="nil"/>
            </w:tcBorders>
            <w:vAlign w:val="bottom"/>
            <w:hideMark/>
          </w:tcPr>
          <w:p w14:paraId="6800A95B"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446" w:type="pct"/>
            <w:tcBorders>
              <w:top w:val="nil"/>
              <w:left w:val="nil"/>
              <w:bottom w:val="nil"/>
              <w:right w:val="nil"/>
            </w:tcBorders>
            <w:vAlign w:val="bottom"/>
            <w:hideMark/>
          </w:tcPr>
          <w:p w14:paraId="7C6E04F6"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417" w:type="pct"/>
            <w:tcBorders>
              <w:top w:val="nil"/>
              <w:left w:val="nil"/>
              <w:bottom w:val="nil"/>
              <w:right w:val="nil"/>
            </w:tcBorders>
            <w:vAlign w:val="bottom"/>
            <w:hideMark/>
          </w:tcPr>
          <w:p w14:paraId="23C149B4" w14:textId="77777777" w:rsidR="00A74C68" w:rsidRPr="00471CBA" w:rsidRDefault="00A74C68" w:rsidP="00F36B82">
            <w:pPr>
              <w:spacing w:line="226" w:lineRule="auto"/>
              <w:jc w:val="right"/>
              <w:rPr>
                <w:color w:val="000000"/>
                <w:sz w:val="16"/>
                <w:szCs w:val="16"/>
              </w:rPr>
            </w:pPr>
            <w:r w:rsidRPr="00471CBA">
              <w:rPr>
                <w:color w:val="000000"/>
                <w:sz w:val="16"/>
                <w:szCs w:val="16"/>
              </w:rPr>
              <w:t>249.879</w:t>
            </w:r>
          </w:p>
        </w:tc>
        <w:tc>
          <w:tcPr>
            <w:tcW w:w="446" w:type="pct"/>
            <w:tcBorders>
              <w:top w:val="nil"/>
              <w:left w:val="nil"/>
              <w:bottom w:val="nil"/>
              <w:right w:val="nil"/>
            </w:tcBorders>
            <w:vAlign w:val="bottom"/>
            <w:hideMark/>
          </w:tcPr>
          <w:p w14:paraId="49354D71" w14:textId="77777777" w:rsidR="00A74C68" w:rsidRPr="00471CBA" w:rsidRDefault="00A74C68" w:rsidP="00F36B82">
            <w:pPr>
              <w:spacing w:line="226" w:lineRule="auto"/>
              <w:jc w:val="right"/>
              <w:rPr>
                <w:color w:val="000000"/>
                <w:sz w:val="16"/>
                <w:szCs w:val="16"/>
              </w:rPr>
            </w:pPr>
            <w:r w:rsidRPr="00471CBA">
              <w:rPr>
                <w:color w:val="000000"/>
                <w:sz w:val="16"/>
                <w:szCs w:val="16"/>
              </w:rPr>
              <w:t>500.757</w:t>
            </w:r>
          </w:p>
        </w:tc>
        <w:tc>
          <w:tcPr>
            <w:tcW w:w="398" w:type="pct"/>
            <w:tcBorders>
              <w:top w:val="nil"/>
              <w:left w:val="nil"/>
              <w:bottom w:val="nil"/>
              <w:right w:val="nil"/>
            </w:tcBorders>
            <w:vAlign w:val="bottom"/>
            <w:hideMark/>
          </w:tcPr>
          <w:p w14:paraId="1CE8B3BB"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600" w:type="pct"/>
            <w:tcBorders>
              <w:top w:val="nil"/>
              <w:left w:val="nil"/>
              <w:bottom w:val="nil"/>
              <w:right w:val="nil"/>
            </w:tcBorders>
            <w:vAlign w:val="bottom"/>
            <w:hideMark/>
          </w:tcPr>
          <w:p w14:paraId="2643D1F2"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601" w:type="pct"/>
            <w:tcBorders>
              <w:top w:val="nil"/>
              <w:left w:val="nil"/>
              <w:bottom w:val="nil"/>
              <w:right w:val="nil"/>
            </w:tcBorders>
            <w:vAlign w:val="bottom"/>
            <w:hideMark/>
          </w:tcPr>
          <w:p w14:paraId="12D9EF8F" w14:textId="77777777" w:rsidR="00A74C68" w:rsidRPr="00471CBA" w:rsidRDefault="00A74C68" w:rsidP="00F36B82">
            <w:pPr>
              <w:spacing w:line="226" w:lineRule="auto"/>
              <w:jc w:val="right"/>
              <w:rPr>
                <w:color w:val="000000"/>
                <w:sz w:val="16"/>
                <w:szCs w:val="16"/>
              </w:rPr>
            </w:pPr>
            <w:r w:rsidRPr="00471CBA">
              <w:rPr>
                <w:color w:val="000000"/>
                <w:sz w:val="16"/>
                <w:szCs w:val="16"/>
              </w:rPr>
              <w:t>750.636</w:t>
            </w:r>
          </w:p>
        </w:tc>
      </w:tr>
      <w:tr w:rsidR="00A74C68" w:rsidRPr="00471CBA" w14:paraId="79239613" w14:textId="77777777" w:rsidTr="00A74C68">
        <w:trPr>
          <w:divId w:val="758410951"/>
          <w:trHeight w:val="170"/>
        </w:trPr>
        <w:tc>
          <w:tcPr>
            <w:tcW w:w="1154" w:type="pct"/>
            <w:tcBorders>
              <w:top w:val="nil"/>
              <w:left w:val="nil"/>
              <w:bottom w:val="nil"/>
              <w:right w:val="nil"/>
            </w:tcBorders>
            <w:vAlign w:val="center"/>
            <w:hideMark/>
          </w:tcPr>
          <w:p w14:paraId="0A1E551A" w14:textId="77777777" w:rsidR="00A74C68" w:rsidRPr="00471CBA" w:rsidRDefault="00A74C68" w:rsidP="00F36B82">
            <w:pPr>
              <w:spacing w:line="226" w:lineRule="auto"/>
              <w:rPr>
                <w:color w:val="000000"/>
                <w:sz w:val="16"/>
                <w:szCs w:val="16"/>
              </w:rPr>
            </w:pPr>
            <w:r w:rsidRPr="00471CBA">
              <w:rPr>
                <w:snapToGrid w:val="0"/>
                <w:color w:val="000000"/>
                <w:sz w:val="16"/>
                <w:szCs w:val="16"/>
              </w:rPr>
              <w:t>Diğer Varlıklar</w:t>
            </w:r>
          </w:p>
        </w:tc>
        <w:tc>
          <w:tcPr>
            <w:tcW w:w="455" w:type="pct"/>
            <w:tcBorders>
              <w:top w:val="nil"/>
              <w:left w:val="nil"/>
              <w:bottom w:val="nil"/>
              <w:right w:val="nil"/>
            </w:tcBorders>
            <w:vAlign w:val="bottom"/>
            <w:hideMark/>
          </w:tcPr>
          <w:p w14:paraId="48B37FC4"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482" w:type="pct"/>
            <w:tcBorders>
              <w:top w:val="nil"/>
              <w:left w:val="nil"/>
              <w:bottom w:val="nil"/>
              <w:right w:val="nil"/>
            </w:tcBorders>
            <w:vAlign w:val="bottom"/>
            <w:hideMark/>
          </w:tcPr>
          <w:p w14:paraId="29395A52"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446" w:type="pct"/>
            <w:tcBorders>
              <w:top w:val="nil"/>
              <w:left w:val="nil"/>
              <w:bottom w:val="nil"/>
              <w:right w:val="nil"/>
            </w:tcBorders>
            <w:vAlign w:val="bottom"/>
            <w:hideMark/>
          </w:tcPr>
          <w:p w14:paraId="184AC6A5"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417" w:type="pct"/>
            <w:tcBorders>
              <w:top w:val="nil"/>
              <w:left w:val="nil"/>
              <w:bottom w:val="nil"/>
              <w:right w:val="nil"/>
            </w:tcBorders>
            <w:vAlign w:val="bottom"/>
            <w:hideMark/>
          </w:tcPr>
          <w:p w14:paraId="07B36D07"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446" w:type="pct"/>
            <w:tcBorders>
              <w:top w:val="nil"/>
              <w:left w:val="nil"/>
              <w:bottom w:val="nil"/>
              <w:right w:val="nil"/>
            </w:tcBorders>
            <w:vAlign w:val="bottom"/>
            <w:hideMark/>
          </w:tcPr>
          <w:p w14:paraId="096A6B28"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398" w:type="pct"/>
            <w:tcBorders>
              <w:top w:val="nil"/>
              <w:left w:val="nil"/>
              <w:bottom w:val="nil"/>
              <w:right w:val="nil"/>
            </w:tcBorders>
            <w:vAlign w:val="bottom"/>
            <w:hideMark/>
          </w:tcPr>
          <w:p w14:paraId="529D8731"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600" w:type="pct"/>
            <w:tcBorders>
              <w:top w:val="nil"/>
              <w:left w:val="nil"/>
              <w:bottom w:val="nil"/>
              <w:right w:val="nil"/>
            </w:tcBorders>
            <w:vAlign w:val="bottom"/>
            <w:hideMark/>
          </w:tcPr>
          <w:p w14:paraId="00583C58" w14:textId="77777777" w:rsidR="00A74C68" w:rsidRPr="00471CBA" w:rsidRDefault="00A74C68" w:rsidP="00F36B82">
            <w:pPr>
              <w:spacing w:line="226" w:lineRule="auto"/>
              <w:jc w:val="right"/>
              <w:rPr>
                <w:color w:val="000000"/>
                <w:sz w:val="16"/>
                <w:szCs w:val="16"/>
              </w:rPr>
            </w:pPr>
            <w:r w:rsidRPr="00471CBA">
              <w:rPr>
                <w:color w:val="000000"/>
                <w:sz w:val="16"/>
                <w:szCs w:val="16"/>
              </w:rPr>
              <w:t>2.431.935</w:t>
            </w:r>
          </w:p>
        </w:tc>
        <w:tc>
          <w:tcPr>
            <w:tcW w:w="601" w:type="pct"/>
            <w:tcBorders>
              <w:top w:val="nil"/>
              <w:left w:val="nil"/>
              <w:bottom w:val="nil"/>
              <w:right w:val="nil"/>
            </w:tcBorders>
            <w:vAlign w:val="bottom"/>
            <w:hideMark/>
          </w:tcPr>
          <w:p w14:paraId="540FB1C4" w14:textId="77777777" w:rsidR="00A74C68" w:rsidRPr="00471CBA" w:rsidRDefault="00A74C68" w:rsidP="00F36B82">
            <w:pPr>
              <w:spacing w:line="226" w:lineRule="auto"/>
              <w:jc w:val="right"/>
              <w:rPr>
                <w:color w:val="000000"/>
                <w:sz w:val="16"/>
                <w:szCs w:val="16"/>
              </w:rPr>
            </w:pPr>
            <w:r w:rsidRPr="00471CBA">
              <w:rPr>
                <w:color w:val="000000"/>
                <w:sz w:val="16"/>
                <w:szCs w:val="16"/>
              </w:rPr>
              <w:t>2.431.935</w:t>
            </w:r>
          </w:p>
        </w:tc>
      </w:tr>
      <w:tr w:rsidR="00A74C68" w:rsidRPr="00471CBA" w14:paraId="53523309" w14:textId="77777777" w:rsidTr="00A74C68">
        <w:trPr>
          <w:divId w:val="758410951"/>
          <w:trHeight w:val="170"/>
        </w:trPr>
        <w:tc>
          <w:tcPr>
            <w:tcW w:w="1154" w:type="pct"/>
            <w:tcBorders>
              <w:top w:val="nil"/>
              <w:left w:val="nil"/>
              <w:bottom w:val="nil"/>
              <w:right w:val="nil"/>
            </w:tcBorders>
            <w:vAlign w:val="center"/>
            <w:hideMark/>
          </w:tcPr>
          <w:p w14:paraId="65415860" w14:textId="77777777" w:rsidR="00A74C68" w:rsidRPr="00471CBA" w:rsidRDefault="00A74C68" w:rsidP="00F36B82">
            <w:pPr>
              <w:spacing w:line="226" w:lineRule="auto"/>
              <w:jc w:val="right"/>
              <w:rPr>
                <w:color w:val="000000"/>
                <w:sz w:val="16"/>
                <w:szCs w:val="16"/>
              </w:rPr>
            </w:pPr>
          </w:p>
        </w:tc>
        <w:tc>
          <w:tcPr>
            <w:tcW w:w="455" w:type="pct"/>
            <w:tcBorders>
              <w:top w:val="nil"/>
              <w:left w:val="nil"/>
              <w:bottom w:val="nil"/>
              <w:right w:val="nil"/>
            </w:tcBorders>
            <w:vAlign w:val="bottom"/>
            <w:hideMark/>
          </w:tcPr>
          <w:p w14:paraId="16E85649" w14:textId="77777777" w:rsidR="00A74C68" w:rsidRPr="00471CBA" w:rsidRDefault="00A74C68" w:rsidP="00F36B82">
            <w:pPr>
              <w:spacing w:line="226" w:lineRule="auto"/>
              <w:jc w:val="right"/>
              <w:rPr>
                <w:szCs w:val="20"/>
              </w:rPr>
            </w:pPr>
          </w:p>
        </w:tc>
        <w:tc>
          <w:tcPr>
            <w:tcW w:w="482" w:type="pct"/>
            <w:tcBorders>
              <w:top w:val="nil"/>
              <w:left w:val="nil"/>
              <w:bottom w:val="nil"/>
              <w:right w:val="nil"/>
            </w:tcBorders>
            <w:vAlign w:val="bottom"/>
            <w:hideMark/>
          </w:tcPr>
          <w:p w14:paraId="6A42E836" w14:textId="77777777" w:rsidR="00A74C68" w:rsidRPr="00471CBA" w:rsidRDefault="00A74C68" w:rsidP="00F36B82">
            <w:pPr>
              <w:spacing w:line="226" w:lineRule="auto"/>
              <w:jc w:val="right"/>
              <w:rPr>
                <w:szCs w:val="20"/>
              </w:rPr>
            </w:pPr>
          </w:p>
        </w:tc>
        <w:tc>
          <w:tcPr>
            <w:tcW w:w="446" w:type="pct"/>
            <w:tcBorders>
              <w:top w:val="nil"/>
              <w:left w:val="nil"/>
              <w:bottom w:val="nil"/>
              <w:right w:val="nil"/>
            </w:tcBorders>
            <w:vAlign w:val="bottom"/>
            <w:hideMark/>
          </w:tcPr>
          <w:p w14:paraId="23D35A94" w14:textId="77777777" w:rsidR="00A74C68" w:rsidRPr="00471CBA" w:rsidRDefault="00A74C68" w:rsidP="00F36B82">
            <w:pPr>
              <w:spacing w:line="226" w:lineRule="auto"/>
              <w:jc w:val="right"/>
              <w:rPr>
                <w:szCs w:val="20"/>
              </w:rPr>
            </w:pPr>
          </w:p>
        </w:tc>
        <w:tc>
          <w:tcPr>
            <w:tcW w:w="417" w:type="pct"/>
            <w:tcBorders>
              <w:top w:val="nil"/>
              <w:left w:val="nil"/>
              <w:bottom w:val="nil"/>
              <w:right w:val="nil"/>
            </w:tcBorders>
            <w:vAlign w:val="bottom"/>
            <w:hideMark/>
          </w:tcPr>
          <w:p w14:paraId="7E469603" w14:textId="77777777" w:rsidR="00A74C68" w:rsidRPr="00471CBA" w:rsidRDefault="00A74C68" w:rsidP="00F36B82">
            <w:pPr>
              <w:spacing w:line="226" w:lineRule="auto"/>
              <w:jc w:val="right"/>
              <w:rPr>
                <w:szCs w:val="20"/>
              </w:rPr>
            </w:pPr>
          </w:p>
        </w:tc>
        <w:tc>
          <w:tcPr>
            <w:tcW w:w="446" w:type="pct"/>
            <w:tcBorders>
              <w:top w:val="nil"/>
              <w:left w:val="nil"/>
              <w:bottom w:val="nil"/>
              <w:right w:val="nil"/>
            </w:tcBorders>
            <w:vAlign w:val="bottom"/>
            <w:hideMark/>
          </w:tcPr>
          <w:p w14:paraId="74F5DE68" w14:textId="77777777" w:rsidR="00A74C68" w:rsidRPr="00471CBA" w:rsidRDefault="00A74C68" w:rsidP="00F36B82">
            <w:pPr>
              <w:spacing w:line="226" w:lineRule="auto"/>
              <w:jc w:val="right"/>
              <w:rPr>
                <w:szCs w:val="20"/>
              </w:rPr>
            </w:pPr>
          </w:p>
        </w:tc>
        <w:tc>
          <w:tcPr>
            <w:tcW w:w="398" w:type="pct"/>
            <w:tcBorders>
              <w:top w:val="nil"/>
              <w:left w:val="nil"/>
              <w:bottom w:val="nil"/>
              <w:right w:val="nil"/>
            </w:tcBorders>
            <w:vAlign w:val="bottom"/>
            <w:hideMark/>
          </w:tcPr>
          <w:p w14:paraId="17623C96" w14:textId="77777777" w:rsidR="00A74C68" w:rsidRPr="00471CBA" w:rsidRDefault="00A74C68" w:rsidP="00F36B82">
            <w:pPr>
              <w:spacing w:line="226" w:lineRule="auto"/>
              <w:jc w:val="right"/>
              <w:rPr>
                <w:szCs w:val="20"/>
              </w:rPr>
            </w:pPr>
          </w:p>
        </w:tc>
        <w:tc>
          <w:tcPr>
            <w:tcW w:w="600" w:type="pct"/>
            <w:tcBorders>
              <w:top w:val="nil"/>
              <w:left w:val="nil"/>
              <w:bottom w:val="nil"/>
              <w:right w:val="nil"/>
            </w:tcBorders>
            <w:vAlign w:val="bottom"/>
            <w:hideMark/>
          </w:tcPr>
          <w:p w14:paraId="2EBB0343" w14:textId="77777777" w:rsidR="00A74C68" w:rsidRPr="00471CBA" w:rsidRDefault="00A74C68" w:rsidP="00F36B82">
            <w:pPr>
              <w:spacing w:line="226" w:lineRule="auto"/>
              <w:jc w:val="right"/>
              <w:rPr>
                <w:szCs w:val="20"/>
              </w:rPr>
            </w:pPr>
          </w:p>
        </w:tc>
        <w:tc>
          <w:tcPr>
            <w:tcW w:w="601" w:type="pct"/>
            <w:tcBorders>
              <w:top w:val="nil"/>
              <w:left w:val="nil"/>
              <w:bottom w:val="nil"/>
              <w:right w:val="nil"/>
            </w:tcBorders>
            <w:vAlign w:val="bottom"/>
            <w:hideMark/>
          </w:tcPr>
          <w:p w14:paraId="5778E0BA" w14:textId="77777777" w:rsidR="00A74C68" w:rsidRPr="00471CBA" w:rsidRDefault="00A74C68" w:rsidP="00F36B82">
            <w:pPr>
              <w:spacing w:line="226" w:lineRule="auto"/>
              <w:jc w:val="right"/>
              <w:rPr>
                <w:szCs w:val="20"/>
              </w:rPr>
            </w:pPr>
          </w:p>
        </w:tc>
      </w:tr>
      <w:tr w:rsidR="00A74C68" w:rsidRPr="00471CBA" w14:paraId="7EAB9A34" w14:textId="77777777" w:rsidTr="00A74C68">
        <w:trPr>
          <w:divId w:val="758410951"/>
          <w:trHeight w:val="170"/>
        </w:trPr>
        <w:tc>
          <w:tcPr>
            <w:tcW w:w="1154" w:type="pct"/>
            <w:tcBorders>
              <w:top w:val="single" w:sz="4" w:space="0" w:color="auto"/>
              <w:left w:val="nil"/>
              <w:bottom w:val="single" w:sz="4" w:space="0" w:color="auto"/>
              <w:right w:val="nil"/>
            </w:tcBorders>
            <w:vAlign w:val="center"/>
            <w:hideMark/>
          </w:tcPr>
          <w:p w14:paraId="137CB697" w14:textId="77777777" w:rsidR="00A74C68" w:rsidRPr="00471CBA" w:rsidRDefault="00A74C68" w:rsidP="00F36B82">
            <w:pPr>
              <w:spacing w:line="226" w:lineRule="auto"/>
              <w:rPr>
                <w:b/>
                <w:bCs/>
                <w:color w:val="000000"/>
                <w:sz w:val="16"/>
                <w:szCs w:val="16"/>
              </w:rPr>
            </w:pPr>
            <w:r w:rsidRPr="00471CBA">
              <w:rPr>
                <w:b/>
                <w:bCs/>
                <w:color w:val="000000"/>
                <w:sz w:val="16"/>
                <w:szCs w:val="16"/>
              </w:rPr>
              <w:t>Toplam Varlıklar</w:t>
            </w:r>
          </w:p>
        </w:tc>
        <w:tc>
          <w:tcPr>
            <w:tcW w:w="455" w:type="pct"/>
            <w:tcBorders>
              <w:top w:val="single" w:sz="4" w:space="0" w:color="auto"/>
              <w:left w:val="nil"/>
              <w:bottom w:val="single" w:sz="4" w:space="0" w:color="auto"/>
              <w:right w:val="nil"/>
            </w:tcBorders>
            <w:vAlign w:val="bottom"/>
            <w:hideMark/>
          </w:tcPr>
          <w:p w14:paraId="32757BEC"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21.141.607</w:t>
            </w:r>
          </w:p>
        </w:tc>
        <w:tc>
          <w:tcPr>
            <w:tcW w:w="482" w:type="pct"/>
            <w:tcBorders>
              <w:top w:val="single" w:sz="4" w:space="0" w:color="auto"/>
              <w:left w:val="nil"/>
              <w:bottom w:val="single" w:sz="4" w:space="0" w:color="auto"/>
              <w:right w:val="nil"/>
            </w:tcBorders>
            <w:vAlign w:val="bottom"/>
            <w:hideMark/>
          </w:tcPr>
          <w:p w14:paraId="601FE7FF"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21.602.389</w:t>
            </w:r>
          </w:p>
        </w:tc>
        <w:tc>
          <w:tcPr>
            <w:tcW w:w="446" w:type="pct"/>
            <w:tcBorders>
              <w:top w:val="single" w:sz="4" w:space="0" w:color="auto"/>
              <w:left w:val="nil"/>
              <w:bottom w:val="single" w:sz="4" w:space="0" w:color="auto"/>
              <w:right w:val="nil"/>
            </w:tcBorders>
            <w:vAlign w:val="bottom"/>
            <w:hideMark/>
          </w:tcPr>
          <w:p w14:paraId="4314049E"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8.407.124</w:t>
            </w:r>
          </w:p>
        </w:tc>
        <w:tc>
          <w:tcPr>
            <w:tcW w:w="417" w:type="pct"/>
            <w:tcBorders>
              <w:top w:val="single" w:sz="4" w:space="0" w:color="auto"/>
              <w:left w:val="nil"/>
              <w:bottom w:val="single" w:sz="4" w:space="0" w:color="auto"/>
              <w:right w:val="nil"/>
            </w:tcBorders>
            <w:vAlign w:val="bottom"/>
            <w:hideMark/>
          </w:tcPr>
          <w:p w14:paraId="7201F936"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28.125.244</w:t>
            </w:r>
          </w:p>
        </w:tc>
        <w:tc>
          <w:tcPr>
            <w:tcW w:w="446" w:type="pct"/>
            <w:tcBorders>
              <w:top w:val="single" w:sz="4" w:space="0" w:color="auto"/>
              <w:left w:val="nil"/>
              <w:bottom w:val="single" w:sz="4" w:space="0" w:color="auto"/>
              <w:right w:val="nil"/>
            </w:tcBorders>
            <w:vAlign w:val="bottom"/>
            <w:hideMark/>
          </w:tcPr>
          <w:p w14:paraId="50C28853"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17.622.257</w:t>
            </w:r>
          </w:p>
        </w:tc>
        <w:tc>
          <w:tcPr>
            <w:tcW w:w="398" w:type="pct"/>
            <w:tcBorders>
              <w:top w:val="single" w:sz="4" w:space="0" w:color="auto"/>
              <w:left w:val="nil"/>
              <w:bottom w:val="single" w:sz="4" w:space="0" w:color="auto"/>
              <w:right w:val="nil"/>
            </w:tcBorders>
            <w:vAlign w:val="bottom"/>
            <w:hideMark/>
          </w:tcPr>
          <w:p w14:paraId="51F4ADCB"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347.598</w:t>
            </w:r>
          </w:p>
        </w:tc>
        <w:tc>
          <w:tcPr>
            <w:tcW w:w="600" w:type="pct"/>
            <w:tcBorders>
              <w:top w:val="single" w:sz="4" w:space="0" w:color="auto"/>
              <w:left w:val="nil"/>
              <w:bottom w:val="single" w:sz="4" w:space="0" w:color="auto"/>
              <w:right w:val="nil"/>
            </w:tcBorders>
            <w:vAlign w:val="bottom"/>
            <w:hideMark/>
          </w:tcPr>
          <w:p w14:paraId="32BC3630"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2.431.935</w:t>
            </w:r>
          </w:p>
        </w:tc>
        <w:tc>
          <w:tcPr>
            <w:tcW w:w="601" w:type="pct"/>
            <w:tcBorders>
              <w:top w:val="single" w:sz="4" w:space="0" w:color="auto"/>
              <w:left w:val="nil"/>
              <w:bottom w:val="single" w:sz="4" w:space="0" w:color="auto"/>
              <w:right w:val="nil"/>
            </w:tcBorders>
            <w:vAlign w:val="bottom"/>
            <w:hideMark/>
          </w:tcPr>
          <w:p w14:paraId="7977A96C"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99.678.154</w:t>
            </w:r>
          </w:p>
        </w:tc>
      </w:tr>
      <w:tr w:rsidR="00A74C68" w:rsidRPr="00471CBA" w14:paraId="0C9E6AF4" w14:textId="77777777" w:rsidTr="00A74C68">
        <w:trPr>
          <w:divId w:val="758410951"/>
          <w:trHeight w:val="170"/>
        </w:trPr>
        <w:tc>
          <w:tcPr>
            <w:tcW w:w="1154" w:type="pct"/>
            <w:tcBorders>
              <w:top w:val="nil"/>
              <w:left w:val="nil"/>
              <w:bottom w:val="nil"/>
              <w:right w:val="nil"/>
            </w:tcBorders>
            <w:vAlign w:val="center"/>
            <w:hideMark/>
          </w:tcPr>
          <w:p w14:paraId="1847B467" w14:textId="77777777" w:rsidR="00A74C68" w:rsidRPr="00471CBA" w:rsidRDefault="00A74C68" w:rsidP="00F36B82">
            <w:pPr>
              <w:spacing w:line="226" w:lineRule="auto"/>
              <w:jc w:val="right"/>
              <w:rPr>
                <w:b/>
                <w:bCs/>
                <w:color w:val="000000"/>
                <w:sz w:val="16"/>
                <w:szCs w:val="16"/>
              </w:rPr>
            </w:pPr>
          </w:p>
        </w:tc>
        <w:tc>
          <w:tcPr>
            <w:tcW w:w="455" w:type="pct"/>
            <w:tcBorders>
              <w:top w:val="nil"/>
              <w:left w:val="nil"/>
              <w:bottom w:val="nil"/>
              <w:right w:val="nil"/>
            </w:tcBorders>
            <w:vAlign w:val="bottom"/>
            <w:hideMark/>
          </w:tcPr>
          <w:p w14:paraId="11E0A278" w14:textId="77777777" w:rsidR="00A74C68" w:rsidRPr="00471CBA" w:rsidRDefault="00A74C68" w:rsidP="00F36B82">
            <w:pPr>
              <w:spacing w:line="226" w:lineRule="auto"/>
              <w:jc w:val="right"/>
              <w:rPr>
                <w:szCs w:val="20"/>
              </w:rPr>
            </w:pPr>
          </w:p>
        </w:tc>
        <w:tc>
          <w:tcPr>
            <w:tcW w:w="482" w:type="pct"/>
            <w:tcBorders>
              <w:top w:val="nil"/>
              <w:left w:val="nil"/>
              <w:bottom w:val="nil"/>
              <w:right w:val="nil"/>
            </w:tcBorders>
            <w:vAlign w:val="bottom"/>
            <w:hideMark/>
          </w:tcPr>
          <w:p w14:paraId="71C5A145" w14:textId="77777777" w:rsidR="00A74C68" w:rsidRPr="00471CBA" w:rsidRDefault="00A74C68" w:rsidP="00F36B82">
            <w:pPr>
              <w:spacing w:line="226" w:lineRule="auto"/>
              <w:jc w:val="right"/>
              <w:rPr>
                <w:szCs w:val="20"/>
              </w:rPr>
            </w:pPr>
          </w:p>
        </w:tc>
        <w:tc>
          <w:tcPr>
            <w:tcW w:w="446" w:type="pct"/>
            <w:tcBorders>
              <w:top w:val="nil"/>
              <w:left w:val="nil"/>
              <w:bottom w:val="nil"/>
              <w:right w:val="nil"/>
            </w:tcBorders>
            <w:vAlign w:val="bottom"/>
            <w:hideMark/>
          </w:tcPr>
          <w:p w14:paraId="45C8BF70" w14:textId="77777777" w:rsidR="00A74C68" w:rsidRPr="00471CBA" w:rsidRDefault="00A74C68" w:rsidP="00F36B82">
            <w:pPr>
              <w:spacing w:line="226" w:lineRule="auto"/>
              <w:jc w:val="right"/>
              <w:rPr>
                <w:szCs w:val="20"/>
              </w:rPr>
            </w:pPr>
          </w:p>
        </w:tc>
        <w:tc>
          <w:tcPr>
            <w:tcW w:w="417" w:type="pct"/>
            <w:tcBorders>
              <w:top w:val="nil"/>
              <w:left w:val="nil"/>
              <w:bottom w:val="nil"/>
              <w:right w:val="nil"/>
            </w:tcBorders>
            <w:vAlign w:val="bottom"/>
            <w:hideMark/>
          </w:tcPr>
          <w:p w14:paraId="416510C4" w14:textId="77777777" w:rsidR="00A74C68" w:rsidRPr="00471CBA" w:rsidRDefault="00A74C68" w:rsidP="00F36B82">
            <w:pPr>
              <w:spacing w:line="226" w:lineRule="auto"/>
              <w:jc w:val="right"/>
              <w:rPr>
                <w:szCs w:val="20"/>
              </w:rPr>
            </w:pPr>
          </w:p>
        </w:tc>
        <w:tc>
          <w:tcPr>
            <w:tcW w:w="446" w:type="pct"/>
            <w:tcBorders>
              <w:top w:val="nil"/>
              <w:left w:val="nil"/>
              <w:bottom w:val="nil"/>
              <w:right w:val="nil"/>
            </w:tcBorders>
            <w:vAlign w:val="bottom"/>
            <w:hideMark/>
          </w:tcPr>
          <w:p w14:paraId="5D410A51" w14:textId="77777777" w:rsidR="00A74C68" w:rsidRPr="00471CBA" w:rsidRDefault="00A74C68" w:rsidP="00F36B82">
            <w:pPr>
              <w:spacing w:line="226" w:lineRule="auto"/>
              <w:jc w:val="right"/>
              <w:rPr>
                <w:szCs w:val="20"/>
              </w:rPr>
            </w:pPr>
          </w:p>
        </w:tc>
        <w:tc>
          <w:tcPr>
            <w:tcW w:w="398" w:type="pct"/>
            <w:tcBorders>
              <w:top w:val="nil"/>
              <w:left w:val="nil"/>
              <w:bottom w:val="nil"/>
              <w:right w:val="nil"/>
            </w:tcBorders>
            <w:vAlign w:val="bottom"/>
            <w:hideMark/>
          </w:tcPr>
          <w:p w14:paraId="23359A79" w14:textId="77777777" w:rsidR="00A74C68" w:rsidRPr="00471CBA" w:rsidRDefault="00A74C68" w:rsidP="00F36B82">
            <w:pPr>
              <w:spacing w:line="226" w:lineRule="auto"/>
              <w:jc w:val="right"/>
              <w:rPr>
                <w:szCs w:val="20"/>
              </w:rPr>
            </w:pPr>
          </w:p>
        </w:tc>
        <w:tc>
          <w:tcPr>
            <w:tcW w:w="600" w:type="pct"/>
            <w:tcBorders>
              <w:top w:val="nil"/>
              <w:left w:val="nil"/>
              <w:bottom w:val="nil"/>
              <w:right w:val="nil"/>
            </w:tcBorders>
            <w:vAlign w:val="bottom"/>
            <w:hideMark/>
          </w:tcPr>
          <w:p w14:paraId="5A73CDA7" w14:textId="77777777" w:rsidR="00A74C68" w:rsidRPr="00471CBA" w:rsidRDefault="00A74C68" w:rsidP="00F36B82">
            <w:pPr>
              <w:spacing w:line="226" w:lineRule="auto"/>
              <w:jc w:val="right"/>
              <w:rPr>
                <w:szCs w:val="20"/>
              </w:rPr>
            </w:pPr>
          </w:p>
        </w:tc>
        <w:tc>
          <w:tcPr>
            <w:tcW w:w="601" w:type="pct"/>
            <w:tcBorders>
              <w:top w:val="nil"/>
              <w:left w:val="nil"/>
              <w:bottom w:val="nil"/>
              <w:right w:val="nil"/>
            </w:tcBorders>
            <w:vAlign w:val="bottom"/>
            <w:hideMark/>
          </w:tcPr>
          <w:p w14:paraId="27A55444" w14:textId="77777777" w:rsidR="00A74C68" w:rsidRPr="00471CBA" w:rsidRDefault="00A74C68" w:rsidP="00F36B82">
            <w:pPr>
              <w:spacing w:line="226" w:lineRule="auto"/>
              <w:jc w:val="right"/>
              <w:rPr>
                <w:szCs w:val="20"/>
              </w:rPr>
            </w:pPr>
          </w:p>
        </w:tc>
      </w:tr>
      <w:tr w:rsidR="00A74C68" w:rsidRPr="00471CBA" w14:paraId="4E3B8CEE" w14:textId="77777777" w:rsidTr="00A74C68">
        <w:trPr>
          <w:divId w:val="758410951"/>
          <w:trHeight w:val="170"/>
        </w:trPr>
        <w:tc>
          <w:tcPr>
            <w:tcW w:w="1154" w:type="pct"/>
            <w:tcBorders>
              <w:top w:val="nil"/>
              <w:left w:val="nil"/>
              <w:bottom w:val="nil"/>
              <w:right w:val="nil"/>
            </w:tcBorders>
            <w:vAlign w:val="center"/>
            <w:hideMark/>
          </w:tcPr>
          <w:p w14:paraId="3479D999" w14:textId="77777777" w:rsidR="00A74C68" w:rsidRPr="00471CBA" w:rsidRDefault="00A74C68" w:rsidP="00F36B82">
            <w:pPr>
              <w:spacing w:line="226" w:lineRule="auto"/>
              <w:jc w:val="both"/>
              <w:rPr>
                <w:b/>
                <w:bCs/>
                <w:color w:val="000000"/>
                <w:sz w:val="16"/>
                <w:szCs w:val="16"/>
              </w:rPr>
            </w:pPr>
            <w:r w:rsidRPr="00471CBA">
              <w:rPr>
                <w:b/>
                <w:bCs/>
                <w:color w:val="000000"/>
                <w:sz w:val="16"/>
                <w:szCs w:val="16"/>
              </w:rPr>
              <w:t>Yükümlülükler</w:t>
            </w:r>
          </w:p>
        </w:tc>
        <w:tc>
          <w:tcPr>
            <w:tcW w:w="455" w:type="pct"/>
            <w:tcBorders>
              <w:top w:val="nil"/>
              <w:left w:val="nil"/>
              <w:bottom w:val="nil"/>
              <w:right w:val="nil"/>
            </w:tcBorders>
            <w:vAlign w:val="bottom"/>
            <w:hideMark/>
          </w:tcPr>
          <w:p w14:paraId="419D9CF2" w14:textId="77777777" w:rsidR="00A74C68" w:rsidRPr="00471CBA" w:rsidRDefault="00A74C68" w:rsidP="00F36B82">
            <w:pPr>
              <w:spacing w:line="226" w:lineRule="auto"/>
              <w:jc w:val="right"/>
              <w:rPr>
                <w:b/>
                <w:bCs/>
                <w:color w:val="000000"/>
                <w:sz w:val="16"/>
                <w:szCs w:val="16"/>
              </w:rPr>
            </w:pPr>
          </w:p>
        </w:tc>
        <w:tc>
          <w:tcPr>
            <w:tcW w:w="482" w:type="pct"/>
            <w:tcBorders>
              <w:top w:val="nil"/>
              <w:left w:val="nil"/>
              <w:bottom w:val="nil"/>
              <w:right w:val="nil"/>
            </w:tcBorders>
            <w:vAlign w:val="bottom"/>
            <w:hideMark/>
          </w:tcPr>
          <w:p w14:paraId="569ACC00" w14:textId="77777777" w:rsidR="00A74C68" w:rsidRPr="00471CBA" w:rsidRDefault="00A74C68" w:rsidP="00F36B82">
            <w:pPr>
              <w:spacing w:line="226" w:lineRule="auto"/>
              <w:jc w:val="right"/>
              <w:rPr>
                <w:szCs w:val="20"/>
              </w:rPr>
            </w:pPr>
          </w:p>
        </w:tc>
        <w:tc>
          <w:tcPr>
            <w:tcW w:w="446" w:type="pct"/>
            <w:tcBorders>
              <w:top w:val="nil"/>
              <w:left w:val="nil"/>
              <w:bottom w:val="nil"/>
              <w:right w:val="nil"/>
            </w:tcBorders>
            <w:vAlign w:val="bottom"/>
            <w:hideMark/>
          </w:tcPr>
          <w:p w14:paraId="0B90FEE9" w14:textId="77777777" w:rsidR="00A74C68" w:rsidRPr="00471CBA" w:rsidRDefault="00A74C68" w:rsidP="00F36B82">
            <w:pPr>
              <w:spacing w:line="226" w:lineRule="auto"/>
              <w:jc w:val="right"/>
              <w:rPr>
                <w:szCs w:val="20"/>
              </w:rPr>
            </w:pPr>
          </w:p>
        </w:tc>
        <w:tc>
          <w:tcPr>
            <w:tcW w:w="417" w:type="pct"/>
            <w:tcBorders>
              <w:top w:val="nil"/>
              <w:left w:val="nil"/>
              <w:bottom w:val="nil"/>
              <w:right w:val="nil"/>
            </w:tcBorders>
            <w:vAlign w:val="bottom"/>
            <w:hideMark/>
          </w:tcPr>
          <w:p w14:paraId="548FDB21" w14:textId="77777777" w:rsidR="00A74C68" w:rsidRPr="00471CBA" w:rsidRDefault="00A74C68" w:rsidP="00F36B82">
            <w:pPr>
              <w:spacing w:line="226" w:lineRule="auto"/>
              <w:jc w:val="right"/>
              <w:rPr>
                <w:szCs w:val="20"/>
              </w:rPr>
            </w:pPr>
          </w:p>
        </w:tc>
        <w:tc>
          <w:tcPr>
            <w:tcW w:w="446" w:type="pct"/>
            <w:tcBorders>
              <w:top w:val="nil"/>
              <w:left w:val="nil"/>
              <w:bottom w:val="nil"/>
              <w:right w:val="nil"/>
            </w:tcBorders>
            <w:vAlign w:val="bottom"/>
            <w:hideMark/>
          </w:tcPr>
          <w:p w14:paraId="2DD65A74" w14:textId="77777777" w:rsidR="00A74C68" w:rsidRPr="00471CBA" w:rsidRDefault="00A74C68" w:rsidP="00F36B82">
            <w:pPr>
              <w:spacing w:line="226" w:lineRule="auto"/>
              <w:jc w:val="right"/>
              <w:rPr>
                <w:szCs w:val="20"/>
              </w:rPr>
            </w:pPr>
          </w:p>
        </w:tc>
        <w:tc>
          <w:tcPr>
            <w:tcW w:w="398" w:type="pct"/>
            <w:tcBorders>
              <w:top w:val="nil"/>
              <w:left w:val="nil"/>
              <w:bottom w:val="nil"/>
              <w:right w:val="nil"/>
            </w:tcBorders>
            <w:vAlign w:val="bottom"/>
            <w:hideMark/>
          </w:tcPr>
          <w:p w14:paraId="1358E956" w14:textId="77777777" w:rsidR="00A74C68" w:rsidRPr="00471CBA" w:rsidRDefault="00A74C68" w:rsidP="00F36B82">
            <w:pPr>
              <w:spacing w:line="226" w:lineRule="auto"/>
              <w:jc w:val="right"/>
              <w:rPr>
                <w:szCs w:val="20"/>
              </w:rPr>
            </w:pPr>
          </w:p>
        </w:tc>
        <w:tc>
          <w:tcPr>
            <w:tcW w:w="600" w:type="pct"/>
            <w:tcBorders>
              <w:top w:val="nil"/>
              <w:left w:val="nil"/>
              <w:bottom w:val="nil"/>
              <w:right w:val="nil"/>
            </w:tcBorders>
            <w:vAlign w:val="bottom"/>
            <w:hideMark/>
          </w:tcPr>
          <w:p w14:paraId="54FC4FDF" w14:textId="77777777" w:rsidR="00A74C68" w:rsidRPr="00471CBA" w:rsidRDefault="00A74C68" w:rsidP="00F36B82">
            <w:pPr>
              <w:spacing w:line="226" w:lineRule="auto"/>
              <w:jc w:val="right"/>
              <w:rPr>
                <w:szCs w:val="20"/>
              </w:rPr>
            </w:pPr>
          </w:p>
        </w:tc>
        <w:tc>
          <w:tcPr>
            <w:tcW w:w="601" w:type="pct"/>
            <w:tcBorders>
              <w:top w:val="nil"/>
              <w:left w:val="nil"/>
              <w:bottom w:val="nil"/>
              <w:right w:val="nil"/>
            </w:tcBorders>
            <w:vAlign w:val="bottom"/>
            <w:hideMark/>
          </w:tcPr>
          <w:p w14:paraId="6E9110B9" w14:textId="77777777" w:rsidR="00A74C68" w:rsidRPr="00471CBA" w:rsidRDefault="00A74C68" w:rsidP="00F36B82">
            <w:pPr>
              <w:spacing w:line="226" w:lineRule="auto"/>
              <w:jc w:val="right"/>
              <w:rPr>
                <w:szCs w:val="20"/>
              </w:rPr>
            </w:pPr>
          </w:p>
        </w:tc>
      </w:tr>
      <w:tr w:rsidR="00A74C68" w:rsidRPr="00471CBA" w14:paraId="1C9B1984" w14:textId="77777777" w:rsidTr="00A74C68">
        <w:trPr>
          <w:divId w:val="758410951"/>
          <w:trHeight w:val="170"/>
        </w:trPr>
        <w:tc>
          <w:tcPr>
            <w:tcW w:w="1154" w:type="pct"/>
            <w:tcBorders>
              <w:top w:val="nil"/>
              <w:left w:val="nil"/>
              <w:bottom w:val="nil"/>
              <w:right w:val="nil"/>
            </w:tcBorders>
            <w:vAlign w:val="center"/>
            <w:hideMark/>
          </w:tcPr>
          <w:p w14:paraId="5D9A6CE3" w14:textId="77777777" w:rsidR="00A74C68" w:rsidRPr="00471CBA" w:rsidRDefault="00A74C68" w:rsidP="00F36B82">
            <w:pPr>
              <w:spacing w:line="226" w:lineRule="auto"/>
              <w:rPr>
                <w:color w:val="000000"/>
                <w:sz w:val="16"/>
                <w:szCs w:val="16"/>
              </w:rPr>
            </w:pPr>
            <w:r w:rsidRPr="00471CBA">
              <w:rPr>
                <w:snapToGrid w:val="0"/>
                <w:color w:val="000000"/>
                <w:sz w:val="16"/>
                <w:szCs w:val="16"/>
              </w:rPr>
              <w:t>Özel Cari Hesap ve Katılma Hesapları Aracılığı ile Bankalardan Toplanan Fonlar</w:t>
            </w:r>
          </w:p>
        </w:tc>
        <w:tc>
          <w:tcPr>
            <w:tcW w:w="455" w:type="pct"/>
            <w:tcBorders>
              <w:top w:val="nil"/>
              <w:left w:val="nil"/>
              <w:bottom w:val="nil"/>
              <w:right w:val="nil"/>
            </w:tcBorders>
            <w:vAlign w:val="bottom"/>
            <w:hideMark/>
          </w:tcPr>
          <w:p w14:paraId="085025EC" w14:textId="77777777" w:rsidR="00A74C68" w:rsidRPr="00471CBA" w:rsidRDefault="00A74C68" w:rsidP="00F36B82">
            <w:pPr>
              <w:spacing w:line="226" w:lineRule="auto"/>
              <w:jc w:val="right"/>
              <w:rPr>
                <w:color w:val="000000"/>
                <w:sz w:val="16"/>
                <w:szCs w:val="16"/>
              </w:rPr>
            </w:pPr>
            <w:r w:rsidRPr="00471CBA">
              <w:rPr>
                <w:color w:val="000000"/>
                <w:sz w:val="16"/>
                <w:szCs w:val="16"/>
              </w:rPr>
              <w:t>4.353</w:t>
            </w:r>
          </w:p>
        </w:tc>
        <w:tc>
          <w:tcPr>
            <w:tcW w:w="482" w:type="pct"/>
            <w:tcBorders>
              <w:top w:val="nil"/>
              <w:left w:val="nil"/>
              <w:bottom w:val="nil"/>
              <w:right w:val="nil"/>
            </w:tcBorders>
            <w:vAlign w:val="bottom"/>
            <w:hideMark/>
          </w:tcPr>
          <w:p w14:paraId="05CB7FF7"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446" w:type="pct"/>
            <w:tcBorders>
              <w:top w:val="nil"/>
              <w:left w:val="nil"/>
              <w:bottom w:val="nil"/>
              <w:right w:val="nil"/>
            </w:tcBorders>
            <w:vAlign w:val="bottom"/>
            <w:hideMark/>
          </w:tcPr>
          <w:p w14:paraId="6AF8E72B"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417" w:type="pct"/>
            <w:tcBorders>
              <w:top w:val="nil"/>
              <w:left w:val="nil"/>
              <w:bottom w:val="nil"/>
              <w:right w:val="nil"/>
            </w:tcBorders>
            <w:vAlign w:val="bottom"/>
            <w:hideMark/>
          </w:tcPr>
          <w:p w14:paraId="69C93E8D"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446" w:type="pct"/>
            <w:tcBorders>
              <w:top w:val="nil"/>
              <w:left w:val="nil"/>
              <w:bottom w:val="nil"/>
              <w:right w:val="nil"/>
            </w:tcBorders>
            <w:vAlign w:val="bottom"/>
            <w:hideMark/>
          </w:tcPr>
          <w:p w14:paraId="687190A5"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398" w:type="pct"/>
            <w:tcBorders>
              <w:top w:val="nil"/>
              <w:left w:val="nil"/>
              <w:bottom w:val="nil"/>
              <w:right w:val="nil"/>
            </w:tcBorders>
            <w:vAlign w:val="bottom"/>
            <w:hideMark/>
          </w:tcPr>
          <w:p w14:paraId="67C6F995"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600" w:type="pct"/>
            <w:tcBorders>
              <w:top w:val="nil"/>
              <w:left w:val="nil"/>
              <w:bottom w:val="nil"/>
              <w:right w:val="nil"/>
            </w:tcBorders>
            <w:vAlign w:val="bottom"/>
            <w:hideMark/>
          </w:tcPr>
          <w:p w14:paraId="5761BBB1"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601" w:type="pct"/>
            <w:tcBorders>
              <w:top w:val="nil"/>
              <w:left w:val="nil"/>
              <w:bottom w:val="nil"/>
              <w:right w:val="nil"/>
            </w:tcBorders>
            <w:vAlign w:val="bottom"/>
            <w:hideMark/>
          </w:tcPr>
          <w:p w14:paraId="5B6A6B16" w14:textId="77777777" w:rsidR="00A74C68" w:rsidRPr="00471CBA" w:rsidRDefault="00A74C68" w:rsidP="00F36B82">
            <w:pPr>
              <w:spacing w:line="226" w:lineRule="auto"/>
              <w:jc w:val="right"/>
              <w:rPr>
                <w:color w:val="000000"/>
                <w:sz w:val="16"/>
                <w:szCs w:val="16"/>
              </w:rPr>
            </w:pPr>
            <w:r w:rsidRPr="00471CBA">
              <w:rPr>
                <w:color w:val="000000"/>
                <w:sz w:val="16"/>
                <w:szCs w:val="16"/>
              </w:rPr>
              <w:t>4.353</w:t>
            </w:r>
          </w:p>
        </w:tc>
      </w:tr>
      <w:tr w:rsidR="00A74C68" w:rsidRPr="00471CBA" w14:paraId="2FE6F981" w14:textId="77777777" w:rsidTr="00A74C68">
        <w:trPr>
          <w:divId w:val="758410951"/>
          <w:trHeight w:val="170"/>
        </w:trPr>
        <w:tc>
          <w:tcPr>
            <w:tcW w:w="1154" w:type="pct"/>
            <w:tcBorders>
              <w:top w:val="nil"/>
              <w:left w:val="nil"/>
              <w:bottom w:val="nil"/>
              <w:right w:val="nil"/>
            </w:tcBorders>
            <w:vAlign w:val="center"/>
            <w:hideMark/>
          </w:tcPr>
          <w:p w14:paraId="052E8D5C" w14:textId="77777777" w:rsidR="00A74C68" w:rsidRPr="00471CBA" w:rsidRDefault="00A74C68" w:rsidP="00F36B82">
            <w:pPr>
              <w:spacing w:line="226" w:lineRule="auto"/>
              <w:rPr>
                <w:color w:val="000000"/>
                <w:sz w:val="16"/>
                <w:szCs w:val="16"/>
              </w:rPr>
            </w:pPr>
            <w:r w:rsidRPr="00471CBA">
              <w:rPr>
                <w:color w:val="000000"/>
                <w:sz w:val="16"/>
                <w:szCs w:val="16"/>
              </w:rPr>
              <w:t>Diğer Özel Cari Hesap ve Katılma Hesapları</w:t>
            </w:r>
          </w:p>
        </w:tc>
        <w:tc>
          <w:tcPr>
            <w:tcW w:w="455" w:type="pct"/>
            <w:tcBorders>
              <w:top w:val="nil"/>
              <w:left w:val="nil"/>
              <w:bottom w:val="nil"/>
              <w:right w:val="nil"/>
            </w:tcBorders>
            <w:vAlign w:val="bottom"/>
            <w:hideMark/>
          </w:tcPr>
          <w:p w14:paraId="65F1C2EF" w14:textId="77777777" w:rsidR="00A74C68" w:rsidRPr="00471CBA" w:rsidRDefault="00A74C68" w:rsidP="00F36B82">
            <w:pPr>
              <w:spacing w:line="226" w:lineRule="auto"/>
              <w:jc w:val="right"/>
              <w:rPr>
                <w:color w:val="000000"/>
                <w:sz w:val="16"/>
                <w:szCs w:val="16"/>
              </w:rPr>
            </w:pPr>
            <w:r w:rsidRPr="00471CBA">
              <w:rPr>
                <w:color w:val="000000"/>
                <w:sz w:val="16"/>
                <w:szCs w:val="16"/>
              </w:rPr>
              <w:t>31.577.504</w:t>
            </w:r>
          </w:p>
        </w:tc>
        <w:tc>
          <w:tcPr>
            <w:tcW w:w="482" w:type="pct"/>
            <w:tcBorders>
              <w:top w:val="nil"/>
              <w:left w:val="nil"/>
              <w:bottom w:val="nil"/>
              <w:right w:val="nil"/>
            </w:tcBorders>
            <w:vAlign w:val="bottom"/>
            <w:hideMark/>
          </w:tcPr>
          <w:p w14:paraId="06D033BA" w14:textId="77777777" w:rsidR="00A74C68" w:rsidRPr="00471CBA" w:rsidRDefault="00A74C68" w:rsidP="00F36B82">
            <w:pPr>
              <w:spacing w:line="226" w:lineRule="auto"/>
              <w:jc w:val="right"/>
              <w:rPr>
                <w:color w:val="000000"/>
                <w:sz w:val="16"/>
                <w:szCs w:val="16"/>
              </w:rPr>
            </w:pPr>
            <w:r w:rsidRPr="00471CBA">
              <w:rPr>
                <w:color w:val="000000"/>
                <w:sz w:val="16"/>
                <w:szCs w:val="16"/>
              </w:rPr>
              <w:t>29.753.708</w:t>
            </w:r>
          </w:p>
        </w:tc>
        <w:tc>
          <w:tcPr>
            <w:tcW w:w="446" w:type="pct"/>
            <w:tcBorders>
              <w:top w:val="nil"/>
              <w:left w:val="nil"/>
              <w:bottom w:val="nil"/>
              <w:right w:val="nil"/>
            </w:tcBorders>
            <w:vAlign w:val="bottom"/>
            <w:hideMark/>
          </w:tcPr>
          <w:p w14:paraId="7C5D256F" w14:textId="77777777" w:rsidR="00A74C68" w:rsidRPr="00471CBA" w:rsidRDefault="00A74C68" w:rsidP="00F36B82">
            <w:pPr>
              <w:spacing w:line="226" w:lineRule="auto"/>
              <w:jc w:val="right"/>
              <w:rPr>
                <w:color w:val="000000"/>
                <w:sz w:val="16"/>
                <w:szCs w:val="16"/>
              </w:rPr>
            </w:pPr>
            <w:r w:rsidRPr="00471CBA">
              <w:rPr>
                <w:color w:val="000000"/>
                <w:sz w:val="16"/>
                <w:szCs w:val="16"/>
              </w:rPr>
              <w:t>11.804.037</w:t>
            </w:r>
          </w:p>
        </w:tc>
        <w:tc>
          <w:tcPr>
            <w:tcW w:w="417" w:type="pct"/>
            <w:tcBorders>
              <w:top w:val="nil"/>
              <w:left w:val="nil"/>
              <w:bottom w:val="nil"/>
              <w:right w:val="nil"/>
            </w:tcBorders>
            <w:vAlign w:val="bottom"/>
            <w:hideMark/>
          </w:tcPr>
          <w:p w14:paraId="1C71FC60" w14:textId="77777777" w:rsidR="00A74C68" w:rsidRPr="00471CBA" w:rsidRDefault="00A74C68" w:rsidP="00F36B82">
            <w:pPr>
              <w:spacing w:line="226" w:lineRule="auto"/>
              <w:jc w:val="right"/>
              <w:rPr>
                <w:color w:val="000000"/>
                <w:sz w:val="16"/>
                <w:szCs w:val="16"/>
              </w:rPr>
            </w:pPr>
            <w:r w:rsidRPr="00471CBA">
              <w:rPr>
                <w:color w:val="000000"/>
                <w:sz w:val="16"/>
                <w:szCs w:val="16"/>
              </w:rPr>
              <w:t>3.314.078</w:t>
            </w:r>
          </w:p>
        </w:tc>
        <w:tc>
          <w:tcPr>
            <w:tcW w:w="446" w:type="pct"/>
            <w:tcBorders>
              <w:top w:val="nil"/>
              <w:left w:val="nil"/>
              <w:bottom w:val="nil"/>
              <w:right w:val="nil"/>
            </w:tcBorders>
            <w:vAlign w:val="bottom"/>
            <w:hideMark/>
          </w:tcPr>
          <w:p w14:paraId="5BEBBBD3" w14:textId="77777777" w:rsidR="00A74C68" w:rsidRPr="00471CBA" w:rsidRDefault="00A74C68" w:rsidP="00F36B82">
            <w:pPr>
              <w:spacing w:line="226" w:lineRule="auto"/>
              <w:jc w:val="right"/>
              <w:rPr>
                <w:color w:val="000000"/>
                <w:sz w:val="16"/>
                <w:szCs w:val="16"/>
              </w:rPr>
            </w:pPr>
            <w:r w:rsidRPr="00471CBA">
              <w:rPr>
                <w:color w:val="000000"/>
                <w:sz w:val="16"/>
                <w:szCs w:val="16"/>
              </w:rPr>
              <w:t>13.094</w:t>
            </w:r>
          </w:p>
        </w:tc>
        <w:tc>
          <w:tcPr>
            <w:tcW w:w="398" w:type="pct"/>
            <w:tcBorders>
              <w:top w:val="nil"/>
              <w:left w:val="nil"/>
              <w:bottom w:val="nil"/>
              <w:right w:val="nil"/>
            </w:tcBorders>
            <w:vAlign w:val="bottom"/>
            <w:hideMark/>
          </w:tcPr>
          <w:p w14:paraId="7D917C65"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600" w:type="pct"/>
            <w:tcBorders>
              <w:top w:val="nil"/>
              <w:left w:val="nil"/>
              <w:bottom w:val="nil"/>
              <w:right w:val="nil"/>
            </w:tcBorders>
            <w:vAlign w:val="bottom"/>
            <w:hideMark/>
          </w:tcPr>
          <w:p w14:paraId="515E1A5D"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601" w:type="pct"/>
            <w:tcBorders>
              <w:top w:val="nil"/>
              <w:left w:val="nil"/>
              <w:bottom w:val="nil"/>
              <w:right w:val="nil"/>
            </w:tcBorders>
            <w:vAlign w:val="bottom"/>
            <w:hideMark/>
          </w:tcPr>
          <w:p w14:paraId="22263C60" w14:textId="77777777" w:rsidR="00A74C68" w:rsidRPr="00471CBA" w:rsidRDefault="00A74C68" w:rsidP="00F36B82">
            <w:pPr>
              <w:spacing w:line="226" w:lineRule="auto"/>
              <w:jc w:val="right"/>
              <w:rPr>
                <w:color w:val="000000"/>
                <w:sz w:val="16"/>
                <w:szCs w:val="16"/>
              </w:rPr>
            </w:pPr>
            <w:r w:rsidRPr="00471CBA">
              <w:rPr>
                <w:color w:val="000000"/>
                <w:sz w:val="16"/>
                <w:szCs w:val="16"/>
              </w:rPr>
              <w:t>76.462.421</w:t>
            </w:r>
          </w:p>
        </w:tc>
      </w:tr>
      <w:tr w:rsidR="00A74C68" w:rsidRPr="00471CBA" w14:paraId="379BFEA6" w14:textId="77777777" w:rsidTr="00A74C68">
        <w:trPr>
          <w:divId w:val="758410951"/>
          <w:trHeight w:val="170"/>
        </w:trPr>
        <w:tc>
          <w:tcPr>
            <w:tcW w:w="1154" w:type="pct"/>
            <w:tcBorders>
              <w:top w:val="nil"/>
              <w:left w:val="nil"/>
              <w:bottom w:val="nil"/>
              <w:right w:val="nil"/>
            </w:tcBorders>
            <w:vAlign w:val="center"/>
            <w:hideMark/>
          </w:tcPr>
          <w:p w14:paraId="4AFEA068" w14:textId="77777777" w:rsidR="00A74C68" w:rsidRPr="00471CBA" w:rsidRDefault="00A74C68" w:rsidP="00F36B82">
            <w:pPr>
              <w:spacing w:line="226" w:lineRule="auto"/>
              <w:rPr>
                <w:color w:val="000000"/>
                <w:sz w:val="16"/>
                <w:szCs w:val="16"/>
              </w:rPr>
            </w:pPr>
            <w:r w:rsidRPr="00471CBA">
              <w:rPr>
                <w:snapToGrid w:val="0"/>
                <w:color w:val="000000"/>
                <w:sz w:val="16"/>
                <w:szCs w:val="16"/>
              </w:rPr>
              <w:t>Diğer Mali Kuruluşlar. Sağlanan. Fonlar ve Sermaye Benzeri Krediler</w:t>
            </w:r>
          </w:p>
        </w:tc>
        <w:tc>
          <w:tcPr>
            <w:tcW w:w="455" w:type="pct"/>
            <w:tcBorders>
              <w:top w:val="nil"/>
              <w:left w:val="nil"/>
              <w:bottom w:val="nil"/>
              <w:right w:val="nil"/>
            </w:tcBorders>
            <w:vAlign w:val="bottom"/>
            <w:hideMark/>
          </w:tcPr>
          <w:p w14:paraId="255C87C1"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482" w:type="pct"/>
            <w:tcBorders>
              <w:top w:val="nil"/>
              <w:left w:val="nil"/>
              <w:bottom w:val="nil"/>
              <w:right w:val="nil"/>
            </w:tcBorders>
            <w:vAlign w:val="bottom"/>
            <w:hideMark/>
          </w:tcPr>
          <w:p w14:paraId="69D0C603" w14:textId="77777777" w:rsidR="00A74C68" w:rsidRPr="00471CBA" w:rsidRDefault="00A74C68" w:rsidP="00F36B82">
            <w:pPr>
              <w:spacing w:line="226" w:lineRule="auto"/>
              <w:jc w:val="right"/>
              <w:rPr>
                <w:color w:val="000000"/>
                <w:sz w:val="16"/>
                <w:szCs w:val="16"/>
              </w:rPr>
            </w:pPr>
            <w:r w:rsidRPr="00471CBA">
              <w:rPr>
                <w:color w:val="000000"/>
                <w:sz w:val="16"/>
                <w:szCs w:val="16"/>
              </w:rPr>
              <w:t>1.668.205</w:t>
            </w:r>
          </w:p>
        </w:tc>
        <w:tc>
          <w:tcPr>
            <w:tcW w:w="446" w:type="pct"/>
            <w:tcBorders>
              <w:top w:val="nil"/>
              <w:left w:val="nil"/>
              <w:bottom w:val="nil"/>
              <w:right w:val="nil"/>
            </w:tcBorders>
            <w:vAlign w:val="bottom"/>
            <w:hideMark/>
          </w:tcPr>
          <w:p w14:paraId="09494533" w14:textId="77777777" w:rsidR="00A74C68" w:rsidRPr="00471CBA" w:rsidRDefault="00A74C68" w:rsidP="00F36B82">
            <w:pPr>
              <w:spacing w:line="226" w:lineRule="auto"/>
              <w:jc w:val="right"/>
              <w:rPr>
                <w:color w:val="000000"/>
                <w:sz w:val="16"/>
                <w:szCs w:val="16"/>
              </w:rPr>
            </w:pPr>
            <w:r w:rsidRPr="00471CBA">
              <w:rPr>
                <w:color w:val="000000"/>
                <w:sz w:val="16"/>
                <w:szCs w:val="16"/>
              </w:rPr>
              <w:t>3.326.730</w:t>
            </w:r>
          </w:p>
        </w:tc>
        <w:tc>
          <w:tcPr>
            <w:tcW w:w="417" w:type="pct"/>
            <w:tcBorders>
              <w:top w:val="nil"/>
              <w:left w:val="nil"/>
              <w:bottom w:val="nil"/>
              <w:right w:val="nil"/>
            </w:tcBorders>
            <w:vAlign w:val="bottom"/>
            <w:hideMark/>
          </w:tcPr>
          <w:p w14:paraId="5AF05C6A" w14:textId="77777777" w:rsidR="00A74C68" w:rsidRPr="00471CBA" w:rsidRDefault="00A74C68" w:rsidP="00F36B82">
            <w:pPr>
              <w:spacing w:line="226" w:lineRule="auto"/>
              <w:jc w:val="right"/>
              <w:rPr>
                <w:color w:val="000000"/>
                <w:sz w:val="16"/>
                <w:szCs w:val="16"/>
              </w:rPr>
            </w:pPr>
            <w:r w:rsidRPr="00471CBA">
              <w:rPr>
                <w:color w:val="000000"/>
                <w:sz w:val="16"/>
                <w:szCs w:val="16"/>
              </w:rPr>
              <w:t>778.132</w:t>
            </w:r>
          </w:p>
        </w:tc>
        <w:tc>
          <w:tcPr>
            <w:tcW w:w="446" w:type="pct"/>
            <w:tcBorders>
              <w:top w:val="nil"/>
              <w:left w:val="nil"/>
              <w:bottom w:val="nil"/>
              <w:right w:val="nil"/>
            </w:tcBorders>
            <w:vAlign w:val="bottom"/>
            <w:hideMark/>
          </w:tcPr>
          <w:p w14:paraId="521632C3"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398" w:type="pct"/>
            <w:tcBorders>
              <w:top w:val="nil"/>
              <w:left w:val="nil"/>
              <w:bottom w:val="nil"/>
              <w:right w:val="nil"/>
            </w:tcBorders>
            <w:vAlign w:val="bottom"/>
            <w:hideMark/>
          </w:tcPr>
          <w:p w14:paraId="38A63E07"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600" w:type="pct"/>
            <w:tcBorders>
              <w:top w:val="nil"/>
              <w:left w:val="nil"/>
              <w:bottom w:val="nil"/>
              <w:right w:val="nil"/>
            </w:tcBorders>
            <w:vAlign w:val="bottom"/>
            <w:hideMark/>
          </w:tcPr>
          <w:p w14:paraId="5CA66E8E"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601" w:type="pct"/>
            <w:tcBorders>
              <w:top w:val="nil"/>
              <w:left w:val="nil"/>
              <w:bottom w:val="nil"/>
              <w:right w:val="nil"/>
            </w:tcBorders>
            <w:vAlign w:val="bottom"/>
            <w:hideMark/>
          </w:tcPr>
          <w:p w14:paraId="77EC1985" w14:textId="77777777" w:rsidR="00A74C68" w:rsidRPr="00471CBA" w:rsidRDefault="00A74C68" w:rsidP="00F36B82">
            <w:pPr>
              <w:spacing w:line="226" w:lineRule="auto"/>
              <w:jc w:val="right"/>
              <w:rPr>
                <w:color w:val="000000"/>
                <w:sz w:val="16"/>
                <w:szCs w:val="16"/>
              </w:rPr>
            </w:pPr>
            <w:r w:rsidRPr="00471CBA">
              <w:rPr>
                <w:color w:val="000000"/>
                <w:sz w:val="16"/>
                <w:szCs w:val="16"/>
              </w:rPr>
              <w:t>5.773.067</w:t>
            </w:r>
          </w:p>
        </w:tc>
      </w:tr>
      <w:tr w:rsidR="00A74C68" w:rsidRPr="00471CBA" w14:paraId="6789DA99" w14:textId="77777777" w:rsidTr="00A74C68">
        <w:trPr>
          <w:divId w:val="758410951"/>
          <w:trHeight w:val="170"/>
        </w:trPr>
        <w:tc>
          <w:tcPr>
            <w:tcW w:w="1154" w:type="pct"/>
            <w:tcBorders>
              <w:top w:val="nil"/>
              <w:left w:val="nil"/>
              <w:bottom w:val="nil"/>
              <w:right w:val="nil"/>
            </w:tcBorders>
            <w:vAlign w:val="center"/>
            <w:hideMark/>
          </w:tcPr>
          <w:p w14:paraId="7684FF8B" w14:textId="77777777" w:rsidR="00A74C68" w:rsidRPr="00471CBA" w:rsidRDefault="00A74C68" w:rsidP="00F36B82">
            <w:pPr>
              <w:spacing w:line="226" w:lineRule="auto"/>
              <w:rPr>
                <w:color w:val="000000"/>
                <w:sz w:val="16"/>
                <w:szCs w:val="16"/>
              </w:rPr>
            </w:pPr>
            <w:r w:rsidRPr="00471CBA">
              <w:rPr>
                <w:snapToGrid w:val="0"/>
                <w:color w:val="000000"/>
                <w:sz w:val="16"/>
                <w:szCs w:val="16"/>
              </w:rPr>
              <w:t>Para Piyasalarına Borç.</w:t>
            </w:r>
          </w:p>
        </w:tc>
        <w:tc>
          <w:tcPr>
            <w:tcW w:w="455" w:type="pct"/>
            <w:tcBorders>
              <w:top w:val="nil"/>
              <w:left w:val="nil"/>
              <w:bottom w:val="nil"/>
              <w:right w:val="nil"/>
            </w:tcBorders>
            <w:vAlign w:val="bottom"/>
            <w:hideMark/>
          </w:tcPr>
          <w:p w14:paraId="674C5E25"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482" w:type="pct"/>
            <w:tcBorders>
              <w:top w:val="nil"/>
              <w:left w:val="nil"/>
              <w:bottom w:val="nil"/>
              <w:right w:val="nil"/>
            </w:tcBorders>
            <w:vAlign w:val="bottom"/>
            <w:hideMark/>
          </w:tcPr>
          <w:p w14:paraId="77C4ABF2"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446" w:type="pct"/>
            <w:tcBorders>
              <w:top w:val="nil"/>
              <w:left w:val="nil"/>
              <w:bottom w:val="nil"/>
              <w:right w:val="nil"/>
            </w:tcBorders>
            <w:vAlign w:val="bottom"/>
            <w:hideMark/>
          </w:tcPr>
          <w:p w14:paraId="4F056271"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417" w:type="pct"/>
            <w:tcBorders>
              <w:top w:val="nil"/>
              <w:left w:val="nil"/>
              <w:bottom w:val="nil"/>
              <w:right w:val="nil"/>
            </w:tcBorders>
            <w:vAlign w:val="bottom"/>
            <w:hideMark/>
          </w:tcPr>
          <w:p w14:paraId="1C9E68E3"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446" w:type="pct"/>
            <w:tcBorders>
              <w:top w:val="nil"/>
              <w:left w:val="nil"/>
              <w:bottom w:val="nil"/>
              <w:right w:val="nil"/>
            </w:tcBorders>
            <w:vAlign w:val="bottom"/>
            <w:hideMark/>
          </w:tcPr>
          <w:p w14:paraId="042A8C28"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398" w:type="pct"/>
            <w:tcBorders>
              <w:top w:val="nil"/>
              <w:left w:val="nil"/>
              <w:bottom w:val="nil"/>
              <w:right w:val="nil"/>
            </w:tcBorders>
            <w:vAlign w:val="bottom"/>
            <w:hideMark/>
          </w:tcPr>
          <w:p w14:paraId="6F4F9D24"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600" w:type="pct"/>
            <w:tcBorders>
              <w:top w:val="nil"/>
              <w:left w:val="nil"/>
              <w:bottom w:val="nil"/>
              <w:right w:val="nil"/>
            </w:tcBorders>
            <w:vAlign w:val="bottom"/>
            <w:hideMark/>
          </w:tcPr>
          <w:p w14:paraId="5C4C5A46"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601" w:type="pct"/>
            <w:tcBorders>
              <w:top w:val="nil"/>
              <w:left w:val="nil"/>
              <w:bottom w:val="nil"/>
              <w:right w:val="nil"/>
            </w:tcBorders>
            <w:vAlign w:val="bottom"/>
            <w:hideMark/>
          </w:tcPr>
          <w:p w14:paraId="7830145B"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r>
      <w:tr w:rsidR="00A74C68" w:rsidRPr="00471CBA" w14:paraId="54B2A5A9" w14:textId="77777777" w:rsidTr="00A74C68">
        <w:trPr>
          <w:divId w:val="758410951"/>
          <w:trHeight w:val="170"/>
        </w:trPr>
        <w:tc>
          <w:tcPr>
            <w:tcW w:w="1154" w:type="pct"/>
            <w:tcBorders>
              <w:top w:val="nil"/>
              <w:left w:val="nil"/>
              <w:bottom w:val="nil"/>
              <w:right w:val="nil"/>
            </w:tcBorders>
            <w:vAlign w:val="center"/>
            <w:hideMark/>
          </w:tcPr>
          <w:p w14:paraId="2E93FD05" w14:textId="77777777" w:rsidR="00A74C68" w:rsidRPr="00471CBA" w:rsidRDefault="00A74C68" w:rsidP="00F36B82">
            <w:pPr>
              <w:spacing w:line="226" w:lineRule="auto"/>
              <w:rPr>
                <w:color w:val="000000"/>
                <w:sz w:val="16"/>
                <w:szCs w:val="16"/>
              </w:rPr>
            </w:pPr>
            <w:r w:rsidRPr="00471CBA">
              <w:rPr>
                <w:snapToGrid w:val="0"/>
                <w:color w:val="000000"/>
                <w:sz w:val="16"/>
                <w:szCs w:val="16"/>
              </w:rPr>
              <w:t>İhraç Edilen Menkul Kıymetler</w:t>
            </w:r>
          </w:p>
        </w:tc>
        <w:tc>
          <w:tcPr>
            <w:tcW w:w="455" w:type="pct"/>
            <w:tcBorders>
              <w:top w:val="nil"/>
              <w:left w:val="nil"/>
              <w:bottom w:val="nil"/>
              <w:right w:val="nil"/>
            </w:tcBorders>
            <w:vAlign w:val="bottom"/>
            <w:hideMark/>
          </w:tcPr>
          <w:p w14:paraId="7E5E6FB2"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482" w:type="pct"/>
            <w:tcBorders>
              <w:top w:val="nil"/>
              <w:left w:val="nil"/>
              <w:bottom w:val="nil"/>
              <w:right w:val="nil"/>
            </w:tcBorders>
            <w:vAlign w:val="bottom"/>
            <w:hideMark/>
          </w:tcPr>
          <w:p w14:paraId="07EFF96D"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446" w:type="pct"/>
            <w:tcBorders>
              <w:top w:val="nil"/>
              <w:left w:val="nil"/>
              <w:bottom w:val="nil"/>
              <w:right w:val="nil"/>
            </w:tcBorders>
            <w:vAlign w:val="bottom"/>
            <w:hideMark/>
          </w:tcPr>
          <w:p w14:paraId="1C408485"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417" w:type="pct"/>
            <w:tcBorders>
              <w:top w:val="nil"/>
              <w:left w:val="nil"/>
              <w:bottom w:val="nil"/>
              <w:right w:val="nil"/>
            </w:tcBorders>
            <w:vAlign w:val="bottom"/>
            <w:hideMark/>
          </w:tcPr>
          <w:p w14:paraId="7228A573"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446" w:type="pct"/>
            <w:tcBorders>
              <w:top w:val="nil"/>
              <w:left w:val="nil"/>
              <w:bottom w:val="nil"/>
              <w:right w:val="nil"/>
            </w:tcBorders>
            <w:vAlign w:val="bottom"/>
            <w:hideMark/>
          </w:tcPr>
          <w:p w14:paraId="1C602364"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398" w:type="pct"/>
            <w:tcBorders>
              <w:top w:val="nil"/>
              <w:left w:val="nil"/>
              <w:bottom w:val="nil"/>
              <w:right w:val="nil"/>
            </w:tcBorders>
            <w:vAlign w:val="bottom"/>
            <w:hideMark/>
          </w:tcPr>
          <w:p w14:paraId="2F3A7B7C"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600" w:type="pct"/>
            <w:tcBorders>
              <w:top w:val="nil"/>
              <w:left w:val="nil"/>
              <w:bottom w:val="nil"/>
              <w:right w:val="nil"/>
            </w:tcBorders>
            <w:vAlign w:val="bottom"/>
            <w:hideMark/>
          </w:tcPr>
          <w:p w14:paraId="71A01AD0"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601" w:type="pct"/>
            <w:tcBorders>
              <w:top w:val="nil"/>
              <w:left w:val="nil"/>
              <w:bottom w:val="nil"/>
              <w:right w:val="nil"/>
            </w:tcBorders>
            <w:vAlign w:val="bottom"/>
            <w:hideMark/>
          </w:tcPr>
          <w:p w14:paraId="26318471"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r>
      <w:tr w:rsidR="00A74C68" w:rsidRPr="00471CBA" w14:paraId="4F9A189F" w14:textId="77777777" w:rsidTr="00A74C68">
        <w:trPr>
          <w:divId w:val="758410951"/>
          <w:trHeight w:val="170"/>
        </w:trPr>
        <w:tc>
          <w:tcPr>
            <w:tcW w:w="1154" w:type="pct"/>
            <w:tcBorders>
              <w:top w:val="nil"/>
              <w:left w:val="nil"/>
              <w:bottom w:val="nil"/>
              <w:right w:val="nil"/>
            </w:tcBorders>
            <w:vAlign w:val="center"/>
            <w:hideMark/>
          </w:tcPr>
          <w:p w14:paraId="648A3097" w14:textId="77777777" w:rsidR="00A74C68" w:rsidRPr="00471CBA" w:rsidRDefault="00A74C68" w:rsidP="00F36B82">
            <w:pPr>
              <w:spacing w:line="226" w:lineRule="auto"/>
              <w:rPr>
                <w:color w:val="000000"/>
                <w:sz w:val="16"/>
                <w:szCs w:val="16"/>
              </w:rPr>
            </w:pPr>
            <w:r w:rsidRPr="00471CBA">
              <w:rPr>
                <w:snapToGrid w:val="0"/>
                <w:color w:val="000000"/>
                <w:sz w:val="16"/>
                <w:szCs w:val="16"/>
              </w:rPr>
              <w:t>Muhtelif Borçlar</w:t>
            </w:r>
          </w:p>
        </w:tc>
        <w:tc>
          <w:tcPr>
            <w:tcW w:w="455" w:type="pct"/>
            <w:tcBorders>
              <w:top w:val="nil"/>
              <w:left w:val="nil"/>
              <w:bottom w:val="nil"/>
              <w:right w:val="nil"/>
            </w:tcBorders>
            <w:vAlign w:val="bottom"/>
            <w:hideMark/>
          </w:tcPr>
          <w:p w14:paraId="2476F5C9"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482" w:type="pct"/>
            <w:tcBorders>
              <w:top w:val="nil"/>
              <w:left w:val="nil"/>
              <w:bottom w:val="nil"/>
              <w:right w:val="nil"/>
            </w:tcBorders>
            <w:vAlign w:val="bottom"/>
            <w:hideMark/>
          </w:tcPr>
          <w:p w14:paraId="02BFED33"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446" w:type="pct"/>
            <w:tcBorders>
              <w:top w:val="nil"/>
              <w:left w:val="nil"/>
              <w:bottom w:val="nil"/>
              <w:right w:val="nil"/>
            </w:tcBorders>
            <w:vAlign w:val="bottom"/>
            <w:hideMark/>
          </w:tcPr>
          <w:p w14:paraId="17FB7474"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417" w:type="pct"/>
            <w:tcBorders>
              <w:top w:val="nil"/>
              <w:left w:val="nil"/>
              <w:bottom w:val="nil"/>
              <w:right w:val="nil"/>
            </w:tcBorders>
            <w:vAlign w:val="bottom"/>
            <w:hideMark/>
          </w:tcPr>
          <w:p w14:paraId="24AF3F17"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446" w:type="pct"/>
            <w:tcBorders>
              <w:top w:val="nil"/>
              <w:left w:val="nil"/>
              <w:bottom w:val="nil"/>
              <w:right w:val="nil"/>
            </w:tcBorders>
            <w:vAlign w:val="bottom"/>
            <w:hideMark/>
          </w:tcPr>
          <w:p w14:paraId="721421A1"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398" w:type="pct"/>
            <w:tcBorders>
              <w:top w:val="nil"/>
              <w:left w:val="nil"/>
              <w:bottom w:val="nil"/>
              <w:right w:val="nil"/>
            </w:tcBorders>
            <w:vAlign w:val="bottom"/>
            <w:hideMark/>
          </w:tcPr>
          <w:p w14:paraId="095B1A3F"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600" w:type="pct"/>
            <w:tcBorders>
              <w:top w:val="nil"/>
              <w:left w:val="nil"/>
              <w:bottom w:val="nil"/>
              <w:right w:val="nil"/>
            </w:tcBorders>
            <w:vAlign w:val="bottom"/>
            <w:hideMark/>
          </w:tcPr>
          <w:p w14:paraId="070AA700" w14:textId="77777777" w:rsidR="00A74C68" w:rsidRPr="00471CBA" w:rsidRDefault="00A74C68" w:rsidP="00F36B82">
            <w:pPr>
              <w:spacing w:line="226" w:lineRule="auto"/>
              <w:jc w:val="right"/>
              <w:rPr>
                <w:color w:val="000000"/>
                <w:sz w:val="16"/>
                <w:szCs w:val="16"/>
              </w:rPr>
            </w:pPr>
            <w:r w:rsidRPr="00471CBA">
              <w:rPr>
                <w:color w:val="000000"/>
                <w:sz w:val="16"/>
                <w:szCs w:val="16"/>
              </w:rPr>
              <w:t>5.627.940</w:t>
            </w:r>
          </w:p>
        </w:tc>
        <w:tc>
          <w:tcPr>
            <w:tcW w:w="601" w:type="pct"/>
            <w:tcBorders>
              <w:top w:val="nil"/>
              <w:left w:val="nil"/>
              <w:bottom w:val="nil"/>
              <w:right w:val="nil"/>
            </w:tcBorders>
            <w:vAlign w:val="bottom"/>
            <w:hideMark/>
          </w:tcPr>
          <w:p w14:paraId="3EB562BF" w14:textId="77777777" w:rsidR="00A74C68" w:rsidRPr="00471CBA" w:rsidRDefault="00A74C68" w:rsidP="00F36B82">
            <w:pPr>
              <w:spacing w:line="226" w:lineRule="auto"/>
              <w:jc w:val="right"/>
              <w:rPr>
                <w:color w:val="000000"/>
                <w:sz w:val="16"/>
                <w:szCs w:val="16"/>
              </w:rPr>
            </w:pPr>
            <w:r w:rsidRPr="00471CBA">
              <w:rPr>
                <w:color w:val="000000"/>
                <w:sz w:val="16"/>
                <w:szCs w:val="16"/>
              </w:rPr>
              <w:t>5.627.940</w:t>
            </w:r>
          </w:p>
        </w:tc>
      </w:tr>
      <w:tr w:rsidR="00A74C68" w:rsidRPr="00471CBA" w14:paraId="13C7A676" w14:textId="77777777" w:rsidTr="00A74C68">
        <w:trPr>
          <w:divId w:val="758410951"/>
          <w:trHeight w:val="170"/>
        </w:trPr>
        <w:tc>
          <w:tcPr>
            <w:tcW w:w="1154" w:type="pct"/>
            <w:tcBorders>
              <w:top w:val="nil"/>
              <w:left w:val="nil"/>
              <w:bottom w:val="nil"/>
              <w:right w:val="nil"/>
            </w:tcBorders>
            <w:vAlign w:val="center"/>
            <w:hideMark/>
          </w:tcPr>
          <w:p w14:paraId="65AF606E" w14:textId="77777777" w:rsidR="00A74C68" w:rsidRPr="00471CBA" w:rsidRDefault="00A74C68" w:rsidP="00F36B82">
            <w:pPr>
              <w:spacing w:line="226" w:lineRule="auto"/>
              <w:rPr>
                <w:color w:val="000000"/>
                <w:sz w:val="16"/>
                <w:szCs w:val="16"/>
                <w:lang w:eastAsia="tr-TR"/>
              </w:rPr>
            </w:pPr>
            <w:r w:rsidRPr="00471CBA">
              <w:rPr>
                <w:snapToGrid w:val="0"/>
                <w:color w:val="000000"/>
                <w:sz w:val="16"/>
                <w:szCs w:val="16"/>
              </w:rPr>
              <w:t>Diğer Yükümlülükler</w:t>
            </w:r>
            <w:r w:rsidRPr="00471CBA">
              <w:rPr>
                <w:color w:val="000000"/>
                <w:sz w:val="16"/>
                <w:szCs w:val="16"/>
              </w:rPr>
              <w:t xml:space="preserve"> </w:t>
            </w:r>
            <w:r w:rsidRPr="00471CBA">
              <w:rPr>
                <w:color w:val="000000"/>
                <w:sz w:val="16"/>
                <w:szCs w:val="16"/>
                <w:vertAlign w:val="superscript"/>
                <w:lang w:eastAsia="tr-TR"/>
              </w:rPr>
              <w:t>(*)</w:t>
            </w:r>
          </w:p>
        </w:tc>
        <w:tc>
          <w:tcPr>
            <w:tcW w:w="455" w:type="pct"/>
            <w:tcBorders>
              <w:top w:val="nil"/>
              <w:left w:val="nil"/>
              <w:bottom w:val="nil"/>
              <w:right w:val="nil"/>
            </w:tcBorders>
            <w:vAlign w:val="bottom"/>
            <w:hideMark/>
          </w:tcPr>
          <w:p w14:paraId="14133F8B"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482" w:type="pct"/>
            <w:tcBorders>
              <w:top w:val="nil"/>
              <w:left w:val="nil"/>
              <w:bottom w:val="nil"/>
              <w:right w:val="nil"/>
            </w:tcBorders>
            <w:vAlign w:val="bottom"/>
            <w:hideMark/>
          </w:tcPr>
          <w:p w14:paraId="41797A55" w14:textId="77777777" w:rsidR="00A74C68" w:rsidRPr="00471CBA" w:rsidRDefault="00A74C68" w:rsidP="00F36B82">
            <w:pPr>
              <w:spacing w:line="226" w:lineRule="auto"/>
              <w:jc w:val="right"/>
              <w:rPr>
                <w:color w:val="000000"/>
                <w:sz w:val="16"/>
                <w:szCs w:val="16"/>
              </w:rPr>
            </w:pPr>
            <w:r w:rsidRPr="00471CBA">
              <w:rPr>
                <w:color w:val="000000"/>
                <w:sz w:val="16"/>
                <w:szCs w:val="16"/>
              </w:rPr>
              <w:t>1.048.245</w:t>
            </w:r>
          </w:p>
        </w:tc>
        <w:tc>
          <w:tcPr>
            <w:tcW w:w="446" w:type="pct"/>
            <w:tcBorders>
              <w:top w:val="nil"/>
              <w:left w:val="nil"/>
              <w:bottom w:val="nil"/>
              <w:right w:val="nil"/>
            </w:tcBorders>
            <w:vAlign w:val="bottom"/>
            <w:hideMark/>
          </w:tcPr>
          <w:p w14:paraId="6C56E99D" w14:textId="77777777" w:rsidR="00A74C68" w:rsidRPr="00471CBA" w:rsidRDefault="00A74C68" w:rsidP="00F36B82">
            <w:pPr>
              <w:spacing w:line="226" w:lineRule="auto"/>
              <w:jc w:val="right"/>
              <w:rPr>
                <w:color w:val="000000"/>
                <w:sz w:val="16"/>
                <w:szCs w:val="16"/>
              </w:rPr>
            </w:pPr>
            <w:r w:rsidRPr="00471CBA">
              <w:rPr>
                <w:color w:val="000000"/>
                <w:sz w:val="16"/>
                <w:szCs w:val="16"/>
              </w:rPr>
              <w:t>75</w:t>
            </w:r>
          </w:p>
        </w:tc>
        <w:tc>
          <w:tcPr>
            <w:tcW w:w="417" w:type="pct"/>
            <w:tcBorders>
              <w:top w:val="nil"/>
              <w:left w:val="nil"/>
              <w:bottom w:val="nil"/>
              <w:right w:val="nil"/>
            </w:tcBorders>
            <w:vAlign w:val="bottom"/>
            <w:hideMark/>
          </w:tcPr>
          <w:p w14:paraId="5D4D2AF6" w14:textId="77777777" w:rsidR="00A74C68" w:rsidRPr="00471CBA" w:rsidRDefault="00A74C68" w:rsidP="00F36B82">
            <w:pPr>
              <w:spacing w:line="226" w:lineRule="auto"/>
              <w:jc w:val="right"/>
              <w:rPr>
                <w:color w:val="000000"/>
                <w:sz w:val="16"/>
                <w:szCs w:val="16"/>
              </w:rPr>
            </w:pPr>
            <w:r w:rsidRPr="00471CBA">
              <w:rPr>
                <w:color w:val="000000"/>
                <w:sz w:val="16"/>
                <w:szCs w:val="16"/>
              </w:rPr>
              <w:t>21.256</w:t>
            </w:r>
          </w:p>
        </w:tc>
        <w:tc>
          <w:tcPr>
            <w:tcW w:w="446" w:type="pct"/>
            <w:tcBorders>
              <w:top w:val="nil"/>
              <w:left w:val="nil"/>
              <w:bottom w:val="nil"/>
              <w:right w:val="nil"/>
            </w:tcBorders>
            <w:vAlign w:val="bottom"/>
            <w:hideMark/>
          </w:tcPr>
          <w:p w14:paraId="7476142D" w14:textId="77777777" w:rsidR="00A74C68" w:rsidRPr="00471CBA" w:rsidRDefault="00A74C68" w:rsidP="00F36B82">
            <w:pPr>
              <w:spacing w:line="226" w:lineRule="auto"/>
              <w:jc w:val="right"/>
              <w:rPr>
                <w:color w:val="000000"/>
                <w:sz w:val="16"/>
                <w:szCs w:val="16"/>
              </w:rPr>
            </w:pPr>
            <w:r w:rsidRPr="00471CBA">
              <w:rPr>
                <w:color w:val="000000"/>
                <w:sz w:val="16"/>
                <w:szCs w:val="16"/>
              </w:rPr>
              <w:t>139.370</w:t>
            </w:r>
          </w:p>
        </w:tc>
        <w:tc>
          <w:tcPr>
            <w:tcW w:w="398" w:type="pct"/>
            <w:tcBorders>
              <w:top w:val="nil"/>
              <w:left w:val="nil"/>
              <w:bottom w:val="nil"/>
              <w:right w:val="nil"/>
            </w:tcBorders>
            <w:vAlign w:val="bottom"/>
            <w:hideMark/>
          </w:tcPr>
          <w:p w14:paraId="70F1095E" w14:textId="77777777" w:rsidR="00A74C68" w:rsidRPr="00471CBA" w:rsidRDefault="00A74C68" w:rsidP="00F36B82">
            <w:pPr>
              <w:spacing w:line="226" w:lineRule="auto"/>
              <w:jc w:val="right"/>
              <w:rPr>
                <w:color w:val="000000"/>
                <w:sz w:val="16"/>
                <w:szCs w:val="16"/>
              </w:rPr>
            </w:pPr>
            <w:r w:rsidRPr="00471CBA">
              <w:rPr>
                <w:color w:val="000000"/>
                <w:sz w:val="16"/>
                <w:szCs w:val="16"/>
              </w:rPr>
              <w:t>57.751</w:t>
            </w:r>
          </w:p>
        </w:tc>
        <w:tc>
          <w:tcPr>
            <w:tcW w:w="600" w:type="pct"/>
            <w:tcBorders>
              <w:top w:val="nil"/>
              <w:left w:val="nil"/>
              <w:bottom w:val="nil"/>
              <w:right w:val="nil"/>
            </w:tcBorders>
            <w:vAlign w:val="bottom"/>
            <w:hideMark/>
          </w:tcPr>
          <w:p w14:paraId="6A014146" w14:textId="77777777" w:rsidR="00A74C68" w:rsidRPr="00471CBA" w:rsidRDefault="00A74C68" w:rsidP="00F36B82">
            <w:pPr>
              <w:spacing w:line="226" w:lineRule="auto"/>
              <w:jc w:val="right"/>
              <w:rPr>
                <w:color w:val="000000"/>
                <w:sz w:val="16"/>
                <w:szCs w:val="16"/>
              </w:rPr>
            </w:pPr>
            <w:r w:rsidRPr="00471CBA">
              <w:rPr>
                <w:color w:val="000000"/>
                <w:sz w:val="16"/>
                <w:szCs w:val="16"/>
              </w:rPr>
              <w:t>10.543.676</w:t>
            </w:r>
          </w:p>
        </w:tc>
        <w:tc>
          <w:tcPr>
            <w:tcW w:w="601" w:type="pct"/>
            <w:tcBorders>
              <w:top w:val="nil"/>
              <w:left w:val="nil"/>
              <w:bottom w:val="nil"/>
              <w:right w:val="nil"/>
            </w:tcBorders>
            <w:vAlign w:val="bottom"/>
            <w:hideMark/>
          </w:tcPr>
          <w:p w14:paraId="4D320A72" w14:textId="77777777" w:rsidR="00A74C68" w:rsidRPr="00471CBA" w:rsidRDefault="00A74C68" w:rsidP="00F36B82">
            <w:pPr>
              <w:spacing w:line="226" w:lineRule="auto"/>
              <w:jc w:val="right"/>
              <w:rPr>
                <w:color w:val="000000"/>
                <w:sz w:val="16"/>
                <w:szCs w:val="16"/>
              </w:rPr>
            </w:pPr>
            <w:r w:rsidRPr="00471CBA">
              <w:rPr>
                <w:color w:val="000000"/>
                <w:sz w:val="16"/>
                <w:szCs w:val="16"/>
              </w:rPr>
              <w:t>11.810.373</w:t>
            </w:r>
          </w:p>
        </w:tc>
      </w:tr>
      <w:tr w:rsidR="00A74C68" w:rsidRPr="00471CBA" w14:paraId="6D79470F" w14:textId="77777777" w:rsidTr="00A74C68">
        <w:trPr>
          <w:divId w:val="758410951"/>
          <w:trHeight w:val="170"/>
        </w:trPr>
        <w:tc>
          <w:tcPr>
            <w:tcW w:w="1154" w:type="pct"/>
            <w:tcBorders>
              <w:top w:val="nil"/>
              <w:left w:val="nil"/>
              <w:bottom w:val="nil"/>
              <w:right w:val="nil"/>
            </w:tcBorders>
            <w:vAlign w:val="center"/>
            <w:hideMark/>
          </w:tcPr>
          <w:p w14:paraId="6D49B7AF" w14:textId="77777777" w:rsidR="00A74C68" w:rsidRPr="00471CBA" w:rsidRDefault="00A74C68" w:rsidP="00F36B82">
            <w:pPr>
              <w:spacing w:line="226" w:lineRule="auto"/>
              <w:jc w:val="right"/>
              <w:rPr>
                <w:color w:val="000000"/>
                <w:sz w:val="16"/>
                <w:szCs w:val="16"/>
              </w:rPr>
            </w:pPr>
          </w:p>
        </w:tc>
        <w:tc>
          <w:tcPr>
            <w:tcW w:w="455" w:type="pct"/>
            <w:tcBorders>
              <w:top w:val="nil"/>
              <w:left w:val="nil"/>
              <w:bottom w:val="nil"/>
              <w:right w:val="nil"/>
            </w:tcBorders>
            <w:vAlign w:val="bottom"/>
            <w:hideMark/>
          </w:tcPr>
          <w:p w14:paraId="4018A4F8" w14:textId="77777777" w:rsidR="00A74C68" w:rsidRPr="00471CBA" w:rsidRDefault="00A74C68" w:rsidP="00F36B82">
            <w:pPr>
              <w:spacing w:line="226" w:lineRule="auto"/>
              <w:jc w:val="right"/>
              <w:rPr>
                <w:szCs w:val="20"/>
              </w:rPr>
            </w:pPr>
          </w:p>
        </w:tc>
        <w:tc>
          <w:tcPr>
            <w:tcW w:w="482" w:type="pct"/>
            <w:tcBorders>
              <w:top w:val="nil"/>
              <w:left w:val="nil"/>
              <w:bottom w:val="nil"/>
              <w:right w:val="nil"/>
            </w:tcBorders>
            <w:vAlign w:val="bottom"/>
            <w:hideMark/>
          </w:tcPr>
          <w:p w14:paraId="0C7D8342" w14:textId="77777777" w:rsidR="00A74C68" w:rsidRPr="00471CBA" w:rsidRDefault="00A74C68" w:rsidP="00F36B82">
            <w:pPr>
              <w:spacing w:line="226" w:lineRule="auto"/>
              <w:jc w:val="right"/>
              <w:rPr>
                <w:szCs w:val="20"/>
              </w:rPr>
            </w:pPr>
          </w:p>
        </w:tc>
        <w:tc>
          <w:tcPr>
            <w:tcW w:w="446" w:type="pct"/>
            <w:tcBorders>
              <w:top w:val="nil"/>
              <w:left w:val="nil"/>
              <w:bottom w:val="nil"/>
              <w:right w:val="nil"/>
            </w:tcBorders>
            <w:vAlign w:val="bottom"/>
            <w:hideMark/>
          </w:tcPr>
          <w:p w14:paraId="46212131" w14:textId="77777777" w:rsidR="00A74C68" w:rsidRPr="00471CBA" w:rsidRDefault="00A74C68" w:rsidP="00F36B82">
            <w:pPr>
              <w:spacing w:line="226" w:lineRule="auto"/>
              <w:jc w:val="right"/>
              <w:rPr>
                <w:szCs w:val="20"/>
              </w:rPr>
            </w:pPr>
          </w:p>
        </w:tc>
        <w:tc>
          <w:tcPr>
            <w:tcW w:w="417" w:type="pct"/>
            <w:tcBorders>
              <w:top w:val="nil"/>
              <w:left w:val="nil"/>
              <w:bottom w:val="nil"/>
              <w:right w:val="nil"/>
            </w:tcBorders>
            <w:vAlign w:val="bottom"/>
            <w:hideMark/>
          </w:tcPr>
          <w:p w14:paraId="000320B5" w14:textId="77777777" w:rsidR="00A74C68" w:rsidRPr="00471CBA" w:rsidRDefault="00A74C68" w:rsidP="00F36B82">
            <w:pPr>
              <w:spacing w:line="226" w:lineRule="auto"/>
              <w:jc w:val="right"/>
              <w:rPr>
                <w:szCs w:val="20"/>
              </w:rPr>
            </w:pPr>
          </w:p>
        </w:tc>
        <w:tc>
          <w:tcPr>
            <w:tcW w:w="446" w:type="pct"/>
            <w:tcBorders>
              <w:top w:val="nil"/>
              <w:left w:val="nil"/>
              <w:bottom w:val="nil"/>
              <w:right w:val="nil"/>
            </w:tcBorders>
            <w:vAlign w:val="bottom"/>
            <w:hideMark/>
          </w:tcPr>
          <w:p w14:paraId="130A734F" w14:textId="77777777" w:rsidR="00A74C68" w:rsidRPr="00471CBA" w:rsidRDefault="00A74C68" w:rsidP="00F36B82">
            <w:pPr>
              <w:spacing w:line="226" w:lineRule="auto"/>
              <w:jc w:val="right"/>
              <w:rPr>
                <w:szCs w:val="20"/>
              </w:rPr>
            </w:pPr>
          </w:p>
        </w:tc>
        <w:tc>
          <w:tcPr>
            <w:tcW w:w="398" w:type="pct"/>
            <w:tcBorders>
              <w:top w:val="nil"/>
              <w:left w:val="nil"/>
              <w:bottom w:val="nil"/>
              <w:right w:val="nil"/>
            </w:tcBorders>
            <w:vAlign w:val="bottom"/>
            <w:hideMark/>
          </w:tcPr>
          <w:p w14:paraId="12F64FFB" w14:textId="77777777" w:rsidR="00A74C68" w:rsidRPr="00471CBA" w:rsidRDefault="00A74C68" w:rsidP="00F36B82">
            <w:pPr>
              <w:spacing w:line="226" w:lineRule="auto"/>
              <w:jc w:val="right"/>
              <w:rPr>
                <w:szCs w:val="20"/>
              </w:rPr>
            </w:pPr>
          </w:p>
        </w:tc>
        <w:tc>
          <w:tcPr>
            <w:tcW w:w="600" w:type="pct"/>
            <w:tcBorders>
              <w:top w:val="nil"/>
              <w:left w:val="nil"/>
              <w:bottom w:val="nil"/>
              <w:right w:val="nil"/>
            </w:tcBorders>
            <w:vAlign w:val="bottom"/>
            <w:hideMark/>
          </w:tcPr>
          <w:p w14:paraId="0E670CEB" w14:textId="77777777" w:rsidR="00A74C68" w:rsidRPr="00471CBA" w:rsidRDefault="00A74C68" w:rsidP="00F36B82">
            <w:pPr>
              <w:spacing w:line="226" w:lineRule="auto"/>
              <w:jc w:val="right"/>
              <w:rPr>
                <w:szCs w:val="20"/>
              </w:rPr>
            </w:pPr>
          </w:p>
        </w:tc>
        <w:tc>
          <w:tcPr>
            <w:tcW w:w="601" w:type="pct"/>
            <w:tcBorders>
              <w:top w:val="nil"/>
              <w:left w:val="nil"/>
              <w:bottom w:val="nil"/>
              <w:right w:val="nil"/>
            </w:tcBorders>
            <w:vAlign w:val="bottom"/>
            <w:hideMark/>
          </w:tcPr>
          <w:p w14:paraId="22673C19" w14:textId="77777777" w:rsidR="00A74C68" w:rsidRPr="00471CBA" w:rsidRDefault="00A74C68" w:rsidP="00F36B82">
            <w:pPr>
              <w:spacing w:line="226" w:lineRule="auto"/>
              <w:jc w:val="right"/>
              <w:rPr>
                <w:szCs w:val="20"/>
              </w:rPr>
            </w:pPr>
          </w:p>
        </w:tc>
      </w:tr>
      <w:tr w:rsidR="00A74C68" w:rsidRPr="00471CBA" w14:paraId="286669CA" w14:textId="77777777" w:rsidTr="00A74C68">
        <w:trPr>
          <w:divId w:val="758410951"/>
          <w:trHeight w:val="170"/>
        </w:trPr>
        <w:tc>
          <w:tcPr>
            <w:tcW w:w="1154" w:type="pct"/>
            <w:tcBorders>
              <w:top w:val="single" w:sz="4" w:space="0" w:color="auto"/>
              <w:left w:val="nil"/>
              <w:bottom w:val="single" w:sz="4" w:space="0" w:color="auto"/>
              <w:right w:val="nil"/>
            </w:tcBorders>
            <w:vAlign w:val="center"/>
            <w:hideMark/>
          </w:tcPr>
          <w:p w14:paraId="60A806F1" w14:textId="77777777" w:rsidR="00A74C68" w:rsidRPr="00471CBA" w:rsidRDefault="00A74C68" w:rsidP="00F36B82">
            <w:pPr>
              <w:spacing w:line="226" w:lineRule="auto"/>
              <w:rPr>
                <w:b/>
                <w:bCs/>
                <w:color w:val="000000"/>
                <w:sz w:val="16"/>
                <w:szCs w:val="16"/>
              </w:rPr>
            </w:pPr>
            <w:r w:rsidRPr="00471CBA">
              <w:rPr>
                <w:b/>
                <w:bCs/>
                <w:color w:val="000000"/>
                <w:sz w:val="16"/>
                <w:szCs w:val="16"/>
              </w:rPr>
              <w:t>Toplam Yükümlülükler</w:t>
            </w:r>
          </w:p>
        </w:tc>
        <w:tc>
          <w:tcPr>
            <w:tcW w:w="455" w:type="pct"/>
            <w:tcBorders>
              <w:top w:val="single" w:sz="4" w:space="0" w:color="auto"/>
              <w:left w:val="nil"/>
              <w:bottom w:val="single" w:sz="4" w:space="0" w:color="auto"/>
              <w:right w:val="nil"/>
            </w:tcBorders>
            <w:vAlign w:val="bottom"/>
            <w:hideMark/>
          </w:tcPr>
          <w:p w14:paraId="291F30C8"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31.581.857</w:t>
            </w:r>
          </w:p>
        </w:tc>
        <w:tc>
          <w:tcPr>
            <w:tcW w:w="482" w:type="pct"/>
            <w:tcBorders>
              <w:top w:val="single" w:sz="4" w:space="0" w:color="auto"/>
              <w:left w:val="nil"/>
              <w:bottom w:val="single" w:sz="4" w:space="0" w:color="auto"/>
              <w:right w:val="nil"/>
            </w:tcBorders>
            <w:vAlign w:val="bottom"/>
            <w:hideMark/>
          </w:tcPr>
          <w:p w14:paraId="2C9F2B58"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32.470.158</w:t>
            </w:r>
          </w:p>
        </w:tc>
        <w:tc>
          <w:tcPr>
            <w:tcW w:w="446" w:type="pct"/>
            <w:tcBorders>
              <w:top w:val="single" w:sz="4" w:space="0" w:color="auto"/>
              <w:left w:val="nil"/>
              <w:bottom w:val="single" w:sz="4" w:space="0" w:color="auto"/>
              <w:right w:val="nil"/>
            </w:tcBorders>
            <w:vAlign w:val="bottom"/>
            <w:hideMark/>
          </w:tcPr>
          <w:p w14:paraId="714E9BC4"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15.130.842</w:t>
            </w:r>
          </w:p>
        </w:tc>
        <w:tc>
          <w:tcPr>
            <w:tcW w:w="417" w:type="pct"/>
            <w:tcBorders>
              <w:top w:val="single" w:sz="4" w:space="0" w:color="auto"/>
              <w:left w:val="nil"/>
              <w:bottom w:val="single" w:sz="4" w:space="0" w:color="auto"/>
              <w:right w:val="nil"/>
            </w:tcBorders>
            <w:vAlign w:val="bottom"/>
            <w:hideMark/>
          </w:tcPr>
          <w:p w14:paraId="6FBAB55F"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4.113.466</w:t>
            </w:r>
          </w:p>
        </w:tc>
        <w:tc>
          <w:tcPr>
            <w:tcW w:w="446" w:type="pct"/>
            <w:tcBorders>
              <w:top w:val="single" w:sz="4" w:space="0" w:color="auto"/>
              <w:left w:val="nil"/>
              <w:bottom w:val="single" w:sz="4" w:space="0" w:color="auto"/>
              <w:right w:val="nil"/>
            </w:tcBorders>
            <w:vAlign w:val="bottom"/>
            <w:hideMark/>
          </w:tcPr>
          <w:p w14:paraId="68CCF16C"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152.464</w:t>
            </w:r>
          </w:p>
        </w:tc>
        <w:tc>
          <w:tcPr>
            <w:tcW w:w="398" w:type="pct"/>
            <w:tcBorders>
              <w:top w:val="single" w:sz="4" w:space="0" w:color="auto"/>
              <w:left w:val="nil"/>
              <w:bottom w:val="single" w:sz="4" w:space="0" w:color="auto"/>
              <w:right w:val="nil"/>
            </w:tcBorders>
            <w:vAlign w:val="bottom"/>
            <w:hideMark/>
          </w:tcPr>
          <w:p w14:paraId="1956BC70"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57.751</w:t>
            </w:r>
          </w:p>
        </w:tc>
        <w:tc>
          <w:tcPr>
            <w:tcW w:w="600" w:type="pct"/>
            <w:tcBorders>
              <w:top w:val="single" w:sz="4" w:space="0" w:color="auto"/>
              <w:left w:val="nil"/>
              <w:bottom w:val="single" w:sz="4" w:space="0" w:color="auto"/>
              <w:right w:val="nil"/>
            </w:tcBorders>
            <w:vAlign w:val="bottom"/>
            <w:hideMark/>
          </w:tcPr>
          <w:p w14:paraId="2F87E65C"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16.171.616</w:t>
            </w:r>
          </w:p>
        </w:tc>
        <w:tc>
          <w:tcPr>
            <w:tcW w:w="601" w:type="pct"/>
            <w:tcBorders>
              <w:top w:val="single" w:sz="4" w:space="0" w:color="auto"/>
              <w:left w:val="nil"/>
              <w:bottom w:val="single" w:sz="4" w:space="0" w:color="auto"/>
              <w:right w:val="nil"/>
            </w:tcBorders>
            <w:vAlign w:val="bottom"/>
            <w:hideMark/>
          </w:tcPr>
          <w:p w14:paraId="0B9D30D1"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99.678.154</w:t>
            </w:r>
          </w:p>
        </w:tc>
      </w:tr>
      <w:tr w:rsidR="00A74C68" w:rsidRPr="00471CBA" w14:paraId="4E9116DE" w14:textId="77777777" w:rsidTr="00A74C68">
        <w:trPr>
          <w:divId w:val="758410951"/>
          <w:trHeight w:val="170"/>
        </w:trPr>
        <w:tc>
          <w:tcPr>
            <w:tcW w:w="1154" w:type="pct"/>
            <w:tcBorders>
              <w:top w:val="nil"/>
              <w:left w:val="nil"/>
              <w:bottom w:val="nil"/>
              <w:right w:val="nil"/>
            </w:tcBorders>
            <w:vAlign w:val="center"/>
            <w:hideMark/>
          </w:tcPr>
          <w:p w14:paraId="7BF53622" w14:textId="77777777" w:rsidR="00A74C68" w:rsidRPr="00471CBA" w:rsidRDefault="00A74C68" w:rsidP="00F36B82">
            <w:pPr>
              <w:spacing w:line="226" w:lineRule="auto"/>
              <w:jc w:val="right"/>
              <w:rPr>
                <w:b/>
                <w:bCs/>
                <w:color w:val="000000"/>
                <w:sz w:val="16"/>
                <w:szCs w:val="16"/>
              </w:rPr>
            </w:pPr>
          </w:p>
        </w:tc>
        <w:tc>
          <w:tcPr>
            <w:tcW w:w="455" w:type="pct"/>
            <w:tcBorders>
              <w:top w:val="nil"/>
              <w:left w:val="nil"/>
              <w:bottom w:val="nil"/>
              <w:right w:val="nil"/>
            </w:tcBorders>
            <w:vAlign w:val="bottom"/>
            <w:hideMark/>
          </w:tcPr>
          <w:p w14:paraId="092AA8B2" w14:textId="77777777" w:rsidR="00A74C68" w:rsidRPr="00471CBA" w:rsidRDefault="00A74C68" w:rsidP="00F36B82">
            <w:pPr>
              <w:spacing w:line="226" w:lineRule="auto"/>
              <w:jc w:val="right"/>
              <w:rPr>
                <w:szCs w:val="20"/>
              </w:rPr>
            </w:pPr>
          </w:p>
        </w:tc>
        <w:tc>
          <w:tcPr>
            <w:tcW w:w="482" w:type="pct"/>
            <w:tcBorders>
              <w:top w:val="nil"/>
              <w:left w:val="nil"/>
              <w:bottom w:val="nil"/>
              <w:right w:val="nil"/>
            </w:tcBorders>
            <w:vAlign w:val="bottom"/>
            <w:hideMark/>
          </w:tcPr>
          <w:p w14:paraId="44966F55" w14:textId="77777777" w:rsidR="00A74C68" w:rsidRPr="00471CBA" w:rsidRDefault="00A74C68" w:rsidP="00F36B82">
            <w:pPr>
              <w:spacing w:line="226" w:lineRule="auto"/>
              <w:jc w:val="right"/>
              <w:rPr>
                <w:szCs w:val="20"/>
              </w:rPr>
            </w:pPr>
          </w:p>
        </w:tc>
        <w:tc>
          <w:tcPr>
            <w:tcW w:w="446" w:type="pct"/>
            <w:tcBorders>
              <w:top w:val="nil"/>
              <w:left w:val="nil"/>
              <w:bottom w:val="nil"/>
              <w:right w:val="nil"/>
            </w:tcBorders>
            <w:vAlign w:val="bottom"/>
            <w:hideMark/>
          </w:tcPr>
          <w:p w14:paraId="5A39F255" w14:textId="77777777" w:rsidR="00A74C68" w:rsidRPr="00471CBA" w:rsidRDefault="00A74C68" w:rsidP="00F36B82">
            <w:pPr>
              <w:spacing w:line="226" w:lineRule="auto"/>
              <w:jc w:val="right"/>
              <w:rPr>
                <w:szCs w:val="20"/>
              </w:rPr>
            </w:pPr>
          </w:p>
        </w:tc>
        <w:tc>
          <w:tcPr>
            <w:tcW w:w="417" w:type="pct"/>
            <w:tcBorders>
              <w:top w:val="nil"/>
              <w:left w:val="nil"/>
              <w:bottom w:val="nil"/>
              <w:right w:val="nil"/>
            </w:tcBorders>
            <w:vAlign w:val="bottom"/>
            <w:hideMark/>
          </w:tcPr>
          <w:p w14:paraId="7C129AA4" w14:textId="77777777" w:rsidR="00A74C68" w:rsidRPr="00471CBA" w:rsidRDefault="00A74C68" w:rsidP="00F36B82">
            <w:pPr>
              <w:spacing w:line="226" w:lineRule="auto"/>
              <w:jc w:val="right"/>
              <w:rPr>
                <w:szCs w:val="20"/>
              </w:rPr>
            </w:pPr>
          </w:p>
        </w:tc>
        <w:tc>
          <w:tcPr>
            <w:tcW w:w="446" w:type="pct"/>
            <w:tcBorders>
              <w:top w:val="nil"/>
              <w:left w:val="nil"/>
              <w:bottom w:val="nil"/>
              <w:right w:val="nil"/>
            </w:tcBorders>
            <w:vAlign w:val="bottom"/>
            <w:hideMark/>
          </w:tcPr>
          <w:p w14:paraId="70C377C4" w14:textId="77777777" w:rsidR="00A74C68" w:rsidRPr="00471CBA" w:rsidRDefault="00A74C68" w:rsidP="00F36B82">
            <w:pPr>
              <w:spacing w:line="226" w:lineRule="auto"/>
              <w:jc w:val="right"/>
              <w:rPr>
                <w:szCs w:val="20"/>
              </w:rPr>
            </w:pPr>
          </w:p>
        </w:tc>
        <w:tc>
          <w:tcPr>
            <w:tcW w:w="398" w:type="pct"/>
            <w:tcBorders>
              <w:top w:val="nil"/>
              <w:left w:val="nil"/>
              <w:bottom w:val="nil"/>
              <w:right w:val="nil"/>
            </w:tcBorders>
            <w:vAlign w:val="bottom"/>
            <w:hideMark/>
          </w:tcPr>
          <w:p w14:paraId="15D69384" w14:textId="77777777" w:rsidR="00A74C68" w:rsidRPr="00471CBA" w:rsidRDefault="00A74C68" w:rsidP="00F36B82">
            <w:pPr>
              <w:spacing w:line="226" w:lineRule="auto"/>
              <w:jc w:val="right"/>
              <w:rPr>
                <w:szCs w:val="20"/>
              </w:rPr>
            </w:pPr>
          </w:p>
        </w:tc>
        <w:tc>
          <w:tcPr>
            <w:tcW w:w="600" w:type="pct"/>
            <w:tcBorders>
              <w:top w:val="nil"/>
              <w:left w:val="nil"/>
              <w:bottom w:val="nil"/>
              <w:right w:val="nil"/>
            </w:tcBorders>
            <w:vAlign w:val="bottom"/>
            <w:hideMark/>
          </w:tcPr>
          <w:p w14:paraId="63E5E56D" w14:textId="77777777" w:rsidR="00A74C68" w:rsidRPr="00471CBA" w:rsidRDefault="00A74C68" w:rsidP="00F36B82">
            <w:pPr>
              <w:spacing w:line="226" w:lineRule="auto"/>
              <w:jc w:val="right"/>
              <w:rPr>
                <w:szCs w:val="20"/>
              </w:rPr>
            </w:pPr>
          </w:p>
        </w:tc>
        <w:tc>
          <w:tcPr>
            <w:tcW w:w="601" w:type="pct"/>
            <w:tcBorders>
              <w:top w:val="nil"/>
              <w:left w:val="nil"/>
              <w:bottom w:val="nil"/>
              <w:right w:val="nil"/>
            </w:tcBorders>
            <w:vAlign w:val="bottom"/>
            <w:hideMark/>
          </w:tcPr>
          <w:p w14:paraId="059F6277" w14:textId="77777777" w:rsidR="00A74C68" w:rsidRPr="00471CBA" w:rsidRDefault="00A74C68" w:rsidP="00F36B82">
            <w:pPr>
              <w:spacing w:line="226" w:lineRule="auto"/>
              <w:jc w:val="right"/>
              <w:rPr>
                <w:szCs w:val="20"/>
              </w:rPr>
            </w:pPr>
          </w:p>
        </w:tc>
      </w:tr>
      <w:tr w:rsidR="00A74C68" w:rsidRPr="00471CBA" w14:paraId="26E3671B" w14:textId="77777777" w:rsidTr="00A74C68">
        <w:trPr>
          <w:divId w:val="758410951"/>
          <w:trHeight w:val="170"/>
        </w:trPr>
        <w:tc>
          <w:tcPr>
            <w:tcW w:w="1154" w:type="pct"/>
            <w:tcBorders>
              <w:top w:val="single" w:sz="4" w:space="0" w:color="auto"/>
              <w:left w:val="nil"/>
              <w:bottom w:val="single" w:sz="4" w:space="0" w:color="auto"/>
              <w:right w:val="nil"/>
            </w:tcBorders>
            <w:vAlign w:val="center"/>
            <w:hideMark/>
          </w:tcPr>
          <w:p w14:paraId="2F271FDC" w14:textId="77777777" w:rsidR="00A74C68" w:rsidRPr="00471CBA" w:rsidRDefault="00A74C68" w:rsidP="00F36B82">
            <w:pPr>
              <w:spacing w:line="226" w:lineRule="auto"/>
              <w:rPr>
                <w:b/>
                <w:bCs/>
                <w:color w:val="000000"/>
                <w:sz w:val="16"/>
                <w:szCs w:val="16"/>
              </w:rPr>
            </w:pPr>
            <w:r w:rsidRPr="00471CBA">
              <w:rPr>
                <w:b/>
                <w:bCs/>
                <w:color w:val="000000"/>
                <w:sz w:val="16"/>
                <w:szCs w:val="16"/>
              </w:rPr>
              <w:t>Likidite (Açığı)/Fazlası</w:t>
            </w:r>
          </w:p>
        </w:tc>
        <w:tc>
          <w:tcPr>
            <w:tcW w:w="455" w:type="pct"/>
            <w:tcBorders>
              <w:top w:val="single" w:sz="4" w:space="0" w:color="auto"/>
              <w:left w:val="nil"/>
              <w:bottom w:val="single" w:sz="4" w:space="0" w:color="auto"/>
              <w:right w:val="nil"/>
            </w:tcBorders>
            <w:vAlign w:val="bottom"/>
            <w:hideMark/>
          </w:tcPr>
          <w:p w14:paraId="0AFE1344" w14:textId="77777777" w:rsidR="00A74C68" w:rsidRPr="00471CBA" w:rsidRDefault="00A74C68" w:rsidP="00F36B82">
            <w:pPr>
              <w:spacing w:line="226" w:lineRule="auto"/>
              <w:jc w:val="right"/>
              <w:rPr>
                <w:b/>
                <w:bCs/>
                <w:color w:val="000000"/>
                <w:sz w:val="16"/>
                <w:szCs w:val="16"/>
                <w:lang w:eastAsia="tr-TR"/>
              </w:rPr>
            </w:pPr>
            <w:r w:rsidRPr="00471CBA">
              <w:rPr>
                <w:b/>
                <w:bCs/>
                <w:color w:val="000000"/>
                <w:sz w:val="16"/>
                <w:szCs w:val="16"/>
              </w:rPr>
              <w:t>(10.440.250</w:t>
            </w:r>
            <w:r w:rsidRPr="00471CBA">
              <w:rPr>
                <w:b/>
                <w:bCs/>
                <w:color w:val="000000"/>
                <w:sz w:val="16"/>
                <w:szCs w:val="16"/>
                <w:lang w:eastAsia="tr-TR"/>
              </w:rPr>
              <w:t>)</w:t>
            </w:r>
          </w:p>
        </w:tc>
        <w:tc>
          <w:tcPr>
            <w:tcW w:w="482" w:type="pct"/>
            <w:tcBorders>
              <w:top w:val="single" w:sz="4" w:space="0" w:color="auto"/>
              <w:left w:val="nil"/>
              <w:bottom w:val="single" w:sz="4" w:space="0" w:color="auto"/>
              <w:right w:val="nil"/>
            </w:tcBorders>
            <w:vAlign w:val="bottom"/>
            <w:hideMark/>
          </w:tcPr>
          <w:p w14:paraId="5035D119"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(10.867.769)</w:t>
            </w:r>
          </w:p>
        </w:tc>
        <w:tc>
          <w:tcPr>
            <w:tcW w:w="446" w:type="pct"/>
            <w:tcBorders>
              <w:top w:val="single" w:sz="4" w:space="0" w:color="auto"/>
              <w:left w:val="nil"/>
              <w:bottom w:val="single" w:sz="4" w:space="0" w:color="auto"/>
              <w:right w:val="nil"/>
            </w:tcBorders>
            <w:vAlign w:val="bottom"/>
            <w:hideMark/>
          </w:tcPr>
          <w:p w14:paraId="3BA38B2B" w14:textId="77777777" w:rsidR="00A74C68" w:rsidRPr="00471CBA" w:rsidRDefault="00A74C68" w:rsidP="00F36B82">
            <w:pPr>
              <w:spacing w:line="226" w:lineRule="auto"/>
              <w:jc w:val="right"/>
              <w:rPr>
                <w:b/>
                <w:bCs/>
                <w:color w:val="000000"/>
                <w:sz w:val="16"/>
                <w:szCs w:val="16"/>
                <w:lang w:eastAsia="tr-TR"/>
              </w:rPr>
            </w:pPr>
            <w:r w:rsidRPr="00471CBA">
              <w:rPr>
                <w:b/>
                <w:bCs/>
                <w:color w:val="000000"/>
                <w:sz w:val="16"/>
                <w:szCs w:val="16"/>
              </w:rPr>
              <w:t>(6.723.718</w:t>
            </w:r>
            <w:r w:rsidRPr="00471CBA">
              <w:rPr>
                <w:b/>
                <w:bCs/>
                <w:color w:val="000000"/>
                <w:sz w:val="16"/>
                <w:szCs w:val="16"/>
                <w:lang w:eastAsia="tr-TR"/>
              </w:rPr>
              <w:t>)</w:t>
            </w:r>
          </w:p>
        </w:tc>
        <w:tc>
          <w:tcPr>
            <w:tcW w:w="417" w:type="pct"/>
            <w:tcBorders>
              <w:top w:val="single" w:sz="4" w:space="0" w:color="auto"/>
              <w:left w:val="nil"/>
              <w:bottom w:val="single" w:sz="4" w:space="0" w:color="auto"/>
              <w:right w:val="nil"/>
            </w:tcBorders>
            <w:vAlign w:val="bottom"/>
            <w:hideMark/>
          </w:tcPr>
          <w:p w14:paraId="0C1EB75B"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24.011.778</w:t>
            </w:r>
          </w:p>
        </w:tc>
        <w:tc>
          <w:tcPr>
            <w:tcW w:w="446" w:type="pct"/>
            <w:tcBorders>
              <w:top w:val="single" w:sz="4" w:space="0" w:color="auto"/>
              <w:left w:val="nil"/>
              <w:bottom w:val="single" w:sz="4" w:space="0" w:color="auto"/>
              <w:right w:val="nil"/>
            </w:tcBorders>
            <w:vAlign w:val="bottom"/>
            <w:hideMark/>
          </w:tcPr>
          <w:p w14:paraId="116CE385"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17.469.793</w:t>
            </w:r>
          </w:p>
        </w:tc>
        <w:tc>
          <w:tcPr>
            <w:tcW w:w="398" w:type="pct"/>
            <w:tcBorders>
              <w:top w:val="single" w:sz="4" w:space="0" w:color="auto"/>
              <w:left w:val="nil"/>
              <w:bottom w:val="single" w:sz="4" w:space="0" w:color="auto"/>
              <w:right w:val="nil"/>
            </w:tcBorders>
            <w:vAlign w:val="bottom"/>
            <w:hideMark/>
          </w:tcPr>
          <w:p w14:paraId="19612768"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289.847</w:t>
            </w:r>
          </w:p>
        </w:tc>
        <w:tc>
          <w:tcPr>
            <w:tcW w:w="600" w:type="pct"/>
            <w:tcBorders>
              <w:top w:val="single" w:sz="4" w:space="0" w:color="auto"/>
              <w:left w:val="nil"/>
              <w:bottom w:val="single" w:sz="4" w:space="0" w:color="auto"/>
              <w:right w:val="nil"/>
            </w:tcBorders>
            <w:vAlign w:val="bottom"/>
            <w:hideMark/>
          </w:tcPr>
          <w:p w14:paraId="3F317C33"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(13.739.681)</w:t>
            </w:r>
          </w:p>
        </w:tc>
        <w:tc>
          <w:tcPr>
            <w:tcW w:w="601" w:type="pct"/>
            <w:tcBorders>
              <w:top w:val="single" w:sz="4" w:space="0" w:color="auto"/>
              <w:left w:val="nil"/>
              <w:bottom w:val="single" w:sz="4" w:space="0" w:color="auto"/>
              <w:right w:val="nil"/>
            </w:tcBorders>
            <w:vAlign w:val="bottom"/>
            <w:hideMark/>
          </w:tcPr>
          <w:p w14:paraId="68768BF0"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w:t>
            </w:r>
          </w:p>
        </w:tc>
      </w:tr>
      <w:tr w:rsidR="00A74C68" w:rsidRPr="00471CBA" w14:paraId="7D8AA629" w14:textId="77777777" w:rsidTr="00A74C68">
        <w:trPr>
          <w:divId w:val="758410951"/>
          <w:trHeight w:val="170"/>
        </w:trPr>
        <w:tc>
          <w:tcPr>
            <w:tcW w:w="1154" w:type="pct"/>
            <w:tcBorders>
              <w:top w:val="nil"/>
              <w:left w:val="nil"/>
              <w:bottom w:val="nil"/>
              <w:right w:val="nil"/>
            </w:tcBorders>
            <w:vAlign w:val="center"/>
            <w:hideMark/>
          </w:tcPr>
          <w:p w14:paraId="7CF74661" w14:textId="77777777" w:rsidR="00A74C68" w:rsidRPr="00471CBA" w:rsidRDefault="00A74C68" w:rsidP="00F36B82">
            <w:pPr>
              <w:spacing w:line="226" w:lineRule="auto"/>
              <w:jc w:val="right"/>
              <w:rPr>
                <w:b/>
                <w:bCs/>
                <w:color w:val="000000"/>
                <w:sz w:val="16"/>
                <w:szCs w:val="16"/>
              </w:rPr>
            </w:pPr>
          </w:p>
        </w:tc>
        <w:tc>
          <w:tcPr>
            <w:tcW w:w="455" w:type="pct"/>
            <w:tcBorders>
              <w:top w:val="nil"/>
              <w:left w:val="nil"/>
              <w:bottom w:val="nil"/>
              <w:right w:val="nil"/>
            </w:tcBorders>
            <w:vAlign w:val="bottom"/>
            <w:hideMark/>
          </w:tcPr>
          <w:p w14:paraId="3553F3B2" w14:textId="77777777" w:rsidR="00A74C68" w:rsidRPr="00471CBA" w:rsidRDefault="00A74C68" w:rsidP="00F36B82">
            <w:pPr>
              <w:spacing w:line="226" w:lineRule="auto"/>
              <w:jc w:val="right"/>
              <w:rPr>
                <w:szCs w:val="20"/>
              </w:rPr>
            </w:pPr>
          </w:p>
        </w:tc>
        <w:tc>
          <w:tcPr>
            <w:tcW w:w="482" w:type="pct"/>
            <w:tcBorders>
              <w:top w:val="nil"/>
              <w:left w:val="nil"/>
              <w:bottom w:val="nil"/>
              <w:right w:val="nil"/>
            </w:tcBorders>
            <w:vAlign w:val="bottom"/>
            <w:hideMark/>
          </w:tcPr>
          <w:p w14:paraId="70B8C243" w14:textId="77777777" w:rsidR="00A74C68" w:rsidRPr="00471CBA" w:rsidRDefault="00A74C68" w:rsidP="00F36B82">
            <w:pPr>
              <w:spacing w:line="226" w:lineRule="auto"/>
              <w:jc w:val="right"/>
              <w:rPr>
                <w:szCs w:val="20"/>
              </w:rPr>
            </w:pPr>
          </w:p>
        </w:tc>
        <w:tc>
          <w:tcPr>
            <w:tcW w:w="446" w:type="pct"/>
            <w:tcBorders>
              <w:top w:val="nil"/>
              <w:left w:val="nil"/>
              <w:bottom w:val="nil"/>
              <w:right w:val="nil"/>
            </w:tcBorders>
            <w:vAlign w:val="bottom"/>
            <w:hideMark/>
          </w:tcPr>
          <w:p w14:paraId="7B0172EE" w14:textId="77777777" w:rsidR="00A74C68" w:rsidRPr="00471CBA" w:rsidRDefault="00A74C68" w:rsidP="00F36B82">
            <w:pPr>
              <w:spacing w:line="226" w:lineRule="auto"/>
              <w:jc w:val="right"/>
              <w:rPr>
                <w:szCs w:val="20"/>
              </w:rPr>
            </w:pPr>
          </w:p>
        </w:tc>
        <w:tc>
          <w:tcPr>
            <w:tcW w:w="417" w:type="pct"/>
            <w:tcBorders>
              <w:top w:val="nil"/>
              <w:left w:val="nil"/>
              <w:bottom w:val="nil"/>
              <w:right w:val="nil"/>
            </w:tcBorders>
            <w:vAlign w:val="bottom"/>
            <w:hideMark/>
          </w:tcPr>
          <w:p w14:paraId="01A31890" w14:textId="77777777" w:rsidR="00A74C68" w:rsidRPr="00471CBA" w:rsidRDefault="00A74C68" w:rsidP="00F36B82">
            <w:pPr>
              <w:spacing w:line="226" w:lineRule="auto"/>
              <w:jc w:val="right"/>
              <w:rPr>
                <w:szCs w:val="20"/>
              </w:rPr>
            </w:pPr>
          </w:p>
        </w:tc>
        <w:tc>
          <w:tcPr>
            <w:tcW w:w="446" w:type="pct"/>
            <w:tcBorders>
              <w:top w:val="nil"/>
              <w:left w:val="nil"/>
              <w:bottom w:val="nil"/>
              <w:right w:val="nil"/>
            </w:tcBorders>
            <w:vAlign w:val="bottom"/>
            <w:hideMark/>
          </w:tcPr>
          <w:p w14:paraId="68F208C7" w14:textId="77777777" w:rsidR="00A74C68" w:rsidRPr="00471CBA" w:rsidRDefault="00A74C68" w:rsidP="00F36B82">
            <w:pPr>
              <w:spacing w:line="226" w:lineRule="auto"/>
              <w:jc w:val="right"/>
              <w:rPr>
                <w:szCs w:val="20"/>
              </w:rPr>
            </w:pPr>
          </w:p>
        </w:tc>
        <w:tc>
          <w:tcPr>
            <w:tcW w:w="398" w:type="pct"/>
            <w:tcBorders>
              <w:top w:val="nil"/>
              <w:left w:val="nil"/>
              <w:bottom w:val="nil"/>
              <w:right w:val="nil"/>
            </w:tcBorders>
            <w:vAlign w:val="bottom"/>
            <w:hideMark/>
          </w:tcPr>
          <w:p w14:paraId="2847AA8A" w14:textId="77777777" w:rsidR="00A74C68" w:rsidRPr="00471CBA" w:rsidRDefault="00A74C68" w:rsidP="00F36B82">
            <w:pPr>
              <w:spacing w:line="226" w:lineRule="auto"/>
              <w:jc w:val="right"/>
              <w:rPr>
                <w:szCs w:val="20"/>
              </w:rPr>
            </w:pPr>
          </w:p>
        </w:tc>
        <w:tc>
          <w:tcPr>
            <w:tcW w:w="600" w:type="pct"/>
            <w:tcBorders>
              <w:top w:val="nil"/>
              <w:left w:val="nil"/>
              <w:bottom w:val="nil"/>
              <w:right w:val="nil"/>
            </w:tcBorders>
            <w:vAlign w:val="bottom"/>
            <w:hideMark/>
          </w:tcPr>
          <w:p w14:paraId="606632D1" w14:textId="77777777" w:rsidR="00A74C68" w:rsidRPr="00471CBA" w:rsidRDefault="00A74C68" w:rsidP="00F36B82">
            <w:pPr>
              <w:spacing w:line="226" w:lineRule="auto"/>
              <w:jc w:val="right"/>
              <w:rPr>
                <w:szCs w:val="20"/>
              </w:rPr>
            </w:pPr>
          </w:p>
        </w:tc>
        <w:tc>
          <w:tcPr>
            <w:tcW w:w="601" w:type="pct"/>
            <w:tcBorders>
              <w:top w:val="nil"/>
              <w:left w:val="nil"/>
              <w:bottom w:val="nil"/>
              <w:right w:val="nil"/>
            </w:tcBorders>
            <w:vAlign w:val="bottom"/>
            <w:hideMark/>
          </w:tcPr>
          <w:p w14:paraId="4BB86F17" w14:textId="77777777" w:rsidR="00A74C68" w:rsidRPr="00471CBA" w:rsidRDefault="00A74C68" w:rsidP="00F36B82">
            <w:pPr>
              <w:spacing w:line="226" w:lineRule="auto"/>
              <w:jc w:val="right"/>
              <w:rPr>
                <w:szCs w:val="20"/>
              </w:rPr>
            </w:pPr>
          </w:p>
        </w:tc>
      </w:tr>
      <w:tr w:rsidR="00A74C68" w:rsidRPr="00471CBA" w14:paraId="094F47B8" w14:textId="77777777" w:rsidTr="00A74C68">
        <w:trPr>
          <w:divId w:val="758410951"/>
          <w:trHeight w:val="170"/>
        </w:trPr>
        <w:tc>
          <w:tcPr>
            <w:tcW w:w="1154" w:type="pct"/>
            <w:tcBorders>
              <w:top w:val="single" w:sz="4" w:space="0" w:color="auto"/>
              <w:left w:val="nil"/>
              <w:bottom w:val="single" w:sz="4" w:space="0" w:color="auto"/>
              <w:right w:val="nil"/>
            </w:tcBorders>
            <w:vAlign w:val="center"/>
            <w:hideMark/>
          </w:tcPr>
          <w:p w14:paraId="4B1566CF" w14:textId="77777777" w:rsidR="00A74C68" w:rsidRPr="00471CBA" w:rsidRDefault="00A74C68" w:rsidP="00F36B82">
            <w:pPr>
              <w:spacing w:line="226" w:lineRule="auto"/>
              <w:rPr>
                <w:b/>
                <w:bCs/>
                <w:color w:val="000000"/>
                <w:sz w:val="16"/>
                <w:szCs w:val="16"/>
              </w:rPr>
            </w:pPr>
            <w:r w:rsidRPr="00471CBA">
              <w:rPr>
                <w:b/>
                <w:bCs/>
                <w:color w:val="000000"/>
                <w:sz w:val="16"/>
                <w:szCs w:val="16"/>
              </w:rPr>
              <w:t>Net Bilanço Dışı Pozisyonu</w:t>
            </w:r>
          </w:p>
        </w:tc>
        <w:tc>
          <w:tcPr>
            <w:tcW w:w="455" w:type="pct"/>
            <w:tcBorders>
              <w:top w:val="single" w:sz="4" w:space="0" w:color="auto"/>
              <w:left w:val="nil"/>
              <w:bottom w:val="single" w:sz="4" w:space="0" w:color="auto"/>
              <w:right w:val="nil"/>
            </w:tcBorders>
            <w:vAlign w:val="bottom"/>
            <w:hideMark/>
          </w:tcPr>
          <w:p w14:paraId="0F15ED0B"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w:t>
            </w:r>
          </w:p>
        </w:tc>
        <w:tc>
          <w:tcPr>
            <w:tcW w:w="482" w:type="pct"/>
            <w:tcBorders>
              <w:top w:val="single" w:sz="4" w:space="0" w:color="auto"/>
              <w:left w:val="nil"/>
              <w:bottom w:val="single" w:sz="4" w:space="0" w:color="auto"/>
              <w:right w:val="nil"/>
            </w:tcBorders>
            <w:vAlign w:val="bottom"/>
            <w:hideMark/>
          </w:tcPr>
          <w:p w14:paraId="57336A4E" w14:textId="77777777" w:rsidR="00A74C68" w:rsidRPr="00471CBA" w:rsidRDefault="00A74C68" w:rsidP="00F36B82">
            <w:pPr>
              <w:spacing w:line="226" w:lineRule="auto"/>
              <w:jc w:val="right"/>
              <w:rPr>
                <w:b/>
                <w:bCs/>
                <w:color w:val="000000"/>
                <w:sz w:val="16"/>
                <w:szCs w:val="16"/>
                <w:lang w:eastAsia="tr-TR"/>
              </w:rPr>
            </w:pPr>
            <w:r w:rsidRPr="00471CBA">
              <w:rPr>
                <w:b/>
                <w:bCs/>
                <w:color w:val="000000"/>
                <w:sz w:val="16"/>
                <w:szCs w:val="16"/>
              </w:rPr>
              <w:t>(50.370</w:t>
            </w:r>
            <w:r w:rsidRPr="00471CBA">
              <w:rPr>
                <w:b/>
                <w:bCs/>
                <w:color w:val="000000"/>
                <w:sz w:val="16"/>
                <w:szCs w:val="16"/>
                <w:lang w:eastAsia="tr-TR"/>
              </w:rPr>
              <w:t>)</w:t>
            </w:r>
          </w:p>
        </w:tc>
        <w:tc>
          <w:tcPr>
            <w:tcW w:w="446" w:type="pct"/>
            <w:tcBorders>
              <w:top w:val="single" w:sz="4" w:space="0" w:color="auto"/>
              <w:left w:val="nil"/>
              <w:bottom w:val="single" w:sz="4" w:space="0" w:color="auto"/>
              <w:right w:val="nil"/>
            </w:tcBorders>
            <w:vAlign w:val="bottom"/>
            <w:hideMark/>
          </w:tcPr>
          <w:p w14:paraId="6A820BB9"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w:t>
            </w:r>
          </w:p>
        </w:tc>
        <w:tc>
          <w:tcPr>
            <w:tcW w:w="417" w:type="pct"/>
            <w:tcBorders>
              <w:top w:val="single" w:sz="4" w:space="0" w:color="auto"/>
              <w:left w:val="nil"/>
              <w:bottom w:val="single" w:sz="4" w:space="0" w:color="auto"/>
              <w:right w:val="nil"/>
            </w:tcBorders>
            <w:vAlign w:val="bottom"/>
            <w:hideMark/>
          </w:tcPr>
          <w:p w14:paraId="1A08ACCC"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w:t>
            </w:r>
          </w:p>
        </w:tc>
        <w:tc>
          <w:tcPr>
            <w:tcW w:w="446" w:type="pct"/>
            <w:tcBorders>
              <w:top w:val="single" w:sz="4" w:space="0" w:color="auto"/>
              <w:left w:val="nil"/>
              <w:bottom w:val="single" w:sz="4" w:space="0" w:color="auto"/>
              <w:right w:val="nil"/>
            </w:tcBorders>
            <w:vAlign w:val="bottom"/>
            <w:hideMark/>
          </w:tcPr>
          <w:p w14:paraId="59D9D9DC"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w:t>
            </w:r>
          </w:p>
        </w:tc>
        <w:tc>
          <w:tcPr>
            <w:tcW w:w="398" w:type="pct"/>
            <w:tcBorders>
              <w:top w:val="single" w:sz="4" w:space="0" w:color="auto"/>
              <w:left w:val="nil"/>
              <w:bottom w:val="single" w:sz="4" w:space="0" w:color="auto"/>
              <w:right w:val="nil"/>
            </w:tcBorders>
            <w:vAlign w:val="bottom"/>
            <w:hideMark/>
          </w:tcPr>
          <w:p w14:paraId="1587BF44"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w:t>
            </w:r>
          </w:p>
        </w:tc>
        <w:tc>
          <w:tcPr>
            <w:tcW w:w="600" w:type="pct"/>
            <w:tcBorders>
              <w:top w:val="single" w:sz="4" w:space="0" w:color="auto"/>
              <w:left w:val="nil"/>
              <w:bottom w:val="single" w:sz="4" w:space="0" w:color="auto"/>
              <w:right w:val="nil"/>
            </w:tcBorders>
            <w:vAlign w:val="bottom"/>
            <w:hideMark/>
          </w:tcPr>
          <w:p w14:paraId="13C14E3A"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w:t>
            </w:r>
          </w:p>
        </w:tc>
        <w:tc>
          <w:tcPr>
            <w:tcW w:w="601" w:type="pct"/>
            <w:tcBorders>
              <w:top w:val="single" w:sz="4" w:space="0" w:color="auto"/>
              <w:left w:val="nil"/>
              <w:bottom w:val="single" w:sz="4" w:space="0" w:color="auto"/>
              <w:right w:val="nil"/>
            </w:tcBorders>
            <w:vAlign w:val="bottom"/>
            <w:hideMark/>
          </w:tcPr>
          <w:p w14:paraId="79E2B539" w14:textId="77777777" w:rsidR="00A74C68" w:rsidRPr="00471CBA" w:rsidRDefault="00A74C68" w:rsidP="00F36B82">
            <w:pPr>
              <w:spacing w:line="226" w:lineRule="auto"/>
              <w:jc w:val="right"/>
              <w:rPr>
                <w:b/>
                <w:bCs/>
                <w:color w:val="000000"/>
                <w:sz w:val="16"/>
                <w:szCs w:val="16"/>
                <w:lang w:eastAsia="tr-TR"/>
              </w:rPr>
            </w:pPr>
            <w:r w:rsidRPr="00471CBA">
              <w:rPr>
                <w:b/>
                <w:bCs/>
                <w:color w:val="000000"/>
                <w:sz w:val="16"/>
                <w:szCs w:val="16"/>
              </w:rPr>
              <w:t>(50.370</w:t>
            </w:r>
            <w:r w:rsidRPr="00471CBA">
              <w:rPr>
                <w:b/>
                <w:bCs/>
                <w:color w:val="000000"/>
                <w:sz w:val="16"/>
                <w:szCs w:val="16"/>
                <w:lang w:eastAsia="tr-TR"/>
              </w:rPr>
              <w:t>)</w:t>
            </w:r>
          </w:p>
        </w:tc>
      </w:tr>
      <w:tr w:rsidR="00A74C68" w:rsidRPr="00471CBA" w14:paraId="0860778F" w14:textId="77777777" w:rsidTr="00A74C68">
        <w:trPr>
          <w:divId w:val="758410951"/>
          <w:trHeight w:val="170"/>
        </w:trPr>
        <w:tc>
          <w:tcPr>
            <w:tcW w:w="1154" w:type="pct"/>
            <w:tcBorders>
              <w:top w:val="nil"/>
              <w:left w:val="nil"/>
              <w:bottom w:val="nil"/>
              <w:right w:val="nil"/>
            </w:tcBorders>
            <w:vAlign w:val="center"/>
            <w:hideMark/>
          </w:tcPr>
          <w:p w14:paraId="417F02A2" w14:textId="77777777" w:rsidR="00A74C68" w:rsidRPr="00471CBA" w:rsidRDefault="00A74C68" w:rsidP="00F36B82">
            <w:pPr>
              <w:spacing w:line="226" w:lineRule="auto"/>
              <w:rPr>
                <w:color w:val="000000"/>
                <w:sz w:val="16"/>
                <w:szCs w:val="16"/>
              </w:rPr>
            </w:pPr>
            <w:r w:rsidRPr="00471CBA">
              <w:rPr>
                <w:snapToGrid w:val="0"/>
                <w:color w:val="000000"/>
                <w:sz w:val="16"/>
                <w:szCs w:val="16"/>
              </w:rPr>
              <w:t>Türev Finansal Araçlardan Alacaklar</w:t>
            </w:r>
          </w:p>
        </w:tc>
        <w:tc>
          <w:tcPr>
            <w:tcW w:w="455" w:type="pct"/>
            <w:tcBorders>
              <w:top w:val="nil"/>
              <w:left w:val="nil"/>
              <w:bottom w:val="nil"/>
              <w:right w:val="nil"/>
            </w:tcBorders>
            <w:vAlign w:val="bottom"/>
            <w:hideMark/>
          </w:tcPr>
          <w:p w14:paraId="4094E1CF"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482" w:type="pct"/>
            <w:tcBorders>
              <w:top w:val="nil"/>
              <w:left w:val="nil"/>
              <w:bottom w:val="nil"/>
              <w:right w:val="nil"/>
            </w:tcBorders>
            <w:vAlign w:val="bottom"/>
            <w:hideMark/>
          </w:tcPr>
          <w:p w14:paraId="2AA79DB0" w14:textId="77777777" w:rsidR="00A74C68" w:rsidRPr="00471CBA" w:rsidRDefault="00A74C68" w:rsidP="00F36B82">
            <w:pPr>
              <w:spacing w:line="226" w:lineRule="auto"/>
              <w:jc w:val="right"/>
              <w:rPr>
                <w:color w:val="000000"/>
                <w:sz w:val="16"/>
                <w:szCs w:val="16"/>
              </w:rPr>
            </w:pPr>
            <w:r w:rsidRPr="00471CBA">
              <w:rPr>
                <w:color w:val="000000"/>
                <w:sz w:val="16"/>
                <w:szCs w:val="16"/>
              </w:rPr>
              <w:t>137.096.210</w:t>
            </w:r>
          </w:p>
        </w:tc>
        <w:tc>
          <w:tcPr>
            <w:tcW w:w="446" w:type="pct"/>
            <w:tcBorders>
              <w:top w:val="nil"/>
              <w:left w:val="nil"/>
              <w:bottom w:val="nil"/>
              <w:right w:val="nil"/>
            </w:tcBorders>
            <w:vAlign w:val="bottom"/>
            <w:hideMark/>
          </w:tcPr>
          <w:p w14:paraId="7B593A75"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417" w:type="pct"/>
            <w:tcBorders>
              <w:top w:val="nil"/>
              <w:left w:val="nil"/>
              <w:bottom w:val="nil"/>
              <w:right w:val="nil"/>
            </w:tcBorders>
            <w:vAlign w:val="bottom"/>
            <w:hideMark/>
          </w:tcPr>
          <w:p w14:paraId="29248C52"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446" w:type="pct"/>
            <w:tcBorders>
              <w:top w:val="nil"/>
              <w:left w:val="nil"/>
              <w:bottom w:val="nil"/>
              <w:right w:val="nil"/>
            </w:tcBorders>
            <w:vAlign w:val="bottom"/>
            <w:hideMark/>
          </w:tcPr>
          <w:p w14:paraId="7A27FC54"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398" w:type="pct"/>
            <w:tcBorders>
              <w:top w:val="nil"/>
              <w:left w:val="nil"/>
              <w:bottom w:val="nil"/>
              <w:right w:val="nil"/>
            </w:tcBorders>
            <w:vAlign w:val="bottom"/>
            <w:hideMark/>
          </w:tcPr>
          <w:p w14:paraId="6B081AD9"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600" w:type="pct"/>
            <w:tcBorders>
              <w:top w:val="nil"/>
              <w:left w:val="nil"/>
              <w:bottom w:val="nil"/>
              <w:right w:val="nil"/>
            </w:tcBorders>
            <w:vAlign w:val="bottom"/>
            <w:hideMark/>
          </w:tcPr>
          <w:p w14:paraId="30FAEC3F"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601" w:type="pct"/>
            <w:tcBorders>
              <w:top w:val="nil"/>
              <w:left w:val="nil"/>
              <w:bottom w:val="nil"/>
              <w:right w:val="nil"/>
            </w:tcBorders>
            <w:vAlign w:val="bottom"/>
            <w:hideMark/>
          </w:tcPr>
          <w:p w14:paraId="2545F8A4" w14:textId="77777777" w:rsidR="00A74C68" w:rsidRPr="00471CBA" w:rsidRDefault="00A74C68" w:rsidP="00F36B82">
            <w:pPr>
              <w:spacing w:line="226" w:lineRule="auto"/>
              <w:jc w:val="right"/>
              <w:rPr>
                <w:color w:val="000000"/>
                <w:sz w:val="16"/>
                <w:szCs w:val="16"/>
              </w:rPr>
            </w:pPr>
            <w:r w:rsidRPr="00471CBA">
              <w:rPr>
                <w:color w:val="000000"/>
                <w:sz w:val="16"/>
                <w:szCs w:val="16"/>
              </w:rPr>
              <w:t>137.096.210</w:t>
            </w:r>
          </w:p>
        </w:tc>
      </w:tr>
      <w:tr w:rsidR="00A74C68" w:rsidRPr="00471CBA" w14:paraId="4EB088A7" w14:textId="77777777" w:rsidTr="00A74C68">
        <w:trPr>
          <w:divId w:val="758410951"/>
          <w:trHeight w:val="170"/>
        </w:trPr>
        <w:tc>
          <w:tcPr>
            <w:tcW w:w="1154" w:type="pct"/>
            <w:tcBorders>
              <w:top w:val="nil"/>
              <w:left w:val="nil"/>
              <w:bottom w:val="nil"/>
              <w:right w:val="nil"/>
            </w:tcBorders>
            <w:vAlign w:val="center"/>
            <w:hideMark/>
          </w:tcPr>
          <w:p w14:paraId="77D76377" w14:textId="77777777" w:rsidR="00A74C68" w:rsidRPr="00471CBA" w:rsidRDefault="00A74C68" w:rsidP="00F36B82">
            <w:pPr>
              <w:spacing w:line="226" w:lineRule="auto"/>
              <w:rPr>
                <w:color w:val="000000"/>
                <w:sz w:val="16"/>
                <w:szCs w:val="16"/>
              </w:rPr>
            </w:pPr>
            <w:r w:rsidRPr="00471CBA">
              <w:rPr>
                <w:snapToGrid w:val="0"/>
                <w:color w:val="000000"/>
                <w:sz w:val="16"/>
                <w:szCs w:val="16"/>
              </w:rPr>
              <w:t>Türev Finansal Araçlardan Borçlar</w:t>
            </w:r>
          </w:p>
        </w:tc>
        <w:tc>
          <w:tcPr>
            <w:tcW w:w="455" w:type="pct"/>
            <w:tcBorders>
              <w:top w:val="nil"/>
              <w:left w:val="nil"/>
              <w:bottom w:val="nil"/>
              <w:right w:val="nil"/>
            </w:tcBorders>
            <w:vAlign w:val="bottom"/>
            <w:hideMark/>
          </w:tcPr>
          <w:p w14:paraId="1D0FC71E"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482" w:type="pct"/>
            <w:tcBorders>
              <w:top w:val="nil"/>
              <w:left w:val="nil"/>
              <w:bottom w:val="nil"/>
              <w:right w:val="nil"/>
            </w:tcBorders>
            <w:vAlign w:val="bottom"/>
            <w:hideMark/>
          </w:tcPr>
          <w:p w14:paraId="0156792F" w14:textId="77777777" w:rsidR="00A74C68" w:rsidRPr="00471CBA" w:rsidRDefault="00A74C68" w:rsidP="00F36B82">
            <w:pPr>
              <w:spacing w:line="226" w:lineRule="auto"/>
              <w:jc w:val="right"/>
              <w:rPr>
                <w:color w:val="000000"/>
                <w:sz w:val="16"/>
                <w:szCs w:val="16"/>
              </w:rPr>
            </w:pPr>
            <w:r w:rsidRPr="00471CBA">
              <w:rPr>
                <w:color w:val="000000"/>
                <w:sz w:val="16"/>
                <w:szCs w:val="16"/>
              </w:rPr>
              <w:t>137.146.580</w:t>
            </w:r>
          </w:p>
        </w:tc>
        <w:tc>
          <w:tcPr>
            <w:tcW w:w="446" w:type="pct"/>
            <w:tcBorders>
              <w:top w:val="nil"/>
              <w:left w:val="nil"/>
              <w:bottom w:val="nil"/>
              <w:right w:val="nil"/>
            </w:tcBorders>
            <w:vAlign w:val="bottom"/>
            <w:hideMark/>
          </w:tcPr>
          <w:p w14:paraId="6D73A4C9"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417" w:type="pct"/>
            <w:tcBorders>
              <w:top w:val="nil"/>
              <w:left w:val="nil"/>
              <w:bottom w:val="nil"/>
              <w:right w:val="nil"/>
            </w:tcBorders>
            <w:vAlign w:val="bottom"/>
            <w:hideMark/>
          </w:tcPr>
          <w:p w14:paraId="0885B360"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446" w:type="pct"/>
            <w:tcBorders>
              <w:top w:val="nil"/>
              <w:left w:val="nil"/>
              <w:bottom w:val="nil"/>
              <w:right w:val="nil"/>
            </w:tcBorders>
            <w:vAlign w:val="bottom"/>
            <w:hideMark/>
          </w:tcPr>
          <w:p w14:paraId="0C3F2EBD"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398" w:type="pct"/>
            <w:tcBorders>
              <w:top w:val="nil"/>
              <w:left w:val="nil"/>
              <w:bottom w:val="nil"/>
              <w:right w:val="nil"/>
            </w:tcBorders>
            <w:vAlign w:val="bottom"/>
            <w:hideMark/>
          </w:tcPr>
          <w:p w14:paraId="6EF0B95C"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600" w:type="pct"/>
            <w:tcBorders>
              <w:top w:val="nil"/>
              <w:left w:val="nil"/>
              <w:bottom w:val="nil"/>
              <w:right w:val="nil"/>
            </w:tcBorders>
            <w:vAlign w:val="bottom"/>
            <w:hideMark/>
          </w:tcPr>
          <w:p w14:paraId="2404012C"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601" w:type="pct"/>
            <w:tcBorders>
              <w:top w:val="nil"/>
              <w:left w:val="nil"/>
              <w:bottom w:val="nil"/>
              <w:right w:val="nil"/>
            </w:tcBorders>
            <w:vAlign w:val="bottom"/>
            <w:hideMark/>
          </w:tcPr>
          <w:p w14:paraId="48ADCD79" w14:textId="77777777" w:rsidR="00A74C68" w:rsidRPr="00471CBA" w:rsidRDefault="00A74C68" w:rsidP="00F36B82">
            <w:pPr>
              <w:spacing w:line="226" w:lineRule="auto"/>
              <w:jc w:val="right"/>
              <w:rPr>
                <w:color w:val="000000"/>
                <w:sz w:val="16"/>
                <w:szCs w:val="16"/>
              </w:rPr>
            </w:pPr>
            <w:r w:rsidRPr="00471CBA">
              <w:rPr>
                <w:color w:val="000000"/>
                <w:sz w:val="16"/>
                <w:szCs w:val="16"/>
              </w:rPr>
              <w:t>137.146.580</w:t>
            </w:r>
          </w:p>
        </w:tc>
      </w:tr>
      <w:tr w:rsidR="00A74C68" w:rsidRPr="00471CBA" w14:paraId="69C0998A" w14:textId="77777777" w:rsidTr="00A74C68">
        <w:trPr>
          <w:divId w:val="758410951"/>
          <w:trHeight w:val="170"/>
        </w:trPr>
        <w:tc>
          <w:tcPr>
            <w:tcW w:w="1154" w:type="pct"/>
            <w:tcBorders>
              <w:top w:val="single" w:sz="4" w:space="0" w:color="auto"/>
              <w:left w:val="nil"/>
              <w:bottom w:val="single" w:sz="4" w:space="0" w:color="auto"/>
              <w:right w:val="nil"/>
            </w:tcBorders>
            <w:vAlign w:val="center"/>
            <w:hideMark/>
          </w:tcPr>
          <w:p w14:paraId="65774582" w14:textId="77777777" w:rsidR="00A74C68" w:rsidRPr="00471CBA" w:rsidRDefault="00A74C68" w:rsidP="00F36B82">
            <w:pPr>
              <w:spacing w:line="226" w:lineRule="auto"/>
              <w:rPr>
                <w:b/>
                <w:bCs/>
                <w:color w:val="000000"/>
                <w:sz w:val="16"/>
                <w:szCs w:val="16"/>
              </w:rPr>
            </w:pPr>
            <w:proofErr w:type="spellStart"/>
            <w:r w:rsidRPr="00471CBA">
              <w:rPr>
                <w:b/>
                <w:bCs/>
                <w:color w:val="000000"/>
                <w:sz w:val="16"/>
                <w:szCs w:val="16"/>
              </w:rPr>
              <w:t>Gayrinakdi</w:t>
            </w:r>
            <w:proofErr w:type="spellEnd"/>
            <w:r w:rsidRPr="00471CBA">
              <w:rPr>
                <w:b/>
                <w:bCs/>
                <w:color w:val="000000"/>
                <w:sz w:val="16"/>
                <w:szCs w:val="16"/>
              </w:rPr>
              <w:t xml:space="preserve"> Krediler</w:t>
            </w:r>
          </w:p>
        </w:tc>
        <w:tc>
          <w:tcPr>
            <w:tcW w:w="455" w:type="pct"/>
            <w:tcBorders>
              <w:top w:val="single" w:sz="4" w:space="0" w:color="auto"/>
              <w:left w:val="nil"/>
              <w:bottom w:val="single" w:sz="4" w:space="0" w:color="auto"/>
              <w:right w:val="nil"/>
            </w:tcBorders>
            <w:vAlign w:val="bottom"/>
            <w:hideMark/>
          </w:tcPr>
          <w:p w14:paraId="2BB27A13"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7.394.675</w:t>
            </w:r>
          </w:p>
        </w:tc>
        <w:tc>
          <w:tcPr>
            <w:tcW w:w="482" w:type="pct"/>
            <w:tcBorders>
              <w:top w:val="single" w:sz="4" w:space="0" w:color="auto"/>
              <w:left w:val="nil"/>
              <w:bottom w:val="single" w:sz="4" w:space="0" w:color="auto"/>
              <w:right w:val="nil"/>
            </w:tcBorders>
            <w:vAlign w:val="bottom"/>
            <w:hideMark/>
          </w:tcPr>
          <w:p w14:paraId="7901E951"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1.591.623</w:t>
            </w:r>
          </w:p>
        </w:tc>
        <w:tc>
          <w:tcPr>
            <w:tcW w:w="446" w:type="pct"/>
            <w:tcBorders>
              <w:top w:val="single" w:sz="4" w:space="0" w:color="auto"/>
              <w:left w:val="nil"/>
              <w:bottom w:val="single" w:sz="4" w:space="0" w:color="auto"/>
              <w:right w:val="nil"/>
            </w:tcBorders>
            <w:vAlign w:val="bottom"/>
            <w:hideMark/>
          </w:tcPr>
          <w:p w14:paraId="5960AE07"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2.472.209</w:t>
            </w:r>
          </w:p>
        </w:tc>
        <w:tc>
          <w:tcPr>
            <w:tcW w:w="417" w:type="pct"/>
            <w:tcBorders>
              <w:top w:val="single" w:sz="4" w:space="0" w:color="auto"/>
              <w:left w:val="nil"/>
              <w:bottom w:val="single" w:sz="4" w:space="0" w:color="auto"/>
              <w:right w:val="nil"/>
            </w:tcBorders>
            <w:vAlign w:val="bottom"/>
            <w:hideMark/>
          </w:tcPr>
          <w:p w14:paraId="6D012812"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8.149.846</w:t>
            </w:r>
          </w:p>
        </w:tc>
        <w:tc>
          <w:tcPr>
            <w:tcW w:w="446" w:type="pct"/>
            <w:tcBorders>
              <w:top w:val="single" w:sz="4" w:space="0" w:color="auto"/>
              <w:left w:val="nil"/>
              <w:bottom w:val="single" w:sz="4" w:space="0" w:color="auto"/>
              <w:right w:val="nil"/>
            </w:tcBorders>
            <w:vAlign w:val="bottom"/>
            <w:hideMark/>
          </w:tcPr>
          <w:p w14:paraId="606B1919"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6.036.871</w:t>
            </w:r>
          </w:p>
        </w:tc>
        <w:tc>
          <w:tcPr>
            <w:tcW w:w="398" w:type="pct"/>
            <w:tcBorders>
              <w:top w:val="single" w:sz="4" w:space="0" w:color="auto"/>
              <w:left w:val="nil"/>
              <w:bottom w:val="single" w:sz="4" w:space="0" w:color="auto"/>
              <w:right w:val="nil"/>
            </w:tcBorders>
            <w:vAlign w:val="bottom"/>
            <w:hideMark/>
          </w:tcPr>
          <w:p w14:paraId="07AEB6EB"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35.459</w:t>
            </w:r>
          </w:p>
        </w:tc>
        <w:tc>
          <w:tcPr>
            <w:tcW w:w="600" w:type="pct"/>
            <w:tcBorders>
              <w:top w:val="single" w:sz="4" w:space="0" w:color="auto"/>
              <w:left w:val="nil"/>
              <w:bottom w:val="single" w:sz="4" w:space="0" w:color="auto"/>
              <w:right w:val="nil"/>
            </w:tcBorders>
            <w:vAlign w:val="bottom"/>
            <w:hideMark/>
          </w:tcPr>
          <w:p w14:paraId="54ABF8E3"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w:t>
            </w:r>
          </w:p>
        </w:tc>
        <w:tc>
          <w:tcPr>
            <w:tcW w:w="601" w:type="pct"/>
            <w:tcBorders>
              <w:top w:val="single" w:sz="4" w:space="0" w:color="auto"/>
              <w:left w:val="nil"/>
              <w:bottom w:val="single" w:sz="4" w:space="0" w:color="auto"/>
              <w:right w:val="nil"/>
            </w:tcBorders>
            <w:vAlign w:val="bottom"/>
            <w:hideMark/>
          </w:tcPr>
          <w:p w14:paraId="6477FA0C"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25.680.683</w:t>
            </w:r>
          </w:p>
        </w:tc>
      </w:tr>
      <w:tr w:rsidR="00A74C68" w:rsidRPr="00471CBA" w14:paraId="547D2261" w14:textId="77777777" w:rsidTr="00A74C68">
        <w:trPr>
          <w:divId w:val="758410951"/>
          <w:trHeight w:val="170"/>
        </w:trPr>
        <w:tc>
          <w:tcPr>
            <w:tcW w:w="1154" w:type="pct"/>
            <w:tcBorders>
              <w:top w:val="nil"/>
              <w:left w:val="nil"/>
              <w:bottom w:val="nil"/>
              <w:right w:val="nil"/>
            </w:tcBorders>
            <w:vAlign w:val="center"/>
            <w:hideMark/>
          </w:tcPr>
          <w:p w14:paraId="1CCF34A7" w14:textId="77777777" w:rsidR="00A74C68" w:rsidRPr="00471CBA" w:rsidRDefault="00A74C68" w:rsidP="00F36B82">
            <w:pPr>
              <w:spacing w:line="226" w:lineRule="auto"/>
              <w:jc w:val="right"/>
              <w:rPr>
                <w:b/>
                <w:bCs/>
                <w:color w:val="000000"/>
                <w:sz w:val="16"/>
                <w:szCs w:val="16"/>
              </w:rPr>
            </w:pPr>
          </w:p>
        </w:tc>
        <w:tc>
          <w:tcPr>
            <w:tcW w:w="455" w:type="pct"/>
            <w:tcBorders>
              <w:top w:val="nil"/>
              <w:left w:val="nil"/>
              <w:bottom w:val="nil"/>
              <w:right w:val="nil"/>
            </w:tcBorders>
            <w:vAlign w:val="bottom"/>
            <w:hideMark/>
          </w:tcPr>
          <w:p w14:paraId="5423A543" w14:textId="77777777" w:rsidR="00A74C68" w:rsidRPr="00471CBA" w:rsidRDefault="00A74C68" w:rsidP="00F36B82">
            <w:pPr>
              <w:spacing w:line="226" w:lineRule="auto"/>
              <w:jc w:val="right"/>
              <w:rPr>
                <w:szCs w:val="20"/>
              </w:rPr>
            </w:pPr>
          </w:p>
        </w:tc>
        <w:tc>
          <w:tcPr>
            <w:tcW w:w="482" w:type="pct"/>
            <w:tcBorders>
              <w:top w:val="nil"/>
              <w:left w:val="nil"/>
              <w:bottom w:val="nil"/>
              <w:right w:val="nil"/>
            </w:tcBorders>
            <w:vAlign w:val="bottom"/>
            <w:hideMark/>
          </w:tcPr>
          <w:p w14:paraId="7687D6D3" w14:textId="77777777" w:rsidR="00A74C68" w:rsidRPr="00471CBA" w:rsidRDefault="00A74C68" w:rsidP="00F36B82">
            <w:pPr>
              <w:spacing w:line="226" w:lineRule="auto"/>
              <w:jc w:val="right"/>
              <w:rPr>
                <w:szCs w:val="20"/>
              </w:rPr>
            </w:pPr>
          </w:p>
        </w:tc>
        <w:tc>
          <w:tcPr>
            <w:tcW w:w="446" w:type="pct"/>
            <w:tcBorders>
              <w:top w:val="nil"/>
              <w:left w:val="nil"/>
              <w:bottom w:val="nil"/>
              <w:right w:val="nil"/>
            </w:tcBorders>
            <w:vAlign w:val="bottom"/>
            <w:hideMark/>
          </w:tcPr>
          <w:p w14:paraId="54495489" w14:textId="77777777" w:rsidR="00A74C68" w:rsidRPr="00471CBA" w:rsidRDefault="00A74C68" w:rsidP="00F36B82">
            <w:pPr>
              <w:spacing w:line="226" w:lineRule="auto"/>
              <w:jc w:val="right"/>
              <w:rPr>
                <w:szCs w:val="20"/>
              </w:rPr>
            </w:pPr>
          </w:p>
        </w:tc>
        <w:tc>
          <w:tcPr>
            <w:tcW w:w="417" w:type="pct"/>
            <w:tcBorders>
              <w:top w:val="nil"/>
              <w:left w:val="nil"/>
              <w:bottom w:val="nil"/>
              <w:right w:val="nil"/>
            </w:tcBorders>
            <w:vAlign w:val="bottom"/>
            <w:hideMark/>
          </w:tcPr>
          <w:p w14:paraId="1C3CFD97" w14:textId="77777777" w:rsidR="00A74C68" w:rsidRPr="00471CBA" w:rsidRDefault="00A74C68" w:rsidP="00F36B82">
            <w:pPr>
              <w:spacing w:line="226" w:lineRule="auto"/>
              <w:jc w:val="right"/>
              <w:rPr>
                <w:szCs w:val="20"/>
              </w:rPr>
            </w:pPr>
          </w:p>
        </w:tc>
        <w:tc>
          <w:tcPr>
            <w:tcW w:w="446" w:type="pct"/>
            <w:tcBorders>
              <w:top w:val="nil"/>
              <w:left w:val="nil"/>
              <w:bottom w:val="nil"/>
              <w:right w:val="nil"/>
            </w:tcBorders>
            <w:vAlign w:val="bottom"/>
            <w:hideMark/>
          </w:tcPr>
          <w:p w14:paraId="6AD939F5" w14:textId="77777777" w:rsidR="00A74C68" w:rsidRPr="00471CBA" w:rsidRDefault="00A74C68" w:rsidP="00F36B82">
            <w:pPr>
              <w:spacing w:line="226" w:lineRule="auto"/>
              <w:jc w:val="right"/>
              <w:rPr>
                <w:szCs w:val="20"/>
              </w:rPr>
            </w:pPr>
          </w:p>
        </w:tc>
        <w:tc>
          <w:tcPr>
            <w:tcW w:w="398" w:type="pct"/>
            <w:tcBorders>
              <w:top w:val="nil"/>
              <w:left w:val="nil"/>
              <w:bottom w:val="nil"/>
              <w:right w:val="nil"/>
            </w:tcBorders>
            <w:vAlign w:val="bottom"/>
            <w:hideMark/>
          </w:tcPr>
          <w:p w14:paraId="2A915D5F" w14:textId="77777777" w:rsidR="00A74C68" w:rsidRPr="00471CBA" w:rsidRDefault="00A74C68" w:rsidP="00F36B82">
            <w:pPr>
              <w:spacing w:line="226" w:lineRule="auto"/>
              <w:jc w:val="right"/>
              <w:rPr>
                <w:szCs w:val="20"/>
              </w:rPr>
            </w:pPr>
          </w:p>
        </w:tc>
        <w:tc>
          <w:tcPr>
            <w:tcW w:w="600" w:type="pct"/>
            <w:tcBorders>
              <w:top w:val="nil"/>
              <w:left w:val="nil"/>
              <w:bottom w:val="nil"/>
              <w:right w:val="nil"/>
            </w:tcBorders>
            <w:vAlign w:val="bottom"/>
            <w:hideMark/>
          </w:tcPr>
          <w:p w14:paraId="25B7D89C" w14:textId="77777777" w:rsidR="00A74C68" w:rsidRPr="00471CBA" w:rsidRDefault="00A74C68" w:rsidP="00F36B82">
            <w:pPr>
              <w:spacing w:line="226" w:lineRule="auto"/>
              <w:jc w:val="right"/>
              <w:rPr>
                <w:szCs w:val="20"/>
              </w:rPr>
            </w:pPr>
          </w:p>
        </w:tc>
        <w:tc>
          <w:tcPr>
            <w:tcW w:w="601" w:type="pct"/>
            <w:tcBorders>
              <w:top w:val="nil"/>
              <w:left w:val="nil"/>
              <w:bottom w:val="nil"/>
              <w:right w:val="nil"/>
            </w:tcBorders>
            <w:vAlign w:val="bottom"/>
            <w:hideMark/>
          </w:tcPr>
          <w:p w14:paraId="18FD9D02" w14:textId="77777777" w:rsidR="00A74C68" w:rsidRPr="00471CBA" w:rsidRDefault="00A74C68" w:rsidP="00F36B82">
            <w:pPr>
              <w:spacing w:line="226" w:lineRule="auto"/>
              <w:jc w:val="right"/>
              <w:rPr>
                <w:szCs w:val="20"/>
              </w:rPr>
            </w:pPr>
          </w:p>
        </w:tc>
      </w:tr>
      <w:tr w:rsidR="00A74C68" w:rsidRPr="00471CBA" w14:paraId="49ED3F3A" w14:textId="77777777" w:rsidTr="00A74C68">
        <w:trPr>
          <w:divId w:val="758410951"/>
          <w:trHeight w:val="170"/>
        </w:trPr>
        <w:tc>
          <w:tcPr>
            <w:tcW w:w="1154" w:type="pct"/>
            <w:tcBorders>
              <w:top w:val="nil"/>
              <w:left w:val="nil"/>
              <w:bottom w:val="single" w:sz="4" w:space="0" w:color="auto"/>
              <w:right w:val="nil"/>
            </w:tcBorders>
            <w:vAlign w:val="center"/>
            <w:hideMark/>
          </w:tcPr>
          <w:p w14:paraId="5F9CB61B" w14:textId="77777777" w:rsidR="00A74C68" w:rsidRPr="00471CBA" w:rsidRDefault="00A74C68" w:rsidP="00F36B82">
            <w:pPr>
              <w:spacing w:line="226" w:lineRule="auto"/>
              <w:jc w:val="both"/>
              <w:rPr>
                <w:b/>
                <w:bCs/>
                <w:color w:val="000000"/>
                <w:sz w:val="16"/>
                <w:szCs w:val="16"/>
              </w:rPr>
            </w:pPr>
            <w:r w:rsidRPr="00471CBA">
              <w:rPr>
                <w:b/>
                <w:bCs/>
                <w:color w:val="000000"/>
                <w:sz w:val="16"/>
                <w:szCs w:val="16"/>
              </w:rPr>
              <w:t>31 Aralık 2024</w:t>
            </w:r>
          </w:p>
        </w:tc>
        <w:tc>
          <w:tcPr>
            <w:tcW w:w="455" w:type="pct"/>
            <w:tcBorders>
              <w:top w:val="nil"/>
              <w:left w:val="nil"/>
              <w:bottom w:val="single" w:sz="4" w:space="0" w:color="auto"/>
              <w:right w:val="nil"/>
            </w:tcBorders>
            <w:vAlign w:val="bottom"/>
            <w:hideMark/>
          </w:tcPr>
          <w:p w14:paraId="1A0325F8" w14:textId="77777777" w:rsidR="00A74C68" w:rsidRPr="00471CBA" w:rsidRDefault="00A74C68" w:rsidP="00F36B82">
            <w:pPr>
              <w:spacing w:line="226" w:lineRule="auto"/>
              <w:jc w:val="right"/>
              <w:rPr>
                <w:color w:val="000000"/>
                <w:sz w:val="16"/>
                <w:szCs w:val="16"/>
              </w:rPr>
            </w:pPr>
            <w:r w:rsidRPr="00471CBA">
              <w:rPr>
                <w:color w:val="000000"/>
                <w:sz w:val="16"/>
                <w:szCs w:val="16"/>
              </w:rPr>
              <w:t> </w:t>
            </w:r>
          </w:p>
        </w:tc>
        <w:tc>
          <w:tcPr>
            <w:tcW w:w="482" w:type="pct"/>
            <w:tcBorders>
              <w:top w:val="nil"/>
              <w:left w:val="nil"/>
              <w:bottom w:val="single" w:sz="4" w:space="0" w:color="auto"/>
              <w:right w:val="nil"/>
            </w:tcBorders>
            <w:vAlign w:val="bottom"/>
            <w:hideMark/>
          </w:tcPr>
          <w:p w14:paraId="05D44DC0" w14:textId="77777777" w:rsidR="00A74C68" w:rsidRPr="00471CBA" w:rsidRDefault="00A74C68" w:rsidP="00F36B82">
            <w:pPr>
              <w:spacing w:line="226" w:lineRule="auto"/>
              <w:jc w:val="right"/>
              <w:rPr>
                <w:color w:val="000000"/>
                <w:sz w:val="16"/>
                <w:szCs w:val="16"/>
              </w:rPr>
            </w:pPr>
            <w:r w:rsidRPr="00471CBA">
              <w:rPr>
                <w:color w:val="000000"/>
                <w:sz w:val="16"/>
                <w:szCs w:val="16"/>
              </w:rPr>
              <w:t> </w:t>
            </w:r>
          </w:p>
        </w:tc>
        <w:tc>
          <w:tcPr>
            <w:tcW w:w="446" w:type="pct"/>
            <w:tcBorders>
              <w:top w:val="nil"/>
              <w:left w:val="nil"/>
              <w:bottom w:val="single" w:sz="4" w:space="0" w:color="auto"/>
              <w:right w:val="nil"/>
            </w:tcBorders>
            <w:vAlign w:val="bottom"/>
            <w:hideMark/>
          </w:tcPr>
          <w:p w14:paraId="3CB76A22" w14:textId="77777777" w:rsidR="00A74C68" w:rsidRPr="00471CBA" w:rsidRDefault="00A74C68" w:rsidP="00F36B82">
            <w:pPr>
              <w:spacing w:line="226" w:lineRule="auto"/>
              <w:jc w:val="right"/>
              <w:rPr>
                <w:color w:val="000000"/>
                <w:sz w:val="16"/>
                <w:szCs w:val="16"/>
              </w:rPr>
            </w:pPr>
            <w:r w:rsidRPr="00471CBA">
              <w:rPr>
                <w:color w:val="000000"/>
                <w:sz w:val="16"/>
                <w:szCs w:val="16"/>
              </w:rPr>
              <w:t> </w:t>
            </w:r>
          </w:p>
        </w:tc>
        <w:tc>
          <w:tcPr>
            <w:tcW w:w="417" w:type="pct"/>
            <w:tcBorders>
              <w:top w:val="nil"/>
              <w:left w:val="nil"/>
              <w:bottom w:val="single" w:sz="4" w:space="0" w:color="auto"/>
              <w:right w:val="nil"/>
            </w:tcBorders>
            <w:vAlign w:val="bottom"/>
            <w:hideMark/>
          </w:tcPr>
          <w:p w14:paraId="636F7AB5" w14:textId="77777777" w:rsidR="00A74C68" w:rsidRPr="00471CBA" w:rsidRDefault="00A74C68" w:rsidP="00F36B82">
            <w:pPr>
              <w:spacing w:line="226" w:lineRule="auto"/>
              <w:jc w:val="right"/>
              <w:rPr>
                <w:color w:val="000000"/>
                <w:sz w:val="16"/>
                <w:szCs w:val="16"/>
              </w:rPr>
            </w:pPr>
            <w:r w:rsidRPr="00471CBA">
              <w:rPr>
                <w:color w:val="000000"/>
                <w:sz w:val="16"/>
                <w:szCs w:val="16"/>
              </w:rPr>
              <w:t> </w:t>
            </w:r>
          </w:p>
        </w:tc>
        <w:tc>
          <w:tcPr>
            <w:tcW w:w="446" w:type="pct"/>
            <w:tcBorders>
              <w:top w:val="nil"/>
              <w:left w:val="nil"/>
              <w:bottom w:val="single" w:sz="4" w:space="0" w:color="auto"/>
              <w:right w:val="nil"/>
            </w:tcBorders>
            <w:vAlign w:val="bottom"/>
            <w:hideMark/>
          </w:tcPr>
          <w:p w14:paraId="46C36239" w14:textId="77777777" w:rsidR="00A74C68" w:rsidRPr="00471CBA" w:rsidRDefault="00A74C68" w:rsidP="00F36B82">
            <w:pPr>
              <w:spacing w:line="226" w:lineRule="auto"/>
              <w:jc w:val="right"/>
              <w:rPr>
                <w:color w:val="000000"/>
                <w:sz w:val="16"/>
                <w:szCs w:val="16"/>
              </w:rPr>
            </w:pPr>
            <w:r w:rsidRPr="00471CBA">
              <w:rPr>
                <w:color w:val="000000"/>
                <w:sz w:val="16"/>
                <w:szCs w:val="16"/>
              </w:rPr>
              <w:t> </w:t>
            </w:r>
          </w:p>
        </w:tc>
        <w:tc>
          <w:tcPr>
            <w:tcW w:w="398" w:type="pct"/>
            <w:tcBorders>
              <w:top w:val="nil"/>
              <w:left w:val="nil"/>
              <w:bottom w:val="single" w:sz="4" w:space="0" w:color="auto"/>
              <w:right w:val="nil"/>
            </w:tcBorders>
            <w:vAlign w:val="bottom"/>
            <w:hideMark/>
          </w:tcPr>
          <w:p w14:paraId="509BF0D5" w14:textId="77777777" w:rsidR="00A74C68" w:rsidRPr="00471CBA" w:rsidRDefault="00A74C68" w:rsidP="00F36B82">
            <w:pPr>
              <w:spacing w:line="226" w:lineRule="auto"/>
              <w:jc w:val="right"/>
              <w:rPr>
                <w:color w:val="000000"/>
                <w:sz w:val="16"/>
                <w:szCs w:val="16"/>
              </w:rPr>
            </w:pPr>
            <w:r w:rsidRPr="00471CBA">
              <w:rPr>
                <w:color w:val="000000"/>
                <w:sz w:val="16"/>
                <w:szCs w:val="16"/>
              </w:rPr>
              <w:t> </w:t>
            </w:r>
          </w:p>
        </w:tc>
        <w:tc>
          <w:tcPr>
            <w:tcW w:w="600" w:type="pct"/>
            <w:tcBorders>
              <w:top w:val="nil"/>
              <w:left w:val="nil"/>
              <w:bottom w:val="single" w:sz="4" w:space="0" w:color="auto"/>
              <w:right w:val="nil"/>
            </w:tcBorders>
            <w:vAlign w:val="bottom"/>
            <w:hideMark/>
          </w:tcPr>
          <w:p w14:paraId="09730A34" w14:textId="77777777" w:rsidR="00A74C68" w:rsidRPr="00471CBA" w:rsidRDefault="00A74C68" w:rsidP="00F36B82">
            <w:pPr>
              <w:spacing w:line="226" w:lineRule="auto"/>
              <w:jc w:val="right"/>
              <w:rPr>
                <w:color w:val="000000"/>
                <w:sz w:val="16"/>
                <w:szCs w:val="16"/>
              </w:rPr>
            </w:pPr>
            <w:r w:rsidRPr="00471CBA">
              <w:rPr>
                <w:color w:val="000000"/>
                <w:sz w:val="16"/>
                <w:szCs w:val="16"/>
              </w:rPr>
              <w:t> </w:t>
            </w:r>
          </w:p>
        </w:tc>
        <w:tc>
          <w:tcPr>
            <w:tcW w:w="601" w:type="pct"/>
            <w:tcBorders>
              <w:top w:val="nil"/>
              <w:left w:val="nil"/>
              <w:bottom w:val="single" w:sz="4" w:space="0" w:color="auto"/>
              <w:right w:val="nil"/>
            </w:tcBorders>
            <w:vAlign w:val="bottom"/>
            <w:hideMark/>
          </w:tcPr>
          <w:p w14:paraId="1D5B12CF" w14:textId="77777777" w:rsidR="00A74C68" w:rsidRPr="00471CBA" w:rsidRDefault="00A74C68" w:rsidP="00F36B82">
            <w:pPr>
              <w:spacing w:line="226" w:lineRule="auto"/>
              <w:jc w:val="right"/>
              <w:rPr>
                <w:color w:val="000000"/>
                <w:sz w:val="16"/>
                <w:szCs w:val="16"/>
              </w:rPr>
            </w:pPr>
            <w:r w:rsidRPr="00471CBA">
              <w:rPr>
                <w:color w:val="000000"/>
                <w:sz w:val="16"/>
                <w:szCs w:val="16"/>
              </w:rPr>
              <w:t> </w:t>
            </w:r>
          </w:p>
        </w:tc>
      </w:tr>
      <w:tr w:rsidR="00A74C68" w:rsidRPr="00471CBA" w14:paraId="1BBBDC83" w14:textId="77777777" w:rsidTr="00A74C68">
        <w:trPr>
          <w:divId w:val="758410951"/>
          <w:trHeight w:val="170"/>
        </w:trPr>
        <w:tc>
          <w:tcPr>
            <w:tcW w:w="1154" w:type="pct"/>
            <w:tcBorders>
              <w:top w:val="nil"/>
              <w:left w:val="nil"/>
              <w:bottom w:val="nil"/>
              <w:right w:val="nil"/>
            </w:tcBorders>
            <w:vAlign w:val="center"/>
            <w:hideMark/>
          </w:tcPr>
          <w:p w14:paraId="2D9F7E78" w14:textId="77777777" w:rsidR="00A74C68" w:rsidRPr="00471CBA" w:rsidRDefault="00A74C68" w:rsidP="00F36B82">
            <w:pPr>
              <w:spacing w:line="226" w:lineRule="auto"/>
              <w:ind w:firstLineChars="100" w:firstLine="160"/>
              <w:rPr>
                <w:color w:val="000000"/>
                <w:sz w:val="16"/>
                <w:szCs w:val="16"/>
              </w:rPr>
            </w:pPr>
            <w:r w:rsidRPr="00471CBA">
              <w:rPr>
                <w:snapToGrid w:val="0"/>
                <w:color w:val="000000"/>
                <w:sz w:val="16"/>
                <w:szCs w:val="16"/>
              </w:rPr>
              <w:t>Toplam Varlıklar</w:t>
            </w:r>
          </w:p>
        </w:tc>
        <w:tc>
          <w:tcPr>
            <w:tcW w:w="455" w:type="pct"/>
            <w:tcBorders>
              <w:top w:val="nil"/>
              <w:left w:val="nil"/>
              <w:bottom w:val="nil"/>
              <w:right w:val="nil"/>
            </w:tcBorders>
            <w:vAlign w:val="bottom"/>
            <w:hideMark/>
          </w:tcPr>
          <w:p w14:paraId="5AC398BC" w14:textId="77777777" w:rsidR="00A74C68" w:rsidRPr="00471CBA" w:rsidRDefault="00A74C68" w:rsidP="00F36B82">
            <w:pPr>
              <w:spacing w:line="226" w:lineRule="auto"/>
              <w:jc w:val="right"/>
              <w:rPr>
                <w:color w:val="000000"/>
                <w:sz w:val="16"/>
                <w:szCs w:val="16"/>
              </w:rPr>
            </w:pPr>
            <w:r w:rsidRPr="00471CBA">
              <w:rPr>
                <w:color w:val="000000"/>
                <w:sz w:val="16"/>
                <w:szCs w:val="16"/>
              </w:rPr>
              <w:t>5.477.387</w:t>
            </w:r>
          </w:p>
        </w:tc>
        <w:tc>
          <w:tcPr>
            <w:tcW w:w="482" w:type="pct"/>
            <w:tcBorders>
              <w:top w:val="nil"/>
              <w:left w:val="nil"/>
              <w:bottom w:val="nil"/>
              <w:right w:val="nil"/>
            </w:tcBorders>
            <w:vAlign w:val="bottom"/>
            <w:hideMark/>
          </w:tcPr>
          <w:p w14:paraId="1CC747A7" w14:textId="77777777" w:rsidR="00A74C68" w:rsidRPr="00471CBA" w:rsidRDefault="00A74C68" w:rsidP="00F36B82">
            <w:pPr>
              <w:spacing w:line="226" w:lineRule="auto"/>
              <w:jc w:val="right"/>
              <w:rPr>
                <w:color w:val="000000"/>
                <w:sz w:val="16"/>
                <w:szCs w:val="16"/>
              </w:rPr>
            </w:pPr>
            <w:r w:rsidRPr="00471CBA">
              <w:rPr>
                <w:color w:val="000000"/>
                <w:sz w:val="16"/>
                <w:szCs w:val="16"/>
              </w:rPr>
              <w:t>8.178.969</w:t>
            </w:r>
          </w:p>
        </w:tc>
        <w:tc>
          <w:tcPr>
            <w:tcW w:w="446" w:type="pct"/>
            <w:tcBorders>
              <w:top w:val="nil"/>
              <w:left w:val="nil"/>
              <w:bottom w:val="nil"/>
              <w:right w:val="nil"/>
            </w:tcBorders>
            <w:vAlign w:val="bottom"/>
            <w:hideMark/>
          </w:tcPr>
          <w:p w14:paraId="2414A5F7" w14:textId="77777777" w:rsidR="00A74C68" w:rsidRPr="00471CBA" w:rsidRDefault="00A74C68" w:rsidP="00F36B82">
            <w:pPr>
              <w:spacing w:line="226" w:lineRule="auto"/>
              <w:jc w:val="right"/>
              <w:rPr>
                <w:color w:val="000000"/>
                <w:sz w:val="16"/>
                <w:szCs w:val="16"/>
              </w:rPr>
            </w:pPr>
            <w:r w:rsidRPr="00471CBA">
              <w:rPr>
                <w:color w:val="000000"/>
                <w:sz w:val="16"/>
                <w:szCs w:val="16"/>
              </w:rPr>
              <w:t>5.915.902</w:t>
            </w:r>
          </w:p>
        </w:tc>
        <w:tc>
          <w:tcPr>
            <w:tcW w:w="417" w:type="pct"/>
            <w:tcBorders>
              <w:top w:val="nil"/>
              <w:left w:val="nil"/>
              <w:bottom w:val="nil"/>
              <w:right w:val="nil"/>
            </w:tcBorders>
            <w:vAlign w:val="bottom"/>
            <w:hideMark/>
          </w:tcPr>
          <w:p w14:paraId="472FB578" w14:textId="77777777" w:rsidR="00A74C68" w:rsidRPr="00471CBA" w:rsidRDefault="00A74C68" w:rsidP="00F36B82">
            <w:pPr>
              <w:spacing w:line="226" w:lineRule="auto"/>
              <w:jc w:val="right"/>
              <w:rPr>
                <w:color w:val="000000"/>
                <w:sz w:val="16"/>
                <w:szCs w:val="16"/>
              </w:rPr>
            </w:pPr>
            <w:r w:rsidRPr="00471CBA">
              <w:rPr>
                <w:color w:val="000000"/>
                <w:sz w:val="16"/>
                <w:szCs w:val="16"/>
              </w:rPr>
              <w:t>8.549.637</w:t>
            </w:r>
          </w:p>
        </w:tc>
        <w:tc>
          <w:tcPr>
            <w:tcW w:w="446" w:type="pct"/>
            <w:tcBorders>
              <w:top w:val="nil"/>
              <w:left w:val="nil"/>
              <w:bottom w:val="nil"/>
              <w:right w:val="nil"/>
            </w:tcBorders>
            <w:vAlign w:val="bottom"/>
            <w:hideMark/>
          </w:tcPr>
          <w:p w14:paraId="0C51940A" w14:textId="77777777" w:rsidR="00A74C68" w:rsidRPr="00471CBA" w:rsidRDefault="00A74C68" w:rsidP="00F36B82">
            <w:pPr>
              <w:spacing w:line="226" w:lineRule="auto"/>
              <w:jc w:val="right"/>
              <w:rPr>
                <w:color w:val="000000"/>
                <w:sz w:val="16"/>
                <w:szCs w:val="16"/>
              </w:rPr>
            </w:pPr>
            <w:r w:rsidRPr="00471CBA">
              <w:rPr>
                <w:color w:val="000000"/>
                <w:sz w:val="16"/>
                <w:szCs w:val="16"/>
              </w:rPr>
              <w:t>5.504.878</w:t>
            </w:r>
          </w:p>
        </w:tc>
        <w:tc>
          <w:tcPr>
            <w:tcW w:w="398" w:type="pct"/>
            <w:tcBorders>
              <w:top w:val="nil"/>
              <w:left w:val="nil"/>
              <w:bottom w:val="nil"/>
              <w:right w:val="nil"/>
            </w:tcBorders>
            <w:vAlign w:val="bottom"/>
            <w:hideMark/>
          </w:tcPr>
          <w:p w14:paraId="30A8F623" w14:textId="77777777" w:rsidR="00A74C68" w:rsidRPr="00471CBA" w:rsidRDefault="00A74C68" w:rsidP="00F36B82">
            <w:pPr>
              <w:spacing w:line="226" w:lineRule="auto"/>
              <w:jc w:val="right"/>
              <w:rPr>
                <w:color w:val="000000"/>
                <w:sz w:val="16"/>
                <w:szCs w:val="16"/>
              </w:rPr>
            </w:pPr>
            <w:r w:rsidRPr="00471CBA">
              <w:rPr>
                <w:color w:val="000000"/>
                <w:sz w:val="16"/>
                <w:szCs w:val="16"/>
              </w:rPr>
              <w:t>-</w:t>
            </w:r>
          </w:p>
        </w:tc>
        <w:tc>
          <w:tcPr>
            <w:tcW w:w="600" w:type="pct"/>
            <w:tcBorders>
              <w:top w:val="nil"/>
              <w:left w:val="nil"/>
              <w:bottom w:val="nil"/>
              <w:right w:val="nil"/>
            </w:tcBorders>
            <w:vAlign w:val="bottom"/>
            <w:hideMark/>
          </w:tcPr>
          <w:p w14:paraId="5CF76086" w14:textId="77777777" w:rsidR="00A74C68" w:rsidRPr="00471CBA" w:rsidRDefault="00A74C68" w:rsidP="00F36B82">
            <w:pPr>
              <w:spacing w:line="226" w:lineRule="auto"/>
              <w:jc w:val="right"/>
              <w:rPr>
                <w:color w:val="000000"/>
                <w:sz w:val="16"/>
                <w:szCs w:val="16"/>
              </w:rPr>
            </w:pPr>
            <w:r w:rsidRPr="00471CBA">
              <w:rPr>
                <w:color w:val="000000"/>
                <w:sz w:val="16"/>
                <w:szCs w:val="16"/>
              </w:rPr>
              <w:t>1.008.384</w:t>
            </w:r>
          </w:p>
        </w:tc>
        <w:tc>
          <w:tcPr>
            <w:tcW w:w="601" w:type="pct"/>
            <w:tcBorders>
              <w:top w:val="nil"/>
              <w:left w:val="nil"/>
              <w:bottom w:val="nil"/>
              <w:right w:val="nil"/>
            </w:tcBorders>
            <w:vAlign w:val="bottom"/>
            <w:hideMark/>
          </w:tcPr>
          <w:p w14:paraId="193EDD48" w14:textId="77777777" w:rsidR="00A74C68" w:rsidRPr="00471CBA" w:rsidRDefault="00A74C68" w:rsidP="00F36B82">
            <w:pPr>
              <w:spacing w:line="226" w:lineRule="auto"/>
              <w:jc w:val="right"/>
              <w:rPr>
                <w:color w:val="000000"/>
                <w:sz w:val="16"/>
                <w:szCs w:val="16"/>
              </w:rPr>
            </w:pPr>
            <w:r w:rsidRPr="00471CBA">
              <w:rPr>
                <w:color w:val="000000"/>
                <w:sz w:val="16"/>
                <w:szCs w:val="16"/>
              </w:rPr>
              <w:t>34.635.157</w:t>
            </w:r>
          </w:p>
        </w:tc>
      </w:tr>
      <w:tr w:rsidR="00A74C68" w:rsidRPr="00471CBA" w14:paraId="6EF7EEF1" w14:textId="77777777" w:rsidTr="00A74C68">
        <w:trPr>
          <w:divId w:val="758410951"/>
          <w:trHeight w:val="170"/>
        </w:trPr>
        <w:tc>
          <w:tcPr>
            <w:tcW w:w="1154" w:type="pct"/>
            <w:tcBorders>
              <w:top w:val="nil"/>
              <w:left w:val="nil"/>
              <w:bottom w:val="nil"/>
              <w:right w:val="nil"/>
            </w:tcBorders>
            <w:vAlign w:val="center"/>
            <w:hideMark/>
          </w:tcPr>
          <w:p w14:paraId="110760C3" w14:textId="77777777" w:rsidR="00A74C68" w:rsidRPr="00471CBA" w:rsidRDefault="00A74C68" w:rsidP="00F36B82">
            <w:pPr>
              <w:spacing w:line="226" w:lineRule="auto"/>
              <w:ind w:firstLineChars="100" w:firstLine="160"/>
              <w:rPr>
                <w:color w:val="000000"/>
                <w:sz w:val="16"/>
                <w:szCs w:val="16"/>
              </w:rPr>
            </w:pPr>
            <w:r w:rsidRPr="00471CBA">
              <w:rPr>
                <w:snapToGrid w:val="0"/>
                <w:color w:val="000000"/>
                <w:sz w:val="16"/>
                <w:szCs w:val="16"/>
              </w:rPr>
              <w:t>Toplam Yükümlülükler</w:t>
            </w:r>
          </w:p>
        </w:tc>
        <w:tc>
          <w:tcPr>
            <w:tcW w:w="455" w:type="pct"/>
            <w:tcBorders>
              <w:top w:val="nil"/>
              <w:left w:val="nil"/>
              <w:bottom w:val="nil"/>
              <w:right w:val="nil"/>
            </w:tcBorders>
            <w:vAlign w:val="bottom"/>
            <w:hideMark/>
          </w:tcPr>
          <w:p w14:paraId="6317E424" w14:textId="77777777" w:rsidR="00A74C68" w:rsidRPr="00471CBA" w:rsidRDefault="00A74C68" w:rsidP="00F36B82">
            <w:pPr>
              <w:spacing w:line="226" w:lineRule="auto"/>
              <w:jc w:val="right"/>
              <w:rPr>
                <w:color w:val="000000"/>
                <w:sz w:val="16"/>
                <w:szCs w:val="16"/>
              </w:rPr>
            </w:pPr>
            <w:r w:rsidRPr="00471CBA">
              <w:rPr>
                <w:color w:val="000000"/>
                <w:sz w:val="16"/>
                <w:szCs w:val="16"/>
              </w:rPr>
              <w:t>2.410.561</w:t>
            </w:r>
          </w:p>
        </w:tc>
        <w:tc>
          <w:tcPr>
            <w:tcW w:w="482" w:type="pct"/>
            <w:tcBorders>
              <w:top w:val="nil"/>
              <w:left w:val="nil"/>
              <w:bottom w:val="nil"/>
              <w:right w:val="nil"/>
            </w:tcBorders>
            <w:vAlign w:val="bottom"/>
            <w:hideMark/>
          </w:tcPr>
          <w:p w14:paraId="269827F9" w14:textId="77777777" w:rsidR="00A74C68" w:rsidRPr="00471CBA" w:rsidRDefault="00A74C68" w:rsidP="00F36B82">
            <w:pPr>
              <w:spacing w:line="226" w:lineRule="auto"/>
              <w:jc w:val="right"/>
              <w:rPr>
                <w:color w:val="000000"/>
                <w:sz w:val="16"/>
                <w:szCs w:val="16"/>
              </w:rPr>
            </w:pPr>
            <w:r w:rsidRPr="00471CBA">
              <w:rPr>
                <w:color w:val="000000"/>
                <w:sz w:val="16"/>
                <w:szCs w:val="16"/>
              </w:rPr>
              <w:t>14.501.550</w:t>
            </w:r>
          </w:p>
        </w:tc>
        <w:tc>
          <w:tcPr>
            <w:tcW w:w="446" w:type="pct"/>
            <w:tcBorders>
              <w:top w:val="nil"/>
              <w:left w:val="nil"/>
              <w:bottom w:val="nil"/>
              <w:right w:val="nil"/>
            </w:tcBorders>
            <w:vAlign w:val="bottom"/>
            <w:hideMark/>
          </w:tcPr>
          <w:p w14:paraId="36424EB4" w14:textId="77777777" w:rsidR="00A74C68" w:rsidRPr="00471CBA" w:rsidRDefault="00A74C68" w:rsidP="00F36B82">
            <w:pPr>
              <w:spacing w:line="226" w:lineRule="auto"/>
              <w:jc w:val="right"/>
              <w:rPr>
                <w:color w:val="000000"/>
                <w:sz w:val="16"/>
                <w:szCs w:val="16"/>
              </w:rPr>
            </w:pPr>
            <w:r w:rsidRPr="00471CBA">
              <w:rPr>
                <w:color w:val="000000"/>
                <w:sz w:val="16"/>
                <w:szCs w:val="16"/>
              </w:rPr>
              <w:t>7.763.461</w:t>
            </w:r>
          </w:p>
        </w:tc>
        <w:tc>
          <w:tcPr>
            <w:tcW w:w="417" w:type="pct"/>
            <w:tcBorders>
              <w:top w:val="nil"/>
              <w:left w:val="nil"/>
              <w:bottom w:val="nil"/>
              <w:right w:val="nil"/>
            </w:tcBorders>
            <w:vAlign w:val="bottom"/>
            <w:hideMark/>
          </w:tcPr>
          <w:p w14:paraId="28D221AA" w14:textId="77777777" w:rsidR="00A74C68" w:rsidRPr="00471CBA" w:rsidRDefault="00A74C68" w:rsidP="00F36B82">
            <w:pPr>
              <w:spacing w:line="226" w:lineRule="auto"/>
              <w:jc w:val="right"/>
              <w:rPr>
                <w:color w:val="000000"/>
                <w:sz w:val="16"/>
                <w:szCs w:val="16"/>
              </w:rPr>
            </w:pPr>
            <w:r w:rsidRPr="00471CBA">
              <w:rPr>
                <w:color w:val="000000"/>
                <w:sz w:val="16"/>
                <w:szCs w:val="16"/>
              </w:rPr>
              <w:t>1.590.258</w:t>
            </w:r>
          </w:p>
        </w:tc>
        <w:tc>
          <w:tcPr>
            <w:tcW w:w="446" w:type="pct"/>
            <w:tcBorders>
              <w:top w:val="nil"/>
              <w:left w:val="nil"/>
              <w:bottom w:val="nil"/>
              <w:right w:val="nil"/>
            </w:tcBorders>
            <w:vAlign w:val="bottom"/>
            <w:hideMark/>
          </w:tcPr>
          <w:p w14:paraId="20623B2B" w14:textId="77777777" w:rsidR="00A74C68" w:rsidRPr="00471CBA" w:rsidRDefault="00A74C68" w:rsidP="00F36B82">
            <w:pPr>
              <w:spacing w:line="226" w:lineRule="auto"/>
              <w:jc w:val="right"/>
              <w:rPr>
                <w:color w:val="000000"/>
                <w:sz w:val="16"/>
                <w:szCs w:val="16"/>
              </w:rPr>
            </w:pPr>
            <w:r w:rsidRPr="00471CBA">
              <w:rPr>
                <w:color w:val="000000"/>
                <w:sz w:val="16"/>
                <w:szCs w:val="16"/>
              </w:rPr>
              <w:t>75.321</w:t>
            </w:r>
          </w:p>
        </w:tc>
        <w:tc>
          <w:tcPr>
            <w:tcW w:w="398" w:type="pct"/>
            <w:tcBorders>
              <w:top w:val="nil"/>
              <w:left w:val="nil"/>
              <w:bottom w:val="nil"/>
              <w:right w:val="nil"/>
            </w:tcBorders>
            <w:vAlign w:val="bottom"/>
            <w:hideMark/>
          </w:tcPr>
          <w:p w14:paraId="7384B43D" w14:textId="77777777" w:rsidR="00A74C68" w:rsidRPr="00471CBA" w:rsidRDefault="00A74C68" w:rsidP="00F36B82">
            <w:pPr>
              <w:spacing w:line="226" w:lineRule="auto"/>
              <w:jc w:val="right"/>
              <w:rPr>
                <w:color w:val="000000"/>
                <w:sz w:val="16"/>
                <w:szCs w:val="16"/>
              </w:rPr>
            </w:pPr>
            <w:r w:rsidRPr="00471CBA">
              <w:rPr>
                <w:color w:val="000000"/>
                <w:sz w:val="16"/>
                <w:szCs w:val="16"/>
              </w:rPr>
              <w:t>30.680</w:t>
            </w:r>
          </w:p>
        </w:tc>
        <w:tc>
          <w:tcPr>
            <w:tcW w:w="600" w:type="pct"/>
            <w:tcBorders>
              <w:top w:val="nil"/>
              <w:left w:val="nil"/>
              <w:bottom w:val="nil"/>
              <w:right w:val="nil"/>
            </w:tcBorders>
            <w:vAlign w:val="bottom"/>
            <w:hideMark/>
          </w:tcPr>
          <w:p w14:paraId="45037D46" w14:textId="77777777" w:rsidR="00A74C68" w:rsidRPr="00471CBA" w:rsidRDefault="00A74C68" w:rsidP="00F36B82">
            <w:pPr>
              <w:spacing w:line="226" w:lineRule="auto"/>
              <w:jc w:val="right"/>
              <w:rPr>
                <w:color w:val="000000"/>
                <w:sz w:val="16"/>
                <w:szCs w:val="16"/>
              </w:rPr>
            </w:pPr>
            <w:r w:rsidRPr="00471CBA">
              <w:rPr>
                <w:color w:val="000000"/>
                <w:sz w:val="16"/>
                <w:szCs w:val="16"/>
              </w:rPr>
              <w:t>8.263.326</w:t>
            </w:r>
          </w:p>
        </w:tc>
        <w:tc>
          <w:tcPr>
            <w:tcW w:w="601" w:type="pct"/>
            <w:tcBorders>
              <w:top w:val="nil"/>
              <w:left w:val="nil"/>
              <w:bottom w:val="nil"/>
              <w:right w:val="nil"/>
            </w:tcBorders>
            <w:vAlign w:val="bottom"/>
            <w:hideMark/>
          </w:tcPr>
          <w:p w14:paraId="31E9BCAC" w14:textId="77777777" w:rsidR="00A74C68" w:rsidRPr="00471CBA" w:rsidRDefault="00A74C68" w:rsidP="00F36B82">
            <w:pPr>
              <w:spacing w:line="226" w:lineRule="auto"/>
              <w:jc w:val="right"/>
              <w:rPr>
                <w:color w:val="000000"/>
                <w:sz w:val="16"/>
                <w:szCs w:val="16"/>
              </w:rPr>
            </w:pPr>
            <w:r w:rsidRPr="00471CBA">
              <w:rPr>
                <w:color w:val="000000"/>
                <w:sz w:val="16"/>
                <w:szCs w:val="16"/>
              </w:rPr>
              <w:t>34.635.157</w:t>
            </w:r>
          </w:p>
        </w:tc>
      </w:tr>
      <w:tr w:rsidR="00A74C68" w:rsidRPr="00471CBA" w14:paraId="5052F2D6" w14:textId="77777777" w:rsidTr="00A74C68">
        <w:trPr>
          <w:divId w:val="758410951"/>
          <w:trHeight w:val="170"/>
        </w:trPr>
        <w:tc>
          <w:tcPr>
            <w:tcW w:w="1154" w:type="pct"/>
            <w:tcBorders>
              <w:top w:val="nil"/>
              <w:left w:val="nil"/>
              <w:bottom w:val="nil"/>
              <w:right w:val="nil"/>
            </w:tcBorders>
            <w:vAlign w:val="center"/>
            <w:hideMark/>
          </w:tcPr>
          <w:p w14:paraId="3896994C" w14:textId="77777777" w:rsidR="00A74C68" w:rsidRPr="00471CBA" w:rsidRDefault="00A74C68" w:rsidP="00F36B82">
            <w:pPr>
              <w:spacing w:line="226" w:lineRule="auto"/>
              <w:jc w:val="right"/>
              <w:rPr>
                <w:color w:val="000000"/>
                <w:sz w:val="16"/>
                <w:szCs w:val="16"/>
              </w:rPr>
            </w:pPr>
          </w:p>
        </w:tc>
        <w:tc>
          <w:tcPr>
            <w:tcW w:w="455" w:type="pct"/>
            <w:tcBorders>
              <w:top w:val="nil"/>
              <w:left w:val="nil"/>
              <w:bottom w:val="nil"/>
              <w:right w:val="nil"/>
            </w:tcBorders>
            <w:vAlign w:val="bottom"/>
            <w:hideMark/>
          </w:tcPr>
          <w:p w14:paraId="0483DB4B" w14:textId="77777777" w:rsidR="00A74C68" w:rsidRPr="00471CBA" w:rsidRDefault="00A74C68" w:rsidP="00F36B82">
            <w:pPr>
              <w:spacing w:line="226" w:lineRule="auto"/>
              <w:ind w:firstLineChars="200" w:firstLine="400"/>
              <w:jc w:val="right"/>
              <w:rPr>
                <w:szCs w:val="20"/>
              </w:rPr>
            </w:pPr>
          </w:p>
        </w:tc>
        <w:tc>
          <w:tcPr>
            <w:tcW w:w="482" w:type="pct"/>
            <w:tcBorders>
              <w:top w:val="nil"/>
              <w:left w:val="nil"/>
              <w:bottom w:val="nil"/>
              <w:right w:val="nil"/>
            </w:tcBorders>
            <w:vAlign w:val="bottom"/>
            <w:hideMark/>
          </w:tcPr>
          <w:p w14:paraId="51808830" w14:textId="77777777" w:rsidR="00A74C68" w:rsidRPr="00471CBA" w:rsidRDefault="00A74C68" w:rsidP="00F36B82">
            <w:pPr>
              <w:spacing w:line="226" w:lineRule="auto"/>
              <w:jc w:val="right"/>
              <w:rPr>
                <w:szCs w:val="20"/>
              </w:rPr>
            </w:pPr>
          </w:p>
        </w:tc>
        <w:tc>
          <w:tcPr>
            <w:tcW w:w="446" w:type="pct"/>
            <w:tcBorders>
              <w:top w:val="nil"/>
              <w:left w:val="nil"/>
              <w:bottom w:val="nil"/>
              <w:right w:val="nil"/>
            </w:tcBorders>
            <w:vAlign w:val="bottom"/>
            <w:hideMark/>
          </w:tcPr>
          <w:p w14:paraId="4AF57F44" w14:textId="77777777" w:rsidR="00A74C68" w:rsidRPr="00471CBA" w:rsidRDefault="00A74C68" w:rsidP="00F36B82">
            <w:pPr>
              <w:spacing w:line="226" w:lineRule="auto"/>
              <w:jc w:val="right"/>
              <w:rPr>
                <w:szCs w:val="20"/>
              </w:rPr>
            </w:pPr>
          </w:p>
        </w:tc>
        <w:tc>
          <w:tcPr>
            <w:tcW w:w="417" w:type="pct"/>
            <w:tcBorders>
              <w:top w:val="nil"/>
              <w:left w:val="nil"/>
              <w:bottom w:val="nil"/>
              <w:right w:val="nil"/>
            </w:tcBorders>
            <w:vAlign w:val="bottom"/>
            <w:hideMark/>
          </w:tcPr>
          <w:p w14:paraId="472027C6" w14:textId="77777777" w:rsidR="00A74C68" w:rsidRPr="00471CBA" w:rsidRDefault="00A74C68" w:rsidP="00F36B82">
            <w:pPr>
              <w:spacing w:line="226" w:lineRule="auto"/>
              <w:jc w:val="right"/>
              <w:rPr>
                <w:szCs w:val="20"/>
              </w:rPr>
            </w:pPr>
          </w:p>
        </w:tc>
        <w:tc>
          <w:tcPr>
            <w:tcW w:w="446" w:type="pct"/>
            <w:tcBorders>
              <w:top w:val="nil"/>
              <w:left w:val="nil"/>
              <w:bottom w:val="nil"/>
              <w:right w:val="nil"/>
            </w:tcBorders>
            <w:vAlign w:val="bottom"/>
            <w:hideMark/>
          </w:tcPr>
          <w:p w14:paraId="37A2A920" w14:textId="77777777" w:rsidR="00A74C68" w:rsidRPr="00471CBA" w:rsidRDefault="00A74C68" w:rsidP="00F36B82">
            <w:pPr>
              <w:spacing w:line="226" w:lineRule="auto"/>
              <w:jc w:val="right"/>
              <w:rPr>
                <w:szCs w:val="20"/>
              </w:rPr>
            </w:pPr>
          </w:p>
        </w:tc>
        <w:tc>
          <w:tcPr>
            <w:tcW w:w="398" w:type="pct"/>
            <w:tcBorders>
              <w:top w:val="nil"/>
              <w:left w:val="nil"/>
              <w:bottom w:val="nil"/>
              <w:right w:val="nil"/>
            </w:tcBorders>
            <w:vAlign w:val="bottom"/>
            <w:hideMark/>
          </w:tcPr>
          <w:p w14:paraId="763F146D" w14:textId="77777777" w:rsidR="00A74C68" w:rsidRPr="00471CBA" w:rsidRDefault="00A74C68" w:rsidP="00F36B82">
            <w:pPr>
              <w:spacing w:line="226" w:lineRule="auto"/>
              <w:jc w:val="right"/>
              <w:rPr>
                <w:szCs w:val="20"/>
              </w:rPr>
            </w:pPr>
          </w:p>
        </w:tc>
        <w:tc>
          <w:tcPr>
            <w:tcW w:w="600" w:type="pct"/>
            <w:tcBorders>
              <w:top w:val="nil"/>
              <w:left w:val="nil"/>
              <w:bottom w:val="nil"/>
              <w:right w:val="nil"/>
            </w:tcBorders>
            <w:vAlign w:val="bottom"/>
            <w:hideMark/>
          </w:tcPr>
          <w:p w14:paraId="6CFF97B3" w14:textId="77777777" w:rsidR="00A74C68" w:rsidRPr="00471CBA" w:rsidRDefault="00A74C68" w:rsidP="00F36B82">
            <w:pPr>
              <w:spacing w:line="226" w:lineRule="auto"/>
              <w:jc w:val="right"/>
              <w:rPr>
                <w:szCs w:val="20"/>
              </w:rPr>
            </w:pPr>
          </w:p>
        </w:tc>
        <w:tc>
          <w:tcPr>
            <w:tcW w:w="601" w:type="pct"/>
            <w:tcBorders>
              <w:top w:val="nil"/>
              <w:left w:val="nil"/>
              <w:bottom w:val="nil"/>
              <w:right w:val="nil"/>
            </w:tcBorders>
            <w:vAlign w:val="bottom"/>
            <w:hideMark/>
          </w:tcPr>
          <w:p w14:paraId="246BA2D8" w14:textId="77777777" w:rsidR="00A74C68" w:rsidRPr="00471CBA" w:rsidRDefault="00A74C68" w:rsidP="00F36B82">
            <w:pPr>
              <w:spacing w:line="226" w:lineRule="auto"/>
              <w:jc w:val="right"/>
              <w:rPr>
                <w:szCs w:val="20"/>
              </w:rPr>
            </w:pPr>
          </w:p>
        </w:tc>
      </w:tr>
      <w:tr w:rsidR="00A74C68" w:rsidRPr="00471CBA" w14:paraId="340D13F0" w14:textId="77777777" w:rsidTr="00A74C68">
        <w:trPr>
          <w:divId w:val="758410951"/>
          <w:trHeight w:val="170"/>
        </w:trPr>
        <w:tc>
          <w:tcPr>
            <w:tcW w:w="1154" w:type="pct"/>
            <w:tcBorders>
              <w:top w:val="single" w:sz="4" w:space="0" w:color="auto"/>
              <w:left w:val="nil"/>
              <w:bottom w:val="single" w:sz="4" w:space="0" w:color="auto"/>
              <w:right w:val="nil"/>
            </w:tcBorders>
            <w:vAlign w:val="center"/>
            <w:hideMark/>
          </w:tcPr>
          <w:p w14:paraId="193AE8B1" w14:textId="77777777" w:rsidR="00A74C68" w:rsidRPr="00471CBA" w:rsidRDefault="00A74C68" w:rsidP="00F36B82">
            <w:pPr>
              <w:spacing w:line="226" w:lineRule="auto"/>
              <w:rPr>
                <w:b/>
                <w:bCs/>
                <w:color w:val="000000"/>
                <w:sz w:val="16"/>
                <w:szCs w:val="16"/>
              </w:rPr>
            </w:pPr>
            <w:r w:rsidRPr="00471CBA">
              <w:rPr>
                <w:b/>
                <w:bCs/>
                <w:color w:val="000000"/>
                <w:sz w:val="16"/>
                <w:szCs w:val="16"/>
              </w:rPr>
              <w:t>Likidite (Açığı)/Fazlası</w:t>
            </w:r>
          </w:p>
        </w:tc>
        <w:tc>
          <w:tcPr>
            <w:tcW w:w="455" w:type="pct"/>
            <w:tcBorders>
              <w:top w:val="single" w:sz="4" w:space="0" w:color="auto"/>
              <w:left w:val="nil"/>
              <w:bottom w:val="single" w:sz="4" w:space="0" w:color="auto"/>
              <w:right w:val="nil"/>
            </w:tcBorders>
            <w:vAlign w:val="bottom"/>
            <w:hideMark/>
          </w:tcPr>
          <w:p w14:paraId="03FD85D4"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3.066.826</w:t>
            </w:r>
          </w:p>
        </w:tc>
        <w:tc>
          <w:tcPr>
            <w:tcW w:w="482" w:type="pct"/>
            <w:tcBorders>
              <w:top w:val="single" w:sz="4" w:space="0" w:color="auto"/>
              <w:left w:val="nil"/>
              <w:bottom w:val="single" w:sz="4" w:space="0" w:color="auto"/>
              <w:right w:val="nil"/>
            </w:tcBorders>
            <w:vAlign w:val="bottom"/>
            <w:hideMark/>
          </w:tcPr>
          <w:p w14:paraId="3003B9FC" w14:textId="77777777" w:rsidR="00A74C68" w:rsidRPr="00471CBA" w:rsidRDefault="00A74C68" w:rsidP="00F36B82">
            <w:pPr>
              <w:spacing w:line="226" w:lineRule="auto"/>
              <w:jc w:val="right"/>
              <w:rPr>
                <w:b/>
                <w:bCs/>
                <w:color w:val="000000"/>
                <w:sz w:val="16"/>
                <w:szCs w:val="16"/>
                <w:lang w:eastAsia="tr-TR"/>
              </w:rPr>
            </w:pPr>
            <w:r w:rsidRPr="00471CBA">
              <w:rPr>
                <w:b/>
                <w:bCs/>
                <w:color w:val="000000"/>
                <w:sz w:val="16"/>
                <w:szCs w:val="16"/>
              </w:rPr>
              <w:t>(6.322.581</w:t>
            </w:r>
            <w:r w:rsidRPr="00471CBA">
              <w:rPr>
                <w:b/>
                <w:bCs/>
                <w:color w:val="000000"/>
                <w:sz w:val="16"/>
                <w:szCs w:val="16"/>
                <w:lang w:eastAsia="tr-TR"/>
              </w:rPr>
              <w:t>)</w:t>
            </w:r>
          </w:p>
        </w:tc>
        <w:tc>
          <w:tcPr>
            <w:tcW w:w="446" w:type="pct"/>
            <w:tcBorders>
              <w:top w:val="single" w:sz="4" w:space="0" w:color="auto"/>
              <w:left w:val="nil"/>
              <w:bottom w:val="single" w:sz="4" w:space="0" w:color="auto"/>
              <w:right w:val="nil"/>
            </w:tcBorders>
            <w:vAlign w:val="bottom"/>
            <w:hideMark/>
          </w:tcPr>
          <w:p w14:paraId="1A02B338" w14:textId="77777777" w:rsidR="00A74C68" w:rsidRPr="00471CBA" w:rsidRDefault="00A74C68" w:rsidP="00F36B82">
            <w:pPr>
              <w:spacing w:line="226" w:lineRule="auto"/>
              <w:jc w:val="right"/>
              <w:rPr>
                <w:b/>
                <w:bCs/>
                <w:color w:val="000000"/>
                <w:sz w:val="16"/>
                <w:szCs w:val="16"/>
                <w:lang w:eastAsia="tr-TR"/>
              </w:rPr>
            </w:pPr>
            <w:r w:rsidRPr="00471CBA">
              <w:rPr>
                <w:b/>
                <w:bCs/>
                <w:color w:val="000000"/>
                <w:sz w:val="16"/>
                <w:szCs w:val="16"/>
              </w:rPr>
              <w:t>(1.847.559</w:t>
            </w:r>
            <w:r w:rsidRPr="00471CBA">
              <w:rPr>
                <w:b/>
                <w:bCs/>
                <w:color w:val="000000"/>
                <w:sz w:val="16"/>
                <w:szCs w:val="16"/>
                <w:lang w:eastAsia="tr-TR"/>
              </w:rPr>
              <w:t>)</w:t>
            </w:r>
          </w:p>
        </w:tc>
        <w:tc>
          <w:tcPr>
            <w:tcW w:w="417" w:type="pct"/>
            <w:tcBorders>
              <w:top w:val="single" w:sz="4" w:space="0" w:color="auto"/>
              <w:left w:val="nil"/>
              <w:bottom w:val="single" w:sz="4" w:space="0" w:color="auto"/>
              <w:right w:val="nil"/>
            </w:tcBorders>
            <w:vAlign w:val="bottom"/>
            <w:hideMark/>
          </w:tcPr>
          <w:p w14:paraId="74A2276F"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6.959.379</w:t>
            </w:r>
          </w:p>
        </w:tc>
        <w:tc>
          <w:tcPr>
            <w:tcW w:w="446" w:type="pct"/>
            <w:tcBorders>
              <w:top w:val="single" w:sz="4" w:space="0" w:color="auto"/>
              <w:left w:val="nil"/>
              <w:bottom w:val="single" w:sz="4" w:space="0" w:color="auto"/>
              <w:right w:val="nil"/>
            </w:tcBorders>
            <w:vAlign w:val="bottom"/>
            <w:hideMark/>
          </w:tcPr>
          <w:p w14:paraId="0BCFC118"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5.429.557</w:t>
            </w:r>
          </w:p>
        </w:tc>
        <w:tc>
          <w:tcPr>
            <w:tcW w:w="398" w:type="pct"/>
            <w:tcBorders>
              <w:top w:val="single" w:sz="4" w:space="0" w:color="auto"/>
              <w:left w:val="nil"/>
              <w:bottom w:val="single" w:sz="4" w:space="0" w:color="auto"/>
              <w:right w:val="nil"/>
            </w:tcBorders>
            <w:vAlign w:val="bottom"/>
            <w:hideMark/>
          </w:tcPr>
          <w:p w14:paraId="3C2F5B42" w14:textId="77777777" w:rsidR="00A74C68" w:rsidRPr="00471CBA" w:rsidRDefault="00A74C68" w:rsidP="00F36B82">
            <w:pPr>
              <w:spacing w:line="226" w:lineRule="auto"/>
              <w:jc w:val="right"/>
              <w:rPr>
                <w:b/>
                <w:bCs/>
                <w:color w:val="000000"/>
                <w:sz w:val="16"/>
                <w:szCs w:val="16"/>
                <w:lang w:eastAsia="tr-TR"/>
              </w:rPr>
            </w:pPr>
            <w:r w:rsidRPr="00471CBA">
              <w:rPr>
                <w:b/>
                <w:bCs/>
                <w:color w:val="000000"/>
                <w:sz w:val="16"/>
                <w:szCs w:val="16"/>
              </w:rPr>
              <w:t>(30.680</w:t>
            </w:r>
            <w:r w:rsidRPr="00471CBA">
              <w:rPr>
                <w:b/>
                <w:bCs/>
                <w:color w:val="000000"/>
                <w:sz w:val="16"/>
                <w:szCs w:val="16"/>
                <w:lang w:eastAsia="tr-TR"/>
              </w:rPr>
              <w:t>)</w:t>
            </w:r>
          </w:p>
        </w:tc>
        <w:tc>
          <w:tcPr>
            <w:tcW w:w="600" w:type="pct"/>
            <w:tcBorders>
              <w:top w:val="single" w:sz="4" w:space="0" w:color="auto"/>
              <w:left w:val="nil"/>
              <w:bottom w:val="single" w:sz="4" w:space="0" w:color="auto"/>
              <w:right w:val="nil"/>
            </w:tcBorders>
            <w:vAlign w:val="bottom"/>
            <w:hideMark/>
          </w:tcPr>
          <w:p w14:paraId="7FCCCCE3"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(7.254.942)</w:t>
            </w:r>
          </w:p>
        </w:tc>
        <w:tc>
          <w:tcPr>
            <w:tcW w:w="601" w:type="pct"/>
            <w:tcBorders>
              <w:top w:val="single" w:sz="4" w:space="0" w:color="auto"/>
              <w:left w:val="nil"/>
              <w:bottom w:val="single" w:sz="4" w:space="0" w:color="auto"/>
              <w:right w:val="nil"/>
            </w:tcBorders>
            <w:vAlign w:val="bottom"/>
            <w:hideMark/>
          </w:tcPr>
          <w:p w14:paraId="6EDD1F77"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w:t>
            </w:r>
          </w:p>
        </w:tc>
      </w:tr>
      <w:tr w:rsidR="00A74C68" w:rsidRPr="00471CBA" w14:paraId="0422B77A" w14:textId="77777777" w:rsidTr="00A74C68">
        <w:trPr>
          <w:divId w:val="758410951"/>
          <w:trHeight w:val="170"/>
        </w:trPr>
        <w:tc>
          <w:tcPr>
            <w:tcW w:w="1154" w:type="pct"/>
            <w:tcBorders>
              <w:top w:val="nil"/>
              <w:left w:val="nil"/>
              <w:bottom w:val="nil"/>
              <w:right w:val="nil"/>
            </w:tcBorders>
            <w:vAlign w:val="center"/>
            <w:hideMark/>
          </w:tcPr>
          <w:p w14:paraId="74C2B3D4" w14:textId="77777777" w:rsidR="00A74C68" w:rsidRPr="00471CBA" w:rsidRDefault="00A74C68" w:rsidP="00F36B82">
            <w:pPr>
              <w:spacing w:line="226" w:lineRule="auto"/>
              <w:jc w:val="right"/>
              <w:rPr>
                <w:b/>
                <w:bCs/>
                <w:color w:val="000000"/>
                <w:sz w:val="16"/>
                <w:szCs w:val="16"/>
              </w:rPr>
            </w:pPr>
          </w:p>
        </w:tc>
        <w:tc>
          <w:tcPr>
            <w:tcW w:w="455" w:type="pct"/>
            <w:tcBorders>
              <w:top w:val="nil"/>
              <w:left w:val="nil"/>
              <w:bottom w:val="nil"/>
              <w:right w:val="nil"/>
            </w:tcBorders>
            <w:vAlign w:val="bottom"/>
            <w:hideMark/>
          </w:tcPr>
          <w:p w14:paraId="6C79BD74" w14:textId="77777777" w:rsidR="00A74C68" w:rsidRPr="00471CBA" w:rsidRDefault="00A74C68" w:rsidP="00F36B82">
            <w:pPr>
              <w:spacing w:line="226" w:lineRule="auto"/>
              <w:jc w:val="right"/>
              <w:rPr>
                <w:szCs w:val="20"/>
              </w:rPr>
            </w:pPr>
          </w:p>
        </w:tc>
        <w:tc>
          <w:tcPr>
            <w:tcW w:w="482" w:type="pct"/>
            <w:tcBorders>
              <w:top w:val="nil"/>
              <w:left w:val="nil"/>
              <w:bottom w:val="nil"/>
              <w:right w:val="nil"/>
            </w:tcBorders>
            <w:vAlign w:val="bottom"/>
            <w:hideMark/>
          </w:tcPr>
          <w:p w14:paraId="15660BA5" w14:textId="77777777" w:rsidR="00A74C68" w:rsidRPr="00471CBA" w:rsidRDefault="00A74C68" w:rsidP="00F36B82">
            <w:pPr>
              <w:spacing w:line="226" w:lineRule="auto"/>
              <w:jc w:val="right"/>
              <w:rPr>
                <w:szCs w:val="20"/>
              </w:rPr>
            </w:pPr>
          </w:p>
        </w:tc>
        <w:tc>
          <w:tcPr>
            <w:tcW w:w="446" w:type="pct"/>
            <w:tcBorders>
              <w:top w:val="nil"/>
              <w:left w:val="nil"/>
              <w:bottom w:val="nil"/>
              <w:right w:val="nil"/>
            </w:tcBorders>
            <w:vAlign w:val="bottom"/>
            <w:hideMark/>
          </w:tcPr>
          <w:p w14:paraId="06D98034" w14:textId="77777777" w:rsidR="00A74C68" w:rsidRPr="00471CBA" w:rsidRDefault="00A74C68" w:rsidP="00F36B82">
            <w:pPr>
              <w:spacing w:line="226" w:lineRule="auto"/>
              <w:jc w:val="right"/>
              <w:rPr>
                <w:szCs w:val="20"/>
              </w:rPr>
            </w:pPr>
          </w:p>
        </w:tc>
        <w:tc>
          <w:tcPr>
            <w:tcW w:w="417" w:type="pct"/>
            <w:tcBorders>
              <w:top w:val="nil"/>
              <w:left w:val="nil"/>
              <w:bottom w:val="nil"/>
              <w:right w:val="nil"/>
            </w:tcBorders>
            <w:vAlign w:val="bottom"/>
            <w:hideMark/>
          </w:tcPr>
          <w:p w14:paraId="6117F466" w14:textId="77777777" w:rsidR="00A74C68" w:rsidRPr="00471CBA" w:rsidRDefault="00A74C68" w:rsidP="00F36B82">
            <w:pPr>
              <w:spacing w:line="226" w:lineRule="auto"/>
              <w:jc w:val="right"/>
              <w:rPr>
                <w:szCs w:val="20"/>
              </w:rPr>
            </w:pPr>
          </w:p>
        </w:tc>
        <w:tc>
          <w:tcPr>
            <w:tcW w:w="446" w:type="pct"/>
            <w:tcBorders>
              <w:top w:val="nil"/>
              <w:left w:val="nil"/>
              <w:bottom w:val="nil"/>
              <w:right w:val="nil"/>
            </w:tcBorders>
            <w:vAlign w:val="bottom"/>
            <w:hideMark/>
          </w:tcPr>
          <w:p w14:paraId="6F07DF05" w14:textId="77777777" w:rsidR="00A74C68" w:rsidRPr="00471CBA" w:rsidRDefault="00A74C68" w:rsidP="00F36B82">
            <w:pPr>
              <w:spacing w:line="226" w:lineRule="auto"/>
              <w:jc w:val="right"/>
              <w:rPr>
                <w:szCs w:val="20"/>
              </w:rPr>
            </w:pPr>
          </w:p>
        </w:tc>
        <w:tc>
          <w:tcPr>
            <w:tcW w:w="398" w:type="pct"/>
            <w:tcBorders>
              <w:top w:val="nil"/>
              <w:left w:val="nil"/>
              <w:bottom w:val="nil"/>
              <w:right w:val="nil"/>
            </w:tcBorders>
            <w:vAlign w:val="bottom"/>
            <w:hideMark/>
          </w:tcPr>
          <w:p w14:paraId="1C03A739" w14:textId="77777777" w:rsidR="00A74C68" w:rsidRPr="00471CBA" w:rsidRDefault="00A74C68" w:rsidP="00F36B82">
            <w:pPr>
              <w:spacing w:line="226" w:lineRule="auto"/>
              <w:jc w:val="right"/>
              <w:rPr>
                <w:szCs w:val="20"/>
              </w:rPr>
            </w:pPr>
          </w:p>
        </w:tc>
        <w:tc>
          <w:tcPr>
            <w:tcW w:w="600" w:type="pct"/>
            <w:tcBorders>
              <w:top w:val="nil"/>
              <w:left w:val="nil"/>
              <w:bottom w:val="nil"/>
              <w:right w:val="nil"/>
            </w:tcBorders>
            <w:vAlign w:val="bottom"/>
            <w:hideMark/>
          </w:tcPr>
          <w:p w14:paraId="5332F878" w14:textId="77777777" w:rsidR="00A74C68" w:rsidRPr="00471CBA" w:rsidRDefault="00A74C68" w:rsidP="00F36B82">
            <w:pPr>
              <w:spacing w:line="226" w:lineRule="auto"/>
              <w:jc w:val="right"/>
              <w:rPr>
                <w:szCs w:val="20"/>
              </w:rPr>
            </w:pPr>
          </w:p>
        </w:tc>
        <w:tc>
          <w:tcPr>
            <w:tcW w:w="601" w:type="pct"/>
            <w:tcBorders>
              <w:top w:val="nil"/>
              <w:left w:val="nil"/>
              <w:bottom w:val="nil"/>
              <w:right w:val="nil"/>
            </w:tcBorders>
            <w:vAlign w:val="bottom"/>
            <w:hideMark/>
          </w:tcPr>
          <w:p w14:paraId="6572E75D" w14:textId="77777777" w:rsidR="00A74C68" w:rsidRPr="00471CBA" w:rsidRDefault="00A74C68" w:rsidP="00F36B82">
            <w:pPr>
              <w:spacing w:line="226" w:lineRule="auto"/>
              <w:jc w:val="right"/>
              <w:rPr>
                <w:szCs w:val="20"/>
              </w:rPr>
            </w:pPr>
          </w:p>
        </w:tc>
      </w:tr>
      <w:tr w:rsidR="00A74C68" w:rsidRPr="00471CBA" w14:paraId="671C0281" w14:textId="77777777" w:rsidTr="00A74C68">
        <w:trPr>
          <w:divId w:val="758410951"/>
          <w:trHeight w:val="170"/>
        </w:trPr>
        <w:tc>
          <w:tcPr>
            <w:tcW w:w="1154" w:type="pct"/>
            <w:tcBorders>
              <w:top w:val="single" w:sz="4" w:space="0" w:color="auto"/>
              <w:left w:val="nil"/>
              <w:bottom w:val="single" w:sz="4" w:space="0" w:color="auto"/>
              <w:right w:val="nil"/>
            </w:tcBorders>
            <w:vAlign w:val="center"/>
            <w:hideMark/>
          </w:tcPr>
          <w:p w14:paraId="42E56AE2" w14:textId="77777777" w:rsidR="00A74C68" w:rsidRPr="00471CBA" w:rsidRDefault="00A74C68" w:rsidP="00F36B82">
            <w:pPr>
              <w:spacing w:line="226" w:lineRule="auto"/>
              <w:rPr>
                <w:b/>
                <w:bCs/>
                <w:color w:val="000000"/>
                <w:sz w:val="16"/>
                <w:szCs w:val="16"/>
              </w:rPr>
            </w:pPr>
            <w:r w:rsidRPr="00471CBA">
              <w:rPr>
                <w:b/>
                <w:bCs/>
                <w:color w:val="000000"/>
                <w:sz w:val="16"/>
                <w:szCs w:val="16"/>
              </w:rPr>
              <w:t>Net Bilanço Dışı Pozisyonu</w:t>
            </w:r>
          </w:p>
        </w:tc>
        <w:tc>
          <w:tcPr>
            <w:tcW w:w="455" w:type="pct"/>
            <w:tcBorders>
              <w:top w:val="single" w:sz="4" w:space="0" w:color="auto"/>
              <w:left w:val="nil"/>
              <w:bottom w:val="single" w:sz="4" w:space="0" w:color="auto"/>
              <w:right w:val="nil"/>
            </w:tcBorders>
            <w:vAlign w:val="bottom"/>
            <w:hideMark/>
          </w:tcPr>
          <w:p w14:paraId="76423657"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w:t>
            </w:r>
          </w:p>
        </w:tc>
        <w:tc>
          <w:tcPr>
            <w:tcW w:w="482" w:type="pct"/>
            <w:tcBorders>
              <w:top w:val="single" w:sz="4" w:space="0" w:color="auto"/>
              <w:left w:val="nil"/>
              <w:bottom w:val="single" w:sz="4" w:space="0" w:color="auto"/>
              <w:right w:val="nil"/>
            </w:tcBorders>
            <w:vAlign w:val="bottom"/>
            <w:hideMark/>
          </w:tcPr>
          <w:p w14:paraId="652BAA6E" w14:textId="77777777" w:rsidR="00A74C68" w:rsidRPr="00471CBA" w:rsidRDefault="00A74C68" w:rsidP="00F36B82">
            <w:pPr>
              <w:spacing w:line="226" w:lineRule="auto"/>
              <w:jc w:val="right"/>
              <w:rPr>
                <w:b/>
                <w:bCs/>
                <w:color w:val="000000"/>
                <w:sz w:val="16"/>
                <w:szCs w:val="16"/>
                <w:lang w:eastAsia="tr-TR"/>
              </w:rPr>
            </w:pPr>
            <w:r w:rsidRPr="00471CBA">
              <w:rPr>
                <w:b/>
                <w:bCs/>
                <w:color w:val="000000"/>
                <w:sz w:val="16"/>
                <w:szCs w:val="16"/>
              </w:rPr>
              <w:t>(7.449</w:t>
            </w:r>
            <w:r w:rsidRPr="00471CBA">
              <w:rPr>
                <w:b/>
                <w:bCs/>
                <w:color w:val="000000"/>
                <w:sz w:val="16"/>
                <w:szCs w:val="16"/>
                <w:lang w:eastAsia="tr-TR"/>
              </w:rPr>
              <w:t>)</w:t>
            </w:r>
          </w:p>
        </w:tc>
        <w:tc>
          <w:tcPr>
            <w:tcW w:w="446" w:type="pct"/>
            <w:tcBorders>
              <w:top w:val="single" w:sz="4" w:space="0" w:color="auto"/>
              <w:left w:val="nil"/>
              <w:bottom w:val="single" w:sz="4" w:space="0" w:color="auto"/>
              <w:right w:val="nil"/>
            </w:tcBorders>
            <w:vAlign w:val="bottom"/>
            <w:hideMark/>
          </w:tcPr>
          <w:p w14:paraId="57361D7E"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w:t>
            </w:r>
          </w:p>
        </w:tc>
        <w:tc>
          <w:tcPr>
            <w:tcW w:w="417" w:type="pct"/>
            <w:tcBorders>
              <w:top w:val="single" w:sz="4" w:space="0" w:color="auto"/>
              <w:left w:val="nil"/>
              <w:bottom w:val="single" w:sz="4" w:space="0" w:color="auto"/>
              <w:right w:val="nil"/>
            </w:tcBorders>
            <w:vAlign w:val="bottom"/>
            <w:hideMark/>
          </w:tcPr>
          <w:p w14:paraId="52165B51"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w:t>
            </w:r>
          </w:p>
        </w:tc>
        <w:tc>
          <w:tcPr>
            <w:tcW w:w="446" w:type="pct"/>
            <w:tcBorders>
              <w:top w:val="single" w:sz="4" w:space="0" w:color="auto"/>
              <w:left w:val="nil"/>
              <w:bottom w:val="single" w:sz="4" w:space="0" w:color="auto"/>
              <w:right w:val="nil"/>
            </w:tcBorders>
            <w:vAlign w:val="bottom"/>
            <w:hideMark/>
          </w:tcPr>
          <w:p w14:paraId="3EBA0586"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w:t>
            </w:r>
          </w:p>
        </w:tc>
        <w:tc>
          <w:tcPr>
            <w:tcW w:w="398" w:type="pct"/>
            <w:tcBorders>
              <w:top w:val="single" w:sz="4" w:space="0" w:color="auto"/>
              <w:left w:val="nil"/>
              <w:bottom w:val="single" w:sz="4" w:space="0" w:color="auto"/>
              <w:right w:val="nil"/>
            </w:tcBorders>
            <w:vAlign w:val="bottom"/>
            <w:hideMark/>
          </w:tcPr>
          <w:p w14:paraId="0172AA05"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w:t>
            </w:r>
          </w:p>
        </w:tc>
        <w:tc>
          <w:tcPr>
            <w:tcW w:w="600" w:type="pct"/>
            <w:tcBorders>
              <w:top w:val="single" w:sz="4" w:space="0" w:color="auto"/>
              <w:left w:val="nil"/>
              <w:bottom w:val="single" w:sz="4" w:space="0" w:color="auto"/>
              <w:right w:val="nil"/>
            </w:tcBorders>
            <w:vAlign w:val="bottom"/>
            <w:hideMark/>
          </w:tcPr>
          <w:p w14:paraId="26F1281B"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w:t>
            </w:r>
          </w:p>
        </w:tc>
        <w:tc>
          <w:tcPr>
            <w:tcW w:w="601" w:type="pct"/>
            <w:tcBorders>
              <w:top w:val="single" w:sz="4" w:space="0" w:color="auto"/>
              <w:left w:val="nil"/>
              <w:bottom w:val="single" w:sz="4" w:space="0" w:color="auto"/>
              <w:right w:val="nil"/>
            </w:tcBorders>
            <w:vAlign w:val="bottom"/>
            <w:hideMark/>
          </w:tcPr>
          <w:p w14:paraId="0C9C66AF" w14:textId="77777777" w:rsidR="00A74C68" w:rsidRPr="00471CBA" w:rsidRDefault="00A74C68" w:rsidP="00F36B82">
            <w:pPr>
              <w:spacing w:line="226" w:lineRule="auto"/>
              <w:jc w:val="right"/>
              <w:rPr>
                <w:b/>
                <w:bCs/>
                <w:color w:val="000000"/>
                <w:sz w:val="16"/>
                <w:szCs w:val="16"/>
                <w:lang w:eastAsia="tr-TR"/>
              </w:rPr>
            </w:pPr>
            <w:r w:rsidRPr="00471CBA">
              <w:rPr>
                <w:b/>
                <w:bCs/>
                <w:color w:val="000000"/>
                <w:sz w:val="16"/>
                <w:szCs w:val="16"/>
              </w:rPr>
              <w:t>(7.449</w:t>
            </w:r>
            <w:r w:rsidRPr="00471CBA">
              <w:rPr>
                <w:b/>
                <w:bCs/>
                <w:color w:val="000000"/>
                <w:sz w:val="16"/>
                <w:szCs w:val="16"/>
                <w:lang w:eastAsia="tr-TR"/>
              </w:rPr>
              <w:t>)</w:t>
            </w:r>
          </w:p>
        </w:tc>
      </w:tr>
      <w:tr w:rsidR="00A74C68" w:rsidRPr="00471CBA" w14:paraId="41693F75" w14:textId="77777777" w:rsidTr="00A74C68">
        <w:trPr>
          <w:divId w:val="758410951"/>
          <w:trHeight w:val="170"/>
        </w:trPr>
        <w:tc>
          <w:tcPr>
            <w:tcW w:w="1154" w:type="pct"/>
            <w:tcBorders>
              <w:top w:val="nil"/>
              <w:left w:val="nil"/>
              <w:bottom w:val="nil"/>
              <w:right w:val="nil"/>
            </w:tcBorders>
            <w:vAlign w:val="center"/>
            <w:hideMark/>
          </w:tcPr>
          <w:p w14:paraId="3898F687" w14:textId="77777777" w:rsidR="00A74C68" w:rsidRPr="00471CBA" w:rsidRDefault="00A74C68" w:rsidP="00F36B82">
            <w:pPr>
              <w:spacing w:line="226" w:lineRule="auto"/>
              <w:rPr>
                <w:color w:val="000000"/>
                <w:sz w:val="16"/>
                <w:szCs w:val="16"/>
              </w:rPr>
            </w:pPr>
            <w:r w:rsidRPr="00471CBA">
              <w:rPr>
                <w:snapToGrid w:val="0"/>
                <w:color w:val="000000"/>
                <w:sz w:val="16"/>
                <w:szCs w:val="16"/>
              </w:rPr>
              <w:t>Türev Finansal Araçlardan Alacaklar</w:t>
            </w:r>
          </w:p>
        </w:tc>
        <w:tc>
          <w:tcPr>
            <w:tcW w:w="455" w:type="pct"/>
            <w:tcBorders>
              <w:top w:val="nil"/>
              <w:left w:val="nil"/>
              <w:bottom w:val="nil"/>
              <w:right w:val="nil"/>
            </w:tcBorders>
            <w:vAlign w:val="bottom"/>
            <w:hideMark/>
          </w:tcPr>
          <w:p w14:paraId="5F366B2A" w14:textId="77777777" w:rsidR="00A74C68" w:rsidRPr="00471CBA" w:rsidRDefault="00A74C68" w:rsidP="00F36B82">
            <w:pPr>
              <w:spacing w:line="226" w:lineRule="auto"/>
              <w:jc w:val="right"/>
              <w:rPr>
                <w:color w:val="000000"/>
                <w:sz w:val="16"/>
                <w:szCs w:val="16"/>
              </w:rPr>
            </w:pPr>
            <w:r w:rsidRPr="00471CBA">
              <w:rPr>
                <w:bCs/>
                <w:color w:val="000000"/>
                <w:sz w:val="16"/>
                <w:szCs w:val="16"/>
              </w:rPr>
              <w:t>-</w:t>
            </w:r>
          </w:p>
        </w:tc>
        <w:tc>
          <w:tcPr>
            <w:tcW w:w="482" w:type="pct"/>
            <w:tcBorders>
              <w:top w:val="nil"/>
              <w:left w:val="nil"/>
              <w:bottom w:val="nil"/>
              <w:right w:val="nil"/>
            </w:tcBorders>
            <w:vAlign w:val="bottom"/>
            <w:hideMark/>
          </w:tcPr>
          <w:p w14:paraId="45BA0718" w14:textId="77777777" w:rsidR="00A74C68" w:rsidRPr="00471CBA" w:rsidRDefault="00A74C68" w:rsidP="00F36B82">
            <w:pPr>
              <w:spacing w:line="226" w:lineRule="auto"/>
              <w:jc w:val="right"/>
              <w:rPr>
                <w:color w:val="000000"/>
                <w:sz w:val="16"/>
                <w:szCs w:val="16"/>
              </w:rPr>
            </w:pPr>
            <w:r w:rsidRPr="00471CBA">
              <w:rPr>
                <w:bCs/>
                <w:color w:val="000000"/>
                <w:sz w:val="16"/>
                <w:szCs w:val="16"/>
              </w:rPr>
              <w:t>7.680.314</w:t>
            </w:r>
          </w:p>
        </w:tc>
        <w:tc>
          <w:tcPr>
            <w:tcW w:w="446" w:type="pct"/>
            <w:tcBorders>
              <w:top w:val="nil"/>
              <w:left w:val="nil"/>
              <w:bottom w:val="nil"/>
              <w:right w:val="nil"/>
            </w:tcBorders>
            <w:vAlign w:val="bottom"/>
            <w:hideMark/>
          </w:tcPr>
          <w:p w14:paraId="0CAEFF96" w14:textId="77777777" w:rsidR="00A74C68" w:rsidRPr="00471CBA" w:rsidRDefault="00A74C68" w:rsidP="00F36B82">
            <w:pPr>
              <w:spacing w:line="226" w:lineRule="auto"/>
              <w:jc w:val="right"/>
              <w:rPr>
                <w:color w:val="000000"/>
                <w:sz w:val="16"/>
                <w:szCs w:val="16"/>
              </w:rPr>
            </w:pPr>
            <w:r w:rsidRPr="00471CBA">
              <w:rPr>
                <w:bCs/>
                <w:color w:val="000000"/>
                <w:sz w:val="16"/>
                <w:szCs w:val="16"/>
              </w:rPr>
              <w:t>-</w:t>
            </w:r>
          </w:p>
        </w:tc>
        <w:tc>
          <w:tcPr>
            <w:tcW w:w="417" w:type="pct"/>
            <w:tcBorders>
              <w:top w:val="nil"/>
              <w:left w:val="nil"/>
              <w:bottom w:val="nil"/>
              <w:right w:val="nil"/>
            </w:tcBorders>
            <w:vAlign w:val="bottom"/>
            <w:hideMark/>
          </w:tcPr>
          <w:p w14:paraId="308FC521" w14:textId="77777777" w:rsidR="00A74C68" w:rsidRPr="00471CBA" w:rsidRDefault="00A74C68" w:rsidP="00F36B82">
            <w:pPr>
              <w:spacing w:line="226" w:lineRule="auto"/>
              <w:jc w:val="right"/>
              <w:rPr>
                <w:color w:val="000000"/>
                <w:sz w:val="16"/>
                <w:szCs w:val="16"/>
              </w:rPr>
            </w:pPr>
            <w:r w:rsidRPr="00471CBA">
              <w:rPr>
                <w:bCs/>
                <w:color w:val="000000"/>
                <w:sz w:val="16"/>
                <w:szCs w:val="16"/>
              </w:rPr>
              <w:t>-</w:t>
            </w:r>
          </w:p>
        </w:tc>
        <w:tc>
          <w:tcPr>
            <w:tcW w:w="446" w:type="pct"/>
            <w:tcBorders>
              <w:top w:val="nil"/>
              <w:left w:val="nil"/>
              <w:bottom w:val="nil"/>
              <w:right w:val="nil"/>
            </w:tcBorders>
            <w:vAlign w:val="bottom"/>
            <w:hideMark/>
          </w:tcPr>
          <w:p w14:paraId="168A6034" w14:textId="77777777" w:rsidR="00A74C68" w:rsidRPr="00471CBA" w:rsidRDefault="00A74C68" w:rsidP="00F36B82">
            <w:pPr>
              <w:spacing w:line="226" w:lineRule="auto"/>
              <w:jc w:val="right"/>
              <w:rPr>
                <w:color w:val="000000"/>
                <w:sz w:val="16"/>
                <w:szCs w:val="16"/>
              </w:rPr>
            </w:pPr>
            <w:r w:rsidRPr="00471CBA">
              <w:rPr>
                <w:bCs/>
                <w:color w:val="000000"/>
                <w:sz w:val="16"/>
                <w:szCs w:val="16"/>
              </w:rPr>
              <w:t>-</w:t>
            </w:r>
          </w:p>
        </w:tc>
        <w:tc>
          <w:tcPr>
            <w:tcW w:w="398" w:type="pct"/>
            <w:tcBorders>
              <w:top w:val="nil"/>
              <w:left w:val="nil"/>
              <w:bottom w:val="nil"/>
              <w:right w:val="nil"/>
            </w:tcBorders>
            <w:vAlign w:val="bottom"/>
            <w:hideMark/>
          </w:tcPr>
          <w:p w14:paraId="55995CDE" w14:textId="77777777" w:rsidR="00A74C68" w:rsidRPr="00471CBA" w:rsidRDefault="00A74C68" w:rsidP="00F36B82">
            <w:pPr>
              <w:spacing w:line="226" w:lineRule="auto"/>
              <w:jc w:val="right"/>
              <w:rPr>
                <w:color w:val="000000"/>
                <w:sz w:val="16"/>
                <w:szCs w:val="16"/>
              </w:rPr>
            </w:pPr>
            <w:r w:rsidRPr="00471CBA">
              <w:rPr>
                <w:bCs/>
                <w:color w:val="000000"/>
                <w:sz w:val="16"/>
                <w:szCs w:val="16"/>
              </w:rPr>
              <w:t>-</w:t>
            </w:r>
          </w:p>
        </w:tc>
        <w:tc>
          <w:tcPr>
            <w:tcW w:w="600" w:type="pct"/>
            <w:tcBorders>
              <w:top w:val="nil"/>
              <w:left w:val="nil"/>
              <w:bottom w:val="nil"/>
              <w:right w:val="nil"/>
            </w:tcBorders>
            <w:vAlign w:val="bottom"/>
            <w:hideMark/>
          </w:tcPr>
          <w:p w14:paraId="778C9067" w14:textId="77777777" w:rsidR="00A74C68" w:rsidRPr="00471CBA" w:rsidRDefault="00A74C68" w:rsidP="00F36B82">
            <w:pPr>
              <w:spacing w:line="226" w:lineRule="auto"/>
              <w:jc w:val="right"/>
              <w:rPr>
                <w:color w:val="000000"/>
                <w:sz w:val="16"/>
                <w:szCs w:val="16"/>
              </w:rPr>
            </w:pPr>
            <w:r w:rsidRPr="00471CBA">
              <w:rPr>
                <w:bCs/>
                <w:color w:val="000000"/>
                <w:sz w:val="16"/>
                <w:szCs w:val="16"/>
              </w:rPr>
              <w:t>-</w:t>
            </w:r>
          </w:p>
        </w:tc>
        <w:tc>
          <w:tcPr>
            <w:tcW w:w="601" w:type="pct"/>
            <w:tcBorders>
              <w:top w:val="nil"/>
              <w:left w:val="nil"/>
              <w:bottom w:val="nil"/>
              <w:right w:val="nil"/>
            </w:tcBorders>
            <w:vAlign w:val="bottom"/>
            <w:hideMark/>
          </w:tcPr>
          <w:p w14:paraId="668CC4DD" w14:textId="77777777" w:rsidR="00A74C68" w:rsidRPr="00471CBA" w:rsidRDefault="00A74C68" w:rsidP="00F36B82">
            <w:pPr>
              <w:spacing w:line="226" w:lineRule="auto"/>
              <w:jc w:val="right"/>
              <w:rPr>
                <w:color w:val="000000"/>
                <w:sz w:val="16"/>
                <w:szCs w:val="16"/>
              </w:rPr>
            </w:pPr>
            <w:r w:rsidRPr="00471CBA">
              <w:rPr>
                <w:bCs/>
                <w:color w:val="000000"/>
                <w:sz w:val="16"/>
                <w:szCs w:val="16"/>
              </w:rPr>
              <w:t>7.680.314</w:t>
            </w:r>
          </w:p>
        </w:tc>
      </w:tr>
      <w:tr w:rsidR="00A74C68" w:rsidRPr="00471CBA" w14:paraId="648B142C" w14:textId="77777777" w:rsidTr="00A74C68">
        <w:trPr>
          <w:divId w:val="758410951"/>
          <w:trHeight w:val="170"/>
        </w:trPr>
        <w:tc>
          <w:tcPr>
            <w:tcW w:w="1154" w:type="pct"/>
            <w:tcBorders>
              <w:top w:val="nil"/>
              <w:left w:val="nil"/>
              <w:bottom w:val="nil"/>
              <w:right w:val="nil"/>
            </w:tcBorders>
            <w:vAlign w:val="center"/>
            <w:hideMark/>
          </w:tcPr>
          <w:p w14:paraId="7DB437ED" w14:textId="77777777" w:rsidR="00A74C68" w:rsidRPr="00471CBA" w:rsidRDefault="00A74C68" w:rsidP="00F36B82">
            <w:pPr>
              <w:spacing w:line="226" w:lineRule="auto"/>
              <w:rPr>
                <w:color w:val="000000"/>
                <w:sz w:val="16"/>
                <w:szCs w:val="16"/>
              </w:rPr>
            </w:pPr>
            <w:r w:rsidRPr="00471CBA">
              <w:rPr>
                <w:snapToGrid w:val="0"/>
                <w:color w:val="000000"/>
                <w:sz w:val="16"/>
                <w:szCs w:val="16"/>
              </w:rPr>
              <w:t>Türev Finansal Araçlardan Borçlar</w:t>
            </w:r>
          </w:p>
        </w:tc>
        <w:tc>
          <w:tcPr>
            <w:tcW w:w="455" w:type="pct"/>
            <w:tcBorders>
              <w:top w:val="nil"/>
              <w:left w:val="nil"/>
              <w:bottom w:val="nil"/>
              <w:right w:val="nil"/>
            </w:tcBorders>
            <w:vAlign w:val="bottom"/>
            <w:hideMark/>
          </w:tcPr>
          <w:p w14:paraId="05D289CB" w14:textId="77777777" w:rsidR="00A74C68" w:rsidRPr="00471CBA" w:rsidRDefault="00A74C68" w:rsidP="00F36B82">
            <w:pPr>
              <w:spacing w:line="226" w:lineRule="auto"/>
              <w:jc w:val="right"/>
              <w:rPr>
                <w:color w:val="000000"/>
                <w:sz w:val="16"/>
                <w:szCs w:val="16"/>
              </w:rPr>
            </w:pPr>
            <w:r w:rsidRPr="00471CBA">
              <w:rPr>
                <w:bCs/>
                <w:color w:val="000000"/>
                <w:sz w:val="16"/>
                <w:szCs w:val="16"/>
              </w:rPr>
              <w:t>-</w:t>
            </w:r>
          </w:p>
        </w:tc>
        <w:tc>
          <w:tcPr>
            <w:tcW w:w="482" w:type="pct"/>
            <w:tcBorders>
              <w:top w:val="nil"/>
              <w:left w:val="nil"/>
              <w:bottom w:val="nil"/>
              <w:right w:val="nil"/>
            </w:tcBorders>
            <w:vAlign w:val="bottom"/>
            <w:hideMark/>
          </w:tcPr>
          <w:p w14:paraId="78FCEC9C" w14:textId="77777777" w:rsidR="00A74C68" w:rsidRPr="00471CBA" w:rsidRDefault="00A74C68" w:rsidP="00F36B82">
            <w:pPr>
              <w:spacing w:line="226" w:lineRule="auto"/>
              <w:jc w:val="right"/>
              <w:rPr>
                <w:color w:val="000000"/>
                <w:sz w:val="16"/>
                <w:szCs w:val="16"/>
              </w:rPr>
            </w:pPr>
            <w:r w:rsidRPr="00471CBA">
              <w:rPr>
                <w:bCs/>
                <w:color w:val="000000"/>
                <w:sz w:val="16"/>
                <w:szCs w:val="16"/>
              </w:rPr>
              <w:t>7.687.763</w:t>
            </w:r>
          </w:p>
        </w:tc>
        <w:tc>
          <w:tcPr>
            <w:tcW w:w="446" w:type="pct"/>
            <w:tcBorders>
              <w:top w:val="nil"/>
              <w:left w:val="nil"/>
              <w:bottom w:val="nil"/>
              <w:right w:val="nil"/>
            </w:tcBorders>
            <w:vAlign w:val="bottom"/>
            <w:hideMark/>
          </w:tcPr>
          <w:p w14:paraId="1A0E21E6" w14:textId="77777777" w:rsidR="00A74C68" w:rsidRPr="00471CBA" w:rsidRDefault="00A74C68" w:rsidP="00F36B82">
            <w:pPr>
              <w:spacing w:line="226" w:lineRule="auto"/>
              <w:jc w:val="right"/>
              <w:rPr>
                <w:color w:val="000000"/>
                <w:sz w:val="16"/>
                <w:szCs w:val="16"/>
              </w:rPr>
            </w:pPr>
            <w:r w:rsidRPr="00471CBA">
              <w:rPr>
                <w:bCs/>
                <w:color w:val="000000"/>
                <w:sz w:val="16"/>
                <w:szCs w:val="16"/>
              </w:rPr>
              <w:t>-</w:t>
            </w:r>
          </w:p>
        </w:tc>
        <w:tc>
          <w:tcPr>
            <w:tcW w:w="417" w:type="pct"/>
            <w:tcBorders>
              <w:top w:val="nil"/>
              <w:left w:val="nil"/>
              <w:bottom w:val="nil"/>
              <w:right w:val="nil"/>
            </w:tcBorders>
            <w:vAlign w:val="bottom"/>
            <w:hideMark/>
          </w:tcPr>
          <w:p w14:paraId="2B372689" w14:textId="77777777" w:rsidR="00A74C68" w:rsidRPr="00471CBA" w:rsidRDefault="00A74C68" w:rsidP="00F36B82">
            <w:pPr>
              <w:spacing w:line="226" w:lineRule="auto"/>
              <w:jc w:val="right"/>
              <w:rPr>
                <w:color w:val="000000"/>
                <w:sz w:val="16"/>
                <w:szCs w:val="16"/>
              </w:rPr>
            </w:pPr>
            <w:r w:rsidRPr="00471CBA">
              <w:rPr>
                <w:bCs/>
                <w:color w:val="000000"/>
                <w:sz w:val="16"/>
                <w:szCs w:val="16"/>
              </w:rPr>
              <w:t>-</w:t>
            </w:r>
          </w:p>
        </w:tc>
        <w:tc>
          <w:tcPr>
            <w:tcW w:w="446" w:type="pct"/>
            <w:tcBorders>
              <w:top w:val="nil"/>
              <w:left w:val="nil"/>
              <w:bottom w:val="nil"/>
              <w:right w:val="nil"/>
            </w:tcBorders>
            <w:vAlign w:val="bottom"/>
            <w:hideMark/>
          </w:tcPr>
          <w:p w14:paraId="7DCE0F29" w14:textId="77777777" w:rsidR="00A74C68" w:rsidRPr="00471CBA" w:rsidRDefault="00A74C68" w:rsidP="00F36B82">
            <w:pPr>
              <w:spacing w:line="226" w:lineRule="auto"/>
              <w:jc w:val="right"/>
              <w:rPr>
                <w:color w:val="000000"/>
                <w:sz w:val="16"/>
                <w:szCs w:val="16"/>
              </w:rPr>
            </w:pPr>
            <w:r w:rsidRPr="00471CBA">
              <w:rPr>
                <w:bCs/>
                <w:color w:val="000000"/>
                <w:sz w:val="16"/>
                <w:szCs w:val="16"/>
              </w:rPr>
              <w:t>-</w:t>
            </w:r>
          </w:p>
        </w:tc>
        <w:tc>
          <w:tcPr>
            <w:tcW w:w="398" w:type="pct"/>
            <w:tcBorders>
              <w:top w:val="nil"/>
              <w:left w:val="nil"/>
              <w:bottom w:val="nil"/>
              <w:right w:val="nil"/>
            </w:tcBorders>
            <w:vAlign w:val="bottom"/>
            <w:hideMark/>
          </w:tcPr>
          <w:p w14:paraId="65289D57" w14:textId="77777777" w:rsidR="00A74C68" w:rsidRPr="00471CBA" w:rsidRDefault="00A74C68" w:rsidP="00F36B82">
            <w:pPr>
              <w:spacing w:line="226" w:lineRule="auto"/>
              <w:jc w:val="right"/>
              <w:rPr>
                <w:color w:val="000000"/>
                <w:sz w:val="16"/>
                <w:szCs w:val="16"/>
              </w:rPr>
            </w:pPr>
            <w:r w:rsidRPr="00471CBA">
              <w:rPr>
                <w:bCs/>
                <w:color w:val="000000"/>
                <w:sz w:val="16"/>
                <w:szCs w:val="16"/>
              </w:rPr>
              <w:t>-</w:t>
            </w:r>
          </w:p>
        </w:tc>
        <w:tc>
          <w:tcPr>
            <w:tcW w:w="600" w:type="pct"/>
            <w:tcBorders>
              <w:top w:val="nil"/>
              <w:left w:val="nil"/>
              <w:bottom w:val="nil"/>
              <w:right w:val="nil"/>
            </w:tcBorders>
            <w:vAlign w:val="bottom"/>
            <w:hideMark/>
          </w:tcPr>
          <w:p w14:paraId="6228FFC6" w14:textId="77777777" w:rsidR="00A74C68" w:rsidRPr="00471CBA" w:rsidRDefault="00A74C68" w:rsidP="00F36B82">
            <w:pPr>
              <w:spacing w:line="226" w:lineRule="auto"/>
              <w:jc w:val="right"/>
              <w:rPr>
                <w:color w:val="000000"/>
                <w:sz w:val="16"/>
                <w:szCs w:val="16"/>
              </w:rPr>
            </w:pPr>
            <w:r w:rsidRPr="00471CBA">
              <w:rPr>
                <w:bCs/>
                <w:color w:val="000000"/>
                <w:sz w:val="16"/>
                <w:szCs w:val="16"/>
              </w:rPr>
              <w:t>-</w:t>
            </w:r>
          </w:p>
        </w:tc>
        <w:tc>
          <w:tcPr>
            <w:tcW w:w="601" w:type="pct"/>
            <w:tcBorders>
              <w:top w:val="nil"/>
              <w:left w:val="nil"/>
              <w:bottom w:val="nil"/>
              <w:right w:val="nil"/>
            </w:tcBorders>
            <w:vAlign w:val="bottom"/>
            <w:hideMark/>
          </w:tcPr>
          <w:p w14:paraId="59E941B8" w14:textId="77777777" w:rsidR="00A74C68" w:rsidRPr="00471CBA" w:rsidRDefault="00A74C68" w:rsidP="00F36B82">
            <w:pPr>
              <w:spacing w:line="226" w:lineRule="auto"/>
              <w:jc w:val="right"/>
              <w:rPr>
                <w:color w:val="000000"/>
                <w:sz w:val="16"/>
                <w:szCs w:val="16"/>
              </w:rPr>
            </w:pPr>
            <w:r w:rsidRPr="00471CBA">
              <w:rPr>
                <w:bCs/>
                <w:color w:val="000000"/>
                <w:sz w:val="16"/>
                <w:szCs w:val="16"/>
              </w:rPr>
              <w:t>7.687.763</w:t>
            </w:r>
          </w:p>
        </w:tc>
      </w:tr>
      <w:tr w:rsidR="00A74C68" w:rsidRPr="00471CBA" w14:paraId="5CDAED58" w14:textId="77777777" w:rsidTr="00A74C68">
        <w:trPr>
          <w:divId w:val="758410951"/>
          <w:trHeight w:val="170"/>
        </w:trPr>
        <w:tc>
          <w:tcPr>
            <w:tcW w:w="1154" w:type="pct"/>
            <w:tcBorders>
              <w:top w:val="single" w:sz="4" w:space="0" w:color="auto"/>
              <w:left w:val="nil"/>
              <w:bottom w:val="single" w:sz="4" w:space="0" w:color="auto"/>
              <w:right w:val="nil"/>
            </w:tcBorders>
            <w:vAlign w:val="center"/>
            <w:hideMark/>
          </w:tcPr>
          <w:p w14:paraId="4691BE24" w14:textId="77777777" w:rsidR="00A74C68" w:rsidRPr="00471CBA" w:rsidRDefault="00A74C68" w:rsidP="00F36B82">
            <w:pPr>
              <w:spacing w:line="226" w:lineRule="auto"/>
              <w:rPr>
                <w:b/>
                <w:bCs/>
                <w:color w:val="000000"/>
                <w:sz w:val="16"/>
                <w:szCs w:val="16"/>
              </w:rPr>
            </w:pPr>
            <w:proofErr w:type="spellStart"/>
            <w:r w:rsidRPr="00471CBA">
              <w:rPr>
                <w:b/>
                <w:bCs/>
                <w:color w:val="000000"/>
                <w:sz w:val="16"/>
                <w:szCs w:val="16"/>
              </w:rPr>
              <w:t>Gayrinakdi</w:t>
            </w:r>
            <w:proofErr w:type="spellEnd"/>
            <w:r w:rsidRPr="00471CBA">
              <w:rPr>
                <w:b/>
                <w:bCs/>
                <w:color w:val="000000"/>
                <w:sz w:val="16"/>
                <w:szCs w:val="16"/>
              </w:rPr>
              <w:t xml:space="preserve"> Krediler</w:t>
            </w:r>
          </w:p>
        </w:tc>
        <w:tc>
          <w:tcPr>
            <w:tcW w:w="455" w:type="pct"/>
            <w:tcBorders>
              <w:top w:val="single" w:sz="4" w:space="0" w:color="auto"/>
              <w:left w:val="nil"/>
              <w:bottom w:val="single" w:sz="4" w:space="0" w:color="auto"/>
              <w:right w:val="nil"/>
            </w:tcBorders>
            <w:vAlign w:val="bottom"/>
            <w:hideMark/>
          </w:tcPr>
          <w:p w14:paraId="603842F8"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w:t>
            </w:r>
          </w:p>
        </w:tc>
        <w:tc>
          <w:tcPr>
            <w:tcW w:w="482" w:type="pct"/>
            <w:tcBorders>
              <w:top w:val="single" w:sz="4" w:space="0" w:color="auto"/>
              <w:left w:val="nil"/>
              <w:bottom w:val="single" w:sz="4" w:space="0" w:color="auto"/>
              <w:right w:val="nil"/>
            </w:tcBorders>
            <w:vAlign w:val="bottom"/>
            <w:hideMark/>
          </w:tcPr>
          <w:p w14:paraId="696E0067"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45.408</w:t>
            </w:r>
          </w:p>
        </w:tc>
        <w:tc>
          <w:tcPr>
            <w:tcW w:w="446" w:type="pct"/>
            <w:tcBorders>
              <w:top w:val="single" w:sz="4" w:space="0" w:color="auto"/>
              <w:left w:val="nil"/>
              <w:bottom w:val="single" w:sz="4" w:space="0" w:color="auto"/>
              <w:right w:val="nil"/>
            </w:tcBorders>
            <w:vAlign w:val="bottom"/>
            <w:hideMark/>
          </w:tcPr>
          <w:p w14:paraId="3C12673B"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251.719</w:t>
            </w:r>
          </w:p>
        </w:tc>
        <w:tc>
          <w:tcPr>
            <w:tcW w:w="417" w:type="pct"/>
            <w:tcBorders>
              <w:top w:val="single" w:sz="4" w:space="0" w:color="auto"/>
              <w:left w:val="nil"/>
              <w:bottom w:val="single" w:sz="4" w:space="0" w:color="auto"/>
              <w:right w:val="nil"/>
            </w:tcBorders>
            <w:vAlign w:val="bottom"/>
            <w:hideMark/>
          </w:tcPr>
          <w:p w14:paraId="290F06EB"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3.820.710</w:t>
            </w:r>
          </w:p>
        </w:tc>
        <w:tc>
          <w:tcPr>
            <w:tcW w:w="446" w:type="pct"/>
            <w:tcBorders>
              <w:top w:val="single" w:sz="4" w:space="0" w:color="auto"/>
              <w:left w:val="nil"/>
              <w:bottom w:val="single" w:sz="4" w:space="0" w:color="auto"/>
              <w:right w:val="nil"/>
            </w:tcBorders>
            <w:vAlign w:val="bottom"/>
            <w:hideMark/>
          </w:tcPr>
          <w:p w14:paraId="40893FF6"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1.614.136</w:t>
            </w:r>
          </w:p>
        </w:tc>
        <w:tc>
          <w:tcPr>
            <w:tcW w:w="398" w:type="pct"/>
            <w:tcBorders>
              <w:top w:val="single" w:sz="4" w:space="0" w:color="auto"/>
              <w:left w:val="nil"/>
              <w:bottom w:val="single" w:sz="4" w:space="0" w:color="auto"/>
              <w:right w:val="nil"/>
            </w:tcBorders>
            <w:vAlign w:val="bottom"/>
            <w:hideMark/>
          </w:tcPr>
          <w:p w14:paraId="6C678AFE"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1.603.741</w:t>
            </w:r>
          </w:p>
        </w:tc>
        <w:tc>
          <w:tcPr>
            <w:tcW w:w="600" w:type="pct"/>
            <w:tcBorders>
              <w:top w:val="single" w:sz="4" w:space="0" w:color="auto"/>
              <w:left w:val="nil"/>
              <w:bottom w:val="single" w:sz="4" w:space="0" w:color="auto"/>
              <w:right w:val="nil"/>
            </w:tcBorders>
            <w:vAlign w:val="bottom"/>
            <w:hideMark/>
          </w:tcPr>
          <w:p w14:paraId="5B4C2F2D"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w:t>
            </w:r>
          </w:p>
        </w:tc>
        <w:tc>
          <w:tcPr>
            <w:tcW w:w="601" w:type="pct"/>
            <w:tcBorders>
              <w:top w:val="single" w:sz="4" w:space="0" w:color="auto"/>
              <w:left w:val="nil"/>
              <w:bottom w:val="single" w:sz="4" w:space="0" w:color="auto"/>
              <w:right w:val="nil"/>
            </w:tcBorders>
            <w:vAlign w:val="bottom"/>
            <w:hideMark/>
          </w:tcPr>
          <w:p w14:paraId="14BAC9C3" w14:textId="77777777" w:rsidR="00A74C68" w:rsidRPr="00471CBA" w:rsidRDefault="00A74C68" w:rsidP="00F36B82">
            <w:pPr>
              <w:spacing w:line="226" w:lineRule="auto"/>
              <w:jc w:val="right"/>
              <w:rPr>
                <w:b/>
                <w:bCs/>
                <w:color w:val="000000"/>
                <w:sz w:val="16"/>
                <w:szCs w:val="16"/>
              </w:rPr>
            </w:pPr>
            <w:r w:rsidRPr="00471CBA">
              <w:rPr>
                <w:b/>
                <w:bCs/>
                <w:color w:val="000000"/>
                <w:sz w:val="16"/>
                <w:szCs w:val="16"/>
              </w:rPr>
              <w:t>7.335.714</w:t>
            </w:r>
          </w:p>
        </w:tc>
      </w:tr>
    </w:tbl>
    <w:p w14:paraId="2A70CFB6" w14:textId="3A2390EF" w:rsidR="00763443" w:rsidRPr="00471CBA" w:rsidRDefault="00763443" w:rsidP="00F36B82">
      <w:pPr>
        <w:widowControl w:val="0"/>
        <w:tabs>
          <w:tab w:val="left" w:pos="224"/>
          <w:tab w:val="left" w:pos="284"/>
        </w:tabs>
        <w:spacing w:line="226" w:lineRule="auto"/>
        <w:ind w:left="238" w:right="-194" w:hanging="238"/>
        <w:jc w:val="both"/>
        <w:rPr>
          <w:snapToGrid w:val="0"/>
          <w:sz w:val="14"/>
          <w:szCs w:val="14"/>
        </w:rPr>
      </w:pPr>
    </w:p>
    <w:p w14:paraId="4463E855" w14:textId="56BA19F8" w:rsidR="00AC56D7" w:rsidRPr="00471CBA" w:rsidRDefault="00D82BEB" w:rsidP="00F36B82">
      <w:pPr>
        <w:spacing w:line="226" w:lineRule="auto"/>
        <w:ind w:left="567" w:hanging="567"/>
        <w:rPr>
          <w:sz w:val="18"/>
          <w:szCs w:val="22"/>
        </w:rPr>
      </w:pPr>
      <w:r w:rsidRPr="00471CBA">
        <w:rPr>
          <w:sz w:val="18"/>
          <w:szCs w:val="22"/>
          <w:vertAlign w:val="superscript"/>
        </w:rPr>
        <w:t>(*)</w:t>
      </w:r>
      <w:r w:rsidR="00AC56D7" w:rsidRPr="00471CBA">
        <w:rPr>
          <w:sz w:val="18"/>
          <w:szCs w:val="22"/>
        </w:rPr>
        <w:tab/>
      </w:r>
      <w:r w:rsidR="00EB08B9" w:rsidRPr="00471CBA">
        <w:rPr>
          <w:sz w:val="18"/>
          <w:szCs w:val="22"/>
        </w:rPr>
        <w:t>Bilançoyu oluşturan pasif hesaplardan kiralama işlemi yükümlülükleri, karşılıklar, cari vergi borcu ve özkaynaklar gibi bankacılık faaliyetinin sürdürülmesi için gereksinim duyulan, diğer yükümlülük nitelikli hesaplar buraya kaydedilir.</w:t>
      </w:r>
    </w:p>
    <w:p w14:paraId="2DDC7FD9" w14:textId="4F21A467" w:rsidR="00757147" w:rsidRPr="00471CBA" w:rsidRDefault="00AC56D7" w:rsidP="00F36B82">
      <w:pPr>
        <w:spacing w:line="226" w:lineRule="auto"/>
        <w:ind w:left="567" w:hanging="567"/>
        <w:rPr>
          <w:sz w:val="18"/>
          <w:szCs w:val="22"/>
          <w:vertAlign w:val="superscript"/>
        </w:rPr>
      </w:pPr>
      <w:r w:rsidRPr="00471CBA">
        <w:rPr>
          <w:sz w:val="18"/>
          <w:szCs w:val="22"/>
          <w:vertAlign w:val="superscript"/>
        </w:rPr>
        <w:t>(**)</w:t>
      </w:r>
      <w:r w:rsidRPr="00471CBA">
        <w:rPr>
          <w:sz w:val="18"/>
          <w:szCs w:val="22"/>
        </w:rPr>
        <w:tab/>
        <w:t>Türev finansal araçlar dahil edilmiştir.</w:t>
      </w:r>
      <w:r w:rsidR="00757147" w:rsidRPr="00471CBA">
        <w:rPr>
          <w:sz w:val="18"/>
          <w:szCs w:val="22"/>
          <w:vertAlign w:val="superscript"/>
        </w:rPr>
        <w:br w:type="page"/>
      </w:r>
    </w:p>
    <w:p w14:paraId="6F85F486" w14:textId="781DE4B9" w:rsidR="009B482B" w:rsidRPr="00471CBA" w:rsidRDefault="006218A8" w:rsidP="00B252B3">
      <w:pPr>
        <w:pStyle w:val="GvdeMetniGirintisi"/>
        <w:widowControl w:val="0"/>
        <w:spacing w:after="120" w:line="233" w:lineRule="auto"/>
        <w:ind w:firstLine="0"/>
        <w:jc w:val="left"/>
        <w:rPr>
          <w:b/>
          <w:szCs w:val="20"/>
        </w:rPr>
      </w:pPr>
      <w:r w:rsidRPr="00471CBA">
        <w:rPr>
          <w:b/>
          <w:szCs w:val="20"/>
        </w:rPr>
        <w:lastRenderedPageBreak/>
        <w:t xml:space="preserve">MALİ BÜNYEYE VE RİSK YÖNETİMİNE İLİŞKİN BİLGİLER </w:t>
      </w:r>
      <w:r w:rsidR="009B482B" w:rsidRPr="00471CBA">
        <w:rPr>
          <w:b/>
          <w:szCs w:val="20"/>
        </w:rPr>
        <w:t>(Devamı)</w:t>
      </w:r>
    </w:p>
    <w:p w14:paraId="2EB5BDDA" w14:textId="75DE577F" w:rsidR="00AA12B1" w:rsidRPr="00471CBA" w:rsidRDefault="00AA12B1" w:rsidP="00AA12B1">
      <w:pPr>
        <w:widowControl w:val="0"/>
        <w:autoSpaceDE w:val="0"/>
        <w:autoSpaceDN w:val="0"/>
        <w:adjustRightInd w:val="0"/>
        <w:ind w:left="851" w:hanging="851"/>
        <w:rPr>
          <w:b/>
          <w:szCs w:val="20"/>
        </w:rPr>
      </w:pPr>
      <w:r w:rsidRPr="00471CBA">
        <w:rPr>
          <w:b/>
          <w:szCs w:val="20"/>
        </w:rPr>
        <w:t>V.</w:t>
      </w:r>
      <w:r w:rsidRPr="00471CBA">
        <w:rPr>
          <w:b/>
          <w:szCs w:val="20"/>
        </w:rPr>
        <w:tab/>
        <w:t>LİKİDİTE RİSKİNE İLİŞKİN AÇIKLAMALAR (Devamı)</w:t>
      </w:r>
    </w:p>
    <w:p w14:paraId="156DE507" w14:textId="77777777" w:rsidR="00AA12B1" w:rsidRPr="00471CBA" w:rsidRDefault="00AA12B1" w:rsidP="00F95068">
      <w:pPr>
        <w:widowControl w:val="0"/>
        <w:autoSpaceDE w:val="0"/>
        <w:autoSpaceDN w:val="0"/>
        <w:adjustRightInd w:val="0"/>
        <w:spacing w:line="233" w:lineRule="auto"/>
        <w:ind w:right="102"/>
        <w:jc w:val="both"/>
        <w:rPr>
          <w:rFonts w:eastAsia="Calibri"/>
          <w:b/>
          <w:szCs w:val="20"/>
        </w:rPr>
      </w:pPr>
    </w:p>
    <w:p w14:paraId="410CA7F4" w14:textId="0D411922" w:rsidR="001C2EA0" w:rsidRPr="00471CBA" w:rsidRDefault="001C2EA0" w:rsidP="00F95068">
      <w:pPr>
        <w:widowControl w:val="0"/>
        <w:autoSpaceDE w:val="0"/>
        <w:autoSpaceDN w:val="0"/>
        <w:adjustRightInd w:val="0"/>
        <w:spacing w:line="233" w:lineRule="auto"/>
        <w:ind w:right="102"/>
        <w:jc w:val="both"/>
        <w:rPr>
          <w:b/>
          <w:szCs w:val="20"/>
        </w:rPr>
      </w:pPr>
      <w:r w:rsidRPr="00471CBA">
        <w:rPr>
          <w:rFonts w:eastAsia="Calibri"/>
          <w:b/>
          <w:szCs w:val="20"/>
        </w:rPr>
        <w:t>Net İstikrarlı Fonlama Oranı</w:t>
      </w:r>
    </w:p>
    <w:p w14:paraId="7939354B" w14:textId="77777777" w:rsidR="006277E3" w:rsidRPr="00471CBA" w:rsidRDefault="006277E3" w:rsidP="00F95068">
      <w:pPr>
        <w:widowControl w:val="0"/>
        <w:autoSpaceDE w:val="0"/>
        <w:autoSpaceDN w:val="0"/>
        <w:adjustRightInd w:val="0"/>
        <w:spacing w:line="233" w:lineRule="auto"/>
        <w:ind w:right="102"/>
        <w:jc w:val="both"/>
        <w:rPr>
          <w:b/>
          <w:sz w:val="16"/>
          <w:szCs w:val="16"/>
        </w:rPr>
      </w:pPr>
    </w:p>
    <w:p w14:paraId="499525E1" w14:textId="77777777" w:rsidR="006277E3" w:rsidRPr="00471CBA" w:rsidRDefault="006277E3" w:rsidP="00F95068">
      <w:pPr>
        <w:widowControl w:val="0"/>
        <w:autoSpaceDE w:val="0"/>
        <w:autoSpaceDN w:val="0"/>
        <w:adjustRightInd w:val="0"/>
        <w:spacing w:line="233" w:lineRule="auto"/>
        <w:ind w:right="102"/>
        <w:jc w:val="both"/>
        <w:rPr>
          <w:bCs/>
          <w:szCs w:val="20"/>
        </w:rPr>
      </w:pPr>
      <w:r w:rsidRPr="00471CBA">
        <w:rPr>
          <w:bCs/>
          <w:szCs w:val="20"/>
        </w:rPr>
        <w:t xml:space="preserve">Net istikrarlı fonlama oranı, mevcut istikrarlı fon tutarının gerekli istikrarlı fon tutarına bölünmesi suretiyle hesaplanır. Mevcut istikrarlı fon, bankaların yükümlülük ve özkaynaklarının kalıcı olması beklenen kısmını ifade eder. </w:t>
      </w:r>
    </w:p>
    <w:p w14:paraId="1471A2A6" w14:textId="77777777" w:rsidR="004B1A98" w:rsidRPr="00471CBA" w:rsidRDefault="004B1A98" w:rsidP="00F95068">
      <w:pPr>
        <w:widowControl w:val="0"/>
        <w:autoSpaceDE w:val="0"/>
        <w:autoSpaceDN w:val="0"/>
        <w:adjustRightInd w:val="0"/>
        <w:spacing w:line="233" w:lineRule="auto"/>
        <w:ind w:right="102"/>
        <w:jc w:val="both"/>
        <w:rPr>
          <w:bCs/>
          <w:sz w:val="16"/>
          <w:szCs w:val="16"/>
        </w:rPr>
      </w:pPr>
    </w:p>
    <w:p w14:paraId="53B0A672" w14:textId="36D75E67" w:rsidR="006277E3" w:rsidRPr="00471CBA" w:rsidRDefault="006277E3" w:rsidP="00F95068">
      <w:pPr>
        <w:widowControl w:val="0"/>
        <w:autoSpaceDE w:val="0"/>
        <w:autoSpaceDN w:val="0"/>
        <w:adjustRightInd w:val="0"/>
        <w:spacing w:line="233" w:lineRule="auto"/>
        <w:ind w:right="102"/>
        <w:jc w:val="both"/>
        <w:rPr>
          <w:bCs/>
          <w:szCs w:val="20"/>
        </w:rPr>
      </w:pPr>
      <w:r w:rsidRPr="00471CBA">
        <w:rPr>
          <w:bCs/>
          <w:szCs w:val="20"/>
        </w:rPr>
        <w:t>Gerekli istikrarlı fon ise bankaların bilanço içi varlıklarının ve bilanço dışı borçlarının yeniden fonlanması beklenen kısmını ifade eder. Bankanın istikrarlı fonlama sağlama kabiliyeti maruz kalabilecekleri fonlama riskini azaltmakta etkilidir. Bu formda başlıklar en likit olandan en az likit olana göre farklılaşan dikkate alma oranları uygulanarak net istikrarlı fonlama oranını oluşturmaktadır. Bir bankanın mevcut istikrarlı fonlama tutarının, ihtiyaç duyulan istikrarlı fonlama tutarına oranı yüzde 100'den büyük olmalıdır.</w:t>
      </w:r>
    </w:p>
    <w:p w14:paraId="211137F9" w14:textId="74F6C655" w:rsidR="00A74C68" w:rsidRPr="00471CBA" w:rsidRDefault="00A74C68" w:rsidP="009F6E11">
      <w:pPr>
        <w:widowControl w:val="0"/>
      </w:pPr>
    </w:p>
    <w:tbl>
      <w:tblPr>
        <w:tblW w:w="5004" w:type="pct"/>
        <w:tblCellMar>
          <w:left w:w="70" w:type="dxa"/>
          <w:right w:w="70" w:type="dxa"/>
        </w:tblCellMar>
        <w:tblLook w:val="04A0" w:firstRow="1" w:lastRow="0" w:firstColumn="1" w:lastColumn="0" w:noHBand="0" w:noVBand="1"/>
      </w:tblPr>
      <w:tblGrid>
        <w:gridCol w:w="291"/>
        <w:gridCol w:w="3194"/>
        <w:gridCol w:w="1162"/>
        <w:gridCol w:w="1074"/>
        <w:gridCol w:w="1116"/>
        <w:gridCol w:w="1397"/>
        <w:gridCol w:w="1403"/>
      </w:tblGrid>
      <w:tr w:rsidR="00A74C68" w:rsidRPr="00471CBA" w14:paraId="17A7742F" w14:textId="77777777" w:rsidTr="00A74C68">
        <w:trPr>
          <w:divId w:val="103693895"/>
          <w:trHeight w:val="113"/>
        </w:trPr>
        <w:tc>
          <w:tcPr>
            <w:tcW w:w="180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423DB32" w14:textId="77E180A5" w:rsidR="00A74C68" w:rsidRPr="00471CBA" w:rsidRDefault="00A74C68" w:rsidP="00A74C68">
            <w:pPr>
              <w:rPr>
                <w:b/>
                <w:bCs/>
                <w:color w:val="000000"/>
                <w:sz w:val="14"/>
                <w:szCs w:val="14"/>
                <w:lang w:eastAsia="tr-TR"/>
              </w:rPr>
            </w:pPr>
            <w:r w:rsidRPr="00471CBA">
              <w:rPr>
                <w:b/>
                <w:bCs/>
                <w:color w:val="000000"/>
                <w:sz w:val="14"/>
                <w:szCs w:val="14"/>
                <w:lang w:eastAsia="tr-TR"/>
              </w:rPr>
              <w:t>31 Aralık 2025</w:t>
            </w:r>
          </w:p>
        </w:tc>
        <w:tc>
          <w:tcPr>
            <w:tcW w:w="2464" w:type="pct"/>
            <w:gridSpan w:val="4"/>
            <w:tcBorders>
              <w:top w:val="single" w:sz="4" w:space="0" w:color="auto"/>
              <w:left w:val="nil"/>
              <w:right w:val="single" w:sz="4" w:space="0" w:color="auto"/>
            </w:tcBorders>
            <w:vAlign w:val="center"/>
            <w:hideMark/>
          </w:tcPr>
          <w:p w14:paraId="5E9CD791" w14:textId="77777777" w:rsidR="00A74C68" w:rsidRPr="00471CBA" w:rsidRDefault="00A74C68" w:rsidP="00A74C68">
            <w:pPr>
              <w:jc w:val="center"/>
              <w:rPr>
                <w:b/>
                <w:bCs/>
                <w:color w:val="000000"/>
                <w:sz w:val="14"/>
                <w:szCs w:val="14"/>
                <w:lang w:eastAsia="tr-TR"/>
              </w:rPr>
            </w:pPr>
            <w:r w:rsidRPr="00471CBA">
              <w:rPr>
                <w:b/>
                <w:bCs/>
                <w:color w:val="000000"/>
                <w:sz w:val="14"/>
                <w:szCs w:val="14"/>
                <w:lang w:eastAsia="tr-TR"/>
              </w:rPr>
              <w:t>Kalan Vadesine Göre, Dikkate Alma Oranı</w:t>
            </w:r>
          </w:p>
        </w:tc>
        <w:tc>
          <w:tcPr>
            <w:tcW w:w="728" w:type="pct"/>
            <w:vMerge w:val="restart"/>
            <w:tcBorders>
              <w:top w:val="single" w:sz="4" w:space="0" w:color="auto"/>
              <w:left w:val="single" w:sz="4" w:space="0" w:color="auto"/>
              <w:bottom w:val="single" w:sz="4" w:space="0" w:color="auto"/>
              <w:right w:val="single" w:sz="4" w:space="0" w:color="auto"/>
            </w:tcBorders>
            <w:vAlign w:val="center"/>
            <w:hideMark/>
          </w:tcPr>
          <w:p w14:paraId="4206BDAD" w14:textId="77777777" w:rsidR="00A74C68" w:rsidRPr="00471CBA" w:rsidRDefault="00A74C68" w:rsidP="00A74C68">
            <w:pPr>
              <w:jc w:val="right"/>
              <w:rPr>
                <w:b/>
                <w:bCs/>
                <w:color w:val="000000"/>
                <w:sz w:val="14"/>
                <w:szCs w:val="14"/>
                <w:lang w:eastAsia="tr-TR"/>
              </w:rPr>
            </w:pPr>
            <w:r w:rsidRPr="00471CBA">
              <w:rPr>
                <w:b/>
                <w:bCs/>
                <w:color w:val="000000"/>
                <w:sz w:val="14"/>
                <w:szCs w:val="14"/>
                <w:lang w:eastAsia="tr-TR"/>
              </w:rPr>
              <w:t>Dikkate Alma Oranı Uygulanmış Toplam Tutar</w:t>
            </w:r>
          </w:p>
        </w:tc>
      </w:tr>
      <w:tr w:rsidR="00A74C68" w:rsidRPr="00471CBA" w14:paraId="29A8C787" w14:textId="77777777" w:rsidTr="00A74C68">
        <w:trPr>
          <w:divId w:val="103693895"/>
          <w:trHeight w:val="113"/>
        </w:trPr>
        <w:tc>
          <w:tcPr>
            <w:tcW w:w="1808" w:type="pct"/>
            <w:gridSpan w:val="2"/>
            <w:vMerge/>
            <w:tcBorders>
              <w:top w:val="single" w:sz="4" w:space="0" w:color="auto"/>
              <w:left w:val="single" w:sz="4" w:space="0" w:color="auto"/>
              <w:bottom w:val="single" w:sz="4" w:space="0" w:color="auto"/>
              <w:right w:val="single" w:sz="4" w:space="0" w:color="auto"/>
            </w:tcBorders>
            <w:vAlign w:val="center"/>
            <w:hideMark/>
          </w:tcPr>
          <w:p w14:paraId="0E20FCDA" w14:textId="77777777" w:rsidR="00A74C68" w:rsidRPr="00471CBA" w:rsidRDefault="00A74C68" w:rsidP="00A74C68">
            <w:pPr>
              <w:rPr>
                <w:b/>
                <w:bCs/>
                <w:color w:val="000000"/>
                <w:sz w:val="14"/>
                <w:szCs w:val="14"/>
                <w:lang w:eastAsia="tr-TR"/>
              </w:rPr>
            </w:pPr>
          </w:p>
        </w:tc>
        <w:tc>
          <w:tcPr>
            <w:tcW w:w="2464" w:type="pct"/>
            <w:gridSpan w:val="4"/>
            <w:tcBorders>
              <w:left w:val="nil"/>
              <w:bottom w:val="single" w:sz="4" w:space="0" w:color="auto"/>
              <w:right w:val="single" w:sz="4" w:space="0" w:color="auto"/>
            </w:tcBorders>
            <w:vAlign w:val="center"/>
            <w:hideMark/>
          </w:tcPr>
          <w:p w14:paraId="2290FF81" w14:textId="77777777" w:rsidR="00A74C68" w:rsidRPr="00471CBA" w:rsidRDefault="00A74C68" w:rsidP="00A74C68">
            <w:pPr>
              <w:jc w:val="center"/>
              <w:rPr>
                <w:b/>
                <w:bCs/>
                <w:color w:val="000000"/>
                <w:sz w:val="14"/>
                <w:szCs w:val="14"/>
                <w:lang w:eastAsia="tr-TR"/>
              </w:rPr>
            </w:pPr>
            <w:r w:rsidRPr="00471CBA">
              <w:rPr>
                <w:b/>
                <w:bCs/>
                <w:color w:val="000000"/>
                <w:sz w:val="14"/>
                <w:szCs w:val="14"/>
                <w:lang w:eastAsia="tr-TR"/>
              </w:rPr>
              <w:t>Uygulanmamış Tutar</w:t>
            </w:r>
          </w:p>
        </w:tc>
        <w:tc>
          <w:tcPr>
            <w:tcW w:w="728" w:type="pct"/>
            <w:vMerge/>
            <w:tcBorders>
              <w:top w:val="single" w:sz="4" w:space="0" w:color="auto"/>
              <w:left w:val="single" w:sz="4" w:space="0" w:color="auto"/>
              <w:bottom w:val="single" w:sz="4" w:space="0" w:color="auto"/>
              <w:right w:val="single" w:sz="4" w:space="0" w:color="auto"/>
            </w:tcBorders>
            <w:vAlign w:val="center"/>
            <w:hideMark/>
          </w:tcPr>
          <w:p w14:paraId="2FA6B634" w14:textId="77777777" w:rsidR="00A74C68" w:rsidRPr="00471CBA" w:rsidRDefault="00A74C68" w:rsidP="00A74C68">
            <w:pPr>
              <w:jc w:val="right"/>
              <w:rPr>
                <w:b/>
                <w:bCs/>
                <w:color w:val="000000"/>
                <w:sz w:val="14"/>
                <w:szCs w:val="14"/>
                <w:lang w:eastAsia="tr-TR"/>
              </w:rPr>
            </w:pPr>
          </w:p>
        </w:tc>
      </w:tr>
      <w:tr w:rsidR="00A74C68" w:rsidRPr="00471CBA" w14:paraId="6D50D690" w14:textId="77777777" w:rsidTr="00A74C68">
        <w:trPr>
          <w:divId w:val="103693895"/>
          <w:trHeight w:val="113"/>
        </w:trPr>
        <w:tc>
          <w:tcPr>
            <w:tcW w:w="1808" w:type="pct"/>
            <w:gridSpan w:val="2"/>
            <w:vMerge/>
            <w:tcBorders>
              <w:top w:val="single" w:sz="4" w:space="0" w:color="auto"/>
              <w:left w:val="single" w:sz="4" w:space="0" w:color="auto"/>
              <w:bottom w:val="single" w:sz="4" w:space="0" w:color="auto"/>
              <w:right w:val="single" w:sz="4" w:space="0" w:color="auto"/>
            </w:tcBorders>
            <w:vAlign w:val="center"/>
            <w:hideMark/>
          </w:tcPr>
          <w:p w14:paraId="4AFB4954" w14:textId="77777777" w:rsidR="00A74C68" w:rsidRPr="00471CBA" w:rsidRDefault="00A74C68" w:rsidP="00A74C68">
            <w:pPr>
              <w:rPr>
                <w:b/>
                <w:bCs/>
                <w:color w:val="000000"/>
                <w:sz w:val="14"/>
                <w:szCs w:val="14"/>
                <w:lang w:eastAsia="tr-TR"/>
              </w:rPr>
            </w:pPr>
          </w:p>
        </w:tc>
        <w:tc>
          <w:tcPr>
            <w:tcW w:w="603" w:type="pct"/>
            <w:tcBorders>
              <w:top w:val="single" w:sz="4" w:space="0" w:color="auto"/>
              <w:left w:val="nil"/>
              <w:bottom w:val="single" w:sz="4" w:space="0" w:color="auto"/>
              <w:right w:val="single" w:sz="4" w:space="0" w:color="auto"/>
            </w:tcBorders>
            <w:vAlign w:val="center"/>
            <w:hideMark/>
          </w:tcPr>
          <w:p w14:paraId="2538F9B4" w14:textId="77777777" w:rsidR="00A74C68" w:rsidRPr="00471CBA" w:rsidRDefault="00A74C68" w:rsidP="00A74C68">
            <w:pPr>
              <w:jc w:val="right"/>
              <w:rPr>
                <w:b/>
                <w:bCs/>
                <w:color w:val="000000"/>
                <w:sz w:val="14"/>
                <w:szCs w:val="14"/>
                <w:lang w:eastAsia="tr-TR"/>
              </w:rPr>
            </w:pPr>
            <w:r w:rsidRPr="00471CBA">
              <w:rPr>
                <w:b/>
                <w:bCs/>
                <w:color w:val="000000"/>
                <w:sz w:val="14"/>
                <w:szCs w:val="14"/>
                <w:lang w:eastAsia="tr-TR"/>
              </w:rPr>
              <w:t>Vadesiz</w:t>
            </w:r>
          </w:p>
        </w:tc>
        <w:tc>
          <w:tcPr>
            <w:tcW w:w="557" w:type="pct"/>
            <w:tcBorders>
              <w:top w:val="single" w:sz="4" w:space="0" w:color="auto"/>
              <w:left w:val="nil"/>
              <w:bottom w:val="single" w:sz="4" w:space="0" w:color="auto"/>
              <w:right w:val="single" w:sz="4" w:space="0" w:color="auto"/>
            </w:tcBorders>
            <w:vAlign w:val="center"/>
            <w:hideMark/>
          </w:tcPr>
          <w:p w14:paraId="15D02E3C" w14:textId="77777777" w:rsidR="00A74C68" w:rsidRPr="00471CBA" w:rsidRDefault="00A74C68" w:rsidP="00A74C68">
            <w:pPr>
              <w:jc w:val="right"/>
              <w:rPr>
                <w:b/>
                <w:bCs/>
                <w:color w:val="000000"/>
                <w:sz w:val="14"/>
                <w:szCs w:val="14"/>
                <w:lang w:eastAsia="tr-TR"/>
              </w:rPr>
            </w:pPr>
            <w:r w:rsidRPr="00471CBA">
              <w:rPr>
                <w:b/>
                <w:bCs/>
                <w:color w:val="000000"/>
                <w:sz w:val="14"/>
                <w:szCs w:val="14"/>
                <w:lang w:eastAsia="tr-TR"/>
              </w:rPr>
              <w:t>6 Aydan Kısa Vadeli</w:t>
            </w:r>
          </w:p>
        </w:tc>
        <w:tc>
          <w:tcPr>
            <w:tcW w:w="579" w:type="pct"/>
            <w:tcBorders>
              <w:top w:val="single" w:sz="4" w:space="0" w:color="auto"/>
              <w:left w:val="nil"/>
              <w:bottom w:val="single" w:sz="4" w:space="0" w:color="auto"/>
              <w:right w:val="single" w:sz="4" w:space="0" w:color="auto"/>
            </w:tcBorders>
            <w:vAlign w:val="center"/>
            <w:hideMark/>
          </w:tcPr>
          <w:p w14:paraId="6E8A5DFB" w14:textId="77777777" w:rsidR="00A74C68" w:rsidRPr="00471CBA" w:rsidRDefault="00A74C68" w:rsidP="00A74C68">
            <w:pPr>
              <w:jc w:val="right"/>
              <w:rPr>
                <w:b/>
                <w:bCs/>
                <w:color w:val="000000"/>
                <w:sz w:val="14"/>
                <w:szCs w:val="14"/>
                <w:lang w:eastAsia="tr-TR"/>
              </w:rPr>
            </w:pPr>
            <w:r w:rsidRPr="00471CBA">
              <w:rPr>
                <w:b/>
                <w:bCs/>
                <w:color w:val="000000"/>
                <w:sz w:val="14"/>
                <w:szCs w:val="14"/>
                <w:lang w:eastAsia="tr-TR"/>
              </w:rPr>
              <w:t>6 Ay ile 6 Aydan Uzun 1 Yıldan Kısa Vadeli</w:t>
            </w:r>
          </w:p>
        </w:tc>
        <w:tc>
          <w:tcPr>
            <w:tcW w:w="725" w:type="pct"/>
            <w:tcBorders>
              <w:top w:val="single" w:sz="4" w:space="0" w:color="auto"/>
              <w:left w:val="nil"/>
              <w:bottom w:val="single" w:sz="4" w:space="0" w:color="auto"/>
              <w:right w:val="single" w:sz="4" w:space="0" w:color="auto"/>
            </w:tcBorders>
            <w:vAlign w:val="center"/>
            <w:hideMark/>
          </w:tcPr>
          <w:p w14:paraId="4D444A23" w14:textId="77777777" w:rsidR="00A74C68" w:rsidRPr="00471CBA" w:rsidRDefault="00A74C68" w:rsidP="00A74C68">
            <w:pPr>
              <w:jc w:val="right"/>
              <w:rPr>
                <w:b/>
                <w:bCs/>
                <w:color w:val="000000"/>
                <w:sz w:val="14"/>
                <w:szCs w:val="14"/>
                <w:lang w:eastAsia="tr-TR"/>
              </w:rPr>
            </w:pPr>
            <w:r w:rsidRPr="00471CBA">
              <w:rPr>
                <w:b/>
                <w:bCs/>
                <w:color w:val="000000"/>
                <w:sz w:val="14"/>
                <w:szCs w:val="14"/>
                <w:lang w:eastAsia="tr-TR"/>
              </w:rPr>
              <w:t>1 Yıl ve 1 Yıldan Uzun Vadeli</w:t>
            </w:r>
          </w:p>
        </w:tc>
        <w:tc>
          <w:tcPr>
            <w:tcW w:w="728" w:type="pct"/>
            <w:vMerge/>
            <w:tcBorders>
              <w:top w:val="single" w:sz="4" w:space="0" w:color="auto"/>
              <w:left w:val="single" w:sz="4" w:space="0" w:color="auto"/>
              <w:bottom w:val="single" w:sz="4" w:space="0" w:color="auto"/>
              <w:right w:val="single" w:sz="4" w:space="0" w:color="auto"/>
            </w:tcBorders>
            <w:vAlign w:val="center"/>
            <w:hideMark/>
          </w:tcPr>
          <w:p w14:paraId="4FDD068B" w14:textId="77777777" w:rsidR="00A74C68" w:rsidRPr="00471CBA" w:rsidRDefault="00A74C68" w:rsidP="00A74C68">
            <w:pPr>
              <w:jc w:val="right"/>
              <w:rPr>
                <w:b/>
                <w:bCs/>
                <w:color w:val="000000"/>
                <w:sz w:val="14"/>
                <w:szCs w:val="14"/>
                <w:lang w:eastAsia="tr-TR"/>
              </w:rPr>
            </w:pPr>
          </w:p>
        </w:tc>
      </w:tr>
      <w:tr w:rsidR="00A74C68" w:rsidRPr="00471CBA" w14:paraId="49D5798A" w14:textId="77777777" w:rsidTr="00A74C68">
        <w:trPr>
          <w:divId w:val="103693895"/>
          <w:trHeight w:val="113"/>
        </w:trPr>
        <w:tc>
          <w:tcPr>
            <w:tcW w:w="1808" w:type="pct"/>
            <w:gridSpan w:val="2"/>
            <w:tcBorders>
              <w:top w:val="single" w:sz="4" w:space="0" w:color="auto"/>
              <w:left w:val="single" w:sz="4" w:space="0" w:color="auto"/>
              <w:bottom w:val="single" w:sz="4" w:space="0" w:color="auto"/>
              <w:right w:val="single" w:sz="4" w:space="0" w:color="auto"/>
            </w:tcBorders>
            <w:vAlign w:val="center"/>
            <w:hideMark/>
          </w:tcPr>
          <w:p w14:paraId="51444ADF" w14:textId="77777777" w:rsidR="00A74C68" w:rsidRPr="00471CBA" w:rsidRDefault="00A74C68" w:rsidP="00A74C68">
            <w:pPr>
              <w:rPr>
                <w:b/>
                <w:bCs/>
                <w:color w:val="000000"/>
                <w:sz w:val="14"/>
                <w:szCs w:val="14"/>
                <w:lang w:eastAsia="tr-TR"/>
              </w:rPr>
            </w:pPr>
            <w:r w:rsidRPr="00471CBA">
              <w:rPr>
                <w:b/>
                <w:bCs/>
                <w:color w:val="000000"/>
                <w:sz w:val="14"/>
                <w:szCs w:val="14"/>
                <w:lang w:eastAsia="tr-TR"/>
              </w:rPr>
              <w:t>Mevcut İstikrarlı Fon</w:t>
            </w:r>
          </w:p>
        </w:tc>
        <w:tc>
          <w:tcPr>
            <w:tcW w:w="3192" w:type="pct"/>
            <w:gridSpan w:val="5"/>
            <w:tcBorders>
              <w:top w:val="single" w:sz="4" w:space="0" w:color="auto"/>
              <w:left w:val="nil"/>
              <w:bottom w:val="single" w:sz="4" w:space="0" w:color="auto"/>
              <w:right w:val="single" w:sz="4" w:space="0" w:color="auto"/>
            </w:tcBorders>
            <w:vAlign w:val="bottom"/>
            <w:hideMark/>
          </w:tcPr>
          <w:p w14:paraId="43F930E4" w14:textId="77777777" w:rsidR="00A74C68" w:rsidRPr="00471CBA" w:rsidRDefault="00A74C68" w:rsidP="00A74C68">
            <w:pPr>
              <w:rPr>
                <w:color w:val="000000"/>
                <w:sz w:val="14"/>
                <w:szCs w:val="14"/>
                <w:lang w:eastAsia="tr-TR"/>
              </w:rPr>
            </w:pPr>
            <w:r w:rsidRPr="00471CBA">
              <w:rPr>
                <w:color w:val="000000"/>
                <w:sz w:val="14"/>
                <w:szCs w:val="14"/>
                <w:lang w:eastAsia="tr-TR"/>
              </w:rPr>
              <w:t> </w:t>
            </w:r>
          </w:p>
        </w:tc>
      </w:tr>
      <w:tr w:rsidR="00A74C68" w:rsidRPr="00471CBA" w14:paraId="5A092EDE" w14:textId="77777777" w:rsidTr="00A74C68">
        <w:trPr>
          <w:divId w:val="10369389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1DA46D64" w14:textId="77777777" w:rsidR="00A74C68" w:rsidRPr="00471CBA" w:rsidRDefault="00A74C68" w:rsidP="00A74C68">
            <w:pPr>
              <w:rPr>
                <w:color w:val="000000"/>
                <w:sz w:val="14"/>
                <w:szCs w:val="14"/>
                <w:lang w:eastAsia="tr-TR"/>
              </w:rPr>
            </w:pPr>
            <w:r w:rsidRPr="00471CBA">
              <w:rPr>
                <w:color w:val="000000"/>
                <w:sz w:val="14"/>
                <w:szCs w:val="14"/>
                <w:lang w:eastAsia="tr-TR"/>
              </w:rPr>
              <w:t>1</w:t>
            </w:r>
          </w:p>
        </w:tc>
        <w:tc>
          <w:tcPr>
            <w:tcW w:w="1656" w:type="pct"/>
            <w:tcBorders>
              <w:top w:val="single" w:sz="4" w:space="0" w:color="auto"/>
              <w:left w:val="nil"/>
              <w:bottom w:val="single" w:sz="4" w:space="0" w:color="auto"/>
              <w:right w:val="single" w:sz="4" w:space="0" w:color="auto"/>
            </w:tcBorders>
            <w:vAlign w:val="center"/>
            <w:hideMark/>
          </w:tcPr>
          <w:p w14:paraId="48054907" w14:textId="77777777" w:rsidR="00A74C68" w:rsidRPr="00471CBA" w:rsidRDefault="00A74C68" w:rsidP="00A74C68">
            <w:pPr>
              <w:rPr>
                <w:color w:val="000000"/>
                <w:sz w:val="14"/>
                <w:szCs w:val="14"/>
                <w:lang w:eastAsia="tr-TR"/>
              </w:rPr>
            </w:pPr>
            <w:r w:rsidRPr="00471CBA">
              <w:rPr>
                <w:color w:val="000000"/>
                <w:sz w:val="14"/>
                <w:szCs w:val="14"/>
                <w:lang w:eastAsia="tr-TR"/>
              </w:rPr>
              <w:t>Özkaynak Unsurları</w:t>
            </w:r>
          </w:p>
        </w:tc>
        <w:tc>
          <w:tcPr>
            <w:tcW w:w="603" w:type="pct"/>
            <w:tcBorders>
              <w:top w:val="single" w:sz="4" w:space="0" w:color="auto"/>
              <w:left w:val="nil"/>
              <w:bottom w:val="single" w:sz="4" w:space="0" w:color="auto"/>
              <w:right w:val="single" w:sz="4" w:space="0" w:color="auto"/>
            </w:tcBorders>
            <w:vAlign w:val="bottom"/>
            <w:hideMark/>
          </w:tcPr>
          <w:p w14:paraId="0DCF7820" w14:textId="77777777" w:rsidR="00A74C68" w:rsidRPr="00471CBA" w:rsidRDefault="00A74C68" w:rsidP="00A74C68">
            <w:pPr>
              <w:jc w:val="right"/>
              <w:rPr>
                <w:color w:val="000000"/>
                <w:sz w:val="14"/>
                <w:szCs w:val="14"/>
                <w:lang w:eastAsia="tr-TR"/>
              </w:rPr>
            </w:pPr>
            <w:r w:rsidRPr="00471CBA">
              <w:rPr>
                <w:color w:val="000000"/>
                <w:sz w:val="14"/>
                <w:szCs w:val="14"/>
                <w:lang w:eastAsia="tr-TR"/>
              </w:rPr>
              <w:t>8.833.930</w:t>
            </w:r>
          </w:p>
        </w:tc>
        <w:tc>
          <w:tcPr>
            <w:tcW w:w="557" w:type="pct"/>
            <w:tcBorders>
              <w:top w:val="single" w:sz="4" w:space="0" w:color="auto"/>
              <w:left w:val="nil"/>
              <w:bottom w:val="single" w:sz="4" w:space="0" w:color="auto"/>
              <w:right w:val="single" w:sz="4" w:space="0" w:color="auto"/>
            </w:tcBorders>
            <w:vAlign w:val="bottom"/>
            <w:hideMark/>
          </w:tcPr>
          <w:p w14:paraId="6B400A49"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12D7883C"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7192270F"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0EF14C4F" w14:textId="77777777" w:rsidR="00A74C68" w:rsidRPr="00471CBA" w:rsidRDefault="00A74C68" w:rsidP="00A74C68">
            <w:pPr>
              <w:jc w:val="right"/>
              <w:rPr>
                <w:color w:val="000000"/>
                <w:sz w:val="14"/>
                <w:szCs w:val="14"/>
                <w:lang w:eastAsia="tr-TR"/>
              </w:rPr>
            </w:pPr>
            <w:r w:rsidRPr="00471CBA">
              <w:rPr>
                <w:color w:val="000000"/>
                <w:sz w:val="14"/>
                <w:szCs w:val="14"/>
                <w:lang w:eastAsia="tr-TR"/>
              </w:rPr>
              <w:t>8.833.930</w:t>
            </w:r>
          </w:p>
        </w:tc>
      </w:tr>
      <w:tr w:rsidR="00A74C68" w:rsidRPr="00471CBA" w14:paraId="08BEDF47" w14:textId="77777777" w:rsidTr="00A74C68">
        <w:trPr>
          <w:divId w:val="10369389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2D57CF05" w14:textId="77777777" w:rsidR="00A74C68" w:rsidRPr="00471CBA" w:rsidRDefault="00A74C68" w:rsidP="00A74C68">
            <w:pPr>
              <w:rPr>
                <w:color w:val="000000"/>
                <w:sz w:val="14"/>
                <w:szCs w:val="14"/>
                <w:lang w:eastAsia="tr-TR"/>
              </w:rPr>
            </w:pPr>
            <w:r w:rsidRPr="00471CBA">
              <w:rPr>
                <w:color w:val="000000"/>
                <w:sz w:val="14"/>
                <w:szCs w:val="14"/>
                <w:lang w:eastAsia="tr-TR"/>
              </w:rPr>
              <w:t>2</w:t>
            </w:r>
          </w:p>
        </w:tc>
        <w:tc>
          <w:tcPr>
            <w:tcW w:w="1656" w:type="pct"/>
            <w:tcBorders>
              <w:top w:val="single" w:sz="4" w:space="0" w:color="auto"/>
              <w:left w:val="nil"/>
              <w:bottom w:val="single" w:sz="4" w:space="0" w:color="auto"/>
              <w:right w:val="single" w:sz="4" w:space="0" w:color="auto"/>
            </w:tcBorders>
            <w:vAlign w:val="center"/>
            <w:hideMark/>
          </w:tcPr>
          <w:p w14:paraId="1CADBA86" w14:textId="77777777" w:rsidR="00A74C68" w:rsidRPr="00471CBA" w:rsidRDefault="00A74C68" w:rsidP="00A74C68">
            <w:pPr>
              <w:rPr>
                <w:color w:val="000000"/>
                <w:sz w:val="14"/>
                <w:szCs w:val="14"/>
                <w:lang w:eastAsia="tr-TR"/>
              </w:rPr>
            </w:pPr>
            <w:r w:rsidRPr="00471CBA">
              <w:rPr>
                <w:color w:val="000000"/>
                <w:sz w:val="14"/>
                <w:szCs w:val="14"/>
                <w:lang w:eastAsia="tr-TR"/>
              </w:rPr>
              <w:t>Ana sermaye ve katkı sermaye</w:t>
            </w:r>
          </w:p>
        </w:tc>
        <w:tc>
          <w:tcPr>
            <w:tcW w:w="603" w:type="pct"/>
            <w:tcBorders>
              <w:top w:val="single" w:sz="4" w:space="0" w:color="auto"/>
              <w:left w:val="nil"/>
              <w:bottom w:val="single" w:sz="4" w:space="0" w:color="auto"/>
              <w:right w:val="single" w:sz="4" w:space="0" w:color="auto"/>
            </w:tcBorders>
            <w:vAlign w:val="bottom"/>
            <w:hideMark/>
          </w:tcPr>
          <w:p w14:paraId="4FD97A00" w14:textId="77777777" w:rsidR="00A74C68" w:rsidRPr="00471CBA" w:rsidRDefault="00A74C68" w:rsidP="00A74C68">
            <w:pPr>
              <w:jc w:val="right"/>
              <w:rPr>
                <w:color w:val="000000"/>
                <w:sz w:val="14"/>
                <w:szCs w:val="14"/>
                <w:lang w:eastAsia="tr-TR"/>
              </w:rPr>
            </w:pPr>
            <w:r w:rsidRPr="00471CBA">
              <w:rPr>
                <w:color w:val="000000"/>
                <w:sz w:val="14"/>
                <w:szCs w:val="14"/>
                <w:lang w:eastAsia="tr-TR"/>
              </w:rPr>
              <w:t>8.833.930</w:t>
            </w:r>
          </w:p>
        </w:tc>
        <w:tc>
          <w:tcPr>
            <w:tcW w:w="557" w:type="pct"/>
            <w:tcBorders>
              <w:top w:val="single" w:sz="4" w:space="0" w:color="auto"/>
              <w:left w:val="nil"/>
              <w:bottom w:val="single" w:sz="4" w:space="0" w:color="auto"/>
              <w:right w:val="single" w:sz="4" w:space="0" w:color="auto"/>
            </w:tcBorders>
            <w:vAlign w:val="bottom"/>
            <w:hideMark/>
          </w:tcPr>
          <w:p w14:paraId="652A2B3D"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1DC9A9D0"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5C84648E"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5E128D2D" w14:textId="77777777" w:rsidR="00A74C68" w:rsidRPr="00471CBA" w:rsidRDefault="00A74C68" w:rsidP="00A74C68">
            <w:pPr>
              <w:jc w:val="right"/>
              <w:rPr>
                <w:color w:val="000000"/>
                <w:sz w:val="14"/>
                <w:szCs w:val="14"/>
                <w:lang w:eastAsia="tr-TR"/>
              </w:rPr>
            </w:pPr>
            <w:r w:rsidRPr="00471CBA">
              <w:rPr>
                <w:color w:val="000000"/>
                <w:sz w:val="14"/>
                <w:szCs w:val="14"/>
                <w:lang w:eastAsia="tr-TR"/>
              </w:rPr>
              <w:t>8.833.930</w:t>
            </w:r>
          </w:p>
        </w:tc>
      </w:tr>
      <w:tr w:rsidR="00A74C68" w:rsidRPr="00471CBA" w14:paraId="5C75959A" w14:textId="77777777" w:rsidTr="00A74C68">
        <w:trPr>
          <w:divId w:val="10369389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1D8857CC" w14:textId="77777777" w:rsidR="00A74C68" w:rsidRPr="00471CBA" w:rsidRDefault="00A74C68" w:rsidP="00A74C68">
            <w:pPr>
              <w:rPr>
                <w:color w:val="000000"/>
                <w:sz w:val="14"/>
                <w:szCs w:val="14"/>
                <w:lang w:eastAsia="tr-TR"/>
              </w:rPr>
            </w:pPr>
            <w:r w:rsidRPr="00471CBA">
              <w:rPr>
                <w:color w:val="000000"/>
                <w:sz w:val="14"/>
                <w:szCs w:val="14"/>
                <w:lang w:eastAsia="tr-TR"/>
              </w:rPr>
              <w:t>3</w:t>
            </w:r>
          </w:p>
        </w:tc>
        <w:tc>
          <w:tcPr>
            <w:tcW w:w="1656" w:type="pct"/>
            <w:tcBorders>
              <w:top w:val="single" w:sz="4" w:space="0" w:color="auto"/>
              <w:left w:val="nil"/>
              <w:bottom w:val="single" w:sz="4" w:space="0" w:color="auto"/>
              <w:right w:val="single" w:sz="4" w:space="0" w:color="auto"/>
            </w:tcBorders>
            <w:vAlign w:val="center"/>
            <w:hideMark/>
          </w:tcPr>
          <w:p w14:paraId="129CFF02" w14:textId="77777777" w:rsidR="00A74C68" w:rsidRPr="00471CBA" w:rsidRDefault="00A74C68" w:rsidP="00A74C68">
            <w:pPr>
              <w:rPr>
                <w:color w:val="000000"/>
                <w:sz w:val="14"/>
                <w:szCs w:val="14"/>
                <w:lang w:eastAsia="tr-TR"/>
              </w:rPr>
            </w:pPr>
            <w:r w:rsidRPr="00471CBA">
              <w:rPr>
                <w:color w:val="000000"/>
                <w:sz w:val="14"/>
                <w:szCs w:val="14"/>
                <w:lang w:eastAsia="tr-TR"/>
              </w:rPr>
              <w:t>Diğer özkaynak unsurları</w:t>
            </w:r>
          </w:p>
        </w:tc>
        <w:tc>
          <w:tcPr>
            <w:tcW w:w="603" w:type="pct"/>
            <w:tcBorders>
              <w:top w:val="single" w:sz="4" w:space="0" w:color="auto"/>
              <w:left w:val="nil"/>
              <w:bottom w:val="single" w:sz="4" w:space="0" w:color="auto"/>
              <w:right w:val="single" w:sz="4" w:space="0" w:color="auto"/>
            </w:tcBorders>
            <w:vAlign w:val="bottom"/>
            <w:hideMark/>
          </w:tcPr>
          <w:p w14:paraId="2BEFB7A9"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vAlign w:val="bottom"/>
            <w:hideMark/>
          </w:tcPr>
          <w:p w14:paraId="26659042"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215C00DB"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619992F8"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5BA823E3"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r>
      <w:tr w:rsidR="00A74C68" w:rsidRPr="00471CBA" w14:paraId="058911AD" w14:textId="77777777" w:rsidTr="00A74C68">
        <w:trPr>
          <w:divId w:val="10369389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25F9227E" w14:textId="77777777" w:rsidR="00A74C68" w:rsidRPr="00471CBA" w:rsidRDefault="00A74C68" w:rsidP="00A74C68">
            <w:pPr>
              <w:rPr>
                <w:color w:val="000000"/>
                <w:sz w:val="14"/>
                <w:szCs w:val="14"/>
                <w:lang w:eastAsia="tr-TR"/>
              </w:rPr>
            </w:pPr>
            <w:r w:rsidRPr="00471CBA">
              <w:rPr>
                <w:color w:val="000000"/>
                <w:sz w:val="14"/>
                <w:szCs w:val="14"/>
                <w:lang w:eastAsia="tr-TR"/>
              </w:rPr>
              <w:t>4</w:t>
            </w:r>
          </w:p>
        </w:tc>
        <w:tc>
          <w:tcPr>
            <w:tcW w:w="1656" w:type="pct"/>
            <w:tcBorders>
              <w:top w:val="single" w:sz="4" w:space="0" w:color="auto"/>
              <w:left w:val="nil"/>
              <w:bottom w:val="single" w:sz="4" w:space="0" w:color="auto"/>
              <w:right w:val="single" w:sz="4" w:space="0" w:color="auto"/>
            </w:tcBorders>
            <w:vAlign w:val="center"/>
            <w:hideMark/>
          </w:tcPr>
          <w:p w14:paraId="61AD04AD" w14:textId="77777777" w:rsidR="00A74C68" w:rsidRPr="00471CBA" w:rsidRDefault="00A74C68" w:rsidP="00A74C68">
            <w:pPr>
              <w:rPr>
                <w:color w:val="000000"/>
                <w:sz w:val="14"/>
                <w:szCs w:val="14"/>
                <w:lang w:eastAsia="tr-TR"/>
              </w:rPr>
            </w:pPr>
            <w:r w:rsidRPr="00471CBA">
              <w:rPr>
                <w:color w:val="000000"/>
                <w:sz w:val="14"/>
                <w:szCs w:val="14"/>
                <w:lang w:eastAsia="tr-TR"/>
              </w:rPr>
              <w:t>Gerçek kişi ve perakende müşteri katılım fonu</w:t>
            </w:r>
          </w:p>
        </w:tc>
        <w:tc>
          <w:tcPr>
            <w:tcW w:w="603" w:type="pct"/>
            <w:tcBorders>
              <w:top w:val="single" w:sz="4" w:space="0" w:color="auto"/>
              <w:left w:val="nil"/>
              <w:bottom w:val="single" w:sz="4" w:space="0" w:color="auto"/>
              <w:right w:val="single" w:sz="4" w:space="0" w:color="auto"/>
            </w:tcBorders>
            <w:vAlign w:val="bottom"/>
            <w:hideMark/>
          </w:tcPr>
          <w:p w14:paraId="459956EF" w14:textId="77777777" w:rsidR="00A74C68" w:rsidRPr="00471CBA" w:rsidRDefault="00A74C68" w:rsidP="00A74C68">
            <w:pPr>
              <w:jc w:val="right"/>
              <w:rPr>
                <w:color w:val="000000"/>
                <w:sz w:val="14"/>
                <w:szCs w:val="14"/>
                <w:lang w:eastAsia="tr-TR"/>
              </w:rPr>
            </w:pPr>
            <w:r w:rsidRPr="00471CBA">
              <w:rPr>
                <w:color w:val="000000"/>
                <w:sz w:val="14"/>
                <w:szCs w:val="14"/>
                <w:lang w:eastAsia="tr-TR"/>
              </w:rPr>
              <w:t>13.159.142</w:t>
            </w:r>
          </w:p>
        </w:tc>
        <w:tc>
          <w:tcPr>
            <w:tcW w:w="557" w:type="pct"/>
            <w:tcBorders>
              <w:top w:val="single" w:sz="4" w:space="0" w:color="auto"/>
              <w:left w:val="nil"/>
              <w:bottom w:val="single" w:sz="4" w:space="0" w:color="auto"/>
              <w:right w:val="single" w:sz="4" w:space="0" w:color="auto"/>
            </w:tcBorders>
            <w:vAlign w:val="bottom"/>
            <w:hideMark/>
          </w:tcPr>
          <w:p w14:paraId="26A8F2DB" w14:textId="77777777" w:rsidR="00A74C68" w:rsidRPr="00471CBA" w:rsidRDefault="00A74C68" w:rsidP="00A74C68">
            <w:pPr>
              <w:jc w:val="right"/>
              <w:rPr>
                <w:color w:val="000000"/>
                <w:sz w:val="14"/>
                <w:szCs w:val="14"/>
                <w:lang w:eastAsia="tr-TR"/>
              </w:rPr>
            </w:pPr>
            <w:r w:rsidRPr="00471CBA">
              <w:rPr>
                <w:color w:val="000000"/>
                <w:sz w:val="14"/>
                <w:szCs w:val="14"/>
                <w:lang w:eastAsia="tr-TR"/>
              </w:rPr>
              <w:t>12.021.335</w:t>
            </w:r>
          </w:p>
        </w:tc>
        <w:tc>
          <w:tcPr>
            <w:tcW w:w="579" w:type="pct"/>
            <w:tcBorders>
              <w:top w:val="single" w:sz="4" w:space="0" w:color="auto"/>
              <w:left w:val="nil"/>
              <w:bottom w:val="single" w:sz="4" w:space="0" w:color="auto"/>
              <w:right w:val="single" w:sz="4" w:space="0" w:color="auto"/>
            </w:tcBorders>
            <w:vAlign w:val="bottom"/>
            <w:hideMark/>
          </w:tcPr>
          <w:p w14:paraId="3A7981D8" w14:textId="77777777" w:rsidR="00A74C68" w:rsidRPr="00471CBA" w:rsidRDefault="00A74C68" w:rsidP="00A74C68">
            <w:pPr>
              <w:jc w:val="right"/>
              <w:rPr>
                <w:color w:val="000000"/>
                <w:sz w:val="14"/>
                <w:szCs w:val="14"/>
                <w:lang w:eastAsia="tr-TR"/>
              </w:rPr>
            </w:pPr>
            <w:r w:rsidRPr="00471CBA">
              <w:rPr>
                <w:color w:val="000000"/>
                <w:sz w:val="14"/>
                <w:szCs w:val="14"/>
                <w:lang w:eastAsia="tr-TR"/>
              </w:rPr>
              <w:t>110.499</w:t>
            </w:r>
          </w:p>
        </w:tc>
        <w:tc>
          <w:tcPr>
            <w:tcW w:w="725" w:type="pct"/>
            <w:tcBorders>
              <w:top w:val="single" w:sz="4" w:space="0" w:color="auto"/>
              <w:left w:val="nil"/>
              <w:bottom w:val="single" w:sz="4" w:space="0" w:color="auto"/>
              <w:right w:val="single" w:sz="4" w:space="0" w:color="auto"/>
            </w:tcBorders>
            <w:vAlign w:val="bottom"/>
            <w:hideMark/>
          </w:tcPr>
          <w:p w14:paraId="6276FD7B"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09E73280" w14:textId="77777777" w:rsidR="00A74C68" w:rsidRPr="00471CBA" w:rsidRDefault="00A74C68" w:rsidP="00A74C68">
            <w:pPr>
              <w:jc w:val="right"/>
              <w:rPr>
                <w:color w:val="000000"/>
                <w:sz w:val="14"/>
                <w:szCs w:val="14"/>
                <w:lang w:eastAsia="tr-TR"/>
              </w:rPr>
            </w:pPr>
            <w:r w:rsidRPr="00471CBA">
              <w:rPr>
                <w:color w:val="000000"/>
                <w:sz w:val="14"/>
                <w:szCs w:val="14"/>
                <w:lang w:eastAsia="tr-TR"/>
              </w:rPr>
              <w:t>22.761.878</w:t>
            </w:r>
          </w:p>
        </w:tc>
      </w:tr>
      <w:tr w:rsidR="00A74C68" w:rsidRPr="00471CBA" w14:paraId="7F3AB830" w14:textId="77777777" w:rsidTr="00A74C68">
        <w:trPr>
          <w:divId w:val="10369389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7677BDA9" w14:textId="77777777" w:rsidR="00A74C68" w:rsidRPr="00471CBA" w:rsidRDefault="00A74C68" w:rsidP="00A74C68">
            <w:pPr>
              <w:rPr>
                <w:color w:val="000000"/>
                <w:sz w:val="14"/>
                <w:szCs w:val="14"/>
                <w:lang w:eastAsia="tr-TR"/>
              </w:rPr>
            </w:pPr>
            <w:r w:rsidRPr="00471CBA">
              <w:rPr>
                <w:color w:val="000000"/>
                <w:sz w:val="14"/>
                <w:szCs w:val="14"/>
                <w:lang w:eastAsia="tr-TR"/>
              </w:rPr>
              <w:t>5</w:t>
            </w:r>
          </w:p>
        </w:tc>
        <w:tc>
          <w:tcPr>
            <w:tcW w:w="1656" w:type="pct"/>
            <w:tcBorders>
              <w:top w:val="single" w:sz="4" w:space="0" w:color="auto"/>
              <w:left w:val="nil"/>
              <w:bottom w:val="single" w:sz="4" w:space="0" w:color="auto"/>
              <w:right w:val="single" w:sz="4" w:space="0" w:color="auto"/>
            </w:tcBorders>
            <w:vAlign w:val="center"/>
            <w:hideMark/>
          </w:tcPr>
          <w:p w14:paraId="6AB3F5DA" w14:textId="77777777" w:rsidR="00A74C68" w:rsidRPr="00471CBA" w:rsidRDefault="00A74C68" w:rsidP="00A74C68">
            <w:pPr>
              <w:rPr>
                <w:color w:val="000000"/>
                <w:sz w:val="14"/>
                <w:szCs w:val="14"/>
                <w:lang w:eastAsia="tr-TR"/>
              </w:rPr>
            </w:pPr>
            <w:r w:rsidRPr="00471CBA">
              <w:rPr>
                <w:color w:val="000000"/>
                <w:sz w:val="14"/>
                <w:szCs w:val="14"/>
                <w:lang w:eastAsia="tr-TR"/>
              </w:rPr>
              <w:t>İstikrarlı katılım fonu</w:t>
            </w:r>
          </w:p>
        </w:tc>
        <w:tc>
          <w:tcPr>
            <w:tcW w:w="603" w:type="pct"/>
            <w:tcBorders>
              <w:top w:val="single" w:sz="4" w:space="0" w:color="auto"/>
              <w:left w:val="nil"/>
              <w:bottom w:val="single" w:sz="4" w:space="0" w:color="auto"/>
              <w:right w:val="single" w:sz="4" w:space="0" w:color="auto"/>
            </w:tcBorders>
            <w:vAlign w:val="bottom"/>
            <w:hideMark/>
          </w:tcPr>
          <w:p w14:paraId="14EB96F9"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vAlign w:val="bottom"/>
            <w:hideMark/>
          </w:tcPr>
          <w:p w14:paraId="2D0B7BB7"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2C95EA3B"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0E47AF9B"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6F287C70"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r>
      <w:tr w:rsidR="00A74C68" w:rsidRPr="00471CBA" w14:paraId="69822864" w14:textId="77777777" w:rsidTr="00A74C68">
        <w:trPr>
          <w:divId w:val="10369389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0AB91209" w14:textId="77777777" w:rsidR="00A74C68" w:rsidRPr="00471CBA" w:rsidRDefault="00A74C68" w:rsidP="00A74C68">
            <w:pPr>
              <w:rPr>
                <w:color w:val="000000"/>
                <w:sz w:val="14"/>
                <w:szCs w:val="14"/>
                <w:lang w:eastAsia="tr-TR"/>
              </w:rPr>
            </w:pPr>
            <w:r w:rsidRPr="00471CBA">
              <w:rPr>
                <w:color w:val="000000"/>
                <w:sz w:val="14"/>
                <w:szCs w:val="14"/>
                <w:lang w:eastAsia="tr-TR"/>
              </w:rPr>
              <w:t>6</w:t>
            </w:r>
          </w:p>
        </w:tc>
        <w:tc>
          <w:tcPr>
            <w:tcW w:w="1656" w:type="pct"/>
            <w:tcBorders>
              <w:top w:val="single" w:sz="4" w:space="0" w:color="auto"/>
              <w:left w:val="nil"/>
              <w:bottom w:val="single" w:sz="4" w:space="0" w:color="auto"/>
              <w:right w:val="single" w:sz="4" w:space="0" w:color="auto"/>
            </w:tcBorders>
            <w:vAlign w:val="center"/>
            <w:hideMark/>
          </w:tcPr>
          <w:p w14:paraId="78F59BD6" w14:textId="77777777" w:rsidR="00A74C68" w:rsidRPr="00471CBA" w:rsidRDefault="00A74C68" w:rsidP="00A74C68">
            <w:pPr>
              <w:rPr>
                <w:color w:val="000000"/>
                <w:sz w:val="14"/>
                <w:szCs w:val="14"/>
                <w:lang w:eastAsia="tr-TR"/>
              </w:rPr>
            </w:pPr>
            <w:r w:rsidRPr="00471CBA">
              <w:rPr>
                <w:color w:val="000000"/>
                <w:sz w:val="14"/>
                <w:szCs w:val="14"/>
                <w:lang w:eastAsia="tr-TR"/>
              </w:rPr>
              <w:t>Düşük istikrarlı katılım fonu</w:t>
            </w:r>
          </w:p>
        </w:tc>
        <w:tc>
          <w:tcPr>
            <w:tcW w:w="603" w:type="pct"/>
            <w:tcBorders>
              <w:top w:val="single" w:sz="4" w:space="0" w:color="auto"/>
              <w:left w:val="nil"/>
              <w:bottom w:val="single" w:sz="4" w:space="0" w:color="auto"/>
              <w:right w:val="single" w:sz="4" w:space="0" w:color="auto"/>
            </w:tcBorders>
            <w:vAlign w:val="bottom"/>
            <w:hideMark/>
          </w:tcPr>
          <w:p w14:paraId="01686645" w14:textId="77777777" w:rsidR="00A74C68" w:rsidRPr="00471CBA" w:rsidRDefault="00A74C68" w:rsidP="00A74C68">
            <w:pPr>
              <w:jc w:val="right"/>
              <w:rPr>
                <w:color w:val="000000"/>
                <w:sz w:val="14"/>
                <w:szCs w:val="14"/>
                <w:lang w:eastAsia="tr-TR"/>
              </w:rPr>
            </w:pPr>
            <w:r w:rsidRPr="00471CBA">
              <w:rPr>
                <w:color w:val="000000"/>
                <w:sz w:val="14"/>
                <w:szCs w:val="14"/>
                <w:lang w:eastAsia="tr-TR"/>
              </w:rPr>
              <w:t>13.159.142</w:t>
            </w:r>
          </w:p>
        </w:tc>
        <w:tc>
          <w:tcPr>
            <w:tcW w:w="557" w:type="pct"/>
            <w:tcBorders>
              <w:top w:val="single" w:sz="4" w:space="0" w:color="auto"/>
              <w:left w:val="nil"/>
              <w:bottom w:val="single" w:sz="4" w:space="0" w:color="auto"/>
              <w:right w:val="single" w:sz="4" w:space="0" w:color="auto"/>
            </w:tcBorders>
            <w:vAlign w:val="bottom"/>
            <w:hideMark/>
          </w:tcPr>
          <w:p w14:paraId="1D280C8E" w14:textId="77777777" w:rsidR="00A74C68" w:rsidRPr="00471CBA" w:rsidRDefault="00A74C68" w:rsidP="00A74C68">
            <w:pPr>
              <w:jc w:val="right"/>
              <w:rPr>
                <w:color w:val="000000"/>
                <w:sz w:val="14"/>
                <w:szCs w:val="14"/>
                <w:lang w:eastAsia="tr-TR"/>
              </w:rPr>
            </w:pPr>
            <w:r w:rsidRPr="00471CBA">
              <w:rPr>
                <w:color w:val="000000"/>
                <w:sz w:val="14"/>
                <w:szCs w:val="14"/>
                <w:lang w:eastAsia="tr-TR"/>
              </w:rPr>
              <w:t>12.021.335</w:t>
            </w:r>
          </w:p>
        </w:tc>
        <w:tc>
          <w:tcPr>
            <w:tcW w:w="579" w:type="pct"/>
            <w:tcBorders>
              <w:top w:val="single" w:sz="4" w:space="0" w:color="auto"/>
              <w:left w:val="nil"/>
              <w:bottom w:val="single" w:sz="4" w:space="0" w:color="auto"/>
              <w:right w:val="single" w:sz="4" w:space="0" w:color="auto"/>
            </w:tcBorders>
            <w:vAlign w:val="bottom"/>
            <w:hideMark/>
          </w:tcPr>
          <w:p w14:paraId="247672DD" w14:textId="77777777" w:rsidR="00A74C68" w:rsidRPr="00471CBA" w:rsidRDefault="00A74C68" w:rsidP="00A74C68">
            <w:pPr>
              <w:jc w:val="right"/>
              <w:rPr>
                <w:color w:val="000000"/>
                <w:sz w:val="14"/>
                <w:szCs w:val="14"/>
                <w:lang w:eastAsia="tr-TR"/>
              </w:rPr>
            </w:pPr>
            <w:r w:rsidRPr="00471CBA">
              <w:rPr>
                <w:color w:val="000000"/>
                <w:sz w:val="14"/>
                <w:szCs w:val="14"/>
                <w:lang w:eastAsia="tr-TR"/>
              </w:rPr>
              <w:t>110.499</w:t>
            </w:r>
          </w:p>
        </w:tc>
        <w:tc>
          <w:tcPr>
            <w:tcW w:w="725" w:type="pct"/>
            <w:tcBorders>
              <w:top w:val="single" w:sz="4" w:space="0" w:color="auto"/>
              <w:left w:val="nil"/>
              <w:bottom w:val="single" w:sz="4" w:space="0" w:color="auto"/>
              <w:right w:val="single" w:sz="4" w:space="0" w:color="auto"/>
            </w:tcBorders>
            <w:vAlign w:val="bottom"/>
            <w:hideMark/>
          </w:tcPr>
          <w:p w14:paraId="6F214E01"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6BBA6A05" w14:textId="77777777" w:rsidR="00A74C68" w:rsidRPr="00471CBA" w:rsidRDefault="00A74C68" w:rsidP="00A74C68">
            <w:pPr>
              <w:jc w:val="right"/>
              <w:rPr>
                <w:color w:val="000000"/>
                <w:sz w:val="14"/>
                <w:szCs w:val="14"/>
                <w:lang w:eastAsia="tr-TR"/>
              </w:rPr>
            </w:pPr>
            <w:r w:rsidRPr="00471CBA">
              <w:rPr>
                <w:color w:val="000000"/>
                <w:sz w:val="14"/>
                <w:szCs w:val="14"/>
                <w:lang w:eastAsia="tr-TR"/>
              </w:rPr>
              <w:t>22.761.878</w:t>
            </w:r>
          </w:p>
        </w:tc>
      </w:tr>
      <w:tr w:rsidR="00A74C68" w:rsidRPr="00471CBA" w14:paraId="7E5C2FB5" w14:textId="77777777" w:rsidTr="00A74C68">
        <w:trPr>
          <w:divId w:val="10369389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415477CB" w14:textId="77777777" w:rsidR="00A74C68" w:rsidRPr="00471CBA" w:rsidRDefault="00A74C68" w:rsidP="00A74C68">
            <w:pPr>
              <w:rPr>
                <w:color w:val="000000"/>
                <w:sz w:val="14"/>
                <w:szCs w:val="14"/>
                <w:lang w:eastAsia="tr-TR"/>
              </w:rPr>
            </w:pPr>
            <w:r w:rsidRPr="00471CBA">
              <w:rPr>
                <w:color w:val="000000"/>
                <w:sz w:val="14"/>
                <w:szCs w:val="14"/>
                <w:lang w:eastAsia="tr-TR"/>
              </w:rPr>
              <w:t>7</w:t>
            </w:r>
          </w:p>
        </w:tc>
        <w:tc>
          <w:tcPr>
            <w:tcW w:w="1656" w:type="pct"/>
            <w:tcBorders>
              <w:top w:val="single" w:sz="4" w:space="0" w:color="auto"/>
              <w:left w:val="nil"/>
              <w:bottom w:val="single" w:sz="4" w:space="0" w:color="auto"/>
              <w:right w:val="single" w:sz="4" w:space="0" w:color="auto"/>
            </w:tcBorders>
            <w:vAlign w:val="center"/>
            <w:hideMark/>
          </w:tcPr>
          <w:p w14:paraId="60847D10" w14:textId="77777777" w:rsidR="00A74C68" w:rsidRPr="00471CBA" w:rsidRDefault="00A74C68" w:rsidP="00A74C68">
            <w:pPr>
              <w:rPr>
                <w:color w:val="000000"/>
                <w:sz w:val="14"/>
                <w:szCs w:val="14"/>
                <w:lang w:eastAsia="tr-TR"/>
              </w:rPr>
            </w:pPr>
            <w:r w:rsidRPr="00471CBA">
              <w:rPr>
                <w:color w:val="000000"/>
                <w:sz w:val="14"/>
                <w:szCs w:val="14"/>
                <w:lang w:eastAsia="tr-TR"/>
              </w:rPr>
              <w:t xml:space="preserve">Diğer kişilere borçlar </w:t>
            </w:r>
          </w:p>
        </w:tc>
        <w:tc>
          <w:tcPr>
            <w:tcW w:w="603" w:type="pct"/>
            <w:tcBorders>
              <w:top w:val="single" w:sz="4" w:space="0" w:color="auto"/>
              <w:left w:val="nil"/>
              <w:bottom w:val="single" w:sz="4" w:space="0" w:color="auto"/>
              <w:right w:val="single" w:sz="4" w:space="0" w:color="auto"/>
            </w:tcBorders>
            <w:vAlign w:val="bottom"/>
            <w:hideMark/>
          </w:tcPr>
          <w:p w14:paraId="55BEB23E" w14:textId="77777777" w:rsidR="00A74C68" w:rsidRPr="00471CBA" w:rsidRDefault="00A74C68" w:rsidP="00A74C68">
            <w:pPr>
              <w:jc w:val="right"/>
              <w:rPr>
                <w:color w:val="000000"/>
                <w:sz w:val="14"/>
                <w:szCs w:val="14"/>
                <w:lang w:eastAsia="tr-TR"/>
              </w:rPr>
            </w:pPr>
            <w:r w:rsidRPr="00471CBA">
              <w:rPr>
                <w:color w:val="000000"/>
                <w:sz w:val="14"/>
                <w:szCs w:val="14"/>
                <w:lang w:eastAsia="tr-TR"/>
              </w:rPr>
              <w:t>17.932.269</w:t>
            </w:r>
          </w:p>
        </w:tc>
        <w:tc>
          <w:tcPr>
            <w:tcW w:w="557" w:type="pct"/>
            <w:tcBorders>
              <w:top w:val="single" w:sz="4" w:space="0" w:color="auto"/>
              <w:left w:val="nil"/>
              <w:bottom w:val="single" w:sz="4" w:space="0" w:color="auto"/>
              <w:right w:val="single" w:sz="4" w:space="0" w:color="auto"/>
            </w:tcBorders>
            <w:vAlign w:val="bottom"/>
            <w:hideMark/>
          </w:tcPr>
          <w:p w14:paraId="0FC8CFCA" w14:textId="77777777" w:rsidR="00A74C68" w:rsidRPr="00471CBA" w:rsidRDefault="00A74C68" w:rsidP="00A74C68">
            <w:pPr>
              <w:jc w:val="right"/>
              <w:rPr>
                <w:color w:val="000000"/>
                <w:sz w:val="14"/>
                <w:szCs w:val="14"/>
                <w:lang w:eastAsia="tr-TR"/>
              </w:rPr>
            </w:pPr>
            <w:r w:rsidRPr="00471CBA">
              <w:rPr>
                <w:color w:val="000000"/>
                <w:sz w:val="14"/>
                <w:szCs w:val="14"/>
                <w:lang w:eastAsia="tr-TR"/>
              </w:rPr>
              <w:t>28.128.169</w:t>
            </w:r>
          </w:p>
        </w:tc>
        <w:tc>
          <w:tcPr>
            <w:tcW w:w="579" w:type="pct"/>
            <w:tcBorders>
              <w:top w:val="single" w:sz="4" w:space="0" w:color="auto"/>
              <w:left w:val="nil"/>
              <w:bottom w:val="single" w:sz="4" w:space="0" w:color="auto"/>
              <w:right w:val="single" w:sz="4" w:space="0" w:color="auto"/>
            </w:tcBorders>
            <w:vAlign w:val="bottom"/>
            <w:hideMark/>
          </w:tcPr>
          <w:p w14:paraId="25D83500" w14:textId="77777777" w:rsidR="00A74C68" w:rsidRPr="00471CBA" w:rsidRDefault="00A74C68" w:rsidP="00A74C68">
            <w:pPr>
              <w:jc w:val="right"/>
              <w:rPr>
                <w:color w:val="000000"/>
                <w:sz w:val="14"/>
                <w:szCs w:val="14"/>
                <w:lang w:eastAsia="tr-TR"/>
              </w:rPr>
            </w:pPr>
            <w:r w:rsidRPr="00471CBA">
              <w:rPr>
                <w:color w:val="000000"/>
                <w:sz w:val="14"/>
                <w:szCs w:val="14"/>
                <w:lang w:eastAsia="tr-TR"/>
              </w:rPr>
              <w:t>2.606.228</w:t>
            </w:r>
          </w:p>
        </w:tc>
        <w:tc>
          <w:tcPr>
            <w:tcW w:w="725" w:type="pct"/>
            <w:tcBorders>
              <w:top w:val="single" w:sz="4" w:space="0" w:color="auto"/>
              <w:left w:val="nil"/>
              <w:bottom w:val="single" w:sz="4" w:space="0" w:color="auto"/>
              <w:right w:val="single" w:sz="4" w:space="0" w:color="auto"/>
            </w:tcBorders>
            <w:vAlign w:val="bottom"/>
            <w:hideMark/>
          </w:tcPr>
          <w:p w14:paraId="727618D0"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37A2DF45" w14:textId="77777777" w:rsidR="00A74C68" w:rsidRPr="00471CBA" w:rsidRDefault="00A74C68" w:rsidP="00A74C68">
            <w:pPr>
              <w:jc w:val="right"/>
              <w:rPr>
                <w:color w:val="000000"/>
                <w:sz w:val="14"/>
                <w:szCs w:val="14"/>
                <w:lang w:eastAsia="tr-TR"/>
              </w:rPr>
            </w:pPr>
            <w:r w:rsidRPr="00471CBA">
              <w:rPr>
                <w:color w:val="000000"/>
                <w:sz w:val="14"/>
                <w:szCs w:val="14"/>
                <w:lang w:eastAsia="tr-TR"/>
              </w:rPr>
              <w:t>24.333.333</w:t>
            </w:r>
          </w:p>
        </w:tc>
      </w:tr>
      <w:tr w:rsidR="00A74C68" w:rsidRPr="00471CBA" w14:paraId="775544D4" w14:textId="77777777" w:rsidTr="00A74C68">
        <w:trPr>
          <w:divId w:val="10369389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319F2432" w14:textId="77777777" w:rsidR="00A74C68" w:rsidRPr="00471CBA" w:rsidRDefault="00A74C68" w:rsidP="00A74C68">
            <w:pPr>
              <w:rPr>
                <w:color w:val="000000"/>
                <w:sz w:val="14"/>
                <w:szCs w:val="14"/>
                <w:lang w:eastAsia="tr-TR"/>
              </w:rPr>
            </w:pPr>
            <w:r w:rsidRPr="00471CBA">
              <w:rPr>
                <w:color w:val="000000"/>
                <w:sz w:val="14"/>
                <w:szCs w:val="14"/>
                <w:lang w:eastAsia="tr-TR"/>
              </w:rPr>
              <w:t>8</w:t>
            </w:r>
          </w:p>
        </w:tc>
        <w:tc>
          <w:tcPr>
            <w:tcW w:w="1656" w:type="pct"/>
            <w:tcBorders>
              <w:top w:val="single" w:sz="4" w:space="0" w:color="auto"/>
              <w:left w:val="nil"/>
              <w:bottom w:val="single" w:sz="4" w:space="0" w:color="auto"/>
              <w:right w:val="single" w:sz="4" w:space="0" w:color="auto"/>
            </w:tcBorders>
            <w:vAlign w:val="center"/>
            <w:hideMark/>
          </w:tcPr>
          <w:p w14:paraId="413C6C4E" w14:textId="77777777" w:rsidR="00A74C68" w:rsidRPr="00471CBA" w:rsidRDefault="00A74C68" w:rsidP="00A74C68">
            <w:pPr>
              <w:rPr>
                <w:color w:val="000000"/>
                <w:sz w:val="14"/>
                <w:szCs w:val="14"/>
                <w:lang w:eastAsia="tr-TR"/>
              </w:rPr>
            </w:pPr>
            <w:r w:rsidRPr="00471CBA">
              <w:rPr>
                <w:color w:val="000000"/>
                <w:sz w:val="14"/>
                <w:szCs w:val="14"/>
                <w:lang w:eastAsia="tr-TR"/>
              </w:rPr>
              <w:t>Operasyonel katılım fonu</w:t>
            </w:r>
          </w:p>
        </w:tc>
        <w:tc>
          <w:tcPr>
            <w:tcW w:w="603" w:type="pct"/>
            <w:tcBorders>
              <w:top w:val="single" w:sz="4" w:space="0" w:color="auto"/>
              <w:left w:val="nil"/>
              <w:bottom w:val="single" w:sz="4" w:space="0" w:color="auto"/>
              <w:right w:val="single" w:sz="4" w:space="0" w:color="auto"/>
            </w:tcBorders>
            <w:vAlign w:val="bottom"/>
            <w:hideMark/>
          </w:tcPr>
          <w:p w14:paraId="4613B385"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vAlign w:val="bottom"/>
            <w:hideMark/>
          </w:tcPr>
          <w:p w14:paraId="7CDABE38"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6EC0606E"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65403FFD"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6CE3B9A1"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r>
      <w:tr w:rsidR="00A74C68" w:rsidRPr="00471CBA" w14:paraId="55564929" w14:textId="77777777" w:rsidTr="00A74C68">
        <w:trPr>
          <w:divId w:val="10369389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1D3E7639" w14:textId="77777777" w:rsidR="00A74C68" w:rsidRPr="00471CBA" w:rsidRDefault="00A74C68" w:rsidP="00A74C68">
            <w:pPr>
              <w:rPr>
                <w:color w:val="000000"/>
                <w:sz w:val="14"/>
                <w:szCs w:val="14"/>
                <w:lang w:eastAsia="tr-TR"/>
              </w:rPr>
            </w:pPr>
            <w:r w:rsidRPr="00471CBA">
              <w:rPr>
                <w:color w:val="000000"/>
                <w:sz w:val="14"/>
                <w:szCs w:val="14"/>
                <w:lang w:eastAsia="tr-TR"/>
              </w:rPr>
              <w:t>9</w:t>
            </w:r>
          </w:p>
        </w:tc>
        <w:tc>
          <w:tcPr>
            <w:tcW w:w="1656" w:type="pct"/>
            <w:tcBorders>
              <w:top w:val="single" w:sz="4" w:space="0" w:color="auto"/>
              <w:left w:val="nil"/>
              <w:bottom w:val="single" w:sz="4" w:space="0" w:color="auto"/>
              <w:right w:val="single" w:sz="4" w:space="0" w:color="auto"/>
            </w:tcBorders>
            <w:vAlign w:val="center"/>
            <w:hideMark/>
          </w:tcPr>
          <w:p w14:paraId="004A3045" w14:textId="77777777" w:rsidR="00A74C68" w:rsidRPr="00471CBA" w:rsidRDefault="00A74C68" w:rsidP="00A74C68">
            <w:pPr>
              <w:rPr>
                <w:color w:val="000000"/>
                <w:sz w:val="14"/>
                <w:szCs w:val="14"/>
                <w:lang w:eastAsia="tr-TR"/>
              </w:rPr>
            </w:pPr>
            <w:r w:rsidRPr="00471CBA">
              <w:rPr>
                <w:color w:val="000000"/>
                <w:sz w:val="14"/>
                <w:szCs w:val="14"/>
                <w:lang w:eastAsia="tr-TR"/>
              </w:rPr>
              <w:t>Diğer borçlar</w:t>
            </w:r>
          </w:p>
        </w:tc>
        <w:tc>
          <w:tcPr>
            <w:tcW w:w="603" w:type="pct"/>
            <w:tcBorders>
              <w:top w:val="single" w:sz="4" w:space="0" w:color="auto"/>
              <w:left w:val="nil"/>
              <w:bottom w:val="single" w:sz="4" w:space="0" w:color="auto"/>
              <w:right w:val="single" w:sz="4" w:space="0" w:color="auto"/>
            </w:tcBorders>
            <w:vAlign w:val="bottom"/>
            <w:hideMark/>
          </w:tcPr>
          <w:p w14:paraId="392A6616" w14:textId="77777777" w:rsidR="00A74C68" w:rsidRPr="00471CBA" w:rsidRDefault="00A74C68" w:rsidP="00A74C68">
            <w:pPr>
              <w:jc w:val="right"/>
              <w:rPr>
                <w:color w:val="000000"/>
                <w:sz w:val="14"/>
                <w:szCs w:val="14"/>
                <w:lang w:eastAsia="tr-TR"/>
              </w:rPr>
            </w:pPr>
            <w:r w:rsidRPr="00471CBA">
              <w:rPr>
                <w:color w:val="000000"/>
                <w:sz w:val="14"/>
                <w:szCs w:val="14"/>
                <w:lang w:eastAsia="tr-TR"/>
              </w:rPr>
              <w:t>17.932.269</w:t>
            </w:r>
          </w:p>
        </w:tc>
        <w:tc>
          <w:tcPr>
            <w:tcW w:w="557" w:type="pct"/>
            <w:tcBorders>
              <w:top w:val="single" w:sz="4" w:space="0" w:color="auto"/>
              <w:left w:val="nil"/>
              <w:bottom w:val="single" w:sz="4" w:space="0" w:color="auto"/>
              <w:right w:val="single" w:sz="4" w:space="0" w:color="auto"/>
            </w:tcBorders>
            <w:vAlign w:val="bottom"/>
            <w:hideMark/>
          </w:tcPr>
          <w:p w14:paraId="2A9B3B7A" w14:textId="77777777" w:rsidR="00A74C68" w:rsidRPr="00471CBA" w:rsidRDefault="00A74C68" w:rsidP="00A74C68">
            <w:pPr>
              <w:jc w:val="right"/>
              <w:rPr>
                <w:color w:val="000000"/>
                <w:sz w:val="14"/>
                <w:szCs w:val="14"/>
                <w:lang w:eastAsia="tr-TR"/>
              </w:rPr>
            </w:pPr>
            <w:r w:rsidRPr="00471CBA">
              <w:rPr>
                <w:color w:val="000000"/>
                <w:sz w:val="14"/>
                <w:szCs w:val="14"/>
                <w:lang w:eastAsia="tr-TR"/>
              </w:rPr>
              <w:t>28.128.169</w:t>
            </w:r>
          </w:p>
        </w:tc>
        <w:tc>
          <w:tcPr>
            <w:tcW w:w="579" w:type="pct"/>
            <w:tcBorders>
              <w:top w:val="single" w:sz="4" w:space="0" w:color="auto"/>
              <w:left w:val="nil"/>
              <w:bottom w:val="single" w:sz="4" w:space="0" w:color="auto"/>
              <w:right w:val="single" w:sz="4" w:space="0" w:color="auto"/>
            </w:tcBorders>
            <w:vAlign w:val="bottom"/>
            <w:hideMark/>
          </w:tcPr>
          <w:p w14:paraId="2045853F" w14:textId="77777777" w:rsidR="00A74C68" w:rsidRPr="00471CBA" w:rsidRDefault="00A74C68" w:rsidP="00A74C68">
            <w:pPr>
              <w:jc w:val="right"/>
              <w:rPr>
                <w:color w:val="000000"/>
                <w:sz w:val="14"/>
                <w:szCs w:val="14"/>
                <w:lang w:eastAsia="tr-TR"/>
              </w:rPr>
            </w:pPr>
            <w:r w:rsidRPr="00471CBA">
              <w:rPr>
                <w:color w:val="000000"/>
                <w:sz w:val="14"/>
                <w:szCs w:val="14"/>
                <w:lang w:eastAsia="tr-TR"/>
              </w:rPr>
              <w:t>2.606.228</w:t>
            </w:r>
          </w:p>
        </w:tc>
        <w:tc>
          <w:tcPr>
            <w:tcW w:w="725" w:type="pct"/>
            <w:tcBorders>
              <w:top w:val="single" w:sz="4" w:space="0" w:color="auto"/>
              <w:left w:val="nil"/>
              <w:bottom w:val="single" w:sz="4" w:space="0" w:color="auto"/>
              <w:right w:val="single" w:sz="4" w:space="0" w:color="auto"/>
            </w:tcBorders>
            <w:vAlign w:val="bottom"/>
            <w:hideMark/>
          </w:tcPr>
          <w:p w14:paraId="26159822"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257A0674" w14:textId="77777777" w:rsidR="00A74C68" w:rsidRPr="00471CBA" w:rsidRDefault="00A74C68" w:rsidP="00A74C68">
            <w:pPr>
              <w:jc w:val="right"/>
              <w:rPr>
                <w:color w:val="000000"/>
                <w:sz w:val="14"/>
                <w:szCs w:val="14"/>
                <w:lang w:eastAsia="tr-TR"/>
              </w:rPr>
            </w:pPr>
            <w:r w:rsidRPr="00471CBA">
              <w:rPr>
                <w:color w:val="000000"/>
                <w:sz w:val="14"/>
                <w:szCs w:val="14"/>
                <w:lang w:eastAsia="tr-TR"/>
              </w:rPr>
              <w:t>24.333.333</w:t>
            </w:r>
          </w:p>
        </w:tc>
      </w:tr>
      <w:tr w:rsidR="00A74C68" w:rsidRPr="00471CBA" w14:paraId="0FF570AA" w14:textId="77777777" w:rsidTr="00A74C68">
        <w:trPr>
          <w:divId w:val="10369389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6A418C7F" w14:textId="77777777" w:rsidR="00A74C68" w:rsidRPr="00471CBA" w:rsidRDefault="00A74C68" w:rsidP="00A74C68">
            <w:pPr>
              <w:rPr>
                <w:color w:val="000000"/>
                <w:sz w:val="14"/>
                <w:szCs w:val="14"/>
                <w:lang w:eastAsia="tr-TR"/>
              </w:rPr>
            </w:pPr>
            <w:r w:rsidRPr="00471CBA">
              <w:rPr>
                <w:color w:val="000000"/>
                <w:sz w:val="14"/>
                <w:szCs w:val="14"/>
                <w:lang w:eastAsia="tr-TR"/>
              </w:rPr>
              <w:t>10</w:t>
            </w:r>
          </w:p>
        </w:tc>
        <w:tc>
          <w:tcPr>
            <w:tcW w:w="1656" w:type="pct"/>
            <w:tcBorders>
              <w:top w:val="single" w:sz="4" w:space="0" w:color="auto"/>
              <w:left w:val="nil"/>
              <w:bottom w:val="single" w:sz="4" w:space="0" w:color="auto"/>
              <w:right w:val="single" w:sz="4" w:space="0" w:color="auto"/>
            </w:tcBorders>
            <w:vAlign w:val="center"/>
            <w:hideMark/>
          </w:tcPr>
          <w:p w14:paraId="6FB7E5D6" w14:textId="77777777" w:rsidR="00A74C68" w:rsidRPr="00471CBA" w:rsidRDefault="00A74C68" w:rsidP="00A74C68">
            <w:pPr>
              <w:rPr>
                <w:color w:val="000000"/>
                <w:sz w:val="14"/>
                <w:szCs w:val="14"/>
                <w:lang w:eastAsia="tr-TR"/>
              </w:rPr>
            </w:pPr>
            <w:r w:rsidRPr="00471CBA">
              <w:rPr>
                <w:color w:val="000000"/>
                <w:sz w:val="14"/>
                <w:szCs w:val="14"/>
                <w:lang w:eastAsia="tr-TR"/>
              </w:rPr>
              <w:t xml:space="preserve">Birbirlerine bağlı varlıklara eşdeğer yükümlülükler </w:t>
            </w:r>
          </w:p>
        </w:tc>
        <w:tc>
          <w:tcPr>
            <w:tcW w:w="603" w:type="pct"/>
            <w:tcBorders>
              <w:top w:val="single" w:sz="4" w:space="0" w:color="auto"/>
              <w:left w:val="nil"/>
              <w:bottom w:val="single" w:sz="4" w:space="0" w:color="auto"/>
              <w:right w:val="single" w:sz="4" w:space="0" w:color="auto"/>
            </w:tcBorders>
            <w:shd w:val="clear" w:color="000000" w:fill="000000"/>
            <w:vAlign w:val="bottom"/>
            <w:hideMark/>
          </w:tcPr>
          <w:p w14:paraId="7CF92CB0"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557" w:type="pct"/>
            <w:tcBorders>
              <w:top w:val="single" w:sz="4" w:space="0" w:color="auto"/>
              <w:left w:val="nil"/>
              <w:bottom w:val="single" w:sz="4" w:space="0" w:color="auto"/>
              <w:right w:val="single" w:sz="4" w:space="0" w:color="auto"/>
            </w:tcBorders>
            <w:shd w:val="clear" w:color="000000" w:fill="000000"/>
            <w:vAlign w:val="bottom"/>
            <w:hideMark/>
          </w:tcPr>
          <w:p w14:paraId="7E345624"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579" w:type="pct"/>
            <w:tcBorders>
              <w:top w:val="single" w:sz="4" w:space="0" w:color="auto"/>
              <w:left w:val="nil"/>
              <w:bottom w:val="single" w:sz="4" w:space="0" w:color="auto"/>
              <w:right w:val="single" w:sz="4" w:space="0" w:color="auto"/>
            </w:tcBorders>
            <w:shd w:val="clear" w:color="000000" w:fill="000000"/>
            <w:vAlign w:val="bottom"/>
            <w:hideMark/>
          </w:tcPr>
          <w:p w14:paraId="38D9AD2C"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725" w:type="pct"/>
            <w:tcBorders>
              <w:top w:val="single" w:sz="4" w:space="0" w:color="auto"/>
              <w:left w:val="nil"/>
              <w:bottom w:val="single" w:sz="4" w:space="0" w:color="auto"/>
              <w:right w:val="single" w:sz="4" w:space="0" w:color="auto"/>
            </w:tcBorders>
            <w:shd w:val="clear" w:color="000000" w:fill="000000"/>
            <w:vAlign w:val="bottom"/>
            <w:hideMark/>
          </w:tcPr>
          <w:p w14:paraId="11D541D6"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728" w:type="pct"/>
            <w:tcBorders>
              <w:top w:val="single" w:sz="4" w:space="0" w:color="auto"/>
              <w:left w:val="nil"/>
              <w:bottom w:val="single" w:sz="4" w:space="0" w:color="auto"/>
              <w:right w:val="single" w:sz="4" w:space="0" w:color="auto"/>
            </w:tcBorders>
            <w:shd w:val="clear" w:color="000000" w:fill="000000"/>
            <w:vAlign w:val="bottom"/>
            <w:hideMark/>
          </w:tcPr>
          <w:p w14:paraId="3D4B61D8"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r>
      <w:tr w:rsidR="00A74C68" w:rsidRPr="00471CBA" w14:paraId="31D5B899" w14:textId="77777777" w:rsidTr="00A74C68">
        <w:trPr>
          <w:divId w:val="10369389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55EFF163" w14:textId="77777777" w:rsidR="00A74C68" w:rsidRPr="00471CBA" w:rsidRDefault="00A74C68" w:rsidP="00A74C68">
            <w:pPr>
              <w:rPr>
                <w:color w:val="000000"/>
                <w:sz w:val="14"/>
                <w:szCs w:val="14"/>
                <w:lang w:eastAsia="tr-TR"/>
              </w:rPr>
            </w:pPr>
            <w:r w:rsidRPr="00471CBA">
              <w:rPr>
                <w:color w:val="000000"/>
                <w:sz w:val="14"/>
                <w:szCs w:val="14"/>
                <w:lang w:eastAsia="tr-TR"/>
              </w:rPr>
              <w:t>11</w:t>
            </w:r>
          </w:p>
        </w:tc>
        <w:tc>
          <w:tcPr>
            <w:tcW w:w="1656" w:type="pct"/>
            <w:tcBorders>
              <w:top w:val="single" w:sz="4" w:space="0" w:color="auto"/>
              <w:left w:val="nil"/>
              <w:bottom w:val="single" w:sz="4" w:space="0" w:color="auto"/>
              <w:right w:val="single" w:sz="4" w:space="0" w:color="auto"/>
            </w:tcBorders>
            <w:vAlign w:val="center"/>
            <w:hideMark/>
          </w:tcPr>
          <w:p w14:paraId="710C55AD" w14:textId="77777777" w:rsidR="00A74C68" w:rsidRPr="00471CBA" w:rsidRDefault="00A74C68" w:rsidP="00A74C68">
            <w:pPr>
              <w:rPr>
                <w:color w:val="000000"/>
                <w:sz w:val="14"/>
                <w:szCs w:val="14"/>
                <w:lang w:eastAsia="tr-TR"/>
              </w:rPr>
            </w:pPr>
            <w:r w:rsidRPr="00471CBA">
              <w:rPr>
                <w:color w:val="000000"/>
                <w:sz w:val="14"/>
                <w:szCs w:val="14"/>
                <w:lang w:eastAsia="tr-TR"/>
              </w:rPr>
              <w:t>Diğer yükümlülükler</w:t>
            </w:r>
          </w:p>
        </w:tc>
        <w:tc>
          <w:tcPr>
            <w:tcW w:w="603" w:type="pct"/>
            <w:tcBorders>
              <w:top w:val="single" w:sz="4" w:space="0" w:color="auto"/>
              <w:left w:val="nil"/>
              <w:bottom w:val="single" w:sz="4" w:space="0" w:color="auto"/>
              <w:right w:val="single" w:sz="4" w:space="0" w:color="auto"/>
            </w:tcBorders>
            <w:vAlign w:val="bottom"/>
            <w:hideMark/>
          </w:tcPr>
          <w:p w14:paraId="013FD193" w14:textId="77777777" w:rsidR="00A74C68" w:rsidRPr="00471CBA" w:rsidRDefault="00A74C68" w:rsidP="00A74C68">
            <w:pPr>
              <w:jc w:val="right"/>
              <w:rPr>
                <w:color w:val="000000"/>
                <w:sz w:val="14"/>
                <w:szCs w:val="14"/>
                <w:lang w:eastAsia="tr-TR"/>
              </w:rPr>
            </w:pPr>
            <w:r w:rsidRPr="00471CBA">
              <w:rPr>
                <w:color w:val="000000"/>
                <w:sz w:val="14"/>
                <w:szCs w:val="14"/>
                <w:lang w:eastAsia="tr-TR"/>
              </w:rPr>
              <w:t>6.006.717</w:t>
            </w:r>
          </w:p>
        </w:tc>
        <w:tc>
          <w:tcPr>
            <w:tcW w:w="557" w:type="pct"/>
            <w:tcBorders>
              <w:top w:val="single" w:sz="4" w:space="0" w:color="auto"/>
              <w:left w:val="nil"/>
              <w:bottom w:val="single" w:sz="4" w:space="0" w:color="auto"/>
              <w:right w:val="single" w:sz="4" w:space="0" w:color="auto"/>
            </w:tcBorders>
            <w:vAlign w:val="bottom"/>
            <w:hideMark/>
          </w:tcPr>
          <w:p w14:paraId="0857B478" w14:textId="77777777" w:rsidR="00A74C68" w:rsidRPr="00471CBA" w:rsidRDefault="00A74C68" w:rsidP="00A74C68">
            <w:pPr>
              <w:jc w:val="right"/>
              <w:rPr>
                <w:color w:val="000000"/>
                <w:sz w:val="14"/>
                <w:szCs w:val="14"/>
                <w:lang w:eastAsia="tr-TR"/>
              </w:rPr>
            </w:pPr>
            <w:r w:rsidRPr="00471CBA">
              <w:rPr>
                <w:color w:val="000000"/>
                <w:sz w:val="14"/>
                <w:szCs w:val="14"/>
                <w:lang w:eastAsia="tr-TR"/>
              </w:rPr>
              <w:t>8.235.078</w:t>
            </w:r>
          </w:p>
        </w:tc>
        <w:tc>
          <w:tcPr>
            <w:tcW w:w="579" w:type="pct"/>
            <w:tcBorders>
              <w:top w:val="single" w:sz="4" w:space="0" w:color="auto"/>
              <w:left w:val="nil"/>
              <w:bottom w:val="single" w:sz="4" w:space="0" w:color="auto"/>
              <w:right w:val="single" w:sz="4" w:space="0" w:color="auto"/>
            </w:tcBorders>
            <w:vAlign w:val="bottom"/>
            <w:hideMark/>
          </w:tcPr>
          <w:p w14:paraId="27B31EB0"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1DAD02AB" w14:textId="77777777" w:rsidR="00A74C68" w:rsidRPr="00471CBA" w:rsidRDefault="00A74C68" w:rsidP="00A74C68">
            <w:pPr>
              <w:jc w:val="right"/>
              <w:rPr>
                <w:color w:val="000000"/>
                <w:sz w:val="14"/>
                <w:szCs w:val="14"/>
                <w:lang w:eastAsia="tr-TR"/>
              </w:rPr>
            </w:pPr>
            <w:r w:rsidRPr="00471CBA">
              <w:rPr>
                <w:color w:val="000000"/>
                <w:sz w:val="14"/>
                <w:szCs w:val="14"/>
                <w:lang w:eastAsia="tr-TR"/>
              </w:rPr>
              <w:t>266.028</w:t>
            </w:r>
          </w:p>
        </w:tc>
        <w:tc>
          <w:tcPr>
            <w:tcW w:w="728" w:type="pct"/>
            <w:tcBorders>
              <w:top w:val="single" w:sz="4" w:space="0" w:color="auto"/>
              <w:left w:val="nil"/>
              <w:bottom w:val="single" w:sz="4" w:space="0" w:color="auto"/>
              <w:right w:val="single" w:sz="4" w:space="0" w:color="auto"/>
            </w:tcBorders>
            <w:vAlign w:val="bottom"/>
            <w:hideMark/>
          </w:tcPr>
          <w:p w14:paraId="114C2936"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r>
      <w:tr w:rsidR="00A74C68" w:rsidRPr="00471CBA" w14:paraId="0A28CE52" w14:textId="77777777" w:rsidTr="00A74C68">
        <w:trPr>
          <w:divId w:val="10369389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6F179BB6" w14:textId="77777777" w:rsidR="00A74C68" w:rsidRPr="00471CBA" w:rsidRDefault="00A74C68" w:rsidP="00A74C68">
            <w:pPr>
              <w:rPr>
                <w:color w:val="000000"/>
                <w:sz w:val="14"/>
                <w:szCs w:val="14"/>
                <w:lang w:eastAsia="tr-TR"/>
              </w:rPr>
            </w:pPr>
            <w:r w:rsidRPr="00471CBA">
              <w:rPr>
                <w:color w:val="000000"/>
                <w:sz w:val="14"/>
                <w:szCs w:val="14"/>
                <w:lang w:eastAsia="tr-TR"/>
              </w:rPr>
              <w:t>12</w:t>
            </w:r>
          </w:p>
        </w:tc>
        <w:tc>
          <w:tcPr>
            <w:tcW w:w="1656" w:type="pct"/>
            <w:tcBorders>
              <w:top w:val="single" w:sz="4" w:space="0" w:color="auto"/>
              <w:left w:val="nil"/>
              <w:bottom w:val="single" w:sz="4" w:space="0" w:color="auto"/>
              <w:right w:val="single" w:sz="4" w:space="0" w:color="auto"/>
            </w:tcBorders>
            <w:vAlign w:val="center"/>
            <w:hideMark/>
          </w:tcPr>
          <w:p w14:paraId="77BD7A4E" w14:textId="77777777" w:rsidR="00A74C68" w:rsidRPr="00471CBA" w:rsidRDefault="00A74C68" w:rsidP="00A74C68">
            <w:pPr>
              <w:rPr>
                <w:color w:val="000000"/>
                <w:sz w:val="14"/>
                <w:szCs w:val="14"/>
                <w:lang w:eastAsia="tr-TR"/>
              </w:rPr>
            </w:pPr>
            <w:r w:rsidRPr="00471CBA">
              <w:rPr>
                <w:color w:val="000000"/>
                <w:sz w:val="14"/>
                <w:szCs w:val="14"/>
                <w:lang w:eastAsia="tr-TR"/>
              </w:rPr>
              <w:t>Türev yükümlülükler</w:t>
            </w:r>
          </w:p>
        </w:tc>
        <w:tc>
          <w:tcPr>
            <w:tcW w:w="603" w:type="pct"/>
            <w:tcBorders>
              <w:top w:val="single" w:sz="4" w:space="0" w:color="auto"/>
              <w:left w:val="nil"/>
              <w:bottom w:val="single" w:sz="4" w:space="0" w:color="auto"/>
              <w:right w:val="single" w:sz="4" w:space="0" w:color="auto"/>
            </w:tcBorders>
            <w:shd w:val="clear" w:color="000000" w:fill="000000"/>
            <w:vAlign w:val="bottom"/>
            <w:hideMark/>
          </w:tcPr>
          <w:p w14:paraId="3B09FB32"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1861" w:type="pct"/>
            <w:gridSpan w:val="3"/>
            <w:tcBorders>
              <w:top w:val="single" w:sz="4" w:space="0" w:color="auto"/>
              <w:left w:val="nil"/>
              <w:bottom w:val="single" w:sz="4" w:space="0" w:color="auto"/>
              <w:right w:val="single" w:sz="4" w:space="0" w:color="auto"/>
            </w:tcBorders>
            <w:vAlign w:val="bottom"/>
            <w:hideMark/>
          </w:tcPr>
          <w:p w14:paraId="08F6868F" w14:textId="77777777" w:rsidR="00A74C68" w:rsidRPr="00471CBA" w:rsidRDefault="00A74C68" w:rsidP="00A74C68">
            <w:pPr>
              <w:jc w:val="center"/>
              <w:rPr>
                <w:color w:val="000000"/>
                <w:sz w:val="14"/>
                <w:szCs w:val="14"/>
                <w:lang w:eastAsia="tr-TR"/>
              </w:rPr>
            </w:pPr>
            <w:r w:rsidRPr="00471CBA">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shd w:val="clear" w:color="000000" w:fill="000000"/>
            <w:vAlign w:val="bottom"/>
            <w:hideMark/>
          </w:tcPr>
          <w:p w14:paraId="7494C3CF"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r>
      <w:tr w:rsidR="00A74C68" w:rsidRPr="00471CBA" w14:paraId="55475BB4" w14:textId="77777777" w:rsidTr="00A74C68">
        <w:trPr>
          <w:divId w:val="10369389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5A7FC57A" w14:textId="77777777" w:rsidR="00A74C68" w:rsidRPr="00471CBA" w:rsidRDefault="00A74C68" w:rsidP="00A74C68">
            <w:pPr>
              <w:rPr>
                <w:color w:val="000000"/>
                <w:sz w:val="14"/>
                <w:szCs w:val="14"/>
                <w:lang w:eastAsia="tr-TR"/>
              </w:rPr>
            </w:pPr>
            <w:r w:rsidRPr="00471CBA">
              <w:rPr>
                <w:color w:val="000000"/>
                <w:sz w:val="14"/>
                <w:szCs w:val="14"/>
                <w:lang w:eastAsia="tr-TR"/>
              </w:rPr>
              <w:t>13</w:t>
            </w:r>
          </w:p>
        </w:tc>
        <w:tc>
          <w:tcPr>
            <w:tcW w:w="1656" w:type="pct"/>
            <w:tcBorders>
              <w:top w:val="single" w:sz="4" w:space="0" w:color="auto"/>
              <w:left w:val="nil"/>
              <w:bottom w:val="single" w:sz="4" w:space="0" w:color="auto"/>
              <w:right w:val="single" w:sz="4" w:space="0" w:color="auto"/>
            </w:tcBorders>
            <w:vAlign w:val="center"/>
            <w:hideMark/>
          </w:tcPr>
          <w:p w14:paraId="72C7C12B" w14:textId="77777777" w:rsidR="00A74C68" w:rsidRPr="00471CBA" w:rsidRDefault="00A74C68" w:rsidP="00A74C68">
            <w:pPr>
              <w:rPr>
                <w:color w:val="000000"/>
                <w:sz w:val="14"/>
                <w:szCs w:val="14"/>
                <w:lang w:eastAsia="tr-TR"/>
              </w:rPr>
            </w:pPr>
            <w:r w:rsidRPr="00471CBA">
              <w:rPr>
                <w:color w:val="000000"/>
                <w:sz w:val="14"/>
                <w:szCs w:val="14"/>
                <w:lang w:eastAsia="tr-TR"/>
              </w:rPr>
              <w:t>Yukarıda yer almayan diğer özkaynak unsurları ve yükümlülükler</w:t>
            </w:r>
          </w:p>
        </w:tc>
        <w:tc>
          <w:tcPr>
            <w:tcW w:w="603" w:type="pct"/>
            <w:tcBorders>
              <w:top w:val="single" w:sz="4" w:space="0" w:color="auto"/>
              <w:left w:val="nil"/>
              <w:bottom w:val="single" w:sz="4" w:space="0" w:color="auto"/>
              <w:right w:val="single" w:sz="4" w:space="0" w:color="auto"/>
            </w:tcBorders>
            <w:vAlign w:val="bottom"/>
            <w:hideMark/>
          </w:tcPr>
          <w:p w14:paraId="744A8561"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vAlign w:val="bottom"/>
            <w:hideMark/>
          </w:tcPr>
          <w:p w14:paraId="69EBD6B1"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17983944"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45D9ADEF" w14:textId="77777777" w:rsidR="00A74C68" w:rsidRPr="00471CBA" w:rsidRDefault="00A74C68" w:rsidP="00A74C68">
            <w:pPr>
              <w:jc w:val="right"/>
              <w:rPr>
                <w:color w:val="000000"/>
                <w:sz w:val="14"/>
                <w:szCs w:val="14"/>
                <w:lang w:eastAsia="tr-TR"/>
              </w:rPr>
            </w:pPr>
            <w:r w:rsidRPr="00471CBA">
              <w:rPr>
                <w:color w:val="000000"/>
                <w:sz w:val="14"/>
                <w:szCs w:val="14"/>
                <w:lang w:eastAsia="tr-TR"/>
              </w:rPr>
              <w:t>13.095</w:t>
            </w:r>
          </w:p>
        </w:tc>
        <w:tc>
          <w:tcPr>
            <w:tcW w:w="728" w:type="pct"/>
            <w:tcBorders>
              <w:top w:val="single" w:sz="4" w:space="0" w:color="auto"/>
              <w:left w:val="nil"/>
              <w:bottom w:val="single" w:sz="4" w:space="0" w:color="auto"/>
              <w:right w:val="single" w:sz="4" w:space="0" w:color="auto"/>
            </w:tcBorders>
            <w:vAlign w:val="bottom"/>
            <w:hideMark/>
          </w:tcPr>
          <w:p w14:paraId="4AF2878F" w14:textId="77777777" w:rsidR="00A74C68" w:rsidRPr="00471CBA" w:rsidRDefault="00A74C68" w:rsidP="00A74C68">
            <w:pPr>
              <w:jc w:val="right"/>
              <w:rPr>
                <w:color w:val="000000"/>
                <w:sz w:val="14"/>
                <w:szCs w:val="14"/>
                <w:lang w:eastAsia="tr-TR"/>
              </w:rPr>
            </w:pPr>
            <w:r w:rsidRPr="00471CBA">
              <w:rPr>
                <w:color w:val="000000"/>
                <w:sz w:val="14"/>
                <w:szCs w:val="14"/>
                <w:lang w:eastAsia="tr-TR"/>
              </w:rPr>
              <w:t>13.095</w:t>
            </w:r>
          </w:p>
        </w:tc>
      </w:tr>
      <w:tr w:rsidR="00A74C68" w:rsidRPr="00471CBA" w14:paraId="59163EFA" w14:textId="77777777" w:rsidTr="00A74C68">
        <w:trPr>
          <w:divId w:val="10369389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2D95F1AB" w14:textId="77777777" w:rsidR="00A74C68" w:rsidRPr="00471CBA" w:rsidRDefault="00A74C68" w:rsidP="00A74C68">
            <w:pPr>
              <w:rPr>
                <w:color w:val="000000"/>
                <w:sz w:val="14"/>
                <w:szCs w:val="14"/>
                <w:lang w:eastAsia="tr-TR"/>
              </w:rPr>
            </w:pPr>
            <w:r w:rsidRPr="00471CBA">
              <w:rPr>
                <w:color w:val="000000"/>
                <w:sz w:val="14"/>
                <w:szCs w:val="14"/>
                <w:lang w:eastAsia="tr-TR"/>
              </w:rPr>
              <w:t>14</w:t>
            </w:r>
          </w:p>
        </w:tc>
        <w:tc>
          <w:tcPr>
            <w:tcW w:w="1656" w:type="pct"/>
            <w:tcBorders>
              <w:top w:val="single" w:sz="4" w:space="0" w:color="auto"/>
              <w:left w:val="nil"/>
              <w:bottom w:val="single" w:sz="4" w:space="0" w:color="auto"/>
              <w:right w:val="single" w:sz="4" w:space="0" w:color="auto"/>
            </w:tcBorders>
            <w:vAlign w:val="center"/>
            <w:hideMark/>
          </w:tcPr>
          <w:p w14:paraId="6C64E876" w14:textId="77777777" w:rsidR="00A74C68" w:rsidRPr="00471CBA" w:rsidRDefault="00A74C68" w:rsidP="00A74C68">
            <w:pPr>
              <w:rPr>
                <w:b/>
                <w:bCs/>
                <w:color w:val="000000"/>
                <w:sz w:val="14"/>
                <w:szCs w:val="14"/>
                <w:lang w:eastAsia="tr-TR"/>
              </w:rPr>
            </w:pPr>
            <w:r w:rsidRPr="00471CBA">
              <w:rPr>
                <w:b/>
                <w:bCs/>
                <w:color w:val="000000"/>
                <w:sz w:val="14"/>
                <w:szCs w:val="14"/>
                <w:lang w:eastAsia="tr-TR"/>
              </w:rPr>
              <w:t>Mevcut İstikrarlı Fon</w:t>
            </w:r>
          </w:p>
        </w:tc>
        <w:tc>
          <w:tcPr>
            <w:tcW w:w="603" w:type="pct"/>
            <w:tcBorders>
              <w:top w:val="single" w:sz="4" w:space="0" w:color="auto"/>
              <w:left w:val="nil"/>
              <w:bottom w:val="single" w:sz="4" w:space="0" w:color="auto"/>
              <w:right w:val="single" w:sz="4" w:space="0" w:color="auto"/>
            </w:tcBorders>
            <w:shd w:val="clear" w:color="000000" w:fill="000000"/>
            <w:vAlign w:val="bottom"/>
            <w:hideMark/>
          </w:tcPr>
          <w:p w14:paraId="7636F1AC"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557" w:type="pct"/>
            <w:tcBorders>
              <w:top w:val="single" w:sz="4" w:space="0" w:color="auto"/>
              <w:left w:val="nil"/>
              <w:bottom w:val="single" w:sz="4" w:space="0" w:color="auto"/>
              <w:right w:val="single" w:sz="4" w:space="0" w:color="auto"/>
            </w:tcBorders>
            <w:shd w:val="clear" w:color="000000" w:fill="000000"/>
            <w:vAlign w:val="bottom"/>
            <w:hideMark/>
          </w:tcPr>
          <w:p w14:paraId="34E24899"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579" w:type="pct"/>
            <w:tcBorders>
              <w:top w:val="single" w:sz="4" w:space="0" w:color="auto"/>
              <w:left w:val="nil"/>
              <w:bottom w:val="single" w:sz="4" w:space="0" w:color="auto"/>
              <w:right w:val="single" w:sz="4" w:space="0" w:color="auto"/>
            </w:tcBorders>
            <w:shd w:val="clear" w:color="000000" w:fill="000000"/>
            <w:vAlign w:val="bottom"/>
            <w:hideMark/>
          </w:tcPr>
          <w:p w14:paraId="6807EBD3"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725" w:type="pct"/>
            <w:tcBorders>
              <w:top w:val="single" w:sz="4" w:space="0" w:color="auto"/>
              <w:left w:val="nil"/>
              <w:bottom w:val="single" w:sz="4" w:space="0" w:color="auto"/>
              <w:right w:val="single" w:sz="4" w:space="0" w:color="auto"/>
            </w:tcBorders>
            <w:shd w:val="clear" w:color="000000" w:fill="000000"/>
            <w:vAlign w:val="bottom"/>
            <w:hideMark/>
          </w:tcPr>
          <w:p w14:paraId="12EEDA1E"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728" w:type="pct"/>
            <w:tcBorders>
              <w:top w:val="single" w:sz="4" w:space="0" w:color="auto"/>
              <w:left w:val="nil"/>
              <w:bottom w:val="single" w:sz="4" w:space="0" w:color="auto"/>
              <w:right w:val="single" w:sz="4" w:space="0" w:color="auto"/>
            </w:tcBorders>
            <w:vAlign w:val="bottom"/>
            <w:hideMark/>
          </w:tcPr>
          <w:p w14:paraId="703269EB" w14:textId="77777777" w:rsidR="00A74C68" w:rsidRPr="00471CBA" w:rsidRDefault="00A74C68" w:rsidP="00A74C68">
            <w:pPr>
              <w:jc w:val="right"/>
              <w:rPr>
                <w:color w:val="000000"/>
                <w:sz w:val="14"/>
                <w:szCs w:val="14"/>
                <w:lang w:eastAsia="tr-TR"/>
              </w:rPr>
            </w:pPr>
            <w:r w:rsidRPr="00471CBA">
              <w:rPr>
                <w:color w:val="000000"/>
                <w:sz w:val="14"/>
                <w:szCs w:val="14"/>
                <w:lang w:eastAsia="tr-TR"/>
              </w:rPr>
              <w:t>55.942.236</w:t>
            </w:r>
          </w:p>
        </w:tc>
      </w:tr>
      <w:tr w:rsidR="00A74C68" w:rsidRPr="00471CBA" w14:paraId="26592261" w14:textId="77777777" w:rsidTr="00A74C68">
        <w:trPr>
          <w:divId w:val="103693895"/>
          <w:trHeight w:val="113"/>
        </w:trPr>
        <w:tc>
          <w:tcPr>
            <w:tcW w:w="1808" w:type="pct"/>
            <w:gridSpan w:val="2"/>
            <w:tcBorders>
              <w:top w:val="single" w:sz="4" w:space="0" w:color="auto"/>
              <w:left w:val="single" w:sz="4" w:space="0" w:color="auto"/>
              <w:bottom w:val="single" w:sz="4" w:space="0" w:color="auto"/>
              <w:right w:val="single" w:sz="4" w:space="0" w:color="auto"/>
            </w:tcBorders>
            <w:vAlign w:val="center"/>
            <w:hideMark/>
          </w:tcPr>
          <w:p w14:paraId="457AD828" w14:textId="77777777" w:rsidR="00A74C68" w:rsidRPr="00471CBA" w:rsidRDefault="00A74C68" w:rsidP="00A74C68">
            <w:pPr>
              <w:rPr>
                <w:b/>
                <w:bCs/>
                <w:color w:val="000000"/>
                <w:sz w:val="14"/>
                <w:szCs w:val="14"/>
                <w:lang w:eastAsia="tr-TR"/>
              </w:rPr>
            </w:pPr>
            <w:r w:rsidRPr="00471CBA">
              <w:rPr>
                <w:b/>
                <w:bCs/>
                <w:color w:val="000000"/>
                <w:sz w:val="14"/>
                <w:szCs w:val="14"/>
                <w:lang w:eastAsia="tr-TR"/>
              </w:rPr>
              <w:t>Gerekli İstikrarlı Fon</w:t>
            </w:r>
          </w:p>
        </w:tc>
        <w:tc>
          <w:tcPr>
            <w:tcW w:w="3192" w:type="pct"/>
            <w:gridSpan w:val="5"/>
            <w:tcBorders>
              <w:top w:val="single" w:sz="4" w:space="0" w:color="auto"/>
              <w:left w:val="nil"/>
              <w:bottom w:val="single" w:sz="4" w:space="0" w:color="auto"/>
              <w:right w:val="single" w:sz="4" w:space="0" w:color="auto"/>
            </w:tcBorders>
            <w:vAlign w:val="bottom"/>
            <w:hideMark/>
          </w:tcPr>
          <w:p w14:paraId="14C3607C"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r>
      <w:tr w:rsidR="00A74C68" w:rsidRPr="00471CBA" w14:paraId="4922B547" w14:textId="77777777" w:rsidTr="00A74C68">
        <w:trPr>
          <w:divId w:val="10369389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4488B8F5" w14:textId="77777777" w:rsidR="00A74C68" w:rsidRPr="00471CBA" w:rsidRDefault="00A74C68" w:rsidP="00A74C68">
            <w:pPr>
              <w:rPr>
                <w:color w:val="000000"/>
                <w:sz w:val="14"/>
                <w:szCs w:val="14"/>
                <w:lang w:eastAsia="tr-TR"/>
              </w:rPr>
            </w:pPr>
            <w:r w:rsidRPr="00471CBA">
              <w:rPr>
                <w:color w:val="000000"/>
                <w:sz w:val="14"/>
                <w:szCs w:val="14"/>
                <w:lang w:eastAsia="tr-TR"/>
              </w:rPr>
              <w:t>15</w:t>
            </w:r>
          </w:p>
        </w:tc>
        <w:tc>
          <w:tcPr>
            <w:tcW w:w="1656" w:type="pct"/>
            <w:tcBorders>
              <w:top w:val="single" w:sz="4" w:space="0" w:color="auto"/>
              <w:left w:val="nil"/>
              <w:bottom w:val="single" w:sz="4" w:space="0" w:color="auto"/>
              <w:right w:val="single" w:sz="4" w:space="0" w:color="auto"/>
            </w:tcBorders>
            <w:vAlign w:val="center"/>
            <w:hideMark/>
          </w:tcPr>
          <w:p w14:paraId="4C2C610D" w14:textId="77777777" w:rsidR="00A74C68" w:rsidRPr="00471CBA" w:rsidRDefault="00A74C68" w:rsidP="00A74C68">
            <w:pPr>
              <w:rPr>
                <w:color w:val="000000"/>
                <w:sz w:val="14"/>
                <w:szCs w:val="14"/>
                <w:lang w:eastAsia="tr-TR"/>
              </w:rPr>
            </w:pPr>
            <w:r w:rsidRPr="00471CBA">
              <w:rPr>
                <w:color w:val="000000"/>
                <w:sz w:val="14"/>
                <w:szCs w:val="14"/>
                <w:lang w:eastAsia="tr-TR"/>
              </w:rPr>
              <w:t xml:space="preserve">Yüksek kaliteli likit varlıklar </w:t>
            </w:r>
          </w:p>
        </w:tc>
        <w:tc>
          <w:tcPr>
            <w:tcW w:w="603" w:type="pct"/>
            <w:tcBorders>
              <w:top w:val="single" w:sz="4" w:space="0" w:color="auto"/>
              <w:left w:val="nil"/>
              <w:bottom w:val="single" w:sz="4" w:space="0" w:color="auto"/>
              <w:right w:val="single" w:sz="4" w:space="0" w:color="auto"/>
            </w:tcBorders>
            <w:shd w:val="clear" w:color="000000" w:fill="000000"/>
            <w:vAlign w:val="bottom"/>
            <w:hideMark/>
          </w:tcPr>
          <w:p w14:paraId="5D940597"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557" w:type="pct"/>
            <w:tcBorders>
              <w:top w:val="single" w:sz="4" w:space="0" w:color="auto"/>
              <w:left w:val="nil"/>
              <w:bottom w:val="single" w:sz="4" w:space="0" w:color="auto"/>
              <w:right w:val="single" w:sz="4" w:space="0" w:color="auto"/>
            </w:tcBorders>
            <w:shd w:val="clear" w:color="000000" w:fill="000000"/>
            <w:vAlign w:val="bottom"/>
            <w:hideMark/>
          </w:tcPr>
          <w:p w14:paraId="12A751D7"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579" w:type="pct"/>
            <w:tcBorders>
              <w:top w:val="single" w:sz="4" w:space="0" w:color="auto"/>
              <w:left w:val="nil"/>
              <w:bottom w:val="single" w:sz="4" w:space="0" w:color="auto"/>
              <w:right w:val="single" w:sz="4" w:space="0" w:color="auto"/>
            </w:tcBorders>
            <w:shd w:val="clear" w:color="000000" w:fill="000000"/>
            <w:vAlign w:val="bottom"/>
            <w:hideMark/>
          </w:tcPr>
          <w:p w14:paraId="37FB72BB"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725" w:type="pct"/>
            <w:tcBorders>
              <w:top w:val="single" w:sz="4" w:space="0" w:color="auto"/>
              <w:left w:val="nil"/>
              <w:bottom w:val="single" w:sz="4" w:space="0" w:color="auto"/>
              <w:right w:val="single" w:sz="4" w:space="0" w:color="auto"/>
            </w:tcBorders>
            <w:shd w:val="clear" w:color="000000" w:fill="000000"/>
            <w:vAlign w:val="bottom"/>
            <w:hideMark/>
          </w:tcPr>
          <w:p w14:paraId="446D50AB"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728" w:type="pct"/>
            <w:tcBorders>
              <w:top w:val="single" w:sz="4" w:space="0" w:color="auto"/>
              <w:left w:val="nil"/>
              <w:bottom w:val="single" w:sz="4" w:space="0" w:color="auto"/>
              <w:right w:val="single" w:sz="4" w:space="0" w:color="auto"/>
            </w:tcBorders>
            <w:vAlign w:val="bottom"/>
            <w:hideMark/>
          </w:tcPr>
          <w:p w14:paraId="30BC76B4" w14:textId="77777777" w:rsidR="00A74C68" w:rsidRPr="00471CBA" w:rsidRDefault="00A74C68" w:rsidP="00A74C68">
            <w:pPr>
              <w:jc w:val="right"/>
              <w:rPr>
                <w:color w:val="000000"/>
                <w:sz w:val="14"/>
                <w:szCs w:val="14"/>
                <w:lang w:eastAsia="tr-TR"/>
              </w:rPr>
            </w:pPr>
            <w:r w:rsidRPr="00471CBA">
              <w:rPr>
                <w:color w:val="000000"/>
                <w:sz w:val="14"/>
                <w:szCs w:val="14"/>
                <w:lang w:eastAsia="tr-TR"/>
              </w:rPr>
              <w:t>26.207.206</w:t>
            </w:r>
          </w:p>
        </w:tc>
      </w:tr>
      <w:tr w:rsidR="00A74C68" w:rsidRPr="00471CBA" w14:paraId="18817B9E" w14:textId="77777777" w:rsidTr="00A74C68">
        <w:trPr>
          <w:divId w:val="10369389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53912F1F" w14:textId="77777777" w:rsidR="00A74C68" w:rsidRPr="00471CBA" w:rsidRDefault="00A74C68" w:rsidP="00A74C68">
            <w:pPr>
              <w:rPr>
                <w:color w:val="000000"/>
                <w:sz w:val="14"/>
                <w:szCs w:val="14"/>
                <w:lang w:eastAsia="tr-TR"/>
              </w:rPr>
            </w:pPr>
            <w:r w:rsidRPr="00471CBA">
              <w:rPr>
                <w:color w:val="000000"/>
                <w:sz w:val="14"/>
                <w:szCs w:val="14"/>
                <w:lang w:eastAsia="tr-TR"/>
              </w:rPr>
              <w:t>16</w:t>
            </w:r>
          </w:p>
        </w:tc>
        <w:tc>
          <w:tcPr>
            <w:tcW w:w="1656" w:type="pct"/>
            <w:tcBorders>
              <w:top w:val="single" w:sz="4" w:space="0" w:color="auto"/>
              <w:left w:val="nil"/>
              <w:bottom w:val="single" w:sz="4" w:space="0" w:color="auto"/>
              <w:right w:val="single" w:sz="4" w:space="0" w:color="auto"/>
            </w:tcBorders>
            <w:vAlign w:val="center"/>
            <w:hideMark/>
          </w:tcPr>
          <w:p w14:paraId="03C9994C" w14:textId="77777777" w:rsidR="00A74C68" w:rsidRPr="00471CBA" w:rsidRDefault="00A74C68" w:rsidP="00A74C68">
            <w:pPr>
              <w:rPr>
                <w:color w:val="000000"/>
                <w:sz w:val="14"/>
                <w:szCs w:val="14"/>
                <w:lang w:eastAsia="tr-TR"/>
              </w:rPr>
            </w:pPr>
            <w:r w:rsidRPr="00471CBA">
              <w:rPr>
                <w:color w:val="000000"/>
                <w:sz w:val="14"/>
                <w:szCs w:val="14"/>
                <w:lang w:eastAsia="tr-TR"/>
              </w:rPr>
              <w:t>Kredi kuruluşları veya finansal kuruluşlara depo edilen operasyonel katılım fonu</w:t>
            </w:r>
          </w:p>
        </w:tc>
        <w:tc>
          <w:tcPr>
            <w:tcW w:w="603" w:type="pct"/>
            <w:tcBorders>
              <w:top w:val="single" w:sz="4" w:space="0" w:color="auto"/>
              <w:left w:val="nil"/>
              <w:bottom w:val="single" w:sz="4" w:space="0" w:color="auto"/>
              <w:right w:val="single" w:sz="4" w:space="0" w:color="auto"/>
            </w:tcBorders>
            <w:vAlign w:val="bottom"/>
            <w:hideMark/>
          </w:tcPr>
          <w:p w14:paraId="680AB4B3"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vAlign w:val="bottom"/>
            <w:hideMark/>
          </w:tcPr>
          <w:p w14:paraId="7DC32ACA"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434D7993"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0E3DCF5A"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74486617"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r>
      <w:tr w:rsidR="00A74C68" w:rsidRPr="00471CBA" w14:paraId="28698BFF" w14:textId="77777777" w:rsidTr="00A74C68">
        <w:trPr>
          <w:divId w:val="10369389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3A70083B" w14:textId="77777777" w:rsidR="00A74C68" w:rsidRPr="00471CBA" w:rsidRDefault="00A74C68" w:rsidP="00A74C68">
            <w:pPr>
              <w:rPr>
                <w:color w:val="000000"/>
                <w:sz w:val="14"/>
                <w:szCs w:val="14"/>
                <w:lang w:eastAsia="tr-TR"/>
              </w:rPr>
            </w:pPr>
            <w:r w:rsidRPr="00471CBA">
              <w:rPr>
                <w:color w:val="000000"/>
                <w:sz w:val="14"/>
                <w:szCs w:val="14"/>
                <w:lang w:eastAsia="tr-TR"/>
              </w:rPr>
              <w:t>17</w:t>
            </w:r>
          </w:p>
        </w:tc>
        <w:tc>
          <w:tcPr>
            <w:tcW w:w="1656" w:type="pct"/>
            <w:tcBorders>
              <w:top w:val="single" w:sz="4" w:space="0" w:color="auto"/>
              <w:left w:val="nil"/>
              <w:bottom w:val="single" w:sz="4" w:space="0" w:color="auto"/>
              <w:right w:val="single" w:sz="4" w:space="0" w:color="auto"/>
            </w:tcBorders>
            <w:vAlign w:val="center"/>
            <w:hideMark/>
          </w:tcPr>
          <w:p w14:paraId="76F8A33C" w14:textId="77777777" w:rsidR="00A74C68" w:rsidRPr="00471CBA" w:rsidRDefault="00A74C68" w:rsidP="00A74C68">
            <w:pPr>
              <w:rPr>
                <w:color w:val="000000"/>
                <w:sz w:val="14"/>
                <w:szCs w:val="14"/>
                <w:lang w:eastAsia="tr-TR"/>
              </w:rPr>
            </w:pPr>
            <w:r w:rsidRPr="00471CBA">
              <w:rPr>
                <w:color w:val="000000"/>
                <w:sz w:val="14"/>
                <w:szCs w:val="14"/>
                <w:lang w:eastAsia="tr-TR"/>
              </w:rPr>
              <w:t>Canlı alacaklar</w:t>
            </w:r>
          </w:p>
        </w:tc>
        <w:tc>
          <w:tcPr>
            <w:tcW w:w="603" w:type="pct"/>
            <w:tcBorders>
              <w:top w:val="single" w:sz="4" w:space="0" w:color="auto"/>
              <w:left w:val="nil"/>
              <w:bottom w:val="single" w:sz="4" w:space="0" w:color="auto"/>
              <w:right w:val="single" w:sz="4" w:space="0" w:color="auto"/>
            </w:tcBorders>
            <w:vAlign w:val="bottom"/>
            <w:hideMark/>
          </w:tcPr>
          <w:p w14:paraId="3B9B32E7" w14:textId="77777777" w:rsidR="00A74C68" w:rsidRPr="00471CBA" w:rsidRDefault="00A74C68" w:rsidP="00A74C68">
            <w:pPr>
              <w:jc w:val="right"/>
              <w:rPr>
                <w:color w:val="000000"/>
                <w:sz w:val="14"/>
                <w:szCs w:val="14"/>
                <w:lang w:eastAsia="tr-TR"/>
              </w:rPr>
            </w:pPr>
            <w:r w:rsidRPr="00471CBA">
              <w:rPr>
                <w:color w:val="000000"/>
                <w:sz w:val="14"/>
                <w:szCs w:val="14"/>
                <w:lang w:eastAsia="tr-TR"/>
              </w:rPr>
              <w:t>6.269.441</w:t>
            </w:r>
          </w:p>
        </w:tc>
        <w:tc>
          <w:tcPr>
            <w:tcW w:w="557" w:type="pct"/>
            <w:tcBorders>
              <w:top w:val="single" w:sz="4" w:space="0" w:color="auto"/>
              <w:left w:val="nil"/>
              <w:bottom w:val="single" w:sz="4" w:space="0" w:color="auto"/>
              <w:right w:val="single" w:sz="4" w:space="0" w:color="auto"/>
            </w:tcBorders>
            <w:vAlign w:val="bottom"/>
            <w:hideMark/>
          </w:tcPr>
          <w:p w14:paraId="4BFC965E" w14:textId="77777777" w:rsidR="00A74C68" w:rsidRPr="00471CBA" w:rsidRDefault="00A74C68" w:rsidP="00A74C68">
            <w:pPr>
              <w:jc w:val="right"/>
              <w:rPr>
                <w:color w:val="000000"/>
                <w:sz w:val="14"/>
                <w:szCs w:val="14"/>
                <w:lang w:eastAsia="tr-TR"/>
              </w:rPr>
            </w:pPr>
            <w:r w:rsidRPr="00471CBA">
              <w:rPr>
                <w:color w:val="000000"/>
                <w:sz w:val="14"/>
                <w:szCs w:val="14"/>
                <w:lang w:eastAsia="tr-TR"/>
              </w:rPr>
              <w:t>37.408.523</w:t>
            </w:r>
          </w:p>
        </w:tc>
        <w:tc>
          <w:tcPr>
            <w:tcW w:w="579" w:type="pct"/>
            <w:tcBorders>
              <w:top w:val="single" w:sz="4" w:space="0" w:color="auto"/>
              <w:left w:val="nil"/>
              <w:bottom w:val="single" w:sz="4" w:space="0" w:color="auto"/>
              <w:right w:val="single" w:sz="4" w:space="0" w:color="auto"/>
            </w:tcBorders>
            <w:vAlign w:val="bottom"/>
            <w:hideMark/>
          </w:tcPr>
          <w:p w14:paraId="342174CF" w14:textId="77777777" w:rsidR="00A74C68" w:rsidRPr="00471CBA" w:rsidRDefault="00A74C68" w:rsidP="00A74C68">
            <w:pPr>
              <w:jc w:val="right"/>
              <w:rPr>
                <w:color w:val="000000"/>
                <w:sz w:val="14"/>
                <w:szCs w:val="14"/>
                <w:lang w:eastAsia="tr-TR"/>
              </w:rPr>
            </w:pPr>
            <w:r w:rsidRPr="00471CBA">
              <w:rPr>
                <w:color w:val="000000"/>
                <w:sz w:val="14"/>
                <w:szCs w:val="14"/>
                <w:lang w:eastAsia="tr-TR"/>
              </w:rPr>
              <w:t>12.635.148</w:t>
            </w:r>
          </w:p>
        </w:tc>
        <w:tc>
          <w:tcPr>
            <w:tcW w:w="725" w:type="pct"/>
            <w:tcBorders>
              <w:top w:val="single" w:sz="4" w:space="0" w:color="auto"/>
              <w:left w:val="nil"/>
              <w:bottom w:val="single" w:sz="4" w:space="0" w:color="auto"/>
              <w:right w:val="single" w:sz="4" w:space="0" w:color="auto"/>
            </w:tcBorders>
            <w:vAlign w:val="bottom"/>
            <w:hideMark/>
          </w:tcPr>
          <w:p w14:paraId="028AE8D1" w14:textId="77777777" w:rsidR="00A74C68" w:rsidRPr="00471CBA" w:rsidRDefault="00A74C68" w:rsidP="00A74C68">
            <w:pPr>
              <w:jc w:val="right"/>
              <w:rPr>
                <w:color w:val="000000"/>
                <w:sz w:val="14"/>
                <w:szCs w:val="14"/>
                <w:lang w:eastAsia="tr-TR"/>
              </w:rPr>
            </w:pPr>
            <w:r w:rsidRPr="00471CBA">
              <w:rPr>
                <w:color w:val="000000"/>
                <w:sz w:val="14"/>
                <w:szCs w:val="14"/>
                <w:lang w:eastAsia="tr-TR"/>
              </w:rPr>
              <w:t>847.095</w:t>
            </w:r>
          </w:p>
        </w:tc>
        <w:tc>
          <w:tcPr>
            <w:tcW w:w="728" w:type="pct"/>
            <w:tcBorders>
              <w:top w:val="single" w:sz="4" w:space="0" w:color="auto"/>
              <w:left w:val="nil"/>
              <w:bottom w:val="single" w:sz="4" w:space="0" w:color="auto"/>
              <w:right w:val="single" w:sz="4" w:space="0" w:color="auto"/>
            </w:tcBorders>
            <w:vAlign w:val="bottom"/>
            <w:hideMark/>
          </w:tcPr>
          <w:p w14:paraId="26125592" w14:textId="77777777" w:rsidR="00A74C68" w:rsidRPr="00471CBA" w:rsidRDefault="00A74C68" w:rsidP="00A74C68">
            <w:pPr>
              <w:jc w:val="right"/>
              <w:rPr>
                <w:color w:val="000000"/>
                <w:sz w:val="14"/>
                <w:szCs w:val="14"/>
                <w:lang w:eastAsia="tr-TR"/>
              </w:rPr>
            </w:pPr>
            <w:r w:rsidRPr="00471CBA">
              <w:rPr>
                <w:color w:val="000000"/>
                <w:sz w:val="14"/>
                <w:szCs w:val="14"/>
                <w:lang w:eastAsia="tr-TR"/>
              </w:rPr>
              <w:t>24.615.858</w:t>
            </w:r>
          </w:p>
        </w:tc>
      </w:tr>
      <w:tr w:rsidR="00A74C68" w:rsidRPr="00471CBA" w14:paraId="41B38E8D" w14:textId="77777777" w:rsidTr="00A74C68">
        <w:trPr>
          <w:divId w:val="10369389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742C8AD4" w14:textId="77777777" w:rsidR="00A74C68" w:rsidRPr="00471CBA" w:rsidRDefault="00A74C68" w:rsidP="00A74C68">
            <w:pPr>
              <w:rPr>
                <w:color w:val="000000"/>
                <w:sz w:val="14"/>
                <w:szCs w:val="14"/>
                <w:lang w:eastAsia="tr-TR"/>
              </w:rPr>
            </w:pPr>
            <w:r w:rsidRPr="00471CBA">
              <w:rPr>
                <w:color w:val="000000"/>
                <w:sz w:val="14"/>
                <w:szCs w:val="14"/>
                <w:lang w:eastAsia="tr-TR"/>
              </w:rPr>
              <w:t>18</w:t>
            </w:r>
          </w:p>
        </w:tc>
        <w:tc>
          <w:tcPr>
            <w:tcW w:w="1656" w:type="pct"/>
            <w:tcBorders>
              <w:top w:val="single" w:sz="4" w:space="0" w:color="auto"/>
              <w:left w:val="nil"/>
              <w:bottom w:val="single" w:sz="4" w:space="0" w:color="auto"/>
              <w:right w:val="single" w:sz="4" w:space="0" w:color="auto"/>
            </w:tcBorders>
            <w:vAlign w:val="center"/>
            <w:hideMark/>
          </w:tcPr>
          <w:p w14:paraId="6BD6D502" w14:textId="77777777" w:rsidR="00A74C68" w:rsidRPr="00471CBA" w:rsidRDefault="00A74C68" w:rsidP="00A74C68">
            <w:pPr>
              <w:rPr>
                <w:color w:val="000000"/>
                <w:sz w:val="14"/>
                <w:szCs w:val="14"/>
                <w:lang w:eastAsia="tr-TR"/>
              </w:rPr>
            </w:pPr>
            <w:r w:rsidRPr="00471CBA">
              <w:rPr>
                <w:color w:val="000000"/>
                <w:sz w:val="14"/>
                <w:szCs w:val="14"/>
                <w:lang w:eastAsia="tr-TR"/>
              </w:rPr>
              <w:t>Teminatı birinci kalite likit varlık olan, kredi kuruluşları veya finansal kuruluşlardan alacaklar</w:t>
            </w:r>
          </w:p>
        </w:tc>
        <w:tc>
          <w:tcPr>
            <w:tcW w:w="603" w:type="pct"/>
            <w:tcBorders>
              <w:top w:val="single" w:sz="4" w:space="0" w:color="auto"/>
              <w:left w:val="nil"/>
              <w:bottom w:val="single" w:sz="4" w:space="0" w:color="auto"/>
              <w:right w:val="single" w:sz="4" w:space="0" w:color="auto"/>
            </w:tcBorders>
            <w:vAlign w:val="bottom"/>
            <w:hideMark/>
          </w:tcPr>
          <w:p w14:paraId="2BB6A071"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vAlign w:val="bottom"/>
            <w:hideMark/>
          </w:tcPr>
          <w:p w14:paraId="1835EC7D"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67BE3E4A"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086896A5"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2F67F1CA"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r>
      <w:tr w:rsidR="00A74C68" w:rsidRPr="00471CBA" w14:paraId="2EE8B0C4" w14:textId="77777777" w:rsidTr="00A74C68">
        <w:trPr>
          <w:divId w:val="10369389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20708B98" w14:textId="77777777" w:rsidR="00A74C68" w:rsidRPr="00471CBA" w:rsidRDefault="00A74C68" w:rsidP="00A74C68">
            <w:pPr>
              <w:rPr>
                <w:color w:val="000000"/>
                <w:sz w:val="14"/>
                <w:szCs w:val="14"/>
                <w:lang w:eastAsia="tr-TR"/>
              </w:rPr>
            </w:pPr>
            <w:r w:rsidRPr="00471CBA">
              <w:rPr>
                <w:color w:val="000000"/>
                <w:sz w:val="14"/>
                <w:szCs w:val="14"/>
                <w:lang w:eastAsia="tr-TR"/>
              </w:rPr>
              <w:t>19</w:t>
            </w:r>
          </w:p>
        </w:tc>
        <w:tc>
          <w:tcPr>
            <w:tcW w:w="1656" w:type="pct"/>
            <w:tcBorders>
              <w:top w:val="single" w:sz="4" w:space="0" w:color="auto"/>
              <w:left w:val="nil"/>
              <w:bottom w:val="single" w:sz="4" w:space="0" w:color="auto"/>
              <w:right w:val="single" w:sz="4" w:space="0" w:color="auto"/>
            </w:tcBorders>
            <w:vAlign w:val="center"/>
            <w:hideMark/>
          </w:tcPr>
          <w:p w14:paraId="18A80DEE" w14:textId="77777777" w:rsidR="00A74C68" w:rsidRPr="00471CBA" w:rsidRDefault="00A74C68" w:rsidP="00A74C68">
            <w:pPr>
              <w:rPr>
                <w:color w:val="000000"/>
                <w:sz w:val="14"/>
                <w:szCs w:val="14"/>
                <w:lang w:eastAsia="tr-TR"/>
              </w:rPr>
            </w:pPr>
            <w:r w:rsidRPr="00471CBA">
              <w:rPr>
                <w:color w:val="000000"/>
                <w:sz w:val="14"/>
                <w:szCs w:val="14"/>
                <w:lang w:eastAsia="tr-TR"/>
              </w:rPr>
              <w:t>Kredi kuruluşları veya finansal kuruluşlardan teminatsız veya teminatı birinci kalite likit varlık olmayan teminatlı alacaklar</w:t>
            </w:r>
          </w:p>
        </w:tc>
        <w:tc>
          <w:tcPr>
            <w:tcW w:w="603" w:type="pct"/>
            <w:tcBorders>
              <w:top w:val="single" w:sz="4" w:space="0" w:color="auto"/>
              <w:left w:val="nil"/>
              <w:bottom w:val="single" w:sz="4" w:space="0" w:color="auto"/>
              <w:right w:val="single" w:sz="4" w:space="0" w:color="auto"/>
            </w:tcBorders>
            <w:vAlign w:val="bottom"/>
            <w:hideMark/>
          </w:tcPr>
          <w:p w14:paraId="022B106C" w14:textId="77777777" w:rsidR="00A74C68" w:rsidRPr="00471CBA" w:rsidRDefault="00A74C68" w:rsidP="00A74C68">
            <w:pPr>
              <w:jc w:val="right"/>
              <w:rPr>
                <w:color w:val="000000"/>
                <w:sz w:val="14"/>
                <w:szCs w:val="14"/>
                <w:lang w:eastAsia="tr-TR"/>
              </w:rPr>
            </w:pPr>
            <w:r w:rsidRPr="00471CBA">
              <w:rPr>
                <w:color w:val="000000"/>
                <w:sz w:val="14"/>
                <w:szCs w:val="14"/>
                <w:lang w:eastAsia="tr-TR"/>
              </w:rPr>
              <w:t>6.264.310</w:t>
            </w:r>
          </w:p>
        </w:tc>
        <w:tc>
          <w:tcPr>
            <w:tcW w:w="557" w:type="pct"/>
            <w:tcBorders>
              <w:top w:val="single" w:sz="4" w:space="0" w:color="auto"/>
              <w:left w:val="nil"/>
              <w:bottom w:val="single" w:sz="4" w:space="0" w:color="auto"/>
              <w:right w:val="single" w:sz="4" w:space="0" w:color="auto"/>
            </w:tcBorders>
            <w:vAlign w:val="bottom"/>
            <w:hideMark/>
          </w:tcPr>
          <w:p w14:paraId="4921B21C" w14:textId="77777777" w:rsidR="00A74C68" w:rsidRPr="00471CBA" w:rsidRDefault="00A74C68" w:rsidP="00A74C68">
            <w:pPr>
              <w:jc w:val="right"/>
              <w:rPr>
                <w:color w:val="000000"/>
                <w:sz w:val="14"/>
                <w:szCs w:val="14"/>
                <w:lang w:eastAsia="tr-TR"/>
              </w:rPr>
            </w:pPr>
            <w:r w:rsidRPr="00471CBA">
              <w:rPr>
                <w:color w:val="000000"/>
                <w:sz w:val="14"/>
                <w:szCs w:val="14"/>
                <w:lang w:eastAsia="tr-TR"/>
              </w:rPr>
              <w:t>5.429.439</w:t>
            </w:r>
          </w:p>
        </w:tc>
        <w:tc>
          <w:tcPr>
            <w:tcW w:w="579" w:type="pct"/>
            <w:tcBorders>
              <w:top w:val="single" w:sz="4" w:space="0" w:color="auto"/>
              <w:left w:val="nil"/>
              <w:bottom w:val="single" w:sz="4" w:space="0" w:color="auto"/>
              <w:right w:val="single" w:sz="4" w:space="0" w:color="auto"/>
            </w:tcBorders>
            <w:vAlign w:val="bottom"/>
            <w:hideMark/>
          </w:tcPr>
          <w:p w14:paraId="2CBAC2D4"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13D103A7"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5485DFD4" w14:textId="77777777" w:rsidR="00A74C68" w:rsidRPr="00471CBA" w:rsidRDefault="00A74C68" w:rsidP="00A74C68">
            <w:pPr>
              <w:jc w:val="right"/>
              <w:rPr>
                <w:color w:val="000000"/>
                <w:sz w:val="14"/>
                <w:szCs w:val="14"/>
                <w:lang w:eastAsia="tr-TR"/>
              </w:rPr>
            </w:pPr>
            <w:r w:rsidRPr="00471CBA">
              <w:rPr>
                <w:color w:val="000000"/>
                <w:sz w:val="14"/>
                <w:szCs w:val="14"/>
                <w:lang w:eastAsia="tr-TR"/>
              </w:rPr>
              <w:t>1.754.062</w:t>
            </w:r>
          </w:p>
        </w:tc>
      </w:tr>
      <w:tr w:rsidR="00A74C68" w:rsidRPr="00471CBA" w14:paraId="7142F8EC" w14:textId="77777777" w:rsidTr="00A74C68">
        <w:trPr>
          <w:divId w:val="10369389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2FD2267F" w14:textId="77777777" w:rsidR="00A74C68" w:rsidRPr="00471CBA" w:rsidRDefault="00A74C68" w:rsidP="00A74C68">
            <w:pPr>
              <w:rPr>
                <w:color w:val="000000"/>
                <w:sz w:val="14"/>
                <w:szCs w:val="14"/>
                <w:lang w:eastAsia="tr-TR"/>
              </w:rPr>
            </w:pPr>
            <w:r w:rsidRPr="00471CBA">
              <w:rPr>
                <w:color w:val="000000"/>
                <w:sz w:val="14"/>
                <w:szCs w:val="14"/>
                <w:lang w:eastAsia="tr-TR"/>
              </w:rPr>
              <w:t>20</w:t>
            </w:r>
          </w:p>
        </w:tc>
        <w:tc>
          <w:tcPr>
            <w:tcW w:w="1656" w:type="pct"/>
            <w:tcBorders>
              <w:top w:val="single" w:sz="4" w:space="0" w:color="auto"/>
              <w:left w:val="nil"/>
              <w:bottom w:val="single" w:sz="4" w:space="0" w:color="auto"/>
              <w:right w:val="single" w:sz="4" w:space="0" w:color="auto"/>
            </w:tcBorders>
            <w:vAlign w:val="center"/>
            <w:hideMark/>
          </w:tcPr>
          <w:p w14:paraId="2C1BA111" w14:textId="77777777" w:rsidR="00A74C68" w:rsidRPr="00471CBA" w:rsidRDefault="00A74C68" w:rsidP="00A74C68">
            <w:pPr>
              <w:rPr>
                <w:color w:val="000000"/>
                <w:sz w:val="14"/>
                <w:szCs w:val="14"/>
                <w:lang w:eastAsia="tr-TR"/>
              </w:rPr>
            </w:pPr>
            <w:r w:rsidRPr="00471CBA">
              <w:rPr>
                <w:color w:val="000000"/>
                <w:sz w:val="14"/>
                <w:szCs w:val="14"/>
                <w:lang w:eastAsia="tr-TR"/>
              </w:rPr>
              <w:t>Kredi kuruluşları veya finansal kuruluşlar dışındaki kurumsal müşteriler, kuruluşlar, gerçek kişi ve perakende müşteriler, merkezi yönetimler, merkez bankaları ile kamu kuruluşlarından olan alacaklar</w:t>
            </w:r>
          </w:p>
        </w:tc>
        <w:tc>
          <w:tcPr>
            <w:tcW w:w="603" w:type="pct"/>
            <w:tcBorders>
              <w:top w:val="single" w:sz="4" w:space="0" w:color="auto"/>
              <w:left w:val="nil"/>
              <w:bottom w:val="single" w:sz="4" w:space="0" w:color="auto"/>
              <w:right w:val="single" w:sz="4" w:space="0" w:color="auto"/>
            </w:tcBorders>
            <w:vAlign w:val="bottom"/>
            <w:hideMark/>
          </w:tcPr>
          <w:p w14:paraId="3AFED53B" w14:textId="77777777" w:rsidR="00A74C68" w:rsidRPr="00471CBA" w:rsidRDefault="00A74C68" w:rsidP="00A74C68">
            <w:pPr>
              <w:jc w:val="right"/>
              <w:rPr>
                <w:color w:val="000000"/>
                <w:sz w:val="14"/>
                <w:szCs w:val="14"/>
                <w:lang w:eastAsia="tr-TR"/>
              </w:rPr>
            </w:pPr>
            <w:r w:rsidRPr="00471CBA">
              <w:rPr>
                <w:color w:val="000000"/>
                <w:sz w:val="14"/>
                <w:szCs w:val="14"/>
                <w:lang w:eastAsia="tr-TR"/>
              </w:rPr>
              <w:t>5.131</w:t>
            </w:r>
          </w:p>
        </w:tc>
        <w:tc>
          <w:tcPr>
            <w:tcW w:w="557" w:type="pct"/>
            <w:tcBorders>
              <w:top w:val="single" w:sz="4" w:space="0" w:color="auto"/>
              <w:left w:val="nil"/>
              <w:bottom w:val="single" w:sz="4" w:space="0" w:color="auto"/>
              <w:right w:val="single" w:sz="4" w:space="0" w:color="auto"/>
            </w:tcBorders>
            <w:vAlign w:val="bottom"/>
            <w:hideMark/>
          </w:tcPr>
          <w:p w14:paraId="5D46F9EB" w14:textId="77777777" w:rsidR="00A74C68" w:rsidRPr="00471CBA" w:rsidRDefault="00A74C68" w:rsidP="00A74C68">
            <w:pPr>
              <w:jc w:val="right"/>
              <w:rPr>
                <w:color w:val="000000"/>
                <w:sz w:val="14"/>
                <w:szCs w:val="14"/>
                <w:lang w:eastAsia="tr-TR"/>
              </w:rPr>
            </w:pPr>
            <w:r w:rsidRPr="00471CBA">
              <w:rPr>
                <w:color w:val="000000"/>
                <w:sz w:val="14"/>
                <w:szCs w:val="14"/>
                <w:lang w:eastAsia="tr-TR"/>
              </w:rPr>
              <w:t>31.979.084</w:t>
            </w:r>
          </w:p>
        </w:tc>
        <w:tc>
          <w:tcPr>
            <w:tcW w:w="579" w:type="pct"/>
            <w:tcBorders>
              <w:top w:val="single" w:sz="4" w:space="0" w:color="auto"/>
              <w:left w:val="nil"/>
              <w:bottom w:val="single" w:sz="4" w:space="0" w:color="auto"/>
              <w:right w:val="single" w:sz="4" w:space="0" w:color="auto"/>
            </w:tcBorders>
            <w:vAlign w:val="bottom"/>
            <w:hideMark/>
          </w:tcPr>
          <w:p w14:paraId="06EEA323" w14:textId="77777777" w:rsidR="00A74C68" w:rsidRPr="00471CBA" w:rsidRDefault="00A74C68" w:rsidP="00A74C68">
            <w:pPr>
              <w:jc w:val="right"/>
              <w:rPr>
                <w:color w:val="000000"/>
                <w:sz w:val="14"/>
                <w:szCs w:val="14"/>
                <w:lang w:eastAsia="tr-TR"/>
              </w:rPr>
            </w:pPr>
            <w:r w:rsidRPr="00471CBA">
              <w:rPr>
                <w:color w:val="000000"/>
                <w:sz w:val="14"/>
                <w:szCs w:val="14"/>
                <w:lang w:eastAsia="tr-TR"/>
              </w:rPr>
              <w:t>12.625.133</w:t>
            </w:r>
          </w:p>
        </w:tc>
        <w:tc>
          <w:tcPr>
            <w:tcW w:w="725" w:type="pct"/>
            <w:tcBorders>
              <w:top w:val="single" w:sz="4" w:space="0" w:color="auto"/>
              <w:left w:val="nil"/>
              <w:bottom w:val="single" w:sz="4" w:space="0" w:color="auto"/>
              <w:right w:val="single" w:sz="4" w:space="0" w:color="auto"/>
            </w:tcBorders>
            <w:vAlign w:val="bottom"/>
            <w:hideMark/>
          </w:tcPr>
          <w:p w14:paraId="0BF5255F"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56A77511" w14:textId="77777777" w:rsidR="00A74C68" w:rsidRPr="00471CBA" w:rsidRDefault="00A74C68" w:rsidP="00A74C68">
            <w:pPr>
              <w:jc w:val="right"/>
              <w:rPr>
                <w:color w:val="000000"/>
                <w:sz w:val="14"/>
                <w:szCs w:val="14"/>
                <w:lang w:eastAsia="tr-TR"/>
              </w:rPr>
            </w:pPr>
            <w:r w:rsidRPr="00471CBA">
              <w:rPr>
                <w:color w:val="000000"/>
                <w:sz w:val="14"/>
                <w:szCs w:val="14"/>
                <w:lang w:eastAsia="tr-TR"/>
              </w:rPr>
              <w:t>22.304.674</w:t>
            </w:r>
          </w:p>
        </w:tc>
      </w:tr>
      <w:tr w:rsidR="00A74C68" w:rsidRPr="00471CBA" w14:paraId="258EC7B9" w14:textId="77777777" w:rsidTr="00A74C68">
        <w:trPr>
          <w:divId w:val="10369389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31545738" w14:textId="77777777" w:rsidR="00A74C68" w:rsidRPr="00471CBA" w:rsidRDefault="00A74C68" w:rsidP="00A74C68">
            <w:pPr>
              <w:rPr>
                <w:color w:val="000000"/>
                <w:sz w:val="14"/>
                <w:szCs w:val="14"/>
                <w:lang w:eastAsia="tr-TR"/>
              </w:rPr>
            </w:pPr>
            <w:r w:rsidRPr="00471CBA">
              <w:rPr>
                <w:color w:val="000000"/>
                <w:sz w:val="14"/>
                <w:szCs w:val="14"/>
                <w:lang w:eastAsia="tr-TR"/>
              </w:rPr>
              <w:t>21</w:t>
            </w:r>
          </w:p>
        </w:tc>
        <w:tc>
          <w:tcPr>
            <w:tcW w:w="1656" w:type="pct"/>
            <w:tcBorders>
              <w:top w:val="single" w:sz="4" w:space="0" w:color="auto"/>
              <w:left w:val="nil"/>
              <w:bottom w:val="single" w:sz="4" w:space="0" w:color="auto"/>
              <w:right w:val="single" w:sz="4" w:space="0" w:color="auto"/>
            </w:tcBorders>
            <w:vAlign w:val="center"/>
            <w:hideMark/>
          </w:tcPr>
          <w:p w14:paraId="0BA2BEF6" w14:textId="77777777" w:rsidR="00A74C68" w:rsidRPr="00471CBA" w:rsidRDefault="00A74C68" w:rsidP="00A74C68">
            <w:pPr>
              <w:rPr>
                <w:i/>
                <w:iCs/>
                <w:color w:val="000000"/>
                <w:sz w:val="14"/>
                <w:szCs w:val="14"/>
                <w:lang w:eastAsia="tr-TR"/>
              </w:rPr>
            </w:pPr>
            <w:r w:rsidRPr="00471CBA">
              <w:rPr>
                <w:i/>
                <w:iCs/>
                <w:color w:val="000000"/>
                <w:sz w:val="14"/>
                <w:szCs w:val="14"/>
                <w:lang w:eastAsia="tr-TR"/>
              </w:rPr>
              <w:t>%35 ya da daha düşük risk ağırlığına tabi alacaklar</w:t>
            </w:r>
          </w:p>
        </w:tc>
        <w:tc>
          <w:tcPr>
            <w:tcW w:w="603" w:type="pct"/>
            <w:tcBorders>
              <w:top w:val="single" w:sz="4" w:space="0" w:color="auto"/>
              <w:left w:val="nil"/>
              <w:bottom w:val="single" w:sz="4" w:space="0" w:color="auto"/>
              <w:right w:val="single" w:sz="4" w:space="0" w:color="auto"/>
            </w:tcBorders>
            <w:vAlign w:val="bottom"/>
            <w:hideMark/>
          </w:tcPr>
          <w:p w14:paraId="7D849F02"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vAlign w:val="bottom"/>
            <w:hideMark/>
          </w:tcPr>
          <w:p w14:paraId="63D5000B"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7D6F8A9F"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3B25F3CB"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3A067A4E"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r>
      <w:tr w:rsidR="00A74C68" w:rsidRPr="00471CBA" w14:paraId="1A3D25EC" w14:textId="77777777" w:rsidTr="00A74C68">
        <w:trPr>
          <w:divId w:val="10369389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7190BF53" w14:textId="77777777" w:rsidR="00A74C68" w:rsidRPr="00471CBA" w:rsidRDefault="00A74C68" w:rsidP="00A74C68">
            <w:pPr>
              <w:rPr>
                <w:color w:val="000000"/>
                <w:sz w:val="14"/>
                <w:szCs w:val="14"/>
                <w:lang w:eastAsia="tr-TR"/>
              </w:rPr>
            </w:pPr>
            <w:r w:rsidRPr="00471CBA">
              <w:rPr>
                <w:color w:val="000000"/>
                <w:sz w:val="14"/>
                <w:szCs w:val="14"/>
                <w:lang w:eastAsia="tr-TR"/>
              </w:rPr>
              <w:t>22</w:t>
            </w:r>
          </w:p>
        </w:tc>
        <w:tc>
          <w:tcPr>
            <w:tcW w:w="1656" w:type="pct"/>
            <w:tcBorders>
              <w:top w:val="single" w:sz="4" w:space="0" w:color="auto"/>
              <w:left w:val="nil"/>
              <w:bottom w:val="single" w:sz="4" w:space="0" w:color="auto"/>
              <w:right w:val="single" w:sz="4" w:space="0" w:color="auto"/>
            </w:tcBorders>
            <w:vAlign w:val="center"/>
            <w:hideMark/>
          </w:tcPr>
          <w:p w14:paraId="5908B90E" w14:textId="77777777" w:rsidR="00A74C68" w:rsidRPr="00471CBA" w:rsidRDefault="00A74C68" w:rsidP="00A74C68">
            <w:pPr>
              <w:rPr>
                <w:color w:val="000000"/>
                <w:sz w:val="14"/>
                <w:szCs w:val="14"/>
                <w:lang w:eastAsia="tr-TR"/>
              </w:rPr>
            </w:pPr>
            <w:r w:rsidRPr="00471CBA">
              <w:rPr>
                <w:color w:val="000000"/>
                <w:sz w:val="14"/>
                <w:szCs w:val="14"/>
                <w:lang w:eastAsia="tr-TR"/>
              </w:rPr>
              <w:t>İkamet amaçlı gayrimenkul ipoteği ile teminatlandırılan alacaklar</w:t>
            </w:r>
          </w:p>
        </w:tc>
        <w:tc>
          <w:tcPr>
            <w:tcW w:w="603" w:type="pct"/>
            <w:tcBorders>
              <w:top w:val="single" w:sz="4" w:space="0" w:color="auto"/>
              <w:left w:val="nil"/>
              <w:bottom w:val="single" w:sz="4" w:space="0" w:color="auto"/>
              <w:right w:val="single" w:sz="4" w:space="0" w:color="auto"/>
            </w:tcBorders>
            <w:vAlign w:val="bottom"/>
            <w:hideMark/>
          </w:tcPr>
          <w:p w14:paraId="3EB02920"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vAlign w:val="bottom"/>
            <w:hideMark/>
          </w:tcPr>
          <w:p w14:paraId="07267EB4"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6AD77D34" w14:textId="77777777" w:rsidR="00A74C68" w:rsidRPr="00471CBA" w:rsidRDefault="00A74C68" w:rsidP="00A74C68">
            <w:pPr>
              <w:jc w:val="right"/>
              <w:rPr>
                <w:color w:val="000000"/>
                <w:sz w:val="14"/>
                <w:szCs w:val="14"/>
                <w:lang w:eastAsia="tr-TR"/>
              </w:rPr>
            </w:pPr>
            <w:r w:rsidRPr="00471CBA">
              <w:rPr>
                <w:color w:val="000000"/>
                <w:sz w:val="14"/>
                <w:szCs w:val="14"/>
                <w:lang w:eastAsia="tr-TR"/>
              </w:rPr>
              <w:t>10.015</w:t>
            </w:r>
          </w:p>
        </w:tc>
        <w:tc>
          <w:tcPr>
            <w:tcW w:w="725" w:type="pct"/>
            <w:tcBorders>
              <w:top w:val="single" w:sz="4" w:space="0" w:color="auto"/>
              <w:left w:val="nil"/>
              <w:bottom w:val="single" w:sz="4" w:space="0" w:color="auto"/>
              <w:right w:val="single" w:sz="4" w:space="0" w:color="auto"/>
            </w:tcBorders>
            <w:vAlign w:val="bottom"/>
            <w:hideMark/>
          </w:tcPr>
          <w:p w14:paraId="67EB2E79" w14:textId="77777777" w:rsidR="00A74C68" w:rsidRPr="00471CBA" w:rsidRDefault="00A74C68" w:rsidP="00A74C68">
            <w:pPr>
              <w:jc w:val="right"/>
              <w:rPr>
                <w:color w:val="000000"/>
                <w:sz w:val="14"/>
                <w:szCs w:val="14"/>
                <w:lang w:eastAsia="tr-TR"/>
              </w:rPr>
            </w:pPr>
            <w:r w:rsidRPr="00471CBA">
              <w:rPr>
                <w:color w:val="000000"/>
                <w:sz w:val="14"/>
                <w:szCs w:val="14"/>
                <w:lang w:eastAsia="tr-TR"/>
              </w:rPr>
              <w:t>847.095</w:t>
            </w:r>
          </w:p>
        </w:tc>
        <w:tc>
          <w:tcPr>
            <w:tcW w:w="728" w:type="pct"/>
            <w:tcBorders>
              <w:top w:val="single" w:sz="4" w:space="0" w:color="auto"/>
              <w:left w:val="nil"/>
              <w:bottom w:val="single" w:sz="4" w:space="0" w:color="auto"/>
              <w:right w:val="single" w:sz="4" w:space="0" w:color="auto"/>
            </w:tcBorders>
            <w:vAlign w:val="bottom"/>
            <w:hideMark/>
          </w:tcPr>
          <w:p w14:paraId="4462B817" w14:textId="77777777" w:rsidR="00A74C68" w:rsidRPr="00471CBA" w:rsidRDefault="00A74C68" w:rsidP="00A74C68">
            <w:pPr>
              <w:jc w:val="right"/>
              <w:rPr>
                <w:color w:val="000000"/>
                <w:sz w:val="14"/>
                <w:szCs w:val="14"/>
                <w:lang w:eastAsia="tr-TR"/>
              </w:rPr>
            </w:pPr>
            <w:r w:rsidRPr="00471CBA">
              <w:rPr>
                <w:color w:val="000000"/>
                <w:sz w:val="14"/>
                <w:szCs w:val="14"/>
                <w:lang w:eastAsia="tr-TR"/>
              </w:rPr>
              <w:t>557.122</w:t>
            </w:r>
          </w:p>
        </w:tc>
      </w:tr>
      <w:tr w:rsidR="00A74C68" w:rsidRPr="00471CBA" w14:paraId="5F643496" w14:textId="77777777" w:rsidTr="00A74C68">
        <w:trPr>
          <w:divId w:val="10369389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36E480DD" w14:textId="77777777" w:rsidR="00A74C68" w:rsidRPr="00471CBA" w:rsidRDefault="00A74C68" w:rsidP="00A74C68">
            <w:pPr>
              <w:rPr>
                <w:color w:val="000000"/>
                <w:sz w:val="14"/>
                <w:szCs w:val="14"/>
                <w:lang w:eastAsia="tr-TR"/>
              </w:rPr>
            </w:pPr>
            <w:r w:rsidRPr="00471CBA">
              <w:rPr>
                <w:color w:val="000000"/>
                <w:sz w:val="14"/>
                <w:szCs w:val="14"/>
                <w:lang w:eastAsia="tr-TR"/>
              </w:rPr>
              <w:t>23</w:t>
            </w:r>
          </w:p>
        </w:tc>
        <w:tc>
          <w:tcPr>
            <w:tcW w:w="1656" w:type="pct"/>
            <w:tcBorders>
              <w:top w:val="single" w:sz="4" w:space="0" w:color="auto"/>
              <w:left w:val="nil"/>
              <w:bottom w:val="single" w:sz="4" w:space="0" w:color="auto"/>
              <w:right w:val="single" w:sz="4" w:space="0" w:color="auto"/>
            </w:tcBorders>
            <w:vAlign w:val="center"/>
            <w:hideMark/>
          </w:tcPr>
          <w:p w14:paraId="7730659D" w14:textId="77777777" w:rsidR="00A74C68" w:rsidRPr="00471CBA" w:rsidRDefault="00A74C68" w:rsidP="00A74C68">
            <w:pPr>
              <w:rPr>
                <w:i/>
                <w:iCs/>
                <w:color w:val="000000"/>
                <w:sz w:val="14"/>
                <w:szCs w:val="14"/>
                <w:lang w:eastAsia="tr-TR"/>
              </w:rPr>
            </w:pPr>
            <w:r w:rsidRPr="00471CBA">
              <w:rPr>
                <w:i/>
                <w:iCs/>
                <w:color w:val="000000"/>
                <w:sz w:val="14"/>
                <w:szCs w:val="14"/>
                <w:lang w:eastAsia="tr-TR"/>
              </w:rPr>
              <w:t>%35 ya da daha düşük risk ağırlığına tabi alacaklar</w:t>
            </w:r>
          </w:p>
        </w:tc>
        <w:tc>
          <w:tcPr>
            <w:tcW w:w="603" w:type="pct"/>
            <w:tcBorders>
              <w:top w:val="single" w:sz="4" w:space="0" w:color="auto"/>
              <w:left w:val="nil"/>
              <w:bottom w:val="single" w:sz="4" w:space="0" w:color="auto"/>
              <w:right w:val="single" w:sz="4" w:space="0" w:color="auto"/>
            </w:tcBorders>
            <w:vAlign w:val="bottom"/>
            <w:hideMark/>
          </w:tcPr>
          <w:p w14:paraId="16B7353E"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vAlign w:val="bottom"/>
            <w:hideMark/>
          </w:tcPr>
          <w:p w14:paraId="0D825315"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5BBA1203" w14:textId="77777777" w:rsidR="00A74C68" w:rsidRPr="00471CBA" w:rsidRDefault="00A74C68" w:rsidP="00A74C68">
            <w:pPr>
              <w:jc w:val="right"/>
              <w:rPr>
                <w:color w:val="000000"/>
                <w:sz w:val="14"/>
                <w:szCs w:val="14"/>
                <w:lang w:eastAsia="tr-TR"/>
              </w:rPr>
            </w:pPr>
            <w:r w:rsidRPr="00471CBA">
              <w:rPr>
                <w:color w:val="000000"/>
                <w:sz w:val="14"/>
                <w:szCs w:val="14"/>
                <w:lang w:eastAsia="tr-TR"/>
              </w:rPr>
              <w:t>10.015</w:t>
            </w:r>
          </w:p>
        </w:tc>
        <w:tc>
          <w:tcPr>
            <w:tcW w:w="725" w:type="pct"/>
            <w:tcBorders>
              <w:top w:val="single" w:sz="4" w:space="0" w:color="auto"/>
              <w:left w:val="nil"/>
              <w:bottom w:val="single" w:sz="4" w:space="0" w:color="auto"/>
              <w:right w:val="single" w:sz="4" w:space="0" w:color="auto"/>
            </w:tcBorders>
            <w:vAlign w:val="bottom"/>
            <w:hideMark/>
          </w:tcPr>
          <w:p w14:paraId="0C51DE93" w14:textId="77777777" w:rsidR="00A74C68" w:rsidRPr="00471CBA" w:rsidRDefault="00A74C68" w:rsidP="00A74C68">
            <w:pPr>
              <w:jc w:val="right"/>
              <w:rPr>
                <w:color w:val="000000"/>
                <w:sz w:val="14"/>
                <w:szCs w:val="14"/>
                <w:lang w:eastAsia="tr-TR"/>
              </w:rPr>
            </w:pPr>
            <w:r w:rsidRPr="00471CBA">
              <w:rPr>
                <w:color w:val="000000"/>
                <w:sz w:val="14"/>
                <w:szCs w:val="14"/>
                <w:lang w:eastAsia="tr-TR"/>
              </w:rPr>
              <w:t>847.095</w:t>
            </w:r>
          </w:p>
        </w:tc>
        <w:tc>
          <w:tcPr>
            <w:tcW w:w="728" w:type="pct"/>
            <w:tcBorders>
              <w:top w:val="single" w:sz="4" w:space="0" w:color="auto"/>
              <w:left w:val="nil"/>
              <w:bottom w:val="single" w:sz="4" w:space="0" w:color="auto"/>
              <w:right w:val="single" w:sz="4" w:space="0" w:color="auto"/>
            </w:tcBorders>
            <w:vAlign w:val="bottom"/>
            <w:hideMark/>
          </w:tcPr>
          <w:p w14:paraId="3BD46CF1" w14:textId="77777777" w:rsidR="00A74C68" w:rsidRPr="00471CBA" w:rsidRDefault="00A74C68" w:rsidP="00A74C68">
            <w:pPr>
              <w:jc w:val="right"/>
              <w:rPr>
                <w:color w:val="000000"/>
                <w:sz w:val="14"/>
                <w:szCs w:val="14"/>
                <w:lang w:eastAsia="tr-TR"/>
              </w:rPr>
            </w:pPr>
            <w:r w:rsidRPr="00471CBA">
              <w:rPr>
                <w:color w:val="000000"/>
                <w:sz w:val="14"/>
                <w:szCs w:val="14"/>
                <w:lang w:eastAsia="tr-TR"/>
              </w:rPr>
              <w:t>557.122</w:t>
            </w:r>
          </w:p>
        </w:tc>
      </w:tr>
      <w:tr w:rsidR="00A74C68" w:rsidRPr="00471CBA" w14:paraId="76FDD314" w14:textId="77777777" w:rsidTr="00A74C68">
        <w:trPr>
          <w:divId w:val="10369389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224252EF" w14:textId="77777777" w:rsidR="00A74C68" w:rsidRPr="00471CBA" w:rsidRDefault="00A74C68" w:rsidP="00A74C68">
            <w:pPr>
              <w:rPr>
                <w:color w:val="000000"/>
                <w:sz w:val="14"/>
                <w:szCs w:val="14"/>
                <w:lang w:eastAsia="tr-TR"/>
              </w:rPr>
            </w:pPr>
            <w:r w:rsidRPr="00471CBA">
              <w:rPr>
                <w:color w:val="000000"/>
                <w:sz w:val="14"/>
                <w:szCs w:val="14"/>
                <w:lang w:eastAsia="tr-TR"/>
              </w:rPr>
              <w:t>24</w:t>
            </w:r>
          </w:p>
        </w:tc>
        <w:tc>
          <w:tcPr>
            <w:tcW w:w="1656" w:type="pct"/>
            <w:tcBorders>
              <w:top w:val="single" w:sz="4" w:space="0" w:color="auto"/>
              <w:left w:val="nil"/>
              <w:bottom w:val="single" w:sz="4" w:space="0" w:color="auto"/>
              <w:right w:val="single" w:sz="4" w:space="0" w:color="auto"/>
            </w:tcBorders>
            <w:vAlign w:val="center"/>
            <w:hideMark/>
          </w:tcPr>
          <w:p w14:paraId="657458A3" w14:textId="77777777" w:rsidR="00A74C68" w:rsidRPr="00471CBA" w:rsidRDefault="00A74C68" w:rsidP="00A74C68">
            <w:pPr>
              <w:rPr>
                <w:color w:val="000000"/>
                <w:sz w:val="14"/>
                <w:szCs w:val="14"/>
                <w:lang w:eastAsia="tr-TR"/>
              </w:rPr>
            </w:pPr>
            <w:r w:rsidRPr="00471CBA">
              <w:rPr>
                <w:color w:val="000000"/>
                <w:sz w:val="14"/>
                <w:szCs w:val="14"/>
                <w:lang w:eastAsia="tr-TR"/>
              </w:rPr>
              <w:t>Yüksek kaliteli likit varlık niteliğini haiz olmayan, borsada işlem gören hisse senetleri ile borçlanma araçları</w:t>
            </w:r>
          </w:p>
        </w:tc>
        <w:tc>
          <w:tcPr>
            <w:tcW w:w="603" w:type="pct"/>
            <w:tcBorders>
              <w:top w:val="single" w:sz="4" w:space="0" w:color="auto"/>
              <w:left w:val="nil"/>
              <w:bottom w:val="single" w:sz="4" w:space="0" w:color="auto"/>
              <w:right w:val="single" w:sz="4" w:space="0" w:color="auto"/>
            </w:tcBorders>
            <w:vAlign w:val="bottom"/>
            <w:hideMark/>
          </w:tcPr>
          <w:p w14:paraId="3B795FCC"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vAlign w:val="bottom"/>
            <w:hideMark/>
          </w:tcPr>
          <w:p w14:paraId="3A5CF53E"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1B392717"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7A9D4F7B"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7FFF0F60"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r>
      <w:tr w:rsidR="00A74C68" w:rsidRPr="00471CBA" w14:paraId="4FFBC37E" w14:textId="77777777" w:rsidTr="00A74C68">
        <w:trPr>
          <w:divId w:val="10369389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02979431" w14:textId="77777777" w:rsidR="00A74C68" w:rsidRPr="00471CBA" w:rsidRDefault="00A74C68" w:rsidP="00A74C68">
            <w:pPr>
              <w:rPr>
                <w:color w:val="000000"/>
                <w:sz w:val="14"/>
                <w:szCs w:val="14"/>
                <w:lang w:eastAsia="tr-TR"/>
              </w:rPr>
            </w:pPr>
            <w:r w:rsidRPr="00471CBA">
              <w:rPr>
                <w:color w:val="000000"/>
                <w:sz w:val="14"/>
                <w:szCs w:val="14"/>
                <w:lang w:eastAsia="tr-TR"/>
              </w:rPr>
              <w:t>25</w:t>
            </w:r>
          </w:p>
        </w:tc>
        <w:tc>
          <w:tcPr>
            <w:tcW w:w="1656" w:type="pct"/>
            <w:tcBorders>
              <w:top w:val="single" w:sz="4" w:space="0" w:color="auto"/>
              <w:left w:val="nil"/>
              <w:bottom w:val="single" w:sz="4" w:space="0" w:color="auto"/>
              <w:right w:val="single" w:sz="4" w:space="0" w:color="auto"/>
            </w:tcBorders>
            <w:vAlign w:val="center"/>
            <w:hideMark/>
          </w:tcPr>
          <w:p w14:paraId="0C1CBAE6" w14:textId="77777777" w:rsidR="00A74C68" w:rsidRPr="00471CBA" w:rsidRDefault="00A74C68" w:rsidP="00A74C68">
            <w:pPr>
              <w:rPr>
                <w:color w:val="000000"/>
                <w:sz w:val="14"/>
                <w:szCs w:val="14"/>
                <w:lang w:eastAsia="tr-TR"/>
              </w:rPr>
            </w:pPr>
            <w:r w:rsidRPr="00471CBA">
              <w:rPr>
                <w:color w:val="000000"/>
                <w:sz w:val="14"/>
                <w:szCs w:val="14"/>
                <w:lang w:eastAsia="tr-TR"/>
              </w:rPr>
              <w:t xml:space="preserve">Birbirlerine bağlı yükümlülüklere eşdeğer varlıklar </w:t>
            </w:r>
          </w:p>
        </w:tc>
        <w:tc>
          <w:tcPr>
            <w:tcW w:w="603" w:type="pct"/>
            <w:tcBorders>
              <w:top w:val="single" w:sz="4" w:space="0" w:color="auto"/>
              <w:left w:val="nil"/>
              <w:bottom w:val="single" w:sz="4" w:space="0" w:color="auto"/>
              <w:right w:val="single" w:sz="4" w:space="0" w:color="auto"/>
            </w:tcBorders>
            <w:shd w:val="clear" w:color="000000" w:fill="000000"/>
            <w:vAlign w:val="bottom"/>
            <w:hideMark/>
          </w:tcPr>
          <w:p w14:paraId="453ACBA5"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557" w:type="pct"/>
            <w:tcBorders>
              <w:top w:val="single" w:sz="4" w:space="0" w:color="auto"/>
              <w:left w:val="nil"/>
              <w:bottom w:val="single" w:sz="4" w:space="0" w:color="auto"/>
              <w:right w:val="single" w:sz="4" w:space="0" w:color="auto"/>
            </w:tcBorders>
            <w:shd w:val="clear" w:color="000000" w:fill="000000"/>
            <w:vAlign w:val="bottom"/>
            <w:hideMark/>
          </w:tcPr>
          <w:p w14:paraId="7BA34B5A"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579" w:type="pct"/>
            <w:tcBorders>
              <w:top w:val="single" w:sz="4" w:space="0" w:color="auto"/>
              <w:left w:val="nil"/>
              <w:bottom w:val="single" w:sz="4" w:space="0" w:color="auto"/>
              <w:right w:val="single" w:sz="4" w:space="0" w:color="auto"/>
            </w:tcBorders>
            <w:shd w:val="clear" w:color="000000" w:fill="000000"/>
            <w:vAlign w:val="bottom"/>
            <w:hideMark/>
          </w:tcPr>
          <w:p w14:paraId="428EA51F"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725" w:type="pct"/>
            <w:tcBorders>
              <w:top w:val="single" w:sz="4" w:space="0" w:color="auto"/>
              <w:left w:val="nil"/>
              <w:bottom w:val="single" w:sz="4" w:space="0" w:color="auto"/>
              <w:right w:val="single" w:sz="4" w:space="0" w:color="auto"/>
            </w:tcBorders>
            <w:shd w:val="clear" w:color="000000" w:fill="000000"/>
            <w:vAlign w:val="bottom"/>
            <w:hideMark/>
          </w:tcPr>
          <w:p w14:paraId="75615F9D"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728" w:type="pct"/>
            <w:tcBorders>
              <w:top w:val="single" w:sz="4" w:space="0" w:color="auto"/>
              <w:left w:val="nil"/>
              <w:bottom w:val="single" w:sz="4" w:space="0" w:color="auto"/>
              <w:right w:val="single" w:sz="4" w:space="0" w:color="auto"/>
            </w:tcBorders>
            <w:shd w:val="clear" w:color="000000" w:fill="000000"/>
            <w:vAlign w:val="bottom"/>
            <w:hideMark/>
          </w:tcPr>
          <w:p w14:paraId="339E0392"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r>
      <w:tr w:rsidR="00A74C68" w:rsidRPr="00471CBA" w14:paraId="250C41BF" w14:textId="77777777" w:rsidTr="00A74C68">
        <w:trPr>
          <w:divId w:val="10369389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08878F3F" w14:textId="77777777" w:rsidR="00A74C68" w:rsidRPr="00471CBA" w:rsidRDefault="00A74C68" w:rsidP="00A74C68">
            <w:pPr>
              <w:rPr>
                <w:color w:val="000000"/>
                <w:sz w:val="14"/>
                <w:szCs w:val="14"/>
                <w:lang w:eastAsia="tr-TR"/>
              </w:rPr>
            </w:pPr>
            <w:r w:rsidRPr="00471CBA">
              <w:rPr>
                <w:color w:val="000000"/>
                <w:sz w:val="14"/>
                <w:szCs w:val="14"/>
                <w:lang w:eastAsia="tr-TR"/>
              </w:rPr>
              <w:t>26</w:t>
            </w:r>
          </w:p>
        </w:tc>
        <w:tc>
          <w:tcPr>
            <w:tcW w:w="1656" w:type="pct"/>
            <w:tcBorders>
              <w:top w:val="single" w:sz="4" w:space="0" w:color="auto"/>
              <w:left w:val="nil"/>
              <w:bottom w:val="single" w:sz="4" w:space="0" w:color="auto"/>
              <w:right w:val="single" w:sz="4" w:space="0" w:color="auto"/>
            </w:tcBorders>
            <w:vAlign w:val="center"/>
            <w:hideMark/>
          </w:tcPr>
          <w:p w14:paraId="538F0887" w14:textId="77777777" w:rsidR="00A74C68" w:rsidRPr="00471CBA" w:rsidRDefault="00A74C68" w:rsidP="00A74C68">
            <w:pPr>
              <w:rPr>
                <w:color w:val="000000"/>
                <w:sz w:val="14"/>
                <w:szCs w:val="14"/>
                <w:lang w:eastAsia="tr-TR"/>
              </w:rPr>
            </w:pPr>
            <w:r w:rsidRPr="00471CBA">
              <w:rPr>
                <w:color w:val="000000"/>
                <w:sz w:val="14"/>
                <w:szCs w:val="14"/>
                <w:lang w:eastAsia="tr-TR"/>
              </w:rPr>
              <w:t>Diğer varlıklar</w:t>
            </w:r>
          </w:p>
        </w:tc>
        <w:tc>
          <w:tcPr>
            <w:tcW w:w="603" w:type="pct"/>
            <w:tcBorders>
              <w:top w:val="single" w:sz="4" w:space="0" w:color="auto"/>
              <w:left w:val="nil"/>
              <w:bottom w:val="single" w:sz="4" w:space="0" w:color="auto"/>
              <w:right w:val="single" w:sz="4" w:space="0" w:color="auto"/>
            </w:tcBorders>
            <w:vAlign w:val="bottom"/>
            <w:hideMark/>
          </w:tcPr>
          <w:p w14:paraId="3146F611"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557" w:type="pct"/>
            <w:tcBorders>
              <w:top w:val="single" w:sz="4" w:space="0" w:color="auto"/>
              <w:left w:val="nil"/>
              <w:bottom w:val="single" w:sz="4" w:space="0" w:color="auto"/>
              <w:right w:val="single" w:sz="4" w:space="0" w:color="auto"/>
            </w:tcBorders>
            <w:vAlign w:val="bottom"/>
            <w:hideMark/>
          </w:tcPr>
          <w:p w14:paraId="0A5AA78C"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579" w:type="pct"/>
            <w:tcBorders>
              <w:top w:val="single" w:sz="4" w:space="0" w:color="auto"/>
              <w:left w:val="nil"/>
              <w:bottom w:val="single" w:sz="4" w:space="0" w:color="auto"/>
              <w:right w:val="single" w:sz="4" w:space="0" w:color="auto"/>
            </w:tcBorders>
            <w:vAlign w:val="bottom"/>
            <w:hideMark/>
          </w:tcPr>
          <w:p w14:paraId="52DA5045"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725" w:type="pct"/>
            <w:tcBorders>
              <w:top w:val="single" w:sz="4" w:space="0" w:color="auto"/>
              <w:left w:val="nil"/>
              <w:bottom w:val="single" w:sz="4" w:space="0" w:color="auto"/>
              <w:right w:val="single" w:sz="4" w:space="0" w:color="auto"/>
            </w:tcBorders>
            <w:vAlign w:val="bottom"/>
            <w:hideMark/>
          </w:tcPr>
          <w:p w14:paraId="1C463991"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728" w:type="pct"/>
            <w:tcBorders>
              <w:top w:val="single" w:sz="4" w:space="0" w:color="auto"/>
              <w:left w:val="nil"/>
              <w:bottom w:val="single" w:sz="4" w:space="0" w:color="auto"/>
              <w:right w:val="single" w:sz="4" w:space="0" w:color="auto"/>
            </w:tcBorders>
            <w:vAlign w:val="bottom"/>
            <w:hideMark/>
          </w:tcPr>
          <w:p w14:paraId="4D1B22A0" w14:textId="77777777" w:rsidR="00A74C68" w:rsidRPr="00471CBA" w:rsidRDefault="00A74C68" w:rsidP="00A74C68">
            <w:pPr>
              <w:jc w:val="right"/>
              <w:rPr>
                <w:color w:val="000000"/>
                <w:sz w:val="14"/>
                <w:szCs w:val="14"/>
                <w:lang w:eastAsia="tr-TR"/>
              </w:rPr>
            </w:pPr>
            <w:r w:rsidRPr="00471CBA">
              <w:rPr>
                <w:color w:val="000000"/>
                <w:sz w:val="14"/>
                <w:szCs w:val="14"/>
                <w:lang w:eastAsia="tr-TR"/>
              </w:rPr>
              <w:t>12.923.689</w:t>
            </w:r>
          </w:p>
        </w:tc>
      </w:tr>
      <w:tr w:rsidR="00A74C68" w:rsidRPr="00471CBA" w14:paraId="76BAC97B" w14:textId="77777777" w:rsidTr="00A74C68">
        <w:trPr>
          <w:divId w:val="10369389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62430C42" w14:textId="77777777" w:rsidR="00A74C68" w:rsidRPr="00471CBA" w:rsidRDefault="00A74C68" w:rsidP="00A74C68">
            <w:pPr>
              <w:rPr>
                <w:color w:val="000000"/>
                <w:sz w:val="14"/>
                <w:szCs w:val="14"/>
                <w:lang w:eastAsia="tr-TR"/>
              </w:rPr>
            </w:pPr>
            <w:r w:rsidRPr="00471CBA">
              <w:rPr>
                <w:color w:val="000000"/>
                <w:sz w:val="14"/>
                <w:szCs w:val="14"/>
                <w:lang w:eastAsia="tr-TR"/>
              </w:rPr>
              <w:t>27</w:t>
            </w:r>
          </w:p>
        </w:tc>
        <w:tc>
          <w:tcPr>
            <w:tcW w:w="1656" w:type="pct"/>
            <w:tcBorders>
              <w:top w:val="single" w:sz="4" w:space="0" w:color="auto"/>
              <w:left w:val="nil"/>
              <w:bottom w:val="single" w:sz="4" w:space="0" w:color="auto"/>
              <w:right w:val="single" w:sz="4" w:space="0" w:color="auto"/>
            </w:tcBorders>
            <w:vAlign w:val="center"/>
            <w:hideMark/>
          </w:tcPr>
          <w:p w14:paraId="413A31F1" w14:textId="77777777" w:rsidR="00A74C68" w:rsidRPr="00471CBA" w:rsidRDefault="00A74C68" w:rsidP="00A74C68">
            <w:pPr>
              <w:rPr>
                <w:color w:val="000000"/>
                <w:sz w:val="14"/>
                <w:szCs w:val="14"/>
                <w:lang w:eastAsia="tr-TR"/>
              </w:rPr>
            </w:pPr>
            <w:r w:rsidRPr="00471CBA">
              <w:rPr>
                <w:color w:val="000000"/>
                <w:sz w:val="14"/>
                <w:szCs w:val="14"/>
                <w:lang w:eastAsia="tr-TR"/>
              </w:rPr>
              <w:t>Altın dahil fiziki teslimatlı emtia</w:t>
            </w:r>
          </w:p>
        </w:tc>
        <w:tc>
          <w:tcPr>
            <w:tcW w:w="603" w:type="pct"/>
            <w:tcBorders>
              <w:top w:val="single" w:sz="4" w:space="0" w:color="auto"/>
              <w:left w:val="nil"/>
              <w:bottom w:val="single" w:sz="4" w:space="0" w:color="auto"/>
              <w:right w:val="single" w:sz="4" w:space="0" w:color="auto"/>
            </w:tcBorders>
            <w:vAlign w:val="bottom"/>
            <w:hideMark/>
          </w:tcPr>
          <w:p w14:paraId="709ACEF4"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shd w:val="clear" w:color="000000" w:fill="000000"/>
            <w:vAlign w:val="bottom"/>
            <w:hideMark/>
          </w:tcPr>
          <w:p w14:paraId="7E024FC3"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579" w:type="pct"/>
            <w:tcBorders>
              <w:top w:val="single" w:sz="4" w:space="0" w:color="auto"/>
              <w:left w:val="nil"/>
              <w:bottom w:val="single" w:sz="4" w:space="0" w:color="auto"/>
              <w:right w:val="single" w:sz="4" w:space="0" w:color="auto"/>
            </w:tcBorders>
            <w:shd w:val="clear" w:color="000000" w:fill="000000"/>
            <w:vAlign w:val="bottom"/>
            <w:hideMark/>
          </w:tcPr>
          <w:p w14:paraId="39BAE60C"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725" w:type="pct"/>
            <w:tcBorders>
              <w:top w:val="single" w:sz="4" w:space="0" w:color="auto"/>
              <w:left w:val="nil"/>
              <w:bottom w:val="single" w:sz="4" w:space="0" w:color="auto"/>
              <w:right w:val="single" w:sz="4" w:space="0" w:color="auto"/>
            </w:tcBorders>
            <w:shd w:val="clear" w:color="000000" w:fill="000000"/>
            <w:vAlign w:val="bottom"/>
            <w:hideMark/>
          </w:tcPr>
          <w:p w14:paraId="52183E17"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728" w:type="pct"/>
            <w:tcBorders>
              <w:top w:val="single" w:sz="4" w:space="0" w:color="auto"/>
              <w:left w:val="nil"/>
              <w:bottom w:val="single" w:sz="4" w:space="0" w:color="auto"/>
              <w:right w:val="single" w:sz="4" w:space="0" w:color="auto"/>
            </w:tcBorders>
            <w:vAlign w:val="bottom"/>
            <w:hideMark/>
          </w:tcPr>
          <w:p w14:paraId="0712C922"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r>
      <w:tr w:rsidR="00A74C68" w:rsidRPr="00471CBA" w14:paraId="613C6E03" w14:textId="77777777" w:rsidTr="00A74C68">
        <w:trPr>
          <w:divId w:val="10369389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76D0735C" w14:textId="77777777" w:rsidR="00A74C68" w:rsidRPr="00471CBA" w:rsidRDefault="00A74C68" w:rsidP="00A74C68">
            <w:pPr>
              <w:rPr>
                <w:color w:val="000000"/>
                <w:sz w:val="14"/>
                <w:szCs w:val="14"/>
                <w:lang w:eastAsia="tr-TR"/>
              </w:rPr>
            </w:pPr>
            <w:r w:rsidRPr="00471CBA">
              <w:rPr>
                <w:color w:val="000000"/>
                <w:sz w:val="14"/>
                <w:szCs w:val="14"/>
                <w:lang w:eastAsia="tr-TR"/>
              </w:rPr>
              <w:t>28</w:t>
            </w:r>
          </w:p>
        </w:tc>
        <w:tc>
          <w:tcPr>
            <w:tcW w:w="1656" w:type="pct"/>
            <w:tcBorders>
              <w:top w:val="single" w:sz="4" w:space="0" w:color="auto"/>
              <w:left w:val="nil"/>
              <w:bottom w:val="single" w:sz="4" w:space="0" w:color="auto"/>
              <w:right w:val="single" w:sz="4" w:space="0" w:color="auto"/>
            </w:tcBorders>
            <w:vAlign w:val="center"/>
            <w:hideMark/>
          </w:tcPr>
          <w:p w14:paraId="35E67E0B" w14:textId="77777777" w:rsidR="00A74C68" w:rsidRPr="00471CBA" w:rsidRDefault="00A74C68" w:rsidP="00A74C68">
            <w:pPr>
              <w:rPr>
                <w:color w:val="000000"/>
                <w:sz w:val="14"/>
                <w:szCs w:val="14"/>
                <w:lang w:eastAsia="tr-TR"/>
              </w:rPr>
            </w:pPr>
            <w:r w:rsidRPr="00471CBA">
              <w:rPr>
                <w:color w:val="000000"/>
                <w:sz w:val="14"/>
                <w:szCs w:val="14"/>
                <w:lang w:eastAsia="tr-TR"/>
              </w:rPr>
              <w:t>Türev sözleşmelerin başlangıç teminatı veya merkezi karşı tarafa verilen garanti fonu</w:t>
            </w:r>
          </w:p>
        </w:tc>
        <w:tc>
          <w:tcPr>
            <w:tcW w:w="603" w:type="pct"/>
            <w:tcBorders>
              <w:top w:val="single" w:sz="4" w:space="0" w:color="auto"/>
              <w:left w:val="nil"/>
              <w:bottom w:val="single" w:sz="4" w:space="0" w:color="auto"/>
              <w:right w:val="single" w:sz="4" w:space="0" w:color="auto"/>
            </w:tcBorders>
            <w:shd w:val="clear" w:color="000000" w:fill="000000"/>
            <w:vAlign w:val="bottom"/>
            <w:hideMark/>
          </w:tcPr>
          <w:p w14:paraId="667E3BF1"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1861" w:type="pct"/>
            <w:gridSpan w:val="3"/>
            <w:tcBorders>
              <w:top w:val="single" w:sz="4" w:space="0" w:color="auto"/>
              <w:left w:val="nil"/>
              <w:bottom w:val="single" w:sz="4" w:space="0" w:color="auto"/>
              <w:right w:val="single" w:sz="4" w:space="0" w:color="auto"/>
            </w:tcBorders>
            <w:vAlign w:val="bottom"/>
            <w:hideMark/>
          </w:tcPr>
          <w:p w14:paraId="13CE857D" w14:textId="77777777" w:rsidR="00A74C68" w:rsidRPr="00471CBA" w:rsidRDefault="00A74C68" w:rsidP="00A74C68">
            <w:pPr>
              <w:jc w:val="center"/>
              <w:rPr>
                <w:color w:val="000000"/>
                <w:sz w:val="14"/>
                <w:szCs w:val="14"/>
                <w:lang w:eastAsia="tr-TR"/>
              </w:rPr>
            </w:pPr>
            <w:r w:rsidRPr="00471CBA">
              <w:rPr>
                <w:color w:val="000000"/>
                <w:sz w:val="14"/>
                <w:szCs w:val="14"/>
                <w:lang w:eastAsia="tr-TR"/>
              </w:rPr>
              <w:t>5.558.973</w:t>
            </w:r>
          </w:p>
        </w:tc>
        <w:tc>
          <w:tcPr>
            <w:tcW w:w="728" w:type="pct"/>
            <w:tcBorders>
              <w:top w:val="single" w:sz="4" w:space="0" w:color="auto"/>
              <w:left w:val="nil"/>
              <w:bottom w:val="single" w:sz="4" w:space="0" w:color="auto"/>
              <w:right w:val="single" w:sz="4" w:space="0" w:color="auto"/>
            </w:tcBorders>
            <w:vAlign w:val="bottom"/>
            <w:hideMark/>
          </w:tcPr>
          <w:p w14:paraId="74E3C654" w14:textId="77777777" w:rsidR="00A74C68" w:rsidRPr="00471CBA" w:rsidRDefault="00A74C68" w:rsidP="00A74C68">
            <w:pPr>
              <w:jc w:val="right"/>
              <w:rPr>
                <w:color w:val="000000"/>
                <w:sz w:val="14"/>
                <w:szCs w:val="14"/>
                <w:lang w:eastAsia="tr-TR"/>
              </w:rPr>
            </w:pPr>
            <w:r w:rsidRPr="00471CBA">
              <w:rPr>
                <w:color w:val="000000"/>
                <w:sz w:val="14"/>
                <w:szCs w:val="14"/>
                <w:lang w:eastAsia="tr-TR"/>
              </w:rPr>
              <w:t>4.725.128</w:t>
            </w:r>
          </w:p>
        </w:tc>
      </w:tr>
      <w:tr w:rsidR="00A74C68" w:rsidRPr="00471CBA" w14:paraId="2AE0794E" w14:textId="77777777" w:rsidTr="00A74C68">
        <w:trPr>
          <w:divId w:val="10369389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66555FB3" w14:textId="77777777" w:rsidR="00A74C68" w:rsidRPr="00471CBA" w:rsidRDefault="00A74C68" w:rsidP="00A74C68">
            <w:pPr>
              <w:rPr>
                <w:color w:val="000000"/>
                <w:sz w:val="14"/>
                <w:szCs w:val="14"/>
                <w:lang w:eastAsia="tr-TR"/>
              </w:rPr>
            </w:pPr>
            <w:r w:rsidRPr="00471CBA">
              <w:rPr>
                <w:color w:val="000000"/>
                <w:sz w:val="14"/>
                <w:szCs w:val="14"/>
                <w:lang w:eastAsia="tr-TR"/>
              </w:rPr>
              <w:t>29</w:t>
            </w:r>
          </w:p>
        </w:tc>
        <w:tc>
          <w:tcPr>
            <w:tcW w:w="1656" w:type="pct"/>
            <w:tcBorders>
              <w:top w:val="single" w:sz="4" w:space="0" w:color="auto"/>
              <w:left w:val="nil"/>
              <w:bottom w:val="single" w:sz="4" w:space="0" w:color="auto"/>
              <w:right w:val="single" w:sz="4" w:space="0" w:color="auto"/>
            </w:tcBorders>
            <w:vAlign w:val="center"/>
            <w:hideMark/>
          </w:tcPr>
          <w:p w14:paraId="74454478" w14:textId="77777777" w:rsidR="00A74C68" w:rsidRPr="00471CBA" w:rsidRDefault="00A74C68" w:rsidP="00A74C68">
            <w:pPr>
              <w:rPr>
                <w:color w:val="000000"/>
                <w:sz w:val="14"/>
                <w:szCs w:val="14"/>
                <w:lang w:eastAsia="tr-TR"/>
              </w:rPr>
            </w:pPr>
            <w:r w:rsidRPr="00471CBA">
              <w:rPr>
                <w:color w:val="000000"/>
                <w:sz w:val="14"/>
                <w:szCs w:val="14"/>
                <w:lang w:eastAsia="tr-TR"/>
              </w:rPr>
              <w:t>Türev varlıklar</w:t>
            </w:r>
          </w:p>
        </w:tc>
        <w:tc>
          <w:tcPr>
            <w:tcW w:w="603" w:type="pct"/>
            <w:tcBorders>
              <w:top w:val="single" w:sz="4" w:space="0" w:color="auto"/>
              <w:left w:val="nil"/>
              <w:bottom w:val="single" w:sz="4" w:space="0" w:color="auto"/>
              <w:right w:val="single" w:sz="4" w:space="0" w:color="auto"/>
            </w:tcBorders>
            <w:shd w:val="clear" w:color="000000" w:fill="000000"/>
            <w:vAlign w:val="bottom"/>
            <w:hideMark/>
          </w:tcPr>
          <w:p w14:paraId="2060A5C2"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1861" w:type="pct"/>
            <w:gridSpan w:val="3"/>
            <w:tcBorders>
              <w:top w:val="single" w:sz="4" w:space="0" w:color="auto"/>
              <w:left w:val="nil"/>
              <w:bottom w:val="single" w:sz="4" w:space="0" w:color="auto"/>
              <w:right w:val="single" w:sz="4" w:space="0" w:color="auto"/>
            </w:tcBorders>
            <w:vAlign w:val="bottom"/>
            <w:hideMark/>
          </w:tcPr>
          <w:p w14:paraId="36C3C830" w14:textId="77777777" w:rsidR="00A74C68" w:rsidRPr="00471CBA" w:rsidRDefault="00A74C68" w:rsidP="00A74C68">
            <w:pPr>
              <w:jc w:val="center"/>
              <w:rPr>
                <w:color w:val="000000"/>
                <w:sz w:val="14"/>
                <w:szCs w:val="14"/>
                <w:lang w:eastAsia="tr-TR"/>
              </w:rPr>
            </w:pPr>
            <w:r w:rsidRPr="00471CBA">
              <w:rPr>
                <w:color w:val="000000"/>
                <w:sz w:val="14"/>
                <w:szCs w:val="14"/>
                <w:lang w:eastAsia="tr-TR"/>
              </w:rPr>
              <w:t>1.626.604</w:t>
            </w:r>
          </w:p>
        </w:tc>
        <w:tc>
          <w:tcPr>
            <w:tcW w:w="728" w:type="pct"/>
            <w:tcBorders>
              <w:top w:val="single" w:sz="4" w:space="0" w:color="auto"/>
              <w:left w:val="nil"/>
              <w:bottom w:val="single" w:sz="4" w:space="0" w:color="auto"/>
              <w:right w:val="single" w:sz="4" w:space="0" w:color="auto"/>
            </w:tcBorders>
            <w:vAlign w:val="bottom"/>
            <w:hideMark/>
          </w:tcPr>
          <w:p w14:paraId="0FE3A292" w14:textId="77777777" w:rsidR="00A74C68" w:rsidRPr="00471CBA" w:rsidRDefault="00A74C68" w:rsidP="00A74C68">
            <w:pPr>
              <w:jc w:val="right"/>
              <w:rPr>
                <w:color w:val="000000"/>
                <w:sz w:val="14"/>
                <w:szCs w:val="14"/>
                <w:lang w:eastAsia="tr-TR"/>
              </w:rPr>
            </w:pPr>
            <w:r w:rsidRPr="00471CBA">
              <w:rPr>
                <w:color w:val="000000"/>
                <w:sz w:val="14"/>
                <w:szCs w:val="14"/>
                <w:lang w:eastAsia="tr-TR"/>
              </w:rPr>
              <w:t>1.626.604</w:t>
            </w:r>
          </w:p>
        </w:tc>
      </w:tr>
      <w:tr w:rsidR="00A74C68" w:rsidRPr="00471CBA" w14:paraId="73DE72A6" w14:textId="77777777" w:rsidTr="00A74C68">
        <w:trPr>
          <w:divId w:val="10369389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009A7D02" w14:textId="77777777" w:rsidR="00A74C68" w:rsidRPr="00471CBA" w:rsidRDefault="00A74C68" w:rsidP="00A74C68">
            <w:pPr>
              <w:rPr>
                <w:color w:val="000000"/>
                <w:sz w:val="14"/>
                <w:szCs w:val="14"/>
                <w:lang w:eastAsia="tr-TR"/>
              </w:rPr>
            </w:pPr>
            <w:r w:rsidRPr="00471CBA">
              <w:rPr>
                <w:color w:val="000000"/>
                <w:sz w:val="14"/>
                <w:szCs w:val="14"/>
                <w:lang w:eastAsia="tr-TR"/>
              </w:rPr>
              <w:t>30</w:t>
            </w:r>
          </w:p>
        </w:tc>
        <w:tc>
          <w:tcPr>
            <w:tcW w:w="1656" w:type="pct"/>
            <w:tcBorders>
              <w:top w:val="single" w:sz="4" w:space="0" w:color="auto"/>
              <w:left w:val="nil"/>
              <w:bottom w:val="single" w:sz="4" w:space="0" w:color="auto"/>
              <w:right w:val="single" w:sz="4" w:space="0" w:color="auto"/>
            </w:tcBorders>
            <w:vAlign w:val="center"/>
            <w:hideMark/>
          </w:tcPr>
          <w:p w14:paraId="41BA56C5" w14:textId="77777777" w:rsidR="00A74C68" w:rsidRPr="00471CBA" w:rsidRDefault="00A74C68" w:rsidP="00A74C68">
            <w:pPr>
              <w:rPr>
                <w:color w:val="000000"/>
                <w:sz w:val="14"/>
                <w:szCs w:val="14"/>
                <w:lang w:eastAsia="tr-TR"/>
              </w:rPr>
            </w:pPr>
            <w:r w:rsidRPr="00471CBA">
              <w:rPr>
                <w:color w:val="000000"/>
                <w:sz w:val="14"/>
                <w:szCs w:val="14"/>
                <w:lang w:eastAsia="tr-TR"/>
              </w:rPr>
              <w:t>Türev yükümlülüklerin değişim teminatı düşülmeden önceki tutarı</w:t>
            </w:r>
          </w:p>
        </w:tc>
        <w:tc>
          <w:tcPr>
            <w:tcW w:w="603" w:type="pct"/>
            <w:tcBorders>
              <w:top w:val="single" w:sz="4" w:space="0" w:color="auto"/>
              <w:left w:val="nil"/>
              <w:bottom w:val="single" w:sz="4" w:space="0" w:color="auto"/>
              <w:right w:val="single" w:sz="4" w:space="0" w:color="auto"/>
            </w:tcBorders>
            <w:shd w:val="clear" w:color="000000" w:fill="000000"/>
            <w:vAlign w:val="bottom"/>
            <w:hideMark/>
          </w:tcPr>
          <w:p w14:paraId="249FA161"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1861" w:type="pct"/>
            <w:gridSpan w:val="3"/>
            <w:tcBorders>
              <w:top w:val="single" w:sz="4" w:space="0" w:color="auto"/>
              <w:left w:val="nil"/>
              <w:bottom w:val="single" w:sz="4" w:space="0" w:color="auto"/>
              <w:right w:val="single" w:sz="4" w:space="0" w:color="auto"/>
            </w:tcBorders>
            <w:vAlign w:val="bottom"/>
            <w:hideMark/>
          </w:tcPr>
          <w:p w14:paraId="1AFED511" w14:textId="77777777" w:rsidR="00A74C68" w:rsidRPr="00471CBA" w:rsidRDefault="00A74C68" w:rsidP="00A74C68">
            <w:pPr>
              <w:jc w:val="center"/>
              <w:rPr>
                <w:color w:val="000000"/>
                <w:sz w:val="14"/>
                <w:szCs w:val="14"/>
                <w:lang w:eastAsia="tr-TR"/>
              </w:rPr>
            </w:pPr>
            <w:r w:rsidRPr="00471CBA">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3D40A3F3"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r>
      <w:tr w:rsidR="00A74C68" w:rsidRPr="00471CBA" w14:paraId="30109F81" w14:textId="77777777" w:rsidTr="00A74C68">
        <w:trPr>
          <w:divId w:val="10369389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37E12E2F" w14:textId="77777777" w:rsidR="00A74C68" w:rsidRPr="00471CBA" w:rsidRDefault="00A74C68" w:rsidP="00A74C68">
            <w:pPr>
              <w:rPr>
                <w:color w:val="000000"/>
                <w:sz w:val="14"/>
                <w:szCs w:val="14"/>
                <w:lang w:eastAsia="tr-TR"/>
              </w:rPr>
            </w:pPr>
            <w:r w:rsidRPr="00471CBA">
              <w:rPr>
                <w:color w:val="000000"/>
                <w:sz w:val="14"/>
                <w:szCs w:val="14"/>
                <w:lang w:eastAsia="tr-TR"/>
              </w:rPr>
              <w:t>31</w:t>
            </w:r>
          </w:p>
        </w:tc>
        <w:tc>
          <w:tcPr>
            <w:tcW w:w="1656" w:type="pct"/>
            <w:tcBorders>
              <w:top w:val="single" w:sz="4" w:space="0" w:color="auto"/>
              <w:left w:val="nil"/>
              <w:bottom w:val="single" w:sz="4" w:space="0" w:color="auto"/>
              <w:right w:val="single" w:sz="4" w:space="0" w:color="auto"/>
            </w:tcBorders>
            <w:vAlign w:val="center"/>
            <w:hideMark/>
          </w:tcPr>
          <w:p w14:paraId="54B59FDC" w14:textId="77777777" w:rsidR="00A74C68" w:rsidRPr="00471CBA" w:rsidRDefault="00A74C68" w:rsidP="00A74C68">
            <w:pPr>
              <w:rPr>
                <w:color w:val="000000"/>
                <w:sz w:val="14"/>
                <w:szCs w:val="14"/>
                <w:lang w:eastAsia="tr-TR"/>
              </w:rPr>
            </w:pPr>
            <w:r w:rsidRPr="00471CBA">
              <w:rPr>
                <w:color w:val="000000"/>
                <w:sz w:val="14"/>
                <w:szCs w:val="14"/>
                <w:lang w:eastAsia="tr-TR"/>
              </w:rPr>
              <w:t>Yukarıda yer almayan diğer varlıklar</w:t>
            </w:r>
          </w:p>
        </w:tc>
        <w:tc>
          <w:tcPr>
            <w:tcW w:w="603" w:type="pct"/>
            <w:tcBorders>
              <w:top w:val="single" w:sz="4" w:space="0" w:color="auto"/>
              <w:left w:val="nil"/>
              <w:bottom w:val="single" w:sz="4" w:space="0" w:color="auto"/>
              <w:right w:val="single" w:sz="4" w:space="0" w:color="auto"/>
            </w:tcBorders>
            <w:vAlign w:val="bottom"/>
            <w:hideMark/>
          </w:tcPr>
          <w:p w14:paraId="56C28C25" w14:textId="77777777" w:rsidR="00A74C68" w:rsidRPr="00471CBA" w:rsidRDefault="00A74C68" w:rsidP="00A74C68">
            <w:pPr>
              <w:jc w:val="right"/>
              <w:rPr>
                <w:color w:val="000000"/>
                <w:sz w:val="14"/>
                <w:szCs w:val="14"/>
                <w:lang w:eastAsia="tr-TR"/>
              </w:rPr>
            </w:pPr>
            <w:r w:rsidRPr="00471CBA">
              <w:rPr>
                <w:color w:val="000000"/>
                <w:sz w:val="14"/>
                <w:szCs w:val="14"/>
                <w:lang w:eastAsia="tr-TR"/>
              </w:rPr>
              <w:t>713.128</w:t>
            </w:r>
          </w:p>
        </w:tc>
        <w:tc>
          <w:tcPr>
            <w:tcW w:w="557" w:type="pct"/>
            <w:tcBorders>
              <w:top w:val="single" w:sz="4" w:space="0" w:color="auto"/>
              <w:left w:val="nil"/>
              <w:bottom w:val="single" w:sz="4" w:space="0" w:color="auto"/>
              <w:right w:val="single" w:sz="4" w:space="0" w:color="auto"/>
            </w:tcBorders>
            <w:vAlign w:val="bottom"/>
            <w:hideMark/>
          </w:tcPr>
          <w:p w14:paraId="00873D63" w14:textId="77777777" w:rsidR="00A74C68" w:rsidRPr="00471CBA" w:rsidRDefault="00A74C68" w:rsidP="00A74C68">
            <w:pPr>
              <w:jc w:val="right"/>
              <w:rPr>
                <w:color w:val="000000"/>
                <w:sz w:val="14"/>
                <w:szCs w:val="14"/>
                <w:lang w:eastAsia="tr-TR"/>
              </w:rPr>
            </w:pPr>
            <w:r w:rsidRPr="00471CBA">
              <w:rPr>
                <w:color w:val="000000"/>
                <w:sz w:val="14"/>
                <w:szCs w:val="14"/>
                <w:lang w:eastAsia="tr-TR"/>
              </w:rPr>
              <w:t>544.468</w:t>
            </w:r>
          </w:p>
        </w:tc>
        <w:tc>
          <w:tcPr>
            <w:tcW w:w="579" w:type="pct"/>
            <w:tcBorders>
              <w:top w:val="single" w:sz="4" w:space="0" w:color="auto"/>
              <w:left w:val="nil"/>
              <w:bottom w:val="single" w:sz="4" w:space="0" w:color="auto"/>
              <w:right w:val="single" w:sz="4" w:space="0" w:color="auto"/>
            </w:tcBorders>
            <w:vAlign w:val="bottom"/>
            <w:hideMark/>
          </w:tcPr>
          <w:p w14:paraId="5F4ABF8D" w14:textId="77777777" w:rsidR="00A74C68" w:rsidRPr="00471CBA" w:rsidRDefault="00A74C68" w:rsidP="00A74C68">
            <w:pPr>
              <w:jc w:val="right"/>
              <w:rPr>
                <w:color w:val="000000"/>
                <w:sz w:val="14"/>
                <w:szCs w:val="14"/>
                <w:lang w:eastAsia="tr-TR"/>
              </w:rPr>
            </w:pPr>
            <w:r w:rsidRPr="00471CBA">
              <w:rPr>
                <w:color w:val="000000"/>
                <w:sz w:val="14"/>
                <w:szCs w:val="14"/>
                <w:lang w:eastAsia="tr-TR"/>
              </w:rPr>
              <w:t>446.432</w:t>
            </w:r>
          </w:p>
        </w:tc>
        <w:tc>
          <w:tcPr>
            <w:tcW w:w="725" w:type="pct"/>
            <w:tcBorders>
              <w:top w:val="single" w:sz="4" w:space="0" w:color="auto"/>
              <w:left w:val="nil"/>
              <w:bottom w:val="single" w:sz="4" w:space="0" w:color="auto"/>
              <w:right w:val="single" w:sz="4" w:space="0" w:color="auto"/>
            </w:tcBorders>
            <w:vAlign w:val="bottom"/>
            <w:hideMark/>
          </w:tcPr>
          <w:p w14:paraId="51A37417" w14:textId="77777777" w:rsidR="00A74C68" w:rsidRPr="00471CBA" w:rsidRDefault="00A74C68" w:rsidP="00A74C68">
            <w:pPr>
              <w:jc w:val="right"/>
              <w:rPr>
                <w:color w:val="000000"/>
                <w:sz w:val="14"/>
                <w:szCs w:val="14"/>
                <w:lang w:eastAsia="tr-TR"/>
              </w:rPr>
            </w:pPr>
            <w:r w:rsidRPr="00471CBA">
              <w:rPr>
                <w:color w:val="000000"/>
                <w:sz w:val="14"/>
                <w:szCs w:val="14"/>
                <w:lang w:eastAsia="tr-TR"/>
              </w:rPr>
              <w:t>4.867.929</w:t>
            </w:r>
          </w:p>
        </w:tc>
        <w:tc>
          <w:tcPr>
            <w:tcW w:w="728" w:type="pct"/>
            <w:tcBorders>
              <w:top w:val="single" w:sz="4" w:space="0" w:color="auto"/>
              <w:left w:val="nil"/>
              <w:bottom w:val="single" w:sz="4" w:space="0" w:color="auto"/>
              <w:right w:val="single" w:sz="4" w:space="0" w:color="auto"/>
            </w:tcBorders>
            <w:vAlign w:val="bottom"/>
            <w:hideMark/>
          </w:tcPr>
          <w:p w14:paraId="06A982EE" w14:textId="77777777" w:rsidR="00A74C68" w:rsidRPr="00471CBA" w:rsidRDefault="00A74C68" w:rsidP="00A74C68">
            <w:pPr>
              <w:jc w:val="right"/>
              <w:rPr>
                <w:color w:val="000000"/>
                <w:sz w:val="14"/>
                <w:szCs w:val="14"/>
                <w:lang w:eastAsia="tr-TR"/>
              </w:rPr>
            </w:pPr>
            <w:r w:rsidRPr="00471CBA">
              <w:rPr>
                <w:color w:val="000000"/>
                <w:sz w:val="14"/>
                <w:szCs w:val="14"/>
                <w:lang w:eastAsia="tr-TR"/>
              </w:rPr>
              <w:t>6.571.957</w:t>
            </w:r>
          </w:p>
        </w:tc>
      </w:tr>
      <w:tr w:rsidR="00A74C68" w:rsidRPr="00471CBA" w14:paraId="27C37BF2" w14:textId="77777777" w:rsidTr="00A74C68">
        <w:trPr>
          <w:divId w:val="10369389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08C3F6CD" w14:textId="77777777" w:rsidR="00A74C68" w:rsidRPr="00471CBA" w:rsidRDefault="00A74C68" w:rsidP="00A74C68">
            <w:pPr>
              <w:rPr>
                <w:color w:val="000000"/>
                <w:sz w:val="14"/>
                <w:szCs w:val="14"/>
                <w:lang w:eastAsia="tr-TR"/>
              </w:rPr>
            </w:pPr>
            <w:r w:rsidRPr="00471CBA">
              <w:rPr>
                <w:color w:val="000000"/>
                <w:sz w:val="14"/>
                <w:szCs w:val="14"/>
                <w:lang w:eastAsia="tr-TR"/>
              </w:rPr>
              <w:t>32</w:t>
            </w:r>
          </w:p>
        </w:tc>
        <w:tc>
          <w:tcPr>
            <w:tcW w:w="1656" w:type="pct"/>
            <w:tcBorders>
              <w:top w:val="single" w:sz="4" w:space="0" w:color="auto"/>
              <w:left w:val="nil"/>
              <w:bottom w:val="single" w:sz="4" w:space="0" w:color="auto"/>
              <w:right w:val="single" w:sz="4" w:space="0" w:color="auto"/>
            </w:tcBorders>
            <w:vAlign w:val="center"/>
            <w:hideMark/>
          </w:tcPr>
          <w:p w14:paraId="60DFCF44" w14:textId="77777777" w:rsidR="00A74C68" w:rsidRPr="00471CBA" w:rsidRDefault="00A74C68" w:rsidP="00A74C68">
            <w:pPr>
              <w:rPr>
                <w:color w:val="000000"/>
                <w:sz w:val="14"/>
                <w:szCs w:val="14"/>
                <w:lang w:eastAsia="tr-TR"/>
              </w:rPr>
            </w:pPr>
            <w:r w:rsidRPr="00471CBA">
              <w:rPr>
                <w:color w:val="000000"/>
                <w:sz w:val="14"/>
                <w:szCs w:val="14"/>
                <w:lang w:eastAsia="tr-TR"/>
              </w:rPr>
              <w:t>Bilanço dışı borçlar</w:t>
            </w:r>
          </w:p>
        </w:tc>
        <w:tc>
          <w:tcPr>
            <w:tcW w:w="603" w:type="pct"/>
            <w:tcBorders>
              <w:top w:val="single" w:sz="4" w:space="0" w:color="auto"/>
              <w:left w:val="nil"/>
              <w:bottom w:val="single" w:sz="4" w:space="0" w:color="auto"/>
              <w:right w:val="single" w:sz="4" w:space="0" w:color="auto"/>
            </w:tcBorders>
            <w:shd w:val="clear" w:color="000000" w:fill="000000"/>
            <w:vAlign w:val="bottom"/>
            <w:hideMark/>
          </w:tcPr>
          <w:p w14:paraId="051F57C5"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557" w:type="pct"/>
            <w:tcBorders>
              <w:top w:val="single" w:sz="4" w:space="0" w:color="auto"/>
              <w:left w:val="nil"/>
              <w:bottom w:val="single" w:sz="4" w:space="0" w:color="auto"/>
              <w:right w:val="single" w:sz="4" w:space="0" w:color="auto"/>
            </w:tcBorders>
            <w:vAlign w:val="bottom"/>
            <w:hideMark/>
          </w:tcPr>
          <w:p w14:paraId="1E76E1E8" w14:textId="77777777" w:rsidR="00A74C68" w:rsidRPr="00471CBA" w:rsidRDefault="00A74C68" w:rsidP="00A74C68">
            <w:pPr>
              <w:jc w:val="right"/>
              <w:rPr>
                <w:color w:val="000000"/>
                <w:sz w:val="14"/>
                <w:szCs w:val="14"/>
                <w:lang w:eastAsia="tr-TR"/>
              </w:rPr>
            </w:pPr>
            <w:r w:rsidRPr="00471CBA">
              <w:rPr>
                <w:color w:val="000000"/>
                <w:sz w:val="14"/>
                <w:szCs w:val="14"/>
                <w:lang w:eastAsia="tr-TR"/>
              </w:rPr>
              <w:t>7.100.168</w:t>
            </w:r>
          </w:p>
        </w:tc>
        <w:tc>
          <w:tcPr>
            <w:tcW w:w="579" w:type="pct"/>
            <w:tcBorders>
              <w:top w:val="single" w:sz="4" w:space="0" w:color="auto"/>
              <w:left w:val="nil"/>
              <w:bottom w:val="single" w:sz="4" w:space="0" w:color="auto"/>
              <w:right w:val="single" w:sz="4" w:space="0" w:color="auto"/>
            </w:tcBorders>
            <w:vAlign w:val="bottom"/>
            <w:hideMark/>
          </w:tcPr>
          <w:p w14:paraId="51C543BE" w14:textId="77777777" w:rsidR="00A74C68" w:rsidRPr="00471CBA" w:rsidRDefault="00A74C68" w:rsidP="00A74C68">
            <w:pPr>
              <w:jc w:val="right"/>
              <w:rPr>
                <w:color w:val="000000"/>
                <w:sz w:val="14"/>
                <w:szCs w:val="14"/>
                <w:lang w:eastAsia="tr-TR"/>
              </w:rPr>
            </w:pPr>
            <w:r w:rsidRPr="00471CBA">
              <w:rPr>
                <w:color w:val="000000"/>
                <w:sz w:val="14"/>
                <w:szCs w:val="14"/>
                <w:lang w:eastAsia="tr-TR"/>
              </w:rPr>
              <w:t>5.508.209</w:t>
            </w:r>
          </w:p>
        </w:tc>
        <w:tc>
          <w:tcPr>
            <w:tcW w:w="725" w:type="pct"/>
            <w:tcBorders>
              <w:top w:val="single" w:sz="4" w:space="0" w:color="auto"/>
              <w:left w:val="nil"/>
              <w:bottom w:val="single" w:sz="4" w:space="0" w:color="auto"/>
              <w:right w:val="single" w:sz="4" w:space="0" w:color="auto"/>
            </w:tcBorders>
            <w:vAlign w:val="bottom"/>
            <w:hideMark/>
          </w:tcPr>
          <w:p w14:paraId="17C4AE49" w14:textId="77777777" w:rsidR="00A74C68" w:rsidRPr="00471CBA" w:rsidRDefault="00A74C68" w:rsidP="00A74C68">
            <w:pPr>
              <w:jc w:val="right"/>
              <w:rPr>
                <w:color w:val="000000"/>
                <w:sz w:val="14"/>
                <w:szCs w:val="14"/>
                <w:lang w:eastAsia="tr-TR"/>
              </w:rPr>
            </w:pPr>
            <w:r w:rsidRPr="00471CBA">
              <w:rPr>
                <w:color w:val="000000"/>
                <w:sz w:val="14"/>
                <w:szCs w:val="14"/>
                <w:lang w:eastAsia="tr-TR"/>
              </w:rPr>
              <w:t>13.290.257</w:t>
            </w:r>
          </w:p>
        </w:tc>
        <w:tc>
          <w:tcPr>
            <w:tcW w:w="728" w:type="pct"/>
            <w:tcBorders>
              <w:top w:val="single" w:sz="4" w:space="0" w:color="auto"/>
              <w:left w:val="nil"/>
              <w:bottom w:val="single" w:sz="4" w:space="0" w:color="auto"/>
              <w:right w:val="single" w:sz="4" w:space="0" w:color="auto"/>
            </w:tcBorders>
            <w:vAlign w:val="bottom"/>
            <w:hideMark/>
          </w:tcPr>
          <w:p w14:paraId="6F5EED53" w14:textId="77777777" w:rsidR="00A74C68" w:rsidRPr="00471CBA" w:rsidRDefault="00A74C68" w:rsidP="00A74C68">
            <w:pPr>
              <w:jc w:val="right"/>
              <w:rPr>
                <w:color w:val="000000"/>
                <w:sz w:val="14"/>
                <w:szCs w:val="14"/>
                <w:lang w:eastAsia="tr-TR"/>
              </w:rPr>
            </w:pPr>
            <w:r w:rsidRPr="00471CBA">
              <w:rPr>
                <w:color w:val="000000"/>
                <w:sz w:val="14"/>
                <w:szCs w:val="14"/>
                <w:lang w:eastAsia="tr-TR"/>
              </w:rPr>
              <w:t>1.294.932</w:t>
            </w:r>
          </w:p>
        </w:tc>
      </w:tr>
      <w:tr w:rsidR="00A74C68" w:rsidRPr="00471CBA" w14:paraId="2A507D08" w14:textId="77777777" w:rsidTr="00A74C68">
        <w:trPr>
          <w:divId w:val="10369389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1176B0E2" w14:textId="77777777" w:rsidR="00A74C68" w:rsidRPr="00471CBA" w:rsidRDefault="00A74C68" w:rsidP="00A74C68">
            <w:pPr>
              <w:rPr>
                <w:color w:val="000000"/>
                <w:sz w:val="14"/>
                <w:szCs w:val="14"/>
                <w:lang w:eastAsia="tr-TR"/>
              </w:rPr>
            </w:pPr>
            <w:r w:rsidRPr="00471CBA">
              <w:rPr>
                <w:color w:val="000000"/>
                <w:sz w:val="14"/>
                <w:szCs w:val="14"/>
                <w:lang w:eastAsia="tr-TR"/>
              </w:rPr>
              <w:t>33</w:t>
            </w:r>
          </w:p>
        </w:tc>
        <w:tc>
          <w:tcPr>
            <w:tcW w:w="1656" w:type="pct"/>
            <w:tcBorders>
              <w:top w:val="single" w:sz="4" w:space="0" w:color="auto"/>
              <w:left w:val="nil"/>
              <w:bottom w:val="single" w:sz="4" w:space="0" w:color="auto"/>
              <w:right w:val="single" w:sz="4" w:space="0" w:color="auto"/>
            </w:tcBorders>
            <w:vAlign w:val="center"/>
            <w:hideMark/>
          </w:tcPr>
          <w:p w14:paraId="116C89E6" w14:textId="77777777" w:rsidR="00A74C68" w:rsidRPr="00471CBA" w:rsidRDefault="00A74C68" w:rsidP="00A74C68">
            <w:pPr>
              <w:rPr>
                <w:b/>
                <w:bCs/>
                <w:color w:val="000000"/>
                <w:sz w:val="14"/>
                <w:szCs w:val="14"/>
                <w:lang w:eastAsia="tr-TR"/>
              </w:rPr>
            </w:pPr>
            <w:r w:rsidRPr="00471CBA">
              <w:rPr>
                <w:b/>
                <w:bCs/>
                <w:color w:val="000000"/>
                <w:sz w:val="14"/>
                <w:szCs w:val="14"/>
                <w:lang w:eastAsia="tr-TR"/>
              </w:rPr>
              <w:t>Gerekli İstikrarlı Fon</w:t>
            </w:r>
          </w:p>
        </w:tc>
        <w:tc>
          <w:tcPr>
            <w:tcW w:w="603" w:type="pct"/>
            <w:tcBorders>
              <w:top w:val="single" w:sz="4" w:space="0" w:color="auto"/>
              <w:left w:val="nil"/>
              <w:bottom w:val="single" w:sz="4" w:space="0" w:color="auto"/>
              <w:right w:val="single" w:sz="4" w:space="0" w:color="auto"/>
            </w:tcBorders>
            <w:shd w:val="clear" w:color="000000" w:fill="000000"/>
            <w:vAlign w:val="bottom"/>
            <w:hideMark/>
          </w:tcPr>
          <w:p w14:paraId="0BF2EE16"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557" w:type="pct"/>
            <w:tcBorders>
              <w:top w:val="single" w:sz="4" w:space="0" w:color="auto"/>
              <w:left w:val="nil"/>
              <w:bottom w:val="single" w:sz="4" w:space="0" w:color="auto"/>
              <w:right w:val="single" w:sz="4" w:space="0" w:color="auto"/>
            </w:tcBorders>
            <w:shd w:val="clear" w:color="000000" w:fill="000000"/>
            <w:vAlign w:val="bottom"/>
            <w:hideMark/>
          </w:tcPr>
          <w:p w14:paraId="01A477F2"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579" w:type="pct"/>
            <w:tcBorders>
              <w:top w:val="single" w:sz="4" w:space="0" w:color="auto"/>
              <w:left w:val="nil"/>
              <w:bottom w:val="single" w:sz="4" w:space="0" w:color="auto"/>
              <w:right w:val="single" w:sz="4" w:space="0" w:color="auto"/>
            </w:tcBorders>
            <w:shd w:val="clear" w:color="000000" w:fill="000000"/>
            <w:vAlign w:val="bottom"/>
            <w:hideMark/>
          </w:tcPr>
          <w:p w14:paraId="1D9A2A00"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725" w:type="pct"/>
            <w:tcBorders>
              <w:top w:val="single" w:sz="4" w:space="0" w:color="auto"/>
              <w:left w:val="nil"/>
              <w:bottom w:val="single" w:sz="4" w:space="0" w:color="auto"/>
              <w:right w:val="single" w:sz="4" w:space="0" w:color="auto"/>
            </w:tcBorders>
            <w:shd w:val="clear" w:color="000000" w:fill="000000"/>
            <w:vAlign w:val="bottom"/>
            <w:hideMark/>
          </w:tcPr>
          <w:p w14:paraId="3E4A067C"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728" w:type="pct"/>
            <w:tcBorders>
              <w:top w:val="single" w:sz="4" w:space="0" w:color="auto"/>
              <w:left w:val="nil"/>
              <w:bottom w:val="single" w:sz="4" w:space="0" w:color="auto"/>
              <w:right w:val="single" w:sz="4" w:space="0" w:color="auto"/>
            </w:tcBorders>
            <w:vAlign w:val="bottom"/>
            <w:hideMark/>
          </w:tcPr>
          <w:p w14:paraId="38E7A923" w14:textId="77777777" w:rsidR="00A74C68" w:rsidRPr="00471CBA" w:rsidRDefault="00A74C68" w:rsidP="00A74C68">
            <w:pPr>
              <w:jc w:val="right"/>
              <w:rPr>
                <w:b/>
                <w:bCs/>
                <w:color w:val="000000"/>
                <w:sz w:val="14"/>
                <w:szCs w:val="14"/>
                <w:lang w:eastAsia="tr-TR"/>
              </w:rPr>
            </w:pPr>
            <w:r w:rsidRPr="00471CBA">
              <w:rPr>
                <w:b/>
                <w:bCs/>
                <w:color w:val="000000"/>
                <w:sz w:val="14"/>
                <w:szCs w:val="14"/>
                <w:lang w:eastAsia="tr-TR"/>
              </w:rPr>
              <w:t>39.034.146</w:t>
            </w:r>
          </w:p>
        </w:tc>
      </w:tr>
      <w:tr w:rsidR="00A74C68" w:rsidRPr="00471CBA" w14:paraId="3339C7F5" w14:textId="77777777" w:rsidTr="00A74C68">
        <w:trPr>
          <w:divId w:val="10369389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6CD96329" w14:textId="77777777" w:rsidR="00A74C68" w:rsidRPr="00471CBA" w:rsidRDefault="00A74C68" w:rsidP="00A74C68">
            <w:pPr>
              <w:rPr>
                <w:color w:val="000000"/>
                <w:sz w:val="14"/>
                <w:szCs w:val="14"/>
                <w:lang w:eastAsia="tr-TR"/>
              </w:rPr>
            </w:pPr>
            <w:r w:rsidRPr="00471CBA">
              <w:rPr>
                <w:color w:val="000000"/>
                <w:sz w:val="14"/>
                <w:szCs w:val="14"/>
                <w:lang w:eastAsia="tr-TR"/>
              </w:rPr>
              <w:t>34</w:t>
            </w:r>
          </w:p>
        </w:tc>
        <w:tc>
          <w:tcPr>
            <w:tcW w:w="1656" w:type="pct"/>
            <w:tcBorders>
              <w:top w:val="single" w:sz="4" w:space="0" w:color="auto"/>
              <w:left w:val="nil"/>
              <w:bottom w:val="single" w:sz="4" w:space="0" w:color="auto"/>
              <w:right w:val="single" w:sz="4" w:space="0" w:color="auto"/>
            </w:tcBorders>
            <w:vAlign w:val="center"/>
            <w:hideMark/>
          </w:tcPr>
          <w:p w14:paraId="6ABE1221" w14:textId="77777777" w:rsidR="00A74C68" w:rsidRPr="00471CBA" w:rsidRDefault="00A74C68" w:rsidP="00A74C68">
            <w:pPr>
              <w:rPr>
                <w:b/>
                <w:bCs/>
                <w:color w:val="000000"/>
                <w:sz w:val="14"/>
                <w:szCs w:val="14"/>
                <w:vertAlign w:val="superscript"/>
                <w:lang w:eastAsia="tr-TR"/>
              </w:rPr>
            </w:pPr>
            <w:r w:rsidRPr="00471CBA">
              <w:rPr>
                <w:b/>
                <w:bCs/>
                <w:color w:val="000000"/>
                <w:sz w:val="14"/>
                <w:szCs w:val="14"/>
                <w:lang w:eastAsia="tr-TR"/>
              </w:rPr>
              <w:t>Net İstikrarlı Fonlama Oranı (%)</w:t>
            </w:r>
          </w:p>
        </w:tc>
        <w:tc>
          <w:tcPr>
            <w:tcW w:w="603" w:type="pct"/>
            <w:tcBorders>
              <w:top w:val="single" w:sz="4" w:space="0" w:color="auto"/>
              <w:left w:val="nil"/>
              <w:bottom w:val="single" w:sz="4" w:space="0" w:color="auto"/>
              <w:right w:val="single" w:sz="4" w:space="0" w:color="auto"/>
            </w:tcBorders>
            <w:shd w:val="clear" w:color="000000" w:fill="000000"/>
            <w:vAlign w:val="center"/>
            <w:hideMark/>
          </w:tcPr>
          <w:p w14:paraId="18CA6E1B"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557" w:type="pct"/>
            <w:tcBorders>
              <w:top w:val="single" w:sz="4" w:space="0" w:color="auto"/>
              <w:left w:val="nil"/>
              <w:bottom w:val="single" w:sz="4" w:space="0" w:color="auto"/>
              <w:right w:val="single" w:sz="4" w:space="0" w:color="auto"/>
            </w:tcBorders>
            <w:shd w:val="clear" w:color="000000" w:fill="000000"/>
            <w:vAlign w:val="center"/>
            <w:hideMark/>
          </w:tcPr>
          <w:p w14:paraId="28EECDCA"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579" w:type="pct"/>
            <w:tcBorders>
              <w:top w:val="single" w:sz="4" w:space="0" w:color="auto"/>
              <w:left w:val="nil"/>
              <w:bottom w:val="single" w:sz="4" w:space="0" w:color="auto"/>
              <w:right w:val="single" w:sz="4" w:space="0" w:color="auto"/>
            </w:tcBorders>
            <w:shd w:val="clear" w:color="000000" w:fill="000000"/>
            <w:vAlign w:val="center"/>
            <w:hideMark/>
          </w:tcPr>
          <w:p w14:paraId="6C5978E6"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725" w:type="pct"/>
            <w:tcBorders>
              <w:top w:val="single" w:sz="4" w:space="0" w:color="auto"/>
              <w:left w:val="nil"/>
              <w:bottom w:val="single" w:sz="4" w:space="0" w:color="auto"/>
              <w:right w:val="single" w:sz="4" w:space="0" w:color="auto"/>
            </w:tcBorders>
            <w:shd w:val="clear" w:color="000000" w:fill="000000"/>
            <w:vAlign w:val="center"/>
            <w:hideMark/>
          </w:tcPr>
          <w:p w14:paraId="3F800A70"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728" w:type="pct"/>
            <w:tcBorders>
              <w:top w:val="single" w:sz="4" w:space="0" w:color="auto"/>
              <w:left w:val="nil"/>
              <w:bottom w:val="single" w:sz="4" w:space="0" w:color="auto"/>
              <w:right w:val="single" w:sz="4" w:space="0" w:color="auto"/>
            </w:tcBorders>
            <w:vAlign w:val="center"/>
            <w:hideMark/>
          </w:tcPr>
          <w:p w14:paraId="2E1D4055" w14:textId="77777777" w:rsidR="00A74C68" w:rsidRPr="00471CBA" w:rsidRDefault="00A74C68" w:rsidP="00A74C68">
            <w:pPr>
              <w:jc w:val="right"/>
              <w:rPr>
                <w:b/>
                <w:bCs/>
                <w:color w:val="000000"/>
                <w:sz w:val="14"/>
                <w:szCs w:val="14"/>
                <w:lang w:eastAsia="tr-TR"/>
              </w:rPr>
            </w:pPr>
            <w:r w:rsidRPr="00471CBA">
              <w:rPr>
                <w:b/>
                <w:bCs/>
                <w:color w:val="000000"/>
                <w:sz w:val="14"/>
                <w:szCs w:val="14"/>
                <w:lang w:eastAsia="tr-TR"/>
              </w:rPr>
              <w:t>143,32</w:t>
            </w:r>
          </w:p>
        </w:tc>
      </w:tr>
    </w:tbl>
    <w:p w14:paraId="29ADE6D9" w14:textId="0F561881" w:rsidR="00193487" w:rsidRPr="00471CBA" w:rsidRDefault="0059723F" w:rsidP="009F6E11">
      <w:pPr>
        <w:widowControl w:val="0"/>
        <w:rPr>
          <w:b/>
          <w:sz w:val="6"/>
          <w:szCs w:val="6"/>
        </w:rPr>
      </w:pPr>
      <w:r w:rsidRPr="00471CBA">
        <w:rPr>
          <w:b/>
          <w:sz w:val="6"/>
          <w:szCs w:val="6"/>
        </w:rPr>
        <w:tab/>
      </w:r>
      <w:r w:rsidR="00193487" w:rsidRPr="00471CBA">
        <w:rPr>
          <w:b/>
          <w:sz w:val="6"/>
          <w:szCs w:val="6"/>
        </w:rPr>
        <w:br w:type="page"/>
      </w:r>
    </w:p>
    <w:p w14:paraId="31F6768D" w14:textId="77777777" w:rsidR="00193487" w:rsidRPr="00471CBA" w:rsidRDefault="00193487" w:rsidP="00B252B3">
      <w:pPr>
        <w:pStyle w:val="GvdeMetniGirintisi"/>
        <w:widowControl w:val="0"/>
        <w:spacing w:after="120"/>
        <w:ind w:firstLine="0"/>
        <w:jc w:val="left"/>
        <w:rPr>
          <w:b/>
          <w:szCs w:val="20"/>
        </w:rPr>
      </w:pPr>
      <w:r w:rsidRPr="00471CBA">
        <w:rPr>
          <w:b/>
          <w:szCs w:val="20"/>
        </w:rPr>
        <w:lastRenderedPageBreak/>
        <w:t>MALİ BÜNYEYE VE RİSK YÖNETİMİNE İLİŞKİN BİLGİLER (Devamı)</w:t>
      </w:r>
    </w:p>
    <w:p w14:paraId="33F7EF72" w14:textId="6DCF99AC" w:rsidR="00AA12B1" w:rsidRPr="00471CBA" w:rsidRDefault="00AA12B1" w:rsidP="00AA12B1">
      <w:pPr>
        <w:widowControl w:val="0"/>
        <w:autoSpaceDE w:val="0"/>
        <w:autoSpaceDN w:val="0"/>
        <w:adjustRightInd w:val="0"/>
        <w:ind w:left="851" w:hanging="851"/>
        <w:rPr>
          <w:b/>
          <w:szCs w:val="20"/>
        </w:rPr>
      </w:pPr>
      <w:r w:rsidRPr="00471CBA">
        <w:rPr>
          <w:b/>
          <w:szCs w:val="20"/>
        </w:rPr>
        <w:t>V.</w:t>
      </w:r>
      <w:r w:rsidRPr="00471CBA">
        <w:rPr>
          <w:b/>
          <w:szCs w:val="20"/>
        </w:rPr>
        <w:tab/>
        <w:t>LİKİDİTE RİSKİNE İLİŞKİN AÇIKLAMALAR (Devamı)</w:t>
      </w:r>
    </w:p>
    <w:p w14:paraId="1065CB19" w14:textId="77777777" w:rsidR="00AA12B1" w:rsidRPr="00471CBA" w:rsidRDefault="00AA12B1" w:rsidP="00F95068">
      <w:pPr>
        <w:widowControl w:val="0"/>
        <w:jc w:val="both"/>
        <w:rPr>
          <w:szCs w:val="20"/>
        </w:rPr>
      </w:pPr>
    </w:p>
    <w:p w14:paraId="31FBB84F" w14:textId="5113D34C" w:rsidR="00685D49" w:rsidRPr="00471CBA" w:rsidRDefault="00685D49" w:rsidP="00685D49">
      <w:pPr>
        <w:widowControl w:val="0"/>
        <w:jc w:val="both"/>
        <w:rPr>
          <w:szCs w:val="20"/>
        </w:rPr>
      </w:pPr>
      <w:bookmarkStart w:id="56" w:name="_Hlk205367972"/>
      <w:r w:rsidRPr="00471CBA">
        <w:rPr>
          <w:szCs w:val="20"/>
        </w:rPr>
        <w:t xml:space="preserve">2025 yılı </w:t>
      </w:r>
      <w:bookmarkStart w:id="57" w:name="_Hlk205367978"/>
      <w:r w:rsidR="0068729E" w:rsidRPr="00471CBA">
        <w:rPr>
          <w:szCs w:val="20"/>
        </w:rPr>
        <w:t>son</w:t>
      </w:r>
      <w:r w:rsidRPr="00471CBA">
        <w:rPr>
          <w:szCs w:val="20"/>
        </w:rPr>
        <w:t xml:space="preserve"> </w:t>
      </w:r>
      <w:bookmarkEnd w:id="57"/>
      <w:r w:rsidRPr="00471CBA">
        <w:rPr>
          <w:szCs w:val="20"/>
        </w:rPr>
        <w:t>3 aylık dönemde NİFO gelişimi aşağıdaki tabloda yer almaktadır:</w:t>
      </w:r>
    </w:p>
    <w:bookmarkEnd w:id="56"/>
    <w:p w14:paraId="24FB5EAE" w14:textId="58B0BD2C" w:rsidR="00A74C68" w:rsidRPr="00471CBA" w:rsidRDefault="00A74C68" w:rsidP="009F6E11">
      <w:pPr>
        <w:widowControl w:val="0"/>
      </w:pPr>
    </w:p>
    <w:tbl>
      <w:tblPr>
        <w:tblW w:w="5000" w:type="pct"/>
        <w:tblCellMar>
          <w:left w:w="70" w:type="dxa"/>
          <w:right w:w="70" w:type="dxa"/>
        </w:tblCellMar>
        <w:tblLook w:val="04A0" w:firstRow="1" w:lastRow="0" w:firstColumn="1" w:lastColumn="0" w:noHBand="0" w:noVBand="1"/>
      </w:tblPr>
      <w:tblGrid>
        <w:gridCol w:w="7966"/>
        <w:gridCol w:w="1673"/>
      </w:tblGrid>
      <w:tr w:rsidR="00A74C68" w:rsidRPr="00471CBA" w14:paraId="4CAB91CB" w14:textId="77777777" w:rsidTr="00A74C68">
        <w:trPr>
          <w:divId w:val="880829199"/>
          <w:trHeight w:val="227"/>
        </w:trPr>
        <w:tc>
          <w:tcPr>
            <w:tcW w:w="4132" w:type="pct"/>
            <w:tcBorders>
              <w:top w:val="nil"/>
              <w:left w:val="nil"/>
              <w:bottom w:val="single" w:sz="8" w:space="0" w:color="auto"/>
              <w:right w:val="nil"/>
            </w:tcBorders>
            <w:noWrap/>
            <w:vAlign w:val="center"/>
            <w:hideMark/>
          </w:tcPr>
          <w:p w14:paraId="4EEB2B93" w14:textId="2968651A" w:rsidR="00A74C68" w:rsidRPr="00471CBA" w:rsidRDefault="00A74C68" w:rsidP="00A74C68">
            <w:pPr>
              <w:rPr>
                <w:b/>
                <w:bCs/>
                <w:color w:val="000000"/>
                <w:szCs w:val="20"/>
                <w:lang w:eastAsia="tr-TR"/>
              </w:rPr>
            </w:pPr>
            <w:r w:rsidRPr="00471CBA">
              <w:rPr>
                <w:b/>
                <w:bCs/>
                <w:color w:val="000000"/>
                <w:szCs w:val="20"/>
                <w:lang w:eastAsia="tr-TR"/>
              </w:rPr>
              <w:t>31 Aralık 2025 Dönemi</w:t>
            </w:r>
          </w:p>
        </w:tc>
        <w:tc>
          <w:tcPr>
            <w:tcW w:w="868" w:type="pct"/>
            <w:tcBorders>
              <w:top w:val="nil"/>
              <w:left w:val="nil"/>
              <w:bottom w:val="single" w:sz="8" w:space="0" w:color="auto"/>
              <w:right w:val="nil"/>
            </w:tcBorders>
            <w:noWrap/>
            <w:vAlign w:val="center"/>
            <w:hideMark/>
          </w:tcPr>
          <w:p w14:paraId="2EF373BB" w14:textId="77777777" w:rsidR="00A74C68" w:rsidRPr="00471CBA" w:rsidRDefault="00A74C68" w:rsidP="00A74C68">
            <w:pPr>
              <w:jc w:val="right"/>
              <w:rPr>
                <w:b/>
                <w:bCs/>
                <w:color w:val="000000"/>
                <w:szCs w:val="20"/>
                <w:lang w:eastAsia="tr-TR"/>
              </w:rPr>
            </w:pPr>
            <w:r w:rsidRPr="00471CBA">
              <w:rPr>
                <w:b/>
                <w:bCs/>
                <w:color w:val="000000"/>
                <w:szCs w:val="20"/>
                <w:lang w:eastAsia="tr-TR"/>
              </w:rPr>
              <w:t>Oran</w:t>
            </w:r>
          </w:p>
        </w:tc>
      </w:tr>
      <w:tr w:rsidR="00A74C68" w:rsidRPr="00471CBA" w14:paraId="118C74C5" w14:textId="77777777" w:rsidTr="00A74C68">
        <w:trPr>
          <w:divId w:val="880829199"/>
          <w:trHeight w:val="227"/>
        </w:trPr>
        <w:tc>
          <w:tcPr>
            <w:tcW w:w="4132" w:type="pct"/>
            <w:tcBorders>
              <w:top w:val="nil"/>
              <w:left w:val="nil"/>
              <w:bottom w:val="nil"/>
              <w:right w:val="nil"/>
            </w:tcBorders>
            <w:noWrap/>
            <w:vAlign w:val="center"/>
            <w:hideMark/>
          </w:tcPr>
          <w:p w14:paraId="6D04EFCF" w14:textId="77777777" w:rsidR="00A74C68" w:rsidRPr="00471CBA" w:rsidRDefault="00A74C68" w:rsidP="00A74C68">
            <w:pPr>
              <w:rPr>
                <w:b/>
                <w:bCs/>
                <w:color w:val="000000"/>
                <w:szCs w:val="20"/>
                <w:lang w:eastAsia="tr-TR"/>
              </w:rPr>
            </w:pPr>
          </w:p>
        </w:tc>
        <w:tc>
          <w:tcPr>
            <w:tcW w:w="868" w:type="pct"/>
            <w:tcBorders>
              <w:top w:val="nil"/>
              <w:left w:val="nil"/>
              <w:bottom w:val="nil"/>
              <w:right w:val="nil"/>
            </w:tcBorders>
            <w:noWrap/>
            <w:vAlign w:val="center"/>
            <w:hideMark/>
          </w:tcPr>
          <w:p w14:paraId="7170DAF2" w14:textId="77777777" w:rsidR="00A74C68" w:rsidRPr="00471CBA" w:rsidRDefault="00A74C68" w:rsidP="00A74C68">
            <w:pPr>
              <w:jc w:val="right"/>
              <w:rPr>
                <w:szCs w:val="20"/>
                <w:lang w:eastAsia="tr-TR"/>
              </w:rPr>
            </w:pPr>
          </w:p>
        </w:tc>
      </w:tr>
      <w:tr w:rsidR="00A74C68" w:rsidRPr="00471CBA" w14:paraId="5FD5C06D" w14:textId="77777777" w:rsidTr="00A74C68">
        <w:trPr>
          <w:divId w:val="880829199"/>
          <w:trHeight w:val="227"/>
        </w:trPr>
        <w:tc>
          <w:tcPr>
            <w:tcW w:w="4132" w:type="pct"/>
            <w:tcBorders>
              <w:top w:val="nil"/>
              <w:left w:val="nil"/>
              <w:bottom w:val="nil"/>
              <w:right w:val="nil"/>
            </w:tcBorders>
            <w:noWrap/>
            <w:vAlign w:val="center"/>
            <w:hideMark/>
          </w:tcPr>
          <w:p w14:paraId="546870F9" w14:textId="77777777" w:rsidR="00A74C68" w:rsidRPr="00471CBA" w:rsidRDefault="00A74C68" w:rsidP="00A74C68">
            <w:pPr>
              <w:rPr>
                <w:color w:val="000000"/>
                <w:szCs w:val="20"/>
                <w:lang w:eastAsia="tr-TR"/>
              </w:rPr>
            </w:pPr>
            <w:r w:rsidRPr="00471CBA">
              <w:rPr>
                <w:color w:val="000000"/>
                <w:szCs w:val="20"/>
                <w:lang w:eastAsia="tr-TR"/>
              </w:rPr>
              <w:t>31 Ekim 2025</w:t>
            </w:r>
          </w:p>
        </w:tc>
        <w:tc>
          <w:tcPr>
            <w:tcW w:w="868" w:type="pct"/>
            <w:tcBorders>
              <w:top w:val="nil"/>
              <w:left w:val="nil"/>
              <w:bottom w:val="nil"/>
              <w:right w:val="nil"/>
            </w:tcBorders>
            <w:vAlign w:val="bottom"/>
            <w:hideMark/>
          </w:tcPr>
          <w:p w14:paraId="45C2DE44" w14:textId="77777777" w:rsidR="00A74C68" w:rsidRPr="00471CBA" w:rsidRDefault="00A74C68" w:rsidP="00A74C68">
            <w:pPr>
              <w:jc w:val="right"/>
              <w:rPr>
                <w:color w:val="000000"/>
                <w:szCs w:val="20"/>
                <w:lang w:eastAsia="tr-TR"/>
              </w:rPr>
            </w:pPr>
            <w:r w:rsidRPr="00471CBA">
              <w:rPr>
                <w:color w:val="000000"/>
                <w:szCs w:val="20"/>
                <w:lang w:eastAsia="tr-TR"/>
              </w:rPr>
              <w:t>123,07</w:t>
            </w:r>
          </w:p>
        </w:tc>
      </w:tr>
      <w:tr w:rsidR="00A74C68" w:rsidRPr="00471CBA" w14:paraId="6909B14D" w14:textId="77777777" w:rsidTr="00A74C68">
        <w:trPr>
          <w:divId w:val="880829199"/>
          <w:trHeight w:val="227"/>
        </w:trPr>
        <w:tc>
          <w:tcPr>
            <w:tcW w:w="4132" w:type="pct"/>
            <w:tcBorders>
              <w:top w:val="nil"/>
              <w:left w:val="nil"/>
              <w:bottom w:val="nil"/>
              <w:right w:val="nil"/>
            </w:tcBorders>
            <w:noWrap/>
            <w:vAlign w:val="center"/>
            <w:hideMark/>
          </w:tcPr>
          <w:p w14:paraId="2643FAC1" w14:textId="77777777" w:rsidR="00A74C68" w:rsidRPr="00471CBA" w:rsidRDefault="00A74C68" w:rsidP="00A74C68">
            <w:pPr>
              <w:rPr>
                <w:color w:val="000000"/>
                <w:szCs w:val="20"/>
                <w:lang w:eastAsia="tr-TR"/>
              </w:rPr>
            </w:pPr>
            <w:r w:rsidRPr="00471CBA">
              <w:rPr>
                <w:color w:val="000000"/>
                <w:szCs w:val="20"/>
                <w:lang w:eastAsia="tr-TR"/>
              </w:rPr>
              <w:t>30 Kasım 2025</w:t>
            </w:r>
          </w:p>
        </w:tc>
        <w:tc>
          <w:tcPr>
            <w:tcW w:w="868" w:type="pct"/>
            <w:tcBorders>
              <w:top w:val="nil"/>
              <w:left w:val="nil"/>
              <w:bottom w:val="nil"/>
              <w:right w:val="nil"/>
            </w:tcBorders>
            <w:vAlign w:val="bottom"/>
            <w:hideMark/>
          </w:tcPr>
          <w:p w14:paraId="18F779D5" w14:textId="77777777" w:rsidR="00A74C68" w:rsidRPr="00471CBA" w:rsidRDefault="00A74C68" w:rsidP="00A74C68">
            <w:pPr>
              <w:jc w:val="right"/>
              <w:rPr>
                <w:color w:val="000000"/>
                <w:szCs w:val="20"/>
                <w:lang w:eastAsia="tr-TR"/>
              </w:rPr>
            </w:pPr>
            <w:r w:rsidRPr="00471CBA">
              <w:rPr>
                <w:color w:val="000000"/>
                <w:szCs w:val="20"/>
                <w:lang w:eastAsia="tr-TR"/>
              </w:rPr>
              <w:t>128,32</w:t>
            </w:r>
          </w:p>
        </w:tc>
      </w:tr>
      <w:tr w:rsidR="00A74C68" w:rsidRPr="00471CBA" w14:paraId="10885691" w14:textId="77777777" w:rsidTr="00A74C68">
        <w:trPr>
          <w:divId w:val="880829199"/>
          <w:trHeight w:val="227"/>
        </w:trPr>
        <w:tc>
          <w:tcPr>
            <w:tcW w:w="4132" w:type="pct"/>
            <w:tcBorders>
              <w:top w:val="nil"/>
              <w:left w:val="nil"/>
              <w:bottom w:val="single" w:sz="4" w:space="0" w:color="auto"/>
              <w:right w:val="nil"/>
            </w:tcBorders>
            <w:noWrap/>
            <w:vAlign w:val="center"/>
            <w:hideMark/>
          </w:tcPr>
          <w:p w14:paraId="33E3B768" w14:textId="77777777" w:rsidR="00A74C68" w:rsidRPr="00471CBA" w:rsidRDefault="00A74C68" w:rsidP="00A74C68">
            <w:pPr>
              <w:rPr>
                <w:color w:val="000000"/>
                <w:szCs w:val="20"/>
                <w:lang w:eastAsia="tr-TR"/>
              </w:rPr>
            </w:pPr>
            <w:r w:rsidRPr="00471CBA">
              <w:rPr>
                <w:color w:val="000000"/>
                <w:szCs w:val="20"/>
                <w:lang w:eastAsia="tr-TR"/>
              </w:rPr>
              <w:t>31 Aralık 2025</w:t>
            </w:r>
          </w:p>
        </w:tc>
        <w:tc>
          <w:tcPr>
            <w:tcW w:w="868" w:type="pct"/>
            <w:tcBorders>
              <w:top w:val="nil"/>
              <w:left w:val="nil"/>
              <w:bottom w:val="single" w:sz="4" w:space="0" w:color="auto"/>
              <w:right w:val="nil"/>
            </w:tcBorders>
            <w:vAlign w:val="bottom"/>
            <w:hideMark/>
          </w:tcPr>
          <w:p w14:paraId="41FFE1DB" w14:textId="77777777" w:rsidR="00A74C68" w:rsidRPr="00471CBA" w:rsidRDefault="00A74C68" w:rsidP="00A74C68">
            <w:pPr>
              <w:jc w:val="right"/>
              <w:rPr>
                <w:color w:val="000000"/>
                <w:szCs w:val="20"/>
                <w:lang w:eastAsia="tr-TR"/>
              </w:rPr>
            </w:pPr>
            <w:r w:rsidRPr="00471CBA">
              <w:rPr>
                <w:color w:val="000000"/>
                <w:szCs w:val="20"/>
                <w:lang w:eastAsia="tr-TR"/>
              </w:rPr>
              <w:t>143,32</w:t>
            </w:r>
          </w:p>
        </w:tc>
      </w:tr>
      <w:tr w:rsidR="00A74C68" w:rsidRPr="00471CBA" w14:paraId="7D866555" w14:textId="77777777" w:rsidTr="00A74C68">
        <w:trPr>
          <w:divId w:val="880829199"/>
          <w:trHeight w:val="227"/>
        </w:trPr>
        <w:tc>
          <w:tcPr>
            <w:tcW w:w="4132" w:type="pct"/>
            <w:tcBorders>
              <w:top w:val="nil"/>
              <w:left w:val="nil"/>
              <w:bottom w:val="nil"/>
              <w:right w:val="nil"/>
            </w:tcBorders>
            <w:noWrap/>
            <w:vAlign w:val="center"/>
            <w:hideMark/>
          </w:tcPr>
          <w:p w14:paraId="596DC181" w14:textId="77777777" w:rsidR="00A74C68" w:rsidRPr="00471CBA" w:rsidRDefault="00A74C68" w:rsidP="00A74C68">
            <w:pPr>
              <w:rPr>
                <w:color w:val="000000"/>
                <w:szCs w:val="20"/>
                <w:lang w:eastAsia="tr-TR"/>
              </w:rPr>
            </w:pPr>
          </w:p>
        </w:tc>
        <w:tc>
          <w:tcPr>
            <w:tcW w:w="868" w:type="pct"/>
            <w:tcBorders>
              <w:top w:val="nil"/>
              <w:left w:val="nil"/>
              <w:bottom w:val="nil"/>
              <w:right w:val="nil"/>
            </w:tcBorders>
            <w:noWrap/>
            <w:vAlign w:val="center"/>
            <w:hideMark/>
          </w:tcPr>
          <w:p w14:paraId="62A560FB" w14:textId="77777777" w:rsidR="00A74C68" w:rsidRPr="00471CBA" w:rsidRDefault="00A74C68" w:rsidP="00A74C68">
            <w:pPr>
              <w:jc w:val="right"/>
              <w:rPr>
                <w:szCs w:val="20"/>
                <w:lang w:eastAsia="tr-TR"/>
              </w:rPr>
            </w:pPr>
          </w:p>
        </w:tc>
      </w:tr>
      <w:tr w:rsidR="00A74C68" w:rsidRPr="00471CBA" w14:paraId="35AE5551" w14:textId="77777777" w:rsidTr="00A74C68">
        <w:trPr>
          <w:divId w:val="880829199"/>
          <w:trHeight w:val="227"/>
        </w:trPr>
        <w:tc>
          <w:tcPr>
            <w:tcW w:w="4132" w:type="pct"/>
            <w:tcBorders>
              <w:top w:val="nil"/>
              <w:left w:val="nil"/>
              <w:bottom w:val="single" w:sz="4" w:space="0" w:color="auto"/>
              <w:right w:val="nil"/>
            </w:tcBorders>
            <w:noWrap/>
            <w:vAlign w:val="center"/>
            <w:hideMark/>
          </w:tcPr>
          <w:p w14:paraId="27EA5A27" w14:textId="77777777" w:rsidR="00A74C68" w:rsidRPr="00471CBA" w:rsidRDefault="00A74C68" w:rsidP="00A74C68">
            <w:pPr>
              <w:rPr>
                <w:b/>
                <w:bCs/>
                <w:color w:val="000000"/>
                <w:szCs w:val="20"/>
                <w:lang w:eastAsia="tr-TR"/>
              </w:rPr>
            </w:pPr>
            <w:r w:rsidRPr="00471CBA">
              <w:rPr>
                <w:b/>
                <w:bCs/>
                <w:color w:val="000000"/>
                <w:szCs w:val="20"/>
                <w:lang w:eastAsia="tr-TR"/>
              </w:rPr>
              <w:t xml:space="preserve">3 Aylık Ortalama </w:t>
            </w:r>
          </w:p>
        </w:tc>
        <w:tc>
          <w:tcPr>
            <w:tcW w:w="868" w:type="pct"/>
            <w:tcBorders>
              <w:top w:val="nil"/>
              <w:left w:val="nil"/>
              <w:bottom w:val="single" w:sz="4" w:space="0" w:color="auto"/>
              <w:right w:val="nil"/>
            </w:tcBorders>
            <w:vAlign w:val="bottom"/>
            <w:hideMark/>
          </w:tcPr>
          <w:p w14:paraId="64914FC6" w14:textId="77777777" w:rsidR="00A74C68" w:rsidRPr="00471CBA" w:rsidRDefault="00A74C68" w:rsidP="00A74C68">
            <w:pPr>
              <w:jc w:val="right"/>
              <w:rPr>
                <w:b/>
                <w:bCs/>
                <w:color w:val="000000"/>
                <w:szCs w:val="20"/>
                <w:lang w:eastAsia="tr-TR"/>
              </w:rPr>
            </w:pPr>
            <w:r w:rsidRPr="00471CBA">
              <w:rPr>
                <w:b/>
                <w:bCs/>
                <w:color w:val="000000"/>
                <w:szCs w:val="20"/>
                <w:lang w:eastAsia="tr-TR"/>
              </w:rPr>
              <w:t>131,57</w:t>
            </w:r>
          </w:p>
        </w:tc>
      </w:tr>
    </w:tbl>
    <w:p w14:paraId="64EF8B00" w14:textId="0C955A2A" w:rsidR="00A74C68" w:rsidRPr="00471CBA" w:rsidRDefault="00A74C68" w:rsidP="009F6E11">
      <w:pPr>
        <w:widowControl w:val="0"/>
      </w:pPr>
    </w:p>
    <w:tbl>
      <w:tblPr>
        <w:tblW w:w="5000" w:type="pct"/>
        <w:tblCellMar>
          <w:left w:w="70" w:type="dxa"/>
          <w:right w:w="70" w:type="dxa"/>
        </w:tblCellMar>
        <w:tblLook w:val="04A0" w:firstRow="1" w:lastRow="0" w:firstColumn="1" w:lastColumn="0" w:noHBand="0" w:noVBand="1"/>
      </w:tblPr>
      <w:tblGrid>
        <w:gridCol w:w="280"/>
        <w:gridCol w:w="3261"/>
        <w:gridCol w:w="1147"/>
        <w:gridCol w:w="1205"/>
        <w:gridCol w:w="1245"/>
        <w:gridCol w:w="1289"/>
        <w:gridCol w:w="1202"/>
      </w:tblGrid>
      <w:tr w:rsidR="00A74C68" w:rsidRPr="00471CBA" w14:paraId="5ADA9173" w14:textId="77777777" w:rsidTr="00A74C68">
        <w:trPr>
          <w:divId w:val="1408452450"/>
          <w:trHeight w:val="113"/>
        </w:trPr>
        <w:tc>
          <w:tcPr>
            <w:tcW w:w="183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D5FA5A0" w14:textId="7C2CFCEA" w:rsidR="00A74C68" w:rsidRPr="00471CBA" w:rsidRDefault="00A74C68" w:rsidP="00A74C68">
            <w:pPr>
              <w:rPr>
                <w:b/>
                <w:bCs/>
                <w:color w:val="000000"/>
                <w:sz w:val="14"/>
                <w:szCs w:val="14"/>
                <w:lang w:eastAsia="tr-TR"/>
              </w:rPr>
            </w:pPr>
            <w:r w:rsidRPr="00471CBA">
              <w:rPr>
                <w:b/>
                <w:bCs/>
                <w:color w:val="000000"/>
                <w:sz w:val="14"/>
                <w:szCs w:val="14"/>
                <w:lang w:eastAsia="tr-TR"/>
              </w:rPr>
              <w:t>31 Aralık 2024</w:t>
            </w:r>
          </w:p>
        </w:tc>
        <w:tc>
          <w:tcPr>
            <w:tcW w:w="2539" w:type="pct"/>
            <w:gridSpan w:val="4"/>
            <w:tcBorders>
              <w:top w:val="single" w:sz="4" w:space="0" w:color="auto"/>
              <w:left w:val="nil"/>
              <w:bottom w:val="single" w:sz="4" w:space="0" w:color="auto"/>
              <w:right w:val="single" w:sz="4" w:space="0" w:color="auto"/>
            </w:tcBorders>
            <w:vAlign w:val="center"/>
            <w:hideMark/>
          </w:tcPr>
          <w:p w14:paraId="7961ADF5" w14:textId="77777777" w:rsidR="00A74C68" w:rsidRPr="00471CBA" w:rsidRDefault="00A74C68" w:rsidP="00A74C68">
            <w:pPr>
              <w:jc w:val="center"/>
              <w:rPr>
                <w:b/>
                <w:bCs/>
                <w:color w:val="000000"/>
                <w:sz w:val="14"/>
                <w:szCs w:val="14"/>
                <w:lang w:eastAsia="tr-TR"/>
              </w:rPr>
            </w:pPr>
            <w:r w:rsidRPr="00471CBA">
              <w:rPr>
                <w:b/>
                <w:bCs/>
                <w:color w:val="000000"/>
                <w:sz w:val="14"/>
                <w:szCs w:val="14"/>
                <w:lang w:eastAsia="tr-TR"/>
              </w:rPr>
              <w:t>Kalan Vadesine Göre, Dikkate Alma Oranı</w:t>
            </w:r>
          </w:p>
        </w:tc>
        <w:tc>
          <w:tcPr>
            <w:tcW w:w="625" w:type="pct"/>
            <w:vMerge w:val="restart"/>
            <w:tcBorders>
              <w:top w:val="single" w:sz="4" w:space="0" w:color="auto"/>
              <w:left w:val="single" w:sz="4" w:space="0" w:color="auto"/>
              <w:bottom w:val="single" w:sz="4" w:space="0" w:color="auto"/>
              <w:right w:val="single" w:sz="4" w:space="0" w:color="auto"/>
            </w:tcBorders>
            <w:vAlign w:val="center"/>
            <w:hideMark/>
          </w:tcPr>
          <w:p w14:paraId="335B911B" w14:textId="77777777" w:rsidR="00A74C68" w:rsidRPr="00471CBA" w:rsidRDefault="00A74C68" w:rsidP="00A74C68">
            <w:pPr>
              <w:jc w:val="right"/>
              <w:rPr>
                <w:b/>
                <w:bCs/>
                <w:color w:val="000000"/>
                <w:sz w:val="14"/>
                <w:szCs w:val="14"/>
                <w:lang w:eastAsia="tr-TR"/>
              </w:rPr>
            </w:pPr>
            <w:r w:rsidRPr="00471CBA">
              <w:rPr>
                <w:b/>
                <w:bCs/>
                <w:color w:val="000000"/>
                <w:sz w:val="14"/>
                <w:szCs w:val="14"/>
                <w:lang w:eastAsia="tr-TR"/>
              </w:rPr>
              <w:t>Dikkate Alma Oranı Uygulanmış Toplam Tutar</w:t>
            </w:r>
          </w:p>
        </w:tc>
      </w:tr>
      <w:tr w:rsidR="00A74C68" w:rsidRPr="00471CBA" w14:paraId="0B795C52" w14:textId="77777777" w:rsidTr="00A74C68">
        <w:trPr>
          <w:divId w:val="1408452450"/>
          <w:trHeight w:val="113"/>
        </w:trPr>
        <w:tc>
          <w:tcPr>
            <w:tcW w:w="1837" w:type="pct"/>
            <w:gridSpan w:val="2"/>
            <w:vMerge/>
            <w:tcBorders>
              <w:top w:val="single" w:sz="4" w:space="0" w:color="auto"/>
              <w:left w:val="single" w:sz="4" w:space="0" w:color="auto"/>
              <w:bottom w:val="single" w:sz="4" w:space="0" w:color="auto"/>
              <w:right w:val="single" w:sz="4" w:space="0" w:color="auto"/>
            </w:tcBorders>
            <w:vAlign w:val="center"/>
            <w:hideMark/>
          </w:tcPr>
          <w:p w14:paraId="0E0ABE0D" w14:textId="77777777" w:rsidR="00A74C68" w:rsidRPr="00471CBA" w:rsidRDefault="00A74C68" w:rsidP="00A74C68">
            <w:pPr>
              <w:rPr>
                <w:b/>
                <w:bCs/>
                <w:color w:val="000000"/>
                <w:sz w:val="14"/>
                <w:szCs w:val="14"/>
                <w:lang w:eastAsia="tr-TR"/>
              </w:rPr>
            </w:pPr>
          </w:p>
        </w:tc>
        <w:tc>
          <w:tcPr>
            <w:tcW w:w="2539" w:type="pct"/>
            <w:gridSpan w:val="4"/>
            <w:tcBorders>
              <w:top w:val="single" w:sz="4" w:space="0" w:color="auto"/>
              <w:left w:val="nil"/>
              <w:bottom w:val="single" w:sz="4" w:space="0" w:color="auto"/>
              <w:right w:val="single" w:sz="4" w:space="0" w:color="auto"/>
            </w:tcBorders>
            <w:vAlign w:val="center"/>
            <w:hideMark/>
          </w:tcPr>
          <w:p w14:paraId="4D29A0F5" w14:textId="77777777" w:rsidR="00A74C68" w:rsidRPr="00471CBA" w:rsidRDefault="00A74C68" w:rsidP="00A74C68">
            <w:pPr>
              <w:jc w:val="center"/>
              <w:rPr>
                <w:b/>
                <w:bCs/>
                <w:color w:val="000000"/>
                <w:sz w:val="14"/>
                <w:szCs w:val="14"/>
                <w:lang w:eastAsia="tr-TR"/>
              </w:rPr>
            </w:pPr>
            <w:r w:rsidRPr="00471CBA">
              <w:rPr>
                <w:b/>
                <w:bCs/>
                <w:color w:val="000000"/>
                <w:sz w:val="14"/>
                <w:szCs w:val="14"/>
                <w:lang w:eastAsia="tr-TR"/>
              </w:rPr>
              <w:t>Uygulanmamış Tutar</w:t>
            </w: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5110C599" w14:textId="77777777" w:rsidR="00A74C68" w:rsidRPr="00471CBA" w:rsidRDefault="00A74C68" w:rsidP="00A74C68">
            <w:pPr>
              <w:rPr>
                <w:b/>
                <w:bCs/>
                <w:color w:val="000000"/>
                <w:sz w:val="14"/>
                <w:szCs w:val="14"/>
                <w:lang w:eastAsia="tr-TR"/>
              </w:rPr>
            </w:pPr>
          </w:p>
        </w:tc>
      </w:tr>
      <w:tr w:rsidR="00A74C68" w:rsidRPr="00471CBA" w14:paraId="6CA34C28" w14:textId="77777777" w:rsidTr="00A74C68">
        <w:trPr>
          <w:divId w:val="1408452450"/>
          <w:trHeight w:val="113"/>
        </w:trPr>
        <w:tc>
          <w:tcPr>
            <w:tcW w:w="1837" w:type="pct"/>
            <w:gridSpan w:val="2"/>
            <w:vMerge/>
            <w:tcBorders>
              <w:top w:val="single" w:sz="4" w:space="0" w:color="auto"/>
              <w:left w:val="single" w:sz="4" w:space="0" w:color="auto"/>
              <w:bottom w:val="single" w:sz="4" w:space="0" w:color="auto"/>
              <w:right w:val="single" w:sz="4" w:space="0" w:color="auto"/>
            </w:tcBorders>
            <w:vAlign w:val="center"/>
            <w:hideMark/>
          </w:tcPr>
          <w:p w14:paraId="49D7722E" w14:textId="77777777" w:rsidR="00A74C68" w:rsidRPr="00471CBA" w:rsidRDefault="00A74C68" w:rsidP="00A74C68">
            <w:pPr>
              <w:rPr>
                <w:b/>
                <w:bCs/>
                <w:color w:val="000000"/>
                <w:sz w:val="14"/>
                <w:szCs w:val="14"/>
                <w:lang w:eastAsia="tr-TR"/>
              </w:rPr>
            </w:pPr>
          </w:p>
        </w:tc>
        <w:tc>
          <w:tcPr>
            <w:tcW w:w="596" w:type="pct"/>
            <w:tcBorders>
              <w:top w:val="single" w:sz="4" w:space="0" w:color="auto"/>
              <w:left w:val="nil"/>
              <w:bottom w:val="single" w:sz="4" w:space="0" w:color="auto"/>
              <w:right w:val="single" w:sz="4" w:space="0" w:color="auto"/>
            </w:tcBorders>
            <w:vAlign w:val="center"/>
            <w:hideMark/>
          </w:tcPr>
          <w:p w14:paraId="694437FC" w14:textId="77777777" w:rsidR="00A74C68" w:rsidRPr="00471CBA" w:rsidRDefault="00A74C68" w:rsidP="00A74C68">
            <w:pPr>
              <w:jc w:val="right"/>
              <w:rPr>
                <w:b/>
                <w:bCs/>
                <w:color w:val="000000"/>
                <w:sz w:val="14"/>
                <w:szCs w:val="14"/>
                <w:lang w:eastAsia="tr-TR"/>
              </w:rPr>
            </w:pPr>
            <w:r w:rsidRPr="00471CBA">
              <w:rPr>
                <w:b/>
                <w:bCs/>
                <w:color w:val="000000"/>
                <w:sz w:val="14"/>
                <w:szCs w:val="14"/>
                <w:lang w:eastAsia="tr-TR"/>
              </w:rPr>
              <w:t>Vadesiz</w:t>
            </w:r>
          </w:p>
        </w:tc>
        <w:tc>
          <w:tcPr>
            <w:tcW w:w="626" w:type="pct"/>
            <w:tcBorders>
              <w:top w:val="single" w:sz="4" w:space="0" w:color="auto"/>
              <w:left w:val="nil"/>
              <w:bottom w:val="single" w:sz="4" w:space="0" w:color="auto"/>
              <w:right w:val="single" w:sz="4" w:space="0" w:color="auto"/>
            </w:tcBorders>
            <w:vAlign w:val="center"/>
            <w:hideMark/>
          </w:tcPr>
          <w:p w14:paraId="7924A040" w14:textId="77777777" w:rsidR="00A74C68" w:rsidRPr="00471CBA" w:rsidRDefault="00A74C68" w:rsidP="00A74C68">
            <w:pPr>
              <w:jc w:val="right"/>
              <w:rPr>
                <w:b/>
                <w:bCs/>
                <w:color w:val="000000"/>
                <w:sz w:val="14"/>
                <w:szCs w:val="14"/>
                <w:lang w:eastAsia="tr-TR"/>
              </w:rPr>
            </w:pPr>
            <w:r w:rsidRPr="00471CBA">
              <w:rPr>
                <w:b/>
                <w:bCs/>
                <w:color w:val="000000"/>
                <w:sz w:val="14"/>
                <w:szCs w:val="14"/>
                <w:lang w:eastAsia="tr-TR"/>
              </w:rPr>
              <w:t>6 Aydan Kısa Vadeli</w:t>
            </w:r>
          </w:p>
        </w:tc>
        <w:tc>
          <w:tcPr>
            <w:tcW w:w="647" w:type="pct"/>
            <w:tcBorders>
              <w:top w:val="single" w:sz="4" w:space="0" w:color="auto"/>
              <w:left w:val="nil"/>
              <w:bottom w:val="single" w:sz="4" w:space="0" w:color="auto"/>
              <w:right w:val="single" w:sz="4" w:space="0" w:color="auto"/>
            </w:tcBorders>
            <w:vAlign w:val="center"/>
            <w:hideMark/>
          </w:tcPr>
          <w:p w14:paraId="0D24B210" w14:textId="77777777" w:rsidR="00A74C68" w:rsidRPr="00471CBA" w:rsidRDefault="00A74C68" w:rsidP="00A74C68">
            <w:pPr>
              <w:jc w:val="right"/>
              <w:rPr>
                <w:b/>
                <w:bCs/>
                <w:color w:val="000000"/>
                <w:sz w:val="14"/>
                <w:szCs w:val="14"/>
                <w:lang w:eastAsia="tr-TR"/>
              </w:rPr>
            </w:pPr>
            <w:r w:rsidRPr="00471CBA">
              <w:rPr>
                <w:b/>
                <w:bCs/>
                <w:color w:val="000000"/>
                <w:sz w:val="14"/>
                <w:szCs w:val="14"/>
                <w:lang w:eastAsia="tr-TR"/>
              </w:rPr>
              <w:t>6 Ay ile 6 Aydan Uzun 1 Yıldan Kısa Vadeli</w:t>
            </w:r>
          </w:p>
        </w:tc>
        <w:tc>
          <w:tcPr>
            <w:tcW w:w="669" w:type="pct"/>
            <w:tcBorders>
              <w:top w:val="single" w:sz="4" w:space="0" w:color="auto"/>
              <w:left w:val="nil"/>
              <w:bottom w:val="single" w:sz="4" w:space="0" w:color="auto"/>
              <w:right w:val="single" w:sz="4" w:space="0" w:color="auto"/>
            </w:tcBorders>
            <w:vAlign w:val="center"/>
            <w:hideMark/>
          </w:tcPr>
          <w:p w14:paraId="53CFB833" w14:textId="77777777" w:rsidR="00A74C68" w:rsidRPr="00471CBA" w:rsidRDefault="00A74C68" w:rsidP="00A74C68">
            <w:pPr>
              <w:jc w:val="right"/>
              <w:rPr>
                <w:b/>
                <w:bCs/>
                <w:color w:val="000000"/>
                <w:sz w:val="14"/>
                <w:szCs w:val="14"/>
                <w:lang w:eastAsia="tr-TR"/>
              </w:rPr>
            </w:pPr>
            <w:r w:rsidRPr="00471CBA">
              <w:rPr>
                <w:b/>
                <w:bCs/>
                <w:color w:val="000000"/>
                <w:sz w:val="14"/>
                <w:szCs w:val="14"/>
                <w:lang w:eastAsia="tr-TR"/>
              </w:rPr>
              <w:t>1 Yıl ve 1 Yıldan Uzun Vadeli</w:t>
            </w: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62DA52B1" w14:textId="77777777" w:rsidR="00A74C68" w:rsidRPr="00471CBA" w:rsidRDefault="00A74C68" w:rsidP="00A74C68">
            <w:pPr>
              <w:rPr>
                <w:b/>
                <w:bCs/>
                <w:color w:val="000000"/>
                <w:sz w:val="14"/>
                <w:szCs w:val="14"/>
                <w:lang w:eastAsia="tr-TR"/>
              </w:rPr>
            </w:pPr>
          </w:p>
        </w:tc>
      </w:tr>
      <w:tr w:rsidR="00A74C68" w:rsidRPr="00471CBA" w14:paraId="334B6A5C" w14:textId="77777777" w:rsidTr="00A74C68">
        <w:trPr>
          <w:divId w:val="1408452450"/>
          <w:trHeight w:val="113"/>
        </w:trPr>
        <w:tc>
          <w:tcPr>
            <w:tcW w:w="1837" w:type="pct"/>
            <w:gridSpan w:val="2"/>
            <w:tcBorders>
              <w:top w:val="single" w:sz="4" w:space="0" w:color="auto"/>
              <w:left w:val="single" w:sz="4" w:space="0" w:color="auto"/>
              <w:bottom w:val="single" w:sz="4" w:space="0" w:color="auto"/>
              <w:right w:val="single" w:sz="4" w:space="0" w:color="auto"/>
            </w:tcBorders>
            <w:vAlign w:val="center"/>
            <w:hideMark/>
          </w:tcPr>
          <w:p w14:paraId="4FAD7E09" w14:textId="77777777" w:rsidR="00A74C68" w:rsidRPr="00471CBA" w:rsidRDefault="00A74C68" w:rsidP="00A74C68">
            <w:pPr>
              <w:rPr>
                <w:b/>
                <w:bCs/>
                <w:color w:val="000000"/>
                <w:sz w:val="14"/>
                <w:szCs w:val="14"/>
                <w:lang w:eastAsia="tr-TR"/>
              </w:rPr>
            </w:pPr>
            <w:r w:rsidRPr="00471CBA">
              <w:rPr>
                <w:b/>
                <w:bCs/>
                <w:color w:val="000000"/>
                <w:sz w:val="14"/>
                <w:szCs w:val="14"/>
                <w:lang w:eastAsia="tr-TR"/>
              </w:rPr>
              <w:t>Mevcut İstikrarlı Fon</w:t>
            </w:r>
          </w:p>
        </w:tc>
        <w:tc>
          <w:tcPr>
            <w:tcW w:w="3163" w:type="pct"/>
            <w:gridSpan w:val="5"/>
            <w:tcBorders>
              <w:top w:val="single" w:sz="4" w:space="0" w:color="auto"/>
              <w:left w:val="nil"/>
              <w:bottom w:val="single" w:sz="4" w:space="0" w:color="auto"/>
              <w:right w:val="single" w:sz="4" w:space="0" w:color="auto"/>
            </w:tcBorders>
            <w:vAlign w:val="bottom"/>
            <w:hideMark/>
          </w:tcPr>
          <w:p w14:paraId="4DC90180"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r>
      <w:tr w:rsidR="00A74C68" w:rsidRPr="00471CBA" w14:paraId="7926E3F6" w14:textId="77777777" w:rsidTr="00A74C68">
        <w:trPr>
          <w:divId w:val="1408452450"/>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6F3C239C" w14:textId="77777777" w:rsidR="00A74C68" w:rsidRPr="00471CBA" w:rsidRDefault="00A74C68" w:rsidP="00A74C68">
            <w:pPr>
              <w:rPr>
                <w:color w:val="000000"/>
                <w:sz w:val="14"/>
                <w:szCs w:val="14"/>
                <w:lang w:eastAsia="tr-TR"/>
              </w:rPr>
            </w:pPr>
            <w:r w:rsidRPr="00471CBA">
              <w:rPr>
                <w:color w:val="000000"/>
                <w:sz w:val="14"/>
                <w:szCs w:val="14"/>
                <w:lang w:eastAsia="tr-TR"/>
              </w:rPr>
              <w:t>1</w:t>
            </w:r>
          </w:p>
        </w:tc>
        <w:tc>
          <w:tcPr>
            <w:tcW w:w="1694" w:type="pct"/>
            <w:tcBorders>
              <w:top w:val="single" w:sz="4" w:space="0" w:color="auto"/>
              <w:left w:val="nil"/>
              <w:bottom w:val="single" w:sz="4" w:space="0" w:color="auto"/>
              <w:right w:val="single" w:sz="4" w:space="0" w:color="auto"/>
            </w:tcBorders>
            <w:vAlign w:val="center"/>
            <w:hideMark/>
          </w:tcPr>
          <w:p w14:paraId="712F0FDB" w14:textId="77777777" w:rsidR="00A74C68" w:rsidRPr="00471CBA" w:rsidRDefault="00A74C68" w:rsidP="00A74C68">
            <w:pPr>
              <w:rPr>
                <w:color w:val="000000"/>
                <w:sz w:val="14"/>
                <w:szCs w:val="14"/>
                <w:lang w:eastAsia="tr-TR"/>
              </w:rPr>
            </w:pPr>
            <w:r w:rsidRPr="00471CBA">
              <w:rPr>
                <w:color w:val="000000"/>
                <w:sz w:val="14"/>
                <w:szCs w:val="14"/>
                <w:lang w:eastAsia="tr-TR"/>
              </w:rPr>
              <w:t>Özkaynak Unsurları</w:t>
            </w:r>
          </w:p>
        </w:tc>
        <w:tc>
          <w:tcPr>
            <w:tcW w:w="596" w:type="pct"/>
            <w:tcBorders>
              <w:top w:val="single" w:sz="4" w:space="0" w:color="auto"/>
              <w:left w:val="nil"/>
              <w:bottom w:val="single" w:sz="4" w:space="0" w:color="auto"/>
              <w:right w:val="single" w:sz="4" w:space="0" w:color="auto"/>
            </w:tcBorders>
            <w:vAlign w:val="bottom"/>
            <w:hideMark/>
          </w:tcPr>
          <w:p w14:paraId="35802BE3" w14:textId="77777777" w:rsidR="00A74C68" w:rsidRPr="00471CBA" w:rsidRDefault="00A74C68" w:rsidP="00A74C68">
            <w:pPr>
              <w:jc w:val="right"/>
              <w:rPr>
                <w:color w:val="000000"/>
                <w:sz w:val="14"/>
                <w:szCs w:val="14"/>
                <w:lang w:eastAsia="tr-TR"/>
              </w:rPr>
            </w:pPr>
            <w:r w:rsidRPr="00471CBA">
              <w:rPr>
                <w:color w:val="000000"/>
                <w:sz w:val="14"/>
                <w:szCs w:val="14"/>
                <w:lang w:eastAsia="tr-TR"/>
              </w:rPr>
              <w:t>7.068.728</w:t>
            </w:r>
          </w:p>
        </w:tc>
        <w:tc>
          <w:tcPr>
            <w:tcW w:w="626" w:type="pct"/>
            <w:tcBorders>
              <w:top w:val="single" w:sz="4" w:space="0" w:color="auto"/>
              <w:left w:val="nil"/>
              <w:bottom w:val="single" w:sz="4" w:space="0" w:color="auto"/>
              <w:right w:val="single" w:sz="4" w:space="0" w:color="auto"/>
            </w:tcBorders>
            <w:vAlign w:val="bottom"/>
            <w:hideMark/>
          </w:tcPr>
          <w:p w14:paraId="11206987"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47" w:type="pct"/>
            <w:tcBorders>
              <w:top w:val="single" w:sz="4" w:space="0" w:color="auto"/>
              <w:left w:val="nil"/>
              <w:bottom w:val="single" w:sz="4" w:space="0" w:color="auto"/>
              <w:right w:val="single" w:sz="4" w:space="0" w:color="auto"/>
            </w:tcBorders>
            <w:vAlign w:val="bottom"/>
            <w:hideMark/>
          </w:tcPr>
          <w:p w14:paraId="237D0D27"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69" w:type="pct"/>
            <w:tcBorders>
              <w:top w:val="single" w:sz="4" w:space="0" w:color="auto"/>
              <w:left w:val="nil"/>
              <w:bottom w:val="single" w:sz="4" w:space="0" w:color="auto"/>
              <w:right w:val="single" w:sz="4" w:space="0" w:color="auto"/>
            </w:tcBorders>
            <w:vAlign w:val="bottom"/>
            <w:hideMark/>
          </w:tcPr>
          <w:p w14:paraId="0F6E51FC"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164BE899" w14:textId="77777777" w:rsidR="00A74C68" w:rsidRPr="00471CBA" w:rsidRDefault="00A74C68" w:rsidP="00A74C68">
            <w:pPr>
              <w:jc w:val="right"/>
              <w:rPr>
                <w:color w:val="000000"/>
                <w:sz w:val="14"/>
                <w:szCs w:val="14"/>
                <w:lang w:eastAsia="tr-TR"/>
              </w:rPr>
            </w:pPr>
            <w:r w:rsidRPr="00471CBA">
              <w:rPr>
                <w:color w:val="000000"/>
                <w:sz w:val="14"/>
                <w:szCs w:val="14"/>
                <w:lang w:eastAsia="tr-TR"/>
              </w:rPr>
              <w:t>7.068.728</w:t>
            </w:r>
          </w:p>
        </w:tc>
      </w:tr>
      <w:tr w:rsidR="00A74C68" w:rsidRPr="00471CBA" w14:paraId="48DB74EB" w14:textId="77777777" w:rsidTr="00A74C68">
        <w:trPr>
          <w:divId w:val="1408452450"/>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64043EEA" w14:textId="77777777" w:rsidR="00A74C68" w:rsidRPr="00471CBA" w:rsidRDefault="00A74C68" w:rsidP="00A74C68">
            <w:pPr>
              <w:rPr>
                <w:color w:val="000000"/>
                <w:sz w:val="14"/>
                <w:szCs w:val="14"/>
                <w:lang w:eastAsia="tr-TR"/>
              </w:rPr>
            </w:pPr>
            <w:r w:rsidRPr="00471CBA">
              <w:rPr>
                <w:color w:val="000000"/>
                <w:sz w:val="14"/>
                <w:szCs w:val="14"/>
                <w:lang w:eastAsia="tr-TR"/>
              </w:rPr>
              <w:t>2</w:t>
            </w:r>
          </w:p>
        </w:tc>
        <w:tc>
          <w:tcPr>
            <w:tcW w:w="1694" w:type="pct"/>
            <w:tcBorders>
              <w:top w:val="single" w:sz="4" w:space="0" w:color="auto"/>
              <w:left w:val="nil"/>
              <w:bottom w:val="single" w:sz="4" w:space="0" w:color="auto"/>
              <w:right w:val="single" w:sz="4" w:space="0" w:color="auto"/>
            </w:tcBorders>
            <w:vAlign w:val="center"/>
            <w:hideMark/>
          </w:tcPr>
          <w:p w14:paraId="11EE7C3D" w14:textId="77777777" w:rsidR="00A74C68" w:rsidRPr="00471CBA" w:rsidRDefault="00A74C68" w:rsidP="00A74C68">
            <w:pPr>
              <w:rPr>
                <w:color w:val="000000"/>
                <w:sz w:val="14"/>
                <w:szCs w:val="14"/>
                <w:lang w:eastAsia="tr-TR"/>
              </w:rPr>
            </w:pPr>
            <w:r w:rsidRPr="00471CBA">
              <w:rPr>
                <w:color w:val="000000"/>
                <w:sz w:val="14"/>
                <w:szCs w:val="14"/>
                <w:lang w:eastAsia="tr-TR"/>
              </w:rPr>
              <w:t>Ana sermaye ve katkı sermaye</w:t>
            </w:r>
          </w:p>
        </w:tc>
        <w:tc>
          <w:tcPr>
            <w:tcW w:w="596" w:type="pct"/>
            <w:tcBorders>
              <w:top w:val="single" w:sz="4" w:space="0" w:color="auto"/>
              <w:left w:val="nil"/>
              <w:bottom w:val="single" w:sz="4" w:space="0" w:color="auto"/>
              <w:right w:val="single" w:sz="4" w:space="0" w:color="auto"/>
            </w:tcBorders>
            <w:vAlign w:val="bottom"/>
            <w:hideMark/>
          </w:tcPr>
          <w:p w14:paraId="0520F2DA" w14:textId="77777777" w:rsidR="00A74C68" w:rsidRPr="00471CBA" w:rsidRDefault="00A74C68" w:rsidP="00A74C68">
            <w:pPr>
              <w:jc w:val="right"/>
              <w:rPr>
                <w:color w:val="000000"/>
                <w:sz w:val="14"/>
                <w:szCs w:val="14"/>
                <w:lang w:eastAsia="tr-TR"/>
              </w:rPr>
            </w:pPr>
            <w:r w:rsidRPr="00471CBA">
              <w:rPr>
                <w:color w:val="000000"/>
                <w:sz w:val="14"/>
                <w:szCs w:val="14"/>
                <w:lang w:eastAsia="tr-TR"/>
              </w:rPr>
              <w:t>7.068.728</w:t>
            </w:r>
          </w:p>
        </w:tc>
        <w:tc>
          <w:tcPr>
            <w:tcW w:w="626" w:type="pct"/>
            <w:tcBorders>
              <w:top w:val="single" w:sz="4" w:space="0" w:color="auto"/>
              <w:left w:val="nil"/>
              <w:bottom w:val="single" w:sz="4" w:space="0" w:color="auto"/>
              <w:right w:val="single" w:sz="4" w:space="0" w:color="auto"/>
            </w:tcBorders>
            <w:vAlign w:val="bottom"/>
            <w:hideMark/>
          </w:tcPr>
          <w:p w14:paraId="5C113BA2"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47" w:type="pct"/>
            <w:tcBorders>
              <w:top w:val="single" w:sz="4" w:space="0" w:color="auto"/>
              <w:left w:val="nil"/>
              <w:bottom w:val="single" w:sz="4" w:space="0" w:color="auto"/>
              <w:right w:val="single" w:sz="4" w:space="0" w:color="auto"/>
            </w:tcBorders>
            <w:vAlign w:val="bottom"/>
            <w:hideMark/>
          </w:tcPr>
          <w:p w14:paraId="1C2996A9"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69" w:type="pct"/>
            <w:tcBorders>
              <w:top w:val="single" w:sz="4" w:space="0" w:color="auto"/>
              <w:left w:val="nil"/>
              <w:bottom w:val="single" w:sz="4" w:space="0" w:color="auto"/>
              <w:right w:val="single" w:sz="4" w:space="0" w:color="auto"/>
            </w:tcBorders>
            <w:vAlign w:val="bottom"/>
            <w:hideMark/>
          </w:tcPr>
          <w:p w14:paraId="02859EF3"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5B2F83AD" w14:textId="77777777" w:rsidR="00A74C68" w:rsidRPr="00471CBA" w:rsidRDefault="00A74C68" w:rsidP="00A74C68">
            <w:pPr>
              <w:jc w:val="right"/>
              <w:rPr>
                <w:color w:val="000000"/>
                <w:sz w:val="14"/>
                <w:szCs w:val="14"/>
                <w:lang w:eastAsia="tr-TR"/>
              </w:rPr>
            </w:pPr>
            <w:r w:rsidRPr="00471CBA">
              <w:rPr>
                <w:color w:val="000000"/>
                <w:sz w:val="14"/>
                <w:szCs w:val="14"/>
                <w:lang w:eastAsia="tr-TR"/>
              </w:rPr>
              <w:t>7.068.728</w:t>
            </w:r>
          </w:p>
        </w:tc>
      </w:tr>
      <w:tr w:rsidR="00A74C68" w:rsidRPr="00471CBA" w14:paraId="3D87D4D5" w14:textId="77777777" w:rsidTr="00A74C68">
        <w:trPr>
          <w:divId w:val="1408452450"/>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26212986" w14:textId="77777777" w:rsidR="00A74C68" w:rsidRPr="00471CBA" w:rsidRDefault="00A74C68" w:rsidP="00A74C68">
            <w:pPr>
              <w:rPr>
                <w:color w:val="000000"/>
                <w:sz w:val="14"/>
                <w:szCs w:val="14"/>
                <w:lang w:eastAsia="tr-TR"/>
              </w:rPr>
            </w:pPr>
            <w:r w:rsidRPr="00471CBA">
              <w:rPr>
                <w:color w:val="000000"/>
                <w:sz w:val="14"/>
                <w:szCs w:val="14"/>
                <w:lang w:eastAsia="tr-TR"/>
              </w:rPr>
              <w:t>3</w:t>
            </w:r>
          </w:p>
        </w:tc>
        <w:tc>
          <w:tcPr>
            <w:tcW w:w="1694" w:type="pct"/>
            <w:tcBorders>
              <w:top w:val="single" w:sz="4" w:space="0" w:color="auto"/>
              <w:left w:val="nil"/>
              <w:bottom w:val="single" w:sz="4" w:space="0" w:color="auto"/>
              <w:right w:val="single" w:sz="4" w:space="0" w:color="auto"/>
            </w:tcBorders>
            <w:vAlign w:val="center"/>
            <w:hideMark/>
          </w:tcPr>
          <w:p w14:paraId="6142BE76" w14:textId="77777777" w:rsidR="00A74C68" w:rsidRPr="00471CBA" w:rsidRDefault="00A74C68" w:rsidP="00A74C68">
            <w:pPr>
              <w:rPr>
                <w:color w:val="000000"/>
                <w:sz w:val="14"/>
                <w:szCs w:val="14"/>
                <w:lang w:eastAsia="tr-TR"/>
              </w:rPr>
            </w:pPr>
            <w:r w:rsidRPr="00471CBA">
              <w:rPr>
                <w:color w:val="000000"/>
                <w:sz w:val="14"/>
                <w:szCs w:val="14"/>
                <w:lang w:eastAsia="tr-TR"/>
              </w:rPr>
              <w:t>Diğer özkaynak unsurları</w:t>
            </w:r>
          </w:p>
        </w:tc>
        <w:tc>
          <w:tcPr>
            <w:tcW w:w="596" w:type="pct"/>
            <w:tcBorders>
              <w:top w:val="single" w:sz="4" w:space="0" w:color="auto"/>
              <w:left w:val="nil"/>
              <w:bottom w:val="single" w:sz="4" w:space="0" w:color="auto"/>
              <w:right w:val="single" w:sz="4" w:space="0" w:color="auto"/>
            </w:tcBorders>
            <w:vAlign w:val="bottom"/>
            <w:hideMark/>
          </w:tcPr>
          <w:p w14:paraId="5891AB54"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vAlign w:val="bottom"/>
            <w:hideMark/>
          </w:tcPr>
          <w:p w14:paraId="67669605"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47" w:type="pct"/>
            <w:tcBorders>
              <w:top w:val="single" w:sz="4" w:space="0" w:color="auto"/>
              <w:left w:val="nil"/>
              <w:bottom w:val="single" w:sz="4" w:space="0" w:color="auto"/>
              <w:right w:val="single" w:sz="4" w:space="0" w:color="auto"/>
            </w:tcBorders>
            <w:vAlign w:val="bottom"/>
            <w:hideMark/>
          </w:tcPr>
          <w:p w14:paraId="65963C38"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69" w:type="pct"/>
            <w:tcBorders>
              <w:top w:val="single" w:sz="4" w:space="0" w:color="auto"/>
              <w:left w:val="nil"/>
              <w:bottom w:val="single" w:sz="4" w:space="0" w:color="auto"/>
              <w:right w:val="single" w:sz="4" w:space="0" w:color="auto"/>
            </w:tcBorders>
            <w:vAlign w:val="bottom"/>
            <w:hideMark/>
          </w:tcPr>
          <w:p w14:paraId="4F911A97"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0CB6026D"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r>
      <w:tr w:rsidR="00A74C68" w:rsidRPr="00471CBA" w14:paraId="59A5F946" w14:textId="77777777" w:rsidTr="00A74C68">
        <w:trPr>
          <w:divId w:val="1408452450"/>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1EFCC2ED" w14:textId="77777777" w:rsidR="00A74C68" w:rsidRPr="00471CBA" w:rsidRDefault="00A74C68" w:rsidP="00A74C68">
            <w:pPr>
              <w:rPr>
                <w:color w:val="000000"/>
                <w:sz w:val="14"/>
                <w:szCs w:val="14"/>
                <w:lang w:eastAsia="tr-TR"/>
              </w:rPr>
            </w:pPr>
            <w:r w:rsidRPr="00471CBA">
              <w:rPr>
                <w:color w:val="000000"/>
                <w:sz w:val="14"/>
                <w:szCs w:val="14"/>
                <w:lang w:eastAsia="tr-TR"/>
              </w:rPr>
              <w:t>4</w:t>
            </w:r>
          </w:p>
        </w:tc>
        <w:tc>
          <w:tcPr>
            <w:tcW w:w="1694" w:type="pct"/>
            <w:tcBorders>
              <w:top w:val="single" w:sz="4" w:space="0" w:color="auto"/>
              <w:left w:val="nil"/>
              <w:bottom w:val="single" w:sz="4" w:space="0" w:color="auto"/>
              <w:right w:val="single" w:sz="4" w:space="0" w:color="auto"/>
            </w:tcBorders>
            <w:vAlign w:val="center"/>
            <w:hideMark/>
          </w:tcPr>
          <w:p w14:paraId="61CEC5E1" w14:textId="77777777" w:rsidR="00A74C68" w:rsidRPr="00471CBA" w:rsidRDefault="00A74C68" w:rsidP="00A74C68">
            <w:pPr>
              <w:rPr>
                <w:color w:val="000000"/>
                <w:sz w:val="14"/>
                <w:szCs w:val="14"/>
                <w:lang w:eastAsia="tr-TR"/>
              </w:rPr>
            </w:pPr>
            <w:r w:rsidRPr="00471CBA">
              <w:rPr>
                <w:color w:val="000000"/>
                <w:sz w:val="14"/>
                <w:szCs w:val="14"/>
                <w:lang w:eastAsia="tr-TR"/>
              </w:rPr>
              <w:t>Gerçek kişi ve perakende müşteri katılım fonu</w:t>
            </w:r>
          </w:p>
        </w:tc>
        <w:tc>
          <w:tcPr>
            <w:tcW w:w="596" w:type="pct"/>
            <w:tcBorders>
              <w:top w:val="single" w:sz="4" w:space="0" w:color="auto"/>
              <w:left w:val="nil"/>
              <w:bottom w:val="single" w:sz="4" w:space="0" w:color="auto"/>
              <w:right w:val="single" w:sz="4" w:space="0" w:color="auto"/>
            </w:tcBorders>
            <w:vAlign w:val="bottom"/>
            <w:hideMark/>
          </w:tcPr>
          <w:p w14:paraId="548A2307" w14:textId="77777777" w:rsidR="00A74C68" w:rsidRPr="00471CBA" w:rsidRDefault="00A74C68" w:rsidP="00A74C68">
            <w:pPr>
              <w:jc w:val="right"/>
              <w:rPr>
                <w:color w:val="000000"/>
                <w:sz w:val="14"/>
                <w:szCs w:val="14"/>
                <w:lang w:eastAsia="tr-TR"/>
              </w:rPr>
            </w:pPr>
            <w:r w:rsidRPr="00471CBA">
              <w:rPr>
                <w:color w:val="000000"/>
                <w:sz w:val="14"/>
                <w:szCs w:val="14"/>
                <w:lang w:eastAsia="tr-TR"/>
              </w:rPr>
              <w:t>574.728</w:t>
            </w:r>
          </w:p>
        </w:tc>
        <w:tc>
          <w:tcPr>
            <w:tcW w:w="626" w:type="pct"/>
            <w:tcBorders>
              <w:top w:val="single" w:sz="4" w:space="0" w:color="auto"/>
              <w:left w:val="nil"/>
              <w:bottom w:val="single" w:sz="4" w:space="0" w:color="auto"/>
              <w:right w:val="single" w:sz="4" w:space="0" w:color="auto"/>
            </w:tcBorders>
            <w:vAlign w:val="bottom"/>
            <w:hideMark/>
          </w:tcPr>
          <w:p w14:paraId="526E98A9" w14:textId="77777777" w:rsidR="00A74C68" w:rsidRPr="00471CBA" w:rsidRDefault="00A74C68" w:rsidP="00A74C68">
            <w:pPr>
              <w:jc w:val="right"/>
              <w:rPr>
                <w:color w:val="000000"/>
                <w:sz w:val="14"/>
                <w:szCs w:val="14"/>
                <w:lang w:eastAsia="tr-TR"/>
              </w:rPr>
            </w:pPr>
            <w:r w:rsidRPr="00471CBA">
              <w:rPr>
                <w:color w:val="000000"/>
                <w:sz w:val="14"/>
                <w:szCs w:val="14"/>
                <w:lang w:eastAsia="tr-TR"/>
              </w:rPr>
              <w:t>3.974.677</w:t>
            </w:r>
          </w:p>
        </w:tc>
        <w:tc>
          <w:tcPr>
            <w:tcW w:w="647" w:type="pct"/>
            <w:tcBorders>
              <w:top w:val="single" w:sz="4" w:space="0" w:color="auto"/>
              <w:left w:val="nil"/>
              <w:bottom w:val="single" w:sz="4" w:space="0" w:color="auto"/>
              <w:right w:val="single" w:sz="4" w:space="0" w:color="auto"/>
            </w:tcBorders>
            <w:vAlign w:val="bottom"/>
            <w:hideMark/>
          </w:tcPr>
          <w:p w14:paraId="77E3726B" w14:textId="77777777" w:rsidR="00A74C68" w:rsidRPr="00471CBA" w:rsidRDefault="00A74C68" w:rsidP="00A74C68">
            <w:pPr>
              <w:jc w:val="right"/>
              <w:rPr>
                <w:color w:val="000000"/>
                <w:sz w:val="14"/>
                <w:szCs w:val="14"/>
                <w:lang w:eastAsia="tr-TR"/>
              </w:rPr>
            </w:pPr>
            <w:r w:rsidRPr="00471CBA">
              <w:rPr>
                <w:color w:val="000000"/>
                <w:sz w:val="14"/>
                <w:szCs w:val="14"/>
                <w:lang w:eastAsia="tr-TR"/>
              </w:rPr>
              <w:t>53.849</w:t>
            </w:r>
          </w:p>
        </w:tc>
        <w:tc>
          <w:tcPr>
            <w:tcW w:w="669" w:type="pct"/>
            <w:tcBorders>
              <w:top w:val="single" w:sz="4" w:space="0" w:color="auto"/>
              <w:left w:val="nil"/>
              <w:bottom w:val="single" w:sz="4" w:space="0" w:color="auto"/>
              <w:right w:val="single" w:sz="4" w:space="0" w:color="auto"/>
            </w:tcBorders>
            <w:vAlign w:val="bottom"/>
            <w:hideMark/>
          </w:tcPr>
          <w:p w14:paraId="6BA969B4"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5D4921E3" w14:textId="77777777" w:rsidR="00A74C68" w:rsidRPr="00471CBA" w:rsidRDefault="00A74C68" w:rsidP="00A74C68">
            <w:pPr>
              <w:jc w:val="right"/>
              <w:rPr>
                <w:color w:val="000000"/>
                <w:sz w:val="14"/>
                <w:szCs w:val="14"/>
                <w:lang w:eastAsia="tr-TR"/>
              </w:rPr>
            </w:pPr>
            <w:r w:rsidRPr="00471CBA">
              <w:rPr>
                <w:color w:val="000000"/>
                <w:sz w:val="14"/>
                <w:szCs w:val="14"/>
                <w:lang w:eastAsia="tr-TR"/>
              </w:rPr>
              <w:t>4.142.928</w:t>
            </w:r>
          </w:p>
        </w:tc>
      </w:tr>
      <w:tr w:rsidR="00A74C68" w:rsidRPr="00471CBA" w14:paraId="01A88F9D" w14:textId="77777777" w:rsidTr="00A74C68">
        <w:trPr>
          <w:divId w:val="1408452450"/>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4F58DD47" w14:textId="77777777" w:rsidR="00A74C68" w:rsidRPr="00471CBA" w:rsidRDefault="00A74C68" w:rsidP="00A74C68">
            <w:pPr>
              <w:rPr>
                <w:color w:val="000000"/>
                <w:sz w:val="14"/>
                <w:szCs w:val="14"/>
                <w:lang w:eastAsia="tr-TR"/>
              </w:rPr>
            </w:pPr>
            <w:r w:rsidRPr="00471CBA">
              <w:rPr>
                <w:color w:val="000000"/>
                <w:sz w:val="14"/>
                <w:szCs w:val="14"/>
                <w:lang w:eastAsia="tr-TR"/>
              </w:rPr>
              <w:t>5</w:t>
            </w:r>
          </w:p>
        </w:tc>
        <w:tc>
          <w:tcPr>
            <w:tcW w:w="1694" w:type="pct"/>
            <w:tcBorders>
              <w:top w:val="single" w:sz="4" w:space="0" w:color="auto"/>
              <w:left w:val="nil"/>
              <w:bottom w:val="single" w:sz="4" w:space="0" w:color="auto"/>
              <w:right w:val="single" w:sz="4" w:space="0" w:color="auto"/>
            </w:tcBorders>
            <w:vAlign w:val="center"/>
            <w:hideMark/>
          </w:tcPr>
          <w:p w14:paraId="1F2DC762" w14:textId="77777777" w:rsidR="00A74C68" w:rsidRPr="00471CBA" w:rsidRDefault="00A74C68" w:rsidP="00A74C68">
            <w:pPr>
              <w:rPr>
                <w:color w:val="000000"/>
                <w:sz w:val="14"/>
                <w:szCs w:val="14"/>
                <w:lang w:eastAsia="tr-TR"/>
              </w:rPr>
            </w:pPr>
            <w:r w:rsidRPr="00471CBA">
              <w:rPr>
                <w:color w:val="000000"/>
                <w:sz w:val="14"/>
                <w:szCs w:val="14"/>
                <w:lang w:eastAsia="tr-TR"/>
              </w:rPr>
              <w:t>İstikrarlı katılım fonu</w:t>
            </w:r>
          </w:p>
        </w:tc>
        <w:tc>
          <w:tcPr>
            <w:tcW w:w="596" w:type="pct"/>
            <w:tcBorders>
              <w:top w:val="single" w:sz="4" w:space="0" w:color="auto"/>
              <w:left w:val="nil"/>
              <w:bottom w:val="single" w:sz="4" w:space="0" w:color="auto"/>
              <w:right w:val="single" w:sz="4" w:space="0" w:color="auto"/>
            </w:tcBorders>
            <w:vAlign w:val="bottom"/>
            <w:hideMark/>
          </w:tcPr>
          <w:p w14:paraId="3A46C53B"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vAlign w:val="bottom"/>
            <w:hideMark/>
          </w:tcPr>
          <w:p w14:paraId="48093EFA"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47" w:type="pct"/>
            <w:tcBorders>
              <w:top w:val="single" w:sz="4" w:space="0" w:color="auto"/>
              <w:left w:val="nil"/>
              <w:bottom w:val="single" w:sz="4" w:space="0" w:color="auto"/>
              <w:right w:val="single" w:sz="4" w:space="0" w:color="auto"/>
            </w:tcBorders>
            <w:vAlign w:val="bottom"/>
            <w:hideMark/>
          </w:tcPr>
          <w:p w14:paraId="25C1CECB"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69" w:type="pct"/>
            <w:tcBorders>
              <w:top w:val="single" w:sz="4" w:space="0" w:color="auto"/>
              <w:left w:val="nil"/>
              <w:bottom w:val="single" w:sz="4" w:space="0" w:color="auto"/>
              <w:right w:val="single" w:sz="4" w:space="0" w:color="auto"/>
            </w:tcBorders>
            <w:vAlign w:val="bottom"/>
            <w:hideMark/>
          </w:tcPr>
          <w:p w14:paraId="172710A6"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50B66E0B"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r>
      <w:tr w:rsidR="00A74C68" w:rsidRPr="00471CBA" w14:paraId="7FC23725" w14:textId="77777777" w:rsidTr="00A74C68">
        <w:trPr>
          <w:divId w:val="1408452450"/>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3A9A37ED" w14:textId="77777777" w:rsidR="00A74C68" w:rsidRPr="00471CBA" w:rsidRDefault="00A74C68" w:rsidP="00A74C68">
            <w:pPr>
              <w:rPr>
                <w:color w:val="000000"/>
                <w:sz w:val="14"/>
                <w:szCs w:val="14"/>
                <w:lang w:eastAsia="tr-TR"/>
              </w:rPr>
            </w:pPr>
            <w:r w:rsidRPr="00471CBA">
              <w:rPr>
                <w:color w:val="000000"/>
                <w:sz w:val="14"/>
                <w:szCs w:val="14"/>
                <w:lang w:eastAsia="tr-TR"/>
              </w:rPr>
              <w:t>6</w:t>
            </w:r>
          </w:p>
        </w:tc>
        <w:tc>
          <w:tcPr>
            <w:tcW w:w="1694" w:type="pct"/>
            <w:tcBorders>
              <w:top w:val="single" w:sz="4" w:space="0" w:color="auto"/>
              <w:left w:val="nil"/>
              <w:bottom w:val="single" w:sz="4" w:space="0" w:color="auto"/>
              <w:right w:val="single" w:sz="4" w:space="0" w:color="auto"/>
            </w:tcBorders>
            <w:vAlign w:val="center"/>
            <w:hideMark/>
          </w:tcPr>
          <w:p w14:paraId="49605A49" w14:textId="77777777" w:rsidR="00A74C68" w:rsidRPr="00471CBA" w:rsidRDefault="00A74C68" w:rsidP="00A74C68">
            <w:pPr>
              <w:rPr>
                <w:color w:val="000000"/>
                <w:sz w:val="14"/>
                <w:szCs w:val="14"/>
                <w:lang w:eastAsia="tr-TR"/>
              </w:rPr>
            </w:pPr>
            <w:r w:rsidRPr="00471CBA">
              <w:rPr>
                <w:color w:val="000000"/>
                <w:sz w:val="14"/>
                <w:szCs w:val="14"/>
                <w:lang w:eastAsia="tr-TR"/>
              </w:rPr>
              <w:t>Düşük istikrarlı katılım fonu</w:t>
            </w:r>
          </w:p>
        </w:tc>
        <w:tc>
          <w:tcPr>
            <w:tcW w:w="596" w:type="pct"/>
            <w:tcBorders>
              <w:top w:val="single" w:sz="4" w:space="0" w:color="auto"/>
              <w:left w:val="nil"/>
              <w:bottom w:val="single" w:sz="4" w:space="0" w:color="auto"/>
              <w:right w:val="single" w:sz="4" w:space="0" w:color="auto"/>
            </w:tcBorders>
            <w:vAlign w:val="bottom"/>
            <w:hideMark/>
          </w:tcPr>
          <w:p w14:paraId="10748A00" w14:textId="77777777" w:rsidR="00A74C68" w:rsidRPr="00471CBA" w:rsidRDefault="00A74C68" w:rsidP="00A74C68">
            <w:pPr>
              <w:jc w:val="right"/>
              <w:rPr>
                <w:color w:val="000000"/>
                <w:sz w:val="14"/>
                <w:szCs w:val="14"/>
                <w:lang w:eastAsia="tr-TR"/>
              </w:rPr>
            </w:pPr>
            <w:r w:rsidRPr="00471CBA">
              <w:rPr>
                <w:color w:val="000000"/>
                <w:sz w:val="14"/>
                <w:szCs w:val="14"/>
                <w:lang w:eastAsia="tr-TR"/>
              </w:rPr>
              <w:t>574.728</w:t>
            </w:r>
          </w:p>
        </w:tc>
        <w:tc>
          <w:tcPr>
            <w:tcW w:w="626" w:type="pct"/>
            <w:tcBorders>
              <w:top w:val="single" w:sz="4" w:space="0" w:color="auto"/>
              <w:left w:val="nil"/>
              <w:bottom w:val="single" w:sz="4" w:space="0" w:color="auto"/>
              <w:right w:val="single" w:sz="4" w:space="0" w:color="auto"/>
            </w:tcBorders>
            <w:vAlign w:val="bottom"/>
            <w:hideMark/>
          </w:tcPr>
          <w:p w14:paraId="61DECF8E" w14:textId="77777777" w:rsidR="00A74C68" w:rsidRPr="00471CBA" w:rsidRDefault="00A74C68" w:rsidP="00A74C68">
            <w:pPr>
              <w:jc w:val="right"/>
              <w:rPr>
                <w:color w:val="000000"/>
                <w:sz w:val="14"/>
                <w:szCs w:val="14"/>
                <w:lang w:eastAsia="tr-TR"/>
              </w:rPr>
            </w:pPr>
            <w:r w:rsidRPr="00471CBA">
              <w:rPr>
                <w:color w:val="000000"/>
                <w:sz w:val="14"/>
                <w:szCs w:val="14"/>
                <w:lang w:eastAsia="tr-TR"/>
              </w:rPr>
              <w:t>3.974.677</w:t>
            </w:r>
          </w:p>
        </w:tc>
        <w:tc>
          <w:tcPr>
            <w:tcW w:w="647" w:type="pct"/>
            <w:tcBorders>
              <w:top w:val="single" w:sz="4" w:space="0" w:color="auto"/>
              <w:left w:val="nil"/>
              <w:bottom w:val="single" w:sz="4" w:space="0" w:color="auto"/>
              <w:right w:val="single" w:sz="4" w:space="0" w:color="auto"/>
            </w:tcBorders>
            <w:vAlign w:val="bottom"/>
            <w:hideMark/>
          </w:tcPr>
          <w:p w14:paraId="3BCD6536" w14:textId="77777777" w:rsidR="00A74C68" w:rsidRPr="00471CBA" w:rsidRDefault="00A74C68" w:rsidP="00A74C68">
            <w:pPr>
              <w:jc w:val="right"/>
              <w:rPr>
                <w:color w:val="000000"/>
                <w:sz w:val="14"/>
                <w:szCs w:val="14"/>
                <w:lang w:eastAsia="tr-TR"/>
              </w:rPr>
            </w:pPr>
            <w:r w:rsidRPr="00471CBA">
              <w:rPr>
                <w:color w:val="000000"/>
                <w:sz w:val="14"/>
                <w:szCs w:val="14"/>
                <w:lang w:eastAsia="tr-TR"/>
              </w:rPr>
              <w:t>53.849</w:t>
            </w:r>
          </w:p>
        </w:tc>
        <w:tc>
          <w:tcPr>
            <w:tcW w:w="669" w:type="pct"/>
            <w:tcBorders>
              <w:top w:val="single" w:sz="4" w:space="0" w:color="auto"/>
              <w:left w:val="nil"/>
              <w:bottom w:val="single" w:sz="4" w:space="0" w:color="auto"/>
              <w:right w:val="single" w:sz="4" w:space="0" w:color="auto"/>
            </w:tcBorders>
            <w:vAlign w:val="bottom"/>
            <w:hideMark/>
          </w:tcPr>
          <w:p w14:paraId="51B08E4D"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7D4FF6F6" w14:textId="77777777" w:rsidR="00A74C68" w:rsidRPr="00471CBA" w:rsidRDefault="00A74C68" w:rsidP="00A74C68">
            <w:pPr>
              <w:jc w:val="right"/>
              <w:rPr>
                <w:color w:val="000000"/>
                <w:sz w:val="14"/>
                <w:szCs w:val="14"/>
                <w:lang w:eastAsia="tr-TR"/>
              </w:rPr>
            </w:pPr>
            <w:r w:rsidRPr="00471CBA">
              <w:rPr>
                <w:color w:val="000000"/>
                <w:sz w:val="14"/>
                <w:szCs w:val="14"/>
                <w:lang w:eastAsia="tr-TR"/>
              </w:rPr>
              <w:t>4.142.928</w:t>
            </w:r>
          </w:p>
        </w:tc>
      </w:tr>
      <w:tr w:rsidR="00A74C68" w:rsidRPr="00471CBA" w14:paraId="7824E410" w14:textId="77777777" w:rsidTr="00A74C68">
        <w:trPr>
          <w:divId w:val="1408452450"/>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58CA8957" w14:textId="77777777" w:rsidR="00A74C68" w:rsidRPr="00471CBA" w:rsidRDefault="00A74C68" w:rsidP="00A74C68">
            <w:pPr>
              <w:rPr>
                <w:color w:val="000000"/>
                <w:sz w:val="14"/>
                <w:szCs w:val="14"/>
                <w:lang w:eastAsia="tr-TR"/>
              </w:rPr>
            </w:pPr>
            <w:r w:rsidRPr="00471CBA">
              <w:rPr>
                <w:color w:val="000000"/>
                <w:sz w:val="14"/>
                <w:szCs w:val="14"/>
                <w:lang w:eastAsia="tr-TR"/>
              </w:rPr>
              <w:t>7</w:t>
            </w:r>
          </w:p>
        </w:tc>
        <w:tc>
          <w:tcPr>
            <w:tcW w:w="1694" w:type="pct"/>
            <w:tcBorders>
              <w:top w:val="single" w:sz="4" w:space="0" w:color="auto"/>
              <w:left w:val="nil"/>
              <w:bottom w:val="single" w:sz="4" w:space="0" w:color="auto"/>
              <w:right w:val="single" w:sz="4" w:space="0" w:color="auto"/>
            </w:tcBorders>
            <w:vAlign w:val="center"/>
            <w:hideMark/>
          </w:tcPr>
          <w:p w14:paraId="6D03B508" w14:textId="77777777" w:rsidR="00A74C68" w:rsidRPr="00471CBA" w:rsidRDefault="00A74C68" w:rsidP="00A74C68">
            <w:pPr>
              <w:rPr>
                <w:color w:val="000000"/>
                <w:sz w:val="14"/>
                <w:szCs w:val="14"/>
                <w:lang w:eastAsia="tr-TR"/>
              </w:rPr>
            </w:pPr>
            <w:r w:rsidRPr="00471CBA">
              <w:rPr>
                <w:color w:val="000000"/>
                <w:sz w:val="14"/>
                <w:szCs w:val="14"/>
                <w:lang w:eastAsia="tr-TR"/>
              </w:rPr>
              <w:t xml:space="preserve">Diğer kişilere borçlar </w:t>
            </w:r>
          </w:p>
        </w:tc>
        <w:tc>
          <w:tcPr>
            <w:tcW w:w="596" w:type="pct"/>
            <w:tcBorders>
              <w:top w:val="single" w:sz="4" w:space="0" w:color="auto"/>
              <w:left w:val="nil"/>
              <w:bottom w:val="single" w:sz="4" w:space="0" w:color="auto"/>
              <w:right w:val="single" w:sz="4" w:space="0" w:color="auto"/>
            </w:tcBorders>
            <w:vAlign w:val="bottom"/>
            <w:hideMark/>
          </w:tcPr>
          <w:p w14:paraId="4244D95C" w14:textId="77777777" w:rsidR="00A74C68" w:rsidRPr="00471CBA" w:rsidRDefault="00A74C68" w:rsidP="00A74C68">
            <w:pPr>
              <w:jc w:val="right"/>
              <w:rPr>
                <w:color w:val="000000"/>
                <w:sz w:val="14"/>
                <w:szCs w:val="14"/>
                <w:lang w:eastAsia="tr-TR"/>
              </w:rPr>
            </w:pPr>
            <w:r w:rsidRPr="00471CBA">
              <w:rPr>
                <w:color w:val="000000"/>
                <w:sz w:val="14"/>
                <w:szCs w:val="14"/>
                <w:lang w:eastAsia="tr-TR"/>
              </w:rPr>
              <w:t>1.825.401</w:t>
            </w:r>
          </w:p>
        </w:tc>
        <w:tc>
          <w:tcPr>
            <w:tcW w:w="626" w:type="pct"/>
            <w:tcBorders>
              <w:top w:val="single" w:sz="4" w:space="0" w:color="auto"/>
              <w:left w:val="nil"/>
              <w:bottom w:val="single" w:sz="4" w:space="0" w:color="auto"/>
              <w:right w:val="single" w:sz="4" w:space="0" w:color="auto"/>
            </w:tcBorders>
            <w:vAlign w:val="bottom"/>
            <w:hideMark/>
          </w:tcPr>
          <w:p w14:paraId="66537629" w14:textId="77777777" w:rsidR="00A74C68" w:rsidRPr="00471CBA" w:rsidRDefault="00A74C68" w:rsidP="00A74C68">
            <w:pPr>
              <w:jc w:val="right"/>
              <w:rPr>
                <w:color w:val="000000"/>
                <w:sz w:val="14"/>
                <w:szCs w:val="14"/>
                <w:lang w:eastAsia="tr-TR"/>
              </w:rPr>
            </w:pPr>
            <w:r w:rsidRPr="00471CBA">
              <w:rPr>
                <w:color w:val="000000"/>
                <w:sz w:val="14"/>
                <w:szCs w:val="14"/>
                <w:lang w:eastAsia="tr-TR"/>
              </w:rPr>
              <w:t>12.330.831</w:t>
            </w:r>
          </w:p>
        </w:tc>
        <w:tc>
          <w:tcPr>
            <w:tcW w:w="647" w:type="pct"/>
            <w:tcBorders>
              <w:top w:val="single" w:sz="4" w:space="0" w:color="auto"/>
              <w:left w:val="nil"/>
              <w:bottom w:val="single" w:sz="4" w:space="0" w:color="auto"/>
              <w:right w:val="single" w:sz="4" w:space="0" w:color="auto"/>
            </w:tcBorders>
            <w:vAlign w:val="bottom"/>
            <w:hideMark/>
          </w:tcPr>
          <w:p w14:paraId="2AE8F7A2" w14:textId="77777777" w:rsidR="00A74C68" w:rsidRPr="00471CBA" w:rsidRDefault="00A74C68" w:rsidP="00A74C68">
            <w:pPr>
              <w:jc w:val="right"/>
              <w:rPr>
                <w:color w:val="000000"/>
                <w:sz w:val="14"/>
                <w:szCs w:val="14"/>
                <w:lang w:eastAsia="tr-TR"/>
              </w:rPr>
            </w:pPr>
            <w:r w:rsidRPr="00471CBA">
              <w:rPr>
                <w:color w:val="000000"/>
                <w:sz w:val="14"/>
                <w:szCs w:val="14"/>
                <w:lang w:eastAsia="tr-TR"/>
              </w:rPr>
              <w:t>740.253</w:t>
            </w:r>
          </w:p>
        </w:tc>
        <w:tc>
          <w:tcPr>
            <w:tcW w:w="669" w:type="pct"/>
            <w:tcBorders>
              <w:top w:val="single" w:sz="4" w:space="0" w:color="auto"/>
              <w:left w:val="nil"/>
              <w:bottom w:val="single" w:sz="4" w:space="0" w:color="auto"/>
              <w:right w:val="single" w:sz="4" w:space="0" w:color="auto"/>
            </w:tcBorders>
            <w:vAlign w:val="bottom"/>
            <w:hideMark/>
          </w:tcPr>
          <w:p w14:paraId="4670DB8A"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72A3273A" w14:textId="77777777" w:rsidR="00A74C68" w:rsidRPr="00471CBA" w:rsidRDefault="00A74C68" w:rsidP="00A74C68">
            <w:pPr>
              <w:jc w:val="right"/>
              <w:rPr>
                <w:color w:val="000000"/>
                <w:sz w:val="14"/>
                <w:szCs w:val="14"/>
                <w:lang w:eastAsia="tr-TR"/>
              </w:rPr>
            </w:pPr>
            <w:r w:rsidRPr="00471CBA">
              <w:rPr>
                <w:color w:val="000000"/>
                <w:sz w:val="14"/>
                <w:szCs w:val="14"/>
                <w:lang w:eastAsia="tr-TR"/>
              </w:rPr>
              <w:t>7.448.242</w:t>
            </w:r>
          </w:p>
        </w:tc>
      </w:tr>
      <w:tr w:rsidR="00A74C68" w:rsidRPr="00471CBA" w14:paraId="514C2480" w14:textId="77777777" w:rsidTr="00A74C68">
        <w:trPr>
          <w:divId w:val="1408452450"/>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3A4E2DBA" w14:textId="77777777" w:rsidR="00A74C68" w:rsidRPr="00471CBA" w:rsidRDefault="00A74C68" w:rsidP="00A74C68">
            <w:pPr>
              <w:rPr>
                <w:color w:val="000000"/>
                <w:sz w:val="14"/>
                <w:szCs w:val="14"/>
                <w:lang w:eastAsia="tr-TR"/>
              </w:rPr>
            </w:pPr>
            <w:r w:rsidRPr="00471CBA">
              <w:rPr>
                <w:color w:val="000000"/>
                <w:sz w:val="14"/>
                <w:szCs w:val="14"/>
                <w:lang w:eastAsia="tr-TR"/>
              </w:rPr>
              <w:t>8</w:t>
            </w:r>
          </w:p>
        </w:tc>
        <w:tc>
          <w:tcPr>
            <w:tcW w:w="1694" w:type="pct"/>
            <w:tcBorders>
              <w:top w:val="single" w:sz="4" w:space="0" w:color="auto"/>
              <w:left w:val="nil"/>
              <w:bottom w:val="single" w:sz="4" w:space="0" w:color="auto"/>
              <w:right w:val="single" w:sz="4" w:space="0" w:color="auto"/>
            </w:tcBorders>
            <w:vAlign w:val="center"/>
            <w:hideMark/>
          </w:tcPr>
          <w:p w14:paraId="643D1268" w14:textId="77777777" w:rsidR="00A74C68" w:rsidRPr="00471CBA" w:rsidRDefault="00A74C68" w:rsidP="00A74C68">
            <w:pPr>
              <w:rPr>
                <w:color w:val="000000"/>
                <w:sz w:val="14"/>
                <w:szCs w:val="14"/>
                <w:lang w:eastAsia="tr-TR"/>
              </w:rPr>
            </w:pPr>
            <w:r w:rsidRPr="00471CBA">
              <w:rPr>
                <w:color w:val="000000"/>
                <w:sz w:val="14"/>
                <w:szCs w:val="14"/>
                <w:lang w:eastAsia="tr-TR"/>
              </w:rPr>
              <w:t>Operasyonel katılım fonu</w:t>
            </w:r>
          </w:p>
        </w:tc>
        <w:tc>
          <w:tcPr>
            <w:tcW w:w="596" w:type="pct"/>
            <w:tcBorders>
              <w:top w:val="single" w:sz="4" w:space="0" w:color="auto"/>
              <w:left w:val="nil"/>
              <w:bottom w:val="single" w:sz="4" w:space="0" w:color="auto"/>
              <w:right w:val="single" w:sz="4" w:space="0" w:color="auto"/>
            </w:tcBorders>
            <w:vAlign w:val="bottom"/>
            <w:hideMark/>
          </w:tcPr>
          <w:p w14:paraId="15F817D2"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vAlign w:val="bottom"/>
            <w:hideMark/>
          </w:tcPr>
          <w:p w14:paraId="69B68650"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47" w:type="pct"/>
            <w:tcBorders>
              <w:top w:val="single" w:sz="4" w:space="0" w:color="auto"/>
              <w:left w:val="nil"/>
              <w:bottom w:val="single" w:sz="4" w:space="0" w:color="auto"/>
              <w:right w:val="single" w:sz="4" w:space="0" w:color="auto"/>
            </w:tcBorders>
            <w:vAlign w:val="bottom"/>
            <w:hideMark/>
          </w:tcPr>
          <w:p w14:paraId="1A4B9FA7"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69" w:type="pct"/>
            <w:tcBorders>
              <w:top w:val="single" w:sz="4" w:space="0" w:color="auto"/>
              <w:left w:val="nil"/>
              <w:bottom w:val="single" w:sz="4" w:space="0" w:color="auto"/>
              <w:right w:val="single" w:sz="4" w:space="0" w:color="auto"/>
            </w:tcBorders>
            <w:vAlign w:val="bottom"/>
            <w:hideMark/>
          </w:tcPr>
          <w:p w14:paraId="6238956B"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2FC91C37"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r>
      <w:tr w:rsidR="00A74C68" w:rsidRPr="00471CBA" w14:paraId="593A10CC" w14:textId="77777777" w:rsidTr="00A74C68">
        <w:trPr>
          <w:divId w:val="1408452450"/>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71211704" w14:textId="77777777" w:rsidR="00A74C68" w:rsidRPr="00471CBA" w:rsidRDefault="00A74C68" w:rsidP="00A74C68">
            <w:pPr>
              <w:rPr>
                <w:color w:val="000000"/>
                <w:sz w:val="14"/>
                <w:szCs w:val="14"/>
                <w:lang w:eastAsia="tr-TR"/>
              </w:rPr>
            </w:pPr>
            <w:r w:rsidRPr="00471CBA">
              <w:rPr>
                <w:color w:val="000000"/>
                <w:sz w:val="14"/>
                <w:szCs w:val="14"/>
                <w:lang w:eastAsia="tr-TR"/>
              </w:rPr>
              <w:t>9</w:t>
            </w:r>
          </w:p>
        </w:tc>
        <w:tc>
          <w:tcPr>
            <w:tcW w:w="1694" w:type="pct"/>
            <w:tcBorders>
              <w:top w:val="single" w:sz="4" w:space="0" w:color="auto"/>
              <w:left w:val="nil"/>
              <w:bottom w:val="single" w:sz="4" w:space="0" w:color="auto"/>
              <w:right w:val="single" w:sz="4" w:space="0" w:color="auto"/>
            </w:tcBorders>
            <w:vAlign w:val="center"/>
            <w:hideMark/>
          </w:tcPr>
          <w:p w14:paraId="1D7CF076" w14:textId="77777777" w:rsidR="00A74C68" w:rsidRPr="00471CBA" w:rsidRDefault="00A74C68" w:rsidP="00A74C68">
            <w:pPr>
              <w:rPr>
                <w:color w:val="000000"/>
                <w:sz w:val="14"/>
                <w:szCs w:val="14"/>
                <w:lang w:eastAsia="tr-TR"/>
              </w:rPr>
            </w:pPr>
            <w:r w:rsidRPr="00471CBA">
              <w:rPr>
                <w:color w:val="000000"/>
                <w:sz w:val="14"/>
                <w:szCs w:val="14"/>
                <w:lang w:eastAsia="tr-TR"/>
              </w:rPr>
              <w:t>Diğer borçlar</w:t>
            </w:r>
          </w:p>
        </w:tc>
        <w:tc>
          <w:tcPr>
            <w:tcW w:w="596" w:type="pct"/>
            <w:tcBorders>
              <w:top w:val="single" w:sz="4" w:space="0" w:color="auto"/>
              <w:left w:val="nil"/>
              <w:bottom w:val="single" w:sz="4" w:space="0" w:color="auto"/>
              <w:right w:val="single" w:sz="4" w:space="0" w:color="auto"/>
            </w:tcBorders>
            <w:vAlign w:val="bottom"/>
            <w:hideMark/>
          </w:tcPr>
          <w:p w14:paraId="5D21AA05" w14:textId="77777777" w:rsidR="00A74C68" w:rsidRPr="00471CBA" w:rsidRDefault="00A74C68" w:rsidP="00A74C68">
            <w:pPr>
              <w:jc w:val="right"/>
              <w:rPr>
                <w:color w:val="000000"/>
                <w:sz w:val="14"/>
                <w:szCs w:val="14"/>
                <w:lang w:eastAsia="tr-TR"/>
              </w:rPr>
            </w:pPr>
            <w:r w:rsidRPr="00471CBA">
              <w:rPr>
                <w:color w:val="000000"/>
                <w:sz w:val="14"/>
                <w:szCs w:val="14"/>
                <w:lang w:eastAsia="tr-TR"/>
              </w:rPr>
              <w:t>1.825.401</w:t>
            </w:r>
          </w:p>
        </w:tc>
        <w:tc>
          <w:tcPr>
            <w:tcW w:w="626" w:type="pct"/>
            <w:tcBorders>
              <w:top w:val="single" w:sz="4" w:space="0" w:color="auto"/>
              <w:left w:val="nil"/>
              <w:bottom w:val="single" w:sz="4" w:space="0" w:color="auto"/>
              <w:right w:val="single" w:sz="4" w:space="0" w:color="auto"/>
            </w:tcBorders>
            <w:vAlign w:val="bottom"/>
            <w:hideMark/>
          </w:tcPr>
          <w:p w14:paraId="6F8462C5" w14:textId="77777777" w:rsidR="00A74C68" w:rsidRPr="00471CBA" w:rsidRDefault="00A74C68" w:rsidP="00A74C68">
            <w:pPr>
              <w:jc w:val="right"/>
              <w:rPr>
                <w:color w:val="000000"/>
                <w:sz w:val="14"/>
                <w:szCs w:val="14"/>
                <w:lang w:eastAsia="tr-TR"/>
              </w:rPr>
            </w:pPr>
            <w:r w:rsidRPr="00471CBA">
              <w:rPr>
                <w:color w:val="000000"/>
                <w:sz w:val="14"/>
                <w:szCs w:val="14"/>
                <w:lang w:eastAsia="tr-TR"/>
              </w:rPr>
              <w:t>12.330.831</w:t>
            </w:r>
          </w:p>
        </w:tc>
        <w:tc>
          <w:tcPr>
            <w:tcW w:w="647" w:type="pct"/>
            <w:tcBorders>
              <w:top w:val="single" w:sz="4" w:space="0" w:color="auto"/>
              <w:left w:val="nil"/>
              <w:bottom w:val="single" w:sz="4" w:space="0" w:color="auto"/>
              <w:right w:val="single" w:sz="4" w:space="0" w:color="auto"/>
            </w:tcBorders>
            <w:vAlign w:val="bottom"/>
            <w:hideMark/>
          </w:tcPr>
          <w:p w14:paraId="44CE216B" w14:textId="77777777" w:rsidR="00A74C68" w:rsidRPr="00471CBA" w:rsidRDefault="00A74C68" w:rsidP="00A74C68">
            <w:pPr>
              <w:jc w:val="right"/>
              <w:rPr>
                <w:color w:val="000000"/>
                <w:sz w:val="14"/>
                <w:szCs w:val="14"/>
                <w:lang w:eastAsia="tr-TR"/>
              </w:rPr>
            </w:pPr>
            <w:r w:rsidRPr="00471CBA">
              <w:rPr>
                <w:color w:val="000000"/>
                <w:sz w:val="14"/>
                <w:szCs w:val="14"/>
                <w:lang w:eastAsia="tr-TR"/>
              </w:rPr>
              <w:t>740.253</w:t>
            </w:r>
          </w:p>
        </w:tc>
        <w:tc>
          <w:tcPr>
            <w:tcW w:w="669" w:type="pct"/>
            <w:tcBorders>
              <w:top w:val="single" w:sz="4" w:space="0" w:color="auto"/>
              <w:left w:val="nil"/>
              <w:bottom w:val="single" w:sz="4" w:space="0" w:color="auto"/>
              <w:right w:val="single" w:sz="4" w:space="0" w:color="auto"/>
            </w:tcBorders>
            <w:vAlign w:val="bottom"/>
            <w:hideMark/>
          </w:tcPr>
          <w:p w14:paraId="32E4D778"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102AE905" w14:textId="77777777" w:rsidR="00A74C68" w:rsidRPr="00471CBA" w:rsidRDefault="00A74C68" w:rsidP="00A74C68">
            <w:pPr>
              <w:jc w:val="right"/>
              <w:rPr>
                <w:color w:val="000000"/>
                <w:sz w:val="14"/>
                <w:szCs w:val="14"/>
                <w:lang w:eastAsia="tr-TR"/>
              </w:rPr>
            </w:pPr>
            <w:r w:rsidRPr="00471CBA">
              <w:rPr>
                <w:color w:val="000000"/>
                <w:sz w:val="14"/>
                <w:szCs w:val="14"/>
                <w:lang w:eastAsia="tr-TR"/>
              </w:rPr>
              <w:t>7.448.242</w:t>
            </w:r>
          </w:p>
        </w:tc>
      </w:tr>
      <w:tr w:rsidR="00A74C68" w:rsidRPr="00471CBA" w14:paraId="6F696397" w14:textId="77777777" w:rsidTr="00A74C68">
        <w:trPr>
          <w:divId w:val="1408452450"/>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23A353DA" w14:textId="77777777" w:rsidR="00A74C68" w:rsidRPr="00471CBA" w:rsidRDefault="00A74C68" w:rsidP="00A74C68">
            <w:pPr>
              <w:rPr>
                <w:color w:val="000000"/>
                <w:sz w:val="14"/>
                <w:szCs w:val="14"/>
                <w:lang w:eastAsia="tr-TR"/>
              </w:rPr>
            </w:pPr>
            <w:r w:rsidRPr="00471CBA">
              <w:rPr>
                <w:color w:val="000000"/>
                <w:sz w:val="14"/>
                <w:szCs w:val="14"/>
                <w:lang w:eastAsia="tr-TR"/>
              </w:rPr>
              <w:t>10</w:t>
            </w:r>
          </w:p>
        </w:tc>
        <w:tc>
          <w:tcPr>
            <w:tcW w:w="1694" w:type="pct"/>
            <w:tcBorders>
              <w:top w:val="single" w:sz="4" w:space="0" w:color="auto"/>
              <w:left w:val="nil"/>
              <w:bottom w:val="single" w:sz="4" w:space="0" w:color="auto"/>
              <w:right w:val="single" w:sz="4" w:space="0" w:color="auto"/>
            </w:tcBorders>
            <w:vAlign w:val="center"/>
            <w:hideMark/>
          </w:tcPr>
          <w:p w14:paraId="4BD4A1B2" w14:textId="77777777" w:rsidR="00A74C68" w:rsidRPr="00471CBA" w:rsidRDefault="00A74C68" w:rsidP="00A74C68">
            <w:pPr>
              <w:rPr>
                <w:color w:val="000000"/>
                <w:sz w:val="14"/>
                <w:szCs w:val="14"/>
                <w:lang w:eastAsia="tr-TR"/>
              </w:rPr>
            </w:pPr>
            <w:r w:rsidRPr="00471CBA">
              <w:rPr>
                <w:color w:val="000000"/>
                <w:sz w:val="14"/>
                <w:szCs w:val="14"/>
                <w:lang w:eastAsia="tr-TR"/>
              </w:rPr>
              <w:t xml:space="preserve">Birbirlerine bağlı varlıklara eşdeğer yükümlülükler </w:t>
            </w:r>
          </w:p>
        </w:tc>
        <w:tc>
          <w:tcPr>
            <w:tcW w:w="596" w:type="pct"/>
            <w:tcBorders>
              <w:top w:val="single" w:sz="4" w:space="0" w:color="auto"/>
              <w:left w:val="nil"/>
              <w:bottom w:val="single" w:sz="4" w:space="0" w:color="auto"/>
              <w:right w:val="single" w:sz="4" w:space="0" w:color="auto"/>
            </w:tcBorders>
            <w:shd w:val="clear" w:color="000000" w:fill="000000"/>
            <w:vAlign w:val="bottom"/>
            <w:hideMark/>
          </w:tcPr>
          <w:p w14:paraId="374BF8CA"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626" w:type="pct"/>
            <w:tcBorders>
              <w:top w:val="single" w:sz="4" w:space="0" w:color="auto"/>
              <w:left w:val="nil"/>
              <w:bottom w:val="single" w:sz="4" w:space="0" w:color="auto"/>
              <w:right w:val="single" w:sz="4" w:space="0" w:color="auto"/>
            </w:tcBorders>
            <w:shd w:val="clear" w:color="000000" w:fill="000000"/>
            <w:vAlign w:val="bottom"/>
            <w:hideMark/>
          </w:tcPr>
          <w:p w14:paraId="78943007"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647" w:type="pct"/>
            <w:tcBorders>
              <w:top w:val="single" w:sz="4" w:space="0" w:color="auto"/>
              <w:left w:val="nil"/>
              <w:bottom w:val="single" w:sz="4" w:space="0" w:color="auto"/>
              <w:right w:val="single" w:sz="4" w:space="0" w:color="auto"/>
            </w:tcBorders>
            <w:shd w:val="clear" w:color="000000" w:fill="000000"/>
            <w:vAlign w:val="bottom"/>
            <w:hideMark/>
          </w:tcPr>
          <w:p w14:paraId="680363CB"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669" w:type="pct"/>
            <w:tcBorders>
              <w:top w:val="single" w:sz="4" w:space="0" w:color="auto"/>
              <w:left w:val="nil"/>
              <w:bottom w:val="single" w:sz="4" w:space="0" w:color="auto"/>
              <w:right w:val="single" w:sz="4" w:space="0" w:color="auto"/>
            </w:tcBorders>
            <w:shd w:val="clear" w:color="000000" w:fill="000000"/>
            <w:vAlign w:val="bottom"/>
            <w:hideMark/>
          </w:tcPr>
          <w:p w14:paraId="65184846"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625" w:type="pct"/>
            <w:tcBorders>
              <w:top w:val="single" w:sz="4" w:space="0" w:color="auto"/>
              <w:left w:val="nil"/>
              <w:bottom w:val="single" w:sz="4" w:space="0" w:color="auto"/>
              <w:right w:val="single" w:sz="4" w:space="0" w:color="auto"/>
            </w:tcBorders>
            <w:shd w:val="clear" w:color="000000" w:fill="000000"/>
            <w:vAlign w:val="bottom"/>
            <w:hideMark/>
          </w:tcPr>
          <w:p w14:paraId="6F9983FD"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r>
      <w:tr w:rsidR="00A74C68" w:rsidRPr="00471CBA" w14:paraId="31953066" w14:textId="77777777" w:rsidTr="00A74C68">
        <w:trPr>
          <w:divId w:val="1408452450"/>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391E7A3D" w14:textId="77777777" w:rsidR="00A74C68" w:rsidRPr="00471CBA" w:rsidRDefault="00A74C68" w:rsidP="00A74C68">
            <w:pPr>
              <w:rPr>
                <w:color w:val="000000"/>
                <w:sz w:val="14"/>
                <w:szCs w:val="14"/>
                <w:lang w:eastAsia="tr-TR"/>
              </w:rPr>
            </w:pPr>
            <w:r w:rsidRPr="00471CBA">
              <w:rPr>
                <w:color w:val="000000"/>
                <w:sz w:val="14"/>
                <w:szCs w:val="14"/>
                <w:lang w:eastAsia="tr-TR"/>
              </w:rPr>
              <w:t>11</w:t>
            </w:r>
          </w:p>
        </w:tc>
        <w:tc>
          <w:tcPr>
            <w:tcW w:w="1694" w:type="pct"/>
            <w:tcBorders>
              <w:top w:val="single" w:sz="4" w:space="0" w:color="auto"/>
              <w:left w:val="nil"/>
              <w:bottom w:val="single" w:sz="4" w:space="0" w:color="auto"/>
              <w:right w:val="single" w:sz="4" w:space="0" w:color="auto"/>
            </w:tcBorders>
            <w:vAlign w:val="center"/>
            <w:hideMark/>
          </w:tcPr>
          <w:p w14:paraId="61443CAA" w14:textId="77777777" w:rsidR="00A74C68" w:rsidRPr="00471CBA" w:rsidRDefault="00A74C68" w:rsidP="00A74C68">
            <w:pPr>
              <w:rPr>
                <w:color w:val="000000"/>
                <w:sz w:val="14"/>
                <w:szCs w:val="14"/>
                <w:lang w:eastAsia="tr-TR"/>
              </w:rPr>
            </w:pPr>
            <w:r w:rsidRPr="00471CBA">
              <w:rPr>
                <w:color w:val="000000"/>
                <w:sz w:val="14"/>
                <w:szCs w:val="14"/>
                <w:lang w:eastAsia="tr-TR"/>
              </w:rPr>
              <w:t>Diğer yükümlülükler</w:t>
            </w:r>
          </w:p>
        </w:tc>
        <w:tc>
          <w:tcPr>
            <w:tcW w:w="596" w:type="pct"/>
            <w:tcBorders>
              <w:top w:val="single" w:sz="4" w:space="0" w:color="auto"/>
              <w:left w:val="nil"/>
              <w:bottom w:val="single" w:sz="4" w:space="0" w:color="auto"/>
              <w:right w:val="single" w:sz="4" w:space="0" w:color="auto"/>
            </w:tcBorders>
            <w:vAlign w:val="bottom"/>
            <w:hideMark/>
          </w:tcPr>
          <w:p w14:paraId="11D8430B" w14:textId="77777777" w:rsidR="00A74C68" w:rsidRPr="00471CBA" w:rsidRDefault="00A74C68" w:rsidP="00A74C68">
            <w:pPr>
              <w:jc w:val="right"/>
              <w:rPr>
                <w:color w:val="000000"/>
                <w:sz w:val="14"/>
                <w:szCs w:val="14"/>
                <w:lang w:eastAsia="tr-TR"/>
              </w:rPr>
            </w:pPr>
            <w:r w:rsidRPr="00471CBA">
              <w:rPr>
                <w:color w:val="000000"/>
                <w:sz w:val="14"/>
                <w:szCs w:val="14"/>
                <w:lang w:eastAsia="tr-TR"/>
              </w:rPr>
              <w:t>212.532</w:t>
            </w:r>
          </w:p>
        </w:tc>
        <w:tc>
          <w:tcPr>
            <w:tcW w:w="626" w:type="pct"/>
            <w:tcBorders>
              <w:top w:val="single" w:sz="4" w:space="0" w:color="auto"/>
              <w:left w:val="nil"/>
              <w:bottom w:val="single" w:sz="4" w:space="0" w:color="auto"/>
              <w:right w:val="single" w:sz="4" w:space="0" w:color="auto"/>
            </w:tcBorders>
            <w:vAlign w:val="bottom"/>
            <w:hideMark/>
          </w:tcPr>
          <w:p w14:paraId="3090A516" w14:textId="77777777" w:rsidR="00A74C68" w:rsidRPr="00471CBA" w:rsidRDefault="00A74C68" w:rsidP="00A74C68">
            <w:pPr>
              <w:jc w:val="right"/>
              <w:rPr>
                <w:color w:val="000000"/>
                <w:sz w:val="14"/>
                <w:szCs w:val="14"/>
                <w:lang w:eastAsia="tr-TR"/>
              </w:rPr>
            </w:pPr>
            <w:r w:rsidRPr="00471CBA">
              <w:rPr>
                <w:color w:val="000000"/>
                <w:sz w:val="14"/>
                <w:szCs w:val="14"/>
                <w:lang w:eastAsia="tr-TR"/>
              </w:rPr>
              <w:t>7.489.209</w:t>
            </w:r>
          </w:p>
        </w:tc>
        <w:tc>
          <w:tcPr>
            <w:tcW w:w="647" w:type="pct"/>
            <w:tcBorders>
              <w:top w:val="single" w:sz="4" w:space="0" w:color="auto"/>
              <w:left w:val="nil"/>
              <w:bottom w:val="single" w:sz="4" w:space="0" w:color="auto"/>
              <w:right w:val="single" w:sz="4" w:space="0" w:color="auto"/>
            </w:tcBorders>
            <w:vAlign w:val="bottom"/>
            <w:hideMark/>
          </w:tcPr>
          <w:p w14:paraId="3819F74A"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69" w:type="pct"/>
            <w:tcBorders>
              <w:top w:val="single" w:sz="4" w:space="0" w:color="auto"/>
              <w:left w:val="nil"/>
              <w:bottom w:val="single" w:sz="4" w:space="0" w:color="auto"/>
              <w:right w:val="single" w:sz="4" w:space="0" w:color="auto"/>
            </w:tcBorders>
            <w:vAlign w:val="bottom"/>
            <w:hideMark/>
          </w:tcPr>
          <w:p w14:paraId="5730917F" w14:textId="77777777" w:rsidR="00A74C68" w:rsidRPr="00471CBA" w:rsidRDefault="00A74C68" w:rsidP="00A74C68">
            <w:pPr>
              <w:jc w:val="right"/>
              <w:rPr>
                <w:color w:val="000000"/>
                <w:sz w:val="14"/>
                <w:szCs w:val="14"/>
                <w:lang w:eastAsia="tr-TR"/>
              </w:rPr>
            </w:pPr>
            <w:r w:rsidRPr="00471CBA">
              <w:rPr>
                <w:color w:val="000000"/>
                <w:sz w:val="14"/>
                <w:szCs w:val="14"/>
                <w:lang w:eastAsia="tr-TR"/>
              </w:rPr>
              <w:t>53.447</w:t>
            </w:r>
          </w:p>
        </w:tc>
        <w:tc>
          <w:tcPr>
            <w:tcW w:w="625" w:type="pct"/>
            <w:tcBorders>
              <w:top w:val="single" w:sz="4" w:space="0" w:color="auto"/>
              <w:left w:val="nil"/>
              <w:bottom w:val="single" w:sz="4" w:space="0" w:color="auto"/>
              <w:right w:val="single" w:sz="4" w:space="0" w:color="auto"/>
            </w:tcBorders>
            <w:vAlign w:val="bottom"/>
            <w:hideMark/>
          </w:tcPr>
          <w:p w14:paraId="7D4A9724"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r>
      <w:tr w:rsidR="00A74C68" w:rsidRPr="00471CBA" w14:paraId="56893B33" w14:textId="77777777" w:rsidTr="00A74C68">
        <w:trPr>
          <w:divId w:val="1408452450"/>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436E7752" w14:textId="77777777" w:rsidR="00A74C68" w:rsidRPr="00471CBA" w:rsidRDefault="00A74C68" w:rsidP="00A74C68">
            <w:pPr>
              <w:rPr>
                <w:color w:val="000000"/>
                <w:sz w:val="14"/>
                <w:szCs w:val="14"/>
                <w:lang w:eastAsia="tr-TR"/>
              </w:rPr>
            </w:pPr>
            <w:r w:rsidRPr="00471CBA">
              <w:rPr>
                <w:color w:val="000000"/>
                <w:sz w:val="14"/>
                <w:szCs w:val="14"/>
                <w:lang w:eastAsia="tr-TR"/>
              </w:rPr>
              <w:t>12</w:t>
            </w:r>
          </w:p>
        </w:tc>
        <w:tc>
          <w:tcPr>
            <w:tcW w:w="1694" w:type="pct"/>
            <w:tcBorders>
              <w:top w:val="single" w:sz="4" w:space="0" w:color="auto"/>
              <w:left w:val="nil"/>
              <w:bottom w:val="single" w:sz="4" w:space="0" w:color="auto"/>
              <w:right w:val="single" w:sz="4" w:space="0" w:color="auto"/>
            </w:tcBorders>
            <w:vAlign w:val="center"/>
            <w:hideMark/>
          </w:tcPr>
          <w:p w14:paraId="7FE45C74" w14:textId="77777777" w:rsidR="00A74C68" w:rsidRPr="00471CBA" w:rsidRDefault="00A74C68" w:rsidP="00A74C68">
            <w:pPr>
              <w:rPr>
                <w:color w:val="000000"/>
                <w:sz w:val="14"/>
                <w:szCs w:val="14"/>
                <w:lang w:eastAsia="tr-TR"/>
              </w:rPr>
            </w:pPr>
            <w:r w:rsidRPr="00471CBA">
              <w:rPr>
                <w:color w:val="000000"/>
                <w:sz w:val="14"/>
                <w:szCs w:val="14"/>
                <w:lang w:eastAsia="tr-TR"/>
              </w:rPr>
              <w:t>Türev yükümlülükler</w:t>
            </w:r>
          </w:p>
        </w:tc>
        <w:tc>
          <w:tcPr>
            <w:tcW w:w="596" w:type="pct"/>
            <w:tcBorders>
              <w:top w:val="single" w:sz="4" w:space="0" w:color="auto"/>
              <w:left w:val="nil"/>
              <w:bottom w:val="single" w:sz="4" w:space="0" w:color="auto"/>
              <w:right w:val="single" w:sz="4" w:space="0" w:color="auto"/>
            </w:tcBorders>
            <w:shd w:val="clear" w:color="000000" w:fill="000000"/>
            <w:vAlign w:val="bottom"/>
            <w:hideMark/>
          </w:tcPr>
          <w:p w14:paraId="76BBBBE8"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1942" w:type="pct"/>
            <w:gridSpan w:val="3"/>
            <w:tcBorders>
              <w:top w:val="single" w:sz="4" w:space="0" w:color="auto"/>
              <w:left w:val="nil"/>
              <w:bottom w:val="single" w:sz="4" w:space="0" w:color="auto"/>
              <w:right w:val="single" w:sz="4" w:space="0" w:color="auto"/>
            </w:tcBorders>
            <w:vAlign w:val="bottom"/>
            <w:hideMark/>
          </w:tcPr>
          <w:p w14:paraId="1B24B788" w14:textId="77777777" w:rsidR="00A74C68" w:rsidRPr="00471CBA" w:rsidRDefault="00A74C68" w:rsidP="00A74C68">
            <w:pPr>
              <w:jc w:val="center"/>
              <w:rPr>
                <w:color w:val="000000"/>
                <w:sz w:val="14"/>
                <w:szCs w:val="14"/>
                <w:lang w:eastAsia="tr-TR"/>
              </w:rPr>
            </w:pPr>
            <w:r w:rsidRPr="00471CBA">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shd w:val="clear" w:color="000000" w:fill="000000"/>
            <w:vAlign w:val="bottom"/>
            <w:hideMark/>
          </w:tcPr>
          <w:p w14:paraId="6AA1A6CF"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r>
      <w:tr w:rsidR="00A74C68" w:rsidRPr="00471CBA" w14:paraId="61A69964" w14:textId="77777777" w:rsidTr="00A74C68">
        <w:trPr>
          <w:divId w:val="1408452450"/>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69B0F1DC" w14:textId="77777777" w:rsidR="00A74C68" w:rsidRPr="00471CBA" w:rsidRDefault="00A74C68" w:rsidP="00A74C68">
            <w:pPr>
              <w:rPr>
                <w:color w:val="000000"/>
                <w:sz w:val="14"/>
                <w:szCs w:val="14"/>
                <w:lang w:eastAsia="tr-TR"/>
              </w:rPr>
            </w:pPr>
            <w:r w:rsidRPr="00471CBA">
              <w:rPr>
                <w:color w:val="000000"/>
                <w:sz w:val="14"/>
                <w:szCs w:val="14"/>
                <w:lang w:eastAsia="tr-TR"/>
              </w:rPr>
              <w:t>13</w:t>
            </w:r>
          </w:p>
        </w:tc>
        <w:tc>
          <w:tcPr>
            <w:tcW w:w="1694" w:type="pct"/>
            <w:tcBorders>
              <w:top w:val="single" w:sz="4" w:space="0" w:color="auto"/>
              <w:left w:val="nil"/>
              <w:bottom w:val="single" w:sz="4" w:space="0" w:color="auto"/>
              <w:right w:val="single" w:sz="4" w:space="0" w:color="auto"/>
            </w:tcBorders>
            <w:vAlign w:val="center"/>
            <w:hideMark/>
          </w:tcPr>
          <w:p w14:paraId="443B7910" w14:textId="77777777" w:rsidR="00A74C68" w:rsidRPr="00471CBA" w:rsidRDefault="00A74C68" w:rsidP="00A74C68">
            <w:pPr>
              <w:rPr>
                <w:color w:val="000000"/>
                <w:sz w:val="14"/>
                <w:szCs w:val="14"/>
                <w:lang w:eastAsia="tr-TR"/>
              </w:rPr>
            </w:pPr>
            <w:r w:rsidRPr="00471CBA">
              <w:rPr>
                <w:color w:val="000000"/>
                <w:sz w:val="14"/>
                <w:szCs w:val="14"/>
                <w:lang w:eastAsia="tr-TR"/>
              </w:rPr>
              <w:t>Yukarıda yer almayan diğer özkaynak unsurları ve yükümlülükler</w:t>
            </w:r>
          </w:p>
        </w:tc>
        <w:tc>
          <w:tcPr>
            <w:tcW w:w="596" w:type="pct"/>
            <w:tcBorders>
              <w:top w:val="single" w:sz="4" w:space="0" w:color="auto"/>
              <w:left w:val="nil"/>
              <w:bottom w:val="single" w:sz="4" w:space="0" w:color="auto"/>
              <w:right w:val="single" w:sz="4" w:space="0" w:color="auto"/>
            </w:tcBorders>
            <w:vAlign w:val="bottom"/>
            <w:hideMark/>
          </w:tcPr>
          <w:p w14:paraId="38A0231E"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vAlign w:val="bottom"/>
            <w:hideMark/>
          </w:tcPr>
          <w:p w14:paraId="72701A99"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47" w:type="pct"/>
            <w:tcBorders>
              <w:top w:val="single" w:sz="4" w:space="0" w:color="auto"/>
              <w:left w:val="nil"/>
              <w:bottom w:val="single" w:sz="4" w:space="0" w:color="auto"/>
              <w:right w:val="single" w:sz="4" w:space="0" w:color="auto"/>
            </w:tcBorders>
            <w:vAlign w:val="bottom"/>
            <w:hideMark/>
          </w:tcPr>
          <w:p w14:paraId="51B96494"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69" w:type="pct"/>
            <w:tcBorders>
              <w:top w:val="single" w:sz="4" w:space="0" w:color="auto"/>
              <w:left w:val="nil"/>
              <w:bottom w:val="single" w:sz="4" w:space="0" w:color="auto"/>
              <w:right w:val="single" w:sz="4" w:space="0" w:color="auto"/>
            </w:tcBorders>
            <w:vAlign w:val="bottom"/>
            <w:hideMark/>
          </w:tcPr>
          <w:p w14:paraId="50546B7D"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51AC7F90"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r>
      <w:tr w:rsidR="00A74C68" w:rsidRPr="00471CBA" w14:paraId="17006274" w14:textId="77777777" w:rsidTr="00A74C68">
        <w:trPr>
          <w:divId w:val="1408452450"/>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4F57889D" w14:textId="77777777" w:rsidR="00A74C68" w:rsidRPr="00471CBA" w:rsidRDefault="00A74C68" w:rsidP="00A74C68">
            <w:pPr>
              <w:rPr>
                <w:b/>
                <w:bCs/>
                <w:color w:val="000000"/>
                <w:sz w:val="14"/>
                <w:szCs w:val="14"/>
                <w:lang w:eastAsia="tr-TR"/>
              </w:rPr>
            </w:pPr>
            <w:r w:rsidRPr="00471CBA">
              <w:rPr>
                <w:b/>
                <w:bCs/>
                <w:color w:val="000000"/>
                <w:sz w:val="14"/>
                <w:szCs w:val="14"/>
                <w:lang w:eastAsia="tr-TR"/>
              </w:rPr>
              <w:t>14</w:t>
            </w:r>
          </w:p>
        </w:tc>
        <w:tc>
          <w:tcPr>
            <w:tcW w:w="1694" w:type="pct"/>
            <w:tcBorders>
              <w:top w:val="single" w:sz="4" w:space="0" w:color="auto"/>
              <w:left w:val="nil"/>
              <w:bottom w:val="single" w:sz="4" w:space="0" w:color="auto"/>
              <w:right w:val="single" w:sz="4" w:space="0" w:color="auto"/>
            </w:tcBorders>
            <w:vAlign w:val="center"/>
            <w:hideMark/>
          </w:tcPr>
          <w:p w14:paraId="6C20CF77" w14:textId="77777777" w:rsidR="00A74C68" w:rsidRPr="00471CBA" w:rsidRDefault="00A74C68" w:rsidP="00A74C68">
            <w:pPr>
              <w:rPr>
                <w:b/>
                <w:bCs/>
                <w:color w:val="000000"/>
                <w:sz w:val="14"/>
                <w:szCs w:val="14"/>
                <w:lang w:eastAsia="tr-TR"/>
              </w:rPr>
            </w:pPr>
            <w:r w:rsidRPr="00471CBA">
              <w:rPr>
                <w:b/>
                <w:bCs/>
                <w:color w:val="000000"/>
                <w:sz w:val="14"/>
                <w:szCs w:val="14"/>
                <w:lang w:eastAsia="tr-TR"/>
              </w:rPr>
              <w:t>Mevcut İstikrarlı Fon</w:t>
            </w:r>
          </w:p>
        </w:tc>
        <w:tc>
          <w:tcPr>
            <w:tcW w:w="596" w:type="pct"/>
            <w:tcBorders>
              <w:top w:val="single" w:sz="4" w:space="0" w:color="auto"/>
              <w:left w:val="nil"/>
              <w:bottom w:val="single" w:sz="4" w:space="0" w:color="auto"/>
              <w:right w:val="single" w:sz="4" w:space="0" w:color="auto"/>
            </w:tcBorders>
            <w:shd w:val="clear" w:color="000000" w:fill="000000"/>
            <w:vAlign w:val="bottom"/>
            <w:hideMark/>
          </w:tcPr>
          <w:p w14:paraId="41C3FFAB" w14:textId="77777777" w:rsidR="00A74C68" w:rsidRPr="00471CBA" w:rsidRDefault="00A74C68" w:rsidP="00A74C68">
            <w:pPr>
              <w:jc w:val="right"/>
              <w:rPr>
                <w:b/>
                <w:bCs/>
                <w:color w:val="000000"/>
                <w:sz w:val="14"/>
                <w:szCs w:val="14"/>
                <w:lang w:eastAsia="tr-TR"/>
              </w:rPr>
            </w:pPr>
            <w:r w:rsidRPr="00471CBA">
              <w:rPr>
                <w:b/>
                <w:bCs/>
                <w:color w:val="000000"/>
                <w:sz w:val="14"/>
                <w:szCs w:val="14"/>
                <w:lang w:eastAsia="tr-TR"/>
              </w:rPr>
              <w:t> </w:t>
            </w:r>
          </w:p>
        </w:tc>
        <w:tc>
          <w:tcPr>
            <w:tcW w:w="626" w:type="pct"/>
            <w:tcBorders>
              <w:top w:val="single" w:sz="4" w:space="0" w:color="auto"/>
              <w:left w:val="nil"/>
              <w:bottom w:val="single" w:sz="4" w:space="0" w:color="auto"/>
              <w:right w:val="single" w:sz="4" w:space="0" w:color="auto"/>
            </w:tcBorders>
            <w:shd w:val="clear" w:color="000000" w:fill="000000"/>
            <w:vAlign w:val="bottom"/>
            <w:hideMark/>
          </w:tcPr>
          <w:p w14:paraId="17340B48" w14:textId="77777777" w:rsidR="00A74C68" w:rsidRPr="00471CBA" w:rsidRDefault="00A74C68" w:rsidP="00A74C68">
            <w:pPr>
              <w:jc w:val="right"/>
              <w:rPr>
                <w:b/>
                <w:bCs/>
                <w:color w:val="000000"/>
                <w:sz w:val="14"/>
                <w:szCs w:val="14"/>
                <w:lang w:eastAsia="tr-TR"/>
              </w:rPr>
            </w:pPr>
            <w:r w:rsidRPr="00471CBA">
              <w:rPr>
                <w:b/>
                <w:bCs/>
                <w:color w:val="000000"/>
                <w:sz w:val="14"/>
                <w:szCs w:val="14"/>
                <w:lang w:eastAsia="tr-TR"/>
              </w:rPr>
              <w:t> </w:t>
            </w:r>
          </w:p>
        </w:tc>
        <w:tc>
          <w:tcPr>
            <w:tcW w:w="647" w:type="pct"/>
            <w:tcBorders>
              <w:top w:val="single" w:sz="4" w:space="0" w:color="auto"/>
              <w:left w:val="nil"/>
              <w:bottom w:val="single" w:sz="4" w:space="0" w:color="auto"/>
              <w:right w:val="single" w:sz="4" w:space="0" w:color="auto"/>
            </w:tcBorders>
            <w:shd w:val="clear" w:color="000000" w:fill="000000"/>
            <w:vAlign w:val="bottom"/>
            <w:hideMark/>
          </w:tcPr>
          <w:p w14:paraId="42A1798F" w14:textId="77777777" w:rsidR="00A74C68" w:rsidRPr="00471CBA" w:rsidRDefault="00A74C68" w:rsidP="00A74C68">
            <w:pPr>
              <w:jc w:val="right"/>
              <w:rPr>
                <w:b/>
                <w:bCs/>
                <w:color w:val="000000"/>
                <w:sz w:val="14"/>
                <w:szCs w:val="14"/>
                <w:lang w:eastAsia="tr-TR"/>
              </w:rPr>
            </w:pPr>
            <w:r w:rsidRPr="00471CBA">
              <w:rPr>
                <w:b/>
                <w:bCs/>
                <w:color w:val="000000"/>
                <w:sz w:val="14"/>
                <w:szCs w:val="14"/>
                <w:lang w:eastAsia="tr-TR"/>
              </w:rPr>
              <w:t> </w:t>
            </w:r>
          </w:p>
        </w:tc>
        <w:tc>
          <w:tcPr>
            <w:tcW w:w="669" w:type="pct"/>
            <w:tcBorders>
              <w:top w:val="single" w:sz="4" w:space="0" w:color="auto"/>
              <w:left w:val="nil"/>
              <w:bottom w:val="single" w:sz="4" w:space="0" w:color="auto"/>
              <w:right w:val="single" w:sz="4" w:space="0" w:color="auto"/>
            </w:tcBorders>
            <w:shd w:val="clear" w:color="000000" w:fill="000000"/>
            <w:vAlign w:val="bottom"/>
            <w:hideMark/>
          </w:tcPr>
          <w:p w14:paraId="47C149D3" w14:textId="77777777" w:rsidR="00A74C68" w:rsidRPr="00471CBA" w:rsidRDefault="00A74C68" w:rsidP="00A74C68">
            <w:pPr>
              <w:jc w:val="right"/>
              <w:rPr>
                <w:b/>
                <w:bCs/>
                <w:color w:val="000000"/>
                <w:sz w:val="14"/>
                <w:szCs w:val="14"/>
                <w:lang w:eastAsia="tr-TR"/>
              </w:rPr>
            </w:pPr>
            <w:r w:rsidRPr="00471CBA">
              <w:rPr>
                <w:b/>
                <w:bCs/>
                <w:color w:val="000000"/>
                <w:sz w:val="14"/>
                <w:szCs w:val="14"/>
                <w:lang w:eastAsia="tr-TR"/>
              </w:rPr>
              <w:t> </w:t>
            </w:r>
          </w:p>
        </w:tc>
        <w:tc>
          <w:tcPr>
            <w:tcW w:w="625" w:type="pct"/>
            <w:tcBorders>
              <w:top w:val="single" w:sz="4" w:space="0" w:color="auto"/>
              <w:left w:val="nil"/>
              <w:bottom w:val="single" w:sz="4" w:space="0" w:color="auto"/>
              <w:right w:val="single" w:sz="4" w:space="0" w:color="auto"/>
            </w:tcBorders>
            <w:vAlign w:val="bottom"/>
            <w:hideMark/>
          </w:tcPr>
          <w:p w14:paraId="5D3A0C8D" w14:textId="77777777" w:rsidR="00A74C68" w:rsidRPr="00471CBA" w:rsidRDefault="00A74C68" w:rsidP="00A74C68">
            <w:pPr>
              <w:jc w:val="right"/>
              <w:rPr>
                <w:b/>
                <w:bCs/>
                <w:color w:val="000000"/>
                <w:sz w:val="14"/>
                <w:szCs w:val="14"/>
                <w:lang w:eastAsia="tr-TR"/>
              </w:rPr>
            </w:pPr>
            <w:r w:rsidRPr="00471CBA">
              <w:rPr>
                <w:b/>
                <w:bCs/>
                <w:color w:val="000000"/>
                <w:sz w:val="14"/>
                <w:szCs w:val="14"/>
                <w:lang w:eastAsia="tr-TR"/>
              </w:rPr>
              <w:t>18.659.898</w:t>
            </w:r>
          </w:p>
        </w:tc>
      </w:tr>
      <w:tr w:rsidR="00A74C68" w:rsidRPr="00471CBA" w14:paraId="04B30DBD" w14:textId="77777777" w:rsidTr="00A74C68">
        <w:trPr>
          <w:divId w:val="1408452450"/>
          <w:trHeight w:val="113"/>
        </w:trPr>
        <w:tc>
          <w:tcPr>
            <w:tcW w:w="1837" w:type="pct"/>
            <w:gridSpan w:val="2"/>
            <w:tcBorders>
              <w:top w:val="single" w:sz="4" w:space="0" w:color="auto"/>
              <w:left w:val="single" w:sz="4" w:space="0" w:color="auto"/>
              <w:bottom w:val="single" w:sz="4" w:space="0" w:color="auto"/>
              <w:right w:val="single" w:sz="4" w:space="0" w:color="auto"/>
            </w:tcBorders>
            <w:vAlign w:val="center"/>
            <w:hideMark/>
          </w:tcPr>
          <w:p w14:paraId="04CDBED5" w14:textId="77777777" w:rsidR="00A74C68" w:rsidRPr="00471CBA" w:rsidRDefault="00A74C68" w:rsidP="00A74C68">
            <w:pPr>
              <w:rPr>
                <w:b/>
                <w:bCs/>
                <w:color w:val="000000"/>
                <w:sz w:val="14"/>
                <w:szCs w:val="14"/>
                <w:lang w:eastAsia="tr-TR"/>
              </w:rPr>
            </w:pPr>
            <w:r w:rsidRPr="00471CBA">
              <w:rPr>
                <w:b/>
                <w:bCs/>
                <w:color w:val="000000"/>
                <w:sz w:val="14"/>
                <w:szCs w:val="14"/>
                <w:lang w:eastAsia="tr-TR"/>
              </w:rPr>
              <w:t>Gerekli İstikrarlı Fon</w:t>
            </w:r>
          </w:p>
        </w:tc>
        <w:tc>
          <w:tcPr>
            <w:tcW w:w="3163" w:type="pct"/>
            <w:gridSpan w:val="5"/>
            <w:tcBorders>
              <w:top w:val="single" w:sz="4" w:space="0" w:color="auto"/>
              <w:left w:val="nil"/>
              <w:bottom w:val="single" w:sz="4" w:space="0" w:color="auto"/>
              <w:right w:val="single" w:sz="4" w:space="0" w:color="auto"/>
            </w:tcBorders>
            <w:vAlign w:val="bottom"/>
            <w:hideMark/>
          </w:tcPr>
          <w:p w14:paraId="641E97D1"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r>
      <w:tr w:rsidR="00A74C68" w:rsidRPr="00471CBA" w14:paraId="61F2AD1A" w14:textId="77777777" w:rsidTr="00A74C68">
        <w:trPr>
          <w:divId w:val="1408452450"/>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6422B2D9" w14:textId="77777777" w:rsidR="00A74C68" w:rsidRPr="00471CBA" w:rsidRDefault="00A74C68" w:rsidP="00A74C68">
            <w:pPr>
              <w:rPr>
                <w:color w:val="000000"/>
                <w:sz w:val="14"/>
                <w:szCs w:val="14"/>
                <w:lang w:eastAsia="tr-TR"/>
              </w:rPr>
            </w:pPr>
            <w:r w:rsidRPr="00471CBA">
              <w:rPr>
                <w:color w:val="000000"/>
                <w:sz w:val="14"/>
                <w:szCs w:val="14"/>
                <w:lang w:eastAsia="tr-TR"/>
              </w:rPr>
              <w:t>15</w:t>
            </w:r>
          </w:p>
        </w:tc>
        <w:tc>
          <w:tcPr>
            <w:tcW w:w="1694" w:type="pct"/>
            <w:tcBorders>
              <w:top w:val="single" w:sz="4" w:space="0" w:color="auto"/>
              <w:left w:val="nil"/>
              <w:bottom w:val="single" w:sz="4" w:space="0" w:color="auto"/>
              <w:right w:val="single" w:sz="4" w:space="0" w:color="auto"/>
            </w:tcBorders>
            <w:vAlign w:val="center"/>
            <w:hideMark/>
          </w:tcPr>
          <w:p w14:paraId="22340899" w14:textId="77777777" w:rsidR="00A74C68" w:rsidRPr="00471CBA" w:rsidRDefault="00A74C68" w:rsidP="00A74C68">
            <w:pPr>
              <w:rPr>
                <w:color w:val="000000"/>
                <w:sz w:val="14"/>
                <w:szCs w:val="14"/>
                <w:lang w:eastAsia="tr-TR"/>
              </w:rPr>
            </w:pPr>
            <w:r w:rsidRPr="00471CBA">
              <w:rPr>
                <w:color w:val="000000"/>
                <w:sz w:val="14"/>
                <w:szCs w:val="14"/>
                <w:lang w:eastAsia="tr-TR"/>
              </w:rPr>
              <w:t xml:space="preserve">Yüksek kaliteli likit varlıklar </w:t>
            </w:r>
          </w:p>
        </w:tc>
        <w:tc>
          <w:tcPr>
            <w:tcW w:w="596" w:type="pct"/>
            <w:tcBorders>
              <w:top w:val="single" w:sz="4" w:space="0" w:color="auto"/>
              <w:left w:val="nil"/>
              <w:bottom w:val="single" w:sz="4" w:space="0" w:color="auto"/>
              <w:right w:val="single" w:sz="4" w:space="0" w:color="auto"/>
            </w:tcBorders>
            <w:shd w:val="clear" w:color="000000" w:fill="000000"/>
            <w:vAlign w:val="bottom"/>
            <w:hideMark/>
          </w:tcPr>
          <w:p w14:paraId="413AA049"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626" w:type="pct"/>
            <w:tcBorders>
              <w:top w:val="single" w:sz="4" w:space="0" w:color="auto"/>
              <w:left w:val="nil"/>
              <w:bottom w:val="single" w:sz="4" w:space="0" w:color="auto"/>
              <w:right w:val="single" w:sz="4" w:space="0" w:color="auto"/>
            </w:tcBorders>
            <w:shd w:val="clear" w:color="000000" w:fill="000000"/>
            <w:vAlign w:val="bottom"/>
            <w:hideMark/>
          </w:tcPr>
          <w:p w14:paraId="0123EE09"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647" w:type="pct"/>
            <w:tcBorders>
              <w:top w:val="single" w:sz="4" w:space="0" w:color="auto"/>
              <w:left w:val="nil"/>
              <w:bottom w:val="single" w:sz="4" w:space="0" w:color="auto"/>
              <w:right w:val="single" w:sz="4" w:space="0" w:color="auto"/>
            </w:tcBorders>
            <w:shd w:val="clear" w:color="000000" w:fill="000000"/>
            <w:vAlign w:val="bottom"/>
            <w:hideMark/>
          </w:tcPr>
          <w:p w14:paraId="5A6F76C1"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669" w:type="pct"/>
            <w:tcBorders>
              <w:top w:val="single" w:sz="4" w:space="0" w:color="auto"/>
              <w:left w:val="nil"/>
              <w:bottom w:val="single" w:sz="4" w:space="0" w:color="auto"/>
              <w:right w:val="single" w:sz="4" w:space="0" w:color="auto"/>
            </w:tcBorders>
            <w:shd w:val="clear" w:color="000000" w:fill="000000"/>
            <w:vAlign w:val="bottom"/>
            <w:hideMark/>
          </w:tcPr>
          <w:p w14:paraId="012BBFC2"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625" w:type="pct"/>
            <w:tcBorders>
              <w:top w:val="single" w:sz="4" w:space="0" w:color="auto"/>
              <w:left w:val="nil"/>
              <w:bottom w:val="single" w:sz="4" w:space="0" w:color="auto"/>
              <w:right w:val="single" w:sz="4" w:space="0" w:color="auto"/>
            </w:tcBorders>
            <w:vAlign w:val="bottom"/>
            <w:hideMark/>
          </w:tcPr>
          <w:p w14:paraId="066814CD" w14:textId="77777777" w:rsidR="00A74C68" w:rsidRPr="00471CBA" w:rsidRDefault="00A74C68" w:rsidP="00A74C68">
            <w:pPr>
              <w:jc w:val="right"/>
              <w:rPr>
                <w:color w:val="000000"/>
                <w:sz w:val="14"/>
                <w:szCs w:val="14"/>
                <w:lang w:eastAsia="tr-TR"/>
              </w:rPr>
            </w:pPr>
            <w:r w:rsidRPr="00471CBA">
              <w:rPr>
                <w:color w:val="000000"/>
                <w:sz w:val="14"/>
                <w:szCs w:val="14"/>
                <w:lang w:eastAsia="tr-TR"/>
              </w:rPr>
              <w:t>4.644.005</w:t>
            </w:r>
          </w:p>
        </w:tc>
      </w:tr>
      <w:tr w:rsidR="00A74C68" w:rsidRPr="00471CBA" w14:paraId="6F09DCA6" w14:textId="77777777" w:rsidTr="00A74C68">
        <w:trPr>
          <w:divId w:val="1408452450"/>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35E79F5C" w14:textId="77777777" w:rsidR="00A74C68" w:rsidRPr="00471CBA" w:rsidRDefault="00A74C68" w:rsidP="00A74C68">
            <w:pPr>
              <w:rPr>
                <w:color w:val="000000"/>
                <w:sz w:val="14"/>
                <w:szCs w:val="14"/>
                <w:lang w:eastAsia="tr-TR"/>
              </w:rPr>
            </w:pPr>
            <w:r w:rsidRPr="00471CBA">
              <w:rPr>
                <w:color w:val="000000"/>
                <w:sz w:val="14"/>
                <w:szCs w:val="14"/>
                <w:lang w:eastAsia="tr-TR"/>
              </w:rPr>
              <w:t>16</w:t>
            </w:r>
          </w:p>
        </w:tc>
        <w:tc>
          <w:tcPr>
            <w:tcW w:w="1694" w:type="pct"/>
            <w:tcBorders>
              <w:top w:val="single" w:sz="4" w:space="0" w:color="auto"/>
              <w:left w:val="nil"/>
              <w:bottom w:val="single" w:sz="4" w:space="0" w:color="auto"/>
              <w:right w:val="single" w:sz="4" w:space="0" w:color="auto"/>
            </w:tcBorders>
            <w:vAlign w:val="center"/>
            <w:hideMark/>
          </w:tcPr>
          <w:p w14:paraId="11D97001" w14:textId="77777777" w:rsidR="00A74C68" w:rsidRPr="00471CBA" w:rsidRDefault="00A74C68" w:rsidP="00A74C68">
            <w:pPr>
              <w:rPr>
                <w:color w:val="000000"/>
                <w:sz w:val="14"/>
                <w:szCs w:val="14"/>
                <w:lang w:eastAsia="tr-TR"/>
              </w:rPr>
            </w:pPr>
            <w:r w:rsidRPr="00471CBA">
              <w:rPr>
                <w:color w:val="000000"/>
                <w:sz w:val="14"/>
                <w:szCs w:val="14"/>
                <w:lang w:eastAsia="tr-TR"/>
              </w:rPr>
              <w:t>Kredi kuruluşları veya finansal kuruluşlara depo edilen operasyonel katılım fonu</w:t>
            </w:r>
          </w:p>
        </w:tc>
        <w:tc>
          <w:tcPr>
            <w:tcW w:w="596" w:type="pct"/>
            <w:tcBorders>
              <w:top w:val="single" w:sz="4" w:space="0" w:color="auto"/>
              <w:left w:val="nil"/>
              <w:bottom w:val="single" w:sz="4" w:space="0" w:color="auto"/>
              <w:right w:val="single" w:sz="4" w:space="0" w:color="auto"/>
            </w:tcBorders>
            <w:vAlign w:val="bottom"/>
            <w:hideMark/>
          </w:tcPr>
          <w:p w14:paraId="5DAA9933"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vAlign w:val="bottom"/>
            <w:hideMark/>
          </w:tcPr>
          <w:p w14:paraId="74C41443"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47" w:type="pct"/>
            <w:tcBorders>
              <w:top w:val="single" w:sz="4" w:space="0" w:color="auto"/>
              <w:left w:val="nil"/>
              <w:bottom w:val="single" w:sz="4" w:space="0" w:color="auto"/>
              <w:right w:val="single" w:sz="4" w:space="0" w:color="auto"/>
            </w:tcBorders>
            <w:vAlign w:val="bottom"/>
            <w:hideMark/>
          </w:tcPr>
          <w:p w14:paraId="214A4D45"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69" w:type="pct"/>
            <w:tcBorders>
              <w:top w:val="single" w:sz="4" w:space="0" w:color="auto"/>
              <w:left w:val="nil"/>
              <w:bottom w:val="single" w:sz="4" w:space="0" w:color="auto"/>
              <w:right w:val="single" w:sz="4" w:space="0" w:color="auto"/>
            </w:tcBorders>
            <w:vAlign w:val="bottom"/>
            <w:hideMark/>
          </w:tcPr>
          <w:p w14:paraId="3A831E84"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53368E9C"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r>
      <w:tr w:rsidR="00A74C68" w:rsidRPr="00471CBA" w14:paraId="5079DA0F" w14:textId="77777777" w:rsidTr="00A74C68">
        <w:trPr>
          <w:divId w:val="1408452450"/>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6862AE4F" w14:textId="77777777" w:rsidR="00A74C68" w:rsidRPr="00471CBA" w:rsidRDefault="00A74C68" w:rsidP="00A74C68">
            <w:pPr>
              <w:rPr>
                <w:color w:val="000000"/>
                <w:sz w:val="14"/>
                <w:szCs w:val="14"/>
                <w:lang w:eastAsia="tr-TR"/>
              </w:rPr>
            </w:pPr>
            <w:r w:rsidRPr="00471CBA">
              <w:rPr>
                <w:color w:val="000000"/>
                <w:sz w:val="14"/>
                <w:szCs w:val="14"/>
                <w:lang w:eastAsia="tr-TR"/>
              </w:rPr>
              <w:t>17</w:t>
            </w:r>
          </w:p>
        </w:tc>
        <w:tc>
          <w:tcPr>
            <w:tcW w:w="1694" w:type="pct"/>
            <w:tcBorders>
              <w:top w:val="single" w:sz="4" w:space="0" w:color="auto"/>
              <w:left w:val="nil"/>
              <w:bottom w:val="single" w:sz="4" w:space="0" w:color="auto"/>
              <w:right w:val="single" w:sz="4" w:space="0" w:color="auto"/>
            </w:tcBorders>
            <w:vAlign w:val="center"/>
            <w:hideMark/>
          </w:tcPr>
          <w:p w14:paraId="2CC5FD05" w14:textId="77777777" w:rsidR="00A74C68" w:rsidRPr="00471CBA" w:rsidRDefault="00A74C68" w:rsidP="00A74C68">
            <w:pPr>
              <w:rPr>
                <w:color w:val="000000"/>
                <w:sz w:val="14"/>
                <w:szCs w:val="14"/>
                <w:lang w:eastAsia="tr-TR"/>
              </w:rPr>
            </w:pPr>
            <w:r w:rsidRPr="00471CBA">
              <w:rPr>
                <w:color w:val="000000"/>
                <w:sz w:val="14"/>
                <w:szCs w:val="14"/>
                <w:lang w:eastAsia="tr-TR"/>
              </w:rPr>
              <w:t>Canlı alacaklar</w:t>
            </w:r>
          </w:p>
        </w:tc>
        <w:tc>
          <w:tcPr>
            <w:tcW w:w="596" w:type="pct"/>
            <w:tcBorders>
              <w:top w:val="single" w:sz="4" w:space="0" w:color="auto"/>
              <w:left w:val="nil"/>
              <w:bottom w:val="single" w:sz="4" w:space="0" w:color="auto"/>
              <w:right w:val="single" w:sz="4" w:space="0" w:color="auto"/>
            </w:tcBorders>
            <w:vAlign w:val="bottom"/>
            <w:hideMark/>
          </w:tcPr>
          <w:p w14:paraId="42886702" w14:textId="77777777" w:rsidR="00A74C68" w:rsidRPr="00471CBA" w:rsidRDefault="00A74C68" w:rsidP="00A74C68">
            <w:pPr>
              <w:jc w:val="right"/>
              <w:rPr>
                <w:color w:val="000000"/>
                <w:sz w:val="14"/>
                <w:szCs w:val="14"/>
                <w:lang w:eastAsia="tr-TR"/>
              </w:rPr>
            </w:pPr>
            <w:r w:rsidRPr="00471CBA">
              <w:rPr>
                <w:color w:val="000000"/>
                <w:sz w:val="14"/>
                <w:szCs w:val="14"/>
                <w:lang w:eastAsia="tr-TR"/>
              </w:rPr>
              <w:t>2.800.048</w:t>
            </w:r>
          </w:p>
        </w:tc>
        <w:tc>
          <w:tcPr>
            <w:tcW w:w="626" w:type="pct"/>
            <w:tcBorders>
              <w:top w:val="single" w:sz="4" w:space="0" w:color="auto"/>
              <w:left w:val="nil"/>
              <w:bottom w:val="single" w:sz="4" w:space="0" w:color="auto"/>
              <w:right w:val="single" w:sz="4" w:space="0" w:color="auto"/>
            </w:tcBorders>
            <w:vAlign w:val="bottom"/>
            <w:hideMark/>
          </w:tcPr>
          <w:p w14:paraId="05E4886E" w14:textId="77777777" w:rsidR="00A74C68" w:rsidRPr="00471CBA" w:rsidRDefault="00A74C68" w:rsidP="00A74C68">
            <w:pPr>
              <w:jc w:val="right"/>
              <w:rPr>
                <w:color w:val="000000"/>
                <w:sz w:val="14"/>
                <w:szCs w:val="14"/>
                <w:lang w:eastAsia="tr-TR"/>
              </w:rPr>
            </w:pPr>
            <w:r w:rsidRPr="00471CBA">
              <w:rPr>
                <w:color w:val="000000"/>
                <w:sz w:val="14"/>
                <w:szCs w:val="14"/>
                <w:lang w:eastAsia="tr-TR"/>
              </w:rPr>
              <w:t>22.305.619</w:t>
            </w:r>
          </w:p>
        </w:tc>
        <w:tc>
          <w:tcPr>
            <w:tcW w:w="647" w:type="pct"/>
            <w:tcBorders>
              <w:top w:val="single" w:sz="4" w:space="0" w:color="auto"/>
              <w:left w:val="nil"/>
              <w:bottom w:val="single" w:sz="4" w:space="0" w:color="auto"/>
              <w:right w:val="single" w:sz="4" w:space="0" w:color="auto"/>
            </w:tcBorders>
            <w:vAlign w:val="bottom"/>
            <w:hideMark/>
          </w:tcPr>
          <w:p w14:paraId="2B528921" w14:textId="77777777" w:rsidR="00A74C68" w:rsidRPr="00471CBA" w:rsidRDefault="00A74C68" w:rsidP="00A74C68">
            <w:pPr>
              <w:jc w:val="right"/>
              <w:rPr>
                <w:color w:val="000000"/>
                <w:sz w:val="14"/>
                <w:szCs w:val="14"/>
                <w:lang w:eastAsia="tr-TR"/>
              </w:rPr>
            </w:pPr>
            <w:r w:rsidRPr="00471CBA">
              <w:rPr>
                <w:color w:val="000000"/>
                <w:sz w:val="14"/>
                <w:szCs w:val="14"/>
                <w:lang w:eastAsia="tr-TR"/>
              </w:rPr>
              <w:t>3.221.304</w:t>
            </w:r>
          </w:p>
        </w:tc>
        <w:tc>
          <w:tcPr>
            <w:tcW w:w="669" w:type="pct"/>
            <w:tcBorders>
              <w:top w:val="single" w:sz="4" w:space="0" w:color="auto"/>
              <w:left w:val="nil"/>
              <w:bottom w:val="single" w:sz="4" w:space="0" w:color="auto"/>
              <w:right w:val="single" w:sz="4" w:space="0" w:color="auto"/>
            </w:tcBorders>
            <w:vAlign w:val="bottom"/>
            <w:hideMark/>
          </w:tcPr>
          <w:p w14:paraId="18636E10" w14:textId="77777777" w:rsidR="00A74C68" w:rsidRPr="00471CBA" w:rsidRDefault="00A74C68" w:rsidP="00A74C68">
            <w:pPr>
              <w:jc w:val="right"/>
              <w:rPr>
                <w:color w:val="000000"/>
                <w:sz w:val="14"/>
                <w:szCs w:val="14"/>
                <w:lang w:eastAsia="tr-TR"/>
              </w:rPr>
            </w:pPr>
            <w:r w:rsidRPr="00471CBA">
              <w:rPr>
                <w:color w:val="000000"/>
                <w:sz w:val="14"/>
                <w:szCs w:val="14"/>
                <w:lang w:eastAsia="tr-TR"/>
              </w:rPr>
              <w:t>987.262</w:t>
            </w:r>
          </w:p>
        </w:tc>
        <w:tc>
          <w:tcPr>
            <w:tcW w:w="625" w:type="pct"/>
            <w:tcBorders>
              <w:top w:val="single" w:sz="4" w:space="0" w:color="auto"/>
              <w:left w:val="nil"/>
              <w:bottom w:val="single" w:sz="4" w:space="0" w:color="auto"/>
              <w:right w:val="single" w:sz="4" w:space="0" w:color="auto"/>
            </w:tcBorders>
            <w:vAlign w:val="bottom"/>
            <w:hideMark/>
          </w:tcPr>
          <w:p w14:paraId="398222B2" w14:textId="77777777" w:rsidR="00A74C68" w:rsidRPr="00471CBA" w:rsidRDefault="00A74C68" w:rsidP="00A74C68">
            <w:pPr>
              <w:jc w:val="right"/>
              <w:rPr>
                <w:color w:val="000000"/>
                <w:sz w:val="14"/>
                <w:szCs w:val="14"/>
                <w:lang w:eastAsia="tr-TR"/>
              </w:rPr>
            </w:pPr>
            <w:r w:rsidRPr="00471CBA">
              <w:rPr>
                <w:color w:val="000000"/>
                <w:sz w:val="14"/>
                <w:szCs w:val="14"/>
                <w:lang w:eastAsia="tr-TR"/>
              </w:rPr>
              <w:t>10.872.533</w:t>
            </w:r>
          </w:p>
        </w:tc>
      </w:tr>
      <w:tr w:rsidR="00A74C68" w:rsidRPr="00471CBA" w14:paraId="2BC8B538" w14:textId="77777777" w:rsidTr="00A74C68">
        <w:trPr>
          <w:divId w:val="1408452450"/>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6DAF51A8" w14:textId="77777777" w:rsidR="00A74C68" w:rsidRPr="00471CBA" w:rsidRDefault="00A74C68" w:rsidP="00A74C68">
            <w:pPr>
              <w:rPr>
                <w:color w:val="000000"/>
                <w:sz w:val="14"/>
                <w:szCs w:val="14"/>
                <w:lang w:eastAsia="tr-TR"/>
              </w:rPr>
            </w:pPr>
            <w:r w:rsidRPr="00471CBA">
              <w:rPr>
                <w:color w:val="000000"/>
                <w:sz w:val="14"/>
                <w:szCs w:val="14"/>
                <w:lang w:eastAsia="tr-TR"/>
              </w:rPr>
              <w:t>18</w:t>
            </w:r>
          </w:p>
        </w:tc>
        <w:tc>
          <w:tcPr>
            <w:tcW w:w="1694" w:type="pct"/>
            <w:tcBorders>
              <w:top w:val="single" w:sz="4" w:space="0" w:color="auto"/>
              <w:left w:val="nil"/>
              <w:bottom w:val="single" w:sz="4" w:space="0" w:color="auto"/>
              <w:right w:val="single" w:sz="4" w:space="0" w:color="auto"/>
            </w:tcBorders>
            <w:vAlign w:val="center"/>
            <w:hideMark/>
          </w:tcPr>
          <w:p w14:paraId="79DC7C8F" w14:textId="77777777" w:rsidR="00A74C68" w:rsidRPr="00471CBA" w:rsidRDefault="00A74C68" w:rsidP="00A74C68">
            <w:pPr>
              <w:rPr>
                <w:color w:val="000000"/>
                <w:sz w:val="14"/>
                <w:szCs w:val="14"/>
                <w:lang w:eastAsia="tr-TR"/>
              </w:rPr>
            </w:pPr>
            <w:r w:rsidRPr="00471CBA">
              <w:rPr>
                <w:color w:val="000000"/>
                <w:sz w:val="14"/>
                <w:szCs w:val="14"/>
                <w:lang w:eastAsia="tr-TR"/>
              </w:rPr>
              <w:t>Teminatı birinci kalite likit varlık olan, kredi kuruluşları veya finansal kuruluşlardan alacaklar</w:t>
            </w:r>
          </w:p>
        </w:tc>
        <w:tc>
          <w:tcPr>
            <w:tcW w:w="596" w:type="pct"/>
            <w:tcBorders>
              <w:top w:val="single" w:sz="4" w:space="0" w:color="auto"/>
              <w:left w:val="nil"/>
              <w:bottom w:val="single" w:sz="4" w:space="0" w:color="auto"/>
              <w:right w:val="single" w:sz="4" w:space="0" w:color="auto"/>
            </w:tcBorders>
            <w:vAlign w:val="bottom"/>
            <w:hideMark/>
          </w:tcPr>
          <w:p w14:paraId="1AA374C2"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vAlign w:val="bottom"/>
            <w:hideMark/>
          </w:tcPr>
          <w:p w14:paraId="0BC3053B" w14:textId="77777777" w:rsidR="00A74C68" w:rsidRPr="00471CBA" w:rsidRDefault="00A74C68" w:rsidP="00A74C68">
            <w:pPr>
              <w:jc w:val="right"/>
              <w:rPr>
                <w:color w:val="000000"/>
                <w:sz w:val="14"/>
                <w:szCs w:val="14"/>
                <w:lang w:eastAsia="tr-TR"/>
              </w:rPr>
            </w:pPr>
            <w:r w:rsidRPr="00471CBA">
              <w:rPr>
                <w:color w:val="000000"/>
                <w:sz w:val="14"/>
                <w:szCs w:val="14"/>
                <w:lang w:eastAsia="tr-TR"/>
              </w:rPr>
              <w:t>475.539</w:t>
            </w:r>
          </w:p>
        </w:tc>
        <w:tc>
          <w:tcPr>
            <w:tcW w:w="647" w:type="pct"/>
            <w:tcBorders>
              <w:top w:val="single" w:sz="4" w:space="0" w:color="auto"/>
              <w:left w:val="nil"/>
              <w:bottom w:val="single" w:sz="4" w:space="0" w:color="auto"/>
              <w:right w:val="single" w:sz="4" w:space="0" w:color="auto"/>
            </w:tcBorders>
            <w:vAlign w:val="bottom"/>
            <w:hideMark/>
          </w:tcPr>
          <w:p w14:paraId="53AC583D"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69" w:type="pct"/>
            <w:tcBorders>
              <w:top w:val="single" w:sz="4" w:space="0" w:color="auto"/>
              <w:left w:val="nil"/>
              <w:bottom w:val="single" w:sz="4" w:space="0" w:color="auto"/>
              <w:right w:val="single" w:sz="4" w:space="0" w:color="auto"/>
            </w:tcBorders>
            <w:vAlign w:val="bottom"/>
            <w:hideMark/>
          </w:tcPr>
          <w:p w14:paraId="15C1F1A8" w14:textId="77777777" w:rsidR="00A74C68" w:rsidRPr="00471CBA" w:rsidRDefault="00A74C68" w:rsidP="00A74C68">
            <w:pPr>
              <w:jc w:val="right"/>
              <w:rPr>
                <w:color w:val="000000"/>
                <w:sz w:val="14"/>
                <w:szCs w:val="14"/>
                <w:lang w:eastAsia="tr-TR"/>
              </w:rPr>
            </w:pPr>
            <w:r w:rsidRPr="00471CBA">
              <w:rPr>
                <w:color w:val="000000"/>
                <w:sz w:val="14"/>
                <w:szCs w:val="14"/>
                <w:lang w:eastAsia="tr-TR"/>
              </w:rPr>
              <w:t>880.215</w:t>
            </w:r>
          </w:p>
        </w:tc>
        <w:tc>
          <w:tcPr>
            <w:tcW w:w="625" w:type="pct"/>
            <w:tcBorders>
              <w:top w:val="single" w:sz="4" w:space="0" w:color="auto"/>
              <w:left w:val="nil"/>
              <w:bottom w:val="single" w:sz="4" w:space="0" w:color="auto"/>
              <w:right w:val="single" w:sz="4" w:space="0" w:color="auto"/>
            </w:tcBorders>
            <w:vAlign w:val="bottom"/>
            <w:hideMark/>
          </w:tcPr>
          <w:p w14:paraId="4C60772C" w14:textId="77777777" w:rsidR="00A74C68" w:rsidRPr="00471CBA" w:rsidRDefault="00A74C68" w:rsidP="00A74C68">
            <w:pPr>
              <w:jc w:val="right"/>
              <w:rPr>
                <w:color w:val="000000"/>
                <w:sz w:val="14"/>
                <w:szCs w:val="14"/>
                <w:lang w:eastAsia="tr-TR"/>
              </w:rPr>
            </w:pPr>
            <w:r w:rsidRPr="00471CBA">
              <w:rPr>
                <w:color w:val="000000"/>
                <w:sz w:val="14"/>
                <w:szCs w:val="14"/>
                <w:lang w:eastAsia="tr-TR"/>
              </w:rPr>
              <w:t>67.788</w:t>
            </w:r>
          </w:p>
        </w:tc>
      </w:tr>
      <w:tr w:rsidR="00A74C68" w:rsidRPr="00471CBA" w14:paraId="1413E65B" w14:textId="77777777" w:rsidTr="00A74C68">
        <w:trPr>
          <w:divId w:val="1408452450"/>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4DDCDDD7" w14:textId="77777777" w:rsidR="00A74C68" w:rsidRPr="00471CBA" w:rsidRDefault="00A74C68" w:rsidP="00A74C68">
            <w:pPr>
              <w:rPr>
                <w:color w:val="000000"/>
                <w:sz w:val="14"/>
                <w:szCs w:val="14"/>
                <w:lang w:eastAsia="tr-TR"/>
              </w:rPr>
            </w:pPr>
            <w:r w:rsidRPr="00471CBA">
              <w:rPr>
                <w:color w:val="000000"/>
                <w:sz w:val="14"/>
                <w:szCs w:val="14"/>
                <w:lang w:eastAsia="tr-TR"/>
              </w:rPr>
              <w:t>19</w:t>
            </w:r>
          </w:p>
        </w:tc>
        <w:tc>
          <w:tcPr>
            <w:tcW w:w="1694" w:type="pct"/>
            <w:tcBorders>
              <w:top w:val="single" w:sz="4" w:space="0" w:color="auto"/>
              <w:left w:val="nil"/>
              <w:bottom w:val="single" w:sz="4" w:space="0" w:color="auto"/>
              <w:right w:val="single" w:sz="4" w:space="0" w:color="auto"/>
            </w:tcBorders>
            <w:vAlign w:val="center"/>
            <w:hideMark/>
          </w:tcPr>
          <w:p w14:paraId="2D37594C" w14:textId="77777777" w:rsidR="00A74C68" w:rsidRPr="00471CBA" w:rsidRDefault="00A74C68" w:rsidP="00A74C68">
            <w:pPr>
              <w:rPr>
                <w:color w:val="000000"/>
                <w:sz w:val="14"/>
                <w:szCs w:val="14"/>
                <w:lang w:eastAsia="tr-TR"/>
              </w:rPr>
            </w:pPr>
            <w:r w:rsidRPr="00471CBA">
              <w:rPr>
                <w:color w:val="000000"/>
                <w:sz w:val="14"/>
                <w:szCs w:val="14"/>
                <w:lang w:eastAsia="tr-TR"/>
              </w:rPr>
              <w:t>Kredi kuruluşları veya finansal kuruluşlardan teminatsız veya teminatı birinci kalite likit varlık olmayan teminatlı alacaklar</w:t>
            </w:r>
          </w:p>
        </w:tc>
        <w:tc>
          <w:tcPr>
            <w:tcW w:w="596" w:type="pct"/>
            <w:tcBorders>
              <w:top w:val="single" w:sz="4" w:space="0" w:color="auto"/>
              <w:left w:val="nil"/>
              <w:bottom w:val="single" w:sz="4" w:space="0" w:color="auto"/>
              <w:right w:val="single" w:sz="4" w:space="0" w:color="auto"/>
            </w:tcBorders>
            <w:vAlign w:val="bottom"/>
            <w:hideMark/>
          </w:tcPr>
          <w:p w14:paraId="3F698A6E" w14:textId="77777777" w:rsidR="00A74C68" w:rsidRPr="00471CBA" w:rsidRDefault="00A74C68" w:rsidP="00A74C68">
            <w:pPr>
              <w:jc w:val="right"/>
              <w:rPr>
                <w:color w:val="000000"/>
                <w:sz w:val="14"/>
                <w:szCs w:val="14"/>
                <w:lang w:eastAsia="tr-TR"/>
              </w:rPr>
            </w:pPr>
            <w:r w:rsidRPr="00471CBA">
              <w:rPr>
                <w:color w:val="000000"/>
                <w:sz w:val="14"/>
                <w:szCs w:val="14"/>
                <w:lang w:eastAsia="tr-TR"/>
              </w:rPr>
              <w:t>2.800.048</w:t>
            </w:r>
          </w:p>
        </w:tc>
        <w:tc>
          <w:tcPr>
            <w:tcW w:w="626" w:type="pct"/>
            <w:tcBorders>
              <w:top w:val="single" w:sz="4" w:space="0" w:color="auto"/>
              <w:left w:val="nil"/>
              <w:bottom w:val="single" w:sz="4" w:space="0" w:color="auto"/>
              <w:right w:val="single" w:sz="4" w:space="0" w:color="auto"/>
            </w:tcBorders>
            <w:vAlign w:val="bottom"/>
            <w:hideMark/>
          </w:tcPr>
          <w:p w14:paraId="4EF08549" w14:textId="77777777" w:rsidR="00A74C68" w:rsidRPr="00471CBA" w:rsidRDefault="00A74C68" w:rsidP="00A74C68">
            <w:pPr>
              <w:jc w:val="right"/>
              <w:rPr>
                <w:color w:val="000000"/>
                <w:sz w:val="14"/>
                <w:szCs w:val="14"/>
                <w:lang w:eastAsia="tr-TR"/>
              </w:rPr>
            </w:pPr>
            <w:r w:rsidRPr="00471CBA">
              <w:rPr>
                <w:color w:val="000000"/>
                <w:sz w:val="14"/>
                <w:szCs w:val="14"/>
                <w:lang w:eastAsia="tr-TR"/>
              </w:rPr>
              <w:t>6.316.137</w:t>
            </w:r>
          </w:p>
        </w:tc>
        <w:tc>
          <w:tcPr>
            <w:tcW w:w="647" w:type="pct"/>
            <w:tcBorders>
              <w:top w:val="single" w:sz="4" w:space="0" w:color="auto"/>
              <w:left w:val="nil"/>
              <w:bottom w:val="single" w:sz="4" w:space="0" w:color="auto"/>
              <w:right w:val="single" w:sz="4" w:space="0" w:color="auto"/>
            </w:tcBorders>
            <w:vAlign w:val="bottom"/>
            <w:hideMark/>
          </w:tcPr>
          <w:p w14:paraId="7C362DDD"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69" w:type="pct"/>
            <w:tcBorders>
              <w:top w:val="single" w:sz="4" w:space="0" w:color="auto"/>
              <w:left w:val="nil"/>
              <w:bottom w:val="single" w:sz="4" w:space="0" w:color="auto"/>
              <w:right w:val="single" w:sz="4" w:space="0" w:color="auto"/>
            </w:tcBorders>
            <w:vAlign w:val="bottom"/>
            <w:hideMark/>
          </w:tcPr>
          <w:p w14:paraId="458A6A26"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6A171F2D" w14:textId="77777777" w:rsidR="00A74C68" w:rsidRPr="00471CBA" w:rsidRDefault="00A74C68" w:rsidP="00A74C68">
            <w:pPr>
              <w:jc w:val="right"/>
              <w:rPr>
                <w:color w:val="000000"/>
                <w:sz w:val="14"/>
                <w:szCs w:val="14"/>
                <w:lang w:eastAsia="tr-TR"/>
              </w:rPr>
            </w:pPr>
            <w:r w:rsidRPr="00471CBA">
              <w:rPr>
                <w:color w:val="000000"/>
                <w:sz w:val="14"/>
                <w:szCs w:val="14"/>
                <w:lang w:eastAsia="tr-TR"/>
              </w:rPr>
              <w:t>1.367.428</w:t>
            </w:r>
          </w:p>
        </w:tc>
      </w:tr>
      <w:tr w:rsidR="00A74C68" w:rsidRPr="00471CBA" w14:paraId="0139DD7E" w14:textId="77777777" w:rsidTr="00A74C68">
        <w:trPr>
          <w:divId w:val="1408452450"/>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5A78DED7" w14:textId="77777777" w:rsidR="00A74C68" w:rsidRPr="00471CBA" w:rsidRDefault="00A74C68" w:rsidP="00A74C68">
            <w:pPr>
              <w:rPr>
                <w:color w:val="000000"/>
                <w:sz w:val="14"/>
                <w:szCs w:val="14"/>
                <w:lang w:eastAsia="tr-TR"/>
              </w:rPr>
            </w:pPr>
            <w:r w:rsidRPr="00471CBA">
              <w:rPr>
                <w:color w:val="000000"/>
                <w:sz w:val="14"/>
                <w:szCs w:val="14"/>
                <w:lang w:eastAsia="tr-TR"/>
              </w:rPr>
              <w:t>20</w:t>
            </w:r>
          </w:p>
        </w:tc>
        <w:tc>
          <w:tcPr>
            <w:tcW w:w="1694" w:type="pct"/>
            <w:tcBorders>
              <w:top w:val="single" w:sz="4" w:space="0" w:color="auto"/>
              <w:left w:val="nil"/>
              <w:bottom w:val="single" w:sz="4" w:space="0" w:color="auto"/>
              <w:right w:val="single" w:sz="4" w:space="0" w:color="auto"/>
            </w:tcBorders>
            <w:vAlign w:val="center"/>
            <w:hideMark/>
          </w:tcPr>
          <w:p w14:paraId="6A09B745" w14:textId="77777777" w:rsidR="00A74C68" w:rsidRPr="00471CBA" w:rsidRDefault="00A74C68" w:rsidP="00A74C68">
            <w:pPr>
              <w:rPr>
                <w:color w:val="000000"/>
                <w:sz w:val="14"/>
                <w:szCs w:val="14"/>
                <w:lang w:eastAsia="tr-TR"/>
              </w:rPr>
            </w:pPr>
            <w:r w:rsidRPr="00471CBA">
              <w:rPr>
                <w:color w:val="000000"/>
                <w:sz w:val="14"/>
                <w:szCs w:val="14"/>
                <w:lang w:eastAsia="tr-TR"/>
              </w:rPr>
              <w:t>Kredi kuruluşları veya finansal kuruluşlar dışındaki kurumsal müşteriler, kuruluşlar, gerçek kişi ve perakende müşteriler, merkezi yönetimler, merkez bankaları ile kamu kuruluşlarından olan alacaklar</w:t>
            </w:r>
          </w:p>
        </w:tc>
        <w:tc>
          <w:tcPr>
            <w:tcW w:w="596" w:type="pct"/>
            <w:tcBorders>
              <w:top w:val="single" w:sz="4" w:space="0" w:color="auto"/>
              <w:left w:val="nil"/>
              <w:bottom w:val="single" w:sz="4" w:space="0" w:color="auto"/>
              <w:right w:val="single" w:sz="4" w:space="0" w:color="auto"/>
            </w:tcBorders>
            <w:vAlign w:val="bottom"/>
            <w:hideMark/>
          </w:tcPr>
          <w:p w14:paraId="11C8B1C1"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vAlign w:val="bottom"/>
            <w:hideMark/>
          </w:tcPr>
          <w:p w14:paraId="5B57EADD" w14:textId="77777777" w:rsidR="00A74C68" w:rsidRPr="00471CBA" w:rsidRDefault="00A74C68" w:rsidP="00A74C68">
            <w:pPr>
              <w:jc w:val="right"/>
              <w:rPr>
                <w:color w:val="000000"/>
                <w:sz w:val="14"/>
                <w:szCs w:val="14"/>
                <w:lang w:eastAsia="tr-TR"/>
              </w:rPr>
            </w:pPr>
            <w:r w:rsidRPr="00471CBA">
              <w:rPr>
                <w:color w:val="000000"/>
                <w:sz w:val="14"/>
                <w:szCs w:val="14"/>
                <w:lang w:eastAsia="tr-TR"/>
              </w:rPr>
              <w:t>15.513.943</w:t>
            </w:r>
          </w:p>
        </w:tc>
        <w:tc>
          <w:tcPr>
            <w:tcW w:w="647" w:type="pct"/>
            <w:tcBorders>
              <w:top w:val="single" w:sz="4" w:space="0" w:color="auto"/>
              <w:left w:val="nil"/>
              <w:bottom w:val="single" w:sz="4" w:space="0" w:color="auto"/>
              <w:right w:val="single" w:sz="4" w:space="0" w:color="auto"/>
            </w:tcBorders>
            <w:vAlign w:val="bottom"/>
            <w:hideMark/>
          </w:tcPr>
          <w:p w14:paraId="56DA1180" w14:textId="77777777" w:rsidR="00A74C68" w:rsidRPr="00471CBA" w:rsidRDefault="00A74C68" w:rsidP="00A74C68">
            <w:pPr>
              <w:jc w:val="right"/>
              <w:rPr>
                <w:color w:val="000000"/>
                <w:sz w:val="14"/>
                <w:szCs w:val="14"/>
                <w:lang w:eastAsia="tr-TR"/>
              </w:rPr>
            </w:pPr>
            <w:r w:rsidRPr="00471CBA">
              <w:rPr>
                <w:color w:val="000000"/>
                <w:sz w:val="14"/>
                <w:szCs w:val="14"/>
                <w:lang w:eastAsia="tr-TR"/>
              </w:rPr>
              <w:t>3.220.547</w:t>
            </w:r>
          </w:p>
        </w:tc>
        <w:tc>
          <w:tcPr>
            <w:tcW w:w="669" w:type="pct"/>
            <w:tcBorders>
              <w:top w:val="single" w:sz="4" w:space="0" w:color="auto"/>
              <w:left w:val="nil"/>
              <w:bottom w:val="single" w:sz="4" w:space="0" w:color="auto"/>
              <w:right w:val="single" w:sz="4" w:space="0" w:color="auto"/>
            </w:tcBorders>
            <w:vAlign w:val="bottom"/>
            <w:hideMark/>
          </w:tcPr>
          <w:p w14:paraId="06DE46F3"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18549DE3" w14:textId="77777777" w:rsidR="00A74C68" w:rsidRPr="00471CBA" w:rsidRDefault="00A74C68" w:rsidP="00A74C68">
            <w:pPr>
              <w:jc w:val="right"/>
              <w:rPr>
                <w:color w:val="000000"/>
                <w:sz w:val="14"/>
                <w:szCs w:val="14"/>
                <w:lang w:eastAsia="tr-TR"/>
              </w:rPr>
            </w:pPr>
            <w:r w:rsidRPr="00471CBA">
              <w:rPr>
                <w:color w:val="000000"/>
                <w:sz w:val="14"/>
                <w:szCs w:val="14"/>
                <w:lang w:eastAsia="tr-TR"/>
              </w:rPr>
              <w:t>9.367.245</w:t>
            </w:r>
          </w:p>
        </w:tc>
      </w:tr>
      <w:tr w:rsidR="00A74C68" w:rsidRPr="00471CBA" w14:paraId="4E1B68AD" w14:textId="77777777" w:rsidTr="00A74C68">
        <w:trPr>
          <w:divId w:val="1408452450"/>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23F2DDF4" w14:textId="77777777" w:rsidR="00A74C68" w:rsidRPr="00471CBA" w:rsidRDefault="00A74C68" w:rsidP="00A74C68">
            <w:pPr>
              <w:rPr>
                <w:color w:val="000000"/>
                <w:sz w:val="14"/>
                <w:szCs w:val="14"/>
                <w:lang w:eastAsia="tr-TR"/>
              </w:rPr>
            </w:pPr>
            <w:r w:rsidRPr="00471CBA">
              <w:rPr>
                <w:color w:val="000000"/>
                <w:sz w:val="14"/>
                <w:szCs w:val="14"/>
                <w:lang w:eastAsia="tr-TR"/>
              </w:rPr>
              <w:t>21</w:t>
            </w:r>
          </w:p>
        </w:tc>
        <w:tc>
          <w:tcPr>
            <w:tcW w:w="1694" w:type="pct"/>
            <w:tcBorders>
              <w:top w:val="single" w:sz="4" w:space="0" w:color="auto"/>
              <w:left w:val="nil"/>
              <w:bottom w:val="single" w:sz="4" w:space="0" w:color="auto"/>
              <w:right w:val="single" w:sz="4" w:space="0" w:color="auto"/>
            </w:tcBorders>
            <w:vAlign w:val="center"/>
            <w:hideMark/>
          </w:tcPr>
          <w:p w14:paraId="37398F71" w14:textId="77777777" w:rsidR="00A74C68" w:rsidRPr="00471CBA" w:rsidRDefault="00A74C68" w:rsidP="00A74C68">
            <w:pPr>
              <w:rPr>
                <w:i/>
                <w:iCs/>
                <w:color w:val="000000"/>
                <w:sz w:val="14"/>
                <w:szCs w:val="14"/>
                <w:lang w:eastAsia="tr-TR"/>
              </w:rPr>
            </w:pPr>
            <w:r w:rsidRPr="00471CBA">
              <w:rPr>
                <w:i/>
                <w:iCs/>
                <w:color w:val="000000"/>
                <w:sz w:val="14"/>
                <w:szCs w:val="14"/>
                <w:lang w:eastAsia="tr-TR"/>
              </w:rPr>
              <w:t>%35 ya da daha düşük risk ağırlığına tabi alacaklar</w:t>
            </w:r>
          </w:p>
        </w:tc>
        <w:tc>
          <w:tcPr>
            <w:tcW w:w="596" w:type="pct"/>
            <w:tcBorders>
              <w:top w:val="single" w:sz="4" w:space="0" w:color="auto"/>
              <w:left w:val="nil"/>
              <w:bottom w:val="single" w:sz="4" w:space="0" w:color="auto"/>
              <w:right w:val="single" w:sz="4" w:space="0" w:color="auto"/>
            </w:tcBorders>
            <w:vAlign w:val="bottom"/>
            <w:hideMark/>
          </w:tcPr>
          <w:p w14:paraId="3640B110"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vAlign w:val="bottom"/>
            <w:hideMark/>
          </w:tcPr>
          <w:p w14:paraId="6AD58E39"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47" w:type="pct"/>
            <w:tcBorders>
              <w:top w:val="single" w:sz="4" w:space="0" w:color="auto"/>
              <w:left w:val="nil"/>
              <w:bottom w:val="single" w:sz="4" w:space="0" w:color="auto"/>
              <w:right w:val="single" w:sz="4" w:space="0" w:color="auto"/>
            </w:tcBorders>
            <w:vAlign w:val="bottom"/>
            <w:hideMark/>
          </w:tcPr>
          <w:p w14:paraId="1DBE11A0"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69" w:type="pct"/>
            <w:tcBorders>
              <w:top w:val="single" w:sz="4" w:space="0" w:color="auto"/>
              <w:left w:val="nil"/>
              <w:bottom w:val="single" w:sz="4" w:space="0" w:color="auto"/>
              <w:right w:val="single" w:sz="4" w:space="0" w:color="auto"/>
            </w:tcBorders>
            <w:vAlign w:val="bottom"/>
            <w:hideMark/>
          </w:tcPr>
          <w:p w14:paraId="1FB6F6C7"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4925E6FE"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r>
      <w:tr w:rsidR="00A74C68" w:rsidRPr="00471CBA" w14:paraId="64FDDC4F" w14:textId="77777777" w:rsidTr="00A74C68">
        <w:trPr>
          <w:divId w:val="1408452450"/>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0C8B9CDA" w14:textId="77777777" w:rsidR="00A74C68" w:rsidRPr="00471CBA" w:rsidRDefault="00A74C68" w:rsidP="00A74C68">
            <w:pPr>
              <w:rPr>
                <w:color w:val="000000"/>
                <w:sz w:val="14"/>
                <w:szCs w:val="14"/>
                <w:lang w:eastAsia="tr-TR"/>
              </w:rPr>
            </w:pPr>
            <w:r w:rsidRPr="00471CBA">
              <w:rPr>
                <w:color w:val="000000"/>
                <w:sz w:val="14"/>
                <w:szCs w:val="14"/>
                <w:lang w:eastAsia="tr-TR"/>
              </w:rPr>
              <w:t>22</w:t>
            </w:r>
          </w:p>
        </w:tc>
        <w:tc>
          <w:tcPr>
            <w:tcW w:w="1694" w:type="pct"/>
            <w:tcBorders>
              <w:top w:val="single" w:sz="4" w:space="0" w:color="auto"/>
              <w:left w:val="nil"/>
              <w:bottom w:val="single" w:sz="4" w:space="0" w:color="auto"/>
              <w:right w:val="single" w:sz="4" w:space="0" w:color="auto"/>
            </w:tcBorders>
            <w:vAlign w:val="center"/>
            <w:hideMark/>
          </w:tcPr>
          <w:p w14:paraId="630D0F2A" w14:textId="77777777" w:rsidR="00A74C68" w:rsidRPr="00471CBA" w:rsidRDefault="00A74C68" w:rsidP="00A74C68">
            <w:pPr>
              <w:rPr>
                <w:color w:val="000000"/>
                <w:sz w:val="14"/>
                <w:szCs w:val="14"/>
                <w:lang w:eastAsia="tr-TR"/>
              </w:rPr>
            </w:pPr>
            <w:r w:rsidRPr="00471CBA">
              <w:rPr>
                <w:color w:val="000000"/>
                <w:sz w:val="14"/>
                <w:szCs w:val="14"/>
                <w:lang w:eastAsia="tr-TR"/>
              </w:rPr>
              <w:t>İkamet amaçlı gayrimenkul ipoteği ile teminatlandırılan alacaklar</w:t>
            </w:r>
          </w:p>
        </w:tc>
        <w:tc>
          <w:tcPr>
            <w:tcW w:w="596" w:type="pct"/>
            <w:tcBorders>
              <w:top w:val="single" w:sz="4" w:space="0" w:color="auto"/>
              <w:left w:val="nil"/>
              <w:bottom w:val="single" w:sz="4" w:space="0" w:color="auto"/>
              <w:right w:val="single" w:sz="4" w:space="0" w:color="auto"/>
            </w:tcBorders>
            <w:vAlign w:val="bottom"/>
            <w:hideMark/>
          </w:tcPr>
          <w:p w14:paraId="070BB267"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vAlign w:val="bottom"/>
            <w:hideMark/>
          </w:tcPr>
          <w:p w14:paraId="66C7BB5C"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47" w:type="pct"/>
            <w:tcBorders>
              <w:top w:val="single" w:sz="4" w:space="0" w:color="auto"/>
              <w:left w:val="nil"/>
              <w:bottom w:val="single" w:sz="4" w:space="0" w:color="auto"/>
              <w:right w:val="single" w:sz="4" w:space="0" w:color="auto"/>
            </w:tcBorders>
            <w:vAlign w:val="bottom"/>
            <w:hideMark/>
          </w:tcPr>
          <w:p w14:paraId="176B9D21" w14:textId="77777777" w:rsidR="00A74C68" w:rsidRPr="00471CBA" w:rsidRDefault="00A74C68" w:rsidP="00A74C68">
            <w:pPr>
              <w:jc w:val="right"/>
              <w:rPr>
                <w:color w:val="000000"/>
                <w:sz w:val="14"/>
                <w:szCs w:val="14"/>
                <w:lang w:eastAsia="tr-TR"/>
              </w:rPr>
            </w:pPr>
            <w:r w:rsidRPr="00471CBA">
              <w:rPr>
                <w:color w:val="000000"/>
                <w:sz w:val="14"/>
                <w:szCs w:val="14"/>
                <w:lang w:eastAsia="tr-TR"/>
              </w:rPr>
              <w:t>757</w:t>
            </w:r>
          </w:p>
        </w:tc>
        <w:tc>
          <w:tcPr>
            <w:tcW w:w="669" w:type="pct"/>
            <w:tcBorders>
              <w:top w:val="single" w:sz="4" w:space="0" w:color="auto"/>
              <w:left w:val="nil"/>
              <w:bottom w:val="single" w:sz="4" w:space="0" w:color="auto"/>
              <w:right w:val="single" w:sz="4" w:space="0" w:color="auto"/>
            </w:tcBorders>
            <w:vAlign w:val="bottom"/>
            <w:hideMark/>
          </w:tcPr>
          <w:p w14:paraId="1677B343" w14:textId="77777777" w:rsidR="00A74C68" w:rsidRPr="00471CBA" w:rsidRDefault="00A74C68" w:rsidP="00A74C68">
            <w:pPr>
              <w:jc w:val="right"/>
              <w:rPr>
                <w:color w:val="000000"/>
                <w:sz w:val="14"/>
                <w:szCs w:val="14"/>
                <w:lang w:eastAsia="tr-TR"/>
              </w:rPr>
            </w:pPr>
            <w:r w:rsidRPr="00471CBA">
              <w:rPr>
                <w:color w:val="000000"/>
                <w:sz w:val="14"/>
                <w:szCs w:val="14"/>
                <w:lang w:eastAsia="tr-TR"/>
              </w:rPr>
              <w:t>107.047</w:t>
            </w:r>
          </w:p>
        </w:tc>
        <w:tc>
          <w:tcPr>
            <w:tcW w:w="625" w:type="pct"/>
            <w:tcBorders>
              <w:top w:val="single" w:sz="4" w:space="0" w:color="auto"/>
              <w:left w:val="nil"/>
              <w:bottom w:val="single" w:sz="4" w:space="0" w:color="auto"/>
              <w:right w:val="single" w:sz="4" w:space="0" w:color="auto"/>
            </w:tcBorders>
            <w:vAlign w:val="bottom"/>
            <w:hideMark/>
          </w:tcPr>
          <w:p w14:paraId="0924D4A1" w14:textId="77777777" w:rsidR="00A74C68" w:rsidRPr="00471CBA" w:rsidRDefault="00A74C68" w:rsidP="00A74C68">
            <w:pPr>
              <w:jc w:val="right"/>
              <w:rPr>
                <w:color w:val="000000"/>
                <w:sz w:val="14"/>
                <w:szCs w:val="14"/>
                <w:lang w:eastAsia="tr-TR"/>
              </w:rPr>
            </w:pPr>
            <w:r w:rsidRPr="00471CBA">
              <w:rPr>
                <w:color w:val="000000"/>
                <w:sz w:val="14"/>
                <w:szCs w:val="14"/>
                <w:lang w:eastAsia="tr-TR"/>
              </w:rPr>
              <w:t>70.073</w:t>
            </w:r>
          </w:p>
        </w:tc>
      </w:tr>
      <w:tr w:rsidR="00A74C68" w:rsidRPr="00471CBA" w14:paraId="75267983" w14:textId="77777777" w:rsidTr="00A74C68">
        <w:trPr>
          <w:divId w:val="1408452450"/>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79F9A8E6" w14:textId="77777777" w:rsidR="00A74C68" w:rsidRPr="00471CBA" w:rsidRDefault="00A74C68" w:rsidP="00A74C68">
            <w:pPr>
              <w:rPr>
                <w:color w:val="000000"/>
                <w:sz w:val="14"/>
                <w:szCs w:val="14"/>
                <w:lang w:eastAsia="tr-TR"/>
              </w:rPr>
            </w:pPr>
            <w:r w:rsidRPr="00471CBA">
              <w:rPr>
                <w:color w:val="000000"/>
                <w:sz w:val="14"/>
                <w:szCs w:val="14"/>
                <w:lang w:eastAsia="tr-TR"/>
              </w:rPr>
              <w:t>23</w:t>
            </w:r>
          </w:p>
        </w:tc>
        <w:tc>
          <w:tcPr>
            <w:tcW w:w="1694" w:type="pct"/>
            <w:tcBorders>
              <w:top w:val="single" w:sz="4" w:space="0" w:color="auto"/>
              <w:left w:val="nil"/>
              <w:bottom w:val="single" w:sz="4" w:space="0" w:color="auto"/>
              <w:right w:val="single" w:sz="4" w:space="0" w:color="auto"/>
            </w:tcBorders>
            <w:vAlign w:val="center"/>
            <w:hideMark/>
          </w:tcPr>
          <w:p w14:paraId="79D17676" w14:textId="77777777" w:rsidR="00A74C68" w:rsidRPr="00471CBA" w:rsidRDefault="00A74C68" w:rsidP="00A74C68">
            <w:pPr>
              <w:rPr>
                <w:i/>
                <w:iCs/>
                <w:color w:val="000000"/>
                <w:sz w:val="14"/>
                <w:szCs w:val="14"/>
                <w:lang w:eastAsia="tr-TR"/>
              </w:rPr>
            </w:pPr>
            <w:r w:rsidRPr="00471CBA">
              <w:rPr>
                <w:i/>
                <w:iCs/>
                <w:color w:val="000000"/>
                <w:sz w:val="14"/>
                <w:szCs w:val="14"/>
                <w:lang w:eastAsia="tr-TR"/>
              </w:rPr>
              <w:t>%35 ya da daha düşük risk ağırlığına tabi alacaklar</w:t>
            </w:r>
          </w:p>
        </w:tc>
        <w:tc>
          <w:tcPr>
            <w:tcW w:w="596" w:type="pct"/>
            <w:tcBorders>
              <w:top w:val="single" w:sz="4" w:space="0" w:color="auto"/>
              <w:left w:val="nil"/>
              <w:bottom w:val="single" w:sz="4" w:space="0" w:color="auto"/>
              <w:right w:val="single" w:sz="4" w:space="0" w:color="auto"/>
            </w:tcBorders>
            <w:vAlign w:val="bottom"/>
            <w:hideMark/>
          </w:tcPr>
          <w:p w14:paraId="73BA9742"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vAlign w:val="bottom"/>
            <w:hideMark/>
          </w:tcPr>
          <w:p w14:paraId="5849ABB2"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47" w:type="pct"/>
            <w:tcBorders>
              <w:top w:val="single" w:sz="4" w:space="0" w:color="auto"/>
              <w:left w:val="nil"/>
              <w:bottom w:val="single" w:sz="4" w:space="0" w:color="auto"/>
              <w:right w:val="single" w:sz="4" w:space="0" w:color="auto"/>
            </w:tcBorders>
            <w:vAlign w:val="bottom"/>
            <w:hideMark/>
          </w:tcPr>
          <w:p w14:paraId="1D4CBB16" w14:textId="77777777" w:rsidR="00A74C68" w:rsidRPr="00471CBA" w:rsidRDefault="00A74C68" w:rsidP="00A74C68">
            <w:pPr>
              <w:jc w:val="right"/>
              <w:rPr>
                <w:color w:val="000000"/>
                <w:sz w:val="14"/>
                <w:szCs w:val="14"/>
                <w:lang w:eastAsia="tr-TR"/>
              </w:rPr>
            </w:pPr>
            <w:r w:rsidRPr="00471CBA">
              <w:rPr>
                <w:color w:val="000000"/>
                <w:sz w:val="14"/>
                <w:szCs w:val="14"/>
                <w:lang w:eastAsia="tr-TR"/>
              </w:rPr>
              <w:t>757</w:t>
            </w:r>
          </w:p>
        </w:tc>
        <w:tc>
          <w:tcPr>
            <w:tcW w:w="669" w:type="pct"/>
            <w:tcBorders>
              <w:top w:val="single" w:sz="4" w:space="0" w:color="auto"/>
              <w:left w:val="nil"/>
              <w:bottom w:val="single" w:sz="4" w:space="0" w:color="auto"/>
              <w:right w:val="single" w:sz="4" w:space="0" w:color="auto"/>
            </w:tcBorders>
            <w:vAlign w:val="bottom"/>
            <w:hideMark/>
          </w:tcPr>
          <w:p w14:paraId="23B1F24B" w14:textId="77777777" w:rsidR="00A74C68" w:rsidRPr="00471CBA" w:rsidRDefault="00A74C68" w:rsidP="00A74C68">
            <w:pPr>
              <w:jc w:val="right"/>
              <w:rPr>
                <w:color w:val="000000"/>
                <w:sz w:val="14"/>
                <w:szCs w:val="14"/>
                <w:lang w:eastAsia="tr-TR"/>
              </w:rPr>
            </w:pPr>
            <w:r w:rsidRPr="00471CBA">
              <w:rPr>
                <w:color w:val="000000"/>
                <w:sz w:val="14"/>
                <w:szCs w:val="14"/>
                <w:lang w:eastAsia="tr-TR"/>
              </w:rPr>
              <w:t>107.047</w:t>
            </w:r>
          </w:p>
        </w:tc>
        <w:tc>
          <w:tcPr>
            <w:tcW w:w="625" w:type="pct"/>
            <w:tcBorders>
              <w:top w:val="single" w:sz="4" w:space="0" w:color="auto"/>
              <w:left w:val="nil"/>
              <w:bottom w:val="single" w:sz="4" w:space="0" w:color="auto"/>
              <w:right w:val="single" w:sz="4" w:space="0" w:color="auto"/>
            </w:tcBorders>
            <w:vAlign w:val="bottom"/>
            <w:hideMark/>
          </w:tcPr>
          <w:p w14:paraId="7CA8DCAB" w14:textId="77777777" w:rsidR="00A74C68" w:rsidRPr="00471CBA" w:rsidRDefault="00A74C68" w:rsidP="00A74C68">
            <w:pPr>
              <w:jc w:val="right"/>
              <w:rPr>
                <w:color w:val="000000"/>
                <w:sz w:val="14"/>
                <w:szCs w:val="14"/>
                <w:lang w:eastAsia="tr-TR"/>
              </w:rPr>
            </w:pPr>
            <w:r w:rsidRPr="00471CBA">
              <w:rPr>
                <w:color w:val="000000"/>
                <w:sz w:val="14"/>
                <w:szCs w:val="14"/>
                <w:lang w:eastAsia="tr-TR"/>
              </w:rPr>
              <w:t>70.073</w:t>
            </w:r>
          </w:p>
        </w:tc>
      </w:tr>
      <w:tr w:rsidR="00A74C68" w:rsidRPr="00471CBA" w14:paraId="1CCB2C43" w14:textId="77777777" w:rsidTr="00A74C68">
        <w:trPr>
          <w:divId w:val="1408452450"/>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60109E49" w14:textId="77777777" w:rsidR="00A74C68" w:rsidRPr="00471CBA" w:rsidRDefault="00A74C68" w:rsidP="00A74C68">
            <w:pPr>
              <w:rPr>
                <w:color w:val="000000"/>
                <w:sz w:val="14"/>
                <w:szCs w:val="14"/>
                <w:lang w:eastAsia="tr-TR"/>
              </w:rPr>
            </w:pPr>
            <w:r w:rsidRPr="00471CBA">
              <w:rPr>
                <w:color w:val="000000"/>
                <w:sz w:val="14"/>
                <w:szCs w:val="14"/>
                <w:lang w:eastAsia="tr-TR"/>
              </w:rPr>
              <w:t>24</w:t>
            </w:r>
          </w:p>
        </w:tc>
        <w:tc>
          <w:tcPr>
            <w:tcW w:w="1694" w:type="pct"/>
            <w:tcBorders>
              <w:top w:val="single" w:sz="4" w:space="0" w:color="auto"/>
              <w:left w:val="nil"/>
              <w:bottom w:val="single" w:sz="4" w:space="0" w:color="auto"/>
              <w:right w:val="single" w:sz="4" w:space="0" w:color="auto"/>
            </w:tcBorders>
            <w:vAlign w:val="center"/>
            <w:hideMark/>
          </w:tcPr>
          <w:p w14:paraId="78952E8F" w14:textId="77777777" w:rsidR="00A74C68" w:rsidRPr="00471CBA" w:rsidRDefault="00A74C68" w:rsidP="00A74C68">
            <w:pPr>
              <w:rPr>
                <w:color w:val="000000"/>
                <w:sz w:val="14"/>
                <w:szCs w:val="14"/>
                <w:lang w:eastAsia="tr-TR"/>
              </w:rPr>
            </w:pPr>
            <w:r w:rsidRPr="00471CBA">
              <w:rPr>
                <w:color w:val="000000"/>
                <w:sz w:val="14"/>
                <w:szCs w:val="14"/>
                <w:lang w:eastAsia="tr-TR"/>
              </w:rPr>
              <w:t>Yüksek kaliteli likit varlık niteliğini haiz olmayan, borsada işlem gören hisse senetleri ile borçlanma araçları</w:t>
            </w:r>
          </w:p>
        </w:tc>
        <w:tc>
          <w:tcPr>
            <w:tcW w:w="596" w:type="pct"/>
            <w:tcBorders>
              <w:top w:val="single" w:sz="4" w:space="0" w:color="auto"/>
              <w:left w:val="nil"/>
              <w:bottom w:val="single" w:sz="4" w:space="0" w:color="auto"/>
              <w:right w:val="single" w:sz="4" w:space="0" w:color="auto"/>
            </w:tcBorders>
            <w:vAlign w:val="bottom"/>
            <w:hideMark/>
          </w:tcPr>
          <w:p w14:paraId="0E280E33"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vAlign w:val="bottom"/>
            <w:hideMark/>
          </w:tcPr>
          <w:p w14:paraId="31B583E2"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47" w:type="pct"/>
            <w:tcBorders>
              <w:top w:val="single" w:sz="4" w:space="0" w:color="auto"/>
              <w:left w:val="nil"/>
              <w:bottom w:val="single" w:sz="4" w:space="0" w:color="auto"/>
              <w:right w:val="single" w:sz="4" w:space="0" w:color="auto"/>
            </w:tcBorders>
            <w:vAlign w:val="bottom"/>
            <w:hideMark/>
          </w:tcPr>
          <w:p w14:paraId="1B914846"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69" w:type="pct"/>
            <w:tcBorders>
              <w:top w:val="single" w:sz="4" w:space="0" w:color="auto"/>
              <w:left w:val="nil"/>
              <w:bottom w:val="single" w:sz="4" w:space="0" w:color="auto"/>
              <w:right w:val="single" w:sz="4" w:space="0" w:color="auto"/>
            </w:tcBorders>
            <w:vAlign w:val="bottom"/>
            <w:hideMark/>
          </w:tcPr>
          <w:p w14:paraId="2F8E70BC"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0687A4D5"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r>
      <w:tr w:rsidR="00A74C68" w:rsidRPr="00471CBA" w14:paraId="2C7F5DBB" w14:textId="77777777" w:rsidTr="00A74C68">
        <w:trPr>
          <w:divId w:val="1408452450"/>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396DD89D" w14:textId="77777777" w:rsidR="00A74C68" w:rsidRPr="00471CBA" w:rsidRDefault="00A74C68" w:rsidP="00A74C68">
            <w:pPr>
              <w:rPr>
                <w:color w:val="000000"/>
                <w:sz w:val="14"/>
                <w:szCs w:val="14"/>
                <w:lang w:eastAsia="tr-TR"/>
              </w:rPr>
            </w:pPr>
            <w:r w:rsidRPr="00471CBA">
              <w:rPr>
                <w:color w:val="000000"/>
                <w:sz w:val="14"/>
                <w:szCs w:val="14"/>
                <w:lang w:eastAsia="tr-TR"/>
              </w:rPr>
              <w:t>25</w:t>
            </w:r>
          </w:p>
        </w:tc>
        <w:tc>
          <w:tcPr>
            <w:tcW w:w="1694" w:type="pct"/>
            <w:tcBorders>
              <w:top w:val="single" w:sz="4" w:space="0" w:color="auto"/>
              <w:left w:val="nil"/>
              <w:bottom w:val="single" w:sz="4" w:space="0" w:color="auto"/>
              <w:right w:val="single" w:sz="4" w:space="0" w:color="auto"/>
            </w:tcBorders>
            <w:vAlign w:val="center"/>
            <w:hideMark/>
          </w:tcPr>
          <w:p w14:paraId="461BC372" w14:textId="77777777" w:rsidR="00A74C68" w:rsidRPr="00471CBA" w:rsidRDefault="00A74C68" w:rsidP="00A74C68">
            <w:pPr>
              <w:rPr>
                <w:color w:val="000000"/>
                <w:sz w:val="14"/>
                <w:szCs w:val="14"/>
                <w:lang w:eastAsia="tr-TR"/>
              </w:rPr>
            </w:pPr>
            <w:r w:rsidRPr="00471CBA">
              <w:rPr>
                <w:color w:val="000000"/>
                <w:sz w:val="14"/>
                <w:szCs w:val="14"/>
                <w:lang w:eastAsia="tr-TR"/>
              </w:rPr>
              <w:t xml:space="preserve">Birbirlerine bağlı yükümlülüklere eşdeğer varlıklar </w:t>
            </w:r>
          </w:p>
        </w:tc>
        <w:tc>
          <w:tcPr>
            <w:tcW w:w="596" w:type="pct"/>
            <w:tcBorders>
              <w:top w:val="single" w:sz="4" w:space="0" w:color="auto"/>
              <w:left w:val="nil"/>
              <w:bottom w:val="single" w:sz="4" w:space="0" w:color="auto"/>
              <w:right w:val="single" w:sz="4" w:space="0" w:color="auto"/>
            </w:tcBorders>
            <w:shd w:val="clear" w:color="000000" w:fill="000000"/>
            <w:vAlign w:val="bottom"/>
            <w:hideMark/>
          </w:tcPr>
          <w:p w14:paraId="3225C009"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626" w:type="pct"/>
            <w:tcBorders>
              <w:top w:val="single" w:sz="4" w:space="0" w:color="auto"/>
              <w:left w:val="nil"/>
              <w:bottom w:val="single" w:sz="4" w:space="0" w:color="auto"/>
              <w:right w:val="single" w:sz="4" w:space="0" w:color="auto"/>
            </w:tcBorders>
            <w:shd w:val="clear" w:color="000000" w:fill="000000"/>
            <w:vAlign w:val="bottom"/>
            <w:hideMark/>
          </w:tcPr>
          <w:p w14:paraId="6D44E804"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647" w:type="pct"/>
            <w:tcBorders>
              <w:top w:val="single" w:sz="4" w:space="0" w:color="auto"/>
              <w:left w:val="nil"/>
              <w:bottom w:val="single" w:sz="4" w:space="0" w:color="auto"/>
              <w:right w:val="single" w:sz="4" w:space="0" w:color="auto"/>
            </w:tcBorders>
            <w:shd w:val="clear" w:color="000000" w:fill="000000"/>
            <w:vAlign w:val="bottom"/>
            <w:hideMark/>
          </w:tcPr>
          <w:p w14:paraId="0785DDFD"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669" w:type="pct"/>
            <w:tcBorders>
              <w:top w:val="single" w:sz="4" w:space="0" w:color="auto"/>
              <w:left w:val="nil"/>
              <w:bottom w:val="single" w:sz="4" w:space="0" w:color="auto"/>
              <w:right w:val="single" w:sz="4" w:space="0" w:color="auto"/>
            </w:tcBorders>
            <w:shd w:val="clear" w:color="000000" w:fill="000000"/>
            <w:vAlign w:val="bottom"/>
            <w:hideMark/>
          </w:tcPr>
          <w:p w14:paraId="35A1E231"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625" w:type="pct"/>
            <w:tcBorders>
              <w:top w:val="single" w:sz="4" w:space="0" w:color="auto"/>
              <w:left w:val="nil"/>
              <w:bottom w:val="single" w:sz="4" w:space="0" w:color="auto"/>
              <w:right w:val="single" w:sz="4" w:space="0" w:color="auto"/>
            </w:tcBorders>
            <w:shd w:val="clear" w:color="000000" w:fill="000000"/>
            <w:vAlign w:val="bottom"/>
            <w:hideMark/>
          </w:tcPr>
          <w:p w14:paraId="1E6F3CE2"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r>
      <w:tr w:rsidR="00A74C68" w:rsidRPr="00471CBA" w14:paraId="06474A1A" w14:textId="77777777" w:rsidTr="00A74C68">
        <w:trPr>
          <w:divId w:val="1408452450"/>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2D3B882E" w14:textId="77777777" w:rsidR="00A74C68" w:rsidRPr="00471CBA" w:rsidRDefault="00A74C68" w:rsidP="00A74C68">
            <w:pPr>
              <w:rPr>
                <w:color w:val="000000"/>
                <w:sz w:val="14"/>
                <w:szCs w:val="14"/>
                <w:lang w:eastAsia="tr-TR"/>
              </w:rPr>
            </w:pPr>
            <w:r w:rsidRPr="00471CBA">
              <w:rPr>
                <w:color w:val="000000"/>
                <w:sz w:val="14"/>
                <w:szCs w:val="14"/>
                <w:lang w:eastAsia="tr-TR"/>
              </w:rPr>
              <w:t>26</w:t>
            </w:r>
          </w:p>
        </w:tc>
        <w:tc>
          <w:tcPr>
            <w:tcW w:w="1694" w:type="pct"/>
            <w:tcBorders>
              <w:top w:val="single" w:sz="4" w:space="0" w:color="auto"/>
              <w:left w:val="nil"/>
              <w:bottom w:val="single" w:sz="4" w:space="0" w:color="auto"/>
              <w:right w:val="single" w:sz="4" w:space="0" w:color="auto"/>
            </w:tcBorders>
            <w:vAlign w:val="center"/>
            <w:hideMark/>
          </w:tcPr>
          <w:p w14:paraId="5FE41DDB" w14:textId="77777777" w:rsidR="00A74C68" w:rsidRPr="00471CBA" w:rsidRDefault="00A74C68" w:rsidP="00A74C68">
            <w:pPr>
              <w:rPr>
                <w:color w:val="000000"/>
                <w:sz w:val="14"/>
                <w:szCs w:val="14"/>
                <w:lang w:eastAsia="tr-TR"/>
              </w:rPr>
            </w:pPr>
            <w:r w:rsidRPr="00471CBA">
              <w:rPr>
                <w:color w:val="000000"/>
                <w:sz w:val="14"/>
                <w:szCs w:val="14"/>
                <w:lang w:eastAsia="tr-TR"/>
              </w:rPr>
              <w:t>Diğer varlıklar</w:t>
            </w:r>
          </w:p>
        </w:tc>
        <w:tc>
          <w:tcPr>
            <w:tcW w:w="596" w:type="pct"/>
            <w:tcBorders>
              <w:top w:val="single" w:sz="4" w:space="0" w:color="auto"/>
              <w:left w:val="nil"/>
              <w:bottom w:val="single" w:sz="4" w:space="0" w:color="auto"/>
              <w:right w:val="single" w:sz="4" w:space="0" w:color="auto"/>
            </w:tcBorders>
            <w:vAlign w:val="bottom"/>
            <w:hideMark/>
          </w:tcPr>
          <w:p w14:paraId="4D5A4FE5"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vAlign w:val="bottom"/>
            <w:hideMark/>
          </w:tcPr>
          <w:p w14:paraId="1CB7EF44"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47" w:type="pct"/>
            <w:tcBorders>
              <w:top w:val="single" w:sz="4" w:space="0" w:color="auto"/>
              <w:left w:val="nil"/>
              <w:bottom w:val="single" w:sz="4" w:space="0" w:color="auto"/>
              <w:right w:val="single" w:sz="4" w:space="0" w:color="auto"/>
            </w:tcBorders>
            <w:vAlign w:val="bottom"/>
            <w:hideMark/>
          </w:tcPr>
          <w:p w14:paraId="5762CCD5"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69" w:type="pct"/>
            <w:tcBorders>
              <w:top w:val="single" w:sz="4" w:space="0" w:color="auto"/>
              <w:left w:val="nil"/>
              <w:bottom w:val="single" w:sz="4" w:space="0" w:color="auto"/>
              <w:right w:val="single" w:sz="4" w:space="0" w:color="auto"/>
            </w:tcBorders>
            <w:vAlign w:val="bottom"/>
            <w:hideMark/>
          </w:tcPr>
          <w:p w14:paraId="0458EC03"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6262E064" w14:textId="77777777" w:rsidR="00A74C68" w:rsidRPr="00471CBA" w:rsidRDefault="00A74C68" w:rsidP="00A74C68">
            <w:pPr>
              <w:jc w:val="right"/>
              <w:rPr>
                <w:color w:val="000000"/>
                <w:sz w:val="14"/>
                <w:szCs w:val="14"/>
                <w:lang w:eastAsia="tr-TR"/>
              </w:rPr>
            </w:pPr>
            <w:r w:rsidRPr="00471CBA">
              <w:rPr>
                <w:color w:val="000000"/>
                <w:sz w:val="14"/>
                <w:szCs w:val="14"/>
                <w:lang w:eastAsia="tr-TR"/>
              </w:rPr>
              <w:t>3.408.153</w:t>
            </w:r>
          </w:p>
        </w:tc>
      </w:tr>
      <w:tr w:rsidR="00A74C68" w:rsidRPr="00471CBA" w14:paraId="196826AC" w14:textId="77777777" w:rsidTr="00A74C68">
        <w:trPr>
          <w:divId w:val="1408452450"/>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77F27EE4" w14:textId="77777777" w:rsidR="00A74C68" w:rsidRPr="00471CBA" w:rsidRDefault="00A74C68" w:rsidP="00A74C68">
            <w:pPr>
              <w:rPr>
                <w:color w:val="000000"/>
                <w:sz w:val="14"/>
                <w:szCs w:val="14"/>
                <w:lang w:eastAsia="tr-TR"/>
              </w:rPr>
            </w:pPr>
            <w:r w:rsidRPr="00471CBA">
              <w:rPr>
                <w:color w:val="000000"/>
                <w:sz w:val="14"/>
                <w:szCs w:val="14"/>
                <w:lang w:eastAsia="tr-TR"/>
              </w:rPr>
              <w:t>27</w:t>
            </w:r>
          </w:p>
        </w:tc>
        <w:tc>
          <w:tcPr>
            <w:tcW w:w="1694" w:type="pct"/>
            <w:tcBorders>
              <w:top w:val="single" w:sz="4" w:space="0" w:color="auto"/>
              <w:left w:val="nil"/>
              <w:bottom w:val="single" w:sz="4" w:space="0" w:color="auto"/>
              <w:right w:val="single" w:sz="4" w:space="0" w:color="auto"/>
            </w:tcBorders>
            <w:vAlign w:val="center"/>
            <w:hideMark/>
          </w:tcPr>
          <w:p w14:paraId="2CFADA8E" w14:textId="77777777" w:rsidR="00A74C68" w:rsidRPr="00471CBA" w:rsidRDefault="00A74C68" w:rsidP="00A74C68">
            <w:pPr>
              <w:rPr>
                <w:color w:val="000000"/>
                <w:sz w:val="14"/>
                <w:szCs w:val="14"/>
                <w:lang w:eastAsia="tr-TR"/>
              </w:rPr>
            </w:pPr>
            <w:r w:rsidRPr="00471CBA">
              <w:rPr>
                <w:color w:val="000000"/>
                <w:sz w:val="14"/>
                <w:szCs w:val="14"/>
                <w:lang w:eastAsia="tr-TR"/>
              </w:rPr>
              <w:t>Altın dahil fiziki teslimatlı emtia</w:t>
            </w:r>
          </w:p>
        </w:tc>
        <w:tc>
          <w:tcPr>
            <w:tcW w:w="596" w:type="pct"/>
            <w:tcBorders>
              <w:top w:val="single" w:sz="4" w:space="0" w:color="auto"/>
              <w:left w:val="nil"/>
              <w:bottom w:val="single" w:sz="4" w:space="0" w:color="auto"/>
              <w:right w:val="single" w:sz="4" w:space="0" w:color="auto"/>
            </w:tcBorders>
            <w:vAlign w:val="bottom"/>
            <w:hideMark/>
          </w:tcPr>
          <w:p w14:paraId="2E9F3874"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shd w:val="clear" w:color="000000" w:fill="000000"/>
            <w:vAlign w:val="bottom"/>
            <w:hideMark/>
          </w:tcPr>
          <w:p w14:paraId="2D457CD4"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647" w:type="pct"/>
            <w:tcBorders>
              <w:top w:val="single" w:sz="4" w:space="0" w:color="auto"/>
              <w:left w:val="nil"/>
              <w:bottom w:val="single" w:sz="4" w:space="0" w:color="auto"/>
              <w:right w:val="single" w:sz="4" w:space="0" w:color="auto"/>
            </w:tcBorders>
            <w:shd w:val="clear" w:color="000000" w:fill="000000"/>
            <w:vAlign w:val="bottom"/>
            <w:hideMark/>
          </w:tcPr>
          <w:p w14:paraId="5DD29DD1"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669" w:type="pct"/>
            <w:tcBorders>
              <w:top w:val="single" w:sz="4" w:space="0" w:color="auto"/>
              <w:left w:val="nil"/>
              <w:bottom w:val="single" w:sz="4" w:space="0" w:color="auto"/>
              <w:right w:val="single" w:sz="4" w:space="0" w:color="auto"/>
            </w:tcBorders>
            <w:shd w:val="clear" w:color="000000" w:fill="000000"/>
            <w:vAlign w:val="bottom"/>
            <w:hideMark/>
          </w:tcPr>
          <w:p w14:paraId="73FD3BBB"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625" w:type="pct"/>
            <w:tcBorders>
              <w:top w:val="single" w:sz="4" w:space="0" w:color="auto"/>
              <w:left w:val="nil"/>
              <w:bottom w:val="single" w:sz="4" w:space="0" w:color="auto"/>
              <w:right w:val="single" w:sz="4" w:space="0" w:color="auto"/>
            </w:tcBorders>
            <w:vAlign w:val="bottom"/>
            <w:hideMark/>
          </w:tcPr>
          <w:p w14:paraId="54E968D9"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r>
      <w:tr w:rsidR="00A74C68" w:rsidRPr="00471CBA" w14:paraId="6DC68F0A" w14:textId="77777777" w:rsidTr="00A74C68">
        <w:trPr>
          <w:divId w:val="1408452450"/>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4BA06628" w14:textId="77777777" w:rsidR="00A74C68" w:rsidRPr="00471CBA" w:rsidRDefault="00A74C68" w:rsidP="00A74C68">
            <w:pPr>
              <w:rPr>
                <w:color w:val="000000"/>
                <w:sz w:val="14"/>
                <w:szCs w:val="14"/>
                <w:lang w:eastAsia="tr-TR"/>
              </w:rPr>
            </w:pPr>
            <w:r w:rsidRPr="00471CBA">
              <w:rPr>
                <w:color w:val="000000"/>
                <w:sz w:val="14"/>
                <w:szCs w:val="14"/>
                <w:lang w:eastAsia="tr-TR"/>
              </w:rPr>
              <w:t>28</w:t>
            </w:r>
          </w:p>
        </w:tc>
        <w:tc>
          <w:tcPr>
            <w:tcW w:w="1694" w:type="pct"/>
            <w:tcBorders>
              <w:top w:val="single" w:sz="4" w:space="0" w:color="auto"/>
              <w:left w:val="nil"/>
              <w:bottom w:val="single" w:sz="4" w:space="0" w:color="auto"/>
              <w:right w:val="single" w:sz="4" w:space="0" w:color="auto"/>
            </w:tcBorders>
            <w:vAlign w:val="center"/>
            <w:hideMark/>
          </w:tcPr>
          <w:p w14:paraId="637BE5EB" w14:textId="77777777" w:rsidR="00A74C68" w:rsidRPr="00471CBA" w:rsidRDefault="00A74C68" w:rsidP="00A74C68">
            <w:pPr>
              <w:rPr>
                <w:color w:val="000000"/>
                <w:sz w:val="14"/>
                <w:szCs w:val="14"/>
                <w:lang w:eastAsia="tr-TR"/>
              </w:rPr>
            </w:pPr>
            <w:r w:rsidRPr="00471CBA">
              <w:rPr>
                <w:color w:val="000000"/>
                <w:sz w:val="14"/>
                <w:szCs w:val="14"/>
                <w:lang w:eastAsia="tr-TR"/>
              </w:rPr>
              <w:t>Türev sözleşmelerin başlangıç teminatı veya merkezi karşı tarafa verilen garanti fonu</w:t>
            </w:r>
          </w:p>
        </w:tc>
        <w:tc>
          <w:tcPr>
            <w:tcW w:w="596" w:type="pct"/>
            <w:tcBorders>
              <w:top w:val="single" w:sz="4" w:space="0" w:color="auto"/>
              <w:left w:val="nil"/>
              <w:bottom w:val="single" w:sz="4" w:space="0" w:color="auto"/>
              <w:right w:val="single" w:sz="4" w:space="0" w:color="auto"/>
            </w:tcBorders>
            <w:shd w:val="clear" w:color="000000" w:fill="000000"/>
            <w:vAlign w:val="bottom"/>
            <w:hideMark/>
          </w:tcPr>
          <w:p w14:paraId="23305CF6"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1942" w:type="pct"/>
            <w:gridSpan w:val="3"/>
            <w:tcBorders>
              <w:top w:val="single" w:sz="4" w:space="0" w:color="auto"/>
              <w:left w:val="nil"/>
              <w:bottom w:val="single" w:sz="4" w:space="0" w:color="auto"/>
              <w:right w:val="single" w:sz="4" w:space="0" w:color="auto"/>
            </w:tcBorders>
            <w:vAlign w:val="bottom"/>
            <w:hideMark/>
          </w:tcPr>
          <w:p w14:paraId="116B151F" w14:textId="77777777" w:rsidR="00A74C68" w:rsidRPr="00471CBA" w:rsidRDefault="00A74C68" w:rsidP="00A74C68">
            <w:pPr>
              <w:jc w:val="center"/>
              <w:rPr>
                <w:color w:val="000000"/>
                <w:sz w:val="14"/>
                <w:szCs w:val="14"/>
                <w:lang w:eastAsia="tr-TR"/>
              </w:rPr>
            </w:pPr>
            <w:r w:rsidRPr="00471CBA">
              <w:rPr>
                <w:color w:val="000000"/>
                <w:sz w:val="14"/>
                <w:szCs w:val="14"/>
                <w:lang w:eastAsia="tr-TR"/>
              </w:rPr>
              <w:t>2.519.205</w:t>
            </w:r>
          </w:p>
        </w:tc>
        <w:tc>
          <w:tcPr>
            <w:tcW w:w="625" w:type="pct"/>
            <w:tcBorders>
              <w:top w:val="single" w:sz="4" w:space="0" w:color="auto"/>
              <w:left w:val="nil"/>
              <w:bottom w:val="single" w:sz="4" w:space="0" w:color="auto"/>
              <w:right w:val="single" w:sz="4" w:space="0" w:color="auto"/>
            </w:tcBorders>
            <w:vAlign w:val="bottom"/>
            <w:hideMark/>
          </w:tcPr>
          <w:p w14:paraId="5416123D" w14:textId="77777777" w:rsidR="00A74C68" w:rsidRPr="00471CBA" w:rsidRDefault="00A74C68" w:rsidP="00A74C68">
            <w:pPr>
              <w:jc w:val="right"/>
              <w:rPr>
                <w:color w:val="000000"/>
                <w:sz w:val="14"/>
                <w:szCs w:val="14"/>
                <w:lang w:eastAsia="tr-TR"/>
              </w:rPr>
            </w:pPr>
            <w:r w:rsidRPr="00471CBA">
              <w:rPr>
                <w:color w:val="000000"/>
                <w:sz w:val="14"/>
                <w:szCs w:val="14"/>
                <w:lang w:eastAsia="tr-TR"/>
              </w:rPr>
              <w:t>2.141.324</w:t>
            </w:r>
          </w:p>
        </w:tc>
      </w:tr>
      <w:tr w:rsidR="00A74C68" w:rsidRPr="00471CBA" w14:paraId="0FA12EF8" w14:textId="77777777" w:rsidTr="00A74C68">
        <w:trPr>
          <w:divId w:val="1408452450"/>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756A6D83" w14:textId="77777777" w:rsidR="00A74C68" w:rsidRPr="00471CBA" w:rsidRDefault="00A74C68" w:rsidP="00A74C68">
            <w:pPr>
              <w:rPr>
                <w:color w:val="000000"/>
                <w:sz w:val="14"/>
                <w:szCs w:val="14"/>
                <w:lang w:eastAsia="tr-TR"/>
              </w:rPr>
            </w:pPr>
            <w:r w:rsidRPr="00471CBA">
              <w:rPr>
                <w:color w:val="000000"/>
                <w:sz w:val="14"/>
                <w:szCs w:val="14"/>
                <w:lang w:eastAsia="tr-TR"/>
              </w:rPr>
              <w:t>29</w:t>
            </w:r>
          </w:p>
        </w:tc>
        <w:tc>
          <w:tcPr>
            <w:tcW w:w="1694" w:type="pct"/>
            <w:tcBorders>
              <w:top w:val="single" w:sz="4" w:space="0" w:color="auto"/>
              <w:left w:val="nil"/>
              <w:bottom w:val="single" w:sz="4" w:space="0" w:color="auto"/>
              <w:right w:val="single" w:sz="4" w:space="0" w:color="auto"/>
            </w:tcBorders>
            <w:vAlign w:val="center"/>
            <w:hideMark/>
          </w:tcPr>
          <w:p w14:paraId="0EF83699" w14:textId="77777777" w:rsidR="00A74C68" w:rsidRPr="00471CBA" w:rsidRDefault="00A74C68" w:rsidP="00A74C68">
            <w:pPr>
              <w:rPr>
                <w:color w:val="000000"/>
                <w:sz w:val="14"/>
                <w:szCs w:val="14"/>
                <w:lang w:eastAsia="tr-TR"/>
              </w:rPr>
            </w:pPr>
            <w:r w:rsidRPr="00471CBA">
              <w:rPr>
                <w:color w:val="000000"/>
                <w:sz w:val="14"/>
                <w:szCs w:val="14"/>
                <w:lang w:eastAsia="tr-TR"/>
              </w:rPr>
              <w:t>Türev varlıklar</w:t>
            </w:r>
          </w:p>
        </w:tc>
        <w:tc>
          <w:tcPr>
            <w:tcW w:w="596" w:type="pct"/>
            <w:tcBorders>
              <w:top w:val="single" w:sz="4" w:space="0" w:color="auto"/>
              <w:left w:val="nil"/>
              <w:bottom w:val="single" w:sz="4" w:space="0" w:color="auto"/>
              <w:right w:val="single" w:sz="4" w:space="0" w:color="auto"/>
            </w:tcBorders>
            <w:shd w:val="clear" w:color="000000" w:fill="000000"/>
            <w:vAlign w:val="bottom"/>
            <w:hideMark/>
          </w:tcPr>
          <w:p w14:paraId="635356BC"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1942" w:type="pct"/>
            <w:gridSpan w:val="3"/>
            <w:tcBorders>
              <w:top w:val="single" w:sz="4" w:space="0" w:color="auto"/>
              <w:left w:val="nil"/>
              <w:bottom w:val="single" w:sz="4" w:space="0" w:color="auto"/>
              <w:right w:val="single" w:sz="4" w:space="0" w:color="auto"/>
            </w:tcBorders>
            <w:vAlign w:val="bottom"/>
            <w:hideMark/>
          </w:tcPr>
          <w:p w14:paraId="0F334B42" w14:textId="77777777" w:rsidR="00A74C68" w:rsidRPr="00471CBA" w:rsidRDefault="00A74C68" w:rsidP="00A74C68">
            <w:pPr>
              <w:jc w:val="center"/>
              <w:rPr>
                <w:color w:val="000000"/>
                <w:sz w:val="14"/>
                <w:szCs w:val="14"/>
                <w:lang w:eastAsia="tr-TR"/>
              </w:rPr>
            </w:pPr>
            <w:r w:rsidRPr="00471CBA">
              <w:rPr>
                <w:color w:val="000000"/>
                <w:sz w:val="14"/>
                <w:szCs w:val="14"/>
                <w:lang w:eastAsia="tr-TR"/>
              </w:rPr>
              <w:t>22.273</w:t>
            </w:r>
          </w:p>
        </w:tc>
        <w:tc>
          <w:tcPr>
            <w:tcW w:w="625" w:type="pct"/>
            <w:tcBorders>
              <w:top w:val="single" w:sz="4" w:space="0" w:color="auto"/>
              <w:left w:val="nil"/>
              <w:bottom w:val="single" w:sz="4" w:space="0" w:color="auto"/>
              <w:right w:val="single" w:sz="4" w:space="0" w:color="auto"/>
            </w:tcBorders>
            <w:vAlign w:val="bottom"/>
            <w:hideMark/>
          </w:tcPr>
          <w:p w14:paraId="3DDAD81A" w14:textId="77777777" w:rsidR="00A74C68" w:rsidRPr="00471CBA" w:rsidRDefault="00A74C68" w:rsidP="00A74C68">
            <w:pPr>
              <w:jc w:val="right"/>
              <w:rPr>
                <w:color w:val="000000"/>
                <w:sz w:val="14"/>
                <w:szCs w:val="14"/>
                <w:lang w:eastAsia="tr-TR"/>
              </w:rPr>
            </w:pPr>
            <w:r w:rsidRPr="00471CBA">
              <w:rPr>
                <w:color w:val="000000"/>
                <w:sz w:val="14"/>
                <w:szCs w:val="14"/>
                <w:lang w:eastAsia="tr-TR"/>
              </w:rPr>
              <w:t>22.273</w:t>
            </w:r>
          </w:p>
        </w:tc>
      </w:tr>
      <w:tr w:rsidR="00A74C68" w:rsidRPr="00471CBA" w14:paraId="24B0D71F" w14:textId="77777777" w:rsidTr="00A74C68">
        <w:trPr>
          <w:divId w:val="1408452450"/>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3593AB8C" w14:textId="77777777" w:rsidR="00A74C68" w:rsidRPr="00471CBA" w:rsidRDefault="00A74C68" w:rsidP="00A74C68">
            <w:pPr>
              <w:rPr>
                <w:color w:val="000000"/>
                <w:sz w:val="14"/>
                <w:szCs w:val="14"/>
                <w:lang w:eastAsia="tr-TR"/>
              </w:rPr>
            </w:pPr>
            <w:r w:rsidRPr="00471CBA">
              <w:rPr>
                <w:color w:val="000000"/>
                <w:sz w:val="14"/>
                <w:szCs w:val="14"/>
                <w:lang w:eastAsia="tr-TR"/>
              </w:rPr>
              <w:t>30</w:t>
            </w:r>
          </w:p>
        </w:tc>
        <w:tc>
          <w:tcPr>
            <w:tcW w:w="1694" w:type="pct"/>
            <w:tcBorders>
              <w:top w:val="single" w:sz="4" w:space="0" w:color="auto"/>
              <w:left w:val="nil"/>
              <w:bottom w:val="single" w:sz="4" w:space="0" w:color="auto"/>
              <w:right w:val="single" w:sz="4" w:space="0" w:color="auto"/>
            </w:tcBorders>
            <w:vAlign w:val="center"/>
            <w:hideMark/>
          </w:tcPr>
          <w:p w14:paraId="7D28F053" w14:textId="77777777" w:rsidR="00A74C68" w:rsidRPr="00471CBA" w:rsidRDefault="00A74C68" w:rsidP="00A74C68">
            <w:pPr>
              <w:rPr>
                <w:color w:val="000000"/>
                <w:sz w:val="14"/>
                <w:szCs w:val="14"/>
                <w:lang w:eastAsia="tr-TR"/>
              </w:rPr>
            </w:pPr>
            <w:r w:rsidRPr="00471CBA">
              <w:rPr>
                <w:color w:val="000000"/>
                <w:sz w:val="14"/>
                <w:szCs w:val="14"/>
                <w:lang w:eastAsia="tr-TR"/>
              </w:rPr>
              <w:t>Türev yükümlülüklerin değişim teminatı düşülmeden önceki tutarı</w:t>
            </w:r>
          </w:p>
        </w:tc>
        <w:tc>
          <w:tcPr>
            <w:tcW w:w="596" w:type="pct"/>
            <w:tcBorders>
              <w:top w:val="single" w:sz="4" w:space="0" w:color="auto"/>
              <w:left w:val="nil"/>
              <w:bottom w:val="single" w:sz="4" w:space="0" w:color="auto"/>
              <w:right w:val="single" w:sz="4" w:space="0" w:color="auto"/>
            </w:tcBorders>
            <w:shd w:val="clear" w:color="000000" w:fill="000000"/>
            <w:vAlign w:val="bottom"/>
            <w:hideMark/>
          </w:tcPr>
          <w:p w14:paraId="26989185"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1942" w:type="pct"/>
            <w:gridSpan w:val="3"/>
            <w:tcBorders>
              <w:top w:val="single" w:sz="4" w:space="0" w:color="auto"/>
              <w:left w:val="nil"/>
              <w:bottom w:val="single" w:sz="4" w:space="0" w:color="auto"/>
              <w:right w:val="single" w:sz="4" w:space="0" w:color="auto"/>
            </w:tcBorders>
            <w:vAlign w:val="bottom"/>
            <w:hideMark/>
          </w:tcPr>
          <w:p w14:paraId="46136E69" w14:textId="77777777" w:rsidR="00A74C68" w:rsidRPr="00471CBA" w:rsidRDefault="00A74C68" w:rsidP="00A74C68">
            <w:pPr>
              <w:jc w:val="center"/>
              <w:rPr>
                <w:color w:val="000000"/>
                <w:sz w:val="14"/>
                <w:szCs w:val="14"/>
                <w:lang w:eastAsia="tr-TR"/>
              </w:rPr>
            </w:pPr>
            <w:r w:rsidRPr="00471CBA">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727F9CD7"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r>
      <w:tr w:rsidR="00A74C68" w:rsidRPr="00471CBA" w14:paraId="3D95B29D" w14:textId="77777777" w:rsidTr="00A74C68">
        <w:trPr>
          <w:divId w:val="1408452450"/>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2F399335" w14:textId="77777777" w:rsidR="00A74C68" w:rsidRPr="00471CBA" w:rsidRDefault="00A74C68" w:rsidP="00A74C68">
            <w:pPr>
              <w:rPr>
                <w:color w:val="000000"/>
                <w:sz w:val="14"/>
                <w:szCs w:val="14"/>
                <w:lang w:eastAsia="tr-TR"/>
              </w:rPr>
            </w:pPr>
            <w:r w:rsidRPr="00471CBA">
              <w:rPr>
                <w:color w:val="000000"/>
                <w:sz w:val="14"/>
                <w:szCs w:val="14"/>
                <w:lang w:eastAsia="tr-TR"/>
              </w:rPr>
              <w:t>31</w:t>
            </w:r>
          </w:p>
        </w:tc>
        <w:tc>
          <w:tcPr>
            <w:tcW w:w="1694" w:type="pct"/>
            <w:tcBorders>
              <w:top w:val="single" w:sz="4" w:space="0" w:color="auto"/>
              <w:left w:val="nil"/>
              <w:bottom w:val="single" w:sz="4" w:space="0" w:color="auto"/>
              <w:right w:val="single" w:sz="4" w:space="0" w:color="auto"/>
            </w:tcBorders>
            <w:vAlign w:val="center"/>
            <w:hideMark/>
          </w:tcPr>
          <w:p w14:paraId="4ED13504" w14:textId="77777777" w:rsidR="00A74C68" w:rsidRPr="00471CBA" w:rsidRDefault="00A74C68" w:rsidP="00A74C68">
            <w:pPr>
              <w:rPr>
                <w:color w:val="000000"/>
                <w:sz w:val="14"/>
                <w:szCs w:val="14"/>
                <w:lang w:eastAsia="tr-TR"/>
              </w:rPr>
            </w:pPr>
            <w:r w:rsidRPr="00471CBA">
              <w:rPr>
                <w:color w:val="000000"/>
                <w:sz w:val="14"/>
                <w:szCs w:val="14"/>
                <w:lang w:eastAsia="tr-TR"/>
              </w:rPr>
              <w:t>Yukarıda yer almayan diğer varlıklar</w:t>
            </w:r>
          </w:p>
        </w:tc>
        <w:tc>
          <w:tcPr>
            <w:tcW w:w="596" w:type="pct"/>
            <w:tcBorders>
              <w:top w:val="single" w:sz="4" w:space="0" w:color="auto"/>
              <w:left w:val="nil"/>
              <w:bottom w:val="single" w:sz="4" w:space="0" w:color="auto"/>
              <w:right w:val="single" w:sz="4" w:space="0" w:color="auto"/>
            </w:tcBorders>
            <w:vAlign w:val="bottom"/>
            <w:hideMark/>
          </w:tcPr>
          <w:p w14:paraId="4AEBAF59" w14:textId="77777777" w:rsidR="00A74C68" w:rsidRPr="00471CBA" w:rsidRDefault="00A74C68" w:rsidP="00A74C68">
            <w:pPr>
              <w:jc w:val="right"/>
              <w:rPr>
                <w:color w:val="000000"/>
                <w:sz w:val="14"/>
                <w:szCs w:val="14"/>
                <w:lang w:eastAsia="tr-TR"/>
              </w:rPr>
            </w:pPr>
            <w:r w:rsidRPr="00471CBA">
              <w:rPr>
                <w:color w:val="000000"/>
                <w:sz w:val="14"/>
                <w:szCs w:val="14"/>
                <w:lang w:eastAsia="tr-TR"/>
              </w:rPr>
              <w:t>380.008</w:t>
            </w:r>
          </w:p>
        </w:tc>
        <w:tc>
          <w:tcPr>
            <w:tcW w:w="626" w:type="pct"/>
            <w:tcBorders>
              <w:top w:val="single" w:sz="4" w:space="0" w:color="auto"/>
              <w:left w:val="nil"/>
              <w:bottom w:val="single" w:sz="4" w:space="0" w:color="auto"/>
              <w:right w:val="single" w:sz="4" w:space="0" w:color="auto"/>
            </w:tcBorders>
            <w:vAlign w:val="bottom"/>
            <w:hideMark/>
          </w:tcPr>
          <w:p w14:paraId="4EB2BB74"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47" w:type="pct"/>
            <w:tcBorders>
              <w:top w:val="single" w:sz="4" w:space="0" w:color="auto"/>
              <w:left w:val="nil"/>
              <w:bottom w:val="single" w:sz="4" w:space="0" w:color="auto"/>
              <w:right w:val="single" w:sz="4" w:space="0" w:color="auto"/>
            </w:tcBorders>
            <w:vAlign w:val="bottom"/>
            <w:hideMark/>
          </w:tcPr>
          <w:p w14:paraId="39CE2DFA" w14:textId="77777777" w:rsidR="00A74C68" w:rsidRPr="00471CBA" w:rsidRDefault="00A74C68" w:rsidP="00A74C68">
            <w:pPr>
              <w:jc w:val="right"/>
              <w:rPr>
                <w:color w:val="000000"/>
                <w:sz w:val="14"/>
                <w:szCs w:val="14"/>
                <w:lang w:eastAsia="tr-TR"/>
              </w:rPr>
            </w:pPr>
            <w:r w:rsidRPr="00471CBA">
              <w:rPr>
                <w:color w:val="000000"/>
                <w:sz w:val="14"/>
                <w:szCs w:val="14"/>
                <w:lang w:eastAsia="tr-TR"/>
              </w:rPr>
              <w:t>-</w:t>
            </w:r>
          </w:p>
        </w:tc>
        <w:tc>
          <w:tcPr>
            <w:tcW w:w="669" w:type="pct"/>
            <w:tcBorders>
              <w:top w:val="single" w:sz="4" w:space="0" w:color="auto"/>
              <w:left w:val="nil"/>
              <w:bottom w:val="single" w:sz="4" w:space="0" w:color="auto"/>
              <w:right w:val="single" w:sz="4" w:space="0" w:color="auto"/>
            </w:tcBorders>
            <w:vAlign w:val="bottom"/>
            <w:hideMark/>
          </w:tcPr>
          <w:p w14:paraId="35C6ABAF" w14:textId="77777777" w:rsidR="00A74C68" w:rsidRPr="00471CBA" w:rsidRDefault="00A74C68" w:rsidP="00A74C68">
            <w:pPr>
              <w:jc w:val="right"/>
              <w:rPr>
                <w:color w:val="000000"/>
                <w:sz w:val="14"/>
                <w:szCs w:val="14"/>
                <w:lang w:eastAsia="tr-TR"/>
              </w:rPr>
            </w:pPr>
            <w:r w:rsidRPr="00471CBA">
              <w:rPr>
                <w:color w:val="000000"/>
                <w:sz w:val="14"/>
                <w:szCs w:val="14"/>
                <w:lang w:eastAsia="tr-TR"/>
              </w:rPr>
              <w:t>864.547</w:t>
            </w:r>
          </w:p>
        </w:tc>
        <w:tc>
          <w:tcPr>
            <w:tcW w:w="625" w:type="pct"/>
            <w:tcBorders>
              <w:top w:val="single" w:sz="4" w:space="0" w:color="auto"/>
              <w:left w:val="nil"/>
              <w:bottom w:val="single" w:sz="4" w:space="0" w:color="auto"/>
              <w:right w:val="single" w:sz="4" w:space="0" w:color="auto"/>
            </w:tcBorders>
            <w:vAlign w:val="bottom"/>
            <w:hideMark/>
          </w:tcPr>
          <w:p w14:paraId="21B52694" w14:textId="77777777" w:rsidR="00A74C68" w:rsidRPr="00471CBA" w:rsidRDefault="00A74C68" w:rsidP="00A74C68">
            <w:pPr>
              <w:jc w:val="right"/>
              <w:rPr>
                <w:color w:val="000000"/>
                <w:sz w:val="14"/>
                <w:szCs w:val="14"/>
                <w:lang w:eastAsia="tr-TR"/>
              </w:rPr>
            </w:pPr>
            <w:r w:rsidRPr="00471CBA">
              <w:rPr>
                <w:color w:val="000000"/>
                <w:sz w:val="14"/>
                <w:szCs w:val="14"/>
                <w:lang w:eastAsia="tr-TR"/>
              </w:rPr>
              <w:t>1.244.555</w:t>
            </w:r>
          </w:p>
        </w:tc>
      </w:tr>
      <w:tr w:rsidR="00A74C68" w:rsidRPr="00471CBA" w14:paraId="2BECAF52" w14:textId="77777777" w:rsidTr="00A74C68">
        <w:trPr>
          <w:divId w:val="1408452450"/>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32F20960" w14:textId="77777777" w:rsidR="00A74C68" w:rsidRPr="00471CBA" w:rsidRDefault="00A74C68" w:rsidP="00A74C68">
            <w:pPr>
              <w:rPr>
                <w:color w:val="000000"/>
                <w:sz w:val="14"/>
                <w:szCs w:val="14"/>
                <w:lang w:eastAsia="tr-TR"/>
              </w:rPr>
            </w:pPr>
            <w:r w:rsidRPr="00471CBA">
              <w:rPr>
                <w:color w:val="000000"/>
                <w:sz w:val="14"/>
                <w:szCs w:val="14"/>
                <w:lang w:eastAsia="tr-TR"/>
              </w:rPr>
              <w:t>32</w:t>
            </w:r>
          </w:p>
        </w:tc>
        <w:tc>
          <w:tcPr>
            <w:tcW w:w="1694" w:type="pct"/>
            <w:tcBorders>
              <w:top w:val="single" w:sz="4" w:space="0" w:color="auto"/>
              <w:left w:val="nil"/>
              <w:bottom w:val="single" w:sz="4" w:space="0" w:color="auto"/>
              <w:right w:val="single" w:sz="4" w:space="0" w:color="auto"/>
            </w:tcBorders>
            <w:vAlign w:val="center"/>
            <w:hideMark/>
          </w:tcPr>
          <w:p w14:paraId="0A5E87A3" w14:textId="77777777" w:rsidR="00A74C68" w:rsidRPr="00471CBA" w:rsidRDefault="00A74C68" w:rsidP="00A74C68">
            <w:pPr>
              <w:rPr>
                <w:color w:val="000000"/>
                <w:sz w:val="14"/>
                <w:szCs w:val="14"/>
                <w:lang w:eastAsia="tr-TR"/>
              </w:rPr>
            </w:pPr>
            <w:r w:rsidRPr="00471CBA">
              <w:rPr>
                <w:color w:val="000000"/>
                <w:sz w:val="14"/>
                <w:szCs w:val="14"/>
                <w:lang w:eastAsia="tr-TR"/>
              </w:rPr>
              <w:t>Bilanço dışı borçlar</w:t>
            </w:r>
          </w:p>
        </w:tc>
        <w:tc>
          <w:tcPr>
            <w:tcW w:w="596" w:type="pct"/>
            <w:tcBorders>
              <w:top w:val="single" w:sz="4" w:space="0" w:color="auto"/>
              <w:left w:val="nil"/>
              <w:bottom w:val="single" w:sz="4" w:space="0" w:color="auto"/>
              <w:right w:val="single" w:sz="4" w:space="0" w:color="auto"/>
            </w:tcBorders>
            <w:shd w:val="clear" w:color="000000" w:fill="000000"/>
            <w:vAlign w:val="bottom"/>
            <w:hideMark/>
          </w:tcPr>
          <w:p w14:paraId="678630EF"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626" w:type="pct"/>
            <w:tcBorders>
              <w:top w:val="single" w:sz="4" w:space="0" w:color="auto"/>
              <w:left w:val="nil"/>
              <w:bottom w:val="single" w:sz="4" w:space="0" w:color="auto"/>
              <w:right w:val="single" w:sz="4" w:space="0" w:color="auto"/>
            </w:tcBorders>
            <w:vAlign w:val="bottom"/>
            <w:hideMark/>
          </w:tcPr>
          <w:p w14:paraId="22102DEC" w14:textId="77777777" w:rsidR="00A74C68" w:rsidRPr="00471CBA" w:rsidRDefault="00A74C68" w:rsidP="00A74C68">
            <w:pPr>
              <w:jc w:val="right"/>
              <w:rPr>
                <w:color w:val="000000"/>
                <w:sz w:val="14"/>
                <w:szCs w:val="14"/>
                <w:lang w:eastAsia="tr-TR"/>
              </w:rPr>
            </w:pPr>
            <w:r w:rsidRPr="00471CBA">
              <w:rPr>
                <w:color w:val="000000"/>
                <w:sz w:val="14"/>
                <w:szCs w:val="14"/>
                <w:lang w:eastAsia="tr-TR"/>
              </w:rPr>
              <w:t>1.045.860</w:t>
            </w:r>
          </w:p>
        </w:tc>
        <w:tc>
          <w:tcPr>
            <w:tcW w:w="647" w:type="pct"/>
            <w:tcBorders>
              <w:top w:val="single" w:sz="4" w:space="0" w:color="auto"/>
              <w:left w:val="nil"/>
              <w:bottom w:val="single" w:sz="4" w:space="0" w:color="auto"/>
              <w:right w:val="single" w:sz="4" w:space="0" w:color="auto"/>
            </w:tcBorders>
            <w:vAlign w:val="bottom"/>
            <w:hideMark/>
          </w:tcPr>
          <w:p w14:paraId="61BE7C31" w14:textId="77777777" w:rsidR="00A74C68" w:rsidRPr="00471CBA" w:rsidRDefault="00A74C68" w:rsidP="00A74C68">
            <w:pPr>
              <w:jc w:val="right"/>
              <w:rPr>
                <w:color w:val="000000"/>
                <w:sz w:val="14"/>
                <w:szCs w:val="14"/>
                <w:lang w:eastAsia="tr-TR"/>
              </w:rPr>
            </w:pPr>
            <w:r w:rsidRPr="00471CBA">
              <w:rPr>
                <w:color w:val="000000"/>
                <w:sz w:val="14"/>
                <w:szCs w:val="14"/>
                <w:lang w:eastAsia="tr-TR"/>
              </w:rPr>
              <w:t>3.083.441</w:t>
            </w:r>
          </w:p>
        </w:tc>
        <w:tc>
          <w:tcPr>
            <w:tcW w:w="669" w:type="pct"/>
            <w:tcBorders>
              <w:top w:val="single" w:sz="4" w:space="0" w:color="auto"/>
              <w:left w:val="nil"/>
              <w:bottom w:val="single" w:sz="4" w:space="0" w:color="auto"/>
              <w:right w:val="single" w:sz="4" w:space="0" w:color="auto"/>
            </w:tcBorders>
            <w:vAlign w:val="bottom"/>
            <w:hideMark/>
          </w:tcPr>
          <w:p w14:paraId="63AF4C40" w14:textId="77777777" w:rsidR="00A74C68" w:rsidRPr="00471CBA" w:rsidRDefault="00A74C68" w:rsidP="00A74C68">
            <w:pPr>
              <w:jc w:val="right"/>
              <w:rPr>
                <w:color w:val="000000"/>
                <w:sz w:val="14"/>
                <w:szCs w:val="14"/>
                <w:lang w:eastAsia="tr-TR"/>
              </w:rPr>
            </w:pPr>
            <w:r w:rsidRPr="00471CBA">
              <w:rPr>
                <w:color w:val="000000"/>
                <w:sz w:val="14"/>
                <w:szCs w:val="14"/>
                <w:lang w:eastAsia="tr-TR"/>
              </w:rPr>
              <w:t>3.206.413</w:t>
            </w:r>
          </w:p>
        </w:tc>
        <w:tc>
          <w:tcPr>
            <w:tcW w:w="625" w:type="pct"/>
            <w:tcBorders>
              <w:top w:val="single" w:sz="4" w:space="0" w:color="auto"/>
              <w:left w:val="nil"/>
              <w:bottom w:val="single" w:sz="4" w:space="0" w:color="auto"/>
              <w:right w:val="single" w:sz="4" w:space="0" w:color="auto"/>
            </w:tcBorders>
            <w:vAlign w:val="bottom"/>
            <w:hideMark/>
          </w:tcPr>
          <w:p w14:paraId="570D1508" w14:textId="77777777" w:rsidR="00A74C68" w:rsidRPr="00471CBA" w:rsidRDefault="00A74C68" w:rsidP="00A74C68">
            <w:pPr>
              <w:jc w:val="right"/>
              <w:rPr>
                <w:color w:val="000000"/>
                <w:sz w:val="14"/>
                <w:szCs w:val="14"/>
                <w:lang w:eastAsia="tr-TR"/>
              </w:rPr>
            </w:pPr>
            <w:r w:rsidRPr="00471CBA">
              <w:rPr>
                <w:color w:val="000000"/>
                <w:sz w:val="14"/>
                <w:szCs w:val="14"/>
                <w:lang w:eastAsia="tr-TR"/>
              </w:rPr>
              <w:t>366.786</w:t>
            </w:r>
          </w:p>
        </w:tc>
      </w:tr>
      <w:tr w:rsidR="00A74C68" w:rsidRPr="00471CBA" w14:paraId="4F23E2AB" w14:textId="77777777" w:rsidTr="00A74C68">
        <w:trPr>
          <w:divId w:val="1408452450"/>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320EA758" w14:textId="77777777" w:rsidR="00A74C68" w:rsidRPr="00471CBA" w:rsidRDefault="00A74C68" w:rsidP="00A74C68">
            <w:pPr>
              <w:rPr>
                <w:color w:val="000000"/>
                <w:sz w:val="14"/>
                <w:szCs w:val="14"/>
                <w:lang w:eastAsia="tr-TR"/>
              </w:rPr>
            </w:pPr>
            <w:r w:rsidRPr="00471CBA">
              <w:rPr>
                <w:color w:val="000000"/>
                <w:sz w:val="14"/>
                <w:szCs w:val="14"/>
                <w:lang w:eastAsia="tr-TR"/>
              </w:rPr>
              <w:t>33</w:t>
            </w:r>
          </w:p>
        </w:tc>
        <w:tc>
          <w:tcPr>
            <w:tcW w:w="1694" w:type="pct"/>
            <w:tcBorders>
              <w:top w:val="single" w:sz="4" w:space="0" w:color="auto"/>
              <w:left w:val="nil"/>
              <w:bottom w:val="single" w:sz="4" w:space="0" w:color="auto"/>
              <w:right w:val="single" w:sz="4" w:space="0" w:color="auto"/>
            </w:tcBorders>
            <w:vAlign w:val="center"/>
            <w:hideMark/>
          </w:tcPr>
          <w:p w14:paraId="7736AA8A" w14:textId="77777777" w:rsidR="00A74C68" w:rsidRPr="00471CBA" w:rsidRDefault="00A74C68" w:rsidP="00A74C68">
            <w:pPr>
              <w:rPr>
                <w:b/>
                <w:bCs/>
                <w:color w:val="000000"/>
                <w:sz w:val="14"/>
                <w:szCs w:val="14"/>
                <w:lang w:eastAsia="tr-TR"/>
              </w:rPr>
            </w:pPr>
            <w:r w:rsidRPr="00471CBA">
              <w:rPr>
                <w:b/>
                <w:bCs/>
                <w:color w:val="000000"/>
                <w:sz w:val="14"/>
                <w:szCs w:val="14"/>
                <w:lang w:eastAsia="tr-TR"/>
              </w:rPr>
              <w:t>Gerekli İstikrarlı Fon</w:t>
            </w:r>
          </w:p>
        </w:tc>
        <w:tc>
          <w:tcPr>
            <w:tcW w:w="596" w:type="pct"/>
            <w:tcBorders>
              <w:top w:val="single" w:sz="4" w:space="0" w:color="auto"/>
              <w:left w:val="nil"/>
              <w:bottom w:val="single" w:sz="4" w:space="0" w:color="auto"/>
              <w:right w:val="single" w:sz="4" w:space="0" w:color="auto"/>
            </w:tcBorders>
            <w:shd w:val="clear" w:color="000000" w:fill="000000"/>
            <w:vAlign w:val="bottom"/>
            <w:hideMark/>
          </w:tcPr>
          <w:p w14:paraId="07396C98"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626" w:type="pct"/>
            <w:tcBorders>
              <w:top w:val="single" w:sz="4" w:space="0" w:color="auto"/>
              <w:left w:val="nil"/>
              <w:bottom w:val="single" w:sz="4" w:space="0" w:color="auto"/>
              <w:right w:val="single" w:sz="4" w:space="0" w:color="auto"/>
            </w:tcBorders>
            <w:shd w:val="clear" w:color="000000" w:fill="000000"/>
            <w:vAlign w:val="bottom"/>
            <w:hideMark/>
          </w:tcPr>
          <w:p w14:paraId="4107AB75"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647" w:type="pct"/>
            <w:tcBorders>
              <w:top w:val="single" w:sz="4" w:space="0" w:color="auto"/>
              <w:left w:val="nil"/>
              <w:bottom w:val="single" w:sz="4" w:space="0" w:color="auto"/>
              <w:right w:val="single" w:sz="4" w:space="0" w:color="auto"/>
            </w:tcBorders>
            <w:shd w:val="clear" w:color="000000" w:fill="000000"/>
            <w:vAlign w:val="bottom"/>
            <w:hideMark/>
          </w:tcPr>
          <w:p w14:paraId="5E496FBC"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669" w:type="pct"/>
            <w:tcBorders>
              <w:top w:val="single" w:sz="4" w:space="0" w:color="auto"/>
              <w:left w:val="nil"/>
              <w:bottom w:val="single" w:sz="4" w:space="0" w:color="auto"/>
              <w:right w:val="single" w:sz="4" w:space="0" w:color="auto"/>
            </w:tcBorders>
            <w:shd w:val="clear" w:color="000000" w:fill="000000"/>
            <w:vAlign w:val="bottom"/>
            <w:hideMark/>
          </w:tcPr>
          <w:p w14:paraId="42505D08"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625" w:type="pct"/>
            <w:tcBorders>
              <w:top w:val="single" w:sz="4" w:space="0" w:color="auto"/>
              <w:left w:val="nil"/>
              <w:bottom w:val="single" w:sz="4" w:space="0" w:color="auto"/>
              <w:right w:val="single" w:sz="4" w:space="0" w:color="auto"/>
            </w:tcBorders>
            <w:vAlign w:val="bottom"/>
            <w:hideMark/>
          </w:tcPr>
          <w:p w14:paraId="200DDEAA" w14:textId="77777777" w:rsidR="00A74C68" w:rsidRPr="00471CBA" w:rsidRDefault="00A74C68" w:rsidP="00A74C68">
            <w:pPr>
              <w:jc w:val="right"/>
              <w:rPr>
                <w:b/>
                <w:bCs/>
                <w:color w:val="000000"/>
                <w:sz w:val="14"/>
                <w:szCs w:val="14"/>
                <w:lang w:eastAsia="tr-TR"/>
              </w:rPr>
            </w:pPr>
            <w:r w:rsidRPr="00471CBA">
              <w:rPr>
                <w:b/>
                <w:bCs/>
                <w:color w:val="000000"/>
                <w:sz w:val="14"/>
                <w:szCs w:val="14"/>
                <w:lang w:eastAsia="tr-TR"/>
              </w:rPr>
              <w:t>14.647.472</w:t>
            </w:r>
          </w:p>
        </w:tc>
      </w:tr>
      <w:tr w:rsidR="00A74C68" w:rsidRPr="00471CBA" w14:paraId="4CF83D74" w14:textId="77777777" w:rsidTr="00A74C68">
        <w:trPr>
          <w:divId w:val="1408452450"/>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2EBB9BD4" w14:textId="77777777" w:rsidR="00A74C68" w:rsidRPr="00471CBA" w:rsidRDefault="00A74C68" w:rsidP="00A74C68">
            <w:pPr>
              <w:rPr>
                <w:color w:val="000000"/>
                <w:sz w:val="14"/>
                <w:szCs w:val="14"/>
                <w:lang w:eastAsia="tr-TR"/>
              </w:rPr>
            </w:pPr>
            <w:r w:rsidRPr="00471CBA">
              <w:rPr>
                <w:color w:val="000000"/>
                <w:sz w:val="14"/>
                <w:szCs w:val="14"/>
                <w:lang w:eastAsia="tr-TR"/>
              </w:rPr>
              <w:t>34</w:t>
            </w:r>
          </w:p>
        </w:tc>
        <w:tc>
          <w:tcPr>
            <w:tcW w:w="1694" w:type="pct"/>
            <w:tcBorders>
              <w:top w:val="single" w:sz="4" w:space="0" w:color="auto"/>
              <w:left w:val="nil"/>
              <w:bottom w:val="single" w:sz="4" w:space="0" w:color="auto"/>
              <w:right w:val="single" w:sz="4" w:space="0" w:color="auto"/>
            </w:tcBorders>
            <w:vAlign w:val="center"/>
            <w:hideMark/>
          </w:tcPr>
          <w:p w14:paraId="6E55E875" w14:textId="77777777" w:rsidR="00A74C68" w:rsidRPr="00471CBA" w:rsidRDefault="00A74C68" w:rsidP="00A74C68">
            <w:pPr>
              <w:rPr>
                <w:b/>
                <w:bCs/>
                <w:color w:val="000000"/>
                <w:sz w:val="14"/>
                <w:szCs w:val="14"/>
                <w:vertAlign w:val="superscript"/>
                <w:lang w:eastAsia="tr-TR"/>
              </w:rPr>
            </w:pPr>
            <w:r w:rsidRPr="00471CBA">
              <w:rPr>
                <w:b/>
                <w:bCs/>
                <w:color w:val="000000"/>
                <w:sz w:val="14"/>
                <w:szCs w:val="14"/>
                <w:lang w:eastAsia="tr-TR"/>
              </w:rPr>
              <w:t>Net İstikrarlı Fonlama Oranı (%)</w:t>
            </w:r>
          </w:p>
        </w:tc>
        <w:tc>
          <w:tcPr>
            <w:tcW w:w="596" w:type="pct"/>
            <w:tcBorders>
              <w:top w:val="single" w:sz="4" w:space="0" w:color="auto"/>
              <w:left w:val="nil"/>
              <w:bottom w:val="single" w:sz="4" w:space="0" w:color="auto"/>
              <w:right w:val="single" w:sz="4" w:space="0" w:color="auto"/>
            </w:tcBorders>
            <w:shd w:val="clear" w:color="000000" w:fill="000000"/>
            <w:vAlign w:val="center"/>
            <w:hideMark/>
          </w:tcPr>
          <w:p w14:paraId="70C3C58A"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626" w:type="pct"/>
            <w:tcBorders>
              <w:top w:val="single" w:sz="4" w:space="0" w:color="auto"/>
              <w:left w:val="nil"/>
              <w:bottom w:val="single" w:sz="4" w:space="0" w:color="auto"/>
              <w:right w:val="single" w:sz="4" w:space="0" w:color="auto"/>
            </w:tcBorders>
            <w:shd w:val="clear" w:color="000000" w:fill="000000"/>
            <w:vAlign w:val="center"/>
            <w:hideMark/>
          </w:tcPr>
          <w:p w14:paraId="217E34D9"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647" w:type="pct"/>
            <w:tcBorders>
              <w:top w:val="single" w:sz="4" w:space="0" w:color="auto"/>
              <w:left w:val="nil"/>
              <w:bottom w:val="single" w:sz="4" w:space="0" w:color="auto"/>
              <w:right w:val="single" w:sz="4" w:space="0" w:color="auto"/>
            </w:tcBorders>
            <w:shd w:val="clear" w:color="000000" w:fill="000000"/>
            <w:vAlign w:val="center"/>
            <w:hideMark/>
          </w:tcPr>
          <w:p w14:paraId="01BE2A19"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669" w:type="pct"/>
            <w:tcBorders>
              <w:top w:val="single" w:sz="4" w:space="0" w:color="auto"/>
              <w:left w:val="nil"/>
              <w:bottom w:val="single" w:sz="4" w:space="0" w:color="auto"/>
              <w:right w:val="single" w:sz="4" w:space="0" w:color="auto"/>
            </w:tcBorders>
            <w:shd w:val="clear" w:color="000000" w:fill="000000"/>
            <w:vAlign w:val="center"/>
            <w:hideMark/>
          </w:tcPr>
          <w:p w14:paraId="7761BC92" w14:textId="77777777" w:rsidR="00A74C68" w:rsidRPr="00471CBA" w:rsidRDefault="00A74C68" w:rsidP="00A74C68">
            <w:pPr>
              <w:jc w:val="right"/>
              <w:rPr>
                <w:color w:val="000000"/>
                <w:sz w:val="14"/>
                <w:szCs w:val="14"/>
                <w:lang w:eastAsia="tr-TR"/>
              </w:rPr>
            </w:pPr>
            <w:r w:rsidRPr="00471CBA">
              <w:rPr>
                <w:color w:val="000000"/>
                <w:sz w:val="14"/>
                <w:szCs w:val="14"/>
                <w:lang w:eastAsia="tr-TR"/>
              </w:rPr>
              <w:t> </w:t>
            </w:r>
          </w:p>
        </w:tc>
        <w:tc>
          <w:tcPr>
            <w:tcW w:w="625" w:type="pct"/>
            <w:tcBorders>
              <w:top w:val="single" w:sz="4" w:space="0" w:color="auto"/>
              <w:left w:val="nil"/>
              <w:bottom w:val="single" w:sz="4" w:space="0" w:color="auto"/>
              <w:right w:val="single" w:sz="4" w:space="0" w:color="auto"/>
            </w:tcBorders>
            <w:vAlign w:val="center"/>
            <w:hideMark/>
          </w:tcPr>
          <w:p w14:paraId="7B8C35C8" w14:textId="77777777" w:rsidR="00A74C68" w:rsidRPr="00471CBA" w:rsidRDefault="00A74C68" w:rsidP="00A74C68">
            <w:pPr>
              <w:jc w:val="right"/>
              <w:rPr>
                <w:b/>
                <w:bCs/>
                <w:color w:val="000000"/>
                <w:sz w:val="14"/>
                <w:szCs w:val="14"/>
                <w:lang w:eastAsia="tr-TR"/>
              </w:rPr>
            </w:pPr>
            <w:r w:rsidRPr="00471CBA">
              <w:rPr>
                <w:b/>
                <w:bCs/>
                <w:color w:val="000000"/>
                <w:sz w:val="14"/>
                <w:szCs w:val="14"/>
                <w:lang w:eastAsia="tr-TR"/>
              </w:rPr>
              <w:t>127,39</w:t>
            </w:r>
          </w:p>
        </w:tc>
      </w:tr>
    </w:tbl>
    <w:p w14:paraId="55ED68B5" w14:textId="4B9EB4C3" w:rsidR="001827F7" w:rsidRPr="00471CBA" w:rsidRDefault="001827F7" w:rsidP="009F6E11">
      <w:pPr>
        <w:widowControl w:val="0"/>
        <w:rPr>
          <w:b/>
          <w:szCs w:val="20"/>
        </w:rPr>
      </w:pPr>
      <w:r w:rsidRPr="00471CBA">
        <w:rPr>
          <w:b/>
          <w:szCs w:val="20"/>
        </w:rPr>
        <w:br w:type="page"/>
      </w:r>
    </w:p>
    <w:p w14:paraId="6AB7470B" w14:textId="77777777" w:rsidR="001827F7" w:rsidRPr="00471CBA" w:rsidRDefault="001827F7" w:rsidP="00B252B3">
      <w:pPr>
        <w:pStyle w:val="GvdeMetniGirintisi"/>
        <w:widowControl w:val="0"/>
        <w:spacing w:after="120"/>
        <w:ind w:firstLine="0"/>
        <w:jc w:val="left"/>
        <w:rPr>
          <w:b/>
          <w:szCs w:val="20"/>
        </w:rPr>
      </w:pPr>
      <w:r w:rsidRPr="00471CBA">
        <w:rPr>
          <w:b/>
          <w:szCs w:val="20"/>
        </w:rPr>
        <w:t>MALİ BÜNYEYE VE RİSK YÖNETİMİNE İLİŞKİN BİLGİLER (Devamı)</w:t>
      </w:r>
    </w:p>
    <w:p w14:paraId="2C2D4471" w14:textId="5047431C" w:rsidR="00AA12B1" w:rsidRPr="00471CBA" w:rsidRDefault="00AA12B1" w:rsidP="00AA12B1">
      <w:pPr>
        <w:widowControl w:val="0"/>
        <w:autoSpaceDE w:val="0"/>
        <w:autoSpaceDN w:val="0"/>
        <w:adjustRightInd w:val="0"/>
        <w:ind w:left="851" w:hanging="851"/>
        <w:rPr>
          <w:b/>
          <w:szCs w:val="20"/>
        </w:rPr>
      </w:pPr>
      <w:r w:rsidRPr="00471CBA">
        <w:rPr>
          <w:b/>
          <w:szCs w:val="20"/>
        </w:rPr>
        <w:t>V.</w:t>
      </w:r>
      <w:r w:rsidRPr="00471CBA">
        <w:rPr>
          <w:b/>
          <w:szCs w:val="20"/>
        </w:rPr>
        <w:tab/>
        <w:t>LİKİDİTE RİSKİNE İLİŞKİN AÇIKLAMALAR (Devamı)</w:t>
      </w:r>
    </w:p>
    <w:p w14:paraId="34E84599" w14:textId="77777777" w:rsidR="00AA12B1" w:rsidRPr="00471CBA" w:rsidRDefault="00AA12B1" w:rsidP="00F95068">
      <w:pPr>
        <w:widowControl w:val="0"/>
        <w:rPr>
          <w:szCs w:val="20"/>
        </w:rPr>
      </w:pPr>
    </w:p>
    <w:p w14:paraId="420FE36D" w14:textId="77777777" w:rsidR="00685D49" w:rsidRPr="00471CBA" w:rsidRDefault="00685D49" w:rsidP="00685D49">
      <w:pPr>
        <w:widowControl w:val="0"/>
        <w:rPr>
          <w:b/>
          <w:szCs w:val="20"/>
        </w:rPr>
      </w:pPr>
      <w:r w:rsidRPr="00471CBA">
        <w:rPr>
          <w:szCs w:val="20"/>
        </w:rPr>
        <w:t>2024 yılı son 3 aylık dönemde NİFO gelişimi aşağıdaki tabloda yer almaktadır.</w:t>
      </w:r>
    </w:p>
    <w:p w14:paraId="0F5D602A" w14:textId="125E6D95" w:rsidR="00A74C68" w:rsidRPr="00471CBA" w:rsidRDefault="00A74C68" w:rsidP="009F6E11">
      <w:pPr>
        <w:widowControl w:val="0"/>
      </w:pPr>
    </w:p>
    <w:tbl>
      <w:tblPr>
        <w:tblW w:w="5000" w:type="pct"/>
        <w:tblCellMar>
          <w:left w:w="70" w:type="dxa"/>
          <w:right w:w="70" w:type="dxa"/>
        </w:tblCellMar>
        <w:tblLook w:val="04A0" w:firstRow="1" w:lastRow="0" w:firstColumn="1" w:lastColumn="0" w:noHBand="0" w:noVBand="1"/>
      </w:tblPr>
      <w:tblGrid>
        <w:gridCol w:w="7966"/>
        <w:gridCol w:w="1673"/>
      </w:tblGrid>
      <w:tr w:rsidR="00A74C68" w:rsidRPr="00471CBA" w14:paraId="152C7F4C" w14:textId="77777777" w:rsidTr="00A74C68">
        <w:trPr>
          <w:divId w:val="615451306"/>
          <w:trHeight w:val="227"/>
        </w:trPr>
        <w:tc>
          <w:tcPr>
            <w:tcW w:w="4132" w:type="pct"/>
            <w:tcBorders>
              <w:top w:val="nil"/>
              <w:left w:val="nil"/>
              <w:bottom w:val="single" w:sz="8" w:space="0" w:color="auto"/>
              <w:right w:val="nil"/>
            </w:tcBorders>
            <w:noWrap/>
            <w:vAlign w:val="center"/>
            <w:hideMark/>
          </w:tcPr>
          <w:p w14:paraId="31CDA3D2" w14:textId="4FDDE9C1" w:rsidR="00A74C68" w:rsidRPr="00471CBA" w:rsidRDefault="00A74C68" w:rsidP="00A74C68">
            <w:pPr>
              <w:rPr>
                <w:b/>
                <w:bCs/>
                <w:color w:val="000000"/>
                <w:szCs w:val="20"/>
                <w:lang w:eastAsia="tr-TR"/>
              </w:rPr>
            </w:pPr>
            <w:r w:rsidRPr="00471CBA">
              <w:rPr>
                <w:b/>
                <w:bCs/>
                <w:color w:val="000000"/>
                <w:szCs w:val="20"/>
                <w:lang w:eastAsia="tr-TR"/>
              </w:rPr>
              <w:t>31 Aralık 2024 Dönemi</w:t>
            </w:r>
          </w:p>
        </w:tc>
        <w:tc>
          <w:tcPr>
            <w:tcW w:w="868" w:type="pct"/>
            <w:tcBorders>
              <w:top w:val="nil"/>
              <w:left w:val="nil"/>
              <w:bottom w:val="single" w:sz="8" w:space="0" w:color="auto"/>
              <w:right w:val="nil"/>
            </w:tcBorders>
            <w:noWrap/>
            <w:vAlign w:val="center"/>
            <w:hideMark/>
          </w:tcPr>
          <w:p w14:paraId="39127C04" w14:textId="77777777" w:rsidR="00A74C68" w:rsidRPr="00471CBA" w:rsidRDefault="00A74C68" w:rsidP="00A74C68">
            <w:pPr>
              <w:jc w:val="right"/>
              <w:rPr>
                <w:b/>
                <w:bCs/>
                <w:color w:val="000000"/>
                <w:szCs w:val="20"/>
                <w:lang w:eastAsia="tr-TR"/>
              </w:rPr>
            </w:pPr>
            <w:r w:rsidRPr="00471CBA">
              <w:rPr>
                <w:b/>
                <w:bCs/>
                <w:color w:val="000000"/>
                <w:szCs w:val="20"/>
                <w:lang w:eastAsia="tr-TR"/>
              </w:rPr>
              <w:t>Oran</w:t>
            </w:r>
          </w:p>
        </w:tc>
      </w:tr>
      <w:tr w:rsidR="00A74C68" w:rsidRPr="00471CBA" w14:paraId="724F5010" w14:textId="77777777" w:rsidTr="00A74C68">
        <w:trPr>
          <w:divId w:val="615451306"/>
          <w:trHeight w:val="227"/>
        </w:trPr>
        <w:tc>
          <w:tcPr>
            <w:tcW w:w="4132" w:type="pct"/>
            <w:tcBorders>
              <w:top w:val="nil"/>
              <w:left w:val="nil"/>
              <w:bottom w:val="nil"/>
              <w:right w:val="nil"/>
            </w:tcBorders>
            <w:noWrap/>
            <w:vAlign w:val="center"/>
            <w:hideMark/>
          </w:tcPr>
          <w:p w14:paraId="671C31EA" w14:textId="77777777" w:rsidR="00A74C68" w:rsidRPr="00471CBA" w:rsidRDefault="00A74C68" w:rsidP="00A74C68">
            <w:pPr>
              <w:rPr>
                <w:b/>
                <w:bCs/>
                <w:color w:val="000000"/>
                <w:szCs w:val="20"/>
                <w:lang w:eastAsia="tr-TR"/>
              </w:rPr>
            </w:pPr>
          </w:p>
        </w:tc>
        <w:tc>
          <w:tcPr>
            <w:tcW w:w="868" w:type="pct"/>
            <w:tcBorders>
              <w:top w:val="nil"/>
              <w:left w:val="nil"/>
              <w:bottom w:val="nil"/>
              <w:right w:val="nil"/>
            </w:tcBorders>
            <w:noWrap/>
            <w:vAlign w:val="center"/>
            <w:hideMark/>
          </w:tcPr>
          <w:p w14:paraId="3FB3DDC3" w14:textId="77777777" w:rsidR="00A74C68" w:rsidRPr="00471CBA" w:rsidRDefault="00A74C68" w:rsidP="00A74C68">
            <w:pPr>
              <w:jc w:val="right"/>
              <w:rPr>
                <w:szCs w:val="20"/>
                <w:lang w:eastAsia="tr-TR"/>
              </w:rPr>
            </w:pPr>
          </w:p>
        </w:tc>
      </w:tr>
      <w:tr w:rsidR="00A74C68" w:rsidRPr="00471CBA" w14:paraId="4A924671" w14:textId="77777777" w:rsidTr="00A74C68">
        <w:trPr>
          <w:divId w:val="615451306"/>
          <w:trHeight w:val="227"/>
        </w:trPr>
        <w:tc>
          <w:tcPr>
            <w:tcW w:w="4132" w:type="pct"/>
            <w:tcBorders>
              <w:top w:val="nil"/>
              <w:left w:val="nil"/>
              <w:bottom w:val="nil"/>
              <w:right w:val="nil"/>
            </w:tcBorders>
            <w:noWrap/>
            <w:vAlign w:val="center"/>
            <w:hideMark/>
          </w:tcPr>
          <w:p w14:paraId="67BF67ED" w14:textId="77777777" w:rsidR="00A74C68" w:rsidRPr="00471CBA" w:rsidRDefault="00A74C68" w:rsidP="00A74C68">
            <w:pPr>
              <w:rPr>
                <w:color w:val="000000"/>
                <w:szCs w:val="20"/>
                <w:lang w:eastAsia="tr-TR"/>
              </w:rPr>
            </w:pPr>
            <w:r w:rsidRPr="00471CBA">
              <w:rPr>
                <w:color w:val="000000"/>
                <w:szCs w:val="20"/>
                <w:lang w:eastAsia="tr-TR"/>
              </w:rPr>
              <w:t>31 Ekim 2024</w:t>
            </w:r>
          </w:p>
        </w:tc>
        <w:tc>
          <w:tcPr>
            <w:tcW w:w="868" w:type="pct"/>
            <w:tcBorders>
              <w:top w:val="nil"/>
              <w:left w:val="nil"/>
              <w:bottom w:val="nil"/>
              <w:right w:val="nil"/>
            </w:tcBorders>
            <w:vAlign w:val="bottom"/>
            <w:hideMark/>
          </w:tcPr>
          <w:p w14:paraId="3502E184" w14:textId="77777777" w:rsidR="00A74C68" w:rsidRPr="00471CBA" w:rsidRDefault="00A74C68" w:rsidP="00A74C68">
            <w:pPr>
              <w:jc w:val="right"/>
              <w:rPr>
                <w:color w:val="000000"/>
                <w:szCs w:val="20"/>
                <w:lang w:eastAsia="tr-TR"/>
              </w:rPr>
            </w:pPr>
            <w:r w:rsidRPr="00471CBA">
              <w:rPr>
                <w:color w:val="000000"/>
                <w:szCs w:val="20"/>
                <w:lang w:eastAsia="tr-TR"/>
              </w:rPr>
              <w:t>110,58</w:t>
            </w:r>
          </w:p>
        </w:tc>
      </w:tr>
      <w:tr w:rsidR="00A74C68" w:rsidRPr="00471CBA" w14:paraId="1A86DBAB" w14:textId="77777777" w:rsidTr="00A74C68">
        <w:trPr>
          <w:divId w:val="615451306"/>
          <w:trHeight w:val="227"/>
        </w:trPr>
        <w:tc>
          <w:tcPr>
            <w:tcW w:w="4132" w:type="pct"/>
            <w:tcBorders>
              <w:top w:val="nil"/>
              <w:left w:val="nil"/>
              <w:bottom w:val="nil"/>
              <w:right w:val="nil"/>
            </w:tcBorders>
            <w:noWrap/>
            <w:vAlign w:val="center"/>
            <w:hideMark/>
          </w:tcPr>
          <w:p w14:paraId="68A52D72" w14:textId="77777777" w:rsidR="00A74C68" w:rsidRPr="00471CBA" w:rsidRDefault="00A74C68" w:rsidP="00A74C68">
            <w:pPr>
              <w:rPr>
                <w:color w:val="000000"/>
                <w:szCs w:val="20"/>
                <w:lang w:eastAsia="tr-TR"/>
              </w:rPr>
            </w:pPr>
            <w:r w:rsidRPr="00471CBA">
              <w:rPr>
                <w:color w:val="000000"/>
                <w:szCs w:val="20"/>
                <w:lang w:eastAsia="tr-TR"/>
              </w:rPr>
              <w:t>30 Kasım 2024</w:t>
            </w:r>
          </w:p>
        </w:tc>
        <w:tc>
          <w:tcPr>
            <w:tcW w:w="868" w:type="pct"/>
            <w:tcBorders>
              <w:top w:val="nil"/>
              <w:left w:val="nil"/>
              <w:bottom w:val="nil"/>
              <w:right w:val="nil"/>
            </w:tcBorders>
            <w:vAlign w:val="bottom"/>
            <w:hideMark/>
          </w:tcPr>
          <w:p w14:paraId="23CD6ACC" w14:textId="77777777" w:rsidR="00A74C68" w:rsidRPr="00471CBA" w:rsidRDefault="00A74C68" w:rsidP="00A74C68">
            <w:pPr>
              <w:jc w:val="right"/>
              <w:rPr>
                <w:color w:val="000000"/>
                <w:szCs w:val="20"/>
                <w:lang w:eastAsia="tr-TR"/>
              </w:rPr>
            </w:pPr>
            <w:r w:rsidRPr="00471CBA">
              <w:rPr>
                <w:color w:val="000000"/>
                <w:szCs w:val="20"/>
                <w:lang w:eastAsia="tr-TR"/>
              </w:rPr>
              <w:t>109,68</w:t>
            </w:r>
          </w:p>
        </w:tc>
      </w:tr>
      <w:tr w:rsidR="00A74C68" w:rsidRPr="00471CBA" w14:paraId="234247E0" w14:textId="77777777" w:rsidTr="00A74C68">
        <w:trPr>
          <w:divId w:val="615451306"/>
          <w:trHeight w:val="227"/>
        </w:trPr>
        <w:tc>
          <w:tcPr>
            <w:tcW w:w="4132" w:type="pct"/>
            <w:tcBorders>
              <w:top w:val="nil"/>
              <w:left w:val="nil"/>
              <w:bottom w:val="single" w:sz="4" w:space="0" w:color="auto"/>
              <w:right w:val="nil"/>
            </w:tcBorders>
            <w:noWrap/>
            <w:vAlign w:val="center"/>
            <w:hideMark/>
          </w:tcPr>
          <w:p w14:paraId="42A5F481" w14:textId="77777777" w:rsidR="00A74C68" w:rsidRPr="00471CBA" w:rsidRDefault="00A74C68" w:rsidP="00A74C68">
            <w:pPr>
              <w:rPr>
                <w:color w:val="000000"/>
                <w:szCs w:val="20"/>
                <w:lang w:eastAsia="tr-TR"/>
              </w:rPr>
            </w:pPr>
            <w:r w:rsidRPr="00471CBA">
              <w:rPr>
                <w:color w:val="000000"/>
                <w:szCs w:val="20"/>
                <w:lang w:eastAsia="tr-TR"/>
              </w:rPr>
              <w:t>31 Aralık 2024</w:t>
            </w:r>
          </w:p>
        </w:tc>
        <w:tc>
          <w:tcPr>
            <w:tcW w:w="868" w:type="pct"/>
            <w:tcBorders>
              <w:top w:val="nil"/>
              <w:left w:val="nil"/>
              <w:bottom w:val="single" w:sz="4" w:space="0" w:color="auto"/>
              <w:right w:val="nil"/>
            </w:tcBorders>
            <w:vAlign w:val="bottom"/>
            <w:hideMark/>
          </w:tcPr>
          <w:p w14:paraId="73A1DA58" w14:textId="77777777" w:rsidR="00A74C68" w:rsidRPr="00471CBA" w:rsidRDefault="00A74C68" w:rsidP="00A74C68">
            <w:pPr>
              <w:jc w:val="right"/>
              <w:rPr>
                <w:color w:val="000000"/>
                <w:szCs w:val="20"/>
                <w:lang w:eastAsia="tr-TR"/>
              </w:rPr>
            </w:pPr>
            <w:r w:rsidRPr="00471CBA">
              <w:rPr>
                <w:color w:val="000000"/>
                <w:szCs w:val="20"/>
                <w:lang w:eastAsia="tr-TR"/>
              </w:rPr>
              <w:t>127,39</w:t>
            </w:r>
          </w:p>
        </w:tc>
      </w:tr>
      <w:tr w:rsidR="00A74C68" w:rsidRPr="00471CBA" w14:paraId="57CD8F4A" w14:textId="77777777" w:rsidTr="00A74C68">
        <w:trPr>
          <w:divId w:val="615451306"/>
          <w:trHeight w:val="227"/>
        </w:trPr>
        <w:tc>
          <w:tcPr>
            <w:tcW w:w="4132" w:type="pct"/>
            <w:tcBorders>
              <w:top w:val="nil"/>
              <w:left w:val="nil"/>
              <w:bottom w:val="nil"/>
              <w:right w:val="nil"/>
            </w:tcBorders>
            <w:noWrap/>
            <w:vAlign w:val="center"/>
            <w:hideMark/>
          </w:tcPr>
          <w:p w14:paraId="40CC110D" w14:textId="77777777" w:rsidR="00A74C68" w:rsidRPr="00471CBA" w:rsidRDefault="00A74C68" w:rsidP="00A74C68">
            <w:pPr>
              <w:rPr>
                <w:color w:val="000000"/>
                <w:szCs w:val="20"/>
                <w:lang w:eastAsia="tr-TR"/>
              </w:rPr>
            </w:pPr>
          </w:p>
        </w:tc>
        <w:tc>
          <w:tcPr>
            <w:tcW w:w="868" w:type="pct"/>
            <w:tcBorders>
              <w:top w:val="nil"/>
              <w:left w:val="nil"/>
              <w:bottom w:val="nil"/>
              <w:right w:val="nil"/>
            </w:tcBorders>
            <w:noWrap/>
            <w:vAlign w:val="center"/>
            <w:hideMark/>
          </w:tcPr>
          <w:p w14:paraId="6FB6EDCC" w14:textId="77777777" w:rsidR="00A74C68" w:rsidRPr="00471CBA" w:rsidRDefault="00A74C68" w:rsidP="00A74C68">
            <w:pPr>
              <w:jc w:val="right"/>
              <w:rPr>
                <w:szCs w:val="20"/>
                <w:lang w:eastAsia="tr-TR"/>
              </w:rPr>
            </w:pPr>
          </w:p>
        </w:tc>
      </w:tr>
      <w:tr w:rsidR="00A74C68" w:rsidRPr="00471CBA" w14:paraId="4AC15238" w14:textId="77777777" w:rsidTr="00A74C68">
        <w:trPr>
          <w:divId w:val="615451306"/>
          <w:trHeight w:val="227"/>
        </w:trPr>
        <w:tc>
          <w:tcPr>
            <w:tcW w:w="4132" w:type="pct"/>
            <w:tcBorders>
              <w:top w:val="nil"/>
              <w:left w:val="nil"/>
              <w:bottom w:val="single" w:sz="4" w:space="0" w:color="auto"/>
              <w:right w:val="nil"/>
            </w:tcBorders>
            <w:noWrap/>
            <w:vAlign w:val="center"/>
            <w:hideMark/>
          </w:tcPr>
          <w:p w14:paraId="03FEDE2E" w14:textId="77777777" w:rsidR="00A74C68" w:rsidRPr="00471CBA" w:rsidRDefault="00A74C68" w:rsidP="00A74C68">
            <w:pPr>
              <w:rPr>
                <w:b/>
                <w:bCs/>
                <w:color w:val="000000"/>
                <w:szCs w:val="20"/>
                <w:lang w:eastAsia="tr-TR"/>
              </w:rPr>
            </w:pPr>
            <w:r w:rsidRPr="00471CBA">
              <w:rPr>
                <w:b/>
                <w:bCs/>
                <w:color w:val="000000"/>
                <w:szCs w:val="20"/>
                <w:lang w:eastAsia="tr-TR"/>
              </w:rPr>
              <w:t xml:space="preserve">3 Aylık Ortalama </w:t>
            </w:r>
          </w:p>
        </w:tc>
        <w:tc>
          <w:tcPr>
            <w:tcW w:w="868" w:type="pct"/>
            <w:tcBorders>
              <w:top w:val="nil"/>
              <w:left w:val="nil"/>
              <w:bottom w:val="single" w:sz="4" w:space="0" w:color="auto"/>
              <w:right w:val="nil"/>
            </w:tcBorders>
            <w:vAlign w:val="bottom"/>
            <w:hideMark/>
          </w:tcPr>
          <w:p w14:paraId="639E4B72" w14:textId="77777777" w:rsidR="00A74C68" w:rsidRPr="00471CBA" w:rsidRDefault="00A74C68" w:rsidP="00A74C68">
            <w:pPr>
              <w:jc w:val="right"/>
              <w:rPr>
                <w:b/>
                <w:bCs/>
                <w:color w:val="000000"/>
                <w:szCs w:val="20"/>
                <w:lang w:eastAsia="tr-TR"/>
              </w:rPr>
            </w:pPr>
            <w:r w:rsidRPr="00471CBA">
              <w:rPr>
                <w:b/>
                <w:bCs/>
                <w:color w:val="000000"/>
                <w:szCs w:val="20"/>
                <w:lang w:eastAsia="tr-TR"/>
              </w:rPr>
              <w:t>115,88</w:t>
            </w:r>
          </w:p>
        </w:tc>
      </w:tr>
    </w:tbl>
    <w:p w14:paraId="6A23E680" w14:textId="29A74DBF" w:rsidR="007D5428" w:rsidRPr="00471CBA" w:rsidRDefault="007D5428" w:rsidP="009F6E11">
      <w:pPr>
        <w:widowControl w:val="0"/>
        <w:rPr>
          <w:b/>
          <w:szCs w:val="20"/>
        </w:rPr>
      </w:pPr>
    </w:p>
    <w:p w14:paraId="592EBD3B" w14:textId="58E66B1A" w:rsidR="0081485D" w:rsidRPr="00471CBA" w:rsidRDefault="00AA12B1" w:rsidP="00AA12B1">
      <w:pPr>
        <w:widowControl w:val="0"/>
        <w:autoSpaceDE w:val="0"/>
        <w:autoSpaceDN w:val="0"/>
        <w:adjustRightInd w:val="0"/>
        <w:jc w:val="both"/>
        <w:rPr>
          <w:b/>
          <w:szCs w:val="20"/>
        </w:rPr>
      </w:pPr>
      <w:r w:rsidRPr="00471CBA">
        <w:rPr>
          <w:b/>
          <w:szCs w:val="20"/>
        </w:rPr>
        <w:t>VI.</w:t>
      </w:r>
      <w:r w:rsidRPr="00471CBA">
        <w:rPr>
          <w:b/>
          <w:szCs w:val="20"/>
        </w:rPr>
        <w:tab/>
      </w:r>
      <w:r w:rsidR="00F37168" w:rsidRPr="00471CBA">
        <w:rPr>
          <w:b/>
          <w:szCs w:val="20"/>
        </w:rPr>
        <w:t>KALDIRAÇ ORANINA İLİŞKİN AÇIKLAMALAR</w:t>
      </w:r>
    </w:p>
    <w:p w14:paraId="489BB418" w14:textId="77777777" w:rsidR="009B482B" w:rsidRPr="00471CBA" w:rsidRDefault="009B482B" w:rsidP="009B482B">
      <w:pPr>
        <w:widowControl w:val="0"/>
        <w:autoSpaceDE w:val="0"/>
        <w:autoSpaceDN w:val="0"/>
        <w:adjustRightInd w:val="0"/>
        <w:ind w:right="117"/>
        <w:jc w:val="both"/>
        <w:rPr>
          <w:szCs w:val="20"/>
        </w:rPr>
      </w:pPr>
    </w:p>
    <w:p w14:paraId="28B49C9B" w14:textId="00127486" w:rsidR="00CD39E0" w:rsidRPr="00471CBA" w:rsidRDefault="00357F5D" w:rsidP="00F95068">
      <w:pPr>
        <w:widowControl w:val="0"/>
        <w:autoSpaceDE w:val="0"/>
        <w:autoSpaceDN w:val="0"/>
        <w:adjustRightInd w:val="0"/>
        <w:jc w:val="both"/>
        <w:rPr>
          <w:szCs w:val="20"/>
        </w:rPr>
      </w:pPr>
      <w:r w:rsidRPr="00471CBA">
        <w:rPr>
          <w:szCs w:val="20"/>
        </w:rPr>
        <w:t xml:space="preserve">Banka’nın </w:t>
      </w:r>
      <w:r w:rsidR="001D2C09" w:rsidRPr="00471CBA">
        <w:rPr>
          <w:szCs w:val="20"/>
        </w:rPr>
        <w:t>31 Aralık</w:t>
      </w:r>
      <w:r w:rsidR="00932390" w:rsidRPr="00471CBA">
        <w:rPr>
          <w:szCs w:val="20"/>
        </w:rPr>
        <w:t xml:space="preserve"> 2025</w:t>
      </w:r>
      <w:r w:rsidR="002A3579" w:rsidRPr="00471CBA">
        <w:rPr>
          <w:szCs w:val="20"/>
        </w:rPr>
        <w:t xml:space="preserve"> </w:t>
      </w:r>
      <w:r w:rsidRPr="00471CBA">
        <w:rPr>
          <w:szCs w:val="20"/>
        </w:rPr>
        <w:t xml:space="preserve">itibarıyla </w:t>
      </w:r>
      <w:r w:rsidR="00912A21" w:rsidRPr="00471CBA">
        <w:rPr>
          <w:szCs w:val="20"/>
        </w:rPr>
        <w:t xml:space="preserve">geçmiş </w:t>
      </w:r>
      <w:r w:rsidRPr="00471CBA">
        <w:rPr>
          <w:szCs w:val="20"/>
        </w:rPr>
        <w:t>üç aylık ortalama tutarlardan hesaplanan kaldıraç oranı %</w:t>
      </w:r>
      <w:r w:rsidR="001D2C09" w:rsidRPr="00471CBA">
        <w:rPr>
          <w:szCs w:val="20"/>
        </w:rPr>
        <w:t>7,69</w:t>
      </w:r>
      <w:r w:rsidRPr="00471CBA">
        <w:rPr>
          <w:szCs w:val="20"/>
        </w:rPr>
        <w:t>’d</w:t>
      </w:r>
      <w:r w:rsidR="001D2C09" w:rsidRPr="00471CBA">
        <w:rPr>
          <w:szCs w:val="20"/>
        </w:rPr>
        <w:t>u</w:t>
      </w:r>
      <w:r w:rsidRPr="00471CBA">
        <w:rPr>
          <w:szCs w:val="20"/>
        </w:rPr>
        <w:t>r (</w:t>
      </w:r>
      <w:r w:rsidR="00E44BEE" w:rsidRPr="00471CBA">
        <w:rPr>
          <w:szCs w:val="20"/>
        </w:rPr>
        <w:t>3</w:t>
      </w:r>
      <w:r w:rsidRPr="00471CBA">
        <w:rPr>
          <w:szCs w:val="20"/>
        </w:rPr>
        <w:t xml:space="preserve">1 </w:t>
      </w:r>
      <w:r w:rsidR="00E44BEE" w:rsidRPr="00471CBA">
        <w:rPr>
          <w:szCs w:val="20"/>
        </w:rPr>
        <w:t>Aralık</w:t>
      </w:r>
      <w:r w:rsidR="00F61513" w:rsidRPr="00471CBA">
        <w:rPr>
          <w:szCs w:val="20"/>
        </w:rPr>
        <w:t xml:space="preserve"> </w:t>
      </w:r>
      <w:r w:rsidRPr="00471CBA">
        <w:rPr>
          <w:szCs w:val="20"/>
        </w:rPr>
        <w:t>202</w:t>
      </w:r>
      <w:r w:rsidR="00F61513" w:rsidRPr="00471CBA">
        <w:rPr>
          <w:szCs w:val="20"/>
        </w:rPr>
        <w:t>4</w:t>
      </w:r>
      <w:r w:rsidRPr="00471CBA">
        <w:rPr>
          <w:szCs w:val="20"/>
        </w:rPr>
        <w:t>: %</w:t>
      </w:r>
      <w:r w:rsidR="00E44BEE" w:rsidRPr="00471CBA">
        <w:rPr>
          <w:szCs w:val="20"/>
        </w:rPr>
        <w:t>15,68</w:t>
      </w:r>
      <w:r w:rsidRPr="00471CBA">
        <w:rPr>
          <w:szCs w:val="20"/>
        </w:rPr>
        <w:t xml:space="preserve">). Asgari Kaldıraç Oranının “Bankaların Kaldıraç Düzeyinin Ölçülmesine ve Değerlendirilmesine İlişkin Yönetmelik” gereğince minimum %3 olarak idame ettirilmesi gerekmektedir. </w:t>
      </w:r>
      <w:r w:rsidR="00302982" w:rsidRPr="00471CBA">
        <w:rPr>
          <w:szCs w:val="20"/>
        </w:rPr>
        <w:t xml:space="preserve">Cari dönemde bilanço içi ve bilanço dışı kalemlerdeki artış nedeniyle toplam risk tutarı artmıştır. Kaldıraç oranı geçen döneme oranla </w:t>
      </w:r>
      <w:r w:rsidR="00912A21" w:rsidRPr="00471CBA">
        <w:rPr>
          <w:szCs w:val="20"/>
        </w:rPr>
        <w:t>düşüş</w:t>
      </w:r>
      <w:r w:rsidR="00302982" w:rsidRPr="00471CBA">
        <w:rPr>
          <w:szCs w:val="20"/>
        </w:rPr>
        <w:t xml:space="preserve"> göstererek yasal sınır olan %3 seviyesinin üzerindeki güçlü seyrini korumaktadır.</w:t>
      </w:r>
    </w:p>
    <w:p w14:paraId="6F21C338" w14:textId="5B7B70E8" w:rsidR="00A74C68" w:rsidRPr="00471CBA" w:rsidRDefault="00A74C68" w:rsidP="00CE7194"/>
    <w:tbl>
      <w:tblPr>
        <w:tblW w:w="5019" w:type="pct"/>
        <w:tblCellMar>
          <w:left w:w="70" w:type="dxa"/>
          <w:right w:w="70" w:type="dxa"/>
        </w:tblCellMar>
        <w:tblLook w:val="04A0" w:firstRow="1" w:lastRow="0" w:firstColumn="1" w:lastColumn="0" w:noHBand="0" w:noVBand="1"/>
      </w:tblPr>
      <w:tblGrid>
        <w:gridCol w:w="320"/>
        <w:gridCol w:w="6554"/>
        <w:gridCol w:w="1455"/>
        <w:gridCol w:w="1455"/>
      </w:tblGrid>
      <w:tr w:rsidR="00A74C68" w:rsidRPr="00471CBA" w14:paraId="5500C4CF" w14:textId="77777777" w:rsidTr="00A74C68">
        <w:trPr>
          <w:divId w:val="373697964"/>
          <w:trHeight w:val="227"/>
        </w:trPr>
        <w:tc>
          <w:tcPr>
            <w:tcW w:w="218" w:type="pct"/>
            <w:tcBorders>
              <w:top w:val="single" w:sz="4" w:space="0" w:color="auto"/>
              <w:left w:val="single" w:sz="4" w:space="0" w:color="auto"/>
              <w:bottom w:val="single" w:sz="4" w:space="0" w:color="auto"/>
              <w:right w:val="nil"/>
            </w:tcBorders>
            <w:noWrap/>
            <w:vAlign w:val="bottom"/>
            <w:hideMark/>
          </w:tcPr>
          <w:p w14:paraId="29030AC8" w14:textId="30DB7B9B" w:rsidR="00A74C68" w:rsidRPr="00471CBA" w:rsidRDefault="00A74C68" w:rsidP="00A74C68">
            <w:pPr>
              <w:rPr>
                <w:b/>
                <w:bCs/>
                <w:sz w:val="18"/>
                <w:szCs w:val="18"/>
                <w:lang w:eastAsia="tr-TR"/>
              </w:rPr>
            </w:pPr>
            <w:r w:rsidRPr="00471CBA">
              <w:rPr>
                <w:b/>
                <w:bCs/>
                <w:sz w:val="18"/>
                <w:szCs w:val="18"/>
                <w:lang w:eastAsia="tr-TR"/>
              </w:rPr>
              <w:t> </w:t>
            </w:r>
          </w:p>
        </w:tc>
        <w:tc>
          <w:tcPr>
            <w:tcW w:w="3153" w:type="pct"/>
            <w:tcBorders>
              <w:top w:val="single" w:sz="4" w:space="0" w:color="auto"/>
              <w:left w:val="nil"/>
              <w:bottom w:val="single" w:sz="4" w:space="0" w:color="auto"/>
              <w:right w:val="single" w:sz="4" w:space="0" w:color="auto"/>
            </w:tcBorders>
            <w:noWrap/>
            <w:vAlign w:val="bottom"/>
            <w:hideMark/>
          </w:tcPr>
          <w:p w14:paraId="74C15AF1" w14:textId="77777777" w:rsidR="00A74C68" w:rsidRPr="00471CBA" w:rsidRDefault="00A74C68" w:rsidP="00A74C68">
            <w:pPr>
              <w:rPr>
                <w:b/>
                <w:bCs/>
                <w:sz w:val="18"/>
                <w:szCs w:val="18"/>
                <w:lang w:eastAsia="tr-TR"/>
              </w:rPr>
            </w:pPr>
            <w:r w:rsidRPr="00471CBA">
              <w:rPr>
                <w:b/>
                <w:bCs/>
                <w:sz w:val="18"/>
                <w:szCs w:val="18"/>
                <w:lang w:eastAsia="tr-TR"/>
              </w:rPr>
              <w:t> </w:t>
            </w:r>
          </w:p>
        </w:tc>
        <w:tc>
          <w:tcPr>
            <w:tcW w:w="876" w:type="pct"/>
            <w:tcBorders>
              <w:top w:val="single" w:sz="4" w:space="0" w:color="auto"/>
              <w:left w:val="nil"/>
              <w:bottom w:val="single" w:sz="4" w:space="0" w:color="auto"/>
              <w:right w:val="single" w:sz="4" w:space="0" w:color="auto"/>
            </w:tcBorders>
            <w:noWrap/>
            <w:vAlign w:val="center"/>
            <w:hideMark/>
          </w:tcPr>
          <w:p w14:paraId="38CAC9E9" w14:textId="77777777" w:rsidR="00A74C68" w:rsidRPr="00471CBA" w:rsidRDefault="00A74C68" w:rsidP="00A74C68">
            <w:pPr>
              <w:jc w:val="center"/>
              <w:rPr>
                <w:b/>
                <w:bCs/>
                <w:sz w:val="18"/>
                <w:szCs w:val="18"/>
                <w:lang w:eastAsia="tr-TR"/>
              </w:rPr>
            </w:pPr>
            <w:r w:rsidRPr="00471CBA">
              <w:rPr>
                <w:b/>
                <w:bCs/>
                <w:sz w:val="18"/>
                <w:szCs w:val="18"/>
                <w:lang w:eastAsia="tr-TR"/>
              </w:rPr>
              <w:t xml:space="preserve">31 Aralık 2025 </w:t>
            </w:r>
            <w:r w:rsidRPr="00471CBA">
              <w:rPr>
                <w:b/>
                <w:bCs/>
                <w:sz w:val="18"/>
                <w:szCs w:val="18"/>
                <w:vertAlign w:val="superscript"/>
                <w:lang w:eastAsia="tr-TR"/>
              </w:rPr>
              <w:t>(*)</w:t>
            </w:r>
          </w:p>
        </w:tc>
        <w:tc>
          <w:tcPr>
            <w:tcW w:w="753" w:type="pct"/>
            <w:tcBorders>
              <w:top w:val="single" w:sz="4" w:space="0" w:color="auto"/>
              <w:left w:val="nil"/>
              <w:bottom w:val="single" w:sz="4" w:space="0" w:color="auto"/>
              <w:right w:val="single" w:sz="4" w:space="0" w:color="auto"/>
            </w:tcBorders>
            <w:noWrap/>
            <w:vAlign w:val="center"/>
            <w:hideMark/>
          </w:tcPr>
          <w:p w14:paraId="56B0BAF2" w14:textId="77777777" w:rsidR="00A74C68" w:rsidRPr="00471CBA" w:rsidRDefault="00A74C68" w:rsidP="00A74C68">
            <w:pPr>
              <w:jc w:val="center"/>
              <w:rPr>
                <w:b/>
                <w:bCs/>
                <w:sz w:val="18"/>
                <w:szCs w:val="18"/>
                <w:lang w:eastAsia="tr-TR"/>
              </w:rPr>
            </w:pPr>
            <w:r w:rsidRPr="00471CBA">
              <w:rPr>
                <w:b/>
                <w:bCs/>
                <w:sz w:val="18"/>
                <w:szCs w:val="18"/>
                <w:lang w:eastAsia="tr-TR"/>
              </w:rPr>
              <w:t xml:space="preserve">31 Aralık 2024 </w:t>
            </w:r>
            <w:r w:rsidRPr="00471CBA">
              <w:rPr>
                <w:b/>
                <w:bCs/>
                <w:sz w:val="18"/>
                <w:szCs w:val="18"/>
                <w:vertAlign w:val="superscript"/>
                <w:lang w:eastAsia="tr-TR"/>
              </w:rPr>
              <w:t>(*)</w:t>
            </w:r>
          </w:p>
        </w:tc>
      </w:tr>
      <w:tr w:rsidR="00A74C68" w:rsidRPr="00471CBA" w14:paraId="7E7DD763" w14:textId="77777777" w:rsidTr="00A74C68">
        <w:trPr>
          <w:divId w:val="373697964"/>
          <w:trHeight w:val="227"/>
        </w:trPr>
        <w:tc>
          <w:tcPr>
            <w:tcW w:w="218" w:type="pct"/>
            <w:tcBorders>
              <w:top w:val="single" w:sz="4" w:space="0" w:color="auto"/>
              <w:left w:val="single" w:sz="4" w:space="0" w:color="auto"/>
              <w:bottom w:val="single" w:sz="4" w:space="0" w:color="auto"/>
              <w:right w:val="single" w:sz="4" w:space="0" w:color="auto"/>
            </w:tcBorders>
            <w:noWrap/>
            <w:hideMark/>
          </w:tcPr>
          <w:p w14:paraId="198B0C72" w14:textId="77777777" w:rsidR="00A74C68" w:rsidRPr="00471CBA" w:rsidRDefault="00A74C68" w:rsidP="00A74C68">
            <w:pPr>
              <w:jc w:val="center"/>
              <w:rPr>
                <w:sz w:val="18"/>
                <w:szCs w:val="18"/>
                <w:lang w:eastAsia="tr-TR"/>
              </w:rPr>
            </w:pPr>
            <w:r w:rsidRPr="00471CBA">
              <w:rPr>
                <w:sz w:val="18"/>
                <w:szCs w:val="18"/>
                <w:lang w:eastAsia="tr-TR"/>
              </w:rPr>
              <w:t> </w:t>
            </w:r>
          </w:p>
        </w:tc>
        <w:tc>
          <w:tcPr>
            <w:tcW w:w="3153" w:type="pct"/>
            <w:tcBorders>
              <w:top w:val="single" w:sz="4" w:space="0" w:color="auto"/>
              <w:left w:val="nil"/>
              <w:bottom w:val="single" w:sz="4" w:space="0" w:color="auto"/>
              <w:right w:val="single" w:sz="4" w:space="0" w:color="auto"/>
            </w:tcBorders>
            <w:noWrap/>
            <w:hideMark/>
          </w:tcPr>
          <w:p w14:paraId="066943B0" w14:textId="77777777" w:rsidR="00A74C68" w:rsidRPr="00471CBA" w:rsidRDefault="00A74C68" w:rsidP="00A74C68">
            <w:pPr>
              <w:rPr>
                <w:b/>
                <w:bCs/>
                <w:sz w:val="18"/>
                <w:szCs w:val="18"/>
                <w:lang w:eastAsia="tr-TR"/>
              </w:rPr>
            </w:pPr>
            <w:r w:rsidRPr="00471CBA">
              <w:rPr>
                <w:b/>
                <w:bCs/>
                <w:sz w:val="18"/>
                <w:szCs w:val="18"/>
                <w:lang w:eastAsia="tr-TR"/>
              </w:rPr>
              <w:t>Bilanço içi varlıklar</w:t>
            </w:r>
          </w:p>
        </w:tc>
        <w:tc>
          <w:tcPr>
            <w:tcW w:w="876" w:type="pct"/>
            <w:tcBorders>
              <w:top w:val="single" w:sz="4" w:space="0" w:color="auto"/>
              <w:left w:val="nil"/>
              <w:bottom w:val="single" w:sz="4" w:space="0" w:color="auto"/>
              <w:right w:val="single" w:sz="4" w:space="0" w:color="auto"/>
            </w:tcBorders>
            <w:noWrap/>
            <w:vAlign w:val="center"/>
            <w:hideMark/>
          </w:tcPr>
          <w:p w14:paraId="0F567B5A" w14:textId="77777777" w:rsidR="00A74C68" w:rsidRPr="00471CBA" w:rsidRDefault="00A74C68" w:rsidP="00A74C68">
            <w:pPr>
              <w:jc w:val="right"/>
              <w:rPr>
                <w:sz w:val="18"/>
                <w:szCs w:val="18"/>
                <w:lang w:eastAsia="tr-TR"/>
              </w:rPr>
            </w:pPr>
            <w:r w:rsidRPr="00471CBA">
              <w:rPr>
                <w:sz w:val="18"/>
                <w:szCs w:val="18"/>
                <w:lang w:eastAsia="tr-TR"/>
              </w:rPr>
              <w:t> </w:t>
            </w:r>
          </w:p>
        </w:tc>
        <w:tc>
          <w:tcPr>
            <w:tcW w:w="753" w:type="pct"/>
            <w:tcBorders>
              <w:top w:val="single" w:sz="4" w:space="0" w:color="auto"/>
              <w:left w:val="nil"/>
              <w:bottom w:val="single" w:sz="4" w:space="0" w:color="auto"/>
              <w:right w:val="single" w:sz="4" w:space="0" w:color="auto"/>
            </w:tcBorders>
            <w:noWrap/>
            <w:vAlign w:val="center"/>
            <w:hideMark/>
          </w:tcPr>
          <w:p w14:paraId="03C6D8F5" w14:textId="77777777" w:rsidR="00A74C68" w:rsidRPr="00471CBA" w:rsidRDefault="00A74C68" w:rsidP="00A74C68">
            <w:pPr>
              <w:jc w:val="right"/>
              <w:rPr>
                <w:sz w:val="18"/>
                <w:szCs w:val="18"/>
                <w:lang w:eastAsia="tr-TR"/>
              </w:rPr>
            </w:pPr>
            <w:r w:rsidRPr="00471CBA">
              <w:rPr>
                <w:sz w:val="18"/>
                <w:szCs w:val="18"/>
                <w:lang w:eastAsia="tr-TR"/>
              </w:rPr>
              <w:t> </w:t>
            </w:r>
          </w:p>
        </w:tc>
      </w:tr>
      <w:tr w:rsidR="00A74C68" w:rsidRPr="00471CBA" w14:paraId="404CE721" w14:textId="77777777" w:rsidTr="00A74C68">
        <w:trPr>
          <w:divId w:val="373697964"/>
          <w:trHeight w:val="227"/>
        </w:trPr>
        <w:tc>
          <w:tcPr>
            <w:tcW w:w="218" w:type="pct"/>
            <w:tcBorders>
              <w:top w:val="single" w:sz="4" w:space="0" w:color="auto"/>
              <w:left w:val="single" w:sz="4" w:space="0" w:color="auto"/>
              <w:bottom w:val="nil"/>
              <w:right w:val="single" w:sz="4" w:space="0" w:color="auto"/>
            </w:tcBorders>
            <w:noWrap/>
            <w:hideMark/>
          </w:tcPr>
          <w:p w14:paraId="3CBCED7F" w14:textId="77777777" w:rsidR="00A74C68" w:rsidRPr="00471CBA" w:rsidRDefault="00A74C68" w:rsidP="00A74C68">
            <w:pPr>
              <w:jc w:val="center"/>
              <w:rPr>
                <w:sz w:val="18"/>
                <w:szCs w:val="18"/>
                <w:lang w:eastAsia="tr-TR"/>
              </w:rPr>
            </w:pPr>
            <w:r w:rsidRPr="00471CBA">
              <w:rPr>
                <w:sz w:val="18"/>
                <w:szCs w:val="18"/>
                <w:lang w:eastAsia="tr-TR"/>
              </w:rPr>
              <w:t>1</w:t>
            </w:r>
          </w:p>
        </w:tc>
        <w:tc>
          <w:tcPr>
            <w:tcW w:w="3153" w:type="pct"/>
            <w:tcBorders>
              <w:top w:val="single" w:sz="4" w:space="0" w:color="auto"/>
              <w:left w:val="nil"/>
              <w:bottom w:val="nil"/>
              <w:right w:val="single" w:sz="4" w:space="0" w:color="auto"/>
            </w:tcBorders>
            <w:noWrap/>
            <w:hideMark/>
          </w:tcPr>
          <w:p w14:paraId="36EFF6C8" w14:textId="77777777" w:rsidR="00A74C68" w:rsidRPr="00471CBA" w:rsidRDefault="00A74C68" w:rsidP="00A74C68">
            <w:pPr>
              <w:rPr>
                <w:sz w:val="18"/>
                <w:szCs w:val="18"/>
                <w:lang w:eastAsia="tr-TR"/>
              </w:rPr>
            </w:pPr>
            <w:r w:rsidRPr="00471CBA">
              <w:rPr>
                <w:sz w:val="18"/>
                <w:szCs w:val="18"/>
                <w:lang w:eastAsia="tr-TR"/>
              </w:rPr>
              <w:t>Bilanço içi varlıklar (Türev finansal araçlar ile kredi türevleri hariç, teminatlar dahil)</w:t>
            </w:r>
          </w:p>
        </w:tc>
        <w:tc>
          <w:tcPr>
            <w:tcW w:w="876" w:type="pct"/>
            <w:tcBorders>
              <w:top w:val="single" w:sz="4" w:space="0" w:color="auto"/>
              <w:left w:val="nil"/>
              <w:bottom w:val="nil"/>
              <w:right w:val="single" w:sz="4" w:space="0" w:color="auto"/>
            </w:tcBorders>
            <w:vAlign w:val="bottom"/>
            <w:hideMark/>
          </w:tcPr>
          <w:p w14:paraId="2EDB21BC" w14:textId="77777777" w:rsidR="00A74C68" w:rsidRPr="00471CBA" w:rsidRDefault="00A74C68" w:rsidP="00A74C68">
            <w:pPr>
              <w:jc w:val="right"/>
              <w:rPr>
                <w:sz w:val="18"/>
                <w:szCs w:val="18"/>
                <w:lang w:eastAsia="tr-TR"/>
              </w:rPr>
            </w:pPr>
            <w:r w:rsidRPr="00471CBA">
              <w:rPr>
                <w:sz w:val="18"/>
                <w:szCs w:val="18"/>
                <w:lang w:eastAsia="tr-TR"/>
              </w:rPr>
              <w:t>84.709.737</w:t>
            </w:r>
          </w:p>
        </w:tc>
        <w:tc>
          <w:tcPr>
            <w:tcW w:w="753" w:type="pct"/>
            <w:tcBorders>
              <w:top w:val="single" w:sz="4" w:space="0" w:color="auto"/>
              <w:left w:val="nil"/>
              <w:bottom w:val="nil"/>
              <w:right w:val="single" w:sz="4" w:space="0" w:color="auto"/>
            </w:tcBorders>
            <w:vAlign w:val="bottom"/>
            <w:hideMark/>
          </w:tcPr>
          <w:p w14:paraId="27AA034A" w14:textId="77777777" w:rsidR="00A74C68" w:rsidRPr="00471CBA" w:rsidRDefault="00A74C68" w:rsidP="00A74C68">
            <w:pPr>
              <w:jc w:val="right"/>
              <w:rPr>
                <w:sz w:val="18"/>
                <w:szCs w:val="18"/>
                <w:lang w:eastAsia="tr-TR"/>
              </w:rPr>
            </w:pPr>
            <w:r w:rsidRPr="00471CBA">
              <w:rPr>
                <w:sz w:val="18"/>
                <w:szCs w:val="18"/>
                <w:lang w:eastAsia="tr-TR"/>
              </w:rPr>
              <w:t>29.135.001</w:t>
            </w:r>
          </w:p>
        </w:tc>
      </w:tr>
      <w:tr w:rsidR="00A74C68" w:rsidRPr="00471CBA" w14:paraId="295246F9" w14:textId="77777777" w:rsidTr="00A74C68">
        <w:trPr>
          <w:divId w:val="373697964"/>
          <w:trHeight w:val="227"/>
        </w:trPr>
        <w:tc>
          <w:tcPr>
            <w:tcW w:w="218" w:type="pct"/>
            <w:tcBorders>
              <w:top w:val="nil"/>
              <w:left w:val="single" w:sz="4" w:space="0" w:color="auto"/>
              <w:bottom w:val="nil"/>
              <w:right w:val="single" w:sz="4" w:space="0" w:color="auto"/>
            </w:tcBorders>
            <w:noWrap/>
            <w:hideMark/>
          </w:tcPr>
          <w:p w14:paraId="614BAE22" w14:textId="77777777" w:rsidR="00A74C68" w:rsidRPr="00471CBA" w:rsidRDefault="00A74C68" w:rsidP="00A74C68">
            <w:pPr>
              <w:jc w:val="center"/>
              <w:rPr>
                <w:sz w:val="18"/>
                <w:szCs w:val="18"/>
                <w:lang w:eastAsia="tr-TR"/>
              </w:rPr>
            </w:pPr>
            <w:r w:rsidRPr="00471CBA">
              <w:rPr>
                <w:sz w:val="18"/>
                <w:szCs w:val="18"/>
                <w:lang w:eastAsia="tr-TR"/>
              </w:rPr>
              <w:t>2</w:t>
            </w:r>
          </w:p>
        </w:tc>
        <w:tc>
          <w:tcPr>
            <w:tcW w:w="3153" w:type="pct"/>
            <w:tcBorders>
              <w:top w:val="nil"/>
              <w:left w:val="nil"/>
              <w:bottom w:val="nil"/>
              <w:right w:val="single" w:sz="4" w:space="0" w:color="auto"/>
            </w:tcBorders>
            <w:noWrap/>
            <w:hideMark/>
          </w:tcPr>
          <w:p w14:paraId="2F6443B1" w14:textId="77777777" w:rsidR="00A74C68" w:rsidRPr="00471CBA" w:rsidRDefault="00A74C68" w:rsidP="00A74C68">
            <w:pPr>
              <w:rPr>
                <w:sz w:val="18"/>
                <w:szCs w:val="18"/>
                <w:lang w:eastAsia="tr-TR"/>
              </w:rPr>
            </w:pPr>
            <w:r w:rsidRPr="00471CBA">
              <w:rPr>
                <w:sz w:val="18"/>
                <w:szCs w:val="18"/>
                <w:lang w:eastAsia="tr-TR"/>
              </w:rPr>
              <w:t>(Ana sermayeden indirilen varlıklar)</w:t>
            </w:r>
          </w:p>
        </w:tc>
        <w:tc>
          <w:tcPr>
            <w:tcW w:w="876" w:type="pct"/>
            <w:tcBorders>
              <w:top w:val="nil"/>
              <w:left w:val="nil"/>
              <w:bottom w:val="nil"/>
              <w:right w:val="single" w:sz="4" w:space="0" w:color="auto"/>
            </w:tcBorders>
            <w:vAlign w:val="bottom"/>
            <w:hideMark/>
          </w:tcPr>
          <w:p w14:paraId="3485A203" w14:textId="77777777" w:rsidR="00A74C68" w:rsidRPr="00471CBA" w:rsidRDefault="00A74C68" w:rsidP="00A74C68">
            <w:pPr>
              <w:jc w:val="right"/>
              <w:rPr>
                <w:sz w:val="18"/>
                <w:szCs w:val="18"/>
                <w:lang w:eastAsia="tr-TR"/>
              </w:rPr>
            </w:pPr>
            <w:r w:rsidRPr="00471CBA">
              <w:rPr>
                <w:sz w:val="18"/>
                <w:szCs w:val="18"/>
                <w:lang w:eastAsia="tr-TR"/>
              </w:rPr>
              <w:t>(601.559)</w:t>
            </w:r>
          </w:p>
        </w:tc>
        <w:tc>
          <w:tcPr>
            <w:tcW w:w="753" w:type="pct"/>
            <w:tcBorders>
              <w:top w:val="nil"/>
              <w:left w:val="nil"/>
              <w:bottom w:val="nil"/>
              <w:right w:val="single" w:sz="4" w:space="0" w:color="auto"/>
            </w:tcBorders>
            <w:vAlign w:val="bottom"/>
            <w:hideMark/>
          </w:tcPr>
          <w:p w14:paraId="05A51639" w14:textId="77777777" w:rsidR="00A74C68" w:rsidRPr="00471CBA" w:rsidRDefault="00A74C68" w:rsidP="00A74C68">
            <w:pPr>
              <w:jc w:val="right"/>
              <w:rPr>
                <w:sz w:val="18"/>
                <w:szCs w:val="18"/>
                <w:lang w:eastAsia="tr-TR"/>
              </w:rPr>
            </w:pPr>
            <w:r w:rsidRPr="00471CBA">
              <w:rPr>
                <w:sz w:val="18"/>
                <w:szCs w:val="18"/>
                <w:lang w:eastAsia="tr-TR"/>
              </w:rPr>
              <w:t>(296.084)</w:t>
            </w:r>
          </w:p>
        </w:tc>
      </w:tr>
      <w:tr w:rsidR="00A74C68" w:rsidRPr="00471CBA" w14:paraId="1327D30C" w14:textId="77777777" w:rsidTr="00A74C68">
        <w:trPr>
          <w:divId w:val="373697964"/>
          <w:trHeight w:val="227"/>
        </w:trPr>
        <w:tc>
          <w:tcPr>
            <w:tcW w:w="218" w:type="pct"/>
            <w:tcBorders>
              <w:top w:val="nil"/>
              <w:left w:val="single" w:sz="4" w:space="0" w:color="auto"/>
              <w:bottom w:val="single" w:sz="4" w:space="0" w:color="auto"/>
              <w:right w:val="single" w:sz="4" w:space="0" w:color="auto"/>
            </w:tcBorders>
            <w:noWrap/>
            <w:hideMark/>
          </w:tcPr>
          <w:p w14:paraId="5479961F" w14:textId="77777777" w:rsidR="00A74C68" w:rsidRPr="00471CBA" w:rsidRDefault="00A74C68" w:rsidP="00A74C68">
            <w:pPr>
              <w:jc w:val="center"/>
              <w:rPr>
                <w:sz w:val="18"/>
                <w:szCs w:val="18"/>
                <w:lang w:eastAsia="tr-TR"/>
              </w:rPr>
            </w:pPr>
            <w:r w:rsidRPr="00471CBA">
              <w:rPr>
                <w:sz w:val="18"/>
                <w:szCs w:val="18"/>
                <w:lang w:eastAsia="tr-TR"/>
              </w:rPr>
              <w:t>3</w:t>
            </w:r>
          </w:p>
        </w:tc>
        <w:tc>
          <w:tcPr>
            <w:tcW w:w="3153" w:type="pct"/>
            <w:tcBorders>
              <w:top w:val="nil"/>
              <w:left w:val="nil"/>
              <w:bottom w:val="single" w:sz="4" w:space="0" w:color="auto"/>
              <w:right w:val="single" w:sz="4" w:space="0" w:color="auto"/>
            </w:tcBorders>
            <w:noWrap/>
            <w:hideMark/>
          </w:tcPr>
          <w:p w14:paraId="57811108" w14:textId="77777777" w:rsidR="00A74C68" w:rsidRPr="00471CBA" w:rsidRDefault="00A74C68" w:rsidP="00A74C68">
            <w:pPr>
              <w:rPr>
                <w:sz w:val="18"/>
                <w:szCs w:val="18"/>
                <w:lang w:eastAsia="tr-TR"/>
              </w:rPr>
            </w:pPr>
            <w:r w:rsidRPr="00471CBA">
              <w:rPr>
                <w:sz w:val="18"/>
                <w:szCs w:val="18"/>
                <w:lang w:eastAsia="tr-TR"/>
              </w:rPr>
              <w:t>Bilanço içi varlıklara ilişkin toplam risk tutarı (1 ve 2’nci satırların toplamı)</w:t>
            </w:r>
          </w:p>
        </w:tc>
        <w:tc>
          <w:tcPr>
            <w:tcW w:w="876" w:type="pct"/>
            <w:tcBorders>
              <w:top w:val="nil"/>
              <w:left w:val="nil"/>
              <w:bottom w:val="single" w:sz="4" w:space="0" w:color="auto"/>
              <w:right w:val="single" w:sz="4" w:space="0" w:color="auto"/>
            </w:tcBorders>
            <w:vAlign w:val="bottom"/>
            <w:hideMark/>
          </w:tcPr>
          <w:p w14:paraId="0D773DB8" w14:textId="77777777" w:rsidR="00A74C68" w:rsidRPr="00471CBA" w:rsidRDefault="00A74C68" w:rsidP="00A74C68">
            <w:pPr>
              <w:jc w:val="right"/>
              <w:rPr>
                <w:sz w:val="18"/>
                <w:szCs w:val="18"/>
                <w:lang w:eastAsia="tr-TR"/>
              </w:rPr>
            </w:pPr>
            <w:r w:rsidRPr="00471CBA">
              <w:rPr>
                <w:sz w:val="18"/>
                <w:szCs w:val="18"/>
                <w:lang w:eastAsia="tr-TR"/>
              </w:rPr>
              <w:t>84.108.178</w:t>
            </w:r>
          </w:p>
        </w:tc>
        <w:tc>
          <w:tcPr>
            <w:tcW w:w="753" w:type="pct"/>
            <w:tcBorders>
              <w:top w:val="nil"/>
              <w:left w:val="nil"/>
              <w:bottom w:val="single" w:sz="4" w:space="0" w:color="auto"/>
              <w:right w:val="single" w:sz="4" w:space="0" w:color="auto"/>
            </w:tcBorders>
            <w:vAlign w:val="bottom"/>
            <w:hideMark/>
          </w:tcPr>
          <w:p w14:paraId="32877F35" w14:textId="77777777" w:rsidR="00A74C68" w:rsidRPr="00471CBA" w:rsidRDefault="00A74C68" w:rsidP="00A74C68">
            <w:pPr>
              <w:jc w:val="right"/>
              <w:rPr>
                <w:sz w:val="18"/>
                <w:szCs w:val="18"/>
                <w:lang w:eastAsia="tr-TR"/>
              </w:rPr>
            </w:pPr>
            <w:r w:rsidRPr="00471CBA">
              <w:rPr>
                <w:sz w:val="18"/>
                <w:szCs w:val="18"/>
                <w:lang w:eastAsia="tr-TR"/>
              </w:rPr>
              <w:t>28.838.917</w:t>
            </w:r>
          </w:p>
        </w:tc>
      </w:tr>
      <w:tr w:rsidR="00A74C68" w:rsidRPr="00471CBA" w14:paraId="404B87DF" w14:textId="77777777" w:rsidTr="00A74C68">
        <w:trPr>
          <w:divId w:val="373697964"/>
          <w:trHeight w:val="227"/>
        </w:trPr>
        <w:tc>
          <w:tcPr>
            <w:tcW w:w="218" w:type="pct"/>
            <w:tcBorders>
              <w:top w:val="single" w:sz="4" w:space="0" w:color="auto"/>
              <w:left w:val="single" w:sz="4" w:space="0" w:color="auto"/>
              <w:bottom w:val="single" w:sz="4" w:space="0" w:color="auto"/>
              <w:right w:val="single" w:sz="4" w:space="0" w:color="auto"/>
            </w:tcBorders>
            <w:noWrap/>
            <w:hideMark/>
          </w:tcPr>
          <w:p w14:paraId="79D82F13" w14:textId="77777777" w:rsidR="00A74C68" w:rsidRPr="00471CBA" w:rsidRDefault="00A74C68" w:rsidP="00A74C68">
            <w:pPr>
              <w:jc w:val="center"/>
              <w:rPr>
                <w:sz w:val="18"/>
                <w:szCs w:val="18"/>
                <w:lang w:eastAsia="tr-TR"/>
              </w:rPr>
            </w:pPr>
            <w:r w:rsidRPr="00471CBA">
              <w:rPr>
                <w:sz w:val="18"/>
                <w:szCs w:val="18"/>
                <w:lang w:eastAsia="tr-TR"/>
              </w:rPr>
              <w:t> </w:t>
            </w:r>
          </w:p>
        </w:tc>
        <w:tc>
          <w:tcPr>
            <w:tcW w:w="3153" w:type="pct"/>
            <w:tcBorders>
              <w:top w:val="single" w:sz="4" w:space="0" w:color="auto"/>
              <w:left w:val="nil"/>
              <w:bottom w:val="single" w:sz="4" w:space="0" w:color="auto"/>
              <w:right w:val="single" w:sz="4" w:space="0" w:color="auto"/>
            </w:tcBorders>
            <w:noWrap/>
            <w:hideMark/>
          </w:tcPr>
          <w:p w14:paraId="7592E32F" w14:textId="77777777" w:rsidR="00A74C68" w:rsidRPr="00471CBA" w:rsidRDefault="00A74C68" w:rsidP="00A74C68">
            <w:pPr>
              <w:rPr>
                <w:b/>
                <w:bCs/>
                <w:sz w:val="18"/>
                <w:szCs w:val="18"/>
                <w:lang w:eastAsia="tr-TR"/>
              </w:rPr>
            </w:pPr>
            <w:r w:rsidRPr="00471CBA">
              <w:rPr>
                <w:b/>
                <w:bCs/>
                <w:sz w:val="18"/>
                <w:szCs w:val="18"/>
                <w:lang w:eastAsia="tr-TR"/>
              </w:rPr>
              <w:t>Türev finansal araçlar ile kredi türevleri</w:t>
            </w:r>
          </w:p>
        </w:tc>
        <w:tc>
          <w:tcPr>
            <w:tcW w:w="876" w:type="pct"/>
            <w:tcBorders>
              <w:top w:val="single" w:sz="4" w:space="0" w:color="auto"/>
              <w:left w:val="nil"/>
              <w:bottom w:val="single" w:sz="4" w:space="0" w:color="auto"/>
              <w:right w:val="single" w:sz="4" w:space="0" w:color="auto"/>
            </w:tcBorders>
            <w:noWrap/>
            <w:vAlign w:val="bottom"/>
            <w:hideMark/>
          </w:tcPr>
          <w:p w14:paraId="1F2288DF" w14:textId="77777777" w:rsidR="00A74C68" w:rsidRPr="00471CBA" w:rsidRDefault="00A74C68" w:rsidP="00A74C68">
            <w:pPr>
              <w:jc w:val="right"/>
              <w:rPr>
                <w:sz w:val="18"/>
                <w:szCs w:val="18"/>
                <w:lang w:eastAsia="tr-TR"/>
              </w:rPr>
            </w:pPr>
            <w:r w:rsidRPr="00471CBA">
              <w:rPr>
                <w:sz w:val="18"/>
                <w:szCs w:val="18"/>
                <w:lang w:eastAsia="tr-TR"/>
              </w:rPr>
              <w:t> </w:t>
            </w:r>
          </w:p>
        </w:tc>
        <w:tc>
          <w:tcPr>
            <w:tcW w:w="753" w:type="pct"/>
            <w:tcBorders>
              <w:top w:val="single" w:sz="4" w:space="0" w:color="auto"/>
              <w:left w:val="nil"/>
              <w:bottom w:val="single" w:sz="4" w:space="0" w:color="auto"/>
              <w:right w:val="single" w:sz="4" w:space="0" w:color="auto"/>
            </w:tcBorders>
            <w:noWrap/>
            <w:vAlign w:val="bottom"/>
            <w:hideMark/>
          </w:tcPr>
          <w:p w14:paraId="0AE9A42A" w14:textId="77777777" w:rsidR="00A74C68" w:rsidRPr="00471CBA" w:rsidRDefault="00A74C68" w:rsidP="00A74C68">
            <w:pPr>
              <w:jc w:val="right"/>
              <w:rPr>
                <w:sz w:val="18"/>
                <w:szCs w:val="18"/>
                <w:lang w:eastAsia="tr-TR"/>
              </w:rPr>
            </w:pPr>
            <w:r w:rsidRPr="00471CBA">
              <w:rPr>
                <w:sz w:val="18"/>
                <w:szCs w:val="18"/>
                <w:lang w:eastAsia="tr-TR"/>
              </w:rPr>
              <w:t xml:space="preserve"> </w:t>
            </w:r>
          </w:p>
        </w:tc>
      </w:tr>
      <w:tr w:rsidR="00A74C68" w:rsidRPr="00471CBA" w14:paraId="58F0F79E" w14:textId="77777777" w:rsidTr="00A74C68">
        <w:trPr>
          <w:divId w:val="373697964"/>
          <w:trHeight w:val="227"/>
        </w:trPr>
        <w:tc>
          <w:tcPr>
            <w:tcW w:w="218" w:type="pct"/>
            <w:tcBorders>
              <w:top w:val="single" w:sz="4" w:space="0" w:color="auto"/>
              <w:left w:val="single" w:sz="4" w:space="0" w:color="auto"/>
              <w:bottom w:val="nil"/>
              <w:right w:val="single" w:sz="4" w:space="0" w:color="auto"/>
            </w:tcBorders>
            <w:noWrap/>
            <w:hideMark/>
          </w:tcPr>
          <w:p w14:paraId="2CA83AB9" w14:textId="77777777" w:rsidR="00A74C68" w:rsidRPr="00471CBA" w:rsidRDefault="00A74C68" w:rsidP="00A74C68">
            <w:pPr>
              <w:jc w:val="center"/>
              <w:rPr>
                <w:sz w:val="18"/>
                <w:szCs w:val="18"/>
                <w:lang w:eastAsia="tr-TR"/>
              </w:rPr>
            </w:pPr>
            <w:r w:rsidRPr="00471CBA">
              <w:rPr>
                <w:sz w:val="18"/>
                <w:szCs w:val="18"/>
                <w:lang w:eastAsia="tr-TR"/>
              </w:rPr>
              <w:t>4</w:t>
            </w:r>
          </w:p>
        </w:tc>
        <w:tc>
          <w:tcPr>
            <w:tcW w:w="3153" w:type="pct"/>
            <w:tcBorders>
              <w:top w:val="single" w:sz="4" w:space="0" w:color="auto"/>
              <w:left w:val="nil"/>
              <w:bottom w:val="nil"/>
              <w:right w:val="single" w:sz="4" w:space="0" w:color="auto"/>
            </w:tcBorders>
            <w:noWrap/>
            <w:hideMark/>
          </w:tcPr>
          <w:p w14:paraId="4CE19456" w14:textId="77777777" w:rsidR="00A74C68" w:rsidRPr="00471CBA" w:rsidRDefault="00A74C68" w:rsidP="00A74C68">
            <w:pPr>
              <w:rPr>
                <w:sz w:val="18"/>
                <w:szCs w:val="18"/>
                <w:lang w:eastAsia="tr-TR"/>
              </w:rPr>
            </w:pPr>
            <w:r w:rsidRPr="00471CBA">
              <w:rPr>
                <w:sz w:val="18"/>
                <w:szCs w:val="18"/>
                <w:lang w:eastAsia="tr-TR"/>
              </w:rPr>
              <w:t>Türev finansal araçlar ile kredi türevlerinin yenileme maliyeti</w:t>
            </w:r>
          </w:p>
        </w:tc>
        <w:tc>
          <w:tcPr>
            <w:tcW w:w="876" w:type="pct"/>
            <w:tcBorders>
              <w:top w:val="single" w:sz="4" w:space="0" w:color="auto"/>
              <w:left w:val="nil"/>
              <w:bottom w:val="nil"/>
              <w:right w:val="single" w:sz="4" w:space="0" w:color="auto"/>
            </w:tcBorders>
            <w:vAlign w:val="bottom"/>
            <w:hideMark/>
          </w:tcPr>
          <w:p w14:paraId="05048BE0" w14:textId="77777777" w:rsidR="00A74C68" w:rsidRPr="00471CBA" w:rsidRDefault="00A74C68" w:rsidP="00A74C68">
            <w:pPr>
              <w:jc w:val="right"/>
              <w:rPr>
                <w:sz w:val="18"/>
                <w:szCs w:val="18"/>
                <w:lang w:eastAsia="tr-TR"/>
              </w:rPr>
            </w:pPr>
            <w:r w:rsidRPr="00471CBA">
              <w:rPr>
                <w:sz w:val="18"/>
                <w:szCs w:val="18"/>
                <w:lang w:eastAsia="tr-TR"/>
              </w:rPr>
              <w:t>2.647.395</w:t>
            </w:r>
          </w:p>
        </w:tc>
        <w:tc>
          <w:tcPr>
            <w:tcW w:w="753" w:type="pct"/>
            <w:tcBorders>
              <w:top w:val="single" w:sz="4" w:space="0" w:color="auto"/>
              <w:left w:val="nil"/>
              <w:bottom w:val="nil"/>
              <w:right w:val="single" w:sz="4" w:space="0" w:color="auto"/>
            </w:tcBorders>
            <w:vAlign w:val="bottom"/>
            <w:hideMark/>
          </w:tcPr>
          <w:p w14:paraId="1A76C1AE" w14:textId="77777777" w:rsidR="00A74C68" w:rsidRPr="00471CBA" w:rsidRDefault="00A74C68" w:rsidP="00A74C68">
            <w:pPr>
              <w:jc w:val="right"/>
              <w:rPr>
                <w:sz w:val="18"/>
                <w:szCs w:val="18"/>
                <w:lang w:eastAsia="tr-TR"/>
              </w:rPr>
            </w:pPr>
            <w:r w:rsidRPr="00471CBA">
              <w:rPr>
                <w:sz w:val="18"/>
                <w:szCs w:val="18"/>
                <w:lang w:eastAsia="tr-TR"/>
              </w:rPr>
              <w:t>128.094</w:t>
            </w:r>
          </w:p>
        </w:tc>
      </w:tr>
      <w:tr w:rsidR="00A74C68" w:rsidRPr="00471CBA" w14:paraId="4775840E" w14:textId="77777777" w:rsidTr="00A74C68">
        <w:trPr>
          <w:divId w:val="373697964"/>
          <w:trHeight w:val="227"/>
        </w:trPr>
        <w:tc>
          <w:tcPr>
            <w:tcW w:w="218" w:type="pct"/>
            <w:tcBorders>
              <w:top w:val="nil"/>
              <w:left w:val="single" w:sz="4" w:space="0" w:color="auto"/>
              <w:bottom w:val="nil"/>
              <w:right w:val="single" w:sz="4" w:space="0" w:color="auto"/>
            </w:tcBorders>
            <w:noWrap/>
            <w:hideMark/>
          </w:tcPr>
          <w:p w14:paraId="2F584636" w14:textId="77777777" w:rsidR="00A74C68" w:rsidRPr="00471CBA" w:rsidRDefault="00A74C68" w:rsidP="00A74C68">
            <w:pPr>
              <w:jc w:val="center"/>
              <w:rPr>
                <w:sz w:val="18"/>
                <w:szCs w:val="18"/>
                <w:lang w:eastAsia="tr-TR"/>
              </w:rPr>
            </w:pPr>
            <w:r w:rsidRPr="00471CBA">
              <w:rPr>
                <w:sz w:val="18"/>
                <w:szCs w:val="18"/>
                <w:lang w:eastAsia="tr-TR"/>
              </w:rPr>
              <w:t>5</w:t>
            </w:r>
          </w:p>
        </w:tc>
        <w:tc>
          <w:tcPr>
            <w:tcW w:w="3153" w:type="pct"/>
            <w:tcBorders>
              <w:top w:val="nil"/>
              <w:left w:val="nil"/>
              <w:bottom w:val="nil"/>
              <w:right w:val="single" w:sz="4" w:space="0" w:color="auto"/>
            </w:tcBorders>
            <w:noWrap/>
            <w:hideMark/>
          </w:tcPr>
          <w:p w14:paraId="688A48FA" w14:textId="77777777" w:rsidR="00A74C68" w:rsidRPr="00471CBA" w:rsidRDefault="00A74C68" w:rsidP="00A74C68">
            <w:pPr>
              <w:rPr>
                <w:sz w:val="18"/>
                <w:szCs w:val="18"/>
                <w:lang w:eastAsia="tr-TR"/>
              </w:rPr>
            </w:pPr>
            <w:r w:rsidRPr="00471CBA">
              <w:rPr>
                <w:sz w:val="18"/>
                <w:szCs w:val="18"/>
                <w:lang w:eastAsia="tr-TR"/>
              </w:rPr>
              <w:t>Türev finansal araçlar ile kredi türevlerinin potansiyel kredi risk tutar</w:t>
            </w:r>
          </w:p>
        </w:tc>
        <w:tc>
          <w:tcPr>
            <w:tcW w:w="876" w:type="pct"/>
            <w:tcBorders>
              <w:top w:val="nil"/>
              <w:left w:val="nil"/>
              <w:bottom w:val="nil"/>
              <w:right w:val="single" w:sz="4" w:space="0" w:color="auto"/>
            </w:tcBorders>
            <w:vAlign w:val="bottom"/>
            <w:hideMark/>
          </w:tcPr>
          <w:p w14:paraId="1C1E83FA" w14:textId="77777777" w:rsidR="00A74C68" w:rsidRPr="00471CBA" w:rsidRDefault="00A74C68" w:rsidP="00A74C68">
            <w:pPr>
              <w:jc w:val="right"/>
              <w:rPr>
                <w:sz w:val="18"/>
                <w:szCs w:val="18"/>
                <w:lang w:eastAsia="tr-TR"/>
              </w:rPr>
            </w:pPr>
            <w:r w:rsidRPr="00471CBA">
              <w:rPr>
                <w:sz w:val="18"/>
                <w:szCs w:val="18"/>
                <w:lang w:eastAsia="tr-TR"/>
              </w:rPr>
              <w:t>1.397.061</w:t>
            </w:r>
          </w:p>
        </w:tc>
        <w:tc>
          <w:tcPr>
            <w:tcW w:w="753" w:type="pct"/>
            <w:tcBorders>
              <w:top w:val="nil"/>
              <w:left w:val="nil"/>
              <w:bottom w:val="nil"/>
              <w:right w:val="single" w:sz="4" w:space="0" w:color="auto"/>
            </w:tcBorders>
            <w:vAlign w:val="bottom"/>
            <w:hideMark/>
          </w:tcPr>
          <w:p w14:paraId="59B9C989" w14:textId="77777777" w:rsidR="00A74C68" w:rsidRPr="00471CBA" w:rsidRDefault="00A74C68" w:rsidP="00A74C68">
            <w:pPr>
              <w:jc w:val="right"/>
              <w:rPr>
                <w:sz w:val="18"/>
                <w:szCs w:val="18"/>
                <w:lang w:eastAsia="tr-TR"/>
              </w:rPr>
            </w:pPr>
            <w:r w:rsidRPr="00471CBA">
              <w:rPr>
                <w:sz w:val="18"/>
                <w:szCs w:val="18"/>
                <w:lang w:eastAsia="tr-TR"/>
              </w:rPr>
              <w:t>53.237</w:t>
            </w:r>
          </w:p>
        </w:tc>
      </w:tr>
      <w:tr w:rsidR="00A74C68" w:rsidRPr="00471CBA" w14:paraId="3EDD83F3" w14:textId="77777777" w:rsidTr="00A74C68">
        <w:trPr>
          <w:divId w:val="373697964"/>
          <w:trHeight w:val="227"/>
        </w:trPr>
        <w:tc>
          <w:tcPr>
            <w:tcW w:w="218" w:type="pct"/>
            <w:tcBorders>
              <w:top w:val="nil"/>
              <w:left w:val="single" w:sz="4" w:space="0" w:color="auto"/>
              <w:bottom w:val="single" w:sz="4" w:space="0" w:color="auto"/>
              <w:right w:val="single" w:sz="4" w:space="0" w:color="auto"/>
            </w:tcBorders>
            <w:noWrap/>
            <w:hideMark/>
          </w:tcPr>
          <w:p w14:paraId="0257ED86" w14:textId="77777777" w:rsidR="00A74C68" w:rsidRPr="00471CBA" w:rsidRDefault="00A74C68" w:rsidP="00A74C68">
            <w:pPr>
              <w:jc w:val="center"/>
              <w:rPr>
                <w:sz w:val="18"/>
                <w:szCs w:val="18"/>
                <w:lang w:eastAsia="tr-TR"/>
              </w:rPr>
            </w:pPr>
            <w:r w:rsidRPr="00471CBA">
              <w:rPr>
                <w:sz w:val="18"/>
                <w:szCs w:val="18"/>
                <w:lang w:eastAsia="tr-TR"/>
              </w:rPr>
              <w:t>6</w:t>
            </w:r>
          </w:p>
        </w:tc>
        <w:tc>
          <w:tcPr>
            <w:tcW w:w="3153" w:type="pct"/>
            <w:tcBorders>
              <w:top w:val="nil"/>
              <w:left w:val="nil"/>
              <w:bottom w:val="single" w:sz="4" w:space="0" w:color="auto"/>
              <w:right w:val="single" w:sz="4" w:space="0" w:color="auto"/>
            </w:tcBorders>
            <w:hideMark/>
          </w:tcPr>
          <w:p w14:paraId="023FD865" w14:textId="77777777" w:rsidR="00A74C68" w:rsidRPr="00471CBA" w:rsidRDefault="00A74C68" w:rsidP="00A74C68">
            <w:pPr>
              <w:rPr>
                <w:sz w:val="18"/>
                <w:szCs w:val="18"/>
                <w:lang w:eastAsia="tr-TR"/>
              </w:rPr>
            </w:pPr>
            <w:r w:rsidRPr="00471CBA">
              <w:rPr>
                <w:sz w:val="18"/>
                <w:szCs w:val="18"/>
                <w:lang w:eastAsia="tr-TR"/>
              </w:rPr>
              <w:t>Türev finansal araçlar ile kredi türevlerine ilişkin toplam risk tutarı (4 ve 5’ inci satırların toplamı)</w:t>
            </w:r>
          </w:p>
        </w:tc>
        <w:tc>
          <w:tcPr>
            <w:tcW w:w="876" w:type="pct"/>
            <w:tcBorders>
              <w:top w:val="nil"/>
              <w:left w:val="nil"/>
              <w:bottom w:val="single" w:sz="4" w:space="0" w:color="auto"/>
              <w:right w:val="single" w:sz="4" w:space="0" w:color="auto"/>
            </w:tcBorders>
            <w:vAlign w:val="bottom"/>
            <w:hideMark/>
          </w:tcPr>
          <w:p w14:paraId="665D3C56" w14:textId="77777777" w:rsidR="00A74C68" w:rsidRPr="00471CBA" w:rsidRDefault="00A74C68" w:rsidP="00A74C68">
            <w:pPr>
              <w:jc w:val="right"/>
              <w:rPr>
                <w:sz w:val="18"/>
                <w:szCs w:val="18"/>
                <w:lang w:eastAsia="tr-TR"/>
              </w:rPr>
            </w:pPr>
            <w:r w:rsidRPr="00471CBA">
              <w:rPr>
                <w:sz w:val="18"/>
                <w:szCs w:val="18"/>
                <w:lang w:eastAsia="tr-TR"/>
              </w:rPr>
              <w:t>4.044.456</w:t>
            </w:r>
          </w:p>
        </w:tc>
        <w:tc>
          <w:tcPr>
            <w:tcW w:w="753" w:type="pct"/>
            <w:tcBorders>
              <w:top w:val="nil"/>
              <w:left w:val="nil"/>
              <w:bottom w:val="single" w:sz="4" w:space="0" w:color="auto"/>
              <w:right w:val="single" w:sz="4" w:space="0" w:color="auto"/>
            </w:tcBorders>
            <w:vAlign w:val="bottom"/>
            <w:hideMark/>
          </w:tcPr>
          <w:p w14:paraId="21E08F13" w14:textId="77777777" w:rsidR="00A74C68" w:rsidRPr="00471CBA" w:rsidRDefault="00A74C68" w:rsidP="00A74C68">
            <w:pPr>
              <w:jc w:val="right"/>
              <w:rPr>
                <w:sz w:val="18"/>
                <w:szCs w:val="18"/>
                <w:lang w:eastAsia="tr-TR"/>
              </w:rPr>
            </w:pPr>
            <w:r w:rsidRPr="00471CBA">
              <w:rPr>
                <w:sz w:val="18"/>
                <w:szCs w:val="18"/>
                <w:lang w:eastAsia="tr-TR"/>
              </w:rPr>
              <w:t>181.331</w:t>
            </w:r>
          </w:p>
        </w:tc>
      </w:tr>
      <w:tr w:rsidR="00A74C68" w:rsidRPr="00471CBA" w14:paraId="2F44EF0C" w14:textId="77777777" w:rsidTr="00A74C68">
        <w:trPr>
          <w:divId w:val="373697964"/>
          <w:trHeight w:val="227"/>
        </w:trPr>
        <w:tc>
          <w:tcPr>
            <w:tcW w:w="218" w:type="pct"/>
            <w:tcBorders>
              <w:top w:val="single" w:sz="4" w:space="0" w:color="auto"/>
              <w:left w:val="single" w:sz="4" w:space="0" w:color="auto"/>
              <w:bottom w:val="single" w:sz="4" w:space="0" w:color="auto"/>
              <w:right w:val="single" w:sz="4" w:space="0" w:color="auto"/>
            </w:tcBorders>
            <w:noWrap/>
            <w:hideMark/>
          </w:tcPr>
          <w:p w14:paraId="531BD605" w14:textId="77777777" w:rsidR="00A74C68" w:rsidRPr="00471CBA" w:rsidRDefault="00A74C68" w:rsidP="00A74C68">
            <w:pPr>
              <w:jc w:val="center"/>
              <w:rPr>
                <w:sz w:val="18"/>
                <w:szCs w:val="18"/>
                <w:lang w:eastAsia="tr-TR"/>
              </w:rPr>
            </w:pPr>
            <w:r w:rsidRPr="00471CBA">
              <w:rPr>
                <w:sz w:val="18"/>
                <w:szCs w:val="18"/>
                <w:lang w:eastAsia="tr-TR"/>
              </w:rPr>
              <w:t> </w:t>
            </w:r>
          </w:p>
        </w:tc>
        <w:tc>
          <w:tcPr>
            <w:tcW w:w="3153" w:type="pct"/>
            <w:tcBorders>
              <w:top w:val="single" w:sz="4" w:space="0" w:color="auto"/>
              <w:left w:val="nil"/>
              <w:bottom w:val="single" w:sz="4" w:space="0" w:color="auto"/>
              <w:right w:val="single" w:sz="4" w:space="0" w:color="auto"/>
            </w:tcBorders>
            <w:noWrap/>
            <w:hideMark/>
          </w:tcPr>
          <w:p w14:paraId="6DEE685D" w14:textId="77777777" w:rsidR="00A74C68" w:rsidRPr="00471CBA" w:rsidRDefault="00A74C68" w:rsidP="00A74C68">
            <w:pPr>
              <w:rPr>
                <w:b/>
                <w:bCs/>
                <w:sz w:val="18"/>
                <w:szCs w:val="18"/>
                <w:lang w:eastAsia="tr-TR"/>
              </w:rPr>
            </w:pPr>
            <w:r w:rsidRPr="00471CBA">
              <w:rPr>
                <w:b/>
                <w:bCs/>
                <w:sz w:val="18"/>
                <w:szCs w:val="18"/>
                <w:lang w:eastAsia="tr-TR"/>
              </w:rPr>
              <w:t>Menkul kıymet veya emtia teminatlı finansman işlemleri</w:t>
            </w:r>
          </w:p>
        </w:tc>
        <w:tc>
          <w:tcPr>
            <w:tcW w:w="876" w:type="pct"/>
            <w:tcBorders>
              <w:top w:val="single" w:sz="4" w:space="0" w:color="auto"/>
              <w:left w:val="nil"/>
              <w:bottom w:val="single" w:sz="4" w:space="0" w:color="auto"/>
              <w:right w:val="single" w:sz="4" w:space="0" w:color="auto"/>
            </w:tcBorders>
            <w:noWrap/>
            <w:vAlign w:val="bottom"/>
            <w:hideMark/>
          </w:tcPr>
          <w:p w14:paraId="6E269CDC" w14:textId="77777777" w:rsidR="00A74C68" w:rsidRPr="00471CBA" w:rsidRDefault="00A74C68" w:rsidP="00A74C68">
            <w:pPr>
              <w:jc w:val="right"/>
              <w:rPr>
                <w:sz w:val="18"/>
                <w:szCs w:val="18"/>
                <w:lang w:eastAsia="tr-TR"/>
              </w:rPr>
            </w:pPr>
            <w:r w:rsidRPr="00471CBA">
              <w:rPr>
                <w:sz w:val="18"/>
                <w:szCs w:val="18"/>
                <w:lang w:eastAsia="tr-TR"/>
              </w:rPr>
              <w:t> </w:t>
            </w:r>
          </w:p>
        </w:tc>
        <w:tc>
          <w:tcPr>
            <w:tcW w:w="753" w:type="pct"/>
            <w:tcBorders>
              <w:top w:val="single" w:sz="4" w:space="0" w:color="auto"/>
              <w:left w:val="nil"/>
              <w:bottom w:val="single" w:sz="4" w:space="0" w:color="auto"/>
              <w:right w:val="single" w:sz="4" w:space="0" w:color="auto"/>
            </w:tcBorders>
            <w:noWrap/>
            <w:vAlign w:val="bottom"/>
            <w:hideMark/>
          </w:tcPr>
          <w:p w14:paraId="5A5CA579" w14:textId="77777777" w:rsidR="00A74C68" w:rsidRPr="00471CBA" w:rsidRDefault="00A74C68" w:rsidP="00A74C68">
            <w:pPr>
              <w:jc w:val="right"/>
              <w:rPr>
                <w:sz w:val="18"/>
                <w:szCs w:val="18"/>
                <w:lang w:eastAsia="tr-TR"/>
              </w:rPr>
            </w:pPr>
            <w:r w:rsidRPr="00471CBA">
              <w:rPr>
                <w:sz w:val="18"/>
                <w:szCs w:val="18"/>
                <w:lang w:eastAsia="tr-TR"/>
              </w:rPr>
              <w:t xml:space="preserve"> </w:t>
            </w:r>
          </w:p>
        </w:tc>
      </w:tr>
      <w:tr w:rsidR="00A74C68" w:rsidRPr="00471CBA" w14:paraId="7C274D5A" w14:textId="77777777" w:rsidTr="00A74C68">
        <w:trPr>
          <w:divId w:val="373697964"/>
          <w:trHeight w:val="227"/>
        </w:trPr>
        <w:tc>
          <w:tcPr>
            <w:tcW w:w="218" w:type="pct"/>
            <w:tcBorders>
              <w:top w:val="single" w:sz="4" w:space="0" w:color="auto"/>
              <w:left w:val="single" w:sz="4" w:space="0" w:color="auto"/>
              <w:bottom w:val="nil"/>
              <w:right w:val="single" w:sz="4" w:space="0" w:color="auto"/>
            </w:tcBorders>
            <w:noWrap/>
            <w:hideMark/>
          </w:tcPr>
          <w:p w14:paraId="02935BE8" w14:textId="77777777" w:rsidR="00A74C68" w:rsidRPr="00471CBA" w:rsidRDefault="00A74C68" w:rsidP="00A74C68">
            <w:pPr>
              <w:jc w:val="center"/>
              <w:rPr>
                <w:sz w:val="18"/>
                <w:szCs w:val="18"/>
                <w:lang w:eastAsia="tr-TR"/>
              </w:rPr>
            </w:pPr>
            <w:r w:rsidRPr="00471CBA">
              <w:rPr>
                <w:sz w:val="18"/>
                <w:szCs w:val="18"/>
                <w:lang w:eastAsia="tr-TR"/>
              </w:rPr>
              <w:t>7</w:t>
            </w:r>
          </w:p>
        </w:tc>
        <w:tc>
          <w:tcPr>
            <w:tcW w:w="3153" w:type="pct"/>
            <w:tcBorders>
              <w:top w:val="single" w:sz="4" w:space="0" w:color="auto"/>
              <w:left w:val="nil"/>
              <w:bottom w:val="nil"/>
              <w:right w:val="single" w:sz="4" w:space="0" w:color="auto"/>
            </w:tcBorders>
            <w:noWrap/>
            <w:hideMark/>
          </w:tcPr>
          <w:p w14:paraId="6A397DC3" w14:textId="77777777" w:rsidR="00A74C68" w:rsidRPr="00471CBA" w:rsidRDefault="00A74C68" w:rsidP="00A74C68">
            <w:pPr>
              <w:rPr>
                <w:sz w:val="18"/>
                <w:szCs w:val="18"/>
                <w:lang w:eastAsia="tr-TR"/>
              </w:rPr>
            </w:pPr>
            <w:r w:rsidRPr="00471CBA">
              <w:rPr>
                <w:sz w:val="18"/>
                <w:szCs w:val="18"/>
                <w:lang w:eastAsia="tr-TR"/>
              </w:rPr>
              <w:t>Menkul kıymet veya emtia teminatlı finansman işlemlerinin risk tutarı (Bilanço içi hariç)</w:t>
            </w:r>
          </w:p>
        </w:tc>
        <w:tc>
          <w:tcPr>
            <w:tcW w:w="876" w:type="pct"/>
            <w:tcBorders>
              <w:top w:val="single" w:sz="4" w:space="0" w:color="auto"/>
              <w:left w:val="nil"/>
              <w:bottom w:val="nil"/>
              <w:right w:val="single" w:sz="4" w:space="0" w:color="auto"/>
            </w:tcBorders>
            <w:noWrap/>
            <w:vAlign w:val="bottom"/>
            <w:hideMark/>
          </w:tcPr>
          <w:p w14:paraId="3A9AA1AC" w14:textId="77777777" w:rsidR="00A74C68" w:rsidRPr="00471CBA" w:rsidRDefault="00A74C68" w:rsidP="00A74C68">
            <w:pPr>
              <w:jc w:val="right"/>
              <w:rPr>
                <w:sz w:val="18"/>
                <w:szCs w:val="18"/>
                <w:lang w:eastAsia="tr-TR"/>
              </w:rPr>
            </w:pPr>
            <w:r w:rsidRPr="00471CBA">
              <w:rPr>
                <w:sz w:val="18"/>
                <w:szCs w:val="18"/>
                <w:lang w:eastAsia="tr-TR"/>
              </w:rPr>
              <w:t>-</w:t>
            </w:r>
          </w:p>
        </w:tc>
        <w:tc>
          <w:tcPr>
            <w:tcW w:w="753" w:type="pct"/>
            <w:tcBorders>
              <w:top w:val="single" w:sz="4" w:space="0" w:color="auto"/>
              <w:left w:val="nil"/>
              <w:bottom w:val="nil"/>
              <w:right w:val="single" w:sz="4" w:space="0" w:color="auto"/>
            </w:tcBorders>
            <w:noWrap/>
            <w:vAlign w:val="bottom"/>
            <w:hideMark/>
          </w:tcPr>
          <w:p w14:paraId="59390951" w14:textId="77777777" w:rsidR="00A74C68" w:rsidRPr="00471CBA" w:rsidRDefault="00A74C68" w:rsidP="00A74C68">
            <w:pPr>
              <w:jc w:val="right"/>
              <w:rPr>
                <w:sz w:val="18"/>
                <w:szCs w:val="18"/>
                <w:lang w:eastAsia="tr-TR"/>
              </w:rPr>
            </w:pPr>
            <w:r w:rsidRPr="00471CBA">
              <w:rPr>
                <w:sz w:val="18"/>
                <w:szCs w:val="18"/>
                <w:lang w:eastAsia="tr-TR"/>
              </w:rPr>
              <w:t>-</w:t>
            </w:r>
          </w:p>
        </w:tc>
      </w:tr>
      <w:tr w:rsidR="00A74C68" w:rsidRPr="00471CBA" w14:paraId="524D8C84" w14:textId="77777777" w:rsidTr="00A74C68">
        <w:trPr>
          <w:divId w:val="373697964"/>
          <w:trHeight w:val="227"/>
        </w:trPr>
        <w:tc>
          <w:tcPr>
            <w:tcW w:w="218" w:type="pct"/>
            <w:tcBorders>
              <w:top w:val="nil"/>
              <w:left w:val="single" w:sz="4" w:space="0" w:color="auto"/>
              <w:bottom w:val="nil"/>
              <w:right w:val="single" w:sz="4" w:space="0" w:color="auto"/>
            </w:tcBorders>
            <w:noWrap/>
            <w:hideMark/>
          </w:tcPr>
          <w:p w14:paraId="0ACF693D" w14:textId="77777777" w:rsidR="00A74C68" w:rsidRPr="00471CBA" w:rsidRDefault="00A74C68" w:rsidP="00A74C68">
            <w:pPr>
              <w:jc w:val="center"/>
              <w:rPr>
                <w:sz w:val="18"/>
                <w:szCs w:val="18"/>
                <w:lang w:eastAsia="tr-TR"/>
              </w:rPr>
            </w:pPr>
            <w:r w:rsidRPr="00471CBA">
              <w:rPr>
                <w:sz w:val="18"/>
                <w:szCs w:val="18"/>
                <w:lang w:eastAsia="tr-TR"/>
              </w:rPr>
              <w:t>8</w:t>
            </w:r>
          </w:p>
        </w:tc>
        <w:tc>
          <w:tcPr>
            <w:tcW w:w="3153" w:type="pct"/>
            <w:tcBorders>
              <w:top w:val="nil"/>
              <w:left w:val="nil"/>
              <w:bottom w:val="nil"/>
              <w:right w:val="single" w:sz="4" w:space="0" w:color="auto"/>
            </w:tcBorders>
            <w:noWrap/>
            <w:hideMark/>
          </w:tcPr>
          <w:p w14:paraId="5205003B" w14:textId="77777777" w:rsidR="00A74C68" w:rsidRPr="00471CBA" w:rsidRDefault="00A74C68" w:rsidP="00A74C68">
            <w:pPr>
              <w:rPr>
                <w:sz w:val="18"/>
                <w:szCs w:val="18"/>
                <w:lang w:eastAsia="tr-TR"/>
              </w:rPr>
            </w:pPr>
            <w:r w:rsidRPr="00471CBA">
              <w:rPr>
                <w:sz w:val="18"/>
                <w:szCs w:val="18"/>
                <w:lang w:eastAsia="tr-TR"/>
              </w:rPr>
              <w:t>Aracılık edilen işlemlerden kaynaklanan risk tutarı</w:t>
            </w:r>
          </w:p>
        </w:tc>
        <w:tc>
          <w:tcPr>
            <w:tcW w:w="876" w:type="pct"/>
            <w:tcBorders>
              <w:top w:val="nil"/>
              <w:left w:val="nil"/>
              <w:bottom w:val="nil"/>
              <w:right w:val="single" w:sz="4" w:space="0" w:color="auto"/>
            </w:tcBorders>
            <w:vAlign w:val="bottom"/>
            <w:hideMark/>
          </w:tcPr>
          <w:p w14:paraId="24E6C4AE" w14:textId="77777777" w:rsidR="00A74C68" w:rsidRPr="00471CBA" w:rsidRDefault="00A74C68" w:rsidP="00A74C68">
            <w:pPr>
              <w:jc w:val="right"/>
              <w:rPr>
                <w:sz w:val="18"/>
                <w:szCs w:val="18"/>
                <w:lang w:eastAsia="tr-TR"/>
              </w:rPr>
            </w:pPr>
            <w:r w:rsidRPr="00471CBA">
              <w:rPr>
                <w:sz w:val="18"/>
                <w:szCs w:val="18"/>
                <w:lang w:eastAsia="tr-TR"/>
              </w:rPr>
              <w:t>-</w:t>
            </w:r>
          </w:p>
        </w:tc>
        <w:tc>
          <w:tcPr>
            <w:tcW w:w="753" w:type="pct"/>
            <w:tcBorders>
              <w:top w:val="nil"/>
              <w:left w:val="nil"/>
              <w:bottom w:val="nil"/>
              <w:right w:val="single" w:sz="4" w:space="0" w:color="auto"/>
            </w:tcBorders>
            <w:vAlign w:val="bottom"/>
            <w:hideMark/>
          </w:tcPr>
          <w:p w14:paraId="44141A9B" w14:textId="77777777" w:rsidR="00A74C68" w:rsidRPr="00471CBA" w:rsidRDefault="00A74C68" w:rsidP="00A74C68">
            <w:pPr>
              <w:jc w:val="right"/>
              <w:rPr>
                <w:sz w:val="18"/>
                <w:szCs w:val="18"/>
                <w:lang w:eastAsia="tr-TR"/>
              </w:rPr>
            </w:pPr>
            <w:r w:rsidRPr="00471CBA">
              <w:rPr>
                <w:sz w:val="18"/>
                <w:szCs w:val="18"/>
                <w:lang w:eastAsia="tr-TR"/>
              </w:rPr>
              <w:t>-</w:t>
            </w:r>
          </w:p>
        </w:tc>
      </w:tr>
      <w:tr w:rsidR="00A74C68" w:rsidRPr="00471CBA" w14:paraId="5B6D453B" w14:textId="77777777" w:rsidTr="00A74C68">
        <w:trPr>
          <w:divId w:val="373697964"/>
          <w:trHeight w:val="227"/>
        </w:trPr>
        <w:tc>
          <w:tcPr>
            <w:tcW w:w="218" w:type="pct"/>
            <w:tcBorders>
              <w:top w:val="nil"/>
              <w:left w:val="single" w:sz="4" w:space="0" w:color="auto"/>
              <w:bottom w:val="single" w:sz="4" w:space="0" w:color="auto"/>
              <w:right w:val="single" w:sz="4" w:space="0" w:color="auto"/>
            </w:tcBorders>
            <w:noWrap/>
            <w:hideMark/>
          </w:tcPr>
          <w:p w14:paraId="0414867D" w14:textId="77777777" w:rsidR="00A74C68" w:rsidRPr="00471CBA" w:rsidRDefault="00A74C68" w:rsidP="00A74C68">
            <w:pPr>
              <w:jc w:val="center"/>
              <w:rPr>
                <w:sz w:val="18"/>
                <w:szCs w:val="18"/>
                <w:lang w:eastAsia="tr-TR"/>
              </w:rPr>
            </w:pPr>
            <w:r w:rsidRPr="00471CBA">
              <w:rPr>
                <w:sz w:val="18"/>
                <w:szCs w:val="18"/>
                <w:lang w:eastAsia="tr-TR"/>
              </w:rPr>
              <w:t>9</w:t>
            </w:r>
          </w:p>
        </w:tc>
        <w:tc>
          <w:tcPr>
            <w:tcW w:w="3153" w:type="pct"/>
            <w:tcBorders>
              <w:top w:val="nil"/>
              <w:left w:val="nil"/>
              <w:bottom w:val="single" w:sz="4" w:space="0" w:color="auto"/>
              <w:right w:val="single" w:sz="4" w:space="0" w:color="auto"/>
            </w:tcBorders>
            <w:hideMark/>
          </w:tcPr>
          <w:p w14:paraId="2278176B" w14:textId="77777777" w:rsidR="00A74C68" w:rsidRPr="00471CBA" w:rsidRDefault="00A74C68" w:rsidP="00A74C68">
            <w:pPr>
              <w:rPr>
                <w:sz w:val="18"/>
                <w:szCs w:val="18"/>
                <w:lang w:eastAsia="tr-TR"/>
              </w:rPr>
            </w:pPr>
            <w:r w:rsidRPr="00471CBA">
              <w:rPr>
                <w:sz w:val="18"/>
                <w:szCs w:val="18"/>
                <w:lang w:eastAsia="tr-TR"/>
              </w:rPr>
              <w:t>Menkul kıymet veya emtia teminatlı finansman işlemlerine ilişkin toplam risk tutarı (7 ve 8’inci satırların toplamı)</w:t>
            </w:r>
          </w:p>
        </w:tc>
        <w:tc>
          <w:tcPr>
            <w:tcW w:w="876" w:type="pct"/>
            <w:tcBorders>
              <w:top w:val="nil"/>
              <w:left w:val="nil"/>
              <w:bottom w:val="single" w:sz="4" w:space="0" w:color="auto"/>
              <w:right w:val="single" w:sz="4" w:space="0" w:color="auto"/>
            </w:tcBorders>
            <w:vAlign w:val="bottom"/>
            <w:hideMark/>
          </w:tcPr>
          <w:p w14:paraId="74272B93" w14:textId="77777777" w:rsidR="00A74C68" w:rsidRPr="00471CBA" w:rsidRDefault="00A74C68" w:rsidP="00A74C68">
            <w:pPr>
              <w:jc w:val="right"/>
              <w:rPr>
                <w:sz w:val="18"/>
                <w:szCs w:val="18"/>
                <w:lang w:eastAsia="tr-TR"/>
              </w:rPr>
            </w:pPr>
            <w:r w:rsidRPr="00471CBA">
              <w:rPr>
                <w:sz w:val="18"/>
                <w:szCs w:val="18"/>
                <w:lang w:eastAsia="tr-TR"/>
              </w:rPr>
              <w:t>-</w:t>
            </w:r>
          </w:p>
        </w:tc>
        <w:tc>
          <w:tcPr>
            <w:tcW w:w="753" w:type="pct"/>
            <w:tcBorders>
              <w:top w:val="nil"/>
              <w:left w:val="nil"/>
              <w:bottom w:val="single" w:sz="4" w:space="0" w:color="auto"/>
              <w:right w:val="single" w:sz="4" w:space="0" w:color="auto"/>
            </w:tcBorders>
            <w:vAlign w:val="bottom"/>
            <w:hideMark/>
          </w:tcPr>
          <w:p w14:paraId="1DBFA017" w14:textId="77777777" w:rsidR="00A74C68" w:rsidRPr="00471CBA" w:rsidRDefault="00A74C68" w:rsidP="00A74C68">
            <w:pPr>
              <w:jc w:val="right"/>
              <w:rPr>
                <w:sz w:val="18"/>
                <w:szCs w:val="18"/>
                <w:lang w:eastAsia="tr-TR"/>
              </w:rPr>
            </w:pPr>
            <w:r w:rsidRPr="00471CBA">
              <w:rPr>
                <w:sz w:val="18"/>
                <w:szCs w:val="18"/>
                <w:lang w:eastAsia="tr-TR"/>
              </w:rPr>
              <w:t>-</w:t>
            </w:r>
          </w:p>
        </w:tc>
      </w:tr>
      <w:tr w:rsidR="00A74C68" w:rsidRPr="00471CBA" w14:paraId="0961F006" w14:textId="77777777" w:rsidTr="00A74C68">
        <w:trPr>
          <w:divId w:val="373697964"/>
          <w:trHeight w:val="227"/>
        </w:trPr>
        <w:tc>
          <w:tcPr>
            <w:tcW w:w="218" w:type="pct"/>
            <w:tcBorders>
              <w:top w:val="single" w:sz="4" w:space="0" w:color="auto"/>
              <w:left w:val="single" w:sz="4" w:space="0" w:color="auto"/>
              <w:bottom w:val="single" w:sz="4" w:space="0" w:color="auto"/>
              <w:right w:val="single" w:sz="4" w:space="0" w:color="auto"/>
            </w:tcBorders>
            <w:noWrap/>
            <w:hideMark/>
          </w:tcPr>
          <w:p w14:paraId="0A05CF17" w14:textId="77777777" w:rsidR="00A74C68" w:rsidRPr="00471CBA" w:rsidRDefault="00A74C68" w:rsidP="00A74C68">
            <w:pPr>
              <w:jc w:val="center"/>
              <w:rPr>
                <w:sz w:val="18"/>
                <w:szCs w:val="18"/>
                <w:lang w:eastAsia="tr-TR"/>
              </w:rPr>
            </w:pPr>
            <w:r w:rsidRPr="00471CBA">
              <w:rPr>
                <w:sz w:val="18"/>
                <w:szCs w:val="18"/>
                <w:lang w:eastAsia="tr-TR"/>
              </w:rPr>
              <w:t> </w:t>
            </w:r>
          </w:p>
        </w:tc>
        <w:tc>
          <w:tcPr>
            <w:tcW w:w="3153" w:type="pct"/>
            <w:tcBorders>
              <w:top w:val="single" w:sz="4" w:space="0" w:color="auto"/>
              <w:left w:val="nil"/>
              <w:bottom w:val="single" w:sz="4" w:space="0" w:color="auto"/>
              <w:right w:val="single" w:sz="4" w:space="0" w:color="auto"/>
            </w:tcBorders>
            <w:noWrap/>
            <w:hideMark/>
          </w:tcPr>
          <w:p w14:paraId="1BE652FD" w14:textId="77777777" w:rsidR="00A74C68" w:rsidRPr="00471CBA" w:rsidRDefault="00A74C68" w:rsidP="00A74C68">
            <w:pPr>
              <w:rPr>
                <w:b/>
                <w:bCs/>
                <w:sz w:val="18"/>
                <w:szCs w:val="18"/>
                <w:lang w:eastAsia="tr-TR"/>
              </w:rPr>
            </w:pPr>
            <w:r w:rsidRPr="00471CBA">
              <w:rPr>
                <w:b/>
                <w:bCs/>
                <w:sz w:val="18"/>
                <w:szCs w:val="18"/>
                <w:lang w:eastAsia="tr-TR"/>
              </w:rPr>
              <w:t>Bilanço dışı işlemler</w:t>
            </w:r>
          </w:p>
        </w:tc>
        <w:tc>
          <w:tcPr>
            <w:tcW w:w="876" w:type="pct"/>
            <w:tcBorders>
              <w:top w:val="single" w:sz="4" w:space="0" w:color="auto"/>
              <w:left w:val="nil"/>
              <w:bottom w:val="single" w:sz="4" w:space="0" w:color="auto"/>
              <w:right w:val="single" w:sz="4" w:space="0" w:color="auto"/>
            </w:tcBorders>
            <w:noWrap/>
            <w:vAlign w:val="bottom"/>
            <w:hideMark/>
          </w:tcPr>
          <w:p w14:paraId="6E0A7F23" w14:textId="77777777" w:rsidR="00A74C68" w:rsidRPr="00471CBA" w:rsidRDefault="00A74C68" w:rsidP="00A74C68">
            <w:pPr>
              <w:jc w:val="right"/>
              <w:rPr>
                <w:sz w:val="18"/>
                <w:szCs w:val="18"/>
                <w:lang w:eastAsia="tr-TR"/>
              </w:rPr>
            </w:pPr>
            <w:r w:rsidRPr="00471CBA">
              <w:rPr>
                <w:sz w:val="18"/>
                <w:szCs w:val="18"/>
                <w:lang w:eastAsia="tr-TR"/>
              </w:rPr>
              <w:t> </w:t>
            </w:r>
          </w:p>
        </w:tc>
        <w:tc>
          <w:tcPr>
            <w:tcW w:w="753" w:type="pct"/>
            <w:tcBorders>
              <w:top w:val="single" w:sz="4" w:space="0" w:color="auto"/>
              <w:left w:val="nil"/>
              <w:bottom w:val="single" w:sz="4" w:space="0" w:color="auto"/>
              <w:right w:val="single" w:sz="4" w:space="0" w:color="auto"/>
            </w:tcBorders>
            <w:noWrap/>
            <w:vAlign w:val="bottom"/>
            <w:hideMark/>
          </w:tcPr>
          <w:p w14:paraId="23BC49A4" w14:textId="77777777" w:rsidR="00A74C68" w:rsidRPr="00471CBA" w:rsidRDefault="00A74C68" w:rsidP="00A74C68">
            <w:pPr>
              <w:jc w:val="right"/>
              <w:rPr>
                <w:sz w:val="18"/>
                <w:szCs w:val="18"/>
                <w:lang w:eastAsia="tr-TR"/>
              </w:rPr>
            </w:pPr>
            <w:r w:rsidRPr="00471CBA">
              <w:rPr>
                <w:sz w:val="18"/>
                <w:szCs w:val="18"/>
                <w:lang w:eastAsia="tr-TR"/>
              </w:rPr>
              <w:t xml:space="preserve"> </w:t>
            </w:r>
          </w:p>
        </w:tc>
      </w:tr>
      <w:tr w:rsidR="00A74C68" w:rsidRPr="00471CBA" w14:paraId="5E019921" w14:textId="77777777" w:rsidTr="00A74C68">
        <w:trPr>
          <w:divId w:val="373697964"/>
          <w:trHeight w:val="227"/>
        </w:trPr>
        <w:tc>
          <w:tcPr>
            <w:tcW w:w="218" w:type="pct"/>
            <w:tcBorders>
              <w:top w:val="single" w:sz="4" w:space="0" w:color="auto"/>
              <w:left w:val="single" w:sz="4" w:space="0" w:color="auto"/>
              <w:bottom w:val="nil"/>
              <w:right w:val="single" w:sz="4" w:space="0" w:color="auto"/>
            </w:tcBorders>
            <w:noWrap/>
            <w:hideMark/>
          </w:tcPr>
          <w:p w14:paraId="0D41C8AF" w14:textId="77777777" w:rsidR="00A74C68" w:rsidRPr="00471CBA" w:rsidRDefault="00A74C68" w:rsidP="00A74C68">
            <w:pPr>
              <w:jc w:val="center"/>
              <w:rPr>
                <w:sz w:val="18"/>
                <w:szCs w:val="18"/>
                <w:lang w:eastAsia="tr-TR"/>
              </w:rPr>
            </w:pPr>
            <w:r w:rsidRPr="00471CBA">
              <w:rPr>
                <w:sz w:val="18"/>
                <w:szCs w:val="18"/>
                <w:lang w:eastAsia="tr-TR"/>
              </w:rPr>
              <w:t>10</w:t>
            </w:r>
          </w:p>
        </w:tc>
        <w:tc>
          <w:tcPr>
            <w:tcW w:w="3153" w:type="pct"/>
            <w:tcBorders>
              <w:top w:val="single" w:sz="4" w:space="0" w:color="auto"/>
              <w:left w:val="nil"/>
              <w:bottom w:val="nil"/>
              <w:right w:val="single" w:sz="4" w:space="0" w:color="auto"/>
            </w:tcBorders>
            <w:hideMark/>
          </w:tcPr>
          <w:p w14:paraId="2FBCA563" w14:textId="77777777" w:rsidR="00A74C68" w:rsidRPr="00471CBA" w:rsidRDefault="00A74C68" w:rsidP="00A74C68">
            <w:pPr>
              <w:rPr>
                <w:sz w:val="18"/>
                <w:szCs w:val="18"/>
                <w:lang w:eastAsia="tr-TR"/>
              </w:rPr>
            </w:pPr>
            <w:r w:rsidRPr="00471CBA">
              <w:rPr>
                <w:sz w:val="18"/>
                <w:szCs w:val="18"/>
                <w:lang w:eastAsia="tr-TR"/>
              </w:rPr>
              <w:t>Bilanço dışı işlemlerin brüt nominal tutarı</w:t>
            </w:r>
          </w:p>
        </w:tc>
        <w:tc>
          <w:tcPr>
            <w:tcW w:w="876" w:type="pct"/>
            <w:tcBorders>
              <w:top w:val="single" w:sz="4" w:space="0" w:color="auto"/>
              <w:left w:val="nil"/>
              <w:bottom w:val="nil"/>
              <w:right w:val="single" w:sz="4" w:space="0" w:color="auto"/>
            </w:tcBorders>
            <w:noWrap/>
            <w:vAlign w:val="bottom"/>
            <w:hideMark/>
          </w:tcPr>
          <w:p w14:paraId="73218933" w14:textId="77777777" w:rsidR="00A74C68" w:rsidRPr="00471CBA" w:rsidRDefault="00A74C68" w:rsidP="00A74C68">
            <w:pPr>
              <w:jc w:val="right"/>
              <w:rPr>
                <w:sz w:val="18"/>
                <w:szCs w:val="18"/>
                <w:lang w:eastAsia="tr-TR"/>
              </w:rPr>
            </w:pPr>
            <w:r w:rsidRPr="00471CBA">
              <w:rPr>
                <w:sz w:val="18"/>
                <w:szCs w:val="18"/>
                <w:lang w:eastAsia="tr-TR"/>
              </w:rPr>
              <w:t>24.774.979</w:t>
            </w:r>
          </w:p>
        </w:tc>
        <w:tc>
          <w:tcPr>
            <w:tcW w:w="753" w:type="pct"/>
            <w:tcBorders>
              <w:top w:val="single" w:sz="4" w:space="0" w:color="auto"/>
              <w:left w:val="nil"/>
              <w:bottom w:val="nil"/>
              <w:right w:val="single" w:sz="4" w:space="0" w:color="auto"/>
            </w:tcBorders>
            <w:noWrap/>
            <w:vAlign w:val="bottom"/>
            <w:hideMark/>
          </w:tcPr>
          <w:p w14:paraId="6899593E" w14:textId="77777777" w:rsidR="00A74C68" w:rsidRPr="00471CBA" w:rsidRDefault="00A74C68" w:rsidP="00A74C68">
            <w:pPr>
              <w:jc w:val="right"/>
              <w:rPr>
                <w:sz w:val="18"/>
                <w:szCs w:val="18"/>
                <w:lang w:eastAsia="tr-TR"/>
              </w:rPr>
            </w:pPr>
            <w:r w:rsidRPr="00471CBA">
              <w:rPr>
                <w:sz w:val="18"/>
                <w:szCs w:val="18"/>
                <w:lang w:eastAsia="tr-TR"/>
              </w:rPr>
              <w:t>15.091.191</w:t>
            </w:r>
          </w:p>
        </w:tc>
      </w:tr>
      <w:tr w:rsidR="00A74C68" w:rsidRPr="00471CBA" w14:paraId="6BB4D652" w14:textId="77777777" w:rsidTr="00A74C68">
        <w:trPr>
          <w:divId w:val="373697964"/>
          <w:trHeight w:val="227"/>
        </w:trPr>
        <w:tc>
          <w:tcPr>
            <w:tcW w:w="218" w:type="pct"/>
            <w:tcBorders>
              <w:top w:val="nil"/>
              <w:left w:val="single" w:sz="4" w:space="0" w:color="auto"/>
              <w:bottom w:val="nil"/>
              <w:right w:val="single" w:sz="4" w:space="0" w:color="auto"/>
            </w:tcBorders>
            <w:noWrap/>
            <w:hideMark/>
          </w:tcPr>
          <w:p w14:paraId="7E5C7F9F" w14:textId="77777777" w:rsidR="00A74C68" w:rsidRPr="00471CBA" w:rsidRDefault="00A74C68" w:rsidP="00A74C68">
            <w:pPr>
              <w:jc w:val="center"/>
              <w:rPr>
                <w:sz w:val="18"/>
                <w:szCs w:val="18"/>
                <w:lang w:eastAsia="tr-TR"/>
              </w:rPr>
            </w:pPr>
            <w:r w:rsidRPr="00471CBA">
              <w:rPr>
                <w:sz w:val="18"/>
                <w:szCs w:val="18"/>
                <w:lang w:eastAsia="tr-TR"/>
              </w:rPr>
              <w:t>11</w:t>
            </w:r>
          </w:p>
        </w:tc>
        <w:tc>
          <w:tcPr>
            <w:tcW w:w="3153" w:type="pct"/>
            <w:tcBorders>
              <w:top w:val="nil"/>
              <w:left w:val="nil"/>
              <w:bottom w:val="nil"/>
              <w:right w:val="single" w:sz="4" w:space="0" w:color="auto"/>
            </w:tcBorders>
            <w:noWrap/>
            <w:hideMark/>
          </w:tcPr>
          <w:p w14:paraId="3D98E189" w14:textId="77777777" w:rsidR="00A74C68" w:rsidRPr="00471CBA" w:rsidRDefault="00A74C68" w:rsidP="00A74C68">
            <w:pPr>
              <w:rPr>
                <w:sz w:val="18"/>
                <w:szCs w:val="18"/>
                <w:lang w:eastAsia="tr-TR"/>
              </w:rPr>
            </w:pPr>
            <w:r w:rsidRPr="00471CBA">
              <w:rPr>
                <w:sz w:val="18"/>
                <w:szCs w:val="18"/>
                <w:lang w:eastAsia="tr-TR"/>
              </w:rPr>
              <w:t>(Krediye dönüştürme oranları ile çarpımdan kaynaklanan düzeltme tutarı)</w:t>
            </w:r>
          </w:p>
        </w:tc>
        <w:tc>
          <w:tcPr>
            <w:tcW w:w="876" w:type="pct"/>
            <w:tcBorders>
              <w:top w:val="nil"/>
              <w:left w:val="nil"/>
              <w:bottom w:val="nil"/>
              <w:right w:val="single" w:sz="4" w:space="0" w:color="auto"/>
            </w:tcBorders>
            <w:vAlign w:val="bottom"/>
            <w:hideMark/>
          </w:tcPr>
          <w:p w14:paraId="2D111877" w14:textId="77777777" w:rsidR="00A74C68" w:rsidRPr="00471CBA" w:rsidRDefault="00A74C68" w:rsidP="00A74C68">
            <w:pPr>
              <w:jc w:val="right"/>
              <w:rPr>
                <w:sz w:val="18"/>
                <w:szCs w:val="18"/>
                <w:lang w:eastAsia="tr-TR"/>
              </w:rPr>
            </w:pPr>
            <w:r w:rsidRPr="00471CBA">
              <w:rPr>
                <w:sz w:val="18"/>
                <w:szCs w:val="18"/>
                <w:lang w:eastAsia="tr-TR"/>
              </w:rPr>
              <w:t>-</w:t>
            </w:r>
          </w:p>
        </w:tc>
        <w:tc>
          <w:tcPr>
            <w:tcW w:w="753" w:type="pct"/>
            <w:tcBorders>
              <w:top w:val="nil"/>
              <w:left w:val="nil"/>
              <w:bottom w:val="nil"/>
              <w:right w:val="single" w:sz="4" w:space="0" w:color="auto"/>
            </w:tcBorders>
            <w:vAlign w:val="bottom"/>
            <w:hideMark/>
          </w:tcPr>
          <w:p w14:paraId="03E462F4" w14:textId="77777777" w:rsidR="00A74C68" w:rsidRPr="00471CBA" w:rsidRDefault="00A74C68" w:rsidP="00A74C68">
            <w:pPr>
              <w:jc w:val="right"/>
              <w:rPr>
                <w:sz w:val="18"/>
                <w:szCs w:val="18"/>
                <w:lang w:eastAsia="tr-TR"/>
              </w:rPr>
            </w:pPr>
            <w:r w:rsidRPr="00471CBA">
              <w:rPr>
                <w:sz w:val="18"/>
                <w:szCs w:val="18"/>
                <w:lang w:eastAsia="tr-TR"/>
              </w:rPr>
              <w:t>-</w:t>
            </w:r>
          </w:p>
        </w:tc>
      </w:tr>
      <w:tr w:rsidR="00A74C68" w:rsidRPr="00471CBA" w14:paraId="1A62D0A8" w14:textId="77777777" w:rsidTr="00A74C68">
        <w:trPr>
          <w:divId w:val="373697964"/>
          <w:trHeight w:val="227"/>
        </w:trPr>
        <w:tc>
          <w:tcPr>
            <w:tcW w:w="218" w:type="pct"/>
            <w:tcBorders>
              <w:top w:val="nil"/>
              <w:left w:val="single" w:sz="4" w:space="0" w:color="auto"/>
              <w:bottom w:val="single" w:sz="4" w:space="0" w:color="auto"/>
              <w:right w:val="single" w:sz="4" w:space="0" w:color="auto"/>
            </w:tcBorders>
            <w:noWrap/>
            <w:hideMark/>
          </w:tcPr>
          <w:p w14:paraId="138F0406" w14:textId="77777777" w:rsidR="00A74C68" w:rsidRPr="00471CBA" w:rsidRDefault="00A74C68" w:rsidP="00A74C68">
            <w:pPr>
              <w:jc w:val="center"/>
              <w:rPr>
                <w:sz w:val="18"/>
                <w:szCs w:val="18"/>
                <w:lang w:eastAsia="tr-TR"/>
              </w:rPr>
            </w:pPr>
            <w:r w:rsidRPr="00471CBA">
              <w:rPr>
                <w:sz w:val="18"/>
                <w:szCs w:val="18"/>
                <w:lang w:eastAsia="tr-TR"/>
              </w:rPr>
              <w:t>12</w:t>
            </w:r>
          </w:p>
        </w:tc>
        <w:tc>
          <w:tcPr>
            <w:tcW w:w="3153" w:type="pct"/>
            <w:tcBorders>
              <w:top w:val="nil"/>
              <w:left w:val="nil"/>
              <w:bottom w:val="single" w:sz="4" w:space="0" w:color="auto"/>
              <w:right w:val="single" w:sz="4" w:space="0" w:color="auto"/>
            </w:tcBorders>
            <w:hideMark/>
          </w:tcPr>
          <w:p w14:paraId="709A13F2" w14:textId="77777777" w:rsidR="00A74C68" w:rsidRPr="00471CBA" w:rsidRDefault="00A74C68" w:rsidP="00A74C68">
            <w:pPr>
              <w:rPr>
                <w:sz w:val="18"/>
                <w:szCs w:val="18"/>
                <w:lang w:eastAsia="tr-TR"/>
              </w:rPr>
            </w:pPr>
            <w:r w:rsidRPr="00471CBA">
              <w:rPr>
                <w:sz w:val="18"/>
                <w:szCs w:val="18"/>
                <w:lang w:eastAsia="tr-TR"/>
              </w:rPr>
              <w:t>Bilanço dışı işlemlere ilişkin toplam risk tutarı (10 ve 11’inci satırların toplamı)</w:t>
            </w:r>
          </w:p>
        </w:tc>
        <w:tc>
          <w:tcPr>
            <w:tcW w:w="876" w:type="pct"/>
            <w:tcBorders>
              <w:top w:val="nil"/>
              <w:left w:val="nil"/>
              <w:bottom w:val="single" w:sz="4" w:space="0" w:color="auto"/>
              <w:right w:val="single" w:sz="4" w:space="0" w:color="auto"/>
            </w:tcBorders>
            <w:vAlign w:val="bottom"/>
            <w:hideMark/>
          </w:tcPr>
          <w:p w14:paraId="61FC2CD7" w14:textId="77777777" w:rsidR="00A74C68" w:rsidRPr="00471CBA" w:rsidRDefault="00A74C68" w:rsidP="00A74C68">
            <w:pPr>
              <w:jc w:val="right"/>
              <w:rPr>
                <w:sz w:val="18"/>
                <w:szCs w:val="18"/>
                <w:lang w:eastAsia="tr-TR"/>
              </w:rPr>
            </w:pPr>
            <w:r w:rsidRPr="00471CBA">
              <w:rPr>
                <w:sz w:val="18"/>
                <w:szCs w:val="18"/>
                <w:lang w:eastAsia="tr-TR"/>
              </w:rPr>
              <w:t>24.774.979</w:t>
            </w:r>
          </w:p>
        </w:tc>
        <w:tc>
          <w:tcPr>
            <w:tcW w:w="753" w:type="pct"/>
            <w:tcBorders>
              <w:top w:val="nil"/>
              <w:left w:val="nil"/>
              <w:bottom w:val="single" w:sz="4" w:space="0" w:color="auto"/>
              <w:right w:val="single" w:sz="4" w:space="0" w:color="auto"/>
            </w:tcBorders>
            <w:vAlign w:val="bottom"/>
            <w:hideMark/>
          </w:tcPr>
          <w:p w14:paraId="22510CBF" w14:textId="77777777" w:rsidR="00A74C68" w:rsidRPr="00471CBA" w:rsidRDefault="00A74C68" w:rsidP="00A74C68">
            <w:pPr>
              <w:jc w:val="right"/>
              <w:rPr>
                <w:sz w:val="18"/>
                <w:szCs w:val="18"/>
                <w:lang w:eastAsia="tr-TR"/>
              </w:rPr>
            </w:pPr>
            <w:r w:rsidRPr="00471CBA">
              <w:rPr>
                <w:sz w:val="18"/>
                <w:szCs w:val="18"/>
                <w:lang w:eastAsia="tr-TR"/>
              </w:rPr>
              <w:t>15.091.191</w:t>
            </w:r>
          </w:p>
        </w:tc>
      </w:tr>
      <w:tr w:rsidR="00A74C68" w:rsidRPr="00471CBA" w14:paraId="4682E247" w14:textId="77777777" w:rsidTr="00A74C68">
        <w:trPr>
          <w:divId w:val="373697964"/>
          <w:trHeight w:val="227"/>
        </w:trPr>
        <w:tc>
          <w:tcPr>
            <w:tcW w:w="218" w:type="pct"/>
            <w:tcBorders>
              <w:top w:val="single" w:sz="4" w:space="0" w:color="auto"/>
              <w:left w:val="single" w:sz="4" w:space="0" w:color="auto"/>
              <w:bottom w:val="single" w:sz="4" w:space="0" w:color="auto"/>
              <w:right w:val="single" w:sz="4" w:space="0" w:color="auto"/>
            </w:tcBorders>
            <w:noWrap/>
            <w:hideMark/>
          </w:tcPr>
          <w:p w14:paraId="5BEB8BA1" w14:textId="77777777" w:rsidR="00A74C68" w:rsidRPr="00471CBA" w:rsidRDefault="00A74C68" w:rsidP="00A74C68">
            <w:pPr>
              <w:jc w:val="center"/>
              <w:rPr>
                <w:sz w:val="18"/>
                <w:szCs w:val="18"/>
                <w:lang w:eastAsia="tr-TR"/>
              </w:rPr>
            </w:pPr>
            <w:r w:rsidRPr="00471CBA">
              <w:rPr>
                <w:sz w:val="18"/>
                <w:szCs w:val="18"/>
                <w:lang w:eastAsia="tr-TR"/>
              </w:rPr>
              <w:t> </w:t>
            </w:r>
          </w:p>
        </w:tc>
        <w:tc>
          <w:tcPr>
            <w:tcW w:w="3153" w:type="pct"/>
            <w:tcBorders>
              <w:top w:val="single" w:sz="4" w:space="0" w:color="auto"/>
              <w:left w:val="nil"/>
              <w:bottom w:val="single" w:sz="4" w:space="0" w:color="auto"/>
              <w:right w:val="single" w:sz="4" w:space="0" w:color="auto"/>
            </w:tcBorders>
            <w:noWrap/>
            <w:hideMark/>
          </w:tcPr>
          <w:p w14:paraId="76588E14" w14:textId="77777777" w:rsidR="00A74C68" w:rsidRPr="00471CBA" w:rsidRDefault="00A74C68" w:rsidP="00A74C68">
            <w:pPr>
              <w:rPr>
                <w:b/>
                <w:bCs/>
                <w:sz w:val="18"/>
                <w:szCs w:val="18"/>
                <w:lang w:eastAsia="tr-TR"/>
              </w:rPr>
            </w:pPr>
            <w:r w:rsidRPr="00471CBA">
              <w:rPr>
                <w:b/>
                <w:bCs/>
                <w:sz w:val="18"/>
                <w:szCs w:val="18"/>
                <w:lang w:eastAsia="tr-TR"/>
              </w:rPr>
              <w:t>Sermaye ve toplam risk</w:t>
            </w:r>
          </w:p>
        </w:tc>
        <w:tc>
          <w:tcPr>
            <w:tcW w:w="876" w:type="pct"/>
            <w:tcBorders>
              <w:top w:val="single" w:sz="4" w:space="0" w:color="auto"/>
              <w:left w:val="nil"/>
              <w:bottom w:val="single" w:sz="4" w:space="0" w:color="auto"/>
              <w:right w:val="single" w:sz="4" w:space="0" w:color="auto"/>
            </w:tcBorders>
            <w:noWrap/>
            <w:vAlign w:val="bottom"/>
            <w:hideMark/>
          </w:tcPr>
          <w:p w14:paraId="3E4F995D" w14:textId="77777777" w:rsidR="00A74C68" w:rsidRPr="00471CBA" w:rsidRDefault="00A74C68" w:rsidP="00A74C68">
            <w:pPr>
              <w:jc w:val="right"/>
              <w:rPr>
                <w:sz w:val="18"/>
                <w:szCs w:val="18"/>
                <w:lang w:eastAsia="tr-TR"/>
              </w:rPr>
            </w:pPr>
            <w:r w:rsidRPr="00471CBA">
              <w:rPr>
                <w:sz w:val="18"/>
                <w:szCs w:val="18"/>
                <w:lang w:eastAsia="tr-TR"/>
              </w:rPr>
              <w:t> </w:t>
            </w:r>
          </w:p>
        </w:tc>
        <w:tc>
          <w:tcPr>
            <w:tcW w:w="753" w:type="pct"/>
            <w:tcBorders>
              <w:top w:val="single" w:sz="4" w:space="0" w:color="auto"/>
              <w:left w:val="nil"/>
              <w:bottom w:val="single" w:sz="4" w:space="0" w:color="auto"/>
              <w:right w:val="single" w:sz="4" w:space="0" w:color="auto"/>
            </w:tcBorders>
            <w:noWrap/>
            <w:vAlign w:val="bottom"/>
            <w:hideMark/>
          </w:tcPr>
          <w:p w14:paraId="0EBB679E" w14:textId="77777777" w:rsidR="00A74C68" w:rsidRPr="00471CBA" w:rsidRDefault="00A74C68" w:rsidP="00A74C68">
            <w:pPr>
              <w:jc w:val="right"/>
              <w:rPr>
                <w:sz w:val="18"/>
                <w:szCs w:val="18"/>
                <w:lang w:eastAsia="tr-TR"/>
              </w:rPr>
            </w:pPr>
            <w:r w:rsidRPr="00471CBA">
              <w:rPr>
                <w:sz w:val="18"/>
                <w:szCs w:val="18"/>
                <w:lang w:eastAsia="tr-TR"/>
              </w:rPr>
              <w:t xml:space="preserve"> </w:t>
            </w:r>
          </w:p>
        </w:tc>
      </w:tr>
      <w:tr w:rsidR="00A74C68" w:rsidRPr="00471CBA" w14:paraId="33DB5868" w14:textId="77777777" w:rsidTr="00A74C68">
        <w:trPr>
          <w:divId w:val="373697964"/>
          <w:trHeight w:val="227"/>
        </w:trPr>
        <w:tc>
          <w:tcPr>
            <w:tcW w:w="218" w:type="pct"/>
            <w:tcBorders>
              <w:top w:val="single" w:sz="4" w:space="0" w:color="auto"/>
              <w:left w:val="single" w:sz="4" w:space="0" w:color="auto"/>
              <w:bottom w:val="nil"/>
              <w:right w:val="single" w:sz="4" w:space="0" w:color="auto"/>
            </w:tcBorders>
            <w:noWrap/>
            <w:hideMark/>
          </w:tcPr>
          <w:p w14:paraId="262F9B61" w14:textId="77777777" w:rsidR="00A74C68" w:rsidRPr="00471CBA" w:rsidRDefault="00A74C68" w:rsidP="00A74C68">
            <w:pPr>
              <w:jc w:val="center"/>
              <w:rPr>
                <w:sz w:val="18"/>
                <w:szCs w:val="18"/>
                <w:lang w:eastAsia="tr-TR"/>
              </w:rPr>
            </w:pPr>
            <w:r w:rsidRPr="00471CBA">
              <w:rPr>
                <w:sz w:val="18"/>
                <w:szCs w:val="18"/>
                <w:lang w:eastAsia="tr-TR"/>
              </w:rPr>
              <w:t>13</w:t>
            </w:r>
          </w:p>
        </w:tc>
        <w:tc>
          <w:tcPr>
            <w:tcW w:w="3153" w:type="pct"/>
            <w:tcBorders>
              <w:top w:val="single" w:sz="4" w:space="0" w:color="auto"/>
              <w:left w:val="nil"/>
              <w:bottom w:val="nil"/>
              <w:right w:val="single" w:sz="4" w:space="0" w:color="auto"/>
            </w:tcBorders>
            <w:hideMark/>
          </w:tcPr>
          <w:p w14:paraId="0B68AD10" w14:textId="77777777" w:rsidR="00A74C68" w:rsidRPr="00471CBA" w:rsidRDefault="00A74C68" w:rsidP="00A74C68">
            <w:pPr>
              <w:rPr>
                <w:sz w:val="18"/>
                <w:szCs w:val="18"/>
                <w:lang w:eastAsia="tr-TR"/>
              </w:rPr>
            </w:pPr>
            <w:r w:rsidRPr="00471CBA">
              <w:rPr>
                <w:sz w:val="18"/>
                <w:szCs w:val="18"/>
                <w:lang w:eastAsia="tr-TR"/>
              </w:rPr>
              <w:t>Ana sermaye</w:t>
            </w:r>
          </w:p>
        </w:tc>
        <w:tc>
          <w:tcPr>
            <w:tcW w:w="876" w:type="pct"/>
            <w:tcBorders>
              <w:top w:val="single" w:sz="4" w:space="0" w:color="auto"/>
              <w:left w:val="nil"/>
              <w:bottom w:val="nil"/>
              <w:right w:val="single" w:sz="4" w:space="0" w:color="auto"/>
            </w:tcBorders>
            <w:vAlign w:val="bottom"/>
            <w:hideMark/>
          </w:tcPr>
          <w:p w14:paraId="49C3E39A" w14:textId="77777777" w:rsidR="00A74C68" w:rsidRPr="00471CBA" w:rsidRDefault="00A74C68" w:rsidP="00A74C68">
            <w:pPr>
              <w:jc w:val="right"/>
              <w:rPr>
                <w:sz w:val="18"/>
                <w:szCs w:val="18"/>
                <w:lang w:eastAsia="tr-TR"/>
              </w:rPr>
            </w:pPr>
            <w:r w:rsidRPr="00471CBA">
              <w:rPr>
                <w:sz w:val="18"/>
                <w:szCs w:val="18"/>
                <w:lang w:eastAsia="tr-TR"/>
              </w:rPr>
              <w:t>8.680.519</w:t>
            </w:r>
          </w:p>
        </w:tc>
        <w:tc>
          <w:tcPr>
            <w:tcW w:w="753" w:type="pct"/>
            <w:tcBorders>
              <w:top w:val="single" w:sz="4" w:space="0" w:color="auto"/>
              <w:left w:val="nil"/>
              <w:bottom w:val="nil"/>
              <w:right w:val="single" w:sz="4" w:space="0" w:color="auto"/>
            </w:tcBorders>
            <w:vAlign w:val="bottom"/>
            <w:hideMark/>
          </w:tcPr>
          <w:p w14:paraId="7AFF6BE6" w14:textId="77777777" w:rsidR="00A74C68" w:rsidRPr="00471CBA" w:rsidRDefault="00A74C68" w:rsidP="00A74C68">
            <w:pPr>
              <w:jc w:val="right"/>
              <w:rPr>
                <w:sz w:val="18"/>
                <w:szCs w:val="18"/>
                <w:lang w:eastAsia="tr-TR"/>
              </w:rPr>
            </w:pPr>
            <w:r w:rsidRPr="00471CBA">
              <w:rPr>
                <w:sz w:val="18"/>
                <w:szCs w:val="18"/>
                <w:lang w:eastAsia="tr-TR"/>
              </w:rPr>
              <w:t>6.917.686</w:t>
            </w:r>
          </w:p>
        </w:tc>
      </w:tr>
      <w:tr w:rsidR="00A74C68" w:rsidRPr="00471CBA" w14:paraId="6E25E1DE" w14:textId="77777777" w:rsidTr="00A74C68">
        <w:trPr>
          <w:divId w:val="373697964"/>
          <w:trHeight w:val="227"/>
        </w:trPr>
        <w:tc>
          <w:tcPr>
            <w:tcW w:w="218" w:type="pct"/>
            <w:tcBorders>
              <w:top w:val="nil"/>
              <w:left w:val="single" w:sz="4" w:space="0" w:color="auto"/>
              <w:bottom w:val="single" w:sz="4" w:space="0" w:color="auto"/>
              <w:right w:val="single" w:sz="4" w:space="0" w:color="auto"/>
            </w:tcBorders>
            <w:noWrap/>
            <w:hideMark/>
          </w:tcPr>
          <w:p w14:paraId="00DB5F62" w14:textId="77777777" w:rsidR="00A74C68" w:rsidRPr="00471CBA" w:rsidRDefault="00A74C68" w:rsidP="00A74C68">
            <w:pPr>
              <w:jc w:val="center"/>
              <w:rPr>
                <w:sz w:val="18"/>
                <w:szCs w:val="18"/>
                <w:lang w:eastAsia="tr-TR"/>
              </w:rPr>
            </w:pPr>
            <w:r w:rsidRPr="00471CBA">
              <w:rPr>
                <w:sz w:val="18"/>
                <w:szCs w:val="18"/>
                <w:lang w:eastAsia="tr-TR"/>
              </w:rPr>
              <w:t>14</w:t>
            </w:r>
          </w:p>
        </w:tc>
        <w:tc>
          <w:tcPr>
            <w:tcW w:w="3153" w:type="pct"/>
            <w:tcBorders>
              <w:top w:val="nil"/>
              <w:left w:val="nil"/>
              <w:bottom w:val="single" w:sz="4" w:space="0" w:color="auto"/>
              <w:right w:val="single" w:sz="4" w:space="0" w:color="auto"/>
            </w:tcBorders>
            <w:noWrap/>
            <w:hideMark/>
          </w:tcPr>
          <w:p w14:paraId="7AE6DEA8" w14:textId="77777777" w:rsidR="00A74C68" w:rsidRPr="00471CBA" w:rsidRDefault="00A74C68" w:rsidP="00A74C68">
            <w:pPr>
              <w:rPr>
                <w:sz w:val="18"/>
                <w:szCs w:val="18"/>
                <w:lang w:eastAsia="tr-TR"/>
              </w:rPr>
            </w:pPr>
            <w:r w:rsidRPr="00471CBA">
              <w:rPr>
                <w:sz w:val="18"/>
                <w:szCs w:val="18"/>
                <w:lang w:eastAsia="tr-TR"/>
              </w:rPr>
              <w:t>Toplam risk tutarı (3, 6, 9 ve 12’nci satırların toplamı)</w:t>
            </w:r>
          </w:p>
        </w:tc>
        <w:tc>
          <w:tcPr>
            <w:tcW w:w="876" w:type="pct"/>
            <w:tcBorders>
              <w:top w:val="nil"/>
              <w:left w:val="nil"/>
              <w:bottom w:val="single" w:sz="4" w:space="0" w:color="auto"/>
              <w:right w:val="single" w:sz="4" w:space="0" w:color="auto"/>
            </w:tcBorders>
            <w:vAlign w:val="bottom"/>
            <w:hideMark/>
          </w:tcPr>
          <w:p w14:paraId="05F8CBBF" w14:textId="77777777" w:rsidR="00A74C68" w:rsidRPr="00471CBA" w:rsidRDefault="00A74C68" w:rsidP="00A74C68">
            <w:pPr>
              <w:jc w:val="right"/>
              <w:rPr>
                <w:sz w:val="18"/>
                <w:szCs w:val="18"/>
                <w:lang w:eastAsia="tr-TR"/>
              </w:rPr>
            </w:pPr>
            <w:r w:rsidRPr="00471CBA">
              <w:rPr>
                <w:sz w:val="18"/>
                <w:szCs w:val="18"/>
                <w:lang w:eastAsia="tr-TR"/>
              </w:rPr>
              <w:t>112.927.613</w:t>
            </w:r>
          </w:p>
        </w:tc>
        <w:tc>
          <w:tcPr>
            <w:tcW w:w="753" w:type="pct"/>
            <w:tcBorders>
              <w:top w:val="nil"/>
              <w:left w:val="nil"/>
              <w:bottom w:val="single" w:sz="4" w:space="0" w:color="auto"/>
              <w:right w:val="single" w:sz="4" w:space="0" w:color="auto"/>
            </w:tcBorders>
            <w:vAlign w:val="bottom"/>
            <w:hideMark/>
          </w:tcPr>
          <w:p w14:paraId="34AD0F04" w14:textId="77777777" w:rsidR="00A74C68" w:rsidRPr="00471CBA" w:rsidRDefault="00A74C68" w:rsidP="00A74C68">
            <w:pPr>
              <w:jc w:val="right"/>
              <w:rPr>
                <w:sz w:val="18"/>
                <w:szCs w:val="18"/>
                <w:lang w:eastAsia="tr-TR"/>
              </w:rPr>
            </w:pPr>
            <w:r w:rsidRPr="00471CBA">
              <w:rPr>
                <w:sz w:val="18"/>
                <w:szCs w:val="18"/>
                <w:lang w:eastAsia="tr-TR"/>
              </w:rPr>
              <w:t>44.111.439</w:t>
            </w:r>
          </w:p>
        </w:tc>
      </w:tr>
      <w:tr w:rsidR="00A74C68" w:rsidRPr="00471CBA" w14:paraId="1146212A" w14:textId="77777777" w:rsidTr="00A74C68">
        <w:trPr>
          <w:divId w:val="373697964"/>
          <w:trHeight w:val="227"/>
        </w:trPr>
        <w:tc>
          <w:tcPr>
            <w:tcW w:w="218" w:type="pct"/>
            <w:tcBorders>
              <w:top w:val="single" w:sz="4" w:space="0" w:color="auto"/>
              <w:left w:val="single" w:sz="4" w:space="0" w:color="auto"/>
              <w:bottom w:val="single" w:sz="4" w:space="0" w:color="auto"/>
              <w:right w:val="single" w:sz="4" w:space="0" w:color="auto"/>
            </w:tcBorders>
            <w:noWrap/>
            <w:hideMark/>
          </w:tcPr>
          <w:p w14:paraId="3E57048C" w14:textId="77777777" w:rsidR="00A74C68" w:rsidRPr="00471CBA" w:rsidRDefault="00A74C68" w:rsidP="00A74C68">
            <w:pPr>
              <w:jc w:val="center"/>
              <w:rPr>
                <w:sz w:val="18"/>
                <w:szCs w:val="18"/>
                <w:lang w:eastAsia="tr-TR"/>
              </w:rPr>
            </w:pPr>
            <w:r w:rsidRPr="00471CBA">
              <w:rPr>
                <w:sz w:val="18"/>
                <w:szCs w:val="18"/>
                <w:lang w:eastAsia="tr-TR"/>
              </w:rPr>
              <w:t> </w:t>
            </w:r>
          </w:p>
        </w:tc>
        <w:tc>
          <w:tcPr>
            <w:tcW w:w="3153" w:type="pct"/>
            <w:tcBorders>
              <w:top w:val="single" w:sz="4" w:space="0" w:color="auto"/>
              <w:left w:val="nil"/>
              <w:bottom w:val="single" w:sz="4" w:space="0" w:color="auto"/>
              <w:right w:val="single" w:sz="4" w:space="0" w:color="auto"/>
            </w:tcBorders>
            <w:hideMark/>
          </w:tcPr>
          <w:p w14:paraId="2B56554A" w14:textId="77777777" w:rsidR="00A74C68" w:rsidRPr="00471CBA" w:rsidRDefault="00A74C68" w:rsidP="00A74C68">
            <w:pPr>
              <w:rPr>
                <w:b/>
                <w:bCs/>
                <w:sz w:val="18"/>
                <w:szCs w:val="18"/>
                <w:lang w:eastAsia="tr-TR"/>
              </w:rPr>
            </w:pPr>
            <w:r w:rsidRPr="00471CBA">
              <w:rPr>
                <w:b/>
                <w:bCs/>
                <w:sz w:val="18"/>
                <w:szCs w:val="18"/>
                <w:lang w:eastAsia="tr-TR"/>
              </w:rPr>
              <w:t>Kaldıraç oranı</w:t>
            </w:r>
          </w:p>
        </w:tc>
        <w:tc>
          <w:tcPr>
            <w:tcW w:w="876" w:type="pct"/>
            <w:tcBorders>
              <w:top w:val="single" w:sz="4" w:space="0" w:color="auto"/>
              <w:left w:val="nil"/>
              <w:bottom w:val="single" w:sz="4" w:space="0" w:color="auto"/>
              <w:right w:val="single" w:sz="4" w:space="0" w:color="auto"/>
            </w:tcBorders>
            <w:noWrap/>
            <w:vAlign w:val="bottom"/>
            <w:hideMark/>
          </w:tcPr>
          <w:p w14:paraId="2A12B6F9" w14:textId="77777777" w:rsidR="00A74C68" w:rsidRPr="00471CBA" w:rsidRDefault="00A74C68" w:rsidP="00A74C68">
            <w:pPr>
              <w:jc w:val="right"/>
              <w:rPr>
                <w:sz w:val="18"/>
                <w:szCs w:val="18"/>
                <w:lang w:eastAsia="tr-TR"/>
              </w:rPr>
            </w:pPr>
            <w:r w:rsidRPr="00471CBA">
              <w:rPr>
                <w:sz w:val="18"/>
                <w:szCs w:val="18"/>
                <w:lang w:eastAsia="tr-TR"/>
              </w:rPr>
              <w:t> </w:t>
            </w:r>
          </w:p>
        </w:tc>
        <w:tc>
          <w:tcPr>
            <w:tcW w:w="753" w:type="pct"/>
            <w:tcBorders>
              <w:top w:val="single" w:sz="4" w:space="0" w:color="auto"/>
              <w:left w:val="nil"/>
              <w:bottom w:val="single" w:sz="4" w:space="0" w:color="auto"/>
              <w:right w:val="single" w:sz="4" w:space="0" w:color="auto"/>
            </w:tcBorders>
            <w:noWrap/>
            <w:vAlign w:val="bottom"/>
            <w:hideMark/>
          </w:tcPr>
          <w:p w14:paraId="2B02460D" w14:textId="77777777" w:rsidR="00A74C68" w:rsidRPr="00471CBA" w:rsidRDefault="00A74C68" w:rsidP="00A74C68">
            <w:pPr>
              <w:jc w:val="right"/>
              <w:rPr>
                <w:sz w:val="18"/>
                <w:szCs w:val="18"/>
                <w:lang w:eastAsia="tr-TR"/>
              </w:rPr>
            </w:pPr>
            <w:r w:rsidRPr="00471CBA">
              <w:rPr>
                <w:sz w:val="18"/>
                <w:szCs w:val="18"/>
                <w:lang w:eastAsia="tr-TR"/>
              </w:rPr>
              <w:t xml:space="preserve"> </w:t>
            </w:r>
          </w:p>
        </w:tc>
      </w:tr>
      <w:tr w:rsidR="00A74C68" w:rsidRPr="00471CBA" w14:paraId="6CD75308" w14:textId="77777777" w:rsidTr="00A74C68">
        <w:trPr>
          <w:divId w:val="373697964"/>
          <w:trHeight w:val="227"/>
        </w:trPr>
        <w:tc>
          <w:tcPr>
            <w:tcW w:w="218" w:type="pct"/>
            <w:tcBorders>
              <w:top w:val="single" w:sz="4" w:space="0" w:color="auto"/>
              <w:left w:val="single" w:sz="4" w:space="0" w:color="auto"/>
              <w:bottom w:val="single" w:sz="4" w:space="0" w:color="auto"/>
              <w:right w:val="single" w:sz="4" w:space="0" w:color="auto"/>
            </w:tcBorders>
            <w:noWrap/>
            <w:hideMark/>
          </w:tcPr>
          <w:p w14:paraId="4A7303D3" w14:textId="77777777" w:rsidR="00A74C68" w:rsidRPr="00471CBA" w:rsidRDefault="00A74C68" w:rsidP="00A74C68">
            <w:pPr>
              <w:jc w:val="center"/>
              <w:rPr>
                <w:sz w:val="18"/>
                <w:szCs w:val="18"/>
                <w:lang w:eastAsia="tr-TR"/>
              </w:rPr>
            </w:pPr>
            <w:r w:rsidRPr="00471CBA">
              <w:rPr>
                <w:sz w:val="18"/>
                <w:szCs w:val="18"/>
                <w:lang w:eastAsia="tr-TR"/>
              </w:rPr>
              <w:t>15</w:t>
            </w:r>
          </w:p>
        </w:tc>
        <w:tc>
          <w:tcPr>
            <w:tcW w:w="3153" w:type="pct"/>
            <w:tcBorders>
              <w:top w:val="single" w:sz="4" w:space="0" w:color="auto"/>
              <w:left w:val="nil"/>
              <w:bottom w:val="single" w:sz="4" w:space="0" w:color="auto"/>
              <w:right w:val="single" w:sz="4" w:space="0" w:color="auto"/>
            </w:tcBorders>
            <w:noWrap/>
            <w:hideMark/>
          </w:tcPr>
          <w:p w14:paraId="39669F01" w14:textId="77777777" w:rsidR="00A74C68" w:rsidRPr="00471CBA" w:rsidRDefault="00A74C68" w:rsidP="00A74C68">
            <w:pPr>
              <w:rPr>
                <w:sz w:val="18"/>
                <w:szCs w:val="18"/>
                <w:lang w:eastAsia="tr-TR"/>
              </w:rPr>
            </w:pPr>
            <w:r w:rsidRPr="00471CBA">
              <w:rPr>
                <w:sz w:val="18"/>
                <w:szCs w:val="18"/>
                <w:lang w:eastAsia="tr-TR"/>
              </w:rPr>
              <w:t>Kaldıraç oranı (%)</w:t>
            </w:r>
          </w:p>
        </w:tc>
        <w:tc>
          <w:tcPr>
            <w:tcW w:w="876" w:type="pct"/>
            <w:tcBorders>
              <w:top w:val="single" w:sz="4" w:space="0" w:color="auto"/>
              <w:left w:val="nil"/>
              <w:bottom w:val="single" w:sz="4" w:space="0" w:color="auto"/>
              <w:right w:val="single" w:sz="4" w:space="0" w:color="auto"/>
            </w:tcBorders>
            <w:vAlign w:val="bottom"/>
            <w:hideMark/>
          </w:tcPr>
          <w:p w14:paraId="30EEABAD" w14:textId="77777777" w:rsidR="00A74C68" w:rsidRPr="00471CBA" w:rsidRDefault="00A74C68" w:rsidP="00A74C68">
            <w:pPr>
              <w:jc w:val="right"/>
              <w:rPr>
                <w:sz w:val="18"/>
                <w:szCs w:val="18"/>
                <w:lang w:eastAsia="tr-TR"/>
              </w:rPr>
            </w:pPr>
            <w:r w:rsidRPr="00471CBA">
              <w:rPr>
                <w:sz w:val="18"/>
                <w:szCs w:val="18"/>
                <w:lang w:eastAsia="tr-TR"/>
              </w:rPr>
              <w:t>7,69</w:t>
            </w:r>
          </w:p>
        </w:tc>
        <w:tc>
          <w:tcPr>
            <w:tcW w:w="753" w:type="pct"/>
            <w:tcBorders>
              <w:top w:val="single" w:sz="4" w:space="0" w:color="auto"/>
              <w:left w:val="nil"/>
              <w:bottom w:val="single" w:sz="4" w:space="0" w:color="auto"/>
              <w:right w:val="single" w:sz="4" w:space="0" w:color="auto"/>
            </w:tcBorders>
            <w:vAlign w:val="bottom"/>
            <w:hideMark/>
          </w:tcPr>
          <w:p w14:paraId="4F3CDC2C" w14:textId="77777777" w:rsidR="00A74C68" w:rsidRPr="00471CBA" w:rsidRDefault="00A74C68" w:rsidP="00A74C68">
            <w:pPr>
              <w:jc w:val="right"/>
              <w:rPr>
                <w:sz w:val="18"/>
                <w:szCs w:val="18"/>
                <w:lang w:eastAsia="tr-TR"/>
              </w:rPr>
            </w:pPr>
            <w:r w:rsidRPr="00471CBA">
              <w:rPr>
                <w:sz w:val="18"/>
                <w:szCs w:val="18"/>
                <w:lang w:eastAsia="tr-TR"/>
              </w:rPr>
              <w:t>15,68</w:t>
            </w:r>
          </w:p>
        </w:tc>
      </w:tr>
    </w:tbl>
    <w:p w14:paraId="1E0BD1C2" w14:textId="343B215B" w:rsidR="006A5354" w:rsidRPr="00471CBA" w:rsidRDefault="006A5354" w:rsidP="00CE7194">
      <w:pPr>
        <w:rPr>
          <w:sz w:val="14"/>
          <w:szCs w:val="18"/>
        </w:rPr>
      </w:pPr>
    </w:p>
    <w:p w14:paraId="232CECB2" w14:textId="7D0E0612" w:rsidR="0081485D" w:rsidRPr="00471CBA" w:rsidRDefault="0081485D" w:rsidP="00F95068">
      <w:pPr>
        <w:widowControl w:val="0"/>
        <w:ind w:left="426" w:hanging="425"/>
        <w:rPr>
          <w:color w:val="000000"/>
          <w:sz w:val="18"/>
          <w:szCs w:val="18"/>
        </w:rPr>
      </w:pPr>
      <w:r w:rsidRPr="00471CBA">
        <w:rPr>
          <w:color w:val="000000"/>
          <w:sz w:val="18"/>
          <w:szCs w:val="18"/>
          <w:vertAlign w:val="superscript"/>
        </w:rPr>
        <w:t>(*)</w:t>
      </w:r>
      <w:r w:rsidR="009B482B" w:rsidRPr="00471CBA">
        <w:rPr>
          <w:color w:val="000000"/>
          <w:sz w:val="18"/>
          <w:szCs w:val="18"/>
        </w:rPr>
        <w:tab/>
      </w:r>
      <w:r w:rsidR="00DB0EAB" w:rsidRPr="00471CBA">
        <w:rPr>
          <w:color w:val="000000"/>
          <w:sz w:val="18"/>
          <w:szCs w:val="18"/>
        </w:rPr>
        <w:t>Üç aylık</w:t>
      </w:r>
      <w:r w:rsidRPr="00471CBA">
        <w:rPr>
          <w:color w:val="000000"/>
          <w:sz w:val="18"/>
          <w:szCs w:val="18"/>
        </w:rPr>
        <w:t xml:space="preserve"> ortalama tutarlardır.</w:t>
      </w:r>
    </w:p>
    <w:p w14:paraId="04B1BA70" w14:textId="11321F5E" w:rsidR="00DD1C5A" w:rsidRPr="00471CBA" w:rsidRDefault="00DD1C5A">
      <w:pPr>
        <w:widowControl w:val="0"/>
        <w:ind w:right="6921"/>
        <w:rPr>
          <w:color w:val="000000"/>
          <w:szCs w:val="20"/>
        </w:rPr>
      </w:pPr>
      <w:r w:rsidRPr="00471CBA">
        <w:rPr>
          <w:color w:val="000000"/>
          <w:szCs w:val="20"/>
        </w:rPr>
        <w:br w:type="page"/>
      </w:r>
    </w:p>
    <w:p w14:paraId="317157A8" w14:textId="77777777" w:rsidR="00DD1C5A" w:rsidRPr="00471CBA" w:rsidRDefault="00DD1C5A" w:rsidP="00DD1C5A">
      <w:pPr>
        <w:pStyle w:val="GvdeMetniGirintisi"/>
        <w:widowControl w:val="0"/>
        <w:ind w:firstLine="0"/>
        <w:jc w:val="left"/>
        <w:rPr>
          <w:b/>
          <w:szCs w:val="20"/>
        </w:rPr>
      </w:pPr>
      <w:r w:rsidRPr="00471CBA">
        <w:rPr>
          <w:b/>
          <w:szCs w:val="20"/>
        </w:rPr>
        <w:t>MALİ BÜNYEYE VE RİSK YÖNETİMİNE İLİŞKİN BİLGİLER (Devamı)</w:t>
      </w:r>
    </w:p>
    <w:p w14:paraId="44DE5A3F" w14:textId="77777777" w:rsidR="00F91828" w:rsidRPr="00471CBA" w:rsidRDefault="00F91828" w:rsidP="00F91828">
      <w:pPr>
        <w:widowControl w:val="0"/>
        <w:ind w:right="6921"/>
        <w:rPr>
          <w:color w:val="000000"/>
          <w:szCs w:val="20"/>
        </w:rPr>
      </w:pPr>
    </w:p>
    <w:p w14:paraId="2138F9E1" w14:textId="77777777" w:rsidR="00F91828" w:rsidRPr="00471CBA" w:rsidRDefault="00F91828" w:rsidP="00F36B82">
      <w:pPr>
        <w:widowControl w:val="0"/>
        <w:autoSpaceDE w:val="0"/>
        <w:autoSpaceDN w:val="0"/>
        <w:adjustRightInd w:val="0"/>
        <w:ind w:left="851" w:hanging="851"/>
        <w:jc w:val="both"/>
        <w:rPr>
          <w:b/>
          <w:szCs w:val="20"/>
        </w:rPr>
      </w:pPr>
      <w:bookmarkStart w:id="58" w:name="_Hlk190422215"/>
      <w:r w:rsidRPr="00471CBA">
        <w:rPr>
          <w:b/>
          <w:szCs w:val="20"/>
        </w:rPr>
        <w:t xml:space="preserve">VII. </w:t>
      </w:r>
      <w:r w:rsidRPr="00471CBA">
        <w:rPr>
          <w:b/>
          <w:szCs w:val="20"/>
        </w:rPr>
        <w:tab/>
        <w:t>FİNANSAL VARLIK VE BORÇLARIN GERÇEĞE UYGUN DEĞERİ İLE GÖSTERİLMESİNE İLİŞKİN AÇIKLAMALAR</w:t>
      </w:r>
    </w:p>
    <w:bookmarkEnd w:id="58"/>
    <w:p w14:paraId="21D70229" w14:textId="77777777" w:rsidR="00F91828" w:rsidRPr="00471CBA" w:rsidRDefault="00F91828" w:rsidP="00F91828">
      <w:pPr>
        <w:widowControl w:val="0"/>
        <w:ind w:right="117"/>
        <w:jc w:val="both"/>
        <w:rPr>
          <w:szCs w:val="20"/>
        </w:rPr>
      </w:pPr>
    </w:p>
    <w:p w14:paraId="507A9511" w14:textId="77777777" w:rsidR="00F91828" w:rsidRPr="00471CBA" w:rsidRDefault="00F91828" w:rsidP="008459A9">
      <w:pPr>
        <w:pStyle w:val="ListeParagraf"/>
        <w:numPr>
          <w:ilvl w:val="0"/>
          <w:numId w:val="94"/>
        </w:numPr>
        <w:spacing w:after="120"/>
        <w:ind w:left="0" w:right="117" w:firstLine="0"/>
        <w:rPr>
          <w:szCs w:val="20"/>
        </w:rPr>
      </w:pPr>
      <w:r w:rsidRPr="00471CBA">
        <w:rPr>
          <w:rFonts w:eastAsia="Arial Unicode MS"/>
          <w:b/>
        </w:rPr>
        <w:t>Finansal varlık ve yükümlülüklerin gerçeğe uygun değerine ilişkin bilgiler:</w:t>
      </w:r>
    </w:p>
    <w:p w14:paraId="09B59388" w14:textId="4B4350A9" w:rsidR="00F91828" w:rsidRPr="00471CBA" w:rsidRDefault="00F91828" w:rsidP="00F91828">
      <w:pPr>
        <w:autoSpaceDE w:val="0"/>
        <w:autoSpaceDN w:val="0"/>
        <w:adjustRightInd w:val="0"/>
        <w:ind w:left="14" w:right="117" w:hanging="14"/>
        <w:jc w:val="both"/>
        <w:rPr>
          <w:rFonts w:eastAsia="Arial Unicode MS"/>
        </w:rPr>
      </w:pPr>
      <w:r w:rsidRPr="00471CBA">
        <w:rPr>
          <w:rFonts w:eastAsia="Arial Unicode MS"/>
        </w:rPr>
        <w:t xml:space="preserve">Aşağıdaki tablo, bazı finansal varlık ve yükümlülüklerin defter değeri ile gerçeğe uygun değerini göstermektedir. Defter değeri ilgili varlık ve yükümlülüklerin elde etme bedeli ve birikmiş </w:t>
      </w:r>
      <w:r w:rsidR="00CD36BD" w:rsidRPr="00471CBA">
        <w:rPr>
          <w:rFonts w:eastAsia="Arial Unicode MS"/>
        </w:rPr>
        <w:t>kâr</w:t>
      </w:r>
      <w:r w:rsidRPr="00471CBA">
        <w:rPr>
          <w:rFonts w:eastAsia="Arial Unicode MS"/>
        </w:rPr>
        <w:t xml:space="preserve"> payı reeskontlarının toplamını ifade etmektedir. </w:t>
      </w:r>
    </w:p>
    <w:p w14:paraId="15E98088" w14:textId="77777777" w:rsidR="00F91828" w:rsidRPr="00471CBA" w:rsidRDefault="00F91828" w:rsidP="00F91828">
      <w:pPr>
        <w:autoSpaceDE w:val="0"/>
        <w:autoSpaceDN w:val="0"/>
        <w:adjustRightInd w:val="0"/>
        <w:spacing w:before="120"/>
        <w:ind w:left="14" w:right="117" w:hanging="14"/>
        <w:jc w:val="both"/>
        <w:rPr>
          <w:rFonts w:eastAsia="Arial Unicode MS"/>
        </w:rPr>
      </w:pPr>
      <w:r w:rsidRPr="00471CBA">
        <w:rPr>
          <w:rFonts w:eastAsia="Arial Unicode MS"/>
        </w:rPr>
        <w:t>Cari ve önceki dönemde finansal varlıklar ve yükümlülükler aşağıdaki esaslara göre hesaplanmıştır:</w:t>
      </w:r>
    </w:p>
    <w:p w14:paraId="39F496C2" w14:textId="77777777" w:rsidR="00F91828" w:rsidRPr="00471CBA" w:rsidRDefault="00F91828" w:rsidP="00F91828">
      <w:pPr>
        <w:autoSpaceDE w:val="0"/>
        <w:autoSpaceDN w:val="0"/>
        <w:spacing w:before="120"/>
        <w:ind w:right="117"/>
        <w:jc w:val="both"/>
        <w:rPr>
          <w:sz w:val="22"/>
          <w:szCs w:val="22"/>
        </w:rPr>
      </w:pPr>
      <w:r w:rsidRPr="00471CBA">
        <w:rPr>
          <w:rFonts w:eastAsia="Arial Unicode MS"/>
        </w:rPr>
        <w:t>İtfa edilmiş maliyet üzerinden değerlenen finansal yatırımların gerçeğe uygun değeri piyasa fiyatı esas alınarak belirlenmiştir.</w:t>
      </w:r>
    </w:p>
    <w:p w14:paraId="7748508A" w14:textId="09C3BAF8" w:rsidR="00F91828" w:rsidRPr="00471CBA" w:rsidRDefault="00F91828" w:rsidP="00F91828">
      <w:pPr>
        <w:autoSpaceDE w:val="0"/>
        <w:autoSpaceDN w:val="0"/>
        <w:adjustRightInd w:val="0"/>
        <w:spacing w:before="120"/>
        <w:ind w:left="14" w:right="117" w:hanging="14"/>
        <w:jc w:val="both"/>
        <w:rPr>
          <w:rFonts w:eastAsia="Arial Unicode MS"/>
        </w:rPr>
      </w:pPr>
      <w:r w:rsidRPr="00471CBA">
        <w:rPr>
          <w:rFonts w:eastAsia="Arial Unicode MS"/>
        </w:rPr>
        <w:t xml:space="preserve">Kredilerin gerçeğe uygun değeri, piyasa </w:t>
      </w:r>
      <w:r w:rsidR="006F596C" w:rsidRPr="00471CBA">
        <w:rPr>
          <w:rFonts w:eastAsia="Arial Unicode MS"/>
        </w:rPr>
        <w:t>kâr</w:t>
      </w:r>
      <w:r w:rsidRPr="00471CBA">
        <w:rPr>
          <w:rFonts w:eastAsia="Arial Unicode MS"/>
        </w:rPr>
        <w:t xml:space="preserve"> payı oranları kullanılarak iskonto edilmiş nakit akımlarının bulunmasıyla hesaplanmıştır. </w:t>
      </w:r>
    </w:p>
    <w:p w14:paraId="2C46A396" w14:textId="77777777" w:rsidR="00F91828" w:rsidRPr="00471CBA" w:rsidRDefault="00F91828" w:rsidP="00F91828">
      <w:pPr>
        <w:autoSpaceDE w:val="0"/>
        <w:autoSpaceDN w:val="0"/>
        <w:adjustRightInd w:val="0"/>
        <w:spacing w:before="120"/>
        <w:ind w:left="14" w:right="117" w:hanging="14"/>
        <w:jc w:val="both"/>
        <w:rPr>
          <w:rFonts w:eastAsia="Arial Unicode MS"/>
        </w:rPr>
      </w:pPr>
      <w:r w:rsidRPr="00471CBA">
        <w:rPr>
          <w:rFonts w:eastAsia="Arial Unicode MS"/>
        </w:rPr>
        <w:t>Özel cari hesap ve katılma hesapları yıl sonu birim değeri ile değerlendiği için defter değerinin rayiç değerine yakın olduğu varsayılmıştır.</w:t>
      </w:r>
    </w:p>
    <w:p w14:paraId="2CFE893C" w14:textId="77777777" w:rsidR="00F91828" w:rsidRPr="00471CBA" w:rsidRDefault="00F91828" w:rsidP="00F91828">
      <w:pPr>
        <w:widowControl w:val="0"/>
        <w:ind w:right="117"/>
        <w:jc w:val="both"/>
        <w:rPr>
          <w:rFonts w:eastAsia="Arial Unicode MS"/>
        </w:rPr>
      </w:pPr>
    </w:p>
    <w:p w14:paraId="3BE3912C" w14:textId="066BC610" w:rsidR="00F91828" w:rsidRPr="00471CBA" w:rsidRDefault="00F91828" w:rsidP="00F91828">
      <w:pPr>
        <w:widowControl w:val="0"/>
        <w:ind w:right="117"/>
        <w:jc w:val="both"/>
        <w:rPr>
          <w:rFonts w:eastAsia="Arial Unicode MS"/>
        </w:rPr>
      </w:pPr>
      <w:r w:rsidRPr="00471CBA">
        <w:rPr>
          <w:rFonts w:eastAsia="Arial Unicode MS"/>
        </w:rPr>
        <w:t xml:space="preserve">Diğer mali kuruluşlardan sağlanan fonların tahmini gerçeğe uygun değeri, piyasa </w:t>
      </w:r>
      <w:r w:rsidR="00435FA0" w:rsidRPr="00471CBA">
        <w:rPr>
          <w:rFonts w:eastAsia="Arial Unicode MS"/>
        </w:rPr>
        <w:t>kâr</w:t>
      </w:r>
      <w:r w:rsidRPr="00471CBA">
        <w:rPr>
          <w:rFonts w:eastAsia="Arial Unicode MS"/>
        </w:rPr>
        <w:t xml:space="preserve"> payı oranları kullanılarak iskonto edilmiş nakit akımlarının bulunmasıyla hesaplanmıştır.</w:t>
      </w:r>
    </w:p>
    <w:p w14:paraId="24451EAD" w14:textId="77777777" w:rsidR="00F91828" w:rsidRPr="00471CBA" w:rsidRDefault="00F91828" w:rsidP="00F91828"/>
    <w:tbl>
      <w:tblPr>
        <w:tblW w:w="5000" w:type="pct"/>
        <w:tblCellMar>
          <w:left w:w="0" w:type="dxa"/>
          <w:right w:w="0" w:type="dxa"/>
        </w:tblCellMar>
        <w:tblLook w:val="04A0" w:firstRow="1" w:lastRow="0" w:firstColumn="1" w:lastColumn="0" w:noHBand="0" w:noVBand="1"/>
      </w:tblPr>
      <w:tblGrid>
        <w:gridCol w:w="4620"/>
        <w:gridCol w:w="1282"/>
        <w:gridCol w:w="1205"/>
        <w:gridCol w:w="1265"/>
        <w:gridCol w:w="1267"/>
      </w:tblGrid>
      <w:tr w:rsidR="00F91828" w:rsidRPr="00471CBA" w14:paraId="0AC7AF3A" w14:textId="77777777" w:rsidTr="00B0049C">
        <w:trPr>
          <w:trHeight w:val="121"/>
        </w:trPr>
        <w:tc>
          <w:tcPr>
            <w:tcW w:w="2397" w:type="pct"/>
            <w:vMerge w:val="restart"/>
            <w:tcBorders>
              <w:top w:val="single" w:sz="4" w:space="0" w:color="auto"/>
              <w:left w:val="nil"/>
              <w:bottom w:val="single" w:sz="4" w:space="0" w:color="auto"/>
              <w:right w:val="nil"/>
            </w:tcBorders>
            <w:vAlign w:val="bottom"/>
          </w:tcPr>
          <w:p w14:paraId="0AB69696" w14:textId="77777777" w:rsidR="00F91828" w:rsidRPr="00471CBA" w:rsidRDefault="00F91828" w:rsidP="00B0049C">
            <w:pPr>
              <w:rPr>
                <w:rFonts w:eastAsia="Arial Unicode MS"/>
                <w:sz w:val="18"/>
                <w:szCs w:val="18"/>
              </w:rPr>
            </w:pPr>
          </w:p>
        </w:tc>
        <w:tc>
          <w:tcPr>
            <w:tcW w:w="1290" w:type="pct"/>
            <w:gridSpan w:val="2"/>
            <w:tcBorders>
              <w:top w:val="single" w:sz="4" w:space="0" w:color="auto"/>
              <w:left w:val="nil"/>
              <w:bottom w:val="single" w:sz="4" w:space="0" w:color="auto"/>
              <w:right w:val="nil"/>
            </w:tcBorders>
            <w:vAlign w:val="center"/>
            <w:hideMark/>
          </w:tcPr>
          <w:p w14:paraId="19BBB3C3" w14:textId="7AF31722" w:rsidR="00F91828" w:rsidRPr="00471CBA" w:rsidRDefault="00F91828" w:rsidP="00B0049C">
            <w:pPr>
              <w:jc w:val="center"/>
              <w:rPr>
                <w:rFonts w:eastAsia="Arial Unicode MS"/>
                <w:b/>
                <w:sz w:val="18"/>
                <w:szCs w:val="18"/>
              </w:rPr>
            </w:pPr>
            <w:r w:rsidRPr="00471CBA">
              <w:rPr>
                <w:b/>
                <w:sz w:val="18"/>
                <w:szCs w:val="18"/>
              </w:rPr>
              <w:t xml:space="preserve">Defter </w:t>
            </w:r>
            <w:r w:rsidR="00CD36BD" w:rsidRPr="00471CBA">
              <w:rPr>
                <w:b/>
                <w:sz w:val="18"/>
                <w:szCs w:val="18"/>
              </w:rPr>
              <w:t>D</w:t>
            </w:r>
            <w:r w:rsidRPr="00471CBA">
              <w:rPr>
                <w:b/>
                <w:sz w:val="18"/>
                <w:szCs w:val="18"/>
              </w:rPr>
              <w:t>eğeri</w:t>
            </w:r>
          </w:p>
        </w:tc>
        <w:tc>
          <w:tcPr>
            <w:tcW w:w="1313" w:type="pct"/>
            <w:gridSpan w:val="2"/>
            <w:tcBorders>
              <w:top w:val="single" w:sz="4" w:space="0" w:color="auto"/>
              <w:left w:val="nil"/>
              <w:bottom w:val="single" w:sz="4" w:space="0" w:color="auto"/>
              <w:right w:val="nil"/>
            </w:tcBorders>
            <w:vAlign w:val="center"/>
            <w:hideMark/>
          </w:tcPr>
          <w:p w14:paraId="50EC0D51" w14:textId="74367C3B" w:rsidR="00F91828" w:rsidRPr="00471CBA" w:rsidRDefault="00F91828" w:rsidP="00B0049C">
            <w:pPr>
              <w:jc w:val="center"/>
              <w:rPr>
                <w:b/>
                <w:sz w:val="18"/>
                <w:szCs w:val="18"/>
              </w:rPr>
            </w:pPr>
            <w:r w:rsidRPr="00471CBA">
              <w:rPr>
                <w:b/>
                <w:sz w:val="18"/>
                <w:szCs w:val="18"/>
              </w:rPr>
              <w:t xml:space="preserve">Gerçeğe </w:t>
            </w:r>
            <w:r w:rsidR="00CD36BD" w:rsidRPr="00471CBA">
              <w:rPr>
                <w:b/>
                <w:sz w:val="18"/>
                <w:szCs w:val="18"/>
              </w:rPr>
              <w:t>U</w:t>
            </w:r>
            <w:r w:rsidRPr="00471CBA">
              <w:rPr>
                <w:b/>
                <w:sz w:val="18"/>
                <w:szCs w:val="18"/>
              </w:rPr>
              <w:t xml:space="preserve">ygun </w:t>
            </w:r>
            <w:r w:rsidR="00CD36BD" w:rsidRPr="00471CBA">
              <w:rPr>
                <w:b/>
                <w:sz w:val="18"/>
                <w:szCs w:val="18"/>
              </w:rPr>
              <w:t>D</w:t>
            </w:r>
            <w:r w:rsidRPr="00471CBA">
              <w:rPr>
                <w:b/>
                <w:sz w:val="18"/>
                <w:szCs w:val="18"/>
              </w:rPr>
              <w:t>eğer</w:t>
            </w:r>
          </w:p>
        </w:tc>
      </w:tr>
      <w:tr w:rsidR="00571ECD" w:rsidRPr="00471CBA" w14:paraId="2D20865E" w14:textId="77777777" w:rsidTr="00B0049C">
        <w:trPr>
          <w:trHeight w:val="121"/>
        </w:trPr>
        <w:tc>
          <w:tcPr>
            <w:tcW w:w="2397" w:type="pct"/>
            <w:vMerge/>
            <w:tcBorders>
              <w:top w:val="single" w:sz="4" w:space="0" w:color="auto"/>
              <w:left w:val="nil"/>
              <w:bottom w:val="single" w:sz="4" w:space="0" w:color="auto"/>
              <w:right w:val="nil"/>
            </w:tcBorders>
            <w:vAlign w:val="center"/>
            <w:hideMark/>
          </w:tcPr>
          <w:p w14:paraId="2999EC89" w14:textId="77777777" w:rsidR="00571ECD" w:rsidRPr="00471CBA" w:rsidRDefault="00571ECD" w:rsidP="00571ECD">
            <w:pPr>
              <w:rPr>
                <w:rFonts w:eastAsia="Arial Unicode MS"/>
                <w:sz w:val="18"/>
                <w:szCs w:val="18"/>
              </w:rPr>
            </w:pPr>
          </w:p>
        </w:tc>
        <w:tc>
          <w:tcPr>
            <w:tcW w:w="665" w:type="pct"/>
            <w:tcBorders>
              <w:top w:val="single" w:sz="4" w:space="0" w:color="auto"/>
              <w:left w:val="nil"/>
              <w:bottom w:val="single" w:sz="4" w:space="0" w:color="auto"/>
              <w:right w:val="nil"/>
            </w:tcBorders>
            <w:vAlign w:val="center"/>
            <w:hideMark/>
          </w:tcPr>
          <w:p w14:paraId="1113FA8C" w14:textId="7FFBA763" w:rsidR="00571ECD" w:rsidRPr="00471CBA" w:rsidRDefault="00571ECD" w:rsidP="00571ECD">
            <w:pPr>
              <w:jc w:val="center"/>
              <w:rPr>
                <w:b/>
                <w:snapToGrid w:val="0"/>
                <w:sz w:val="18"/>
                <w:szCs w:val="18"/>
              </w:rPr>
            </w:pPr>
            <w:r w:rsidRPr="00471CBA">
              <w:rPr>
                <w:b/>
                <w:snapToGrid w:val="0"/>
                <w:sz w:val="18"/>
                <w:szCs w:val="18"/>
              </w:rPr>
              <w:t>31 Aralık 2025</w:t>
            </w:r>
          </w:p>
        </w:tc>
        <w:tc>
          <w:tcPr>
            <w:tcW w:w="625" w:type="pct"/>
            <w:tcBorders>
              <w:top w:val="single" w:sz="4" w:space="0" w:color="auto"/>
              <w:left w:val="nil"/>
              <w:bottom w:val="single" w:sz="4" w:space="0" w:color="auto"/>
              <w:right w:val="nil"/>
            </w:tcBorders>
            <w:vAlign w:val="center"/>
            <w:hideMark/>
          </w:tcPr>
          <w:p w14:paraId="467F77DE" w14:textId="0EC09291" w:rsidR="00571ECD" w:rsidRPr="00471CBA" w:rsidRDefault="00571ECD" w:rsidP="00571ECD">
            <w:pPr>
              <w:rPr>
                <w:b/>
                <w:snapToGrid w:val="0"/>
                <w:sz w:val="18"/>
                <w:szCs w:val="18"/>
              </w:rPr>
            </w:pPr>
            <w:r w:rsidRPr="00471CBA">
              <w:rPr>
                <w:b/>
                <w:snapToGrid w:val="0"/>
                <w:sz w:val="18"/>
                <w:szCs w:val="18"/>
              </w:rPr>
              <w:t xml:space="preserve"> 31 Aralık 2024</w:t>
            </w:r>
          </w:p>
        </w:tc>
        <w:tc>
          <w:tcPr>
            <w:tcW w:w="656" w:type="pct"/>
            <w:tcBorders>
              <w:top w:val="single" w:sz="4" w:space="0" w:color="auto"/>
              <w:left w:val="nil"/>
              <w:bottom w:val="single" w:sz="4" w:space="0" w:color="auto"/>
              <w:right w:val="nil"/>
            </w:tcBorders>
            <w:vAlign w:val="center"/>
            <w:hideMark/>
          </w:tcPr>
          <w:p w14:paraId="23266388" w14:textId="728DC621" w:rsidR="00571ECD" w:rsidRPr="00471CBA" w:rsidRDefault="00571ECD" w:rsidP="00571ECD">
            <w:pPr>
              <w:jc w:val="center"/>
              <w:rPr>
                <w:b/>
                <w:snapToGrid w:val="0"/>
                <w:sz w:val="18"/>
                <w:szCs w:val="18"/>
              </w:rPr>
            </w:pPr>
            <w:r w:rsidRPr="00471CBA">
              <w:rPr>
                <w:b/>
                <w:snapToGrid w:val="0"/>
                <w:sz w:val="18"/>
                <w:szCs w:val="18"/>
              </w:rPr>
              <w:t>31 Aralık 2025</w:t>
            </w:r>
          </w:p>
        </w:tc>
        <w:tc>
          <w:tcPr>
            <w:tcW w:w="657" w:type="pct"/>
            <w:tcBorders>
              <w:top w:val="single" w:sz="4" w:space="0" w:color="auto"/>
              <w:left w:val="nil"/>
              <w:bottom w:val="single" w:sz="4" w:space="0" w:color="auto"/>
              <w:right w:val="nil"/>
            </w:tcBorders>
            <w:vAlign w:val="center"/>
            <w:hideMark/>
          </w:tcPr>
          <w:p w14:paraId="12C510C1" w14:textId="252ACB99" w:rsidR="00571ECD" w:rsidRPr="00471CBA" w:rsidRDefault="00571ECD" w:rsidP="00571ECD">
            <w:pPr>
              <w:jc w:val="center"/>
              <w:rPr>
                <w:b/>
                <w:snapToGrid w:val="0"/>
                <w:sz w:val="18"/>
                <w:szCs w:val="18"/>
              </w:rPr>
            </w:pPr>
            <w:r w:rsidRPr="00471CBA">
              <w:rPr>
                <w:b/>
                <w:snapToGrid w:val="0"/>
                <w:sz w:val="18"/>
                <w:szCs w:val="18"/>
              </w:rPr>
              <w:t>31 Aralık 2024</w:t>
            </w:r>
          </w:p>
        </w:tc>
      </w:tr>
      <w:tr w:rsidR="00571ECD" w:rsidRPr="00471CBA" w14:paraId="64BFCCF2" w14:textId="77777777" w:rsidTr="00B0049C">
        <w:trPr>
          <w:trHeight w:val="121"/>
        </w:trPr>
        <w:tc>
          <w:tcPr>
            <w:tcW w:w="2397" w:type="pct"/>
            <w:tcBorders>
              <w:top w:val="single" w:sz="4" w:space="0" w:color="auto"/>
              <w:left w:val="nil"/>
              <w:bottom w:val="nil"/>
              <w:right w:val="nil"/>
            </w:tcBorders>
            <w:vAlign w:val="center"/>
          </w:tcPr>
          <w:p w14:paraId="53CF9E36" w14:textId="77777777" w:rsidR="00571ECD" w:rsidRPr="00471CBA" w:rsidRDefault="00571ECD" w:rsidP="00571ECD">
            <w:pPr>
              <w:rPr>
                <w:sz w:val="18"/>
                <w:szCs w:val="18"/>
              </w:rPr>
            </w:pPr>
          </w:p>
        </w:tc>
        <w:tc>
          <w:tcPr>
            <w:tcW w:w="665" w:type="pct"/>
            <w:tcBorders>
              <w:top w:val="single" w:sz="4" w:space="0" w:color="auto"/>
              <w:left w:val="nil"/>
              <w:bottom w:val="nil"/>
              <w:right w:val="nil"/>
            </w:tcBorders>
            <w:vAlign w:val="bottom"/>
          </w:tcPr>
          <w:p w14:paraId="5EF56431" w14:textId="77777777" w:rsidR="00571ECD" w:rsidRPr="00471CBA" w:rsidRDefault="00571ECD" w:rsidP="00571ECD">
            <w:pPr>
              <w:jc w:val="right"/>
              <w:rPr>
                <w:rFonts w:eastAsia="Arial Unicode MS"/>
                <w:b/>
                <w:sz w:val="18"/>
                <w:szCs w:val="18"/>
              </w:rPr>
            </w:pPr>
          </w:p>
        </w:tc>
        <w:tc>
          <w:tcPr>
            <w:tcW w:w="625" w:type="pct"/>
            <w:tcBorders>
              <w:top w:val="single" w:sz="4" w:space="0" w:color="auto"/>
              <w:left w:val="nil"/>
              <w:bottom w:val="nil"/>
              <w:right w:val="nil"/>
            </w:tcBorders>
            <w:vAlign w:val="bottom"/>
          </w:tcPr>
          <w:p w14:paraId="07119F32" w14:textId="77777777" w:rsidR="00571ECD" w:rsidRPr="00471CBA" w:rsidRDefault="00571ECD" w:rsidP="00571ECD">
            <w:pPr>
              <w:jc w:val="right"/>
              <w:rPr>
                <w:rFonts w:eastAsia="Arial Unicode MS"/>
                <w:b/>
                <w:sz w:val="18"/>
                <w:szCs w:val="18"/>
              </w:rPr>
            </w:pPr>
          </w:p>
        </w:tc>
        <w:tc>
          <w:tcPr>
            <w:tcW w:w="656" w:type="pct"/>
            <w:tcBorders>
              <w:top w:val="single" w:sz="4" w:space="0" w:color="auto"/>
              <w:left w:val="nil"/>
              <w:bottom w:val="nil"/>
              <w:right w:val="nil"/>
            </w:tcBorders>
            <w:vAlign w:val="bottom"/>
          </w:tcPr>
          <w:p w14:paraId="4A14EA26" w14:textId="77777777" w:rsidR="00571ECD" w:rsidRPr="00471CBA" w:rsidRDefault="00571ECD" w:rsidP="00571ECD">
            <w:pPr>
              <w:jc w:val="right"/>
              <w:rPr>
                <w:rFonts w:eastAsia="Arial Unicode MS"/>
                <w:b/>
                <w:sz w:val="18"/>
                <w:szCs w:val="18"/>
              </w:rPr>
            </w:pPr>
          </w:p>
        </w:tc>
        <w:tc>
          <w:tcPr>
            <w:tcW w:w="657" w:type="pct"/>
            <w:tcBorders>
              <w:top w:val="single" w:sz="4" w:space="0" w:color="auto"/>
              <w:left w:val="nil"/>
              <w:bottom w:val="nil"/>
              <w:right w:val="nil"/>
            </w:tcBorders>
            <w:vAlign w:val="bottom"/>
          </w:tcPr>
          <w:p w14:paraId="1F679B5C" w14:textId="77777777" w:rsidR="00571ECD" w:rsidRPr="00471CBA" w:rsidRDefault="00571ECD" w:rsidP="00571ECD">
            <w:pPr>
              <w:jc w:val="right"/>
              <w:rPr>
                <w:rFonts w:eastAsia="Arial Unicode MS"/>
                <w:b/>
                <w:sz w:val="18"/>
                <w:szCs w:val="18"/>
              </w:rPr>
            </w:pPr>
          </w:p>
        </w:tc>
      </w:tr>
      <w:tr w:rsidR="00571ECD" w:rsidRPr="00471CBA" w14:paraId="49D953DE" w14:textId="77777777" w:rsidTr="00B0049C">
        <w:trPr>
          <w:trHeight w:val="79"/>
        </w:trPr>
        <w:tc>
          <w:tcPr>
            <w:tcW w:w="2397" w:type="pct"/>
            <w:vAlign w:val="center"/>
            <w:hideMark/>
          </w:tcPr>
          <w:p w14:paraId="2D26466B" w14:textId="77777777" w:rsidR="00571ECD" w:rsidRPr="00471CBA" w:rsidRDefault="00571ECD" w:rsidP="00571ECD">
            <w:pPr>
              <w:rPr>
                <w:rFonts w:eastAsia="Arial Unicode MS"/>
                <w:b/>
                <w:sz w:val="18"/>
                <w:szCs w:val="18"/>
              </w:rPr>
            </w:pPr>
            <w:r w:rsidRPr="00471CBA">
              <w:rPr>
                <w:b/>
                <w:sz w:val="18"/>
                <w:szCs w:val="18"/>
              </w:rPr>
              <w:t>Finansal varlıklar</w:t>
            </w:r>
          </w:p>
        </w:tc>
        <w:tc>
          <w:tcPr>
            <w:tcW w:w="665" w:type="pct"/>
            <w:vAlign w:val="bottom"/>
          </w:tcPr>
          <w:p w14:paraId="30683CEE" w14:textId="77777777" w:rsidR="00571ECD" w:rsidRPr="00471CBA" w:rsidRDefault="00571ECD" w:rsidP="00571ECD">
            <w:pPr>
              <w:jc w:val="right"/>
              <w:rPr>
                <w:rFonts w:eastAsia="Arial Unicode MS"/>
                <w:b/>
                <w:sz w:val="18"/>
                <w:szCs w:val="18"/>
              </w:rPr>
            </w:pPr>
          </w:p>
        </w:tc>
        <w:tc>
          <w:tcPr>
            <w:tcW w:w="625" w:type="pct"/>
            <w:vAlign w:val="bottom"/>
          </w:tcPr>
          <w:p w14:paraId="29F649EF" w14:textId="77777777" w:rsidR="00571ECD" w:rsidRPr="00471CBA" w:rsidRDefault="00571ECD" w:rsidP="00571ECD">
            <w:pPr>
              <w:jc w:val="right"/>
              <w:rPr>
                <w:rFonts w:eastAsia="Arial Unicode MS"/>
                <w:b/>
                <w:sz w:val="18"/>
                <w:szCs w:val="18"/>
              </w:rPr>
            </w:pPr>
          </w:p>
        </w:tc>
        <w:tc>
          <w:tcPr>
            <w:tcW w:w="656" w:type="pct"/>
            <w:vAlign w:val="bottom"/>
          </w:tcPr>
          <w:p w14:paraId="687F16A3" w14:textId="77777777" w:rsidR="00571ECD" w:rsidRPr="00471CBA" w:rsidRDefault="00571ECD" w:rsidP="00571ECD">
            <w:pPr>
              <w:jc w:val="right"/>
              <w:rPr>
                <w:rFonts w:eastAsia="Arial Unicode MS"/>
                <w:b/>
                <w:sz w:val="18"/>
                <w:szCs w:val="18"/>
              </w:rPr>
            </w:pPr>
          </w:p>
        </w:tc>
        <w:tc>
          <w:tcPr>
            <w:tcW w:w="657" w:type="pct"/>
            <w:vAlign w:val="bottom"/>
          </w:tcPr>
          <w:p w14:paraId="6E94499F" w14:textId="77777777" w:rsidR="00571ECD" w:rsidRPr="00471CBA" w:rsidRDefault="00571ECD" w:rsidP="00571ECD">
            <w:pPr>
              <w:jc w:val="right"/>
              <w:rPr>
                <w:rFonts w:eastAsia="Arial Unicode MS"/>
                <w:b/>
                <w:sz w:val="18"/>
                <w:szCs w:val="18"/>
              </w:rPr>
            </w:pPr>
          </w:p>
        </w:tc>
      </w:tr>
      <w:tr w:rsidR="00571ECD" w:rsidRPr="00471CBA" w14:paraId="1D8BA0C6" w14:textId="77777777" w:rsidTr="00A717DF">
        <w:trPr>
          <w:trHeight w:val="243"/>
        </w:trPr>
        <w:tc>
          <w:tcPr>
            <w:tcW w:w="2397" w:type="pct"/>
            <w:vAlign w:val="center"/>
          </w:tcPr>
          <w:p w14:paraId="31735646" w14:textId="77777777" w:rsidR="00571ECD" w:rsidRPr="00471CBA" w:rsidRDefault="00571ECD" w:rsidP="00571ECD">
            <w:pPr>
              <w:rPr>
                <w:b/>
                <w:sz w:val="18"/>
                <w:szCs w:val="18"/>
              </w:rPr>
            </w:pPr>
          </w:p>
        </w:tc>
        <w:tc>
          <w:tcPr>
            <w:tcW w:w="665" w:type="pct"/>
            <w:vAlign w:val="bottom"/>
          </w:tcPr>
          <w:p w14:paraId="30C1811D" w14:textId="77777777" w:rsidR="00571ECD" w:rsidRPr="00471CBA" w:rsidRDefault="00571ECD" w:rsidP="00571ECD">
            <w:pPr>
              <w:jc w:val="right"/>
              <w:rPr>
                <w:rFonts w:eastAsia="Arial Unicode MS"/>
                <w:b/>
                <w:sz w:val="18"/>
                <w:szCs w:val="18"/>
              </w:rPr>
            </w:pPr>
          </w:p>
        </w:tc>
        <w:tc>
          <w:tcPr>
            <w:tcW w:w="625" w:type="pct"/>
            <w:vAlign w:val="bottom"/>
          </w:tcPr>
          <w:p w14:paraId="0A830C88" w14:textId="77777777" w:rsidR="00571ECD" w:rsidRPr="00471CBA" w:rsidRDefault="00571ECD" w:rsidP="00571ECD">
            <w:pPr>
              <w:jc w:val="right"/>
              <w:rPr>
                <w:rFonts w:eastAsia="Arial Unicode MS"/>
                <w:b/>
                <w:sz w:val="18"/>
                <w:szCs w:val="18"/>
              </w:rPr>
            </w:pPr>
          </w:p>
        </w:tc>
        <w:tc>
          <w:tcPr>
            <w:tcW w:w="656" w:type="pct"/>
            <w:vAlign w:val="bottom"/>
          </w:tcPr>
          <w:p w14:paraId="60846C76" w14:textId="77777777" w:rsidR="00571ECD" w:rsidRPr="00471CBA" w:rsidRDefault="00571ECD" w:rsidP="00571ECD">
            <w:pPr>
              <w:jc w:val="right"/>
              <w:rPr>
                <w:rFonts w:eastAsia="Arial Unicode MS"/>
                <w:b/>
                <w:sz w:val="18"/>
                <w:szCs w:val="18"/>
              </w:rPr>
            </w:pPr>
          </w:p>
        </w:tc>
        <w:tc>
          <w:tcPr>
            <w:tcW w:w="657" w:type="pct"/>
            <w:vAlign w:val="bottom"/>
          </w:tcPr>
          <w:p w14:paraId="5341C767" w14:textId="77777777" w:rsidR="00571ECD" w:rsidRPr="00471CBA" w:rsidRDefault="00571ECD" w:rsidP="00571ECD">
            <w:pPr>
              <w:jc w:val="right"/>
              <w:rPr>
                <w:rFonts w:eastAsia="Arial Unicode MS"/>
                <w:b/>
                <w:sz w:val="18"/>
                <w:szCs w:val="18"/>
              </w:rPr>
            </w:pPr>
          </w:p>
        </w:tc>
      </w:tr>
      <w:tr w:rsidR="009273BE" w:rsidRPr="00471CBA" w14:paraId="4E03E660" w14:textId="77777777" w:rsidTr="009273BE">
        <w:trPr>
          <w:trHeight w:val="121"/>
        </w:trPr>
        <w:tc>
          <w:tcPr>
            <w:tcW w:w="2397" w:type="pct"/>
            <w:vAlign w:val="center"/>
            <w:hideMark/>
          </w:tcPr>
          <w:p w14:paraId="10A3840E" w14:textId="77777777" w:rsidR="009273BE" w:rsidRPr="00471CBA" w:rsidRDefault="009273BE" w:rsidP="009273BE">
            <w:pPr>
              <w:ind w:left="382"/>
              <w:jc w:val="both"/>
              <w:rPr>
                <w:snapToGrid w:val="0"/>
                <w:sz w:val="18"/>
                <w:szCs w:val="18"/>
              </w:rPr>
            </w:pPr>
            <w:r w:rsidRPr="00471CBA">
              <w:rPr>
                <w:snapToGrid w:val="0"/>
                <w:sz w:val="18"/>
                <w:szCs w:val="18"/>
              </w:rPr>
              <w:t>Para piyasalarından alacaklar</w:t>
            </w:r>
          </w:p>
        </w:tc>
        <w:tc>
          <w:tcPr>
            <w:tcW w:w="665" w:type="pct"/>
            <w:vAlign w:val="bottom"/>
          </w:tcPr>
          <w:p w14:paraId="6C0DC26F" w14:textId="06FBB174" w:rsidR="009273BE" w:rsidRPr="00471CBA" w:rsidRDefault="009273BE" w:rsidP="009273BE">
            <w:pPr>
              <w:ind w:left="213" w:right="83" w:hanging="141"/>
              <w:jc w:val="right"/>
              <w:rPr>
                <w:sz w:val="18"/>
                <w:szCs w:val="18"/>
              </w:rPr>
            </w:pPr>
            <w:r w:rsidRPr="00471CBA">
              <w:rPr>
                <w:sz w:val="18"/>
                <w:szCs w:val="18"/>
              </w:rPr>
              <w:t>-</w:t>
            </w:r>
          </w:p>
        </w:tc>
        <w:tc>
          <w:tcPr>
            <w:tcW w:w="625" w:type="pct"/>
            <w:vAlign w:val="bottom"/>
          </w:tcPr>
          <w:p w14:paraId="66E902C0" w14:textId="4B131B32" w:rsidR="009273BE" w:rsidRPr="00471CBA" w:rsidRDefault="009273BE" w:rsidP="009273BE">
            <w:pPr>
              <w:ind w:left="213" w:right="83" w:hanging="141"/>
              <w:jc w:val="right"/>
              <w:rPr>
                <w:sz w:val="18"/>
                <w:szCs w:val="18"/>
              </w:rPr>
            </w:pPr>
            <w:r w:rsidRPr="00471CBA">
              <w:rPr>
                <w:sz w:val="18"/>
                <w:szCs w:val="18"/>
              </w:rPr>
              <w:t>-</w:t>
            </w:r>
          </w:p>
        </w:tc>
        <w:tc>
          <w:tcPr>
            <w:tcW w:w="656" w:type="pct"/>
            <w:vAlign w:val="bottom"/>
          </w:tcPr>
          <w:p w14:paraId="141B6548" w14:textId="297002FE" w:rsidR="009273BE" w:rsidRPr="00471CBA" w:rsidRDefault="009273BE" w:rsidP="009273BE">
            <w:pPr>
              <w:ind w:left="213" w:right="83" w:hanging="141"/>
              <w:jc w:val="right"/>
              <w:rPr>
                <w:sz w:val="18"/>
                <w:szCs w:val="18"/>
              </w:rPr>
            </w:pPr>
            <w:r w:rsidRPr="00471CBA">
              <w:rPr>
                <w:sz w:val="18"/>
                <w:szCs w:val="18"/>
              </w:rPr>
              <w:t>-</w:t>
            </w:r>
          </w:p>
        </w:tc>
        <w:tc>
          <w:tcPr>
            <w:tcW w:w="657" w:type="pct"/>
            <w:vAlign w:val="bottom"/>
          </w:tcPr>
          <w:p w14:paraId="7A093359" w14:textId="3F39F1F0" w:rsidR="009273BE" w:rsidRPr="00471CBA" w:rsidRDefault="009273BE" w:rsidP="009273BE">
            <w:pPr>
              <w:ind w:left="213" w:right="83" w:hanging="141"/>
              <w:jc w:val="right"/>
              <w:rPr>
                <w:sz w:val="18"/>
                <w:szCs w:val="18"/>
              </w:rPr>
            </w:pPr>
            <w:r w:rsidRPr="00471CBA">
              <w:rPr>
                <w:sz w:val="18"/>
                <w:szCs w:val="18"/>
              </w:rPr>
              <w:t>-</w:t>
            </w:r>
          </w:p>
        </w:tc>
      </w:tr>
      <w:tr w:rsidR="009273BE" w:rsidRPr="00471CBA" w14:paraId="3656CFC2" w14:textId="77777777" w:rsidTr="009273BE">
        <w:trPr>
          <w:trHeight w:val="121"/>
        </w:trPr>
        <w:tc>
          <w:tcPr>
            <w:tcW w:w="2397" w:type="pct"/>
            <w:vAlign w:val="center"/>
            <w:hideMark/>
          </w:tcPr>
          <w:p w14:paraId="06A9D342" w14:textId="77777777" w:rsidR="009273BE" w:rsidRPr="00471CBA" w:rsidRDefault="009273BE" w:rsidP="009273BE">
            <w:pPr>
              <w:ind w:left="382"/>
              <w:jc w:val="both"/>
              <w:rPr>
                <w:rFonts w:eastAsia="Arial Unicode MS"/>
                <w:sz w:val="18"/>
                <w:szCs w:val="18"/>
              </w:rPr>
            </w:pPr>
            <w:r w:rsidRPr="00471CBA">
              <w:rPr>
                <w:snapToGrid w:val="0"/>
                <w:sz w:val="18"/>
                <w:szCs w:val="18"/>
              </w:rPr>
              <w:t>Bankalar</w:t>
            </w:r>
          </w:p>
        </w:tc>
        <w:tc>
          <w:tcPr>
            <w:tcW w:w="665" w:type="pct"/>
            <w:vAlign w:val="bottom"/>
          </w:tcPr>
          <w:p w14:paraId="3C1A5169" w14:textId="74FBC70F" w:rsidR="009273BE" w:rsidRPr="00471CBA" w:rsidRDefault="009273BE" w:rsidP="009273BE">
            <w:pPr>
              <w:ind w:left="213" w:right="83" w:hanging="141"/>
              <w:jc w:val="right"/>
              <w:rPr>
                <w:sz w:val="18"/>
                <w:szCs w:val="18"/>
              </w:rPr>
            </w:pPr>
            <w:r w:rsidRPr="00471CBA">
              <w:rPr>
                <w:sz w:val="18"/>
                <w:szCs w:val="18"/>
              </w:rPr>
              <w:t>8.510.966</w:t>
            </w:r>
          </w:p>
        </w:tc>
        <w:tc>
          <w:tcPr>
            <w:tcW w:w="625" w:type="pct"/>
            <w:vAlign w:val="bottom"/>
          </w:tcPr>
          <w:p w14:paraId="58B1F918" w14:textId="63E9A559" w:rsidR="009273BE" w:rsidRPr="00471CBA" w:rsidRDefault="009273BE" w:rsidP="009273BE">
            <w:pPr>
              <w:ind w:left="213" w:right="83" w:hanging="141"/>
              <w:jc w:val="right"/>
              <w:rPr>
                <w:sz w:val="18"/>
                <w:szCs w:val="18"/>
              </w:rPr>
            </w:pPr>
            <w:r w:rsidRPr="00471CBA">
              <w:rPr>
                <w:sz w:val="18"/>
                <w:szCs w:val="18"/>
              </w:rPr>
              <w:t>4.437.621</w:t>
            </w:r>
          </w:p>
        </w:tc>
        <w:tc>
          <w:tcPr>
            <w:tcW w:w="656" w:type="pct"/>
            <w:vAlign w:val="bottom"/>
          </w:tcPr>
          <w:p w14:paraId="3EADE04A" w14:textId="67C8AF4D" w:rsidR="009273BE" w:rsidRPr="00471CBA" w:rsidRDefault="009273BE" w:rsidP="009273BE">
            <w:pPr>
              <w:ind w:left="213" w:right="83" w:hanging="141"/>
              <w:jc w:val="right"/>
              <w:rPr>
                <w:sz w:val="18"/>
                <w:szCs w:val="18"/>
              </w:rPr>
            </w:pPr>
            <w:r w:rsidRPr="00471CBA">
              <w:rPr>
                <w:sz w:val="18"/>
                <w:szCs w:val="18"/>
              </w:rPr>
              <w:t>8.510.966</w:t>
            </w:r>
          </w:p>
        </w:tc>
        <w:tc>
          <w:tcPr>
            <w:tcW w:w="657" w:type="pct"/>
            <w:vAlign w:val="bottom"/>
          </w:tcPr>
          <w:p w14:paraId="2F82572B" w14:textId="4E4F583E" w:rsidR="009273BE" w:rsidRPr="00471CBA" w:rsidRDefault="009273BE" w:rsidP="009273BE">
            <w:pPr>
              <w:ind w:left="213" w:right="83" w:hanging="141"/>
              <w:jc w:val="right"/>
              <w:rPr>
                <w:sz w:val="18"/>
                <w:szCs w:val="18"/>
              </w:rPr>
            </w:pPr>
            <w:r w:rsidRPr="00471CBA">
              <w:rPr>
                <w:sz w:val="18"/>
                <w:szCs w:val="18"/>
              </w:rPr>
              <w:t>4.437.621</w:t>
            </w:r>
          </w:p>
        </w:tc>
      </w:tr>
      <w:tr w:rsidR="009273BE" w:rsidRPr="00471CBA" w14:paraId="2B4DFAF8" w14:textId="77777777" w:rsidTr="009273BE">
        <w:trPr>
          <w:trHeight w:val="121"/>
        </w:trPr>
        <w:tc>
          <w:tcPr>
            <w:tcW w:w="2397" w:type="pct"/>
            <w:vAlign w:val="center"/>
            <w:hideMark/>
          </w:tcPr>
          <w:p w14:paraId="3B6D15BA" w14:textId="77777777" w:rsidR="009273BE" w:rsidRPr="00471CBA" w:rsidRDefault="009273BE" w:rsidP="009273BE">
            <w:pPr>
              <w:ind w:left="382" w:right="121"/>
              <w:jc w:val="both"/>
              <w:rPr>
                <w:snapToGrid w:val="0"/>
                <w:sz w:val="18"/>
                <w:szCs w:val="18"/>
              </w:rPr>
            </w:pPr>
            <w:r w:rsidRPr="00471CBA">
              <w:rPr>
                <w:sz w:val="18"/>
                <w:szCs w:val="18"/>
              </w:rPr>
              <w:t>Gerçeğe Uygun Değer Farkı Kâr veya Zarara Yansıtılan Finansal Varlıklar</w:t>
            </w:r>
          </w:p>
        </w:tc>
        <w:tc>
          <w:tcPr>
            <w:tcW w:w="665" w:type="pct"/>
            <w:vAlign w:val="bottom"/>
          </w:tcPr>
          <w:p w14:paraId="62E748A6" w14:textId="75BBD6B1" w:rsidR="009273BE" w:rsidRPr="00471CBA" w:rsidRDefault="009273BE" w:rsidP="009273BE">
            <w:pPr>
              <w:ind w:left="213" w:right="83" w:hanging="141"/>
              <w:jc w:val="right"/>
              <w:rPr>
                <w:sz w:val="18"/>
                <w:szCs w:val="18"/>
              </w:rPr>
            </w:pPr>
            <w:r w:rsidRPr="00471CBA">
              <w:rPr>
                <w:sz w:val="18"/>
                <w:szCs w:val="18"/>
              </w:rPr>
              <w:t>1.339.304</w:t>
            </w:r>
          </w:p>
        </w:tc>
        <w:tc>
          <w:tcPr>
            <w:tcW w:w="625" w:type="pct"/>
            <w:vAlign w:val="bottom"/>
          </w:tcPr>
          <w:p w14:paraId="5DDAFE77" w14:textId="1E51952E" w:rsidR="009273BE" w:rsidRPr="00471CBA" w:rsidRDefault="009273BE" w:rsidP="009273BE">
            <w:pPr>
              <w:ind w:left="213" w:right="83" w:hanging="141"/>
              <w:jc w:val="right"/>
              <w:rPr>
                <w:sz w:val="18"/>
                <w:szCs w:val="18"/>
              </w:rPr>
            </w:pPr>
            <w:r w:rsidRPr="00471CBA">
              <w:rPr>
                <w:sz w:val="18"/>
                <w:szCs w:val="18"/>
              </w:rPr>
              <w:t>133.298</w:t>
            </w:r>
          </w:p>
        </w:tc>
        <w:tc>
          <w:tcPr>
            <w:tcW w:w="656" w:type="pct"/>
            <w:vAlign w:val="bottom"/>
          </w:tcPr>
          <w:p w14:paraId="3561063B" w14:textId="1199EC88" w:rsidR="009273BE" w:rsidRPr="00471CBA" w:rsidRDefault="009273BE" w:rsidP="009273BE">
            <w:pPr>
              <w:ind w:left="213" w:right="83" w:hanging="141"/>
              <w:jc w:val="right"/>
              <w:rPr>
                <w:sz w:val="18"/>
                <w:szCs w:val="18"/>
              </w:rPr>
            </w:pPr>
            <w:r w:rsidRPr="00471CBA">
              <w:rPr>
                <w:sz w:val="18"/>
                <w:szCs w:val="18"/>
              </w:rPr>
              <w:t>1.339.304</w:t>
            </w:r>
          </w:p>
        </w:tc>
        <w:tc>
          <w:tcPr>
            <w:tcW w:w="657" w:type="pct"/>
            <w:vAlign w:val="bottom"/>
          </w:tcPr>
          <w:p w14:paraId="6638C798" w14:textId="6707EDDE" w:rsidR="009273BE" w:rsidRPr="00471CBA" w:rsidRDefault="009273BE" w:rsidP="009273BE">
            <w:pPr>
              <w:ind w:left="213" w:right="83" w:hanging="141"/>
              <w:jc w:val="right"/>
              <w:rPr>
                <w:sz w:val="18"/>
                <w:szCs w:val="18"/>
              </w:rPr>
            </w:pPr>
            <w:r w:rsidRPr="00471CBA">
              <w:rPr>
                <w:sz w:val="18"/>
                <w:szCs w:val="18"/>
              </w:rPr>
              <w:t>133.298</w:t>
            </w:r>
          </w:p>
        </w:tc>
      </w:tr>
      <w:tr w:rsidR="009273BE" w:rsidRPr="00471CBA" w14:paraId="7D4F8BB0" w14:textId="77777777" w:rsidTr="009273BE">
        <w:trPr>
          <w:trHeight w:val="121"/>
        </w:trPr>
        <w:tc>
          <w:tcPr>
            <w:tcW w:w="2397" w:type="pct"/>
            <w:vAlign w:val="center"/>
            <w:hideMark/>
          </w:tcPr>
          <w:p w14:paraId="69A1D362" w14:textId="77777777" w:rsidR="009273BE" w:rsidRPr="00471CBA" w:rsidRDefault="009273BE" w:rsidP="009273BE">
            <w:pPr>
              <w:ind w:left="382" w:right="121"/>
              <w:jc w:val="both"/>
              <w:rPr>
                <w:rFonts w:eastAsia="Arial Unicode MS"/>
                <w:sz w:val="18"/>
                <w:szCs w:val="18"/>
              </w:rPr>
            </w:pPr>
            <w:r w:rsidRPr="00471CBA">
              <w:rPr>
                <w:snapToGrid w:val="0"/>
                <w:sz w:val="18"/>
                <w:szCs w:val="18"/>
              </w:rPr>
              <w:t xml:space="preserve">Gerçeğe Uygun Değer Farkı Diğer Kapsamlı Gelire Yansıtılan Finansal </w:t>
            </w:r>
            <w:r w:rsidRPr="00471CBA">
              <w:rPr>
                <w:sz w:val="18"/>
                <w:szCs w:val="18"/>
              </w:rPr>
              <w:t>Varlıklar</w:t>
            </w:r>
          </w:p>
        </w:tc>
        <w:tc>
          <w:tcPr>
            <w:tcW w:w="665" w:type="pct"/>
            <w:vAlign w:val="bottom"/>
          </w:tcPr>
          <w:p w14:paraId="003747E6" w14:textId="6988B9E9" w:rsidR="009273BE" w:rsidRPr="00471CBA" w:rsidRDefault="009273BE" w:rsidP="009273BE">
            <w:pPr>
              <w:ind w:left="213" w:right="83" w:hanging="141"/>
              <w:jc w:val="right"/>
              <w:rPr>
                <w:sz w:val="18"/>
                <w:szCs w:val="18"/>
              </w:rPr>
            </w:pPr>
            <w:r w:rsidRPr="00471CBA">
              <w:rPr>
                <w:sz w:val="18"/>
                <w:szCs w:val="18"/>
              </w:rPr>
              <w:t>5.187.857</w:t>
            </w:r>
          </w:p>
        </w:tc>
        <w:tc>
          <w:tcPr>
            <w:tcW w:w="625" w:type="pct"/>
            <w:vAlign w:val="bottom"/>
          </w:tcPr>
          <w:p w14:paraId="63CDE83E" w14:textId="6A2BD16D" w:rsidR="009273BE" w:rsidRPr="00471CBA" w:rsidRDefault="009273BE" w:rsidP="009273BE">
            <w:pPr>
              <w:ind w:left="213" w:right="83" w:hanging="141"/>
              <w:jc w:val="right"/>
              <w:rPr>
                <w:sz w:val="18"/>
                <w:szCs w:val="18"/>
              </w:rPr>
            </w:pPr>
            <w:r w:rsidRPr="00471CBA">
              <w:rPr>
                <w:sz w:val="18"/>
                <w:szCs w:val="18"/>
              </w:rPr>
              <w:t>964.443</w:t>
            </w:r>
          </w:p>
        </w:tc>
        <w:tc>
          <w:tcPr>
            <w:tcW w:w="656" w:type="pct"/>
            <w:vAlign w:val="bottom"/>
          </w:tcPr>
          <w:p w14:paraId="6D537A60" w14:textId="73596D53" w:rsidR="009273BE" w:rsidRPr="00471CBA" w:rsidRDefault="009273BE" w:rsidP="009273BE">
            <w:pPr>
              <w:ind w:left="213" w:right="83" w:hanging="141"/>
              <w:jc w:val="right"/>
              <w:rPr>
                <w:sz w:val="18"/>
                <w:szCs w:val="18"/>
              </w:rPr>
            </w:pPr>
            <w:r w:rsidRPr="00471CBA">
              <w:rPr>
                <w:sz w:val="18"/>
                <w:szCs w:val="18"/>
              </w:rPr>
              <w:t>5.187.857</w:t>
            </w:r>
          </w:p>
        </w:tc>
        <w:tc>
          <w:tcPr>
            <w:tcW w:w="657" w:type="pct"/>
            <w:vAlign w:val="bottom"/>
          </w:tcPr>
          <w:p w14:paraId="368A93A9" w14:textId="2171735C" w:rsidR="009273BE" w:rsidRPr="00471CBA" w:rsidRDefault="009273BE" w:rsidP="009273BE">
            <w:pPr>
              <w:ind w:left="213" w:right="83" w:hanging="141"/>
              <w:jc w:val="right"/>
              <w:rPr>
                <w:sz w:val="18"/>
                <w:szCs w:val="18"/>
              </w:rPr>
            </w:pPr>
            <w:r w:rsidRPr="00471CBA">
              <w:rPr>
                <w:sz w:val="18"/>
                <w:szCs w:val="18"/>
              </w:rPr>
              <w:t>964.443</w:t>
            </w:r>
          </w:p>
        </w:tc>
      </w:tr>
      <w:tr w:rsidR="009273BE" w:rsidRPr="00471CBA" w14:paraId="1849C072" w14:textId="77777777" w:rsidTr="009273BE">
        <w:trPr>
          <w:trHeight w:val="121"/>
        </w:trPr>
        <w:tc>
          <w:tcPr>
            <w:tcW w:w="2397" w:type="pct"/>
            <w:vAlign w:val="center"/>
            <w:hideMark/>
          </w:tcPr>
          <w:p w14:paraId="6FAEE236" w14:textId="77777777" w:rsidR="009273BE" w:rsidRPr="00471CBA" w:rsidRDefault="009273BE" w:rsidP="009273BE">
            <w:pPr>
              <w:ind w:left="382" w:right="121"/>
              <w:jc w:val="both"/>
              <w:rPr>
                <w:snapToGrid w:val="0"/>
                <w:sz w:val="18"/>
                <w:szCs w:val="18"/>
              </w:rPr>
            </w:pPr>
            <w:r w:rsidRPr="00471CBA">
              <w:rPr>
                <w:snapToGrid w:val="0"/>
                <w:sz w:val="18"/>
                <w:szCs w:val="18"/>
              </w:rPr>
              <w:t>İtfa Edilmiş Maliyet Üzerinden Değerlenen Finansal Varlıklar</w:t>
            </w:r>
          </w:p>
        </w:tc>
        <w:tc>
          <w:tcPr>
            <w:tcW w:w="665" w:type="pct"/>
            <w:vAlign w:val="bottom"/>
          </w:tcPr>
          <w:p w14:paraId="23291473" w14:textId="36249E37" w:rsidR="009273BE" w:rsidRPr="00471CBA" w:rsidRDefault="009273BE" w:rsidP="009273BE">
            <w:pPr>
              <w:ind w:left="213" w:right="83" w:hanging="141"/>
              <w:jc w:val="right"/>
              <w:rPr>
                <w:sz w:val="18"/>
                <w:szCs w:val="18"/>
              </w:rPr>
            </w:pPr>
            <w:r w:rsidRPr="00471CBA">
              <w:rPr>
                <w:sz w:val="18"/>
                <w:szCs w:val="18"/>
              </w:rPr>
              <w:t>750.636</w:t>
            </w:r>
          </w:p>
        </w:tc>
        <w:tc>
          <w:tcPr>
            <w:tcW w:w="625" w:type="pct"/>
            <w:vAlign w:val="bottom"/>
          </w:tcPr>
          <w:p w14:paraId="7A0249BA" w14:textId="7F21A46B" w:rsidR="009273BE" w:rsidRPr="00471CBA" w:rsidRDefault="009273BE" w:rsidP="009273BE">
            <w:pPr>
              <w:ind w:left="213" w:right="83" w:hanging="141"/>
              <w:jc w:val="right"/>
              <w:rPr>
                <w:sz w:val="18"/>
                <w:szCs w:val="18"/>
              </w:rPr>
            </w:pPr>
            <w:r w:rsidRPr="00471CBA">
              <w:rPr>
                <w:sz w:val="18"/>
                <w:szCs w:val="18"/>
              </w:rPr>
              <w:t>391.310</w:t>
            </w:r>
          </w:p>
        </w:tc>
        <w:tc>
          <w:tcPr>
            <w:tcW w:w="656" w:type="pct"/>
            <w:vAlign w:val="bottom"/>
          </w:tcPr>
          <w:p w14:paraId="44D36F7D" w14:textId="4481757A" w:rsidR="009273BE" w:rsidRPr="00471CBA" w:rsidRDefault="009273BE" w:rsidP="009273BE">
            <w:pPr>
              <w:ind w:left="213" w:right="83" w:hanging="141"/>
              <w:jc w:val="right"/>
              <w:rPr>
                <w:sz w:val="18"/>
                <w:szCs w:val="18"/>
              </w:rPr>
            </w:pPr>
            <w:r w:rsidRPr="00471CBA">
              <w:rPr>
                <w:sz w:val="18"/>
                <w:szCs w:val="18"/>
              </w:rPr>
              <w:t>708.176</w:t>
            </w:r>
          </w:p>
        </w:tc>
        <w:tc>
          <w:tcPr>
            <w:tcW w:w="657" w:type="pct"/>
            <w:vAlign w:val="bottom"/>
          </w:tcPr>
          <w:p w14:paraId="7E68DF41" w14:textId="3EB033D5" w:rsidR="009273BE" w:rsidRPr="00471CBA" w:rsidRDefault="009273BE" w:rsidP="009273BE">
            <w:pPr>
              <w:ind w:left="213" w:right="83" w:hanging="141"/>
              <w:jc w:val="right"/>
              <w:rPr>
                <w:sz w:val="18"/>
                <w:szCs w:val="18"/>
              </w:rPr>
            </w:pPr>
            <w:r w:rsidRPr="00471CBA">
              <w:rPr>
                <w:sz w:val="18"/>
                <w:szCs w:val="18"/>
              </w:rPr>
              <w:t>224.336</w:t>
            </w:r>
          </w:p>
        </w:tc>
      </w:tr>
      <w:tr w:rsidR="009273BE" w:rsidRPr="00471CBA" w14:paraId="59AA71B2" w14:textId="77777777" w:rsidTr="009273BE">
        <w:trPr>
          <w:trHeight w:val="121"/>
        </w:trPr>
        <w:tc>
          <w:tcPr>
            <w:tcW w:w="2397" w:type="pct"/>
            <w:vAlign w:val="center"/>
            <w:hideMark/>
          </w:tcPr>
          <w:p w14:paraId="60688464" w14:textId="77777777" w:rsidR="009273BE" w:rsidRPr="00471CBA" w:rsidRDefault="009273BE" w:rsidP="009273BE">
            <w:pPr>
              <w:ind w:left="382" w:right="121"/>
              <w:jc w:val="both"/>
              <w:rPr>
                <w:snapToGrid w:val="0"/>
                <w:sz w:val="18"/>
                <w:szCs w:val="18"/>
              </w:rPr>
            </w:pPr>
            <w:r w:rsidRPr="00471CBA">
              <w:rPr>
                <w:snapToGrid w:val="0"/>
                <w:sz w:val="18"/>
                <w:szCs w:val="18"/>
              </w:rPr>
              <w:t>Verilen krediler ve finansal kiralama alacakları</w:t>
            </w:r>
          </w:p>
        </w:tc>
        <w:tc>
          <w:tcPr>
            <w:tcW w:w="665" w:type="pct"/>
            <w:vAlign w:val="bottom"/>
          </w:tcPr>
          <w:p w14:paraId="24ABEC43" w14:textId="7859CBC0" w:rsidR="009273BE" w:rsidRPr="00471CBA" w:rsidRDefault="009273BE" w:rsidP="009273BE">
            <w:pPr>
              <w:ind w:left="213" w:right="83" w:hanging="141"/>
              <w:jc w:val="right"/>
              <w:rPr>
                <w:sz w:val="18"/>
                <w:szCs w:val="18"/>
              </w:rPr>
            </w:pPr>
            <w:r w:rsidRPr="00471CBA">
              <w:rPr>
                <w:sz w:val="18"/>
                <w:szCs w:val="18"/>
              </w:rPr>
              <w:t>54.302.936</w:t>
            </w:r>
          </w:p>
        </w:tc>
        <w:tc>
          <w:tcPr>
            <w:tcW w:w="625" w:type="pct"/>
            <w:vAlign w:val="bottom"/>
          </w:tcPr>
          <w:p w14:paraId="72938A72" w14:textId="6755207E" w:rsidR="009273BE" w:rsidRPr="00471CBA" w:rsidRDefault="009273BE" w:rsidP="009273BE">
            <w:pPr>
              <w:ind w:left="213" w:right="83" w:hanging="141"/>
              <w:jc w:val="right"/>
              <w:rPr>
                <w:sz w:val="18"/>
                <w:szCs w:val="18"/>
              </w:rPr>
            </w:pPr>
            <w:r w:rsidRPr="00471CBA">
              <w:rPr>
                <w:sz w:val="18"/>
                <w:szCs w:val="18"/>
              </w:rPr>
              <w:t>23.033.822</w:t>
            </w:r>
          </w:p>
        </w:tc>
        <w:tc>
          <w:tcPr>
            <w:tcW w:w="656" w:type="pct"/>
            <w:vAlign w:val="bottom"/>
          </w:tcPr>
          <w:p w14:paraId="21333BE4" w14:textId="07677640" w:rsidR="009273BE" w:rsidRPr="00471CBA" w:rsidRDefault="009273BE" w:rsidP="009273BE">
            <w:pPr>
              <w:ind w:left="213" w:right="83" w:hanging="141"/>
              <w:jc w:val="right"/>
              <w:rPr>
                <w:sz w:val="18"/>
                <w:szCs w:val="18"/>
              </w:rPr>
            </w:pPr>
            <w:r w:rsidRPr="00471CBA">
              <w:rPr>
                <w:sz w:val="18"/>
                <w:szCs w:val="18"/>
              </w:rPr>
              <w:t>52.176.164</w:t>
            </w:r>
          </w:p>
        </w:tc>
        <w:tc>
          <w:tcPr>
            <w:tcW w:w="657" w:type="pct"/>
            <w:vAlign w:val="bottom"/>
          </w:tcPr>
          <w:p w14:paraId="458D52B3" w14:textId="0062F90B" w:rsidR="009273BE" w:rsidRPr="00471CBA" w:rsidRDefault="009273BE" w:rsidP="009273BE">
            <w:pPr>
              <w:ind w:left="213" w:right="83" w:hanging="141"/>
              <w:jc w:val="right"/>
              <w:rPr>
                <w:sz w:val="18"/>
                <w:szCs w:val="18"/>
              </w:rPr>
            </w:pPr>
            <w:r w:rsidRPr="00471CBA">
              <w:rPr>
                <w:sz w:val="18"/>
                <w:szCs w:val="18"/>
              </w:rPr>
              <w:t>19.640.307</w:t>
            </w:r>
          </w:p>
        </w:tc>
      </w:tr>
      <w:tr w:rsidR="009273BE" w:rsidRPr="00471CBA" w14:paraId="6ACB3944" w14:textId="77777777" w:rsidTr="009273BE">
        <w:trPr>
          <w:trHeight w:val="121"/>
        </w:trPr>
        <w:tc>
          <w:tcPr>
            <w:tcW w:w="2397" w:type="pct"/>
            <w:vAlign w:val="center"/>
          </w:tcPr>
          <w:p w14:paraId="7AD89D3E" w14:textId="77777777" w:rsidR="009273BE" w:rsidRPr="00471CBA" w:rsidRDefault="009273BE" w:rsidP="009273BE">
            <w:pPr>
              <w:ind w:left="382" w:right="121"/>
              <w:jc w:val="both"/>
              <w:rPr>
                <w:snapToGrid w:val="0"/>
                <w:sz w:val="18"/>
                <w:szCs w:val="18"/>
              </w:rPr>
            </w:pPr>
          </w:p>
        </w:tc>
        <w:tc>
          <w:tcPr>
            <w:tcW w:w="665" w:type="pct"/>
            <w:vAlign w:val="bottom"/>
          </w:tcPr>
          <w:p w14:paraId="63153CB9" w14:textId="77777777" w:rsidR="009273BE" w:rsidRPr="00471CBA" w:rsidRDefault="009273BE" w:rsidP="009273BE">
            <w:pPr>
              <w:ind w:left="213" w:right="83" w:hanging="141"/>
              <w:jc w:val="right"/>
              <w:rPr>
                <w:sz w:val="18"/>
                <w:szCs w:val="18"/>
              </w:rPr>
            </w:pPr>
          </w:p>
        </w:tc>
        <w:tc>
          <w:tcPr>
            <w:tcW w:w="625" w:type="pct"/>
            <w:vAlign w:val="bottom"/>
          </w:tcPr>
          <w:p w14:paraId="40C75FF2" w14:textId="77777777" w:rsidR="009273BE" w:rsidRPr="00471CBA" w:rsidRDefault="009273BE" w:rsidP="009273BE">
            <w:pPr>
              <w:ind w:left="213" w:right="83" w:hanging="141"/>
              <w:jc w:val="right"/>
              <w:rPr>
                <w:sz w:val="18"/>
                <w:szCs w:val="18"/>
              </w:rPr>
            </w:pPr>
          </w:p>
        </w:tc>
        <w:tc>
          <w:tcPr>
            <w:tcW w:w="656" w:type="pct"/>
            <w:vAlign w:val="bottom"/>
          </w:tcPr>
          <w:p w14:paraId="3BB89F7B" w14:textId="77777777" w:rsidR="009273BE" w:rsidRPr="00471CBA" w:rsidRDefault="009273BE" w:rsidP="009273BE">
            <w:pPr>
              <w:ind w:left="213" w:right="83" w:hanging="141"/>
              <w:jc w:val="right"/>
              <w:rPr>
                <w:sz w:val="18"/>
                <w:szCs w:val="18"/>
              </w:rPr>
            </w:pPr>
          </w:p>
        </w:tc>
        <w:tc>
          <w:tcPr>
            <w:tcW w:w="657" w:type="pct"/>
            <w:vAlign w:val="bottom"/>
          </w:tcPr>
          <w:p w14:paraId="34CAFFFC" w14:textId="77777777" w:rsidR="009273BE" w:rsidRPr="00471CBA" w:rsidRDefault="009273BE" w:rsidP="009273BE">
            <w:pPr>
              <w:ind w:left="213" w:right="83" w:hanging="141"/>
              <w:jc w:val="right"/>
              <w:rPr>
                <w:sz w:val="18"/>
                <w:szCs w:val="18"/>
              </w:rPr>
            </w:pPr>
          </w:p>
        </w:tc>
      </w:tr>
      <w:tr w:rsidR="009273BE" w:rsidRPr="00471CBA" w14:paraId="6F594A9B" w14:textId="77777777" w:rsidTr="009273BE">
        <w:trPr>
          <w:trHeight w:val="121"/>
        </w:trPr>
        <w:tc>
          <w:tcPr>
            <w:tcW w:w="2397" w:type="pct"/>
            <w:vAlign w:val="center"/>
            <w:hideMark/>
          </w:tcPr>
          <w:p w14:paraId="1160D3ED" w14:textId="77777777" w:rsidR="009273BE" w:rsidRPr="00471CBA" w:rsidRDefault="009273BE" w:rsidP="009273BE">
            <w:pPr>
              <w:pStyle w:val="Balk8"/>
              <w:ind w:left="0" w:right="121"/>
              <w:jc w:val="both"/>
              <w:rPr>
                <w:rFonts w:ascii="Times New Roman" w:hAnsi="Times New Roman"/>
                <w:b/>
                <w:i w:val="0"/>
                <w:sz w:val="18"/>
                <w:szCs w:val="18"/>
              </w:rPr>
            </w:pPr>
            <w:r w:rsidRPr="00471CBA">
              <w:rPr>
                <w:rFonts w:ascii="Times New Roman" w:hAnsi="Times New Roman"/>
                <w:b/>
                <w:i w:val="0"/>
                <w:sz w:val="18"/>
                <w:szCs w:val="18"/>
              </w:rPr>
              <w:t>Finansal yükümlülükler</w:t>
            </w:r>
          </w:p>
        </w:tc>
        <w:tc>
          <w:tcPr>
            <w:tcW w:w="665" w:type="pct"/>
            <w:vAlign w:val="bottom"/>
          </w:tcPr>
          <w:p w14:paraId="4AAEE611" w14:textId="77777777" w:rsidR="009273BE" w:rsidRPr="00471CBA" w:rsidRDefault="009273BE" w:rsidP="009273BE">
            <w:pPr>
              <w:ind w:left="213" w:right="83" w:hanging="141"/>
              <w:jc w:val="right"/>
              <w:rPr>
                <w:sz w:val="18"/>
                <w:szCs w:val="18"/>
              </w:rPr>
            </w:pPr>
          </w:p>
        </w:tc>
        <w:tc>
          <w:tcPr>
            <w:tcW w:w="625" w:type="pct"/>
            <w:vAlign w:val="bottom"/>
          </w:tcPr>
          <w:p w14:paraId="32BCF225" w14:textId="77777777" w:rsidR="009273BE" w:rsidRPr="00471CBA" w:rsidRDefault="009273BE" w:rsidP="009273BE">
            <w:pPr>
              <w:ind w:left="213" w:right="83" w:hanging="141"/>
              <w:jc w:val="right"/>
              <w:rPr>
                <w:sz w:val="18"/>
                <w:szCs w:val="18"/>
              </w:rPr>
            </w:pPr>
          </w:p>
        </w:tc>
        <w:tc>
          <w:tcPr>
            <w:tcW w:w="656" w:type="pct"/>
            <w:vAlign w:val="bottom"/>
          </w:tcPr>
          <w:p w14:paraId="15A2325C" w14:textId="77777777" w:rsidR="009273BE" w:rsidRPr="00471CBA" w:rsidRDefault="009273BE" w:rsidP="009273BE">
            <w:pPr>
              <w:ind w:left="213" w:right="83" w:hanging="141"/>
              <w:jc w:val="right"/>
              <w:rPr>
                <w:sz w:val="18"/>
                <w:szCs w:val="18"/>
              </w:rPr>
            </w:pPr>
          </w:p>
        </w:tc>
        <w:tc>
          <w:tcPr>
            <w:tcW w:w="657" w:type="pct"/>
            <w:vAlign w:val="bottom"/>
          </w:tcPr>
          <w:p w14:paraId="0A72C0C0" w14:textId="77777777" w:rsidR="009273BE" w:rsidRPr="00471CBA" w:rsidRDefault="009273BE" w:rsidP="009273BE">
            <w:pPr>
              <w:ind w:left="213" w:right="83" w:hanging="141"/>
              <w:jc w:val="right"/>
              <w:rPr>
                <w:sz w:val="18"/>
                <w:szCs w:val="18"/>
              </w:rPr>
            </w:pPr>
          </w:p>
        </w:tc>
      </w:tr>
      <w:tr w:rsidR="009273BE" w:rsidRPr="00471CBA" w14:paraId="153A917C" w14:textId="77777777" w:rsidTr="009273BE">
        <w:trPr>
          <w:trHeight w:val="121"/>
        </w:trPr>
        <w:tc>
          <w:tcPr>
            <w:tcW w:w="2397" w:type="pct"/>
            <w:vAlign w:val="center"/>
          </w:tcPr>
          <w:p w14:paraId="4F9019BD" w14:textId="77777777" w:rsidR="009273BE" w:rsidRPr="00471CBA" w:rsidRDefault="009273BE" w:rsidP="009273BE">
            <w:pPr>
              <w:pStyle w:val="Balk8"/>
              <w:ind w:left="0" w:right="121"/>
              <w:jc w:val="both"/>
              <w:rPr>
                <w:rFonts w:ascii="Times New Roman" w:hAnsi="Times New Roman"/>
                <w:b/>
                <w:i w:val="0"/>
                <w:sz w:val="18"/>
                <w:szCs w:val="18"/>
              </w:rPr>
            </w:pPr>
          </w:p>
        </w:tc>
        <w:tc>
          <w:tcPr>
            <w:tcW w:w="665" w:type="pct"/>
            <w:vAlign w:val="bottom"/>
          </w:tcPr>
          <w:p w14:paraId="66384432" w14:textId="77777777" w:rsidR="009273BE" w:rsidRPr="00471CBA" w:rsidRDefault="009273BE" w:rsidP="009273BE">
            <w:pPr>
              <w:ind w:left="213" w:right="83" w:hanging="141"/>
              <w:jc w:val="right"/>
              <w:rPr>
                <w:sz w:val="18"/>
                <w:szCs w:val="18"/>
              </w:rPr>
            </w:pPr>
          </w:p>
        </w:tc>
        <w:tc>
          <w:tcPr>
            <w:tcW w:w="625" w:type="pct"/>
            <w:vAlign w:val="bottom"/>
          </w:tcPr>
          <w:p w14:paraId="179D1885" w14:textId="77777777" w:rsidR="009273BE" w:rsidRPr="00471CBA" w:rsidRDefault="009273BE" w:rsidP="009273BE">
            <w:pPr>
              <w:ind w:left="213" w:right="83" w:hanging="141"/>
              <w:jc w:val="right"/>
              <w:rPr>
                <w:sz w:val="18"/>
                <w:szCs w:val="18"/>
              </w:rPr>
            </w:pPr>
          </w:p>
        </w:tc>
        <w:tc>
          <w:tcPr>
            <w:tcW w:w="656" w:type="pct"/>
            <w:vAlign w:val="bottom"/>
          </w:tcPr>
          <w:p w14:paraId="00C25E71" w14:textId="77777777" w:rsidR="009273BE" w:rsidRPr="00471CBA" w:rsidRDefault="009273BE" w:rsidP="009273BE">
            <w:pPr>
              <w:ind w:left="213" w:right="83" w:hanging="141"/>
              <w:jc w:val="right"/>
              <w:rPr>
                <w:sz w:val="18"/>
                <w:szCs w:val="18"/>
              </w:rPr>
            </w:pPr>
          </w:p>
        </w:tc>
        <w:tc>
          <w:tcPr>
            <w:tcW w:w="657" w:type="pct"/>
            <w:vAlign w:val="bottom"/>
          </w:tcPr>
          <w:p w14:paraId="3BADCA66" w14:textId="77777777" w:rsidR="009273BE" w:rsidRPr="00471CBA" w:rsidRDefault="009273BE" w:rsidP="009273BE">
            <w:pPr>
              <w:ind w:left="213" w:right="83" w:hanging="141"/>
              <w:jc w:val="right"/>
              <w:rPr>
                <w:sz w:val="18"/>
                <w:szCs w:val="18"/>
              </w:rPr>
            </w:pPr>
          </w:p>
        </w:tc>
      </w:tr>
      <w:tr w:rsidR="009273BE" w:rsidRPr="00471CBA" w14:paraId="1AAA25AE" w14:textId="77777777" w:rsidTr="009273BE">
        <w:trPr>
          <w:trHeight w:val="121"/>
        </w:trPr>
        <w:tc>
          <w:tcPr>
            <w:tcW w:w="2397" w:type="pct"/>
            <w:vAlign w:val="center"/>
            <w:hideMark/>
          </w:tcPr>
          <w:p w14:paraId="02EC0C9B" w14:textId="77777777" w:rsidR="009273BE" w:rsidRPr="00471CBA" w:rsidRDefault="009273BE" w:rsidP="009273BE">
            <w:pPr>
              <w:ind w:left="382" w:right="121"/>
              <w:jc w:val="both"/>
              <w:rPr>
                <w:rFonts w:eastAsia="Arial Unicode MS"/>
                <w:sz w:val="18"/>
                <w:szCs w:val="18"/>
              </w:rPr>
            </w:pPr>
            <w:r w:rsidRPr="00471CBA">
              <w:rPr>
                <w:snapToGrid w:val="0"/>
                <w:sz w:val="18"/>
                <w:szCs w:val="18"/>
              </w:rPr>
              <w:t>Özel cari hesap ve katılma hesapları aracılığı ile bankalardan toplanan fonlar</w:t>
            </w:r>
          </w:p>
        </w:tc>
        <w:tc>
          <w:tcPr>
            <w:tcW w:w="665" w:type="pct"/>
            <w:vAlign w:val="bottom"/>
          </w:tcPr>
          <w:p w14:paraId="34AC3F85" w14:textId="387759B9" w:rsidR="009273BE" w:rsidRPr="00471CBA" w:rsidRDefault="009273BE" w:rsidP="009273BE">
            <w:pPr>
              <w:ind w:left="213" w:right="83" w:hanging="141"/>
              <w:jc w:val="right"/>
              <w:rPr>
                <w:sz w:val="18"/>
                <w:szCs w:val="18"/>
              </w:rPr>
            </w:pPr>
            <w:r w:rsidRPr="00471CBA">
              <w:rPr>
                <w:sz w:val="18"/>
                <w:szCs w:val="18"/>
              </w:rPr>
              <w:t>4.353</w:t>
            </w:r>
          </w:p>
        </w:tc>
        <w:tc>
          <w:tcPr>
            <w:tcW w:w="625" w:type="pct"/>
            <w:vAlign w:val="bottom"/>
          </w:tcPr>
          <w:p w14:paraId="4F0DA769" w14:textId="58E81BF1" w:rsidR="009273BE" w:rsidRPr="00471CBA" w:rsidRDefault="009273BE" w:rsidP="009273BE">
            <w:pPr>
              <w:ind w:left="213" w:right="83" w:hanging="141"/>
              <w:jc w:val="right"/>
              <w:rPr>
                <w:sz w:val="18"/>
                <w:szCs w:val="18"/>
              </w:rPr>
            </w:pPr>
            <w:r w:rsidRPr="00471CBA">
              <w:rPr>
                <w:sz w:val="18"/>
                <w:szCs w:val="18"/>
              </w:rPr>
              <w:t>2.136</w:t>
            </w:r>
          </w:p>
        </w:tc>
        <w:tc>
          <w:tcPr>
            <w:tcW w:w="656" w:type="pct"/>
            <w:vAlign w:val="bottom"/>
          </w:tcPr>
          <w:p w14:paraId="59DC4CAC" w14:textId="133C93A7" w:rsidR="009273BE" w:rsidRPr="00471CBA" w:rsidRDefault="009273BE" w:rsidP="009273BE">
            <w:pPr>
              <w:ind w:left="213" w:right="83" w:hanging="141"/>
              <w:jc w:val="right"/>
              <w:rPr>
                <w:sz w:val="18"/>
                <w:szCs w:val="18"/>
              </w:rPr>
            </w:pPr>
            <w:r w:rsidRPr="00471CBA">
              <w:rPr>
                <w:sz w:val="18"/>
                <w:szCs w:val="18"/>
              </w:rPr>
              <w:t>4.353</w:t>
            </w:r>
          </w:p>
        </w:tc>
        <w:tc>
          <w:tcPr>
            <w:tcW w:w="657" w:type="pct"/>
            <w:vAlign w:val="bottom"/>
          </w:tcPr>
          <w:p w14:paraId="7376410B" w14:textId="1430FAD2" w:rsidR="009273BE" w:rsidRPr="00471CBA" w:rsidRDefault="009273BE" w:rsidP="009273BE">
            <w:pPr>
              <w:ind w:left="213" w:right="83" w:hanging="141"/>
              <w:jc w:val="right"/>
              <w:rPr>
                <w:sz w:val="18"/>
                <w:szCs w:val="18"/>
              </w:rPr>
            </w:pPr>
            <w:r w:rsidRPr="00471CBA">
              <w:rPr>
                <w:sz w:val="18"/>
                <w:szCs w:val="18"/>
              </w:rPr>
              <w:t>2.136</w:t>
            </w:r>
          </w:p>
        </w:tc>
      </w:tr>
      <w:tr w:rsidR="009273BE" w:rsidRPr="00471CBA" w14:paraId="0502A549" w14:textId="77777777" w:rsidTr="009273BE">
        <w:trPr>
          <w:trHeight w:val="121"/>
        </w:trPr>
        <w:tc>
          <w:tcPr>
            <w:tcW w:w="2397" w:type="pct"/>
            <w:vAlign w:val="center"/>
            <w:hideMark/>
          </w:tcPr>
          <w:p w14:paraId="0C74403B" w14:textId="77777777" w:rsidR="009273BE" w:rsidRPr="00471CBA" w:rsidRDefault="009273BE" w:rsidP="009273BE">
            <w:pPr>
              <w:ind w:left="382" w:right="121"/>
              <w:jc w:val="both"/>
              <w:rPr>
                <w:rFonts w:eastAsia="Arial Unicode MS"/>
                <w:sz w:val="18"/>
                <w:szCs w:val="18"/>
              </w:rPr>
            </w:pPr>
            <w:r w:rsidRPr="00471CBA">
              <w:rPr>
                <w:snapToGrid w:val="0"/>
                <w:sz w:val="18"/>
                <w:szCs w:val="18"/>
              </w:rPr>
              <w:t>Diğer özel cari hesap ve katılma hesapları</w:t>
            </w:r>
          </w:p>
        </w:tc>
        <w:tc>
          <w:tcPr>
            <w:tcW w:w="665" w:type="pct"/>
            <w:vAlign w:val="bottom"/>
          </w:tcPr>
          <w:p w14:paraId="62D0DDDD" w14:textId="11929A65" w:rsidR="009273BE" w:rsidRPr="00471CBA" w:rsidRDefault="009273BE" w:rsidP="009273BE">
            <w:pPr>
              <w:ind w:left="213" w:right="83" w:hanging="141"/>
              <w:jc w:val="right"/>
              <w:rPr>
                <w:sz w:val="18"/>
                <w:szCs w:val="18"/>
              </w:rPr>
            </w:pPr>
            <w:r w:rsidRPr="00471CBA">
              <w:rPr>
                <w:sz w:val="18"/>
                <w:szCs w:val="18"/>
              </w:rPr>
              <w:t>76.462.421</w:t>
            </w:r>
          </w:p>
        </w:tc>
        <w:tc>
          <w:tcPr>
            <w:tcW w:w="625" w:type="pct"/>
            <w:vAlign w:val="bottom"/>
          </w:tcPr>
          <w:p w14:paraId="01DC5D9A" w14:textId="06280F9F" w:rsidR="009273BE" w:rsidRPr="00471CBA" w:rsidRDefault="009273BE" w:rsidP="009273BE">
            <w:pPr>
              <w:ind w:left="213" w:right="83" w:hanging="141"/>
              <w:jc w:val="right"/>
              <w:rPr>
                <w:sz w:val="18"/>
                <w:szCs w:val="18"/>
              </w:rPr>
            </w:pPr>
            <w:r w:rsidRPr="00471CBA">
              <w:rPr>
                <w:sz w:val="18"/>
                <w:szCs w:val="18"/>
              </w:rPr>
              <w:t>23.822.573</w:t>
            </w:r>
          </w:p>
        </w:tc>
        <w:tc>
          <w:tcPr>
            <w:tcW w:w="656" w:type="pct"/>
            <w:vAlign w:val="bottom"/>
          </w:tcPr>
          <w:p w14:paraId="7DFF8926" w14:textId="7CEBC7D4" w:rsidR="009273BE" w:rsidRPr="00471CBA" w:rsidRDefault="009273BE" w:rsidP="009273BE">
            <w:pPr>
              <w:ind w:left="213" w:right="83" w:hanging="141"/>
              <w:jc w:val="right"/>
              <w:rPr>
                <w:sz w:val="18"/>
                <w:szCs w:val="18"/>
              </w:rPr>
            </w:pPr>
            <w:r w:rsidRPr="00471CBA">
              <w:rPr>
                <w:sz w:val="18"/>
                <w:szCs w:val="18"/>
              </w:rPr>
              <w:t>76.462.421</w:t>
            </w:r>
          </w:p>
        </w:tc>
        <w:tc>
          <w:tcPr>
            <w:tcW w:w="657" w:type="pct"/>
            <w:vAlign w:val="bottom"/>
          </w:tcPr>
          <w:p w14:paraId="4F3D7D74" w14:textId="3F8FC6DE" w:rsidR="009273BE" w:rsidRPr="00471CBA" w:rsidRDefault="009273BE" w:rsidP="009273BE">
            <w:pPr>
              <w:ind w:left="213" w:right="83" w:hanging="141"/>
              <w:jc w:val="right"/>
              <w:rPr>
                <w:sz w:val="18"/>
                <w:szCs w:val="18"/>
              </w:rPr>
            </w:pPr>
            <w:r w:rsidRPr="00471CBA">
              <w:rPr>
                <w:sz w:val="18"/>
                <w:szCs w:val="18"/>
              </w:rPr>
              <w:t>23.822.573</w:t>
            </w:r>
          </w:p>
        </w:tc>
      </w:tr>
      <w:tr w:rsidR="009273BE" w:rsidRPr="00471CBA" w14:paraId="75DB155F" w14:textId="77777777" w:rsidTr="009273BE">
        <w:trPr>
          <w:trHeight w:val="121"/>
        </w:trPr>
        <w:tc>
          <w:tcPr>
            <w:tcW w:w="2397" w:type="pct"/>
            <w:vAlign w:val="center"/>
            <w:hideMark/>
          </w:tcPr>
          <w:p w14:paraId="518B8256" w14:textId="77777777" w:rsidR="009273BE" w:rsidRPr="00471CBA" w:rsidRDefault="009273BE" w:rsidP="009273BE">
            <w:pPr>
              <w:ind w:left="382"/>
              <w:jc w:val="both"/>
              <w:rPr>
                <w:rFonts w:eastAsia="Arial Unicode MS"/>
                <w:sz w:val="18"/>
                <w:szCs w:val="18"/>
              </w:rPr>
            </w:pPr>
            <w:r w:rsidRPr="00471CBA">
              <w:rPr>
                <w:snapToGrid w:val="0"/>
                <w:sz w:val="18"/>
                <w:szCs w:val="18"/>
              </w:rPr>
              <w:t>Diğer mali kuruluşlardan sağlanan fonlar</w:t>
            </w:r>
          </w:p>
        </w:tc>
        <w:tc>
          <w:tcPr>
            <w:tcW w:w="665" w:type="pct"/>
            <w:vAlign w:val="bottom"/>
          </w:tcPr>
          <w:p w14:paraId="70140C82" w14:textId="1956B53E" w:rsidR="009273BE" w:rsidRPr="00471CBA" w:rsidRDefault="009273BE" w:rsidP="009273BE">
            <w:pPr>
              <w:ind w:left="213" w:right="83" w:hanging="141"/>
              <w:jc w:val="right"/>
              <w:rPr>
                <w:sz w:val="18"/>
                <w:szCs w:val="18"/>
              </w:rPr>
            </w:pPr>
            <w:r w:rsidRPr="00471CBA">
              <w:rPr>
                <w:sz w:val="18"/>
                <w:szCs w:val="18"/>
              </w:rPr>
              <w:t>5.520.238</w:t>
            </w:r>
          </w:p>
        </w:tc>
        <w:tc>
          <w:tcPr>
            <w:tcW w:w="625" w:type="pct"/>
            <w:vAlign w:val="bottom"/>
          </w:tcPr>
          <w:p w14:paraId="4C30CD50" w14:textId="29F1AEFC" w:rsidR="009273BE" w:rsidRPr="00471CBA" w:rsidRDefault="009273BE" w:rsidP="009273BE">
            <w:pPr>
              <w:ind w:left="213" w:right="83" w:hanging="141"/>
              <w:jc w:val="right"/>
              <w:rPr>
                <w:sz w:val="18"/>
                <w:szCs w:val="18"/>
              </w:rPr>
            </w:pPr>
            <w:r w:rsidRPr="00471CBA">
              <w:rPr>
                <w:sz w:val="18"/>
                <w:szCs w:val="18"/>
              </w:rPr>
              <w:t>1.922.240</w:t>
            </w:r>
          </w:p>
        </w:tc>
        <w:tc>
          <w:tcPr>
            <w:tcW w:w="656" w:type="pct"/>
            <w:vAlign w:val="bottom"/>
          </w:tcPr>
          <w:p w14:paraId="07415A18" w14:textId="29C5BF86" w:rsidR="009273BE" w:rsidRPr="00471CBA" w:rsidRDefault="009273BE" w:rsidP="009273BE">
            <w:pPr>
              <w:ind w:left="213" w:right="83" w:hanging="141"/>
              <w:jc w:val="right"/>
              <w:rPr>
                <w:sz w:val="18"/>
                <w:szCs w:val="18"/>
              </w:rPr>
            </w:pPr>
            <w:r w:rsidRPr="00471CBA">
              <w:rPr>
                <w:sz w:val="18"/>
                <w:szCs w:val="18"/>
              </w:rPr>
              <w:t>5.773.067</w:t>
            </w:r>
          </w:p>
        </w:tc>
        <w:tc>
          <w:tcPr>
            <w:tcW w:w="657" w:type="pct"/>
            <w:vAlign w:val="bottom"/>
          </w:tcPr>
          <w:p w14:paraId="712A1100" w14:textId="225B47E4" w:rsidR="009273BE" w:rsidRPr="00471CBA" w:rsidRDefault="009273BE" w:rsidP="009273BE">
            <w:pPr>
              <w:ind w:left="213" w:right="83" w:hanging="141"/>
              <w:jc w:val="right"/>
              <w:rPr>
                <w:sz w:val="18"/>
                <w:szCs w:val="18"/>
              </w:rPr>
            </w:pPr>
            <w:r w:rsidRPr="00471CBA">
              <w:rPr>
                <w:sz w:val="18"/>
                <w:szCs w:val="18"/>
              </w:rPr>
              <w:t>1.922.240</w:t>
            </w:r>
          </w:p>
        </w:tc>
      </w:tr>
      <w:tr w:rsidR="009273BE" w:rsidRPr="00471CBA" w14:paraId="0BCBD594" w14:textId="77777777" w:rsidTr="009273BE">
        <w:trPr>
          <w:trHeight w:val="121"/>
        </w:trPr>
        <w:tc>
          <w:tcPr>
            <w:tcW w:w="2397" w:type="pct"/>
            <w:vAlign w:val="center"/>
            <w:hideMark/>
          </w:tcPr>
          <w:p w14:paraId="70CFDEC3" w14:textId="77777777" w:rsidR="009273BE" w:rsidRPr="00471CBA" w:rsidRDefault="009273BE" w:rsidP="009273BE">
            <w:pPr>
              <w:ind w:left="382"/>
              <w:jc w:val="both"/>
              <w:rPr>
                <w:snapToGrid w:val="0"/>
                <w:sz w:val="18"/>
                <w:szCs w:val="18"/>
              </w:rPr>
            </w:pPr>
            <w:r w:rsidRPr="00471CBA">
              <w:rPr>
                <w:snapToGrid w:val="0"/>
                <w:sz w:val="18"/>
                <w:szCs w:val="18"/>
              </w:rPr>
              <w:t>Para Piyasalarına Borçlar</w:t>
            </w:r>
          </w:p>
        </w:tc>
        <w:tc>
          <w:tcPr>
            <w:tcW w:w="665" w:type="pct"/>
            <w:vAlign w:val="bottom"/>
          </w:tcPr>
          <w:p w14:paraId="71A1C56A" w14:textId="48119106" w:rsidR="009273BE" w:rsidRPr="00471CBA" w:rsidRDefault="009273BE" w:rsidP="009273BE">
            <w:pPr>
              <w:ind w:left="213" w:right="83" w:hanging="141"/>
              <w:jc w:val="right"/>
              <w:rPr>
                <w:sz w:val="18"/>
                <w:szCs w:val="18"/>
              </w:rPr>
            </w:pPr>
            <w:r w:rsidRPr="00471CBA">
              <w:rPr>
                <w:sz w:val="18"/>
                <w:szCs w:val="18"/>
              </w:rPr>
              <w:t>-</w:t>
            </w:r>
          </w:p>
        </w:tc>
        <w:tc>
          <w:tcPr>
            <w:tcW w:w="625" w:type="pct"/>
            <w:vAlign w:val="bottom"/>
          </w:tcPr>
          <w:p w14:paraId="661F66F8" w14:textId="34D1BC98" w:rsidR="009273BE" w:rsidRPr="00471CBA" w:rsidRDefault="009273BE" w:rsidP="009273BE">
            <w:pPr>
              <w:ind w:left="213" w:right="83" w:hanging="141"/>
              <w:jc w:val="right"/>
              <w:rPr>
                <w:sz w:val="18"/>
                <w:szCs w:val="18"/>
              </w:rPr>
            </w:pPr>
            <w:r w:rsidRPr="00471CBA">
              <w:rPr>
                <w:sz w:val="18"/>
                <w:szCs w:val="18"/>
              </w:rPr>
              <w:t>480.631</w:t>
            </w:r>
          </w:p>
        </w:tc>
        <w:tc>
          <w:tcPr>
            <w:tcW w:w="656" w:type="pct"/>
            <w:vAlign w:val="bottom"/>
          </w:tcPr>
          <w:p w14:paraId="5DBE34D9" w14:textId="5587684F" w:rsidR="009273BE" w:rsidRPr="00471CBA" w:rsidRDefault="009273BE" w:rsidP="009273BE">
            <w:pPr>
              <w:ind w:left="213" w:right="83" w:hanging="141"/>
              <w:jc w:val="right"/>
              <w:rPr>
                <w:sz w:val="18"/>
                <w:szCs w:val="18"/>
              </w:rPr>
            </w:pPr>
            <w:r w:rsidRPr="00471CBA">
              <w:rPr>
                <w:sz w:val="18"/>
                <w:szCs w:val="18"/>
              </w:rPr>
              <w:t>-</w:t>
            </w:r>
          </w:p>
        </w:tc>
        <w:tc>
          <w:tcPr>
            <w:tcW w:w="657" w:type="pct"/>
            <w:vAlign w:val="bottom"/>
          </w:tcPr>
          <w:p w14:paraId="64FE533A" w14:textId="571AF7BB" w:rsidR="009273BE" w:rsidRPr="00471CBA" w:rsidRDefault="009273BE" w:rsidP="009273BE">
            <w:pPr>
              <w:ind w:left="213" w:right="83" w:hanging="141"/>
              <w:jc w:val="right"/>
              <w:rPr>
                <w:sz w:val="18"/>
                <w:szCs w:val="18"/>
              </w:rPr>
            </w:pPr>
            <w:r w:rsidRPr="00471CBA">
              <w:rPr>
                <w:sz w:val="18"/>
                <w:szCs w:val="18"/>
              </w:rPr>
              <w:t>478.935</w:t>
            </w:r>
          </w:p>
        </w:tc>
      </w:tr>
      <w:tr w:rsidR="009273BE" w:rsidRPr="00471CBA" w14:paraId="47E70185" w14:textId="77777777" w:rsidTr="009273BE">
        <w:trPr>
          <w:trHeight w:val="121"/>
        </w:trPr>
        <w:tc>
          <w:tcPr>
            <w:tcW w:w="2397" w:type="pct"/>
            <w:vAlign w:val="center"/>
            <w:hideMark/>
          </w:tcPr>
          <w:p w14:paraId="25CD4BC2" w14:textId="77777777" w:rsidR="009273BE" w:rsidRPr="00471CBA" w:rsidRDefault="009273BE" w:rsidP="009273BE">
            <w:pPr>
              <w:ind w:left="382"/>
              <w:jc w:val="both"/>
              <w:rPr>
                <w:snapToGrid w:val="0"/>
                <w:sz w:val="18"/>
                <w:szCs w:val="18"/>
              </w:rPr>
            </w:pPr>
            <w:r w:rsidRPr="00471CBA">
              <w:rPr>
                <w:snapToGrid w:val="0"/>
                <w:sz w:val="18"/>
                <w:szCs w:val="18"/>
              </w:rPr>
              <w:t>Diğer Yükümlülükler</w:t>
            </w:r>
          </w:p>
        </w:tc>
        <w:tc>
          <w:tcPr>
            <w:tcW w:w="665" w:type="pct"/>
            <w:vAlign w:val="bottom"/>
          </w:tcPr>
          <w:p w14:paraId="4FE025C5" w14:textId="21A41895" w:rsidR="009273BE" w:rsidRPr="00471CBA" w:rsidRDefault="009273BE" w:rsidP="009273BE">
            <w:pPr>
              <w:ind w:left="213" w:right="83" w:hanging="141"/>
              <w:jc w:val="right"/>
              <w:rPr>
                <w:sz w:val="18"/>
                <w:szCs w:val="18"/>
              </w:rPr>
            </w:pPr>
            <w:r w:rsidRPr="00471CBA">
              <w:rPr>
                <w:sz w:val="18"/>
                <w:szCs w:val="18"/>
              </w:rPr>
              <w:t>5.627.938</w:t>
            </w:r>
          </w:p>
        </w:tc>
        <w:tc>
          <w:tcPr>
            <w:tcW w:w="625" w:type="pct"/>
            <w:vAlign w:val="bottom"/>
          </w:tcPr>
          <w:p w14:paraId="6515DDAA" w14:textId="2672B590" w:rsidR="009273BE" w:rsidRPr="00471CBA" w:rsidRDefault="009273BE" w:rsidP="009273BE">
            <w:pPr>
              <w:ind w:left="213" w:right="83" w:hanging="141"/>
              <w:jc w:val="right"/>
              <w:rPr>
                <w:sz w:val="18"/>
                <w:szCs w:val="18"/>
              </w:rPr>
            </w:pPr>
            <w:r w:rsidRPr="00471CBA">
              <w:rPr>
                <w:sz w:val="18"/>
                <w:szCs w:val="18"/>
              </w:rPr>
              <w:t>222.639</w:t>
            </w:r>
          </w:p>
        </w:tc>
        <w:tc>
          <w:tcPr>
            <w:tcW w:w="656" w:type="pct"/>
            <w:vAlign w:val="bottom"/>
          </w:tcPr>
          <w:p w14:paraId="12E5C091" w14:textId="79892BA7" w:rsidR="009273BE" w:rsidRPr="00471CBA" w:rsidRDefault="009273BE" w:rsidP="009273BE">
            <w:pPr>
              <w:ind w:left="213" w:right="83" w:hanging="141"/>
              <w:jc w:val="right"/>
              <w:rPr>
                <w:sz w:val="18"/>
                <w:szCs w:val="18"/>
              </w:rPr>
            </w:pPr>
            <w:r w:rsidRPr="00471CBA">
              <w:rPr>
                <w:sz w:val="18"/>
                <w:szCs w:val="18"/>
              </w:rPr>
              <w:t>5.627.938</w:t>
            </w:r>
          </w:p>
        </w:tc>
        <w:tc>
          <w:tcPr>
            <w:tcW w:w="657" w:type="pct"/>
            <w:vAlign w:val="bottom"/>
          </w:tcPr>
          <w:p w14:paraId="13192D2E" w14:textId="629C3609" w:rsidR="009273BE" w:rsidRPr="00471CBA" w:rsidRDefault="009273BE" w:rsidP="009273BE">
            <w:pPr>
              <w:ind w:left="213" w:right="83" w:hanging="141"/>
              <w:jc w:val="right"/>
              <w:rPr>
                <w:sz w:val="18"/>
                <w:szCs w:val="18"/>
              </w:rPr>
            </w:pPr>
            <w:r w:rsidRPr="00471CBA">
              <w:rPr>
                <w:sz w:val="18"/>
                <w:szCs w:val="18"/>
              </w:rPr>
              <w:t>222.639</w:t>
            </w:r>
          </w:p>
        </w:tc>
      </w:tr>
      <w:tr w:rsidR="00571ECD" w:rsidRPr="00471CBA" w14:paraId="32F3379B" w14:textId="77777777" w:rsidTr="00B0049C">
        <w:trPr>
          <w:trHeight w:val="121"/>
        </w:trPr>
        <w:tc>
          <w:tcPr>
            <w:tcW w:w="2397" w:type="pct"/>
            <w:tcBorders>
              <w:top w:val="nil"/>
              <w:left w:val="nil"/>
              <w:bottom w:val="single" w:sz="4" w:space="0" w:color="auto"/>
              <w:right w:val="nil"/>
            </w:tcBorders>
            <w:vAlign w:val="center"/>
          </w:tcPr>
          <w:p w14:paraId="043233EC" w14:textId="77777777" w:rsidR="00571ECD" w:rsidRPr="00471CBA" w:rsidRDefault="00571ECD" w:rsidP="00571ECD">
            <w:pPr>
              <w:ind w:left="382"/>
              <w:rPr>
                <w:rFonts w:eastAsia="Arial Unicode MS"/>
                <w:sz w:val="18"/>
                <w:szCs w:val="18"/>
              </w:rPr>
            </w:pPr>
          </w:p>
        </w:tc>
        <w:tc>
          <w:tcPr>
            <w:tcW w:w="665" w:type="pct"/>
            <w:tcBorders>
              <w:top w:val="nil"/>
              <w:left w:val="nil"/>
              <w:bottom w:val="single" w:sz="4" w:space="0" w:color="auto"/>
              <w:right w:val="nil"/>
            </w:tcBorders>
            <w:vAlign w:val="bottom"/>
          </w:tcPr>
          <w:p w14:paraId="14FE87BB" w14:textId="77777777" w:rsidR="00571ECD" w:rsidRPr="00471CBA" w:rsidRDefault="00571ECD" w:rsidP="00571ECD">
            <w:pPr>
              <w:ind w:right="80"/>
              <w:jc w:val="right"/>
              <w:rPr>
                <w:sz w:val="18"/>
                <w:szCs w:val="18"/>
              </w:rPr>
            </w:pPr>
          </w:p>
        </w:tc>
        <w:tc>
          <w:tcPr>
            <w:tcW w:w="625" w:type="pct"/>
            <w:tcBorders>
              <w:top w:val="nil"/>
              <w:left w:val="nil"/>
              <w:bottom w:val="single" w:sz="4" w:space="0" w:color="auto"/>
              <w:right w:val="nil"/>
            </w:tcBorders>
            <w:vAlign w:val="bottom"/>
          </w:tcPr>
          <w:p w14:paraId="03A9BDBF" w14:textId="77777777" w:rsidR="00571ECD" w:rsidRPr="00471CBA" w:rsidRDefault="00571ECD" w:rsidP="00571ECD">
            <w:pPr>
              <w:ind w:right="80"/>
              <w:jc w:val="right"/>
              <w:rPr>
                <w:sz w:val="18"/>
                <w:szCs w:val="18"/>
              </w:rPr>
            </w:pPr>
          </w:p>
        </w:tc>
        <w:tc>
          <w:tcPr>
            <w:tcW w:w="656" w:type="pct"/>
            <w:tcBorders>
              <w:top w:val="nil"/>
              <w:left w:val="nil"/>
              <w:bottom w:val="single" w:sz="4" w:space="0" w:color="auto"/>
              <w:right w:val="nil"/>
            </w:tcBorders>
            <w:vAlign w:val="bottom"/>
          </w:tcPr>
          <w:p w14:paraId="21E0ED54" w14:textId="77777777" w:rsidR="00571ECD" w:rsidRPr="00471CBA" w:rsidRDefault="00571ECD" w:rsidP="00571ECD">
            <w:pPr>
              <w:ind w:left="-87" w:right="80" w:hanging="141"/>
              <w:jc w:val="right"/>
              <w:rPr>
                <w:sz w:val="18"/>
                <w:szCs w:val="18"/>
              </w:rPr>
            </w:pPr>
          </w:p>
        </w:tc>
        <w:tc>
          <w:tcPr>
            <w:tcW w:w="657" w:type="pct"/>
            <w:tcBorders>
              <w:top w:val="nil"/>
              <w:left w:val="nil"/>
              <w:bottom w:val="single" w:sz="4" w:space="0" w:color="auto"/>
              <w:right w:val="nil"/>
            </w:tcBorders>
            <w:vAlign w:val="bottom"/>
          </w:tcPr>
          <w:p w14:paraId="4CFD780C" w14:textId="77777777" w:rsidR="00571ECD" w:rsidRPr="00471CBA" w:rsidRDefault="00571ECD" w:rsidP="00571ECD">
            <w:pPr>
              <w:ind w:left="-87" w:right="80" w:hanging="141"/>
              <w:jc w:val="right"/>
              <w:rPr>
                <w:sz w:val="18"/>
                <w:szCs w:val="18"/>
              </w:rPr>
            </w:pPr>
          </w:p>
        </w:tc>
      </w:tr>
    </w:tbl>
    <w:p w14:paraId="37A90795" w14:textId="77777777" w:rsidR="00F91828" w:rsidRPr="00471CBA" w:rsidRDefault="00F91828" w:rsidP="008459A9">
      <w:pPr>
        <w:pStyle w:val="ListeParagraf"/>
        <w:numPr>
          <w:ilvl w:val="0"/>
          <w:numId w:val="94"/>
        </w:numPr>
        <w:spacing w:before="120"/>
        <w:ind w:left="567" w:right="-1" w:hanging="425"/>
        <w:jc w:val="both"/>
        <w:rPr>
          <w:b/>
          <w:szCs w:val="20"/>
        </w:rPr>
      </w:pPr>
      <w:r w:rsidRPr="00471CBA">
        <w:rPr>
          <w:b/>
          <w:szCs w:val="20"/>
        </w:rPr>
        <w:t>Finansal tablolarda muhasebeleştirilen gerçeğe uygun değer ölçümlerine ilişkin bilgiler:</w:t>
      </w:r>
    </w:p>
    <w:p w14:paraId="6A94A389" w14:textId="77777777" w:rsidR="00F91828" w:rsidRPr="00471CBA" w:rsidRDefault="00F91828" w:rsidP="00F91828">
      <w:pPr>
        <w:spacing w:before="120" w:after="120"/>
        <w:ind w:left="567" w:right="140"/>
        <w:jc w:val="both"/>
        <w:rPr>
          <w:szCs w:val="20"/>
        </w:rPr>
      </w:pPr>
      <w:r w:rsidRPr="00471CBA">
        <w:rPr>
          <w:szCs w:val="20"/>
        </w:rPr>
        <w:t>“Finansal Araçlar: Açıklamalara ilişkin Türkiye Finansal Raporlama Standardı” (“TFRS 7”) uyarınca, gerçeğe uygun değer ölçümleri, söz konusu ölçümler yapılırken kullanılan verilerin önemini yansıtan bir sıra dahilinde sınıflandırılır. Gerçeğe uygun değere ilişkin söz konusu sınıflandırma aşağıdaki şekilde oluşturulur:</w:t>
      </w:r>
    </w:p>
    <w:p w14:paraId="6352B8C0" w14:textId="77777777" w:rsidR="00F91828" w:rsidRPr="00471CBA" w:rsidRDefault="00F91828" w:rsidP="008459A9">
      <w:pPr>
        <w:numPr>
          <w:ilvl w:val="0"/>
          <w:numId w:val="95"/>
        </w:numPr>
        <w:tabs>
          <w:tab w:val="num" w:pos="284"/>
        </w:tabs>
        <w:ind w:left="993" w:right="140" w:hanging="425"/>
        <w:jc w:val="both"/>
        <w:rPr>
          <w:szCs w:val="20"/>
        </w:rPr>
      </w:pPr>
      <w:r w:rsidRPr="00471CBA">
        <w:rPr>
          <w:szCs w:val="20"/>
        </w:rPr>
        <w:t>Özdeş varlıklar ya da borçlar için aktif piyasalardaki kayıtlı (düzeltilmemiş) fiyatlar (1 inci seviye);</w:t>
      </w:r>
    </w:p>
    <w:p w14:paraId="778692DC" w14:textId="77777777" w:rsidR="00F91828" w:rsidRPr="00471CBA" w:rsidRDefault="00F91828" w:rsidP="008459A9">
      <w:pPr>
        <w:pStyle w:val="ListeParagraf"/>
        <w:numPr>
          <w:ilvl w:val="0"/>
          <w:numId w:val="95"/>
        </w:numPr>
        <w:tabs>
          <w:tab w:val="num" w:pos="284"/>
        </w:tabs>
        <w:spacing w:before="120"/>
        <w:ind w:left="993" w:right="140" w:hanging="425"/>
        <w:jc w:val="both"/>
        <w:rPr>
          <w:b/>
          <w:szCs w:val="20"/>
        </w:rPr>
      </w:pPr>
      <w:r w:rsidRPr="00471CBA">
        <w:rPr>
          <w:szCs w:val="20"/>
        </w:rPr>
        <w:t>1 inci seviyede yer alan kayıtlı fiyatlar dışında kalan ve varlıklar ya da borçlar açısından doğrudan (fiyatlar aracılığıyla) ya da dolaylı olarak (fiyatlardan türetilmek suretiyle) gözlemlenebilir nitelikteki veriler (</w:t>
      </w:r>
      <w:proofErr w:type="gramStart"/>
      <w:r w:rsidRPr="00471CBA">
        <w:rPr>
          <w:szCs w:val="20"/>
        </w:rPr>
        <w:t>2 nci</w:t>
      </w:r>
      <w:proofErr w:type="gramEnd"/>
      <w:r w:rsidRPr="00471CBA">
        <w:rPr>
          <w:szCs w:val="20"/>
        </w:rPr>
        <w:t xml:space="preserve"> seviye);</w:t>
      </w:r>
    </w:p>
    <w:p w14:paraId="00BCFE75" w14:textId="0AD3F849" w:rsidR="00F36B82" w:rsidRDefault="00F91828" w:rsidP="008459A9">
      <w:pPr>
        <w:pStyle w:val="ListeParagraf"/>
        <w:numPr>
          <w:ilvl w:val="0"/>
          <w:numId w:val="95"/>
        </w:numPr>
        <w:spacing w:before="120"/>
        <w:ind w:left="993" w:right="140" w:hanging="425"/>
        <w:jc w:val="both"/>
        <w:rPr>
          <w:szCs w:val="20"/>
        </w:rPr>
      </w:pPr>
      <w:r w:rsidRPr="00471CBA">
        <w:rPr>
          <w:szCs w:val="20"/>
        </w:rPr>
        <w:t xml:space="preserve">Varlık ya da borçlara ilişkin olarak gözlemlenebilir piyasa verilerine dayanmayan veriler (gözlemlenebilir nitelikte olmayan veriler – </w:t>
      </w:r>
      <w:proofErr w:type="gramStart"/>
      <w:r w:rsidRPr="00471CBA">
        <w:rPr>
          <w:szCs w:val="20"/>
        </w:rPr>
        <w:t>3 üncü</w:t>
      </w:r>
      <w:proofErr w:type="gramEnd"/>
      <w:r w:rsidRPr="00471CBA">
        <w:rPr>
          <w:szCs w:val="20"/>
        </w:rPr>
        <w:t xml:space="preserve"> seviye).</w:t>
      </w:r>
      <w:r w:rsidR="00F36B82">
        <w:rPr>
          <w:szCs w:val="20"/>
        </w:rPr>
        <w:br w:type="page"/>
      </w:r>
    </w:p>
    <w:p w14:paraId="0F38531A" w14:textId="03F072DD" w:rsidR="00F91828" w:rsidRPr="00471CBA" w:rsidRDefault="00F91828" w:rsidP="00F91828">
      <w:pPr>
        <w:pStyle w:val="GvdeMetniGirintisi"/>
        <w:widowControl w:val="0"/>
        <w:ind w:firstLine="0"/>
        <w:jc w:val="left"/>
        <w:rPr>
          <w:b/>
          <w:szCs w:val="20"/>
        </w:rPr>
      </w:pPr>
      <w:r w:rsidRPr="00471CBA">
        <w:rPr>
          <w:b/>
          <w:szCs w:val="20"/>
        </w:rPr>
        <w:t>MALİ BÜNYEYE VE RİSK YÖNETİMİNE İLİŞKİN BİLGİLER (Devamı)</w:t>
      </w:r>
    </w:p>
    <w:p w14:paraId="7ED8CB9B" w14:textId="77777777" w:rsidR="00F91828" w:rsidRPr="00471CBA" w:rsidRDefault="00F91828" w:rsidP="00F91828">
      <w:pPr>
        <w:tabs>
          <w:tab w:val="num" w:pos="284"/>
        </w:tabs>
        <w:ind w:right="527"/>
        <w:jc w:val="both"/>
        <w:rPr>
          <w:b/>
          <w:szCs w:val="20"/>
        </w:rPr>
      </w:pPr>
    </w:p>
    <w:p w14:paraId="5E07FE3B" w14:textId="77777777" w:rsidR="00F91828" w:rsidRPr="00471CBA" w:rsidRDefault="00F91828" w:rsidP="00F36B82">
      <w:pPr>
        <w:ind w:left="851" w:right="527" w:hanging="851"/>
        <w:jc w:val="both"/>
        <w:rPr>
          <w:szCs w:val="20"/>
        </w:rPr>
      </w:pPr>
      <w:r w:rsidRPr="00471CBA">
        <w:rPr>
          <w:b/>
          <w:szCs w:val="20"/>
        </w:rPr>
        <w:t xml:space="preserve">VII. </w:t>
      </w:r>
      <w:r w:rsidRPr="00471CBA">
        <w:rPr>
          <w:b/>
          <w:szCs w:val="20"/>
        </w:rPr>
        <w:tab/>
        <w:t>FİNANSAL VARLIK VE BORÇLARIN GERÇEĞE UYGUN DEĞERİ İLE GÖSTERİLMESİNE İLİŞKİN AÇIKLAMALAR (Devamı):</w:t>
      </w:r>
    </w:p>
    <w:p w14:paraId="73B10043" w14:textId="77777777" w:rsidR="00F91828" w:rsidRPr="00471CBA" w:rsidRDefault="00F91828" w:rsidP="00F91828">
      <w:pPr>
        <w:tabs>
          <w:tab w:val="num" w:pos="284"/>
        </w:tabs>
        <w:spacing w:before="120" w:after="120"/>
        <w:ind w:right="527"/>
        <w:jc w:val="both"/>
        <w:rPr>
          <w:szCs w:val="20"/>
        </w:rPr>
      </w:pPr>
      <w:r w:rsidRPr="00471CBA">
        <w:rPr>
          <w:szCs w:val="20"/>
        </w:rPr>
        <w:t>Söz konusu sınıflama ilkelerine göre Banka’nın gerçeğe uygun değerinden taşımakta olduğu finansal varlık ve yükümlülüklerinin gerçeğe uygun değer sınıflandırması aşağıdaki gibidir:</w:t>
      </w:r>
    </w:p>
    <w:tbl>
      <w:tblPr>
        <w:tblW w:w="5000" w:type="pct"/>
        <w:tblCellMar>
          <w:left w:w="70" w:type="dxa"/>
          <w:right w:w="70" w:type="dxa"/>
        </w:tblCellMar>
        <w:tblLook w:val="04A0" w:firstRow="1" w:lastRow="0" w:firstColumn="1" w:lastColumn="0" w:noHBand="0" w:noVBand="1"/>
      </w:tblPr>
      <w:tblGrid>
        <w:gridCol w:w="4822"/>
        <w:gridCol w:w="1190"/>
        <w:gridCol w:w="1189"/>
        <w:gridCol w:w="1189"/>
        <w:gridCol w:w="1249"/>
      </w:tblGrid>
      <w:tr w:rsidR="00F91828" w:rsidRPr="00471CBA" w14:paraId="3F60AF3A" w14:textId="77777777" w:rsidTr="009273BE">
        <w:trPr>
          <w:trHeight w:val="113"/>
        </w:trPr>
        <w:tc>
          <w:tcPr>
            <w:tcW w:w="2501" w:type="pct"/>
            <w:tcBorders>
              <w:top w:val="single" w:sz="4" w:space="0" w:color="auto"/>
              <w:left w:val="nil"/>
              <w:bottom w:val="single" w:sz="4" w:space="0" w:color="auto"/>
              <w:right w:val="nil"/>
            </w:tcBorders>
            <w:vAlign w:val="bottom"/>
            <w:hideMark/>
          </w:tcPr>
          <w:p w14:paraId="6863FA95" w14:textId="3F4D0158" w:rsidR="00F91828" w:rsidRPr="00471CBA" w:rsidRDefault="00F91828" w:rsidP="00B0049C">
            <w:pPr>
              <w:jc w:val="both"/>
              <w:rPr>
                <w:b/>
                <w:bCs/>
                <w:sz w:val="18"/>
                <w:szCs w:val="18"/>
              </w:rPr>
            </w:pPr>
            <w:r w:rsidRPr="00471CBA">
              <w:rPr>
                <w:b/>
                <w:bCs/>
                <w:sz w:val="18"/>
                <w:szCs w:val="18"/>
              </w:rPr>
              <w:t>31 Aralık 202</w:t>
            </w:r>
            <w:r w:rsidR="00271940" w:rsidRPr="00471CBA">
              <w:rPr>
                <w:b/>
                <w:bCs/>
                <w:sz w:val="18"/>
                <w:szCs w:val="18"/>
              </w:rPr>
              <w:t>5</w:t>
            </w:r>
            <w:r w:rsidRPr="00471CBA">
              <w:rPr>
                <w:b/>
                <w:bCs/>
                <w:sz w:val="18"/>
                <w:szCs w:val="18"/>
              </w:rPr>
              <w:t xml:space="preserve"> </w:t>
            </w:r>
            <w:r w:rsidRPr="00471CBA">
              <w:rPr>
                <w:b/>
                <w:bCs/>
                <w:sz w:val="18"/>
                <w:szCs w:val="18"/>
                <w:vertAlign w:val="superscript"/>
              </w:rPr>
              <w:t>(*)</w:t>
            </w:r>
          </w:p>
        </w:tc>
        <w:tc>
          <w:tcPr>
            <w:tcW w:w="617" w:type="pct"/>
            <w:tcBorders>
              <w:top w:val="single" w:sz="4" w:space="0" w:color="auto"/>
              <w:left w:val="nil"/>
              <w:bottom w:val="single" w:sz="4" w:space="0" w:color="auto"/>
              <w:right w:val="nil"/>
            </w:tcBorders>
            <w:vAlign w:val="bottom"/>
            <w:hideMark/>
          </w:tcPr>
          <w:p w14:paraId="5E9103DD" w14:textId="77777777" w:rsidR="00F91828" w:rsidRPr="00471CBA" w:rsidRDefault="00F91828" w:rsidP="00B0049C">
            <w:pPr>
              <w:ind w:left="213"/>
              <w:jc w:val="center"/>
              <w:rPr>
                <w:b/>
                <w:sz w:val="18"/>
                <w:szCs w:val="18"/>
              </w:rPr>
            </w:pPr>
            <w:r w:rsidRPr="00471CBA">
              <w:rPr>
                <w:b/>
                <w:sz w:val="18"/>
                <w:szCs w:val="18"/>
              </w:rPr>
              <w:t>1. seviye</w:t>
            </w:r>
          </w:p>
        </w:tc>
        <w:tc>
          <w:tcPr>
            <w:tcW w:w="617" w:type="pct"/>
            <w:tcBorders>
              <w:top w:val="single" w:sz="4" w:space="0" w:color="auto"/>
              <w:left w:val="nil"/>
              <w:bottom w:val="single" w:sz="4" w:space="0" w:color="auto"/>
              <w:right w:val="nil"/>
            </w:tcBorders>
            <w:vAlign w:val="bottom"/>
            <w:hideMark/>
          </w:tcPr>
          <w:p w14:paraId="7C4E180A" w14:textId="77777777" w:rsidR="00F91828" w:rsidRPr="00471CBA" w:rsidRDefault="00F91828" w:rsidP="00B0049C">
            <w:pPr>
              <w:ind w:left="213"/>
              <w:jc w:val="center"/>
              <w:rPr>
                <w:b/>
                <w:sz w:val="18"/>
                <w:szCs w:val="18"/>
              </w:rPr>
            </w:pPr>
            <w:r w:rsidRPr="00471CBA">
              <w:rPr>
                <w:b/>
                <w:sz w:val="18"/>
                <w:szCs w:val="18"/>
              </w:rPr>
              <w:t>2. seviye</w:t>
            </w:r>
          </w:p>
        </w:tc>
        <w:tc>
          <w:tcPr>
            <w:tcW w:w="617" w:type="pct"/>
            <w:tcBorders>
              <w:top w:val="single" w:sz="4" w:space="0" w:color="auto"/>
              <w:left w:val="nil"/>
              <w:bottom w:val="single" w:sz="4" w:space="0" w:color="auto"/>
              <w:right w:val="nil"/>
            </w:tcBorders>
            <w:vAlign w:val="bottom"/>
            <w:hideMark/>
          </w:tcPr>
          <w:p w14:paraId="5AFD20E8" w14:textId="77777777" w:rsidR="00F91828" w:rsidRPr="00471CBA" w:rsidRDefault="00F91828" w:rsidP="00B0049C">
            <w:pPr>
              <w:ind w:left="213"/>
              <w:jc w:val="center"/>
              <w:rPr>
                <w:b/>
                <w:sz w:val="18"/>
                <w:szCs w:val="18"/>
              </w:rPr>
            </w:pPr>
            <w:r w:rsidRPr="00471CBA">
              <w:rPr>
                <w:b/>
                <w:sz w:val="18"/>
                <w:szCs w:val="18"/>
              </w:rPr>
              <w:t>3. seviye</w:t>
            </w:r>
          </w:p>
        </w:tc>
        <w:tc>
          <w:tcPr>
            <w:tcW w:w="648" w:type="pct"/>
            <w:tcBorders>
              <w:top w:val="single" w:sz="4" w:space="0" w:color="auto"/>
              <w:left w:val="nil"/>
              <w:bottom w:val="single" w:sz="4" w:space="0" w:color="auto"/>
              <w:right w:val="nil"/>
            </w:tcBorders>
            <w:vAlign w:val="bottom"/>
            <w:hideMark/>
          </w:tcPr>
          <w:p w14:paraId="3BE44610" w14:textId="77777777" w:rsidR="00F91828" w:rsidRPr="00471CBA" w:rsidRDefault="00F91828" w:rsidP="00B0049C">
            <w:pPr>
              <w:ind w:left="213"/>
              <w:jc w:val="right"/>
              <w:rPr>
                <w:b/>
                <w:sz w:val="18"/>
                <w:szCs w:val="18"/>
              </w:rPr>
            </w:pPr>
            <w:r w:rsidRPr="00471CBA">
              <w:rPr>
                <w:b/>
                <w:sz w:val="18"/>
                <w:szCs w:val="18"/>
              </w:rPr>
              <w:t>Toplam</w:t>
            </w:r>
          </w:p>
        </w:tc>
      </w:tr>
      <w:tr w:rsidR="00F91828" w:rsidRPr="00471CBA" w14:paraId="546B1147" w14:textId="77777777" w:rsidTr="009273BE">
        <w:trPr>
          <w:trHeight w:val="113"/>
        </w:trPr>
        <w:tc>
          <w:tcPr>
            <w:tcW w:w="2501" w:type="pct"/>
            <w:tcBorders>
              <w:top w:val="single" w:sz="4" w:space="0" w:color="auto"/>
              <w:left w:val="nil"/>
              <w:bottom w:val="nil"/>
              <w:right w:val="nil"/>
            </w:tcBorders>
            <w:vAlign w:val="bottom"/>
          </w:tcPr>
          <w:p w14:paraId="7B2F0E9F" w14:textId="77777777" w:rsidR="00F91828" w:rsidRPr="00471CBA" w:rsidRDefault="00F91828" w:rsidP="00B0049C">
            <w:pPr>
              <w:rPr>
                <w:sz w:val="18"/>
                <w:szCs w:val="18"/>
              </w:rPr>
            </w:pPr>
          </w:p>
        </w:tc>
        <w:tc>
          <w:tcPr>
            <w:tcW w:w="617" w:type="pct"/>
            <w:tcBorders>
              <w:top w:val="single" w:sz="4" w:space="0" w:color="auto"/>
              <w:left w:val="nil"/>
              <w:bottom w:val="nil"/>
              <w:right w:val="nil"/>
            </w:tcBorders>
            <w:vAlign w:val="bottom"/>
          </w:tcPr>
          <w:p w14:paraId="5750DFB3" w14:textId="77777777" w:rsidR="00F91828" w:rsidRPr="00471CBA" w:rsidRDefault="00F91828" w:rsidP="00B0049C">
            <w:pPr>
              <w:ind w:left="213" w:hanging="141"/>
              <w:jc w:val="right"/>
              <w:rPr>
                <w:sz w:val="18"/>
                <w:szCs w:val="18"/>
              </w:rPr>
            </w:pPr>
          </w:p>
        </w:tc>
        <w:tc>
          <w:tcPr>
            <w:tcW w:w="617" w:type="pct"/>
            <w:tcBorders>
              <w:top w:val="single" w:sz="4" w:space="0" w:color="auto"/>
              <w:left w:val="nil"/>
              <w:bottom w:val="nil"/>
              <w:right w:val="nil"/>
            </w:tcBorders>
            <w:vAlign w:val="bottom"/>
          </w:tcPr>
          <w:p w14:paraId="54A2AC45" w14:textId="77777777" w:rsidR="00F91828" w:rsidRPr="00471CBA" w:rsidRDefault="00F91828" w:rsidP="00B0049C">
            <w:pPr>
              <w:ind w:left="213" w:hanging="141"/>
              <w:jc w:val="right"/>
              <w:rPr>
                <w:sz w:val="18"/>
                <w:szCs w:val="18"/>
              </w:rPr>
            </w:pPr>
          </w:p>
        </w:tc>
        <w:tc>
          <w:tcPr>
            <w:tcW w:w="617" w:type="pct"/>
            <w:tcBorders>
              <w:top w:val="single" w:sz="4" w:space="0" w:color="auto"/>
              <w:left w:val="nil"/>
              <w:bottom w:val="nil"/>
              <w:right w:val="nil"/>
            </w:tcBorders>
            <w:vAlign w:val="bottom"/>
          </w:tcPr>
          <w:p w14:paraId="7FB7AF86" w14:textId="77777777" w:rsidR="00F91828" w:rsidRPr="00471CBA" w:rsidRDefault="00F91828" w:rsidP="00B0049C">
            <w:pPr>
              <w:ind w:left="213" w:hanging="141"/>
              <w:jc w:val="right"/>
              <w:rPr>
                <w:sz w:val="18"/>
                <w:szCs w:val="18"/>
              </w:rPr>
            </w:pPr>
          </w:p>
        </w:tc>
        <w:tc>
          <w:tcPr>
            <w:tcW w:w="648" w:type="pct"/>
            <w:tcBorders>
              <w:top w:val="single" w:sz="4" w:space="0" w:color="auto"/>
              <w:left w:val="nil"/>
              <w:bottom w:val="nil"/>
              <w:right w:val="nil"/>
            </w:tcBorders>
            <w:vAlign w:val="bottom"/>
          </w:tcPr>
          <w:p w14:paraId="44D5AD6D" w14:textId="77777777" w:rsidR="00F91828" w:rsidRPr="00471CBA" w:rsidRDefault="00F91828" w:rsidP="00B0049C">
            <w:pPr>
              <w:ind w:left="213" w:hanging="141"/>
              <w:jc w:val="right"/>
              <w:rPr>
                <w:sz w:val="18"/>
                <w:szCs w:val="18"/>
              </w:rPr>
            </w:pPr>
          </w:p>
        </w:tc>
      </w:tr>
      <w:tr w:rsidR="00F91828" w:rsidRPr="00471CBA" w14:paraId="1B6F4158" w14:textId="77777777" w:rsidTr="009273BE">
        <w:trPr>
          <w:trHeight w:val="113"/>
        </w:trPr>
        <w:tc>
          <w:tcPr>
            <w:tcW w:w="2501" w:type="pct"/>
            <w:vAlign w:val="bottom"/>
            <w:hideMark/>
          </w:tcPr>
          <w:p w14:paraId="2A82B31A" w14:textId="77777777" w:rsidR="00F91828" w:rsidRPr="00471CBA" w:rsidRDefault="00F91828" w:rsidP="00B0049C">
            <w:pPr>
              <w:rPr>
                <w:b/>
                <w:sz w:val="18"/>
                <w:szCs w:val="18"/>
              </w:rPr>
            </w:pPr>
            <w:r w:rsidRPr="00471CBA">
              <w:rPr>
                <w:b/>
                <w:sz w:val="18"/>
                <w:szCs w:val="18"/>
              </w:rPr>
              <w:t>Finansal varlıklar</w:t>
            </w:r>
          </w:p>
        </w:tc>
        <w:tc>
          <w:tcPr>
            <w:tcW w:w="617" w:type="pct"/>
            <w:vAlign w:val="center"/>
          </w:tcPr>
          <w:p w14:paraId="731DABE8" w14:textId="77777777" w:rsidR="00F91828" w:rsidRPr="00471CBA" w:rsidRDefault="00F91828" w:rsidP="00B0049C">
            <w:pPr>
              <w:ind w:left="213" w:hanging="141"/>
              <w:jc w:val="right"/>
              <w:rPr>
                <w:b/>
                <w:sz w:val="18"/>
                <w:szCs w:val="18"/>
              </w:rPr>
            </w:pPr>
          </w:p>
        </w:tc>
        <w:tc>
          <w:tcPr>
            <w:tcW w:w="617" w:type="pct"/>
            <w:vAlign w:val="center"/>
          </w:tcPr>
          <w:p w14:paraId="5458DDB7" w14:textId="77777777" w:rsidR="00F91828" w:rsidRPr="00471CBA" w:rsidRDefault="00F91828" w:rsidP="00B0049C">
            <w:pPr>
              <w:ind w:left="213" w:hanging="141"/>
              <w:jc w:val="right"/>
              <w:rPr>
                <w:b/>
                <w:sz w:val="18"/>
                <w:szCs w:val="18"/>
              </w:rPr>
            </w:pPr>
          </w:p>
        </w:tc>
        <w:tc>
          <w:tcPr>
            <w:tcW w:w="617" w:type="pct"/>
            <w:vAlign w:val="center"/>
          </w:tcPr>
          <w:p w14:paraId="703E87D3" w14:textId="77777777" w:rsidR="00F91828" w:rsidRPr="00471CBA" w:rsidRDefault="00F91828" w:rsidP="00B0049C">
            <w:pPr>
              <w:ind w:left="213" w:hanging="141"/>
              <w:jc w:val="right"/>
              <w:rPr>
                <w:b/>
                <w:sz w:val="18"/>
                <w:szCs w:val="18"/>
              </w:rPr>
            </w:pPr>
          </w:p>
        </w:tc>
        <w:tc>
          <w:tcPr>
            <w:tcW w:w="648" w:type="pct"/>
            <w:vAlign w:val="center"/>
          </w:tcPr>
          <w:p w14:paraId="29ED9B65" w14:textId="77777777" w:rsidR="00F91828" w:rsidRPr="00471CBA" w:rsidRDefault="00F91828" w:rsidP="00B0049C">
            <w:pPr>
              <w:ind w:left="213" w:hanging="141"/>
              <w:jc w:val="right"/>
              <w:rPr>
                <w:b/>
                <w:sz w:val="18"/>
                <w:szCs w:val="18"/>
              </w:rPr>
            </w:pPr>
          </w:p>
        </w:tc>
      </w:tr>
      <w:tr w:rsidR="00F91828" w:rsidRPr="00471CBA" w14:paraId="01B1D386" w14:textId="77777777" w:rsidTr="009273BE">
        <w:trPr>
          <w:trHeight w:val="74"/>
        </w:trPr>
        <w:tc>
          <w:tcPr>
            <w:tcW w:w="2501" w:type="pct"/>
            <w:vAlign w:val="bottom"/>
          </w:tcPr>
          <w:p w14:paraId="162A83AB" w14:textId="77777777" w:rsidR="00F91828" w:rsidRPr="00471CBA" w:rsidRDefault="00F91828" w:rsidP="00B0049C">
            <w:pPr>
              <w:rPr>
                <w:sz w:val="18"/>
                <w:szCs w:val="18"/>
              </w:rPr>
            </w:pPr>
          </w:p>
        </w:tc>
        <w:tc>
          <w:tcPr>
            <w:tcW w:w="617" w:type="pct"/>
            <w:vAlign w:val="center"/>
          </w:tcPr>
          <w:p w14:paraId="780A0186" w14:textId="77777777" w:rsidR="00F91828" w:rsidRPr="00471CBA" w:rsidRDefault="00F91828" w:rsidP="00B0049C">
            <w:pPr>
              <w:ind w:left="213" w:hanging="141"/>
              <w:jc w:val="right"/>
              <w:rPr>
                <w:sz w:val="18"/>
                <w:szCs w:val="18"/>
              </w:rPr>
            </w:pPr>
          </w:p>
        </w:tc>
        <w:tc>
          <w:tcPr>
            <w:tcW w:w="617" w:type="pct"/>
            <w:vAlign w:val="center"/>
          </w:tcPr>
          <w:p w14:paraId="32E959AE" w14:textId="77777777" w:rsidR="00F91828" w:rsidRPr="00471CBA" w:rsidRDefault="00F91828" w:rsidP="00B0049C">
            <w:pPr>
              <w:ind w:left="213" w:hanging="141"/>
              <w:jc w:val="right"/>
              <w:rPr>
                <w:sz w:val="18"/>
                <w:szCs w:val="18"/>
              </w:rPr>
            </w:pPr>
          </w:p>
        </w:tc>
        <w:tc>
          <w:tcPr>
            <w:tcW w:w="617" w:type="pct"/>
            <w:vAlign w:val="center"/>
          </w:tcPr>
          <w:p w14:paraId="3D22468C" w14:textId="77777777" w:rsidR="00F91828" w:rsidRPr="00471CBA" w:rsidRDefault="00F91828" w:rsidP="00B0049C">
            <w:pPr>
              <w:ind w:left="213" w:hanging="141"/>
              <w:jc w:val="right"/>
              <w:rPr>
                <w:sz w:val="18"/>
                <w:szCs w:val="18"/>
              </w:rPr>
            </w:pPr>
          </w:p>
        </w:tc>
        <w:tc>
          <w:tcPr>
            <w:tcW w:w="648" w:type="pct"/>
            <w:vAlign w:val="center"/>
          </w:tcPr>
          <w:p w14:paraId="66F936A2" w14:textId="77777777" w:rsidR="00F91828" w:rsidRPr="00471CBA" w:rsidRDefault="00F91828" w:rsidP="00B0049C">
            <w:pPr>
              <w:ind w:left="213" w:hanging="141"/>
              <w:jc w:val="right"/>
              <w:rPr>
                <w:sz w:val="18"/>
                <w:szCs w:val="18"/>
              </w:rPr>
            </w:pPr>
          </w:p>
        </w:tc>
      </w:tr>
      <w:tr w:rsidR="009273BE" w:rsidRPr="00471CBA" w14:paraId="7C2050B8" w14:textId="77777777" w:rsidTr="009273BE">
        <w:trPr>
          <w:trHeight w:val="113"/>
        </w:trPr>
        <w:tc>
          <w:tcPr>
            <w:tcW w:w="2501" w:type="pct"/>
            <w:vAlign w:val="bottom"/>
            <w:hideMark/>
          </w:tcPr>
          <w:p w14:paraId="1E0C7A06" w14:textId="77777777" w:rsidR="009273BE" w:rsidRPr="00471CBA" w:rsidRDefault="009273BE" w:rsidP="009273BE">
            <w:pPr>
              <w:rPr>
                <w:b/>
                <w:sz w:val="18"/>
                <w:szCs w:val="18"/>
              </w:rPr>
            </w:pPr>
            <w:r w:rsidRPr="00471CBA">
              <w:rPr>
                <w:b/>
                <w:sz w:val="18"/>
                <w:szCs w:val="18"/>
              </w:rPr>
              <w:t>Gerçeğe Uygun Değer Farkı Kâr Zarara Yansıtılan Finansal Varlıklar</w:t>
            </w:r>
          </w:p>
        </w:tc>
        <w:tc>
          <w:tcPr>
            <w:tcW w:w="617" w:type="pct"/>
            <w:vAlign w:val="center"/>
          </w:tcPr>
          <w:p w14:paraId="5FB1F074" w14:textId="07D3DD2C" w:rsidR="009273BE" w:rsidRPr="00471CBA" w:rsidRDefault="009273BE" w:rsidP="009273BE">
            <w:pPr>
              <w:ind w:left="213" w:hanging="141"/>
              <w:jc w:val="right"/>
              <w:rPr>
                <w:b/>
                <w:sz w:val="18"/>
                <w:szCs w:val="18"/>
              </w:rPr>
            </w:pPr>
            <w:r w:rsidRPr="00471CBA">
              <w:rPr>
                <w:b/>
                <w:bCs/>
                <w:color w:val="000000"/>
                <w:sz w:val="18"/>
                <w:szCs w:val="18"/>
              </w:rPr>
              <w:t>1.339.304</w:t>
            </w:r>
          </w:p>
        </w:tc>
        <w:tc>
          <w:tcPr>
            <w:tcW w:w="617" w:type="pct"/>
            <w:vAlign w:val="center"/>
          </w:tcPr>
          <w:p w14:paraId="48626C6E" w14:textId="41C13929" w:rsidR="009273BE" w:rsidRPr="00471CBA" w:rsidRDefault="009273BE" w:rsidP="009273BE">
            <w:pPr>
              <w:ind w:left="213" w:hanging="141"/>
              <w:jc w:val="right"/>
              <w:rPr>
                <w:b/>
                <w:sz w:val="18"/>
                <w:szCs w:val="18"/>
              </w:rPr>
            </w:pPr>
            <w:r w:rsidRPr="00471CBA">
              <w:rPr>
                <w:b/>
                <w:bCs/>
                <w:color w:val="000000"/>
                <w:sz w:val="18"/>
                <w:szCs w:val="18"/>
              </w:rPr>
              <w:t>-</w:t>
            </w:r>
          </w:p>
        </w:tc>
        <w:tc>
          <w:tcPr>
            <w:tcW w:w="617" w:type="pct"/>
            <w:vAlign w:val="center"/>
          </w:tcPr>
          <w:p w14:paraId="02E68D15" w14:textId="0EE1E3C0" w:rsidR="009273BE" w:rsidRPr="00471CBA" w:rsidRDefault="009273BE" w:rsidP="009273BE">
            <w:pPr>
              <w:ind w:left="213" w:hanging="141"/>
              <w:jc w:val="right"/>
              <w:rPr>
                <w:b/>
                <w:sz w:val="18"/>
                <w:szCs w:val="18"/>
              </w:rPr>
            </w:pPr>
            <w:r w:rsidRPr="00471CBA">
              <w:rPr>
                <w:b/>
                <w:bCs/>
                <w:color w:val="000000"/>
                <w:sz w:val="18"/>
                <w:szCs w:val="18"/>
              </w:rPr>
              <w:t>-</w:t>
            </w:r>
          </w:p>
        </w:tc>
        <w:tc>
          <w:tcPr>
            <w:tcW w:w="648" w:type="pct"/>
            <w:vAlign w:val="center"/>
          </w:tcPr>
          <w:p w14:paraId="61BF1F4A" w14:textId="753F0E03" w:rsidR="009273BE" w:rsidRPr="00471CBA" w:rsidRDefault="009273BE" w:rsidP="009273BE">
            <w:pPr>
              <w:ind w:left="213" w:hanging="141"/>
              <w:jc w:val="right"/>
              <w:rPr>
                <w:b/>
                <w:sz w:val="18"/>
                <w:szCs w:val="18"/>
              </w:rPr>
            </w:pPr>
            <w:r w:rsidRPr="00471CBA">
              <w:rPr>
                <w:b/>
                <w:bCs/>
                <w:color w:val="000000"/>
                <w:sz w:val="18"/>
                <w:szCs w:val="18"/>
              </w:rPr>
              <w:t>1.339.304</w:t>
            </w:r>
          </w:p>
        </w:tc>
      </w:tr>
      <w:tr w:rsidR="009273BE" w:rsidRPr="00471CBA" w14:paraId="14B1B755" w14:textId="77777777" w:rsidTr="009273BE">
        <w:trPr>
          <w:trHeight w:val="113"/>
        </w:trPr>
        <w:tc>
          <w:tcPr>
            <w:tcW w:w="2501" w:type="pct"/>
            <w:vAlign w:val="bottom"/>
            <w:hideMark/>
          </w:tcPr>
          <w:p w14:paraId="7EC596D4" w14:textId="77777777" w:rsidR="009273BE" w:rsidRPr="00471CBA" w:rsidRDefault="009273BE" w:rsidP="009273BE">
            <w:pPr>
              <w:ind w:firstLineChars="200" w:firstLine="360"/>
              <w:rPr>
                <w:sz w:val="18"/>
                <w:szCs w:val="18"/>
              </w:rPr>
            </w:pPr>
            <w:r w:rsidRPr="00471CBA">
              <w:rPr>
                <w:sz w:val="18"/>
                <w:szCs w:val="18"/>
              </w:rPr>
              <w:t>Devlet borçlanma senetleri</w:t>
            </w:r>
          </w:p>
        </w:tc>
        <w:tc>
          <w:tcPr>
            <w:tcW w:w="617" w:type="pct"/>
            <w:vAlign w:val="center"/>
          </w:tcPr>
          <w:p w14:paraId="7D384A1C" w14:textId="78E83664" w:rsidR="009273BE" w:rsidRPr="00471CBA" w:rsidRDefault="009273BE" w:rsidP="009273BE">
            <w:pPr>
              <w:ind w:left="213" w:hanging="141"/>
              <w:jc w:val="right"/>
              <w:rPr>
                <w:sz w:val="18"/>
                <w:szCs w:val="18"/>
              </w:rPr>
            </w:pPr>
            <w:r w:rsidRPr="00471CBA">
              <w:rPr>
                <w:color w:val="000000"/>
                <w:sz w:val="18"/>
                <w:szCs w:val="18"/>
              </w:rPr>
              <w:t>-</w:t>
            </w:r>
          </w:p>
        </w:tc>
        <w:tc>
          <w:tcPr>
            <w:tcW w:w="617" w:type="pct"/>
            <w:vAlign w:val="center"/>
          </w:tcPr>
          <w:p w14:paraId="73800131" w14:textId="426B9605" w:rsidR="009273BE" w:rsidRPr="00471CBA" w:rsidRDefault="009273BE" w:rsidP="009273BE">
            <w:pPr>
              <w:ind w:left="213" w:hanging="141"/>
              <w:jc w:val="right"/>
              <w:rPr>
                <w:sz w:val="18"/>
                <w:szCs w:val="18"/>
              </w:rPr>
            </w:pPr>
            <w:r w:rsidRPr="00471CBA">
              <w:rPr>
                <w:color w:val="000000"/>
                <w:sz w:val="18"/>
                <w:szCs w:val="18"/>
              </w:rPr>
              <w:t>-</w:t>
            </w:r>
          </w:p>
        </w:tc>
        <w:tc>
          <w:tcPr>
            <w:tcW w:w="617" w:type="pct"/>
            <w:vAlign w:val="center"/>
          </w:tcPr>
          <w:p w14:paraId="10BA99BB" w14:textId="725F5590" w:rsidR="009273BE" w:rsidRPr="00C93640" w:rsidRDefault="009273BE" w:rsidP="009273BE">
            <w:pPr>
              <w:ind w:left="213" w:hanging="141"/>
              <w:jc w:val="right"/>
              <w:rPr>
                <w:sz w:val="18"/>
                <w:szCs w:val="18"/>
              </w:rPr>
            </w:pPr>
            <w:r w:rsidRPr="00C93640">
              <w:rPr>
                <w:color w:val="000000"/>
                <w:sz w:val="18"/>
                <w:szCs w:val="18"/>
              </w:rPr>
              <w:t>-</w:t>
            </w:r>
          </w:p>
        </w:tc>
        <w:tc>
          <w:tcPr>
            <w:tcW w:w="648" w:type="pct"/>
            <w:vAlign w:val="center"/>
          </w:tcPr>
          <w:p w14:paraId="61A8682F" w14:textId="2FADF872" w:rsidR="009273BE" w:rsidRPr="00471CBA" w:rsidRDefault="009273BE" w:rsidP="009273BE">
            <w:pPr>
              <w:ind w:left="213" w:hanging="141"/>
              <w:jc w:val="right"/>
              <w:rPr>
                <w:sz w:val="18"/>
                <w:szCs w:val="18"/>
              </w:rPr>
            </w:pPr>
            <w:r w:rsidRPr="00471CBA">
              <w:rPr>
                <w:color w:val="000000"/>
                <w:sz w:val="18"/>
                <w:szCs w:val="18"/>
              </w:rPr>
              <w:t>-</w:t>
            </w:r>
          </w:p>
        </w:tc>
      </w:tr>
      <w:tr w:rsidR="009273BE" w:rsidRPr="00471CBA" w14:paraId="1796A9D7" w14:textId="77777777" w:rsidTr="009273BE">
        <w:trPr>
          <w:trHeight w:val="113"/>
        </w:trPr>
        <w:tc>
          <w:tcPr>
            <w:tcW w:w="2501" w:type="pct"/>
            <w:vAlign w:val="bottom"/>
            <w:hideMark/>
          </w:tcPr>
          <w:p w14:paraId="00D2ECB5" w14:textId="77777777" w:rsidR="009273BE" w:rsidRPr="00471CBA" w:rsidRDefault="009273BE" w:rsidP="009273BE">
            <w:pPr>
              <w:ind w:firstLineChars="200" w:firstLine="360"/>
              <w:rPr>
                <w:sz w:val="18"/>
                <w:szCs w:val="18"/>
              </w:rPr>
            </w:pPr>
            <w:r w:rsidRPr="00471CBA">
              <w:rPr>
                <w:sz w:val="18"/>
                <w:szCs w:val="18"/>
              </w:rPr>
              <w:t xml:space="preserve">Sermayede payı temsil eden menkul değerler </w:t>
            </w:r>
          </w:p>
        </w:tc>
        <w:tc>
          <w:tcPr>
            <w:tcW w:w="617" w:type="pct"/>
            <w:vAlign w:val="center"/>
          </w:tcPr>
          <w:p w14:paraId="36CF9167" w14:textId="61562BFB" w:rsidR="009273BE" w:rsidRPr="00471CBA" w:rsidRDefault="00326B82" w:rsidP="009273BE">
            <w:pPr>
              <w:ind w:left="213" w:hanging="141"/>
              <w:jc w:val="right"/>
              <w:rPr>
                <w:sz w:val="18"/>
                <w:szCs w:val="18"/>
              </w:rPr>
            </w:pPr>
            <w:r>
              <w:rPr>
                <w:color w:val="000000"/>
                <w:sz w:val="18"/>
                <w:szCs w:val="18"/>
              </w:rPr>
              <w:t>-</w:t>
            </w:r>
          </w:p>
        </w:tc>
        <w:tc>
          <w:tcPr>
            <w:tcW w:w="617" w:type="pct"/>
            <w:vAlign w:val="center"/>
          </w:tcPr>
          <w:p w14:paraId="5409F85B" w14:textId="1B486B19" w:rsidR="009273BE" w:rsidRPr="00471CBA" w:rsidRDefault="009273BE" w:rsidP="009273BE">
            <w:pPr>
              <w:ind w:left="213" w:hanging="141"/>
              <w:jc w:val="right"/>
              <w:rPr>
                <w:sz w:val="18"/>
                <w:szCs w:val="18"/>
              </w:rPr>
            </w:pPr>
            <w:r w:rsidRPr="00471CBA">
              <w:rPr>
                <w:color w:val="000000"/>
                <w:sz w:val="18"/>
                <w:szCs w:val="18"/>
              </w:rPr>
              <w:t>-</w:t>
            </w:r>
          </w:p>
        </w:tc>
        <w:tc>
          <w:tcPr>
            <w:tcW w:w="617" w:type="pct"/>
            <w:vAlign w:val="center"/>
          </w:tcPr>
          <w:p w14:paraId="1D899B7E" w14:textId="36CA2D4B" w:rsidR="009273BE" w:rsidRPr="00C93640" w:rsidRDefault="00326B82" w:rsidP="009273BE">
            <w:pPr>
              <w:ind w:left="213" w:hanging="141"/>
              <w:jc w:val="right"/>
              <w:rPr>
                <w:sz w:val="18"/>
                <w:szCs w:val="18"/>
              </w:rPr>
            </w:pPr>
            <w:r w:rsidRPr="00C93640">
              <w:rPr>
                <w:color w:val="000000"/>
                <w:sz w:val="18"/>
                <w:szCs w:val="18"/>
              </w:rPr>
              <w:t>15</w:t>
            </w:r>
          </w:p>
        </w:tc>
        <w:tc>
          <w:tcPr>
            <w:tcW w:w="648" w:type="pct"/>
            <w:vAlign w:val="center"/>
          </w:tcPr>
          <w:p w14:paraId="431F01D9" w14:textId="5E874695" w:rsidR="009273BE" w:rsidRPr="00471CBA" w:rsidRDefault="009273BE" w:rsidP="009273BE">
            <w:pPr>
              <w:ind w:left="213" w:hanging="141"/>
              <w:jc w:val="right"/>
              <w:rPr>
                <w:sz w:val="18"/>
                <w:szCs w:val="18"/>
              </w:rPr>
            </w:pPr>
            <w:r w:rsidRPr="00471CBA">
              <w:rPr>
                <w:color w:val="000000"/>
                <w:sz w:val="18"/>
                <w:szCs w:val="18"/>
              </w:rPr>
              <w:t>15</w:t>
            </w:r>
          </w:p>
        </w:tc>
      </w:tr>
      <w:tr w:rsidR="009273BE" w:rsidRPr="00471CBA" w14:paraId="71A54B0F" w14:textId="77777777" w:rsidTr="009273BE">
        <w:trPr>
          <w:trHeight w:val="113"/>
        </w:trPr>
        <w:tc>
          <w:tcPr>
            <w:tcW w:w="2501" w:type="pct"/>
            <w:vAlign w:val="bottom"/>
            <w:hideMark/>
          </w:tcPr>
          <w:p w14:paraId="09FE65F0" w14:textId="77777777" w:rsidR="009273BE" w:rsidRPr="00471CBA" w:rsidRDefault="009273BE" w:rsidP="009273BE">
            <w:pPr>
              <w:ind w:firstLineChars="200" w:firstLine="360"/>
              <w:rPr>
                <w:sz w:val="18"/>
                <w:szCs w:val="18"/>
              </w:rPr>
            </w:pPr>
            <w:r w:rsidRPr="00471CBA">
              <w:rPr>
                <w:sz w:val="18"/>
                <w:szCs w:val="18"/>
              </w:rPr>
              <w:t>Diğer finansal varlıklara ilişkin bilgiler</w:t>
            </w:r>
          </w:p>
        </w:tc>
        <w:tc>
          <w:tcPr>
            <w:tcW w:w="617" w:type="pct"/>
            <w:vAlign w:val="center"/>
          </w:tcPr>
          <w:p w14:paraId="7F9970F0" w14:textId="01012578" w:rsidR="009273BE" w:rsidRPr="00471CBA" w:rsidRDefault="009273BE" w:rsidP="009273BE">
            <w:pPr>
              <w:ind w:left="213" w:hanging="141"/>
              <w:jc w:val="right"/>
              <w:rPr>
                <w:sz w:val="18"/>
                <w:szCs w:val="18"/>
              </w:rPr>
            </w:pPr>
            <w:r w:rsidRPr="00471CBA">
              <w:rPr>
                <w:color w:val="000000"/>
                <w:sz w:val="18"/>
                <w:szCs w:val="18"/>
              </w:rPr>
              <w:t>1.339.289</w:t>
            </w:r>
          </w:p>
        </w:tc>
        <w:tc>
          <w:tcPr>
            <w:tcW w:w="617" w:type="pct"/>
            <w:vAlign w:val="center"/>
          </w:tcPr>
          <w:p w14:paraId="3C8EB5B4" w14:textId="3E01DFC2" w:rsidR="009273BE" w:rsidRPr="00471CBA" w:rsidRDefault="009273BE" w:rsidP="009273BE">
            <w:pPr>
              <w:ind w:left="213" w:hanging="141"/>
              <w:jc w:val="right"/>
              <w:rPr>
                <w:sz w:val="18"/>
                <w:szCs w:val="18"/>
              </w:rPr>
            </w:pPr>
            <w:r w:rsidRPr="00471CBA">
              <w:rPr>
                <w:color w:val="000000"/>
                <w:sz w:val="18"/>
                <w:szCs w:val="18"/>
              </w:rPr>
              <w:t>-</w:t>
            </w:r>
          </w:p>
        </w:tc>
        <w:tc>
          <w:tcPr>
            <w:tcW w:w="617" w:type="pct"/>
            <w:vAlign w:val="center"/>
          </w:tcPr>
          <w:p w14:paraId="49DD8073" w14:textId="256F6CE0" w:rsidR="009273BE" w:rsidRPr="00C93640" w:rsidRDefault="009273BE" w:rsidP="009273BE">
            <w:pPr>
              <w:ind w:left="213" w:hanging="141"/>
              <w:jc w:val="right"/>
              <w:rPr>
                <w:sz w:val="18"/>
                <w:szCs w:val="18"/>
              </w:rPr>
            </w:pPr>
            <w:r w:rsidRPr="00C93640">
              <w:rPr>
                <w:color w:val="000000"/>
                <w:sz w:val="18"/>
                <w:szCs w:val="18"/>
              </w:rPr>
              <w:t>-</w:t>
            </w:r>
          </w:p>
        </w:tc>
        <w:tc>
          <w:tcPr>
            <w:tcW w:w="648" w:type="pct"/>
            <w:vAlign w:val="center"/>
          </w:tcPr>
          <w:p w14:paraId="51958F3F" w14:textId="17C714C7" w:rsidR="009273BE" w:rsidRPr="00471CBA" w:rsidRDefault="009273BE" w:rsidP="009273BE">
            <w:pPr>
              <w:ind w:left="213" w:hanging="141"/>
              <w:jc w:val="right"/>
              <w:rPr>
                <w:sz w:val="18"/>
                <w:szCs w:val="18"/>
              </w:rPr>
            </w:pPr>
            <w:r w:rsidRPr="00471CBA">
              <w:rPr>
                <w:color w:val="000000"/>
                <w:sz w:val="18"/>
                <w:szCs w:val="18"/>
              </w:rPr>
              <w:t>1.339.289</w:t>
            </w:r>
          </w:p>
        </w:tc>
      </w:tr>
      <w:tr w:rsidR="009273BE" w:rsidRPr="00471CBA" w14:paraId="56BF84FF" w14:textId="77777777" w:rsidTr="009273BE">
        <w:trPr>
          <w:trHeight w:val="113"/>
        </w:trPr>
        <w:tc>
          <w:tcPr>
            <w:tcW w:w="2501" w:type="pct"/>
            <w:vAlign w:val="bottom"/>
            <w:hideMark/>
          </w:tcPr>
          <w:p w14:paraId="6D3D8338" w14:textId="77777777" w:rsidR="009273BE" w:rsidRPr="00471CBA" w:rsidRDefault="009273BE" w:rsidP="009273BE">
            <w:pPr>
              <w:rPr>
                <w:b/>
                <w:sz w:val="18"/>
                <w:szCs w:val="18"/>
              </w:rPr>
            </w:pPr>
            <w:r w:rsidRPr="00471CBA">
              <w:rPr>
                <w:b/>
                <w:sz w:val="18"/>
                <w:szCs w:val="18"/>
              </w:rPr>
              <w:t>Gerçeğe Uygun Değer Farkı Diğer Kapsamlı Gelire Yansıtılan Finansal Varlıklar</w:t>
            </w:r>
          </w:p>
        </w:tc>
        <w:tc>
          <w:tcPr>
            <w:tcW w:w="617" w:type="pct"/>
            <w:vAlign w:val="center"/>
          </w:tcPr>
          <w:p w14:paraId="6BDFF673" w14:textId="5E612EB7" w:rsidR="009273BE" w:rsidRPr="00471CBA" w:rsidRDefault="009273BE" w:rsidP="009273BE">
            <w:pPr>
              <w:ind w:left="213" w:hanging="141"/>
              <w:jc w:val="right"/>
              <w:rPr>
                <w:b/>
                <w:sz w:val="18"/>
                <w:szCs w:val="18"/>
              </w:rPr>
            </w:pPr>
            <w:r w:rsidRPr="00471CBA">
              <w:rPr>
                <w:b/>
                <w:bCs/>
                <w:color w:val="000000"/>
                <w:sz w:val="18"/>
                <w:szCs w:val="18"/>
              </w:rPr>
              <w:t>5.187.857</w:t>
            </w:r>
          </w:p>
        </w:tc>
        <w:tc>
          <w:tcPr>
            <w:tcW w:w="617" w:type="pct"/>
            <w:vAlign w:val="center"/>
          </w:tcPr>
          <w:p w14:paraId="09FE8467" w14:textId="1F645BD3" w:rsidR="009273BE" w:rsidRPr="00471CBA" w:rsidRDefault="009273BE" w:rsidP="009273BE">
            <w:pPr>
              <w:ind w:left="213" w:hanging="141"/>
              <w:jc w:val="right"/>
              <w:rPr>
                <w:b/>
                <w:sz w:val="18"/>
                <w:szCs w:val="18"/>
              </w:rPr>
            </w:pPr>
            <w:r w:rsidRPr="00471CBA">
              <w:rPr>
                <w:b/>
                <w:bCs/>
                <w:color w:val="000000"/>
                <w:sz w:val="18"/>
                <w:szCs w:val="18"/>
              </w:rPr>
              <w:t>-</w:t>
            </w:r>
          </w:p>
        </w:tc>
        <w:tc>
          <w:tcPr>
            <w:tcW w:w="617" w:type="pct"/>
            <w:vAlign w:val="center"/>
          </w:tcPr>
          <w:p w14:paraId="042A292E" w14:textId="32296B74" w:rsidR="009273BE" w:rsidRPr="00C93640" w:rsidRDefault="009273BE" w:rsidP="009273BE">
            <w:pPr>
              <w:ind w:left="213" w:hanging="141"/>
              <w:jc w:val="right"/>
              <w:rPr>
                <w:b/>
                <w:sz w:val="18"/>
                <w:szCs w:val="18"/>
              </w:rPr>
            </w:pPr>
            <w:r w:rsidRPr="00C93640">
              <w:rPr>
                <w:b/>
                <w:bCs/>
                <w:color w:val="000000"/>
                <w:sz w:val="18"/>
                <w:szCs w:val="18"/>
              </w:rPr>
              <w:t>-</w:t>
            </w:r>
          </w:p>
        </w:tc>
        <w:tc>
          <w:tcPr>
            <w:tcW w:w="648" w:type="pct"/>
            <w:vAlign w:val="center"/>
          </w:tcPr>
          <w:p w14:paraId="607A814E" w14:textId="39D64A80" w:rsidR="009273BE" w:rsidRPr="00471CBA" w:rsidRDefault="009273BE" w:rsidP="009273BE">
            <w:pPr>
              <w:ind w:left="213" w:hanging="141"/>
              <w:jc w:val="right"/>
              <w:rPr>
                <w:b/>
                <w:sz w:val="18"/>
                <w:szCs w:val="18"/>
              </w:rPr>
            </w:pPr>
            <w:r w:rsidRPr="00471CBA">
              <w:rPr>
                <w:b/>
                <w:bCs/>
                <w:color w:val="000000"/>
                <w:sz w:val="18"/>
                <w:szCs w:val="18"/>
              </w:rPr>
              <w:t>5.187.857</w:t>
            </w:r>
          </w:p>
        </w:tc>
      </w:tr>
      <w:tr w:rsidR="009273BE" w:rsidRPr="00471CBA" w14:paraId="78FC691C" w14:textId="77777777" w:rsidTr="009273BE">
        <w:trPr>
          <w:trHeight w:val="113"/>
        </w:trPr>
        <w:tc>
          <w:tcPr>
            <w:tcW w:w="2501" w:type="pct"/>
            <w:vAlign w:val="bottom"/>
            <w:hideMark/>
          </w:tcPr>
          <w:p w14:paraId="0C5E078D" w14:textId="77777777" w:rsidR="009273BE" w:rsidRPr="00471CBA" w:rsidRDefault="009273BE" w:rsidP="009273BE">
            <w:pPr>
              <w:ind w:firstLineChars="200" w:firstLine="360"/>
              <w:rPr>
                <w:sz w:val="18"/>
                <w:szCs w:val="18"/>
              </w:rPr>
            </w:pPr>
            <w:r w:rsidRPr="00471CBA">
              <w:rPr>
                <w:sz w:val="18"/>
                <w:szCs w:val="18"/>
              </w:rPr>
              <w:t>Sermayede payı temsil eden menkul değerler</w:t>
            </w:r>
          </w:p>
        </w:tc>
        <w:tc>
          <w:tcPr>
            <w:tcW w:w="617" w:type="pct"/>
            <w:vAlign w:val="center"/>
          </w:tcPr>
          <w:p w14:paraId="0E5468B1" w14:textId="0861F937" w:rsidR="009273BE" w:rsidRPr="00471CBA" w:rsidRDefault="009273BE" w:rsidP="009273BE">
            <w:pPr>
              <w:ind w:left="213" w:hanging="141"/>
              <w:jc w:val="right"/>
              <w:rPr>
                <w:sz w:val="18"/>
                <w:szCs w:val="18"/>
              </w:rPr>
            </w:pPr>
            <w:r w:rsidRPr="00471CBA">
              <w:rPr>
                <w:color w:val="000000"/>
                <w:sz w:val="18"/>
                <w:szCs w:val="18"/>
              </w:rPr>
              <w:t>-</w:t>
            </w:r>
          </w:p>
        </w:tc>
        <w:tc>
          <w:tcPr>
            <w:tcW w:w="617" w:type="pct"/>
            <w:vAlign w:val="center"/>
          </w:tcPr>
          <w:p w14:paraId="5741182E" w14:textId="3F60DB3E" w:rsidR="009273BE" w:rsidRPr="00471CBA" w:rsidRDefault="009273BE" w:rsidP="009273BE">
            <w:pPr>
              <w:ind w:left="213" w:hanging="141"/>
              <w:jc w:val="right"/>
              <w:rPr>
                <w:sz w:val="18"/>
                <w:szCs w:val="18"/>
              </w:rPr>
            </w:pPr>
            <w:r w:rsidRPr="00471CBA">
              <w:rPr>
                <w:color w:val="000000"/>
                <w:sz w:val="18"/>
                <w:szCs w:val="18"/>
              </w:rPr>
              <w:t>-</w:t>
            </w:r>
          </w:p>
        </w:tc>
        <w:tc>
          <w:tcPr>
            <w:tcW w:w="617" w:type="pct"/>
            <w:vAlign w:val="center"/>
          </w:tcPr>
          <w:p w14:paraId="77497A4B" w14:textId="66A2F829" w:rsidR="009273BE" w:rsidRPr="00471CBA" w:rsidRDefault="009273BE" w:rsidP="009273BE">
            <w:pPr>
              <w:ind w:left="213" w:hanging="141"/>
              <w:jc w:val="right"/>
              <w:rPr>
                <w:sz w:val="18"/>
                <w:szCs w:val="18"/>
              </w:rPr>
            </w:pPr>
            <w:r w:rsidRPr="00471CBA">
              <w:rPr>
                <w:color w:val="000000"/>
                <w:sz w:val="18"/>
                <w:szCs w:val="18"/>
              </w:rPr>
              <w:t>-</w:t>
            </w:r>
          </w:p>
        </w:tc>
        <w:tc>
          <w:tcPr>
            <w:tcW w:w="648" w:type="pct"/>
            <w:vAlign w:val="center"/>
          </w:tcPr>
          <w:p w14:paraId="58E58A6D" w14:textId="346AF4F8" w:rsidR="009273BE" w:rsidRPr="00471CBA" w:rsidRDefault="009273BE" w:rsidP="009273BE">
            <w:pPr>
              <w:ind w:left="213" w:hanging="141"/>
              <w:jc w:val="right"/>
              <w:rPr>
                <w:sz w:val="18"/>
                <w:szCs w:val="18"/>
              </w:rPr>
            </w:pPr>
            <w:r w:rsidRPr="00471CBA">
              <w:rPr>
                <w:color w:val="000000"/>
                <w:sz w:val="18"/>
                <w:szCs w:val="18"/>
              </w:rPr>
              <w:t>-</w:t>
            </w:r>
          </w:p>
        </w:tc>
      </w:tr>
      <w:tr w:rsidR="009273BE" w:rsidRPr="00471CBA" w14:paraId="08B0DBBC" w14:textId="77777777" w:rsidTr="009273BE">
        <w:trPr>
          <w:trHeight w:val="113"/>
        </w:trPr>
        <w:tc>
          <w:tcPr>
            <w:tcW w:w="2501" w:type="pct"/>
            <w:vAlign w:val="bottom"/>
            <w:hideMark/>
          </w:tcPr>
          <w:p w14:paraId="06595E7F" w14:textId="77777777" w:rsidR="009273BE" w:rsidRPr="00471CBA" w:rsidRDefault="009273BE" w:rsidP="009273BE">
            <w:pPr>
              <w:ind w:firstLineChars="200" w:firstLine="360"/>
              <w:rPr>
                <w:sz w:val="18"/>
                <w:szCs w:val="18"/>
              </w:rPr>
            </w:pPr>
            <w:r w:rsidRPr="00471CBA">
              <w:rPr>
                <w:sz w:val="18"/>
                <w:szCs w:val="18"/>
              </w:rPr>
              <w:t>Devlet borçlanma senetleri</w:t>
            </w:r>
          </w:p>
        </w:tc>
        <w:tc>
          <w:tcPr>
            <w:tcW w:w="617" w:type="pct"/>
            <w:vAlign w:val="center"/>
          </w:tcPr>
          <w:p w14:paraId="2D8AE36A" w14:textId="11F138C0" w:rsidR="009273BE" w:rsidRPr="00471CBA" w:rsidRDefault="009273BE" w:rsidP="009273BE">
            <w:pPr>
              <w:ind w:left="213" w:hanging="141"/>
              <w:jc w:val="right"/>
              <w:rPr>
                <w:sz w:val="18"/>
                <w:szCs w:val="18"/>
              </w:rPr>
            </w:pPr>
            <w:r w:rsidRPr="00471CBA">
              <w:rPr>
                <w:color w:val="000000"/>
                <w:sz w:val="18"/>
                <w:szCs w:val="18"/>
              </w:rPr>
              <w:t>4.980.309</w:t>
            </w:r>
          </w:p>
        </w:tc>
        <w:tc>
          <w:tcPr>
            <w:tcW w:w="617" w:type="pct"/>
            <w:vAlign w:val="center"/>
          </w:tcPr>
          <w:p w14:paraId="4443129A" w14:textId="17C4F9A1" w:rsidR="009273BE" w:rsidRPr="00471CBA" w:rsidRDefault="009273BE" w:rsidP="009273BE">
            <w:pPr>
              <w:ind w:left="213" w:hanging="141"/>
              <w:jc w:val="right"/>
              <w:rPr>
                <w:sz w:val="18"/>
                <w:szCs w:val="18"/>
              </w:rPr>
            </w:pPr>
            <w:r w:rsidRPr="00471CBA">
              <w:rPr>
                <w:color w:val="000000"/>
                <w:sz w:val="18"/>
                <w:szCs w:val="18"/>
              </w:rPr>
              <w:t>-</w:t>
            </w:r>
          </w:p>
        </w:tc>
        <w:tc>
          <w:tcPr>
            <w:tcW w:w="617" w:type="pct"/>
            <w:vAlign w:val="center"/>
          </w:tcPr>
          <w:p w14:paraId="5C2D8785" w14:textId="4EF31447" w:rsidR="009273BE" w:rsidRPr="00471CBA" w:rsidRDefault="009273BE" w:rsidP="009273BE">
            <w:pPr>
              <w:ind w:left="213" w:hanging="141"/>
              <w:jc w:val="right"/>
              <w:rPr>
                <w:sz w:val="18"/>
                <w:szCs w:val="18"/>
              </w:rPr>
            </w:pPr>
            <w:r w:rsidRPr="00471CBA">
              <w:rPr>
                <w:color w:val="000000"/>
                <w:sz w:val="18"/>
                <w:szCs w:val="18"/>
              </w:rPr>
              <w:t>-</w:t>
            </w:r>
          </w:p>
        </w:tc>
        <w:tc>
          <w:tcPr>
            <w:tcW w:w="648" w:type="pct"/>
            <w:vAlign w:val="center"/>
          </w:tcPr>
          <w:p w14:paraId="59B4D088" w14:textId="4CDD40E7" w:rsidR="009273BE" w:rsidRPr="00471CBA" w:rsidRDefault="009273BE" w:rsidP="009273BE">
            <w:pPr>
              <w:ind w:left="213" w:hanging="141"/>
              <w:jc w:val="right"/>
              <w:rPr>
                <w:sz w:val="18"/>
                <w:szCs w:val="18"/>
              </w:rPr>
            </w:pPr>
            <w:r w:rsidRPr="00471CBA">
              <w:rPr>
                <w:color w:val="000000"/>
                <w:sz w:val="18"/>
                <w:szCs w:val="18"/>
              </w:rPr>
              <w:t>4.980.309</w:t>
            </w:r>
          </w:p>
        </w:tc>
      </w:tr>
      <w:tr w:rsidR="009273BE" w:rsidRPr="00471CBA" w14:paraId="3BCD1353" w14:textId="77777777" w:rsidTr="009273BE">
        <w:trPr>
          <w:trHeight w:val="113"/>
        </w:trPr>
        <w:tc>
          <w:tcPr>
            <w:tcW w:w="2501" w:type="pct"/>
            <w:vAlign w:val="bottom"/>
            <w:hideMark/>
          </w:tcPr>
          <w:p w14:paraId="03EA651C" w14:textId="77777777" w:rsidR="009273BE" w:rsidRPr="00471CBA" w:rsidRDefault="009273BE" w:rsidP="009273BE">
            <w:pPr>
              <w:ind w:firstLineChars="200" w:firstLine="360"/>
              <w:rPr>
                <w:sz w:val="18"/>
                <w:szCs w:val="18"/>
              </w:rPr>
            </w:pPr>
            <w:r w:rsidRPr="00471CBA">
              <w:rPr>
                <w:sz w:val="18"/>
                <w:szCs w:val="18"/>
              </w:rPr>
              <w:t>Diğer Finansal Varlıklar</w:t>
            </w:r>
          </w:p>
        </w:tc>
        <w:tc>
          <w:tcPr>
            <w:tcW w:w="617" w:type="pct"/>
            <w:vAlign w:val="center"/>
          </w:tcPr>
          <w:p w14:paraId="5235A449" w14:textId="7B9301EB" w:rsidR="009273BE" w:rsidRPr="00471CBA" w:rsidRDefault="009273BE" w:rsidP="009273BE">
            <w:pPr>
              <w:ind w:left="213" w:hanging="141"/>
              <w:jc w:val="right"/>
              <w:rPr>
                <w:sz w:val="18"/>
                <w:szCs w:val="18"/>
              </w:rPr>
            </w:pPr>
            <w:r w:rsidRPr="00471CBA">
              <w:rPr>
                <w:color w:val="000000"/>
                <w:sz w:val="18"/>
                <w:szCs w:val="18"/>
              </w:rPr>
              <w:t>207.548</w:t>
            </w:r>
          </w:p>
        </w:tc>
        <w:tc>
          <w:tcPr>
            <w:tcW w:w="617" w:type="pct"/>
            <w:vAlign w:val="center"/>
          </w:tcPr>
          <w:p w14:paraId="6EEC5870" w14:textId="6F503049" w:rsidR="009273BE" w:rsidRPr="00471CBA" w:rsidRDefault="009273BE" w:rsidP="009273BE">
            <w:pPr>
              <w:ind w:left="213" w:hanging="141"/>
              <w:jc w:val="right"/>
              <w:rPr>
                <w:sz w:val="18"/>
                <w:szCs w:val="18"/>
              </w:rPr>
            </w:pPr>
            <w:r w:rsidRPr="00471CBA">
              <w:rPr>
                <w:color w:val="000000"/>
                <w:sz w:val="18"/>
                <w:szCs w:val="18"/>
              </w:rPr>
              <w:t>-</w:t>
            </w:r>
          </w:p>
        </w:tc>
        <w:tc>
          <w:tcPr>
            <w:tcW w:w="617" w:type="pct"/>
            <w:vAlign w:val="center"/>
          </w:tcPr>
          <w:p w14:paraId="7C09AB4F" w14:textId="6A450680" w:rsidR="009273BE" w:rsidRPr="00471CBA" w:rsidRDefault="009273BE" w:rsidP="009273BE">
            <w:pPr>
              <w:ind w:left="213" w:hanging="141"/>
              <w:jc w:val="right"/>
              <w:rPr>
                <w:sz w:val="18"/>
                <w:szCs w:val="18"/>
              </w:rPr>
            </w:pPr>
            <w:r w:rsidRPr="00471CBA">
              <w:rPr>
                <w:color w:val="000000"/>
                <w:sz w:val="18"/>
                <w:szCs w:val="18"/>
              </w:rPr>
              <w:t>-</w:t>
            </w:r>
          </w:p>
        </w:tc>
        <w:tc>
          <w:tcPr>
            <w:tcW w:w="648" w:type="pct"/>
            <w:vAlign w:val="center"/>
          </w:tcPr>
          <w:p w14:paraId="19FDE1D3" w14:textId="19F651F7" w:rsidR="009273BE" w:rsidRPr="00471CBA" w:rsidRDefault="009273BE" w:rsidP="009273BE">
            <w:pPr>
              <w:ind w:left="213" w:hanging="141"/>
              <w:jc w:val="right"/>
              <w:rPr>
                <w:sz w:val="18"/>
                <w:szCs w:val="18"/>
              </w:rPr>
            </w:pPr>
            <w:r w:rsidRPr="00471CBA">
              <w:rPr>
                <w:color w:val="000000"/>
                <w:sz w:val="18"/>
                <w:szCs w:val="18"/>
              </w:rPr>
              <w:t>207.548</w:t>
            </w:r>
          </w:p>
        </w:tc>
      </w:tr>
      <w:tr w:rsidR="009273BE" w:rsidRPr="00471CBA" w14:paraId="33D63B11" w14:textId="77777777" w:rsidTr="009273BE">
        <w:trPr>
          <w:trHeight w:val="113"/>
        </w:trPr>
        <w:tc>
          <w:tcPr>
            <w:tcW w:w="2501" w:type="pct"/>
            <w:vAlign w:val="bottom"/>
          </w:tcPr>
          <w:p w14:paraId="456B2F6B" w14:textId="77777777" w:rsidR="009273BE" w:rsidRPr="00471CBA" w:rsidRDefault="009273BE" w:rsidP="009273BE">
            <w:pPr>
              <w:rPr>
                <w:sz w:val="18"/>
                <w:szCs w:val="18"/>
              </w:rPr>
            </w:pPr>
          </w:p>
        </w:tc>
        <w:tc>
          <w:tcPr>
            <w:tcW w:w="617" w:type="pct"/>
            <w:vAlign w:val="bottom"/>
          </w:tcPr>
          <w:p w14:paraId="3C06F4A9" w14:textId="77777777" w:rsidR="009273BE" w:rsidRPr="00471CBA" w:rsidRDefault="009273BE" w:rsidP="009273BE">
            <w:pPr>
              <w:ind w:left="213" w:hanging="141"/>
              <w:jc w:val="right"/>
              <w:rPr>
                <w:sz w:val="18"/>
                <w:szCs w:val="18"/>
              </w:rPr>
            </w:pPr>
          </w:p>
        </w:tc>
        <w:tc>
          <w:tcPr>
            <w:tcW w:w="617" w:type="pct"/>
            <w:vAlign w:val="bottom"/>
          </w:tcPr>
          <w:p w14:paraId="71E4DA99" w14:textId="77777777" w:rsidR="009273BE" w:rsidRPr="00471CBA" w:rsidRDefault="009273BE" w:rsidP="009273BE">
            <w:pPr>
              <w:ind w:left="213" w:hanging="141"/>
              <w:jc w:val="right"/>
              <w:rPr>
                <w:sz w:val="18"/>
                <w:szCs w:val="18"/>
              </w:rPr>
            </w:pPr>
          </w:p>
        </w:tc>
        <w:tc>
          <w:tcPr>
            <w:tcW w:w="617" w:type="pct"/>
            <w:vAlign w:val="bottom"/>
          </w:tcPr>
          <w:p w14:paraId="73A30C4D" w14:textId="77777777" w:rsidR="009273BE" w:rsidRPr="00471CBA" w:rsidRDefault="009273BE" w:rsidP="009273BE">
            <w:pPr>
              <w:ind w:left="213" w:hanging="141"/>
              <w:jc w:val="right"/>
              <w:rPr>
                <w:sz w:val="18"/>
                <w:szCs w:val="18"/>
              </w:rPr>
            </w:pPr>
          </w:p>
        </w:tc>
        <w:tc>
          <w:tcPr>
            <w:tcW w:w="648" w:type="pct"/>
            <w:vAlign w:val="bottom"/>
          </w:tcPr>
          <w:p w14:paraId="511BD564" w14:textId="77777777" w:rsidR="009273BE" w:rsidRPr="00471CBA" w:rsidRDefault="009273BE" w:rsidP="009273BE">
            <w:pPr>
              <w:ind w:left="213" w:hanging="141"/>
              <w:jc w:val="right"/>
              <w:rPr>
                <w:sz w:val="18"/>
                <w:szCs w:val="18"/>
              </w:rPr>
            </w:pPr>
          </w:p>
        </w:tc>
      </w:tr>
      <w:tr w:rsidR="009273BE" w:rsidRPr="00471CBA" w14:paraId="361F63A1" w14:textId="77777777" w:rsidTr="009273BE">
        <w:trPr>
          <w:trHeight w:val="113"/>
        </w:trPr>
        <w:tc>
          <w:tcPr>
            <w:tcW w:w="2501" w:type="pct"/>
            <w:vAlign w:val="bottom"/>
            <w:hideMark/>
          </w:tcPr>
          <w:p w14:paraId="3CA4B792" w14:textId="77777777" w:rsidR="009273BE" w:rsidRPr="00471CBA" w:rsidRDefault="009273BE" w:rsidP="009273BE">
            <w:pPr>
              <w:rPr>
                <w:b/>
                <w:sz w:val="18"/>
                <w:szCs w:val="18"/>
              </w:rPr>
            </w:pPr>
            <w:r w:rsidRPr="00471CBA">
              <w:rPr>
                <w:b/>
                <w:sz w:val="18"/>
                <w:szCs w:val="18"/>
              </w:rPr>
              <w:t>Türev Finansal Varlıklar</w:t>
            </w:r>
          </w:p>
        </w:tc>
        <w:tc>
          <w:tcPr>
            <w:tcW w:w="617" w:type="pct"/>
            <w:vAlign w:val="center"/>
          </w:tcPr>
          <w:p w14:paraId="16231EF4" w14:textId="0A6F40AF" w:rsidR="009273BE" w:rsidRPr="00471CBA" w:rsidRDefault="009273BE" w:rsidP="009273BE">
            <w:pPr>
              <w:ind w:left="213" w:hanging="141"/>
              <w:jc w:val="right"/>
              <w:rPr>
                <w:b/>
                <w:sz w:val="18"/>
                <w:szCs w:val="18"/>
              </w:rPr>
            </w:pPr>
            <w:r w:rsidRPr="00471CBA">
              <w:rPr>
                <w:b/>
                <w:bCs/>
                <w:color w:val="000000"/>
                <w:sz w:val="18"/>
                <w:szCs w:val="18"/>
              </w:rPr>
              <w:t>1.147.565</w:t>
            </w:r>
          </w:p>
        </w:tc>
        <w:tc>
          <w:tcPr>
            <w:tcW w:w="617" w:type="pct"/>
            <w:vAlign w:val="center"/>
          </w:tcPr>
          <w:p w14:paraId="5C6731FC" w14:textId="55EB3B83" w:rsidR="009273BE" w:rsidRPr="00471CBA" w:rsidRDefault="009273BE" w:rsidP="009273BE">
            <w:pPr>
              <w:ind w:left="213" w:hanging="141"/>
              <w:jc w:val="right"/>
              <w:rPr>
                <w:b/>
                <w:sz w:val="18"/>
                <w:szCs w:val="18"/>
              </w:rPr>
            </w:pPr>
            <w:r w:rsidRPr="00471CBA">
              <w:rPr>
                <w:b/>
                <w:bCs/>
                <w:color w:val="000000"/>
                <w:sz w:val="18"/>
                <w:szCs w:val="18"/>
              </w:rPr>
              <w:t>-</w:t>
            </w:r>
          </w:p>
        </w:tc>
        <w:tc>
          <w:tcPr>
            <w:tcW w:w="617" w:type="pct"/>
            <w:vAlign w:val="center"/>
          </w:tcPr>
          <w:p w14:paraId="7DF564FD" w14:textId="6C8659FA" w:rsidR="009273BE" w:rsidRPr="00471CBA" w:rsidRDefault="009273BE" w:rsidP="009273BE">
            <w:pPr>
              <w:ind w:left="213" w:hanging="141"/>
              <w:jc w:val="right"/>
              <w:rPr>
                <w:b/>
                <w:sz w:val="18"/>
                <w:szCs w:val="18"/>
              </w:rPr>
            </w:pPr>
            <w:r w:rsidRPr="00471CBA">
              <w:rPr>
                <w:b/>
                <w:bCs/>
                <w:color w:val="000000"/>
                <w:sz w:val="18"/>
                <w:szCs w:val="18"/>
              </w:rPr>
              <w:t>-</w:t>
            </w:r>
          </w:p>
        </w:tc>
        <w:tc>
          <w:tcPr>
            <w:tcW w:w="648" w:type="pct"/>
            <w:vAlign w:val="center"/>
          </w:tcPr>
          <w:p w14:paraId="4A3032F3" w14:textId="43D6AF9A" w:rsidR="009273BE" w:rsidRPr="00471CBA" w:rsidRDefault="009273BE" w:rsidP="009273BE">
            <w:pPr>
              <w:ind w:left="213" w:hanging="141"/>
              <w:jc w:val="right"/>
              <w:rPr>
                <w:b/>
                <w:sz w:val="18"/>
                <w:szCs w:val="18"/>
              </w:rPr>
            </w:pPr>
            <w:r w:rsidRPr="00471CBA">
              <w:rPr>
                <w:b/>
                <w:bCs/>
                <w:color w:val="000000"/>
                <w:sz w:val="18"/>
                <w:szCs w:val="18"/>
              </w:rPr>
              <w:t>1.147.565</w:t>
            </w:r>
          </w:p>
        </w:tc>
      </w:tr>
      <w:tr w:rsidR="009273BE" w:rsidRPr="00471CBA" w14:paraId="3E2CCDA5" w14:textId="77777777" w:rsidTr="009273BE">
        <w:trPr>
          <w:trHeight w:val="113"/>
        </w:trPr>
        <w:tc>
          <w:tcPr>
            <w:tcW w:w="2501" w:type="pct"/>
            <w:vAlign w:val="bottom"/>
          </w:tcPr>
          <w:p w14:paraId="6D3DD8AC" w14:textId="77777777" w:rsidR="009273BE" w:rsidRPr="00471CBA" w:rsidRDefault="009273BE" w:rsidP="009273BE">
            <w:pPr>
              <w:rPr>
                <w:sz w:val="18"/>
                <w:szCs w:val="18"/>
              </w:rPr>
            </w:pPr>
          </w:p>
        </w:tc>
        <w:tc>
          <w:tcPr>
            <w:tcW w:w="617" w:type="pct"/>
            <w:vAlign w:val="bottom"/>
          </w:tcPr>
          <w:p w14:paraId="78AE3FBC" w14:textId="77777777" w:rsidR="009273BE" w:rsidRPr="00471CBA" w:rsidRDefault="009273BE" w:rsidP="009273BE">
            <w:pPr>
              <w:ind w:left="213" w:hanging="141"/>
              <w:jc w:val="right"/>
              <w:rPr>
                <w:sz w:val="18"/>
                <w:szCs w:val="18"/>
              </w:rPr>
            </w:pPr>
          </w:p>
        </w:tc>
        <w:tc>
          <w:tcPr>
            <w:tcW w:w="617" w:type="pct"/>
            <w:vAlign w:val="bottom"/>
          </w:tcPr>
          <w:p w14:paraId="4FCFF5E0" w14:textId="77777777" w:rsidR="009273BE" w:rsidRPr="00471CBA" w:rsidRDefault="009273BE" w:rsidP="009273BE">
            <w:pPr>
              <w:ind w:left="213" w:hanging="141"/>
              <w:jc w:val="right"/>
              <w:rPr>
                <w:sz w:val="18"/>
                <w:szCs w:val="18"/>
              </w:rPr>
            </w:pPr>
          </w:p>
        </w:tc>
        <w:tc>
          <w:tcPr>
            <w:tcW w:w="617" w:type="pct"/>
            <w:vAlign w:val="bottom"/>
          </w:tcPr>
          <w:p w14:paraId="78185F79" w14:textId="77777777" w:rsidR="009273BE" w:rsidRPr="00471CBA" w:rsidRDefault="009273BE" w:rsidP="009273BE">
            <w:pPr>
              <w:ind w:left="213" w:hanging="141"/>
              <w:jc w:val="right"/>
              <w:rPr>
                <w:sz w:val="18"/>
                <w:szCs w:val="18"/>
              </w:rPr>
            </w:pPr>
          </w:p>
        </w:tc>
        <w:tc>
          <w:tcPr>
            <w:tcW w:w="648" w:type="pct"/>
            <w:vAlign w:val="bottom"/>
          </w:tcPr>
          <w:p w14:paraId="5A13A1A3" w14:textId="77777777" w:rsidR="009273BE" w:rsidRPr="00471CBA" w:rsidRDefault="009273BE" w:rsidP="009273BE">
            <w:pPr>
              <w:ind w:left="213" w:hanging="141"/>
              <w:jc w:val="right"/>
              <w:rPr>
                <w:sz w:val="18"/>
                <w:szCs w:val="18"/>
              </w:rPr>
            </w:pPr>
          </w:p>
        </w:tc>
      </w:tr>
      <w:tr w:rsidR="009273BE" w:rsidRPr="00471CBA" w14:paraId="2B268141" w14:textId="77777777" w:rsidTr="009273BE">
        <w:trPr>
          <w:trHeight w:val="113"/>
        </w:trPr>
        <w:tc>
          <w:tcPr>
            <w:tcW w:w="2501" w:type="pct"/>
            <w:vAlign w:val="bottom"/>
            <w:hideMark/>
          </w:tcPr>
          <w:p w14:paraId="57DA0E34" w14:textId="77777777" w:rsidR="009273BE" w:rsidRPr="00471CBA" w:rsidRDefault="009273BE" w:rsidP="009273BE">
            <w:pPr>
              <w:rPr>
                <w:sz w:val="18"/>
                <w:szCs w:val="18"/>
              </w:rPr>
            </w:pPr>
            <w:r w:rsidRPr="00471CBA">
              <w:rPr>
                <w:b/>
                <w:sz w:val="18"/>
                <w:szCs w:val="18"/>
              </w:rPr>
              <w:t>Finansal Yükümlülükler</w:t>
            </w:r>
          </w:p>
        </w:tc>
        <w:tc>
          <w:tcPr>
            <w:tcW w:w="617" w:type="pct"/>
            <w:vAlign w:val="center"/>
          </w:tcPr>
          <w:p w14:paraId="635FC3DE" w14:textId="77777777" w:rsidR="009273BE" w:rsidRPr="00471CBA" w:rsidRDefault="009273BE" w:rsidP="009273BE">
            <w:pPr>
              <w:ind w:left="213" w:hanging="141"/>
              <w:jc w:val="right"/>
              <w:rPr>
                <w:sz w:val="18"/>
                <w:szCs w:val="18"/>
              </w:rPr>
            </w:pPr>
          </w:p>
        </w:tc>
        <w:tc>
          <w:tcPr>
            <w:tcW w:w="617" w:type="pct"/>
            <w:vAlign w:val="center"/>
          </w:tcPr>
          <w:p w14:paraId="6BEA19D3" w14:textId="77777777" w:rsidR="009273BE" w:rsidRPr="00471CBA" w:rsidRDefault="009273BE" w:rsidP="009273BE">
            <w:pPr>
              <w:ind w:left="213" w:hanging="141"/>
              <w:jc w:val="right"/>
              <w:rPr>
                <w:sz w:val="18"/>
                <w:szCs w:val="18"/>
              </w:rPr>
            </w:pPr>
          </w:p>
        </w:tc>
        <w:tc>
          <w:tcPr>
            <w:tcW w:w="617" w:type="pct"/>
            <w:vAlign w:val="center"/>
          </w:tcPr>
          <w:p w14:paraId="0EEDAF5D" w14:textId="77777777" w:rsidR="009273BE" w:rsidRPr="00471CBA" w:rsidRDefault="009273BE" w:rsidP="009273BE">
            <w:pPr>
              <w:ind w:left="213" w:hanging="141"/>
              <w:jc w:val="right"/>
              <w:rPr>
                <w:sz w:val="18"/>
                <w:szCs w:val="18"/>
              </w:rPr>
            </w:pPr>
          </w:p>
        </w:tc>
        <w:tc>
          <w:tcPr>
            <w:tcW w:w="648" w:type="pct"/>
            <w:vAlign w:val="center"/>
          </w:tcPr>
          <w:p w14:paraId="4F6D3210" w14:textId="77777777" w:rsidR="009273BE" w:rsidRPr="00471CBA" w:rsidRDefault="009273BE" w:rsidP="009273BE">
            <w:pPr>
              <w:ind w:left="213" w:hanging="141"/>
              <w:jc w:val="right"/>
              <w:rPr>
                <w:sz w:val="18"/>
                <w:szCs w:val="18"/>
              </w:rPr>
            </w:pPr>
          </w:p>
        </w:tc>
      </w:tr>
      <w:tr w:rsidR="009273BE" w:rsidRPr="00471CBA" w14:paraId="02B67A36" w14:textId="77777777" w:rsidTr="009273BE">
        <w:trPr>
          <w:trHeight w:val="113"/>
        </w:trPr>
        <w:tc>
          <w:tcPr>
            <w:tcW w:w="2501" w:type="pct"/>
            <w:vAlign w:val="bottom"/>
          </w:tcPr>
          <w:p w14:paraId="7F397499" w14:textId="77777777" w:rsidR="009273BE" w:rsidRPr="00471CBA" w:rsidRDefault="009273BE" w:rsidP="009273BE">
            <w:pPr>
              <w:rPr>
                <w:sz w:val="18"/>
                <w:szCs w:val="18"/>
              </w:rPr>
            </w:pPr>
          </w:p>
        </w:tc>
        <w:tc>
          <w:tcPr>
            <w:tcW w:w="617" w:type="pct"/>
            <w:vAlign w:val="center"/>
          </w:tcPr>
          <w:p w14:paraId="5A3B178D" w14:textId="77777777" w:rsidR="009273BE" w:rsidRPr="00471CBA" w:rsidRDefault="009273BE" w:rsidP="009273BE">
            <w:pPr>
              <w:ind w:left="213" w:hanging="141"/>
              <w:jc w:val="right"/>
              <w:rPr>
                <w:sz w:val="18"/>
                <w:szCs w:val="18"/>
              </w:rPr>
            </w:pPr>
          </w:p>
        </w:tc>
        <w:tc>
          <w:tcPr>
            <w:tcW w:w="617" w:type="pct"/>
            <w:vAlign w:val="center"/>
          </w:tcPr>
          <w:p w14:paraId="280373BC" w14:textId="77777777" w:rsidR="009273BE" w:rsidRPr="00471CBA" w:rsidRDefault="009273BE" w:rsidP="009273BE">
            <w:pPr>
              <w:ind w:left="213" w:hanging="141"/>
              <w:jc w:val="right"/>
              <w:rPr>
                <w:sz w:val="18"/>
                <w:szCs w:val="18"/>
              </w:rPr>
            </w:pPr>
          </w:p>
        </w:tc>
        <w:tc>
          <w:tcPr>
            <w:tcW w:w="617" w:type="pct"/>
            <w:vAlign w:val="center"/>
          </w:tcPr>
          <w:p w14:paraId="277BC246" w14:textId="77777777" w:rsidR="009273BE" w:rsidRPr="00471CBA" w:rsidRDefault="009273BE" w:rsidP="009273BE">
            <w:pPr>
              <w:ind w:left="213" w:hanging="141"/>
              <w:jc w:val="right"/>
              <w:rPr>
                <w:sz w:val="18"/>
                <w:szCs w:val="18"/>
              </w:rPr>
            </w:pPr>
          </w:p>
        </w:tc>
        <w:tc>
          <w:tcPr>
            <w:tcW w:w="648" w:type="pct"/>
            <w:vAlign w:val="center"/>
          </w:tcPr>
          <w:p w14:paraId="51D8BC23" w14:textId="77777777" w:rsidR="009273BE" w:rsidRPr="00471CBA" w:rsidRDefault="009273BE" w:rsidP="009273BE">
            <w:pPr>
              <w:ind w:left="213" w:hanging="141"/>
              <w:jc w:val="right"/>
              <w:rPr>
                <w:sz w:val="18"/>
                <w:szCs w:val="18"/>
              </w:rPr>
            </w:pPr>
          </w:p>
        </w:tc>
      </w:tr>
      <w:tr w:rsidR="009273BE" w:rsidRPr="00471CBA" w14:paraId="6E0D54FF" w14:textId="77777777" w:rsidTr="009273BE">
        <w:trPr>
          <w:trHeight w:val="113"/>
        </w:trPr>
        <w:tc>
          <w:tcPr>
            <w:tcW w:w="2501" w:type="pct"/>
            <w:vAlign w:val="bottom"/>
            <w:hideMark/>
          </w:tcPr>
          <w:p w14:paraId="2D7B27E2" w14:textId="77777777" w:rsidR="009273BE" w:rsidRPr="00471CBA" w:rsidRDefault="009273BE" w:rsidP="009273BE">
            <w:pPr>
              <w:rPr>
                <w:b/>
                <w:sz w:val="18"/>
                <w:szCs w:val="18"/>
              </w:rPr>
            </w:pPr>
            <w:r w:rsidRPr="00471CBA">
              <w:rPr>
                <w:b/>
                <w:sz w:val="18"/>
                <w:szCs w:val="18"/>
              </w:rPr>
              <w:t>Türev Finansal Yükümlülükler</w:t>
            </w:r>
          </w:p>
        </w:tc>
        <w:tc>
          <w:tcPr>
            <w:tcW w:w="617" w:type="pct"/>
            <w:vAlign w:val="center"/>
          </w:tcPr>
          <w:p w14:paraId="68B5E0C5" w14:textId="21142617" w:rsidR="009273BE" w:rsidRPr="00471CBA" w:rsidRDefault="009273BE" w:rsidP="009273BE">
            <w:pPr>
              <w:ind w:left="213" w:hanging="141"/>
              <w:jc w:val="right"/>
              <w:rPr>
                <w:b/>
                <w:sz w:val="18"/>
                <w:szCs w:val="18"/>
              </w:rPr>
            </w:pPr>
            <w:r w:rsidRPr="00471CBA">
              <w:rPr>
                <w:b/>
                <w:bCs/>
                <w:color w:val="000000"/>
                <w:sz w:val="18"/>
                <w:szCs w:val="18"/>
              </w:rPr>
              <w:t>1.050.687</w:t>
            </w:r>
          </w:p>
        </w:tc>
        <w:tc>
          <w:tcPr>
            <w:tcW w:w="617" w:type="pct"/>
            <w:vAlign w:val="center"/>
          </w:tcPr>
          <w:p w14:paraId="247CC3FA" w14:textId="09707828" w:rsidR="009273BE" w:rsidRPr="00471CBA" w:rsidRDefault="009273BE" w:rsidP="009273BE">
            <w:pPr>
              <w:ind w:left="213" w:hanging="141"/>
              <w:jc w:val="right"/>
              <w:rPr>
                <w:b/>
                <w:sz w:val="18"/>
                <w:szCs w:val="18"/>
              </w:rPr>
            </w:pPr>
            <w:r w:rsidRPr="00471CBA">
              <w:rPr>
                <w:b/>
                <w:bCs/>
                <w:color w:val="000000"/>
                <w:sz w:val="18"/>
                <w:szCs w:val="18"/>
              </w:rPr>
              <w:t>-</w:t>
            </w:r>
          </w:p>
        </w:tc>
        <w:tc>
          <w:tcPr>
            <w:tcW w:w="617" w:type="pct"/>
            <w:vAlign w:val="center"/>
          </w:tcPr>
          <w:p w14:paraId="61772290" w14:textId="31C5396A" w:rsidR="009273BE" w:rsidRPr="00471CBA" w:rsidRDefault="009273BE" w:rsidP="009273BE">
            <w:pPr>
              <w:ind w:left="213" w:hanging="141"/>
              <w:jc w:val="right"/>
              <w:rPr>
                <w:b/>
                <w:sz w:val="18"/>
                <w:szCs w:val="18"/>
              </w:rPr>
            </w:pPr>
            <w:r w:rsidRPr="00471CBA">
              <w:rPr>
                <w:b/>
                <w:bCs/>
                <w:color w:val="000000"/>
                <w:sz w:val="18"/>
                <w:szCs w:val="18"/>
              </w:rPr>
              <w:t>-</w:t>
            </w:r>
          </w:p>
        </w:tc>
        <w:tc>
          <w:tcPr>
            <w:tcW w:w="648" w:type="pct"/>
            <w:vAlign w:val="center"/>
          </w:tcPr>
          <w:p w14:paraId="3275D8DD" w14:textId="6F752896" w:rsidR="009273BE" w:rsidRPr="00471CBA" w:rsidRDefault="009273BE" w:rsidP="009273BE">
            <w:pPr>
              <w:ind w:left="213" w:hanging="141"/>
              <w:jc w:val="right"/>
              <w:rPr>
                <w:b/>
                <w:sz w:val="18"/>
                <w:szCs w:val="18"/>
              </w:rPr>
            </w:pPr>
            <w:r w:rsidRPr="00471CBA">
              <w:rPr>
                <w:b/>
                <w:bCs/>
                <w:color w:val="000000"/>
                <w:sz w:val="18"/>
                <w:szCs w:val="18"/>
              </w:rPr>
              <w:t>1.050.687</w:t>
            </w:r>
          </w:p>
        </w:tc>
      </w:tr>
      <w:tr w:rsidR="00F91828" w:rsidRPr="00471CBA" w14:paraId="0EF7BBC2" w14:textId="77777777" w:rsidTr="009273BE">
        <w:trPr>
          <w:trHeight w:val="113"/>
        </w:trPr>
        <w:tc>
          <w:tcPr>
            <w:tcW w:w="2501" w:type="pct"/>
            <w:tcBorders>
              <w:top w:val="nil"/>
              <w:left w:val="nil"/>
              <w:bottom w:val="single" w:sz="4" w:space="0" w:color="auto"/>
              <w:right w:val="nil"/>
            </w:tcBorders>
            <w:vAlign w:val="bottom"/>
          </w:tcPr>
          <w:p w14:paraId="1082BC1E" w14:textId="77777777" w:rsidR="00F91828" w:rsidRPr="00471CBA" w:rsidRDefault="00F91828" w:rsidP="00B0049C">
            <w:pPr>
              <w:rPr>
                <w:sz w:val="18"/>
                <w:szCs w:val="18"/>
              </w:rPr>
            </w:pPr>
          </w:p>
        </w:tc>
        <w:tc>
          <w:tcPr>
            <w:tcW w:w="617" w:type="pct"/>
            <w:tcBorders>
              <w:top w:val="nil"/>
              <w:left w:val="nil"/>
              <w:bottom w:val="single" w:sz="4" w:space="0" w:color="auto"/>
              <w:right w:val="nil"/>
            </w:tcBorders>
            <w:vAlign w:val="bottom"/>
          </w:tcPr>
          <w:p w14:paraId="02777995" w14:textId="77777777" w:rsidR="00F91828" w:rsidRPr="00471CBA" w:rsidRDefault="00F91828" w:rsidP="00B0049C">
            <w:pPr>
              <w:ind w:left="213" w:hanging="141"/>
              <w:jc w:val="right"/>
              <w:rPr>
                <w:sz w:val="18"/>
                <w:szCs w:val="18"/>
              </w:rPr>
            </w:pPr>
          </w:p>
        </w:tc>
        <w:tc>
          <w:tcPr>
            <w:tcW w:w="617" w:type="pct"/>
            <w:tcBorders>
              <w:top w:val="nil"/>
              <w:left w:val="nil"/>
              <w:bottom w:val="single" w:sz="4" w:space="0" w:color="auto"/>
              <w:right w:val="nil"/>
            </w:tcBorders>
            <w:vAlign w:val="bottom"/>
          </w:tcPr>
          <w:p w14:paraId="3C8002D3" w14:textId="77777777" w:rsidR="00F91828" w:rsidRPr="00471CBA" w:rsidRDefault="00F91828" w:rsidP="00B0049C">
            <w:pPr>
              <w:ind w:left="213" w:hanging="141"/>
              <w:jc w:val="right"/>
              <w:rPr>
                <w:sz w:val="18"/>
                <w:szCs w:val="18"/>
              </w:rPr>
            </w:pPr>
          </w:p>
        </w:tc>
        <w:tc>
          <w:tcPr>
            <w:tcW w:w="617" w:type="pct"/>
            <w:tcBorders>
              <w:top w:val="nil"/>
              <w:left w:val="nil"/>
              <w:bottom w:val="single" w:sz="4" w:space="0" w:color="auto"/>
              <w:right w:val="nil"/>
            </w:tcBorders>
            <w:vAlign w:val="bottom"/>
          </w:tcPr>
          <w:p w14:paraId="15F92D40" w14:textId="77777777" w:rsidR="00F91828" w:rsidRPr="00471CBA" w:rsidRDefault="00F91828" w:rsidP="00B0049C">
            <w:pPr>
              <w:ind w:left="213" w:hanging="141"/>
              <w:jc w:val="right"/>
              <w:rPr>
                <w:sz w:val="18"/>
                <w:szCs w:val="18"/>
              </w:rPr>
            </w:pPr>
          </w:p>
        </w:tc>
        <w:tc>
          <w:tcPr>
            <w:tcW w:w="648" w:type="pct"/>
            <w:tcBorders>
              <w:top w:val="nil"/>
              <w:left w:val="nil"/>
              <w:bottom w:val="single" w:sz="4" w:space="0" w:color="auto"/>
              <w:right w:val="nil"/>
            </w:tcBorders>
            <w:vAlign w:val="bottom"/>
          </w:tcPr>
          <w:p w14:paraId="1349BD81" w14:textId="77777777" w:rsidR="00F91828" w:rsidRPr="00471CBA" w:rsidRDefault="00F91828" w:rsidP="00B0049C">
            <w:pPr>
              <w:ind w:left="213" w:hanging="141"/>
              <w:jc w:val="right"/>
              <w:rPr>
                <w:sz w:val="18"/>
                <w:szCs w:val="18"/>
              </w:rPr>
            </w:pPr>
          </w:p>
        </w:tc>
      </w:tr>
    </w:tbl>
    <w:p w14:paraId="50EAB64D" w14:textId="77777777" w:rsidR="00F91828" w:rsidRPr="00471CBA" w:rsidRDefault="00F91828" w:rsidP="00F91828">
      <w:pPr>
        <w:spacing w:before="60" w:after="60"/>
        <w:ind w:left="252" w:hanging="252"/>
        <w:jc w:val="both"/>
        <w:rPr>
          <w:sz w:val="16"/>
          <w:szCs w:val="16"/>
        </w:rPr>
      </w:pPr>
      <w:r w:rsidRPr="00471CBA">
        <w:rPr>
          <w:sz w:val="16"/>
          <w:szCs w:val="16"/>
          <w:vertAlign w:val="superscript"/>
        </w:rPr>
        <w:t xml:space="preserve">(*) </w:t>
      </w:r>
      <w:r w:rsidRPr="00471CBA">
        <w:rPr>
          <w:sz w:val="16"/>
          <w:szCs w:val="16"/>
        </w:rPr>
        <w:t xml:space="preserve">Cari dönem içerisinde birinci ve ikinci seviye arasında yapılmış bir sınıflama bulunmamaktadır. </w:t>
      </w:r>
    </w:p>
    <w:p w14:paraId="576083FC" w14:textId="77777777" w:rsidR="00F91828" w:rsidRPr="00471CBA" w:rsidRDefault="00F91828" w:rsidP="00F91828"/>
    <w:tbl>
      <w:tblPr>
        <w:tblW w:w="5000" w:type="pct"/>
        <w:tblCellMar>
          <w:left w:w="70" w:type="dxa"/>
          <w:right w:w="70" w:type="dxa"/>
        </w:tblCellMar>
        <w:tblLook w:val="04A0" w:firstRow="1" w:lastRow="0" w:firstColumn="1" w:lastColumn="0" w:noHBand="0" w:noVBand="1"/>
      </w:tblPr>
      <w:tblGrid>
        <w:gridCol w:w="4963"/>
        <w:gridCol w:w="1189"/>
        <w:gridCol w:w="1189"/>
        <w:gridCol w:w="1147"/>
        <w:gridCol w:w="1151"/>
      </w:tblGrid>
      <w:tr w:rsidR="00F91828" w:rsidRPr="00471CBA" w14:paraId="40227A0A" w14:textId="77777777" w:rsidTr="00B0049C">
        <w:trPr>
          <w:trHeight w:val="113"/>
        </w:trPr>
        <w:tc>
          <w:tcPr>
            <w:tcW w:w="2574" w:type="pct"/>
            <w:tcBorders>
              <w:top w:val="single" w:sz="4" w:space="0" w:color="auto"/>
              <w:left w:val="nil"/>
              <w:bottom w:val="single" w:sz="4" w:space="0" w:color="auto"/>
              <w:right w:val="nil"/>
            </w:tcBorders>
            <w:vAlign w:val="bottom"/>
            <w:hideMark/>
          </w:tcPr>
          <w:p w14:paraId="2CB4367C" w14:textId="39BB7438" w:rsidR="00F91828" w:rsidRPr="00471CBA" w:rsidRDefault="00571ECD" w:rsidP="00B0049C">
            <w:pPr>
              <w:jc w:val="both"/>
              <w:rPr>
                <w:b/>
                <w:bCs/>
                <w:sz w:val="18"/>
                <w:szCs w:val="18"/>
              </w:rPr>
            </w:pPr>
            <w:r w:rsidRPr="00471CBA">
              <w:rPr>
                <w:b/>
                <w:bCs/>
                <w:sz w:val="18"/>
                <w:szCs w:val="18"/>
              </w:rPr>
              <w:t xml:space="preserve">31 Aralık 2024 </w:t>
            </w:r>
            <w:r w:rsidRPr="00471CBA">
              <w:rPr>
                <w:b/>
                <w:bCs/>
                <w:sz w:val="18"/>
                <w:szCs w:val="18"/>
                <w:vertAlign w:val="superscript"/>
              </w:rPr>
              <w:t>(*)</w:t>
            </w:r>
          </w:p>
        </w:tc>
        <w:tc>
          <w:tcPr>
            <w:tcW w:w="617" w:type="pct"/>
            <w:tcBorders>
              <w:top w:val="single" w:sz="4" w:space="0" w:color="auto"/>
              <w:left w:val="nil"/>
              <w:bottom w:val="single" w:sz="4" w:space="0" w:color="auto"/>
              <w:right w:val="nil"/>
            </w:tcBorders>
            <w:vAlign w:val="bottom"/>
            <w:hideMark/>
          </w:tcPr>
          <w:p w14:paraId="189B0805" w14:textId="77777777" w:rsidR="00F91828" w:rsidRPr="00471CBA" w:rsidRDefault="00F91828" w:rsidP="00B0049C">
            <w:pPr>
              <w:ind w:left="213"/>
              <w:jc w:val="center"/>
              <w:rPr>
                <w:b/>
                <w:sz w:val="18"/>
                <w:szCs w:val="18"/>
              </w:rPr>
            </w:pPr>
            <w:r w:rsidRPr="00471CBA">
              <w:rPr>
                <w:b/>
                <w:sz w:val="18"/>
                <w:szCs w:val="18"/>
              </w:rPr>
              <w:t>1. seviye</w:t>
            </w:r>
          </w:p>
        </w:tc>
        <w:tc>
          <w:tcPr>
            <w:tcW w:w="617" w:type="pct"/>
            <w:tcBorders>
              <w:top w:val="single" w:sz="4" w:space="0" w:color="auto"/>
              <w:left w:val="nil"/>
              <w:bottom w:val="single" w:sz="4" w:space="0" w:color="auto"/>
              <w:right w:val="nil"/>
            </w:tcBorders>
            <w:vAlign w:val="bottom"/>
            <w:hideMark/>
          </w:tcPr>
          <w:p w14:paraId="0E8F5A8C" w14:textId="77777777" w:rsidR="00F91828" w:rsidRPr="00471CBA" w:rsidRDefault="00F91828" w:rsidP="00B0049C">
            <w:pPr>
              <w:ind w:left="213"/>
              <w:jc w:val="center"/>
              <w:rPr>
                <w:b/>
                <w:sz w:val="18"/>
                <w:szCs w:val="18"/>
              </w:rPr>
            </w:pPr>
            <w:r w:rsidRPr="00471CBA">
              <w:rPr>
                <w:b/>
                <w:sz w:val="18"/>
                <w:szCs w:val="18"/>
              </w:rPr>
              <w:t>2. seviye</w:t>
            </w:r>
          </w:p>
        </w:tc>
        <w:tc>
          <w:tcPr>
            <w:tcW w:w="595" w:type="pct"/>
            <w:tcBorders>
              <w:top w:val="single" w:sz="4" w:space="0" w:color="auto"/>
              <w:left w:val="nil"/>
              <w:bottom w:val="single" w:sz="4" w:space="0" w:color="auto"/>
              <w:right w:val="nil"/>
            </w:tcBorders>
            <w:vAlign w:val="bottom"/>
            <w:hideMark/>
          </w:tcPr>
          <w:p w14:paraId="2C915F36" w14:textId="77777777" w:rsidR="00F91828" w:rsidRPr="00471CBA" w:rsidRDefault="00F91828" w:rsidP="00B0049C">
            <w:pPr>
              <w:ind w:left="213"/>
              <w:jc w:val="center"/>
              <w:rPr>
                <w:b/>
                <w:sz w:val="18"/>
                <w:szCs w:val="18"/>
              </w:rPr>
            </w:pPr>
            <w:r w:rsidRPr="00471CBA">
              <w:rPr>
                <w:b/>
                <w:sz w:val="18"/>
                <w:szCs w:val="18"/>
              </w:rPr>
              <w:t>3. seviye</w:t>
            </w:r>
          </w:p>
        </w:tc>
        <w:tc>
          <w:tcPr>
            <w:tcW w:w="597" w:type="pct"/>
            <w:tcBorders>
              <w:top w:val="single" w:sz="4" w:space="0" w:color="auto"/>
              <w:left w:val="nil"/>
              <w:bottom w:val="single" w:sz="4" w:space="0" w:color="auto"/>
              <w:right w:val="nil"/>
            </w:tcBorders>
            <w:vAlign w:val="bottom"/>
            <w:hideMark/>
          </w:tcPr>
          <w:p w14:paraId="5FFE76DA" w14:textId="77777777" w:rsidR="00F91828" w:rsidRPr="00471CBA" w:rsidRDefault="00F91828" w:rsidP="00B0049C">
            <w:pPr>
              <w:ind w:left="213"/>
              <w:jc w:val="right"/>
              <w:rPr>
                <w:b/>
                <w:sz w:val="18"/>
                <w:szCs w:val="18"/>
              </w:rPr>
            </w:pPr>
            <w:r w:rsidRPr="00471CBA">
              <w:rPr>
                <w:b/>
                <w:sz w:val="18"/>
                <w:szCs w:val="18"/>
              </w:rPr>
              <w:t>Toplam</w:t>
            </w:r>
          </w:p>
        </w:tc>
      </w:tr>
      <w:tr w:rsidR="00F91828" w:rsidRPr="00471CBA" w14:paraId="193B334A" w14:textId="77777777" w:rsidTr="00B0049C">
        <w:trPr>
          <w:trHeight w:val="113"/>
        </w:trPr>
        <w:tc>
          <w:tcPr>
            <w:tcW w:w="2574" w:type="pct"/>
            <w:tcBorders>
              <w:top w:val="single" w:sz="4" w:space="0" w:color="auto"/>
              <w:left w:val="nil"/>
              <w:bottom w:val="nil"/>
              <w:right w:val="nil"/>
            </w:tcBorders>
            <w:vAlign w:val="bottom"/>
          </w:tcPr>
          <w:p w14:paraId="05B09A3E" w14:textId="77777777" w:rsidR="00F91828" w:rsidRPr="00471CBA" w:rsidRDefault="00F91828" w:rsidP="00B0049C">
            <w:pPr>
              <w:rPr>
                <w:sz w:val="18"/>
                <w:szCs w:val="18"/>
              </w:rPr>
            </w:pPr>
          </w:p>
        </w:tc>
        <w:tc>
          <w:tcPr>
            <w:tcW w:w="617" w:type="pct"/>
            <w:tcBorders>
              <w:top w:val="single" w:sz="4" w:space="0" w:color="auto"/>
              <w:left w:val="nil"/>
              <w:bottom w:val="nil"/>
              <w:right w:val="nil"/>
            </w:tcBorders>
            <w:vAlign w:val="bottom"/>
          </w:tcPr>
          <w:p w14:paraId="6319F05F" w14:textId="77777777" w:rsidR="00F91828" w:rsidRPr="00471CBA" w:rsidRDefault="00F91828" w:rsidP="00B0049C">
            <w:pPr>
              <w:ind w:left="213" w:hanging="141"/>
              <w:jc w:val="right"/>
              <w:rPr>
                <w:sz w:val="18"/>
                <w:szCs w:val="18"/>
              </w:rPr>
            </w:pPr>
          </w:p>
        </w:tc>
        <w:tc>
          <w:tcPr>
            <w:tcW w:w="617" w:type="pct"/>
            <w:tcBorders>
              <w:top w:val="single" w:sz="4" w:space="0" w:color="auto"/>
              <w:left w:val="nil"/>
              <w:bottom w:val="nil"/>
              <w:right w:val="nil"/>
            </w:tcBorders>
            <w:vAlign w:val="bottom"/>
          </w:tcPr>
          <w:p w14:paraId="75276106" w14:textId="77777777" w:rsidR="00F91828" w:rsidRPr="00471CBA" w:rsidRDefault="00F91828" w:rsidP="00B0049C">
            <w:pPr>
              <w:ind w:left="213" w:hanging="141"/>
              <w:jc w:val="right"/>
              <w:rPr>
                <w:sz w:val="18"/>
                <w:szCs w:val="18"/>
              </w:rPr>
            </w:pPr>
          </w:p>
        </w:tc>
        <w:tc>
          <w:tcPr>
            <w:tcW w:w="595" w:type="pct"/>
            <w:tcBorders>
              <w:top w:val="single" w:sz="4" w:space="0" w:color="auto"/>
              <w:left w:val="nil"/>
              <w:bottom w:val="nil"/>
              <w:right w:val="nil"/>
            </w:tcBorders>
            <w:vAlign w:val="bottom"/>
          </w:tcPr>
          <w:p w14:paraId="02C20E55" w14:textId="77777777" w:rsidR="00F91828" w:rsidRPr="00471CBA" w:rsidRDefault="00F91828" w:rsidP="00B0049C">
            <w:pPr>
              <w:ind w:left="213" w:hanging="141"/>
              <w:jc w:val="right"/>
              <w:rPr>
                <w:sz w:val="18"/>
                <w:szCs w:val="18"/>
              </w:rPr>
            </w:pPr>
          </w:p>
        </w:tc>
        <w:tc>
          <w:tcPr>
            <w:tcW w:w="597" w:type="pct"/>
            <w:tcBorders>
              <w:top w:val="single" w:sz="4" w:space="0" w:color="auto"/>
              <w:left w:val="nil"/>
              <w:bottom w:val="nil"/>
              <w:right w:val="nil"/>
            </w:tcBorders>
            <w:vAlign w:val="bottom"/>
          </w:tcPr>
          <w:p w14:paraId="69AC7CC3" w14:textId="77777777" w:rsidR="00F91828" w:rsidRPr="00471CBA" w:rsidRDefault="00F91828" w:rsidP="00B0049C">
            <w:pPr>
              <w:ind w:left="213" w:hanging="141"/>
              <w:jc w:val="right"/>
              <w:rPr>
                <w:sz w:val="18"/>
                <w:szCs w:val="18"/>
              </w:rPr>
            </w:pPr>
          </w:p>
        </w:tc>
      </w:tr>
      <w:tr w:rsidR="00F91828" w:rsidRPr="00471CBA" w14:paraId="4DD90DFE" w14:textId="77777777" w:rsidTr="00B0049C">
        <w:trPr>
          <w:trHeight w:val="113"/>
        </w:trPr>
        <w:tc>
          <w:tcPr>
            <w:tcW w:w="2574" w:type="pct"/>
            <w:vAlign w:val="bottom"/>
            <w:hideMark/>
          </w:tcPr>
          <w:p w14:paraId="0F2B5E53" w14:textId="77777777" w:rsidR="00F91828" w:rsidRPr="00471CBA" w:rsidRDefault="00F91828" w:rsidP="00B0049C">
            <w:pPr>
              <w:rPr>
                <w:b/>
                <w:sz w:val="18"/>
                <w:szCs w:val="18"/>
              </w:rPr>
            </w:pPr>
            <w:r w:rsidRPr="00471CBA">
              <w:rPr>
                <w:b/>
                <w:sz w:val="18"/>
                <w:szCs w:val="18"/>
              </w:rPr>
              <w:t>Finansal varlıklar</w:t>
            </w:r>
          </w:p>
        </w:tc>
        <w:tc>
          <w:tcPr>
            <w:tcW w:w="617" w:type="pct"/>
            <w:vAlign w:val="bottom"/>
          </w:tcPr>
          <w:p w14:paraId="0DCE51B9" w14:textId="77777777" w:rsidR="00F91828" w:rsidRPr="00471CBA" w:rsidRDefault="00F91828" w:rsidP="00B0049C">
            <w:pPr>
              <w:ind w:left="213" w:hanging="141"/>
              <w:jc w:val="right"/>
              <w:rPr>
                <w:b/>
                <w:sz w:val="18"/>
                <w:szCs w:val="18"/>
              </w:rPr>
            </w:pPr>
          </w:p>
        </w:tc>
        <w:tc>
          <w:tcPr>
            <w:tcW w:w="617" w:type="pct"/>
            <w:vAlign w:val="bottom"/>
          </w:tcPr>
          <w:p w14:paraId="3F21E931" w14:textId="77777777" w:rsidR="00F91828" w:rsidRPr="00471CBA" w:rsidRDefault="00F91828" w:rsidP="00B0049C">
            <w:pPr>
              <w:ind w:left="213" w:hanging="141"/>
              <w:jc w:val="right"/>
              <w:rPr>
                <w:b/>
                <w:sz w:val="18"/>
                <w:szCs w:val="18"/>
              </w:rPr>
            </w:pPr>
          </w:p>
        </w:tc>
        <w:tc>
          <w:tcPr>
            <w:tcW w:w="595" w:type="pct"/>
            <w:vAlign w:val="bottom"/>
          </w:tcPr>
          <w:p w14:paraId="12FBE57B" w14:textId="77777777" w:rsidR="00F91828" w:rsidRPr="00471CBA" w:rsidRDefault="00F91828" w:rsidP="00B0049C">
            <w:pPr>
              <w:ind w:left="213" w:hanging="141"/>
              <w:jc w:val="right"/>
              <w:rPr>
                <w:b/>
                <w:sz w:val="18"/>
                <w:szCs w:val="18"/>
              </w:rPr>
            </w:pPr>
          </w:p>
        </w:tc>
        <w:tc>
          <w:tcPr>
            <w:tcW w:w="597" w:type="pct"/>
            <w:vAlign w:val="bottom"/>
          </w:tcPr>
          <w:p w14:paraId="649F49A4" w14:textId="77777777" w:rsidR="00F91828" w:rsidRPr="00471CBA" w:rsidRDefault="00F91828" w:rsidP="00B0049C">
            <w:pPr>
              <w:ind w:left="213" w:hanging="141"/>
              <w:jc w:val="right"/>
              <w:rPr>
                <w:b/>
                <w:sz w:val="18"/>
                <w:szCs w:val="18"/>
              </w:rPr>
            </w:pPr>
          </w:p>
        </w:tc>
      </w:tr>
      <w:tr w:rsidR="00F91828" w:rsidRPr="00471CBA" w14:paraId="2E64DD89" w14:textId="77777777" w:rsidTr="00B0049C">
        <w:trPr>
          <w:trHeight w:val="80"/>
        </w:trPr>
        <w:tc>
          <w:tcPr>
            <w:tcW w:w="2574" w:type="pct"/>
            <w:vAlign w:val="bottom"/>
          </w:tcPr>
          <w:p w14:paraId="1AFA94F4" w14:textId="77777777" w:rsidR="00F91828" w:rsidRPr="00471CBA" w:rsidRDefault="00F91828" w:rsidP="00B0049C">
            <w:pPr>
              <w:rPr>
                <w:sz w:val="18"/>
                <w:szCs w:val="18"/>
              </w:rPr>
            </w:pPr>
          </w:p>
        </w:tc>
        <w:tc>
          <w:tcPr>
            <w:tcW w:w="617" w:type="pct"/>
            <w:vAlign w:val="bottom"/>
          </w:tcPr>
          <w:p w14:paraId="1A3119A7" w14:textId="77777777" w:rsidR="00F91828" w:rsidRPr="00471CBA" w:rsidRDefault="00F91828" w:rsidP="00B0049C">
            <w:pPr>
              <w:ind w:left="213" w:hanging="141"/>
              <w:jc w:val="right"/>
              <w:rPr>
                <w:sz w:val="18"/>
                <w:szCs w:val="18"/>
              </w:rPr>
            </w:pPr>
          </w:p>
        </w:tc>
        <w:tc>
          <w:tcPr>
            <w:tcW w:w="617" w:type="pct"/>
            <w:vAlign w:val="bottom"/>
          </w:tcPr>
          <w:p w14:paraId="68B1DA4E" w14:textId="77777777" w:rsidR="00F91828" w:rsidRPr="00471CBA" w:rsidRDefault="00F91828" w:rsidP="00B0049C">
            <w:pPr>
              <w:ind w:left="213" w:hanging="141"/>
              <w:jc w:val="right"/>
              <w:rPr>
                <w:sz w:val="18"/>
                <w:szCs w:val="18"/>
              </w:rPr>
            </w:pPr>
          </w:p>
        </w:tc>
        <w:tc>
          <w:tcPr>
            <w:tcW w:w="595" w:type="pct"/>
            <w:vAlign w:val="bottom"/>
          </w:tcPr>
          <w:p w14:paraId="0A10DCD9" w14:textId="77777777" w:rsidR="00F91828" w:rsidRPr="00C93640" w:rsidRDefault="00F91828" w:rsidP="00B0049C">
            <w:pPr>
              <w:ind w:left="213" w:hanging="141"/>
              <w:jc w:val="right"/>
              <w:rPr>
                <w:sz w:val="18"/>
                <w:szCs w:val="18"/>
              </w:rPr>
            </w:pPr>
          </w:p>
        </w:tc>
        <w:tc>
          <w:tcPr>
            <w:tcW w:w="597" w:type="pct"/>
            <w:vAlign w:val="bottom"/>
          </w:tcPr>
          <w:p w14:paraId="43F523A2" w14:textId="77777777" w:rsidR="00F91828" w:rsidRPr="00471CBA" w:rsidRDefault="00F91828" w:rsidP="00B0049C">
            <w:pPr>
              <w:ind w:left="213" w:hanging="141"/>
              <w:jc w:val="right"/>
              <w:rPr>
                <w:sz w:val="18"/>
                <w:szCs w:val="18"/>
              </w:rPr>
            </w:pPr>
          </w:p>
        </w:tc>
      </w:tr>
      <w:tr w:rsidR="009676BD" w:rsidRPr="00471CBA" w14:paraId="417FC4DB" w14:textId="77777777" w:rsidTr="00B0049C">
        <w:trPr>
          <w:trHeight w:val="113"/>
        </w:trPr>
        <w:tc>
          <w:tcPr>
            <w:tcW w:w="2574" w:type="pct"/>
            <w:vAlign w:val="bottom"/>
            <w:hideMark/>
          </w:tcPr>
          <w:p w14:paraId="6E93A8E2" w14:textId="77777777" w:rsidR="009676BD" w:rsidRPr="00471CBA" w:rsidRDefault="009676BD" w:rsidP="009676BD">
            <w:pPr>
              <w:rPr>
                <w:b/>
                <w:sz w:val="18"/>
                <w:szCs w:val="18"/>
              </w:rPr>
            </w:pPr>
            <w:r w:rsidRPr="00471CBA">
              <w:rPr>
                <w:b/>
                <w:sz w:val="18"/>
                <w:szCs w:val="18"/>
              </w:rPr>
              <w:t>Gerçeğe Uygun Değer Farkı Kâr Zarara Yansıtılan Finansal Varlıklar</w:t>
            </w:r>
          </w:p>
        </w:tc>
        <w:tc>
          <w:tcPr>
            <w:tcW w:w="617" w:type="pct"/>
            <w:vAlign w:val="bottom"/>
          </w:tcPr>
          <w:p w14:paraId="31C2D752" w14:textId="51FA0EF3" w:rsidR="009676BD" w:rsidRPr="00471CBA" w:rsidRDefault="009676BD" w:rsidP="009676BD">
            <w:pPr>
              <w:ind w:left="213" w:hanging="141"/>
              <w:jc w:val="right"/>
              <w:rPr>
                <w:b/>
                <w:sz w:val="18"/>
                <w:szCs w:val="18"/>
              </w:rPr>
            </w:pPr>
            <w:r w:rsidRPr="00471CBA">
              <w:rPr>
                <w:b/>
                <w:bCs/>
                <w:color w:val="000000"/>
                <w:sz w:val="18"/>
                <w:szCs w:val="18"/>
              </w:rPr>
              <w:t>133.298</w:t>
            </w:r>
          </w:p>
        </w:tc>
        <w:tc>
          <w:tcPr>
            <w:tcW w:w="617" w:type="pct"/>
            <w:vAlign w:val="bottom"/>
          </w:tcPr>
          <w:p w14:paraId="1ACB29F3" w14:textId="3AFE7CF0" w:rsidR="009676BD" w:rsidRPr="00471CBA" w:rsidRDefault="009676BD" w:rsidP="009676BD">
            <w:pPr>
              <w:ind w:left="213" w:hanging="141"/>
              <w:jc w:val="right"/>
              <w:rPr>
                <w:b/>
                <w:sz w:val="18"/>
                <w:szCs w:val="18"/>
              </w:rPr>
            </w:pPr>
            <w:r w:rsidRPr="00471CBA">
              <w:rPr>
                <w:b/>
                <w:bCs/>
                <w:color w:val="000000"/>
                <w:sz w:val="18"/>
                <w:szCs w:val="18"/>
              </w:rPr>
              <w:t>-</w:t>
            </w:r>
          </w:p>
        </w:tc>
        <w:tc>
          <w:tcPr>
            <w:tcW w:w="595" w:type="pct"/>
            <w:vAlign w:val="bottom"/>
          </w:tcPr>
          <w:p w14:paraId="7F151BDA" w14:textId="709BA4A7" w:rsidR="009676BD" w:rsidRPr="00C93640" w:rsidRDefault="009676BD" w:rsidP="009676BD">
            <w:pPr>
              <w:ind w:left="213" w:hanging="141"/>
              <w:jc w:val="right"/>
              <w:rPr>
                <w:b/>
                <w:sz w:val="18"/>
                <w:szCs w:val="18"/>
              </w:rPr>
            </w:pPr>
            <w:r w:rsidRPr="00C93640">
              <w:rPr>
                <w:b/>
                <w:bCs/>
                <w:color w:val="000000"/>
                <w:sz w:val="18"/>
                <w:szCs w:val="18"/>
              </w:rPr>
              <w:t>-</w:t>
            </w:r>
          </w:p>
        </w:tc>
        <w:tc>
          <w:tcPr>
            <w:tcW w:w="597" w:type="pct"/>
            <w:vAlign w:val="bottom"/>
          </w:tcPr>
          <w:p w14:paraId="67DA6C75" w14:textId="4980C1E6" w:rsidR="009676BD" w:rsidRPr="00471CBA" w:rsidRDefault="009676BD" w:rsidP="009676BD">
            <w:pPr>
              <w:ind w:left="213" w:hanging="141"/>
              <w:jc w:val="right"/>
              <w:rPr>
                <w:b/>
                <w:sz w:val="18"/>
                <w:szCs w:val="18"/>
              </w:rPr>
            </w:pPr>
            <w:r w:rsidRPr="00471CBA">
              <w:rPr>
                <w:b/>
                <w:bCs/>
                <w:color w:val="000000"/>
                <w:sz w:val="18"/>
                <w:szCs w:val="18"/>
              </w:rPr>
              <w:t>133.298</w:t>
            </w:r>
          </w:p>
        </w:tc>
      </w:tr>
      <w:tr w:rsidR="009676BD" w:rsidRPr="00471CBA" w14:paraId="4552CE3B" w14:textId="77777777" w:rsidTr="00B0049C">
        <w:trPr>
          <w:trHeight w:val="113"/>
        </w:trPr>
        <w:tc>
          <w:tcPr>
            <w:tcW w:w="2574" w:type="pct"/>
            <w:vAlign w:val="bottom"/>
            <w:hideMark/>
          </w:tcPr>
          <w:p w14:paraId="5DAFE52A" w14:textId="77777777" w:rsidR="009676BD" w:rsidRPr="00471CBA" w:rsidRDefault="009676BD" w:rsidP="009676BD">
            <w:pPr>
              <w:ind w:firstLineChars="200" w:firstLine="360"/>
              <w:rPr>
                <w:sz w:val="18"/>
                <w:szCs w:val="18"/>
              </w:rPr>
            </w:pPr>
            <w:r w:rsidRPr="00471CBA">
              <w:rPr>
                <w:sz w:val="18"/>
                <w:szCs w:val="18"/>
              </w:rPr>
              <w:t>Devlet borçlanma senetleri</w:t>
            </w:r>
          </w:p>
        </w:tc>
        <w:tc>
          <w:tcPr>
            <w:tcW w:w="617" w:type="pct"/>
            <w:vAlign w:val="bottom"/>
          </w:tcPr>
          <w:p w14:paraId="3FF773C5" w14:textId="454B85D6" w:rsidR="009676BD" w:rsidRPr="00471CBA" w:rsidRDefault="009676BD" w:rsidP="009676BD">
            <w:pPr>
              <w:ind w:left="213" w:hanging="141"/>
              <w:jc w:val="right"/>
              <w:rPr>
                <w:sz w:val="18"/>
                <w:szCs w:val="18"/>
              </w:rPr>
            </w:pPr>
            <w:r w:rsidRPr="00471CBA">
              <w:rPr>
                <w:color w:val="000000"/>
                <w:sz w:val="18"/>
                <w:szCs w:val="18"/>
              </w:rPr>
              <w:t>-</w:t>
            </w:r>
          </w:p>
        </w:tc>
        <w:tc>
          <w:tcPr>
            <w:tcW w:w="617" w:type="pct"/>
            <w:vAlign w:val="bottom"/>
          </w:tcPr>
          <w:p w14:paraId="13211B8B" w14:textId="0B26228B" w:rsidR="009676BD" w:rsidRPr="00471CBA" w:rsidRDefault="009676BD" w:rsidP="009676BD">
            <w:pPr>
              <w:ind w:left="213" w:hanging="141"/>
              <w:jc w:val="right"/>
              <w:rPr>
                <w:sz w:val="18"/>
                <w:szCs w:val="18"/>
              </w:rPr>
            </w:pPr>
            <w:r w:rsidRPr="00471CBA">
              <w:rPr>
                <w:color w:val="000000"/>
                <w:sz w:val="18"/>
                <w:szCs w:val="18"/>
              </w:rPr>
              <w:t>-</w:t>
            </w:r>
          </w:p>
        </w:tc>
        <w:tc>
          <w:tcPr>
            <w:tcW w:w="595" w:type="pct"/>
            <w:vAlign w:val="bottom"/>
          </w:tcPr>
          <w:p w14:paraId="782A6834" w14:textId="3840CA70" w:rsidR="009676BD" w:rsidRPr="00C93640" w:rsidRDefault="009676BD" w:rsidP="009676BD">
            <w:pPr>
              <w:ind w:left="213" w:hanging="141"/>
              <w:jc w:val="right"/>
              <w:rPr>
                <w:sz w:val="18"/>
                <w:szCs w:val="18"/>
              </w:rPr>
            </w:pPr>
            <w:r w:rsidRPr="00C93640">
              <w:rPr>
                <w:color w:val="000000"/>
                <w:sz w:val="18"/>
                <w:szCs w:val="18"/>
              </w:rPr>
              <w:t>-</w:t>
            </w:r>
          </w:p>
        </w:tc>
        <w:tc>
          <w:tcPr>
            <w:tcW w:w="597" w:type="pct"/>
            <w:vAlign w:val="bottom"/>
          </w:tcPr>
          <w:p w14:paraId="0DEC8263" w14:textId="0FCC4DE9" w:rsidR="009676BD" w:rsidRPr="00471CBA" w:rsidRDefault="009676BD" w:rsidP="009676BD">
            <w:pPr>
              <w:ind w:left="213" w:hanging="141"/>
              <w:jc w:val="right"/>
              <w:rPr>
                <w:sz w:val="18"/>
                <w:szCs w:val="18"/>
              </w:rPr>
            </w:pPr>
            <w:r w:rsidRPr="00471CBA">
              <w:rPr>
                <w:color w:val="000000"/>
                <w:sz w:val="18"/>
                <w:szCs w:val="18"/>
              </w:rPr>
              <w:t>-</w:t>
            </w:r>
          </w:p>
        </w:tc>
      </w:tr>
      <w:tr w:rsidR="009676BD" w:rsidRPr="00471CBA" w14:paraId="011504AD" w14:textId="77777777" w:rsidTr="00B0049C">
        <w:trPr>
          <w:trHeight w:val="113"/>
        </w:trPr>
        <w:tc>
          <w:tcPr>
            <w:tcW w:w="2574" w:type="pct"/>
            <w:vAlign w:val="bottom"/>
            <w:hideMark/>
          </w:tcPr>
          <w:p w14:paraId="14BE851A" w14:textId="77777777" w:rsidR="009676BD" w:rsidRPr="00471CBA" w:rsidRDefault="009676BD" w:rsidP="009676BD">
            <w:pPr>
              <w:ind w:firstLineChars="200" w:firstLine="360"/>
              <w:rPr>
                <w:sz w:val="18"/>
                <w:szCs w:val="18"/>
              </w:rPr>
            </w:pPr>
            <w:r w:rsidRPr="00471CBA">
              <w:rPr>
                <w:sz w:val="18"/>
                <w:szCs w:val="18"/>
              </w:rPr>
              <w:t xml:space="preserve">Sermayede payı temsil eden menkul değerler </w:t>
            </w:r>
          </w:p>
        </w:tc>
        <w:tc>
          <w:tcPr>
            <w:tcW w:w="617" w:type="pct"/>
            <w:vAlign w:val="bottom"/>
          </w:tcPr>
          <w:p w14:paraId="6C04FDDA" w14:textId="214435B4" w:rsidR="009676BD" w:rsidRPr="00471CBA" w:rsidRDefault="00326B82" w:rsidP="009676BD">
            <w:pPr>
              <w:ind w:left="213" w:hanging="141"/>
              <w:jc w:val="right"/>
              <w:rPr>
                <w:sz w:val="18"/>
                <w:szCs w:val="18"/>
              </w:rPr>
            </w:pPr>
            <w:r>
              <w:rPr>
                <w:sz w:val="18"/>
                <w:szCs w:val="18"/>
              </w:rPr>
              <w:t>-</w:t>
            </w:r>
          </w:p>
        </w:tc>
        <w:tc>
          <w:tcPr>
            <w:tcW w:w="617" w:type="pct"/>
            <w:vAlign w:val="bottom"/>
          </w:tcPr>
          <w:p w14:paraId="168B7202" w14:textId="359DA187" w:rsidR="009676BD" w:rsidRPr="00471CBA" w:rsidRDefault="009676BD" w:rsidP="009676BD">
            <w:pPr>
              <w:ind w:left="213" w:hanging="141"/>
              <w:jc w:val="right"/>
              <w:rPr>
                <w:sz w:val="18"/>
                <w:szCs w:val="18"/>
              </w:rPr>
            </w:pPr>
            <w:r w:rsidRPr="00471CBA">
              <w:rPr>
                <w:color w:val="000000"/>
                <w:sz w:val="18"/>
                <w:szCs w:val="18"/>
              </w:rPr>
              <w:t>-</w:t>
            </w:r>
          </w:p>
        </w:tc>
        <w:tc>
          <w:tcPr>
            <w:tcW w:w="595" w:type="pct"/>
            <w:vAlign w:val="bottom"/>
          </w:tcPr>
          <w:p w14:paraId="7EA17A15" w14:textId="657719A6" w:rsidR="009676BD" w:rsidRPr="00C93640" w:rsidRDefault="00326B82" w:rsidP="009676BD">
            <w:pPr>
              <w:ind w:left="213" w:hanging="141"/>
              <w:jc w:val="right"/>
              <w:rPr>
                <w:sz w:val="18"/>
                <w:szCs w:val="18"/>
              </w:rPr>
            </w:pPr>
            <w:r w:rsidRPr="00C93640">
              <w:rPr>
                <w:color w:val="000000"/>
                <w:sz w:val="18"/>
                <w:szCs w:val="18"/>
              </w:rPr>
              <w:t>15</w:t>
            </w:r>
          </w:p>
        </w:tc>
        <w:tc>
          <w:tcPr>
            <w:tcW w:w="597" w:type="pct"/>
            <w:vAlign w:val="bottom"/>
          </w:tcPr>
          <w:p w14:paraId="13D58326" w14:textId="2CE6F9EB" w:rsidR="009676BD" w:rsidRPr="00471CBA" w:rsidRDefault="009676BD" w:rsidP="009676BD">
            <w:pPr>
              <w:ind w:left="213" w:hanging="141"/>
              <w:jc w:val="right"/>
              <w:rPr>
                <w:sz w:val="18"/>
                <w:szCs w:val="18"/>
              </w:rPr>
            </w:pPr>
            <w:r w:rsidRPr="00471CBA">
              <w:rPr>
                <w:color w:val="000000"/>
                <w:sz w:val="18"/>
                <w:szCs w:val="18"/>
              </w:rPr>
              <w:t>15</w:t>
            </w:r>
          </w:p>
        </w:tc>
      </w:tr>
      <w:tr w:rsidR="009676BD" w:rsidRPr="00471CBA" w14:paraId="58985F33" w14:textId="77777777" w:rsidTr="00B0049C">
        <w:trPr>
          <w:trHeight w:val="113"/>
        </w:trPr>
        <w:tc>
          <w:tcPr>
            <w:tcW w:w="2574" w:type="pct"/>
            <w:vAlign w:val="bottom"/>
            <w:hideMark/>
          </w:tcPr>
          <w:p w14:paraId="1E611959" w14:textId="77777777" w:rsidR="009676BD" w:rsidRPr="00471CBA" w:rsidRDefault="009676BD" w:rsidP="009676BD">
            <w:pPr>
              <w:ind w:firstLineChars="200" w:firstLine="360"/>
              <w:rPr>
                <w:sz w:val="18"/>
                <w:szCs w:val="18"/>
              </w:rPr>
            </w:pPr>
            <w:r w:rsidRPr="00471CBA">
              <w:rPr>
                <w:sz w:val="18"/>
                <w:szCs w:val="18"/>
              </w:rPr>
              <w:t>Diğer finansal varlıklara ilişkin bilgiler</w:t>
            </w:r>
          </w:p>
        </w:tc>
        <w:tc>
          <w:tcPr>
            <w:tcW w:w="617" w:type="pct"/>
            <w:vAlign w:val="bottom"/>
          </w:tcPr>
          <w:p w14:paraId="0E161D2A" w14:textId="2C8D33CC" w:rsidR="009676BD" w:rsidRPr="00471CBA" w:rsidRDefault="009676BD" w:rsidP="009676BD">
            <w:pPr>
              <w:ind w:left="213" w:hanging="141"/>
              <w:jc w:val="right"/>
              <w:rPr>
                <w:sz w:val="18"/>
                <w:szCs w:val="18"/>
              </w:rPr>
            </w:pPr>
            <w:r w:rsidRPr="00471CBA">
              <w:rPr>
                <w:color w:val="000000"/>
                <w:sz w:val="18"/>
                <w:szCs w:val="18"/>
              </w:rPr>
              <w:t>133.283</w:t>
            </w:r>
          </w:p>
        </w:tc>
        <w:tc>
          <w:tcPr>
            <w:tcW w:w="617" w:type="pct"/>
            <w:vAlign w:val="bottom"/>
          </w:tcPr>
          <w:p w14:paraId="01698B39" w14:textId="32DE8021" w:rsidR="009676BD" w:rsidRPr="00471CBA" w:rsidRDefault="009676BD" w:rsidP="009676BD">
            <w:pPr>
              <w:ind w:left="213" w:hanging="141"/>
              <w:jc w:val="right"/>
              <w:rPr>
                <w:sz w:val="18"/>
                <w:szCs w:val="18"/>
              </w:rPr>
            </w:pPr>
            <w:r w:rsidRPr="00471CBA">
              <w:rPr>
                <w:color w:val="000000"/>
                <w:sz w:val="18"/>
                <w:szCs w:val="18"/>
              </w:rPr>
              <w:t>-</w:t>
            </w:r>
          </w:p>
        </w:tc>
        <w:tc>
          <w:tcPr>
            <w:tcW w:w="595" w:type="pct"/>
            <w:vAlign w:val="bottom"/>
          </w:tcPr>
          <w:p w14:paraId="490EB2F4" w14:textId="4ADAEB78" w:rsidR="009676BD" w:rsidRPr="00C93640" w:rsidRDefault="009676BD" w:rsidP="009676BD">
            <w:pPr>
              <w:ind w:left="213" w:hanging="141"/>
              <w:jc w:val="right"/>
              <w:rPr>
                <w:sz w:val="18"/>
                <w:szCs w:val="18"/>
              </w:rPr>
            </w:pPr>
            <w:r w:rsidRPr="00C93640">
              <w:rPr>
                <w:color w:val="000000"/>
                <w:sz w:val="18"/>
                <w:szCs w:val="18"/>
              </w:rPr>
              <w:t>-</w:t>
            </w:r>
          </w:p>
        </w:tc>
        <w:tc>
          <w:tcPr>
            <w:tcW w:w="597" w:type="pct"/>
            <w:vAlign w:val="bottom"/>
          </w:tcPr>
          <w:p w14:paraId="53F42766" w14:textId="463316C2" w:rsidR="009676BD" w:rsidRPr="00471CBA" w:rsidRDefault="009676BD" w:rsidP="009676BD">
            <w:pPr>
              <w:ind w:left="213" w:hanging="141"/>
              <w:jc w:val="right"/>
              <w:rPr>
                <w:sz w:val="18"/>
                <w:szCs w:val="18"/>
              </w:rPr>
            </w:pPr>
            <w:r w:rsidRPr="00471CBA">
              <w:rPr>
                <w:color w:val="000000"/>
                <w:sz w:val="18"/>
                <w:szCs w:val="18"/>
              </w:rPr>
              <w:t>133.283</w:t>
            </w:r>
          </w:p>
        </w:tc>
      </w:tr>
      <w:tr w:rsidR="009676BD" w:rsidRPr="00471CBA" w14:paraId="03F8610E" w14:textId="77777777" w:rsidTr="00B0049C">
        <w:trPr>
          <w:trHeight w:val="113"/>
        </w:trPr>
        <w:tc>
          <w:tcPr>
            <w:tcW w:w="2574" w:type="pct"/>
            <w:vAlign w:val="bottom"/>
            <w:hideMark/>
          </w:tcPr>
          <w:p w14:paraId="68891DFD" w14:textId="77777777" w:rsidR="009676BD" w:rsidRPr="00471CBA" w:rsidRDefault="009676BD" w:rsidP="009676BD">
            <w:pPr>
              <w:rPr>
                <w:b/>
                <w:sz w:val="18"/>
                <w:szCs w:val="18"/>
              </w:rPr>
            </w:pPr>
            <w:r w:rsidRPr="00471CBA">
              <w:rPr>
                <w:b/>
                <w:sz w:val="18"/>
                <w:szCs w:val="18"/>
              </w:rPr>
              <w:t>Gerçeğe Uygun Değer Farkı Diğer Kapsamlı Gelire Yansıtılan Finansal Varlıklar</w:t>
            </w:r>
          </w:p>
        </w:tc>
        <w:tc>
          <w:tcPr>
            <w:tcW w:w="617" w:type="pct"/>
            <w:vAlign w:val="bottom"/>
          </w:tcPr>
          <w:p w14:paraId="6F50536A" w14:textId="73E67DE0" w:rsidR="009676BD" w:rsidRPr="00471CBA" w:rsidRDefault="009676BD" w:rsidP="009676BD">
            <w:pPr>
              <w:ind w:left="213" w:hanging="141"/>
              <w:jc w:val="right"/>
              <w:rPr>
                <w:b/>
                <w:sz w:val="18"/>
                <w:szCs w:val="18"/>
              </w:rPr>
            </w:pPr>
            <w:r w:rsidRPr="00471CBA">
              <w:rPr>
                <w:b/>
                <w:bCs/>
                <w:color w:val="000000"/>
                <w:sz w:val="18"/>
                <w:szCs w:val="18"/>
              </w:rPr>
              <w:t>964.443</w:t>
            </w:r>
          </w:p>
        </w:tc>
        <w:tc>
          <w:tcPr>
            <w:tcW w:w="617" w:type="pct"/>
            <w:vAlign w:val="bottom"/>
          </w:tcPr>
          <w:p w14:paraId="779D07E9" w14:textId="52112EB9" w:rsidR="009676BD" w:rsidRPr="00471CBA" w:rsidRDefault="009676BD" w:rsidP="009676BD">
            <w:pPr>
              <w:ind w:left="213" w:hanging="141"/>
              <w:jc w:val="right"/>
              <w:rPr>
                <w:b/>
                <w:sz w:val="18"/>
                <w:szCs w:val="18"/>
              </w:rPr>
            </w:pPr>
            <w:r w:rsidRPr="00471CBA">
              <w:rPr>
                <w:b/>
                <w:bCs/>
                <w:color w:val="000000"/>
                <w:sz w:val="18"/>
                <w:szCs w:val="18"/>
              </w:rPr>
              <w:t>-</w:t>
            </w:r>
          </w:p>
        </w:tc>
        <w:tc>
          <w:tcPr>
            <w:tcW w:w="595" w:type="pct"/>
            <w:vAlign w:val="bottom"/>
          </w:tcPr>
          <w:p w14:paraId="5E455FF7" w14:textId="6D8A349E" w:rsidR="009676BD" w:rsidRPr="00C93640" w:rsidRDefault="009676BD" w:rsidP="009676BD">
            <w:pPr>
              <w:ind w:left="213" w:hanging="141"/>
              <w:jc w:val="right"/>
              <w:rPr>
                <w:b/>
                <w:sz w:val="18"/>
                <w:szCs w:val="18"/>
              </w:rPr>
            </w:pPr>
            <w:r w:rsidRPr="00C93640">
              <w:rPr>
                <w:b/>
                <w:bCs/>
                <w:color w:val="000000"/>
                <w:sz w:val="18"/>
                <w:szCs w:val="18"/>
              </w:rPr>
              <w:t>-</w:t>
            </w:r>
          </w:p>
        </w:tc>
        <w:tc>
          <w:tcPr>
            <w:tcW w:w="597" w:type="pct"/>
            <w:vAlign w:val="bottom"/>
          </w:tcPr>
          <w:p w14:paraId="267F7D58" w14:textId="3CC12D13" w:rsidR="009676BD" w:rsidRPr="00471CBA" w:rsidRDefault="009676BD" w:rsidP="009676BD">
            <w:pPr>
              <w:ind w:left="213" w:hanging="141"/>
              <w:jc w:val="right"/>
              <w:rPr>
                <w:b/>
                <w:sz w:val="18"/>
                <w:szCs w:val="18"/>
              </w:rPr>
            </w:pPr>
            <w:r w:rsidRPr="00471CBA">
              <w:rPr>
                <w:b/>
                <w:bCs/>
                <w:color w:val="000000"/>
                <w:sz w:val="18"/>
                <w:szCs w:val="18"/>
              </w:rPr>
              <w:t>964.443</w:t>
            </w:r>
          </w:p>
        </w:tc>
      </w:tr>
      <w:tr w:rsidR="009676BD" w:rsidRPr="00471CBA" w14:paraId="01F9F3C0" w14:textId="77777777" w:rsidTr="00B0049C">
        <w:trPr>
          <w:trHeight w:val="113"/>
        </w:trPr>
        <w:tc>
          <w:tcPr>
            <w:tcW w:w="2574" w:type="pct"/>
            <w:vAlign w:val="bottom"/>
            <w:hideMark/>
          </w:tcPr>
          <w:p w14:paraId="6AAFFF85" w14:textId="77777777" w:rsidR="009676BD" w:rsidRPr="00471CBA" w:rsidRDefault="009676BD" w:rsidP="009676BD">
            <w:pPr>
              <w:ind w:firstLineChars="200" w:firstLine="360"/>
              <w:rPr>
                <w:sz w:val="18"/>
                <w:szCs w:val="18"/>
              </w:rPr>
            </w:pPr>
            <w:r w:rsidRPr="00471CBA">
              <w:rPr>
                <w:sz w:val="18"/>
                <w:szCs w:val="18"/>
              </w:rPr>
              <w:t>Sermayede payı temsil eden menkul değerler</w:t>
            </w:r>
          </w:p>
        </w:tc>
        <w:tc>
          <w:tcPr>
            <w:tcW w:w="617" w:type="pct"/>
            <w:vAlign w:val="bottom"/>
          </w:tcPr>
          <w:p w14:paraId="7CEA7C50" w14:textId="29A9E423" w:rsidR="009676BD" w:rsidRPr="00471CBA" w:rsidRDefault="009676BD" w:rsidP="009676BD">
            <w:pPr>
              <w:ind w:left="213" w:hanging="141"/>
              <w:jc w:val="right"/>
              <w:rPr>
                <w:sz w:val="18"/>
                <w:szCs w:val="18"/>
              </w:rPr>
            </w:pPr>
            <w:r w:rsidRPr="00471CBA">
              <w:rPr>
                <w:color w:val="000000"/>
                <w:sz w:val="18"/>
                <w:szCs w:val="18"/>
              </w:rPr>
              <w:t>-</w:t>
            </w:r>
          </w:p>
        </w:tc>
        <w:tc>
          <w:tcPr>
            <w:tcW w:w="617" w:type="pct"/>
            <w:vAlign w:val="bottom"/>
          </w:tcPr>
          <w:p w14:paraId="4AAFF196" w14:textId="5C5C5F07" w:rsidR="009676BD" w:rsidRPr="00471CBA" w:rsidRDefault="009676BD" w:rsidP="009676BD">
            <w:pPr>
              <w:ind w:left="213" w:hanging="141"/>
              <w:jc w:val="right"/>
              <w:rPr>
                <w:sz w:val="18"/>
                <w:szCs w:val="18"/>
              </w:rPr>
            </w:pPr>
            <w:r w:rsidRPr="00471CBA">
              <w:rPr>
                <w:color w:val="000000"/>
                <w:sz w:val="18"/>
                <w:szCs w:val="18"/>
              </w:rPr>
              <w:t>-</w:t>
            </w:r>
          </w:p>
        </w:tc>
        <w:tc>
          <w:tcPr>
            <w:tcW w:w="595" w:type="pct"/>
            <w:vAlign w:val="bottom"/>
          </w:tcPr>
          <w:p w14:paraId="5AD3F051" w14:textId="1AE978C1" w:rsidR="009676BD" w:rsidRPr="00471CBA" w:rsidRDefault="009676BD" w:rsidP="009676BD">
            <w:pPr>
              <w:ind w:left="213" w:hanging="141"/>
              <w:jc w:val="right"/>
              <w:rPr>
                <w:sz w:val="18"/>
                <w:szCs w:val="18"/>
              </w:rPr>
            </w:pPr>
            <w:r w:rsidRPr="00471CBA">
              <w:rPr>
                <w:color w:val="000000"/>
                <w:sz w:val="18"/>
                <w:szCs w:val="18"/>
              </w:rPr>
              <w:t>-</w:t>
            </w:r>
          </w:p>
        </w:tc>
        <w:tc>
          <w:tcPr>
            <w:tcW w:w="597" w:type="pct"/>
            <w:vAlign w:val="bottom"/>
          </w:tcPr>
          <w:p w14:paraId="0FB731B0" w14:textId="2EC621E4" w:rsidR="009676BD" w:rsidRPr="00471CBA" w:rsidRDefault="009676BD" w:rsidP="009676BD">
            <w:pPr>
              <w:ind w:left="213" w:hanging="141"/>
              <w:jc w:val="right"/>
              <w:rPr>
                <w:sz w:val="18"/>
                <w:szCs w:val="18"/>
              </w:rPr>
            </w:pPr>
            <w:r w:rsidRPr="00471CBA">
              <w:rPr>
                <w:color w:val="000000"/>
                <w:sz w:val="18"/>
                <w:szCs w:val="18"/>
              </w:rPr>
              <w:t>-</w:t>
            </w:r>
          </w:p>
        </w:tc>
      </w:tr>
      <w:tr w:rsidR="009676BD" w:rsidRPr="00471CBA" w14:paraId="758260FE" w14:textId="77777777" w:rsidTr="00B0049C">
        <w:trPr>
          <w:trHeight w:val="113"/>
        </w:trPr>
        <w:tc>
          <w:tcPr>
            <w:tcW w:w="2574" w:type="pct"/>
            <w:vAlign w:val="bottom"/>
            <w:hideMark/>
          </w:tcPr>
          <w:p w14:paraId="6D08B2D0" w14:textId="77777777" w:rsidR="009676BD" w:rsidRPr="00471CBA" w:rsidRDefault="009676BD" w:rsidP="009676BD">
            <w:pPr>
              <w:ind w:firstLineChars="200" w:firstLine="360"/>
              <w:rPr>
                <w:sz w:val="18"/>
                <w:szCs w:val="18"/>
              </w:rPr>
            </w:pPr>
            <w:r w:rsidRPr="00471CBA">
              <w:rPr>
                <w:sz w:val="18"/>
                <w:szCs w:val="18"/>
              </w:rPr>
              <w:t>Devlet borçlanma senetleri</w:t>
            </w:r>
          </w:p>
        </w:tc>
        <w:tc>
          <w:tcPr>
            <w:tcW w:w="617" w:type="pct"/>
            <w:vAlign w:val="bottom"/>
          </w:tcPr>
          <w:p w14:paraId="01C0B9E6" w14:textId="10D77BCD" w:rsidR="009676BD" w:rsidRPr="00471CBA" w:rsidRDefault="009676BD" w:rsidP="009676BD">
            <w:pPr>
              <w:ind w:left="213" w:hanging="141"/>
              <w:jc w:val="right"/>
              <w:rPr>
                <w:sz w:val="18"/>
                <w:szCs w:val="18"/>
              </w:rPr>
            </w:pPr>
            <w:r w:rsidRPr="00471CBA">
              <w:rPr>
                <w:color w:val="000000"/>
                <w:sz w:val="18"/>
                <w:szCs w:val="18"/>
              </w:rPr>
              <w:t>964.443</w:t>
            </w:r>
          </w:p>
        </w:tc>
        <w:tc>
          <w:tcPr>
            <w:tcW w:w="617" w:type="pct"/>
            <w:vAlign w:val="bottom"/>
          </w:tcPr>
          <w:p w14:paraId="59A858FC" w14:textId="01F9EC62" w:rsidR="009676BD" w:rsidRPr="00471CBA" w:rsidRDefault="009676BD" w:rsidP="009676BD">
            <w:pPr>
              <w:ind w:left="213" w:hanging="141"/>
              <w:jc w:val="right"/>
              <w:rPr>
                <w:sz w:val="18"/>
                <w:szCs w:val="18"/>
              </w:rPr>
            </w:pPr>
            <w:r w:rsidRPr="00471CBA">
              <w:rPr>
                <w:color w:val="000000"/>
                <w:sz w:val="18"/>
                <w:szCs w:val="18"/>
              </w:rPr>
              <w:t>-</w:t>
            </w:r>
          </w:p>
        </w:tc>
        <w:tc>
          <w:tcPr>
            <w:tcW w:w="595" w:type="pct"/>
            <w:vAlign w:val="bottom"/>
          </w:tcPr>
          <w:p w14:paraId="2A6AB0BD" w14:textId="2B221D4F" w:rsidR="009676BD" w:rsidRPr="00471CBA" w:rsidRDefault="009676BD" w:rsidP="009676BD">
            <w:pPr>
              <w:ind w:left="213" w:hanging="141"/>
              <w:jc w:val="right"/>
              <w:rPr>
                <w:sz w:val="18"/>
                <w:szCs w:val="18"/>
              </w:rPr>
            </w:pPr>
            <w:r w:rsidRPr="00471CBA">
              <w:rPr>
                <w:color w:val="000000"/>
                <w:sz w:val="18"/>
                <w:szCs w:val="18"/>
              </w:rPr>
              <w:t>-</w:t>
            </w:r>
          </w:p>
        </w:tc>
        <w:tc>
          <w:tcPr>
            <w:tcW w:w="597" w:type="pct"/>
            <w:vAlign w:val="bottom"/>
          </w:tcPr>
          <w:p w14:paraId="5A0B106F" w14:textId="4C34C2C5" w:rsidR="009676BD" w:rsidRPr="00471CBA" w:rsidRDefault="009676BD" w:rsidP="009676BD">
            <w:pPr>
              <w:ind w:left="213" w:hanging="141"/>
              <w:jc w:val="right"/>
              <w:rPr>
                <w:sz w:val="18"/>
                <w:szCs w:val="18"/>
              </w:rPr>
            </w:pPr>
            <w:r w:rsidRPr="00471CBA">
              <w:rPr>
                <w:color w:val="000000"/>
                <w:sz w:val="18"/>
                <w:szCs w:val="18"/>
              </w:rPr>
              <w:t>964.443</w:t>
            </w:r>
          </w:p>
        </w:tc>
      </w:tr>
      <w:tr w:rsidR="009676BD" w:rsidRPr="00471CBA" w14:paraId="35C9434A" w14:textId="77777777" w:rsidTr="00B0049C">
        <w:trPr>
          <w:trHeight w:val="113"/>
        </w:trPr>
        <w:tc>
          <w:tcPr>
            <w:tcW w:w="2574" w:type="pct"/>
            <w:vAlign w:val="bottom"/>
            <w:hideMark/>
          </w:tcPr>
          <w:p w14:paraId="25CFD4FB" w14:textId="77777777" w:rsidR="009676BD" w:rsidRPr="00471CBA" w:rsidRDefault="009676BD" w:rsidP="009676BD">
            <w:pPr>
              <w:ind w:firstLineChars="200" w:firstLine="360"/>
              <w:rPr>
                <w:sz w:val="18"/>
                <w:szCs w:val="18"/>
              </w:rPr>
            </w:pPr>
            <w:r w:rsidRPr="00471CBA">
              <w:rPr>
                <w:sz w:val="18"/>
                <w:szCs w:val="18"/>
              </w:rPr>
              <w:t>Diğer Finansal Varlıklar</w:t>
            </w:r>
          </w:p>
        </w:tc>
        <w:tc>
          <w:tcPr>
            <w:tcW w:w="617" w:type="pct"/>
            <w:vAlign w:val="bottom"/>
          </w:tcPr>
          <w:p w14:paraId="312A5975" w14:textId="4DA55565" w:rsidR="009676BD" w:rsidRPr="00471CBA" w:rsidRDefault="009676BD" w:rsidP="009676BD">
            <w:pPr>
              <w:ind w:left="213" w:hanging="141"/>
              <w:jc w:val="right"/>
              <w:rPr>
                <w:sz w:val="18"/>
                <w:szCs w:val="18"/>
              </w:rPr>
            </w:pPr>
            <w:r w:rsidRPr="00471CBA">
              <w:rPr>
                <w:color w:val="000000"/>
                <w:sz w:val="18"/>
                <w:szCs w:val="18"/>
              </w:rPr>
              <w:t>-</w:t>
            </w:r>
          </w:p>
        </w:tc>
        <w:tc>
          <w:tcPr>
            <w:tcW w:w="617" w:type="pct"/>
            <w:vAlign w:val="bottom"/>
          </w:tcPr>
          <w:p w14:paraId="40B6A0CA" w14:textId="106957DF" w:rsidR="009676BD" w:rsidRPr="00471CBA" w:rsidRDefault="009676BD" w:rsidP="009676BD">
            <w:pPr>
              <w:ind w:left="213" w:hanging="141"/>
              <w:jc w:val="right"/>
              <w:rPr>
                <w:sz w:val="18"/>
                <w:szCs w:val="18"/>
              </w:rPr>
            </w:pPr>
            <w:r w:rsidRPr="00471CBA">
              <w:rPr>
                <w:color w:val="000000"/>
                <w:sz w:val="18"/>
                <w:szCs w:val="18"/>
              </w:rPr>
              <w:t>-</w:t>
            </w:r>
          </w:p>
        </w:tc>
        <w:tc>
          <w:tcPr>
            <w:tcW w:w="595" w:type="pct"/>
            <w:vAlign w:val="bottom"/>
          </w:tcPr>
          <w:p w14:paraId="39434392" w14:textId="63C08807" w:rsidR="009676BD" w:rsidRPr="00471CBA" w:rsidRDefault="009676BD" w:rsidP="009676BD">
            <w:pPr>
              <w:ind w:left="213" w:hanging="141"/>
              <w:jc w:val="right"/>
              <w:rPr>
                <w:sz w:val="18"/>
                <w:szCs w:val="18"/>
              </w:rPr>
            </w:pPr>
            <w:r w:rsidRPr="00471CBA">
              <w:rPr>
                <w:color w:val="000000"/>
                <w:sz w:val="18"/>
                <w:szCs w:val="18"/>
              </w:rPr>
              <w:t>-</w:t>
            </w:r>
          </w:p>
        </w:tc>
        <w:tc>
          <w:tcPr>
            <w:tcW w:w="597" w:type="pct"/>
            <w:vAlign w:val="bottom"/>
          </w:tcPr>
          <w:p w14:paraId="6483F7E0" w14:textId="733719B6" w:rsidR="009676BD" w:rsidRPr="00471CBA" w:rsidRDefault="009676BD" w:rsidP="009676BD">
            <w:pPr>
              <w:ind w:left="213" w:hanging="141"/>
              <w:jc w:val="right"/>
              <w:rPr>
                <w:sz w:val="18"/>
                <w:szCs w:val="18"/>
              </w:rPr>
            </w:pPr>
            <w:r w:rsidRPr="00471CBA">
              <w:rPr>
                <w:color w:val="000000"/>
                <w:sz w:val="18"/>
                <w:szCs w:val="18"/>
              </w:rPr>
              <w:t>-</w:t>
            </w:r>
          </w:p>
        </w:tc>
      </w:tr>
      <w:tr w:rsidR="009676BD" w:rsidRPr="00471CBA" w14:paraId="158AAF8D" w14:textId="77777777" w:rsidTr="00B0049C">
        <w:trPr>
          <w:trHeight w:val="113"/>
        </w:trPr>
        <w:tc>
          <w:tcPr>
            <w:tcW w:w="2574" w:type="pct"/>
            <w:vAlign w:val="bottom"/>
          </w:tcPr>
          <w:p w14:paraId="05272B7A" w14:textId="77777777" w:rsidR="009676BD" w:rsidRPr="00471CBA" w:rsidRDefault="009676BD" w:rsidP="009676BD">
            <w:pPr>
              <w:rPr>
                <w:sz w:val="18"/>
                <w:szCs w:val="18"/>
              </w:rPr>
            </w:pPr>
          </w:p>
        </w:tc>
        <w:tc>
          <w:tcPr>
            <w:tcW w:w="617" w:type="pct"/>
            <w:vAlign w:val="bottom"/>
          </w:tcPr>
          <w:p w14:paraId="4ABBA6A2" w14:textId="77777777" w:rsidR="009676BD" w:rsidRPr="00471CBA" w:rsidRDefault="009676BD" w:rsidP="009676BD">
            <w:pPr>
              <w:ind w:left="213" w:hanging="141"/>
              <w:jc w:val="right"/>
              <w:rPr>
                <w:sz w:val="18"/>
                <w:szCs w:val="18"/>
              </w:rPr>
            </w:pPr>
          </w:p>
        </w:tc>
        <w:tc>
          <w:tcPr>
            <w:tcW w:w="617" w:type="pct"/>
            <w:vAlign w:val="bottom"/>
          </w:tcPr>
          <w:p w14:paraId="1BF4815A" w14:textId="77777777" w:rsidR="009676BD" w:rsidRPr="00471CBA" w:rsidRDefault="009676BD" w:rsidP="009676BD">
            <w:pPr>
              <w:ind w:left="213" w:hanging="141"/>
              <w:jc w:val="right"/>
              <w:rPr>
                <w:sz w:val="18"/>
                <w:szCs w:val="18"/>
              </w:rPr>
            </w:pPr>
          </w:p>
        </w:tc>
        <w:tc>
          <w:tcPr>
            <w:tcW w:w="595" w:type="pct"/>
            <w:vAlign w:val="bottom"/>
          </w:tcPr>
          <w:p w14:paraId="0E130DC6" w14:textId="77777777" w:rsidR="009676BD" w:rsidRPr="00471CBA" w:rsidRDefault="009676BD" w:rsidP="009676BD">
            <w:pPr>
              <w:ind w:left="213" w:hanging="141"/>
              <w:jc w:val="right"/>
              <w:rPr>
                <w:sz w:val="18"/>
                <w:szCs w:val="18"/>
              </w:rPr>
            </w:pPr>
          </w:p>
        </w:tc>
        <w:tc>
          <w:tcPr>
            <w:tcW w:w="597" w:type="pct"/>
            <w:vAlign w:val="bottom"/>
          </w:tcPr>
          <w:p w14:paraId="0C0421A0" w14:textId="77777777" w:rsidR="009676BD" w:rsidRPr="00471CBA" w:rsidRDefault="009676BD" w:rsidP="009676BD">
            <w:pPr>
              <w:ind w:left="213" w:hanging="141"/>
              <w:jc w:val="right"/>
              <w:rPr>
                <w:sz w:val="18"/>
                <w:szCs w:val="18"/>
              </w:rPr>
            </w:pPr>
          </w:p>
        </w:tc>
      </w:tr>
      <w:tr w:rsidR="009676BD" w:rsidRPr="00471CBA" w14:paraId="06565B7C" w14:textId="77777777" w:rsidTr="00B0049C">
        <w:trPr>
          <w:trHeight w:val="113"/>
        </w:trPr>
        <w:tc>
          <w:tcPr>
            <w:tcW w:w="2574" w:type="pct"/>
            <w:vAlign w:val="bottom"/>
            <w:hideMark/>
          </w:tcPr>
          <w:p w14:paraId="047D5F16" w14:textId="77777777" w:rsidR="009676BD" w:rsidRPr="00471CBA" w:rsidRDefault="009676BD" w:rsidP="009676BD">
            <w:pPr>
              <w:rPr>
                <w:b/>
                <w:sz w:val="18"/>
                <w:szCs w:val="18"/>
              </w:rPr>
            </w:pPr>
            <w:r w:rsidRPr="00471CBA">
              <w:rPr>
                <w:b/>
                <w:sz w:val="18"/>
                <w:szCs w:val="18"/>
              </w:rPr>
              <w:t>Türev Finansal Varlıklar</w:t>
            </w:r>
          </w:p>
        </w:tc>
        <w:tc>
          <w:tcPr>
            <w:tcW w:w="617" w:type="pct"/>
            <w:vAlign w:val="bottom"/>
          </w:tcPr>
          <w:p w14:paraId="58B57E92" w14:textId="3D0733D9" w:rsidR="009676BD" w:rsidRPr="00471CBA" w:rsidRDefault="009676BD" w:rsidP="009676BD">
            <w:pPr>
              <w:ind w:left="213" w:hanging="141"/>
              <w:jc w:val="right"/>
              <w:rPr>
                <w:sz w:val="18"/>
                <w:szCs w:val="18"/>
              </w:rPr>
            </w:pPr>
            <w:r w:rsidRPr="00471CBA">
              <w:rPr>
                <w:b/>
                <w:bCs/>
                <w:color w:val="000000"/>
                <w:sz w:val="18"/>
                <w:szCs w:val="18"/>
              </w:rPr>
              <w:t>22.274</w:t>
            </w:r>
          </w:p>
        </w:tc>
        <w:tc>
          <w:tcPr>
            <w:tcW w:w="617" w:type="pct"/>
            <w:vAlign w:val="bottom"/>
          </w:tcPr>
          <w:p w14:paraId="45C58DFE" w14:textId="7E56EF7D" w:rsidR="009676BD" w:rsidRPr="00471CBA" w:rsidRDefault="009676BD" w:rsidP="009676BD">
            <w:pPr>
              <w:ind w:left="213" w:hanging="141"/>
              <w:jc w:val="right"/>
              <w:rPr>
                <w:sz w:val="18"/>
                <w:szCs w:val="18"/>
              </w:rPr>
            </w:pPr>
            <w:r w:rsidRPr="00471CBA">
              <w:rPr>
                <w:b/>
                <w:bCs/>
                <w:color w:val="000000"/>
                <w:sz w:val="18"/>
                <w:szCs w:val="18"/>
              </w:rPr>
              <w:t>-</w:t>
            </w:r>
          </w:p>
        </w:tc>
        <w:tc>
          <w:tcPr>
            <w:tcW w:w="595" w:type="pct"/>
            <w:vAlign w:val="bottom"/>
          </w:tcPr>
          <w:p w14:paraId="46E512C7" w14:textId="5E94BE06" w:rsidR="009676BD" w:rsidRPr="00471CBA" w:rsidRDefault="009676BD" w:rsidP="009676BD">
            <w:pPr>
              <w:ind w:left="213" w:hanging="141"/>
              <w:jc w:val="right"/>
              <w:rPr>
                <w:sz w:val="18"/>
                <w:szCs w:val="18"/>
              </w:rPr>
            </w:pPr>
            <w:r w:rsidRPr="00471CBA">
              <w:rPr>
                <w:b/>
                <w:bCs/>
                <w:color w:val="000000"/>
                <w:sz w:val="18"/>
                <w:szCs w:val="18"/>
              </w:rPr>
              <w:t>-</w:t>
            </w:r>
          </w:p>
        </w:tc>
        <w:tc>
          <w:tcPr>
            <w:tcW w:w="597" w:type="pct"/>
            <w:vAlign w:val="bottom"/>
          </w:tcPr>
          <w:p w14:paraId="5D0E3D66" w14:textId="4F5C16D3" w:rsidR="009676BD" w:rsidRPr="00471CBA" w:rsidRDefault="009676BD" w:rsidP="009676BD">
            <w:pPr>
              <w:ind w:left="213" w:hanging="141"/>
              <w:jc w:val="right"/>
              <w:rPr>
                <w:sz w:val="18"/>
                <w:szCs w:val="18"/>
              </w:rPr>
            </w:pPr>
            <w:r w:rsidRPr="00471CBA">
              <w:rPr>
                <w:b/>
                <w:bCs/>
                <w:color w:val="000000"/>
                <w:sz w:val="18"/>
                <w:szCs w:val="18"/>
              </w:rPr>
              <w:t>22.274</w:t>
            </w:r>
          </w:p>
        </w:tc>
      </w:tr>
      <w:tr w:rsidR="009676BD" w:rsidRPr="00471CBA" w14:paraId="52BFA1BC" w14:textId="77777777" w:rsidTr="00B0049C">
        <w:trPr>
          <w:trHeight w:val="113"/>
        </w:trPr>
        <w:tc>
          <w:tcPr>
            <w:tcW w:w="2574" w:type="pct"/>
            <w:vAlign w:val="bottom"/>
          </w:tcPr>
          <w:p w14:paraId="3A0046F7" w14:textId="77777777" w:rsidR="009676BD" w:rsidRPr="00471CBA" w:rsidRDefault="009676BD" w:rsidP="009676BD">
            <w:pPr>
              <w:rPr>
                <w:sz w:val="18"/>
                <w:szCs w:val="18"/>
              </w:rPr>
            </w:pPr>
          </w:p>
        </w:tc>
        <w:tc>
          <w:tcPr>
            <w:tcW w:w="617" w:type="pct"/>
            <w:vAlign w:val="bottom"/>
          </w:tcPr>
          <w:p w14:paraId="37AF3DEF" w14:textId="77777777" w:rsidR="009676BD" w:rsidRPr="00471CBA" w:rsidRDefault="009676BD" w:rsidP="009676BD">
            <w:pPr>
              <w:ind w:left="213" w:hanging="141"/>
              <w:jc w:val="right"/>
              <w:rPr>
                <w:sz w:val="18"/>
                <w:szCs w:val="18"/>
              </w:rPr>
            </w:pPr>
          </w:p>
        </w:tc>
        <w:tc>
          <w:tcPr>
            <w:tcW w:w="617" w:type="pct"/>
            <w:vAlign w:val="bottom"/>
          </w:tcPr>
          <w:p w14:paraId="58E7C93F" w14:textId="77777777" w:rsidR="009676BD" w:rsidRPr="00471CBA" w:rsidRDefault="009676BD" w:rsidP="009676BD">
            <w:pPr>
              <w:ind w:left="213" w:hanging="141"/>
              <w:jc w:val="right"/>
              <w:rPr>
                <w:sz w:val="18"/>
                <w:szCs w:val="18"/>
              </w:rPr>
            </w:pPr>
          </w:p>
        </w:tc>
        <w:tc>
          <w:tcPr>
            <w:tcW w:w="595" w:type="pct"/>
            <w:vAlign w:val="bottom"/>
          </w:tcPr>
          <w:p w14:paraId="4F206468" w14:textId="77777777" w:rsidR="009676BD" w:rsidRPr="00471CBA" w:rsidRDefault="009676BD" w:rsidP="009676BD">
            <w:pPr>
              <w:ind w:left="213" w:hanging="141"/>
              <w:jc w:val="right"/>
              <w:rPr>
                <w:sz w:val="18"/>
                <w:szCs w:val="18"/>
              </w:rPr>
            </w:pPr>
          </w:p>
        </w:tc>
        <w:tc>
          <w:tcPr>
            <w:tcW w:w="597" w:type="pct"/>
            <w:vAlign w:val="bottom"/>
          </w:tcPr>
          <w:p w14:paraId="28B8C08D" w14:textId="77777777" w:rsidR="009676BD" w:rsidRPr="00471CBA" w:rsidRDefault="009676BD" w:rsidP="009676BD">
            <w:pPr>
              <w:ind w:left="213" w:hanging="141"/>
              <w:jc w:val="right"/>
              <w:rPr>
                <w:sz w:val="18"/>
                <w:szCs w:val="18"/>
              </w:rPr>
            </w:pPr>
          </w:p>
        </w:tc>
      </w:tr>
      <w:tr w:rsidR="009676BD" w:rsidRPr="00471CBA" w14:paraId="76739899" w14:textId="77777777" w:rsidTr="00B0049C">
        <w:trPr>
          <w:trHeight w:val="113"/>
        </w:trPr>
        <w:tc>
          <w:tcPr>
            <w:tcW w:w="2574" w:type="pct"/>
            <w:vAlign w:val="bottom"/>
            <w:hideMark/>
          </w:tcPr>
          <w:p w14:paraId="1CAC9233" w14:textId="77777777" w:rsidR="009676BD" w:rsidRPr="00471CBA" w:rsidRDefault="009676BD" w:rsidP="009676BD">
            <w:pPr>
              <w:rPr>
                <w:sz w:val="18"/>
                <w:szCs w:val="18"/>
              </w:rPr>
            </w:pPr>
            <w:r w:rsidRPr="00471CBA">
              <w:rPr>
                <w:b/>
                <w:sz w:val="18"/>
                <w:szCs w:val="18"/>
              </w:rPr>
              <w:t>Finansal Yükümlülükler</w:t>
            </w:r>
          </w:p>
        </w:tc>
        <w:tc>
          <w:tcPr>
            <w:tcW w:w="617" w:type="pct"/>
            <w:vAlign w:val="bottom"/>
          </w:tcPr>
          <w:p w14:paraId="23716D65" w14:textId="77777777" w:rsidR="009676BD" w:rsidRPr="00471CBA" w:rsidRDefault="009676BD" w:rsidP="009676BD">
            <w:pPr>
              <w:ind w:left="213" w:hanging="141"/>
              <w:jc w:val="right"/>
              <w:rPr>
                <w:sz w:val="18"/>
                <w:szCs w:val="18"/>
              </w:rPr>
            </w:pPr>
          </w:p>
        </w:tc>
        <w:tc>
          <w:tcPr>
            <w:tcW w:w="617" w:type="pct"/>
            <w:vAlign w:val="bottom"/>
          </w:tcPr>
          <w:p w14:paraId="517E7E60" w14:textId="77777777" w:rsidR="009676BD" w:rsidRPr="00471CBA" w:rsidRDefault="009676BD" w:rsidP="009676BD">
            <w:pPr>
              <w:ind w:left="213" w:hanging="141"/>
              <w:jc w:val="right"/>
              <w:rPr>
                <w:sz w:val="18"/>
                <w:szCs w:val="18"/>
              </w:rPr>
            </w:pPr>
          </w:p>
        </w:tc>
        <w:tc>
          <w:tcPr>
            <w:tcW w:w="595" w:type="pct"/>
            <w:vAlign w:val="bottom"/>
          </w:tcPr>
          <w:p w14:paraId="7CC31C09" w14:textId="77777777" w:rsidR="009676BD" w:rsidRPr="00471CBA" w:rsidRDefault="009676BD" w:rsidP="009676BD">
            <w:pPr>
              <w:ind w:left="213" w:hanging="141"/>
              <w:jc w:val="right"/>
              <w:rPr>
                <w:sz w:val="18"/>
                <w:szCs w:val="18"/>
              </w:rPr>
            </w:pPr>
          </w:p>
        </w:tc>
        <w:tc>
          <w:tcPr>
            <w:tcW w:w="597" w:type="pct"/>
            <w:vAlign w:val="bottom"/>
          </w:tcPr>
          <w:p w14:paraId="64178C70" w14:textId="77777777" w:rsidR="009676BD" w:rsidRPr="00471CBA" w:rsidRDefault="009676BD" w:rsidP="009676BD">
            <w:pPr>
              <w:ind w:left="213" w:hanging="141"/>
              <w:jc w:val="right"/>
              <w:rPr>
                <w:sz w:val="18"/>
                <w:szCs w:val="18"/>
              </w:rPr>
            </w:pPr>
          </w:p>
        </w:tc>
      </w:tr>
      <w:tr w:rsidR="009676BD" w:rsidRPr="00471CBA" w14:paraId="4184D7CA" w14:textId="77777777" w:rsidTr="00B0049C">
        <w:trPr>
          <w:trHeight w:val="113"/>
        </w:trPr>
        <w:tc>
          <w:tcPr>
            <w:tcW w:w="2574" w:type="pct"/>
            <w:vAlign w:val="bottom"/>
          </w:tcPr>
          <w:p w14:paraId="4BB225B6" w14:textId="77777777" w:rsidR="009676BD" w:rsidRPr="00471CBA" w:rsidRDefault="009676BD" w:rsidP="009676BD">
            <w:pPr>
              <w:rPr>
                <w:sz w:val="18"/>
                <w:szCs w:val="18"/>
              </w:rPr>
            </w:pPr>
          </w:p>
        </w:tc>
        <w:tc>
          <w:tcPr>
            <w:tcW w:w="617" w:type="pct"/>
            <w:vAlign w:val="bottom"/>
          </w:tcPr>
          <w:p w14:paraId="0C5D81F9" w14:textId="77777777" w:rsidR="009676BD" w:rsidRPr="00471CBA" w:rsidRDefault="009676BD" w:rsidP="009676BD">
            <w:pPr>
              <w:ind w:left="213" w:hanging="141"/>
              <w:jc w:val="right"/>
              <w:rPr>
                <w:sz w:val="18"/>
                <w:szCs w:val="18"/>
              </w:rPr>
            </w:pPr>
          </w:p>
        </w:tc>
        <w:tc>
          <w:tcPr>
            <w:tcW w:w="617" w:type="pct"/>
            <w:vAlign w:val="bottom"/>
          </w:tcPr>
          <w:p w14:paraId="7A4FF28A" w14:textId="77777777" w:rsidR="009676BD" w:rsidRPr="00471CBA" w:rsidRDefault="009676BD" w:rsidP="009676BD">
            <w:pPr>
              <w:ind w:left="213" w:hanging="141"/>
              <w:jc w:val="right"/>
              <w:rPr>
                <w:sz w:val="18"/>
                <w:szCs w:val="18"/>
              </w:rPr>
            </w:pPr>
          </w:p>
        </w:tc>
        <w:tc>
          <w:tcPr>
            <w:tcW w:w="595" w:type="pct"/>
            <w:vAlign w:val="bottom"/>
          </w:tcPr>
          <w:p w14:paraId="6818841A" w14:textId="77777777" w:rsidR="009676BD" w:rsidRPr="00471CBA" w:rsidRDefault="009676BD" w:rsidP="009676BD">
            <w:pPr>
              <w:ind w:left="213" w:hanging="141"/>
              <w:jc w:val="right"/>
              <w:rPr>
                <w:sz w:val="18"/>
                <w:szCs w:val="18"/>
              </w:rPr>
            </w:pPr>
          </w:p>
        </w:tc>
        <w:tc>
          <w:tcPr>
            <w:tcW w:w="597" w:type="pct"/>
            <w:vAlign w:val="bottom"/>
          </w:tcPr>
          <w:p w14:paraId="0F90CFE9" w14:textId="77777777" w:rsidR="009676BD" w:rsidRPr="00471CBA" w:rsidRDefault="009676BD" w:rsidP="009676BD">
            <w:pPr>
              <w:ind w:left="213" w:hanging="141"/>
              <w:jc w:val="right"/>
              <w:rPr>
                <w:sz w:val="18"/>
                <w:szCs w:val="18"/>
              </w:rPr>
            </w:pPr>
          </w:p>
        </w:tc>
      </w:tr>
      <w:tr w:rsidR="009676BD" w:rsidRPr="00471CBA" w14:paraId="1F067219" w14:textId="77777777" w:rsidTr="00B0049C">
        <w:trPr>
          <w:trHeight w:val="113"/>
        </w:trPr>
        <w:tc>
          <w:tcPr>
            <w:tcW w:w="2574" w:type="pct"/>
            <w:vAlign w:val="bottom"/>
            <w:hideMark/>
          </w:tcPr>
          <w:p w14:paraId="2057386D" w14:textId="77777777" w:rsidR="009676BD" w:rsidRPr="00471CBA" w:rsidRDefault="009676BD" w:rsidP="009676BD">
            <w:pPr>
              <w:rPr>
                <w:b/>
                <w:sz w:val="18"/>
                <w:szCs w:val="18"/>
              </w:rPr>
            </w:pPr>
            <w:r w:rsidRPr="00471CBA">
              <w:rPr>
                <w:b/>
                <w:sz w:val="18"/>
                <w:szCs w:val="18"/>
              </w:rPr>
              <w:t>Türev Finansal Yükümlülükler</w:t>
            </w:r>
          </w:p>
        </w:tc>
        <w:tc>
          <w:tcPr>
            <w:tcW w:w="617" w:type="pct"/>
            <w:vAlign w:val="bottom"/>
          </w:tcPr>
          <w:p w14:paraId="4D1C717B" w14:textId="486EFF48" w:rsidR="009676BD" w:rsidRPr="00471CBA" w:rsidRDefault="009676BD" w:rsidP="009676BD">
            <w:pPr>
              <w:ind w:left="213" w:hanging="141"/>
              <w:jc w:val="right"/>
              <w:rPr>
                <w:b/>
                <w:sz w:val="18"/>
                <w:szCs w:val="18"/>
              </w:rPr>
            </w:pPr>
            <w:r w:rsidRPr="00471CBA">
              <w:rPr>
                <w:b/>
                <w:bCs/>
                <w:color w:val="000000"/>
                <w:sz w:val="18"/>
                <w:szCs w:val="18"/>
              </w:rPr>
              <w:t>26.146</w:t>
            </w:r>
          </w:p>
        </w:tc>
        <w:tc>
          <w:tcPr>
            <w:tcW w:w="617" w:type="pct"/>
            <w:vAlign w:val="bottom"/>
          </w:tcPr>
          <w:p w14:paraId="573A6B40" w14:textId="0A2A765E" w:rsidR="009676BD" w:rsidRPr="00471CBA" w:rsidRDefault="009676BD" w:rsidP="009676BD">
            <w:pPr>
              <w:ind w:left="213" w:hanging="141"/>
              <w:jc w:val="right"/>
              <w:rPr>
                <w:b/>
                <w:sz w:val="18"/>
                <w:szCs w:val="18"/>
              </w:rPr>
            </w:pPr>
            <w:r w:rsidRPr="00471CBA">
              <w:rPr>
                <w:b/>
                <w:bCs/>
                <w:color w:val="000000"/>
                <w:sz w:val="18"/>
                <w:szCs w:val="18"/>
              </w:rPr>
              <w:t>-</w:t>
            </w:r>
          </w:p>
        </w:tc>
        <w:tc>
          <w:tcPr>
            <w:tcW w:w="595" w:type="pct"/>
            <w:vAlign w:val="bottom"/>
          </w:tcPr>
          <w:p w14:paraId="773161D8" w14:textId="4EC838AA" w:rsidR="009676BD" w:rsidRPr="00471CBA" w:rsidRDefault="009676BD" w:rsidP="009676BD">
            <w:pPr>
              <w:ind w:left="213" w:hanging="141"/>
              <w:jc w:val="right"/>
              <w:rPr>
                <w:b/>
                <w:sz w:val="18"/>
                <w:szCs w:val="18"/>
              </w:rPr>
            </w:pPr>
            <w:r w:rsidRPr="00471CBA">
              <w:rPr>
                <w:b/>
                <w:bCs/>
                <w:color w:val="000000"/>
                <w:sz w:val="18"/>
                <w:szCs w:val="18"/>
              </w:rPr>
              <w:t>-</w:t>
            </w:r>
          </w:p>
        </w:tc>
        <w:tc>
          <w:tcPr>
            <w:tcW w:w="597" w:type="pct"/>
            <w:vAlign w:val="bottom"/>
          </w:tcPr>
          <w:p w14:paraId="3C839561" w14:textId="1CB180F9" w:rsidR="009676BD" w:rsidRPr="00471CBA" w:rsidRDefault="009676BD" w:rsidP="009676BD">
            <w:pPr>
              <w:ind w:left="213" w:hanging="141"/>
              <w:jc w:val="right"/>
              <w:rPr>
                <w:b/>
                <w:sz w:val="18"/>
                <w:szCs w:val="18"/>
              </w:rPr>
            </w:pPr>
            <w:r w:rsidRPr="00471CBA">
              <w:rPr>
                <w:b/>
                <w:bCs/>
                <w:color w:val="000000"/>
                <w:sz w:val="18"/>
                <w:szCs w:val="18"/>
              </w:rPr>
              <w:t>26.146</w:t>
            </w:r>
          </w:p>
        </w:tc>
      </w:tr>
      <w:tr w:rsidR="00F91828" w:rsidRPr="00471CBA" w14:paraId="29B60921" w14:textId="77777777" w:rsidTr="00B0049C">
        <w:trPr>
          <w:trHeight w:val="113"/>
        </w:trPr>
        <w:tc>
          <w:tcPr>
            <w:tcW w:w="2574" w:type="pct"/>
            <w:tcBorders>
              <w:top w:val="nil"/>
              <w:left w:val="nil"/>
              <w:bottom w:val="single" w:sz="4" w:space="0" w:color="auto"/>
              <w:right w:val="nil"/>
            </w:tcBorders>
            <w:vAlign w:val="bottom"/>
          </w:tcPr>
          <w:p w14:paraId="5553E3FA" w14:textId="77777777" w:rsidR="00F91828" w:rsidRPr="00471CBA" w:rsidRDefault="00F91828" w:rsidP="00B0049C">
            <w:pPr>
              <w:rPr>
                <w:sz w:val="18"/>
                <w:szCs w:val="18"/>
              </w:rPr>
            </w:pPr>
          </w:p>
        </w:tc>
        <w:tc>
          <w:tcPr>
            <w:tcW w:w="617" w:type="pct"/>
            <w:tcBorders>
              <w:top w:val="nil"/>
              <w:left w:val="nil"/>
              <w:bottom w:val="single" w:sz="4" w:space="0" w:color="auto"/>
              <w:right w:val="nil"/>
            </w:tcBorders>
            <w:vAlign w:val="bottom"/>
          </w:tcPr>
          <w:p w14:paraId="0E5DBED2" w14:textId="77777777" w:rsidR="00F91828" w:rsidRPr="00471CBA" w:rsidRDefault="00F91828" w:rsidP="00B0049C">
            <w:pPr>
              <w:ind w:left="213" w:hanging="141"/>
              <w:jc w:val="right"/>
              <w:rPr>
                <w:sz w:val="18"/>
                <w:szCs w:val="18"/>
              </w:rPr>
            </w:pPr>
          </w:p>
        </w:tc>
        <w:tc>
          <w:tcPr>
            <w:tcW w:w="617" w:type="pct"/>
            <w:tcBorders>
              <w:top w:val="nil"/>
              <w:left w:val="nil"/>
              <w:bottom w:val="single" w:sz="4" w:space="0" w:color="auto"/>
              <w:right w:val="nil"/>
            </w:tcBorders>
            <w:vAlign w:val="bottom"/>
          </w:tcPr>
          <w:p w14:paraId="3D6E3F54" w14:textId="77777777" w:rsidR="00F91828" w:rsidRPr="00471CBA" w:rsidRDefault="00F91828" w:rsidP="00B0049C">
            <w:pPr>
              <w:ind w:left="213" w:hanging="141"/>
              <w:jc w:val="right"/>
              <w:rPr>
                <w:sz w:val="18"/>
                <w:szCs w:val="18"/>
              </w:rPr>
            </w:pPr>
          </w:p>
        </w:tc>
        <w:tc>
          <w:tcPr>
            <w:tcW w:w="595" w:type="pct"/>
            <w:tcBorders>
              <w:top w:val="nil"/>
              <w:left w:val="nil"/>
              <w:bottom w:val="single" w:sz="4" w:space="0" w:color="auto"/>
              <w:right w:val="nil"/>
            </w:tcBorders>
            <w:vAlign w:val="bottom"/>
          </w:tcPr>
          <w:p w14:paraId="49804677" w14:textId="77777777" w:rsidR="00F91828" w:rsidRPr="00471CBA" w:rsidRDefault="00F91828" w:rsidP="00B0049C">
            <w:pPr>
              <w:ind w:left="213" w:hanging="141"/>
              <w:jc w:val="right"/>
              <w:rPr>
                <w:sz w:val="18"/>
                <w:szCs w:val="18"/>
              </w:rPr>
            </w:pPr>
          </w:p>
        </w:tc>
        <w:tc>
          <w:tcPr>
            <w:tcW w:w="597" w:type="pct"/>
            <w:tcBorders>
              <w:top w:val="nil"/>
              <w:left w:val="nil"/>
              <w:bottom w:val="single" w:sz="4" w:space="0" w:color="auto"/>
              <w:right w:val="nil"/>
            </w:tcBorders>
            <w:vAlign w:val="bottom"/>
          </w:tcPr>
          <w:p w14:paraId="591C31F9" w14:textId="77777777" w:rsidR="00F91828" w:rsidRPr="00471CBA" w:rsidRDefault="00F91828" w:rsidP="00B0049C">
            <w:pPr>
              <w:ind w:left="213" w:hanging="141"/>
              <w:jc w:val="right"/>
              <w:rPr>
                <w:sz w:val="18"/>
                <w:szCs w:val="18"/>
              </w:rPr>
            </w:pPr>
          </w:p>
        </w:tc>
      </w:tr>
    </w:tbl>
    <w:p w14:paraId="47891180" w14:textId="77777777" w:rsidR="00F91828" w:rsidRPr="00471CBA" w:rsidRDefault="00F91828" w:rsidP="00F91828">
      <w:pPr>
        <w:spacing w:before="60" w:after="60"/>
        <w:ind w:left="252" w:hanging="252"/>
        <w:jc w:val="both"/>
        <w:rPr>
          <w:sz w:val="16"/>
          <w:szCs w:val="16"/>
        </w:rPr>
      </w:pPr>
      <w:r w:rsidRPr="00471CBA">
        <w:rPr>
          <w:sz w:val="16"/>
          <w:szCs w:val="16"/>
          <w:vertAlign w:val="superscript"/>
        </w:rPr>
        <w:t xml:space="preserve">(*) </w:t>
      </w:r>
      <w:r w:rsidRPr="00471CBA">
        <w:rPr>
          <w:sz w:val="16"/>
          <w:szCs w:val="16"/>
        </w:rPr>
        <w:t xml:space="preserve">Önceki dönem içerisinde birinci ve ikinci seviye arasında yapılmış bir sınıflama bulunmamaktadır. </w:t>
      </w:r>
    </w:p>
    <w:p w14:paraId="70714585" w14:textId="77777777" w:rsidR="00F91828" w:rsidRPr="00471CBA" w:rsidRDefault="00F91828" w:rsidP="00F36B82">
      <w:pPr>
        <w:pStyle w:val="ListeParagraf"/>
        <w:widowControl w:val="0"/>
        <w:numPr>
          <w:ilvl w:val="0"/>
          <w:numId w:val="39"/>
        </w:numPr>
        <w:autoSpaceDE w:val="0"/>
        <w:autoSpaceDN w:val="0"/>
        <w:adjustRightInd w:val="0"/>
        <w:spacing w:before="120"/>
        <w:ind w:hanging="861"/>
        <w:jc w:val="both"/>
        <w:rPr>
          <w:b/>
          <w:szCs w:val="20"/>
        </w:rPr>
      </w:pPr>
      <w:r w:rsidRPr="00471CBA">
        <w:rPr>
          <w:b/>
          <w:szCs w:val="20"/>
        </w:rPr>
        <w:t>BAŞKALARININ NAM VE HESABINA YAPILAN İŞLEMLER, İNANCA DAYALI İŞLEMLERE İLİŞKİN AÇIKLAMALAR</w:t>
      </w:r>
    </w:p>
    <w:p w14:paraId="44850058" w14:textId="77777777" w:rsidR="00F91828" w:rsidRPr="00471CBA" w:rsidRDefault="00F91828" w:rsidP="00F91828"/>
    <w:p w14:paraId="3D6B01B7" w14:textId="77777777" w:rsidR="00F91828" w:rsidRPr="00471CBA" w:rsidRDefault="00F91828" w:rsidP="00F91828">
      <w:pPr>
        <w:widowControl w:val="0"/>
        <w:rPr>
          <w:szCs w:val="20"/>
        </w:rPr>
      </w:pPr>
      <w:r w:rsidRPr="00471CBA">
        <w:rPr>
          <w:szCs w:val="20"/>
        </w:rPr>
        <w:t>Banka müşterilerinin nam ve hesabına alım, satım, saklama, fon yönetimi hizmetleri vermemektedir. Banka inanca dayalı işlem sözleşmeleri yapmamaktadır.</w:t>
      </w:r>
    </w:p>
    <w:p w14:paraId="49641CD5" w14:textId="6DAC3641" w:rsidR="00B4406E" w:rsidRPr="00471CBA" w:rsidRDefault="00B4406E">
      <w:pPr>
        <w:rPr>
          <w:szCs w:val="20"/>
        </w:rPr>
      </w:pPr>
      <w:r w:rsidRPr="00471CBA">
        <w:rPr>
          <w:szCs w:val="20"/>
        </w:rPr>
        <w:br w:type="page"/>
      </w:r>
    </w:p>
    <w:p w14:paraId="4C5585A2" w14:textId="77777777" w:rsidR="00D067C4" w:rsidRPr="00471CBA" w:rsidRDefault="00D067C4" w:rsidP="00D067C4">
      <w:pPr>
        <w:pStyle w:val="GvdeMetniGirintisi"/>
        <w:widowControl w:val="0"/>
        <w:ind w:firstLine="0"/>
        <w:jc w:val="left"/>
        <w:rPr>
          <w:b/>
          <w:szCs w:val="20"/>
        </w:rPr>
      </w:pPr>
      <w:bookmarkStart w:id="59" w:name="_Hlk223360615"/>
      <w:r w:rsidRPr="00471CBA">
        <w:rPr>
          <w:b/>
          <w:szCs w:val="20"/>
        </w:rPr>
        <w:t>MALİ BÜNYEYE VE RİSK YÖNETİMİNE İLİŞKİN BİLGİLER (Devamı)</w:t>
      </w:r>
    </w:p>
    <w:bookmarkEnd w:id="59"/>
    <w:p w14:paraId="02AA3F92" w14:textId="77777777" w:rsidR="0094685D" w:rsidRPr="00471CBA" w:rsidRDefault="0094685D" w:rsidP="00A308EB">
      <w:pPr>
        <w:widowControl w:val="0"/>
        <w:rPr>
          <w:szCs w:val="20"/>
        </w:rPr>
      </w:pPr>
    </w:p>
    <w:p w14:paraId="096B1BDC" w14:textId="3EF0A038" w:rsidR="007F6642" w:rsidRPr="00471CBA" w:rsidRDefault="00F37168" w:rsidP="008459A9">
      <w:pPr>
        <w:pStyle w:val="ListeParagraf"/>
        <w:widowControl w:val="0"/>
        <w:numPr>
          <w:ilvl w:val="0"/>
          <w:numId w:val="72"/>
        </w:numPr>
        <w:autoSpaceDE w:val="0"/>
        <w:autoSpaceDN w:val="0"/>
        <w:adjustRightInd w:val="0"/>
        <w:ind w:hanging="861"/>
        <w:jc w:val="both"/>
        <w:rPr>
          <w:b/>
          <w:szCs w:val="20"/>
        </w:rPr>
      </w:pPr>
      <w:r w:rsidRPr="00471CBA">
        <w:rPr>
          <w:b/>
          <w:szCs w:val="20"/>
        </w:rPr>
        <w:t>RİSK YÖNETİMİNE İLİŞKİN AÇIKLAMALAR</w:t>
      </w:r>
    </w:p>
    <w:p w14:paraId="6D1879CC" w14:textId="77777777" w:rsidR="007F6642" w:rsidRPr="00471CBA" w:rsidRDefault="007F6642" w:rsidP="0015236F">
      <w:pPr>
        <w:jc w:val="both"/>
      </w:pPr>
    </w:p>
    <w:p w14:paraId="13C97CC1" w14:textId="77777777" w:rsidR="00A308EB" w:rsidRPr="00471CBA" w:rsidRDefault="00A308EB" w:rsidP="004602AB">
      <w:pPr>
        <w:spacing w:after="120"/>
        <w:jc w:val="both"/>
        <w:rPr>
          <w:szCs w:val="20"/>
        </w:rPr>
      </w:pPr>
      <w:bookmarkStart w:id="60" w:name="_Hlk189561456"/>
      <w:bookmarkStart w:id="61" w:name="_Hlk67665095"/>
      <w:r w:rsidRPr="00471CBA">
        <w:rPr>
          <w:szCs w:val="20"/>
        </w:rPr>
        <w:t>Banka, faaliyetlerini en verimli şekilde sürdürebilmek ve bütçe hedeflerine ulaşabilmek için bütçeyle uyumlu, aynı zamanda yönetim açısından stratejik önem taşıyan bir risk iştahı çerçevesi geliştirmiştir. Bu çerçeve, bütçe planlama ve yönetim süreçleriyle bütünleşik bir şekilde çalışmaktadır. Bankanın risk iştahı, faaliyet alanları, risk profili, İSEDES sonuçları, uzun vadeli stratejiler ve sermaye planlama süreçleri göz önünde bulundurularak şekillendirilir. Risk iştahının oluşturulmasında makroekonomik göstergeler, Sektörel eğilimler, bölgesel ve ulusal ekonomik-siyasi koşullar, rekabet analizi, yasal düzenlemeler, müşteri ve hissedar beklentileri, özkaynak durumu, İSEDES sonuçları, Banka’nın risk kapasitesi ile büyüme hedefleri önemli bir rol oynar. Süreç boyunca Bankanın tüm birimleri, ihtiyaç duyulan bilgi ve belgeleri temin ederek bu yapının oluşturulmasına katkıda bulunur.</w:t>
      </w:r>
    </w:p>
    <w:p w14:paraId="33C3A12D" w14:textId="77777777" w:rsidR="00A308EB" w:rsidRPr="00471CBA" w:rsidRDefault="00A308EB" w:rsidP="004602AB">
      <w:pPr>
        <w:spacing w:after="120"/>
        <w:jc w:val="both"/>
        <w:rPr>
          <w:szCs w:val="20"/>
        </w:rPr>
      </w:pPr>
      <w:r w:rsidRPr="00471CBA">
        <w:rPr>
          <w:szCs w:val="20"/>
        </w:rPr>
        <w:t>Risk iştahı, risk türleri kapsamında risk kapasitesi, risk limitleri ve erken uyarı seviyelerini kapsayan bir çerçevede yapılandırılmıştır. Bu yapı, Yönetim Kurulu tarafından onaylanarak stratejik planlama, faaliyet süreçleri ve bütçe çalışmaları ile ilişkilendirilir.</w:t>
      </w:r>
    </w:p>
    <w:p w14:paraId="730B1128" w14:textId="77777777" w:rsidR="00A308EB" w:rsidRPr="00471CBA" w:rsidRDefault="00A308EB" w:rsidP="004602AB">
      <w:pPr>
        <w:spacing w:after="120"/>
        <w:jc w:val="both"/>
        <w:rPr>
          <w:szCs w:val="20"/>
        </w:rPr>
      </w:pPr>
      <w:r w:rsidRPr="00471CBA">
        <w:rPr>
          <w:szCs w:val="20"/>
        </w:rPr>
        <w:t>İSEDES sonuçlarının risk iştahı ile karşılaştırılması, Banka Üst Yönetimi tarafından gerçekleştirilir ve gerekli görülen durumlarda önleyici adımlar atılır. Yılda en az bir kez veya Banka’nın faaliyetlerinde ya da risk profiliyle ilgili değişiklikler ile birlikte ihtiyaç duyulduğunda güncellenir.</w:t>
      </w:r>
    </w:p>
    <w:p w14:paraId="0A9E230C" w14:textId="77777777" w:rsidR="00A308EB" w:rsidRPr="00471CBA" w:rsidRDefault="00A308EB" w:rsidP="004602AB">
      <w:pPr>
        <w:spacing w:after="120"/>
        <w:jc w:val="both"/>
        <w:rPr>
          <w:szCs w:val="20"/>
        </w:rPr>
      </w:pPr>
      <w:r w:rsidRPr="00471CBA">
        <w:rPr>
          <w:szCs w:val="20"/>
        </w:rPr>
        <w:t>Ayrıca, risk iştahı ile uyumlu olacak şekilde aktif-pasif yönetimine dair ilke ve uygulamalarda da gerekli değişiklikler yapılır ve bu süreçte risk matrisi kriterleri esas alınır. Belirlenen risk iştahı sınırlarının aşılması hâlinde, ilgili birimler durum hakkında bilgilendirilir. Bu aşımların değerlendirilmesi ve çözüm önerilerinin geliştirilmesi iş birimleri tarafından yürütülür. Hazırlanan eylem planları, Denetim Komitesi ve Yönetim Kurulu’na sunularak değerlendirmeye alınır. Risk iştahının tüm organizasyonda uygulanabilirliğini ve risk iştahına uyumu sağlamak, Banka Üst Yönetimi’nin hedeflerinden biridir. Yönetim, bu hedefe ulaşmak için gerekli yetki ve kaynakların yeterli düzeyde tahsis edilmesini gözetir.</w:t>
      </w:r>
    </w:p>
    <w:p w14:paraId="6FB32C0B" w14:textId="77777777" w:rsidR="00A308EB" w:rsidRPr="00471CBA" w:rsidRDefault="00A308EB" w:rsidP="004602AB">
      <w:pPr>
        <w:spacing w:after="120"/>
        <w:jc w:val="both"/>
        <w:rPr>
          <w:szCs w:val="20"/>
        </w:rPr>
      </w:pPr>
      <w:r w:rsidRPr="00471CBA">
        <w:rPr>
          <w:szCs w:val="20"/>
        </w:rPr>
        <w:t xml:space="preserve">Bankanın organizasyon yapısında yer alan iç sistem birimleri, doğrudan Yönetim Kurulu’na bağlı olarak yapılandırılmıştır. İç sistemlerin genel sorumluluğu, bankada icrai bir görev üstlenmeyen Denetim Komitesi tarafından yürütülmektedir. </w:t>
      </w:r>
    </w:p>
    <w:p w14:paraId="47AD9409" w14:textId="77777777" w:rsidR="00A308EB" w:rsidRPr="00471CBA" w:rsidRDefault="00A308EB" w:rsidP="004602AB">
      <w:pPr>
        <w:spacing w:after="120"/>
        <w:jc w:val="both"/>
        <w:rPr>
          <w:szCs w:val="20"/>
        </w:rPr>
      </w:pPr>
      <w:r w:rsidRPr="00471CBA">
        <w:rPr>
          <w:szCs w:val="20"/>
        </w:rPr>
        <w:t>Denetim Komitesi, Bankacılık Kanunu ve ilgili Bankacılık Mevzuatı hükümleri doğrultusunda faaliyet göstermesi amacıyla Yönetim Kurulu tarafından oluşturulmuş olup, Yönetim Kurulu’nun gözetim ve denetim süreçlerinin etkin bir şekilde yerine getirilmesine katkı sağlamaktadır. Bu komite, risk yönetimi sisteminin yeterliliğini ve işleyişini izler, kendisine sunulan risk raporlarını, risk değerlendirmelerini ve belgelerini inceleyerek uygunluk kontrolü yapar. Ayrıca, Teftiş Kurulu Başkanlığı, İç Kontrol ve Uyum Başkanlığı ile Risk Yönetim Başkanlığı arasındaki koordinasyonun sağlanmasını gözetir ve bu birimler arasındaki iş birliğini destekler. Denetim Komitesi, Yönetim Kurulu’na düzenli bilgi aktarımı sağlayarak ilgili konularda politikalar, prosedürler ve esasların oluşturulmasına öncülük eder ve bunları Yönetim Kurulu’nun onayına sunar.</w:t>
      </w:r>
    </w:p>
    <w:p w14:paraId="7719A551" w14:textId="77777777" w:rsidR="00A308EB" w:rsidRPr="00471CBA" w:rsidRDefault="00A308EB" w:rsidP="004602AB">
      <w:pPr>
        <w:spacing w:after="120"/>
        <w:jc w:val="both"/>
        <w:rPr>
          <w:b/>
          <w:bCs/>
          <w:szCs w:val="20"/>
        </w:rPr>
      </w:pPr>
      <w:r w:rsidRPr="00471CBA">
        <w:rPr>
          <w:b/>
          <w:bCs/>
          <w:szCs w:val="20"/>
        </w:rPr>
        <w:t>Risk Yönetim Başkanlığı:</w:t>
      </w:r>
    </w:p>
    <w:p w14:paraId="21AB8032" w14:textId="77777777" w:rsidR="008D1FD9" w:rsidRPr="00471CBA" w:rsidRDefault="00A308EB" w:rsidP="008D1FD9">
      <w:pPr>
        <w:spacing w:after="120"/>
        <w:jc w:val="both"/>
        <w:rPr>
          <w:szCs w:val="20"/>
        </w:rPr>
      </w:pPr>
      <w:r w:rsidRPr="00471CBA">
        <w:rPr>
          <w:szCs w:val="20"/>
        </w:rPr>
        <w:t xml:space="preserve">Bankanın risk yönetimi sistemi, kredi, piyasa ve operasyonel risk yapılarını ve bu risklere bağlı olarak bankanın faaliyetlerinin niteliğini ve kapsamını izlemeyi, kontrol altında tutmayı ve gerektiğinde düzenlemeyi amaçlar. Bu süreçte, belirlenen politikalar, uygulama prosedürleri ve limitler kullanılarak risklerin tanımlanması, ölçülmesi, raporlanması, </w:t>
      </w:r>
      <w:r w:rsidR="008D1FD9" w:rsidRPr="00471CBA">
        <w:rPr>
          <w:szCs w:val="20"/>
        </w:rPr>
        <w:t>izlenmesi ve kontrol edilmesi sağlanır. Ayrıca, risk profilleriyle uyumlu bir şekilde bankanın içsel sermaye gereksiniminin belirlenmesine yönelik çalışmalar gerçekleştirilir.</w:t>
      </w:r>
    </w:p>
    <w:p w14:paraId="5E4C0BDE" w14:textId="4B61B41D" w:rsidR="00463F79" w:rsidRPr="00471CBA" w:rsidRDefault="00463F79" w:rsidP="00935BA9">
      <w:pPr>
        <w:spacing w:after="120"/>
        <w:jc w:val="both"/>
        <w:rPr>
          <w:szCs w:val="20"/>
        </w:rPr>
      </w:pPr>
      <w:r w:rsidRPr="00471CBA">
        <w:rPr>
          <w:b/>
          <w:szCs w:val="20"/>
        </w:rPr>
        <w:br w:type="page"/>
      </w:r>
    </w:p>
    <w:p w14:paraId="3DDC4DD0" w14:textId="1A2A27F8" w:rsidR="00812103" w:rsidRPr="00471CBA" w:rsidRDefault="00812103" w:rsidP="00812103">
      <w:pPr>
        <w:pStyle w:val="GvdeMetniGirintisi"/>
        <w:widowControl w:val="0"/>
        <w:ind w:firstLine="0"/>
        <w:rPr>
          <w:b/>
          <w:szCs w:val="20"/>
        </w:rPr>
      </w:pPr>
      <w:r w:rsidRPr="00471CBA">
        <w:rPr>
          <w:b/>
          <w:szCs w:val="20"/>
        </w:rPr>
        <w:t>MALİ BÜNYEYE VE RİSK YÖNETİMİNE İLİŞKİN BİLGİLER (Devamı)</w:t>
      </w:r>
    </w:p>
    <w:p w14:paraId="47A1FC87" w14:textId="77777777" w:rsidR="00812103" w:rsidRPr="00471CBA" w:rsidRDefault="00812103" w:rsidP="00812103">
      <w:pPr>
        <w:widowControl w:val="0"/>
        <w:autoSpaceDE w:val="0"/>
        <w:autoSpaceDN w:val="0"/>
        <w:adjustRightInd w:val="0"/>
        <w:jc w:val="both"/>
        <w:rPr>
          <w:szCs w:val="20"/>
        </w:rPr>
      </w:pPr>
    </w:p>
    <w:p w14:paraId="2C61AA53" w14:textId="77777777" w:rsidR="00812103" w:rsidRPr="00471CBA" w:rsidRDefault="00812103" w:rsidP="00812103">
      <w:pPr>
        <w:rPr>
          <w:b/>
          <w:bCs/>
        </w:rPr>
      </w:pPr>
      <w:r w:rsidRPr="00471CBA">
        <w:rPr>
          <w:b/>
          <w:bCs/>
        </w:rPr>
        <w:t>IX.</w:t>
      </w:r>
      <w:r w:rsidRPr="00471CBA">
        <w:rPr>
          <w:b/>
          <w:bCs/>
        </w:rPr>
        <w:tab/>
        <w:t>RİSK YÖNETİMİNE İLİŞKİN AÇIKLAMALAR (Devamı)</w:t>
      </w:r>
    </w:p>
    <w:p w14:paraId="77096803" w14:textId="77777777" w:rsidR="00812103" w:rsidRPr="00471CBA" w:rsidRDefault="00812103" w:rsidP="00812103">
      <w:pPr>
        <w:ind w:left="567" w:hanging="567"/>
        <w:rPr>
          <w:b/>
          <w:sz w:val="12"/>
          <w:szCs w:val="12"/>
        </w:rPr>
      </w:pPr>
    </w:p>
    <w:p w14:paraId="3CC246EC" w14:textId="77777777" w:rsidR="00A308EB" w:rsidRPr="00471CBA" w:rsidRDefault="00A308EB" w:rsidP="004602AB">
      <w:pPr>
        <w:spacing w:after="120"/>
        <w:jc w:val="both"/>
        <w:rPr>
          <w:szCs w:val="20"/>
        </w:rPr>
      </w:pPr>
      <w:r w:rsidRPr="00471CBA">
        <w:rPr>
          <w:szCs w:val="20"/>
        </w:rPr>
        <w:t>Risk Yönetim Başkanlığı, Denetim Komitesi’ne bağlı olarak faaliyetlerini yürütmekte olup, risklerin tanımlanması, ölçülmesi, izlenmesi, kontrol edilmesi ve raporlanması süreçlerini tesis eder. Başkanlık bünyesinde; “Kredi Riski, Risk Analiz ve Modelleme”, “Validasyon”, “Piyasa Riski, Operasyonel Risk ve Raporlama” birimleri yer alır.</w:t>
      </w:r>
    </w:p>
    <w:p w14:paraId="04279505" w14:textId="77777777" w:rsidR="00A308EB" w:rsidRPr="00471CBA" w:rsidRDefault="00A308EB" w:rsidP="004602AB">
      <w:pPr>
        <w:spacing w:after="120"/>
        <w:jc w:val="both"/>
        <w:rPr>
          <w:szCs w:val="20"/>
        </w:rPr>
      </w:pPr>
      <w:r w:rsidRPr="00471CBA">
        <w:rPr>
          <w:szCs w:val="20"/>
        </w:rPr>
        <w:t>Banka bünyesinde güçlü, bağımsız ve etkin bir risk yönetim sisteminin, kurumsal risk kültürüne tam uyumlu bir şekilde hayata geçirilmesi ve sürdürülebilirliğinin sağlanması amacıyla:</w:t>
      </w:r>
    </w:p>
    <w:p w14:paraId="7D8C86A7" w14:textId="77777777" w:rsidR="00A308EB" w:rsidRPr="00471CBA" w:rsidRDefault="00A308EB" w:rsidP="008459A9">
      <w:pPr>
        <w:numPr>
          <w:ilvl w:val="0"/>
          <w:numId w:val="66"/>
        </w:numPr>
        <w:spacing w:before="100" w:beforeAutospacing="1" w:after="120"/>
        <w:jc w:val="both"/>
        <w:rPr>
          <w:szCs w:val="20"/>
          <w:lang w:eastAsia="tr-TR"/>
        </w:rPr>
      </w:pPr>
      <w:r w:rsidRPr="00471CBA">
        <w:rPr>
          <w:szCs w:val="20"/>
          <w:lang w:eastAsia="tr-TR"/>
        </w:rPr>
        <w:t>Bankanın bilgi sistemi riskleri dahil tüm riskleri kapsayan entegre bir risk yönetimi yapısının oluşturulması,</w:t>
      </w:r>
    </w:p>
    <w:p w14:paraId="1316AA75" w14:textId="77777777" w:rsidR="00A308EB" w:rsidRPr="00471CBA" w:rsidRDefault="00A308EB" w:rsidP="008459A9">
      <w:pPr>
        <w:numPr>
          <w:ilvl w:val="0"/>
          <w:numId w:val="66"/>
        </w:numPr>
        <w:spacing w:before="100" w:beforeAutospacing="1" w:after="120"/>
        <w:jc w:val="both"/>
        <w:rPr>
          <w:szCs w:val="20"/>
          <w:lang w:eastAsia="tr-TR"/>
        </w:rPr>
      </w:pPr>
      <w:r w:rsidRPr="00471CBA">
        <w:rPr>
          <w:szCs w:val="20"/>
          <w:lang w:eastAsia="tr-TR"/>
        </w:rPr>
        <w:t>Yönetim Kurulu tarafından risk yönetim süreçlerinin ve ilgili faaliyetlerin belirlenmesi, bunların düzenli olarak izlenip denetlenmesi,</w:t>
      </w:r>
    </w:p>
    <w:p w14:paraId="679612A8" w14:textId="42ADF662" w:rsidR="00A308EB" w:rsidRPr="00471CBA" w:rsidRDefault="00A308EB" w:rsidP="008459A9">
      <w:pPr>
        <w:numPr>
          <w:ilvl w:val="0"/>
          <w:numId w:val="66"/>
        </w:numPr>
        <w:spacing w:before="100" w:beforeAutospacing="1" w:after="120"/>
        <w:jc w:val="both"/>
        <w:rPr>
          <w:szCs w:val="20"/>
          <w:lang w:eastAsia="tr-TR"/>
        </w:rPr>
      </w:pPr>
      <w:r w:rsidRPr="00471CBA">
        <w:rPr>
          <w:szCs w:val="20"/>
          <w:lang w:eastAsia="tr-TR"/>
        </w:rPr>
        <w:t>Bankanın faaliyetlerinden kaynaklanan risklerin çeşitli boyutlarının etkin bir şekilde yönetilmesine imkân sağlayacak politika, uygulama prosedürleri ve limitlerin tesis edilmesi,</w:t>
      </w:r>
    </w:p>
    <w:p w14:paraId="0356B42A" w14:textId="57C4362C" w:rsidR="00A308EB" w:rsidRPr="00471CBA" w:rsidRDefault="00A308EB" w:rsidP="008459A9">
      <w:pPr>
        <w:numPr>
          <w:ilvl w:val="0"/>
          <w:numId w:val="66"/>
        </w:numPr>
        <w:spacing w:before="100" w:beforeAutospacing="1" w:after="120"/>
        <w:jc w:val="both"/>
        <w:rPr>
          <w:szCs w:val="20"/>
          <w:lang w:eastAsia="tr-TR"/>
        </w:rPr>
      </w:pPr>
      <w:r w:rsidRPr="00471CBA">
        <w:rPr>
          <w:szCs w:val="20"/>
        </w:rPr>
        <w:t>Bankanın risk profili, stratejik planı, sermaye stratejileri ve İSEDES analizleriyle uyumlu bir risk iştahı yapısının tasarlanması; buna paralel olarak risk iştahı sınırlarının belirlenip sürekli gözden geçirilmesi,</w:t>
      </w:r>
    </w:p>
    <w:p w14:paraId="304A6FC6" w14:textId="77777777" w:rsidR="00A308EB" w:rsidRPr="00471CBA" w:rsidRDefault="00A308EB" w:rsidP="008459A9">
      <w:pPr>
        <w:numPr>
          <w:ilvl w:val="0"/>
          <w:numId w:val="66"/>
        </w:numPr>
        <w:spacing w:before="100" w:beforeAutospacing="1" w:after="120"/>
        <w:jc w:val="both"/>
        <w:rPr>
          <w:szCs w:val="20"/>
          <w:lang w:eastAsia="tr-TR"/>
        </w:rPr>
      </w:pPr>
      <w:r w:rsidRPr="00471CBA">
        <w:rPr>
          <w:szCs w:val="20"/>
          <w:lang w:eastAsia="tr-TR"/>
        </w:rPr>
        <w:t>Risk Yönetim Başkanlığı bünyesinde nitelikli ve yeterli sayıda personelin istihdam edilmesiyle, tutarlı ve kapsamlı risk ölçümü, analizi ve izleme çalışmalarının gerçekleştirilmesi,</w:t>
      </w:r>
    </w:p>
    <w:p w14:paraId="32AEC178" w14:textId="77777777" w:rsidR="00A308EB" w:rsidRPr="00471CBA" w:rsidRDefault="00A308EB" w:rsidP="008459A9">
      <w:pPr>
        <w:numPr>
          <w:ilvl w:val="0"/>
          <w:numId w:val="66"/>
        </w:numPr>
        <w:spacing w:before="100" w:beforeAutospacing="1" w:after="120"/>
        <w:jc w:val="both"/>
        <w:rPr>
          <w:szCs w:val="20"/>
          <w:lang w:eastAsia="tr-TR"/>
        </w:rPr>
      </w:pPr>
      <w:r w:rsidRPr="00471CBA">
        <w:rPr>
          <w:szCs w:val="20"/>
          <w:lang w:eastAsia="tr-TR"/>
        </w:rPr>
        <w:t>Güvenilir bir yönetim bilgi sistemine ve gelişmiş teknolojiye erişimin sağlanması,</w:t>
      </w:r>
    </w:p>
    <w:p w14:paraId="7540D775" w14:textId="77777777" w:rsidR="00A308EB" w:rsidRPr="00471CBA" w:rsidRDefault="00A308EB" w:rsidP="008459A9">
      <w:pPr>
        <w:numPr>
          <w:ilvl w:val="0"/>
          <w:numId w:val="66"/>
        </w:numPr>
        <w:spacing w:before="100" w:beforeAutospacing="1" w:after="120"/>
        <w:jc w:val="both"/>
        <w:rPr>
          <w:szCs w:val="20"/>
          <w:lang w:eastAsia="tr-TR"/>
        </w:rPr>
      </w:pPr>
      <w:r w:rsidRPr="00471CBA">
        <w:rPr>
          <w:szCs w:val="20"/>
          <w:lang w:eastAsia="tr-TR"/>
        </w:rPr>
        <w:t>Kullanılacak risk modellerinin doğruluğunun test edilip onaylanmış olması,</w:t>
      </w:r>
    </w:p>
    <w:p w14:paraId="53968C8D" w14:textId="77777777" w:rsidR="00A308EB" w:rsidRPr="00471CBA" w:rsidRDefault="00A308EB" w:rsidP="008459A9">
      <w:pPr>
        <w:numPr>
          <w:ilvl w:val="0"/>
          <w:numId w:val="66"/>
        </w:numPr>
        <w:spacing w:before="100" w:beforeAutospacing="1" w:after="120"/>
        <w:jc w:val="both"/>
        <w:rPr>
          <w:szCs w:val="20"/>
          <w:lang w:eastAsia="tr-TR"/>
        </w:rPr>
      </w:pPr>
      <w:r w:rsidRPr="00471CBA">
        <w:rPr>
          <w:szCs w:val="20"/>
          <w:lang w:eastAsia="tr-TR"/>
        </w:rPr>
        <w:t>Verilerin doğruluk ve bütünlüğünün korunması,</w:t>
      </w:r>
    </w:p>
    <w:p w14:paraId="519AF089" w14:textId="77777777" w:rsidR="00A308EB" w:rsidRPr="00471CBA" w:rsidRDefault="00A308EB" w:rsidP="009B0E8B">
      <w:pPr>
        <w:spacing w:before="100" w:beforeAutospacing="1" w:after="120"/>
        <w:jc w:val="both"/>
        <w:rPr>
          <w:szCs w:val="20"/>
          <w:lang w:eastAsia="tr-TR"/>
        </w:rPr>
      </w:pPr>
      <w:r w:rsidRPr="00471CBA">
        <w:rPr>
          <w:szCs w:val="20"/>
          <w:lang w:eastAsia="tr-TR"/>
        </w:rPr>
        <w:t>temel hedefler arasında yer almaktadır.</w:t>
      </w:r>
    </w:p>
    <w:p w14:paraId="400AA684" w14:textId="77777777" w:rsidR="00A308EB" w:rsidRPr="00471CBA" w:rsidRDefault="00A308EB" w:rsidP="00F4005A">
      <w:pPr>
        <w:pStyle w:val="NormalWeb"/>
        <w:spacing w:after="120" w:afterAutospacing="0"/>
        <w:jc w:val="both"/>
        <w:rPr>
          <w:rFonts w:ascii="Times New Roman" w:hAnsi="Times New Roman" w:cs="Times New Roman"/>
          <w:szCs w:val="20"/>
        </w:rPr>
      </w:pPr>
      <w:r w:rsidRPr="00471CBA">
        <w:rPr>
          <w:rFonts w:ascii="Times New Roman" w:hAnsi="Times New Roman" w:cs="Times New Roman"/>
          <w:szCs w:val="20"/>
        </w:rPr>
        <w:t>Piyasa riski, kredi riski, operasyonel risk ve diğer kritik riskler, her ne kadar farklı ölçüm yöntemleriyle değerlendiriliyor olsa da Banka genelinde entegre bir risk yönetimi yaklaşımı doğrultusunda birbiriyle bütünleşik şekilde ele alınır. Banka, risklerin tamamını bir bütünlük içinde değerlendirir ve bu risklerin meydana getirdiği sermaye gereksinimlerini tespit eder.</w:t>
      </w:r>
    </w:p>
    <w:p w14:paraId="73A2DB42" w14:textId="77777777" w:rsidR="00A308EB" w:rsidRPr="00471CBA" w:rsidRDefault="00A308EB" w:rsidP="009B0E8B">
      <w:pPr>
        <w:pStyle w:val="NormalWeb"/>
        <w:spacing w:after="120" w:afterAutospacing="0"/>
        <w:jc w:val="both"/>
        <w:rPr>
          <w:rFonts w:ascii="Times New Roman" w:hAnsi="Times New Roman" w:cs="Times New Roman"/>
          <w:szCs w:val="20"/>
        </w:rPr>
      </w:pPr>
      <w:r w:rsidRPr="00471CBA">
        <w:rPr>
          <w:rFonts w:ascii="Times New Roman" w:hAnsi="Times New Roman" w:cs="Times New Roman"/>
          <w:szCs w:val="20"/>
        </w:rPr>
        <w:t>Denetim Komitesi’nin yönlendirmesiyle hazırlanan risk politikaları ve uygulama yöntemleri, Yönetim Kurulu’nun onayının ardından hayata geçirilir. Risk Yönetim Başkanlığı, bu prosedürlerin ve dokümanların güncel kalmasını sağlamakla birlikte, ihtiyaç duyuldukça revizyonlarını gerçekleştirir. Ayrıca, Risk Yönetim Başkanlığı, Banka genelindeki çalışanlara, Üst Yönetim tarafından belirlenen yazılı standartları içeren risk politikalarını ve ilgili uygulama detaylarını iletir. Diğer iş birimlerine ise gerektiğinde risk odaklı görüş ve öneriler sunar.</w:t>
      </w:r>
    </w:p>
    <w:p w14:paraId="49C273DA" w14:textId="77777777" w:rsidR="00A308EB" w:rsidRPr="00471CBA" w:rsidRDefault="00A308EB" w:rsidP="009B0E8B">
      <w:pPr>
        <w:pStyle w:val="NormalWeb"/>
        <w:spacing w:after="120" w:afterAutospacing="0"/>
        <w:jc w:val="both"/>
        <w:rPr>
          <w:rFonts w:ascii="Times New Roman" w:hAnsi="Times New Roman" w:cs="Times New Roman"/>
          <w:szCs w:val="20"/>
        </w:rPr>
      </w:pPr>
      <w:r w:rsidRPr="00471CBA">
        <w:rPr>
          <w:rFonts w:ascii="Times New Roman" w:hAnsi="Times New Roman" w:cs="Times New Roman"/>
          <w:szCs w:val="20"/>
        </w:rPr>
        <w:t>Risk iştahı kapsamında belirlenen limitlerde meydana gelen aşım durumlarında, ilgili birimlere bilgi verilir ve bu ihlallerle ilgili gerekli adımlar atılması sağlanır. Basel prensipleri doğrultusunda yapılan raporlamalara ek olarak, Yönetim Kurulu, Denetim Komitesi, Operasyonel Risk Komitesi ve Aktif Pasif Komitesi için düzenli raporlamalar yapılır.</w:t>
      </w:r>
    </w:p>
    <w:p w14:paraId="43E35C38" w14:textId="77777777" w:rsidR="00A308EB" w:rsidRPr="00471CBA" w:rsidRDefault="00A308EB" w:rsidP="009B0E8B">
      <w:pPr>
        <w:pStyle w:val="NormalWeb"/>
        <w:spacing w:after="120" w:afterAutospacing="0"/>
        <w:jc w:val="both"/>
        <w:rPr>
          <w:rFonts w:ascii="Times New Roman" w:hAnsi="Times New Roman" w:cs="Times New Roman"/>
          <w:szCs w:val="20"/>
        </w:rPr>
      </w:pPr>
      <w:r w:rsidRPr="00471CBA">
        <w:rPr>
          <w:rFonts w:ascii="Times New Roman" w:hAnsi="Times New Roman" w:cs="Times New Roman"/>
          <w:szCs w:val="20"/>
        </w:rPr>
        <w:t xml:space="preserve">En az üç ayda bir, İç Sistem fonksiyonlarına ilişkin raporlar Denetim Komitesi’ne sunulur. Denetim Komitesi, faaliyet sonuçlarına, gerçekleştirilmesi gerekli olan politika değişikliklerine, Banka’da uygulanması gereken önlemlere ve Banka'nın güvenli işleyişi açısından kritik bulduğu konulara ilişkin değerlendirmelerini Yönetim Kurulu’na aktarır. </w:t>
      </w:r>
    </w:p>
    <w:p w14:paraId="0455AB03" w14:textId="77777777" w:rsidR="00A308EB" w:rsidRPr="00471CBA" w:rsidRDefault="00A308EB" w:rsidP="009B0E8B">
      <w:pPr>
        <w:pStyle w:val="NormalWeb"/>
        <w:spacing w:after="120" w:afterAutospacing="0"/>
        <w:jc w:val="both"/>
        <w:rPr>
          <w:rFonts w:ascii="Times New Roman" w:hAnsi="Times New Roman" w:cs="Times New Roman"/>
          <w:szCs w:val="20"/>
        </w:rPr>
      </w:pPr>
      <w:r w:rsidRPr="00471CBA">
        <w:rPr>
          <w:rFonts w:ascii="Times New Roman" w:hAnsi="Times New Roman" w:cs="Times New Roman"/>
          <w:szCs w:val="20"/>
        </w:rPr>
        <w:t>Banka’nın iç denetim birimlerinden gelen bulgular ve bağımsız denetim kuruluşlarının ya da BDDK denetim ekiplerinin gündeme getirdiği konular, Komite tarafından ele alınır ve önemli görülen hususlar Yönetim Kurulu’nun gündemine taşınır.</w:t>
      </w:r>
    </w:p>
    <w:p w14:paraId="5C8EBCD1" w14:textId="77777777" w:rsidR="00873DBD" w:rsidRPr="00471CBA" w:rsidRDefault="00873DBD">
      <w:pPr>
        <w:rPr>
          <w:b/>
          <w:szCs w:val="20"/>
        </w:rPr>
      </w:pPr>
      <w:r w:rsidRPr="00471CBA">
        <w:rPr>
          <w:b/>
          <w:szCs w:val="20"/>
        </w:rPr>
        <w:br w:type="page"/>
      </w:r>
    </w:p>
    <w:p w14:paraId="4DF04AA5" w14:textId="7E478DFB" w:rsidR="00812103" w:rsidRPr="00471CBA" w:rsidRDefault="00812103" w:rsidP="00812103">
      <w:pPr>
        <w:pStyle w:val="GvdeMetniGirintisi"/>
        <w:widowControl w:val="0"/>
        <w:ind w:firstLine="0"/>
        <w:rPr>
          <w:b/>
          <w:szCs w:val="20"/>
        </w:rPr>
      </w:pPr>
      <w:r w:rsidRPr="00471CBA">
        <w:rPr>
          <w:b/>
          <w:szCs w:val="20"/>
        </w:rPr>
        <w:t>MALİ BÜNYEYE VE RİSK YÖNETİMİNE İLİŞKİN BİLGİLER (Devamı)</w:t>
      </w:r>
    </w:p>
    <w:p w14:paraId="166C8106" w14:textId="77777777" w:rsidR="00812103" w:rsidRPr="00471CBA" w:rsidRDefault="00812103" w:rsidP="00812103">
      <w:pPr>
        <w:widowControl w:val="0"/>
        <w:autoSpaceDE w:val="0"/>
        <w:autoSpaceDN w:val="0"/>
        <w:adjustRightInd w:val="0"/>
        <w:jc w:val="both"/>
        <w:rPr>
          <w:szCs w:val="20"/>
        </w:rPr>
      </w:pPr>
    </w:p>
    <w:p w14:paraId="5B9E77EE" w14:textId="77777777" w:rsidR="00812103" w:rsidRPr="00471CBA" w:rsidRDefault="00812103" w:rsidP="00812103">
      <w:pPr>
        <w:rPr>
          <w:b/>
          <w:bCs/>
        </w:rPr>
      </w:pPr>
      <w:r w:rsidRPr="00471CBA">
        <w:rPr>
          <w:b/>
          <w:bCs/>
        </w:rPr>
        <w:t>IX.</w:t>
      </w:r>
      <w:r w:rsidRPr="00471CBA">
        <w:rPr>
          <w:b/>
          <w:bCs/>
        </w:rPr>
        <w:tab/>
        <w:t>RİSK YÖNETİMİNE İLİŞKİN AÇIKLAMALAR (Devamı)</w:t>
      </w:r>
    </w:p>
    <w:p w14:paraId="2A3D78D1" w14:textId="57D39748" w:rsidR="00812103" w:rsidRPr="00471CBA" w:rsidRDefault="00A308EB" w:rsidP="009B0E8B">
      <w:pPr>
        <w:pStyle w:val="NormalWeb"/>
        <w:spacing w:after="120" w:afterAutospacing="0"/>
        <w:jc w:val="both"/>
        <w:rPr>
          <w:rFonts w:ascii="Times New Roman" w:hAnsi="Times New Roman" w:cs="Times New Roman"/>
          <w:szCs w:val="20"/>
        </w:rPr>
      </w:pPr>
      <w:r w:rsidRPr="00471CBA">
        <w:rPr>
          <w:rFonts w:ascii="Times New Roman" w:hAnsi="Times New Roman" w:cs="Times New Roman"/>
          <w:szCs w:val="20"/>
        </w:rPr>
        <w:t xml:space="preserve">Aylık Risk İştahı Raporları, bankanın risk iştahı sonuçları ile kredi performansına dair değerlendirmelerin yanı sıra sektörle yapılan karşılaştırmalar da içermektedir. Bu değerlendirmeler arasında takipteki krediler, gecikme oranları, yapılandırma işlemleri ve portföy büyümesi gibi kriterler yer alır. Aktif Pasif Komitesi’ne (APKO) sunulan raporlar </w:t>
      </w:r>
    </w:p>
    <w:p w14:paraId="658E3D52" w14:textId="1350AF76" w:rsidR="00A308EB" w:rsidRPr="00471CBA" w:rsidRDefault="00A308EB" w:rsidP="009B0E8B">
      <w:pPr>
        <w:pStyle w:val="NormalWeb"/>
        <w:spacing w:after="120" w:afterAutospacing="0"/>
        <w:jc w:val="both"/>
        <w:rPr>
          <w:rFonts w:ascii="Times New Roman" w:hAnsi="Times New Roman" w:cs="Times New Roman"/>
          <w:szCs w:val="20"/>
        </w:rPr>
      </w:pPr>
      <w:r w:rsidRPr="00471CBA">
        <w:rPr>
          <w:rFonts w:ascii="Times New Roman" w:hAnsi="Times New Roman" w:cs="Times New Roman"/>
          <w:szCs w:val="20"/>
        </w:rPr>
        <w:t>kapsamında, bankanın likidite durumuna ilişkin değerlendirmeler yapılmaktadır. Bu çerçevede, likidite riski kapsamında belirlenen erken uyarı göstergelerinin limit uyumu ve likidite tamponu hesaplama sonuçları raporlanır. Operasyonel Risk Komitesi’ne, kritik öneme sahip operasyonel risklerin yer aldığı gündem maddeleri aktarılır ve bu risklerin önlenmesine yönelik hazırlanan aksiyon planlarının durumu hakkında bilgilendirme yapılır.</w:t>
      </w:r>
    </w:p>
    <w:p w14:paraId="1CD36B93" w14:textId="77777777" w:rsidR="00A308EB" w:rsidRPr="00471CBA" w:rsidRDefault="00A308EB" w:rsidP="009B0E8B">
      <w:pPr>
        <w:pStyle w:val="NormalWeb"/>
        <w:spacing w:after="120" w:afterAutospacing="0"/>
        <w:jc w:val="both"/>
        <w:rPr>
          <w:rFonts w:ascii="Times New Roman" w:hAnsi="Times New Roman" w:cs="Times New Roman"/>
          <w:szCs w:val="20"/>
        </w:rPr>
      </w:pPr>
      <w:r w:rsidRPr="00471CBA">
        <w:rPr>
          <w:rFonts w:ascii="Times New Roman" w:hAnsi="Times New Roman" w:cs="Times New Roman"/>
          <w:szCs w:val="20"/>
        </w:rPr>
        <w:t>Bankada, risk ölçümlerini desteklemek amacıyla İSEDES kapsamında stres testleri ve senaryo analizleri uygulanır. Bu çalışmalar, risk faktörlerindeki değişimlerin etkisini ölçmeyi ve beklenmeyen piyasa koşullarının ana faaliyetlere olası etkilerini değerlendirmeyi amaçlar. Banka genelinde yapılan stres testlerinin temelinde, Banka’nın genelini etkileyecek makroekonomik ve piyasa kaynaklı stres senaryolarının belirlenmesi yer alır. Senaryo oluşturulurken ilgili müdürlüklerin görüşleri doğrultusunda güncel, stresli ve en olumsuz koşulları temel alan olaylar seçilir.</w:t>
      </w:r>
    </w:p>
    <w:p w14:paraId="75D2B8BF" w14:textId="0CACC4A9" w:rsidR="00A308EB" w:rsidRPr="00471CBA" w:rsidRDefault="00A308EB" w:rsidP="004602AB">
      <w:pPr>
        <w:pStyle w:val="NormalWeb"/>
        <w:spacing w:after="120" w:afterAutospacing="0"/>
        <w:jc w:val="both"/>
        <w:rPr>
          <w:rFonts w:ascii="Times New Roman" w:hAnsi="Times New Roman" w:cs="Times New Roman"/>
          <w:szCs w:val="20"/>
        </w:rPr>
      </w:pPr>
      <w:r w:rsidRPr="00471CBA">
        <w:rPr>
          <w:rFonts w:ascii="Times New Roman" w:hAnsi="Times New Roman" w:cs="Times New Roman"/>
          <w:szCs w:val="20"/>
        </w:rPr>
        <w:t>Stres testleri, başlıca sermaye ve likidite yeterlilik rasyolarının hesaplanmasında dikkate alınan risklere, II. yapısal blok risklerine ve yasal sermayenin alt bileşenlerine şok uygulanması yöntemiyle yapılır. Bunun yanı sıra, riskler ana kategorilere ayrılarak duyarlılık analizleri ve ters stres testleri yapılır. Ayrıca, belirlenen senaryoların gerçekleşmesi durumunda özkaynak üzerinde oluşabilecek değişimler de hesaplanmaktadır.</w:t>
      </w:r>
    </w:p>
    <w:p w14:paraId="30066921" w14:textId="62F88C88" w:rsidR="00A308EB" w:rsidRPr="00471CBA" w:rsidRDefault="00A308EB" w:rsidP="004602AB">
      <w:pPr>
        <w:pStyle w:val="NormalWeb"/>
        <w:spacing w:after="120" w:afterAutospacing="0"/>
        <w:jc w:val="both"/>
        <w:rPr>
          <w:rFonts w:ascii="Times New Roman" w:hAnsi="Times New Roman" w:cs="Times New Roman"/>
          <w:szCs w:val="20"/>
        </w:rPr>
      </w:pPr>
      <w:r w:rsidRPr="00471CBA">
        <w:rPr>
          <w:rFonts w:ascii="Times New Roman" w:hAnsi="Times New Roman" w:cs="Times New Roman"/>
          <w:szCs w:val="20"/>
        </w:rPr>
        <w:t>Banka bünyesinde oluşturulan komiteler, aşağıda belirtilen faaliyetleri yerine getirmektedir:</w:t>
      </w:r>
    </w:p>
    <w:p w14:paraId="00FBE6A4" w14:textId="77777777" w:rsidR="00A308EB" w:rsidRPr="00471CBA" w:rsidRDefault="00A308EB" w:rsidP="004602AB">
      <w:pPr>
        <w:pStyle w:val="NormalWeb"/>
        <w:spacing w:after="120" w:afterAutospacing="0"/>
        <w:jc w:val="both"/>
        <w:rPr>
          <w:rFonts w:ascii="Times New Roman" w:hAnsi="Times New Roman" w:cs="Times New Roman"/>
          <w:szCs w:val="20"/>
        </w:rPr>
      </w:pPr>
      <w:r w:rsidRPr="00471CBA">
        <w:rPr>
          <w:rStyle w:val="Gl"/>
          <w:szCs w:val="20"/>
        </w:rPr>
        <w:t>Genel Müdürlük Kredi Komitesi:</w:t>
      </w:r>
      <w:r w:rsidRPr="00471CBA">
        <w:rPr>
          <w:rFonts w:ascii="Times New Roman" w:hAnsi="Times New Roman" w:cs="Times New Roman"/>
          <w:szCs w:val="20"/>
        </w:rPr>
        <w:t xml:space="preserve"> Kredi Riski Komitesi’nin temel görevi, kredi portföyünü, kredi riski taşıyan işlemleri ve bunlara ilişkin süreçleri kapsamlı bir şekilde izlemektir. Ayrıca, yetki alanı dahilinde, komitenin takdirine bağlı olarak risk azaltıcı ve iyileştirici adımların karara bağlanması, önerilmesi ve takip edilmesi yönünde değerlendirmelerde bulunur.</w:t>
      </w:r>
    </w:p>
    <w:p w14:paraId="5ACBD846" w14:textId="77777777" w:rsidR="00A308EB" w:rsidRPr="00471CBA" w:rsidRDefault="00A308EB" w:rsidP="004602AB">
      <w:pPr>
        <w:pStyle w:val="NormalWeb"/>
        <w:spacing w:after="120" w:afterAutospacing="0"/>
        <w:jc w:val="both"/>
        <w:rPr>
          <w:rFonts w:ascii="Times New Roman" w:hAnsi="Times New Roman" w:cs="Times New Roman"/>
          <w:szCs w:val="20"/>
        </w:rPr>
      </w:pPr>
      <w:r w:rsidRPr="00471CBA">
        <w:rPr>
          <w:rStyle w:val="Gl"/>
          <w:szCs w:val="20"/>
        </w:rPr>
        <w:t>Operasyonel Risk Komitesi:</w:t>
      </w:r>
      <w:r w:rsidRPr="00471CBA">
        <w:rPr>
          <w:rFonts w:ascii="Times New Roman" w:hAnsi="Times New Roman" w:cs="Times New Roman"/>
          <w:szCs w:val="20"/>
        </w:rPr>
        <w:t xml:space="preserve"> Üst düzey yönetim, iç sistemler birimleri, diğer birimler, dış denetim ve düzenleyici denetim otoriteleri tarafından gündeme getirilen önemli veya yüksek risk taşıyan bulgu ve sorunların ele alındığı bir komitedir. Bu komite, bankanın operasyonel risk oluşturabilecek konuları etkin bir şekilde tartışmak, değerlendirmek ve çözüm planları ile takvimlerini oluşturmak amacıyla faaliyet göstermektedir.</w:t>
      </w:r>
    </w:p>
    <w:p w14:paraId="5934E632" w14:textId="77777777" w:rsidR="00A308EB" w:rsidRPr="00471CBA" w:rsidRDefault="00A308EB" w:rsidP="004602AB">
      <w:pPr>
        <w:pStyle w:val="NormalWeb"/>
        <w:spacing w:after="120" w:afterAutospacing="0"/>
        <w:jc w:val="both"/>
        <w:rPr>
          <w:rFonts w:ascii="Times New Roman" w:hAnsi="Times New Roman" w:cs="Times New Roman"/>
          <w:szCs w:val="20"/>
        </w:rPr>
      </w:pPr>
      <w:r w:rsidRPr="00471CBA">
        <w:rPr>
          <w:rStyle w:val="Gl"/>
          <w:szCs w:val="20"/>
        </w:rPr>
        <w:t>Aktif / Pasif Yönetimi Komitesi:</w:t>
      </w:r>
      <w:r w:rsidRPr="00471CBA">
        <w:rPr>
          <w:rFonts w:ascii="Times New Roman" w:hAnsi="Times New Roman" w:cs="Times New Roman"/>
          <w:szCs w:val="20"/>
        </w:rPr>
        <w:t xml:space="preserve"> Bankanın varlık ve yükümlülüklerini yönetmek, kâr payı, likidite ve piyasa risklerini değerlendirmekle görevlidir. Komite, banka stratejileri ve rekabet koşullarını göz önünde bulundurarak bilanço yönetimiyle ilgili kararlar alır ve bu kararların uygulanmasını izler.</w:t>
      </w:r>
    </w:p>
    <w:p w14:paraId="5D6FFFA1" w14:textId="77777777" w:rsidR="00A308EB" w:rsidRPr="00471CBA" w:rsidRDefault="00A308EB" w:rsidP="004602AB">
      <w:pPr>
        <w:pStyle w:val="NormalWeb"/>
        <w:spacing w:after="120" w:afterAutospacing="0"/>
        <w:jc w:val="both"/>
        <w:rPr>
          <w:rFonts w:ascii="Times New Roman" w:hAnsi="Times New Roman" w:cs="Times New Roman"/>
          <w:szCs w:val="20"/>
        </w:rPr>
      </w:pPr>
      <w:r w:rsidRPr="00471CBA">
        <w:rPr>
          <w:rStyle w:val="Gl"/>
          <w:szCs w:val="20"/>
        </w:rPr>
        <w:t>Üst Yönetim Komitesi:</w:t>
      </w:r>
      <w:r w:rsidRPr="00471CBA">
        <w:rPr>
          <w:rFonts w:ascii="Times New Roman" w:hAnsi="Times New Roman" w:cs="Times New Roman"/>
          <w:szCs w:val="20"/>
        </w:rPr>
        <w:t xml:space="preserve"> Bu komite, bankanın mali performansını izlemek, stratejik önceliklerin yürütülmesini denetlemek, müşteri deneyimini geliştirmek ve Genel Müdürlük Komitelerinden gelen konuların çözümünü sağlamak üzere üst yönetim için bir forum oluşturur.</w:t>
      </w:r>
    </w:p>
    <w:p w14:paraId="2CAE99CF" w14:textId="77777777" w:rsidR="00A308EB" w:rsidRPr="00471CBA" w:rsidRDefault="00A308EB" w:rsidP="004602AB">
      <w:pPr>
        <w:pStyle w:val="NormalWeb"/>
        <w:spacing w:after="120" w:afterAutospacing="0"/>
        <w:jc w:val="both"/>
        <w:rPr>
          <w:rFonts w:ascii="Times New Roman" w:hAnsi="Times New Roman" w:cs="Times New Roman"/>
          <w:szCs w:val="20"/>
        </w:rPr>
      </w:pPr>
      <w:r w:rsidRPr="00471CBA">
        <w:rPr>
          <w:rStyle w:val="Gl"/>
          <w:szCs w:val="20"/>
        </w:rPr>
        <w:t>Bilgi Güvenliği Komitesi:</w:t>
      </w:r>
      <w:r w:rsidRPr="00471CBA">
        <w:rPr>
          <w:rFonts w:ascii="Times New Roman" w:hAnsi="Times New Roman" w:cs="Times New Roman"/>
          <w:szCs w:val="20"/>
        </w:rPr>
        <w:t xml:space="preserve"> Bankanın tüm iş süreçlerini kapsayacak şekilde bilgi güvenliği faaliyetlerini yönlendirmek amacıyla kurulmuştur.</w:t>
      </w:r>
    </w:p>
    <w:p w14:paraId="414F5744" w14:textId="77777777" w:rsidR="00A308EB" w:rsidRPr="00471CBA" w:rsidRDefault="00A308EB" w:rsidP="004602AB">
      <w:pPr>
        <w:pStyle w:val="NormalWeb"/>
        <w:spacing w:after="120" w:afterAutospacing="0"/>
        <w:jc w:val="both"/>
        <w:rPr>
          <w:rFonts w:ascii="Times New Roman" w:hAnsi="Times New Roman" w:cs="Times New Roman"/>
          <w:szCs w:val="20"/>
        </w:rPr>
      </w:pPr>
      <w:r w:rsidRPr="00471CBA">
        <w:rPr>
          <w:rStyle w:val="Gl"/>
          <w:szCs w:val="20"/>
        </w:rPr>
        <w:t>İş Sağlığı ve Güvenliği Komitesi:</w:t>
      </w:r>
      <w:r w:rsidRPr="00471CBA">
        <w:rPr>
          <w:rFonts w:ascii="Times New Roman" w:hAnsi="Times New Roman" w:cs="Times New Roman"/>
          <w:szCs w:val="20"/>
        </w:rPr>
        <w:t xml:space="preserve"> İş Sağlığı ve Güvenliği Kanunu ve ilgili yönetmeliklerde belirtilen yükümlülüklerin yerine getirilmesini sağlamak için faaliyet gösterir.</w:t>
      </w:r>
    </w:p>
    <w:p w14:paraId="1BD3A6F8" w14:textId="541F9ADB" w:rsidR="00F36B82" w:rsidRDefault="00A308EB" w:rsidP="00F36B82">
      <w:pPr>
        <w:pStyle w:val="NormalWeb"/>
        <w:spacing w:after="120" w:afterAutospacing="0"/>
        <w:jc w:val="both"/>
        <w:rPr>
          <w:rFonts w:ascii="Times New Roman" w:hAnsi="Times New Roman" w:cs="Times New Roman"/>
          <w:szCs w:val="20"/>
        </w:rPr>
      </w:pPr>
      <w:r w:rsidRPr="00471CBA">
        <w:rPr>
          <w:rStyle w:val="Gl"/>
          <w:szCs w:val="20"/>
        </w:rPr>
        <w:t>Bilgi Paylaşım Komitesi:</w:t>
      </w:r>
      <w:r w:rsidRPr="00471CBA">
        <w:rPr>
          <w:rFonts w:ascii="Times New Roman" w:hAnsi="Times New Roman" w:cs="Times New Roman"/>
          <w:szCs w:val="20"/>
        </w:rPr>
        <w:t xml:space="preserve"> Banka ve müşteri sırlarını koruma ilkesi doğrultusunda bilgi paylaşımı süreçlerini koordine etmek, gelen taleplerin uygunluğunu değerlendirerek kayıt altına almak üzere oluşturulmuştur.</w:t>
      </w:r>
      <w:r w:rsidR="00F36B82">
        <w:rPr>
          <w:rFonts w:ascii="Times New Roman" w:hAnsi="Times New Roman" w:cs="Times New Roman"/>
          <w:szCs w:val="20"/>
        </w:rPr>
        <w:br w:type="page"/>
      </w:r>
    </w:p>
    <w:p w14:paraId="2D08894F" w14:textId="2EA8A987" w:rsidR="00812103" w:rsidRPr="00471CBA" w:rsidRDefault="00812103" w:rsidP="00812103">
      <w:pPr>
        <w:pStyle w:val="GvdeMetniGirintisi"/>
        <w:widowControl w:val="0"/>
        <w:ind w:firstLine="0"/>
        <w:rPr>
          <w:b/>
          <w:szCs w:val="20"/>
        </w:rPr>
      </w:pPr>
      <w:r w:rsidRPr="00471CBA">
        <w:rPr>
          <w:b/>
          <w:szCs w:val="20"/>
        </w:rPr>
        <w:t>MALİ BÜNYEYE VE RİSK YÖNETİMİNE İLİŞKİN BİLGİLER (Devamı)</w:t>
      </w:r>
    </w:p>
    <w:p w14:paraId="3B886D12" w14:textId="77777777" w:rsidR="00812103" w:rsidRPr="00471CBA" w:rsidRDefault="00812103" w:rsidP="00812103">
      <w:pPr>
        <w:widowControl w:val="0"/>
        <w:autoSpaceDE w:val="0"/>
        <w:autoSpaceDN w:val="0"/>
        <w:adjustRightInd w:val="0"/>
        <w:jc w:val="both"/>
        <w:rPr>
          <w:szCs w:val="20"/>
        </w:rPr>
      </w:pPr>
    </w:p>
    <w:p w14:paraId="7BCD2F6A" w14:textId="77777777" w:rsidR="00812103" w:rsidRPr="00471CBA" w:rsidRDefault="00812103" w:rsidP="00812103">
      <w:pPr>
        <w:rPr>
          <w:b/>
          <w:bCs/>
        </w:rPr>
      </w:pPr>
      <w:r w:rsidRPr="00471CBA">
        <w:rPr>
          <w:b/>
          <w:bCs/>
        </w:rPr>
        <w:t>IX.</w:t>
      </w:r>
      <w:r w:rsidRPr="00471CBA">
        <w:rPr>
          <w:b/>
          <w:bCs/>
        </w:rPr>
        <w:tab/>
        <w:t>RİSK YÖNETİMİNE İLİŞKİN AÇIKLAMALAR (Devamı)</w:t>
      </w:r>
    </w:p>
    <w:p w14:paraId="21B934B7" w14:textId="51822054" w:rsidR="00A308EB" w:rsidRPr="00471CBA" w:rsidRDefault="00A308EB" w:rsidP="00285F25">
      <w:pPr>
        <w:pStyle w:val="NormalWeb"/>
        <w:spacing w:before="120" w:beforeAutospacing="0" w:after="120" w:afterAutospacing="0"/>
        <w:jc w:val="both"/>
        <w:rPr>
          <w:rFonts w:ascii="Times New Roman" w:hAnsi="Times New Roman" w:cs="Times New Roman"/>
          <w:szCs w:val="20"/>
        </w:rPr>
      </w:pPr>
      <w:r w:rsidRPr="00471CBA">
        <w:rPr>
          <w:rStyle w:val="Gl"/>
          <w:szCs w:val="20"/>
        </w:rPr>
        <w:t>BT Strateji ve Yönlendirme Komitesi:</w:t>
      </w:r>
      <w:r w:rsidRPr="00471CBA">
        <w:rPr>
          <w:rFonts w:ascii="Times New Roman" w:hAnsi="Times New Roman" w:cs="Times New Roman"/>
          <w:szCs w:val="20"/>
        </w:rPr>
        <w:t xml:space="preserve"> Yönetim Kurulu adına, bilgi sistemleri stratejik planı çerçevesinde BS yatırımlarının uygun şekilde kullanılmasını ve iş hedefleri ile bilgi sistemleri hedeflerinin uyumunu sağlamak için faaliyet gösterir.</w:t>
      </w:r>
    </w:p>
    <w:p w14:paraId="77222A36" w14:textId="7EBA30BB" w:rsidR="006F1CF2" w:rsidRPr="00471CBA" w:rsidRDefault="00A308EB" w:rsidP="005475CB">
      <w:pPr>
        <w:jc w:val="both"/>
      </w:pPr>
      <w:r w:rsidRPr="00471CBA">
        <w:t>Ayrıca, bankada satın alma süreçlerinin yürütüldüğü Satın Alma Komitesi, insan kaynakları ve işe alım süreçlerinin yönetildiği Personel Komitesi, disiplin işlemlerinin değerlendirildiği Disiplin Komitesi</w:t>
      </w:r>
      <w:r w:rsidR="005475CB" w:rsidRPr="00471CBA">
        <w:t xml:space="preserve">, </w:t>
      </w:r>
      <w:r w:rsidRPr="00471CBA">
        <w:t>İş ve BT Sürekliliği Komitesi bulunmaktadır.</w:t>
      </w:r>
      <w:bookmarkEnd w:id="60"/>
    </w:p>
    <w:p w14:paraId="3598DC8B" w14:textId="77777777" w:rsidR="006F1CF2" w:rsidRPr="00471CBA" w:rsidRDefault="006F1CF2" w:rsidP="00802ACE">
      <w:pPr>
        <w:widowControl w:val="0"/>
        <w:autoSpaceDE w:val="0"/>
        <w:autoSpaceDN w:val="0"/>
        <w:adjustRightInd w:val="0"/>
        <w:jc w:val="both"/>
        <w:rPr>
          <w:szCs w:val="20"/>
        </w:rPr>
      </w:pPr>
    </w:p>
    <w:p w14:paraId="77ADE7D7" w14:textId="2DCB311D" w:rsidR="00F37168" w:rsidRPr="00471CBA" w:rsidRDefault="00F37168" w:rsidP="008459A9">
      <w:pPr>
        <w:pStyle w:val="ListeParagraf"/>
        <w:numPr>
          <w:ilvl w:val="0"/>
          <w:numId w:val="58"/>
        </w:numPr>
        <w:ind w:left="851" w:hanging="851"/>
        <w:jc w:val="both"/>
        <w:rPr>
          <w:b/>
          <w:bCs/>
        </w:rPr>
      </w:pPr>
      <w:r w:rsidRPr="00471CBA">
        <w:rPr>
          <w:b/>
          <w:bCs/>
        </w:rPr>
        <w:t>Risk Yönetimi ve Risk Ağırlıklı Tutarlara İlişkin Genel Açıklamalar</w:t>
      </w:r>
    </w:p>
    <w:p w14:paraId="741B0159" w14:textId="77777777" w:rsidR="00F37168" w:rsidRPr="00471CBA" w:rsidRDefault="00F37168" w:rsidP="00802ACE">
      <w:pPr>
        <w:widowControl w:val="0"/>
        <w:autoSpaceDE w:val="0"/>
        <w:autoSpaceDN w:val="0"/>
        <w:adjustRightInd w:val="0"/>
        <w:jc w:val="both"/>
        <w:rPr>
          <w:szCs w:val="20"/>
        </w:rPr>
      </w:pPr>
    </w:p>
    <w:p w14:paraId="6B90671F" w14:textId="2EDC3D5B" w:rsidR="00A660C7" w:rsidRPr="00471CBA" w:rsidRDefault="00362B0C" w:rsidP="00935BA9">
      <w:pPr>
        <w:jc w:val="both"/>
      </w:pPr>
      <w:bookmarkStart w:id="62" w:name="_Hlk181948822"/>
      <w:r w:rsidRPr="00471CBA">
        <w:rPr>
          <w:b/>
          <w:bCs/>
          <w:szCs w:val="20"/>
        </w:rPr>
        <w:t>Risk ağırlıklı tutarlara genel bakış</w:t>
      </w:r>
    </w:p>
    <w:p w14:paraId="320A2C75" w14:textId="6AEA2931" w:rsidR="00A74C68" w:rsidRPr="00471CBA" w:rsidRDefault="00A74C68" w:rsidP="006C66D3">
      <w:bookmarkStart w:id="63" w:name="_Hlk172562992"/>
      <w:bookmarkEnd w:id="62"/>
    </w:p>
    <w:tbl>
      <w:tblPr>
        <w:tblW w:w="9749" w:type="dxa"/>
        <w:tblCellMar>
          <w:left w:w="70" w:type="dxa"/>
          <w:right w:w="70" w:type="dxa"/>
        </w:tblCellMar>
        <w:tblLook w:val="04A0" w:firstRow="1" w:lastRow="0" w:firstColumn="1" w:lastColumn="0" w:noHBand="0" w:noVBand="1"/>
      </w:tblPr>
      <w:tblGrid>
        <w:gridCol w:w="363"/>
        <w:gridCol w:w="5733"/>
        <w:gridCol w:w="1141"/>
        <w:gridCol w:w="1127"/>
        <w:gridCol w:w="1385"/>
      </w:tblGrid>
      <w:tr w:rsidR="00A74C68" w:rsidRPr="00471CBA" w14:paraId="01B653B4" w14:textId="77777777" w:rsidTr="00A74C68">
        <w:trPr>
          <w:divId w:val="1757631080"/>
          <w:trHeight w:val="170"/>
        </w:trPr>
        <w:tc>
          <w:tcPr>
            <w:tcW w:w="363" w:type="dxa"/>
            <w:tcBorders>
              <w:top w:val="nil"/>
              <w:left w:val="nil"/>
              <w:bottom w:val="nil"/>
              <w:right w:val="nil"/>
            </w:tcBorders>
            <w:vAlign w:val="center"/>
            <w:hideMark/>
          </w:tcPr>
          <w:p w14:paraId="0A4BCD32" w14:textId="31EED265" w:rsidR="00A74C68" w:rsidRPr="00471CBA" w:rsidRDefault="00A74C68" w:rsidP="00A74C68">
            <w:pPr>
              <w:rPr>
                <w:sz w:val="16"/>
                <w:szCs w:val="16"/>
                <w:lang w:eastAsia="tr-TR"/>
              </w:rPr>
            </w:pPr>
          </w:p>
        </w:tc>
        <w:tc>
          <w:tcPr>
            <w:tcW w:w="5733" w:type="dxa"/>
            <w:tcBorders>
              <w:top w:val="nil"/>
              <w:left w:val="nil"/>
              <w:bottom w:val="nil"/>
              <w:right w:val="nil"/>
            </w:tcBorders>
            <w:noWrap/>
            <w:vAlign w:val="center"/>
            <w:hideMark/>
          </w:tcPr>
          <w:p w14:paraId="190BBD73" w14:textId="77777777" w:rsidR="00A74C68" w:rsidRPr="00471CBA" w:rsidRDefault="00A74C68" w:rsidP="00A74C68">
            <w:pPr>
              <w:rPr>
                <w:sz w:val="16"/>
                <w:szCs w:val="16"/>
                <w:lang w:eastAsia="tr-TR"/>
              </w:rPr>
            </w:pPr>
          </w:p>
        </w:tc>
        <w:tc>
          <w:tcPr>
            <w:tcW w:w="2268" w:type="dxa"/>
            <w:gridSpan w:val="2"/>
            <w:tcBorders>
              <w:top w:val="nil"/>
              <w:left w:val="nil"/>
              <w:bottom w:val="single" w:sz="4" w:space="0" w:color="auto"/>
              <w:right w:val="nil"/>
            </w:tcBorders>
            <w:vAlign w:val="center"/>
            <w:hideMark/>
          </w:tcPr>
          <w:p w14:paraId="726FA6C9" w14:textId="77777777" w:rsidR="00A74C68" w:rsidRPr="00471CBA" w:rsidRDefault="00A74C68" w:rsidP="00A74C68">
            <w:pPr>
              <w:jc w:val="center"/>
              <w:rPr>
                <w:b/>
                <w:bCs/>
                <w:color w:val="000000"/>
                <w:sz w:val="16"/>
                <w:szCs w:val="16"/>
                <w:lang w:eastAsia="tr-TR"/>
              </w:rPr>
            </w:pPr>
            <w:r w:rsidRPr="00471CBA">
              <w:rPr>
                <w:b/>
                <w:bCs/>
                <w:color w:val="000000"/>
                <w:sz w:val="16"/>
                <w:szCs w:val="16"/>
                <w:lang w:eastAsia="tr-TR"/>
              </w:rPr>
              <w:t>Risk Ağırlıklı Tutarlar</w:t>
            </w:r>
          </w:p>
        </w:tc>
        <w:tc>
          <w:tcPr>
            <w:tcW w:w="1385" w:type="dxa"/>
            <w:tcBorders>
              <w:top w:val="nil"/>
              <w:left w:val="nil"/>
              <w:bottom w:val="nil"/>
              <w:right w:val="nil"/>
            </w:tcBorders>
            <w:vAlign w:val="center"/>
            <w:hideMark/>
          </w:tcPr>
          <w:p w14:paraId="405E6E32" w14:textId="77777777" w:rsidR="00A74C68" w:rsidRPr="00471CBA" w:rsidRDefault="00A74C68" w:rsidP="00A74C68">
            <w:pPr>
              <w:jc w:val="center"/>
              <w:rPr>
                <w:b/>
                <w:bCs/>
                <w:color w:val="000000"/>
                <w:sz w:val="16"/>
                <w:szCs w:val="16"/>
                <w:lang w:eastAsia="tr-TR"/>
              </w:rPr>
            </w:pPr>
            <w:r w:rsidRPr="00471CBA">
              <w:rPr>
                <w:b/>
                <w:bCs/>
                <w:color w:val="000000"/>
                <w:sz w:val="16"/>
                <w:szCs w:val="16"/>
                <w:lang w:eastAsia="tr-TR"/>
              </w:rPr>
              <w:t>Asgari Sermaye Yükümlülüğü</w:t>
            </w:r>
          </w:p>
        </w:tc>
      </w:tr>
      <w:tr w:rsidR="00A74C68" w:rsidRPr="00471CBA" w14:paraId="4733B055" w14:textId="77777777" w:rsidTr="00F36B82">
        <w:trPr>
          <w:divId w:val="1757631080"/>
          <w:trHeight w:val="170"/>
        </w:trPr>
        <w:tc>
          <w:tcPr>
            <w:tcW w:w="363" w:type="dxa"/>
            <w:tcBorders>
              <w:top w:val="nil"/>
              <w:left w:val="nil"/>
              <w:bottom w:val="single" w:sz="4" w:space="0" w:color="auto"/>
              <w:right w:val="nil"/>
            </w:tcBorders>
            <w:vAlign w:val="center"/>
            <w:hideMark/>
          </w:tcPr>
          <w:p w14:paraId="4AB5C435" w14:textId="77777777" w:rsidR="00A74C68" w:rsidRPr="00471CBA" w:rsidRDefault="00A74C68" w:rsidP="00A74C68">
            <w:pPr>
              <w:jc w:val="both"/>
              <w:rPr>
                <w:color w:val="000000"/>
                <w:sz w:val="16"/>
                <w:szCs w:val="16"/>
                <w:lang w:eastAsia="tr-TR"/>
              </w:rPr>
            </w:pPr>
            <w:r w:rsidRPr="00471CBA">
              <w:rPr>
                <w:color w:val="000000"/>
                <w:sz w:val="16"/>
                <w:szCs w:val="16"/>
                <w:lang w:eastAsia="tr-TR"/>
              </w:rPr>
              <w:t> </w:t>
            </w:r>
          </w:p>
        </w:tc>
        <w:tc>
          <w:tcPr>
            <w:tcW w:w="5733" w:type="dxa"/>
            <w:tcBorders>
              <w:top w:val="nil"/>
              <w:left w:val="nil"/>
              <w:bottom w:val="single" w:sz="4" w:space="0" w:color="auto"/>
              <w:right w:val="nil"/>
            </w:tcBorders>
            <w:noWrap/>
            <w:vAlign w:val="center"/>
            <w:hideMark/>
          </w:tcPr>
          <w:p w14:paraId="3A34F85A" w14:textId="77777777" w:rsidR="00A74C68" w:rsidRPr="00471CBA" w:rsidRDefault="00A74C68" w:rsidP="00A74C68">
            <w:pPr>
              <w:jc w:val="both"/>
              <w:rPr>
                <w:color w:val="000000"/>
                <w:sz w:val="16"/>
                <w:szCs w:val="16"/>
                <w:lang w:eastAsia="tr-TR"/>
              </w:rPr>
            </w:pPr>
            <w:r w:rsidRPr="00471CBA">
              <w:rPr>
                <w:color w:val="000000"/>
                <w:sz w:val="16"/>
                <w:szCs w:val="16"/>
                <w:lang w:eastAsia="tr-TR"/>
              </w:rPr>
              <w:t> </w:t>
            </w:r>
          </w:p>
        </w:tc>
        <w:tc>
          <w:tcPr>
            <w:tcW w:w="1141" w:type="dxa"/>
            <w:tcBorders>
              <w:top w:val="single" w:sz="4" w:space="0" w:color="auto"/>
              <w:left w:val="nil"/>
              <w:bottom w:val="single" w:sz="4" w:space="0" w:color="auto"/>
              <w:right w:val="nil"/>
            </w:tcBorders>
            <w:vAlign w:val="bottom"/>
            <w:hideMark/>
          </w:tcPr>
          <w:p w14:paraId="1D287009" w14:textId="77777777" w:rsidR="00A74C68" w:rsidRPr="00471CBA" w:rsidRDefault="00A74C68" w:rsidP="00F36B82">
            <w:pPr>
              <w:jc w:val="right"/>
              <w:rPr>
                <w:b/>
                <w:bCs/>
                <w:color w:val="000000"/>
                <w:sz w:val="16"/>
                <w:szCs w:val="16"/>
                <w:lang w:eastAsia="tr-TR"/>
              </w:rPr>
            </w:pPr>
            <w:r w:rsidRPr="00471CBA">
              <w:rPr>
                <w:b/>
                <w:bCs/>
                <w:color w:val="000000"/>
                <w:sz w:val="16"/>
                <w:szCs w:val="16"/>
                <w:lang w:eastAsia="tr-TR"/>
              </w:rPr>
              <w:t>31 Aralık 2025</w:t>
            </w:r>
          </w:p>
        </w:tc>
        <w:tc>
          <w:tcPr>
            <w:tcW w:w="1127" w:type="dxa"/>
            <w:tcBorders>
              <w:top w:val="single" w:sz="4" w:space="0" w:color="auto"/>
              <w:left w:val="nil"/>
              <w:bottom w:val="single" w:sz="4" w:space="0" w:color="auto"/>
              <w:right w:val="nil"/>
            </w:tcBorders>
            <w:vAlign w:val="bottom"/>
            <w:hideMark/>
          </w:tcPr>
          <w:p w14:paraId="335ECCDB" w14:textId="77777777" w:rsidR="00A74C68" w:rsidRPr="00471CBA" w:rsidRDefault="00A74C68" w:rsidP="00F36B82">
            <w:pPr>
              <w:jc w:val="right"/>
              <w:rPr>
                <w:b/>
                <w:bCs/>
                <w:color w:val="000000"/>
                <w:sz w:val="16"/>
                <w:szCs w:val="16"/>
                <w:lang w:eastAsia="tr-TR"/>
              </w:rPr>
            </w:pPr>
            <w:r w:rsidRPr="00471CBA">
              <w:rPr>
                <w:b/>
                <w:bCs/>
                <w:color w:val="000000"/>
                <w:sz w:val="16"/>
                <w:szCs w:val="16"/>
                <w:lang w:eastAsia="tr-TR"/>
              </w:rPr>
              <w:t>31 Aralık 2024</w:t>
            </w:r>
          </w:p>
        </w:tc>
        <w:tc>
          <w:tcPr>
            <w:tcW w:w="1385" w:type="dxa"/>
            <w:tcBorders>
              <w:top w:val="single" w:sz="4" w:space="0" w:color="auto"/>
              <w:left w:val="nil"/>
              <w:bottom w:val="single" w:sz="4" w:space="0" w:color="auto"/>
              <w:right w:val="nil"/>
            </w:tcBorders>
            <w:vAlign w:val="bottom"/>
            <w:hideMark/>
          </w:tcPr>
          <w:p w14:paraId="56E5C141" w14:textId="77777777" w:rsidR="00A74C68" w:rsidRPr="00471CBA" w:rsidRDefault="00A74C68" w:rsidP="00F36B82">
            <w:pPr>
              <w:jc w:val="right"/>
              <w:rPr>
                <w:b/>
                <w:bCs/>
                <w:color w:val="000000"/>
                <w:sz w:val="16"/>
                <w:szCs w:val="16"/>
                <w:lang w:eastAsia="tr-TR"/>
              </w:rPr>
            </w:pPr>
            <w:r w:rsidRPr="00471CBA">
              <w:rPr>
                <w:b/>
                <w:bCs/>
                <w:color w:val="000000"/>
                <w:sz w:val="16"/>
                <w:szCs w:val="16"/>
                <w:lang w:eastAsia="tr-TR"/>
              </w:rPr>
              <w:t>31 Aralık 2025</w:t>
            </w:r>
          </w:p>
        </w:tc>
      </w:tr>
      <w:tr w:rsidR="00A74C68" w:rsidRPr="00471CBA" w14:paraId="614C9F14" w14:textId="77777777" w:rsidTr="00F36B82">
        <w:trPr>
          <w:divId w:val="1757631080"/>
          <w:trHeight w:val="170"/>
        </w:trPr>
        <w:tc>
          <w:tcPr>
            <w:tcW w:w="363" w:type="dxa"/>
            <w:tcBorders>
              <w:top w:val="nil"/>
              <w:left w:val="nil"/>
              <w:bottom w:val="nil"/>
              <w:right w:val="nil"/>
            </w:tcBorders>
            <w:hideMark/>
          </w:tcPr>
          <w:p w14:paraId="25007EED" w14:textId="77777777" w:rsidR="00A74C68" w:rsidRPr="00471CBA" w:rsidRDefault="00A74C68" w:rsidP="00A74C68">
            <w:pPr>
              <w:rPr>
                <w:color w:val="000000"/>
                <w:sz w:val="16"/>
                <w:szCs w:val="16"/>
                <w:lang w:eastAsia="tr-TR"/>
              </w:rPr>
            </w:pPr>
            <w:r w:rsidRPr="00471CBA">
              <w:rPr>
                <w:color w:val="000000"/>
                <w:sz w:val="16"/>
                <w:szCs w:val="16"/>
                <w:lang w:eastAsia="tr-TR"/>
              </w:rPr>
              <w:t>1</w:t>
            </w:r>
          </w:p>
        </w:tc>
        <w:tc>
          <w:tcPr>
            <w:tcW w:w="5733" w:type="dxa"/>
            <w:tcBorders>
              <w:top w:val="nil"/>
              <w:left w:val="nil"/>
              <w:bottom w:val="nil"/>
              <w:right w:val="nil"/>
            </w:tcBorders>
            <w:noWrap/>
            <w:hideMark/>
          </w:tcPr>
          <w:p w14:paraId="1F121FF8" w14:textId="77777777" w:rsidR="00A74C68" w:rsidRPr="00471CBA" w:rsidRDefault="00A74C68" w:rsidP="00A74C68">
            <w:pPr>
              <w:rPr>
                <w:color w:val="000000"/>
                <w:sz w:val="16"/>
                <w:szCs w:val="16"/>
                <w:lang w:eastAsia="tr-TR"/>
              </w:rPr>
            </w:pPr>
            <w:r w:rsidRPr="00471CBA">
              <w:rPr>
                <w:color w:val="000000"/>
                <w:sz w:val="16"/>
                <w:szCs w:val="16"/>
                <w:lang w:eastAsia="tr-TR"/>
              </w:rPr>
              <w:t>Kredi riski (karşı taraf kredi riski hariç)</w:t>
            </w:r>
          </w:p>
        </w:tc>
        <w:tc>
          <w:tcPr>
            <w:tcW w:w="1141" w:type="dxa"/>
            <w:tcBorders>
              <w:top w:val="nil"/>
              <w:left w:val="nil"/>
              <w:bottom w:val="nil"/>
              <w:right w:val="nil"/>
            </w:tcBorders>
            <w:vAlign w:val="bottom"/>
            <w:hideMark/>
          </w:tcPr>
          <w:p w14:paraId="156126B7" w14:textId="77777777" w:rsidR="00A74C68" w:rsidRPr="00471CBA" w:rsidRDefault="00A74C68" w:rsidP="00F36B82">
            <w:pPr>
              <w:jc w:val="right"/>
              <w:rPr>
                <w:color w:val="000000"/>
                <w:sz w:val="16"/>
                <w:szCs w:val="16"/>
                <w:lang w:eastAsia="tr-TR"/>
              </w:rPr>
            </w:pPr>
            <w:r w:rsidRPr="00471CBA">
              <w:rPr>
                <w:color w:val="000000"/>
                <w:sz w:val="16"/>
                <w:szCs w:val="16"/>
                <w:lang w:eastAsia="tr-TR"/>
              </w:rPr>
              <w:t>38.365.742</w:t>
            </w:r>
          </w:p>
        </w:tc>
        <w:tc>
          <w:tcPr>
            <w:tcW w:w="1127" w:type="dxa"/>
            <w:tcBorders>
              <w:top w:val="nil"/>
              <w:left w:val="nil"/>
              <w:bottom w:val="nil"/>
              <w:right w:val="nil"/>
            </w:tcBorders>
            <w:vAlign w:val="bottom"/>
            <w:hideMark/>
          </w:tcPr>
          <w:p w14:paraId="4B17081B" w14:textId="77777777" w:rsidR="00A74C68" w:rsidRPr="00471CBA" w:rsidRDefault="00A74C68" w:rsidP="00F36B82">
            <w:pPr>
              <w:jc w:val="right"/>
              <w:rPr>
                <w:color w:val="000000"/>
                <w:sz w:val="16"/>
                <w:szCs w:val="16"/>
                <w:lang w:eastAsia="tr-TR"/>
              </w:rPr>
            </w:pPr>
            <w:r w:rsidRPr="00471CBA">
              <w:rPr>
                <w:color w:val="000000"/>
                <w:sz w:val="16"/>
                <w:szCs w:val="16"/>
                <w:lang w:eastAsia="tr-TR"/>
              </w:rPr>
              <w:t>14.541.780</w:t>
            </w:r>
          </w:p>
        </w:tc>
        <w:tc>
          <w:tcPr>
            <w:tcW w:w="1385" w:type="dxa"/>
            <w:tcBorders>
              <w:top w:val="nil"/>
              <w:left w:val="nil"/>
              <w:bottom w:val="nil"/>
              <w:right w:val="nil"/>
            </w:tcBorders>
            <w:vAlign w:val="bottom"/>
            <w:hideMark/>
          </w:tcPr>
          <w:p w14:paraId="4D9ED48A" w14:textId="77777777" w:rsidR="00A74C68" w:rsidRPr="00471CBA" w:rsidRDefault="00A74C68" w:rsidP="00F36B82">
            <w:pPr>
              <w:jc w:val="right"/>
              <w:rPr>
                <w:color w:val="000000"/>
                <w:sz w:val="16"/>
                <w:szCs w:val="16"/>
                <w:lang w:eastAsia="tr-TR"/>
              </w:rPr>
            </w:pPr>
            <w:r w:rsidRPr="00471CBA">
              <w:rPr>
                <w:color w:val="000000"/>
                <w:sz w:val="16"/>
                <w:szCs w:val="16"/>
                <w:lang w:eastAsia="tr-TR"/>
              </w:rPr>
              <w:t>3.069.259</w:t>
            </w:r>
          </w:p>
        </w:tc>
      </w:tr>
      <w:tr w:rsidR="00A74C68" w:rsidRPr="00471CBA" w14:paraId="1C0F6AF3" w14:textId="77777777" w:rsidTr="00F36B82">
        <w:trPr>
          <w:divId w:val="1757631080"/>
          <w:trHeight w:val="170"/>
        </w:trPr>
        <w:tc>
          <w:tcPr>
            <w:tcW w:w="363" w:type="dxa"/>
            <w:tcBorders>
              <w:top w:val="nil"/>
              <w:left w:val="nil"/>
              <w:bottom w:val="nil"/>
              <w:right w:val="nil"/>
            </w:tcBorders>
            <w:hideMark/>
          </w:tcPr>
          <w:p w14:paraId="537FA026" w14:textId="77777777" w:rsidR="00A74C68" w:rsidRPr="00471CBA" w:rsidRDefault="00A74C68" w:rsidP="00A74C68">
            <w:pPr>
              <w:rPr>
                <w:color w:val="000000"/>
                <w:sz w:val="16"/>
                <w:szCs w:val="16"/>
                <w:lang w:eastAsia="tr-TR"/>
              </w:rPr>
            </w:pPr>
            <w:r w:rsidRPr="00471CBA">
              <w:rPr>
                <w:color w:val="000000"/>
                <w:sz w:val="16"/>
                <w:szCs w:val="16"/>
                <w:lang w:eastAsia="tr-TR"/>
              </w:rPr>
              <w:t>2</w:t>
            </w:r>
          </w:p>
        </w:tc>
        <w:tc>
          <w:tcPr>
            <w:tcW w:w="5733" w:type="dxa"/>
            <w:tcBorders>
              <w:top w:val="nil"/>
              <w:left w:val="nil"/>
              <w:bottom w:val="nil"/>
              <w:right w:val="nil"/>
            </w:tcBorders>
            <w:noWrap/>
            <w:hideMark/>
          </w:tcPr>
          <w:p w14:paraId="622FC27F" w14:textId="77777777" w:rsidR="00A74C68" w:rsidRPr="00471CBA" w:rsidRDefault="00A74C68" w:rsidP="00A74C68">
            <w:pPr>
              <w:rPr>
                <w:rFonts w:ascii="Arial" w:hAnsi="Arial" w:cs="Arial"/>
                <w:color w:val="000000"/>
                <w:szCs w:val="20"/>
                <w:lang w:eastAsia="tr-TR"/>
              </w:rPr>
            </w:pPr>
            <w:r w:rsidRPr="00471CBA">
              <w:rPr>
                <w:color w:val="000000"/>
                <w:sz w:val="16"/>
                <w:szCs w:val="16"/>
                <w:lang w:eastAsia="tr-TR"/>
              </w:rPr>
              <w:t xml:space="preserve">  Standart yaklaşım</w:t>
            </w:r>
            <w:r w:rsidRPr="00471CBA">
              <w:rPr>
                <w:rFonts w:ascii="Arial" w:hAnsi="Arial" w:cs="Arial"/>
                <w:color w:val="000000"/>
                <w:szCs w:val="20"/>
                <w:lang w:eastAsia="tr-TR"/>
              </w:rPr>
              <w:t xml:space="preserve"> </w:t>
            </w:r>
          </w:p>
        </w:tc>
        <w:tc>
          <w:tcPr>
            <w:tcW w:w="1141" w:type="dxa"/>
            <w:tcBorders>
              <w:top w:val="nil"/>
              <w:left w:val="nil"/>
              <w:bottom w:val="nil"/>
              <w:right w:val="nil"/>
            </w:tcBorders>
            <w:vAlign w:val="bottom"/>
            <w:hideMark/>
          </w:tcPr>
          <w:p w14:paraId="5D45632B" w14:textId="77777777" w:rsidR="00A74C68" w:rsidRPr="00471CBA" w:rsidRDefault="00A74C68" w:rsidP="00F36B82">
            <w:pPr>
              <w:jc w:val="right"/>
              <w:rPr>
                <w:color w:val="000000"/>
                <w:sz w:val="16"/>
                <w:szCs w:val="16"/>
                <w:lang w:eastAsia="tr-TR"/>
              </w:rPr>
            </w:pPr>
            <w:r w:rsidRPr="00471CBA">
              <w:rPr>
                <w:color w:val="000000"/>
                <w:sz w:val="16"/>
                <w:szCs w:val="16"/>
                <w:lang w:eastAsia="tr-TR"/>
              </w:rPr>
              <w:t>38.365.742</w:t>
            </w:r>
          </w:p>
        </w:tc>
        <w:tc>
          <w:tcPr>
            <w:tcW w:w="1127" w:type="dxa"/>
            <w:tcBorders>
              <w:top w:val="nil"/>
              <w:left w:val="nil"/>
              <w:bottom w:val="nil"/>
              <w:right w:val="nil"/>
            </w:tcBorders>
            <w:vAlign w:val="bottom"/>
            <w:hideMark/>
          </w:tcPr>
          <w:p w14:paraId="49FA4B14" w14:textId="77777777" w:rsidR="00A74C68" w:rsidRPr="00471CBA" w:rsidRDefault="00A74C68" w:rsidP="00F36B82">
            <w:pPr>
              <w:jc w:val="right"/>
              <w:rPr>
                <w:color w:val="000000"/>
                <w:sz w:val="16"/>
                <w:szCs w:val="16"/>
                <w:lang w:eastAsia="tr-TR"/>
              </w:rPr>
            </w:pPr>
            <w:r w:rsidRPr="00471CBA">
              <w:rPr>
                <w:color w:val="000000"/>
                <w:sz w:val="16"/>
                <w:szCs w:val="16"/>
                <w:lang w:eastAsia="tr-TR"/>
              </w:rPr>
              <w:t>14.541.780</w:t>
            </w:r>
          </w:p>
        </w:tc>
        <w:tc>
          <w:tcPr>
            <w:tcW w:w="1385" w:type="dxa"/>
            <w:tcBorders>
              <w:top w:val="nil"/>
              <w:left w:val="nil"/>
              <w:bottom w:val="nil"/>
              <w:right w:val="nil"/>
            </w:tcBorders>
            <w:vAlign w:val="bottom"/>
            <w:hideMark/>
          </w:tcPr>
          <w:p w14:paraId="221F0BAB" w14:textId="77777777" w:rsidR="00A74C68" w:rsidRPr="00471CBA" w:rsidRDefault="00A74C68" w:rsidP="00F36B82">
            <w:pPr>
              <w:jc w:val="right"/>
              <w:rPr>
                <w:color w:val="000000"/>
                <w:sz w:val="16"/>
                <w:szCs w:val="16"/>
                <w:lang w:eastAsia="tr-TR"/>
              </w:rPr>
            </w:pPr>
            <w:r w:rsidRPr="00471CBA">
              <w:rPr>
                <w:color w:val="000000"/>
                <w:sz w:val="16"/>
                <w:szCs w:val="16"/>
                <w:lang w:eastAsia="tr-TR"/>
              </w:rPr>
              <w:t>3.069.259</w:t>
            </w:r>
          </w:p>
        </w:tc>
      </w:tr>
      <w:tr w:rsidR="00A74C68" w:rsidRPr="00471CBA" w14:paraId="73435B62" w14:textId="77777777" w:rsidTr="00F36B82">
        <w:trPr>
          <w:divId w:val="1757631080"/>
          <w:trHeight w:val="170"/>
        </w:trPr>
        <w:tc>
          <w:tcPr>
            <w:tcW w:w="363" w:type="dxa"/>
            <w:tcBorders>
              <w:top w:val="nil"/>
              <w:left w:val="nil"/>
              <w:bottom w:val="nil"/>
              <w:right w:val="nil"/>
            </w:tcBorders>
            <w:hideMark/>
          </w:tcPr>
          <w:p w14:paraId="1686BF3A" w14:textId="77777777" w:rsidR="00A74C68" w:rsidRPr="00471CBA" w:rsidRDefault="00A74C68" w:rsidP="00A74C68">
            <w:pPr>
              <w:rPr>
                <w:color w:val="000000"/>
                <w:sz w:val="16"/>
                <w:szCs w:val="16"/>
                <w:lang w:eastAsia="tr-TR"/>
              </w:rPr>
            </w:pPr>
            <w:r w:rsidRPr="00471CBA">
              <w:rPr>
                <w:color w:val="000000"/>
                <w:sz w:val="16"/>
                <w:szCs w:val="16"/>
                <w:lang w:eastAsia="tr-TR"/>
              </w:rPr>
              <w:t>3</w:t>
            </w:r>
          </w:p>
        </w:tc>
        <w:tc>
          <w:tcPr>
            <w:tcW w:w="5733" w:type="dxa"/>
            <w:tcBorders>
              <w:top w:val="nil"/>
              <w:left w:val="nil"/>
              <w:bottom w:val="nil"/>
              <w:right w:val="nil"/>
            </w:tcBorders>
            <w:noWrap/>
            <w:hideMark/>
          </w:tcPr>
          <w:p w14:paraId="4A62CA78" w14:textId="77777777" w:rsidR="00A74C68" w:rsidRPr="00471CBA" w:rsidRDefault="00A74C68" w:rsidP="00A74C68">
            <w:pPr>
              <w:rPr>
                <w:rFonts w:ascii="Arial" w:hAnsi="Arial" w:cs="Arial"/>
                <w:color w:val="000000"/>
                <w:szCs w:val="20"/>
                <w:lang w:eastAsia="tr-TR"/>
              </w:rPr>
            </w:pPr>
            <w:r w:rsidRPr="00471CBA">
              <w:rPr>
                <w:color w:val="000000"/>
                <w:sz w:val="16"/>
                <w:szCs w:val="16"/>
                <w:lang w:eastAsia="tr-TR"/>
              </w:rPr>
              <w:t xml:space="preserve">  İçsel derecelendirmeye dayalı yaklaşım</w:t>
            </w:r>
          </w:p>
        </w:tc>
        <w:tc>
          <w:tcPr>
            <w:tcW w:w="1141" w:type="dxa"/>
            <w:tcBorders>
              <w:top w:val="nil"/>
              <w:left w:val="nil"/>
              <w:bottom w:val="nil"/>
              <w:right w:val="nil"/>
            </w:tcBorders>
            <w:vAlign w:val="bottom"/>
            <w:hideMark/>
          </w:tcPr>
          <w:p w14:paraId="4AFE327D"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c>
          <w:tcPr>
            <w:tcW w:w="1127" w:type="dxa"/>
            <w:tcBorders>
              <w:top w:val="nil"/>
              <w:left w:val="nil"/>
              <w:bottom w:val="nil"/>
              <w:right w:val="nil"/>
            </w:tcBorders>
            <w:vAlign w:val="bottom"/>
            <w:hideMark/>
          </w:tcPr>
          <w:p w14:paraId="14E3B789"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c>
          <w:tcPr>
            <w:tcW w:w="1385" w:type="dxa"/>
            <w:tcBorders>
              <w:top w:val="nil"/>
              <w:left w:val="nil"/>
              <w:bottom w:val="nil"/>
              <w:right w:val="nil"/>
            </w:tcBorders>
            <w:vAlign w:val="bottom"/>
            <w:hideMark/>
          </w:tcPr>
          <w:p w14:paraId="7F04B93D"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r>
      <w:tr w:rsidR="00A74C68" w:rsidRPr="00471CBA" w14:paraId="454303A0" w14:textId="77777777" w:rsidTr="00F36B82">
        <w:trPr>
          <w:divId w:val="1757631080"/>
          <w:trHeight w:val="170"/>
        </w:trPr>
        <w:tc>
          <w:tcPr>
            <w:tcW w:w="363" w:type="dxa"/>
            <w:tcBorders>
              <w:top w:val="nil"/>
              <w:left w:val="nil"/>
              <w:bottom w:val="nil"/>
              <w:right w:val="nil"/>
            </w:tcBorders>
            <w:hideMark/>
          </w:tcPr>
          <w:p w14:paraId="7A15B31D" w14:textId="77777777" w:rsidR="00A74C68" w:rsidRPr="00471CBA" w:rsidRDefault="00A74C68" w:rsidP="00A74C68">
            <w:pPr>
              <w:rPr>
                <w:color w:val="000000"/>
                <w:sz w:val="16"/>
                <w:szCs w:val="16"/>
                <w:lang w:eastAsia="tr-TR"/>
              </w:rPr>
            </w:pPr>
            <w:r w:rsidRPr="00471CBA">
              <w:rPr>
                <w:color w:val="000000"/>
                <w:sz w:val="16"/>
                <w:szCs w:val="16"/>
                <w:lang w:eastAsia="tr-TR"/>
              </w:rPr>
              <w:t>4</w:t>
            </w:r>
          </w:p>
        </w:tc>
        <w:tc>
          <w:tcPr>
            <w:tcW w:w="5733" w:type="dxa"/>
            <w:tcBorders>
              <w:top w:val="nil"/>
              <w:left w:val="nil"/>
              <w:bottom w:val="nil"/>
              <w:right w:val="nil"/>
            </w:tcBorders>
            <w:noWrap/>
            <w:hideMark/>
          </w:tcPr>
          <w:p w14:paraId="2D854AC2" w14:textId="77777777" w:rsidR="00A74C68" w:rsidRPr="00471CBA" w:rsidRDefault="00A74C68" w:rsidP="00A74C68">
            <w:pPr>
              <w:rPr>
                <w:color w:val="000000"/>
                <w:sz w:val="16"/>
                <w:szCs w:val="16"/>
                <w:lang w:eastAsia="tr-TR"/>
              </w:rPr>
            </w:pPr>
            <w:r w:rsidRPr="00471CBA">
              <w:rPr>
                <w:color w:val="000000"/>
                <w:sz w:val="16"/>
                <w:szCs w:val="16"/>
                <w:lang w:eastAsia="tr-TR"/>
              </w:rPr>
              <w:t>Karşı taraf kredi riski</w:t>
            </w:r>
          </w:p>
        </w:tc>
        <w:tc>
          <w:tcPr>
            <w:tcW w:w="1141" w:type="dxa"/>
            <w:tcBorders>
              <w:top w:val="nil"/>
              <w:left w:val="nil"/>
              <w:bottom w:val="nil"/>
              <w:right w:val="nil"/>
            </w:tcBorders>
            <w:vAlign w:val="bottom"/>
            <w:hideMark/>
          </w:tcPr>
          <w:p w14:paraId="6D91CB9E" w14:textId="77777777" w:rsidR="00A74C68" w:rsidRPr="00471CBA" w:rsidRDefault="00A74C68" w:rsidP="00F36B82">
            <w:pPr>
              <w:jc w:val="right"/>
              <w:rPr>
                <w:color w:val="000000"/>
                <w:sz w:val="16"/>
                <w:szCs w:val="16"/>
                <w:lang w:eastAsia="tr-TR"/>
              </w:rPr>
            </w:pPr>
            <w:r w:rsidRPr="00471CBA">
              <w:rPr>
                <w:color w:val="000000"/>
                <w:sz w:val="16"/>
                <w:szCs w:val="16"/>
                <w:lang w:eastAsia="tr-TR"/>
              </w:rPr>
              <w:t>2.029.610</w:t>
            </w:r>
          </w:p>
        </w:tc>
        <w:tc>
          <w:tcPr>
            <w:tcW w:w="1127" w:type="dxa"/>
            <w:tcBorders>
              <w:top w:val="nil"/>
              <w:left w:val="nil"/>
              <w:bottom w:val="nil"/>
              <w:right w:val="nil"/>
            </w:tcBorders>
            <w:vAlign w:val="bottom"/>
            <w:hideMark/>
          </w:tcPr>
          <w:p w14:paraId="0D3D4FC2" w14:textId="77777777" w:rsidR="00A74C68" w:rsidRPr="00471CBA" w:rsidRDefault="00A74C68" w:rsidP="00F36B82">
            <w:pPr>
              <w:jc w:val="right"/>
              <w:rPr>
                <w:color w:val="000000"/>
                <w:sz w:val="16"/>
                <w:szCs w:val="16"/>
                <w:lang w:eastAsia="tr-TR"/>
              </w:rPr>
            </w:pPr>
            <w:r w:rsidRPr="00471CBA">
              <w:rPr>
                <w:color w:val="000000"/>
                <w:sz w:val="16"/>
                <w:szCs w:val="16"/>
                <w:lang w:eastAsia="tr-TR"/>
              </w:rPr>
              <w:t>64.897</w:t>
            </w:r>
          </w:p>
        </w:tc>
        <w:tc>
          <w:tcPr>
            <w:tcW w:w="1385" w:type="dxa"/>
            <w:tcBorders>
              <w:top w:val="nil"/>
              <w:left w:val="nil"/>
              <w:bottom w:val="nil"/>
              <w:right w:val="nil"/>
            </w:tcBorders>
            <w:vAlign w:val="bottom"/>
            <w:hideMark/>
          </w:tcPr>
          <w:p w14:paraId="04297390" w14:textId="77777777" w:rsidR="00A74C68" w:rsidRPr="00471CBA" w:rsidRDefault="00A74C68" w:rsidP="00F36B82">
            <w:pPr>
              <w:jc w:val="right"/>
              <w:rPr>
                <w:color w:val="000000"/>
                <w:sz w:val="16"/>
                <w:szCs w:val="16"/>
                <w:lang w:eastAsia="tr-TR"/>
              </w:rPr>
            </w:pPr>
            <w:r w:rsidRPr="00471CBA">
              <w:rPr>
                <w:color w:val="000000"/>
                <w:sz w:val="16"/>
                <w:szCs w:val="16"/>
                <w:lang w:eastAsia="tr-TR"/>
              </w:rPr>
              <w:t>162.369</w:t>
            </w:r>
          </w:p>
        </w:tc>
      </w:tr>
      <w:tr w:rsidR="00A74C68" w:rsidRPr="00471CBA" w14:paraId="6F41C308" w14:textId="77777777" w:rsidTr="00F36B82">
        <w:trPr>
          <w:divId w:val="1757631080"/>
          <w:trHeight w:val="170"/>
        </w:trPr>
        <w:tc>
          <w:tcPr>
            <w:tcW w:w="363" w:type="dxa"/>
            <w:tcBorders>
              <w:top w:val="nil"/>
              <w:left w:val="nil"/>
              <w:bottom w:val="nil"/>
              <w:right w:val="nil"/>
            </w:tcBorders>
            <w:hideMark/>
          </w:tcPr>
          <w:p w14:paraId="36EEE053" w14:textId="77777777" w:rsidR="00A74C68" w:rsidRPr="00471CBA" w:rsidRDefault="00A74C68" w:rsidP="00A74C68">
            <w:pPr>
              <w:rPr>
                <w:color w:val="000000"/>
                <w:sz w:val="16"/>
                <w:szCs w:val="16"/>
                <w:lang w:eastAsia="tr-TR"/>
              </w:rPr>
            </w:pPr>
            <w:r w:rsidRPr="00471CBA">
              <w:rPr>
                <w:color w:val="000000"/>
                <w:sz w:val="16"/>
                <w:szCs w:val="16"/>
                <w:lang w:eastAsia="tr-TR"/>
              </w:rPr>
              <w:t>5</w:t>
            </w:r>
          </w:p>
        </w:tc>
        <w:tc>
          <w:tcPr>
            <w:tcW w:w="5733" w:type="dxa"/>
            <w:tcBorders>
              <w:top w:val="nil"/>
              <w:left w:val="nil"/>
              <w:bottom w:val="nil"/>
              <w:right w:val="nil"/>
            </w:tcBorders>
            <w:noWrap/>
            <w:hideMark/>
          </w:tcPr>
          <w:p w14:paraId="0520A9C5" w14:textId="77777777" w:rsidR="00A74C68" w:rsidRPr="00471CBA" w:rsidRDefault="00A74C68" w:rsidP="00A74C68">
            <w:pPr>
              <w:rPr>
                <w:rFonts w:ascii="Arial" w:hAnsi="Arial" w:cs="Arial"/>
                <w:color w:val="000000"/>
                <w:szCs w:val="20"/>
                <w:lang w:eastAsia="tr-TR"/>
              </w:rPr>
            </w:pPr>
            <w:r w:rsidRPr="00471CBA">
              <w:rPr>
                <w:color w:val="000000"/>
                <w:sz w:val="16"/>
                <w:szCs w:val="16"/>
                <w:lang w:eastAsia="tr-TR"/>
              </w:rPr>
              <w:t xml:space="preserve">  Karşı taraf kredi riski için standart yaklaşım</w:t>
            </w:r>
          </w:p>
        </w:tc>
        <w:tc>
          <w:tcPr>
            <w:tcW w:w="1141" w:type="dxa"/>
            <w:tcBorders>
              <w:top w:val="nil"/>
              <w:left w:val="nil"/>
              <w:bottom w:val="nil"/>
              <w:right w:val="nil"/>
            </w:tcBorders>
            <w:vAlign w:val="bottom"/>
            <w:hideMark/>
          </w:tcPr>
          <w:p w14:paraId="511DA755" w14:textId="77777777" w:rsidR="00A74C68" w:rsidRPr="00471CBA" w:rsidRDefault="00A74C68" w:rsidP="00F36B82">
            <w:pPr>
              <w:jc w:val="right"/>
              <w:rPr>
                <w:color w:val="000000"/>
                <w:sz w:val="16"/>
                <w:szCs w:val="16"/>
                <w:lang w:eastAsia="tr-TR"/>
              </w:rPr>
            </w:pPr>
            <w:r w:rsidRPr="00471CBA">
              <w:rPr>
                <w:color w:val="000000"/>
                <w:sz w:val="16"/>
                <w:szCs w:val="16"/>
                <w:lang w:eastAsia="tr-TR"/>
              </w:rPr>
              <w:t>2.029.610</w:t>
            </w:r>
          </w:p>
        </w:tc>
        <w:tc>
          <w:tcPr>
            <w:tcW w:w="1127" w:type="dxa"/>
            <w:tcBorders>
              <w:top w:val="nil"/>
              <w:left w:val="nil"/>
              <w:bottom w:val="nil"/>
              <w:right w:val="nil"/>
            </w:tcBorders>
            <w:vAlign w:val="bottom"/>
            <w:hideMark/>
          </w:tcPr>
          <w:p w14:paraId="79A94DA1" w14:textId="77777777" w:rsidR="00A74C68" w:rsidRPr="00471CBA" w:rsidRDefault="00A74C68" w:rsidP="00F36B82">
            <w:pPr>
              <w:jc w:val="right"/>
              <w:rPr>
                <w:color w:val="000000"/>
                <w:sz w:val="16"/>
                <w:szCs w:val="16"/>
                <w:lang w:eastAsia="tr-TR"/>
              </w:rPr>
            </w:pPr>
            <w:r w:rsidRPr="00471CBA">
              <w:rPr>
                <w:color w:val="000000"/>
                <w:sz w:val="16"/>
                <w:szCs w:val="16"/>
                <w:lang w:eastAsia="tr-TR"/>
              </w:rPr>
              <w:t>64.897</w:t>
            </w:r>
          </w:p>
        </w:tc>
        <w:tc>
          <w:tcPr>
            <w:tcW w:w="1385" w:type="dxa"/>
            <w:tcBorders>
              <w:top w:val="nil"/>
              <w:left w:val="nil"/>
              <w:bottom w:val="nil"/>
              <w:right w:val="nil"/>
            </w:tcBorders>
            <w:vAlign w:val="bottom"/>
            <w:hideMark/>
          </w:tcPr>
          <w:p w14:paraId="6F140CF3" w14:textId="77777777" w:rsidR="00A74C68" w:rsidRPr="00471CBA" w:rsidRDefault="00A74C68" w:rsidP="00F36B82">
            <w:pPr>
              <w:jc w:val="right"/>
              <w:rPr>
                <w:color w:val="000000"/>
                <w:sz w:val="16"/>
                <w:szCs w:val="16"/>
                <w:lang w:eastAsia="tr-TR"/>
              </w:rPr>
            </w:pPr>
            <w:r w:rsidRPr="00471CBA">
              <w:rPr>
                <w:color w:val="000000"/>
                <w:sz w:val="16"/>
                <w:szCs w:val="16"/>
                <w:lang w:eastAsia="tr-TR"/>
              </w:rPr>
              <w:t>162.369</w:t>
            </w:r>
          </w:p>
        </w:tc>
      </w:tr>
      <w:tr w:rsidR="00A74C68" w:rsidRPr="00471CBA" w14:paraId="4DB6ED6D" w14:textId="77777777" w:rsidTr="00F36B82">
        <w:trPr>
          <w:divId w:val="1757631080"/>
          <w:trHeight w:val="170"/>
        </w:trPr>
        <w:tc>
          <w:tcPr>
            <w:tcW w:w="363" w:type="dxa"/>
            <w:tcBorders>
              <w:top w:val="nil"/>
              <w:left w:val="nil"/>
              <w:bottom w:val="nil"/>
              <w:right w:val="nil"/>
            </w:tcBorders>
            <w:hideMark/>
          </w:tcPr>
          <w:p w14:paraId="48E3F461" w14:textId="77777777" w:rsidR="00A74C68" w:rsidRPr="00471CBA" w:rsidRDefault="00A74C68" w:rsidP="00A74C68">
            <w:pPr>
              <w:rPr>
                <w:color w:val="000000"/>
                <w:sz w:val="16"/>
                <w:szCs w:val="16"/>
                <w:lang w:eastAsia="tr-TR"/>
              </w:rPr>
            </w:pPr>
            <w:r w:rsidRPr="00471CBA">
              <w:rPr>
                <w:color w:val="000000"/>
                <w:sz w:val="16"/>
                <w:szCs w:val="16"/>
                <w:lang w:eastAsia="tr-TR"/>
              </w:rPr>
              <w:t>6</w:t>
            </w:r>
          </w:p>
        </w:tc>
        <w:tc>
          <w:tcPr>
            <w:tcW w:w="5733" w:type="dxa"/>
            <w:tcBorders>
              <w:top w:val="nil"/>
              <w:left w:val="nil"/>
              <w:bottom w:val="nil"/>
              <w:right w:val="nil"/>
            </w:tcBorders>
            <w:noWrap/>
            <w:hideMark/>
          </w:tcPr>
          <w:p w14:paraId="6C230B6C" w14:textId="77777777" w:rsidR="00A74C68" w:rsidRPr="00471CBA" w:rsidRDefault="00A74C68" w:rsidP="00A74C68">
            <w:pPr>
              <w:rPr>
                <w:rFonts w:ascii="Arial" w:hAnsi="Arial" w:cs="Arial"/>
                <w:color w:val="000000"/>
                <w:szCs w:val="20"/>
                <w:lang w:eastAsia="tr-TR"/>
              </w:rPr>
            </w:pPr>
            <w:r w:rsidRPr="00471CBA">
              <w:rPr>
                <w:color w:val="000000"/>
                <w:sz w:val="16"/>
                <w:szCs w:val="16"/>
                <w:lang w:eastAsia="tr-TR"/>
              </w:rPr>
              <w:t xml:space="preserve">  İçsel model yöntemi</w:t>
            </w:r>
          </w:p>
        </w:tc>
        <w:tc>
          <w:tcPr>
            <w:tcW w:w="1141" w:type="dxa"/>
            <w:tcBorders>
              <w:top w:val="nil"/>
              <w:left w:val="nil"/>
              <w:bottom w:val="nil"/>
              <w:right w:val="nil"/>
            </w:tcBorders>
            <w:vAlign w:val="bottom"/>
            <w:hideMark/>
          </w:tcPr>
          <w:p w14:paraId="177A1470"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c>
          <w:tcPr>
            <w:tcW w:w="1127" w:type="dxa"/>
            <w:tcBorders>
              <w:top w:val="nil"/>
              <w:left w:val="nil"/>
              <w:bottom w:val="nil"/>
              <w:right w:val="nil"/>
            </w:tcBorders>
            <w:vAlign w:val="bottom"/>
            <w:hideMark/>
          </w:tcPr>
          <w:p w14:paraId="416EDD3C"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c>
          <w:tcPr>
            <w:tcW w:w="1385" w:type="dxa"/>
            <w:tcBorders>
              <w:top w:val="nil"/>
              <w:left w:val="nil"/>
              <w:bottom w:val="nil"/>
              <w:right w:val="nil"/>
            </w:tcBorders>
            <w:vAlign w:val="bottom"/>
            <w:hideMark/>
          </w:tcPr>
          <w:p w14:paraId="552A2AC0"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r>
      <w:tr w:rsidR="00A74C68" w:rsidRPr="00471CBA" w14:paraId="5B87A899" w14:textId="77777777" w:rsidTr="00F36B82">
        <w:trPr>
          <w:divId w:val="1757631080"/>
          <w:trHeight w:val="170"/>
        </w:trPr>
        <w:tc>
          <w:tcPr>
            <w:tcW w:w="363" w:type="dxa"/>
            <w:tcBorders>
              <w:top w:val="nil"/>
              <w:left w:val="nil"/>
              <w:bottom w:val="nil"/>
              <w:right w:val="nil"/>
            </w:tcBorders>
            <w:hideMark/>
          </w:tcPr>
          <w:p w14:paraId="7DBF5B17" w14:textId="77777777" w:rsidR="00A74C68" w:rsidRPr="00471CBA" w:rsidRDefault="00A74C68" w:rsidP="00A74C68">
            <w:pPr>
              <w:rPr>
                <w:color w:val="000000"/>
                <w:sz w:val="16"/>
                <w:szCs w:val="16"/>
                <w:lang w:eastAsia="tr-TR"/>
              </w:rPr>
            </w:pPr>
            <w:r w:rsidRPr="00471CBA">
              <w:rPr>
                <w:color w:val="000000"/>
                <w:sz w:val="16"/>
                <w:szCs w:val="16"/>
                <w:lang w:eastAsia="tr-TR"/>
              </w:rPr>
              <w:t>7</w:t>
            </w:r>
          </w:p>
        </w:tc>
        <w:tc>
          <w:tcPr>
            <w:tcW w:w="5733" w:type="dxa"/>
            <w:tcBorders>
              <w:top w:val="nil"/>
              <w:left w:val="nil"/>
              <w:bottom w:val="nil"/>
              <w:right w:val="nil"/>
            </w:tcBorders>
            <w:noWrap/>
            <w:hideMark/>
          </w:tcPr>
          <w:p w14:paraId="31168229" w14:textId="77777777" w:rsidR="00A74C68" w:rsidRPr="00471CBA" w:rsidRDefault="00A74C68" w:rsidP="00A74C68">
            <w:pPr>
              <w:rPr>
                <w:color w:val="000000"/>
                <w:sz w:val="16"/>
                <w:szCs w:val="16"/>
                <w:lang w:eastAsia="tr-TR"/>
              </w:rPr>
            </w:pPr>
            <w:r w:rsidRPr="00471CBA">
              <w:rPr>
                <w:color w:val="000000"/>
                <w:sz w:val="16"/>
                <w:szCs w:val="16"/>
                <w:lang w:eastAsia="tr-TR"/>
              </w:rPr>
              <w:t>Basit risk ağırlığı yaklaşımı veya içsel modeller yaklaşımında bankacılık hesabındaki hisse senedi pozisyonları</w:t>
            </w:r>
          </w:p>
        </w:tc>
        <w:tc>
          <w:tcPr>
            <w:tcW w:w="1141" w:type="dxa"/>
            <w:tcBorders>
              <w:top w:val="nil"/>
              <w:left w:val="nil"/>
              <w:bottom w:val="nil"/>
              <w:right w:val="nil"/>
            </w:tcBorders>
            <w:vAlign w:val="bottom"/>
            <w:hideMark/>
          </w:tcPr>
          <w:p w14:paraId="478C1BA9"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c>
          <w:tcPr>
            <w:tcW w:w="1127" w:type="dxa"/>
            <w:tcBorders>
              <w:top w:val="nil"/>
              <w:left w:val="nil"/>
              <w:bottom w:val="nil"/>
              <w:right w:val="nil"/>
            </w:tcBorders>
            <w:vAlign w:val="bottom"/>
            <w:hideMark/>
          </w:tcPr>
          <w:p w14:paraId="650E0825"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c>
          <w:tcPr>
            <w:tcW w:w="1385" w:type="dxa"/>
            <w:tcBorders>
              <w:top w:val="nil"/>
              <w:left w:val="nil"/>
              <w:bottom w:val="nil"/>
              <w:right w:val="nil"/>
            </w:tcBorders>
            <w:vAlign w:val="bottom"/>
            <w:hideMark/>
          </w:tcPr>
          <w:p w14:paraId="665B66E7"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r>
      <w:tr w:rsidR="00A74C68" w:rsidRPr="00471CBA" w14:paraId="65D0606B" w14:textId="77777777" w:rsidTr="00F36B82">
        <w:trPr>
          <w:divId w:val="1757631080"/>
          <w:trHeight w:val="170"/>
        </w:trPr>
        <w:tc>
          <w:tcPr>
            <w:tcW w:w="363" w:type="dxa"/>
            <w:tcBorders>
              <w:top w:val="nil"/>
              <w:left w:val="nil"/>
              <w:bottom w:val="nil"/>
              <w:right w:val="nil"/>
            </w:tcBorders>
            <w:hideMark/>
          </w:tcPr>
          <w:p w14:paraId="7E5BD902" w14:textId="77777777" w:rsidR="00A74C68" w:rsidRPr="00471CBA" w:rsidRDefault="00A74C68" w:rsidP="00A74C68">
            <w:pPr>
              <w:rPr>
                <w:color w:val="000000"/>
                <w:sz w:val="16"/>
                <w:szCs w:val="16"/>
                <w:lang w:eastAsia="tr-TR"/>
              </w:rPr>
            </w:pPr>
            <w:r w:rsidRPr="00471CBA">
              <w:rPr>
                <w:color w:val="000000"/>
                <w:sz w:val="16"/>
                <w:szCs w:val="16"/>
                <w:lang w:eastAsia="tr-TR"/>
              </w:rPr>
              <w:t>8</w:t>
            </w:r>
          </w:p>
        </w:tc>
        <w:tc>
          <w:tcPr>
            <w:tcW w:w="5733" w:type="dxa"/>
            <w:tcBorders>
              <w:top w:val="nil"/>
              <w:left w:val="nil"/>
              <w:bottom w:val="nil"/>
              <w:right w:val="nil"/>
            </w:tcBorders>
            <w:noWrap/>
            <w:hideMark/>
          </w:tcPr>
          <w:p w14:paraId="24A1235B" w14:textId="77777777" w:rsidR="00A74C68" w:rsidRPr="00471CBA" w:rsidRDefault="00A74C68" w:rsidP="00A74C68">
            <w:pPr>
              <w:rPr>
                <w:color w:val="000000"/>
                <w:sz w:val="16"/>
                <w:szCs w:val="16"/>
                <w:lang w:eastAsia="tr-TR"/>
              </w:rPr>
            </w:pPr>
            <w:r w:rsidRPr="00471CBA">
              <w:rPr>
                <w:color w:val="000000"/>
                <w:sz w:val="16"/>
                <w:szCs w:val="16"/>
                <w:lang w:eastAsia="tr-TR"/>
              </w:rPr>
              <w:t>KYK’ya yapılan yatırımlar-içerik yöntemi</w:t>
            </w:r>
          </w:p>
        </w:tc>
        <w:tc>
          <w:tcPr>
            <w:tcW w:w="1141" w:type="dxa"/>
            <w:tcBorders>
              <w:top w:val="nil"/>
              <w:left w:val="nil"/>
              <w:bottom w:val="nil"/>
              <w:right w:val="nil"/>
            </w:tcBorders>
            <w:vAlign w:val="bottom"/>
            <w:hideMark/>
          </w:tcPr>
          <w:p w14:paraId="54D616D3" w14:textId="77777777" w:rsidR="00A74C68" w:rsidRPr="00471CBA" w:rsidRDefault="00A74C68" w:rsidP="00F36B82">
            <w:pPr>
              <w:jc w:val="right"/>
              <w:rPr>
                <w:color w:val="000000"/>
                <w:sz w:val="16"/>
                <w:szCs w:val="16"/>
                <w:lang w:eastAsia="tr-TR"/>
              </w:rPr>
            </w:pPr>
            <w:r w:rsidRPr="00471CBA">
              <w:rPr>
                <w:color w:val="000000"/>
                <w:sz w:val="16"/>
                <w:szCs w:val="16"/>
                <w:lang w:eastAsia="tr-TR"/>
              </w:rPr>
              <w:t>1.308.897</w:t>
            </w:r>
          </w:p>
        </w:tc>
        <w:tc>
          <w:tcPr>
            <w:tcW w:w="1127" w:type="dxa"/>
            <w:tcBorders>
              <w:top w:val="nil"/>
              <w:left w:val="nil"/>
              <w:bottom w:val="nil"/>
              <w:right w:val="nil"/>
            </w:tcBorders>
            <w:vAlign w:val="bottom"/>
            <w:hideMark/>
          </w:tcPr>
          <w:p w14:paraId="34368268" w14:textId="77777777" w:rsidR="00A74C68" w:rsidRPr="00471CBA" w:rsidRDefault="00A74C68" w:rsidP="00F36B82">
            <w:pPr>
              <w:jc w:val="right"/>
              <w:rPr>
                <w:color w:val="000000"/>
                <w:sz w:val="16"/>
                <w:szCs w:val="16"/>
                <w:lang w:eastAsia="tr-TR"/>
              </w:rPr>
            </w:pPr>
            <w:r w:rsidRPr="00471CBA">
              <w:rPr>
                <w:color w:val="000000"/>
                <w:sz w:val="16"/>
                <w:szCs w:val="16"/>
                <w:lang w:eastAsia="tr-TR"/>
              </w:rPr>
              <w:t>948</w:t>
            </w:r>
          </w:p>
        </w:tc>
        <w:tc>
          <w:tcPr>
            <w:tcW w:w="1385" w:type="dxa"/>
            <w:tcBorders>
              <w:top w:val="nil"/>
              <w:left w:val="nil"/>
              <w:bottom w:val="nil"/>
              <w:right w:val="nil"/>
            </w:tcBorders>
            <w:vAlign w:val="bottom"/>
            <w:hideMark/>
          </w:tcPr>
          <w:p w14:paraId="2A359CE2" w14:textId="77777777" w:rsidR="00A74C68" w:rsidRPr="00471CBA" w:rsidRDefault="00A74C68" w:rsidP="00F36B82">
            <w:pPr>
              <w:jc w:val="right"/>
              <w:rPr>
                <w:color w:val="000000"/>
                <w:sz w:val="16"/>
                <w:szCs w:val="16"/>
                <w:lang w:eastAsia="tr-TR"/>
              </w:rPr>
            </w:pPr>
            <w:r w:rsidRPr="00471CBA">
              <w:rPr>
                <w:color w:val="000000"/>
                <w:sz w:val="16"/>
                <w:szCs w:val="16"/>
                <w:lang w:eastAsia="tr-TR"/>
              </w:rPr>
              <w:t>104.712</w:t>
            </w:r>
          </w:p>
        </w:tc>
      </w:tr>
      <w:tr w:rsidR="00A74C68" w:rsidRPr="00471CBA" w14:paraId="4DC65398" w14:textId="77777777" w:rsidTr="00F36B82">
        <w:trPr>
          <w:divId w:val="1757631080"/>
          <w:trHeight w:val="170"/>
        </w:trPr>
        <w:tc>
          <w:tcPr>
            <w:tcW w:w="363" w:type="dxa"/>
            <w:tcBorders>
              <w:top w:val="nil"/>
              <w:left w:val="nil"/>
              <w:bottom w:val="nil"/>
              <w:right w:val="nil"/>
            </w:tcBorders>
            <w:hideMark/>
          </w:tcPr>
          <w:p w14:paraId="060FCC4E" w14:textId="77777777" w:rsidR="00A74C68" w:rsidRPr="00471CBA" w:rsidRDefault="00A74C68" w:rsidP="00A74C68">
            <w:pPr>
              <w:rPr>
                <w:color w:val="000000"/>
                <w:sz w:val="16"/>
                <w:szCs w:val="16"/>
                <w:lang w:eastAsia="tr-TR"/>
              </w:rPr>
            </w:pPr>
            <w:r w:rsidRPr="00471CBA">
              <w:rPr>
                <w:color w:val="000000"/>
                <w:sz w:val="16"/>
                <w:szCs w:val="16"/>
                <w:lang w:eastAsia="tr-TR"/>
              </w:rPr>
              <w:t>9</w:t>
            </w:r>
          </w:p>
        </w:tc>
        <w:tc>
          <w:tcPr>
            <w:tcW w:w="5733" w:type="dxa"/>
            <w:tcBorders>
              <w:top w:val="nil"/>
              <w:left w:val="nil"/>
              <w:bottom w:val="nil"/>
              <w:right w:val="nil"/>
            </w:tcBorders>
            <w:noWrap/>
            <w:hideMark/>
          </w:tcPr>
          <w:p w14:paraId="271D813D" w14:textId="77777777" w:rsidR="00A74C68" w:rsidRPr="00471CBA" w:rsidRDefault="00A74C68" w:rsidP="00A74C68">
            <w:pPr>
              <w:rPr>
                <w:color w:val="000000"/>
                <w:sz w:val="16"/>
                <w:szCs w:val="16"/>
                <w:lang w:eastAsia="tr-TR"/>
              </w:rPr>
            </w:pPr>
            <w:r w:rsidRPr="00471CBA">
              <w:rPr>
                <w:color w:val="000000"/>
                <w:sz w:val="16"/>
                <w:szCs w:val="16"/>
                <w:lang w:eastAsia="tr-TR"/>
              </w:rPr>
              <w:t>KYK’ya yapılan yatırımlar-izahname yöntemi</w:t>
            </w:r>
          </w:p>
        </w:tc>
        <w:tc>
          <w:tcPr>
            <w:tcW w:w="1141" w:type="dxa"/>
            <w:tcBorders>
              <w:top w:val="nil"/>
              <w:left w:val="nil"/>
              <w:bottom w:val="nil"/>
              <w:right w:val="nil"/>
            </w:tcBorders>
            <w:vAlign w:val="bottom"/>
            <w:hideMark/>
          </w:tcPr>
          <w:p w14:paraId="31F3BDC7"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c>
          <w:tcPr>
            <w:tcW w:w="1127" w:type="dxa"/>
            <w:tcBorders>
              <w:top w:val="nil"/>
              <w:left w:val="nil"/>
              <w:bottom w:val="nil"/>
              <w:right w:val="nil"/>
            </w:tcBorders>
            <w:vAlign w:val="bottom"/>
            <w:hideMark/>
          </w:tcPr>
          <w:p w14:paraId="6EC4531B"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c>
          <w:tcPr>
            <w:tcW w:w="1385" w:type="dxa"/>
            <w:tcBorders>
              <w:top w:val="nil"/>
              <w:left w:val="nil"/>
              <w:bottom w:val="nil"/>
              <w:right w:val="nil"/>
            </w:tcBorders>
            <w:vAlign w:val="bottom"/>
            <w:hideMark/>
          </w:tcPr>
          <w:p w14:paraId="7CB52E83"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r>
      <w:tr w:rsidR="00A74C68" w:rsidRPr="00471CBA" w14:paraId="27D9C554" w14:textId="77777777" w:rsidTr="00F36B82">
        <w:trPr>
          <w:divId w:val="1757631080"/>
          <w:trHeight w:val="170"/>
        </w:trPr>
        <w:tc>
          <w:tcPr>
            <w:tcW w:w="363" w:type="dxa"/>
            <w:tcBorders>
              <w:top w:val="nil"/>
              <w:left w:val="nil"/>
              <w:bottom w:val="nil"/>
              <w:right w:val="nil"/>
            </w:tcBorders>
            <w:hideMark/>
          </w:tcPr>
          <w:p w14:paraId="4C81DFBC" w14:textId="77777777" w:rsidR="00A74C68" w:rsidRPr="00471CBA" w:rsidRDefault="00A74C68" w:rsidP="00A74C68">
            <w:pPr>
              <w:rPr>
                <w:color w:val="000000"/>
                <w:sz w:val="16"/>
                <w:szCs w:val="16"/>
                <w:lang w:eastAsia="tr-TR"/>
              </w:rPr>
            </w:pPr>
            <w:r w:rsidRPr="00471CBA">
              <w:rPr>
                <w:color w:val="000000"/>
                <w:sz w:val="16"/>
                <w:szCs w:val="16"/>
                <w:lang w:eastAsia="tr-TR"/>
              </w:rPr>
              <w:t>10</w:t>
            </w:r>
          </w:p>
        </w:tc>
        <w:tc>
          <w:tcPr>
            <w:tcW w:w="5733" w:type="dxa"/>
            <w:tcBorders>
              <w:top w:val="nil"/>
              <w:left w:val="nil"/>
              <w:bottom w:val="nil"/>
              <w:right w:val="nil"/>
            </w:tcBorders>
            <w:noWrap/>
            <w:hideMark/>
          </w:tcPr>
          <w:p w14:paraId="2D711041" w14:textId="77777777" w:rsidR="00A74C68" w:rsidRPr="00471CBA" w:rsidRDefault="00A74C68" w:rsidP="00A74C68">
            <w:pPr>
              <w:rPr>
                <w:color w:val="000000"/>
                <w:sz w:val="16"/>
                <w:szCs w:val="16"/>
                <w:lang w:eastAsia="tr-TR"/>
              </w:rPr>
            </w:pPr>
            <w:r w:rsidRPr="00471CBA">
              <w:rPr>
                <w:color w:val="000000"/>
                <w:sz w:val="16"/>
                <w:szCs w:val="16"/>
                <w:lang w:eastAsia="tr-TR"/>
              </w:rPr>
              <w:t>KYK’ya yapılan yatırımlar-%1250 risk ağırlığı yöntemi</w:t>
            </w:r>
          </w:p>
        </w:tc>
        <w:tc>
          <w:tcPr>
            <w:tcW w:w="1141" w:type="dxa"/>
            <w:tcBorders>
              <w:top w:val="nil"/>
              <w:left w:val="nil"/>
              <w:bottom w:val="nil"/>
              <w:right w:val="nil"/>
            </w:tcBorders>
            <w:vAlign w:val="bottom"/>
            <w:hideMark/>
          </w:tcPr>
          <w:p w14:paraId="65896919"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c>
          <w:tcPr>
            <w:tcW w:w="1127" w:type="dxa"/>
            <w:tcBorders>
              <w:top w:val="nil"/>
              <w:left w:val="nil"/>
              <w:bottom w:val="nil"/>
              <w:right w:val="nil"/>
            </w:tcBorders>
            <w:vAlign w:val="bottom"/>
            <w:hideMark/>
          </w:tcPr>
          <w:p w14:paraId="6391DBF7"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c>
          <w:tcPr>
            <w:tcW w:w="1385" w:type="dxa"/>
            <w:tcBorders>
              <w:top w:val="nil"/>
              <w:left w:val="nil"/>
              <w:bottom w:val="nil"/>
              <w:right w:val="nil"/>
            </w:tcBorders>
            <w:vAlign w:val="bottom"/>
            <w:hideMark/>
          </w:tcPr>
          <w:p w14:paraId="6DB0848B"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r>
      <w:tr w:rsidR="00A74C68" w:rsidRPr="00471CBA" w14:paraId="5A4ED096" w14:textId="77777777" w:rsidTr="00F36B82">
        <w:trPr>
          <w:divId w:val="1757631080"/>
          <w:trHeight w:val="170"/>
        </w:trPr>
        <w:tc>
          <w:tcPr>
            <w:tcW w:w="363" w:type="dxa"/>
            <w:tcBorders>
              <w:top w:val="nil"/>
              <w:left w:val="nil"/>
              <w:bottom w:val="nil"/>
              <w:right w:val="nil"/>
            </w:tcBorders>
            <w:hideMark/>
          </w:tcPr>
          <w:p w14:paraId="6873F2AB" w14:textId="77777777" w:rsidR="00A74C68" w:rsidRPr="00471CBA" w:rsidRDefault="00A74C68" w:rsidP="00A74C68">
            <w:pPr>
              <w:rPr>
                <w:color w:val="000000"/>
                <w:sz w:val="16"/>
                <w:szCs w:val="16"/>
                <w:lang w:eastAsia="tr-TR"/>
              </w:rPr>
            </w:pPr>
            <w:r w:rsidRPr="00471CBA">
              <w:rPr>
                <w:color w:val="000000"/>
                <w:sz w:val="16"/>
                <w:szCs w:val="16"/>
                <w:lang w:eastAsia="tr-TR"/>
              </w:rPr>
              <w:t>11</w:t>
            </w:r>
          </w:p>
        </w:tc>
        <w:tc>
          <w:tcPr>
            <w:tcW w:w="5733" w:type="dxa"/>
            <w:tcBorders>
              <w:top w:val="nil"/>
              <w:left w:val="nil"/>
              <w:bottom w:val="nil"/>
              <w:right w:val="nil"/>
            </w:tcBorders>
            <w:noWrap/>
            <w:hideMark/>
          </w:tcPr>
          <w:p w14:paraId="43316B14" w14:textId="77777777" w:rsidR="00A74C68" w:rsidRPr="00471CBA" w:rsidRDefault="00A74C68" w:rsidP="00A74C68">
            <w:pPr>
              <w:rPr>
                <w:color w:val="000000"/>
                <w:sz w:val="16"/>
                <w:szCs w:val="16"/>
                <w:lang w:eastAsia="tr-TR"/>
              </w:rPr>
            </w:pPr>
            <w:r w:rsidRPr="00471CBA">
              <w:rPr>
                <w:color w:val="000000"/>
                <w:sz w:val="16"/>
                <w:szCs w:val="16"/>
                <w:lang w:eastAsia="tr-TR"/>
              </w:rPr>
              <w:t>Takas riski</w:t>
            </w:r>
          </w:p>
        </w:tc>
        <w:tc>
          <w:tcPr>
            <w:tcW w:w="1141" w:type="dxa"/>
            <w:tcBorders>
              <w:top w:val="nil"/>
              <w:left w:val="nil"/>
              <w:bottom w:val="nil"/>
              <w:right w:val="nil"/>
            </w:tcBorders>
            <w:vAlign w:val="bottom"/>
            <w:hideMark/>
          </w:tcPr>
          <w:p w14:paraId="59E5B9C0"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c>
          <w:tcPr>
            <w:tcW w:w="1127" w:type="dxa"/>
            <w:tcBorders>
              <w:top w:val="nil"/>
              <w:left w:val="nil"/>
              <w:bottom w:val="nil"/>
              <w:right w:val="nil"/>
            </w:tcBorders>
            <w:vAlign w:val="bottom"/>
            <w:hideMark/>
          </w:tcPr>
          <w:p w14:paraId="5D13F2A2"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c>
          <w:tcPr>
            <w:tcW w:w="1385" w:type="dxa"/>
            <w:tcBorders>
              <w:top w:val="nil"/>
              <w:left w:val="nil"/>
              <w:bottom w:val="nil"/>
              <w:right w:val="nil"/>
            </w:tcBorders>
            <w:vAlign w:val="bottom"/>
            <w:hideMark/>
          </w:tcPr>
          <w:p w14:paraId="615022AA"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r>
      <w:tr w:rsidR="00A74C68" w:rsidRPr="00471CBA" w14:paraId="100DBB91" w14:textId="77777777" w:rsidTr="00F36B82">
        <w:trPr>
          <w:divId w:val="1757631080"/>
          <w:trHeight w:val="170"/>
        </w:trPr>
        <w:tc>
          <w:tcPr>
            <w:tcW w:w="363" w:type="dxa"/>
            <w:tcBorders>
              <w:top w:val="nil"/>
              <w:left w:val="nil"/>
              <w:bottom w:val="nil"/>
              <w:right w:val="nil"/>
            </w:tcBorders>
            <w:hideMark/>
          </w:tcPr>
          <w:p w14:paraId="1CA4FBDC" w14:textId="77777777" w:rsidR="00A74C68" w:rsidRPr="00471CBA" w:rsidRDefault="00A74C68" w:rsidP="00A74C68">
            <w:pPr>
              <w:rPr>
                <w:color w:val="000000"/>
                <w:sz w:val="16"/>
                <w:szCs w:val="16"/>
                <w:lang w:eastAsia="tr-TR"/>
              </w:rPr>
            </w:pPr>
            <w:r w:rsidRPr="00471CBA">
              <w:rPr>
                <w:color w:val="000000"/>
                <w:sz w:val="16"/>
                <w:szCs w:val="16"/>
                <w:lang w:eastAsia="tr-TR"/>
              </w:rPr>
              <w:t>12</w:t>
            </w:r>
          </w:p>
        </w:tc>
        <w:tc>
          <w:tcPr>
            <w:tcW w:w="5733" w:type="dxa"/>
            <w:tcBorders>
              <w:top w:val="nil"/>
              <w:left w:val="nil"/>
              <w:bottom w:val="nil"/>
              <w:right w:val="nil"/>
            </w:tcBorders>
            <w:noWrap/>
            <w:hideMark/>
          </w:tcPr>
          <w:p w14:paraId="005EF9F2" w14:textId="77777777" w:rsidR="00A74C68" w:rsidRPr="00471CBA" w:rsidRDefault="00A74C68" w:rsidP="00A74C68">
            <w:pPr>
              <w:rPr>
                <w:color w:val="000000"/>
                <w:sz w:val="16"/>
                <w:szCs w:val="16"/>
                <w:lang w:eastAsia="tr-TR"/>
              </w:rPr>
            </w:pPr>
            <w:r w:rsidRPr="00471CBA">
              <w:rPr>
                <w:color w:val="000000"/>
                <w:sz w:val="16"/>
                <w:szCs w:val="16"/>
                <w:lang w:eastAsia="tr-TR"/>
              </w:rPr>
              <w:t>Bankacılık hesaplarındaki menkul kıymetleştirme pozisyonları</w:t>
            </w:r>
          </w:p>
        </w:tc>
        <w:tc>
          <w:tcPr>
            <w:tcW w:w="1141" w:type="dxa"/>
            <w:tcBorders>
              <w:top w:val="nil"/>
              <w:left w:val="nil"/>
              <w:bottom w:val="nil"/>
              <w:right w:val="nil"/>
            </w:tcBorders>
            <w:vAlign w:val="bottom"/>
            <w:hideMark/>
          </w:tcPr>
          <w:p w14:paraId="56A77647"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c>
          <w:tcPr>
            <w:tcW w:w="1127" w:type="dxa"/>
            <w:tcBorders>
              <w:top w:val="nil"/>
              <w:left w:val="nil"/>
              <w:bottom w:val="nil"/>
              <w:right w:val="nil"/>
            </w:tcBorders>
            <w:vAlign w:val="bottom"/>
            <w:hideMark/>
          </w:tcPr>
          <w:p w14:paraId="717178ED"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c>
          <w:tcPr>
            <w:tcW w:w="1385" w:type="dxa"/>
            <w:tcBorders>
              <w:top w:val="nil"/>
              <w:left w:val="nil"/>
              <w:bottom w:val="nil"/>
              <w:right w:val="nil"/>
            </w:tcBorders>
            <w:vAlign w:val="bottom"/>
            <w:hideMark/>
          </w:tcPr>
          <w:p w14:paraId="29392358"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r>
      <w:tr w:rsidR="00A74C68" w:rsidRPr="00471CBA" w14:paraId="64FDD1D9" w14:textId="77777777" w:rsidTr="00F36B82">
        <w:trPr>
          <w:divId w:val="1757631080"/>
          <w:trHeight w:val="170"/>
        </w:trPr>
        <w:tc>
          <w:tcPr>
            <w:tcW w:w="363" w:type="dxa"/>
            <w:tcBorders>
              <w:top w:val="nil"/>
              <w:left w:val="nil"/>
              <w:bottom w:val="nil"/>
              <w:right w:val="nil"/>
            </w:tcBorders>
            <w:hideMark/>
          </w:tcPr>
          <w:p w14:paraId="79E15FEC" w14:textId="77777777" w:rsidR="00A74C68" w:rsidRPr="00471CBA" w:rsidRDefault="00A74C68" w:rsidP="00A74C68">
            <w:pPr>
              <w:rPr>
                <w:color w:val="000000"/>
                <w:sz w:val="16"/>
                <w:szCs w:val="16"/>
                <w:lang w:eastAsia="tr-TR"/>
              </w:rPr>
            </w:pPr>
            <w:r w:rsidRPr="00471CBA">
              <w:rPr>
                <w:color w:val="000000"/>
                <w:sz w:val="16"/>
                <w:szCs w:val="16"/>
                <w:lang w:eastAsia="tr-TR"/>
              </w:rPr>
              <w:t>13</w:t>
            </w:r>
          </w:p>
        </w:tc>
        <w:tc>
          <w:tcPr>
            <w:tcW w:w="5733" w:type="dxa"/>
            <w:tcBorders>
              <w:top w:val="nil"/>
              <w:left w:val="nil"/>
              <w:bottom w:val="nil"/>
              <w:right w:val="nil"/>
            </w:tcBorders>
            <w:noWrap/>
            <w:hideMark/>
          </w:tcPr>
          <w:p w14:paraId="5629CE0E" w14:textId="77777777" w:rsidR="00A74C68" w:rsidRPr="00471CBA" w:rsidRDefault="00A74C68" w:rsidP="00A74C68">
            <w:pPr>
              <w:rPr>
                <w:rFonts w:ascii="Arial" w:hAnsi="Arial" w:cs="Arial"/>
                <w:color w:val="000000"/>
                <w:szCs w:val="20"/>
                <w:lang w:eastAsia="tr-TR"/>
              </w:rPr>
            </w:pPr>
            <w:r w:rsidRPr="00471CBA">
              <w:rPr>
                <w:color w:val="000000"/>
                <w:sz w:val="16"/>
                <w:szCs w:val="16"/>
                <w:lang w:eastAsia="tr-TR"/>
              </w:rPr>
              <w:t xml:space="preserve">  İDD derecelendirmeye dayalı yaklaşım</w:t>
            </w:r>
          </w:p>
        </w:tc>
        <w:tc>
          <w:tcPr>
            <w:tcW w:w="1141" w:type="dxa"/>
            <w:tcBorders>
              <w:top w:val="nil"/>
              <w:left w:val="nil"/>
              <w:bottom w:val="nil"/>
              <w:right w:val="nil"/>
            </w:tcBorders>
            <w:vAlign w:val="bottom"/>
            <w:hideMark/>
          </w:tcPr>
          <w:p w14:paraId="1CD2C987"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c>
          <w:tcPr>
            <w:tcW w:w="1127" w:type="dxa"/>
            <w:tcBorders>
              <w:top w:val="nil"/>
              <w:left w:val="nil"/>
              <w:bottom w:val="nil"/>
              <w:right w:val="nil"/>
            </w:tcBorders>
            <w:vAlign w:val="bottom"/>
            <w:hideMark/>
          </w:tcPr>
          <w:p w14:paraId="5D89FCBC"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c>
          <w:tcPr>
            <w:tcW w:w="1385" w:type="dxa"/>
            <w:tcBorders>
              <w:top w:val="nil"/>
              <w:left w:val="nil"/>
              <w:bottom w:val="nil"/>
              <w:right w:val="nil"/>
            </w:tcBorders>
            <w:vAlign w:val="bottom"/>
            <w:hideMark/>
          </w:tcPr>
          <w:p w14:paraId="11B19716"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r>
      <w:tr w:rsidR="00A74C68" w:rsidRPr="00471CBA" w14:paraId="26BD2C9C" w14:textId="77777777" w:rsidTr="00F36B82">
        <w:trPr>
          <w:divId w:val="1757631080"/>
          <w:trHeight w:val="170"/>
        </w:trPr>
        <w:tc>
          <w:tcPr>
            <w:tcW w:w="363" w:type="dxa"/>
            <w:tcBorders>
              <w:top w:val="nil"/>
              <w:left w:val="nil"/>
              <w:bottom w:val="nil"/>
              <w:right w:val="nil"/>
            </w:tcBorders>
            <w:hideMark/>
          </w:tcPr>
          <w:p w14:paraId="78686E23" w14:textId="77777777" w:rsidR="00A74C68" w:rsidRPr="00471CBA" w:rsidRDefault="00A74C68" w:rsidP="00A74C68">
            <w:pPr>
              <w:rPr>
                <w:color w:val="000000"/>
                <w:sz w:val="16"/>
                <w:szCs w:val="16"/>
                <w:lang w:eastAsia="tr-TR"/>
              </w:rPr>
            </w:pPr>
            <w:r w:rsidRPr="00471CBA">
              <w:rPr>
                <w:color w:val="000000"/>
                <w:sz w:val="16"/>
                <w:szCs w:val="16"/>
                <w:lang w:eastAsia="tr-TR"/>
              </w:rPr>
              <w:t>14</w:t>
            </w:r>
          </w:p>
        </w:tc>
        <w:tc>
          <w:tcPr>
            <w:tcW w:w="5733" w:type="dxa"/>
            <w:tcBorders>
              <w:top w:val="nil"/>
              <w:left w:val="nil"/>
              <w:bottom w:val="nil"/>
              <w:right w:val="nil"/>
            </w:tcBorders>
            <w:noWrap/>
            <w:hideMark/>
          </w:tcPr>
          <w:p w14:paraId="59561BAA" w14:textId="77777777" w:rsidR="00A74C68" w:rsidRPr="00471CBA" w:rsidRDefault="00A74C68" w:rsidP="00A74C68">
            <w:pPr>
              <w:rPr>
                <w:rFonts w:ascii="Arial" w:hAnsi="Arial" w:cs="Arial"/>
                <w:color w:val="000000"/>
                <w:szCs w:val="20"/>
                <w:lang w:eastAsia="tr-TR"/>
              </w:rPr>
            </w:pPr>
            <w:r w:rsidRPr="00471CBA">
              <w:rPr>
                <w:color w:val="000000"/>
                <w:sz w:val="16"/>
                <w:szCs w:val="16"/>
                <w:lang w:eastAsia="tr-TR"/>
              </w:rPr>
              <w:t xml:space="preserve">  İDD denetim otoritesi formülü yaklaşımı</w:t>
            </w:r>
          </w:p>
        </w:tc>
        <w:tc>
          <w:tcPr>
            <w:tcW w:w="1141" w:type="dxa"/>
            <w:tcBorders>
              <w:top w:val="nil"/>
              <w:left w:val="nil"/>
              <w:bottom w:val="nil"/>
              <w:right w:val="nil"/>
            </w:tcBorders>
            <w:vAlign w:val="bottom"/>
            <w:hideMark/>
          </w:tcPr>
          <w:p w14:paraId="577038C6"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c>
          <w:tcPr>
            <w:tcW w:w="1127" w:type="dxa"/>
            <w:tcBorders>
              <w:top w:val="nil"/>
              <w:left w:val="nil"/>
              <w:bottom w:val="nil"/>
              <w:right w:val="nil"/>
            </w:tcBorders>
            <w:vAlign w:val="bottom"/>
            <w:hideMark/>
          </w:tcPr>
          <w:p w14:paraId="073EF2FA"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c>
          <w:tcPr>
            <w:tcW w:w="1385" w:type="dxa"/>
            <w:tcBorders>
              <w:top w:val="nil"/>
              <w:left w:val="nil"/>
              <w:bottom w:val="nil"/>
              <w:right w:val="nil"/>
            </w:tcBorders>
            <w:vAlign w:val="bottom"/>
            <w:hideMark/>
          </w:tcPr>
          <w:p w14:paraId="14FC1BA4"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r>
      <w:tr w:rsidR="00A74C68" w:rsidRPr="00471CBA" w14:paraId="6AE17E1A" w14:textId="77777777" w:rsidTr="00F36B82">
        <w:trPr>
          <w:divId w:val="1757631080"/>
          <w:trHeight w:val="170"/>
        </w:trPr>
        <w:tc>
          <w:tcPr>
            <w:tcW w:w="363" w:type="dxa"/>
            <w:tcBorders>
              <w:top w:val="nil"/>
              <w:left w:val="nil"/>
              <w:bottom w:val="nil"/>
              <w:right w:val="nil"/>
            </w:tcBorders>
            <w:hideMark/>
          </w:tcPr>
          <w:p w14:paraId="426521D5" w14:textId="77777777" w:rsidR="00A74C68" w:rsidRPr="00471CBA" w:rsidRDefault="00A74C68" w:rsidP="00A74C68">
            <w:pPr>
              <w:rPr>
                <w:color w:val="000000"/>
                <w:sz w:val="16"/>
                <w:szCs w:val="16"/>
                <w:lang w:eastAsia="tr-TR"/>
              </w:rPr>
            </w:pPr>
            <w:r w:rsidRPr="00471CBA">
              <w:rPr>
                <w:color w:val="000000"/>
                <w:sz w:val="16"/>
                <w:szCs w:val="16"/>
                <w:lang w:eastAsia="tr-TR"/>
              </w:rPr>
              <w:t>15</w:t>
            </w:r>
          </w:p>
        </w:tc>
        <w:tc>
          <w:tcPr>
            <w:tcW w:w="5733" w:type="dxa"/>
            <w:tcBorders>
              <w:top w:val="nil"/>
              <w:left w:val="nil"/>
              <w:bottom w:val="nil"/>
              <w:right w:val="nil"/>
            </w:tcBorders>
            <w:noWrap/>
            <w:hideMark/>
          </w:tcPr>
          <w:p w14:paraId="3CCFB4F5" w14:textId="77777777" w:rsidR="00A74C68" w:rsidRPr="00471CBA" w:rsidRDefault="00A74C68" w:rsidP="00A74C68">
            <w:pPr>
              <w:rPr>
                <w:rFonts w:ascii="Arial" w:hAnsi="Arial" w:cs="Arial"/>
                <w:color w:val="000000"/>
                <w:szCs w:val="20"/>
                <w:lang w:eastAsia="tr-TR"/>
              </w:rPr>
            </w:pPr>
            <w:r w:rsidRPr="00471CBA">
              <w:rPr>
                <w:color w:val="000000"/>
                <w:sz w:val="16"/>
                <w:szCs w:val="16"/>
                <w:lang w:eastAsia="tr-TR"/>
              </w:rPr>
              <w:t xml:space="preserve">  Standart basitleştirilmiş denetim otoritesi formülü yaklaşımı</w:t>
            </w:r>
          </w:p>
        </w:tc>
        <w:tc>
          <w:tcPr>
            <w:tcW w:w="1141" w:type="dxa"/>
            <w:tcBorders>
              <w:top w:val="nil"/>
              <w:left w:val="nil"/>
              <w:bottom w:val="nil"/>
              <w:right w:val="nil"/>
            </w:tcBorders>
            <w:vAlign w:val="bottom"/>
            <w:hideMark/>
          </w:tcPr>
          <w:p w14:paraId="075DE6E9"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c>
          <w:tcPr>
            <w:tcW w:w="1127" w:type="dxa"/>
            <w:tcBorders>
              <w:top w:val="nil"/>
              <w:left w:val="nil"/>
              <w:bottom w:val="nil"/>
              <w:right w:val="nil"/>
            </w:tcBorders>
            <w:vAlign w:val="bottom"/>
            <w:hideMark/>
          </w:tcPr>
          <w:p w14:paraId="38702C32"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c>
          <w:tcPr>
            <w:tcW w:w="1385" w:type="dxa"/>
            <w:tcBorders>
              <w:top w:val="nil"/>
              <w:left w:val="nil"/>
              <w:bottom w:val="nil"/>
              <w:right w:val="nil"/>
            </w:tcBorders>
            <w:vAlign w:val="bottom"/>
            <w:hideMark/>
          </w:tcPr>
          <w:p w14:paraId="425C52CE"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r>
      <w:tr w:rsidR="00A74C68" w:rsidRPr="00471CBA" w14:paraId="48956916" w14:textId="77777777" w:rsidTr="00F36B82">
        <w:trPr>
          <w:divId w:val="1757631080"/>
          <w:trHeight w:val="170"/>
        </w:trPr>
        <w:tc>
          <w:tcPr>
            <w:tcW w:w="363" w:type="dxa"/>
            <w:tcBorders>
              <w:top w:val="nil"/>
              <w:left w:val="nil"/>
              <w:bottom w:val="nil"/>
              <w:right w:val="nil"/>
            </w:tcBorders>
            <w:hideMark/>
          </w:tcPr>
          <w:p w14:paraId="67AFA068" w14:textId="77777777" w:rsidR="00A74C68" w:rsidRPr="00471CBA" w:rsidRDefault="00A74C68" w:rsidP="00A74C68">
            <w:pPr>
              <w:rPr>
                <w:color w:val="000000"/>
                <w:sz w:val="16"/>
                <w:szCs w:val="16"/>
                <w:lang w:eastAsia="tr-TR"/>
              </w:rPr>
            </w:pPr>
            <w:r w:rsidRPr="00471CBA">
              <w:rPr>
                <w:color w:val="000000"/>
                <w:sz w:val="16"/>
                <w:szCs w:val="16"/>
                <w:lang w:eastAsia="tr-TR"/>
              </w:rPr>
              <w:t>16</w:t>
            </w:r>
          </w:p>
        </w:tc>
        <w:tc>
          <w:tcPr>
            <w:tcW w:w="5733" w:type="dxa"/>
            <w:tcBorders>
              <w:top w:val="nil"/>
              <w:left w:val="nil"/>
              <w:bottom w:val="nil"/>
              <w:right w:val="nil"/>
            </w:tcBorders>
            <w:noWrap/>
            <w:hideMark/>
          </w:tcPr>
          <w:p w14:paraId="57A9A473" w14:textId="77777777" w:rsidR="00A74C68" w:rsidRPr="00471CBA" w:rsidRDefault="00A74C68" w:rsidP="00A74C68">
            <w:pPr>
              <w:rPr>
                <w:color w:val="000000"/>
                <w:sz w:val="16"/>
                <w:szCs w:val="16"/>
                <w:lang w:eastAsia="tr-TR"/>
              </w:rPr>
            </w:pPr>
            <w:r w:rsidRPr="00471CBA">
              <w:rPr>
                <w:color w:val="000000"/>
                <w:sz w:val="16"/>
                <w:szCs w:val="16"/>
                <w:lang w:eastAsia="tr-TR"/>
              </w:rPr>
              <w:t>Piyasa riski</w:t>
            </w:r>
          </w:p>
        </w:tc>
        <w:tc>
          <w:tcPr>
            <w:tcW w:w="1141" w:type="dxa"/>
            <w:tcBorders>
              <w:top w:val="nil"/>
              <w:left w:val="nil"/>
              <w:bottom w:val="nil"/>
              <w:right w:val="nil"/>
            </w:tcBorders>
            <w:vAlign w:val="bottom"/>
            <w:hideMark/>
          </w:tcPr>
          <w:p w14:paraId="2216B47C" w14:textId="77777777" w:rsidR="00A74C68" w:rsidRPr="00471CBA" w:rsidRDefault="00A74C68" w:rsidP="00F36B82">
            <w:pPr>
              <w:jc w:val="right"/>
              <w:rPr>
                <w:color w:val="000000"/>
                <w:sz w:val="16"/>
                <w:szCs w:val="16"/>
                <w:lang w:eastAsia="tr-TR"/>
              </w:rPr>
            </w:pPr>
            <w:r w:rsidRPr="00471CBA">
              <w:rPr>
                <w:color w:val="000000"/>
                <w:sz w:val="16"/>
                <w:szCs w:val="16"/>
                <w:lang w:eastAsia="tr-TR"/>
              </w:rPr>
              <w:t>4.400.525</w:t>
            </w:r>
          </w:p>
        </w:tc>
        <w:tc>
          <w:tcPr>
            <w:tcW w:w="1127" w:type="dxa"/>
            <w:tcBorders>
              <w:top w:val="nil"/>
              <w:left w:val="nil"/>
              <w:bottom w:val="nil"/>
              <w:right w:val="nil"/>
            </w:tcBorders>
            <w:vAlign w:val="bottom"/>
            <w:hideMark/>
          </w:tcPr>
          <w:p w14:paraId="5C16B151" w14:textId="77777777" w:rsidR="00A74C68" w:rsidRPr="00471CBA" w:rsidRDefault="00A74C68" w:rsidP="00F36B82">
            <w:pPr>
              <w:jc w:val="right"/>
              <w:rPr>
                <w:color w:val="000000"/>
                <w:sz w:val="16"/>
                <w:szCs w:val="16"/>
                <w:lang w:eastAsia="tr-TR"/>
              </w:rPr>
            </w:pPr>
            <w:r w:rsidRPr="00471CBA">
              <w:rPr>
                <w:color w:val="000000"/>
                <w:sz w:val="16"/>
                <w:szCs w:val="16"/>
                <w:lang w:eastAsia="tr-TR"/>
              </w:rPr>
              <w:t>378.763</w:t>
            </w:r>
          </w:p>
        </w:tc>
        <w:tc>
          <w:tcPr>
            <w:tcW w:w="1385" w:type="dxa"/>
            <w:tcBorders>
              <w:top w:val="nil"/>
              <w:left w:val="nil"/>
              <w:bottom w:val="nil"/>
              <w:right w:val="nil"/>
            </w:tcBorders>
            <w:vAlign w:val="bottom"/>
            <w:hideMark/>
          </w:tcPr>
          <w:p w14:paraId="6D9D5A12" w14:textId="77777777" w:rsidR="00A74C68" w:rsidRPr="00471CBA" w:rsidRDefault="00A74C68" w:rsidP="00F36B82">
            <w:pPr>
              <w:jc w:val="right"/>
              <w:rPr>
                <w:color w:val="000000"/>
                <w:sz w:val="16"/>
                <w:szCs w:val="16"/>
                <w:lang w:eastAsia="tr-TR"/>
              </w:rPr>
            </w:pPr>
            <w:r w:rsidRPr="00471CBA">
              <w:rPr>
                <w:color w:val="000000"/>
                <w:sz w:val="16"/>
                <w:szCs w:val="16"/>
                <w:lang w:eastAsia="tr-TR"/>
              </w:rPr>
              <w:t>352.042</w:t>
            </w:r>
          </w:p>
        </w:tc>
      </w:tr>
      <w:tr w:rsidR="00A74C68" w:rsidRPr="00471CBA" w14:paraId="7C5A748D" w14:textId="77777777" w:rsidTr="00F36B82">
        <w:trPr>
          <w:divId w:val="1757631080"/>
          <w:trHeight w:val="170"/>
        </w:trPr>
        <w:tc>
          <w:tcPr>
            <w:tcW w:w="363" w:type="dxa"/>
            <w:tcBorders>
              <w:top w:val="nil"/>
              <w:left w:val="nil"/>
              <w:bottom w:val="nil"/>
              <w:right w:val="nil"/>
            </w:tcBorders>
            <w:hideMark/>
          </w:tcPr>
          <w:p w14:paraId="26ED5745" w14:textId="77777777" w:rsidR="00A74C68" w:rsidRPr="00471CBA" w:rsidRDefault="00A74C68" w:rsidP="00A74C68">
            <w:pPr>
              <w:rPr>
                <w:color w:val="000000"/>
                <w:sz w:val="16"/>
                <w:szCs w:val="16"/>
                <w:lang w:eastAsia="tr-TR"/>
              </w:rPr>
            </w:pPr>
            <w:r w:rsidRPr="00471CBA">
              <w:rPr>
                <w:color w:val="000000"/>
                <w:sz w:val="16"/>
                <w:szCs w:val="16"/>
                <w:lang w:eastAsia="tr-TR"/>
              </w:rPr>
              <w:t>17</w:t>
            </w:r>
          </w:p>
        </w:tc>
        <w:tc>
          <w:tcPr>
            <w:tcW w:w="5733" w:type="dxa"/>
            <w:tcBorders>
              <w:top w:val="nil"/>
              <w:left w:val="nil"/>
              <w:bottom w:val="nil"/>
              <w:right w:val="nil"/>
            </w:tcBorders>
            <w:noWrap/>
            <w:hideMark/>
          </w:tcPr>
          <w:p w14:paraId="7A39C994" w14:textId="77777777" w:rsidR="00A74C68" w:rsidRPr="00471CBA" w:rsidRDefault="00A74C68" w:rsidP="00A74C68">
            <w:pPr>
              <w:rPr>
                <w:rFonts w:ascii="Arial" w:hAnsi="Arial" w:cs="Arial"/>
                <w:color w:val="000000"/>
                <w:szCs w:val="20"/>
                <w:lang w:eastAsia="tr-TR"/>
              </w:rPr>
            </w:pPr>
            <w:r w:rsidRPr="00471CBA">
              <w:rPr>
                <w:color w:val="000000"/>
                <w:sz w:val="16"/>
                <w:szCs w:val="16"/>
                <w:lang w:eastAsia="tr-TR"/>
              </w:rPr>
              <w:t xml:space="preserve">  Standart yaklaşım</w:t>
            </w:r>
          </w:p>
        </w:tc>
        <w:tc>
          <w:tcPr>
            <w:tcW w:w="1141" w:type="dxa"/>
            <w:tcBorders>
              <w:top w:val="nil"/>
              <w:left w:val="nil"/>
              <w:bottom w:val="nil"/>
              <w:right w:val="nil"/>
            </w:tcBorders>
            <w:vAlign w:val="bottom"/>
            <w:hideMark/>
          </w:tcPr>
          <w:p w14:paraId="15F738F7" w14:textId="77777777" w:rsidR="00A74C68" w:rsidRPr="00471CBA" w:rsidRDefault="00A74C68" w:rsidP="00F36B82">
            <w:pPr>
              <w:jc w:val="right"/>
              <w:rPr>
                <w:color w:val="000000"/>
                <w:sz w:val="16"/>
                <w:szCs w:val="16"/>
                <w:lang w:eastAsia="tr-TR"/>
              </w:rPr>
            </w:pPr>
            <w:r w:rsidRPr="00471CBA">
              <w:rPr>
                <w:color w:val="000000"/>
                <w:sz w:val="16"/>
                <w:szCs w:val="16"/>
                <w:lang w:eastAsia="tr-TR"/>
              </w:rPr>
              <w:t>4.400.525</w:t>
            </w:r>
          </w:p>
        </w:tc>
        <w:tc>
          <w:tcPr>
            <w:tcW w:w="1127" w:type="dxa"/>
            <w:tcBorders>
              <w:top w:val="nil"/>
              <w:left w:val="nil"/>
              <w:bottom w:val="nil"/>
              <w:right w:val="nil"/>
            </w:tcBorders>
            <w:vAlign w:val="bottom"/>
            <w:hideMark/>
          </w:tcPr>
          <w:p w14:paraId="48511B7F" w14:textId="77777777" w:rsidR="00A74C68" w:rsidRPr="00471CBA" w:rsidRDefault="00A74C68" w:rsidP="00F36B82">
            <w:pPr>
              <w:jc w:val="right"/>
              <w:rPr>
                <w:color w:val="000000"/>
                <w:sz w:val="16"/>
                <w:szCs w:val="16"/>
                <w:lang w:eastAsia="tr-TR"/>
              </w:rPr>
            </w:pPr>
            <w:r w:rsidRPr="00471CBA">
              <w:rPr>
                <w:color w:val="000000"/>
                <w:sz w:val="16"/>
                <w:szCs w:val="16"/>
                <w:lang w:eastAsia="tr-TR"/>
              </w:rPr>
              <w:t>378.763</w:t>
            </w:r>
          </w:p>
        </w:tc>
        <w:tc>
          <w:tcPr>
            <w:tcW w:w="1385" w:type="dxa"/>
            <w:tcBorders>
              <w:top w:val="nil"/>
              <w:left w:val="nil"/>
              <w:bottom w:val="nil"/>
              <w:right w:val="nil"/>
            </w:tcBorders>
            <w:vAlign w:val="bottom"/>
            <w:hideMark/>
          </w:tcPr>
          <w:p w14:paraId="6A98A0B7" w14:textId="77777777" w:rsidR="00A74C68" w:rsidRPr="00471CBA" w:rsidRDefault="00A74C68" w:rsidP="00F36B82">
            <w:pPr>
              <w:jc w:val="right"/>
              <w:rPr>
                <w:color w:val="000000"/>
                <w:sz w:val="16"/>
                <w:szCs w:val="16"/>
                <w:lang w:eastAsia="tr-TR"/>
              </w:rPr>
            </w:pPr>
            <w:r w:rsidRPr="00471CBA">
              <w:rPr>
                <w:color w:val="000000"/>
                <w:sz w:val="16"/>
                <w:szCs w:val="16"/>
                <w:lang w:eastAsia="tr-TR"/>
              </w:rPr>
              <w:t>352.042</w:t>
            </w:r>
          </w:p>
        </w:tc>
      </w:tr>
      <w:tr w:rsidR="00A74C68" w:rsidRPr="00471CBA" w14:paraId="7A571761" w14:textId="77777777" w:rsidTr="00F36B82">
        <w:trPr>
          <w:divId w:val="1757631080"/>
          <w:trHeight w:val="170"/>
        </w:trPr>
        <w:tc>
          <w:tcPr>
            <w:tcW w:w="363" w:type="dxa"/>
            <w:tcBorders>
              <w:top w:val="nil"/>
              <w:left w:val="nil"/>
              <w:bottom w:val="nil"/>
              <w:right w:val="nil"/>
            </w:tcBorders>
            <w:hideMark/>
          </w:tcPr>
          <w:p w14:paraId="353650E4" w14:textId="77777777" w:rsidR="00A74C68" w:rsidRPr="00471CBA" w:rsidRDefault="00A74C68" w:rsidP="00A74C68">
            <w:pPr>
              <w:rPr>
                <w:color w:val="000000"/>
                <w:sz w:val="16"/>
                <w:szCs w:val="16"/>
                <w:lang w:eastAsia="tr-TR"/>
              </w:rPr>
            </w:pPr>
            <w:r w:rsidRPr="00471CBA">
              <w:rPr>
                <w:color w:val="000000"/>
                <w:sz w:val="16"/>
                <w:szCs w:val="16"/>
                <w:lang w:eastAsia="tr-TR"/>
              </w:rPr>
              <w:t>18</w:t>
            </w:r>
          </w:p>
        </w:tc>
        <w:tc>
          <w:tcPr>
            <w:tcW w:w="5733" w:type="dxa"/>
            <w:tcBorders>
              <w:top w:val="nil"/>
              <w:left w:val="nil"/>
              <w:bottom w:val="nil"/>
              <w:right w:val="nil"/>
            </w:tcBorders>
            <w:noWrap/>
            <w:hideMark/>
          </w:tcPr>
          <w:p w14:paraId="7FCA047B" w14:textId="77777777" w:rsidR="00A74C68" w:rsidRPr="00471CBA" w:rsidRDefault="00A74C68" w:rsidP="00A74C68">
            <w:pPr>
              <w:rPr>
                <w:rFonts w:ascii="Arial" w:hAnsi="Arial" w:cs="Arial"/>
                <w:color w:val="000000"/>
                <w:szCs w:val="20"/>
                <w:lang w:eastAsia="tr-TR"/>
              </w:rPr>
            </w:pPr>
            <w:r w:rsidRPr="00471CBA">
              <w:rPr>
                <w:color w:val="000000"/>
                <w:sz w:val="16"/>
                <w:szCs w:val="16"/>
                <w:lang w:eastAsia="tr-TR"/>
              </w:rPr>
              <w:t xml:space="preserve">  İçsel model yaklaşımları</w:t>
            </w:r>
          </w:p>
        </w:tc>
        <w:tc>
          <w:tcPr>
            <w:tcW w:w="1141" w:type="dxa"/>
            <w:tcBorders>
              <w:top w:val="nil"/>
              <w:left w:val="nil"/>
              <w:bottom w:val="nil"/>
              <w:right w:val="nil"/>
            </w:tcBorders>
            <w:vAlign w:val="bottom"/>
            <w:hideMark/>
          </w:tcPr>
          <w:p w14:paraId="041AD1BB"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c>
          <w:tcPr>
            <w:tcW w:w="1127" w:type="dxa"/>
            <w:tcBorders>
              <w:top w:val="nil"/>
              <w:left w:val="nil"/>
              <w:bottom w:val="nil"/>
              <w:right w:val="nil"/>
            </w:tcBorders>
            <w:vAlign w:val="bottom"/>
            <w:hideMark/>
          </w:tcPr>
          <w:p w14:paraId="13ECADE8"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c>
          <w:tcPr>
            <w:tcW w:w="1385" w:type="dxa"/>
            <w:tcBorders>
              <w:top w:val="nil"/>
              <w:left w:val="nil"/>
              <w:bottom w:val="nil"/>
              <w:right w:val="nil"/>
            </w:tcBorders>
            <w:vAlign w:val="bottom"/>
            <w:hideMark/>
          </w:tcPr>
          <w:p w14:paraId="79D84EE1"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r>
      <w:tr w:rsidR="00A74C68" w:rsidRPr="00471CBA" w14:paraId="0A6632B9" w14:textId="77777777" w:rsidTr="00F36B82">
        <w:trPr>
          <w:divId w:val="1757631080"/>
          <w:trHeight w:val="170"/>
        </w:trPr>
        <w:tc>
          <w:tcPr>
            <w:tcW w:w="363" w:type="dxa"/>
            <w:tcBorders>
              <w:top w:val="nil"/>
              <w:left w:val="nil"/>
              <w:bottom w:val="nil"/>
              <w:right w:val="nil"/>
            </w:tcBorders>
            <w:hideMark/>
          </w:tcPr>
          <w:p w14:paraId="7A28D800" w14:textId="77777777" w:rsidR="00A74C68" w:rsidRPr="00471CBA" w:rsidRDefault="00A74C68" w:rsidP="00A74C68">
            <w:pPr>
              <w:rPr>
                <w:color w:val="000000"/>
                <w:sz w:val="16"/>
                <w:szCs w:val="16"/>
                <w:lang w:eastAsia="tr-TR"/>
              </w:rPr>
            </w:pPr>
            <w:r w:rsidRPr="00471CBA">
              <w:rPr>
                <w:color w:val="000000"/>
                <w:sz w:val="16"/>
                <w:szCs w:val="16"/>
                <w:lang w:eastAsia="tr-TR"/>
              </w:rPr>
              <w:t>19</w:t>
            </w:r>
          </w:p>
        </w:tc>
        <w:tc>
          <w:tcPr>
            <w:tcW w:w="5733" w:type="dxa"/>
            <w:tcBorders>
              <w:top w:val="nil"/>
              <w:left w:val="nil"/>
              <w:bottom w:val="nil"/>
              <w:right w:val="nil"/>
            </w:tcBorders>
            <w:noWrap/>
            <w:hideMark/>
          </w:tcPr>
          <w:p w14:paraId="0BF36A45" w14:textId="77777777" w:rsidR="00A74C68" w:rsidRPr="00471CBA" w:rsidRDefault="00A74C68" w:rsidP="00A74C68">
            <w:pPr>
              <w:rPr>
                <w:color w:val="000000"/>
                <w:sz w:val="16"/>
                <w:szCs w:val="16"/>
                <w:lang w:eastAsia="tr-TR"/>
              </w:rPr>
            </w:pPr>
            <w:r w:rsidRPr="00471CBA">
              <w:rPr>
                <w:color w:val="000000"/>
                <w:sz w:val="16"/>
                <w:szCs w:val="16"/>
                <w:lang w:eastAsia="tr-TR"/>
              </w:rPr>
              <w:t>Operasyonel risk</w:t>
            </w:r>
          </w:p>
        </w:tc>
        <w:tc>
          <w:tcPr>
            <w:tcW w:w="1141" w:type="dxa"/>
            <w:tcBorders>
              <w:top w:val="nil"/>
              <w:left w:val="nil"/>
              <w:bottom w:val="nil"/>
              <w:right w:val="nil"/>
            </w:tcBorders>
            <w:vAlign w:val="bottom"/>
            <w:hideMark/>
          </w:tcPr>
          <w:p w14:paraId="14408CB2" w14:textId="77777777" w:rsidR="00A74C68" w:rsidRPr="00471CBA" w:rsidRDefault="00A74C68" w:rsidP="00F36B82">
            <w:pPr>
              <w:jc w:val="right"/>
              <w:rPr>
                <w:color w:val="000000"/>
                <w:sz w:val="16"/>
                <w:szCs w:val="16"/>
                <w:lang w:eastAsia="tr-TR"/>
              </w:rPr>
            </w:pPr>
            <w:r w:rsidRPr="00471CBA">
              <w:rPr>
                <w:color w:val="000000"/>
                <w:sz w:val="16"/>
                <w:szCs w:val="16"/>
                <w:lang w:eastAsia="tr-TR"/>
              </w:rPr>
              <w:t>2.050.407</w:t>
            </w:r>
          </w:p>
        </w:tc>
        <w:tc>
          <w:tcPr>
            <w:tcW w:w="1127" w:type="dxa"/>
            <w:tcBorders>
              <w:top w:val="nil"/>
              <w:left w:val="nil"/>
              <w:bottom w:val="nil"/>
              <w:right w:val="nil"/>
            </w:tcBorders>
            <w:vAlign w:val="bottom"/>
            <w:hideMark/>
          </w:tcPr>
          <w:p w14:paraId="0B6241EA" w14:textId="77777777" w:rsidR="00A74C68" w:rsidRPr="00471CBA" w:rsidRDefault="00A74C68" w:rsidP="00F36B82">
            <w:pPr>
              <w:jc w:val="right"/>
              <w:rPr>
                <w:color w:val="000000"/>
                <w:sz w:val="16"/>
                <w:szCs w:val="16"/>
                <w:lang w:eastAsia="tr-TR"/>
              </w:rPr>
            </w:pPr>
            <w:r w:rsidRPr="00471CBA">
              <w:rPr>
                <w:color w:val="000000"/>
                <w:sz w:val="16"/>
                <w:szCs w:val="16"/>
                <w:lang w:eastAsia="tr-TR"/>
              </w:rPr>
              <w:t>71.588</w:t>
            </w:r>
          </w:p>
        </w:tc>
        <w:tc>
          <w:tcPr>
            <w:tcW w:w="1385" w:type="dxa"/>
            <w:tcBorders>
              <w:top w:val="nil"/>
              <w:left w:val="nil"/>
              <w:bottom w:val="nil"/>
              <w:right w:val="nil"/>
            </w:tcBorders>
            <w:vAlign w:val="bottom"/>
            <w:hideMark/>
          </w:tcPr>
          <w:p w14:paraId="538758CA" w14:textId="77777777" w:rsidR="00A74C68" w:rsidRPr="00471CBA" w:rsidRDefault="00A74C68" w:rsidP="00F36B82">
            <w:pPr>
              <w:jc w:val="right"/>
              <w:rPr>
                <w:color w:val="000000"/>
                <w:sz w:val="16"/>
                <w:szCs w:val="16"/>
                <w:lang w:eastAsia="tr-TR"/>
              </w:rPr>
            </w:pPr>
            <w:r w:rsidRPr="00471CBA">
              <w:rPr>
                <w:color w:val="000000"/>
                <w:sz w:val="16"/>
                <w:szCs w:val="16"/>
                <w:lang w:eastAsia="tr-TR"/>
              </w:rPr>
              <w:t>164.033</w:t>
            </w:r>
          </w:p>
        </w:tc>
      </w:tr>
      <w:tr w:rsidR="00A74C68" w:rsidRPr="00471CBA" w14:paraId="12061580" w14:textId="77777777" w:rsidTr="00F36B82">
        <w:trPr>
          <w:divId w:val="1757631080"/>
          <w:trHeight w:val="170"/>
        </w:trPr>
        <w:tc>
          <w:tcPr>
            <w:tcW w:w="363" w:type="dxa"/>
            <w:tcBorders>
              <w:top w:val="nil"/>
              <w:left w:val="nil"/>
              <w:bottom w:val="nil"/>
              <w:right w:val="nil"/>
            </w:tcBorders>
            <w:hideMark/>
          </w:tcPr>
          <w:p w14:paraId="0DB4A7EB" w14:textId="77777777" w:rsidR="00A74C68" w:rsidRPr="00471CBA" w:rsidRDefault="00A74C68" w:rsidP="00A74C68">
            <w:pPr>
              <w:rPr>
                <w:color w:val="000000"/>
                <w:sz w:val="16"/>
                <w:szCs w:val="16"/>
                <w:lang w:eastAsia="tr-TR"/>
              </w:rPr>
            </w:pPr>
            <w:r w:rsidRPr="00471CBA">
              <w:rPr>
                <w:color w:val="000000"/>
                <w:sz w:val="16"/>
                <w:szCs w:val="16"/>
                <w:lang w:eastAsia="tr-TR"/>
              </w:rPr>
              <w:t>20</w:t>
            </w:r>
          </w:p>
        </w:tc>
        <w:tc>
          <w:tcPr>
            <w:tcW w:w="5733" w:type="dxa"/>
            <w:tcBorders>
              <w:top w:val="nil"/>
              <w:left w:val="nil"/>
              <w:bottom w:val="nil"/>
              <w:right w:val="nil"/>
            </w:tcBorders>
            <w:noWrap/>
            <w:hideMark/>
          </w:tcPr>
          <w:p w14:paraId="669AAB80" w14:textId="77777777" w:rsidR="00A74C68" w:rsidRPr="00471CBA" w:rsidRDefault="00A74C68" w:rsidP="00A74C68">
            <w:pPr>
              <w:rPr>
                <w:rFonts w:ascii="Arial" w:hAnsi="Arial" w:cs="Arial"/>
                <w:color w:val="000000"/>
                <w:szCs w:val="20"/>
                <w:lang w:eastAsia="tr-TR"/>
              </w:rPr>
            </w:pPr>
            <w:r w:rsidRPr="00471CBA">
              <w:rPr>
                <w:color w:val="000000"/>
                <w:sz w:val="16"/>
                <w:szCs w:val="16"/>
                <w:lang w:eastAsia="tr-TR"/>
              </w:rPr>
              <w:t xml:space="preserve">  Temel gösterge yaklaşımı</w:t>
            </w:r>
          </w:p>
        </w:tc>
        <w:tc>
          <w:tcPr>
            <w:tcW w:w="1141" w:type="dxa"/>
            <w:tcBorders>
              <w:top w:val="nil"/>
              <w:left w:val="nil"/>
              <w:bottom w:val="nil"/>
              <w:right w:val="nil"/>
            </w:tcBorders>
            <w:vAlign w:val="bottom"/>
            <w:hideMark/>
          </w:tcPr>
          <w:p w14:paraId="56B23221" w14:textId="77777777" w:rsidR="00A74C68" w:rsidRPr="00471CBA" w:rsidRDefault="00A74C68" w:rsidP="00F36B82">
            <w:pPr>
              <w:jc w:val="right"/>
              <w:rPr>
                <w:color w:val="000000"/>
                <w:sz w:val="16"/>
                <w:szCs w:val="16"/>
                <w:lang w:eastAsia="tr-TR"/>
              </w:rPr>
            </w:pPr>
            <w:r w:rsidRPr="00471CBA">
              <w:rPr>
                <w:color w:val="000000"/>
                <w:sz w:val="16"/>
                <w:szCs w:val="16"/>
                <w:lang w:eastAsia="tr-TR"/>
              </w:rPr>
              <w:t>2.050.407</w:t>
            </w:r>
          </w:p>
        </w:tc>
        <w:tc>
          <w:tcPr>
            <w:tcW w:w="1127" w:type="dxa"/>
            <w:tcBorders>
              <w:top w:val="nil"/>
              <w:left w:val="nil"/>
              <w:bottom w:val="nil"/>
              <w:right w:val="nil"/>
            </w:tcBorders>
            <w:vAlign w:val="bottom"/>
            <w:hideMark/>
          </w:tcPr>
          <w:p w14:paraId="0D39F3A8" w14:textId="77777777" w:rsidR="00A74C68" w:rsidRPr="00471CBA" w:rsidRDefault="00A74C68" w:rsidP="00F36B82">
            <w:pPr>
              <w:jc w:val="right"/>
              <w:rPr>
                <w:color w:val="000000"/>
                <w:sz w:val="16"/>
                <w:szCs w:val="16"/>
                <w:lang w:eastAsia="tr-TR"/>
              </w:rPr>
            </w:pPr>
            <w:r w:rsidRPr="00471CBA">
              <w:rPr>
                <w:color w:val="000000"/>
                <w:sz w:val="16"/>
                <w:szCs w:val="16"/>
                <w:lang w:eastAsia="tr-TR"/>
              </w:rPr>
              <w:t>71.588</w:t>
            </w:r>
          </w:p>
        </w:tc>
        <w:tc>
          <w:tcPr>
            <w:tcW w:w="1385" w:type="dxa"/>
            <w:tcBorders>
              <w:top w:val="nil"/>
              <w:left w:val="nil"/>
              <w:bottom w:val="nil"/>
              <w:right w:val="nil"/>
            </w:tcBorders>
            <w:vAlign w:val="bottom"/>
            <w:hideMark/>
          </w:tcPr>
          <w:p w14:paraId="03453B71" w14:textId="77777777" w:rsidR="00A74C68" w:rsidRPr="00471CBA" w:rsidRDefault="00A74C68" w:rsidP="00F36B82">
            <w:pPr>
              <w:jc w:val="right"/>
              <w:rPr>
                <w:color w:val="000000"/>
                <w:sz w:val="16"/>
                <w:szCs w:val="16"/>
                <w:lang w:eastAsia="tr-TR"/>
              </w:rPr>
            </w:pPr>
            <w:r w:rsidRPr="00471CBA">
              <w:rPr>
                <w:color w:val="000000"/>
                <w:sz w:val="16"/>
                <w:szCs w:val="16"/>
                <w:lang w:eastAsia="tr-TR"/>
              </w:rPr>
              <w:t>164.033</w:t>
            </w:r>
          </w:p>
        </w:tc>
      </w:tr>
      <w:tr w:rsidR="00A74C68" w:rsidRPr="00471CBA" w14:paraId="7D6BF531" w14:textId="77777777" w:rsidTr="00F36B82">
        <w:trPr>
          <w:divId w:val="1757631080"/>
          <w:trHeight w:val="170"/>
        </w:trPr>
        <w:tc>
          <w:tcPr>
            <w:tcW w:w="363" w:type="dxa"/>
            <w:tcBorders>
              <w:top w:val="nil"/>
              <w:left w:val="nil"/>
              <w:bottom w:val="nil"/>
              <w:right w:val="nil"/>
            </w:tcBorders>
            <w:hideMark/>
          </w:tcPr>
          <w:p w14:paraId="0E7392DE" w14:textId="77777777" w:rsidR="00A74C68" w:rsidRPr="00471CBA" w:rsidRDefault="00A74C68" w:rsidP="00A74C68">
            <w:pPr>
              <w:rPr>
                <w:color w:val="000000"/>
                <w:sz w:val="16"/>
                <w:szCs w:val="16"/>
                <w:lang w:eastAsia="tr-TR"/>
              </w:rPr>
            </w:pPr>
            <w:r w:rsidRPr="00471CBA">
              <w:rPr>
                <w:color w:val="000000"/>
                <w:sz w:val="16"/>
                <w:szCs w:val="16"/>
                <w:lang w:eastAsia="tr-TR"/>
              </w:rPr>
              <w:t>21</w:t>
            </w:r>
          </w:p>
        </w:tc>
        <w:tc>
          <w:tcPr>
            <w:tcW w:w="5733" w:type="dxa"/>
            <w:tcBorders>
              <w:top w:val="nil"/>
              <w:left w:val="nil"/>
              <w:bottom w:val="nil"/>
              <w:right w:val="nil"/>
            </w:tcBorders>
            <w:noWrap/>
            <w:hideMark/>
          </w:tcPr>
          <w:p w14:paraId="02D5FE15" w14:textId="77777777" w:rsidR="00A74C68" w:rsidRPr="00471CBA" w:rsidRDefault="00A74C68" w:rsidP="00A74C68">
            <w:pPr>
              <w:rPr>
                <w:rFonts w:ascii="Arial" w:hAnsi="Arial" w:cs="Arial"/>
                <w:color w:val="000000"/>
                <w:szCs w:val="20"/>
                <w:lang w:eastAsia="tr-TR"/>
              </w:rPr>
            </w:pPr>
            <w:r w:rsidRPr="00471CBA">
              <w:rPr>
                <w:color w:val="000000"/>
                <w:sz w:val="16"/>
                <w:szCs w:val="16"/>
                <w:lang w:eastAsia="tr-TR"/>
              </w:rPr>
              <w:t xml:space="preserve">  Standart yaklaşım</w:t>
            </w:r>
          </w:p>
        </w:tc>
        <w:tc>
          <w:tcPr>
            <w:tcW w:w="1141" w:type="dxa"/>
            <w:tcBorders>
              <w:top w:val="nil"/>
              <w:left w:val="nil"/>
              <w:bottom w:val="nil"/>
              <w:right w:val="nil"/>
            </w:tcBorders>
            <w:vAlign w:val="bottom"/>
            <w:hideMark/>
          </w:tcPr>
          <w:p w14:paraId="66811E47"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c>
          <w:tcPr>
            <w:tcW w:w="1127" w:type="dxa"/>
            <w:tcBorders>
              <w:top w:val="nil"/>
              <w:left w:val="nil"/>
              <w:bottom w:val="nil"/>
              <w:right w:val="nil"/>
            </w:tcBorders>
            <w:vAlign w:val="bottom"/>
            <w:hideMark/>
          </w:tcPr>
          <w:p w14:paraId="027381E9"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c>
          <w:tcPr>
            <w:tcW w:w="1385" w:type="dxa"/>
            <w:tcBorders>
              <w:top w:val="nil"/>
              <w:left w:val="nil"/>
              <w:bottom w:val="nil"/>
              <w:right w:val="nil"/>
            </w:tcBorders>
            <w:vAlign w:val="bottom"/>
            <w:hideMark/>
          </w:tcPr>
          <w:p w14:paraId="244B7248"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r>
      <w:tr w:rsidR="00A74C68" w:rsidRPr="00471CBA" w14:paraId="48D6E1D2" w14:textId="77777777" w:rsidTr="00F36B82">
        <w:trPr>
          <w:divId w:val="1757631080"/>
          <w:trHeight w:val="170"/>
        </w:trPr>
        <w:tc>
          <w:tcPr>
            <w:tcW w:w="363" w:type="dxa"/>
            <w:tcBorders>
              <w:top w:val="nil"/>
              <w:left w:val="nil"/>
              <w:bottom w:val="nil"/>
              <w:right w:val="nil"/>
            </w:tcBorders>
            <w:hideMark/>
          </w:tcPr>
          <w:p w14:paraId="31AA631F" w14:textId="77777777" w:rsidR="00A74C68" w:rsidRPr="00471CBA" w:rsidRDefault="00A74C68" w:rsidP="00A74C68">
            <w:pPr>
              <w:rPr>
                <w:color w:val="000000"/>
                <w:sz w:val="16"/>
                <w:szCs w:val="16"/>
                <w:lang w:eastAsia="tr-TR"/>
              </w:rPr>
            </w:pPr>
            <w:r w:rsidRPr="00471CBA">
              <w:rPr>
                <w:color w:val="000000"/>
                <w:sz w:val="16"/>
                <w:szCs w:val="16"/>
                <w:lang w:eastAsia="tr-TR"/>
              </w:rPr>
              <w:t>22</w:t>
            </w:r>
          </w:p>
        </w:tc>
        <w:tc>
          <w:tcPr>
            <w:tcW w:w="5733" w:type="dxa"/>
            <w:tcBorders>
              <w:top w:val="nil"/>
              <w:left w:val="nil"/>
              <w:bottom w:val="nil"/>
              <w:right w:val="nil"/>
            </w:tcBorders>
            <w:noWrap/>
            <w:hideMark/>
          </w:tcPr>
          <w:p w14:paraId="70A95BB9" w14:textId="77777777" w:rsidR="00A74C68" w:rsidRPr="00471CBA" w:rsidRDefault="00A74C68" w:rsidP="00A74C68">
            <w:pPr>
              <w:rPr>
                <w:rFonts w:ascii="Arial" w:hAnsi="Arial" w:cs="Arial"/>
                <w:color w:val="000000"/>
                <w:szCs w:val="20"/>
                <w:lang w:eastAsia="tr-TR"/>
              </w:rPr>
            </w:pPr>
            <w:r w:rsidRPr="00471CBA">
              <w:rPr>
                <w:color w:val="000000"/>
                <w:sz w:val="16"/>
                <w:szCs w:val="16"/>
                <w:lang w:eastAsia="tr-TR"/>
              </w:rPr>
              <w:t xml:space="preserve">  İleri ölçüm yaklaşımı</w:t>
            </w:r>
          </w:p>
        </w:tc>
        <w:tc>
          <w:tcPr>
            <w:tcW w:w="1141" w:type="dxa"/>
            <w:tcBorders>
              <w:top w:val="nil"/>
              <w:left w:val="nil"/>
              <w:bottom w:val="nil"/>
              <w:right w:val="nil"/>
            </w:tcBorders>
            <w:vAlign w:val="bottom"/>
            <w:hideMark/>
          </w:tcPr>
          <w:p w14:paraId="2C30C2A4"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c>
          <w:tcPr>
            <w:tcW w:w="1127" w:type="dxa"/>
            <w:tcBorders>
              <w:top w:val="nil"/>
              <w:left w:val="nil"/>
              <w:bottom w:val="nil"/>
              <w:right w:val="nil"/>
            </w:tcBorders>
            <w:vAlign w:val="bottom"/>
            <w:hideMark/>
          </w:tcPr>
          <w:p w14:paraId="65A7DFEC"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c>
          <w:tcPr>
            <w:tcW w:w="1385" w:type="dxa"/>
            <w:tcBorders>
              <w:top w:val="nil"/>
              <w:left w:val="nil"/>
              <w:bottom w:val="nil"/>
              <w:right w:val="nil"/>
            </w:tcBorders>
            <w:vAlign w:val="bottom"/>
            <w:hideMark/>
          </w:tcPr>
          <w:p w14:paraId="74465279"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r>
      <w:tr w:rsidR="00A74C68" w:rsidRPr="00471CBA" w14:paraId="353515EB" w14:textId="77777777" w:rsidTr="00F36B82">
        <w:trPr>
          <w:divId w:val="1757631080"/>
          <w:trHeight w:val="170"/>
        </w:trPr>
        <w:tc>
          <w:tcPr>
            <w:tcW w:w="363" w:type="dxa"/>
            <w:tcBorders>
              <w:top w:val="nil"/>
              <w:left w:val="nil"/>
              <w:bottom w:val="nil"/>
              <w:right w:val="nil"/>
            </w:tcBorders>
            <w:hideMark/>
          </w:tcPr>
          <w:p w14:paraId="76A2047C" w14:textId="77777777" w:rsidR="00A74C68" w:rsidRPr="00471CBA" w:rsidRDefault="00A74C68" w:rsidP="00A74C68">
            <w:pPr>
              <w:rPr>
                <w:color w:val="000000"/>
                <w:sz w:val="16"/>
                <w:szCs w:val="16"/>
                <w:lang w:eastAsia="tr-TR"/>
              </w:rPr>
            </w:pPr>
            <w:r w:rsidRPr="00471CBA">
              <w:rPr>
                <w:color w:val="000000"/>
                <w:sz w:val="16"/>
                <w:szCs w:val="16"/>
                <w:lang w:eastAsia="tr-TR"/>
              </w:rPr>
              <w:t>23</w:t>
            </w:r>
          </w:p>
        </w:tc>
        <w:tc>
          <w:tcPr>
            <w:tcW w:w="5733" w:type="dxa"/>
            <w:tcBorders>
              <w:top w:val="nil"/>
              <w:left w:val="nil"/>
              <w:bottom w:val="nil"/>
              <w:right w:val="nil"/>
            </w:tcBorders>
            <w:noWrap/>
            <w:hideMark/>
          </w:tcPr>
          <w:p w14:paraId="40930906" w14:textId="77777777" w:rsidR="00A74C68" w:rsidRPr="00471CBA" w:rsidRDefault="00A74C68" w:rsidP="00A74C68">
            <w:pPr>
              <w:rPr>
                <w:color w:val="000000"/>
                <w:sz w:val="16"/>
                <w:szCs w:val="16"/>
                <w:lang w:eastAsia="tr-TR"/>
              </w:rPr>
            </w:pPr>
            <w:r w:rsidRPr="00471CBA">
              <w:rPr>
                <w:color w:val="000000"/>
                <w:sz w:val="16"/>
                <w:szCs w:val="16"/>
                <w:lang w:eastAsia="tr-TR"/>
              </w:rPr>
              <w:t>Özkaynaklardan indirim eşiklerinin altındaki tutarlar (%250 risk ağırlığına tabi)</w:t>
            </w:r>
          </w:p>
        </w:tc>
        <w:tc>
          <w:tcPr>
            <w:tcW w:w="1141" w:type="dxa"/>
            <w:tcBorders>
              <w:top w:val="nil"/>
              <w:left w:val="nil"/>
              <w:bottom w:val="nil"/>
              <w:right w:val="nil"/>
            </w:tcBorders>
            <w:vAlign w:val="bottom"/>
            <w:hideMark/>
          </w:tcPr>
          <w:p w14:paraId="63CE0E4F"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c>
          <w:tcPr>
            <w:tcW w:w="1127" w:type="dxa"/>
            <w:tcBorders>
              <w:top w:val="nil"/>
              <w:left w:val="nil"/>
              <w:bottom w:val="nil"/>
              <w:right w:val="nil"/>
            </w:tcBorders>
            <w:vAlign w:val="bottom"/>
            <w:hideMark/>
          </w:tcPr>
          <w:p w14:paraId="7307D273"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c>
          <w:tcPr>
            <w:tcW w:w="1385" w:type="dxa"/>
            <w:tcBorders>
              <w:top w:val="nil"/>
              <w:left w:val="nil"/>
              <w:bottom w:val="nil"/>
              <w:right w:val="nil"/>
            </w:tcBorders>
            <w:vAlign w:val="bottom"/>
            <w:hideMark/>
          </w:tcPr>
          <w:p w14:paraId="0E21793F"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r>
      <w:tr w:rsidR="00A74C68" w:rsidRPr="00471CBA" w14:paraId="2E348B39" w14:textId="77777777" w:rsidTr="00F36B82">
        <w:trPr>
          <w:divId w:val="1757631080"/>
          <w:trHeight w:val="170"/>
        </w:trPr>
        <w:tc>
          <w:tcPr>
            <w:tcW w:w="363" w:type="dxa"/>
            <w:tcBorders>
              <w:top w:val="nil"/>
              <w:left w:val="nil"/>
              <w:bottom w:val="single" w:sz="4" w:space="0" w:color="auto"/>
              <w:right w:val="nil"/>
            </w:tcBorders>
            <w:hideMark/>
          </w:tcPr>
          <w:p w14:paraId="50969C68" w14:textId="77777777" w:rsidR="00A74C68" w:rsidRPr="00471CBA" w:rsidRDefault="00A74C68" w:rsidP="00A74C68">
            <w:pPr>
              <w:rPr>
                <w:color w:val="000000"/>
                <w:sz w:val="16"/>
                <w:szCs w:val="16"/>
                <w:lang w:eastAsia="tr-TR"/>
              </w:rPr>
            </w:pPr>
            <w:r w:rsidRPr="00471CBA">
              <w:rPr>
                <w:color w:val="000000"/>
                <w:sz w:val="16"/>
                <w:szCs w:val="16"/>
                <w:lang w:eastAsia="tr-TR"/>
              </w:rPr>
              <w:t>24</w:t>
            </w:r>
          </w:p>
        </w:tc>
        <w:tc>
          <w:tcPr>
            <w:tcW w:w="5733" w:type="dxa"/>
            <w:tcBorders>
              <w:top w:val="nil"/>
              <w:left w:val="nil"/>
              <w:bottom w:val="single" w:sz="4" w:space="0" w:color="auto"/>
              <w:right w:val="nil"/>
            </w:tcBorders>
            <w:noWrap/>
            <w:hideMark/>
          </w:tcPr>
          <w:p w14:paraId="3CFB18EC" w14:textId="77777777" w:rsidR="00A74C68" w:rsidRPr="00471CBA" w:rsidRDefault="00A74C68" w:rsidP="00A74C68">
            <w:pPr>
              <w:rPr>
                <w:color w:val="000000"/>
                <w:sz w:val="16"/>
                <w:szCs w:val="16"/>
                <w:lang w:eastAsia="tr-TR"/>
              </w:rPr>
            </w:pPr>
            <w:r w:rsidRPr="00471CBA">
              <w:rPr>
                <w:color w:val="000000"/>
                <w:sz w:val="16"/>
                <w:szCs w:val="16"/>
                <w:lang w:eastAsia="tr-TR"/>
              </w:rPr>
              <w:t>En düşük değer ayarlamaları</w:t>
            </w:r>
          </w:p>
        </w:tc>
        <w:tc>
          <w:tcPr>
            <w:tcW w:w="1141" w:type="dxa"/>
            <w:tcBorders>
              <w:top w:val="nil"/>
              <w:left w:val="nil"/>
              <w:bottom w:val="single" w:sz="4" w:space="0" w:color="auto"/>
              <w:right w:val="nil"/>
            </w:tcBorders>
            <w:vAlign w:val="bottom"/>
            <w:hideMark/>
          </w:tcPr>
          <w:p w14:paraId="07F7F918"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c>
          <w:tcPr>
            <w:tcW w:w="1127" w:type="dxa"/>
            <w:tcBorders>
              <w:top w:val="nil"/>
              <w:left w:val="nil"/>
              <w:bottom w:val="single" w:sz="4" w:space="0" w:color="auto"/>
              <w:right w:val="nil"/>
            </w:tcBorders>
            <w:vAlign w:val="bottom"/>
            <w:hideMark/>
          </w:tcPr>
          <w:p w14:paraId="4F1BBBA6"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c>
          <w:tcPr>
            <w:tcW w:w="1385" w:type="dxa"/>
            <w:tcBorders>
              <w:top w:val="nil"/>
              <w:left w:val="nil"/>
              <w:bottom w:val="single" w:sz="4" w:space="0" w:color="auto"/>
              <w:right w:val="nil"/>
            </w:tcBorders>
            <w:vAlign w:val="bottom"/>
            <w:hideMark/>
          </w:tcPr>
          <w:p w14:paraId="75FAB667" w14:textId="77777777" w:rsidR="00A74C68" w:rsidRPr="00471CBA" w:rsidRDefault="00A74C68" w:rsidP="00F36B82">
            <w:pPr>
              <w:jc w:val="right"/>
              <w:rPr>
                <w:color w:val="000000"/>
                <w:sz w:val="16"/>
                <w:szCs w:val="16"/>
                <w:lang w:eastAsia="tr-TR"/>
              </w:rPr>
            </w:pPr>
            <w:r w:rsidRPr="00471CBA">
              <w:rPr>
                <w:color w:val="000000"/>
                <w:sz w:val="16"/>
                <w:szCs w:val="16"/>
                <w:lang w:eastAsia="tr-TR"/>
              </w:rPr>
              <w:t>-</w:t>
            </w:r>
          </w:p>
        </w:tc>
      </w:tr>
      <w:tr w:rsidR="00A74C68" w:rsidRPr="00471CBA" w14:paraId="0F6F4ABD" w14:textId="77777777" w:rsidTr="00F36B82">
        <w:trPr>
          <w:divId w:val="1757631080"/>
          <w:trHeight w:val="170"/>
        </w:trPr>
        <w:tc>
          <w:tcPr>
            <w:tcW w:w="363" w:type="dxa"/>
            <w:tcBorders>
              <w:top w:val="nil"/>
              <w:left w:val="nil"/>
              <w:right w:val="nil"/>
            </w:tcBorders>
            <w:hideMark/>
          </w:tcPr>
          <w:p w14:paraId="30CDE2A6" w14:textId="77777777" w:rsidR="00A74C68" w:rsidRPr="00471CBA" w:rsidRDefault="00A74C68" w:rsidP="00A74C68">
            <w:pPr>
              <w:rPr>
                <w:color w:val="000000"/>
                <w:sz w:val="16"/>
                <w:szCs w:val="16"/>
                <w:lang w:eastAsia="tr-TR"/>
              </w:rPr>
            </w:pPr>
          </w:p>
        </w:tc>
        <w:tc>
          <w:tcPr>
            <w:tcW w:w="5733" w:type="dxa"/>
            <w:tcBorders>
              <w:top w:val="nil"/>
              <w:left w:val="nil"/>
              <w:right w:val="nil"/>
            </w:tcBorders>
            <w:noWrap/>
            <w:hideMark/>
          </w:tcPr>
          <w:p w14:paraId="657CC515" w14:textId="77777777" w:rsidR="00A74C68" w:rsidRPr="00471CBA" w:rsidRDefault="00A74C68" w:rsidP="00A74C68">
            <w:pPr>
              <w:rPr>
                <w:sz w:val="16"/>
                <w:szCs w:val="16"/>
                <w:lang w:eastAsia="tr-TR"/>
              </w:rPr>
            </w:pPr>
          </w:p>
        </w:tc>
        <w:tc>
          <w:tcPr>
            <w:tcW w:w="1141" w:type="dxa"/>
            <w:tcBorders>
              <w:top w:val="nil"/>
              <w:left w:val="nil"/>
              <w:right w:val="nil"/>
            </w:tcBorders>
            <w:noWrap/>
            <w:vAlign w:val="bottom"/>
            <w:hideMark/>
          </w:tcPr>
          <w:p w14:paraId="7EA19B1B" w14:textId="77777777" w:rsidR="00A74C68" w:rsidRPr="00471CBA" w:rsidRDefault="00A74C68" w:rsidP="00F36B82">
            <w:pPr>
              <w:jc w:val="right"/>
              <w:rPr>
                <w:sz w:val="16"/>
                <w:szCs w:val="16"/>
                <w:lang w:eastAsia="tr-TR"/>
              </w:rPr>
            </w:pPr>
          </w:p>
        </w:tc>
        <w:tc>
          <w:tcPr>
            <w:tcW w:w="1127" w:type="dxa"/>
            <w:tcBorders>
              <w:top w:val="nil"/>
              <w:left w:val="nil"/>
              <w:right w:val="nil"/>
            </w:tcBorders>
            <w:noWrap/>
            <w:vAlign w:val="bottom"/>
            <w:hideMark/>
          </w:tcPr>
          <w:p w14:paraId="18C84AE7" w14:textId="77777777" w:rsidR="00A74C68" w:rsidRPr="00471CBA" w:rsidRDefault="00A74C68" w:rsidP="00F36B82">
            <w:pPr>
              <w:jc w:val="right"/>
              <w:rPr>
                <w:rFonts w:ascii="Arial" w:hAnsi="Arial" w:cs="Arial"/>
                <w:b/>
                <w:bCs/>
                <w:color w:val="FF0000"/>
                <w:szCs w:val="20"/>
                <w:lang w:eastAsia="tr-TR"/>
              </w:rPr>
            </w:pPr>
            <w:r w:rsidRPr="00471CBA">
              <w:rPr>
                <w:sz w:val="16"/>
                <w:szCs w:val="16"/>
                <w:lang w:eastAsia="tr-TR"/>
              </w:rPr>
              <w:t> </w:t>
            </w:r>
          </w:p>
        </w:tc>
        <w:tc>
          <w:tcPr>
            <w:tcW w:w="1385" w:type="dxa"/>
            <w:tcBorders>
              <w:top w:val="nil"/>
              <w:left w:val="nil"/>
              <w:right w:val="nil"/>
            </w:tcBorders>
            <w:noWrap/>
            <w:vAlign w:val="bottom"/>
            <w:hideMark/>
          </w:tcPr>
          <w:p w14:paraId="56EE4F91" w14:textId="77777777" w:rsidR="00A74C68" w:rsidRPr="00471CBA" w:rsidRDefault="00A74C68" w:rsidP="00F36B82">
            <w:pPr>
              <w:jc w:val="right"/>
              <w:rPr>
                <w:sz w:val="16"/>
                <w:szCs w:val="16"/>
                <w:lang w:eastAsia="tr-TR"/>
              </w:rPr>
            </w:pPr>
          </w:p>
        </w:tc>
      </w:tr>
      <w:tr w:rsidR="00A74C68" w:rsidRPr="00471CBA" w14:paraId="1BDC8AC8" w14:textId="77777777" w:rsidTr="00F36B82">
        <w:trPr>
          <w:divId w:val="1757631080"/>
          <w:trHeight w:val="170"/>
        </w:trPr>
        <w:tc>
          <w:tcPr>
            <w:tcW w:w="363" w:type="dxa"/>
            <w:tcBorders>
              <w:top w:val="nil"/>
              <w:left w:val="nil"/>
              <w:bottom w:val="single" w:sz="12" w:space="0" w:color="auto"/>
              <w:right w:val="nil"/>
            </w:tcBorders>
            <w:hideMark/>
          </w:tcPr>
          <w:p w14:paraId="3B92FF11" w14:textId="77777777" w:rsidR="00A74C68" w:rsidRPr="00471CBA" w:rsidRDefault="00A74C68" w:rsidP="00A74C68">
            <w:pPr>
              <w:rPr>
                <w:b/>
                <w:bCs/>
                <w:color w:val="000000"/>
                <w:sz w:val="16"/>
                <w:szCs w:val="16"/>
                <w:lang w:eastAsia="tr-TR"/>
              </w:rPr>
            </w:pPr>
            <w:r w:rsidRPr="00471CBA">
              <w:rPr>
                <w:b/>
                <w:bCs/>
                <w:color w:val="000000"/>
                <w:sz w:val="16"/>
                <w:szCs w:val="16"/>
                <w:lang w:eastAsia="tr-TR"/>
              </w:rPr>
              <w:t>25</w:t>
            </w:r>
          </w:p>
        </w:tc>
        <w:tc>
          <w:tcPr>
            <w:tcW w:w="5733" w:type="dxa"/>
            <w:tcBorders>
              <w:top w:val="nil"/>
              <w:left w:val="nil"/>
              <w:bottom w:val="single" w:sz="12" w:space="0" w:color="auto"/>
              <w:right w:val="nil"/>
            </w:tcBorders>
            <w:noWrap/>
            <w:hideMark/>
          </w:tcPr>
          <w:p w14:paraId="114FF0D1" w14:textId="77777777" w:rsidR="00A74C68" w:rsidRPr="00471CBA" w:rsidRDefault="00A74C68" w:rsidP="00A74C68">
            <w:pPr>
              <w:rPr>
                <w:b/>
                <w:bCs/>
                <w:color w:val="000000"/>
                <w:sz w:val="16"/>
                <w:szCs w:val="16"/>
                <w:lang w:eastAsia="tr-TR"/>
              </w:rPr>
            </w:pPr>
            <w:r w:rsidRPr="00471CBA">
              <w:rPr>
                <w:b/>
                <w:bCs/>
                <w:color w:val="000000"/>
                <w:sz w:val="16"/>
                <w:szCs w:val="16"/>
                <w:lang w:eastAsia="tr-TR"/>
              </w:rPr>
              <w:t>Toplam (1+4+7+8+9+10+11+12+16+19+23+24)</w:t>
            </w:r>
          </w:p>
        </w:tc>
        <w:tc>
          <w:tcPr>
            <w:tcW w:w="1141" w:type="dxa"/>
            <w:tcBorders>
              <w:top w:val="nil"/>
              <w:left w:val="nil"/>
              <w:bottom w:val="single" w:sz="12" w:space="0" w:color="auto"/>
              <w:right w:val="nil"/>
            </w:tcBorders>
            <w:vAlign w:val="bottom"/>
            <w:hideMark/>
          </w:tcPr>
          <w:p w14:paraId="42D639E6" w14:textId="77777777" w:rsidR="00A74C68" w:rsidRPr="00471CBA" w:rsidRDefault="00A74C68" w:rsidP="00F36B82">
            <w:pPr>
              <w:jc w:val="right"/>
              <w:rPr>
                <w:b/>
                <w:bCs/>
                <w:color w:val="000000"/>
                <w:sz w:val="16"/>
                <w:szCs w:val="16"/>
                <w:lang w:eastAsia="tr-TR"/>
              </w:rPr>
            </w:pPr>
            <w:r w:rsidRPr="00471CBA">
              <w:rPr>
                <w:b/>
                <w:bCs/>
                <w:color w:val="000000"/>
                <w:sz w:val="16"/>
                <w:szCs w:val="16"/>
                <w:lang w:eastAsia="tr-TR"/>
              </w:rPr>
              <w:t>48.155.181</w:t>
            </w:r>
          </w:p>
        </w:tc>
        <w:tc>
          <w:tcPr>
            <w:tcW w:w="1127" w:type="dxa"/>
            <w:tcBorders>
              <w:top w:val="nil"/>
              <w:left w:val="nil"/>
              <w:bottom w:val="single" w:sz="12" w:space="0" w:color="auto"/>
              <w:right w:val="nil"/>
            </w:tcBorders>
            <w:vAlign w:val="bottom"/>
            <w:hideMark/>
          </w:tcPr>
          <w:p w14:paraId="2F77FA55" w14:textId="77777777" w:rsidR="00A74C68" w:rsidRPr="00471CBA" w:rsidRDefault="00A74C68" w:rsidP="00F36B82">
            <w:pPr>
              <w:jc w:val="right"/>
              <w:rPr>
                <w:b/>
                <w:bCs/>
                <w:color w:val="000000"/>
                <w:sz w:val="16"/>
                <w:szCs w:val="16"/>
                <w:lang w:eastAsia="tr-TR"/>
              </w:rPr>
            </w:pPr>
            <w:r w:rsidRPr="00471CBA">
              <w:rPr>
                <w:b/>
                <w:bCs/>
                <w:color w:val="000000"/>
                <w:sz w:val="16"/>
                <w:szCs w:val="16"/>
                <w:lang w:eastAsia="tr-TR"/>
              </w:rPr>
              <w:t>15.057.976</w:t>
            </w:r>
          </w:p>
        </w:tc>
        <w:tc>
          <w:tcPr>
            <w:tcW w:w="1385" w:type="dxa"/>
            <w:tcBorders>
              <w:top w:val="nil"/>
              <w:left w:val="nil"/>
              <w:bottom w:val="single" w:sz="12" w:space="0" w:color="auto"/>
              <w:right w:val="nil"/>
            </w:tcBorders>
            <w:vAlign w:val="bottom"/>
            <w:hideMark/>
          </w:tcPr>
          <w:p w14:paraId="28CB5730" w14:textId="77777777" w:rsidR="00A74C68" w:rsidRPr="00471CBA" w:rsidRDefault="00A74C68" w:rsidP="00F36B82">
            <w:pPr>
              <w:jc w:val="right"/>
              <w:rPr>
                <w:b/>
                <w:bCs/>
                <w:color w:val="000000"/>
                <w:sz w:val="16"/>
                <w:szCs w:val="16"/>
                <w:lang w:eastAsia="tr-TR"/>
              </w:rPr>
            </w:pPr>
            <w:r w:rsidRPr="00471CBA">
              <w:rPr>
                <w:b/>
                <w:bCs/>
                <w:color w:val="000000"/>
                <w:sz w:val="16"/>
                <w:szCs w:val="16"/>
                <w:lang w:eastAsia="tr-TR"/>
              </w:rPr>
              <w:t>3.852.415</w:t>
            </w:r>
          </w:p>
        </w:tc>
      </w:tr>
    </w:tbl>
    <w:p w14:paraId="5576750D" w14:textId="05B0CE62" w:rsidR="003E14BA" w:rsidRPr="00471CBA" w:rsidRDefault="003E14BA" w:rsidP="006C66D3"/>
    <w:p w14:paraId="6AAD0C0E" w14:textId="77777777" w:rsidR="00B35FE1" w:rsidRPr="00471CBA" w:rsidRDefault="00B35FE1"/>
    <w:p w14:paraId="22BA03F0" w14:textId="4977127A" w:rsidR="00B35FE1" w:rsidRPr="00471CBA" w:rsidRDefault="00B35FE1">
      <w:r w:rsidRPr="00471CBA">
        <w:br w:type="page"/>
      </w:r>
    </w:p>
    <w:p w14:paraId="386CA780" w14:textId="77777777" w:rsidR="00F36B82" w:rsidRPr="00471CBA" w:rsidRDefault="00F36B82" w:rsidP="00F36B82">
      <w:pPr>
        <w:pStyle w:val="GvdeMetniGirintisi"/>
        <w:widowControl w:val="0"/>
        <w:ind w:firstLine="0"/>
        <w:rPr>
          <w:b/>
          <w:szCs w:val="20"/>
        </w:rPr>
      </w:pPr>
      <w:r w:rsidRPr="00471CBA">
        <w:rPr>
          <w:b/>
          <w:szCs w:val="20"/>
        </w:rPr>
        <w:t>MALİ BÜNYEYE VE RİSK YÖNETİMİNE İLİŞKİN BİLGİLER (Devamı)</w:t>
      </w:r>
    </w:p>
    <w:p w14:paraId="6D0A1FA3" w14:textId="77777777" w:rsidR="00F36B82" w:rsidRDefault="00F36B82" w:rsidP="00B35FE1">
      <w:pPr>
        <w:ind w:left="851" w:hanging="851"/>
        <w:rPr>
          <w:b/>
          <w:bCs/>
        </w:rPr>
      </w:pPr>
    </w:p>
    <w:p w14:paraId="2629248D" w14:textId="0D2F5CDC" w:rsidR="00B35FE1" w:rsidRPr="00471CBA" w:rsidRDefault="00B35FE1" w:rsidP="00B35FE1">
      <w:pPr>
        <w:ind w:left="851" w:hanging="851"/>
        <w:rPr>
          <w:b/>
          <w:bCs/>
        </w:rPr>
      </w:pPr>
      <w:r w:rsidRPr="00471CBA">
        <w:rPr>
          <w:b/>
          <w:bCs/>
        </w:rPr>
        <w:t>IX.</w:t>
      </w:r>
      <w:r w:rsidRPr="00471CBA">
        <w:rPr>
          <w:b/>
          <w:bCs/>
        </w:rPr>
        <w:tab/>
        <w:t>RİSK YÖNETİMİNE İLİŞKİN AÇIKLAMALAR (Devamı)</w:t>
      </w:r>
    </w:p>
    <w:p w14:paraId="136BEE8C" w14:textId="77777777" w:rsidR="00B35FE1" w:rsidRPr="00471CBA" w:rsidRDefault="00B35FE1" w:rsidP="008459A9">
      <w:pPr>
        <w:pStyle w:val="ListeParagraf"/>
        <w:numPr>
          <w:ilvl w:val="0"/>
          <w:numId w:val="58"/>
        </w:numPr>
        <w:spacing w:before="120"/>
        <w:ind w:left="851" w:hanging="851"/>
        <w:jc w:val="both"/>
        <w:rPr>
          <w:b/>
          <w:bCs/>
        </w:rPr>
      </w:pPr>
      <w:r w:rsidRPr="00471CBA">
        <w:rPr>
          <w:b/>
          <w:bCs/>
        </w:rPr>
        <w:t>Finansal Tablolar ve Risk Tutarları Arasındaki Bağlantılar:</w:t>
      </w:r>
    </w:p>
    <w:p w14:paraId="2EAB229D" w14:textId="77777777" w:rsidR="00B35FE1" w:rsidRPr="00471CBA" w:rsidRDefault="00B35FE1" w:rsidP="00B35FE1">
      <w:pPr>
        <w:spacing w:before="120" w:after="120"/>
        <w:ind w:left="851" w:right="-568" w:hanging="851"/>
        <w:rPr>
          <w:b/>
          <w:szCs w:val="20"/>
        </w:rPr>
      </w:pPr>
      <w:r w:rsidRPr="00471CBA">
        <w:rPr>
          <w:b/>
          <w:szCs w:val="20"/>
        </w:rPr>
        <w:t>b.1.</w:t>
      </w:r>
      <w:r w:rsidRPr="00471CBA">
        <w:rPr>
          <w:b/>
          <w:szCs w:val="20"/>
        </w:rPr>
        <w:tab/>
        <w:t>Muhasebesel Konsolidasyon ve Yasal Konsolidasyon Kapsamı Arasındaki Farklar ve Eşleştirme:</w:t>
      </w:r>
    </w:p>
    <w:p w14:paraId="765BABE3" w14:textId="77777777" w:rsidR="00B35FE1" w:rsidRPr="00471CBA" w:rsidRDefault="00B35FE1" w:rsidP="00B35FE1"/>
    <w:tbl>
      <w:tblPr>
        <w:tblW w:w="9660" w:type="dxa"/>
        <w:tblInd w:w="14" w:type="dxa"/>
        <w:tblLayout w:type="fixed"/>
        <w:tblLook w:val="04A0" w:firstRow="1" w:lastRow="0" w:firstColumn="1" w:lastColumn="0" w:noHBand="0" w:noVBand="1"/>
      </w:tblPr>
      <w:tblGrid>
        <w:gridCol w:w="2407"/>
        <w:gridCol w:w="1264"/>
        <w:gridCol w:w="1105"/>
        <w:gridCol w:w="1134"/>
        <w:gridCol w:w="1276"/>
        <w:gridCol w:w="1048"/>
        <w:gridCol w:w="1426"/>
      </w:tblGrid>
      <w:tr w:rsidR="00B35FE1" w:rsidRPr="00E87B78" w14:paraId="244C918F" w14:textId="77777777" w:rsidTr="00CB49C3">
        <w:trPr>
          <w:trHeight w:val="113"/>
        </w:trPr>
        <w:tc>
          <w:tcPr>
            <w:tcW w:w="2407" w:type="dxa"/>
            <w:tcBorders>
              <w:top w:val="single" w:sz="4" w:space="0" w:color="auto"/>
              <w:left w:val="nil"/>
              <w:bottom w:val="nil"/>
              <w:right w:val="nil"/>
            </w:tcBorders>
            <w:vAlign w:val="bottom"/>
          </w:tcPr>
          <w:p w14:paraId="35DE0EEA" w14:textId="77777777" w:rsidR="00B35FE1" w:rsidRPr="00326B82" w:rsidRDefault="00B35FE1" w:rsidP="00CB49C3">
            <w:pPr>
              <w:rPr>
                <w:sz w:val="15"/>
                <w:szCs w:val="15"/>
              </w:rPr>
            </w:pPr>
          </w:p>
        </w:tc>
        <w:tc>
          <w:tcPr>
            <w:tcW w:w="1264" w:type="dxa"/>
            <w:vMerge w:val="restart"/>
            <w:tcBorders>
              <w:top w:val="single" w:sz="4" w:space="0" w:color="auto"/>
              <w:left w:val="nil"/>
              <w:bottom w:val="single" w:sz="4" w:space="0" w:color="auto"/>
              <w:right w:val="nil"/>
            </w:tcBorders>
            <w:vAlign w:val="bottom"/>
            <w:hideMark/>
          </w:tcPr>
          <w:p w14:paraId="22EEECC5" w14:textId="77777777" w:rsidR="00B35FE1" w:rsidRPr="00E87B78" w:rsidRDefault="00B35FE1" w:rsidP="00CB49C3">
            <w:pPr>
              <w:jc w:val="right"/>
              <w:rPr>
                <w:b/>
                <w:sz w:val="15"/>
                <w:szCs w:val="15"/>
              </w:rPr>
            </w:pPr>
            <w:r w:rsidRPr="00E87B78">
              <w:rPr>
                <w:b/>
                <w:sz w:val="15"/>
                <w:szCs w:val="15"/>
              </w:rPr>
              <w:t>Finansal tablolarda raporlanan TMS uyarınca değerlenmiş tutar</w:t>
            </w:r>
            <w:r w:rsidRPr="00E87B78">
              <w:rPr>
                <w:b/>
                <w:sz w:val="15"/>
                <w:szCs w:val="15"/>
                <w:vertAlign w:val="superscript"/>
              </w:rPr>
              <w:t>(*)</w:t>
            </w:r>
          </w:p>
        </w:tc>
        <w:tc>
          <w:tcPr>
            <w:tcW w:w="5989" w:type="dxa"/>
            <w:gridSpan w:val="5"/>
            <w:tcBorders>
              <w:top w:val="single" w:sz="4" w:space="0" w:color="auto"/>
              <w:left w:val="nil"/>
              <w:bottom w:val="nil"/>
              <w:right w:val="nil"/>
            </w:tcBorders>
            <w:vAlign w:val="bottom"/>
            <w:hideMark/>
          </w:tcPr>
          <w:p w14:paraId="42FDF92A" w14:textId="77777777" w:rsidR="00B35FE1" w:rsidRPr="00E87B78" w:rsidRDefault="00B35FE1" w:rsidP="00CB49C3">
            <w:pPr>
              <w:jc w:val="center"/>
              <w:rPr>
                <w:b/>
                <w:sz w:val="15"/>
                <w:szCs w:val="15"/>
              </w:rPr>
            </w:pPr>
            <w:r w:rsidRPr="00E87B78">
              <w:rPr>
                <w:b/>
                <w:sz w:val="15"/>
                <w:szCs w:val="15"/>
              </w:rPr>
              <w:t>Kalemlerin TMS uyarınca değerlenmiş tutarı</w:t>
            </w:r>
          </w:p>
        </w:tc>
      </w:tr>
      <w:tr w:rsidR="00B35FE1" w:rsidRPr="00E87B78" w14:paraId="248F7132" w14:textId="77777777" w:rsidTr="00CB49C3">
        <w:trPr>
          <w:trHeight w:val="113"/>
        </w:trPr>
        <w:tc>
          <w:tcPr>
            <w:tcW w:w="2407" w:type="dxa"/>
            <w:tcBorders>
              <w:top w:val="nil"/>
              <w:left w:val="nil"/>
              <w:bottom w:val="single" w:sz="4" w:space="0" w:color="auto"/>
              <w:right w:val="nil"/>
            </w:tcBorders>
            <w:vAlign w:val="center"/>
            <w:hideMark/>
          </w:tcPr>
          <w:p w14:paraId="2878D180" w14:textId="58494E2B" w:rsidR="00B35FE1" w:rsidRPr="00E87B78" w:rsidRDefault="00B35FE1" w:rsidP="00CB49C3">
            <w:pPr>
              <w:rPr>
                <w:b/>
                <w:sz w:val="15"/>
                <w:szCs w:val="15"/>
              </w:rPr>
            </w:pPr>
            <w:r w:rsidRPr="00E87B78">
              <w:rPr>
                <w:b/>
                <w:sz w:val="15"/>
                <w:szCs w:val="15"/>
              </w:rPr>
              <w:t>31 Aralık 202</w:t>
            </w:r>
            <w:r w:rsidR="003A558E" w:rsidRPr="00E87B78">
              <w:rPr>
                <w:b/>
                <w:sz w:val="15"/>
                <w:szCs w:val="15"/>
              </w:rPr>
              <w:t>5</w:t>
            </w:r>
          </w:p>
        </w:tc>
        <w:tc>
          <w:tcPr>
            <w:tcW w:w="1264" w:type="dxa"/>
            <w:vMerge/>
            <w:tcBorders>
              <w:top w:val="single" w:sz="4" w:space="0" w:color="auto"/>
              <w:left w:val="nil"/>
              <w:bottom w:val="single" w:sz="4" w:space="0" w:color="auto"/>
              <w:right w:val="nil"/>
            </w:tcBorders>
            <w:vAlign w:val="center"/>
            <w:hideMark/>
          </w:tcPr>
          <w:p w14:paraId="3E09D7F8" w14:textId="77777777" w:rsidR="00B35FE1" w:rsidRPr="00E87B78" w:rsidRDefault="00B35FE1" w:rsidP="00CB49C3">
            <w:pPr>
              <w:rPr>
                <w:b/>
                <w:sz w:val="15"/>
                <w:szCs w:val="15"/>
              </w:rPr>
            </w:pPr>
          </w:p>
        </w:tc>
        <w:tc>
          <w:tcPr>
            <w:tcW w:w="1105" w:type="dxa"/>
            <w:tcBorders>
              <w:top w:val="single" w:sz="4" w:space="0" w:color="auto"/>
              <w:left w:val="nil"/>
              <w:bottom w:val="single" w:sz="4" w:space="0" w:color="auto"/>
              <w:right w:val="nil"/>
            </w:tcBorders>
            <w:vAlign w:val="bottom"/>
            <w:hideMark/>
          </w:tcPr>
          <w:p w14:paraId="1AAF0EFA" w14:textId="77777777" w:rsidR="00B35FE1" w:rsidRPr="00E87B78" w:rsidRDefault="00B35FE1" w:rsidP="00CB49C3">
            <w:pPr>
              <w:jc w:val="right"/>
              <w:rPr>
                <w:b/>
                <w:sz w:val="15"/>
                <w:szCs w:val="15"/>
              </w:rPr>
            </w:pPr>
            <w:r w:rsidRPr="00E87B78">
              <w:rPr>
                <w:b/>
                <w:sz w:val="15"/>
                <w:szCs w:val="15"/>
              </w:rPr>
              <w:t>Kredi riskine tabi</w:t>
            </w:r>
          </w:p>
        </w:tc>
        <w:tc>
          <w:tcPr>
            <w:tcW w:w="1134" w:type="dxa"/>
            <w:tcBorders>
              <w:top w:val="single" w:sz="4" w:space="0" w:color="auto"/>
              <w:left w:val="nil"/>
              <w:bottom w:val="single" w:sz="4" w:space="0" w:color="auto"/>
              <w:right w:val="nil"/>
            </w:tcBorders>
            <w:vAlign w:val="bottom"/>
            <w:hideMark/>
          </w:tcPr>
          <w:p w14:paraId="48DE440B" w14:textId="77777777" w:rsidR="00B35FE1" w:rsidRPr="00E87B78" w:rsidRDefault="00B35FE1" w:rsidP="00CB49C3">
            <w:pPr>
              <w:jc w:val="right"/>
              <w:rPr>
                <w:b/>
                <w:sz w:val="15"/>
                <w:szCs w:val="15"/>
              </w:rPr>
            </w:pPr>
            <w:r w:rsidRPr="00E87B78">
              <w:rPr>
                <w:b/>
                <w:sz w:val="15"/>
                <w:szCs w:val="15"/>
              </w:rPr>
              <w:t>Karşı taraf kredi riskine tabi</w:t>
            </w:r>
          </w:p>
        </w:tc>
        <w:tc>
          <w:tcPr>
            <w:tcW w:w="1276" w:type="dxa"/>
            <w:tcBorders>
              <w:top w:val="single" w:sz="4" w:space="0" w:color="auto"/>
              <w:left w:val="nil"/>
              <w:bottom w:val="single" w:sz="4" w:space="0" w:color="auto"/>
              <w:right w:val="nil"/>
            </w:tcBorders>
            <w:vAlign w:val="bottom"/>
            <w:hideMark/>
          </w:tcPr>
          <w:p w14:paraId="11E52ED1" w14:textId="77777777" w:rsidR="00B35FE1" w:rsidRPr="00E87B78" w:rsidRDefault="00B35FE1" w:rsidP="00CB49C3">
            <w:pPr>
              <w:ind w:left="-98" w:firstLine="98"/>
              <w:jc w:val="right"/>
              <w:rPr>
                <w:b/>
                <w:sz w:val="15"/>
                <w:szCs w:val="15"/>
              </w:rPr>
            </w:pPr>
            <w:r w:rsidRPr="00E87B78">
              <w:rPr>
                <w:b/>
                <w:sz w:val="15"/>
                <w:szCs w:val="15"/>
              </w:rPr>
              <w:t>Menkul kıymetleştirme pozisyonları</w:t>
            </w:r>
          </w:p>
        </w:tc>
        <w:tc>
          <w:tcPr>
            <w:tcW w:w="1048" w:type="dxa"/>
            <w:tcBorders>
              <w:top w:val="single" w:sz="4" w:space="0" w:color="auto"/>
              <w:left w:val="nil"/>
              <w:bottom w:val="single" w:sz="4" w:space="0" w:color="auto"/>
              <w:right w:val="nil"/>
            </w:tcBorders>
            <w:vAlign w:val="bottom"/>
            <w:hideMark/>
          </w:tcPr>
          <w:p w14:paraId="2041D315" w14:textId="77777777" w:rsidR="00B35FE1" w:rsidRPr="00E87B78" w:rsidRDefault="00B35FE1" w:rsidP="00CB49C3">
            <w:pPr>
              <w:jc w:val="right"/>
              <w:rPr>
                <w:b/>
                <w:sz w:val="15"/>
                <w:szCs w:val="15"/>
              </w:rPr>
            </w:pPr>
            <w:r w:rsidRPr="00E87B78">
              <w:rPr>
                <w:b/>
                <w:sz w:val="15"/>
                <w:szCs w:val="15"/>
              </w:rPr>
              <w:t xml:space="preserve">Piyasa riskine tabi </w:t>
            </w:r>
            <w:r w:rsidRPr="00E87B78">
              <w:rPr>
                <w:rFonts w:eastAsiaTheme="minorHAnsi"/>
                <w:b/>
                <w:iCs/>
                <w:sz w:val="15"/>
                <w:szCs w:val="15"/>
                <w:vertAlign w:val="superscript"/>
              </w:rPr>
              <w:t>(**)</w:t>
            </w:r>
          </w:p>
        </w:tc>
        <w:tc>
          <w:tcPr>
            <w:tcW w:w="1426" w:type="dxa"/>
            <w:tcBorders>
              <w:top w:val="single" w:sz="4" w:space="0" w:color="auto"/>
              <w:left w:val="nil"/>
              <w:bottom w:val="single" w:sz="4" w:space="0" w:color="auto"/>
              <w:right w:val="nil"/>
            </w:tcBorders>
            <w:vAlign w:val="bottom"/>
            <w:hideMark/>
          </w:tcPr>
          <w:p w14:paraId="184B873A" w14:textId="77777777" w:rsidR="00B35FE1" w:rsidRPr="00E87B78" w:rsidRDefault="00B35FE1" w:rsidP="00CB49C3">
            <w:pPr>
              <w:jc w:val="right"/>
              <w:rPr>
                <w:b/>
                <w:sz w:val="15"/>
                <w:szCs w:val="15"/>
              </w:rPr>
            </w:pPr>
            <w:r w:rsidRPr="00E87B78">
              <w:rPr>
                <w:b/>
                <w:sz w:val="15"/>
                <w:szCs w:val="15"/>
              </w:rPr>
              <w:t>Sermaye yükümlülüğüne tabi olmayan veya sermayeden indirilen</w:t>
            </w:r>
          </w:p>
        </w:tc>
      </w:tr>
      <w:tr w:rsidR="00B35FE1" w:rsidRPr="00E87B78" w14:paraId="4605CB06" w14:textId="77777777" w:rsidTr="00CB49C3">
        <w:trPr>
          <w:trHeight w:val="64"/>
        </w:trPr>
        <w:tc>
          <w:tcPr>
            <w:tcW w:w="2407" w:type="dxa"/>
            <w:tcBorders>
              <w:top w:val="single" w:sz="4" w:space="0" w:color="auto"/>
              <w:left w:val="nil"/>
              <w:bottom w:val="nil"/>
              <w:right w:val="nil"/>
            </w:tcBorders>
            <w:vAlign w:val="bottom"/>
            <w:hideMark/>
          </w:tcPr>
          <w:p w14:paraId="2DF65CB0" w14:textId="77777777" w:rsidR="00B35FE1" w:rsidRPr="00E87B78" w:rsidRDefault="00B35FE1" w:rsidP="00CB49C3">
            <w:pPr>
              <w:rPr>
                <w:b/>
                <w:sz w:val="15"/>
                <w:szCs w:val="15"/>
              </w:rPr>
            </w:pPr>
            <w:r w:rsidRPr="00E87B78">
              <w:rPr>
                <w:b/>
                <w:sz w:val="15"/>
                <w:szCs w:val="15"/>
              </w:rPr>
              <w:t>Varlıklar</w:t>
            </w:r>
          </w:p>
        </w:tc>
        <w:tc>
          <w:tcPr>
            <w:tcW w:w="1264" w:type="dxa"/>
            <w:tcBorders>
              <w:top w:val="single" w:sz="4" w:space="0" w:color="auto"/>
              <w:left w:val="nil"/>
              <w:bottom w:val="nil"/>
              <w:right w:val="nil"/>
            </w:tcBorders>
            <w:vAlign w:val="bottom"/>
          </w:tcPr>
          <w:p w14:paraId="5F4E9764" w14:textId="77777777" w:rsidR="00B35FE1" w:rsidRPr="00E87B78" w:rsidRDefault="00B35FE1" w:rsidP="00CB49C3">
            <w:pPr>
              <w:jc w:val="right"/>
              <w:rPr>
                <w:sz w:val="15"/>
                <w:szCs w:val="15"/>
              </w:rPr>
            </w:pPr>
          </w:p>
        </w:tc>
        <w:tc>
          <w:tcPr>
            <w:tcW w:w="1105" w:type="dxa"/>
            <w:tcBorders>
              <w:top w:val="single" w:sz="4" w:space="0" w:color="auto"/>
              <w:left w:val="nil"/>
              <w:bottom w:val="nil"/>
              <w:right w:val="nil"/>
            </w:tcBorders>
            <w:vAlign w:val="bottom"/>
          </w:tcPr>
          <w:p w14:paraId="6512ADCB" w14:textId="77777777" w:rsidR="00B35FE1" w:rsidRPr="00E87B78" w:rsidRDefault="00B35FE1" w:rsidP="00CB49C3">
            <w:pPr>
              <w:jc w:val="right"/>
              <w:rPr>
                <w:sz w:val="15"/>
                <w:szCs w:val="15"/>
              </w:rPr>
            </w:pPr>
          </w:p>
        </w:tc>
        <w:tc>
          <w:tcPr>
            <w:tcW w:w="1134" w:type="dxa"/>
            <w:tcBorders>
              <w:top w:val="single" w:sz="4" w:space="0" w:color="auto"/>
              <w:left w:val="nil"/>
              <w:bottom w:val="nil"/>
              <w:right w:val="nil"/>
            </w:tcBorders>
            <w:vAlign w:val="bottom"/>
          </w:tcPr>
          <w:p w14:paraId="18A2361E" w14:textId="77777777" w:rsidR="00B35FE1" w:rsidRPr="00E87B78" w:rsidRDefault="00B35FE1" w:rsidP="00CB49C3">
            <w:pPr>
              <w:jc w:val="right"/>
              <w:rPr>
                <w:sz w:val="15"/>
                <w:szCs w:val="15"/>
              </w:rPr>
            </w:pPr>
          </w:p>
        </w:tc>
        <w:tc>
          <w:tcPr>
            <w:tcW w:w="1276" w:type="dxa"/>
            <w:tcBorders>
              <w:top w:val="single" w:sz="4" w:space="0" w:color="auto"/>
              <w:left w:val="nil"/>
              <w:bottom w:val="nil"/>
              <w:right w:val="nil"/>
            </w:tcBorders>
            <w:vAlign w:val="bottom"/>
          </w:tcPr>
          <w:p w14:paraId="2202C98F" w14:textId="77777777" w:rsidR="00B35FE1" w:rsidRPr="00E87B78" w:rsidRDefault="00B35FE1" w:rsidP="00CB49C3">
            <w:pPr>
              <w:jc w:val="right"/>
              <w:rPr>
                <w:sz w:val="15"/>
                <w:szCs w:val="15"/>
              </w:rPr>
            </w:pPr>
          </w:p>
        </w:tc>
        <w:tc>
          <w:tcPr>
            <w:tcW w:w="1048" w:type="dxa"/>
            <w:tcBorders>
              <w:top w:val="single" w:sz="4" w:space="0" w:color="auto"/>
              <w:left w:val="nil"/>
              <w:bottom w:val="nil"/>
              <w:right w:val="nil"/>
            </w:tcBorders>
            <w:vAlign w:val="bottom"/>
          </w:tcPr>
          <w:p w14:paraId="5FFB3050" w14:textId="77777777" w:rsidR="00B35FE1" w:rsidRPr="00E87B78" w:rsidRDefault="00B35FE1" w:rsidP="00CB49C3">
            <w:pPr>
              <w:jc w:val="right"/>
              <w:rPr>
                <w:sz w:val="15"/>
                <w:szCs w:val="15"/>
              </w:rPr>
            </w:pPr>
          </w:p>
        </w:tc>
        <w:tc>
          <w:tcPr>
            <w:tcW w:w="1426" w:type="dxa"/>
            <w:tcBorders>
              <w:top w:val="single" w:sz="4" w:space="0" w:color="auto"/>
              <w:left w:val="nil"/>
              <w:bottom w:val="nil"/>
              <w:right w:val="nil"/>
            </w:tcBorders>
            <w:vAlign w:val="bottom"/>
          </w:tcPr>
          <w:p w14:paraId="42796433" w14:textId="77777777" w:rsidR="00B35FE1" w:rsidRPr="00E87B78" w:rsidRDefault="00B35FE1" w:rsidP="00CB49C3">
            <w:pPr>
              <w:jc w:val="right"/>
              <w:rPr>
                <w:sz w:val="15"/>
                <w:szCs w:val="15"/>
              </w:rPr>
            </w:pPr>
          </w:p>
        </w:tc>
      </w:tr>
      <w:tr w:rsidR="00326B82" w:rsidRPr="00E87B78" w14:paraId="1251695B" w14:textId="77777777" w:rsidTr="00326B82">
        <w:trPr>
          <w:trHeight w:val="113"/>
        </w:trPr>
        <w:tc>
          <w:tcPr>
            <w:tcW w:w="2407" w:type="dxa"/>
            <w:vAlign w:val="bottom"/>
            <w:hideMark/>
          </w:tcPr>
          <w:p w14:paraId="674A7E7E" w14:textId="77777777" w:rsidR="00326B82" w:rsidRPr="00E87B78" w:rsidRDefault="00326B82" w:rsidP="00326B82">
            <w:pPr>
              <w:rPr>
                <w:color w:val="000000"/>
                <w:sz w:val="15"/>
                <w:szCs w:val="15"/>
              </w:rPr>
            </w:pPr>
            <w:r w:rsidRPr="00E87B78">
              <w:rPr>
                <w:color w:val="000000"/>
                <w:sz w:val="15"/>
                <w:szCs w:val="15"/>
              </w:rPr>
              <w:t>Nakit ve Nakit Benzerleri</w:t>
            </w:r>
          </w:p>
        </w:tc>
        <w:tc>
          <w:tcPr>
            <w:tcW w:w="1264" w:type="dxa"/>
            <w:vAlign w:val="bottom"/>
          </w:tcPr>
          <w:p w14:paraId="2FE39565" w14:textId="0824744F" w:rsidR="00326B82" w:rsidRPr="00E87B78" w:rsidRDefault="00326B82" w:rsidP="00326B82">
            <w:pPr>
              <w:jc w:val="right"/>
              <w:rPr>
                <w:color w:val="000000"/>
                <w:sz w:val="15"/>
                <w:szCs w:val="15"/>
              </w:rPr>
            </w:pPr>
            <w:r w:rsidRPr="00E87B78">
              <w:rPr>
                <w:sz w:val="15"/>
                <w:szCs w:val="15"/>
              </w:rPr>
              <w:t>34.517.921</w:t>
            </w:r>
          </w:p>
        </w:tc>
        <w:tc>
          <w:tcPr>
            <w:tcW w:w="1105" w:type="dxa"/>
            <w:vAlign w:val="bottom"/>
          </w:tcPr>
          <w:p w14:paraId="48E71391" w14:textId="73F5EC69" w:rsidR="00326B82" w:rsidRPr="00E87B78" w:rsidRDefault="00326B82" w:rsidP="00326B82">
            <w:pPr>
              <w:jc w:val="right"/>
              <w:rPr>
                <w:color w:val="000000"/>
                <w:sz w:val="15"/>
                <w:szCs w:val="15"/>
              </w:rPr>
            </w:pPr>
            <w:r w:rsidRPr="00E87B78">
              <w:rPr>
                <w:sz w:val="15"/>
                <w:szCs w:val="15"/>
              </w:rPr>
              <w:t>34.517.921</w:t>
            </w:r>
          </w:p>
        </w:tc>
        <w:tc>
          <w:tcPr>
            <w:tcW w:w="1134" w:type="dxa"/>
            <w:vAlign w:val="bottom"/>
          </w:tcPr>
          <w:p w14:paraId="63E66D47" w14:textId="6626D2B3" w:rsidR="00326B82" w:rsidRPr="00E87B78" w:rsidRDefault="00326B82" w:rsidP="00326B82">
            <w:pPr>
              <w:jc w:val="right"/>
              <w:rPr>
                <w:color w:val="000000"/>
                <w:sz w:val="15"/>
                <w:szCs w:val="15"/>
              </w:rPr>
            </w:pPr>
            <w:r w:rsidRPr="00E87B78">
              <w:rPr>
                <w:sz w:val="15"/>
                <w:szCs w:val="15"/>
              </w:rPr>
              <w:t>-</w:t>
            </w:r>
          </w:p>
        </w:tc>
        <w:tc>
          <w:tcPr>
            <w:tcW w:w="1276" w:type="dxa"/>
            <w:vAlign w:val="bottom"/>
          </w:tcPr>
          <w:p w14:paraId="19FB2133" w14:textId="6B506A07" w:rsidR="00326B82" w:rsidRPr="00E87B78" w:rsidRDefault="00326B82" w:rsidP="00326B82">
            <w:pPr>
              <w:jc w:val="right"/>
              <w:rPr>
                <w:color w:val="000000"/>
                <w:sz w:val="15"/>
                <w:szCs w:val="15"/>
              </w:rPr>
            </w:pPr>
            <w:r w:rsidRPr="00E87B78">
              <w:rPr>
                <w:sz w:val="15"/>
                <w:szCs w:val="15"/>
              </w:rPr>
              <w:t>-</w:t>
            </w:r>
          </w:p>
        </w:tc>
        <w:tc>
          <w:tcPr>
            <w:tcW w:w="1048" w:type="dxa"/>
            <w:vAlign w:val="bottom"/>
          </w:tcPr>
          <w:p w14:paraId="5235644A" w14:textId="3AA7D030" w:rsidR="00326B82" w:rsidRPr="00E87B78" w:rsidRDefault="00326B82" w:rsidP="00326B82">
            <w:pPr>
              <w:jc w:val="right"/>
              <w:rPr>
                <w:color w:val="000000"/>
                <w:sz w:val="15"/>
                <w:szCs w:val="15"/>
              </w:rPr>
            </w:pPr>
            <w:r w:rsidRPr="00E87B78">
              <w:rPr>
                <w:sz w:val="15"/>
                <w:szCs w:val="15"/>
              </w:rPr>
              <w:t>-</w:t>
            </w:r>
          </w:p>
        </w:tc>
        <w:tc>
          <w:tcPr>
            <w:tcW w:w="1426" w:type="dxa"/>
            <w:vAlign w:val="bottom"/>
          </w:tcPr>
          <w:p w14:paraId="65553EA7" w14:textId="0B8AB908" w:rsidR="00326B82" w:rsidRPr="00E87B78" w:rsidRDefault="00326B82" w:rsidP="00326B82">
            <w:pPr>
              <w:jc w:val="right"/>
              <w:rPr>
                <w:color w:val="000000"/>
                <w:sz w:val="15"/>
                <w:szCs w:val="15"/>
              </w:rPr>
            </w:pPr>
            <w:r w:rsidRPr="00E87B78">
              <w:rPr>
                <w:sz w:val="15"/>
                <w:szCs w:val="15"/>
              </w:rPr>
              <w:t>-</w:t>
            </w:r>
          </w:p>
        </w:tc>
      </w:tr>
      <w:tr w:rsidR="00326B82" w:rsidRPr="00E87B78" w14:paraId="20B60880" w14:textId="77777777" w:rsidTr="00326B82">
        <w:trPr>
          <w:trHeight w:val="113"/>
        </w:trPr>
        <w:tc>
          <w:tcPr>
            <w:tcW w:w="2407" w:type="dxa"/>
            <w:vAlign w:val="bottom"/>
            <w:hideMark/>
          </w:tcPr>
          <w:p w14:paraId="584395FC" w14:textId="77777777" w:rsidR="00326B82" w:rsidRPr="00E87B78" w:rsidRDefault="00326B82" w:rsidP="00326B82">
            <w:pPr>
              <w:rPr>
                <w:color w:val="000000"/>
                <w:sz w:val="15"/>
                <w:szCs w:val="15"/>
              </w:rPr>
            </w:pPr>
            <w:r w:rsidRPr="00E87B78">
              <w:rPr>
                <w:color w:val="000000"/>
                <w:sz w:val="15"/>
                <w:szCs w:val="15"/>
              </w:rPr>
              <w:t xml:space="preserve">Gerçeğe Uygun Değer Farkı Kâr Zarara Yansıtılan Finansal Varlıklar </w:t>
            </w:r>
          </w:p>
        </w:tc>
        <w:tc>
          <w:tcPr>
            <w:tcW w:w="1264" w:type="dxa"/>
            <w:vAlign w:val="bottom"/>
          </w:tcPr>
          <w:p w14:paraId="33DDBACA" w14:textId="0130EBC0" w:rsidR="00326B82" w:rsidRPr="00E87B78" w:rsidRDefault="00326B82" w:rsidP="00326B82">
            <w:pPr>
              <w:jc w:val="right"/>
              <w:rPr>
                <w:color w:val="000000"/>
                <w:sz w:val="15"/>
                <w:szCs w:val="15"/>
              </w:rPr>
            </w:pPr>
            <w:r w:rsidRPr="00E87B78">
              <w:rPr>
                <w:sz w:val="15"/>
                <w:szCs w:val="15"/>
              </w:rPr>
              <w:t>1.339.304</w:t>
            </w:r>
          </w:p>
        </w:tc>
        <w:tc>
          <w:tcPr>
            <w:tcW w:w="1105" w:type="dxa"/>
            <w:vAlign w:val="bottom"/>
          </w:tcPr>
          <w:p w14:paraId="5C53B3D8" w14:textId="04544B9E" w:rsidR="00326B82" w:rsidRPr="00E87B78" w:rsidRDefault="00326B82" w:rsidP="00326B82">
            <w:pPr>
              <w:jc w:val="right"/>
              <w:rPr>
                <w:color w:val="000000"/>
                <w:sz w:val="15"/>
                <w:szCs w:val="15"/>
              </w:rPr>
            </w:pPr>
            <w:r w:rsidRPr="00E87B78">
              <w:rPr>
                <w:sz w:val="15"/>
                <w:szCs w:val="15"/>
              </w:rPr>
              <w:t>-</w:t>
            </w:r>
          </w:p>
        </w:tc>
        <w:tc>
          <w:tcPr>
            <w:tcW w:w="1134" w:type="dxa"/>
            <w:vAlign w:val="bottom"/>
          </w:tcPr>
          <w:p w14:paraId="122744DB" w14:textId="729538AB" w:rsidR="00326B82" w:rsidRPr="00E87B78" w:rsidRDefault="00326B82" w:rsidP="00326B82">
            <w:pPr>
              <w:jc w:val="right"/>
              <w:rPr>
                <w:color w:val="000000"/>
                <w:sz w:val="15"/>
                <w:szCs w:val="15"/>
              </w:rPr>
            </w:pPr>
            <w:r w:rsidRPr="00E87B78">
              <w:rPr>
                <w:sz w:val="15"/>
                <w:szCs w:val="15"/>
              </w:rPr>
              <w:t>-</w:t>
            </w:r>
          </w:p>
        </w:tc>
        <w:tc>
          <w:tcPr>
            <w:tcW w:w="1276" w:type="dxa"/>
            <w:vAlign w:val="bottom"/>
          </w:tcPr>
          <w:p w14:paraId="078941CE" w14:textId="1A433DDB" w:rsidR="00326B82" w:rsidRPr="00E87B78" w:rsidRDefault="00326B82" w:rsidP="00326B82">
            <w:pPr>
              <w:jc w:val="right"/>
              <w:rPr>
                <w:color w:val="000000"/>
                <w:sz w:val="15"/>
                <w:szCs w:val="15"/>
              </w:rPr>
            </w:pPr>
            <w:r w:rsidRPr="00E87B78">
              <w:rPr>
                <w:sz w:val="15"/>
                <w:szCs w:val="15"/>
              </w:rPr>
              <w:t>-</w:t>
            </w:r>
          </w:p>
        </w:tc>
        <w:tc>
          <w:tcPr>
            <w:tcW w:w="1048" w:type="dxa"/>
            <w:vAlign w:val="bottom"/>
          </w:tcPr>
          <w:p w14:paraId="37AE30D0" w14:textId="025A3EBF" w:rsidR="00326B82" w:rsidRPr="00E87B78" w:rsidRDefault="00326B82" w:rsidP="00326B82">
            <w:pPr>
              <w:jc w:val="right"/>
              <w:rPr>
                <w:color w:val="000000"/>
                <w:sz w:val="15"/>
                <w:szCs w:val="15"/>
              </w:rPr>
            </w:pPr>
            <w:r w:rsidRPr="00E87B78">
              <w:rPr>
                <w:sz w:val="15"/>
                <w:szCs w:val="15"/>
              </w:rPr>
              <w:t>1.339.304</w:t>
            </w:r>
          </w:p>
        </w:tc>
        <w:tc>
          <w:tcPr>
            <w:tcW w:w="1426" w:type="dxa"/>
            <w:vAlign w:val="bottom"/>
          </w:tcPr>
          <w:p w14:paraId="30935F26" w14:textId="56EBFD39" w:rsidR="00326B82" w:rsidRPr="00E87B78" w:rsidRDefault="00326B82" w:rsidP="00326B82">
            <w:pPr>
              <w:jc w:val="right"/>
              <w:rPr>
                <w:color w:val="000000"/>
                <w:sz w:val="15"/>
                <w:szCs w:val="15"/>
              </w:rPr>
            </w:pPr>
            <w:r w:rsidRPr="00E87B78">
              <w:rPr>
                <w:sz w:val="15"/>
                <w:szCs w:val="15"/>
              </w:rPr>
              <w:t>-</w:t>
            </w:r>
          </w:p>
        </w:tc>
      </w:tr>
      <w:tr w:rsidR="00326B82" w:rsidRPr="00E87B78" w14:paraId="5462DD0D" w14:textId="77777777" w:rsidTr="00326B82">
        <w:trPr>
          <w:trHeight w:val="113"/>
        </w:trPr>
        <w:tc>
          <w:tcPr>
            <w:tcW w:w="2407" w:type="dxa"/>
            <w:vAlign w:val="bottom"/>
            <w:hideMark/>
          </w:tcPr>
          <w:p w14:paraId="0270EC39" w14:textId="77777777" w:rsidR="00326B82" w:rsidRPr="00E87B78" w:rsidRDefault="00326B82" w:rsidP="00326B82">
            <w:pPr>
              <w:rPr>
                <w:color w:val="000000"/>
                <w:sz w:val="15"/>
                <w:szCs w:val="15"/>
              </w:rPr>
            </w:pPr>
            <w:r w:rsidRPr="00E87B78">
              <w:rPr>
                <w:color w:val="000000"/>
                <w:sz w:val="15"/>
                <w:szCs w:val="15"/>
              </w:rPr>
              <w:t>Gerçeğe Uygun Değer Farkı Diğer Kapsamlı Gelire Yansıtılan Finansal Varlıklar</w:t>
            </w:r>
          </w:p>
        </w:tc>
        <w:tc>
          <w:tcPr>
            <w:tcW w:w="1264" w:type="dxa"/>
            <w:vAlign w:val="bottom"/>
          </w:tcPr>
          <w:p w14:paraId="4122F264" w14:textId="5EAE990B" w:rsidR="00326B82" w:rsidRPr="00E87B78" w:rsidRDefault="00326B82" w:rsidP="00326B82">
            <w:pPr>
              <w:jc w:val="right"/>
              <w:rPr>
                <w:color w:val="000000"/>
                <w:sz w:val="15"/>
                <w:szCs w:val="15"/>
              </w:rPr>
            </w:pPr>
            <w:r w:rsidRPr="00E87B78">
              <w:rPr>
                <w:sz w:val="15"/>
                <w:szCs w:val="15"/>
              </w:rPr>
              <w:t>5.187.857</w:t>
            </w:r>
          </w:p>
        </w:tc>
        <w:tc>
          <w:tcPr>
            <w:tcW w:w="1105" w:type="dxa"/>
            <w:vAlign w:val="bottom"/>
          </w:tcPr>
          <w:p w14:paraId="74B9BC32" w14:textId="7B89E515" w:rsidR="00326B82" w:rsidRPr="00E87B78" w:rsidRDefault="00326B82" w:rsidP="00326B82">
            <w:pPr>
              <w:jc w:val="right"/>
              <w:rPr>
                <w:color w:val="000000"/>
                <w:sz w:val="15"/>
                <w:szCs w:val="15"/>
              </w:rPr>
            </w:pPr>
            <w:r w:rsidRPr="00E87B78">
              <w:rPr>
                <w:sz w:val="15"/>
                <w:szCs w:val="15"/>
              </w:rPr>
              <w:t>5.187.857</w:t>
            </w:r>
          </w:p>
        </w:tc>
        <w:tc>
          <w:tcPr>
            <w:tcW w:w="1134" w:type="dxa"/>
            <w:vAlign w:val="bottom"/>
          </w:tcPr>
          <w:p w14:paraId="1475C127" w14:textId="7E2E7780" w:rsidR="00326B82" w:rsidRPr="00E87B78" w:rsidRDefault="00326B82" w:rsidP="00326B82">
            <w:pPr>
              <w:jc w:val="right"/>
              <w:rPr>
                <w:color w:val="000000"/>
                <w:sz w:val="15"/>
                <w:szCs w:val="15"/>
              </w:rPr>
            </w:pPr>
            <w:r w:rsidRPr="00E87B78">
              <w:rPr>
                <w:sz w:val="15"/>
                <w:szCs w:val="15"/>
              </w:rPr>
              <w:t>-</w:t>
            </w:r>
          </w:p>
        </w:tc>
        <w:tc>
          <w:tcPr>
            <w:tcW w:w="1276" w:type="dxa"/>
            <w:vAlign w:val="bottom"/>
          </w:tcPr>
          <w:p w14:paraId="047FB9BB" w14:textId="66F46546" w:rsidR="00326B82" w:rsidRPr="00E87B78" w:rsidRDefault="00326B82" w:rsidP="00326B82">
            <w:pPr>
              <w:jc w:val="right"/>
              <w:rPr>
                <w:color w:val="000000"/>
                <w:sz w:val="15"/>
                <w:szCs w:val="15"/>
              </w:rPr>
            </w:pPr>
            <w:r w:rsidRPr="00E87B78">
              <w:rPr>
                <w:sz w:val="15"/>
                <w:szCs w:val="15"/>
              </w:rPr>
              <w:t>-</w:t>
            </w:r>
          </w:p>
        </w:tc>
        <w:tc>
          <w:tcPr>
            <w:tcW w:w="1048" w:type="dxa"/>
            <w:vAlign w:val="bottom"/>
          </w:tcPr>
          <w:p w14:paraId="3304F621" w14:textId="09C7A70B" w:rsidR="00326B82" w:rsidRPr="00E87B78" w:rsidRDefault="00326B82" w:rsidP="00326B82">
            <w:pPr>
              <w:jc w:val="right"/>
              <w:rPr>
                <w:color w:val="000000"/>
                <w:sz w:val="15"/>
                <w:szCs w:val="15"/>
              </w:rPr>
            </w:pPr>
            <w:r w:rsidRPr="00E87B78">
              <w:rPr>
                <w:sz w:val="15"/>
                <w:szCs w:val="15"/>
              </w:rPr>
              <w:t>-</w:t>
            </w:r>
          </w:p>
        </w:tc>
        <w:tc>
          <w:tcPr>
            <w:tcW w:w="1426" w:type="dxa"/>
            <w:vAlign w:val="bottom"/>
          </w:tcPr>
          <w:p w14:paraId="6063167F" w14:textId="3D33CC28" w:rsidR="00326B82" w:rsidRPr="00E87B78" w:rsidRDefault="00326B82" w:rsidP="00326B82">
            <w:pPr>
              <w:jc w:val="right"/>
              <w:rPr>
                <w:color w:val="000000"/>
                <w:sz w:val="15"/>
                <w:szCs w:val="15"/>
              </w:rPr>
            </w:pPr>
            <w:r w:rsidRPr="00E87B78">
              <w:rPr>
                <w:sz w:val="15"/>
                <w:szCs w:val="15"/>
              </w:rPr>
              <w:t>-</w:t>
            </w:r>
          </w:p>
        </w:tc>
      </w:tr>
      <w:tr w:rsidR="00326B82" w:rsidRPr="00E87B78" w14:paraId="6BC41459" w14:textId="77777777" w:rsidTr="00326B82">
        <w:trPr>
          <w:trHeight w:val="113"/>
        </w:trPr>
        <w:tc>
          <w:tcPr>
            <w:tcW w:w="2407" w:type="dxa"/>
            <w:vAlign w:val="bottom"/>
            <w:hideMark/>
          </w:tcPr>
          <w:p w14:paraId="6FC73089" w14:textId="77777777" w:rsidR="00326B82" w:rsidRPr="00E87B78" w:rsidRDefault="00326B82" w:rsidP="00326B82">
            <w:pPr>
              <w:rPr>
                <w:color w:val="000000"/>
                <w:sz w:val="15"/>
                <w:szCs w:val="15"/>
              </w:rPr>
            </w:pPr>
            <w:r w:rsidRPr="00E87B78">
              <w:rPr>
                <w:color w:val="000000"/>
                <w:sz w:val="15"/>
                <w:szCs w:val="15"/>
              </w:rPr>
              <w:t>İtfa Edilmiş Maliyeti ile Ölçülen Finansal Varlıklar</w:t>
            </w:r>
          </w:p>
        </w:tc>
        <w:tc>
          <w:tcPr>
            <w:tcW w:w="1264" w:type="dxa"/>
            <w:vAlign w:val="bottom"/>
          </w:tcPr>
          <w:p w14:paraId="479DD86D" w14:textId="3AD7E2DE" w:rsidR="00326B82" w:rsidRPr="00E87B78" w:rsidRDefault="00326B82" w:rsidP="00326B82">
            <w:pPr>
              <w:jc w:val="right"/>
              <w:rPr>
                <w:color w:val="000000"/>
                <w:sz w:val="15"/>
                <w:szCs w:val="15"/>
              </w:rPr>
            </w:pPr>
            <w:r w:rsidRPr="00E87B78">
              <w:rPr>
                <w:sz w:val="15"/>
                <w:szCs w:val="15"/>
              </w:rPr>
              <w:t>750.636</w:t>
            </w:r>
          </w:p>
        </w:tc>
        <w:tc>
          <w:tcPr>
            <w:tcW w:w="1105" w:type="dxa"/>
            <w:vAlign w:val="bottom"/>
          </w:tcPr>
          <w:p w14:paraId="0D84B3BA" w14:textId="05CBCF4D" w:rsidR="00326B82" w:rsidRPr="00E87B78" w:rsidRDefault="00326B82" w:rsidP="00326B82">
            <w:pPr>
              <w:jc w:val="right"/>
              <w:rPr>
                <w:color w:val="000000"/>
                <w:sz w:val="15"/>
                <w:szCs w:val="15"/>
              </w:rPr>
            </w:pPr>
            <w:r w:rsidRPr="00E87B78">
              <w:rPr>
                <w:sz w:val="15"/>
                <w:szCs w:val="15"/>
              </w:rPr>
              <w:t>750.636</w:t>
            </w:r>
          </w:p>
        </w:tc>
        <w:tc>
          <w:tcPr>
            <w:tcW w:w="1134" w:type="dxa"/>
            <w:vAlign w:val="bottom"/>
          </w:tcPr>
          <w:p w14:paraId="36EFB027" w14:textId="048D3E07" w:rsidR="00326B82" w:rsidRPr="00E87B78" w:rsidRDefault="00326B82" w:rsidP="00326B82">
            <w:pPr>
              <w:jc w:val="right"/>
              <w:rPr>
                <w:color w:val="000000"/>
                <w:sz w:val="15"/>
                <w:szCs w:val="15"/>
              </w:rPr>
            </w:pPr>
            <w:r w:rsidRPr="00E87B78">
              <w:rPr>
                <w:sz w:val="15"/>
                <w:szCs w:val="15"/>
              </w:rPr>
              <w:t>-</w:t>
            </w:r>
          </w:p>
        </w:tc>
        <w:tc>
          <w:tcPr>
            <w:tcW w:w="1276" w:type="dxa"/>
            <w:vAlign w:val="bottom"/>
          </w:tcPr>
          <w:p w14:paraId="244589E2" w14:textId="149146FE" w:rsidR="00326B82" w:rsidRPr="00E87B78" w:rsidRDefault="00326B82" w:rsidP="00326B82">
            <w:pPr>
              <w:jc w:val="right"/>
              <w:rPr>
                <w:color w:val="000000"/>
                <w:sz w:val="15"/>
                <w:szCs w:val="15"/>
              </w:rPr>
            </w:pPr>
            <w:r w:rsidRPr="00E87B78">
              <w:rPr>
                <w:sz w:val="15"/>
                <w:szCs w:val="15"/>
              </w:rPr>
              <w:t>-</w:t>
            </w:r>
          </w:p>
        </w:tc>
        <w:tc>
          <w:tcPr>
            <w:tcW w:w="1048" w:type="dxa"/>
            <w:vAlign w:val="bottom"/>
          </w:tcPr>
          <w:p w14:paraId="1AC7620B" w14:textId="278C55F0" w:rsidR="00326B82" w:rsidRPr="00E87B78" w:rsidRDefault="00326B82" w:rsidP="00326B82">
            <w:pPr>
              <w:jc w:val="right"/>
              <w:rPr>
                <w:color w:val="000000"/>
                <w:sz w:val="15"/>
                <w:szCs w:val="15"/>
              </w:rPr>
            </w:pPr>
            <w:r w:rsidRPr="00E87B78">
              <w:rPr>
                <w:sz w:val="15"/>
                <w:szCs w:val="15"/>
              </w:rPr>
              <w:t>-</w:t>
            </w:r>
          </w:p>
        </w:tc>
        <w:tc>
          <w:tcPr>
            <w:tcW w:w="1426" w:type="dxa"/>
            <w:vAlign w:val="bottom"/>
          </w:tcPr>
          <w:p w14:paraId="6E0909A6" w14:textId="4D804B0F" w:rsidR="00326B82" w:rsidRPr="00E87B78" w:rsidRDefault="00326B82" w:rsidP="00326B82">
            <w:pPr>
              <w:jc w:val="right"/>
              <w:rPr>
                <w:color w:val="000000"/>
                <w:sz w:val="15"/>
                <w:szCs w:val="15"/>
              </w:rPr>
            </w:pPr>
            <w:r w:rsidRPr="00E87B78">
              <w:rPr>
                <w:sz w:val="15"/>
                <w:szCs w:val="15"/>
              </w:rPr>
              <w:t>-</w:t>
            </w:r>
          </w:p>
        </w:tc>
      </w:tr>
      <w:tr w:rsidR="00326B82" w:rsidRPr="00E87B78" w14:paraId="425B755A" w14:textId="77777777" w:rsidTr="00326B82">
        <w:trPr>
          <w:trHeight w:val="113"/>
        </w:trPr>
        <w:tc>
          <w:tcPr>
            <w:tcW w:w="2407" w:type="dxa"/>
            <w:vAlign w:val="bottom"/>
            <w:hideMark/>
          </w:tcPr>
          <w:p w14:paraId="5C4D7BAA" w14:textId="77777777" w:rsidR="00326B82" w:rsidRPr="00E87B78" w:rsidRDefault="00326B82" w:rsidP="00326B82">
            <w:pPr>
              <w:rPr>
                <w:color w:val="000000"/>
                <w:sz w:val="15"/>
                <w:szCs w:val="15"/>
              </w:rPr>
            </w:pPr>
            <w:r w:rsidRPr="00E87B78">
              <w:rPr>
                <w:color w:val="000000"/>
                <w:sz w:val="15"/>
                <w:szCs w:val="15"/>
              </w:rPr>
              <w:t>Türev Finansal Varlıklar</w:t>
            </w:r>
          </w:p>
        </w:tc>
        <w:tc>
          <w:tcPr>
            <w:tcW w:w="1264" w:type="dxa"/>
            <w:vAlign w:val="bottom"/>
          </w:tcPr>
          <w:p w14:paraId="238E00CD" w14:textId="35694947" w:rsidR="00326B82" w:rsidRPr="00E87B78" w:rsidRDefault="00326B82" w:rsidP="00326B82">
            <w:pPr>
              <w:jc w:val="right"/>
              <w:rPr>
                <w:color w:val="000000"/>
                <w:sz w:val="15"/>
                <w:szCs w:val="15"/>
              </w:rPr>
            </w:pPr>
            <w:r w:rsidRPr="00E87B78">
              <w:rPr>
                <w:sz w:val="15"/>
                <w:szCs w:val="15"/>
              </w:rPr>
              <w:t>1.147.565</w:t>
            </w:r>
          </w:p>
        </w:tc>
        <w:tc>
          <w:tcPr>
            <w:tcW w:w="1105" w:type="dxa"/>
            <w:vAlign w:val="bottom"/>
          </w:tcPr>
          <w:p w14:paraId="19C17C5C" w14:textId="0ECB298C" w:rsidR="00326B82" w:rsidRPr="00E87B78" w:rsidRDefault="00326B82" w:rsidP="00326B82">
            <w:pPr>
              <w:jc w:val="right"/>
              <w:rPr>
                <w:color w:val="000000"/>
                <w:sz w:val="15"/>
                <w:szCs w:val="15"/>
              </w:rPr>
            </w:pPr>
            <w:r w:rsidRPr="00E87B78">
              <w:rPr>
                <w:sz w:val="15"/>
                <w:szCs w:val="15"/>
              </w:rPr>
              <w:t>-</w:t>
            </w:r>
          </w:p>
        </w:tc>
        <w:tc>
          <w:tcPr>
            <w:tcW w:w="1134" w:type="dxa"/>
            <w:vAlign w:val="bottom"/>
          </w:tcPr>
          <w:p w14:paraId="2ECC9EA1" w14:textId="289314AC" w:rsidR="00326B82" w:rsidRPr="00E87B78" w:rsidRDefault="00326B82" w:rsidP="00326B82">
            <w:pPr>
              <w:jc w:val="right"/>
              <w:rPr>
                <w:color w:val="000000"/>
                <w:sz w:val="15"/>
                <w:szCs w:val="15"/>
              </w:rPr>
            </w:pPr>
            <w:r w:rsidRPr="00E87B78">
              <w:rPr>
                <w:sz w:val="15"/>
                <w:szCs w:val="15"/>
              </w:rPr>
              <w:t>1.147.565</w:t>
            </w:r>
          </w:p>
        </w:tc>
        <w:tc>
          <w:tcPr>
            <w:tcW w:w="1276" w:type="dxa"/>
            <w:vAlign w:val="bottom"/>
          </w:tcPr>
          <w:p w14:paraId="7AEE4BB8" w14:textId="10F7D7A3" w:rsidR="00326B82" w:rsidRPr="00E87B78" w:rsidRDefault="00326B82" w:rsidP="00326B82">
            <w:pPr>
              <w:jc w:val="right"/>
              <w:rPr>
                <w:color w:val="000000"/>
                <w:sz w:val="15"/>
                <w:szCs w:val="15"/>
              </w:rPr>
            </w:pPr>
            <w:r w:rsidRPr="00E87B78">
              <w:rPr>
                <w:sz w:val="15"/>
                <w:szCs w:val="15"/>
              </w:rPr>
              <w:t>-</w:t>
            </w:r>
          </w:p>
        </w:tc>
        <w:tc>
          <w:tcPr>
            <w:tcW w:w="1048" w:type="dxa"/>
            <w:vAlign w:val="bottom"/>
          </w:tcPr>
          <w:p w14:paraId="22DBCBC1" w14:textId="328B2662" w:rsidR="00326B82" w:rsidRPr="00E87B78" w:rsidRDefault="00326B82" w:rsidP="00326B82">
            <w:pPr>
              <w:jc w:val="right"/>
              <w:rPr>
                <w:color w:val="000000"/>
                <w:sz w:val="15"/>
                <w:szCs w:val="15"/>
              </w:rPr>
            </w:pPr>
            <w:r w:rsidRPr="00E87B78">
              <w:rPr>
                <w:sz w:val="15"/>
                <w:szCs w:val="15"/>
              </w:rPr>
              <w:t>-</w:t>
            </w:r>
          </w:p>
        </w:tc>
        <w:tc>
          <w:tcPr>
            <w:tcW w:w="1426" w:type="dxa"/>
            <w:vAlign w:val="bottom"/>
          </w:tcPr>
          <w:p w14:paraId="652472F8" w14:textId="4E4AA127" w:rsidR="00326B82" w:rsidRPr="00E87B78" w:rsidRDefault="00326B82" w:rsidP="00326B82">
            <w:pPr>
              <w:jc w:val="right"/>
              <w:rPr>
                <w:color w:val="000000"/>
                <w:sz w:val="15"/>
                <w:szCs w:val="15"/>
              </w:rPr>
            </w:pPr>
            <w:r w:rsidRPr="00E87B78">
              <w:rPr>
                <w:sz w:val="15"/>
                <w:szCs w:val="15"/>
              </w:rPr>
              <w:t>-</w:t>
            </w:r>
          </w:p>
        </w:tc>
      </w:tr>
      <w:tr w:rsidR="00326B82" w:rsidRPr="00E87B78" w14:paraId="621B5838" w14:textId="77777777" w:rsidTr="00326B82">
        <w:trPr>
          <w:trHeight w:val="113"/>
        </w:trPr>
        <w:tc>
          <w:tcPr>
            <w:tcW w:w="2407" w:type="dxa"/>
            <w:vAlign w:val="bottom"/>
            <w:hideMark/>
          </w:tcPr>
          <w:p w14:paraId="1F8DFD71" w14:textId="77777777" w:rsidR="00326B82" w:rsidRPr="00E87B78" w:rsidRDefault="00326B82" w:rsidP="00326B82">
            <w:pPr>
              <w:rPr>
                <w:color w:val="000000"/>
                <w:sz w:val="15"/>
                <w:szCs w:val="15"/>
              </w:rPr>
            </w:pPr>
            <w:r w:rsidRPr="00E87B78">
              <w:rPr>
                <w:color w:val="000000"/>
                <w:sz w:val="15"/>
                <w:szCs w:val="15"/>
              </w:rPr>
              <w:t>Beklenen Zarar Karşılıkları (-)</w:t>
            </w:r>
          </w:p>
        </w:tc>
        <w:tc>
          <w:tcPr>
            <w:tcW w:w="1264" w:type="dxa"/>
            <w:vAlign w:val="bottom"/>
          </w:tcPr>
          <w:p w14:paraId="2540AA79" w14:textId="6A99104A" w:rsidR="00326B82" w:rsidRPr="00E87B78" w:rsidRDefault="00326B82" w:rsidP="00326B82">
            <w:pPr>
              <w:jc w:val="right"/>
              <w:rPr>
                <w:color w:val="000000"/>
                <w:sz w:val="15"/>
                <w:szCs w:val="15"/>
              </w:rPr>
            </w:pPr>
            <w:r w:rsidRPr="00E87B78">
              <w:rPr>
                <w:sz w:val="15"/>
                <w:szCs w:val="15"/>
              </w:rPr>
              <w:t>585</w:t>
            </w:r>
          </w:p>
        </w:tc>
        <w:tc>
          <w:tcPr>
            <w:tcW w:w="1105" w:type="dxa"/>
            <w:vAlign w:val="bottom"/>
          </w:tcPr>
          <w:p w14:paraId="3CD8B64E" w14:textId="2646EA8D" w:rsidR="00326B82" w:rsidRPr="00E87B78" w:rsidRDefault="00326B82" w:rsidP="00326B82">
            <w:pPr>
              <w:jc w:val="right"/>
              <w:rPr>
                <w:color w:val="000000"/>
                <w:sz w:val="15"/>
                <w:szCs w:val="15"/>
              </w:rPr>
            </w:pPr>
            <w:r w:rsidRPr="00E87B78">
              <w:rPr>
                <w:sz w:val="15"/>
                <w:szCs w:val="15"/>
              </w:rPr>
              <w:t>585</w:t>
            </w:r>
          </w:p>
        </w:tc>
        <w:tc>
          <w:tcPr>
            <w:tcW w:w="1134" w:type="dxa"/>
            <w:vAlign w:val="bottom"/>
          </w:tcPr>
          <w:p w14:paraId="60D699B6" w14:textId="7B1CD9E7" w:rsidR="00326B82" w:rsidRPr="00E87B78" w:rsidRDefault="00326B82" w:rsidP="00326B82">
            <w:pPr>
              <w:jc w:val="right"/>
              <w:rPr>
                <w:color w:val="000000"/>
                <w:sz w:val="15"/>
                <w:szCs w:val="15"/>
              </w:rPr>
            </w:pPr>
            <w:r w:rsidRPr="00E87B78">
              <w:rPr>
                <w:sz w:val="15"/>
                <w:szCs w:val="15"/>
              </w:rPr>
              <w:t>-</w:t>
            </w:r>
          </w:p>
        </w:tc>
        <w:tc>
          <w:tcPr>
            <w:tcW w:w="1276" w:type="dxa"/>
            <w:vAlign w:val="bottom"/>
          </w:tcPr>
          <w:p w14:paraId="23D3D0FB" w14:textId="67DB92F5" w:rsidR="00326B82" w:rsidRPr="00E87B78" w:rsidRDefault="00326B82" w:rsidP="00326B82">
            <w:pPr>
              <w:jc w:val="right"/>
              <w:rPr>
                <w:color w:val="000000"/>
                <w:sz w:val="15"/>
                <w:szCs w:val="15"/>
              </w:rPr>
            </w:pPr>
            <w:r w:rsidRPr="00E87B78">
              <w:rPr>
                <w:sz w:val="15"/>
                <w:szCs w:val="15"/>
              </w:rPr>
              <w:t>-</w:t>
            </w:r>
          </w:p>
        </w:tc>
        <w:tc>
          <w:tcPr>
            <w:tcW w:w="1048" w:type="dxa"/>
            <w:vAlign w:val="bottom"/>
          </w:tcPr>
          <w:p w14:paraId="1004FC50" w14:textId="6F085C3F" w:rsidR="00326B82" w:rsidRPr="00E87B78" w:rsidRDefault="00326B82" w:rsidP="00326B82">
            <w:pPr>
              <w:jc w:val="right"/>
              <w:rPr>
                <w:color w:val="000000"/>
                <w:sz w:val="15"/>
                <w:szCs w:val="15"/>
              </w:rPr>
            </w:pPr>
            <w:r w:rsidRPr="00E87B78">
              <w:rPr>
                <w:sz w:val="15"/>
                <w:szCs w:val="15"/>
              </w:rPr>
              <w:t>-</w:t>
            </w:r>
          </w:p>
        </w:tc>
        <w:tc>
          <w:tcPr>
            <w:tcW w:w="1426" w:type="dxa"/>
            <w:vAlign w:val="bottom"/>
          </w:tcPr>
          <w:p w14:paraId="2A503559" w14:textId="41B0AD2D" w:rsidR="00326B82" w:rsidRPr="00E87B78" w:rsidRDefault="00326B82" w:rsidP="00326B82">
            <w:pPr>
              <w:jc w:val="right"/>
              <w:rPr>
                <w:color w:val="000000"/>
                <w:sz w:val="15"/>
                <w:szCs w:val="15"/>
              </w:rPr>
            </w:pPr>
            <w:r w:rsidRPr="00E87B78">
              <w:rPr>
                <w:sz w:val="15"/>
                <w:szCs w:val="15"/>
              </w:rPr>
              <w:t>-</w:t>
            </w:r>
          </w:p>
        </w:tc>
      </w:tr>
      <w:tr w:rsidR="00326B82" w:rsidRPr="00E87B78" w14:paraId="276CD192" w14:textId="77777777" w:rsidTr="00326B82">
        <w:trPr>
          <w:trHeight w:val="113"/>
        </w:trPr>
        <w:tc>
          <w:tcPr>
            <w:tcW w:w="2407" w:type="dxa"/>
            <w:vAlign w:val="bottom"/>
            <w:hideMark/>
          </w:tcPr>
          <w:p w14:paraId="4E1441B9" w14:textId="77777777" w:rsidR="00326B82" w:rsidRPr="00E87B78" w:rsidRDefault="00326B82" w:rsidP="00326B82">
            <w:pPr>
              <w:rPr>
                <w:b/>
                <w:bCs/>
                <w:color w:val="000000"/>
                <w:sz w:val="15"/>
                <w:szCs w:val="15"/>
              </w:rPr>
            </w:pPr>
            <w:r w:rsidRPr="00E87B78">
              <w:rPr>
                <w:b/>
                <w:bCs/>
                <w:color w:val="000000"/>
                <w:sz w:val="15"/>
                <w:szCs w:val="15"/>
              </w:rPr>
              <w:t>KREDİLER (Net)</w:t>
            </w:r>
          </w:p>
        </w:tc>
        <w:tc>
          <w:tcPr>
            <w:tcW w:w="1264" w:type="dxa"/>
            <w:vAlign w:val="bottom"/>
          </w:tcPr>
          <w:p w14:paraId="7A2A26D4" w14:textId="6F1C3CA7" w:rsidR="00326B82" w:rsidRPr="00E87B78" w:rsidRDefault="00326B82" w:rsidP="00326B82">
            <w:pPr>
              <w:jc w:val="right"/>
              <w:rPr>
                <w:color w:val="000000"/>
                <w:sz w:val="15"/>
                <w:szCs w:val="15"/>
              </w:rPr>
            </w:pPr>
            <w:r w:rsidRPr="00E87B78">
              <w:rPr>
                <w:sz w:val="15"/>
                <w:szCs w:val="15"/>
              </w:rPr>
              <w:t>54.302.936</w:t>
            </w:r>
          </w:p>
        </w:tc>
        <w:tc>
          <w:tcPr>
            <w:tcW w:w="1105" w:type="dxa"/>
            <w:vAlign w:val="bottom"/>
          </w:tcPr>
          <w:p w14:paraId="3E207DF0" w14:textId="72F28DDE" w:rsidR="00326B82" w:rsidRPr="00E87B78" w:rsidRDefault="00326B82" w:rsidP="00326B82">
            <w:pPr>
              <w:jc w:val="right"/>
              <w:rPr>
                <w:color w:val="000000"/>
                <w:sz w:val="15"/>
                <w:szCs w:val="15"/>
              </w:rPr>
            </w:pPr>
            <w:r w:rsidRPr="00E87B78">
              <w:rPr>
                <w:sz w:val="15"/>
                <w:szCs w:val="15"/>
              </w:rPr>
              <w:t>54.302.936</w:t>
            </w:r>
          </w:p>
        </w:tc>
        <w:tc>
          <w:tcPr>
            <w:tcW w:w="1134" w:type="dxa"/>
            <w:vAlign w:val="bottom"/>
          </w:tcPr>
          <w:p w14:paraId="7F8C41D1" w14:textId="5BF4A4AA" w:rsidR="00326B82" w:rsidRPr="00E87B78" w:rsidRDefault="00326B82" w:rsidP="00326B82">
            <w:pPr>
              <w:jc w:val="right"/>
              <w:rPr>
                <w:color w:val="000000"/>
                <w:sz w:val="15"/>
                <w:szCs w:val="15"/>
              </w:rPr>
            </w:pPr>
            <w:r w:rsidRPr="00E87B78">
              <w:rPr>
                <w:sz w:val="15"/>
                <w:szCs w:val="15"/>
              </w:rPr>
              <w:t>-</w:t>
            </w:r>
          </w:p>
        </w:tc>
        <w:tc>
          <w:tcPr>
            <w:tcW w:w="1276" w:type="dxa"/>
            <w:vAlign w:val="bottom"/>
          </w:tcPr>
          <w:p w14:paraId="42C5E2C4" w14:textId="59339495" w:rsidR="00326B82" w:rsidRPr="00E87B78" w:rsidRDefault="00326B82" w:rsidP="00326B82">
            <w:pPr>
              <w:jc w:val="right"/>
              <w:rPr>
                <w:color w:val="000000"/>
                <w:sz w:val="15"/>
                <w:szCs w:val="15"/>
              </w:rPr>
            </w:pPr>
            <w:r w:rsidRPr="00E87B78">
              <w:rPr>
                <w:sz w:val="15"/>
                <w:szCs w:val="15"/>
              </w:rPr>
              <w:t>-</w:t>
            </w:r>
          </w:p>
        </w:tc>
        <w:tc>
          <w:tcPr>
            <w:tcW w:w="1048" w:type="dxa"/>
            <w:vAlign w:val="bottom"/>
          </w:tcPr>
          <w:p w14:paraId="3C994C26" w14:textId="3BC34DBD" w:rsidR="00326B82" w:rsidRPr="00E87B78" w:rsidRDefault="00326B82" w:rsidP="00326B82">
            <w:pPr>
              <w:jc w:val="right"/>
              <w:rPr>
                <w:color w:val="000000"/>
                <w:sz w:val="15"/>
                <w:szCs w:val="15"/>
              </w:rPr>
            </w:pPr>
            <w:r w:rsidRPr="00E87B78">
              <w:rPr>
                <w:sz w:val="15"/>
                <w:szCs w:val="15"/>
              </w:rPr>
              <w:t>-</w:t>
            </w:r>
          </w:p>
        </w:tc>
        <w:tc>
          <w:tcPr>
            <w:tcW w:w="1426" w:type="dxa"/>
            <w:vAlign w:val="bottom"/>
          </w:tcPr>
          <w:p w14:paraId="600B2A90" w14:textId="22242FD3" w:rsidR="00326B82" w:rsidRPr="00E87B78" w:rsidRDefault="00326B82" w:rsidP="00326B82">
            <w:pPr>
              <w:jc w:val="right"/>
              <w:rPr>
                <w:color w:val="000000"/>
                <w:sz w:val="15"/>
                <w:szCs w:val="15"/>
              </w:rPr>
            </w:pPr>
            <w:r w:rsidRPr="00E87B78">
              <w:rPr>
                <w:sz w:val="15"/>
                <w:szCs w:val="15"/>
              </w:rPr>
              <w:t>-</w:t>
            </w:r>
          </w:p>
        </w:tc>
      </w:tr>
      <w:tr w:rsidR="00326B82" w:rsidRPr="00E87B78" w14:paraId="5670AEA7" w14:textId="77777777" w:rsidTr="00326B82">
        <w:trPr>
          <w:trHeight w:val="113"/>
        </w:trPr>
        <w:tc>
          <w:tcPr>
            <w:tcW w:w="2407" w:type="dxa"/>
            <w:vAlign w:val="bottom"/>
            <w:hideMark/>
          </w:tcPr>
          <w:p w14:paraId="14B0A02A" w14:textId="77777777" w:rsidR="00326B82" w:rsidRPr="00E87B78" w:rsidRDefault="00326B82" w:rsidP="00326B82">
            <w:pPr>
              <w:rPr>
                <w:color w:val="000000"/>
                <w:sz w:val="15"/>
                <w:szCs w:val="15"/>
              </w:rPr>
            </w:pPr>
            <w:r w:rsidRPr="00E87B78">
              <w:rPr>
                <w:color w:val="000000"/>
                <w:sz w:val="15"/>
                <w:szCs w:val="15"/>
              </w:rPr>
              <w:t xml:space="preserve">Krediler </w:t>
            </w:r>
          </w:p>
        </w:tc>
        <w:tc>
          <w:tcPr>
            <w:tcW w:w="1264" w:type="dxa"/>
            <w:vAlign w:val="bottom"/>
          </w:tcPr>
          <w:p w14:paraId="56FD21BB" w14:textId="2705B70C" w:rsidR="00326B82" w:rsidRPr="00E87B78" w:rsidRDefault="00326B82" w:rsidP="00326B82">
            <w:pPr>
              <w:jc w:val="right"/>
              <w:rPr>
                <w:color w:val="000000"/>
                <w:sz w:val="15"/>
                <w:szCs w:val="15"/>
              </w:rPr>
            </w:pPr>
            <w:r w:rsidRPr="00E87B78">
              <w:rPr>
                <w:sz w:val="15"/>
                <w:szCs w:val="15"/>
              </w:rPr>
              <w:t>52.258.149</w:t>
            </w:r>
          </w:p>
        </w:tc>
        <w:tc>
          <w:tcPr>
            <w:tcW w:w="1105" w:type="dxa"/>
            <w:vAlign w:val="bottom"/>
          </w:tcPr>
          <w:p w14:paraId="4803DECC" w14:textId="7D1EBBAD" w:rsidR="00326B82" w:rsidRPr="00E87B78" w:rsidRDefault="00326B82" w:rsidP="00326B82">
            <w:pPr>
              <w:jc w:val="right"/>
              <w:rPr>
                <w:color w:val="000000"/>
                <w:sz w:val="15"/>
                <w:szCs w:val="15"/>
              </w:rPr>
            </w:pPr>
            <w:r w:rsidRPr="00E87B78">
              <w:rPr>
                <w:sz w:val="15"/>
                <w:szCs w:val="15"/>
              </w:rPr>
              <w:t>52.258.149</w:t>
            </w:r>
          </w:p>
        </w:tc>
        <w:tc>
          <w:tcPr>
            <w:tcW w:w="1134" w:type="dxa"/>
            <w:vAlign w:val="bottom"/>
          </w:tcPr>
          <w:p w14:paraId="5787061C" w14:textId="2F54AA22" w:rsidR="00326B82" w:rsidRPr="00E87B78" w:rsidRDefault="00326B82" w:rsidP="00326B82">
            <w:pPr>
              <w:jc w:val="right"/>
              <w:rPr>
                <w:color w:val="000000"/>
                <w:sz w:val="15"/>
                <w:szCs w:val="15"/>
              </w:rPr>
            </w:pPr>
            <w:r w:rsidRPr="00E87B78">
              <w:rPr>
                <w:sz w:val="15"/>
                <w:szCs w:val="15"/>
              </w:rPr>
              <w:t>-</w:t>
            </w:r>
          </w:p>
        </w:tc>
        <w:tc>
          <w:tcPr>
            <w:tcW w:w="1276" w:type="dxa"/>
            <w:vAlign w:val="bottom"/>
          </w:tcPr>
          <w:p w14:paraId="72023D61" w14:textId="17DA5782" w:rsidR="00326B82" w:rsidRPr="00E87B78" w:rsidRDefault="00326B82" w:rsidP="00326B82">
            <w:pPr>
              <w:jc w:val="right"/>
              <w:rPr>
                <w:color w:val="000000"/>
                <w:sz w:val="15"/>
                <w:szCs w:val="15"/>
              </w:rPr>
            </w:pPr>
            <w:r w:rsidRPr="00E87B78">
              <w:rPr>
                <w:sz w:val="15"/>
                <w:szCs w:val="15"/>
              </w:rPr>
              <w:t>-</w:t>
            </w:r>
          </w:p>
        </w:tc>
        <w:tc>
          <w:tcPr>
            <w:tcW w:w="1048" w:type="dxa"/>
            <w:vAlign w:val="bottom"/>
          </w:tcPr>
          <w:p w14:paraId="5AF9B0F1" w14:textId="11C336A9" w:rsidR="00326B82" w:rsidRPr="00E87B78" w:rsidRDefault="00326B82" w:rsidP="00326B82">
            <w:pPr>
              <w:jc w:val="right"/>
              <w:rPr>
                <w:color w:val="000000"/>
                <w:sz w:val="15"/>
                <w:szCs w:val="15"/>
              </w:rPr>
            </w:pPr>
            <w:r w:rsidRPr="00E87B78">
              <w:rPr>
                <w:sz w:val="15"/>
                <w:szCs w:val="15"/>
              </w:rPr>
              <w:t>-</w:t>
            </w:r>
          </w:p>
        </w:tc>
        <w:tc>
          <w:tcPr>
            <w:tcW w:w="1426" w:type="dxa"/>
            <w:vAlign w:val="bottom"/>
          </w:tcPr>
          <w:p w14:paraId="3805ED63" w14:textId="7AB4D1C5" w:rsidR="00326B82" w:rsidRPr="00E87B78" w:rsidRDefault="00326B82" w:rsidP="00326B82">
            <w:pPr>
              <w:jc w:val="right"/>
              <w:rPr>
                <w:color w:val="000000"/>
                <w:sz w:val="15"/>
                <w:szCs w:val="15"/>
              </w:rPr>
            </w:pPr>
            <w:r w:rsidRPr="00E87B78">
              <w:rPr>
                <w:sz w:val="15"/>
                <w:szCs w:val="15"/>
              </w:rPr>
              <w:t>-</w:t>
            </w:r>
          </w:p>
        </w:tc>
      </w:tr>
      <w:tr w:rsidR="00326B82" w:rsidRPr="00E87B78" w14:paraId="06006DE9" w14:textId="77777777" w:rsidTr="00326B82">
        <w:trPr>
          <w:trHeight w:val="113"/>
        </w:trPr>
        <w:tc>
          <w:tcPr>
            <w:tcW w:w="2407" w:type="dxa"/>
            <w:vAlign w:val="bottom"/>
            <w:hideMark/>
          </w:tcPr>
          <w:p w14:paraId="3BE925A5" w14:textId="77777777" w:rsidR="00326B82" w:rsidRPr="00E87B78" w:rsidRDefault="00326B82" w:rsidP="00326B82">
            <w:pPr>
              <w:rPr>
                <w:color w:val="000000"/>
                <w:sz w:val="15"/>
                <w:szCs w:val="15"/>
              </w:rPr>
            </w:pPr>
            <w:r w:rsidRPr="00E87B78">
              <w:rPr>
                <w:color w:val="000000"/>
                <w:sz w:val="15"/>
                <w:szCs w:val="15"/>
              </w:rPr>
              <w:t>Kiralama İşlemlerinden Alacaklar</w:t>
            </w:r>
          </w:p>
        </w:tc>
        <w:tc>
          <w:tcPr>
            <w:tcW w:w="1264" w:type="dxa"/>
            <w:vAlign w:val="bottom"/>
          </w:tcPr>
          <w:p w14:paraId="7A55F0C5" w14:textId="106E8C6C" w:rsidR="00326B82" w:rsidRPr="00E87B78" w:rsidRDefault="00326B82" w:rsidP="00326B82">
            <w:pPr>
              <w:jc w:val="right"/>
              <w:rPr>
                <w:color w:val="000000"/>
                <w:sz w:val="15"/>
                <w:szCs w:val="15"/>
              </w:rPr>
            </w:pPr>
            <w:r w:rsidRPr="00E87B78">
              <w:rPr>
                <w:sz w:val="15"/>
                <w:szCs w:val="15"/>
              </w:rPr>
              <w:t>2.584.221</w:t>
            </w:r>
          </w:p>
        </w:tc>
        <w:tc>
          <w:tcPr>
            <w:tcW w:w="1105" w:type="dxa"/>
            <w:vAlign w:val="bottom"/>
          </w:tcPr>
          <w:p w14:paraId="4E02C0DC" w14:textId="3496D218" w:rsidR="00326B82" w:rsidRPr="00E87B78" w:rsidRDefault="00326B82" w:rsidP="00326B82">
            <w:pPr>
              <w:jc w:val="right"/>
              <w:rPr>
                <w:color w:val="000000"/>
                <w:sz w:val="15"/>
                <w:szCs w:val="15"/>
              </w:rPr>
            </w:pPr>
            <w:r w:rsidRPr="00E87B78">
              <w:rPr>
                <w:sz w:val="15"/>
                <w:szCs w:val="15"/>
              </w:rPr>
              <w:t>2.584.221</w:t>
            </w:r>
          </w:p>
        </w:tc>
        <w:tc>
          <w:tcPr>
            <w:tcW w:w="1134" w:type="dxa"/>
            <w:vAlign w:val="bottom"/>
          </w:tcPr>
          <w:p w14:paraId="5AAD852C" w14:textId="31A7D531" w:rsidR="00326B82" w:rsidRPr="00E87B78" w:rsidRDefault="00326B82" w:rsidP="00326B82">
            <w:pPr>
              <w:jc w:val="right"/>
              <w:rPr>
                <w:color w:val="000000"/>
                <w:sz w:val="15"/>
                <w:szCs w:val="15"/>
              </w:rPr>
            </w:pPr>
            <w:r w:rsidRPr="00E87B78">
              <w:rPr>
                <w:sz w:val="15"/>
                <w:szCs w:val="15"/>
              </w:rPr>
              <w:t>-</w:t>
            </w:r>
          </w:p>
        </w:tc>
        <w:tc>
          <w:tcPr>
            <w:tcW w:w="1276" w:type="dxa"/>
            <w:vAlign w:val="bottom"/>
          </w:tcPr>
          <w:p w14:paraId="4DDACD3D" w14:textId="406C7364" w:rsidR="00326B82" w:rsidRPr="00E87B78" w:rsidRDefault="00326B82" w:rsidP="00326B82">
            <w:pPr>
              <w:jc w:val="right"/>
              <w:rPr>
                <w:color w:val="000000"/>
                <w:sz w:val="15"/>
                <w:szCs w:val="15"/>
              </w:rPr>
            </w:pPr>
            <w:r w:rsidRPr="00E87B78">
              <w:rPr>
                <w:sz w:val="15"/>
                <w:szCs w:val="15"/>
              </w:rPr>
              <w:t>-</w:t>
            </w:r>
          </w:p>
        </w:tc>
        <w:tc>
          <w:tcPr>
            <w:tcW w:w="1048" w:type="dxa"/>
            <w:vAlign w:val="bottom"/>
          </w:tcPr>
          <w:p w14:paraId="5E007859" w14:textId="05B43252" w:rsidR="00326B82" w:rsidRPr="00E87B78" w:rsidRDefault="00326B82" w:rsidP="00326B82">
            <w:pPr>
              <w:jc w:val="right"/>
              <w:rPr>
                <w:color w:val="000000"/>
                <w:sz w:val="15"/>
                <w:szCs w:val="15"/>
              </w:rPr>
            </w:pPr>
            <w:r w:rsidRPr="00E87B78">
              <w:rPr>
                <w:sz w:val="15"/>
                <w:szCs w:val="15"/>
              </w:rPr>
              <w:t>-</w:t>
            </w:r>
          </w:p>
        </w:tc>
        <w:tc>
          <w:tcPr>
            <w:tcW w:w="1426" w:type="dxa"/>
            <w:vAlign w:val="bottom"/>
          </w:tcPr>
          <w:p w14:paraId="5315CA58" w14:textId="77A5C9D3" w:rsidR="00326B82" w:rsidRPr="00E87B78" w:rsidRDefault="00326B82" w:rsidP="00326B82">
            <w:pPr>
              <w:jc w:val="right"/>
              <w:rPr>
                <w:color w:val="000000"/>
                <w:sz w:val="15"/>
                <w:szCs w:val="15"/>
              </w:rPr>
            </w:pPr>
            <w:r w:rsidRPr="00E87B78">
              <w:rPr>
                <w:sz w:val="15"/>
                <w:szCs w:val="15"/>
              </w:rPr>
              <w:t>-</w:t>
            </w:r>
          </w:p>
        </w:tc>
      </w:tr>
      <w:tr w:rsidR="00326B82" w:rsidRPr="00E87B78" w14:paraId="45683BD1" w14:textId="77777777" w:rsidTr="00326B82">
        <w:trPr>
          <w:trHeight w:val="113"/>
        </w:trPr>
        <w:tc>
          <w:tcPr>
            <w:tcW w:w="2407" w:type="dxa"/>
            <w:vAlign w:val="bottom"/>
            <w:hideMark/>
          </w:tcPr>
          <w:p w14:paraId="59853240" w14:textId="77777777" w:rsidR="00326B82" w:rsidRPr="00E87B78" w:rsidRDefault="00326B82" w:rsidP="00326B82">
            <w:pPr>
              <w:rPr>
                <w:color w:val="000000"/>
                <w:sz w:val="15"/>
                <w:szCs w:val="15"/>
              </w:rPr>
            </w:pPr>
            <w:proofErr w:type="spellStart"/>
            <w:r w:rsidRPr="00E87B78">
              <w:rPr>
                <w:color w:val="000000"/>
                <w:sz w:val="15"/>
                <w:szCs w:val="15"/>
              </w:rPr>
              <w:t>Faktoring</w:t>
            </w:r>
            <w:proofErr w:type="spellEnd"/>
            <w:r w:rsidRPr="00E87B78">
              <w:rPr>
                <w:color w:val="000000"/>
                <w:sz w:val="15"/>
                <w:szCs w:val="15"/>
              </w:rPr>
              <w:t xml:space="preserve"> Alacakları</w:t>
            </w:r>
          </w:p>
        </w:tc>
        <w:tc>
          <w:tcPr>
            <w:tcW w:w="1264" w:type="dxa"/>
            <w:vAlign w:val="bottom"/>
          </w:tcPr>
          <w:p w14:paraId="65E59A56" w14:textId="653EF322" w:rsidR="00326B82" w:rsidRPr="00E87B78" w:rsidRDefault="00326B82" w:rsidP="00326B82">
            <w:pPr>
              <w:jc w:val="right"/>
              <w:rPr>
                <w:color w:val="000000"/>
                <w:sz w:val="15"/>
                <w:szCs w:val="15"/>
              </w:rPr>
            </w:pPr>
            <w:r w:rsidRPr="00E87B78">
              <w:rPr>
                <w:sz w:val="15"/>
                <w:szCs w:val="15"/>
              </w:rPr>
              <w:t>-</w:t>
            </w:r>
          </w:p>
        </w:tc>
        <w:tc>
          <w:tcPr>
            <w:tcW w:w="1105" w:type="dxa"/>
            <w:vAlign w:val="bottom"/>
          </w:tcPr>
          <w:p w14:paraId="345ED452" w14:textId="63EAC9D6" w:rsidR="00326B82" w:rsidRPr="00E87B78" w:rsidRDefault="00326B82" w:rsidP="00326B82">
            <w:pPr>
              <w:jc w:val="right"/>
              <w:rPr>
                <w:color w:val="000000"/>
                <w:sz w:val="15"/>
                <w:szCs w:val="15"/>
              </w:rPr>
            </w:pPr>
            <w:r w:rsidRPr="00E87B78">
              <w:rPr>
                <w:sz w:val="15"/>
                <w:szCs w:val="15"/>
              </w:rPr>
              <w:t>-</w:t>
            </w:r>
          </w:p>
        </w:tc>
        <w:tc>
          <w:tcPr>
            <w:tcW w:w="1134" w:type="dxa"/>
            <w:vAlign w:val="bottom"/>
          </w:tcPr>
          <w:p w14:paraId="35042A07" w14:textId="679D2415" w:rsidR="00326B82" w:rsidRPr="00E87B78" w:rsidRDefault="00326B82" w:rsidP="00326B82">
            <w:pPr>
              <w:jc w:val="right"/>
              <w:rPr>
                <w:color w:val="000000"/>
                <w:sz w:val="15"/>
                <w:szCs w:val="15"/>
              </w:rPr>
            </w:pPr>
            <w:r w:rsidRPr="00E87B78">
              <w:rPr>
                <w:sz w:val="15"/>
                <w:szCs w:val="15"/>
              </w:rPr>
              <w:t>-</w:t>
            </w:r>
          </w:p>
        </w:tc>
        <w:tc>
          <w:tcPr>
            <w:tcW w:w="1276" w:type="dxa"/>
            <w:vAlign w:val="bottom"/>
          </w:tcPr>
          <w:p w14:paraId="7BCD1905" w14:textId="0B4D424B" w:rsidR="00326B82" w:rsidRPr="00E87B78" w:rsidRDefault="00326B82" w:rsidP="00326B82">
            <w:pPr>
              <w:jc w:val="right"/>
              <w:rPr>
                <w:color w:val="000000"/>
                <w:sz w:val="15"/>
                <w:szCs w:val="15"/>
              </w:rPr>
            </w:pPr>
            <w:r w:rsidRPr="00E87B78">
              <w:rPr>
                <w:sz w:val="15"/>
                <w:szCs w:val="15"/>
              </w:rPr>
              <w:t>-</w:t>
            </w:r>
          </w:p>
        </w:tc>
        <w:tc>
          <w:tcPr>
            <w:tcW w:w="1048" w:type="dxa"/>
            <w:vAlign w:val="bottom"/>
          </w:tcPr>
          <w:p w14:paraId="0645C3CA" w14:textId="2830E921" w:rsidR="00326B82" w:rsidRPr="00E87B78" w:rsidRDefault="00326B82" w:rsidP="00326B82">
            <w:pPr>
              <w:jc w:val="right"/>
              <w:rPr>
                <w:color w:val="000000"/>
                <w:sz w:val="15"/>
                <w:szCs w:val="15"/>
              </w:rPr>
            </w:pPr>
            <w:r w:rsidRPr="00E87B78">
              <w:rPr>
                <w:sz w:val="15"/>
                <w:szCs w:val="15"/>
              </w:rPr>
              <w:t>-</w:t>
            </w:r>
          </w:p>
        </w:tc>
        <w:tc>
          <w:tcPr>
            <w:tcW w:w="1426" w:type="dxa"/>
            <w:vAlign w:val="bottom"/>
          </w:tcPr>
          <w:p w14:paraId="3D74D04F" w14:textId="15766F19" w:rsidR="00326B82" w:rsidRPr="00E87B78" w:rsidRDefault="00326B82" w:rsidP="00326B82">
            <w:pPr>
              <w:jc w:val="right"/>
              <w:rPr>
                <w:color w:val="000000"/>
                <w:sz w:val="15"/>
                <w:szCs w:val="15"/>
              </w:rPr>
            </w:pPr>
            <w:r w:rsidRPr="00E87B78">
              <w:rPr>
                <w:sz w:val="15"/>
                <w:szCs w:val="15"/>
              </w:rPr>
              <w:t>-</w:t>
            </w:r>
          </w:p>
        </w:tc>
      </w:tr>
      <w:tr w:rsidR="00326B82" w:rsidRPr="00E87B78" w14:paraId="7ED7475B" w14:textId="77777777" w:rsidTr="00326B82">
        <w:trPr>
          <w:trHeight w:val="113"/>
        </w:trPr>
        <w:tc>
          <w:tcPr>
            <w:tcW w:w="2407" w:type="dxa"/>
            <w:vAlign w:val="bottom"/>
            <w:hideMark/>
          </w:tcPr>
          <w:p w14:paraId="063193C3" w14:textId="77777777" w:rsidR="00326B82" w:rsidRPr="00E87B78" w:rsidRDefault="00326B82" w:rsidP="00326B82">
            <w:pPr>
              <w:rPr>
                <w:color w:val="000000"/>
                <w:sz w:val="15"/>
                <w:szCs w:val="15"/>
              </w:rPr>
            </w:pPr>
            <w:r w:rsidRPr="00E87B78">
              <w:rPr>
                <w:color w:val="000000"/>
                <w:sz w:val="15"/>
                <w:szCs w:val="15"/>
              </w:rPr>
              <w:t>Beklenen Zarar Karşılıkları (-)</w:t>
            </w:r>
          </w:p>
        </w:tc>
        <w:tc>
          <w:tcPr>
            <w:tcW w:w="1264" w:type="dxa"/>
            <w:vAlign w:val="bottom"/>
          </w:tcPr>
          <w:p w14:paraId="36FE593C" w14:textId="7BCF926E" w:rsidR="00326B82" w:rsidRPr="00E87B78" w:rsidRDefault="00326B82" w:rsidP="00326B82">
            <w:pPr>
              <w:jc w:val="right"/>
              <w:rPr>
                <w:color w:val="000000"/>
                <w:sz w:val="15"/>
                <w:szCs w:val="15"/>
              </w:rPr>
            </w:pPr>
            <w:r w:rsidRPr="00E87B78">
              <w:rPr>
                <w:sz w:val="15"/>
                <w:szCs w:val="15"/>
              </w:rPr>
              <w:t>539.434</w:t>
            </w:r>
          </w:p>
        </w:tc>
        <w:tc>
          <w:tcPr>
            <w:tcW w:w="1105" w:type="dxa"/>
            <w:vAlign w:val="bottom"/>
          </w:tcPr>
          <w:p w14:paraId="56B231E1" w14:textId="35096CA1" w:rsidR="00326B82" w:rsidRPr="00E87B78" w:rsidRDefault="00326B82" w:rsidP="00326B82">
            <w:pPr>
              <w:jc w:val="right"/>
              <w:rPr>
                <w:color w:val="000000"/>
                <w:sz w:val="15"/>
                <w:szCs w:val="15"/>
              </w:rPr>
            </w:pPr>
            <w:r w:rsidRPr="00E87B78">
              <w:rPr>
                <w:sz w:val="15"/>
                <w:szCs w:val="15"/>
              </w:rPr>
              <w:t>539.434</w:t>
            </w:r>
          </w:p>
        </w:tc>
        <w:tc>
          <w:tcPr>
            <w:tcW w:w="1134" w:type="dxa"/>
            <w:vAlign w:val="bottom"/>
          </w:tcPr>
          <w:p w14:paraId="0D3071D6" w14:textId="22589F98" w:rsidR="00326B82" w:rsidRPr="00E87B78" w:rsidRDefault="00326B82" w:rsidP="00326B82">
            <w:pPr>
              <w:jc w:val="right"/>
              <w:rPr>
                <w:color w:val="000000"/>
                <w:sz w:val="15"/>
                <w:szCs w:val="15"/>
              </w:rPr>
            </w:pPr>
            <w:r w:rsidRPr="00E87B78">
              <w:rPr>
                <w:sz w:val="15"/>
                <w:szCs w:val="15"/>
              </w:rPr>
              <w:t>-</w:t>
            </w:r>
          </w:p>
        </w:tc>
        <w:tc>
          <w:tcPr>
            <w:tcW w:w="1276" w:type="dxa"/>
            <w:vAlign w:val="bottom"/>
          </w:tcPr>
          <w:p w14:paraId="168BE434" w14:textId="440CE595" w:rsidR="00326B82" w:rsidRPr="00E87B78" w:rsidRDefault="00326B82" w:rsidP="00326B82">
            <w:pPr>
              <w:jc w:val="right"/>
              <w:rPr>
                <w:color w:val="000000"/>
                <w:sz w:val="15"/>
                <w:szCs w:val="15"/>
              </w:rPr>
            </w:pPr>
            <w:r w:rsidRPr="00E87B78">
              <w:rPr>
                <w:sz w:val="15"/>
                <w:szCs w:val="15"/>
              </w:rPr>
              <w:t>-</w:t>
            </w:r>
          </w:p>
        </w:tc>
        <w:tc>
          <w:tcPr>
            <w:tcW w:w="1048" w:type="dxa"/>
            <w:vAlign w:val="bottom"/>
          </w:tcPr>
          <w:p w14:paraId="0FBE60FB" w14:textId="7D9044FF" w:rsidR="00326B82" w:rsidRPr="00E87B78" w:rsidRDefault="00326B82" w:rsidP="00326B82">
            <w:pPr>
              <w:jc w:val="right"/>
              <w:rPr>
                <w:color w:val="000000"/>
                <w:sz w:val="15"/>
                <w:szCs w:val="15"/>
              </w:rPr>
            </w:pPr>
            <w:r w:rsidRPr="00E87B78">
              <w:rPr>
                <w:sz w:val="15"/>
                <w:szCs w:val="15"/>
              </w:rPr>
              <w:t>-</w:t>
            </w:r>
          </w:p>
        </w:tc>
        <w:tc>
          <w:tcPr>
            <w:tcW w:w="1426" w:type="dxa"/>
            <w:vAlign w:val="bottom"/>
          </w:tcPr>
          <w:p w14:paraId="159B389B" w14:textId="6965015F" w:rsidR="00326B82" w:rsidRPr="00E87B78" w:rsidRDefault="00326B82" w:rsidP="00326B82">
            <w:pPr>
              <w:jc w:val="right"/>
              <w:rPr>
                <w:color w:val="000000"/>
                <w:sz w:val="15"/>
                <w:szCs w:val="15"/>
              </w:rPr>
            </w:pPr>
            <w:r w:rsidRPr="00E87B78">
              <w:rPr>
                <w:sz w:val="15"/>
                <w:szCs w:val="15"/>
              </w:rPr>
              <w:t>150.848</w:t>
            </w:r>
          </w:p>
        </w:tc>
      </w:tr>
      <w:tr w:rsidR="00326B82" w:rsidRPr="00E87B78" w14:paraId="6AE3D9BE" w14:textId="77777777" w:rsidTr="00326B82">
        <w:trPr>
          <w:trHeight w:val="113"/>
        </w:trPr>
        <w:tc>
          <w:tcPr>
            <w:tcW w:w="2407" w:type="dxa"/>
            <w:vAlign w:val="bottom"/>
            <w:hideMark/>
          </w:tcPr>
          <w:p w14:paraId="23D95EFA" w14:textId="77777777" w:rsidR="00326B82" w:rsidRPr="00E87B78" w:rsidRDefault="00326B82" w:rsidP="00326B82">
            <w:pPr>
              <w:rPr>
                <w:color w:val="000000"/>
                <w:sz w:val="15"/>
                <w:szCs w:val="15"/>
              </w:rPr>
            </w:pPr>
            <w:r w:rsidRPr="00E87B78">
              <w:rPr>
                <w:color w:val="000000"/>
                <w:sz w:val="15"/>
                <w:szCs w:val="15"/>
              </w:rPr>
              <w:t>Satış Amaçlı Elde Tutulan ve Durdurulan Faaliyetlere İlişkin Duran Varlıklar (Net)</w:t>
            </w:r>
          </w:p>
        </w:tc>
        <w:tc>
          <w:tcPr>
            <w:tcW w:w="1264" w:type="dxa"/>
            <w:vAlign w:val="bottom"/>
          </w:tcPr>
          <w:p w14:paraId="651D6C78" w14:textId="0F9577F1" w:rsidR="00326B82" w:rsidRPr="00E87B78" w:rsidRDefault="00326B82" w:rsidP="00326B82">
            <w:pPr>
              <w:jc w:val="right"/>
              <w:rPr>
                <w:color w:val="000000"/>
                <w:sz w:val="15"/>
                <w:szCs w:val="15"/>
              </w:rPr>
            </w:pPr>
            <w:r w:rsidRPr="00E87B78">
              <w:rPr>
                <w:sz w:val="15"/>
                <w:szCs w:val="15"/>
              </w:rPr>
              <w:t>-</w:t>
            </w:r>
          </w:p>
        </w:tc>
        <w:tc>
          <w:tcPr>
            <w:tcW w:w="1105" w:type="dxa"/>
            <w:vAlign w:val="bottom"/>
          </w:tcPr>
          <w:p w14:paraId="34D714A8" w14:textId="18CE9CAD" w:rsidR="00326B82" w:rsidRPr="00E87B78" w:rsidRDefault="00326B82" w:rsidP="00326B82">
            <w:pPr>
              <w:jc w:val="right"/>
              <w:rPr>
                <w:color w:val="000000"/>
                <w:sz w:val="15"/>
                <w:szCs w:val="15"/>
              </w:rPr>
            </w:pPr>
            <w:r w:rsidRPr="00E87B78">
              <w:rPr>
                <w:sz w:val="15"/>
                <w:szCs w:val="15"/>
              </w:rPr>
              <w:t>-</w:t>
            </w:r>
          </w:p>
        </w:tc>
        <w:tc>
          <w:tcPr>
            <w:tcW w:w="1134" w:type="dxa"/>
            <w:vAlign w:val="bottom"/>
          </w:tcPr>
          <w:p w14:paraId="3A403B70" w14:textId="1B73DBC2" w:rsidR="00326B82" w:rsidRPr="00E87B78" w:rsidRDefault="00326B82" w:rsidP="00326B82">
            <w:pPr>
              <w:jc w:val="right"/>
              <w:rPr>
                <w:color w:val="000000"/>
                <w:sz w:val="15"/>
                <w:szCs w:val="15"/>
              </w:rPr>
            </w:pPr>
            <w:r w:rsidRPr="00E87B78">
              <w:rPr>
                <w:sz w:val="15"/>
                <w:szCs w:val="15"/>
              </w:rPr>
              <w:t>-</w:t>
            </w:r>
          </w:p>
        </w:tc>
        <w:tc>
          <w:tcPr>
            <w:tcW w:w="1276" w:type="dxa"/>
            <w:vAlign w:val="bottom"/>
          </w:tcPr>
          <w:p w14:paraId="4D34F953" w14:textId="29CE9478" w:rsidR="00326B82" w:rsidRPr="00E87B78" w:rsidRDefault="00326B82" w:rsidP="00326B82">
            <w:pPr>
              <w:jc w:val="right"/>
              <w:rPr>
                <w:color w:val="000000"/>
                <w:sz w:val="15"/>
                <w:szCs w:val="15"/>
              </w:rPr>
            </w:pPr>
            <w:r w:rsidRPr="00E87B78">
              <w:rPr>
                <w:sz w:val="15"/>
                <w:szCs w:val="15"/>
              </w:rPr>
              <w:t>-</w:t>
            </w:r>
          </w:p>
        </w:tc>
        <w:tc>
          <w:tcPr>
            <w:tcW w:w="1048" w:type="dxa"/>
            <w:vAlign w:val="bottom"/>
          </w:tcPr>
          <w:p w14:paraId="044DC37E" w14:textId="4696C059" w:rsidR="00326B82" w:rsidRPr="00E87B78" w:rsidRDefault="00326B82" w:rsidP="00326B82">
            <w:pPr>
              <w:jc w:val="right"/>
              <w:rPr>
                <w:color w:val="000000"/>
                <w:sz w:val="15"/>
                <w:szCs w:val="15"/>
              </w:rPr>
            </w:pPr>
            <w:r w:rsidRPr="00E87B78">
              <w:rPr>
                <w:sz w:val="15"/>
                <w:szCs w:val="15"/>
              </w:rPr>
              <w:t>-</w:t>
            </w:r>
          </w:p>
        </w:tc>
        <w:tc>
          <w:tcPr>
            <w:tcW w:w="1426" w:type="dxa"/>
            <w:vAlign w:val="bottom"/>
          </w:tcPr>
          <w:p w14:paraId="36516030" w14:textId="4EA59BBA" w:rsidR="00326B82" w:rsidRPr="00E87B78" w:rsidRDefault="00326B82" w:rsidP="00326B82">
            <w:pPr>
              <w:jc w:val="right"/>
              <w:rPr>
                <w:color w:val="000000"/>
                <w:sz w:val="15"/>
                <w:szCs w:val="15"/>
              </w:rPr>
            </w:pPr>
            <w:r w:rsidRPr="00E87B78">
              <w:rPr>
                <w:sz w:val="15"/>
                <w:szCs w:val="15"/>
              </w:rPr>
              <w:t>-</w:t>
            </w:r>
          </w:p>
        </w:tc>
      </w:tr>
      <w:tr w:rsidR="00326B82" w:rsidRPr="00E87B78" w14:paraId="15AD7742" w14:textId="77777777" w:rsidTr="00326B82">
        <w:trPr>
          <w:trHeight w:val="113"/>
        </w:trPr>
        <w:tc>
          <w:tcPr>
            <w:tcW w:w="2407" w:type="dxa"/>
            <w:vAlign w:val="bottom"/>
            <w:hideMark/>
          </w:tcPr>
          <w:p w14:paraId="422532BA" w14:textId="77777777" w:rsidR="00326B82" w:rsidRPr="00E87B78" w:rsidRDefault="00326B82" w:rsidP="00326B82">
            <w:pPr>
              <w:rPr>
                <w:color w:val="000000"/>
                <w:sz w:val="15"/>
                <w:szCs w:val="15"/>
              </w:rPr>
            </w:pPr>
            <w:r w:rsidRPr="00E87B78">
              <w:rPr>
                <w:color w:val="000000"/>
                <w:sz w:val="15"/>
                <w:szCs w:val="15"/>
              </w:rPr>
              <w:t>Ortaklık Yatırımları</w:t>
            </w:r>
          </w:p>
        </w:tc>
        <w:tc>
          <w:tcPr>
            <w:tcW w:w="1264" w:type="dxa"/>
            <w:vAlign w:val="bottom"/>
          </w:tcPr>
          <w:p w14:paraId="2817E835" w14:textId="2B244938" w:rsidR="00326B82" w:rsidRPr="00E87B78" w:rsidRDefault="00326B82" w:rsidP="00326B82">
            <w:pPr>
              <w:jc w:val="right"/>
              <w:rPr>
                <w:color w:val="000000"/>
                <w:sz w:val="15"/>
                <w:szCs w:val="15"/>
              </w:rPr>
            </w:pPr>
            <w:r w:rsidRPr="00E87B78">
              <w:rPr>
                <w:sz w:val="15"/>
                <w:szCs w:val="15"/>
              </w:rPr>
              <w:t>655.250</w:t>
            </w:r>
          </w:p>
        </w:tc>
        <w:tc>
          <w:tcPr>
            <w:tcW w:w="1105" w:type="dxa"/>
            <w:vAlign w:val="bottom"/>
          </w:tcPr>
          <w:p w14:paraId="3833FC8A" w14:textId="34376F3D" w:rsidR="00326B82" w:rsidRPr="00E87B78" w:rsidRDefault="00326B82" w:rsidP="00326B82">
            <w:pPr>
              <w:jc w:val="right"/>
              <w:rPr>
                <w:color w:val="000000"/>
                <w:sz w:val="15"/>
                <w:szCs w:val="15"/>
              </w:rPr>
            </w:pPr>
            <w:r w:rsidRPr="00E87B78">
              <w:rPr>
                <w:sz w:val="15"/>
                <w:szCs w:val="15"/>
              </w:rPr>
              <w:t>655.250</w:t>
            </w:r>
          </w:p>
        </w:tc>
        <w:tc>
          <w:tcPr>
            <w:tcW w:w="1134" w:type="dxa"/>
            <w:vAlign w:val="bottom"/>
          </w:tcPr>
          <w:p w14:paraId="3D6C1851" w14:textId="6FC7A63E" w:rsidR="00326B82" w:rsidRPr="00E87B78" w:rsidRDefault="00326B82" w:rsidP="00326B82">
            <w:pPr>
              <w:jc w:val="right"/>
              <w:rPr>
                <w:color w:val="000000"/>
                <w:sz w:val="15"/>
                <w:szCs w:val="15"/>
              </w:rPr>
            </w:pPr>
            <w:r w:rsidRPr="00E87B78">
              <w:rPr>
                <w:sz w:val="15"/>
                <w:szCs w:val="15"/>
              </w:rPr>
              <w:t>-</w:t>
            </w:r>
          </w:p>
        </w:tc>
        <w:tc>
          <w:tcPr>
            <w:tcW w:w="1276" w:type="dxa"/>
            <w:vAlign w:val="bottom"/>
          </w:tcPr>
          <w:p w14:paraId="76EDC1A0" w14:textId="43BDF2A1" w:rsidR="00326B82" w:rsidRPr="00E87B78" w:rsidRDefault="00326B82" w:rsidP="00326B82">
            <w:pPr>
              <w:jc w:val="right"/>
              <w:rPr>
                <w:color w:val="000000"/>
                <w:sz w:val="15"/>
                <w:szCs w:val="15"/>
              </w:rPr>
            </w:pPr>
            <w:r w:rsidRPr="00E87B78">
              <w:rPr>
                <w:sz w:val="15"/>
                <w:szCs w:val="15"/>
              </w:rPr>
              <w:t>-</w:t>
            </w:r>
          </w:p>
        </w:tc>
        <w:tc>
          <w:tcPr>
            <w:tcW w:w="1048" w:type="dxa"/>
            <w:vAlign w:val="bottom"/>
          </w:tcPr>
          <w:p w14:paraId="1A2A0E0A" w14:textId="6DE46286" w:rsidR="00326B82" w:rsidRPr="00E87B78" w:rsidRDefault="00326B82" w:rsidP="00326B82">
            <w:pPr>
              <w:jc w:val="right"/>
              <w:rPr>
                <w:color w:val="000000"/>
                <w:sz w:val="15"/>
                <w:szCs w:val="15"/>
              </w:rPr>
            </w:pPr>
            <w:r w:rsidRPr="00E87B78">
              <w:rPr>
                <w:sz w:val="15"/>
                <w:szCs w:val="15"/>
              </w:rPr>
              <w:t>-</w:t>
            </w:r>
          </w:p>
        </w:tc>
        <w:tc>
          <w:tcPr>
            <w:tcW w:w="1426" w:type="dxa"/>
            <w:vAlign w:val="bottom"/>
          </w:tcPr>
          <w:p w14:paraId="5A69534C" w14:textId="5D88F74E" w:rsidR="00326B82" w:rsidRPr="00E87B78" w:rsidRDefault="00326B82" w:rsidP="00326B82">
            <w:pPr>
              <w:jc w:val="right"/>
              <w:rPr>
                <w:color w:val="000000"/>
                <w:sz w:val="15"/>
                <w:szCs w:val="15"/>
              </w:rPr>
            </w:pPr>
            <w:r w:rsidRPr="00E87B78">
              <w:rPr>
                <w:sz w:val="15"/>
                <w:szCs w:val="15"/>
              </w:rPr>
              <w:t>-</w:t>
            </w:r>
          </w:p>
        </w:tc>
      </w:tr>
      <w:tr w:rsidR="00326B82" w:rsidRPr="00E87B78" w14:paraId="18E84802" w14:textId="77777777" w:rsidTr="00326B82">
        <w:trPr>
          <w:trHeight w:val="113"/>
        </w:trPr>
        <w:tc>
          <w:tcPr>
            <w:tcW w:w="2407" w:type="dxa"/>
            <w:vAlign w:val="bottom"/>
            <w:hideMark/>
          </w:tcPr>
          <w:p w14:paraId="3AC4E0FD" w14:textId="77777777" w:rsidR="00326B82" w:rsidRPr="00E87B78" w:rsidRDefault="00326B82" w:rsidP="00326B82">
            <w:pPr>
              <w:rPr>
                <w:color w:val="000000"/>
                <w:sz w:val="15"/>
                <w:szCs w:val="15"/>
              </w:rPr>
            </w:pPr>
            <w:r w:rsidRPr="00E87B78">
              <w:rPr>
                <w:color w:val="000000"/>
                <w:sz w:val="15"/>
                <w:szCs w:val="15"/>
              </w:rPr>
              <w:t xml:space="preserve">Maddi Duran Varlıklar (Net) </w:t>
            </w:r>
          </w:p>
        </w:tc>
        <w:tc>
          <w:tcPr>
            <w:tcW w:w="1264" w:type="dxa"/>
            <w:vAlign w:val="bottom"/>
          </w:tcPr>
          <w:p w14:paraId="2DF824BA" w14:textId="70221839" w:rsidR="00326B82" w:rsidRPr="00E87B78" w:rsidRDefault="00326B82" w:rsidP="00326B82">
            <w:pPr>
              <w:jc w:val="right"/>
              <w:rPr>
                <w:color w:val="000000"/>
                <w:sz w:val="15"/>
                <w:szCs w:val="15"/>
              </w:rPr>
            </w:pPr>
            <w:r w:rsidRPr="00E87B78">
              <w:rPr>
                <w:sz w:val="15"/>
                <w:szCs w:val="15"/>
              </w:rPr>
              <w:t>922.074</w:t>
            </w:r>
          </w:p>
        </w:tc>
        <w:tc>
          <w:tcPr>
            <w:tcW w:w="1105" w:type="dxa"/>
            <w:vAlign w:val="bottom"/>
          </w:tcPr>
          <w:p w14:paraId="23A5ACBE" w14:textId="412A0B58" w:rsidR="00326B82" w:rsidRPr="00E87B78" w:rsidRDefault="00326B82" w:rsidP="00326B82">
            <w:pPr>
              <w:jc w:val="right"/>
              <w:rPr>
                <w:color w:val="000000"/>
                <w:sz w:val="15"/>
                <w:szCs w:val="15"/>
              </w:rPr>
            </w:pPr>
            <w:r w:rsidRPr="00E87B78">
              <w:rPr>
                <w:sz w:val="15"/>
                <w:szCs w:val="15"/>
              </w:rPr>
              <w:t>922.074</w:t>
            </w:r>
          </w:p>
        </w:tc>
        <w:tc>
          <w:tcPr>
            <w:tcW w:w="1134" w:type="dxa"/>
            <w:vAlign w:val="bottom"/>
          </w:tcPr>
          <w:p w14:paraId="25E0BF34" w14:textId="37A33B32" w:rsidR="00326B82" w:rsidRPr="00E87B78" w:rsidRDefault="00326B82" w:rsidP="00326B82">
            <w:pPr>
              <w:jc w:val="right"/>
              <w:rPr>
                <w:color w:val="000000"/>
                <w:sz w:val="15"/>
                <w:szCs w:val="15"/>
              </w:rPr>
            </w:pPr>
            <w:r w:rsidRPr="00E87B78">
              <w:rPr>
                <w:sz w:val="15"/>
                <w:szCs w:val="15"/>
              </w:rPr>
              <w:t>-</w:t>
            </w:r>
          </w:p>
        </w:tc>
        <w:tc>
          <w:tcPr>
            <w:tcW w:w="1276" w:type="dxa"/>
            <w:vAlign w:val="bottom"/>
          </w:tcPr>
          <w:p w14:paraId="3A1400FD" w14:textId="2A6D833D" w:rsidR="00326B82" w:rsidRPr="00E87B78" w:rsidRDefault="00326B82" w:rsidP="00326B82">
            <w:pPr>
              <w:jc w:val="right"/>
              <w:rPr>
                <w:color w:val="000000"/>
                <w:sz w:val="15"/>
                <w:szCs w:val="15"/>
              </w:rPr>
            </w:pPr>
            <w:r w:rsidRPr="00E87B78">
              <w:rPr>
                <w:sz w:val="15"/>
                <w:szCs w:val="15"/>
              </w:rPr>
              <w:t>-</w:t>
            </w:r>
          </w:p>
        </w:tc>
        <w:tc>
          <w:tcPr>
            <w:tcW w:w="1048" w:type="dxa"/>
            <w:vAlign w:val="bottom"/>
          </w:tcPr>
          <w:p w14:paraId="2C76AE3F" w14:textId="1AECE422" w:rsidR="00326B82" w:rsidRPr="00E87B78" w:rsidRDefault="00326B82" w:rsidP="00326B82">
            <w:pPr>
              <w:jc w:val="right"/>
              <w:rPr>
                <w:color w:val="000000"/>
                <w:sz w:val="15"/>
                <w:szCs w:val="15"/>
              </w:rPr>
            </w:pPr>
            <w:r w:rsidRPr="00E87B78">
              <w:rPr>
                <w:sz w:val="15"/>
                <w:szCs w:val="15"/>
              </w:rPr>
              <w:t>-</w:t>
            </w:r>
          </w:p>
        </w:tc>
        <w:tc>
          <w:tcPr>
            <w:tcW w:w="1426" w:type="dxa"/>
            <w:vAlign w:val="bottom"/>
          </w:tcPr>
          <w:p w14:paraId="60077389" w14:textId="3BE9D93A" w:rsidR="00326B82" w:rsidRPr="00E87B78" w:rsidRDefault="00326B82" w:rsidP="00326B82">
            <w:pPr>
              <w:jc w:val="right"/>
              <w:rPr>
                <w:color w:val="000000"/>
                <w:sz w:val="15"/>
                <w:szCs w:val="15"/>
              </w:rPr>
            </w:pPr>
            <w:r w:rsidRPr="00E87B78">
              <w:rPr>
                <w:sz w:val="15"/>
                <w:szCs w:val="15"/>
              </w:rPr>
              <w:t>250.615</w:t>
            </w:r>
          </w:p>
        </w:tc>
      </w:tr>
      <w:tr w:rsidR="00326B82" w:rsidRPr="00E87B78" w14:paraId="5C980BD3" w14:textId="77777777" w:rsidTr="00326B82">
        <w:trPr>
          <w:trHeight w:val="113"/>
        </w:trPr>
        <w:tc>
          <w:tcPr>
            <w:tcW w:w="2407" w:type="dxa"/>
            <w:vAlign w:val="bottom"/>
            <w:hideMark/>
          </w:tcPr>
          <w:p w14:paraId="221F2429" w14:textId="77777777" w:rsidR="00326B82" w:rsidRPr="00E87B78" w:rsidRDefault="00326B82" w:rsidP="00326B82">
            <w:pPr>
              <w:rPr>
                <w:color w:val="000000"/>
                <w:sz w:val="15"/>
                <w:szCs w:val="15"/>
              </w:rPr>
            </w:pPr>
            <w:r w:rsidRPr="00E87B78">
              <w:rPr>
                <w:color w:val="000000"/>
                <w:sz w:val="15"/>
                <w:szCs w:val="15"/>
              </w:rPr>
              <w:t>Maddi Olmayan Duran Varlıklar (Net)</w:t>
            </w:r>
          </w:p>
        </w:tc>
        <w:tc>
          <w:tcPr>
            <w:tcW w:w="1264" w:type="dxa"/>
            <w:vAlign w:val="bottom"/>
          </w:tcPr>
          <w:p w14:paraId="1FBAEB8C" w14:textId="3B749DA3" w:rsidR="00326B82" w:rsidRPr="00E87B78" w:rsidRDefault="00326B82" w:rsidP="00326B82">
            <w:pPr>
              <w:jc w:val="right"/>
              <w:rPr>
                <w:color w:val="000000"/>
                <w:sz w:val="15"/>
                <w:szCs w:val="15"/>
              </w:rPr>
            </w:pPr>
            <w:r w:rsidRPr="00E87B78">
              <w:rPr>
                <w:sz w:val="15"/>
                <w:szCs w:val="15"/>
              </w:rPr>
              <w:t>457.990</w:t>
            </w:r>
          </w:p>
        </w:tc>
        <w:tc>
          <w:tcPr>
            <w:tcW w:w="1105" w:type="dxa"/>
            <w:vAlign w:val="bottom"/>
          </w:tcPr>
          <w:p w14:paraId="60EB2B9B" w14:textId="674335C9" w:rsidR="00326B82" w:rsidRPr="00E87B78" w:rsidRDefault="00326B82" w:rsidP="00326B82">
            <w:pPr>
              <w:jc w:val="right"/>
              <w:rPr>
                <w:color w:val="000000"/>
                <w:sz w:val="15"/>
                <w:szCs w:val="15"/>
              </w:rPr>
            </w:pPr>
            <w:r w:rsidRPr="00E87B78">
              <w:rPr>
                <w:sz w:val="15"/>
                <w:szCs w:val="15"/>
              </w:rPr>
              <w:t>457.990</w:t>
            </w:r>
          </w:p>
        </w:tc>
        <w:tc>
          <w:tcPr>
            <w:tcW w:w="1134" w:type="dxa"/>
            <w:vAlign w:val="bottom"/>
          </w:tcPr>
          <w:p w14:paraId="38F4B9AB" w14:textId="1A06417F" w:rsidR="00326B82" w:rsidRPr="00E87B78" w:rsidRDefault="00326B82" w:rsidP="00326B82">
            <w:pPr>
              <w:jc w:val="right"/>
              <w:rPr>
                <w:color w:val="000000"/>
                <w:sz w:val="15"/>
                <w:szCs w:val="15"/>
              </w:rPr>
            </w:pPr>
            <w:r w:rsidRPr="00E87B78">
              <w:rPr>
                <w:sz w:val="15"/>
                <w:szCs w:val="15"/>
              </w:rPr>
              <w:t>-</w:t>
            </w:r>
          </w:p>
        </w:tc>
        <w:tc>
          <w:tcPr>
            <w:tcW w:w="1276" w:type="dxa"/>
            <w:vAlign w:val="bottom"/>
          </w:tcPr>
          <w:p w14:paraId="1F839F3A" w14:textId="3C07BA85" w:rsidR="00326B82" w:rsidRPr="00E87B78" w:rsidRDefault="00326B82" w:rsidP="00326B82">
            <w:pPr>
              <w:jc w:val="right"/>
              <w:rPr>
                <w:color w:val="000000"/>
                <w:sz w:val="15"/>
                <w:szCs w:val="15"/>
              </w:rPr>
            </w:pPr>
            <w:r w:rsidRPr="00E87B78">
              <w:rPr>
                <w:sz w:val="15"/>
                <w:szCs w:val="15"/>
              </w:rPr>
              <w:t>-</w:t>
            </w:r>
          </w:p>
        </w:tc>
        <w:tc>
          <w:tcPr>
            <w:tcW w:w="1048" w:type="dxa"/>
            <w:vAlign w:val="bottom"/>
          </w:tcPr>
          <w:p w14:paraId="17804033" w14:textId="6FF1C37E" w:rsidR="00326B82" w:rsidRPr="00E87B78" w:rsidRDefault="00326B82" w:rsidP="00326B82">
            <w:pPr>
              <w:jc w:val="right"/>
              <w:rPr>
                <w:color w:val="000000"/>
                <w:sz w:val="15"/>
                <w:szCs w:val="15"/>
              </w:rPr>
            </w:pPr>
            <w:r w:rsidRPr="00E87B78">
              <w:rPr>
                <w:sz w:val="15"/>
                <w:szCs w:val="15"/>
              </w:rPr>
              <w:t>-</w:t>
            </w:r>
          </w:p>
        </w:tc>
        <w:tc>
          <w:tcPr>
            <w:tcW w:w="1426" w:type="dxa"/>
            <w:vAlign w:val="bottom"/>
          </w:tcPr>
          <w:p w14:paraId="2E2BACFC" w14:textId="10521C6F" w:rsidR="00326B82" w:rsidRPr="00E87B78" w:rsidRDefault="00326B82" w:rsidP="00326B82">
            <w:pPr>
              <w:jc w:val="right"/>
              <w:rPr>
                <w:color w:val="000000"/>
                <w:sz w:val="15"/>
                <w:szCs w:val="15"/>
              </w:rPr>
            </w:pPr>
            <w:r w:rsidRPr="00E87B78">
              <w:rPr>
                <w:sz w:val="15"/>
                <w:szCs w:val="15"/>
              </w:rPr>
              <w:t>457.991</w:t>
            </w:r>
          </w:p>
        </w:tc>
      </w:tr>
      <w:tr w:rsidR="00326B82" w:rsidRPr="00E87B78" w14:paraId="15DACA48" w14:textId="77777777" w:rsidTr="00326B82">
        <w:trPr>
          <w:trHeight w:val="113"/>
        </w:trPr>
        <w:tc>
          <w:tcPr>
            <w:tcW w:w="2407" w:type="dxa"/>
            <w:vAlign w:val="bottom"/>
            <w:hideMark/>
          </w:tcPr>
          <w:p w14:paraId="500A740B" w14:textId="77777777" w:rsidR="00326B82" w:rsidRPr="00E87B78" w:rsidRDefault="00326B82" w:rsidP="00326B82">
            <w:pPr>
              <w:rPr>
                <w:color w:val="000000"/>
                <w:sz w:val="15"/>
                <w:szCs w:val="15"/>
              </w:rPr>
            </w:pPr>
            <w:r w:rsidRPr="00E87B78">
              <w:rPr>
                <w:color w:val="000000"/>
                <w:sz w:val="15"/>
                <w:szCs w:val="15"/>
              </w:rPr>
              <w:t>Yatırım Amaçlı Gayrimenkuller (Net)</w:t>
            </w:r>
          </w:p>
        </w:tc>
        <w:tc>
          <w:tcPr>
            <w:tcW w:w="1264" w:type="dxa"/>
            <w:vAlign w:val="bottom"/>
          </w:tcPr>
          <w:p w14:paraId="3C12B465" w14:textId="210B98DD" w:rsidR="00326B82" w:rsidRPr="00E87B78" w:rsidRDefault="00326B82" w:rsidP="00326B82">
            <w:pPr>
              <w:jc w:val="right"/>
              <w:rPr>
                <w:color w:val="000000"/>
                <w:sz w:val="15"/>
                <w:szCs w:val="15"/>
              </w:rPr>
            </w:pPr>
            <w:r w:rsidRPr="00E87B78">
              <w:rPr>
                <w:sz w:val="15"/>
                <w:szCs w:val="15"/>
              </w:rPr>
              <w:t>-</w:t>
            </w:r>
          </w:p>
        </w:tc>
        <w:tc>
          <w:tcPr>
            <w:tcW w:w="1105" w:type="dxa"/>
            <w:vAlign w:val="bottom"/>
          </w:tcPr>
          <w:p w14:paraId="349F5DD6" w14:textId="353500D3" w:rsidR="00326B82" w:rsidRPr="00E87B78" w:rsidRDefault="00326B82" w:rsidP="00326B82">
            <w:pPr>
              <w:jc w:val="right"/>
              <w:rPr>
                <w:color w:val="000000"/>
                <w:sz w:val="15"/>
                <w:szCs w:val="15"/>
              </w:rPr>
            </w:pPr>
            <w:r w:rsidRPr="00E87B78">
              <w:rPr>
                <w:sz w:val="15"/>
                <w:szCs w:val="15"/>
              </w:rPr>
              <w:t>-</w:t>
            </w:r>
          </w:p>
        </w:tc>
        <w:tc>
          <w:tcPr>
            <w:tcW w:w="1134" w:type="dxa"/>
            <w:vAlign w:val="bottom"/>
          </w:tcPr>
          <w:p w14:paraId="60DF97BB" w14:textId="7CE7DD9B" w:rsidR="00326B82" w:rsidRPr="00E87B78" w:rsidRDefault="00326B82" w:rsidP="00326B82">
            <w:pPr>
              <w:jc w:val="right"/>
              <w:rPr>
                <w:color w:val="000000"/>
                <w:sz w:val="15"/>
                <w:szCs w:val="15"/>
              </w:rPr>
            </w:pPr>
            <w:r w:rsidRPr="00E87B78">
              <w:rPr>
                <w:sz w:val="15"/>
                <w:szCs w:val="15"/>
              </w:rPr>
              <w:t>-</w:t>
            </w:r>
          </w:p>
        </w:tc>
        <w:tc>
          <w:tcPr>
            <w:tcW w:w="1276" w:type="dxa"/>
            <w:vAlign w:val="bottom"/>
          </w:tcPr>
          <w:p w14:paraId="7CCCDB96" w14:textId="78328BC1" w:rsidR="00326B82" w:rsidRPr="00E87B78" w:rsidRDefault="00326B82" w:rsidP="00326B82">
            <w:pPr>
              <w:jc w:val="right"/>
              <w:rPr>
                <w:color w:val="000000"/>
                <w:sz w:val="15"/>
                <w:szCs w:val="15"/>
              </w:rPr>
            </w:pPr>
            <w:r w:rsidRPr="00E87B78">
              <w:rPr>
                <w:sz w:val="15"/>
                <w:szCs w:val="15"/>
              </w:rPr>
              <w:t>-</w:t>
            </w:r>
          </w:p>
        </w:tc>
        <w:tc>
          <w:tcPr>
            <w:tcW w:w="1048" w:type="dxa"/>
            <w:vAlign w:val="bottom"/>
          </w:tcPr>
          <w:p w14:paraId="5A1116F5" w14:textId="169300CC" w:rsidR="00326B82" w:rsidRPr="00E87B78" w:rsidRDefault="00326B82" w:rsidP="00326B82">
            <w:pPr>
              <w:jc w:val="right"/>
              <w:rPr>
                <w:color w:val="000000"/>
                <w:sz w:val="15"/>
                <w:szCs w:val="15"/>
              </w:rPr>
            </w:pPr>
            <w:r w:rsidRPr="00E87B78">
              <w:rPr>
                <w:sz w:val="15"/>
                <w:szCs w:val="15"/>
              </w:rPr>
              <w:t>-</w:t>
            </w:r>
          </w:p>
        </w:tc>
        <w:tc>
          <w:tcPr>
            <w:tcW w:w="1426" w:type="dxa"/>
            <w:vAlign w:val="bottom"/>
          </w:tcPr>
          <w:p w14:paraId="5CAA8C72" w14:textId="25340C4C" w:rsidR="00326B82" w:rsidRPr="00E87B78" w:rsidRDefault="00326B82" w:rsidP="00326B82">
            <w:pPr>
              <w:jc w:val="right"/>
              <w:rPr>
                <w:color w:val="000000"/>
                <w:sz w:val="15"/>
                <w:szCs w:val="15"/>
              </w:rPr>
            </w:pPr>
            <w:r w:rsidRPr="00E87B78">
              <w:rPr>
                <w:sz w:val="15"/>
                <w:szCs w:val="15"/>
              </w:rPr>
              <w:t>708.605</w:t>
            </w:r>
          </w:p>
        </w:tc>
      </w:tr>
      <w:tr w:rsidR="00326B82" w:rsidRPr="00E87B78" w14:paraId="1404C4EF" w14:textId="77777777" w:rsidTr="00326B82">
        <w:trPr>
          <w:trHeight w:val="113"/>
        </w:trPr>
        <w:tc>
          <w:tcPr>
            <w:tcW w:w="2407" w:type="dxa"/>
            <w:vAlign w:val="bottom"/>
            <w:hideMark/>
          </w:tcPr>
          <w:p w14:paraId="058EEFF8" w14:textId="77777777" w:rsidR="00326B82" w:rsidRPr="00E87B78" w:rsidRDefault="00326B82" w:rsidP="00326B82">
            <w:pPr>
              <w:rPr>
                <w:color w:val="000000"/>
                <w:sz w:val="15"/>
                <w:szCs w:val="15"/>
              </w:rPr>
            </w:pPr>
            <w:r w:rsidRPr="00E87B78">
              <w:rPr>
                <w:color w:val="000000"/>
                <w:sz w:val="15"/>
                <w:szCs w:val="15"/>
              </w:rPr>
              <w:t>Cari Vergi Varlığı</w:t>
            </w:r>
          </w:p>
        </w:tc>
        <w:tc>
          <w:tcPr>
            <w:tcW w:w="1264" w:type="dxa"/>
            <w:vAlign w:val="bottom"/>
          </w:tcPr>
          <w:p w14:paraId="5798BF54" w14:textId="20271FCF" w:rsidR="00326B82" w:rsidRPr="00E87B78" w:rsidRDefault="00326B82" w:rsidP="00326B82">
            <w:pPr>
              <w:jc w:val="right"/>
              <w:rPr>
                <w:color w:val="000000"/>
                <w:sz w:val="15"/>
                <w:szCs w:val="15"/>
              </w:rPr>
            </w:pPr>
            <w:r w:rsidRPr="00E87B78">
              <w:rPr>
                <w:sz w:val="15"/>
                <w:szCs w:val="15"/>
              </w:rPr>
              <w:t>7.944</w:t>
            </w:r>
          </w:p>
        </w:tc>
        <w:tc>
          <w:tcPr>
            <w:tcW w:w="1105" w:type="dxa"/>
            <w:vAlign w:val="bottom"/>
          </w:tcPr>
          <w:p w14:paraId="19F0E93D" w14:textId="3B17F4D2" w:rsidR="00326B82" w:rsidRPr="00E87B78" w:rsidRDefault="00326B82" w:rsidP="00326B82">
            <w:pPr>
              <w:jc w:val="right"/>
              <w:rPr>
                <w:color w:val="000000"/>
                <w:sz w:val="15"/>
                <w:szCs w:val="15"/>
              </w:rPr>
            </w:pPr>
            <w:r w:rsidRPr="00E87B78">
              <w:rPr>
                <w:sz w:val="15"/>
                <w:szCs w:val="15"/>
              </w:rPr>
              <w:t>7.944</w:t>
            </w:r>
          </w:p>
        </w:tc>
        <w:tc>
          <w:tcPr>
            <w:tcW w:w="1134" w:type="dxa"/>
            <w:vAlign w:val="bottom"/>
          </w:tcPr>
          <w:p w14:paraId="4A3075F8" w14:textId="2C3F24B5" w:rsidR="00326B82" w:rsidRPr="00E87B78" w:rsidRDefault="00326B82" w:rsidP="00326B82">
            <w:pPr>
              <w:jc w:val="right"/>
              <w:rPr>
                <w:color w:val="000000"/>
                <w:sz w:val="15"/>
                <w:szCs w:val="15"/>
              </w:rPr>
            </w:pPr>
            <w:r w:rsidRPr="00E87B78">
              <w:rPr>
                <w:sz w:val="15"/>
                <w:szCs w:val="15"/>
              </w:rPr>
              <w:t>-</w:t>
            </w:r>
          </w:p>
        </w:tc>
        <w:tc>
          <w:tcPr>
            <w:tcW w:w="1276" w:type="dxa"/>
            <w:vAlign w:val="bottom"/>
          </w:tcPr>
          <w:p w14:paraId="402A7666" w14:textId="1F58EB4C" w:rsidR="00326B82" w:rsidRPr="00E87B78" w:rsidRDefault="00326B82" w:rsidP="00326B82">
            <w:pPr>
              <w:jc w:val="right"/>
              <w:rPr>
                <w:color w:val="000000"/>
                <w:sz w:val="15"/>
                <w:szCs w:val="15"/>
              </w:rPr>
            </w:pPr>
            <w:r w:rsidRPr="00E87B78">
              <w:rPr>
                <w:sz w:val="15"/>
                <w:szCs w:val="15"/>
              </w:rPr>
              <w:t>-</w:t>
            </w:r>
          </w:p>
        </w:tc>
        <w:tc>
          <w:tcPr>
            <w:tcW w:w="1048" w:type="dxa"/>
            <w:vAlign w:val="bottom"/>
          </w:tcPr>
          <w:p w14:paraId="380CEF96" w14:textId="207839EA" w:rsidR="00326B82" w:rsidRPr="00E87B78" w:rsidRDefault="00326B82" w:rsidP="00326B82">
            <w:pPr>
              <w:jc w:val="right"/>
              <w:rPr>
                <w:color w:val="000000"/>
                <w:sz w:val="15"/>
                <w:szCs w:val="15"/>
              </w:rPr>
            </w:pPr>
            <w:r w:rsidRPr="00E87B78">
              <w:rPr>
                <w:sz w:val="15"/>
                <w:szCs w:val="15"/>
              </w:rPr>
              <w:t>-</w:t>
            </w:r>
          </w:p>
        </w:tc>
        <w:tc>
          <w:tcPr>
            <w:tcW w:w="1426" w:type="dxa"/>
            <w:vAlign w:val="bottom"/>
          </w:tcPr>
          <w:p w14:paraId="635020BC" w14:textId="59C37EF3" w:rsidR="00326B82" w:rsidRPr="00E87B78" w:rsidRDefault="00326B82" w:rsidP="00326B82">
            <w:pPr>
              <w:jc w:val="right"/>
              <w:rPr>
                <w:color w:val="000000"/>
                <w:sz w:val="15"/>
                <w:szCs w:val="15"/>
              </w:rPr>
            </w:pPr>
            <w:r w:rsidRPr="00E87B78">
              <w:rPr>
                <w:sz w:val="15"/>
                <w:szCs w:val="15"/>
              </w:rPr>
              <w:t>-</w:t>
            </w:r>
          </w:p>
        </w:tc>
      </w:tr>
      <w:tr w:rsidR="00326B82" w:rsidRPr="00E87B78" w14:paraId="0D74B759" w14:textId="77777777" w:rsidTr="00326B82">
        <w:trPr>
          <w:trHeight w:val="113"/>
        </w:trPr>
        <w:tc>
          <w:tcPr>
            <w:tcW w:w="2407" w:type="dxa"/>
            <w:vAlign w:val="bottom"/>
            <w:hideMark/>
          </w:tcPr>
          <w:p w14:paraId="1603C93D" w14:textId="77777777" w:rsidR="00326B82" w:rsidRPr="00E87B78" w:rsidRDefault="00326B82" w:rsidP="00326B82">
            <w:pPr>
              <w:rPr>
                <w:color w:val="000000"/>
                <w:sz w:val="15"/>
                <w:szCs w:val="15"/>
              </w:rPr>
            </w:pPr>
            <w:r w:rsidRPr="00E87B78">
              <w:rPr>
                <w:color w:val="000000"/>
                <w:sz w:val="15"/>
                <w:szCs w:val="15"/>
              </w:rPr>
              <w:t xml:space="preserve">Ertelenmiş Vergi Varlığı </w:t>
            </w:r>
          </w:p>
        </w:tc>
        <w:tc>
          <w:tcPr>
            <w:tcW w:w="1264" w:type="dxa"/>
            <w:vAlign w:val="bottom"/>
          </w:tcPr>
          <w:p w14:paraId="2A4BD66B" w14:textId="2072A5F5" w:rsidR="00326B82" w:rsidRPr="00E87B78" w:rsidRDefault="00326B82" w:rsidP="00326B82">
            <w:pPr>
              <w:jc w:val="right"/>
              <w:rPr>
                <w:color w:val="000000"/>
                <w:sz w:val="15"/>
                <w:szCs w:val="15"/>
              </w:rPr>
            </w:pPr>
            <w:r w:rsidRPr="00E87B78">
              <w:rPr>
                <w:sz w:val="15"/>
                <w:szCs w:val="15"/>
              </w:rPr>
              <w:t>-</w:t>
            </w:r>
          </w:p>
        </w:tc>
        <w:tc>
          <w:tcPr>
            <w:tcW w:w="1105" w:type="dxa"/>
            <w:vAlign w:val="bottom"/>
          </w:tcPr>
          <w:p w14:paraId="3A6D959F" w14:textId="0A38F425" w:rsidR="00326B82" w:rsidRPr="00E87B78" w:rsidRDefault="00326B82" w:rsidP="00326B82">
            <w:pPr>
              <w:jc w:val="right"/>
              <w:rPr>
                <w:color w:val="000000"/>
                <w:sz w:val="15"/>
                <w:szCs w:val="15"/>
              </w:rPr>
            </w:pPr>
            <w:r w:rsidRPr="00E87B78">
              <w:rPr>
                <w:sz w:val="15"/>
                <w:szCs w:val="15"/>
              </w:rPr>
              <w:t>-</w:t>
            </w:r>
          </w:p>
        </w:tc>
        <w:tc>
          <w:tcPr>
            <w:tcW w:w="1134" w:type="dxa"/>
            <w:vAlign w:val="bottom"/>
          </w:tcPr>
          <w:p w14:paraId="1911CAEF" w14:textId="44A98580" w:rsidR="00326B82" w:rsidRPr="00E87B78" w:rsidRDefault="00326B82" w:rsidP="00326B82">
            <w:pPr>
              <w:jc w:val="right"/>
              <w:rPr>
                <w:color w:val="000000"/>
                <w:sz w:val="15"/>
                <w:szCs w:val="15"/>
              </w:rPr>
            </w:pPr>
            <w:r w:rsidRPr="00E87B78">
              <w:rPr>
                <w:sz w:val="15"/>
                <w:szCs w:val="15"/>
              </w:rPr>
              <w:t>-</w:t>
            </w:r>
          </w:p>
        </w:tc>
        <w:tc>
          <w:tcPr>
            <w:tcW w:w="1276" w:type="dxa"/>
            <w:vAlign w:val="bottom"/>
          </w:tcPr>
          <w:p w14:paraId="5AA2E1F4" w14:textId="02624E57" w:rsidR="00326B82" w:rsidRPr="00E87B78" w:rsidRDefault="00326B82" w:rsidP="00326B82">
            <w:pPr>
              <w:jc w:val="right"/>
              <w:rPr>
                <w:color w:val="000000"/>
                <w:sz w:val="15"/>
                <w:szCs w:val="15"/>
              </w:rPr>
            </w:pPr>
            <w:r w:rsidRPr="00E87B78">
              <w:rPr>
                <w:sz w:val="15"/>
                <w:szCs w:val="15"/>
              </w:rPr>
              <w:t>-</w:t>
            </w:r>
          </w:p>
        </w:tc>
        <w:tc>
          <w:tcPr>
            <w:tcW w:w="1048" w:type="dxa"/>
            <w:vAlign w:val="bottom"/>
          </w:tcPr>
          <w:p w14:paraId="35C33125" w14:textId="6C67A557" w:rsidR="00326B82" w:rsidRPr="00E87B78" w:rsidRDefault="00326B82" w:rsidP="00326B82">
            <w:pPr>
              <w:jc w:val="right"/>
              <w:rPr>
                <w:color w:val="000000"/>
                <w:sz w:val="15"/>
                <w:szCs w:val="15"/>
              </w:rPr>
            </w:pPr>
            <w:r w:rsidRPr="00E87B78">
              <w:rPr>
                <w:sz w:val="15"/>
                <w:szCs w:val="15"/>
              </w:rPr>
              <w:t>-</w:t>
            </w:r>
          </w:p>
        </w:tc>
        <w:tc>
          <w:tcPr>
            <w:tcW w:w="1426" w:type="dxa"/>
            <w:vAlign w:val="bottom"/>
          </w:tcPr>
          <w:p w14:paraId="1C413AAD" w14:textId="0D53F285" w:rsidR="00326B82" w:rsidRPr="00E87B78" w:rsidRDefault="00326B82" w:rsidP="00326B82">
            <w:pPr>
              <w:jc w:val="right"/>
              <w:rPr>
                <w:color w:val="000000"/>
                <w:sz w:val="15"/>
                <w:szCs w:val="15"/>
              </w:rPr>
            </w:pPr>
            <w:r w:rsidRPr="00E87B78">
              <w:rPr>
                <w:sz w:val="15"/>
                <w:szCs w:val="15"/>
              </w:rPr>
              <w:t>-</w:t>
            </w:r>
          </w:p>
        </w:tc>
      </w:tr>
      <w:tr w:rsidR="00326B82" w:rsidRPr="00E87B78" w14:paraId="6E15A0E5" w14:textId="77777777" w:rsidTr="00326B82">
        <w:trPr>
          <w:trHeight w:val="113"/>
        </w:trPr>
        <w:tc>
          <w:tcPr>
            <w:tcW w:w="2407" w:type="dxa"/>
            <w:tcBorders>
              <w:top w:val="nil"/>
              <w:left w:val="nil"/>
              <w:bottom w:val="single" w:sz="4" w:space="0" w:color="auto"/>
              <w:right w:val="nil"/>
            </w:tcBorders>
            <w:vAlign w:val="bottom"/>
            <w:hideMark/>
          </w:tcPr>
          <w:p w14:paraId="51AA8329" w14:textId="77777777" w:rsidR="00326B82" w:rsidRPr="00E87B78" w:rsidRDefault="00326B82" w:rsidP="00326B82">
            <w:pPr>
              <w:rPr>
                <w:color w:val="000000"/>
                <w:sz w:val="15"/>
                <w:szCs w:val="15"/>
              </w:rPr>
            </w:pPr>
            <w:r w:rsidRPr="00E87B78">
              <w:rPr>
                <w:color w:val="000000"/>
                <w:sz w:val="15"/>
                <w:szCs w:val="15"/>
              </w:rPr>
              <w:t xml:space="preserve">Diğer Aktifler  </w:t>
            </w:r>
          </w:p>
        </w:tc>
        <w:tc>
          <w:tcPr>
            <w:tcW w:w="1264" w:type="dxa"/>
            <w:tcBorders>
              <w:bottom w:val="single" w:sz="4" w:space="0" w:color="auto"/>
            </w:tcBorders>
            <w:vAlign w:val="bottom"/>
          </w:tcPr>
          <w:p w14:paraId="15768DB8" w14:textId="4D2E1487" w:rsidR="00326B82" w:rsidRPr="00E87B78" w:rsidRDefault="00326B82" w:rsidP="00326B82">
            <w:pPr>
              <w:jc w:val="right"/>
              <w:rPr>
                <w:color w:val="000000"/>
                <w:sz w:val="15"/>
                <w:szCs w:val="15"/>
              </w:rPr>
            </w:pPr>
            <w:r w:rsidRPr="00E87B78">
              <w:rPr>
                <w:sz w:val="15"/>
                <w:szCs w:val="15"/>
              </w:rPr>
              <w:t>388.677</w:t>
            </w:r>
          </w:p>
        </w:tc>
        <w:tc>
          <w:tcPr>
            <w:tcW w:w="1105" w:type="dxa"/>
            <w:tcBorders>
              <w:bottom w:val="single" w:sz="4" w:space="0" w:color="auto"/>
            </w:tcBorders>
            <w:vAlign w:val="bottom"/>
          </w:tcPr>
          <w:p w14:paraId="00278CD0" w14:textId="6B9DAAEE" w:rsidR="00326B82" w:rsidRPr="00E87B78" w:rsidRDefault="00326B82" w:rsidP="00326B82">
            <w:pPr>
              <w:jc w:val="right"/>
              <w:rPr>
                <w:color w:val="000000"/>
                <w:sz w:val="15"/>
                <w:szCs w:val="15"/>
              </w:rPr>
            </w:pPr>
            <w:r w:rsidRPr="00E87B78">
              <w:rPr>
                <w:sz w:val="15"/>
                <w:szCs w:val="15"/>
              </w:rPr>
              <w:t>388.677</w:t>
            </w:r>
          </w:p>
        </w:tc>
        <w:tc>
          <w:tcPr>
            <w:tcW w:w="1134" w:type="dxa"/>
            <w:tcBorders>
              <w:bottom w:val="single" w:sz="4" w:space="0" w:color="auto"/>
            </w:tcBorders>
            <w:vAlign w:val="bottom"/>
          </w:tcPr>
          <w:p w14:paraId="0851A730" w14:textId="7090452D" w:rsidR="00326B82" w:rsidRPr="00E87B78" w:rsidRDefault="00326B82" w:rsidP="00326B82">
            <w:pPr>
              <w:jc w:val="right"/>
              <w:rPr>
                <w:color w:val="000000"/>
                <w:sz w:val="15"/>
                <w:szCs w:val="15"/>
              </w:rPr>
            </w:pPr>
            <w:r w:rsidRPr="00E87B78">
              <w:rPr>
                <w:sz w:val="15"/>
                <w:szCs w:val="15"/>
              </w:rPr>
              <w:t>-</w:t>
            </w:r>
          </w:p>
        </w:tc>
        <w:tc>
          <w:tcPr>
            <w:tcW w:w="1276" w:type="dxa"/>
            <w:tcBorders>
              <w:bottom w:val="single" w:sz="4" w:space="0" w:color="auto"/>
            </w:tcBorders>
            <w:vAlign w:val="bottom"/>
          </w:tcPr>
          <w:p w14:paraId="3F878294" w14:textId="3A553876" w:rsidR="00326B82" w:rsidRPr="00E87B78" w:rsidRDefault="00326B82" w:rsidP="00326B82">
            <w:pPr>
              <w:jc w:val="right"/>
              <w:rPr>
                <w:color w:val="000000"/>
                <w:sz w:val="15"/>
                <w:szCs w:val="15"/>
              </w:rPr>
            </w:pPr>
            <w:r w:rsidRPr="00E87B78">
              <w:rPr>
                <w:sz w:val="15"/>
                <w:szCs w:val="15"/>
              </w:rPr>
              <w:t>-</w:t>
            </w:r>
          </w:p>
        </w:tc>
        <w:tc>
          <w:tcPr>
            <w:tcW w:w="1048" w:type="dxa"/>
            <w:tcBorders>
              <w:bottom w:val="single" w:sz="4" w:space="0" w:color="auto"/>
            </w:tcBorders>
            <w:vAlign w:val="bottom"/>
          </w:tcPr>
          <w:p w14:paraId="4CA93B13" w14:textId="7CA1F212" w:rsidR="00326B82" w:rsidRPr="00E87B78" w:rsidRDefault="00326B82" w:rsidP="00326B82">
            <w:pPr>
              <w:jc w:val="right"/>
              <w:rPr>
                <w:color w:val="000000"/>
                <w:sz w:val="15"/>
                <w:szCs w:val="15"/>
              </w:rPr>
            </w:pPr>
            <w:r w:rsidRPr="00E87B78">
              <w:rPr>
                <w:sz w:val="15"/>
                <w:szCs w:val="15"/>
              </w:rPr>
              <w:t>-</w:t>
            </w:r>
          </w:p>
        </w:tc>
        <w:tc>
          <w:tcPr>
            <w:tcW w:w="1426" w:type="dxa"/>
            <w:tcBorders>
              <w:bottom w:val="single" w:sz="4" w:space="0" w:color="auto"/>
            </w:tcBorders>
            <w:vAlign w:val="bottom"/>
          </w:tcPr>
          <w:p w14:paraId="134C3839" w14:textId="3A625611" w:rsidR="00326B82" w:rsidRPr="00E87B78" w:rsidRDefault="00326B82" w:rsidP="00326B82">
            <w:pPr>
              <w:jc w:val="right"/>
              <w:rPr>
                <w:color w:val="000000"/>
                <w:sz w:val="15"/>
                <w:szCs w:val="15"/>
              </w:rPr>
            </w:pPr>
            <w:r w:rsidRPr="00E87B78">
              <w:rPr>
                <w:sz w:val="15"/>
                <w:szCs w:val="15"/>
              </w:rPr>
              <w:t>-</w:t>
            </w:r>
          </w:p>
        </w:tc>
      </w:tr>
      <w:tr w:rsidR="00326B82" w:rsidRPr="00E87B78" w14:paraId="5EA5FD3A" w14:textId="77777777" w:rsidTr="00326B82">
        <w:trPr>
          <w:trHeight w:val="113"/>
        </w:trPr>
        <w:tc>
          <w:tcPr>
            <w:tcW w:w="2407" w:type="dxa"/>
            <w:tcBorders>
              <w:top w:val="single" w:sz="4" w:space="0" w:color="auto"/>
              <w:left w:val="nil"/>
              <w:bottom w:val="single" w:sz="12" w:space="0" w:color="auto"/>
              <w:right w:val="nil"/>
            </w:tcBorders>
            <w:vAlign w:val="bottom"/>
            <w:hideMark/>
          </w:tcPr>
          <w:p w14:paraId="4ECA6840" w14:textId="77777777" w:rsidR="00326B82" w:rsidRPr="00E87B78" w:rsidRDefault="00326B82" w:rsidP="00326B82">
            <w:pPr>
              <w:rPr>
                <w:b/>
                <w:sz w:val="15"/>
                <w:szCs w:val="15"/>
              </w:rPr>
            </w:pPr>
            <w:r w:rsidRPr="00E87B78">
              <w:rPr>
                <w:b/>
                <w:sz w:val="15"/>
                <w:szCs w:val="15"/>
              </w:rPr>
              <w:t>Toplam Varlıklar</w:t>
            </w:r>
          </w:p>
        </w:tc>
        <w:tc>
          <w:tcPr>
            <w:tcW w:w="1264" w:type="dxa"/>
            <w:tcBorders>
              <w:top w:val="single" w:sz="4" w:space="0" w:color="auto"/>
              <w:left w:val="nil"/>
              <w:bottom w:val="single" w:sz="12" w:space="0" w:color="auto"/>
              <w:right w:val="nil"/>
            </w:tcBorders>
            <w:vAlign w:val="bottom"/>
          </w:tcPr>
          <w:p w14:paraId="460E5137" w14:textId="54743401" w:rsidR="00326B82" w:rsidRPr="00E87B78" w:rsidRDefault="00326B82" w:rsidP="00326B82">
            <w:pPr>
              <w:jc w:val="right"/>
              <w:rPr>
                <w:b/>
                <w:color w:val="000000"/>
                <w:sz w:val="15"/>
                <w:szCs w:val="15"/>
              </w:rPr>
            </w:pPr>
            <w:r w:rsidRPr="00E87B78">
              <w:rPr>
                <w:b/>
                <w:sz w:val="15"/>
                <w:szCs w:val="15"/>
              </w:rPr>
              <w:t>99.678.154</w:t>
            </w:r>
          </w:p>
        </w:tc>
        <w:tc>
          <w:tcPr>
            <w:tcW w:w="1105" w:type="dxa"/>
            <w:tcBorders>
              <w:top w:val="single" w:sz="4" w:space="0" w:color="auto"/>
              <w:left w:val="nil"/>
              <w:bottom w:val="single" w:sz="12" w:space="0" w:color="auto"/>
              <w:right w:val="nil"/>
            </w:tcBorders>
            <w:vAlign w:val="bottom"/>
          </w:tcPr>
          <w:p w14:paraId="2E4E8F63" w14:textId="40FE811E" w:rsidR="00326B82" w:rsidRPr="00E87B78" w:rsidRDefault="00326B82" w:rsidP="00326B82">
            <w:pPr>
              <w:jc w:val="right"/>
              <w:rPr>
                <w:b/>
                <w:color w:val="000000"/>
                <w:sz w:val="15"/>
                <w:szCs w:val="15"/>
              </w:rPr>
            </w:pPr>
            <w:r w:rsidRPr="00E87B78">
              <w:rPr>
                <w:b/>
                <w:sz w:val="15"/>
                <w:szCs w:val="15"/>
              </w:rPr>
              <w:t>97.191.285</w:t>
            </w:r>
          </w:p>
        </w:tc>
        <w:tc>
          <w:tcPr>
            <w:tcW w:w="1134" w:type="dxa"/>
            <w:tcBorders>
              <w:top w:val="single" w:sz="4" w:space="0" w:color="auto"/>
              <w:left w:val="nil"/>
              <w:bottom w:val="single" w:sz="12" w:space="0" w:color="auto"/>
              <w:right w:val="nil"/>
            </w:tcBorders>
            <w:vAlign w:val="bottom"/>
          </w:tcPr>
          <w:p w14:paraId="16DF8BBB" w14:textId="2E1536AA" w:rsidR="00326B82" w:rsidRPr="00E87B78" w:rsidRDefault="00326B82" w:rsidP="00326B82">
            <w:pPr>
              <w:jc w:val="right"/>
              <w:rPr>
                <w:b/>
                <w:color w:val="000000"/>
                <w:sz w:val="15"/>
                <w:szCs w:val="15"/>
              </w:rPr>
            </w:pPr>
            <w:r w:rsidRPr="00E87B78">
              <w:rPr>
                <w:b/>
                <w:sz w:val="15"/>
                <w:szCs w:val="15"/>
              </w:rPr>
              <w:t>1.147.565</w:t>
            </w:r>
          </w:p>
        </w:tc>
        <w:tc>
          <w:tcPr>
            <w:tcW w:w="1276" w:type="dxa"/>
            <w:tcBorders>
              <w:top w:val="single" w:sz="4" w:space="0" w:color="auto"/>
              <w:left w:val="nil"/>
              <w:bottom w:val="single" w:sz="12" w:space="0" w:color="auto"/>
              <w:right w:val="nil"/>
            </w:tcBorders>
            <w:vAlign w:val="bottom"/>
          </w:tcPr>
          <w:p w14:paraId="19003258" w14:textId="465AF51F" w:rsidR="00326B82" w:rsidRPr="00E87B78" w:rsidRDefault="00326B82" w:rsidP="00326B82">
            <w:pPr>
              <w:jc w:val="right"/>
              <w:rPr>
                <w:b/>
                <w:color w:val="000000"/>
                <w:sz w:val="15"/>
                <w:szCs w:val="15"/>
              </w:rPr>
            </w:pPr>
            <w:r w:rsidRPr="00E87B78">
              <w:rPr>
                <w:b/>
                <w:sz w:val="15"/>
                <w:szCs w:val="15"/>
              </w:rPr>
              <w:t>-</w:t>
            </w:r>
          </w:p>
        </w:tc>
        <w:tc>
          <w:tcPr>
            <w:tcW w:w="1048" w:type="dxa"/>
            <w:tcBorders>
              <w:top w:val="single" w:sz="4" w:space="0" w:color="auto"/>
              <w:left w:val="nil"/>
              <w:bottom w:val="single" w:sz="12" w:space="0" w:color="auto"/>
              <w:right w:val="nil"/>
            </w:tcBorders>
            <w:vAlign w:val="bottom"/>
          </w:tcPr>
          <w:p w14:paraId="3798104B" w14:textId="38353B42" w:rsidR="00326B82" w:rsidRPr="00E87B78" w:rsidRDefault="00326B82" w:rsidP="00326B82">
            <w:pPr>
              <w:jc w:val="right"/>
              <w:rPr>
                <w:b/>
                <w:color w:val="000000"/>
                <w:sz w:val="15"/>
                <w:szCs w:val="15"/>
              </w:rPr>
            </w:pPr>
            <w:r w:rsidRPr="00E87B78">
              <w:rPr>
                <w:b/>
                <w:sz w:val="15"/>
                <w:szCs w:val="15"/>
              </w:rPr>
              <w:t>1.339.304</w:t>
            </w:r>
          </w:p>
        </w:tc>
        <w:tc>
          <w:tcPr>
            <w:tcW w:w="1426" w:type="dxa"/>
            <w:tcBorders>
              <w:top w:val="single" w:sz="4" w:space="0" w:color="auto"/>
              <w:left w:val="nil"/>
              <w:bottom w:val="single" w:sz="12" w:space="0" w:color="auto"/>
              <w:right w:val="nil"/>
            </w:tcBorders>
            <w:vAlign w:val="bottom"/>
          </w:tcPr>
          <w:p w14:paraId="5FB5DB2B" w14:textId="428A059F" w:rsidR="00326B82" w:rsidRPr="00E87B78" w:rsidRDefault="00326B82" w:rsidP="00326B82">
            <w:pPr>
              <w:jc w:val="right"/>
              <w:rPr>
                <w:b/>
                <w:color w:val="000000"/>
                <w:sz w:val="15"/>
                <w:szCs w:val="15"/>
              </w:rPr>
            </w:pPr>
            <w:r w:rsidRPr="00E87B78">
              <w:rPr>
                <w:b/>
                <w:sz w:val="15"/>
                <w:szCs w:val="15"/>
              </w:rPr>
              <w:t>1.266.363</w:t>
            </w:r>
          </w:p>
        </w:tc>
      </w:tr>
      <w:tr w:rsidR="00326B82" w:rsidRPr="00E87B78" w14:paraId="4A161AB3" w14:textId="77777777" w:rsidTr="00326B82">
        <w:trPr>
          <w:trHeight w:val="113"/>
        </w:trPr>
        <w:tc>
          <w:tcPr>
            <w:tcW w:w="2407" w:type="dxa"/>
            <w:tcBorders>
              <w:top w:val="single" w:sz="12" w:space="0" w:color="auto"/>
              <w:left w:val="nil"/>
              <w:bottom w:val="nil"/>
              <w:right w:val="nil"/>
            </w:tcBorders>
            <w:vAlign w:val="bottom"/>
            <w:hideMark/>
          </w:tcPr>
          <w:p w14:paraId="20F07689" w14:textId="77777777" w:rsidR="00326B82" w:rsidRPr="00E87B78" w:rsidRDefault="00326B82" w:rsidP="00326B82">
            <w:pPr>
              <w:rPr>
                <w:b/>
                <w:sz w:val="15"/>
                <w:szCs w:val="15"/>
              </w:rPr>
            </w:pPr>
            <w:r w:rsidRPr="00E87B78">
              <w:rPr>
                <w:b/>
                <w:sz w:val="15"/>
                <w:szCs w:val="15"/>
              </w:rPr>
              <w:t>Yükümlülükler</w:t>
            </w:r>
          </w:p>
        </w:tc>
        <w:tc>
          <w:tcPr>
            <w:tcW w:w="1264" w:type="dxa"/>
            <w:tcBorders>
              <w:top w:val="single" w:sz="12" w:space="0" w:color="auto"/>
              <w:left w:val="nil"/>
              <w:bottom w:val="nil"/>
              <w:right w:val="nil"/>
            </w:tcBorders>
            <w:vAlign w:val="bottom"/>
          </w:tcPr>
          <w:p w14:paraId="44001ECA" w14:textId="77777777" w:rsidR="00326B82" w:rsidRPr="00E87B78" w:rsidRDefault="00326B82" w:rsidP="00326B82">
            <w:pPr>
              <w:jc w:val="right"/>
              <w:rPr>
                <w:color w:val="000000"/>
                <w:sz w:val="15"/>
                <w:szCs w:val="15"/>
              </w:rPr>
            </w:pPr>
          </w:p>
        </w:tc>
        <w:tc>
          <w:tcPr>
            <w:tcW w:w="1105" w:type="dxa"/>
            <w:tcBorders>
              <w:top w:val="single" w:sz="12" w:space="0" w:color="auto"/>
              <w:left w:val="nil"/>
              <w:bottom w:val="nil"/>
              <w:right w:val="nil"/>
            </w:tcBorders>
            <w:vAlign w:val="bottom"/>
          </w:tcPr>
          <w:p w14:paraId="53AA0DFD" w14:textId="77777777" w:rsidR="00326B82" w:rsidRPr="00E87B78" w:rsidRDefault="00326B82" w:rsidP="00326B82">
            <w:pPr>
              <w:jc w:val="right"/>
              <w:rPr>
                <w:color w:val="000000"/>
                <w:sz w:val="15"/>
                <w:szCs w:val="15"/>
              </w:rPr>
            </w:pPr>
          </w:p>
        </w:tc>
        <w:tc>
          <w:tcPr>
            <w:tcW w:w="1134" w:type="dxa"/>
            <w:tcBorders>
              <w:top w:val="single" w:sz="12" w:space="0" w:color="auto"/>
              <w:left w:val="nil"/>
              <w:bottom w:val="nil"/>
              <w:right w:val="nil"/>
            </w:tcBorders>
            <w:vAlign w:val="bottom"/>
          </w:tcPr>
          <w:p w14:paraId="3DE77E40" w14:textId="77777777" w:rsidR="00326B82" w:rsidRPr="00E87B78" w:rsidRDefault="00326B82" w:rsidP="00326B82">
            <w:pPr>
              <w:jc w:val="right"/>
              <w:rPr>
                <w:color w:val="000000"/>
                <w:sz w:val="15"/>
                <w:szCs w:val="15"/>
              </w:rPr>
            </w:pPr>
          </w:p>
        </w:tc>
        <w:tc>
          <w:tcPr>
            <w:tcW w:w="1276" w:type="dxa"/>
            <w:tcBorders>
              <w:top w:val="single" w:sz="12" w:space="0" w:color="auto"/>
              <w:left w:val="nil"/>
              <w:bottom w:val="nil"/>
              <w:right w:val="nil"/>
            </w:tcBorders>
            <w:vAlign w:val="bottom"/>
          </w:tcPr>
          <w:p w14:paraId="74E320D5" w14:textId="77777777" w:rsidR="00326B82" w:rsidRPr="00E87B78" w:rsidRDefault="00326B82" w:rsidP="00326B82">
            <w:pPr>
              <w:jc w:val="right"/>
              <w:rPr>
                <w:color w:val="000000"/>
                <w:sz w:val="15"/>
                <w:szCs w:val="15"/>
              </w:rPr>
            </w:pPr>
          </w:p>
        </w:tc>
        <w:tc>
          <w:tcPr>
            <w:tcW w:w="1048" w:type="dxa"/>
            <w:tcBorders>
              <w:top w:val="single" w:sz="12" w:space="0" w:color="auto"/>
              <w:left w:val="nil"/>
              <w:bottom w:val="nil"/>
              <w:right w:val="nil"/>
            </w:tcBorders>
            <w:vAlign w:val="bottom"/>
          </w:tcPr>
          <w:p w14:paraId="486F8570" w14:textId="77777777" w:rsidR="00326B82" w:rsidRPr="00E87B78" w:rsidRDefault="00326B82" w:rsidP="00326B82">
            <w:pPr>
              <w:jc w:val="right"/>
              <w:rPr>
                <w:color w:val="000000"/>
                <w:sz w:val="15"/>
                <w:szCs w:val="15"/>
              </w:rPr>
            </w:pPr>
          </w:p>
        </w:tc>
        <w:tc>
          <w:tcPr>
            <w:tcW w:w="1426" w:type="dxa"/>
            <w:tcBorders>
              <w:top w:val="single" w:sz="12" w:space="0" w:color="auto"/>
              <w:left w:val="nil"/>
              <w:bottom w:val="nil"/>
              <w:right w:val="nil"/>
            </w:tcBorders>
            <w:vAlign w:val="bottom"/>
          </w:tcPr>
          <w:p w14:paraId="795EEF7A" w14:textId="77777777" w:rsidR="00326B82" w:rsidRPr="00E87B78" w:rsidRDefault="00326B82" w:rsidP="00326B82">
            <w:pPr>
              <w:jc w:val="right"/>
              <w:rPr>
                <w:color w:val="000000"/>
                <w:sz w:val="15"/>
                <w:szCs w:val="15"/>
              </w:rPr>
            </w:pPr>
          </w:p>
        </w:tc>
      </w:tr>
      <w:tr w:rsidR="00326B82" w:rsidRPr="00E87B78" w14:paraId="5B09ADD0" w14:textId="77777777" w:rsidTr="00326B82">
        <w:trPr>
          <w:trHeight w:val="113"/>
        </w:trPr>
        <w:tc>
          <w:tcPr>
            <w:tcW w:w="2407" w:type="dxa"/>
            <w:vAlign w:val="bottom"/>
            <w:hideMark/>
          </w:tcPr>
          <w:p w14:paraId="4D0B16C6" w14:textId="77777777" w:rsidR="00326B82" w:rsidRPr="00E87B78" w:rsidRDefault="00326B82" w:rsidP="00326B82">
            <w:pPr>
              <w:rPr>
                <w:color w:val="000000"/>
                <w:sz w:val="15"/>
                <w:szCs w:val="15"/>
              </w:rPr>
            </w:pPr>
            <w:r w:rsidRPr="00E87B78">
              <w:rPr>
                <w:color w:val="000000"/>
                <w:sz w:val="15"/>
                <w:szCs w:val="15"/>
              </w:rPr>
              <w:t xml:space="preserve">Toplanan Fonlar </w:t>
            </w:r>
          </w:p>
        </w:tc>
        <w:tc>
          <w:tcPr>
            <w:tcW w:w="1264" w:type="dxa"/>
            <w:vAlign w:val="bottom"/>
          </w:tcPr>
          <w:p w14:paraId="3D758A4A" w14:textId="45BB4812" w:rsidR="00326B82" w:rsidRPr="00E87B78" w:rsidRDefault="00326B82" w:rsidP="00326B82">
            <w:pPr>
              <w:jc w:val="right"/>
              <w:rPr>
                <w:color w:val="000000"/>
                <w:sz w:val="15"/>
                <w:szCs w:val="15"/>
              </w:rPr>
            </w:pPr>
            <w:r w:rsidRPr="00E87B78">
              <w:rPr>
                <w:sz w:val="15"/>
                <w:szCs w:val="15"/>
              </w:rPr>
              <w:t>76.466.774</w:t>
            </w:r>
          </w:p>
        </w:tc>
        <w:tc>
          <w:tcPr>
            <w:tcW w:w="1105" w:type="dxa"/>
            <w:vAlign w:val="bottom"/>
          </w:tcPr>
          <w:p w14:paraId="614702FC" w14:textId="788F17FF" w:rsidR="00326B82" w:rsidRPr="00E87B78" w:rsidRDefault="00326B82" w:rsidP="00326B82">
            <w:pPr>
              <w:jc w:val="right"/>
              <w:rPr>
                <w:color w:val="000000"/>
                <w:sz w:val="15"/>
                <w:szCs w:val="15"/>
              </w:rPr>
            </w:pPr>
            <w:r w:rsidRPr="00E87B78">
              <w:rPr>
                <w:sz w:val="15"/>
                <w:szCs w:val="15"/>
              </w:rPr>
              <w:t>-</w:t>
            </w:r>
          </w:p>
        </w:tc>
        <w:tc>
          <w:tcPr>
            <w:tcW w:w="1134" w:type="dxa"/>
            <w:vAlign w:val="bottom"/>
          </w:tcPr>
          <w:p w14:paraId="7C4A7009" w14:textId="0B22C23D" w:rsidR="00326B82" w:rsidRPr="00E87B78" w:rsidRDefault="00326B82" w:rsidP="00326B82">
            <w:pPr>
              <w:jc w:val="right"/>
              <w:rPr>
                <w:color w:val="000000"/>
                <w:sz w:val="15"/>
                <w:szCs w:val="15"/>
              </w:rPr>
            </w:pPr>
            <w:r w:rsidRPr="00E87B78">
              <w:rPr>
                <w:sz w:val="15"/>
                <w:szCs w:val="15"/>
              </w:rPr>
              <w:t>-</w:t>
            </w:r>
          </w:p>
        </w:tc>
        <w:tc>
          <w:tcPr>
            <w:tcW w:w="1276" w:type="dxa"/>
            <w:vAlign w:val="bottom"/>
          </w:tcPr>
          <w:p w14:paraId="4EB8F817" w14:textId="5357E4D9" w:rsidR="00326B82" w:rsidRPr="00E87B78" w:rsidRDefault="00326B82" w:rsidP="00326B82">
            <w:pPr>
              <w:jc w:val="right"/>
              <w:rPr>
                <w:color w:val="000000"/>
                <w:sz w:val="15"/>
                <w:szCs w:val="15"/>
              </w:rPr>
            </w:pPr>
            <w:r w:rsidRPr="00E87B78">
              <w:rPr>
                <w:sz w:val="15"/>
                <w:szCs w:val="15"/>
              </w:rPr>
              <w:t>-</w:t>
            </w:r>
          </w:p>
        </w:tc>
        <w:tc>
          <w:tcPr>
            <w:tcW w:w="1048" w:type="dxa"/>
            <w:vAlign w:val="bottom"/>
          </w:tcPr>
          <w:p w14:paraId="291256B6" w14:textId="2450B4A7" w:rsidR="00326B82" w:rsidRPr="00E87B78" w:rsidRDefault="00326B82" w:rsidP="00326B82">
            <w:pPr>
              <w:jc w:val="right"/>
              <w:rPr>
                <w:color w:val="000000"/>
                <w:sz w:val="15"/>
                <w:szCs w:val="15"/>
              </w:rPr>
            </w:pPr>
            <w:r w:rsidRPr="00E87B78">
              <w:rPr>
                <w:sz w:val="15"/>
                <w:szCs w:val="15"/>
              </w:rPr>
              <w:t>-</w:t>
            </w:r>
          </w:p>
        </w:tc>
        <w:tc>
          <w:tcPr>
            <w:tcW w:w="1426" w:type="dxa"/>
            <w:vAlign w:val="bottom"/>
          </w:tcPr>
          <w:p w14:paraId="3F953B1D" w14:textId="77A9ABD5" w:rsidR="00326B82" w:rsidRPr="00E87B78" w:rsidRDefault="00326B82" w:rsidP="00326B82">
            <w:pPr>
              <w:jc w:val="right"/>
              <w:rPr>
                <w:color w:val="000000"/>
                <w:sz w:val="15"/>
                <w:szCs w:val="15"/>
              </w:rPr>
            </w:pPr>
            <w:r w:rsidRPr="00E87B78">
              <w:rPr>
                <w:sz w:val="15"/>
                <w:szCs w:val="15"/>
              </w:rPr>
              <w:t>76.466.774</w:t>
            </w:r>
          </w:p>
        </w:tc>
      </w:tr>
      <w:tr w:rsidR="00326B82" w:rsidRPr="00E87B78" w14:paraId="55DF443D" w14:textId="77777777" w:rsidTr="00326B82">
        <w:trPr>
          <w:trHeight w:val="113"/>
        </w:trPr>
        <w:tc>
          <w:tcPr>
            <w:tcW w:w="2407" w:type="dxa"/>
            <w:vAlign w:val="bottom"/>
            <w:hideMark/>
          </w:tcPr>
          <w:p w14:paraId="1D5DDC15" w14:textId="77777777" w:rsidR="00326B82" w:rsidRPr="00E87B78" w:rsidRDefault="00326B82" w:rsidP="00326B82">
            <w:pPr>
              <w:rPr>
                <w:color w:val="000000"/>
                <w:sz w:val="15"/>
                <w:szCs w:val="15"/>
              </w:rPr>
            </w:pPr>
            <w:r w:rsidRPr="00E87B78">
              <w:rPr>
                <w:color w:val="000000"/>
                <w:sz w:val="15"/>
                <w:szCs w:val="15"/>
              </w:rPr>
              <w:t>Alınan Krediler</w:t>
            </w:r>
          </w:p>
        </w:tc>
        <w:tc>
          <w:tcPr>
            <w:tcW w:w="1264" w:type="dxa"/>
            <w:vAlign w:val="bottom"/>
          </w:tcPr>
          <w:p w14:paraId="34D0CB1A" w14:textId="6FCD1EE5" w:rsidR="00326B82" w:rsidRPr="00E87B78" w:rsidRDefault="00326B82" w:rsidP="00326B82">
            <w:pPr>
              <w:jc w:val="right"/>
              <w:rPr>
                <w:color w:val="000000"/>
                <w:sz w:val="15"/>
                <w:szCs w:val="15"/>
              </w:rPr>
            </w:pPr>
            <w:r w:rsidRPr="00E87B78">
              <w:rPr>
                <w:sz w:val="15"/>
                <w:szCs w:val="15"/>
              </w:rPr>
              <w:t>5.773.067</w:t>
            </w:r>
          </w:p>
        </w:tc>
        <w:tc>
          <w:tcPr>
            <w:tcW w:w="1105" w:type="dxa"/>
            <w:vAlign w:val="bottom"/>
          </w:tcPr>
          <w:p w14:paraId="490C6422" w14:textId="16717E50" w:rsidR="00326B82" w:rsidRPr="00E87B78" w:rsidRDefault="00326B82" w:rsidP="00326B82">
            <w:pPr>
              <w:jc w:val="right"/>
              <w:rPr>
                <w:color w:val="000000"/>
                <w:sz w:val="15"/>
                <w:szCs w:val="15"/>
              </w:rPr>
            </w:pPr>
            <w:r w:rsidRPr="00E87B78">
              <w:rPr>
                <w:sz w:val="15"/>
                <w:szCs w:val="15"/>
              </w:rPr>
              <w:t>-</w:t>
            </w:r>
          </w:p>
        </w:tc>
        <w:tc>
          <w:tcPr>
            <w:tcW w:w="1134" w:type="dxa"/>
            <w:vAlign w:val="bottom"/>
          </w:tcPr>
          <w:p w14:paraId="7B6A5553" w14:textId="08417EF9" w:rsidR="00326B82" w:rsidRPr="00E87B78" w:rsidRDefault="00326B82" w:rsidP="00326B82">
            <w:pPr>
              <w:jc w:val="right"/>
              <w:rPr>
                <w:color w:val="000000"/>
                <w:sz w:val="15"/>
                <w:szCs w:val="15"/>
              </w:rPr>
            </w:pPr>
            <w:r w:rsidRPr="00E87B78">
              <w:rPr>
                <w:sz w:val="15"/>
                <w:szCs w:val="15"/>
              </w:rPr>
              <w:t>-</w:t>
            </w:r>
          </w:p>
        </w:tc>
        <w:tc>
          <w:tcPr>
            <w:tcW w:w="1276" w:type="dxa"/>
            <w:vAlign w:val="bottom"/>
          </w:tcPr>
          <w:p w14:paraId="39583D59" w14:textId="3FFD8A79" w:rsidR="00326B82" w:rsidRPr="00E87B78" w:rsidRDefault="00326B82" w:rsidP="00326B82">
            <w:pPr>
              <w:jc w:val="right"/>
              <w:rPr>
                <w:color w:val="000000"/>
                <w:sz w:val="15"/>
                <w:szCs w:val="15"/>
              </w:rPr>
            </w:pPr>
            <w:r w:rsidRPr="00E87B78">
              <w:rPr>
                <w:sz w:val="15"/>
                <w:szCs w:val="15"/>
              </w:rPr>
              <w:t>-</w:t>
            </w:r>
          </w:p>
        </w:tc>
        <w:tc>
          <w:tcPr>
            <w:tcW w:w="1048" w:type="dxa"/>
            <w:vAlign w:val="bottom"/>
          </w:tcPr>
          <w:p w14:paraId="09366444" w14:textId="6E85B09A" w:rsidR="00326B82" w:rsidRPr="00E87B78" w:rsidRDefault="00326B82" w:rsidP="00326B82">
            <w:pPr>
              <w:jc w:val="right"/>
              <w:rPr>
                <w:color w:val="000000"/>
                <w:sz w:val="15"/>
                <w:szCs w:val="15"/>
              </w:rPr>
            </w:pPr>
            <w:r w:rsidRPr="00E87B78">
              <w:rPr>
                <w:sz w:val="15"/>
                <w:szCs w:val="15"/>
              </w:rPr>
              <w:t>-</w:t>
            </w:r>
          </w:p>
        </w:tc>
        <w:tc>
          <w:tcPr>
            <w:tcW w:w="1426" w:type="dxa"/>
            <w:vAlign w:val="bottom"/>
          </w:tcPr>
          <w:p w14:paraId="06B12B85" w14:textId="1A97485E" w:rsidR="00326B82" w:rsidRPr="00E87B78" w:rsidRDefault="00326B82" w:rsidP="00326B82">
            <w:pPr>
              <w:jc w:val="right"/>
              <w:rPr>
                <w:color w:val="000000"/>
                <w:sz w:val="15"/>
                <w:szCs w:val="15"/>
              </w:rPr>
            </w:pPr>
            <w:r w:rsidRPr="00E87B78">
              <w:rPr>
                <w:sz w:val="15"/>
                <w:szCs w:val="15"/>
              </w:rPr>
              <w:t>5.773.067</w:t>
            </w:r>
          </w:p>
        </w:tc>
      </w:tr>
      <w:tr w:rsidR="00326B82" w:rsidRPr="00E87B78" w14:paraId="1960FA1C" w14:textId="77777777" w:rsidTr="00326B82">
        <w:trPr>
          <w:trHeight w:val="113"/>
        </w:trPr>
        <w:tc>
          <w:tcPr>
            <w:tcW w:w="2407" w:type="dxa"/>
            <w:vAlign w:val="bottom"/>
            <w:hideMark/>
          </w:tcPr>
          <w:p w14:paraId="7149B777" w14:textId="77777777" w:rsidR="00326B82" w:rsidRPr="00E87B78" w:rsidRDefault="00326B82" w:rsidP="00326B82">
            <w:pPr>
              <w:rPr>
                <w:color w:val="000000"/>
                <w:sz w:val="15"/>
                <w:szCs w:val="15"/>
              </w:rPr>
            </w:pPr>
            <w:r w:rsidRPr="00E87B78">
              <w:rPr>
                <w:color w:val="000000"/>
                <w:sz w:val="15"/>
                <w:szCs w:val="15"/>
              </w:rPr>
              <w:t>Para Piyasalarına Borçlar</w:t>
            </w:r>
          </w:p>
        </w:tc>
        <w:tc>
          <w:tcPr>
            <w:tcW w:w="1264" w:type="dxa"/>
            <w:vAlign w:val="bottom"/>
          </w:tcPr>
          <w:p w14:paraId="3410523B" w14:textId="376BAFE0" w:rsidR="00326B82" w:rsidRPr="00E87B78" w:rsidRDefault="00326B82" w:rsidP="00326B82">
            <w:pPr>
              <w:jc w:val="right"/>
              <w:rPr>
                <w:color w:val="000000"/>
                <w:sz w:val="15"/>
                <w:szCs w:val="15"/>
              </w:rPr>
            </w:pPr>
            <w:r w:rsidRPr="00E87B78">
              <w:rPr>
                <w:sz w:val="15"/>
                <w:szCs w:val="15"/>
              </w:rPr>
              <w:t>-</w:t>
            </w:r>
          </w:p>
        </w:tc>
        <w:tc>
          <w:tcPr>
            <w:tcW w:w="1105" w:type="dxa"/>
            <w:vAlign w:val="bottom"/>
          </w:tcPr>
          <w:p w14:paraId="712F80F7" w14:textId="712391B7" w:rsidR="00326B82" w:rsidRPr="00E87B78" w:rsidRDefault="00326B82" w:rsidP="00326B82">
            <w:pPr>
              <w:jc w:val="right"/>
              <w:rPr>
                <w:color w:val="000000"/>
                <w:sz w:val="15"/>
                <w:szCs w:val="15"/>
              </w:rPr>
            </w:pPr>
            <w:r w:rsidRPr="00E87B78">
              <w:rPr>
                <w:sz w:val="15"/>
                <w:szCs w:val="15"/>
              </w:rPr>
              <w:t>-</w:t>
            </w:r>
          </w:p>
        </w:tc>
        <w:tc>
          <w:tcPr>
            <w:tcW w:w="1134" w:type="dxa"/>
            <w:vAlign w:val="bottom"/>
          </w:tcPr>
          <w:p w14:paraId="46737446" w14:textId="3AD02EAD" w:rsidR="00326B82" w:rsidRPr="00E87B78" w:rsidRDefault="00326B82" w:rsidP="00326B82">
            <w:pPr>
              <w:jc w:val="right"/>
              <w:rPr>
                <w:color w:val="000000"/>
                <w:sz w:val="15"/>
                <w:szCs w:val="15"/>
              </w:rPr>
            </w:pPr>
            <w:r w:rsidRPr="00E87B78">
              <w:rPr>
                <w:sz w:val="15"/>
                <w:szCs w:val="15"/>
              </w:rPr>
              <w:t>-</w:t>
            </w:r>
          </w:p>
        </w:tc>
        <w:tc>
          <w:tcPr>
            <w:tcW w:w="1276" w:type="dxa"/>
            <w:vAlign w:val="bottom"/>
          </w:tcPr>
          <w:p w14:paraId="564074AD" w14:textId="687BDB18" w:rsidR="00326B82" w:rsidRPr="00E87B78" w:rsidRDefault="00326B82" w:rsidP="00326B82">
            <w:pPr>
              <w:jc w:val="right"/>
              <w:rPr>
                <w:color w:val="000000"/>
                <w:sz w:val="15"/>
                <w:szCs w:val="15"/>
              </w:rPr>
            </w:pPr>
            <w:r w:rsidRPr="00E87B78">
              <w:rPr>
                <w:sz w:val="15"/>
                <w:szCs w:val="15"/>
              </w:rPr>
              <w:t>-</w:t>
            </w:r>
          </w:p>
        </w:tc>
        <w:tc>
          <w:tcPr>
            <w:tcW w:w="1048" w:type="dxa"/>
            <w:vAlign w:val="bottom"/>
          </w:tcPr>
          <w:p w14:paraId="01C8E31F" w14:textId="42B8BCCF" w:rsidR="00326B82" w:rsidRPr="00E87B78" w:rsidRDefault="00326B82" w:rsidP="00326B82">
            <w:pPr>
              <w:jc w:val="right"/>
              <w:rPr>
                <w:color w:val="000000"/>
                <w:sz w:val="15"/>
                <w:szCs w:val="15"/>
              </w:rPr>
            </w:pPr>
            <w:r w:rsidRPr="00E87B78">
              <w:rPr>
                <w:sz w:val="15"/>
                <w:szCs w:val="15"/>
              </w:rPr>
              <w:t>-</w:t>
            </w:r>
          </w:p>
        </w:tc>
        <w:tc>
          <w:tcPr>
            <w:tcW w:w="1426" w:type="dxa"/>
            <w:vAlign w:val="bottom"/>
          </w:tcPr>
          <w:p w14:paraId="12BDE0AD" w14:textId="046C0D47" w:rsidR="00326B82" w:rsidRPr="00E87B78" w:rsidRDefault="00326B82" w:rsidP="00326B82">
            <w:pPr>
              <w:jc w:val="right"/>
              <w:rPr>
                <w:color w:val="000000"/>
                <w:sz w:val="15"/>
                <w:szCs w:val="15"/>
              </w:rPr>
            </w:pPr>
            <w:r w:rsidRPr="00E87B78">
              <w:rPr>
                <w:sz w:val="15"/>
                <w:szCs w:val="15"/>
              </w:rPr>
              <w:t>-</w:t>
            </w:r>
          </w:p>
        </w:tc>
      </w:tr>
      <w:tr w:rsidR="00326B82" w:rsidRPr="00E87B78" w14:paraId="07272F01" w14:textId="77777777" w:rsidTr="00326B82">
        <w:trPr>
          <w:trHeight w:val="113"/>
        </w:trPr>
        <w:tc>
          <w:tcPr>
            <w:tcW w:w="2407" w:type="dxa"/>
            <w:vAlign w:val="bottom"/>
            <w:hideMark/>
          </w:tcPr>
          <w:p w14:paraId="3867C390" w14:textId="77777777" w:rsidR="00326B82" w:rsidRPr="00E87B78" w:rsidRDefault="00326B82" w:rsidP="00326B82">
            <w:pPr>
              <w:rPr>
                <w:color w:val="000000"/>
                <w:sz w:val="15"/>
                <w:szCs w:val="15"/>
              </w:rPr>
            </w:pPr>
            <w:r w:rsidRPr="00E87B78">
              <w:rPr>
                <w:color w:val="000000"/>
                <w:sz w:val="15"/>
                <w:szCs w:val="15"/>
              </w:rPr>
              <w:t>İhraç Edilen Menkul Kıymetler (Net)</w:t>
            </w:r>
          </w:p>
        </w:tc>
        <w:tc>
          <w:tcPr>
            <w:tcW w:w="1264" w:type="dxa"/>
            <w:vAlign w:val="bottom"/>
          </w:tcPr>
          <w:p w14:paraId="7FC63869" w14:textId="5B35B560" w:rsidR="00326B82" w:rsidRPr="00E87B78" w:rsidRDefault="00326B82" w:rsidP="00326B82">
            <w:pPr>
              <w:jc w:val="right"/>
              <w:rPr>
                <w:color w:val="000000"/>
                <w:sz w:val="15"/>
                <w:szCs w:val="15"/>
              </w:rPr>
            </w:pPr>
            <w:r w:rsidRPr="00E87B78">
              <w:rPr>
                <w:sz w:val="15"/>
                <w:szCs w:val="15"/>
              </w:rPr>
              <w:t>-</w:t>
            </w:r>
          </w:p>
        </w:tc>
        <w:tc>
          <w:tcPr>
            <w:tcW w:w="1105" w:type="dxa"/>
            <w:vAlign w:val="bottom"/>
          </w:tcPr>
          <w:p w14:paraId="726F10D3" w14:textId="4EE09A38" w:rsidR="00326B82" w:rsidRPr="00E87B78" w:rsidRDefault="00326B82" w:rsidP="00326B82">
            <w:pPr>
              <w:jc w:val="right"/>
              <w:rPr>
                <w:color w:val="000000"/>
                <w:sz w:val="15"/>
                <w:szCs w:val="15"/>
              </w:rPr>
            </w:pPr>
            <w:r w:rsidRPr="00E87B78">
              <w:rPr>
                <w:sz w:val="15"/>
                <w:szCs w:val="15"/>
              </w:rPr>
              <w:t>-</w:t>
            </w:r>
          </w:p>
        </w:tc>
        <w:tc>
          <w:tcPr>
            <w:tcW w:w="1134" w:type="dxa"/>
            <w:vAlign w:val="bottom"/>
          </w:tcPr>
          <w:p w14:paraId="29E55215" w14:textId="40747C74" w:rsidR="00326B82" w:rsidRPr="00E87B78" w:rsidRDefault="00326B82" w:rsidP="00326B82">
            <w:pPr>
              <w:jc w:val="right"/>
              <w:rPr>
                <w:color w:val="000000"/>
                <w:sz w:val="15"/>
                <w:szCs w:val="15"/>
              </w:rPr>
            </w:pPr>
            <w:r w:rsidRPr="00E87B78">
              <w:rPr>
                <w:sz w:val="15"/>
                <w:szCs w:val="15"/>
              </w:rPr>
              <w:t>-</w:t>
            </w:r>
          </w:p>
        </w:tc>
        <w:tc>
          <w:tcPr>
            <w:tcW w:w="1276" w:type="dxa"/>
            <w:vAlign w:val="bottom"/>
          </w:tcPr>
          <w:p w14:paraId="5D8ACAF7" w14:textId="0DCC5E12" w:rsidR="00326B82" w:rsidRPr="00E87B78" w:rsidRDefault="00326B82" w:rsidP="00326B82">
            <w:pPr>
              <w:jc w:val="right"/>
              <w:rPr>
                <w:color w:val="000000"/>
                <w:sz w:val="15"/>
                <w:szCs w:val="15"/>
              </w:rPr>
            </w:pPr>
            <w:r w:rsidRPr="00E87B78">
              <w:rPr>
                <w:sz w:val="15"/>
                <w:szCs w:val="15"/>
              </w:rPr>
              <w:t>-</w:t>
            </w:r>
          </w:p>
        </w:tc>
        <w:tc>
          <w:tcPr>
            <w:tcW w:w="1048" w:type="dxa"/>
            <w:vAlign w:val="bottom"/>
          </w:tcPr>
          <w:p w14:paraId="30994FAE" w14:textId="120702BB" w:rsidR="00326B82" w:rsidRPr="00E87B78" w:rsidRDefault="00326B82" w:rsidP="00326B82">
            <w:pPr>
              <w:jc w:val="right"/>
              <w:rPr>
                <w:color w:val="000000"/>
                <w:sz w:val="15"/>
                <w:szCs w:val="15"/>
              </w:rPr>
            </w:pPr>
            <w:r w:rsidRPr="00E87B78">
              <w:rPr>
                <w:sz w:val="15"/>
                <w:szCs w:val="15"/>
              </w:rPr>
              <w:t>-</w:t>
            </w:r>
          </w:p>
        </w:tc>
        <w:tc>
          <w:tcPr>
            <w:tcW w:w="1426" w:type="dxa"/>
            <w:vAlign w:val="bottom"/>
          </w:tcPr>
          <w:p w14:paraId="049299E9" w14:textId="5846BE92" w:rsidR="00326B82" w:rsidRPr="00E87B78" w:rsidRDefault="00326B82" w:rsidP="00326B82">
            <w:pPr>
              <w:jc w:val="right"/>
              <w:rPr>
                <w:color w:val="000000"/>
                <w:sz w:val="15"/>
                <w:szCs w:val="15"/>
              </w:rPr>
            </w:pPr>
            <w:r w:rsidRPr="00E87B78">
              <w:rPr>
                <w:sz w:val="15"/>
                <w:szCs w:val="15"/>
              </w:rPr>
              <w:t>-</w:t>
            </w:r>
          </w:p>
        </w:tc>
      </w:tr>
      <w:tr w:rsidR="00326B82" w:rsidRPr="00E87B78" w14:paraId="5592DBAF" w14:textId="77777777" w:rsidTr="00326B82">
        <w:trPr>
          <w:trHeight w:val="113"/>
        </w:trPr>
        <w:tc>
          <w:tcPr>
            <w:tcW w:w="2407" w:type="dxa"/>
            <w:vAlign w:val="bottom"/>
            <w:hideMark/>
          </w:tcPr>
          <w:p w14:paraId="0542E50D" w14:textId="77777777" w:rsidR="00326B82" w:rsidRPr="00E87B78" w:rsidRDefault="00326B82" w:rsidP="00326B82">
            <w:pPr>
              <w:rPr>
                <w:color w:val="000000"/>
                <w:sz w:val="15"/>
                <w:szCs w:val="15"/>
              </w:rPr>
            </w:pPr>
            <w:r w:rsidRPr="00E87B78">
              <w:rPr>
                <w:color w:val="000000"/>
                <w:sz w:val="15"/>
                <w:szCs w:val="15"/>
              </w:rPr>
              <w:t>Gerçeğe Uygun Değer Farkı Kar Zarara Yansıtılan Finansal Yükümlülükler</w:t>
            </w:r>
          </w:p>
        </w:tc>
        <w:tc>
          <w:tcPr>
            <w:tcW w:w="1264" w:type="dxa"/>
            <w:vAlign w:val="bottom"/>
          </w:tcPr>
          <w:p w14:paraId="7259D339" w14:textId="6D2A6786" w:rsidR="00326B82" w:rsidRPr="00E87B78" w:rsidRDefault="00326B82" w:rsidP="00326B82">
            <w:pPr>
              <w:jc w:val="right"/>
              <w:rPr>
                <w:color w:val="000000"/>
                <w:sz w:val="15"/>
                <w:szCs w:val="15"/>
              </w:rPr>
            </w:pPr>
            <w:r w:rsidRPr="00E87B78">
              <w:rPr>
                <w:sz w:val="15"/>
                <w:szCs w:val="15"/>
              </w:rPr>
              <w:t>-</w:t>
            </w:r>
          </w:p>
        </w:tc>
        <w:tc>
          <w:tcPr>
            <w:tcW w:w="1105" w:type="dxa"/>
            <w:vAlign w:val="bottom"/>
          </w:tcPr>
          <w:p w14:paraId="7B09380D" w14:textId="3B9ADD32" w:rsidR="00326B82" w:rsidRPr="00E87B78" w:rsidRDefault="00326B82" w:rsidP="00326B82">
            <w:pPr>
              <w:jc w:val="right"/>
              <w:rPr>
                <w:color w:val="000000"/>
                <w:sz w:val="15"/>
                <w:szCs w:val="15"/>
              </w:rPr>
            </w:pPr>
            <w:r w:rsidRPr="00E87B78">
              <w:rPr>
                <w:sz w:val="15"/>
                <w:szCs w:val="15"/>
              </w:rPr>
              <w:t>-</w:t>
            </w:r>
          </w:p>
        </w:tc>
        <w:tc>
          <w:tcPr>
            <w:tcW w:w="1134" w:type="dxa"/>
            <w:vAlign w:val="bottom"/>
          </w:tcPr>
          <w:p w14:paraId="2BB83ECA" w14:textId="79E5A4AE" w:rsidR="00326B82" w:rsidRPr="00E87B78" w:rsidRDefault="00326B82" w:rsidP="00326B82">
            <w:pPr>
              <w:jc w:val="right"/>
              <w:rPr>
                <w:color w:val="000000"/>
                <w:sz w:val="15"/>
                <w:szCs w:val="15"/>
              </w:rPr>
            </w:pPr>
            <w:r w:rsidRPr="00E87B78">
              <w:rPr>
                <w:sz w:val="15"/>
                <w:szCs w:val="15"/>
              </w:rPr>
              <w:t>-</w:t>
            </w:r>
          </w:p>
        </w:tc>
        <w:tc>
          <w:tcPr>
            <w:tcW w:w="1276" w:type="dxa"/>
            <w:vAlign w:val="bottom"/>
          </w:tcPr>
          <w:p w14:paraId="564D8CCB" w14:textId="606E4015" w:rsidR="00326B82" w:rsidRPr="00E87B78" w:rsidRDefault="00326B82" w:rsidP="00326B82">
            <w:pPr>
              <w:jc w:val="right"/>
              <w:rPr>
                <w:color w:val="000000"/>
                <w:sz w:val="15"/>
                <w:szCs w:val="15"/>
              </w:rPr>
            </w:pPr>
            <w:r w:rsidRPr="00E87B78">
              <w:rPr>
                <w:sz w:val="15"/>
                <w:szCs w:val="15"/>
              </w:rPr>
              <w:t>-</w:t>
            </w:r>
          </w:p>
        </w:tc>
        <w:tc>
          <w:tcPr>
            <w:tcW w:w="1048" w:type="dxa"/>
            <w:vAlign w:val="bottom"/>
          </w:tcPr>
          <w:p w14:paraId="781F3789" w14:textId="2FDCFF20" w:rsidR="00326B82" w:rsidRPr="00E87B78" w:rsidRDefault="00326B82" w:rsidP="00326B82">
            <w:pPr>
              <w:jc w:val="right"/>
              <w:rPr>
                <w:color w:val="000000"/>
                <w:sz w:val="15"/>
                <w:szCs w:val="15"/>
              </w:rPr>
            </w:pPr>
            <w:r w:rsidRPr="00E87B78">
              <w:rPr>
                <w:sz w:val="15"/>
                <w:szCs w:val="15"/>
              </w:rPr>
              <w:t>-</w:t>
            </w:r>
          </w:p>
        </w:tc>
        <w:tc>
          <w:tcPr>
            <w:tcW w:w="1426" w:type="dxa"/>
            <w:vAlign w:val="bottom"/>
          </w:tcPr>
          <w:p w14:paraId="60A28345" w14:textId="08045180" w:rsidR="00326B82" w:rsidRPr="00E87B78" w:rsidRDefault="00326B82" w:rsidP="00326B82">
            <w:pPr>
              <w:jc w:val="right"/>
              <w:rPr>
                <w:color w:val="000000"/>
                <w:sz w:val="15"/>
                <w:szCs w:val="15"/>
              </w:rPr>
            </w:pPr>
            <w:r w:rsidRPr="00E87B78">
              <w:rPr>
                <w:sz w:val="15"/>
                <w:szCs w:val="15"/>
              </w:rPr>
              <w:t>-</w:t>
            </w:r>
          </w:p>
        </w:tc>
      </w:tr>
      <w:tr w:rsidR="00326B82" w:rsidRPr="00E87B78" w14:paraId="17E17AF1" w14:textId="77777777" w:rsidTr="00326B82">
        <w:trPr>
          <w:trHeight w:val="113"/>
        </w:trPr>
        <w:tc>
          <w:tcPr>
            <w:tcW w:w="2407" w:type="dxa"/>
            <w:vAlign w:val="bottom"/>
            <w:hideMark/>
          </w:tcPr>
          <w:p w14:paraId="7E02BECF" w14:textId="77777777" w:rsidR="00326B82" w:rsidRPr="00E87B78" w:rsidRDefault="00326B82" w:rsidP="00326B82">
            <w:pPr>
              <w:rPr>
                <w:color w:val="000000"/>
                <w:sz w:val="15"/>
                <w:szCs w:val="15"/>
              </w:rPr>
            </w:pPr>
            <w:r w:rsidRPr="00E87B78">
              <w:rPr>
                <w:color w:val="000000"/>
                <w:sz w:val="15"/>
                <w:szCs w:val="15"/>
              </w:rPr>
              <w:t>Türev Finansal Yükümlülükler</w:t>
            </w:r>
          </w:p>
        </w:tc>
        <w:tc>
          <w:tcPr>
            <w:tcW w:w="1264" w:type="dxa"/>
            <w:vAlign w:val="bottom"/>
          </w:tcPr>
          <w:p w14:paraId="4A5EFD2A" w14:textId="1C1E35D4" w:rsidR="00326B82" w:rsidRPr="00E87B78" w:rsidRDefault="00326B82" w:rsidP="00326B82">
            <w:pPr>
              <w:jc w:val="right"/>
              <w:rPr>
                <w:color w:val="000000"/>
                <w:sz w:val="15"/>
                <w:szCs w:val="15"/>
              </w:rPr>
            </w:pPr>
            <w:r w:rsidRPr="00E87B78">
              <w:rPr>
                <w:sz w:val="15"/>
                <w:szCs w:val="15"/>
              </w:rPr>
              <w:t>1.050.687</w:t>
            </w:r>
          </w:p>
        </w:tc>
        <w:tc>
          <w:tcPr>
            <w:tcW w:w="1105" w:type="dxa"/>
            <w:vAlign w:val="bottom"/>
          </w:tcPr>
          <w:p w14:paraId="392318BD" w14:textId="047C1412" w:rsidR="00326B82" w:rsidRPr="00E87B78" w:rsidRDefault="00326B82" w:rsidP="00326B82">
            <w:pPr>
              <w:jc w:val="right"/>
              <w:rPr>
                <w:color w:val="000000"/>
                <w:sz w:val="15"/>
                <w:szCs w:val="15"/>
              </w:rPr>
            </w:pPr>
            <w:r w:rsidRPr="00E87B78">
              <w:rPr>
                <w:sz w:val="15"/>
                <w:szCs w:val="15"/>
              </w:rPr>
              <w:t>-</w:t>
            </w:r>
          </w:p>
        </w:tc>
        <w:tc>
          <w:tcPr>
            <w:tcW w:w="1134" w:type="dxa"/>
            <w:vAlign w:val="bottom"/>
          </w:tcPr>
          <w:p w14:paraId="1278D465" w14:textId="47BF2D2E" w:rsidR="00326B82" w:rsidRPr="00E87B78" w:rsidRDefault="00326B82" w:rsidP="00326B82">
            <w:pPr>
              <w:jc w:val="right"/>
              <w:rPr>
                <w:color w:val="000000"/>
                <w:sz w:val="15"/>
                <w:szCs w:val="15"/>
              </w:rPr>
            </w:pPr>
            <w:r w:rsidRPr="00E87B78">
              <w:rPr>
                <w:sz w:val="15"/>
                <w:szCs w:val="15"/>
              </w:rPr>
              <w:t>1.050.687</w:t>
            </w:r>
          </w:p>
        </w:tc>
        <w:tc>
          <w:tcPr>
            <w:tcW w:w="1276" w:type="dxa"/>
            <w:vAlign w:val="bottom"/>
          </w:tcPr>
          <w:p w14:paraId="4078CFFA" w14:textId="6E730FC2" w:rsidR="00326B82" w:rsidRPr="00E87B78" w:rsidRDefault="00326B82" w:rsidP="00326B82">
            <w:pPr>
              <w:jc w:val="right"/>
              <w:rPr>
                <w:color w:val="000000"/>
                <w:sz w:val="15"/>
                <w:szCs w:val="15"/>
              </w:rPr>
            </w:pPr>
            <w:r w:rsidRPr="00E87B78">
              <w:rPr>
                <w:sz w:val="15"/>
                <w:szCs w:val="15"/>
              </w:rPr>
              <w:t>-</w:t>
            </w:r>
          </w:p>
        </w:tc>
        <w:tc>
          <w:tcPr>
            <w:tcW w:w="1048" w:type="dxa"/>
            <w:vAlign w:val="bottom"/>
          </w:tcPr>
          <w:p w14:paraId="75CF86E1" w14:textId="1348D8C0" w:rsidR="00326B82" w:rsidRPr="00E87B78" w:rsidRDefault="00326B82" w:rsidP="00326B82">
            <w:pPr>
              <w:jc w:val="right"/>
              <w:rPr>
                <w:color w:val="000000"/>
                <w:sz w:val="15"/>
                <w:szCs w:val="15"/>
              </w:rPr>
            </w:pPr>
            <w:r w:rsidRPr="00E87B78">
              <w:rPr>
                <w:sz w:val="15"/>
                <w:szCs w:val="15"/>
              </w:rPr>
              <w:t>-</w:t>
            </w:r>
          </w:p>
        </w:tc>
        <w:tc>
          <w:tcPr>
            <w:tcW w:w="1426" w:type="dxa"/>
            <w:vAlign w:val="bottom"/>
          </w:tcPr>
          <w:p w14:paraId="35765682" w14:textId="38440786" w:rsidR="00326B82" w:rsidRPr="00E87B78" w:rsidRDefault="00326B82" w:rsidP="00326B82">
            <w:pPr>
              <w:jc w:val="right"/>
              <w:rPr>
                <w:color w:val="000000"/>
                <w:sz w:val="15"/>
                <w:szCs w:val="15"/>
              </w:rPr>
            </w:pPr>
            <w:r w:rsidRPr="00E87B78">
              <w:rPr>
                <w:sz w:val="15"/>
                <w:szCs w:val="15"/>
              </w:rPr>
              <w:t>1.050.687</w:t>
            </w:r>
          </w:p>
        </w:tc>
      </w:tr>
      <w:tr w:rsidR="00326B82" w:rsidRPr="00E87B78" w14:paraId="5F503DF4" w14:textId="77777777" w:rsidTr="00326B82">
        <w:trPr>
          <w:trHeight w:val="113"/>
        </w:trPr>
        <w:tc>
          <w:tcPr>
            <w:tcW w:w="2407" w:type="dxa"/>
            <w:vAlign w:val="bottom"/>
            <w:hideMark/>
          </w:tcPr>
          <w:p w14:paraId="40362E7E" w14:textId="77777777" w:rsidR="00326B82" w:rsidRPr="00E87B78" w:rsidRDefault="00326B82" w:rsidP="00326B82">
            <w:pPr>
              <w:rPr>
                <w:color w:val="000000"/>
                <w:sz w:val="15"/>
                <w:szCs w:val="15"/>
              </w:rPr>
            </w:pPr>
            <w:r w:rsidRPr="00E87B78">
              <w:rPr>
                <w:color w:val="000000"/>
                <w:sz w:val="15"/>
                <w:szCs w:val="15"/>
              </w:rPr>
              <w:t>Kiralama İşlemlerinden Yükümlülükler</w:t>
            </w:r>
          </w:p>
        </w:tc>
        <w:tc>
          <w:tcPr>
            <w:tcW w:w="1264" w:type="dxa"/>
            <w:vAlign w:val="bottom"/>
          </w:tcPr>
          <w:p w14:paraId="79A2616D" w14:textId="769890A9" w:rsidR="00326B82" w:rsidRPr="00E87B78" w:rsidRDefault="00326B82" w:rsidP="00326B82">
            <w:pPr>
              <w:jc w:val="right"/>
              <w:rPr>
                <w:color w:val="000000"/>
                <w:sz w:val="15"/>
                <w:szCs w:val="15"/>
              </w:rPr>
            </w:pPr>
            <w:r w:rsidRPr="00E87B78">
              <w:rPr>
                <w:sz w:val="15"/>
                <w:szCs w:val="15"/>
              </w:rPr>
              <w:t>219.968</w:t>
            </w:r>
          </w:p>
        </w:tc>
        <w:tc>
          <w:tcPr>
            <w:tcW w:w="1105" w:type="dxa"/>
            <w:vAlign w:val="bottom"/>
          </w:tcPr>
          <w:p w14:paraId="658081A4" w14:textId="585877E1" w:rsidR="00326B82" w:rsidRPr="00E87B78" w:rsidRDefault="00326B82" w:rsidP="00326B82">
            <w:pPr>
              <w:jc w:val="right"/>
              <w:rPr>
                <w:color w:val="000000"/>
                <w:sz w:val="15"/>
                <w:szCs w:val="15"/>
              </w:rPr>
            </w:pPr>
            <w:r w:rsidRPr="00E87B78">
              <w:rPr>
                <w:sz w:val="15"/>
                <w:szCs w:val="15"/>
              </w:rPr>
              <w:t>-</w:t>
            </w:r>
          </w:p>
        </w:tc>
        <w:tc>
          <w:tcPr>
            <w:tcW w:w="1134" w:type="dxa"/>
            <w:vAlign w:val="bottom"/>
          </w:tcPr>
          <w:p w14:paraId="0DFA51EA" w14:textId="5D879D0B" w:rsidR="00326B82" w:rsidRPr="00E87B78" w:rsidRDefault="00326B82" w:rsidP="00326B82">
            <w:pPr>
              <w:jc w:val="right"/>
              <w:rPr>
                <w:color w:val="000000"/>
                <w:sz w:val="15"/>
                <w:szCs w:val="15"/>
              </w:rPr>
            </w:pPr>
            <w:r w:rsidRPr="00E87B78">
              <w:rPr>
                <w:sz w:val="15"/>
                <w:szCs w:val="15"/>
              </w:rPr>
              <w:t>-</w:t>
            </w:r>
          </w:p>
        </w:tc>
        <w:tc>
          <w:tcPr>
            <w:tcW w:w="1276" w:type="dxa"/>
            <w:vAlign w:val="bottom"/>
          </w:tcPr>
          <w:p w14:paraId="57252F9C" w14:textId="4BF57A24" w:rsidR="00326B82" w:rsidRPr="00E87B78" w:rsidRDefault="00326B82" w:rsidP="00326B82">
            <w:pPr>
              <w:jc w:val="right"/>
              <w:rPr>
                <w:color w:val="000000"/>
                <w:sz w:val="15"/>
                <w:szCs w:val="15"/>
              </w:rPr>
            </w:pPr>
            <w:r w:rsidRPr="00E87B78">
              <w:rPr>
                <w:sz w:val="15"/>
                <w:szCs w:val="15"/>
              </w:rPr>
              <w:t>-</w:t>
            </w:r>
          </w:p>
        </w:tc>
        <w:tc>
          <w:tcPr>
            <w:tcW w:w="1048" w:type="dxa"/>
            <w:vAlign w:val="bottom"/>
          </w:tcPr>
          <w:p w14:paraId="48A056F4" w14:textId="0B2C750A" w:rsidR="00326B82" w:rsidRPr="00E87B78" w:rsidRDefault="00326B82" w:rsidP="00326B82">
            <w:pPr>
              <w:jc w:val="right"/>
              <w:rPr>
                <w:color w:val="000000"/>
                <w:sz w:val="15"/>
                <w:szCs w:val="15"/>
              </w:rPr>
            </w:pPr>
            <w:r w:rsidRPr="00E87B78">
              <w:rPr>
                <w:sz w:val="15"/>
                <w:szCs w:val="15"/>
              </w:rPr>
              <w:t>-</w:t>
            </w:r>
          </w:p>
        </w:tc>
        <w:tc>
          <w:tcPr>
            <w:tcW w:w="1426" w:type="dxa"/>
            <w:vAlign w:val="bottom"/>
          </w:tcPr>
          <w:p w14:paraId="4A349BF7" w14:textId="6C1D5E79" w:rsidR="00326B82" w:rsidRPr="00E87B78" w:rsidRDefault="00326B82" w:rsidP="00326B82">
            <w:pPr>
              <w:jc w:val="right"/>
              <w:rPr>
                <w:color w:val="000000"/>
                <w:sz w:val="15"/>
                <w:szCs w:val="15"/>
              </w:rPr>
            </w:pPr>
            <w:r w:rsidRPr="00E87B78">
              <w:rPr>
                <w:sz w:val="15"/>
                <w:szCs w:val="15"/>
              </w:rPr>
              <w:t>219.968</w:t>
            </w:r>
          </w:p>
        </w:tc>
      </w:tr>
      <w:tr w:rsidR="00326B82" w:rsidRPr="00E87B78" w14:paraId="46071D36" w14:textId="77777777" w:rsidTr="00326B82">
        <w:trPr>
          <w:trHeight w:val="113"/>
        </w:trPr>
        <w:tc>
          <w:tcPr>
            <w:tcW w:w="2407" w:type="dxa"/>
            <w:vAlign w:val="bottom"/>
            <w:hideMark/>
          </w:tcPr>
          <w:p w14:paraId="246590B6" w14:textId="77777777" w:rsidR="00326B82" w:rsidRPr="00E87B78" w:rsidRDefault="00326B82" w:rsidP="00326B82">
            <w:pPr>
              <w:rPr>
                <w:color w:val="000000"/>
                <w:sz w:val="15"/>
                <w:szCs w:val="15"/>
              </w:rPr>
            </w:pPr>
            <w:r w:rsidRPr="00E87B78">
              <w:rPr>
                <w:color w:val="000000"/>
                <w:sz w:val="15"/>
                <w:szCs w:val="15"/>
              </w:rPr>
              <w:t>Karşılıklar</w:t>
            </w:r>
          </w:p>
        </w:tc>
        <w:tc>
          <w:tcPr>
            <w:tcW w:w="1264" w:type="dxa"/>
            <w:vAlign w:val="bottom"/>
          </w:tcPr>
          <w:p w14:paraId="676D4C23" w14:textId="46A9CCD0" w:rsidR="00326B82" w:rsidRPr="00E87B78" w:rsidRDefault="00326B82" w:rsidP="00326B82">
            <w:pPr>
              <w:jc w:val="right"/>
              <w:rPr>
                <w:color w:val="000000"/>
                <w:sz w:val="15"/>
                <w:szCs w:val="15"/>
              </w:rPr>
            </w:pPr>
            <w:r w:rsidRPr="00E87B78">
              <w:rPr>
                <w:sz w:val="15"/>
                <w:szCs w:val="15"/>
              </w:rPr>
              <w:t>583.933</w:t>
            </w:r>
          </w:p>
        </w:tc>
        <w:tc>
          <w:tcPr>
            <w:tcW w:w="1105" w:type="dxa"/>
            <w:vAlign w:val="bottom"/>
          </w:tcPr>
          <w:p w14:paraId="670ED97E" w14:textId="0E1E5A16" w:rsidR="00326B82" w:rsidRPr="00E87B78" w:rsidRDefault="00326B82" w:rsidP="00326B82">
            <w:pPr>
              <w:jc w:val="right"/>
              <w:rPr>
                <w:color w:val="000000"/>
                <w:sz w:val="15"/>
                <w:szCs w:val="15"/>
              </w:rPr>
            </w:pPr>
            <w:r w:rsidRPr="00E87B78">
              <w:rPr>
                <w:sz w:val="15"/>
                <w:szCs w:val="15"/>
              </w:rPr>
              <w:t>-</w:t>
            </w:r>
          </w:p>
        </w:tc>
        <w:tc>
          <w:tcPr>
            <w:tcW w:w="1134" w:type="dxa"/>
            <w:vAlign w:val="bottom"/>
          </w:tcPr>
          <w:p w14:paraId="3FBA9D80" w14:textId="721AF0C4" w:rsidR="00326B82" w:rsidRPr="00E87B78" w:rsidRDefault="00326B82" w:rsidP="00326B82">
            <w:pPr>
              <w:jc w:val="right"/>
              <w:rPr>
                <w:color w:val="000000"/>
                <w:sz w:val="15"/>
                <w:szCs w:val="15"/>
              </w:rPr>
            </w:pPr>
            <w:r w:rsidRPr="00E87B78">
              <w:rPr>
                <w:sz w:val="15"/>
                <w:szCs w:val="15"/>
              </w:rPr>
              <w:t>-</w:t>
            </w:r>
          </w:p>
        </w:tc>
        <w:tc>
          <w:tcPr>
            <w:tcW w:w="1276" w:type="dxa"/>
            <w:vAlign w:val="bottom"/>
          </w:tcPr>
          <w:p w14:paraId="75391276" w14:textId="4C19EFBD" w:rsidR="00326B82" w:rsidRPr="00E87B78" w:rsidRDefault="00326B82" w:rsidP="00326B82">
            <w:pPr>
              <w:jc w:val="right"/>
              <w:rPr>
                <w:color w:val="000000"/>
                <w:sz w:val="15"/>
                <w:szCs w:val="15"/>
              </w:rPr>
            </w:pPr>
            <w:r w:rsidRPr="00E87B78">
              <w:rPr>
                <w:sz w:val="15"/>
                <w:szCs w:val="15"/>
              </w:rPr>
              <w:t>-</w:t>
            </w:r>
          </w:p>
        </w:tc>
        <w:tc>
          <w:tcPr>
            <w:tcW w:w="1048" w:type="dxa"/>
            <w:vAlign w:val="bottom"/>
          </w:tcPr>
          <w:p w14:paraId="29862657" w14:textId="4B335145" w:rsidR="00326B82" w:rsidRPr="00E87B78" w:rsidRDefault="00326B82" w:rsidP="00326B82">
            <w:pPr>
              <w:jc w:val="right"/>
              <w:rPr>
                <w:color w:val="000000"/>
                <w:sz w:val="15"/>
                <w:szCs w:val="15"/>
              </w:rPr>
            </w:pPr>
            <w:r w:rsidRPr="00E87B78">
              <w:rPr>
                <w:sz w:val="15"/>
                <w:szCs w:val="15"/>
              </w:rPr>
              <w:t>-</w:t>
            </w:r>
          </w:p>
        </w:tc>
        <w:tc>
          <w:tcPr>
            <w:tcW w:w="1426" w:type="dxa"/>
            <w:vAlign w:val="bottom"/>
          </w:tcPr>
          <w:p w14:paraId="1A79999F" w14:textId="3F161300" w:rsidR="00326B82" w:rsidRPr="00E87B78" w:rsidRDefault="00326B82" w:rsidP="00326B82">
            <w:pPr>
              <w:jc w:val="right"/>
              <w:rPr>
                <w:color w:val="000000"/>
                <w:sz w:val="15"/>
                <w:szCs w:val="15"/>
              </w:rPr>
            </w:pPr>
            <w:r w:rsidRPr="00E87B78">
              <w:rPr>
                <w:sz w:val="15"/>
                <w:szCs w:val="15"/>
              </w:rPr>
              <w:t>583.933</w:t>
            </w:r>
          </w:p>
        </w:tc>
      </w:tr>
      <w:tr w:rsidR="00326B82" w:rsidRPr="00E87B78" w14:paraId="6FE48187" w14:textId="77777777" w:rsidTr="00326B82">
        <w:trPr>
          <w:trHeight w:val="113"/>
        </w:trPr>
        <w:tc>
          <w:tcPr>
            <w:tcW w:w="2407" w:type="dxa"/>
            <w:vAlign w:val="bottom"/>
            <w:hideMark/>
          </w:tcPr>
          <w:p w14:paraId="19F88027" w14:textId="77777777" w:rsidR="00326B82" w:rsidRPr="00E87B78" w:rsidRDefault="00326B82" w:rsidP="00326B82">
            <w:pPr>
              <w:rPr>
                <w:color w:val="000000"/>
                <w:sz w:val="15"/>
                <w:szCs w:val="15"/>
              </w:rPr>
            </w:pPr>
            <w:r w:rsidRPr="00E87B78">
              <w:rPr>
                <w:color w:val="000000"/>
                <w:sz w:val="15"/>
                <w:szCs w:val="15"/>
              </w:rPr>
              <w:t>Cari Vergi Borcu</w:t>
            </w:r>
          </w:p>
        </w:tc>
        <w:tc>
          <w:tcPr>
            <w:tcW w:w="1264" w:type="dxa"/>
            <w:vAlign w:val="bottom"/>
          </w:tcPr>
          <w:p w14:paraId="6D592258" w14:textId="565601B4" w:rsidR="00326B82" w:rsidRPr="00E87B78" w:rsidRDefault="00326B82" w:rsidP="00326B82">
            <w:pPr>
              <w:jc w:val="right"/>
              <w:rPr>
                <w:color w:val="000000"/>
                <w:sz w:val="15"/>
                <w:szCs w:val="15"/>
              </w:rPr>
            </w:pPr>
            <w:r w:rsidRPr="00E87B78">
              <w:rPr>
                <w:sz w:val="15"/>
                <w:szCs w:val="15"/>
              </w:rPr>
              <w:t>402.872</w:t>
            </w:r>
          </w:p>
        </w:tc>
        <w:tc>
          <w:tcPr>
            <w:tcW w:w="1105" w:type="dxa"/>
            <w:vAlign w:val="bottom"/>
          </w:tcPr>
          <w:p w14:paraId="0F87836E" w14:textId="68570249" w:rsidR="00326B82" w:rsidRPr="00E87B78" w:rsidRDefault="00326B82" w:rsidP="00326B82">
            <w:pPr>
              <w:jc w:val="right"/>
              <w:rPr>
                <w:color w:val="000000"/>
                <w:sz w:val="15"/>
                <w:szCs w:val="15"/>
              </w:rPr>
            </w:pPr>
            <w:r w:rsidRPr="00E87B78">
              <w:rPr>
                <w:sz w:val="15"/>
                <w:szCs w:val="15"/>
              </w:rPr>
              <w:t>-</w:t>
            </w:r>
          </w:p>
        </w:tc>
        <w:tc>
          <w:tcPr>
            <w:tcW w:w="1134" w:type="dxa"/>
            <w:vAlign w:val="bottom"/>
          </w:tcPr>
          <w:p w14:paraId="5CC9D75E" w14:textId="250F065C" w:rsidR="00326B82" w:rsidRPr="00E87B78" w:rsidRDefault="00326B82" w:rsidP="00326B82">
            <w:pPr>
              <w:jc w:val="right"/>
              <w:rPr>
                <w:color w:val="000000"/>
                <w:sz w:val="15"/>
                <w:szCs w:val="15"/>
              </w:rPr>
            </w:pPr>
            <w:r w:rsidRPr="00E87B78">
              <w:rPr>
                <w:sz w:val="15"/>
                <w:szCs w:val="15"/>
              </w:rPr>
              <w:t>-</w:t>
            </w:r>
          </w:p>
        </w:tc>
        <w:tc>
          <w:tcPr>
            <w:tcW w:w="1276" w:type="dxa"/>
            <w:vAlign w:val="bottom"/>
          </w:tcPr>
          <w:p w14:paraId="46582B22" w14:textId="0D504124" w:rsidR="00326B82" w:rsidRPr="00E87B78" w:rsidRDefault="00326B82" w:rsidP="00326B82">
            <w:pPr>
              <w:jc w:val="right"/>
              <w:rPr>
                <w:color w:val="000000"/>
                <w:sz w:val="15"/>
                <w:szCs w:val="15"/>
              </w:rPr>
            </w:pPr>
            <w:r w:rsidRPr="00E87B78">
              <w:rPr>
                <w:sz w:val="15"/>
                <w:szCs w:val="15"/>
              </w:rPr>
              <w:t>-</w:t>
            </w:r>
          </w:p>
        </w:tc>
        <w:tc>
          <w:tcPr>
            <w:tcW w:w="1048" w:type="dxa"/>
            <w:vAlign w:val="bottom"/>
          </w:tcPr>
          <w:p w14:paraId="3F7B861A" w14:textId="56C5B1E8" w:rsidR="00326B82" w:rsidRPr="00E87B78" w:rsidRDefault="00326B82" w:rsidP="00326B82">
            <w:pPr>
              <w:jc w:val="right"/>
              <w:rPr>
                <w:color w:val="000000"/>
                <w:sz w:val="15"/>
                <w:szCs w:val="15"/>
              </w:rPr>
            </w:pPr>
            <w:r w:rsidRPr="00E87B78">
              <w:rPr>
                <w:sz w:val="15"/>
                <w:szCs w:val="15"/>
              </w:rPr>
              <w:t>-</w:t>
            </w:r>
          </w:p>
        </w:tc>
        <w:tc>
          <w:tcPr>
            <w:tcW w:w="1426" w:type="dxa"/>
            <w:vAlign w:val="bottom"/>
          </w:tcPr>
          <w:p w14:paraId="00D4699E" w14:textId="336E76A3" w:rsidR="00326B82" w:rsidRPr="00E87B78" w:rsidRDefault="00326B82" w:rsidP="00326B82">
            <w:pPr>
              <w:jc w:val="right"/>
              <w:rPr>
                <w:color w:val="000000"/>
                <w:sz w:val="15"/>
                <w:szCs w:val="15"/>
              </w:rPr>
            </w:pPr>
            <w:r w:rsidRPr="00E87B78">
              <w:rPr>
                <w:sz w:val="15"/>
                <w:szCs w:val="15"/>
              </w:rPr>
              <w:t>402.872</w:t>
            </w:r>
          </w:p>
        </w:tc>
      </w:tr>
      <w:tr w:rsidR="00326B82" w:rsidRPr="00E87B78" w14:paraId="2A9451BF" w14:textId="77777777" w:rsidTr="00326B82">
        <w:trPr>
          <w:trHeight w:val="113"/>
        </w:trPr>
        <w:tc>
          <w:tcPr>
            <w:tcW w:w="2407" w:type="dxa"/>
            <w:vAlign w:val="bottom"/>
            <w:hideMark/>
          </w:tcPr>
          <w:p w14:paraId="2C49FB8D" w14:textId="77777777" w:rsidR="00326B82" w:rsidRPr="00E87B78" w:rsidRDefault="00326B82" w:rsidP="00326B82">
            <w:pPr>
              <w:rPr>
                <w:color w:val="000000"/>
                <w:sz w:val="15"/>
                <w:szCs w:val="15"/>
              </w:rPr>
            </w:pPr>
            <w:r w:rsidRPr="00E87B78">
              <w:rPr>
                <w:color w:val="000000"/>
                <w:sz w:val="15"/>
                <w:szCs w:val="15"/>
              </w:rPr>
              <w:t>Ertelenmiş Vergi Borcu</w:t>
            </w:r>
          </w:p>
        </w:tc>
        <w:tc>
          <w:tcPr>
            <w:tcW w:w="1264" w:type="dxa"/>
            <w:vAlign w:val="bottom"/>
          </w:tcPr>
          <w:p w14:paraId="2D4417A1" w14:textId="78F0DC46" w:rsidR="00326B82" w:rsidRPr="00E87B78" w:rsidRDefault="00326B82" w:rsidP="00326B82">
            <w:pPr>
              <w:jc w:val="right"/>
              <w:rPr>
                <w:color w:val="000000"/>
                <w:sz w:val="15"/>
                <w:szCs w:val="15"/>
              </w:rPr>
            </w:pPr>
            <w:r w:rsidRPr="00E87B78">
              <w:rPr>
                <w:sz w:val="15"/>
                <w:szCs w:val="15"/>
              </w:rPr>
              <w:t>79.485</w:t>
            </w:r>
          </w:p>
        </w:tc>
        <w:tc>
          <w:tcPr>
            <w:tcW w:w="1105" w:type="dxa"/>
            <w:vAlign w:val="bottom"/>
          </w:tcPr>
          <w:p w14:paraId="284B594D" w14:textId="576BA423" w:rsidR="00326B82" w:rsidRPr="00E87B78" w:rsidRDefault="00326B82" w:rsidP="00326B82">
            <w:pPr>
              <w:jc w:val="right"/>
              <w:rPr>
                <w:color w:val="000000"/>
                <w:sz w:val="15"/>
                <w:szCs w:val="15"/>
              </w:rPr>
            </w:pPr>
            <w:r w:rsidRPr="00E87B78">
              <w:rPr>
                <w:sz w:val="15"/>
                <w:szCs w:val="15"/>
              </w:rPr>
              <w:t>-</w:t>
            </w:r>
          </w:p>
        </w:tc>
        <w:tc>
          <w:tcPr>
            <w:tcW w:w="1134" w:type="dxa"/>
            <w:vAlign w:val="bottom"/>
          </w:tcPr>
          <w:p w14:paraId="6DADA255" w14:textId="18E7E93C" w:rsidR="00326B82" w:rsidRPr="00E87B78" w:rsidRDefault="00326B82" w:rsidP="00326B82">
            <w:pPr>
              <w:jc w:val="right"/>
              <w:rPr>
                <w:color w:val="000000"/>
                <w:sz w:val="15"/>
                <w:szCs w:val="15"/>
              </w:rPr>
            </w:pPr>
            <w:r w:rsidRPr="00E87B78">
              <w:rPr>
                <w:sz w:val="15"/>
                <w:szCs w:val="15"/>
              </w:rPr>
              <w:t>-</w:t>
            </w:r>
          </w:p>
        </w:tc>
        <w:tc>
          <w:tcPr>
            <w:tcW w:w="1276" w:type="dxa"/>
            <w:vAlign w:val="bottom"/>
          </w:tcPr>
          <w:p w14:paraId="39397C08" w14:textId="4656AD3B" w:rsidR="00326B82" w:rsidRPr="00E87B78" w:rsidRDefault="00326B82" w:rsidP="00326B82">
            <w:pPr>
              <w:jc w:val="right"/>
              <w:rPr>
                <w:color w:val="000000"/>
                <w:sz w:val="15"/>
                <w:szCs w:val="15"/>
              </w:rPr>
            </w:pPr>
            <w:r w:rsidRPr="00E87B78">
              <w:rPr>
                <w:sz w:val="15"/>
                <w:szCs w:val="15"/>
              </w:rPr>
              <w:t>-</w:t>
            </w:r>
          </w:p>
        </w:tc>
        <w:tc>
          <w:tcPr>
            <w:tcW w:w="1048" w:type="dxa"/>
            <w:vAlign w:val="bottom"/>
          </w:tcPr>
          <w:p w14:paraId="6D582123" w14:textId="75924AC3" w:rsidR="00326B82" w:rsidRPr="00E87B78" w:rsidRDefault="00326B82" w:rsidP="00326B82">
            <w:pPr>
              <w:jc w:val="right"/>
              <w:rPr>
                <w:color w:val="000000"/>
                <w:sz w:val="15"/>
                <w:szCs w:val="15"/>
              </w:rPr>
            </w:pPr>
            <w:r w:rsidRPr="00E87B78">
              <w:rPr>
                <w:sz w:val="15"/>
                <w:szCs w:val="15"/>
              </w:rPr>
              <w:t>-</w:t>
            </w:r>
          </w:p>
        </w:tc>
        <w:tc>
          <w:tcPr>
            <w:tcW w:w="1426" w:type="dxa"/>
            <w:vAlign w:val="bottom"/>
          </w:tcPr>
          <w:p w14:paraId="68FC1A92" w14:textId="42C3F90E" w:rsidR="00326B82" w:rsidRPr="00E87B78" w:rsidRDefault="00326B82" w:rsidP="00326B82">
            <w:pPr>
              <w:jc w:val="right"/>
              <w:rPr>
                <w:color w:val="000000"/>
                <w:sz w:val="15"/>
                <w:szCs w:val="15"/>
              </w:rPr>
            </w:pPr>
            <w:r w:rsidRPr="00E87B78">
              <w:rPr>
                <w:sz w:val="15"/>
                <w:szCs w:val="15"/>
              </w:rPr>
              <w:t>79.485</w:t>
            </w:r>
          </w:p>
        </w:tc>
      </w:tr>
      <w:tr w:rsidR="00326B82" w:rsidRPr="00E87B78" w14:paraId="66DB7A75" w14:textId="77777777" w:rsidTr="00326B82">
        <w:trPr>
          <w:trHeight w:val="113"/>
        </w:trPr>
        <w:tc>
          <w:tcPr>
            <w:tcW w:w="2407" w:type="dxa"/>
            <w:vAlign w:val="bottom"/>
            <w:hideMark/>
          </w:tcPr>
          <w:p w14:paraId="1710C5C9" w14:textId="77777777" w:rsidR="00326B82" w:rsidRPr="00E87B78" w:rsidRDefault="00326B82" w:rsidP="00326B82">
            <w:pPr>
              <w:rPr>
                <w:color w:val="000000"/>
                <w:sz w:val="15"/>
                <w:szCs w:val="15"/>
              </w:rPr>
            </w:pPr>
            <w:r w:rsidRPr="00E87B78">
              <w:rPr>
                <w:color w:val="000000"/>
                <w:sz w:val="15"/>
                <w:szCs w:val="15"/>
              </w:rPr>
              <w:t>Satış Amaçlı Elde Tutulan ve Durdurulan Faaliyetlere İlişkin Duran Varlık Borçları (Net)</w:t>
            </w:r>
          </w:p>
        </w:tc>
        <w:tc>
          <w:tcPr>
            <w:tcW w:w="1264" w:type="dxa"/>
            <w:vAlign w:val="bottom"/>
          </w:tcPr>
          <w:p w14:paraId="798068BD" w14:textId="065B0203" w:rsidR="00326B82" w:rsidRPr="00E87B78" w:rsidRDefault="00326B82" w:rsidP="00326B82">
            <w:pPr>
              <w:jc w:val="right"/>
              <w:rPr>
                <w:color w:val="000000"/>
                <w:sz w:val="15"/>
                <w:szCs w:val="15"/>
              </w:rPr>
            </w:pPr>
            <w:r w:rsidRPr="00E87B78">
              <w:rPr>
                <w:sz w:val="15"/>
                <w:szCs w:val="15"/>
              </w:rPr>
              <w:t>-</w:t>
            </w:r>
          </w:p>
        </w:tc>
        <w:tc>
          <w:tcPr>
            <w:tcW w:w="1105" w:type="dxa"/>
            <w:vAlign w:val="bottom"/>
          </w:tcPr>
          <w:p w14:paraId="4E3F07C1" w14:textId="0C2BC6FE" w:rsidR="00326B82" w:rsidRPr="00E87B78" w:rsidRDefault="00326B82" w:rsidP="00326B82">
            <w:pPr>
              <w:jc w:val="right"/>
              <w:rPr>
                <w:color w:val="000000"/>
                <w:sz w:val="15"/>
                <w:szCs w:val="15"/>
              </w:rPr>
            </w:pPr>
            <w:r w:rsidRPr="00E87B78">
              <w:rPr>
                <w:sz w:val="15"/>
                <w:szCs w:val="15"/>
              </w:rPr>
              <w:t>-</w:t>
            </w:r>
          </w:p>
        </w:tc>
        <w:tc>
          <w:tcPr>
            <w:tcW w:w="1134" w:type="dxa"/>
            <w:vAlign w:val="bottom"/>
          </w:tcPr>
          <w:p w14:paraId="631962EF" w14:textId="1FC55CAA" w:rsidR="00326B82" w:rsidRPr="00E87B78" w:rsidRDefault="00326B82" w:rsidP="00326B82">
            <w:pPr>
              <w:jc w:val="right"/>
              <w:rPr>
                <w:color w:val="000000"/>
                <w:sz w:val="15"/>
                <w:szCs w:val="15"/>
              </w:rPr>
            </w:pPr>
            <w:r w:rsidRPr="00E87B78">
              <w:rPr>
                <w:sz w:val="15"/>
                <w:szCs w:val="15"/>
              </w:rPr>
              <w:t>-</w:t>
            </w:r>
          </w:p>
        </w:tc>
        <w:tc>
          <w:tcPr>
            <w:tcW w:w="1276" w:type="dxa"/>
            <w:vAlign w:val="bottom"/>
          </w:tcPr>
          <w:p w14:paraId="5FF55346" w14:textId="70A28083" w:rsidR="00326B82" w:rsidRPr="00E87B78" w:rsidRDefault="00326B82" w:rsidP="00326B82">
            <w:pPr>
              <w:jc w:val="right"/>
              <w:rPr>
                <w:color w:val="000000"/>
                <w:sz w:val="15"/>
                <w:szCs w:val="15"/>
              </w:rPr>
            </w:pPr>
            <w:r w:rsidRPr="00E87B78">
              <w:rPr>
                <w:sz w:val="15"/>
                <w:szCs w:val="15"/>
              </w:rPr>
              <w:t>-</w:t>
            </w:r>
          </w:p>
        </w:tc>
        <w:tc>
          <w:tcPr>
            <w:tcW w:w="1048" w:type="dxa"/>
            <w:vAlign w:val="bottom"/>
          </w:tcPr>
          <w:p w14:paraId="61888636" w14:textId="36BA3238" w:rsidR="00326B82" w:rsidRPr="00E87B78" w:rsidRDefault="00326B82" w:rsidP="00326B82">
            <w:pPr>
              <w:jc w:val="right"/>
              <w:rPr>
                <w:color w:val="000000"/>
                <w:sz w:val="15"/>
                <w:szCs w:val="15"/>
              </w:rPr>
            </w:pPr>
            <w:r w:rsidRPr="00E87B78">
              <w:rPr>
                <w:sz w:val="15"/>
                <w:szCs w:val="15"/>
              </w:rPr>
              <w:t>-</w:t>
            </w:r>
          </w:p>
        </w:tc>
        <w:tc>
          <w:tcPr>
            <w:tcW w:w="1426" w:type="dxa"/>
            <w:vAlign w:val="bottom"/>
          </w:tcPr>
          <w:p w14:paraId="4D91A107" w14:textId="520CF36F" w:rsidR="00326B82" w:rsidRPr="00E87B78" w:rsidRDefault="00326B82" w:rsidP="00326B82">
            <w:pPr>
              <w:jc w:val="right"/>
              <w:rPr>
                <w:color w:val="000000"/>
                <w:sz w:val="15"/>
                <w:szCs w:val="15"/>
              </w:rPr>
            </w:pPr>
            <w:r w:rsidRPr="00E87B78">
              <w:rPr>
                <w:sz w:val="15"/>
                <w:szCs w:val="15"/>
              </w:rPr>
              <w:t>-</w:t>
            </w:r>
          </w:p>
        </w:tc>
      </w:tr>
      <w:tr w:rsidR="00326B82" w:rsidRPr="00E87B78" w14:paraId="74B56EC9" w14:textId="77777777" w:rsidTr="00326B82">
        <w:trPr>
          <w:trHeight w:val="113"/>
        </w:trPr>
        <w:tc>
          <w:tcPr>
            <w:tcW w:w="2407" w:type="dxa"/>
            <w:vAlign w:val="bottom"/>
            <w:hideMark/>
          </w:tcPr>
          <w:p w14:paraId="0CF5D072" w14:textId="77777777" w:rsidR="00326B82" w:rsidRPr="00E87B78" w:rsidRDefault="00326B82" w:rsidP="00326B82">
            <w:pPr>
              <w:rPr>
                <w:color w:val="000000"/>
                <w:sz w:val="15"/>
                <w:szCs w:val="15"/>
              </w:rPr>
            </w:pPr>
            <w:r w:rsidRPr="00E87B78">
              <w:rPr>
                <w:color w:val="000000"/>
                <w:sz w:val="15"/>
                <w:szCs w:val="15"/>
              </w:rPr>
              <w:t>Sermaye Benzeri Borçlanma Araçları</w:t>
            </w:r>
          </w:p>
        </w:tc>
        <w:tc>
          <w:tcPr>
            <w:tcW w:w="1264" w:type="dxa"/>
            <w:vAlign w:val="bottom"/>
          </w:tcPr>
          <w:p w14:paraId="4D4A5525" w14:textId="1C6CE352" w:rsidR="00326B82" w:rsidRPr="00E87B78" w:rsidRDefault="00326B82" w:rsidP="00326B82">
            <w:pPr>
              <w:jc w:val="right"/>
              <w:rPr>
                <w:color w:val="000000"/>
                <w:sz w:val="15"/>
                <w:szCs w:val="15"/>
              </w:rPr>
            </w:pPr>
            <w:r w:rsidRPr="00E87B78">
              <w:rPr>
                <w:sz w:val="15"/>
                <w:szCs w:val="15"/>
              </w:rPr>
              <w:t>-</w:t>
            </w:r>
          </w:p>
        </w:tc>
        <w:tc>
          <w:tcPr>
            <w:tcW w:w="1105" w:type="dxa"/>
            <w:vAlign w:val="bottom"/>
          </w:tcPr>
          <w:p w14:paraId="37B13AF8" w14:textId="3F3D934B" w:rsidR="00326B82" w:rsidRPr="00E87B78" w:rsidRDefault="00326B82" w:rsidP="00326B82">
            <w:pPr>
              <w:jc w:val="right"/>
              <w:rPr>
                <w:color w:val="000000"/>
                <w:sz w:val="15"/>
                <w:szCs w:val="15"/>
              </w:rPr>
            </w:pPr>
            <w:r w:rsidRPr="00E87B78">
              <w:rPr>
                <w:sz w:val="15"/>
                <w:szCs w:val="15"/>
              </w:rPr>
              <w:t>-</w:t>
            </w:r>
          </w:p>
        </w:tc>
        <w:tc>
          <w:tcPr>
            <w:tcW w:w="1134" w:type="dxa"/>
            <w:vAlign w:val="bottom"/>
          </w:tcPr>
          <w:p w14:paraId="252FFD5C" w14:textId="4D8D6105" w:rsidR="00326B82" w:rsidRPr="00E87B78" w:rsidRDefault="00326B82" w:rsidP="00326B82">
            <w:pPr>
              <w:jc w:val="right"/>
              <w:rPr>
                <w:color w:val="000000"/>
                <w:sz w:val="15"/>
                <w:szCs w:val="15"/>
              </w:rPr>
            </w:pPr>
            <w:r w:rsidRPr="00E87B78">
              <w:rPr>
                <w:sz w:val="15"/>
                <w:szCs w:val="15"/>
              </w:rPr>
              <w:t>-</w:t>
            </w:r>
          </w:p>
        </w:tc>
        <w:tc>
          <w:tcPr>
            <w:tcW w:w="1276" w:type="dxa"/>
            <w:vAlign w:val="bottom"/>
          </w:tcPr>
          <w:p w14:paraId="3D176DEA" w14:textId="198FC401" w:rsidR="00326B82" w:rsidRPr="00E87B78" w:rsidRDefault="00326B82" w:rsidP="00326B82">
            <w:pPr>
              <w:jc w:val="right"/>
              <w:rPr>
                <w:color w:val="000000"/>
                <w:sz w:val="15"/>
                <w:szCs w:val="15"/>
              </w:rPr>
            </w:pPr>
            <w:r w:rsidRPr="00E87B78">
              <w:rPr>
                <w:sz w:val="15"/>
                <w:szCs w:val="15"/>
              </w:rPr>
              <w:t>-</w:t>
            </w:r>
          </w:p>
        </w:tc>
        <w:tc>
          <w:tcPr>
            <w:tcW w:w="1048" w:type="dxa"/>
            <w:vAlign w:val="bottom"/>
          </w:tcPr>
          <w:p w14:paraId="46E08C63" w14:textId="4B57839C" w:rsidR="00326B82" w:rsidRPr="00E87B78" w:rsidRDefault="00326B82" w:rsidP="00326B82">
            <w:pPr>
              <w:jc w:val="right"/>
              <w:rPr>
                <w:color w:val="000000"/>
                <w:sz w:val="15"/>
                <w:szCs w:val="15"/>
              </w:rPr>
            </w:pPr>
            <w:r w:rsidRPr="00E87B78">
              <w:rPr>
                <w:sz w:val="15"/>
                <w:szCs w:val="15"/>
              </w:rPr>
              <w:t>-</w:t>
            </w:r>
          </w:p>
        </w:tc>
        <w:tc>
          <w:tcPr>
            <w:tcW w:w="1426" w:type="dxa"/>
            <w:vAlign w:val="bottom"/>
          </w:tcPr>
          <w:p w14:paraId="2F769EC3" w14:textId="58E4F9AA" w:rsidR="00326B82" w:rsidRPr="00E87B78" w:rsidRDefault="00326B82" w:rsidP="00326B82">
            <w:pPr>
              <w:jc w:val="right"/>
              <w:rPr>
                <w:color w:val="000000"/>
                <w:sz w:val="15"/>
                <w:szCs w:val="15"/>
              </w:rPr>
            </w:pPr>
            <w:r w:rsidRPr="00E87B78">
              <w:rPr>
                <w:sz w:val="15"/>
                <w:szCs w:val="15"/>
              </w:rPr>
              <w:t>-</w:t>
            </w:r>
          </w:p>
        </w:tc>
      </w:tr>
      <w:tr w:rsidR="00326B82" w:rsidRPr="00E87B78" w14:paraId="2725D6C3" w14:textId="77777777" w:rsidTr="00326B82">
        <w:trPr>
          <w:trHeight w:val="113"/>
        </w:trPr>
        <w:tc>
          <w:tcPr>
            <w:tcW w:w="2407" w:type="dxa"/>
            <w:vAlign w:val="bottom"/>
            <w:hideMark/>
          </w:tcPr>
          <w:p w14:paraId="6F680DF4" w14:textId="77777777" w:rsidR="00326B82" w:rsidRPr="00E87B78" w:rsidRDefault="00326B82" w:rsidP="00326B82">
            <w:pPr>
              <w:rPr>
                <w:color w:val="000000"/>
                <w:sz w:val="15"/>
                <w:szCs w:val="15"/>
              </w:rPr>
            </w:pPr>
            <w:r w:rsidRPr="00E87B78">
              <w:rPr>
                <w:color w:val="000000"/>
                <w:sz w:val="15"/>
                <w:szCs w:val="15"/>
              </w:rPr>
              <w:t>Diğer Yükümlülükler</w:t>
            </w:r>
          </w:p>
        </w:tc>
        <w:tc>
          <w:tcPr>
            <w:tcW w:w="1264" w:type="dxa"/>
            <w:vAlign w:val="bottom"/>
          </w:tcPr>
          <w:p w14:paraId="05EC2A14" w14:textId="49EF855F" w:rsidR="00326B82" w:rsidRPr="00E87B78" w:rsidRDefault="00326B82" w:rsidP="00326B82">
            <w:pPr>
              <w:jc w:val="right"/>
              <w:rPr>
                <w:color w:val="000000"/>
                <w:sz w:val="15"/>
                <w:szCs w:val="15"/>
              </w:rPr>
            </w:pPr>
            <w:r w:rsidRPr="00E87B78">
              <w:rPr>
                <w:sz w:val="15"/>
                <w:szCs w:val="15"/>
              </w:rPr>
              <w:t>5.627.940</w:t>
            </w:r>
          </w:p>
        </w:tc>
        <w:tc>
          <w:tcPr>
            <w:tcW w:w="1105" w:type="dxa"/>
            <w:vAlign w:val="bottom"/>
          </w:tcPr>
          <w:p w14:paraId="5016EC0D" w14:textId="158FC3B7" w:rsidR="00326B82" w:rsidRPr="00E87B78" w:rsidRDefault="00326B82" w:rsidP="00326B82">
            <w:pPr>
              <w:jc w:val="right"/>
              <w:rPr>
                <w:color w:val="000000"/>
                <w:sz w:val="15"/>
                <w:szCs w:val="15"/>
              </w:rPr>
            </w:pPr>
            <w:r w:rsidRPr="00E87B78">
              <w:rPr>
                <w:sz w:val="15"/>
                <w:szCs w:val="15"/>
              </w:rPr>
              <w:t>-</w:t>
            </w:r>
          </w:p>
        </w:tc>
        <w:tc>
          <w:tcPr>
            <w:tcW w:w="1134" w:type="dxa"/>
            <w:vAlign w:val="bottom"/>
          </w:tcPr>
          <w:p w14:paraId="1A6A7DB3" w14:textId="7E8E8022" w:rsidR="00326B82" w:rsidRPr="00E87B78" w:rsidRDefault="00326B82" w:rsidP="00326B82">
            <w:pPr>
              <w:jc w:val="right"/>
              <w:rPr>
                <w:color w:val="000000"/>
                <w:sz w:val="15"/>
                <w:szCs w:val="15"/>
              </w:rPr>
            </w:pPr>
            <w:r w:rsidRPr="00E87B78">
              <w:rPr>
                <w:sz w:val="15"/>
                <w:szCs w:val="15"/>
              </w:rPr>
              <w:t>-</w:t>
            </w:r>
          </w:p>
        </w:tc>
        <w:tc>
          <w:tcPr>
            <w:tcW w:w="1276" w:type="dxa"/>
            <w:vAlign w:val="bottom"/>
          </w:tcPr>
          <w:p w14:paraId="026500BE" w14:textId="3284D2E3" w:rsidR="00326B82" w:rsidRPr="00E87B78" w:rsidRDefault="00326B82" w:rsidP="00326B82">
            <w:pPr>
              <w:jc w:val="right"/>
              <w:rPr>
                <w:color w:val="000000"/>
                <w:sz w:val="15"/>
                <w:szCs w:val="15"/>
              </w:rPr>
            </w:pPr>
            <w:r w:rsidRPr="00E87B78">
              <w:rPr>
                <w:sz w:val="15"/>
                <w:szCs w:val="15"/>
              </w:rPr>
              <w:t>-</w:t>
            </w:r>
          </w:p>
        </w:tc>
        <w:tc>
          <w:tcPr>
            <w:tcW w:w="1048" w:type="dxa"/>
            <w:vAlign w:val="bottom"/>
          </w:tcPr>
          <w:p w14:paraId="77DA1BC9" w14:textId="5449CDD5" w:rsidR="00326B82" w:rsidRPr="00E87B78" w:rsidRDefault="00326B82" w:rsidP="00326B82">
            <w:pPr>
              <w:jc w:val="right"/>
              <w:rPr>
                <w:color w:val="000000"/>
                <w:sz w:val="15"/>
                <w:szCs w:val="15"/>
              </w:rPr>
            </w:pPr>
            <w:r w:rsidRPr="00E87B78">
              <w:rPr>
                <w:sz w:val="15"/>
                <w:szCs w:val="15"/>
              </w:rPr>
              <w:t>-</w:t>
            </w:r>
          </w:p>
        </w:tc>
        <w:tc>
          <w:tcPr>
            <w:tcW w:w="1426" w:type="dxa"/>
            <w:vAlign w:val="bottom"/>
          </w:tcPr>
          <w:p w14:paraId="0568F905" w14:textId="3B692CF5" w:rsidR="00326B82" w:rsidRPr="00E87B78" w:rsidRDefault="00326B82" w:rsidP="00326B82">
            <w:pPr>
              <w:jc w:val="right"/>
              <w:rPr>
                <w:color w:val="000000"/>
                <w:sz w:val="15"/>
                <w:szCs w:val="15"/>
              </w:rPr>
            </w:pPr>
            <w:r w:rsidRPr="00E87B78">
              <w:rPr>
                <w:sz w:val="15"/>
                <w:szCs w:val="15"/>
              </w:rPr>
              <w:t>5.627.940</w:t>
            </w:r>
          </w:p>
        </w:tc>
      </w:tr>
      <w:tr w:rsidR="00326B82" w:rsidRPr="00E87B78" w14:paraId="51B6C3B2" w14:textId="77777777" w:rsidTr="00326B82">
        <w:trPr>
          <w:trHeight w:val="113"/>
        </w:trPr>
        <w:tc>
          <w:tcPr>
            <w:tcW w:w="2407" w:type="dxa"/>
            <w:tcBorders>
              <w:top w:val="nil"/>
              <w:left w:val="nil"/>
              <w:bottom w:val="single" w:sz="4" w:space="0" w:color="auto"/>
              <w:right w:val="nil"/>
            </w:tcBorders>
            <w:vAlign w:val="bottom"/>
            <w:hideMark/>
          </w:tcPr>
          <w:p w14:paraId="71ACB52D" w14:textId="77777777" w:rsidR="00326B82" w:rsidRPr="00E87B78" w:rsidRDefault="00326B82" w:rsidP="00326B82">
            <w:pPr>
              <w:rPr>
                <w:sz w:val="15"/>
                <w:szCs w:val="15"/>
              </w:rPr>
            </w:pPr>
            <w:r w:rsidRPr="00E87B78">
              <w:rPr>
                <w:sz w:val="15"/>
                <w:szCs w:val="15"/>
              </w:rPr>
              <w:t>Özkaynaklar</w:t>
            </w:r>
          </w:p>
        </w:tc>
        <w:tc>
          <w:tcPr>
            <w:tcW w:w="1264" w:type="dxa"/>
            <w:tcBorders>
              <w:top w:val="nil"/>
              <w:left w:val="nil"/>
              <w:bottom w:val="single" w:sz="4" w:space="0" w:color="auto"/>
              <w:right w:val="nil"/>
            </w:tcBorders>
            <w:vAlign w:val="bottom"/>
          </w:tcPr>
          <w:p w14:paraId="09AF8459" w14:textId="76F72821" w:rsidR="00326B82" w:rsidRPr="00E87B78" w:rsidRDefault="00326B82" w:rsidP="00326B82">
            <w:pPr>
              <w:jc w:val="right"/>
              <w:rPr>
                <w:color w:val="000000"/>
                <w:sz w:val="15"/>
                <w:szCs w:val="15"/>
              </w:rPr>
            </w:pPr>
            <w:r w:rsidRPr="00E87B78">
              <w:rPr>
                <w:sz w:val="15"/>
                <w:szCs w:val="15"/>
              </w:rPr>
              <w:t>9.473.428</w:t>
            </w:r>
          </w:p>
        </w:tc>
        <w:tc>
          <w:tcPr>
            <w:tcW w:w="1105" w:type="dxa"/>
            <w:tcBorders>
              <w:top w:val="nil"/>
              <w:left w:val="nil"/>
              <w:bottom w:val="single" w:sz="4" w:space="0" w:color="auto"/>
              <w:right w:val="nil"/>
            </w:tcBorders>
            <w:vAlign w:val="bottom"/>
          </w:tcPr>
          <w:p w14:paraId="2D750DB2" w14:textId="5124721B" w:rsidR="00326B82" w:rsidRPr="00E87B78" w:rsidRDefault="00326B82" w:rsidP="00326B82">
            <w:pPr>
              <w:jc w:val="right"/>
              <w:rPr>
                <w:color w:val="000000"/>
                <w:sz w:val="15"/>
                <w:szCs w:val="15"/>
              </w:rPr>
            </w:pPr>
            <w:r w:rsidRPr="00E87B78">
              <w:rPr>
                <w:sz w:val="15"/>
                <w:szCs w:val="15"/>
              </w:rPr>
              <w:t>-</w:t>
            </w:r>
          </w:p>
        </w:tc>
        <w:tc>
          <w:tcPr>
            <w:tcW w:w="1134" w:type="dxa"/>
            <w:tcBorders>
              <w:top w:val="nil"/>
              <w:left w:val="nil"/>
              <w:bottom w:val="single" w:sz="4" w:space="0" w:color="auto"/>
              <w:right w:val="nil"/>
            </w:tcBorders>
            <w:vAlign w:val="bottom"/>
          </w:tcPr>
          <w:p w14:paraId="7E9B2473" w14:textId="1CD52A14" w:rsidR="00326B82" w:rsidRPr="00E87B78" w:rsidRDefault="00326B82" w:rsidP="00326B82">
            <w:pPr>
              <w:jc w:val="right"/>
              <w:rPr>
                <w:color w:val="000000"/>
                <w:sz w:val="15"/>
                <w:szCs w:val="15"/>
              </w:rPr>
            </w:pPr>
            <w:r w:rsidRPr="00E87B78">
              <w:rPr>
                <w:sz w:val="15"/>
                <w:szCs w:val="15"/>
              </w:rPr>
              <w:t>-</w:t>
            </w:r>
          </w:p>
        </w:tc>
        <w:tc>
          <w:tcPr>
            <w:tcW w:w="1276" w:type="dxa"/>
            <w:tcBorders>
              <w:top w:val="nil"/>
              <w:left w:val="nil"/>
              <w:bottom w:val="single" w:sz="4" w:space="0" w:color="auto"/>
              <w:right w:val="nil"/>
            </w:tcBorders>
            <w:vAlign w:val="bottom"/>
          </w:tcPr>
          <w:p w14:paraId="20D25839" w14:textId="204F502D" w:rsidR="00326B82" w:rsidRPr="00E87B78" w:rsidRDefault="00326B82" w:rsidP="00326B82">
            <w:pPr>
              <w:jc w:val="right"/>
              <w:rPr>
                <w:color w:val="000000"/>
                <w:sz w:val="15"/>
                <w:szCs w:val="15"/>
              </w:rPr>
            </w:pPr>
            <w:r w:rsidRPr="00E87B78">
              <w:rPr>
                <w:sz w:val="15"/>
                <w:szCs w:val="15"/>
              </w:rPr>
              <w:t>-</w:t>
            </w:r>
          </w:p>
        </w:tc>
        <w:tc>
          <w:tcPr>
            <w:tcW w:w="1048" w:type="dxa"/>
            <w:tcBorders>
              <w:top w:val="nil"/>
              <w:left w:val="nil"/>
              <w:bottom w:val="single" w:sz="4" w:space="0" w:color="auto"/>
              <w:right w:val="nil"/>
            </w:tcBorders>
            <w:vAlign w:val="bottom"/>
          </w:tcPr>
          <w:p w14:paraId="408F53B4" w14:textId="74016329" w:rsidR="00326B82" w:rsidRPr="00E87B78" w:rsidRDefault="00326B82" w:rsidP="00326B82">
            <w:pPr>
              <w:jc w:val="right"/>
              <w:rPr>
                <w:color w:val="000000"/>
                <w:sz w:val="15"/>
                <w:szCs w:val="15"/>
              </w:rPr>
            </w:pPr>
            <w:r w:rsidRPr="00E87B78">
              <w:rPr>
                <w:sz w:val="15"/>
                <w:szCs w:val="15"/>
              </w:rPr>
              <w:t>-</w:t>
            </w:r>
          </w:p>
        </w:tc>
        <w:tc>
          <w:tcPr>
            <w:tcW w:w="1426" w:type="dxa"/>
            <w:tcBorders>
              <w:top w:val="nil"/>
              <w:left w:val="nil"/>
              <w:bottom w:val="single" w:sz="4" w:space="0" w:color="auto"/>
              <w:right w:val="nil"/>
            </w:tcBorders>
            <w:vAlign w:val="bottom"/>
          </w:tcPr>
          <w:p w14:paraId="558B07CA" w14:textId="4082BEE6" w:rsidR="00326B82" w:rsidRPr="00E87B78" w:rsidRDefault="00326B82" w:rsidP="00326B82">
            <w:pPr>
              <w:jc w:val="right"/>
              <w:rPr>
                <w:color w:val="000000"/>
                <w:sz w:val="15"/>
                <w:szCs w:val="15"/>
              </w:rPr>
            </w:pPr>
            <w:r w:rsidRPr="00E87B78">
              <w:rPr>
                <w:sz w:val="15"/>
                <w:szCs w:val="15"/>
              </w:rPr>
              <w:t>9.473.428</w:t>
            </w:r>
          </w:p>
        </w:tc>
      </w:tr>
      <w:tr w:rsidR="00326B82" w:rsidRPr="00326B82" w14:paraId="34118803" w14:textId="77777777" w:rsidTr="00326B82">
        <w:trPr>
          <w:trHeight w:val="113"/>
        </w:trPr>
        <w:tc>
          <w:tcPr>
            <w:tcW w:w="2407" w:type="dxa"/>
            <w:tcBorders>
              <w:top w:val="single" w:sz="4" w:space="0" w:color="auto"/>
              <w:left w:val="nil"/>
              <w:bottom w:val="single" w:sz="12" w:space="0" w:color="auto"/>
              <w:right w:val="nil"/>
            </w:tcBorders>
            <w:vAlign w:val="bottom"/>
            <w:hideMark/>
          </w:tcPr>
          <w:p w14:paraId="6B7E7268" w14:textId="77777777" w:rsidR="00326B82" w:rsidRPr="00E87B78" w:rsidRDefault="00326B82" w:rsidP="00326B82">
            <w:pPr>
              <w:rPr>
                <w:b/>
                <w:sz w:val="15"/>
                <w:szCs w:val="15"/>
              </w:rPr>
            </w:pPr>
            <w:r w:rsidRPr="00E87B78">
              <w:rPr>
                <w:b/>
                <w:sz w:val="15"/>
                <w:szCs w:val="15"/>
              </w:rPr>
              <w:t>Toplam yükümlülükler</w:t>
            </w:r>
          </w:p>
        </w:tc>
        <w:tc>
          <w:tcPr>
            <w:tcW w:w="1264" w:type="dxa"/>
            <w:tcBorders>
              <w:top w:val="single" w:sz="4" w:space="0" w:color="auto"/>
              <w:left w:val="nil"/>
              <w:bottom w:val="single" w:sz="12" w:space="0" w:color="auto"/>
              <w:right w:val="nil"/>
            </w:tcBorders>
            <w:vAlign w:val="bottom"/>
          </w:tcPr>
          <w:p w14:paraId="6CF7EB73" w14:textId="6F9E969A" w:rsidR="00326B82" w:rsidRPr="00E87B78" w:rsidRDefault="00326B82" w:rsidP="00326B82">
            <w:pPr>
              <w:jc w:val="right"/>
              <w:rPr>
                <w:b/>
                <w:color w:val="000000"/>
                <w:sz w:val="15"/>
                <w:szCs w:val="15"/>
              </w:rPr>
            </w:pPr>
            <w:r w:rsidRPr="00E87B78">
              <w:rPr>
                <w:b/>
                <w:sz w:val="15"/>
                <w:szCs w:val="15"/>
              </w:rPr>
              <w:t>99.678.154</w:t>
            </w:r>
          </w:p>
        </w:tc>
        <w:tc>
          <w:tcPr>
            <w:tcW w:w="1105" w:type="dxa"/>
            <w:tcBorders>
              <w:top w:val="single" w:sz="4" w:space="0" w:color="auto"/>
              <w:left w:val="nil"/>
              <w:bottom w:val="single" w:sz="12" w:space="0" w:color="auto"/>
              <w:right w:val="nil"/>
            </w:tcBorders>
            <w:vAlign w:val="bottom"/>
          </w:tcPr>
          <w:p w14:paraId="7E109BBA" w14:textId="74730D08" w:rsidR="00326B82" w:rsidRPr="00E87B78" w:rsidRDefault="00326B82" w:rsidP="00326B82">
            <w:pPr>
              <w:jc w:val="right"/>
              <w:rPr>
                <w:b/>
                <w:color w:val="000000"/>
                <w:sz w:val="15"/>
                <w:szCs w:val="15"/>
              </w:rPr>
            </w:pPr>
            <w:r w:rsidRPr="00E87B78">
              <w:rPr>
                <w:b/>
                <w:sz w:val="15"/>
                <w:szCs w:val="15"/>
              </w:rPr>
              <w:t>-</w:t>
            </w:r>
          </w:p>
        </w:tc>
        <w:tc>
          <w:tcPr>
            <w:tcW w:w="1134" w:type="dxa"/>
            <w:tcBorders>
              <w:top w:val="single" w:sz="4" w:space="0" w:color="auto"/>
              <w:left w:val="nil"/>
              <w:bottom w:val="single" w:sz="12" w:space="0" w:color="auto"/>
              <w:right w:val="nil"/>
            </w:tcBorders>
            <w:vAlign w:val="bottom"/>
          </w:tcPr>
          <w:p w14:paraId="5E331FA3" w14:textId="1B3B7132" w:rsidR="00326B82" w:rsidRPr="00E87B78" w:rsidRDefault="00326B82" w:rsidP="00326B82">
            <w:pPr>
              <w:jc w:val="right"/>
              <w:rPr>
                <w:b/>
                <w:color w:val="000000"/>
                <w:sz w:val="15"/>
                <w:szCs w:val="15"/>
              </w:rPr>
            </w:pPr>
            <w:r w:rsidRPr="00E87B78">
              <w:rPr>
                <w:b/>
                <w:sz w:val="15"/>
                <w:szCs w:val="15"/>
              </w:rPr>
              <w:t>1.050.687</w:t>
            </w:r>
          </w:p>
        </w:tc>
        <w:tc>
          <w:tcPr>
            <w:tcW w:w="1276" w:type="dxa"/>
            <w:tcBorders>
              <w:top w:val="single" w:sz="4" w:space="0" w:color="auto"/>
              <w:left w:val="nil"/>
              <w:bottom w:val="single" w:sz="12" w:space="0" w:color="auto"/>
              <w:right w:val="nil"/>
            </w:tcBorders>
            <w:vAlign w:val="bottom"/>
          </w:tcPr>
          <w:p w14:paraId="6A518DCC" w14:textId="0788C0D6" w:rsidR="00326B82" w:rsidRPr="00E87B78" w:rsidRDefault="00326B82" w:rsidP="00326B82">
            <w:pPr>
              <w:jc w:val="right"/>
              <w:rPr>
                <w:b/>
                <w:color w:val="000000"/>
                <w:sz w:val="15"/>
                <w:szCs w:val="15"/>
              </w:rPr>
            </w:pPr>
            <w:r w:rsidRPr="00E87B78">
              <w:rPr>
                <w:b/>
                <w:sz w:val="15"/>
                <w:szCs w:val="15"/>
              </w:rPr>
              <w:t>-</w:t>
            </w:r>
          </w:p>
        </w:tc>
        <w:tc>
          <w:tcPr>
            <w:tcW w:w="1048" w:type="dxa"/>
            <w:tcBorders>
              <w:top w:val="single" w:sz="4" w:space="0" w:color="auto"/>
              <w:left w:val="nil"/>
              <w:bottom w:val="single" w:sz="12" w:space="0" w:color="auto"/>
              <w:right w:val="nil"/>
            </w:tcBorders>
            <w:vAlign w:val="bottom"/>
          </w:tcPr>
          <w:p w14:paraId="55B9C64A" w14:textId="3E4B5750" w:rsidR="00326B82" w:rsidRPr="00E87B78" w:rsidRDefault="00326B82" w:rsidP="00326B82">
            <w:pPr>
              <w:jc w:val="right"/>
              <w:rPr>
                <w:b/>
                <w:color w:val="000000"/>
                <w:sz w:val="15"/>
                <w:szCs w:val="15"/>
              </w:rPr>
            </w:pPr>
            <w:r w:rsidRPr="00E87B78">
              <w:rPr>
                <w:b/>
                <w:sz w:val="15"/>
                <w:szCs w:val="15"/>
              </w:rPr>
              <w:t>-</w:t>
            </w:r>
          </w:p>
        </w:tc>
        <w:tc>
          <w:tcPr>
            <w:tcW w:w="1426" w:type="dxa"/>
            <w:tcBorders>
              <w:top w:val="single" w:sz="4" w:space="0" w:color="auto"/>
              <w:left w:val="nil"/>
              <w:bottom w:val="single" w:sz="12" w:space="0" w:color="auto"/>
              <w:right w:val="nil"/>
            </w:tcBorders>
            <w:vAlign w:val="bottom"/>
          </w:tcPr>
          <w:p w14:paraId="52F8F666" w14:textId="119E1C26" w:rsidR="00326B82" w:rsidRPr="00E87B78" w:rsidRDefault="00326B82" w:rsidP="00326B82">
            <w:pPr>
              <w:jc w:val="right"/>
              <w:rPr>
                <w:b/>
                <w:color w:val="000000"/>
                <w:sz w:val="15"/>
                <w:szCs w:val="15"/>
              </w:rPr>
            </w:pPr>
            <w:r w:rsidRPr="00E87B78">
              <w:rPr>
                <w:b/>
                <w:sz w:val="15"/>
                <w:szCs w:val="15"/>
              </w:rPr>
              <w:t>99.678.154</w:t>
            </w:r>
          </w:p>
        </w:tc>
      </w:tr>
    </w:tbl>
    <w:p w14:paraId="1F9BB694" w14:textId="77777777" w:rsidR="00B35FE1" w:rsidRPr="00471CBA" w:rsidRDefault="00B35FE1" w:rsidP="00B35FE1">
      <w:pPr>
        <w:ind w:left="567" w:hanging="581"/>
        <w:jc w:val="both"/>
        <w:rPr>
          <w:rFonts w:eastAsiaTheme="minorHAnsi"/>
          <w:iCs/>
          <w:sz w:val="16"/>
          <w:szCs w:val="20"/>
          <w:vertAlign w:val="superscript"/>
        </w:rPr>
      </w:pPr>
      <w:bookmarkStart w:id="64" w:name="_Hlk128666207"/>
    </w:p>
    <w:p w14:paraId="33B81D4A" w14:textId="77777777" w:rsidR="00B35FE1" w:rsidRPr="00471CBA" w:rsidRDefault="00B35FE1" w:rsidP="00B35FE1">
      <w:pPr>
        <w:ind w:left="567" w:hanging="581"/>
        <w:jc w:val="both"/>
        <w:rPr>
          <w:rFonts w:eastAsiaTheme="minorHAnsi"/>
          <w:iCs/>
          <w:sz w:val="16"/>
          <w:szCs w:val="20"/>
        </w:rPr>
      </w:pPr>
      <w:r w:rsidRPr="00471CBA">
        <w:rPr>
          <w:rFonts w:eastAsiaTheme="minorHAnsi"/>
          <w:iCs/>
          <w:sz w:val="16"/>
          <w:szCs w:val="20"/>
          <w:vertAlign w:val="superscript"/>
        </w:rPr>
        <w:t xml:space="preserve">(*) </w:t>
      </w:r>
      <w:r w:rsidRPr="00471CBA">
        <w:rPr>
          <w:rFonts w:eastAsiaTheme="minorHAnsi"/>
          <w:iCs/>
          <w:sz w:val="16"/>
          <w:szCs w:val="20"/>
          <w:vertAlign w:val="superscript"/>
        </w:rPr>
        <w:tab/>
      </w:r>
      <w:r w:rsidRPr="00471CBA">
        <w:rPr>
          <w:rFonts w:eastAsiaTheme="minorHAnsi"/>
          <w:iCs/>
          <w:sz w:val="16"/>
          <w:szCs w:val="20"/>
        </w:rPr>
        <w:t>Banka’nın muhasebesel ve yasal konsolidasyon kapsamı aynı olduğundan mali tablo bilgileri tek sütunda gösterilmiştir.</w:t>
      </w:r>
      <w:bookmarkEnd w:id="64"/>
    </w:p>
    <w:p w14:paraId="39486B56" w14:textId="77777777" w:rsidR="00B35FE1" w:rsidRPr="00471CBA" w:rsidRDefault="00B35FE1" w:rsidP="00B35FE1">
      <w:pPr>
        <w:ind w:left="567" w:hanging="581"/>
        <w:jc w:val="both"/>
        <w:rPr>
          <w:sz w:val="16"/>
          <w:szCs w:val="20"/>
        </w:rPr>
      </w:pPr>
      <w:r w:rsidRPr="00471CBA">
        <w:rPr>
          <w:rFonts w:eastAsiaTheme="minorHAnsi"/>
          <w:iCs/>
          <w:sz w:val="16"/>
          <w:szCs w:val="20"/>
          <w:vertAlign w:val="superscript"/>
        </w:rPr>
        <w:t>(**)</w:t>
      </w:r>
      <w:r w:rsidRPr="00471CBA">
        <w:rPr>
          <w:rFonts w:eastAsiaTheme="minorHAnsi"/>
          <w:b/>
          <w:iCs/>
          <w:sz w:val="16"/>
          <w:szCs w:val="20"/>
          <w:vertAlign w:val="superscript"/>
        </w:rPr>
        <w:tab/>
      </w:r>
      <w:r w:rsidRPr="00471CBA">
        <w:rPr>
          <w:sz w:val="16"/>
          <w:szCs w:val="20"/>
        </w:rPr>
        <w:t>Piyasa riski kapsamındaki genel piyasa riski ve spesifik riske konu kalemlerin TMS uyarınca değerlenmiş tutarlarını içermektedir.</w:t>
      </w:r>
    </w:p>
    <w:p w14:paraId="2A4A98B6" w14:textId="77777777" w:rsidR="00B35FE1" w:rsidRPr="00471CBA" w:rsidRDefault="00B35FE1" w:rsidP="00B35FE1">
      <w:pPr>
        <w:rPr>
          <w:sz w:val="16"/>
          <w:szCs w:val="20"/>
        </w:rPr>
      </w:pPr>
      <w:r w:rsidRPr="00471CBA">
        <w:rPr>
          <w:sz w:val="16"/>
          <w:szCs w:val="20"/>
        </w:rPr>
        <w:br w:type="page"/>
      </w:r>
    </w:p>
    <w:p w14:paraId="3B62B9EF" w14:textId="77777777" w:rsidR="00F36B82" w:rsidRPr="00471CBA" w:rsidRDefault="00F36B82" w:rsidP="00F36B82">
      <w:pPr>
        <w:pStyle w:val="GvdeMetniGirintisi"/>
        <w:widowControl w:val="0"/>
        <w:ind w:firstLine="0"/>
        <w:rPr>
          <w:b/>
          <w:szCs w:val="20"/>
        </w:rPr>
      </w:pPr>
      <w:r w:rsidRPr="00471CBA">
        <w:rPr>
          <w:b/>
          <w:szCs w:val="20"/>
        </w:rPr>
        <w:t>MALİ BÜNYEYE VE RİSK YÖNETİMİNE İLİŞKİN BİLGİLER (Devamı)</w:t>
      </w:r>
    </w:p>
    <w:p w14:paraId="3DD7FD90" w14:textId="77777777" w:rsidR="00F36B82" w:rsidRDefault="00F36B82" w:rsidP="00B35FE1">
      <w:pPr>
        <w:ind w:left="851" w:hanging="851"/>
        <w:rPr>
          <w:b/>
          <w:bCs/>
        </w:rPr>
      </w:pPr>
    </w:p>
    <w:p w14:paraId="0AD14920" w14:textId="5583D6E5" w:rsidR="00B35FE1" w:rsidRPr="00471CBA" w:rsidRDefault="00B35FE1" w:rsidP="00B35FE1">
      <w:pPr>
        <w:ind w:left="851" w:hanging="851"/>
        <w:rPr>
          <w:b/>
          <w:bCs/>
        </w:rPr>
      </w:pPr>
      <w:r w:rsidRPr="00471CBA">
        <w:rPr>
          <w:b/>
          <w:bCs/>
        </w:rPr>
        <w:t>IX.</w:t>
      </w:r>
      <w:r w:rsidRPr="00471CBA">
        <w:rPr>
          <w:b/>
          <w:bCs/>
        </w:rPr>
        <w:tab/>
        <w:t>RİSK YÖNETİMİNE İLİŞKİN AÇIKLAMALAR (Devamı)</w:t>
      </w:r>
    </w:p>
    <w:p w14:paraId="19EEFD49" w14:textId="77777777" w:rsidR="00B35FE1" w:rsidRPr="00471CBA" w:rsidRDefault="00B35FE1" w:rsidP="00B35FE1">
      <w:pPr>
        <w:spacing w:before="120"/>
        <w:ind w:left="851" w:hanging="851"/>
        <w:rPr>
          <w:b/>
          <w:szCs w:val="20"/>
        </w:rPr>
      </w:pPr>
      <w:r w:rsidRPr="00471CBA">
        <w:rPr>
          <w:b/>
          <w:szCs w:val="20"/>
        </w:rPr>
        <w:t>b.</w:t>
      </w:r>
      <w:r w:rsidRPr="00471CBA">
        <w:rPr>
          <w:b/>
          <w:szCs w:val="20"/>
        </w:rPr>
        <w:tab/>
        <w:t>Finansal Tablolar ve Risk Tutarları Arasındaki Bağlantılar (Devamı):</w:t>
      </w:r>
    </w:p>
    <w:p w14:paraId="007796E4" w14:textId="77777777" w:rsidR="00B35FE1" w:rsidRPr="00471CBA" w:rsidRDefault="00B35FE1" w:rsidP="00B35FE1">
      <w:pPr>
        <w:spacing w:before="120" w:after="120"/>
        <w:ind w:left="851" w:hanging="851"/>
        <w:rPr>
          <w:b/>
          <w:szCs w:val="20"/>
        </w:rPr>
      </w:pPr>
      <w:r w:rsidRPr="00471CBA">
        <w:rPr>
          <w:b/>
          <w:szCs w:val="20"/>
        </w:rPr>
        <w:t>b.1.</w:t>
      </w:r>
      <w:r w:rsidRPr="00471CBA">
        <w:rPr>
          <w:b/>
          <w:szCs w:val="20"/>
        </w:rPr>
        <w:tab/>
        <w:t>Muhasebesel Konsolidasyon ve Yasal Konsolidasyon Kapsamı Arasındaki Farklar ve Eşleştirme (Devamı):</w:t>
      </w:r>
    </w:p>
    <w:tbl>
      <w:tblPr>
        <w:tblW w:w="9660" w:type="dxa"/>
        <w:tblInd w:w="14" w:type="dxa"/>
        <w:tblLayout w:type="fixed"/>
        <w:tblLook w:val="04A0" w:firstRow="1" w:lastRow="0" w:firstColumn="1" w:lastColumn="0" w:noHBand="0" w:noVBand="1"/>
      </w:tblPr>
      <w:tblGrid>
        <w:gridCol w:w="2407"/>
        <w:gridCol w:w="1264"/>
        <w:gridCol w:w="1105"/>
        <w:gridCol w:w="1134"/>
        <w:gridCol w:w="1276"/>
        <w:gridCol w:w="1048"/>
        <w:gridCol w:w="1426"/>
      </w:tblGrid>
      <w:tr w:rsidR="00B35FE1" w:rsidRPr="00471CBA" w14:paraId="0FB14CBE" w14:textId="77777777" w:rsidTr="00CB49C3">
        <w:trPr>
          <w:trHeight w:val="20"/>
        </w:trPr>
        <w:tc>
          <w:tcPr>
            <w:tcW w:w="2407" w:type="dxa"/>
            <w:tcBorders>
              <w:top w:val="single" w:sz="4" w:space="0" w:color="auto"/>
              <w:left w:val="nil"/>
              <w:bottom w:val="nil"/>
              <w:right w:val="nil"/>
            </w:tcBorders>
            <w:vAlign w:val="bottom"/>
          </w:tcPr>
          <w:p w14:paraId="06E4533E" w14:textId="77777777" w:rsidR="00B35FE1" w:rsidRPr="00471CBA" w:rsidRDefault="00B35FE1" w:rsidP="00CB49C3">
            <w:pPr>
              <w:rPr>
                <w:sz w:val="15"/>
                <w:szCs w:val="15"/>
              </w:rPr>
            </w:pPr>
          </w:p>
        </w:tc>
        <w:tc>
          <w:tcPr>
            <w:tcW w:w="1264" w:type="dxa"/>
            <w:vMerge w:val="restart"/>
            <w:tcBorders>
              <w:top w:val="single" w:sz="4" w:space="0" w:color="auto"/>
              <w:left w:val="nil"/>
              <w:bottom w:val="single" w:sz="4" w:space="0" w:color="auto"/>
              <w:right w:val="nil"/>
            </w:tcBorders>
            <w:vAlign w:val="bottom"/>
            <w:hideMark/>
          </w:tcPr>
          <w:p w14:paraId="005A1DA9" w14:textId="77777777" w:rsidR="00B35FE1" w:rsidRPr="00471CBA" w:rsidRDefault="00B35FE1" w:rsidP="00F36B82">
            <w:pPr>
              <w:ind w:right="-42"/>
              <w:jc w:val="right"/>
              <w:rPr>
                <w:b/>
                <w:sz w:val="15"/>
                <w:szCs w:val="15"/>
              </w:rPr>
            </w:pPr>
            <w:r w:rsidRPr="00471CBA">
              <w:rPr>
                <w:b/>
                <w:sz w:val="15"/>
                <w:szCs w:val="15"/>
              </w:rPr>
              <w:t>Finansal tablolarda raporlanan TMS uyarınca değerlenmiş tutar</w:t>
            </w:r>
            <w:r w:rsidRPr="00471CBA">
              <w:rPr>
                <w:b/>
                <w:sz w:val="15"/>
                <w:szCs w:val="15"/>
                <w:vertAlign w:val="superscript"/>
              </w:rPr>
              <w:t>(*)</w:t>
            </w:r>
          </w:p>
        </w:tc>
        <w:tc>
          <w:tcPr>
            <w:tcW w:w="5989" w:type="dxa"/>
            <w:gridSpan w:val="5"/>
            <w:tcBorders>
              <w:top w:val="single" w:sz="4" w:space="0" w:color="auto"/>
              <w:left w:val="nil"/>
              <w:bottom w:val="nil"/>
              <w:right w:val="nil"/>
            </w:tcBorders>
            <w:vAlign w:val="bottom"/>
            <w:hideMark/>
          </w:tcPr>
          <w:p w14:paraId="1C309ADA" w14:textId="77777777" w:rsidR="00B35FE1" w:rsidRPr="00471CBA" w:rsidRDefault="00B35FE1" w:rsidP="00F36B82">
            <w:pPr>
              <w:ind w:right="-42"/>
              <w:jc w:val="center"/>
              <w:rPr>
                <w:b/>
                <w:sz w:val="15"/>
                <w:szCs w:val="15"/>
              </w:rPr>
            </w:pPr>
            <w:r w:rsidRPr="00471CBA">
              <w:rPr>
                <w:b/>
                <w:sz w:val="15"/>
                <w:szCs w:val="15"/>
              </w:rPr>
              <w:t>Kalemlerin TMS uyarınca değerlenmiş tutarı</w:t>
            </w:r>
          </w:p>
        </w:tc>
      </w:tr>
      <w:tr w:rsidR="00E80D19" w:rsidRPr="00471CBA" w14:paraId="6D7E1FEA" w14:textId="77777777" w:rsidTr="00CB49C3">
        <w:trPr>
          <w:trHeight w:val="20"/>
        </w:trPr>
        <w:tc>
          <w:tcPr>
            <w:tcW w:w="2407" w:type="dxa"/>
            <w:tcBorders>
              <w:top w:val="nil"/>
              <w:left w:val="nil"/>
              <w:bottom w:val="single" w:sz="4" w:space="0" w:color="auto"/>
              <w:right w:val="nil"/>
            </w:tcBorders>
            <w:vAlign w:val="center"/>
            <w:hideMark/>
          </w:tcPr>
          <w:p w14:paraId="1FD9CD56" w14:textId="7ED28BBF" w:rsidR="00E80D19" w:rsidRPr="00471CBA" w:rsidRDefault="00E80D19" w:rsidP="00E80D19">
            <w:pPr>
              <w:rPr>
                <w:b/>
                <w:sz w:val="15"/>
                <w:szCs w:val="15"/>
              </w:rPr>
            </w:pPr>
            <w:r w:rsidRPr="00471CBA">
              <w:rPr>
                <w:b/>
                <w:sz w:val="15"/>
                <w:szCs w:val="15"/>
              </w:rPr>
              <w:t>31 Aralık 2024</w:t>
            </w:r>
          </w:p>
        </w:tc>
        <w:tc>
          <w:tcPr>
            <w:tcW w:w="1264" w:type="dxa"/>
            <w:vMerge/>
            <w:tcBorders>
              <w:top w:val="single" w:sz="4" w:space="0" w:color="auto"/>
              <w:left w:val="nil"/>
              <w:bottom w:val="single" w:sz="4" w:space="0" w:color="auto"/>
              <w:right w:val="nil"/>
            </w:tcBorders>
            <w:vAlign w:val="center"/>
            <w:hideMark/>
          </w:tcPr>
          <w:p w14:paraId="01A70FD6" w14:textId="77777777" w:rsidR="00E80D19" w:rsidRPr="00471CBA" w:rsidRDefault="00E80D19" w:rsidP="00F36B82">
            <w:pPr>
              <w:ind w:right="-42"/>
              <w:rPr>
                <w:b/>
                <w:sz w:val="15"/>
                <w:szCs w:val="15"/>
              </w:rPr>
            </w:pPr>
          </w:p>
        </w:tc>
        <w:tc>
          <w:tcPr>
            <w:tcW w:w="1105" w:type="dxa"/>
            <w:tcBorders>
              <w:top w:val="single" w:sz="4" w:space="0" w:color="auto"/>
              <w:left w:val="nil"/>
              <w:bottom w:val="single" w:sz="4" w:space="0" w:color="auto"/>
              <w:right w:val="nil"/>
            </w:tcBorders>
            <w:vAlign w:val="bottom"/>
            <w:hideMark/>
          </w:tcPr>
          <w:p w14:paraId="01172753" w14:textId="77777777" w:rsidR="00E80D19" w:rsidRPr="00471CBA" w:rsidRDefault="00E80D19" w:rsidP="00F36B82">
            <w:pPr>
              <w:ind w:right="-42"/>
              <w:jc w:val="right"/>
              <w:rPr>
                <w:b/>
                <w:sz w:val="15"/>
                <w:szCs w:val="15"/>
              </w:rPr>
            </w:pPr>
            <w:r w:rsidRPr="00471CBA">
              <w:rPr>
                <w:b/>
                <w:sz w:val="15"/>
                <w:szCs w:val="15"/>
              </w:rPr>
              <w:t>Kredi riskine tabi</w:t>
            </w:r>
          </w:p>
        </w:tc>
        <w:tc>
          <w:tcPr>
            <w:tcW w:w="1134" w:type="dxa"/>
            <w:tcBorders>
              <w:top w:val="single" w:sz="4" w:space="0" w:color="auto"/>
              <w:left w:val="nil"/>
              <w:bottom w:val="single" w:sz="4" w:space="0" w:color="auto"/>
              <w:right w:val="nil"/>
            </w:tcBorders>
            <w:vAlign w:val="bottom"/>
            <w:hideMark/>
          </w:tcPr>
          <w:p w14:paraId="704C5B2D" w14:textId="77777777" w:rsidR="00E80D19" w:rsidRPr="00471CBA" w:rsidRDefault="00E80D19" w:rsidP="00F36B82">
            <w:pPr>
              <w:ind w:right="-42"/>
              <w:jc w:val="right"/>
              <w:rPr>
                <w:b/>
                <w:sz w:val="15"/>
                <w:szCs w:val="15"/>
              </w:rPr>
            </w:pPr>
            <w:r w:rsidRPr="00471CBA">
              <w:rPr>
                <w:b/>
                <w:sz w:val="15"/>
                <w:szCs w:val="15"/>
              </w:rPr>
              <w:t>Karşı taraf kredi riskine tabi</w:t>
            </w:r>
          </w:p>
        </w:tc>
        <w:tc>
          <w:tcPr>
            <w:tcW w:w="1276" w:type="dxa"/>
            <w:tcBorders>
              <w:top w:val="single" w:sz="4" w:space="0" w:color="auto"/>
              <w:left w:val="nil"/>
              <w:bottom w:val="single" w:sz="4" w:space="0" w:color="auto"/>
              <w:right w:val="nil"/>
            </w:tcBorders>
            <w:vAlign w:val="bottom"/>
            <w:hideMark/>
          </w:tcPr>
          <w:p w14:paraId="3C52CDFF" w14:textId="77777777" w:rsidR="00E80D19" w:rsidRPr="00471CBA" w:rsidRDefault="00E80D19" w:rsidP="00F36B82">
            <w:pPr>
              <w:ind w:left="-98" w:right="-42" w:firstLine="98"/>
              <w:jc w:val="right"/>
              <w:rPr>
                <w:b/>
                <w:sz w:val="15"/>
                <w:szCs w:val="15"/>
              </w:rPr>
            </w:pPr>
            <w:r w:rsidRPr="00471CBA">
              <w:rPr>
                <w:b/>
                <w:sz w:val="15"/>
                <w:szCs w:val="15"/>
              </w:rPr>
              <w:t>Menkul kıymetleştirme pozisyonları</w:t>
            </w:r>
          </w:p>
        </w:tc>
        <w:tc>
          <w:tcPr>
            <w:tcW w:w="1048" w:type="dxa"/>
            <w:tcBorders>
              <w:top w:val="single" w:sz="4" w:space="0" w:color="auto"/>
              <w:left w:val="nil"/>
              <w:bottom w:val="single" w:sz="4" w:space="0" w:color="auto"/>
              <w:right w:val="nil"/>
            </w:tcBorders>
            <w:vAlign w:val="bottom"/>
            <w:hideMark/>
          </w:tcPr>
          <w:p w14:paraId="4FB59444" w14:textId="77777777" w:rsidR="00E80D19" w:rsidRPr="00471CBA" w:rsidRDefault="00E80D19" w:rsidP="00F36B82">
            <w:pPr>
              <w:ind w:right="-42"/>
              <w:jc w:val="right"/>
              <w:rPr>
                <w:b/>
                <w:sz w:val="15"/>
                <w:szCs w:val="15"/>
              </w:rPr>
            </w:pPr>
            <w:r w:rsidRPr="00471CBA">
              <w:rPr>
                <w:b/>
                <w:sz w:val="15"/>
                <w:szCs w:val="15"/>
              </w:rPr>
              <w:t>Piyasa riskine tabi</w:t>
            </w:r>
            <w:r w:rsidRPr="00471CBA">
              <w:rPr>
                <w:b/>
                <w:sz w:val="15"/>
                <w:szCs w:val="15"/>
                <w:vertAlign w:val="superscript"/>
              </w:rPr>
              <w:t>(**)</w:t>
            </w:r>
          </w:p>
        </w:tc>
        <w:tc>
          <w:tcPr>
            <w:tcW w:w="1426" w:type="dxa"/>
            <w:tcBorders>
              <w:top w:val="single" w:sz="4" w:space="0" w:color="auto"/>
              <w:left w:val="nil"/>
              <w:bottom w:val="single" w:sz="4" w:space="0" w:color="auto"/>
              <w:right w:val="nil"/>
            </w:tcBorders>
            <w:vAlign w:val="bottom"/>
            <w:hideMark/>
          </w:tcPr>
          <w:p w14:paraId="0405CC60" w14:textId="77777777" w:rsidR="00E80D19" w:rsidRPr="00471CBA" w:rsidRDefault="00E80D19" w:rsidP="00F36B82">
            <w:pPr>
              <w:ind w:right="-42"/>
              <w:jc w:val="right"/>
              <w:rPr>
                <w:b/>
                <w:sz w:val="15"/>
                <w:szCs w:val="15"/>
              </w:rPr>
            </w:pPr>
            <w:r w:rsidRPr="00471CBA">
              <w:rPr>
                <w:b/>
                <w:sz w:val="15"/>
                <w:szCs w:val="15"/>
              </w:rPr>
              <w:t>Sermaye yükümlülüğüne tabi olmayan veya sermayeden indirilen</w:t>
            </w:r>
          </w:p>
        </w:tc>
      </w:tr>
      <w:tr w:rsidR="00B35FE1" w:rsidRPr="00471CBA" w14:paraId="42E98CC3" w14:textId="77777777" w:rsidTr="00CB49C3">
        <w:trPr>
          <w:trHeight w:val="20"/>
        </w:trPr>
        <w:tc>
          <w:tcPr>
            <w:tcW w:w="2407" w:type="dxa"/>
            <w:tcBorders>
              <w:top w:val="single" w:sz="4" w:space="0" w:color="auto"/>
              <w:left w:val="nil"/>
              <w:bottom w:val="nil"/>
              <w:right w:val="nil"/>
            </w:tcBorders>
            <w:vAlign w:val="bottom"/>
            <w:hideMark/>
          </w:tcPr>
          <w:p w14:paraId="1A9B582F" w14:textId="77777777" w:rsidR="00B35FE1" w:rsidRPr="00471CBA" w:rsidRDefault="00B35FE1" w:rsidP="00CB49C3">
            <w:pPr>
              <w:rPr>
                <w:b/>
                <w:sz w:val="15"/>
                <w:szCs w:val="15"/>
              </w:rPr>
            </w:pPr>
            <w:r w:rsidRPr="00471CBA">
              <w:rPr>
                <w:b/>
                <w:sz w:val="15"/>
                <w:szCs w:val="15"/>
              </w:rPr>
              <w:t>Varlıklar</w:t>
            </w:r>
          </w:p>
        </w:tc>
        <w:tc>
          <w:tcPr>
            <w:tcW w:w="1264" w:type="dxa"/>
            <w:tcBorders>
              <w:top w:val="single" w:sz="4" w:space="0" w:color="auto"/>
              <w:left w:val="nil"/>
              <w:bottom w:val="nil"/>
              <w:right w:val="nil"/>
            </w:tcBorders>
            <w:vAlign w:val="bottom"/>
          </w:tcPr>
          <w:p w14:paraId="5492C66F" w14:textId="77777777" w:rsidR="00B35FE1" w:rsidRPr="00471CBA" w:rsidRDefault="00B35FE1" w:rsidP="00F36B82">
            <w:pPr>
              <w:ind w:right="-42"/>
              <w:jc w:val="right"/>
              <w:rPr>
                <w:sz w:val="15"/>
                <w:szCs w:val="15"/>
              </w:rPr>
            </w:pPr>
          </w:p>
        </w:tc>
        <w:tc>
          <w:tcPr>
            <w:tcW w:w="1105" w:type="dxa"/>
            <w:tcBorders>
              <w:top w:val="single" w:sz="4" w:space="0" w:color="auto"/>
              <w:left w:val="nil"/>
              <w:bottom w:val="nil"/>
              <w:right w:val="nil"/>
            </w:tcBorders>
            <w:vAlign w:val="bottom"/>
          </w:tcPr>
          <w:p w14:paraId="1DD3757B" w14:textId="77777777" w:rsidR="00B35FE1" w:rsidRPr="00471CBA" w:rsidRDefault="00B35FE1" w:rsidP="00F36B82">
            <w:pPr>
              <w:ind w:right="-42"/>
              <w:jc w:val="right"/>
              <w:rPr>
                <w:sz w:val="15"/>
                <w:szCs w:val="15"/>
              </w:rPr>
            </w:pPr>
          </w:p>
        </w:tc>
        <w:tc>
          <w:tcPr>
            <w:tcW w:w="1134" w:type="dxa"/>
            <w:tcBorders>
              <w:top w:val="single" w:sz="4" w:space="0" w:color="auto"/>
              <w:left w:val="nil"/>
              <w:bottom w:val="nil"/>
              <w:right w:val="nil"/>
            </w:tcBorders>
            <w:vAlign w:val="bottom"/>
          </w:tcPr>
          <w:p w14:paraId="544EAB67" w14:textId="77777777" w:rsidR="00B35FE1" w:rsidRPr="00471CBA" w:rsidRDefault="00B35FE1" w:rsidP="00F36B82">
            <w:pPr>
              <w:ind w:right="-42"/>
              <w:jc w:val="right"/>
              <w:rPr>
                <w:sz w:val="15"/>
                <w:szCs w:val="15"/>
              </w:rPr>
            </w:pPr>
          </w:p>
        </w:tc>
        <w:tc>
          <w:tcPr>
            <w:tcW w:w="1276" w:type="dxa"/>
            <w:tcBorders>
              <w:top w:val="single" w:sz="4" w:space="0" w:color="auto"/>
              <w:left w:val="nil"/>
              <w:bottom w:val="nil"/>
              <w:right w:val="nil"/>
            </w:tcBorders>
            <w:vAlign w:val="bottom"/>
          </w:tcPr>
          <w:p w14:paraId="69125F57" w14:textId="77777777" w:rsidR="00B35FE1" w:rsidRPr="00471CBA" w:rsidRDefault="00B35FE1" w:rsidP="00F36B82">
            <w:pPr>
              <w:ind w:right="-42"/>
              <w:jc w:val="right"/>
              <w:rPr>
                <w:sz w:val="15"/>
                <w:szCs w:val="15"/>
              </w:rPr>
            </w:pPr>
          </w:p>
        </w:tc>
        <w:tc>
          <w:tcPr>
            <w:tcW w:w="1048" w:type="dxa"/>
            <w:tcBorders>
              <w:top w:val="single" w:sz="4" w:space="0" w:color="auto"/>
              <w:left w:val="nil"/>
              <w:bottom w:val="nil"/>
              <w:right w:val="nil"/>
            </w:tcBorders>
            <w:vAlign w:val="bottom"/>
          </w:tcPr>
          <w:p w14:paraId="00E06D0B" w14:textId="77777777" w:rsidR="00B35FE1" w:rsidRPr="00471CBA" w:rsidRDefault="00B35FE1" w:rsidP="00F36B82">
            <w:pPr>
              <w:ind w:right="-42"/>
              <w:jc w:val="right"/>
              <w:rPr>
                <w:sz w:val="15"/>
                <w:szCs w:val="15"/>
              </w:rPr>
            </w:pPr>
          </w:p>
        </w:tc>
        <w:tc>
          <w:tcPr>
            <w:tcW w:w="1426" w:type="dxa"/>
            <w:tcBorders>
              <w:top w:val="single" w:sz="4" w:space="0" w:color="auto"/>
              <w:left w:val="nil"/>
              <w:bottom w:val="nil"/>
              <w:right w:val="nil"/>
            </w:tcBorders>
            <w:vAlign w:val="bottom"/>
          </w:tcPr>
          <w:p w14:paraId="3CC3E9B5" w14:textId="77777777" w:rsidR="00B35FE1" w:rsidRPr="00471CBA" w:rsidRDefault="00B35FE1" w:rsidP="00F36B82">
            <w:pPr>
              <w:ind w:right="-42"/>
              <w:jc w:val="right"/>
              <w:rPr>
                <w:sz w:val="15"/>
                <w:szCs w:val="15"/>
              </w:rPr>
            </w:pPr>
          </w:p>
        </w:tc>
      </w:tr>
      <w:tr w:rsidR="00E80D19" w:rsidRPr="00471CBA" w14:paraId="4FE6E142" w14:textId="77777777" w:rsidTr="003A558E">
        <w:trPr>
          <w:trHeight w:val="20"/>
        </w:trPr>
        <w:tc>
          <w:tcPr>
            <w:tcW w:w="2407" w:type="dxa"/>
            <w:vAlign w:val="bottom"/>
            <w:hideMark/>
          </w:tcPr>
          <w:p w14:paraId="14C9E923" w14:textId="77777777" w:rsidR="00E80D19" w:rsidRPr="00471CBA" w:rsidRDefault="00E80D19" w:rsidP="00E80D19">
            <w:pPr>
              <w:rPr>
                <w:color w:val="000000"/>
                <w:sz w:val="15"/>
                <w:szCs w:val="15"/>
              </w:rPr>
            </w:pPr>
            <w:r w:rsidRPr="00471CBA">
              <w:rPr>
                <w:color w:val="000000"/>
                <w:sz w:val="15"/>
                <w:szCs w:val="15"/>
              </w:rPr>
              <w:t>Nakit ve Nakit Benzerleri</w:t>
            </w:r>
          </w:p>
        </w:tc>
        <w:tc>
          <w:tcPr>
            <w:tcW w:w="1264" w:type="dxa"/>
            <w:vAlign w:val="bottom"/>
          </w:tcPr>
          <w:p w14:paraId="2101A475" w14:textId="398E4A03" w:rsidR="00E80D19" w:rsidRPr="00471CBA" w:rsidRDefault="00E80D19" w:rsidP="00F36B82">
            <w:pPr>
              <w:ind w:right="-42"/>
              <w:jc w:val="right"/>
              <w:rPr>
                <w:color w:val="000000"/>
                <w:sz w:val="16"/>
                <w:szCs w:val="16"/>
              </w:rPr>
            </w:pPr>
            <w:r w:rsidRPr="00471CBA">
              <w:rPr>
                <w:sz w:val="15"/>
                <w:szCs w:val="15"/>
              </w:rPr>
              <w:t>9.081.626</w:t>
            </w:r>
          </w:p>
        </w:tc>
        <w:tc>
          <w:tcPr>
            <w:tcW w:w="1105" w:type="dxa"/>
            <w:vAlign w:val="bottom"/>
          </w:tcPr>
          <w:p w14:paraId="570ECD95" w14:textId="5D2580EE" w:rsidR="00E80D19" w:rsidRPr="00471CBA" w:rsidRDefault="00E80D19" w:rsidP="00F36B82">
            <w:pPr>
              <w:ind w:right="-42"/>
              <w:jc w:val="right"/>
              <w:rPr>
                <w:color w:val="000000"/>
                <w:sz w:val="16"/>
                <w:szCs w:val="16"/>
              </w:rPr>
            </w:pPr>
            <w:r w:rsidRPr="00471CBA">
              <w:rPr>
                <w:sz w:val="15"/>
                <w:szCs w:val="15"/>
              </w:rPr>
              <w:t>9.081.626</w:t>
            </w:r>
          </w:p>
        </w:tc>
        <w:tc>
          <w:tcPr>
            <w:tcW w:w="1134" w:type="dxa"/>
            <w:vAlign w:val="bottom"/>
          </w:tcPr>
          <w:p w14:paraId="6DF1A5FE" w14:textId="0549C138" w:rsidR="00E80D19" w:rsidRPr="00471CBA" w:rsidRDefault="00E80D19" w:rsidP="00F36B82">
            <w:pPr>
              <w:ind w:right="-42"/>
              <w:jc w:val="right"/>
              <w:rPr>
                <w:sz w:val="16"/>
                <w:szCs w:val="16"/>
              </w:rPr>
            </w:pPr>
            <w:r w:rsidRPr="00471CBA">
              <w:rPr>
                <w:sz w:val="15"/>
                <w:szCs w:val="15"/>
              </w:rPr>
              <w:t>-</w:t>
            </w:r>
          </w:p>
        </w:tc>
        <w:tc>
          <w:tcPr>
            <w:tcW w:w="1276" w:type="dxa"/>
            <w:vAlign w:val="bottom"/>
          </w:tcPr>
          <w:p w14:paraId="6A79EB72" w14:textId="2F1508E4" w:rsidR="00E80D19" w:rsidRPr="00471CBA" w:rsidRDefault="00E80D19" w:rsidP="00F36B82">
            <w:pPr>
              <w:ind w:right="-42"/>
              <w:jc w:val="right"/>
              <w:rPr>
                <w:sz w:val="16"/>
                <w:szCs w:val="16"/>
              </w:rPr>
            </w:pPr>
            <w:r w:rsidRPr="00471CBA">
              <w:rPr>
                <w:sz w:val="15"/>
                <w:szCs w:val="15"/>
              </w:rPr>
              <w:t>-</w:t>
            </w:r>
          </w:p>
        </w:tc>
        <w:tc>
          <w:tcPr>
            <w:tcW w:w="1048" w:type="dxa"/>
            <w:vAlign w:val="bottom"/>
          </w:tcPr>
          <w:p w14:paraId="624A5D16" w14:textId="6C832AB0" w:rsidR="00E80D19" w:rsidRPr="00471CBA" w:rsidRDefault="00E80D19" w:rsidP="00F36B82">
            <w:pPr>
              <w:ind w:right="-42"/>
              <w:jc w:val="right"/>
              <w:rPr>
                <w:sz w:val="16"/>
                <w:szCs w:val="16"/>
              </w:rPr>
            </w:pPr>
            <w:r w:rsidRPr="00471CBA">
              <w:rPr>
                <w:sz w:val="15"/>
                <w:szCs w:val="15"/>
              </w:rPr>
              <w:t>-</w:t>
            </w:r>
          </w:p>
        </w:tc>
        <w:tc>
          <w:tcPr>
            <w:tcW w:w="1426" w:type="dxa"/>
            <w:vAlign w:val="bottom"/>
          </w:tcPr>
          <w:p w14:paraId="59E20BAD" w14:textId="2C39F7E2" w:rsidR="00E80D19" w:rsidRPr="00471CBA" w:rsidRDefault="00E80D19" w:rsidP="00F36B82">
            <w:pPr>
              <w:ind w:right="-42"/>
              <w:jc w:val="right"/>
              <w:rPr>
                <w:sz w:val="16"/>
                <w:szCs w:val="16"/>
              </w:rPr>
            </w:pPr>
            <w:r w:rsidRPr="00471CBA">
              <w:rPr>
                <w:sz w:val="15"/>
                <w:szCs w:val="15"/>
              </w:rPr>
              <w:t>-</w:t>
            </w:r>
          </w:p>
        </w:tc>
      </w:tr>
      <w:tr w:rsidR="00E80D19" w:rsidRPr="00471CBA" w14:paraId="74B6CD95" w14:textId="77777777" w:rsidTr="003A558E">
        <w:trPr>
          <w:trHeight w:val="20"/>
        </w:trPr>
        <w:tc>
          <w:tcPr>
            <w:tcW w:w="2407" w:type="dxa"/>
            <w:vAlign w:val="bottom"/>
            <w:hideMark/>
          </w:tcPr>
          <w:p w14:paraId="675C9304" w14:textId="77777777" w:rsidR="00E80D19" w:rsidRPr="00471CBA" w:rsidRDefault="00E80D19" w:rsidP="00E80D19">
            <w:pPr>
              <w:rPr>
                <w:color w:val="000000"/>
                <w:sz w:val="15"/>
                <w:szCs w:val="15"/>
              </w:rPr>
            </w:pPr>
            <w:r w:rsidRPr="00471CBA">
              <w:rPr>
                <w:color w:val="000000"/>
                <w:sz w:val="15"/>
                <w:szCs w:val="15"/>
              </w:rPr>
              <w:t xml:space="preserve">Gerçeğe Uygun Değer Farkı Kâr Zarara Yansıtılan Finansal Varlıklar </w:t>
            </w:r>
          </w:p>
        </w:tc>
        <w:tc>
          <w:tcPr>
            <w:tcW w:w="1264" w:type="dxa"/>
            <w:vAlign w:val="bottom"/>
          </w:tcPr>
          <w:p w14:paraId="6580EBD3" w14:textId="35F832D5" w:rsidR="00E80D19" w:rsidRPr="00471CBA" w:rsidRDefault="00E80D19" w:rsidP="00F36B82">
            <w:pPr>
              <w:ind w:right="-42"/>
              <w:jc w:val="right"/>
              <w:rPr>
                <w:color w:val="000000"/>
                <w:sz w:val="16"/>
                <w:szCs w:val="16"/>
              </w:rPr>
            </w:pPr>
            <w:r w:rsidRPr="00471CBA">
              <w:rPr>
                <w:sz w:val="15"/>
                <w:szCs w:val="15"/>
              </w:rPr>
              <w:t>133.298</w:t>
            </w:r>
          </w:p>
        </w:tc>
        <w:tc>
          <w:tcPr>
            <w:tcW w:w="1105" w:type="dxa"/>
            <w:vAlign w:val="bottom"/>
          </w:tcPr>
          <w:p w14:paraId="1DE3E2A8" w14:textId="061BBA2A" w:rsidR="00E80D19" w:rsidRPr="00471CBA" w:rsidRDefault="00E80D19" w:rsidP="00F36B82">
            <w:pPr>
              <w:ind w:right="-42"/>
              <w:jc w:val="right"/>
              <w:rPr>
                <w:color w:val="000000"/>
                <w:sz w:val="16"/>
                <w:szCs w:val="16"/>
              </w:rPr>
            </w:pPr>
            <w:r w:rsidRPr="00471CBA">
              <w:rPr>
                <w:sz w:val="15"/>
                <w:szCs w:val="15"/>
              </w:rPr>
              <w:t>15</w:t>
            </w:r>
          </w:p>
        </w:tc>
        <w:tc>
          <w:tcPr>
            <w:tcW w:w="1134" w:type="dxa"/>
            <w:vAlign w:val="bottom"/>
          </w:tcPr>
          <w:p w14:paraId="4A7B1B2D" w14:textId="4BC09AA4" w:rsidR="00E80D19" w:rsidRPr="00471CBA" w:rsidRDefault="00E80D19" w:rsidP="00F36B82">
            <w:pPr>
              <w:ind w:right="-42"/>
              <w:jc w:val="right"/>
              <w:rPr>
                <w:color w:val="000000"/>
                <w:sz w:val="16"/>
                <w:szCs w:val="16"/>
              </w:rPr>
            </w:pPr>
            <w:r w:rsidRPr="00471CBA">
              <w:rPr>
                <w:sz w:val="15"/>
                <w:szCs w:val="15"/>
              </w:rPr>
              <w:t>-</w:t>
            </w:r>
          </w:p>
        </w:tc>
        <w:tc>
          <w:tcPr>
            <w:tcW w:w="1276" w:type="dxa"/>
            <w:vAlign w:val="bottom"/>
          </w:tcPr>
          <w:p w14:paraId="6FCE6682" w14:textId="1AC53B67" w:rsidR="00E80D19" w:rsidRPr="00471CBA" w:rsidRDefault="00E80D19" w:rsidP="00F36B82">
            <w:pPr>
              <w:ind w:right="-42"/>
              <w:jc w:val="right"/>
              <w:rPr>
                <w:color w:val="000000"/>
                <w:sz w:val="16"/>
                <w:szCs w:val="16"/>
              </w:rPr>
            </w:pPr>
            <w:r w:rsidRPr="00471CBA">
              <w:rPr>
                <w:sz w:val="15"/>
                <w:szCs w:val="15"/>
              </w:rPr>
              <w:t>-</w:t>
            </w:r>
          </w:p>
        </w:tc>
        <w:tc>
          <w:tcPr>
            <w:tcW w:w="1048" w:type="dxa"/>
            <w:vAlign w:val="bottom"/>
          </w:tcPr>
          <w:p w14:paraId="5C3F8F46" w14:textId="4B7B6638" w:rsidR="00E80D19" w:rsidRPr="00471CBA" w:rsidRDefault="00E80D19" w:rsidP="00F36B82">
            <w:pPr>
              <w:ind w:right="-42"/>
              <w:jc w:val="right"/>
              <w:rPr>
                <w:color w:val="000000"/>
                <w:sz w:val="16"/>
                <w:szCs w:val="16"/>
              </w:rPr>
            </w:pPr>
            <w:r w:rsidRPr="00471CBA">
              <w:rPr>
                <w:sz w:val="15"/>
                <w:szCs w:val="15"/>
              </w:rPr>
              <w:t>133.283</w:t>
            </w:r>
          </w:p>
        </w:tc>
        <w:tc>
          <w:tcPr>
            <w:tcW w:w="1426" w:type="dxa"/>
            <w:vAlign w:val="bottom"/>
          </w:tcPr>
          <w:p w14:paraId="0D6848A0" w14:textId="137ADE5E" w:rsidR="00E80D19" w:rsidRPr="00471CBA" w:rsidRDefault="00E80D19" w:rsidP="00F36B82">
            <w:pPr>
              <w:ind w:right="-42"/>
              <w:jc w:val="right"/>
              <w:rPr>
                <w:color w:val="000000"/>
                <w:sz w:val="16"/>
                <w:szCs w:val="16"/>
              </w:rPr>
            </w:pPr>
            <w:r w:rsidRPr="00471CBA">
              <w:rPr>
                <w:sz w:val="15"/>
                <w:szCs w:val="15"/>
              </w:rPr>
              <w:t>-</w:t>
            </w:r>
          </w:p>
        </w:tc>
      </w:tr>
      <w:tr w:rsidR="00E80D19" w:rsidRPr="00471CBA" w14:paraId="4E0BBE10" w14:textId="77777777" w:rsidTr="003A558E">
        <w:trPr>
          <w:trHeight w:val="20"/>
        </w:trPr>
        <w:tc>
          <w:tcPr>
            <w:tcW w:w="2407" w:type="dxa"/>
            <w:vAlign w:val="bottom"/>
            <w:hideMark/>
          </w:tcPr>
          <w:p w14:paraId="23F9B475" w14:textId="77777777" w:rsidR="00E80D19" w:rsidRPr="00471CBA" w:rsidRDefault="00E80D19" w:rsidP="00E80D19">
            <w:pPr>
              <w:rPr>
                <w:color w:val="000000"/>
                <w:sz w:val="15"/>
                <w:szCs w:val="15"/>
              </w:rPr>
            </w:pPr>
            <w:r w:rsidRPr="00471CBA">
              <w:rPr>
                <w:color w:val="000000"/>
                <w:sz w:val="15"/>
                <w:szCs w:val="15"/>
              </w:rPr>
              <w:t>Gerçeğe Uygun Değer Farkı Diğer Kapsamlı Gelire Yansıtılan Finansal Varlıklar</w:t>
            </w:r>
          </w:p>
        </w:tc>
        <w:tc>
          <w:tcPr>
            <w:tcW w:w="1264" w:type="dxa"/>
            <w:vAlign w:val="bottom"/>
          </w:tcPr>
          <w:p w14:paraId="3D8CB290" w14:textId="118159E3" w:rsidR="00E80D19" w:rsidRPr="00471CBA" w:rsidRDefault="00E80D19" w:rsidP="00F36B82">
            <w:pPr>
              <w:ind w:right="-42"/>
              <w:jc w:val="right"/>
              <w:rPr>
                <w:color w:val="000000"/>
                <w:sz w:val="16"/>
                <w:szCs w:val="16"/>
              </w:rPr>
            </w:pPr>
            <w:r w:rsidRPr="00471CBA">
              <w:rPr>
                <w:sz w:val="15"/>
                <w:szCs w:val="15"/>
              </w:rPr>
              <w:t>964.443</w:t>
            </w:r>
          </w:p>
        </w:tc>
        <w:tc>
          <w:tcPr>
            <w:tcW w:w="1105" w:type="dxa"/>
            <w:vAlign w:val="bottom"/>
          </w:tcPr>
          <w:p w14:paraId="59AB11C8" w14:textId="0E0D516F" w:rsidR="00E80D19" w:rsidRPr="00471CBA" w:rsidRDefault="00E80D19" w:rsidP="00F36B82">
            <w:pPr>
              <w:ind w:right="-42"/>
              <w:jc w:val="right"/>
              <w:rPr>
                <w:color w:val="000000"/>
                <w:sz w:val="16"/>
                <w:szCs w:val="16"/>
              </w:rPr>
            </w:pPr>
            <w:r w:rsidRPr="00471CBA">
              <w:rPr>
                <w:sz w:val="15"/>
                <w:szCs w:val="15"/>
              </w:rPr>
              <w:t>964.443</w:t>
            </w:r>
          </w:p>
        </w:tc>
        <w:tc>
          <w:tcPr>
            <w:tcW w:w="1134" w:type="dxa"/>
            <w:vAlign w:val="bottom"/>
          </w:tcPr>
          <w:p w14:paraId="12D60CD6" w14:textId="1C87BA94" w:rsidR="00E80D19" w:rsidRPr="00471CBA" w:rsidRDefault="00E80D19" w:rsidP="00F36B82">
            <w:pPr>
              <w:ind w:right="-42"/>
              <w:jc w:val="right"/>
              <w:rPr>
                <w:sz w:val="16"/>
                <w:szCs w:val="16"/>
              </w:rPr>
            </w:pPr>
            <w:r w:rsidRPr="00471CBA">
              <w:rPr>
                <w:sz w:val="15"/>
                <w:szCs w:val="15"/>
              </w:rPr>
              <w:t>-</w:t>
            </w:r>
          </w:p>
        </w:tc>
        <w:tc>
          <w:tcPr>
            <w:tcW w:w="1276" w:type="dxa"/>
            <w:vAlign w:val="bottom"/>
          </w:tcPr>
          <w:p w14:paraId="38B725CA" w14:textId="0544609D" w:rsidR="00E80D19" w:rsidRPr="00471CBA" w:rsidRDefault="00E80D19" w:rsidP="00F36B82">
            <w:pPr>
              <w:ind w:right="-42"/>
              <w:jc w:val="right"/>
              <w:rPr>
                <w:sz w:val="16"/>
                <w:szCs w:val="16"/>
              </w:rPr>
            </w:pPr>
            <w:r w:rsidRPr="00471CBA">
              <w:rPr>
                <w:sz w:val="15"/>
                <w:szCs w:val="15"/>
              </w:rPr>
              <w:t>-</w:t>
            </w:r>
          </w:p>
        </w:tc>
        <w:tc>
          <w:tcPr>
            <w:tcW w:w="1048" w:type="dxa"/>
            <w:vAlign w:val="bottom"/>
          </w:tcPr>
          <w:p w14:paraId="65318B20" w14:textId="14892FDF" w:rsidR="00E80D19" w:rsidRPr="00471CBA" w:rsidRDefault="00E80D19" w:rsidP="00F36B82">
            <w:pPr>
              <w:ind w:right="-42"/>
              <w:jc w:val="right"/>
              <w:rPr>
                <w:sz w:val="16"/>
                <w:szCs w:val="16"/>
              </w:rPr>
            </w:pPr>
            <w:r w:rsidRPr="00471CBA">
              <w:rPr>
                <w:sz w:val="15"/>
                <w:szCs w:val="15"/>
              </w:rPr>
              <w:t>-</w:t>
            </w:r>
          </w:p>
        </w:tc>
        <w:tc>
          <w:tcPr>
            <w:tcW w:w="1426" w:type="dxa"/>
            <w:vAlign w:val="bottom"/>
          </w:tcPr>
          <w:p w14:paraId="38B3352C" w14:textId="4A926788" w:rsidR="00E80D19" w:rsidRPr="00471CBA" w:rsidRDefault="00E80D19" w:rsidP="00F36B82">
            <w:pPr>
              <w:ind w:right="-42"/>
              <w:jc w:val="right"/>
              <w:rPr>
                <w:sz w:val="16"/>
                <w:szCs w:val="16"/>
              </w:rPr>
            </w:pPr>
            <w:r w:rsidRPr="00471CBA">
              <w:rPr>
                <w:sz w:val="15"/>
                <w:szCs w:val="15"/>
              </w:rPr>
              <w:t>-</w:t>
            </w:r>
          </w:p>
        </w:tc>
      </w:tr>
      <w:tr w:rsidR="00E80D19" w:rsidRPr="00471CBA" w14:paraId="6111E8F2" w14:textId="77777777" w:rsidTr="003A558E">
        <w:trPr>
          <w:trHeight w:val="20"/>
        </w:trPr>
        <w:tc>
          <w:tcPr>
            <w:tcW w:w="2407" w:type="dxa"/>
            <w:vAlign w:val="bottom"/>
            <w:hideMark/>
          </w:tcPr>
          <w:p w14:paraId="338746ED" w14:textId="77777777" w:rsidR="00E80D19" w:rsidRPr="00471CBA" w:rsidRDefault="00E80D19" w:rsidP="00E80D19">
            <w:pPr>
              <w:rPr>
                <w:color w:val="000000"/>
                <w:sz w:val="15"/>
                <w:szCs w:val="15"/>
              </w:rPr>
            </w:pPr>
            <w:r w:rsidRPr="00471CBA">
              <w:rPr>
                <w:color w:val="000000"/>
                <w:sz w:val="15"/>
                <w:szCs w:val="15"/>
              </w:rPr>
              <w:t>İtfa Edilmiş Maliyeti ile Ölçülen Finansal Varlıklar</w:t>
            </w:r>
          </w:p>
        </w:tc>
        <w:tc>
          <w:tcPr>
            <w:tcW w:w="1264" w:type="dxa"/>
            <w:vAlign w:val="bottom"/>
          </w:tcPr>
          <w:p w14:paraId="67B8C724" w14:textId="61DA05B2" w:rsidR="00E80D19" w:rsidRPr="00471CBA" w:rsidRDefault="00E80D19" w:rsidP="00F36B82">
            <w:pPr>
              <w:ind w:right="-42"/>
              <w:jc w:val="right"/>
              <w:rPr>
                <w:color w:val="000000"/>
                <w:sz w:val="16"/>
                <w:szCs w:val="16"/>
              </w:rPr>
            </w:pPr>
            <w:r w:rsidRPr="00471CBA">
              <w:rPr>
                <w:sz w:val="15"/>
                <w:szCs w:val="15"/>
              </w:rPr>
              <w:t>391.310</w:t>
            </w:r>
          </w:p>
        </w:tc>
        <w:tc>
          <w:tcPr>
            <w:tcW w:w="1105" w:type="dxa"/>
            <w:vAlign w:val="bottom"/>
          </w:tcPr>
          <w:p w14:paraId="36BC9023" w14:textId="5B10C39A" w:rsidR="00E80D19" w:rsidRPr="00471CBA" w:rsidRDefault="00E80D19" w:rsidP="00F36B82">
            <w:pPr>
              <w:ind w:right="-42"/>
              <w:jc w:val="right"/>
              <w:rPr>
                <w:color w:val="000000"/>
                <w:sz w:val="16"/>
                <w:szCs w:val="16"/>
              </w:rPr>
            </w:pPr>
            <w:r w:rsidRPr="00471CBA">
              <w:rPr>
                <w:sz w:val="15"/>
                <w:szCs w:val="15"/>
              </w:rPr>
              <w:t>391.310</w:t>
            </w:r>
          </w:p>
        </w:tc>
        <w:tc>
          <w:tcPr>
            <w:tcW w:w="1134" w:type="dxa"/>
            <w:vAlign w:val="bottom"/>
          </w:tcPr>
          <w:p w14:paraId="7AF2634E" w14:textId="2D96B5E0" w:rsidR="00E80D19" w:rsidRPr="00471CBA" w:rsidRDefault="00E80D19" w:rsidP="00F36B82">
            <w:pPr>
              <w:ind w:right="-42"/>
              <w:jc w:val="right"/>
              <w:rPr>
                <w:sz w:val="16"/>
                <w:szCs w:val="16"/>
              </w:rPr>
            </w:pPr>
            <w:r w:rsidRPr="00471CBA">
              <w:rPr>
                <w:sz w:val="15"/>
                <w:szCs w:val="15"/>
              </w:rPr>
              <w:t>-</w:t>
            </w:r>
          </w:p>
        </w:tc>
        <w:tc>
          <w:tcPr>
            <w:tcW w:w="1276" w:type="dxa"/>
            <w:vAlign w:val="bottom"/>
          </w:tcPr>
          <w:p w14:paraId="3FD8AA50" w14:textId="795E84ED" w:rsidR="00E80D19" w:rsidRPr="00471CBA" w:rsidRDefault="00E80D19" w:rsidP="00F36B82">
            <w:pPr>
              <w:ind w:right="-42"/>
              <w:jc w:val="right"/>
              <w:rPr>
                <w:sz w:val="16"/>
                <w:szCs w:val="16"/>
              </w:rPr>
            </w:pPr>
            <w:r w:rsidRPr="00471CBA">
              <w:rPr>
                <w:sz w:val="15"/>
                <w:szCs w:val="15"/>
              </w:rPr>
              <w:t>-</w:t>
            </w:r>
          </w:p>
        </w:tc>
        <w:tc>
          <w:tcPr>
            <w:tcW w:w="1048" w:type="dxa"/>
            <w:vAlign w:val="bottom"/>
          </w:tcPr>
          <w:p w14:paraId="760A8604" w14:textId="3A8A5B4B" w:rsidR="00E80D19" w:rsidRPr="00471CBA" w:rsidRDefault="00E80D19" w:rsidP="00F36B82">
            <w:pPr>
              <w:ind w:right="-42"/>
              <w:jc w:val="right"/>
              <w:rPr>
                <w:sz w:val="16"/>
                <w:szCs w:val="16"/>
              </w:rPr>
            </w:pPr>
            <w:r w:rsidRPr="00471CBA">
              <w:rPr>
                <w:sz w:val="15"/>
                <w:szCs w:val="15"/>
              </w:rPr>
              <w:t>-</w:t>
            </w:r>
          </w:p>
        </w:tc>
        <w:tc>
          <w:tcPr>
            <w:tcW w:w="1426" w:type="dxa"/>
            <w:vAlign w:val="bottom"/>
          </w:tcPr>
          <w:p w14:paraId="0CC4482F" w14:textId="074748F4" w:rsidR="00E80D19" w:rsidRPr="00471CBA" w:rsidRDefault="00E80D19" w:rsidP="00F36B82">
            <w:pPr>
              <w:ind w:right="-42"/>
              <w:jc w:val="right"/>
              <w:rPr>
                <w:sz w:val="16"/>
                <w:szCs w:val="16"/>
              </w:rPr>
            </w:pPr>
            <w:r w:rsidRPr="00471CBA">
              <w:rPr>
                <w:sz w:val="15"/>
                <w:szCs w:val="15"/>
              </w:rPr>
              <w:t>-</w:t>
            </w:r>
          </w:p>
        </w:tc>
      </w:tr>
      <w:tr w:rsidR="00E80D19" w:rsidRPr="00471CBA" w14:paraId="5A785480" w14:textId="77777777" w:rsidTr="003A558E">
        <w:trPr>
          <w:trHeight w:val="20"/>
        </w:trPr>
        <w:tc>
          <w:tcPr>
            <w:tcW w:w="2407" w:type="dxa"/>
            <w:vAlign w:val="bottom"/>
            <w:hideMark/>
          </w:tcPr>
          <w:p w14:paraId="07227CC3" w14:textId="77777777" w:rsidR="00E80D19" w:rsidRPr="00471CBA" w:rsidRDefault="00E80D19" w:rsidP="00E80D19">
            <w:pPr>
              <w:rPr>
                <w:color w:val="000000"/>
                <w:sz w:val="15"/>
                <w:szCs w:val="15"/>
              </w:rPr>
            </w:pPr>
            <w:r w:rsidRPr="00471CBA">
              <w:rPr>
                <w:color w:val="000000"/>
                <w:sz w:val="15"/>
                <w:szCs w:val="15"/>
              </w:rPr>
              <w:t>Türev Finansal Varlıklar</w:t>
            </w:r>
          </w:p>
        </w:tc>
        <w:tc>
          <w:tcPr>
            <w:tcW w:w="1264" w:type="dxa"/>
            <w:vAlign w:val="bottom"/>
          </w:tcPr>
          <w:p w14:paraId="5118E715" w14:textId="59A4BE49" w:rsidR="00E80D19" w:rsidRPr="00471CBA" w:rsidRDefault="00E80D19" w:rsidP="00F36B82">
            <w:pPr>
              <w:ind w:right="-42"/>
              <w:jc w:val="right"/>
              <w:rPr>
                <w:color w:val="000000"/>
                <w:sz w:val="16"/>
                <w:szCs w:val="16"/>
              </w:rPr>
            </w:pPr>
            <w:r w:rsidRPr="00471CBA">
              <w:rPr>
                <w:sz w:val="15"/>
                <w:szCs w:val="15"/>
              </w:rPr>
              <w:t>22.274</w:t>
            </w:r>
          </w:p>
        </w:tc>
        <w:tc>
          <w:tcPr>
            <w:tcW w:w="1105" w:type="dxa"/>
            <w:vAlign w:val="bottom"/>
          </w:tcPr>
          <w:p w14:paraId="4365EAD8" w14:textId="4367DC68" w:rsidR="00E80D19" w:rsidRPr="00471CBA" w:rsidRDefault="00E80D19" w:rsidP="00F36B82">
            <w:pPr>
              <w:ind w:right="-42"/>
              <w:jc w:val="right"/>
              <w:rPr>
                <w:color w:val="000000"/>
                <w:sz w:val="16"/>
                <w:szCs w:val="16"/>
              </w:rPr>
            </w:pPr>
            <w:r w:rsidRPr="00471CBA">
              <w:rPr>
                <w:sz w:val="15"/>
                <w:szCs w:val="15"/>
              </w:rPr>
              <w:t>22.274</w:t>
            </w:r>
          </w:p>
        </w:tc>
        <w:tc>
          <w:tcPr>
            <w:tcW w:w="1134" w:type="dxa"/>
            <w:vAlign w:val="bottom"/>
          </w:tcPr>
          <w:p w14:paraId="37EF2E9F" w14:textId="6C1E4698" w:rsidR="00E80D19" w:rsidRPr="00471CBA" w:rsidRDefault="00E80D19" w:rsidP="00F36B82">
            <w:pPr>
              <w:ind w:right="-42"/>
              <w:jc w:val="right"/>
              <w:rPr>
                <w:color w:val="000000"/>
                <w:sz w:val="16"/>
                <w:szCs w:val="16"/>
              </w:rPr>
            </w:pPr>
            <w:r w:rsidRPr="00471CBA">
              <w:rPr>
                <w:sz w:val="15"/>
                <w:szCs w:val="15"/>
              </w:rPr>
              <w:t>22.274</w:t>
            </w:r>
          </w:p>
        </w:tc>
        <w:tc>
          <w:tcPr>
            <w:tcW w:w="1276" w:type="dxa"/>
            <w:vAlign w:val="bottom"/>
          </w:tcPr>
          <w:p w14:paraId="6DDC4E8B" w14:textId="3B30DA7B" w:rsidR="00E80D19" w:rsidRPr="00471CBA" w:rsidRDefault="00E80D19" w:rsidP="00F36B82">
            <w:pPr>
              <w:ind w:right="-42"/>
              <w:jc w:val="right"/>
              <w:rPr>
                <w:color w:val="000000"/>
                <w:sz w:val="16"/>
                <w:szCs w:val="16"/>
              </w:rPr>
            </w:pPr>
            <w:r w:rsidRPr="00471CBA">
              <w:rPr>
                <w:sz w:val="15"/>
                <w:szCs w:val="15"/>
              </w:rPr>
              <w:t>-</w:t>
            </w:r>
          </w:p>
        </w:tc>
        <w:tc>
          <w:tcPr>
            <w:tcW w:w="1048" w:type="dxa"/>
            <w:vAlign w:val="bottom"/>
          </w:tcPr>
          <w:p w14:paraId="37BE20F5" w14:textId="4913E884" w:rsidR="00E80D19" w:rsidRPr="00471CBA" w:rsidRDefault="00E80D19" w:rsidP="00F36B82">
            <w:pPr>
              <w:ind w:right="-42"/>
              <w:jc w:val="right"/>
              <w:rPr>
                <w:color w:val="000000"/>
                <w:sz w:val="16"/>
                <w:szCs w:val="16"/>
              </w:rPr>
            </w:pPr>
            <w:r w:rsidRPr="00471CBA">
              <w:rPr>
                <w:sz w:val="15"/>
                <w:szCs w:val="15"/>
              </w:rPr>
              <w:t>-</w:t>
            </w:r>
          </w:p>
        </w:tc>
        <w:tc>
          <w:tcPr>
            <w:tcW w:w="1426" w:type="dxa"/>
            <w:vAlign w:val="bottom"/>
          </w:tcPr>
          <w:p w14:paraId="14033797" w14:textId="7B3926DE" w:rsidR="00E80D19" w:rsidRPr="00471CBA" w:rsidRDefault="00E80D19" w:rsidP="00F36B82">
            <w:pPr>
              <w:ind w:right="-42"/>
              <w:jc w:val="right"/>
              <w:rPr>
                <w:color w:val="000000"/>
                <w:sz w:val="16"/>
                <w:szCs w:val="16"/>
              </w:rPr>
            </w:pPr>
            <w:r w:rsidRPr="00471CBA">
              <w:rPr>
                <w:sz w:val="15"/>
                <w:szCs w:val="15"/>
              </w:rPr>
              <w:t>-</w:t>
            </w:r>
          </w:p>
        </w:tc>
      </w:tr>
      <w:tr w:rsidR="00E80D19" w:rsidRPr="00471CBA" w14:paraId="2B371D87" w14:textId="77777777" w:rsidTr="003A558E">
        <w:trPr>
          <w:trHeight w:val="20"/>
        </w:trPr>
        <w:tc>
          <w:tcPr>
            <w:tcW w:w="2407" w:type="dxa"/>
            <w:vAlign w:val="bottom"/>
            <w:hideMark/>
          </w:tcPr>
          <w:p w14:paraId="262979C4" w14:textId="77777777" w:rsidR="00E80D19" w:rsidRPr="00471CBA" w:rsidRDefault="00E80D19" w:rsidP="00E80D19">
            <w:pPr>
              <w:rPr>
                <w:color w:val="000000"/>
                <w:sz w:val="15"/>
                <w:szCs w:val="15"/>
              </w:rPr>
            </w:pPr>
            <w:r w:rsidRPr="00471CBA">
              <w:rPr>
                <w:color w:val="000000"/>
                <w:sz w:val="15"/>
                <w:szCs w:val="15"/>
              </w:rPr>
              <w:t>Beklenen Zarar Karşılıkları (-)</w:t>
            </w:r>
          </w:p>
        </w:tc>
        <w:tc>
          <w:tcPr>
            <w:tcW w:w="1264" w:type="dxa"/>
            <w:vAlign w:val="bottom"/>
          </w:tcPr>
          <w:p w14:paraId="20312188" w14:textId="586AC2EC" w:rsidR="00E80D19" w:rsidRPr="00471CBA" w:rsidRDefault="00E80D19" w:rsidP="00F36B82">
            <w:pPr>
              <w:ind w:right="-42"/>
              <w:jc w:val="right"/>
              <w:rPr>
                <w:color w:val="000000"/>
                <w:sz w:val="16"/>
                <w:szCs w:val="16"/>
              </w:rPr>
            </w:pPr>
            <w:r w:rsidRPr="00471CBA">
              <w:rPr>
                <w:sz w:val="15"/>
                <w:szCs w:val="15"/>
              </w:rPr>
              <w:t>-</w:t>
            </w:r>
          </w:p>
        </w:tc>
        <w:tc>
          <w:tcPr>
            <w:tcW w:w="1105" w:type="dxa"/>
            <w:vAlign w:val="bottom"/>
          </w:tcPr>
          <w:p w14:paraId="17E02345" w14:textId="1E13EF21" w:rsidR="00E80D19" w:rsidRPr="00471CBA" w:rsidRDefault="00E80D19" w:rsidP="00F36B82">
            <w:pPr>
              <w:ind w:right="-42"/>
              <w:jc w:val="right"/>
              <w:rPr>
                <w:color w:val="000000"/>
                <w:sz w:val="16"/>
                <w:szCs w:val="16"/>
              </w:rPr>
            </w:pPr>
            <w:r w:rsidRPr="00471CBA">
              <w:rPr>
                <w:sz w:val="15"/>
                <w:szCs w:val="15"/>
              </w:rPr>
              <w:t>-</w:t>
            </w:r>
          </w:p>
        </w:tc>
        <w:tc>
          <w:tcPr>
            <w:tcW w:w="1134" w:type="dxa"/>
            <w:vAlign w:val="bottom"/>
          </w:tcPr>
          <w:p w14:paraId="0CB5BEC6" w14:textId="380A9D47" w:rsidR="00E80D19" w:rsidRPr="00471CBA" w:rsidRDefault="00E80D19" w:rsidP="00F36B82">
            <w:pPr>
              <w:ind w:right="-42"/>
              <w:jc w:val="right"/>
              <w:rPr>
                <w:sz w:val="16"/>
                <w:szCs w:val="16"/>
              </w:rPr>
            </w:pPr>
            <w:r w:rsidRPr="00471CBA">
              <w:rPr>
                <w:sz w:val="15"/>
                <w:szCs w:val="15"/>
              </w:rPr>
              <w:t>-</w:t>
            </w:r>
          </w:p>
        </w:tc>
        <w:tc>
          <w:tcPr>
            <w:tcW w:w="1276" w:type="dxa"/>
            <w:vAlign w:val="bottom"/>
          </w:tcPr>
          <w:p w14:paraId="336467F4" w14:textId="68D5C262" w:rsidR="00E80D19" w:rsidRPr="00471CBA" w:rsidRDefault="00E80D19" w:rsidP="00F36B82">
            <w:pPr>
              <w:ind w:right="-42"/>
              <w:jc w:val="right"/>
              <w:rPr>
                <w:sz w:val="16"/>
                <w:szCs w:val="16"/>
              </w:rPr>
            </w:pPr>
            <w:r w:rsidRPr="00471CBA">
              <w:rPr>
                <w:sz w:val="15"/>
                <w:szCs w:val="15"/>
              </w:rPr>
              <w:t>-</w:t>
            </w:r>
          </w:p>
        </w:tc>
        <w:tc>
          <w:tcPr>
            <w:tcW w:w="1048" w:type="dxa"/>
            <w:vAlign w:val="bottom"/>
          </w:tcPr>
          <w:p w14:paraId="2DF4D40F" w14:textId="6BAE7340" w:rsidR="00E80D19" w:rsidRPr="00471CBA" w:rsidRDefault="00E80D19" w:rsidP="00F36B82">
            <w:pPr>
              <w:ind w:right="-42"/>
              <w:jc w:val="right"/>
              <w:rPr>
                <w:sz w:val="16"/>
                <w:szCs w:val="16"/>
              </w:rPr>
            </w:pPr>
            <w:r w:rsidRPr="00471CBA">
              <w:rPr>
                <w:sz w:val="15"/>
                <w:szCs w:val="15"/>
              </w:rPr>
              <w:t>-</w:t>
            </w:r>
          </w:p>
        </w:tc>
        <w:tc>
          <w:tcPr>
            <w:tcW w:w="1426" w:type="dxa"/>
            <w:vAlign w:val="bottom"/>
          </w:tcPr>
          <w:p w14:paraId="247803D1" w14:textId="6EDBEE0F" w:rsidR="00E80D19" w:rsidRPr="00471CBA" w:rsidRDefault="00E80D19" w:rsidP="00F36B82">
            <w:pPr>
              <w:ind w:right="-42"/>
              <w:jc w:val="right"/>
              <w:rPr>
                <w:color w:val="000000"/>
                <w:sz w:val="16"/>
                <w:szCs w:val="16"/>
              </w:rPr>
            </w:pPr>
            <w:r w:rsidRPr="00471CBA">
              <w:rPr>
                <w:sz w:val="15"/>
                <w:szCs w:val="15"/>
              </w:rPr>
              <w:t>-</w:t>
            </w:r>
          </w:p>
        </w:tc>
      </w:tr>
      <w:tr w:rsidR="00E80D19" w:rsidRPr="00471CBA" w14:paraId="61EB002B" w14:textId="77777777" w:rsidTr="003A558E">
        <w:trPr>
          <w:trHeight w:val="20"/>
        </w:trPr>
        <w:tc>
          <w:tcPr>
            <w:tcW w:w="2407" w:type="dxa"/>
            <w:vAlign w:val="bottom"/>
            <w:hideMark/>
          </w:tcPr>
          <w:p w14:paraId="7C748B26" w14:textId="77777777" w:rsidR="00E80D19" w:rsidRPr="00471CBA" w:rsidRDefault="00E80D19" w:rsidP="00E80D19">
            <w:pPr>
              <w:rPr>
                <w:b/>
                <w:bCs/>
                <w:color w:val="000000"/>
                <w:sz w:val="15"/>
                <w:szCs w:val="15"/>
              </w:rPr>
            </w:pPr>
            <w:r w:rsidRPr="00471CBA">
              <w:rPr>
                <w:b/>
                <w:bCs/>
                <w:color w:val="000000"/>
                <w:sz w:val="15"/>
                <w:szCs w:val="15"/>
              </w:rPr>
              <w:t>KREDİLER (Net)</w:t>
            </w:r>
          </w:p>
        </w:tc>
        <w:tc>
          <w:tcPr>
            <w:tcW w:w="1264" w:type="dxa"/>
            <w:vAlign w:val="bottom"/>
          </w:tcPr>
          <w:p w14:paraId="1E0B191B" w14:textId="2E033E47" w:rsidR="00E80D19" w:rsidRPr="00471CBA" w:rsidRDefault="00E80D19" w:rsidP="00F36B82">
            <w:pPr>
              <w:ind w:right="-42"/>
              <w:jc w:val="right"/>
              <w:rPr>
                <w:b/>
                <w:color w:val="000000"/>
                <w:sz w:val="16"/>
                <w:szCs w:val="16"/>
              </w:rPr>
            </w:pPr>
            <w:r w:rsidRPr="00471CBA">
              <w:rPr>
                <w:sz w:val="15"/>
                <w:szCs w:val="15"/>
              </w:rPr>
              <w:t>23.033.822</w:t>
            </w:r>
          </w:p>
        </w:tc>
        <w:tc>
          <w:tcPr>
            <w:tcW w:w="1105" w:type="dxa"/>
            <w:vAlign w:val="bottom"/>
          </w:tcPr>
          <w:p w14:paraId="2ACEF4A8" w14:textId="32AD7C24" w:rsidR="00E80D19" w:rsidRPr="00471CBA" w:rsidRDefault="00E80D19" w:rsidP="00F36B82">
            <w:pPr>
              <w:ind w:right="-42"/>
              <w:jc w:val="right"/>
              <w:rPr>
                <w:b/>
                <w:color w:val="000000"/>
                <w:sz w:val="16"/>
                <w:szCs w:val="16"/>
              </w:rPr>
            </w:pPr>
            <w:r w:rsidRPr="00471CBA">
              <w:rPr>
                <w:sz w:val="15"/>
                <w:szCs w:val="15"/>
              </w:rPr>
              <w:t>23.033.822</w:t>
            </w:r>
          </w:p>
        </w:tc>
        <w:tc>
          <w:tcPr>
            <w:tcW w:w="1134" w:type="dxa"/>
            <w:vAlign w:val="bottom"/>
          </w:tcPr>
          <w:p w14:paraId="608C8E52" w14:textId="090EC7D0" w:rsidR="00E80D19" w:rsidRPr="00471CBA" w:rsidRDefault="00E80D19" w:rsidP="00F36B82">
            <w:pPr>
              <w:ind w:right="-42"/>
              <w:jc w:val="right"/>
              <w:rPr>
                <w:b/>
                <w:sz w:val="16"/>
                <w:szCs w:val="16"/>
              </w:rPr>
            </w:pPr>
            <w:r w:rsidRPr="00471CBA">
              <w:rPr>
                <w:sz w:val="15"/>
                <w:szCs w:val="15"/>
              </w:rPr>
              <w:t>-</w:t>
            </w:r>
          </w:p>
        </w:tc>
        <w:tc>
          <w:tcPr>
            <w:tcW w:w="1276" w:type="dxa"/>
            <w:vAlign w:val="bottom"/>
          </w:tcPr>
          <w:p w14:paraId="0B3CCFF6" w14:textId="7D5B1F41" w:rsidR="00E80D19" w:rsidRPr="00471CBA" w:rsidRDefault="00E80D19" w:rsidP="00F36B82">
            <w:pPr>
              <w:ind w:right="-42"/>
              <w:jc w:val="right"/>
              <w:rPr>
                <w:b/>
                <w:sz w:val="16"/>
                <w:szCs w:val="16"/>
              </w:rPr>
            </w:pPr>
            <w:r w:rsidRPr="00471CBA">
              <w:rPr>
                <w:sz w:val="15"/>
                <w:szCs w:val="15"/>
              </w:rPr>
              <w:t>-</w:t>
            </w:r>
          </w:p>
        </w:tc>
        <w:tc>
          <w:tcPr>
            <w:tcW w:w="1048" w:type="dxa"/>
            <w:vAlign w:val="bottom"/>
          </w:tcPr>
          <w:p w14:paraId="3702C09F" w14:textId="27DC6D3A" w:rsidR="00E80D19" w:rsidRPr="00471CBA" w:rsidRDefault="00E80D19" w:rsidP="00F36B82">
            <w:pPr>
              <w:ind w:right="-42"/>
              <w:jc w:val="right"/>
              <w:rPr>
                <w:b/>
                <w:sz w:val="16"/>
                <w:szCs w:val="16"/>
              </w:rPr>
            </w:pPr>
            <w:r w:rsidRPr="00471CBA">
              <w:rPr>
                <w:sz w:val="15"/>
                <w:szCs w:val="15"/>
              </w:rPr>
              <w:t>-</w:t>
            </w:r>
          </w:p>
        </w:tc>
        <w:tc>
          <w:tcPr>
            <w:tcW w:w="1426" w:type="dxa"/>
            <w:vAlign w:val="bottom"/>
          </w:tcPr>
          <w:p w14:paraId="7FA46CB3" w14:textId="7C9CBAC2" w:rsidR="00E80D19" w:rsidRPr="00471CBA" w:rsidRDefault="00E80D19" w:rsidP="00F36B82">
            <w:pPr>
              <w:ind w:right="-42"/>
              <w:jc w:val="right"/>
              <w:rPr>
                <w:b/>
                <w:color w:val="000000"/>
                <w:sz w:val="16"/>
                <w:szCs w:val="16"/>
              </w:rPr>
            </w:pPr>
            <w:r w:rsidRPr="00471CBA">
              <w:rPr>
                <w:sz w:val="15"/>
                <w:szCs w:val="15"/>
              </w:rPr>
              <w:t>-</w:t>
            </w:r>
          </w:p>
        </w:tc>
      </w:tr>
      <w:tr w:rsidR="00E80D19" w:rsidRPr="00471CBA" w14:paraId="3D6B0D03" w14:textId="77777777" w:rsidTr="003A558E">
        <w:trPr>
          <w:trHeight w:val="20"/>
        </w:trPr>
        <w:tc>
          <w:tcPr>
            <w:tcW w:w="2407" w:type="dxa"/>
            <w:vAlign w:val="bottom"/>
            <w:hideMark/>
          </w:tcPr>
          <w:p w14:paraId="0F725641" w14:textId="77777777" w:rsidR="00E80D19" w:rsidRPr="00471CBA" w:rsidRDefault="00E80D19" w:rsidP="00E80D19">
            <w:pPr>
              <w:rPr>
                <w:color w:val="000000"/>
                <w:sz w:val="15"/>
                <w:szCs w:val="15"/>
              </w:rPr>
            </w:pPr>
            <w:r w:rsidRPr="00471CBA">
              <w:rPr>
                <w:color w:val="000000"/>
                <w:sz w:val="15"/>
                <w:szCs w:val="15"/>
              </w:rPr>
              <w:t xml:space="preserve">Krediler </w:t>
            </w:r>
          </w:p>
        </w:tc>
        <w:tc>
          <w:tcPr>
            <w:tcW w:w="1264" w:type="dxa"/>
            <w:vAlign w:val="bottom"/>
          </w:tcPr>
          <w:p w14:paraId="3063ACEB" w14:textId="090E6950" w:rsidR="00E80D19" w:rsidRPr="00471CBA" w:rsidRDefault="00E80D19" w:rsidP="00F36B82">
            <w:pPr>
              <w:ind w:right="-42"/>
              <w:jc w:val="right"/>
              <w:rPr>
                <w:color w:val="000000"/>
                <w:sz w:val="16"/>
                <w:szCs w:val="16"/>
              </w:rPr>
            </w:pPr>
            <w:r w:rsidRPr="00471CBA">
              <w:rPr>
                <w:sz w:val="15"/>
                <w:szCs w:val="15"/>
              </w:rPr>
              <w:t>23.029.459</w:t>
            </w:r>
          </w:p>
        </w:tc>
        <w:tc>
          <w:tcPr>
            <w:tcW w:w="1105" w:type="dxa"/>
            <w:vAlign w:val="bottom"/>
          </w:tcPr>
          <w:p w14:paraId="7AED7AC6" w14:textId="31EF9940" w:rsidR="00E80D19" w:rsidRPr="00471CBA" w:rsidRDefault="00E80D19" w:rsidP="00F36B82">
            <w:pPr>
              <w:ind w:right="-42"/>
              <w:jc w:val="right"/>
              <w:rPr>
                <w:color w:val="000000"/>
                <w:sz w:val="16"/>
                <w:szCs w:val="16"/>
              </w:rPr>
            </w:pPr>
            <w:r w:rsidRPr="00471CBA">
              <w:rPr>
                <w:sz w:val="15"/>
                <w:szCs w:val="15"/>
              </w:rPr>
              <w:t>23.029.459</w:t>
            </w:r>
          </w:p>
        </w:tc>
        <w:tc>
          <w:tcPr>
            <w:tcW w:w="1134" w:type="dxa"/>
            <w:vAlign w:val="bottom"/>
          </w:tcPr>
          <w:p w14:paraId="038C021B" w14:textId="02FE00FA" w:rsidR="00E80D19" w:rsidRPr="00471CBA" w:rsidRDefault="00E80D19" w:rsidP="00F36B82">
            <w:pPr>
              <w:ind w:right="-42"/>
              <w:jc w:val="right"/>
              <w:rPr>
                <w:sz w:val="16"/>
                <w:szCs w:val="16"/>
              </w:rPr>
            </w:pPr>
            <w:r w:rsidRPr="00471CBA">
              <w:rPr>
                <w:sz w:val="15"/>
                <w:szCs w:val="15"/>
              </w:rPr>
              <w:t>-</w:t>
            </w:r>
          </w:p>
        </w:tc>
        <w:tc>
          <w:tcPr>
            <w:tcW w:w="1276" w:type="dxa"/>
            <w:vAlign w:val="bottom"/>
          </w:tcPr>
          <w:p w14:paraId="2D39892C" w14:textId="4DE19872" w:rsidR="00E80D19" w:rsidRPr="00471CBA" w:rsidRDefault="00E80D19" w:rsidP="00F36B82">
            <w:pPr>
              <w:ind w:right="-42"/>
              <w:jc w:val="right"/>
              <w:rPr>
                <w:sz w:val="16"/>
                <w:szCs w:val="16"/>
              </w:rPr>
            </w:pPr>
            <w:r w:rsidRPr="00471CBA">
              <w:rPr>
                <w:sz w:val="15"/>
                <w:szCs w:val="15"/>
              </w:rPr>
              <w:t>-</w:t>
            </w:r>
          </w:p>
        </w:tc>
        <w:tc>
          <w:tcPr>
            <w:tcW w:w="1048" w:type="dxa"/>
            <w:vAlign w:val="bottom"/>
          </w:tcPr>
          <w:p w14:paraId="13501BC7" w14:textId="04F9158F" w:rsidR="00E80D19" w:rsidRPr="00471CBA" w:rsidRDefault="00E80D19" w:rsidP="00F36B82">
            <w:pPr>
              <w:ind w:right="-42"/>
              <w:jc w:val="right"/>
              <w:rPr>
                <w:sz w:val="16"/>
                <w:szCs w:val="16"/>
              </w:rPr>
            </w:pPr>
            <w:r w:rsidRPr="00471CBA">
              <w:rPr>
                <w:sz w:val="15"/>
                <w:szCs w:val="15"/>
              </w:rPr>
              <w:t>-</w:t>
            </w:r>
          </w:p>
        </w:tc>
        <w:tc>
          <w:tcPr>
            <w:tcW w:w="1426" w:type="dxa"/>
            <w:vAlign w:val="bottom"/>
          </w:tcPr>
          <w:p w14:paraId="03465D04" w14:textId="013EC176" w:rsidR="00E80D19" w:rsidRPr="00471CBA" w:rsidRDefault="00E80D19" w:rsidP="00F36B82">
            <w:pPr>
              <w:ind w:right="-42"/>
              <w:jc w:val="right"/>
              <w:rPr>
                <w:color w:val="000000"/>
                <w:sz w:val="16"/>
                <w:szCs w:val="16"/>
              </w:rPr>
            </w:pPr>
            <w:r w:rsidRPr="00471CBA">
              <w:rPr>
                <w:sz w:val="15"/>
                <w:szCs w:val="15"/>
              </w:rPr>
              <w:t>-</w:t>
            </w:r>
          </w:p>
        </w:tc>
      </w:tr>
      <w:tr w:rsidR="00E80D19" w:rsidRPr="00471CBA" w14:paraId="21560AF8" w14:textId="77777777" w:rsidTr="003A558E">
        <w:trPr>
          <w:trHeight w:val="20"/>
        </w:trPr>
        <w:tc>
          <w:tcPr>
            <w:tcW w:w="2407" w:type="dxa"/>
            <w:vAlign w:val="bottom"/>
            <w:hideMark/>
          </w:tcPr>
          <w:p w14:paraId="4EDF0C86" w14:textId="77777777" w:rsidR="00E80D19" w:rsidRPr="00471CBA" w:rsidRDefault="00E80D19" w:rsidP="00E80D19">
            <w:pPr>
              <w:rPr>
                <w:color w:val="000000"/>
                <w:sz w:val="15"/>
                <w:szCs w:val="15"/>
              </w:rPr>
            </w:pPr>
            <w:r w:rsidRPr="00471CBA">
              <w:rPr>
                <w:color w:val="000000"/>
                <w:sz w:val="15"/>
                <w:szCs w:val="15"/>
              </w:rPr>
              <w:t>Kiralama İşlemlerinden Alacaklar</w:t>
            </w:r>
          </w:p>
        </w:tc>
        <w:tc>
          <w:tcPr>
            <w:tcW w:w="1264" w:type="dxa"/>
            <w:vAlign w:val="bottom"/>
          </w:tcPr>
          <w:p w14:paraId="5DF058C1" w14:textId="42EE419C" w:rsidR="00E80D19" w:rsidRPr="00471CBA" w:rsidRDefault="00E80D19" w:rsidP="00F36B82">
            <w:pPr>
              <w:ind w:right="-42"/>
              <w:jc w:val="right"/>
              <w:rPr>
                <w:color w:val="000000"/>
                <w:sz w:val="16"/>
                <w:szCs w:val="16"/>
              </w:rPr>
            </w:pPr>
            <w:r w:rsidRPr="00471CBA">
              <w:rPr>
                <w:sz w:val="15"/>
                <w:szCs w:val="15"/>
              </w:rPr>
              <w:t>4.363</w:t>
            </w:r>
          </w:p>
        </w:tc>
        <w:tc>
          <w:tcPr>
            <w:tcW w:w="1105" w:type="dxa"/>
            <w:vAlign w:val="bottom"/>
          </w:tcPr>
          <w:p w14:paraId="6889C96A" w14:textId="4BF6171D" w:rsidR="00E80D19" w:rsidRPr="00471CBA" w:rsidRDefault="00E80D19" w:rsidP="00F36B82">
            <w:pPr>
              <w:ind w:right="-42"/>
              <w:jc w:val="right"/>
              <w:rPr>
                <w:color w:val="000000"/>
                <w:sz w:val="16"/>
                <w:szCs w:val="16"/>
              </w:rPr>
            </w:pPr>
            <w:r w:rsidRPr="00471CBA">
              <w:rPr>
                <w:sz w:val="15"/>
                <w:szCs w:val="15"/>
              </w:rPr>
              <w:t>4.363</w:t>
            </w:r>
          </w:p>
        </w:tc>
        <w:tc>
          <w:tcPr>
            <w:tcW w:w="1134" w:type="dxa"/>
            <w:vAlign w:val="bottom"/>
          </w:tcPr>
          <w:p w14:paraId="0900D787" w14:textId="7897DD73" w:rsidR="00E80D19" w:rsidRPr="00471CBA" w:rsidRDefault="00E80D19" w:rsidP="00F36B82">
            <w:pPr>
              <w:ind w:right="-42"/>
              <w:jc w:val="right"/>
              <w:rPr>
                <w:sz w:val="16"/>
                <w:szCs w:val="16"/>
              </w:rPr>
            </w:pPr>
            <w:r w:rsidRPr="00471CBA">
              <w:rPr>
                <w:sz w:val="15"/>
                <w:szCs w:val="15"/>
              </w:rPr>
              <w:t>-</w:t>
            </w:r>
          </w:p>
        </w:tc>
        <w:tc>
          <w:tcPr>
            <w:tcW w:w="1276" w:type="dxa"/>
            <w:vAlign w:val="bottom"/>
          </w:tcPr>
          <w:p w14:paraId="00591EBA" w14:textId="237D75B0" w:rsidR="00E80D19" w:rsidRPr="00471CBA" w:rsidRDefault="00E80D19" w:rsidP="00F36B82">
            <w:pPr>
              <w:ind w:right="-42"/>
              <w:jc w:val="right"/>
              <w:rPr>
                <w:sz w:val="16"/>
                <w:szCs w:val="16"/>
              </w:rPr>
            </w:pPr>
            <w:r w:rsidRPr="00471CBA">
              <w:rPr>
                <w:sz w:val="15"/>
                <w:szCs w:val="15"/>
              </w:rPr>
              <w:t>-</w:t>
            </w:r>
          </w:p>
        </w:tc>
        <w:tc>
          <w:tcPr>
            <w:tcW w:w="1048" w:type="dxa"/>
            <w:vAlign w:val="bottom"/>
          </w:tcPr>
          <w:p w14:paraId="75FC8063" w14:textId="0EABE50B" w:rsidR="00E80D19" w:rsidRPr="00471CBA" w:rsidRDefault="00E80D19" w:rsidP="00F36B82">
            <w:pPr>
              <w:ind w:right="-42"/>
              <w:jc w:val="right"/>
              <w:rPr>
                <w:sz w:val="16"/>
                <w:szCs w:val="16"/>
              </w:rPr>
            </w:pPr>
            <w:r w:rsidRPr="00471CBA">
              <w:rPr>
                <w:sz w:val="15"/>
                <w:szCs w:val="15"/>
              </w:rPr>
              <w:t>-</w:t>
            </w:r>
          </w:p>
        </w:tc>
        <w:tc>
          <w:tcPr>
            <w:tcW w:w="1426" w:type="dxa"/>
            <w:vAlign w:val="bottom"/>
          </w:tcPr>
          <w:p w14:paraId="72D6465B" w14:textId="59174FAE" w:rsidR="00E80D19" w:rsidRPr="00471CBA" w:rsidRDefault="00E80D19" w:rsidP="00F36B82">
            <w:pPr>
              <w:ind w:right="-42"/>
              <w:jc w:val="right"/>
              <w:rPr>
                <w:sz w:val="16"/>
                <w:szCs w:val="16"/>
              </w:rPr>
            </w:pPr>
            <w:r w:rsidRPr="00471CBA">
              <w:rPr>
                <w:sz w:val="15"/>
                <w:szCs w:val="15"/>
              </w:rPr>
              <w:t>-</w:t>
            </w:r>
          </w:p>
        </w:tc>
      </w:tr>
      <w:tr w:rsidR="00E80D19" w:rsidRPr="00471CBA" w14:paraId="050093B0" w14:textId="77777777" w:rsidTr="003A558E">
        <w:trPr>
          <w:trHeight w:val="20"/>
        </w:trPr>
        <w:tc>
          <w:tcPr>
            <w:tcW w:w="2407" w:type="dxa"/>
            <w:vAlign w:val="bottom"/>
            <w:hideMark/>
          </w:tcPr>
          <w:p w14:paraId="7CEF93F2" w14:textId="77777777" w:rsidR="00E80D19" w:rsidRPr="00471CBA" w:rsidRDefault="00E80D19" w:rsidP="00E80D19">
            <w:pPr>
              <w:rPr>
                <w:color w:val="000000"/>
                <w:sz w:val="15"/>
                <w:szCs w:val="15"/>
              </w:rPr>
            </w:pPr>
            <w:proofErr w:type="spellStart"/>
            <w:r w:rsidRPr="00471CBA">
              <w:rPr>
                <w:color w:val="000000"/>
                <w:sz w:val="15"/>
                <w:szCs w:val="15"/>
              </w:rPr>
              <w:t>Faktoring</w:t>
            </w:r>
            <w:proofErr w:type="spellEnd"/>
            <w:r w:rsidRPr="00471CBA">
              <w:rPr>
                <w:color w:val="000000"/>
                <w:sz w:val="15"/>
                <w:szCs w:val="15"/>
              </w:rPr>
              <w:t xml:space="preserve"> Alacakları</w:t>
            </w:r>
          </w:p>
        </w:tc>
        <w:tc>
          <w:tcPr>
            <w:tcW w:w="1264" w:type="dxa"/>
            <w:vAlign w:val="bottom"/>
          </w:tcPr>
          <w:p w14:paraId="0E0BB28A" w14:textId="5945E14A" w:rsidR="00E80D19" w:rsidRPr="00471CBA" w:rsidRDefault="00E80D19" w:rsidP="00F36B82">
            <w:pPr>
              <w:ind w:right="-42"/>
              <w:jc w:val="right"/>
              <w:rPr>
                <w:color w:val="000000"/>
                <w:sz w:val="16"/>
                <w:szCs w:val="16"/>
              </w:rPr>
            </w:pPr>
            <w:r w:rsidRPr="00471CBA">
              <w:rPr>
                <w:sz w:val="15"/>
                <w:szCs w:val="15"/>
              </w:rPr>
              <w:t>-</w:t>
            </w:r>
          </w:p>
        </w:tc>
        <w:tc>
          <w:tcPr>
            <w:tcW w:w="1105" w:type="dxa"/>
            <w:vAlign w:val="bottom"/>
          </w:tcPr>
          <w:p w14:paraId="71CD02EA" w14:textId="10D6C877" w:rsidR="00E80D19" w:rsidRPr="00471CBA" w:rsidRDefault="00E80D19" w:rsidP="00F36B82">
            <w:pPr>
              <w:ind w:right="-42"/>
              <w:jc w:val="right"/>
              <w:rPr>
                <w:color w:val="000000"/>
                <w:sz w:val="16"/>
                <w:szCs w:val="16"/>
              </w:rPr>
            </w:pPr>
            <w:r w:rsidRPr="00471CBA">
              <w:rPr>
                <w:sz w:val="15"/>
                <w:szCs w:val="15"/>
              </w:rPr>
              <w:t>-</w:t>
            </w:r>
          </w:p>
        </w:tc>
        <w:tc>
          <w:tcPr>
            <w:tcW w:w="1134" w:type="dxa"/>
            <w:vAlign w:val="bottom"/>
          </w:tcPr>
          <w:p w14:paraId="60F5C058" w14:textId="00F69334" w:rsidR="00E80D19" w:rsidRPr="00471CBA" w:rsidRDefault="00E80D19" w:rsidP="00F36B82">
            <w:pPr>
              <w:ind w:right="-42"/>
              <w:jc w:val="right"/>
              <w:rPr>
                <w:sz w:val="16"/>
                <w:szCs w:val="16"/>
              </w:rPr>
            </w:pPr>
            <w:r w:rsidRPr="00471CBA">
              <w:rPr>
                <w:sz w:val="15"/>
                <w:szCs w:val="15"/>
              </w:rPr>
              <w:t>-</w:t>
            </w:r>
          </w:p>
        </w:tc>
        <w:tc>
          <w:tcPr>
            <w:tcW w:w="1276" w:type="dxa"/>
            <w:vAlign w:val="bottom"/>
          </w:tcPr>
          <w:p w14:paraId="4EE0DB31" w14:textId="765E0D70" w:rsidR="00E80D19" w:rsidRPr="00471CBA" w:rsidRDefault="00E80D19" w:rsidP="00F36B82">
            <w:pPr>
              <w:ind w:right="-42"/>
              <w:jc w:val="right"/>
              <w:rPr>
                <w:sz w:val="16"/>
                <w:szCs w:val="16"/>
              </w:rPr>
            </w:pPr>
            <w:r w:rsidRPr="00471CBA">
              <w:rPr>
                <w:sz w:val="15"/>
                <w:szCs w:val="15"/>
              </w:rPr>
              <w:t>-</w:t>
            </w:r>
          </w:p>
        </w:tc>
        <w:tc>
          <w:tcPr>
            <w:tcW w:w="1048" w:type="dxa"/>
            <w:vAlign w:val="bottom"/>
          </w:tcPr>
          <w:p w14:paraId="2345BDDF" w14:textId="722EF48A" w:rsidR="00E80D19" w:rsidRPr="00471CBA" w:rsidRDefault="00E80D19" w:rsidP="00F36B82">
            <w:pPr>
              <w:ind w:right="-42"/>
              <w:jc w:val="right"/>
              <w:rPr>
                <w:sz w:val="16"/>
                <w:szCs w:val="16"/>
              </w:rPr>
            </w:pPr>
            <w:r w:rsidRPr="00471CBA">
              <w:rPr>
                <w:sz w:val="15"/>
                <w:szCs w:val="15"/>
              </w:rPr>
              <w:t>-</w:t>
            </w:r>
          </w:p>
        </w:tc>
        <w:tc>
          <w:tcPr>
            <w:tcW w:w="1426" w:type="dxa"/>
            <w:vAlign w:val="bottom"/>
          </w:tcPr>
          <w:p w14:paraId="4591CA09" w14:textId="4F5D0AC1" w:rsidR="00E80D19" w:rsidRPr="00471CBA" w:rsidRDefault="00E80D19" w:rsidP="00F36B82">
            <w:pPr>
              <w:ind w:right="-42"/>
              <w:jc w:val="right"/>
              <w:rPr>
                <w:sz w:val="16"/>
                <w:szCs w:val="16"/>
              </w:rPr>
            </w:pPr>
            <w:r w:rsidRPr="00471CBA">
              <w:rPr>
                <w:sz w:val="15"/>
                <w:szCs w:val="15"/>
              </w:rPr>
              <w:t>-</w:t>
            </w:r>
          </w:p>
        </w:tc>
      </w:tr>
      <w:tr w:rsidR="00E80D19" w:rsidRPr="00471CBA" w14:paraId="58E40D33" w14:textId="77777777" w:rsidTr="003A558E">
        <w:trPr>
          <w:trHeight w:val="20"/>
        </w:trPr>
        <w:tc>
          <w:tcPr>
            <w:tcW w:w="2407" w:type="dxa"/>
            <w:vAlign w:val="bottom"/>
            <w:hideMark/>
          </w:tcPr>
          <w:p w14:paraId="1A75D298" w14:textId="77777777" w:rsidR="00E80D19" w:rsidRPr="00471CBA" w:rsidRDefault="00E80D19" w:rsidP="00E80D19">
            <w:pPr>
              <w:rPr>
                <w:color w:val="000000"/>
                <w:sz w:val="15"/>
                <w:szCs w:val="15"/>
              </w:rPr>
            </w:pPr>
            <w:r w:rsidRPr="00471CBA">
              <w:rPr>
                <w:color w:val="000000"/>
                <w:sz w:val="15"/>
                <w:szCs w:val="15"/>
              </w:rPr>
              <w:t>Beklenen Zarar Karşılıkları (-)</w:t>
            </w:r>
          </w:p>
        </w:tc>
        <w:tc>
          <w:tcPr>
            <w:tcW w:w="1264" w:type="dxa"/>
            <w:vAlign w:val="bottom"/>
          </w:tcPr>
          <w:p w14:paraId="351CDBC6" w14:textId="7B92A27C" w:rsidR="00E80D19" w:rsidRPr="00471CBA" w:rsidRDefault="00E80D19" w:rsidP="00F36B82">
            <w:pPr>
              <w:ind w:right="-42"/>
              <w:jc w:val="right"/>
              <w:rPr>
                <w:color w:val="000000"/>
                <w:sz w:val="16"/>
                <w:szCs w:val="16"/>
              </w:rPr>
            </w:pPr>
            <w:r w:rsidRPr="00471CBA">
              <w:rPr>
                <w:sz w:val="15"/>
                <w:szCs w:val="15"/>
              </w:rPr>
              <w:t>-</w:t>
            </w:r>
          </w:p>
        </w:tc>
        <w:tc>
          <w:tcPr>
            <w:tcW w:w="1105" w:type="dxa"/>
            <w:vAlign w:val="bottom"/>
          </w:tcPr>
          <w:p w14:paraId="2F280A81" w14:textId="49F02CDD" w:rsidR="00E80D19" w:rsidRPr="00471CBA" w:rsidRDefault="00E80D19" w:rsidP="00F36B82">
            <w:pPr>
              <w:ind w:right="-42"/>
              <w:jc w:val="right"/>
              <w:rPr>
                <w:color w:val="000000"/>
                <w:sz w:val="16"/>
                <w:szCs w:val="16"/>
              </w:rPr>
            </w:pPr>
            <w:r w:rsidRPr="00471CBA">
              <w:rPr>
                <w:sz w:val="15"/>
                <w:szCs w:val="15"/>
              </w:rPr>
              <w:t>-</w:t>
            </w:r>
          </w:p>
        </w:tc>
        <w:tc>
          <w:tcPr>
            <w:tcW w:w="1134" w:type="dxa"/>
            <w:vAlign w:val="bottom"/>
          </w:tcPr>
          <w:p w14:paraId="2E27CCF5" w14:textId="7FFC5D49" w:rsidR="00E80D19" w:rsidRPr="00471CBA" w:rsidRDefault="00E80D19" w:rsidP="00F36B82">
            <w:pPr>
              <w:ind w:right="-42"/>
              <w:jc w:val="right"/>
              <w:rPr>
                <w:sz w:val="16"/>
                <w:szCs w:val="16"/>
              </w:rPr>
            </w:pPr>
            <w:r w:rsidRPr="00471CBA">
              <w:rPr>
                <w:sz w:val="15"/>
                <w:szCs w:val="15"/>
              </w:rPr>
              <w:t>-</w:t>
            </w:r>
          </w:p>
        </w:tc>
        <w:tc>
          <w:tcPr>
            <w:tcW w:w="1276" w:type="dxa"/>
            <w:vAlign w:val="bottom"/>
          </w:tcPr>
          <w:p w14:paraId="47EEA187" w14:textId="2F51B683" w:rsidR="00E80D19" w:rsidRPr="00471CBA" w:rsidRDefault="00E80D19" w:rsidP="00F36B82">
            <w:pPr>
              <w:ind w:right="-42"/>
              <w:jc w:val="right"/>
              <w:rPr>
                <w:sz w:val="16"/>
                <w:szCs w:val="16"/>
              </w:rPr>
            </w:pPr>
            <w:r w:rsidRPr="00471CBA">
              <w:rPr>
                <w:sz w:val="15"/>
                <w:szCs w:val="15"/>
              </w:rPr>
              <w:t>-</w:t>
            </w:r>
          </w:p>
        </w:tc>
        <w:tc>
          <w:tcPr>
            <w:tcW w:w="1048" w:type="dxa"/>
            <w:vAlign w:val="bottom"/>
          </w:tcPr>
          <w:p w14:paraId="28B79FAC" w14:textId="0B7890BC" w:rsidR="00E80D19" w:rsidRPr="00471CBA" w:rsidRDefault="00E80D19" w:rsidP="00F36B82">
            <w:pPr>
              <w:ind w:right="-42"/>
              <w:jc w:val="right"/>
              <w:rPr>
                <w:sz w:val="16"/>
                <w:szCs w:val="16"/>
              </w:rPr>
            </w:pPr>
            <w:r w:rsidRPr="00471CBA">
              <w:rPr>
                <w:sz w:val="15"/>
                <w:szCs w:val="15"/>
              </w:rPr>
              <w:t>-</w:t>
            </w:r>
          </w:p>
        </w:tc>
        <w:tc>
          <w:tcPr>
            <w:tcW w:w="1426" w:type="dxa"/>
            <w:vAlign w:val="bottom"/>
          </w:tcPr>
          <w:p w14:paraId="277544FB" w14:textId="7C5BE484" w:rsidR="00E80D19" w:rsidRPr="00471CBA" w:rsidRDefault="00E80D19" w:rsidP="00F36B82">
            <w:pPr>
              <w:ind w:right="-42"/>
              <w:jc w:val="right"/>
              <w:rPr>
                <w:color w:val="000000"/>
                <w:sz w:val="16"/>
                <w:szCs w:val="16"/>
              </w:rPr>
            </w:pPr>
            <w:r w:rsidRPr="00471CBA">
              <w:rPr>
                <w:sz w:val="15"/>
                <w:szCs w:val="15"/>
              </w:rPr>
              <w:t>-</w:t>
            </w:r>
          </w:p>
        </w:tc>
      </w:tr>
      <w:tr w:rsidR="00E80D19" w:rsidRPr="00471CBA" w14:paraId="2BCBEFDE" w14:textId="77777777" w:rsidTr="003A558E">
        <w:trPr>
          <w:trHeight w:val="20"/>
        </w:trPr>
        <w:tc>
          <w:tcPr>
            <w:tcW w:w="2407" w:type="dxa"/>
            <w:vAlign w:val="bottom"/>
            <w:hideMark/>
          </w:tcPr>
          <w:p w14:paraId="3FDB4A53" w14:textId="77777777" w:rsidR="00E80D19" w:rsidRPr="00471CBA" w:rsidRDefault="00E80D19" w:rsidP="00E80D19">
            <w:pPr>
              <w:rPr>
                <w:color w:val="000000"/>
                <w:sz w:val="15"/>
                <w:szCs w:val="15"/>
              </w:rPr>
            </w:pPr>
            <w:r w:rsidRPr="00471CBA">
              <w:rPr>
                <w:color w:val="000000"/>
                <w:sz w:val="15"/>
                <w:szCs w:val="15"/>
              </w:rPr>
              <w:t>Satış Amaçlı Elde Tutulan ve Durdurulan Faaliyetlere İlişkin Duran Varlıklar (Net)</w:t>
            </w:r>
          </w:p>
        </w:tc>
        <w:tc>
          <w:tcPr>
            <w:tcW w:w="1264" w:type="dxa"/>
            <w:vAlign w:val="bottom"/>
          </w:tcPr>
          <w:p w14:paraId="5ABF2219" w14:textId="68739B50" w:rsidR="00E80D19" w:rsidRPr="00471CBA" w:rsidRDefault="00E80D19" w:rsidP="00F36B82">
            <w:pPr>
              <w:ind w:right="-42"/>
              <w:jc w:val="right"/>
              <w:rPr>
                <w:color w:val="000000"/>
                <w:sz w:val="16"/>
                <w:szCs w:val="16"/>
              </w:rPr>
            </w:pPr>
            <w:r w:rsidRPr="00471CBA">
              <w:rPr>
                <w:sz w:val="15"/>
                <w:szCs w:val="15"/>
              </w:rPr>
              <w:t>-</w:t>
            </w:r>
          </w:p>
        </w:tc>
        <w:tc>
          <w:tcPr>
            <w:tcW w:w="1105" w:type="dxa"/>
            <w:vAlign w:val="bottom"/>
          </w:tcPr>
          <w:p w14:paraId="718C1203" w14:textId="29A7A17B" w:rsidR="00E80D19" w:rsidRPr="00471CBA" w:rsidRDefault="00E80D19" w:rsidP="00F36B82">
            <w:pPr>
              <w:ind w:right="-42"/>
              <w:jc w:val="right"/>
              <w:rPr>
                <w:color w:val="000000"/>
                <w:sz w:val="16"/>
                <w:szCs w:val="16"/>
              </w:rPr>
            </w:pPr>
            <w:r w:rsidRPr="00471CBA">
              <w:rPr>
                <w:sz w:val="15"/>
                <w:szCs w:val="15"/>
              </w:rPr>
              <w:t>-</w:t>
            </w:r>
          </w:p>
        </w:tc>
        <w:tc>
          <w:tcPr>
            <w:tcW w:w="1134" w:type="dxa"/>
            <w:vAlign w:val="bottom"/>
          </w:tcPr>
          <w:p w14:paraId="259C03BD" w14:textId="2D2A5410" w:rsidR="00E80D19" w:rsidRPr="00471CBA" w:rsidRDefault="00E80D19" w:rsidP="00F36B82">
            <w:pPr>
              <w:ind w:right="-42"/>
              <w:jc w:val="right"/>
              <w:rPr>
                <w:sz w:val="16"/>
                <w:szCs w:val="16"/>
              </w:rPr>
            </w:pPr>
            <w:r w:rsidRPr="00471CBA">
              <w:rPr>
                <w:sz w:val="15"/>
                <w:szCs w:val="15"/>
              </w:rPr>
              <w:t>-</w:t>
            </w:r>
          </w:p>
        </w:tc>
        <w:tc>
          <w:tcPr>
            <w:tcW w:w="1276" w:type="dxa"/>
            <w:vAlign w:val="bottom"/>
          </w:tcPr>
          <w:p w14:paraId="6D482CDE" w14:textId="14583A35" w:rsidR="00E80D19" w:rsidRPr="00471CBA" w:rsidRDefault="00E80D19" w:rsidP="00F36B82">
            <w:pPr>
              <w:ind w:right="-42"/>
              <w:jc w:val="right"/>
              <w:rPr>
                <w:sz w:val="16"/>
                <w:szCs w:val="16"/>
              </w:rPr>
            </w:pPr>
            <w:r w:rsidRPr="00471CBA">
              <w:rPr>
                <w:sz w:val="15"/>
                <w:szCs w:val="15"/>
              </w:rPr>
              <w:t>-</w:t>
            </w:r>
          </w:p>
        </w:tc>
        <w:tc>
          <w:tcPr>
            <w:tcW w:w="1048" w:type="dxa"/>
            <w:vAlign w:val="bottom"/>
          </w:tcPr>
          <w:p w14:paraId="04EE3E3B" w14:textId="642934D4" w:rsidR="00E80D19" w:rsidRPr="00471CBA" w:rsidRDefault="00E80D19" w:rsidP="00F36B82">
            <w:pPr>
              <w:ind w:right="-42"/>
              <w:jc w:val="right"/>
              <w:rPr>
                <w:sz w:val="16"/>
                <w:szCs w:val="16"/>
              </w:rPr>
            </w:pPr>
            <w:r w:rsidRPr="00471CBA">
              <w:rPr>
                <w:sz w:val="15"/>
                <w:szCs w:val="15"/>
              </w:rPr>
              <w:t>-</w:t>
            </w:r>
          </w:p>
        </w:tc>
        <w:tc>
          <w:tcPr>
            <w:tcW w:w="1426" w:type="dxa"/>
            <w:vAlign w:val="bottom"/>
          </w:tcPr>
          <w:p w14:paraId="42D62165" w14:textId="778EC677" w:rsidR="00E80D19" w:rsidRPr="00471CBA" w:rsidRDefault="00E80D19" w:rsidP="00F36B82">
            <w:pPr>
              <w:ind w:right="-42"/>
              <w:jc w:val="right"/>
              <w:rPr>
                <w:color w:val="000000"/>
                <w:sz w:val="16"/>
                <w:szCs w:val="16"/>
              </w:rPr>
            </w:pPr>
            <w:r w:rsidRPr="00471CBA">
              <w:rPr>
                <w:sz w:val="15"/>
                <w:szCs w:val="15"/>
              </w:rPr>
              <w:t>-</w:t>
            </w:r>
          </w:p>
        </w:tc>
      </w:tr>
      <w:tr w:rsidR="00E80D19" w:rsidRPr="00471CBA" w14:paraId="0BEE4772" w14:textId="77777777" w:rsidTr="003A558E">
        <w:trPr>
          <w:trHeight w:val="20"/>
        </w:trPr>
        <w:tc>
          <w:tcPr>
            <w:tcW w:w="2407" w:type="dxa"/>
            <w:vAlign w:val="bottom"/>
            <w:hideMark/>
          </w:tcPr>
          <w:p w14:paraId="49BDD8C3" w14:textId="77777777" w:rsidR="00E80D19" w:rsidRPr="00471CBA" w:rsidRDefault="00E80D19" w:rsidP="00E80D19">
            <w:pPr>
              <w:rPr>
                <w:color w:val="000000"/>
                <w:sz w:val="15"/>
                <w:szCs w:val="15"/>
              </w:rPr>
            </w:pPr>
            <w:r w:rsidRPr="00471CBA">
              <w:rPr>
                <w:color w:val="000000"/>
                <w:sz w:val="15"/>
                <w:szCs w:val="15"/>
              </w:rPr>
              <w:t>Ortaklık Yatırımları</w:t>
            </w:r>
          </w:p>
        </w:tc>
        <w:tc>
          <w:tcPr>
            <w:tcW w:w="1264" w:type="dxa"/>
            <w:vAlign w:val="bottom"/>
          </w:tcPr>
          <w:p w14:paraId="133184C3" w14:textId="0AAF05A5" w:rsidR="00E80D19" w:rsidRPr="00471CBA" w:rsidRDefault="00E80D19" w:rsidP="00F36B82">
            <w:pPr>
              <w:ind w:right="-42"/>
              <w:jc w:val="right"/>
              <w:rPr>
                <w:color w:val="000000"/>
                <w:sz w:val="16"/>
                <w:szCs w:val="16"/>
              </w:rPr>
            </w:pPr>
            <w:r w:rsidRPr="00471CBA">
              <w:rPr>
                <w:sz w:val="15"/>
                <w:szCs w:val="15"/>
              </w:rPr>
              <w:t>1.250</w:t>
            </w:r>
          </w:p>
        </w:tc>
        <w:tc>
          <w:tcPr>
            <w:tcW w:w="1105" w:type="dxa"/>
            <w:vAlign w:val="bottom"/>
          </w:tcPr>
          <w:p w14:paraId="6DBEF119" w14:textId="5908572C" w:rsidR="00E80D19" w:rsidRPr="00471CBA" w:rsidRDefault="00E80D19" w:rsidP="00F36B82">
            <w:pPr>
              <w:ind w:right="-42"/>
              <w:jc w:val="right"/>
              <w:rPr>
                <w:color w:val="000000"/>
                <w:sz w:val="16"/>
                <w:szCs w:val="16"/>
              </w:rPr>
            </w:pPr>
            <w:r w:rsidRPr="00471CBA">
              <w:rPr>
                <w:sz w:val="15"/>
                <w:szCs w:val="15"/>
              </w:rPr>
              <w:t>1.250</w:t>
            </w:r>
          </w:p>
        </w:tc>
        <w:tc>
          <w:tcPr>
            <w:tcW w:w="1134" w:type="dxa"/>
            <w:vAlign w:val="bottom"/>
          </w:tcPr>
          <w:p w14:paraId="51343821" w14:textId="51531813" w:rsidR="00E80D19" w:rsidRPr="00471CBA" w:rsidRDefault="00E80D19" w:rsidP="00F36B82">
            <w:pPr>
              <w:ind w:right="-42"/>
              <w:jc w:val="right"/>
              <w:rPr>
                <w:sz w:val="16"/>
                <w:szCs w:val="16"/>
              </w:rPr>
            </w:pPr>
            <w:r w:rsidRPr="00471CBA">
              <w:rPr>
                <w:sz w:val="15"/>
                <w:szCs w:val="15"/>
              </w:rPr>
              <w:t>-</w:t>
            </w:r>
          </w:p>
        </w:tc>
        <w:tc>
          <w:tcPr>
            <w:tcW w:w="1276" w:type="dxa"/>
            <w:vAlign w:val="bottom"/>
          </w:tcPr>
          <w:p w14:paraId="5B5A2121" w14:textId="62A2E5A3" w:rsidR="00E80D19" w:rsidRPr="00471CBA" w:rsidRDefault="00E80D19" w:rsidP="00F36B82">
            <w:pPr>
              <w:ind w:right="-42"/>
              <w:jc w:val="right"/>
              <w:rPr>
                <w:sz w:val="16"/>
                <w:szCs w:val="16"/>
              </w:rPr>
            </w:pPr>
            <w:r w:rsidRPr="00471CBA">
              <w:rPr>
                <w:sz w:val="15"/>
                <w:szCs w:val="15"/>
              </w:rPr>
              <w:t>-</w:t>
            </w:r>
          </w:p>
        </w:tc>
        <w:tc>
          <w:tcPr>
            <w:tcW w:w="1048" w:type="dxa"/>
            <w:vAlign w:val="bottom"/>
          </w:tcPr>
          <w:p w14:paraId="2BB5D258" w14:textId="133F5E8D" w:rsidR="00E80D19" w:rsidRPr="00471CBA" w:rsidRDefault="00E80D19" w:rsidP="00F36B82">
            <w:pPr>
              <w:ind w:right="-42"/>
              <w:jc w:val="right"/>
              <w:rPr>
                <w:sz w:val="16"/>
                <w:szCs w:val="16"/>
              </w:rPr>
            </w:pPr>
            <w:r w:rsidRPr="00471CBA">
              <w:rPr>
                <w:sz w:val="15"/>
                <w:szCs w:val="15"/>
              </w:rPr>
              <w:t>-</w:t>
            </w:r>
          </w:p>
        </w:tc>
        <w:tc>
          <w:tcPr>
            <w:tcW w:w="1426" w:type="dxa"/>
            <w:vAlign w:val="bottom"/>
          </w:tcPr>
          <w:p w14:paraId="79534E43" w14:textId="028C3CA7" w:rsidR="00E80D19" w:rsidRPr="00471CBA" w:rsidRDefault="00E80D19" w:rsidP="00F36B82">
            <w:pPr>
              <w:ind w:right="-42"/>
              <w:jc w:val="right"/>
              <w:rPr>
                <w:color w:val="000000"/>
                <w:sz w:val="16"/>
                <w:szCs w:val="16"/>
              </w:rPr>
            </w:pPr>
            <w:r w:rsidRPr="00471CBA">
              <w:rPr>
                <w:sz w:val="15"/>
                <w:szCs w:val="15"/>
              </w:rPr>
              <w:t>-</w:t>
            </w:r>
          </w:p>
        </w:tc>
      </w:tr>
      <w:tr w:rsidR="00E80D19" w:rsidRPr="00471CBA" w14:paraId="02737777" w14:textId="77777777" w:rsidTr="003A558E">
        <w:trPr>
          <w:trHeight w:val="20"/>
        </w:trPr>
        <w:tc>
          <w:tcPr>
            <w:tcW w:w="2407" w:type="dxa"/>
            <w:vAlign w:val="bottom"/>
            <w:hideMark/>
          </w:tcPr>
          <w:p w14:paraId="4F37917E" w14:textId="77777777" w:rsidR="00E80D19" w:rsidRPr="00471CBA" w:rsidRDefault="00E80D19" w:rsidP="00E80D19">
            <w:pPr>
              <w:rPr>
                <w:color w:val="000000"/>
                <w:sz w:val="15"/>
                <w:szCs w:val="15"/>
              </w:rPr>
            </w:pPr>
            <w:r w:rsidRPr="00471CBA">
              <w:rPr>
                <w:color w:val="000000"/>
                <w:sz w:val="15"/>
                <w:szCs w:val="15"/>
              </w:rPr>
              <w:t xml:space="preserve">Maddi Duran Varlıklar (Net) </w:t>
            </w:r>
          </w:p>
        </w:tc>
        <w:tc>
          <w:tcPr>
            <w:tcW w:w="1264" w:type="dxa"/>
            <w:vAlign w:val="bottom"/>
          </w:tcPr>
          <w:p w14:paraId="21D567A4" w14:textId="5D629B44" w:rsidR="00E80D19" w:rsidRPr="00471CBA" w:rsidRDefault="00E80D19" w:rsidP="00F36B82">
            <w:pPr>
              <w:ind w:right="-42"/>
              <w:jc w:val="right"/>
              <w:rPr>
                <w:color w:val="000000"/>
                <w:sz w:val="16"/>
                <w:szCs w:val="16"/>
              </w:rPr>
            </w:pPr>
            <w:r w:rsidRPr="00471CBA">
              <w:rPr>
                <w:sz w:val="15"/>
                <w:szCs w:val="15"/>
              </w:rPr>
              <w:t>490.907</w:t>
            </w:r>
          </w:p>
        </w:tc>
        <w:tc>
          <w:tcPr>
            <w:tcW w:w="1105" w:type="dxa"/>
            <w:vAlign w:val="bottom"/>
          </w:tcPr>
          <w:p w14:paraId="12F5C264" w14:textId="2582F0E1" w:rsidR="00E80D19" w:rsidRPr="00471CBA" w:rsidRDefault="00E80D19" w:rsidP="00F36B82">
            <w:pPr>
              <w:ind w:right="-42"/>
              <w:jc w:val="right"/>
              <w:rPr>
                <w:color w:val="000000"/>
                <w:sz w:val="16"/>
                <w:szCs w:val="16"/>
              </w:rPr>
            </w:pPr>
            <w:r w:rsidRPr="00471CBA">
              <w:rPr>
                <w:sz w:val="15"/>
                <w:szCs w:val="15"/>
              </w:rPr>
              <w:t>490.907</w:t>
            </w:r>
          </w:p>
        </w:tc>
        <w:tc>
          <w:tcPr>
            <w:tcW w:w="1134" w:type="dxa"/>
            <w:vAlign w:val="bottom"/>
          </w:tcPr>
          <w:p w14:paraId="792F3890" w14:textId="12C6059F" w:rsidR="00E80D19" w:rsidRPr="00471CBA" w:rsidRDefault="00E80D19" w:rsidP="00F36B82">
            <w:pPr>
              <w:ind w:right="-42"/>
              <w:jc w:val="right"/>
              <w:rPr>
                <w:sz w:val="16"/>
                <w:szCs w:val="16"/>
              </w:rPr>
            </w:pPr>
            <w:r w:rsidRPr="00471CBA">
              <w:rPr>
                <w:sz w:val="15"/>
                <w:szCs w:val="15"/>
              </w:rPr>
              <w:t>-</w:t>
            </w:r>
          </w:p>
        </w:tc>
        <w:tc>
          <w:tcPr>
            <w:tcW w:w="1276" w:type="dxa"/>
            <w:vAlign w:val="bottom"/>
          </w:tcPr>
          <w:p w14:paraId="2399DC08" w14:textId="11196519" w:rsidR="00E80D19" w:rsidRPr="00471CBA" w:rsidRDefault="00E80D19" w:rsidP="00F36B82">
            <w:pPr>
              <w:ind w:right="-42"/>
              <w:jc w:val="right"/>
              <w:rPr>
                <w:sz w:val="16"/>
                <w:szCs w:val="16"/>
              </w:rPr>
            </w:pPr>
            <w:r w:rsidRPr="00471CBA">
              <w:rPr>
                <w:sz w:val="15"/>
                <w:szCs w:val="15"/>
              </w:rPr>
              <w:t>-</w:t>
            </w:r>
          </w:p>
        </w:tc>
        <w:tc>
          <w:tcPr>
            <w:tcW w:w="1048" w:type="dxa"/>
            <w:vAlign w:val="bottom"/>
          </w:tcPr>
          <w:p w14:paraId="609AF226" w14:textId="69664CA9" w:rsidR="00E80D19" w:rsidRPr="00471CBA" w:rsidRDefault="00E80D19" w:rsidP="00F36B82">
            <w:pPr>
              <w:ind w:right="-42"/>
              <w:jc w:val="right"/>
              <w:rPr>
                <w:sz w:val="16"/>
                <w:szCs w:val="16"/>
              </w:rPr>
            </w:pPr>
            <w:r w:rsidRPr="00471CBA">
              <w:rPr>
                <w:sz w:val="15"/>
                <w:szCs w:val="15"/>
              </w:rPr>
              <w:t>-</w:t>
            </w:r>
          </w:p>
        </w:tc>
        <w:tc>
          <w:tcPr>
            <w:tcW w:w="1426" w:type="dxa"/>
            <w:vAlign w:val="bottom"/>
          </w:tcPr>
          <w:p w14:paraId="33489471" w14:textId="222EC502" w:rsidR="00E80D19" w:rsidRPr="00471CBA" w:rsidRDefault="00E80D19" w:rsidP="00F36B82">
            <w:pPr>
              <w:ind w:right="-42"/>
              <w:jc w:val="right"/>
              <w:rPr>
                <w:color w:val="000000"/>
                <w:sz w:val="16"/>
                <w:szCs w:val="16"/>
              </w:rPr>
            </w:pPr>
            <w:r w:rsidRPr="00471CBA">
              <w:rPr>
                <w:sz w:val="15"/>
                <w:szCs w:val="15"/>
              </w:rPr>
              <w:t>147.382</w:t>
            </w:r>
          </w:p>
        </w:tc>
      </w:tr>
      <w:tr w:rsidR="00E80D19" w:rsidRPr="00471CBA" w14:paraId="305524C9" w14:textId="77777777" w:rsidTr="003A558E">
        <w:trPr>
          <w:trHeight w:val="20"/>
        </w:trPr>
        <w:tc>
          <w:tcPr>
            <w:tcW w:w="2407" w:type="dxa"/>
            <w:vAlign w:val="bottom"/>
            <w:hideMark/>
          </w:tcPr>
          <w:p w14:paraId="22BABD7D" w14:textId="77777777" w:rsidR="00E80D19" w:rsidRPr="00471CBA" w:rsidRDefault="00E80D19" w:rsidP="00E80D19">
            <w:pPr>
              <w:rPr>
                <w:color w:val="000000"/>
                <w:sz w:val="15"/>
                <w:szCs w:val="15"/>
              </w:rPr>
            </w:pPr>
            <w:r w:rsidRPr="00471CBA">
              <w:rPr>
                <w:color w:val="000000"/>
                <w:sz w:val="15"/>
                <w:szCs w:val="15"/>
              </w:rPr>
              <w:t>Maddi Olmayan Duran Varlıklar (Net)</w:t>
            </w:r>
          </w:p>
        </w:tc>
        <w:tc>
          <w:tcPr>
            <w:tcW w:w="1264" w:type="dxa"/>
            <w:vAlign w:val="bottom"/>
          </w:tcPr>
          <w:p w14:paraId="71043329" w14:textId="39360430" w:rsidR="00E80D19" w:rsidRPr="00471CBA" w:rsidRDefault="00E80D19" w:rsidP="00F36B82">
            <w:pPr>
              <w:ind w:right="-42"/>
              <w:jc w:val="right"/>
              <w:rPr>
                <w:color w:val="000000"/>
                <w:sz w:val="16"/>
                <w:szCs w:val="16"/>
              </w:rPr>
            </w:pPr>
            <w:r w:rsidRPr="00471CBA">
              <w:rPr>
                <w:sz w:val="15"/>
                <w:szCs w:val="15"/>
              </w:rPr>
              <w:t>212.558</w:t>
            </w:r>
          </w:p>
        </w:tc>
        <w:tc>
          <w:tcPr>
            <w:tcW w:w="1105" w:type="dxa"/>
            <w:vAlign w:val="bottom"/>
          </w:tcPr>
          <w:p w14:paraId="492B9911" w14:textId="330E1C16" w:rsidR="00E80D19" w:rsidRPr="00471CBA" w:rsidRDefault="00E80D19" w:rsidP="00F36B82">
            <w:pPr>
              <w:ind w:right="-42"/>
              <w:jc w:val="right"/>
              <w:rPr>
                <w:color w:val="000000"/>
                <w:sz w:val="16"/>
                <w:szCs w:val="16"/>
              </w:rPr>
            </w:pPr>
            <w:r w:rsidRPr="00471CBA">
              <w:rPr>
                <w:sz w:val="15"/>
                <w:szCs w:val="15"/>
              </w:rPr>
              <w:t>212.558</w:t>
            </w:r>
          </w:p>
        </w:tc>
        <w:tc>
          <w:tcPr>
            <w:tcW w:w="1134" w:type="dxa"/>
            <w:vAlign w:val="bottom"/>
          </w:tcPr>
          <w:p w14:paraId="289BEDAE" w14:textId="3A426A4F" w:rsidR="00E80D19" w:rsidRPr="00471CBA" w:rsidRDefault="00E80D19" w:rsidP="00F36B82">
            <w:pPr>
              <w:ind w:right="-42"/>
              <w:jc w:val="right"/>
              <w:rPr>
                <w:sz w:val="16"/>
                <w:szCs w:val="16"/>
              </w:rPr>
            </w:pPr>
            <w:r w:rsidRPr="00471CBA">
              <w:rPr>
                <w:sz w:val="15"/>
                <w:szCs w:val="15"/>
              </w:rPr>
              <w:t>-</w:t>
            </w:r>
          </w:p>
        </w:tc>
        <w:tc>
          <w:tcPr>
            <w:tcW w:w="1276" w:type="dxa"/>
            <w:vAlign w:val="bottom"/>
          </w:tcPr>
          <w:p w14:paraId="00F9F126" w14:textId="7ACB9C5A" w:rsidR="00E80D19" w:rsidRPr="00471CBA" w:rsidRDefault="00E80D19" w:rsidP="00F36B82">
            <w:pPr>
              <w:ind w:right="-42"/>
              <w:jc w:val="right"/>
              <w:rPr>
                <w:sz w:val="16"/>
                <w:szCs w:val="16"/>
              </w:rPr>
            </w:pPr>
            <w:r w:rsidRPr="00471CBA">
              <w:rPr>
                <w:sz w:val="15"/>
                <w:szCs w:val="15"/>
              </w:rPr>
              <w:t>-</w:t>
            </w:r>
          </w:p>
        </w:tc>
        <w:tc>
          <w:tcPr>
            <w:tcW w:w="1048" w:type="dxa"/>
            <w:vAlign w:val="bottom"/>
          </w:tcPr>
          <w:p w14:paraId="0FA4F67B" w14:textId="01319D76" w:rsidR="00E80D19" w:rsidRPr="00471CBA" w:rsidRDefault="00E80D19" w:rsidP="00F36B82">
            <w:pPr>
              <w:ind w:right="-42"/>
              <w:jc w:val="right"/>
              <w:rPr>
                <w:sz w:val="16"/>
                <w:szCs w:val="16"/>
              </w:rPr>
            </w:pPr>
            <w:r w:rsidRPr="00471CBA">
              <w:rPr>
                <w:sz w:val="15"/>
                <w:szCs w:val="15"/>
              </w:rPr>
              <w:t>-</w:t>
            </w:r>
          </w:p>
        </w:tc>
        <w:tc>
          <w:tcPr>
            <w:tcW w:w="1426" w:type="dxa"/>
            <w:vAlign w:val="bottom"/>
          </w:tcPr>
          <w:p w14:paraId="46907E96" w14:textId="2D198ECC" w:rsidR="00E80D19" w:rsidRPr="00471CBA" w:rsidRDefault="00E80D19" w:rsidP="00F36B82">
            <w:pPr>
              <w:ind w:right="-42"/>
              <w:jc w:val="right"/>
              <w:rPr>
                <w:color w:val="000000"/>
                <w:sz w:val="16"/>
                <w:szCs w:val="16"/>
              </w:rPr>
            </w:pPr>
            <w:r w:rsidRPr="00471CBA">
              <w:rPr>
                <w:sz w:val="15"/>
                <w:szCs w:val="15"/>
              </w:rPr>
              <w:t>212.558</w:t>
            </w:r>
          </w:p>
        </w:tc>
      </w:tr>
      <w:tr w:rsidR="00E80D19" w:rsidRPr="00471CBA" w14:paraId="35004964" w14:textId="77777777" w:rsidTr="003A558E">
        <w:trPr>
          <w:trHeight w:val="20"/>
        </w:trPr>
        <w:tc>
          <w:tcPr>
            <w:tcW w:w="2407" w:type="dxa"/>
            <w:vAlign w:val="bottom"/>
            <w:hideMark/>
          </w:tcPr>
          <w:p w14:paraId="4D70FE8C" w14:textId="77777777" w:rsidR="00E80D19" w:rsidRPr="00471CBA" w:rsidRDefault="00E80D19" w:rsidP="00E80D19">
            <w:pPr>
              <w:rPr>
                <w:color w:val="000000"/>
                <w:sz w:val="15"/>
                <w:szCs w:val="15"/>
              </w:rPr>
            </w:pPr>
            <w:r w:rsidRPr="00471CBA">
              <w:rPr>
                <w:color w:val="000000"/>
                <w:sz w:val="15"/>
                <w:szCs w:val="15"/>
              </w:rPr>
              <w:t>Yatırım Amaçlı Gayrimenkuller (Net)</w:t>
            </w:r>
          </w:p>
        </w:tc>
        <w:tc>
          <w:tcPr>
            <w:tcW w:w="1264" w:type="dxa"/>
            <w:vAlign w:val="bottom"/>
          </w:tcPr>
          <w:p w14:paraId="02E21E4D" w14:textId="21A91C84" w:rsidR="00E80D19" w:rsidRPr="00471CBA" w:rsidRDefault="00E80D19" w:rsidP="00F36B82">
            <w:pPr>
              <w:ind w:right="-42"/>
              <w:jc w:val="right"/>
              <w:rPr>
                <w:color w:val="000000"/>
                <w:sz w:val="16"/>
                <w:szCs w:val="16"/>
              </w:rPr>
            </w:pPr>
            <w:r w:rsidRPr="00471CBA">
              <w:rPr>
                <w:sz w:val="15"/>
                <w:szCs w:val="15"/>
              </w:rPr>
              <w:t>-</w:t>
            </w:r>
          </w:p>
        </w:tc>
        <w:tc>
          <w:tcPr>
            <w:tcW w:w="1105" w:type="dxa"/>
            <w:vAlign w:val="bottom"/>
          </w:tcPr>
          <w:p w14:paraId="37B1107E" w14:textId="76A9F595" w:rsidR="00E80D19" w:rsidRPr="00471CBA" w:rsidRDefault="00E80D19" w:rsidP="00F36B82">
            <w:pPr>
              <w:ind w:right="-42"/>
              <w:jc w:val="right"/>
              <w:rPr>
                <w:color w:val="000000"/>
                <w:sz w:val="16"/>
                <w:szCs w:val="16"/>
              </w:rPr>
            </w:pPr>
            <w:r w:rsidRPr="00471CBA">
              <w:rPr>
                <w:sz w:val="15"/>
                <w:szCs w:val="15"/>
              </w:rPr>
              <w:t>-</w:t>
            </w:r>
          </w:p>
        </w:tc>
        <w:tc>
          <w:tcPr>
            <w:tcW w:w="1134" w:type="dxa"/>
            <w:vAlign w:val="bottom"/>
          </w:tcPr>
          <w:p w14:paraId="1ED2852C" w14:textId="250737A5" w:rsidR="00E80D19" w:rsidRPr="00471CBA" w:rsidRDefault="00E80D19" w:rsidP="00F36B82">
            <w:pPr>
              <w:ind w:right="-42"/>
              <w:jc w:val="right"/>
              <w:rPr>
                <w:sz w:val="16"/>
                <w:szCs w:val="16"/>
              </w:rPr>
            </w:pPr>
            <w:r w:rsidRPr="00471CBA">
              <w:rPr>
                <w:sz w:val="15"/>
                <w:szCs w:val="15"/>
              </w:rPr>
              <w:t>-</w:t>
            </w:r>
          </w:p>
        </w:tc>
        <w:tc>
          <w:tcPr>
            <w:tcW w:w="1276" w:type="dxa"/>
            <w:vAlign w:val="bottom"/>
          </w:tcPr>
          <w:p w14:paraId="0D4BB9D6" w14:textId="79F12B72" w:rsidR="00E80D19" w:rsidRPr="00471CBA" w:rsidRDefault="00E80D19" w:rsidP="00F36B82">
            <w:pPr>
              <w:ind w:right="-42"/>
              <w:jc w:val="right"/>
              <w:rPr>
                <w:sz w:val="16"/>
                <w:szCs w:val="16"/>
              </w:rPr>
            </w:pPr>
            <w:r w:rsidRPr="00471CBA">
              <w:rPr>
                <w:sz w:val="15"/>
                <w:szCs w:val="15"/>
              </w:rPr>
              <w:t>-</w:t>
            </w:r>
          </w:p>
        </w:tc>
        <w:tc>
          <w:tcPr>
            <w:tcW w:w="1048" w:type="dxa"/>
            <w:vAlign w:val="bottom"/>
          </w:tcPr>
          <w:p w14:paraId="2D24F9D8" w14:textId="4D975425" w:rsidR="00E80D19" w:rsidRPr="00471CBA" w:rsidRDefault="00E80D19" w:rsidP="00F36B82">
            <w:pPr>
              <w:ind w:right="-42"/>
              <w:jc w:val="right"/>
              <w:rPr>
                <w:sz w:val="16"/>
                <w:szCs w:val="16"/>
              </w:rPr>
            </w:pPr>
            <w:r w:rsidRPr="00471CBA">
              <w:rPr>
                <w:sz w:val="15"/>
                <w:szCs w:val="15"/>
              </w:rPr>
              <w:t>-</w:t>
            </w:r>
          </w:p>
        </w:tc>
        <w:tc>
          <w:tcPr>
            <w:tcW w:w="1426" w:type="dxa"/>
            <w:vAlign w:val="bottom"/>
          </w:tcPr>
          <w:p w14:paraId="7E91A8A9" w14:textId="7AECF418" w:rsidR="00E80D19" w:rsidRPr="00471CBA" w:rsidRDefault="00E80D19" w:rsidP="00F36B82">
            <w:pPr>
              <w:ind w:right="-42"/>
              <w:jc w:val="right"/>
              <w:rPr>
                <w:sz w:val="16"/>
                <w:szCs w:val="16"/>
              </w:rPr>
            </w:pPr>
            <w:r w:rsidRPr="00471CBA">
              <w:rPr>
                <w:sz w:val="15"/>
                <w:szCs w:val="15"/>
              </w:rPr>
              <w:t>359.940</w:t>
            </w:r>
          </w:p>
        </w:tc>
      </w:tr>
      <w:tr w:rsidR="00E80D19" w:rsidRPr="00471CBA" w14:paraId="4F9056C6" w14:textId="77777777" w:rsidTr="003A558E">
        <w:trPr>
          <w:trHeight w:val="20"/>
        </w:trPr>
        <w:tc>
          <w:tcPr>
            <w:tcW w:w="2407" w:type="dxa"/>
            <w:vAlign w:val="bottom"/>
            <w:hideMark/>
          </w:tcPr>
          <w:p w14:paraId="670C4DAE" w14:textId="77777777" w:rsidR="00E80D19" w:rsidRPr="00471CBA" w:rsidRDefault="00E80D19" w:rsidP="00E80D19">
            <w:pPr>
              <w:rPr>
                <w:color w:val="000000"/>
                <w:sz w:val="15"/>
                <w:szCs w:val="15"/>
              </w:rPr>
            </w:pPr>
            <w:r w:rsidRPr="00471CBA">
              <w:rPr>
                <w:color w:val="000000"/>
                <w:sz w:val="15"/>
                <w:szCs w:val="15"/>
              </w:rPr>
              <w:t>Cari Vergi Varlığı</w:t>
            </w:r>
          </w:p>
        </w:tc>
        <w:tc>
          <w:tcPr>
            <w:tcW w:w="1264" w:type="dxa"/>
            <w:vAlign w:val="bottom"/>
          </w:tcPr>
          <w:p w14:paraId="5E0CE992" w14:textId="66EE5BCB" w:rsidR="00E80D19" w:rsidRPr="00471CBA" w:rsidRDefault="00E80D19" w:rsidP="00F36B82">
            <w:pPr>
              <w:ind w:right="-42"/>
              <w:jc w:val="right"/>
              <w:rPr>
                <w:color w:val="000000"/>
                <w:sz w:val="16"/>
                <w:szCs w:val="16"/>
              </w:rPr>
            </w:pPr>
            <w:r w:rsidRPr="00471CBA">
              <w:rPr>
                <w:sz w:val="15"/>
                <w:szCs w:val="15"/>
              </w:rPr>
              <w:t>34</w:t>
            </w:r>
          </w:p>
        </w:tc>
        <w:tc>
          <w:tcPr>
            <w:tcW w:w="1105" w:type="dxa"/>
            <w:vAlign w:val="bottom"/>
          </w:tcPr>
          <w:p w14:paraId="30696C51" w14:textId="1739BB7A" w:rsidR="00E80D19" w:rsidRPr="00471CBA" w:rsidRDefault="00E80D19" w:rsidP="00F36B82">
            <w:pPr>
              <w:ind w:right="-42"/>
              <w:jc w:val="right"/>
              <w:rPr>
                <w:color w:val="000000"/>
                <w:sz w:val="16"/>
                <w:szCs w:val="16"/>
              </w:rPr>
            </w:pPr>
            <w:r w:rsidRPr="00471CBA">
              <w:rPr>
                <w:sz w:val="15"/>
                <w:szCs w:val="15"/>
              </w:rPr>
              <w:t>34</w:t>
            </w:r>
          </w:p>
        </w:tc>
        <w:tc>
          <w:tcPr>
            <w:tcW w:w="1134" w:type="dxa"/>
            <w:vAlign w:val="bottom"/>
          </w:tcPr>
          <w:p w14:paraId="576D36F1" w14:textId="6DEC32F8" w:rsidR="00E80D19" w:rsidRPr="00471CBA" w:rsidRDefault="00E80D19" w:rsidP="00F36B82">
            <w:pPr>
              <w:ind w:right="-42"/>
              <w:jc w:val="right"/>
              <w:rPr>
                <w:sz w:val="16"/>
                <w:szCs w:val="16"/>
              </w:rPr>
            </w:pPr>
            <w:r w:rsidRPr="00471CBA">
              <w:rPr>
                <w:sz w:val="15"/>
                <w:szCs w:val="15"/>
              </w:rPr>
              <w:t>-</w:t>
            </w:r>
          </w:p>
        </w:tc>
        <w:tc>
          <w:tcPr>
            <w:tcW w:w="1276" w:type="dxa"/>
            <w:vAlign w:val="bottom"/>
          </w:tcPr>
          <w:p w14:paraId="13E19B63" w14:textId="6B9A3CFA" w:rsidR="00E80D19" w:rsidRPr="00471CBA" w:rsidRDefault="00E80D19" w:rsidP="00F36B82">
            <w:pPr>
              <w:ind w:right="-42"/>
              <w:jc w:val="right"/>
              <w:rPr>
                <w:sz w:val="16"/>
                <w:szCs w:val="16"/>
              </w:rPr>
            </w:pPr>
            <w:r w:rsidRPr="00471CBA">
              <w:rPr>
                <w:sz w:val="15"/>
                <w:szCs w:val="15"/>
              </w:rPr>
              <w:t>-</w:t>
            </w:r>
          </w:p>
        </w:tc>
        <w:tc>
          <w:tcPr>
            <w:tcW w:w="1048" w:type="dxa"/>
            <w:vAlign w:val="bottom"/>
          </w:tcPr>
          <w:p w14:paraId="5112E4A7" w14:textId="13B7E573" w:rsidR="00E80D19" w:rsidRPr="00471CBA" w:rsidRDefault="00E80D19" w:rsidP="00F36B82">
            <w:pPr>
              <w:ind w:right="-42"/>
              <w:jc w:val="right"/>
              <w:rPr>
                <w:sz w:val="16"/>
                <w:szCs w:val="16"/>
              </w:rPr>
            </w:pPr>
            <w:r w:rsidRPr="00471CBA">
              <w:rPr>
                <w:sz w:val="15"/>
                <w:szCs w:val="15"/>
              </w:rPr>
              <w:t>-</w:t>
            </w:r>
          </w:p>
        </w:tc>
        <w:tc>
          <w:tcPr>
            <w:tcW w:w="1426" w:type="dxa"/>
            <w:vAlign w:val="bottom"/>
          </w:tcPr>
          <w:p w14:paraId="5CDAC3A4" w14:textId="04342923" w:rsidR="00E80D19" w:rsidRPr="00471CBA" w:rsidRDefault="00E80D19" w:rsidP="00F36B82">
            <w:pPr>
              <w:ind w:right="-42"/>
              <w:jc w:val="right"/>
              <w:rPr>
                <w:sz w:val="16"/>
                <w:szCs w:val="16"/>
              </w:rPr>
            </w:pPr>
            <w:r w:rsidRPr="00471CBA">
              <w:rPr>
                <w:sz w:val="15"/>
                <w:szCs w:val="15"/>
              </w:rPr>
              <w:t>-</w:t>
            </w:r>
          </w:p>
        </w:tc>
      </w:tr>
      <w:tr w:rsidR="00E80D19" w:rsidRPr="00471CBA" w14:paraId="58085D5E" w14:textId="77777777" w:rsidTr="003A558E">
        <w:trPr>
          <w:trHeight w:val="20"/>
        </w:trPr>
        <w:tc>
          <w:tcPr>
            <w:tcW w:w="2407" w:type="dxa"/>
            <w:vAlign w:val="bottom"/>
            <w:hideMark/>
          </w:tcPr>
          <w:p w14:paraId="6F5DCEDB" w14:textId="77777777" w:rsidR="00E80D19" w:rsidRPr="00471CBA" w:rsidRDefault="00E80D19" w:rsidP="00E80D19">
            <w:pPr>
              <w:rPr>
                <w:color w:val="000000"/>
                <w:sz w:val="15"/>
                <w:szCs w:val="15"/>
              </w:rPr>
            </w:pPr>
            <w:r w:rsidRPr="00471CBA">
              <w:rPr>
                <w:color w:val="000000"/>
                <w:sz w:val="15"/>
                <w:szCs w:val="15"/>
              </w:rPr>
              <w:t xml:space="preserve">Ertelenmiş Vergi Varlığı </w:t>
            </w:r>
          </w:p>
        </w:tc>
        <w:tc>
          <w:tcPr>
            <w:tcW w:w="1264" w:type="dxa"/>
            <w:vAlign w:val="bottom"/>
          </w:tcPr>
          <w:p w14:paraId="7CD59B18" w14:textId="027610B1" w:rsidR="00E80D19" w:rsidRPr="00471CBA" w:rsidRDefault="00E80D19" w:rsidP="00F36B82">
            <w:pPr>
              <w:ind w:right="-42"/>
              <w:jc w:val="right"/>
              <w:rPr>
                <w:color w:val="000000"/>
                <w:sz w:val="16"/>
                <w:szCs w:val="16"/>
              </w:rPr>
            </w:pPr>
            <w:r w:rsidRPr="00471CBA">
              <w:rPr>
                <w:sz w:val="15"/>
                <w:szCs w:val="15"/>
              </w:rPr>
              <w:t>77.838</w:t>
            </w:r>
          </w:p>
        </w:tc>
        <w:tc>
          <w:tcPr>
            <w:tcW w:w="1105" w:type="dxa"/>
            <w:vAlign w:val="bottom"/>
          </w:tcPr>
          <w:p w14:paraId="29ABEB85" w14:textId="50D0A695" w:rsidR="00E80D19" w:rsidRPr="00471CBA" w:rsidRDefault="00E80D19" w:rsidP="00F36B82">
            <w:pPr>
              <w:ind w:right="-42"/>
              <w:jc w:val="right"/>
              <w:rPr>
                <w:color w:val="000000"/>
                <w:sz w:val="16"/>
                <w:szCs w:val="16"/>
              </w:rPr>
            </w:pPr>
            <w:r w:rsidRPr="00471CBA">
              <w:rPr>
                <w:sz w:val="15"/>
                <w:szCs w:val="15"/>
              </w:rPr>
              <w:t>77.838</w:t>
            </w:r>
          </w:p>
        </w:tc>
        <w:tc>
          <w:tcPr>
            <w:tcW w:w="1134" w:type="dxa"/>
            <w:vAlign w:val="bottom"/>
          </w:tcPr>
          <w:p w14:paraId="43771446" w14:textId="091B4258" w:rsidR="00E80D19" w:rsidRPr="00471CBA" w:rsidRDefault="00E80D19" w:rsidP="00F36B82">
            <w:pPr>
              <w:ind w:right="-42"/>
              <w:jc w:val="right"/>
              <w:rPr>
                <w:sz w:val="16"/>
                <w:szCs w:val="16"/>
              </w:rPr>
            </w:pPr>
            <w:r w:rsidRPr="00471CBA">
              <w:rPr>
                <w:sz w:val="15"/>
                <w:szCs w:val="15"/>
              </w:rPr>
              <w:t>-</w:t>
            </w:r>
          </w:p>
        </w:tc>
        <w:tc>
          <w:tcPr>
            <w:tcW w:w="1276" w:type="dxa"/>
            <w:vAlign w:val="bottom"/>
          </w:tcPr>
          <w:p w14:paraId="4A519BCB" w14:textId="4D3048EA" w:rsidR="00E80D19" w:rsidRPr="00471CBA" w:rsidRDefault="00E80D19" w:rsidP="00F36B82">
            <w:pPr>
              <w:ind w:right="-42"/>
              <w:jc w:val="right"/>
              <w:rPr>
                <w:sz w:val="16"/>
                <w:szCs w:val="16"/>
              </w:rPr>
            </w:pPr>
            <w:r w:rsidRPr="00471CBA">
              <w:rPr>
                <w:sz w:val="15"/>
                <w:szCs w:val="15"/>
              </w:rPr>
              <w:t>-</w:t>
            </w:r>
          </w:p>
        </w:tc>
        <w:tc>
          <w:tcPr>
            <w:tcW w:w="1048" w:type="dxa"/>
            <w:vAlign w:val="bottom"/>
          </w:tcPr>
          <w:p w14:paraId="37D296D5" w14:textId="13EE37A4" w:rsidR="00E80D19" w:rsidRPr="00471CBA" w:rsidRDefault="00E80D19" w:rsidP="00F36B82">
            <w:pPr>
              <w:ind w:right="-42"/>
              <w:jc w:val="right"/>
              <w:rPr>
                <w:sz w:val="16"/>
                <w:szCs w:val="16"/>
              </w:rPr>
            </w:pPr>
            <w:r w:rsidRPr="00471CBA">
              <w:rPr>
                <w:sz w:val="15"/>
                <w:szCs w:val="15"/>
              </w:rPr>
              <w:t>-</w:t>
            </w:r>
          </w:p>
        </w:tc>
        <w:tc>
          <w:tcPr>
            <w:tcW w:w="1426" w:type="dxa"/>
            <w:vAlign w:val="bottom"/>
          </w:tcPr>
          <w:p w14:paraId="24F14C49" w14:textId="0E0721EA" w:rsidR="00E80D19" w:rsidRPr="00471CBA" w:rsidRDefault="00E80D19" w:rsidP="00F36B82">
            <w:pPr>
              <w:ind w:right="-42"/>
              <w:jc w:val="right"/>
              <w:rPr>
                <w:sz w:val="16"/>
                <w:szCs w:val="16"/>
              </w:rPr>
            </w:pPr>
            <w:r w:rsidRPr="00471CBA">
              <w:rPr>
                <w:sz w:val="15"/>
                <w:szCs w:val="15"/>
              </w:rPr>
              <w:t>-</w:t>
            </w:r>
          </w:p>
        </w:tc>
      </w:tr>
      <w:tr w:rsidR="00E80D19" w:rsidRPr="00471CBA" w14:paraId="30210C8C" w14:textId="77777777" w:rsidTr="003A558E">
        <w:trPr>
          <w:trHeight w:val="20"/>
        </w:trPr>
        <w:tc>
          <w:tcPr>
            <w:tcW w:w="2407" w:type="dxa"/>
            <w:tcBorders>
              <w:top w:val="nil"/>
              <w:left w:val="nil"/>
              <w:bottom w:val="single" w:sz="4" w:space="0" w:color="auto"/>
              <w:right w:val="nil"/>
            </w:tcBorders>
            <w:vAlign w:val="bottom"/>
            <w:hideMark/>
          </w:tcPr>
          <w:p w14:paraId="53F2B89D" w14:textId="77777777" w:rsidR="00E80D19" w:rsidRPr="00471CBA" w:rsidRDefault="00E80D19" w:rsidP="00E80D19">
            <w:pPr>
              <w:rPr>
                <w:color w:val="000000"/>
                <w:sz w:val="15"/>
                <w:szCs w:val="15"/>
              </w:rPr>
            </w:pPr>
            <w:r w:rsidRPr="00471CBA">
              <w:rPr>
                <w:color w:val="000000"/>
                <w:sz w:val="15"/>
                <w:szCs w:val="15"/>
              </w:rPr>
              <w:t xml:space="preserve">Diğer Aktifler  </w:t>
            </w:r>
          </w:p>
        </w:tc>
        <w:tc>
          <w:tcPr>
            <w:tcW w:w="1264" w:type="dxa"/>
            <w:tcBorders>
              <w:top w:val="nil"/>
              <w:left w:val="nil"/>
              <w:bottom w:val="single" w:sz="4" w:space="0" w:color="auto"/>
              <w:right w:val="nil"/>
            </w:tcBorders>
            <w:vAlign w:val="bottom"/>
          </w:tcPr>
          <w:p w14:paraId="21A1343B" w14:textId="7C1F5A55" w:rsidR="00E80D19" w:rsidRPr="00471CBA" w:rsidRDefault="00E80D19" w:rsidP="00F36B82">
            <w:pPr>
              <w:ind w:right="-42"/>
              <w:jc w:val="right"/>
              <w:rPr>
                <w:color w:val="000000"/>
                <w:sz w:val="16"/>
                <w:szCs w:val="16"/>
              </w:rPr>
            </w:pPr>
            <w:r w:rsidRPr="00471CBA">
              <w:rPr>
                <w:sz w:val="15"/>
                <w:szCs w:val="15"/>
              </w:rPr>
              <w:t>225.797</w:t>
            </w:r>
          </w:p>
        </w:tc>
        <w:tc>
          <w:tcPr>
            <w:tcW w:w="1105" w:type="dxa"/>
            <w:tcBorders>
              <w:top w:val="nil"/>
              <w:left w:val="nil"/>
              <w:bottom w:val="single" w:sz="4" w:space="0" w:color="auto"/>
              <w:right w:val="nil"/>
            </w:tcBorders>
            <w:vAlign w:val="bottom"/>
          </w:tcPr>
          <w:p w14:paraId="405D8311" w14:textId="034E23FC" w:rsidR="00E80D19" w:rsidRPr="00471CBA" w:rsidRDefault="00E80D19" w:rsidP="00F36B82">
            <w:pPr>
              <w:ind w:right="-42"/>
              <w:jc w:val="right"/>
              <w:rPr>
                <w:color w:val="000000"/>
                <w:sz w:val="16"/>
                <w:szCs w:val="16"/>
              </w:rPr>
            </w:pPr>
            <w:r w:rsidRPr="00471CBA">
              <w:rPr>
                <w:sz w:val="15"/>
                <w:szCs w:val="15"/>
              </w:rPr>
              <w:t>225.797</w:t>
            </w:r>
          </w:p>
        </w:tc>
        <w:tc>
          <w:tcPr>
            <w:tcW w:w="1134" w:type="dxa"/>
            <w:tcBorders>
              <w:top w:val="nil"/>
              <w:left w:val="nil"/>
              <w:bottom w:val="single" w:sz="4" w:space="0" w:color="auto"/>
              <w:right w:val="nil"/>
            </w:tcBorders>
            <w:vAlign w:val="bottom"/>
          </w:tcPr>
          <w:p w14:paraId="5E79EF87" w14:textId="61C430C1" w:rsidR="00E80D19" w:rsidRPr="00471CBA" w:rsidRDefault="00E80D19" w:rsidP="00F36B82">
            <w:pPr>
              <w:ind w:right="-42"/>
              <w:jc w:val="right"/>
              <w:rPr>
                <w:sz w:val="16"/>
                <w:szCs w:val="16"/>
              </w:rPr>
            </w:pPr>
            <w:r w:rsidRPr="00471CBA">
              <w:rPr>
                <w:sz w:val="15"/>
                <w:szCs w:val="15"/>
              </w:rPr>
              <w:t>-</w:t>
            </w:r>
          </w:p>
        </w:tc>
        <w:tc>
          <w:tcPr>
            <w:tcW w:w="1276" w:type="dxa"/>
            <w:tcBorders>
              <w:top w:val="nil"/>
              <w:left w:val="nil"/>
              <w:bottom w:val="single" w:sz="4" w:space="0" w:color="auto"/>
              <w:right w:val="nil"/>
            </w:tcBorders>
            <w:vAlign w:val="bottom"/>
          </w:tcPr>
          <w:p w14:paraId="06E6EB68" w14:textId="197CC7A4" w:rsidR="00E80D19" w:rsidRPr="00471CBA" w:rsidRDefault="00E80D19" w:rsidP="00F36B82">
            <w:pPr>
              <w:ind w:right="-42"/>
              <w:jc w:val="right"/>
              <w:rPr>
                <w:sz w:val="16"/>
                <w:szCs w:val="16"/>
              </w:rPr>
            </w:pPr>
            <w:r w:rsidRPr="00471CBA">
              <w:rPr>
                <w:sz w:val="15"/>
                <w:szCs w:val="15"/>
              </w:rPr>
              <w:t>-</w:t>
            </w:r>
          </w:p>
        </w:tc>
        <w:tc>
          <w:tcPr>
            <w:tcW w:w="1048" w:type="dxa"/>
            <w:tcBorders>
              <w:top w:val="nil"/>
              <w:left w:val="nil"/>
              <w:bottom w:val="single" w:sz="4" w:space="0" w:color="auto"/>
              <w:right w:val="nil"/>
            </w:tcBorders>
            <w:vAlign w:val="bottom"/>
          </w:tcPr>
          <w:p w14:paraId="63E1B4B1" w14:textId="1B06F4C3" w:rsidR="00E80D19" w:rsidRPr="00471CBA" w:rsidRDefault="00E80D19" w:rsidP="00F36B82">
            <w:pPr>
              <w:ind w:right="-42"/>
              <w:jc w:val="right"/>
              <w:rPr>
                <w:sz w:val="16"/>
                <w:szCs w:val="16"/>
              </w:rPr>
            </w:pPr>
            <w:r w:rsidRPr="00471CBA">
              <w:rPr>
                <w:sz w:val="15"/>
                <w:szCs w:val="15"/>
              </w:rPr>
              <w:t>-</w:t>
            </w:r>
          </w:p>
        </w:tc>
        <w:tc>
          <w:tcPr>
            <w:tcW w:w="1426" w:type="dxa"/>
            <w:tcBorders>
              <w:top w:val="nil"/>
              <w:left w:val="nil"/>
              <w:bottom w:val="single" w:sz="4" w:space="0" w:color="auto"/>
              <w:right w:val="nil"/>
            </w:tcBorders>
            <w:vAlign w:val="bottom"/>
          </w:tcPr>
          <w:p w14:paraId="64DDE82E" w14:textId="18E405E0" w:rsidR="00E80D19" w:rsidRPr="00471CBA" w:rsidRDefault="00E80D19" w:rsidP="00F36B82">
            <w:pPr>
              <w:ind w:right="-42"/>
              <w:jc w:val="right"/>
              <w:rPr>
                <w:sz w:val="16"/>
                <w:szCs w:val="16"/>
              </w:rPr>
            </w:pPr>
            <w:r w:rsidRPr="00471CBA">
              <w:rPr>
                <w:sz w:val="15"/>
                <w:szCs w:val="15"/>
              </w:rPr>
              <w:t>-</w:t>
            </w:r>
          </w:p>
        </w:tc>
      </w:tr>
      <w:tr w:rsidR="00E80D19" w:rsidRPr="00471CBA" w14:paraId="4FCFADA6" w14:textId="77777777" w:rsidTr="003A558E">
        <w:trPr>
          <w:trHeight w:val="20"/>
        </w:trPr>
        <w:tc>
          <w:tcPr>
            <w:tcW w:w="2407" w:type="dxa"/>
            <w:tcBorders>
              <w:top w:val="single" w:sz="4" w:space="0" w:color="auto"/>
              <w:left w:val="nil"/>
              <w:bottom w:val="single" w:sz="12" w:space="0" w:color="auto"/>
              <w:right w:val="nil"/>
            </w:tcBorders>
            <w:vAlign w:val="bottom"/>
            <w:hideMark/>
          </w:tcPr>
          <w:p w14:paraId="7EEB168B" w14:textId="77777777" w:rsidR="00E80D19" w:rsidRPr="00471CBA" w:rsidRDefault="00E80D19" w:rsidP="00E80D19">
            <w:pPr>
              <w:rPr>
                <w:b/>
                <w:sz w:val="15"/>
                <w:szCs w:val="15"/>
              </w:rPr>
            </w:pPr>
            <w:r w:rsidRPr="00471CBA">
              <w:rPr>
                <w:b/>
                <w:sz w:val="15"/>
                <w:szCs w:val="15"/>
              </w:rPr>
              <w:t>Toplam Varlıklar</w:t>
            </w:r>
          </w:p>
        </w:tc>
        <w:tc>
          <w:tcPr>
            <w:tcW w:w="1264" w:type="dxa"/>
            <w:tcBorders>
              <w:top w:val="single" w:sz="4" w:space="0" w:color="auto"/>
              <w:left w:val="nil"/>
              <w:bottom w:val="single" w:sz="12" w:space="0" w:color="auto"/>
              <w:right w:val="nil"/>
            </w:tcBorders>
            <w:vAlign w:val="bottom"/>
          </w:tcPr>
          <w:p w14:paraId="1BCCE1D6" w14:textId="7A7073F6" w:rsidR="00E80D19" w:rsidRPr="00471CBA" w:rsidRDefault="00E80D19" w:rsidP="00F36B82">
            <w:pPr>
              <w:ind w:right="-42"/>
              <w:jc w:val="right"/>
              <w:rPr>
                <w:b/>
                <w:bCs/>
                <w:color w:val="000000"/>
                <w:sz w:val="16"/>
                <w:szCs w:val="16"/>
              </w:rPr>
            </w:pPr>
            <w:r w:rsidRPr="00471CBA">
              <w:rPr>
                <w:b/>
                <w:bCs/>
                <w:sz w:val="15"/>
                <w:szCs w:val="15"/>
              </w:rPr>
              <w:t>34.635.157</w:t>
            </w:r>
          </w:p>
        </w:tc>
        <w:tc>
          <w:tcPr>
            <w:tcW w:w="1105" w:type="dxa"/>
            <w:tcBorders>
              <w:top w:val="single" w:sz="4" w:space="0" w:color="auto"/>
              <w:left w:val="nil"/>
              <w:bottom w:val="single" w:sz="12" w:space="0" w:color="auto"/>
              <w:right w:val="nil"/>
            </w:tcBorders>
            <w:vAlign w:val="bottom"/>
          </w:tcPr>
          <w:p w14:paraId="1E0094A7" w14:textId="58533A5F" w:rsidR="00E80D19" w:rsidRPr="00471CBA" w:rsidRDefault="00E80D19" w:rsidP="00F36B82">
            <w:pPr>
              <w:ind w:right="-42"/>
              <w:jc w:val="right"/>
              <w:rPr>
                <w:b/>
                <w:bCs/>
                <w:color w:val="000000"/>
                <w:sz w:val="16"/>
                <w:szCs w:val="16"/>
              </w:rPr>
            </w:pPr>
            <w:r w:rsidRPr="00471CBA">
              <w:rPr>
                <w:b/>
                <w:bCs/>
                <w:sz w:val="15"/>
                <w:szCs w:val="15"/>
              </w:rPr>
              <w:t>34.479.600</w:t>
            </w:r>
          </w:p>
        </w:tc>
        <w:tc>
          <w:tcPr>
            <w:tcW w:w="1134" w:type="dxa"/>
            <w:tcBorders>
              <w:top w:val="single" w:sz="4" w:space="0" w:color="auto"/>
              <w:left w:val="nil"/>
              <w:bottom w:val="single" w:sz="12" w:space="0" w:color="auto"/>
              <w:right w:val="nil"/>
            </w:tcBorders>
            <w:vAlign w:val="bottom"/>
          </w:tcPr>
          <w:p w14:paraId="17539034" w14:textId="098DFFD0" w:rsidR="00E80D19" w:rsidRPr="00471CBA" w:rsidRDefault="00E80D19" w:rsidP="00F36B82">
            <w:pPr>
              <w:ind w:right="-42"/>
              <w:jc w:val="right"/>
              <w:rPr>
                <w:b/>
                <w:bCs/>
                <w:color w:val="000000"/>
                <w:sz w:val="16"/>
                <w:szCs w:val="16"/>
              </w:rPr>
            </w:pPr>
            <w:r w:rsidRPr="00471CBA">
              <w:rPr>
                <w:b/>
                <w:bCs/>
                <w:sz w:val="15"/>
                <w:szCs w:val="15"/>
              </w:rPr>
              <w:t>22.274</w:t>
            </w:r>
          </w:p>
        </w:tc>
        <w:tc>
          <w:tcPr>
            <w:tcW w:w="1276" w:type="dxa"/>
            <w:tcBorders>
              <w:top w:val="single" w:sz="4" w:space="0" w:color="auto"/>
              <w:left w:val="nil"/>
              <w:bottom w:val="single" w:sz="12" w:space="0" w:color="auto"/>
              <w:right w:val="nil"/>
            </w:tcBorders>
            <w:vAlign w:val="bottom"/>
          </w:tcPr>
          <w:p w14:paraId="7BCFE3F1" w14:textId="12DE768F" w:rsidR="00E80D19" w:rsidRPr="00471CBA" w:rsidRDefault="00E80D19" w:rsidP="00F36B82">
            <w:pPr>
              <w:ind w:right="-42"/>
              <w:jc w:val="right"/>
              <w:rPr>
                <w:b/>
                <w:bCs/>
                <w:color w:val="000000"/>
                <w:sz w:val="16"/>
                <w:szCs w:val="16"/>
              </w:rPr>
            </w:pPr>
            <w:r w:rsidRPr="00471CBA">
              <w:rPr>
                <w:b/>
                <w:bCs/>
                <w:sz w:val="15"/>
                <w:szCs w:val="15"/>
              </w:rPr>
              <w:t>-</w:t>
            </w:r>
          </w:p>
        </w:tc>
        <w:tc>
          <w:tcPr>
            <w:tcW w:w="1048" w:type="dxa"/>
            <w:tcBorders>
              <w:top w:val="single" w:sz="4" w:space="0" w:color="auto"/>
              <w:left w:val="nil"/>
              <w:bottom w:val="single" w:sz="12" w:space="0" w:color="auto"/>
              <w:right w:val="nil"/>
            </w:tcBorders>
            <w:vAlign w:val="bottom"/>
          </w:tcPr>
          <w:p w14:paraId="71689892" w14:textId="211D5428" w:rsidR="00E80D19" w:rsidRPr="00471CBA" w:rsidRDefault="00E80D19" w:rsidP="00F36B82">
            <w:pPr>
              <w:ind w:right="-42"/>
              <w:jc w:val="right"/>
              <w:rPr>
                <w:b/>
                <w:bCs/>
                <w:color w:val="000000"/>
                <w:sz w:val="16"/>
                <w:szCs w:val="16"/>
              </w:rPr>
            </w:pPr>
            <w:r w:rsidRPr="00471CBA">
              <w:rPr>
                <w:b/>
                <w:bCs/>
                <w:sz w:val="15"/>
                <w:szCs w:val="15"/>
              </w:rPr>
              <w:t>133.283</w:t>
            </w:r>
          </w:p>
        </w:tc>
        <w:tc>
          <w:tcPr>
            <w:tcW w:w="1426" w:type="dxa"/>
            <w:tcBorders>
              <w:top w:val="single" w:sz="4" w:space="0" w:color="auto"/>
              <w:left w:val="nil"/>
              <w:bottom w:val="single" w:sz="12" w:space="0" w:color="auto"/>
              <w:right w:val="nil"/>
            </w:tcBorders>
            <w:vAlign w:val="bottom"/>
          </w:tcPr>
          <w:p w14:paraId="54B21B57" w14:textId="0DE0D347" w:rsidR="00E80D19" w:rsidRPr="00471CBA" w:rsidRDefault="00E80D19" w:rsidP="00F36B82">
            <w:pPr>
              <w:ind w:right="-42"/>
              <w:jc w:val="right"/>
              <w:rPr>
                <w:b/>
                <w:bCs/>
                <w:color w:val="000000"/>
                <w:sz w:val="16"/>
                <w:szCs w:val="16"/>
              </w:rPr>
            </w:pPr>
            <w:r w:rsidRPr="00471CBA">
              <w:rPr>
                <w:b/>
                <w:bCs/>
                <w:sz w:val="15"/>
                <w:szCs w:val="15"/>
              </w:rPr>
              <w:t>719.880</w:t>
            </w:r>
          </w:p>
        </w:tc>
      </w:tr>
      <w:tr w:rsidR="00E80D19" w:rsidRPr="00471CBA" w14:paraId="6708FDF7" w14:textId="77777777" w:rsidTr="003A558E">
        <w:trPr>
          <w:trHeight w:val="20"/>
        </w:trPr>
        <w:tc>
          <w:tcPr>
            <w:tcW w:w="2407" w:type="dxa"/>
            <w:tcBorders>
              <w:top w:val="single" w:sz="12" w:space="0" w:color="auto"/>
              <w:left w:val="nil"/>
              <w:bottom w:val="nil"/>
              <w:right w:val="nil"/>
            </w:tcBorders>
            <w:vAlign w:val="bottom"/>
            <w:hideMark/>
          </w:tcPr>
          <w:p w14:paraId="6D45995C" w14:textId="77777777" w:rsidR="00E80D19" w:rsidRPr="00471CBA" w:rsidRDefault="00E80D19" w:rsidP="00E80D19">
            <w:pPr>
              <w:rPr>
                <w:b/>
                <w:sz w:val="15"/>
                <w:szCs w:val="15"/>
              </w:rPr>
            </w:pPr>
            <w:r w:rsidRPr="00471CBA">
              <w:rPr>
                <w:b/>
                <w:sz w:val="15"/>
                <w:szCs w:val="15"/>
              </w:rPr>
              <w:t>Yükümlülükler</w:t>
            </w:r>
          </w:p>
        </w:tc>
        <w:tc>
          <w:tcPr>
            <w:tcW w:w="1264" w:type="dxa"/>
            <w:tcBorders>
              <w:top w:val="single" w:sz="12" w:space="0" w:color="auto"/>
              <w:left w:val="nil"/>
              <w:bottom w:val="nil"/>
              <w:right w:val="nil"/>
            </w:tcBorders>
            <w:vAlign w:val="bottom"/>
          </w:tcPr>
          <w:p w14:paraId="22195962" w14:textId="0515F7AE" w:rsidR="00E80D19" w:rsidRPr="00471CBA" w:rsidRDefault="00E80D19" w:rsidP="00F36B82">
            <w:pPr>
              <w:ind w:right="-42"/>
              <w:jc w:val="right"/>
              <w:rPr>
                <w:color w:val="000000"/>
                <w:sz w:val="16"/>
                <w:szCs w:val="16"/>
              </w:rPr>
            </w:pPr>
          </w:p>
        </w:tc>
        <w:tc>
          <w:tcPr>
            <w:tcW w:w="1105" w:type="dxa"/>
            <w:tcBorders>
              <w:top w:val="single" w:sz="12" w:space="0" w:color="auto"/>
              <w:left w:val="nil"/>
              <w:bottom w:val="nil"/>
              <w:right w:val="nil"/>
            </w:tcBorders>
            <w:vAlign w:val="bottom"/>
          </w:tcPr>
          <w:p w14:paraId="4186BAED" w14:textId="36CB7A1F" w:rsidR="00E80D19" w:rsidRPr="00471CBA" w:rsidRDefault="00E80D19" w:rsidP="00F36B82">
            <w:pPr>
              <w:ind w:right="-42"/>
              <w:jc w:val="right"/>
              <w:rPr>
                <w:color w:val="000000"/>
                <w:sz w:val="16"/>
                <w:szCs w:val="16"/>
              </w:rPr>
            </w:pPr>
          </w:p>
        </w:tc>
        <w:tc>
          <w:tcPr>
            <w:tcW w:w="1134" w:type="dxa"/>
            <w:tcBorders>
              <w:top w:val="single" w:sz="12" w:space="0" w:color="auto"/>
              <w:left w:val="nil"/>
              <w:bottom w:val="nil"/>
              <w:right w:val="nil"/>
            </w:tcBorders>
            <w:vAlign w:val="bottom"/>
          </w:tcPr>
          <w:p w14:paraId="68BDE405" w14:textId="3718BBAC" w:rsidR="00E80D19" w:rsidRPr="00471CBA" w:rsidRDefault="00E80D19" w:rsidP="00F36B82">
            <w:pPr>
              <w:ind w:right="-42"/>
              <w:jc w:val="right"/>
              <w:rPr>
                <w:color w:val="000000"/>
                <w:sz w:val="16"/>
                <w:szCs w:val="16"/>
              </w:rPr>
            </w:pPr>
          </w:p>
        </w:tc>
        <w:tc>
          <w:tcPr>
            <w:tcW w:w="1276" w:type="dxa"/>
            <w:tcBorders>
              <w:top w:val="single" w:sz="12" w:space="0" w:color="auto"/>
              <w:left w:val="nil"/>
              <w:bottom w:val="nil"/>
              <w:right w:val="nil"/>
            </w:tcBorders>
            <w:vAlign w:val="bottom"/>
          </w:tcPr>
          <w:p w14:paraId="57E1906C" w14:textId="4AE4891B" w:rsidR="00E80D19" w:rsidRPr="00471CBA" w:rsidRDefault="00E80D19" w:rsidP="00F36B82">
            <w:pPr>
              <w:ind w:right="-42"/>
              <w:jc w:val="right"/>
              <w:rPr>
                <w:color w:val="000000"/>
                <w:sz w:val="16"/>
                <w:szCs w:val="16"/>
              </w:rPr>
            </w:pPr>
          </w:p>
        </w:tc>
        <w:tc>
          <w:tcPr>
            <w:tcW w:w="1048" w:type="dxa"/>
            <w:tcBorders>
              <w:top w:val="single" w:sz="12" w:space="0" w:color="auto"/>
              <w:left w:val="nil"/>
              <w:bottom w:val="nil"/>
              <w:right w:val="nil"/>
            </w:tcBorders>
            <w:vAlign w:val="bottom"/>
          </w:tcPr>
          <w:p w14:paraId="036E5BB3" w14:textId="3C6C9F8F" w:rsidR="00E80D19" w:rsidRPr="00471CBA" w:rsidRDefault="00E80D19" w:rsidP="00F36B82">
            <w:pPr>
              <w:ind w:right="-42"/>
              <w:jc w:val="right"/>
              <w:rPr>
                <w:color w:val="000000"/>
                <w:sz w:val="16"/>
                <w:szCs w:val="16"/>
              </w:rPr>
            </w:pPr>
          </w:p>
        </w:tc>
        <w:tc>
          <w:tcPr>
            <w:tcW w:w="1426" w:type="dxa"/>
            <w:tcBorders>
              <w:top w:val="single" w:sz="12" w:space="0" w:color="auto"/>
              <w:left w:val="nil"/>
              <w:bottom w:val="nil"/>
              <w:right w:val="nil"/>
            </w:tcBorders>
            <w:vAlign w:val="bottom"/>
          </w:tcPr>
          <w:p w14:paraId="3BC09B0C" w14:textId="2E32071E" w:rsidR="00E80D19" w:rsidRPr="00471CBA" w:rsidRDefault="00E80D19" w:rsidP="00F36B82">
            <w:pPr>
              <w:ind w:right="-42"/>
              <w:jc w:val="right"/>
              <w:rPr>
                <w:color w:val="000000"/>
                <w:sz w:val="16"/>
                <w:szCs w:val="16"/>
              </w:rPr>
            </w:pPr>
          </w:p>
        </w:tc>
      </w:tr>
      <w:tr w:rsidR="00E80D19" w:rsidRPr="00471CBA" w14:paraId="57C007D8" w14:textId="77777777" w:rsidTr="003A558E">
        <w:trPr>
          <w:trHeight w:val="20"/>
        </w:trPr>
        <w:tc>
          <w:tcPr>
            <w:tcW w:w="2407" w:type="dxa"/>
            <w:vAlign w:val="bottom"/>
            <w:hideMark/>
          </w:tcPr>
          <w:p w14:paraId="5F03C811" w14:textId="77777777" w:rsidR="00E80D19" w:rsidRPr="00471CBA" w:rsidRDefault="00E80D19" w:rsidP="00E80D19">
            <w:pPr>
              <w:rPr>
                <w:color w:val="000000"/>
                <w:sz w:val="15"/>
                <w:szCs w:val="15"/>
              </w:rPr>
            </w:pPr>
            <w:r w:rsidRPr="00471CBA">
              <w:rPr>
                <w:color w:val="000000"/>
                <w:sz w:val="15"/>
                <w:szCs w:val="15"/>
              </w:rPr>
              <w:t xml:space="preserve">Toplanan Fonlar </w:t>
            </w:r>
          </w:p>
        </w:tc>
        <w:tc>
          <w:tcPr>
            <w:tcW w:w="1264" w:type="dxa"/>
            <w:vAlign w:val="bottom"/>
          </w:tcPr>
          <w:p w14:paraId="2F1F1E20" w14:textId="7051E2D5" w:rsidR="00E80D19" w:rsidRPr="00471CBA" w:rsidRDefault="00E80D19" w:rsidP="00F36B82">
            <w:pPr>
              <w:ind w:right="-42"/>
              <w:jc w:val="right"/>
              <w:rPr>
                <w:color w:val="000000"/>
                <w:sz w:val="16"/>
                <w:szCs w:val="16"/>
              </w:rPr>
            </w:pPr>
            <w:r w:rsidRPr="00471CBA">
              <w:rPr>
                <w:sz w:val="15"/>
                <w:szCs w:val="15"/>
              </w:rPr>
              <w:t>23.824.709</w:t>
            </w:r>
          </w:p>
        </w:tc>
        <w:tc>
          <w:tcPr>
            <w:tcW w:w="1105" w:type="dxa"/>
            <w:vAlign w:val="bottom"/>
          </w:tcPr>
          <w:p w14:paraId="57D38552" w14:textId="62FD2A9B" w:rsidR="00E80D19" w:rsidRPr="00471CBA" w:rsidRDefault="00E80D19" w:rsidP="00F36B82">
            <w:pPr>
              <w:ind w:right="-42"/>
              <w:jc w:val="right"/>
              <w:rPr>
                <w:sz w:val="16"/>
                <w:szCs w:val="16"/>
              </w:rPr>
            </w:pPr>
            <w:r w:rsidRPr="00471CBA">
              <w:rPr>
                <w:sz w:val="15"/>
                <w:szCs w:val="15"/>
              </w:rPr>
              <w:t>-</w:t>
            </w:r>
          </w:p>
        </w:tc>
        <w:tc>
          <w:tcPr>
            <w:tcW w:w="1134" w:type="dxa"/>
            <w:vAlign w:val="bottom"/>
          </w:tcPr>
          <w:p w14:paraId="68AE7081" w14:textId="49B9D84B" w:rsidR="00E80D19" w:rsidRPr="00471CBA" w:rsidRDefault="00E80D19" w:rsidP="00F36B82">
            <w:pPr>
              <w:ind w:right="-42"/>
              <w:jc w:val="right"/>
              <w:rPr>
                <w:sz w:val="16"/>
                <w:szCs w:val="16"/>
              </w:rPr>
            </w:pPr>
            <w:r w:rsidRPr="00471CBA">
              <w:rPr>
                <w:sz w:val="15"/>
                <w:szCs w:val="15"/>
              </w:rPr>
              <w:t>-</w:t>
            </w:r>
          </w:p>
        </w:tc>
        <w:tc>
          <w:tcPr>
            <w:tcW w:w="1276" w:type="dxa"/>
            <w:vAlign w:val="bottom"/>
          </w:tcPr>
          <w:p w14:paraId="071EFD47" w14:textId="47B0D8BD" w:rsidR="00E80D19" w:rsidRPr="00471CBA" w:rsidRDefault="00E80D19" w:rsidP="00F36B82">
            <w:pPr>
              <w:ind w:right="-42"/>
              <w:jc w:val="right"/>
              <w:rPr>
                <w:sz w:val="16"/>
                <w:szCs w:val="16"/>
              </w:rPr>
            </w:pPr>
            <w:r w:rsidRPr="00471CBA">
              <w:rPr>
                <w:sz w:val="15"/>
                <w:szCs w:val="15"/>
              </w:rPr>
              <w:t>-</w:t>
            </w:r>
          </w:p>
        </w:tc>
        <w:tc>
          <w:tcPr>
            <w:tcW w:w="1048" w:type="dxa"/>
            <w:vAlign w:val="bottom"/>
          </w:tcPr>
          <w:p w14:paraId="4AE73C4C" w14:textId="179B0C6A" w:rsidR="00E80D19" w:rsidRPr="00471CBA" w:rsidRDefault="00E80D19" w:rsidP="00F36B82">
            <w:pPr>
              <w:ind w:right="-42"/>
              <w:jc w:val="right"/>
              <w:rPr>
                <w:sz w:val="16"/>
                <w:szCs w:val="16"/>
              </w:rPr>
            </w:pPr>
            <w:r w:rsidRPr="00471CBA">
              <w:rPr>
                <w:sz w:val="15"/>
                <w:szCs w:val="15"/>
              </w:rPr>
              <w:t>-</w:t>
            </w:r>
          </w:p>
        </w:tc>
        <w:tc>
          <w:tcPr>
            <w:tcW w:w="1426" w:type="dxa"/>
            <w:vAlign w:val="bottom"/>
          </w:tcPr>
          <w:p w14:paraId="24010F98" w14:textId="2A6A3E45" w:rsidR="00E80D19" w:rsidRPr="00471CBA" w:rsidRDefault="00E80D19" w:rsidP="00F36B82">
            <w:pPr>
              <w:ind w:right="-42"/>
              <w:jc w:val="right"/>
              <w:rPr>
                <w:color w:val="000000"/>
                <w:sz w:val="16"/>
                <w:szCs w:val="16"/>
              </w:rPr>
            </w:pPr>
            <w:r w:rsidRPr="00471CBA">
              <w:rPr>
                <w:sz w:val="15"/>
                <w:szCs w:val="15"/>
              </w:rPr>
              <w:t>23.824.709</w:t>
            </w:r>
          </w:p>
        </w:tc>
      </w:tr>
      <w:tr w:rsidR="00E80D19" w:rsidRPr="00471CBA" w14:paraId="06A13EA1" w14:textId="77777777" w:rsidTr="003A558E">
        <w:trPr>
          <w:trHeight w:val="20"/>
        </w:trPr>
        <w:tc>
          <w:tcPr>
            <w:tcW w:w="2407" w:type="dxa"/>
            <w:vAlign w:val="bottom"/>
            <w:hideMark/>
          </w:tcPr>
          <w:p w14:paraId="7CF9CA33" w14:textId="77777777" w:rsidR="00E80D19" w:rsidRPr="00471CBA" w:rsidRDefault="00E80D19" w:rsidP="00E80D19">
            <w:pPr>
              <w:rPr>
                <w:color w:val="000000"/>
                <w:sz w:val="15"/>
                <w:szCs w:val="15"/>
              </w:rPr>
            </w:pPr>
            <w:r w:rsidRPr="00471CBA">
              <w:rPr>
                <w:color w:val="000000"/>
                <w:sz w:val="15"/>
                <w:szCs w:val="15"/>
              </w:rPr>
              <w:t>Alınan Krediler</w:t>
            </w:r>
          </w:p>
        </w:tc>
        <w:tc>
          <w:tcPr>
            <w:tcW w:w="1264" w:type="dxa"/>
            <w:vAlign w:val="bottom"/>
          </w:tcPr>
          <w:p w14:paraId="15CEF37A" w14:textId="5DE4EDE4" w:rsidR="00E80D19" w:rsidRPr="00471CBA" w:rsidRDefault="00E80D19" w:rsidP="00F36B82">
            <w:pPr>
              <w:ind w:right="-42"/>
              <w:jc w:val="right"/>
              <w:rPr>
                <w:color w:val="000000"/>
                <w:sz w:val="16"/>
                <w:szCs w:val="16"/>
              </w:rPr>
            </w:pPr>
            <w:r w:rsidRPr="00471CBA">
              <w:rPr>
                <w:sz w:val="15"/>
                <w:szCs w:val="15"/>
              </w:rPr>
              <w:t>1.922.240</w:t>
            </w:r>
          </w:p>
        </w:tc>
        <w:tc>
          <w:tcPr>
            <w:tcW w:w="1105" w:type="dxa"/>
            <w:vAlign w:val="bottom"/>
          </w:tcPr>
          <w:p w14:paraId="3F5F46FE" w14:textId="0530B34C" w:rsidR="00E80D19" w:rsidRPr="00471CBA" w:rsidRDefault="00E80D19" w:rsidP="00F36B82">
            <w:pPr>
              <w:ind w:right="-42"/>
              <w:jc w:val="right"/>
              <w:rPr>
                <w:sz w:val="16"/>
                <w:szCs w:val="16"/>
              </w:rPr>
            </w:pPr>
            <w:r w:rsidRPr="00471CBA">
              <w:rPr>
                <w:sz w:val="15"/>
                <w:szCs w:val="15"/>
              </w:rPr>
              <w:t>-</w:t>
            </w:r>
          </w:p>
        </w:tc>
        <w:tc>
          <w:tcPr>
            <w:tcW w:w="1134" w:type="dxa"/>
            <w:vAlign w:val="bottom"/>
          </w:tcPr>
          <w:p w14:paraId="4533568A" w14:textId="193993B4" w:rsidR="00E80D19" w:rsidRPr="00471CBA" w:rsidRDefault="00E80D19" w:rsidP="00F36B82">
            <w:pPr>
              <w:ind w:right="-42"/>
              <w:jc w:val="right"/>
              <w:rPr>
                <w:sz w:val="16"/>
                <w:szCs w:val="16"/>
              </w:rPr>
            </w:pPr>
            <w:r w:rsidRPr="00471CBA">
              <w:rPr>
                <w:sz w:val="15"/>
                <w:szCs w:val="15"/>
              </w:rPr>
              <w:t>-</w:t>
            </w:r>
          </w:p>
        </w:tc>
        <w:tc>
          <w:tcPr>
            <w:tcW w:w="1276" w:type="dxa"/>
            <w:vAlign w:val="bottom"/>
          </w:tcPr>
          <w:p w14:paraId="5D8BC4EC" w14:textId="5AA128E3" w:rsidR="00E80D19" w:rsidRPr="00471CBA" w:rsidRDefault="00E80D19" w:rsidP="00F36B82">
            <w:pPr>
              <w:ind w:right="-42"/>
              <w:jc w:val="right"/>
              <w:rPr>
                <w:sz w:val="16"/>
                <w:szCs w:val="16"/>
              </w:rPr>
            </w:pPr>
            <w:r w:rsidRPr="00471CBA">
              <w:rPr>
                <w:sz w:val="15"/>
                <w:szCs w:val="15"/>
              </w:rPr>
              <w:t>-</w:t>
            </w:r>
          </w:p>
        </w:tc>
        <w:tc>
          <w:tcPr>
            <w:tcW w:w="1048" w:type="dxa"/>
            <w:vAlign w:val="bottom"/>
          </w:tcPr>
          <w:p w14:paraId="560E74F0" w14:textId="6B3A8EF9" w:rsidR="00E80D19" w:rsidRPr="00471CBA" w:rsidRDefault="00E80D19" w:rsidP="00F36B82">
            <w:pPr>
              <w:ind w:right="-42"/>
              <w:jc w:val="right"/>
              <w:rPr>
                <w:sz w:val="16"/>
                <w:szCs w:val="16"/>
              </w:rPr>
            </w:pPr>
            <w:r w:rsidRPr="00471CBA">
              <w:rPr>
                <w:sz w:val="15"/>
                <w:szCs w:val="15"/>
              </w:rPr>
              <w:t>-</w:t>
            </w:r>
          </w:p>
        </w:tc>
        <w:tc>
          <w:tcPr>
            <w:tcW w:w="1426" w:type="dxa"/>
            <w:vAlign w:val="bottom"/>
          </w:tcPr>
          <w:p w14:paraId="03A907EA" w14:textId="4D206C90" w:rsidR="00E80D19" w:rsidRPr="00471CBA" w:rsidRDefault="00E80D19" w:rsidP="00F36B82">
            <w:pPr>
              <w:ind w:right="-42"/>
              <w:jc w:val="right"/>
              <w:rPr>
                <w:color w:val="000000"/>
                <w:sz w:val="16"/>
                <w:szCs w:val="16"/>
              </w:rPr>
            </w:pPr>
            <w:r w:rsidRPr="00471CBA">
              <w:rPr>
                <w:sz w:val="15"/>
                <w:szCs w:val="15"/>
              </w:rPr>
              <w:t>1.922.240</w:t>
            </w:r>
          </w:p>
        </w:tc>
      </w:tr>
      <w:tr w:rsidR="00E80D19" w:rsidRPr="00471CBA" w14:paraId="5432140C" w14:textId="77777777" w:rsidTr="003A558E">
        <w:trPr>
          <w:trHeight w:val="20"/>
        </w:trPr>
        <w:tc>
          <w:tcPr>
            <w:tcW w:w="2407" w:type="dxa"/>
            <w:vAlign w:val="bottom"/>
            <w:hideMark/>
          </w:tcPr>
          <w:p w14:paraId="72EC56D0" w14:textId="77777777" w:rsidR="00E80D19" w:rsidRPr="00471CBA" w:rsidRDefault="00E80D19" w:rsidP="00E80D19">
            <w:pPr>
              <w:rPr>
                <w:color w:val="000000"/>
                <w:sz w:val="15"/>
                <w:szCs w:val="15"/>
              </w:rPr>
            </w:pPr>
            <w:r w:rsidRPr="00471CBA">
              <w:rPr>
                <w:color w:val="000000"/>
                <w:sz w:val="15"/>
                <w:szCs w:val="15"/>
              </w:rPr>
              <w:t>Para Piyasalarına Borçlar</w:t>
            </w:r>
          </w:p>
        </w:tc>
        <w:tc>
          <w:tcPr>
            <w:tcW w:w="1264" w:type="dxa"/>
            <w:vAlign w:val="bottom"/>
          </w:tcPr>
          <w:p w14:paraId="6FCB6FD5" w14:textId="245314C4" w:rsidR="00E80D19" w:rsidRPr="00471CBA" w:rsidRDefault="00E80D19" w:rsidP="00F36B82">
            <w:pPr>
              <w:ind w:right="-42"/>
              <w:jc w:val="right"/>
              <w:rPr>
                <w:color w:val="000000"/>
                <w:sz w:val="16"/>
                <w:szCs w:val="16"/>
              </w:rPr>
            </w:pPr>
            <w:r w:rsidRPr="00471CBA">
              <w:rPr>
                <w:sz w:val="15"/>
                <w:szCs w:val="15"/>
              </w:rPr>
              <w:t>480.631</w:t>
            </w:r>
          </w:p>
        </w:tc>
        <w:tc>
          <w:tcPr>
            <w:tcW w:w="1105" w:type="dxa"/>
            <w:vAlign w:val="bottom"/>
          </w:tcPr>
          <w:p w14:paraId="6A8E2B66" w14:textId="016A483F" w:rsidR="00E80D19" w:rsidRPr="00471CBA" w:rsidRDefault="00E80D19" w:rsidP="00F36B82">
            <w:pPr>
              <w:ind w:right="-42"/>
              <w:jc w:val="right"/>
              <w:rPr>
                <w:sz w:val="16"/>
                <w:szCs w:val="16"/>
              </w:rPr>
            </w:pPr>
            <w:r w:rsidRPr="00471CBA">
              <w:rPr>
                <w:sz w:val="15"/>
                <w:szCs w:val="15"/>
              </w:rPr>
              <w:t>-</w:t>
            </w:r>
          </w:p>
        </w:tc>
        <w:tc>
          <w:tcPr>
            <w:tcW w:w="1134" w:type="dxa"/>
            <w:vAlign w:val="bottom"/>
          </w:tcPr>
          <w:p w14:paraId="6B23CCFB" w14:textId="064966C6" w:rsidR="00E80D19" w:rsidRPr="00471CBA" w:rsidRDefault="00E80D19" w:rsidP="00F36B82">
            <w:pPr>
              <w:ind w:right="-42"/>
              <w:jc w:val="right"/>
              <w:rPr>
                <w:sz w:val="16"/>
                <w:szCs w:val="16"/>
              </w:rPr>
            </w:pPr>
            <w:r w:rsidRPr="00471CBA">
              <w:rPr>
                <w:sz w:val="15"/>
                <w:szCs w:val="15"/>
              </w:rPr>
              <w:t>480.631</w:t>
            </w:r>
          </w:p>
        </w:tc>
        <w:tc>
          <w:tcPr>
            <w:tcW w:w="1276" w:type="dxa"/>
            <w:vAlign w:val="bottom"/>
          </w:tcPr>
          <w:p w14:paraId="577BACB9" w14:textId="7DA99F07" w:rsidR="00E80D19" w:rsidRPr="00471CBA" w:rsidRDefault="00E80D19" w:rsidP="00F36B82">
            <w:pPr>
              <w:ind w:right="-42"/>
              <w:jc w:val="right"/>
              <w:rPr>
                <w:sz w:val="16"/>
                <w:szCs w:val="16"/>
              </w:rPr>
            </w:pPr>
            <w:r w:rsidRPr="00471CBA">
              <w:rPr>
                <w:sz w:val="15"/>
                <w:szCs w:val="15"/>
              </w:rPr>
              <w:t>-</w:t>
            </w:r>
          </w:p>
        </w:tc>
        <w:tc>
          <w:tcPr>
            <w:tcW w:w="1048" w:type="dxa"/>
            <w:vAlign w:val="bottom"/>
          </w:tcPr>
          <w:p w14:paraId="3E9E12A5" w14:textId="098010DE" w:rsidR="00E80D19" w:rsidRPr="00471CBA" w:rsidRDefault="00E80D19" w:rsidP="00F36B82">
            <w:pPr>
              <w:ind w:right="-42"/>
              <w:jc w:val="right"/>
              <w:rPr>
                <w:sz w:val="16"/>
                <w:szCs w:val="16"/>
              </w:rPr>
            </w:pPr>
            <w:r w:rsidRPr="00471CBA">
              <w:rPr>
                <w:sz w:val="15"/>
                <w:szCs w:val="15"/>
              </w:rPr>
              <w:t>-</w:t>
            </w:r>
          </w:p>
        </w:tc>
        <w:tc>
          <w:tcPr>
            <w:tcW w:w="1426" w:type="dxa"/>
            <w:vAlign w:val="bottom"/>
          </w:tcPr>
          <w:p w14:paraId="513E0AD3" w14:textId="3CC95E21" w:rsidR="00E80D19" w:rsidRPr="00471CBA" w:rsidRDefault="00E80D19" w:rsidP="00F36B82">
            <w:pPr>
              <w:ind w:right="-42"/>
              <w:jc w:val="right"/>
              <w:rPr>
                <w:color w:val="000000"/>
                <w:sz w:val="16"/>
                <w:szCs w:val="16"/>
              </w:rPr>
            </w:pPr>
            <w:r w:rsidRPr="00471CBA">
              <w:rPr>
                <w:sz w:val="15"/>
                <w:szCs w:val="15"/>
              </w:rPr>
              <w:t>-</w:t>
            </w:r>
          </w:p>
        </w:tc>
      </w:tr>
      <w:tr w:rsidR="00E80D19" w:rsidRPr="00471CBA" w14:paraId="70808B33" w14:textId="77777777" w:rsidTr="003A558E">
        <w:trPr>
          <w:trHeight w:val="20"/>
        </w:trPr>
        <w:tc>
          <w:tcPr>
            <w:tcW w:w="2407" w:type="dxa"/>
            <w:vAlign w:val="bottom"/>
            <w:hideMark/>
          </w:tcPr>
          <w:p w14:paraId="2037F092" w14:textId="77777777" w:rsidR="00E80D19" w:rsidRPr="00471CBA" w:rsidRDefault="00E80D19" w:rsidP="00E80D19">
            <w:pPr>
              <w:rPr>
                <w:color w:val="000000"/>
                <w:sz w:val="15"/>
                <w:szCs w:val="15"/>
              </w:rPr>
            </w:pPr>
            <w:r w:rsidRPr="00471CBA">
              <w:rPr>
                <w:color w:val="000000"/>
                <w:sz w:val="15"/>
                <w:szCs w:val="15"/>
              </w:rPr>
              <w:t>İhraç Edilen Menkul Kıymetler (Net)</w:t>
            </w:r>
          </w:p>
        </w:tc>
        <w:tc>
          <w:tcPr>
            <w:tcW w:w="1264" w:type="dxa"/>
            <w:vAlign w:val="bottom"/>
          </w:tcPr>
          <w:p w14:paraId="1D14CD35" w14:textId="190CFD4C" w:rsidR="00E80D19" w:rsidRPr="00471CBA" w:rsidRDefault="00E80D19" w:rsidP="00F36B82">
            <w:pPr>
              <w:ind w:right="-42"/>
              <w:jc w:val="right"/>
              <w:rPr>
                <w:color w:val="000000"/>
                <w:sz w:val="16"/>
                <w:szCs w:val="16"/>
              </w:rPr>
            </w:pPr>
            <w:r w:rsidRPr="00471CBA">
              <w:rPr>
                <w:sz w:val="15"/>
                <w:szCs w:val="15"/>
              </w:rPr>
              <w:t>-</w:t>
            </w:r>
          </w:p>
        </w:tc>
        <w:tc>
          <w:tcPr>
            <w:tcW w:w="1105" w:type="dxa"/>
            <w:vAlign w:val="bottom"/>
          </w:tcPr>
          <w:p w14:paraId="42113EA0" w14:textId="0CB18C99" w:rsidR="00E80D19" w:rsidRPr="00471CBA" w:rsidRDefault="00E80D19" w:rsidP="00F36B82">
            <w:pPr>
              <w:ind w:right="-42"/>
              <w:jc w:val="right"/>
              <w:rPr>
                <w:sz w:val="16"/>
                <w:szCs w:val="16"/>
              </w:rPr>
            </w:pPr>
            <w:r w:rsidRPr="00471CBA">
              <w:rPr>
                <w:sz w:val="15"/>
                <w:szCs w:val="15"/>
              </w:rPr>
              <w:t>-</w:t>
            </w:r>
          </w:p>
        </w:tc>
        <w:tc>
          <w:tcPr>
            <w:tcW w:w="1134" w:type="dxa"/>
            <w:vAlign w:val="bottom"/>
          </w:tcPr>
          <w:p w14:paraId="2A9C47D5" w14:textId="3F8FC6CC" w:rsidR="00E80D19" w:rsidRPr="00471CBA" w:rsidRDefault="00E80D19" w:rsidP="00F36B82">
            <w:pPr>
              <w:ind w:right="-42"/>
              <w:jc w:val="right"/>
              <w:rPr>
                <w:sz w:val="16"/>
                <w:szCs w:val="16"/>
              </w:rPr>
            </w:pPr>
            <w:r w:rsidRPr="00471CBA">
              <w:rPr>
                <w:sz w:val="15"/>
                <w:szCs w:val="15"/>
              </w:rPr>
              <w:t>-</w:t>
            </w:r>
          </w:p>
        </w:tc>
        <w:tc>
          <w:tcPr>
            <w:tcW w:w="1276" w:type="dxa"/>
            <w:vAlign w:val="bottom"/>
          </w:tcPr>
          <w:p w14:paraId="487C89B3" w14:textId="3020B106" w:rsidR="00E80D19" w:rsidRPr="00471CBA" w:rsidRDefault="00E80D19" w:rsidP="00F36B82">
            <w:pPr>
              <w:ind w:right="-42"/>
              <w:jc w:val="right"/>
              <w:rPr>
                <w:sz w:val="16"/>
                <w:szCs w:val="16"/>
              </w:rPr>
            </w:pPr>
            <w:r w:rsidRPr="00471CBA">
              <w:rPr>
                <w:sz w:val="15"/>
                <w:szCs w:val="15"/>
              </w:rPr>
              <w:t>-</w:t>
            </w:r>
          </w:p>
        </w:tc>
        <w:tc>
          <w:tcPr>
            <w:tcW w:w="1048" w:type="dxa"/>
            <w:vAlign w:val="bottom"/>
          </w:tcPr>
          <w:p w14:paraId="6CBB7144" w14:textId="72C2230F" w:rsidR="00E80D19" w:rsidRPr="00471CBA" w:rsidRDefault="00E80D19" w:rsidP="00F36B82">
            <w:pPr>
              <w:ind w:right="-42"/>
              <w:jc w:val="right"/>
              <w:rPr>
                <w:sz w:val="16"/>
                <w:szCs w:val="16"/>
              </w:rPr>
            </w:pPr>
            <w:r w:rsidRPr="00471CBA">
              <w:rPr>
                <w:sz w:val="15"/>
                <w:szCs w:val="15"/>
              </w:rPr>
              <w:t>-</w:t>
            </w:r>
          </w:p>
        </w:tc>
        <w:tc>
          <w:tcPr>
            <w:tcW w:w="1426" w:type="dxa"/>
            <w:vAlign w:val="bottom"/>
          </w:tcPr>
          <w:p w14:paraId="6DF5245A" w14:textId="3AD8DE3F" w:rsidR="00E80D19" w:rsidRPr="00471CBA" w:rsidRDefault="00E80D19" w:rsidP="00F36B82">
            <w:pPr>
              <w:ind w:right="-42"/>
              <w:jc w:val="right"/>
              <w:rPr>
                <w:color w:val="000000"/>
                <w:sz w:val="16"/>
                <w:szCs w:val="16"/>
              </w:rPr>
            </w:pPr>
            <w:r w:rsidRPr="00471CBA">
              <w:rPr>
                <w:sz w:val="15"/>
                <w:szCs w:val="15"/>
              </w:rPr>
              <w:t>-</w:t>
            </w:r>
          </w:p>
        </w:tc>
      </w:tr>
      <w:tr w:rsidR="00E80D19" w:rsidRPr="00471CBA" w14:paraId="7AEFD840" w14:textId="77777777" w:rsidTr="003A558E">
        <w:trPr>
          <w:trHeight w:val="20"/>
        </w:trPr>
        <w:tc>
          <w:tcPr>
            <w:tcW w:w="2407" w:type="dxa"/>
            <w:vAlign w:val="bottom"/>
            <w:hideMark/>
          </w:tcPr>
          <w:p w14:paraId="0E692322" w14:textId="77777777" w:rsidR="00E80D19" w:rsidRPr="00471CBA" w:rsidRDefault="00E80D19" w:rsidP="00E80D19">
            <w:pPr>
              <w:rPr>
                <w:color w:val="000000"/>
                <w:sz w:val="15"/>
                <w:szCs w:val="15"/>
              </w:rPr>
            </w:pPr>
            <w:r w:rsidRPr="00471CBA">
              <w:rPr>
                <w:color w:val="000000"/>
                <w:sz w:val="15"/>
                <w:szCs w:val="15"/>
              </w:rPr>
              <w:t>Gerçeğe Uygun Değer Farkı Kar Zarara Yansıtılan Finansal Yükümlülükler</w:t>
            </w:r>
          </w:p>
        </w:tc>
        <w:tc>
          <w:tcPr>
            <w:tcW w:w="1264" w:type="dxa"/>
            <w:vAlign w:val="bottom"/>
          </w:tcPr>
          <w:p w14:paraId="72758FB6" w14:textId="34E2704D" w:rsidR="00E80D19" w:rsidRPr="00471CBA" w:rsidRDefault="00E80D19" w:rsidP="00F36B82">
            <w:pPr>
              <w:ind w:right="-42"/>
              <w:jc w:val="right"/>
              <w:rPr>
                <w:color w:val="000000"/>
                <w:sz w:val="16"/>
                <w:szCs w:val="16"/>
              </w:rPr>
            </w:pPr>
            <w:r w:rsidRPr="00471CBA">
              <w:rPr>
                <w:sz w:val="15"/>
                <w:szCs w:val="15"/>
              </w:rPr>
              <w:t>-</w:t>
            </w:r>
          </w:p>
        </w:tc>
        <w:tc>
          <w:tcPr>
            <w:tcW w:w="1105" w:type="dxa"/>
            <w:vAlign w:val="bottom"/>
          </w:tcPr>
          <w:p w14:paraId="23173A72" w14:textId="53B849CB" w:rsidR="00E80D19" w:rsidRPr="00471CBA" w:rsidRDefault="00E80D19" w:rsidP="00F36B82">
            <w:pPr>
              <w:ind w:right="-42"/>
              <w:jc w:val="right"/>
              <w:rPr>
                <w:sz w:val="16"/>
                <w:szCs w:val="16"/>
              </w:rPr>
            </w:pPr>
            <w:r w:rsidRPr="00471CBA">
              <w:rPr>
                <w:sz w:val="15"/>
                <w:szCs w:val="15"/>
              </w:rPr>
              <w:t>-</w:t>
            </w:r>
          </w:p>
        </w:tc>
        <w:tc>
          <w:tcPr>
            <w:tcW w:w="1134" w:type="dxa"/>
            <w:vAlign w:val="bottom"/>
          </w:tcPr>
          <w:p w14:paraId="4D29EEAC" w14:textId="2A3085D1" w:rsidR="00E80D19" w:rsidRPr="00471CBA" w:rsidRDefault="00E80D19" w:rsidP="00F36B82">
            <w:pPr>
              <w:ind w:right="-42"/>
              <w:jc w:val="right"/>
              <w:rPr>
                <w:sz w:val="16"/>
                <w:szCs w:val="16"/>
              </w:rPr>
            </w:pPr>
            <w:r w:rsidRPr="00471CBA">
              <w:rPr>
                <w:sz w:val="15"/>
                <w:szCs w:val="15"/>
              </w:rPr>
              <w:t>-</w:t>
            </w:r>
          </w:p>
        </w:tc>
        <w:tc>
          <w:tcPr>
            <w:tcW w:w="1276" w:type="dxa"/>
            <w:vAlign w:val="bottom"/>
          </w:tcPr>
          <w:p w14:paraId="5CB60C5B" w14:textId="32D91FCB" w:rsidR="00E80D19" w:rsidRPr="00471CBA" w:rsidRDefault="00E80D19" w:rsidP="00F36B82">
            <w:pPr>
              <w:ind w:right="-42"/>
              <w:jc w:val="right"/>
              <w:rPr>
                <w:sz w:val="16"/>
                <w:szCs w:val="16"/>
              </w:rPr>
            </w:pPr>
            <w:r w:rsidRPr="00471CBA">
              <w:rPr>
                <w:sz w:val="15"/>
                <w:szCs w:val="15"/>
              </w:rPr>
              <w:t>-</w:t>
            </w:r>
          </w:p>
        </w:tc>
        <w:tc>
          <w:tcPr>
            <w:tcW w:w="1048" w:type="dxa"/>
            <w:vAlign w:val="bottom"/>
          </w:tcPr>
          <w:p w14:paraId="4F04F106" w14:textId="3F6A34AF" w:rsidR="00E80D19" w:rsidRPr="00471CBA" w:rsidRDefault="00E80D19" w:rsidP="00F36B82">
            <w:pPr>
              <w:ind w:right="-42"/>
              <w:jc w:val="right"/>
              <w:rPr>
                <w:sz w:val="16"/>
                <w:szCs w:val="16"/>
              </w:rPr>
            </w:pPr>
            <w:r w:rsidRPr="00471CBA">
              <w:rPr>
                <w:sz w:val="15"/>
                <w:szCs w:val="15"/>
              </w:rPr>
              <w:t>-</w:t>
            </w:r>
          </w:p>
        </w:tc>
        <w:tc>
          <w:tcPr>
            <w:tcW w:w="1426" w:type="dxa"/>
            <w:vAlign w:val="bottom"/>
          </w:tcPr>
          <w:p w14:paraId="0B9F5796" w14:textId="408ED5B8" w:rsidR="00E80D19" w:rsidRPr="00471CBA" w:rsidRDefault="00E80D19" w:rsidP="00F36B82">
            <w:pPr>
              <w:ind w:right="-42"/>
              <w:jc w:val="right"/>
              <w:rPr>
                <w:color w:val="000000"/>
                <w:sz w:val="16"/>
                <w:szCs w:val="16"/>
              </w:rPr>
            </w:pPr>
            <w:r w:rsidRPr="00471CBA">
              <w:rPr>
                <w:sz w:val="15"/>
                <w:szCs w:val="15"/>
              </w:rPr>
              <w:t>-</w:t>
            </w:r>
          </w:p>
        </w:tc>
      </w:tr>
      <w:tr w:rsidR="00E80D19" w:rsidRPr="00471CBA" w14:paraId="4864C18D" w14:textId="77777777" w:rsidTr="003A558E">
        <w:trPr>
          <w:trHeight w:val="20"/>
        </w:trPr>
        <w:tc>
          <w:tcPr>
            <w:tcW w:w="2407" w:type="dxa"/>
            <w:vAlign w:val="bottom"/>
            <w:hideMark/>
          </w:tcPr>
          <w:p w14:paraId="5E480962" w14:textId="77777777" w:rsidR="00E80D19" w:rsidRPr="00471CBA" w:rsidRDefault="00E80D19" w:rsidP="00E80D19">
            <w:pPr>
              <w:rPr>
                <w:color w:val="000000"/>
                <w:sz w:val="15"/>
                <w:szCs w:val="15"/>
              </w:rPr>
            </w:pPr>
            <w:r w:rsidRPr="00471CBA">
              <w:rPr>
                <w:color w:val="000000"/>
                <w:sz w:val="15"/>
                <w:szCs w:val="15"/>
              </w:rPr>
              <w:t>Türev Finansal Yükümlülükler</w:t>
            </w:r>
          </w:p>
        </w:tc>
        <w:tc>
          <w:tcPr>
            <w:tcW w:w="1264" w:type="dxa"/>
            <w:vAlign w:val="bottom"/>
          </w:tcPr>
          <w:p w14:paraId="0C9CD171" w14:textId="07448440" w:rsidR="00E80D19" w:rsidRPr="00471CBA" w:rsidRDefault="00E80D19" w:rsidP="00F36B82">
            <w:pPr>
              <w:ind w:right="-42"/>
              <w:jc w:val="right"/>
              <w:rPr>
                <w:color w:val="000000"/>
                <w:sz w:val="16"/>
                <w:szCs w:val="16"/>
              </w:rPr>
            </w:pPr>
            <w:r w:rsidRPr="00471CBA">
              <w:rPr>
                <w:sz w:val="15"/>
                <w:szCs w:val="15"/>
              </w:rPr>
              <w:t>26.146</w:t>
            </w:r>
          </w:p>
        </w:tc>
        <w:tc>
          <w:tcPr>
            <w:tcW w:w="1105" w:type="dxa"/>
            <w:vAlign w:val="bottom"/>
          </w:tcPr>
          <w:p w14:paraId="771B918C" w14:textId="076BF806" w:rsidR="00E80D19" w:rsidRPr="00471CBA" w:rsidRDefault="00E80D19" w:rsidP="00F36B82">
            <w:pPr>
              <w:ind w:right="-42"/>
              <w:jc w:val="right"/>
              <w:rPr>
                <w:sz w:val="16"/>
                <w:szCs w:val="16"/>
              </w:rPr>
            </w:pPr>
            <w:r w:rsidRPr="00471CBA">
              <w:rPr>
                <w:sz w:val="15"/>
                <w:szCs w:val="15"/>
              </w:rPr>
              <w:t>-</w:t>
            </w:r>
          </w:p>
        </w:tc>
        <w:tc>
          <w:tcPr>
            <w:tcW w:w="1134" w:type="dxa"/>
            <w:vAlign w:val="bottom"/>
          </w:tcPr>
          <w:p w14:paraId="77AB9C38" w14:textId="038DE405" w:rsidR="00E80D19" w:rsidRPr="00471CBA" w:rsidRDefault="00E80D19" w:rsidP="00F36B82">
            <w:pPr>
              <w:ind w:right="-42"/>
              <w:jc w:val="right"/>
              <w:rPr>
                <w:sz w:val="16"/>
                <w:szCs w:val="16"/>
              </w:rPr>
            </w:pPr>
            <w:r w:rsidRPr="00471CBA">
              <w:rPr>
                <w:sz w:val="15"/>
                <w:szCs w:val="15"/>
              </w:rPr>
              <w:t>-</w:t>
            </w:r>
          </w:p>
        </w:tc>
        <w:tc>
          <w:tcPr>
            <w:tcW w:w="1276" w:type="dxa"/>
            <w:vAlign w:val="bottom"/>
          </w:tcPr>
          <w:p w14:paraId="0D9513FF" w14:textId="16D70DC4" w:rsidR="00E80D19" w:rsidRPr="00471CBA" w:rsidRDefault="00E80D19" w:rsidP="00F36B82">
            <w:pPr>
              <w:ind w:right="-42"/>
              <w:jc w:val="right"/>
              <w:rPr>
                <w:sz w:val="16"/>
                <w:szCs w:val="16"/>
              </w:rPr>
            </w:pPr>
            <w:r w:rsidRPr="00471CBA">
              <w:rPr>
                <w:sz w:val="15"/>
                <w:szCs w:val="15"/>
              </w:rPr>
              <w:t>-</w:t>
            </w:r>
          </w:p>
        </w:tc>
        <w:tc>
          <w:tcPr>
            <w:tcW w:w="1048" w:type="dxa"/>
            <w:vAlign w:val="bottom"/>
          </w:tcPr>
          <w:p w14:paraId="2B2CD6A9" w14:textId="1DECAB21" w:rsidR="00E80D19" w:rsidRPr="00471CBA" w:rsidRDefault="00E80D19" w:rsidP="00F36B82">
            <w:pPr>
              <w:ind w:right="-42"/>
              <w:jc w:val="right"/>
              <w:rPr>
                <w:sz w:val="16"/>
                <w:szCs w:val="16"/>
              </w:rPr>
            </w:pPr>
            <w:r w:rsidRPr="00471CBA">
              <w:rPr>
                <w:sz w:val="15"/>
                <w:szCs w:val="15"/>
              </w:rPr>
              <w:t>-</w:t>
            </w:r>
          </w:p>
        </w:tc>
        <w:tc>
          <w:tcPr>
            <w:tcW w:w="1426" w:type="dxa"/>
            <w:vAlign w:val="bottom"/>
          </w:tcPr>
          <w:p w14:paraId="7233CDA2" w14:textId="5D1C9AA4" w:rsidR="00E80D19" w:rsidRPr="00471CBA" w:rsidRDefault="00E80D19" w:rsidP="00F36B82">
            <w:pPr>
              <w:ind w:right="-42"/>
              <w:jc w:val="right"/>
              <w:rPr>
                <w:color w:val="000000"/>
                <w:sz w:val="16"/>
                <w:szCs w:val="16"/>
              </w:rPr>
            </w:pPr>
            <w:r w:rsidRPr="00471CBA">
              <w:rPr>
                <w:sz w:val="15"/>
                <w:szCs w:val="15"/>
              </w:rPr>
              <w:t>26.146</w:t>
            </w:r>
          </w:p>
        </w:tc>
      </w:tr>
      <w:tr w:rsidR="00E80D19" w:rsidRPr="00471CBA" w14:paraId="20A2FE30" w14:textId="77777777" w:rsidTr="003A558E">
        <w:trPr>
          <w:trHeight w:val="20"/>
        </w:trPr>
        <w:tc>
          <w:tcPr>
            <w:tcW w:w="2407" w:type="dxa"/>
            <w:vAlign w:val="bottom"/>
            <w:hideMark/>
          </w:tcPr>
          <w:p w14:paraId="5C62283F" w14:textId="77777777" w:rsidR="00E80D19" w:rsidRPr="00471CBA" w:rsidRDefault="00E80D19" w:rsidP="00E80D19">
            <w:pPr>
              <w:rPr>
                <w:color w:val="000000"/>
                <w:sz w:val="15"/>
                <w:szCs w:val="15"/>
              </w:rPr>
            </w:pPr>
            <w:r w:rsidRPr="00471CBA">
              <w:rPr>
                <w:color w:val="000000"/>
                <w:sz w:val="15"/>
                <w:szCs w:val="15"/>
              </w:rPr>
              <w:t>Kiralama İşlemlerinden Yükümlülükler</w:t>
            </w:r>
          </w:p>
        </w:tc>
        <w:tc>
          <w:tcPr>
            <w:tcW w:w="1264" w:type="dxa"/>
            <w:vAlign w:val="bottom"/>
          </w:tcPr>
          <w:p w14:paraId="3CAED38D" w14:textId="297CAA55" w:rsidR="00E80D19" w:rsidRPr="00471CBA" w:rsidRDefault="00E80D19" w:rsidP="00F36B82">
            <w:pPr>
              <w:ind w:right="-42"/>
              <w:jc w:val="right"/>
              <w:rPr>
                <w:color w:val="000000"/>
                <w:sz w:val="16"/>
                <w:szCs w:val="16"/>
              </w:rPr>
            </w:pPr>
            <w:r w:rsidRPr="00471CBA">
              <w:rPr>
                <w:sz w:val="15"/>
                <w:szCs w:val="15"/>
              </w:rPr>
              <w:t>118.104</w:t>
            </w:r>
          </w:p>
        </w:tc>
        <w:tc>
          <w:tcPr>
            <w:tcW w:w="1105" w:type="dxa"/>
            <w:vAlign w:val="bottom"/>
          </w:tcPr>
          <w:p w14:paraId="19F699D2" w14:textId="2EF0C0FD" w:rsidR="00E80D19" w:rsidRPr="00471CBA" w:rsidRDefault="00E80D19" w:rsidP="00F36B82">
            <w:pPr>
              <w:ind w:right="-42"/>
              <w:jc w:val="right"/>
              <w:rPr>
                <w:sz w:val="16"/>
                <w:szCs w:val="16"/>
              </w:rPr>
            </w:pPr>
            <w:r w:rsidRPr="00471CBA">
              <w:rPr>
                <w:sz w:val="15"/>
                <w:szCs w:val="15"/>
              </w:rPr>
              <w:t>-</w:t>
            </w:r>
          </w:p>
        </w:tc>
        <w:tc>
          <w:tcPr>
            <w:tcW w:w="1134" w:type="dxa"/>
            <w:vAlign w:val="bottom"/>
          </w:tcPr>
          <w:p w14:paraId="2477DFB6" w14:textId="5A315E03" w:rsidR="00E80D19" w:rsidRPr="00471CBA" w:rsidRDefault="00E80D19" w:rsidP="00F36B82">
            <w:pPr>
              <w:ind w:right="-42"/>
              <w:jc w:val="right"/>
              <w:rPr>
                <w:sz w:val="16"/>
                <w:szCs w:val="16"/>
              </w:rPr>
            </w:pPr>
            <w:r w:rsidRPr="00471CBA">
              <w:rPr>
                <w:sz w:val="15"/>
                <w:szCs w:val="15"/>
              </w:rPr>
              <w:t>-</w:t>
            </w:r>
          </w:p>
        </w:tc>
        <w:tc>
          <w:tcPr>
            <w:tcW w:w="1276" w:type="dxa"/>
            <w:vAlign w:val="bottom"/>
          </w:tcPr>
          <w:p w14:paraId="25CE1B77" w14:textId="507283BB" w:rsidR="00E80D19" w:rsidRPr="00471CBA" w:rsidRDefault="00E80D19" w:rsidP="00F36B82">
            <w:pPr>
              <w:ind w:right="-42"/>
              <w:jc w:val="right"/>
              <w:rPr>
                <w:sz w:val="16"/>
                <w:szCs w:val="16"/>
              </w:rPr>
            </w:pPr>
            <w:r w:rsidRPr="00471CBA">
              <w:rPr>
                <w:sz w:val="15"/>
                <w:szCs w:val="15"/>
              </w:rPr>
              <w:t>-</w:t>
            </w:r>
          </w:p>
        </w:tc>
        <w:tc>
          <w:tcPr>
            <w:tcW w:w="1048" w:type="dxa"/>
            <w:vAlign w:val="bottom"/>
          </w:tcPr>
          <w:p w14:paraId="6F006F9B" w14:textId="7E1EC02E" w:rsidR="00E80D19" w:rsidRPr="00471CBA" w:rsidRDefault="00E80D19" w:rsidP="00F36B82">
            <w:pPr>
              <w:ind w:right="-42"/>
              <w:jc w:val="right"/>
              <w:rPr>
                <w:sz w:val="16"/>
                <w:szCs w:val="16"/>
              </w:rPr>
            </w:pPr>
            <w:r w:rsidRPr="00471CBA">
              <w:rPr>
                <w:sz w:val="15"/>
                <w:szCs w:val="15"/>
              </w:rPr>
              <w:t>-</w:t>
            </w:r>
          </w:p>
        </w:tc>
        <w:tc>
          <w:tcPr>
            <w:tcW w:w="1426" w:type="dxa"/>
            <w:vAlign w:val="bottom"/>
          </w:tcPr>
          <w:p w14:paraId="7EC6832B" w14:textId="6062A887" w:rsidR="00E80D19" w:rsidRPr="00471CBA" w:rsidRDefault="00E80D19" w:rsidP="00F36B82">
            <w:pPr>
              <w:ind w:right="-42"/>
              <w:jc w:val="right"/>
              <w:rPr>
                <w:color w:val="000000"/>
                <w:sz w:val="16"/>
                <w:szCs w:val="16"/>
              </w:rPr>
            </w:pPr>
            <w:r w:rsidRPr="00471CBA">
              <w:rPr>
                <w:sz w:val="15"/>
                <w:szCs w:val="15"/>
              </w:rPr>
              <w:t>118.104</w:t>
            </w:r>
          </w:p>
        </w:tc>
      </w:tr>
      <w:tr w:rsidR="00E80D19" w:rsidRPr="00471CBA" w14:paraId="582EF8A5" w14:textId="77777777" w:rsidTr="003A558E">
        <w:trPr>
          <w:trHeight w:val="20"/>
        </w:trPr>
        <w:tc>
          <w:tcPr>
            <w:tcW w:w="2407" w:type="dxa"/>
            <w:vAlign w:val="bottom"/>
            <w:hideMark/>
          </w:tcPr>
          <w:p w14:paraId="27FE2AC4" w14:textId="77777777" w:rsidR="00E80D19" w:rsidRPr="00471CBA" w:rsidRDefault="00E80D19" w:rsidP="00E80D19">
            <w:pPr>
              <w:rPr>
                <w:color w:val="000000"/>
                <w:sz w:val="15"/>
                <w:szCs w:val="15"/>
              </w:rPr>
            </w:pPr>
            <w:r w:rsidRPr="00471CBA">
              <w:rPr>
                <w:color w:val="000000"/>
                <w:sz w:val="15"/>
                <w:szCs w:val="15"/>
              </w:rPr>
              <w:t>Karşılıklar</w:t>
            </w:r>
          </w:p>
        </w:tc>
        <w:tc>
          <w:tcPr>
            <w:tcW w:w="1264" w:type="dxa"/>
            <w:vAlign w:val="bottom"/>
          </w:tcPr>
          <w:p w14:paraId="5CBB64F0" w14:textId="3CB4043D" w:rsidR="00E80D19" w:rsidRPr="00471CBA" w:rsidRDefault="00E80D19" w:rsidP="00F36B82">
            <w:pPr>
              <w:ind w:right="-42"/>
              <w:jc w:val="right"/>
              <w:rPr>
                <w:color w:val="000000"/>
                <w:sz w:val="16"/>
                <w:szCs w:val="16"/>
              </w:rPr>
            </w:pPr>
            <w:r w:rsidRPr="00471CBA">
              <w:rPr>
                <w:sz w:val="15"/>
                <w:szCs w:val="15"/>
              </w:rPr>
              <w:t>399.071</w:t>
            </w:r>
          </w:p>
        </w:tc>
        <w:tc>
          <w:tcPr>
            <w:tcW w:w="1105" w:type="dxa"/>
            <w:vAlign w:val="bottom"/>
          </w:tcPr>
          <w:p w14:paraId="1C1C2CD2" w14:textId="3ECD60EB" w:rsidR="00E80D19" w:rsidRPr="00471CBA" w:rsidRDefault="00E80D19" w:rsidP="00F36B82">
            <w:pPr>
              <w:ind w:right="-42"/>
              <w:jc w:val="right"/>
              <w:rPr>
                <w:color w:val="000000"/>
                <w:sz w:val="16"/>
                <w:szCs w:val="16"/>
              </w:rPr>
            </w:pPr>
            <w:r w:rsidRPr="00471CBA">
              <w:rPr>
                <w:sz w:val="15"/>
                <w:szCs w:val="15"/>
              </w:rPr>
              <w:t>-</w:t>
            </w:r>
          </w:p>
        </w:tc>
        <w:tc>
          <w:tcPr>
            <w:tcW w:w="1134" w:type="dxa"/>
            <w:vAlign w:val="bottom"/>
          </w:tcPr>
          <w:p w14:paraId="7FF041C3" w14:textId="2CC43B34" w:rsidR="00E80D19" w:rsidRPr="00471CBA" w:rsidRDefault="00E80D19" w:rsidP="00F36B82">
            <w:pPr>
              <w:ind w:right="-42"/>
              <w:jc w:val="right"/>
              <w:rPr>
                <w:sz w:val="16"/>
                <w:szCs w:val="16"/>
              </w:rPr>
            </w:pPr>
            <w:r w:rsidRPr="00471CBA">
              <w:rPr>
                <w:sz w:val="15"/>
                <w:szCs w:val="15"/>
              </w:rPr>
              <w:t>-</w:t>
            </w:r>
          </w:p>
        </w:tc>
        <w:tc>
          <w:tcPr>
            <w:tcW w:w="1276" w:type="dxa"/>
            <w:vAlign w:val="bottom"/>
          </w:tcPr>
          <w:p w14:paraId="3F17CF00" w14:textId="0D0939F4" w:rsidR="00E80D19" w:rsidRPr="00471CBA" w:rsidRDefault="00E80D19" w:rsidP="00F36B82">
            <w:pPr>
              <w:ind w:right="-42"/>
              <w:jc w:val="right"/>
              <w:rPr>
                <w:sz w:val="16"/>
                <w:szCs w:val="16"/>
              </w:rPr>
            </w:pPr>
            <w:r w:rsidRPr="00471CBA">
              <w:rPr>
                <w:sz w:val="15"/>
                <w:szCs w:val="15"/>
              </w:rPr>
              <w:t>-</w:t>
            </w:r>
          </w:p>
        </w:tc>
        <w:tc>
          <w:tcPr>
            <w:tcW w:w="1048" w:type="dxa"/>
            <w:vAlign w:val="bottom"/>
          </w:tcPr>
          <w:p w14:paraId="0F6D01E7" w14:textId="5F19BD4B" w:rsidR="00E80D19" w:rsidRPr="00471CBA" w:rsidRDefault="00E80D19" w:rsidP="00F36B82">
            <w:pPr>
              <w:ind w:right="-42"/>
              <w:jc w:val="right"/>
              <w:rPr>
                <w:sz w:val="16"/>
                <w:szCs w:val="16"/>
              </w:rPr>
            </w:pPr>
            <w:r w:rsidRPr="00471CBA">
              <w:rPr>
                <w:sz w:val="15"/>
                <w:szCs w:val="15"/>
              </w:rPr>
              <w:t>-</w:t>
            </w:r>
          </w:p>
        </w:tc>
        <w:tc>
          <w:tcPr>
            <w:tcW w:w="1426" w:type="dxa"/>
            <w:vAlign w:val="bottom"/>
          </w:tcPr>
          <w:p w14:paraId="63EEB8A8" w14:textId="359F962A" w:rsidR="00E80D19" w:rsidRPr="00471CBA" w:rsidRDefault="00E80D19" w:rsidP="00F36B82">
            <w:pPr>
              <w:ind w:right="-42"/>
              <w:jc w:val="right"/>
              <w:rPr>
                <w:color w:val="000000"/>
                <w:sz w:val="16"/>
                <w:szCs w:val="16"/>
              </w:rPr>
            </w:pPr>
            <w:r w:rsidRPr="00471CBA">
              <w:rPr>
                <w:sz w:val="15"/>
                <w:szCs w:val="15"/>
              </w:rPr>
              <w:t>399.071</w:t>
            </w:r>
          </w:p>
        </w:tc>
      </w:tr>
      <w:tr w:rsidR="00E80D19" w:rsidRPr="00471CBA" w14:paraId="28ECE120" w14:textId="77777777" w:rsidTr="003A558E">
        <w:trPr>
          <w:trHeight w:val="20"/>
        </w:trPr>
        <w:tc>
          <w:tcPr>
            <w:tcW w:w="2407" w:type="dxa"/>
            <w:vAlign w:val="bottom"/>
            <w:hideMark/>
          </w:tcPr>
          <w:p w14:paraId="1D05B633" w14:textId="77777777" w:rsidR="00E80D19" w:rsidRPr="00471CBA" w:rsidRDefault="00E80D19" w:rsidP="00E80D19">
            <w:pPr>
              <w:rPr>
                <w:color w:val="000000"/>
                <w:sz w:val="15"/>
                <w:szCs w:val="15"/>
              </w:rPr>
            </w:pPr>
            <w:r w:rsidRPr="00471CBA">
              <w:rPr>
                <w:color w:val="000000"/>
                <w:sz w:val="15"/>
                <w:szCs w:val="15"/>
              </w:rPr>
              <w:t>Cari Vergi Borcu</w:t>
            </w:r>
          </w:p>
        </w:tc>
        <w:tc>
          <w:tcPr>
            <w:tcW w:w="1264" w:type="dxa"/>
            <w:vAlign w:val="bottom"/>
          </w:tcPr>
          <w:p w14:paraId="7F2B7759" w14:textId="1D2957CB" w:rsidR="00E80D19" w:rsidRPr="00471CBA" w:rsidRDefault="00E80D19" w:rsidP="00F36B82">
            <w:pPr>
              <w:ind w:right="-42"/>
              <w:jc w:val="right"/>
              <w:rPr>
                <w:color w:val="000000"/>
                <w:sz w:val="16"/>
                <w:szCs w:val="16"/>
              </w:rPr>
            </w:pPr>
            <w:r w:rsidRPr="00471CBA">
              <w:rPr>
                <w:sz w:val="15"/>
                <w:szCs w:val="15"/>
              </w:rPr>
              <w:t>299.527</w:t>
            </w:r>
          </w:p>
        </w:tc>
        <w:tc>
          <w:tcPr>
            <w:tcW w:w="1105" w:type="dxa"/>
            <w:vAlign w:val="bottom"/>
          </w:tcPr>
          <w:p w14:paraId="418E93B5" w14:textId="35D019F2" w:rsidR="00E80D19" w:rsidRPr="00471CBA" w:rsidRDefault="00E80D19" w:rsidP="00F36B82">
            <w:pPr>
              <w:ind w:right="-42"/>
              <w:jc w:val="right"/>
              <w:rPr>
                <w:color w:val="000000"/>
                <w:sz w:val="16"/>
                <w:szCs w:val="16"/>
              </w:rPr>
            </w:pPr>
            <w:r w:rsidRPr="00471CBA">
              <w:rPr>
                <w:sz w:val="15"/>
                <w:szCs w:val="15"/>
              </w:rPr>
              <w:t>-</w:t>
            </w:r>
          </w:p>
        </w:tc>
        <w:tc>
          <w:tcPr>
            <w:tcW w:w="1134" w:type="dxa"/>
            <w:vAlign w:val="bottom"/>
          </w:tcPr>
          <w:p w14:paraId="15C562B2" w14:textId="503EE6C0" w:rsidR="00E80D19" w:rsidRPr="00471CBA" w:rsidRDefault="00E80D19" w:rsidP="00F36B82">
            <w:pPr>
              <w:ind w:right="-42"/>
              <w:jc w:val="right"/>
              <w:rPr>
                <w:sz w:val="16"/>
                <w:szCs w:val="16"/>
              </w:rPr>
            </w:pPr>
            <w:r w:rsidRPr="00471CBA">
              <w:rPr>
                <w:sz w:val="15"/>
                <w:szCs w:val="15"/>
              </w:rPr>
              <w:t>-</w:t>
            </w:r>
          </w:p>
        </w:tc>
        <w:tc>
          <w:tcPr>
            <w:tcW w:w="1276" w:type="dxa"/>
            <w:vAlign w:val="bottom"/>
          </w:tcPr>
          <w:p w14:paraId="5067F545" w14:textId="32CA82FE" w:rsidR="00E80D19" w:rsidRPr="00471CBA" w:rsidRDefault="00E80D19" w:rsidP="00F36B82">
            <w:pPr>
              <w:ind w:right="-42"/>
              <w:jc w:val="right"/>
              <w:rPr>
                <w:sz w:val="16"/>
                <w:szCs w:val="16"/>
              </w:rPr>
            </w:pPr>
            <w:r w:rsidRPr="00471CBA">
              <w:rPr>
                <w:sz w:val="15"/>
                <w:szCs w:val="15"/>
              </w:rPr>
              <w:t>-</w:t>
            </w:r>
          </w:p>
        </w:tc>
        <w:tc>
          <w:tcPr>
            <w:tcW w:w="1048" w:type="dxa"/>
            <w:vAlign w:val="bottom"/>
          </w:tcPr>
          <w:p w14:paraId="3F393128" w14:textId="6BB0C4EE" w:rsidR="00E80D19" w:rsidRPr="00471CBA" w:rsidRDefault="00E80D19" w:rsidP="00F36B82">
            <w:pPr>
              <w:ind w:right="-42"/>
              <w:jc w:val="right"/>
              <w:rPr>
                <w:sz w:val="16"/>
                <w:szCs w:val="16"/>
              </w:rPr>
            </w:pPr>
            <w:r w:rsidRPr="00471CBA">
              <w:rPr>
                <w:sz w:val="15"/>
                <w:szCs w:val="15"/>
              </w:rPr>
              <w:t>-</w:t>
            </w:r>
          </w:p>
        </w:tc>
        <w:tc>
          <w:tcPr>
            <w:tcW w:w="1426" w:type="dxa"/>
            <w:vAlign w:val="bottom"/>
          </w:tcPr>
          <w:p w14:paraId="101FA440" w14:textId="7D1B4DB2" w:rsidR="00E80D19" w:rsidRPr="00471CBA" w:rsidRDefault="00E80D19" w:rsidP="00F36B82">
            <w:pPr>
              <w:ind w:right="-42"/>
              <w:jc w:val="right"/>
              <w:rPr>
                <w:color w:val="000000"/>
                <w:sz w:val="16"/>
                <w:szCs w:val="16"/>
              </w:rPr>
            </w:pPr>
            <w:r w:rsidRPr="00471CBA">
              <w:rPr>
                <w:sz w:val="15"/>
                <w:szCs w:val="15"/>
              </w:rPr>
              <w:t>299.527</w:t>
            </w:r>
          </w:p>
        </w:tc>
      </w:tr>
      <w:tr w:rsidR="00E80D19" w:rsidRPr="00471CBA" w14:paraId="073680EF" w14:textId="77777777" w:rsidTr="003A558E">
        <w:trPr>
          <w:trHeight w:val="20"/>
        </w:trPr>
        <w:tc>
          <w:tcPr>
            <w:tcW w:w="2407" w:type="dxa"/>
            <w:vAlign w:val="bottom"/>
            <w:hideMark/>
          </w:tcPr>
          <w:p w14:paraId="2285531B" w14:textId="77777777" w:rsidR="00E80D19" w:rsidRPr="00471CBA" w:rsidRDefault="00E80D19" w:rsidP="00E80D19">
            <w:pPr>
              <w:rPr>
                <w:color w:val="000000"/>
                <w:sz w:val="15"/>
                <w:szCs w:val="15"/>
              </w:rPr>
            </w:pPr>
            <w:r w:rsidRPr="00471CBA">
              <w:rPr>
                <w:color w:val="000000"/>
                <w:sz w:val="15"/>
                <w:szCs w:val="15"/>
              </w:rPr>
              <w:t>Ertelenmiş Vergi Borcu</w:t>
            </w:r>
          </w:p>
        </w:tc>
        <w:tc>
          <w:tcPr>
            <w:tcW w:w="1264" w:type="dxa"/>
            <w:vAlign w:val="bottom"/>
          </w:tcPr>
          <w:p w14:paraId="6FD1FB69" w14:textId="2F0C628E" w:rsidR="00E80D19" w:rsidRPr="00471CBA" w:rsidRDefault="00E80D19" w:rsidP="00F36B82">
            <w:pPr>
              <w:ind w:right="-42"/>
              <w:jc w:val="right"/>
              <w:rPr>
                <w:color w:val="000000"/>
                <w:sz w:val="16"/>
                <w:szCs w:val="16"/>
              </w:rPr>
            </w:pPr>
            <w:r w:rsidRPr="00471CBA">
              <w:rPr>
                <w:sz w:val="15"/>
                <w:szCs w:val="15"/>
              </w:rPr>
              <w:t>-</w:t>
            </w:r>
          </w:p>
        </w:tc>
        <w:tc>
          <w:tcPr>
            <w:tcW w:w="1105" w:type="dxa"/>
            <w:vAlign w:val="bottom"/>
          </w:tcPr>
          <w:p w14:paraId="65A6EBB8" w14:textId="38EC883F" w:rsidR="00E80D19" w:rsidRPr="00471CBA" w:rsidRDefault="00E80D19" w:rsidP="00F36B82">
            <w:pPr>
              <w:ind w:right="-42"/>
              <w:jc w:val="right"/>
              <w:rPr>
                <w:color w:val="000000"/>
                <w:sz w:val="16"/>
                <w:szCs w:val="16"/>
              </w:rPr>
            </w:pPr>
            <w:r w:rsidRPr="00471CBA">
              <w:rPr>
                <w:sz w:val="15"/>
                <w:szCs w:val="15"/>
              </w:rPr>
              <w:t>-</w:t>
            </w:r>
          </w:p>
        </w:tc>
        <w:tc>
          <w:tcPr>
            <w:tcW w:w="1134" w:type="dxa"/>
            <w:vAlign w:val="bottom"/>
          </w:tcPr>
          <w:p w14:paraId="4FADE65B" w14:textId="0AE6808C" w:rsidR="00E80D19" w:rsidRPr="00471CBA" w:rsidRDefault="00E80D19" w:rsidP="00F36B82">
            <w:pPr>
              <w:ind w:right="-42"/>
              <w:jc w:val="right"/>
              <w:rPr>
                <w:sz w:val="16"/>
                <w:szCs w:val="16"/>
              </w:rPr>
            </w:pPr>
            <w:r w:rsidRPr="00471CBA">
              <w:rPr>
                <w:sz w:val="15"/>
                <w:szCs w:val="15"/>
              </w:rPr>
              <w:t>-</w:t>
            </w:r>
          </w:p>
        </w:tc>
        <w:tc>
          <w:tcPr>
            <w:tcW w:w="1276" w:type="dxa"/>
            <w:vAlign w:val="bottom"/>
          </w:tcPr>
          <w:p w14:paraId="5D6B1C34" w14:textId="33E630EC" w:rsidR="00E80D19" w:rsidRPr="00471CBA" w:rsidRDefault="00E80D19" w:rsidP="00F36B82">
            <w:pPr>
              <w:ind w:right="-42"/>
              <w:jc w:val="right"/>
              <w:rPr>
                <w:sz w:val="16"/>
                <w:szCs w:val="16"/>
              </w:rPr>
            </w:pPr>
            <w:r w:rsidRPr="00471CBA">
              <w:rPr>
                <w:sz w:val="15"/>
                <w:szCs w:val="15"/>
              </w:rPr>
              <w:t>-</w:t>
            </w:r>
          </w:p>
        </w:tc>
        <w:tc>
          <w:tcPr>
            <w:tcW w:w="1048" w:type="dxa"/>
            <w:vAlign w:val="bottom"/>
          </w:tcPr>
          <w:p w14:paraId="7125ED59" w14:textId="21844C0A" w:rsidR="00E80D19" w:rsidRPr="00471CBA" w:rsidRDefault="00E80D19" w:rsidP="00F36B82">
            <w:pPr>
              <w:ind w:right="-42"/>
              <w:jc w:val="right"/>
              <w:rPr>
                <w:sz w:val="16"/>
                <w:szCs w:val="16"/>
              </w:rPr>
            </w:pPr>
            <w:r w:rsidRPr="00471CBA">
              <w:rPr>
                <w:sz w:val="15"/>
                <w:szCs w:val="15"/>
              </w:rPr>
              <w:t>-</w:t>
            </w:r>
          </w:p>
        </w:tc>
        <w:tc>
          <w:tcPr>
            <w:tcW w:w="1426" w:type="dxa"/>
            <w:vAlign w:val="bottom"/>
          </w:tcPr>
          <w:p w14:paraId="570F7634" w14:textId="3CD28AD1" w:rsidR="00E80D19" w:rsidRPr="00471CBA" w:rsidRDefault="00E80D19" w:rsidP="00F36B82">
            <w:pPr>
              <w:ind w:right="-42"/>
              <w:jc w:val="right"/>
              <w:rPr>
                <w:color w:val="000000"/>
                <w:sz w:val="16"/>
                <w:szCs w:val="16"/>
              </w:rPr>
            </w:pPr>
            <w:r w:rsidRPr="00471CBA">
              <w:rPr>
                <w:sz w:val="15"/>
                <w:szCs w:val="15"/>
              </w:rPr>
              <w:t>-</w:t>
            </w:r>
          </w:p>
        </w:tc>
      </w:tr>
      <w:tr w:rsidR="00E80D19" w:rsidRPr="00471CBA" w14:paraId="44EE38E2" w14:textId="77777777" w:rsidTr="003A558E">
        <w:trPr>
          <w:trHeight w:val="20"/>
        </w:trPr>
        <w:tc>
          <w:tcPr>
            <w:tcW w:w="2407" w:type="dxa"/>
            <w:vAlign w:val="bottom"/>
            <w:hideMark/>
          </w:tcPr>
          <w:p w14:paraId="50FD14B5" w14:textId="77777777" w:rsidR="00E80D19" w:rsidRPr="00471CBA" w:rsidRDefault="00E80D19" w:rsidP="00E80D19">
            <w:pPr>
              <w:rPr>
                <w:color w:val="000000"/>
                <w:sz w:val="15"/>
                <w:szCs w:val="15"/>
              </w:rPr>
            </w:pPr>
            <w:r w:rsidRPr="00471CBA">
              <w:rPr>
                <w:color w:val="000000"/>
                <w:sz w:val="15"/>
                <w:szCs w:val="15"/>
              </w:rPr>
              <w:t>Satış Amaçlı Elde Tutulan ve Durdurulan Faaliyetlere İlişkin Duran Varlık Borçları (Net)</w:t>
            </w:r>
          </w:p>
        </w:tc>
        <w:tc>
          <w:tcPr>
            <w:tcW w:w="1264" w:type="dxa"/>
            <w:vAlign w:val="bottom"/>
          </w:tcPr>
          <w:p w14:paraId="18105353" w14:textId="2FC829E0" w:rsidR="00E80D19" w:rsidRPr="00471CBA" w:rsidRDefault="00E80D19" w:rsidP="00F36B82">
            <w:pPr>
              <w:ind w:right="-42"/>
              <w:jc w:val="right"/>
              <w:rPr>
                <w:color w:val="000000"/>
                <w:sz w:val="16"/>
                <w:szCs w:val="16"/>
              </w:rPr>
            </w:pPr>
            <w:r w:rsidRPr="00471CBA">
              <w:rPr>
                <w:sz w:val="15"/>
                <w:szCs w:val="15"/>
              </w:rPr>
              <w:t>-</w:t>
            </w:r>
          </w:p>
        </w:tc>
        <w:tc>
          <w:tcPr>
            <w:tcW w:w="1105" w:type="dxa"/>
            <w:vAlign w:val="bottom"/>
          </w:tcPr>
          <w:p w14:paraId="45595C63" w14:textId="4035A02C" w:rsidR="00E80D19" w:rsidRPr="00471CBA" w:rsidRDefault="00E80D19" w:rsidP="00F36B82">
            <w:pPr>
              <w:ind w:right="-42"/>
              <w:jc w:val="right"/>
              <w:rPr>
                <w:sz w:val="16"/>
                <w:szCs w:val="16"/>
              </w:rPr>
            </w:pPr>
            <w:r w:rsidRPr="00471CBA">
              <w:rPr>
                <w:sz w:val="15"/>
                <w:szCs w:val="15"/>
              </w:rPr>
              <w:t>-</w:t>
            </w:r>
          </w:p>
        </w:tc>
        <w:tc>
          <w:tcPr>
            <w:tcW w:w="1134" w:type="dxa"/>
            <w:vAlign w:val="bottom"/>
          </w:tcPr>
          <w:p w14:paraId="103A1583" w14:textId="31E483DD" w:rsidR="00E80D19" w:rsidRPr="00471CBA" w:rsidRDefault="00E80D19" w:rsidP="00F36B82">
            <w:pPr>
              <w:ind w:right="-42"/>
              <w:jc w:val="right"/>
              <w:rPr>
                <w:sz w:val="16"/>
                <w:szCs w:val="16"/>
              </w:rPr>
            </w:pPr>
            <w:r w:rsidRPr="00471CBA">
              <w:rPr>
                <w:sz w:val="15"/>
                <w:szCs w:val="15"/>
              </w:rPr>
              <w:t>-</w:t>
            </w:r>
          </w:p>
        </w:tc>
        <w:tc>
          <w:tcPr>
            <w:tcW w:w="1276" w:type="dxa"/>
            <w:vAlign w:val="bottom"/>
          </w:tcPr>
          <w:p w14:paraId="1F580A60" w14:textId="6BB6904B" w:rsidR="00E80D19" w:rsidRPr="00471CBA" w:rsidRDefault="00E80D19" w:rsidP="00F36B82">
            <w:pPr>
              <w:ind w:right="-42"/>
              <w:jc w:val="right"/>
              <w:rPr>
                <w:sz w:val="16"/>
                <w:szCs w:val="16"/>
              </w:rPr>
            </w:pPr>
            <w:r w:rsidRPr="00471CBA">
              <w:rPr>
                <w:sz w:val="15"/>
                <w:szCs w:val="15"/>
              </w:rPr>
              <w:t>-</w:t>
            </w:r>
          </w:p>
        </w:tc>
        <w:tc>
          <w:tcPr>
            <w:tcW w:w="1048" w:type="dxa"/>
            <w:vAlign w:val="bottom"/>
          </w:tcPr>
          <w:p w14:paraId="0F92B8CE" w14:textId="5690074D" w:rsidR="00E80D19" w:rsidRPr="00471CBA" w:rsidRDefault="00E80D19" w:rsidP="00F36B82">
            <w:pPr>
              <w:ind w:right="-42"/>
              <w:jc w:val="right"/>
              <w:rPr>
                <w:sz w:val="16"/>
                <w:szCs w:val="16"/>
              </w:rPr>
            </w:pPr>
            <w:r w:rsidRPr="00471CBA">
              <w:rPr>
                <w:sz w:val="15"/>
                <w:szCs w:val="15"/>
              </w:rPr>
              <w:t>-</w:t>
            </w:r>
          </w:p>
        </w:tc>
        <w:tc>
          <w:tcPr>
            <w:tcW w:w="1426" w:type="dxa"/>
            <w:vAlign w:val="bottom"/>
          </w:tcPr>
          <w:p w14:paraId="0AC86598" w14:textId="15E95F86" w:rsidR="00E80D19" w:rsidRPr="00471CBA" w:rsidRDefault="00E80D19" w:rsidP="00F36B82">
            <w:pPr>
              <w:ind w:right="-42"/>
              <w:jc w:val="right"/>
              <w:rPr>
                <w:sz w:val="16"/>
                <w:szCs w:val="16"/>
              </w:rPr>
            </w:pPr>
            <w:r w:rsidRPr="00471CBA">
              <w:rPr>
                <w:sz w:val="15"/>
                <w:szCs w:val="15"/>
              </w:rPr>
              <w:t>-</w:t>
            </w:r>
          </w:p>
        </w:tc>
      </w:tr>
      <w:tr w:rsidR="00E80D19" w:rsidRPr="00471CBA" w14:paraId="2E54B212" w14:textId="77777777" w:rsidTr="003A558E">
        <w:trPr>
          <w:trHeight w:val="20"/>
        </w:trPr>
        <w:tc>
          <w:tcPr>
            <w:tcW w:w="2407" w:type="dxa"/>
            <w:vAlign w:val="bottom"/>
            <w:hideMark/>
          </w:tcPr>
          <w:p w14:paraId="02090694" w14:textId="77777777" w:rsidR="00E80D19" w:rsidRPr="00471CBA" w:rsidRDefault="00E80D19" w:rsidP="00E80D19">
            <w:pPr>
              <w:rPr>
                <w:color w:val="000000"/>
                <w:sz w:val="15"/>
                <w:szCs w:val="15"/>
              </w:rPr>
            </w:pPr>
            <w:r w:rsidRPr="00471CBA">
              <w:rPr>
                <w:color w:val="000000"/>
                <w:sz w:val="15"/>
                <w:szCs w:val="15"/>
              </w:rPr>
              <w:t>Sermaye Benzeri Borçlanma Araçları</w:t>
            </w:r>
          </w:p>
        </w:tc>
        <w:tc>
          <w:tcPr>
            <w:tcW w:w="1264" w:type="dxa"/>
            <w:vAlign w:val="bottom"/>
          </w:tcPr>
          <w:p w14:paraId="2F4E1264" w14:textId="35298246" w:rsidR="00E80D19" w:rsidRPr="00471CBA" w:rsidRDefault="00E80D19" w:rsidP="00F36B82">
            <w:pPr>
              <w:ind w:right="-42"/>
              <w:jc w:val="right"/>
              <w:rPr>
                <w:color w:val="000000"/>
                <w:sz w:val="16"/>
                <w:szCs w:val="16"/>
              </w:rPr>
            </w:pPr>
            <w:r w:rsidRPr="00471CBA">
              <w:rPr>
                <w:sz w:val="15"/>
                <w:szCs w:val="15"/>
              </w:rPr>
              <w:t>-</w:t>
            </w:r>
          </w:p>
        </w:tc>
        <w:tc>
          <w:tcPr>
            <w:tcW w:w="1105" w:type="dxa"/>
            <w:vAlign w:val="bottom"/>
          </w:tcPr>
          <w:p w14:paraId="612449C4" w14:textId="45B747A8" w:rsidR="00E80D19" w:rsidRPr="00471CBA" w:rsidRDefault="00E80D19" w:rsidP="00F36B82">
            <w:pPr>
              <w:ind w:right="-42"/>
              <w:jc w:val="right"/>
              <w:rPr>
                <w:sz w:val="16"/>
                <w:szCs w:val="16"/>
              </w:rPr>
            </w:pPr>
            <w:r w:rsidRPr="00471CBA">
              <w:rPr>
                <w:sz w:val="15"/>
                <w:szCs w:val="15"/>
              </w:rPr>
              <w:t>-</w:t>
            </w:r>
          </w:p>
        </w:tc>
        <w:tc>
          <w:tcPr>
            <w:tcW w:w="1134" w:type="dxa"/>
            <w:vAlign w:val="bottom"/>
          </w:tcPr>
          <w:p w14:paraId="482EC0F7" w14:textId="24CF0BAF" w:rsidR="00E80D19" w:rsidRPr="00471CBA" w:rsidRDefault="00E80D19" w:rsidP="00F36B82">
            <w:pPr>
              <w:ind w:right="-42"/>
              <w:jc w:val="right"/>
              <w:rPr>
                <w:sz w:val="16"/>
                <w:szCs w:val="16"/>
              </w:rPr>
            </w:pPr>
            <w:r w:rsidRPr="00471CBA">
              <w:rPr>
                <w:sz w:val="15"/>
                <w:szCs w:val="15"/>
              </w:rPr>
              <w:t>-</w:t>
            </w:r>
          </w:p>
        </w:tc>
        <w:tc>
          <w:tcPr>
            <w:tcW w:w="1276" w:type="dxa"/>
            <w:vAlign w:val="bottom"/>
          </w:tcPr>
          <w:p w14:paraId="44AD98A0" w14:textId="36713C00" w:rsidR="00E80D19" w:rsidRPr="00471CBA" w:rsidRDefault="00E80D19" w:rsidP="00F36B82">
            <w:pPr>
              <w:ind w:right="-42"/>
              <w:jc w:val="right"/>
              <w:rPr>
                <w:sz w:val="16"/>
                <w:szCs w:val="16"/>
              </w:rPr>
            </w:pPr>
            <w:r w:rsidRPr="00471CBA">
              <w:rPr>
                <w:sz w:val="15"/>
                <w:szCs w:val="15"/>
              </w:rPr>
              <w:t>-</w:t>
            </w:r>
          </w:p>
        </w:tc>
        <w:tc>
          <w:tcPr>
            <w:tcW w:w="1048" w:type="dxa"/>
            <w:vAlign w:val="bottom"/>
          </w:tcPr>
          <w:p w14:paraId="52C5043F" w14:textId="6F70A6BF" w:rsidR="00E80D19" w:rsidRPr="00471CBA" w:rsidRDefault="00E80D19" w:rsidP="00F36B82">
            <w:pPr>
              <w:ind w:right="-42"/>
              <w:jc w:val="right"/>
              <w:rPr>
                <w:sz w:val="16"/>
                <w:szCs w:val="16"/>
              </w:rPr>
            </w:pPr>
            <w:r w:rsidRPr="00471CBA">
              <w:rPr>
                <w:sz w:val="15"/>
                <w:szCs w:val="15"/>
              </w:rPr>
              <w:t>-</w:t>
            </w:r>
          </w:p>
        </w:tc>
        <w:tc>
          <w:tcPr>
            <w:tcW w:w="1426" w:type="dxa"/>
            <w:vAlign w:val="bottom"/>
          </w:tcPr>
          <w:p w14:paraId="6B40C1B8" w14:textId="280DEBEF" w:rsidR="00E80D19" w:rsidRPr="00471CBA" w:rsidRDefault="00E80D19" w:rsidP="00F36B82">
            <w:pPr>
              <w:ind w:right="-42"/>
              <w:jc w:val="right"/>
              <w:rPr>
                <w:color w:val="000000"/>
                <w:sz w:val="16"/>
                <w:szCs w:val="16"/>
              </w:rPr>
            </w:pPr>
            <w:r w:rsidRPr="00471CBA">
              <w:rPr>
                <w:sz w:val="15"/>
                <w:szCs w:val="15"/>
              </w:rPr>
              <w:t>-</w:t>
            </w:r>
          </w:p>
        </w:tc>
      </w:tr>
      <w:tr w:rsidR="00E80D19" w:rsidRPr="00471CBA" w14:paraId="48D178A4" w14:textId="77777777" w:rsidTr="003A558E">
        <w:trPr>
          <w:trHeight w:val="20"/>
        </w:trPr>
        <w:tc>
          <w:tcPr>
            <w:tcW w:w="2407" w:type="dxa"/>
            <w:vAlign w:val="bottom"/>
            <w:hideMark/>
          </w:tcPr>
          <w:p w14:paraId="02402AB2" w14:textId="77777777" w:rsidR="00E80D19" w:rsidRPr="00471CBA" w:rsidRDefault="00E80D19" w:rsidP="00E80D19">
            <w:pPr>
              <w:rPr>
                <w:color w:val="000000"/>
                <w:sz w:val="15"/>
                <w:szCs w:val="15"/>
              </w:rPr>
            </w:pPr>
            <w:r w:rsidRPr="00471CBA">
              <w:rPr>
                <w:color w:val="000000"/>
                <w:sz w:val="15"/>
                <w:szCs w:val="15"/>
              </w:rPr>
              <w:t>Diğer Yükümlülükler</w:t>
            </w:r>
          </w:p>
        </w:tc>
        <w:tc>
          <w:tcPr>
            <w:tcW w:w="1264" w:type="dxa"/>
            <w:vAlign w:val="bottom"/>
          </w:tcPr>
          <w:p w14:paraId="72B28D15" w14:textId="43A1EEC0" w:rsidR="00E80D19" w:rsidRPr="00471CBA" w:rsidRDefault="00E80D19" w:rsidP="00F36B82">
            <w:pPr>
              <w:ind w:right="-42"/>
              <w:jc w:val="right"/>
              <w:rPr>
                <w:color w:val="000000"/>
                <w:sz w:val="16"/>
                <w:szCs w:val="16"/>
              </w:rPr>
            </w:pPr>
            <w:r w:rsidRPr="00471CBA">
              <w:rPr>
                <w:sz w:val="15"/>
                <w:szCs w:val="15"/>
              </w:rPr>
              <w:t>222.639</w:t>
            </w:r>
          </w:p>
        </w:tc>
        <w:tc>
          <w:tcPr>
            <w:tcW w:w="1105" w:type="dxa"/>
            <w:vAlign w:val="bottom"/>
          </w:tcPr>
          <w:p w14:paraId="46DB5518" w14:textId="5D5D4E8E" w:rsidR="00E80D19" w:rsidRPr="00471CBA" w:rsidRDefault="00E80D19" w:rsidP="00F36B82">
            <w:pPr>
              <w:ind w:right="-42"/>
              <w:jc w:val="right"/>
              <w:rPr>
                <w:sz w:val="16"/>
                <w:szCs w:val="16"/>
              </w:rPr>
            </w:pPr>
            <w:r w:rsidRPr="00471CBA">
              <w:rPr>
                <w:sz w:val="15"/>
                <w:szCs w:val="15"/>
              </w:rPr>
              <w:t>-</w:t>
            </w:r>
          </w:p>
        </w:tc>
        <w:tc>
          <w:tcPr>
            <w:tcW w:w="1134" w:type="dxa"/>
            <w:vAlign w:val="bottom"/>
          </w:tcPr>
          <w:p w14:paraId="675C4ADD" w14:textId="6CC8252B" w:rsidR="00E80D19" w:rsidRPr="00471CBA" w:rsidRDefault="00E80D19" w:rsidP="00F36B82">
            <w:pPr>
              <w:ind w:right="-42"/>
              <w:jc w:val="right"/>
              <w:rPr>
                <w:sz w:val="16"/>
                <w:szCs w:val="16"/>
              </w:rPr>
            </w:pPr>
            <w:r w:rsidRPr="00471CBA">
              <w:rPr>
                <w:sz w:val="15"/>
                <w:szCs w:val="15"/>
              </w:rPr>
              <w:t>-</w:t>
            </w:r>
          </w:p>
        </w:tc>
        <w:tc>
          <w:tcPr>
            <w:tcW w:w="1276" w:type="dxa"/>
            <w:vAlign w:val="bottom"/>
          </w:tcPr>
          <w:p w14:paraId="5AB0F59F" w14:textId="1A6D3681" w:rsidR="00E80D19" w:rsidRPr="00471CBA" w:rsidRDefault="00E80D19" w:rsidP="00F36B82">
            <w:pPr>
              <w:ind w:right="-42"/>
              <w:jc w:val="right"/>
              <w:rPr>
                <w:sz w:val="16"/>
                <w:szCs w:val="16"/>
              </w:rPr>
            </w:pPr>
            <w:r w:rsidRPr="00471CBA">
              <w:rPr>
                <w:sz w:val="15"/>
                <w:szCs w:val="15"/>
              </w:rPr>
              <w:t>-</w:t>
            </w:r>
          </w:p>
        </w:tc>
        <w:tc>
          <w:tcPr>
            <w:tcW w:w="1048" w:type="dxa"/>
            <w:vAlign w:val="bottom"/>
          </w:tcPr>
          <w:p w14:paraId="51CBBFD5" w14:textId="638132A5" w:rsidR="00E80D19" w:rsidRPr="00471CBA" w:rsidRDefault="00E80D19" w:rsidP="00F36B82">
            <w:pPr>
              <w:ind w:right="-42"/>
              <w:jc w:val="right"/>
              <w:rPr>
                <w:sz w:val="16"/>
                <w:szCs w:val="16"/>
              </w:rPr>
            </w:pPr>
            <w:r w:rsidRPr="00471CBA">
              <w:rPr>
                <w:sz w:val="15"/>
                <w:szCs w:val="15"/>
              </w:rPr>
              <w:t>-</w:t>
            </w:r>
          </w:p>
        </w:tc>
        <w:tc>
          <w:tcPr>
            <w:tcW w:w="1426" w:type="dxa"/>
            <w:vAlign w:val="bottom"/>
          </w:tcPr>
          <w:p w14:paraId="108B3DE0" w14:textId="5D1726A7" w:rsidR="00E80D19" w:rsidRPr="00471CBA" w:rsidRDefault="00E80D19" w:rsidP="00F36B82">
            <w:pPr>
              <w:ind w:right="-42"/>
              <w:jc w:val="right"/>
              <w:rPr>
                <w:color w:val="000000"/>
                <w:sz w:val="16"/>
                <w:szCs w:val="16"/>
              </w:rPr>
            </w:pPr>
            <w:r w:rsidRPr="00471CBA">
              <w:rPr>
                <w:sz w:val="15"/>
                <w:szCs w:val="15"/>
              </w:rPr>
              <w:t>222.639</w:t>
            </w:r>
          </w:p>
        </w:tc>
      </w:tr>
      <w:tr w:rsidR="00E80D19" w:rsidRPr="00471CBA" w14:paraId="3CC85DB1" w14:textId="77777777" w:rsidTr="003A558E">
        <w:trPr>
          <w:trHeight w:val="20"/>
        </w:trPr>
        <w:tc>
          <w:tcPr>
            <w:tcW w:w="2407" w:type="dxa"/>
            <w:tcBorders>
              <w:top w:val="nil"/>
              <w:left w:val="nil"/>
              <w:bottom w:val="single" w:sz="4" w:space="0" w:color="auto"/>
              <w:right w:val="nil"/>
            </w:tcBorders>
            <w:vAlign w:val="bottom"/>
            <w:hideMark/>
          </w:tcPr>
          <w:p w14:paraId="270E033F" w14:textId="77777777" w:rsidR="00E80D19" w:rsidRPr="00471CBA" w:rsidRDefault="00E80D19" w:rsidP="00E80D19">
            <w:pPr>
              <w:rPr>
                <w:sz w:val="15"/>
                <w:szCs w:val="15"/>
              </w:rPr>
            </w:pPr>
            <w:r w:rsidRPr="00471CBA">
              <w:rPr>
                <w:sz w:val="15"/>
                <w:szCs w:val="15"/>
              </w:rPr>
              <w:t>Özkaynaklar</w:t>
            </w:r>
          </w:p>
        </w:tc>
        <w:tc>
          <w:tcPr>
            <w:tcW w:w="1264" w:type="dxa"/>
            <w:tcBorders>
              <w:top w:val="nil"/>
              <w:left w:val="nil"/>
              <w:bottom w:val="single" w:sz="4" w:space="0" w:color="auto"/>
              <w:right w:val="nil"/>
            </w:tcBorders>
            <w:vAlign w:val="bottom"/>
          </w:tcPr>
          <w:p w14:paraId="5F9F4F4B" w14:textId="2203E461" w:rsidR="00E80D19" w:rsidRPr="00471CBA" w:rsidRDefault="00E80D19" w:rsidP="00F36B82">
            <w:pPr>
              <w:ind w:right="-42"/>
              <w:jc w:val="right"/>
              <w:rPr>
                <w:color w:val="000000"/>
                <w:sz w:val="16"/>
                <w:szCs w:val="16"/>
              </w:rPr>
            </w:pPr>
            <w:r w:rsidRPr="00471CBA">
              <w:rPr>
                <w:sz w:val="15"/>
                <w:szCs w:val="15"/>
              </w:rPr>
              <w:t>7.342.090</w:t>
            </w:r>
          </w:p>
        </w:tc>
        <w:tc>
          <w:tcPr>
            <w:tcW w:w="1105" w:type="dxa"/>
            <w:tcBorders>
              <w:top w:val="nil"/>
              <w:left w:val="nil"/>
              <w:bottom w:val="single" w:sz="4" w:space="0" w:color="auto"/>
              <w:right w:val="nil"/>
            </w:tcBorders>
            <w:vAlign w:val="bottom"/>
          </w:tcPr>
          <w:p w14:paraId="7DB1CE0E" w14:textId="330023FE" w:rsidR="00E80D19" w:rsidRPr="00471CBA" w:rsidRDefault="00E80D19" w:rsidP="00F36B82">
            <w:pPr>
              <w:ind w:right="-42"/>
              <w:jc w:val="right"/>
              <w:rPr>
                <w:sz w:val="16"/>
                <w:szCs w:val="16"/>
              </w:rPr>
            </w:pPr>
            <w:r w:rsidRPr="00471CBA">
              <w:rPr>
                <w:sz w:val="15"/>
                <w:szCs w:val="15"/>
              </w:rPr>
              <w:t>-</w:t>
            </w:r>
          </w:p>
        </w:tc>
        <w:tc>
          <w:tcPr>
            <w:tcW w:w="1134" w:type="dxa"/>
            <w:tcBorders>
              <w:top w:val="nil"/>
              <w:left w:val="nil"/>
              <w:bottom w:val="single" w:sz="4" w:space="0" w:color="auto"/>
              <w:right w:val="nil"/>
            </w:tcBorders>
            <w:vAlign w:val="bottom"/>
          </w:tcPr>
          <w:p w14:paraId="293AD8D0" w14:textId="4D10A947" w:rsidR="00E80D19" w:rsidRPr="00471CBA" w:rsidRDefault="00E80D19" w:rsidP="00F36B82">
            <w:pPr>
              <w:ind w:right="-42"/>
              <w:jc w:val="right"/>
              <w:rPr>
                <w:sz w:val="16"/>
                <w:szCs w:val="16"/>
              </w:rPr>
            </w:pPr>
            <w:r w:rsidRPr="00471CBA">
              <w:rPr>
                <w:sz w:val="15"/>
                <w:szCs w:val="15"/>
              </w:rPr>
              <w:t>-</w:t>
            </w:r>
          </w:p>
        </w:tc>
        <w:tc>
          <w:tcPr>
            <w:tcW w:w="1276" w:type="dxa"/>
            <w:tcBorders>
              <w:top w:val="nil"/>
              <w:left w:val="nil"/>
              <w:bottom w:val="single" w:sz="4" w:space="0" w:color="auto"/>
              <w:right w:val="nil"/>
            </w:tcBorders>
            <w:vAlign w:val="bottom"/>
          </w:tcPr>
          <w:p w14:paraId="519C626D" w14:textId="536605EC" w:rsidR="00E80D19" w:rsidRPr="00471CBA" w:rsidRDefault="00E80D19" w:rsidP="00F36B82">
            <w:pPr>
              <w:ind w:right="-42"/>
              <w:jc w:val="right"/>
              <w:rPr>
                <w:sz w:val="16"/>
                <w:szCs w:val="16"/>
              </w:rPr>
            </w:pPr>
            <w:r w:rsidRPr="00471CBA">
              <w:rPr>
                <w:sz w:val="15"/>
                <w:szCs w:val="15"/>
              </w:rPr>
              <w:t>-</w:t>
            </w:r>
          </w:p>
        </w:tc>
        <w:tc>
          <w:tcPr>
            <w:tcW w:w="1048" w:type="dxa"/>
            <w:tcBorders>
              <w:top w:val="nil"/>
              <w:left w:val="nil"/>
              <w:bottom w:val="single" w:sz="4" w:space="0" w:color="auto"/>
              <w:right w:val="nil"/>
            </w:tcBorders>
            <w:vAlign w:val="bottom"/>
          </w:tcPr>
          <w:p w14:paraId="7778D8A5" w14:textId="2C313A5A" w:rsidR="00E80D19" w:rsidRPr="00471CBA" w:rsidRDefault="00E80D19" w:rsidP="00F36B82">
            <w:pPr>
              <w:ind w:right="-42"/>
              <w:jc w:val="right"/>
              <w:rPr>
                <w:sz w:val="16"/>
                <w:szCs w:val="16"/>
              </w:rPr>
            </w:pPr>
            <w:r w:rsidRPr="00471CBA">
              <w:rPr>
                <w:sz w:val="15"/>
                <w:szCs w:val="15"/>
              </w:rPr>
              <w:t>-</w:t>
            </w:r>
          </w:p>
        </w:tc>
        <w:tc>
          <w:tcPr>
            <w:tcW w:w="1426" w:type="dxa"/>
            <w:tcBorders>
              <w:top w:val="nil"/>
              <w:left w:val="nil"/>
              <w:bottom w:val="single" w:sz="4" w:space="0" w:color="auto"/>
              <w:right w:val="nil"/>
            </w:tcBorders>
            <w:vAlign w:val="bottom"/>
          </w:tcPr>
          <w:p w14:paraId="721C251A" w14:textId="297F8904" w:rsidR="00E80D19" w:rsidRPr="00471CBA" w:rsidRDefault="00E80D19" w:rsidP="00F36B82">
            <w:pPr>
              <w:ind w:right="-42"/>
              <w:jc w:val="right"/>
              <w:rPr>
                <w:color w:val="000000"/>
                <w:sz w:val="16"/>
                <w:szCs w:val="16"/>
              </w:rPr>
            </w:pPr>
            <w:r w:rsidRPr="00471CBA">
              <w:rPr>
                <w:sz w:val="15"/>
                <w:szCs w:val="15"/>
              </w:rPr>
              <w:t>7.342.090</w:t>
            </w:r>
          </w:p>
        </w:tc>
      </w:tr>
      <w:tr w:rsidR="00E80D19" w:rsidRPr="00471CBA" w14:paraId="280760BE" w14:textId="77777777" w:rsidTr="003A558E">
        <w:trPr>
          <w:trHeight w:val="20"/>
        </w:trPr>
        <w:tc>
          <w:tcPr>
            <w:tcW w:w="2407" w:type="dxa"/>
            <w:tcBorders>
              <w:top w:val="single" w:sz="4" w:space="0" w:color="auto"/>
              <w:left w:val="nil"/>
              <w:bottom w:val="single" w:sz="12" w:space="0" w:color="auto"/>
              <w:right w:val="nil"/>
            </w:tcBorders>
            <w:vAlign w:val="bottom"/>
            <w:hideMark/>
          </w:tcPr>
          <w:p w14:paraId="6DBF23E4" w14:textId="77777777" w:rsidR="00E80D19" w:rsidRPr="00471CBA" w:rsidRDefault="00E80D19" w:rsidP="00E80D19">
            <w:pPr>
              <w:rPr>
                <w:b/>
                <w:sz w:val="15"/>
                <w:szCs w:val="15"/>
              </w:rPr>
            </w:pPr>
            <w:r w:rsidRPr="00471CBA">
              <w:rPr>
                <w:b/>
                <w:sz w:val="15"/>
                <w:szCs w:val="15"/>
              </w:rPr>
              <w:t>Toplam yükümlülükler</w:t>
            </w:r>
          </w:p>
        </w:tc>
        <w:tc>
          <w:tcPr>
            <w:tcW w:w="1264" w:type="dxa"/>
            <w:tcBorders>
              <w:top w:val="single" w:sz="4" w:space="0" w:color="auto"/>
              <w:left w:val="nil"/>
              <w:bottom w:val="single" w:sz="12" w:space="0" w:color="auto"/>
              <w:right w:val="nil"/>
            </w:tcBorders>
            <w:vAlign w:val="bottom"/>
          </w:tcPr>
          <w:p w14:paraId="58D0E4CD" w14:textId="6185703A" w:rsidR="00E80D19" w:rsidRPr="00471CBA" w:rsidRDefault="00E80D19" w:rsidP="00F36B82">
            <w:pPr>
              <w:ind w:right="-42"/>
              <w:jc w:val="right"/>
              <w:rPr>
                <w:b/>
                <w:bCs/>
                <w:color w:val="000000"/>
                <w:sz w:val="16"/>
                <w:szCs w:val="16"/>
              </w:rPr>
            </w:pPr>
            <w:r w:rsidRPr="00471CBA">
              <w:rPr>
                <w:b/>
                <w:bCs/>
                <w:sz w:val="15"/>
                <w:szCs w:val="15"/>
              </w:rPr>
              <w:t>34.635.157</w:t>
            </w:r>
          </w:p>
        </w:tc>
        <w:tc>
          <w:tcPr>
            <w:tcW w:w="1105" w:type="dxa"/>
            <w:tcBorders>
              <w:top w:val="single" w:sz="4" w:space="0" w:color="auto"/>
              <w:left w:val="nil"/>
              <w:bottom w:val="single" w:sz="12" w:space="0" w:color="auto"/>
              <w:right w:val="nil"/>
            </w:tcBorders>
            <w:vAlign w:val="bottom"/>
          </w:tcPr>
          <w:p w14:paraId="60E679CB" w14:textId="4E1B5E77" w:rsidR="00E80D19" w:rsidRPr="00471CBA" w:rsidRDefault="00E80D19" w:rsidP="00F36B82">
            <w:pPr>
              <w:ind w:right="-42"/>
              <w:jc w:val="right"/>
              <w:rPr>
                <w:b/>
                <w:bCs/>
                <w:color w:val="000000"/>
                <w:sz w:val="16"/>
                <w:szCs w:val="16"/>
              </w:rPr>
            </w:pPr>
            <w:r w:rsidRPr="00471CBA">
              <w:rPr>
                <w:b/>
                <w:bCs/>
                <w:sz w:val="15"/>
                <w:szCs w:val="15"/>
              </w:rPr>
              <w:t>-</w:t>
            </w:r>
          </w:p>
        </w:tc>
        <w:tc>
          <w:tcPr>
            <w:tcW w:w="1134" w:type="dxa"/>
            <w:tcBorders>
              <w:top w:val="single" w:sz="4" w:space="0" w:color="auto"/>
              <w:left w:val="nil"/>
              <w:bottom w:val="single" w:sz="12" w:space="0" w:color="auto"/>
              <w:right w:val="nil"/>
            </w:tcBorders>
            <w:vAlign w:val="bottom"/>
          </w:tcPr>
          <w:p w14:paraId="04DB3B1D" w14:textId="2E76552D" w:rsidR="00E80D19" w:rsidRPr="00471CBA" w:rsidRDefault="00E80D19" w:rsidP="00F36B82">
            <w:pPr>
              <w:ind w:right="-42"/>
              <w:jc w:val="right"/>
              <w:rPr>
                <w:b/>
                <w:bCs/>
                <w:sz w:val="16"/>
                <w:szCs w:val="16"/>
              </w:rPr>
            </w:pPr>
            <w:r w:rsidRPr="00471CBA">
              <w:rPr>
                <w:b/>
                <w:bCs/>
                <w:sz w:val="15"/>
                <w:szCs w:val="15"/>
              </w:rPr>
              <w:t>480.631</w:t>
            </w:r>
          </w:p>
        </w:tc>
        <w:tc>
          <w:tcPr>
            <w:tcW w:w="1276" w:type="dxa"/>
            <w:tcBorders>
              <w:top w:val="single" w:sz="4" w:space="0" w:color="auto"/>
              <w:left w:val="nil"/>
              <w:bottom w:val="single" w:sz="12" w:space="0" w:color="auto"/>
              <w:right w:val="nil"/>
            </w:tcBorders>
            <w:vAlign w:val="bottom"/>
          </w:tcPr>
          <w:p w14:paraId="69777D42" w14:textId="1A834E19" w:rsidR="00E80D19" w:rsidRPr="00471CBA" w:rsidRDefault="00E80D19" w:rsidP="00F36B82">
            <w:pPr>
              <w:ind w:right="-42"/>
              <w:jc w:val="right"/>
              <w:rPr>
                <w:b/>
                <w:bCs/>
                <w:sz w:val="16"/>
                <w:szCs w:val="16"/>
              </w:rPr>
            </w:pPr>
            <w:r w:rsidRPr="00471CBA">
              <w:rPr>
                <w:b/>
                <w:bCs/>
                <w:sz w:val="15"/>
                <w:szCs w:val="15"/>
              </w:rPr>
              <w:t>-</w:t>
            </w:r>
          </w:p>
        </w:tc>
        <w:tc>
          <w:tcPr>
            <w:tcW w:w="1048" w:type="dxa"/>
            <w:tcBorders>
              <w:top w:val="single" w:sz="4" w:space="0" w:color="auto"/>
              <w:left w:val="nil"/>
              <w:bottom w:val="single" w:sz="12" w:space="0" w:color="auto"/>
              <w:right w:val="nil"/>
            </w:tcBorders>
            <w:vAlign w:val="bottom"/>
          </w:tcPr>
          <w:p w14:paraId="280D2FE2" w14:textId="5625D711" w:rsidR="00E80D19" w:rsidRPr="00471CBA" w:rsidRDefault="00E80D19" w:rsidP="00F36B82">
            <w:pPr>
              <w:ind w:right="-42"/>
              <w:jc w:val="right"/>
              <w:rPr>
                <w:b/>
                <w:bCs/>
                <w:sz w:val="16"/>
                <w:szCs w:val="16"/>
              </w:rPr>
            </w:pPr>
            <w:r w:rsidRPr="00471CBA">
              <w:rPr>
                <w:b/>
                <w:bCs/>
                <w:sz w:val="15"/>
                <w:szCs w:val="15"/>
              </w:rPr>
              <w:t>-</w:t>
            </w:r>
          </w:p>
        </w:tc>
        <w:tc>
          <w:tcPr>
            <w:tcW w:w="1426" w:type="dxa"/>
            <w:tcBorders>
              <w:top w:val="single" w:sz="4" w:space="0" w:color="auto"/>
              <w:left w:val="nil"/>
              <w:bottom w:val="single" w:sz="12" w:space="0" w:color="auto"/>
              <w:right w:val="nil"/>
            </w:tcBorders>
            <w:vAlign w:val="bottom"/>
          </w:tcPr>
          <w:p w14:paraId="1CF2C1F4" w14:textId="3698F859" w:rsidR="00E80D19" w:rsidRPr="00471CBA" w:rsidRDefault="00E80D19" w:rsidP="00F36B82">
            <w:pPr>
              <w:ind w:right="-42"/>
              <w:jc w:val="right"/>
              <w:rPr>
                <w:b/>
                <w:bCs/>
                <w:color w:val="000000"/>
                <w:sz w:val="16"/>
                <w:szCs w:val="16"/>
              </w:rPr>
            </w:pPr>
            <w:r w:rsidRPr="00471CBA">
              <w:rPr>
                <w:b/>
                <w:bCs/>
                <w:sz w:val="15"/>
                <w:szCs w:val="15"/>
              </w:rPr>
              <w:t>34.154.526</w:t>
            </w:r>
          </w:p>
        </w:tc>
      </w:tr>
    </w:tbl>
    <w:p w14:paraId="3E172E38" w14:textId="77777777" w:rsidR="00B35FE1" w:rsidRPr="00471CBA" w:rsidRDefault="00B35FE1" w:rsidP="00B35FE1">
      <w:pPr>
        <w:tabs>
          <w:tab w:val="left" w:pos="284"/>
        </w:tabs>
        <w:spacing w:before="60"/>
        <w:ind w:left="-14"/>
        <w:rPr>
          <w:rFonts w:eastAsiaTheme="minorHAnsi"/>
          <w:iCs/>
          <w:sz w:val="16"/>
          <w:szCs w:val="20"/>
        </w:rPr>
      </w:pPr>
      <w:r w:rsidRPr="00471CBA">
        <w:rPr>
          <w:rFonts w:eastAsiaTheme="minorHAnsi"/>
          <w:iCs/>
          <w:sz w:val="16"/>
          <w:szCs w:val="20"/>
          <w:vertAlign w:val="superscript"/>
        </w:rPr>
        <w:t xml:space="preserve">(*)    </w:t>
      </w:r>
      <w:r w:rsidRPr="00471CBA">
        <w:rPr>
          <w:rFonts w:eastAsiaTheme="minorHAnsi"/>
          <w:iCs/>
          <w:sz w:val="16"/>
          <w:szCs w:val="20"/>
        </w:rPr>
        <w:t>Banka’nın muhasebesel ve yasal konsolidasyon kapsamı aynı olduğundan mali tablo bilgileri tek sütunda gösterilmiştir.</w:t>
      </w:r>
    </w:p>
    <w:p w14:paraId="1A54E1FA" w14:textId="77777777" w:rsidR="00B35FE1" w:rsidRPr="00471CBA" w:rsidRDefault="00B35FE1" w:rsidP="00B35FE1">
      <w:pPr>
        <w:tabs>
          <w:tab w:val="left" w:pos="284"/>
        </w:tabs>
        <w:spacing w:before="60"/>
        <w:ind w:left="-14"/>
        <w:rPr>
          <w:sz w:val="16"/>
          <w:szCs w:val="20"/>
        </w:rPr>
      </w:pPr>
      <w:r w:rsidRPr="00471CBA">
        <w:rPr>
          <w:rFonts w:eastAsiaTheme="minorHAnsi"/>
          <w:iCs/>
          <w:sz w:val="16"/>
          <w:szCs w:val="20"/>
          <w:vertAlign w:val="superscript"/>
        </w:rPr>
        <w:t>(**)</w:t>
      </w:r>
      <w:r w:rsidRPr="00471CBA">
        <w:rPr>
          <w:rFonts w:eastAsiaTheme="minorHAnsi"/>
          <w:b/>
          <w:iCs/>
          <w:sz w:val="16"/>
          <w:szCs w:val="20"/>
          <w:vertAlign w:val="superscript"/>
        </w:rPr>
        <w:tab/>
      </w:r>
      <w:r w:rsidRPr="00471CBA">
        <w:rPr>
          <w:sz w:val="16"/>
          <w:szCs w:val="20"/>
        </w:rPr>
        <w:t>Piyasa riski kapsamındaki genel piyasa riski ve spesifik riske konu kalemlerin TMS uyarınca değerlenmiş tutarlarını içermektedir.</w:t>
      </w:r>
    </w:p>
    <w:p w14:paraId="456E002C" w14:textId="77777777" w:rsidR="00B35FE1" w:rsidRPr="00471CBA" w:rsidRDefault="00B35FE1" w:rsidP="00B35FE1">
      <w:pPr>
        <w:rPr>
          <w:sz w:val="16"/>
          <w:szCs w:val="20"/>
        </w:rPr>
      </w:pPr>
      <w:r w:rsidRPr="00471CBA">
        <w:rPr>
          <w:sz w:val="16"/>
          <w:szCs w:val="20"/>
        </w:rPr>
        <w:br w:type="page"/>
      </w:r>
    </w:p>
    <w:p w14:paraId="22274625" w14:textId="77777777" w:rsidR="00F36B82" w:rsidRPr="00471CBA" w:rsidRDefault="00F36B82" w:rsidP="00F36B82">
      <w:pPr>
        <w:pStyle w:val="GvdeMetniGirintisi"/>
        <w:widowControl w:val="0"/>
        <w:ind w:firstLine="0"/>
        <w:rPr>
          <w:b/>
          <w:szCs w:val="20"/>
        </w:rPr>
      </w:pPr>
      <w:r w:rsidRPr="00471CBA">
        <w:rPr>
          <w:b/>
          <w:szCs w:val="20"/>
        </w:rPr>
        <w:t>MALİ BÜNYEYE VE RİSK YÖNETİMİNE İLİŞKİN BİLGİLER (Devamı)</w:t>
      </w:r>
    </w:p>
    <w:p w14:paraId="32B8E051" w14:textId="77777777" w:rsidR="00F36B82" w:rsidRDefault="00F36B82" w:rsidP="00B35FE1">
      <w:pPr>
        <w:ind w:left="851" w:hanging="851"/>
        <w:rPr>
          <w:b/>
          <w:bCs/>
        </w:rPr>
      </w:pPr>
    </w:p>
    <w:p w14:paraId="28097559" w14:textId="57BAC232" w:rsidR="00B35FE1" w:rsidRPr="00471CBA" w:rsidRDefault="00B35FE1" w:rsidP="00B35FE1">
      <w:pPr>
        <w:ind w:left="851" w:hanging="851"/>
        <w:rPr>
          <w:b/>
          <w:bCs/>
        </w:rPr>
      </w:pPr>
      <w:r w:rsidRPr="00471CBA">
        <w:rPr>
          <w:b/>
          <w:bCs/>
        </w:rPr>
        <w:t>IX.</w:t>
      </w:r>
      <w:r w:rsidRPr="00471CBA">
        <w:rPr>
          <w:b/>
          <w:bCs/>
        </w:rPr>
        <w:tab/>
        <w:t>RİSK YÖNETİMİNE İLİŞKİN AÇIKLAMALAR (Devamı)</w:t>
      </w:r>
    </w:p>
    <w:p w14:paraId="0DE79740" w14:textId="77777777" w:rsidR="00B35FE1" w:rsidRPr="00471CBA" w:rsidRDefault="00B35FE1" w:rsidP="00B35FE1">
      <w:pPr>
        <w:spacing w:before="120"/>
        <w:ind w:left="851" w:hanging="851"/>
        <w:rPr>
          <w:b/>
          <w:szCs w:val="20"/>
        </w:rPr>
      </w:pPr>
      <w:r w:rsidRPr="00471CBA">
        <w:rPr>
          <w:b/>
          <w:szCs w:val="20"/>
        </w:rPr>
        <w:t>b.</w:t>
      </w:r>
      <w:r w:rsidRPr="00471CBA">
        <w:rPr>
          <w:b/>
          <w:szCs w:val="20"/>
        </w:rPr>
        <w:tab/>
        <w:t>Finansal Tablolar ve Risk Tutarları Arasındaki Bağlantılar (Devamı):</w:t>
      </w:r>
    </w:p>
    <w:p w14:paraId="08A22368" w14:textId="77777777" w:rsidR="00B35FE1" w:rsidRPr="00471CBA" w:rsidRDefault="00B35FE1" w:rsidP="00B35FE1">
      <w:pPr>
        <w:spacing w:before="120" w:after="120"/>
        <w:ind w:left="851" w:hanging="851"/>
        <w:rPr>
          <w:b/>
          <w:szCs w:val="20"/>
        </w:rPr>
      </w:pPr>
      <w:r w:rsidRPr="00471CBA">
        <w:rPr>
          <w:b/>
          <w:szCs w:val="20"/>
        </w:rPr>
        <w:t>b.2.</w:t>
      </w:r>
      <w:r w:rsidRPr="00471CBA">
        <w:tab/>
      </w:r>
      <w:r w:rsidRPr="00471CBA">
        <w:rPr>
          <w:b/>
          <w:szCs w:val="20"/>
        </w:rPr>
        <w:t>Risk tutarları ile finansal tablolardaki TMS uyarınca değerlenmiş tutarlar arasındaki farkların ana kaynakları:</w:t>
      </w:r>
    </w:p>
    <w:tbl>
      <w:tblPr>
        <w:tblW w:w="5000" w:type="pct"/>
        <w:tblLook w:val="04A0" w:firstRow="1" w:lastRow="0" w:firstColumn="1" w:lastColumn="0" w:noHBand="0" w:noVBand="1"/>
      </w:tblPr>
      <w:tblGrid>
        <w:gridCol w:w="403"/>
        <w:gridCol w:w="3370"/>
        <w:gridCol w:w="1118"/>
        <w:gridCol w:w="1116"/>
        <w:gridCol w:w="1359"/>
        <w:gridCol w:w="1049"/>
        <w:gridCol w:w="1224"/>
      </w:tblGrid>
      <w:tr w:rsidR="00B35FE1" w:rsidRPr="00471CBA" w14:paraId="5C439AAB" w14:textId="77777777" w:rsidTr="00CB49C3">
        <w:trPr>
          <w:trHeight w:val="227"/>
        </w:trPr>
        <w:tc>
          <w:tcPr>
            <w:tcW w:w="209" w:type="pct"/>
            <w:tcBorders>
              <w:top w:val="single" w:sz="4" w:space="0" w:color="auto"/>
              <w:left w:val="nil"/>
              <w:bottom w:val="single" w:sz="4" w:space="0" w:color="auto"/>
              <w:right w:val="nil"/>
            </w:tcBorders>
          </w:tcPr>
          <w:p w14:paraId="4F350640" w14:textId="77777777" w:rsidR="00B35FE1" w:rsidRPr="00471CBA" w:rsidRDefault="00B35FE1" w:rsidP="00CB49C3">
            <w:pPr>
              <w:rPr>
                <w:sz w:val="16"/>
                <w:szCs w:val="16"/>
              </w:rPr>
            </w:pPr>
          </w:p>
        </w:tc>
        <w:tc>
          <w:tcPr>
            <w:tcW w:w="1748" w:type="pct"/>
            <w:tcBorders>
              <w:top w:val="single" w:sz="4" w:space="0" w:color="auto"/>
              <w:left w:val="nil"/>
              <w:bottom w:val="single" w:sz="4" w:space="0" w:color="auto"/>
              <w:right w:val="nil"/>
            </w:tcBorders>
            <w:vAlign w:val="center"/>
            <w:hideMark/>
          </w:tcPr>
          <w:p w14:paraId="403DAB4D" w14:textId="2A5336FD" w:rsidR="00B35FE1" w:rsidRPr="00471CBA" w:rsidRDefault="00B35FE1" w:rsidP="00CB49C3">
            <w:pPr>
              <w:rPr>
                <w:b/>
                <w:sz w:val="16"/>
                <w:szCs w:val="16"/>
              </w:rPr>
            </w:pPr>
            <w:r w:rsidRPr="00471CBA">
              <w:rPr>
                <w:b/>
                <w:sz w:val="16"/>
                <w:szCs w:val="16"/>
              </w:rPr>
              <w:t>31 Aralık 202</w:t>
            </w:r>
            <w:r w:rsidR="00CE1297" w:rsidRPr="00471CBA">
              <w:rPr>
                <w:b/>
                <w:sz w:val="16"/>
                <w:szCs w:val="16"/>
              </w:rPr>
              <w:t>5</w:t>
            </w:r>
          </w:p>
        </w:tc>
        <w:tc>
          <w:tcPr>
            <w:tcW w:w="580" w:type="pct"/>
            <w:tcBorders>
              <w:top w:val="single" w:sz="4" w:space="0" w:color="auto"/>
              <w:left w:val="nil"/>
              <w:bottom w:val="single" w:sz="4" w:space="0" w:color="auto"/>
              <w:right w:val="nil"/>
            </w:tcBorders>
            <w:vAlign w:val="bottom"/>
            <w:hideMark/>
          </w:tcPr>
          <w:p w14:paraId="18E191F3" w14:textId="77777777" w:rsidR="00B35FE1" w:rsidRPr="00471CBA" w:rsidRDefault="00B35FE1" w:rsidP="00F36B82">
            <w:pPr>
              <w:ind w:right="-45"/>
              <w:jc w:val="right"/>
              <w:rPr>
                <w:b/>
                <w:sz w:val="16"/>
                <w:szCs w:val="16"/>
              </w:rPr>
            </w:pPr>
            <w:r w:rsidRPr="00471CBA">
              <w:rPr>
                <w:b/>
                <w:sz w:val="16"/>
                <w:szCs w:val="16"/>
              </w:rPr>
              <w:t>Toplam</w:t>
            </w:r>
          </w:p>
        </w:tc>
        <w:tc>
          <w:tcPr>
            <w:tcW w:w="579" w:type="pct"/>
            <w:tcBorders>
              <w:top w:val="single" w:sz="4" w:space="0" w:color="auto"/>
              <w:left w:val="nil"/>
              <w:bottom w:val="single" w:sz="4" w:space="0" w:color="auto"/>
              <w:right w:val="nil"/>
            </w:tcBorders>
            <w:vAlign w:val="bottom"/>
            <w:hideMark/>
          </w:tcPr>
          <w:p w14:paraId="20A8DD1D" w14:textId="77777777" w:rsidR="00B35FE1" w:rsidRPr="00471CBA" w:rsidRDefault="00B35FE1" w:rsidP="00F36B82">
            <w:pPr>
              <w:ind w:right="-45"/>
              <w:jc w:val="right"/>
              <w:rPr>
                <w:b/>
                <w:sz w:val="16"/>
                <w:szCs w:val="16"/>
              </w:rPr>
            </w:pPr>
            <w:r w:rsidRPr="00471CBA">
              <w:rPr>
                <w:b/>
                <w:sz w:val="16"/>
                <w:szCs w:val="16"/>
              </w:rPr>
              <w:t>Kredi riskine tabi</w:t>
            </w:r>
          </w:p>
        </w:tc>
        <w:tc>
          <w:tcPr>
            <w:tcW w:w="705" w:type="pct"/>
            <w:tcBorders>
              <w:top w:val="single" w:sz="4" w:space="0" w:color="auto"/>
              <w:left w:val="nil"/>
              <w:bottom w:val="single" w:sz="4" w:space="0" w:color="auto"/>
              <w:right w:val="nil"/>
            </w:tcBorders>
            <w:vAlign w:val="bottom"/>
            <w:hideMark/>
          </w:tcPr>
          <w:p w14:paraId="0937601B" w14:textId="77777777" w:rsidR="00B35FE1" w:rsidRPr="00471CBA" w:rsidRDefault="00B35FE1" w:rsidP="00F36B82">
            <w:pPr>
              <w:ind w:right="-45"/>
              <w:jc w:val="right"/>
              <w:rPr>
                <w:b/>
                <w:sz w:val="16"/>
                <w:szCs w:val="16"/>
              </w:rPr>
            </w:pPr>
            <w:r w:rsidRPr="00471CBA">
              <w:rPr>
                <w:b/>
                <w:sz w:val="16"/>
                <w:szCs w:val="16"/>
              </w:rPr>
              <w:t>Menkul kıymetleştirme pozisyonları</w:t>
            </w:r>
          </w:p>
        </w:tc>
        <w:tc>
          <w:tcPr>
            <w:tcW w:w="544" w:type="pct"/>
            <w:tcBorders>
              <w:top w:val="single" w:sz="4" w:space="0" w:color="auto"/>
              <w:left w:val="nil"/>
              <w:bottom w:val="single" w:sz="4" w:space="0" w:color="auto"/>
              <w:right w:val="nil"/>
            </w:tcBorders>
            <w:vAlign w:val="bottom"/>
            <w:hideMark/>
          </w:tcPr>
          <w:p w14:paraId="2C6E929F" w14:textId="77777777" w:rsidR="00B35FE1" w:rsidRPr="00471CBA" w:rsidRDefault="00B35FE1" w:rsidP="00F36B82">
            <w:pPr>
              <w:ind w:right="-45"/>
              <w:jc w:val="right"/>
              <w:rPr>
                <w:b/>
                <w:sz w:val="16"/>
                <w:szCs w:val="16"/>
              </w:rPr>
            </w:pPr>
            <w:r w:rsidRPr="00471CBA">
              <w:rPr>
                <w:b/>
                <w:sz w:val="16"/>
                <w:szCs w:val="16"/>
              </w:rPr>
              <w:t>Karşı taraf kredi riskine tabi</w:t>
            </w:r>
          </w:p>
        </w:tc>
        <w:tc>
          <w:tcPr>
            <w:tcW w:w="635" w:type="pct"/>
            <w:tcBorders>
              <w:top w:val="single" w:sz="4" w:space="0" w:color="auto"/>
              <w:left w:val="nil"/>
              <w:bottom w:val="single" w:sz="4" w:space="0" w:color="auto"/>
              <w:right w:val="nil"/>
            </w:tcBorders>
            <w:vAlign w:val="bottom"/>
            <w:hideMark/>
          </w:tcPr>
          <w:p w14:paraId="28FBBB0D" w14:textId="77777777" w:rsidR="00B35FE1" w:rsidRPr="00471CBA" w:rsidRDefault="00B35FE1" w:rsidP="00F36B82">
            <w:pPr>
              <w:ind w:right="-45"/>
              <w:jc w:val="right"/>
              <w:rPr>
                <w:b/>
                <w:sz w:val="16"/>
                <w:szCs w:val="16"/>
              </w:rPr>
            </w:pPr>
            <w:r w:rsidRPr="00471CBA">
              <w:rPr>
                <w:b/>
                <w:sz w:val="16"/>
                <w:szCs w:val="16"/>
              </w:rPr>
              <w:t xml:space="preserve">Piyasa riskine tabi </w:t>
            </w:r>
            <w:r w:rsidRPr="00471CBA">
              <w:rPr>
                <w:rFonts w:eastAsiaTheme="minorHAnsi"/>
                <w:b/>
                <w:iCs/>
                <w:sz w:val="16"/>
                <w:szCs w:val="16"/>
                <w:vertAlign w:val="superscript"/>
              </w:rPr>
              <w:t>(*)</w:t>
            </w:r>
          </w:p>
        </w:tc>
      </w:tr>
      <w:tr w:rsidR="00CE1297" w:rsidRPr="00471CBA" w14:paraId="7F48001B" w14:textId="77777777" w:rsidTr="00CE1297">
        <w:trPr>
          <w:trHeight w:val="227"/>
        </w:trPr>
        <w:tc>
          <w:tcPr>
            <w:tcW w:w="209" w:type="pct"/>
            <w:tcBorders>
              <w:top w:val="single" w:sz="4" w:space="0" w:color="auto"/>
              <w:left w:val="nil"/>
              <w:bottom w:val="nil"/>
              <w:right w:val="nil"/>
            </w:tcBorders>
            <w:hideMark/>
          </w:tcPr>
          <w:p w14:paraId="28916DC3" w14:textId="77777777" w:rsidR="00CE1297" w:rsidRPr="00471CBA" w:rsidRDefault="00CE1297" w:rsidP="00CE1297">
            <w:pPr>
              <w:rPr>
                <w:sz w:val="16"/>
                <w:szCs w:val="16"/>
              </w:rPr>
            </w:pPr>
            <w:r w:rsidRPr="00471CBA">
              <w:rPr>
                <w:sz w:val="16"/>
                <w:szCs w:val="16"/>
              </w:rPr>
              <w:t>1</w:t>
            </w:r>
          </w:p>
        </w:tc>
        <w:tc>
          <w:tcPr>
            <w:tcW w:w="1748" w:type="pct"/>
            <w:tcBorders>
              <w:top w:val="single" w:sz="4" w:space="0" w:color="auto"/>
              <w:left w:val="nil"/>
              <w:bottom w:val="nil"/>
              <w:right w:val="nil"/>
            </w:tcBorders>
            <w:vAlign w:val="bottom"/>
            <w:hideMark/>
          </w:tcPr>
          <w:p w14:paraId="6E2C8AEF" w14:textId="77777777" w:rsidR="00CE1297" w:rsidRPr="00471CBA" w:rsidRDefault="00CE1297" w:rsidP="00CE1297">
            <w:pPr>
              <w:rPr>
                <w:sz w:val="16"/>
                <w:szCs w:val="16"/>
              </w:rPr>
            </w:pPr>
            <w:r w:rsidRPr="00471CBA">
              <w:rPr>
                <w:sz w:val="16"/>
                <w:szCs w:val="16"/>
              </w:rPr>
              <w:t>Yasal konsolidasyon kapsamındaki varlıkların TMS uyarınca değerlenmiş tutarları (şablon B1 deki gibi)</w:t>
            </w:r>
          </w:p>
        </w:tc>
        <w:tc>
          <w:tcPr>
            <w:tcW w:w="580" w:type="pct"/>
            <w:vAlign w:val="bottom"/>
          </w:tcPr>
          <w:p w14:paraId="3DDADC66" w14:textId="2C812404" w:rsidR="00CE1297" w:rsidRPr="00471CBA" w:rsidRDefault="00CE1297" w:rsidP="00F36B82">
            <w:pPr>
              <w:ind w:right="-45"/>
              <w:jc w:val="right"/>
              <w:rPr>
                <w:color w:val="000000"/>
                <w:sz w:val="16"/>
                <w:szCs w:val="16"/>
              </w:rPr>
            </w:pPr>
            <w:r w:rsidRPr="00471CBA">
              <w:rPr>
                <w:sz w:val="16"/>
                <w:szCs w:val="16"/>
              </w:rPr>
              <w:t>99.678.153</w:t>
            </w:r>
          </w:p>
        </w:tc>
        <w:tc>
          <w:tcPr>
            <w:tcW w:w="579" w:type="pct"/>
            <w:vAlign w:val="bottom"/>
          </w:tcPr>
          <w:p w14:paraId="10460C59" w14:textId="0FBBDFD0" w:rsidR="00CE1297" w:rsidRPr="00471CBA" w:rsidRDefault="00CE1297" w:rsidP="00F36B82">
            <w:pPr>
              <w:ind w:right="-45"/>
              <w:jc w:val="right"/>
              <w:rPr>
                <w:color w:val="000000"/>
                <w:sz w:val="16"/>
                <w:szCs w:val="16"/>
              </w:rPr>
            </w:pPr>
            <w:r w:rsidRPr="00471CBA">
              <w:rPr>
                <w:sz w:val="16"/>
                <w:szCs w:val="16"/>
              </w:rPr>
              <w:t>97.191.284</w:t>
            </w:r>
          </w:p>
        </w:tc>
        <w:tc>
          <w:tcPr>
            <w:tcW w:w="705" w:type="pct"/>
            <w:tcBorders>
              <w:top w:val="single" w:sz="4" w:space="0" w:color="auto"/>
              <w:left w:val="nil"/>
              <w:bottom w:val="nil"/>
              <w:right w:val="nil"/>
            </w:tcBorders>
            <w:vAlign w:val="bottom"/>
          </w:tcPr>
          <w:p w14:paraId="6A547D42" w14:textId="6EE98C86" w:rsidR="00CE1297" w:rsidRPr="00471CBA" w:rsidRDefault="00CE1297" w:rsidP="00F36B82">
            <w:pPr>
              <w:ind w:right="-45"/>
              <w:jc w:val="right"/>
              <w:rPr>
                <w:color w:val="000000"/>
                <w:sz w:val="16"/>
                <w:szCs w:val="16"/>
              </w:rPr>
            </w:pPr>
            <w:r w:rsidRPr="00471CBA">
              <w:rPr>
                <w:sz w:val="16"/>
                <w:szCs w:val="16"/>
              </w:rPr>
              <w:t>-</w:t>
            </w:r>
          </w:p>
        </w:tc>
        <w:tc>
          <w:tcPr>
            <w:tcW w:w="544" w:type="pct"/>
            <w:tcBorders>
              <w:top w:val="single" w:sz="4" w:space="0" w:color="auto"/>
              <w:left w:val="nil"/>
              <w:bottom w:val="nil"/>
              <w:right w:val="nil"/>
            </w:tcBorders>
            <w:vAlign w:val="bottom"/>
          </w:tcPr>
          <w:p w14:paraId="46563F64" w14:textId="51930621" w:rsidR="00CE1297" w:rsidRPr="00471CBA" w:rsidRDefault="00CE1297" w:rsidP="00F36B82">
            <w:pPr>
              <w:ind w:right="-45"/>
              <w:jc w:val="right"/>
              <w:rPr>
                <w:color w:val="000000"/>
                <w:sz w:val="16"/>
                <w:szCs w:val="16"/>
              </w:rPr>
            </w:pPr>
            <w:r w:rsidRPr="00471CBA">
              <w:rPr>
                <w:sz w:val="16"/>
                <w:szCs w:val="16"/>
              </w:rPr>
              <w:t>1.147.565</w:t>
            </w:r>
          </w:p>
        </w:tc>
        <w:tc>
          <w:tcPr>
            <w:tcW w:w="635" w:type="pct"/>
            <w:tcBorders>
              <w:top w:val="single" w:sz="4" w:space="0" w:color="auto"/>
              <w:left w:val="nil"/>
              <w:bottom w:val="nil"/>
              <w:right w:val="nil"/>
            </w:tcBorders>
            <w:vAlign w:val="bottom"/>
          </w:tcPr>
          <w:p w14:paraId="75CAC72D" w14:textId="26722DE3" w:rsidR="00CE1297" w:rsidRPr="00471CBA" w:rsidRDefault="00CE1297" w:rsidP="00F36B82">
            <w:pPr>
              <w:ind w:right="-45"/>
              <w:jc w:val="right"/>
              <w:rPr>
                <w:color w:val="000000"/>
                <w:sz w:val="16"/>
                <w:szCs w:val="16"/>
              </w:rPr>
            </w:pPr>
            <w:r w:rsidRPr="00471CBA">
              <w:rPr>
                <w:sz w:val="16"/>
                <w:szCs w:val="16"/>
              </w:rPr>
              <w:t>1.339.304</w:t>
            </w:r>
          </w:p>
        </w:tc>
      </w:tr>
      <w:tr w:rsidR="00CE1297" w:rsidRPr="00471CBA" w14:paraId="6FD810A6" w14:textId="77777777" w:rsidTr="00CE1297">
        <w:trPr>
          <w:trHeight w:val="227"/>
        </w:trPr>
        <w:tc>
          <w:tcPr>
            <w:tcW w:w="209" w:type="pct"/>
            <w:hideMark/>
          </w:tcPr>
          <w:p w14:paraId="08390845" w14:textId="77777777" w:rsidR="00CE1297" w:rsidRPr="00471CBA" w:rsidRDefault="00CE1297" w:rsidP="00CE1297">
            <w:pPr>
              <w:rPr>
                <w:sz w:val="16"/>
                <w:szCs w:val="16"/>
              </w:rPr>
            </w:pPr>
            <w:r w:rsidRPr="00471CBA">
              <w:rPr>
                <w:sz w:val="16"/>
                <w:szCs w:val="16"/>
              </w:rPr>
              <w:t>2</w:t>
            </w:r>
          </w:p>
        </w:tc>
        <w:tc>
          <w:tcPr>
            <w:tcW w:w="1748" w:type="pct"/>
            <w:vAlign w:val="bottom"/>
            <w:hideMark/>
          </w:tcPr>
          <w:p w14:paraId="0EFEE74E" w14:textId="77777777" w:rsidR="00CE1297" w:rsidRPr="00471CBA" w:rsidRDefault="00CE1297" w:rsidP="00CE1297">
            <w:pPr>
              <w:rPr>
                <w:sz w:val="16"/>
                <w:szCs w:val="16"/>
              </w:rPr>
            </w:pPr>
            <w:r w:rsidRPr="00471CBA">
              <w:rPr>
                <w:sz w:val="16"/>
                <w:szCs w:val="16"/>
              </w:rPr>
              <w:t>Yasal</w:t>
            </w:r>
            <w:r w:rsidRPr="00471CBA">
              <w:rPr>
                <w:b/>
                <w:sz w:val="16"/>
                <w:szCs w:val="16"/>
              </w:rPr>
              <w:t xml:space="preserve"> </w:t>
            </w:r>
            <w:r w:rsidRPr="00471CBA">
              <w:rPr>
                <w:sz w:val="16"/>
                <w:szCs w:val="16"/>
              </w:rPr>
              <w:t>konsolidasyon kapsamındaki yükümlülüklerin TMS uyarınca değerlenmiş tutarları (şablon B1’deki gibi)</w:t>
            </w:r>
          </w:p>
        </w:tc>
        <w:tc>
          <w:tcPr>
            <w:tcW w:w="580" w:type="pct"/>
            <w:vAlign w:val="bottom"/>
          </w:tcPr>
          <w:p w14:paraId="63FC6391" w14:textId="7CE0694A" w:rsidR="00CE1297" w:rsidRPr="00471CBA" w:rsidRDefault="00CE1297" w:rsidP="00F36B82">
            <w:pPr>
              <w:ind w:right="-45"/>
              <w:jc w:val="right"/>
              <w:rPr>
                <w:color w:val="000000"/>
                <w:sz w:val="16"/>
                <w:szCs w:val="16"/>
              </w:rPr>
            </w:pPr>
            <w:r w:rsidRPr="00471CBA">
              <w:rPr>
                <w:sz w:val="16"/>
                <w:szCs w:val="16"/>
              </w:rPr>
              <w:t>1.050.687</w:t>
            </w:r>
          </w:p>
        </w:tc>
        <w:tc>
          <w:tcPr>
            <w:tcW w:w="579" w:type="pct"/>
            <w:vAlign w:val="bottom"/>
          </w:tcPr>
          <w:p w14:paraId="64848F69" w14:textId="180E7D03" w:rsidR="00CE1297" w:rsidRPr="00471CBA" w:rsidRDefault="00CE1297" w:rsidP="00F36B82">
            <w:pPr>
              <w:ind w:right="-45"/>
              <w:jc w:val="right"/>
              <w:rPr>
                <w:color w:val="000000"/>
                <w:sz w:val="16"/>
                <w:szCs w:val="16"/>
              </w:rPr>
            </w:pPr>
            <w:r w:rsidRPr="00471CBA">
              <w:rPr>
                <w:sz w:val="16"/>
                <w:szCs w:val="16"/>
              </w:rPr>
              <w:t>-</w:t>
            </w:r>
          </w:p>
        </w:tc>
        <w:tc>
          <w:tcPr>
            <w:tcW w:w="705" w:type="pct"/>
            <w:vAlign w:val="bottom"/>
          </w:tcPr>
          <w:p w14:paraId="4C7E91E6" w14:textId="3F556FE3" w:rsidR="00CE1297" w:rsidRPr="00471CBA" w:rsidRDefault="00CE1297" w:rsidP="00F36B82">
            <w:pPr>
              <w:ind w:right="-45"/>
              <w:jc w:val="right"/>
              <w:rPr>
                <w:color w:val="000000"/>
                <w:sz w:val="16"/>
                <w:szCs w:val="16"/>
              </w:rPr>
            </w:pPr>
            <w:r w:rsidRPr="00471CBA">
              <w:rPr>
                <w:sz w:val="16"/>
                <w:szCs w:val="16"/>
              </w:rPr>
              <w:t>-</w:t>
            </w:r>
          </w:p>
        </w:tc>
        <w:tc>
          <w:tcPr>
            <w:tcW w:w="544" w:type="pct"/>
            <w:vAlign w:val="bottom"/>
          </w:tcPr>
          <w:p w14:paraId="2EB00DD5" w14:textId="0B9C2BB9" w:rsidR="00CE1297" w:rsidRPr="00471CBA" w:rsidRDefault="00CE1297" w:rsidP="00F36B82">
            <w:pPr>
              <w:ind w:right="-45"/>
              <w:jc w:val="right"/>
              <w:rPr>
                <w:color w:val="000000"/>
                <w:sz w:val="16"/>
                <w:szCs w:val="16"/>
              </w:rPr>
            </w:pPr>
            <w:r w:rsidRPr="00471CBA">
              <w:rPr>
                <w:sz w:val="16"/>
                <w:szCs w:val="16"/>
              </w:rPr>
              <w:t>1.050.687</w:t>
            </w:r>
          </w:p>
        </w:tc>
        <w:tc>
          <w:tcPr>
            <w:tcW w:w="635" w:type="pct"/>
            <w:vAlign w:val="bottom"/>
          </w:tcPr>
          <w:p w14:paraId="330F5FB9" w14:textId="7649951B" w:rsidR="00CE1297" w:rsidRPr="00471CBA" w:rsidRDefault="00CE1297" w:rsidP="00F36B82">
            <w:pPr>
              <w:ind w:right="-45"/>
              <w:jc w:val="right"/>
              <w:rPr>
                <w:color w:val="000000"/>
                <w:sz w:val="16"/>
                <w:szCs w:val="16"/>
              </w:rPr>
            </w:pPr>
            <w:r w:rsidRPr="00471CBA">
              <w:rPr>
                <w:sz w:val="16"/>
                <w:szCs w:val="16"/>
              </w:rPr>
              <w:t>-</w:t>
            </w:r>
          </w:p>
        </w:tc>
      </w:tr>
      <w:tr w:rsidR="00CE1297" w:rsidRPr="00471CBA" w14:paraId="51BFA0D6" w14:textId="77777777" w:rsidTr="00CE1297">
        <w:trPr>
          <w:trHeight w:val="227"/>
        </w:trPr>
        <w:tc>
          <w:tcPr>
            <w:tcW w:w="209" w:type="pct"/>
            <w:hideMark/>
          </w:tcPr>
          <w:p w14:paraId="4F03A558" w14:textId="77777777" w:rsidR="00CE1297" w:rsidRPr="00471CBA" w:rsidRDefault="00CE1297" w:rsidP="00CE1297">
            <w:pPr>
              <w:rPr>
                <w:sz w:val="16"/>
                <w:szCs w:val="16"/>
              </w:rPr>
            </w:pPr>
            <w:r w:rsidRPr="00471CBA">
              <w:rPr>
                <w:sz w:val="16"/>
                <w:szCs w:val="16"/>
              </w:rPr>
              <w:t>3</w:t>
            </w:r>
          </w:p>
        </w:tc>
        <w:tc>
          <w:tcPr>
            <w:tcW w:w="1748" w:type="pct"/>
            <w:vAlign w:val="bottom"/>
            <w:hideMark/>
          </w:tcPr>
          <w:p w14:paraId="59EAF051" w14:textId="77777777" w:rsidR="00CE1297" w:rsidRPr="00471CBA" w:rsidRDefault="00CE1297" w:rsidP="00CE1297">
            <w:pPr>
              <w:rPr>
                <w:b/>
                <w:sz w:val="16"/>
                <w:szCs w:val="16"/>
              </w:rPr>
            </w:pPr>
            <w:r w:rsidRPr="00471CBA">
              <w:rPr>
                <w:b/>
                <w:sz w:val="16"/>
                <w:szCs w:val="16"/>
              </w:rPr>
              <w:t>Yasal konsolidasyon kapsamındaki toplam net tutar</w:t>
            </w:r>
          </w:p>
        </w:tc>
        <w:tc>
          <w:tcPr>
            <w:tcW w:w="580" w:type="pct"/>
            <w:vAlign w:val="bottom"/>
          </w:tcPr>
          <w:p w14:paraId="25123AFB" w14:textId="55DEE899" w:rsidR="00CE1297" w:rsidRPr="00471CBA" w:rsidRDefault="00CE1297" w:rsidP="00F36B82">
            <w:pPr>
              <w:ind w:right="-45"/>
              <w:jc w:val="right"/>
              <w:rPr>
                <w:color w:val="000000"/>
                <w:sz w:val="16"/>
                <w:szCs w:val="16"/>
              </w:rPr>
            </w:pPr>
            <w:r w:rsidRPr="00471CBA">
              <w:rPr>
                <w:sz w:val="16"/>
                <w:szCs w:val="16"/>
              </w:rPr>
              <w:t>98.627.466</w:t>
            </w:r>
          </w:p>
        </w:tc>
        <w:tc>
          <w:tcPr>
            <w:tcW w:w="579" w:type="pct"/>
            <w:vAlign w:val="bottom"/>
          </w:tcPr>
          <w:p w14:paraId="476D63B5" w14:textId="5ED252CC" w:rsidR="00CE1297" w:rsidRPr="00471CBA" w:rsidRDefault="00CE1297" w:rsidP="00F36B82">
            <w:pPr>
              <w:ind w:right="-45"/>
              <w:jc w:val="right"/>
              <w:rPr>
                <w:color w:val="000000"/>
                <w:sz w:val="16"/>
                <w:szCs w:val="16"/>
              </w:rPr>
            </w:pPr>
            <w:r w:rsidRPr="00471CBA">
              <w:rPr>
                <w:sz w:val="16"/>
                <w:szCs w:val="16"/>
              </w:rPr>
              <w:t>97.191.284</w:t>
            </w:r>
          </w:p>
        </w:tc>
        <w:tc>
          <w:tcPr>
            <w:tcW w:w="705" w:type="pct"/>
            <w:vAlign w:val="bottom"/>
          </w:tcPr>
          <w:p w14:paraId="4A96FD41" w14:textId="56541C9E" w:rsidR="00CE1297" w:rsidRPr="00471CBA" w:rsidRDefault="00CE1297" w:rsidP="00F36B82">
            <w:pPr>
              <w:ind w:right="-45"/>
              <w:jc w:val="right"/>
              <w:rPr>
                <w:color w:val="000000"/>
                <w:sz w:val="16"/>
                <w:szCs w:val="16"/>
              </w:rPr>
            </w:pPr>
            <w:r w:rsidRPr="00471CBA">
              <w:rPr>
                <w:sz w:val="16"/>
                <w:szCs w:val="16"/>
              </w:rPr>
              <w:t>-</w:t>
            </w:r>
          </w:p>
        </w:tc>
        <w:tc>
          <w:tcPr>
            <w:tcW w:w="544" w:type="pct"/>
            <w:vAlign w:val="bottom"/>
          </w:tcPr>
          <w:p w14:paraId="1D7E9309" w14:textId="28DE740A" w:rsidR="00CE1297" w:rsidRPr="00471CBA" w:rsidRDefault="00CE1297" w:rsidP="00F36B82">
            <w:pPr>
              <w:ind w:right="-45"/>
              <w:jc w:val="right"/>
              <w:rPr>
                <w:color w:val="000000"/>
                <w:sz w:val="16"/>
                <w:szCs w:val="16"/>
              </w:rPr>
            </w:pPr>
            <w:r w:rsidRPr="00471CBA">
              <w:rPr>
                <w:sz w:val="16"/>
                <w:szCs w:val="16"/>
              </w:rPr>
              <w:t>96.878</w:t>
            </w:r>
          </w:p>
        </w:tc>
        <w:tc>
          <w:tcPr>
            <w:tcW w:w="635" w:type="pct"/>
            <w:vAlign w:val="bottom"/>
          </w:tcPr>
          <w:p w14:paraId="1BDB93BE" w14:textId="6D0C7152" w:rsidR="00CE1297" w:rsidRPr="00471CBA" w:rsidRDefault="00CE1297" w:rsidP="00F36B82">
            <w:pPr>
              <w:ind w:right="-45"/>
              <w:jc w:val="right"/>
              <w:rPr>
                <w:color w:val="000000"/>
                <w:sz w:val="16"/>
                <w:szCs w:val="16"/>
              </w:rPr>
            </w:pPr>
            <w:r w:rsidRPr="00471CBA">
              <w:rPr>
                <w:sz w:val="16"/>
                <w:szCs w:val="16"/>
              </w:rPr>
              <w:t>1.339.304</w:t>
            </w:r>
          </w:p>
        </w:tc>
      </w:tr>
      <w:tr w:rsidR="00CE1297" w:rsidRPr="00471CBA" w14:paraId="375EA024" w14:textId="77777777" w:rsidTr="00CE1297">
        <w:trPr>
          <w:trHeight w:val="227"/>
        </w:trPr>
        <w:tc>
          <w:tcPr>
            <w:tcW w:w="209" w:type="pct"/>
            <w:hideMark/>
          </w:tcPr>
          <w:p w14:paraId="3F8A1027" w14:textId="77777777" w:rsidR="00CE1297" w:rsidRPr="00471CBA" w:rsidRDefault="00CE1297" w:rsidP="00CE1297">
            <w:pPr>
              <w:rPr>
                <w:sz w:val="16"/>
                <w:szCs w:val="16"/>
              </w:rPr>
            </w:pPr>
            <w:r w:rsidRPr="00471CBA">
              <w:rPr>
                <w:sz w:val="16"/>
                <w:szCs w:val="16"/>
              </w:rPr>
              <w:t>4</w:t>
            </w:r>
          </w:p>
        </w:tc>
        <w:tc>
          <w:tcPr>
            <w:tcW w:w="1748" w:type="pct"/>
            <w:vAlign w:val="bottom"/>
            <w:hideMark/>
          </w:tcPr>
          <w:p w14:paraId="2E9A7CEA" w14:textId="77777777" w:rsidR="00CE1297" w:rsidRPr="00471CBA" w:rsidRDefault="00CE1297" w:rsidP="00CE1297">
            <w:pPr>
              <w:rPr>
                <w:sz w:val="16"/>
                <w:szCs w:val="16"/>
              </w:rPr>
            </w:pPr>
            <w:r w:rsidRPr="00471CBA">
              <w:rPr>
                <w:sz w:val="16"/>
                <w:szCs w:val="16"/>
              </w:rPr>
              <w:t>Bilanço dışı tutarlar</w:t>
            </w:r>
          </w:p>
        </w:tc>
        <w:tc>
          <w:tcPr>
            <w:tcW w:w="580" w:type="pct"/>
            <w:vAlign w:val="bottom"/>
          </w:tcPr>
          <w:p w14:paraId="77B6E131" w14:textId="4CB2D656" w:rsidR="00CE1297" w:rsidRPr="00471CBA" w:rsidRDefault="00CE1297" w:rsidP="00F36B82">
            <w:pPr>
              <w:ind w:right="-45"/>
              <w:jc w:val="right"/>
              <w:rPr>
                <w:color w:val="000000"/>
                <w:sz w:val="16"/>
                <w:szCs w:val="16"/>
              </w:rPr>
            </w:pPr>
            <w:r w:rsidRPr="00471CBA">
              <w:rPr>
                <w:sz w:val="16"/>
                <w:szCs w:val="16"/>
              </w:rPr>
              <w:t>359.061.797</w:t>
            </w:r>
          </w:p>
        </w:tc>
        <w:tc>
          <w:tcPr>
            <w:tcW w:w="579" w:type="pct"/>
            <w:vAlign w:val="bottom"/>
          </w:tcPr>
          <w:p w14:paraId="3DE9F9E1" w14:textId="3186334B" w:rsidR="00CE1297" w:rsidRPr="00471CBA" w:rsidRDefault="00CE1297" w:rsidP="00F36B82">
            <w:pPr>
              <w:ind w:right="-45"/>
              <w:jc w:val="right"/>
              <w:rPr>
                <w:color w:val="000000"/>
                <w:sz w:val="16"/>
                <w:szCs w:val="16"/>
              </w:rPr>
            </w:pPr>
            <w:r w:rsidRPr="00471CBA">
              <w:rPr>
                <w:sz w:val="16"/>
                <w:szCs w:val="16"/>
              </w:rPr>
              <w:t>17.583.552</w:t>
            </w:r>
          </w:p>
        </w:tc>
        <w:tc>
          <w:tcPr>
            <w:tcW w:w="705" w:type="pct"/>
            <w:vAlign w:val="bottom"/>
          </w:tcPr>
          <w:p w14:paraId="542407ED" w14:textId="04A218D2" w:rsidR="00CE1297" w:rsidRPr="00471CBA" w:rsidRDefault="00CE1297" w:rsidP="00F36B82">
            <w:pPr>
              <w:ind w:right="-45"/>
              <w:jc w:val="right"/>
              <w:rPr>
                <w:color w:val="000000"/>
                <w:sz w:val="16"/>
                <w:szCs w:val="16"/>
              </w:rPr>
            </w:pPr>
            <w:r w:rsidRPr="00471CBA">
              <w:rPr>
                <w:sz w:val="16"/>
                <w:szCs w:val="16"/>
              </w:rPr>
              <w:t>-</w:t>
            </w:r>
          </w:p>
        </w:tc>
        <w:tc>
          <w:tcPr>
            <w:tcW w:w="544" w:type="pct"/>
            <w:vAlign w:val="bottom"/>
          </w:tcPr>
          <w:p w14:paraId="0550EB1D" w14:textId="4060BEB1" w:rsidR="00CE1297" w:rsidRPr="00471CBA" w:rsidRDefault="00CE1297" w:rsidP="00F36B82">
            <w:pPr>
              <w:ind w:right="-45"/>
              <w:jc w:val="right"/>
              <w:rPr>
                <w:color w:val="000000"/>
                <w:sz w:val="16"/>
                <w:szCs w:val="16"/>
              </w:rPr>
            </w:pPr>
            <w:r w:rsidRPr="00471CBA">
              <w:rPr>
                <w:sz w:val="16"/>
                <w:szCs w:val="16"/>
              </w:rPr>
              <w:t>1.390.237</w:t>
            </w:r>
          </w:p>
        </w:tc>
        <w:tc>
          <w:tcPr>
            <w:tcW w:w="635" w:type="pct"/>
            <w:vAlign w:val="bottom"/>
          </w:tcPr>
          <w:p w14:paraId="0C586D1D" w14:textId="0CEF0CD4" w:rsidR="00CE1297" w:rsidRPr="00471CBA" w:rsidRDefault="00CE1297" w:rsidP="00F36B82">
            <w:pPr>
              <w:ind w:right="-45"/>
              <w:jc w:val="right"/>
              <w:rPr>
                <w:color w:val="000000"/>
                <w:sz w:val="16"/>
                <w:szCs w:val="16"/>
              </w:rPr>
            </w:pPr>
            <w:r w:rsidRPr="00471CBA">
              <w:rPr>
                <w:sz w:val="16"/>
                <w:szCs w:val="16"/>
              </w:rPr>
              <w:t>-</w:t>
            </w:r>
          </w:p>
        </w:tc>
      </w:tr>
      <w:tr w:rsidR="00CE1297" w:rsidRPr="00471CBA" w14:paraId="273FBA74" w14:textId="77777777" w:rsidTr="00CE1297">
        <w:trPr>
          <w:trHeight w:val="227"/>
        </w:trPr>
        <w:tc>
          <w:tcPr>
            <w:tcW w:w="209" w:type="pct"/>
            <w:hideMark/>
          </w:tcPr>
          <w:p w14:paraId="44325E2B" w14:textId="77777777" w:rsidR="00CE1297" w:rsidRPr="00471CBA" w:rsidRDefault="00CE1297" w:rsidP="00CE1297">
            <w:pPr>
              <w:rPr>
                <w:sz w:val="16"/>
                <w:szCs w:val="16"/>
              </w:rPr>
            </w:pPr>
            <w:r w:rsidRPr="00471CBA">
              <w:rPr>
                <w:sz w:val="16"/>
                <w:szCs w:val="16"/>
              </w:rPr>
              <w:t>5</w:t>
            </w:r>
          </w:p>
        </w:tc>
        <w:tc>
          <w:tcPr>
            <w:tcW w:w="1748" w:type="pct"/>
            <w:vAlign w:val="bottom"/>
            <w:hideMark/>
          </w:tcPr>
          <w:p w14:paraId="5B537056" w14:textId="77777777" w:rsidR="00CE1297" w:rsidRPr="00471CBA" w:rsidRDefault="00CE1297" w:rsidP="00CE1297">
            <w:pPr>
              <w:rPr>
                <w:sz w:val="16"/>
                <w:szCs w:val="16"/>
              </w:rPr>
            </w:pPr>
            <w:r w:rsidRPr="00471CBA">
              <w:rPr>
                <w:sz w:val="16"/>
                <w:szCs w:val="16"/>
              </w:rPr>
              <w:t xml:space="preserve">Repo ve benzeri işlemler </w:t>
            </w:r>
            <w:r w:rsidRPr="00471CBA">
              <w:rPr>
                <w:sz w:val="16"/>
                <w:szCs w:val="16"/>
                <w:vertAlign w:val="superscript"/>
              </w:rPr>
              <w:t>(**)</w:t>
            </w:r>
          </w:p>
        </w:tc>
        <w:tc>
          <w:tcPr>
            <w:tcW w:w="580" w:type="pct"/>
            <w:vAlign w:val="bottom"/>
          </w:tcPr>
          <w:p w14:paraId="2B096F7B" w14:textId="2C4D4FD1" w:rsidR="00CE1297" w:rsidRPr="00471CBA" w:rsidRDefault="00CE1297" w:rsidP="00F36B82">
            <w:pPr>
              <w:ind w:right="-45"/>
              <w:jc w:val="right"/>
              <w:rPr>
                <w:color w:val="000000"/>
                <w:sz w:val="16"/>
                <w:szCs w:val="16"/>
              </w:rPr>
            </w:pPr>
            <w:r w:rsidRPr="00471CBA">
              <w:rPr>
                <w:sz w:val="16"/>
                <w:szCs w:val="16"/>
              </w:rPr>
              <w:t>-</w:t>
            </w:r>
          </w:p>
        </w:tc>
        <w:tc>
          <w:tcPr>
            <w:tcW w:w="579" w:type="pct"/>
            <w:vAlign w:val="bottom"/>
          </w:tcPr>
          <w:p w14:paraId="24068C2A" w14:textId="539B4E06" w:rsidR="00CE1297" w:rsidRPr="00471CBA" w:rsidRDefault="00CE1297" w:rsidP="00F36B82">
            <w:pPr>
              <w:ind w:right="-45"/>
              <w:jc w:val="right"/>
              <w:rPr>
                <w:color w:val="000000"/>
                <w:sz w:val="16"/>
                <w:szCs w:val="16"/>
              </w:rPr>
            </w:pPr>
            <w:r w:rsidRPr="00471CBA">
              <w:rPr>
                <w:sz w:val="16"/>
                <w:szCs w:val="16"/>
              </w:rPr>
              <w:t>-</w:t>
            </w:r>
          </w:p>
        </w:tc>
        <w:tc>
          <w:tcPr>
            <w:tcW w:w="705" w:type="pct"/>
            <w:vAlign w:val="bottom"/>
          </w:tcPr>
          <w:p w14:paraId="2A3BEFDD" w14:textId="7A51A121" w:rsidR="00CE1297" w:rsidRPr="00471CBA" w:rsidRDefault="00CE1297" w:rsidP="00F36B82">
            <w:pPr>
              <w:ind w:right="-45"/>
              <w:jc w:val="right"/>
              <w:rPr>
                <w:color w:val="000000"/>
                <w:sz w:val="16"/>
                <w:szCs w:val="16"/>
              </w:rPr>
            </w:pPr>
            <w:r w:rsidRPr="00471CBA">
              <w:rPr>
                <w:sz w:val="16"/>
                <w:szCs w:val="16"/>
              </w:rPr>
              <w:t>-</w:t>
            </w:r>
          </w:p>
        </w:tc>
        <w:tc>
          <w:tcPr>
            <w:tcW w:w="544" w:type="pct"/>
            <w:vAlign w:val="bottom"/>
          </w:tcPr>
          <w:p w14:paraId="586DCB7F" w14:textId="07D85835" w:rsidR="00CE1297" w:rsidRPr="00471CBA" w:rsidRDefault="00CE1297" w:rsidP="00F36B82">
            <w:pPr>
              <w:ind w:right="-45"/>
              <w:jc w:val="right"/>
              <w:rPr>
                <w:color w:val="000000"/>
                <w:sz w:val="16"/>
                <w:szCs w:val="16"/>
              </w:rPr>
            </w:pPr>
            <w:r w:rsidRPr="00471CBA">
              <w:rPr>
                <w:sz w:val="16"/>
                <w:szCs w:val="16"/>
              </w:rPr>
              <w:t>-</w:t>
            </w:r>
          </w:p>
        </w:tc>
        <w:tc>
          <w:tcPr>
            <w:tcW w:w="635" w:type="pct"/>
            <w:vAlign w:val="bottom"/>
          </w:tcPr>
          <w:p w14:paraId="0724BBA7" w14:textId="0E620640" w:rsidR="00CE1297" w:rsidRPr="00471CBA" w:rsidRDefault="00CE1297" w:rsidP="00F36B82">
            <w:pPr>
              <w:ind w:right="-45"/>
              <w:jc w:val="right"/>
              <w:rPr>
                <w:color w:val="000000"/>
                <w:sz w:val="16"/>
                <w:szCs w:val="16"/>
              </w:rPr>
            </w:pPr>
            <w:r w:rsidRPr="00471CBA">
              <w:rPr>
                <w:sz w:val="16"/>
                <w:szCs w:val="16"/>
              </w:rPr>
              <w:t>-</w:t>
            </w:r>
          </w:p>
        </w:tc>
      </w:tr>
      <w:tr w:rsidR="00CE1297" w:rsidRPr="00471CBA" w14:paraId="0D5AC24B" w14:textId="77777777" w:rsidTr="00CE1297">
        <w:trPr>
          <w:trHeight w:val="227"/>
        </w:trPr>
        <w:tc>
          <w:tcPr>
            <w:tcW w:w="209" w:type="pct"/>
            <w:hideMark/>
          </w:tcPr>
          <w:p w14:paraId="52E0C43D" w14:textId="77777777" w:rsidR="00CE1297" w:rsidRPr="00471CBA" w:rsidRDefault="00CE1297" w:rsidP="00CE1297">
            <w:pPr>
              <w:rPr>
                <w:sz w:val="16"/>
                <w:szCs w:val="16"/>
              </w:rPr>
            </w:pPr>
            <w:r w:rsidRPr="00471CBA">
              <w:rPr>
                <w:sz w:val="16"/>
                <w:szCs w:val="16"/>
              </w:rPr>
              <w:t>6</w:t>
            </w:r>
          </w:p>
        </w:tc>
        <w:tc>
          <w:tcPr>
            <w:tcW w:w="1748" w:type="pct"/>
            <w:vAlign w:val="bottom"/>
            <w:hideMark/>
          </w:tcPr>
          <w:p w14:paraId="13D538AC" w14:textId="77777777" w:rsidR="00CE1297" w:rsidRPr="00471CBA" w:rsidRDefault="00CE1297" w:rsidP="00CE1297">
            <w:pPr>
              <w:rPr>
                <w:sz w:val="16"/>
                <w:szCs w:val="16"/>
              </w:rPr>
            </w:pPr>
            <w:r w:rsidRPr="00471CBA">
              <w:rPr>
                <w:sz w:val="16"/>
                <w:szCs w:val="16"/>
              </w:rPr>
              <w:t xml:space="preserve">Değerleme farkları </w:t>
            </w:r>
          </w:p>
        </w:tc>
        <w:tc>
          <w:tcPr>
            <w:tcW w:w="580" w:type="pct"/>
            <w:vAlign w:val="bottom"/>
          </w:tcPr>
          <w:p w14:paraId="75EBD029" w14:textId="681A8147" w:rsidR="00CE1297" w:rsidRPr="00471CBA" w:rsidRDefault="00CE1297" w:rsidP="00F36B82">
            <w:pPr>
              <w:ind w:right="-45"/>
              <w:jc w:val="right"/>
              <w:rPr>
                <w:color w:val="000000"/>
                <w:sz w:val="16"/>
                <w:szCs w:val="16"/>
              </w:rPr>
            </w:pPr>
            <w:r w:rsidRPr="00471CBA">
              <w:rPr>
                <w:sz w:val="16"/>
                <w:szCs w:val="16"/>
              </w:rPr>
              <w:t>-</w:t>
            </w:r>
          </w:p>
        </w:tc>
        <w:tc>
          <w:tcPr>
            <w:tcW w:w="579" w:type="pct"/>
            <w:vAlign w:val="bottom"/>
          </w:tcPr>
          <w:p w14:paraId="729D9F24" w14:textId="00D9B5E4" w:rsidR="00CE1297" w:rsidRPr="00471CBA" w:rsidRDefault="00CE1297" w:rsidP="00F36B82">
            <w:pPr>
              <w:ind w:right="-45"/>
              <w:jc w:val="right"/>
              <w:rPr>
                <w:color w:val="000000"/>
                <w:sz w:val="16"/>
                <w:szCs w:val="16"/>
              </w:rPr>
            </w:pPr>
            <w:r w:rsidRPr="00471CBA">
              <w:rPr>
                <w:sz w:val="16"/>
                <w:szCs w:val="16"/>
              </w:rPr>
              <w:t>-</w:t>
            </w:r>
          </w:p>
        </w:tc>
        <w:tc>
          <w:tcPr>
            <w:tcW w:w="705" w:type="pct"/>
            <w:vAlign w:val="bottom"/>
          </w:tcPr>
          <w:p w14:paraId="23EF17CC" w14:textId="622D134A" w:rsidR="00CE1297" w:rsidRPr="00471CBA" w:rsidRDefault="00CE1297" w:rsidP="00F36B82">
            <w:pPr>
              <w:ind w:right="-45"/>
              <w:jc w:val="right"/>
              <w:rPr>
                <w:color w:val="000000"/>
                <w:sz w:val="16"/>
                <w:szCs w:val="16"/>
              </w:rPr>
            </w:pPr>
            <w:r w:rsidRPr="00471CBA">
              <w:rPr>
                <w:sz w:val="16"/>
                <w:szCs w:val="16"/>
              </w:rPr>
              <w:t>-</w:t>
            </w:r>
          </w:p>
        </w:tc>
        <w:tc>
          <w:tcPr>
            <w:tcW w:w="544" w:type="pct"/>
            <w:vAlign w:val="bottom"/>
          </w:tcPr>
          <w:p w14:paraId="2670C05B" w14:textId="0D2D001F" w:rsidR="00CE1297" w:rsidRPr="00471CBA" w:rsidRDefault="00CE1297" w:rsidP="00F36B82">
            <w:pPr>
              <w:ind w:right="-45"/>
              <w:jc w:val="right"/>
              <w:rPr>
                <w:color w:val="000000"/>
                <w:sz w:val="16"/>
                <w:szCs w:val="16"/>
              </w:rPr>
            </w:pPr>
            <w:r w:rsidRPr="00471CBA">
              <w:rPr>
                <w:sz w:val="16"/>
                <w:szCs w:val="16"/>
              </w:rPr>
              <w:t>-</w:t>
            </w:r>
          </w:p>
        </w:tc>
        <w:tc>
          <w:tcPr>
            <w:tcW w:w="635" w:type="pct"/>
            <w:vAlign w:val="bottom"/>
          </w:tcPr>
          <w:p w14:paraId="4E903554" w14:textId="12B3352A" w:rsidR="00CE1297" w:rsidRPr="00471CBA" w:rsidRDefault="00CE1297" w:rsidP="00F36B82">
            <w:pPr>
              <w:ind w:right="-45"/>
              <w:jc w:val="right"/>
              <w:rPr>
                <w:color w:val="000000"/>
                <w:sz w:val="16"/>
                <w:szCs w:val="16"/>
              </w:rPr>
            </w:pPr>
            <w:r w:rsidRPr="00471CBA">
              <w:rPr>
                <w:sz w:val="16"/>
                <w:szCs w:val="16"/>
              </w:rPr>
              <w:t>-</w:t>
            </w:r>
          </w:p>
        </w:tc>
      </w:tr>
      <w:tr w:rsidR="00CE1297" w:rsidRPr="00471CBA" w14:paraId="51C537F2" w14:textId="77777777" w:rsidTr="00CE1297">
        <w:trPr>
          <w:trHeight w:val="227"/>
        </w:trPr>
        <w:tc>
          <w:tcPr>
            <w:tcW w:w="209" w:type="pct"/>
            <w:hideMark/>
          </w:tcPr>
          <w:p w14:paraId="6DDC6480" w14:textId="77777777" w:rsidR="00CE1297" w:rsidRPr="00471CBA" w:rsidRDefault="00CE1297" w:rsidP="00CE1297">
            <w:pPr>
              <w:rPr>
                <w:sz w:val="16"/>
                <w:szCs w:val="16"/>
              </w:rPr>
            </w:pPr>
            <w:r w:rsidRPr="00471CBA">
              <w:rPr>
                <w:sz w:val="16"/>
                <w:szCs w:val="16"/>
              </w:rPr>
              <w:t>7</w:t>
            </w:r>
          </w:p>
        </w:tc>
        <w:tc>
          <w:tcPr>
            <w:tcW w:w="1748" w:type="pct"/>
            <w:vAlign w:val="bottom"/>
            <w:hideMark/>
          </w:tcPr>
          <w:p w14:paraId="3B08779D" w14:textId="77777777" w:rsidR="00CE1297" w:rsidRPr="00471CBA" w:rsidRDefault="00CE1297" w:rsidP="00CE1297">
            <w:pPr>
              <w:rPr>
                <w:sz w:val="16"/>
                <w:szCs w:val="16"/>
              </w:rPr>
            </w:pPr>
            <w:r w:rsidRPr="00471CBA">
              <w:rPr>
                <w:sz w:val="16"/>
                <w:szCs w:val="16"/>
              </w:rPr>
              <w:t>Farklı netleştirme kurallarından kaynaklanan farklar (satır 2’ye konulanlar dışındaki)</w:t>
            </w:r>
          </w:p>
        </w:tc>
        <w:tc>
          <w:tcPr>
            <w:tcW w:w="580" w:type="pct"/>
            <w:vAlign w:val="bottom"/>
          </w:tcPr>
          <w:p w14:paraId="4EE19847" w14:textId="4E1F785C" w:rsidR="00CE1297" w:rsidRPr="00471CBA" w:rsidRDefault="00CE1297" w:rsidP="00F36B82">
            <w:pPr>
              <w:ind w:right="-45"/>
              <w:jc w:val="right"/>
              <w:rPr>
                <w:color w:val="000000"/>
                <w:sz w:val="16"/>
                <w:szCs w:val="16"/>
              </w:rPr>
            </w:pPr>
            <w:r w:rsidRPr="00471CBA">
              <w:rPr>
                <w:sz w:val="16"/>
                <w:szCs w:val="16"/>
              </w:rPr>
              <w:t>-</w:t>
            </w:r>
          </w:p>
        </w:tc>
        <w:tc>
          <w:tcPr>
            <w:tcW w:w="579" w:type="pct"/>
            <w:vAlign w:val="bottom"/>
          </w:tcPr>
          <w:p w14:paraId="3F9BB841" w14:textId="03BEC795" w:rsidR="00CE1297" w:rsidRPr="00471CBA" w:rsidRDefault="00CE1297" w:rsidP="00F36B82">
            <w:pPr>
              <w:ind w:right="-45"/>
              <w:jc w:val="right"/>
              <w:rPr>
                <w:color w:val="000000"/>
                <w:sz w:val="16"/>
                <w:szCs w:val="16"/>
              </w:rPr>
            </w:pPr>
            <w:r w:rsidRPr="00471CBA">
              <w:rPr>
                <w:sz w:val="16"/>
                <w:szCs w:val="16"/>
              </w:rPr>
              <w:t>-</w:t>
            </w:r>
          </w:p>
        </w:tc>
        <w:tc>
          <w:tcPr>
            <w:tcW w:w="705" w:type="pct"/>
            <w:vAlign w:val="bottom"/>
          </w:tcPr>
          <w:p w14:paraId="53F874FF" w14:textId="6BD95EC6" w:rsidR="00CE1297" w:rsidRPr="00471CBA" w:rsidRDefault="00CE1297" w:rsidP="00F36B82">
            <w:pPr>
              <w:ind w:right="-45"/>
              <w:jc w:val="right"/>
              <w:rPr>
                <w:color w:val="000000"/>
                <w:sz w:val="16"/>
                <w:szCs w:val="16"/>
              </w:rPr>
            </w:pPr>
            <w:r w:rsidRPr="00471CBA">
              <w:rPr>
                <w:sz w:val="16"/>
                <w:szCs w:val="16"/>
              </w:rPr>
              <w:t>-</w:t>
            </w:r>
          </w:p>
        </w:tc>
        <w:tc>
          <w:tcPr>
            <w:tcW w:w="544" w:type="pct"/>
            <w:vAlign w:val="bottom"/>
          </w:tcPr>
          <w:p w14:paraId="7DAD3D3D" w14:textId="151AA2EB" w:rsidR="00CE1297" w:rsidRPr="00471CBA" w:rsidRDefault="00CE1297" w:rsidP="00F36B82">
            <w:pPr>
              <w:ind w:right="-45"/>
              <w:jc w:val="right"/>
              <w:rPr>
                <w:color w:val="000000"/>
                <w:sz w:val="16"/>
                <w:szCs w:val="16"/>
              </w:rPr>
            </w:pPr>
            <w:r w:rsidRPr="00471CBA">
              <w:rPr>
                <w:sz w:val="16"/>
                <w:szCs w:val="16"/>
              </w:rPr>
              <w:t>-</w:t>
            </w:r>
          </w:p>
        </w:tc>
        <w:tc>
          <w:tcPr>
            <w:tcW w:w="635" w:type="pct"/>
            <w:vAlign w:val="bottom"/>
          </w:tcPr>
          <w:p w14:paraId="7A134EDC" w14:textId="3227E6C1" w:rsidR="00CE1297" w:rsidRPr="00471CBA" w:rsidRDefault="00CE1297" w:rsidP="00F36B82">
            <w:pPr>
              <w:ind w:right="-45"/>
              <w:jc w:val="right"/>
              <w:rPr>
                <w:color w:val="000000"/>
                <w:sz w:val="16"/>
                <w:szCs w:val="16"/>
              </w:rPr>
            </w:pPr>
            <w:r w:rsidRPr="00471CBA">
              <w:rPr>
                <w:sz w:val="16"/>
                <w:szCs w:val="16"/>
              </w:rPr>
              <w:t>-</w:t>
            </w:r>
          </w:p>
        </w:tc>
      </w:tr>
      <w:tr w:rsidR="00CE1297" w:rsidRPr="00471CBA" w14:paraId="6C1854B3" w14:textId="77777777" w:rsidTr="00CE1297">
        <w:trPr>
          <w:trHeight w:val="227"/>
        </w:trPr>
        <w:tc>
          <w:tcPr>
            <w:tcW w:w="209" w:type="pct"/>
            <w:hideMark/>
          </w:tcPr>
          <w:p w14:paraId="160019A8" w14:textId="77777777" w:rsidR="00CE1297" w:rsidRPr="00471CBA" w:rsidRDefault="00CE1297" w:rsidP="00CE1297">
            <w:pPr>
              <w:rPr>
                <w:sz w:val="16"/>
                <w:szCs w:val="16"/>
              </w:rPr>
            </w:pPr>
            <w:r w:rsidRPr="00471CBA">
              <w:rPr>
                <w:sz w:val="16"/>
                <w:szCs w:val="16"/>
              </w:rPr>
              <w:t>8</w:t>
            </w:r>
          </w:p>
        </w:tc>
        <w:tc>
          <w:tcPr>
            <w:tcW w:w="1748" w:type="pct"/>
            <w:vAlign w:val="bottom"/>
            <w:hideMark/>
          </w:tcPr>
          <w:p w14:paraId="1CE4F43C" w14:textId="77777777" w:rsidR="00CE1297" w:rsidRPr="00471CBA" w:rsidRDefault="00CE1297" w:rsidP="00CE1297">
            <w:pPr>
              <w:rPr>
                <w:sz w:val="16"/>
                <w:szCs w:val="16"/>
              </w:rPr>
            </w:pPr>
            <w:r w:rsidRPr="00471CBA">
              <w:rPr>
                <w:sz w:val="16"/>
                <w:szCs w:val="16"/>
              </w:rPr>
              <w:t>Karşılıkların dikkate alınmasından kaynaklanan farklar</w:t>
            </w:r>
          </w:p>
        </w:tc>
        <w:tc>
          <w:tcPr>
            <w:tcW w:w="580" w:type="pct"/>
            <w:vAlign w:val="bottom"/>
          </w:tcPr>
          <w:p w14:paraId="167A701A" w14:textId="1C02B1B9" w:rsidR="00CE1297" w:rsidRPr="00471CBA" w:rsidRDefault="00CE1297" w:rsidP="00F36B82">
            <w:pPr>
              <w:ind w:right="-45"/>
              <w:jc w:val="right"/>
              <w:rPr>
                <w:color w:val="000000"/>
                <w:sz w:val="16"/>
                <w:szCs w:val="16"/>
              </w:rPr>
            </w:pPr>
            <w:r w:rsidRPr="00471CBA">
              <w:rPr>
                <w:sz w:val="16"/>
                <w:szCs w:val="16"/>
              </w:rPr>
              <w:t>-</w:t>
            </w:r>
          </w:p>
        </w:tc>
        <w:tc>
          <w:tcPr>
            <w:tcW w:w="579" w:type="pct"/>
            <w:vAlign w:val="bottom"/>
          </w:tcPr>
          <w:p w14:paraId="722B41CD" w14:textId="027D2231" w:rsidR="00CE1297" w:rsidRPr="00471CBA" w:rsidRDefault="00CE1297" w:rsidP="00F36B82">
            <w:pPr>
              <w:ind w:right="-45"/>
              <w:jc w:val="right"/>
              <w:rPr>
                <w:color w:val="000000"/>
                <w:sz w:val="16"/>
                <w:szCs w:val="16"/>
              </w:rPr>
            </w:pPr>
            <w:r w:rsidRPr="00471CBA">
              <w:rPr>
                <w:sz w:val="16"/>
                <w:szCs w:val="16"/>
              </w:rPr>
              <w:t>-</w:t>
            </w:r>
          </w:p>
        </w:tc>
        <w:tc>
          <w:tcPr>
            <w:tcW w:w="705" w:type="pct"/>
            <w:vAlign w:val="bottom"/>
          </w:tcPr>
          <w:p w14:paraId="008843B2" w14:textId="1D0DE0FB" w:rsidR="00CE1297" w:rsidRPr="00471CBA" w:rsidRDefault="00CE1297" w:rsidP="00F36B82">
            <w:pPr>
              <w:ind w:right="-45"/>
              <w:jc w:val="right"/>
              <w:rPr>
                <w:color w:val="000000"/>
                <w:sz w:val="16"/>
                <w:szCs w:val="16"/>
              </w:rPr>
            </w:pPr>
            <w:r w:rsidRPr="00471CBA">
              <w:rPr>
                <w:sz w:val="16"/>
                <w:szCs w:val="16"/>
              </w:rPr>
              <w:t>-</w:t>
            </w:r>
          </w:p>
        </w:tc>
        <w:tc>
          <w:tcPr>
            <w:tcW w:w="544" w:type="pct"/>
            <w:vAlign w:val="bottom"/>
          </w:tcPr>
          <w:p w14:paraId="0699BEA3" w14:textId="2612ECB8" w:rsidR="00CE1297" w:rsidRPr="00471CBA" w:rsidRDefault="00CE1297" w:rsidP="00F36B82">
            <w:pPr>
              <w:ind w:right="-45"/>
              <w:jc w:val="right"/>
              <w:rPr>
                <w:color w:val="000000"/>
                <w:sz w:val="16"/>
                <w:szCs w:val="16"/>
              </w:rPr>
            </w:pPr>
            <w:r w:rsidRPr="00471CBA">
              <w:rPr>
                <w:sz w:val="16"/>
                <w:szCs w:val="16"/>
              </w:rPr>
              <w:t>-</w:t>
            </w:r>
          </w:p>
        </w:tc>
        <w:tc>
          <w:tcPr>
            <w:tcW w:w="635" w:type="pct"/>
            <w:vAlign w:val="bottom"/>
          </w:tcPr>
          <w:p w14:paraId="533324D1" w14:textId="66ED7629" w:rsidR="00CE1297" w:rsidRPr="00471CBA" w:rsidRDefault="00CE1297" w:rsidP="00F36B82">
            <w:pPr>
              <w:ind w:right="-45"/>
              <w:jc w:val="right"/>
              <w:rPr>
                <w:color w:val="000000"/>
                <w:sz w:val="16"/>
                <w:szCs w:val="16"/>
              </w:rPr>
            </w:pPr>
            <w:r w:rsidRPr="00471CBA">
              <w:rPr>
                <w:sz w:val="16"/>
                <w:szCs w:val="16"/>
              </w:rPr>
              <w:t>-</w:t>
            </w:r>
          </w:p>
        </w:tc>
      </w:tr>
      <w:tr w:rsidR="00CE1297" w:rsidRPr="00471CBA" w14:paraId="7C27FE12" w14:textId="77777777" w:rsidTr="00CE1297">
        <w:trPr>
          <w:trHeight w:val="227"/>
        </w:trPr>
        <w:tc>
          <w:tcPr>
            <w:tcW w:w="209" w:type="pct"/>
            <w:tcBorders>
              <w:top w:val="nil"/>
              <w:left w:val="nil"/>
              <w:bottom w:val="single" w:sz="4" w:space="0" w:color="auto"/>
              <w:right w:val="nil"/>
            </w:tcBorders>
            <w:hideMark/>
          </w:tcPr>
          <w:p w14:paraId="7C7651C2" w14:textId="77777777" w:rsidR="00CE1297" w:rsidRPr="00471CBA" w:rsidRDefault="00CE1297" w:rsidP="00CE1297">
            <w:pPr>
              <w:rPr>
                <w:sz w:val="16"/>
                <w:szCs w:val="16"/>
              </w:rPr>
            </w:pPr>
            <w:r w:rsidRPr="00471CBA">
              <w:rPr>
                <w:sz w:val="16"/>
                <w:szCs w:val="16"/>
              </w:rPr>
              <w:t>9</w:t>
            </w:r>
          </w:p>
        </w:tc>
        <w:tc>
          <w:tcPr>
            <w:tcW w:w="1748" w:type="pct"/>
            <w:tcBorders>
              <w:top w:val="nil"/>
              <w:left w:val="nil"/>
              <w:bottom w:val="single" w:sz="4" w:space="0" w:color="auto"/>
              <w:right w:val="nil"/>
            </w:tcBorders>
            <w:vAlign w:val="bottom"/>
            <w:hideMark/>
          </w:tcPr>
          <w:p w14:paraId="622B6DB2" w14:textId="77777777" w:rsidR="00CE1297" w:rsidRPr="00471CBA" w:rsidRDefault="00CE1297" w:rsidP="00CE1297">
            <w:pPr>
              <w:rPr>
                <w:sz w:val="16"/>
                <w:szCs w:val="16"/>
              </w:rPr>
            </w:pPr>
            <w:r w:rsidRPr="00471CBA">
              <w:rPr>
                <w:sz w:val="16"/>
                <w:szCs w:val="16"/>
              </w:rPr>
              <w:t>Kurum’un uygulamalarından kaynaklanan farklar</w:t>
            </w:r>
          </w:p>
        </w:tc>
        <w:tc>
          <w:tcPr>
            <w:tcW w:w="580" w:type="pct"/>
            <w:tcBorders>
              <w:top w:val="nil"/>
              <w:left w:val="nil"/>
              <w:bottom w:val="single" w:sz="4" w:space="0" w:color="auto"/>
              <w:right w:val="nil"/>
            </w:tcBorders>
            <w:vAlign w:val="bottom"/>
          </w:tcPr>
          <w:p w14:paraId="371C26FF" w14:textId="73072845" w:rsidR="00CE1297" w:rsidRPr="00471CBA" w:rsidRDefault="00CE1297" w:rsidP="00F36B82">
            <w:pPr>
              <w:ind w:right="-45"/>
              <w:jc w:val="right"/>
              <w:rPr>
                <w:color w:val="000000"/>
                <w:sz w:val="16"/>
                <w:szCs w:val="16"/>
              </w:rPr>
            </w:pPr>
            <w:r w:rsidRPr="00471CBA">
              <w:rPr>
                <w:sz w:val="16"/>
                <w:szCs w:val="16"/>
              </w:rPr>
              <w:t>-</w:t>
            </w:r>
          </w:p>
        </w:tc>
        <w:tc>
          <w:tcPr>
            <w:tcW w:w="579" w:type="pct"/>
            <w:tcBorders>
              <w:top w:val="nil"/>
              <w:left w:val="nil"/>
              <w:bottom w:val="single" w:sz="4" w:space="0" w:color="auto"/>
              <w:right w:val="nil"/>
            </w:tcBorders>
            <w:vAlign w:val="bottom"/>
          </w:tcPr>
          <w:p w14:paraId="4E10DC9A" w14:textId="5749925A" w:rsidR="00CE1297" w:rsidRPr="00471CBA" w:rsidRDefault="00CE1297" w:rsidP="00F36B82">
            <w:pPr>
              <w:ind w:right="-45"/>
              <w:jc w:val="right"/>
              <w:rPr>
                <w:color w:val="000000"/>
                <w:sz w:val="16"/>
                <w:szCs w:val="16"/>
              </w:rPr>
            </w:pPr>
            <w:r w:rsidRPr="00471CBA">
              <w:rPr>
                <w:sz w:val="16"/>
                <w:szCs w:val="16"/>
              </w:rPr>
              <w:t>(40.256.128)</w:t>
            </w:r>
          </w:p>
        </w:tc>
        <w:tc>
          <w:tcPr>
            <w:tcW w:w="705" w:type="pct"/>
            <w:tcBorders>
              <w:top w:val="nil"/>
              <w:left w:val="nil"/>
              <w:bottom w:val="single" w:sz="4" w:space="0" w:color="auto"/>
              <w:right w:val="nil"/>
            </w:tcBorders>
            <w:vAlign w:val="bottom"/>
          </w:tcPr>
          <w:p w14:paraId="77EBE339" w14:textId="25126D49" w:rsidR="00CE1297" w:rsidRPr="00471CBA" w:rsidRDefault="00CE1297" w:rsidP="00F36B82">
            <w:pPr>
              <w:ind w:right="-45"/>
              <w:jc w:val="right"/>
              <w:rPr>
                <w:color w:val="000000"/>
                <w:sz w:val="16"/>
                <w:szCs w:val="16"/>
              </w:rPr>
            </w:pPr>
            <w:r w:rsidRPr="00471CBA">
              <w:rPr>
                <w:sz w:val="16"/>
                <w:szCs w:val="16"/>
              </w:rPr>
              <w:t>-</w:t>
            </w:r>
          </w:p>
        </w:tc>
        <w:tc>
          <w:tcPr>
            <w:tcW w:w="544" w:type="pct"/>
            <w:tcBorders>
              <w:top w:val="nil"/>
              <w:left w:val="nil"/>
              <w:bottom w:val="single" w:sz="4" w:space="0" w:color="auto"/>
              <w:right w:val="nil"/>
            </w:tcBorders>
            <w:vAlign w:val="bottom"/>
          </w:tcPr>
          <w:p w14:paraId="2F78F566" w14:textId="030A9957" w:rsidR="00CE1297" w:rsidRPr="00471CBA" w:rsidRDefault="00CE1297" w:rsidP="00F36B82">
            <w:pPr>
              <w:ind w:right="-45"/>
              <w:jc w:val="right"/>
              <w:rPr>
                <w:color w:val="000000"/>
                <w:sz w:val="16"/>
                <w:szCs w:val="16"/>
              </w:rPr>
            </w:pPr>
            <w:r w:rsidRPr="00471CBA">
              <w:rPr>
                <w:sz w:val="16"/>
                <w:szCs w:val="16"/>
              </w:rPr>
              <w:t>-</w:t>
            </w:r>
          </w:p>
        </w:tc>
        <w:tc>
          <w:tcPr>
            <w:tcW w:w="635" w:type="pct"/>
            <w:tcBorders>
              <w:top w:val="nil"/>
              <w:left w:val="nil"/>
              <w:bottom w:val="single" w:sz="4" w:space="0" w:color="auto"/>
              <w:right w:val="nil"/>
            </w:tcBorders>
            <w:vAlign w:val="bottom"/>
          </w:tcPr>
          <w:p w14:paraId="4E6B0EEA" w14:textId="22C4810C" w:rsidR="00CE1297" w:rsidRPr="00471CBA" w:rsidRDefault="00CE1297" w:rsidP="00F36B82">
            <w:pPr>
              <w:ind w:right="-45"/>
              <w:jc w:val="right"/>
              <w:rPr>
                <w:color w:val="000000"/>
                <w:sz w:val="16"/>
                <w:szCs w:val="16"/>
              </w:rPr>
            </w:pPr>
            <w:r w:rsidRPr="00471CBA">
              <w:rPr>
                <w:sz w:val="16"/>
                <w:szCs w:val="16"/>
              </w:rPr>
              <w:t>-</w:t>
            </w:r>
          </w:p>
        </w:tc>
      </w:tr>
      <w:tr w:rsidR="00CE1297" w:rsidRPr="003F7DEA" w14:paraId="288FC251" w14:textId="77777777" w:rsidTr="00CE1297">
        <w:trPr>
          <w:trHeight w:val="227"/>
        </w:trPr>
        <w:tc>
          <w:tcPr>
            <w:tcW w:w="209" w:type="pct"/>
            <w:tcBorders>
              <w:top w:val="single" w:sz="4" w:space="0" w:color="auto"/>
              <w:left w:val="nil"/>
              <w:bottom w:val="single" w:sz="4" w:space="0" w:color="auto"/>
              <w:right w:val="nil"/>
            </w:tcBorders>
            <w:vAlign w:val="bottom"/>
            <w:hideMark/>
          </w:tcPr>
          <w:p w14:paraId="254AFB4A" w14:textId="77777777" w:rsidR="00CE1297" w:rsidRPr="003F7DEA" w:rsidRDefault="00CE1297" w:rsidP="00CE1297">
            <w:pPr>
              <w:rPr>
                <w:b/>
                <w:sz w:val="16"/>
                <w:szCs w:val="16"/>
              </w:rPr>
            </w:pPr>
            <w:r w:rsidRPr="003F7DEA">
              <w:rPr>
                <w:b/>
                <w:sz w:val="16"/>
                <w:szCs w:val="16"/>
              </w:rPr>
              <w:t>10</w:t>
            </w:r>
          </w:p>
        </w:tc>
        <w:tc>
          <w:tcPr>
            <w:tcW w:w="1748" w:type="pct"/>
            <w:tcBorders>
              <w:top w:val="single" w:sz="4" w:space="0" w:color="auto"/>
              <w:left w:val="nil"/>
              <w:bottom w:val="single" w:sz="4" w:space="0" w:color="auto"/>
              <w:right w:val="nil"/>
            </w:tcBorders>
            <w:vAlign w:val="bottom"/>
            <w:hideMark/>
          </w:tcPr>
          <w:p w14:paraId="48971E5F" w14:textId="77777777" w:rsidR="00CE1297" w:rsidRPr="003F7DEA" w:rsidRDefault="00CE1297" w:rsidP="00CE1297">
            <w:pPr>
              <w:rPr>
                <w:b/>
                <w:sz w:val="16"/>
                <w:szCs w:val="16"/>
              </w:rPr>
            </w:pPr>
            <w:r w:rsidRPr="003F7DEA">
              <w:rPr>
                <w:b/>
                <w:sz w:val="16"/>
                <w:szCs w:val="16"/>
              </w:rPr>
              <w:t>Risk tutarları</w:t>
            </w:r>
          </w:p>
        </w:tc>
        <w:tc>
          <w:tcPr>
            <w:tcW w:w="580" w:type="pct"/>
            <w:tcBorders>
              <w:top w:val="single" w:sz="4" w:space="0" w:color="auto"/>
              <w:left w:val="nil"/>
              <w:bottom w:val="single" w:sz="4" w:space="0" w:color="auto"/>
              <w:right w:val="nil"/>
            </w:tcBorders>
            <w:vAlign w:val="bottom"/>
          </w:tcPr>
          <w:p w14:paraId="68751034" w14:textId="36F656B7" w:rsidR="00CE1297" w:rsidRPr="003F7DEA" w:rsidRDefault="00CE1297" w:rsidP="00F36B82">
            <w:pPr>
              <w:ind w:right="-45"/>
              <w:jc w:val="right"/>
              <w:rPr>
                <w:b/>
                <w:color w:val="000000"/>
                <w:sz w:val="16"/>
                <w:szCs w:val="16"/>
              </w:rPr>
            </w:pPr>
            <w:r w:rsidRPr="003F7DEA">
              <w:rPr>
                <w:b/>
                <w:sz w:val="16"/>
                <w:szCs w:val="16"/>
              </w:rPr>
              <w:t>457.689.263</w:t>
            </w:r>
          </w:p>
        </w:tc>
        <w:tc>
          <w:tcPr>
            <w:tcW w:w="579" w:type="pct"/>
            <w:tcBorders>
              <w:top w:val="single" w:sz="4" w:space="0" w:color="auto"/>
              <w:left w:val="nil"/>
              <w:bottom w:val="single" w:sz="4" w:space="0" w:color="auto"/>
              <w:right w:val="nil"/>
            </w:tcBorders>
            <w:vAlign w:val="bottom"/>
          </w:tcPr>
          <w:p w14:paraId="6DFB9818" w14:textId="1EFB1283" w:rsidR="00CE1297" w:rsidRPr="003F7DEA" w:rsidRDefault="00CE1297" w:rsidP="00F36B82">
            <w:pPr>
              <w:ind w:right="-45"/>
              <w:jc w:val="right"/>
              <w:rPr>
                <w:b/>
                <w:color w:val="000000"/>
                <w:sz w:val="16"/>
                <w:szCs w:val="16"/>
              </w:rPr>
            </w:pPr>
            <w:r w:rsidRPr="003F7DEA">
              <w:rPr>
                <w:b/>
                <w:sz w:val="16"/>
                <w:szCs w:val="16"/>
              </w:rPr>
              <w:t>74.518.708</w:t>
            </w:r>
          </w:p>
        </w:tc>
        <w:tc>
          <w:tcPr>
            <w:tcW w:w="705" w:type="pct"/>
            <w:tcBorders>
              <w:top w:val="single" w:sz="4" w:space="0" w:color="auto"/>
              <w:left w:val="nil"/>
              <w:bottom w:val="single" w:sz="4" w:space="0" w:color="auto"/>
              <w:right w:val="nil"/>
            </w:tcBorders>
            <w:vAlign w:val="bottom"/>
          </w:tcPr>
          <w:p w14:paraId="6806BE90" w14:textId="6069FA40" w:rsidR="00CE1297" w:rsidRPr="003F7DEA" w:rsidRDefault="00CE1297" w:rsidP="00F36B82">
            <w:pPr>
              <w:ind w:right="-45"/>
              <w:jc w:val="right"/>
              <w:rPr>
                <w:b/>
                <w:color w:val="000000"/>
                <w:sz w:val="16"/>
                <w:szCs w:val="16"/>
              </w:rPr>
            </w:pPr>
            <w:r w:rsidRPr="003F7DEA">
              <w:rPr>
                <w:b/>
                <w:sz w:val="16"/>
                <w:szCs w:val="16"/>
              </w:rPr>
              <w:t>-</w:t>
            </w:r>
          </w:p>
        </w:tc>
        <w:tc>
          <w:tcPr>
            <w:tcW w:w="544" w:type="pct"/>
            <w:tcBorders>
              <w:top w:val="single" w:sz="4" w:space="0" w:color="auto"/>
              <w:left w:val="nil"/>
              <w:bottom w:val="single" w:sz="4" w:space="0" w:color="auto"/>
              <w:right w:val="nil"/>
            </w:tcBorders>
            <w:vAlign w:val="bottom"/>
          </w:tcPr>
          <w:p w14:paraId="65C97F3D" w14:textId="40B2D946" w:rsidR="00CE1297" w:rsidRPr="003F7DEA" w:rsidRDefault="00CE1297" w:rsidP="00F36B82">
            <w:pPr>
              <w:ind w:right="-45"/>
              <w:jc w:val="right"/>
              <w:rPr>
                <w:b/>
                <w:color w:val="000000"/>
                <w:sz w:val="16"/>
                <w:szCs w:val="16"/>
              </w:rPr>
            </w:pPr>
            <w:r w:rsidRPr="003F7DEA">
              <w:rPr>
                <w:b/>
                <w:sz w:val="16"/>
                <w:szCs w:val="16"/>
              </w:rPr>
              <w:t>1.487.115</w:t>
            </w:r>
          </w:p>
        </w:tc>
        <w:tc>
          <w:tcPr>
            <w:tcW w:w="635" w:type="pct"/>
            <w:tcBorders>
              <w:top w:val="single" w:sz="4" w:space="0" w:color="auto"/>
              <w:left w:val="nil"/>
              <w:bottom w:val="single" w:sz="4" w:space="0" w:color="auto"/>
              <w:right w:val="nil"/>
            </w:tcBorders>
            <w:vAlign w:val="bottom"/>
          </w:tcPr>
          <w:p w14:paraId="7E233AB2" w14:textId="26D547F9" w:rsidR="00CE1297" w:rsidRPr="003F7DEA" w:rsidRDefault="00CE1297" w:rsidP="00F36B82">
            <w:pPr>
              <w:ind w:right="-45"/>
              <w:jc w:val="right"/>
              <w:rPr>
                <w:b/>
                <w:color w:val="000000"/>
                <w:sz w:val="16"/>
                <w:szCs w:val="16"/>
              </w:rPr>
            </w:pPr>
            <w:r w:rsidRPr="003F7DEA">
              <w:rPr>
                <w:b/>
                <w:sz w:val="16"/>
                <w:szCs w:val="16"/>
              </w:rPr>
              <w:t>1.339.304</w:t>
            </w:r>
          </w:p>
        </w:tc>
      </w:tr>
    </w:tbl>
    <w:p w14:paraId="2E1E5673" w14:textId="77777777" w:rsidR="00B35FE1" w:rsidRPr="00471CBA" w:rsidRDefault="00B35FE1" w:rsidP="00B35FE1">
      <w:pPr>
        <w:spacing w:before="60"/>
        <w:ind w:left="284" w:right="158" w:hanging="284"/>
        <w:jc w:val="both"/>
        <w:rPr>
          <w:sz w:val="16"/>
          <w:szCs w:val="18"/>
        </w:rPr>
      </w:pPr>
      <w:r w:rsidRPr="00471CBA">
        <w:rPr>
          <w:sz w:val="16"/>
          <w:szCs w:val="18"/>
          <w:vertAlign w:val="superscript"/>
        </w:rPr>
        <w:t>(*)</w:t>
      </w:r>
      <w:r w:rsidRPr="00471CBA">
        <w:rPr>
          <w:sz w:val="16"/>
          <w:szCs w:val="18"/>
        </w:rPr>
        <w:t xml:space="preserve">   Piyasa riski kapsamındaki genel piyasa riski ve spesifik riske konu kalemlerin TMS uyarınca değerlenmiş tutarlarını içermektedir.</w:t>
      </w:r>
    </w:p>
    <w:p w14:paraId="5CE73605" w14:textId="77777777" w:rsidR="00B35FE1" w:rsidRPr="00471CBA" w:rsidRDefault="00B35FE1" w:rsidP="00B35FE1">
      <w:pPr>
        <w:autoSpaceDE w:val="0"/>
        <w:autoSpaceDN w:val="0"/>
        <w:adjustRightInd w:val="0"/>
        <w:spacing w:before="60" w:after="120"/>
        <w:ind w:left="284" w:right="141" w:hanging="284"/>
        <w:jc w:val="both"/>
        <w:rPr>
          <w:sz w:val="16"/>
          <w:szCs w:val="18"/>
        </w:rPr>
      </w:pPr>
      <w:r w:rsidRPr="00471CBA">
        <w:rPr>
          <w:sz w:val="16"/>
          <w:szCs w:val="18"/>
          <w:vertAlign w:val="superscript"/>
        </w:rPr>
        <w:t>(**)</w:t>
      </w:r>
      <w:r w:rsidRPr="00471CBA">
        <w:rPr>
          <w:sz w:val="16"/>
          <w:szCs w:val="18"/>
        </w:rPr>
        <w:t xml:space="preserve"> Bankaların Sermaye Yeterliliğinin Ölçülmesine ve Değerlendirilmesine İlişkin Yönetmelik” hükümleri gereği, repo ve benzeri işlemler için hesaplanan karşı taraf kredi riski tutarıdır.</w:t>
      </w:r>
    </w:p>
    <w:tbl>
      <w:tblPr>
        <w:tblW w:w="5000" w:type="pct"/>
        <w:tblLook w:val="04A0" w:firstRow="1" w:lastRow="0" w:firstColumn="1" w:lastColumn="0" w:noHBand="0" w:noVBand="1"/>
      </w:tblPr>
      <w:tblGrid>
        <w:gridCol w:w="400"/>
        <w:gridCol w:w="3457"/>
        <w:gridCol w:w="1076"/>
        <w:gridCol w:w="1091"/>
        <w:gridCol w:w="1369"/>
        <w:gridCol w:w="1105"/>
        <w:gridCol w:w="1141"/>
      </w:tblGrid>
      <w:tr w:rsidR="00E80D19" w:rsidRPr="00471CBA" w14:paraId="26B0D864" w14:textId="77777777" w:rsidTr="00CB49C3">
        <w:trPr>
          <w:trHeight w:val="227"/>
        </w:trPr>
        <w:tc>
          <w:tcPr>
            <w:tcW w:w="207" w:type="pct"/>
            <w:tcBorders>
              <w:top w:val="single" w:sz="4" w:space="0" w:color="auto"/>
              <w:left w:val="nil"/>
              <w:bottom w:val="single" w:sz="4" w:space="0" w:color="auto"/>
              <w:right w:val="nil"/>
            </w:tcBorders>
          </w:tcPr>
          <w:p w14:paraId="2D103928" w14:textId="77777777" w:rsidR="00E80D19" w:rsidRPr="00471CBA" w:rsidRDefault="00E80D19" w:rsidP="00E80D19">
            <w:pPr>
              <w:rPr>
                <w:sz w:val="16"/>
                <w:szCs w:val="16"/>
              </w:rPr>
            </w:pPr>
          </w:p>
        </w:tc>
        <w:tc>
          <w:tcPr>
            <w:tcW w:w="1793" w:type="pct"/>
            <w:tcBorders>
              <w:top w:val="single" w:sz="4" w:space="0" w:color="auto"/>
              <w:left w:val="nil"/>
              <w:bottom w:val="single" w:sz="4" w:space="0" w:color="auto"/>
              <w:right w:val="nil"/>
            </w:tcBorders>
            <w:vAlign w:val="center"/>
            <w:hideMark/>
          </w:tcPr>
          <w:p w14:paraId="626D771D" w14:textId="08D79A57" w:rsidR="00E80D19" w:rsidRPr="00471CBA" w:rsidRDefault="00E80D19" w:rsidP="00E80D19">
            <w:pPr>
              <w:rPr>
                <w:b/>
                <w:sz w:val="16"/>
                <w:szCs w:val="16"/>
              </w:rPr>
            </w:pPr>
            <w:r w:rsidRPr="00471CBA">
              <w:rPr>
                <w:b/>
                <w:sz w:val="16"/>
                <w:szCs w:val="16"/>
              </w:rPr>
              <w:t>31 Aralık 2024</w:t>
            </w:r>
          </w:p>
        </w:tc>
        <w:tc>
          <w:tcPr>
            <w:tcW w:w="558" w:type="pct"/>
            <w:tcBorders>
              <w:top w:val="single" w:sz="4" w:space="0" w:color="auto"/>
              <w:left w:val="nil"/>
              <w:bottom w:val="single" w:sz="4" w:space="0" w:color="auto"/>
              <w:right w:val="nil"/>
            </w:tcBorders>
            <w:vAlign w:val="bottom"/>
            <w:hideMark/>
          </w:tcPr>
          <w:p w14:paraId="1C7F8D99" w14:textId="77777777" w:rsidR="00E80D19" w:rsidRPr="00471CBA" w:rsidRDefault="00E80D19" w:rsidP="00F36B82">
            <w:pPr>
              <w:ind w:right="-42"/>
              <w:jc w:val="right"/>
              <w:rPr>
                <w:b/>
                <w:sz w:val="16"/>
                <w:szCs w:val="16"/>
              </w:rPr>
            </w:pPr>
            <w:r w:rsidRPr="00471CBA">
              <w:rPr>
                <w:b/>
                <w:sz w:val="16"/>
                <w:szCs w:val="16"/>
              </w:rPr>
              <w:t>Toplam</w:t>
            </w:r>
          </w:p>
        </w:tc>
        <w:tc>
          <w:tcPr>
            <w:tcW w:w="566" w:type="pct"/>
            <w:tcBorders>
              <w:top w:val="single" w:sz="4" w:space="0" w:color="auto"/>
              <w:left w:val="nil"/>
              <w:bottom w:val="single" w:sz="4" w:space="0" w:color="auto"/>
              <w:right w:val="nil"/>
            </w:tcBorders>
            <w:vAlign w:val="bottom"/>
            <w:hideMark/>
          </w:tcPr>
          <w:p w14:paraId="6467D5EF" w14:textId="77777777" w:rsidR="00E80D19" w:rsidRPr="00471CBA" w:rsidRDefault="00E80D19" w:rsidP="00F36B82">
            <w:pPr>
              <w:ind w:right="-42"/>
              <w:jc w:val="right"/>
              <w:rPr>
                <w:b/>
                <w:sz w:val="16"/>
                <w:szCs w:val="16"/>
              </w:rPr>
            </w:pPr>
            <w:r w:rsidRPr="00471CBA">
              <w:rPr>
                <w:b/>
                <w:sz w:val="16"/>
                <w:szCs w:val="16"/>
              </w:rPr>
              <w:t>Kredi riskine tabi</w:t>
            </w:r>
          </w:p>
        </w:tc>
        <w:tc>
          <w:tcPr>
            <w:tcW w:w="710" w:type="pct"/>
            <w:tcBorders>
              <w:top w:val="single" w:sz="4" w:space="0" w:color="auto"/>
              <w:left w:val="nil"/>
              <w:bottom w:val="single" w:sz="4" w:space="0" w:color="auto"/>
              <w:right w:val="nil"/>
            </w:tcBorders>
            <w:vAlign w:val="bottom"/>
            <w:hideMark/>
          </w:tcPr>
          <w:p w14:paraId="7E872A3B" w14:textId="77777777" w:rsidR="00E80D19" w:rsidRPr="00471CBA" w:rsidRDefault="00E80D19" w:rsidP="00F36B82">
            <w:pPr>
              <w:ind w:right="-42"/>
              <w:jc w:val="right"/>
              <w:rPr>
                <w:b/>
                <w:sz w:val="16"/>
                <w:szCs w:val="16"/>
              </w:rPr>
            </w:pPr>
            <w:r w:rsidRPr="00471CBA">
              <w:rPr>
                <w:b/>
                <w:sz w:val="16"/>
                <w:szCs w:val="16"/>
              </w:rPr>
              <w:t>Menkul kıymetleştirme pozisyonları</w:t>
            </w:r>
          </w:p>
        </w:tc>
        <w:tc>
          <w:tcPr>
            <w:tcW w:w="573" w:type="pct"/>
            <w:tcBorders>
              <w:top w:val="single" w:sz="4" w:space="0" w:color="auto"/>
              <w:left w:val="nil"/>
              <w:bottom w:val="single" w:sz="4" w:space="0" w:color="auto"/>
              <w:right w:val="nil"/>
            </w:tcBorders>
            <w:vAlign w:val="bottom"/>
            <w:hideMark/>
          </w:tcPr>
          <w:p w14:paraId="226C15AB" w14:textId="77777777" w:rsidR="00E80D19" w:rsidRPr="00471CBA" w:rsidRDefault="00E80D19" w:rsidP="00F36B82">
            <w:pPr>
              <w:ind w:right="-42"/>
              <w:jc w:val="right"/>
              <w:rPr>
                <w:b/>
                <w:sz w:val="16"/>
                <w:szCs w:val="16"/>
              </w:rPr>
            </w:pPr>
            <w:r w:rsidRPr="00471CBA">
              <w:rPr>
                <w:b/>
                <w:sz w:val="16"/>
                <w:szCs w:val="16"/>
              </w:rPr>
              <w:t>Karşı taraf kredi riskine tabi</w:t>
            </w:r>
          </w:p>
        </w:tc>
        <w:tc>
          <w:tcPr>
            <w:tcW w:w="592" w:type="pct"/>
            <w:tcBorders>
              <w:top w:val="single" w:sz="4" w:space="0" w:color="auto"/>
              <w:left w:val="nil"/>
              <w:bottom w:val="single" w:sz="4" w:space="0" w:color="auto"/>
              <w:right w:val="nil"/>
            </w:tcBorders>
            <w:vAlign w:val="bottom"/>
            <w:hideMark/>
          </w:tcPr>
          <w:p w14:paraId="2787FAE5" w14:textId="77777777" w:rsidR="00E80D19" w:rsidRPr="00471CBA" w:rsidRDefault="00E80D19" w:rsidP="00F36B82">
            <w:pPr>
              <w:ind w:right="-42"/>
              <w:jc w:val="right"/>
              <w:rPr>
                <w:b/>
                <w:sz w:val="16"/>
                <w:szCs w:val="16"/>
              </w:rPr>
            </w:pPr>
            <w:r w:rsidRPr="00471CBA">
              <w:rPr>
                <w:b/>
                <w:sz w:val="16"/>
                <w:szCs w:val="16"/>
              </w:rPr>
              <w:t xml:space="preserve">Piyasa riskine tabi </w:t>
            </w:r>
            <w:r w:rsidRPr="00471CBA">
              <w:rPr>
                <w:rFonts w:eastAsiaTheme="minorHAnsi"/>
                <w:b/>
                <w:iCs/>
                <w:sz w:val="16"/>
                <w:szCs w:val="16"/>
                <w:vertAlign w:val="superscript"/>
              </w:rPr>
              <w:t>(*)</w:t>
            </w:r>
          </w:p>
        </w:tc>
      </w:tr>
      <w:tr w:rsidR="00E80D19" w:rsidRPr="00471CBA" w14:paraId="05C653CD" w14:textId="77777777" w:rsidTr="00CB49C3">
        <w:trPr>
          <w:trHeight w:val="227"/>
        </w:trPr>
        <w:tc>
          <w:tcPr>
            <w:tcW w:w="207" w:type="pct"/>
            <w:tcBorders>
              <w:top w:val="single" w:sz="4" w:space="0" w:color="auto"/>
              <w:left w:val="nil"/>
              <w:bottom w:val="nil"/>
              <w:right w:val="nil"/>
            </w:tcBorders>
            <w:hideMark/>
          </w:tcPr>
          <w:p w14:paraId="696A4CD1" w14:textId="77777777" w:rsidR="00E80D19" w:rsidRPr="00471CBA" w:rsidRDefault="00E80D19" w:rsidP="00E80D19">
            <w:pPr>
              <w:rPr>
                <w:sz w:val="16"/>
                <w:szCs w:val="16"/>
              </w:rPr>
            </w:pPr>
            <w:r w:rsidRPr="00471CBA">
              <w:rPr>
                <w:sz w:val="16"/>
                <w:szCs w:val="16"/>
              </w:rPr>
              <w:t>1</w:t>
            </w:r>
          </w:p>
        </w:tc>
        <w:tc>
          <w:tcPr>
            <w:tcW w:w="1793" w:type="pct"/>
            <w:tcBorders>
              <w:top w:val="single" w:sz="4" w:space="0" w:color="auto"/>
              <w:left w:val="nil"/>
              <w:bottom w:val="nil"/>
              <w:right w:val="nil"/>
            </w:tcBorders>
            <w:vAlign w:val="bottom"/>
            <w:hideMark/>
          </w:tcPr>
          <w:p w14:paraId="2E11DB9F" w14:textId="77777777" w:rsidR="00E80D19" w:rsidRPr="00471CBA" w:rsidRDefault="00E80D19" w:rsidP="00E80D19">
            <w:pPr>
              <w:rPr>
                <w:sz w:val="16"/>
                <w:szCs w:val="16"/>
              </w:rPr>
            </w:pPr>
            <w:r w:rsidRPr="00471CBA">
              <w:rPr>
                <w:sz w:val="16"/>
                <w:szCs w:val="16"/>
              </w:rPr>
              <w:t>Yasal konsolidasyon kapsamındaki varlıkların TMS uyarınca değerlenmiş tutarları (şablon B1 deki gibi)</w:t>
            </w:r>
          </w:p>
        </w:tc>
        <w:tc>
          <w:tcPr>
            <w:tcW w:w="558" w:type="pct"/>
            <w:vAlign w:val="bottom"/>
          </w:tcPr>
          <w:p w14:paraId="7E23399A" w14:textId="53A4C33E" w:rsidR="00E80D19" w:rsidRPr="00471CBA" w:rsidRDefault="00E80D19" w:rsidP="00F36B82">
            <w:pPr>
              <w:ind w:right="-42"/>
              <w:jc w:val="right"/>
              <w:rPr>
                <w:color w:val="000000"/>
                <w:sz w:val="16"/>
                <w:szCs w:val="16"/>
              </w:rPr>
            </w:pPr>
            <w:r w:rsidRPr="00471CBA">
              <w:rPr>
                <w:sz w:val="16"/>
                <w:szCs w:val="16"/>
              </w:rPr>
              <w:t>34.635.157</w:t>
            </w:r>
          </w:p>
        </w:tc>
        <w:tc>
          <w:tcPr>
            <w:tcW w:w="566" w:type="pct"/>
            <w:vAlign w:val="bottom"/>
          </w:tcPr>
          <w:p w14:paraId="2865B6CB" w14:textId="08817415" w:rsidR="00E80D19" w:rsidRPr="00471CBA" w:rsidRDefault="00E80D19" w:rsidP="00F36B82">
            <w:pPr>
              <w:ind w:right="-42"/>
              <w:jc w:val="right"/>
              <w:rPr>
                <w:color w:val="000000"/>
                <w:sz w:val="16"/>
                <w:szCs w:val="16"/>
              </w:rPr>
            </w:pPr>
            <w:r w:rsidRPr="00471CBA">
              <w:rPr>
                <w:sz w:val="16"/>
                <w:szCs w:val="16"/>
              </w:rPr>
              <w:t>34.479.600</w:t>
            </w:r>
          </w:p>
        </w:tc>
        <w:tc>
          <w:tcPr>
            <w:tcW w:w="710" w:type="pct"/>
            <w:tcBorders>
              <w:top w:val="single" w:sz="4" w:space="0" w:color="auto"/>
              <w:left w:val="nil"/>
              <w:bottom w:val="nil"/>
              <w:right w:val="nil"/>
            </w:tcBorders>
            <w:vAlign w:val="bottom"/>
          </w:tcPr>
          <w:p w14:paraId="6122484F" w14:textId="1650C67C" w:rsidR="00E80D19" w:rsidRPr="00471CBA" w:rsidRDefault="00E80D19" w:rsidP="00F36B82">
            <w:pPr>
              <w:ind w:right="-42"/>
              <w:jc w:val="right"/>
              <w:rPr>
                <w:color w:val="000000"/>
                <w:sz w:val="16"/>
                <w:szCs w:val="16"/>
              </w:rPr>
            </w:pPr>
            <w:r w:rsidRPr="00471CBA">
              <w:rPr>
                <w:sz w:val="16"/>
                <w:szCs w:val="16"/>
              </w:rPr>
              <w:t>-</w:t>
            </w:r>
          </w:p>
        </w:tc>
        <w:tc>
          <w:tcPr>
            <w:tcW w:w="573" w:type="pct"/>
            <w:tcBorders>
              <w:top w:val="single" w:sz="4" w:space="0" w:color="auto"/>
              <w:left w:val="nil"/>
              <w:bottom w:val="nil"/>
              <w:right w:val="nil"/>
            </w:tcBorders>
            <w:vAlign w:val="bottom"/>
          </w:tcPr>
          <w:p w14:paraId="7B3CF23C" w14:textId="7BB64520" w:rsidR="00E80D19" w:rsidRPr="00471CBA" w:rsidRDefault="00E80D19" w:rsidP="00F36B82">
            <w:pPr>
              <w:ind w:right="-42"/>
              <w:jc w:val="right"/>
              <w:rPr>
                <w:color w:val="000000"/>
                <w:sz w:val="16"/>
                <w:szCs w:val="16"/>
              </w:rPr>
            </w:pPr>
            <w:r w:rsidRPr="00471CBA">
              <w:rPr>
                <w:sz w:val="16"/>
                <w:szCs w:val="16"/>
              </w:rPr>
              <w:t>22.274</w:t>
            </w:r>
          </w:p>
        </w:tc>
        <w:tc>
          <w:tcPr>
            <w:tcW w:w="592" w:type="pct"/>
            <w:tcBorders>
              <w:top w:val="single" w:sz="4" w:space="0" w:color="auto"/>
              <w:left w:val="nil"/>
              <w:bottom w:val="nil"/>
              <w:right w:val="nil"/>
            </w:tcBorders>
            <w:vAlign w:val="bottom"/>
          </w:tcPr>
          <w:p w14:paraId="6C25EB72" w14:textId="40B61B13" w:rsidR="00E80D19" w:rsidRPr="00471CBA" w:rsidRDefault="00E80D19" w:rsidP="00F36B82">
            <w:pPr>
              <w:ind w:right="-42"/>
              <w:jc w:val="right"/>
              <w:rPr>
                <w:color w:val="000000"/>
                <w:sz w:val="16"/>
                <w:szCs w:val="16"/>
              </w:rPr>
            </w:pPr>
            <w:r w:rsidRPr="00471CBA">
              <w:rPr>
                <w:sz w:val="16"/>
                <w:szCs w:val="16"/>
              </w:rPr>
              <w:t>133.283</w:t>
            </w:r>
          </w:p>
        </w:tc>
      </w:tr>
      <w:tr w:rsidR="00E80D19" w:rsidRPr="00471CBA" w14:paraId="4B4BED44" w14:textId="77777777" w:rsidTr="00CB49C3">
        <w:trPr>
          <w:trHeight w:val="227"/>
        </w:trPr>
        <w:tc>
          <w:tcPr>
            <w:tcW w:w="207" w:type="pct"/>
            <w:hideMark/>
          </w:tcPr>
          <w:p w14:paraId="24899BCB" w14:textId="77777777" w:rsidR="00E80D19" w:rsidRPr="00471CBA" w:rsidRDefault="00E80D19" w:rsidP="00E80D19">
            <w:pPr>
              <w:rPr>
                <w:sz w:val="16"/>
                <w:szCs w:val="16"/>
              </w:rPr>
            </w:pPr>
            <w:r w:rsidRPr="00471CBA">
              <w:rPr>
                <w:sz w:val="16"/>
                <w:szCs w:val="16"/>
              </w:rPr>
              <w:t>2</w:t>
            </w:r>
          </w:p>
        </w:tc>
        <w:tc>
          <w:tcPr>
            <w:tcW w:w="1793" w:type="pct"/>
            <w:vAlign w:val="bottom"/>
            <w:hideMark/>
          </w:tcPr>
          <w:p w14:paraId="4E2A76B0" w14:textId="77777777" w:rsidR="00E80D19" w:rsidRPr="00471CBA" w:rsidRDefault="00E80D19" w:rsidP="00E80D19">
            <w:pPr>
              <w:rPr>
                <w:sz w:val="16"/>
                <w:szCs w:val="16"/>
              </w:rPr>
            </w:pPr>
            <w:r w:rsidRPr="00471CBA">
              <w:rPr>
                <w:sz w:val="16"/>
                <w:szCs w:val="16"/>
              </w:rPr>
              <w:t>Yasal</w:t>
            </w:r>
            <w:r w:rsidRPr="00471CBA">
              <w:rPr>
                <w:b/>
                <w:sz w:val="16"/>
                <w:szCs w:val="16"/>
              </w:rPr>
              <w:t xml:space="preserve"> </w:t>
            </w:r>
            <w:r w:rsidRPr="00471CBA">
              <w:rPr>
                <w:sz w:val="16"/>
                <w:szCs w:val="16"/>
              </w:rPr>
              <w:t>konsolidasyon kapsamındaki yükümlülüklerin TMS uyarınca değerlenmiş tutarları (şablon B1’deki gibi)</w:t>
            </w:r>
          </w:p>
        </w:tc>
        <w:tc>
          <w:tcPr>
            <w:tcW w:w="558" w:type="pct"/>
            <w:vAlign w:val="bottom"/>
          </w:tcPr>
          <w:p w14:paraId="4E1823C4" w14:textId="2C4CAF83" w:rsidR="00E80D19" w:rsidRPr="00471CBA" w:rsidRDefault="00E80D19" w:rsidP="00F36B82">
            <w:pPr>
              <w:ind w:right="-42"/>
              <w:jc w:val="right"/>
              <w:rPr>
                <w:sz w:val="16"/>
                <w:szCs w:val="16"/>
              </w:rPr>
            </w:pPr>
            <w:r w:rsidRPr="00471CBA">
              <w:rPr>
                <w:sz w:val="16"/>
                <w:szCs w:val="16"/>
              </w:rPr>
              <w:t>480.631</w:t>
            </w:r>
          </w:p>
        </w:tc>
        <w:tc>
          <w:tcPr>
            <w:tcW w:w="566" w:type="pct"/>
            <w:vAlign w:val="bottom"/>
          </w:tcPr>
          <w:p w14:paraId="0F20EA47" w14:textId="3E01CA3B" w:rsidR="00E80D19" w:rsidRPr="00471CBA" w:rsidRDefault="00E80D19" w:rsidP="00F36B82">
            <w:pPr>
              <w:ind w:right="-42"/>
              <w:jc w:val="right"/>
              <w:rPr>
                <w:sz w:val="16"/>
                <w:szCs w:val="16"/>
              </w:rPr>
            </w:pPr>
            <w:r w:rsidRPr="00471CBA">
              <w:rPr>
                <w:sz w:val="16"/>
                <w:szCs w:val="16"/>
              </w:rPr>
              <w:t>-</w:t>
            </w:r>
          </w:p>
        </w:tc>
        <w:tc>
          <w:tcPr>
            <w:tcW w:w="710" w:type="pct"/>
            <w:vAlign w:val="bottom"/>
          </w:tcPr>
          <w:p w14:paraId="7CC8519F" w14:textId="5EB77968" w:rsidR="00E80D19" w:rsidRPr="00471CBA" w:rsidRDefault="00E80D19" w:rsidP="00F36B82">
            <w:pPr>
              <w:ind w:right="-42"/>
              <w:jc w:val="right"/>
              <w:rPr>
                <w:sz w:val="16"/>
                <w:szCs w:val="16"/>
              </w:rPr>
            </w:pPr>
            <w:r w:rsidRPr="00471CBA">
              <w:rPr>
                <w:sz w:val="16"/>
                <w:szCs w:val="16"/>
              </w:rPr>
              <w:t>-</w:t>
            </w:r>
          </w:p>
        </w:tc>
        <w:tc>
          <w:tcPr>
            <w:tcW w:w="573" w:type="pct"/>
            <w:vAlign w:val="bottom"/>
          </w:tcPr>
          <w:p w14:paraId="2BF04AEE" w14:textId="4824C49D" w:rsidR="00E80D19" w:rsidRPr="00471CBA" w:rsidRDefault="00E80D19" w:rsidP="00F36B82">
            <w:pPr>
              <w:ind w:right="-42"/>
              <w:jc w:val="right"/>
              <w:rPr>
                <w:color w:val="000000"/>
                <w:sz w:val="16"/>
                <w:szCs w:val="16"/>
              </w:rPr>
            </w:pPr>
            <w:r w:rsidRPr="00471CBA">
              <w:rPr>
                <w:sz w:val="16"/>
                <w:szCs w:val="16"/>
              </w:rPr>
              <w:t>480.631</w:t>
            </w:r>
          </w:p>
        </w:tc>
        <w:tc>
          <w:tcPr>
            <w:tcW w:w="592" w:type="pct"/>
            <w:vAlign w:val="bottom"/>
          </w:tcPr>
          <w:p w14:paraId="3C776434" w14:textId="6173DB59" w:rsidR="00E80D19" w:rsidRPr="00471CBA" w:rsidRDefault="00E80D19" w:rsidP="00F36B82">
            <w:pPr>
              <w:ind w:right="-42"/>
              <w:jc w:val="right"/>
              <w:rPr>
                <w:color w:val="000000"/>
                <w:sz w:val="16"/>
                <w:szCs w:val="16"/>
              </w:rPr>
            </w:pPr>
            <w:r w:rsidRPr="00471CBA">
              <w:rPr>
                <w:sz w:val="16"/>
                <w:szCs w:val="16"/>
              </w:rPr>
              <w:t>-</w:t>
            </w:r>
          </w:p>
        </w:tc>
      </w:tr>
      <w:tr w:rsidR="00E80D19" w:rsidRPr="00471CBA" w14:paraId="77C64370" w14:textId="77777777" w:rsidTr="00CB49C3">
        <w:trPr>
          <w:trHeight w:val="227"/>
        </w:trPr>
        <w:tc>
          <w:tcPr>
            <w:tcW w:w="207" w:type="pct"/>
            <w:hideMark/>
          </w:tcPr>
          <w:p w14:paraId="3ADA2365" w14:textId="77777777" w:rsidR="00E80D19" w:rsidRPr="00471CBA" w:rsidRDefault="00E80D19" w:rsidP="00E80D19">
            <w:pPr>
              <w:rPr>
                <w:sz w:val="16"/>
                <w:szCs w:val="16"/>
              </w:rPr>
            </w:pPr>
            <w:r w:rsidRPr="00471CBA">
              <w:rPr>
                <w:sz w:val="16"/>
                <w:szCs w:val="16"/>
              </w:rPr>
              <w:t>3</w:t>
            </w:r>
          </w:p>
        </w:tc>
        <w:tc>
          <w:tcPr>
            <w:tcW w:w="1793" w:type="pct"/>
            <w:vAlign w:val="bottom"/>
            <w:hideMark/>
          </w:tcPr>
          <w:p w14:paraId="5D8C9D6D" w14:textId="77777777" w:rsidR="00E80D19" w:rsidRPr="00471CBA" w:rsidRDefault="00E80D19" w:rsidP="00E80D19">
            <w:pPr>
              <w:rPr>
                <w:b/>
                <w:sz w:val="16"/>
                <w:szCs w:val="16"/>
              </w:rPr>
            </w:pPr>
            <w:r w:rsidRPr="00471CBA">
              <w:rPr>
                <w:b/>
                <w:sz w:val="16"/>
                <w:szCs w:val="16"/>
              </w:rPr>
              <w:t>Yasal konsolidasyon kapsamındaki toplam net tutar</w:t>
            </w:r>
          </w:p>
        </w:tc>
        <w:tc>
          <w:tcPr>
            <w:tcW w:w="558" w:type="pct"/>
            <w:vAlign w:val="bottom"/>
          </w:tcPr>
          <w:p w14:paraId="7680403A" w14:textId="4D44F424" w:rsidR="00E80D19" w:rsidRPr="00471CBA" w:rsidRDefault="00E80D19" w:rsidP="00F36B82">
            <w:pPr>
              <w:ind w:right="-42"/>
              <w:jc w:val="right"/>
              <w:rPr>
                <w:b/>
                <w:color w:val="000000"/>
                <w:sz w:val="16"/>
                <w:szCs w:val="16"/>
              </w:rPr>
            </w:pPr>
            <w:r w:rsidRPr="00471CBA">
              <w:rPr>
                <w:sz w:val="16"/>
                <w:szCs w:val="16"/>
              </w:rPr>
              <w:t>34.154.526</w:t>
            </w:r>
          </w:p>
        </w:tc>
        <w:tc>
          <w:tcPr>
            <w:tcW w:w="566" w:type="pct"/>
            <w:vAlign w:val="bottom"/>
          </w:tcPr>
          <w:p w14:paraId="312CE4E9" w14:textId="458E4012" w:rsidR="00E80D19" w:rsidRPr="00471CBA" w:rsidRDefault="00E80D19" w:rsidP="00F36B82">
            <w:pPr>
              <w:ind w:right="-42"/>
              <w:jc w:val="right"/>
              <w:rPr>
                <w:b/>
                <w:color w:val="000000"/>
                <w:sz w:val="16"/>
                <w:szCs w:val="16"/>
              </w:rPr>
            </w:pPr>
            <w:r w:rsidRPr="00471CBA">
              <w:rPr>
                <w:sz w:val="16"/>
                <w:szCs w:val="16"/>
              </w:rPr>
              <w:t>34.479.600</w:t>
            </w:r>
          </w:p>
        </w:tc>
        <w:tc>
          <w:tcPr>
            <w:tcW w:w="710" w:type="pct"/>
            <w:vAlign w:val="bottom"/>
          </w:tcPr>
          <w:p w14:paraId="22569198" w14:textId="1DB376DB" w:rsidR="00E80D19" w:rsidRPr="00471CBA" w:rsidRDefault="00E80D19" w:rsidP="00F36B82">
            <w:pPr>
              <w:ind w:right="-42"/>
              <w:jc w:val="right"/>
              <w:rPr>
                <w:b/>
                <w:color w:val="000000"/>
                <w:sz w:val="16"/>
                <w:szCs w:val="16"/>
              </w:rPr>
            </w:pPr>
            <w:r w:rsidRPr="00471CBA">
              <w:rPr>
                <w:sz w:val="16"/>
                <w:szCs w:val="16"/>
              </w:rPr>
              <w:t>-</w:t>
            </w:r>
          </w:p>
        </w:tc>
        <w:tc>
          <w:tcPr>
            <w:tcW w:w="573" w:type="pct"/>
            <w:vAlign w:val="bottom"/>
          </w:tcPr>
          <w:p w14:paraId="6E1C2A9D" w14:textId="195D7F49" w:rsidR="00E80D19" w:rsidRPr="00471CBA" w:rsidRDefault="00E80D19" w:rsidP="00F36B82">
            <w:pPr>
              <w:ind w:right="-42"/>
              <w:jc w:val="right"/>
              <w:rPr>
                <w:b/>
                <w:color w:val="000000"/>
                <w:sz w:val="16"/>
                <w:szCs w:val="16"/>
              </w:rPr>
            </w:pPr>
            <w:r w:rsidRPr="00471CBA">
              <w:rPr>
                <w:sz w:val="16"/>
                <w:szCs w:val="16"/>
              </w:rPr>
              <w:t>(458.357)</w:t>
            </w:r>
          </w:p>
        </w:tc>
        <w:tc>
          <w:tcPr>
            <w:tcW w:w="592" w:type="pct"/>
            <w:vAlign w:val="bottom"/>
          </w:tcPr>
          <w:p w14:paraId="499BC44B" w14:textId="284C291E" w:rsidR="00E80D19" w:rsidRPr="00471CBA" w:rsidRDefault="00E80D19" w:rsidP="00F36B82">
            <w:pPr>
              <w:ind w:right="-42"/>
              <w:jc w:val="right"/>
              <w:rPr>
                <w:b/>
                <w:color w:val="000000"/>
                <w:sz w:val="16"/>
                <w:szCs w:val="16"/>
              </w:rPr>
            </w:pPr>
            <w:r w:rsidRPr="00471CBA">
              <w:rPr>
                <w:sz w:val="16"/>
                <w:szCs w:val="16"/>
              </w:rPr>
              <w:t>133.283</w:t>
            </w:r>
          </w:p>
        </w:tc>
      </w:tr>
      <w:tr w:rsidR="00E80D19" w:rsidRPr="00471CBA" w14:paraId="20BCFE09" w14:textId="77777777" w:rsidTr="00CB49C3">
        <w:trPr>
          <w:trHeight w:val="227"/>
        </w:trPr>
        <w:tc>
          <w:tcPr>
            <w:tcW w:w="207" w:type="pct"/>
            <w:hideMark/>
          </w:tcPr>
          <w:p w14:paraId="0C1629DC" w14:textId="77777777" w:rsidR="00E80D19" w:rsidRPr="00471CBA" w:rsidRDefault="00E80D19" w:rsidP="00E80D19">
            <w:pPr>
              <w:rPr>
                <w:sz w:val="16"/>
                <w:szCs w:val="16"/>
              </w:rPr>
            </w:pPr>
            <w:r w:rsidRPr="00471CBA">
              <w:rPr>
                <w:sz w:val="16"/>
                <w:szCs w:val="16"/>
              </w:rPr>
              <w:t>4</w:t>
            </w:r>
          </w:p>
        </w:tc>
        <w:tc>
          <w:tcPr>
            <w:tcW w:w="1793" w:type="pct"/>
            <w:vAlign w:val="bottom"/>
            <w:hideMark/>
          </w:tcPr>
          <w:p w14:paraId="49508E4D" w14:textId="77777777" w:rsidR="00E80D19" w:rsidRPr="00471CBA" w:rsidRDefault="00E80D19" w:rsidP="00E80D19">
            <w:pPr>
              <w:rPr>
                <w:sz w:val="16"/>
                <w:szCs w:val="16"/>
              </w:rPr>
            </w:pPr>
            <w:r w:rsidRPr="00471CBA">
              <w:rPr>
                <w:sz w:val="16"/>
                <w:szCs w:val="16"/>
              </w:rPr>
              <w:t>Bilanço dışı tutarlar</w:t>
            </w:r>
          </w:p>
        </w:tc>
        <w:tc>
          <w:tcPr>
            <w:tcW w:w="558" w:type="pct"/>
            <w:vAlign w:val="bottom"/>
          </w:tcPr>
          <w:p w14:paraId="326FEE59" w14:textId="78C54B42" w:rsidR="00E80D19" w:rsidRPr="00471CBA" w:rsidRDefault="00E80D19" w:rsidP="00F36B82">
            <w:pPr>
              <w:ind w:right="-42"/>
              <w:jc w:val="right"/>
              <w:rPr>
                <w:color w:val="000000"/>
                <w:sz w:val="16"/>
                <w:szCs w:val="16"/>
              </w:rPr>
            </w:pPr>
            <w:r w:rsidRPr="00471CBA">
              <w:rPr>
                <w:sz w:val="16"/>
                <w:szCs w:val="16"/>
              </w:rPr>
              <w:t>34.643.074</w:t>
            </w:r>
          </w:p>
        </w:tc>
        <w:tc>
          <w:tcPr>
            <w:tcW w:w="566" w:type="pct"/>
            <w:vAlign w:val="bottom"/>
          </w:tcPr>
          <w:p w14:paraId="0B17A606" w14:textId="4A101B9C" w:rsidR="00E80D19" w:rsidRPr="00471CBA" w:rsidRDefault="00E80D19" w:rsidP="00F36B82">
            <w:pPr>
              <w:ind w:right="-42"/>
              <w:jc w:val="right"/>
              <w:rPr>
                <w:color w:val="000000"/>
                <w:sz w:val="16"/>
                <w:szCs w:val="16"/>
              </w:rPr>
            </w:pPr>
            <w:r w:rsidRPr="00471CBA">
              <w:rPr>
                <w:sz w:val="16"/>
                <w:szCs w:val="16"/>
              </w:rPr>
              <w:t>3.493.828</w:t>
            </w:r>
          </w:p>
        </w:tc>
        <w:tc>
          <w:tcPr>
            <w:tcW w:w="710" w:type="pct"/>
            <w:vAlign w:val="bottom"/>
          </w:tcPr>
          <w:p w14:paraId="2548F7EB" w14:textId="09768160" w:rsidR="00E80D19" w:rsidRPr="00471CBA" w:rsidRDefault="00E80D19" w:rsidP="00F36B82">
            <w:pPr>
              <w:ind w:right="-42"/>
              <w:jc w:val="right"/>
              <w:rPr>
                <w:color w:val="000000"/>
                <w:sz w:val="16"/>
                <w:szCs w:val="16"/>
              </w:rPr>
            </w:pPr>
            <w:r w:rsidRPr="00471CBA">
              <w:rPr>
                <w:sz w:val="16"/>
                <w:szCs w:val="16"/>
              </w:rPr>
              <w:t>-</w:t>
            </w:r>
          </w:p>
        </w:tc>
        <w:tc>
          <w:tcPr>
            <w:tcW w:w="573" w:type="pct"/>
            <w:vAlign w:val="bottom"/>
          </w:tcPr>
          <w:p w14:paraId="7B5BADA3" w14:textId="2358370D" w:rsidR="00E80D19" w:rsidRPr="00471CBA" w:rsidRDefault="00E80D19" w:rsidP="00F36B82">
            <w:pPr>
              <w:ind w:right="-42"/>
              <w:jc w:val="right"/>
              <w:rPr>
                <w:color w:val="000000"/>
                <w:sz w:val="16"/>
                <w:szCs w:val="16"/>
              </w:rPr>
            </w:pPr>
            <w:r w:rsidRPr="00471CBA">
              <w:rPr>
                <w:sz w:val="16"/>
                <w:szCs w:val="16"/>
              </w:rPr>
              <w:t>62.188</w:t>
            </w:r>
          </w:p>
        </w:tc>
        <w:tc>
          <w:tcPr>
            <w:tcW w:w="592" w:type="pct"/>
            <w:vAlign w:val="bottom"/>
          </w:tcPr>
          <w:p w14:paraId="07213A0F" w14:textId="081F39BA" w:rsidR="00E80D19" w:rsidRPr="00471CBA" w:rsidRDefault="00E80D19" w:rsidP="00F36B82">
            <w:pPr>
              <w:ind w:right="-42"/>
              <w:jc w:val="right"/>
              <w:rPr>
                <w:color w:val="000000"/>
                <w:sz w:val="16"/>
                <w:szCs w:val="16"/>
              </w:rPr>
            </w:pPr>
            <w:r w:rsidRPr="00471CBA">
              <w:rPr>
                <w:sz w:val="16"/>
                <w:szCs w:val="16"/>
              </w:rPr>
              <w:t>-</w:t>
            </w:r>
          </w:p>
        </w:tc>
      </w:tr>
      <w:tr w:rsidR="00E80D19" w:rsidRPr="00471CBA" w14:paraId="29181FF2" w14:textId="77777777" w:rsidTr="00CB49C3">
        <w:trPr>
          <w:trHeight w:val="227"/>
        </w:trPr>
        <w:tc>
          <w:tcPr>
            <w:tcW w:w="207" w:type="pct"/>
            <w:hideMark/>
          </w:tcPr>
          <w:p w14:paraId="0D6A55AC" w14:textId="77777777" w:rsidR="00E80D19" w:rsidRPr="00471CBA" w:rsidRDefault="00E80D19" w:rsidP="00E80D19">
            <w:pPr>
              <w:rPr>
                <w:sz w:val="16"/>
                <w:szCs w:val="16"/>
              </w:rPr>
            </w:pPr>
            <w:r w:rsidRPr="00471CBA">
              <w:rPr>
                <w:sz w:val="16"/>
                <w:szCs w:val="16"/>
              </w:rPr>
              <w:t>5</w:t>
            </w:r>
          </w:p>
        </w:tc>
        <w:tc>
          <w:tcPr>
            <w:tcW w:w="1793" w:type="pct"/>
            <w:vAlign w:val="bottom"/>
            <w:hideMark/>
          </w:tcPr>
          <w:p w14:paraId="43655604" w14:textId="77777777" w:rsidR="00E80D19" w:rsidRPr="00471CBA" w:rsidRDefault="00E80D19" w:rsidP="00E80D19">
            <w:pPr>
              <w:rPr>
                <w:sz w:val="16"/>
                <w:szCs w:val="16"/>
              </w:rPr>
            </w:pPr>
            <w:r w:rsidRPr="00471CBA">
              <w:rPr>
                <w:sz w:val="16"/>
                <w:szCs w:val="16"/>
              </w:rPr>
              <w:t>Repo ve benzeri işlemler</w:t>
            </w:r>
            <w:r w:rsidRPr="00471CBA">
              <w:rPr>
                <w:sz w:val="16"/>
                <w:szCs w:val="16"/>
                <w:vertAlign w:val="superscript"/>
              </w:rPr>
              <w:t xml:space="preserve"> (**)</w:t>
            </w:r>
          </w:p>
        </w:tc>
        <w:tc>
          <w:tcPr>
            <w:tcW w:w="558" w:type="pct"/>
            <w:vAlign w:val="bottom"/>
          </w:tcPr>
          <w:p w14:paraId="21A1A994" w14:textId="7236F18A" w:rsidR="00E80D19" w:rsidRPr="00471CBA" w:rsidRDefault="00E80D19" w:rsidP="00F36B82">
            <w:pPr>
              <w:ind w:right="-42"/>
              <w:jc w:val="right"/>
              <w:rPr>
                <w:sz w:val="16"/>
                <w:szCs w:val="16"/>
              </w:rPr>
            </w:pPr>
            <w:r w:rsidRPr="00471CBA">
              <w:rPr>
                <w:sz w:val="16"/>
                <w:szCs w:val="16"/>
              </w:rPr>
              <w:t>-</w:t>
            </w:r>
          </w:p>
        </w:tc>
        <w:tc>
          <w:tcPr>
            <w:tcW w:w="566" w:type="pct"/>
            <w:vAlign w:val="bottom"/>
          </w:tcPr>
          <w:p w14:paraId="51F3493D" w14:textId="7FA221C9" w:rsidR="00E80D19" w:rsidRPr="00471CBA" w:rsidRDefault="00E80D19" w:rsidP="00F36B82">
            <w:pPr>
              <w:ind w:right="-42"/>
              <w:jc w:val="right"/>
              <w:rPr>
                <w:sz w:val="16"/>
                <w:szCs w:val="16"/>
              </w:rPr>
            </w:pPr>
            <w:r w:rsidRPr="00471CBA">
              <w:rPr>
                <w:sz w:val="16"/>
                <w:szCs w:val="16"/>
              </w:rPr>
              <w:t>-</w:t>
            </w:r>
          </w:p>
        </w:tc>
        <w:tc>
          <w:tcPr>
            <w:tcW w:w="710" w:type="pct"/>
            <w:vAlign w:val="bottom"/>
          </w:tcPr>
          <w:p w14:paraId="7D4D8505" w14:textId="66E03597" w:rsidR="00E80D19" w:rsidRPr="00471CBA" w:rsidRDefault="00E80D19" w:rsidP="00F36B82">
            <w:pPr>
              <w:ind w:right="-42"/>
              <w:jc w:val="right"/>
              <w:rPr>
                <w:sz w:val="16"/>
                <w:szCs w:val="16"/>
              </w:rPr>
            </w:pPr>
            <w:r w:rsidRPr="00471CBA">
              <w:rPr>
                <w:sz w:val="16"/>
                <w:szCs w:val="16"/>
              </w:rPr>
              <w:t>-</w:t>
            </w:r>
          </w:p>
        </w:tc>
        <w:tc>
          <w:tcPr>
            <w:tcW w:w="573" w:type="pct"/>
            <w:vAlign w:val="bottom"/>
          </w:tcPr>
          <w:p w14:paraId="21F5052F" w14:textId="14798005" w:rsidR="00E80D19" w:rsidRPr="00471CBA" w:rsidRDefault="00E80D19" w:rsidP="00F36B82">
            <w:pPr>
              <w:ind w:right="-42"/>
              <w:jc w:val="right"/>
              <w:rPr>
                <w:color w:val="000000"/>
                <w:sz w:val="16"/>
                <w:szCs w:val="16"/>
              </w:rPr>
            </w:pPr>
            <w:r w:rsidRPr="00471CBA">
              <w:rPr>
                <w:sz w:val="16"/>
                <w:szCs w:val="16"/>
              </w:rPr>
              <w:t>-</w:t>
            </w:r>
          </w:p>
        </w:tc>
        <w:tc>
          <w:tcPr>
            <w:tcW w:w="592" w:type="pct"/>
            <w:vAlign w:val="bottom"/>
          </w:tcPr>
          <w:p w14:paraId="4FD492FF" w14:textId="34823AF6" w:rsidR="00E80D19" w:rsidRPr="00471CBA" w:rsidRDefault="00E80D19" w:rsidP="00F36B82">
            <w:pPr>
              <w:ind w:right="-42"/>
              <w:jc w:val="right"/>
              <w:rPr>
                <w:color w:val="000000"/>
                <w:sz w:val="16"/>
                <w:szCs w:val="16"/>
              </w:rPr>
            </w:pPr>
            <w:r w:rsidRPr="00471CBA">
              <w:rPr>
                <w:sz w:val="16"/>
                <w:szCs w:val="16"/>
              </w:rPr>
              <w:t>-</w:t>
            </w:r>
          </w:p>
        </w:tc>
      </w:tr>
      <w:tr w:rsidR="00E80D19" w:rsidRPr="00471CBA" w14:paraId="135F09F8" w14:textId="77777777" w:rsidTr="00CB49C3">
        <w:trPr>
          <w:trHeight w:val="227"/>
        </w:trPr>
        <w:tc>
          <w:tcPr>
            <w:tcW w:w="207" w:type="pct"/>
            <w:hideMark/>
          </w:tcPr>
          <w:p w14:paraId="1D8E628E" w14:textId="77777777" w:rsidR="00E80D19" w:rsidRPr="00471CBA" w:rsidRDefault="00E80D19" w:rsidP="00E80D19">
            <w:pPr>
              <w:rPr>
                <w:sz w:val="16"/>
                <w:szCs w:val="16"/>
              </w:rPr>
            </w:pPr>
            <w:r w:rsidRPr="00471CBA">
              <w:rPr>
                <w:sz w:val="16"/>
                <w:szCs w:val="16"/>
              </w:rPr>
              <w:t>6</w:t>
            </w:r>
          </w:p>
        </w:tc>
        <w:tc>
          <w:tcPr>
            <w:tcW w:w="1793" w:type="pct"/>
            <w:vAlign w:val="bottom"/>
            <w:hideMark/>
          </w:tcPr>
          <w:p w14:paraId="7A679AAE" w14:textId="77777777" w:rsidR="00E80D19" w:rsidRPr="00471CBA" w:rsidRDefault="00E80D19" w:rsidP="00E80D19">
            <w:pPr>
              <w:rPr>
                <w:sz w:val="16"/>
                <w:szCs w:val="16"/>
              </w:rPr>
            </w:pPr>
            <w:r w:rsidRPr="00471CBA">
              <w:rPr>
                <w:sz w:val="16"/>
                <w:szCs w:val="16"/>
              </w:rPr>
              <w:t xml:space="preserve">Değerleme farkları </w:t>
            </w:r>
          </w:p>
        </w:tc>
        <w:tc>
          <w:tcPr>
            <w:tcW w:w="558" w:type="pct"/>
            <w:vAlign w:val="bottom"/>
          </w:tcPr>
          <w:p w14:paraId="73A5EEC8" w14:textId="03655C29" w:rsidR="00E80D19" w:rsidRPr="00471CBA" w:rsidRDefault="00E80D19" w:rsidP="00F36B82">
            <w:pPr>
              <w:ind w:right="-42"/>
              <w:jc w:val="right"/>
              <w:rPr>
                <w:sz w:val="16"/>
                <w:szCs w:val="16"/>
              </w:rPr>
            </w:pPr>
            <w:r w:rsidRPr="00471CBA">
              <w:rPr>
                <w:sz w:val="16"/>
                <w:szCs w:val="16"/>
              </w:rPr>
              <w:t>-</w:t>
            </w:r>
          </w:p>
        </w:tc>
        <w:tc>
          <w:tcPr>
            <w:tcW w:w="566" w:type="pct"/>
            <w:vAlign w:val="bottom"/>
          </w:tcPr>
          <w:p w14:paraId="3FC66C50" w14:textId="61BE2B14" w:rsidR="00E80D19" w:rsidRPr="00471CBA" w:rsidRDefault="00E80D19" w:rsidP="00F36B82">
            <w:pPr>
              <w:ind w:right="-42"/>
              <w:jc w:val="right"/>
              <w:rPr>
                <w:sz w:val="16"/>
                <w:szCs w:val="16"/>
              </w:rPr>
            </w:pPr>
            <w:r w:rsidRPr="00471CBA">
              <w:rPr>
                <w:sz w:val="16"/>
                <w:szCs w:val="16"/>
              </w:rPr>
              <w:t>-</w:t>
            </w:r>
          </w:p>
        </w:tc>
        <w:tc>
          <w:tcPr>
            <w:tcW w:w="710" w:type="pct"/>
            <w:vAlign w:val="bottom"/>
          </w:tcPr>
          <w:p w14:paraId="3A360411" w14:textId="06CC0ACF" w:rsidR="00E80D19" w:rsidRPr="00471CBA" w:rsidRDefault="00E80D19" w:rsidP="00F36B82">
            <w:pPr>
              <w:ind w:right="-42"/>
              <w:jc w:val="right"/>
              <w:rPr>
                <w:sz w:val="16"/>
                <w:szCs w:val="16"/>
              </w:rPr>
            </w:pPr>
            <w:r w:rsidRPr="00471CBA">
              <w:rPr>
                <w:sz w:val="16"/>
                <w:szCs w:val="16"/>
              </w:rPr>
              <w:t>-</w:t>
            </w:r>
          </w:p>
        </w:tc>
        <w:tc>
          <w:tcPr>
            <w:tcW w:w="573" w:type="pct"/>
            <w:vAlign w:val="bottom"/>
          </w:tcPr>
          <w:p w14:paraId="4546D332" w14:textId="64480F0A" w:rsidR="00E80D19" w:rsidRPr="00471CBA" w:rsidRDefault="00E80D19" w:rsidP="00F36B82">
            <w:pPr>
              <w:ind w:right="-42"/>
              <w:jc w:val="right"/>
              <w:rPr>
                <w:sz w:val="16"/>
                <w:szCs w:val="16"/>
              </w:rPr>
            </w:pPr>
            <w:r w:rsidRPr="00471CBA">
              <w:rPr>
                <w:sz w:val="16"/>
                <w:szCs w:val="16"/>
              </w:rPr>
              <w:t>-</w:t>
            </w:r>
          </w:p>
        </w:tc>
        <w:tc>
          <w:tcPr>
            <w:tcW w:w="592" w:type="pct"/>
            <w:vAlign w:val="bottom"/>
          </w:tcPr>
          <w:p w14:paraId="492108E5" w14:textId="33263921" w:rsidR="00E80D19" w:rsidRPr="00471CBA" w:rsidRDefault="00E80D19" w:rsidP="00F36B82">
            <w:pPr>
              <w:ind w:right="-42"/>
              <w:jc w:val="right"/>
              <w:rPr>
                <w:sz w:val="16"/>
                <w:szCs w:val="16"/>
              </w:rPr>
            </w:pPr>
            <w:r w:rsidRPr="00471CBA">
              <w:rPr>
                <w:sz w:val="16"/>
                <w:szCs w:val="16"/>
              </w:rPr>
              <w:t>-</w:t>
            </w:r>
          </w:p>
        </w:tc>
      </w:tr>
      <w:tr w:rsidR="00E80D19" w:rsidRPr="00471CBA" w14:paraId="70B1067D" w14:textId="77777777" w:rsidTr="00CB49C3">
        <w:trPr>
          <w:trHeight w:val="227"/>
        </w:trPr>
        <w:tc>
          <w:tcPr>
            <w:tcW w:w="207" w:type="pct"/>
            <w:hideMark/>
          </w:tcPr>
          <w:p w14:paraId="400E1B3A" w14:textId="77777777" w:rsidR="00E80D19" w:rsidRPr="00471CBA" w:rsidRDefault="00E80D19" w:rsidP="00E80D19">
            <w:pPr>
              <w:rPr>
                <w:sz w:val="16"/>
                <w:szCs w:val="16"/>
              </w:rPr>
            </w:pPr>
            <w:r w:rsidRPr="00471CBA">
              <w:rPr>
                <w:sz w:val="16"/>
                <w:szCs w:val="16"/>
              </w:rPr>
              <w:t>7</w:t>
            </w:r>
          </w:p>
        </w:tc>
        <w:tc>
          <w:tcPr>
            <w:tcW w:w="1793" w:type="pct"/>
            <w:vAlign w:val="bottom"/>
            <w:hideMark/>
          </w:tcPr>
          <w:p w14:paraId="78375962" w14:textId="77777777" w:rsidR="00E80D19" w:rsidRPr="00471CBA" w:rsidRDefault="00E80D19" w:rsidP="00E80D19">
            <w:pPr>
              <w:rPr>
                <w:sz w:val="16"/>
                <w:szCs w:val="16"/>
              </w:rPr>
            </w:pPr>
            <w:r w:rsidRPr="00471CBA">
              <w:rPr>
                <w:sz w:val="16"/>
                <w:szCs w:val="16"/>
              </w:rPr>
              <w:t>Farklı netleştirme kurallarından kaynaklanan farklar (satır 2’ye konulanlar dışındaki)</w:t>
            </w:r>
          </w:p>
        </w:tc>
        <w:tc>
          <w:tcPr>
            <w:tcW w:w="558" w:type="pct"/>
            <w:vAlign w:val="bottom"/>
          </w:tcPr>
          <w:p w14:paraId="7E6CF238" w14:textId="78D2453E" w:rsidR="00E80D19" w:rsidRPr="00471CBA" w:rsidRDefault="00E80D19" w:rsidP="00F36B82">
            <w:pPr>
              <w:ind w:right="-42"/>
              <w:jc w:val="right"/>
              <w:rPr>
                <w:sz w:val="16"/>
                <w:szCs w:val="16"/>
              </w:rPr>
            </w:pPr>
            <w:r w:rsidRPr="00471CBA">
              <w:rPr>
                <w:sz w:val="16"/>
                <w:szCs w:val="16"/>
              </w:rPr>
              <w:t>-</w:t>
            </w:r>
          </w:p>
        </w:tc>
        <w:tc>
          <w:tcPr>
            <w:tcW w:w="566" w:type="pct"/>
            <w:vAlign w:val="bottom"/>
          </w:tcPr>
          <w:p w14:paraId="349544A8" w14:textId="545296D2" w:rsidR="00E80D19" w:rsidRPr="00471CBA" w:rsidRDefault="00E80D19" w:rsidP="00F36B82">
            <w:pPr>
              <w:ind w:right="-42"/>
              <w:jc w:val="right"/>
              <w:rPr>
                <w:sz w:val="16"/>
                <w:szCs w:val="16"/>
              </w:rPr>
            </w:pPr>
            <w:r w:rsidRPr="00471CBA">
              <w:rPr>
                <w:sz w:val="16"/>
                <w:szCs w:val="16"/>
              </w:rPr>
              <w:t>-</w:t>
            </w:r>
          </w:p>
        </w:tc>
        <w:tc>
          <w:tcPr>
            <w:tcW w:w="710" w:type="pct"/>
            <w:vAlign w:val="bottom"/>
          </w:tcPr>
          <w:p w14:paraId="5D77B3AD" w14:textId="25213CD8" w:rsidR="00E80D19" w:rsidRPr="00471CBA" w:rsidRDefault="00E80D19" w:rsidP="00F36B82">
            <w:pPr>
              <w:ind w:right="-42"/>
              <w:jc w:val="right"/>
              <w:rPr>
                <w:sz w:val="16"/>
                <w:szCs w:val="16"/>
              </w:rPr>
            </w:pPr>
            <w:r w:rsidRPr="00471CBA">
              <w:rPr>
                <w:sz w:val="16"/>
                <w:szCs w:val="16"/>
              </w:rPr>
              <w:t>-</w:t>
            </w:r>
          </w:p>
        </w:tc>
        <w:tc>
          <w:tcPr>
            <w:tcW w:w="573" w:type="pct"/>
            <w:vAlign w:val="bottom"/>
          </w:tcPr>
          <w:p w14:paraId="5434DB19" w14:textId="2306B5B9" w:rsidR="00E80D19" w:rsidRPr="00471CBA" w:rsidRDefault="00E80D19" w:rsidP="00F36B82">
            <w:pPr>
              <w:ind w:right="-42"/>
              <w:jc w:val="right"/>
              <w:rPr>
                <w:sz w:val="16"/>
                <w:szCs w:val="16"/>
              </w:rPr>
            </w:pPr>
            <w:r w:rsidRPr="00471CBA">
              <w:rPr>
                <w:sz w:val="16"/>
                <w:szCs w:val="16"/>
              </w:rPr>
              <w:t>-</w:t>
            </w:r>
          </w:p>
        </w:tc>
        <w:tc>
          <w:tcPr>
            <w:tcW w:w="592" w:type="pct"/>
            <w:vAlign w:val="bottom"/>
          </w:tcPr>
          <w:p w14:paraId="0AC63377" w14:textId="7802A166" w:rsidR="00E80D19" w:rsidRPr="00471CBA" w:rsidRDefault="00E80D19" w:rsidP="00F36B82">
            <w:pPr>
              <w:ind w:right="-42"/>
              <w:jc w:val="right"/>
              <w:rPr>
                <w:sz w:val="16"/>
                <w:szCs w:val="16"/>
              </w:rPr>
            </w:pPr>
            <w:r w:rsidRPr="00471CBA">
              <w:rPr>
                <w:sz w:val="16"/>
                <w:szCs w:val="16"/>
              </w:rPr>
              <w:t>-</w:t>
            </w:r>
          </w:p>
        </w:tc>
      </w:tr>
      <w:tr w:rsidR="00E80D19" w:rsidRPr="00471CBA" w14:paraId="5A05B447" w14:textId="77777777" w:rsidTr="00CB49C3">
        <w:trPr>
          <w:trHeight w:val="227"/>
        </w:trPr>
        <w:tc>
          <w:tcPr>
            <w:tcW w:w="207" w:type="pct"/>
            <w:hideMark/>
          </w:tcPr>
          <w:p w14:paraId="5252D455" w14:textId="77777777" w:rsidR="00E80D19" w:rsidRPr="00471CBA" w:rsidRDefault="00E80D19" w:rsidP="00E80D19">
            <w:pPr>
              <w:rPr>
                <w:sz w:val="16"/>
                <w:szCs w:val="16"/>
              </w:rPr>
            </w:pPr>
            <w:r w:rsidRPr="00471CBA">
              <w:rPr>
                <w:sz w:val="16"/>
                <w:szCs w:val="16"/>
              </w:rPr>
              <w:t>8</w:t>
            </w:r>
          </w:p>
        </w:tc>
        <w:tc>
          <w:tcPr>
            <w:tcW w:w="1793" w:type="pct"/>
            <w:vAlign w:val="bottom"/>
            <w:hideMark/>
          </w:tcPr>
          <w:p w14:paraId="4EA8A283" w14:textId="77777777" w:rsidR="00E80D19" w:rsidRPr="00471CBA" w:rsidRDefault="00E80D19" w:rsidP="00E80D19">
            <w:pPr>
              <w:rPr>
                <w:sz w:val="16"/>
                <w:szCs w:val="16"/>
              </w:rPr>
            </w:pPr>
            <w:r w:rsidRPr="00471CBA">
              <w:rPr>
                <w:sz w:val="16"/>
                <w:szCs w:val="16"/>
              </w:rPr>
              <w:t>Karşılıkların dikkate alınmasından kaynaklanan farklar</w:t>
            </w:r>
          </w:p>
        </w:tc>
        <w:tc>
          <w:tcPr>
            <w:tcW w:w="558" w:type="pct"/>
            <w:vAlign w:val="bottom"/>
          </w:tcPr>
          <w:p w14:paraId="366F4911" w14:textId="6EF8BC8D" w:rsidR="00E80D19" w:rsidRPr="00471CBA" w:rsidRDefault="00E80D19" w:rsidP="00F36B82">
            <w:pPr>
              <w:ind w:right="-42"/>
              <w:jc w:val="right"/>
              <w:rPr>
                <w:sz w:val="16"/>
                <w:szCs w:val="16"/>
              </w:rPr>
            </w:pPr>
            <w:r w:rsidRPr="00471CBA">
              <w:rPr>
                <w:sz w:val="16"/>
                <w:szCs w:val="16"/>
              </w:rPr>
              <w:t>-</w:t>
            </w:r>
          </w:p>
        </w:tc>
        <w:tc>
          <w:tcPr>
            <w:tcW w:w="566" w:type="pct"/>
            <w:vAlign w:val="bottom"/>
          </w:tcPr>
          <w:p w14:paraId="6652E3F8" w14:textId="0E52EE00" w:rsidR="00E80D19" w:rsidRPr="00471CBA" w:rsidRDefault="00E80D19" w:rsidP="00F36B82">
            <w:pPr>
              <w:ind w:right="-42"/>
              <w:jc w:val="right"/>
              <w:rPr>
                <w:sz w:val="16"/>
                <w:szCs w:val="16"/>
              </w:rPr>
            </w:pPr>
            <w:r w:rsidRPr="00471CBA">
              <w:rPr>
                <w:sz w:val="16"/>
                <w:szCs w:val="16"/>
              </w:rPr>
              <w:t>-</w:t>
            </w:r>
          </w:p>
        </w:tc>
        <w:tc>
          <w:tcPr>
            <w:tcW w:w="710" w:type="pct"/>
            <w:vAlign w:val="bottom"/>
          </w:tcPr>
          <w:p w14:paraId="15009649" w14:textId="5FC17538" w:rsidR="00E80D19" w:rsidRPr="00471CBA" w:rsidRDefault="00E80D19" w:rsidP="00F36B82">
            <w:pPr>
              <w:ind w:right="-42"/>
              <w:jc w:val="right"/>
              <w:rPr>
                <w:sz w:val="16"/>
                <w:szCs w:val="16"/>
              </w:rPr>
            </w:pPr>
            <w:r w:rsidRPr="00471CBA">
              <w:rPr>
                <w:sz w:val="16"/>
                <w:szCs w:val="16"/>
              </w:rPr>
              <w:t>-</w:t>
            </w:r>
          </w:p>
        </w:tc>
        <w:tc>
          <w:tcPr>
            <w:tcW w:w="573" w:type="pct"/>
            <w:vAlign w:val="bottom"/>
          </w:tcPr>
          <w:p w14:paraId="5292254B" w14:textId="67F18C79" w:rsidR="00E80D19" w:rsidRPr="00471CBA" w:rsidRDefault="00E80D19" w:rsidP="00F36B82">
            <w:pPr>
              <w:ind w:right="-42"/>
              <w:jc w:val="right"/>
              <w:rPr>
                <w:sz w:val="16"/>
                <w:szCs w:val="16"/>
              </w:rPr>
            </w:pPr>
            <w:r w:rsidRPr="00471CBA">
              <w:rPr>
                <w:sz w:val="16"/>
                <w:szCs w:val="16"/>
              </w:rPr>
              <w:t>-</w:t>
            </w:r>
          </w:p>
        </w:tc>
        <w:tc>
          <w:tcPr>
            <w:tcW w:w="592" w:type="pct"/>
            <w:vAlign w:val="bottom"/>
          </w:tcPr>
          <w:p w14:paraId="4BAD7F9E" w14:textId="79575DBA" w:rsidR="00E80D19" w:rsidRPr="00471CBA" w:rsidRDefault="00E80D19" w:rsidP="00F36B82">
            <w:pPr>
              <w:ind w:right="-42"/>
              <w:jc w:val="right"/>
              <w:rPr>
                <w:sz w:val="16"/>
                <w:szCs w:val="16"/>
              </w:rPr>
            </w:pPr>
            <w:r w:rsidRPr="00471CBA">
              <w:rPr>
                <w:sz w:val="16"/>
                <w:szCs w:val="16"/>
              </w:rPr>
              <w:t>-</w:t>
            </w:r>
          </w:p>
        </w:tc>
      </w:tr>
      <w:tr w:rsidR="00E80D19" w:rsidRPr="00471CBA" w14:paraId="17A92FAA" w14:textId="77777777" w:rsidTr="00CB49C3">
        <w:trPr>
          <w:trHeight w:val="227"/>
        </w:trPr>
        <w:tc>
          <w:tcPr>
            <w:tcW w:w="207" w:type="pct"/>
            <w:tcBorders>
              <w:top w:val="nil"/>
              <w:left w:val="nil"/>
              <w:bottom w:val="single" w:sz="4" w:space="0" w:color="auto"/>
              <w:right w:val="nil"/>
            </w:tcBorders>
            <w:hideMark/>
          </w:tcPr>
          <w:p w14:paraId="27E1E681" w14:textId="77777777" w:rsidR="00E80D19" w:rsidRPr="00471CBA" w:rsidRDefault="00E80D19" w:rsidP="00E80D19">
            <w:pPr>
              <w:rPr>
                <w:sz w:val="16"/>
                <w:szCs w:val="16"/>
              </w:rPr>
            </w:pPr>
            <w:r w:rsidRPr="00471CBA">
              <w:rPr>
                <w:sz w:val="16"/>
                <w:szCs w:val="16"/>
              </w:rPr>
              <w:t>9</w:t>
            </w:r>
          </w:p>
        </w:tc>
        <w:tc>
          <w:tcPr>
            <w:tcW w:w="1793" w:type="pct"/>
            <w:tcBorders>
              <w:top w:val="nil"/>
              <w:left w:val="nil"/>
              <w:bottom w:val="single" w:sz="4" w:space="0" w:color="auto"/>
              <w:right w:val="nil"/>
            </w:tcBorders>
            <w:vAlign w:val="bottom"/>
            <w:hideMark/>
          </w:tcPr>
          <w:p w14:paraId="2054AD1F" w14:textId="77777777" w:rsidR="00E80D19" w:rsidRPr="00471CBA" w:rsidRDefault="00E80D19" w:rsidP="00E80D19">
            <w:pPr>
              <w:rPr>
                <w:sz w:val="16"/>
                <w:szCs w:val="16"/>
              </w:rPr>
            </w:pPr>
            <w:r w:rsidRPr="00471CBA">
              <w:rPr>
                <w:sz w:val="16"/>
                <w:szCs w:val="16"/>
              </w:rPr>
              <w:t>Kurum’un uygulamalarından kaynaklanan farklar</w:t>
            </w:r>
          </w:p>
        </w:tc>
        <w:tc>
          <w:tcPr>
            <w:tcW w:w="558" w:type="pct"/>
            <w:tcBorders>
              <w:top w:val="nil"/>
              <w:left w:val="nil"/>
              <w:bottom w:val="single" w:sz="4" w:space="0" w:color="auto"/>
              <w:right w:val="nil"/>
            </w:tcBorders>
            <w:vAlign w:val="bottom"/>
          </w:tcPr>
          <w:p w14:paraId="6B8231F6" w14:textId="321C6894" w:rsidR="00E80D19" w:rsidRPr="00471CBA" w:rsidRDefault="00E80D19" w:rsidP="00F36B82">
            <w:pPr>
              <w:ind w:right="-42"/>
              <w:jc w:val="right"/>
              <w:rPr>
                <w:sz w:val="16"/>
                <w:szCs w:val="16"/>
              </w:rPr>
            </w:pPr>
            <w:r w:rsidRPr="00471CBA">
              <w:rPr>
                <w:sz w:val="16"/>
                <w:szCs w:val="16"/>
              </w:rPr>
              <w:t>-</w:t>
            </w:r>
          </w:p>
        </w:tc>
        <w:tc>
          <w:tcPr>
            <w:tcW w:w="566" w:type="pct"/>
            <w:tcBorders>
              <w:top w:val="nil"/>
              <w:left w:val="nil"/>
              <w:bottom w:val="single" w:sz="4" w:space="0" w:color="auto"/>
              <w:right w:val="nil"/>
            </w:tcBorders>
            <w:vAlign w:val="bottom"/>
          </w:tcPr>
          <w:p w14:paraId="7CC390F1" w14:textId="0FE102CF" w:rsidR="00E80D19" w:rsidRPr="00471CBA" w:rsidRDefault="00E80D19" w:rsidP="00F36B82">
            <w:pPr>
              <w:ind w:right="-42"/>
              <w:jc w:val="right"/>
              <w:rPr>
                <w:sz w:val="16"/>
                <w:szCs w:val="16"/>
              </w:rPr>
            </w:pPr>
            <w:r w:rsidRPr="00471CBA">
              <w:rPr>
                <w:sz w:val="16"/>
                <w:szCs w:val="16"/>
              </w:rPr>
              <w:t>(12.766.710)</w:t>
            </w:r>
          </w:p>
        </w:tc>
        <w:tc>
          <w:tcPr>
            <w:tcW w:w="710" w:type="pct"/>
            <w:tcBorders>
              <w:top w:val="nil"/>
              <w:left w:val="nil"/>
              <w:bottom w:val="single" w:sz="4" w:space="0" w:color="auto"/>
              <w:right w:val="nil"/>
            </w:tcBorders>
            <w:vAlign w:val="bottom"/>
          </w:tcPr>
          <w:p w14:paraId="759C6103" w14:textId="0A049977" w:rsidR="00E80D19" w:rsidRPr="00471CBA" w:rsidRDefault="00E80D19" w:rsidP="00F36B82">
            <w:pPr>
              <w:ind w:right="-42"/>
              <w:jc w:val="right"/>
              <w:rPr>
                <w:sz w:val="16"/>
                <w:szCs w:val="16"/>
              </w:rPr>
            </w:pPr>
            <w:r w:rsidRPr="00471CBA">
              <w:rPr>
                <w:sz w:val="16"/>
                <w:szCs w:val="16"/>
              </w:rPr>
              <w:t>-</w:t>
            </w:r>
          </w:p>
        </w:tc>
        <w:tc>
          <w:tcPr>
            <w:tcW w:w="573" w:type="pct"/>
            <w:tcBorders>
              <w:top w:val="nil"/>
              <w:left w:val="nil"/>
              <w:bottom w:val="single" w:sz="4" w:space="0" w:color="auto"/>
              <w:right w:val="nil"/>
            </w:tcBorders>
            <w:vAlign w:val="bottom"/>
          </w:tcPr>
          <w:p w14:paraId="0B42ACD9" w14:textId="6759966A" w:rsidR="00E80D19" w:rsidRPr="00471CBA" w:rsidRDefault="00E80D19" w:rsidP="00F36B82">
            <w:pPr>
              <w:ind w:right="-42"/>
              <w:jc w:val="right"/>
              <w:rPr>
                <w:sz w:val="16"/>
                <w:szCs w:val="16"/>
              </w:rPr>
            </w:pPr>
            <w:r w:rsidRPr="00471CBA">
              <w:rPr>
                <w:sz w:val="16"/>
                <w:szCs w:val="16"/>
              </w:rPr>
              <w:t>-</w:t>
            </w:r>
          </w:p>
        </w:tc>
        <w:tc>
          <w:tcPr>
            <w:tcW w:w="592" w:type="pct"/>
            <w:tcBorders>
              <w:top w:val="nil"/>
              <w:left w:val="nil"/>
              <w:bottom w:val="single" w:sz="4" w:space="0" w:color="auto"/>
              <w:right w:val="nil"/>
            </w:tcBorders>
            <w:vAlign w:val="bottom"/>
          </w:tcPr>
          <w:p w14:paraId="17EDC4F2" w14:textId="6F52CE4A" w:rsidR="00E80D19" w:rsidRPr="00471CBA" w:rsidRDefault="00E80D19" w:rsidP="00F36B82">
            <w:pPr>
              <w:ind w:right="-42"/>
              <w:jc w:val="right"/>
              <w:rPr>
                <w:sz w:val="16"/>
                <w:szCs w:val="16"/>
              </w:rPr>
            </w:pPr>
            <w:r w:rsidRPr="00471CBA">
              <w:rPr>
                <w:sz w:val="16"/>
                <w:szCs w:val="16"/>
              </w:rPr>
              <w:t>-</w:t>
            </w:r>
          </w:p>
        </w:tc>
      </w:tr>
      <w:tr w:rsidR="00E80D19" w:rsidRPr="00471CBA" w14:paraId="18C50E30" w14:textId="77777777" w:rsidTr="00CB49C3">
        <w:trPr>
          <w:trHeight w:val="227"/>
        </w:trPr>
        <w:tc>
          <w:tcPr>
            <w:tcW w:w="207" w:type="pct"/>
            <w:tcBorders>
              <w:top w:val="single" w:sz="4" w:space="0" w:color="auto"/>
              <w:left w:val="nil"/>
              <w:bottom w:val="single" w:sz="4" w:space="0" w:color="auto"/>
              <w:right w:val="nil"/>
            </w:tcBorders>
            <w:vAlign w:val="bottom"/>
            <w:hideMark/>
          </w:tcPr>
          <w:p w14:paraId="509645A1" w14:textId="77777777" w:rsidR="00E80D19" w:rsidRPr="00471CBA" w:rsidRDefault="00E80D19" w:rsidP="00E80D19">
            <w:pPr>
              <w:rPr>
                <w:b/>
                <w:sz w:val="16"/>
                <w:szCs w:val="16"/>
              </w:rPr>
            </w:pPr>
            <w:r w:rsidRPr="00471CBA">
              <w:rPr>
                <w:b/>
                <w:sz w:val="16"/>
                <w:szCs w:val="16"/>
              </w:rPr>
              <w:t>10</w:t>
            </w:r>
          </w:p>
        </w:tc>
        <w:tc>
          <w:tcPr>
            <w:tcW w:w="1793" w:type="pct"/>
            <w:tcBorders>
              <w:top w:val="single" w:sz="4" w:space="0" w:color="auto"/>
              <w:left w:val="nil"/>
              <w:bottom w:val="single" w:sz="4" w:space="0" w:color="auto"/>
              <w:right w:val="nil"/>
            </w:tcBorders>
            <w:vAlign w:val="bottom"/>
            <w:hideMark/>
          </w:tcPr>
          <w:p w14:paraId="2FFA0629" w14:textId="77777777" w:rsidR="00E80D19" w:rsidRPr="00471CBA" w:rsidRDefault="00E80D19" w:rsidP="00E80D19">
            <w:pPr>
              <w:rPr>
                <w:b/>
                <w:sz w:val="16"/>
                <w:szCs w:val="16"/>
              </w:rPr>
            </w:pPr>
            <w:r w:rsidRPr="00471CBA">
              <w:rPr>
                <w:b/>
                <w:sz w:val="16"/>
                <w:szCs w:val="16"/>
              </w:rPr>
              <w:t>Risk tutarları</w:t>
            </w:r>
          </w:p>
        </w:tc>
        <w:tc>
          <w:tcPr>
            <w:tcW w:w="558" w:type="pct"/>
            <w:tcBorders>
              <w:top w:val="single" w:sz="4" w:space="0" w:color="auto"/>
              <w:left w:val="nil"/>
              <w:bottom w:val="single" w:sz="4" w:space="0" w:color="auto"/>
              <w:right w:val="nil"/>
            </w:tcBorders>
            <w:vAlign w:val="bottom"/>
          </w:tcPr>
          <w:p w14:paraId="25CB101D" w14:textId="407CCBF3" w:rsidR="00E80D19" w:rsidRPr="00471CBA" w:rsidRDefault="00E80D19" w:rsidP="00F36B82">
            <w:pPr>
              <w:ind w:right="-42"/>
              <w:jc w:val="right"/>
              <w:rPr>
                <w:b/>
                <w:color w:val="000000"/>
                <w:sz w:val="16"/>
                <w:szCs w:val="16"/>
              </w:rPr>
            </w:pPr>
            <w:r w:rsidRPr="00471CBA">
              <w:rPr>
                <w:b/>
                <w:sz w:val="16"/>
                <w:szCs w:val="16"/>
              </w:rPr>
              <w:t>68.797.600</w:t>
            </w:r>
          </w:p>
        </w:tc>
        <w:tc>
          <w:tcPr>
            <w:tcW w:w="566" w:type="pct"/>
            <w:tcBorders>
              <w:top w:val="single" w:sz="4" w:space="0" w:color="auto"/>
              <w:left w:val="nil"/>
              <w:bottom w:val="single" w:sz="4" w:space="0" w:color="auto"/>
              <w:right w:val="nil"/>
            </w:tcBorders>
            <w:vAlign w:val="bottom"/>
          </w:tcPr>
          <w:p w14:paraId="7A35EB5E" w14:textId="03B015AC" w:rsidR="00E80D19" w:rsidRPr="00471CBA" w:rsidRDefault="00E80D19" w:rsidP="00F36B82">
            <w:pPr>
              <w:ind w:right="-42"/>
              <w:jc w:val="right"/>
              <w:rPr>
                <w:b/>
                <w:color w:val="000000"/>
                <w:sz w:val="16"/>
                <w:szCs w:val="16"/>
              </w:rPr>
            </w:pPr>
            <w:r w:rsidRPr="00471CBA">
              <w:rPr>
                <w:b/>
                <w:sz w:val="16"/>
                <w:szCs w:val="16"/>
              </w:rPr>
              <w:t>25.206.718</w:t>
            </w:r>
          </w:p>
        </w:tc>
        <w:tc>
          <w:tcPr>
            <w:tcW w:w="710" w:type="pct"/>
            <w:tcBorders>
              <w:top w:val="single" w:sz="4" w:space="0" w:color="auto"/>
              <w:left w:val="nil"/>
              <w:bottom w:val="single" w:sz="4" w:space="0" w:color="auto"/>
              <w:right w:val="nil"/>
            </w:tcBorders>
            <w:vAlign w:val="bottom"/>
          </w:tcPr>
          <w:p w14:paraId="01937641" w14:textId="3C259516" w:rsidR="00E80D19" w:rsidRPr="00471CBA" w:rsidRDefault="00E80D19" w:rsidP="00F36B82">
            <w:pPr>
              <w:ind w:right="-42"/>
              <w:jc w:val="right"/>
              <w:rPr>
                <w:b/>
                <w:color w:val="000000"/>
                <w:sz w:val="16"/>
                <w:szCs w:val="16"/>
              </w:rPr>
            </w:pPr>
            <w:r w:rsidRPr="00471CBA">
              <w:rPr>
                <w:b/>
                <w:sz w:val="16"/>
                <w:szCs w:val="16"/>
              </w:rPr>
              <w:t>-</w:t>
            </w:r>
          </w:p>
        </w:tc>
        <w:tc>
          <w:tcPr>
            <w:tcW w:w="573" w:type="pct"/>
            <w:tcBorders>
              <w:top w:val="single" w:sz="4" w:space="0" w:color="auto"/>
              <w:left w:val="nil"/>
              <w:bottom w:val="single" w:sz="4" w:space="0" w:color="auto"/>
              <w:right w:val="nil"/>
            </w:tcBorders>
            <w:vAlign w:val="bottom"/>
          </w:tcPr>
          <w:p w14:paraId="112C4DE5" w14:textId="76F762F9" w:rsidR="00E80D19" w:rsidRPr="00471CBA" w:rsidRDefault="00E80D19" w:rsidP="00F36B82">
            <w:pPr>
              <w:ind w:right="-42"/>
              <w:jc w:val="right"/>
              <w:rPr>
                <w:b/>
                <w:color w:val="000000"/>
                <w:sz w:val="16"/>
                <w:szCs w:val="16"/>
              </w:rPr>
            </w:pPr>
            <w:r w:rsidRPr="00471CBA">
              <w:rPr>
                <w:b/>
                <w:sz w:val="16"/>
                <w:szCs w:val="16"/>
              </w:rPr>
              <w:t>(396.169)</w:t>
            </w:r>
          </w:p>
        </w:tc>
        <w:tc>
          <w:tcPr>
            <w:tcW w:w="592" w:type="pct"/>
            <w:tcBorders>
              <w:top w:val="single" w:sz="4" w:space="0" w:color="auto"/>
              <w:left w:val="nil"/>
              <w:bottom w:val="single" w:sz="4" w:space="0" w:color="auto"/>
              <w:right w:val="nil"/>
            </w:tcBorders>
            <w:vAlign w:val="bottom"/>
          </w:tcPr>
          <w:p w14:paraId="6BB4F918" w14:textId="1D171040" w:rsidR="00E80D19" w:rsidRPr="00471CBA" w:rsidRDefault="00E80D19" w:rsidP="00F36B82">
            <w:pPr>
              <w:ind w:right="-42"/>
              <w:jc w:val="right"/>
              <w:rPr>
                <w:b/>
                <w:color w:val="000000"/>
                <w:sz w:val="16"/>
                <w:szCs w:val="16"/>
              </w:rPr>
            </w:pPr>
            <w:r w:rsidRPr="00471CBA">
              <w:rPr>
                <w:b/>
                <w:sz w:val="16"/>
                <w:szCs w:val="16"/>
              </w:rPr>
              <w:t>133.283</w:t>
            </w:r>
          </w:p>
        </w:tc>
      </w:tr>
    </w:tbl>
    <w:p w14:paraId="5ABDF811" w14:textId="77777777" w:rsidR="00B35FE1" w:rsidRPr="00471CBA" w:rsidRDefault="00B35FE1" w:rsidP="00B35FE1">
      <w:pPr>
        <w:spacing w:before="60"/>
        <w:ind w:left="284" w:right="144" w:hanging="280"/>
        <w:jc w:val="both"/>
        <w:rPr>
          <w:sz w:val="16"/>
          <w:szCs w:val="18"/>
        </w:rPr>
      </w:pPr>
      <w:r w:rsidRPr="00471CBA">
        <w:rPr>
          <w:sz w:val="16"/>
          <w:szCs w:val="18"/>
          <w:vertAlign w:val="superscript"/>
        </w:rPr>
        <w:t>(*)</w:t>
      </w:r>
      <w:r w:rsidRPr="00471CBA">
        <w:rPr>
          <w:sz w:val="16"/>
          <w:szCs w:val="18"/>
        </w:rPr>
        <w:t xml:space="preserve">   Piyasa riski kapsamındaki genel piyasa riski ve spesifik riske konu kalemlerin TMS uyarınca değerlenmiş tutarlarını içermektedir.</w:t>
      </w:r>
    </w:p>
    <w:p w14:paraId="44E27998" w14:textId="77777777" w:rsidR="00B35FE1" w:rsidRPr="00471CBA" w:rsidRDefault="00B35FE1" w:rsidP="00B35FE1">
      <w:pPr>
        <w:spacing w:before="60"/>
        <w:ind w:left="224" w:right="116" w:hanging="196"/>
        <w:jc w:val="both"/>
        <w:rPr>
          <w:sz w:val="16"/>
          <w:szCs w:val="18"/>
        </w:rPr>
      </w:pPr>
      <w:r w:rsidRPr="00471CBA">
        <w:rPr>
          <w:sz w:val="16"/>
          <w:szCs w:val="18"/>
          <w:vertAlign w:val="superscript"/>
        </w:rPr>
        <w:t>(**)</w:t>
      </w:r>
      <w:r w:rsidRPr="00471CBA">
        <w:rPr>
          <w:sz w:val="16"/>
          <w:szCs w:val="18"/>
        </w:rPr>
        <w:t xml:space="preserve"> Bankaların Sermaye Yeterliliğinin Ölçülmesine ve Değerlendirilmesine İlişkin Yönetmelik” hükümleri gereği, repo ve benzeri işlemler için hesaplanan karşı taraf kredi riski tutarıdır.</w:t>
      </w:r>
    </w:p>
    <w:p w14:paraId="795D860C" w14:textId="0BB46602" w:rsidR="003E14BA" w:rsidRPr="00471CBA" w:rsidRDefault="003E14BA">
      <w:r w:rsidRPr="00471CBA">
        <w:br w:type="page"/>
      </w:r>
    </w:p>
    <w:p w14:paraId="5D25BAA7" w14:textId="242DC0BD" w:rsidR="00191F5F" w:rsidRPr="00471CBA" w:rsidRDefault="00191F5F" w:rsidP="00191F5F">
      <w:pPr>
        <w:pStyle w:val="GvdeMetniGirintisi"/>
        <w:widowControl w:val="0"/>
        <w:ind w:firstLine="0"/>
        <w:rPr>
          <w:b/>
          <w:szCs w:val="20"/>
        </w:rPr>
      </w:pPr>
      <w:bookmarkStart w:id="65" w:name="_Hlk223360677"/>
      <w:r w:rsidRPr="00471CBA">
        <w:rPr>
          <w:b/>
          <w:szCs w:val="20"/>
        </w:rPr>
        <w:t>MALİ BÜNYEYE VE RİSK YÖNETİMİNE İLİŞKİN BİLGİLER (Devamı)</w:t>
      </w:r>
    </w:p>
    <w:p w14:paraId="1D09EB01" w14:textId="77777777" w:rsidR="00650117" w:rsidRPr="00471CBA" w:rsidRDefault="00650117" w:rsidP="00650117">
      <w:pPr>
        <w:rPr>
          <w:b/>
          <w:bCs/>
        </w:rPr>
      </w:pPr>
    </w:p>
    <w:p w14:paraId="7F0498D2" w14:textId="6E67BEA6" w:rsidR="00650117" w:rsidRPr="00471CBA" w:rsidRDefault="00650117" w:rsidP="00650117">
      <w:pPr>
        <w:rPr>
          <w:b/>
          <w:bCs/>
        </w:rPr>
      </w:pPr>
      <w:r w:rsidRPr="00471CBA">
        <w:rPr>
          <w:b/>
          <w:bCs/>
        </w:rPr>
        <w:t>IX.</w:t>
      </w:r>
      <w:r w:rsidRPr="00471CBA">
        <w:rPr>
          <w:b/>
          <w:bCs/>
        </w:rPr>
        <w:tab/>
        <w:t>RİSK YÖNETİMİNE İLİŞKİN AÇIKLAMALAR (Devamı)</w:t>
      </w:r>
    </w:p>
    <w:bookmarkEnd w:id="65"/>
    <w:p w14:paraId="13F5F0DB" w14:textId="77777777" w:rsidR="00191F5F" w:rsidRPr="00471CBA" w:rsidRDefault="00191F5F" w:rsidP="006C66D3"/>
    <w:p w14:paraId="028797EC" w14:textId="77777777" w:rsidR="00EE0925" w:rsidRPr="00471CBA" w:rsidRDefault="00EE0925" w:rsidP="008459A9">
      <w:pPr>
        <w:pStyle w:val="ListeParagraf"/>
        <w:numPr>
          <w:ilvl w:val="0"/>
          <w:numId w:val="58"/>
        </w:numPr>
        <w:spacing w:after="120"/>
        <w:ind w:left="851" w:hanging="851"/>
        <w:jc w:val="both"/>
        <w:rPr>
          <w:b/>
          <w:bCs/>
        </w:rPr>
      </w:pPr>
      <w:r w:rsidRPr="00471CBA">
        <w:rPr>
          <w:b/>
          <w:bCs/>
        </w:rPr>
        <w:t>Kredi Riskine İlişkin Kamuya Açıklanacak Hususlar</w:t>
      </w:r>
    </w:p>
    <w:p w14:paraId="26DBF667" w14:textId="481876E8" w:rsidR="00EE0925" w:rsidRPr="00471CBA" w:rsidRDefault="00F658F0" w:rsidP="00EE0925">
      <w:pPr>
        <w:spacing w:before="120" w:after="120"/>
        <w:ind w:left="851" w:hanging="851"/>
        <w:jc w:val="both"/>
        <w:rPr>
          <w:b/>
          <w:szCs w:val="20"/>
        </w:rPr>
      </w:pPr>
      <w:r>
        <w:rPr>
          <w:b/>
          <w:szCs w:val="20"/>
        </w:rPr>
        <w:t>c</w:t>
      </w:r>
      <w:r w:rsidR="00EE0925" w:rsidRPr="00471CBA">
        <w:rPr>
          <w:b/>
          <w:szCs w:val="20"/>
        </w:rPr>
        <w:t>.1.</w:t>
      </w:r>
      <w:r w:rsidR="00EE0925" w:rsidRPr="00471CBA">
        <w:rPr>
          <w:b/>
          <w:szCs w:val="20"/>
        </w:rPr>
        <w:tab/>
        <w:t>Kredi Riski ile İlgili Genel Bilgiler</w:t>
      </w:r>
    </w:p>
    <w:p w14:paraId="5F8893B4" w14:textId="4243F600" w:rsidR="00EE0925" w:rsidRPr="00471CBA" w:rsidRDefault="00F658F0" w:rsidP="00EE0925">
      <w:pPr>
        <w:spacing w:before="120" w:after="120"/>
        <w:ind w:left="851" w:hanging="851"/>
        <w:jc w:val="both"/>
        <w:rPr>
          <w:b/>
          <w:szCs w:val="20"/>
        </w:rPr>
      </w:pPr>
      <w:r>
        <w:rPr>
          <w:b/>
          <w:szCs w:val="20"/>
        </w:rPr>
        <w:t>c</w:t>
      </w:r>
      <w:r w:rsidR="00EE0925" w:rsidRPr="00471CBA">
        <w:rPr>
          <w:b/>
          <w:szCs w:val="20"/>
        </w:rPr>
        <w:t>.1.1.</w:t>
      </w:r>
      <w:r w:rsidR="00EE0925" w:rsidRPr="00471CBA">
        <w:rPr>
          <w:b/>
          <w:szCs w:val="20"/>
        </w:rPr>
        <w:tab/>
        <w:t>Kredi Riskiyle İlgili Genel Niteliksel Bilgiler</w:t>
      </w:r>
    </w:p>
    <w:p w14:paraId="6A5A0181" w14:textId="77777777" w:rsidR="007322D9" w:rsidRPr="00471CBA" w:rsidRDefault="007322D9" w:rsidP="007322D9">
      <w:pPr>
        <w:spacing w:after="120"/>
        <w:rPr>
          <w:szCs w:val="20"/>
        </w:rPr>
      </w:pPr>
      <w:r w:rsidRPr="00471CBA">
        <w:rPr>
          <w:szCs w:val="20"/>
        </w:rPr>
        <w:t>Söz konusu bilgilere “Kredi riskine ilişkin açıklamalar” ile “Bankanın risk yönetimine ilişkin açıklamalar” bölümleri altında yer verilmiştir.</w:t>
      </w:r>
    </w:p>
    <w:p w14:paraId="65821C87" w14:textId="1677F43A" w:rsidR="00EE0925" w:rsidRPr="00471CBA" w:rsidRDefault="00F658F0" w:rsidP="00EE0925">
      <w:pPr>
        <w:spacing w:after="120"/>
        <w:ind w:left="851" w:hanging="851"/>
        <w:rPr>
          <w:b/>
          <w:bCs/>
        </w:rPr>
      </w:pPr>
      <w:r>
        <w:rPr>
          <w:b/>
          <w:bCs/>
        </w:rPr>
        <w:t>c</w:t>
      </w:r>
      <w:r w:rsidR="00EE0925" w:rsidRPr="00471CBA">
        <w:rPr>
          <w:b/>
          <w:bCs/>
        </w:rPr>
        <w:t>.1.2.</w:t>
      </w:r>
      <w:r w:rsidR="00EE0925" w:rsidRPr="00471CBA">
        <w:rPr>
          <w:b/>
          <w:bCs/>
        </w:rPr>
        <w:tab/>
        <w:t>Varlıkların Kredi Kalitesi</w:t>
      </w:r>
    </w:p>
    <w:p w14:paraId="1C41D13C" w14:textId="1E6E39EC" w:rsidR="00A74C68" w:rsidRPr="00471CBA" w:rsidRDefault="00A74C68" w:rsidP="00EE0925"/>
    <w:tbl>
      <w:tblPr>
        <w:tblW w:w="5000" w:type="pct"/>
        <w:tblCellMar>
          <w:left w:w="70" w:type="dxa"/>
          <w:right w:w="70" w:type="dxa"/>
        </w:tblCellMar>
        <w:tblLook w:val="04A0" w:firstRow="1" w:lastRow="0" w:firstColumn="1" w:lastColumn="0" w:noHBand="0" w:noVBand="1"/>
      </w:tblPr>
      <w:tblGrid>
        <w:gridCol w:w="2236"/>
        <w:gridCol w:w="2304"/>
        <w:gridCol w:w="1710"/>
        <w:gridCol w:w="1808"/>
        <w:gridCol w:w="1581"/>
      </w:tblGrid>
      <w:tr w:rsidR="00A74C68" w:rsidRPr="00471CBA" w14:paraId="260C88E8" w14:textId="77777777" w:rsidTr="00A74C68">
        <w:trPr>
          <w:divId w:val="769543766"/>
          <w:trHeight w:val="170"/>
        </w:trPr>
        <w:tc>
          <w:tcPr>
            <w:tcW w:w="1160" w:type="pct"/>
            <w:vMerge w:val="restart"/>
            <w:tcBorders>
              <w:top w:val="single" w:sz="4" w:space="0" w:color="auto"/>
              <w:left w:val="nil"/>
              <w:bottom w:val="single" w:sz="4" w:space="0" w:color="000000"/>
              <w:right w:val="nil"/>
            </w:tcBorders>
            <w:noWrap/>
            <w:vAlign w:val="center"/>
            <w:hideMark/>
          </w:tcPr>
          <w:p w14:paraId="543D93C4" w14:textId="6A10A975" w:rsidR="00A74C68" w:rsidRPr="00471CBA" w:rsidRDefault="00A74C68" w:rsidP="00A74C68">
            <w:pPr>
              <w:jc w:val="center"/>
              <w:rPr>
                <w:b/>
                <w:bCs/>
                <w:color w:val="000000"/>
                <w:sz w:val="18"/>
                <w:szCs w:val="18"/>
                <w:lang w:eastAsia="tr-TR"/>
              </w:rPr>
            </w:pPr>
            <w:r w:rsidRPr="00471CBA">
              <w:rPr>
                <w:b/>
                <w:bCs/>
                <w:color w:val="000000"/>
                <w:sz w:val="18"/>
                <w:szCs w:val="18"/>
                <w:lang w:eastAsia="tr-TR"/>
              </w:rPr>
              <w:t>31 Aralık 2025</w:t>
            </w:r>
          </w:p>
        </w:tc>
        <w:tc>
          <w:tcPr>
            <w:tcW w:w="2082" w:type="pct"/>
            <w:gridSpan w:val="2"/>
            <w:tcBorders>
              <w:top w:val="single" w:sz="4" w:space="0" w:color="auto"/>
              <w:left w:val="nil"/>
              <w:bottom w:val="single" w:sz="4" w:space="0" w:color="auto"/>
              <w:right w:val="nil"/>
            </w:tcBorders>
            <w:vAlign w:val="center"/>
            <w:hideMark/>
          </w:tcPr>
          <w:p w14:paraId="595AA7D5" w14:textId="77777777" w:rsidR="00A74C68" w:rsidRPr="00471CBA" w:rsidRDefault="00A74C68" w:rsidP="00A74C68">
            <w:pPr>
              <w:jc w:val="center"/>
              <w:rPr>
                <w:b/>
                <w:bCs/>
                <w:color w:val="000000"/>
                <w:sz w:val="18"/>
                <w:szCs w:val="18"/>
                <w:lang w:eastAsia="tr-TR"/>
              </w:rPr>
            </w:pPr>
            <w:r w:rsidRPr="00471CBA">
              <w:rPr>
                <w:b/>
                <w:bCs/>
                <w:color w:val="000000"/>
                <w:sz w:val="18"/>
                <w:szCs w:val="18"/>
                <w:lang w:eastAsia="tr-TR"/>
              </w:rPr>
              <w:t>Yasal konsolidasyona göre hazırlanan finansal tablolarda yer alan TMS uyarınca değerlenmiş brüt tutarı</w:t>
            </w:r>
          </w:p>
        </w:tc>
        <w:tc>
          <w:tcPr>
            <w:tcW w:w="938" w:type="pct"/>
            <w:vMerge w:val="restart"/>
            <w:tcBorders>
              <w:top w:val="single" w:sz="4" w:space="0" w:color="auto"/>
              <w:left w:val="nil"/>
              <w:bottom w:val="single" w:sz="4" w:space="0" w:color="000000"/>
              <w:right w:val="nil"/>
            </w:tcBorders>
            <w:vAlign w:val="center"/>
            <w:hideMark/>
          </w:tcPr>
          <w:p w14:paraId="05E58A39" w14:textId="77777777" w:rsidR="00A74C68" w:rsidRPr="00471CBA" w:rsidRDefault="00A74C68" w:rsidP="00A74C68">
            <w:pPr>
              <w:jc w:val="right"/>
              <w:rPr>
                <w:b/>
                <w:bCs/>
                <w:color w:val="000000"/>
                <w:sz w:val="18"/>
                <w:szCs w:val="18"/>
                <w:lang w:eastAsia="tr-TR"/>
              </w:rPr>
            </w:pPr>
            <w:r w:rsidRPr="00471CBA">
              <w:rPr>
                <w:b/>
                <w:bCs/>
                <w:color w:val="000000"/>
                <w:sz w:val="18"/>
                <w:szCs w:val="18"/>
                <w:lang w:eastAsia="tr-TR"/>
              </w:rPr>
              <w:t>Karşılıklar/ Amortisman ve değer düşüklüğü</w:t>
            </w:r>
          </w:p>
        </w:tc>
        <w:tc>
          <w:tcPr>
            <w:tcW w:w="820" w:type="pct"/>
            <w:vMerge w:val="restart"/>
            <w:tcBorders>
              <w:top w:val="single" w:sz="4" w:space="0" w:color="auto"/>
              <w:left w:val="nil"/>
              <w:bottom w:val="single" w:sz="4" w:space="0" w:color="000000"/>
              <w:right w:val="nil"/>
            </w:tcBorders>
            <w:vAlign w:val="center"/>
            <w:hideMark/>
          </w:tcPr>
          <w:p w14:paraId="51F45924" w14:textId="77777777" w:rsidR="00A74C68" w:rsidRPr="00471CBA" w:rsidRDefault="00A74C68" w:rsidP="00A74C68">
            <w:pPr>
              <w:jc w:val="right"/>
              <w:rPr>
                <w:b/>
                <w:bCs/>
                <w:color w:val="000000"/>
                <w:sz w:val="18"/>
                <w:szCs w:val="18"/>
                <w:lang w:eastAsia="tr-TR"/>
              </w:rPr>
            </w:pPr>
            <w:r w:rsidRPr="00471CBA">
              <w:rPr>
                <w:b/>
                <w:bCs/>
                <w:color w:val="000000"/>
                <w:sz w:val="18"/>
                <w:szCs w:val="18"/>
                <w:lang w:eastAsia="tr-TR"/>
              </w:rPr>
              <w:t>Net değer</w:t>
            </w:r>
          </w:p>
        </w:tc>
      </w:tr>
      <w:tr w:rsidR="00A74C68" w:rsidRPr="00471CBA" w14:paraId="0B691391" w14:textId="77777777" w:rsidTr="00A74C68">
        <w:trPr>
          <w:divId w:val="769543766"/>
          <w:trHeight w:val="170"/>
        </w:trPr>
        <w:tc>
          <w:tcPr>
            <w:tcW w:w="1160" w:type="pct"/>
            <w:vMerge/>
            <w:tcBorders>
              <w:top w:val="single" w:sz="4" w:space="0" w:color="auto"/>
              <w:left w:val="nil"/>
              <w:bottom w:val="single" w:sz="4" w:space="0" w:color="000000"/>
              <w:right w:val="nil"/>
            </w:tcBorders>
            <w:vAlign w:val="center"/>
            <w:hideMark/>
          </w:tcPr>
          <w:p w14:paraId="49ECE30E" w14:textId="77777777" w:rsidR="00A74C68" w:rsidRPr="00471CBA" w:rsidRDefault="00A74C68" w:rsidP="00A74C68">
            <w:pPr>
              <w:rPr>
                <w:color w:val="000000"/>
                <w:sz w:val="18"/>
                <w:szCs w:val="18"/>
                <w:lang w:eastAsia="tr-TR"/>
              </w:rPr>
            </w:pPr>
          </w:p>
        </w:tc>
        <w:tc>
          <w:tcPr>
            <w:tcW w:w="1195" w:type="pct"/>
            <w:tcBorders>
              <w:top w:val="nil"/>
              <w:left w:val="nil"/>
              <w:bottom w:val="single" w:sz="4" w:space="0" w:color="auto"/>
              <w:right w:val="nil"/>
            </w:tcBorders>
            <w:noWrap/>
            <w:vAlign w:val="center"/>
            <w:hideMark/>
          </w:tcPr>
          <w:p w14:paraId="1FCF6176" w14:textId="77777777" w:rsidR="00A74C68" w:rsidRPr="00471CBA" w:rsidRDefault="00A74C68" w:rsidP="00A74C68">
            <w:pPr>
              <w:jc w:val="center"/>
              <w:rPr>
                <w:b/>
                <w:bCs/>
                <w:color w:val="000000"/>
                <w:sz w:val="18"/>
                <w:szCs w:val="18"/>
                <w:lang w:eastAsia="tr-TR"/>
              </w:rPr>
            </w:pPr>
            <w:r w:rsidRPr="00471CBA">
              <w:rPr>
                <w:b/>
                <w:bCs/>
                <w:color w:val="000000"/>
                <w:sz w:val="18"/>
                <w:szCs w:val="18"/>
                <w:lang w:eastAsia="tr-TR"/>
              </w:rPr>
              <w:t>Temerrüt etmiş</w:t>
            </w:r>
          </w:p>
        </w:tc>
        <w:tc>
          <w:tcPr>
            <w:tcW w:w="887" w:type="pct"/>
            <w:tcBorders>
              <w:top w:val="nil"/>
              <w:left w:val="nil"/>
              <w:bottom w:val="single" w:sz="4" w:space="0" w:color="auto"/>
              <w:right w:val="nil"/>
            </w:tcBorders>
            <w:noWrap/>
            <w:vAlign w:val="center"/>
            <w:hideMark/>
          </w:tcPr>
          <w:p w14:paraId="71DAA961" w14:textId="77777777" w:rsidR="00A74C68" w:rsidRPr="00471CBA" w:rsidRDefault="00A74C68" w:rsidP="00A74C68">
            <w:pPr>
              <w:jc w:val="center"/>
              <w:rPr>
                <w:b/>
                <w:bCs/>
                <w:color w:val="000000"/>
                <w:sz w:val="18"/>
                <w:szCs w:val="18"/>
                <w:lang w:eastAsia="tr-TR"/>
              </w:rPr>
            </w:pPr>
            <w:r w:rsidRPr="00471CBA">
              <w:rPr>
                <w:b/>
                <w:bCs/>
                <w:color w:val="000000"/>
                <w:sz w:val="18"/>
                <w:szCs w:val="18"/>
                <w:lang w:eastAsia="tr-TR"/>
              </w:rPr>
              <w:t>Temerrüt etmemiş</w:t>
            </w:r>
          </w:p>
        </w:tc>
        <w:tc>
          <w:tcPr>
            <w:tcW w:w="938" w:type="pct"/>
            <w:vMerge/>
            <w:tcBorders>
              <w:top w:val="single" w:sz="4" w:space="0" w:color="auto"/>
              <w:left w:val="nil"/>
              <w:bottom w:val="single" w:sz="4" w:space="0" w:color="000000"/>
              <w:right w:val="nil"/>
            </w:tcBorders>
            <w:vAlign w:val="center"/>
            <w:hideMark/>
          </w:tcPr>
          <w:p w14:paraId="6CA0F34F" w14:textId="77777777" w:rsidR="00A74C68" w:rsidRPr="00471CBA" w:rsidRDefault="00A74C68" w:rsidP="00A74C68">
            <w:pPr>
              <w:rPr>
                <w:color w:val="000000"/>
                <w:sz w:val="18"/>
                <w:szCs w:val="18"/>
                <w:lang w:eastAsia="tr-TR"/>
              </w:rPr>
            </w:pPr>
          </w:p>
        </w:tc>
        <w:tc>
          <w:tcPr>
            <w:tcW w:w="820" w:type="pct"/>
            <w:vMerge/>
            <w:tcBorders>
              <w:top w:val="single" w:sz="4" w:space="0" w:color="auto"/>
              <w:left w:val="nil"/>
              <w:bottom w:val="single" w:sz="4" w:space="0" w:color="000000"/>
              <w:right w:val="nil"/>
            </w:tcBorders>
            <w:vAlign w:val="center"/>
            <w:hideMark/>
          </w:tcPr>
          <w:p w14:paraId="75A30E50" w14:textId="77777777" w:rsidR="00A74C68" w:rsidRPr="00471CBA" w:rsidRDefault="00A74C68" w:rsidP="00A74C68">
            <w:pPr>
              <w:rPr>
                <w:color w:val="000000"/>
                <w:sz w:val="18"/>
                <w:szCs w:val="18"/>
                <w:lang w:eastAsia="tr-TR"/>
              </w:rPr>
            </w:pPr>
          </w:p>
        </w:tc>
      </w:tr>
    </w:tbl>
    <w:tbl>
      <w:tblPr>
        <w:tblW w:w="5000" w:type="pct"/>
        <w:tblCellMar>
          <w:left w:w="70" w:type="dxa"/>
          <w:right w:w="70" w:type="dxa"/>
        </w:tblCellMar>
        <w:tblLook w:val="04A0" w:firstRow="1" w:lastRow="0" w:firstColumn="1" w:lastColumn="0" w:noHBand="0" w:noVBand="1"/>
      </w:tblPr>
      <w:tblGrid>
        <w:gridCol w:w="237"/>
        <w:gridCol w:w="1999"/>
        <w:gridCol w:w="2304"/>
        <w:gridCol w:w="1710"/>
        <w:gridCol w:w="1808"/>
        <w:gridCol w:w="1581"/>
      </w:tblGrid>
      <w:tr w:rsidR="003F7DEA" w:rsidRPr="00471CBA" w14:paraId="63D431D4" w14:textId="77777777" w:rsidTr="003F7DEA">
        <w:trPr>
          <w:trHeight w:val="170"/>
        </w:trPr>
        <w:tc>
          <w:tcPr>
            <w:tcW w:w="123" w:type="pct"/>
            <w:tcBorders>
              <w:top w:val="nil"/>
              <w:left w:val="nil"/>
              <w:bottom w:val="nil"/>
              <w:right w:val="nil"/>
            </w:tcBorders>
            <w:noWrap/>
            <w:vAlign w:val="bottom"/>
            <w:hideMark/>
          </w:tcPr>
          <w:p w14:paraId="592068EE" w14:textId="77777777" w:rsidR="003F7DEA" w:rsidRPr="00471CBA" w:rsidRDefault="003F7DEA" w:rsidP="003F7DEA">
            <w:pPr>
              <w:rPr>
                <w:color w:val="000000"/>
                <w:sz w:val="18"/>
                <w:szCs w:val="18"/>
                <w:lang w:eastAsia="tr-TR"/>
              </w:rPr>
            </w:pPr>
            <w:r w:rsidRPr="00471CBA">
              <w:rPr>
                <w:color w:val="000000"/>
                <w:sz w:val="18"/>
                <w:szCs w:val="18"/>
                <w:lang w:eastAsia="tr-TR"/>
              </w:rPr>
              <w:t>1</w:t>
            </w:r>
          </w:p>
        </w:tc>
        <w:tc>
          <w:tcPr>
            <w:tcW w:w="1037" w:type="pct"/>
            <w:tcBorders>
              <w:top w:val="nil"/>
              <w:left w:val="nil"/>
              <w:bottom w:val="nil"/>
              <w:right w:val="nil"/>
            </w:tcBorders>
            <w:noWrap/>
            <w:vAlign w:val="bottom"/>
            <w:hideMark/>
          </w:tcPr>
          <w:p w14:paraId="4B6668B3" w14:textId="77777777" w:rsidR="003F7DEA" w:rsidRPr="00471CBA" w:rsidRDefault="003F7DEA" w:rsidP="003F7DEA">
            <w:pPr>
              <w:rPr>
                <w:color w:val="000000"/>
                <w:sz w:val="18"/>
                <w:szCs w:val="18"/>
                <w:lang w:eastAsia="tr-TR"/>
              </w:rPr>
            </w:pPr>
            <w:r w:rsidRPr="00471CBA">
              <w:rPr>
                <w:color w:val="000000"/>
                <w:sz w:val="18"/>
                <w:szCs w:val="18"/>
                <w:lang w:eastAsia="tr-TR"/>
              </w:rPr>
              <w:t>Krediler</w:t>
            </w:r>
          </w:p>
        </w:tc>
        <w:tc>
          <w:tcPr>
            <w:tcW w:w="1195" w:type="pct"/>
            <w:tcBorders>
              <w:top w:val="nil"/>
              <w:left w:val="nil"/>
              <w:bottom w:val="nil"/>
              <w:right w:val="nil"/>
            </w:tcBorders>
            <w:hideMark/>
          </w:tcPr>
          <w:p w14:paraId="32CB66A2" w14:textId="44C80FDF" w:rsidR="003F7DEA" w:rsidRPr="00E87B78" w:rsidRDefault="003F7DEA" w:rsidP="003F7DEA">
            <w:pPr>
              <w:jc w:val="right"/>
              <w:rPr>
                <w:color w:val="000000"/>
                <w:sz w:val="18"/>
                <w:szCs w:val="18"/>
                <w:lang w:eastAsia="tr-TR"/>
              </w:rPr>
            </w:pPr>
            <w:r w:rsidRPr="00E87B78">
              <w:rPr>
                <w:sz w:val="18"/>
                <w:szCs w:val="18"/>
              </w:rPr>
              <w:t>388.505</w:t>
            </w:r>
          </w:p>
        </w:tc>
        <w:tc>
          <w:tcPr>
            <w:tcW w:w="887" w:type="pct"/>
            <w:tcBorders>
              <w:top w:val="nil"/>
              <w:left w:val="nil"/>
              <w:bottom w:val="nil"/>
              <w:right w:val="nil"/>
            </w:tcBorders>
            <w:hideMark/>
          </w:tcPr>
          <w:p w14:paraId="402D12E4" w14:textId="405A3F6D" w:rsidR="003F7DEA" w:rsidRPr="00E87B78" w:rsidRDefault="003F7DEA" w:rsidP="003F7DEA">
            <w:pPr>
              <w:jc w:val="right"/>
              <w:rPr>
                <w:color w:val="000000"/>
                <w:sz w:val="18"/>
                <w:szCs w:val="18"/>
                <w:lang w:eastAsia="tr-TR"/>
              </w:rPr>
            </w:pPr>
            <w:r w:rsidRPr="00E87B78">
              <w:rPr>
                <w:sz w:val="18"/>
                <w:szCs w:val="18"/>
              </w:rPr>
              <w:t>54.453.865</w:t>
            </w:r>
          </w:p>
        </w:tc>
        <w:tc>
          <w:tcPr>
            <w:tcW w:w="938" w:type="pct"/>
            <w:tcBorders>
              <w:top w:val="nil"/>
              <w:left w:val="nil"/>
              <w:bottom w:val="nil"/>
              <w:right w:val="nil"/>
            </w:tcBorders>
            <w:hideMark/>
          </w:tcPr>
          <w:p w14:paraId="1C3A9DF4" w14:textId="7041592E" w:rsidR="003F7DEA" w:rsidRPr="00E87B78" w:rsidRDefault="003F7DEA" w:rsidP="003F7DEA">
            <w:pPr>
              <w:jc w:val="right"/>
              <w:rPr>
                <w:color w:val="000000"/>
                <w:sz w:val="18"/>
                <w:szCs w:val="18"/>
                <w:lang w:eastAsia="tr-TR"/>
              </w:rPr>
            </w:pPr>
            <w:r w:rsidRPr="00E87B78">
              <w:rPr>
                <w:sz w:val="18"/>
                <w:szCs w:val="18"/>
              </w:rPr>
              <w:t>539.353</w:t>
            </w:r>
          </w:p>
        </w:tc>
        <w:tc>
          <w:tcPr>
            <w:tcW w:w="820" w:type="pct"/>
            <w:tcBorders>
              <w:top w:val="nil"/>
              <w:left w:val="nil"/>
              <w:bottom w:val="nil"/>
              <w:right w:val="nil"/>
            </w:tcBorders>
            <w:hideMark/>
          </w:tcPr>
          <w:p w14:paraId="0FCA6D6A" w14:textId="2A26A725" w:rsidR="003F7DEA" w:rsidRPr="00E87B78" w:rsidRDefault="003F7DEA" w:rsidP="003F7DEA">
            <w:pPr>
              <w:jc w:val="right"/>
              <w:rPr>
                <w:color w:val="000000"/>
                <w:sz w:val="18"/>
                <w:szCs w:val="18"/>
                <w:lang w:eastAsia="tr-TR"/>
              </w:rPr>
            </w:pPr>
            <w:r w:rsidRPr="00E87B78">
              <w:rPr>
                <w:sz w:val="18"/>
                <w:szCs w:val="18"/>
              </w:rPr>
              <w:t>54.303.017</w:t>
            </w:r>
          </w:p>
        </w:tc>
      </w:tr>
      <w:tr w:rsidR="003F7DEA" w:rsidRPr="00471CBA" w14:paraId="032B7729" w14:textId="77777777" w:rsidTr="003F7DEA">
        <w:trPr>
          <w:trHeight w:val="170"/>
        </w:trPr>
        <w:tc>
          <w:tcPr>
            <w:tcW w:w="123" w:type="pct"/>
            <w:tcBorders>
              <w:top w:val="nil"/>
              <w:left w:val="nil"/>
              <w:bottom w:val="nil"/>
              <w:right w:val="nil"/>
            </w:tcBorders>
            <w:noWrap/>
            <w:vAlign w:val="bottom"/>
            <w:hideMark/>
          </w:tcPr>
          <w:p w14:paraId="5E88864E" w14:textId="77777777" w:rsidR="003F7DEA" w:rsidRPr="00471CBA" w:rsidRDefault="003F7DEA" w:rsidP="003F7DEA">
            <w:pPr>
              <w:rPr>
                <w:color w:val="000000"/>
                <w:sz w:val="18"/>
                <w:szCs w:val="18"/>
                <w:lang w:eastAsia="tr-TR"/>
              </w:rPr>
            </w:pPr>
            <w:r w:rsidRPr="00471CBA">
              <w:rPr>
                <w:color w:val="000000"/>
                <w:sz w:val="18"/>
                <w:szCs w:val="18"/>
                <w:lang w:eastAsia="tr-TR"/>
              </w:rPr>
              <w:t>2</w:t>
            </w:r>
          </w:p>
        </w:tc>
        <w:tc>
          <w:tcPr>
            <w:tcW w:w="1037" w:type="pct"/>
            <w:tcBorders>
              <w:top w:val="nil"/>
              <w:left w:val="nil"/>
              <w:bottom w:val="nil"/>
              <w:right w:val="nil"/>
            </w:tcBorders>
            <w:noWrap/>
            <w:vAlign w:val="bottom"/>
            <w:hideMark/>
          </w:tcPr>
          <w:p w14:paraId="36953494" w14:textId="77777777" w:rsidR="003F7DEA" w:rsidRPr="00471CBA" w:rsidRDefault="003F7DEA" w:rsidP="003F7DEA">
            <w:pPr>
              <w:rPr>
                <w:color w:val="000000"/>
                <w:sz w:val="18"/>
                <w:szCs w:val="18"/>
                <w:lang w:eastAsia="tr-TR"/>
              </w:rPr>
            </w:pPr>
            <w:r w:rsidRPr="00471CBA">
              <w:rPr>
                <w:color w:val="000000"/>
                <w:sz w:val="18"/>
                <w:szCs w:val="18"/>
                <w:lang w:eastAsia="tr-TR"/>
              </w:rPr>
              <w:t>Borçlanma araçları</w:t>
            </w:r>
          </w:p>
        </w:tc>
        <w:tc>
          <w:tcPr>
            <w:tcW w:w="1195" w:type="pct"/>
            <w:tcBorders>
              <w:top w:val="nil"/>
              <w:left w:val="nil"/>
              <w:bottom w:val="nil"/>
              <w:right w:val="nil"/>
            </w:tcBorders>
            <w:hideMark/>
          </w:tcPr>
          <w:p w14:paraId="150EEE3B" w14:textId="630732C1" w:rsidR="003F7DEA" w:rsidRPr="00E87B78" w:rsidRDefault="003F7DEA" w:rsidP="003F7DEA">
            <w:pPr>
              <w:jc w:val="right"/>
              <w:rPr>
                <w:color w:val="000000"/>
                <w:sz w:val="18"/>
                <w:szCs w:val="18"/>
                <w:lang w:eastAsia="tr-TR"/>
              </w:rPr>
            </w:pPr>
            <w:r w:rsidRPr="00E87B78">
              <w:rPr>
                <w:sz w:val="18"/>
                <w:szCs w:val="18"/>
              </w:rPr>
              <w:t>-</w:t>
            </w:r>
          </w:p>
        </w:tc>
        <w:tc>
          <w:tcPr>
            <w:tcW w:w="887" w:type="pct"/>
            <w:tcBorders>
              <w:top w:val="nil"/>
              <w:left w:val="nil"/>
              <w:bottom w:val="nil"/>
              <w:right w:val="nil"/>
            </w:tcBorders>
            <w:hideMark/>
          </w:tcPr>
          <w:p w14:paraId="78D60673" w14:textId="0D067FFA" w:rsidR="003F7DEA" w:rsidRPr="00E87B78" w:rsidRDefault="003F7DEA" w:rsidP="003F7DEA">
            <w:pPr>
              <w:jc w:val="right"/>
              <w:rPr>
                <w:color w:val="000000"/>
                <w:sz w:val="18"/>
                <w:szCs w:val="18"/>
                <w:lang w:eastAsia="tr-TR"/>
              </w:rPr>
            </w:pPr>
            <w:r w:rsidRPr="00E87B78">
              <w:rPr>
                <w:sz w:val="18"/>
                <w:szCs w:val="18"/>
              </w:rPr>
              <w:t>5.938.493</w:t>
            </w:r>
          </w:p>
        </w:tc>
        <w:tc>
          <w:tcPr>
            <w:tcW w:w="938" w:type="pct"/>
            <w:tcBorders>
              <w:top w:val="nil"/>
              <w:left w:val="nil"/>
              <w:bottom w:val="nil"/>
              <w:right w:val="nil"/>
            </w:tcBorders>
            <w:hideMark/>
          </w:tcPr>
          <w:p w14:paraId="45C272BF" w14:textId="36EE3CD3" w:rsidR="003F7DEA" w:rsidRPr="00E87B78" w:rsidRDefault="003F7DEA" w:rsidP="003F7DEA">
            <w:pPr>
              <w:jc w:val="right"/>
              <w:rPr>
                <w:color w:val="000000"/>
                <w:sz w:val="18"/>
                <w:szCs w:val="18"/>
                <w:lang w:eastAsia="tr-TR"/>
              </w:rPr>
            </w:pPr>
            <w:r w:rsidRPr="00E87B78">
              <w:rPr>
                <w:sz w:val="18"/>
                <w:szCs w:val="18"/>
              </w:rPr>
              <w:t xml:space="preserve"> 858 </w:t>
            </w:r>
          </w:p>
        </w:tc>
        <w:tc>
          <w:tcPr>
            <w:tcW w:w="820" w:type="pct"/>
            <w:tcBorders>
              <w:top w:val="nil"/>
              <w:left w:val="nil"/>
              <w:bottom w:val="nil"/>
              <w:right w:val="nil"/>
            </w:tcBorders>
            <w:hideMark/>
          </w:tcPr>
          <w:p w14:paraId="4FB8E4B9" w14:textId="587C6975" w:rsidR="003F7DEA" w:rsidRPr="00E87B78" w:rsidRDefault="003F7DEA" w:rsidP="003F7DEA">
            <w:pPr>
              <w:jc w:val="right"/>
              <w:rPr>
                <w:color w:val="000000"/>
                <w:sz w:val="18"/>
                <w:szCs w:val="18"/>
                <w:lang w:eastAsia="tr-TR"/>
              </w:rPr>
            </w:pPr>
            <w:r w:rsidRPr="00E87B78">
              <w:rPr>
                <w:sz w:val="18"/>
                <w:szCs w:val="18"/>
              </w:rPr>
              <w:t>5.937.635</w:t>
            </w:r>
          </w:p>
        </w:tc>
      </w:tr>
      <w:tr w:rsidR="003F7DEA" w:rsidRPr="00471CBA" w14:paraId="7058D623" w14:textId="77777777" w:rsidTr="003F7DEA">
        <w:trPr>
          <w:trHeight w:val="170"/>
        </w:trPr>
        <w:tc>
          <w:tcPr>
            <w:tcW w:w="123" w:type="pct"/>
            <w:tcBorders>
              <w:top w:val="nil"/>
              <w:left w:val="nil"/>
              <w:bottom w:val="single" w:sz="4" w:space="0" w:color="auto"/>
              <w:right w:val="nil"/>
            </w:tcBorders>
            <w:noWrap/>
            <w:vAlign w:val="bottom"/>
            <w:hideMark/>
          </w:tcPr>
          <w:p w14:paraId="35870D3A" w14:textId="77777777" w:rsidR="003F7DEA" w:rsidRPr="00471CBA" w:rsidRDefault="003F7DEA" w:rsidP="003F7DEA">
            <w:pPr>
              <w:rPr>
                <w:color w:val="000000"/>
                <w:sz w:val="18"/>
                <w:szCs w:val="18"/>
                <w:lang w:eastAsia="tr-TR"/>
              </w:rPr>
            </w:pPr>
            <w:r w:rsidRPr="00471CBA">
              <w:rPr>
                <w:color w:val="000000"/>
                <w:sz w:val="18"/>
                <w:szCs w:val="18"/>
                <w:lang w:eastAsia="tr-TR"/>
              </w:rPr>
              <w:t>3</w:t>
            </w:r>
          </w:p>
        </w:tc>
        <w:tc>
          <w:tcPr>
            <w:tcW w:w="1037" w:type="pct"/>
            <w:tcBorders>
              <w:top w:val="nil"/>
              <w:left w:val="nil"/>
              <w:bottom w:val="single" w:sz="4" w:space="0" w:color="auto"/>
              <w:right w:val="nil"/>
            </w:tcBorders>
            <w:noWrap/>
            <w:vAlign w:val="bottom"/>
            <w:hideMark/>
          </w:tcPr>
          <w:p w14:paraId="19133FCB" w14:textId="77777777" w:rsidR="003F7DEA" w:rsidRPr="00471CBA" w:rsidRDefault="003F7DEA" w:rsidP="003F7DEA">
            <w:pPr>
              <w:rPr>
                <w:color w:val="000000"/>
                <w:sz w:val="18"/>
                <w:szCs w:val="18"/>
                <w:lang w:eastAsia="tr-TR"/>
              </w:rPr>
            </w:pPr>
            <w:r w:rsidRPr="00471CBA">
              <w:rPr>
                <w:color w:val="000000"/>
                <w:sz w:val="18"/>
                <w:szCs w:val="18"/>
                <w:lang w:eastAsia="tr-TR"/>
              </w:rPr>
              <w:t>Bilanço dışı alacaklar</w:t>
            </w:r>
          </w:p>
        </w:tc>
        <w:tc>
          <w:tcPr>
            <w:tcW w:w="1195" w:type="pct"/>
            <w:tcBorders>
              <w:top w:val="nil"/>
              <w:left w:val="nil"/>
              <w:bottom w:val="single" w:sz="4" w:space="0" w:color="auto"/>
              <w:right w:val="nil"/>
            </w:tcBorders>
            <w:hideMark/>
          </w:tcPr>
          <w:p w14:paraId="1283116F" w14:textId="23477C9B" w:rsidR="003F7DEA" w:rsidRPr="00E87B78" w:rsidRDefault="003F7DEA" w:rsidP="003F7DEA">
            <w:pPr>
              <w:jc w:val="right"/>
              <w:rPr>
                <w:color w:val="000000"/>
                <w:sz w:val="18"/>
                <w:szCs w:val="18"/>
                <w:lang w:eastAsia="tr-TR"/>
              </w:rPr>
            </w:pPr>
            <w:r w:rsidRPr="00E87B78">
              <w:rPr>
                <w:sz w:val="18"/>
                <w:szCs w:val="18"/>
              </w:rPr>
              <w:t>-</w:t>
            </w:r>
          </w:p>
        </w:tc>
        <w:tc>
          <w:tcPr>
            <w:tcW w:w="887" w:type="pct"/>
            <w:tcBorders>
              <w:top w:val="nil"/>
              <w:left w:val="nil"/>
              <w:bottom w:val="single" w:sz="4" w:space="0" w:color="auto"/>
              <w:right w:val="nil"/>
            </w:tcBorders>
            <w:hideMark/>
          </w:tcPr>
          <w:p w14:paraId="49409C20" w14:textId="4DE97976" w:rsidR="003F7DEA" w:rsidRPr="00E87B78" w:rsidRDefault="003F7DEA" w:rsidP="003F7DEA">
            <w:pPr>
              <w:jc w:val="right"/>
              <w:rPr>
                <w:color w:val="000000"/>
                <w:sz w:val="18"/>
                <w:szCs w:val="18"/>
                <w:lang w:eastAsia="tr-TR"/>
              </w:rPr>
            </w:pPr>
            <w:r w:rsidRPr="00E87B78">
              <w:rPr>
                <w:sz w:val="18"/>
                <w:szCs w:val="18"/>
              </w:rPr>
              <w:t>25.680.683</w:t>
            </w:r>
          </w:p>
        </w:tc>
        <w:tc>
          <w:tcPr>
            <w:tcW w:w="938" w:type="pct"/>
            <w:tcBorders>
              <w:top w:val="nil"/>
              <w:left w:val="nil"/>
              <w:bottom w:val="single" w:sz="4" w:space="0" w:color="auto"/>
              <w:right w:val="nil"/>
            </w:tcBorders>
            <w:hideMark/>
          </w:tcPr>
          <w:p w14:paraId="4EB2586F" w14:textId="508449DF" w:rsidR="003F7DEA" w:rsidRPr="00E87B78" w:rsidRDefault="003F7DEA" w:rsidP="003F7DEA">
            <w:pPr>
              <w:jc w:val="right"/>
              <w:rPr>
                <w:color w:val="000000"/>
                <w:sz w:val="18"/>
                <w:szCs w:val="18"/>
                <w:lang w:eastAsia="tr-TR"/>
              </w:rPr>
            </w:pPr>
            <w:r w:rsidRPr="00E87B78">
              <w:rPr>
                <w:sz w:val="18"/>
                <w:szCs w:val="18"/>
              </w:rPr>
              <w:t>62.000</w:t>
            </w:r>
          </w:p>
        </w:tc>
        <w:tc>
          <w:tcPr>
            <w:tcW w:w="820" w:type="pct"/>
            <w:tcBorders>
              <w:top w:val="nil"/>
              <w:left w:val="nil"/>
              <w:bottom w:val="single" w:sz="4" w:space="0" w:color="auto"/>
              <w:right w:val="nil"/>
            </w:tcBorders>
            <w:hideMark/>
          </w:tcPr>
          <w:p w14:paraId="2AF767E0" w14:textId="33353217" w:rsidR="003F7DEA" w:rsidRPr="00E87B78" w:rsidRDefault="003F7DEA" w:rsidP="003F7DEA">
            <w:pPr>
              <w:jc w:val="right"/>
              <w:rPr>
                <w:color w:val="000000"/>
                <w:sz w:val="18"/>
                <w:szCs w:val="18"/>
                <w:lang w:eastAsia="tr-TR"/>
              </w:rPr>
            </w:pPr>
            <w:r w:rsidRPr="00E87B78">
              <w:rPr>
                <w:sz w:val="18"/>
                <w:szCs w:val="18"/>
              </w:rPr>
              <w:t>25.618.683</w:t>
            </w:r>
          </w:p>
        </w:tc>
      </w:tr>
      <w:tr w:rsidR="003F7DEA" w:rsidRPr="003F7DEA" w14:paraId="632B4EE6" w14:textId="77777777" w:rsidTr="003F7DEA">
        <w:trPr>
          <w:trHeight w:val="170"/>
        </w:trPr>
        <w:tc>
          <w:tcPr>
            <w:tcW w:w="123" w:type="pct"/>
            <w:tcBorders>
              <w:top w:val="single" w:sz="4" w:space="0" w:color="auto"/>
              <w:left w:val="nil"/>
              <w:bottom w:val="single" w:sz="12" w:space="0" w:color="auto"/>
              <w:right w:val="nil"/>
            </w:tcBorders>
            <w:noWrap/>
            <w:vAlign w:val="bottom"/>
            <w:hideMark/>
          </w:tcPr>
          <w:p w14:paraId="1B1BEDC9" w14:textId="77777777" w:rsidR="003F7DEA" w:rsidRPr="003F7DEA" w:rsidRDefault="003F7DEA" w:rsidP="003F7DEA">
            <w:pPr>
              <w:rPr>
                <w:b/>
                <w:bCs/>
                <w:color w:val="000000"/>
                <w:sz w:val="18"/>
                <w:szCs w:val="18"/>
                <w:lang w:eastAsia="tr-TR"/>
              </w:rPr>
            </w:pPr>
            <w:r w:rsidRPr="003F7DEA">
              <w:rPr>
                <w:b/>
                <w:bCs/>
                <w:color w:val="000000"/>
                <w:sz w:val="18"/>
                <w:szCs w:val="18"/>
                <w:lang w:eastAsia="tr-TR"/>
              </w:rPr>
              <w:t>4</w:t>
            </w:r>
          </w:p>
        </w:tc>
        <w:tc>
          <w:tcPr>
            <w:tcW w:w="1037" w:type="pct"/>
            <w:tcBorders>
              <w:top w:val="single" w:sz="4" w:space="0" w:color="auto"/>
              <w:left w:val="nil"/>
              <w:bottom w:val="single" w:sz="12" w:space="0" w:color="auto"/>
              <w:right w:val="nil"/>
            </w:tcBorders>
            <w:noWrap/>
            <w:vAlign w:val="bottom"/>
            <w:hideMark/>
          </w:tcPr>
          <w:p w14:paraId="197DEF3F" w14:textId="77777777" w:rsidR="003F7DEA" w:rsidRPr="003F7DEA" w:rsidRDefault="003F7DEA" w:rsidP="003F7DEA">
            <w:pPr>
              <w:rPr>
                <w:b/>
                <w:bCs/>
                <w:color w:val="000000"/>
                <w:sz w:val="18"/>
                <w:szCs w:val="18"/>
                <w:lang w:eastAsia="tr-TR"/>
              </w:rPr>
            </w:pPr>
            <w:r w:rsidRPr="003F7DEA">
              <w:rPr>
                <w:b/>
                <w:bCs/>
                <w:color w:val="000000"/>
                <w:sz w:val="18"/>
                <w:szCs w:val="18"/>
                <w:lang w:eastAsia="tr-TR"/>
              </w:rPr>
              <w:t>Toplam</w:t>
            </w:r>
          </w:p>
        </w:tc>
        <w:tc>
          <w:tcPr>
            <w:tcW w:w="1195" w:type="pct"/>
            <w:tcBorders>
              <w:top w:val="single" w:sz="4" w:space="0" w:color="auto"/>
              <w:left w:val="nil"/>
              <w:bottom w:val="single" w:sz="12" w:space="0" w:color="auto"/>
              <w:right w:val="nil"/>
            </w:tcBorders>
            <w:hideMark/>
          </w:tcPr>
          <w:p w14:paraId="0F4FF258" w14:textId="2349B599" w:rsidR="003F7DEA" w:rsidRPr="00E87B78" w:rsidRDefault="003F7DEA" w:rsidP="003F7DEA">
            <w:pPr>
              <w:jc w:val="right"/>
              <w:rPr>
                <w:b/>
                <w:bCs/>
                <w:color w:val="000000"/>
                <w:sz w:val="18"/>
                <w:szCs w:val="18"/>
                <w:lang w:eastAsia="tr-TR"/>
              </w:rPr>
            </w:pPr>
            <w:r w:rsidRPr="00E87B78">
              <w:rPr>
                <w:b/>
                <w:bCs/>
                <w:sz w:val="18"/>
                <w:szCs w:val="18"/>
              </w:rPr>
              <w:t>388.505</w:t>
            </w:r>
          </w:p>
        </w:tc>
        <w:tc>
          <w:tcPr>
            <w:tcW w:w="887" w:type="pct"/>
            <w:tcBorders>
              <w:top w:val="single" w:sz="4" w:space="0" w:color="auto"/>
              <w:left w:val="nil"/>
              <w:bottom w:val="single" w:sz="12" w:space="0" w:color="auto"/>
              <w:right w:val="nil"/>
            </w:tcBorders>
            <w:hideMark/>
          </w:tcPr>
          <w:p w14:paraId="0910E520" w14:textId="6DE4CE69" w:rsidR="003F7DEA" w:rsidRPr="00E87B78" w:rsidRDefault="003F7DEA" w:rsidP="003F7DEA">
            <w:pPr>
              <w:jc w:val="right"/>
              <w:rPr>
                <w:b/>
                <w:bCs/>
                <w:color w:val="000000"/>
                <w:sz w:val="18"/>
                <w:szCs w:val="18"/>
                <w:lang w:eastAsia="tr-TR"/>
              </w:rPr>
            </w:pPr>
            <w:r w:rsidRPr="00E87B78">
              <w:rPr>
                <w:b/>
                <w:bCs/>
                <w:sz w:val="18"/>
                <w:szCs w:val="18"/>
              </w:rPr>
              <w:t>86.073.041</w:t>
            </w:r>
          </w:p>
        </w:tc>
        <w:tc>
          <w:tcPr>
            <w:tcW w:w="938" w:type="pct"/>
            <w:tcBorders>
              <w:top w:val="single" w:sz="4" w:space="0" w:color="auto"/>
              <w:left w:val="nil"/>
              <w:bottom w:val="single" w:sz="12" w:space="0" w:color="auto"/>
              <w:right w:val="nil"/>
            </w:tcBorders>
            <w:hideMark/>
          </w:tcPr>
          <w:p w14:paraId="6832B738" w14:textId="1A3D6AFC" w:rsidR="003F7DEA" w:rsidRPr="00E87B78" w:rsidRDefault="003F7DEA" w:rsidP="003F7DEA">
            <w:pPr>
              <w:jc w:val="right"/>
              <w:rPr>
                <w:b/>
                <w:bCs/>
                <w:color w:val="000000"/>
                <w:sz w:val="18"/>
                <w:szCs w:val="18"/>
                <w:lang w:eastAsia="tr-TR"/>
              </w:rPr>
            </w:pPr>
            <w:r w:rsidRPr="00E87B78">
              <w:rPr>
                <w:b/>
                <w:bCs/>
                <w:sz w:val="18"/>
                <w:szCs w:val="18"/>
              </w:rPr>
              <w:t>602.211</w:t>
            </w:r>
          </w:p>
        </w:tc>
        <w:tc>
          <w:tcPr>
            <w:tcW w:w="820" w:type="pct"/>
            <w:tcBorders>
              <w:top w:val="single" w:sz="4" w:space="0" w:color="auto"/>
              <w:left w:val="nil"/>
              <w:bottom w:val="single" w:sz="12" w:space="0" w:color="auto"/>
              <w:right w:val="nil"/>
            </w:tcBorders>
            <w:hideMark/>
          </w:tcPr>
          <w:p w14:paraId="7CABBAD4" w14:textId="040B0FE3" w:rsidR="003F7DEA" w:rsidRPr="00E87B78" w:rsidRDefault="003F7DEA" w:rsidP="003F7DEA">
            <w:pPr>
              <w:jc w:val="right"/>
              <w:rPr>
                <w:b/>
                <w:bCs/>
                <w:color w:val="000000"/>
                <w:sz w:val="18"/>
                <w:szCs w:val="18"/>
                <w:lang w:eastAsia="tr-TR"/>
              </w:rPr>
            </w:pPr>
            <w:r w:rsidRPr="00E87B78">
              <w:rPr>
                <w:b/>
                <w:bCs/>
                <w:sz w:val="18"/>
                <w:szCs w:val="18"/>
              </w:rPr>
              <w:t>85.859.335</w:t>
            </w:r>
          </w:p>
        </w:tc>
      </w:tr>
    </w:tbl>
    <w:p w14:paraId="39FC09B0" w14:textId="2B6D62A6" w:rsidR="00EE0925" w:rsidRPr="00471CBA" w:rsidRDefault="00EE0925" w:rsidP="00EE0925">
      <w:pPr>
        <w:rPr>
          <w:b/>
          <w:sz w:val="16"/>
          <w:szCs w:val="18"/>
        </w:rPr>
      </w:pPr>
    </w:p>
    <w:p w14:paraId="385A0755" w14:textId="42F0D021" w:rsidR="00A74C68" w:rsidRPr="00471CBA" w:rsidRDefault="00A74C68" w:rsidP="00EE0925"/>
    <w:tbl>
      <w:tblPr>
        <w:tblW w:w="5000" w:type="pct"/>
        <w:tblCellMar>
          <w:left w:w="70" w:type="dxa"/>
          <w:right w:w="70" w:type="dxa"/>
        </w:tblCellMar>
        <w:tblLook w:val="04A0" w:firstRow="1" w:lastRow="0" w:firstColumn="1" w:lastColumn="0" w:noHBand="0" w:noVBand="1"/>
      </w:tblPr>
      <w:tblGrid>
        <w:gridCol w:w="237"/>
        <w:gridCol w:w="1999"/>
        <w:gridCol w:w="2304"/>
        <w:gridCol w:w="1710"/>
        <w:gridCol w:w="1808"/>
        <w:gridCol w:w="1581"/>
      </w:tblGrid>
      <w:tr w:rsidR="00A74C68" w:rsidRPr="00471CBA" w14:paraId="4B963A3F" w14:textId="77777777" w:rsidTr="00A74C68">
        <w:trPr>
          <w:divId w:val="1294484277"/>
          <w:trHeight w:val="170"/>
        </w:trPr>
        <w:tc>
          <w:tcPr>
            <w:tcW w:w="1160" w:type="pct"/>
            <w:gridSpan w:val="2"/>
            <w:vMerge w:val="restart"/>
            <w:tcBorders>
              <w:top w:val="single" w:sz="4" w:space="0" w:color="auto"/>
              <w:left w:val="nil"/>
              <w:bottom w:val="single" w:sz="4" w:space="0" w:color="000000"/>
              <w:right w:val="nil"/>
            </w:tcBorders>
            <w:noWrap/>
            <w:vAlign w:val="center"/>
            <w:hideMark/>
          </w:tcPr>
          <w:p w14:paraId="6A87D91D" w14:textId="12F411C2" w:rsidR="00A74C68" w:rsidRPr="00471CBA" w:rsidRDefault="00A74C68" w:rsidP="00A74C68">
            <w:pPr>
              <w:jc w:val="center"/>
              <w:rPr>
                <w:b/>
                <w:bCs/>
                <w:color w:val="000000"/>
                <w:sz w:val="18"/>
                <w:szCs w:val="18"/>
                <w:lang w:eastAsia="tr-TR"/>
              </w:rPr>
            </w:pPr>
            <w:r w:rsidRPr="00471CBA">
              <w:rPr>
                <w:b/>
                <w:bCs/>
                <w:color w:val="000000"/>
                <w:sz w:val="18"/>
                <w:szCs w:val="18"/>
                <w:lang w:eastAsia="tr-TR"/>
              </w:rPr>
              <w:t>31 Aralık 2024</w:t>
            </w:r>
          </w:p>
        </w:tc>
        <w:tc>
          <w:tcPr>
            <w:tcW w:w="2082" w:type="pct"/>
            <w:gridSpan w:val="2"/>
            <w:tcBorders>
              <w:top w:val="single" w:sz="4" w:space="0" w:color="auto"/>
              <w:left w:val="nil"/>
              <w:bottom w:val="single" w:sz="4" w:space="0" w:color="auto"/>
              <w:right w:val="nil"/>
            </w:tcBorders>
            <w:vAlign w:val="center"/>
            <w:hideMark/>
          </w:tcPr>
          <w:p w14:paraId="78A128A4" w14:textId="77777777" w:rsidR="00A74C68" w:rsidRPr="00471CBA" w:rsidRDefault="00A74C68" w:rsidP="00A74C68">
            <w:pPr>
              <w:jc w:val="center"/>
              <w:rPr>
                <w:b/>
                <w:bCs/>
                <w:color w:val="000000"/>
                <w:sz w:val="18"/>
                <w:szCs w:val="18"/>
                <w:lang w:eastAsia="tr-TR"/>
              </w:rPr>
            </w:pPr>
            <w:r w:rsidRPr="00471CBA">
              <w:rPr>
                <w:b/>
                <w:bCs/>
                <w:color w:val="000000"/>
                <w:sz w:val="18"/>
                <w:szCs w:val="18"/>
                <w:lang w:eastAsia="tr-TR"/>
              </w:rPr>
              <w:t>Yasal konsolidasyona göre hazırlanan finansal tablolarda yer alan TMS uyarınca değerlenmiş brüt tutarı</w:t>
            </w:r>
          </w:p>
        </w:tc>
        <w:tc>
          <w:tcPr>
            <w:tcW w:w="938" w:type="pct"/>
            <w:vMerge w:val="restart"/>
            <w:tcBorders>
              <w:top w:val="single" w:sz="4" w:space="0" w:color="auto"/>
              <w:left w:val="nil"/>
              <w:bottom w:val="single" w:sz="4" w:space="0" w:color="000000"/>
              <w:right w:val="nil"/>
            </w:tcBorders>
            <w:vAlign w:val="center"/>
            <w:hideMark/>
          </w:tcPr>
          <w:p w14:paraId="59A10620" w14:textId="77777777" w:rsidR="00A74C68" w:rsidRPr="00471CBA" w:rsidRDefault="00A74C68" w:rsidP="00A74C68">
            <w:pPr>
              <w:jc w:val="right"/>
              <w:rPr>
                <w:b/>
                <w:bCs/>
                <w:color w:val="000000"/>
                <w:sz w:val="18"/>
                <w:szCs w:val="18"/>
                <w:lang w:eastAsia="tr-TR"/>
              </w:rPr>
            </w:pPr>
            <w:r w:rsidRPr="00471CBA">
              <w:rPr>
                <w:b/>
                <w:bCs/>
                <w:color w:val="000000"/>
                <w:sz w:val="18"/>
                <w:szCs w:val="18"/>
                <w:lang w:eastAsia="tr-TR"/>
              </w:rPr>
              <w:t>Karşılıklar/ Amortisman ve değer düşüklüğü</w:t>
            </w:r>
          </w:p>
        </w:tc>
        <w:tc>
          <w:tcPr>
            <w:tcW w:w="820" w:type="pct"/>
            <w:vMerge w:val="restart"/>
            <w:tcBorders>
              <w:top w:val="single" w:sz="4" w:space="0" w:color="auto"/>
              <w:left w:val="nil"/>
              <w:bottom w:val="single" w:sz="4" w:space="0" w:color="000000"/>
              <w:right w:val="nil"/>
            </w:tcBorders>
            <w:vAlign w:val="center"/>
            <w:hideMark/>
          </w:tcPr>
          <w:p w14:paraId="1174DEDB" w14:textId="77777777" w:rsidR="00A74C68" w:rsidRPr="00471CBA" w:rsidRDefault="00A74C68" w:rsidP="00A74C68">
            <w:pPr>
              <w:jc w:val="right"/>
              <w:rPr>
                <w:b/>
                <w:bCs/>
                <w:color w:val="000000"/>
                <w:sz w:val="18"/>
                <w:szCs w:val="18"/>
                <w:lang w:eastAsia="tr-TR"/>
              </w:rPr>
            </w:pPr>
            <w:r w:rsidRPr="00471CBA">
              <w:rPr>
                <w:b/>
                <w:bCs/>
                <w:color w:val="000000"/>
                <w:sz w:val="18"/>
                <w:szCs w:val="18"/>
                <w:lang w:eastAsia="tr-TR"/>
              </w:rPr>
              <w:t>Net değer</w:t>
            </w:r>
          </w:p>
        </w:tc>
      </w:tr>
      <w:tr w:rsidR="00A74C68" w:rsidRPr="00471CBA" w14:paraId="3195EB7B" w14:textId="77777777" w:rsidTr="00A74C68">
        <w:trPr>
          <w:divId w:val="1294484277"/>
          <w:trHeight w:val="170"/>
        </w:trPr>
        <w:tc>
          <w:tcPr>
            <w:tcW w:w="1160" w:type="pct"/>
            <w:gridSpan w:val="2"/>
            <w:vMerge/>
            <w:tcBorders>
              <w:top w:val="single" w:sz="4" w:space="0" w:color="auto"/>
              <w:left w:val="nil"/>
              <w:bottom w:val="single" w:sz="4" w:space="0" w:color="000000"/>
              <w:right w:val="nil"/>
            </w:tcBorders>
            <w:vAlign w:val="center"/>
            <w:hideMark/>
          </w:tcPr>
          <w:p w14:paraId="5D454FB0" w14:textId="77777777" w:rsidR="00A74C68" w:rsidRPr="00471CBA" w:rsidRDefault="00A74C68" w:rsidP="00A74C68">
            <w:pPr>
              <w:rPr>
                <w:color w:val="000000"/>
                <w:sz w:val="18"/>
                <w:szCs w:val="18"/>
                <w:lang w:eastAsia="tr-TR"/>
              </w:rPr>
            </w:pPr>
          </w:p>
        </w:tc>
        <w:tc>
          <w:tcPr>
            <w:tcW w:w="1195" w:type="pct"/>
            <w:tcBorders>
              <w:top w:val="nil"/>
              <w:left w:val="nil"/>
              <w:bottom w:val="single" w:sz="4" w:space="0" w:color="auto"/>
              <w:right w:val="nil"/>
            </w:tcBorders>
            <w:noWrap/>
            <w:vAlign w:val="center"/>
            <w:hideMark/>
          </w:tcPr>
          <w:p w14:paraId="470EF3BF" w14:textId="77777777" w:rsidR="00A74C68" w:rsidRPr="00471CBA" w:rsidRDefault="00A74C68" w:rsidP="00A74C68">
            <w:pPr>
              <w:jc w:val="center"/>
              <w:rPr>
                <w:b/>
                <w:bCs/>
                <w:color w:val="000000"/>
                <w:sz w:val="18"/>
                <w:szCs w:val="18"/>
                <w:lang w:eastAsia="tr-TR"/>
              </w:rPr>
            </w:pPr>
            <w:r w:rsidRPr="00471CBA">
              <w:rPr>
                <w:b/>
                <w:bCs/>
                <w:color w:val="000000"/>
                <w:sz w:val="18"/>
                <w:szCs w:val="18"/>
                <w:lang w:eastAsia="tr-TR"/>
              </w:rPr>
              <w:t>Temerrüt etmiş</w:t>
            </w:r>
          </w:p>
        </w:tc>
        <w:tc>
          <w:tcPr>
            <w:tcW w:w="887" w:type="pct"/>
            <w:tcBorders>
              <w:top w:val="nil"/>
              <w:left w:val="nil"/>
              <w:bottom w:val="single" w:sz="4" w:space="0" w:color="auto"/>
              <w:right w:val="nil"/>
            </w:tcBorders>
            <w:noWrap/>
            <w:vAlign w:val="center"/>
            <w:hideMark/>
          </w:tcPr>
          <w:p w14:paraId="23A9B3F1" w14:textId="77777777" w:rsidR="00A74C68" w:rsidRPr="00471CBA" w:rsidRDefault="00A74C68" w:rsidP="00A74C68">
            <w:pPr>
              <w:jc w:val="center"/>
              <w:rPr>
                <w:b/>
                <w:bCs/>
                <w:color w:val="000000"/>
                <w:sz w:val="18"/>
                <w:szCs w:val="18"/>
                <w:lang w:eastAsia="tr-TR"/>
              </w:rPr>
            </w:pPr>
            <w:r w:rsidRPr="00471CBA">
              <w:rPr>
                <w:b/>
                <w:bCs/>
                <w:color w:val="000000"/>
                <w:sz w:val="18"/>
                <w:szCs w:val="18"/>
                <w:lang w:eastAsia="tr-TR"/>
              </w:rPr>
              <w:t>Temerrüt etmemiş</w:t>
            </w:r>
          </w:p>
        </w:tc>
        <w:tc>
          <w:tcPr>
            <w:tcW w:w="938" w:type="pct"/>
            <w:vMerge/>
            <w:tcBorders>
              <w:top w:val="single" w:sz="4" w:space="0" w:color="auto"/>
              <w:left w:val="nil"/>
              <w:bottom w:val="single" w:sz="4" w:space="0" w:color="000000"/>
              <w:right w:val="nil"/>
            </w:tcBorders>
            <w:vAlign w:val="center"/>
            <w:hideMark/>
          </w:tcPr>
          <w:p w14:paraId="4068D7F4" w14:textId="77777777" w:rsidR="00A74C68" w:rsidRPr="00471CBA" w:rsidRDefault="00A74C68" w:rsidP="00A74C68">
            <w:pPr>
              <w:rPr>
                <w:color w:val="000000"/>
                <w:sz w:val="18"/>
                <w:szCs w:val="18"/>
                <w:lang w:eastAsia="tr-TR"/>
              </w:rPr>
            </w:pPr>
          </w:p>
        </w:tc>
        <w:tc>
          <w:tcPr>
            <w:tcW w:w="820" w:type="pct"/>
            <w:vMerge/>
            <w:tcBorders>
              <w:top w:val="single" w:sz="4" w:space="0" w:color="auto"/>
              <w:left w:val="nil"/>
              <w:bottom w:val="single" w:sz="4" w:space="0" w:color="000000"/>
              <w:right w:val="nil"/>
            </w:tcBorders>
            <w:vAlign w:val="center"/>
            <w:hideMark/>
          </w:tcPr>
          <w:p w14:paraId="11317659" w14:textId="77777777" w:rsidR="00A74C68" w:rsidRPr="00471CBA" w:rsidRDefault="00A74C68" w:rsidP="00A74C68">
            <w:pPr>
              <w:rPr>
                <w:color w:val="000000"/>
                <w:sz w:val="18"/>
                <w:szCs w:val="18"/>
                <w:lang w:eastAsia="tr-TR"/>
              </w:rPr>
            </w:pPr>
          </w:p>
        </w:tc>
      </w:tr>
      <w:tr w:rsidR="00A74C68" w:rsidRPr="00471CBA" w14:paraId="1A480B7E" w14:textId="77777777" w:rsidTr="00A74C68">
        <w:trPr>
          <w:divId w:val="1294484277"/>
          <w:trHeight w:val="170"/>
        </w:trPr>
        <w:tc>
          <w:tcPr>
            <w:tcW w:w="123" w:type="pct"/>
            <w:tcBorders>
              <w:top w:val="nil"/>
              <w:left w:val="nil"/>
              <w:bottom w:val="nil"/>
              <w:right w:val="nil"/>
            </w:tcBorders>
            <w:noWrap/>
            <w:vAlign w:val="bottom"/>
            <w:hideMark/>
          </w:tcPr>
          <w:p w14:paraId="5F779B88" w14:textId="77777777" w:rsidR="00A74C68" w:rsidRPr="00471CBA" w:rsidRDefault="00A74C68" w:rsidP="00A74C68">
            <w:pPr>
              <w:rPr>
                <w:color w:val="000000"/>
                <w:sz w:val="18"/>
                <w:szCs w:val="18"/>
                <w:lang w:eastAsia="tr-TR"/>
              </w:rPr>
            </w:pPr>
            <w:r w:rsidRPr="00471CBA">
              <w:rPr>
                <w:color w:val="000000"/>
                <w:sz w:val="18"/>
                <w:szCs w:val="18"/>
                <w:lang w:eastAsia="tr-TR"/>
              </w:rPr>
              <w:t>1</w:t>
            </w:r>
          </w:p>
        </w:tc>
        <w:tc>
          <w:tcPr>
            <w:tcW w:w="1037" w:type="pct"/>
            <w:tcBorders>
              <w:top w:val="nil"/>
              <w:left w:val="nil"/>
              <w:bottom w:val="nil"/>
              <w:right w:val="nil"/>
            </w:tcBorders>
            <w:noWrap/>
            <w:vAlign w:val="bottom"/>
            <w:hideMark/>
          </w:tcPr>
          <w:p w14:paraId="0A96A60C" w14:textId="77777777" w:rsidR="00A74C68" w:rsidRPr="00471CBA" w:rsidRDefault="00A74C68" w:rsidP="00A74C68">
            <w:pPr>
              <w:rPr>
                <w:color w:val="000000"/>
                <w:sz w:val="18"/>
                <w:szCs w:val="18"/>
                <w:lang w:eastAsia="tr-TR"/>
              </w:rPr>
            </w:pPr>
            <w:r w:rsidRPr="00471CBA">
              <w:rPr>
                <w:color w:val="000000"/>
                <w:sz w:val="18"/>
                <w:szCs w:val="18"/>
                <w:lang w:eastAsia="tr-TR"/>
              </w:rPr>
              <w:t>Krediler</w:t>
            </w:r>
          </w:p>
        </w:tc>
        <w:tc>
          <w:tcPr>
            <w:tcW w:w="1195" w:type="pct"/>
            <w:tcBorders>
              <w:top w:val="nil"/>
              <w:left w:val="nil"/>
              <w:bottom w:val="nil"/>
              <w:right w:val="nil"/>
            </w:tcBorders>
            <w:vAlign w:val="center"/>
            <w:hideMark/>
          </w:tcPr>
          <w:p w14:paraId="506CD494" w14:textId="77777777" w:rsidR="00A74C68" w:rsidRPr="00471CBA" w:rsidRDefault="00A74C68" w:rsidP="00A74C68">
            <w:pPr>
              <w:jc w:val="right"/>
              <w:rPr>
                <w:rFonts w:ascii="Arial" w:hAnsi="Arial" w:cs="Arial"/>
                <w:color w:val="000000"/>
                <w:sz w:val="18"/>
                <w:szCs w:val="18"/>
                <w:lang w:eastAsia="tr-TR"/>
              </w:rPr>
            </w:pPr>
            <w:r w:rsidRPr="00471CBA">
              <w:rPr>
                <w:color w:val="000000"/>
                <w:sz w:val="18"/>
                <w:szCs w:val="18"/>
                <w:lang w:eastAsia="tr-TR"/>
              </w:rPr>
              <w:t>-</w:t>
            </w:r>
          </w:p>
        </w:tc>
        <w:tc>
          <w:tcPr>
            <w:tcW w:w="887" w:type="pct"/>
            <w:tcBorders>
              <w:top w:val="nil"/>
              <w:left w:val="nil"/>
              <w:bottom w:val="nil"/>
              <w:right w:val="nil"/>
            </w:tcBorders>
            <w:vAlign w:val="center"/>
            <w:hideMark/>
          </w:tcPr>
          <w:p w14:paraId="7A2410C5" w14:textId="77777777" w:rsidR="00A74C68" w:rsidRPr="00471CBA" w:rsidRDefault="00A74C68" w:rsidP="00A74C68">
            <w:pPr>
              <w:jc w:val="right"/>
              <w:rPr>
                <w:rFonts w:ascii="Arial" w:hAnsi="Arial" w:cs="Arial"/>
                <w:color w:val="000000"/>
                <w:sz w:val="18"/>
                <w:szCs w:val="18"/>
                <w:lang w:eastAsia="tr-TR"/>
              </w:rPr>
            </w:pPr>
            <w:r w:rsidRPr="00471CBA">
              <w:rPr>
                <w:color w:val="000000"/>
                <w:sz w:val="18"/>
                <w:szCs w:val="18"/>
                <w:lang w:eastAsia="tr-TR"/>
              </w:rPr>
              <w:t>23.035.345</w:t>
            </w:r>
          </w:p>
        </w:tc>
        <w:tc>
          <w:tcPr>
            <w:tcW w:w="938" w:type="pct"/>
            <w:tcBorders>
              <w:top w:val="nil"/>
              <w:left w:val="nil"/>
              <w:bottom w:val="nil"/>
              <w:right w:val="nil"/>
            </w:tcBorders>
            <w:vAlign w:val="center"/>
            <w:hideMark/>
          </w:tcPr>
          <w:p w14:paraId="54A4620E" w14:textId="77777777" w:rsidR="00A74C68" w:rsidRPr="00471CBA" w:rsidRDefault="00A74C68" w:rsidP="00A74C68">
            <w:pPr>
              <w:jc w:val="right"/>
              <w:rPr>
                <w:rFonts w:ascii="Arial" w:hAnsi="Arial" w:cs="Arial"/>
                <w:color w:val="000000"/>
                <w:sz w:val="18"/>
                <w:szCs w:val="18"/>
                <w:lang w:eastAsia="tr-TR"/>
              </w:rPr>
            </w:pPr>
            <w:r w:rsidRPr="00471CBA">
              <w:rPr>
                <w:color w:val="000000"/>
                <w:sz w:val="18"/>
                <w:szCs w:val="18"/>
                <w:lang w:eastAsia="tr-TR"/>
              </w:rPr>
              <w:t>1.523</w:t>
            </w:r>
          </w:p>
        </w:tc>
        <w:tc>
          <w:tcPr>
            <w:tcW w:w="820" w:type="pct"/>
            <w:tcBorders>
              <w:top w:val="nil"/>
              <w:left w:val="nil"/>
              <w:bottom w:val="nil"/>
              <w:right w:val="nil"/>
            </w:tcBorders>
            <w:vAlign w:val="center"/>
            <w:hideMark/>
          </w:tcPr>
          <w:p w14:paraId="4152A31B" w14:textId="77777777" w:rsidR="00A74C68" w:rsidRPr="00471CBA" w:rsidRDefault="00A74C68" w:rsidP="00A74C68">
            <w:pPr>
              <w:jc w:val="right"/>
              <w:rPr>
                <w:rFonts w:ascii="Arial" w:hAnsi="Arial" w:cs="Arial"/>
                <w:color w:val="000000"/>
                <w:sz w:val="18"/>
                <w:szCs w:val="18"/>
                <w:lang w:eastAsia="tr-TR"/>
              </w:rPr>
            </w:pPr>
            <w:r w:rsidRPr="00471CBA">
              <w:rPr>
                <w:color w:val="000000"/>
                <w:sz w:val="18"/>
                <w:szCs w:val="18"/>
                <w:lang w:eastAsia="tr-TR"/>
              </w:rPr>
              <w:t>23.033.822</w:t>
            </w:r>
          </w:p>
        </w:tc>
      </w:tr>
      <w:tr w:rsidR="00A74C68" w:rsidRPr="00471CBA" w14:paraId="06AC11A3" w14:textId="77777777" w:rsidTr="00A74C68">
        <w:trPr>
          <w:divId w:val="1294484277"/>
          <w:trHeight w:val="170"/>
        </w:trPr>
        <w:tc>
          <w:tcPr>
            <w:tcW w:w="123" w:type="pct"/>
            <w:tcBorders>
              <w:top w:val="nil"/>
              <w:left w:val="nil"/>
              <w:bottom w:val="nil"/>
              <w:right w:val="nil"/>
            </w:tcBorders>
            <w:noWrap/>
            <w:vAlign w:val="bottom"/>
            <w:hideMark/>
          </w:tcPr>
          <w:p w14:paraId="58ED9B97" w14:textId="77777777" w:rsidR="00A74C68" w:rsidRPr="00471CBA" w:rsidRDefault="00A74C68" w:rsidP="00A74C68">
            <w:pPr>
              <w:rPr>
                <w:color w:val="000000"/>
                <w:sz w:val="18"/>
                <w:szCs w:val="18"/>
                <w:lang w:eastAsia="tr-TR"/>
              </w:rPr>
            </w:pPr>
            <w:r w:rsidRPr="00471CBA">
              <w:rPr>
                <w:color w:val="000000"/>
                <w:sz w:val="18"/>
                <w:szCs w:val="18"/>
                <w:lang w:eastAsia="tr-TR"/>
              </w:rPr>
              <w:t>2</w:t>
            </w:r>
          </w:p>
        </w:tc>
        <w:tc>
          <w:tcPr>
            <w:tcW w:w="1037" w:type="pct"/>
            <w:tcBorders>
              <w:top w:val="nil"/>
              <w:left w:val="nil"/>
              <w:bottom w:val="nil"/>
              <w:right w:val="nil"/>
            </w:tcBorders>
            <w:noWrap/>
            <w:vAlign w:val="bottom"/>
            <w:hideMark/>
          </w:tcPr>
          <w:p w14:paraId="2E76E040" w14:textId="77777777" w:rsidR="00A74C68" w:rsidRPr="00471CBA" w:rsidRDefault="00A74C68" w:rsidP="00A74C68">
            <w:pPr>
              <w:rPr>
                <w:color w:val="000000"/>
                <w:sz w:val="18"/>
                <w:szCs w:val="18"/>
                <w:lang w:eastAsia="tr-TR"/>
              </w:rPr>
            </w:pPr>
            <w:r w:rsidRPr="00471CBA">
              <w:rPr>
                <w:color w:val="000000"/>
                <w:sz w:val="18"/>
                <w:szCs w:val="18"/>
                <w:lang w:eastAsia="tr-TR"/>
              </w:rPr>
              <w:t>Borçlanma araçları</w:t>
            </w:r>
          </w:p>
        </w:tc>
        <w:tc>
          <w:tcPr>
            <w:tcW w:w="1195" w:type="pct"/>
            <w:tcBorders>
              <w:top w:val="nil"/>
              <w:left w:val="nil"/>
              <w:bottom w:val="nil"/>
              <w:right w:val="nil"/>
            </w:tcBorders>
            <w:vAlign w:val="center"/>
            <w:hideMark/>
          </w:tcPr>
          <w:p w14:paraId="2185BC69" w14:textId="77777777" w:rsidR="00A74C68" w:rsidRPr="00471CBA" w:rsidRDefault="00A74C68" w:rsidP="00A74C68">
            <w:pPr>
              <w:jc w:val="right"/>
              <w:rPr>
                <w:rFonts w:ascii="Arial" w:hAnsi="Arial" w:cs="Arial"/>
                <w:color w:val="000000"/>
                <w:sz w:val="18"/>
                <w:szCs w:val="18"/>
                <w:lang w:eastAsia="tr-TR"/>
              </w:rPr>
            </w:pPr>
            <w:r w:rsidRPr="00471CBA">
              <w:rPr>
                <w:color w:val="000000"/>
                <w:sz w:val="18"/>
                <w:szCs w:val="18"/>
                <w:lang w:eastAsia="tr-TR"/>
              </w:rPr>
              <w:t>-</w:t>
            </w:r>
          </w:p>
        </w:tc>
        <w:tc>
          <w:tcPr>
            <w:tcW w:w="887" w:type="pct"/>
            <w:tcBorders>
              <w:top w:val="nil"/>
              <w:left w:val="nil"/>
              <w:bottom w:val="nil"/>
              <w:right w:val="nil"/>
            </w:tcBorders>
            <w:vAlign w:val="center"/>
            <w:hideMark/>
          </w:tcPr>
          <w:p w14:paraId="2299D4B9" w14:textId="77777777" w:rsidR="00A74C68" w:rsidRPr="00471CBA" w:rsidRDefault="00A74C68" w:rsidP="00A74C68">
            <w:pPr>
              <w:jc w:val="right"/>
              <w:rPr>
                <w:rFonts w:ascii="Arial" w:hAnsi="Arial" w:cs="Arial"/>
                <w:color w:val="000000"/>
                <w:sz w:val="18"/>
                <w:szCs w:val="18"/>
                <w:lang w:eastAsia="tr-TR"/>
              </w:rPr>
            </w:pPr>
            <w:r w:rsidRPr="00471CBA">
              <w:rPr>
                <w:color w:val="000000"/>
                <w:sz w:val="18"/>
                <w:szCs w:val="18"/>
                <w:lang w:eastAsia="tr-TR"/>
              </w:rPr>
              <w:t>1.488.089</w:t>
            </w:r>
          </w:p>
        </w:tc>
        <w:tc>
          <w:tcPr>
            <w:tcW w:w="938" w:type="pct"/>
            <w:tcBorders>
              <w:top w:val="nil"/>
              <w:left w:val="nil"/>
              <w:bottom w:val="nil"/>
              <w:right w:val="nil"/>
            </w:tcBorders>
            <w:vAlign w:val="center"/>
            <w:hideMark/>
          </w:tcPr>
          <w:p w14:paraId="0282891D" w14:textId="77777777" w:rsidR="00A74C68" w:rsidRPr="00471CBA" w:rsidRDefault="00A74C68" w:rsidP="00A74C68">
            <w:pPr>
              <w:jc w:val="right"/>
              <w:rPr>
                <w:rFonts w:ascii="Arial" w:hAnsi="Arial" w:cs="Arial"/>
                <w:color w:val="000000"/>
                <w:sz w:val="18"/>
                <w:szCs w:val="18"/>
                <w:lang w:eastAsia="tr-TR"/>
              </w:rPr>
            </w:pPr>
            <w:r w:rsidRPr="00471CBA">
              <w:rPr>
                <w:color w:val="000000"/>
                <w:sz w:val="18"/>
                <w:szCs w:val="18"/>
                <w:lang w:eastAsia="tr-TR"/>
              </w:rPr>
              <w:t>-</w:t>
            </w:r>
          </w:p>
        </w:tc>
        <w:tc>
          <w:tcPr>
            <w:tcW w:w="820" w:type="pct"/>
            <w:tcBorders>
              <w:top w:val="nil"/>
              <w:left w:val="nil"/>
              <w:bottom w:val="nil"/>
              <w:right w:val="nil"/>
            </w:tcBorders>
            <w:vAlign w:val="center"/>
            <w:hideMark/>
          </w:tcPr>
          <w:p w14:paraId="64D2D115" w14:textId="77777777" w:rsidR="00A74C68" w:rsidRPr="00471CBA" w:rsidRDefault="00A74C68" w:rsidP="00A74C68">
            <w:pPr>
              <w:jc w:val="right"/>
              <w:rPr>
                <w:rFonts w:ascii="Arial" w:hAnsi="Arial" w:cs="Arial"/>
                <w:color w:val="000000"/>
                <w:sz w:val="18"/>
                <w:szCs w:val="18"/>
                <w:lang w:eastAsia="tr-TR"/>
              </w:rPr>
            </w:pPr>
            <w:r w:rsidRPr="00471CBA">
              <w:rPr>
                <w:color w:val="000000"/>
                <w:sz w:val="18"/>
                <w:szCs w:val="18"/>
                <w:lang w:eastAsia="tr-TR"/>
              </w:rPr>
              <w:t>1.488.089</w:t>
            </w:r>
          </w:p>
        </w:tc>
      </w:tr>
      <w:tr w:rsidR="00A74C68" w:rsidRPr="00471CBA" w14:paraId="61D7CE9E" w14:textId="77777777" w:rsidTr="00A74C68">
        <w:trPr>
          <w:divId w:val="1294484277"/>
          <w:trHeight w:val="170"/>
        </w:trPr>
        <w:tc>
          <w:tcPr>
            <w:tcW w:w="123" w:type="pct"/>
            <w:tcBorders>
              <w:top w:val="nil"/>
              <w:left w:val="nil"/>
              <w:bottom w:val="single" w:sz="4" w:space="0" w:color="auto"/>
              <w:right w:val="nil"/>
            </w:tcBorders>
            <w:noWrap/>
            <w:vAlign w:val="bottom"/>
            <w:hideMark/>
          </w:tcPr>
          <w:p w14:paraId="122D6020" w14:textId="77777777" w:rsidR="00A74C68" w:rsidRPr="00471CBA" w:rsidRDefault="00A74C68" w:rsidP="00A74C68">
            <w:pPr>
              <w:rPr>
                <w:color w:val="000000"/>
                <w:sz w:val="18"/>
                <w:szCs w:val="18"/>
                <w:lang w:eastAsia="tr-TR"/>
              </w:rPr>
            </w:pPr>
            <w:r w:rsidRPr="00471CBA">
              <w:rPr>
                <w:color w:val="000000"/>
                <w:sz w:val="18"/>
                <w:szCs w:val="18"/>
                <w:lang w:eastAsia="tr-TR"/>
              </w:rPr>
              <w:t>3</w:t>
            </w:r>
          </w:p>
        </w:tc>
        <w:tc>
          <w:tcPr>
            <w:tcW w:w="1037" w:type="pct"/>
            <w:tcBorders>
              <w:top w:val="nil"/>
              <w:left w:val="nil"/>
              <w:bottom w:val="single" w:sz="4" w:space="0" w:color="auto"/>
              <w:right w:val="nil"/>
            </w:tcBorders>
            <w:noWrap/>
            <w:vAlign w:val="bottom"/>
            <w:hideMark/>
          </w:tcPr>
          <w:p w14:paraId="71CD7128" w14:textId="77777777" w:rsidR="00A74C68" w:rsidRPr="00471CBA" w:rsidRDefault="00A74C68" w:rsidP="00A74C68">
            <w:pPr>
              <w:rPr>
                <w:color w:val="000000"/>
                <w:sz w:val="18"/>
                <w:szCs w:val="18"/>
                <w:lang w:eastAsia="tr-TR"/>
              </w:rPr>
            </w:pPr>
            <w:r w:rsidRPr="00471CBA">
              <w:rPr>
                <w:color w:val="000000"/>
                <w:sz w:val="18"/>
                <w:szCs w:val="18"/>
                <w:lang w:eastAsia="tr-TR"/>
              </w:rPr>
              <w:t>Bilanço dışı alacaklar</w:t>
            </w:r>
          </w:p>
        </w:tc>
        <w:tc>
          <w:tcPr>
            <w:tcW w:w="1195" w:type="pct"/>
            <w:tcBorders>
              <w:top w:val="nil"/>
              <w:left w:val="nil"/>
              <w:bottom w:val="single" w:sz="4" w:space="0" w:color="auto"/>
              <w:right w:val="nil"/>
            </w:tcBorders>
            <w:vAlign w:val="center"/>
            <w:hideMark/>
          </w:tcPr>
          <w:p w14:paraId="717AFAF2" w14:textId="77777777" w:rsidR="00A74C68" w:rsidRPr="00471CBA" w:rsidRDefault="00A74C68" w:rsidP="00A74C68">
            <w:pPr>
              <w:jc w:val="right"/>
              <w:rPr>
                <w:rFonts w:ascii="Arial" w:hAnsi="Arial" w:cs="Arial"/>
                <w:color w:val="000000"/>
                <w:sz w:val="18"/>
                <w:szCs w:val="18"/>
                <w:lang w:eastAsia="tr-TR"/>
              </w:rPr>
            </w:pPr>
            <w:r w:rsidRPr="00471CBA">
              <w:rPr>
                <w:color w:val="000000"/>
                <w:sz w:val="18"/>
                <w:szCs w:val="18"/>
                <w:lang w:eastAsia="tr-TR"/>
              </w:rPr>
              <w:t>-</w:t>
            </w:r>
          </w:p>
        </w:tc>
        <w:tc>
          <w:tcPr>
            <w:tcW w:w="887" w:type="pct"/>
            <w:tcBorders>
              <w:top w:val="nil"/>
              <w:left w:val="nil"/>
              <w:bottom w:val="single" w:sz="4" w:space="0" w:color="auto"/>
              <w:right w:val="nil"/>
            </w:tcBorders>
            <w:vAlign w:val="center"/>
            <w:hideMark/>
          </w:tcPr>
          <w:p w14:paraId="15FA1A04" w14:textId="77777777" w:rsidR="00A74C68" w:rsidRPr="00471CBA" w:rsidRDefault="00A74C68" w:rsidP="00A74C68">
            <w:pPr>
              <w:jc w:val="right"/>
              <w:rPr>
                <w:rFonts w:ascii="Arial" w:hAnsi="Arial" w:cs="Arial"/>
                <w:color w:val="000000"/>
                <w:sz w:val="18"/>
                <w:szCs w:val="18"/>
                <w:lang w:eastAsia="tr-TR"/>
              </w:rPr>
            </w:pPr>
            <w:r w:rsidRPr="00471CBA">
              <w:rPr>
                <w:color w:val="000000"/>
                <w:sz w:val="18"/>
                <w:szCs w:val="18"/>
                <w:lang w:eastAsia="tr-TR"/>
              </w:rPr>
              <w:t>19.310.449</w:t>
            </w:r>
          </w:p>
        </w:tc>
        <w:tc>
          <w:tcPr>
            <w:tcW w:w="938" w:type="pct"/>
            <w:tcBorders>
              <w:top w:val="nil"/>
              <w:left w:val="nil"/>
              <w:bottom w:val="single" w:sz="4" w:space="0" w:color="auto"/>
              <w:right w:val="nil"/>
            </w:tcBorders>
            <w:vAlign w:val="center"/>
            <w:hideMark/>
          </w:tcPr>
          <w:p w14:paraId="36C4C7EC" w14:textId="77777777" w:rsidR="00A74C68" w:rsidRPr="00471CBA" w:rsidRDefault="00A74C68" w:rsidP="00A74C68">
            <w:pPr>
              <w:jc w:val="right"/>
              <w:rPr>
                <w:rFonts w:ascii="Arial" w:hAnsi="Arial" w:cs="Arial"/>
                <w:color w:val="000000"/>
                <w:sz w:val="18"/>
                <w:szCs w:val="18"/>
                <w:lang w:eastAsia="tr-TR"/>
              </w:rPr>
            </w:pPr>
            <w:r w:rsidRPr="00471CBA">
              <w:rPr>
                <w:color w:val="000000"/>
                <w:sz w:val="18"/>
                <w:szCs w:val="18"/>
                <w:lang w:eastAsia="tr-TR"/>
              </w:rPr>
              <w:t>54.674</w:t>
            </w:r>
          </w:p>
        </w:tc>
        <w:tc>
          <w:tcPr>
            <w:tcW w:w="820" w:type="pct"/>
            <w:tcBorders>
              <w:top w:val="nil"/>
              <w:left w:val="nil"/>
              <w:bottom w:val="single" w:sz="4" w:space="0" w:color="auto"/>
              <w:right w:val="nil"/>
            </w:tcBorders>
            <w:vAlign w:val="center"/>
            <w:hideMark/>
          </w:tcPr>
          <w:p w14:paraId="3636729D" w14:textId="77777777" w:rsidR="00A74C68" w:rsidRPr="00471CBA" w:rsidRDefault="00A74C68" w:rsidP="00A74C68">
            <w:pPr>
              <w:jc w:val="right"/>
              <w:rPr>
                <w:rFonts w:ascii="Arial" w:hAnsi="Arial" w:cs="Arial"/>
                <w:color w:val="000000"/>
                <w:sz w:val="18"/>
                <w:szCs w:val="18"/>
                <w:lang w:eastAsia="tr-TR"/>
              </w:rPr>
            </w:pPr>
            <w:r w:rsidRPr="00471CBA">
              <w:rPr>
                <w:color w:val="000000"/>
                <w:sz w:val="18"/>
                <w:szCs w:val="18"/>
                <w:lang w:eastAsia="tr-TR"/>
              </w:rPr>
              <w:t>19.255.775</w:t>
            </w:r>
          </w:p>
        </w:tc>
      </w:tr>
      <w:tr w:rsidR="00A74C68" w:rsidRPr="00471CBA" w14:paraId="714EB7EF" w14:textId="77777777" w:rsidTr="00A74C68">
        <w:trPr>
          <w:divId w:val="1294484277"/>
          <w:trHeight w:val="170"/>
        </w:trPr>
        <w:tc>
          <w:tcPr>
            <w:tcW w:w="123" w:type="pct"/>
            <w:tcBorders>
              <w:top w:val="single" w:sz="4" w:space="0" w:color="auto"/>
              <w:left w:val="nil"/>
              <w:bottom w:val="single" w:sz="12" w:space="0" w:color="auto"/>
              <w:right w:val="nil"/>
            </w:tcBorders>
            <w:noWrap/>
            <w:vAlign w:val="bottom"/>
            <w:hideMark/>
          </w:tcPr>
          <w:p w14:paraId="2F1E7E95" w14:textId="77777777" w:rsidR="00A74C68" w:rsidRPr="00471CBA" w:rsidRDefault="00A74C68" w:rsidP="00A74C68">
            <w:pPr>
              <w:rPr>
                <w:b/>
                <w:bCs/>
                <w:color w:val="000000"/>
                <w:sz w:val="18"/>
                <w:szCs w:val="18"/>
                <w:lang w:eastAsia="tr-TR"/>
              </w:rPr>
            </w:pPr>
            <w:r w:rsidRPr="00471CBA">
              <w:rPr>
                <w:b/>
                <w:bCs/>
                <w:color w:val="000000"/>
                <w:sz w:val="18"/>
                <w:szCs w:val="18"/>
                <w:lang w:eastAsia="tr-TR"/>
              </w:rPr>
              <w:t>4</w:t>
            </w:r>
          </w:p>
        </w:tc>
        <w:tc>
          <w:tcPr>
            <w:tcW w:w="1037" w:type="pct"/>
            <w:tcBorders>
              <w:top w:val="single" w:sz="4" w:space="0" w:color="auto"/>
              <w:left w:val="nil"/>
              <w:bottom w:val="single" w:sz="12" w:space="0" w:color="auto"/>
              <w:right w:val="nil"/>
            </w:tcBorders>
            <w:noWrap/>
            <w:vAlign w:val="bottom"/>
            <w:hideMark/>
          </w:tcPr>
          <w:p w14:paraId="3FEAE548" w14:textId="77777777" w:rsidR="00A74C68" w:rsidRPr="00471CBA" w:rsidRDefault="00A74C68" w:rsidP="00A74C68">
            <w:pPr>
              <w:rPr>
                <w:b/>
                <w:bCs/>
                <w:color w:val="000000"/>
                <w:sz w:val="18"/>
                <w:szCs w:val="18"/>
                <w:lang w:eastAsia="tr-TR"/>
              </w:rPr>
            </w:pPr>
            <w:r w:rsidRPr="00471CBA">
              <w:rPr>
                <w:b/>
                <w:bCs/>
                <w:color w:val="000000"/>
                <w:sz w:val="18"/>
                <w:szCs w:val="18"/>
                <w:lang w:eastAsia="tr-TR"/>
              </w:rPr>
              <w:t>Toplam</w:t>
            </w:r>
          </w:p>
        </w:tc>
        <w:tc>
          <w:tcPr>
            <w:tcW w:w="1195" w:type="pct"/>
            <w:tcBorders>
              <w:top w:val="single" w:sz="4" w:space="0" w:color="auto"/>
              <w:left w:val="nil"/>
              <w:bottom w:val="single" w:sz="12" w:space="0" w:color="auto"/>
              <w:right w:val="nil"/>
            </w:tcBorders>
            <w:vAlign w:val="center"/>
            <w:hideMark/>
          </w:tcPr>
          <w:p w14:paraId="316ADC1D" w14:textId="77777777" w:rsidR="00A74C68" w:rsidRPr="00471CBA" w:rsidRDefault="00A74C68" w:rsidP="00A74C68">
            <w:pPr>
              <w:jc w:val="right"/>
              <w:rPr>
                <w:rFonts w:ascii="Arial" w:hAnsi="Arial" w:cs="Arial"/>
                <w:b/>
                <w:bCs/>
                <w:color w:val="000000"/>
                <w:sz w:val="18"/>
                <w:szCs w:val="18"/>
                <w:lang w:eastAsia="tr-TR"/>
              </w:rPr>
            </w:pPr>
            <w:r w:rsidRPr="00471CBA">
              <w:rPr>
                <w:b/>
                <w:bCs/>
                <w:color w:val="000000"/>
                <w:sz w:val="18"/>
                <w:szCs w:val="18"/>
                <w:lang w:eastAsia="tr-TR"/>
              </w:rPr>
              <w:t>-</w:t>
            </w:r>
          </w:p>
        </w:tc>
        <w:tc>
          <w:tcPr>
            <w:tcW w:w="887" w:type="pct"/>
            <w:tcBorders>
              <w:top w:val="single" w:sz="4" w:space="0" w:color="auto"/>
              <w:left w:val="nil"/>
              <w:bottom w:val="single" w:sz="12" w:space="0" w:color="auto"/>
              <w:right w:val="nil"/>
            </w:tcBorders>
            <w:vAlign w:val="center"/>
            <w:hideMark/>
          </w:tcPr>
          <w:p w14:paraId="6B8B2005" w14:textId="77777777" w:rsidR="00A74C68" w:rsidRPr="00471CBA" w:rsidRDefault="00A74C68" w:rsidP="00A74C68">
            <w:pPr>
              <w:jc w:val="right"/>
              <w:rPr>
                <w:rFonts w:ascii="Arial" w:hAnsi="Arial" w:cs="Arial"/>
                <w:b/>
                <w:bCs/>
                <w:color w:val="000000"/>
                <w:sz w:val="18"/>
                <w:szCs w:val="18"/>
                <w:lang w:eastAsia="tr-TR"/>
              </w:rPr>
            </w:pPr>
            <w:r w:rsidRPr="00471CBA">
              <w:rPr>
                <w:b/>
                <w:bCs/>
                <w:color w:val="000000"/>
                <w:sz w:val="18"/>
                <w:szCs w:val="18"/>
                <w:lang w:eastAsia="tr-TR"/>
              </w:rPr>
              <w:t>43.833.883</w:t>
            </w:r>
          </w:p>
        </w:tc>
        <w:tc>
          <w:tcPr>
            <w:tcW w:w="938" w:type="pct"/>
            <w:tcBorders>
              <w:top w:val="single" w:sz="4" w:space="0" w:color="auto"/>
              <w:left w:val="nil"/>
              <w:bottom w:val="single" w:sz="12" w:space="0" w:color="auto"/>
              <w:right w:val="nil"/>
            </w:tcBorders>
            <w:vAlign w:val="center"/>
            <w:hideMark/>
          </w:tcPr>
          <w:p w14:paraId="535857B3" w14:textId="77777777" w:rsidR="00A74C68" w:rsidRPr="00471CBA" w:rsidRDefault="00A74C68" w:rsidP="00A74C68">
            <w:pPr>
              <w:jc w:val="right"/>
              <w:rPr>
                <w:rFonts w:ascii="Arial" w:hAnsi="Arial" w:cs="Arial"/>
                <w:b/>
                <w:bCs/>
                <w:color w:val="000000"/>
                <w:sz w:val="18"/>
                <w:szCs w:val="18"/>
                <w:lang w:eastAsia="tr-TR"/>
              </w:rPr>
            </w:pPr>
            <w:r w:rsidRPr="00471CBA">
              <w:rPr>
                <w:b/>
                <w:bCs/>
                <w:color w:val="000000"/>
                <w:sz w:val="18"/>
                <w:szCs w:val="18"/>
                <w:lang w:eastAsia="tr-TR"/>
              </w:rPr>
              <w:t>56.197</w:t>
            </w:r>
          </w:p>
        </w:tc>
        <w:tc>
          <w:tcPr>
            <w:tcW w:w="820" w:type="pct"/>
            <w:tcBorders>
              <w:top w:val="single" w:sz="4" w:space="0" w:color="auto"/>
              <w:left w:val="nil"/>
              <w:bottom w:val="single" w:sz="12" w:space="0" w:color="auto"/>
              <w:right w:val="nil"/>
            </w:tcBorders>
            <w:vAlign w:val="center"/>
            <w:hideMark/>
          </w:tcPr>
          <w:p w14:paraId="7F295FD7" w14:textId="77777777" w:rsidR="00A74C68" w:rsidRPr="00471CBA" w:rsidRDefault="00A74C68" w:rsidP="00A74C68">
            <w:pPr>
              <w:jc w:val="right"/>
              <w:rPr>
                <w:rFonts w:ascii="Arial" w:hAnsi="Arial" w:cs="Arial"/>
                <w:b/>
                <w:bCs/>
                <w:color w:val="000000"/>
                <w:sz w:val="18"/>
                <w:szCs w:val="18"/>
                <w:lang w:eastAsia="tr-TR"/>
              </w:rPr>
            </w:pPr>
            <w:r w:rsidRPr="00471CBA">
              <w:rPr>
                <w:b/>
                <w:bCs/>
                <w:color w:val="000000"/>
                <w:sz w:val="18"/>
                <w:szCs w:val="18"/>
                <w:lang w:eastAsia="tr-TR"/>
              </w:rPr>
              <w:t>43.777.686</w:t>
            </w:r>
          </w:p>
        </w:tc>
      </w:tr>
    </w:tbl>
    <w:p w14:paraId="4135E237" w14:textId="6696D185" w:rsidR="00EE0925" w:rsidRPr="00471CBA" w:rsidRDefault="00EE0925" w:rsidP="00EE0925">
      <w:pPr>
        <w:rPr>
          <w:b/>
          <w:sz w:val="16"/>
          <w:szCs w:val="18"/>
        </w:rPr>
      </w:pPr>
    </w:p>
    <w:p w14:paraId="69DBD0BF" w14:textId="5F7064C0" w:rsidR="00EE0925" w:rsidRPr="00471CBA" w:rsidRDefault="00F658F0" w:rsidP="0074472B">
      <w:pPr>
        <w:ind w:left="851" w:hanging="851"/>
        <w:rPr>
          <w:bCs/>
          <w:szCs w:val="20"/>
        </w:rPr>
      </w:pPr>
      <w:r>
        <w:rPr>
          <w:b/>
          <w:szCs w:val="20"/>
        </w:rPr>
        <w:t>c</w:t>
      </w:r>
      <w:r w:rsidR="00EE0925" w:rsidRPr="00471CBA">
        <w:rPr>
          <w:b/>
          <w:szCs w:val="20"/>
        </w:rPr>
        <w:t>.1.3.</w:t>
      </w:r>
      <w:r w:rsidR="00EE0925" w:rsidRPr="00471CBA">
        <w:rPr>
          <w:b/>
          <w:szCs w:val="20"/>
        </w:rPr>
        <w:tab/>
        <w:t>Temerrüde Düşmüş Alacaklar ve Borçlanma Araçları Stoğundaki Değişimler:</w:t>
      </w:r>
    </w:p>
    <w:p w14:paraId="721D316F" w14:textId="6B9FA556" w:rsidR="00A74C68" w:rsidRPr="00471CBA" w:rsidRDefault="00A74C68" w:rsidP="00A74C68">
      <w:pPr>
        <w:spacing w:before="120" w:after="120"/>
        <w:ind w:left="851"/>
      </w:pPr>
    </w:p>
    <w:tbl>
      <w:tblPr>
        <w:tblW w:w="0" w:type="auto"/>
        <w:tblCellMar>
          <w:left w:w="70" w:type="dxa"/>
          <w:right w:w="70" w:type="dxa"/>
        </w:tblCellMar>
        <w:tblLook w:val="04A0" w:firstRow="1" w:lastRow="0" w:firstColumn="1" w:lastColumn="0" w:noHBand="0" w:noVBand="1"/>
      </w:tblPr>
      <w:tblGrid>
        <w:gridCol w:w="240"/>
        <w:gridCol w:w="7283"/>
        <w:gridCol w:w="1040"/>
        <w:gridCol w:w="1040"/>
      </w:tblGrid>
      <w:tr w:rsidR="00A74C68" w:rsidRPr="00471CBA" w14:paraId="5AEC2B8F" w14:textId="77777777" w:rsidTr="00A74C68">
        <w:trPr>
          <w:divId w:val="620307514"/>
          <w:trHeight w:val="255"/>
        </w:trPr>
        <w:tc>
          <w:tcPr>
            <w:tcW w:w="0" w:type="auto"/>
            <w:tcBorders>
              <w:top w:val="nil"/>
              <w:left w:val="nil"/>
              <w:bottom w:val="nil"/>
              <w:right w:val="nil"/>
            </w:tcBorders>
            <w:noWrap/>
            <w:vAlign w:val="bottom"/>
            <w:hideMark/>
          </w:tcPr>
          <w:p w14:paraId="68556330" w14:textId="474661A7" w:rsidR="00A74C68" w:rsidRPr="00471CBA" w:rsidRDefault="00A74C68" w:rsidP="00A74C68">
            <w:pPr>
              <w:rPr>
                <w:szCs w:val="20"/>
                <w:lang w:eastAsia="tr-TR"/>
              </w:rPr>
            </w:pPr>
          </w:p>
        </w:tc>
        <w:tc>
          <w:tcPr>
            <w:tcW w:w="7283" w:type="dxa"/>
            <w:tcBorders>
              <w:top w:val="nil"/>
              <w:left w:val="nil"/>
              <w:bottom w:val="nil"/>
              <w:right w:val="nil"/>
            </w:tcBorders>
            <w:noWrap/>
            <w:vAlign w:val="bottom"/>
            <w:hideMark/>
          </w:tcPr>
          <w:p w14:paraId="2ECB06EC" w14:textId="77777777" w:rsidR="00A74C68" w:rsidRPr="00471CBA" w:rsidRDefault="00A74C68" w:rsidP="00A74C68">
            <w:pPr>
              <w:rPr>
                <w:szCs w:val="20"/>
                <w:lang w:eastAsia="tr-TR"/>
              </w:rPr>
            </w:pPr>
          </w:p>
        </w:tc>
        <w:tc>
          <w:tcPr>
            <w:tcW w:w="0" w:type="auto"/>
            <w:tcBorders>
              <w:top w:val="nil"/>
              <w:left w:val="nil"/>
              <w:bottom w:val="single" w:sz="4" w:space="0" w:color="auto"/>
              <w:right w:val="nil"/>
            </w:tcBorders>
            <w:noWrap/>
            <w:vAlign w:val="center"/>
            <w:hideMark/>
          </w:tcPr>
          <w:p w14:paraId="3DD56772" w14:textId="77777777" w:rsidR="00A74C68" w:rsidRPr="00471CBA" w:rsidRDefault="00A74C68" w:rsidP="00A74C68">
            <w:pPr>
              <w:jc w:val="right"/>
              <w:rPr>
                <w:b/>
                <w:bCs/>
                <w:color w:val="000000"/>
                <w:szCs w:val="20"/>
                <w:lang w:eastAsia="tr-TR"/>
              </w:rPr>
            </w:pPr>
            <w:r w:rsidRPr="00471CBA">
              <w:rPr>
                <w:b/>
                <w:bCs/>
                <w:color w:val="000000"/>
                <w:szCs w:val="20"/>
                <w:lang w:eastAsia="tr-TR"/>
              </w:rPr>
              <w:t>31.12.2025</w:t>
            </w:r>
          </w:p>
        </w:tc>
        <w:tc>
          <w:tcPr>
            <w:tcW w:w="0" w:type="auto"/>
            <w:tcBorders>
              <w:top w:val="nil"/>
              <w:left w:val="nil"/>
              <w:bottom w:val="single" w:sz="4" w:space="0" w:color="auto"/>
              <w:right w:val="nil"/>
            </w:tcBorders>
            <w:noWrap/>
            <w:vAlign w:val="center"/>
            <w:hideMark/>
          </w:tcPr>
          <w:p w14:paraId="3EEE66D7" w14:textId="77777777" w:rsidR="00A74C68" w:rsidRPr="00471CBA" w:rsidRDefault="00A74C68" w:rsidP="00A74C68">
            <w:pPr>
              <w:jc w:val="right"/>
              <w:rPr>
                <w:b/>
                <w:bCs/>
                <w:color w:val="000000"/>
                <w:szCs w:val="20"/>
                <w:lang w:eastAsia="tr-TR"/>
              </w:rPr>
            </w:pPr>
            <w:r w:rsidRPr="00471CBA">
              <w:rPr>
                <w:b/>
                <w:bCs/>
                <w:color w:val="000000"/>
                <w:szCs w:val="20"/>
                <w:lang w:eastAsia="tr-TR"/>
              </w:rPr>
              <w:t>31.12.2024</w:t>
            </w:r>
          </w:p>
        </w:tc>
      </w:tr>
      <w:tr w:rsidR="00A74C68" w:rsidRPr="00471CBA" w14:paraId="6FD1C28A" w14:textId="77777777" w:rsidTr="00326B82">
        <w:trPr>
          <w:divId w:val="620307514"/>
          <w:trHeight w:val="255"/>
        </w:trPr>
        <w:tc>
          <w:tcPr>
            <w:tcW w:w="0" w:type="auto"/>
            <w:tcBorders>
              <w:top w:val="nil"/>
              <w:left w:val="nil"/>
              <w:bottom w:val="nil"/>
              <w:right w:val="nil"/>
            </w:tcBorders>
            <w:noWrap/>
            <w:hideMark/>
          </w:tcPr>
          <w:p w14:paraId="314FE48B" w14:textId="77777777" w:rsidR="00A74C68" w:rsidRPr="00471CBA" w:rsidRDefault="00A74C68" w:rsidP="00A74C68">
            <w:pPr>
              <w:rPr>
                <w:b/>
                <w:bCs/>
                <w:color w:val="000000"/>
                <w:szCs w:val="20"/>
                <w:lang w:eastAsia="tr-TR"/>
              </w:rPr>
            </w:pPr>
            <w:r w:rsidRPr="00471CBA">
              <w:rPr>
                <w:b/>
                <w:bCs/>
                <w:color w:val="000000"/>
                <w:szCs w:val="20"/>
                <w:lang w:eastAsia="tr-TR"/>
              </w:rPr>
              <w:t>1</w:t>
            </w:r>
          </w:p>
        </w:tc>
        <w:tc>
          <w:tcPr>
            <w:tcW w:w="7283" w:type="dxa"/>
            <w:tcBorders>
              <w:top w:val="nil"/>
              <w:left w:val="nil"/>
              <w:bottom w:val="nil"/>
              <w:right w:val="nil"/>
            </w:tcBorders>
            <w:noWrap/>
            <w:hideMark/>
          </w:tcPr>
          <w:p w14:paraId="60FF68EF" w14:textId="77777777" w:rsidR="00A74C68" w:rsidRPr="00471CBA" w:rsidRDefault="00A74C68" w:rsidP="00A74C68">
            <w:pPr>
              <w:rPr>
                <w:b/>
                <w:bCs/>
                <w:color w:val="000000"/>
                <w:szCs w:val="20"/>
                <w:lang w:eastAsia="tr-TR"/>
              </w:rPr>
            </w:pPr>
            <w:r w:rsidRPr="00471CBA">
              <w:rPr>
                <w:b/>
                <w:bCs/>
                <w:color w:val="000000"/>
                <w:szCs w:val="20"/>
                <w:lang w:eastAsia="tr-TR"/>
              </w:rPr>
              <w:t>Önceki raporlama dönemi sonundaki temerrüt etmiş krediler ve borçlanma araçları tutarı</w:t>
            </w:r>
          </w:p>
        </w:tc>
        <w:tc>
          <w:tcPr>
            <w:tcW w:w="0" w:type="auto"/>
            <w:tcBorders>
              <w:top w:val="nil"/>
              <w:left w:val="nil"/>
              <w:bottom w:val="nil"/>
              <w:right w:val="nil"/>
            </w:tcBorders>
            <w:vAlign w:val="bottom"/>
            <w:hideMark/>
          </w:tcPr>
          <w:p w14:paraId="41697AC1" w14:textId="77777777" w:rsidR="00A74C68" w:rsidRPr="00471CBA" w:rsidRDefault="00A74C68" w:rsidP="00326B82">
            <w:pPr>
              <w:jc w:val="right"/>
              <w:rPr>
                <w:color w:val="000000"/>
                <w:szCs w:val="20"/>
                <w:lang w:eastAsia="tr-TR"/>
              </w:rPr>
            </w:pPr>
            <w:r w:rsidRPr="00471CBA">
              <w:rPr>
                <w:color w:val="000000"/>
                <w:szCs w:val="20"/>
                <w:lang w:eastAsia="tr-TR"/>
              </w:rPr>
              <w:t>-</w:t>
            </w:r>
          </w:p>
        </w:tc>
        <w:tc>
          <w:tcPr>
            <w:tcW w:w="0" w:type="auto"/>
            <w:tcBorders>
              <w:top w:val="nil"/>
              <w:left w:val="nil"/>
              <w:bottom w:val="nil"/>
              <w:right w:val="nil"/>
            </w:tcBorders>
            <w:vAlign w:val="bottom"/>
            <w:hideMark/>
          </w:tcPr>
          <w:p w14:paraId="06972777" w14:textId="77777777" w:rsidR="00A74C68" w:rsidRPr="00471CBA" w:rsidRDefault="00A74C68" w:rsidP="00326B82">
            <w:pPr>
              <w:jc w:val="right"/>
              <w:rPr>
                <w:color w:val="000000"/>
                <w:szCs w:val="20"/>
                <w:lang w:eastAsia="tr-TR"/>
              </w:rPr>
            </w:pPr>
            <w:r w:rsidRPr="00471CBA">
              <w:rPr>
                <w:color w:val="000000"/>
                <w:szCs w:val="20"/>
                <w:lang w:eastAsia="tr-TR"/>
              </w:rPr>
              <w:t>-</w:t>
            </w:r>
          </w:p>
        </w:tc>
      </w:tr>
      <w:tr w:rsidR="00A74C68" w:rsidRPr="00471CBA" w14:paraId="7B95FF0B" w14:textId="77777777" w:rsidTr="00326B82">
        <w:trPr>
          <w:divId w:val="620307514"/>
          <w:trHeight w:val="255"/>
        </w:trPr>
        <w:tc>
          <w:tcPr>
            <w:tcW w:w="0" w:type="auto"/>
            <w:tcBorders>
              <w:top w:val="nil"/>
              <w:left w:val="nil"/>
              <w:bottom w:val="nil"/>
              <w:right w:val="nil"/>
            </w:tcBorders>
            <w:noWrap/>
            <w:hideMark/>
          </w:tcPr>
          <w:p w14:paraId="5D211ED1" w14:textId="77777777" w:rsidR="00A74C68" w:rsidRPr="00471CBA" w:rsidRDefault="00A74C68" w:rsidP="00A74C68">
            <w:pPr>
              <w:rPr>
                <w:color w:val="000000"/>
                <w:szCs w:val="20"/>
                <w:lang w:eastAsia="tr-TR"/>
              </w:rPr>
            </w:pPr>
            <w:r w:rsidRPr="00471CBA">
              <w:rPr>
                <w:color w:val="000000"/>
                <w:szCs w:val="20"/>
                <w:lang w:eastAsia="tr-TR"/>
              </w:rPr>
              <w:t>2</w:t>
            </w:r>
          </w:p>
        </w:tc>
        <w:tc>
          <w:tcPr>
            <w:tcW w:w="7283" w:type="dxa"/>
            <w:tcBorders>
              <w:top w:val="nil"/>
              <w:left w:val="nil"/>
              <w:bottom w:val="nil"/>
              <w:right w:val="nil"/>
            </w:tcBorders>
            <w:noWrap/>
            <w:hideMark/>
          </w:tcPr>
          <w:p w14:paraId="5AA82D56" w14:textId="77777777" w:rsidR="00A74C68" w:rsidRPr="00471CBA" w:rsidRDefault="00A74C68" w:rsidP="00A74C68">
            <w:pPr>
              <w:rPr>
                <w:color w:val="000000"/>
                <w:szCs w:val="20"/>
                <w:lang w:eastAsia="tr-TR"/>
              </w:rPr>
            </w:pPr>
            <w:r w:rsidRPr="00471CBA">
              <w:rPr>
                <w:color w:val="000000"/>
                <w:szCs w:val="20"/>
                <w:lang w:eastAsia="tr-TR"/>
              </w:rPr>
              <w:t>Son raporlama döneminden itibaren temerrüt eden krediler ve borçlanma araçları</w:t>
            </w:r>
          </w:p>
        </w:tc>
        <w:tc>
          <w:tcPr>
            <w:tcW w:w="0" w:type="auto"/>
            <w:tcBorders>
              <w:top w:val="nil"/>
              <w:left w:val="nil"/>
              <w:bottom w:val="nil"/>
              <w:right w:val="nil"/>
            </w:tcBorders>
            <w:vAlign w:val="bottom"/>
            <w:hideMark/>
          </w:tcPr>
          <w:p w14:paraId="00E02E4A" w14:textId="77777777" w:rsidR="00A74C68" w:rsidRPr="00471CBA" w:rsidRDefault="00A74C68" w:rsidP="00326B82">
            <w:pPr>
              <w:jc w:val="right"/>
              <w:rPr>
                <w:color w:val="000000"/>
                <w:szCs w:val="20"/>
                <w:lang w:eastAsia="tr-TR"/>
              </w:rPr>
            </w:pPr>
            <w:r w:rsidRPr="00471CBA">
              <w:rPr>
                <w:color w:val="000000"/>
                <w:szCs w:val="20"/>
                <w:lang w:eastAsia="tr-TR"/>
              </w:rPr>
              <w:t>392.160</w:t>
            </w:r>
          </w:p>
        </w:tc>
        <w:tc>
          <w:tcPr>
            <w:tcW w:w="0" w:type="auto"/>
            <w:tcBorders>
              <w:top w:val="nil"/>
              <w:left w:val="nil"/>
              <w:bottom w:val="nil"/>
              <w:right w:val="nil"/>
            </w:tcBorders>
            <w:vAlign w:val="bottom"/>
            <w:hideMark/>
          </w:tcPr>
          <w:p w14:paraId="335C6B88" w14:textId="77777777" w:rsidR="00A74C68" w:rsidRPr="00471CBA" w:rsidRDefault="00A74C68" w:rsidP="00326B82">
            <w:pPr>
              <w:jc w:val="right"/>
              <w:rPr>
                <w:color w:val="000000"/>
                <w:szCs w:val="20"/>
                <w:lang w:eastAsia="tr-TR"/>
              </w:rPr>
            </w:pPr>
            <w:r w:rsidRPr="00471CBA">
              <w:rPr>
                <w:color w:val="000000"/>
                <w:szCs w:val="20"/>
                <w:lang w:eastAsia="tr-TR"/>
              </w:rPr>
              <w:t>-</w:t>
            </w:r>
          </w:p>
        </w:tc>
      </w:tr>
      <w:tr w:rsidR="00A74C68" w:rsidRPr="00471CBA" w14:paraId="6DCD41BC" w14:textId="77777777" w:rsidTr="00326B82">
        <w:trPr>
          <w:divId w:val="620307514"/>
          <w:trHeight w:val="255"/>
        </w:trPr>
        <w:tc>
          <w:tcPr>
            <w:tcW w:w="0" w:type="auto"/>
            <w:tcBorders>
              <w:top w:val="nil"/>
              <w:left w:val="nil"/>
              <w:bottom w:val="nil"/>
              <w:right w:val="nil"/>
            </w:tcBorders>
            <w:noWrap/>
            <w:hideMark/>
          </w:tcPr>
          <w:p w14:paraId="44664F01" w14:textId="77777777" w:rsidR="00A74C68" w:rsidRPr="00471CBA" w:rsidRDefault="00A74C68" w:rsidP="00A74C68">
            <w:pPr>
              <w:rPr>
                <w:color w:val="000000"/>
                <w:szCs w:val="20"/>
                <w:lang w:eastAsia="tr-TR"/>
              </w:rPr>
            </w:pPr>
            <w:r w:rsidRPr="00471CBA">
              <w:rPr>
                <w:color w:val="000000"/>
                <w:szCs w:val="20"/>
                <w:lang w:eastAsia="tr-TR"/>
              </w:rPr>
              <w:t>3</w:t>
            </w:r>
          </w:p>
        </w:tc>
        <w:tc>
          <w:tcPr>
            <w:tcW w:w="7283" w:type="dxa"/>
            <w:tcBorders>
              <w:top w:val="nil"/>
              <w:left w:val="nil"/>
              <w:bottom w:val="nil"/>
              <w:right w:val="nil"/>
            </w:tcBorders>
            <w:noWrap/>
            <w:hideMark/>
          </w:tcPr>
          <w:p w14:paraId="23F1C14A" w14:textId="77777777" w:rsidR="00A74C68" w:rsidRPr="00471CBA" w:rsidRDefault="00A74C68" w:rsidP="00A74C68">
            <w:pPr>
              <w:rPr>
                <w:color w:val="000000"/>
                <w:szCs w:val="20"/>
                <w:lang w:eastAsia="tr-TR"/>
              </w:rPr>
            </w:pPr>
            <w:r w:rsidRPr="00471CBA">
              <w:rPr>
                <w:color w:val="000000"/>
                <w:szCs w:val="20"/>
                <w:lang w:eastAsia="tr-TR"/>
              </w:rPr>
              <w:t>Tekrar temerrüt etmemiş durumuna gelen alacaklar</w:t>
            </w:r>
          </w:p>
        </w:tc>
        <w:tc>
          <w:tcPr>
            <w:tcW w:w="0" w:type="auto"/>
            <w:tcBorders>
              <w:top w:val="nil"/>
              <w:left w:val="nil"/>
              <w:bottom w:val="nil"/>
              <w:right w:val="nil"/>
            </w:tcBorders>
            <w:vAlign w:val="bottom"/>
            <w:hideMark/>
          </w:tcPr>
          <w:p w14:paraId="0C910B41" w14:textId="77777777" w:rsidR="00A74C68" w:rsidRPr="00471CBA" w:rsidRDefault="00A74C68" w:rsidP="00326B82">
            <w:pPr>
              <w:jc w:val="right"/>
              <w:rPr>
                <w:color w:val="000000"/>
                <w:szCs w:val="20"/>
                <w:lang w:eastAsia="tr-TR"/>
              </w:rPr>
            </w:pPr>
            <w:r w:rsidRPr="00471CBA">
              <w:rPr>
                <w:color w:val="000000"/>
                <w:szCs w:val="20"/>
                <w:lang w:eastAsia="tr-TR"/>
              </w:rPr>
              <w:t>-</w:t>
            </w:r>
          </w:p>
        </w:tc>
        <w:tc>
          <w:tcPr>
            <w:tcW w:w="0" w:type="auto"/>
            <w:tcBorders>
              <w:top w:val="nil"/>
              <w:left w:val="nil"/>
              <w:bottom w:val="nil"/>
              <w:right w:val="nil"/>
            </w:tcBorders>
            <w:vAlign w:val="bottom"/>
            <w:hideMark/>
          </w:tcPr>
          <w:p w14:paraId="33696826" w14:textId="77777777" w:rsidR="00A74C68" w:rsidRPr="00471CBA" w:rsidRDefault="00A74C68" w:rsidP="00326B82">
            <w:pPr>
              <w:jc w:val="right"/>
              <w:rPr>
                <w:color w:val="000000"/>
                <w:szCs w:val="20"/>
                <w:lang w:eastAsia="tr-TR"/>
              </w:rPr>
            </w:pPr>
            <w:r w:rsidRPr="00471CBA">
              <w:rPr>
                <w:color w:val="000000"/>
                <w:szCs w:val="20"/>
                <w:lang w:eastAsia="tr-TR"/>
              </w:rPr>
              <w:t>-</w:t>
            </w:r>
          </w:p>
        </w:tc>
      </w:tr>
      <w:tr w:rsidR="00A74C68" w:rsidRPr="00471CBA" w14:paraId="671FD45C" w14:textId="77777777" w:rsidTr="00326B82">
        <w:trPr>
          <w:divId w:val="620307514"/>
          <w:trHeight w:val="255"/>
        </w:trPr>
        <w:tc>
          <w:tcPr>
            <w:tcW w:w="0" w:type="auto"/>
            <w:tcBorders>
              <w:top w:val="nil"/>
              <w:left w:val="nil"/>
              <w:bottom w:val="nil"/>
              <w:right w:val="nil"/>
            </w:tcBorders>
            <w:noWrap/>
            <w:hideMark/>
          </w:tcPr>
          <w:p w14:paraId="765FB185" w14:textId="77777777" w:rsidR="00A74C68" w:rsidRPr="00471CBA" w:rsidRDefault="00A74C68" w:rsidP="00A74C68">
            <w:pPr>
              <w:rPr>
                <w:color w:val="000000"/>
                <w:szCs w:val="20"/>
                <w:lang w:eastAsia="tr-TR"/>
              </w:rPr>
            </w:pPr>
            <w:r w:rsidRPr="00471CBA">
              <w:rPr>
                <w:color w:val="000000"/>
                <w:szCs w:val="20"/>
                <w:lang w:eastAsia="tr-TR"/>
              </w:rPr>
              <w:t>4</w:t>
            </w:r>
          </w:p>
        </w:tc>
        <w:tc>
          <w:tcPr>
            <w:tcW w:w="7283" w:type="dxa"/>
            <w:tcBorders>
              <w:top w:val="nil"/>
              <w:left w:val="nil"/>
              <w:bottom w:val="nil"/>
              <w:right w:val="nil"/>
            </w:tcBorders>
            <w:noWrap/>
            <w:hideMark/>
          </w:tcPr>
          <w:p w14:paraId="502A2EA1" w14:textId="77777777" w:rsidR="00A74C68" w:rsidRPr="00471CBA" w:rsidRDefault="00A74C68" w:rsidP="00A74C68">
            <w:pPr>
              <w:rPr>
                <w:color w:val="000000"/>
                <w:szCs w:val="20"/>
                <w:lang w:eastAsia="tr-TR"/>
              </w:rPr>
            </w:pPr>
            <w:r w:rsidRPr="00471CBA">
              <w:rPr>
                <w:color w:val="000000"/>
                <w:szCs w:val="20"/>
                <w:lang w:eastAsia="tr-TR"/>
              </w:rPr>
              <w:t>Aktiften silinen tutarlar</w:t>
            </w:r>
          </w:p>
        </w:tc>
        <w:tc>
          <w:tcPr>
            <w:tcW w:w="0" w:type="auto"/>
            <w:tcBorders>
              <w:top w:val="nil"/>
              <w:left w:val="nil"/>
              <w:bottom w:val="nil"/>
              <w:right w:val="nil"/>
            </w:tcBorders>
            <w:vAlign w:val="bottom"/>
            <w:hideMark/>
          </w:tcPr>
          <w:p w14:paraId="7D4BC54E" w14:textId="77777777" w:rsidR="00A74C68" w:rsidRPr="00471CBA" w:rsidRDefault="00A74C68" w:rsidP="00326B82">
            <w:pPr>
              <w:jc w:val="right"/>
              <w:rPr>
                <w:color w:val="000000"/>
                <w:szCs w:val="20"/>
                <w:lang w:eastAsia="tr-TR"/>
              </w:rPr>
            </w:pPr>
            <w:r w:rsidRPr="00471CBA">
              <w:rPr>
                <w:color w:val="000000"/>
                <w:szCs w:val="20"/>
                <w:lang w:eastAsia="tr-TR"/>
              </w:rPr>
              <w:t>-</w:t>
            </w:r>
          </w:p>
        </w:tc>
        <w:tc>
          <w:tcPr>
            <w:tcW w:w="0" w:type="auto"/>
            <w:tcBorders>
              <w:top w:val="nil"/>
              <w:left w:val="nil"/>
              <w:bottom w:val="nil"/>
              <w:right w:val="nil"/>
            </w:tcBorders>
            <w:vAlign w:val="bottom"/>
            <w:hideMark/>
          </w:tcPr>
          <w:p w14:paraId="5EDD33FA" w14:textId="77777777" w:rsidR="00A74C68" w:rsidRPr="00471CBA" w:rsidRDefault="00A74C68" w:rsidP="00326B82">
            <w:pPr>
              <w:jc w:val="right"/>
              <w:rPr>
                <w:color w:val="000000"/>
                <w:szCs w:val="20"/>
                <w:lang w:eastAsia="tr-TR"/>
              </w:rPr>
            </w:pPr>
            <w:r w:rsidRPr="00471CBA">
              <w:rPr>
                <w:color w:val="000000"/>
                <w:szCs w:val="20"/>
                <w:lang w:eastAsia="tr-TR"/>
              </w:rPr>
              <w:t>-</w:t>
            </w:r>
          </w:p>
        </w:tc>
      </w:tr>
      <w:tr w:rsidR="00A74C68" w:rsidRPr="00471CBA" w14:paraId="44813894" w14:textId="77777777" w:rsidTr="00326B82">
        <w:trPr>
          <w:divId w:val="620307514"/>
          <w:trHeight w:val="255"/>
        </w:trPr>
        <w:tc>
          <w:tcPr>
            <w:tcW w:w="0" w:type="auto"/>
            <w:tcBorders>
              <w:top w:val="nil"/>
              <w:left w:val="nil"/>
              <w:bottom w:val="nil"/>
              <w:right w:val="nil"/>
            </w:tcBorders>
            <w:noWrap/>
            <w:hideMark/>
          </w:tcPr>
          <w:p w14:paraId="4B22C5C2" w14:textId="77777777" w:rsidR="00A74C68" w:rsidRPr="00471CBA" w:rsidRDefault="00A74C68" w:rsidP="00A74C68">
            <w:pPr>
              <w:rPr>
                <w:color w:val="000000"/>
                <w:szCs w:val="20"/>
                <w:lang w:eastAsia="tr-TR"/>
              </w:rPr>
            </w:pPr>
            <w:r w:rsidRPr="00471CBA">
              <w:rPr>
                <w:color w:val="000000"/>
                <w:szCs w:val="20"/>
                <w:lang w:eastAsia="tr-TR"/>
              </w:rPr>
              <w:t>5</w:t>
            </w:r>
          </w:p>
        </w:tc>
        <w:tc>
          <w:tcPr>
            <w:tcW w:w="7283" w:type="dxa"/>
            <w:tcBorders>
              <w:top w:val="nil"/>
              <w:left w:val="nil"/>
              <w:bottom w:val="nil"/>
              <w:right w:val="nil"/>
            </w:tcBorders>
            <w:noWrap/>
            <w:hideMark/>
          </w:tcPr>
          <w:p w14:paraId="10097261" w14:textId="77777777" w:rsidR="00A74C68" w:rsidRPr="00471CBA" w:rsidRDefault="00A74C68" w:rsidP="00A74C68">
            <w:pPr>
              <w:rPr>
                <w:color w:val="000000"/>
                <w:szCs w:val="20"/>
                <w:lang w:eastAsia="tr-TR"/>
              </w:rPr>
            </w:pPr>
            <w:r w:rsidRPr="00471CBA">
              <w:rPr>
                <w:color w:val="000000"/>
                <w:szCs w:val="20"/>
                <w:lang w:eastAsia="tr-TR"/>
              </w:rPr>
              <w:t>Diğer değişimler</w:t>
            </w:r>
          </w:p>
        </w:tc>
        <w:tc>
          <w:tcPr>
            <w:tcW w:w="0" w:type="auto"/>
            <w:tcBorders>
              <w:top w:val="nil"/>
              <w:left w:val="nil"/>
              <w:bottom w:val="nil"/>
              <w:right w:val="nil"/>
            </w:tcBorders>
            <w:vAlign w:val="bottom"/>
            <w:hideMark/>
          </w:tcPr>
          <w:p w14:paraId="5575B0FA" w14:textId="77777777" w:rsidR="00A74C68" w:rsidRPr="00471CBA" w:rsidRDefault="00A74C68" w:rsidP="00326B82">
            <w:pPr>
              <w:jc w:val="right"/>
              <w:rPr>
                <w:color w:val="000000"/>
                <w:szCs w:val="20"/>
                <w:lang w:eastAsia="tr-TR"/>
              </w:rPr>
            </w:pPr>
            <w:r w:rsidRPr="00471CBA">
              <w:rPr>
                <w:color w:val="000000"/>
                <w:szCs w:val="20"/>
                <w:lang w:eastAsia="tr-TR"/>
              </w:rPr>
              <w:t>(3.655)</w:t>
            </w:r>
          </w:p>
        </w:tc>
        <w:tc>
          <w:tcPr>
            <w:tcW w:w="0" w:type="auto"/>
            <w:tcBorders>
              <w:top w:val="nil"/>
              <w:left w:val="nil"/>
              <w:bottom w:val="nil"/>
              <w:right w:val="nil"/>
            </w:tcBorders>
            <w:vAlign w:val="bottom"/>
            <w:hideMark/>
          </w:tcPr>
          <w:p w14:paraId="1F135A70" w14:textId="77777777" w:rsidR="00A74C68" w:rsidRPr="00471CBA" w:rsidRDefault="00A74C68" w:rsidP="00326B82">
            <w:pPr>
              <w:jc w:val="right"/>
              <w:rPr>
                <w:color w:val="000000"/>
                <w:szCs w:val="20"/>
                <w:lang w:eastAsia="tr-TR"/>
              </w:rPr>
            </w:pPr>
            <w:r w:rsidRPr="00471CBA">
              <w:rPr>
                <w:color w:val="000000"/>
                <w:szCs w:val="20"/>
                <w:lang w:eastAsia="tr-TR"/>
              </w:rPr>
              <w:t>-</w:t>
            </w:r>
          </w:p>
        </w:tc>
      </w:tr>
      <w:tr w:rsidR="00A74C68" w:rsidRPr="00471CBA" w14:paraId="00ECDDE3" w14:textId="77777777" w:rsidTr="00326B82">
        <w:trPr>
          <w:divId w:val="620307514"/>
          <w:trHeight w:val="270"/>
        </w:trPr>
        <w:tc>
          <w:tcPr>
            <w:tcW w:w="0" w:type="auto"/>
            <w:tcBorders>
              <w:top w:val="single" w:sz="4" w:space="0" w:color="auto"/>
              <w:left w:val="nil"/>
              <w:bottom w:val="single" w:sz="8" w:space="0" w:color="auto"/>
              <w:right w:val="nil"/>
            </w:tcBorders>
            <w:noWrap/>
            <w:hideMark/>
          </w:tcPr>
          <w:p w14:paraId="2C6460F4" w14:textId="77777777" w:rsidR="00A74C68" w:rsidRPr="00471CBA" w:rsidRDefault="00A74C68" w:rsidP="00A74C68">
            <w:pPr>
              <w:rPr>
                <w:b/>
                <w:bCs/>
                <w:color w:val="000000"/>
                <w:szCs w:val="20"/>
                <w:lang w:eastAsia="tr-TR"/>
              </w:rPr>
            </w:pPr>
            <w:r w:rsidRPr="00471CBA">
              <w:rPr>
                <w:b/>
                <w:bCs/>
                <w:color w:val="000000"/>
                <w:szCs w:val="20"/>
                <w:lang w:eastAsia="tr-TR"/>
              </w:rPr>
              <w:t>6</w:t>
            </w:r>
          </w:p>
        </w:tc>
        <w:tc>
          <w:tcPr>
            <w:tcW w:w="7283" w:type="dxa"/>
            <w:tcBorders>
              <w:top w:val="single" w:sz="4" w:space="0" w:color="auto"/>
              <w:left w:val="nil"/>
              <w:bottom w:val="single" w:sz="8" w:space="0" w:color="auto"/>
              <w:right w:val="nil"/>
            </w:tcBorders>
            <w:noWrap/>
            <w:hideMark/>
          </w:tcPr>
          <w:p w14:paraId="21E84CA8" w14:textId="77777777" w:rsidR="00A74C68" w:rsidRPr="00471CBA" w:rsidRDefault="00A74C68" w:rsidP="00A74C68">
            <w:pPr>
              <w:rPr>
                <w:b/>
                <w:bCs/>
                <w:color w:val="000000"/>
                <w:szCs w:val="20"/>
                <w:lang w:eastAsia="tr-TR"/>
              </w:rPr>
            </w:pPr>
            <w:r w:rsidRPr="00471CBA">
              <w:rPr>
                <w:b/>
                <w:bCs/>
                <w:color w:val="000000"/>
                <w:szCs w:val="20"/>
                <w:lang w:eastAsia="tr-TR"/>
              </w:rPr>
              <w:t>Raporlama dönemi sonundaki temerrüt etmiş krediler ve borçlanma araçları tutarı(1+2-3-4±5)</w:t>
            </w:r>
          </w:p>
        </w:tc>
        <w:tc>
          <w:tcPr>
            <w:tcW w:w="0" w:type="auto"/>
            <w:tcBorders>
              <w:top w:val="single" w:sz="4" w:space="0" w:color="auto"/>
              <w:left w:val="nil"/>
              <w:bottom w:val="single" w:sz="8" w:space="0" w:color="auto"/>
              <w:right w:val="nil"/>
            </w:tcBorders>
            <w:vAlign w:val="bottom"/>
            <w:hideMark/>
          </w:tcPr>
          <w:p w14:paraId="67D17E9A" w14:textId="77777777" w:rsidR="00A74C68" w:rsidRPr="00471CBA" w:rsidRDefault="00A74C68" w:rsidP="00326B82">
            <w:pPr>
              <w:jc w:val="right"/>
              <w:rPr>
                <w:b/>
                <w:bCs/>
                <w:color w:val="000000"/>
                <w:szCs w:val="20"/>
                <w:lang w:eastAsia="tr-TR"/>
              </w:rPr>
            </w:pPr>
            <w:r w:rsidRPr="00471CBA">
              <w:rPr>
                <w:b/>
                <w:bCs/>
                <w:color w:val="000000"/>
                <w:szCs w:val="20"/>
                <w:lang w:eastAsia="tr-TR"/>
              </w:rPr>
              <w:t>388.505</w:t>
            </w:r>
          </w:p>
        </w:tc>
        <w:tc>
          <w:tcPr>
            <w:tcW w:w="0" w:type="auto"/>
            <w:tcBorders>
              <w:top w:val="single" w:sz="4" w:space="0" w:color="auto"/>
              <w:left w:val="nil"/>
              <w:bottom w:val="single" w:sz="8" w:space="0" w:color="auto"/>
              <w:right w:val="nil"/>
            </w:tcBorders>
            <w:vAlign w:val="bottom"/>
            <w:hideMark/>
          </w:tcPr>
          <w:p w14:paraId="6AF2D546" w14:textId="77777777" w:rsidR="00A74C68" w:rsidRPr="00471CBA" w:rsidRDefault="00A74C68" w:rsidP="00326B82">
            <w:pPr>
              <w:jc w:val="right"/>
              <w:rPr>
                <w:b/>
                <w:bCs/>
                <w:color w:val="000000"/>
                <w:szCs w:val="20"/>
                <w:lang w:eastAsia="tr-TR"/>
              </w:rPr>
            </w:pPr>
            <w:r w:rsidRPr="00471CBA">
              <w:rPr>
                <w:b/>
                <w:bCs/>
                <w:color w:val="000000"/>
                <w:szCs w:val="20"/>
                <w:lang w:eastAsia="tr-TR"/>
              </w:rPr>
              <w:t>-</w:t>
            </w:r>
          </w:p>
        </w:tc>
      </w:tr>
    </w:tbl>
    <w:p w14:paraId="265B4A71" w14:textId="4F2222D8" w:rsidR="00151CA1" w:rsidRPr="00471CBA" w:rsidRDefault="00151CA1" w:rsidP="0074472B">
      <w:pPr>
        <w:spacing w:before="120" w:after="120"/>
        <w:rPr>
          <w:b/>
          <w:szCs w:val="20"/>
        </w:rPr>
      </w:pPr>
      <w:bookmarkStart w:id="66" w:name="_Hlk222400928"/>
      <w:bookmarkStart w:id="67" w:name="_Hlk222821728"/>
      <w:r w:rsidRPr="00471CBA">
        <w:rPr>
          <w:b/>
          <w:szCs w:val="20"/>
        </w:rPr>
        <w:t>Tahsili gecikmiş alacaklar için yaşlandırma analizi:</w:t>
      </w:r>
    </w:p>
    <w:p w14:paraId="1743A0ED" w14:textId="77777777" w:rsidR="00151CA1" w:rsidRPr="00471CBA" w:rsidRDefault="00151CA1" w:rsidP="00151CA1">
      <w:pPr>
        <w:pStyle w:val="msobodytextindent"/>
        <w:spacing w:before="120" w:after="120"/>
        <w:ind w:firstLine="0"/>
        <w:rPr>
          <w:szCs w:val="20"/>
        </w:rPr>
      </w:pPr>
      <w:r w:rsidRPr="00471CBA">
        <w:rPr>
          <w:szCs w:val="20"/>
        </w:rPr>
        <w:t xml:space="preserve">Finansal araç sınıfları itibarıyla, vadesi geçmiş ancak değer düşüklüğüne uğramamış finansal varlıkların yaşlandırma analizi aşağıdaki gibidir: </w:t>
      </w:r>
    </w:p>
    <w:tbl>
      <w:tblPr>
        <w:tblW w:w="5000" w:type="pct"/>
        <w:tblCellMar>
          <w:left w:w="70" w:type="dxa"/>
          <w:right w:w="70" w:type="dxa"/>
        </w:tblCellMar>
        <w:tblLook w:val="04A0" w:firstRow="1" w:lastRow="0" w:firstColumn="1" w:lastColumn="0" w:noHBand="0" w:noVBand="1"/>
      </w:tblPr>
      <w:tblGrid>
        <w:gridCol w:w="4833"/>
        <w:gridCol w:w="1509"/>
        <w:gridCol w:w="1712"/>
        <w:gridCol w:w="1585"/>
      </w:tblGrid>
      <w:tr w:rsidR="00151CA1" w:rsidRPr="00471CBA" w14:paraId="0657D7AE" w14:textId="77777777" w:rsidTr="00526FB1">
        <w:trPr>
          <w:trHeight w:val="227"/>
        </w:trPr>
        <w:tc>
          <w:tcPr>
            <w:tcW w:w="2507" w:type="pct"/>
            <w:tcBorders>
              <w:top w:val="single" w:sz="4" w:space="0" w:color="auto"/>
              <w:left w:val="nil"/>
              <w:bottom w:val="single" w:sz="4" w:space="0" w:color="auto"/>
              <w:right w:val="nil"/>
            </w:tcBorders>
          </w:tcPr>
          <w:p w14:paraId="18816FB4" w14:textId="77777777" w:rsidR="00151CA1" w:rsidRPr="00471CBA" w:rsidRDefault="00151CA1" w:rsidP="00526FB1">
            <w:pPr>
              <w:jc w:val="right"/>
              <w:rPr>
                <w:b/>
                <w:bCs/>
                <w:color w:val="000000"/>
                <w:szCs w:val="20"/>
              </w:rPr>
            </w:pPr>
          </w:p>
        </w:tc>
        <w:tc>
          <w:tcPr>
            <w:tcW w:w="783" w:type="pct"/>
            <w:tcBorders>
              <w:top w:val="single" w:sz="4" w:space="0" w:color="auto"/>
              <w:left w:val="nil"/>
              <w:bottom w:val="single" w:sz="4" w:space="0" w:color="auto"/>
              <w:right w:val="nil"/>
            </w:tcBorders>
            <w:noWrap/>
            <w:vAlign w:val="bottom"/>
            <w:hideMark/>
          </w:tcPr>
          <w:p w14:paraId="38A70A6F" w14:textId="77777777" w:rsidR="00151CA1" w:rsidRPr="00471CBA" w:rsidRDefault="00151CA1" w:rsidP="00526FB1">
            <w:pPr>
              <w:jc w:val="right"/>
              <w:rPr>
                <w:b/>
                <w:bCs/>
                <w:color w:val="000000"/>
                <w:szCs w:val="20"/>
              </w:rPr>
            </w:pPr>
            <w:r w:rsidRPr="00471CBA">
              <w:rPr>
                <w:b/>
                <w:bCs/>
                <w:color w:val="000000"/>
                <w:szCs w:val="20"/>
              </w:rPr>
              <w:t>0-30 Gün</w:t>
            </w:r>
          </w:p>
        </w:tc>
        <w:tc>
          <w:tcPr>
            <w:tcW w:w="888" w:type="pct"/>
            <w:tcBorders>
              <w:top w:val="single" w:sz="4" w:space="0" w:color="auto"/>
              <w:left w:val="nil"/>
              <w:bottom w:val="single" w:sz="4" w:space="0" w:color="auto"/>
              <w:right w:val="nil"/>
            </w:tcBorders>
            <w:hideMark/>
          </w:tcPr>
          <w:p w14:paraId="7B480715" w14:textId="77777777" w:rsidR="00151CA1" w:rsidRPr="00471CBA" w:rsidRDefault="00151CA1" w:rsidP="00526FB1">
            <w:pPr>
              <w:jc w:val="right"/>
              <w:rPr>
                <w:b/>
                <w:bCs/>
                <w:color w:val="000000"/>
                <w:szCs w:val="20"/>
              </w:rPr>
            </w:pPr>
            <w:r w:rsidRPr="00471CBA">
              <w:rPr>
                <w:b/>
                <w:bCs/>
                <w:color w:val="000000"/>
                <w:szCs w:val="20"/>
              </w:rPr>
              <w:t>31-90 Gün</w:t>
            </w:r>
          </w:p>
        </w:tc>
        <w:tc>
          <w:tcPr>
            <w:tcW w:w="822" w:type="pct"/>
            <w:tcBorders>
              <w:top w:val="single" w:sz="4" w:space="0" w:color="auto"/>
              <w:left w:val="nil"/>
              <w:bottom w:val="single" w:sz="4" w:space="0" w:color="auto"/>
              <w:right w:val="nil"/>
            </w:tcBorders>
            <w:noWrap/>
            <w:vAlign w:val="bottom"/>
            <w:hideMark/>
          </w:tcPr>
          <w:p w14:paraId="1544AAC4" w14:textId="77777777" w:rsidR="00151CA1" w:rsidRPr="00471CBA" w:rsidRDefault="00151CA1" w:rsidP="00526FB1">
            <w:pPr>
              <w:jc w:val="right"/>
              <w:rPr>
                <w:b/>
                <w:bCs/>
                <w:color w:val="000000"/>
                <w:szCs w:val="20"/>
              </w:rPr>
            </w:pPr>
            <w:r w:rsidRPr="00471CBA">
              <w:rPr>
                <w:b/>
                <w:bCs/>
                <w:color w:val="000000"/>
                <w:szCs w:val="20"/>
              </w:rPr>
              <w:t>Toplam</w:t>
            </w:r>
          </w:p>
        </w:tc>
      </w:tr>
      <w:tr w:rsidR="00151CA1" w:rsidRPr="00471CBA" w14:paraId="3763601C" w14:textId="77777777" w:rsidTr="00526FB1">
        <w:trPr>
          <w:trHeight w:val="227"/>
        </w:trPr>
        <w:tc>
          <w:tcPr>
            <w:tcW w:w="2507" w:type="pct"/>
            <w:tcBorders>
              <w:top w:val="single" w:sz="4" w:space="0" w:color="auto"/>
              <w:left w:val="nil"/>
              <w:bottom w:val="nil"/>
              <w:right w:val="nil"/>
            </w:tcBorders>
          </w:tcPr>
          <w:p w14:paraId="72F9E3B5" w14:textId="77777777" w:rsidR="00151CA1" w:rsidRPr="00471CBA" w:rsidRDefault="00151CA1" w:rsidP="00526FB1">
            <w:pPr>
              <w:jc w:val="right"/>
              <w:rPr>
                <w:b/>
                <w:bCs/>
                <w:color w:val="000000"/>
                <w:szCs w:val="20"/>
              </w:rPr>
            </w:pPr>
          </w:p>
        </w:tc>
        <w:tc>
          <w:tcPr>
            <w:tcW w:w="783" w:type="pct"/>
            <w:tcBorders>
              <w:top w:val="single" w:sz="4" w:space="0" w:color="auto"/>
              <w:left w:val="nil"/>
              <w:bottom w:val="nil"/>
              <w:right w:val="nil"/>
            </w:tcBorders>
            <w:noWrap/>
            <w:vAlign w:val="bottom"/>
          </w:tcPr>
          <w:p w14:paraId="77A18B1D" w14:textId="77777777" w:rsidR="00151CA1" w:rsidRPr="00471CBA" w:rsidRDefault="00151CA1" w:rsidP="00526FB1">
            <w:pPr>
              <w:jc w:val="right"/>
              <w:rPr>
                <w:b/>
                <w:bCs/>
                <w:color w:val="000000"/>
                <w:szCs w:val="20"/>
              </w:rPr>
            </w:pPr>
          </w:p>
        </w:tc>
        <w:tc>
          <w:tcPr>
            <w:tcW w:w="888" w:type="pct"/>
            <w:tcBorders>
              <w:top w:val="single" w:sz="4" w:space="0" w:color="auto"/>
              <w:left w:val="nil"/>
              <w:bottom w:val="nil"/>
              <w:right w:val="nil"/>
            </w:tcBorders>
          </w:tcPr>
          <w:p w14:paraId="0B62DB30" w14:textId="77777777" w:rsidR="00151CA1" w:rsidRPr="00471CBA" w:rsidRDefault="00151CA1" w:rsidP="00526FB1">
            <w:pPr>
              <w:jc w:val="right"/>
              <w:rPr>
                <w:b/>
                <w:bCs/>
                <w:color w:val="000000"/>
                <w:szCs w:val="20"/>
              </w:rPr>
            </w:pPr>
          </w:p>
        </w:tc>
        <w:tc>
          <w:tcPr>
            <w:tcW w:w="822" w:type="pct"/>
            <w:tcBorders>
              <w:top w:val="single" w:sz="4" w:space="0" w:color="auto"/>
              <w:left w:val="nil"/>
              <w:bottom w:val="nil"/>
              <w:right w:val="nil"/>
            </w:tcBorders>
            <w:noWrap/>
            <w:vAlign w:val="bottom"/>
          </w:tcPr>
          <w:p w14:paraId="6A7F7975" w14:textId="77777777" w:rsidR="00151CA1" w:rsidRPr="00471CBA" w:rsidRDefault="00151CA1" w:rsidP="00526FB1">
            <w:pPr>
              <w:jc w:val="right"/>
              <w:rPr>
                <w:b/>
                <w:bCs/>
                <w:color w:val="000000"/>
                <w:szCs w:val="20"/>
              </w:rPr>
            </w:pPr>
          </w:p>
        </w:tc>
      </w:tr>
      <w:tr w:rsidR="007625BD" w:rsidRPr="00471CBA" w14:paraId="4194B92E" w14:textId="77777777" w:rsidTr="007948E6">
        <w:trPr>
          <w:trHeight w:val="227"/>
        </w:trPr>
        <w:tc>
          <w:tcPr>
            <w:tcW w:w="2507" w:type="pct"/>
            <w:hideMark/>
          </w:tcPr>
          <w:p w14:paraId="7A6AED82" w14:textId="357F8128" w:rsidR="00923CD7" w:rsidRPr="00471CBA" w:rsidRDefault="00923CD7" w:rsidP="00923CD7">
            <w:pPr>
              <w:rPr>
                <w:b/>
                <w:szCs w:val="20"/>
              </w:rPr>
            </w:pPr>
            <w:r w:rsidRPr="00471CBA">
              <w:rPr>
                <w:b/>
                <w:szCs w:val="20"/>
              </w:rPr>
              <w:t>31 Aralık 2025</w:t>
            </w:r>
          </w:p>
        </w:tc>
        <w:tc>
          <w:tcPr>
            <w:tcW w:w="783" w:type="pct"/>
            <w:noWrap/>
          </w:tcPr>
          <w:p w14:paraId="73267E2C" w14:textId="6F1FBDFD" w:rsidR="00923CD7" w:rsidRPr="00471CBA" w:rsidRDefault="00923CD7" w:rsidP="00923CD7">
            <w:pPr>
              <w:jc w:val="right"/>
              <w:rPr>
                <w:szCs w:val="20"/>
              </w:rPr>
            </w:pPr>
            <w:r w:rsidRPr="00471CBA">
              <w:t>39.639</w:t>
            </w:r>
          </w:p>
        </w:tc>
        <w:tc>
          <w:tcPr>
            <w:tcW w:w="888" w:type="pct"/>
          </w:tcPr>
          <w:p w14:paraId="26C35832" w14:textId="2FC88D0B" w:rsidR="00923CD7" w:rsidRPr="00471CBA" w:rsidRDefault="00923CD7" w:rsidP="00923CD7">
            <w:pPr>
              <w:jc w:val="right"/>
              <w:rPr>
                <w:szCs w:val="20"/>
              </w:rPr>
            </w:pPr>
            <w:r w:rsidRPr="00471CBA">
              <w:t>511.724</w:t>
            </w:r>
          </w:p>
        </w:tc>
        <w:tc>
          <w:tcPr>
            <w:tcW w:w="822" w:type="pct"/>
            <w:noWrap/>
          </w:tcPr>
          <w:p w14:paraId="2F1B3388" w14:textId="3BD7BBD5" w:rsidR="00923CD7" w:rsidRPr="00471CBA" w:rsidRDefault="00923CD7" w:rsidP="00923CD7">
            <w:pPr>
              <w:jc w:val="right"/>
              <w:rPr>
                <w:b/>
                <w:szCs w:val="20"/>
              </w:rPr>
            </w:pPr>
            <w:r w:rsidRPr="00471CBA">
              <w:t>551.363</w:t>
            </w:r>
          </w:p>
        </w:tc>
      </w:tr>
      <w:tr w:rsidR="00151CA1" w:rsidRPr="00471CBA" w14:paraId="21EFA9C3" w14:textId="77777777" w:rsidTr="007625BD">
        <w:trPr>
          <w:trHeight w:val="227"/>
        </w:trPr>
        <w:tc>
          <w:tcPr>
            <w:tcW w:w="2507" w:type="pct"/>
            <w:tcBorders>
              <w:top w:val="nil"/>
              <w:left w:val="nil"/>
              <w:bottom w:val="nil"/>
              <w:right w:val="nil"/>
            </w:tcBorders>
          </w:tcPr>
          <w:p w14:paraId="0190EC36" w14:textId="77777777" w:rsidR="00151CA1" w:rsidRPr="00471CBA" w:rsidRDefault="00151CA1" w:rsidP="00526FB1">
            <w:pPr>
              <w:rPr>
                <w:b/>
                <w:color w:val="000000"/>
                <w:szCs w:val="20"/>
              </w:rPr>
            </w:pPr>
          </w:p>
        </w:tc>
        <w:tc>
          <w:tcPr>
            <w:tcW w:w="783" w:type="pct"/>
            <w:tcBorders>
              <w:top w:val="nil"/>
              <w:left w:val="nil"/>
              <w:bottom w:val="nil"/>
              <w:right w:val="nil"/>
            </w:tcBorders>
            <w:noWrap/>
            <w:vAlign w:val="bottom"/>
          </w:tcPr>
          <w:p w14:paraId="2FC28692" w14:textId="77777777" w:rsidR="00151CA1" w:rsidRPr="00471CBA" w:rsidRDefault="00151CA1" w:rsidP="00526FB1">
            <w:pPr>
              <w:jc w:val="right"/>
              <w:rPr>
                <w:color w:val="000000"/>
                <w:szCs w:val="20"/>
              </w:rPr>
            </w:pPr>
          </w:p>
        </w:tc>
        <w:tc>
          <w:tcPr>
            <w:tcW w:w="888" w:type="pct"/>
            <w:tcBorders>
              <w:top w:val="nil"/>
              <w:left w:val="nil"/>
              <w:bottom w:val="nil"/>
              <w:right w:val="nil"/>
            </w:tcBorders>
            <w:vAlign w:val="bottom"/>
          </w:tcPr>
          <w:p w14:paraId="54B1564C" w14:textId="77777777" w:rsidR="00151CA1" w:rsidRPr="00471CBA" w:rsidRDefault="00151CA1" w:rsidP="00526FB1">
            <w:pPr>
              <w:jc w:val="right"/>
              <w:rPr>
                <w:color w:val="000000"/>
                <w:szCs w:val="20"/>
              </w:rPr>
            </w:pPr>
          </w:p>
        </w:tc>
        <w:tc>
          <w:tcPr>
            <w:tcW w:w="822" w:type="pct"/>
            <w:tcBorders>
              <w:top w:val="nil"/>
              <w:left w:val="nil"/>
              <w:bottom w:val="nil"/>
              <w:right w:val="nil"/>
            </w:tcBorders>
            <w:noWrap/>
            <w:vAlign w:val="bottom"/>
          </w:tcPr>
          <w:p w14:paraId="32487CFC" w14:textId="77777777" w:rsidR="00151CA1" w:rsidRPr="00471CBA" w:rsidRDefault="00151CA1" w:rsidP="00526FB1">
            <w:pPr>
              <w:jc w:val="right"/>
              <w:rPr>
                <w:color w:val="000000"/>
                <w:szCs w:val="20"/>
              </w:rPr>
            </w:pPr>
          </w:p>
        </w:tc>
      </w:tr>
      <w:tr w:rsidR="007625BD" w:rsidRPr="00471CBA" w14:paraId="23007E8B" w14:textId="77777777" w:rsidTr="00A145A6">
        <w:trPr>
          <w:trHeight w:val="227"/>
        </w:trPr>
        <w:tc>
          <w:tcPr>
            <w:tcW w:w="2507" w:type="pct"/>
            <w:hideMark/>
          </w:tcPr>
          <w:p w14:paraId="7478960A" w14:textId="4E8A9052" w:rsidR="007625BD" w:rsidRPr="00471CBA" w:rsidRDefault="007625BD" w:rsidP="00A145A6">
            <w:pPr>
              <w:rPr>
                <w:b/>
                <w:szCs w:val="20"/>
              </w:rPr>
            </w:pPr>
            <w:r w:rsidRPr="00471CBA">
              <w:rPr>
                <w:b/>
                <w:szCs w:val="20"/>
              </w:rPr>
              <w:t>31 Aralık 2024</w:t>
            </w:r>
          </w:p>
        </w:tc>
        <w:tc>
          <w:tcPr>
            <w:tcW w:w="783" w:type="pct"/>
            <w:noWrap/>
          </w:tcPr>
          <w:p w14:paraId="5121052D" w14:textId="180EFC95" w:rsidR="007625BD" w:rsidRPr="00471CBA" w:rsidRDefault="007625BD" w:rsidP="00A145A6">
            <w:pPr>
              <w:jc w:val="right"/>
              <w:rPr>
                <w:szCs w:val="20"/>
              </w:rPr>
            </w:pPr>
            <w:r w:rsidRPr="00471CBA">
              <w:t>-</w:t>
            </w:r>
          </w:p>
        </w:tc>
        <w:tc>
          <w:tcPr>
            <w:tcW w:w="888" w:type="pct"/>
          </w:tcPr>
          <w:p w14:paraId="7AD07FD0" w14:textId="2324828F" w:rsidR="007625BD" w:rsidRPr="00471CBA" w:rsidRDefault="007625BD" w:rsidP="00A145A6">
            <w:pPr>
              <w:jc w:val="right"/>
              <w:rPr>
                <w:szCs w:val="20"/>
              </w:rPr>
            </w:pPr>
            <w:r w:rsidRPr="00471CBA">
              <w:t>-</w:t>
            </w:r>
          </w:p>
        </w:tc>
        <w:tc>
          <w:tcPr>
            <w:tcW w:w="822" w:type="pct"/>
            <w:noWrap/>
          </w:tcPr>
          <w:p w14:paraId="2BC4410E" w14:textId="1309FF62" w:rsidR="007625BD" w:rsidRPr="00471CBA" w:rsidRDefault="007625BD" w:rsidP="00A145A6">
            <w:pPr>
              <w:jc w:val="right"/>
              <w:rPr>
                <w:b/>
                <w:szCs w:val="20"/>
              </w:rPr>
            </w:pPr>
            <w:r w:rsidRPr="00471CBA">
              <w:t>-</w:t>
            </w:r>
          </w:p>
        </w:tc>
      </w:tr>
      <w:tr w:rsidR="007625BD" w:rsidRPr="00471CBA" w14:paraId="1AFBF5F0" w14:textId="77777777" w:rsidTr="00526FB1">
        <w:trPr>
          <w:trHeight w:val="227"/>
        </w:trPr>
        <w:tc>
          <w:tcPr>
            <w:tcW w:w="2507" w:type="pct"/>
            <w:tcBorders>
              <w:top w:val="nil"/>
              <w:left w:val="nil"/>
              <w:bottom w:val="single" w:sz="4" w:space="0" w:color="auto"/>
              <w:right w:val="nil"/>
            </w:tcBorders>
          </w:tcPr>
          <w:p w14:paraId="22E5C154" w14:textId="77777777" w:rsidR="007625BD" w:rsidRPr="00471CBA" w:rsidRDefault="007625BD" w:rsidP="00526FB1">
            <w:pPr>
              <w:rPr>
                <w:b/>
                <w:color w:val="000000"/>
                <w:szCs w:val="20"/>
              </w:rPr>
            </w:pPr>
          </w:p>
        </w:tc>
        <w:tc>
          <w:tcPr>
            <w:tcW w:w="783" w:type="pct"/>
            <w:tcBorders>
              <w:top w:val="nil"/>
              <w:left w:val="nil"/>
              <w:bottom w:val="single" w:sz="4" w:space="0" w:color="auto"/>
              <w:right w:val="nil"/>
            </w:tcBorders>
            <w:noWrap/>
            <w:vAlign w:val="bottom"/>
          </w:tcPr>
          <w:p w14:paraId="6336815D" w14:textId="77777777" w:rsidR="007625BD" w:rsidRPr="00471CBA" w:rsidRDefault="007625BD" w:rsidP="00526FB1">
            <w:pPr>
              <w:jc w:val="right"/>
              <w:rPr>
                <w:color w:val="000000"/>
                <w:szCs w:val="20"/>
              </w:rPr>
            </w:pPr>
          </w:p>
        </w:tc>
        <w:tc>
          <w:tcPr>
            <w:tcW w:w="888" w:type="pct"/>
            <w:tcBorders>
              <w:top w:val="nil"/>
              <w:left w:val="nil"/>
              <w:bottom w:val="single" w:sz="4" w:space="0" w:color="auto"/>
              <w:right w:val="nil"/>
            </w:tcBorders>
            <w:vAlign w:val="bottom"/>
          </w:tcPr>
          <w:p w14:paraId="3D0DC26C" w14:textId="77777777" w:rsidR="007625BD" w:rsidRPr="00471CBA" w:rsidRDefault="007625BD" w:rsidP="00526FB1">
            <w:pPr>
              <w:jc w:val="right"/>
              <w:rPr>
                <w:color w:val="000000"/>
                <w:szCs w:val="20"/>
              </w:rPr>
            </w:pPr>
          </w:p>
        </w:tc>
        <w:tc>
          <w:tcPr>
            <w:tcW w:w="822" w:type="pct"/>
            <w:tcBorders>
              <w:top w:val="nil"/>
              <w:left w:val="nil"/>
              <w:bottom w:val="single" w:sz="4" w:space="0" w:color="auto"/>
              <w:right w:val="nil"/>
            </w:tcBorders>
            <w:noWrap/>
            <w:vAlign w:val="bottom"/>
          </w:tcPr>
          <w:p w14:paraId="53E889D1" w14:textId="77777777" w:rsidR="007625BD" w:rsidRPr="00471CBA" w:rsidRDefault="007625BD" w:rsidP="00526FB1">
            <w:pPr>
              <w:jc w:val="right"/>
              <w:rPr>
                <w:color w:val="000000"/>
                <w:szCs w:val="20"/>
              </w:rPr>
            </w:pPr>
          </w:p>
        </w:tc>
      </w:tr>
      <w:bookmarkEnd w:id="66"/>
    </w:tbl>
    <w:p w14:paraId="3056D7FE" w14:textId="77777777" w:rsidR="00F36B82" w:rsidRDefault="00F36B82">
      <w:pPr>
        <w:rPr>
          <w:b/>
          <w:szCs w:val="20"/>
        </w:rPr>
      </w:pPr>
      <w:r>
        <w:rPr>
          <w:b/>
          <w:szCs w:val="20"/>
        </w:rPr>
        <w:br w:type="page"/>
      </w:r>
    </w:p>
    <w:p w14:paraId="3F39D37F" w14:textId="25DF479D" w:rsidR="0074472B" w:rsidRPr="00471CBA" w:rsidRDefault="0074472B" w:rsidP="0074472B">
      <w:pPr>
        <w:pStyle w:val="GvdeMetniGirintisi"/>
        <w:widowControl w:val="0"/>
        <w:ind w:firstLine="0"/>
        <w:rPr>
          <w:b/>
          <w:szCs w:val="20"/>
        </w:rPr>
      </w:pPr>
      <w:r w:rsidRPr="00471CBA">
        <w:rPr>
          <w:b/>
          <w:szCs w:val="20"/>
        </w:rPr>
        <w:t>MALİ BÜNYEYE VE RİSK YÖNETİMİNE İLİŞKİN BİLGİLER (Devamı)</w:t>
      </w:r>
    </w:p>
    <w:p w14:paraId="28738335" w14:textId="77777777" w:rsidR="0074472B" w:rsidRPr="00471CBA" w:rsidRDefault="0074472B" w:rsidP="0074472B">
      <w:pPr>
        <w:pStyle w:val="GvdeMetniGirintisi"/>
        <w:widowControl w:val="0"/>
        <w:ind w:firstLine="0"/>
        <w:rPr>
          <w:b/>
          <w:szCs w:val="20"/>
        </w:rPr>
      </w:pPr>
    </w:p>
    <w:p w14:paraId="727D5A73" w14:textId="77777777" w:rsidR="0074472B" w:rsidRPr="00471CBA" w:rsidRDefault="0074472B" w:rsidP="0074472B">
      <w:pPr>
        <w:rPr>
          <w:b/>
          <w:bCs/>
        </w:rPr>
      </w:pPr>
      <w:r w:rsidRPr="00471CBA">
        <w:rPr>
          <w:b/>
          <w:bCs/>
        </w:rPr>
        <w:t>IX.</w:t>
      </w:r>
      <w:r w:rsidRPr="00471CBA">
        <w:rPr>
          <w:b/>
          <w:bCs/>
        </w:rPr>
        <w:tab/>
        <w:t>RİSK YÖNETİMİNE İLİŞKİN AÇIKLAMALAR (Devamı)</w:t>
      </w:r>
    </w:p>
    <w:p w14:paraId="250ACED1" w14:textId="5FEB048A" w:rsidR="00151CA1" w:rsidRPr="00471CBA" w:rsidRDefault="00151CA1" w:rsidP="00151CA1">
      <w:pPr>
        <w:spacing w:before="120" w:after="120"/>
        <w:rPr>
          <w:b/>
          <w:szCs w:val="20"/>
        </w:rPr>
      </w:pPr>
      <w:r w:rsidRPr="00471CBA">
        <w:rPr>
          <w:b/>
          <w:szCs w:val="20"/>
        </w:rPr>
        <w:t>c.1.</w:t>
      </w:r>
      <w:r w:rsidR="00F658F0">
        <w:rPr>
          <w:b/>
          <w:szCs w:val="20"/>
        </w:rPr>
        <w:t>4</w:t>
      </w:r>
      <w:r w:rsidRPr="00471CBA">
        <w:rPr>
          <w:b/>
          <w:szCs w:val="20"/>
        </w:rPr>
        <w:t>. Coğrafi bölge bazında karşılık ayrılan alacak tutarları:</w:t>
      </w:r>
    </w:p>
    <w:tbl>
      <w:tblPr>
        <w:tblW w:w="5000" w:type="pct"/>
        <w:tblCellMar>
          <w:left w:w="70" w:type="dxa"/>
          <w:right w:w="70" w:type="dxa"/>
        </w:tblCellMar>
        <w:tblLook w:val="04A0" w:firstRow="1" w:lastRow="0" w:firstColumn="1" w:lastColumn="0" w:noHBand="0" w:noVBand="1"/>
      </w:tblPr>
      <w:tblGrid>
        <w:gridCol w:w="3537"/>
        <w:gridCol w:w="3135"/>
        <w:gridCol w:w="2967"/>
      </w:tblGrid>
      <w:tr w:rsidR="00151CA1" w:rsidRPr="00471CBA" w14:paraId="2C520132" w14:textId="77777777" w:rsidTr="00526FB1">
        <w:trPr>
          <w:trHeight w:val="64"/>
        </w:trPr>
        <w:tc>
          <w:tcPr>
            <w:tcW w:w="1835" w:type="pct"/>
            <w:tcBorders>
              <w:top w:val="single" w:sz="4" w:space="0" w:color="auto"/>
              <w:left w:val="nil"/>
              <w:bottom w:val="single" w:sz="4" w:space="0" w:color="auto"/>
              <w:right w:val="nil"/>
            </w:tcBorders>
            <w:noWrap/>
            <w:vAlign w:val="bottom"/>
            <w:hideMark/>
          </w:tcPr>
          <w:p w14:paraId="2AACEA3E" w14:textId="77777777" w:rsidR="00151CA1" w:rsidRPr="00471CBA" w:rsidRDefault="00151CA1" w:rsidP="00526FB1">
            <w:pPr>
              <w:rPr>
                <w:b/>
                <w:bCs/>
                <w:color w:val="000000"/>
                <w:szCs w:val="20"/>
              </w:rPr>
            </w:pPr>
            <w:r w:rsidRPr="00471CBA">
              <w:rPr>
                <w:b/>
                <w:bCs/>
                <w:color w:val="000000"/>
                <w:szCs w:val="20"/>
              </w:rPr>
              <w:t>Cari Dönem</w:t>
            </w:r>
          </w:p>
        </w:tc>
        <w:tc>
          <w:tcPr>
            <w:tcW w:w="1626" w:type="pct"/>
            <w:tcBorders>
              <w:top w:val="single" w:sz="4" w:space="0" w:color="auto"/>
              <w:left w:val="nil"/>
              <w:bottom w:val="single" w:sz="4" w:space="0" w:color="auto"/>
              <w:right w:val="nil"/>
            </w:tcBorders>
            <w:noWrap/>
            <w:vAlign w:val="bottom"/>
            <w:hideMark/>
          </w:tcPr>
          <w:p w14:paraId="46A30D7C" w14:textId="51A77839" w:rsidR="00151CA1" w:rsidRPr="00471CBA" w:rsidRDefault="00151CA1" w:rsidP="00526FB1">
            <w:pPr>
              <w:jc w:val="right"/>
              <w:rPr>
                <w:b/>
                <w:bCs/>
                <w:color w:val="000000"/>
                <w:szCs w:val="20"/>
              </w:rPr>
            </w:pPr>
            <w:r w:rsidRPr="00471CBA">
              <w:rPr>
                <w:b/>
                <w:bCs/>
                <w:color w:val="000000"/>
                <w:szCs w:val="20"/>
              </w:rPr>
              <w:t xml:space="preserve">Takipteki Alacak Tutarı </w:t>
            </w:r>
            <w:r w:rsidRPr="00471CBA">
              <w:rPr>
                <w:b/>
                <w:bCs/>
                <w:color w:val="000000"/>
                <w:szCs w:val="20"/>
                <w:vertAlign w:val="superscript"/>
              </w:rPr>
              <w:t>(*)</w:t>
            </w:r>
          </w:p>
        </w:tc>
        <w:tc>
          <w:tcPr>
            <w:tcW w:w="1539" w:type="pct"/>
            <w:tcBorders>
              <w:top w:val="single" w:sz="4" w:space="0" w:color="auto"/>
              <w:left w:val="nil"/>
              <w:bottom w:val="single" w:sz="4" w:space="0" w:color="auto"/>
              <w:right w:val="nil"/>
            </w:tcBorders>
            <w:noWrap/>
            <w:vAlign w:val="bottom"/>
            <w:hideMark/>
          </w:tcPr>
          <w:p w14:paraId="78493A64" w14:textId="67D68F84" w:rsidR="00151CA1" w:rsidRPr="00471CBA" w:rsidRDefault="00151CA1" w:rsidP="00526FB1">
            <w:pPr>
              <w:jc w:val="right"/>
              <w:rPr>
                <w:b/>
                <w:bCs/>
                <w:color w:val="000000"/>
                <w:szCs w:val="20"/>
              </w:rPr>
            </w:pPr>
            <w:r w:rsidRPr="00471CBA">
              <w:rPr>
                <w:b/>
                <w:bCs/>
                <w:color w:val="000000"/>
                <w:szCs w:val="20"/>
              </w:rPr>
              <w:t xml:space="preserve">Özel Karşılık </w:t>
            </w:r>
            <w:r w:rsidRPr="00471CBA">
              <w:rPr>
                <w:b/>
                <w:bCs/>
                <w:color w:val="000000"/>
                <w:szCs w:val="20"/>
                <w:vertAlign w:val="superscript"/>
              </w:rPr>
              <w:t>(*)</w:t>
            </w:r>
          </w:p>
        </w:tc>
      </w:tr>
      <w:tr w:rsidR="00613B5C" w:rsidRPr="00471CBA" w14:paraId="0FA17441" w14:textId="77777777" w:rsidTr="00957789">
        <w:trPr>
          <w:trHeight w:val="170"/>
        </w:trPr>
        <w:tc>
          <w:tcPr>
            <w:tcW w:w="1835" w:type="pct"/>
            <w:tcBorders>
              <w:top w:val="single" w:sz="4" w:space="0" w:color="auto"/>
              <w:left w:val="nil"/>
              <w:bottom w:val="nil"/>
              <w:right w:val="nil"/>
            </w:tcBorders>
            <w:noWrap/>
            <w:vAlign w:val="bottom"/>
            <w:hideMark/>
          </w:tcPr>
          <w:p w14:paraId="6104A02C" w14:textId="77777777" w:rsidR="00613B5C" w:rsidRPr="00471CBA" w:rsidRDefault="00613B5C" w:rsidP="00613B5C">
            <w:pPr>
              <w:rPr>
                <w:bCs/>
                <w:color w:val="000000"/>
                <w:szCs w:val="20"/>
              </w:rPr>
            </w:pPr>
            <w:r w:rsidRPr="00471CBA">
              <w:rPr>
                <w:bCs/>
                <w:color w:val="000000"/>
                <w:szCs w:val="20"/>
              </w:rPr>
              <w:t>Yurtiçi</w:t>
            </w:r>
          </w:p>
        </w:tc>
        <w:tc>
          <w:tcPr>
            <w:tcW w:w="1626" w:type="pct"/>
            <w:tcBorders>
              <w:top w:val="single" w:sz="4" w:space="0" w:color="auto"/>
              <w:left w:val="nil"/>
              <w:bottom w:val="nil"/>
              <w:right w:val="nil"/>
            </w:tcBorders>
            <w:noWrap/>
            <w:vAlign w:val="center"/>
          </w:tcPr>
          <w:p w14:paraId="09819CFE" w14:textId="134ACA1D" w:rsidR="00613B5C" w:rsidRPr="00471CBA" w:rsidRDefault="00613B5C" w:rsidP="00613B5C">
            <w:pPr>
              <w:jc w:val="right"/>
              <w:rPr>
                <w:color w:val="000000"/>
                <w:szCs w:val="20"/>
              </w:rPr>
            </w:pPr>
            <w:r w:rsidRPr="00471CBA">
              <w:rPr>
                <w:color w:val="000000"/>
                <w:szCs w:val="20"/>
              </w:rPr>
              <w:t>388.505</w:t>
            </w:r>
          </w:p>
        </w:tc>
        <w:tc>
          <w:tcPr>
            <w:tcW w:w="1539" w:type="pct"/>
            <w:tcBorders>
              <w:top w:val="single" w:sz="4" w:space="0" w:color="auto"/>
              <w:left w:val="nil"/>
              <w:bottom w:val="nil"/>
              <w:right w:val="nil"/>
            </w:tcBorders>
            <w:noWrap/>
            <w:vAlign w:val="center"/>
          </w:tcPr>
          <w:p w14:paraId="4C706A0E" w14:textId="0BDB4F84" w:rsidR="00613B5C" w:rsidRPr="00471CBA" w:rsidRDefault="00613B5C" w:rsidP="00613B5C">
            <w:pPr>
              <w:jc w:val="right"/>
              <w:rPr>
                <w:color w:val="000000"/>
                <w:szCs w:val="20"/>
              </w:rPr>
            </w:pPr>
            <w:r w:rsidRPr="00471CBA">
              <w:rPr>
                <w:color w:val="000000"/>
                <w:szCs w:val="20"/>
              </w:rPr>
              <w:t>388.505</w:t>
            </w:r>
          </w:p>
        </w:tc>
      </w:tr>
      <w:tr w:rsidR="00613B5C" w:rsidRPr="00471CBA" w14:paraId="69A88CDD" w14:textId="77777777" w:rsidTr="00957789">
        <w:trPr>
          <w:trHeight w:val="170"/>
        </w:trPr>
        <w:tc>
          <w:tcPr>
            <w:tcW w:w="1835" w:type="pct"/>
            <w:noWrap/>
            <w:vAlign w:val="bottom"/>
            <w:hideMark/>
          </w:tcPr>
          <w:p w14:paraId="3FF59AEF" w14:textId="77777777" w:rsidR="00613B5C" w:rsidRPr="00471CBA" w:rsidRDefault="00613B5C" w:rsidP="00613B5C">
            <w:pPr>
              <w:rPr>
                <w:bCs/>
                <w:color w:val="000000"/>
                <w:szCs w:val="20"/>
              </w:rPr>
            </w:pPr>
            <w:r w:rsidRPr="00471CBA">
              <w:rPr>
                <w:bCs/>
                <w:color w:val="000000"/>
                <w:szCs w:val="20"/>
              </w:rPr>
              <w:t>Kıyı Bankacılığı Ülkeleri</w:t>
            </w:r>
          </w:p>
        </w:tc>
        <w:tc>
          <w:tcPr>
            <w:tcW w:w="1626" w:type="pct"/>
            <w:noWrap/>
            <w:vAlign w:val="center"/>
          </w:tcPr>
          <w:p w14:paraId="4C459AF1" w14:textId="26A3DAAA" w:rsidR="00613B5C" w:rsidRPr="00471CBA" w:rsidRDefault="00DD567D" w:rsidP="00613B5C">
            <w:pPr>
              <w:jc w:val="right"/>
              <w:rPr>
                <w:color w:val="000000"/>
                <w:szCs w:val="20"/>
              </w:rPr>
            </w:pPr>
            <w:r w:rsidRPr="00471CBA">
              <w:rPr>
                <w:color w:val="000000"/>
                <w:szCs w:val="20"/>
              </w:rPr>
              <w:t>-</w:t>
            </w:r>
          </w:p>
        </w:tc>
        <w:tc>
          <w:tcPr>
            <w:tcW w:w="1539" w:type="pct"/>
            <w:noWrap/>
            <w:vAlign w:val="center"/>
          </w:tcPr>
          <w:p w14:paraId="2555DA68" w14:textId="18204820" w:rsidR="00613B5C" w:rsidRPr="00471CBA" w:rsidRDefault="00DD567D" w:rsidP="00613B5C">
            <w:pPr>
              <w:jc w:val="right"/>
              <w:rPr>
                <w:color w:val="000000"/>
                <w:szCs w:val="20"/>
              </w:rPr>
            </w:pPr>
            <w:r w:rsidRPr="00471CBA">
              <w:rPr>
                <w:color w:val="000000"/>
                <w:szCs w:val="20"/>
              </w:rPr>
              <w:t>-</w:t>
            </w:r>
          </w:p>
        </w:tc>
      </w:tr>
      <w:tr w:rsidR="00613B5C" w:rsidRPr="00471CBA" w14:paraId="7B5E484B" w14:textId="77777777" w:rsidTr="00957789">
        <w:trPr>
          <w:trHeight w:val="170"/>
        </w:trPr>
        <w:tc>
          <w:tcPr>
            <w:tcW w:w="1835" w:type="pct"/>
            <w:tcBorders>
              <w:top w:val="nil"/>
              <w:left w:val="nil"/>
              <w:bottom w:val="single" w:sz="4" w:space="0" w:color="auto"/>
              <w:right w:val="nil"/>
            </w:tcBorders>
            <w:noWrap/>
            <w:vAlign w:val="bottom"/>
            <w:hideMark/>
          </w:tcPr>
          <w:p w14:paraId="0230E643" w14:textId="77777777" w:rsidR="00613B5C" w:rsidRPr="00471CBA" w:rsidRDefault="00613B5C" w:rsidP="00613B5C">
            <w:pPr>
              <w:rPr>
                <w:bCs/>
                <w:color w:val="000000"/>
                <w:szCs w:val="20"/>
              </w:rPr>
            </w:pPr>
            <w:r w:rsidRPr="00471CBA">
              <w:rPr>
                <w:bCs/>
                <w:color w:val="000000"/>
                <w:szCs w:val="20"/>
              </w:rPr>
              <w:t>Diğer Ülkeler</w:t>
            </w:r>
          </w:p>
        </w:tc>
        <w:tc>
          <w:tcPr>
            <w:tcW w:w="1626" w:type="pct"/>
            <w:tcBorders>
              <w:top w:val="nil"/>
              <w:left w:val="nil"/>
              <w:bottom w:val="single" w:sz="4" w:space="0" w:color="auto"/>
              <w:right w:val="nil"/>
            </w:tcBorders>
            <w:noWrap/>
            <w:vAlign w:val="center"/>
          </w:tcPr>
          <w:p w14:paraId="28FE4200" w14:textId="0A10C7BD" w:rsidR="00613B5C" w:rsidRPr="00471CBA" w:rsidRDefault="00DD567D" w:rsidP="00613B5C">
            <w:pPr>
              <w:jc w:val="right"/>
              <w:rPr>
                <w:color w:val="000000"/>
                <w:szCs w:val="20"/>
              </w:rPr>
            </w:pPr>
            <w:r w:rsidRPr="00471CBA">
              <w:rPr>
                <w:color w:val="000000"/>
                <w:szCs w:val="20"/>
              </w:rPr>
              <w:t>-</w:t>
            </w:r>
          </w:p>
        </w:tc>
        <w:tc>
          <w:tcPr>
            <w:tcW w:w="1539" w:type="pct"/>
            <w:tcBorders>
              <w:top w:val="nil"/>
              <w:left w:val="nil"/>
              <w:bottom w:val="single" w:sz="4" w:space="0" w:color="auto"/>
              <w:right w:val="nil"/>
            </w:tcBorders>
            <w:noWrap/>
            <w:vAlign w:val="center"/>
          </w:tcPr>
          <w:p w14:paraId="3D36D38B" w14:textId="5361B879" w:rsidR="00613B5C" w:rsidRPr="00471CBA" w:rsidRDefault="00DD567D" w:rsidP="00613B5C">
            <w:pPr>
              <w:jc w:val="right"/>
              <w:rPr>
                <w:color w:val="000000"/>
                <w:szCs w:val="20"/>
              </w:rPr>
            </w:pPr>
            <w:r w:rsidRPr="00471CBA">
              <w:rPr>
                <w:color w:val="000000"/>
                <w:szCs w:val="20"/>
              </w:rPr>
              <w:t>-</w:t>
            </w:r>
          </w:p>
        </w:tc>
      </w:tr>
      <w:tr w:rsidR="00613B5C" w:rsidRPr="00471CBA" w14:paraId="311E1193" w14:textId="77777777" w:rsidTr="00957789">
        <w:trPr>
          <w:trHeight w:val="170"/>
        </w:trPr>
        <w:tc>
          <w:tcPr>
            <w:tcW w:w="1835" w:type="pct"/>
            <w:tcBorders>
              <w:top w:val="single" w:sz="4" w:space="0" w:color="auto"/>
              <w:left w:val="nil"/>
              <w:bottom w:val="double" w:sz="4" w:space="0" w:color="auto"/>
              <w:right w:val="nil"/>
            </w:tcBorders>
            <w:noWrap/>
            <w:vAlign w:val="bottom"/>
            <w:hideMark/>
          </w:tcPr>
          <w:p w14:paraId="6B086C6A" w14:textId="77777777" w:rsidR="00613B5C" w:rsidRPr="00471CBA" w:rsidRDefault="00613B5C" w:rsidP="00613B5C">
            <w:pPr>
              <w:rPr>
                <w:b/>
                <w:bCs/>
                <w:color w:val="000000"/>
                <w:szCs w:val="20"/>
              </w:rPr>
            </w:pPr>
            <w:r w:rsidRPr="00471CBA">
              <w:rPr>
                <w:b/>
                <w:bCs/>
                <w:color w:val="000000"/>
                <w:szCs w:val="20"/>
              </w:rPr>
              <w:t>Genel Toplam</w:t>
            </w:r>
          </w:p>
        </w:tc>
        <w:tc>
          <w:tcPr>
            <w:tcW w:w="1626" w:type="pct"/>
            <w:tcBorders>
              <w:top w:val="single" w:sz="4" w:space="0" w:color="auto"/>
              <w:left w:val="nil"/>
              <w:bottom w:val="double" w:sz="4" w:space="0" w:color="auto"/>
              <w:right w:val="nil"/>
            </w:tcBorders>
            <w:noWrap/>
            <w:vAlign w:val="center"/>
          </w:tcPr>
          <w:p w14:paraId="3D34126C" w14:textId="29739277" w:rsidR="00613B5C" w:rsidRPr="00471CBA" w:rsidRDefault="00613B5C" w:rsidP="00613B5C">
            <w:pPr>
              <w:jc w:val="right"/>
              <w:rPr>
                <w:b/>
                <w:bCs/>
                <w:color w:val="000000"/>
                <w:szCs w:val="20"/>
              </w:rPr>
            </w:pPr>
            <w:r w:rsidRPr="00471CBA">
              <w:rPr>
                <w:b/>
                <w:bCs/>
                <w:color w:val="000000"/>
                <w:szCs w:val="20"/>
              </w:rPr>
              <w:t>388.505</w:t>
            </w:r>
          </w:p>
        </w:tc>
        <w:tc>
          <w:tcPr>
            <w:tcW w:w="1539" w:type="pct"/>
            <w:tcBorders>
              <w:top w:val="single" w:sz="4" w:space="0" w:color="auto"/>
              <w:left w:val="nil"/>
              <w:bottom w:val="double" w:sz="4" w:space="0" w:color="auto"/>
              <w:right w:val="nil"/>
            </w:tcBorders>
            <w:noWrap/>
            <w:vAlign w:val="center"/>
          </w:tcPr>
          <w:p w14:paraId="11B39314" w14:textId="4EBCA476" w:rsidR="00613B5C" w:rsidRPr="00471CBA" w:rsidRDefault="00613B5C" w:rsidP="00613B5C">
            <w:pPr>
              <w:jc w:val="right"/>
              <w:rPr>
                <w:b/>
                <w:bCs/>
                <w:color w:val="000000"/>
                <w:szCs w:val="20"/>
              </w:rPr>
            </w:pPr>
            <w:r w:rsidRPr="00471CBA">
              <w:rPr>
                <w:b/>
                <w:bCs/>
                <w:color w:val="000000"/>
                <w:szCs w:val="20"/>
              </w:rPr>
              <w:t>388.505</w:t>
            </w:r>
          </w:p>
        </w:tc>
      </w:tr>
    </w:tbl>
    <w:p w14:paraId="69950DCA" w14:textId="77777777" w:rsidR="00151CA1" w:rsidRPr="00471CBA" w:rsidRDefault="00151CA1" w:rsidP="00151CA1">
      <w:pPr>
        <w:spacing w:before="120" w:after="120" w:line="240" w:lineRule="exact"/>
        <w:jc w:val="both"/>
        <w:outlineLvl w:val="1"/>
        <w:rPr>
          <w:szCs w:val="20"/>
        </w:rPr>
      </w:pPr>
      <w:r w:rsidRPr="00471CBA">
        <w:rPr>
          <w:szCs w:val="20"/>
          <w:vertAlign w:val="superscript"/>
        </w:rPr>
        <w:t xml:space="preserve">(*) </w:t>
      </w:r>
      <w:r w:rsidRPr="00471CBA">
        <w:rPr>
          <w:szCs w:val="20"/>
        </w:rPr>
        <w:t>Nakdi kredilere ilişkin bilgileri içermektedir.</w:t>
      </w:r>
    </w:p>
    <w:bookmarkEnd w:id="67"/>
    <w:p w14:paraId="6D0E2B7B" w14:textId="42FD566A" w:rsidR="00EE0925" w:rsidRPr="00471CBA" w:rsidRDefault="00EE0925" w:rsidP="00EE0925">
      <w:pPr>
        <w:ind w:left="851" w:hanging="851"/>
        <w:rPr>
          <w:b/>
          <w:szCs w:val="20"/>
        </w:rPr>
      </w:pPr>
      <w:r w:rsidRPr="00471CBA">
        <w:rPr>
          <w:b/>
          <w:szCs w:val="20"/>
        </w:rPr>
        <w:t>c.</w:t>
      </w:r>
      <w:r w:rsidR="00F658F0">
        <w:rPr>
          <w:b/>
          <w:szCs w:val="20"/>
        </w:rPr>
        <w:t>2</w:t>
      </w:r>
      <w:r w:rsidRPr="00471CBA">
        <w:rPr>
          <w:b/>
          <w:szCs w:val="20"/>
        </w:rPr>
        <w:t>. Kredi Riski Azaltımı</w:t>
      </w:r>
    </w:p>
    <w:p w14:paraId="53A6F203" w14:textId="6A205AEB" w:rsidR="00EE0925" w:rsidRPr="00471CBA" w:rsidRDefault="00EE0925" w:rsidP="00EE0925">
      <w:pPr>
        <w:spacing w:before="120" w:after="120"/>
        <w:ind w:left="851" w:hanging="851"/>
        <w:jc w:val="both"/>
        <w:rPr>
          <w:b/>
          <w:szCs w:val="20"/>
        </w:rPr>
      </w:pPr>
      <w:r w:rsidRPr="00471CBA">
        <w:rPr>
          <w:b/>
          <w:szCs w:val="20"/>
        </w:rPr>
        <w:t>c.</w:t>
      </w:r>
      <w:r w:rsidR="00F658F0">
        <w:rPr>
          <w:b/>
          <w:szCs w:val="20"/>
        </w:rPr>
        <w:t>2</w:t>
      </w:r>
      <w:r w:rsidRPr="00471CBA">
        <w:rPr>
          <w:b/>
          <w:szCs w:val="20"/>
        </w:rPr>
        <w:t xml:space="preserve">.1. Kredi Riski Azaltım Teknikleri </w:t>
      </w:r>
      <w:proofErr w:type="gramStart"/>
      <w:r w:rsidRPr="00471CBA">
        <w:rPr>
          <w:b/>
          <w:szCs w:val="20"/>
        </w:rPr>
        <w:t>İle</w:t>
      </w:r>
      <w:proofErr w:type="gramEnd"/>
      <w:r w:rsidRPr="00471CBA">
        <w:rPr>
          <w:b/>
          <w:szCs w:val="20"/>
        </w:rPr>
        <w:t xml:space="preserve"> İlgili Kamuya Açıklanacak Niteliksel Gereksinimler:</w:t>
      </w:r>
    </w:p>
    <w:p w14:paraId="469F3F52" w14:textId="77777777" w:rsidR="00EE0925" w:rsidRPr="00471CBA" w:rsidRDefault="00EE0925" w:rsidP="00EE0925">
      <w:pPr>
        <w:autoSpaceDE w:val="0"/>
        <w:autoSpaceDN w:val="0"/>
        <w:ind w:right="102"/>
        <w:jc w:val="both"/>
        <w:rPr>
          <w:color w:val="000000"/>
          <w:szCs w:val="20"/>
        </w:rPr>
      </w:pPr>
      <w:r w:rsidRPr="00471CBA">
        <w:rPr>
          <w:color w:val="000000"/>
          <w:szCs w:val="20"/>
        </w:rPr>
        <w:t xml:space="preserve">Bilanço içi ve bilanço dışı netleştirme sözleşmeleri kullanılmamaktadır. </w:t>
      </w:r>
    </w:p>
    <w:p w14:paraId="664D0BA5" w14:textId="77777777" w:rsidR="00EE0925" w:rsidRPr="00471CBA" w:rsidRDefault="00EE0925" w:rsidP="00EE0925">
      <w:pPr>
        <w:autoSpaceDE w:val="0"/>
        <w:autoSpaceDN w:val="0"/>
        <w:ind w:right="102"/>
        <w:jc w:val="both"/>
        <w:rPr>
          <w:color w:val="000000"/>
          <w:szCs w:val="20"/>
        </w:rPr>
      </w:pPr>
      <w:r w:rsidRPr="00471CBA">
        <w:rPr>
          <w:color w:val="000000"/>
          <w:szCs w:val="20"/>
        </w:rPr>
        <w:t xml:space="preserve">Banka, kredilendirme işlemlerinde 6 Eylül 2014 tarihinde yayımlanan “Kredi Riski Azaltım Tekniklerine İlişkin Tebliğ” kapsamında dikkate alınabilecek aşağıdaki risk azaltıcı unsurları teminat olarak kabul etmektedir. </w:t>
      </w:r>
    </w:p>
    <w:p w14:paraId="34C4B77F" w14:textId="77777777" w:rsidR="00EE0925" w:rsidRPr="00471CBA" w:rsidRDefault="00EE0925" w:rsidP="008459A9">
      <w:pPr>
        <w:pStyle w:val="ListeParagraf"/>
        <w:numPr>
          <w:ilvl w:val="0"/>
          <w:numId w:val="92"/>
        </w:numPr>
        <w:autoSpaceDE w:val="0"/>
        <w:autoSpaceDN w:val="0"/>
        <w:spacing w:before="120"/>
        <w:ind w:right="102"/>
        <w:jc w:val="both"/>
        <w:rPr>
          <w:color w:val="000000"/>
          <w:szCs w:val="20"/>
        </w:rPr>
      </w:pPr>
      <w:r w:rsidRPr="00471CBA">
        <w:rPr>
          <w:color w:val="000000"/>
          <w:szCs w:val="20"/>
        </w:rPr>
        <w:t xml:space="preserve">Finansal Teminatlar (Hazine Bonosu, Devlet Tahvili, Nakit, Mevduat veya Katılım Fonu </w:t>
      </w:r>
      <w:proofErr w:type="spellStart"/>
      <w:r w:rsidRPr="00471CBA">
        <w:rPr>
          <w:color w:val="000000"/>
          <w:szCs w:val="20"/>
        </w:rPr>
        <w:t>Rehni</w:t>
      </w:r>
      <w:proofErr w:type="spellEnd"/>
      <w:r w:rsidRPr="00471CBA">
        <w:rPr>
          <w:color w:val="000000"/>
          <w:szCs w:val="20"/>
        </w:rPr>
        <w:t xml:space="preserve">, Altın, Hisse Senedi </w:t>
      </w:r>
      <w:proofErr w:type="spellStart"/>
      <w:r w:rsidRPr="00471CBA">
        <w:rPr>
          <w:color w:val="000000"/>
          <w:szCs w:val="20"/>
        </w:rPr>
        <w:t>Rehni</w:t>
      </w:r>
      <w:proofErr w:type="spellEnd"/>
      <w:r w:rsidRPr="00471CBA">
        <w:rPr>
          <w:color w:val="000000"/>
          <w:szCs w:val="20"/>
        </w:rPr>
        <w:t xml:space="preserve">) </w:t>
      </w:r>
    </w:p>
    <w:p w14:paraId="79C054F5" w14:textId="77777777" w:rsidR="00EE0925" w:rsidRPr="00471CBA" w:rsidRDefault="00EE0925" w:rsidP="008459A9">
      <w:pPr>
        <w:pStyle w:val="ListeParagraf"/>
        <w:numPr>
          <w:ilvl w:val="0"/>
          <w:numId w:val="92"/>
        </w:numPr>
        <w:autoSpaceDE w:val="0"/>
        <w:autoSpaceDN w:val="0"/>
        <w:ind w:right="102"/>
        <w:jc w:val="both"/>
        <w:rPr>
          <w:color w:val="000000"/>
          <w:szCs w:val="20"/>
        </w:rPr>
      </w:pPr>
      <w:r w:rsidRPr="00471CBA">
        <w:rPr>
          <w:color w:val="000000"/>
          <w:szCs w:val="20"/>
        </w:rPr>
        <w:t>Garantiler</w:t>
      </w:r>
    </w:p>
    <w:p w14:paraId="62882254" w14:textId="77777777" w:rsidR="00EE0925" w:rsidRPr="00471CBA" w:rsidRDefault="00EE0925" w:rsidP="00EE0925">
      <w:pPr>
        <w:autoSpaceDE w:val="0"/>
        <w:autoSpaceDN w:val="0"/>
        <w:spacing w:before="120"/>
        <w:ind w:right="102"/>
        <w:jc w:val="both"/>
        <w:rPr>
          <w:color w:val="000000"/>
          <w:szCs w:val="20"/>
        </w:rPr>
      </w:pPr>
      <w:r w:rsidRPr="00471CBA">
        <w:rPr>
          <w:color w:val="000000"/>
          <w:szCs w:val="20"/>
        </w:rPr>
        <w:t xml:space="preserve">Garantörlerin kredibiliteleri kredi revizyon vadeleri çerçevesinde izlenmekte ve değerlendirilmektedir. </w:t>
      </w:r>
    </w:p>
    <w:p w14:paraId="1B99DCF0" w14:textId="77777777" w:rsidR="00EE0925" w:rsidRPr="00471CBA" w:rsidRDefault="00EE0925" w:rsidP="00EE0925">
      <w:pPr>
        <w:autoSpaceDE w:val="0"/>
        <w:autoSpaceDN w:val="0"/>
        <w:ind w:right="102"/>
        <w:jc w:val="both"/>
        <w:rPr>
          <w:color w:val="000000"/>
          <w:szCs w:val="20"/>
        </w:rPr>
      </w:pPr>
      <w:r w:rsidRPr="00471CBA">
        <w:rPr>
          <w:color w:val="000000"/>
          <w:szCs w:val="20"/>
        </w:rPr>
        <w:t xml:space="preserve">Banka tarafından alınan ipotekler kredi ilişkisi devam ettiği sürece ilgili mevzuat hükümleri uyarınca yeniden gözden geçirme ve ekspertiz işlemlerine konu edilmektedir. </w:t>
      </w:r>
    </w:p>
    <w:p w14:paraId="78BDB6A8" w14:textId="77777777" w:rsidR="00EE0925" w:rsidRPr="00471CBA" w:rsidRDefault="00EE0925" w:rsidP="00EE0925">
      <w:pPr>
        <w:autoSpaceDE w:val="0"/>
        <w:autoSpaceDN w:val="0"/>
        <w:spacing w:before="120"/>
        <w:ind w:right="102"/>
        <w:jc w:val="both"/>
        <w:rPr>
          <w:color w:val="000000"/>
          <w:szCs w:val="20"/>
        </w:rPr>
      </w:pPr>
      <w:r w:rsidRPr="00471CBA">
        <w:rPr>
          <w:color w:val="000000"/>
          <w:szCs w:val="20"/>
        </w:rPr>
        <w:t xml:space="preserve">Gayrimenkulün değerinin genel piyasa fiyatlarına göre önemli oranda azalmış olabileceğine ilişkin göstergelerin bulunması halinde gayrimenkul değerlemesi Bankacılık Düzenleme ve Denetleme Kurulu veya Sermaye Piyasası Kurulu tarafından yetkilendirilmiş bulunan yetkili değerleme kuruluşları tarafından yapılır. </w:t>
      </w:r>
    </w:p>
    <w:p w14:paraId="21153236" w14:textId="77777777" w:rsidR="00EE0925" w:rsidRPr="00471CBA" w:rsidRDefault="00EE0925" w:rsidP="00EE0925">
      <w:pPr>
        <w:autoSpaceDE w:val="0"/>
        <w:autoSpaceDN w:val="0"/>
        <w:spacing w:before="120"/>
        <w:ind w:right="102"/>
        <w:jc w:val="both"/>
        <w:rPr>
          <w:color w:val="000000"/>
          <w:szCs w:val="20"/>
        </w:rPr>
      </w:pPr>
      <w:r w:rsidRPr="00471CBA">
        <w:rPr>
          <w:color w:val="000000"/>
          <w:szCs w:val="20"/>
        </w:rPr>
        <w:t xml:space="preserve">Banka, BDDK'nın düzenlemeleri doğrultusunda risk azaltıcı unsur olarak değerlendirilen diğer bankalar tarafından verilen garantileri düzenli olarak izlemekte olup, bankalara ilişkin kredi değerliliği periyodik olarak gözden geçirilmektedir. </w:t>
      </w:r>
    </w:p>
    <w:p w14:paraId="7600A35F" w14:textId="6372E6FC" w:rsidR="00EE0925" w:rsidRPr="00471CBA" w:rsidRDefault="00EE0925" w:rsidP="007E2E21">
      <w:pPr>
        <w:spacing w:before="120" w:after="120" w:line="240" w:lineRule="exact"/>
        <w:ind w:right="102"/>
        <w:jc w:val="both"/>
        <w:outlineLvl w:val="1"/>
        <w:rPr>
          <w:color w:val="000000"/>
          <w:szCs w:val="20"/>
        </w:rPr>
      </w:pPr>
      <w:r w:rsidRPr="00471CBA">
        <w:rPr>
          <w:color w:val="000000"/>
          <w:szCs w:val="20"/>
        </w:rPr>
        <w:t>Gayrimenkul piyasasındaki volatilite Banka tarafından yakinen takip edilmekte olup, anılan risk sınıfına ilişkin piyasa hareketlerine bağlı olarak oluşabilecek dalgalanmalar kredi çalışmalarında dikkate alınmaktadır.</w:t>
      </w:r>
    </w:p>
    <w:p w14:paraId="118859F1" w14:textId="7DA9D517" w:rsidR="00EE0925" w:rsidRPr="00471CBA" w:rsidRDefault="00EE0925" w:rsidP="00EE0925">
      <w:pPr>
        <w:ind w:left="851" w:hanging="851"/>
        <w:rPr>
          <w:b/>
          <w:bCs/>
          <w:szCs w:val="20"/>
        </w:rPr>
      </w:pPr>
      <w:r w:rsidRPr="00471CBA">
        <w:rPr>
          <w:b/>
          <w:bCs/>
          <w:szCs w:val="20"/>
        </w:rPr>
        <w:t>c.</w:t>
      </w:r>
      <w:r w:rsidR="00F658F0">
        <w:rPr>
          <w:b/>
          <w:bCs/>
          <w:szCs w:val="20"/>
        </w:rPr>
        <w:t>2</w:t>
      </w:r>
      <w:r w:rsidRPr="00471CBA">
        <w:rPr>
          <w:b/>
          <w:bCs/>
          <w:szCs w:val="20"/>
        </w:rPr>
        <w:t>.2.</w:t>
      </w:r>
      <w:r w:rsidRPr="00471CBA">
        <w:rPr>
          <w:b/>
          <w:bCs/>
          <w:szCs w:val="20"/>
        </w:rPr>
        <w:tab/>
        <w:t>Kredi Riski Azaltım Teknikleri - Genel Bakış:</w:t>
      </w:r>
    </w:p>
    <w:p w14:paraId="36AEC21B" w14:textId="11BE5DD3" w:rsidR="00A74C68" w:rsidRPr="00471CBA" w:rsidRDefault="00A74C68" w:rsidP="00EE0925"/>
    <w:tbl>
      <w:tblPr>
        <w:tblW w:w="5007" w:type="pct"/>
        <w:tblCellMar>
          <w:left w:w="70" w:type="dxa"/>
          <w:right w:w="70" w:type="dxa"/>
        </w:tblCellMar>
        <w:tblLook w:val="04A0" w:firstRow="1" w:lastRow="0" w:firstColumn="1" w:lastColumn="0" w:noHBand="0" w:noVBand="1"/>
      </w:tblPr>
      <w:tblGrid>
        <w:gridCol w:w="229"/>
        <w:gridCol w:w="1660"/>
        <w:gridCol w:w="1272"/>
        <w:gridCol w:w="1010"/>
        <w:gridCol w:w="1139"/>
        <w:gridCol w:w="1145"/>
        <w:gridCol w:w="1143"/>
        <w:gridCol w:w="994"/>
        <w:gridCol w:w="1060"/>
      </w:tblGrid>
      <w:tr w:rsidR="00A74C68" w:rsidRPr="00471CBA" w14:paraId="27F88129" w14:textId="77777777" w:rsidTr="00A74C68">
        <w:trPr>
          <w:divId w:val="691078195"/>
          <w:trHeight w:val="170"/>
        </w:trPr>
        <w:tc>
          <w:tcPr>
            <w:tcW w:w="979" w:type="pct"/>
            <w:gridSpan w:val="2"/>
            <w:tcBorders>
              <w:top w:val="single" w:sz="4" w:space="0" w:color="auto"/>
              <w:bottom w:val="single" w:sz="4" w:space="0" w:color="auto"/>
            </w:tcBorders>
            <w:noWrap/>
            <w:vAlign w:val="center"/>
            <w:hideMark/>
          </w:tcPr>
          <w:p w14:paraId="2A812BDC" w14:textId="1CD51C63" w:rsidR="00A74C68" w:rsidRPr="00471CBA" w:rsidRDefault="00A74C68" w:rsidP="00A74C68">
            <w:pPr>
              <w:jc w:val="center"/>
              <w:rPr>
                <w:b/>
                <w:bCs/>
                <w:color w:val="000000"/>
                <w:sz w:val="16"/>
                <w:szCs w:val="16"/>
                <w:lang w:eastAsia="tr-TR"/>
              </w:rPr>
            </w:pPr>
            <w:r w:rsidRPr="00471CBA">
              <w:rPr>
                <w:b/>
                <w:bCs/>
                <w:color w:val="000000"/>
                <w:sz w:val="16"/>
                <w:szCs w:val="16"/>
                <w:lang w:eastAsia="tr-TR"/>
              </w:rPr>
              <w:t>31 Aralık 2025</w:t>
            </w:r>
          </w:p>
        </w:tc>
        <w:tc>
          <w:tcPr>
            <w:tcW w:w="659" w:type="pct"/>
            <w:tcBorders>
              <w:top w:val="single" w:sz="4" w:space="0" w:color="auto"/>
              <w:bottom w:val="single" w:sz="4" w:space="0" w:color="auto"/>
            </w:tcBorders>
            <w:vAlign w:val="bottom"/>
            <w:hideMark/>
          </w:tcPr>
          <w:p w14:paraId="387C4DEC"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Teminatsız alacaklar: TMS uyarınca değerlenmiş tutar</w:t>
            </w:r>
          </w:p>
        </w:tc>
        <w:tc>
          <w:tcPr>
            <w:tcW w:w="523" w:type="pct"/>
            <w:tcBorders>
              <w:top w:val="single" w:sz="4" w:space="0" w:color="auto"/>
              <w:bottom w:val="single" w:sz="4" w:space="0" w:color="auto"/>
            </w:tcBorders>
            <w:vAlign w:val="bottom"/>
            <w:hideMark/>
          </w:tcPr>
          <w:p w14:paraId="13C616A7"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Teminat ile korunan alacaklar</w:t>
            </w:r>
          </w:p>
        </w:tc>
        <w:tc>
          <w:tcPr>
            <w:tcW w:w="590" w:type="pct"/>
            <w:tcBorders>
              <w:top w:val="single" w:sz="4" w:space="0" w:color="auto"/>
              <w:bottom w:val="single" w:sz="4" w:space="0" w:color="auto"/>
            </w:tcBorders>
            <w:vAlign w:val="bottom"/>
            <w:hideMark/>
          </w:tcPr>
          <w:p w14:paraId="315FB5D2"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Teminat ile korunan alacakların teminatlı kısımları</w:t>
            </w:r>
          </w:p>
        </w:tc>
        <w:tc>
          <w:tcPr>
            <w:tcW w:w="593" w:type="pct"/>
            <w:tcBorders>
              <w:top w:val="single" w:sz="4" w:space="0" w:color="auto"/>
              <w:bottom w:val="single" w:sz="4" w:space="0" w:color="auto"/>
            </w:tcBorders>
            <w:vAlign w:val="bottom"/>
            <w:hideMark/>
          </w:tcPr>
          <w:p w14:paraId="3FCF191F"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Finansal garantiler ile korunan alacaklar</w:t>
            </w:r>
          </w:p>
        </w:tc>
        <w:tc>
          <w:tcPr>
            <w:tcW w:w="592" w:type="pct"/>
            <w:tcBorders>
              <w:top w:val="single" w:sz="4" w:space="0" w:color="auto"/>
              <w:bottom w:val="single" w:sz="4" w:space="0" w:color="auto"/>
            </w:tcBorders>
            <w:vAlign w:val="bottom"/>
            <w:hideMark/>
          </w:tcPr>
          <w:p w14:paraId="0703A051"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Finansal garantiler ile korunan alacakların teminatlı kısımları</w:t>
            </w:r>
          </w:p>
        </w:tc>
        <w:tc>
          <w:tcPr>
            <w:tcW w:w="515" w:type="pct"/>
            <w:tcBorders>
              <w:top w:val="single" w:sz="4" w:space="0" w:color="auto"/>
              <w:bottom w:val="single" w:sz="4" w:space="0" w:color="auto"/>
            </w:tcBorders>
            <w:vAlign w:val="bottom"/>
            <w:hideMark/>
          </w:tcPr>
          <w:p w14:paraId="312A060A"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Kredi türevleri ile korunan alacaklar</w:t>
            </w:r>
          </w:p>
        </w:tc>
        <w:tc>
          <w:tcPr>
            <w:tcW w:w="550" w:type="pct"/>
            <w:tcBorders>
              <w:top w:val="single" w:sz="4" w:space="0" w:color="auto"/>
              <w:bottom w:val="single" w:sz="4" w:space="0" w:color="auto"/>
            </w:tcBorders>
            <w:vAlign w:val="bottom"/>
            <w:hideMark/>
          </w:tcPr>
          <w:p w14:paraId="34367378"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Kredi türevleri ile korunan alacakların teminatlı kısımları</w:t>
            </w:r>
          </w:p>
        </w:tc>
      </w:tr>
      <w:tr w:rsidR="00A74C68" w:rsidRPr="00471CBA" w14:paraId="7A6F3F8F" w14:textId="77777777" w:rsidTr="00A74C68">
        <w:trPr>
          <w:divId w:val="691078195"/>
          <w:trHeight w:val="170"/>
        </w:trPr>
        <w:tc>
          <w:tcPr>
            <w:tcW w:w="119" w:type="pct"/>
            <w:tcBorders>
              <w:top w:val="single" w:sz="4" w:space="0" w:color="auto"/>
            </w:tcBorders>
            <w:noWrap/>
            <w:hideMark/>
          </w:tcPr>
          <w:p w14:paraId="037FCF13" w14:textId="77777777" w:rsidR="00A74C68" w:rsidRPr="00471CBA" w:rsidRDefault="00A74C68" w:rsidP="00A74C68">
            <w:pPr>
              <w:jc w:val="right"/>
              <w:rPr>
                <w:color w:val="000000"/>
                <w:sz w:val="16"/>
                <w:szCs w:val="16"/>
                <w:lang w:eastAsia="tr-TR"/>
              </w:rPr>
            </w:pPr>
            <w:r w:rsidRPr="00471CBA">
              <w:rPr>
                <w:color w:val="000000"/>
                <w:sz w:val="16"/>
                <w:szCs w:val="16"/>
                <w:lang w:eastAsia="tr-TR"/>
              </w:rPr>
              <w:t>1</w:t>
            </w:r>
          </w:p>
        </w:tc>
        <w:tc>
          <w:tcPr>
            <w:tcW w:w="859" w:type="pct"/>
            <w:tcBorders>
              <w:top w:val="single" w:sz="4" w:space="0" w:color="auto"/>
            </w:tcBorders>
            <w:noWrap/>
            <w:vAlign w:val="bottom"/>
            <w:hideMark/>
          </w:tcPr>
          <w:p w14:paraId="5937C2D3" w14:textId="77777777" w:rsidR="00A74C68" w:rsidRPr="00471CBA" w:rsidRDefault="00A74C68" w:rsidP="00A74C68">
            <w:pPr>
              <w:rPr>
                <w:color w:val="000000"/>
                <w:sz w:val="16"/>
                <w:szCs w:val="16"/>
                <w:lang w:eastAsia="tr-TR"/>
              </w:rPr>
            </w:pPr>
            <w:r w:rsidRPr="00471CBA">
              <w:rPr>
                <w:color w:val="000000"/>
                <w:sz w:val="16"/>
                <w:szCs w:val="16"/>
                <w:lang w:eastAsia="tr-TR"/>
              </w:rPr>
              <w:t>Krediler</w:t>
            </w:r>
          </w:p>
        </w:tc>
        <w:tc>
          <w:tcPr>
            <w:tcW w:w="659" w:type="pct"/>
            <w:tcBorders>
              <w:top w:val="single" w:sz="4" w:space="0" w:color="auto"/>
            </w:tcBorders>
            <w:vAlign w:val="center"/>
            <w:hideMark/>
          </w:tcPr>
          <w:p w14:paraId="4B39F7F6" w14:textId="77777777" w:rsidR="00A74C68" w:rsidRPr="00471CBA" w:rsidRDefault="00A74C68" w:rsidP="00A74C68">
            <w:pPr>
              <w:jc w:val="right"/>
              <w:rPr>
                <w:color w:val="000000"/>
                <w:sz w:val="16"/>
                <w:szCs w:val="16"/>
                <w:lang w:eastAsia="tr-TR"/>
              </w:rPr>
            </w:pPr>
            <w:r w:rsidRPr="00471CBA">
              <w:rPr>
                <w:sz w:val="16"/>
                <w:szCs w:val="16"/>
              </w:rPr>
              <w:t>40.053.282</w:t>
            </w:r>
          </w:p>
        </w:tc>
        <w:tc>
          <w:tcPr>
            <w:tcW w:w="523" w:type="pct"/>
            <w:tcBorders>
              <w:top w:val="single" w:sz="4" w:space="0" w:color="auto"/>
            </w:tcBorders>
            <w:vAlign w:val="center"/>
            <w:hideMark/>
          </w:tcPr>
          <w:p w14:paraId="09EA7402" w14:textId="77777777" w:rsidR="00A74C68" w:rsidRPr="00471CBA" w:rsidRDefault="00A74C68" w:rsidP="00A74C68">
            <w:pPr>
              <w:jc w:val="right"/>
              <w:rPr>
                <w:color w:val="000000"/>
                <w:sz w:val="16"/>
                <w:szCs w:val="16"/>
                <w:lang w:eastAsia="tr-TR"/>
              </w:rPr>
            </w:pPr>
            <w:r w:rsidRPr="00471CBA">
              <w:rPr>
                <w:sz w:val="16"/>
                <w:szCs w:val="16"/>
              </w:rPr>
              <w:t>14.401.112</w:t>
            </w:r>
          </w:p>
        </w:tc>
        <w:tc>
          <w:tcPr>
            <w:tcW w:w="590" w:type="pct"/>
            <w:tcBorders>
              <w:top w:val="single" w:sz="4" w:space="0" w:color="auto"/>
            </w:tcBorders>
            <w:vAlign w:val="center"/>
            <w:hideMark/>
          </w:tcPr>
          <w:p w14:paraId="027129D3" w14:textId="77777777" w:rsidR="00A74C68" w:rsidRPr="00471CBA" w:rsidRDefault="00A74C68" w:rsidP="00A74C68">
            <w:pPr>
              <w:jc w:val="right"/>
              <w:rPr>
                <w:color w:val="000000"/>
                <w:sz w:val="16"/>
                <w:szCs w:val="16"/>
                <w:lang w:eastAsia="tr-TR"/>
              </w:rPr>
            </w:pPr>
            <w:r w:rsidRPr="00471CBA">
              <w:rPr>
                <w:sz w:val="16"/>
                <w:szCs w:val="16"/>
              </w:rPr>
              <w:t>4.069.919</w:t>
            </w:r>
          </w:p>
        </w:tc>
        <w:tc>
          <w:tcPr>
            <w:tcW w:w="593" w:type="pct"/>
            <w:tcBorders>
              <w:top w:val="single" w:sz="4" w:space="0" w:color="auto"/>
            </w:tcBorders>
            <w:vAlign w:val="center"/>
            <w:hideMark/>
          </w:tcPr>
          <w:p w14:paraId="4A5E46DD" w14:textId="77777777" w:rsidR="00A74C68" w:rsidRPr="00471CBA" w:rsidRDefault="00A74C68" w:rsidP="00A74C68">
            <w:pPr>
              <w:jc w:val="right"/>
              <w:rPr>
                <w:color w:val="000000"/>
                <w:sz w:val="16"/>
                <w:szCs w:val="16"/>
                <w:lang w:eastAsia="tr-TR"/>
              </w:rPr>
            </w:pPr>
            <w:r w:rsidRPr="00471CBA">
              <w:rPr>
                <w:sz w:val="16"/>
                <w:szCs w:val="16"/>
              </w:rPr>
              <w:t>-</w:t>
            </w:r>
          </w:p>
        </w:tc>
        <w:tc>
          <w:tcPr>
            <w:tcW w:w="592" w:type="pct"/>
            <w:tcBorders>
              <w:top w:val="single" w:sz="4" w:space="0" w:color="auto"/>
            </w:tcBorders>
            <w:vAlign w:val="center"/>
            <w:hideMark/>
          </w:tcPr>
          <w:p w14:paraId="1DD16382" w14:textId="77777777" w:rsidR="00A74C68" w:rsidRPr="00471CBA" w:rsidRDefault="00A74C68" w:rsidP="00A74C68">
            <w:pPr>
              <w:jc w:val="right"/>
              <w:rPr>
                <w:color w:val="000000"/>
                <w:sz w:val="16"/>
                <w:szCs w:val="16"/>
                <w:lang w:eastAsia="tr-TR"/>
              </w:rPr>
            </w:pPr>
            <w:r w:rsidRPr="00471CBA">
              <w:rPr>
                <w:sz w:val="16"/>
                <w:szCs w:val="16"/>
              </w:rPr>
              <w:t>-</w:t>
            </w:r>
          </w:p>
        </w:tc>
        <w:tc>
          <w:tcPr>
            <w:tcW w:w="515" w:type="pct"/>
            <w:tcBorders>
              <w:top w:val="single" w:sz="4" w:space="0" w:color="auto"/>
            </w:tcBorders>
            <w:vAlign w:val="center"/>
            <w:hideMark/>
          </w:tcPr>
          <w:p w14:paraId="04E326D5" w14:textId="77777777" w:rsidR="00A74C68" w:rsidRPr="00471CBA" w:rsidRDefault="00A74C68" w:rsidP="00A74C68">
            <w:pPr>
              <w:jc w:val="right"/>
              <w:rPr>
                <w:color w:val="000000"/>
                <w:sz w:val="16"/>
                <w:szCs w:val="16"/>
                <w:lang w:eastAsia="tr-TR"/>
              </w:rPr>
            </w:pPr>
            <w:r w:rsidRPr="00471CBA">
              <w:rPr>
                <w:sz w:val="16"/>
                <w:szCs w:val="16"/>
              </w:rPr>
              <w:t>-</w:t>
            </w:r>
          </w:p>
        </w:tc>
        <w:tc>
          <w:tcPr>
            <w:tcW w:w="550" w:type="pct"/>
            <w:tcBorders>
              <w:top w:val="single" w:sz="4" w:space="0" w:color="auto"/>
            </w:tcBorders>
            <w:vAlign w:val="center"/>
            <w:hideMark/>
          </w:tcPr>
          <w:p w14:paraId="19555A20" w14:textId="77777777" w:rsidR="00A74C68" w:rsidRPr="00471CBA" w:rsidRDefault="00A74C68" w:rsidP="00A74C68">
            <w:pPr>
              <w:jc w:val="right"/>
              <w:rPr>
                <w:color w:val="000000"/>
                <w:sz w:val="16"/>
                <w:szCs w:val="16"/>
                <w:lang w:eastAsia="tr-TR"/>
              </w:rPr>
            </w:pPr>
            <w:r w:rsidRPr="00471CBA">
              <w:rPr>
                <w:sz w:val="16"/>
                <w:szCs w:val="16"/>
              </w:rPr>
              <w:t>-</w:t>
            </w:r>
          </w:p>
        </w:tc>
      </w:tr>
      <w:tr w:rsidR="00A74C68" w:rsidRPr="00471CBA" w14:paraId="06A96CB1" w14:textId="77777777" w:rsidTr="00A74C68">
        <w:trPr>
          <w:divId w:val="691078195"/>
          <w:trHeight w:val="170"/>
        </w:trPr>
        <w:tc>
          <w:tcPr>
            <w:tcW w:w="119" w:type="pct"/>
            <w:noWrap/>
            <w:hideMark/>
          </w:tcPr>
          <w:p w14:paraId="18E64B29" w14:textId="77777777" w:rsidR="00A74C68" w:rsidRPr="00471CBA" w:rsidRDefault="00A74C68" w:rsidP="00A74C68">
            <w:pPr>
              <w:rPr>
                <w:color w:val="000000"/>
                <w:sz w:val="16"/>
                <w:szCs w:val="16"/>
                <w:lang w:eastAsia="tr-TR"/>
              </w:rPr>
            </w:pPr>
            <w:r w:rsidRPr="00471CBA">
              <w:rPr>
                <w:color w:val="000000"/>
                <w:sz w:val="16"/>
                <w:szCs w:val="16"/>
                <w:lang w:eastAsia="tr-TR"/>
              </w:rPr>
              <w:t>2</w:t>
            </w:r>
          </w:p>
        </w:tc>
        <w:tc>
          <w:tcPr>
            <w:tcW w:w="859" w:type="pct"/>
            <w:noWrap/>
            <w:vAlign w:val="bottom"/>
            <w:hideMark/>
          </w:tcPr>
          <w:p w14:paraId="55DE2143" w14:textId="77777777" w:rsidR="00A74C68" w:rsidRPr="00471CBA" w:rsidRDefault="00A74C68" w:rsidP="00A74C68">
            <w:pPr>
              <w:rPr>
                <w:color w:val="000000"/>
                <w:sz w:val="16"/>
                <w:szCs w:val="16"/>
                <w:lang w:eastAsia="tr-TR"/>
              </w:rPr>
            </w:pPr>
            <w:r w:rsidRPr="00471CBA">
              <w:rPr>
                <w:color w:val="000000"/>
                <w:sz w:val="16"/>
                <w:szCs w:val="16"/>
                <w:lang w:eastAsia="tr-TR"/>
              </w:rPr>
              <w:t>Borçlanma araçları</w:t>
            </w:r>
          </w:p>
        </w:tc>
        <w:tc>
          <w:tcPr>
            <w:tcW w:w="659" w:type="pct"/>
            <w:vAlign w:val="center"/>
            <w:hideMark/>
          </w:tcPr>
          <w:p w14:paraId="45AED81D" w14:textId="77777777" w:rsidR="00A74C68" w:rsidRPr="00471CBA" w:rsidRDefault="00A74C68" w:rsidP="00A74C68">
            <w:pPr>
              <w:jc w:val="right"/>
              <w:rPr>
                <w:color w:val="000000"/>
                <w:sz w:val="16"/>
                <w:szCs w:val="16"/>
                <w:lang w:eastAsia="tr-TR"/>
              </w:rPr>
            </w:pPr>
            <w:r w:rsidRPr="00471CBA">
              <w:rPr>
                <w:sz w:val="16"/>
                <w:szCs w:val="16"/>
              </w:rPr>
              <w:t>5.880.983</w:t>
            </w:r>
          </w:p>
        </w:tc>
        <w:tc>
          <w:tcPr>
            <w:tcW w:w="523" w:type="pct"/>
            <w:vAlign w:val="center"/>
            <w:hideMark/>
          </w:tcPr>
          <w:p w14:paraId="5FA5A308" w14:textId="77777777" w:rsidR="00A74C68" w:rsidRPr="00471CBA" w:rsidRDefault="00A74C68" w:rsidP="00A74C68">
            <w:pPr>
              <w:jc w:val="right"/>
              <w:rPr>
                <w:color w:val="000000"/>
                <w:sz w:val="16"/>
                <w:szCs w:val="16"/>
                <w:lang w:eastAsia="tr-TR"/>
              </w:rPr>
            </w:pPr>
            <w:r w:rsidRPr="00471CBA">
              <w:rPr>
                <w:sz w:val="16"/>
                <w:szCs w:val="16"/>
              </w:rPr>
              <w:t>57.508</w:t>
            </w:r>
          </w:p>
        </w:tc>
        <w:tc>
          <w:tcPr>
            <w:tcW w:w="590" w:type="pct"/>
            <w:vAlign w:val="center"/>
            <w:hideMark/>
          </w:tcPr>
          <w:p w14:paraId="706C4338" w14:textId="77777777" w:rsidR="00A74C68" w:rsidRPr="00471CBA" w:rsidRDefault="00A74C68" w:rsidP="00A74C68">
            <w:pPr>
              <w:jc w:val="right"/>
              <w:rPr>
                <w:color w:val="000000"/>
                <w:sz w:val="16"/>
                <w:szCs w:val="16"/>
                <w:lang w:eastAsia="tr-TR"/>
              </w:rPr>
            </w:pPr>
            <w:r w:rsidRPr="00471CBA">
              <w:rPr>
                <w:sz w:val="16"/>
                <w:szCs w:val="16"/>
              </w:rPr>
              <w:t>57.508</w:t>
            </w:r>
          </w:p>
        </w:tc>
        <w:tc>
          <w:tcPr>
            <w:tcW w:w="593" w:type="pct"/>
            <w:vAlign w:val="center"/>
            <w:hideMark/>
          </w:tcPr>
          <w:p w14:paraId="045BA8F8" w14:textId="77777777" w:rsidR="00A74C68" w:rsidRPr="00471CBA" w:rsidRDefault="00A74C68" w:rsidP="00A74C68">
            <w:pPr>
              <w:jc w:val="right"/>
              <w:rPr>
                <w:color w:val="000000"/>
                <w:sz w:val="16"/>
                <w:szCs w:val="16"/>
                <w:lang w:eastAsia="tr-TR"/>
              </w:rPr>
            </w:pPr>
            <w:r w:rsidRPr="00471CBA">
              <w:rPr>
                <w:sz w:val="16"/>
                <w:szCs w:val="16"/>
              </w:rPr>
              <w:t>-</w:t>
            </w:r>
          </w:p>
        </w:tc>
        <w:tc>
          <w:tcPr>
            <w:tcW w:w="592" w:type="pct"/>
            <w:vAlign w:val="center"/>
            <w:hideMark/>
          </w:tcPr>
          <w:p w14:paraId="4B6DDBAE" w14:textId="77777777" w:rsidR="00A74C68" w:rsidRPr="00471CBA" w:rsidRDefault="00A74C68" w:rsidP="00A74C68">
            <w:pPr>
              <w:jc w:val="right"/>
              <w:rPr>
                <w:color w:val="000000"/>
                <w:sz w:val="16"/>
                <w:szCs w:val="16"/>
                <w:lang w:eastAsia="tr-TR"/>
              </w:rPr>
            </w:pPr>
            <w:r w:rsidRPr="00471CBA">
              <w:rPr>
                <w:sz w:val="16"/>
                <w:szCs w:val="16"/>
              </w:rPr>
              <w:t>-</w:t>
            </w:r>
          </w:p>
        </w:tc>
        <w:tc>
          <w:tcPr>
            <w:tcW w:w="515" w:type="pct"/>
            <w:vAlign w:val="center"/>
            <w:hideMark/>
          </w:tcPr>
          <w:p w14:paraId="509174C8" w14:textId="77777777" w:rsidR="00A74C68" w:rsidRPr="00471CBA" w:rsidRDefault="00A74C68" w:rsidP="00A74C68">
            <w:pPr>
              <w:jc w:val="right"/>
              <w:rPr>
                <w:color w:val="000000"/>
                <w:sz w:val="16"/>
                <w:szCs w:val="16"/>
                <w:lang w:eastAsia="tr-TR"/>
              </w:rPr>
            </w:pPr>
            <w:r w:rsidRPr="00471CBA">
              <w:rPr>
                <w:sz w:val="16"/>
                <w:szCs w:val="16"/>
              </w:rPr>
              <w:t>-</w:t>
            </w:r>
          </w:p>
        </w:tc>
        <w:tc>
          <w:tcPr>
            <w:tcW w:w="550" w:type="pct"/>
            <w:vAlign w:val="center"/>
            <w:hideMark/>
          </w:tcPr>
          <w:p w14:paraId="7739FCF0" w14:textId="77777777" w:rsidR="00A74C68" w:rsidRPr="00471CBA" w:rsidRDefault="00A74C68" w:rsidP="00A74C68">
            <w:pPr>
              <w:jc w:val="right"/>
              <w:rPr>
                <w:color w:val="000000"/>
                <w:sz w:val="16"/>
                <w:szCs w:val="16"/>
                <w:lang w:eastAsia="tr-TR"/>
              </w:rPr>
            </w:pPr>
            <w:r w:rsidRPr="00471CBA">
              <w:rPr>
                <w:sz w:val="16"/>
                <w:szCs w:val="16"/>
              </w:rPr>
              <w:t>-</w:t>
            </w:r>
          </w:p>
        </w:tc>
      </w:tr>
      <w:tr w:rsidR="00A74C68" w:rsidRPr="00471CBA" w14:paraId="197BC1FE" w14:textId="77777777" w:rsidTr="00A74C68">
        <w:trPr>
          <w:divId w:val="691078195"/>
          <w:trHeight w:val="170"/>
        </w:trPr>
        <w:tc>
          <w:tcPr>
            <w:tcW w:w="119" w:type="pct"/>
            <w:noWrap/>
            <w:hideMark/>
          </w:tcPr>
          <w:p w14:paraId="2CBB6C30" w14:textId="77777777" w:rsidR="00A74C68" w:rsidRPr="00471CBA" w:rsidRDefault="00A74C68" w:rsidP="00A74C68">
            <w:pPr>
              <w:rPr>
                <w:b/>
                <w:bCs/>
                <w:color w:val="000000"/>
                <w:sz w:val="16"/>
                <w:szCs w:val="16"/>
                <w:lang w:eastAsia="tr-TR"/>
              </w:rPr>
            </w:pPr>
            <w:r w:rsidRPr="00471CBA">
              <w:rPr>
                <w:b/>
                <w:bCs/>
                <w:color w:val="000000"/>
                <w:sz w:val="16"/>
                <w:szCs w:val="16"/>
                <w:lang w:eastAsia="tr-TR"/>
              </w:rPr>
              <w:t>3</w:t>
            </w:r>
          </w:p>
        </w:tc>
        <w:tc>
          <w:tcPr>
            <w:tcW w:w="859" w:type="pct"/>
            <w:noWrap/>
            <w:vAlign w:val="bottom"/>
            <w:hideMark/>
          </w:tcPr>
          <w:p w14:paraId="2D323585" w14:textId="77777777" w:rsidR="00A74C68" w:rsidRPr="00471CBA" w:rsidRDefault="00A74C68" w:rsidP="00A74C68">
            <w:pPr>
              <w:rPr>
                <w:b/>
                <w:bCs/>
                <w:color w:val="000000"/>
                <w:sz w:val="16"/>
                <w:szCs w:val="16"/>
                <w:lang w:eastAsia="tr-TR"/>
              </w:rPr>
            </w:pPr>
            <w:r w:rsidRPr="00471CBA">
              <w:rPr>
                <w:b/>
                <w:bCs/>
                <w:color w:val="000000"/>
                <w:sz w:val="16"/>
                <w:szCs w:val="16"/>
                <w:lang w:eastAsia="tr-TR"/>
              </w:rPr>
              <w:t>Toplam</w:t>
            </w:r>
          </w:p>
        </w:tc>
        <w:tc>
          <w:tcPr>
            <w:tcW w:w="659" w:type="pct"/>
            <w:vAlign w:val="center"/>
            <w:hideMark/>
          </w:tcPr>
          <w:p w14:paraId="7A3BFF1D" w14:textId="77777777" w:rsidR="00A74C68" w:rsidRPr="00471CBA" w:rsidRDefault="00A74C68" w:rsidP="00A74C68">
            <w:pPr>
              <w:jc w:val="right"/>
              <w:rPr>
                <w:b/>
                <w:bCs/>
                <w:color w:val="000000"/>
                <w:sz w:val="16"/>
                <w:szCs w:val="16"/>
                <w:lang w:eastAsia="tr-TR"/>
              </w:rPr>
            </w:pPr>
            <w:r w:rsidRPr="00471CBA">
              <w:rPr>
                <w:b/>
                <w:bCs/>
                <w:sz w:val="16"/>
                <w:szCs w:val="16"/>
              </w:rPr>
              <w:t>45.934.265</w:t>
            </w:r>
          </w:p>
        </w:tc>
        <w:tc>
          <w:tcPr>
            <w:tcW w:w="523" w:type="pct"/>
            <w:vAlign w:val="center"/>
            <w:hideMark/>
          </w:tcPr>
          <w:p w14:paraId="6AB6E688" w14:textId="77777777" w:rsidR="00A74C68" w:rsidRPr="00471CBA" w:rsidRDefault="00A74C68" w:rsidP="00A74C68">
            <w:pPr>
              <w:jc w:val="right"/>
              <w:rPr>
                <w:b/>
                <w:bCs/>
                <w:color w:val="000000"/>
                <w:sz w:val="16"/>
                <w:szCs w:val="16"/>
                <w:lang w:eastAsia="tr-TR"/>
              </w:rPr>
            </w:pPr>
            <w:r w:rsidRPr="00471CBA">
              <w:rPr>
                <w:b/>
                <w:bCs/>
                <w:sz w:val="16"/>
                <w:szCs w:val="16"/>
              </w:rPr>
              <w:t>14.458.620</w:t>
            </w:r>
          </w:p>
        </w:tc>
        <w:tc>
          <w:tcPr>
            <w:tcW w:w="590" w:type="pct"/>
            <w:vAlign w:val="center"/>
            <w:hideMark/>
          </w:tcPr>
          <w:p w14:paraId="05B6D7EF" w14:textId="77777777" w:rsidR="00A74C68" w:rsidRPr="00471CBA" w:rsidRDefault="00A74C68" w:rsidP="00A74C68">
            <w:pPr>
              <w:jc w:val="right"/>
              <w:rPr>
                <w:b/>
                <w:bCs/>
                <w:color w:val="000000"/>
                <w:sz w:val="16"/>
                <w:szCs w:val="16"/>
                <w:lang w:eastAsia="tr-TR"/>
              </w:rPr>
            </w:pPr>
            <w:r w:rsidRPr="00471CBA">
              <w:rPr>
                <w:b/>
                <w:bCs/>
                <w:sz w:val="16"/>
                <w:szCs w:val="16"/>
              </w:rPr>
              <w:t>4.127.427</w:t>
            </w:r>
          </w:p>
        </w:tc>
        <w:tc>
          <w:tcPr>
            <w:tcW w:w="593" w:type="pct"/>
            <w:vAlign w:val="center"/>
            <w:hideMark/>
          </w:tcPr>
          <w:p w14:paraId="5286AE36" w14:textId="77777777" w:rsidR="00A74C68" w:rsidRPr="00471CBA" w:rsidRDefault="00A74C68" w:rsidP="00A74C68">
            <w:pPr>
              <w:jc w:val="right"/>
              <w:rPr>
                <w:b/>
                <w:bCs/>
                <w:color w:val="000000"/>
                <w:sz w:val="16"/>
                <w:szCs w:val="16"/>
                <w:lang w:eastAsia="tr-TR"/>
              </w:rPr>
            </w:pPr>
            <w:r w:rsidRPr="00471CBA">
              <w:rPr>
                <w:b/>
                <w:bCs/>
                <w:sz w:val="16"/>
                <w:szCs w:val="16"/>
              </w:rPr>
              <w:t>-</w:t>
            </w:r>
          </w:p>
        </w:tc>
        <w:tc>
          <w:tcPr>
            <w:tcW w:w="592" w:type="pct"/>
            <w:vAlign w:val="center"/>
            <w:hideMark/>
          </w:tcPr>
          <w:p w14:paraId="13D624E9" w14:textId="77777777" w:rsidR="00A74C68" w:rsidRPr="00471CBA" w:rsidRDefault="00A74C68" w:rsidP="00A74C68">
            <w:pPr>
              <w:jc w:val="right"/>
              <w:rPr>
                <w:b/>
                <w:bCs/>
                <w:color w:val="000000"/>
                <w:sz w:val="16"/>
                <w:szCs w:val="16"/>
                <w:lang w:eastAsia="tr-TR"/>
              </w:rPr>
            </w:pPr>
            <w:r w:rsidRPr="00471CBA">
              <w:rPr>
                <w:b/>
                <w:bCs/>
                <w:sz w:val="16"/>
                <w:szCs w:val="16"/>
              </w:rPr>
              <w:t>-</w:t>
            </w:r>
          </w:p>
        </w:tc>
        <w:tc>
          <w:tcPr>
            <w:tcW w:w="515" w:type="pct"/>
            <w:vAlign w:val="center"/>
            <w:hideMark/>
          </w:tcPr>
          <w:p w14:paraId="1952C993" w14:textId="77777777" w:rsidR="00A74C68" w:rsidRPr="00471CBA" w:rsidRDefault="00A74C68" w:rsidP="00A74C68">
            <w:pPr>
              <w:jc w:val="right"/>
              <w:rPr>
                <w:b/>
                <w:bCs/>
                <w:color w:val="000000"/>
                <w:sz w:val="16"/>
                <w:szCs w:val="16"/>
                <w:lang w:eastAsia="tr-TR"/>
              </w:rPr>
            </w:pPr>
            <w:r w:rsidRPr="00471CBA">
              <w:rPr>
                <w:b/>
                <w:bCs/>
                <w:sz w:val="16"/>
                <w:szCs w:val="16"/>
              </w:rPr>
              <w:t>-</w:t>
            </w:r>
          </w:p>
        </w:tc>
        <w:tc>
          <w:tcPr>
            <w:tcW w:w="550" w:type="pct"/>
            <w:vAlign w:val="center"/>
            <w:hideMark/>
          </w:tcPr>
          <w:p w14:paraId="180BD875" w14:textId="77777777" w:rsidR="00A74C68" w:rsidRPr="00471CBA" w:rsidRDefault="00A74C68" w:rsidP="00A74C68">
            <w:pPr>
              <w:jc w:val="right"/>
              <w:rPr>
                <w:b/>
                <w:bCs/>
                <w:color w:val="000000"/>
                <w:sz w:val="16"/>
                <w:szCs w:val="16"/>
                <w:lang w:eastAsia="tr-TR"/>
              </w:rPr>
            </w:pPr>
            <w:r w:rsidRPr="00471CBA">
              <w:rPr>
                <w:b/>
                <w:bCs/>
                <w:sz w:val="16"/>
                <w:szCs w:val="16"/>
              </w:rPr>
              <w:t>-</w:t>
            </w:r>
          </w:p>
        </w:tc>
      </w:tr>
      <w:tr w:rsidR="00A74C68" w:rsidRPr="00471CBA" w14:paraId="398DE7BF" w14:textId="77777777" w:rsidTr="00A74C68">
        <w:trPr>
          <w:divId w:val="691078195"/>
          <w:trHeight w:val="170"/>
        </w:trPr>
        <w:tc>
          <w:tcPr>
            <w:tcW w:w="119" w:type="pct"/>
            <w:tcBorders>
              <w:bottom w:val="single" w:sz="4" w:space="0" w:color="auto"/>
            </w:tcBorders>
            <w:noWrap/>
            <w:hideMark/>
          </w:tcPr>
          <w:p w14:paraId="3BCDFDAC" w14:textId="77777777" w:rsidR="00A74C68" w:rsidRPr="00471CBA" w:rsidRDefault="00A74C68" w:rsidP="00A74C68">
            <w:pPr>
              <w:rPr>
                <w:color w:val="000000"/>
                <w:sz w:val="16"/>
                <w:szCs w:val="16"/>
                <w:lang w:eastAsia="tr-TR"/>
              </w:rPr>
            </w:pPr>
            <w:r w:rsidRPr="00471CBA">
              <w:rPr>
                <w:color w:val="000000"/>
                <w:sz w:val="16"/>
                <w:szCs w:val="16"/>
                <w:lang w:eastAsia="tr-TR"/>
              </w:rPr>
              <w:t>4</w:t>
            </w:r>
          </w:p>
        </w:tc>
        <w:tc>
          <w:tcPr>
            <w:tcW w:w="859" w:type="pct"/>
            <w:tcBorders>
              <w:bottom w:val="single" w:sz="4" w:space="0" w:color="auto"/>
            </w:tcBorders>
            <w:noWrap/>
            <w:vAlign w:val="bottom"/>
            <w:hideMark/>
          </w:tcPr>
          <w:p w14:paraId="68898580" w14:textId="77777777" w:rsidR="00A74C68" w:rsidRPr="00471CBA" w:rsidRDefault="00A74C68" w:rsidP="00A74C68">
            <w:pPr>
              <w:rPr>
                <w:color w:val="000000"/>
                <w:sz w:val="16"/>
                <w:szCs w:val="16"/>
                <w:lang w:eastAsia="tr-TR"/>
              </w:rPr>
            </w:pPr>
            <w:r w:rsidRPr="00471CBA">
              <w:rPr>
                <w:color w:val="000000"/>
                <w:sz w:val="16"/>
                <w:szCs w:val="16"/>
                <w:lang w:eastAsia="tr-TR"/>
              </w:rPr>
              <w:t>Temerrüde düşmüş</w:t>
            </w:r>
          </w:p>
        </w:tc>
        <w:tc>
          <w:tcPr>
            <w:tcW w:w="659" w:type="pct"/>
            <w:tcBorders>
              <w:bottom w:val="single" w:sz="4" w:space="0" w:color="auto"/>
            </w:tcBorders>
            <w:vAlign w:val="center"/>
            <w:hideMark/>
          </w:tcPr>
          <w:p w14:paraId="7ED36D6B" w14:textId="77777777" w:rsidR="00A74C68" w:rsidRPr="00471CBA" w:rsidRDefault="00A74C68" w:rsidP="00A74C68">
            <w:pPr>
              <w:jc w:val="right"/>
              <w:rPr>
                <w:color w:val="000000"/>
                <w:sz w:val="16"/>
                <w:szCs w:val="16"/>
                <w:lang w:eastAsia="tr-TR"/>
              </w:rPr>
            </w:pPr>
            <w:r w:rsidRPr="00471CBA">
              <w:rPr>
                <w:sz w:val="16"/>
                <w:szCs w:val="16"/>
              </w:rPr>
              <w:t>-</w:t>
            </w:r>
          </w:p>
        </w:tc>
        <w:tc>
          <w:tcPr>
            <w:tcW w:w="523" w:type="pct"/>
            <w:tcBorders>
              <w:bottom w:val="single" w:sz="4" w:space="0" w:color="auto"/>
            </w:tcBorders>
            <w:vAlign w:val="center"/>
            <w:hideMark/>
          </w:tcPr>
          <w:p w14:paraId="10198D9F" w14:textId="77777777" w:rsidR="00A74C68" w:rsidRPr="00471CBA" w:rsidRDefault="00A74C68" w:rsidP="00A74C68">
            <w:pPr>
              <w:jc w:val="right"/>
              <w:rPr>
                <w:color w:val="000000"/>
                <w:sz w:val="16"/>
                <w:szCs w:val="16"/>
                <w:lang w:eastAsia="tr-TR"/>
              </w:rPr>
            </w:pPr>
            <w:r w:rsidRPr="00471CBA">
              <w:rPr>
                <w:sz w:val="16"/>
                <w:szCs w:val="16"/>
              </w:rPr>
              <w:t>-</w:t>
            </w:r>
          </w:p>
        </w:tc>
        <w:tc>
          <w:tcPr>
            <w:tcW w:w="590" w:type="pct"/>
            <w:tcBorders>
              <w:bottom w:val="single" w:sz="4" w:space="0" w:color="auto"/>
            </w:tcBorders>
            <w:vAlign w:val="center"/>
            <w:hideMark/>
          </w:tcPr>
          <w:p w14:paraId="3F5AC808" w14:textId="77777777" w:rsidR="00A74C68" w:rsidRPr="00471CBA" w:rsidRDefault="00A74C68" w:rsidP="00A74C68">
            <w:pPr>
              <w:jc w:val="right"/>
              <w:rPr>
                <w:color w:val="000000"/>
                <w:sz w:val="16"/>
                <w:szCs w:val="16"/>
                <w:lang w:eastAsia="tr-TR"/>
              </w:rPr>
            </w:pPr>
            <w:r w:rsidRPr="00471CBA">
              <w:rPr>
                <w:sz w:val="16"/>
                <w:szCs w:val="16"/>
              </w:rPr>
              <w:t>-</w:t>
            </w:r>
          </w:p>
        </w:tc>
        <w:tc>
          <w:tcPr>
            <w:tcW w:w="593" w:type="pct"/>
            <w:tcBorders>
              <w:bottom w:val="single" w:sz="4" w:space="0" w:color="auto"/>
            </w:tcBorders>
            <w:vAlign w:val="center"/>
            <w:hideMark/>
          </w:tcPr>
          <w:p w14:paraId="18B8A863" w14:textId="77777777" w:rsidR="00A74C68" w:rsidRPr="00471CBA" w:rsidRDefault="00A74C68" w:rsidP="00A74C68">
            <w:pPr>
              <w:jc w:val="right"/>
              <w:rPr>
                <w:color w:val="000000"/>
                <w:sz w:val="16"/>
                <w:szCs w:val="16"/>
                <w:lang w:eastAsia="tr-TR"/>
              </w:rPr>
            </w:pPr>
            <w:r w:rsidRPr="00471CBA">
              <w:rPr>
                <w:sz w:val="16"/>
                <w:szCs w:val="16"/>
              </w:rPr>
              <w:t>-</w:t>
            </w:r>
          </w:p>
        </w:tc>
        <w:tc>
          <w:tcPr>
            <w:tcW w:w="592" w:type="pct"/>
            <w:tcBorders>
              <w:bottom w:val="single" w:sz="4" w:space="0" w:color="auto"/>
            </w:tcBorders>
            <w:vAlign w:val="center"/>
            <w:hideMark/>
          </w:tcPr>
          <w:p w14:paraId="7F208A65" w14:textId="77777777" w:rsidR="00A74C68" w:rsidRPr="00471CBA" w:rsidRDefault="00A74C68" w:rsidP="00A74C68">
            <w:pPr>
              <w:jc w:val="right"/>
              <w:rPr>
                <w:color w:val="000000"/>
                <w:sz w:val="16"/>
                <w:szCs w:val="16"/>
                <w:lang w:eastAsia="tr-TR"/>
              </w:rPr>
            </w:pPr>
            <w:r w:rsidRPr="00471CBA">
              <w:rPr>
                <w:sz w:val="16"/>
                <w:szCs w:val="16"/>
              </w:rPr>
              <w:t>-</w:t>
            </w:r>
          </w:p>
        </w:tc>
        <w:tc>
          <w:tcPr>
            <w:tcW w:w="515" w:type="pct"/>
            <w:tcBorders>
              <w:bottom w:val="single" w:sz="4" w:space="0" w:color="auto"/>
            </w:tcBorders>
            <w:vAlign w:val="center"/>
            <w:hideMark/>
          </w:tcPr>
          <w:p w14:paraId="1E6A39E2" w14:textId="77777777" w:rsidR="00A74C68" w:rsidRPr="00471CBA" w:rsidRDefault="00A74C68" w:rsidP="00A74C68">
            <w:pPr>
              <w:jc w:val="right"/>
              <w:rPr>
                <w:color w:val="000000"/>
                <w:sz w:val="16"/>
                <w:szCs w:val="16"/>
                <w:lang w:eastAsia="tr-TR"/>
              </w:rPr>
            </w:pPr>
            <w:r w:rsidRPr="00471CBA">
              <w:rPr>
                <w:sz w:val="16"/>
                <w:szCs w:val="16"/>
              </w:rPr>
              <w:t>-</w:t>
            </w:r>
          </w:p>
        </w:tc>
        <w:tc>
          <w:tcPr>
            <w:tcW w:w="550" w:type="pct"/>
            <w:tcBorders>
              <w:bottom w:val="single" w:sz="4" w:space="0" w:color="auto"/>
            </w:tcBorders>
            <w:vAlign w:val="center"/>
            <w:hideMark/>
          </w:tcPr>
          <w:p w14:paraId="6C3B49DF" w14:textId="77777777" w:rsidR="00A74C68" w:rsidRPr="00471CBA" w:rsidRDefault="00A74C68" w:rsidP="00A74C68">
            <w:pPr>
              <w:jc w:val="right"/>
              <w:rPr>
                <w:color w:val="000000"/>
                <w:sz w:val="16"/>
                <w:szCs w:val="16"/>
                <w:lang w:eastAsia="tr-TR"/>
              </w:rPr>
            </w:pPr>
            <w:r w:rsidRPr="00471CBA">
              <w:rPr>
                <w:sz w:val="16"/>
                <w:szCs w:val="16"/>
              </w:rPr>
              <w:t>-</w:t>
            </w:r>
          </w:p>
        </w:tc>
      </w:tr>
    </w:tbl>
    <w:p w14:paraId="008F6140" w14:textId="5629841E" w:rsidR="00EE0925" w:rsidRPr="00471CBA" w:rsidRDefault="00EE0925" w:rsidP="00EE0925"/>
    <w:tbl>
      <w:tblPr>
        <w:tblW w:w="5007" w:type="pct"/>
        <w:tblCellMar>
          <w:left w:w="70" w:type="dxa"/>
          <w:right w:w="70" w:type="dxa"/>
        </w:tblCellMar>
        <w:tblLook w:val="04A0" w:firstRow="1" w:lastRow="0" w:firstColumn="1" w:lastColumn="0" w:noHBand="0" w:noVBand="1"/>
      </w:tblPr>
      <w:tblGrid>
        <w:gridCol w:w="229"/>
        <w:gridCol w:w="1660"/>
        <w:gridCol w:w="1272"/>
        <w:gridCol w:w="1010"/>
        <w:gridCol w:w="1139"/>
        <w:gridCol w:w="1145"/>
        <w:gridCol w:w="1143"/>
        <w:gridCol w:w="994"/>
        <w:gridCol w:w="1060"/>
      </w:tblGrid>
      <w:tr w:rsidR="00A74C68" w:rsidRPr="00471CBA" w14:paraId="11B87D85" w14:textId="77777777" w:rsidTr="00A74C68">
        <w:trPr>
          <w:divId w:val="324940039"/>
          <w:trHeight w:val="170"/>
        </w:trPr>
        <w:tc>
          <w:tcPr>
            <w:tcW w:w="979" w:type="pct"/>
            <w:gridSpan w:val="2"/>
            <w:tcBorders>
              <w:top w:val="single" w:sz="4" w:space="0" w:color="auto"/>
              <w:bottom w:val="single" w:sz="4" w:space="0" w:color="auto"/>
            </w:tcBorders>
            <w:noWrap/>
            <w:vAlign w:val="center"/>
            <w:hideMark/>
          </w:tcPr>
          <w:p w14:paraId="62F3BAFB" w14:textId="79B4427D" w:rsidR="00A74C68" w:rsidRPr="00471CBA" w:rsidRDefault="00A74C68" w:rsidP="00A74C68">
            <w:pPr>
              <w:jc w:val="center"/>
              <w:rPr>
                <w:b/>
                <w:bCs/>
                <w:color w:val="000000"/>
                <w:sz w:val="16"/>
                <w:szCs w:val="16"/>
                <w:lang w:eastAsia="tr-TR"/>
              </w:rPr>
            </w:pPr>
            <w:r w:rsidRPr="00471CBA">
              <w:rPr>
                <w:b/>
                <w:bCs/>
                <w:color w:val="000000"/>
                <w:sz w:val="16"/>
                <w:szCs w:val="16"/>
                <w:lang w:eastAsia="tr-TR"/>
              </w:rPr>
              <w:t>31 Aralık 2024</w:t>
            </w:r>
          </w:p>
        </w:tc>
        <w:tc>
          <w:tcPr>
            <w:tcW w:w="659" w:type="pct"/>
            <w:tcBorders>
              <w:top w:val="single" w:sz="4" w:space="0" w:color="auto"/>
              <w:bottom w:val="single" w:sz="4" w:space="0" w:color="auto"/>
            </w:tcBorders>
            <w:vAlign w:val="bottom"/>
            <w:hideMark/>
          </w:tcPr>
          <w:p w14:paraId="3B590C52"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Teminatsız alacaklar: TMS uyarınca değerlenmiş tutar</w:t>
            </w:r>
          </w:p>
        </w:tc>
        <w:tc>
          <w:tcPr>
            <w:tcW w:w="523" w:type="pct"/>
            <w:tcBorders>
              <w:top w:val="single" w:sz="4" w:space="0" w:color="auto"/>
              <w:bottom w:val="single" w:sz="4" w:space="0" w:color="auto"/>
            </w:tcBorders>
            <w:vAlign w:val="bottom"/>
            <w:hideMark/>
          </w:tcPr>
          <w:p w14:paraId="623A7729"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Teminat ile korunan alacaklar</w:t>
            </w:r>
          </w:p>
        </w:tc>
        <w:tc>
          <w:tcPr>
            <w:tcW w:w="590" w:type="pct"/>
            <w:tcBorders>
              <w:top w:val="single" w:sz="4" w:space="0" w:color="auto"/>
              <w:bottom w:val="single" w:sz="4" w:space="0" w:color="auto"/>
            </w:tcBorders>
            <w:vAlign w:val="bottom"/>
            <w:hideMark/>
          </w:tcPr>
          <w:p w14:paraId="77FA43C5"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Teminat ile korunan alacakların teminatlı kısımları</w:t>
            </w:r>
          </w:p>
        </w:tc>
        <w:tc>
          <w:tcPr>
            <w:tcW w:w="593" w:type="pct"/>
            <w:tcBorders>
              <w:top w:val="single" w:sz="4" w:space="0" w:color="auto"/>
              <w:bottom w:val="single" w:sz="4" w:space="0" w:color="auto"/>
            </w:tcBorders>
            <w:vAlign w:val="bottom"/>
            <w:hideMark/>
          </w:tcPr>
          <w:p w14:paraId="5706E1A3"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Finansal garantiler ile korunan alacaklar</w:t>
            </w:r>
          </w:p>
        </w:tc>
        <w:tc>
          <w:tcPr>
            <w:tcW w:w="592" w:type="pct"/>
            <w:tcBorders>
              <w:top w:val="single" w:sz="4" w:space="0" w:color="auto"/>
              <w:bottom w:val="single" w:sz="4" w:space="0" w:color="auto"/>
            </w:tcBorders>
            <w:vAlign w:val="bottom"/>
            <w:hideMark/>
          </w:tcPr>
          <w:p w14:paraId="3E0B1AD5"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Finansal garantiler ile korunan alacakların teminatlı kısımları</w:t>
            </w:r>
          </w:p>
        </w:tc>
        <w:tc>
          <w:tcPr>
            <w:tcW w:w="515" w:type="pct"/>
            <w:tcBorders>
              <w:top w:val="single" w:sz="4" w:space="0" w:color="auto"/>
              <w:bottom w:val="single" w:sz="4" w:space="0" w:color="auto"/>
            </w:tcBorders>
            <w:vAlign w:val="bottom"/>
            <w:hideMark/>
          </w:tcPr>
          <w:p w14:paraId="4B113771"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Kredi türevleri ile korunan alacaklar</w:t>
            </w:r>
          </w:p>
        </w:tc>
        <w:tc>
          <w:tcPr>
            <w:tcW w:w="549" w:type="pct"/>
            <w:tcBorders>
              <w:top w:val="single" w:sz="4" w:space="0" w:color="auto"/>
              <w:bottom w:val="single" w:sz="4" w:space="0" w:color="auto"/>
            </w:tcBorders>
            <w:vAlign w:val="bottom"/>
            <w:hideMark/>
          </w:tcPr>
          <w:p w14:paraId="6E88D0A0" w14:textId="77777777" w:rsidR="00A74C68" w:rsidRPr="00471CBA" w:rsidRDefault="00A74C68" w:rsidP="00A74C68">
            <w:pPr>
              <w:jc w:val="right"/>
              <w:rPr>
                <w:b/>
                <w:bCs/>
                <w:color w:val="000000"/>
                <w:sz w:val="16"/>
                <w:szCs w:val="16"/>
                <w:lang w:eastAsia="tr-TR"/>
              </w:rPr>
            </w:pPr>
            <w:r w:rsidRPr="00471CBA">
              <w:rPr>
                <w:b/>
                <w:bCs/>
                <w:color w:val="000000"/>
                <w:sz w:val="16"/>
                <w:szCs w:val="16"/>
                <w:lang w:eastAsia="tr-TR"/>
              </w:rPr>
              <w:t>Kredi türevleri ile korunan alacakların teminatlı kısımları</w:t>
            </w:r>
          </w:p>
        </w:tc>
      </w:tr>
      <w:tr w:rsidR="00A74C68" w:rsidRPr="00471CBA" w14:paraId="4F9B12FA" w14:textId="77777777" w:rsidTr="00A74C68">
        <w:trPr>
          <w:divId w:val="324940039"/>
          <w:trHeight w:val="170"/>
        </w:trPr>
        <w:tc>
          <w:tcPr>
            <w:tcW w:w="119" w:type="pct"/>
            <w:tcBorders>
              <w:top w:val="single" w:sz="4" w:space="0" w:color="auto"/>
            </w:tcBorders>
            <w:noWrap/>
            <w:hideMark/>
          </w:tcPr>
          <w:p w14:paraId="6DB4004D" w14:textId="77777777" w:rsidR="00A74C68" w:rsidRPr="00471CBA" w:rsidRDefault="00A74C68" w:rsidP="00A74C68">
            <w:pPr>
              <w:jc w:val="right"/>
              <w:rPr>
                <w:color w:val="000000"/>
                <w:sz w:val="16"/>
                <w:szCs w:val="16"/>
                <w:lang w:eastAsia="tr-TR"/>
              </w:rPr>
            </w:pPr>
            <w:r w:rsidRPr="00471CBA">
              <w:rPr>
                <w:color w:val="000000"/>
                <w:sz w:val="16"/>
                <w:szCs w:val="16"/>
                <w:lang w:eastAsia="tr-TR"/>
              </w:rPr>
              <w:t>1</w:t>
            </w:r>
          </w:p>
        </w:tc>
        <w:tc>
          <w:tcPr>
            <w:tcW w:w="860" w:type="pct"/>
            <w:tcBorders>
              <w:top w:val="single" w:sz="4" w:space="0" w:color="auto"/>
            </w:tcBorders>
            <w:noWrap/>
            <w:vAlign w:val="bottom"/>
            <w:hideMark/>
          </w:tcPr>
          <w:p w14:paraId="2D7C7186" w14:textId="77777777" w:rsidR="00A74C68" w:rsidRPr="00471CBA" w:rsidRDefault="00A74C68" w:rsidP="00A74C68">
            <w:pPr>
              <w:rPr>
                <w:color w:val="000000"/>
                <w:sz w:val="16"/>
                <w:szCs w:val="16"/>
                <w:lang w:eastAsia="tr-TR"/>
              </w:rPr>
            </w:pPr>
            <w:r w:rsidRPr="00471CBA">
              <w:rPr>
                <w:color w:val="000000"/>
                <w:sz w:val="16"/>
                <w:szCs w:val="16"/>
                <w:lang w:eastAsia="tr-TR"/>
              </w:rPr>
              <w:t>Krediler</w:t>
            </w:r>
          </w:p>
        </w:tc>
        <w:tc>
          <w:tcPr>
            <w:tcW w:w="659" w:type="pct"/>
            <w:tcBorders>
              <w:top w:val="single" w:sz="4" w:space="0" w:color="auto"/>
            </w:tcBorders>
            <w:vAlign w:val="center"/>
            <w:hideMark/>
          </w:tcPr>
          <w:p w14:paraId="1A1BFCB8" w14:textId="77777777" w:rsidR="00A74C68" w:rsidRPr="00471CBA" w:rsidRDefault="00A74C68" w:rsidP="00A74C68">
            <w:pPr>
              <w:jc w:val="right"/>
              <w:rPr>
                <w:color w:val="000000"/>
                <w:sz w:val="16"/>
                <w:szCs w:val="16"/>
                <w:lang w:eastAsia="tr-TR"/>
              </w:rPr>
            </w:pPr>
            <w:r w:rsidRPr="00471CBA">
              <w:rPr>
                <w:sz w:val="16"/>
                <w:szCs w:val="16"/>
              </w:rPr>
              <w:t>21.785.865</w:t>
            </w:r>
          </w:p>
        </w:tc>
        <w:tc>
          <w:tcPr>
            <w:tcW w:w="523" w:type="pct"/>
            <w:tcBorders>
              <w:top w:val="single" w:sz="4" w:space="0" w:color="auto"/>
            </w:tcBorders>
            <w:vAlign w:val="center"/>
            <w:hideMark/>
          </w:tcPr>
          <w:p w14:paraId="3EBAECEB" w14:textId="77777777" w:rsidR="00A74C68" w:rsidRPr="00471CBA" w:rsidRDefault="00A74C68" w:rsidP="00A74C68">
            <w:pPr>
              <w:jc w:val="right"/>
              <w:rPr>
                <w:color w:val="000000"/>
                <w:sz w:val="16"/>
                <w:szCs w:val="16"/>
                <w:lang w:eastAsia="tr-TR"/>
              </w:rPr>
            </w:pPr>
            <w:r w:rsidRPr="00471CBA">
              <w:rPr>
                <w:sz w:val="16"/>
                <w:szCs w:val="16"/>
              </w:rPr>
              <w:t>1.247.957</w:t>
            </w:r>
          </w:p>
        </w:tc>
        <w:tc>
          <w:tcPr>
            <w:tcW w:w="590" w:type="pct"/>
            <w:tcBorders>
              <w:top w:val="single" w:sz="4" w:space="0" w:color="auto"/>
            </w:tcBorders>
            <w:vAlign w:val="center"/>
            <w:hideMark/>
          </w:tcPr>
          <w:p w14:paraId="241FD78D" w14:textId="77777777" w:rsidR="00A74C68" w:rsidRPr="00471CBA" w:rsidRDefault="00A74C68" w:rsidP="00A74C68">
            <w:pPr>
              <w:jc w:val="right"/>
              <w:rPr>
                <w:color w:val="000000"/>
                <w:sz w:val="16"/>
                <w:szCs w:val="16"/>
                <w:lang w:eastAsia="tr-TR"/>
              </w:rPr>
            </w:pPr>
            <w:r w:rsidRPr="00471CBA">
              <w:rPr>
                <w:sz w:val="16"/>
                <w:szCs w:val="16"/>
              </w:rPr>
              <w:t>299.577</w:t>
            </w:r>
          </w:p>
        </w:tc>
        <w:tc>
          <w:tcPr>
            <w:tcW w:w="593" w:type="pct"/>
            <w:tcBorders>
              <w:top w:val="single" w:sz="4" w:space="0" w:color="auto"/>
            </w:tcBorders>
            <w:vAlign w:val="center"/>
            <w:hideMark/>
          </w:tcPr>
          <w:p w14:paraId="749D1070" w14:textId="77777777" w:rsidR="00A74C68" w:rsidRPr="00471CBA" w:rsidRDefault="00A74C68" w:rsidP="00A74C68">
            <w:pPr>
              <w:jc w:val="right"/>
              <w:rPr>
                <w:color w:val="000000"/>
                <w:sz w:val="16"/>
                <w:szCs w:val="16"/>
                <w:lang w:eastAsia="tr-TR"/>
              </w:rPr>
            </w:pPr>
            <w:r w:rsidRPr="00471CBA">
              <w:rPr>
                <w:sz w:val="16"/>
                <w:szCs w:val="16"/>
              </w:rPr>
              <w:t>-</w:t>
            </w:r>
          </w:p>
        </w:tc>
        <w:tc>
          <w:tcPr>
            <w:tcW w:w="592" w:type="pct"/>
            <w:tcBorders>
              <w:top w:val="single" w:sz="4" w:space="0" w:color="auto"/>
            </w:tcBorders>
            <w:vAlign w:val="center"/>
            <w:hideMark/>
          </w:tcPr>
          <w:p w14:paraId="488C9F2F" w14:textId="77777777" w:rsidR="00A74C68" w:rsidRPr="00471CBA" w:rsidRDefault="00A74C68" w:rsidP="00A74C68">
            <w:pPr>
              <w:jc w:val="right"/>
              <w:rPr>
                <w:color w:val="000000"/>
                <w:sz w:val="16"/>
                <w:szCs w:val="16"/>
                <w:lang w:eastAsia="tr-TR"/>
              </w:rPr>
            </w:pPr>
            <w:r w:rsidRPr="00471CBA">
              <w:rPr>
                <w:sz w:val="16"/>
                <w:szCs w:val="16"/>
              </w:rPr>
              <w:t>-</w:t>
            </w:r>
          </w:p>
        </w:tc>
        <w:tc>
          <w:tcPr>
            <w:tcW w:w="515" w:type="pct"/>
            <w:tcBorders>
              <w:top w:val="single" w:sz="4" w:space="0" w:color="auto"/>
            </w:tcBorders>
            <w:vAlign w:val="center"/>
            <w:hideMark/>
          </w:tcPr>
          <w:p w14:paraId="55C3A9B6" w14:textId="77777777" w:rsidR="00A74C68" w:rsidRPr="00471CBA" w:rsidRDefault="00A74C68" w:rsidP="00A74C68">
            <w:pPr>
              <w:jc w:val="right"/>
              <w:rPr>
                <w:color w:val="000000"/>
                <w:sz w:val="16"/>
                <w:szCs w:val="16"/>
                <w:lang w:eastAsia="tr-TR"/>
              </w:rPr>
            </w:pPr>
            <w:r w:rsidRPr="00471CBA">
              <w:rPr>
                <w:sz w:val="16"/>
                <w:szCs w:val="16"/>
              </w:rPr>
              <w:t>-</w:t>
            </w:r>
          </w:p>
        </w:tc>
        <w:tc>
          <w:tcPr>
            <w:tcW w:w="549" w:type="pct"/>
            <w:tcBorders>
              <w:top w:val="single" w:sz="4" w:space="0" w:color="auto"/>
            </w:tcBorders>
            <w:vAlign w:val="center"/>
            <w:hideMark/>
          </w:tcPr>
          <w:p w14:paraId="4E528A93" w14:textId="77777777" w:rsidR="00A74C68" w:rsidRPr="00471CBA" w:rsidRDefault="00A74C68" w:rsidP="00A74C68">
            <w:pPr>
              <w:jc w:val="right"/>
              <w:rPr>
                <w:color w:val="000000"/>
                <w:sz w:val="16"/>
                <w:szCs w:val="16"/>
                <w:lang w:eastAsia="tr-TR"/>
              </w:rPr>
            </w:pPr>
            <w:r w:rsidRPr="00471CBA">
              <w:rPr>
                <w:sz w:val="16"/>
                <w:szCs w:val="16"/>
              </w:rPr>
              <w:t>-</w:t>
            </w:r>
          </w:p>
        </w:tc>
      </w:tr>
      <w:tr w:rsidR="00A74C68" w:rsidRPr="00471CBA" w14:paraId="6AC75056" w14:textId="77777777" w:rsidTr="00A74C68">
        <w:trPr>
          <w:divId w:val="324940039"/>
          <w:trHeight w:val="170"/>
        </w:trPr>
        <w:tc>
          <w:tcPr>
            <w:tcW w:w="119" w:type="pct"/>
            <w:noWrap/>
            <w:hideMark/>
          </w:tcPr>
          <w:p w14:paraId="0B33D80A" w14:textId="77777777" w:rsidR="00A74C68" w:rsidRPr="00471CBA" w:rsidRDefault="00A74C68" w:rsidP="00A74C68">
            <w:pPr>
              <w:rPr>
                <w:color w:val="000000"/>
                <w:sz w:val="16"/>
                <w:szCs w:val="16"/>
                <w:lang w:eastAsia="tr-TR"/>
              </w:rPr>
            </w:pPr>
            <w:r w:rsidRPr="00471CBA">
              <w:rPr>
                <w:color w:val="000000"/>
                <w:sz w:val="16"/>
                <w:szCs w:val="16"/>
                <w:lang w:eastAsia="tr-TR"/>
              </w:rPr>
              <w:t>2</w:t>
            </w:r>
          </w:p>
        </w:tc>
        <w:tc>
          <w:tcPr>
            <w:tcW w:w="860" w:type="pct"/>
            <w:noWrap/>
            <w:vAlign w:val="bottom"/>
            <w:hideMark/>
          </w:tcPr>
          <w:p w14:paraId="5EF3BB97" w14:textId="77777777" w:rsidR="00A74C68" w:rsidRPr="00471CBA" w:rsidRDefault="00A74C68" w:rsidP="00A74C68">
            <w:pPr>
              <w:rPr>
                <w:color w:val="000000"/>
                <w:sz w:val="16"/>
                <w:szCs w:val="16"/>
                <w:lang w:eastAsia="tr-TR"/>
              </w:rPr>
            </w:pPr>
            <w:r w:rsidRPr="00471CBA">
              <w:rPr>
                <w:color w:val="000000"/>
                <w:sz w:val="16"/>
                <w:szCs w:val="16"/>
                <w:lang w:eastAsia="tr-TR"/>
              </w:rPr>
              <w:t>Borçlanma araçları</w:t>
            </w:r>
          </w:p>
        </w:tc>
        <w:tc>
          <w:tcPr>
            <w:tcW w:w="659" w:type="pct"/>
            <w:vAlign w:val="center"/>
            <w:hideMark/>
          </w:tcPr>
          <w:p w14:paraId="47708664" w14:textId="77777777" w:rsidR="00A74C68" w:rsidRPr="00471CBA" w:rsidRDefault="00A74C68" w:rsidP="00A74C68">
            <w:pPr>
              <w:jc w:val="right"/>
              <w:rPr>
                <w:color w:val="000000"/>
                <w:sz w:val="16"/>
                <w:szCs w:val="16"/>
                <w:lang w:eastAsia="tr-TR"/>
              </w:rPr>
            </w:pPr>
            <w:r w:rsidRPr="00471CBA">
              <w:rPr>
                <w:sz w:val="16"/>
                <w:szCs w:val="16"/>
              </w:rPr>
              <w:t>1.488.089</w:t>
            </w:r>
          </w:p>
        </w:tc>
        <w:tc>
          <w:tcPr>
            <w:tcW w:w="523" w:type="pct"/>
            <w:vAlign w:val="center"/>
            <w:hideMark/>
          </w:tcPr>
          <w:p w14:paraId="42E091CE" w14:textId="77777777" w:rsidR="00A74C68" w:rsidRPr="00471CBA" w:rsidRDefault="00A74C68" w:rsidP="00A74C68">
            <w:pPr>
              <w:jc w:val="right"/>
              <w:rPr>
                <w:color w:val="000000"/>
                <w:sz w:val="16"/>
                <w:szCs w:val="16"/>
                <w:lang w:eastAsia="tr-TR"/>
              </w:rPr>
            </w:pPr>
            <w:r w:rsidRPr="00471CBA">
              <w:rPr>
                <w:sz w:val="16"/>
                <w:szCs w:val="16"/>
              </w:rPr>
              <w:t>-</w:t>
            </w:r>
          </w:p>
        </w:tc>
        <w:tc>
          <w:tcPr>
            <w:tcW w:w="590" w:type="pct"/>
            <w:vAlign w:val="center"/>
            <w:hideMark/>
          </w:tcPr>
          <w:p w14:paraId="3C465FC2" w14:textId="77777777" w:rsidR="00A74C68" w:rsidRPr="00471CBA" w:rsidRDefault="00A74C68" w:rsidP="00A74C68">
            <w:pPr>
              <w:jc w:val="right"/>
              <w:rPr>
                <w:color w:val="000000"/>
                <w:sz w:val="16"/>
                <w:szCs w:val="16"/>
                <w:lang w:eastAsia="tr-TR"/>
              </w:rPr>
            </w:pPr>
            <w:r w:rsidRPr="00471CBA">
              <w:rPr>
                <w:sz w:val="16"/>
                <w:szCs w:val="16"/>
              </w:rPr>
              <w:t>-</w:t>
            </w:r>
          </w:p>
        </w:tc>
        <w:tc>
          <w:tcPr>
            <w:tcW w:w="593" w:type="pct"/>
            <w:vAlign w:val="center"/>
            <w:hideMark/>
          </w:tcPr>
          <w:p w14:paraId="72D459BC" w14:textId="77777777" w:rsidR="00A74C68" w:rsidRPr="00471CBA" w:rsidRDefault="00A74C68" w:rsidP="00A74C68">
            <w:pPr>
              <w:jc w:val="right"/>
              <w:rPr>
                <w:color w:val="000000"/>
                <w:sz w:val="16"/>
                <w:szCs w:val="16"/>
                <w:lang w:eastAsia="tr-TR"/>
              </w:rPr>
            </w:pPr>
            <w:r w:rsidRPr="00471CBA">
              <w:rPr>
                <w:sz w:val="16"/>
                <w:szCs w:val="16"/>
              </w:rPr>
              <w:t>-</w:t>
            </w:r>
          </w:p>
        </w:tc>
        <w:tc>
          <w:tcPr>
            <w:tcW w:w="592" w:type="pct"/>
            <w:vAlign w:val="center"/>
            <w:hideMark/>
          </w:tcPr>
          <w:p w14:paraId="57836D58" w14:textId="77777777" w:rsidR="00A74C68" w:rsidRPr="00471CBA" w:rsidRDefault="00A74C68" w:rsidP="00A74C68">
            <w:pPr>
              <w:jc w:val="right"/>
              <w:rPr>
                <w:color w:val="000000"/>
                <w:sz w:val="16"/>
                <w:szCs w:val="16"/>
                <w:lang w:eastAsia="tr-TR"/>
              </w:rPr>
            </w:pPr>
            <w:r w:rsidRPr="00471CBA">
              <w:rPr>
                <w:sz w:val="16"/>
                <w:szCs w:val="16"/>
              </w:rPr>
              <w:t>-</w:t>
            </w:r>
          </w:p>
        </w:tc>
        <w:tc>
          <w:tcPr>
            <w:tcW w:w="515" w:type="pct"/>
            <w:vAlign w:val="center"/>
            <w:hideMark/>
          </w:tcPr>
          <w:p w14:paraId="6806A01C" w14:textId="77777777" w:rsidR="00A74C68" w:rsidRPr="00471CBA" w:rsidRDefault="00A74C68" w:rsidP="00A74C68">
            <w:pPr>
              <w:jc w:val="right"/>
              <w:rPr>
                <w:color w:val="000000"/>
                <w:sz w:val="16"/>
                <w:szCs w:val="16"/>
                <w:lang w:eastAsia="tr-TR"/>
              </w:rPr>
            </w:pPr>
            <w:r w:rsidRPr="00471CBA">
              <w:rPr>
                <w:sz w:val="16"/>
                <w:szCs w:val="16"/>
              </w:rPr>
              <w:t>-</w:t>
            </w:r>
          </w:p>
        </w:tc>
        <w:tc>
          <w:tcPr>
            <w:tcW w:w="549" w:type="pct"/>
            <w:vAlign w:val="center"/>
            <w:hideMark/>
          </w:tcPr>
          <w:p w14:paraId="61393586" w14:textId="77777777" w:rsidR="00A74C68" w:rsidRPr="00471CBA" w:rsidRDefault="00A74C68" w:rsidP="00A74C68">
            <w:pPr>
              <w:jc w:val="right"/>
              <w:rPr>
                <w:color w:val="000000"/>
                <w:sz w:val="16"/>
                <w:szCs w:val="16"/>
                <w:lang w:eastAsia="tr-TR"/>
              </w:rPr>
            </w:pPr>
            <w:r w:rsidRPr="00471CBA">
              <w:rPr>
                <w:sz w:val="16"/>
                <w:szCs w:val="16"/>
              </w:rPr>
              <w:t>-</w:t>
            </w:r>
          </w:p>
        </w:tc>
      </w:tr>
      <w:tr w:rsidR="00A74C68" w:rsidRPr="00471CBA" w14:paraId="69A96BE4" w14:textId="77777777" w:rsidTr="00A74C68">
        <w:trPr>
          <w:divId w:val="324940039"/>
          <w:trHeight w:val="170"/>
        </w:trPr>
        <w:tc>
          <w:tcPr>
            <w:tcW w:w="119" w:type="pct"/>
            <w:noWrap/>
            <w:hideMark/>
          </w:tcPr>
          <w:p w14:paraId="7B61DA57" w14:textId="77777777" w:rsidR="00A74C68" w:rsidRPr="00471CBA" w:rsidRDefault="00A74C68" w:rsidP="00A74C68">
            <w:pPr>
              <w:rPr>
                <w:b/>
                <w:bCs/>
                <w:color w:val="000000"/>
                <w:sz w:val="16"/>
                <w:szCs w:val="16"/>
                <w:lang w:eastAsia="tr-TR"/>
              </w:rPr>
            </w:pPr>
            <w:r w:rsidRPr="00471CBA">
              <w:rPr>
                <w:b/>
                <w:bCs/>
                <w:color w:val="000000"/>
                <w:sz w:val="16"/>
                <w:szCs w:val="16"/>
                <w:lang w:eastAsia="tr-TR"/>
              </w:rPr>
              <w:t>3</w:t>
            </w:r>
          </w:p>
        </w:tc>
        <w:tc>
          <w:tcPr>
            <w:tcW w:w="860" w:type="pct"/>
            <w:noWrap/>
            <w:vAlign w:val="bottom"/>
            <w:hideMark/>
          </w:tcPr>
          <w:p w14:paraId="74023968" w14:textId="77777777" w:rsidR="00A74C68" w:rsidRPr="00471CBA" w:rsidRDefault="00A74C68" w:rsidP="00A74C68">
            <w:pPr>
              <w:rPr>
                <w:b/>
                <w:bCs/>
                <w:color w:val="000000"/>
                <w:sz w:val="16"/>
                <w:szCs w:val="16"/>
                <w:lang w:eastAsia="tr-TR"/>
              </w:rPr>
            </w:pPr>
            <w:r w:rsidRPr="00471CBA">
              <w:rPr>
                <w:b/>
                <w:bCs/>
                <w:color w:val="000000"/>
                <w:sz w:val="16"/>
                <w:szCs w:val="16"/>
                <w:lang w:eastAsia="tr-TR"/>
              </w:rPr>
              <w:t>Toplam</w:t>
            </w:r>
          </w:p>
        </w:tc>
        <w:tc>
          <w:tcPr>
            <w:tcW w:w="659" w:type="pct"/>
            <w:vAlign w:val="center"/>
            <w:hideMark/>
          </w:tcPr>
          <w:p w14:paraId="14614A16" w14:textId="77777777" w:rsidR="00A74C68" w:rsidRPr="00471CBA" w:rsidRDefault="00A74C68" w:rsidP="00A74C68">
            <w:pPr>
              <w:jc w:val="right"/>
              <w:rPr>
                <w:b/>
                <w:bCs/>
                <w:color w:val="000000"/>
                <w:sz w:val="16"/>
                <w:szCs w:val="16"/>
                <w:lang w:eastAsia="tr-TR"/>
              </w:rPr>
            </w:pPr>
            <w:r w:rsidRPr="00471CBA">
              <w:rPr>
                <w:b/>
                <w:bCs/>
                <w:sz w:val="16"/>
                <w:szCs w:val="16"/>
              </w:rPr>
              <w:t>23.273.954</w:t>
            </w:r>
          </w:p>
        </w:tc>
        <w:tc>
          <w:tcPr>
            <w:tcW w:w="523" w:type="pct"/>
            <w:vAlign w:val="center"/>
            <w:hideMark/>
          </w:tcPr>
          <w:p w14:paraId="7363F8D8" w14:textId="77777777" w:rsidR="00A74C68" w:rsidRPr="00471CBA" w:rsidRDefault="00A74C68" w:rsidP="00A74C68">
            <w:pPr>
              <w:jc w:val="right"/>
              <w:rPr>
                <w:b/>
                <w:bCs/>
                <w:color w:val="000000"/>
                <w:sz w:val="16"/>
                <w:szCs w:val="16"/>
                <w:lang w:eastAsia="tr-TR"/>
              </w:rPr>
            </w:pPr>
            <w:r w:rsidRPr="00471CBA">
              <w:rPr>
                <w:b/>
                <w:bCs/>
                <w:sz w:val="16"/>
                <w:szCs w:val="16"/>
              </w:rPr>
              <w:t>1.247.957</w:t>
            </w:r>
          </w:p>
        </w:tc>
        <w:tc>
          <w:tcPr>
            <w:tcW w:w="590" w:type="pct"/>
            <w:vAlign w:val="center"/>
            <w:hideMark/>
          </w:tcPr>
          <w:p w14:paraId="5D4E61EA" w14:textId="77777777" w:rsidR="00A74C68" w:rsidRPr="00471CBA" w:rsidRDefault="00A74C68" w:rsidP="00A74C68">
            <w:pPr>
              <w:jc w:val="right"/>
              <w:rPr>
                <w:b/>
                <w:bCs/>
                <w:color w:val="000000"/>
                <w:sz w:val="16"/>
                <w:szCs w:val="16"/>
                <w:lang w:eastAsia="tr-TR"/>
              </w:rPr>
            </w:pPr>
            <w:r w:rsidRPr="00471CBA">
              <w:rPr>
                <w:b/>
                <w:bCs/>
                <w:sz w:val="16"/>
                <w:szCs w:val="16"/>
              </w:rPr>
              <w:t>299.577</w:t>
            </w:r>
          </w:p>
        </w:tc>
        <w:tc>
          <w:tcPr>
            <w:tcW w:w="593" w:type="pct"/>
            <w:vAlign w:val="center"/>
            <w:hideMark/>
          </w:tcPr>
          <w:p w14:paraId="230F3A22" w14:textId="77777777" w:rsidR="00A74C68" w:rsidRPr="00471CBA" w:rsidRDefault="00A74C68" w:rsidP="00A74C68">
            <w:pPr>
              <w:jc w:val="right"/>
              <w:rPr>
                <w:b/>
                <w:bCs/>
                <w:color w:val="000000"/>
                <w:sz w:val="16"/>
                <w:szCs w:val="16"/>
                <w:lang w:eastAsia="tr-TR"/>
              </w:rPr>
            </w:pPr>
            <w:r w:rsidRPr="00471CBA">
              <w:rPr>
                <w:b/>
                <w:bCs/>
                <w:sz w:val="16"/>
                <w:szCs w:val="16"/>
              </w:rPr>
              <w:t>-</w:t>
            </w:r>
          </w:p>
        </w:tc>
        <w:tc>
          <w:tcPr>
            <w:tcW w:w="592" w:type="pct"/>
            <w:vAlign w:val="center"/>
            <w:hideMark/>
          </w:tcPr>
          <w:p w14:paraId="1A35E1F3" w14:textId="77777777" w:rsidR="00A74C68" w:rsidRPr="00471CBA" w:rsidRDefault="00A74C68" w:rsidP="00A74C68">
            <w:pPr>
              <w:jc w:val="right"/>
              <w:rPr>
                <w:b/>
                <w:bCs/>
                <w:color w:val="000000"/>
                <w:sz w:val="16"/>
                <w:szCs w:val="16"/>
                <w:lang w:eastAsia="tr-TR"/>
              </w:rPr>
            </w:pPr>
            <w:r w:rsidRPr="00471CBA">
              <w:rPr>
                <w:b/>
                <w:bCs/>
                <w:sz w:val="16"/>
                <w:szCs w:val="16"/>
              </w:rPr>
              <w:t>-</w:t>
            </w:r>
          </w:p>
        </w:tc>
        <w:tc>
          <w:tcPr>
            <w:tcW w:w="515" w:type="pct"/>
            <w:vAlign w:val="center"/>
            <w:hideMark/>
          </w:tcPr>
          <w:p w14:paraId="2029F894" w14:textId="77777777" w:rsidR="00A74C68" w:rsidRPr="00471CBA" w:rsidRDefault="00A74C68" w:rsidP="00A74C68">
            <w:pPr>
              <w:jc w:val="right"/>
              <w:rPr>
                <w:b/>
                <w:bCs/>
                <w:color w:val="000000"/>
                <w:sz w:val="16"/>
                <w:szCs w:val="16"/>
                <w:lang w:eastAsia="tr-TR"/>
              </w:rPr>
            </w:pPr>
            <w:r w:rsidRPr="00471CBA">
              <w:rPr>
                <w:b/>
                <w:bCs/>
                <w:sz w:val="16"/>
                <w:szCs w:val="16"/>
              </w:rPr>
              <w:t>-</w:t>
            </w:r>
          </w:p>
        </w:tc>
        <w:tc>
          <w:tcPr>
            <w:tcW w:w="549" w:type="pct"/>
            <w:vAlign w:val="center"/>
            <w:hideMark/>
          </w:tcPr>
          <w:p w14:paraId="0531FC51" w14:textId="77777777" w:rsidR="00A74C68" w:rsidRPr="00471CBA" w:rsidRDefault="00A74C68" w:rsidP="00A74C68">
            <w:pPr>
              <w:jc w:val="right"/>
              <w:rPr>
                <w:b/>
                <w:bCs/>
                <w:color w:val="000000"/>
                <w:sz w:val="16"/>
                <w:szCs w:val="16"/>
                <w:lang w:eastAsia="tr-TR"/>
              </w:rPr>
            </w:pPr>
            <w:r w:rsidRPr="00471CBA">
              <w:rPr>
                <w:b/>
                <w:bCs/>
                <w:sz w:val="16"/>
                <w:szCs w:val="16"/>
              </w:rPr>
              <w:t>-</w:t>
            </w:r>
          </w:p>
        </w:tc>
      </w:tr>
      <w:tr w:rsidR="00A74C68" w:rsidRPr="00471CBA" w14:paraId="363AB931" w14:textId="77777777" w:rsidTr="00A74C68">
        <w:trPr>
          <w:divId w:val="324940039"/>
          <w:trHeight w:val="170"/>
        </w:trPr>
        <w:tc>
          <w:tcPr>
            <w:tcW w:w="119" w:type="pct"/>
            <w:tcBorders>
              <w:bottom w:val="single" w:sz="4" w:space="0" w:color="auto"/>
            </w:tcBorders>
            <w:noWrap/>
            <w:hideMark/>
          </w:tcPr>
          <w:p w14:paraId="239CFA13" w14:textId="77777777" w:rsidR="00A74C68" w:rsidRPr="00471CBA" w:rsidRDefault="00A74C68" w:rsidP="00A74C68">
            <w:pPr>
              <w:rPr>
                <w:color w:val="000000"/>
                <w:sz w:val="16"/>
                <w:szCs w:val="16"/>
                <w:lang w:eastAsia="tr-TR"/>
              </w:rPr>
            </w:pPr>
            <w:r w:rsidRPr="00471CBA">
              <w:rPr>
                <w:color w:val="000000"/>
                <w:sz w:val="16"/>
                <w:szCs w:val="16"/>
                <w:lang w:eastAsia="tr-TR"/>
              </w:rPr>
              <w:t>4</w:t>
            </w:r>
          </w:p>
        </w:tc>
        <w:tc>
          <w:tcPr>
            <w:tcW w:w="860" w:type="pct"/>
            <w:tcBorders>
              <w:bottom w:val="single" w:sz="4" w:space="0" w:color="auto"/>
            </w:tcBorders>
            <w:noWrap/>
            <w:vAlign w:val="bottom"/>
            <w:hideMark/>
          </w:tcPr>
          <w:p w14:paraId="58326220" w14:textId="77777777" w:rsidR="00A74C68" w:rsidRPr="00471CBA" w:rsidRDefault="00A74C68" w:rsidP="00A74C68">
            <w:pPr>
              <w:rPr>
                <w:color w:val="000000"/>
                <w:sz w:val="16"/>
                <w:szCs w:val="16"/>
                <w:lang w:eastAsia="tr-TR"/>
              </w:rPr>
            </w:pPr>
            <w:r w:rsidRPr="00471CBA">
              <w:rPr>
                <w:color w:val="000000"/>
                <w:sz w:val="16"/>
                <w:szCs w:val="16"/>
                <w:lang w:eastAsia="tr-TR"/>
              </w:rPr>
              <w:t>Temerrüde düşmüş</w:t>
            </w:r>
          </w:p>
        </w:tc>
        <w:tc>
          <w:tcPr>
            <w:tcW w:w="659" w:type="pct"/>
            <w:tcBorders>
              <w:bottom w:val="single" w:sz="4" w:space="0" w:color="auto"/>
            </w:tcBorders>
            <w:vAlign w:val="center"/>
            <w:hideMark/>
          </w:tcPr>
          <w:p w14:paraId="1FEB3A72" w14:textId="77777777" w:rsidR="00A74C68" w:rsidRPr="00471CBA" w:rsidRDefault="00A74C68" w:rsidP="00A74C68">
            <w:pPr>
              <w:jc w:val="right"/>
              <w:rPr>
                <w:color w:val="000000"/>
                <w:sz w:val="16"/>
                <w:szCs w:val="16"/>
                <w:lang w:eastAsia="tr-TR"/>
              </w:rPr>
            </w:pPr>
            <w:r w:rsidRPr="00471CBA">
              <w:rPr>
                <w:sz w:val="16"/>
                <w:szCs w:val="16"/>
              </w:rPr>
              <w:t>-</w:t>
            </w:r>
          </w:p>
        </w:tc>
        <w:tc>
          <w:tcPr>
            <w:tcW w:w="523" w:type="pct"/>
            <w:tcBorders>
              <w:bottom w:val="single" w:sz="4" w:space="0" w:color="auto"/>
            </w:tcBorders>
            <w:vAlign w:val="center"/>
            <w:hideMark/>
          </w:tcPr>
          <w:p w14:paraId="1E2DF292" w14:textId="77777777" w:rsidR="00A74C68" w:rsidRPr="00471CBA" w:rsidRDefault="00A74C68" w:rsidP="00A74C68">
            <w:pPr>
              <w:jc w:val="right"/>
              <w:rPr>
                <w:color w:val="000000"/>
                <w:sz w:val="16"/>
                <w:szCs w:val="16"/>
                <w:lang w:eastAsia="tr-TR"/>
              </w:rPr>
            </w:pPr>
            <w:r w:rsidRPr="00471CBA">
              <w:rPr>
                <w:sz w:val="16"/>
                <w:szCs w:val="16"/>
              </w:rPr>
              <w:t>-</w:t>
            </w:r>
          </w:p>
        </w:tc>
        <w:tc>
          <w:tcPr>
            <w:tcW w:w="590" w:type="pct"/>
            <w:tcBorders>
              <w:bottom w:val="single" w:sz="4" w:space="0" w:color="auto"/>
            </w:tcBorders>
            <w:vAlign w:val="center"/>
            <w:hideMark/>
          </w:tcPr>
          <w:p w14:paraId="63BF85A2" w14:textId="77777777" w:rsidR="00A74C68" w:rsidRPr="00471CBA" w:rsidRDefault="00A74C68" w:rsidP="00A74C68">
            <w:pPr>
              <w:jc w:val="right"/>
              <w:rPr>
                <w:color w:val="000000"/>
                <w:sz w:val="16"/>
                <w:szCs w:val="16"/>
                <w:lang w:eastAsia="tr-TR"/>
              </w:rPr>
            </w:pPr>
            <w:r w:rsidRPr="00471CBA">
              <w:rPr>
                <w:sz w:val="16"/>
                <w:szCs w:val="16"/>
              </w:rPr>
              <w:t>-</w:t>
            </w:r>
          </w:p>
        </w:tc>
        <w:tc>
          <w:tcPr>
            <w:tcW w:w="593" w:type="pct"/>
            <w:tcBorders>
              <w:bottom w:val="single" w:sz="4" w:space="0" w:color="auto"/>
            </w:tcBorders>
            <w:vAlign w:val="center"/>
            <w:hideMark/>
          </w:tcPr>
          <w:p w14:paraId="45767357" w14:textId="77777777" w:rsidR="00A74C68" w:rsidRPr="00471CBA" w:rsidRDefault="00A74C68" w:rsidP="00A74C68">
            <w:pPr>
              <w:jc w:val="right"/>
              <w:rPr>
                <w:color w:val="000000"/>
                <w:sz w:val="16"/>
                <w:szCs w:val="16"/>
                <w:lang w:eastAsia="tr-TR"/>
              </w:rPr>
            </w:pPr>
            <w:r w:rsidRPr="00471CBA">
              <w:rPr>
                <w:sz w:val="16"/>
                <w:szCs w:val="16"/>
              </w:rPr>
              <w:t>-</w:t>
            </w:r>
          </w:p>
        </w:tc>
        <w:tc>
          <w:tcPr>
            <w:tcW w:w="592" w:type="pct"/>
            <w:tcBorders>
              <w:bottom w:val="single" w:sz="4" w:space="0" w:color="auto"/>
            </w:tcBorders>
            <w:vAlign w:val="center"/>
            <w:hideMark/>
          </w:tcPr>
          <w:p w14:paraId="6C33A220" w14:textId="77777777" w:rsidR="00A74C68" w:rsidRPr="00471CBA" w:rsidRDefault="00A74C68" w:rsidP="00A74C68">
            <w:pPr>
              <w:jc w:val="right"/>
              <w:rPr>
                <w:color w:val="000000"/>
                <w:sz w:val="16"/>
                <w:szCs w:val="16"/>
                <w:lang w:eastAsia="tr-TR"/>
              </w:rPr>
            </w:pPr>
            <w:r w:rsidRPr="00471CBA">
              <w:rPr>
                <w:sz w:val="16"/>
                <w:szCs w:val="16"/>
              </w:rPr>
              <w:t>-</w:t>
            </w:r>
          </w:p>
        </w:tc>
        <w:tc>
          <w:tcPr>
            <w:tcW w:w="515" w:type="pct"/>
            <w:tcBorders>
              <w:bottom w:val="single" w:sz="4" w:space="0" w:color="auto"/>
            </w:tcBorders>
            <w:vAlign w:val="center"/>
            <w:hideMark/>
          </w:tcPr>
          <w:p w14:paraId="13DF9772" w14:textId="77777777" w:rsidR="00A74C68" w:rsidRPr="00471CBA" w:rsidRDefault="00A74C68" w:rsidP="00A74C68">
            <w:pPr>
              <w:jc w:val="right"/>
              <w:rPr>
                <w:color w:val="000000"/>
                <w:sz w:val="16"/>
                <w:szCs w:val="16"/>
                <w:lang w:eastAsia="tr-TR"/>
              </w:rPr>
            </w:pPr>
            <w:r w:rsidRPr="00471CBA">
              <w:rPr>
                <w:sz w:val="16"/>
                <w:szCs w:val="16"/>
              </w:rPr>
              <w:t>-</w:t>
            </w:r>
          </w:p>
        </w:tc>
        <w:tc>
          <w:tcPr>
            <w:tcW w:w="549" w:type="pct"/>
            <w:tcBorders>
              <w:bottom w:val="single" w:sz="4" w:space="0" w:color="auto"/>
            </w:tcBorders>
            <w:vAlign w:val="center"/>
            <w:hideMark/>
          </w:tcPr>
          <w:p w14:paraId="03C1A099" w14:textId="77777777" w:rsidR="00A74C68" w:rsidRPr="00471CBA" w:rsidRDefault="00A74C68" w:rsidP="00A74C68">
            <w:pPr>
              <w:jc w:val="right"/>
              <w:rPr>
                <w:color w:val="000000"/>
                <w:sz w:val="16"/>
                <w:szCs w:val="16"/>
                <w:lang w:eastAsia="tr-TR"/>
              </w:rPr>
            </w:pPr>
            <w:r w:rsidRPr="00471CBA">
              <w:rPr>
                <w:sz w:val="16"/>
                <w:szCs w:val="16"/>
              </w:rPr>
              <w:t>-</w:t>
            </w:r>
          </w:p>
        </w:tc>
      </w:tr>
    </w:tbl>
    <w:p w14:paraId="68C4C8F0" w14:textId="4752A832" w:rsidR="00EE0925" w:rsidRPr="00471CBA" w:rsidRDefault="00EE0925" w:rsidP="00EE0925">
      <w:pPr>
        <w:rPr>
          <w:b/>
          <w:szCs w:val="20"/>
        </w:rPr>
      </w:pPr>
      <w:r w:rsidRPr="00471CBA">
        <w:rPr>
          <w:b/>
          <w:szCs w:val="20"/>
        </w:rPr>
        <w:br w:type="page"/>
      </w:r>
    </w:p>
    <w:p w14:paraId="605D8F21" w14:textId="77777777" w:rsidR="00EE0925" w:rsidRPr="00471CBA" w:rsidRDefault="00EE0925" w:rsidP="00EE0925">
      <w:pPr>
        <w:pStyle w:val="GvdeMetniGirintisi"/>
        <w:widowControl w:val="0"/>
        <w:ind w:left="851" w:hanging="851"/>
        <w:rPr>
          <w:b/>
          <w:szCs w:val="20"/>
        </w:rPr>
      </w:pPr>
      <w:r w:rsidRPr="00471CBA">
        <w:rPr>
          <w:b/>
          <w:szCs w:val="20"/>
        </w:rPr>
        <w:t>MALİ BÜNYEYE VE RİSK YÖNETİMİNE İLİŞKİN BİLGİLER (Devamı)</w:t>
      </w:r>
    </w:p>
    <w:p w14:paraId="0048CD11" w14:textId="77777777" w:rsidR="00EE0925" w:rsidRPr="00471CBA" w:rsidRDefault="00EE0925" w:rsidP="00EE0925">
      <w:pPr>
        <w:widowControl w:val="0"/>
        <w:autoSpaceDE w:val="0"/>
        <w:autoSpaceDN w:val="0"/>
        <w:adjustRightInd w:val="0"/>
        <w:ind w:left="851" w:hanging="851"/>
        <w:jc w:val="both"/>
        <w:rPr>
          <w:szCs w:val="20"/>
        </w:rPr>
      </w:pPr>
    </w:p>
    <w:p w14:paraId="03EFC41F" w14:textId="77777777" w:rsidR="00EE0925" w:rsidRPr="00471CBA" w:rsidRDefault="00EE0925" w:rsidP="00EE0925">
      <w:pPr>
        <w:widowControl w:val="0"/>
        <w:spacing w:after="120"/>
        <w:ind w:left="851" w:hanging="851"/>
        <w:jc w:val="both"/>
        <w:outlineLvl w:val="1"/>
        <w:rPr>
          <w:b/>
          <w:szCs w:val="20"/>
        </w:rPr>
      </w:pPr>
      <w:r w:rsidRPr="00471CBA">
        <w:rPr>
          <w:b/>
          <w:szCs w:val="20"/>
        </w:rPr>
        <w:t>IX.</w:t>
      </w:r>
      <w:r w:rsidRPr="00471CBA">
        <w:rPr>
          <w:b/>
          <w:szCs w:val="20"/>
        </w:rPr>
        <w:tab/>
        <w:t>RİSK YÖNETİMİNE İLİŞKİN AÇIKLAMALAR (Devamı)</w:t>
      </w:r>
    </w:p>
    <w:p w14:paraId="20437C8F" w14:textId="0A30EA83" w:rsidR="00EE0925" w:rsidRPr="00471CBA" w:rsidRDefault="00EE0925" w:rsidP="00EE0925">
      <w:pPr>
        <w:spacing w:before="120" w:after="120"/>
        <w:ind w:left="851" w:hanging="851"/>
        <w:rPr>
          <w:b/>
          <w:szCs w:val="20"/>
        </w:rPr>
      </w:pPr>
      <w:r w:rsidRPr="00471CBA">
        <w:rPr>
          <w:b/>
          <w:szCs w:val="20"/>
        </w:rPr>
        <w:t>c.</w:t>
      </w:r>
      <w:r w:rsidR="00F658F0">
        <w:rPr>
          <w:b/>
          <w:szCs w:val="20"/>
        </w:rPr>
        <w:t>3</w:t>
      </w:r>
      <w:r w:rsidRPr="00471CBA">
        <w:rPr>
          <w:b/>
          <w:szCs w:val="20"/>
        </w:rPr>
        <w:t>.</w:t>
      </w:r>
      <w:r w:rsidRPr="00471CBA">
        <w:rPr>
          <w:b/>
          <w:szCs w:val="20"/>
        </w:rPr>
        <w:tab/>
        <w:t>Standart Yaklaşım Kullanılması Durumunda Kredi Riski:</w:t>
      </w:r>
    </w:p>
    <w:p w14:paraId="580E2AA3" w14:textId="77DA9EB9" w:rsidR="00EE0925" w:rsidRPr="00471CBA" w:rsidRDefault="00EE0925" w:rsidP="00EE0925">
      <w:pPr>
        <w:spacing w:before="120" w:after="120"/>
        <w:ind w:left="851" w:hanging="851"/>
        <w:rPr>
          <w:b/>
          <w:szCs w:val="20"/>
        </w:rPr>
      </w:pPr>
      <w:r w:rsidRPr="00471CBA">
        <w:rPr>
          <w:b/>
          <w:szCs w:val="20"/>
        </w:rPr>
        <w:t>c.</w:t>
      </w:r>
      <w:r w:rsidR="00F658F0">
        <w:rPr>
          <w:b/>
          <w:szCs w:val="20"/>
        </w:rPr>
        <w:t>3</w:t>
      </w:r>
      <w:r w:rsidRPr="00471CBA">
        <w:rPr>
          <w:b/>
          <w:szCs w:val="20"/>
        </w:rPr>
        <w:t>.1.</w:t>
      </w:r>
      <w:r w:rsidRPr="00471CBA">
        <w:rPr>
          <w:b/>
          <w:szCs w:val="20"/>
        </w:rPr>
        <w:tab/>
        <w:t>Bankaların Kredi Riskini Standart Yaklaşım ile Hesaplarken Kullandığı Derecelendirme Notlarıyla İlgili Yapılacak Nitel Açıklamalar</w:t>
      </w:r>
    </w:p>
    <w:p w14:paraId="3AB89140" w14:textId="08DEB4F2" w:rsidR="007322D9" w:rsidRPr="00471CBA" w:rsidRDefault="007322D9" w:rsidP="007322D9">
      <w:pPr>
        <w:spacing w:before="120" w:after="120"/>
        <w:jc w:val="both"/>
        <w:rPr>
          <w:b/>
          <w:szCs w:val="20"/>
        </w:rPr>
      </w:pPr>
      <w:r w:rsidRPr="00471CBA">
        <w:rPr>
          <w:szCs w:val="20"/>
        </w:rPr>
        <w:t>Bankaların kredi riskini standart yaklaşım ile hesaplarken kullandığı derecelendirme notlarına ilişkin açıklamalara II numaralı Kredi riskine ilişkin açıklamalar dipnotunda yer verilmiştir.</w:t>
      </w:r>
    </w:p>
    <w:p w14:paraId="70F8009D" w14:textId="63937FF7" w:rsidR="00EE0925" w:rsidRPr="00471CBA" w:rsidRDefault="00EE0925" w:rsidP="00EE0925">
      <w:pPr>
        <w:spacing w:before="120" w:after="120"/>
        <w:ind w:left="851" w:hanging="851"/>
        <w:rPr>
          <w:b/>
          <w:szCs w:val="20"/>
        </w:rPr>
      </w:pPr>
      <w:r w:rsidRPr="00471CBA">
        <w:rPr>
          <w:b/>
          <w:szCs w:val="20"/>
        </w:rPr>
        <w:t>c.</w:t>
      </w:r>
      <w:r w:rsidR="00F658F0">
        <w:rPr>
          <w:b/>
          <w:szCs w:val="20"/>
        </w:rPr>
        <w:t>3</w:t>
      </w:r>
      <w:r w:rsidRPr="00471CBA">
        <w:rPr>
          <w:b/>
          <w:szCs w:val="20"/>
        </w:rPr>
        <w:t>.2.</w:t>
      </w:r>
      <w:r w:rsidRPr="00471CBA">
        <w:rPr>
          <w:b/>
          <w:szCs w:val="20"/>
        </w:rPr>
        <w:tab/>
        <w:t>Maruz Kalınan Kredi Riski ve Kredi Riski Azaltım Etkileri:</w:t>
      </w:r>
    </w:p>
    <w:p w14:paraId="4A9BFF91" w14:textId="7DDAA0AA" w:rsidR="00A74C68" w:rsidRPr="00471CBA" w:rsidRDefault="00A74C68" w:rsidP="00EE0925"/>
    <w:tbl>
      <w:tblPr>
        <w:tblW w:w="9593" w:type="dxa"/>
        <w:tblCellMar>
          <w:left w:w="70" w:type="dxa"/>
          <w:right w:w="70" w:type="dxa"/>
        </w:tblCellMar>
        <w:tblLook w:val="04A0" w:firstRow="1" w:lastRow="0" w:firstColumn="1" w:lastColumn="0" w:noHBand="0" w:noVBand="1"/>
      </w:tblPr>
      <w:tblGrid>
        <w:gridCol w:w="320"/>
        <w:gridCol w:w="2232"/>
        <w:gridCol w:w="1129"/>
        <w:gridCol w:w="1129"/>
        <w:gridCol w:w="1130"/>
        <w:gridCol w:w="1127"/>
        <w:gridCol w:w="1261"/>
        <w:gridCol w:w="1265"/>
      </w:tblGrid>
      <w:tr w:rsidR="00A74C68" w:rsidRPr="00471CBA" w14:paraId="2A74FF6C" w14:textId="77777777" w:rsidTr="00A74C68">
        <w:trPr>
          <w:divId w:val="1877699869"/>
          <w:trHeight w:val="585"/>
        </w:trPr>
        <w:tc>
          <w:tcPr>
            <w:tcW w:w="320" w:type="dxa"/>
            <w:tcBorders>
              <w:top w:val="single" w:sz="4" w:space="0" w:color="auto"/>
              <w:bottom w:val="single" w:sz="4" w:space="0" w:color="auto"/>
            </w:tcBorders>
            <w:noWrap/>
            <w:vAlign w:val="center"/>
            <w:hideMark/>
          </w:tcPr>
          <w:p w14:paraId="1103F8CE" w14:textId="0C699C40" w:rsidR="00A74C68" w:rsidRPr="00471CBA" w:rsidRDefault="00A74C68" w:rsidP="00A74C68">
            <w:pPr>
              <w:rPr>
                <w:b/>
                <w:bCs/>
                <w:color w:val="000000"/>
                <w:sz w:val="18"/>
                <w:szCs w:val="18"/>
                <w:lang w:eastAsia="tr-TR"/>
              </w:rPr>
            </w:pPr>
            <w:r w:rsidRPr="00471CBA">
              <w:rPr>
                <w:b/>
                <w:bCs/>
                <w:color w:val="000000"/>
                <w:sz w:val="18"/>
                <w:szCs w:val="18"/>
                <w:lang w:eastAsia="tr-TR"/>
              </w:rPr>
              <w:t> </w:t>
            </w:r>
          </w:p>
        </w:tc>
        <w:tc>
          <w:tcPr>
            <w:tcW w:w="2232" w:type="dxa"/>
            <w:tcBorders>
              <w:top w:val="single" w:sz="4" w:space="0" w:color="auto"/>
              <w:bottom w:val="single" w:sz="4" w:space="0" w:color="auto"/>
            </w:tcBorders>
            <w:noWrap/>
            <w:vAlign w:val="center"/>
            <w:hideMark/>
          </w:tcPr>
          <w:p w14:paraId="606CA211" w14:textId="77777777" w:rsidR="00A74C68" w:rsidRPr="00471CBA" w:rsidRDefault="00A74C68" w:rsidP="00A74C68">
            <w:pPr>
              <w:rPr>
                <w:b/>
                <w:bCs/>
                <w:color w:val="000000"/>
                <w:sz w:val="18"/>
                <w:szCs w:val="18"/>
                <w:lang w:eastAsia="tr-TR"/>
              </w:rPr>
            </w:pPr>
            <w:r w:rsidRPr="00471CBA">
              <w:rPr>
                <w:b/>
                <w:bCs/>
                <w:color w:val="000000"/>
                <w:sz w:val="18"/>
                <w:szCs w:val="18"/>
                <w:lang w:eastAsia="tr-TR"/>
              </w:rPr>
              <w:t>31 Aralık 2025</w:t>
            </w:r>
          </w:p>
        </w:tc>
        <w:tc>
          <w:tcPr>
            <w:tcW w:w="2258" w:type="dxa"/>
            <w:gridSpan w:val="2"/>
            <w:tcBorders>
              <w:top w:val="single" w:sz="4" w:space="0" w:color="auto"/>
              <w:bottom w:val="single" w:sz="4" w:space="0" w:color="auto"/>
            </w:tcBorders>
            <w:vAlign w:val="center"/>
            <w:hideMark/>
          </w:tcPr>
          <w:p w14:paraId="42925EF6" w14:textId="77777777" w:rsidR="00A74C68" w:rsidRPr="00471CBA" w:rsidRDefault="00A74C68" w:rsidP="00A74C68">
            <w:pPr>
              <w:jc w:val="center"/>
              <w:rPr>
                <w:b/>
                <w:bCs/>
                <w:color w:val="000000"/>
                <w:sz w:val="18"/>
                <w:szCs w:val="18"/>
                <w:lang w:eastAsia="tr-TR"/>
              </w:rPr>
            </w:pPr>
            <w:r w:rsidRPr="00471CBA">
              <w:rPr>
                <w:b/>
                <w:bCs/>
                <w:color w:val="000000"/>
                <w:sz w:val="18"/>
                <w:szCs w:val="18"/>
                <w:lang w:eastAsia="tr-TR"/>
              </w:rPr>
              <w:t>Kredi dönüşüm oranı ve kredi riski azaltımından önce alacak tutarı</w:t>
            </w:r>
          </w:p>
        </w:tc>
        <w:tc>
          <w:tcPr>
            <w:tcW w:w="2257" w:type="dxa"/>
            <w:gridSpan w:val="2"/>
            <w:tcBorders>
              <w:top w:val="single" w:sz="4" w:space="0" w:color="auto"/>
              <w:bottom w:val="single" w:sz="4" w:space="0" w:color="auto"/>
            </w:tcBorders>
            <w:vAlign w:val="center"/>
            <w:hideMark/>
          </w:tcPr>
          <w:p w14:paraId="0451D5B8" w14:textId="77777777" w:rsidR="00A74C68" w:rsidRPr="00471CBA" w:rsidRDefault="00A74C68" w:rsidP="00A74C68">
            <w:pPr>
              <w:jc w:val="center"/>
              <w:rPr>
                <w:b/>
                <w:bCs/>
                <w:color w:val="000000"/>
                <w:sz w:val="18"/>
                <w:szCs w:val="18"/>
                <w:lang w:eastAsia="tr-TR"/>
              </w:rPr>
            </w:pPr>
            <w:r w:rsidRPr="00471CBA">
              <w:rPr>
                <w:b/>
                <w:bCs/>
                <w:color w:val="000000"/>
                <w:sz w:val="18"/>
                <w:szCs w:val="18"/>
                <w:lang w:eastAsia="tr-TR"/>
              </w:rPr>
              <w:t>Kredi dönüşüm oranı ve kredi riski azaltımından sonra alacak tutarı</w:t>
            </w:r>
          </w:p>
        </w:tc>
        <w:tc>
          <w:tcPr>
            <w:tcW w:w="2526" w:type="dxa"/>
            <w:gridSpan w:val="2"/>
            <w:tcBorders>
              <w:top w:val="single" w:sz="4" w:space="0" w:color="auto"/>
              <w:bottom w:val="single" w:sz="4" w:space="0" w:color="auto"/>
            </w:tcBorders>
            <w:vAlign w:val="center"/>
            <w:hideMark/>
          </w:tcPr>
          <w:p w14:paraId="528098DC" w14:textId="77777777" w:rsidR="00A74C68" w:rsidRPr="00471CBA" w:rsidRDefault="00A74C68" w:rsidP="00A74C68">
            <w:pPr>
              <w:jc w:val="center"/>
              <w:rPr>
                <w:b/>
                <w:bCs/>
                <w:color w:val="000000"/>
                <w:sz w:val="18"/>
                <w:szCs w:val="18"/>
                <w:lang w:eastAsia="tr-TR"/>
              </w:rPr>
            </w:pPr>
            <w:r w:rsidRPr="00471CBA">
              <w:rPr>
                <w:b/>
                <w:bCs/>
                <w:color w:val="000000"/>
                <w:sz w:val="18"/>
                <w:szCs w:val="18"/>
                <w:lang w:eastAsia="tr-TR"/>
              </w:rPr>
              <w:t>Risk ağırlıklı tutar ve risk ağırlıklı tutar yoğunluğu</w:t>
            </w:r>
          </w:p>
        </w:tc>
      </w:tr>
      <w:tr w:rsidR="00A74C68" w:rsidRPr="00471CBA" w14:paraId="2FB8D589" w14:textId="77777777" w:rsidTr="00A74C68">
        <w:trPr>
          <w:divId w:val="1877699869"/>
          <w:trHeight w:val="255"/>
        </w:trPr>
        <w:tc>
          <w:tcPr>
            <w:tcW w:w="320" w:type="dxa"/>
            <w:tcBorders>
              <w:top w:val="single" w:sz="4" w:space="0" w:color="auto"/>
              <w:bottom w:val="single" w:sz="4" w:space="0" w:color="auto"/>
            </w:tcBorders>
            <w:noWrap/>
            <w:vAlign w:val="bottom"/>
            <w:hideMark/>
          </w:tcPr>
          <w:p w14:paraId="6577A15B" w14:textId="77777777" w:rsidR="00A74C68" w:rsidRPr="00471CBA" w:rsidRDefault="00A74C68" w:rsidP="00A74C68">
            <w:pPr>
              <w:rPr>
                <w:b/>
                <w:bCs/>
                <w:color w:val="000000"/>
                <w:sz w:val="18"/>
                <w:szCs w:val="18"/>
                <w:lang w:eastAsia="tr-TR"/>
              </w:rPr>
            </w:pPr>
            <w:r w:rsidRPr="00471CBA">
              <w:rPr>
                <w:b/>
                <w:bCs/>
                <w:color w:val="000000"/>
                <w:sz w:val="18"/>
                <w:szCs w:val="18"/>
                <w:lang w:eastAsia="tr-TR"/>
              </w:rPr>
              <w:t> </w:t>
            </w:r>
          </w:p>
        </w:tc>
        <w:tc>
          <w:tcPr>
            <w:tcW w:w="2232" w:type="dxa"/>
            <w:tcBorders>
              <w:top w:val="single" w:sz="4" w:space="0" w:color="auto"/>
              <w:bottom w:val="single" w:sz="4" w:space="0" w:color="auto"/>
            </w:tcBorders>
            <w:vAlign w:val="bottom"/>
            <w:hideMark/>
          </w:tcPr>
          <w:p w14:paraId="39761912" w14:textId="77777777" w:rsidR="00A74C68" w:rsidRPr="00471CBA" w:rsidRDefault="00A74C68" w:rsidP="00A74C68">
            <w:pPr>
              <w:rPr>
                <w:b/>
                <w:bCs/>
                <w:color w:val="000000"/>
                <w:sz w:val="18"/>
                <w:szCs w:val="18"/>
                <w:lang w:eastAsia="tr-TR"/>
              </w:rPr>
            </w:pPr>
            <w:r w:rsidRPr="00471CBA">
              <w:rPr>
                <w:b/>
                <w:bCs/>
                <w:color w:val="000000"/>
                <w:sz w:val="18"/>
                <w:szCs w:val="18"/>
                <w:lang w:eastAsia="tr-TR"/>
              </w:rPr>
              <w:t>Risk sınıfları</w:t>
            </w:r>
          </w:p>
        </w:tc>
        <w:tc>
          <w:tcPr>
            <w:tcW w:w="1129" w:type="dxa"/>
            <w:tcBorders>
              <w:top w:val="single" w:sz="4" w:space="0" w:color="auto"/>
              <w:bottom w:val="single" w:sz="4" w:space="0" w:color="auto"/>
            </w:tcBorders>
            <w:vAlign w:val="bottom"/>
            <w:hideMark/>
          </w:tcPr>
          <w:p w14:paraId="02AC886E" w14:textId="77777777" w:rsidR="00A74C68" w:rsidRPr="00471CBA" w:rsidRDefault="00A74C68" w:rsidP="00A74C68">
            <w:pPr>
              <w:jc w:val="right"/>
              <w:rPr>
                <w:b/>
                <w:bCs/>
                <w:color w:val="000000"/>
                <w:sz w:val="18"/>
                <w:szCs w:val="18"/>
                <w:lang w:eastAsia="tr-TR"/>
              </w:rPr>
            </w:pPr>
            <w:r w:rsidRPr="00471CBA">
              <w:rPr>
                <w:b/>
                <w:bCs/>
                <w:color w:val="000000"/>
                <w:sz w:val="18"/>
                <w:szCs w:val="18"/>
                <w:lang w:eastAsia="tr-TR"/>
              </w:rPr>
              <w:t>Bilanço içi tutar</w:t>
            </w:r>
          </w:p>
        </w:tc>
        <w:tc>
          <w:tcPr>
            <w:tcW w:w="1129" w:type="dxa"/>
            <w:tcBorders>
              <w:top w:val="single" w:sz="4" w:space="0" w:color="auto"/>
              <w:bottom w:val="single" w:sz="4" w:space="0" w:color="auto"/>
            </w:tcBorders>
            <w:vAlign w:val="bottom"/>
            <w:hideMark/>
          </w:tcPr>
          <w:p w14:paraId="2FFAA2FA" w14:textId="77777777" w:rsidR="00A74C68" w:rsidRPr="00471CBA" w:rsidRDefault="00A74C68" w:rsidP="00A74C68">
            <w:pPr>
              <w:jc w:val="right"/>
              <w:rPr>
                <w:b/>
                <w:bCs/>
                <w:color w:val="000000"/>
                <w:sz w:val="18"/>
                <w:szCs w:val="18"/>
                <w:lang w:eastAsia="tr-TR"/>
              </w:rPr>
            </w:pPr>
            <w:r w:rsidRPr="00471CBA">
              <w:rPr>
                <w:b/>
                <w:bCs/>
                <w:color w:val="000000"/>
                <w:sz w:val="18"/>
                <w:szCs w:val="18"/>
                <w:lang w:eastAsia="tr-TR"/>
              </w:rPr>
              <w:t>Bilanço dışı tutar</w:t>
            </w:r>
          </w:p>
        </w:tc>
        <w:tc>
          <w:tcPr>
            <w:tcW w:w="1130" w:type="dxa"/>
            <w:tcBorders>
              <w:top w:val="single" w:sz="4" w:space="0" w:color="auto"/>
              <w:bottom w:val="single" w:sz="4" w:space="0" w:color="auto"/>
            </w:tcBorders>
            <w:vAlign w:val="bottom"/>
            <w:hideMark/>
          </w:tcPr>
          <w:p w14:paraId="3D4B2172" w14:textId="77777777" w:rsidR="00A74C68" w:rsidRPr="00471CBA" w:rsidRDefault="00A74C68" w:rsidP="00A74C68">
            <w:pPr>
              <w:jc w:val="right"/>
              <w:rPr>
                <w:b/>
                <w:bCs/>
                <w:color w:val="000000"/>
                <w:sz w:val="18"/>
                <w:szCs w:val="18"/>
                <w:lang w:eastAsia="tr-TR"/>
              </w:rPr>
            </w:pPr>
            <w:r w:rsidRPr="00471CBA">
              <w:rPr>
                <w:b/>
                <w:bCs/>
                <w:color w:val="000000"/>
                <w:sz w:val="18"/>
                <w:szCs w:val="18"/>
                <w:lang w:eastAsia="tr-TR"/>
              </w:rPr>
              <w:t>Bilanço içi tutar</w:t>
            </w:r>
          </w:p>
        </w:tc>
        <w:tc>
          <w:tcPr>
            <w:tcW w:w="1127" w:type="dxa"/>
            <w:tcBorders>
              <w:top w:val="single" w:sz="4" w:space="0" w:color="auto"/>
              <w:bottom w:val="single" w:sz="4" w:space="0" w:color="auto"/>
            </w:tcBorders>
            <w:vAlign w:val="bottom"/>
            <w:hideMark/>
          </w:tcPr>
          <w:p w14:paraId="064EEDFB" w14:textId="77777777" w:rsidR="00A74C68" w:rsidRPr="00471CBA" w:rsidRDefault="00A74C68" w:rsidP="00A74C68">
            <w:pPr>
              <w:jc w:val="right"/>
              <w:rPr>
                <w:b/>
                <w:bCs/>
                <w:color w:val="000000"/>
                <w:sz w:val="18"/>
                <w:szCs w:val="18"/>
                <w:lang w:eastAsia="tr-TR"/>
              </w:rPr>
            </w:pPr>
            <w:r w:rsidRPr="00471CBA">
              <w:rPr>
                <w:b/>
                <w:bCs/>
                <w:color w:val="000000"/>
                <w:sz w:val="18"/>
                <w:szCs w:val="18"/>
                <w:lang w:eastAsia="tr-TR"/>
              </w:rPr>
              <w:t>Bilanço dışı tutar</w:t>
            </w:r>
          </w:p>
        </w:tc>
        <w:tc>
          <w:tcPr>
            <w:tcW w:w="1261" w:type="dxa"/>
            <w:tcBorders>
              <w:top w:val="single" w:sz="4" w:space="0" w:color="auto"/>
              <w:bottom w:val="single" w:sz="4" w:space="0" w:color="auto"/>
            </w:tcBorders>
            <w:vAlign w:val="bottom"/>
            <w:hideMark/>
          </w:tcPr>
          <w:p w14:paraId="1D0C6850" w14:textId="77777777" w:rsidR="00A74C68" w:rsidRPr="00471CBA" w:rsidRDefault="00A74C68" w:rsidP="00A74C68">
            <w:pPr>
              <w:jc w:val="right"/>
              <w:rPr>
                <w:b/>
                <w:bCs/>
                <w:color w:val="000000"/>
                <w:sz w:val="18"/>
                <w:szCs w:val="18"/>
                <w:lang w:eastAsia="tr-TR"/>
              </w:rPr>
            </w:pPr>
            <w:r w:rsidRPr="00471CBA">
              <w:rPr>
                <w:b/>
                <w:bCs/>
                <w:color w:val="000000"/>
                <w:sz w:val="18"/>
                <w:szCs w:val="18"/>
                <w:lang w:eastAsia="tr-TR"/>
              </w:rPr>
              <w:t>Risk ağırlıklı tutar</w:t>
            </w:r>
          </w:p>
        </w:tc>
        <w:tc>
          <w:tcPr>
            <w:tcW w:w="1265" w:type="dxa"/>
            <w:tcBorders>
              <w:top w:val="single" w:sz="4" w:space="0" w:color="auto"/>
              <w:bottom w:val="single" w:sz="4" w:space="0" w:color="auto"/>
            </w:tcBorders>
            <w:vAlign w:val="bottom"/>
            <w:hideMark/>
          </w:tcPr>
          <w:p w14:paraId="000A8C66" w14:textId="77777777" w:rsidR="00A74C68" w:rsidRPr="00471CBA" w:rsidRDefault="00A74C68" w:rsidP="00A74C68">
            <w:pPr>
              <w:jc w:val="right"/>
              <w:rPr>
                <w:b/>
                <w:bCs/>
                <w:color w:val="000000"/>
                <w:sz w:val="18"/>
                <w:szCs w:val="18"/>
                <w:lang w:eastAsia="tr-TR"/>
              </w:rPr>
            </w:pPr>
            <w:r w:rsidRPr="00471CBA">
              <w:rPr>
                <w:b/>
                <w:bCs/>
                <w:color w:val="000000"/>
                <w:sz w:val="18"/>
                <w:szCs w:val="18"/>
                <w:lang w:eastAsia="tr-TR"/>
              </w:rPr>
              <w:t>Risk ağırlıklı tutar yoğunluğu</w:t>
            </w:r>
          </w:p>
        </w:tc>
      </w:tr>
      <w:tr w:rsidR="00A74C68" w:rsidRPr="00471CBA" w14:paraId="7A95CC11" w14:textId="77777777" w:rsidTr="00A74C68">
        <w:trPr>
          <w:divId w:val="1877699869"/>
          <w:trHeight w:val="255"/>
        </w:trPr>
        <w:tc>
          <w:tcPr>
            <w:tcW w:w="320" w:type="dxa"/>
            <w:tcBorders>
              <w:top w:val="single" w:sz="4" w:space="0" w:color="auto"/>
            </w:tcBorders>
            <w:noWrap/>
            <w:hideMark/>
          </w:tcPr>
          <w:p w14:paraId="60E4B040" w14:textId="77777777" w:rsidR="00A74C68" w:rsidRPr="00471CBA" w:rsidRDefault="00A74C68" w:rsidP="00A74C68">
            <w:pPr>
              <w:rPr>
                <w:color w:val="000000"/>
                <w:sz w:val="18"/>
                <w:szCs w:val="18"/>
                <w:lang w:eastAsia="tr-TR"/>
              </w:rPr>
            </w:pPr>
            <w:r w:rsidRPr="00471CBA">
              <w:rPr>
                <w:color w:val="000000"/>
                <w:sz w:val="18"/>
                <w:szCs w:val="18"/>
                <w:lang w:eastAsia="tr-TR"/>
              </w:rPr>
              <w:t>1</w:t>
            </w:r>
          </w:p>
        </w:tc>
        <w:tc>
          <w:tcPr>
            <w:tcW w:w="2232" w:type="dxa"/>
            <w:tcBorders>
              <w:top w:val="single" w:sz="4" w:space="0" w:color="auto"/>
            </w:tcBorders>
            <w:noWrap/>
            <w:hideMark/>
          </w:tcPr>
          <w:p w14:paraId="404A79AA" w14:textId="77777777" w:rsidR="00A74C68" w:rsidRPr="00471CBA" w:rsidRDefault="00A74C68" w:rsidP="00A74C68">
            <w:pPr>
              <w:rPr>
                <w:color w:val="000000"/>
                <w:sz w:val="18"/>
                <w:szCs w:val="18"/>
                <w:lang w:eastAsia="tr-TR"/>
              </w:rPr>
            </w:pPr>
            <w:r w:rsidRPr="00471CBA">
              <w:rPr>
                <w:color w:val="000000"/>
                <w:sz w:val="18"/>
                <w:szCs w:val="18"/>
                <w:lang w:eastAsia="tr-TR"/>
              </w:rPr>
              <w:t>Merkezi yönetimlerden veya merkez bankalarından alacaklar</w:t>
            </w:r>
          </w:p>
        </w:tc>
        <w:tc>
          <w:tcPr>
            <w:tcW w:w="1129" w:type="dxa"/>
            <w:tcBorders>
              <w:top w:val="single" w:sz="4" w:space="0" w:color="auto"/>
            </w:tcBorders>
            <w:vAlign w:val="bottom"/>
            <w:hideMark/>
          </w:tcPr>
          <w:p w14:paraId="042A569D" w14:textId="77777777" w:rsidR="00A74C68" w:rsidRPr="00471CBA" w:rsidRDefault="00A74C68" w:rsidP="00A74C68">
            <w:pPr>
              <w:jc w:val="right"/>
              <w:rPr>
                <w:color w:val="000000"/>
                <w:sz w:val="18"/>
                <w:szCs w:val="18"/>
                <w:lang w:eastAsia="tr-TR"/>
              </w:rPr>
            </w:pPr>
            <w:r w:rsidRPr="00471CBA">
              <w:rPr>
                <w:color w:val="000000"/>
                <w:sz w:val="18"/>
                <w:szCs w:val="18"/>
                <w:lang w:eastAsia="tr-TR"/>
              </w:rPr>
              <w:t>20.281.833</w:t>
            </w:r>
          </w:p>
        </w:tc>
        <w:tc>
          <w:tcPr>
            <w:tcW w:w="1129" w:type="dxa"/>
            <w:tcBorders>
              <w:top w:val="single" w:sz="4" w:space="0" w:color="auto"/>
            </w:tcBorders>
            <w:vAlign w:val="bottom"/>
            <w:hideMark/>
          </w:tcPr>
          <w:p w14:paraId="67496F11"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130" w:type="dxa"/>
            <w:tcBorders>
              <w:top w:val="single" w:sz="4" w:space="0" w:color="auto"/>
            </w:tcBorders>
            <w:vAlign w:val="bottom"/>
            <w:hideMark/>
          </w:tcPr>
          <w:p w14:paraId="0736DB8F" w14:textId="77777777" w:rsidR="00A74C68" w:rsidRPr="00471CBA" w:rsidRDefault="00A74C68" w:rsidP="00A74C68">
            <w:pPr>
              <w:jc w:val="right"/>
              <w:rPr>
                <w:color w:val="000000"/>
                <w:sz w:val="18"/>
                <w:szCs w:val="18"/>
                <w:lang w:eastAsia="tr-TR"/>
              </w:rPr>
            </w:pPr>
            <w:r w:rsidRPr="00471CBA">
              <w:rPr>
                <w:color w:val="000000"/>
                <w:sz w:val="18"/>
                <w:szCs w:val="18"/>
                <w:lang w:eastAsia="tr-TR"/>
              </w:rPr>
              <w:t>20.281.833</w:t>
            </w:r>
          </w:p>
        </w:tc>
        <w:tc>
          <w:tcPr>
            <w:tcW w:w="1127" w:type="dxa"/>
            <w:tcBorders>
              <w:top w:val="single" w:sz="4" w:space="0" w:color="auto"/>
            </w:tcBorders>
            <w:vAlign w:val="bottom"/>
            <w:hideMark/>
          </w:tcPr>
          <w:p w14:paraId="5E91C481"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261" w:type="dxa"/>
            <w:tcBorders>
              <w:top w:val="single" w:sz="4" w:space="0" w:color="auto"/>
            </w:tcBorders>
            <w:vAlign w:val="bottom"/>
            <w:hideMark/>
          </w:tcPr>
          <w:p w14:paraId="192C749D"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265" w:type="dxa"/>
            <w:tcBorders>
              <w:top w:val="single" w:sz="4" w:space="0" w:color="auto"/>
            </w:tcBorders>
            <w:vAlign w:val="bottom"/>
            <w:hideMark/>
          </w:tcPr>
          <w:p w14:paraId="59826627" w14:textId="77777777" w:rsidR="00A74C68" w:rsidRPr="00471CBA" w:rsidRDefault="00A74C68" w:rsidP="00A74C68">
            <w:pPr>
              <w:jc w:val="right"/>
              <w:rPr>
                <w:color w:val="000000"/>
                <w:sz w:val="18"/>
                <w:szCs w:val="18"/>
                <w:lang w:eastAsia="tr-TR"/>
              </w:rPr>
            </w:pPr>
            <w:r w:rsidRPr="00471CBA">
              <w:rPr>
                <w:color w:val="000000"/>
                <w:sz w:val="18"/>
                <w:szCs w:val="18"/>
                <w:lang w:eastAsia="tr-TR"/>
              </w:rPr>
              <w:t>%0,00</w:t>
            </w:r>
          </w:p>
        </w:tc>
      </w:tr>
      <w:tr w:rsidR="00A74C68" w:rsidRPr="00471CBA" w14:paraId="7F1F8B30" w14:textId="77777777" w:rsidTr="00A74C68">
        <w:trPr>
          <w:divId w:val="1877699869"/>
          <w:trHeight w:val="255"/>
        </w:trPr>
        <w:tc>
          <w:tcPr>
            <w:tcW w:w="320" w:type="dxa"/>
            <w:noWrap/>
            <w:hideMark/>
          </w:tcPr>
          <w:p w14:paraId="5FC2A993" w14:textId="77777777" w:rsidR="00A74C68" w:rsidRPr="00471CBA" w:rsidRDefault="00A74C68" w:rsidP="00A74C68">
            <w:pPr>
              <w:rPr>
                <w:color w:val="000000"/>
                <w:sz w:val="18"/>
                <w:szCs w:val="18"/>
                <w:lang w:eastAsia="tr-TR"/>
              </w:rPr>
            </w:pPr>
            <w:r w:rsidRPr="00471CBA">
              <w:rPr>
                <w:color w:val="000000"/>
                <w:sz w:val="18"/>
                <w:szCs w:val="18"/>
                <w:lang w:eastAsia="tr-TR"/>
              </w:rPr>
              <w:t>2</w:t>
            </w:r>
          </w:p>
        </w:tc>
        <w:tc>
          <w:tcPr>
            <w:tcW w:w="2232" w:type="dxa"/>
            <w:noWrap/>
            <w:hideMark/>
          </w:tcPr>
          <w:p w14:paraId="49F060EA" w14:textId="77777777" w:rsidR="00A74C68" w:rsidRPr="00471CBA" w:rsidRDefault="00A74C68" w:rsidP="00A74C68">
            <w:pPr>
              <w:rPr>
                <w:color w:val="000000"/>
                <w:sz w:val="18"/>
                <w:szCs w:val="18"/>
                <w:lang w:eastAsia="tr-TR"/>
              </w:rPr>
            </w:pPr>
            <w:r w:rsidRPr="00471CBA">
              <w:rPr>
                <w:color w:val="000000"/>
                <w:sz w:val="18"/>
                <w:szCs w:val="18"/>
                <w:lang w:eastAsia="tr-TR"/>
              </w:rPr>
              <w:t>Bölgesel yönetimlerden veya yerel yönetimlerden alacaklar</w:t>
            </w:r>
          </w:p>
        </w:tc>
        <w:tc>
          <w:tcPr>
            <w:tcW w:w="1129" w:type="dxa"/>
            <w:vAlign w:val="bottom"/>
            <w:hideMark/>
          </w:tcPr>
          <w:p w14:paraId="25C2DC28"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129" w:type="dxa"/>
            <w:vAlign w:val="bottom"/>
            <w:hideMark/>
          </w:tcPr>
          <w:p w14:paraId="3F84BAA1"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130" w:type="dxa"/>
            <w:vAlign w:val="bottom"/>
            <w:hideMark/>
          </w:tcPr>
          <w:p w14:paraId="61F892FF"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127" w:type="dxa"/>
            <w:vAlign w:val="bottom"/>
            <w:hideMark/>
          </w:tcPr>
          <w:p w14:paraId="182C18AE"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261" w:type="dxa"/>
            <w:vAlign w:val="bottom"/>
            <w:hideMark/>
          </w:tcPr>
          <w:p w14:paraId="6EBB8F18"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265" w:type="dxa"/>
            <w:vAlign w:val="bottom"/>
            <w:hideMark/>
          </w:tcPr>
          <w:p w14:paraId="2C6D7B4A" w14:textId="77777777" w:rsidR="00A74C68" w:rsidRPr="00471CBA" w:rsidRDefault="00A74C68" w:rsidP="00A74C68">
            <w:pPr>
              <w:jc w:val="right"/>
              <w:rPr>
                <w:color w:val="000000"/>
                <w:sz w:val="18"/>
                <w:szCs w:val="18"/>
                <w:lang w:eastAsia="tr-TR"/>
              </w:rPr>
            </w:pPr>
            <w:r w:rsidRPr="00471CBA">
              <w:rPr>
                <w:color w:val="000000"/>
                <w:sz w:val="18"/>
                <w:szCs w:val="18"/>
                <w:lang w:eastAsia="tr-TR"/>
              </w:rPr>
              <w:t>%0,00</w:t>
            </w:r>
          </w:p>
        </w:tc>
      </w:tr>
      <w:tr w:rsidR="00A74C68" w:rsidRPr="00471CBA" w14:paraId="79EEEFC4" w14:textId="77777777" w:rsidTr="00A74C68">
        <w:trPr>
          <w:divId w:val="1877699869"/>
          <w:trHeight w:val="255"/>
        </w:trPr>
        <w:tc>
          <w:tcPr>
            <w:tcW w:w="320" w:type="dxa"/>
            <w:noWrap/>
            <w:hideMark/>
          </w:tcPr>
          <w:p w14:paraId="782BB150" w14:textId="77777777" w:rsidR="00A74C68" w:rsidRPr="00471CBA" w:rsidRDefault="00A74C68" w:rsidP="00A74C68">
            <w:pPr>
              <w:rPr>
                <w:color w:val="000000"/>
                <w:sz w:val="18"/>
                <w:szCs w:val="18"/>
                <w:lang w:eastAsia="tr-TR"/>
              </w:rPr>
            </w:pPr>
            <w:r w:rsidRPr="00471CBA">
              <w:rPr>
                <w:color w:val="000000"/>
                <w:sz w:val="18"/>
                <w:szCs w:val="18"/>
                <w:lang w:eastAsia="tr-TR"/>
              </w:rPr>
              <w:t>3</w:t>
            </w:r>
          </w:p>
        </w:tc>
        <w:tc>
          <w:tcPr>
            <w:tcW w:w="2232" w:type="dxa"/>
            <w:noWrap/>
            <w:hideMark/>
          </w:tcPr>
          <w:p w14:paraId="3F3E3416" w14:textId="77777777" w:rsidR="00A74C68" w:rsidRPr="00471CBA" w:rsidRDefault="00A74C68" w:rsidP="00A74C68">
            <w:pPr>
              <w:rPr>
                <w:color w:val="000000"/>
                <w:sz w:val="18"/>
                <w:szCs w:val="18"/>
                <w:lang w:eastAsia="tr-TR"/>
              </w:rPr>
            </w:pPr>
            <w:r w:rsidRPr="00471CBA">
              <w:rPr>
                <w:color w:val="000000"/>
                <w:sz w:val="18"/>
                <w:szCs w:val="18"/>
                <w:lang w:eastAsia="tr-TR"/>
              </w:rPr>
              <w:t>İdari birimlerden ve ticari olmayan girişimlerden alacaklar</w:t>
            </w:r>
          </w:p>
        </w:tc>
        <w:tc>
          <w:tcPr>
            <w:tcW w:w="1129" w:type="dxa"/>
            <w:vAlign w:val="bottom"/>
            <w:hideMark/>
          </w:tcPr>
          <w:p w14:paraId="50610ABB"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129" w:type="dxa"/>
            <w:vAlign w:val="bottom"/>
            <w:hideMark/>
          </w:tcPr>
          <w:p w14:paraId="35E58080"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130" w:type="dxa"/>
            <w:vAlign w:val="bottom"/>
            <w:hideMark/>
          </w:tcPr>
          <w:p w14:paraId="407F7CCD"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127" w:type="dxa"/>
            <w:vAlign w:val="bottom"/>
            <w:hideMark/>
          </w:tcPr>
          <w:p w14:paraId="75E39731"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261" w:type="dxa"/>
            <w:vAlign w:val="bottom"/>
            <w:hideMark/>
          </w:tcPr>
          <w:p w14:paraId="372C2105"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265" w:type="dxa"/>
            <w:vAlign w:val="bottom"/>
            <w:hideMark/>
          </w:tcPr>
          <w:p w14:paraId="32FB9E26" w14:textId="77777777" w:rsidR="00A74C68" w:rsidRPr="00471CBA" w:rsidRDefault="00A74C68" w:rsidP="00A74C68">
            <w:pPr>
              <w:jc w:val="right"/>
              <w:rPr>
                <w:color w:val="000000"/>
                <w:sz w:val="18"/>
                <w:szCs w:val="18"/>
                <w:lang w:eastAsia="tr-TR"/>
              </w:rPr>
            </w:pPr>
            <w:r w:rsidRPr="00471CBA">
              <w:rPr>
                <w:color w:val="000000"/>
                <w:sz w:val="18"/>
                <w:szCs w:val="18"/>
                <w:lang w:eastAsia="tr-TR"/>
              </w:rPr>
              <w:t>%0,00</w:t>
            </w:r>
          </w:p>
        </w:tc>
      </w:tr>
      <w:tr w:rsidR="00A74C68" w:rsidRPr="00471CBA" w14:paraId="4354D6A6" w14:textId="77777777" w:rsidTr="00A74C68">
        <w:trPr>
          <w:divId w:val="1877699869"/>
          <w:trHeight w:val="255"/>
        </w:trPr>
        <w:tc>
          <w:tcPr>
            <w:tcW w:w="320" w:type="dxa"/>
            <w:noWrap/>
            <w:hideMark/>
          </w:tcPr>
          <w:p w14:paraId="5E713BD8" w14:textId="77777777" w:rsidR="00A74C68" w:rsidRPr="00471CBA" w:rsidRDefault="00A74C68" w:rsidP="00A74C68">
            <w:pPr>
              <w:rPr>
                <w:color w:val="000000"/>
                <w:sz w:val="18"/>
                <w:szCs w:val="18"/>
                <w:lang w:eastAsia="tr-TR"/>
              </w:rPr>
            </w:pPr>
            <w:r w:rsidRPr="00471CBA">
              <w:rPr>
                <w:color w:val="000000"/>
                <w:sz w:val="18"/>
                <w:szCs w:val="18"/>
                <w:lang w:eastAsia="tr-TR"/>
              </w:rPr>
              <w:t>4</w:t>
            </w:r>
          </w:p>
        </w:tc>
        <w:tc>
          <w:tcPr>
            <w:tcW w:w="2232" w:type="dxa"/>
            <w:noWrap/>
            <w:hideMark/>
          </w:tcPr>
          <w:p w14:paraId="3911C13C" w14:textId="77777777" w:rsidR="00A74C68" w:rsidRPr="00471CBA" w:rsidRDefault="00A74C68" w:rsidP="00A74C68">
            <w:pPr>
              <w:rPr>
                <w:color w:val="000000"/>
                <w:sz w:val="18"/>
                <w:szCs w:val="18"/>
                <w:lang w:eastAsia="tr-TR"/>
              </w:rPr>
            </w:pPr>
            <w:r w:rsidRPr="00471CBA">
              <w:rPr>
                <w:color w:val="000000"/>
                <w:sz w:val="18"/>
                <w:szCs w:val="18"/>
                <w:lang w:eastAsia="tr-TR"/>
              </w:rPr>
              <w:t>Çok taraflı kalkınma bankalarından alacaklar</w:t>
            </w:r>
          </w:p>
        </w:tc>
        <w:tc>
          <w:tcPr>
            <w:tcW w:w="1129" w:type="dxa"/>
            <w:vAlign w:val="bottom"/>
            <w:hideMark/>
          </w:tcPr>
          <w:p w14:paraId="792EE69F"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129" w:type="dxa"/>
            <w:vAlign w:val="bottom"/>
            <w:hideMark/>
          </w:tcPr>
          <w:p w14:paraId="17525B13"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130" w:type="dxa"/>
            <w:vAlign w:val="bottom"/>
            <w:hideMark/>
          </w:tcPr>
          <w:p w14:paraId="4D7C9E60"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127" w:type="dxa"/>
            <w:vAlign w:val="bottom"/>
            <w:hideMark/>
          </w:tcPr>
          <w:p w14:paraId="40D4A4BD"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261" w:type="dxa"/>
            <w:vAlign w:val="bottom"/>
            <w:hideMark/>
          </w:tcPr>
          <w:p w14:paraId="38C0B4A9"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265" w:type="dxa"/>
            <w:vAlign w:val="bottom"/>
            <w:hideMark/>
          </w:tcPr>
          <w:p w14:paraId="53DF949B" w14:textId="77777777" w:rsidR="00A74C68" w:rsidRPr="00471CBA" w:rsidRDefault="00A74C68" w:rsidP="00A74C68">
            <w:pPr>
              <w:jc w:val="right"/>
              <w:rPr>
                <w:color w:val="000000"/>
                <w:sz w:val="18"/>
                <w:szCs w:val="18"/>
                <w:lang w:eastAsia="tr-TR"/>
              </w:rPr>
            </w:pPr>
            <w:r w:rsidRPr="00471CBA">
              <w:rPr>
                <w:color w:val="000000"/>
                <w:sz w:val="18"/>
                <w:szCs w:val="18"/>
                <w:lang w:eastAsia="tr-TR"/>
              </w:rPr>
              <w:t>%0,00</w:t>
            </w:r>
          </w:p>
        </w:tc>
      </w:tr>
      <w:tr w:rsidR="00A74C68" w:rsidRPr="00471CBA" w14:paraId="7DD875B8" w14:textId="77777777" w:rsidTr="00A74C68">
        <w:trPr>
          <w:divId w:val="1877699869"/>
          <w:trHeight w:val="255"/>
        </w:trPr>
        <w:tc>
          <w:tcPr>
            <w:tcW w:w="320" w:type="dxa"/>
            <w:noWrap/>
            <w:hideMark/>
          </w:tcPr>
          <w:p w14:paraId="28BB7E11" w14:textId="77777777" w:rsidR="00A74C68" w:rsidRPr="00471CBA" w:rsidRDefault="00A74C68" w:rsidP="00A74C68">
            <w:pPr>
              <w:rPr>
                <w:color w:val="000000"/>
                <w:sz w:val="18"/>
                <w:szCs w:val="18"/>
                <w:lang w:eastAsia="tr-TR"/>
              </w:rPr>
            </w:pPr>
            <w:r w:rsidRPr="00471CBA">
              <w:rPr>
                <w:color w:val="000000"/>
                <w:sz w:val="18"/>
                <w:szCs w:val="18"/>
                <w:lang w:eastAsia="tr-TR"/>
              </w:rPr>
              <w:t>5</w:t>
            </w:r>
          </w:p>
        </w:tc>
        <w:tc>
          <w:tcPr>
            <w:tcW w:w="2232" w:type="dxa"/>
            <w:noWrap/>
            <w:hideMark/>
          </w:tcPr>
          <w:p w14:paraId="3BE00AE6" w14:textId="77777777" w:rsidR="00A74C68" w:rsidRPr="00471CBA" w:rsidRDefault="00A74C68" w:rsidP="00A74C68">
            <w:pPr>
              <w:rPr>
                <w:color w:val="000000"/>
                <w:sz w:val="18"/>
                <w:szCs w:val="18"/>
                <w:lang w:eastAsia="tr-TR"/>
              </w:rPr>
            </w:pPr>
            <w:r w:rsidRPr="00471CBA">
              <w:rPr>
                <w:color w:val="000000"/>
                <w:sz w:val="18"/>
                <w:szCs w:val="18"/>
                <w:lang w:eastAsia="tr-TR"/>
              </w:rPr>
              <w:t>Uluslararası teşkilatlardan alacaklar</w:t>
            </w:r>
          </w:p>
        </w:tc>
        <w:tc>
          <w:tcPr>
            <w:tcW w:w="1129" w:type="dxa"/>
            <w:vAlign w:val="bottom"/>
            <w:hideMark/>
          </w:tcPr>
          <w:p w14:paraId="1D0EE04A"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129" w:type="dxa"/>
            <w:vAlign w:val="bottom"/>
            <w:hideMark/>
          </w:tcPr>
          <w:p w14:paraId="5EBF3C57"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130" w:type="dxa"/>
            <w:vAlign w:val="bottom"/>
            <w:hideMark/>
          </w:tcPr>
          <w:p w14:paraId="697ABE0E"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127" w:type="dxa"/>
            <w:vAlign w:val="bottom"/>
            <w:hideMark/>
          </w:tcPr>
          <w:p w14:paraId="24DA00DF"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261" w:type="dxa"/>
            <w:vAlign w:val="bottom"/>
            <w:hideMark/>
          </w:tcPr>
          <w:p w14:paraId="5A60200F"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265" w:type="dxa"/>
            <w:vAlign w:val="bottom"/>
            <w:hideMark/>
          </w:tcPr>
          <w:p w14:paraId="34BAD05E" w14:textId="77777777" w:rsidR="00A74C68" w:rsidRPr="00471CBA" w:rsidRDefault="00A74C68" w:rsidP="00A74C68">
            <w:pPr>
              <w:jc w:val="right"/>
              <w:rPr>
                <w:color w:val="000000"/>
                <w:sz w:val="18"/>
                <w:szCs w:val="18"/>
                <w:lang w:eastAsia="tr-TR"/>
              </w:rPr>
            </w:pPr>
            <w:r w:rsidRPr="00471CBA">
              <w:rPr>
                <w:color w:val="000000"/>
                <w:sz w:val="18"/>
                <w:szCs w:val="18"/>
                <w:lang w:eastAsia="tr-TR"/>
              </w:rPr>
              <w:t>%0,00</w:t>
            </w:r>
          </w:p>
        </w:tc>
      </w:tr>
      <w:tr w:rsidR="00A74C68" w:rsidRPr="00471CBA" w14:paraId="14F60B29" w14:textId="77777777" w:rsidTr="00A74C68">
        <w:trPr>
          <w:divId w:val="1877699869"/>
          <w:trHeight w:val="255"/>
        </w:trPr>
        <w:tc>
          <w:tcPr>
            <w:tcW w:w="320" w:type="dxa"/>
            <w:noWrap/>
            <w:hideMark/>
          </w:tcPr>
          <w:p w14:paraId="7429104C" w14:textId="77777777" w:rsidR="00A74C68" w:rsidRPr="00471CBA" w:rsidRDefault="00A74C68" w:rsidP="00A74C68">
            <w:pPr>
              <w:rPr>
                <w:color w:val="000000"/>
                <w:sz w:val="18"/>
                <w:szCs w:val="18"/>
                <w:lang w:eastAsia="tr-TR"/>
              </w:rPr>
            </w:pPr>
            <w:r w:rsidRPr="00471CBA">
              <w:rPr>
                <w:color w:val="000000"/>
                <w:sz w:val="18"/>
                <w:szCs w:val="18"/>
                <w:lang w:eastAsia="tr-TR"/>
              </w:rPr>
              <w:t>6</w:t>
            </w:r>
          </w:p>
        </w:tc>
        <w:tc>
          <w:tcPr>
            <w:tcW w:w="2232" w:type="dxa"/>
            <w:noWrap/>
            <w:hideMark/>
          </w:tcPr>
          <w:p w14:paraId="66632892" w14:textId="77777777" w:rsidR="00A74C68" w:rsidRPr="00471CBA" w:rsidRDefault="00A74C68" w:rsidP="00A74C68">
            <w:pPr>
              <w:rPr>
                <w:color w:val="000000"/>
                <w:sz w:val="18"/>
                <w:szCs w:val="18"/>
                <w:lang w:eastAsia="tr-TR"/>
              </w:rPr>
            </w:pPr>
            <w:r w:rsidRPr="00471CBA">
              <w:rPr>
                <w:color w:val="000000"/>
                <w:sz w:val="18"/>
                <w:szCs w:val="18"/>
                <w:lang w:eastAsia="tr-TR"/>
              </w:rPr>
              <w:t>Bankalardan ve aracı kurumlardan alacaklar</w:t>
            </w:r>
          </w:p>
        </w:tc>
        <w:tc>
          <w:tcPr>
            <w:tcW w:w="1129" w:type="dxa"/>
            <w:vAlign w:val="bottom"/>
            <w:hideMark/>
          </w:tcPr>
          <w:p w14:paraId="051857B6" w14:textId="77777777" w:rsidR="00A74C68" w:rsidRPr="00471CBA" w:rsidRDefault="00A74C68" w:rsidP="00A74C68">
            <w:pPr>
              <w:jc w:val="right"/>
              <w:rPr>
                <w:color w:val="000000"/>
                <w:sz w:val="18"/>
                <w:szCs w:val="18"/>
                <w:lang w:eastAsia="tr-TR"/>
              </w:rPr>
            </w:pPr>
            <w:r w:rsidRPr="00471CBA">
              <w:rPr>
                <w:color w:val="000000"/>
                <w:sz w:val="18"/>
                <w:szCs w:val="18"/>
                <w:lang w:eastAsia="tr-TR"/>
              </w:rPr>
              <w:t>6.293.777</w:t>
            </w:r>
          </w:p>
        </w:tc>
        <w:tc>
          <w:tcPr>
            <w:tcW w:w="1129" w:type="dxa"/>
            <w:vAlign w:val="bottom"/>
            <w:hideMark/>
          </w:tcPr>
          <w:p w14:paraId="11E99F76" w14:textId="77777777" w:rsidR="00A74C68" w:rsidRPr="00471CBA" w:rsidRDefault="00A74C68" w:rsidP="00A74C68">
            <w:pPr>
              <w:jc w:val="right"/>
              <w:rPr>
                <w:color w:val="000000"/>
                <w:sz w:val="18"/>
                <w:szCs w:val="18"/>
                <w:lang w:eastAsia="tr-TR"/>
              </w:rPr>
            </w:pPr>
            <w:r w:rsidRPr="00471CBA">
              <w:rPr>
                <w:color w:val="000000"/>
                <w:sz w:val="18"/>
                <w:szCs w:val="18"/>
                <w:lang w:eastAsia="tr-TR"/>
              </w:rPr>
              <w:t>646.208</w:t>
            </w:r>
          </w:p>
        </w:tc>
        <w:tc>
          <w:tcPr>
            <w:tcW w:w="1130" w:type="dxa"/>
            <w:vAlign w:val="bottom"/>
            <w:hideMark/>
          </w:tcPr>
          <w:p w14:paraId="4A972A23" w14:textId="77777777" w:rsidR="00A74C68" w:rsidRPr="00471CBA" w:rsidRDefault="00A74C68" w:rsidP="00A74C68">
            <w:pPr>
              <w:jc w:val="right"/>
              <w:rPr>
                <w:color w:val="000000"/>
                <w:sz w:val="18"/>
                <w:szCs w:val="18"/>
                <w:lang w:eastAsia="tr-TR"/>
              </w:rPr>
            </w:pPr>
            <w:r w:rsidRPr="00471CBA">
              <w:rPr>
                <w:color w:val="000000"/>
                <w:sz w:val="18"/>
                <w:szCs w:val="18"/>
                <w:lang w:eastAsia="tr-TR"/>
              </w:rPr>
              <w:t>6.293.777</w:t>
            </w:r>
          </w:p>
        </w:tc>
        <w:tc>
          <w:tcPr>
            <w:tcW w:w="1127" w:type="dxa"/>
            <w:vAlign w:val="bottom"/>
            <w:hideMark/>
          </w:tcPr>
          <w:p w14:paraId="24386A5E" w14:textId="77777777" w:rsidR="00A74C68" w:rsidRPr="00471CBA" w:rsidRDefault="00A74C68" w:rsidP="00A74C68">
            <w:pPr>
              <w:jc w:val="right"/>
              <w:rPr>
                <w:color w:val="000000"/>
                <w:sz w:val="18"/>
                <w:szCs w:val="18"/>
                <w:lang w:eastAsia="tr-TR"/>
              </w:rPr>
            </w:pPr>
            <w:r w:rsidRPr="00471CBA">
              <w:rPr>
                <w:color w:val="000000"/>
                <w:sz w:val="18"/>
                <w:szCs w:val="18"/>
                <w:lang w:eastAsia="tr-TR"/>
              </w:rPr>
              <w:t>646.207</w:t>
            </w:r>
          </w:p>
        </w:tc>
        <w:tc>
          <w:tcPr>
            <w:tcW w:w="1261" w:type="dxa"/>
            <w:vAlign w:val="bottom"/>
            <w:hideMark/>
          </w:tcPr>
          <w:p w14:paraId="23554FF9" w14:textId="77777777" w:rsidR="00A74C68" w:rsidRPr="00471CBA" w:rsidRDefault="00A74C68" w:rsidP="00A74C68">
            <w:pPr>
              <w:jc w:val="right"/>
              <w:rPr>
                <w:color w:val="000000"/>
                <w:sz w:val="18"/>
                <w:szCs w:val="18"/>
                <w:lang w:eastAsia="tr-TR"/>
              </w:rPr>
            </w:pPr>
            <w:r w:rsidRPr="00471CBA">
              <w:rPr>
                <w:color w:val="000000"/>
                <w:sz w:val="18"/>
                <w:szCs w:val="18"/>
                <w:lang w:eastAsia="tr-TR"/>
              </w:rPr>
              <w:t>1.528.188</w:t>
            </w:r>
          </w:p>
        </w:tc>
        <w:tc>
          <w:tcPr>
            <w:tcW w:w="1265" w:type="dxa"/>
            <w:vAlign w:val="bottom"/>
            <w:hideMark/>
          </w:tcPr>
          <w:p w14:paraId="1AE9C34C" w14:textId="77777777" w:rsidR="00A74C68" w:rsidRPr="00471CBA" w:rsidRDefault="00A74C68" w:rsidP="00A74C68">
            <w:pPr>
              <w:jc w:val="right"/>
              <w:rPr>
                <w:color w:val="000000"/>
                <w:sz w:val="18"/>
                <w:szCs w:val="18"/>
                <w:lang w:eastAsia="tr-TR"/>
              </w:rPr>
            </w:pPr>
            <w:r w:rsidRPr="00471CBA">
              <w:rPr>
                <w:color w:val="000000"/>
                <w:sz w:val="18"/>
                <w:szCs w:val="18"/>
                <w:lang w:eastAsia="tr-TR"/>
              </w:rPr>
              <w:t>%22,02</w:t>
            </w:r>
          </w:p>
        </w:tc>
      </w:tr>
      <w:tr w:rsidR="00A74C68" w:rsidRPr="00471CBA" w14:paraId="7A248DE0" w14:textId="77777777" w:rsidTr="00A74C68">
        <w:trPr>
          <w:divId w:val="1877699869"/>
          <w:trHeight w:val="255"/>
        </w:trPr>
        <w:tc>
          <w:tcPr>
            <w:tcW w:w="320" w:type="dxa"/>
            <w:noWrap/>
            <w:hideMark/>
          </w:tcPr>
          <w:p w14:paraId="3E16E17C" w14:textId="77777777" w:rsidR="00A74C68" w:rsidRPr="00471CBA" w:rsidRDefault="00A74C68" w:rsidP="00A74C68">
            <w:pPr>
              <w:rPr>
                <w:color w:val="000000"/>
                <w:sz w:val="18"/>
                <w:szCs w:val="18"/>
                <w:lang w:eastAsia="tr-TR"/>
              </w:rPr>
            </w:pPr>
            <w:r w:rsidRPr="00471CBA">
              <w:rPr>
                <w:color w:val="000000"/>
                <w:sz w:val="18"/>
                <w:szCs w:val="18"/>
                <w:lang w:eastAsia="tr-TR"/>
              </w:rPr>
              <w:t>7</w:t>
            </w:r>
          </w:p>
        </w:tc>
        <w:tc>
          <w:tcPr>
            <w:tcW w:w="2232" w:type="dxa"/>
            <w:noWrap/>
            <w:hideMark/>
          </w:tcPr>
          <w:p w14:paraId="0ED537BA" w14:textId="77777777" w:rsidR="00A74C68" w:rsidRPr="00471CBA" w:rsidRDefault="00A74C68" w:rsidP="00A74C68">
            <w:pPr>
              <w:rPr>
                <w:color w:val="000000"/>
                <w:sz w:val="18"/>
                <w:szCs w:val="18"/>
                <w:lang w:eastAsia="tr-TR"/>
              </w:rPr>
            </w:pPr>
            <w:r w:rsidRPr="00471CBA">
              <w:rPr>
                <w:color w:val="000000"/>
                <w:sz w:val="18"/>
                <w:szCs w:val="18"/>
                <w:lang w:eastAsia="tr-TR"/>
              </w:rPr>
              <w:t>Kurumsal alacaklar</w:t>
            </w:r>
          </w:p>
        </w:tc>
        <w:tc>
          <w:tcPr>
            <w:tcW w:w="1129" w:type="dxa"/>
            <w:vAlign w:val="bottom"/>
            <w:hideMark/>
          </w:tcPr>
          <w:p w14:paraId="24C7A0B5" w14:textId="77777777" w:rsidR="00A74C68" w:rsidRPr="00471CBA" w:rsidRDefault="00A74C68" w:rsidP="00A74C68">
            <w:pPr>
              <w:jc w:val="right"/>
              <w:rPr>
                <w:color w:val="000000"/>
                <w:sz w:val="18"/>
                <w:szCs w:val="18"/>
                <w:lang w:eastAsia="tr-TR"/>
              </w:rPr>
            </w:pPr>
            <w:r w:rsidRPr="00471CBA">
              <w:rPr>
                <w:color w:val="000000"/>
                <w:sz w:val="18"/>
                <w:szCs w:val="18"/>
                <w:lang w:eastAsia="tr-TR"/>
              </w:rPr>
              <w:t>21.998.952</w:t>
            </w:r>
          </w:p>
        </w:tc>
        <w:tc>
          <w:tcPr>
            <w:tcW w:w="1129" w:type="dxa"/>
            <w:vAlign w:val="bottom"/>
            <w:hideMark/>
          </w:tcPr>
          <w:p w14:paraId="196CF3D5" w14:textId="77777777" w:rsidR="00A74C68" w:rsidRPr="00471CBA" w:rsidRDefault="00A74C68" w:rsidP="00A74C68">
            <w:pPr>
              <w:jc w:val="right"/>
              <w:rPr>
                <w:color w:val="000000"/>
                <w:sz w:val="18"/>
                <w:szCs w:val="18"/>
                <w:lang w:eastAsia="tr-TR"/>
              </w:rPr>
            </w:pPr>
            <w:r w:rsidRPr="00471CBA">
              <w:rPr>
                <w:color w:val="000000"/>
                <w:sz w:val="18"/>
                <w:szCs w:val="18"/>
                <w:lang w:eastAsia="tr-TR"/>
              </w:rPr>
              <w:t>24.520.891</w:t>
            </w:r>
          </w:p>
        </w:tc>
        <w:tc>
          <w:tcPr>
            <w:tcW w:w="1130" w:type="dxa"/>
            <w:vAlign w:val="bottom"/>
            <w:hideMark/>
          </w:tcPr>
          <w:p w14:paraId="03D2EF13" w14:textId="77777777" w:rsidR="00A74C68" w:rsidRPr="00471CBA" w:rsidRDefault="00A74C68" w:rsidP="00A74C68">
            <w:pPr>
              <w:jc w:val="right"/>
              <w:rPr>
                <w:color w:val="000000"/>
                <w:sz w:val="18"/>
                <w:szCs w:val="18"/>
                <w:lang w:eastAsia="tr-TR"/>
              </w:rPr>
            </w:pPr>
            <w:r w:rsidRPr="00471CBA">
              <w:rPr>
                <w:color w:val="000000"/>
                <w:sz w:val="18"/>
                <w:szCs w:val="18"/>
                <w:lang w:eastAsia="tr-TR"/>
              </w:rPr>
              <w:t>21.998.952</w:t>
            </w:r>
          </w:p>
        </w:tc>
        <w:tc>
          <w:tcPr>
            <w:tcW w:w="1127" w:type="dxa"/>
            <w:vAlign w:val="bottom"/>
            <w:hideMark/>
          </w:tcPr>
          <w:p w14:paraId="4E2A6453" w14:textId="77777777" w:rsidR="00A74C68" w:rsidRPr="00471CBA" w:rsidRDefault="00A74C68" w:rsidP="00A74C68">
            <w:pPr>
              <w:jc w:val="right"/>
              <w:rPr>
                <w:color w:val="000000"/>
                <w:sz w:val="18"/>
                <w:szCs w:val="18"/>
                <w:lang w:eastAsia="tr-TR"/>
              </w:rPr>
            </w:pPr>
            <w:r w:rsidRPr="00471CBA">
              <w:rPr>
                <w:color w:val="000000"/>
                <w:sz w:val="18"/>
                <w:szCs w:val="18"/>
                <w:lang w:eastAsia="tr-TR"/>
              </w:rPr>
              <w:t>16.394.954</w:t>
            </w:r>
          </w:p>
        </w:tc>
        <w:tc>
          <w:tcPr>
            <w:tcW w:w="1261" w:type="dxa"/>
            <w:vAlign w:val="bottom"/>
            <w:hideMark/>
          </w:tcPr>
          <w:p w14:paraId="4B579560" w14:textId="77777777" w:rsidR="00A74C68" w:rsidRPr="00471CBA" w:rsidRDefault="00A74C68" w:rsidP="00A74C68">
            <w:pPr>
              <w:jc w:val="right"/>
              <w:rPr>
                <w:color w:val="000000"/>
                <w:sz w:val="18"/>
                <w:szCs w:val="18"/>
                <w:lang w:eastAsia="tr-TR"/>
              </w:rPr>
            </w:pPr>
            <w:r w:rsidRPr="00471CBA">
              <w:rPr>
                <w:color w:val="000000"/>
                <w:sz w:val="18"/>
                <w:szCs w:val="18"/>
                <w:lang w:eastAsia="tr-TR"/>
              </w:rPr>
              <w:t>35.226.593</w:t>
            </w:r>
          </w:p>
        </w:tc>
        <w:tc>
          <w:tcPr>
            <w:tcW w:w="1265" w:type="dxa"/>
            <w:vAlign w:val="bottom"/>
            <w:hideMark/>
          </w:tcPr>
          <w:p w14:paraId="7A0A59D1" w14:textId="77777777" w:rsidR="00A74C68" w:rsidRPr="00471CBA" w:rsidRDefault="00A74C68" w:rsidP="00A74C68">
            <w:pPr>
              <w:jc w:val="right"/>
              <w:rPr>
                <w:color w:val="000000"/>
                <w:sz w:val="18"/>
                <w:szCs w:val="18"/>
                <w:lang w:eastAsia="tr-TR"/>
              </w:rPr>
            </w:pPr>
            <w:r w:rsidRPr="00471CBA">
              <w:rPr>
                <w:color w:val="000000"/>
                <w:sz w:val="18"/>
                <w:szCs w:val="18"/>
                <w:lang w:eastAsia="tr-TR"/>
              </w:rPr>
              <w:t>%91,75</w:t>
            </w:r>
          </w:p>
        </w:tc>
      </w:tr>
      <w:tr w:rsidR="00A74C68" w:rsidRPr="00471CBA" w14:paraId="4DA859FB" w14:textId="77777777" w:rsidTr="00A74C68">
        <w:trPr>
          <w:divId w:val="1877699869"/>
          <w:trHeight w:val="255"/>
        </w:trPr>
        <w:tc>
          <w:tcPr>
            <w:tcW w:w="320" w:type="dxa"/>
            <w:noWrap/>
            <w:hideMark/>
          </w:tcPr>
          <w:p w14:paraId="6763BA64" w14:textId="77777777" w:rsidR="00A74C68" w:rsidRPr="00471CBA" w:rsidRDefault="00A74C68" w:rsidP="00A74C68">
            <w:pPr>
              <w:rPr>
                <w:color w:val="000000"/>
                <w:sz w:val="18"/>
                <w:szCs w:val="18"/>
                <w:lang w:eastAsia="tr-TR"/>
              </w:rPr>
            </w:pPr>
            <w:r w:rsidRPr="00471CBA">
              <w:rPr>
                <w:color w:val="000000"/>
                <w:sz w:val="18"/>
                <w:szCs w:val="18"/>
                <w:lang w:eastAsia="tr-TR"/>
              </w:rPr>
              <w:t>8</w:t>
            </w:r>
          </w:p>
        </w:tc>
        <w:tc>
          <w:tcPr>
            <w:tcW w:w="2232" w:type="dxa"/>
            <w:noWrap/>
            <w:hideMark/>
          </w:tcPr>
          <w:p w14:paraId="77F27D72" w14:textId="77777777" w:rsidR="00A74C68" w:rsidRPr="00471CBA" w:rsidRDefault="00A74C68" w:rsidP="00A74C68">
            <w:pPr>
              <w:rPr>
                <w:color w:val="000000"/>
                <w:sz w:val="18"/>
                <w:szCs w:val="18"/>
                <w:lang w:eastAsia="tr-TR"/>
              </w:rPr>
            </w:pPr>
            <w:r w:rsidRPr="00471CBA">
              <w:rPr>
                <w:color w:val="000000"/>
                <w:sz w:val="18"/>
                <w:szCs w:val="18"/>
                <w:lang w:eastAsia="tr-TR"/>
              </w:rPr>
              <w:t>Perakende alacaklar</w:t>
            </w:r>
          </w:p>
        </w:tc>
        <w:tc>
          <w:tcPr>
            <w:tcW w:w="1129" w:type="dxa"/>
            <w:vAlign w:val="bottom"/>
            <w:hideMark/>
          </w:tcPr>
          <w:p w14:paraId="2CC36691"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129" w:type="dxa"/>
            <w:vAlign w:val="bottom"/>
            <w:hideMark/>
          </w:tcPr>
          <w:p w14:paraId="5F428EBB" w14:textId="77777777" w:rsidR="00A74C68" w:rsidRPr="00471CBA" w:rsidRDefault="00A74C68" w:rsidP="00A74C68">
            <w:pPr>
              <w:jc w:val="right"/>
              <w:rPr>
                <w:color w:val="000000"/>
                <w:sz w:val="18"/>
                <w:szCs w:val="18"/>
                <w:lang w:eastAsia="tr-TR"/>
              </w:rPr>
            </w:pPr>
            <w:r w:rsidRPr="00471CBA">
              <w:rPr>
                <w:color w:val="000000"/>
                <w:sz w:val="18"/>
                <w:szCs w:val="18"/>
                <w:lang w:eastAsia="tr-TR"/>
              </w:rPr>
              <w:t>213.201</w:t>
            </w:r>
          </w:p>
        </w:tc>
        <w:tc>
          <w:tcPr>
            <w:tcW w:w="1130" w:type="dxa"/>
            <w:vAlign w:val="bottom"/>
            <w:hideMark/>
          </w:tcPr>
          <w:p w14:paraId="176A95C5"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127" w:type="dxa"/>
            <w:vAlign w:val="bottom"/>
            <w:hideMark/>
          </w:tcPr>
          <w:p w14:paraId="6F006760"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261" w:type="dxa"/>
            <w:vAlign w:val="bottom"/>
            <w:hideMark/>
          </w:tcPr>
          <w:p w14:paraId="7D8AD2A5"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265" w:type="dxa"/>
            <w:vAlign w:val="bottom"/>
            <w:hideMark/>
          </w:tcPr>
          <w:p w14:paraId="51BFFF0C" w14:textId="77777777" w:rsidR="00A74C68" w:rsidRPr="00471CBA" w:rsidRDefault="00A74C68" w:rsidP="00A74C68">
            <w:pPr>
              <w:jc w:val="right"/>
              <w:rPr>
                <w:color w:val="000000"/>
                <w:sz w:val="18"/>
                <w:szCs w:val="18"/>
                <w:lang w:eastAsia="tr-TR"/>
              </w:rPr>
            </w:pPr>
            <w:r w:rsidRPr="00471CBA">
              <w:rPr>
                <w:color w:val="000000"/>
                <w:sz w:val="18"/>
                <w:szCs w:val="18"/>
                <w:lang w:eastAsia="tr-TR"/>
              </w:rPr>
              <w:t>%0,00</w:t>
            </w:r>
          </w:p>
        </w:tc>
      </w:tr>
      <w:tr w:rsidR="00A74C68" w:rsidRPr="00471CBA" w14:paraId="52251C70" w14:textId="77777777" w:rsidTr="00A74C68">
        <w:trPr>
          <w:divId w:val="1877699869"/>
          <w:trHeight w:val="255"/>
        </w:trPr>
        <w:tc>
          <w:tcPr>
            <w:tcW w:w="320" w:type="dxa"/>
            <w:noWrap/>
            <w:hideMark/>
          </w:tcPr>
          <w:p w14:paraId="4E90DE3B" w14:textId="77777777" w:rsidR="00A74C68" w:rsidRPr="00471CBA" w:rsidRDefault="00A74C68" w:rsidP="00A74C68">
            <w:pPr>
              <w:rPr>
                <w:color w:val="000000"/>
                <w:sz w:val="18"/>
                <w:szCs w:val="18"/>
                <w:lang w:eastAsia="tr-TR"/>
              </w:rPr>
            </w:pPr>
            <w:r w:rsidRPr="00471CBA">
              <w:rPr>
                <w:color w:val="000000"/>
                <w:sz w:val="18"/>
                <w:szCs w:val="18"/>
                <w:lang w:eastAsia="tr-TR"/>
              </w:rPr>
              <w:t>9</w:t>
            </w:r>
          </w:p>
        </w:tc>
        <w:tc>
          <w:tcPr>
            <w:tcW w:w="2232" w:type="dxa"/>
            <w:noWrap/>
            <w:hideMark/>
          </w:tcPr>
          <w:p w14:paraId="26AA546D" w14:textId="77777777" w:rsidR="00A74C68" w:rsidRPr="00471CBA" w:rsidRDefault="00A74C68" w:rsidP="00A74C68">
            <w:pPr>
              <w:rPr>
                <w:color w:val="000000"/>
                <w:sz w:val="18"/>
                <w:szCs w:val="18"/>
                <w:lang w:eastAsia="tr-TR"/>
              </w:rPr>
            </w:pPr>
            <w:r w:rsidRPr="00471CBA">
              <w:rPr>
                <w:color w:val="000000"/>
                <w:sz w:val="18"/>
                <w:szCs w:val="18"/>
                <w:lang w:eastAsia="tr-TR"/>
              </w:rPr>
              <w:t>İkamet amaçlı gayrimenkul ipoteği ile teminatlandırılan alacaklar</w:t>
            </w:r>
          </w:p>
        </w:tc>
        <w:tc>
          <w:tcPr>
            <w:tcW w:w="1129" w:type="dxa"/>
            <w:vAlign w:val="bottom"/>
            <w:hideMark/>
          </w:tcPr>
          <w:p w14:paraId="6F75AF03" w14:textId="77777777" w:rsidR="00A74C68" w:rsidRPr="00471CBA" w:rsidRDefault="00A74C68" w:rsidP="00A74C68">
            <w:pPr>
              <w:jc w:val="right"/>
              <w:rPr>
                <w:color w:val="000000"/>
                <w:sz w:val="18"/>
                <w:szCs w:val="18"/>
                <w:lang w:eastAsia="tr-TR"/>
              </w:rPr>
            </w:pPr>
            <w:r w:rsidRPr="00471CBA">
              <w:rPr>
                <w:color w:val="000000"/>
                <w:sz w:val="18"/>
                <w:szCs w:val="18"/>
                <w:lang w:eastAsia="tr-TR"/>
              </w:rPr>
              <w:t>1.620.703</w:t>
            </w:r>
          </w:p>
        </w:tc>
        <w:tc>
          <w:tcPr>
            <w:tcW w:w="1129" w:type="dxa"/>
            <w:vAlign w:val="bottom"/>
            <w:hideMark/>
          </w:tcPr>
          <w:p w14:paraId="10C808FE" w14:textId="77777777" w:rsidR="00A74C68" w:rsidRPr="00471CBA" w:rsidRDefault="00A74C68" w:rsidP="00A74C68">
            <w:pPr>
              <w:jc w:val="right"/>
              <w:rPr>
                <w:color w:val="000000"/>
                <w:sz w:val="18"/>
                <w:szCs w:val="18"/>
                <w:lang w:eastAsia="tr-TR"/>
              </w:rPr>
            </w:pPr>
            <w:r w:rsidRPr="00471CBA">
              <w:rPr>
                <w:color w:val="000000"/>
                <w:sz w:val="18"/>
                <w:szCs w:val="18"/>
                <w:lang w:eastAsia="tr-TR"/>
              </w:rPr>
              <w:t>181.959</w:t>
            </w:r>
          </w:p>
        </w:tc>
        <w:tc>
          <w:tcPr>
            <w:tcW w:w="1130" w:type="dxa"/>
            <w:vAlign w:val="bottom"/>
            <w:hideMark/>
          </w:tcPr>
          <w:p w14:paraId="650DB856" w14:textId="77777777" w:rsidR="00A74C68" w:rsidRPr="00471CBA" w:rsidRDefault="00A74C68" w:rsidP="00A74C68">
            <w:pPr>
              <w:jc w:val="right"/>
              <w:rPr>
                <w:color w:val="000000"/>
                <w:sz w:val="18"/>
                <w:szCs w:val="18"/>
                <w:lang w:eastAsia="tr-TR"/>
              </w:rPr>
            </w:pPr>
            <w:r w:rsidRPr="00471CBA">
              <w:rPr>
                <w:color w:val="000000"/>
                <w:sz w:val="18"/>
                <w:szCs w:val="18"/>
                <w:lang w:eastAsia="tr-TR"/>
              </w:rPr>
              <w:t>1.620.703</w:t>
            </w:r>
          </w:p>
        </w:tc>
        <w:tc>
          <w:tcPr>
            <w:tcW w:w="1127" w:type="dxa"/>
            <w:vAlign w:val="bottom"/>
            <w:hideMark/>
          </w:tcPr>
          <w:p w14:paraId="5A65A0B2" w14:textId="77777777" w:rsidR="00A74C68" w:rsidRPr="00471CBA" w:rsidRDefault="00A74C68" w:rsidP="00A74C68">
            <w:pPr>
              <w:jc w:val="right"/>
              <w:rPr>
                <w:color w:val="000000"/>
                <w:sz w:val="18"/>
                <w:szCs w:val="18"/>
                <w:lang w:eastAsia="tr-TR"/>
              </w:rPr>
            </w:pPr>
            <w:r w:rsidRPr="00471CBA">
              <w:rPr>
                <w:color w:val="000000"/>
                <w:sz w:val="18"/>
                <w:szCs w:val="18"/>
                <w:lang w:eastAsia="tr-TR"/>
              </w:rPr>
              <w:t>116.441</w:t>
            </w:r>
          </w:p>
        </w:tc>
        <w:tc>
          <w:tcPr>
            <w:tcW w:w="1261" w:type="dxa"/>
            <w:vAlign w:val="bottom"/>
            <w:hideMark/>
          </w:tcPr>
          <w:p w14:paraId="07D2A442" w14:textId="77777777" w:rsidR="00A74C68" w:rsidRPr="00471CBA" w:rsidRDefault="00A74C68" w:rsidP="00A74C68">
            <w:pPr>
              <w:jc w:val="right"/>
              <w:rPr>
                <w:color w:val="000000"/>
                <w:sz w:val="18"/>
                <w:szCs w:val="18"/>
                <w:lang w:eastAsia="tr-TR"/>
              </w:rPr>
            </w:pPr>
            <w:r w:rsidRPr="00471CBA">
              <w:rPr>
                <w:color w:val="000000"/>
                <w:sz w:val="18"/>
                <w:szCs w:val="18"/>
                <w:lang w:eastAsia="tr-TR"/>
              </w:rPr>
              <w:t>567.658</w:t>
            </w:r>
          </w:p>
        </w:tc>
        <w:tc>
          <w:tcPr>
            <w:tcW w:w="1265" w:type="dxa"/>
            <w:vAlign w:val="bottom"/>
            <w:hideMark/>
          </w:tcPr>
          <w:p w14:paraId="36F4386A" w14:textId="77777777" w:rsidR="00A74C68" w:rsidRPr="00471CBA" w:rsidRDefault="00A74C68" w:rsidP="00A74C68">
            <w:pPr>
              <w:jc w:val="right"/>
              <w:rPr>
                <w:color w:val="000000"/>
                <w:sz w:val="18"/>
                <w:szCs w:val="18"/>
                <w:lang w:eastAsia="tr-TR"/>
              </w:rPr>
            </w:pPr>
            <w:r w:rsidRPr="00471CBA">
              <w:rPr>
                <w:color w:val="000000"/>
                <w:sz w:val="18"/>
                <w:szCs w:val="18"/>
                <w:lang w:eastAsia="tr-TR"/>
              </w:rPr>
              <w:t>%32,68</w:t>
            </w:r>
          </w:p>
        </w:tc>
      </w:tr>
      <w:tr w:rsidR="00A74C68" w:rsidRPr="00471CBA" w14:paraId="60FC6FD5" w14:textId="77777777" w:rsidTr="00A74C68">
        <w:trPr>
          <w:divId w:val="1877699869"/>
          <w:trHeight w:val="255"/>
        </w:trPr>
        <w:tc>
          <w:tcPr>
            <w:tcW w:w="320" w:type="dxa"/>
            <w:noWrap/>
            <w:hideMark/>
          </w:tcPr>
          <w:p w14:paraId="74C0DE09" w14:textId="77777777" w:rsidR="00A74C68" w:rsidRPr="00471CBA" w:rsidRDefault="00A74C68" w:rsidP="00A74C68">
            <w:pPr>
              <w:rPr>
                <w:color w:val="000000"/>
                <w:sz w:val="18"/>
                <w:szCs w:val="18"/>
                <w:lang w:eastAsia="tr-TR"/>
              </w:rPr>
            </w:pPr>
            <w:r w:rsidRPr="00471CBA">
              <w:rPr>
                <w:color w:val="000000"/>
                <w:sz w:val="18"/>
                <w:szCs w:val="18"/>
                <w:lang w:eastAsia="tr-TR"/>
              </w:rPr>
              <w:t>10</w:t>
            </w:r>
          </w:p>
        </w:tc>
        <w:tc>
          <w:tcPr>
            <w:tcW w:w="2232" w:type="dxa"/>
            <w:noWrap/>
            <w:hideMark/>
          </w:tcPr>
          <w:p w14:paraId="2612E7F2" w14:textId="77777777" w:rsidR="00A74C68" w:rsidRPr="00471CBA" w:rsidRDefault="00A74C68" w:rsidP="00A74C68">
            <w:pPr>
              <w:rPr>
                <w:color w:val="000000"/>
                <w:sz w:val="18"/>
                <w:szCs w:val="18"/>
                <w:lang w:eastAsia="tr-TR"/>
              </w:rPr>
            </w:pPr>
            <w:r w:rsidRPr="00471CBA">
              <w:rPr>
                <w:color w:val="000000"/>
                <w:sz w:val="18"/>
                <w:szCs w:val="18"/>
                <w:lang w:eastAsia="tr-TR"/>
              </w:rPr>
              <w:t>Ticari amaçlı gayrimenkul ipoteği ile teminatlandırılan alacaklar</w:t>
            </w:r>
          </w:p>
        </w:tc>
        <w:tc>
          <w:tcPr>
            <w:tcW w:w="1129" w:type="dxa"/>
            <w:vAlign w:val="bottom"/>
            <w:hideMark/>
          </w:tcPr>
          <w:p w14:paraId="3E58FF50" w14:textId="77777777" w:rsidR="00A74C68" w:rsidRPr="00471CBA" w:rsidRDefault="00A74C68" w:rsidP="00A74C68">
            <w:pPr>
              <w:jc w:val="right"/>
              <w:rPr>
                <w:color w:val="000000"/>
                <w:sz w:val="18"/>
                <w:szCs w:val="18"/>
                <w:lang w:eastAsia="tr-TR"/>
              </w:rPr>
            </w:pPr>
            <w:r w:rsidRPr="00471CBA">
              <w:rPr>
                <w:color w:val="000000"/>
                <w:sz w:val="18"/>
                <w:szCs w:val="18"/>
                <w:lang w:eastAsia="tr-TR"/>
              </w:rPr>
              <w:t>1.808.847</w:t>
            </w:r>
          </w:p>
        </w:tc>
        <w:tc>
          <w:tcPr>
            <w:tcW w:w="1129" w:type="dxa"/>
            <w:vAlign w:val="bottom"/>
            <w:hideMark/>
          </w:tcPr>
          <w:p w14:paraId="77477614" w14:textId="77777777" w:rsidR="00A74C68" w:rsidRPr="00471CBA" w:rsidRDefault="00A74C68" w:rsidP="00A74C68">
            <w:pPr>
              <w:jc w:val="right"/>
              <w:rPr>
                <w:color w:val="000000"/>
                <w:sz w:val="18"/>
                <w:szCs w:val="18"/>
                <w:lang w:eastAsia="tr-TR"/>
              </w:rPr>
            </w:pPr>
            <w:r w:rsidRPr="00471CBA">
              <w:rPr>
                <w:color w:val="000000"/>
                <w:sz w:val="18"/>
                <w:szCs w:val="18"/>
                <w:lang w:eastAsia="tr-TR"/>
              </w:rPr>
              <w:t>753.215</w:t>
            </w:r>
          </w:p>
        </w:tc>
        <w:tc>
          <w:tcPr>
            <w:tcW w:w="1130" w:type="dxa"/>
            <w:vAlign w:val="bottom"/>
            <w:hideMark/>
          </w:tcPr>
          <w:p w14:paraId="0B89CB30" w14:textId="77777777" w:rsidR="00A74C68" w:rsidRPr="00471CBA" w:rsidRDefault="00A74C68" w:rsidP="00A74C68">
            <w:pPr>
              <w:jc w:val="right"/>
              <w:rPr>
                <w:color w:val="000000"/>
                <w:sz w:val="18"/>
                <w:szCs w:val="18"/>
                <w:lang w:eastAsia="tr-TR"/>
              </w:rPr>
            </w:pPr>
            <w:r w:rsidRPr="00471CBA">
              <w:rPr>
                <w:color w:val="000000"/>
                <w:sz w:val="18"/>
                <w:szCs w:val="18"/>
                <w:lang w:eastAsia="tr-TR"/>
              </w:rPr>
              <w:t>1.808.847</w:t>
            </w:r>
          </w:p>
        </w:tc>
        <w:tc>
          <w:tcPr>
            <w:tcW w:w="1127" w:type="dxa"/>
            <w:vAlign w:val="bottom"/>
            <w:hideMark/>
          </w:tcPr>
          <w:p w14:paraId="4044B5E5" w14:textId="77777777" w:rsidR="00A74C68" w:rsidRPr="00471CBA" w:rsidRDefault="00A74C68" w:rsidP="00A74C68">
            <w:pPr>
              <w:jc w:val="right"/>
              <w:rPr>
                <w:color w:val="000000"/>
                <w:sz w:val="18"/>
                <w:szCs w:val="18"/>
                <w:lang w:eastAsia="tr-TR"/>
              </w:rPr>
            </w:pPr>
            <w:r w:rsidRPr="00471CBA">
              <w:rPr>
                <w:color w:val="000000"/>
                <w:sz w:val="18"/>
                <w:szCs w:val="18"/>
                <w:lang w:eastAsia="tr-TR"/>
              </w:rPr>
              <w:t>425.954</w:t>
            </w:r>
          </w:p>
        </w:tc>
        <w:tc>
          <w:tcPr>
            <w:tcW w:w="1261" w:type="dxa"/>
            <w:vAlign w:val="bottom"/>
            <w:hideMark/>
          </w:tcPr>
          <w:p w14:paraId="2702FAA5" w14:textId="77777777" w:rsidR="00A74C68" w:rsidRPr="00471CBA" w:rsidRDefault="00A74C68" w:rsidP="00A74C68">
            <w:pPr>
              <w:jc w:val="right"/>
              <w:rPr>
                <w:color w:val="000000"/>
                <w:sz w:val="18"/>
                <w:szCs w:val="18"/>
                <w:lang w:eastAsia="tr-TR"/>
              </w:rPr>
            </w:pPr>
            <w:r w:rsidRPr="00471CBA">
              <w:rPr>
                <w:color w:val="000000"/>
                <w:sz w:val="18"/>
                <w:szCs w:val="18"/>
                <w:lang w:eastAsia="tr-TR"/>
              </w:rPr>
              <w:t>1.304.666</w:t>
            </w:r>
          </w:p>
        </w:tc>
        <w:tc>
          <w:tcPr>
            <w:tcW w:w="1265" w:type="dxa"/>
            <w:vAlign w:val="bottom"/>
            <w:hideMark/>
          </w:tcPr>
          <w:p w14:paraId="3856475C" w14:textId="77777777" w:rsidR="00A74C68" w:rsidRPr="00471CBA" w:rsidRDefault="00A74C68" w:rsidP="00A74C68">
            <w:pPr>
              <w:jc w:val="right"/>
              <w:rPr>
                <w:color w:val="000000"/>
                <w:sz w:val="18"/>
                <w:szCs w:val="18"/>
                <w:lang w:eastAsia="tr-TR"/>
              </w:rPr>
            </w:pPr>
            <w:r w:rsidRPr="00471CBA">
              <w:rPr>
                <w:color w:val="000000"/>
                <w:sz w:val="18"/>
                <w:szCs w:val="18"/>
                <w:lang w:eastAsia="tr-TR"/>
              </w:rPr>
              <w:t>%58,38</w:t>
            </w:r>
          </w:p>
        </w:tc>
      </w:tr>
      <w:tr w:rsidR="00A74C68" w:rsidRPr="00471CBA" w14:paraId="6CB0460A" w14:textId="77777777" w:rsidTr="00A74C68">
        <w:trPr>
          <w:divId w:val="1877699869"/>
          <w:trHeight w:val="255"/>
        </w:trPr>
        <w:tc>
          <w:tcPr>
            <w:tcW w:w="320" w:type="dxa"/>
            <w:noWrap/>
            <w:hideMark/>
          </w:tcPr>
          <w:p w14:paraId="4F5B2F4C" w14:textId="77777777" w:rsidR="00A74C68" w:rsidRPr="00471CBA" w:rsidRDefault="00A74C68" w:rsidP="00A74C68">
            <w:pPr>
              <w:rPr>
                <w:color w:val="000000"/>
                <w:sz w:val="18"/>
                <w:szCs w:val="18"/>
                <w:lang w:eastAsia="tr-TR"/>
              </w:rPr>
            </w:pPr>
            <w:r w:rsidRPr="00471CBA">
              <w:rPr>
                <w:color w:val="000000"/>
                <w:sz w:val="18"/>
                <w:szCs w:val="18"/>
                <w:lang w:eastAsia="tr-TR"/>
              </w:rPr>
              <w:t>11</w:t>
            </w:r>
          </w:p>
        </w:tc>
        <w:tc>
          <w:tcPr>
            <w:tcW w:w="2232" w:type="dxa"/>
            <w:noWrap/>
            <w:hideMark/>
          </w:tcPr>
          <w:p w14:paraId="7832462E" w14:textId="77777777" w:rsidR="00A74C68" w:rsidRPr="00471CBA" w:rsidRDefault="00A74C68" w:rsidP="00A74C68">
            <w:pPr>
              <w:rPr>
                <w:color w:val="000000"/>
                <w:sz w:val="18"/>
                <w:szCs w:val="18"/>
                <w:lang w:eastAsia="tr-TR"/>
              </w:rPr>
            </w:pPr>
            <w:r w:rsidRPr="00471CBA">
              <w:rPr>
                <w:color w:val="000000"/>
                <w:sz w:val="18"/>
                <w:szCs w:val="18"/>
                <w:lang w:eastAsia="tr-TR"/>
              </w:rPr>
              <w:t>Tahsili gecikmiş alacaklar</w:t>
            </w:r>
          </w:p>
        </w:tc>
        <w:tc>
          <w:tcPr>
            <w:tcW w:w="1129" w:type="dxa"/>
            <w:vAlign w:val="bottom"/>
            <w:hideMark/>
          </w:tcPr>
          <w:p w14:paraId="3BBB4F2B"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129" w:type="dxa"/>
            <w:vAlign w:val="bottom"/>
            <w:hideMark/>
          </w:tcPr>
          <w:p w14:paraId="1BD8F339"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130" w:type="dxa"/>
            <w:vAlign w:val="bottom"/>
            <w:hideMark/>
          </w:tcPr>
          <w:p w14:paraId="6CF799EF"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127" w:type="dxa"/>
            <w:vAlign w:val="bottom"/>
            <w:hideMark/>
          </w:tcPr>
          <w:p w14:paraId="71D969EC"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261" w:type="dxa"/>
            <w:vAlign w:val="bottom"/>
            <w:hideMark/>
          </w:tcPr>
          <w:p w14:paraId="3CC16591"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265" w:type="dxa"/>
            <w:vAlign w:val="bottom"/>
            <w:hideMark/>
          </w:tcPr>
          <w:p w14:paraId="626235A1" w14:textId="77777777" w:rsidR="00A74C68" w:rsidRPr="00471CBA" w:rsidRDefault="00A74C68" w:rsidP="00A74C68">
            <w:pPr>
              <w:jc w:val="right"/>
              <w:rPr>
                <w:color w:val="000000"/>
                <w:sz w:val="18"/>
                <w:szCs w:val="18"/>
                <w:lang w:eastAsia="tr-TR"/>
              </w:rPr>
            </w:pPr>
            <w:r w:rsidRPr="00471CBA">
              <w:rPr>
                <w:color w:val="000000"/>
                <w:sz w:val="18"/>
                <w:szCs w:val="18"/>
                <w:lang w:eastAsia="tr-TR"/>
              </w:rPr>
              <w:t>%0,00</w:t>
            </w:r>
          </w:p>
        </w:tc>
      </w:tr>
      <w:tr w:rsidR="00A74C68" w:rsidRPr="00471CBA" w14:paraId="75D82899" w14:textId="77777777" w:rsidTr="00A74C68">
        <w:trPr>
          <w:divId w:val="1877699869"/>
          <w:trHeight w:val="255"/>
        </w:trPr>
        <w:tc>
          <w:tcPr>
            <w:tcW w:w="320" w:type="dxa"/>
            <w:noWrap/>
            <w:hideMark/>
          </w:tcPr>
          <w:p w14:paraId="417BE4B2" w14:textId="77777777" w:rsidR="00A74C68" w:rsidRPr="00471CBA" w:rsidRDefault="00A74C68" w:rsidP="00A74C68">
            <w:pPr>
              <w:rPr>
                <w:color w:val="000000"/>
                <w:sz w:val="18"/>
                <w:szCs w:val="18"/>
                <w:lang w:eastAsia="tr-TR"/>
              </w:rPr>
            </w:pPr>
            <w:r w:rsidRPr="00471CBA">
              <w:rPr>
                <w:color w:val="000000"/>
                <w:sz w:val="18"/>
                <w:szCs w:val="18"/>
                <w:lang w:eastAsia="tr-TR"/>
              </w:rPr>
              <w:t>12</w:t>
            </w:r>
          </w:p>
        </w:tc>
        <w:tc>
          <w:tcPr>
            <w:tcW w:w="2232" w:type="dxa"/>
            <w:noWrap/>
            <w:hideMark/>
          </w:tcPr>
          <w:p w14:paraId="49014C44" w14:textId="77777777" w:rsidR="00A74C68" w:rsidRPr="00471CBA" w:rsidRDefault="00A74C68" w:rsidP="00A74C68">
            <w:pPr>
              <w:rPr>
                <w:color w:val="000000"/>
                <w:sz w:val="18"/>
                <w:szCs w:val="18"/>
                <w:lang w:eastAsia="tr-TR"/>
              </w:rPr>
            </w:pPr>
            <w:r w:rsidRPr="00471CBA">
              <w:rPr>
                <w:color w:val="000000"/>
                <w:sz w:val="18"/>
                <w:szCs w:val="18"/>
                <w:lang w:eastAsia="tr-TR"/>
              </w:rPr>
              <w:t>Kurulca riski yüksek belirlenmiş alacaklar</w:t>
            </w:r>
          </w:p>
        </w:tc>
        <w:tc>
          <w:tcPr>
            <w:tcW w:w="1129" w:type="dxa"/>
            <w:vAlign w:val="bottom"/>
            <w:hideMark/>
          </w:tcPr>
          <w:p w14:paraId="51D7B11B"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129" w:type="dxa"/>
            <w:vAlign w:val="bottom"/>
            <w:hideMark/>
          </w:tcPr>
          <w:p w14:paraId="5AB241EF"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130" w:type="dxa"/>
            <w:vAlign w:val="bottom"/>
            <w:hideMark/>
          </w:tcPr>
          <w:p w14:paraId="03984199"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127" w:type="dxa"/>
            <w:vAlign w:val="bottom"/>
            <w:hideMark/>
          </w:tcPr>
          <w:p w14:paraId="031940E9"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261" w:type="dxa"/>
            <w:vAlign w:val="bottom"/>
            <w:hideMark/>
          </w:tcPr>
          <w:p w14:paraId="7ADBD234"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265" w:type="dxa"/>
            <w:vAlign w:val="bottom"/>
            <w:hideMark/>
          </w:tcPr>
          <w:p w14:paraId="5E1C117F" w14:textId="77777777" w:rsidR="00A74C68" w:rsidRPr="00471CBA" w:rsidRDefault="00A74C68" w:rsidP="00A74C68">
            <w:pPr>
              <w:jc w:val="right"/>
              <w:rPr>
                <w:color w:val="000000"/>
                <w:sz w:val="18"/>
                <w:szCs w:val="18"/>
                <w:lang w:eastAsia="tr-TR"/>
              </w:rPr>
            </w:pPr>
            <w:r w:rsidRPr="00471CBA">
              <w:rPr>
                <w:color w:val="000000"/>
                <w:sz w:val="18"/>
                <w:szCs w:val="18"/>
                <w:lang w:eastAsia="tr-TR"/>
              </w:rPr>
              <w:t>%0,00</w:t>
            </w:r>
          </w:p>
        </w:tc>
      </w:tr>
      <w:tr w:rsidR="00A74C68" w:rsidRPr="00471CBA" w14:paraId="3BCD8C4D" w14:textId="77777777" w:rsidTr="00A74C68">
        <w:trPr>
          <w:divId w:val="1877699869"/>
          <w:trHeight w:val="255"/>
        </w:trPr>
        <w:tc>
          <w:tcPr>
            <w:tcW w:w="320" w:type="dxa"/>
            <w:noWrap/>
            <w:hideMark/>
          </w:tcPr>
          <w:p w14:paraId="009A7244" w14:textId="77777777" w:rsidR="00A74C68" w:rsidRPr="00471CBA" w:rsidRDefault="00A74C68" w:rsidP="00A74C68">
            <w:pPr>
              <w:rPr>
                <w:color w:val="000000"/>
                <w:sz w:val="18"/>
                <w:szCs w:val="18"/>
                <w:lang w:eastAsia="tr-TR"/>
              </w:rPr>
            </w:pPr>
            <w:r w:rsidRPr="00471CBA">
              <w:rPr>
                <w:color w:val="000000"/>
                <w:sz w:val="18"/>
                <w:szCs w:val="18"/>
                <w:lang w:eastAsia="tr-TR"/>
              </w:rPr>
              <w:t>13</w:t>
            </w:r>
          </w:p>
        </w:tc>
        <w:tc>
          <w:tcPr>
            <w:tcW w:w="2232" w:type="dxa"/>
            <w:noWrap/>
            <w:hideMark/>
          </w:tcPr>
          <w:p w14:paraId="401E57C5" w14:textId="77777777" w:rsidR="00A74C68" w:rsidRPr="00471CBA" w:rsidRDefault="00A74C68" w:rsidP="00A74C68">
            <w:pPr>
              <w:rPr>
                <w:color w:val="000000"/>
                <w:sz w:val="18"/>
                <w:szCs w:val="18"/>
                <w:lang w:eastAsia="tr-TR"/>
              </w:rPr>
            </w:pPr>
            <w:r w:rsidRPr="00471CBA">
              <w:rPr>
                <w:color w:val="000000"/>
                <w:sz w:val="18"/>
                <w:szCs w:val="18"/>
                <w:lang w:eastAsia="tr-TR"/>
              </w:rPr>
              <w:t>Teminatlı menkul kıymetler</w:t>
            </w:r>
          </w:p>
        </w:tc>
        <w:tc>
          <w:tcPr>
            <w:tcW w:w="1129" w:type="dxa"/>
            <w:vAlign w:val="bottom"/>
            <w:hideMark/>
          </w:tcPr>
          <w:p w14:paraId="6719FBD4"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129" w:type="dxa"/>
            <w:vAlign w:val="bottom"/>
            <w:hideMark/>
          </w:tcPr>
          <w:p w14:paraId="6ADEE275"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130" w:type="dxa"/>
            <w:vAlign w:val="bottom"/>
            <w:hideMark/>
          </w:tcPr>
          <w:p w14:paraId="03A298AB"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127" w:type="dxa"/>
            <w:vAlign w:val="bottom"/>
            <w:hideMark/>
          </w:tcPr>
          <w:p w14:paraId="0FC79CD5"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261" w:type="dxa"/>
            <w:vAlign w:val="bottom"/>
            <w:hideMark/>
          </w:tcPr>
          <w:p w14:paraId="77D86081"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265" w:type="dxa"/>
            <w:vAlign w:val="bottom"/>
            <w:hideMark/>
          </w:tcPr>
          <w:p w14:paraId="42FB3FDB" w14:textId="77777777" w:rsidR="00A74C68" w:rsidRPr="00471CBA" w:rsidRDefault="00A74C68" w:rsidP="00A74C68">
            <w:pPr>
              <w:jc w:val="right"/>
              <w:rPr>
                <w:color w:val="000000"/>
                <w:sz w:val="18"/>
                <w:szCs w:val="18"/>
                <w:lang w:eastAsia="tr-TR"/>
              </w:rPr>
            </w:pPr>
            <w:r w:rsidRPr="00471CBA">
              <w:rPr>
                <w:color w:val="000000"/>
                <w:sz w:val="18"/>
                <w:szCs w:val="18"/>
                <w:lang w:eastAsia="tr-TR"/>
              </w:rPr>
              <w:t>%0,00</w:t>
            </w:r>
          </w:p>
        </w:tc>
      </w:tr>
      <w:tr w:rsidR="00A74C68" w:rsidRPr="00471CBA" w14:paraId="17C01978" w14:textId="77777777" w:rsidTr="00A74C68">
        <w:trPr>
          <w:divId w:val="1877699869"/>
          <w:trHeight w:val="255"/>
        </w:trPr>
        <w:tc>
          <w:tcPr>
            <w:tcW w:w="320" w:type="dxa"/>
            <w:noWrap/>
            <w:hideMark/>
          </w:tcPr>
          <w:p w14:paraId="578C3459" w14:textId="77777777" w:rsidR="00A74C68" w:rsidRPr="00471CBA" w:rsidRDefault="00A74C68" w:rsidP="00A74C68">
            <w:pPr>
              <w:rPr>
                <w:color w:val="000000"/>
                <w:sz w:val="18"/>
                <w:szCs w:val="18"/>
                <w:lang w:eastAsia="tr-TR"/>
              </w:rPr>
            </w:pPr>
            <w:r w:rsidRPr="00471CBA">
              <w:rPr>
                <w:color w:val="000000"/>
                <w:sz w:val="18"/>
                <w:szCs w:val="18"/>
                <w:lang w:eastAsia="tr-TR"/>
              </w:rPr>
              <w:t>14</w:t>
            </w:r>
          </w:p>
        </w:tc>
        <w:tc>
          <w:tcPr>
            <w:tcW w:w="2232" w:type="dxa"/>
            <w:noWrap/>
            <w:hideMark/>
          </w:tcPr>
          <w:p w14:paraId="38C11406" w14:textId="77777777" w:rsidR="00A74C68" w:rsidRPr="00471CBA" w:rsidRDefault="00A74C68" w:rsidP="00A74C68">
            <w:pPr>
              <w:rPr>
                <w:color w:val="000000"/>
                <w:sz w:val="18"/>
                <w:szCs w:val="18"/>
                <w:lang w:eastAsia="tr-TR"/>
              </w:rPr>
            </w:pPr>
            <w:r w:rsidRPr="00471CBA">
              <w:rPr>
                <w:color w:val="000000"/>
                <w:sz w:val="18"/>
                <w:szCs w:val="18"/>
                <w:lang w:eastAsia="tr-TR"/>
              </w:rPr>
              <w:t>Bankalardan ve aracı kurumlardan olan kısa vadeli alacaklar ile kısa vadeli kurumsal alacaklar</w:t>
            </w:r>
          </w:p>
        </w:tc>
        <w:tc>
          <w:tcPr>
            <w:tcW w:w="1129" w:type="dxa"/>
            <w:vAlign w:val="bottom"/>
            <w:hideMark/>
          </w:tcPr>
          <w:p w14:paraId="6229EDEA"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129" w:type="dxa"/>
            <w:vAlign w:val="bottom"/>
            <w:hideMark/>
          </w:tcPr>
          <w:p w14:paraId="7D990BA3"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130" w:type="dxa"/>
            <w:vAlign w:val="bottom"/>
            <w:hideMark/>
          </w:tcPr>
          <w:p w14:paraId="7360600D"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127" w:type="dxa"/>
            <w:vAlign w:val="bottom"/>
            <w:hideMark/>
          </w:tcPr>
          <w:p w14:paraId="5351CC08"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261" w:type="dxa"/>
            <w:vAlign w:val="bottom"/>
            <w:hideMark/>
          </w:tcPr>
          <w:p w14:paraId="040D2BBF"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265" w:type="dxa"/>
            <w:vAlign w:val="bottom"/>
            <w:hideMark/>
          </w:tcPr>
          <w:p w14:paraId="0853F3E4" w14:textId="77777777" w:rsidR="00A74C68" w:rsidRPr="00471CBA" w:rsidRDefault="00A74C68" w:rsidP="00A74C68">
            <w:pPr>
              <w:jc w:val="right"/>
              <w:rPr>
                <w:color w:val="000000"/>
                <w:sz w:val="18"/>
                <w:szCs w:val="18"/>
                <w:lang w:eastAsia="tr-TR"/>
              </w:rPr>
            </w:pPr>
            <w:r w:rsidRPr="00471CBA">
              <w:rPr>
                <w:color w:val="000000"/>
                <w:sz w:val="18"/>
                <w:szCs w:val="18"/>
                <w:lang w:eastAsia="tr-TR"/>
              </w:rPr>
              <w:t>%0,00</w:t>
            </w:r>
          </w:p>
        </w:tc>
      </w:tr>
      <w:tr w:rsidR="00A74C68" w:rsidRPr="00471CBA" w14:paraId="1C8F128A" w14:textId="77777777" w:rsidTr="00A74C68">
        <w:trPr>
          <w:divId w:val="1877699869"/>
          <w:trHeight w:val="255"/>
        </w:trPr>
        <w:tc>
          <w:tcPr>
            <w:tcW w:w="320" w:type="dxa"/>
            <w:noWrap/>
            <w:hideMark/>
          </w:tcPr>
          <w:p w14:paraId="3F9DC771" w14:textId="77777777" w:rsidR="00A74C68" w:rsidRPr="00471CBA" w:rsidRDefault="00A74C68" w:rsidP="00A74C68">
            <w:pPr>
              <w:rPr>
                <w:color w:val="000000"/>
                <w:sz w:val="18"/>
                <w:szCs w:val="18"/>
                <w:lang w:eastAsia="tr-TR"/>
              </w:rPr>
            </w:pPr>
            <w:r w:rsidRPr="00471CBA">
              <w:rPr>
                <w:color w:val="000000"/>
                <w:sz w:val="18"/>
                <w:szCs w:val="18"/>
                <w:lang w:eastAsia="tr-TR"/>
              </w:rPr>
              <w:t>15</w:t>
            </w:r>
          </w:p>
        </w:tc>
        <w:tc>
          <w:tcPr>
            <w:tcW w:w="2232" w:type="dxa"/>
            <w:noWrap/>
            <w:hideMark/>
          </w:tcPr>
          <w:p w14:paraId="22F91265" w14:textId="77777777" w:rsidR="00A74C68" w:rsidRPr="00471CBA" w:rsidRDefault="00A74C68" w:rsidP="00A74C68">
            <w:pPr>
              <w:rPr>
                <w:color w:val="000000"/>
                <w:sz w:val="18"/>
                <w:szCs w:val="18"/>
                <w:lang w:eastAsia="tr-TR"/>
              </w:rPr>
            </w:pPr>
            <w:r w:rsidRPr="00471CBA">
              <w:rPr>
                <w:color w:val="000000"/>
                <w:sz w:val="18"/>
                <w:szCs w:val="18"/>
                <w:lang w:eastAsia="tr-TR"/>
              </w:rPr>
              <w:t>Kolektif yatırım kuruluşu niteliğindeki yatırımlar</w:t>
            </w:r>
          </w:p>
        </w:tc>
        <w:tc>
          <w:tcPr>
            <w:tcW w:w="1129" w:type="dxa"/>
            <w:vAlign w:val="bottom"/>
            <w:hideMark/>
          </w:tcPr>
          <w:p w14:paraId="48436616" w14:textId="77777777" w:rsidR="00A74C68" w:rsidRPr="00471CBA" w:rsidRDefault="00A74C68" w:rsidP="00A74C68">
            <w:pPr>
              <w:jc w:val="right"/>
              <w:rPr>
                <w:color w:val="000000"/>
                <w:sz w:val="18"/>
                <w:szCs w:val="18"/>
                <w:lang w:eastAsia="tr-TR"/>
              </w:rPr>
            </w:pPr>
            <w:r w:rsidRPr="00471CBA">
              <w:rPr>
                <w:color w:val="000000"/>
                <w:sz w:val="18"/>
                <w:szCs w:val="18"/>
                <w:lang w:eastAsia="tr-TR"/>
              </w:rPr>
              <w:t>1.308.897</w:t>
            </w:r>
          </w:p>
        </w:tc>
        <w:tc>
          <w:tcPr>
            <w:tcW w:w="1129" w:type="dxa"/>
            <w:vAlign w:val="bottom"/>
            <w:hideMark/>
          </w:tcPr>
          <w:p w14:paraId="5CB03913"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130" w:type="dxa"/>
            <w:vAlign w:val="bottom"/>
            <w:hideMark/>
          </w:tcPr>
          <w:p w14:paraId="6F8A7AFF" w14:textId="77777777" w:rsidR="00A74C68" w:rsidRPr="00471CBA" w:rsidRDefault="00A74C68" w:rsidP="00A74C68">
            <w:pPr>
              <w:jc w:val="right"/>
              <w:rPr>
                <w:color w:val="000000"/>
                <w:sz w:val="18"/>
                <w:szCs w:val="18"/>
                <w:lang w:eastAsia="tr-TR"/>
              </w:rPr>
            </w:pPr>
            <w:r w:rsidRPr="00471CBA">
              <w:rPr>
                <w:color w:val="000000"/>
                <w:sz w:val="18"/>
                <w:szCs w:val="18"/>
                <w:lang w:eastAsia="tr-TR"/>
              </w:rPr>
              <w:t>1.308.897</w:t>
            </w:r>
          </w:p>
        </w:tc>
        <w:tc>
          <w:tcPr>
            <w:tcW w:w="1127" w:type="dxa"/>
            <w:vAlign w:val="bottom"/>
            <w:hideMark/>
          </w:tcPr>
          <w:p w14:paraId="2E9D7476"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261" w:type="dxa"/>
            <w:vAlign w:val="bottom"/>
            <w:hideMark/>
          </w:tcPr>
          <w:p w14:paraId="69899507" w14:textId="77777777" w:rsidR="00A74C68" w:rsidRPr="00471CBA" w:rsidRDefault="00A74C68" w:rsidP="00A74C68">
            <w:pPr>
              <w:jc w:val="right"/>
              <w:rPr>
                <w:color w:val="000000"/>
                <w:sz w:val="18"/>
                <w:szCs w:val="18"/>
                <w:lang w:eastAsia="tr-TR"/>
              </w:rPr>
            </w:pPr>
            <w:r w:rsidRPr="00471CBA">
              <w:rPr>
                <w:color w:val="000000"/>
                <w:sz w:val="18"/>
                <w:szCs w:val="18"/>
                <w:lang w:eastAsia="tr-TR"/>
              </w:rPr>
              <w:t>1.308.897</w:t>
            </w:r>
          </w:p>
        </w:tc>
        <w:tc>
          <w:tcPr>
            <w:tcW w:w="1265" w:type="dxa"/>
            <w:vAlign w:val="bottom"/>
            <w:hideMark/>
          </w:tcPr>
          <w:p w14:paraId="5E27164B" w14:textId="77777777" w:rsidR="00A74C68" w:rsidRPr="00471CBA" w:rsidRDefault="00A74C68" w:rsidP="00A74C68">
            <w:pPr>
              <w:jc w:val="right"/>
              <w:rPr>
                <w:color w:val="000000"/>
                <w:sz w:val="18"/>
                <w:szCs w:val="18"/>
                <w:lang w:eastAsia="tr-TR"/>
              </w:rPr>
            </w:pPr>
            <w:r w:rsidRPr="00471CBA">
              <w:rPr>
                <w:color w:val="000000"/>
                <w:sz w:val="18"/>
                <w:szCs w:val="18"/>
                <w:lang w:eastAsia="tr-TR"/>
              </w:rPr>
              <w:t>%100,00</w:t>
            </w:r>
          </w:p>
        </w:tc>
      </w:tr>
      <w:tr w:rsidR="00A74C68" w:rsidRPr="00471CBA" w14:paraId="6FC18854" w14:textId="77777777" w:rsidTr="00A74C68">
        <w:trPr>
          <w:divId w:val="1877699869"/>
          <w:trHeight w:val="255"/>
        </w:trPr>
        <w:tc>
          <w:tcPr>
            <w:tcW w:w="320" w:type="dxa"/>
            <w:noWrap/>
            <w:hideMark/>
          </w:tcPr>
          <w:p w14:paraId="37C70310" w14:textId="77777777" w:rsidR="00A74C68" w:rsidRPr="00471CBA" w:rsidRDefault="00A74C68" w:rsidP="00A74C68">
            <w:pPr>
              <w:rPr>
                <w:color w:val="000000"/>
                <w:sz w:val="18"/>
                <w:szCs w:val="18"/>
                <w:lang w:eastAsia="tr-TR"/>
              </w:rPr>
            </w:pPr>
            <w:r w:rsidRPr="00471CBA">
              <w:rPr>
                <w:color w:val="000000"/>
                <w:sz w:val="18"/>
                <w:szCs w:val="18"/>
                <w:lang w:eastAsia="tr-TR"/>
              </w:rPr>
              <w:t>16</w:t>
            </w:r>
          </w:p>
        </w:tc>
        <w:tc>
          <w:tcPr>
            <w:tcW w:w="2232" w:type="dxa"/>
            <w:noWrap/>
            <w:hideMark/>
          </w:tcPr>
          <w:p w14:paraId="68CD48DD" w14:textId="77777777" w:rsidR="00A74C68" w:rsidRPr="00471CBA" w:rsidRDefault="00A74C68" w:rsidP="00A74C68">
            <w:pPr>
              <w:rPr>
                <w:color w:val="000000"/>
                <w:sz w:val="18"/>
                <w:szCs w:val="18"/>
                <w:lang w:eastAsia="tr-TR"/>
              </w:rPr>
            </w:pPr>
            <w:r w:rsidRPr="00471CBA">
              <w:rPr>
                <w:color w:val="000000"/>
                <w:sz w:val="18"/>
                <w:szCs w:val="18"/>
                <w:lang w:eastAsia="tr-TR"/>
              </w:rPr>
              <w:t>Diğer alacaklar</w:t>
            </w:r>
          </w:p>
        </w:tc>
        <w:tc>
          <w:tcPr>
            <w:tcW w:w="1129" w:type="dxa"/>
            <w:vAlign w:val="bottom"/>
            <w:hideMark/>
          </w:tcPr>
          <w:p w14:paraId="26712E23" w14:textId="77777777" w:rsidR="00A74C68" w:rsidRPr="00471CBA" w:rsidRDefault="00A74C68" w:rsidP="00A74C68">
            <w:pPr>
              <w:jc w:val="right"/>
              <w:rPr>
                <w:color w:val="000000"/>
                <w:sz w:val="18"/>
                <w:szCs w:val="18"/>
                <w:lang w:eastAsia="tr-TR"/>
              </w:rPr>
            </w:pPr>
            <w:r w:rsidRPr="00471CBA">
              <w:rPr>
                <w:color w:val="000000"/>
                <w:sz w:val="18"/>
                <w:szCs w:val="18"/>
                <w:lang w:eastAsia="tr-TR"/>
              </w:rPr>
              <w:t>2.966.880</w:t>
            </w:r>
          </w:p>
        </w:tc>
        <w:tc>
          <w:tcPr>
            <w:tcW w:w="1129" w:type="dxa"/>
            <w:vAlign w:val="bottom"/>
            <w:hideMark/>
          </w:tcPr>
          <w:p w14:paraId="5F03C51D"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130" w:type="dxa"/>
            <w:vAlign w:val="bottom"/>
            <w:hideMark/>
          </w:tcPr>
          <w:p w14:paraId="2EADBF8E" w14:textId="77777777" w:rsidR="00A74C68" w:rsidRPr="00471CBA" w:rsidRDefault="00A74C68" w:rsidP="00A74C68">
            <w:pPr>
              <w:jc w:val="right"/>
              <w:rPr>
                <w:color w:val="000000"/>
                <w:sz w:val="18"/>
                <w:szCs w:val="18"/>
                <w:lang w:eastAsia="tr-TR"/>
              </w:rPr>
            </w:pPr>
            <w:r w:rsidRPr="00471CBA">
              <w:rPr>
                <w:color w:val="000000"/>
                <w:sz w:val="18"/>
                <w:szCs w:val="18"/>
                <w:lang w:eastAsia="tr-TR"/>
              </w:rPr>
              <w:t>2.966.880</w:t>
            </w:r>
          </w:p>
        </w:tc>
        <w:tc>
          <w:tcPr>
            <w:tcW w:w="1127" w:type="dxa"/>
            <w:vAlign w:val="bottom"/>
            <w:hideMark/>
          </w:tcPr>
          <w:p w14:paraId="5A9A7224"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261" w:type="dxa"/>
            <w:vAlign w:val="bottom"/>
            <w:hideMark/>
          </w:tcPr>
          <w:p w14:paraId="7219BAD3" w14:textId="77777777" w:rsidR="00A74C68" w:rsidRPr="00471CBA" w:rsidRDefault="00A74C68" w:rsidP="00A74C68">
            <w:pPr>
              <w:jc w:val="right"/>
              <w:rPr>
                <w:color w:val="000000"/>
                <w:sz w:val="18"/>
                <w:szCs w:val="18"/>
                <w:lang w:eastAsia="tr-TR"/>
              </w:rPr>
            </w:pPr>
            <w:r w:rsidRPr="00471CBA">
              <w:rPr>
                <w:color w:val="000000"/>
                <w:sz w:val="18"/>
                <w:szCs w:val="18"/>
                <w:lang w:eastAsia="tr-TR"/>
              </w:rPr>
              <w:t>1.091.085</w:t>
            </w:r>
          </w:p>
        </w:tc>
        <w:tc>
          <w:tcPr>
            <w:tcW w:w="1265" w:type="dxa"/>
            <w:vAlign w:val="bottom"/>
            <w:hideMark/>
          </w:tcPr>
          <w:p w14:paraId="60211222" w14:textId="77777777" w:rsidR="00A74C68" w:rsidRPr="00471CBA" w:rsidRDefault="00A74C68" w:rsidP="00A74C68">
            <w:pPr>
              <w:jc w:val="right"/>
              <w:rPr>
                <w:color w:val="000000"/>
                <w:sz w:val="18"/>
                <w:szCs w:val="18"/>
                <w:lang w:eastAsia="tr-TR"/>
              </w:rPr>
            </w:pPr>
            <w:r w:rsidRPr="00471CBA">
              <w:rPr>
                <w:color w:val="000000"/>
                <w:sz w:val="18"/>
                <w:szCs w:val="18"/>
                <w:lang w:eastAsia="tr-TR"/>
              </w:rPr>
              <w:t>%36,78</w:t>
            </w:r>
          </w:p>
        </w:tc>
      </w:tr>
      <w:tr w:rsidR="00A74C68" w:rsidRPr="00471CBA" w14:paraId="3E9DE483" w14:textId="77777777" w:rsidTr="00A74C68">
        <w:trPr>
          <w:divId w:val="1877699869"/>
          <w:trHeight w:val="255"/>
        </w:trPr>
        <w:tc>
          <w:tcPr>
            <w:tcW w:w="320" w:type="dxa"/>
            <w:tcBorders>
              <w:bottom w:val="single" w:sz="4" w:space="0" w:color="auto"/>
            </w:tcBorders>
            <w:noWrap/>
            <w:hideMark/>
          </w:tcPr>
          <w:p w14:paraId="6E97E085" w14:textId="77777777" w:rsidR="00A74C68" w:rsidRPr="00471CBA" w:rsidRDefault="00A74C68" w:rsidP="00A74C68">
            <w:pPr>
              <w:rPr>
                <w:color w:val="000000"/>
                <w:sz w:val="18"/>
                <w:szCs w:val="18"/>
                <w:lang w:eastAsia="tr-TR"/>
              </w:rPr>
            </w:pPr>
            <w:r w:rsidRPr="00471CBA">
              <w:rPr>
                <w:color w:val="000000"/>
                <w:sz w:val="18"/>
                <w:szCs w:val="18"/>
                <w:lang w:eastAsia="tr-TR"/>
              </w:rPr>
              <w:t>17</w:t>
            </w:r>
          </w:p>
        </w:tc>
        <w:tc>
          <w:tcPr>
            <w:tcW w:w="2232" w:type="dxa"/>
            <w:tcBorders>
              <w:bottom w:val="single" w:sz="4" w:space="0" w:color="auto"/>
            </w:tcBorders>
            <w:noWrap/>
            <w:hideMark/>
          </w:tcPr>
          <w:p w14:paraId="538D3EA2" w14:textId="77777777" w:rsidR="00A74C68" w:rsidRPr="00471CBA" w:rsidRDefault="00A74C68" w:rsidP="00A74C68">
            <w:pPr>
              <w:rPr>
                <w:color w:val="000000"/>
                <w:sz w:val="18"/>
                <w:szCs w:val="18"/>
                <w:lang w:eastAsia="tr-TR"/>
              </w:rPr>
            </w:pPr>
            <w:r w:rsidRPr="00471CBA">
              <w:rPr>
                <w:color w:val="000000"/>
                <w:sz w:val="18"/>
                <w:szCs w:val="18"/>
                <w:lang w:eastAsia="tr-TR"/>
              </w:rPr>
              <w:t>Hisse senedi yatırımları</w:t>
            </w:r>
          </w:p>
        </w:tc>
        <w:tc>
          <w:tcPr>
            <w:tcW w:w="1129" w:type="dxa"/>
            <w:tcBorders>
              <w:bottom w:val="single" w:sz="4" w:space="0" w:color="auto"/>
            </w:tcBorders>
            <w:vAlign w:val="bottom"/>
            <w:hideMark/>
          </w:tcPr>
          <w:p w14:paraId="6CA8B17A" w14:textId="77777777" w:rsidR="00A74C68" w:rsidRPr="00471CBA" w:rsidRDefault="00A74C68" w:rsidP="00A74C68">
            <w:pPr>
              <w:jc w:val="right"/>
              <w:rPr>
                <w:color w:val="000000"/>
                <w:sz w:val="18"/>
                <w:szCs w:val="18"/>
                <w:lang w:eastAsia="tr-TR"/>
              </w:rPr>
            </w:pPr>
            <w:r w:rsidRPr="00471CBA">
              <w:rPr>
                <w:color w:val="000000"/>
                <w:sz w:val="18"/>
                <w:szCs w:val="18"/>
                <w:lang w:eastAsia="tr-TR"/>
              </w:rPr>
              <w:t>655.265</w:t>
            </w:r>
          </w:p>
        </w:tc>
        <w:tc>
          <w:tcPr>
            <w:tcW w:w="1129" w:type="dxa"/>
            <w:tcBorders>
              <w:bottom w:val="single" w:sz="4" w:space="0" w:color="auto"/>
            </w:tcBorders>
            <w:vAlign w:val="bottom"/>
            <w:hideMark/>
          </w:tcPr>
          <w:p w14:paraId="1EAD935A"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130" w:type="dxa"/>
            <w:tcBorders>
              <w:bottom w:val="single" w:sz="4" w:space="0" w:color="auto"/>
            </w:tcBorders>
            <w:vAlign w:val="bottom"/>
            <w:hideMark/>
          </w:tcPr>
          <w:p w14:paraId="03FAAB41" w14:textId="77777777" w:rsidR="00A74C68" w:rsidRPr="00471CBA" w:rsidRDefault="00A74C68" w:rsidP="00A74C68">
            <w:pPr>
              <w:jc w:val="right"/>
              <w:rPr>
                <w:color w:val="000000"/>
                <w:sz w:val="18"/>
                <w:szCs w:val="18"/>
                <w:lang w:eastAsia="tr-TR"/>
              </w:rPr>
            </w:pPr>
            <w:r w:rsidRPr="00471CBA">
              <w:rPr>
                <w:color w:val="000000"/>
                <w:sz w:val="18"/>
                <w:szCs w:val="18"/>
                <w:lang w:eastAsia="tr-TR"/>
              </w:rPr>
              <w:t>655.265</w:t>
            </w:r>
          </w:p>
        </w:tc>
        <w:tc>
          <w:tcPr>
            <w:tcW w:w="1127" w:type="dxa"/>
            <w:tcBorders>
              <w:bottom w:val="single" w:sz="4" w:space="0" w:color="auto"/>
            </w:tcBorders>
            <w:vAlign w:val="bottom"/>
            <w:hideMark/>
          </w:tcPr>
          <w:p w14:paraId="4288A1FF"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1261" w:type="dxa"/>
            <w:tcBorders>
              <w:bottom w:val="single" w:sz="4" w:space="0" w:color="auto"/>
            </w:tcBorders>
            <w:vAlign w:val="bottom"/>
            <w:hideMark/>
          </w:tcPr>
          <w:p w14:paraId="0EBB951F" w14:textId="77777777" w:rsidR="00A74C68" w:rsidRPr="00471CBA" w:rsidRDefault="00A74C68" w:rsidP="00A74C68">
            <w:pPr>
              <w:jc w:val="right"/>
              <w:rPr>
                <w:color w:val="000000"/>
                <w:sz w:val="18"/>
                <w:szCs w:val="18"/>
                <w:lang w:eastAsia="tr-TR"/>
              </w:rPr>
            </w:pPr>
            <w:r w:rsidRPr="00471CBA">
              <w:rPr>
                <w:color w:val="000000"/>
                <w:sz w:val="18"/>
                <w:szCs w:val="18"/>
                <w:lang w:eastAsia="tr-TR"/>
              </w:rPr>
              <w:t>655.265</w:t>
            </w:r>
          </w:p>
        </w:tc>
        <w:tc>
          <w:tcPr>
            <w:tcW w:w="1265" w:type="dxa"/>
            <w:tcBorders>
              <w:bottom w:val="single" w:sz="4" w:space="0" w:color="auto"/>
            </w:tcBorders>
            <w:vAlign w:val="bottom"/>
            <w:hideMark/>
          </w:tcPr>
          <w:p w14:paraId="4D5485CD" w14:textId="77777777" w:rsidR="00A74C68" w:rsidRPr="00471CBA" w:rsidRDefault="00A74C68" w:rsidP="00A74C68">
            <w:pPr>
              <w:jc w:val="right"/>
              <w:rPr>
                <w:color w:val="000000"/>
                <w:sz w:val="18"/>
                <w:szCs w:val="18"/>
                <w:lang w:eastAsia="tr-TR"/>
              </w:rPr>
            </w:pPr>
            <w:r w:rsidRPr="00471CBA">
              <w:rPr>
                <w:color w:val="000000"/>
                <w:sz w:val="18"/>
                <w:szCs w:val="18"/>
                <w:lang w:eastAsia="tr-TR"/>
              </w:rPr>
              <w:t>%100,00</w:t>
            </w:r>
          </w:p>
        </w:tc>
      </w:tr>
      <w:tr w:rsidR="00A74C68" w:rsidRPr="00471CBA" w14:paraId="4E5A9A58" w14:textId="77777777" w:rsidTr="00A74C68">
        <w:trPr>
          <w:divId w:val="1877699869"/>
          <w:trHeight w:val="255"/>
        </w:trPr>
        <w:tc>
          <w:tcPr>
            <w:tcW w:w="320" w:type="dxa"/>
            <w:tcBorders>
              <w:top w:val="single" w:sz="4" w:space="0" w:color="auto"/>
              <w:bottom w:val="single" w:sz="4" w:space="0" w:color="auto"/>
            </w:tcBorders>
            <w:noWrap/>
            <w:hideMark/>
          </w:tcPr>
          <w:p w14:paraId="4A5443AA" w14:textId="77777777" w:rsidR="00A74C68" w:rsidRPr="00471CBA" w:rsidRDefault="00A74C68" w:rsidP="00A74C68">
            <w:pPr>
              <w:rPr>
                <w:b/>
                <w:bCs/>
                <w:color w:val="000000"/>
                <w:sz w:val="18"/>
                <w:szCs w:val="18"/>
                <w:lang w:eastAsia="tr-TR"/>
              </w:rPr>
            </w:pPr>
            <w:r w:rsidRPr="00471CBA">
              <w:rPr>
                <w:b/>
                <w:bCs/>
                <w:color w:val="000000"/>
                <w:sz w:val="18"/>
                <w:szCs w:val="18"/>
                <w:lang w:eastAsia="tr-TR"/>
              </w:rPr>
              <w:t>18</w:t>
            </w:r>
          </w:p>
        </w:tc>
        <w:tc>
          <w:tcPr>
            <w:tcW w:w="2232" w:type="dxa"/>
            <w:tcBorders>
              <w:top w:val="single" w:sz="4" w:space="0" w:color="auto"/>
              <w:bottom w:val="single" w:sz="4" w:space="0" w:color="auto"/>
            </w:tcBorders>
            <w:noWrap/>
            <w:hideMark/>
          </w:tcPr>
          <w:p w14:paraId="1DB4B4F0" w14:textId="77777777" w:rsidR="00A74C68" w:rsidRPr="00471CBA" w:rsidRDefault="00A74C68" w:rsidP="00A74C68">
            <w:pPr>
              <w:rPr>
                <w:b/>
                <w:bCs/>
                <w:color w:val="000000"/>
                <w:sz w:val="18"/>
                <w:szCs w:val="18"/>
                <w:lang w:eastAsia="tr-TR"/>
              </w:rPr>
            </w:pPr>
            <w:r w:rsidRPr="00471CBA">
              <w:rPr>
                <w:b/>
                <w:bCs/>
                <w:color w:val="000000"/>
                <w:sz w:val="18"/>
                <w:szCs w:val="18"/>
                <w:lang w:eastAsia="tr-TR"/>
              </w:rPr>
              <w:t>Toplam</w:t>
            </w:r>
          </w:p>
        </w:tc>
        <w:tc>
          <w:tcPr>
            <w:tcW w:w="1129" w:type="dxa"/>
            <w:tcBorders>
              <w:top w:val="single" w:sz="4" w:space="0" w:color="auto"/>
              <w:bottom w:val="single" w:sz="4" w:space="0" w:color="auto"/>
            </w:tcBorders>
            <w:vAlign w:val="bottom"/>
            <w:hideMark/>
          </w:tcPr>
          <w:p w14:paraId="388E2F68" w14:textId="77777777" w:rsidR="00A74C68" w:rsidRPr="00471CBA" w:rsidRDefault="00A74C68" w:rsidP="00A74C68">
            <w:pPr>
              <w:jc w:val="right"/>
              <w:rPr>
                <w:b/>
                <w:bCs/>
                <w:color w:val="000000"/>
                <w:sz w:val="18"/>
                <w:szCs w:val="18"/>
                <w:lang w:eastAsia="tr-TR"/>
              </w:rPr>
            </w:pPr>
            <w:r w:rsidRPr="00471CBA">
              <w:rPr>
                <w:b/>
                <w:bCs/>
                <w:color w:val="000000"/>
                <w:sz w:val="18"/>
                <w:szCs w:val="18"/>
                <w:lang w:eastAsia="tr-TR"/>
              </w:rPr>
              <w:t>56.935.154</w:t>
            </w:r>
          </w:p>
        </w:tc>
        <w:tc>
          <w:tcPr>
            <w:tcW w:w="1129" w:type="dxa"/>
            <w:tcBorders>
              <w:top w:val="single" w:sz="4" w:space="0" w:color="auto"/>
              <w:bottom w:val="single" w:sz="4" w:space="0" w:color="auto"/>
            </w:tcBorders>
            <w:vAlign w:val="bottom"/>
            <w:hideMark/>
          </w:tcPr>
          <w:p w14:paraId="41BD88EA" w14:textId="77777777" w:rsidR="00A74C68" w:rsidRPr="00471CBA" w:rsidRDefault="00A74C68" w:rsidP="00A74C68">
            <w:pPr>
              <w:jc w:val="right"/>
              <w:rPr>
                <w:b/>
                <w:bCs/>
                <w:color w:val="000000"/>
                <w:sz w:val="18"/>
                <w:szCs w:val="18"/>
                <w:lang w:eastAsia="tr-TR"/>
              </w:rPr>
            </w:pPr>
            <w:r w:rsidRPr="00471CBA">
              <w:rPr>
                <w:b/>
                <w:bCs/>
                <w:color w:val="000000"/>
                <w:sz w:val="18"/>
                <w:szCs w:val="18"/>
                <w:lang w:eastAsia="tr-TR"/>
              </w:rPr>
              <w:t>26.315.474</w:t>
            </w:r>
          </w:p>
        </w:tc>
        <w:tc>
          <w:tcPr>
            <w:tcW w:w="1130" w:type="dxa"/>
            <w:tcBorders>
              <w:top w:val="single" w:sz="4" w:space="0" w:color="auto"/>
              <w:bottom w:val="single" w:sz="4" w:space="0" w:color="auto"/>
            </w:tcBorders>
            <w:vAlign w:val="bottom"/>
            <w:hideMark/>
          </w:tcPr>
          <w:p w14:paraId="1F3A5493" w14:textId="77777777" w:rsidR="00A74C68" w:rsidRPr="00471CBA" w:rsidRDefault="00A74C68" w:rsidP="00A74C68">
            <w:pPr>
              <w:jc w:val="right"/>
              <w:rPr>
                <w:b/>
                <w:bCs/>
                <w:color w:val="000000"/>
                <w:sz w:val="18"/>
                <w:szCs w:val="18"/>
                <w:lang w:eastAsia="tr-TR"/>
              </w:rPr>
            </w:pPr>
            <w:r w:rsidRPr="00471CBA">
              <w:rPr>
                <w:b/>
                <w:bCs/>
                <w:color w:val="000000"/>
                <w:sz w:val="18"/>
                <w:szCs w:val="18"/>
                <w:lang w:eastAsia="tr-TR"/>
              </w:rPr>
              <w:t>56.935.154</w:t>
            </w:r>
          </w:p>
        </w:tc>
        <w:tc>
          <w:tcPr>
            <w:tcW w:w="1127" w:type="dxa"/>
            <w:tcBorders>
              <w:top w:val="single" w:sz="4" w:space="0" w:color="auto"/>
              <w:bottom w:val="single" w:sz="4" w:space="0" w:color="auto"/>
            </w:tcBorders>
            <w:vAlign w:val="bottom"/>
            <w:hideMark/>
          </w:tcPr>
          <w:p w14:paraId="1BCB3D88" w14:textId="77777777" w:rsidR="00A74C68" w:rsidRPr="00471CBA" w:rsidRDefault="00A74C68" w:rsidP="00A74C68">
            <w:pPr>
              <w:jc w:val="right"/>
              <w:rPr>
                <w:b/>
                <w:bCs/>
                <w:color w:val="000000"/>
                <w:sz w:val="18"/>
                <w:szCs w:val="18"/>
                <w:lang w:eastAsia="tr-TR"/>
              </w:rPr>
            </w:pPr>
            <w:r w:rsidRPr="00471CBA">
              <w:rPr>
                <w:b/>
                <w:bCs/>
                <w:color w:val="000000"/>
                <w:sz w:val="18"/>
                <w:szCs w:val="18"/>
                <w:lang w:eastAsia="tr-TR"/>
              </w:rPr>
              <w:t>17.583.556</w:t>
            </w:r>
          </w:p>
        </w:tc>
        <w:tc>
          <w:tcPr>
            <w:tcW w:w="1261" w:type="dxa"/>
            <w:tcBorders>
              <w:top w:val="single" w:sz="4" w:space="0" w:color="auto"/>
              <w:bottom w:val="single" w:sz="4" w:space="0" w:color="auto"/>
            </w:tcBorders>
            <w:vAlign w:val="bottom"/>
            <w:hideMark/>
          </w:tcPr>
          <w:p w14:paraId="5F0451BD" w14:textId="77777777" w:rsidR="00A74C68" w:rsidRPr="00471CBA" w:rsidRDefault="00A74C68" w:rsidP="00A74C68">
            <w:pPr>
              <w:jc w:val="right"/>
              <w:rPr>
                <w:b/>
                <w:bCs/>
                <w:color w:val="000000"/>
                <w:sz w:val="18"/>
                <w:szCs w:val="18"/>
                <w:lang w:eastAsia="tr-TR"/>
              </w:rPr>
            </w:pPr>
            <w:r w:rsidRPr="00471CBA">
              <w:rPr>
                <w:b/>
                <w:bCs/>
                <w:color w:val="000000"/>
                <w:sz w:val="18"/>
                <w:szCs w:val="18"/>
                <w:lang w:eastAsia="tr-TR"/>
              </w:rPr>
              <w:t>41.682.352</w:t>
            </w:r>
          </w:p>
        </w:tc>
        <w:tc>
          <w:tcPr>
            <w:tcW w:w="1265" w:type="dxa"/>
            <w:tcBorders>
              <w:top w:val="single" w:sz="4" w:space="0" w:color="auto"/>
              <w:bottom w:val="single" w:sz="4" w:space="0" w:color="auto"/>
            </w:tcBorders>
            <w:vAlign w:val="bottom"/>
            <w:hideMark/>
          </w:tcPr>
          <w:p w14:paraId="43C09681" w14:textId="77777777" w:rsidR="00A74C68" w:rsidRPr="00471CBA" w:rsidRDefault="00A74C68" w:rsidP="00A74C68">
            <w:pPr>
              <w:jc w:val="right"/>
              <w:rPr>
                <w:b/>
                <w:bCs/>
                <w:color w:val="000000"/>
                <w:sz w:val="18"/>
                <w:szCs w:val="18"/>
                <w:lang w:eastAsia="tr-TR"/>
              </w:rPr>
            </w:pPr>
            <w:r w:rsidRPr="00471CBA">
              <w:rPr>
                <w:b/>
                <w:bCs/>
                <w:color w:val="000000"/>
                <w:sz w:val="18"/>
                <w:szCs w:val="18"/>
                <w:lang w:eastAsia="tr-TR"/>
              </w:rPr>
              <w:t> </w:t>
            </w:r>
          </w:p>
        </w:tc>
      </w:tr>
    </w:tbl>
    <w:p w14:paraId="5F72669B" w14:textId="41E4B403" w:rsidR="00EE0925" w:rsidRPr="00471CBA" w:rsidRDefault="00EE0925" w:rsidP="00EE0925">
      <w:pPr>
        <w:rPr>
          <w:b/>
          <w:szCs w:val="20"/>
        </w:rPr>
      </w:pPr>
      <w:r w:rsidRPr="00471CBA">
        <w:rPr>
          <w:b/>
          <w:szCs w:val="20"/>
        </w:rPr>
        <w:br w:type="page"/>
      </w:r>
    </w:p>
    <w:p w14:paraId="42D7273E" w14:textId="77777777" w:rsidR="00EE0925" w:rsidRPr="00471CBA" w:rsidRDefault="00EE0925" w:rsidP="00EE0925">
      <w:pPr>
        <w:pStyle w:val="GvdeMetniGirintisi"/>
        <w:widowControl w:val="0"/>
        <w:ind w:firstLine="0"/>
        <w:rPr>
          <w:b/>
          <w:szCs w:val="20"/>
        </w:rPr>
      </w:pPr>
      <w:r w:rsidRPr="00471CBA">
        <w:rPr>
          <w:b/>
          <w:szCs w:val="20"/>
        </w:rPr>
        <w:t>MALİ BÜNYEYE VE RİSK YÖNETİMİNE İLİŞKİN BİLGİLER (Devamı)</w:t>
      </w:r>
    </w:p>
    <w:p w14:paraId="530954AE" w14:textId="77777777" w:rsidR="00EE0925" w:rsidRPr="00471CBA" w:rsidRDefault="00EE0925" w:rsidP="00EE0925">
      <w:pPr>
        <w:widowControl w:val="0"/>
        <w:autoSpaceDE w:val="0"/>
        <w:autoSpaceDN w:val="0"/>
        <w:adjustRightInd w:val="0"/>
        <w:jc w:val="both"/>
        <w:rPr>
          <w:szCs w:val="20"/>
        </w:rPr>
      </w:pPr>
    </w:p>
    <w:p w14:paraId="28028B47" w14:textId="77777777" w:rsidR="00EE0925" w:rsidRPr="00471CBA" w:rsidRDefault="00EE0925" w:rsidP="00EE0925">
      <w:pPr>
        <w:rPr>
          <w:b/>
          <w:bCs/>
        </w:rPr>
      </w:pPr>
      <w:r w:rsidRPr="00471CBA">
        <w:rPr>
          <w:b/>
          <w:bCs/>
        </w:rPr>
        <w:t>IX.</w:t>
      </w:r>
      <w:r w:rsidRPr="00471CBA">
        <w:rPr>
          <w:b/>
          <w:bCs/>
        </w:rPr>
        <w:tab/>
        <w:t>RİSK YÖNETİMİNE İLİŞKİN AÇIKLAMALAR (Devamı)</w:t>
      </w:r>
    </w:p>
    <w:p w14:paraId="04A5E422" w14:textId="1BF9C877" w:rsidR="00EE0925" w:rsidRPr="00471CBA" w:rsidRDefault="00EE0925" w:rsidP="00EE0925">
      <w:pPr>
        <w:spacing w:before="120" w:after="120"/>
        <w:rPr>
          <w:b/>
          <w:szCs w:val="20"/>
        </w:rPr>
      </w:pPr>
      <w:r w:rsidRPr="00471CBA">
        <w:rPr>
          <w:b/>
          <w:szCs w:val="20"/>
        </w:rPr>
        <w:t>c.</w:t>
      </w:r>
      <w:r w:rsidR="00F658F0">
        <w:rPr>
          <w:b/>
          <w:szCs w:val="20"/>
        </w:rPr>
        <w:t>3</w:t>
      </w:r>
      <w:r w:rsidRPr="00471CBA">
        <w:rPr>
          <w:b/>
          <w:szCs w:val="20"/>
        </w:rPr>
        <w:t>.2.</w:t>
      </w:r>
      <w:r w:rsidRPr="00471CBA">
        <w:rPr>
          <w:b/>
          <w:szCs w:val="20"/>
        </w:rPr>
        <w:tab/>
        <w:t>Maruz Kalınan Kredi Riski ve Kredi Riski Azaltım Etkileri (Devamı):</w:t>
      </w:r>
    </w:p>
    <w:p w14:paraId="474F5BD8" w14:textId="32E6234B" w:rsidR="00A74C68" w:rsidRPr="00471CBA" w:rsidRDefault="00A74C68" w:rsidP="00EE0925"/>
    <w:tbl>
      <w:tblPr>
        <w:tblW w:w="9593" w:type="dxa"/>
        <w:tblCellMar>
          <w:left w:w="70" w:type="dxa"/>
          <w:right w:w="70" w:type="dxa"/>
        </w:tblCellMar>
        <w:tblLook w:val="04A0" w:firstRow="1" w:lastRow="0" w:firstColumn="1" w:lastColumn="0" w:noHBand="0" w:noVBand="1"/>
      </w:tblPr>
      <w:tblGrid>
        <w:gridCol w:w="320"/>
        <w:gridCol w:w="2232"/>
        <w:gridCol w:w="1129"/>
        <w:gridCol w:w="1129"/>
        <w:gridCol w:w="1130"/>
        <w:gridCol w:w="1127"/>
        <w:gridCol w:w="1261"/>
        <w:gridCol w:w="1265"/>
      </w:tblGrid>
      <w:tr w:rsidR="00A74C68" w:rsidRPr="00471CBA" w14:paraId="21BB2BBF" w14:textId="77777777" w:rsidTr="00A74C68">
        <w:trPr>
          <w:divId w:val="1829205549"/>
          <w:trHeight w:val="585"/>
        </w:trPr>
        <w:tc>
          <w:tcPr>
            <w:tcW w:w="320" w:type="dxa"/>
            <w:tcBorders>
              <w:top w:val="single" w:sz="4" w:space="0" w:color="auto"/>
              <w:bottom w:val="single" w:sz="4" w:space="0" w:color="auto"/>
            </w:tcBorders>
            <w:noWrap/>
            <w:vAlign w:val="center"/>
            <w:hideMark/>
          </w:tcPr>
          <w:p w14:paraId="3873568F" w14:textId="6E4AD161" w:rsidR="00A74C68" w:rsidRPr="00471CBA" w:rsidRDefault="00A74C68" w:rsidP="00A74C68">
            <w:pPr>
              <w:rPr>
                <w:b/>
                <w:bCs/>
                <w:color w:val="000000"/>
                <w:sz w:val="18"/>
                <w:szCs w:val="18"/>
                <w:lang w:eastAsia="tr-TR"/>
              </w:rPr>
            </w:pPr>
            <w:r w:rsidRPr="00471CBA">
              <w:rPr>
                <w:b/>
                <w:bCs/>
                <w:color w:val="000000"/>
                <w:sz w:val="18"/>
                <w:szCs w:val="18"/>
                <w:lang w:eastAsia="tr-TR"/>
              </w:rPr>
              <w:t> </w:t>
            </w:r>
          </w:p>
        </w:tc>
        <w:tc>
          <w:tcPr>
            <w:tcW w:w="2232" w:type="dxa"/>
            <w:tcBorders>
              <w:top w:val="single" w:sz="4" w:space="0" w:color="auto"/>
              <w:bottom w:val="single" w:sz="4" w:space="0" w:color="auto"/>
            </w:tcBorders>
            <w:noWrap/>
            <w:vAlign w:val="center"/>
            <w:hideMark/>
          </w:tcPr>
          <w:p w14:paraId="3BCC7CA6" w14:textId="77777777" w:rsidR="00A74C68" w:rsidRPr="00471CBA" w:rsidRDefault="00A74C68" w:rsidP="00A74C68">
            <w:pPr>
              <w:rPr>
                <w:b/>
                <w:bCs/>
                <w:color w:val="000000"/>
                <w:sz w:val="18"/>
                <w:szCs w:val="18"/>
                <w:lang w:eastAsia="tr-TR"/>
              </w:rPr>
            </w:pPr>
            <w:r w:rsidRPr="00471CBA">
              <w:rPr>
                <w:b/>
                <w:bCs/>
                <w:color w:val="000000"/>
                <w:sz w:val="18"/>
                <w:szCs w:val="18"/>
                <w:lang w:eastAsia="tr-TR"/>
              </w:rPr>
              <w:t>31 Aralık 2024</w:t>
            </w:r>
          </w:p>
        </w:tc>
        <w:tc>
          <w:tcPr>
            <w:tcW w:w="2258" w:type="dxa"/>
            <w:gridSpan w:val="2"/>
            <w:tcBorders>
              <w:top w:val="single" w:sz="4" w:space="0" w:color="auto"/>
              <w:bottom w:val="single" w:sz="4" w:space="0" w:color="auto"/>
            </w:tcBorders>
            <w:vAlign w:val="center"/>
            <w:hideMark/>
          </w:tcPr>
          <w:p w14:paraId="2ED6B7D5" w14:textId="77777777" w:rsidR="00A74C68" w:rsidRPr="00471CBA" w:rsidRDefault="00A74C68" w:rsidP="00A74C68">
            <w:pPr>
              <w:jc w:val="center"/>
              <w:rPr>
                <w:b/>
                <w:bCs/>
                <w:color w:val="000000"/>
                <w:sz w:val="18"/>
                <w:szCs w:val="18"/>
                <w:lang w:eastAsia="tr-TR"/>
              </w:rPr>
            </w:pPr>
            <w:r w:rsidRPr="00471CBA">
              <w:rPr>
                <w:b/>
                <w:bCs/>
                <w:color w:val="000000"/>
                <w:sz w:val="18"/>
                <w:szCs w:val="18"/>
                <w:lang w:eastAsia="tr-TR"/>
              </w:rPr>
              <w:t>Kredi dönüşüm oranı ve kredi riski azaltımından önce alacak tutarı</w:t>
            </w:r>
          </w:p>
        </w:tc>
        <w:tc>
          <w:tcPr>
            <w:tcW w:w="2257" w:type="dxa"/>
            <w:gridSpan w:val="2"/>
            <w:tcBorders>
              <w:top w:val="single" w:sz="4" w:space="0" w:color="auto"/>
              <w:bottom w:val="single" w:sz="4" w:space="0" w:color="auto"/>
            </w:tcBorders>
            <w:vAlign w:val="center"/>
            <w:hideMark/>
          </w:tcPr>
          <w:p w14:paraId="7E5743D0" w14:textId="77777777" w:rsidR="00A74C68" w:rsidRPr="00471CBA" w:rsidRDefault="00A74C68" w:rsidP="00A74C68">
            <w:pPr>
              <w:jc w:val="center"/>
              <w:rPr>
                <w:b/>
                <w:bCs/>
                <w:color w:val="000000"/>
                <w:sz w:val="18"/>
                <w:szCs w:val="18"/>
                <w:lang w:eastAsia="tr-TR"/>
              </w:rPr>
            </w:pPr>
            <w:r w:rsidRPr="00471CBA">
              <w:rPr>
                <w:b/>
                <w:bCs/>
                <w:color w:val="000000"/>
                <w:sz w:val="18"/>
                <w:szCs w:val="18"/>
                <w:lang w:eastAsia="tr-TR"/>
              </w:rPr>
              <w:t>Kredi dönüşüm oranı ve kredi riski azaltımından sonra alacak tutarı</w:t>
            </w:r>
          </w:p>
        </w:tc>
        <w:tc>
          <w:tcPr>
            <w:tcW w:w="2526" w:type="dxa"/>
            <w:gridSpan w:val="2"/>
            <w:tcBorders>
              <w:top w:val="single" w:sz="4" w:space="0" w:color="auto"/>
              <w:bottom w:val="single" w:sz="4" w:space="0" w:color="auto"/>
            </w:tcBorders>
            <w:vAlign w:val="center"/>
            <w:hideMark/>
          </w:tcPr>
          <w:p w14:paraId="74D16FCE" w14:textId="77777777" w:rsidR="00A74C68" w:rsidRPr="00471CBA" w:rsidRDefault="00A74C68" w:rsidP="00A74C68">
            <w:pPr>
              <w:jc w:val="center"/>
              <w:rPr>
                <w:b/>
                <w:bCs/>
                <w:color w:val="000000"/>
                <w:sz w:val="18"/>
                <w:szCs w:val="18"/>
                <w:lang w:eastAsia="tr-TR"/>
              </w:rPr>
            </w:pPr>
            <w:r w:rsidRPr="00471CBA">
              <w:rPr>
                <w:b/>
                <w:bCs/>
                <w:color w:val="000000"/>
                <w:sz w:val="18"/>
                <w:szCs w:val="18"/>
                <w:lang w:eastAsia="tr-TR"/>
              </w:rPr>
              <w:t>Risk ağırlıklı tutar ve risk ağırlıklı tutar yoğunluğu</w:t>
            </w:r>
          </w:p>
        </w:tc>
      </w:tr>
      <w:tr w:rsidR="00A74C68" w:rsidRPr="00471CBA" w14:paraId="086A614C" w14:textId="77777777" w:rsidTr="00A74C68">
        <w:trPr>
          <w:divId w:val="1829205549"/>
          <w:trHeight w:val="255"/>
        </w:trPr>
        <w:tc>
          <w:tcPr>
            <w:tcW w:w="320" w:type="dxa"/>
            <w:tcBorders>
              <w:top w:val="single" w:sz="4" w:space="0" w:color="auto"/>
              <w:bottom w:val="single" w:sz="4" w:space="0" w:color="auto"/>
            </w:tcBorders>
            <w:noWrap/>
            <w:vAlign w:val="bottom"/>
            <w:hideMark/>
          </w:tcPr>
          <w:p w14:paraId="248A063F" w14:textId="77777777" w:rsidR="00A74C68" w:rsidRPr="00471CBA" w:rsidRDefault="00A74C68" w:rsidP="00A74C68">
            <w:pPr>
              <w:rPr>
                <w:b/>
                <w:bCs/>
                <w:color w:val="000000"/>
                <w:sz w:val="18"/>
                <w:szCs w:val="18"/>
                <w:lang w:eastAsia="tr-TR"/>
              </w:rPr>
            </w:pPr>
            <w:r w:rsidRPr="00471CBA">
              <w:rPr>
                <w:b/>
                <w:bCs/>
                <w:color w:val="000000"/>
                <w:sz w:val="18"/>
                <w:szCs w:val="18"/>
                <w:lang w:eastAsia="tr-TR"/>
              </w:rPr>
              <w:t> </w:t>
            </w:r>
          </w:p>
        </w:tc>
        <w:tc>
          <w:tcPr>
            <w:tcW w:w="2232" w:type="dxa"/>
            <w:tcBorders>
              <w:top w:val="single" w:sz="4" w:space="0" w:color="auto"/>
              <w:bottom w:val="single" w:sz="4" w:space="0" w:color="auto"/>
            </w:tcBorders>
            <w:vAlign w:val="bottom"/>
            <w:hideMark/>
          </w:tcPr>
          <w:p w14:paraId="5E1E59C7" w14:textId="77777777" w:rsidR="00A74C68" w:rsidRPr="00471CBA" w:rsidRDefault="00A74C68" w:rsidP="00A74C68">
            <w:pPr>
              <w:rPr>
                <w:b/>
                <w:bCs/>
                <w:color w:val="000000"/>
                <w:sz w:val="18"/>
                <w:szCs w:val="18"/>
                <w:lang w:eastAsia="tr-TR"/>
              </w:rPr>
            </w:pPr>
            <w:r w:rsidRPr="00471CBA">
              <w:rPr>
                <w:b/>
                <w:bCs/>
                <w:color w:val="000000"/>
                <w:sz w:val="18"/>
                <w:szCs w:val="18"/>
                <w:lang w:eastAsia="tr-TR"/>
              </w:rPr>
              <w:t>Risk sınıfları</w:t>
            </w:r>
          </w:p>
        </w:tc>
        <w:tc>
          <w:tcPr>
            <w:tcW w:w="1129" w:type="dxa"/>
            <w:tcBorders>
              <w:top w:val="single" w:sz="4" w:space="0" w:color="auto"/>
              <w:bottom w:val="single" w:sz="4" w:space="0" w:color="auto"/>
            </w:tcBorders>
            <w:vAlign w:val="bottom"/>
            <w:hideMark/>
          </w:tcPr>
          <w:p w14:paraId="4D671EA7" w14:textId="77777777" w:rsidR="00A74C68" w:rsidRPr="00471CBA" w:rsidRDefault="00A74C68" w:rsidP="00A74C68">
            <w:pPr>
              <w:jc w:val="right"/>
              <w:rPr>
                <w:b/>
                <w:bCs/>
                <w:color w:val="000000"/>
                <w:sz w:val="18"/>
                <w:szCs w:val="18"/>
                <w:lang w:eastAsia="tr-TR"/>
              </w:rPr>
            </w:pPr>
            <w:r w:rsidRPr="00471CBA">
              <w:rPr>
                <w:b/>
                <w:bCs/>
                <w:color w:val="000000"/>
                <w:sz w:val="18"/>
                <w:szCs w:val="18"/>
                <w:lang w:eastAsia="tr-TR"/>
              </w:rPr>
              <w:t>Bilanço içi tutar</w:t>
            </w:r>
          </w:p>
        </w:tc>
        <w:tc>
          <w:tcPr>
            <w:tcW w:w="1129" w:type="dxa"/>
            <w:tcBorders>
              <w:top w:val="single" w:sz="4" w:space="0" w:color="auto"/>
              <w:bottom w:val="single" w:sz="4" w:space="0" w:color="auto"/>
            </w:tcBorders>
            <w:vAlign w:val="bottom"/>
            <w:hideMark/>
          </w:tcPr>
          <w:p w14:paraId="080FD413" w14:textId="77777777" w:rsidR="00A74C68" w:rsidRPr="00471CBA" w:rsidRDefault="00A74C68" w:rsidP="00A74C68">
            <w:pPr>
              <w:jc w:val="right"/>
              <w:rPr>
                <w:b/>
                <w:bCs/>
                <w:color w:val="000000"/>
                <w:sz w:val="18"/>
                <w:szCs w:val="18"/>
                <w:lang w:eastAsia="tr-TR"/>
              </w:rPr>
            </w:pPr>
            <w:r w:rsidRPr="00471CBA">
              <w:rPr>
                <w:b/>
                <w:bCs/>
                <w:color w:val="000000"/>
                <w:sz w:val="18"/>
                <w:szCs w:val="18"/>
                <w:lang w:eastAsia="tr-TR"/>
              </w:rPr>
              <w:t>Bilanço dışı tutar</w:t>
            </w:r>
          </w:p>
        </w:tc>
        <w:tc>
          <w:tcPr>
            <w:tcW w:w="1130" w:type="dxa"/>
            <w:tcBorders>
              <w:top w:val="single" w:sz="4" w:space="0" w:color="auto"/>
              <w:bottom w:val="single" w:sz="4" w:space="0" w:color="auto"/>
            </w:tcBorders>
            <w:vAlign w:val="bottom"/>
            <w:hideMark/>
          </w:tcPr>
          <w:p w14:paraId="6247837D" w14:textId="77777777" w:rsidR="00A74C68" w:rsidRPr="00471CBA" w:rsidRDefault="00A74C68" w:rsidP="00A74C68">
            <w:pPr>
              <w:jc w:val="right"/>
              <w:rPr>
                <w:b/>
                <w:bCs/>
                <w:color w:val="000000"/>
                <w:sz w:val="18"/>
                <w:szCs w:val="18"/>
                <w:lang w:eastAsia="tr-TR"/>
              </w:rPr>
            </w:pPr>
            <w:r w:rsidRPr="00471CBA">
              <w:rPr>
                <w:b/>
                <w:bCs/>
                <w:color w:val="000000"/>
                <w:sz w:val="18"/>
                <w:szCs w:val="18"/>
                <w:lang w:eastAsia="tr-TR"/>
              </w:rPr>
              <w:t>Bilanço içi tutar</w:t>
            </w:r>
          </w:p>
        </w:tc>
        <w:tc>
          <w:tcPr>
            <w:tcW w:w="1127" w:type="dxa"/>
            <w:tcBorders>
              <w:top w:val="single" w:sz="4" w:space="0" w:color="auto"/>
              <w:bottom w:val="single" w:sz="4" w:space="0" w:color="auto"/>
            </w:tcBorders>
            <w:vAlign w:val="bottom"/>
            <w:hideMark/>
          </w:tcPr>
          <w:p w14:paraId="6C8C4127" w14:textId="77777777" w:rsidR="00A74C68" w:rsidRPr="00471CBA" w:rsidRDefault="00A74C68" w:rsidP="00A74C68">
            <w:pPr>
              <w:jc w:val="right"/>
              <w:rPr>
                <w:b/>
                <w:bCs/>
                <w:color w:val="000000"/>
                <w:sz w:val="18"/>
                <w:szCs w:val="18"/>
                <w:lang w:eastAsia="tr-TR"/>
              </w:rPr>
            </w:pPr>
            <w:r w:rsidRPr="00471CBA">
              <w:rPr>
                <w:b/>
                <w:bCs/>
                <w:color w:val="000000"/>
                <w:sz w:val="18"/>
                <w:szCs w:val="18"/>
                <w:lang w:eastAsia="tr-TR"/>
              </w:rPr>
              <w:t>Bilanço dışı tutar</w:t>
            </w:r>
          </w:p>
        </w:tc>
        <w:tc>
          <w:tcPr>
            <w:tcW w:w="1261" w:type="dxa"/>
            <w:tcBorders>
              <w:top w:val="single" w:sz="4" w:space="0" w:color="auto"/>
              <w:bottom w:val="single" w:sz="4" w:space="0" w:color="auto"/>
            </w:tcBorders>
            <w:vAlign w:val="bottom"/>
            <w:hideMark/>
          </w:tcPr>
          <w:p w14:paraId="5BAC60D7" w14:textId="77777777" w:rsidR="00A74C68" w:rsidRPr="00471CBA" w:rsidRDefault="00A74C68" w:rsidP="00A74C68">
            <w:pPr>
              <w:jc w:val="right"/>
              <w:rPr>
                <w:b/>
                <w:bCs/>
                <w:color w:val="000000"/>
                <w:sz w:val="18"/>
                <w:szCs w:val="18"/>
                <w:lang w:eastAsia="tr-TR"/>
              </w:rPr>
            </w:pPr>
            <w:r w:rsidRPr="00471CBA">
              <w:rPr>
                <w:b/>
                <w:bCs/>
                <w:color w:val="000000"/>
                <w:sz w:val="18"/>
                <w:szCs w:val="18"/>
                <w:lang w:eastAsia="tr-TR"/>
              </w:rPr>
              <w:t>Risk ağırlıklı tutar</w:t>
            </w:r>
          </w:p>
        </w:tc>
        <w:tc>
          <w:tcPr>
            <w:tcW w:w="1265" w:type="dxa"/>
            <w:tcBorders>
              <w:top w:val="single" w:sz="4" w:space="0" w:color="auto"/>
              <w:bottom w:val="single" w:sz="4" w:space="0" w:color="auto"/>
            </w:tcBorders>
            <w:vAlign w:val="bottom"/>
            <w:hideMark/>
          </w:tcPr>
          <w:p w14:paraId="7F0BF2B1" w14:textId="77777777" w:rsidR="00A74C68" w:rsidRPr="00471CBA" w:rsidRDefault="00A74C68" w:rsidP="00A74C68">
            <w:pPr>
              <w:jc w:val="right"/>
              <w:rPr>
                <w:b/>
                <w:bCs/>
                <w:color w:val="000000"/>
                <w:sz w:val="18"/>
                <w:szCs w:val="18"/>
                <w:lang w:eastAsia="tr-TR"/>
              </w:rPr>
            </w:pPr>
            <w:r w:rsidRPr="00471CBA">
              <w:rPr>
                <w:b/>
                <w:bCs/>
                <w:color w:val="000000"/>
                <w:sz w:val="18"/>
                <w:szCs w:val="18"/>
                <w:lang w:eastAsia="tr-TR"/>
              </w:rPr>
              <w:t>Risk ağırlıklı tutar yoğunluğu</w:t>
            </w:r>
          </w:p>
        </w:tc>
      </w:tr>
      <w:tr w:rsidR="00A74C68" w:rsidRPr="00471CBA" w14:paraId="649FF18E" w14:textId="77777777" w:rsidTr="00A74C68">
        <w:trPr>
          <w:divId w:val="1829205549"/>
          <w:trHeight w:val="255"/>
        </w:trPr>
        <w:tc>
          <w:tcPr>
            <w:tcW w:w="320" w:type="dxa"/>
            <w:tcBorders>
              <w:top w:val="single" w:sz="4" w:space="0" w:color="auto"/>
            </w:tcBorders>
            <w:noWrap/>
            <w:hideMark/>
          </w:tcPr>
          <w:p w14:paraId="742350C9" w14:textId="77777777" w:rsidR="00A74C68" w:rsidRPr="00471CBA" w:rsidRDefault="00A74C68" w:rsidP="00A74C68">
            <w:pPr>
              <w:rPr>
                <w:color w:val="000000"/>
                <w:sz w:val="18"/>
                <w:szCs w:val="18"/>
                <w:lang w:eastAsia="tr-TR"/>
              </w:rPr>
            </w:pPr>
            <w:r w:rsidRPr="00471CBA">
              <w:rPr>
                <w:color w:val="000000"/>
                <w:sz w:val="18"/>
                <w:szCs w:val="18"/>
                <w:lang w:eastAsia="tr-TR"/>
              </w:rPr>
              <w:t>1</w:t>
            </w:r>
          </w:p>
        </w:tc>
        <w:tc>
          <w:tcPr>
            <w:tcW w:w="2232" w:type="dxa"/>
            <w:tcBorders>
              <w:top w:val="single" w:sz="4" w:space="0" w:color="auto"/>
            </w:tcBorders>
            <w:noWrap/>
            <w:hideMark/>
          </w:tcPr>
          <w:p w14:paraId="09DF275C" w14:textId="77777777" w:rsidR="00A74C68" w:rsidRPr="00471CBA" w:rsidRDefault="00A74C68" w:rsidP="00A74C68">
            <w:pPr>
              <w:rPr>
                <w:color w:val="000000"/>
                <w:sz w:val="18"/>
                <w:szCs w:val="18"/>
                <w:lang w:eastAsia="tr-TR"/>
              </w:rPr>
            </w:pPr>
            <w:r w:rsidRPr="00471CBA">
              <w:rPr>
                <w:color w:val="000000"/>
                <w:sz w:val="18"/>
                <w:szCs w:val="18"/>
                <w:lang w:eastAsia="tr-TR"/>
              </w:rPr>
              <w:t>Merkezi yönetimlerden veya merkez bankalarından alacaklar</w:t>
            </w:r>
          </w:p>
        </w:tc>
        <w:tc>
          <w:tcPr>
            <w:tcW w:w="1129" w:type="dxa"/>
            <w:tcBorders>
              <w:top w:val="single" w:sz="4" w:space="0" w:color="auto"/>
            </w:tcBorders>
            <w:vAlign w:val="bottom"/>
            <w:hideMark/>
          </w:tcPr>
          <w:p w14:paraId="50F59D1B" w14:textId="77777777" w:rsidR="00A74C68" w:rsidRPr="00471CBA" w:rsidRDefault="00A74C68" w:rsidP="00A74C68">
            <w:pPr>
              <w:jc w:val="right"/>
              <w:rPr>
                <w:color w:val="000000"/>
                <w:sz w:val="18"/>
                <w:szCs w:val="18"/>
                <w:lang w:eastAsia="tr-TR"/>
              </w:rPr>
            </w:pPr>
            <w:r w:rsidRPr="00471CBA">
              <w:rPr>
                <w:sz w:val="18"/>
                <w:szCs w:val="18"/>
              </w:rPr>
              <w:t>4.830.858</w:t>
            </w:r>
          </w:p>
        </w:tc>
        <w:tc>
          <w:tcPr>
            <w:tcW w:w="1129" w:type="dxa"/>
            <w:tcBorders>
              <w:top w:val="single" w:sz="4" w:space="0" w:color="auto"/>
            </w:tcBorders>
            <w:vAlign w:val="bottom"/>
            <w:hideMark/>
          </w:tcPr>
          <w:p w14:paraId="799906D9" w14:textId="77777777" w:rsidR="00A74C68" w:rsidRPr="00471CBA" w:rsidRDefault="00A74C68" w:rsidP="00A74C68">
            <w:pPr>
              <w:jc w:val="right"/>
              <w:rPr>
                <w:color w:val="000000"/>
                <w:sz w:val="18"/>
                <w:szCs w:val="18"/>
                <w:lang w:eastAsia="tr-TR"/>
              </w:rPr>
            </w:pPr>
            <w:r w:rsidRPr="00471CBA">
              <w:rPr>
                <w:sz w:val="18"/>
                <w:szCs w:val="18"/>
              </w:rPr>
              <w:t>-</w:t>
            </w:r>
          </w:p>
        </w:tc>
        <w:tc>
          <w:tcPr>
            <w:tcW w:w="1130" w:type="dxa"/>
            <w:tcBorders>
              <w:top w:val="single" w:sz="4" w:space="0" w:color="auto"/>
            </w:tcBorders>
            <w:vAlign w:val="bottom"/>
            <w:hideMark/>
          </w:tcPr>
          <w:p w14:paraId="7EA89E33" w14:textId="77777777" w:rsidR="00A74C68" w:rsidRPr="00471CBA" w:rsidRDefault="00A74C68" w:rsidP="00A74C68">
            <w:pPr>
              <w:jc w:val="right"/>
              <w:rPr>
                <w:color w:val="000000"/>
                <w:sz w:val="18"/>
                <w:szCs w:val="18"/>
                <w:lang w:eastAsia="tr-TR"/>
              </w:rPr>
            </w:pPr>
            <w:r w:rsidRPr="00471CBA">
              <w:rPr>
                <w:sz w:val="18"/>
                <w:szCs w:val="18"/>
              </w:rPr>
              <w:t>4.830.858</w:t>
            </w:r>
          </w:p>
        </w:tc>
        <w:tc>
          <w:tcPr>
            <w:tcW w:w="1127" w:type="dxa"/>
            <w:tcBorders>
              <w:top w:val="single" w:sz="4" w:space="0" w:color="auto"/>
            </w:tcBorders>
            <w:vAlign w:val="bottom"/>
            <w:hideMark/>
          </w:tcPr>
          <w:p w14:paraId="25CA15F9" w14:textId="77777777" w:rsidR="00A74C68" w:rsidRPr="00471CBA" w:rsidRDefault="00A74C68" w:rsidP="00A74C68">
            <w:pPr>
              <w:jc w:val="right"/>
              <w:rPr>
                <w:color w:val="000000"/>
                <w:sz w:val="18"/>
                <w:szCs w:val="18"/>
                <w:lang w:eastAsia="tr-TR"/>
              </w:rPr>
            </w:pPr>
            <w:r w:rsidRPr="00471CBA">
              <w:rPr>
                <w:sz w:val="18"/>
                <w:szCs w:val="18"/>
              </w:rPr>
              <w:t>-</w:t>
            </w:r>
          </w:p>
        </w:tc>
        <w:tc>
          <w:tcPr>
            <w:tcW w:w="1261" w:type="dxa"/>
            <w:tcBorders>
              <w:top w:val="single" w:sz="4" w:space="0" w:color="auto"/>
            </w:tcBorders>
            <w:vAlign w:val="bottom"/>
            <w:hideMark/>
          </w:tcPr>
          <w:p w14:paraId="54B9A648" w14:textId="77777777" w:rsidR="00A74C68" w:rsidRPr="00471CBA" w:rsidRDefault="00A74C68" w:rsidP="00A74C68">
            <w:pPr>
              <w:jc w:val="right"/>
              <w:rPr>
                <w:color w:val="000000"/>
                <w:sz w:val="18"/>
                <w:szCs w:val="18"/>
                <w:lang w:eastAsia="tr-TR"/>
              </w:rPr>
            </w:pPr>
            <w:r w:rsidRPr="00471CBA">
              <w:rPr>
                <w:sz w:val="18"/>
                <w:szCs w:val="18"/>
              </w:rPr>
              <w:t>-</w:t>
            </w:r>
          </w:p>
        </w:tc>
        <w:tc>
          <w:tcPr>
            <w:tcW w:w="1265" w:type="dxa"/>
            <w:tcBorders>
              <w:top w:val="single" w:sz="4" w:space="0" w:color="auto"/>
            </w:tcBorders>
            <w:vAlign w:val="bottom"/>
            <w:hideMark/>
          </w:tcPr>
          <w:p w14:paraId="712CF42A" w14:textId="77777777" w:rsidR="00A74C68" w:rsidRPr="00471CBA" w:rsidRDefault="00A74C68" w:rsidP="00A74C68">
            <w:pPr>
              <w:jc w:val="right"/>
              <w:rPr>
                <w:color w:val="000000"/>
                <w:sz w:val="18"/>
                <w:szCs w:val="18"/>
                <w:lang w:eastAsia="tr-TR"/>
              </w:rPr>
            </w:pPr>
            <w:r w:rsidRPr="00471CBA">
              <w:rPr>
                <w:sz w:val="18"/>
                <w:szCs w:val="18"/>
              </w:rPr>
              <w:t>%0,00</w:t>
            </w:r>
          </w:p>
        </w:tc>
      </w:tr>
      <w:tr w:rsidR="00A74C68" w:rsidRPr="00471CBA" w14:paraId="4264AEAE" w14:textId="77777777" w:rsidTr="00A74C68">
        <w:trPr>
          <w:divId w:val="1829205549"/>
          <w:trHeight w:val="255"/>
        </w:trPr>
        <w:tc>
          <w:tcPr>
            <w:tcW w:w="320" w:type="dxa"/>
            <w:noWrap/>
            <w:hideMark/>
          </w:tcPr>
          <w:p w14:paraId="6702CFFE" w14:textId="77777777" w:rsidR="00A74C68" w:rsidRPr="00471CBA" w:rsidRDefault="00A74C68" w:rsidP="00A74C68">
            <w:pPr>
              <w:rPr>
                <w:color w:val="000000"/>
                <w:sz w:val="18"/>
                <w:szCs w:val="18"/>
                <w:lang w:eastAsia="tr-TR"/>
              </w:rPr>
            </w:pPr>
            <w:r w:rsidRPr="00471CBA">
              <w:rPr>
                <w:color w:val="000000"/>
                <w:sz w:val="18"/>
                <w:szCs w:val="18"/>
                <w:lang w:eastAsia="tr-TR"/>
              </w:rPr>
              <w:t>2</w:t>
            </w:r>
          </w:p>
        </w:tc>
        <w:tc>
          <w:tcPr>
            <w:tcW w:w="2232" w:type="dxa"/>
            <w:noWrap/>
            <w:hideMark/>
          </w:tcPr>
          <w:p w14:paraId="71F22354" w14:textId="77777777" w:rsidR="00A74C68" w:rsidRPr="00471CBA" w:rsidRDefault="00A74C68" w:rsidP="00A74C68">
            <w:pPr>
              <w:rPr>
                <w:color w:val="000000"/>
                <w:sz w:val="18"/>
                <w:szCs w:val="18"/>
                <w:lang w:eastAsia="tr-TR"/>
              </w:rPr>
            </w:pPr>
            <w:r w:rsidRPr="00471CBA">
              <w:rPr>
                <w:color w:val="000000"/>
                <w:sz w:val="18"/>
                <w:szCs w:val="18"/>
                <w:lang w:eastAsia="tr-TR"/>
              </w:rPr>
              <w:t>Bölgesel yönetimlerden veya yerel yönetimlerden alacaklar</w:t>
            </w:r>
          </w:p>
        </w:tc>
        <w:tc>
          <w:tcPr>
            <w:tcW w:w="1129" w:type="dxa"/>
            <w:vAlign w:val="bottom"/>
            <w:hideMark/>
          </w:tcPr>
          <w:p w14:paraId="71424878" w14:textId="77777777" w:rsidR="00A74C68" w:rsidRPr="00471CBA" w:rsidRDefault="00A74C68" w:rsidP="00A74C68">
            <w:pPr>
              <w:jc w:val="right"/>
              <w:rPr>
                <w:color w:val="000000"/>
                <w:sz w:val="18"/>
                <w:szCs w:val="18"/>
                <w:lang w:eastAsia="tr-TR"/>
              </w:rPr>
            </w:pPr>
            <w:r w:rsidRPr="00471CBA">
              <w:rPr>
                <w:sz w:val="18"/>
                <w:szCs w:val="18"/>
              </w:rPr>
              <w:t>-</w:t>
            </w:r>
          </w:p>
        </w:tc>
        <w:tc>
          <w:tcPr>
            <w:tcW w:w="1129" w:type="dxa"/>
            <w:vAlign w:val="bottom"/>
            <w:hideMark/>
          </w:tcPr>
          <w:p w14:paraId="16E326A5" w14:textId="77777777" w:rsidR="00A74C68" w:rsidRPr="00471CBA" w:rsidRDefault="00A74C68" w:rsidP="00A74C68">
            <w:pPr>
              <w:jc w:val="right"/>
              <w:rPr>
                <w:color w:val="000000"/>
                <w:sz w:val="18"/>
                <w:szCs w:val="18"/>
                <w:lang w:eastAsia="tr-TR"/>
              </w:rPr>
            </w:pPr>
            <w:r w:rsidRPr="00471CBA">
              <w:rPr>
                <w:sz w:val="18"/>
                <w:szCs w:val="18"/>
              </w:rPr>
              <w:t>-</w:t>
            </w:r>
          </w:p>
        </w:tc>
        <w:tc>
          <w:tcPr>
            <w:tcW w:w="1130" w:type="dxa"/>
            <w:vAlign w:val="bottom"/>
            <w:hideMark/>
          </w:tcPr>
          <w:p w14:paraId="234E55F2" w14:textId="77777777" w:rsidR="00A74C68" w:rsidRPr="00471CBA" w:rsidRDefault="00A74C68" w:rsidP="00A74C68">
            <w:pPr>
              <w:jc w:val="right"/>
              <w:rPr>
                <w:color w:val="000000"/>
                <w:sz w:val="18"/>
                <w:szCs w:val="18"/>
                <w:lang w:eastAsia="tr-TR"/>
              </w:rPr>
            </w:pPr>
            <w:r w:rsidRPr="00471CBA">
              <w:rPr>
                <w:sz w:val="18"/>
                <w:szCs w:val="18"/>
              </w:rPr>
              <w:t>-</w:t>
            </w:r>
          </w:p>
        </w:tc>
        <w:tc>
          <w:tcPr>
            <w:tcW w:w="1127" w:type="dxa"/>
            <w:vAlign w:val="bottom"/>
            <w:hideMark/>
          </w:tcPr>
          <w:p w14:paraId="0F43DBC4" w14:textId="77777777" w:rsidR="00A74C68" w:rsidRPr="00471CBA" w:rsidRDefault="00A74C68" w:rsidP="00A74C68">
            <w:pPr>
              <w:jc w:val="right"/>
              <w:rPr>
                <w:color w:val="000000"/>
                <w:sz w:val="18"/>
                <w:szCs w:val="18"/>
                <w:lang w:eastAsia="tr-TR"/>
              </w:rPr>
            </w:pPr>
            <w:r w:rsidRPr="00471CBA">
              <w:rPr>
                <w:sz w:val="18"/>
                <w:szCs w:val="18"/>
              </w:rPr>
              <w:t>-</w:t>
            </w:r>
          </w:p>
        </w:tc>
        <w:tc>
          <w:tcPr>
            <w:tcW w:w="1261" w:type="dxa"/>
            <w:vAlign w:val="bottom"/>
            <w:hideMark/>
          </w:tcPr>
          <w:p w14:paraId="3952A02E" w14:textId="77777777" w:rsidR="00A74C68" w:rsidRPr="00471CBA" w:rsidRDefault="00A74C68" w:rsidP="00A74C68">
            <w:pPr>
              <w:jc w:val="right"/>
              <w:rPr>
                <w:color w:val="000000"/>
                <w:sz w:val="18"/>
                <w:szCs w:val="18"/>
                <w:lang w:eastAsia="tr-TR"/>
              </w:rPr>
            </w:pPr>
            <w:r w:rsidRPr="00471CBA">
              <w:rPr>
                <w:sz w:val="18"/>
                <w:szCs w:val="18"/>
              </w:rPr>
              <w:t>-</w:t>
            </w:r>
          </w:p>
        </w:tc>
        <w:tc>
          <w:tcPr>
            <w:tcW w:w="1265" w:type="dxa"/>
            <w:vAlign w:val="bottom"/>
            <w:hideMark/>
          </w:tcPr>
          <w:p w14:paraId="31D7E478" w14:textId="77777777" w:rsidR="00A74C68" w:rsidRPr="00471CBA" w:rsidRDefault="00A74C68" w:rsidP="00A74C68">
            <w:pPr>
              <w:jc w:val="right"/>
              <w:rPr>
                <w:color w:val="000000"/>
                <w:sz w:val="18"/>
                <w:szCs w:val="18"/>
                <w:lang w:eastAsia="tr-TR"/>
              </w:rPr>
            </w:pPr>
            <w:r w:rsidRPr="00471CBA">
              <w:rPr>
                <w:sz w:val="18"/>
                <w:szCs w:val="18"/>
              </w:rPr>
              <w:t>%0,00</w:t>
            </w:r>
          </w:p>
        </w:tc>
      </w:tr>
      <w:tr w:rsidR="00A74C68" w:rsidRPr="00471CBA" w14:paraId="3DFDE127" w14:textId="77777777" w:rsidTr="00A74C68">
        <w:trPr>
          <w:divId w:val="1829205549"/>
          <w:trHeight w:val="255"/>
        </w:trPr>
        <w:tc>
          <w:tcPr>
            <w:tcW w:w="320" w:type="dxa"/>
            <w:noWrap/>
            <w:hideMark/>
          </w:tcPr>
          <w:p w14:paraId="2B8E0FF2" w14:textId="77777777" w:rsidR="00A74C68" w:rsidRPr="00471CBA" w:rsidRDefault="00A74C68" w:rsidP="00A74C68">
            <w:pPr>
              <w:rPr>
                <w:color w:val="000000"/>
                <w:sz w:val="18"/>
                <w:szCs w:val="18"/>
                <w:lang w:eastAsia="tr-TR"/>
              </w:rPr>
            </w:pPr>
            <w:r w:rsidRPr="00471CBA">
              <w:rPr>
                <w:color w:val="000000"/>
                <w:sz w:val="18"/>
                <w:szCs w:val="18"/>
                <w:lang w:eastAsia="tr-TR"/>
              </w:rPr>
              <w:t>3</w:t>
            </w:r>
          </w:p>
        </w:tc>
        <w:tc>
          <w:tcPr>
            <w:tcW w:w="2232" w:type="dxa"/>
            <w:noWrap/>
            <w:hideMark/>
          </w:tcPr>
          <w:p w14:paraId="04067C60" w14:textId="77777777" w:rsidR="00A74C68" w:rsidRPr="00471CBA" w:rsidRDefault="00A74C68" w:rsidP="00A74C68">
            <w:pPr>
              <w:rPr>
                <w:color w:val="000000"/>
                <w:sz w:val="18"/>
                <w:szCs w:val="18"/>
                <w:lang w:eastAsia="tr-TR"/>
              </w:rPr>
            </w:pPr>
            <w:r w:rsidRPr="00471CBA">
              <w:rPr>
                <w:color w:val="000000"/>
                <w:sz w:val="18"/>
                <w:szCs w:val="18"/>
                <w:lang w:eastAsia="tr-TR"/>
              </w:rPr>
              <w:t>İdari birimlerden ve ticari olmayan girişimlerden alacaklar</w:t>
            </w:r>
          </w:p>
        </w:tc>
        <w:tc>
          <w:tcPr>
            <w:tcW w:w="1129" w:type="dxa"/>
            <w:vAlign w:val="bottom"/>
            <w:hideMark/>
          </w:tcPr>
          <w:p w14:paraId="07DE30F7" w14:textId="77777777" w:rsidR="00A74C68" w:rsidRPr="00471CBA" w:rsidRDefault="00A74C68" w:rsidP="00A74C68">
            <w:pPr>
              <w:jc w:val="right"/>
              <w:rPr>
                <w:color w:val="000000"/>
                <w:sz w:val="18"/>
                <w:szCs w:val="18"/>
                <w:lang w:eastAsia="tr-TR"/>
              </w:rPr>
            </w:pPr>
            <w:r w:rsidRPr="00471CBA">
              <w:rPr>
                <w:sz w:val="18"/>
                <w:szCs w:val="18"/>
              </w:rPr>
              <w:t>-</w:t>
            </w:r>
          </w:p>
        </w:tc>
        <w:tc>
          <w:tcPr>
            <w:tcW w:w="1129" w:type="dxa"/>
            <w:vAlign w:val="bottom"/>
            <w:hideMark/>
          </w:tcPr>
          <w:p w14:paraId="72092F25" w14:textId="77777777" w:rsidR="00A74C68" w:rsidRPr="00471CBA" w:rsidRDefault="00A74C68" w:rsidP="00A74C68">
            <w:pPr>
              <w:jc w:val="right"/>
              <w:rPr>
                <w:color w:val="000000"/>
                <w:sz w:val="18"/>
                <w:szCs w:val="18"/>
                <w:lang w:eastAsia="tr-TR"/>
              </w:rPr>
            </w:pPr>
            <w:r w:rsidRPr="00471CBA">
              <w:rPr>
                <w:sz w:val="18"/>
                <w:szCs w:val="18"/>
              </w:rPr>
              <w:t>-</w:t>
            </w:r>
          </w:p>
        </w:tc>
        <w:tc>
          <w:tcPr>
            <w:tcW w:w="1130" w:type="dxa"/>
            <w:vAlign w:val="bottom"/>
            <w:hideMark/>
          </w:tcPr>
          <w:p w14:paraId="6562A037" w14:textId="77777777" w:rsidR="00A74C68" w:rsidRPr="00471CBA" w:rsidRDefault="00A74C68" w:rsidP="00A74C68">
            <w:pPr>
              <w:jc w:val="right"/>
              <w:rPr>
                <w:color w:val="000000"/>
                <w:sz w:val="18"/>
                <w:szCs w:val="18"/>
                <w:lang w:eastAsia="tr-TR"/>
              </w:rPr>
            </w:pPr>
            <w:r w:rsidRPr="00471CBA">
              <w:rPr>
                <w:sz w:val="18"/>
                <w:szCs w:val="18"/>
              </w:rPr>
              <w:t>-</w:t>
            </w:r>
          </w:p>
        </w:tc>
        <w:tc>
          <w:tcPr>
            <w:tcW w:w="1127" w:type="dxa"/>
            <w:vAlign w:val="bottom"/>
            <w:hideMark/>
          </w:tcPr>
          <w:p w14:paraId="13A94EE7" w14:textId="77777777" w:rsidR="00A74C68" w:rsidRPr="00471CBA" w:rsidRDefault="00A74C68" w:rsidP="00A74C68">
            <w:pPr>
              <w:jc w:val="right"/>
              <w:rPr>
                <w:color w:val="000000"/>
                <w:sz w:val="18"/>
                <w:szCs w:val="18"/>
                <w:lang w:eastAsia="tr-TR"/>
              </w:rPr>
            </w:pPr>
            <w:r w:rsidRPr="00471CBA">
              <w:rPr>
                <w:sz w:val="18"/>
                <w:szCs w:val="18"/>
              </w:rPr>
              <w:t>-</w:t>
            </w:r>
          </w:p>
        </w:tc>
        <w:tc>
          <w:tcPr>
            <w:tcW w:w="1261" w:type="dxa"/>
            <w:vAlign w:val="bottom"/>
            <w:hideMark/>
          </w:tcPr>
          <w:p w14:paraId="61449D20" w14:textId="77777777" w:rsidR="00A74C68" w:rsidRPr="00471CBA" w:rsidRDefault="00A74C68" w:rsidP="00A74C68">
            <w:pPr>
              <w:jc w:val="right"/>
              <w:rPr>
                <w:color w:val="000000"/>
                <w:sz w:val="18"/>
                <w:szCs w:val="18"/>
                <w:lang w:eastAsia="tr-TR"/>
              </w:rPr>
            </w:pPr>
            <w:r w:rsidRPr="00471CBA">
              <w:rPr>
                <w:sz w:val="18"/>
                <w:szCs w:val="18"/>
              </w:rPr>
              <w:t>-</w:t>
            </w:r>
          </w:p>
        </w:tc>
        <w:tc>
          <w:tcPr>
            <w:tcW w:w="1265" w:type="dxa"/>
            <w:vAlign w:val="bottom"/>
            <w:hideMark/>
          </w:tcPr>
          <w:p w14:paraId="204CD115" w14:textId="77777777" w:rsidR="00A74C68" w:rsidRPr="00471CBA" w:rsidRDefault="00A74C68" w:rsidP="00A74C68">
            <w:pPr>
              <w:jc w:val="right"/>
              <w:rPr>
                <w:color w:val="000000"/>
                <w:sz w:val="18"/>
                <w:szCs w:val="18"/>
                <w:lang w:eastAsia="tr-TR"/>
              </w:rPr>
            </w:pPr>
            <w:r w:rsidRPr="00471CBA">
              <w:rPr>
                <w:sz w:val="18"/>
                <w:szCs w:val="18"/>
              </w:rPr>
              <w:t>%0,00</w:t>
            </w:r>
          </w:p>
        </w:tc>
      </w:tr>
      <w:tr w:rsidR="00A74C68" w:rsidRPr="00471CBA" w14:paraId="46C4AC13" w14:textId="77777777" w:rsidTr="00A74C68">
        <w:trPr>
          <w:divId w:val="1829205549"/>
          <w:trHeight w:val="255"/>
        </w:trPr>
        <w:tc>
          <w:tcPr>
            <w:tcW w:w="320" w:type="dxa"/>
            <w:noWrap/>
            <w:hideMark/>
          </w:tcPr>
          <w:p w14:paraId="4FB37CCB" w14:textId="77777777" w:rsidR="00A74C68" w:rsidRPr="00471CBA" w:rsidRDefault="00A74C68" w:rsidP="00A74C68">
            <w:pPr>
              <w:rPr>
                <w:color w:val="000000"/>
                <w:sz w:val="18"/>
                <w:szCs w:val="18"/>
                <w:lang w:eastAsia="tr-TR"/>
              </w:rPr>
            </w:pPr>
            <w:r w:rsidRPr="00471CBA">
              <w:rPr>
                <w:color w:val="000000"/>
                <w:sz w:val="18"/>
                <w:szCs w:val="18"/>
                <w:lang w:eastAsia="tr-TR"/>
              </w:rPr>
              <w:t>4</w:t>
            </w:r>
          </w:p>
        </w:tc>
        <w:tc>
          <w:tcPr>
            <w:tcW w:w="2232" w:type="dxa"/>
            <w:noWrap/>
            <w:hideMark/>
          </w:tcPr>
          <w:p w14:paraId="33C7599A" w14:textId="77777777" w:rsidR="00A74C68" w:rsidRPr="00471CBA" w:rsidRDefault="00A74C68" w:rsidP="00A74C68">
            <w:pPr>
              <w:rPr>
                <w:color w:val="000000"/>
                <w:sz w:val="18"/>
                <w:szCs w:val="18"/>
                <w:lang w:eastAsia="tr-TR"/>
              </w:rPr>
            </w:pPr>
            <w:r w:rsidRPr="00471CBA">
              <w:rPr>
                <w:color w:val="000000"/>
                <w:sz w:val="18"/>
                <w:szCs w:val="18"/>
                <w:lang w:eastAsia="tr-TR"/>
              </w:rPr>
              <w:t>Çok taraflı kalkınma bankalarından alacaklar</w:t>
            </w:r>
          </w:p>
        </w:tc>
        <w:tc>
          <w:tcPr>
            <w:tcW w:w="1129" w:type="dxa"/>
            <w:vAlign w:val="bottom"/>
            <w:hideMark/>
          </w:tcPr>
          <w:p w14:paraId="01C54B55" w14:textId="77777777" w:rsidR="00A74C68" w:rsidRPr="00471CBA" w:rsidRDefault="00A74C68" w:rsidP="00A74C68">
            <w:pPr>
              <w:jc w:val="right"/>
              <w:rPr>
                <w:color w:val="000000"/>
                <w:sz w:val="18"/>
                <w:szCs w:val="18"/>
                <w:lang w:eastAsia="tr-TR"/>
              </w:rPr>
            </w:pPr>
            <w:r w:rsidRPr="00471CBA">
              <w:rPr>
                <w:sz w:val="18"/>
                <w:szCs w:val="18"/>
              </w:rPr>
              <w:t>-</w:t>
            </w:r>
          </w:p>
        </w:tc>
        <w:tc>
          <w:tcPr>
            <w:tcW w:w="1129" w:type="dxa"/>
            <w:vAlign w:val="bottom"/>
            <w:hideMark/>
          </w:tcPr>
          <w:p w14:paraId="08E79BF4" w14:textId="77777777" w:rsidR="00A74C68" w:rsidRPr="00471CBA" w:rsidRDefault="00A74C68" w:rsidP="00A74C68">
            <w:pPr>
              <w:jc w:val="right"/>
              <w:rPr>
                <w:color w:val="000000"/>
                <w:sz w:val="18"/>
                <w:szCs w:val="18"/>
                <w:lang w:eastAsia="tr-TR"/>
              </w:rPr>
            </w:pPr>
            <w:r w:rsidRPr="00471CBA">
              <w:rPr>
                <w:sz w:val="18"/>
                <w:szCs w:val="18"/>
              </w:rPr>
              <w:t>-</w:t>
            </w:r>
          </w:p>
        </w:tc>
        <w:tc>
          <w:tcPr>
            <w:tcW w:w="1130" w:type="dxa"/>
            <w:vAlign w:val="bottom"/>
            <w:hideMark/>
          </w:tcPr>
          <w:p w14:paraId="3856893B" w14:textId="77777777" w:rsidR="00A74C68" w:rsidRPr="00471CBA" w:rsidRDefault="00A74C68" w:rsidP="00A74C68">
            <w:pPr>
              <w:jc w:val="right"/>
              <w:rPr>
                <w:color w:val="000000"/>
                <w:sz w:val="18"/>
                <w:szCs w:val="18"/>
                <w:lang w:eastAsia="tr-TR"/>
              </w:rPr>
            </w:pPr>
            <w:r w:rsidRPr="00471CBA">
              <w:rPr>
                <w:sz w:val="18"/>
                <w:szCs w:val="18"/>
              </w:rPr>
              <w:t>-</w:t>
            </w:r>
          </w:p>
        </w:tc>
        <w:tc>
          <w:tcPr>
            <w:tcW w:w="1127" w:type="dxa"/>
            <w:vAlign w:val="bottom"/>
            <w:hideMark/>
          </w:tcPr>
          <w:p w14:paraId="6ADB5FA2" w14:textId="77777777" w:rsidR="00A74C68" w:rsidRPr="00471CBA" w:rsidRDefault="00A74C68" w:rsidP="00A74C68">
            <w:pPr>
              <w:jc w:val="right"/>
              <w:rPr>
                <w:color w:val="000000"/>
                <w:sz w:val="18"/>
                <w:szCs w:val="18"/>
                <w:lang w:eastAsia="tr-TR"/>
              </w:rPr>
            </w:pPr>
            <w:r w:rsidRPr="00471CBA">
              <w:rPr>
                <w:sz w:val="18"/>
                <w:szCs w:val="18"/>
              </w:rPr>
              <w:t>-</w:t>
            </w:r>
          </w:p>
        </w:tc>
        <w:tc>
          <w:tcPr>
            <w:tcW w:w="1261" w:type="dxa"/>
            <w:vAlign w:val="bottom"/>
            <w:hideMark/>
          </w:tcPr>
          <w:p w14:paraId="7CF0B825" w14:textId="77777777" w:rsidR="00A74C68" w:rsidRPr="00471CBA" w:rsidRDefault="00A74C68" w:rsidP="00A74C68">
            <w:pPr>
              <w:jc w:val="right"/>
              <w:rPr>
                <w:color w:val="000000"/>
                <w:sz w:val="18"/>
                <w:szCs w:val="18"/>
                <w:lang w:eastAsia="tr-TR"/>
              </w:rPr>
            </w:pPr>
            <w:r w:rsidRPr="00471CBA">
              <w:rPr>
                <w:sz w:val="18"/>
                <w:szCs w:val="18"/>
              </w:rPr>
              <w:t>-</w:t>
            </w:r>
          </w:p>
        </w:tc>
        <w:tc>
          <w:tcPr>
            <w:tcW w:w="1265" w:type="dxa"/>
            <w:vAlign w:val="bottom"/>
            <w:hideMark/>
          </w:tcPr>
          <w:p w14:paraId="39D54BAB" w14:textId="77777777" w:rsidR="00A74C68" w:rsidRPr="00471CBA" w:rsidRDefault="00A74C68" w:rsidP="00A74C68">
            <w:pPr>
              <w:jc w:val="right"/>
              <w:rPr>
                <w:color w:val="000000"/>
                <w:sz w:val="18"/>
                <w:szCs w:val="18"/>
                <w:lang w:eastAsia="tr-TR"/>
              </w:rPr>
            </w:pPr>
            <w:r w:rsidRPr="00471CBA">
              <w:rPr>
                <w:sz w:val="18"/>
                <w:szCs w:val="18"/>
              </w:rPr>
              <w:t>%0,00</w:t>
            </w:r>
          </w:p>
        </w:tc>
      </w:tr>
      <w:tr w:rsidR="00A74C68" w:rsidRPr="00471CBA" w14:paraId="36058F4D" w14:textId="77777777" w:rsidTr="00A74C68">
        <w:trPr>
          <w:divId w:val="1829205549"/>
          <w:trHeight w:val="255"/>
        </w:trPr>
        <w:tc>
          <w:tcPr>
            <w:tcW w:w="320" w:type="dxa"/>
            <w:noWrap/>
            <w:hideMark/>
          </w:tcPr>
          <w:p w14:paraId="020A1D4A" w14:textId="77777777" w:rsidR="00A74C68" w:rsidRPr="00471CBA" w:rsidRDefault="00A74C68" w:rsidP="00A74C68">
            <w:pPr>
              <w:rPr>
                <w:color w:val="000000"/>
                <w:sz w:val="18"/>
                <w:szCs w:val="18"/>
                <w:lang w:eastAsia="tr-TR"/>
              </w:rPr>
            </w:pPr>
            <w:r w:rsidRPr="00471CBA">
              <w:rPr>
                <w:color w:val="000000"/>
                <w:sz w:val="18"/>
                <w:szCs w:val="18"/>
                <w:lang w:eastAsia="tr-TR"/>
              </w:rPr>
              <w:t>5</w:t>
            </w:r>
          </w:p>
        </w:tc>
        <w:tc>
          <w:tcPr>
            <w:tcW w:w="2232" w:type="dxa"/>
            <w:noWrap/>
            <w:hideMark/>
          </w:tcPr>
          <w:p w14:paraId="59123ED4" w14:textId="77777777" w:rsidR="00A74C68" w:rsidRPr="00471CBA" w:rsidRDefault="00A74C68" w:rsidP="00A74C68">
            <w:pPr>
              <w:rPr>
                <w:color w:val="000000"/>
                <w:sz w:val="18"/>
                <w:szCs w:val="18"/>
                <w:lang w:eastAsia="tr-TR"/>
              </w:rPr>
            </w:pPr>
            <w:r w:rsidRPr="00471CBA">
              <w:rPr>
                <w:color w:val="000000"/>
                <w:sz w:val="18"/>
                <w:szCs w:val="18"/>
                <w:lang w:eastAsia="tr-TR"/>
              </w:rPr>
              <w:t>Uluslararası teşkilatlardan alacaklar</w:t>
            </w:r>
          </w:p>
        </w:tc>
        <w:tc>
          <w:tcPr>
            <w:tcW w:w="1129" w:type="dxa"/>
            <w:vAlign w:val="bottom"/>
            <w:hideMark/>
          </w:tcPr>
          <w:p w14:paraId="2C012588" w14:textId="77777777" w:rsidR="00A74C68" w:rsidRPr="00471CBA" w:rsidRDefault="00A74C68" w:rsidP="00A74C68">
            <w:pPr>
              <w:jc w:val="right"/>
              <w:rPr>
                <w:color w:val="000000"/>
                <w:sz w:val="18"/>
                <w:szCs w:val="18"/>
                <w:lang w:eastAsia="tr-TR"/>
              </w:rPr>
            </w:pPr>
            <w:r w:rsidRPr="00471CBA">
              <w:rPr>
                <w:sz w:val="18"/>
                <w:szCs w:val="18"/>
              </w:rPr>
              <w:t>-</w:t>
            </w:r>
          </w:p>
        </w:tc>
        <w:tc>
          <w:tcPr>
            <w:tcW w:w="1129" w:type="dxa"/>
            <w:vAlign w:val="bottom"/>
            <w:hideMark/>
          </w:tcPr>
          <w:p w14:paraId="4309AD12" w14:textId="77777777" w:rsidR="00A74C68" w:rsidRPr="00471CBA" w:rsidRDefault="00A74C68" w:rsidP="00A74C68">
            <w:pPr>
              <w:jc w:val="right"/>
              <w:rPr>
                <w:color w:val="000000"/>
                <w:sz w:val="18"/>
                <w:szCs w:val="18"/>
                <w:lang w:eastAsia="tr-TR"/>
              </w:rPr>
            </w:pPr>
            <w:r w:rsidRPr="00471CBA">
              <w:rPr>
                <w:sz w:val="18"/>
                <w:szCs w:val="18"/>
              </w:rPr>
              <w:t>-</w:t>
            </w:r>
          </w:p>
        </w:tc>
        <w:tc>
          <w:tcPr>
            <w:tcW w:w="1130" w:type="dxa"/>
            <w:vAlign w:val="bottom"/>
            <w:hideMark/>
          </w:tcPr>
          <w:p w14:paraId="65415D22" w14:textId="77777777" w:rsidR="00A74C68" w:rsidRPr="00471CBA" w:rsidRDefault="00A74C68" w:rsidP="00A74C68">
            <w:pPr>
              <w:jc w:val="right"/>
              <w:rPr>
                <w:color w:val="000000"/>
                <w:sz w:val="18"/>
                <w:szCs w:val="18"/>
                <w:lang w:eastAsia="tr-TR"/>
              </w:rPr>
            </w:pPr>
            <w:r w:rsidRPr="00471CBA">
              <w:rPr>
                <w:sz w:val="18"/>
                <w:szCs w:val="18"/>
              </w:rPr>
              <w:t>-</w:t>
            </w:r>
          </w:p>
        </w:tc>
        <w:tc>
          <w:tcPr>
            <w:tcW w:w="1127" w:type="dxa"/>
            <w:vAlign w:val="bottom"/>
            <w:hideMark/>
          </w:tcPr>
          <w:p w14:paraId="179EDA24" w14:textId="77777777" w:rsidR="00A74C68" w:rsidRPr="00471CBA" w:rsidRDefault="00A74C68" w:rsidP="00A74C68">
            <w:pPr>
              <w:jc w:val="right"/>
              <w:rPr>
                <w:color w:val="000000"/>
                <w:sz w:val="18"/>
                <w:szCs w:val="18"/>
                <w:lang w:eastAsia="tr-TR"/>
              </w:rPr>
            </w:pPr>
            <w:r w:rsidRPr="00471CBA">
              <w:rPr>
                <w:sz w:val="18"/>
                <w:szCs w:val="18"/>
              </w:rPr>
              <w:t>-</w:t>
            </w:r>
          </w:p>
        </w:tc>
        <w:tc>
          <w:tcPr>
            <w:tcW w:w="1261" w:type="dxa"/>
            <w:vAlign w:val="bottom"/>
            <w:hideMark/>
          </w:tcPr>
          <w:p w14:paraId="44234310" w14:textId="77777777" w:rsidR="00A74C68" w:rsidRPr="00471CBA" w:rsidRDefault="00A74C68" w:rsidP="00A74C68">
            <w:pPr>
              <w:jc w:val="right"/>
              <w:rPr>
                <w:color w:val="000000"/>
                <w:sz w:val="18"/>
                <w:szCs w:val="18"/>
                <w:lang w:eastAsia="tr-TR"/>
              </w:rPr>
            </w:pPr>
            <w:r w:rsidRPr="00471CBA">
              <w:rPr>
                <w:sz w:val="18"/>
                <w:szCs w:val="18"/>
              </w:rPr>
              <w:t>-</w:t>
            </w:r>
          </w:p>
        </w:tc>
        <w:tc>
          <w:tcPr>
            <w:tcW w:w="1265" w:type="dxa"/>
            <w:vAlign w:val="bottom"/>
            <w:hideMark/>
          </w:tcPr>
          <w:p w14:paraId="17D08831" w14:textId="77777777" w:rsidR="00A74C68" w:rsidRPr="00471CBA" w:rsidRDefault="00A74C68" w:rsidP="00A74C68">
            <w:pPr>
              <w:jc w:val="right"/>
              <w:rPr>
                <w:color w:val="000000"/>
                <w:sz w:val="18"/>
                <w:szCs w:val="18"/>
                <w:lang w:eastAsia="tr-TR"/>
              </w:rPr>
            </w:pPr>
            <w:r w:rsidRPr="00471CBA">
              <w:rPr>
                <w:sz w:val="18"/>
                <w:szCs w:val="18"/>
              </w:rPr>
              <w:t>%0,00</w:t>
            </w:r>
          </w:p>
        </w:tc>
      </w:tr>
      <w:tr w:rsidR="00A74C68" w:rsidRPr="00471CBA" w14:paraId="66A38025" w14:textId="77777777" w:rsidTr="00A74C68">
        <w:trPr>
          <w:divId w:val="1829205549"/>
          <w:trHeight w:val="255"/>
        </w:trPr>
        <w:tc>
          <w:tcPr>
            <w:tcW w:w="320" w:type="dxa"/>
            <w:noWrap/>
            <w:hideMark/>
          </w:tcPr>
          <w:p w14:paraId="0E574C1A" w14:textId="77777777" w:rsidR="00A74C68" w:rsidRPr="00471CBA" w:rsidRDefault="00A74C68" w:rsidP="00A74C68">
            <w:pPr>
              <w:rPr>
                <w:color w:val="000000"/>
                <w:sz w:val="18"/>
                <w:szCs w:val="18"/>
                <w:lang w:eastAsia="tr-TR"/>
              </w:rPr>
            </w:pPr>
            <w:r w:rsidRPr="00471CBA">
              <w:rPr>
                <w:color w:val="000000"/>
                <w:sz w:val="18"/>
                <w:szCs w:val="18"/>
                <w:lang w:eastAsia="tr-TR"/>
              </w:rPr>
              <w:t>6</w:t>
            </w:r>
          </w:p>
        </w:tc>
        <w:tc>
          <w:tcPr>
            <w:tcW w:w="2232" w:type="dxa"/>
            <w:noWrap/>
            <w:hideMark/>
          </w:tcPr>
          <w:p w14:paraId="460F2DBA" w14:textId="77777777" w:rsidR="00A74C68" w:rsidRPr="00471CBA" w:rsidRDefault="00A74C68" w:rsidP="00A74C68">
            <w:pPr>
              <w:rPr>
                <w:color w:val="000000"/>
                <w:sz w:val="18"/>
                <w:szCs w:val="18"/>
                <w:lang w:eastAsia="tr-TR"/>
              </w:rPr>
            </w:pPr>
            <w:r w:rsidRPr="00471CBA">
              <w:rPr>
                <w:color w:val="000000"/>
                <w:sz w:val="18"/>
                <w:szCs w:val="18"/>
                <w:lang w:eastAsia="tr-TR"/>
              </w:rPr>
              <w:t>Bankalardan ve aracı kurumlardan alacaklar</w:t>
            </w:r>
          </w:p>
        </w:tc>
        <w:tc>
          <w:tcPr>
            <w:tcW w:w="1129" w:type="dxa"/>
            <w:vAlign w:val="bottom"/>
            <w:hideMark/>
          </w:tcPr>
          <w:p w14:paraId="4F5A1FD2" w14:textId="77777777" w:rsidR="00A74C68" w:rsidRPr="00471CBA" w:rsidRDefault="00A74C68" w:rsidP="00A74C68">
            <w:pPr>
              <w:jc w:val="right"/>
              <w:rPr>
                <w:color w:val="000000"/>
                <w:sz w:val="18"/>
                <w:szCs w:val="18"/>
                <w:lang w:eastAsia="tr-TR"/>
              </w:rPr>
            </w:pPr>
            <w:r w:rsidRPr="00471CBA">
              <w:rPr>
                <w:sz w:val="18"/>
                <w:szCs w:val="18"/>
              </w:rPr>
              <w:t>5.197.267</w:t>
            </w:r>
          </w:p>
        </w:tc>
        <w:tc>
          <w:tcPr>
            <w:tcW w:w="1129" w:type="dxa"/>
            <w:vAlign w:val="bottom"/>
            <w:hideMark/>
          </w:tcPr>
          <w:p w14:paraId="4F83A0AB" w14:textId="77777777" w:rsidR="00A74C68" w:rsidRPr="00471CBA" w:rsidRDefault="00A74C68" w:rsidP="00A74C68">
            <w:pPr>
              <w:jc w:val="right"/>
              <w:rPr>
                <w:color w:val="000000"/>
                <w:sz w:val="18"/>
                <w:szCs w:val="18"/>
                <w:lang w:eastAsia="tr-TR"/>
              </w:rPr>
            </w:pPr>
            <w:r w:rsidRPr="00471CBA">
              <w:rPr>
                <w:sz w:val="18"/>
                <w:szCs w:val="18"/>
              </w:rPr>
              <w:t>6.240.384</w:t>
            </w:r>
          </w:p>
        </w:tc>
        <w:tc>
          <w:tcPr>
            <w:tcW w:w="1130" w:type="dxa"/>
            <w:vAlign w:val="bottom"/>
            <w:hideMark/>
          </w:tcPr>
          <w:p w14:paraId="07B790BF" w14:textId="77777777" w:rsidR="00A74C68" w:rsidRPr="00471CBA" w:rsidRDefault="00A74C68" w:rsidP="00A74C68">
            <w:pPr>
              <w:jc w:val="right"/>
              <w:rPr>
                <w:color w:val="000000"/>
                <w:sz w:val="18"/>
                <w:szCs w:val="18"/>
                <w:lang w:eastAsia="tr-TR"/>
              </w:rPr>
            </w:pPr>
            <w:r w:rsidRPr="00471CBA">
              <w:rPr>
                <w:sz w:val="18"/>
                <w:szCs w:val="18"/>
              </w:rPr>
              <w:t>5.197.267</w:t>
            </w:r>
          </w:p>
        </w:tc>
        <w:tc>
          <w:tcPr>
            <w:tcW w:w="1127" w:type="dxa"/>
            <w:vAlign w:val="bottom"/>
            <w:hideMark/>
          </w:tcPr>
          <w:p w14:paraId="2838B3F3" w14:textId="77777777" w:rsidR="00A74C68" w:rsidRPr="00471CBA" w:rsidRDefault="00A74C68" w:rsidP="00A74C68">
            <w:pPr>
              <w:jc w:val="right"/>
              <w:rPr>
                <w:color w:val="000000"/>
                <w:sz w:val="18"/>
                <w:szCs w:val="18"/>
                <w:lang w:eastAsia="tr-TR"/>
              </w:rPr>
            </w:pPr>
            <w:r w:rsidRPr="00471CBA">
              <w:rPr>
                <w:sz w:val="18"/>
                <w:szCs w:val="18"/>
              </w:rPr>
              <w:t>24.456</w:t>
            </w:r>
          </w:p>
        </w:tc>
        <w:tc>
          <w:tcPr>
            <w:tcW w:w="1261" w:type="dxa"/>
            <w:vAlign w:val="bottom"/>
            <w:hideMark/>
          </w:tcPr>
          <w:p w14:paraId="225C2C79" w14:textId="77777777" w:rsidR="00A74C68" w:rsidRPr="00471CBA" w:rsidRDefault="00A74C68" w:rsidP="00A74C68">
            <w:pPr>
              <w:jc w:val="right"/>
              <w:rPr>
                <w:color w:val="000000"/>
                <w:sz w:val="18"/>
                <w:szCs w:val="18"/>
                <w:lang w:eastAsia="tr-TR"/>
              </w:rPr>
            </w:pPr>
            <w:r w:rsidRPr="00471CBA">
              <w:rPr>
                <w:sz w:val="18"/>
                <w:szCs w:val="18"/>
              </w:rPr>
              <w:t>1.044.345</w:t>
            </w:r>
          </w:p>
        </w:tc>
        <w:tc>
          <w:tcPr>
            <w:tcW w:w="1265" w:type="dxa"/>
            <w:vAlign w:val="bottom"/>
            <w:hideMark/>
          </w:tcPr>
          <w:p w14:paraId="4522E477" w14:textId="77777777" w:rsidR="00A74C68" w:rsidRPr="00471CBA" w:rsidRDefault="00A74C68" w:rsidP="00A74C68">
            <w:pPr>
              <w:jc w:val="right"/>
              <w:rPr>
                <w:color w:val="000000"/>
                <w:sz w:val="18"/>
                <w:szCs w:val="18"/>
                <w:lang w:eastAsia="tr-TR"/>
              </w:rPr>
            </w:pPr>
            <w:r w:rsidRPr="00471CBA">
              <w:rPr>
                <w:sz w:val="18"/>
                <w:szCs w:val="18"/>
              </w:rPr>
              <w:t>%20,00</w:t>
            </w:r>
          </w:p>
        </w:tc>
      </w:tr>
      <w:tr w:rsidR="00A74C68" w:rsidRPr="00471CBA" w14:paraId="2B98F833" w14:textId="77777777" w:rsidTr="00A74C68">
        <w:trPr>
          <w:divId w:val="1829205549"/>
          <w:trHeight w:val="255"/>
        </w:trPr>
        <w:tc>
          <w:tcPr>
            <w:tcW w:w="320" w:type="dxa"/>
            <w:noWrap/>
            <w:hideMark/>
          </w:tcPr>
          <w:p w14:paraId="29780042" w14:textId="77777777" w:rsidR="00A74C68" w:rsidRPr="00471CBA" w:rsidRDefault="00A74C68" w:rsidP="00A74C68">
            <w:pPr>
              <w:rPr>
                <w:color w:val="000000"/>
                <w:sz w:val="18"/>
                <w:szCs w:val="18"/>
                <w:lang w:eastAsia="tr-TR"/>
              </w:rPr>
            </w:pPr>
            <w:r w:rsidRPr="00471CBA">
              <w:rPr>
                <w:color w:val="000000"/>
                <w:sz w:val="18"/>
                <w:szCs w:val="18"/>
                <w:lang w:eastAsia="tr-TR"/>
              </w:rPr>
              <w:t>7</w:t>
            </w:r>
          </w:p>
        </w:tc>
        <w:tc>
          <w:tcPr>
            <w:tcW w:w="2232" w:type="dxa"/>
            <w:noWrap/>
            <w:hideMark/>
          </w:tcPr>
          <w:p w14:paraId="7BAE9E44" w14:textId="77777777" w:rsidR="00A74C68" w:rsidRPr="00471CBA" w:rsidRDefault="00A74C68" w:rsidP="00A74C68">
            <w:pPr>
              <w:rPr>
                <w:color w:val="000000"/>
                <w:sz w:val="18"/>
                <w:szCs w:val="18"/>
                <w:lang w:eastAsia="tr-TR"/>
              </w:rPr>
            </w:pPr>
            <w:r w:rsidRPr="00471CBA">
              <w:rPr>
                <w:color w:val="000000"/>
                <w:sz w:val="18"/>
                <w:szCs w:val="18"/>
                <w:lang w:eastAsia="tr-TR"/>
              </w:rPr>
              <w:t>Kurumsal alacaklar</w:t>
            </w:r>
          </w:p>
        </w:tc>
        <w:tc>
          <w:tcPr>
            <w:tcW w:w="1129" w:type="dxa"/>
            <w:vAlign w:val="bottom"/>
            <w:hideMark/>
          </w:tcPr>
          <w:p w14:paraId="74FAA30A" w14:textId="77777777" w:rsidR="00A74C68" w:rsidRPr="00471CBA" w:rsidRDefault="00A74C68" w:rsidP="00A74C68">
            <w:pPr>
              <w:jc w:val="right"/>
              <w:rPr>
                <w:color w:val="000000"/>
                <w:sz w:val="18"/>
                <w:szCs w:val="18"/>
                <w:lang w:eastAsia="tr-TR"/>
              </w:rPr>
            </w:pPr>
            <w:r w:rsidRPr="00471CBA">
              <w:rPr>
                <w:sz w:val="18"/>
                <w:szCs w:val="18"/>
              </w:rPr>
              <w:t>9.996.831</w:t>
            </w:r>
          </w:p>
        </w:tc>
        <w:tc>
          <w:tcPr>
            <w:tcW w:w="1129" w:type="dxa"/>
            <w:vAlign w:val="bottom"/>
            <w:hideMark/>
          </w:tcPr>
          <w:p w14:paraId="4E4DBF14" w14:textId="77777777" w:rsidR="00A74C68" w:rsidRPr="00471CBA" w:rsidRDefault="00A74C68" w:rsidP="00A74C68">
            <w:pPr>
              <w:jc w:val="right"/>
              <w:rPr>
                <w:color w:val="000000"/>
                <w:sz w:val="18"/>
                <w:szCs w:val="18"/>
                <w:lang w:eastAsia="tr-TR"/>
              </w:rPr>
            </w:pPr>
            <w:r w:rsidRPr="00471CBA">
              <w:rPr>
                <w:sz w:val="18"/>
                <w:szCs w:val="18"/>
              </w:rPr>
              <w:t>9.829.758</w:t>
            </w:r>
          </w:p>
        </w:tc>
        <w:tc>
          <w:tcPr>
            <w:tcW w:w="1130" w:type="dxa"/>
            <w:vAlign w:val="bottom"/>
            <w:hideMark/>
          </w:tcPr>
          <w:p w14:paraId="17A83344" w14:textId="77777777" w:rsidR="00A74C68" w:rsidRPr="00471CBA" w:rsidRDefault="00A74C68" w:rsidP="00A74C68">
            <w:pPr>
              <w:jc w:val="right"/>
              <w:rPr>
                <w:color w:val="000000"/>
                <w:sz w:val="18"/>
                <w:szCs w:val="18"/>
                <w:lang w:eastAsia="tr-TR"/>
              </w:rPr>
            </w:pPr>
            <w:r w:rsidRPr="00471CBA">
              <w:rPr>
                <w:sz w:val="18"/>
                <w:szCs w:val="18"/>
              </w:rPr>
              <w:t>9.996.831</w:t>
            </w:r>
          </w:p>
        </w:tc>
        <w:tc>
          <w:tcPr>
            <w:tcW w:w="1127" w:type="dxa"/>
            <w:vAlign w:val="bottom"/>
            <w:hideMark/>
          </w:tcPr>
          <w:p w14:paraId="2AC378BE" w14:textId="77777777" w:rsidR="00A74C68" w:rsidRPr="00471CBA" w:rsidRDefault="00A74C68" w:rsidP="00A74C68">
            <w:pPr>
              <w:jc w:val="right"/>
              <w:rPr>
                <w:color w:val="000000"/>
                <w:sz w:val="18"/>
                <w:szCs w:val="18"/>
                <w:lang w:eastAsia="tr-TR"/>
              </w:rPr>
            </w:pPr>
            <w:r w:rsidRPr="00471CBA">
              <w:rPr>
                <w:sz w:val="18"/>
                <w:szCs w:val="18"/>
              </w:rPr>
              <w:t>3.426.710</w:t>
            </w:r>
          </w:p>
        </w:tc>
        <w:tc>
          <w:tcPr>
            <w:tcW w:w="1261" w:type="dxa"/>
            <w:vAlign w:val="bottom"/>
            <w:hideMark/>
          </w:tcPr>
          <w:p w14:paraId="27FBDDFA" w14:textId="77777777" w:rsidR="00A74C68" w:rsidRPr="00471CBA" w:rsidRDefault="00A74C68" w:rsidP="00A74C68">
            <w:pPr>
              <w:jc w:val="right"/>
              <w:rPr>
                <w:color w:val="000000"/>
                <w:sz w:val="18"/>
                <w:szCs w:val="18"/>
                <w:lang w:eastAsia="tr-TR"/>
              </w:rPr>
            </w:pPr>
            <w:r w:rsidRPr="00471CBA">
              <w:rPr>
                <w:sz w:val="18"/>
                <w:szCs w:val="18"/>
              </w:rPr>
              <w:t>12.519.585</w:t>
            </w:r>
          </w:p>
        </w:tc>
        <w:tc>
          <w:tcPr>
            <w:tcW w:w="1265" w:type="dxa"/>
            <w:vAlign w:val="bottom"/>
            <w:hideMark/>
          </w:tcPr>
          <w:p w14:paraId="047F8834" w14:textId="77777777" w:rsidR="00A74C68" w:rsidRPr="00471CBA" w:rsidRDefault="00A74C68" w:rsidP="00A74C68">
            <w:pPr>
              <w:jc w:val="right"/>
              <w:rPr>
                <w:color w:val="000000"/>
                <w:sz w:val="18"/>
                <w:szCs w:val="18"/>
                <w:lang w:eastAsia="tr-TR"/>
              </w:rPr>
            </w:pPr>
            <w:r w:rsidRPr="00471CBA">
              <w:rPr>
                <w:sz w:val="18"/>
                <w:szCs w:val="18"/>
              </w:rPr>
              <w:t>%93,27</w:t>
            </w:r>
          </w:p>
        </w:tc>
      </w:tr>
      <w:tr w:rsidR="00A74C68" w:rsidRPr="00471CBA" w14:paraId="38119117" w14:textId="77777777" w:rsidTr="00A74C68">
        <w:trPr>
          <w:divId w:val="1829205549"/>
          <w:trHeight w:val="255"/>
        </w:trPr>
        <w:tc>
          <w:tcPr>
            <w:tcW w:w="320" w:type="dxa"/>
            <w:noWrap/>
            <w:hideMark/>
          </w:tcPr>
          <w:p w14:paraId="2676970B" w14:textId="77777777" w:rsidR="00A74C68" w:rsidRPr="00471CBA" w:rsidRDefault="00A74C68" w:rsidP="00A74C68">
            <w:pPr>
              <w:rPr>
                <w:color w:val="000000"/>
                <w:sz w:val="18"/>
                <w:szCs w:val="18"/>
                <w:lang w:eastAsia="tr-TR"/>
              </w:rPr>
            </w:pPr>
            <w:r w:rsidRPr="00471CBA">
              <w:rPr>
                <w:color w:val="000000"/>
                <w:sz w:val="18"/>
                <w:szCs w:val="18"/>
                <w:lang w:eastAsia="tr-TR"/>
              </w:rPr>
              <w:t>8</w:t>
            </w:r>
          </w:p>
        </w:tc>
        <w:tc>
          <w:tcPr>
            <w:tcW w:w="2232" w:type="dxa"/>
            <w:noWrap/>
            <w:hideMark/>
          </w:tcPr>
          <w:p w14:paraId="2E8D44A8" w14:textId="77777777" w:rsidR="00A74C68" w:rsidRPr="00471CBA" w:rsidRDefault="00A74C68" w:rsidP="00A74C68">
            <w:pPr>
              <w:rPr>
                <w:color w:val="000000"/>
                <w:sz w:val="18"/>
                <w:szCs w:val="18"/>
                <w:lang w:eastAsia="tr-TR"/>
              </w:rPr>
            </w:pPr>
            <w:r w:rsidRPr="00471CBA">
              <w:rPr>
                <w:color w:val="000000"/>
                <w:sz w:val="18"/>
                <w:szCs w:val="18"/>
                <w:lang w:eastAsia="tr-TR"/>
              </w:rPr>
              <w:t>Perakende alacaklar</w:t>
            </w:r>
          </w:p>
        </w:tc>
        <w:tc>
          <w:tcPr>
            <w:tcW w:w="1129" w:type="dxa"/>
            <w:vAlign w:val="bottom"/>
            <w:hideMark/>
          </w:tcPr>
          <w:p w14:paraId="7C8FBBB1" w14:textId="77777777" w:rsidR="00A74C68" w:rsidRPr="00471CBA" w:rsidRDefault="00A74C68" w:rsidP="00A74C68">
            <w:pPr>
              <w:jc w:val="right"/>
              <w:rPr>
                <w:color w:val="000000"/>
                <w:sz w:val="18"/>
                <w:szCs w:val="18"/>
                <w:lang w:eastAsia="tr-TR"/>
              </w:rPr>
            </w:pPr>
            <w:r w:rsidRPr="00471CBA">
              <w:rPr>
                <w:sz w:val="18"/>
                <w:szCs w:val="18"/>
              </w:rPr>
              <w:t>-</w:t>
            </w:r>
          </w:p>
        </w:tc>
        <w:tc>
          <w:tcPr>
            <w:tcW w:w="1129" w:type="dxa"/>
            <w:vAlign w:val="bottom"/>
            <w:hideMark/>
          </w:tcPr>
          <w:p w14:paraId="31206D43" w14:textId="77777777" w:rsidR="00A74C68" w:rsidRPr="00471CBA" w:rsidRDefault="00A74C68" w:rsidP="00A74C68">
            <w:pPr>
              <w:jc w:val="right"/>
              <w:rPr>
                <w:color w:val="000000"/>
                <w:sz w:val="18"/>
                <w:szCs w:val="18"/>
                <w:lang w:eastAsia="tr-TR"/>
              </w:rPr>
            </w:pPr>
            <w:r w:rsidRPr="00471CBA">
              <w:rPr>
                <w:sz w:val="18"/>
                <w:szCs w:val="18"/>
              </w:rPr>
              <w:t>-</w:t>
            </w:r>
          </w:p>
        </w:tc>
        <w:tc>
          <w:tcPr>
            <w:tcW w:w="1130" w:type="dxa"/>
            <w:vAlign w:val="bottom"/>
            <w:hideMark/>
          </w:tcPr>
          <w:p w14:paraId="440C75D6" w14:textId="77777777" w:rsidR="00A74C68" w:rsidRPr="00471CBA" w:rsidRDefault="00A74C68" w:rsidP="00A74C68">
            <w:pPr>
              <w:jc w:val="right"/>
              <w:rPr>
                <w:color w:val="000000"/>
                <w:sz w:val="18"/>
                <w:szCs w:val="18"/>
                <w:lang w:eastAsia="tr-TR"/>
              </w:rPr>
            </w:pPr>
            <w:r w:rsidRPr="00471CBA">
              <w:rPr>
                <w:sz w:val="18"/>
                <w:szCs w:val="18"/>
              </w:rPr>
              <w:t>-</w:t>
            </w:r>
          </w:p>
        </w:tc>
        <w:tc>
          <w:tcPr>
            <w:tcW w:w="1127" w:type="dxa"/>
            <w:vAlign w:val="bottom"/>
            <w:hideMark/>
          </w:tcPr>
          <w:p w14:paraId="2D116C0F" w14:textId="77777777" w:rsidR="00A74C68" w:rsidRPr="00471CBA" w:rsidRDefault="00A74C68" w:rsidP="00A74C68">
            <w:pPr>
              <w:jc w:val="right"/>
              <w:rPr>
                <w:color w:val="000000"/>
                <w:sz w:val="18"/>
                <w:szCs w:val="18"/>
                <w:lang w:eastAsia="tr-TR"/>
              </w:rPr>
            </w:pPr>
            <w:r w:rsidRPr="00471CBA">
              <w:rPr>
                <w:sz w:val="18"/>
                <w:szCs w:val="18"/>
              </w:rPr>
              <w:t>-</w:t>
            </w:r>
          </w:p>
        </w:tc>
        <w:tc>
          <w:tcPr>
            <w:tcW w:w="1261" w:type="dxa"/>
            <w:vAlign w:val="bottom"/>
            <w:hideMark/>
          </w:tcPr>
          <w:p w14:paraId="106B42B6" w14:textId="77777777" w:rsidR="00A74C68" w:rsidRPr="00471CBA" w:rsidRDefault="00A74C68" w:rsidP="00A74C68">
            <w:pPr>
              <w:jc w:val="right"/>
              <w:rPr>
                <w:color w:val="000000"/>
                <w:sz w:val="18"/>
                <w:szCs w:val="18"/>
                <w:lang w:eastAsia="tr-TR"/>
              </w:rPr>
            </w:pPr>
            <w:r w:rsidRPr="00471CBA">
              <w:rPr>
                <w:sz w:val="18"/>
                <w:szCs w:val="18"/>
              </w:rPr>
              <w:t>-</w:t>
            </w:r>
          </w:p>
        </w:tc>
        <w:tc>
          <w:tcPr>
            <w:tcW w:w="1265" w:type="dxa"/>
            <w:vAlign w:val="bottom"/>
            <w:hideMark/>
          </w:tcPr>
          <w:p w14:paraId="7DEAE9A0" w14:textId="77777777" w:rsidR="00A74C68" w:rsidRPr="00471CBA" w:rsidRDefault="00A74C68" w:rsidP="00A74C68">
            <w:pPr>
              <w:jc w:val="right"/>
              <w:rPr>
                <w:color w:val="000000"/>
                <w:sz w:val="18"/>
                <w:szCs w:val="18"/>
                <w:lang w:eastAsia="tr-TR"/>
              </w:rPr>
            </w:pPr>
            <w:r w:rsidRPr="00471CBA">
              <w:rPr>
                <w:sz w:val="18"/>
                <w:szCs w:val="18"/>
              </w:rPr>
              <w:t>%0,00</w:t>
            </w:r>
          </w:p>
        </w:tc>
      </w:tr>
      <w:tr w:rsidR="00A74C68" w:rsidRPr="00471CBA" w14:paraId="196BD2E7" w14:textId="77777777" w:rsidTr="00A74C68">
        <w:trPr>
          <w:divId w:val="1829205549"/>
          <w:trHeight w:val="255"/>
        </w:trPr>
        <w:tc>
          <w:tcPr>
            <w:tcW w:w="320" w:type="dxa"/>
            <w:noWrap/>
            <w:hideMark/>
          </w:tcPr>
          <w:p w14:paraId="14F803D6" w14:textId="77777777" w:rsidR="00A74C68" w:rsidRPr="00471CBA" w:rsidRDefault="00A74C68" w:rsidP="00A74C68">
            <w:pPr>
              <w:rPr>
                <w:color w:val="000000"/>
                <w:sz w:val="18"/>
                <w:szCs w:val="18"/>
                <w:lang w:eastAsia="tr-TR"/>
              </w:rPr>
            </w:pPr>
            <w:r w:rsidRPr="00471CBA">
              <w:rPr>
                <w:color w:val="000000"/>
                <w:sz w:val="18"/>
                <w:szCs w:val="18"/>
                <w:lang w:eastAsia="tr-TR"/>
              </w:rPr>
              <w:t>9</w:t>
            </w:r>
          </w:p>
        </w:tc>
        <w:tc>
          <w:tcPr>
            <w:tcW w:w="2232" w:type="dxa"/>
            <w:noWrap/>
            <w:hideMark/>
          </w:tcPr>
          <w:p w14:paraId="09B7F27A" w14:textId="77777777" w:rsidR="00A74C68" w:rsidRPr="00471CBA" w:rsidRDefault="00A74C68" w:rsidP="00A74C68">
            <w:pPr>
              <w:rPr>
                <w:color w:val="000000"/>
                <w:sz w:val="18"/>
                <w:szCs w:val="18"/>
                <w:lang w:eastAsia="tr-TR"/>
              </w:rPr>
            </w:pPr>
            <w:r w:rsidRPr="00471CBA">
              <w:rPr>
                <w:color w:val="000000"/>
                <w:sz w:val="18"/>
                <w:szCs w:val="18"/>
                <w:lang w:eastAsia="tr-TR"/>
              </w:rPr>
              <w:t>İkamet amaçlı gayrimenkul ipoteği ile teminatlandırılan alacaklar</w:t>
            </w:r>
          </w:p>
        </w:tc>
        <w:tc>
          <w:tcPr>
            <w:tcW w:w="1129" w:type="dxa"/>
            <w:vAlign w:val="bottom"/>
            <w:hideMark/>
          </w:tcPr>
          <w:p w14:paraId="70DDDB9A" w14:textId="77777777" w:rsidR="00A74C68" w:rsidRPr="00471CBA" w:rsidRDefault="00A74C68" w:rsidP="00A74C68">
            <w:pPr>
              <w:jc w:val="right"/>
              <w:rPr>
                <w:color w:val="000000"/>
                <w:sz w:val="18"/>
                <w:szCs w:val="18"/>
                <w:lang w:eastAsia="tr-TR"/>
              </w:rPr>
            </w:pPr>
            <w:r w:rsidRPr="00471CBA">
              <w:rPr>
                <w:sz w:val="18"/>
                <w:szCs w:val="18"/>
              </w:rPr>
              <w:t>343.131</w:t>
            </w:r>
          </w:p>
        </w:tc>
        <w:tc>
          <w:tcPr>
            <w:tcW w:w="1129" w:type="dxa"/>
            <w:vAlign w:val="bottom"/>
            <w:hideMark/>
          </w:tcPr>
          <w:p w14:paraId="0A3EA660" w14:textId="77777777" w:rsidR="00A74C68" w:rsidRPr="00471CBA" w:rsidRDefault="00A74C68" w:rsidP="00A74C68">
            <w:pPr>
              <w:jc w:val="right"/>
              <w:rPr>
                <w:color w:val="000000"/>
                <w:sz w:val="18"/>
                <w:szCs w:val="18"/>
                <w:lang w:eastAsia="tr-TR"/>
              </w:rPr>
            </w:pPr>
            <w:r w:rsidRPr="00471CBA">
              <w:rPr>
                <w:sz w:val="18"/>
                <w:szCs w:val="18"/>
              </w:rPr>
              <w:t>12.499</w:t>
            </w:r>
          </w:p>
        </w:tc>
        <w:tc>
          <w:tcPr>
            <w:tcW w:w="1130" w:type="dxa"/>
            <w:vAlign w:val="bottom"/>
            <w:hideMark/>
          </w:tcPr>
          <w:p w14:paraId="20815511" w14:textId="77777777" w:rsidR="00A74C68" w:rsidRPr="00471CBA" w:rsidRDefault="00A74C68" w:rsidP="00A74C68">
            <w:pPr>
              <w:jc w:val="right"/>
              <w:rPr>
                <w:color w:val="000000"/>
                <w:sz w:val="18"/>
                <w:szCs w:val="18"/>
                <w:lang w:eastAsia="tr-TR"/>
              </w:rPr>
            </w:pPr>
            <w:r w:rsidRPr="00471CBA">
              <w:rPr>
                <w:sz w:val="18"/>
                <w:szCs w:val="18"/>
              </w:rPr>
              <w:t>343.131</w:t>
            </w:r>
          </w:p>
        </w:tc>
        <w:tc>
          <w:tcPr>
            <w:tcW w:w="1127" w:type="dxa"/>
            <w:vAlign w:val="bottom"/>
            <w:hideMark/>
          </w:tcPr>
          <w:p w14:paraId="1CA93CC1" w14:textId="77777777" w:rsidR="00A74C68" w:rsidRPr="00471CBA" w:rsidRDefault="00A74C68" w:rsidP="00A74C68">
            <w:pPr>
              <w:jc w:val="right"/>
              <w:rPr>
                <w:color w:val="000000"/>
                <w:sz w:val="18"/>
                <w:szCs w:val="18"/>
                <w:lang w:eastAsia="tr-TR"/>
              </w:rPr>
            </w:pPr>
            <w:r w:rsidRPr="00471CBA">
              <w:rPr>
                <w:sz w:val="18"/>
                <w:szCs w:val="18"/>
              </w:rPr>
              <w:t>6.250</w:t>
            </w:r>
          </w:p>
        </w:tc>
        <w:tc>
          <w:tcPr>
            <w:tcW w:w="1261" w:type="dxa"/>
            <w:vAlign w:val="bottom"/>
            <w:hideMark/>
          </w:tcPr>
          <w:p w14:paraId="238C67D8" w14:textId="77777777" w:rsidR="00A74C68" w:rsidRPr="00471CBA" w:rsidRDefault="00A74C68" w:rsidP="00A74C68">
            <w:pPr>
              <w:jc w:val="right"/>
              <w:rPr>
                <w:color w:val="000000"/>
                <w:sz w:val="18"/>
                <w:szCs w:val="18"/>
                <w:lang w:eastAsia="tr-TR"/>
              </w:rPr>
            </w:pPr>
            <w:r w:rsidRPr="00471CBA">
              <w:rPr>
                <w:sz w:val="18"/>
                <w:szCs w:val="18"/>
              </w:rPr>
              <w:t>122.019</w:t>
            </w:r>
          </w:p>
        </w:tc>
        <w:tc>
          <w:tcPr>
            <w:tcW w:w="1265" w:type="dxa"/>
            <w:vAlign w:val="bottom"/>
            <w:hideMark/>
          </w:tcPr>
          <w:p w14:paraId="5C7897FE" w14:textId="77777777" w:rsidR="00A74C68" w:rsidRPr="00471CBA" w:rsidRDefault="00A74C68" w:rsidP="00A74C68">
            <w:pPr>
              <w:jc w:val="right"/>
              <w:rPr>
                <w:color w:val="000000"/>
                <w:sz w:val="18"/>
                <w:szCs w:val="18"/>
                <w:lang w:eastAsia="tr-TR"/>
              </w:rPr>
            </w:pPr>
            <w:r w:rsidRPr="00471CBA">
              <w:rPr>
                <w:sz w:val="18"/>
                <w:szCs w:val="18"/>
              </w:rPr>
              <w:t>%34,93</w:t>
            </w:r>
          </w:p>
        </w:tc>
      </w:tr>
      <w:tr w:rsidR="00A74C68" w:rsidRPr="00471CBA" w14:paraId="129FCD9C" w14:textId="77777777" w:rsidTr="00A74C68">
        <w:trPr>
          <w:divId w:val="1829205549"/>
          <w:trHeight w:val="255"/>
        </w:trPr>
        <w:tc>
          <w:tcPr>
            <w:tcW w:w="320" w:type="dxa"/>
            <w:noWrap/>
            <w:hideMark/>
          </w:tcPr>
          <w:p w14:paraId="5886A369" w14:textId="77777777" w:rsidR="00A74C68" w:rsidRPr="00471CBA" w:rsidRDefault="00A74C68" w:rsidP="00A74C68">
            <w:pPr>
              <w:rPr>
                <w:color w:val="000000"/>
                <w:sz w:val="18"/>
                <w:szCs w:val="18"/>
                <w:lang w:eastAsia="tr-TR"/>
              </w:rPr>
            </w:pPr>
            <w:r w:rsidRPr="00471CBA">
              <w:rPr>
                <w:color w:val="000000"/>
                <w:sz w:val="18"/>
                <w:szCs w:val="18"/>
                <w:lang w:eastAsia="tr-TR"/>
              </w:rPr>
              <w:t>10</w:t>
            </w:r>
          </w:p>
        </w:tc>
        <w:tc>
          <w:tcPr>
            <w:tcW w:w="2232" w:type="dxa"/>
            <w:noWrap/>
            <w:hideMark/>
          </w:tcPr>
          <w:p w14:paraId="4037D587" w14:textId="77777777" w:rsidR="00A74C68" w:rsidRPr="00471CBA" w:rsidRDefault="00A74C68" w:rsidP="00A74C68">
            <w:pPr>
              <w:rPr>
                <w:color w:val="000000"/>
                <w:sz w:val="18"/>
                <w:szCs w:val="18"/>
                <w:lang w:eastAsia="tr-TR"/>
              </w:rPr>
            </w:pPr>
            <w:r w:rsidRPr="00471CBA">
              <w:rPr>
                <w:color w:val="000000"/>
                <w:sz w:val="18"/>
                <w:szCs w:val="18"/>
                <w:lang w:eastAsia="tr-TR"/>
              </w:rPr>
              <w:t>Ticari amaçlı gayrimenkul ipoteği ile teminatlandırılan alacaklar</w:t>
            </w:r>
          </w:p>
        </w:tc>
        <w:tc>
          <w:tcPr>
            <w:tcW w:w="1129" w:type="dxa"/>
            <w:vAlign w:val="bottom"/>
            <w:hideMark/>
          </w:tcPr>
          <w:p w14:paraId="3907627A" w14:textId="77777777" w:rsidR="00A74C68" w:rsidRPr="00471CBA" w:rsidRDefault="00A74C68" w:rsidP="00A74C68">
            <w:pPr>
              <w:jc w:val="right"/>
              <w:rPr>
                <w:color w:val="000000"/>
                <w:sz w:val="18"/>
                <w:szCs w:val="18"/>
                <w:lang w:eastAsia="tr-TR"/>
              </w:rPr>
            </w:pPr>
            <w:r w:rsidRPr="00471CBA">
              <w:rPr>
                <w:sz w:val="18"/>
                <w:szCs w:val="18"/>
              </w:rPr>
              <w:t>323.818</w:t>
            </w:r>
          </w:p>
        </w:tc>
        <w:tc>
          <w:tcPr>
            <w:tcW w:w="1129" w:type="dxa"/>
            <w:vAlign w:val="bottom"/>
            <w:hideMark/>
          </w:tcPr>
          <w:p w14:paraId="6B59B244" w14:textId="77777777" w:rsidR="00A74C68" w:rsidRPr="00471CBA" w:rsidRDefault="00A74C68" w:rsidP="00A74C68">
            <w:pPr>
              <w:jc w:val="right"/>
              <w:rPr>
                <w:color w:val="000000"/>
                <w:sz w:val="18"/>
                <w:szCs w:val="18"/>
                <w:lang w:eastAsia="tr-TR"/>
              </w:rPr>
            </w:pPr>
            <w:r w:rsidRPr="00471CBA">
              <w:rPr>
                <w:sz w:val="18"/>
                <w:szCs w:val="18"/>
              </w:rPr>
              <w:t>72.825</w:t>
            </w:r>
          </w:p>
        </w:tc>
        <w:tc>
          <w:tcPr>
            <w:tcW w:w="1130" w:type="dxa"/>
            <w:vAlign w:val="bottom"/>
            <w:hideMark/>
          </w:tcPr>
          <w:p w14:paraId="6B18D3A3" w14:textId="77777777" w:rsidR="00A74C68" w:rsidRPr="00471CBA" w:rsidRDefault="00A74C68" w:rsidP="00A74C68">
            <w:pPr>
              <w:jc w:val="right"/>
              <w:rPr>
                <w:color w:val="000000"/>
                <w:sz w:val="18"/>
                <w:szCs w:val="18"/>
                <w:lang w:eastAsia="tr-TR"/>
              </w:rPr>
            </w:pPr>
            <w:r w:rsidRPr="00471CBA">
              <w:rPr>
                <w:sz w:val="18"/>
                <w:szCs w:val="18"/>
              </w:rPr>
              <w:t>323.818</w:t>
            </w:r>
          </w:p>
        </w:tc>
        <w:tc>
          <w:tcPr>
            <w:tcW w:w="1127" w:type="dxa"/>
            <w:vAlign w:val="bottom"/>
            <w:hideMark/>
          </w:tcPr>
          <w:p w14:paraId="327BF4A6" w14:textId="77777777" w:rsidR="00A74C68" w:rsidRPr="00471CBA" w:rsidRDefault="00A74C68" w:rsidP="00A74C68">
            <w:pPr>
              <w:jc w:val="right"/>
              <w:rPr>
                <w:color w:val="000000"/>
                <w:sz w:val="18"/>
                <w:szCs w:val="18"/>
                <w:lang w:eastAsia="tr-TR"/>
              </w:rPr>
            </w:pPr>
            <w:r w:rsidRPr="00471CBA">
              <w:rPr>
                <w:sz w:val="18"/>
                <w:szCs w:val="18"/>
              </w:rPr>
              <w:t>36.412</w:t>
            </w:r>
          </w:p>
        </w:tc>
        <w:tc>
          <w:tcPr>
            <w:tcW w:w="1261" w:type="dxa"/>
            <w:vAlign w:val="bottom"/>
            <w:hideMark/>
          </w:tcPr>
          <w:p w14:paraId="58655573" w14:textId="77777777" w:rsidR="00A74C68" w:rsidRPr="00471CBA" w:rsidRDefault="00A74C68" w:rsidP="00A74C68">
            <w:pPr>
              <w:jc w:val="right"/>
              <w:rPr>
                <w:color w:val="000000"/>
                <w:sz w:val="18"/>
                <w:szCs w:val="18"/>
                <w:lang w:eastAsia="tr-TR"/>
              </w:rPr>
            </w:pPr>
            <w:r w:rsidRPr="00471CBA">
              <w:rPr>
                <w:sz w:val="18"/>
                <w:szCs w:val="18"/>
              </w:rPr>
              <w:t>211.457</w:t>
            </w:r>
          </w:p>
        </w:tc>
        <w:tc>
          <w:tcPr>
            <w:tcW w:w="1265" w:type="dxa"/>
            <w:vAlign w:val="bottom"/>
            <w:hideMark/>
          </w:tcPr>
          <w:p w14:paraId="428C121D" w14:textId="77777777" w:rsidR="00A74C68" w:rsidRPr="00471CBA" w:rsidRDefault="00A74C68" w:rsidP="00A74C68">
            <w:pPr>
              <w:jc w:val="right"/>
              <w:rPr>
                <w:color w:val="000000"/>
                <w:sz w:val="18"/>
                <w:szCs w:val="18"/>
                <w:lang w:eastAsia="tr-TR"/>
              </w:rPr>
            </w:pPr>
            <w:r w:rsidRPr="00471CBA">
              <w:rPr>
                <w:sz w:val="18"/>
                <w:szCs w:val="18"/>
              </w:rPr>
              <w:t>%58,70</w:t>
            </w:r>
          </w:p>
        </w:tc>
      </w:tr>
      <w:tr w:rsidR="00A74C68" w:rsidRPr="00471CBA" w14:paraId="159004E6" w14:textId="77777777" w:rsidTr="00A74C68">
        <w:trPr>
          <w:divId w:val="1829205549"/>
          <w:trHeight w:val="255"/>
        </w:trPr>
        <w:tc>
          <w:tcPr>
            <w:tcW w:w="320" w:type="dxa"/>
            <w:noWrap/>
            <w:hideMark/>
          </w:tcPr>
          <w:p w14:paraId="179FA2CE" w14:textId="77777777" w:rsidR="00A74C68" w:rsidRPr="00471CBA" w:rsidRDefault="00A74C68" w:rsidP="00A74C68">
            <w:pPr>
              <w:rPr>
                <w:color w:val="000000"/>
                <w:sz w:val="18"/>
                <w:szCs w:val="18"/>
                <w:lang w:eastAsia="tr-TR"/>
              </w:rPr>
            </w:pPr>
            <w:r w:rsidRPr="00471CBA">
              <w:rPr>
                <w:color w:val="000000"/>
                <w:sz w:val="18"/>
                <w:szCs w:val="18"/>
                <w:lang w:eastAsia="tr-TR"/>
              </w:rPr>
              <w:t>11</w:t>
            </w:r>
          </w:p>
        </w:tc>
        <w:tc>
          <w:tcPr>
            <w:tcW w:w="2232" w:type="dxa"/>
            <w:noWrap/>
            <w:hideMark/>
          </w:tcPr>
          <w:p w14:paraId="62357719" w14:textId="77777777" w:rsidR="00A74C68" w:rsidRPr="00471CBA" w:rsidRDefault="00A74C68" w:rsidP="00A74C68">
            <w:pPr>
              <w:rPr>
                <w:color w:val="000000"/>
                <w:sz w:val="18"/>
                <w:szCs w:val="18"/>
                <w:lang w:eastAsia="tr-TR"/>
              </w:rPr>
            </w:pPr>
            <w:r w:rsidRPr="00471CBA">
              <w:rPr>
                <w:color w:val="000000"/>
                <w:sz w:val="18"/>
                <w:szCs w:val="18"/>
                <w:lang w:eastAsia="tr-TR"/>
              </w:rPr>
              <w:t>Tahsili gecikmiş alacaklar</w:t>
            </w:r>
          </w:p>
        </w:tc>
        <w:tc>
          <w:tcPr>
            <w:tcW w:w="1129" w:type="dxa"/>
            <w:vAlign w:val="bottom"/>
            <w:hideMark/>
          </w:tcPr>
          <w:p w14:paraId="3826F81D" w14:textId="77777777" w:rsidR="00A74C68" w:rsidRPr="00471CBA" w:rsidRDefault="00A74C68" w:rsidP="00A74C68">
            <w:pPr>
              <w:jc w:val="right"/>
              <w:rPr>
                <w:color w:val="000000"/>
                <w:sz w:val="18"/>
                <w:szCs w:val="18"/>
                <w:lang w:eastAsia="tr-TR"/>
              </w:rPr>
            </w:pPr>
            <w:r w:rsidRPr="00471CBA">
              <w:rPr>
                <w:sz w:val="18"/>
                <w:szCs w:val="18"/>
              </w:rPr>
              <w:t>-</w:t>
            </w:r>
          </w:p>
        </w:tc>
        <w:tc>
          <w:tcPr>
            <w:tcW w:w="1129" w:type="dxa"/>
            <w:vAlign w:val="bottom"/>
            <w:hideMark/>
          </w:tcPr>
          <w:p w14:paraId="4A0937F1" w14:textId="77777777" w:rsidR="00A74C68" w:rsidRPr="00471CBA" w:rsidRDefault="00A74C68" w:rsidP="00A74C68">
            <w:pPr>
              <w:jc w:val="right"/>
              <w:rPr>
                <w:color w:val="000000"/>
                <w:sz w:val="18"/>
                <w:szCs w:val="18"/>
                <w:lang w:eastAsia="tr-TR"/>
              </w:rPr>
            </w:pPr>
            <w:r w:rsidRPr="00471CBA">
              <w:rPr>
                <w:sz w:val="18"/>
                <w:szCs w:val="18"/>
              </w:rPr>
              <w:t>-</w:t>
            </w:r>
          </w:p>
        </w:tc>
        <w:tc>
          <w:tcPr>
            <w:tcW w:w="1130" w:type="dxa"/>
            <w:vAlign w:val="bottom"/>
            <w:hideMark/>
          </w:tcPr>
          <w:p w14:paraId="5EB3F65C" w14:textId="77777777" w:rsidR="00A74C68" w:rsidRPr="00471CBA" w:rsidRDefault="00A74C68" w:rsidP="00A74C68">
            <w:pPr>
              <w:jc w:val="right"/>
              <w:rPr>
                <w:color w:val="000000"/>
                <w:sz w:val="18"/>
                <w:szCs w:val="18"/>
                <w:lang w:eastAsia="tr-TR"/>
              </w:rPr>
            </w:pPr>
            <w:r w:rsidRPr="00471CBA">
              <w:rPr>
                <w:sz w:val="18"/>
                <w:szCs w:val="18"/>
              </w:rPr>
              <w:t>-</w:t>
            </w:r>
          </w:p>
        </w:tc>
        <w:tc>
          <w:tcPr>
            <w:tcW w:w="1127" w:type="dxa"/>
            <w:vAlign w:val="bottom"/>
            <w:hideMark/>
          </w:tcPr>
          <w:p w14:paraId="38FF1125" w14:textId="77777777" w:rsidR="00A74C68" w:rsidRPr="00471CBA" w:rsidRDefault="00A74C68" w:rsidP="00A74C68">
            <w:pPr>
              <w:jc w:val="right"/>
              <w:rPr>
                <w:color w:val="000000"/>
                <w:sz w:val="18"/>
                <w:szCs w:val="18"/>
                <w:lang w:eastAsia="tr-TR"/>
              </w:rPr>
            </w:pPr>
            <w:r w:rsidRPr="00471CBA">
              <w:rPr>
                <w:sz w:val="18"/>
                <w:szCs w:val="18"/>
              </w:rPr>
              <w:t>-</w:t>
            </w:r>
          </w:p>
        </w:tc>
        <w:tc>
          <w:tcPr>
            <w:tcW w:w="1261" w:type="dxa"/>
            <w:vAlign w:val="bottom"/>
            <w:hideMark/>
          </w:tcPr>
          <w:p w14:paraId="2C419D99" w14:textId="77777777" w:rsidR="00A74C68" w:rsidRPr="00471CBA" w:rsidRDefault="00A74C68" w:rsidP="00A74C68">
            <w:pPr>
              <w:jc w:val="right"/>
              <w:rPr>
                <w:color w:val="000000"/>
                <w:sz w:val="18"/>
                <w:szCs w:val="18"/>
                <w:lang w:eastAsia="tr-TR"/>
              </w:rPr>
            </w:pPr>
            <w:r w:rsidRPr="00471CBA">
              <w:rPr>
                <w:sz w:val="18"/>
                <w:szCs w:val="18"/>
              </w:rPr>
              <w:t>-</w:t>
            </w:r>
          </w:p>
        </w:tc>
        <w:tc>
          <w:tcPr>
            <w:tcW w:w="1265" w:type="dxa"/>
            <w:vAlign w:val="bottom"/>
            <w:hideMark/>
          </w:tcPr>
          <w:p w14:paraId="6C47B24C" w14:textId="77777777" w:rsidR="00A74C68" w:rsidRPr="00471CBA" w:rsidRDefault="00A74C68" w:rsidP="00A74C68">
            <w:pPr>
              <w:jc w:val="right"/>
              <w:rPr>
                <w:color w:val="000000"/>
                <w:sz w:val="18"/>
                <w:szCs w:val="18"/>
                <w:lang w:eastAsia="tr-TR"/>
              </w:rPr>
            </w:pPr>
            <w:r w:rsidRPr="00471CBA">
              <w:rPr>
                <w:sz w:val="18"/>
                <w:szCs w:val="18"/>
              </w:rPr>
              <w:t>%0,00</w:t>
            </w:r>
          </w:p>
        </w:tc>
      </w:tr>
      <w:tr w:rsidR="00A74C68" w:rsidRPr="00471CBA" w14:paraId="566C86AA" w14:textId="77777777" w:rsidTr="00A74C68">
        <w:trPr>
          <w:divId w:val="1829205549"/>
          <w:trHeight w:val="255"/>
        </w:trPr>
        <w:tc>
          <w:tcPr>
            <w:tcW w:w="320" w:type="dxa"/>
            <w:noWrap/>
            <w:hideMark/>
          </w:tcPr>
          <w:p w14:paraId="5118A5A0" w14:textId="77777777" w:rsidR="00A74C68" w:rsidRPr="00471CBA" w:rsidRDefault="00A74C68" w:rsidP="00A74C68">
            <w:pPr>
              <w:rPr>
                <w:color w:val="000000"/>
                <w:sz w:val="18"/>
                <w:szCs w:val="18"/>
                <w:lang w:eastAsia="tr-TR"/>
              </w:rPr>
            </w:pPr>
            <w:r w:rsidRPr="00471CBA">
              <w:rPr>
                <w:color w:val="000000"/>
                <w:sz w:val="18"/>
                <w:szCs w:val="18"/>
                <w:lang w:eastAsia="tr-TR"/>
              </w:rPr>
              <w:t>12</w:t>
            </w:r>
          </w:p>
        </w:tc>
        <w:tc>
          <w:tcPr>
            <w:tcW w:w="2232" w:type="dxa"/>
            <w:noWrap/>
            <w:hideMark/>
          </w:tcPr>
          <w:p w14:paraId="3996BC33" w14:textId="77777777" w:rsidR="00A74C68" w:rsidRPr="00471CBA" w:rsidRDefault="00A74C68" w:rsidP="00A74C68">
            <w:pPr>
              <w:rPr>
                <w:color w:val="000000"/>
                <w:sz w:val="18"/>
                <w:szCs w:val="18"/>
                <w:lang w:eastAsia="tr-TR"/>
              </w:rPr>
            </w:pPr>
            <w:r w:rsidRPr="00471CBA">
              <w:rPr>
                <w:color w:val="000000"/>
                <w:sz w:val="18"/>
                <w:szCs w:val="18"/>
                <w:lang w:eastAsia="tr-TR"/>
              </w:rPr>
              <w:t>Kurulca riski yüksek belirlenmiş alacaklar</w:t>
            </w:r>
          </w:p>
        </w:tc>
        <w:tc>
          <w:tcPr>
            <w:tcW w:w="1129" w:type="dxa"/>
            <w:vAlign w:val="bottom"/>
            <w:hideMark/>
          </w:tcPr>
          <w:p w14:paraId="66BEB888" w14:textId="77777777" w:rsidR="00A74C68" w:rsidRPr="00471CBA" w:rsidRDefault="00A74C68" w:rsidP="00A74C68">
            <w:pPr>
              <w:jc w:val="right"/>
              <w:rPr>
                <w:color w:val="000000"/>
                <w:sz w:val="18"/>
                <w:szCs w:val="18"/>
                <w:lang w:eastAsia="tr-TR"/>
              </w:rPr>
            </w:pPr>
            <w:r w:rsidRPr="00471CBA">
              <w:rPr>
                <w:sz w:val="18"/>
                <w:szCs w:val="18"/>
              </w:rPr>
              <w:t>27.648</w:t>
            </w:r>
          </w:p>
        </w:tc>
        <w:tc>
          <w:tcPr>
            <w:tcW w:w="1129" w:type="dxa"/>
            <w:vAlign w:val="bottom"/>
            <w:hideMark/>
          </w:tcPr>
          <w:p w14:paraId="3DBA289A" w14:textId="77777777" w:rsidR="00A74C68" w:rsidRPr="00471CBA" w:rsidRDefault="00A74C68" w:rsidP="00A74C68">
            <w:pPr>
              <w:jc w:val="right"/>
              <w:rPr>
                <w:color w:val="000000"/>
                <w:sz w:val="18"/>
                <w:szCs w:val="18"/>
                <w:lang w:eastAsia="tr-TR"/>
              </w:rPr>
            </w:pPr>
            <w:r w:rsidRPr="00471CBA">
              <w:rPr>
                <w:sz w:val="18"/>
                <w:szCs w:val="18"/>
              </w:rPr>
              <w:t>-</w:t>
            </w:r>
          </w:p>
        </w:tc>
        <w:tc>
          <w:tcPr>
            <w:tcW w:w="1130" w:type="dxa"/>
            <w:vAlign w:val="bottom"/>
            <w:hideMark/>
          </w:tcPr>
          <w:p w14:paraId="29B464B4" w14:textId="77777777" w:rsidR="00A74C68" w:rsidRPr="00471CBA" w:rsidRDefault="00A74C68" w:rsidP="00A74C68">
            <w:pPr>
              <w:jc w:val="right"/>
              <w:rPr>
                <w:color w:val="000000"/>
                <w:sz w:val="18"/>
                <w:szCs w:val="18"/>
                <w:lang w:eastAsia="tr-TR"/>
              </w:rPr>
            </w:pPr>
            <w:r w:rsidRPr="00471CBA">
              <w:rPr>
                <w:sz w:val="18"/>
                <w:szCs w:val="18"/>
              </w:rPr>
              <w:t>27.648</w:t>
            </w:r>
          </w:p>
        </w:tc>
        <w:tc>
          <w:tcPr>
            <w:tcW w:w="1127" w:type="dxa"/>
            <w:vAlign w:val="bottom"/>
            <w:hideMark/>
          </w:tcPr>
          <w:p w14:paraId="08880F2E" w14:textId="77777777" w:rsidR="00A74C68" w:rsidRPr="00471CBA" w:rsidRDefault="00A74C68" w:rsidP="00A74C68">
            <w:pPr>
              <w:jc w:val="right"/>
              <w:rPr>
                <w:color w:val="000000"/>
                <w:sz w:val="18"/>
                <w:szCs w:val="18"/>
                <w:lang w:eastAsia="tr-TR"/>
              </w:rPr>
            </w:pPr>
            <w:r w:rsidRPr="00471CBA">
              <w:rPr>
                <w:sz w:val="18"/>
                <w:szCs w:val="18"/>
              </w:rPr>
              <w:t>-</w:t>
            </w:r>
          </w:p>
        </w:tc>
        <w:tc>
          <w:tcPr>
            <w:tcW w:w="1261" w:type="dxa"/>
            <w:vAlign w:val="bottom"/>
            <w:hideMark/>
          </w:tcPr>
          <w:p w14:paraId="66BB1D9E" w14:textId="77777777" w:rsidR="00A74C68" w:rsidRPr="00471CBA" w:rsidRDefault="00A74C68" w:rsidP="00A74C68">
            <w:pPr>
              <w:jc w:val="right"/>
              <w:rPr>
                <w:color w:val="000000"/>
                <w:sz w:val="18"/>
                <w:szCs w:val="18"/>
                <w:lang w:eastAsia="tr-TR"/>
              </w:rPr>
            </w:pPr>
            <w:r w:rsidRPr="00471CBA">
              <w:rPr>
                <w:sz w:val="18"/>
                <w:szCs w:val="18"/>
              </w:rPr>
              <w:t>138.238</w:t>
            </w:r>
          </w:p>
        </w:tc>
        <w:tc>
          <w:tcPr>
            <w:tcW w:w="1265" w:type="dxa"/>
            <w:vAlign w:val="bottom"/>
            <w:hideMark/>
          </w:tcPr>
          <w:p w14:paraId="336C224C" w14:textId="77777777" w:rsidR="00A74C68" w:rsidRPr="00471CBA" w:rsidRDefault="00A74C68" w:rsidP="00A74C68">
            <w:pPr>
              <w:jc w:val="right"/>
              <w:rPr>
                <w:color w:val="000000"/>
                <w:sz w:val="18"/>
                <w:szCs w:val="18"/>
                <w:lang w:eastAsia="tr-TR"/>
              </w:rPr>
            </w:pPr>
            <w:r w:rsidRPr="00471CBA">
              <w:rPr>
                <w:sz w:val="18"/>
                <w:szCs w:val="18"/>
              </w:rPr>
              <w:t>%500,00</w:t>
            </w:r>
          </w:p>
        </w:tc>
      </w:tr>
      <w:tr w:rsidR="00A74C68" w:rsidRPr="00471CBA" w14:paraId="6C6281A3" w14:textId="77777777" w:rsidTr="00A74C68">
        <w:trPr>
          <w:divId w:val="1829205549"/>
          <w:trHeight w:val="255"/>
        </w:trPr>
        <w:tc>
          <w:tcPr>
            <w:tcW w:w="320" w:type="dxa"/>
            <w:noWrap/>
            <w:hideMark/>
          </w:tcPr>
          <w:p w14:paraId="1C77056C" w14:textId="77777777" w:rsidR="00A74C68" w:rsidRPr="00471CBA" w:rsidRDefault="00A74C68" w:rsidP="00A74C68">
            <w:pPr>
              <w:rPr>
                <w:color w:val="000000"/>
                <w:sz w:val="18"/>
                <w:szCs w:val="18"/>
                <w:lang w:eastAsia="tr-TR"/>
              </w:rPr>
            </w:pPr>
            <w:r w:rsidRPr="00471CBA">
              <w:rPr>
                <w:color w:val="000000"/>
                <w:sz w:val="18"/>
                <w:szCs w:val="18"/>
                <w:lang w:eastAsia="tr-TR"/>
              </w:rPr>
              <w:t>13</w:t>
            </w:r>
          </w:p>
        </w:tc>
        <w:tc>
          <w:tcPr>
            <w:tcW w:w="2232" w:type="dxa"/>
            <w:noWrap/>
            <w:hideMark/>
          </w:tcPr>
          <w:p w14:paraId="1D17B5A9" w14:textId="77777777" w:rsidR="00A74C68" w:rsidRPr="00471CBA" w:rsidRDefault="00A74C68" w:rsidP="00A74C68">
            <w:pPr>
              <w:rPr>
                <w:color w:val="000000"/>
                <w:sz w:val="18"/>
                <w:szCs w:val="18"/>
                <w:lang w:eastAsia="tr-TR"/>
              </w:rPr>
            </w:pPr>
            <w:r w:rsidRPr="00471CBA">
              <w:rPr>
                <w:color w:val="000000"/>
                <w:sz w:val="18"/>
                <w:szCs w:val="18"/>
                <w:lang w:eastAsia="tr-TR"/>
              </w:rPr>
              <w:t>Teminatlı menkul kıymetler</w:t>
            </w:r>
          </w:p>
        </w:tc>
        <w:tc>
          <w:tcPr>
            <w:tcW w:w="1129" w:type="dxa"/>
            <w:vAlign w:val="bottom"/>
            <w:hideMark/>
          </w:tcPr>
          <w:p w14:paraId="31A0DB6E" w14:textId="77777777" w:rsidR="00A74C68" w:rsidRPr="00471CBA" w:rsidRDefault="00A74C68" w:rsidP="00A74C68">
            <w:pPr>
              <w:jc w:val="right"/>
              <w:rPr>
                <w:color w:val="000000"/>
                <w:sz w:val="18"/>
                <w:szCs w:val="18"/>
                <w:lang w:eastAsia="tr-TR"/>
              </w:rPr>
            </w:pPr>
            <w:r w:rsidRPr="00471CBA">
              <w:rPr>
                <w:sz w:val="18"/>
                <w:szCs w:val="18"/>
              </w:rPr>
              <w:t>-</w:t>
            </w:r>
          </w:p>
        </w:tc>
        <w:tc>
          <w:tcPr>
            <w:tcW w:w="1129" w:type="dxa"/>
            <w:vAlign w:val="bottom"/>
            <w:hideMark/>
          </w:tcPr>
          <w:p w14:paraId="030EC5EF" w14:textId="77777777" w:rsidR="00A74C68" w:rsidRPr="00471CBA" w:rsidRDefault="00A74C68" w:rsidP="00A74C68">
            <w:pPr>
              <w:jc w:val="right"/>
              <w:rPr>
                <w:color w:val="000000"/>
                <w:sz w:val="18"/>
                <w:szCs w:val="18"/>
                <w:lang w:eastAsia="tr-TR"/>
              </w:rPr>
            </w:pPr>
            <w:r w:rsidRPr="00471CBA">
              <w:rPr>
                <w:sz w:val="18"/>
                <w:szCs w:val="18"/>
              </w:rPr>
              <w:t>-</w:t>
            </w:r>
          </w:p>
        </w:tc>
        <w:tc>
          <w:tcPr>
            <w:tcW w:w="1130" w:type="dxa"/>
            <w:vAlign w:val="bottom"/>
            <w:hideMark/>
          </w:tcPr>
          <w:p w14:paraId="68CC136D" w14:textId="77777777" w:rsidR="00A74C68" w:rsidRPr="00471CBA" w:rsidRDefault="00A74C68" w:rsidP="00A74C68">
            <w:pPr>
              <w:jc w:val="right"/>
              <w:rPr>
                <w:color w:val="000000"/>
                <w:sz w:val="18"/>
                <w:szCs w:val="18"/>
                <w:lang w:eastAsia="tr-TR"/>
              </w:rPr>
            </w:pPr>
            <w:r w:rsidRPr="00471CBA">
              <w:rPr>
                <w:sz w:val="18"/>
                <w:szCs w:val="18"/>
              </w:rPr>
              <w:t>-</w:t>
            </w:r>
          </w:p>
        </w:tc>
        <w:tc>
          <w:tcPr>
            <w:tcW w:w="1127" w:type="dxa"/>
            <w:vAlign w:val="bottom"/>
            <w:hideMark/>
          </w:tcPr>
          <w:p w14:paraId="78121FE0" w14:textId="77777777" w:rsidR="00A74C68" w:rsidRPr="00471CBA" w:rsidRDefault="00A74C68" w:rsidP="00A74C68">
            <w:pPr>
              <w:jc w:val="right"/>
              <w:rPr>
                <w:color w:val="000000"/>
                <w:sz w:val="18"/>
                <w:szCs w:val="18"/>
                <w:lang w:eastAsia="tr-TR"/>
              </w:rPr>
            </w:pPr>
            <w:r w:rsidRPr="00471CBA">
              <w:rPr>
                <w:sz w:val="18"/>
                <w:szCs w:val="18"/>
              </w:rPr>
              <w:t>-</w:t>
            </w:r>
          </w:p>
        </w:tc>
        <w:tc>
          <w:tcPr>
            <w:tcW w:w="1261" w:type="dxa"/>
            <w:vAlign w:val="bottom"/>
            <w:hideMark/>
          </w:tcPr>
          <w:p w14:paraId="6A5DDF11" w14:textId="77777777" w:rsidR="00A74C68" w:rsidRPr="00471CBA" w:rsidRDefault="00A74C68" w:rsidP="00A74C68">
            <w:pPr>
              <w:jc w:val="right"/>
              <w:rPr>
                <w:color w:val="000000"/>
                <w:sz w:val="18"/>
                <w:szCs w:val="18"/>
                <w:lang w:eastAsia="tr-TR"/>
              </w:rPr>
            </w:pPr>
            <w:r w:rsidRPr="00471CBA">
              <w:rPr>
                <w:sz w:val="18"/>
                <w:szCs w:val="18"/>
              </w:rPr>
              <w:t>-</w:t>
            </w:r>
          </w:p>
        </w:tc>
        <w:tc>
          <w:tcPr>
            <w:tcW w:w="1265" w:type="dxa"/>
            <w:vAlign w:val="bottom"/>
            <w:hideMark/>
          </w:tcPr>
          <w:p w14:paraId="2E437168" w14:textId="77777777" w:rsidR="00A74C68" w:rsidRPr="00471CBA" w:rsidRDefault="00A74C68" w:rsidP="00A74C68">
            <w:pPr>
              <w:jc w:val="right"/>
              <w:rPr>
                <w:color w:val="000000"/>
                <w:sz w:val="18"/>
                <w:szCs w:val="18"/>
                <w:lang w:eastAsia="tr-TR"/>
              </w:rPr>
            </w:pPr>
            <w:r w:rsidRPr="00471CBA">
              <w:rPr>
                <w:sz w:val="18"/>
                <w:szCs w:val="18"/>
              </w:rPr>
              <w:t>%0,00</w:t>
            </w:r>
          </w:p>
        </w:tc>
      </w:tr>
      <w:tr w:rsidR="00A74C68" w:rsidRPr="00471CBA" w14:paraId="01827E55" w14:textId="77777777" w:rsidTr="00A74C68">
        <w:trPr>
          <w:divId w:val="1829205549"/>
          <w:trHeight w:val="255"/>
        </w:trPr>
        <w:tc>
          <w:tcPr>
            <w:tcW w:w="320" w:type="dxa"/>
            <w:noWrap/>
            <w:hideMark/>
          </w:tcPr>
          <w:p w14:paraId="1A1448C5" w14:textId="77777777" w:rsidR="00A74C68" w:rsidRPr="00471CBA" w:rsidRDefault="00A74C68" w:rsidP="00A74C68">
            <w:pPr>
              <w:rPr>
                <w:color w:val="000000"/>
                <w:sz w:val="18"/>
                <w:szCs w:val="18"/>
                <w:lang w:eastAsia="tr-TR"/>
              </w:rPr>
            </w:pPr>
            <w:r w:rsidRPr="00471CBA">
              <w:rPr>
                <w:color w:val="000000"/>
                <w:sz w:val="18"/>
                <w:szCs w:val="18"/>
                <w:lang w:eastAsia="tr-TR"/>
              </w:rPr>
              <w:t>14</w:t>
            </w:r>
          </w:p>
        </w:tc>
        <w:tc>
          <w:tcPr>
            <w:tcW w:w="2232" w:type="dxa"/>
            <w:noWrap/>
            <w:hideMark/>
          </w:tcPr>
          <w:p w14:paraId="17387F77" w14:textId="77777777" w:rsidR="00A74C68" w:rsidRPr="00471CBA" w:rsidRDefault="00A74C68" w:rsidP="00A74C68">
            <w:pPr>
              <w:rPr>
                <w:color w:val="000000"/>
                <w:sz w:val="18"/>
                <w:szCs w:val="18"/>
                <w:lang w:eastAsia="tr-TR"/>
              </w:rPr>
            </w:pPr>
            <w:r w:rsidRPr="00471CBA">
              <w:rPr>
                <w:color w:val="000000"/>
                <w:sz w:val="18"/>
                <w:szCs w:val="18"/>
                <w:lang w:eastAsia="tr-TR"/>
              </w:rPr>
              <w:t>Bankalardan ve aracı kurumlardan olan kısa vadeli alacaklar ile kısa vadeli kurumsal alacaklar</w:t>
            </w:r>
          </w:p>
        </w:tc>
        <w:tc>
          <w:tcPr>
            <w:tcW w:w="1129" w:type="dxa"/>
            <w:vAlign w:val="bottom"/>
            <w:hideMark/>
          </w:tcPr>
          <w:p w14:paraId="6D7EC029" w14:textId="77777777" w:rsidR="00A74C68" w:rsidRPr="00471CBA" w:rsidRDefault="00A74C68" w:rsidP="00A74C68">
            <w:pPr>
              <w:jc w:val="right"/>
              <w:rPr>
                <w:color w:val="000000"/>
                <w:sz w:val="18"/>
                <w:szCs w:val="18"/>
                <w:lang w:eastAsia="tr-TR"/>
              </w:rPr>
            </w:pPr>
            <w:r w:rsidRPr="00471CBA">
              <w:rPr>
                <w:sz w:val="18"/>
                <w:szCs w:val="18"/>
              </w:rPr>
              <w:t>-</w:t>
            </w:r>
          </w:p>
        </w:tc>
        <w:tc>
          <w:tcPr>
            <w:tcW w:w="1129" w:type="dxa"/>
            <w:vAlign w:val="bottom"/>
            <w:hideMark/>
          </w:tcPr>
          <w:p w14:paraId="329ECD1F" w14:textId="77777777" w:rsidR="00A74C68" w:rsidRPr="00471CBA" w:rsidRDefault="00A74C68" w:rsidP="00A74C68">
            <w:pPr>
              <w:jc w:val="right"/>
              <w:rPr>
                <w:color w:val="000000"/>
                <w:sz w:val="18"/>
                <w:szCs w:val="18"/>
                <w:lang w:eastAsia="tr-TR"/>
              </w:rPr>
            </w:pPr>
            <w:r w:rsidRPr="00471CBA">
              <w:rPr>
                <w:sz w:val="18"/>
                <w:szCs w:val="18"/>
              </w:rPr>
              <w:t>-</w:t>
            </w:r>
          </w:p>
        </w:tc>
        <w:tc>
          <w:tcPr>
            <w:tcW w:w="1130" w:type="dxa"/>
            <w:vAlign w:val="bottom"/>
            <w:hideMark/>
          </w:tcPr>
          <w:p w14:paraId="112FEB37" w14:textId="77777777" w:rsidR="00A74C68" w:rsidRPr="00471CBA" w:rsidRDefault="00A74C68" w:rsidP="00A74C68">
            <w:pPr>
              <w:jc w:val="right"/>
              <w:rPr>
                <w:color w:val="000000"/>
                <w:sz w:val="18"/>
                <w:szCs w:val="18"/>
                <w:lang w:eastAsia="tr-TR"/>
              </w:rPr>
            </w:pPr>
            <w:r w:rsidRPr="00471CBA">
              <w:rPr>
                <w:sz w:val="18"/>
                <w:szCs w:val="18"/>
              </w:rPr>
              <w:t>-</w:t>
            </w:r>
          </w:p>
        </w:tc>
        <w:tc>
          <w:tcPr>
            <w:tcW w:w="1127" w:type="dxa"/>
            <w:vAlign w:val="bottom"/>
            <w:hideMark/>
          </w:tcPr>
          <w:p w14:paraId="765F655C" w14:textId="77777777" w:rsidR="00A74C68" w:rsidRPr="00471CBA" w:rsidRDefault="00A74C68" w:rsidP="00A74C68">
            <w:pPr>
              <w:jc w:val="right"/>
              <w:rPr>
                <w:color w:val="000000"/>
                <w:sz w:val="18"/>
                <w:szCs w:val="18"/>
                <w:lang w:eastAsia="tr-TR"/>
              </w:rPr>
            </w:pPr>
            <w:r w:rsidRPr="00471CBA">
              <w:rPr>
                <w:sz w:val="18"/>
                <w:szCs w:val="18"/>
              </w:rPr>
              <w:t>-</w:t>
            </w:r>
          </w:p>
        </w:tc>
        <w:tc>
          <w:tcPr>
            <w:tcW w:w="1261" w:type="dxa"/>
            <w:vAlign w:val="bottom"/>
            <w:hideMark/>
          </w:tcPr>
          <w:p w14:paraId="44C06618" w14:textId="77777777" w:rsidR="00A74C68" w:rsidRPr="00471CBA" w:rsidRDefault="00A74C68" w:rsidP="00A74C68">
            <w:pPr>
              <w:jc w:val="right"/>
              <w:rPr>
                <w:color w:val="000000"/>
                <w:sz w:val="18"/>
                <w:szCs w:val="18"/>
                <w:lang w:eastAsia="tr-TR"/>
              </w:rPr>
            </w:pPr>
            <w:r w:rsidRPr="00471CBA">
              <w:rPr>
                <w:sz w:val="18"/>
                <w:szCs w:val="18"/>
              </w:rPr>
              <w:t>-</w:t>
            </w:r>
          </w:p>
        </w:tc>
        <w:tc>
          <w:tcPr>
            <w:tcW w:w="1265" w:type="dxa"/>
            <w:vAlign w:val="bottom"/>
            <w:hideMark/>
          </w:tcPr>
          <w:p w14:paraId="2419814F" w14:textId="77777777" w:rsidR="00A74C68" w:rsidRPr="00471CBA" w:rsidRDefault="00A74C68" w:rsidP="00A74C68">
            <w:pPr>
              <w:jc w:val="right"/>
              <w:rPr>
                <w:color w:val="000000"/>
                <w:sz w:val="18"/>
                <w:szCs w:val="18"/>
                <w:lang w:eastAsia="tr-TR"/>
              </w:rPr>
            </w:pPr>
            <w:r w:rsidRPr="00471CBA">
              <w:rPr>
                <w:sz w:val="18"/>
                <w:szCs w:val="18"/>
              </w:rPr>
              <w:t>%0,00</w:t>
            </w:r>
          </w:p>
        </w:tc>
      </w:tr>
      <w:tr w:rsidR="00A74C68" w:rsidRPr="00471CBA" w14:paraId="41EA1D4F" w14:textId="77777777" w:rsidTr="00A74C68">
        <w:trPr>
          <w:divId w:val="1829205549"/>
          <w:trHeight w:val="255"/>
        </w:trPr>
        <w:tc>
          <w:tcPr>
            <w:tcW w:w="320" w:type="dxa"/>
            <w:noWrap/>
            <w:hideMark/>
          </w:tcPr>
          <w:p w14:paraId="06353310" w14:textId="77777777" w:rsidR="00A74C68" w:rsidRPr="00471CBA" w:rsidRDefault="00A74C68" w:rsidP="00A74C68">
            <w:pPr>
              <w:rPr>
                <w:color w:val="000000"/>
                <w:sz w:val="18"/>
                <w:szCs w:val="18"/>
                <w:lang w:eastAsia="tr-TR"/>
              </w:rPr>
            </w:pPr>
            <w:r w:rsidRPr="00471CBA">
              <w:rPr>
                <w:color w:val="000000"/>
                <w:sz w:val="18"/>
                <w:szCs w:val="18"/>
                <w:lang w:eastAsia="tr-TR"/>
              </w:rPr>
              <w:t>15</w:t>
            </w:r>
          </w:p>
        </w:tc>
        <w:tc>
          <w:tcPr>
            <w:tcW w:w="2232" w:type="dxa"/>
            <w:noWrap/>
            <w:hideMark/>
          </w:tcPr>
          <w:p w14:paraId="41F4986C" w14:textId="77777777" w:rsidR="00A74C68" w:rsidRPr="00471CBA" w:rsidRDefault="00A74C68" w:rsidP="00A74C68">
            <w:pPr>
              <w:rPr>
                <w:color w:val="000000"/>
                <w:sz w:val="18"/>
                <w:szCs w:val="18"/>
                <w:lang w:eastAsia="tr-TR"/>
              </w:rPr>
            </w:pPr>
            <w:r w:rsidRPr="00471CBA">
              <w:rPr>
                <w:color w:val="000000"/>
                <w:sz w:val="18"/>
                <w:szCs w:val="18"/>
                <w:lang w:eastAsia="tr-TR"/>
              </w:rPr>
              <w:t>Kolektif yatırım kuruluşu niteliğindeki yatırımlar</w:t>
            </w:r>
          </w:p>
        </w:tc>
        <w:tc>
          <w:tcPr>
            <w:tcW w:w="1129" w:type="dxa"/>
            <w:vAlign w:val="bottom"/>
            <w:hideMark/>
          </w:tcPr>
          <w:p w14:paraId="5F8841A1" w14:textId="77777777" w:rsidR="00A74C68" w:rsidRPr="00471CBA" w:rsidRDefault="00A74C68" w:rsidP="00A74C68">
            <w:pPr>
              <w:jc w:val="right"/>
              <w:rPr>
                <w:color w:val="000000"/>
                <w:sz w:val="18"/>
                <w:szCs w:val="18"/>
                <w:lang w:eastAsia="tr-TR"/>
              </w:rPr>
            </w:pPr>
            <w:r w:rsidRPr="00471CBA">
              <w:rPr>
                <w:sz w:val="18"/>
                <w:szCs w:val="18"/>
              </w:rPr>
              <w:t>948</w:t>
            </w:r>
          </w:p>
        </w:tc>
        <w:tc>
          <w:tcPr>
            <w:tcW w:w="1129" w:type="dxa"/>
            <w:vAlign w:val="bottom"/>
            <w:hideMark/>
          </w:tcPr>
          <w:p w14:paraId="094AA8A4" w14:textId="77777777" w:rsidR="00A74C68" w:rsidRPr="00471CBA" w:rsidRDefault="00A74C68" w:rsidP="00A74C68">
            <w:pPr>
              <w:jc w:val="right"/>
              <w:rPr>
                <w:color w:val="000000"/>
                <w:sz w:val="18"/>
                <w:szCs w:val="18"/>
                <w:lang w:eastAsia="tr-TR"/>
              </w:rPr>
            </w:pPr>
            <w:r w:rsidRPr="00471CBA">
              <w:rPr>
                <w:sz w:val="18"/>
                <w:szCs w:val="18"/>
              </w:rPr>
              <w:t>-</w:t>
            </w:r>
          </w:p>
        </w:tc>
        <w:tc>
          <w:tcPr>
            <w:tcW w:w="1130" w:type="dxa"/>
            <w:vAlign w:val="bottom"/>
            <w:hideMark/>
          </w:tcPr>
          <w:p w14:paraId="10344551" w14:textId="77777777" w:rsidR="00A74C68" w:rsidRPr="00471CBA" w:rsidRDefault="00A74C68" w:rsidP="00A74C68">
            <w:pPr>
              <w:jc w:val="right"/>
              <w:rPr>
                <w:color w:val="000000"/>
                <w:sz w:val="18"/>
                <w:szCs w:val="18"/>
                <w:lang w:eastAsia="tr-TR"/>
              </w:rPr>
            </w:pPr>
            <w:r w:rsidRPr="00471CBA">
              <w:rPr>
                <w:sz w:val="18"/>
                <w:szCs w:val="18"/>
              </w:rPr>
              <w:t>948</w:t>
            </w:r>
          </w:p>
        </w:tc>
        <w:tc>
          <w:tcPr>
            <w:tcW w:w="1127" w:type="dxa"/>
            <w:vAlign w:val="bottom"/>
            <w:hideMark/>
          </w:tcPr>
          <w:p w14:paraId="4053EE92" w14:textId="77777777" w:rsidR="00A74C68" w:rsidRPr="00471CBA" w:rsidRDefault="00A74C68" w:rsidP="00A74C68">
            <w:pPr>
              <w:jc w:val="right"/>
              <w:rPr>
                <w:color w:val="000000"/>
                <w:sz w:val="18"/>
                <w:szCs w:val="18"/>
                <w:lang w:eastAsia="tr-TR"/>
              </w:rPr>
            </w:pPr>
            <w:r w:rsidRPr="00471CBA">
              <w:rPr>
                <w:sz w:val="18"/>
                <w:szCs w:val="18"/>
              </w:rPr>
              <w:t>-</w:t>
            </w:r>
          </w:p>
        </w:tc>
        <w:tc>
          <w:tcPr>
            <w:tcW w:w="1261" w:type="dxa"/>
            <w:vAlign w:val="bottom"/>
            <w:hideMark/>
          </w:tcPr>
          <w:p w14:paraId="6EF42F14" w14:textId="77777777" w:rsidR="00A74C68" w:rsidRPr="00471CBA" w:rsidRDefault="00A74C68" w:rsidP="00A74C68">
            <w:pPr>
              <w:jc w:val="right"/>
              <w:rPr>
                <w:color w:val="000000"/>
                <w:sz w:val="18"/>
                <w:szCs w:val="18"/>
                <w:lang w:eastAsia="tr-TR"/>
              </w:rPr>
            </w:pPr>
            <w:r w:rsidRPr="00471CBA">
              <w:rPr>
                <w:sz w:val="18"/>
                <w:szCs w:val="18"/>
              </w:rPr>
              <w:t>948</w:t>
            </w:r>
          </w:p>
        </w:tc>
        <w:tc>
          <w:tcPr>
            <w:tcW w:w="1265" w:type="dxa"/>
            <w:vAlign w:val="bottom"/>
            <w:hideMark/>
          </w:tcPr>
          <w:p w14:paraId="28BEFC84" w14:textId="77777777" w:rsidR="00A74C68" w:rsidRPr="00471CBA" w:rsidRDefault="00A74C68" w:rsidP="00A74C68">
            <w:pPr>
              <w:jc w:val="right"/>
              <w:rPr>
                <w:color w:val="000000"/>
                <w:sz w:val="18"/>
                <w:szCs w:val="18"/>
                <w:lang w:eastAsia="tr-TR"/>
              </w:rPr>
            </w:pPr>
            <w:r w:rsidRPr="00471CBA">
              <w:rPr>
                <w:sz w:val="18"/>
                <w:szCs w:val="18"/>
              </w:rPr>
              <w:t>%100,00</w:t>
            </w:r>
          </w:p>
        </w:tc>
      </w:tr>
      <w:tr w:rsidR="00A74C68" w:rsidRPr="00471CBA" w14:paraId="13F8A737" w14:textId="77777777" w:rsidTr="00A74C68">
        <w:trPr>
          <w:divId w:val="1829205549"/>
          <w:trHeight w:val="255"/>
        </w:trPr>
        <w:tc>
          <w:tcPr>
            <w:tcW w:w="320" w:type="dxa"/>
            <w:noWrap/>
            <w:hideMark/>
          </w:tcPr>
          <w:p w14:paraId="4D7332DE" w14:textId="77777777" w:rsidR="00A74C68" w:rsidRPr="00471CBA" w:rsidRDefault="00A74C68" w:rsidP="00A74C68">
            <w:pPr>
              <w:rPr>
                <w:color w:val="000000"/>
                <w:sz w:val="18"/>
                <w:szCs w:val="18"/>
                <w:lang w:eastAsia="tr-TR"/>
              </w:rPr>
            </w:pPr>
            <w:r w:rsidRPr="00471CBA">
              <w:rPr>
                <w:color w:val="000000"/>
                <w:sz w:val="18"/>
                <w:szCs w:val="18"/>
                <w:lang w:eastAsia="tr-TR"/>
              </w:rPr>
              <w:t>16</w:t>
            </w:r>
          </w:p>
        </w:tc>
        <w:tc>
          <w:tcPr>
            <w:tcW w:w="2232" w:type="dxa"/>
            <w:noWrap/>
            <w:hideMark/>
          </w:tcPr>
          <w:p w14:paraId="57736050" w14:textId="77777777" w:rsidR="00A74C68" w:rsidRPr="00471CBA" w:rsidRDefault="00A74C68" w:rsidP="00A74C68">
            <w:pPr>
              <w:rPr>
                <w:color w:val="000000"/>
                <w:sz w:val="18"/>
                <w:szCs w:val="18"/>
                <w:lang w:eastAsia="tr-TR"/>
              </w:rPr>
            </w:pPr>
            <w:r w:rsidRPr="00471CBA">
              <w:rPr>
                <w:color w:val="000000"/>
                <w:sz w:val="18"/>
                <w:szCs w:val="18"/>
                <w:lang w:eastAsia="tr-TR"/>
              </w:rPr>
              <w:t>Diğer alacaklar</w:t>
            </w:r>
          </w:p>
        </w:tc>
        <w:tc>
          <w:tcPr>
            <w:tcW w:w="1129" w:type="dxa"/>
            <w:vAlign w:val="bottom"/>
            <w:hideMark/>
          </w:tcPr>
          <w:p w14:paraId="0042CBF6" w14:textId="77777777" w:rsidR="00A74C68" w:rsidRPr="00471CBA" w:rsidRDefault="00A74C68" w:rsidP="00A74C68">
            <w:pPr>
              <w:jc w:val="right"/>
              <w:rPr>
                <w:color w:val="000000"/>
                <w:sz w:val="18"/>
                <w:szCs w:val="18"/>
                <w:lang w:eastAsia="tr-TR"/>
              </w:rPr>
            </w:pPr>
            <w:r w:rsidRPr="00471CBA">
              <w:rPr>
                <w:sz w:val="18"/>
                <w:szCs w:val="18"/>
              </w:rPr>
              <w:t>991.124</w:t>
            </w:r>
          </w:p>
        </w:tc>
        <w:tc>
          <w:tcPr>
            <w:tcW w:w="1129" w:type="dxa"/>
            <w:vAlign w:val="bottom"/>
            <w:hideMark/>
          </w:tcPr>
          <w:p w14:paraId="1D974940" w14:textId="77777777" w:rsidR="00A74C68" w:rsidRPr="00471CBA" w:rsidRDefault="00A74C68" w:rsidP="00A74C68">
            <w:pPr>
              <w:jc w:val="right"/>
              <w:rPr>
                <w:color w:val="000000"/>
                <w:sz w:val="18"/>
                <w:szCs w:val="18"/>
                <w:lang w:eastAsia="tr-TR"/>
              </w:rPr>
            </w:pPr>
            <w:r w:rsidRPr="00471CBA">
              <w:rPr>
                <w:sz w:val="18"/>
                <w:szCs w:val="18"/>
              </w:rPr>
              <w:t>-</w:t>
            </w:r>
          </w:p>
        </w:tc>
        <w:tc>
          <w:tcPr>
            <w:tcW w:w="1130" w:type="dxa"/>
            <w:vAlign w:val="bottom"/>
            <w:hideMark/>
          </w:tcPr>
          <w:p w14:paraId="4FE1EE86" w14:textId="77777777" w:rsidR="00A74C68" w:rsidRPr="00471CBA" w:rsidRDefault="00A74C68" w:rsidP="00A74C68">
            <w:pPr>
              <w:jc w:val="right"/>
              <w:rPr>
                <w:color w:val="000000"/>
                <w:sz w:val="18"/>
                <w:szCs w:val="18"/>
                <w:lang w:eastAsia="tr-TR"/>
              </w:rPr>
            </w:pPr>
            <w:r w:rsidRPr="00471CBA">
              <w:rPr>
                <w:sz w:val="18"/>
                <w:szCs w:val="18"/>
              </w:rPr>
              <w:t>991.124</w:t>
            </w:r>
          </w:p>
        </w:tc>
        <w:tc>
          <w:tcPr>
            <w:tcW w:w="1127" w:type="dxa"/>
            <w:vAlign w:val="bottom"/>
            <w:hideMark/>
          </w:tcPr>
          <w:p w14:paraId="29885D7A" w14:textId="77777777" w:rsidR="00A74C68" w:rsidRPr="00471CBA" w:rsidRDefault="00A74C68" w:rsidP="00A74C68">
            <w:pPr>
              <w:jc w:val="right"/>
              <w:rPr>
                <w:color w:val="000000"/>
                <w:sz w:val="18"/>
                <w:szCs w:val="18"/>
                <w:lang w:eastAsia="tr-TR"/>
              </w:rPr>
            </w:pPr>
            <w:r w:rsidRPr="00471CBA">
              <w:rPr>
                <w:sz w:val="18"/>
                <w:szCs w:val="18"/>
              </w:rPr>
              <w:t>-</w:t>
            </w:r>
          </w:p>
        </w:tc>
        <w:tc>
          <w:tcPr>
            <w:tcW w:w="1261" w:type="dxa"/>
            <w:vAlign w:val="bottom"/>
            <w:hideMark/>
          </w:tcPr>
          <w:p w14:paraId="6F76E024" w14:textId="77777777" w:rsidR="00A74C68" w:rsidRPr="00471CBA" w:rsidRDefault="00A74C68" w:rsidP="00A74C68">
            <w:pPr>
              <w:jc w:val="right"/>
              <w:rPr>
                <w:color w:val="000000"/>
                <w:sz w:val="18"/>
                <w:szCs w:val="18"/>
                <w:lang w:eastAsia="tr-TR"/>
              </w:rPr>
            </w:pPr>
            <w:r w:rsidRPr="00471CBA">
              <w:rPr>
                <w:sz w:val="18"/>
                <w:szCs w:val="18"/>
              </w:rPr>
              <w:t>569.330</w:t>
            </w:r>
          </w:p>
        </w:tc>
        <w:tc>
          <w:tcPr>
            <w:tcW w:w="1265" w:type="dxa"/>
            <w:vAlign w:val="bottom"/>
            <w:hideMark/>
          </w:tcPr>
          <w:p w14:paraId="3E81C894" w14:textId="77777777" w:rsidR="00A74C68" w:rsidRPr="00471CBA" w:rsidRDefault="00A74C68" w:rsidP="00A74C68">
            <w:pPr>
              <w:jc w:val="right"/>
              <w:rPr>
                <w:color w:val="000000"/>
                <w:sz w:val="18"/>
                <w:szCs w:val="18"/>
                <w:lang w:eastAsia="tr-TR"/>
              </w:rPr>
            </w:pPr>
            <w:r w:rsidRPr="00471CBA">
              <w:rPr>
                <w:sz w:val="18"/>
                <w:szCs w:val="18"/>
              </w:rPr>
              <w:t>%57,44</w:t>
            </w:r>
          </w:p>
        </w:tc>
      </w:tr>
      <w:tr w:rsidR="00A74C68" w:rsidRPr="00471CBA" w14:paraId="298FA61D" w14:textId="77777777" w:rsidTr="00A74C68">
        <w:trPr>
          <w:divId w:val="1829205549"/>
          <w:trHeight w:val="255"/>
        </w:trPr>
        <w:tc>
          <w:tcPr>
            <w:tcW w:w="320" w:type="dxa"/>
            <w:tcBorders>
              <w:bottom w:val="single" w:sz="4" w:space="0" w:color="auto"/>
            </w:tcBorders>
            <w:noWrap/>
            <w:hideMark/>
          </w:tcPr>
          <w:p w14:paraId="4533AD77" w14:textId="77777777" w:rsidR="00A74C68" w:rsidRPr="00471CBA" w:rsidRDefault="00A74C68" w:rsidP="00A74C68">
            <w:pPr>
              <w:rPr>
                <w:color w:val="000000"/>
                <w:sz w:val="18"/>
                <w:szCs w:val="18"/>
                <w:lang w:eastAsia="tr-TR"/>
              </w:rPr>
            </w:pPr>
            <w:r w:rsidRPr="00471CBA">
              <w:rPr>
                <w:color w:val="000000"/>
                <w:sz w:val="18"/>
                <w:szCs w:val="18"/>
                <w:lang w:eastAsia="tr-TR"/>
              </w:rPr>
              <w:t>17</w:t>
            </w:r>
          </w:p>
        </w:tc>
        <w:tc>
          <w:tcPr>
            <w:tcW w:w="2232" w:type="dxa"/>
            <w:tcBorders>
              <w:bottom w:val="single" w:sz="4" w:space="0" w:color="auto"/>
            </w:tcBorders>
            <w:noWrap/>
            <w:hideMark/>
          </w:tcPr>
          <w:p w14:paraId="6A9288D1" w14:textId="77777777" w:rsidR="00A74C68" w:rsidRPr="00471CBA" w:rsidRDefault="00A74C68" w:rsidP="00A74C68">
            <w:pPr>
              <w:rPr>
                <w:color w:val="000000"/>
                <w:sz w:val="18"/>
                <w:szCs w:val="18"/>
                <w:lang w:eastAsia="tr-TR"/>
              </w:rPr>
            </w:pPr>
            <w:r w:rsidRPr="00471CBA">
              <w:rPr>
                <w:color w:val="000000"/>
                <w:sz w:val="18"/>
                <w:szCs w:val="18"/>
                <w:lang w:eastAsia="tr-TR"/>
              </w:rPr>
              <w:t>Hisse senedi yatırımları</w:t>
            </w:r>
          </w:p>
        </w:tc>
        <w:tc>
          <w:tcPr>
            <w:tcW w:w="1129" w:type="dxa"/>
            <w:tcBorders>
              <w:bottom w:val="single" w:sz="4" w:space="0" w:color="auto"/>
            </w:tcBorders>
            <w:vAlign w:val="bottom"/>
            <w:hideMark/>
          </w:tcPr>
          <w:p w14:paraId="1297AAEC" w14:textId="77777777" w:rsidR="00A74C68" w:rsidRPr="00471CBA" w:rsidRDefault="00A74C68" w:rsidP="00A74C68">
            <w:pPr>
              <w:jc w:val="right"/>
              <w:rPr>
                <w:color w:val="000000"/>
                <w:sz w:val="18"/>
                <w:szCs w:val="18"/>
                <w:lang w:eastAsia="tr-TR"/>
              </w:rPr>
            </w:pPr>
            <w:r w:rsidRPr="00471CBA">
              <w:rPr>
                <w:sz w:val="18"/>
                <w:szCs w:val="18"/>
              </w:rPr>
              <w:t>1.265</w:t>
            </w:r>
          </w:p>
        </w:tc>
        <w:tc>
          <w:tcPr>
            <w:tcW w:w="1129" w:type="dxa"/>
            <w:tcBorders>
              <w:bottom w:val="single" w:sz="4" w:space="0" w:color="auto"/>
            </w:tcBorders>
            <w:vAlign w:val="bottom"/>
            <w:hideMark/>
          </w:tcPr>
          <w:p w14:paraId="5F84CFE9" w14:textId="77777777" w:rsidR="00A74C68" w:rsidRPr="00471CBA" w:rsidRDefault="00A74C68" w:rsidP="00A74C68">
            <w:pPr>
              <w:jc w:val="right"/>
              <w:rPr>
                <w:color w:val="000000"/>
                <w:sz w:val="18"/>
                <w:szCs w:val="18"/>
                <w:lang w:eastAsia="tr-TR"/>
              </w:rPr>
            </w:pPr>
            <w:r w:rsidRPr="00471CBA">
              <w:rPr>
                <w:sz w:val="18"/>
                <w:szCs w:val="18"/>
              </w:rPr>
              <w:t>-</w:t>
            </w:r>
          </w:p>
        </w:tc>
        <w:tc>
          <w:tcPr>
            <w:tcW w:w="1130" w:type="dxa"/>
            <w:tcBorders>
              <w:bottom w:val="single" w:sz="4" w:space="0" w:color="auto"/>
            </w:tcBorders>
            <w:vAlign w:val="bottom"/>
            <w:hideMark/>
          </w:tcPr>
          <w:p w14:paraId="052915FC" w14:textId="77777777" w:rsidR="00A74C68" w:rsidRPr="00471CBA" w:rsidRDefault="00A74C68" w:rsidP="00A74C68">
            <w:pPr>
              <w:jc w:val="right"/>
              <w:rPr>
                <w:color w:val="000000"/>
                <w:sz w:val="18"/>
                <w:szCs w:val="18"/>
                <w:lang w:eastAsia="tr-TR"/>
              </w:rPr>
            </w:pPr>
            <w:r w:rsidRPr="00471CBA">
              <w:rPr>
                <w:sz w:val="18"/>
                <w:szCs w:val="18"/>
              </w:rPr>
              <w:t>1.265</w:t>
            </w:r>
          </w:p>
        </w:tc>
        <w:tc>
          <w:tcPr>
            <w:tcW w:w="1127" w:type="dxa"/>
            <w:tcBorders>
              <w:bottom w:val="single" w:sz="4" w:space="0" w:color="auto"/>
            </w:tcBorders>
            <w:vAlign w:val="bottom"/>
            <w:hideMark/>
          </w:tcPr>
          <w:p w14:paraId="143D0D16" w14:textId="77777777" w:rsidR="00A74C68" w:rsidRPr="00471CBA" w:rsidRDefault="00A74C68" w:rsidP="00A74C68">
            <w:pPr>
              <w:jc w:val="right"/>
              <w:rPr>
                <w:color w:val="000000"/>
                <w:sz w:val="18"/>
                <w:szCs w:val="18"/>
                <w:lang w:eastAsia="tr-TR"/>
              </w:rPr>
            </w:pPr>
            <w:r w:rsidRPr="00471CBA">
              <w:rPr>
                <w:sz w:val="18"/>
                <w:szCs w:val="18"/>
              </w:rPr>
              <w:t>-</w:t>
            </w:r>
          </w:p>
        </w:tc>
        <w:tc>
          <w:tcPr>
            <w:tcW w:w="1261" w:type="dxa"/>
            <w:tcBorders>
              <w:bottom w:val="single" w:sz="4" w:space="0" w:color="auto"/>
            </w:tcBorders>
            <w:vAlign w:val="bottom"/>
            <w:hideMark/>
          </w:tcPr>
          <w:p w14:paraId="052BC2BD" w14:textId="77777777" w:rsidR="00A74C68" w:rsidRPr="00471CBA" w:rsidRDefault="00A74C68" w:rsidP="00A74C68">
            <w:pPr>
              <w:jc w:val="right"/>
              <w:rPr>
                <w:color w:val="000000"/>
                <w:sz w:val="18"/>
                <w:szCs w:val="18"/>
                <w:lang w:eastAsia="tr-TR"/>
              </w:rPr>
            </w:pPr>
            <w:r w:rsidRPr="00471CBA">
              <w:rPr>
                <w:sz w:val="18"/>
                <w:szCs w:val="18"/>
              </w:rPr>
              <w:t>1.265</w:t>
            </w:r>
          </w:p>
        </w:tc>
        <w:tc>
          <w:tcPr>
            <w:tcW w:w="1265" w:type="dxa"/>
            <w:tcBorders>
              <w:bottom w:val="single" w:sz="4" w:space="0" w:color="auto"/>
            </w:tcBorders>
            <w:vAlign w:val="bottom"/>
            <w:hideMark/>
          </w:tcPr>
          <w:p w14:paraId="7ADA738B" w14:textId="77777777" w:rsidR="00A74C68" w:rsidRPr="00471CBA" w:rsidRDefault="00A74C68" w:rsidP="00A74C68">
            <w:pPr>
              <w:jc w:val="right"/>
              <w:rPr>
                <w:color w:val="000000"/>
                <w:sz w:val="18"/>
                <w:szCs w:val="18"/>
                <w:lang w:eastAsia="tr-TR"/>
              </w:rPr>
            </w:pPr>
            <w:r w:rsidRPr="00471CBA">
              <w:rPr>
                <w:sz w:val="18"/>
                <w:szCs w:val="18"/>
              </w:rPr>
              <w:t>%100,00</w:t>
            </w:r>
          </w:p>
        </w:tc>
      </w:tr>
      <w:tr w:rsidR="00A74C68" w:rsidRPr="00471CBA" w14:paraId="153F488A" w14:textId="77777777" w:rsidTr="00A74C68">
        <w:trPr>
          <w:divId w:val="1829205549"/>
          <w:trHeight w:val="255"/>
        </w:trPr>
        <w:tc>
          <w:tcPr>
            <w:tcW w:w="320" w:type="dxa"/>
            <w:tcBorders>
              <w:top w:val="single" w:sz="4" w:space="0" w:color="auto"/>
              <w:bottom w:val="single" w:sz="4" w:space="0" w:color="auto"/>
            </w:tcBorders>
            <w:noWrap/>
            <w:hideMark/>
          </w:tcPr>
          <w:p w14:paraId="06E481E0" w14:textId="77777777" w:rsidR="00A74C68" w:rsidRPr="00471CBA" w:rsidRDefault="00A74C68" w:rsidP="00A74C68">
            <w:pPr>
              <w:rPr>
                <w:b/>
                <w:bCs/>
                <w:color w:val="000000"/>
                <w:sz w:val="18"/>
                <w:szCs w:val="18"/>
                <w:lang w:eastAsia="tr-TR"/>
              </w:rPr>
            </w:pPr>
            <w:r w:rsidRPr="00471CBA">
              <w:rPr>
                <w:b/>
                <w:bCs/>
                <w:color w:val="000000"/>
                <w:sz w:val="18"/>
                <w:szCs w:val="18"/>
                <w:lang w:eastAsia="tr-TR"/>
              </w:rPr>
              <w:t>18</w:t>
            </w:r>
          </w:p>
        </w:tc>
        <w:tc>
          <w:tcPr>
            <w:tcW w:w="2232" w:type="dxa"/>
            <w:tcBorders>
              <w:top w:val="single" w:sz="4" w:space="0" w:color="auto"/>
              <w:bottom w:val="single" w:sz="4" w:space="0" w:color="auto"/>
            </w:tcBorders>
            <w:noWrap/>
            <w:hideMark/>
          </w:tcPr>
          <w:p w14:paraId="075731F7" w14:textId="77777777" w:rsidR="00A74C68" w:rsidRPr="00471CBA" w:rsidRDefault="00A74C68" w:rsidP="00A74C68">
            <w:pPr>
              <w:rPr>
                <w:b/>
                <w:bCs/>
                <w:color w:val="000000"/>
                <w:sz w:val="18"/>
                <w:szCs w:val="18"/>
                <w:lang w:eastAsia="tr-TR"/>
              </w:rPr>
            </w:pPr>
            <w:r w:rsidRPr="00471CBA">
              <w:rPr>
                <w:b/>
                <w:bCs/>
                <w:color w:val="000000"/>
                <w:sz w:val="18"/>
                <w:szCs w:val="18"/>
                <w:lang w:eastAsia="tr-TR"/>
              </w:rPr>
              <w:t>Toplam</w:t>
            </w:r>
          </w:p>
        </w:tc>
        <w:tc>
          <w:tcPr>
            <w:tcW w:w="1129" w:type="dxa"/>
            <w:tcBorders>
              <w:top w:val="single" w:sz="4" w:space="0" w:color="auto"/>
              <w:bottom w:val="single" w:sz="4" w:space="0" w:color="auto"/>
            </w:tcBorders>
            <w:vAlign w:val="bottom"/>
            <w:hideMark/>
          </w:tcPr>
          <w:p w14:paraId="37247E10" w14:textId="77777777" w:rsidR="00A74C68" w:rsidRPr="00471CBA" w:rsidRDefault="00A74C68" w:rsidP="00A74C68">
            <w:pPr>
              <w:jc w:val="right"/>
              <w:rPr>
                <w:b/>
                <w:bCs/>
                <w:color w:val="000000"/>
                <w:sz w:val="18"/>
                <w:szCs w:val="18"/>
                <w:lang w:eastAsia="tr-TR"/>
              </w:rPr>
            </w:pPr>
            <w:r w:rsidRPr="00471CBA">
              <w:rPr>
                <w:b/>
                <w:bCs/>
                <w:sz w:val="18"/>
                <w:szCs w:val="18"/>
              </w:rPr>
              <w:t>21.712.890</w:t>
            </w:r>
          </w:p>
        </w:tc>
        <w:tc>
          <w:tcPr>
            <w:tcW w:w="1129" w:type="dxa"/>
            <w:tcBorders>
              <w:top w:val="single" w:sz="4" w:space="0" w:color="auto"/>
              <w:bottom w:val="single" w:sz="4" w:space="0" w:color="auto"/>
            </w:tcBorders>
            <w:vAlign w:val="bottom"/>
            <w:hideMark/>
          </w:tcPr>
          <w:p w14:paraId="0E050189" w14:textId="77777777" w:rsidR="00A74C68" w:rsidRPr="00471CBA" w:rsidRDefault="00A74C68" w:rsidP="00A74C68">
            <w:pPr>
              <w:jc w:val="right"/>
              <w:rPr>
                <w:b/>
                <w:bCs/>
                <w:color w:val="000000"/>
                <w:sz w:val="18"/>
                <w:szCs w:val="18"/>
                <w:lang w:eastAsia="tr-TR"/>
              </w:rPr>
            </w:pPr>
            <w:r w:rsidRPr="00471CBA">
              <w:rPr>
                <w:b/>
                <w:bCs/>
                <w:sz w:val="18"/>
                <w:szCs w:val="18"/>
              </w:rPr>
              <w:t>16.155.466</w:t>
            </w:r>
          </w:p>
        </w:tc>
        <w:tc>
          <w:tcPr>
            <w:tcW w:w="1130" w:type="dxa"/>
            <w:tcBorders>
              <w:top w:val="single" w:sz="4" w:space="0" w:color="auto"/>
              <w:bottom w:val="single" w:sz="4" w:space="0" w:color="auto"/>
            </w:tcBorders>
            <w:vAlign w:val="bottom"/>
            <w:hideMark/>
          </w:tcPr>
          <w:p w14:paraId="71189073" w14:textId="77777777" w:rsidR="00A74C68" w:rsidRPr="00471CBA" w:rsidRDefault="00A74C68" w:rsidP="00A74C68">
            <w:pPr>
              <w:jc w:val="right"/>
              <w:rPr>
                <w:b/>
                <w:bCs/>
                <w:color w:val="000000"/>
                <w:sz w:val="18"/>
                <w:szCs w:val="18"/>
                <w:lang w:eastAsia="tr-TR"/>
              </w:rPr>
            </w:pPr>
            <w:r w:rsidRPr="00471CBA">
              <w:rPr>
                <w:b/>
                <w:bCs/>
                <w:sz w:val="18"/>
                <w:szCs w:val="18"/>
              </w:rPr>
              <w:t>21.712.890</w:t>
            </w:r>
          </w:p>
        </w:tc>
        <w:tc>
          <w:tcPr>
            <w:tcW w:w="1127" w:type="dxa"/>
            <w:tcBorders>
              <w:top w:val="single" w:sz="4" w:space="0" w:color="auto"/>
              <w:bottom w:val="single" w:sz="4" w:space="0" w:color="auto"/>
            </w:tcBorders>
            <w:vAlign w:val="bottom"/>
            <w:hideMark/>
          </w:tcPr>
          <w:p w14:paraId="566A8802" w14:textId="77777777" w:rsidR="00A74C68" w:rsidRPr="00471CBA" w:rsidRDefault="00A74C68" w:rsidP="00A74C68">
            <w:pPr>
              <w:jc w:val="right"/>
              <w:rPr>
                <w:b/>
                <w:bCs/>
                <w:color w:val="000000"/>
                <w:sz w:val="18"/>
                <w:szCs w:val="18"/>
                <w:lang w:eastAsia="tr-TR"/>
              </w:rPr>
            </w:pPr>
            <w:r w:rsidRPr="00471CBA">
              <w:rPr>
                <w:b/>
                <w:bCs/>
                <w:sz w:val="18"/>
                <w:szCs w:val="18"/>
              </w:rPr>
              <w:t>3.493.828</w:t>
            </w:r>
          </w:p>
        </w:tc>
        <w:tc>
          <w:tcPr>
            <w:tcW w:w="1261" w:type="dxa"/>
            <w:tcBorders>
              <w:top w:val="single" w:sz="4" w:space="0" w:color="auto"/>
              <w:bottom w:val="single" w:sz="4" w:space="0" w:color="auto"/>
            </w:tcBorders>
            <w:vAlign w:val="bottom"/>
            <w:hideMark/>
          </w:tcPr>
          <w:p w14:paraId="4FF094DC" w14:textId="77777777" w:rsidR="00A74C68" w:rsidRPr="00471CBA" w:rsidRDefault="00A74C68" w:rsidP="00A74C68">
            <w:pPr>
              <w:jc w:val="right"/>
              <w:rPr>
                <w:b/>
                <w:bCs/>
                <w:color w:val="000000"/>
                <w:sz w:val="18"/>
                <w:szCs w:val="18"/>
                <w:lang w:eastAsia="tr-TR"/>
              </w:rPr>
            </w:pPr>
            <w:r w:rsidRPr="00471CBA">
              <w:rPr>
                <w:b/>
                <w:bCs/>
                <w:sz w:val="18"/>
                <w:szCs w:val="18"/>
              </w:rPr>
              <w:t>14.607.187</w:t>
            </w:r>
          </w:p>
        </w:tc>
        <w:tc>
          <w:tcPr>
            <w:tcW w:w="1265" w:type="dxa"/>
            <w:tcBorders>
              <w:top w:val="single" w:sz="4" w:space="0" w:color="auto"/>
              <w:bottom w:val="single" w:sz="4" w:space="0" w:color="auto"/>
            </w:tcBorders>
            <w:vAlign w:val="bottom"/>
            <w:hideMark/>
          </w:tcPr>
          <w:p w14:paraId="5B8B977C" w14:textId="77777777" w:rsidR="00A74C68" w:rsidRPr="00471CBA" w:rsidRDefault="00A74C68" w:rsidP="00A74C68">
            <w:pPr>
              <w:jc w:val="right"/>
              <w:rPr>
                <w:color w:val="000000"/>
                <w:sz w:val="18"/>
                <w:szCs w:val="18"/>
                <w:lang w:eastAsia="tr-TR"/>
              </w:rPr>
            </w:pPr>
            <w:r w:rsidRPr="00471CBA">
              <w:rPr>
                <w:b/>
                <w:bCs/>
                <w:color w:val="000000"/>
                <w:sz w:val="18"/>
                <w:szCs w:val="18"/>
                <w:lang w:eastAsia="tr-TR"/>
              </w:rPr>
              <w:t> </w:t>
            </w:r>
          </w:p>
        </w:tc>
      </w:tr>
    </w:tbl>
    <w:p w14:paraId="0EB67F8C" w14:textId="3E2880E8" w:rsidR="00EE0925" w:rsidRPr="00471CBA" w:rsidRDefault="00EE0925" w:rsidP="00EE0925">
      <w:pPr>
        <w:rPr>
          <w:b/>
          <w:bCs/>
        </w:rPr>
      </w:pPr>
      <w:r w:rsidRPr="00471CBA">
        <w:rPr>
          <w:b/>
          <w:bCs/>
        </w:rPr>
        <w:br w:type="page"/>
      </w:r>
    </w:p>
    <w:p w14:paraId="0A47D529" w14:textId="77777777" w:rsidR="00EE0925" w:rsidRPr="00471CBA" w:rsidRDefault="00EE0925" w:rsidP="00EE0925">
      <w:pPr>
        <w:rPr>
          <w:b/>
          <w:bCs/>
        </w:rPr>
        <w:sectPr w:rsidR="00EE0925" w:rsidRPr="00471CBA" w:rsidSect="0004729F">
          <w:headerReference w:type="first" r:id="rId68"/>
          <w:pgSz w:w="11907" w:h="16840" w:code="9"/>
          <w:pgMar w:top="1134" w:right="1134" w:bottom="1134" w:left="1134" w:header="851" w:footer="851" w:gutter="0"/>
          <w:cols w:space="708"/>
          <w:titlePg/>
          <w:docGrid w:linePitch="360"/>
        </w:sectPr>
      </w:pPr>
    </w:p>
    <w:p w14:paraId="00C93B53" w14:textId="77777777" w:rsidR="00EE0925" w:rsidRPr="00471CBA" w:rsidRDefault="00EE0925" w:rsidP="00F36B82">
      <w:pPr>
        <w:pStyle w:val="GvdeMetniGirintisi"/>
        <w:widowControl w:val="0"/>
        <w:ind w:firstLine="0"/>
        <w:rPr>
          <w:b/>
          <w:szCs w:val="20"/>
        </w:rPr>
      </w:pPr>
      <w:r w:rsidRPr="00471CBA">
        <w:rPr>
          <w:b/>
          <w:szCs w:val="20"/>
        </w:rPr>
        <w:t>MALİ BÜNYEYE VE RİSK YÖNETİMİNE İLİŞKİN BİLGİLER (Devamı)</w:t>
      </w:r>
    </w:p>
    <w:p w14:paraId="42F57FD2" w14:textId="77777777" w:rsidR="00EE0925" w:rsidRPr="00471CBA" w:rsidRDefault="00EE0925" w:rsidP="00F36B82">
      <w:pPr>
        <w:widowControl w:val="0"/>
        <w:autoSpaceDE w:val="0"/>
        <w:autoSpaceDN w:val="0"/>
        <w:adjustRightInd w:val="0"/>
        <w:jc w:val="both"/>
        <w:rPr>
          <w:szCs w:val="20"/>
        </w:rPr>
      </w:pPr>
    </w:p>
    <w:p w14:paraId="5F357C9F" w14:textId="77777777" w:rsidR="00EE0925" w:rsidRPr="00471CBA" w:rsidRDefault="00EE0925" w:rsidP="00F36B82">
      <w:pPr>
        <w:widowControl w:val="0"/>
        <w:jc w:val="both"/>
        <w:outlineLvl w:val="1"/>
        <w:rPr>
          <w:b/>
          <w:szCs w:val="20"/>
        </w:rPr>
      </w:pPr>
      <w:r w:rsidRPr="00471CBA">
        <w:rPr>
          <w:b/>
          <w:szCs w:val="20"/>
        </w:rPr>
        <w:t>IX.</w:t>
      </w:r>
      <w:r w:rsidRPr="00471CBA">
        <w:rPr>
          <w:b/>
          <w:szCs w:val="20"/>
        </w:rPr>
        <w:tab/>
        <w:t xml:space="preserve"> RİSK YÖNETİMİNE İLİŞKİN AÇIKLAMALAR (Devamı)</w:t>
      </w:r>
    </w:p>
    <w:p w14:paraId="21FAC332" w14:textId="77777777" w:rsidR="00EE0925" w:rsidRPr="00471CBA" w:rsidRDefault="00EE0925" w:rsidP="00F36B82">
      <w:pPr>
        <w:rPr>
          <w:b/>
          <w:szCs w:val="20"/>
        </w:rPr>
      </w:pPr>
    </w:p>
    <w:p w14:paraId="2C1F0A11" w14:textId="6378989B" w:rsidR="00EE0925" w:rsidRPr="00471CBA" w:rsidRDefault="00EE0925" w:rsidP="00F36B82">
      <w:pPr>
        <w:rPr>
          <w:b/>
          <w:szCs w:val="20"/>
        </w:rPr>
      </w:pPr>
      <w:r w:rsidRPr="00471CBA">
        <w:rPr>
          <w:b/>
          <w:szCs w:val="20"/>
        </w:rPr>
        <w:t>c.3.</w:t>
      </w:r>
      <w:r w:rsidR="00F658F0">
        <w:rPr>
          <w:b/>
          <w:szCs w:val="20"/>
        </w:rPr>
        <w:t>3</w:t>
      </w:r>
      <w:r w:rsidRPr="00471CBA">
        <w:rPr>
          <w:b/>
          <w:szCs w:val="20"/>
        </w:rPr>
        <w:t xml:space="preserve">. </w:t>
      </w:r>
      <w:bookmarkStart w:id="68" w:name="_Hlk127255312"/>
      <w:r w:rsidRPr="00471CBA">
        <w:rPr>
          <w:b/>
          <w:szCs w:val="20"/>
        </w:rPr>
        <w:t>Risk Sınıflarına ve Risk Ağırlıklarına Göre Alacaklar:</w:t>
      </w:r>
      <w:bookmarkEnd w:id="68"/>
    </w:p>
    <w:p w14:paraId="3DD1EACB" w14:textId="77777777" w:rsidR="00EE0925" w:rsidRPr="00471CBA" w:rsidRDefault="00EE0925" w:rsidP="00F36B82">
      <w:pPr>
        <w:rPr>
          <w:b/>
          <w:szCs w:val="20"/>
        </w:rPr>
      </w:pPr>
    </w:p>
    <w:tbl>
      <w:tblPr>
        <w:tblStyle w:val="TabloKlavuz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4"/>
        <w:gridCol w:w="2552"/>
        <w:gridCol w:w="936"/>
        <w:gridCol w:w="691"/>
        <w:gridCol w:w="936"/>
        <w:gridCol w:w="674"/>
        <w:gridCol w:w="1665"/>
        <w:gridCol w:w="856"/>
        <w:gridCol w:w="728"/>
        <w:gridCol w:w="960"/>
        <w:gridCol w:w="626"/>
        <w:gridCol w:w="626"/>
        <w:gridCol w:w="971"/>
        <w:gridCol w:w="960"/>
      </w:tblGrid>
      <w:tr w:rsidR="00EE0925" w:rsidRPr="00471CBA" w14:paraId="50FD2306" w14:textId="77777777" w:rsidTr="00F36B82">
        <w:trPr>
          <w:trHeight w:val="170"/>
        </w:trPr>
        <w:tc>
          <w:tcPr>
            <w:tcW w:w="278" w:type="pct"/>
            <w:tcBorders>
              <w:top w:val="single" w:sz="4" w:space="0" w:color="auto"/>
              <w:bottom w:val="single" w:sz="4" w:space="0" w:color="auto"/>
            </w:tcBorders>
            <w:noWrap/>
            <w:hideMark/>
          </w:tcPr>
          <w:p w14:paraId="39294590" w14:textId="77777777" w:rsidR="00EE0925" w:rsidRPr="00471CBA" w:rsidRDefault="00EE0925" w:rsidP="00B04479">
            <w:pPr>
              <w:rPr>
                <w:sz w:val="16"/>
                <w:szCs w:val="16"/>
              </w:rPr>
            </w:pPr>
            <w:r w:rsidRPr="00471CBA">
              <w:rPr>
                <w:sz w:val="16"/>
                <w:szCs w:val="16"/>
              </w:rPr>
              <w:tab/>
              <w:t> </w:t>
            </w:r>
          </w:p>
        </w:tc>
        <w:tc>
          <w:tcPr>
            <w:tcW w:w="918" w:type="pct"/>
            <w:tcBorders>
              <w:top w:val="single" w:sz="4" w:space="0" w:color="auto"/>
              <w:bottom w:val="single" w:sz="4" w:space="0" w:color="auto"/>
            </w:tcBorders>
            <w:vAlign w:val="bottom"/>
            <w:hideMark/>
          </w:tcPr>
          <w:p w14:paraId="7F5E7AA7" w14:textId="632D3256" w:rsidR="00EE0925" w:rsidRPr="00471CBA" w:rsidRDefault="00802DBC" w:rsidP="00B04479">
            <w:pPr>
              <w:spacing w:before="120"/>
              <w:contextualSpacing/>
              <w:rPr>
                <w:b/>
                <w:sz w:val="16"/>
                <w:szCs w:val="16"/>
              </w:rPr>
            </w:pPr>
            <w:r w:rsidRPr="00471CBA">
              <w:rPr>
                <w:b/>
                <w:sz w:val="16"/>
                <w:szCs w:val="16"/>
              </w:rPr>
              <w:t>31 Aralık</w:t>
            </w:r>
            <w:r w:rsidR="00EE0925" w:rsidRPr="00471CBA">
              <w:rPr>
                <w:b/>
                <w:sz w:val="16"/>
                <w:szCs w:val="16"/>
              </w:rPr>
              <w:t xml:space="preserve"> 2025</w:t>
            </w:r>
          </w:p>
          <w:p w14:paraId="66945499" w14:textId="77777777" w:rsidR="00EE0925" w:rsidRPr="00471CBA" w:rsidRDefault="00EE0925" w:rsidP="00B04479">
            <w:pPr>
              <w:spacing w:before="120"/>
              <w:contextualSpacing/>
              <w:rPr>
                <w:b/>
                <w:sz w:val="16"/>
                <w:szCs w:val="16"/>
              </w:rPr>
            </w:pPr>
          </w:p>
          <w:p w14:paraId="637E5C34" w14:textId="77777777" w:rsidR="00EE0925" w:rsidRPr="00471CBA" w:rsidRDefault="00EE0925" w:rsidP="00B04479">
            <w:pPr>
              <w:spacing w:before="120"/>
              <w:contextualSpacing/>
              <w:rPr>
                <w:b/>
                <w:sz w:val="16"/>
                <w:szCs w:val="16"/>
              </w:rPr>
            </w:pPr>
            <w:r w:rsidRPr="00471CBA">
              <w:rPr>
                <w:b/>
                <w:sz w:val="16"/>
                <w:szCs w:val="16"/>
              </w:rPr>
              <w:t>Risk Sınıfları/Risk Ağırlığı</w:t>
            </w:r>
          </w:p>
        </w:tc>
        <w:tc>
          <w:tcPr>
            <w:tcW w:w="319" w:type="pct"/>
            <w:tcBorders>
              <w:top w:val="single" w:sz="4" w:space="0" w:color="auto"/>
              <w:bottom w:val="single" w:sz="4" w:space="0" w:color="auto"/>
            </w:tcBorders>
            <w:vAlign w:val="bottom"/>
            <w:hideMark/>
          </w:tcPr>
          <w:p w14:paraId="01A422F1" w14:textId="77777777" w:rsidR="00EE0925" w:rsidRPr="00471CBA" w:rsidRDefault="00EE0925" w:rsidP="00F36B82">
            <w:pPr>
              <w:ind w:right="-55"/>
              <w:contextualSpacing/>
              <w:jc w:val="right"/>
              <w:rPr>
                <w:b/>
                <w:sz w:val="16"/>
                <w:szCs w:val="16"/>
              </w:rPr>
            </w:pPr>
            <w:r w:rsidRPr="00471CBA">
              <w:rPr>
                <w:b/>
                <w:sz w:val="16"/>
                <w:szCs w:val="16"/>
              </w:rPr>
              <w:t>%0</w:t>
            </w:r>
          </w:p>
        </w:tc>
        <w:tc>
          <w:tcPr>
            <w:tcW w:w="253" w:type="pct"/>
            <w:tcBorders>
              <w:top w:val="single" w:sz="4" w:space="0" w:color="auto"/>
              <w:bottom w:val="single" w:sz="4" w:space="0" w:color="auto"/>
            </w:tcBorders>
            <w:vAlign w:val="bottom"/>
            <w:hideMark/>
          </w:tcPr>
          <w:p w14:paraId="10DD282F" w14:textId="77777777" w:rsidR="00EE0925" w:rsidRPr="00471CBA" w:rsidRDefault="00EE0925" w:rsidP="00F36B82">
            <w:pPr>
              <w:ind w:right="-55"/>
              <w:contextualSpacing/>
              <w:jc w:val="right"/>
              <w:rPr>
                <w:b/>
                <w:sz w:val="16"/>
                <w:szCs w:val="16"/>
              </w:rPr>
            </w:pPr>
            <w:r w:rsidRPr="00471CBA">
              <w:rPr>
                <w:b/>
                <w:sz w:val="16"/>
                <w:szCs w:val="16"/>
              </w:rPr>
              <w:t>%10</w:t>
            </w:r>
          </w:p>
        </w:tc>
        <w:tc>
          <w:tcPr>
            <w:tcW w:w="319" w:type="pct"/>
            <w:tcBorders>
              <w:top w:val="single" w:sz="4" w:space="0" w:color="auto"/>
              <w:bottom w:val="single" w:sz="4" w:space="0" w:color="auto"/>
            </w:tcBorders>
            <w:vAlign w:val="bottom"/>
            <w:hideMark/>
          </w:tcPr>
          <w:p w14:paraId="0F5B4222" w14:textId="77777777" w:rsidR="00EE0925" w:rsidRPr="00471CBA" w:rsidRDefault="00EE0925" w:rsidP="00F36B82">
            <w:pPr>
              <w:ind w:right="-55"/>
              <w:contextualSpacing/>
              <w:jc w:val="right"/>
              <w:rPr>
                <w:b/>
                <w:sz w:val="16"/>
                <w:szCs w:val="16"/>
              </w:rPr>
            </w:pPr>
            <w:r w:rsidRPr="00471CBA">
              <w:rPr>
                <w:b/>
                <w:sz w:val="16"/>
                <w:szCs w:val="16"/>
              </w:rPr>
              <w:t>%20</w:t>
            </w:r>
          </w:p>
        </w:tc>
        <w:tc>
          <w:tcPr>
            <w:tcW w:w="247" w:type="pct"/>
            <w:tcBorders>
              <w:top w:val="single" w:sz="4" w:space="0" w:color="auto"/>
              <w:bottom w:val="single" w:sz="4" w:space="0" w:color="auto"/>
            </w:tcBorders>
            <w:vAlign w:val="bottom"/>
          </w:tcPr>
          <w:p w14:paraId="3B04D407" w14:textId="77777777" w:rsidR="00EE0925" w:rsidRPr="00471CBA" w:rsidRDefault="00EE0925" w:rsidP="00F36B82">
            <w:pPr>
              <w:ind w:right="-55"/>
              <w:contextualSpacing/>
              <w:jc w:val="right"/>
              <w:rPr>
                <w:b/>
                <w:sz w:val="16"/>
                <w:szCs w:val="16"/>
              </w:rPr>
            </w:pPr>
            <w:r w:rsidRPr="00471CBA">
              <w:rPr>
                <w:b/>
                <w:sz w:val="16"/>
                <w:szCs w:val="16"/>
              </w:rPr>
              <w:t>%25</w:t>
            </w:r>
          </w:p>
        </w:tc>
        <w:tc>
          <w:tcPr>
            <w:tcW w:w="599" w:type="pct"/>
            <w:tcBorders>
              <w:top w:val="single" w:sz="4" w:space="0" w:color="auto"/>
              <w:bottom w:val="single" w:sz="4" w:space="0" w:color="auto"/>
            </w:tcBorders>
            <w:vAlign w:val="bottom"/>
          </w:tcPr>
          <w:p w14:paraId="4346DF2E" w14:textId="77777777" w:rsidR="00EE0925" w:rsidRPr="00471CBA" w:rsidRDefault="00EE0925" w:rsidP="00F36B82">
            <w:pPr>
              <w:ind w:right="-55"/>
              <w:contextualSpacing/>
              <w:jc w:val="right"/>
              <w:rPr>
                <w:b/>
                <w:sz w:val="16"/>
                <w:szCs w:val="16"/>
              </w:rPr>
            </w:pPr>
            <w:r w:rsidRPr="00471CBA">
              <w:rPr>
                <w:b/>
                <w:sz w:val="16"/>
                <w:szCs w:val="16"/>
              </w:rPr>
              <w:t>%35 Gayrimenkul İpoteğiyle Teminatlandırılanlar</w:t>
            </w:r>
          </w:p>
        </w:tc>
        <w:tc>
          <w:tcPr>
            <w:tcW w:w="288" w:type="pct"/>
            <w:tcBorders>
              <w:top w:val="single" w:sz="4" w:space="0" w:color="auto"/>
              <w:bottom w:val="single" w:sz="4" w:space="0" w:color="auto"/>
            </w:tcBorders>
            <w:vAlign w:val="bottom"/>
            <w:hideMark/>
          </w:tcPr>
          <w:p w14:paraId="10ECC693" w14:textId="77777777" w:rsidR="00EE0925" w:rsidRPr="00471CBA" w:rsidRDefault="00EE0925" w:rsidP="00F36B82">
            <w:pPr>
              <w:ind w:right="-55"/>
              <w:contextualSpacing/>
              <w:jc w:val="right"/>
              <w:rPr>
                <w:b/>
                <w:sz w:val="16"/>
                <w:szCs w:val="16"/>
              </w:rPr>
            </w:pPr>
            <w:r w:rsidRPr="00471CBA">
              <w:rPr>
                <w:b/>
                <w:sz w:val="16"/>
                <w:szCs w:val="16"/>
              </w:rPr>
              <w:t>%50</w:t>
            </w:r>
          </w:p>
        </w:tc>
        <w:tc>
          <w:tcPr>
            <w:tcW w:w="268" w:type="pct"/>
            <w:tcBorders>
              <w:top w:val="single" w:sz="4" w:space="0" w:color="auto"/>
              <w:bottom w:val="single" w:sz="4" w:space="0" w:color="auto"/>
            </w:tcBorders>
            <w:vAlign w:val="bottom"/>
            <w:hideMark/>
          </w:tcPr>
          <w:p w14:paraId="668AA73A" w14:textId="77777777" w:rsidR="00EE0925" w:rsidRPr="00471CBA" w:rsidRDefault="00EE0925" w:rsidP="00F36B82">
            <w:pPr>
              <w:ind w:right="-55"/>
              <w:contextualSpacing/>
              <w:jc w:val="right"/>
              <w:rPr>
                <w:b/>
                <w:sz w:val="16"/>
                <w:szCs w:val="16"/>
              </w:rPr>
            </w:pPr>
            <w:r w:rsidRPr="00471CBA">
              <w:rPr>
                <w:b/>
                <w:sz w:val="16"/>
                <w:szCs w:val="16"/>
              </w:rPr>
              <w:t>%75</w:t>
            </w:r>
          </w:p>
        </w:tc>
        <w:tc>
          <w:tcPr>
            <w:tcW w:w="349" w:type="pct"/>
            <w:tcBorders>
              <w:top w:val="single" w:sz="4" w:space="0" w:color="auto"/>
              <w:bottom w:val="single" w:sz="4" w:space="0" w:color="auto"/>
            </w:tcBorders>
            <w:vAlign w:val="bottom"/>
            <w:hideMark/>
          </w:tcPr>
          <w:p w14:paraId="703E5441" w14:textId="77777777" w:rsidR="00EE0925" w:rsidRPr="00471CBA" w:rsidRDefault="00EE0925" w:rsidP="00F36B82">
            <w:pPr>
              <w:ind w:right="-55"/>
              <w:contextualSpacing/>
              <w:jc w:val="right"/>
              <w:rPr>
                <w:b/>
                <w:sz w:val="16"/>
                <w:szCs w:val="16"/>
              </w:rPr>
            </w:pPr>
            <w:r w:rsidRPr="00471CBA">
              <w:rPr>
                <w:b/>
                <w:sz w:val="16"/>
                <w:szCs w:val="16"/>
              </w:rPr>
              <w:t>%100</w:t>
            </w:r>
          </w:p>
        </w:tc>
        <w:tc>
          <w:tcPr>
            <w:tcW w:w="230" w:type="pct"/>
            <w:tcBorders>
              <w:top w:val="single" w:sz="4" w:space="0" w:color="auto"/>
              <w:bottom w:val="single" w:sz="4" w:space="0" w:color="auto"/>
            </w:tcBorders>
            <w:vAlign w:val="bottom"/>
            <w:hideMark/>
          </w:tcPr>
          <w:p w14:paraId="223328F1" w14:textId="77777777" w:rsidR="00EE0925" w:rsidRPr="00471CBA" w:rsidRDefault="00EE0925" w:rsidP="00F36B82">
            <w:pPr>
              <w:ind w:right="-55"/>
              <w:contextualSpacing/>
              <w:jc w:val="right"/>
              <w:rPr>
                <w:b/>
                <w:sz w:val="16"/>
                <w:szCs w:val="16"/>
              </w:rPr>
            </w:pPr>
            <w:r w:rsidRPr="00471CBA">
              <w:rPr>
                <w:b/>
                <w:sz w:val="16"/>
                <w:szCs w:val="16"/>
              </w:rPr>
              <w:t>%150</w:t>
            </w:r>
          </w:p>
        </w:tc>
        <w:tc>
          <w:tcPr>
            <w:tcW w:w="230" w:type="pct"/>
            <w:tcBorders>
              <w:top w:val="single" w:sz="4" w:space="0" w:color="auto"/>
              <w:bottom w:val="single" w:sz="4" w:space="0" w:color="auto"/>
            </w:tcBorders>
            <w:vAlign w:val="bottom"/>
            <w:hideMark/>
          </w:tcPr>
          <w:p w14:paraId="1FB66B9C" w14:textId="77777777" w:rsidR="00EE0925" w:rsidRPr="00471CBA" w:rsidRDefault="00EE0925" w:rsidP="00F36B82">
            <w:pPr>
              <w:ind w:right="-55"/>
              <w:contextualSpacing/>
              <w:jc w:val="right"/>
              <w:rPr>
                <w:b/>
                <w:sz w:val="16"/>
                <w:szCs w:val="16"/>
              </w:rPr>
            </w:pPr>
            <w:r w:rsidRPr="00471CBA">
              <w:rPr>
                <w:b/>
                <w:sz w:val="16"/>
                <w:szCs w:val="16"/>
              </w:rPr>
              <w:t>%250</w:t>
            </w:r>
          </w:p>
        </w:tc>
        <w:tc>
          <w:tcPr>
            <w:tcW w:w="353" w:type="pct"/>
            <w:tcBorders>
              <w:top w:val="single" w:sz="4" w:space="0" w:color="auto"/>
              <w:bottom w:val="single" w:sz="4" w:space="0" w:color="auto"/>
            </w:tcBorders>
            <w:vAlign w:val="bottom"/>
            <w:hideMark/>
          </w:tcPr>
          <w:p w14:paraId="344B1325" w14:textId="71CC4FDD" w:rsidR="00EE0925" w:rsidRPr="00471CBA" w:rsidRDefault="00EE0925" w:rsidP="00F36B82">
            <w:pPr>
              <w:ind w:right="-55"/>
              <w:contextualSpacing/>
              <w:jc w:val="right"/>
              <w:rPr>
                <w:b/>
                <w:sz w:val="16"/>
                <w:szCs w:val="16"/>
              </w:rPr>
            </w:pPr>
            <w:r w:rsidRPr="00471CBA">
              <w:rPr>
                <w:b/>
                <w:sz w:val="16"/>
                <w:szCs w:val="16"/>
              </w:rPr>
              <w:t>Diğerleri</w:t>
            </w:r>
            <w:r w:rsidR="00802DBC" w:rsidRPr="00471CBA">
              <w:rPr>
                <w:b/>
                <w:sz w:val="16"/>
                <w:szCs w:val="16"/>
              </w:rPr>
              <w:t xml:space="preserve"> </w:t>
            </w:r>
            <w:r w:rsidRPr="00471CBA">
              <w:rPr>
                <w:b/>
                <w:sz w:val="16"/>
                <w:szCs w:val="16"/>
                <w:vertAlign w:val="superscript"/>
              </w:rPr>
              <w:t>(*)</w:t>
            </w:r>
          </w:p>
        </w:tc>
        <w:tc>
          <w:tcPr>
            <w:tcW w:w="349" w:type="pct"/>
            <w:tcBorders>
              <w:top w:val="single" w:sz="4" w:space="0" w:color="auto"/>
              <w:bottom w:val="single" w:sz="4" w:space="0" w:color="auto"/>
            </w:tcBorders>
            <w:vAlign w:val="bottom"/>
            <w:hideMark/>
          </w:tcPr>
          <w:p w14:paraId="3F2A3341" w14:textId="77777777" w:rsidR="00EE0925" w:rsidRPr="00471CBA" w:rsidRDefault="00EE0925" w:rsidP="00F36B82">
            <w:pPr>
              <w:ind w:right="-55"/>
              <w:contextualSpacing/>
              <w:jc w:val="right"/>
              <w:rPr>
                <w:b/>
                <w:sz w:val="16"/>
                <w:szCs w:val="16"/>
              </w:rPr>
            </w:pPr>
            <w:r w:rsidRPr="00471CBA">
              <w:rPr>
                <w:b/>
                <w:sz w:val="16"/>
                <w:szCs w:val="16"/>
              </w:rPr>
              <w:t>Toplam risk tutarı (KDO ve KRA sonrası)</w:t>
            </w:r>
          </w:p>
        </w:tc>
      </w:tr>
      <w:tr w:rsidR="00802DBC" w:rsidRPr="00471CBA" w14:paraId="170CFD40" w14:textId="77777777" w:rsidTr="00F36B82">
        <w:trPr>
          <w:trHeight w:val="170"/>
        </w:trPr>
        <w:tc>
          <w:tcPr>
            <w:tcW w:w="278" w:type="pct"/>
            <w:tcBorders>
              <w:top w:val="single" w:sz="4" w:space="0" w:color="auto"/>
            </w:tcBorders>
            <w:noWrap/>
            <w:hideMark/>
          </w:tcPr>
          <w:p w14:paraId="1A3571ED" w14:textId="77777777" w:rsidR="00802DBC" w:rsidRPr="00471CBA" w:rsidRDefault="00802DBC" w:rsidP="00B04479">
            <w:pPr>
              <w:rPr>
                <w:sz w:val="16"/>
                <w:szCs w:val="16"/>
              </w:rPr>
            </w:pPr>
            <w:r w:rsidRPr="00471CBA">
              <w:rPr>
                <w:sz w:val="16"/>
                <w:szCs w:val="16"/>
              </w:rPr>
              <w:t>1</w:t>
            </w:r>
          </w:p>
        </w:tc>
        <w:tc>
          <w:tcPr>
            <w:tcW w:w="918" w:type="pct"/>
            <w:tcBorders>
              <w:top w:val="single" w:sz="4" w:space="0" w:color="auto"/>
            </w:tcBorders>
            <w:vAlign w:val="bottom"/>
            <w:hideMark/>
          </w:tcPr>
          <w:p w14:paraId="0F605549" w14:textId="77777777" w:rsidR="00802DBC" w:rsidRPr="00471CBA" w:rsidRDefault="00802DBC" w:rsidP="00B04479">
            <w:pPr>
              <w:contextualSpacing/>
              <w:rPr>
                <w:sz w:val="16"/>
                <w:szCs w:val="16"/>
              </w:rPr>
            </w:pPr>
            <w:r w:rsidRPr="00471CBA">
              <w:rPr>
                <w:sz w:val="16"/>
                <w:szCs w:val="16"/>
              </w:rPr>
              <w:t>Merkezi yönetimlerden veya merkez bankalarından alacaklar</w:t>
            </w:r>
          </w:p>
        </w:tc>
        <w:tc>
          <w:tcPr>
            <w:tcW w:w="319" w:type="pct"/>
            <w:tcBorders>
              <w:top w:val="nil"/>
              <w:left w:val="nil"/>
              <w:bottom w:val="nil"/>
              <w:right w:val="nil"/>
            </w:tcBorders>
            <w:noWrap/>
            <w:vAlign w:val="bottom"/>
          </w:tcPr>
          <w:p w14:paraId="7DB4903B" w14:textId="1BB7AE9B" w:rsidR="00802DBC" w:rsidRPr="00471CBA" w:rsidRDefault="00802DBC" w:rsidP="00F36B82">
            <w:pPr>
              <w:ind w:right="-55"/>
              <w:jc w:val="right"/>
              <w:rPr>
                <w:color w:val="000000"/>
                <w:sz w:val="16"/>
                <w:szCs w:val="16"/>
              </w:rPr>
            </w:pPr>
            <w:r w:rsidRPr="00471CBA">
              <w:rPr>
                <w:sz w:val="16"/>
                <w:szCs w:val="16"/>
              </w:rPr>
              <w:t>20.281.833</w:t>
            </w:r>
          </w:p>
        </w:tc>
        <w:tc>
          <w:tcPr>
            <w:tcW w:w="253" w:type="pct"/>
            <w:tcBorders>
              <w:top w:val="nil"/>
              <w:left w:val="nil"/>
              <w:bottom w:val="nil"/>
              <w:right w:val="nil"/>
            </w:tcBorders>
            <w:noWrap/>
            <w:vAlign w:val="bottom"/>
          </w:tcPr>
          <w:p w14:paraId="130E28EA" w14:textId="00878FEE" w:rsidR="00802DBC" w:rsidRPr="00471CBA" w:rsidRDefault="00802DBC" w:rsidP="00F36B82">
            <w:pPr>
              <w:ind w:right="-55"/>
              <w:jc w:val="right"/>
              <w:rPr>
                <w:color w:val="000000"/>
                <w:sz w:val="16"/>
                <w:szCs w:val="16"/>
              </w:rPr>
            </w:pPr>
            <w:r w:rsidRPr="00471CBA">
              <w:rPr>
                <w:sz w:val="16"/>
                <w:szCs w:val="16"/>
              </w:rPr>
              <w:t>-</w:t>
            </w:r>
          </w:p>
        </w:tc>
        <w:tc>
          <w:tcPr>
            <w:tcW w:w="319" w:type="pct"/>
            <w:tcBorders>
              <w:top w:val="nil"/>
              <w:left w:val="nil"/>
              <w:bottom w:val="nil"/>
              <w:right w:val="nil"/>
            </w:tcBorders>
            <w:noWrap/>
            <w:vAlign w:val="bottom"/>
          </w:tcPr>
          <w:p w14:paraId="214447B1" w14:textId="5673BCD0" w:rsidR="00802DBC" w:rsidRPr="00471CBA" w:rsidRDefault="00802DBC" w:rsidP="00F36B82">
            <w:pPr>
              <w:ind w:right="-55"/>
              <w:jc w:val="right"/>
              <w:rPr>
                <w:color w:val="000000"/>
                <w:sz w:val="16"/>
                <w:szCs w:val="16"/>
              </w:rPr>
            </w:pPr>
            <w:r w:rsidRPr="00471CBA">
              <w:rPr>
                <w:sz w:val="16"/>
                <w:szCs w:val="16"/>
              </w:rPr>
              <w:t>-</w:t>
            </w:r>
          </w:p>
        </w:tc>
        <w:tc>
          <w:tcPr>
            <w:tcW w:w="247" w:type="pct"/>
            <w:tcBorders>
              <w:top w:val="nil"/>
              <w:left w:val="nil"/>
              <w:bottom w:val="nil"/>
              <w:right w:val="nil"/>
            </w:tcBorders>
            <w:vAlign w:val="bottom"/>
          </w:tcPr>
          <w:p w14:paraId="537F0AFF" w14:textId="1A62E401" w:rsidR="00802DBC" w:rsidRPr="00471CBA" w:rsidRDefault="00802DBC" w:rsidP="00F36B82">
            <w:pPr>
              <w:ind w:right="-55"/>
              <w:jc w:val="right"/>
              <w:rPr>
                <w:color w:val="000000"/>
                <w:sz w:val="16"/>
                <w:szCs w:val="16"/>
              </w:rPr>
            </w:pPr>
            <w:r w:rsidRPr="00471CBA">
              <w:rPr>
                <w:sz w:val="16"/>
                <w:szCs w:val="16"/>
              </w:rPr>
              <w:t>-</w:t>
            </w:r>
          </w:p>
        </w:tc>
        <w:tc>
          <w:tcPr>
            <w:tcW w:w="599" w:type="pct"/>
            <w:tcBorders>
              <w:top w:val="nil"/>
              <w:left w:val="nil"/>
              <w:bottom w:val="nil"/>
              <w:right w:val="nil"/>
            </w:tcBorders>
            <w:vAlign w:val="bottom"/>
          </w:tcPr>
          <w:p w14:paraId="4BD5AD3B" w14:textId="3087BA6E" w:rsidR="00802DBC" w:rsidRPr="00471CBA" w:rsidRDefault="00802DBC" w:rsidP="00F36B82">
            <w:pPr>
              <w:ind w:right="-55"/>
              <w:jc w:val="right"/>
              <w:rPr>
                <w:color w:val="000000"/>
                <w:sz w:val="16"/>
                <w:szCs w:val="16"/>
              </w:rPr>
            </w:pPr>
            <w:r w:rsidRPr="00471CBA">
              <w:rPr>
                <w:sz w:val="16"/>
                <w:szCs w:val="16"/>
              </w:rPr>
              <w:t>-</w:t>
            </w:r>
          </w:p>
        </w:tc>
        <w:tc>
          <w:tcPr>
            <w:tcW w:w="288" w:type="pct"/>
            <w:tcBorders>
              <w:top w:val="nil"/>
              <w:left w:val="nil"/>
              <w:bottom w:val="nil"/>
              <w:right w:val="nil"/>
            </w:tcBorders>
            <w:noWrap/>
            <w:vAlign w:val="bottom"/>
          </w:tcPr>
          <w:p w14:paraId="5F638D0B" w14:textId="614C5810" w:rsidR="00802DBC" w:rsidRPr="00471CBA" w:rsidRDefault="00802DBC" w:rsidP="00F36B82">
            <w:pPr>
              <w:ind w:right="-55"/>
              <w:jc w:val="right"/>
              <w:rPr>
                <w:color w:val="000000"/>
                <w:sz w:val="16"/>
                <w:szCs w:val="16"/>
              </w:rPr>
            </w:pPr>
            <w:r w:rsidRPr="00471CBA">
              <w:rPr>
                <w:sz w:val="16"/>
                <w:szCs w:val="16"/>
              </w:rPr>
              <w:t>-</w:t>
            </w:r>
          </w:p>
        </w:tc>
        <w:tc>
          <w:tcPr>
            <w:tcW w:w="268" w:type="pct"/>
            <w:tcBorders>
              <w:top w:val="nil"/>
              <w:left w:val="nil"/>
              <w:bottom w:val="nil"/>
              <w:right w:val="nil"/>
            </w:tcBorders>
            <w:noWrap/>
            <w:vAlign w:val="bottom"/>
          </w:tcPr>
          <w:p w14:paraId="0926CC52" w14:textId="1CE753DC" w:rsidR="00802DBC" w:rsidRPr="00471CBA" w:rsidRDefault="00802DBC" w:rsidP="00F36B82">
            <w:pPr>
              <w:ind w:right="-55"/>
              <w:jc w:val="right"/>
              <w:rPr>
                <w:color w:val="000000"/>
                <w:sz w:val="16"/>
                <w:szCs w:val="16"/>
              </w:rPr>
            </w:pPr>
            <w:r w:rsidRPr="00471CBA">
              <w:rPr>
                <w:sz w:val="16"/>
                <w:szCs w:val="16"/>
              </w:rPr>
              <w:t>-</w:t>
            </w:r>
          </w:p>
        </w:tc>
        <w:tc>
          <w:tcPr>
            <w:tcW w:w="349" w:type="pct"/>
            <w:tcBorders>
              <w:top w:val="nil"/>
              <w:left w:val="nil"/>
              <w:bottom w:val="nil"/>
              <w:right w:val="nil"/>
            </w:tcBorders>
            <w:noWrap/>
            <w:vAlign w:val="bottom"/>
          </w:tcPr>
          <w:p w14:paraId="307919CA" w14:textId="2B63890D" w:rsidR="00802DBC" w:rsidRPr="00471CBA" w:rsidRDefault="00802DBC" w:rsidP="00F36B82">
            <w:pPr>
              <w:ind w:right="-55"/>
              <w:jc w:val="right"/>
              <w:rPr>
                <w:color w:val="000000"/>
                <w:sz w:val="16"/>
                <w:szCs w:val="16"/>
              </w:rPr>
            </w:pPr>
            <w:r w:rsidRPr="00471CBA">
              <w:rPr>
                <w:sz w:val="16"/>
                <w:szCs w:val="16"/>
              </w:rPr>
              <w:t>-</w:t>
            </w:r>
          </w:p>
        </w:tc>
        <w:tc>
          <w:tcPr>
            <w:tcW w:w="230" w:type="pct"/>
            <w:tcBorders>
              <w:top w:val="nil"/>
              <w:left w:val="nil"/>
              <w:bottom w:val="nil"/>
              <w:right w:val="nil"/>
            </w:tcBorders>
            <w:noWrap/>
            <w:vAlign w:val="bottom"/>
          </w:tcPr>
          <w:p w14:paraId="30DF3679" w14:textId="661612FB" w:rsidR="00802DBC" w:rsidRPr="00471CBA" w:rsidRDefault="00802DBC" w:rsidP="00F36B82">
            <w:pPr>
              <w:ind w:right="-55"/>
              <w:jc w:val="right"/>
              <w:rPr>
                <w:color w:val="000000"/>
                <w:sz w:val="16"/>
                <w:szCs w:val="16"/>
              </w:rPr>
            </w:pPr>
            <w:r w:rsidRPr="00471CBA">
              <w:rPr>
                <w:sz w:val="16"/>
                <w:szCs w:val="16"/>
              </w:rPr>
              <w:t>-</w:t>
            </w:r>
          </w:p>
        </w:tc>
        <w:tc>
          <w:tcPr>
            <w:tcW w:w="230" w:type="pct"/>
            <w:tcBorders>
              <w:top w:val="nil"/>
              <w:left w:val="nil"/>
              <w:bottom w:val="nil"/>
              <w:right w:val="nil"/>
            </w:tcBorders>
            <w:noWrap/>
            <w:vAlign w:val="bottom"/>
          </w:tcPr>
          <w:p w14:paraId="7E397C7F" w14:textId="60599369" w:rsidR="00802DBC" w:rsidRPr="00471CBA" w:rsidRDefault="00802DBC" w:rsidP="00F36B82">
            <w:pPr>
              <w:ind w:right="-55"/>
              <w:jc w:val="right"/>
              <w:rPr>
                <w:color w:val="000000"/>
                <w:sz w:val="16"/>
                <w:szCs w:val="16"/>
              </w:rPr>
            </w:pPr>
            <w:r w:rsidRPr="00471CBA">
              <w:rPr>
                <w:sz w:val="16"/>
                <w:szCs w:val="16"/>
              </w:rPr>
              <w:t>-</w:t>
            </w:r>
          </w:p>
        </w:tc>
        <w:tc>
          <w:tcPr>
            <w:tcW w:w="353" w:type="pct"/>
            <w:tcBorders>
              <w:top w:val="nil"/>
              <w:left w:val="nil"/>
              <w:bottom w:val="nil"/>
              <w:right w:val="nil"/>
            </w:tcBorders>
            <w:noWrap/>
            <w:vAlign w:val="bottom"/>
          </w:tcPr>
          <w:p w14:paraId="7E6A0B58" w14:textId="2B317752" w:rsidR="00802DBC" w:rsidRPr="00471CBA" w:rsidRDefault="00802DBC" w:rsidP="00F36B82">
            <w:pPr>
              <w:ind w:right="-55"/>
              <w:jc w:val="right"/>
              <w:rPr>
                <w:color w:val="000000"/>
                <w:sz w:val="16"/>
                <w:szCs w:val="16"/>
              </w:rPr>
            </w:pPr>
            <w:r w:rsidRPr="00471CBA">
              <w:rPr>
                <w:sz w:val="16"/>
                <w:szCs w:val="16"/>
              </w:rPr>
              <w:t>-</w:t>
            </w:r>
          </w:p>
        </w:tc>
        <w:tc>
          <w:tcPr>
            <w:tcW w:w="349" w:type="pct"/>
            <w:tcBorders>
              <w:top w:val="nil"/>
              <w:left w:val="nil"/>
              <w:bottom w:val="nil"/>
              <w:right w:val="nil"/>
            </w:tcBorders>
            <w:noWrap/>
            <w:vAlign w:val="bottom"/>
          </w:tcPr>
          <w:p w14:paraId="45422EDF" w14:textId="61788E37" w:rsidR="00802DBC" w:rsidRPr="00471CBA" w:rsidRDefault="00802DBC" w:rsidP="00F36B82">
            <w:pPr>
              <w:ind w:right="-55"/>
              <w:jc w:val="right"/>
              <w:rPr>
                <w:color w:val="000000"/>
                <w:sz w:val="16"/>
                <w:szCs w:val="16"/>
              </w:rPr>
            </w:pPr>
            <w:r w:rsidRPr="00471CBA">
              <w:rPr>
                <w:sz w:val="16"/>
                <w:szCs w:val="16"/>
              </w:rPr>
              <w:t>20.281.833</w:t>
            </w:r>
          </w:p>
        </w:tc>
      </w:tr>
      <w:tr w:rsidR="00802DBC" w:rsidRPr="00471CBA" w14:paraId="3641785F" w14:textId="77777777" w:rsidTr="00F36B82">
        <w:trPr>
          <w:trHeight w:val="170"/>
        </w:trPr>
        <w:tc>
          <w:tcPr>
            <w:tcW w:w="278" w:type="pct"/>
            <w:noWrap/>
            <w:hideMark/>
          </w:tcPr>
          <w:p w14:paraId="685C4ABA" w14:textId="77777777" w:rsidR="00802DBC" w:rsidRPr="00471CBA" w:rsidRDefault="00802DBC" w:rsidP="00B04479">
            <w:pPr>
              <w:rPr>
                <w:sz w:val="16"/>
                <w:szCs w:val="16"/>
              </w:rPr>
            </w:pPr>
            <w:r w:rsidRPr="00471CBA">
              <w:rPr>
                <w:sz w:val="16"/>
                <w:szCs w:val="16"/>
              </w:rPr>
              <w:t>2</w:t>
            </w:r>
          </w:p>
        </w:tc>
        <w:tc>
          <w:tcPr>
            <w:tcW w:w="918" w:type="pct"/>
            <w:vAlign w:val="bottom"/>
            <w:hideMark/>
          </w:tcPr>
          <w:p w14:paraId="37ABB08A" w14:textId="77777777" w:rsidR="00802DBC" w:rsidRPr="00471CBA" w:rsidRDefault="00802DBC" w:rsidP="00B04479">
            <w:pPr>
              <w:contextualSpacing/>
              <w:rPr>
                <w:sz w:val="16"/>
                <w:szCs w:val="16"/>
              </w:rPr>
            </w:pPr>
            <w:r w:rsidRPr="00471CBA">
              <w:rPr>
                <w:sz w:val="16"/>
                <w:szCs w:val="16"/>
              </w:rPr>
              <w:t>Bölgesel yönetimlerden veya yerel yönetimlerden alacaklar</w:t>
            </w:r>
          </w:p>
        </w:tc>
        <w:tc>
          <w:tcPr>
            <w:tcW w:w="319" w:type="pct"/>
            <w:tcBorders>
              <w:top w:val="nil"/>
              <w:left w:val="nil"/>
              <w:bottom w:val="nil"/>
              <w:right w:val="nil"/>
            </w:tcBorders>
            <w:noWrap/>
            <w:vAlign w:val="bottom"/>
          </w:tcPr>
          <w:p w14:paraId="50A07859" w14:textId="12DBE7FE" w:rsidR="00802DBC" w:rsidRPr="00471CBA" w:rsidRDefault="00802DBC" w:rsidP="00F36B82">
            <w:pPr>
              <w:ind w:right="-55"/>
              <w:jc w:val="right"/>
              <w:rPr>
                <w:color w:val="000000"/>
                <w:sz w:val="16"/>
                <w:szCs w:val="16"/>
              </w:rPr>
            </w:pPr>
            <w:r w:rsidRPr="00471CBA">
              <w:rPr>
                <w:sz w:val="16"/>
                <w:szCs w:val="16"/>
              </w:rPr>
              <w:t>-</w:t>
            </w:r>
          </w:p>
        </w:tc>
        <w:tc>
          <w:tcPr>
            <w:tcW w:w="253" w:type="pct"/>
            <w:tcBorders>
              <w:top w:val="nil"/>
              <w:left w:val="nil"/>
              <w:bottom w:val="nil"/>
              <w:right w:val="nil"/>
            </w:tcBorders>
            <w:noWrap/>
            <w:vAlign w:val="bottom"/>
          </w:tcPr>
          <w:p w14:paraId="3735BC7C" w14:textId="06C58D2B" w:rsidR="00802DBC" w:rsidRPr="00471CBA" w:rsidRDefault="00802DBC" w:rsidP="00F36B82">
            <w:pPr>
              <w:ind w:right="-55"/>
              <w:jc w:val="right"/>
              <w:rPr>
                <w:color w:val="000000"/>
                <w:sz w:val="16"/>
                <w:szCs w:val="16"/>
              </w:rPr>
            </w:pPr>
            <w:r w:rsidRPr="00471CBA">
              <w:rPr>
                <w:sz w:val="16"/>
                <w:szCs w:val="16"/>
              </w:rPr>
              <w:t>-</w:t>
            </w:r>
          </w:p>
        </w:tc>
        <w:tc>
          <w:tcPr>
            <w:tcW w:w="319" w:type="pct"/>
            <w:tcBorders>
              <w:top w:val="nil"/>
              <w:left w:val="nil"/>
              <w:bottom w:val="nil"/>
              <w:right w:val="nil"/>
            </w:tcBorders>
            <w:noWrap/>
            <w:vAlign w:val="bottom"/>
          </w:tcPr>
          <w:p w14:paraId="238CA5D5" w14:textId="246A45C2" w:rsidR="00802DBC" w:rsidRPr="00471CBA" w:rsidRDefault="00802DBC" w:rsidP="00F36B82">
            <w:pPr>
              <w:ind w:right="-55"/>
              <w:jc w:val="right"/>
              <w:rPr>
                <w:color w:val="000000"/>
                <w:sz w:val="16"/>
                <w:szCs w:val="16"/>
              </w:rPr>
            </w:pPr>
            <w:r w:rsidRPr="00471CBA">
              <w:rPr>
                <w:sz w:val="16"/>
                <w:szCs w:val="16"/>
              </w:rPr>
              <w:t>-</w:t>
            </w:r>
          </w:p>
        </w:tc>
        <w:tc>
          <w:tcPr>
            <w:tcW w:w="247" w:type="pct"/>
            <w:tcBorders>
              <w:top w:val="nil"/>
              <w:left w:val="nil"/>
              <w:bottom w:val="nil"/>
              <w:right w:val="nil"/>
            </w:tcBorders>
            <w:vAlign w:val="bottom"/>
          </w:tcPr>
          <w:p w14:paraId="65C2AC7A" w14:textId="36924292" w:rsidR="00802DBC" w:rsidRPr="00471CBA" w:rsidRDefault="00802DBC" w:rsidP="00F36B82">
            <w:pPr>
              <w:ind w:right="-55"/>
              <w:jc w:val="right"/>
              <w:rPr>
                <w:color w:val="000000"/>
                <w:sz w:val="16"/>
                <w:szCs w:val="16"/>
              </w:rPr>
            </w:pPr>
            <w:r w:rsidRPr="00471CBA">
              <w:rPr>
                <w:sz w:val="16"/>
                <w:szCs w:val="16"/>
              </w:rPr>
              <w:t>-</w:t>
            </w:r>
          </w:p>
        </w:tc>
        <w:tc>
          <w:tcPr>
            <w:tcW w:w="599" w:type="pct"/>
            <w:tcBorders>
              <w:top w:val="nil"/>
              <w:left w:val="nil"/>
              <w:bottom w:val="nil"/>
              <w:right w:val="nil"/>
            </w:tcBorders>
            <w:vAlign w:val="bottom"/>
          </w:tcPr>
          <w:p w14:paraId="785FA4D3" w14:textId="2BD61D01" w:rsidR="00802DBC" w:rsidRPr="00471CBA" w:rsidRDefault="00802DBC" w:rsidP="00F36B82">
            <w:pPr>
              <w:ind w:right="-55"/>
              <w:jc w:val="right"/>
              <w:rPr>
                <w:color w:val="000000"/>
                <w:sz w:val="16"/>
                <w:szCs w:val="16"/>
              </w:rPr>
            </w:pPr>
            <w:r w:rsidRPr="00471CBA">
              <w:rPr>
                <w:sz w:val="16"/>
                <w:szCs w:val="16"/>
              </w:rPr>
              <w:t>-</w:t>
            </w:r>
          </w:p>
        </w:tc>
        <w:tc>
          <w:tcPr>
            <w:tcW w:w="288" w:type="pct"/>
            <w:tcBorders>
              <w:top w:val="nil"/>
              <w:left w:val="nil"/>
              <w:bottom w:val="nil"/>
              <w:right w:val="nil"/>
            </w:tcBorders>
            <w:noWrap/>
            <w:vAlign w:val="bottom"/>
          </w:tcPr>
          <w:p w14:paraId="0843310F" w14:textId="7B904160" w:rsidR="00802DBC" w:rsidRPr="00471CBA" w:rsidRDefault="00802DBC" w:rsidP="00F36B82">
            <w:pPr>
              <w:ind w:right="-55"/>
              <w:jc w:val="right"/>
              <w:rPr>
                <w:color w:val="000000"/>
                <w:sz w:val="16"/>
                <w:szCs w:val="16"/>
              </w:rPr>
            </w:pPr>
            <w:r w:rsidRPr="00471CBA">
              <w:rPr>
                <w:sz w:val="16"/>
                <w:szCs w:val="16"/>
              </w:rPr>
              <w:t>-</w:t>
            </w:r>
          </w:p>
        </w:tc>
        <w:tc>
          <w:tcPr>
            <w:tcW w:w="268" w:type="pct"/>
            <w:tcBorders>
              <w:top w:val="nil"/>
              <w:left w:val="nil"/>
              <w:bottom w:val="nil"/>
              <w:right w:val="nil"/>
            </w:tcBorders>
            <w:noWrap/>
            <w:vAlign w:val="bottom"/>
          </w:tcPr>
          <w:p w14:paraId="14BDD06A" w14:textId="049677D0" w:rsidR="00802DBC" w:rsidRPr="00471CBA" w:rsidRDefault="00802DBC" w:rsidP="00F36B82">
            <w:pPr>
              <w:ind w:right="-55"/>
              <w:jc w:val="right"/>
              <w:rPr>
                <w:color w:val="000000"/>
                <w:sz w:val="16"/>
                <w:szCs w:val="16"/>
              </w:rPr>
            </w:pPr>
            <w:r w:rsidRPr="00471CBA">
              <w:rPr>
                <w:sz w:val="16"/>
                <w:szCs w:val="16"/>
              </w:rPr>
              <w:t>-</w:t>
            </w:r>
          </w:p>
        </w:tc>
        <w:tc>
          <w:tcPr>
            <w:tcW w:w="349" w:type="pct"/>
            <w:tcBorders>
              <w:top w:val="nil"/>
              <w:left w:val="nil"/>
              <w:bottom w:val="nil"/>
              <w:right w:val="nil"/>
            </w:tcBorders>
            <w:noWrap/>
            <w:vAlign w:val="bottom"/>
          </w:tcPr>
          <w:p w14:paraId="50F11C51" w14:textId="785E490C" w:rsidR="00802DBC" w:rsidRPr="00471CBA" w:rsidRDefault="00802DBC" w:rsidP="00F36B82">
            <w:pPr>
              <w:ind w:right="-55"/>
              <w:jc w:val="right"/>
              <w:rPr>
                <w:color w:val="000000"/>
                <w:sz w:val="16"/>
                <w:szCs w:val="16"/>
              </w:rPr>
            </w:pPr>
            <w:r w:rsidRPr="00471CBA">
              <w:rPr>
                <w:sz w:val="16"/>
                <w:szCs w:val="16"/>
              </w:rPr>
              <w:t>-</w:t>
            </w:r>
          </w:p>
        </w:tc>
        <w:tc>
          <w:tcPr>
            <w:tcW w:w="230" w:type="pct"/>
            <w:tcBorders>
              <w:top w:val="nil"/>
              <w:left w:val="nil"/>
              <w:bottom w:val="nil"/>
              <w:right w:val="nil"/>
            </w:tcBorders>
            <w:noWrap/>
            <w:vAlign w:val="bottom"/>
          </w:tcPr>
          <w:p w14:paraId="4CD836E7" w14:textId="37C226F5" w:rsidR="00802DBC" w:rsidRPr="00471CBA" w:rsidRDefault="00802DBC" w:rsidP="00F36B82">
            <w:pPr>
              <w:ind w:right="-55"/>
              <w:jc w:val="right"/>
              <w:rPr>
                <w:color w:val="000000"/>
                <w:sz w:val="16"/>
                <w:szCs w:val="16"/>
              </w:rPr>
            </w:pPr>
            <w:r w:rsidRPr="00471CBA">
              <w:rPr>
                <w:sz w:val="16"/>
                <w:szCs w:val="16"/>
              </w:rPr>
              <w:t>-</w:t>
            </w:r>
          </w:p>
        </w:tc>
        <w:tc>
          <w:tcPr>
            <w:tcW w:w="230" w:type="pct"/>
            <w:tcBorders>
              <w:top w:val="nil"/>
              <w:left w:val="nil"/>
              <w:bottom w:val="nil"/>
              <w:right w:val="nil"/>
            </w:tcBorders>
            <w:noWrap/>
            <w:vAlign w:val="bottom"/>
          </w:tcPr>
          <w:p w14:paraId="1DBF0FD7" w14:textId="4F097645" w:rsidR="00802DBC" w:rsidRPr="00471CBA" w:rsidRDefault="00802DBC" w:rsidP="00F36B82">
            <w:pPr>
              <w:ind w:right="-55"/>
              <w:jc w:val="right"/>
              <w:rPr>
                <w:color w:val="000000"/>
                <w:sz w:val="16"/>
                <w:szCs w:val="16"/>
              </w:rPr>
            </w:pPr>
            <w:r w:rsidRPr="00471CBA">
              <w:rPr>
                <w:sz w:val="16"/>
                <w:szCs w:val="16"/>
              </w:rPr>
              <w:t>-</w:t>
            </w:r>
          </w:p>
        </w:tc>
        <w:tc>
          <w:tcPr>
            <w:tcW w:w="353" w:type="pct"/>
            <w:tcBorders>
              <w:top w:val="nil"/>
              <w:left w:val="nil"/>
              <w:bottom w:val="nil"/>
              <w:right w:val="nil"/>
            </w:tcBorders>
            <w:noWrap/>
            <w:vAlign w:val="bottom"/>
          </w:tcPr>
          <w:p w14:paraId="45CF6F5D" w14:textId="78D4859D" w:rsidR="00802DBC" w:rsidRPr="00471CBA" w:rsidRDefault="00802DBC" w:rsidP="00F36B82">
            <w:pPr>
              <w:ind w:right="-55"/>
              <w:jc w:val="right"/>
              <w:rPr>
                <w:color w:val="000000"/>
                <w:sz w:val="16"/>
                <w:szCs w:val="16"/>
              </w:rPr>
            </w:pPr>
            <w:r w:rsidRPr="00471CBA">
              <w:rPr>
                <w:sz w:val="16"/>
                <w:szCs w:val="16"/>
              </w:rPr>
              <w:t>-</w:t>
            </w:r>
          </w:p>
        </w:tc>
        <w:tc>
          <w:tcPr>
            <w:tcW w:w="349" w:type="pct"/>
            <w:tcBorders>
              <w:top w:val="nil"/>
              <w:left w:val="nil"/>
              <w:bottom w:val="nil"/>
              <w:right w:val="nil"/>
            </w:tcBorders>
            <w:noWrap/>
            <w:vAlign w:val="bottom"/>
          </w:tcPr>
          <w:p w14:paraId="41F02ED5" w14:textId="61DD2037" w:rsidR="00802DBC" w:rsidRPr="00471CBA" w:rsidRDefault="00802DBC" w:rsidP="00F36B82">
            <w:pPr>
              <w:ind w:right="-55"/>
              <w:jc w:val="right"/>
              <w:rPr>
                <w:color w:val="000000"/>
                <w:sz w:val="16"/>
                <w:szCs w:val="16"/>
              </w:rPr>
            </w:pPr>
            <w:r w:rsidRPr="00471CBA">
              <w:rPr>
                <w:sz w:val="16"/>
                <w:szCs w:val="16"/>
              </w:rPr>
              <w:t>-</w:t>
            </w:r>
          </w:p>
        </w:tc>
      </w:tr>
      <w:tr w:rsidR="00802DBC" w:rsidRPr="00471CBA" w14:paraId="2A2F6C4D" w14:textId="77777777" w:rsidTr="00F36B82">
        <w:trPr>
          <w:trHeight w:val="170"/>
        </w:trPr>
        <w:tc>
          <w:tcPr>
            <w:tcW w:w="278" w:type="pct"/>
            <w:noWrap/>
            <w:hideMark/>
          </w:tcPr>
          <w:p w14:paraId="08B3A9EF" w14:textId="77777777" w:rsidR="00802DBC" w:rsidRPr="00471CBA" w:rsidRDefault="00802DBC" w:rsidP="00B04479">
            <w:pPr>
              <w:rPr>
                <w:sz w:val="16"/>
                <w:szCs w:val="16"/>
              </w:rPr>
            </w:pPr>
            <w:r w:rsidRPr="00471CBA">
              <w:rPr>
                <w:sz w:val="16"/>
                <w:szCs w:val="16"/>
              </w:rPr>
              <w:t>3</w:t>
            </w:r>
          </w:p>
        </w:tc>
        <w:tc>
          <w:tcPr>
            <w:tcW w:w="918" w:type="pct"/>
            <w:vAlign w:val="bottom"/>
            <w:hideMark/>
          </w:tcPr>
          <w:p w14:paraId="6F8AEBFF" w14:textId="77777777" w:rsidR="00802DBC" w:rsidRPr="00471CBA" w:rsidRDefault="00802DBC" w:rsidP="00B04479">
            <w:pPr>
              <w:contextualSpacing/>
              <w:rPr>
                <w:sz w:val="16"/>
                <w:szCs w:val="16"/>
              </w:rPr>
            </w:pPr>
            <w:r w:rsidRPr="00471CBA">
              <w:rPr>
                <w:sz w:val="16"/>
                <w:szCs w:val="16"/>
              </w:rPr>
              <w:t>İdari birimlerden ve ticari olmayan girişimlerden alacaklar</w:t>
            </w:r>
          </w:p>
        </w:tc>
        <w:tc>
          <w:tcPr>
            <w:tcW w:w="319" w:type="pct"/>
            <w:tcBorders>
              <w:top w:val="nil"/>
              <w:left w:val="nil"/>
              <w:bottom w:val="nil"/>
              <w:right w:val="nil"/>
            </w:tcBorders>
            <w:noWrap/>
            <w:vAlign w:val="bottom"/>
          </w:tcPr>
          <w:p w14:paraId="3F8C7BFD" w14:textId="0D5AC3FC" w:rsidR="00802DBC" w:rsidRPr="00471CBA" w:rsidRDefault="00802DBC" w:rsidP="00F36B82">
            <w:pPr>
              <w:ind w:right="-55"/>
              <w:jc w:val="right"/>
              <w:rPr>
                <w:color w:val="000000"/>
                <w:sz w:val="16"/>
                <w:szCs w:val="16"/>
              </w:rPr>
            </w:pPr>
            <w:r w:rsidRPr="00471CBA">
              <w:rPr>
                <w:sz w:val="16"/>
                <w:szCs w:val="16"/>
              </w:rPr>
              <w:t>-</w:t>
            </w:r>
          </w:p>
        </w:tc>
        <w:tc>
          <w:tcPr>
            <w:tcW w:w="253" w:type="pct"/>
            <w:tcBorders>
              <w:top w:val="nil"/>
              <w:left w:val="nil"/>
              <w:bottom w:val="nil"/>
              <w:right w:val="nil"/>
            </w:tcBorders>
            <w:noWrap/>
            <w:vAlign w:val="bottom"/>
          </w:tcPr>
          <w:p w14:paraId="0B7D778C" w14:textId="78B6A646" w:rsidR="00802DBC" w:rsidRPr="00471CBA" w:rsidRDefault="00802DBC" w:rsidP="00F36B82">
            <w:pPr>
              <w:ind w:right="-55"/>
              <w:jc w:val="right"/>
              <w:rPr>
                <w:color w:val="000000"/>
                <w:sz w:val="16"/>
                <w:szCs w:val="16"/>
              </w:rPr>
            </w:pPr>
            <w:r w:rsidRPr="00471CBA">
              <w:rPr>
                <w:sz w:val="16"/>
                <w:szCs w:val="16"/>
              </w:rPr>
              <w:t>-</w:t>
            </w:r>
          </w:p>
        </w:tc>
        <w:tc>
          <w:tcPr>
            <w:tcW w:w="319" w:type="pct"/>
            <w:tcBorders>
              <w:top w:val="nil"/>
              <w:left w:val="nil"/>
              <w:bottom w:val="nil"/>
              <w:right w:val="nil"/>
            </w:tcBorders>
            <w:noWrap/>
            <w:vAlign w:val="bottom"/>
          </w:tcPr>
          <w:p w14:paraId="675FF925" w14:textId="69DE4FD6" w:rsidR="00802DBC" w:rsidRPr="00471CBA" w:rsidRDefault="00802DBC" w:rsidP="00F36B82">
            <w:pPr>
              <w:ind w:right="-55"/>
              <w:jc w:val="right"/>
              <w:rPr>
                <w:color w:val="000000"/>
                <w:sz w:val="16"/>
                <w:szCs w:val="16"/>
              </w:rPr>
            </w:pPr>
            <w:r w:rsidRPr="00471CBA">
              <w:rPr>
                <w:sz w:val="16"/>
                <w:szCs w:val="16"/>
              </w:rPr>
              <w:t>-</w:t>
            </w:r>
          </w:p>
        </w:tc>
        <w:tc>
          <w:tcPr>
            <w:tcW w:w="247" w:type="pct"/>
            <w:tcBorders>
              <w:top w:val="nil"/>
              <w:left w:val="nil"/>
              <w:bottom w:val="nil"/>
              <w:right w:val="nil"/>
            </w:tcBorders>
            <w:vAlign w:val="bottom"/>
          </w:tcPr>
          <w:p w14:paraId="67E5DEA0" w14:textId="5A5FFBD2" w:rsidR="00802DBC" w:rsidRPr="00471CBA" w:rsidRDefault="00802DBC" w:rsidP="00F36B82">
            <w:pPr>
              <w:ind w:right="-55"/>
              <w:jc w:val="right"/>
              <w:rPr>
                <w:color w:val="000000"/>
                <w:sz w:val="16"/>
                <w:szCs w:val="16"/>
              </w:rPr>
            </w:pPr>
            <w:r w:rsidRPr="00471CBA">
              <w:rPr>
                <w:sz w:val="16"/>
                <w:szCs w:val="16"/>
              </w:rPr>
              <w:t>-</w:t>
            </w:r>
          </w:p>
        </w:tc>
        <w:tc>
          <w:tcPr>
            <w:tcW w:w="599" w:type="pct"/>
            <w:tcBorders>
              <w:top w:val="nil"/>
              <w:left w:val="nil"/>
              <w:bottom w:val="nil"/>
              <w:right w:val="nil"/>
            </w:tcBorders>
            <w:vAlign w:val="bottom"/>
          </w:tcPr>
          <w:p w14:paraId="789A8653" w14:textId="25C8F7BD" w:rsidR="00802DBC" w:rsidRPr="00471CBA" w:rsidRDefault="00802DBC" w:rsidP="00F36B82">
            <w:pPr>
              <w:ind w:right="-55"/>
              <w:jc w:val="right"/>
              <w:rPr>
                <w:color w:val="000000"/>
                <w:sz w:val="16"/>
                <w:szCs w:val="16"/>
              </w:rPr>
            </w:pPr>
            <w:r w:rsidRPr="00471CBA">
              <w:rPr>
                <w:sz w:val="16"/>
                <w:szCs w:val="16"/>
              </w:rPr>
              <w:t>-</w:t>
            </w:r>
          </w:p>
        </w:tc>
        <w:tc>
          <w:tcPr>
            <w:tcW w:w="288" w:type="pct"/>
            <w:tcBorders>
              <w:top w:val="nil"/>
              <w:left w:val="nil"/>
              <w:bottom w:val="nil"/>
              <w:right w:val="nil"/>
            </w:tcBorders>
            <w:noWrap/>
            <w:vAlign w:val="bottom"/>
          </w:tcPr>
          <w:p w14:paraId="5B201510" w14:textId="6552273C" w:rsidR="00802DBC" w:rsidRPr="00471CBA" w:rsidRDefault="00802DBC" w:rsidP="00F36B82">
            <w:pPr>
              <w:ind w:right="-55"/>
              <w:jc w:val="right"/>
              <w:rPr>
                <w:color w:val="000000"/>
                <w:sz w:val="16"/>
                <w:szCs w:val="16"/>
              </w:rPr>
            </w:pPr>
            <w:r w:rsidRPr="00471CBA">
              <w:rPr>
                <w:sz w:val="16"/>
                <w:szCs w:val="16"/>
              </w:rPr>
              <w:t>-</w:t>
            </w:r>
          </w:p>
        </w:tc>
        <w:tc>
          <w:tcPr>
            <w:tcW w:w="268" w:type="pct"/>
            <w:tcBorders>
              <w:top w:val="nil"/>
              <w:left w:val="nil"/>
              <w:bottom w:val="nil"/>
              <w:right w:val="nil"/>
            </w:tcBorders>
            <w:noWrap/>
            <w:vAlign w:val="bottom"/>
          </w:tcPr>
          <w:p w14:paraId="78D4EAD7" w14:textId="7F01C519" w:rsidR="00802DBC" w:rsidRPr="00471CBA" w:rsidRDefault="00802DBC" w:rsidP="00F36B82">
            <w:pPr>
              <w:ind w:right="-55"/>
              <w:jc w:val="right"/>
              <w:rPr>
                <w:color w:val="000000"/>
                <w:sz w:val="16"/>
                <w:szCs w:val="16"/>
              </w:rPr>
            </w:pPr>
            <w:r w:rsidRPr="00471CBA">
              <w:rPr>
                <w:sz w:val="16"/>
                <w:szCs w:val="16"/>
              </w:rPr>
              <w:t>-</w:t>
            </w:r>
          </w:p>
        </w:tc>
        <w:tc>
          <w:tcPr>
            <w:tcW w:w="349" w:type="pct"/>
            <w:tcBorders>
              <w:top w:val="nil"/>
              <w:left w:val="nil"/>
              <w:bottom w:val="nil"/>
              <w:right w:val="nil"/>
            </w:tcBorders>
            <w:noWrap/>
            <w:vAlign w:val="bottom"/>
          </w:tcPr>
          <w:p w14:paraId="1B4226C1" w14:textId="6BC98FF4" w:rsidR="00802DBC" w:rsidRPr="00471CBA" w:rsidRDefault="00802DBC" w:rsidP="00F36B82">
            <w:pPr>
              <w:ind w:right="-55"/>
              <w:jc w:val="right"/>
              <w:rPr>
                <w:color w:val="000000"/>
                <w:sz w:val="16"/>
                <w:szCs w:val="16"/>
              </w:rPr>
            </w:pPr>
            <w:r w:rsidRPr="00471CBA">
              <w:rPr>
                <w:sz w:val="16"/>
                <w:szCs w:val="16"/>
              </w:rPr>
              <w:t>-</w:t>
            </w:r>
          </w:p>
        </w:tc>
        <w:tc>
          <w:tcPr>
            <w:tcW w:w="230" w:type="pct"/>
            <w:tcBorders>
              <w:top w:val="nil"/>
              <w:left w:val="nil"/>
              <w:bottom w:val="nil"/>
              <w:right w:val="nil"/>
            </w:tcBorders>
            <w:noWrap/>
            <w:vAlign w:val="bottom"/>
          </w:tcPr>
          <w:p w14:paraId="53D57C46" w14:textId="781B0173" w:rsidR="00802DBC" w:rsidRPr="00471CBA" w:rsidRDefault="00802DBC" w:rsidP="00F36B82">
            <w:pPr>
              <w:ind w:right="-55"/>
              <w:jc w:val="right"/>
              <w:rPr>
                <w:color w:val="000000"/>
                <w:sz w:val="16"/>
                <w:szCs w:val="16"/>
              </w:rPr>
            </w:pPr>
            <w:r w:rsidRPr="00471CBA">
              <w:rPr>
                <w:sz w:val="16"/>
                <w:szCs w:val="16"/>
              </w:rPr>
              <w:t>-</w:t>
            </w:r>
          </w:p>
        </w:tc>
        <w:tc>
          <w:tcPr>
            <w:tcW w:w="230" w:type="pct"/>
            <w:tcBorders>
              <w:top w:val="nil"/>
              <w:left w:val="nil"/>
              <w:bottom w:val="nil"/>
              <w:right w:val="nil"/>
            </w:tcBorders>
            <w:noWrap/>
            <w:vAlign w:val="bottom"/>
          </w:tcPr>
          <w:p w14:paraId="400D722E" w14:textId="6BB02012" w:rsidR="00802DBC" w:rsidRPr="00471CBA" w:rsidRDefault="00802DBC" w:rsidP="00F36B82">
            <w:pPr>
              <w:ind w:right="-55"/>
              <w:jc w:val="right"/>
              <w:rPr>
                <w:color w:val="000000"/>
                <w:sz w:val="16"/>
                <w:szCs w:val="16"/>
              </w:rPr>
            </w:pPr>
            <w:r w:rsidRPr="00471CBA">
              <w:rPr>
                <w:sz w:val="16"/>
                <w:szCs w:val="16"/>
              </w:rPr>
              <w:t>-</w:t>
            </w:r>
          </w:p>
        </w:tc>
        <w:tc>
          <w:tcPr>
            <w:tcW w:w="353" w:type="pct"/>
            <w:tcBorders>
              <w:top w:val="nil"/>
              <w:left w:val="nil"/>
              <w:bottom w:val="nil"/>
              <w:right w:val="nil"/>
            </w:tcBorders>
            <w:noWrap/>
            <w:vAlign w:val="bottom"/>
          </w:tcPr>
          <w:p w14:paraId="5EE22600" w14:textId="38D3391D" w:rsidR="00802DBC" w:rsidRPr="00471CBA" w:rsidRDefault="00802DBC" w:rsidP="00F36B82">
            <w:pPr>
              <w:ind w:right="-55"/>
              <w:jc w:val="right"/>
              <w:rPr>
                <w:color w:val="000000"/>
                <w:sz w:val="16"/>
                <w:szCs w:val="16"/>
              </w:rPr>
            </w:pPr>
            <w:r w:rsidRPr="00471CBA">
              <w:rPr>
                <w:sz w:val="16"/>
                <w:szCs w:val="16"/>
              </w:rPr>
              <w:t>-</w:t>
            </w:r>
          </w:p>
        </w:tc>
        <w:tc>
          <w:tcPr>
            <w:tcW w:w="349" w:type="pct"/>
            <w:tcBorders>
              <w:top w:val="nil"/>
              <w:left w:val="nil"/>
              <w:bottom w:val="nil"/>
              <w:right w:val="nil"/>
            </w:tcBorders>
            <w:noWrap/>
            <w:vAlign w:val="bottom"/>
          </w:tcPr>
          <w:p w14:paraId="24D8BF4B" w14:textId="131AC667" w:rsidR="00802DBC" w:rsidRPr="00471CBA" w:rsidRDefault="00802DBC" w:rsidP="00F36B82">
            <w:pPr>
              <w:ind w:right="-55"/>
              <w:jc w:val="right"/>
              <w:rPr>
                <w:color w:val="000000"/>
                <w:sz w:val="16"/>
                <w:szCs w:val="16"/>
              </w:rPr>
            </w:pPr>
            <w:r w:rsidRPr="00471CBA">
              <w:rPr>
                <w:sz w:val="16"/>
                <w:szCs w:val="16"/>
              </w:rPr>
              <w:t>-</w:t>
            </w:r>
          </w:p>
        </w:tc>
      </w:tr>
      <w:tr w:rsidR="00802DBC" w:rsidRPr="00471CBA" w14:paraId="4A303790" w14:textId="77777777" w:rsidTr="00F36B82">
        <w:trPr>
          <w:trHeight w:val="170"/>
        </w:trPr>
        <w:tc>
          <w:tcPr>
            <w:tcW w:w="278" w:type="pct"/>
            <w:noWrap/>
            <w:hideMark/>
          </w:tcPr>
          <w:p w14:paraId="785A8775" w14:textId="77777777" w:rsidR="00802DBC" w:rsidRPr="00471CBA" w:rsidRDefault="00802DBC" w:rsidP="00B04479">
            <w:pPr>
              <w:rPr>
                <w:sz w:val="16"/>
                <w:szCs w:val="16"/>
              </w:rPr>
            </w:pPr>
            <w:r w:rsidRPr="00471CBA">
              <w:rPr>
                <w:sz w:val="16"/>
                <w:szCs w:val="16"/>
              </w:rPr>
              <w:t>4</w:t>
            </w:r>
          </w:p>
        </w:tc>
        <w:tc>
          <w:tcPr>
            <w:tcW w:w="918" w:type="pct"/>
            <w:vAlign w:val="bottom"/>
            <w:hideMark/>
          </w:tcPr>
          <w:p w14:paraId="440B8A44" w14:textId="77777777" w:rsidR="00802DBC" w:rsidRPr="00471CBA" w:rsidRDefault="00802DBC" w:rsidP="00B04479">
            <w:pPr>
              <w:contextualSpacing/>
              <w:rPr>
                <w:sz w:val="16"/>
                <w:szCs w:val="16"/>
              </w:rPr>
            </w:pPr>
            <w:r w:rsidRPr="00471CBA">
              <w:rPr>
                <w:sz w:val="16"/>
                <w:szCs w:val="16"/>
              </w:rPr>
              <w:t>Çok taraflı kalkınma bankalarından alacaklar</w:t>
            </w:r>
          </w:p>
        </w:tc>
        <w:tc>
          <w:tcPr>
            <w:tcW w:w="319" w:type="pct"/>
            <w:tcBorders>
              <w:top w:val="nil"/>
              <w:left w:val="nil"/>
              <w:bottom w:val="nil"/>
              <w:right w:val="nil"/>
            </w:tcBorders>
            <w:noWrap/>
            <w:vAlign w:val="bottom"/>
          </w:tcPr>
          <w:p w14:paraId="09C428CD" w14:textId="239225BB" w:rsidR="00802DBC" w:rsidRPr="00471CBA" w:rsidRDefault="00802DBC" w:rsidP="00F36B82">
            <w:pPr>
              <w:ind w:right="-55"/>
              <w:jc w:val="right"/>
              <w:rPr>
                <w:color w:val="000000"/>
                <w:sz w:val="16"/>
                <w:szCs w:val="16"/>
              </w:rPr>
            </w:pPr>
            <w:r w:rsidRPr="00471CBA">
              <w:rPr>
                <w:sz w:val="16"/>
                <w:szCs w:val="16"/>
              </w:rPr>
              <w:t>-</w:t>
            </w:r>
          </w:p>
        </w:tc>
        <w:tc>
          <w:tcPr>
            <w:tcW w:w="253" w:type="pct"/>
            <w:tcBorders>
              <w:top w:val="nil"/>
              <w:left w:val="nil"/>
              <w:bottom w:val="nil"/>
              <w:right w:val="nil"/>
            </w:tcBorders>
            <w:noWrap/>
            <w:vAlign w:val="bottom"/>
          </w:tcPr>
          <w:p w14:paraId="455DE8A2" w14:textId="754ACED6" w:rsidR="00802DBC" w:rsidRPr="00471CBA" w:rsidRDefault="00802DBC" w:rsidP="00F36B82">
            <w:pPr>
              <w:ind w:right="-55"/>
              <w:jc w:val="right"/>
              <w:rPr>
                <w:color w:val="000000"/>
                <w:sz w:val="16"/>
                <w:szCs w:val="16"/>
              </w:rPr>
            </w:pPr>
            <w:r w:rsidRPr="00471CBA">
              <w:rPr>
                <w:sz w:val="16"/>
                <w:szCs w:val="16"/>
              </w:rPr>
              <w:t>-</w:t>
            </w:r>
          </w:p>
        </w:tc>
        <w:tc>
          <w:tcPr>
            <w:tcW w:w="319" w:type="pct"/>
            <w:tcBorders>
              <w:top w:val="nil"/>
              <w:left w:val="nil"/>
              <w:bottom w:val="nil"/>
              <w:right w:val="nil"/>
            </w:tcBorders>
            <w:noWrap/>
            <w:vAlign w:val="bottom"/>
          </w:tcPr>
          <w:p w14:paraId="3EB2767A" w14:textId="2C94FB5C" w:rsidR="00802DBC" w:rsidRPr="00471CBA" w:rsidRDefault="00802DBC" w:rsidP="00F36B82">
            <w:pPr>
              <w:ind w:right="-55"/>
              <w:jc w:val="right"/>
              <w:rPr>
                <w:color w:val="000000"/>
                <w:sz w:val="16"/>
                <w:szCs w:val="16"/>
              </w:rPr>
            </w:pPr>
            <w:r w:rsidRPr="00471CBA">
              <w:rPr>
                <w:sz w:val="16"/>
                <w:szCs w:val="16"/>
              </w:rPr>
              <w:t>-</w:t>
            </w:r>
          </w:p>
        </w:tc>
        <w:tc>
          <w:tcPr>
            <w:tcW w:w="247" w:type="pct"/>
            <w:tcBorders>
              <w:top w:val="nil"/>
              <w:left w:val="nil"/>
              <w:bottom w:val="nil"/>
              <w:right w:val="nil"/>
            </w:tcBorders>
            <w:vAlign w:val="bottom"/>
          </w:tcPr>
          <w:p w14:paraId="5F78082D" w14:textId="26C8F95B" w:rsidR="00802DBC" w:rsidRPr="00471CBA" w:rsidRDefault="00802DBC" w:rsidP="00F36B82">
            <w:pPr>
              <w:ind w:right="-55"/>
              <w:jc w:val="right"/>
              <w:rPr>
                <w:color w:val="000000"/>
                <w:sz w:val="16"/>
                <w:szCs w:val="16"/>
              </w:rPr>
            </w:pPr>
            <w:r w:rsidRPr="00471CBA">
              <w:rPr>
                <w:sz w:val="16"/>
                <w:szCs w:val="16"/>
              </w:rPr>
              <w:t>-</w:t>
            </w:r>
          </w:p>
        </w:tc>
        <w:tc>
          <w:tcPr>
            <w:tcW w:w="599" w:type="pct"/>
            <w:tcBorders>
              <w:top w:val="nil"/>
              <w:left w:val="nil"/>
              <w:bottom w:val="nil"/>
              <w:right w:val="nil"/>
            </w:tcBorders>
            <w:vAlign w:val="bottom"/>
          </w:tcPr>
          <w:p w14:paraId="1ADE88BB" w14:textId="7ABD4E68" w:rsidR="00802DBC" w:rsidRPr="00471CBA" w:rsidRDefault="00802DBC" w:rsidP="00F36B82">
            <w:pPr>
              <w:ind w:right="-55"/>
              <w:jc w:val="right"/>
              <w:rPr>
                <w:color w:val="000000"/>
                <w:sz w:val="16"/>
                <w:szCs w:val="16"/>
              </w:rPr>
            </w:pPr>
            <w:r w:rsidRPr="00471CBA">
              <w:rPr>
                <w:sz w:val="16"/>
                <w:szCs w:val="16"/>
              </w:rPr>
              <w:t>-</w:t>
            </w:r>
          </w:p>
        </w:tc>
        <w:tc>
          <w:tcPr>
            <w:tcW w:w="288" w:type="pct"/>
            <w:tcBorders>
              <w:top w:val="nil"/>
              <w:left w:val="nil"/>
              <w:bottom w:val="nil"/>
              <w:right w:val="nil"/>
            </w:tcBorders>
            <w:noWrap/>
            <w:vAlign w:val="bottom"/>
          </w:tcPr>
          <w:p w14:paraId="6630345D" w14:textId="065B0F54" w:rsidR="00802DBC" w:rsidRPr="00471CBA" w:rsidRDefault="00802DBC" w:rsidP="00F36B82">
            <w:pPr>
              <w:ind w:right="-55"/>
              <w:jc w:val="right"/>
              <w:rPr>
                <w:color w:val="000000"/>
                <w:sz w:val="16"/>
                <w:szCs w:val="16"/>
              </w:rPr>
            </w:pPr>
            <w:r w:rsidRPr="00471CBA">
              <w:rPr>
                <w:sz w:val="16"/>
                <w:szCs w:val="16"/>
              </w:rPr>
              <w:t>-</w:t>
            </w:r>
          </w:p>
        </w:tc>
        <w:tc>
          <w:tcPr>
            <w:tcW w:w="268" w:type="pct"/>
            <w:tcBorders>
              <w:top w:val="nil"/>
              <w:left w:val="nil"/>
              <w:bottom w:val="nil"/>
              <w:right w:val="nil"/>
            </w:tcBorders>
            <w:noWrap/>
            <w:vAlign w:val="bottom"/>
          </w:tcPr>
          <w:p w14:paraId="6255CA18" w14:textId="1DB8C337" w:rsidR="00802DBC" w:rsidRPr="00471CBA" w:rsidRDefault="00802DBC" w:rsidP="00F36B82">
            <w:pPr>
              <w:ind w:right="-55"/>
              <w:jc w:val="right"/>
              <w:rPr>
                <w:color w:val="000000"/>
                <w:sz w:val="16"/>
                <w:szCs w:val="16"/>
              </w:rPr>
            </w:pPr>
            <w:r w:rsidRPr="00471CBA">
              <w:rPr>
                <w:sz w:val="16"/>
                <w:szCs w:val="16"/>
              </w:rPr>
              <w:t>-</w:t>
            </w:r>
          </w:p>
        </w:tc>
        <w:tc>
          <w:tcPr>
            <w:tcW w:w="349" w:type="pct"/>
            <w:tcBorders>
              <w:top w:val="nil"/>
              <w:left w:val="nil"/>
              <w:bottom w:val="nil"/>
              <w:right w:val="nil"/>
            </w:tcBorders>
            <w:noWrap/>
            <w:vAlign w:val="bottom"/>
          </w:tcPr>
          <w:p w14:paraId="1036F3A8" w14:textId="48F53D43" w:rsidR="00802DBC" w:rsidRPr="00471CBA" w:rsidRDefault="00802DBC" w:rsidP="00F36B82">
            <w:pPr>
              <w:ind w:right="-55"/>
              <w:jc w:val="right"/>
              <w:rPr>
                <w:color w:val="000000"/>
                <w:sz w:val="16"/>
                <w:szCs w:val="16"/>
              </w:rPr>
            </w:pPr>
            <w:r w:rsidRPr="00471CBA">
              <w:rPr>
                <w:sz w:val="16"/>
                <w:szCs w:val="16"/>
              </w:rPr>
              <w:t>-</w:t>
            </w:r>
          </w:p>
        </w:tc>
        <w:tc>
          <w:tcPr>
            <w:tcW w:w="230" w:type="pct"/>
            <w:tcBorders>
              <w:top w:val="nil"/>
              <w:left w:val="nil"/>
              <w:bottom w:val="nil"/>
              <w:right w:val="nil"/>
            </w:tcBorders>
            <w:noWrap/>
            <w:vAlign w:val="bottom"/>
          </w:tcPr>
          <w:p w14:paraId="272E2DF4" w14:textId="31487597" w:rsidR="00802DBC" w:rsidRPr="00471CBA" w:rsidRDefault="00802DBC" w:rsidP="00F36B82">
            <w:pPr>
              <w:ind w:right="-55"/>
              <w:jc w:val="right"/>
              <w:rPr>
                <w:color w:val="000000"/>
                <w:sz w:val="16"/>
                <w:szCs w:val="16"/>
              </w:rPr>
            </w:pPr>
            <w:r w:rsidRPr="00471CBA">
              <w:rPr>
                <w:sz w:val="16"/>
                <w:szCs w:val="16"/>
              </w:rPr>
              <w:t>-</w:t>
            </w:r>
          </w:p>
        </w:tc>
        <w:tc>
          <w:tcPr>
            <w:tcW w:w="230" w:type="pct"/>
            <w:tcBorders>
              <w:top w:val="nil"/>
              <w:left w:val="nil"/>
              <w:bottom w:val="nil"/>
              <w:right w:val="nil"/>
            </w:tcBorders>
            <w:noWrap/>
            <w:vAlign w:val="bottom"/>
          </w:tcPr>
          <w:p w14:paraId="31A5ACC7" w14:textId="37407AC5" w:rsidR="00802DBC" w:rsidRPr="00471CBA" w:rsidRDefault="00802DBC" w:rsidP="00F36B82">
            <w:pPr>
              <w:ind w:right="-55"/>
              <w:jc w:val="right"/>
              <w:rPr>
                <w:color w:val="000000"/>
                <w:sz w:val="16"/>
                <w:szCs w:val="16"/>
              </w:rPr>
            </w:pPr>
            <w:r w:rsidRPr="00471CBA">
              <w:rPr>
                <w:sz w:val="16"/>
                <w:szCs w:val="16"/>
              </w:rPr>
              <w:t>-</w:t>
            </w:r>
          </w:p>
        </w:tc>
        <w:tc>
          <w:tcPr>
            <w:tcW w:w="353" w:type="pct"/>
            <w:tcBorders>
              <w:top w:val="nil"/>
              <w:left w:val="nil"/>
              <w:bottom w:val="nil"/>
              <w:right w:val="nil"/>
            </w:tcBorders>
            <w:noWrap/>
            <w:vAlign w:val="bottom"/>
          </w:tcPr>
          <w:p w14:paraId="3BE21E8B" w14:textId="442A6184" w:rsidR="00802DBC" w:rsidRPr="00471CBA" w:rsidRDefault="00802DBC" w:rsidP="00F36B82">
            <w:pPr>
              <w:ind w:right="-55"/>
              <w:jc w:val="right"/>
              <w:rPr>
                <w:color w:val="000000"/>
                <w:sz w:val="16"/>
                <w:szCs w:val="16"/>
              </w:rPr>
            </w:pPr>
            <w:r w:rsidRPr="00471CBA">
              <w:rPr>
                <w:sz w:val="16"/>
                <w:szCs w:val="16"/>
              </w:rPr>
              <w:t>-</w:t>
            </w:r>
          </w:p>
        </w:tc>
        <w:tc>
          <w:tcPr>
            <w:tcW w:w="349" w:type="pct"/>
            <w:tcBorders>
              <w:top w:val="nil"/>
              <w:left w:val="nil"/>
              <w:bottom w:val="nil"/>
              <w:right w:val="nil"/>
            </w:tcBorders>
            <w:noWrap/>
            <w:vAlign w:val="bottom"/>
          </w:tcPr>
          <w:p w14:paraId="6CBA8293" w14:textId="7AE04E26" w:rsidR="00802DBC" w:rsidRPr="00471CBA" w:rsidRDefault="00802DBC" w:rsidP="00F36B82">
            <w:pPr>
              <w:ind w:right="-55"/>
              <w:jc w:val="right"/>
              <w:rPr>
                <w:color w:val="000000"/>
                <w:sz w:val="16"/>
                <w:szCs w:val="16"/>
              </w:rPr>
            </w:pPr>
            <w:r w:rsidRPr="00471CBA">
              <w:rPr>
                <w:sz w:val="16"/>
                <w:szCs w:val="16"/>
              </w:rPr>
              <w:t>-</w:t>
            </w:r>
          </w:p>
        </w:tc>
      </w:tr>
      <w:tr w:rsidR="00802DBC" w:rsidRPr="00471CBA" w14:paraId="287C44E5" w14:textId="77777777" w:rsidTr="00F36B82">
        <w:trPr>
          <w:trHeight w:val="170"/>
        </w:trPr>
        <w:tc>
          <w:tcPr>
            <w:tcW w:w="278" w:type="pct"/>
            <w:noWrap/>
            <w:hideMark/>
          </w:tcPr>
          <w:p w14:paraId="36D07A63" w14:textId="77777777" w:rsidR="00802DBC" w:rsidRPr="00471CBA" w:rsidRDefault="00802DBC" w:rsidP="00B04479">
            <w:pPr>
              <w:rPr>
                <w:sz w:val="16"/>
                <w:szCs w:val="16"/>
              </w:rPr>
            </w:pPr>
            <w:r w:rsidRPr="00471CBA">
              <w:rPr>
                <w:sz w:val="16"/>
                <w:szCs w:val="16"/>
              </w:rPr>
              <w:t>5</w:t>
            </w:r>
          </w:p>
        </w:tc>
        <w:tc>
          <w:tcPr>
            <w:tcW w:w="918" w:type="pct"/>
            <w:vAlign w:val="bottom"/>
            <w:hideMark/>
          </w:tcPr>
          <w:p w14:paraId="76F3F118" w14:textId="77777777" w:rsidR="00802DBC" w:rsidRPr="00471CBA" w:rsidRDefault="00802DBC" w:rsidP="00B04479">
            <w:pPr>
              <w:contextualSpacing/>
              <w:rPr>
                <w:sz w:val="16"/>
                <w:szCs w:val="16"/>
              </w:rPr>
            </w:pPr>
            <w:r w:rsidRPr="00471CBA">
              <w:rPr>
                <w:sz w:val="16"/>
                <w:szCs w:val="16"/>
              </w:rPr>
              <w:t>Uluslararası teşkilatlardan alacaklar</w:t>
            </w:r>
          </w:p>
        </w:tc>
        <w:tc>
          <w:tcPr>
            <w:tcW w:w="319" w:type="pct"/>
            <w:tcBorders>
              <w:top w:val="nil"/>
              <w:left w:val="nil"/>
              <w:bottom w:val="nil"/>
              <w:right w:val="nil"/>
            </w:tcBorders>
            <w:noWrap/>
            <w:vAlign w:val="bottom"/>
          </w:tcPr>
          <w:p w14:paraId="07750A5A" w14:textId="7C6A2CE2" w:rsidR="00802DBC" w:rsidRPr="00471CBA" w:rsidRDefault="00802DBC" w:rsidP="00F36B82">
            <w:pPr>
              <w:ind w:right="-55"/>
              <w:jc w:val="right"/>
              <w:rPr>
                <w:color w:val="000000"/>
                <w:sz w:val="16"/>
                <w:szCs w:val="16"/>
              </w:rPr>
            </w:pPr>
            <w:r w:rsidRPr="00471CBA">
              <w:rPr>
                <w:sz w:val="16"/>
                <w:szCs w:val="16"/>
              </w:rPr>
              <w:t>-</w:t>
            </w:r>
          </w:p>
        </w:tc>
        <w:tc>
          <w:tcPr>
            <w:tcW w:w="253" w:type="pct"/>
            <w:tcBorders>
              <w:top w:val="nil"/>
              <w:left w:val="nil"/>
              <w:bottom w:val="nil"/>
              <w:right w:val="nil"/>
            </w:tcBorders>
            <w:noWrap/>
            <w:vAlign w:val="bottom"/>
          </w:tcPr>
          <w:p w14:paraId="301AD013" w14:textId="53B56DA2" w:rsidR="00802DBC" w:rsidRPr="00471CBA" w:rsidRDefault="00802DBC" w:rsidP="00F36B82">
            <w:pPr>
              <w:ind w:right="-55"/>
              <w:jc w:val="right"/>
              <w:rPr>
                <w:color w:val="000000"/>
                <w:sz w:val="16"/>
                <w:szCs w:val="16"/>
              </w:rPr>
            </w:pPr>
            <w:r w:rsidRPr="00471CBA">
              <w:rPr>
                <w:sz w:val="16"/>
                <w:szCs w:val="16"/>
              </w:rPr>
              <w:t>-</w:t>
            </w:r>
          </w:p>
        </w:tc>
        <w:tc>
          <w:tcPr>
            <w:tcW w:w="319" w:type="pct"/>
            <w:tcBorders>
              <w:top w:val="nil"/>
              <w:left w:val="nil"/>
              <w:bottom w:val="nil"/>
              <w:right w:val="nil"/>
            </w:tcBorders>
            <w:noWrap/>
            <w:vAlign w:val="bottom"/>
          </w:tcPr>
          <w:p w14:paraId="0FAD3748" w14:textId="7B438AF5" w:rsidR="00802DBC" w:rsidRPr="00471CBA" w:rsidRDefault="00802DBC" w:rsidP="00F36B82">
            <w:pPr>
              <w:ind w:right="-55"/>
              <w:jc w:val="right"/>
              <w:rPr>
                <w:color w:val="000000"/>
                <w:sz w:val="16"/>
                <w:szCs w:val="16"/>
              </w:rPr>
            </w:pPr>
            <w:r w:rsidRPr="00471CBA">
              <w:rPr>
                <w:sz w:val="16"/>
                <w:szCs w:val="16"/>
              </w:rPr>
              <w:t>-</w:t>
            </w:r>
          </w:p>
        </w:tc>
        <w:tc>
          <w:tcPr>
            <w:tcW w:w="247" w:type="pct"/>
            <w:tcBorders>
              <w:top w:val="nil"/>
              <w:left w:val="nil"/>
              <w:bottom w:val="nil"/>
              <w:right w:val="nil"/>
            </w:tcBorders>
            <w:vAlign w:val="bottom"/>
          </w:tcPr>
          <w:p w14:paraId="032E787C" w14:textId="76B66954" w:rsidR="00802DBC" w:rsidRPr="00471CBA" w:rsidRDefault="00802DBC" w:rsidP="00F36B82">
            <w:pPr>
              <w:ind w:right="-55"/>
              <w:jc w:val="right"/>
              <w:rPr>
                <w:color w:val="000000"/>
                <w:sz w:val="16"/>
                <w:szCs w:val="16"/>
              </w:rPr>
            </w:pPr>
            <w:r w:rsidRPr="00471CBA">
              <w:rPr>
                <w:sz w:val="16"/>
                <w:szCs w:val="16"/>
              </w:rPr>
              <w:t>-</w:t>
            </w:r>
          </w:p>
        </w:tc>
        <w:tc>
          <w:tcPr>
            <w:tcW w:w="599" w:type="pct"/>
            <w:tcBorders>
              <w:top w:val="nil"/>
              <w:left w:val="nil"/>
              <w:bottom w:val="nil"/>
              <w:right w:val="nil"/>
            </w:tcBorders>
            <w:vAlign w:val="bottom"/>
          </w:tcPr>
          <w:p w14:paraId="28D0F0C9" w14:textId="74F4505A" w:rsidR="00802DBC" w:rsidRPr="00471CBA" w:rsidRDefault="00802DBC" w:rsidP="00F36B82">
            <w:pPr>
              <w:ind w:right="-55"/>
              <w:jc w:val="right"/>
              <w:rPr>
                <w:color w:val="000000"/>
                <w:sz w:val="16"/>
                <w:szCs w:val="16"/>
              </w:rPr>
            </w:pPr>
            <w:r w:rsidRPr="00471CBA">
              <w:rPr>
                <w:sz w:val="16"/>
                <w:szCs w:val="16"/>
              </w:rPr>
              <w:t>-</w:t>
            </w:r>
          </w:p>
        </w:tc>
        <w:tc>
          <w:tcPr>
            <w:tcW w:w="288" w:type="pct"/>
            <w:tcBorders>
              <w:top w:val="nil"/>
              <w:left w:val="nil"/>
              <w:bottom w:val="nil"/>
              <w:right w:val="nil"/>
            </w:tcBorders>
            <w:noWrap/>
            <w:vAlign w:val="bottom"/>
          </w:tcPr>
          <w:p w14:paraId="72B20A4A" w14:textId="44C5C920" w:rsidR="00802DBC" w:rsidRPr="00471CBA" w:rsidRDefault="00802DBC" w:rsidP="00F36B82">
            <w:pPr>
              <w:ind w:right="-55"/>
              <w:jc w:val="right"/>
              <w:rPr>
                <w:color w:val="000000"/>
                <w:sz w:val="16"/>
                <w:szCs w:val="16"/>
              </w:rPr>
            </w:pPr>
            <w:r w:rsidRPr="00471CBA">
              <w:rPr>
                <w:sz w:val="16"/>
                <w:szCs w:val="16"/>
              </w:rPr>
              <w:t>-</w:t>
            </w:r>
          </w:p>
        </w:tc>
        <w:tc>
          <w:tcPr>
            <w:tcW w:w="268" w:type="pct"/>
            <w:tcBorders>
              <w:top w:val="nil"/>
              <w:left w:val="nil"/>
              <w:bottom w:val="nil"/>
              <w:right w:val="nil"/>
            </w:tcBorders>
            <w:noWrap/>
            <w:vAlign w:val="bottom"/>
          </w:tcPr>
          <w:p w14:paraId="33419D5D" w14:textId="0D6469FF" w:rsidR="00802DBC" w:rsidRPr="00471CBA" w:rsidRDefault="00802DBC" w:rsidP="00F36B82">
            <w:pPr>
              <w:ind w:right="-55"/>
              <w:jc w:val="right"/>
              <w:rPr>
                <w:color w:val="000000"/>
                <w:sz w:val="16"/>
                <w:szCs w:val="16"/>
              </w:rPr>
            </w:pPr>
            <w:r w:rsidRPr="00471CBA">
              <w:rPr>
                <w:sz w:val="16"/>
                <w:szCs w:val="16"/>
              </w:rPr>
              <w:t>-</w:t>
            </w:r>
          </w:p>
        </w:tc>
        <w:tc>
          <w:tcPr>
            <w:tcW w:w="349" w:type="pct"/>
            <w:tcBorders>
              <w:top w:val="nil"/>
              <w:left w:val="nil"/>
              <w:bottom w:val="nil"/>
              <w:right w:val="nil"/>
            </w:tcBorders>
            <w:noWrap/>
            <w:vAlign w:val="bottom"/>
          </w:tcPr>
          <w:p w14:paraId="773EC296" w14:textId="09794843" w:rsidR="00802DBC" w:rsidRPr="00471CBA" w:rsidRDefault="00802DBC" w:rsidP="00F36B82">
            <w:pPr>
              <w:ind w:right="-55"/>
              <w:jc w:val="right"/>
              <w:rPr>
                <w:color w:val="000000"/>
                <w:sz w:val="16"/>
                <w:szCs w:val="16"/>
              </w:rPr>
            </w:pPr>
            <w:r w:rsidRPr="00471CBA">
              <w:rPr>
                <w:sz w:val="16"/>
                <w:szCs w:val="16"/>
              </w:rPr>
              <w:t>-</w:t>
            </w:r>
          </w:p>
        </w:tc>
        <w:tc>
          <w:tcPr>
            <w:tcW w:w="230" w:type="pct"/>
            <w:tcBorders>
              <w:top w:val="nil"/>
              <w:left w:val="nil"/>
              <w:bottom w:val="nil"/>
              <w:right w:val="nil"/>
            </w:tcBorders>
            <w:noWrap/>
            <w:vAlign w:val="bottom"/>
          </w:tcPr>
          <w:p w14:paraId="3DBBF179" w14:textId="027CF005" w:rsidR="00802DBC" w:rsidRPr="00471CBA" w:rsidRDefault="00802DBC" w:rsidP="00F36B82">
            <w:pPr>
              <w:ind w:right="-55"/>
              <w:jc w:val="right"/>
              <w:rPr>
                <w:color w:val="000000"/>
                <w:sz w:val="16"/>
                <w:szCs w:val="16"/>
              </w:rPr>
            </w:pPr>
            <w:r w:rsidRPr="00471CBA">
              <w:rPr>
                <w:sz w:val="16"/>
                <w:szCs w:val="16"/>
              </w:rPr>
              <w:t>-</w:t>
            </w:r>
          </w:p>
        </w:tc>
        <w:tc>
          <w:tcPr>
            <w:tcW w:w="230" w:type="pct"/>
            <w:tcBorders>
              <w:top w:val="nil"/>
              <w:left w:val="nil"/>
              <w:bottom w:val="nil"/>
              <w:right w:val="nil"/>
            </w:tcBorders>
            <w:noWrap/>
            <w:vAlign w:val="bottom"/>
          </w:tcPr>
          <w:p w14:paraId="6E2B87E5" w14:textId="2DF695B3" w:rsidR="00802DBC" w:rsidRPr="00471CBA" w:rsidRDefault="00802DBC" w:rsidP="00F36B82">
            <w:pPr>
              <w:ind w:right="-55"/>
              <w:jc w:val="right"/>
              <w:rPr>
                <w:color w:val="000000"/>
                <w:sz w:val="16"/>
                <w:szCs w:val="16"/>
              </w:rPr>
            </w:pPr>
            <w:r w:rsidRPr="00471CBA">
              <w:rPr>
                <w:sz w:val="16"/>
                <w:szCs w:val="16"/>
              </w:rPr>
              <w:t>-</w:t>
            </w:r>
          </w:p>
        </w:tc>
        <w:tc>
          <w:tcPr>
            <w:tcW w:w="353" w:type="pct"/>
            <w:tcBorders>
              <w:top w:val="nil"/>
              <w:left w:val="nil"/>
              <w:bottom w:val="nil"/>
              <w:right w:val="nil"/>
            </w:tcBorders>
            <w:noWrap/>
            <w:vAlign w:val="bottom"/>
          </w:tcPr>
          <w:p w14:paraId="17094D56" w14:textId="27F843A0" w:rsidR="00802DBC" w:rsidRPr="00471CBA" w:rsidRDefault="00802DBC" w:rsidP="00F36B82">
            <w:pPr>
              <w:ind w:right="-55"/>
              <w:jc w:val="right"/>
              <w:rPr>
                <w:color w:val="000000"/>
                <w:sz w:val="16"/>
                <w:szCs w:val="16"/>
              </w:rPr>
            </w:pPr>
            <w:r w:rsidRPr="00471CBA">
              <w:rPr>
                <w:sz w:val="16"/>
                <w:szCs w:val="16"/>
              </w:rPr>
              <w:t>-</w:t>
            </w:r>
          </w:p>
        </w:tc>
        <w:tc>
          <w:tcPr>
            <w:tcW w:w="349" w:type="pct"/>
            <w:tcBorders>
              <w:top w:val="nil"/>
              <w:left w:val="nil"/>
              <w:bottom w:val="nil"/>
              <w:right w:val="nil"/>
            </w:tcBorders>
            <w:noWrap/>
            <w:vAlign w:val="bottom"/>
          </w:tcPr>
          <w:p w14:paraId="5AE89A82" w14:textId="1670811B" w:rsidR="00802DBC" w:rsidRPr="00471CBA" w:rsidRDefault="00802DBC" w:rsidP="00F36B82">
            <w:pPr>
              <w:ind w:right="-55"/>
              <w:jc w:val="right"/>
              <w:rPr>
                <w:color w:val="000000"/>
                <w:sz w:val="16"/>
                <w:szCs w:val="16"/>
              </w:rPr>
            </w:pPr>
            <w:r w:rsidRPr="00471CBA">
              <w:rPr>
                <w:sz w:val="16"/>
                <w:szCs w:val="16"/>
              </w:rPr>
              <w:t>-</w:t>
            </w:r>
          </w:p>
        </w:tc>
      </w:tr>
      <w:tr w:rsidR="00802DBC" w:rsidRPr="00471CBA" w14:paraId="7A7BD88B" w14:textId="77777777" w:rsidTr="00F36B82">
        <w:trPr>
          <w:trHeight w:val="170"/>
        </w:trPr>
        <w:tc>
          <w:tcPr>
            <w:tcW w:w="278" w:type="pct"/>
            <w:noWrap/>
            <w:hideMark/>
          </w:tcPr>
          <w:p w14:paraId="426BCC99" w14:textId="77777777" w:rsidR="00802DBC" w:rsidRPr="00471CBA" w:rsidRDefault="00802DBC" w:rsidP="00B04479">
            <w:pPr>
              <w:rPr>
                <w:sz w:val="16"/>
                <w:szCs w:val="16"/>
              </w:rPr>
            </w:pPr>
            <w:r w:rsidRPr="00471CBA">
              <w:rPr>
                <w:sz w:val="16"/>
                <w:szCs w:val="16"/>
              </w:rPr>
              <w:t>6</w:t>
            </w:r>
          </w:p>
        </w:tc>
        <w:tc>
          <w:tcPr>
            <w:tcW w:w="918" w:type="pct"/>
            <w:vAlign w:val="bottom"/>
            <w:hideMark/>
          </w:tcPr>
          <w:p w14:paraId="3C94E765" w14:textId="77777777" w:rsidR="00802DBC" w:rsidRPr="00471CBA" w:rsidRDefault="00802DBC" w:rsidP="00B04479">
            <w:pPr>
              <w:contextualSpacing/>
              <w:rPr>
                <w:sz w:val="16"/>
                <w:szCs w:val="16"/>
              </w:rPr>
            </w:pPr>
            <w:r w:rsidRPr="00471CBA">
              <w:rPr>
                <w:sz w:val="16"/>
                <w:szCs w:val="16"/>
              </w:rPr>
              <w:t>Bankalardan ve aracı kurumlardan alacaklar</w:t>
            </w:r>
          </w:p>
        </w:tc>
        <w:tc>
          <w:tcPr>
            <w:tcW w:w="319" w:type="pct"/>
            <w:tcBorders>
              <w:top w:val="nil"/>
              <w:left w:val="nil"/>
              <w:bottom w:val="nil"/>
              <w:right w:val="nil"/>
            </w:tcBorders>
            <w:noWrap/>
            <w:vAlign w:val="bottom"/>
          </w:tcPr>
          <w:p w14:paraId="377DD10E" w14:textId="595E6B16" w:rsidR="00802DBC" w:rsidRPr="00471CBA" w:rsidRDefault="00802DBC" w:rsidP="00F36B82">
            <w:pPr>
              <w:ind w:right="-55"/>
              <w:jc w:val="right"/>
              <w:rPr>
                <w:color w:val="000000"/>
                <w:sz w:val="16"/>
                <w:szCs w:val="16"/>
              </w:rPr>
            </w:pPr>
            <w:r w:rsidRPr="00471CBA">
              <w:rPr>
                <w:sz w:val="16"/>
                <w:szCs w:val="16"/>
              </w:rPr>
              <w:t>-</w:t>
            </w:r>
          </w:p>
        </w:tc>
        <w:tc>
          <w:tcPr>
            <w:tcW w:w="253" w:type="pct"/>
            <w:tcBorders>
              <w:top w:val="nil"/>
              <w:left w:val="nil"/>
              <w:bottom w:val="nil"/>
              <w:right w:val="nil"/>
            </w:tcBorders>
            <w:noWrap/>
            <w:vAlign w:val="bottom"/>
          </w:tcPr>
          <w:p w14:paraId="70C9C4E0" w14:textId="0D0A95A3" w:rsidR="00802DBC" w:rsidRPr="00471CBA" w:rsidRDefault="00802DBC" w:rsidP="00F36B82">
            <w:pPr>
              <w:ind w:right="-55"/>
              <w:jc w:val="right"/>
              <w:rPr>
                <w:color w:val="000000"/>
                <w:sz w:val="16"/>
                <w:szCs w:val="16"/>
              </w:rPr>
            </w:pPr>
            <w:r w:rsidRPr="00471CBA">
              <w:rPr>
                <w:sz w:val="16"/>
                <w:szCs w:val="16"/>
              </w:rPr>
              <w:t>-</w:t>
            </w:r>
          </w:p>
        </w:tc>
        <w:tc>
          <w:tcPr>
            <w:tcW w:w="319" w:type="pct"/>
            <w:tcBorders>
              <w:top w:val="nil"/>
              <w:left w:val="nil"/>
              <w:bottom w:val="nil"/>
              <w:right w:val="nil"/>
            </w:tcBorders>
            <w:noWrap/>
            <w:vAlign w:val="bottom"/>
          </w:tcPr>
          <w:p w14:paraId="0792A776" w14:textId="33F026BF" w:rsidR="00802DBC" w:rsidRPr="00471CBA" w:rsidRDefault="00802DBC" w:rsidP="00F36B82">
            <w:pPr>
              <w:ind w:right="-55"/>
              <w:jc w:val="right"/>
              <w:rPr>
                <w:color w:val="000000"/>
                <w:sz w:val="16"/>
                <w:szCs w:val="16"/>
              </w:rPr>
            </w:pPr>
            <w:r w:rsidRPr="00471CBA">
              <w:rPr>
                <w:sz w:val="16"/>
                <w:szCs w:val="16"/>
              </w:rPr>
              <w:t>6.746.467</w:t>
            </w:r>
          </w:p>
        </w:tc>
        <w:tc>
          <w:tcPr>
            <w:tcW w:w="247" w:type="pct"/>
            <w:tcBorders>
              <w:top w:val="nil"/>
              <w:left w:val="nil"/>
              <w:bottom w:val="nil"/>
              <w:right w:val="nil"/>
            </w:tcBorders>
            <w:vAlign w:val="bottom"/>
          </w:tcPr>
          <w:p w14:paraId="202F0481" w14:textId="0FB5425D" w:rsidR="00802DBC" w:rsidRPr="00471CBA" w:rsidRDefault="00802DBC" w:rsidP="00F36B82">
            <w:pPr>
              <w:ind w:right="-55"/>
              <w:jc w:val="right"/>
              <w:rPr>
                <w:color w:val="000000"/>
                <w:sz w:val="16"/>
                <w:szCs w:val="16"/>
              </w:rPr>
            </w:pPr>
            <w:r w:rsidRPr="00471CBA">
              <w:rPr>
                <w:sz w:val="16"/>
                <w:szCs w:val="16"/>
              </w:rPr>
              <w:t>-</w:t>
            </w:r>
          </w:p>
        </w:tc>
        <w:tc>
          <w:tcPr>
            <w:tcW w:w="599" w:type="pct"/>
            <w:tcBorders>
              <w:top w:val="nil"/>
              <w:left w:val="nil"/>
              <w:bottom w:val="nil"/>
              <w:right w:val="nil"/>
            </w:tcBorders>
            <w:vAlign w:val="bottom"/>
          </w:tcPr>
          <w:p w14:paraId="46CC89E7" w14:textId="50148193" w:rsidR="00802DBC" w:rsidRPr="00471CBA" w:rsidRDefault="00802DBC" w:rsidP="00F36B82">
            <w:pPr>
              <w:ind w:right="-55"/>
              <w:jc w:val="right"/>
              <w:rPr>
                <w:color w:val="000000"/>
                <w:sz w:val="16"/>
                <w:szCs w:val="16"/>
              </w:rPr>
            </w:pPr>
            <w:r w:rsidRPr="00471CBA">
              <w:rPr>
                <w:sz w:val="16"/>
                <w:szCs w:val="16"/>
              </w:rPr>
              <w:t>-</w:t>
            </w:r>
          </w:p>
        </w:tc>
        <w:tc>
          <w:tcPr>
            <w:tcW w:w="288" w:type="pct"/>
            <w:tcBorders>
              <w:top w:val="nil"/>
              <w:left w:val="nil"/>
              <w:bottom w:val="nil"/>
              <w:right w:val="nil"/>
            </w:tcBorders>
            <w:noWrap/>
            <w:vAlign w:val="bottom"/>
          </w:tcPr>
          <w:p w14:paraId="2FD32FDF" w14:textId="69AE7D77" w:rsidR="00802DBC" w:rsidRPr="00471CBA" w:rsidRDefault="00802DBC" w:rsidP="00F36B82">
            <w:pPr>
              <w:ind w:right="-55"/>
              <w:jc w:val="right"/>
              <w:rPr>
                <w:color w:val="000000"/>
                <w:sz w:val="16"/>
                <w:szCs w:val="16"/>
              </w:rPr>
            </w:pPr>
            <w:r w:rsidRPr="00471CBA">
              <w:rPr>
                <w:sz w:val="16"/>
                <w:szCs w:val="16"/>
              </w:rPr>
              <w:t>29.243</w:t>
            </w:r>
          </w:p>
        </w:tc>
        <w:tc>
          <w:tcPr>
            <w:tcW w:w="268" w:type="pct"/>
            <w:tcBorders>
              <w:top w:val="nil"/>
              <w:left w:val="nil"/>
              <w:bottom w:val="nil"/>
              <w:right w:val="nil"/>
            </w:tcBorders>
            <w:noWrap/>
            <w:vAlign w:val="bottom"/>
          </w:tcPr>
          <w:p w14:paraId="53E04664" w14:textId="153B5C66" w:rsidR="00802DBC" w:rsidRPr="00471CBA" w:rsidRDefault="00802DBC" w:rsidP="00F36B82">
            <w:pPr>
              <w:ind w:right="-55"/>
              <w:jc w:val="right"/>
              <w:rPr>
                <w:color w:val="000000"/>
                <w:sz w:val="16"/>
                <w:szCs w:val="16"/>
              </w:rPr>
            </w:pPr>
            <w:r w:rsidRPr="00471CBA">
              <w:rPr>
                <w:sz w:val="16"/>
                <w:szCs w:val="16"/>
              </w:rPr>
              <w:t>-</w:t>
            </w:r>
          </w:p>
        </w:tc>
        <w:tc>
          <w:tcPr>
            <w:tcW w:w="349" w:type="pct"/>
            <w:tcBorders>
              <w:top w:val="nil"/>
              <w:left w:val="nil"/>
              <w:bottom w:val="nil"/>
              <w:right w:val="nil"/>
            </w:tcBorders>
            <w:noWrap/>
            <w:vAlign w:val="bottom"/>
          </w:tcPr>
          <w:p w14:paraId="5DF95600" w14:textId="4176D5D5" w:rsidR="00802DBC" w:rsidRPr="00471CBA" w:rsidRDefault="00802DBC" w:rsidP="00F36B82">
            <w:pPr>
              <w:ind w:right="-55"/>
              <w:jc w:val="right"/>
              <w:rPr>
                <w:color w:val="000000"/>
                <w:sz w:val="16"/>
                <w:szCs w:val="16"/>
              </w:rPr>
            </w:pPr>
            <w:r w:rsidRPr="00471CBA">
              <w:rPr>
                <w:sz w:val="16"/>
                <w:szCs w:val="16"/>
              </w:rPr>
              <w:t>164.274</w:t>
            </w:r>
          </w:p>
        </w:tc>
        <w:tc>
          <w:tcPr>
            <w:tcW w:w="230" w:type="pct"/>
            <w:tcBorders>
              <w:top w:val="nil"/>
              <w:left w:val="nil"/>
              <w:bottom w:val="nil"/>
              <w:right w:val="nil"/>
            </w:tcBorders>
            <w:noWrap/>
            <w:vAlign w:val="bottom"/>
          </w:tcPr>
          <w:p w14:paraId="41651883" w14:textId="2C6FC0A8" w:rsidR="00802DBC" w:rsidRPr="00471CBA" w:rsidRDefault="00802DBC" w:rsidP="00F36B82">
            <w:pPr>
              <w:ind w:right="-55"/>
              <w:jc w:val="right"/>
              <w:rPr>
                <w:color w:val="000000"/>
                <w:sz w:val="16"/>
                <w:szCs w:val="16"/>
              </w:rPr>
            </w:pPr>
            <w:r w:rsidRPr="00471CBA">
              <w:rPr>
                <w:sz w:val="16"/>
                <w:szCs w:val="16"/>
              </w:rPr>
              <w:t>-</w:t>
            </w:r>
          </w:p>
        </w:tc>
        <w:tc>
          <w:tcPr>
            <w:tcW w:w="230" w:type="pct"/>
            <w:tcBorders>
              <w:top w:val="nil"/>
              <w:left w:val="nil"/>
              <w:bottom w:val="nil"/>
              <w:right w:val="nil"/>
            </w:tcBorders>
            <w:noWrap/>
            <w:vAlign w:val="bottom"/>
          </w:tcPr>
          <w:p w14:paraId="5E6A439D" w14:textId="3CBFDFF7" w:rsidR="00802DBC" w:rsidRPr="00471CBA" w:rsidRDefault="00802DBC" w:rsidP="00F36B82">
            <w:pPr>
              <w:ind w:right="-55"/>
              <w:jc w:val="right"/>
              <w:rPr>
                <w:color w:val="000000"/>
                <w:sz w:val="16"/>
                <w:szCs w:val="16"/>
              </w:rPr>
            </w:pPr>
            <w:r w:rsidRPr="00471CBA">
              <w:rPr>
                <w:sz w:val="16"/>
                <w:szCs w:val="16"/>
              </w:rPr>
              <w:t>-</w:t>
            </w:r>
          </w:p>
        </w:tc>
        <w:tc>
          <w:tcPr>
            <w:tcW w:w="353" w:type="pct"/>
            <w:tcBorders>
              <w:top w:val="nil"/>
              <w:left w:val="nil"/>
              <w:bottom w:val="nil"/>
              <w:right w:val="nil"/>
            </w:tcBorders>
            <w:noWrap/>
            <w:vAlign w:val="bottom"/>
          </w:tcPr>
          <w:p w14:paraId="2DB0B8B3" w14:textId="1FC1426B" w:rsidR="00802DBC" w:rsidRPr="00471CBA" w:rsidRDefault="00802DBC" w:rsidP="00F36B82">
            <w:pPr>
              <w:ind w:right="-55"/>
              <w:jc w:val="right"/>
              <w:rPr>
                <w:color w:val="000000"/>
                <w:sz w:val="16"/>
                <w:szCs w:val="16"/>
              </w:rPr>
            </w:pPr>
            <w:r w:rsidRPr="00471CBA">
              <w:rPr>
                <w:sz w:val="16"/>
                <w:szCs w:val="16"/>
              </w:rPr>
              <w:t>-</w:t>
            </w:r>
          </w:p>
        </w:tc>
        <w:tc>
          <w:tcPr>
            <w:tcW w:w="349" w:type="pct"/>
            <w:tcBorders>
              <w:top w:val="nil"/>
              <w:left w:val="nil"/>
              <w:bottom w:val="nil"/>
              <w:right w:val="nil"/>
            </w:tcBorders>
            <w:noWrap/>
            <w:vAlign w:val="bottom"/>
          </w:tcPr>
          <w:p w14:paraId="6FAA7C9F" w14:textId="15842801" w:rsidR="00802DBC" w:rsidRPr="00471CBA" w:rsidRDefault="00802DBC" w:rsidP="00F36B82">
            <w:pPr>
              <w:ind w:right="-55"/>
              <w:jc w:val="right"/>
              <w:rPr>
                <w:color w:val="000000"/>
                <w:sz w:val="16"/>
                <w:szCs w:val="16"/>
              </w:rPr>
            </w:pPr>
            <w:r w:rsidRPr="00471CBA">
              <w:rPr>
                <w:sz w:val="16"/>
                <w:szCs w:val="16"/>
              </w:rPr>
              <w:t>6.939.984</w:t>
            </w:r>
          </w:p>
        </w:tc>
      </w:tr>
      <w:tr w:rsidR="00802DBC" w:rsidRPr="00471CBA" w14:paraId="1ABB4F7E" w14:textId="77777777" w:rsidTr="00F36B82">
        <w:trPr>
          <w:trHeight w:val="170"/>
        </w:trPr>
        <w:tc>
          <w:tcPr>
            <w:tcW w:w="278" w:type="pct"/>
            <w:noWrap/>
            <w:hideMark/>
          </w:tcPr>
          <w:p w14:paraId="7C2F4534" w14:textId="77777777" w:rsidR="00802DBC" w:rsidRPr="00471CBA" w:rsidRDefault="00802DBC" w:rsidP="00B04479">
            <w:pPr>
              <w:rPr>
                <w:sz w:val="16"/>
                <w:szCs w:val="16"/>
              </w:rPr>
            </w:pPr>
            <w:r w:rsidRPr="00471CBA">
              <w:rPr>
                <w:sz w:val="16"/>
                <w:szCs w:val="16"/>
              </w:rPr>
              <w:t>7</w:t>
            </w:r>
          </w:p>
        </w:tc>
        <w:tc>
          <w:tcPr>
            <w:tcW w:w="918" w:type="pct"/>
            <w:vAlign w:val="bottom"/>
            <w:hideMark/>
          </w:tcPr>
          <w:p w14:paraId="3C7ECDB5" w14:textId="77777777" w:rsidR="00802DBC" w:rsidRPr="00471CBA" w:rsidRDefault="00802DBC" w:rsidP="00B04479">
            <w:pPr>
              <w:contextualSpacing/>
              <w:rPr>
                <w:sz w:val="16"/>
                <w:szCs w:val="16"/>
              </w:rPr>
            </w:pPr>
            <w:r w:rsidRPr="00471CBA">
              <w:rPr>
                <w:sz w:val="16"/>
                <w:szCs w:val="16"/>
              </w:rPr>
              <w:t>Kurumsal alacaklar</w:t>
            </w:r>
          </w:p>
        </w:tc>
        <w:tc>
          <w:tcPr>
            <w:tcW w:w="319" w:type="pct"/>
            <w:tcBorders>
              <w:top w:val="nil"/>
              <w:left w:val="nil"/>
              <w:bottom w:val="nil"/>
              <w:right w:val="nil"/>
            </w:tcBorders>
            <w:noWrap/>
            <w:vAlign w:val="bottom"/>
          </w:tcPr>
          <w:p w14:paraId="67A66F4B" w14:textId="25BB0262" w:rsidR="00802DBC" w:rsidRPr="00471CBA" w:rsidRDefault="00802DBC" w:rsidP="00F36B82">
            <w:pPr>
              <w:ind w:right="-55"/>
              <w:jc w:val="right"/>
              <w:rPr>
                <w:color w:val="000000"/>
                <w:sz w:val="16"/>
                <w:szCs w:val="16"/>
              </w:rPr>
            </w:pPr>
            <w:r w:rsidRPr="00471CBA">
              <w:rPr>
                <w:sz w:val="16"/>
                <w:szCs w:val="16"/>
              </w:rPr>
              <w:t>655.927</w:t>
            </w:r>
          </w:p>
        </w:tc>
        <w:tc>
          <w:tcPr>
            <w:tcW w:w="253" w:type="pct"/>
            <w:tcBorders>
              <w:top w:val="nil"/>
              <w:left w:val="nil"/>
              <w:bottom w:val="nil"/>
              <w:right w:val="nil"/>
            </w:tcBorders>
            <w:noWrap/>
            <w:vAlign w:val="bottom"/>
          </w:tcPr>
          <w:p w14:paraId="77088894" w14:textId="34F1C3B2" w:rsidR="00802DBC" w:rsidRPr="00471CBA" w:rsidRDefault="00802DBC" w:rsidP="00F36B82">
            <w:pPr>
              <w:ind w:right="-55"/>
              <w:jc w:val="right"/>
              <w:rPr>
                <w:color w:val="000000"/>
                <w:sz w:val="16"/>
                <w:szCs w:val="16"/>
              </w:rPr>
            </w:pPr>
            <w:r w:rsidRPr="00471CBA">
              <w:rPr>
                <w:sz w:val="16"/>
                <w:szCs w:val="16"/>
              </w:rPr>
              <w:t>-</w:t>
            </w:r>
          </w:p>
        </w:tc>
        <w:tc>
          <w:tcPr>
            <w:tcW w:w="319" w:type="pct"/>
            <w:tcBorders>
              <w:top w:val="nil"/>
              <w:left w:val="nil"/>
              <w:bottom w:val="nil"/>
              <w:right w:val="nil"/>
            </w:tcBorders>
            <w:noWrap/>
            <w:vAlign w:val="bottom"/>
          </w:tcPr>
          <w:p w14:paraId="1D6C8B08" w14:textId="5F5A4FDD" w:rsidR="00802DBC" w:rsidRPr="00471CBA" w:rsidRDefault="00802DBC" w:rsidP="00F36B82">
            <w:pPr>
              <w:ind w:right="-55"/>
              <w:jc w:val="right"/>
              <w:rPr>
                <w:color w:val="000000"/>
                <w:sz w:val="16"/>
                <w:szCs w:val="16"/>
              </w:rPr>
            </w:pPr>
            <w:r w:rsidRPr="00471CBA">
              <w:rPr>
                <w:sz w:val="16"/>
                <w:szCs w:val="16"/>
              </w:rPr>
              <w:t>3.138.405</w:t>
            </w:r>
          </w:p>
        </w:tc>
        <w:tc>
          <w:tcPr>
            <w:tcW w:w="247" w:type="pct"/>
            <w:tcBorders>
              <w:top w:val="nil"/>
              <w:left w:val="nil"/>
              <w:bottom w:val="nil"/>
              <w:right w:val="nil"/>
            </w:tcBorders>
            <w:vAlign w:val="bottom"/>
          </w:tcPr>
          <w:p w14:paraId="681E6FB8" w14:textId="4DA9846D" w:rsidR="00802DBC" w:rsidRPr="00471CBA" w:rsidRDefault="00802DBC" w:rsidP="00F36B82">
            <w:pPr>
              <w:ind w:right="-55"/>
              <w:jc w:val="right"/>
              <w:rPr>
                <w:color w:val="000000"/>
                <w:sz w:val="16"/>
                <w:szCs w:val="16"/>
              </w:rPr>
            </w:pPr>
            <w:r w:rsidRPr="00471CBA">
              <w:rPr>
                <w:sz w:val="16"/>
                <w:szCs w:val="16"/>
              </w:rPr>
              <w:t>-</w:t>
            </w:r>
          </w:p>
        </w:tc>
        <w:tc>
          <w:tcPr>
            <w:tcW w:w="599" w:type="pct"/>
            <w:tcBorders>
              <w:top w:val="nil"/>
              <w:left w:val="nil"/>
              <w:bottom w:val="nil"/>
              <w:right w:val="nil"/>
            </w:tcBorders>
            <w:vAlign w:val="bottom"/>
          </w:tcPr>
          <w:p w14:paraId="72B0E06C" w14:textId="6996EAD1" w:rsidR="00802DBC" w:rsidRPr="00471CBA" w:rsidRDefault="00802DBC" w:rsidP="00F36B82">
            <w:pPr>
              <w:ind w:right="-55"/>
              <w:jc w:val="right"/>
              <w:rPr>
                <w:color w:val="000000"/>
                <w:sz w:val="16"/>
                <w:szCs w:val="16"/>
              </w:rPr>
            </w:pPr>
            <w:r w:rsidRPr="00471CBA">
              <w:rPr>
                <w:sz w:val="16"/>
                <w:szCs w:val="16"/>
              </w:rPr>
              <w:t>-</w:t>
            </w:r>
          </w:p>
        </w:tc>
        <w:tc>
          <w:tcPr>
            <w:tcW w:w="288" w:type="pct"/>
            <w:tcBorders>
              <w:top w:val="nil"/>
              <w:left w:val="nil"/>
              <w:bottom w:val="nil"/>
              <w:right w:val="nil"/>
            </w:tcBorders>
            <w:noWrap/>
            <w:vAlign w:val="bottom"/>
          </w:tcPr>
          <w:p w14:paraId="069E95BC" w14:textId="7674C936" w:rsidR="00802DBC" w:rsidRPr="00471CBA" w:rsidRDefault="00802DBC" w:rsidP="00F36B82">
            <w:pPr>
              <w:ind w:right="-55"/>
              <w:jc w:val="right"/>
              <w:rPr>
                <w:color w:val="000000"/>
                <w:sz w:val="16"/>
                <w:szCs w:val="16"/>
              </w:rPr>
            </w:pPr>
            <w:r w:rsidRPr="00471CBA">
              <w:rPr>
                <w:sz w:val="16"/>
                <w:szCs w:val="16"/>
              </w:rPr>
              <w:t>1.325</w:t>
            </w:r>
          </w:p>
        </w:tc>
        <w:tc>
          <w:tcPr>
            <w:tcW w:w="268" w:type="pct"/>
            <w:tcBorders>
              <w:top w:val="nil"/>
              <w:left w:val="nil"/>
              <w:bottom w:val="nil"/>
              <w:right w:val="nil"/>
            </w:tcBorders>
            <w:noWrap/>
            <w:vAlign w:val="bottom"/>
          </w:tcPr>
          <w:p w14:paraId="0CE30293" w14:textId="402EE5E3" w:rsidR="00802DBC" w:rsidRPr="00471CBA" w:rsidRDefault="00802DBC" w:rsidP="00F36B82">
            <w:pPr>
              <w:ind w:right="-55"/>
              <w:jc w:val="right"/>
              <w:rPr>
                <w:color w:val="000000"/>
                <w:sz w:val="16"/>
                <w:szCs w:val="16"/>
              </w:rPr>
            </w:pPr>
            <w:r w:rsidRPr="00471CBA">
              <w:rPr>
                <w:sz w:val="16"/>
                <w:szCs w:val="16"/>
              </w:rPr>
              <w:t>-</w:t>
            </w:r>
          </w:p>
        </w:tc>
        <w:tc>
          <w:tcPr>
            <w:tcW w:w="349" w:type="pct"/>
            <w:tcBorders>
              <w:top w:val="nil"/>
              <w:left w:val="nil"/>
              <w:bottom w:val="nil"/>
              <w:right w:val="nil"/>
            </w:tcBorders>
            <w:noWrap/>
            <w:vAlign w:val="bottom"/>
          </w:tcPr>
          <w:p w14:paraId="7BE67A7F" w14:textId="4E7D3A70" w:rsidR="00802DBC" w:rsidRPr="00471CBA" w:rsidRDefault="00802DBC" w:rsidP="00F36B82">
            <w:pPr>
              <w:ind w:right="-55"/>
              <w:jc w:val="right"/>
              <w:rPr>
                <w:color w:val="000000"/>
                <w:sz w:val="16"/>
                <w:szCs w:val="16"/>
              </w:rPr>
            </w:pPr>
            <w:r w:rsidRPr="00471CBA">
              <w:rPr>
                <w:sz w:val="16"/>
                <w:szCs w:val="16"/>
              </w:rPr>
              <w:t>34.598.249</w:t>
            </w:r>
          </w:p>
        </w:tc>
        <w:tc>
          <w:tcPr>
            <w:tcW w:w="230" w:type="pct"/>
            <w:tcBorders>
              <w:top w:val="nil"/>
              <w:left w:val="nil"/>
              <w:bottom w:val="nil"/>
              <w:right w:val="nil"/>
            </w:tcBorders>
            <w:noWrap/>
            <w:vAlign w:val="bottom"/>
          </w:tcPr>
          <w:p w14:paraId="53F643B6" w14:textId="37F54F9C" w:rsidR="00802DBC" w:rsidRPr="00471CBA" w:rsidRDefault="00802DBC" w:rsidP="00F36B82">
            <w:pPr>
              <w:ind w:right="-55"/>
              <w:jc w:val="right"/>
              <w:rPr>
                <w:color w:val="000000"/>
                <w:sz w:val="16"/>
                <w:szCs w:val="16"/>
              </w:rPr>
            </w:pPr>
            <w:r w:rsidRPr="00471CBA">
              <w:rPr>
                <w:sz w:val="16"/>
                <w:szCs w:val="16"/>
              </w:rPr>
              <w:t>-</w:t>
            </w:r>
          </w:p>
        </w:tc>
        <w:tc>
          <w:tcPr>
            <w:tcW w:w="230" w:type="pct"/>
            <w:tcBorders>
              <w:top w:val="nil"/>
              <w:left w:val="nil"/>
              <w:bottom w:val="nil"/>
              <w:right w:val="nil"/>
            </w:tcBorders>
            <w:noWrap/>
            <w:vAlign w:val="bottom"/>
          </w:tcPr>
          <w:p w14:paraId="29907469" w14:textId="50E26E25" w:rsidR="00802DBC" w:rsidRPr="00471CBA" w:rsidRDefault="00802DBC" w:rsidP="00F36B82">
            <w:pPr>
              <w:ind w:right="-55"/>
              <w:jc w:val="right"/>
              <w:rPr>
                <w:color w:val="000000"/>
                <w:sz w:val="16"/>
                <w:szCs w:val="16"/>
              </w:rPr>
            </w:pPr>
            <w:r w:rsidRPr="00471CBA">
              <w:rPr>
                <w:sz w:val="16"/>
                <w:szCs w:val="16"/>
              </w:rPr>
              <w:t>-</w:t>
            </w:r>
          </w:p>
        </w:tc>
        <w:tc>
          <w:tcPr>
            <w:tcW w:w="353" w:type="pct"/>
            <w:tcBorders>
              <w:top w:val="nil"/>
              <w:left w:val="nil"/>
              <w:bottom w:val="nil"/>
              <w:right w:val="nil"/>
            </w:tcBorders>
            <w:noWrap/>
            <w:vAlign w:val="bottom"/>
          </w:tcPr>
          <w:p w14:paraId="25CEAB13" w14:textId="6B862208" w:rsidR="00802DBC" w:rsidRPr="00471CBA" w:rsidRDefault="00802DBC" w:rsidP="00F36B82">
            <w:pPr>
              <w:ind w:right="-55"/>
              <w:jc w:val="right"/>
              <w:rPr>
                <w:color w:val="000000"/>
                <w:sz w:val="16"/>
                <w:szCs w:val="16"/>
              </w:rPr>
            </w:pPr>
            <w:r w:rsidRPr="00471CBA">
              <w:rPr>
                <w:sz w:val="16"/>
                <w:szCs w:val="16"/>
              </w:rPr>
              <w:t>-</w:t>
            </w:r>
          </w:p>
        </w:tc>
        <w:tc>
          <w:tcPr>
            <w:tcW w:w="349" w:type="pct"/>
            <w:tcBorders>
              <w:top w:val="nil"/>
              <w:left w:val="nil"/>
              <w:bottom w:val="nil"/>
              <w:right w:val="nil"/>
            </w:tcBorders>
            <w:noWrap/>
            <w:vAlign w:val="bottom"/>
          </w:tcPr>
          <w:p w14:paraId="0485C3F5" w14:textId="5A6491DE" w:rsidR="00802DBC" w:rsidRPr="00471CBA" w:rsidRDefault="00802DBC" w:rsidP="00F36B82">
            <w:pPr>
              <w:ind w:right="-55"/>
              <w:jc w:val="right"/>
              <w:rPr>
                <w:color w:val="000000"/>
                <w:sz w:val="16"/>
                <w:szCs w:val="16"/>
              </w:rPr>
            </w:pPr>
            <w:r w:rsidRPr="00471CBA">
              <w:rPr>
                <w:sz w:val="16"/>
                <w:szCs w:val="16"/>
              </w:rPr>
              <w:t>38.393.906</w:t>
            </w:r>
          </w:p>
        </w:tc>
      </w:tr>
      <w:tr w:rsidR="00802DBC" w:rsidRPr="00471CBA" w14:paraId="4A01334E" w14:textId="77777777" w:rsidTr="00F36B82">
        <w:trPr>
          <w:trHeight w:val="170"/>
        </w:trPr>
        <w:tc>
          <w:tcPr>
            <w:tcW w:w="278" w:type="pct"/>
            <w:noWrap/>
            <w:hideMark/>
          </w:tcPr>
          <w:p w14:paraId="1EE5652D" w14:textId="77777777" w:rsidR="00802DBC" w:rsidRPr="00471CBA" w:rsidRDefault="00802DBC" w:rsidP="00B04479">
            <w:pPr>
              <w:rPr>
                <w:sz w:val="16"/>
                <w:szCs w:val="16"/>
              </w:rPr>
            </w:pPr>
            <w:r w:rsidRPr="00471CBA">
              <w:rPr>
                <w:sz w:val="16"/>
                <w:szCs w:val="16"/>
              </w:rPr>
              <w:t>8</w:t>
            </w:r>
          </w:p>
        </w:tc>
        <w:tc>
          <w:tcPr>
            <w:tcW w:w="918" w:type="pct"/>
            <w:vAlign w:val="bottom"/>
            <w:hideMark/>
          </w:tcPr>
          <w:p w14:paraId="61671F00" w14:textId="77777777" w:rsidR="00802DBC" w:rsidRPr="00471CBA" w:rsidRDefault="00802DBC" w:rsidP="00B04479">
            <w:pPr>
              <w:contextualSpacing/>
              <w:rPr>
                <w:sz w:val="16"/>
                <w:szCs w:val="16"/>
              </w:rPr>
            </w:pPr>
            <w:r w:rsidRPr="00471CBA">
              <w:rPr>
                <w:sz w:val="16"/>
                <w:szCs w:val="16"/>
              </w:rPr>
              <w:t>Perakende alacaklar</w:t>
            </w:r>
          </w:p>
        </w:tc>
        <w:tc>
          <w:tcPr>
            <w:tcW w:w="319" w:type="pct"/>
            <w:tcBorders>
              <w:top w:val="nil"/>
              <w:left w:val="nil"/>
              <w:bottom w:val="nil"/>
              <w:right w:val="nil"/>
            </w:tcBorders>
            <w:noWrap/>
            <w:vAlign w:val="bottom"/>
          </w:tcPr>
          <w:p w14:paraId="4C1D30EB" w14:textId="3DA18631" w:rsidR="00802DBC" w:rsidRPr="00471CBA" w:rsidRDefault="00802DBC" w:rsidP="00F36B82">
            <w:pPr>
              <w:ind w:right="-55"/>
              <w:jc w:val="right"/>
              <w:rPr>
                <w:color w:val="000000"/>
                <w:sz w:val="16"/>
                <w:szCs w:val="16"/>
              </w:rPr>
            </w:pPr>
            <w:r w:rsidRPr="00471CBA">
              <w:rPr>
                <w:sz w:val="16"/>
                <w:szCs w:val="16"/>
              </w:rPr>
              <w:t>-</w:t>
            </w:r>
          </w:p>
        </w:tc>
        <w:tc>
          <w:tcPr>
            <w:tcW w:w="253" w:type="pct"/>
            <w:tcBorders>
              <w:top w:val="nil"/>
              <w:left w:val="nil"/>
              <w:bottom w:val="nil"/>
              <w:right w:val="nil"/>
            </w:tcBorders>
            <w:noWrap/>
            <w:vAlign w:val="bottom"/>
          </w:tcPr>
          <w:p w14:paraId="16EA931F" w14:textId="0BB5A875" w:rsidR="00802DBC" w:rsidRPr="00471CBA" w:rsidRDefault="00802DBC" w:rsidP="00F36B82">
            <w:pPr>
              <w:ind w:right="-55"/>
              <w:jc w:val="right"/>
              <w:rPr>
                <w:color w:val="000000"/>
                <w:sz w:val="16"/>
                <w:szCs w:val="16"/>
              </w:rPr>
            </w:pPr>
            <w:r w:rsidRPr="00471CBA">
              <w:rPr>
                <w:sz w:val="16"/>
                <w:szCs w:val="16"/>
              </w:rPr>
              <w:t>-</w:t>
            </w:r>
          </w:p>
        </w:tc>
        <w:tc>
          <w:tcPr>
            <w:tcW w:w="319" w:type="pct"/>
            <w:tcBorders>
              <w:top w:val="nil"/>
              <w:left w:val="nil"/>
              <w:bottom w:val="nil"/>
              <w:right w:val="nil"/>
            </w:tcBorders>
            <w:noWrap/>
            <w:vAlign w:val="bottom"/>
          </w:tcPr>
          <w:p w14:paraId="401AC761" w14:textId="17179730" w:rsidR="00802DBC" w:rsidRPr="00471CBA" w:rsidRDefault="00802DBC" w:rsidP="00F36B82">
            <w:pPr>
              <w:ind w:right="-55"/>
              <w:jc w:val="right"/>
              <w:rPr>
                <w:color w:val="000000"/>
                <w:sz w:val="16"/>
                <w:szCs w:val="16"/>
              </w:rPr>
            </w:pPr>
            <w:r w:rsidRPr="00471CBA">
              <w:rPr>
                <w:sz w:val="16"/>
                <w:szCs w:val="16"/>
              </w:rPr>
              <w:t>-</w:t>
            </w:r>
          </w:p>
        </w:tc>
        <w:tc>
          <w:tcPr>
            <w:tcW w:w="247" w:type="pct"/>
            <w:tcBorders>
              <w:top w:val="nil"/>
              <w:left w:val="nil"/>
              <w:bottom w:val="nil"/>
              <w:right w:val="nil"/>
            </w:tcBorders>
            <w:vAlign w:val="bottom"/>
          </w:tcPr>
          <w:p w14:paraId="5E5FBA24" w14:textId="1C75AC56" w:rsidR="00802DBC" w:rsidRPr="00471CBA" w:rsidRDefault="00802DBC" w:rsidP="00F36B82">
            <w:pPr>
              <w:ind w:right="-55"/>
              <w:jc w:val="right"/>
              <w:rPr>
                <w:color w:val="000000"/>
                <w:sz w:val="16"/>
                <w:szCs w:val="16"/>
              </w:rPr>
            </w:pPr>
            <w:r w:rsidRPr="00471CBA">
              <w:rPr>
                <w:sz w:val="16"/>
                <w:szCs w:val="16"/>
              </w:rPr>
              <w:t>-</w:t>
            </w:r>
          </w:p>
        </w:tc>
        <w:tc>
          <w:tcPr>
            <w:tcW w:w="599" w:type="pct"/>
            <w:tcBorders>
              <w:top w:val="nil"/>
              <w:left w:val="nil"/>
              <w:bottom w:val="nil"/>
              <w:right w:val="nil"/>
            </w:tcBorders>
            <w:vAlign w:val="bottom"/>
          </w:tcPr>
          <w:p w14:paraId="1974D21E" w14:textId="4BBBF2A7" w:rsidR="00802DBC" w:rsidRPr="00471CBA" w:rsidRDefault="00802DBC" w:rsidP="00F36B82">
            <w:pPr>
              <w:ind w:right="-55"/>
              <w:jc w:val="right"/>
              <w:rPr>
                <w:color w:val="000000"/>
                <w:sz w:val="16"/>
                <w:szCs w:val="16"/>
              </w:rPr>
            </w:pPr>
            <w:r w:rsidRPr="00471CBA">
              <w:rPr>
                <w:sz w:val="16"/>
                <w:szCs w:val="16"/>
              </w:rPr>
              <w:t>-</w:t>
            </w:r>
          </w:p>
        </w:tc>
        <w:tc>
          <w:tcPr>
            <w:tcW w:w="288" w:type="pct"/>
            <w:tcBorders>
              <w:top w:val="nil"/>
              <w:left w:val="nil"/>
              <w:bottom w:val="nil"/>
              <w:right w:val="nil"/>
            </w:tcBorders>
            <w:noWrap/>
            <w:vAlign w:val="bottom"/>
          </w:tcPr>
          <w:p w14:paraId="31AD96FA" w14:textId="5FD052B4" w:rsidR="00802DBC" w:rsidRPr="00471CBA" w:rsidRDefault="00802DBC" w:rsidP="00F36B82">
            <w:pPr>
              <w:ind w:right="-55"/>
              <w:jc w:val="right"/>
              <w:rPr>
                <w:color w:val="000000"/>
                <w:sz w:val="16"/>
                <w:szCs w:val="16"/>
              </w:rPr>
            </w:pPr>
            <w:r w:rsidRPr="00471CBA">
              <w:rPr>
                <w:sz w:val="16"/>
                <w:szCs w:val="16"/>
              </w:rPr>
              <w:t>-</w:t>
            </w:r>
          </w:p>
        </w:tc>
        <w:tc>
          <w:tcPr>
            <w:tcW w:w="268" w:type="pct"/>
            <w:tcBorders>
              <w:top w:val="nil"/>
              <w:left w:val="nil"/>
              <w:bottom w:val="nil"/>
              <w:right w:val="nil"/>
            </w:tcBorders>
            <w:noWrap/>
            <w:vAlign w:val="bottom"/>
          </w:tcPr>
          <w:p w14:paraId="6B85B2A2" w14:textId="1A410C58" w:rsidR="00802DBC" w:rsidRPr="00471CBA" w:rsidRDefault="00802DBC" w:rsidP="00F36B82">
            <w:pPr>
              <w:ind w:right="-55"/>
              <w:jc w:val="right"/>
              <w:rPr>
                <w:color w:val="000000"/>
                <w:sz w:val="16"/>
                <w:szCs w:val="16"/>
              </w:rPr>
            </w:pPr>
            <w:r w:rsidRPr="00471CBA">
              <w:rPr>
                <w:sz w:val="16"/>
                <w:szCs w:val="16"/>
              </w:rPr>
              <w:t>-</w:t>
            </w:r>
          </w:p>
        </w:tc>
        <w:tc>
          <w:tcPr>
            <w:tcW w:w="349" w:type="pct"/>
            <w:tcBorders>
              <w:top w:val="nil"/>
              <w:left w:val="nil"/>
              <w:bottom w:val="nil"/>
              <w:right w:val="nil"/>
            </w:tcBorders>
            <w:noWrap/>
            <w:vAlign w:val="bottom"/>
          </w:tcPr>
          <w:p w14:paraId="0322EB70" w14:textId="65B7E0F5" w:rsidR="00802DBC" w:rsidRPr="00471CBA" w:rsidRDefault="00802DBC" w:rsidP="00F36B82">
            <w:pPr>
              <w:ind w:right="-55"/>
              <w:jc w:val="right"/>
              <w:rPr>
                <w:color w:val="000000"/>
                <w:sz w:val="16"/>
                <w:szCs w:val="16"/>
              </w:rPr>
            </w:pPr>
            <w:r w:rsidRPr="00471CBA">
              <w:rPr>
                <w:sz w:val="16"/>
                <w:szCs w:val="16"/>
              </w:rPr>
              <w:t>-</w:t>
            </w:r>
          </w:p>
        </w:tc>
        <w:tc>
          <w:tcPr>
            <w:tcW w:w="230" w:type="pct"/>
            <w:tcBorders>
              <w:top w:val="nil"/>
              <w:left w:val="nil"/>
              <w:bottom w:val="nil"/>
              <w:right w:val="nil"/>
            </w:tcBorders>
            <w:noWrap/>
            <w:vAlign w:val="bottom"/>
          </w:tcPr>
          <w:p w14:paraId="6DAEE174" w14:textId="1A10294F" w:rsidR="00802DBC" w:rsidRPr="00471CBA" w:rsidRDefault="00802DBC" w:rsidP="00F36B82">
            <w:pPr>
              <w:ind w:right="-55"/>
              <w:jc w:val="right"/>
              <w:rPr>
                <w:color w:val="000000"/>
                <w:sz w:val="16"/>
                <w:szCs w:val="16"/>
              </w:rPr>
            </w:pPr>
            <w:r w:rsidRPr="00471CBA">
              <w:rPr>
                <w:sz w:val="16"/>
                <w:szCs w:val="16"/>
              </w:rPr>
              <w:t>-</w:t>
            </w:r>
          </w:p>
        </w:tc>
        <w:tc>
          <w:tcPr>
            <w:tcW w:w="230" w:type="pct"/>
            <w:tcBorders>
              <w:top w:val="nil"/>
              <w:left w:val="nil"/>
              <w:bottom w:val="nil"/>
              <w:right w:val="nil"/>
            </w:tcBorders>
            <w:noWrap/>
            <w:vAlign w:val="bottom"/>
          </w:tcPr>
          <w:p w14:paraId="690C2111" w14:textId="15F885CB" w:rsidR="00802DBC" w:rsidRPr="00471CBA" w:rsidRDefault="00802DBC" w:rsidP="00F36B82">
            <w:pPr>
              <w:ind w:right="-55"/>
              <w:jc w:val="right"/>
              <w:rPr>
                <w:color w:val="000000"/>
                <w:sz w:val="16"/>
                <w:szCs w:val="16"/>
              </w:rPr>
            </w:pPr>
            <w:r w:rsidRPr="00471CBA">
              <w:rPr>
                <w:sz w:val="16"/>
                <w:szCs w:val="16"/>
              </w:rPr>
              <w:t>-</w:t>
            </w:r>
          </w:p>
        </w:tc>
        <w:tc>
          <w:tcPr>
            <w:tcW w:w="353" w:type="pct"/>
            <w:tcBorders>
              <w:top w:val="nil"/>
              <w:left w:val="nil"/>
              <w:bottom w:val="nil"/>
              <w:right w:val="nil"/>
            </w:tcBorders>
            <w:noWrap/>
            <w:vAlign w:val="bottom"/>
          </w:tcPr>
          <w:p w14:paraId="115D78BF" w14:textId="59C15D4E" w:rsidR="00802DBC" w:rsidRPr="00471CBA" w:rsidRDefault="00802DBC" w:rsidP="00F36B82">
            <w:pPr>
              <w:ind w:right="-55"/>
              <w:jc w:val="right"/>
              <w:rPr>
                <w:color w:val="000000"/>
                <w:sz w:val="16"/>
                <w:szCs w:val="16"/>
              </w:rPr>
            </w:pPr>
            <w:r w:rsidRPr="00471CBA">
              <w:rPr>
                <w:sz w:val="16"/>
                <w:szCs w:val="16"/>
              </w:rPr>
              <w:t>-</w:t>
            </w:r>
          </w:p>
        </w:tc>
        <w:tc>
          <w:tcPr>
            <w:tcW w:w="349" w:type="pct"/>
            <w:tcBorders>
              <w:top w:val="nil"/>
              <w:left w:val="nil"/>
              <w:bottom w:val="nil"/>
              <w:right w:val="nil"/>
            </w:tcBorders>
            <w:noWrap/>
            <w:vAlign w:val="bottom"/>
          </w:tcPr>
          <w:p w14:paraId="49EDFC9F" w14:textId="3453BE43" w:rsidR="00802DBC" w:rsidRPr="00471CBA" w:rsidRDefault="00802DBC" w:rsidP="00F36B82">
            <w:pPr>
              <w:ind w:right="-55"/>
              <w:jc w:val="right"/>
              <w:rPr>
                <w:color w:val="000000"/>
                <w:sz w:val="16"/>
                <w:szCs w:val="16"/>
              </w:rPr>
            </w:pPr>
            <w:r w:rsidRPr="00471CBA">
              <w:rPr>
                <w:sz w:val="16"/>
                <w:szCs w:val="16"/>
              </w:rPr>
              <w:t>-</w:t>
            </w:r>
          </w:p>
        </w:tc>
      </w:tr>
      <w:tr w:rsidR="00802DBC" w:rsidRPr="00471CBA" w14:paraId="7CDBBD26" w14:textId="77777777" w:rsidTr="00F36B82">
        <w:trPr>
          <w:trHeight w:val="170"/>
        </w:trPr>
        <w:tc>
          <w:tcPr>
            <w:tcW w:w="278" w:type="pct"/>
            <w:noWrap/>
            <w:hideMark/>
          </w:tcPr>
          <w:p w14:paraId="2B1A257B" w14:textId="77777777" w:rsidR="00802DBC" w:rsidRPr="00471CBA" w:rsidRDefault="00802DBC" w:rsidP="00B04479">
            <w:pPr>
              <w:rPr>
                <w:sz w:val="16"/>
                <w:szCs w:val="16"/>
              </w:rPr>
            </w:pPr>
            <w:r w:rsidRPr="00471CBA">
              <w:rPr>
                <w:sz w:val="16"/>
                <w:szCs w:val="16"/>
              </w:rPr>
              <w:t>9</w:t>
            </w:r>
          </w:p>
        </w:tc>
        <w:tc>
          <w:tcPr>
            <w:tcW w:w="918" w:type="pct"/>
            <w:vAlign w:val="bottom"/>
            <w:hideMark/>
          </w:tcPr>
          <w:p w14:paraId="251CB9F9" w14:textId="77777777" w:rsidR="00802DBC" w:rsidRPr="00471CBA" w:rsidRDefault="00802DBC" w:rsidP="00B04479">
            <w:pPr>
              <w:contextualSpacing/>
              <w:rPr>
                <w:sz w:val="16"/>
                <w:szCs w:val="16"/>
              </w:rPr>
            </w:pPr>
            <w:r w:rsidRPr="00471CBA">
              <w:rPr>
                <w:sz w:val="16"/>
                <w:szCs w:val="16"/>
              </w:rPr>
              <w:t>İkamet amaçlı gayrimenkul ipoteği ile teminatlandırılan alacaklar</w:t>
            </w:r>
          </w:p>
        </w:tc>
        <w:tc>
          <w:tcPr>
            <w:tcW w:w="319" w:type="pct"/>
            <w:tcBorders>
              <w:top w:val="nil"/>
              <w:left w:val="nil"/>
              <w:bottom w:val="nil"/>
              <w:right w:val="nil"/>
            </w:tcBorders>
            <w:noWrap/>
            <w:vAlign w:val="bottom"/>
          </w:tcPr>
          <w:p w14:paraId="5A175A93" w14:textId="03487821" w:rsidR="00802DBC" w:rsidRPr="00471CBA" w:rsidRDefault="00802DBC" w:rsidP="00F36B82">
            <w:pPr>
              <w:ind w:right="-55"/>
              <w:jc w:val="right"/>
              <w:rPr>
                <w:color w:val="000000"/>
                <w:sz w:val="16"/>
                <w:szCs w:val="16"/>
              </w:rPr>
            </w:pPr>
            <w:r w:rsidRPr="00471CBA">
              <w:rPr>
                <w:sz w:val="16"/>
                <w:szCs w:val="16"/>
              </w:rPr>
              <w:t>113.279</w:t>
            </w:r>
          </w:p>
        </w:tc>
        <w:tc>
          <w:tcPr>
            <w:tcW w:w="253" w:type="pct"/>
            <w:tcBorders>
              <w:top w:val="nil"/>
              <w:left w:val="nil"/>
              <w:bottom w:val="nil"/>
              <w:right w:val="nil"/>
            </w:tcBorders>
            <w:noWrap/>
            <w:vAlign w:val="bottom"/>
          </w:tcPr>
          <w:p w14:paraId="4CFAA06E" w14:textId="2A365EE8" w:rsidR="00802DBC" w:rsidRPr="00471CBA" w:rsidRDefault="00802DBC" w:rsidP="00F36B82">
            <w:pPr>
              <w:ind w:right="-55"/>
              <w:jc w:val="right"/>
              <w:rPr>
                <w:color w:val="000000"/>
                <w:sz w:val="16"/>
                <w:szCs w:val="16"/>
              </w:rPr>
            </w:pPr>
            <w:r w:rsidRPr="00471CBA">
              <w:rPr>
                <w:sz w:val="16"/>
                <w:szCs w:val="16"/>
              </w:rPr>
              <w:t>-</w:t>
            </w:r>
          </w:p>
        </w:tc>
        <w:tc>
          <w:tcPr>
            <w:tcW w:w="319" w:type="pct"/>
            <w:tcBorders>
              <w:top w:val="nil"/>
              <w:left w:val="nil"/>
              <w:bottom w:val="nil"/>
              <w:right w:val="nil"/>
            </w:tcBorders>
            <w:noWrap/>
            <w:vAlign w:val="bottom"/>
          </w:tcPr>
          <w:p w14:paraId="45E96C6F" w14:textId="772F87B3" w:rsidR="00802DBC" w:rsidRPr="00471CBA" w:rsidRDefault="00802DBC" w:rsidP="00F36B82">
            <w:pPr>
              <w:ind w:right="-55"/>
              <w:jc w:val="right"/>
              <w:rPr>
                <w:color w:val="000000"/>
                <w:sz w:val="16"/>
                <w:szCs w:val="16"/>
              </w:rPr>
            </w:pPr>
            <w:r w:rsidRPr="00471CBA">
              <w:rPr>
                <w:sz w:val="16"/>
                <w:szCs w:val="16"/>
              </w:rPr>
              <w:t>4.632</w:t>
            </w:r>
          </w:p>
        </w:tc>
        <w:tc>
          <w:tcPr>
            <w:tcW w:w="247" w:type="pct"/>
            <w:tcBorders>
              <w:top w:val="nil"/>
              <w:left w:val="nil"/>
              <w:bottom w:val="nil"/>
              <w:right w:val="nil"/>
            </w:tcBorders>
            <w:vAlign w:val="bottom"/>
          </w:tcPr>
          <w:p w14:paraId="26F1BB50" w14:textId="41D9345A" w:rsidR="00802DBC" w:rsidRPr="00471CBA" w:rsidRDefault="00802DBC" w:rsidP="00F36B82">
            <w:pPr>
              <w:ind w:right="-55"/>
              <w:jc w:val="right"/>
              <w:rPr>
                <w:color w:val="000000"/>
                <w:sz w:val="16"/>
                <w:szCs w:val="16"/>
              </w:rPr>
            </w:pPr>
            <w:r w:rsidRPr="00471CBA">
              <w:rPr>
                <w:sz w:val="16"/>
                <w:szCs w:val="16"/>
              </w:rPr>
              <w:t>-</w:t>
            </w:r>
          </w:p>
        </w:tc>
        <w:tc>
          <w:tcPr>
            <w:tcW w:w="599" w:type="pct"/>
            <w:tcBorders>
              <w:top w:val="nil"/>
              <w:left w:val="nil"/>
              <w:bottom w:val="nil"/>
              <w:right w:val="nil"/>
            </w:tcBorders>
            <w:vAlign w:val="bottom"/>
          </w:tcPr>
          <w:p w14:paraId="22ABAF80" w14:textId="3908188F" w:rsidR="00802DBC" w:rsidRPr="00471CBA" w:rsidRDefault="00802DBC" w:rsidP="00F36B82">
            <w:pPr>
              <w:ind w:right="-55"/>
              <w:jc w:val="right"/>
              <w:rPr>
                <w:color w:val="000000"/>
                <w:sz w:val="16"/>
                <w:szCs w:val="16"/>
              </w:rPr>
            </w:pPr>
            <w:r w:rsidRPr="00471CBA">
              <w:rPr>
                <w:sz w:val="16"/>
                <w:szCs w:val="16"/>
              </w:rPr>
              <w:t>1.619.233</w:t>
            </w:r>
          </w:p>
        </w:tc>
        <w:tc>
          <w:tcPr>
            <w:tcW w:w="288" w:type="pct"/>
            <w:tcBorders>
              <w:top w:val="nil"/>
              <w:left w:val="nil"/>
              <w:bottom w:val="nil"/>
              <w:right w:val="nil"/>
            </w:tcBorders>
            <w:noWrap/>
            <w:vAlign w:val="bottom"/>
          </w:tcPr>
          <w:p w14:paraId="2F788742" w14:textId="37FC25E1" w:rsidR="00802DBC" w:rsidRPr="00471CBA" w:rsidRDefault="00802DBC" w:rsidP="00F36B82">
            <w:pPr>
              <w:ind w:right="-55"/>
              <w:jc w:val="right"/>
              <w:rPr>
                <w:color w:val="000000"/>
                <w:sz w:val="16"/>
                <w:szCs w:val="16"/>
              </w:rPr>
            </w:pPr>
            <w:r w:rsidRPr="00471CBA">
              <w:rPr>
                <w:sz w:val="16"/>
                <w:szCs w:val="16"/>
              </w:rPr>
              <w:t>-</w:t>
            </w:r>
          </w:p>
        </w:tc>
        <w:tc>
          <w:tcPr>
            <w:tcW w:w="268" w:type="pct"/>
            <w:tcBorders>
              <w:top w:val="nil"/>
              <w:left w:val="nil"/>
              <w:bottom w:val="nil"/>
              <w:right w:val="nil"/>
            </w:tcBorders>
            <w:noWrap/>
            <w:vAlign w:val="bottom"/>
          </w:tcPr>
          <w:p w14:paraId="3DE9CCF0" w14:textId="1D30EA2E" w:rsidR="00802DBC" w:rsidRPr="00471CBA" w:rsidRDefault="00802DBC" w:rsidP="00F36B82">
            <w:pPr>
              <w:ind w:right="-55"/>
              <w:jc w:val="right"/>
              <w:rPr>
                <w:color w:val="000000"/>
                <w:sz w:val="16"/>
                <w:szCs w:val="16"/>
              </w:rPr>
            </w:pPr>
            <w:r w:rsidRPr="00471CBA">
              <w:rPr>
                <w:sz w:val="16"/>
                <w:szCs w:val="16"/>
              </w:rPr>
              <w:t>-</w:t>
            </w:r>
          </w:p>
        </w:tc>
        <w:tc>
          <w:tcPr>
            <w:tcW w:w="349" w:type="pct"/>
            <w:tcBorders>
              <w:top w:val="nil"/>
              <w:left w:val="nil"/>
              <w:bottom w:val="nil"/>
              <w:right w:val="nil"/>
            </w:tcBorders>
            <w:noWrap/>
            <w:vAlign w:val="bottom"/>
          </w:tcPr>
          <w:p w14:paraId="4D67E47C" w14:textId="79B7E06A" w:rsidR="00802DBC" w:rsidRPr="00471CBA" w:rsidRDefault="00802DBC" w:rsidP="00F36B82">
            <w:pPr>
              <w:ind w:right="-55"/>
              <w:jc w:val="right"/>
              <w:rPr>
                <w:color w:val="000000"/>
                <w:sz w:val="16"/>
                <w:szCs w:val="16"/>
              </w:rPr>
            </w:pPr>
            <w:r w:rsidRPr="00471CBA">
              <w:rPr>
                <w:sz w:val="16"/>
                <w:szCs w:val="16"/>
              </w:rPr>
              <w:t>-</w:t>
            </w:r>
          </w:p>
        </w:tc>
        <w:tc>
          <w:tcPr>
            <w:tcW w:w="230" w:type="pct"/>
            <w:tcBorders>
              <w:top w:val="nil"/>
              <w:left w:val="nil"/>
              <w:bottom w:val="nil"/>
              <w:right w:val="nil"/>
            </w:tcBorders>
            <w:noWrap/>
            <w:vAlign w:val="bottom"/>
          </w:tcPr>
          <w:p w14:paraId="25B545F6" w14:textId="2ED19ECC" w:rsidR="00802DBC" w:rsidRPr="00471CBA" w:rsidRDefault="00802DBC" w:rsidP="00F36B82">
            <w:pPr>
              <w:ind w:right="-55"/>
              <w:jc w:val="right"/>
              <w:rPr>
                <w:color w:val="000000"/>
                <w:sz w:val="16"/>
                <w:szCs w:val="16"/>
              </w:rPr>
            </w:pPr>
            <w:r w:rsidRPr="00471CBA">
              <w:rPr>
                <w:sz w:val="16"/>
                <w:szCs w:val="16"/>
              </w:rPr>
              <w:t>-</w:t>
            </w:r>
          </w:p>
        </w:tc>
        <w:tc>
          <w:tcPr>
            <w:tcW w:w="230" w:type="pct"/>
            <w:tcBorders>
              <w:top w:val="nil"/>
              <w:left w:val="nil"/>
              <w:bottom w:val="nil"/>
              <w:right w:val="nil"/>
            </w:tcBorders>
            <w:noWrap/>
            <w:vAlign w:val="bottom"/>
          </w:tcPr>
          <w:p w14:paraId="3649AAD6" w14:textId="5192CEC5" w:rsidR="00802DBC" w:rsidRPr="00471CBA" w:rsidRDefault="00802DBC" w:rsidP="00F36B82">
            <w:pPr>
              <w:ind w:right="-55"/>
              <w:jc w:val="right"/>
              <w:rPr>
                <w:color w:val="000000"/>
                <w:sz w:val="16"/>
                <w:szCs w:val="16"/>
              </w:rPr>
            </w:pPr>
            <w:r w:rsidRPr="00471CBA">
              <w:rPr>
                <w:sz w:val="16"/>
                <w:szCs w:val="16"/>
              </w:rPr>
              <w:t>-</w:t>
            </w:r>
          </w:p>
        </w:tc>
        <w:tc>
          <w:tcPr>
            <w:tcW w:w="353" w:type="pct"/>
            <w:tcBorders>
              <w:top w:val="nil"/>
              <w:left w:val="nil"/>
              <w:bottom w:val="nil"/>
              <w:right w:val="nil"/>
            </w:tcBorders>
            <w:noWrap/>
            <w:vAlign w:val="bottom"/>
          </w:tcPr>
          <w:p w14:paraId="432B9D9F" w14:textId="62EF1438" w:rsidR="00802DBC" w:rsidRPr="00471CBA" w:rsidRDefault="00802DBC" w:rsidP="00F36B82">
            <w:pPr>
              <w:ind w:right="-55"/>
              <w:jc w:val="right"/>
              <w:rPr>
                <w:color w:val="000000"/>
                <w:sz w:val="16"/>
                <w:szCs w:val="16"/>
              </w:rPr>
            </w:pPr>
            <w:r w:rsidRPr="00471CBA">
              <w:rPr>
                <w:sz w:val="16"/>
                <w:szCs w:val="16"/>
              </w:rPr>
              <w:t>-</w:t>
            </w:r>
          </w:p>
        </w:tc>
        <w:tc>
          <w:tcPr>
            <w:tcW w:w="349" w:type="pct"/>
            <w:tcBorders>
              <w:top w:val="nil"/>
              <w:left w:val="nil"/>
              <w:bottom w:val="nil"/>
              <w:right w:val="nil"/>
            </w:tcBorders>
            <w:noWrap/>
            <w:vAlign w:val="bottom"/>
          </w:tcPr>
          <w:p w14:paraId="7B4ABA58" w14:textId="38DE042E" w:rsidR="00802DBC" w:rsidRPr="00471CBA" w:rsidRDefault="00802DBC" w:rsidP="00F36B82">
            <w:pPr>
              <w:ind w:right="-55"/>
              <w:jc w:val="right"/>
              <w:rPr>
                <w:color w:val="000000"/>
                <w:sz w:val="16"/>
                <w:szCs w:val="16"/>
              </w:rPr>
            </w:pPr>
            <w:r w:rsidRPr="00471CBA">
              <w:rPr>
                <w:sz w:val="16"/>
                <w:szCs w:val="16"/>
              </w:rPr>
              <w:t>1.737.144</w:t>
            </w:r>
          </w:p>
        </w:tc>
      </w:tr>
      <w:tr w:rsidR="00802DBC" w:rsidRPr="00471CBA" w14:paraId="36EFB6B4" w14:textId="77777777" w:rsidTr="00F36B82">
        <w:trPr>
          <w:trHeight w:val="170"/>
        </w:trPr>
        <w:tc>
          <w:tcPr>
            <w:tcW w:w="278" w:type="pct"/>
            <w:noWrap/>
          </w:tcPr>
          <w:p w14:paraId="14F44C53" w14:textId="77777777" w:rsidR="00802DBC" w:rsidRPr="00471CBA" w:rsidRDefault="00802DBC" w:rsidP="00B04479">
            <w:pPr>
              <w:rPr>
                <w:sz w:val="16"/>
                <w:szCs w:val="16"/>
              </w:rPr>
            </w:pPr>
            <w:r w:rsidRPr="00471CBA">
              <w:rPr>
                <w:sz w:val="16"/>
                <w:szCs w:val="16"/>
              </w:rPr>
              <w:t>10</w:t>
            </w:r>
          </w:p>
        </w:tc>
        <w:tc>
          <w:tcPr>
            <w:tcW w:w="918" w:type="pct"/>
            <w:vAlign w:val="bottom"/>
          </w:tcPr>
          <w:p w14:paraId="7B20C6D1" w14:textId="77777777" w:rsidR="00802DBC" w:rsidRPr="00471CBA" w:rsidRDefault="00802DBC" w:rsidP="00B04479">
            <w:pPr>
              <w:contextualSpacing/>
              <w:rPr>
                <w:sz w:val="16"/>
                <w:szCs w:val="16"/>
              </w:rPr>
            </w:pPr>
            <w:r w:rsidRPr="00471CBA">
              <w:rPr>
                <w:sz w:val="16"/>
                <w:szCs w:val="16"/>
              </w:rPr>
              <w:t>Ticari amaçlı gayrimenkul ipoteği ile teminatlandırılan alacaklar</w:t>
            </w:r>
          </w:p>
        </w:tc>
        <w:tc>
          <w:tcPr>
            <w:tcW w:w="319" w:type="pct"/>
            <w:tcBorders>
              <w:top w:val="nil"/>
              <w:left w:val="nil"/>
              <w:bottom w:val="nil"/>
              <w:right w:val="nil"/>
            </w:tcBorders>
            <w:noWrap/>
            <w:vAlign w:val="bottom"/>
          </w:tcPr>
          <w:p w14:paraId="337848BF" w14:textId="6AB2FDCC" w:rsidR="00802DBC" w:rsidRPr="00471CBA" w:rsidRDefault="00802DBC" w:rsidP="00F36B82">
            <w:pPr>
              <w:ind w:right="-55"/>
              <w:jc w:val="right"/>
              <w:rPr>
                <w:color w:val="000000"/>
                <w:sz w:val="16"/>
                <w:szCs w:val="16"/>
              </w:rPr>
            </w:pPr>
            <w:r w:rsidRPr="00471CBA">
              <w:rPr>
                <w:sz w:val="16"/>
                <w:szCs w:val="16"/>
              </w:rPr>
              <w:t>95.504</w:t>
            </w:r>
          </w:p>
        </w:tc>
        <w:tc>
          <w:tcPr>
            <w:tcW w:w="253" w:type="pct"/>
            <w:tcBorders>
              <w:top w:val="nil"/>
              <w:left w:val="nil"/>
              <w:bottom w:val="nil"/>
              <w:right w:val="nil"/>
            </w:tcBorders>
            <w:noWrap/>
            <w:vAlign w:val="bottom"/>
          </w:tcPr>
          <w:p w14:paraId="288B94F0" w14:textId="1E6C2EF0" w:rsidR="00802DBC" w:rsidRPr="00471CBA" w:rsidRDefault="00802DBC" w:rsidP="00F36B82">
            <w:pPr>
              <w:ind w:right="-55"/>
              <w:jc w:val="right"/>
              <w:rPr>
                <w:color w:val="000000"/>
                <w:sz w:val="16"/>
                <w:szCs w:val="16"/>
              </w:rPr>
            </w:pPr>
            <w:r w:rsidRPr="00471CBA">
              <w:rPr>
                <w:sz w:val="16"/>
                <w:szCs w:val="16"/>
              </w:rPr>
              <w:t>-</w:t>
            </w:r>
          </w:p>
        </w:tc>
        <w:tc>
          <w:tcPr>
            <w:tcW w:w="319" w:type="pct"/>
            <w:tcBorders>
              <w:top w:val="nil"/>
              <w:left w:val="nil"/>
              <w:bottom w:val="nil"/>
              <w:right w:val="nil"/>
            </w:tcBorders>
            <w:noWrap/>
            <w:vAlign w:val="bottom"/>
          </w:tcPr>
          <w:p w14:paraId="0DDD94F4" w14:textId="498E5911" w:rsidR="00802DBC" w:rsidRPr="00471CBA" w:rsidRDefault="00802DBC" w:rsidP="00F36B82">
            <w:pPr>
              <w:ind w:right="-55"/>
              <w:jc w:val="right"/>
              <w:rPr>
                <w:color w:val="000000"/>
                <w:sz w:val="16"/>
                <w:szCs w:val="16"/>
              </w:rPr>
            </w:pPr>
            <w:r w:rsidRPr="00471CBA">
              <w:rPr>
                <w:sz w:val="16"/>
                <w:szCs w:val="16"/>
              </w:rPr>
              <w:t>5.105</w:t>
            </w:r>
          </w:p>
        </w:tc>
        <w:tc>
          <w:tcPr>
            <w:tcW w:w="247" w:type="pct"/>
            <w:tcBorders>
              <w:top w:val="nil"/>
              <w:left w:val="nil"/>
              <w:bottom w:val="nil"/>
              <w:right w:val="nil"/>
            </w:tcBorders>
            <w:vAlign w:val="bottom"/>
          </w:tcPr>
          <w:p w14:paraId="08A81F59" w14:textId="76BB6BB6" w:rsidR="00802DBC" w:rsidRPr="00471CBA" w:rsidRDefault="00802DBC" w:rsidP="00F36B82">
            <w:pPr>
              <w:ind w:right="-55"/>
              <w:jc w:val="right"/>
              <w:rPr>
                <w:color w:val="000000"/>
                <w:sz w:val="16"/>
                <w:szCs w:val="16"/>
              </w:rPr>
            </w:pPr>
            <w:r w:rsidRPr="00471CBA">
              <w:rPr>
                <w:sz w:val="16"/>
                <w:szCs w:val="16"/>
              </w:rPr>
              <w:t>-</w:t>
            </w:r>
          </w:p>
        </w:tc>
        <w:tc>
          <w:tcPr>
            <w:tcW w:w="599" w:type="pct"/>
            <w:tcBorders>
              <w:top w:val="nil"/>
              <w:left w:val="nil"/>
              <w:bottom w:val="nil"/>
              <w:right w:val="nil"/>
            </w:tcBorders>
            <w:vAlign w:val="bottom"/>
          </w:tcPr>
          <w:p w14:paraId="34C7507B" w14:textId="5CFA26EB" w:rsidR="00802DBC" w:rsidRPr="00471CBA" w:rsidRDefault="00802DBC" w:rsidP="00F36B82">
            <w:pPr>
              <w:ind w:right="-55"/>
              <w:jc w:val="right"/>
              <w:rPr>
                <w:color w:val="000000"/>
                <w:sz w:val="16"/>
                <w:szCs w:val="16"/>
              </w:rPr>
            </w:pPr>
            <w:r w:rsidRPr="00471CBA">
              <w:rPr>
                <w:sz w:val="16"/>
                <w:szCs w:val="16"/>
              </w:rPr>
              <w:t>-</w:t>
            </w:r>
          </w:p>
        </w:tc>
        <w:tc>
          <w:tcPr>
            <w:tcW w:w="288" w:type="pct"/>
            <w:tcBorders>
              <w:top w:val="nil"/>
              <w:left w:val="nil"/>
              <w:bottom w:val="nil"/>
              <w:right w:val="nil"/>
            </w:tcBorders>
            <w:noWrap/>
            <w:vAlign w:val="bottom"/>
          </w:tcPr>
          <w:p w14:paraId="5D674C88" w14:textId="270286BB" w:rsidR="00802DBC" w:rsidRPr="00471CBA" w:rsidRDefault="00802DBC" w:rsidP="00F36B82">
            <w:pPr>
              <w:ind w:right="-55"/>
              <w:jc w:val="right"/>
              <w:rPr>
                <w:color w:val="000000"/>
                <w:sz w:val="16"/>
                <w:szCs w:val="16"/>
              </w:rPr>
            </w:pPr>
            <w:r w:rsidRPr="00471CBA">
              <w:rPr>
                <w:sz w:val="16"/>
                <w:szCs w:val="16"/>
              </w:rPr>
              <w:t>1.661.093</w:t>
            </w:r>
          </w:p>
        </w:tc>
        <w:tc>
          <w:tcPr>
            <w:tcW w:w="268" w:type="pct"/>
            <w:tcBorders>
              <w:top w:val="nil"/>
              <w:left w:val="nil"/>
              <w:bottom w:val="nil"/>
              <w:right w:val="nil"/>
            </w:tcBorders>
            <w:noWrap/>
            <w:vAlign w:val="bottom"/>
          </w:tcPr>
          <w:p w14:paraId="5EEFF30B" w14:textId="7E66405F" w:rsidR="00802DBC" w:rsidRPr="00471CBA" w:rsidRDefault="00802DBC" w:rsidP="00F36B82">
            <w:pPr>
              <w:ind w:right="-55"/>
              <w:jc w:val="right"/>
              <w:rPr>
                <w:color w:val="000000"/>
                <w:sz w:val="16"/>
                <w:szCs w:val="16"/>
              </w:rPr>
            </w:pPr>
            <w:r w:rsidRPr="00471CBA">
              <w:rPr>
                <w:sz w:val="16"/>
                <w:szCs w:val="16"/>
              </w:rPr>
              <w:t>-</w:t>
            </w:r>
          </w:p>
        </w:tc>
        <w:tc>
          <w:tcPr>
            <w:tcW w:w="349" w:type="pct"/>
            <w:tcBorders>
              <w:top w:val="nil"/>
              <w:left w:val="nil"/>
              <w:bottom w:val="nil"/>
              <w:right w:val="nil"/>
            </w:tcBorders>
            <w:noWrap/>
            <w:vAlign w:val="bottom"/>
          </w:tcPr>
          <w:p w14:paraId="364BCD94" w14:textId="78AE7F1F" w:rsidR="00802DBC" w:rsidRPr="00471CBA" w:rsidRDefault="00802DBC" w:rsidP="00F36B82">
            <w:pPr>
              <w:ind w:right="-55"/>
              <w:jc w:val="right"/>
              <w:rPr>
                <w:color w:val="000000"/>
                <w:sz w:val="16"/>
                <w:szCs w:val="16"/>
              </w:rPr>
            </w:pPr>
            <w:r w:rsidRPr="00471CBA">
              <w:rPr>
                <w:sz w:val="16"/>
                <w:szCs w:val="16"/>
              </w:rPr>
              <w:t>473.099</w:t>
            </w:r>
          </w:p>
        </w:tc>
        <w:tc>
          <w:tcPr>
            <w:tcW w:w="230" w:type="pct"/>
            <w:tcBorders>
              <w:top w:val="nil"/>
              <w:left w:val="nil"/>
              <w:bottom w:val="nil"/>
              <w:right w:val="nil"/>
            </w:tcBorders>
            <w:noWrap/>
            <w:vAlign w:val="bottom"/>
          </w:tcPr>
          <w:p w14:paraId="151A85C7" w14:textId="62C20675" w:rsidR="00802DBC" w:rsidRPr="00471CBA" w:rsidRDefault="00802DBC" w:rsidP="00F36B82">
            <w:pPr>
              <w:ind w:right="-55"/>
              <w:jc w:val="right"/>
              <w:rPr>
                <w:color w:val="000000"/>
                <w:sz w:val="16"/>
                <w:szCs w:val="16"/>
              </w:rPr>
            </w:pPr>
            <w:r w:rsidRPr="00471CBA">
              <w:rPr>
                <w:sz w:val="16"/>
                <w:szCs w:val="16"/>
              </w:rPr>
              <w:t>-</w:t>
            </w:r>
          </w:p>
        </w:tc>
        <w:tc>
          <w:tcPr>
            <w:tcW w:w="230" w:type="pct"/>
            <w:tcBorders>
              <w:top w:val="nil"/>
              <w:left w:val="nil"/>
              <w:bottom w:val="nil"/>
              <w:right w:val="nil"/>
            </w:tcBorders>
            <w:noWrap/>
            <w:vAlign w:val="bottom"/>
          </w:tcPr>
          <w:p w14:paraId="358AE30F" w14:textId="3F063D01" w:rsidR="00802DBC" w:rsidRPr="00471CBA" w:rsidRDefault="00802DBC" w:rsidP="00F36B82">
            <w:pPr>
              <w:ind w:right="-55"/>
              <w:jc w:val="right"/>
              <w:rPr>
                <w:color w:val="000000"/>
                <w:sz w:val="16"/>
                <w:szCs w:val="16"/>
              </w:rPr>
            </w:pPr>
            <w:r w:rsidRPr="00471CBA">
              <w:rPr>
                <w:sz w:val="16"/>
                <w:szCs w:val="16"/>
              </w:rPr>
              <w:t>-</w:t>
            </w:r>
          </w:p>
        </w:tc>
        <w:tc>
          <w:tcPr>
            <w:tcW w:w="353" w:type="pct"/>
            <w:tcBorders>
              <w:top w:val="nil"/>
              <w:left w:val="nil"/>
              <w:bottom w:val="nil"/>
              <w:right w:val="nil"/>
            </w:tcBorders>
            <w:noWrap/>
            <w:vAlign w:val="bottom"/>
          </w:tcPr>
          <w:p w14:paraId="2C358008" w14:textId="78464FD7" w:rsidR="00802DBC" w:rsidRPr="00471CBA" w:rsidRDefault="00802DBC" w:rsidP="00F36B82">
            <w:pPr>
              <w:ind w:right="-55"/>
              <w:jc w:val="right"/>
              <w:rPr>
                <w:color w:val="000000"/>
                <w:sz w:val="16"/>
                <w:szCs w:val="16"/>
              </w:rPr>
            </w:pPr>
            <w:r w:rsidRPr="00471CBA">
              <w:rPr>
                <w:sz w:val="16"/>
                <w:szCs w:val="16"/>
              </w:rPr>
              <w:t>-</w:t>
            </w:r>
          </w:p>
        </w:tc>
        <w:tc>
          <w:tcPr>
            <w:tcW w:w="349" w:type="pct"/>
            <w:tcBorders>
              <w:top w:val="nil"/>
              <w:left w:val="nil"/>
              <w:bottom w:val="nil"/>
              <w:right w:val="nil"/>
            </w:tcBorders>
            <w:noWrap/>
            <w:vAlign w:val="bottom"/>
          </w:tcPr>
          <w:p w14:paraId="1B7D749F" w14:textId="7AEF7556" w:rsidR="00802DBC" w:rsidRPr="00471CBA" w:rsidRDefault="00802DBC" w:rsidP="00F36B82">
            <w:pPr>
              <w:ind w:right="-55"/>
              <w:jc w:val="right"/>
              <w:rPr>
                <w:color w:val="000000"/>
                <w:sz w:val="16"/>
                <w:szCs w:val="16"/>
              </w:rPr>
            </w:pPr>
            <w:r w:rsidRPr="00471CBA">
              <w:rPr>
                <w:sz w:val="16"/>
                <w:szCs w:val="16"/>
              </w:rPr>
              <w:t>2.234.801</w:t>
            </w:r>
          </w:p>
        </w:tc>
      </w:tr>
      <w:tr w:rsidR="00802DBC" w:rsidRPr="00471CBA" w14:paraId="60D636BC" w14:textId="77777777" w:rsidTr="00F36B82">
        <w:trPr>
          <w:trHeight w:val="170"/>
        </w:trPr>
        <w:tc>
          <w:tcPr>
            <w:tcW w:w="278" w:type="pct"/>
            <w:noWrap/>
            <w:hideMark/>
          </w:tcPr>
          <w:p w14:paraId="2540E10C" w14:textId="77777777" w:rsidR="00802DBC" w:rsidRPr="00471CBA" w:rsidRDefault="00802DBC" w:rsidP="00B04479">
            <w:pPr>
              <w:rPr>
                <w:sz w:val="16"/>
                <w:szCs w:val="16"/>
              </w:rPr>
            </w:pPr>
            <w:r w:rsidRPr="00471CBA">
              <w:rPr>
                <w:sz w:val="16"/>
                <w:szCs w:val="16"/>
              </w:rPr>
              <w:t>11</w:t>
            </w:r>
          </w:p>
        </w:tc>
        <w:tc>
          <w:tcPr>
            <w:tcW w:w="918" w:type="pct"/>
            <w:vAlign w:val="bottom"/>
            <w:hideMark/>
          </w:tcPr>
          <w:p w14:paraId="4506520A" w14:textId="77777777" w:rsidR="00802DBC" w:rsidRPr="00471CBA" w:rsidRDefault="00802DBC" w:rsidP="00B04479">
            <w:pPr>
              <w:contextualSpacing/>
              <w:rPr>
                <w:sz w:val="16"/>
                <w:szCs w:val="16"/>
              </w:rPr>
            </w:pPr>
            <w:r w:rsidRPr="00471CBA">
              <w:rPr>
                <w:sz w:val="16"/>
                <w:szCs w:val="16"/>
              </w:rPr>
              <w:t>Tahsili gecikmiş alacaklar</w:t>
            </w:r>
          </w:p>
        </w:tc>
        <w:tc>
          <w:tcPr>
            <w:tcW w:w="319" w:type="pct"/>
            <w:tcBorders>
              <w:top w:val="nil"/>
              <w:left w:val="nil"/>
              <w:bottom w:val="nil"/>
              <w:right w:val="nil"/>
            </w:tcBorders>
            <w:noWrap/>
            <w:vAlign w:val="bottom"/>
          </w:tcPr>
          <w:p w14:paraId="1E862AD1" w14:textId="665BD292" w:rsidR="00802DBC" w:rsidRPr="00471CBA" w:rsidRDefault="00802DBC" w:rsidP="00F36B82">
            <w:pPr>
              <w:ind w:right="-55"/>
              <w:jc w:val="right"/>
              <w:rPr>
                <w:color w:val="000000"/>
                <w:sz w:val="16"/>
                <w:szCs w:val="16"/>
              </w:rPr>
            </w:pPr>
            <w:r w:rsidRPr="00471CBA">
              <w:rPr>
                <w:sz w:val="16"/>
                <w:szCs w:val="16"/>
              </w:rPr>
              <w:t>-</w:t>
            </w:r>
          </w:p>
        </w:tc>
        <w:tc>
          <w:tcPr>
            <w:tcW w:w="253" w:type="pct"/>
            <w:tcBorders>
              <w:top w:val="nil"/>
              <w:left w:val="nil"/>
              <w:bottom w:val="nil"/>
              <w:right w:val="nil"/>
            </w:tcBorders>
            <w:noWrap/>
            <w:vAlign w:val="bottom"/>
          </w:tcPr>
          <w:p w14:paraId="1C255DF5" w14:textId="756D1331" w:rsidR="00802DBC" w:rsidRPr="00471CBA" w:rsidRDefault="00802DBC" w:rsidP="00F36B82">
            <w:pPr>
              <w:ind w:right="-55"/>
              <w:jc w:val="right"/>
              <w:rPr>
                <w:color w:val="000000"/>
                <w:sz w:val="16"/>
                <w:szCs w:val="16"/>
              </w:rPr>
            </w:pPr>
            <w:r w:rsidRPr="00471CBA">
              <w:rPr>
                <w:sz w:val="16"/>
                <w:szCs w:val="16"/>
              </w:rPr>
              <w:t>-</w:t>
            </w:r>
          </w:p>
        </w:tc>
        <w:tc>
          <w:tcPr>
            <w:tcW w:w="319" w:type="pct"/>
            <w:tcBorders>
              <w:top w:val="nil"/>
              <w:left w:val="nil"/>
              <w:bottom w:val="nil"/>
              <w:right w:val="nil"/>
            </w:tcBorders>
            <w:noWrap/>
            <w:vAlign w:val="bottom"/>
          </w:tcPr>
          <w:p w14:paraId="60924529" w14:textId="5A51BBF5" w:rsidR="00802DBC" w:rsidRPr="00471CBA" w:rsidRDefault="00802DBC" w:rsidP="00F36B82">
            <w:pPr>
              <w:ind w:right="-55"/>
              <w:jc w:val="right"/>
              <w:rPr>
                <w:color w:val="000000"/>
                <w:sz w:val="16"/>
                <w:szCs w:val="16"/>
              </w:rPr>
            </w:pPr>
            <w:r w:rsidRPr="00471CBA">
              <w:rPr>
                <w:sz w:val="16"/>
                <w:szCs w:val="16"/>
              </w:rPr>
              <w:t>-</w:t>
            </w:r>
          </w:p>
        </w:tc>
        <w:tc>
          <w:tcPr>
            <w:tcW w:w="247" w:type="pct"/>
            <w:tcBorders>
              <w:top w:val="nil"/>
              <w:left w:val="nil"/>
              <w:bottom w:val="nil"/>
              <w:right w:val="nil"/>
            </w:tcBorders>
            <w:vAlign w:val="bottom"/>
          </w:tcPr>
          <w:p w14:paraId="667428D5" w14:textId="2069F4E1" w:rsidR="00802DBC" w:rsidRPr="00471CBA" w:rsidRDefault="00802DBC" w:rsidP="00F36B82">
            <w:pPr>
              <w:ind w:right="-55"/>
              <w:jc w:val="right"/>
              <w:rPr>
                <w:color w:val="000000"/>
                <w:sz w:val="16"/>
                <w:szCs w:val="16"/>
              </w:rPr>
            </w:pPr>
            <w:r w:rsidRPr="00471CBA">
              <w:rPr>
                <w:sz w:val="16"/>
                <w:szCs w:val="16"/>
              </w:rPr>
              <w:t>-</w:t>
            </w:r>
          </w:p>
        </w:tc>
        <w:tc>
          <w:tcPr>
            <w:tcW w:w="599" w:type="pct"/>
            <w:tcBorders>
              <w:top w:val="nil"/>
              <w:left w:val="nil"/>
              <w:bottom w:val="nil"/>
              <w:right w:val="nil"/>
            </w:tcBorders>
            <w:vAlign w:val="bottom"/>
          </w:tcPr>
          <w:p w14:paraId="114F65A6" w14:textId="1C0DCA45" w:rsidR="00802DBC" w:rsidRPr="00471CBA" w:rsidRDefault="00802DBC" w:rsidP="00F36B82">
            <w:pPr>
              <w:ind w:right="-55"/>
              <w:jc w:val="right"/>
              <w:rPr>
                <w:color w:val="000000"/>
                <w:sz w:val="16"/>
                <w:szCs w:val="16"/>
              </w:rPr>
            </w:pPr>
            <w:r w:rsidRPr="00471CBA">
              <w:rPr>
                <w:sz w:val="16"/>
                <w:szCs w:val="16"/>
              </w:rPr>
              <w:t>-</w:t>
            </w:r>
          </w:p>
        </w:tc>
        <w:tc>
          <w:tcPr>
            <w:tcW w:w="288" w:type="pct"/>
            <w:tcBorders>
              <w:top w:val="nil"/>
              <w:left w:val="nil"/>
              <w:bottom w:val="nil"/>
              <w:right w:val="nil"/>
            </w:tcBorders>
            <w:noWrap/>
            <w:vAlign w:val="bottom"/>
          </w:tcPr>
          <w:p w14:paraId="2DFB44DB" w14:textId="49D21815" w:rsidR="00802DBC" w:rsidRPr="00471CBA" w:rsidRDefault="00802DBC" w:rsidP="00F36B82">
            <w:pPr>
              <w:ind w:right="-55"/>
              <w:jc w:val="right"/>
              <w:rPr>
                <w:color w:val="000000"/>
                <w:sz w:val="16"/>
                <w:szCs w:val="16"/>
              </w:rPr>
            </w:pPr>
            <w:r w:rsidRPr="00471CBA">
              <w:rPr>
                <w:sz w:val="16"/>
                <w:szCs w:val="16"/>
              </w:rPr>
              <w:t>-</w:t>
            </w:r>
          </w:p>
        </w:tc>
        <w:tc>
          <w:tcPr>
            <w:tcW w:w="268" w:type="pct"/>
            <w:tcBorders>
              <w:top w:val="nil"/>
              <w:left w:val="nil"/>
              <w:bottom w:val="nil"/>
              <w:right w:val="nil"/>
            </w:tcBorders>
            <w:noWrap/>
            <w:vAlign w:val="bottom"/>
          </w:tcPr>
          <w:p w14:paraId="1B8D5E34" w14:textId="47366221" w:rsidR="00802DBC" w:rsidRPr="00471CBA" w:rsidRDefault="00802DBC" w:rsidP="00F36B82">
            <w:pPr>
              <w:ind w:right="-55"/>
              <w:jc w:val="right"/>
              <w:rPr>
                <w:color w:val="000000"/>
                <w:sz w:val="16"/>
                <w:szCs w:val="16"/>
              </w:rPr>
            </w:pPr>
            <w:r w:rsidRPr="00471CBA">
              <w:rPr>
                <w:sz w:val="16"/>
                <w:szCs w:val="16"/>
              </w:rPr>
              <w:t>-</w:t>
            </w:r>
          </w:p>
        </w:tc>
        <w:tc>
          <w:tcPr>
            <w:tcW w:w="349" w:type="pct"/>
            <w:tcBorders>
              <w:top w:val="nil"/>
              <w:left w:val="nil"/>
              <w:bottom w:val="nil"/>
              <w:right w:val="nil"/>
            </w:tcBorders>
            <w:noWrap/>
            <w:vAlign w:val="bottom"/>
          </w:tcPr>
          <w:p w14:paraId="19639FCC" w14:textId="4589E864" w:rsidR="00802DBC" w:rsidRPr="00471CBA" w:rsidRDefault="00802DBC" w:rsidP="00F36B82">
            <w:pPr>
              <w:ind w:right="-55"/>
              <w:jc w:val="right"/>
              <w:rPr>
                <w:color w:val="000000"/>
                <w:sz w:val="16"/>
                <w:szCs w:val="16"/>
              </w:rPr>
            </w:pPr>
            <w:r w:rsidRPr="00471CBA">
              <w:rPr>
                <w:sz w:val="16"/>
                <w:szCs w:val="16"/>
              </w:rPr>
              <w:t>-</w:t>
            </w:r>
          </w:p>
        </w:tc>
        <w:tc>
          <w:tcPr>
            <w:tcW w:w="230" w:type="pct"/>
            <w:tcBorders>
              <w:top w:val="nil"/>
              <w:left w:val="nil"/>
              <w:bottom w:val="nil"/>
              <w:right w:val="nil"/>
            </w:tcBorders>
            <w:noWrap/>
            <w:vAlign w:val="bottom"/>
          </w:tcPr>
          <w:p w14:paraId="1DF623B6" w14:textId="1777A9D0" w:rsidR="00802DBC" w:rsidRPr="00471CBA" w:rsidRDefault="00802DBC" w:rsidP="00F36B82">
            <w:pPr>
              <w:ind w:right="-55"/>
              <w:jc w:val="right"/>
              <w:rPr>
                <w:color w:val="000000"/>
                <w:sz w:val="16"/>
                <w:szCs w:val="16"/>
              </w:rPr>
            </w:pPr>
            <w:r w:rsidRPr="00471CBA">
              <w:rPr>
                <w:sz w:val="16"/>
                <w:szCs w:val="16"/>
              </w:rPr>
              <w:t>-</w:t>
            </w:r>
          </w:p>
        </w:tc>
        <w:tc>
          <w:tcPr>
            <w:tcW w:w="230" w:type="pct"/>
            <w:tcBorders>
              <w:top w:val="nil"/>
              <w:left w:val="nil"/>
              <w:bottom w:val="nil"/>
              <w:right w:val="nil"/>
            </w:tcBorders>
            <w:noWrap/>
            <w:vAlign w:val="bottom"/>
          </w:tcPr>
          <w:p w14:paraId="06C4C55A" w14:textId="5B3829A1" w:rsidR="00802DBC" w:rsidRPr="00471CBA" w:rsidRDefault="00802DBC" w:rsidP="00F36B82">
            <w:pPr>
              <w:ind w:right="-55"/>
              <w:jc w:val="right"/>
              <w:rPr>
                <w:color w:val="000000"/>
                <w:sz w:val="16"/>
                <w:szCs w:val="16"/>
              </w:rPr>
            </w:pPr>
            <w:r w:rsidRPr="00471CBA">
              <w:rPr>
                <w:sz w:val="16"/>
                <w:szCs w:val="16"/>
              </w:rPr>
              <w:t>-</w:t>
            </w:r>
          </w:p>
        </w:tc>
        <w:tc>
          <w:tcPr>
            <w:tcW w:w="353" w:type="pct"/>
            <w:tcBorders>
              <w:top w:val="nil"/>
              <w:left w:val="nil"/>
              <w:bottom w:val="nil"/>
              <w:right w:val="nil"/>
            </w:tcBorders>
            <w:noWrap/>
            <w:vAlign w:val="bottom"/>
          </w:tcPr>
          <w:p w14:paraId="45D3C511" w14:textId="21016B31" w:rsidR="00802DBC" w:rsidRPr="00471CBA" w:rsidRDefault="00802DBC" w:rsidP="00F36B82">
            <w:pPr>
              <w:ind w:right="-55"/>
              <w:jc w:val="right"/>
              <w:rPr>
                <w:color w:val="000000"/>
                <w:sz w:val="16"/>
                <w:szCs w:val="16"/>
              </w:rPr>
            </w:pPr>
            <w:r w:rsidRPr="00471CBA">
              <w:rPr>
                <w:sz w:val="16"/>
                <w:szCs w:val="16"/>
              </w:rPr>
              <w:t>-</w:t>
            </w:r>
          </w:p>
        </w:tc>
        <w:tc>
          <w:tcPr>
            <w:tcW w:w="349" w:type="pct"/>
            <w:tcBorders>
              <w:top w:val="nil"/>
              <w:left w:val="nil"/>
              <w:bottom w:val="nil"/>
              <w:right w:val="nil"/>
            </w:tcBorders>
            <w:noWrap/>
            <w:vAlign w:val="bottom"/>
          </w:tcPr>
          <w:p w14:paraId="683BFFEE" w14:textId="360C383E" w:rsidR="00802DBC" w:rsidRPr="00471CBA" w:rsidRDefault="00802DBC" w:rsidP="00F36B82">
            <w:pPr>
              <w:ind w:right="-55"/>
              <w:jc w:val="right"/>
              <w:rPr>
                <w:color w:val="000000"/>
                <w:sz w:val="16"/>
                <w:szCs w:val="16"/>
              </w:rPr>
            </w:pPr>
            <w:r w:rsidRPr="00471CBA">
              <w:rPr>
                <w:sz w:val="16"/>
                <w:szCs w:val="16"/>
              </w:rPr>
              <w:t>-</w:t>
            </w:r>
          </w:p>
        </w:tc>
      </w:tr>
      <w:tr w:rsidR="00802DBC" w:rsidRPr="00471CBA" w14:paraId="4BB7D718" w14:textId="77777777" w:rsidTr="00F36B82">
        <w:trPr>
          <w:trHeight w:val="170"/>
        </w:trPr>
        <w:tc>
          <w:tcPr>
            <w:tcW w:w="278" w:type="pct"/>
            <w:noWrap/>
            <w:hideMark/>
          </w:tcPr>
          <w:p w14:paraId="14FEAC02" w14:textId="77777777" w:rsidR="00802DBC" w:rsidRPr="00471CBA" w:rsidRDefault="00802DBC" w:rsidP="00B04479">
            <w:pPr>
              <w:rPr>
                <w:sz w:val="16"/>
                <w:szCs w:val="16"/>
              </w:rPr>
            </w:pPr>
            <w:r w:rsidRPr="00471CBA">
              <w:rPr>
                <w:sz w:val="16"/>
                <w:szCs w:val="16"/>
              </w:rPr>
              <w:t>12</w:t>
            </w:r>
          </w:p>
        </w:tc>
        <w:tc>
          <w:tcPr>
            <w:tcW w:w="918" w:type="pct"/>
            <w:vAlign w:val="bottom"/>
            <w:hideMark/>
          </w:tcPr>
          <w:p w14:paraId="091976D0" w14:textId="77777777" w:rsidR="00802DBC" w:rsidRPr="00471CBA" w:rsidRDefault="00802DBC" w:rsidP="00B04479">
            <w:pPr>
              <w:contextualSpacing/>
              <w:rPr>
                <w:sz w:val="16"/>
                <w:szCs w:val="16"/>
              </w:rPr>
            </w:pPr>
            <w:r w:rsidRPr="00471CBA">
              <w:rPr>
                <w:sz w:val="16"/>
                <w:szCs w:val="16"/>
              </w:rPr>
              <w:t>Kurulca riski yüksek belirlenmiş alacaklar</w:t>
            </w:r>
          </w:p>
        </w:tc>
        <w:tc>
          <w:tcPr>
            <w:tcW w:w="319" w:type="pct"/>
            <w:tcBorders>
              <w:top w:val="nil"/>
              <w:left w:val="nil"/>
              <w:bottom w:val="nil"/>
              <w:right w:val="nil"/>
            </w:tcBorders>
            <w:noWrap/>
            <w:vAlign w:val="bottom"/>
          </w:tcPr>
          <w:p w14:paraId="30EFB1E0" w14:textId="765165C4" w:rsidR="00802DBC" w:rsidRPr="00471CBA" w:rsidRDefault="00802DBC" w:rsidP="00F36B82">
            <w:pPr>
              <w:ind w:right="-55"/>
              <w:jc w:val="right"/>
              <w:rPr>
                <w:color w:val="000000"/>
                <w:sz w:val="16"/>
                <w:szCs w:val="16"/>
              </w:rPr>
            </w:pPr>
            <w:r w:rsidRPr="00471CBA">
              <w:rPr>
                <w:sz w:val="16"/>
                <w:szCs w:val="16"/>
              </w:rPr>
              <w:t>-</w:t>
            </w:r>
          </w:p>
        </w:tc>
        <w:tc>
          <w:tcPr>
            <w:tcW w:w="253" w:type="pct"/>
            <w:tcBorders>
              <w:top w:val="nil"/>
              <w:left w:val="nil"/>
              <w:bottom w:val="nil"/>
              <w:right w:val="nil"/>
            </w:tcBorders>
            <w:noWrap/>
            <w:vAlign w:val="bottom"/>
          </w:tcPr>
          <w:p w14:paraId="7687AD92" w14:textId="1D226B60" w:rsidR="00802DBC" w:rsidRPr="00471CBA" w:rsidRDefault="00802DBC" w:rsidP="00F36B82">
            <w:pPr>
              <w:ind w:right="-55"/>
              <w:jc w:val="right"/>
              <w:rPr>
                <w:color w:val="000000"/>
                <w:sz w:val="16"/>
                <w:szCs w:val="16"/>
              </w:rPr>
            </w:pPr>
            <w:r w:rsidRPr="00471CBA">
              <w:rPr>
                <w:sz w:val="16"/>
                <w:szCs w:val="16"/>
              </w:rPr>
              <w:t>-</w:t>
            </w:r>
          </w:p>
        </w:tc>
        <w:tc>
          <w:tcPr>
            <w:tcW w:w="319" w:type="pct"/>
            <w:tcBorders>
              <w:top w:val="nil"/>
              <w:left w:val="nil"/>
              <w:bottom w:val="nil"/>
              <w:right w:val="nil"/>
            </w:tcBorders>
            <w:noWrap/>
            <w:vAlign w:val="bottom"/>
          </w:tcPr>
          <w:p w14:paraId="4E1ABA04" w14:textId="17A4AA96" w:rsidR="00802DBC" w:rsidRPr="00471CBA" w:rsidRDefault="00802DBC" w:rsidP="00F36B82">
            <w:pPr>
              <w:ind w:right="-55"/>
              <w:jc w:val="right"/>
              <w:rPr>
                <w:color w:val="000000"/>
                <w:sz w:val="16"/>
                <w:szCs w:val="16"/>
              </w:rPr>
            </w:pPr>
            <w:r w:rsidRPr="00471CBA">
              <w:rPr>
                <w:sz w:val="16"/>
                <w:szCs w:val="16"/>
              </w:rPr>
              <w:t>-</w:t>
            </w:r>
          </w:p>
        </w:tc>
        <w:tc>
          <w:tcPr>
            <w:tcW w:w="247" w:type="pct"/>
            <w:tcBorders>
              <w:top w:val="nil"/>
              <w:left w:val="nil"/>
              <w:bottom w:val="nil"/>
              <w:right w:val="nil"/>
            </w:tcBorders>
            <w:vAlign w:val="bottom"/>
          </w:tcPr>
          <w:p w14:paraId="725F0E95" w14:textId="2786EDDD" w:rsidR="00802DBC" w:rsidRPr="00471CBA" w:rsidRDefault="00802DBC" w:rsidP="00F36B82">
            <w:pPr>
              <w:ind w:right="-55"/>
              <w:jc w:val="right"/>
              <w:rPr>
                <w:color w:val="000000"/>
                <w:sz w:val="16"/>
                <w:szCs w:val="16"/>
              </w:rPr>
            </w:pPr>
            <w:r w:rsidRPr="00471CBA">
              <w:rPr>
                <w:sz w:val="16"/>
                <w:szCs w:val="16"/>
              </w:rPr>
              <w:t>-</w:t>
            </w:r>
          </w:p>
        </w:tc>
        <w:tc>
          <w:tcPr>
            <w:tcW w:w="599" w:type="pct"/>
            <w:tcBorders>
              <w:top w:val="nil"/>
              <w:left w:val="nil"/>
              <w:bottom w:val="nil"/>
              <w:right w:val="nil"/>
            </w:tcBorders>
            <w:vAlign w:val="bottom"/>
          </w:tcPr>
          <w:p w14:paraId="43BF4FE2" w14:textId="4219DCDD" w:rsidR="00802DBC" w:rsidRPr="00471CBA" w:rsidRDefault="00802DBC" w:rsidP="00F36B82">
            <w:pPr>
              <w:ind w:right="-55"/>
              <w:jc w:val="right"/>
              <w:rPr>
                <w:color w:val="000000"/>
                <w:sz w:val="16"/>
                <w:szCs w:val="16"/>
              </w:rPr>
            </w:pPr>
            <w:r w:rsidRPr="00471CBA">
              <w:rPr>
                <w:sz w:val="16"/>
                <w:szCs w:val="16"/>
              </w:rPr>
              <w:t>-</w:t>
            </w:r>
          </w:p>
        </w:tc>
        <w:tc>
          <w:tcPr>
            <w:tcW w:w="288" w:type="pct"/>
            <w:tcBorders>
              <w:top w:val="nil"/>
              <w:left w:val="nil"/>
              <w:bottom w:val="nil"/>
              <w:right w:val="nil"/>
            </w:tcBorders>
            <w:noWrap/>
            <w:vAlign w:val="bottom"/>
          </w:tcPr>
          <w:p w14:paraId="1D685E5B" w14:textId="6F42F1D0" w:rsidR="00802DBC" w:rsidRPr="00471CBA" w:rsidRDefault="00802DBC" w:rsidP="00F36B82">
            <w:pPr>
              <w:ind w:right="-55"/>
              <w:jc w:val="right"/>
              <w:rPr>
                <w:color w:val="000000"/>
                <w:sz w:val="16"/>
                <w:szCs w:val="16"/>
              </w:rPr>
            </w:pPr>
            <w:r w:rsidRPr="00471CBA">
              <w:rPr>
                <w:sz w:val="16"/>
                <w:szCs w:val="16"/>
              </w:rPr>
              <w:t>-</w:t>
            </w:r>
          </w:p>
        </w:tc>
        <w:tc>
          <w:tcPr>
            <w:tcW w:w="268" w:type="pct"/>
            <w:tcBorders>
              <w:top w:val="nil"/>
              <w:left w:val="nil"/>
              <w:bottom w:val="nil"/>
              <w:right w:val="nil"/>
            </w:tcBorders>
            <w:noWrap/>
            <w:vAlign w:val="bottom"/>
          </w:tcPr>
          <w:p w14:paraId="47F886F3" w14:textId="1BC12F3C" w:rsidR="00802DBC" w:rsidRPr="00471CBA" w:rsidRDefault="00802DBC" w:rsidP="00F36B82">
            <w:pPr>
              <w:ind w:right="-55"/>
              <w:jc w:val="right"/>
              <w:rPr>
                <w:color w:val="000000"/>
                <w:sz w:val="16"/>
                <w:szCs w:val="16"/>
              </w:rPr>
            </w:pPr>
            <w:r w:rsidRPr="00471CBA">
              <w:rPr>
                <w:sz w:val="16"/>
                <w:szCs w:val="16"/>
              </w:rPr>
              <w:t>-</w:t>
            </w:r>
          </w:p>
        </w:tc>
        <w:tc>
          <w:tcPr>
            <w:tcW w:w="349" w:type="pct"/>
            <w:tcBorders>
              <w:top w:val="nil"/>
              <w:left w:val="nil"/>
              <w:bottom w:val="nil"/>
              <w:right w:val="nil"/>
            </w:tcBorders>
            <w:noWrap/>
            <w:vAlign w:val="bottom"/>
          </w:tcPr>
          <w:p w14:paraId="245DF378" w14:textId="2571852C" w:rsidR="00802DBC" w:rsidRPr="00471CBA" w:rsidRDefault="00802DBC" w:rsidP="00F36B82">
            <w:pPr>
              <w:ind w:right="-55"/>
              <w:jc w:val="right"/>
              <w:rPr>
                <w:color w:val="000000"/>
                <w:sz w:val="16"/>
                <w:szCs w:val="16"/>
              </w:rPr>
            </w:pPr>
            <w:r w:rsidRPr="00471CBA">
              <w:rPr>
                <w:sz w:val="16"/>
                <w:szCs w:val="16"/>
              </w:rPr>
              <w:t>-</w:t>
            </w:r>
          </w:p>
        </w:tc>
        <w:tc>
          <w:tcPr>
            <w:tcW w:w="230" w:type="pct"/>
            <w:tcBorders>
              <w:top w:val="nil"/>
              <w:left w:val="nil"/>
              <w:bottom w:val="nil"/>
              <w:right w:val="nil"/>
            </w:tcBorders>
            <w:noWrap/>
            <w:vAlign w:val="bottom"/>
          </w:tcPr>
          <w:p w14:paraId="4351F83E" w14:textId="42A5BDB9" w:rsidR="00802DBC" w:rsidRPr="00471CBA" w:rsidRDefault="00802DBC" w:rsidP="00F36B82">
            <w:pPr>
              <w:ind w:right="-55"/>
              <w:jc w:val="right"/>
              <w:rPr>
                <w:color w:val="000000"/>
                <w:sz w:val="16"/>
                <w:szCs w:val="16"/>
              </w:rPr>
            </w:pPr>
            <w:r w:rsidRPr="00471CBA">
              <w:rPr>
                <w:sz w:val="16"/>
                <w:szCs w:val="16"/>
              </w:rPr>
              <w:t>-</w:t>
            </w:r>
          </w:p>
        </w:tc>
        <w:tc>
          <w:tcPr>
            <w:tcW w:w="230" w:type="pct"/>
            <w:tcBorders>
              <w:top w:val="nil"/>
              <w:left w:val="nil"/>
              <w:bottom w:val="nil"/>
              <w:right w:val="nil"/>
            </w:tcBorders>
            <w:noWrap/>
            <w:vAlign w:val="bottom"/>
          </w:tcPr>
          <w:p w14:paraId="3AAD3E76" w14:textId="32DDE34F" w:rsidR="00802DBC" w:rsidRPr="00471CBA" w:rsidRDefault="00802DBC" w:rsidP="00F36B82">
            <w:pPr>
              <w:ind w:right="-55"/>
              <w:jc w:val="right"/>
              <w:rPr>
                <w:color w:val="000000"/>
                <w:sz w:val="16"/>
                <w:szCs w:val="16"/>
              </w:rPr>
            </w:pPr>
            <w:r w:rsidRPr="00471CBA">
              <w:rPr>
                <w:sz w:val="16"/>
                <w:szCs w:val="16"/>
              </w:rPr>
              <w:t>-</w:t>
            </w:r>
          </w:p>
        </w:tc>
        <w:tc>
          <w:tcPr>
            <w:tcW w:w="353" w:type="pct"/>
            <w:tcBorders>
              <w:top w:val="nil"/>
              <w:left w:val="nil"/>
              <w:bottom w:val="nil"/>
              <w:right w:val="nil"/>
            </w:tcBorders>
            <w:noWrap/>
            <w:vAlign w:val="bottom"/>
          </w:tcPr>
          <w:p w14:paraId="234209D7" w14:textId="379DD21F" w:rsidR="00802DBC" w:rsidRPr="00471CBA" w:rsidRDefault="00802DBC" w:rsidP="00F36B82">
            <w:pPr>
              <w:ind w:right="-55"/>
              <w:jc w:val="right"/>
              <w:rPr>
                <w:color w:val="000000"/>
                <w:sz w:val="16"/>
                <w:szCs w:val="16"/>
              </w:rPr>
            </w:pPr>
            <w:r w:rsidRPr="00471CBA">
              <w:rPr>
                <w:sz w:val="16"/>
                <w:szCs w:val="16"/>
              </w:rPr>
              <w:t>-</w:t>
            </w:r>
          </w:p>
        </w:tc>
        <w:tc>
          <w:tcPr>
            <w:tcW w:w="349" w:type="pct"/>
            <w:tcBorders>
              <w:top w:val="nil"/>
              <w:left w:val="nil"/>
              <w:bottom w:val="nil"/>
              <w:right w:val="nil"/>
            </w:tcBorders>
            <w:noWrap/>
            <w:vAlign w:val="bottom"/>
          </w:tcPr>
          <w:p w14:paraId="37802FD5" w14:textId="642E93A7" w:rsidR="00802DBC" w:rsidRPr="00471CBA" w:rsidRDefault="00802DBC" w:rsidP="00F36B82">
            <w:pPr>
              <w:ind w:right="-55"/>
              <w:jc w:val="right"/>
              <w:rPr>
                <w:color w:val="000000"/>
                <w:sz w:val="16"/>
                <w:szCs w:val="16"/>
              </w:rPr>
            </w:pPr>
            <w:r w:rsidRPr="00471CBA">
              <w:rPr>
                <w:sz w:val="16"/>
                <w:szCs w:val="16"/>
              </w:rPr>
              <w:t>-</w:t>
            </w:r>
          </w:p>
        </w:tc>
      </w:tr>
      <w:tr w:rsidR="00802DBC" w:rsidRPr="00471CBA" w14:paraId="5E09E532" w14:textId="77777777" w:rsidTr="00F36B82">
        <w:trPr>
          <w:trHeight w:val="170"/>
        </w:trPr>
        <w:tc>
          <w:tcPr>
            <w:tcW w:w="278" w:type="pct"/>
            <w:noWrap/>
            <w:hideMark/>
          </w:tcPr>
          <w:p w14:paraId="66C38FF4" w14:textId="77777777" w:rsidR="00802DBC" w:rsidRPr="00471CBA" w:rsidRDefault="00802DBC" w:rsidP="00B04479">
            <w:pPr>
              <w:rPr>
                <w:sz w:val="16"/>
                <w:szCs w:val="16"/>
              </w:rPr>
            </w:pPr>
            <w:r w:rsidRPr="00471CBA">
              <w:rPr>
                <w:sz w:val="16"/>
                <w:szCs w:val="16"/>
              </w:rPr>
              <w:t>13</w:t>
            </w:r>
          </w:p>
        </w:tc>
        <w:tc>
          <w:tcPr>
            <w:tcW w:w="918" w:type="pct"/>
            <w:vAlign w:val="bottom"/>
            <w:hideMark/>
          </w:tcPr>
          <w:p w14:paraId="7776747B" w14:textId="77777777" w:rsidR="00802DBC" w:rsidRPr="00471CBA" w:rsidRDefault="00802DBC" w:rsidP="00B04479">
            <w:pPr>
              <w:contextualSpacing/>
              <w:rPr>
                <w:sz w:val="16"/>
                <w:szCs w:val="16"/>
              </w:rPr>
            </w:pPr>
            <w:r w:rsidRPr="00471CBA">
              <w:rPr>
                <w:sz w:val="16"/>
                <w:szCs w:val="16"/>
              </w:rPr>
              <w:t>Teminatlı menkul kıymetler</w:t>
            </w:r>
          </w:p>
        </w:tc>
        <w:tc>
          <w:tcPr>
            <w:tcW w:w="319" w:type="pct"/>
            <w:tcBorders>
              <w:top w:val="nil"/>
              <w:left w:val="nil"/>
              <w:bottom w:val="nil"/>
              <w:right w:val="nil"/>
            </w:tcBorders>
            <w:noWrap/>
            <w:vAlign w:val="bottom"/>
          </w:tcPr>
          <w:p w14:paraId="165F81A8" w14:textId="52547434" w:rsidR="00802DBC" w:rsidRPr="00471CBA" w:rsidRDefault="00802DBC" w:rsidP="00F36B82">
            <w:pPr>
              <w:ind w:right="-55"/>
              <w:jc w:val="right"/>
              <w:rPr>
                <w:color w:val="000000"/>
                <w:sz w:val="16"/>
                <w:szCs w:val="16"/>
              </w:rPr>
            </w:pPr>
            <w:r w:rsidRPr="00471CBA">
              <w:rPr>
                <w:sz w:val="16"/>
                <w:szCs w:val="16"/>
              </w:rPr>
              <w:t>-</w:t>
            </w:r>
          </w:p>
        </w:tc>
        <w:tc>
          <w:tcPr>
            <w:tcW w:w="253" w:type="pct"/>
            <w:tcBorders>
              <w:top w:val="nil"/>
              <w:left w:val="nil"/>
              <w:bottom w:val="nil"/>
              <w:right w:val="nil"/>
            </w:tcBorders>
            <w:noWrap/>
            <w:vAlign w:val="bottom"/>
          </w:tcPr>
          <w:p w14:paraId="68FDBDF4" w14:textId="0DE7A91B" w:rsidR="00802DBC" w:rsidRPr="00471CBA" w:rsidRDefault="00802DBC" w:rsidP="00F36B82">
            <w:pPr>
              <w:ind w:right="-55"/>
              <w:jc w:val="right"/>
              <w:rPr>
                <w:color w:val="000000"/>
                <w:sz w:val="16"/>
                <w:szCs w:val="16"/>
              </w:rPr>
            </w:pPr>
            <w:r w:rsidRPr="00471CBA">
              <w:rPr>
                <w:sz w:val="16"/>
                <w:szCs w:val="16"/>
              </w:rPr>
              <w:t>-</w:t>
            </w:r>
          </w:p>
        </w:tc>
        <w:tc>
          <w:tcPr>
            <w:tcW w:w="319" w:type="pct"/>
            <w:tcBorders>
              <w:top w:val="nil"/>
              <w:left w:val="nil"/>
              <w:bottom w:val="nil"/>
              <w:right w:val="nil"/>
            </w:tcBorders>
            <w:noWrap/>
            <w:vAlign w:val="bottom"/>
          </w:tcPr>
          <w:p w14:paraId="696D351F" w14:textId="77E4C288" w:rsidR="00802DBC" w:rsidRPr="00471CBA" w:rsidRDefault="00802DBC" w:rsidP="00F36B82">
            <w:pPr>
              <w:ind w:right="-55"/>
              <w:jc w:val="right"/>
              <w:rPr>
                <w:color w:val="000000"/>
                <w:sz w:val="16"/>
                <w:szCs w:val="16"/>
              </w:rPr>
            </w:pPr>
            <w:r w:rsidRPr="00471CBA">
              <w:rPr>
                <w:sz w:val="16"/>
                <w:szCs w:val="16"/>
              </w:rPr>
              <w:t>-</w:t>
            </w:r>
          </w:p>
        </w:tc>
        <w:tc>
          <w:tcPr>
            <w:tcW w:w="247" w:type="pct"/>
            <w:tcBorders>
              <w:top w:val="nil"/>
              <w:left w:val="nil"/>
              <w:bottom w:val="nil"/>
              <w:right w:val="nil"/>
            </w:tcBorders>
            <w:vAlign w:val="bottom"/>
          </w:tcPr>
          <w:p w14:paraId="1D9BCD4A" w14:textId="2C8C97EC" w:rsidR="00802DBC" w:rsidRPr="00471CBA" w:rsidRDefault="00802DBC" w:rsidP="00F36B82">
            <w:pPr>
              <w:ind w:right="-55"/>
              <w:jc w:val="right"/>
              <w:rPr>
                <w:color w:val="000000"/>
                <w:sz w:val="16"/>
                <w:szCs w:val="16"/>
              </w:rPr>
            </w:pPr>
            <w:r w:rsidRPr="00471CBA">
              <w:rPr>
                <w:sz w:val="16"/>
                <w:szCs w:val="16"/>
              </w:rPr>
              <w:t>-</w:t>
            </w:r>
          </w:p>
        </w:tc>
        <w:tc>
          <w:tcPr>
            <w:tcW w:w="599" w:type="pct"/>
            <w:tcBorders>
              <w:top w:val="nil"/>
              <w:left w:val="nil"/>
              <w:bottom w:val="nil"/>
              <w:right w:val="nil"/>
            </w:tcBorders>
            <w:vAlign w:val="bottom"/>
          </w:tcPr>
          <w:p w14:paraId="7D1F605A" w14:textId="11E24C42" w:rsidR="00802DBC" w:rsidRPr="00471CBA" w:rsidRDefault="00802DBC" w:rsidP="00F36B82">
            <w:pPr>
              <w:ind w:right="-55"/>
              <w:jc w:val="right"/>
              <w:rPr>
                <w:color w:val="000000"/>
                <w:sz w:val="16"/>
                <w:szCs w:val="16"/>
              </w:rPr>
            </w:pPr>
            <w:r w:rsidRPr="00471CBA">
              <w:rPr>
                <w:sz w:val="16"/>
                <w:szCs w:val="16"/>
              </w:rPr>
              <w:t>-</w:t>
            </w:r>
          </w:p>
        </w:tc>
        <w:tc>
          <w:tcPr>
            <w:tcW w:w="288" w:type="pct"/>
            <w:tcBorders>
              <w:top w:val="nil"/>
              <w:left w:val="nil"/>
              <w:bottom w:val="nil"/>
              <w:right w:val="nil"/>
            </w:tcBorders>
            <w:noWrap/>
            <w:vAlign w:val="bottom"/>
          </w:tcPr>
          <w:p w14:paraId="37C0600C" w14:textId="21103214" w:rsidR="00802DBC" w:rsidRPr="00471CBA" w:rsidRDefault="00802DBC" w:rsidP="00F36B82">
            <w:pPr>
              <w:ind w:right="-55"/>
              <w:jc w:val="right"/>
              <w:rPr>
                <w:color w:val="000000"/>
                <w:sz w:val="16"/>
                <w:szCs w:val="16"/>
              </w:rPr>
            </w:pPr>
            <w:r w:rsidRPr="00471CBA">
              <w:rPr>
                <w:sz w:val="16"/>
                <w:szCs w:val="16"/>
              </w:rPr>
              <w:t>-</w:t>
            </w:r>
          </w:p>
        </w:tc>
        <w:tc>
          <w:tcPr>
            <w:tcW w:w="268" w:type="pct"/>
            <w:tcBorders>
              <w:top w:val="nil"/>
              <w:left w:val="nil"/>
              <w:bottom w:val="nil"/>
              <w:right w:val="nil"/>
            </w:tcBorders>
            <w:noWrap/>
            <w:vAlign w:val="bottom"/>
          </w:tcPr>
          <w:p w14:paraId="6A316FDE" w14:textId="7DC78CBC" w:rsidR="00802DBC" w:rsidRPr="00471CBA" w:rsidRDefault="00802DBC" w:rsidP="00F36B82">
            <w:pPr>
              <w:ind w:right="-55"/>
              <w:jc w:val="right"/>
              <w:rPr>
                <w:color w:val="000000"/>
                <w:sz w:val="16"/>
                <w:szCs w:val="16"/>
              </w:rPr>
            </w:pPr>
            <w:r w:rsidRPr="00471CBA">
              <w:rPr>
                <w:sz w:val="16"/>
                <w:szCs w:val="16"/>
              </w:rPr>
              <w:t>-</w:t>
            </w:r>
          </w:p>
        </w:tc>
        <w:tc>
          <w:tcPr>
            <w:tcW w:w="349" w:type="pct"/>
            <w:tcBorders>
              <w:top w:val="nil"/>
              <w:left w:val="nil"/>
              <w:bottom w:val="nil"/>
              <w:right w:val="nil"/>
            </w:tcBorders>
            <w:noWrap/>
            <w:vAlign w:val="bottom"/>
          </w:tcPr>
          <w:p w14:paraId="059D8ABE" w14:textId="1C051B14" w:rsidR="00802DBC" w:rsidRPr="00471CBA" w:rsidRDefault="00802DBC" w:rsidP="00F36B82">
            <w:pPr>
              <w:ind w:right="-55"/>
              <w:jc w:val="right"/>
              <w:rPr>
                <w:color w:val="000000"/>
                <w:sz w:val="16"/>
                <w:szCs w:val="16"/>
              </w:rPr>
            </w:pPr>
            <w:r w:rsidRPr="00471CBA">
              <w:rPr>
                <w:sz w:val="16"/>
                <w:szCs w:val="16"/>
              </w:rPr>
              <w:t>-</w:t>
            </w:r>
          </w:p>
        </w:tc>
        <w:tc>
          <w:tcPr>
            <w:tcW w:w="230" w:type="pct"/>
            <w:tcBorders>
              <w:top w:val="nil"/>
              <w:left w:val="nil"/>
              <w:bottom w:val="nil"/>
              <w:right w:val="nil"/>
            </w:tcBorders>
            <w:noWrap/>
            <w:vAlign w:val="bottom"/>
          </w:tcPr>
          <w:p w14:paraId="07E04E81" w14:textId="2DD2AC5A" w:rsidR="00802DBC" w:rsidRPr="00471CBA" w:rsidRDefault="00802DBC" w:rsidP="00F36B82">
            <w:pPr>
              <w:ind w:right="-55"/>
              <w:jc w:val="right"/>
              <w:rPr>
                <w:color w:val="000000"/>
                <w:sz w:val="16"/>
                <w:szCs w:val="16"/>
              </w:rPr>
            </w:pPr>
            <w:r w:rsidRPr="00471CBA">
              <w:rPr>
                <w:sz w:val="16"/>
                <w:szCs w:val="16"/>
              </w:rPr>
              <w:t>-</w:t>
            </w:r>
          </w:p>
        </w:tc>
        <w:tc>
          <w:tcPr>
            <w:tcW w:w="230" w:type="pct"/>
            <w:tcBorders>
              <w:top w:val="nil"/>
              <w:left w:val="nil"/>
              <w:bottom w:val="nil"/>
              <w:right w:val="nil"/>
            </w:tcBorders>
            <w:noWrap/>
            <w:vAlign w:val="bottom"/>
          </w:tcPr>
          <w:p w14:paraId="4330562C" w14:textId="3306ED03" w:rsidR="00802DBC" w:rsidRPr="00471CBA" w:rsidRDefault="00802DBC" w:rsidP="00F36B82">
            <w:pPr>
              <w:ind w:right="-55"/>
              <w:jc w:val="right"/>
              <w:rPr>
                <w:color w:val="000000"/>
                <w:sz w:val="16"/>
                <w:szCs w:val="16"/>
              </w:rPr>
            </w:pPr>
            <w:r w:rsidRPr="00471CBA">
              <w:rPr>
                <w:sz w:val="16"/>
                <w:szCs w:val="16"/>
              </w:rPr>
              <w:t>-</w:t>
            </w:r>
          </w:p>
        </w:tc>
        <w:tc>
          <w:tcPr>
            <w:tcW w:w="353" w:type="pct"/>
            <w:tcBorders>
              <w:top w:val="nil"/>
              <w:left w:val="nil"/>
              <w:bottom w:val="nil"/>
              <w:right w:val="nil"/>
            </w:tcBorders>
            <w:noWrap/>
            <w:vAlign w:val="bottom"/>
          </w:tcPr>
          <w:p w14:paraId="3066AF60" w14:textId="685A3145" w:rsidR="00802DBC" w:rsidRPr="00471CBA" w:rsidRDefault="00802DBC" w:rsidP="00F36B82">
            <w:pPr>
              <w:ind w:right="-55"/>
              <w:jc w:val="right"/>
              <w:rPr>
                <w:color w:val="000000"/>
                <w:sz w:val="16"/>
                <w:szCs w:val="16"/>
              </w:rPr>
            </w:pPr>
            <w:r w:rsidRPr="00471CBA">
              <w:rPr>
                <w:sz w:val="16"/>
                <w:szCs w:val="16"/>
              </w:rPr>
              <w:t>-</w:t>
            </w:r>
          </w:p>
        </w:tc>
        <w:tc>
          <w:tcPr>
            <w:tcW w:w="349" w:type="pct"/>
            <w:tcBorders>
              <w:top w:val="nil"/>
              <w:left w:val="nil"/>
              <w:bottom w:val="nil"/>
              <w:right w:val="nil"/>
            </w:tcBorders>
            <w:noWrap/>
            <w:vAlign w:val="bottom"/>
          </w:tcPr>
          <w:p w14:paraId="6E62C419" w14:textId="7A2C22C2" w:rsidR="00802DBC" w:rsidRPr="00471CBA" w:rsidRDefault="00802DBC" w:rsidP="00F36B82">
            <w:pPr>
              <w:ind w:right="-55"/>
              <w:jc w:val="right"/>
              <w:rPr>
                <w:color w:val="000000"/>
                <w:sz w:val="16"/>
                <w:szCs w:val="16"/>
              </w:rPr>
            </w:pPr>
            <w:r w:rsidRPr="00471CBA">
              <w:rPr>
                <w:sz w:val="16"/>
                <w:szCs w:val="16"/>
              </w:rPr>
              <w:t>-</w:t>
            </w:r>
          </w:p>
        </w:tc>
      </w:tr>
      <w:tr w:rsidR="00802DBC" w:rsidRPr="00471CBA" w14:paraId="68316167" w14:textId="77777777" w:rsidTr="00F36B82">
        <w:trPr>
          <w:trHeight w:val="170"/>
        </w:trPr>
        <w:tc>
          <w:tcPr>
            <w:tcW w:w="278" w:type="pct"/>
            <w:noWrap/>
            <w:hideMark/>
          </w:tcPr>
          <w:p w14:paraId="3CAAA195" w14:textId="77777777" w:rsidR="00802DBC" w:rsidRPr="00471CBA" w:rsidRDefault="00802DBC" w:rsidP="00B04479">
            <w:pPr>
              <w:rPr>
                <w:sz w:val="16"/>
                <w:szCs w:val="16"/>
              </w:rPr>
            </w:pPr>
            <w:r w:rsidRPr="00471CBA">
              <w:rPr>
                <w:sz w:val="16"/>
                <w:szCs w:val="16"/>
              </w:rPr>
              <w:t>14</w:t>
            </w:r>
          </w:p>
        </w:tc>
        <w:tc>
          <w:tcPr>
            <w:tcW w:w="918" w:type="pct"/>
            <w:vAlign w:val="bottom"/>
            <w:hideMark/>
          </w:tcPr>
          <w:p w14:paraId="7905929D" w14:textId="77777777" w:rsidR="00802DBC" w:rsidRPr="00471CBA" w:rsidRDefault="00802DBC" w:rsidP="00B04479">
            <w:pPr>
              <w:contextualSpacing/>
              <w:rPr>
                <w:sz w:val="16"/>
                <w:szCs w:val="16"/>
              </w:rPr>
            </w:pPr>
            <w:r w:rsidRPr="00471CBA">
              <w:rPr>
                <w:sz w:val="16"/>
                <w:szCs w:val="16"/>
              </w:rPr>
              <w:t>Bankalardan ve aracı kurumlardan olan kısa vadeli alacaklar ile kısa vadeli kurumsal alacaklar</w:t>
            </w:r>
          </w:p>
        </w:tc>
        <w:tc>
          <w:tcPr>
            <w:tcW w:w="319" w:type="pct"/>
            <w:tcBorders>
              <w:top w:val="nil"/>
              <w:left w:val="nil"/>
              <w:bottom w:val="nil"/>
              <w:right w:val="nil"/>
            </w:tcBorders>
            <w:noWrap/>
            <w:vAlign w:val="bottom"/>
          </w:tcPr>
          <w:p w14:paraId="65D687CB" w14:textId="1563BD6A" w:rsidR="00802DBC" w:rsidRPr="00471CBA" w:rsidRDefault="00802DBC" w:rsidP="00F36B82">
            <w:pPr>
              <w:ind w:right="-55"/>
              <w:jc w:val="right"/>
              <w:rPr>
                <w:color w:val="000000"/>
                <w:sz w:val="16"/>
                <w:szCs w:val="16"/>
              </w:rPr>
            </w:pPr>
            <w:r w:rsidRPr="00471CBA">
              <w:rPr>
                <w:sz w:val="16"/>
                <w:szCs w:val="16"/>
              </w:rPr>
              <w:t>-</w:t>
            </w:r>
          </w:p>
        </w:tc>
        <w:tc>
          <w:tcPr>
            <w:tcW w:w="253" w:type="pct"/>
            <w:tcBorders>
              <w:top w:val="nil"/>
              <w:left w:val="nil"/>
              <w:bottom w:val="nil"/>
              <w:right w:val="nil"/>
            </w:tcBorders>
            <w:noWrap/>
            <w:vAlign w:val="bottom"/>
          </w:tcPr>
          <w:p w14:paraId="72247333" w14:textId="2268C848" w:rsidR="00802DBC" w:rsidRPr="00471CBA" w:rsidRDefault="00802DBC" w:rsidP="00F36B82">
            <w:pPr>
              <w:ind w:right="-55"/>
              <w:jc w:val="right"/>
              <w:rPr>
                <w:color w:val="000000"/>
                <w:sz w:val="16"/>
                <w:szCs w:val="16"/>
              </w:rPr>
            </w:pPr>
            <w:r w:rsidRPr="00471CBA">
              <w:rPr>
                <w:sz w:val="16"/>
                <w:szCs w:val="16"/>
              </w:rPr>
              <w:t>-</w:t>
            </w:r>
          </w:p>
        </w:tc>
        <w:tc>
          <w:tcPr>
            <w:tcW w:w="319" w:type="pct"/>
            <w:tcBorders>
              <w:top w:val="nil"/>
              <w:left w:val="nil"/>
              <w:bottom w:val="nil"/>
              <w:right w:val="nil"/>
            </w:tcBorders>
            <w:noWrap/>
            <w:vAlign w:val="bottom"/>
          </w:tcPr>
          <w:p w14:paraId="7B64606A" w14:textId="0BF9B20C" w:rsidR="00802DBC" w:rsidRPr="00471CBA" w:rsidRDefault="00802DBC" w:rsidP="00F36B82">
            <w:pPr>
              <w:ind w:right="-55"/>
              <w:jc w:val="right"/>
              <w:rPr>
                <w:color w:val="000000"/>
                <w:sz w:val="16"/>
                <w:szCs w:val="16"/>
              </w:rPr>
            </w:pPr>
            <w:r w:rsidRPr="00471CBA">
              <w:rPr>
                <w:sz w:val="16"/>
                <w:szCs w:val="16"/>
              </w:rPr>
              <w:t>-</w:t>
            </w:r>
          </w:p>
        </w:tc>
        <w:tc>
          <w:tcPr>
            <w:tcW w:w="247" w:type="pct"/>
            <w:tcBorders>
              <w:top w:val="nil"/>
              <w:left w:val="nil"/>
              <w:bottom w:val="nil"/>
              <w:right w:val="nil"/>
            </w:tcBorders>
            <w:vAlign w:val="bottom"/>
          </w:tcPr>
          <w:p w14:paraId="54D3AA22" w14:textId="2334EEC1" w:rsidR="00802DBC" w:rsidRPr="00471CBA" w:rsidRDefault="00802DBC" w:rsidP="00F36B82">
            <w:pPr>
              <w:ind w:right="-55"/>
              <w:jc w:val="right"/>
              <w:rPr>
                <w:color w:val="000000"/>
                <w:sz w:val="16"/>
                <w:szCs w:val="16"/>
              </w:rPr>
            </w:pPr>
            <w:r w:rsidRPr="00471CBA">
              <w:rPr>
                <w:sz w:val="16"/>
                <w:szCs w:val="16"/>
              </w:rPr>
              <w:t>-</w:t>
            </w:r>
          </w:p>
        </w:tc>
        <w:tc>
          <w:tcPr>
            <w:tcW w:w="599" w:type="pct"/>
            <w:tcBorders>
              <w:top w:val="nil"/>
              <w:left w:val="nil"/>
              <w:bottom w:val="nil"/>
              <w:right w:val="nil"/>
            </w:tcBorders>
            <w:vAlign w:val="bottom"/>
          </w:tcPr>
          <w:p w14:paraId="5732BC48" w14:textId="7293E2D7" w:rsidR="00802DBC" w:rsidRPr="00471CBA" w:rsidRDefault="00802DBC" w:rsidP="00F36B82">
            <w:pPr>
              <w:ind w:right="-55"/>
              <w:jc w:val="right"/>
              <w:rPr>
                <w:color w:val="000000"/>
                <w:sz w:val="16"/>
                <w:szCs w:val="16"/>
              </w:rPr>
            </w:pPr>
            <w:r w:rsidRPr="00471CBA">
              <w:rPr>
                <w:sz w:val="16"/>
                <w:szCs w:val="16"/>
              </w:rPr>
              <w:t>-</w:t>
            </w:r>
          </w:p>
        </w:tc>
        <w:tc>
          <w:tcPr>
            <w:tcW w:w="288" w:type="pct"/>
            <w:tcBorders>
              <w:top w:val="nil"/>
              <w:left w:val="nil"/>
              <w:bottom w:val="nil"/>
              <w:right w:val="nil"/>
            </w:tcBorders>
            <w:noWrap/>
            <w:vAlign w:val="bottom"/>
          </w:tcPr>
          <w:p w14:paraId="506DFF81" w14:textId="738D09DA" w:rsidR="00802DBC" w:rsidRPr="00471CBA" w:rsidRDefault="00802DBC" w:rsidP="00F36B82">
            <w:pPr>
              <w:ind w:right="-55"/>
              <w:jc w:val="right"/>
              <w:rPr>
                <w:color w:val="000000"/>
                <w:sz w:val="16"/>
                <w:szCs w:val="16"/>
              </w:rPr>
            </w:pPr>
            <w:r w:rsidRPr="00471CBA">
              <w:rPr>
                <w:sz w:val="16"/>
                <w:szCs w:val="16"/>
              </w:rPr>
              <w:t>-</w:t>
            </w:r>
          </w:p>
        </w:tc>
        <w:tc>
          <w:tcPr>
            <w:tcW w:w="268" w:type="pct"/>
            <w:tcBorders>
              <w:top w:val="nil"/>
              <w:left w:val="nil"/>
              <w:bottom w:val="nil"/>
              <w:right w:val="nil"/>
            </w:tcBorders>
            <w:noWrap/>
            <w:vAlign w:val="bottom"/>
          </w:tcPr>
          <w:p w14:paraId="26EFE08A" w14:textId="535960A9" w:rsidR="00802DBC" w:rsidRPr="00471CBA" w:rsidRDefault="00802DBC" w:rsidP="00F36B82">
            <w:pPr>
              <w:ind w:right="-55"/>
              <w:jc w:val="right"/>
              <w:rPr>
                <w:color w:val="000000"/>
                <w:sz w:val="16"/>
                <w:szCs w:val="16"/>
              </w:rPr>
            </w:pPr>
            <w:r w:rsidRPr="00471CBA">
              <w:rPr>
                <w:sz w:val="16"/>
                <w:szCs w:val="16"/>
              </w:rPr>
              <w:t>-</w:t>
            </w:r>
          </w:p>
        </w:tc>
        <w:tc>
          <w:tcPr>
            <w:tcW w:w="349" w:type="pct"/>
            <w:tcBorders>
              <w:top w:val="nil"/>
              <w:left w:val="nil"/>
              <w:bottom w:val="nil"/>
              <w:right w:val="nil"/>
            </w:tcBorders>
            <w:noWrap/>
            <w:vAlign w:val="bottom"/>
          </w:tcPr>
          <w:p w14:paraId="5B85DE74" w14:textId="2EE83165" w:rsidR="00802DBC" w:rsidRPr="00471CBA" w:rsidRDefault="00802DBC" w:rsidP="00F36B82">
            <w:pPr>
              <w:ind w:right="-55"/>
              <w:jc w:val="right"/>
              <w:rPr>
                <w:color w:val="000000"/>
                <w:sz w:val="16"/>
                <w:szCs w:val="16"/>
              </w:rPr>
            </w:pPr>
            <w:r w:rsidRPr="00471CBA">
              <w:rPr>
                <w:sz w:val="16"/>
                <w:szCs w:val="16"/>
              </w:rPr>
              <w:t>-</w:t>
            </w:r>
          </w:p>
        </w:tc>
        <w:tc>
          <w:tcPr>
            <w:tcW w:w="230" w:type="pct"/>
            <w:tcBorders>
              <w:top w:val="nil"/>
              <w:left w:val="nil"/>
              <w:bottom w:val="nil"/>
              <w:right w:val="nil"/>
            </w:tcBorders>
            <w:noWrap/>
            <w:vAlign w:val="bottom"/>
          </w:tcPr>
          <w:p w14:paraId="39B3FD8E" w14:textId="67BCBFC7" w:rsidR="00802DBC" w:rsidRPr="00471CBA" w:rsidRDefault="00802DBC" w:rsidP="00F36B82">
            <w:pPr>
              <w:ind w:right="-55"/>
              <w:jc w:val="right"/>
              <w:rPr>
                <w:color w:val="000000"/>
                <w:sz w:val="16"/>
                <w:szCs w:val="16"/>
              </w:rPr>
            </w:pPr>
            <w:r w:rsidRPr="00471CBA">
              <w:rPr>
                <w:sz w:val="16"/>
                <w:szCs w:val="16"/>
              </w:rPr>
              <w:t>-</w:t>
            </w:r>
          </w:p>
        </w:tc>
        <w:tc>
          <w:tcPr>
            <w:tcW w:w="230" w:type="pct"/>
            <w:tcBorders>
              <w:top w:val="nil"/>
              <w:left w:val="nil"/>
              <w:bottom w:val="nil"/>
              <w:right w:val="nil"/>
            </w:tcBorders>
            <w:noWrap/>
            <w:vAlign w:val="bottom"/>
          </w:tcPr>
          <w:p w14:paraId="4912FC43" w14:textId="21DE3D02" w:rsidR="00802DBC" w:rsidRPr="00471CBA" w:rsidRDefault="00802DBC" w:rsidP="00F36B82">
            <w:pPr>
              <w:ind w:right="-55"/>
              <w:jc w:val="right"/>
              <w:rPr>
                <w:color w:val="000000"/>
                <w:sz w:val="16"/>
                <w:szCs w:val="16"/>
              </w:rPr>
            </w:pPr>
            <w:r w:rsidRPr="00471CBA">
              <w:rPr>
                <w:sz w:val="16"/>
                <w:szCs w:val="16"/>
              </w:rPr>
              <w:t>-</w:t>
            </w:r>
          </w:p>
        </w:tc>
        <w:tc>
          <w:tcPr>
            <w:tcW w:w="353" w:type="pct"/>
            <w:tcBorders>
              <w:top w:val="nil"/>
              <w:left w:val="nil"/>
              <w:bottom w:val="nil"/>
              <w:right w:val="nil"/>
            </w:tcBorders>
            <w:noWrap/>
            <w:vAlign w:val="bottom"/>
          </w:tcPr>
          <w:p w14:paraId="786481B5" w14:textId="0F032BA3" w:rsidR="00802DBC" w:rsidRPr="00471CBA" w:rsidRDefault="00802DBC" w:rsidP="00F36B82">
            <w:pPr>
              <w:ind w:right="-55"/>
              <w:jc w:val="right"/>
              <w:rPr>
                <w:color w:val="000000"/>
                <w:sz w:val="16"/>
                <w:szCs w:val="16"/>
              </w:rPr>
            </w:pPr>
            <w:r w:rsidRPr="00471CBA">
              <w:rPr>
                <w:sz w:val="16"/>
                <w:szCs w:val="16"/>
              </w:rPr>
              <w:t>-</w:t>
            </w:r>
          </w:p>
        </w:tc>
        <w:tc>
          <w:tcPr>
            <w:tcW w:w="349" w:type="pct"/>
            <w:tcBorders>
              <w:top w:val="nil"/>
              <w:left w:val="nil"/>
              <w:bottom w:val="nil"/>
              <w:right w:val="nil"/>
            </w:tcBorders>
            <w:noWrap/>
            <w:vAlign w:val="bottom"/>
          </w:tcPr>
          <w:p w14:paraId="42D1081F" w14:textId="30BC4E2C" w:rsidR="00802DBC" w:rsidRPr="00471CBA" w:rsidRDefault="00802DBC" w:rsidP="00F36B82">
            <w:pPr>
              <w:ind w:right="-55"/>
              <w:jc w:val="right"/>
              <w:rPr>
                <w:color w:val="000000"/>
                <w:sz w:val="16"/>
                <w:szCs w:val="16"/>
              </w:rPr>
            </w:pPr>
            <w:r w:rsidRPr="00471CBA">
              <w:rPr>
                <w:sz w:val="16"/>
                <w:szCs w:val="16"/>
              </w:rPr>
              <w:t>-</w:t>
            </w:r>
          </w:p>
        </w:tc>
      </w:tr>
      <w:tr w:rsidR="00802DBC" w:rsidRPr="00471CBA" w14:paraId="3A7FC9EF" w14:textId="77777777" w:rsidTr="00F36B82">
        <w:trPr>
          <w:trHeight w:val="170"/>
        </w:trPr>
        <w:tc>
          <w:tcPr>
            <w:tcW w:w="278" w:type="pct"/>
            <w:noWrap/>
            <w:hideMark/>
          </w:tcPr>
          <w:p w14:paraId="4972ABF2" w14:textId="77777777" w:rsidR="00802DBC" w:rsidRPr="00471CBA" w:rsidRDefault="00802DBC" w:rsidP="00B04479">
            <w:pPr>
              <w:rPr>
                <w:sz w:val="16"/>
                <w:szCs w:val="16"/>
              </w:rPr>
            </w:pPr>
            <w:r w:rsidRPr="00471CBA">
              <w:rPr>
                <w:sz w:val="16"/>
                <w:szCs w:val="16"/>
              </w:rPr>
              <w:t>15</w:t>
            </w:r>
          </w:p>
        </w:tc>
        <w:tc>
          <w:tcPr>
            <w:tcW w:w="918" w:type="pct"/>
            <w:vAlign w:val="bottom"/>
            <w:hideMark/>
          </w:tcPr>
          <w:p w14:paraId="4F3B4299" w14:textId="77777777" w:rsidR="00802DBC" w:rsidRPr="00471CBA" w:rsidRDefault="00802DBC" w:rsidP="00B04479">
            <w:pPr>
              <w:contextualSpacing/>
              <w:rPr>
                <w:sz w:val="16"/>
                <w:szCs w:val="16"/>
              </w:rPr>
            </w:pPr>
            <w:r w:rsidRPr="00471CBA">
              <w:rPr>
                <w:sz w:val="16"/>
                <w:szCs w:val="16"/>
              </w:rPr>
              <w:t>Kolektif yatırım kuruluşu niteliğindeki yatırımlar</w:t>
            </w:r>
          </w:p>
        </w:tc>
        <w:tc>
          <w:tcPr>
            <w:tcW w:w="319" w:type="pct"/>
            <w:tcBorders>
              <w:top w:val="nil"/>
              <w:left w:val="nil"/>
              <w:bottom w:val="nil"/>
              <w:right w:val="nil"/>
            </w:tcBorders>
            <w:noWrap/>
            <w:vAlign w:val="bottom"/>
          </w:tcPr>
          <w:p w14:paraId="2F76BFB3" w14:textId="4BBA4621" w:rsidR="00802DBC" w:rsidRPr="00471CBA" w:rsidRDefault="00802DBC" w:rsidP="00F36B82">
            <w:pPr>
              <w:ind w:right="-55"/>
              <w:jc w:val="right"/>
              <w:rPr>
                <w:color w:val="000000"/>
                <w:sz w:val="16"/>
                <w:szCs w:val="16"/>
              </w:rPr>
            </w:pPr>
            <w:r w:rsidRPr="00471CBA">
              <w:rPr>
                <w:sz w:val="16"/>
                <w:szCs w:val="16"/>
              </w:rPr>
              <w:t>-</w:t>
            </w:r>
          </w:p>
        </w:tc>
        <w:tc>
          <w:tcPr>
            <w:tcW w:w="253" w:type="pct"/>
            <w:tcBorders>
              <w:top w:val="nil"/>
              <w:left w:val="nil"/>
              <w:bottom w:val="nil"/>
              <w:right w:val="nil"/>
            </w:tcBorders>
            <w:noWrap/>
            <w:vAlign w:val="bottom"/>
          </w:tcPr>
          <w:p w14:paraId="79A500E1" w14:textId="4CD6479B" w:rsidR="00802DBC" w:rsidRPr="00471CBA" w:rsidRDefault="00802DBC" w:rsidP="00F36B82">
            <w:pPr>
              <w:ind w:right="-55"/>
              <w:jc w:val="right"/>
              <w:rPr>
                <w:color w:val="000000"/>
                <w:sz w:val="16"/>
                <w:szCs w:val="16"/>
              </w:rPr>
            </w:pPr>
            <w:r w:rsidRPr="00471CBA">
              <w:rPr>
                <w:sz w:val="16"/>
                <w:szCs w:val="16"/>
              </w:rPr>
              <w:t>-</w:t>
            </w:r>
          </w:p>
        </w:tc>
        <w:tc>
          <w:tcPr>
            <w:tcW w:w="319" w:type="pct"/>
            <w:tcBorders>
              <w:top w:val="nil"/>
              <w:left w:val="nil"/>
              <w:bottom w:val="nil"/>
              <w:right w:val="nil"/>
            </w:tcBorders>
            <w:noWrap/>
            <w:vAlign w:val="bottom"/>
          </w:tcPr>
          <w:p w14:paraId="4A1FA32F" w14:textId="51E86550" w:rsidR="00802DBC" w:rsidRPr="00471CBA" w:rsidRDefault="00802DBC" w:rsidP="00F36B82">
            <w:pPr>
              <w:ind w:right="-55"/>
              <w:jc w:val="right"/>
              <w:rPr>
                <w:color w:val="000000"/>
                <w:sz w:val="16"/>
                <w:szCs w:val="16"/>
              </w:rPr>
            </w:pPr>
            <w:r w:rsidRPr="00471CBA">
              <w:rPr>
                <w:sz w:val="16"/>
                <w:szCs w:val="16"/>
              </w:rPr>
              <w:t>-</w:t>
            </w:r>
          </w:p>
        </w:tc>
        <w:tc>
          <w:tcPr>
            <w:tcW w:w="247" w:type="pct"/>
            <w:tcBorders>
              <w:top w:val="nil"/>
              <w:left w:val="nil"/>
              <w:bottom w:val="nil"/>
              <w:right w:val="nil"/>
            </w:tcBorders>
            <w:vAlign w:val="bottom"/>
          </w:tcPr>
          <w:p w14:paraId="3AC42E32" w14:textId="6021192A" w:rsidR="00802DBC" w:rsidRPr="00471CBA" w:rsidRDefault="00802DBC" w:rsidP="00F36B82">
            <w:pPr>
              <w:ind w:right="-55"/>
              <w:jc w:val="right"/>
              <w:rPr>
                <w:color w:val="000000"/>
                <w:sz w:val="16"/>
                <w:szCs w:val="16"/>
              </w:rPr>
            </w:pPr>
            <w:r w:rsidRPr="00471CBA">
              <w:rPr>
                <w:sz w:val="16"/>
                <w:szCs w:val="16"/>
              </w:rPr>
              <w:t>-</w:t>
            </w:r>
          </w:p>
        </w:tc>
        <w:tc>
          <w:tcPr>
            <w:tcW w:w="599" w:type="pct"/>
            <w:tcBorders>
              <w:top w:val="nil"/>
              <w:left w:val="nil"/>
              <w:bottom w:val="nil"/>
              <w:right w:val="nil"/>
            </w:tcBorders>
            <w:vAlign w:val="bottom"/>
          </w:tcPr>
          <w:p w14:paraId="132D1221" w14:textId="5D97CD57" w:rsidR="00802DBC" w:rsidRPr="00471CBA" w:rsidRDefault="00802DBC" w:rsidP="00F36B82">
            <w:pPr>
              <w:ind w:right="-55"/>
              <w:jc w:val="right"/>
              <w:rPr>
                <w:color w:val="000000"/>
                <w:sz w:val="16"/>
                <w:szCs w:val="16"/>
              </w:rPr>
            </w:pPr>
            <w:r w:rsidRPr="00471CBA">
              <w:rPr>
                <w:sz w:val="16"/>
                <w:szCs w:val="16"/>
              </w:rPr>
              <w:t>-</w:t>
            </w:r>
          </w:p>
        </w:tc>
        <w:tc>
          <w:tcPr>
            <w:tcW w:w="288" w:type="pct"/>
            <w:tcBorders>
              <w:top w:val="nil"/>
              <w:left w:val="nil"/>
              <w:bottom w:val="nil"/>
              <w:right w:val="nil"/>
            </w:tcBorders>
            <w:noWrap/>
            <w:vAlign w:val="bottom"/>
          </w:tcPr>
          <w:p w14:paraId="431D26EC" w14:textId="505829B3" w:rsidR="00802DBC" w:rsidRPr="00471CBA" w:rsidRDefault="00802DBC" w:rsidP="00F36B82">
            <w:pPr>
              <w:ind w:right="-55"/>
              <w:jc w:val="right"/>
              <w:rPr>
                <w:color w:val="000000"/>
                <w:sz w:val="16"/>
                <w:szCs w:val="16"/>
              </w:rPr>
            </w:pPr>
            <w:r w:rsidRPr="00471CBA">
              <w:rPr>
                <w:sz w:val="16"/>
                <w:szCs w:val="16"/>
              </w:rPr>
              <w:t>-</w:t>
            </w:r>
          </w:p>
        </w:tc>
        <w:tc>
          <w:tcPr>
            <w:tcW w:w="268" w:type="pct"/>
            <w:tcBorders>
              <w:top w:val="nil"/>
              <w:left w:val="nil"/>
              <w:bottom w:val="nil"/>
              <w:right w:val="nil"/>
            </w:tcBorders>
            <w:noWrap/>
            <w:vAlign w:val="bottom"/>
          </w:tcPr>
          <w:p w14:paraId="506B08A5" w14:textId="22235AB7" w:rsidR="00802DBC" w:rsidRPr="00471CBA" w:rsidRDefault="00802DBC" w:rsidP="00F36B82">
            <w:pPr>
              <w:ind w:right="-55"/>
              <w:jc w:val="right"/>
              <w:rPr>
                <w:color w:val="000000"/>
                <w:sz w:val="16"/>
                <w:szCs w:val="16"/>
              </w:rPr>
            </w:pPr>
            <w:r w:rsidRPr="00471CBA">
              <w:rPr>
                <w:sz w:val="16"/>
                <w:szCs w:val="16"/>
              </w:rPr>
              <w:t>-</w:t>
            </w:r>
          </w:p>
        </w:tc>
        <w:tc>
          <w:tcPr>
            <w:tcW w:w="349" w:type="pct"/>
            <w:tcBorders>
              <w:top w:val="nil"/>
              <w:left w:val="nil"/>
              <w:bottom w:val="nil"/>
              <w:right w:val="nil"/>
            </w:tcBorders>
            <w:noWrap/>
            <w:vAlign w:val="bottom"/>
          </w:tcPr>
          <w:p w14:paraId="353784C6" w14:textId="7C0DE49A" w:rsidR="00802DBC" w:rsidRPr="00471CBA" w:rsidRDefault="00802DBC" w:rsidP="00F36B82">
            <w:pPr>
              <w:ind w:right="-55"/>
              <w:jc w:val="right"/>
              <w:rPr>
                <w:color w:val="000000"/>
                <w:sz w:val="16"/>
                <w:szCs w:val="16"/>
              </w:rPr>
            </w:pPr>
            <w:r w:rsidRPr="00471CBA">
              <w:rPr>
                <w:sz w:val="16"/>
                <w:szCs w:val="16"/>
              </w:rPr>
              <w:t>1.308.897</w:t>
            </w:r>
          </w:p>
        </w:tc>
        <w:tc>
          <w:tcPr>
            <w:tcW w:w="230" w:type="pct"/>
            <w:tcBorders>
              <w:top w:val="nil"/>
              <w:left w:val="nil"/>
              <w:bottom w:val="nil"/>
              <w:right w:val="nil"/>
            </w:tcBorders>
            <w:noWrap/>
            <w:vAlign w:val="bottom"/>
          </w:tcPr>
          <w:p w14:paraId="2DED69CF" w14:textId="1548183A" w:rsidR="00802DBC" w:rsidRPr="00471CBA" w:rsidRDefault="00802DBC" w:rsidP="00F36B82">
            <w:pPr>
              <w:ind w:right="-55"/>
              <w:jc w:val="right"/>
              <w:rPr>
                <w:color w:val="000000"/>
                <w:sz w:val="16"/>
                <w:szCs w:val="16"/>
              </w:rPr>
            </w:pPr>
            <w:r w:rsidRPr="00471CBA">
              <w:rPr>
                <w:sz w:val="16"/>
                <w:szCs w:val="16"/>
              </w:rPr>
              <w:t>-</w:t>
            </w:r>
          </w:p>
        </w:tc>
        <w:tc>
          <w:tcPr>
            <w:tcW w:w="230" w:type="pct"/>
            <w:tcBorders>
              <w:top w:val="nil"/>
              <w:left w:val="nil"/>
              <w:bottom w:val="nil"/>
              <w:right w:val="nil"/>
            </w:tcBorders>
            <w:noWrap/>
            <w:vAlign w:val="bottom"/>
          </w:tcPr>
          <w:p w14:paraId="080107CA" w14:textId="7A142A5C" w:rsidR="00802DBC" w:rsidRPr="00471CBA" w:rsidRDefault="00802DBC" w:rsidP="00F36B82">
            <w:pPr>
              <w:ind w:right="-55"/>
              <w:jc w:val="right"/>
              <w:rPr>
                <w:color w:val="000000"/>
                <w:sz w:val="16"/>
                <w:szCs w:val="16"/>
              </w:rPr>
            </w:pPr>
            <w:r w:rsidRPr="00471CBA">
              <w:rPr>
                <w:sz w:val="16"/>
                <w:szCs w:val="16"/>
              </w:rPr>
              <w:t>-</w:t>
            </w:r>
          </w:p>
        </w:tc>
        <w:tc>
          <w:tcPr>
            <w:tcW w:w="353" w:type="pct"/>
            <w:tcBorders>
              <w:top w:val="nil"/>
              <w:left w:val="nil"/>
              <w:bottom w:val="nil"/>
              <w:right w:val="nil"/>
            </w:tcBorders>
            <w:noWrap/>
            <w:vAlign w:val="bottom"/>
          </w:tcPr>
          <w:p w14:paraId="2A947ED7" w14:textId="7E7902DE" w:rsidR="00802DBC" w:rsidRPr="00471CBA" w:rsidRDefault="00802DBC" w:rsidP="00F36B82">
            <w:pPr>
              <w:ind w:right="-55"/>
              <w:jc w:val="right"/>
              <w:rPr>
                <w:color w:val="000000"/>
                <w:sz w:val="16"/>
                <w:szCs w:val="16"/>
              </w:rPr>
            </w:pPr>
            <w:r w:rsidRPr="00471CBA">
              <w:rPr>
                <w:sz w:val="16"/>
                <w:szCs w:val="16"/>
              </w:rPr>
              <w:t>-</w:t>
            </w:r>
          </w:p>
        </w:tc>
        <w:tc>
          <w:tcPr>
            <w:tcW w:w="349" w:type="pct"/>
            <w:tcBorders>
              <w:top w:val="nil"/>
              <w:left w:val="nil"/>
              <w:bottom w:val="nil"/>
              <w:right w:val="nil"/>
            </w:tcBorders>
            <w:noWrap/>
            <w:vAlign w:val="bottom"/>
          </w:tcPr>
          <w:p w14:paraId="1DD2C943" w14:textId="7BDE33F0" w:rsidR="00802DBC" w:rsidRPr="00471CBA" w:rsidRDefault="00802DBC" w:rsidP="00F36B82">
            <w:pPr>
              <w:ind w:right="-55"/>
              <w:jc w:val="right"/>
              <w:rPr>
                <w:color w:val="000000"/>
                <w:sz w:val="16"/>
                <w:szCs w:val="16"/>
              </w:rPr>
            </w:pPr>
            <w:r w:rsidRPr="00471CBA">
              <w:rPr>
                <w:sz w:val="16"/>
                <w:szCs w:val="16"/>
              </w:rPr>
              <w:t>1.308.897</w:t>
            </w:r>
          </w:p>
        </w:tc>
      </w:tr>
      <w:tr w:rsidR="00802DBC" w:rsidRPr="00471CBA" w14:paraId="2135A754" w14:textId="77777777" w:rsidTr="00F36B82">
        <w:trPr>
          <w:trHeight w:val="170"/>
        </w:trPr>
        <w:tc>
          <w:tcPr>
            <w:tcW w:w="278" w:type="pct"/>
            <w:noWrap/>
            <w:hideMark/>
          </w:tcPr>
          <w:p w14:paraId="5372B150" w14:textId="77777777" w:rsidR="00802DBC" w:rsidRPr="00471CBA" w:rsidRDefault="00802DBC" w:rsidP="00B04479">
            <w:pPr>
              <w:rPr>
                <w:sz w:val="16"/>
                <w:szCs w:val="16"/>
              </w:rPr>
            </w:pPr>
            <w:r w:rsidRPr="00471CBA">
              <w:rPr>
                <w:sz w:val="16"/>
                <w:szCs w:val="16"/>
              </w:rPr>
              <w:t>16</w:t>
            </w:r>
          </w:p>
        </w:tc>
        <w:tc>
          <w:tcPr>
            <w:tcW w:w="918" w:type="pct"/>
            <w:vAlign w:val="bottom"/>
            <w:hideMark/>
          </w:tcPr>
          <w:p w14:paraId="72091B95" w14:textId="77777777" w:rsidR="00802DBC" w:rsidRPr="00471CBA" w:rsidRDefault="00802DBC" w:rsidP="00B04479">
            <w:pPr>
              <w:contextualSpacing/>
              <w:rPr>
                <w:sz w:val="16"/>
                <w:szCs w:val="16"/>
              </w:rPr>
            </w:pPr>
            <w:r w:rsidRPr="00471CBA">
              <w:rPr>
                <w:sz w:val="16"/>
                <w:szCs w:val="16"/>
              </w:rPr>
              <w:t>Diğer alacaklar</w:t>
            </w:r>
          </w:p>
        </w:tc>
        <w:tc>
          <w:tcPr>
            <w:tcW w:w="319" w:type="pct"/>
            <w:tcBorders>
              <w:top w:val="nil"/>
              <w:left w:val="nil"/>
              <w:bottom w:val="nil"/>
              <w:right w:val="nil"/>
            </w:tcBorders>
            <w:noWrap/>
            <w:vAlign w:val="bottom"/>
          </w:tcPr>
          <w:p w14:paraId="627414F1" w14:textId="1900476C" w:rsidR="00802DBC" w:rsidRPr="00471CBA" w:rsidRDefault="00802DBC" w:rsidP="00F36B82">
            <w:pPr>
              <w:ind w:right="-55"/>
              <w:jc w:val="right"/>
              <w:rPr>
                <w:color w:val="000000"/>
                <w:sz w:val="16"/>
                <w:szCs w:val="16"/>
              </w:rPr>
            </w:pPr>
            <w:r w:rsidRPr="00471CBA">
              <w:rPr>
                <w:sz w:val="16"/>
                <w:szCs w:val="16"/>
              </w:rPr>
              <w:t>-</w:t>
            </w:r>
          </w:p>
        </w:tc>
        <w:tc>
          <w:tcPr>
            <w:tcW w:w="253" w:type="pct"/>
            <w:tcBorders>
              <w:top w:val="nil"/>
              <w:left w:val="nil"/>
              <w:bottom w:val="nil"/>
              <w:right w:val="nil"/>
            </w:tcBorders>
            <w:noWrap/>
            <w:vAlign w:val="bottom"/>
          </w:tcPr>
          <w:p w14:paraId="1A545E75" w14:textId="0EE2F920" w:rsidR="00802DBC" w:rsidRPr="00471CBA" w:rsidRDefault="00802DBC" w:rsidP="00F36B82">
            <w:pPr>
              <w:ind w:right="-55"/>
              <w:jc w:val="right"/>
              <w:rPr>
                <w:color w:val="000000"/>
                <w:sz w:val="16"/>
                <w:szCs w:val="16"/>
              </w:rPr>
            </w:pPr>
            <w:r w:rsidRPr="00471CBA">
              <w:rPr>
                <w:sz w:val="16"/>
                <w:szCs w:val="16"/>
              </w:rPr>
              <w:t>-</w:t>
            </w:r>
          </w:p>
        </w:tc>
        <w:tc>
          <w:tcPr>
            <w:tcW w:w="319" w:type="pct"/>
            <w:tcBorders>
              <w:top w:val="nil"/>
              <w:left w:val="nil"/>
              <w:bottom w:val="nil"/>
              <w:right w:val="nil"/>
            </w:tcBorders>
            <w:noWrap/>
            <w:vAlign w:val="bottom"/>
          </w:tcPr>
          <w:p w14:paraId="31B8807A" w14:textId="14362544" w:rsidR="00802DBC" w:rsidRPr="00471CBA" w:rsidRDefault="00802DBC" w:rsidP="00F36B82">
            <w:pPr>
              <w:ind w:right="-55"/>
              <w:jc w:val="right"/>
              <w:rPr>
                <w:color w:val="000000"/>
                <w:sz w:val="16"/>
                <w:szCs w:val="16"/>
              </w:rPr>
            </w:pPr>
            <w:r w:rsidRPr="00471CBA">
              <w:rPr>
                <w:sz w:val="16"/>
                <w:szCs w:val="16"/>
              </w:rPr>
              <w:t>-</w:t>
            </w:r>
          </w:p>
        </w:tc>
        <w:tc>
          <w:tcPr>
            <w:tcW w:w="247" w:type="pct"/>
            <w:tcBorders>
              <w:top w:val="nil"/>
              <w:left w:val="nil"/>
              <w:bottom w:val="nil"/>
              <w:right w:val="nil"/>
            </w:tcBorders>
            <w:vAlign w:val="bottom"/>
          </w:tcPr>
          <w:p w14:paraId="0E259739" w14:textId="4A1C4260" w:rsidR="00802DBC" w:rsidRPr="00471CBA" w:rsidRDefault="00802DBC" w:rsidP="00F36B82">
            <w:pPr>
              <w:ind w:right="-55"/>
              <w:jc w:val="right"/>
              <w:rPr>
                <w:color w:val="000000"/>
                <w:sz w:val="16"/>
                <w:szCs w:val="16"/>
              </w:rPr>
            </w:pPr>
            <w:r w:rsidRPr="00471CBA">
              <w:rPr>
                <w:sz w:val="16"/>
                <w:szCs w:val="16"/>
              </w:rPr>
              <w:t>-</w:t>
            </w:r>
          </w:p>
        </w:tc>
        <w:tc>
          <w:tcPr>
            <w:tcW w:w="599" w:type="pct"/>
            <w:tcBorders>
              <w:top w:val="nil"/>
              <w:left w:val="nil"/>
              <w:bottom w:val="nil"/>
              <w:right w:val="nil"/>
            </w:tcBorders>
            <w:vAlign w:val="bottom"/>
          </w:tcPr>
          <w:p w14:paraId="53272372" w14:textId="4A911422" w:rsidR="00802DBC" w:rsidRPr="00471CBA" w:rsidRDefault="00802DBC" w:rsidP="00F36B82">
            <w:pPr>
              <w:ind w:right="-55"/>
              <w:jc w:val="right"/>
              <w:rPr>
                <w:color w:val="000000"/>
                <w:sz w:val="16"/>
                <w:szCs w:val="16"/>
              </w:rPr>
            </w:pPr>
            <w:r w:rsidRPr="00471CBA">
              <w:rPr>
                <w:sz w:val="16"/>
                <w:szCs w:val="16"/>
              </w:rPr>
              <w:t>-</w:t>
            </w:r>
          </w:p>
        </w:tc>
        <w:tc>
          <w:tcPr>
            <w:tcW w:w="288" w:type="pct"/>
            <w:tcBorders>
              <w:top w:val="nil"/>
              <w:left w:val="nil"/>
              <w:bottom w:val="nil"/>
              <w:right w:val="nil"/>
            </w:tcBorders>
            <w:noWrap/>
            <w:vAlign w:val="bottom"/>
          </w:tcPr>
          <w:p w14:paraId="1F87C008" w14:textId="3014B1BF" w:rsidR="00802DBC" w:rsidRPr="00471CBA" w:rsidRDefault="00802DBC" w:rsidP="00F36B82">
            <w:pPr>
              <w:ind w:right="-55"/>
              <w:jc w:val="right"/>
              <w:rPr>
                <w:color w:val="000000"/>
                <w:sz w:val="16"/>
                <w:szCs w:val="16"/>
              </w:rPr>
            </w:pPr>
            <w:r w:rsidRPr="00471CBA">
              <w:rPr>
                <w:sz w:val="16"/>
                <w:szCs w:val="16"/>
              </w:rPr>
              <w:t>-</w:t>
            </w:r>
          </w:p>
        </w:tc>
        <w:tc>
          <w:tcPr>
            <w:tcW w:w="268" w:type="pct"/>
            <w:tcBorders>
              <w:top w:val="nil"/>
              <w:left w:val="nil"/>
              <w:bottom w:val="nil"/>
              <w:right w:val="nil"/>
            </w:tcBorders>
            <w:noWrap/>
            <w:vAlign w:val="bottom"/>
          </w:tcPr>
          <w:p w14:paraId="35DEB0CC" w14:textId="36B2349F" w:rsidR="00802DBC" w:rsidRPr="00471CBA" w:rsidRDefault="00802DBC" w:rsidP="00F36B82">
            <w:pPr>
              <w:ind w:right="-55"/>
              <w:jc w:val="right"/>
              <w:rPr>
                <w:color w:val="000000"/>
                <w:sz w:val="16"/>
                <w:szCs w:val="16"/>
              </w:rPr>
            </w:pPr>
            <w:r w:rsidRPr="00471CBA">
              <w:rPr>
                <w:sz w:val="16"/>
                <w:szCs w:val="16"/>
              </w:rPr>
              <w:t>-</w:t>
            </w:r>
          </w:p>
        </w:tc>
        <w:tc>
          <w:tcPr>
            <w:tcW w:w="349" w:type="pct"/>
            <w:tcBorders>
              <w:top w:val="nil"/>
              <w:left w:val="nil"/>
              <w:bottom w:val="nil"/>
              <w:right w:val="nil"/>
            </w:tcBorders>
            <w:noWrap/>
            <w:vAlign w:val="bottom"/>
          </w:tcPr>
          <w:p w14:paraId="3B315D4C" w14:textId="38AA04A7" w:rsidR="00802DBC" w:rsidRPr="00471CBA" w:rsidRDefault="00802DBC" w:rsidP="00F36B82">
            <w:pPr>
              <w:ind w:right="-55"/>
              <w:jc w:val="right"/>
              <w:rPr>
                <w:color w:val="000000"/>
                <w:sz w:val="16"/>
                <w:szCs w:val="16"/>
              </w:rPr>
            </w:pPr>
            <w:r w:rsidRPr="00471CBA">
              <w:rPr>
                <w:sz w:val="16"/>
                <w:szCs w:val="16"/>
              </w:rPr>
              <w:t>655.265</w:t>
            </w:r>
          </w:p>
        </w:tc>
        <w:tc>
          <w:tcPr>
            <w:tcW w:w="230" w:type="pct"/>
            <w:tcBorders>
              <w:top w:val="nil"/>
              <w:left w:val="nil"/>
              <w:bottom w:val="nil"/>
              <w:right w:val="nil"/>
            </w:tcBorders>
            <w:noWrap/>
            <w:vAlign w:val="bottom"/>
          </w:tcPr>
          <w:p w14:paraId="6FD5089E" w14:textId="1212F940" w:rsidR="00802DBC" w:rsidRPr="00471CBA" w:rsidRDefault="00802DBC" w:rsidP="00F36B82">
            <w:pPr>
              <w:ind w:right="-55"/>
              <w:jc w:val="right"/>
              <w:rPr>
                <w:color w:val="000000"/>
                <w:sz w:val="16"/>
                <w:szCs w:val="16"/>
              </w:rPr>
            </w:pPr>
            <w:r w:rsidRPr="00471CBA">
              <w:rPr>
                <w:sz w:val="16"/>
                <w:szCs w:val="16"/>
              </w:rPr>
              <w:t>-</w:t>
            </w:r>
          </w:p>
        </w:tc>
        <w:tc>
          <w:tcPr>
            <w:tcW w:w="230" w:type="pct"/>
            <w:tcBorders>
              <w:top w:val="nil"/>
              <w:left w:val="nil"/>
              <w:bottom w:val="nil"/>
              <w:right w:val="nil"/>
            </w:tcBorders>
            <w:noWrap/>
            <w:vAlign w:val="bottom"/>
          </w:tcPr>
          <w:p w14:paraId="5AB897B3" w14:textId="3DE3729E" w:rsidR="00802DBC" w:rsidRPr="00471CBA" w:rsidRDefault="00802DBC" w:rsidP="00F36B82">
            <w:pPr>
              <w:ind w:right="-55"/>
              <w:jc w:val="right"/>
              <w:rPr>
                <w:color w:val="000000"/>
                <w:sz w:val="16"/>
                <w:szCs w:val="16"/>
              </w:rPr>
            </w:pPr>
            <w:r w:rsidRPr="00471CBA">
              <w:rPr>
                <w:sz w:val="16"/>
                <w:szCs w:val="16"/>
              </w:rPr>
              <w:t>-</w:t>
            </w:r>
          </w:p>
        </w:tc>
        <w:tc>
          <w:tcPr>
            <w:tcW w:w="353" w:type="pct"/>
            <w:tcBorders>
              <w:top w:val="nil"/>
              <w:left w:val="nil"/>
              <w:bottom w:val="nil"/>
              <w:right w:val="nil"/>
            </w:tcBorders>
            <w:noWrap/>
            <w:vAlign w:val="bottom"/>
          </w:tcPr>
          <w:p w14:paraId="76A08311" w14:textId="747F7EB1" w:rsidR="00802DBC" w:rsidRPr="00471CBA" w:rsidRDefault="00802DBC" w:rsidP="00F36B82">
            <w:pPr>
              <w:ind w:right="-55"/>
              <w:jc w:val="right"/>
              <w:rPr>
                <w:color w:val="000000"/>
                <w:sz w:val="16"/>
                <w:szCs w:val="16"/>
              </w:rPr>
            </w:pPr>
            <w:r w:rsidRPr="00471CBA">
              <w:rPr>
                <w:sz w:val="16"/>
                <w:szCs w:val="16"/>
              </w:rPr>
              <w:t>-</w:t>
            </w:r>
          </w:p>
        </w:tc>
        <w:tc>
          <w:tcPr>
            <w:tcW w:w="349" w:type="pct"/>
            <w:tcBorders>
              <w:top w:val="nil"/>
              <w:left w:val="nil"/>
              <w:bottom w:val="nil"/>
              <w:right w:val="nil"/>
            </w:tcBorders>
            <w:noWrap/>
            <w:vAlign w:val="bottom"/>
          </w:tcPr>
          <w:p w14:paraId="06D1299A" w14:textId="6DEAA05A" w:rsidR="00802DBC" w:rsidRPr="00471CBA" w:rsidRDefault="00802DBC" w:rsidP="00F36B82">
            <w:pPr>
              <w:ind w:right="-55"/>
              <w:jc w:val="right"/>
              <w:rPr>
                <w:color w:val="000000"/>
                <w:sz w:val="16"/>
                <w:szCs w:val="16"/>
              </w:rPr>
            </w:pPr>
            <w:r w:rsidRPr="00471CBA">
              <w:rPr>
                <w:sz w:val="16"/>
                <w:szCs w:val="16"/>
              </w:rPr>
              <w:t>655.265</w:t>
            </w:r>
          </w:p>
        </w:tc>
      </w:tr>
      <w:tr w:rsidR="00802DBC" w:rsidRPr="00471CBA" w14:paraId="26A0AA86" w14:textId="77777777" w:rsidTr="00F36B82">
        <w:trPr>
          <w:trHeight w:val="170"/>
        </w:trPr>
        <w:tc>
          <w:tcPr>
            <w:tcW w:w="278" w:type="pct"/>
            <w:tcBorders>
              <w:bottom w:val="single" w:sz="4" w:space="0" w:color="auto"/>
            </w:tcBorders>
            <w:noWrap/>
            <w:hideMark/>
          </w:tcPr>
          <w:p w14:paraId="226105B4" w14:textId="77777777" w:rsidR="00802DBC" w:rsidRPr="00471CBA" w:rsidRDefault="00802DBC" w:rsidP="00B04479">
            <w:pPr>
              <w:rPr>
                <w:sz w:val="16"/>
                <w:szCs w:val="16"/>
              </w:rPr>
            </w:pPr>
            <w:r w:rsidRPr="00471CBA">
              <w:rPr>
                <w:sz w:val="16"/>
                <w:szCs w:val="16"/>
              </w:rPr>
              <w:t>17</w:t>
            </w:r>
          </w:p>
        </w:tc>
        <w:tc>
          <w:tcPr>
            <w:tcW w:w="918" w:type="pct"/>
            <w:tcBorders>
              <w:bottom w:val="single" w:sz="4" w:space="0" w:color="auto"/>
            </w:tcBorders>
            <w:vAlign w:val="bottom"/>
            <w:hideMark/>
          </w:tcPr>
          <w:p w14:paraId="7F24891A" w14:textId="77777777" w:rsidR="00802DBC" w:rsidRPr="00471CBA" w:rsidRDefault="00802DBC" w:rsidP="00B04479">
            <w:pPr>
              <w:contextualSpacing/>
              <w:rPr>
                <w:sz w:val="16"/>
                <w:szCs w:val="16"/>
              </w:rPr>
            </w:pPr>
            <w:r w:rsidRPr="00471CBA">
              <w:rPr>
                <w:sz w:val="16"/>
                <w:szCs w:val="16"/>
              </w:rPr>
              <w:t>Hisse senedi yatırımları</w:t>
            </w:r>
          </w:p>
        </w:tc>
        <w:tc>
          <w:tcPr>
            <w:tcW w:w="319" w:type="pct"/>
            <w:tcBorders>
              <w:top w:val="nil"/>
              <w:left w:val="nil"/>
              <w:bottom w:val="single" w:sz="4" w:space="0" w:color="auto"/>
              <w:right w:val="nil"/>
            </w:tcBorders>
            <w:noWrap/>
            <w:vAlign w:val="bottom"/>
          </w:tcPr>
          <w:p w14:paraId="37ACABEC" w14:textId="46D8DD60" w:rsidR="00802DBC" w:rsidRPr="00471CBA" w:rsidRDefault="00802DBC" w:rsidP="00F36B82">
            <w:pPr>
              <w:ind w:right="-55"/>
              <w:jc w:val="right"/>
              <w:rPr>
                <w:color w:val="000000"/>
                <w:sz w:val="16"/>
                <w:szCs w:val="16"/>
              </w:rPr>
            </w:pPr>
            <w:r w:rsidRPr="00471CBA">
              <w:rPr>
                <w:sz w:val="16"/>
                <w:szCs w:val="16"/>
              </w:rPr>
              <w:t>1.750.288</w:t>
            </w:r>
          </w:p>
        </w:tc>
        <w:tc>
          <w:tcPr>
            <w:tcW w:w="253" w:type="pct"/>
            <w:tcBorders>
              <w:top w:val="nil"/>
              <w:left w:val="nil"/>
              <w:bottom w:val="single" w:sz="4" w:space="0" w:color="auto"/>
              <w:right w:val="nil"/>
            </w:tcBorders>
            <w:noWrap/>
            <w:vAlign w:val="bottom"/>
          </w:tcPr>
          <w:p w14:paraId="764C51C6" w14:textId="1BFC3F52" w:rsidR="00802DBC" w:rsidRPr="00471CBA" w:rsidRDefault="00802DBC" w:rsidP="00F36B82">
            <w:pPr>
              <w:ind w:right="-55"/>
              <w:jc w:val="right"/>
              <w:rPr>
                <w:color w:val="000000"/>
                <w:sz w:val="16"/>
                <w:szCs w:val="16"/>
              </w:rPr>
            </w:pPr>
            <w:r w:rsidRPr="00471CBA">
              <w:rPr>
                <w:sz w:val="16"/>
                <w:szCs w:val="16"/>
              </w:rPr>
              <w:t>-</w:t>
            </w:r>
          </w:p>
        </w:tc>
        <w:tc>
          <w:tcPr>
            <w:tcW w:w="319" w:type="pct"/>
            <w:tcBorders>
              <w:top w:val="nil"/>
              <w:left w:val="nil"/>
              <w:bottom w:val="single" w:sz="4" w:space="0" w:color="auto"/>
              <w:right w:val="nil"/>
            </w:tcBorders>
            <w:noWrap/>
            <w:vAlign w:val="bottom"/>
          </w:tcPr>
          <w:p w14:paraId="68EA1F59" w14:textId="5FADA6D4" w:rsidR="00802DBC" w:rsidRPr="00471CBA" w:rsidRDefault="00802DBC" w:rsidP="00F36B82">
            <w:pPr>
              <w:ind w:right="-55"/>
              <w:jc w:val="right"/>
              <w:rPr>
                <w:color w:val="000000"/>
                <w:sz w:val="16"/>
                <w:szCs w:val="16"/>
              </w:rPr>
            </w:pPr>
            <w:r w:rsidRPr="00471CBA">
              <w:rPr>
                <w:sz w:val="16"/>
                <w:szCs w:val="16"/>
              </w:rPr>
              <w:t>156.885</w:t>
            </w:r>
          </w:p>
        </w:tc>
        <w:tc>
          <w:tcPr>
            <w:tcW w:w="247" w:type="pct"/>
            <w:tcBorders>
              <w:top w:val="nil"/>
              <w:left w:val="nil"/>
              <w:bottom w:val="single" w:sz="4" w:space="0" w:color="auto"/>
              <w:right w:val="nil"/>
            </w:tcBorders>
            <w:vAlign w:val="bottom"/>
          </w:tcPr>
          <w:p w14:paraId="78C19470" w14:textId="475A781E" w:rsidR="00802DBC" w:rsidRPr="00471CBA" w:rsidRDefault="00802DBC" w:rsidP="00F36B82">
            <w:pPr>
              <w:ind w:right="-55"/>
              <w:jc w:val="right"/>
              <w:rPr>
                <w:color w:val="000000"/>
                <w:sz w:val="16"/>
                <w:szCs w:val="16"/>
              </w:rPr>
            </w:pPr>
            <w:r w:rsidRPr="00471CBA">
              <w:rPr>
                <w:sz w:val="16"/>
                <w:szCs w:val="16"/>
              </w:rPr>
              <w:t>-</w:t>
            </w:r>
          </w:p>
        </w:tc>
        <w:tc>
          <w:tcPr>
            <w:tcW w:w="599" w:type="pct"/>
            <w:tcBorders>
              <w:top w:val="nil"/>
              <w:left w:val="nil"/>
              <w:bottom w:val="single" w:sz="4" w:space="0" w:color="auto"/>
              <w:right w:val="nil"/>
            </w:tcBorders>
            <w:vAlign w:val="bottom"/>
          </w:tcPr>
          <w:p w14:paraId="3568773D" w14:textId="5C9C2F07" w:rsidR="00802DBC" w:rsidRPr="00471CBA" w:rsidRDefault="00802DBC" w:rsidP="00F36B82">
            <w:pPr>
              <w:ind w:right="-55"/>
              <w:jc w:val="right"/>
              <w:rPr>
                <w:color w:val="000000"/>
                <w:sz w:val="16"/>
                <w:szCs w:val="16"/>
              </w:rPr>
            </w:pPr>
            <w:r w:rsidRPr="00471CBA">
              <w:rPr>
                <w:sz w:val="16"/>
                <w:szCs w:val="16"/>
              </w:rPr>
              <w:t>-</w:t>
            </w:r>
          </w:p>
        </w:tc>
        <w:tc>
          <w:tcPr>
            <w:tcW w:w="288" w:type="pct"/>
            <w:tcBorders>
              <w:top w:val="nil"/>
              <w:left w:val="nil"/>
              <w:bottom w:val="single" w:sz="4" w:space="0" w:color="auto"/>
              <w:right w:val="nil"/>
            </w:tcBorders>
            <w:noWrap/>
            <w:vAlign w:val="bottom"/>
          </w:tcPr>
          <w:p w14:paraId="03B31E07" w14:textId="18FE4F7A" w:rsidR="00802DBC" w:rsidRPr="00471CBA" w:rsidRDefault="00802DBC" w:rsidP="00F36B82">
            <w:pPr>
              <w:ind w:right="-55"/>
              <w:jc w:val="right"/>
              <w:rPr>
                <w:color w:val="000000"/>
                <w:sz w:val="16"/>
                <w:szCs w:val="16"/>
              </w:rPr>
            </w:pPr>
            <w:r w:rsidRPr="00471CBA">
              <w:rPr>
                <w:sz w:val="16"/>
                <w:szCs w:val="16"/>
              </w:rPr>
              <w:t>-</w:t>
            </w:r>
          </w:p>
        </w:tc>
        <w:tc>
          <w:tcPr>
            <w:tcW w:w="268" w:type="pct"/>
            <w:tcBorders>
              <w:top w:val="nil"/>
              <w:left w:val="nil"/>
              <w:bottom w:val="single" w:sz="4" w:space="0" w:color="auto"/>
              <w:right w:val="nil"/>
            </w:tcBorders>
            <w:noWrap/>
            <w:vAlign w:val="bottom"/>
          </w:tcPr>
          <w:p w14:paraId="0993B53C" w14:textId="64146715" w:rsidR="00802DBC" w:rsidRPr="00471CBA" w:rsidRDefault="00802DBC" w:rsidP="00F36B82">
            <w:pPr>
              <w:ind w:right="-55"/>
              <w:jc w:val="right"/>
              <w:rPr>
                <w:color w:val="000000"/>
                <w:sz w:val="16"/>
                <w:szCs w:val="16"/>
              </w:rPr>
            </w:pPr>
            <w:r w:rsidRPr="00471CBA">
              <w:rPr>
                <w:sz w:val="16"/>
                <w:szCs w:val="16"/>
              </w:rPr>
              <w:t>-</w:t>
            </w:r>
          </w:p>
        </w:tc>
        <w:tc>
          <w:tcPr>
            <w:tcW w:w="349" w:type="pct"/>
            <w:tcBorders>
              <w:top w:val="nil"/>
              <w:left w:val="nil"/>
              <w:bottom w:val="single" w:sz="4" w:space="0" w:color="auto"/>
              <w:right w:val="nil"/>
            </w:tcBorders>
            <w:noWrap/>
            <w:vAlign w:val="bottom"/>
          </w:tcPr>
          <w:p w14:paraId="029C653D" w14:textId="51EB94CF" w:rsidR="00802DBC" w:rsidRPr="00471CBA" w:rsidRDefault="00802DBC" w:rsidP="00F36B82">
            <w:pPr>
              <w:ind w:right="-55"/>
              <w:jc w:val="right"/>
              <w:rPr>
                <w:color w:val="000000"/>
                <w:sz w:val="16"/>
                <w:szCs w:val="16"/>
              </w:rPr>
            </w:pPr>
            <w:r w:rsidRPr="00471CBA">
              <w:rPr>
                <w:sz w:val="16"/>
                <w:szCs w:val="16"/>
              </w:rPr>
              <w:t>1.059.707</w:t>
            </w:r>
          </w:p>
        </w:tc>
        <w:tc>
          <w:tcPr>
            <w:tcW w:w="230" w:type="pct"/>
            <w:tcBorders>
              <w:top w:val="nil"/>
              <w:left w:val="nil"/>
              <w:bottom w:val="single" w:sz="4" w:space="0" w:color="auto"/>
              <w:right w:val="nil"/>
            </w:tcBorders>
            <w:noWrap/>
            <w:vAlign w:val="bottom"/>
          </w:tcPr>
          <w:p w14:paraId="44E48F9B" w14:textId="29D76B56" w:rsidR="00802DBC" w:rsidRPr="00471CBA" w:rsidRDefault="00802DBC" w:rsidP="00F36B82">
            <w:pPr>
              <w:ind w:right="-55"/>
              <w:jc w:val="right"/>
              <w:rPr>
                <w:color w:val="000000"/>
                <w:sz w:val="16"/>
                <w:szCs w:val="16"/>
              </w:rPr>
            </w:pPr>
            <w:r w:rsidRPr="00471CBA">
              <w:rPr>
                <w:sz w:val="16"/>
                <w:szCs w:val="16"/>
              </w:rPr>
              <w:t>-</w:t>
            </w:r>
          </w:p>
        </w:tc>
        <w:tc>
          <w:tcPr>
            <w:tcW w:w="230" w:type="pct"/>
            <w:tcBorders>
              <w:top w:val="nil"/>
              <w:left w:val="nil"/>
              <w:bottom w:val="single" w:sz="4" w:space="0" w:color="auto"/>
              <w:right w:val="nil"/>
            </w:tcBorders>
            <w:noWrap/>
            <w:vAlign w:val="bottom"/>
          </w:tcPr>
          <w:p w14:paraId="0F65FADD" w14:textId="7E2C6836" w:rsidR="00802DBC" w:rsidRPr="00471CBA" w:rsidRDefault="00802DBC" w:rsidP="00F36B82">
            <w:pPr>
              <w:ind w:right="-55"/>
              <w:jc w:val="right"/>
              <w:rPr>
                <w:color w:val="000000"/>
                <w:sz w:val="16"/>
                <w:szCs w:val="16"/>
              </w:rPr>
            </w:pPr>
            <w:r w:rsidRPr="00471CBA">
              <w:rPr>
                <w:sz w:val="16"/>
                <w:szCs w:val="16"/>
              </w:rPr>
              <w:t>-</w:t>
            </w:r>
          </w:p>
        </w:tc>
        <w:tc>
          <w:tcPr>
            <w:tcW w:w="353" w:type="pct"/>
            <w:tcBorders>
              <w:top w:val="nil"/>
              <w:left w:val="nil"/>
              <w:bottom w:val="single" w:sz="4" w:space="0" w:color="auto"/>
              <w:right w:val="nil"/>
            </w:tcBorders>
            <w:noWrap/>
            <w:vAlign w:val="bottom"/>
          </w:tcPr>
          <w:p w14:paraId="5655BAB0" w14:textId="054CC862" w:rsidR="00802DBC" w:rsidRPr="00471CBA" w:rsidRDefault="00802DBC" w:rsidP="00F36B82">
            <w:pPr>
              <w:ind w:right="-55"/>
              <w:jc w:val="right"/>
              <w:rPr>
                <w:color w:val="000000"/>
                <w:sz w:val="16"/>
                <w:szCs w:val="16"/>
              </w:rPr>
            </w:pPr>
            <w:r w:rsidRPr="00471CBA">
              <w:rPr>
                <w:sz w:val="16"/>
                <w:szCs w:val="16"/>
              </w:rPr>
              <w:t>-</w:t>
            </w:r>
          </w:p>
        </w:tc>
        <w:tc>
          <w:tcPr>
            <w:tcW w:w="349" w:type="pct"/>
            <w:tcBorders>
              <w:top w:val="nil"/>
              <w:left w:val="nil"/>
              <w:bottom w:val="single" w:sz="4" w:space="0" w:color="auto"/>
              <w:right w:val="nil"/>
            </w:tcBorders>
            <w:noWrap/>
            <w:vAlign w:val="bottom"/>
          </w:tcPr>
          <w:p w14:paraId="31E7D9F0" w14:textId="17635BE5" w:rsidR="00802DBC" w:rsidRPr="00471CBA" w:rsidRDefault="00802DBC" w:rsidP="00F36B82">
            <w:pPr>
              <w:ind w:right="-55"/>
              <w:jc w:val="right"/>
              <w:rPr>
                <w:color w:val="000000"/>
                <w:sz w:val="16"/>
                <w:szCs w:val="16"/>
              </w:rPr>
            </w:pPr>
            <w:r w:rsidRPr="00471CBA">
              <w:rPr>
                <w:sz w:val="16"/>
                <w:szCs w:val="16"/>
              </w:rPr>
              <w:t>2.966.880</w:t>
            </w:r>
          </w:p>
        </w:tc>
      </w:tr>
      <w:tr w:rsidR="00802DBC" w:rsidRPr="00471CBA" w14:paraId="266102BD" w14:textId="77777777" w:rsidTr="00F36B82">
        <w:trPr>
          <w:trHeight w:val="170"/>
        </w:trPr>
        <w:tc>
          <w:tcPr>
            <w:tcW w:w="278" w:type="pct"/>
            <w:tcBorders>
              <w:top w:val="single" w:sz="4" w:space="0" w:color="auto"/>
              <w:bottom w:val="single" w:sz="12" w:space="0" w:color="auto"/>
            </w:tcBorders>
            <w:noWrap/>
            <w:hideMark/>
          </w:tcPr>
          <w:p w14:paraId="7CBAA474" w14:textId="77777777" w:rsidR="00802DBC" w:rsidRPr="00471CBA" w:rsidRDefault="00802DBC" w:rsidP="00B04479">
            <w:pPr>
              <w:rPr>
                <w:b/>
                <w:bCs/>
                <w:sz w:val="16"/>
                <w:szCs w:val="16"/>
              </w:rPr>
            </w:pPr>
            <w:r w:rsidRPr="00471CBA">
              <w:rPr>
                <w:b/>
                <w:bCs/>
                <w:sz w:val="16"/>
                <w:szCs w:val="16"/>
              </w:rPr>
              <w:t>18</w:t>
            </w:r>
          </w:p>
        </w:tc>
        <w:tc>
          <w:tcPr>
            <w:tcW w:w="918" w:type="pct"/>
            <w:tcBorders>
              <w:top w:val="single" w:sz="4" w:space="0" w:color="auto"/>
              <w:bottom w:val="single" w:sz="12" w:space="0" w:color="auto"/>
            </w:tcBorders>
            <w:vAlign w:val="bottom"/>
            <w:hideMark/>
          </w:tcPr>
          <w:p w14:paraId="1F43E4D0" w14:textId="77777777" w:rsidR="00802DBC" w:rsidRPr="00471CBA" w:rsidRDefault="00802DBC" w:rsidP="00B04479">
            <w:pPr>
              <w:contextualSpacing/>
              <w:rPr>
                <w:b/>
                <w:bCs/>
                <w:sz w:val="16"/>
                <w:szCs w:val="16"/>
              </w:rPr>
            </w:pPr>
            <w:r w:rsidRPr="00471CBA">
              <w:rPr>
                <w:b/>
                <w:bCs/>
                <w:sz w:val="16"/>
                <w:szCs w:val="16"/>
              </w:rPr>
              <w:t>Toplam</w:t>
            </w:r>
          </w:p>
        </w:tc>
        <w:tc>
          <w:tcPr>
            <w:tcW w:w="319" w:type="pct"/>
            <w:tcBorders>
              <w:top w:val="single" w:sz="4" w:space="0" w:color="auto"/>
              <w:left w:val="nil"/>
              <w:bottom w:val="single" w:sz="12" w:space="0" w:color="auto"/>
              <w:right w:val="nil"/>
            </w:tcBorders>
            <w:noWrap/>
            <w:vAlign w:val="bottom"/>
          </w:tcPr>
          <w:p w14:paraId="0AADBDFB" w14:textId="13F8824B" w:rsidR="00802DBC" w:rsidRPr="00471CBA" w:rsidRDefault="00802DBC" w:rsidP="00F36B82">
            <w:pPr>
              <w:ind w:right="-55"/>
              <w:jc w:val="right"/>
              <w:rPr>
                <w:b/>
                <w:bCs/>
                <w:color w:val="000000"/>
                <w:sz w:val="16"/>
                <w:szCs w:val="16"/>
              </w:rPr>
            </w:pPr>
            <w:r w:rsidRPr="00471CBA">
              <w:rPr>
                <w:b/>
                <w:bCs/>
                <w:sz w:val="16"/>
                <w:szCs w:val="16"/>
              </w:rPr>
              <w:t>22.896.831</w:t>
            </w:r>
          </w:p>
        </w:tc>
        <w:tc>
          <w:tcPr>
            <w:tcW w:w="253" w:type="pct"/>
            <w:tcBorders>
              <w:top w:val="single" w:sz="4" w:space="0" w:color="auto"/>
              <w:left w:val="nil"/>
              <w:bottom w:val="single" w:sz="12" w:space="0" w:color="auto"/>
              <w:right w:val="nil"/>
            </w:tcBorders>
            <w:noWrap/>
            <w:vAlign w:val="bottom"/>
          </w:tcPr>
          <w:p w14:paraId="465E056C" w14:textId="2647B939" w:rsidR="00802DBC" w:rsidRPr="00471CBA" w:rsidRDefault="00802DBC" w:rsidP="00F36B82">
            <w:pPr>
              <w:ind w:right="-55"/>
              <w:jc w:val="right"/>
              <w:rPr>
                <w:b/>
                <w:bCs/>
                <w:color w:val="000000"/>
                <w:sz w:val="16"/>
                <w:szCs w:val="16"/>
              </w:rPr>
            </w:pPr>
            <w:r w:rsidRPr="00471CBA">
              <w:rPr>
                <w:b/>
                <w:bCs/>
                <w:sz w:val="16"/>
                <w:szCs w:val="16"/>
              </w:rPr>
              <w:t>-</w:t>
            </w:r>
          </w:p>
        </w:tc>
        <w:tc>
          <w:tcPr>
            <w:tcW w:w="319" w:type="pct"/>
            <w:tcBorders>
              <w:top w:val="single" w:sz="4" w:space="0" w:color="auto"/>
              <w:left w:val="nil"/>
              <w:bottom w:val="single" w:sz="12" w:space="0" w:color="auto"/>
              <w:right w:val="nil"/>
            </w:tcBorders>
            <w:noWrap/>
            <w:vAlign w:val="bottom"/>
          </w:tcPr>
          <w:p w14:paraId="2002E5C4" w14:textId="25B03809" w:rsidR="00802DBC" w:rsidRPr="00471CBA" w:rsidRDefault="00802DBC" w:rsidP="00F36B82">
            <w:pPr>
              <w:ind w:right="-55"/>
              <w:jc w:val="right"/>
              <w:rPr>
                <w:b/>
                <w:bCs/>
                <w:color w:val="000000"/>
                <w:sz w:val="16"/>
                <w:szCs w:val="16"/>
              </w:rPr>
            </w:pPr>
            <w:r w:rsidRPr="00471CBA">
              <w:rPr>
                <w:b/>
                <w:bCs/>
                <w:sz w:val="16"/>
                <w:szCs w:val="16"/>
              </w:rPr>
              <w:t>10.051.494</w:t>
            </w:r>
          </w:p>
        </w:tc>
        <w:tc>
          <w:tcPr>
            <w:tcW w:w="247" w:type="pct"/>
            <w:tcBorders>
              <w:top w:val="single" w:sz="4" w:space="0" w:color="auto"/>
              <w:left w:val="nil"/>
              <w:bottom w:val="single" w:sz="12" w:space="0" w:color="auto"/>
              <w:right w:val="nil"/>
            </w:tcBorders>
            <w:vAlign w:val="bottom"/>
          </w:tcPr>
          <w:p w14:paraId="2A354867" w14:textId="01A8180F" w:rsidR="00802DBC" w:rsidRPr="00471CBA" w:rsidRDefault="00802DBC" w:rsidP="00F36B82">
            <w:pPr>
              <w:ind w:right="-55"/>
              <w:jc w:val="right"/>
              <w:rPr>
                <w:b/>
                <w:bCs/>
                <w:color w:val="000000"/>
                <w:sz w:val="16"/>
                <w:szCs w:val="16"/>
              </w:rPr>
            </w:pPr>
            <w:r w:rsidRPr="00471CBA">
              <w:rPr>
                <w:b/>
                <w:bCs/>
                <w:sz w:val="16"/>
                <w:szCs w:val="16"/>
              </w:rPr>
              <w:t>-</w:t>
            </w:r>
          </w:p>
        </w:tc>
        <w:tc>
          <w:tcPr>
            <w:tcW w:w="599" w:type="pct"/>
            <w:tcBorders>
              <w:top w:val="single" w:sz="4" w:space="0" w:color="auto"/>
              <w:left w:val="nil"/>
              <w:bottom w:val="single" w:sz="12" w:space="0" w:color="auto"/>
              <w:right w:val="nil"/>
            </w:tcBorders>
            <w:vAlign w:val="bottom"/>
          </w:tcPr>
          <w:p w14:paraId="592753BC" w14:textId="73FE31A2" w:rsidR="00802DBC" w:rsidRPr="00471CBA" w:rsidRDefault="00802DBC" w:rsidP="00F36B82">
            <w:pPr>
              <w:ind w:right="-55"/>
              <w:jc w:val="right"/>
              <w:rPr>
                <w:b/>
                <w:bCs/>
                <w:color w:val="000000"/>
                <w:sz w:val="16"/>
                <w:szCs w:val="16"/>
              </w:rPr>
            </w:pPr>
            <w:r w:rsidRPr="00471CBA">
              <w:rPr>
                <w:b/>
                <w:bCs/>
                <w:sz w:val="16"/>
                <w:szCs w:val="16"/>
              </w:rPr>
              <w:t>1.619.233</w:t>
            </w:r>
          </w:p>
        </w:tc>
        <w:tc>
          <w:tcPr>
            <w:tcW w:w="288" w:type="pct"/>
            <w:tcBorders>
              <w:top w:val="single" w:sz="4" w:space="0" w:color="auto"/>
              <w:left w:val="nil"/>
              <w:bottom w:val="single" w:sz="12" w:space="0" w:color="auto"/>
              <w:right w:val="nil"/>
            </w:tcBorders>
            <w:noWrap/>
            <w:vAlign w:val="bottom"/>
          </w:tcPr>
          <w:p w14:paraId="54C4359A" w14:textId="4A964DF0" w:rsidR="00802DBC" w:rsidRPr="00471CBA" w:rsidRDefault="00802DBC" w:rsidP="00F36B82">
            <w:pPr>
              <w:ind w:right="-55"/>
              <w:jc w:val="right"/>
              <w:rPr>
                <w:b/>
                <w:bCs/>
                <w:color w:val="000000"/>
                <w:sz w:val="16"/>
                <w:szCs w:val="16"/>
              </w:rPr>
            </w:pPr>
            <w:r w:rsidRPr="00471CBA">
              <w:rPr>
                <w:b/>
                <w:bCs/>
                <w:sz w:val="16"/>
                <w:szCs w:val="16"/>
              </w:rPr>
              <w:t>1.691.661</w:t>
            </w:r>
          </w:p>
        </w:tc>
        <w:tc>
          <w:tcPr>
            <w:tcW w:w="268" w:type="pct"/>
            <w:tcBorders>
              <w:top w:val="single" w:sz="4" w:space="0" w:color="auto"/>
              <w:left w:val="nil"/>
              <w:bottom w:val="single" w:sz="12" w:space="0" w:color="auto"/>
              <w:right w:val="nil"/>
            </w:tcBorders>
            <w:noWrap/>
            <w:vAlign w:val="bottom"/>
          </w:tcPr>
          <w:p w14:paraId="06493AC7" w14:textId="33638EF6" w:rsidR="00802DBC" w:rsidRPr="00471CBA" w:rsidRDefault="00802DBC" w:rsidP="00F36B82">
            <w:pPr>
              <w:ind w:right="-55"/>
              <w:jc w:val="right"/>
              <w:rPr>
                <w:b/>
                <w:bCs/>
                <w:color w:val="000000"/>
                <w:sz w:val="16"/>
                <w:szCs w:val="16"/>
              </w:rPr>
            </w:pPr>
            <w:r w:rsidRPr="00471CBA">
              <w:rPr>
                <w:b/>
                <w:bCs/>
                <w:sz w:val="16"/>
                <w:szCs w:val="16"/>
              </w:rPr>
              <w:t>-</w:t>
            </w:r>
          </w:p>
        </w:tc>
        <w:tc>
          <w:tcPr>
            <w:tcW w:w="349" w:type="pct"/>
            <w:tcBorders>
              <w:top w:val="single" w:sz="4" w:space="0" w:color="auto"/>
              <w:left w:val="nil"/>
              <w:bottom w:val="single" w:sz="12" w:space="0" w:color="auto"/>
              <w:right w:val="nil"/>
            </w:tcBorders>
            <w:noWrap/>
            <w:vAlign w:val="bottom"/>
          </w:tcPr>
          <w:p w14:paraId="42609200" w14:textId="23E805A0" w:rsidR="00802DBC" w:rsidRPr="00471CBA" w:rsidRDefault="00802DBC" w:rsidP="00F36B82">
            <w:pPr>
              <w:ind w:right="-55"/>
              <w:jc w:val="right"/>
              <w:rPr>
                <w:b/>
                <w:bCs/>
                <w:color w:val="000000"/>
                <w:sz w:val="16"/>
                <w:szCs w:val="16"/>
              </w:rPr>
            </w:pPr>
            <w:r w:rsidRPr="00471CBA">
              <w:rPr>
                <w:b/>
                <w:bCs/>
                <w:sz w:val="16"/>
                <w:szCs w:val="16"/>
              </w:rPr>
              <w:t>38.259.491</w:t>
            </w:r>
          </w:p>
        </w:tc>
        <w:tc>
          <w:tcPr>
            <w:tcW w:w="230" w:type="pct"/>
            <w:tcBorders>
              <w:top w:val="single" w:sz="4" w:space="0" w:color="auto"/>
              <w:left w:val="nil"/>
              <w:bottom w:val="single" w:sz="12" w:space="0" w:color="auto"/>
              <w:right w:val="nil"/>
            </w:tcBorders>
            <w:noWrap/>
            <w:vAlign w:val="bottom"/>
          </w:tcPr>
          <w:p w14:paraId="0DCDDC33" w14:textId="25F55296" w:rsidR="00802DBC" w:rsidRPr="00471CBA" w:rsidRDefault="00802DBC" w:rsidP="00F36B82">
            <w:pPr>
              <w:ind w:right="-55"/>
              <w:jc w:val="right"/>
              <w:rPr>
                <w:b/>
                <w:bCs/>
                <w:color w:val="000000"/>
                <w:sz w:val="16"/>
                <w:szCs w:val="16"/>
              </w:rPr>
            </w:pPr>
            <w:r w:rsidRPr="00471CBA">
              <w:rPr>
                <w:b/>
                <w:bCs/>
                <w:sz w:val="16"/>
                <w:szCs w:val="16"/>
              </w:rPr>
              <w:t>-</w:t>
            </w:r>
          </w:p>
        </w:tc>
        <w:tc>
          <w:tcPr>
            <w:tcW w:w="230" w:type="pct"/>
            <w:tcBorders>
              <w:top w:val="single" w:sz="4" w:space="0" w:color="auto"/>
              <w:left w:val="nil"/>
              <w:bottom w:val="single" w:sz="12" w:space="0" w:color="auto"/>
              <w:right w:val="nil"/>
            </w:tcBorders>
            <w:noWrap/>
            <w:vAlign w:val="bottom"/>
          </w:tcPr>
          <w:p w14:paraId="2D854DF8" w14:textId="4C582E07" w:rsidR="00802DBC" w:rsidRPr="00471CBA" w:rsidRDefault="00802DBC" w:rsidP="00F36B82">
            <w:pPr>
              <w:ind w:right="-55"/>
              <w:jc w:val="right"/>
              <w:rPr>
                <w:b/>
                <w:bCs/>
                <w:color w:val="000000"/>
                <w:sz w:val="16"/>
                <w:szCs w:val="16"/>
              </w:rPr>
            </w:pPr>
            <w:r w:rsidRPr="00471CBA">
              <w:rPr>
                <w:b/>
                <w:bCs/>
                <w:sz w:val="16"/>
                <w:szCs w:val="16"/>
              </w:rPr>
              <w:t>-</w:t>
            </w:r>
          </w:p>
        </w:tc>
        <w:tc>
          <w:tcPr>
            <w:tcW w:w="353" w:type="pct"/>
            <w:tcBorders>
              <w:top w:val="single" w:sz="4" w:space="0" w:color="auto"/>
              <w:left w:val="nil"/>
              <w:bottom w:val="single" w:sz="12" w:space="0" w:color="auto"/>
              <w:right w:val="nil"/>
            </w:tcBorders>
            <w:noWrap/>
            <w:vAlign w:val="bottom"/>
          </w:tcPr>
          <w:p w14:paraId="6E0CFAD5" w14:textId="5D5B8350" w:rsidR="00802DBC" w:rsidRPr="00471CBA" w:rsidRDefault="00802DBC" w:rsidP="00F36B82">
            <w:pPr>
              <w:ind w:right="-55"/>
              <w:jc w:val="right"/>
              <w:rPr>
                <w:b/>
                <w:bCs/>
                <w:color w:val="000000"/>
                <w:sz w:val="16"/>
                <w:szCs w:val="16"/>
              </w:rPr>
            </w:pPr>
            <w:r w:rsidRPr="00471CBA">
              <w:rPr>
                <w:b/>
                <w:bCs/>
                <w:sz w:val="16"/>
                <w:szCs w:val="16"/>
              </w:rPr>
              <w:t>-</w:t>
            </w:r>
          </w:p>
        </w:tc>
        <w:tc>
          <w:tcPr>
            <w:tcW w:w="349" w:type="pct"/>
            <w:tcBorders>
              <w:top w:val="single" w:sz="4" w:space="0" w:color="auto"/>
              <w:left w:val="nil"/>
              <w:bottom w:val="single" w:sz="12" w:space="0" w:color="auto"/>
              <w:right w:val="nil"/>
            </w:tcBorders>
            <w:noWrap/>
            <w:vAlign w:val="bottom"/>
          </w:tcPr>
          <w:p w14:paraId="02FFB21F" w14:textId="40ABD900" w:rsidR="00802DBC" w:rsidRPr="00471CBA" w:rsidRDefault="00802DBC" w:rsidP="00F36B82">
            <w:pPr>
              <w:ind w:right="-55"/>
              <w:jc w:val="right"/>
              <w:rPr>
                <w:b/>
                <w:bCs/>
                <w:color w:val="000000"/>
                <w:sz w:val="16"/>
                <w:szCs w:val="16"/>
              </w:rPr>
            </w:pPr>
            <w:r w:rsidRPr="00471CBA">
              <w:rPr>
                <w:b/>
                <w:bCs/>
                <w:sz w:val="16"/>
                <w:szCs w:val="16"/>
              </w:rPr>
              <w:t>74.518.710</w:t>
            </w:r>
          </w:p>
        </w:tc>
      </w:tr>
    </w:tbl>
    <w:p w14:paraId="72B2DE55" w14:textId="44D1A609" w:rsidR="00EE0925" w:rsidRPr="00471CBA" w:rsidRDefault="00EE0925" w:rsidP="00F36B82">
      <w:pPr>
        <w:spacing w:before="120" w:after="120"/>
        <w:ind w:left="851" w:hanging="851"/>
        <w:rPr>
          <w:b/>
          <w:szCs w:val="20"/>
        </w:rPr>
        <w:sectPr w:rsidR="00EE0925" w:rsidRPr="00471CBA" w:rsidSect="00F36B82">
          <w:pgSz w:w="16840" w:h="11907" w:orient="landscape" w:code="9"/>
          <w:pgMar w:top="1134" w:right="1134" w:bottom="1134" w:left="1701" w:header="851" w:footer="851" w:gutter="0"/>
          <w:cols w:space="708"/>
          <w:titlePg/>
          <w:docGrid w:linePitch="360"/>
        </w:sectPr>
      </w:pPr>
      <w:bookmarkStart w:id="69" w:name="_Hlk127255656"/>
      <w:r w:rsidRPr="00471CBA">
        <w:rPr>
          <w:szCs w:val="20"/>
          <w:vertAlign w:val="superscript"/>
        </w:rPr>
        <w:t>(*)</w:t>
      </w:r>
      <w:r w:rsidRPr="00471CBA">
        <w:rPr>
          <w:szCs w:val="20"/>
        </w:rPr>
        <w:t xml:space="preserve"> </w:t>
      </w:r>
      <w:r w:rsidR="00F36B82">
        <w:rPr>
          <w:szCs w:val="20"/>
        </w:rPr>
        <w:tab/>
      </w:r>
      <w:r w:rsidRPr="00471CBA">
        <w:rPr>
          <w:szCs w:val="20"/>
        </w:rPr>
        <w:t>%500 risk ağırlığını ifade eder.</w:t>
      </w:r>
      <w:bookmarkEnd w:id="69"/>
    </w:p>
    <w:p w14:paraId="53085345" w14:textId="77777777" w:rsidR="00EE0925" w:rsidRPr="00471CBA" w:rsidRDefault="00EE0925" w:rsidP="00F36B82">
      <w:pPr>
        <w:pStyle w:val="GvdeMetniGirintisi"/>
        <w:widowControl w:val="0"/>
        <w:ind w:firstLine="0"/>
        <w:rPr>
          <w:b/>
          <w:szCs w:val="20"/>
        </w:rPr>
      </w:pPr>
      <w:r w:rsidRPr="00471CBA">
        <w:rPr>
          <w:b/>
          <w:szCs w:val="20"/>
        </w:rPr>
        <w:t>MALİ BÜNYEYE VE RİSK YÖNETİMİNE İLİŞKİN BİLGİLER (Devamı)</w:t>
      </w:r>
    </w:p>
    <w:p w14:paraId="016F6998" w14:textId="77777777" w:rsidR="00EE0925" w:rsidRPr="00471CBA" w:rsidRDefault="00EE0925" w:rsidP="00F36B82">
      <w:pPr>
        <w:widowControl w:val="0"/>
        <w:autoSpaceDE w:val="0"/>
        <w:autoSpaceDN w:val="0"/>
        <w:adjustRightInd w:val="0"/>
        <w:jc w:val="both"/>
        <w:rPr>
          <w:sz w:val="16"/>
          <w:szCs w:val="16"/>
        </w:rPr>
      </w:pPr>
    </w:p>
    <w:p w14:paraId="2A32926F" w14:textId="77777777" w:rsidR="00EE0925" w:rsidRPr="00471CBA" w:rsidRDefault="00EE0925" w:rsidP="00F36B82">
      <w:pPr>
        <w:widowControl w:val="0"/>
        <w:jc w:val="both"/>
        <w:outlineLvl w:val="1"/>
        <w:rPr>
          <w:b/>
          <w:szCs w:val="20"/>
        </w:rPr>
      </w:pPr>
      <w:r w:rsidRPr="00471CBA">
        <w:rPr>
          <w:b/>
          <w:szCs w:val="20"/>
        </w:rPr>
        <w:t>IX.</w:t>
      </w:r>
      <w:r w:rsidRPr="00471CBA">
        <w:rPr>
          <w:b/>
          <w:szCs w:val="20"/>
        </w:rPr>
        <w:tab/>
        <w:t xml:space="preserve"> RİSK YÖNETİMİNE İLİŞKİN AÇIKLAMALAR (Devamı)</w:t>
      </w:r>
    </w:p>
    <w:p w14:paraId="7128783A" w14:textId="618AC03C" w:rsidR="00EE0925" w:rsidRPr="00471CBA" w:rsidRDefault="00EE0925" w:rsidP="00F36B82">
      <w:pPr>
        <w:spacing w:before="120" w:after="120"/>
        <w:rPr>
          <w:b/>
          <w:szCs w:val="20"/>
        </w:rPr>
      </w:pPr>
      <w:r w:rsidRPr="00471CBA">
        <w:rPr>
          <w:b/>
          <w:szCs w:val="20"/>
        </w:rPr>
        <w:t>c.3.</w:t>
      </w:r>
      <w:r w:rsidR="00F658F0">
        <w:rPr>
          <w:b/>
          <w:szCs w:val="20"/>
        </w:rPr>
        <w:t>3</w:t>
      </w:r>
      <w:r w:rsidRPr="00471CBA">
        <w:rPr>
          <w:b/>
          <w:szCs w:val="20"/>
        </w:rPr>
        <w:t>. Risk Sınıflarına ve Risk Ağırlıklarına Göre Alacaklar (Devamı):</w:t>
      </w:r>
    </w:p>
    <w:tbl>
      <w:tblPr>
        <w:tblStyle w:val="TabloKlavuz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4"/>
        <w:gridCol w:w="2543"/>
        <w:gridCol w:w="856"/>
        <w:gridCol w:w="750"/>
        <w:gridCol w:w="856"/>
        <w:gridCol w:w="649"/>
        <w:gridCol w:w="1665"/>
        <w:gridCol w:w="760"/>
        <w:gridCol w:w="760"/>
        <w:gridCol w:w="936"/>
        <w:gridCol w:w="760"/>
        <w:gridCol w:w="764"/>
        <w:gridCol w:w="946"/>
        <w:gridCol w:w="936"/>
      </w:tblGrid>
      <w:tr w:rsidR="00F36B82" w:rsidRPr="00471CBA" w14:paraId="556A731D" w14:textId="77777777" w:rsidTr="00F36B82">
        <w:trPr>
          <w:trHeight w:val="170"/>
        </w:trPr>
        <w:tc>
          <w:tcPr>
            <w:tcW w:w="294" w:type="pct"/>
            <w:tcBorders>
              <w:top w:val="single" w:sz="4" w:space="0" w:color="auto"/>
              <w:bottom w:val="single" w:sz="4" w:space="0" w:color="auto"/>
            </w:tcBorders>
            <w:noWrap/>
            <w:vAlign w:val="bottom"/>
            <w:hideMark/>
          </w:tcPr>
          <w:p w14:paraId="38992E7D" w14:textId="77777777" w:rsidR="00EE0925" w:rsidRPr="00471CBA" w:rsidRDefault="00EE0925" w:rsidP="00B0049C">
            <w:pPr>
              <w:rPr>
                <w:sz w:val="16"/>
                <w:szCs w:val="16"/>
              </w:rPr>
            </w:pPr>
            <w:r w:rsidRPr="00471CBA">
              <w:rPr>
                <w:b/>
                <w:sz w:val="16"/>
                <w:szCs w:val="16"/>
              </w:rPr>
              <w:tab/>
            </w:r>
            <w:r w:rsidRPr="00471CBA">
              <w:rPr>
                <w:sz w:val="16"/>
                <w:szCs w:val="16"/>
              </w:rPr>
              <w:t> </w:t>
            </w:r>
          </w:p>
        </w:tc>
        <w:tc>
          <w:tcPr>
            <w:tcW w:w="914" w:type="pct"/>
            <w:tcBorders>
              <w:top w:val="single" w:sz="4" w:space="0" w:color="auto"/>
              <w:bottom w:val="single" w:sz="4" w:space="0" w:color="auto"/>
            </w:tcBorders>
            <w:vAlign w:val="bottom"/>
            <w:hideMark/>
          </w:tcPr>
          <w:p w14:paraId="6799325F" w14:textId="77777777" w:rsidR="00EE0925" w:rsidRPr="00471CBA" w:rsidRDefault="00EE0925" w:rsidP="00B0049C">
            <w:pPr>
              <w:contextualSpacing/>
              <w:rPr>
                <w:b/>
                <w:sz w:val="16"/>
                <w:szCs w:val="16"/>
              </w:rPr>
            </w:pPr>
            <w:r w:rsidRPr="00471CBA">
              <w:rPr>
                <w:b/>
                <w:sz w:val="16"/>
                <w:szCs w:val="16"/>
              </w:rPr>
              <w:t>31 Aralık 2024</w:t>
            </w:r>
          </w:p>
          <w:p w14:paraId="7B2E52DB" w14:textId="77777777" w:rsidR="00EE0925" w:rsidRPr="00471CBA" w:rsidRDefault="00EE0925" w:rsidP="00B0049C">
            <w:pPr>
              <w:spacing w:before="120"/>
              <w:contextualSpacing/>
              <w:rPr>
                <w:b/>
                <w:sz w:val="16"/>
                <w:szCs w:val="16"/>
              </w:rPr>
            </w:pPr>
          </w:p>
          <w:p w14:paraId="3B2D8E6D" w14:textId="77777777" w:rsidR="00EE0925" w:rsidRPr="00471CBA" w:rsidRDefault="00EE0925" w:rsidP="00B0049C">
            <w:pPr>
              <w:spacing w:before="120"/>
              <w:contextualSpacing/>
              <w:rPr>
                <w:b/>
                <w:sz w:val="16"/>
                <w:szCs w:val="16"/>
              </w:rPr>
            </w:pPr>
            <w:r w:rsidRPr="00471CBA">
              <w:rPr>
                <w:b/>
                <w:sz w:val="16"/>
                <w:szCs w:val="16"/>
              </w:rPr>
              <w:t>Risk Sınıfları/Risk Ağırlığı</w:t>
            </w:r>
          </w:p>
        </w:tc>
        <w:tc>
          <w:tcPr>
            <w:tcW w:w="306" w:type="pct"/>
            <w:tcBorders>
              <w:top w:val="single" w:sz="4" w:space="0" w:color="auto"/>
              <w:bottom w:val="single" w:sz="4" w:space="0" w:color="auto"/>
            </w:tcBorders>
            <w:vAlign w:val="bottom"/>
            <w:hideMark/>
          </w:tcPr>
          <w:p w14:paraId="5DBDB09B" w14:textId="77777777" w:rsidR="00EE0925" w:rsidRPr="00471CBA" w:rsidRDefault="00EE0925" w:rsidP="00F36B82">
            <w:pPr>
              <w:ind w:right="-55"/>
              <w:contextualSpacing/>
              <w:jc w:val="right"/>
              <w:rPr>
                <w:b/>
                <w:sz w:val="16"/>
                <w:szCs w:val="16"/>
              </w:rPr>
            </w:pPr>
            <w:r w:rsidRPr="00471CBA">
              <w:rPr>
                <w:b/>
                <w:sz w:val="16"/>
                <w:szCs w:val="16"/>
              </w:rPr>
              <w:t>%0</w:t>
            </w:r>
          </w:p>
        </w:tc>
        <w:tc>
          <w:tcPr>
            <w:tcW w:w="278" w:type="pct"/>
            <w:tcBorders>
              <w:top w:val="single" w:sz="4" w:space="0" w:color="auto"/>
              <w:bottom w:val="single" w:sz="4" w:space="0" w:color="auto"/>
            </w:tcBorders>
            <w:vAlign w:val="bottom"/>
            <w:hideMark/>
          </w:tcPr>
          <w:p w14:paraId="512D0F50" w14:textId="77777777" w:rsidR="00EE0925" w:rsidRPr="00471CBA" w:rsidRDefault="00EE0925" w:rsidP="00F36B82">
            <w:pPr>
              <w:ind w:right="-55"/>
              <w:contextualSpacing/>
              <w:jc w:val="right"/>
              <w:rPr>
                <w:b/>
                <w:sz w:val="16"/>
                <w:szCs w:val="16"/>
              </w:rPr>
            </w:pPr>
            <w:r w:rsidRPr="00471CBA">
              <w:rPr>
                <w:b/>
                <w:sz w:val="16"/>
                <w:szCs w:val="16"/>
              </w:rPr>
              <w:t>%10</w:t>
            </w:r>
          </w:p>
        </w:tc>
        <w:tc>
          <w:tcPr>
            <w:tcW w:w="306" w:type="pct"/>
            <w:tcBorders>
              <w:top w:val="single" w:sz="4" w:space="0" w:color="auto"/>
              <w:bottom w:val="single" w:sz="4" w:space="0" w:color="auto"/>
            </w:tcBorders>
            <w:vAlign w:val="bottom"/>
            <w:hideMark/>
          </w:tcPr>
          <w:p w14:paraId="48B14435" w14:textId="77777777" w:rsidR="00EE0925" w:rsidRPr="00471CBA" w:rsidRDefault="00EE0925" w:rsidP="00F36B82">
            <w:pPr>
              <w:ind w:right="-55"/>
              <w:contextualSpacing/>
              <w:jc w:val="right"/>
              <w:rPr>
                <w:b/>
                <w:sz w:val="16"/>
                <w:szCs w:val="16"/>
              </w:rPr>
            </w:pPr>
            <w:r w:rsidRPr="00471CBA">
              <w:rPr>
                <w:b/>
                <w:sz w:val="16"/>
                <w:szCs w:val="16"/>
              </w:rPr>
              <w:t>%20</w:t>
            </w:r>
          </w:p>
        </w:tc>
        <w:tc>
          <w:tcPr>
            <w:tcW w:w="242" w:type="pct"/>
            <w:tcBorders>
              <w:top w:val="single" w:sz="4" w:space="0" w:color="auto"/>
              <w:bottom w:val="single" w:sz="4" w:space="0" w:color="auto"/>
            </w:tcBorders>
            <w:vAlign w:val="bottom"/>
          </w:tcPr>
          <w:p w14:paraId="53927E6B" w14:textId="77777777" w:rsidR="00EE0925" w:rsidRPr="00471CBA" w:rsidRDefault="00EE0925" w:rsidP="00F36B82">
            <w:pPr>
              <w:ind w:right="-55"/>
              <w:contextualSpacing/>
              <w:jc w:val="right"/>
              <w:rPr>
                <w:b/>
                <w:sz w:val="16"/>
                <w:szCs w:val="16"/>
              </w:rPr>
            </w:pPr>
            <w:r w:rsidRPr="00471CBA">
              <w:rPr>
                <w:b/>
                <w:sz w:val="16"/>
                <w:szCs w:val="16"/>
              </w:rPr>
              <w:t>%25</w:t>
            </w:r>
          </w:p>
        </w:tc>
        <w:tc>
          <w:tcPr>
            <w:tcW w:w="545" w:type="pct"/>
            <w:tcBorders>
              <w:top w:val="single" w:sz="4" w:space="0" w:color="auto"/>
              <w:bottom w:val="single" w:sz="4" w:space="0" w:color="auto"/>
            </w:tcBorders>
            <w:vAlign w:val="bottom"/>
          </w:tcPr>
          <w:p w14:paraId="3608AE8E" w14:textId="77777777" w:rsidR="00EE0925" w:rsidRPr="00471CBA" w:rsidRDefault="00EE0925" w:rsidP="00F36B82">
            <w:pPr>
              <w:ind w:right="-55"/>
              <w:contextualSpacing/>
              <w:jc w:val="right"/>
              <w:rPr>
                <w:b/>
                <w:sz w:val="16"/>
                <w:szCs w:val="16"/>
              </w:rPr>
            </w:pPr>
            <w:r w:rsidRPr="00471CBA">
              <w:rPr>
                <w:b/>
                <w:sz w:val="16"/>
                <w:szCs w:val="16"/>
              </w:rPr>
              <w:t>%35 Gayrimenkul İpoteğiyle Teminatlandırılanlar</w:t>
            </w:r>
          </w:p>
        </w:tc>
        <w:tc>
          <w:tcPr>
            <w:tcW w:w="277" w:type="pct"/>
            <w:tcBorders>
              <w:top w:val="single" w:sz="4" w:space="0" w:color="auto"/>
              <w:bottom w:val="single" w:sz="4" w:space="0" w:color="auto"/>
            </w:tcBorders>
            <w:vAlign w:val="bottom"/>
            <w:hideMark/>
          </w:tcPr>
          <w:p w14:paraId="061D55B5" w14:textId="77777777" w:rsidR="00EE0925" w:rsidRPr="00471CBA" w:rsidRDefault="00EE0925" w:rsidP="00F36B82">
            <w:pPr>
              <w:ind w:right="-55"/>
              <w:contextualSpacing/>
              <w:jc w:val="right"/>
              <w:rPr>
                <w:b/>
                <w:sz w:val="16"/>
                <w:szCs w:val="16"/>
              </w:rPr>
            </w:pPr>
            <w:r w:rsidRPr="00471CBA">
              <w:rPr>
                <w:b/>
                <w:sz w:val="16"/>
                <w:szCs w:val="16"/>
              </w:rPr>
              <w:t>%50</w:t>
            </w:r>
          </w:p>
        </w:tc>
        <w:tc>
          <w:tcPr>
            <w:tcW w:w="277" w:type="pct"/>
            <w:tcBorders>
              <w:top w:val="single" w:sz="4" w:space="0" w:color="auto"/>
              <w:bottom w:val="single" w:sz="4" w:space="0" w:color="auto"/>
            </w:tcBorders>
            <w:vAlign w:val="bottom"/>
            <w:hideMark/>
          </w:tcPr>
          <w:p w14:paraId="2E6DA53F" w14:textId="77777777" w:rsidR="00EE0925" w:rsidRPr="00471CBA" w:rsidRDefault="00EE0925" w:rsidP="00F36B82">
            <w:pPr>
              <w:ind w:right="-55"/>
              <w:contextualSpacing/>
              <w:jc w:val="right"/>
              <w:rPr>
                <w:b/>
                <w:sz w:val="16"/>
                <w:szCs w:val="16"/>
              </w:rPr>
            </w:pPr>
            <w:r w:rsidRPr="00471CBA">
              <w:rPr>
                <w:b/>
                <w:sz w:val="16"/>
                <w:szCs w:val="16"/>
              </w:rPr>
              <w:t>%75</w:t>
            </w:r>
          </w:p>
        </w:tc>
        <w:tc>
          <w:tcPr>
            <w:tcW w:w="334" w:type="pct"/>
            <w:tcBorders>
              <w:top w:val="single" w:sz="4" w:space="0" w:color="auto"/>
              <w:bottom w:val="single" w:sz="4" w:space="0" w:color="auto"/>
            </w:tcBorders>
            <w:vAlign w:val="bottom"/>
            <w:hideMark/>
          </w:tcPr>
          <w:p w14:paraId="3F6926F9" w14:textId="77777777" w:rsidR="00EE0925" w:rsidRPr="00471CBA" w:rsidRDefault="00EE0925" w:rsidP="00F36B82">
            <w:pPr>
              <w:ind w:right="-55"/>
              <w:contextualSpacing/>
              <w:jc w:val="right"/>
              <w:rPr>
                <w:b/>
                <w:sz w:val="16"/>
                <w:szCs w:val="16"/>
              </w:rPr>
            </w:pPr>
            <w:r w:rsidRPr="00471CBA">
              <w:rPr>
                <w:b/>
                <w:sz w:val="16"/>
                <w:szCs w:val="16"/>
              </w:rPr>
              <w:t>%100</w:t>
            </w:r>
          </w:p>
        </w:tc>
        <w:tc>
          <w:tcPr>
            <w:tcW w:w="277" w:type="pct"/>
            <w:tcBorders>
              <w:top w:val="single" w:sz="4" w:space="0" w:color="auto"/>
              <w:bottom w:val="single" w:sz="4" w:space="0" w:color="auto"/>
            </w:tcBorders>
            <w:vAlign w:val="bottom"/>
            <w:hideMark/>
          </w:tcPr>
          <w:p w14:paraId="4008E411" w14:textId="77777777" w:rsidR="00EE0925" w:rsidRPr="00471CBA" w:rsidRDefault="00EE0925" w:rsidP="00F36B82">
            <w:pPr>
              <w:ind w:right="-55"/>
              <w:contextualSpacing/>
              <w:jc w:val="right"/>
              <w:rPr>
                <w:b/>
                <w:sz w:val="16"/>
                <w:szCs w:val="16"/>
              </w:rPr>
            </w:pPr>
            <w:r w:rsidRPr="00471CBA">
              <w:rPr>
                <w:b/>
                <w:sz w:val="16"/>
                <w:szCs w:val="16"/>
              </w:rPr>
              <w:t>%150</w:t>
            </w:r>
          </w:p>
        </w:tc>
        <w:tc>
          <w:tcPr>
            <w:tcW w:w="278" w:type="pct"/>
            <w:tcBorders>
              <w:top w:val="single" w:sz="4" w:space="0" w:color="auto"/>
              <w:bottom w:val="single" w:sz="4" w:space="0" w:color="auto"/>
            </w:tcBorders>
            <w:vAlign w:val="bottom"/>
            <w:hideMark/>
          </w:tcPr>
          <w:p w14:paraId="30223033" w14:textId="77777777" w:rsidR="00EE0925" w:rsidRPr="00471CBA" w:rsidRDefault="00EE0925" w:rsidP="00F36B82">
            <w:pPr>
              <w:ind w:right="-55"/>
              <w:contextualSpacing/>
              <w:jc w:val="right"/>
              <w:rPr>
                <w:b/>
                <w:sz w:val="16"/>
                <w:szCs w:val="16"/>
              </w:rPr>
            </w:pPr>
            <w:r w:rsidRPr="00471CBA">
              <w:rPr>
                <w:b/>
                <w:sz w:val="16"/>
                <w:szCs w:val="16"/>
              </w:rPr>
              <w:t>%250</w:t>
            </w:r>
          </w:p>
        </w:tc>
        <w:tc>
          <w:tcPr>
            <w:tcW w:w="338" w:type="pct"/>
            <w:tcBorders>
              <w:top w:val="single" w:sz="4" w:space="0" w:color="auto"/>
              <w:bottom w:val="single" w:sz="4" w:space="0" w:color="auto"/>
            </w:tcBorders>
            <w:vAlign w:val="bottom"/>
            <w:hideMark/>
          </w:tcPr>
          <w:p w14:paraId="2A9FEE11" w14:textId="77777777" w:rsidR="00EE0925" w:rsidRPr="00471CBA" w:rsidRDefault="00EE0925" w:rsidP="00F36B82">
            <w:pPr>
              <w:ind w:right="-55"/>
              <w:contextualSpacing/>
              <w:jc w:val="right"/>
              <w:rPr>
                <w:b/>
                <w:sz w:val="16"/>
                <w:szCs w:val="16"/>
              </w:rPr>
            </w:pPr>
            <w:r w:rsidRPr="00471CBA">
              <w:rPr>
                <w:b/>
                <w:sz w:val="16"/>
                <w:szCs w:val="16"/>
              </w:rPr>
              <w:t>Diğerleri</w:t>
            </w:r>
            <w:r w:rsidRPr="00471CBA">
              <w:rPr>
                <w:b/>
                <w:sz w:val="16"/>
                <w:szCs w:val="16"/>
                <w:vertAlign w:val="superscript"/>
              </w:rPr>
              <w:t>(*)</w:t>
            </w:r>
          </w:p>
        </w:tc>
        <w:tc>
          <w:tcPr>
            <w:tcW w:w="334" w:type="pct"/>
            <w:tcBorders>
              <w:top w:val="single" w:sz="4" w:space="0" w:color="auto"/>
              <w:bottom w:val="single" w:sz="4" w:space="0" w:color="auto"/>
            </w:tcBorders>
            <w:vAlign w:val="bottom"/>
            <w:hideMark/>
          </w:tcPr>
          <w:p w14:paraId="547CDE56" w14:textId="77777777" w:rsidR="00EE0925" w:rsidRPr="00471CBA" w:rsidRDefault="00EE0925" w:rsidP="00F36B82">
            <w:pPr>
              <w:ind w:right="-55"/>
              <w:contextualSpacing/>
              <w:jc w:val="right"/>
              <w:rPr>
                <w:b/>
                <w:sz w:val="16"/>
                <w:szCs w:val="16"/>
              </w:rPr>
            </w:pPr>
            <w:r w:rsidRPr="00471CBA">
              <w:rPr>
                <w:b/>
                <w:sz w:val="16"/>
                <w:szCs w:val="16"/>
              </w:rPr>
              <w:t>Toplam risk tutarı (KDO ve KRA sonrası)</w:t>
            </w:r>
          </w:p>
        </w:tc>
      </w:tr>
      <w:tr w:rsidR="00F36B82" w:rsidRPr="00471CBA" w14:paraId="0D61F033" w14:textId="77777777" w:rsidTr="00F36B82">
        <w:trPr>
          <w:trHeight w:val="170"/>
        </w:trPr>
        <w:tc>
          <w:tcPr>
            <w:tcW w:w="294" w:type="pct"/>
            <w:tcBorders>
              <w:top w:val="single" w:sz="4" w:space="0" w:color="auto"/>
            </w:tcBorders>
            <w:noWrap/>
            <w:hideMark/>
          </w:tcPr>
          <w:p w14:paraId="6FCF129F" w14:textId="77777777" w:rsidR="000A44B5" w:rsidRPr="00471CBA" w:rsidRDefault="000A44B5" w:rsidP="000A44B5">
            <w:pPr>
              <w:rPr>
                <w:sz w:val="16"/>
                <w:szCs w:val="16"/>
              </w:rPr>
            </w:pPr>
            <w:r w:rsidRPr="00471CBA">
              <w:rPr>
                <w:sz w:val="16"/>
                <w:szCs w:val="16"/>
              </w:rPr>
              <w:t>1</w:t>
            </w:r>
          </w:p>
        </w:tc>
        <w:tc>
          <w:tcPr>
            <w:tcW w:w="914" w:type="pct"/>
            <w:tcBorders>
              <w:top w:val="single" w:sz="4" w:space="0" w:color="auto"/>
            </w:tcBorders>
            <w:hideMark/>
          </w:tcPr>
          <w:p w14:paraId="760A5DF6" w14:textId="77777777" w:rsidR="000A44B5" w:rsidRPr="00471CBA" w:rsidRDefault="000A44B5" w:rsidP="000A44B5">
            <w:pPr>
              <w:contextualSpacing/>
              <w:rPr>
                <w:sz w:val="16"/>
                <w:szCs w:val="16"/>
              </w:rPr>
            </w:pPr>
            <w:r w:rsidRPr="00471CBA">
              <w:rPr>
                <w:sz w:val="16"/>
                <w:szCs w:val="16"/>
              </w:rPr>
              <w:t>Merkezi yönetimlerden veya merkez bankalarından alacaklar</w:t>
            </w:r>
          </w:p>
        </w:tc>
        <w:tc>
          <w:tcPr>
            <w:tcW w:w="306" w:type="pct"/>
            <w:tcBorders>
              <w:top w:val="nil"/>
              <w:left w:val="nil"/>
              <w:bottom w:val="nil"/>
              <w:right w:val="nil"/>
            </w:tcBorders>
            <w:noWrap/>
            <w:vAlign w:val="bottom"/>
          </w:tcPr>
          <w:p w14:paraId="06C39E7B" w14:textId="17DE7312" w:rsidR="000A44B5" w:rsidRPr="00471CBA" w:rsidRDefault="000A44B5" w:rsidP="00F36B82">
            <w:pPr>
              <w:ind w:right="-55"/>
              <w:jc w:val="right"/>
              <w:rPr>
                <w:color w:val="000000"/>
                <w:sz w:val="16"/>
                <w:szCs w:val="16"/>
              </w:rPr>
            </w:pPr>
            <w:r w:rsidRPr="00471CBA">
              <w:rPr>
                <w:sz w:val="16"/>
                <w:szCs w:val="16"/>
              </w:rPr>
              <w:t>4.830.858</w:t>
            </w:r>
          </w:p>
        </w:tc>
        <w:tc>
          <w:tcPr>
            <w:tcW w:w="278" w:type="pct"/>
            <w:tcBorders>
              <w:top w:val="nil"/>
              <w:left w:val="nil"/>
              <w:bottom w:val="nil"/>
              <w:right w:val="nil"/>
            </w:tcBorders>
            <w:noWrap/>
            <w:vAlign w:val="bottom"/>
          </w:tcPr>
          <w:p w14:paraId="19A38EC1" w14:textId="7D532FE4" w:rsidR="000A44B5" w:rsidRPr="00471CBA" w:rsidRDefault="000A44B5" w:rsidP="00F36B82">
            <w:pPr>
              <w:ind w:right="-55"/>
              <w:jc w:val="right"/>
              <w:rPr>
                <w:color w:val="000000"/>
                <w:sz w:val="16"/>
                <w:szCs w:val="16"/>
              </w:rPr>
            </w:pPr>
            <w:r w:rsidRPr="00471CBA">
              <w:rPr>
                <w:sz w:val="16"/>
                <w:szCs w:val="16"/>
              </w:rPr>
              <w:t>-</w:t>
            </w:r>
          </w:p>
        </w:tc>
        <w:tc>
          <w:tcPr>
            <w:tcW w:w="306" w:type="pct"/>
            <w:tcBorders>
              <w:top w:val="nil"/>
              <w:left w:val="nil"/>
              <w:bottom w:val="nil"/>
              <w:right w:val="nil"/>
            </w:tcBorders>
            <w:noWrap/>
            <w:vAlign w:val="bottom"/>
          </w:tcPr>
          <w:p w14:paraId="32A85330" w14:textId="5B39BA60" w:rsidR="000A44B5" w:rsidRPr="00471CBA" w:rsidRDefault="000A44B5" w:rsidP="00F36B82">
            <w:pPr>
              <w:ind w:right="-55"/>
              <w:jc w:val="right"/>
              <w:rPr>
                <w:color w:val="000000"/>
                <w:sz w:val="16"/>
                <w:szCs w:val="16"/>
              </w:rPr>
            </w:pPr>
            <w:r w:rsidRPr="00471CBA">
              <w:rPr>
                <w:sz w:val="16"/>
                <w:szCs w:val="16"/>
              </w:rPr>
              <w:t>-</w:t>
            </w:r>
          </w:p>
        </w:tc>
        <w:tc>
          <w:tcPr>
            <w:tcW w:w="242" w:type="pct"/>
            <w:tcBorders>
              <w:top w:val="nil"/>
              <w:left w:val="nil"/>
              <w:bottom w:val="nil"/>
              <w:right w:val="nil"/>
            </w:tcBorders>
            <w:vAlign w:val="bottom"/>
          </w:tcPr>
          <w:p w14:paraId="7E8C2071" w14:textId="059F7CE1" w:rsidR="000A44B5" w:rsidRPr="00471CBA" w:rsidRDefault="000A44B5" w:rsidP="00F36B82">
            <w:pPr>
              <w:ind w:right="-55"/>
              <w:jc w:val="right"/>
              <w:rPr>
                <w:color w:val="000000"/>
                <w:sz w:val="16"/>
                <w:szCs w:val="16"/>
              </w:rPr>
            </w:pPr>
            <w:r w:rsidRPr="00471CBA">
              <w:rPr>
                <w:sz w:val="16"/>
                <w:szCs w:val="16"/>
              </w:rPr>
              <w:t>-</w:t>
            </w:r>
          </w:p>
        </w:tc>
        <w:tc>
          <w:tcPr>
            <w:tcW w:w="545" w:type="pct"/>
            <w:tcBorders>
              <w:top w:val="nil"/>
              <w:left w:val="nil"/>
              <w:bottom w:val="nil"/>
              <w:right w:val="nil"/>
            </w:tcBorders>
            <w:vAlign w:val="bottom"/>
          </w:tcPr>
          <w:p w14:paraId="60C57E3E" w14:textId="0998A1AD" w:rsidR="000A44B5" w:rsidRPr="00471CBA" w:rsidRDefault="000A44B5" w:rsidP="00F36B82">
            <w:pPr>
              <w:ind w:right="-55"/>
              <w:jc w:val="right"/>
              <w:rPr>
                <w:color w:val="000000"/>
                <w:sz w:val="16"/>
                <w:szCs w:val="16"/>
              </w:rPr>
            </w:pPr>
            <w:r w:rsidRPr="00471CBA">
              <w:rPr>
                <w:sz w:val="16"/>
                <w:szCs w:val="16"/>
              </w:rPr>
              <w:t>-</w:t>
            </w:r>
          </w:p>
        </w:tc>
        <w:tc>
          <w:tcPr>
            <w:tcW w:w="277" w:type="pct"/>
            <w:tcBorders>
              <w:top w:val="nil"/>
              <w:left w:val="nil"/>
              <w:bottom w:val="nil"/>
              <w:right w:val="nil"/>
            </w:tcBorders>
            <w:noWrap/>
            <w:vAlign w:val="bottom"/>
          </w:tcPr>
          <w:p w14:paraId="1388FFA5" w14:textId="0B35C396" w:rsidR="000A44B5" w:rsidRPr="00471CBA" w:rsidRDefault="000A44B5" w:rsidP="00F36B82">
            <w:pPr>
              <w:ind w:right="-55"/>
              <w:jc w:val="right"/>
              <w:rPr>
                <w:color w:val="000000"/>
                <w:sz w:val="16"/>
                <w:szCs w:val="16"/>
              </w:rPr>
            </w:pPr>
            <w:r w:rsidRPr="00471CBA">
              <w:rPr>
                <w:sz w:val="16"/>
                <w:szCs w:val="16"/>
              </w:rPr>
              <w:t>-</w:t>
            </w:r>
          </w:p>
        </w:tc>
        <w:tc>
          <w:tcPr>
            <w:tcW w:w="277" w:type="pct"/>
            <w:tcBorders>
              <w:top w:val="nil"/>
              <w:left w:val="nil"/>
              <w:bottom w:val="nil"/>
              <w:right w:val="nil"/>
            </w:tcBorders>
            <w:noWrap/>
            <w:vAlign w:val="bottom"/>
          </w:tcPr>
          <w:p w14:paraId="09C41EBB" w14:textId="2AAC3194" w:rsidR="000A44B5" w:rsidRPr="00471CBA" w:rsidRDefault="000A44B5" w:rsidP="00F36B82">
            <w:pPr>
              <w:ind w:right="-55"/>
              <w:jc w:val="right"/>
              <w:rPr>
                <w:color w:val="000000"/>
                <w:sz w:val="16"/>
                <w:szCs w:val="16"/>
              </w:rPr>
            </w:pPr>
            <w:r w:rsidRPr="00471CBA">
              <w:rPr>
                <w:sz w:val="16"/>
                <w:szCs w:val="16"/>
              </w:rPr>
              <w:t>-</w:t>
            </w:r>
          </w:p>
        </w:tc>
        <w:tc>
          <w:tcPr>
            <w:tcW w:w="334" w:type="pct"/>
            <w:tcBorders>
              <w:top w:val="nil"/>
              <w:left w:val="nil"/>
              <w:bottom w:val="nil"/>
              <w:right w:val="nil"/>
            </w:tcBorders>
            <w:noWrap/>
            <w:vAlign w:val="bottom"/>
          </w:tcPr>
          <w:p w14:paraId="43DBB1D7" w14:textId="575BB19B" w:rsidR="000A44B5" w:rsidRPr="00471CBA" w:rsidRDefault="000A44B5" w:rsidP="00F36B82">
            <w:pPr>
              <w:ind w:right="-55"/>
              <w:jc w:val="right"/>
              <w:rPr>
                <w:color w:val="000000"/>
                <w:sz w:val="16"/>
                <w:szCs w:val="16"/>
              </w:rPr>
            </w:pPr>
            <w:r w:rsidRPr="00471CBA">
              <w:rPr>
                <w:sz w:val="16"/>
                <w:szCs w:val="16"/>
              </w:rPr>
              <w:t>-</w:t>
            </w:r>
          </w:p>
        </w:tc>
        <w:tc>
          <w:tcPr>
            <w:tcW w:w="277" w:type="pct"/>
            <w:tcBorders>
              <w:top w:val="nil"/>
              <w:left w:val="nil"/>
              <w:bottom w:val="nil"/>
              <w:right w:val="nil"/>
            </w:tcBorders>
            <w:noWrap/>
            <w:vAlign w:val="bottom"/>
          </w:tcPr>
          <w:p w14:paraId="5E427100" w14:textId="295805E9" w:rsidR="000A44B5" w:rsidRPr="00471CBA" w:rsidRDefault="000A44B5" w:rsidP="00F36B82">
            <w:pPr>
              <w:ind w:right="-55"/>
              <w:jc w:val="right"/>
              <w:rPr>
                <w:color w:val="000000"/>
                <w:sz w:val="16"/>
                <w:szCs w:val="16"/>
              </w:rPr>
            </w:pPr>
            <w:r w:rsidRPr="00471CBA">
              <w:rPr>
                <w:sz w:val="16"/>
                <w:szCs w:val="16"/>
              </w:rPr>
              <w:t>-</w:t>
            </w:r>
          </w:p>
        </w:tc>
        <w:tc>
          <w:tcPr>
            <w:tcW w:w="278" w:type="pct"/>
            <w:tcBorders>
              <w:top w:val="nil"/>
              <w:left w:val="nil"/>
              <w:bottom w:val="nil"/>
              <w:right w:val="nil"/>
            </w:tcBorders>
            <w:noWrap/>
            <w:vAlign w:val="bottom"/>
          </w:tcPr>
          <w:p w14:paraId="35F5FC6B" w14:textId="3C7EA8D4" w:rsidR="000A44B5" w:rsidRPr="00471CBA" w:rsidRDefault="000A44B5" w:rsidP="00F36B82">
            <w:pPr>
              <w:ind w:right="-55"/>
              <w:jc w:val="right"/>
              <w:rPr>
                <w:color w:val="000000"/>
                <w:sz w:val="16"/>
                <w:szCs w:val="16"/>
              </w:rPr>
            </w:pPr>
            <w:r w:rsidRPr="00471CBA">
              <w:rPr>
                <w:sz w:val="16"/>
                <w:szCs w:val="16"/>
              </w:rPr>
              <w:t>-</w:t>
            </w:r>
          </w:p>
        </w:tc>
        <w:tc>
          <w:tcPr>
            <w:tcW w:w="338" w:type="pct"/>
            <w:tcBorders>
              <w:top w:val="nil"/>
              <w:left w:val="nil"/>
              <w:bottom w:val="nil"/>
              <w:right w:val="nil"/>
            </w:tcBorders>
            <w:noWrap/>
            <w:vAlign w:val="bottom"/>
          </w:tcPr>
          <w:p w14:paraId="38E17288" w14:textId="705FD31C" w:rsidR="000A44B5" w:rsidRPr="00471CBA" w:rsidRDefault="000A44B5" w:rsidP="00F36B82">
            <w:pPr>
              <w:ind w:right="-55"/>
              <w:jc w:val="right"/>
              <w:rPr>
                <w:color w:val="000000"/>
                <w:sz w:val="16"/>
                <w:szCs w:val="16"/>
              </w:rPr>
            </w:pPr>
            <w:r w:rsidRPr="00471CBA">
              <w:rPr>
                <w:sz w:val="16"/>
                <w:szCs w:val="16"/>
              </w:rPr>
              <w:t>-</w:t>
            </w:r>
          </w:p>
        </w:tc>
        <w:tc>
          <w:tcPr>
            <w:tcW w:w="334" w:type="pct"/>
            <w:tcBorders>
              <w:top w:val="nil"/>
              <w:left w:val="nil"/>
              <w:bottom w:val="nil"/>
              <w:right w:val="nil"/>
            </w:tcBorders>
            <w:noWrap/>
            <w:vAlign w:val="bottom"/>
          </w:tcPr>
          <w:p w14:paraId="3BF3A732" w14:textId="658D80D3" w:rsidR="000A44B5" w:rsidRPr="00471CBA" w:rsidRDefault="000A44B5" w:rsidP="00F36B82">
            <w:pPr>
              <w:ind w:right="-55"/>
              <w:jc w:val="right"/>
              <w:rPr>
                <w:color w:val="000000"/>
                <w:sz w:val="16"/>
                <w:szCs w:val="16"/>
              </w:rPr>
            </w:pPr>
            <w:r w:rsidRPr="00471CBA">
              <w:rPr>
                <w:sz w:val="16"/>
                <w:szCs w:val="16"/>
              </w:rPr>
              <w:t>4.830.858</w:t>
            </w:r>
          </w:p>
        </w:tc>
      </w:tr>
      <w:tr w:rsidR="00F36B82" w:rsidRPr="00471CBA" w14:paraId="195C0C92" w14:textId="77777777" w:rsidTr="00F36B82">
        <w:trPr>
          <w:trHeight w:val="170"/>
        </w:trPr>
        <w:tc>
          <w:tcPr>
            <w:tcW w:w="294" w:type="pct"/>
            <w:noWrap/>
            <w:hideMark/>
          </w:tcPr>
          <w:p w14:paraId="01488F80" w14:textId="77777777" w:rsidR="000A44B5" w:rsidRPr="00471CBA" w:rsidRDefault="000A44B5" w:rsidP="000A44B5">
            <w:pPr>
              <w:rPr>
                <w:sz w:val="16"/>
                <w:szCs w:val="16"/>
              </w:rPr>
            </w:pPr>
            <w:r w:rsidRPr="00471CBA">
              <w:rPr>
                <w:sz w:val="16"/>
                <w:szCs w:val="16"/>
              </w:rPr>
              <w:t>2</w:t>
            </w:r>
          </w:p>
        </w:tc>
        <w:tc>
          <w:tcPr>
            <w:tcW w:w="914" w:type="pct"/>
            <w:hideMark/>
          </w:tcPr>
          <w:p w14:paraId="57B5D31A" w14:textId="77777777" w:rsidR="000A44B5" w:rsidRPr="00471CBA" w:rsidRDefault="000A44B5" w:rsidP="000A44B5">
            <w:pPr>
              <w:contextualSpacing/>
              <w:rPr>
                <w:sz w:val="16"/>
                <w:szCs w:val="16"/>
              </w:rPr>
            </w:pPr>
            <w:r w:rsidRPr="00471CBA">
              <w:rPr>
                <w:sz w:val="16"/>
                <w:szCs w:val="16"/>
              </w:rPr>
              <w:t>Bölgesel yönetimlerden veya yerel yönetimlerden alacaklar</w:t>
            </w:r>
          </w:p>
        </w:tc>
        <w:tc>
          <w:tcPr>
            <w:tcW w:w="306" w:type="pct"/>
            <w:tcBorders>
              <w:top w:val="nil"/>
              <w:left w:val="nil"/>
              <w:bottom w:val="nil"/>
              <w:right w:val="nil"/>
            </w:tcBorders>
            <w:noWrap/>
            <w:vAlign w:val="bottom"/>
          </w:tcPr>
          <w:p w14:paraId="75706FB9" w14:textId="4CAA3227" w:rsidR="000A44B5" w:rsidRPr="00471CBA" w:rsidRDefault="000A44B5" w:rsidP="00F36B82">
            <w:pPr>
              <w:ind w:right="-55"/>
              <w:jc w:val="right"/>
              <w:rPr>
                <w:color w:val="000000"/>
                <w:sz w:val="16"/>
                <w:szCs w:val="16"/>
              </w:rPr>
            </w:pPr>
            <w:r w:rsidRPr="00471CBA">
              <w:rPr>
                <w:sz w:val="16"/>
                <w:szCs w:val="16"/>
              </w:rPr>
              <w:t>-</w:t>
            </w:r>
          </w:p>
        </w:tc>
        <w:tc>
          <w:tcPr>
            <w:tcW w:w="278" w:type="pct"/>
            <w:tcBorders>
              <w:top w:val="nil"/>
              <w:left w:val="nil"/>
              <w:bottom w:val="nil"/>
              <w:right w:val="nil"/>
            </w:tcBorders>
            <w:noWrap/>
            <w:vAlign w:val="bottom"/>
          </w:tcPr>
          <w:p w14:paraId="757B0B5B" w14:textId="601C5B59" w:rsidR="000A44B5" w:rsidRPr="00471CBA" w:rsidRDefault="000A44B5" w:rsidP="00F36B82">
            <w:pPr>
              <w:ind w:right="-55"/>
              <w:jc w:val="right"/>
              <w:rPr>
                <w:color w:val="000000"/>
                <w:sz w:val="16"/>
                <w:szCs w:val="16"/>
              </w:rPr>
            </w:pPr>
            <w:r w:rsidRPr="00471CBA">
              <w:rPr>
                <w:sz w:val="16"/>
                <w:szCs w:val="16"/>
              </w:rPr>
              <w:t>-</w:t>
            </w:r>
          </w:p>
        </w:tc>
        <w:tc>
          <w:tcPr>
            <w:tcW w:w="306" w:type="pct"/>
            <w:tcBorders>
              <w:top w:val="nil"/>
              <w:left w:val="nil"/>
              <w:bottom w:val="nil"/>
              <w:right w:val="nil"/>
            </w:tcBorders>
            <w:noWrap/>
            <w:vAlign w:val="bottom"/>
          </w:tcPr>
          <w:p w14:paraId="0C6FABB5" w14:textId="25849A7B" w:rsidR="000A44B5" w:rsidRPr="00471CBA" w:rsidRDefault="000A44B5" w:rsidP="00F36B82">
            <w:pPr>
              <w:ind w:right="-55"/>
              <w:jc w:val="right"/>
              <w:rPr>
                <w:color w:val="000000"/>
                <w:sz w:val="16"/>
                <w:szCs w:val="16"/>
              </w:rPr>
            </w:pPr>
            <w:r w:rsidRPr="00471CBA">
              <w:rPr>
                <w:sz w:val="16"/>
                <w:szCs w:val="16"/>
              </w:rPr>
              <w:t>-</w:t>
            </w:r>
          </w:p>
        </w:tc>
        <w:tc>
          <w:tcPr>
            <w:tcW w:w="242" w:type="pct"/>
            <w:tcBorders>
              <w:top w:val="nil"/>
              <w:left w:val="nil"/>
              <w:bottom w:val="nil"/>
              <w:right w:val="nil"/>
            </w:tcBorders>
            <w:vAlign w:val="bottom"/>
          </w:tcPr>
          <w:p w14:paraId="331AE5CB" w14:textId="57036622" w:rsidR="000A44B5" w:rsidRPr="00471CBA" w:rsidRDefault="000A44B5" w:rsidP="00F36B82">
            <w:pPr>
              <w:ind w:right="-55"/>
              <w:jc w:val="right"/>
              <w:rPr>
                <w:color w:val="000000"/>
                <w:sz w:val="16"/>
                <w:szCs w:val="16"/>
              </w:rPr>
            </w:pPr>
            <w:r w:rsidRPr="00471CBA">
              <w:rPr>
                <w:sz w:val="16"/>
                <w:szCs w:val="16"/>
              </w:rPr>
              <w:t>-</w:t>
            </w:r>
          </w:p>
        </w:tc>
        <w:tc>
          <w:tcPr>
            <w:tcW w:w="545" w:type="pct"/>
            <w:tcBorders>
              <w:top w:val="nil"/>
              <w:left w:val="nil"/>
              <w:bottom w:val="nil"/>
              <w:right w:val="nil"/>
            </w:tcBorders>
            <w:vAlign w:val="bottom"/>
          </w:tcPr>
          <w:p w14:paraId="29EE6893" w14:textId="08952871" w:rsidR="000A44B5" w:rsidRPr="00471CBA" w:rsidRDefault="000A44B5" w:rsidP="00F36B82">
            <w:pPr>
              <w:ind w:right="-55"/>
              <w:jc w:val="right"/>
              <w:rPr>
                <w:color w:val="000000"/>
                <w:sz w:val="16"/>
                <w:szCs w:val="16"/>
              </w:rPr>
            </w:pPr>
            <w:r w:rsidRPr="00471CBA">
              <w:rPr>
                <w:sz w:val="16"/>
                <w:szCs w:val="16"/>
              </w:rPr>
              <w:t>-</w:t>
            </w:r>
          </w:p>
        </w:tc>
        <w:tc>
          <w:tcPr>
            <w:tcW w:w="277" w:type="pct"/>
            <w:tcBorders>
              <w:top w:val="nil"/>
              <w:left w:val="nil"/>
              <w:bottom w:val="nil"/>
              <w:right w:val="nil"/>
            </w:tcBorders>
            <w:noWrap/>
            <w:vAlign w:val="bottom"/>
          </w:tcPr>
          <w:p w14:paraId="3A2EA259" w14:textId="0F53062F" w:rsidR="000A44B5" w:rsidRPr="00471CBA" w:rsidRDefault="000A44B5" w:rsidP="00F36B82">
            <w:pPr>
              <w:ind w:right="-55"/>
              <w:jc w:val="right"/>
              <w:rPr>
                <w:color w:val="000000"/>
                <w:sz w:val="16"/>
                <w:szCs w:val="16"/>
              </w:rPr>
            </w:pPr>
            <w:r w:rsidRPr="00471CBA">
              <w:rPr>
                <w:sz w:val="16"/>
                <w:szCs w:val="16"/>
              </w:rPr>
              <w:t>-</w:t>
            </w:r>
          </w:p>
        </w:tc>
        <w:tc>
          <w:tcPr>
            <w:tcW w:w="277" w:type="pct"/>
            <w:tcBorders>
              <w:top w:val="nil"/>
              <w:left w:val="nil"/>
              <w:bottom w:val="nil"/>
              <w:right w:val="nil"/>
            </w:tcBorders>
            <w:noWrap/>
            <w:vAlign w:val="bottom"/>
          </w:tcPr>
          <w:p w14:paraId="2A170D18" w14:textId="2C8A359F" w:rsidR="000A44B5" w:rsidRPr="00471CBA" w:rsidRDefault="000A44B5" w:rsidP="00F36B82">
            <w:pPr>
              <w:ind w:right="-55"/>
              <w:jc w:val="right"/>
              <w:rPr>
                <w:color w:val="000000"/>
                <w:sz w:val="16"/>
                <w:szCs w:val="16"/>
              </w:rPr>
            </w:pPr>
            <w:r w:rsidRPr="00471CBA">
              <w:rPr>
                <w:sz w:val="16"/>
                <w:szCs w:val="16"/>
              </w:rPr>
              <w:t>-</w:t>
            </w:r>
          </w:p>
        </w:tc>
        <w:tc>
          <w:tcPr>
            <w:tcW w:w="334" w:type="pct"/>
            <w:tcBorders>
              <w:top w:val="nil"/>
              <w:left w:val="nil"/>
              <w:bottom w:val="nil"/>
              <w:right w:val="nil"/>
            </w:tcBorders>
            <w:noWrap/>
            <w:vAlign w:val="bottom"/>
          </w:tcPr>
          <w:p w14:paraId="515E269D" w14:textId="735C778C" w:rsidR="000A44B5" w:rsidRPr="00471CBA" w:rsidRDefault="000A44B5" w:rsidP="00F36B82">
            <w:pPr>
              <w:ind w:right="-55"/>
              <w:jc w:val="right"/>
              <w:rPr>
                <w:color w:val="000000"/>
                <w:sz w:val="16"/>
                <w:szCs w:val="16"/>
              </w:rPr>
            </w:pPr>
            <w:r w:rsidRPr="00471CBA">
              <w:rPr>
                <w:sz w:val="16"/>
                <w:szCs w:val="16"/>
              </w:rPr>
              <w:t>-</w:t>
            </w:r>
          </w:p>
        </w:tc>
        <w:tc>
          <w:tcPr>
            <w:tcW w:w="277" w:type="pct"/>
            <w:tcBorders>
              <w:top w:val="nil"/>
              <w:left w:val="nil"/>
              <w:bottom w:val="nil"/>
              <w:right w:val="nil"/>
            </w:tcBorders>
            <w:noWrap/>
            <w:vAlign w:val="bottom"/>
          </w:tcPr>
          <w:p w14:paraId="23FC2729" w14:textId="233788E3" w:rsidR="000A44B5" w:rsidRPr="00471CBA" w:rsidRDefault="000A44B5" w:rsidP="00F36B82">
            <w:pPr>
              <w:ind w:right="-55"/>
              <w:jc w:val="right"/>
              <w:rPr>
                <w:color w:val="000000"/>
                <w:sz w:val="16"/>
                <w:szCs w:val="16"/>
              </w:rPr>
            </w:pPr>
            <w:r w:rsidRPr="00471CBA">
              <w:rPr>
                <w:sz w:val="16"/>
                <w:szCs w:val="16"/>
              </w:rPr>
              <w:t>-</w:t>
            </w:r>
          </w:p>
        </w:tc>
        <w:tc>
          <w:tcPr>
            <w:tcW w:w="278" w:type="pct"/>
            <w:tcBorders>
              <w:top w:val="nil"/>
              <w:left w:val="nil"/>
              <w:bottom w:val="nil"/>
              <w:right w:val="nil"/>
            </w:tcBorders>
            <w:noWrap/>
            <w:vAlign w:val="bottom"/>
          </w:tcPr>
          <w:p w14:paraId="1B77065F" w14:textId="0C06E7AE" w:rsidR="000A44B5" w:rsidRPr="00471CBA" w:rsidRDefault="000A44B5" w:rsidP="00F36B82">
            <w:pPr>
              <w:ind w:right="-55"/>
              <w:jc w:val="right"/>
              <w:rPr>
                <w:color w:val="000000"/>
                <w:sz w:val="16"/>
                <w:szCs w:val="16"/>
              </w:rPr>
            </w:pPr>
            <w:r w:rsidRPr="00471CBA">
              <w:rPr>
                <w:sz w:val="16"/>
                <w:szCs w:val="16"/>
              </w:rPr>
              <w:t>-</w:t>
            </w:r>
          </w:p>
        </w:tc>
        <w:tc>
          <w:tcPr>
            <w:tcW w:w="338" w:type="pct"/>
            <w:tcBorders>
              <w:top w:val="nil"/>
              <w:left w:val="nil"/>
              <w:bottom w:val="nil"/>
              <w:right w:val="nil"/>
            </w:tcBorders>
            <w:noWrap/>
            <w:vAlign w:val="bottom"/>
          </w:tcPr>
          <w:p w14:paraId="403C2003" w14:textId="1A8F3605" w:rsidR="000A44B5" w:rsidRPr="00471CBA" w:rsidRDefault="000A44B5" w:rsidP="00F36B82">
            <w:pPr>
              <w:ind w:right="-55"/>
              <w:jc w:val="right"/>
              <w:rPr>
                <w:color w:val="000000"/>
                <w:sz w:val="16"/>
                <w:szCs w:val="16"/>
              </w:rPr>
            </w:pPr>
            <w:r w:rsidRPr="00471CBA">
              <w:rPr>
                <w:sz w:val="16"/>
                <w:szCs w:val="16"/>
              </w:rPr>
              <w:t>-</w:t>
            </w:r>
          </w:p>
        </w:tc>
        <w:tc>
          <w:tcPr>
            <w:tcW w:w="334" w:type="pct"/>
            <w:tcBorders>
              <w:top w:val="nil"/>
              <w:left w:val="nil"/>
              <w:bottom w:val="nil"/>
              <w:right w:val="nil"/>
            </w:tcBorders>
            <w:noWrap/>
            <w:vAlign w:val="bottom"/>
          </w:tcPr>
          <w:p w14:paraId="5DA4E117" w14:textId="4FDA5F35" w:rsidR="000A44B5" w:rsidRPr="00471CBA" w:rsidRDefault="000A44B5" w:rsidP="00F36B82">
            <w:pPr>
              <w:ind w:right="-55"/>
              <w:jc w:val="right"/>
              <w:rPr>
                <w:color w:val="000000"/>
                <w:sz w:val="16"/>
                <w:szCs w:val="16"/>
              </w:rPr>
            </w:pPr>
            <w:r w:rsidRPr="00471CBA">
              <w:rPr>
                <w:sz w:val="16"/>
                <w:szCs w:val="16"/>
              </w:rPr>
              <w:t>-</w:t>
            </w:r>
          </w:p>
        </w:tc>
      </w:tr>
      <w:tr w:rsidR="00F36B82" w:rsidRPr="00471CBA" w14:paraId="654D3909" w14:textId="77777777" w:rsidTr="00F36B82">
        <w:trPr>
          <w:trHeight w:val="170"/>
        </w:trPr>
        <w:tc>
          <w:tcPr>
            <w:tcW w:w="294" w:type="pct"/>
            <w:noWrap/>
            <w:hideMark/>
          </w:tcPr>
          <w:p w14:paraId="7B5AEF03" w14:textId="77777777" w:rsidR="000A44B5" w:rsidRPr="00471CBA" w:rsidRDefault="000A44B5" w:rsidP="000A44B5">
            <w:pPr>
              <w:rPr>
                <w:sz w:val="16"/>
                <w:szCs w:val="16"/>
              </w:rPr>
            </w:pPr>
            <w:r w:rsidRPr="00471CBA">
              <w:rPr>
                <w:sz w:val="16"/>
                <w:szCs w:val="16"/>
              </w:rPr>
              <w:t>3</w:t>
            </w:r>
          </w:p>
        </w:tc>
        <w:tc>
          <w:tcPr>
            <w:tcW w:w="914" w:type="pct"/>
            <w:hideMark/>
          </w:tcPr>
          <w:p w14:paraId="6A904C36" w14:textId="77777777" w:rsidR="000A44B5" w:rsidRPr="00471CBA" w:rsidRDefault="000A44B5" w:rsidP="000A44B5">
            <w:pPr>
              <w:contextualSpacing/>
              <w:rPr>
                <w:sz w:val="16"/>
                <w:szCs w:val="16"/>
              </w:rPr>
            </w:pPr>
            <w:r w:rsidRPr="00471CBA">
              <w:rPr>
                <w:sz w:val="16"/>
                <w:szCs w:val="16"/>
              </w:rPr>
              <w:t>İdari birimlerden ve ticari olmayan girişimlerden alacaklar</w:t>
            </w:r>
          </w:p>
        </w:tc>
        <w:tc>
          <w:tcPr>
            <w:tcW w:w="306" w:type="pct"/>
            <w:tcBorders>
              <w:top w:val="nil"/>
              <w:left w:val="nil"/>
              <w:bottom w:val="nil"/>
              <w:right w:val="nil"/>
            </w:tcBorders>
            <w:noWrap/>
            <w:vAlign w:val="bottom"/>
          </w:tcPr>
          <w:p w14:paraId="3CC892DA" w14:textId="5426CE15" w:rsidR="000A44B5" w:rsidRPr="00471CBA" w:rsidRDefault="000A44B5" w:rsidP="00F36B82">
            <w:pPr>
              <w:ind w:right="-55"/>
              <w:jc w:val="right"/>
              <w:rPr>
                <w:color w:val="000000"/>
                <w:sz w:val="16"/>
                <w:szCs w:val="16"/>
              </w:rPr>
            </w:pPr>
            <w:r w:rsidRPr="00471CBA">
              <w:rPr>
                <w:sz w:val="16"/>
                <w:szCs w:val="16"/>
              </w:rPr>
              <w:t>-</w:t>
            </w:r>
          </w:p>
        </w:tc>
        <w:tc>
          <w:tcPr>
            <w:tcW w:w="278" w:type="pct"/>
            <w:tcBorders>
              <w:top w:val="nil"/>
              <w:left w:val="nil"/>
              <w:bottom w:val="nil"/>
              <w:right w:val="nil"/>
            </w:tcBorders>
            <w:noWrap/>
            <w:vAlign w:val="bottom"/>
          </w:tcPr>
          <w:p w14:paraId="75B689DD" w14:textId="3A700D1A" w:rsidR="000A44B5" w:rsidRPr="00471CBA" w:rsidRDefault="000A44B5" w:rsidP="00F36B82">
            <w:pPr>
              <w:ind w:right="-55"/>
              <w:jc w:val="right"/>
              <w:rPr>
                <w:color w:val="000000"/>
                <w:sz w:val="16"/>
                <w:szCs w:val="16"/>
              </w:rPr>
            </w:pPr>
            <w:r w:rsidRPr="00471CBA">
              <w:rPr>
                <w:sz w:val="16"/>
                <w:szCs w:val="16"/>
              </w:rPr>
              <w:t>-</w:t>
            </w:r>
          </w:p>
        </w:tc>
        <w:tc>
          <w:tcPr>
            <w:tcW w:w="306" w:type="pct"/>
            <w:tcBorders>
              <w:top w:val="nil"/>
              <w:left w:val="nil"/>
              <w:bottom w:val="nil"/>
              <w:right w:val="nil"/>
            </w:tcBorders>
            <w:noWrap/>
            <w:vAlign w:val="bottom"/>
          </w:tcPr>
          <w:p w14:paraId="76D3C6DD" w14:textId="3B3CD8A4" w:rsidR="000A44B5" w:rsidRPr="00471CBA" w:rsidRDefault="000A44B5" w:rsidP="00F36B82">
            <w:pPr>
              <w:ind w:right="-55"/>
              <w:jc w:val="right"/>
              <w:rPr>
                <w:color w:val="000000"/>
                <w:sz w:val="16"/>
                <w:szCs w:val="16"/>
              </w:rPr>
            </w:pPr>
            <w:r w:rsidRPr="00471CBA">
              <w:rPr>
                <w:sz w:val="16"/>
                <w:szCs w:val="16"/>
              </w:rPr>
              <w:t>-</w:t>
            </w:r>
          </w:p>
        </w:tc>
        <w:tc>
          <w:tcPr>
            <w:tcW w:w="242" w:type="pct"/>
            <w:tcBorders>
              <w:top w:val="nil"/>
              <w:left w:val="nil"/>
              <w:bottom w:val="nil"/>
              <w:right w:val="nil"/>
            </w:tcBorders>
            <w:vAlign w:val="bottom"/>
          </w:tcPr>
          <w:p w14:paraId="3580F58F" w14:textId="1A6C1F34" w:rsidR="000A44B5" w:rsidRPr="00471CBA" w:rsidRDefault="000A44B5" w:rsidP="00F36B82">
            <w:pPr>
              <w:ind w:right="-55"/>
              <w:jc w:val="right"/>
              <w:rPr>
                <w:color w:val="000000"/>
                <w:sz w:val="16"/>
                <w:szCs w:val="16"/>
              </w:rPr>
            </w:pPr>
            <w:r w:rsidRPr="00471CBA">
              <w:rPr>
                <w:sz w:val="16"/>
                <w:szCs w:val="16"/>
              </w:rPr>
              <w:t>-</w:t>
            </w:r>
          </w:p>
        </w:tc>
        <w:tc>
          <w:tcPr>
            <w:tcW w:w="545" w:type="pct"/>
            <w:tcBorders>
              <w:top w:val="nil"/>
              <w:left w:val="nil"/>
              <w:bottom w:val="nil"/>
              <w:right w:val="nil"/>
            </w:tcBorders>
            <w:vAlign w:val="bottom"/>
          </w:tcPr>
          <w:p w14:paraId="2F5950BB" w14:textId="30D9AFDF" w:rsidR="000A44B5" w:rsidRPr="00471CBA" w:rsidRDefault="000A44B5" w:rsidP="00F36B82">
            <w:pPr>
              <w:ind w:right="-55"/>
              <w:jc w:val="right"/>
              <w:rPr>
                <w:color w:val="000000"/>
                <w:sz w:val="16"/>
                <w:szCs w:val="16"/>
              </w:rPr>
            </w:pPr>
            <w:r w:rsidRPr="00471CBA">
              <w:rPr>
                <w:sz w:val="16"/>
                <w:szCs w:val="16"/>
              </w:rPr>
              <w:t>-</w:t>
            </w:r>
          </w:p>
        </w:tc>
        <w:tc>
          <w:tcPr>
            <w:tcW w:w="277" w:type="pct"/>
            <w:tcBorders>
              <w:top w:val="nil"/>
              <w:left w:val="nil"/>
              <w:bottom w:val="nil"/>
              <w:right w:val="nil"/>
            </w:tcBorders>
            <w:noWrap/>
            <w:vAlign w:val="bottom"/>
          </w:tcPr>
          <w:p w14:paraId="107AF159" w14:textId="78D03348" w:rsidR="000A44B5" w:rsidRPr="00471CBA" w:rsidRDefault="000A44B5" w:rsidP="00F36B82">
            <w:pPr>
              <w:ind w:right="-55"/>
              <w:jc w:val="right"/>
              <w:rPr>
                <w:color w:val="000000"/>
                <w:sz w:val="16"/>
                <w:szCs w:val="16"/>
              </w:rPr>
            </w:pPr>
            <w:r w:rsidRPr="00471CBA">
              <w:rPr>
                <w:sz w:val="16"/>
                <w:szCs w:val="16"/>
              </w:rPr>
              <w:t>-</w:t>
            </w:r>
          </w:p>
        </w:tc>
        <w:tc>
          <w:tcPr>
            <w:tcW w:w="277" w:type="pct"/>
            <w:tcBorders>
              <w:top w:val="nil"/>
              <w:left w:val="nil"/>
              <w:bottom w:val="nil"/>
              <w:right w:val="nil"/>
            </w:tcBorders>
            <w:noWrap/>
            <w:vAlign w:val="bottom"/>
          </w:tcPr>
          <w:p w14:paraId="5789ADE2" w14:textId="177B57F3" w:rsidR="000A44B5" w:rsidRPr="00471CBA" w:rsidRDefault="000A44B5" w:rsidP="00F36B82">
            <w:pPr>
              <w:ind w:right="-55"/>
              <w:jc w:val="right"/>
              <w:rPr>
                <w:color w:val="000000"/>
                <w:sz w:val="16"/>
                <w:szCs w:val="16"/>
              </w:rPr>
            </w:pPr>
            <w:r w:rsidRPr="00471CBA">
              <w:rPr>
                <w:sz w:val="16"/>
                <w:szCs w:val="16"/>
              </w:rPr>
              <w:t>-</w:t>
            </w:r>
          </w:p>
        </w:tc>
        <w:tc>
          <w:tcPr>
            <w:tcW w:w="334" w:type="pct"/>
            <w:tcBorders>
              <w:top w:val="nil"/>
              <w:left w:val="nil"/>
              <w:bottom w:val="nil"/>
              <w:right w:val="nil"/>
            </w:tcBorders>
            <w:noWrap/>
            <w:vAlign w:val="bottom"/>
          </w:tcPr>
          <w:p w14:paraId="57E0AD0A" w14:textId="2FF6E38D" w:rsidR="000A44B5" w:rsidRPr="00471CBA" w:rsidRDefault="000A44B5" w:rsidP="00F36B82">
            <w:pPr>
              <w:ind w:right="-55"/>
              <w:jc w:val="right"/>
              <w:rPr>
                <w:color w:val="000000"/>
                <w:sz w:val="16"/>
                <w:szCs w:val="16"/>
              </w:rPr>
            </w:pPr>
            <w:r w:rsidRPr="00471CBA">
              <w:rPr>
                <w:sz w:val="16"/>
                <w:szCs w:val="16"/>
              </w:rPr>
              <w:t>-</w:t>
            </w:r>
          </w:p>
        </w:tc>
        <w:tc>
          <w:tcPr>
            <w:tcW w:w="277" w:type="pct"/>
            <w:tcBorders>
              <w:top w:val="nil"/>
              <w:left w:val="nil"/>
              <w:bottom w:val="nil"/>
              <w:right w:val="nil"/>
            </w:tcBorders>
            <w:noWrap/>
            <w:vAlign w:val="bottom"/>
          </w:tcPr>
          <w:p w14:paraId="615B2EB9" w14:textId="4C32ABD4" w:rsidR="000A44B5" w:rsidRPr="00471CBA" w:rsidRDefault="000A44B5" w:rsidP="00F36B82">
            <w:pPr>
              <w:ind w:right="-55"/>
              <w:jc w:val="right"/>
              <w:rPr>
                <w:color w:val="000000"/>
                <w:sz w:val="16"/>
                <w:szCs w:val="16"/>
              </w:rPr>
            </w:pPr>
            <w:r w:rsidRPr="00471CBA">
              <w:rPr>
                <w:sz w:val="16"/>
                <w:szCs w:val="16"/>
              </w:rPr>
              <w:t>-</w:t>
            </w:r>
          </w:p>
        </w:tc>
        <w:tc>
          <w:tcPr>
            <w:tcW w:w="278" w:type="pct"/>
            <w:tcBorders>
              <w:top w:val="nil"/>
              <w:left w:val="nil"/>
              <w:bottom w:val="nil"/>
              <w:right w:val="nil"/>
            </w:tcBorders>
            <w:noWrap/>
            <w:vAlign w:val="bottom"/>
          </w:tcPr>
          <w:p w14:paraId="021C6419" w14:textId="6E36E5B0" w:rsidR="000A44B5" w:rsidRPr="00471CBA" w:rsidRDefault="000A44B5" w:rsidP="00F36B82">
            <w:pPr>
              <w:ind w:right="-55"/>
              <w:jc w:val="right"/>
              <w:rPr>
                <w:color w:val="000000"/>
                <w:sz w:val="16"/>
                <w:szCs w:val="16"/>
              </w:rPr>
            </w:pPr>
            <w:r w:rsidRPr="00471CBA">
              <w:rPr>
                <w:sz w:val="16"/>
                <w:szCs w:val="16"/>
              </w:rPr>
              <w:t>-</w:t>
            </w:r>
          </w:p>
        </w:tc>
        <w:tc>
          <w:tcPr>
            <w:tcW w:w="338" w:type="pct"/>
            <w:tcBorders>
              <w:top w:val="nil"/>
              <w:left w:val="nil"/>
              <w:bottom w:val="nil"/>
              <w:right w:val="nil"/>
            </w:tcBorders>
            <w:noWrap/>
            <w:vAlign w:val="bottom"/>
          </w:tcPr>
          <w:p w14:paraId="1638D459" w14:textId="3BA86561" w:rsidR="000A44B5" w:rsidRPr="00471CBA" w:rsidRDefault="000A44B5" w:rsidP="00F36B82">
            <w:pPr>
              <w:ind w:right="-55"/>
              <w:jc w:val="right"/>
              <w:rPr>
                <w:color w:val="000000"/>
                <w:sz w:val="16"/>
                <w:szCs w:val="16"/>
              </w:rPr>
            </w:pPr>
            <w:r w:rsidRPr="00471CBA">
              <w:rPr>
                <w:sz w:val="16"/>
                <w:szCs w:val="16"/>
              </w:rPr>
              <w:t>-</w:t>
            </w:r>
          </w:p>
        </w:tc>
        <w:tc>
          <w:tcPr>
            <w:tcW w:w="334" w:type="pct"/>
            <w:tcBorders>
              <w:top w:val="nil"/>
              <w:left w:val="nil"/>
              <w:bottom w:val="nil"/>
              <w:right w:val="nil"/>
            </w:tcBorders>
            <w:noWrap/>
            <w:vAlign w:val="bottom"/>
          </w:tcPr>
          <w:p w14:paraId="1D3715D4" w14:textId="0660D8C4" w:rsidR="000A44B5" w:rsidRPr="00471CBA" w:rsidRDefault="000A44B5" w:rsidP="00F36B82">
            <w:pPr>
              <w:ind w:right="-55"/>
              <w:jc w:val="right"/>
              <w:rPr>
                <w:color w:val="000000"/>
                <w:sz w:val="16"/>
                <w:szCs w:val="16"/>
              </w:rPr>
            </w:pPr>
            <w:r w:rsidRPr="00471CBA">
              <w:rPr>
                <w:sz w:val="16"/>
                <w:szCs w:val="16"/>
              </w:rPr>
              <w:t>-</w:t>
            </w:r>
          </w:p>
        </w:tc>
      </w:tr>
      <w:tr w:rsidR="00F36B82" w:rsidRPr="00471CBA" w14:paraId="749E4BAE" w14:textId="77777777" w:rsidTr="00F36B82">
        <w:trPr>
          <w:trHeight w:val="170"/>
        </w:trPr>
        <w:tc>
          <w:tcPr>
            <w:tcW w:w="294" w:type="pct"/>
            <w:noWrap/>
            <w:hideMark/>
          </w:tcPr>
          <w:p w14:paraId="5E91F1FF" w14:textId="77777777" w:rsidR="000A44B5" w:rsidRPr="00471CBA" w:rsidRDefault="000A44B5" w:rsidP="000A44B5">
            <w:pPr>
              <w:rPr>
                <w:sz w:val="16"/>
                <w:szCs w:val="16"/>
              </w:rPr>
            </w:pPr>
            <w:r w:rsidRPr="00471CBA">
              <w:rPr>
                <w:sz w:val="16"/>
                <w:szCs w:val="16"/>
              </w:rPr>
              <w:t>4</w:t>
            </w:r>
          </w:p>
        </w:tc>
        <w:tc>
          <w:tcPr>
            <w:tcW w:w="914" w:type="pct"/>
            <w:hideMark/>
          </w:tcPr>
          <w:p w14:paraId="1FFDBAC6" w14:textId="77777777" w:rsidR="000A44B5" w:rsidRPr="00471CBA" w:rsidRDefault="000A44B5" w:rsidP="000A44B5">
            <w:pPr>
              <w:contextualSpacing/>
              <w:rPr>
                <w:sz w:val="16"/>
                <w:szCs w:val="16"/>
              </w:rPr>
            </w:pPr>
            <w:r w:rsidRPr="00471CBA">
              <w:rPr>
                <w:sz w:val="16"/>
                <w:szCs w:val="16"/>
              </w:rPr>
              <w:t>Çok taraflı kalkınma bankalarından alacaklar</w:t>
            </w:r>
          </w:p>
        </w:tc>
        <w:tc>
          <w:tcPr>
            <w:tcW w:w="306" w:type="pct"/>
            <w:tcBorders>
              <w:top w:val="nil"/>
              <w:left w:val="nil"/>
              <w:bottom w:val="nil"/>
              <w:right w:val="nil"/>
            </w:tcBorders>
            <w:noWrap/>
            <w:vAlign w:val="bottom"/>
          </w:tcPr>
          <w:p w14:paraId="63F3106D" w14:textId="602477D3" w:rsidR="000A44B5" w:rsidRPr="00471CBA" w:rsidRDefault="000A44B5" w:rsidP="00F36B82">
            <w:pPr>
              <w:ind w:right="-55"/>
              <w:jc w:val="right"/>
              <w:rPr>
                <w:color w:val="000000"/>
                <w:sz w:val="16"/>
                <w:szCs w:val="16"/>
              </w:rPr>
            </w:pPr>
            <w:r w:rsidRPr="00471CBA">
              <w:rPr>
                <w:sz w:val="16"/>
                <w:szCs w:val="16"/>
              </w:rPr>
              <w:t>-</w:t>
            </w:r>
          </w:p>
        </w:tc>
        <w:tc>
          <w:tcPr>
            <w:tcW w:w="278" w:type="pct"/>
            <w:tcBorders>
              <w:top w:val="nil"/>
              <w:left w:val="nil"/>
              <w:bottom w:val="nil"/>
              <w:right w:val="nil"/>
            </w:tcBorders>
            <w:noWrap/>
            <w:vAlign w:val="bottom"/>
          </w:tcPr>
          <w:p w14:paraId="7EC9FEE9" w14:textId="45ECD670" w:rsidR="000A44B5" w:rsidRPr="00471CBA" w:rsidRDefault="000A44B5" w:rsidP="00F36B82">
            <w:pPr>
              <w:ind w:right="-55"/>
              <w:jc w:val="right"/>
              <w:rPr>
                <w:color w:val="000000"/>
                <w:sz w:val="16"/>
                <w:szCs w:val="16"/>
              </w:rPr>
            </w:pPr>
            <w:r w:rsidRPr="00471CBA">
              <w:rPr>
                <w:sz w:val="16"/>
                <w:szCs w:val="16"/>
              </w:rPr>
              <w:t>-</w:t>
            </w:r>
          </w:p>
        </w:tc>
        <w:tc>
          <w:tcPr>
            <w:tcW w:w="306" w:type="pct"/>
            <w:tcBorders>
              <w:top w:val="nil"/>
              <w:left w:val="nil"/>
              <w:bottom w:val="nil"/>
              <w:right w:val="nil"/>
            </w:tcBorders>
            <w:noWrap/>
            <w:vAlign w:val="bottom"/>
          </w:tcPr>
          <w:p w14:paraId="26451E44" w14:textId="43EEC338" w:rsidR="000A44B5" w:rsidRPr="00471CBA" w:rsidRDefault="000A44B5" w:rsidP="00F36B82">
            <w:pPr>
              <w:ind w:right="-55"/>
              <w:jc w:val="right"/>
              <w:rPr>
                <w:color w:val="000000"/>
                <w:sz w:val="16"/>
                <w:szCs w:val="16"/>
              </w:rPr>
            </w:pPr>
            <w:r w:rsidRPr="00471CBA">
              <w:rPr>
                <w:sz w:val="16"/>
                <w:szCs w:val="16"/>
              </w:rPr>
              <w:t>-</w:t>
            </w:r>
          </w:p>
        </w:tc>
        <w:tc>
          <w:tcPr>
            <w:tcW w:w="242" w:type="pct"/>
            <w:tcBorders>
              <w:top w:val="nil"/>
              <w:left w:val="nil"/>
              <w:bottom w:val="nil"/>
              <w:right w:val="nil"/>
            </w:tcBorders>
            <w:vAlign w:val="bottom"/>
          </w:tcPr>
          <w:p w14:paraId="44A6E6A7" w14:textId="309612F5" w:rsidR="000A44B5" w:rsidRPr="00471CBA" w:rsidRDefault="000A44B5" w:rsidP="00F36B82">
            <w:pPr>
              <w:ind w:right="-55"/>
              <w:jc w:val="right"/>
              <w:rPr>
                <w:color w:val="000000"/>
                <w:sz w:val="16"/>
                <w:szCs w:val="16"/>
              </w:rPr>
            </w:pPr>
            <w:r w:rsidRPr="00471CBA">
              <w:rPr>
                <w:sz w:val="16"/>
                <w:szCs w:val="16"/>
              </w:rPr>
              <w:t>-</w:t>
            </w:r>
          </w:p>
        </w:tc>
        <w:tc>
          <w:tcPr>
            <w:tcW w:w="545" w:type="pct"/>
            <w:tcBorders>
              <w:top w:val="nil"/>
              <w:left w:val="nil"/>
              <w:bottom w:val="nil"/>
              <w:right w:val="nil"/>
            </w:tcBorders>
            <w:vAlign w:val="bottom"/>
          </w:tcPr>
          <w:p w14:paraId="51EB673D" w14:textId="3467FC44" w:rsidR="000A44B5" w:rsidRPr="00471CBA" w:rsidRDefault="000A44B5" w:rsidP="00F36B82">
            <w:pPr>
              <w:ind w:right="-55"/>
              <w:jc w:val="right"/>
              <w:rPr>
                <w:color w:val="000000"/>
                <w:sz w:val="16"/>
                <w:szCs w:val="16"/>
              </w:rPr>
            </w:pPr>
            <w:r w:rsidRPr="00471CBA">
              <w:rPr>
                <w:sz w:val="16"/>
                <w:szCs w:val="16"/>
              </w:rPr>
              <w:t>-</w:t>
            </w:r>
          </w:p>
        </w:tc>
        <w:tc>
          <w:tcPr>
            <w:tcW w:w="277" w:type="pct"/>
            <w:tcBorders>
              <w:top w:val="nil"/>
              <w:left w:val="nil"/>
              <w:bottom w:val="nil"/>
              <w:right w:val="nil"/>
            </w:tcBorders>
            <w:noWrap/>
            <w:vAlign w:val="bottom"/>
          </w:tcPr>
          <w:p w14:paraId="4EE46F71" w14:textId="4AE138DC" w:rsidR="000A44B5" w:rsidRPr="00471CBA" w:rsidRDefault="000A44B5" w:rsidP="00F36B82">
            <w:pPr>
              <w:ind w:right="-55"/>
              <w:jc w:val="right"/>
              <w:rPr>
                <w:color w:val="000000"/>
                <w:sz w:val="16"/>
                <w:szCs w:val="16"/>
              </w:rPr>
            </w:pPr>
            <w:r w:rsidRPr="00471CBA">
              <w:rPr>
                <w:sz w:val="16"/>
                <w:szCs w:val="16"/>
              </w:rPr>
              <w:t>-</w:t>
            </w:r>
          </w:p>
        </w:tc>
        <w:tc>
          <w:tcPr>
            <w:tcW w:w="277" w:type="pct"/>
            <w:tcBorders>
              <w:top w:val="nil"/>
              <w:left w:val="nil"/>
              <w:bottom w:val="nil"/>
              <w:right w:val="nil"/>
            </w:tcBorders>
            <w:noWrap/>
            <w:vAlign w:val="bottom"/>
          </w:tcPr>
          <w:p w14:paraId="2C942B8D" w14:textId="2204A3E0" w:rsidR="000A44B5" w:rsidRPr="00471CBA" w:rsidRDefault="000A44B5" w:rsidP="00F36B82">
            <w:pPr>
              <w:ind w:right="-55"/>
              <w:jc w:val="right"/>
              <w:rPr>
                <w:color w:val="000000"/>
                <w:sz w:val="16"/>
                <w:szCs w:val="16"/>
              </w:rPr>
            </w:pPr>
            <w:r w:rsidRPr="00471CBA">
              <w:rPr>
                <w:sz w:val="16"/>
                <w:szCs w:val="16"/>
              </w:rPr>
              <w:t>-</w:t>
            </w:r>
          </w:p>
        </w:tc>
        <w:tc>
          <w:tcPr>
            <w:tcW w:w="334" w:type="pct"/>
            <w:tcBorders>
              <w:top w:val="nil"/>
              <w:left w:val="nil"/>
              <w:bottom w:val="nil"/>
              <w:right w:val="nil"/>
            </w:tcBorders>
            <w:noWrap/>
            <w:vAlign w:val="bottom"/>
          </w:tcPr>
          <w:p w14:paraId="4B579078" w14:textId="19E696A9" w:rsidR="000A44B5" w:rsidRPr="00471CBA" w:rsidRDefault="000A44B5" w:rsidP="00F36B82">
            <w:pPr>
              <w:ind w:right="-55"/>
              <w:jc w:val="right"/>
              <w:rPr>
                <w:color w:val="000000"/>
                <w:sz w:val="16"/>
                <w:szCs w:val="16"/>
              </w:rPr>
            </w:pPr>
            <w:r w:rsidRPr="00471CBA">
              <w:rPr>
                <w:sz w:val="16"/>
                <w:szCs w:val="16"/>
              </w:rPr>
              <w:t>-</w:t>
            </w:r>
          </w:p>
        </w:tc>
        <w:tc>
          <w:tcPr>
            <w:tcW w:w="277" w:type="pct"/>
            <w:tcBorders>
              <w:top w:val="nil"/>
              <w:left w:val="nil"/>
              <w:bottom w:val="nil"/>
              <w:right w:val="nil"/>
            </w:tcBorders>
            <w:noWrap/>
            <w:vAlign w:val="bottom"/>
          </w:tcPr>
          <w:p w14:paraId="794E3A09" w14:textId="1BCE581D" w:rsidR="000A44B5" w:rsidRPr="00471CBA" w:rsidRDefault="000A44B5" w:rsidP="00F36B82">
            <w:pPr>
              <w:ind w:right="-55"/>
              <w:jc w:val="right"/>
              <w:rPr>
                <w:color w:val="000000"/>
                <w:sz w:val="16"/>
                <w:szCs w:val="16"/>
              </w:rPr>
            </w:pPr>
            <w:r w:rsidRPr="00471CBA">
              <w:rPr>
                <w:sz w:val="16"/>
                <w:szCs w:val="16"/>
              </w:rPr>
              <w:t>-</w:t>
            </w:r>
          </w:p>
        </w:tc>
        <w:tc>
          <w:tcPr>
            <w:tcW w:w="278" w:type="pct"/>
            <w:tcBorders>
              <w:top w:val="nil"/>
              <w:left w:val="nil"/>
              <w:bottom w:val="nil"/>
              <w:right w:val="nil"/>
            </w:tcBorders>
            <w:noWrap/>
            <w:vAlign w:val="bottom"/>
          </w:tcPr>
          <w:p w14:paraId="4915616E" w14:textId="4F54927B" w:rsidR="000A44B5" w:rsidRPr="00471CBA" w:rsidRDefault="000A44B5" w:rsidP="00F36B82">
            <w:pPr>
              <w:ind w:right="-55"/>
              <w:jc w:val="right"/>
              <w:rPr>
                <w:color w:val="000000"/>
                <w:sz w:val="16"/>
                <w:szCs w:val="16"/>
              </w:rPr>
            </w:pPr>
            <w:r w:rsidRPr="00471CBA">
              <w:rPr>
                <w:sz w:val="16"/>
                <w:szCs w:val="16"/>
              </w:rPr>
              <w:t>-</w:t>
            </w:r>
          </w:p>
        </w:tc>
        <w:tc>
          <w:tcPr>
            <w:tcW w:w="338" w:type="pct"/>
            <w:tcBorders>
              <w:top w:val="nil"/>
              <w:left w:val="nil"/>
              <w:bottom w:val="nil"/>
              <w:right w:val="nil"/>
            </w:tcBorders>
            <w:noWrap/>
            <w:vAlign w:val="bottom"/>
          </w:tcPr>
          <w:p w14:paraId="5447A408" w14:textId="427863AE" w:rsidR="000A44B5" w:rsidRPr="00471CBA" w:rsidRDefault="000A44B5" w:rsidP="00F36B82">
            <w:pPr>
              <w:ind w:right="-55"/>
              <w:jc w:val="right"/>
              <w:rPr>
                <w:color w:val="000000"/>
                <w:sz w:val="16"/>
                <w:szCs w:val="16"/>
              </w:rPr>
            </w:pPr>
            <w:r w:rsidRPr="00471CBA">
              <w:rPr>
                <w:sz w:val="16"/>
                <w:szCs w:val="16"/>
              </w:rPr>
              <w:t>-</w:t>
            </w:r>
          </w:p>
        </w:tc>
        <w:tc>
          <w:tcPr>
            <w:tcW w:w="334" w:type="pct"/>
            <w:tcBorders>
              <w:top w:val="nil"/>
              <w:left w:val="nil"/>
              <w:bottom w:val="nil"/>
              <w:right w:val="nil"/>
            </w:tcBorders>
            <w:noWrap/>
            <w:vAlign w:val="bottom"/>
          </w:tcPr>
          <w:p w14:paraId="5B6CB666" w14:textId="2AE43C17" w:rsidR="000A44B5" w:rsidRPr="00471CBA" w:rsidRDefault="000A44B5" w:rsidP="00F36B82">
            <w:pPr>
              <w:ind w:right="-55"/>
              <w:jc w:val="right"/>
              <w:rPr>
                <w:color w:val="000000"/>
                <w:sz w:val="16"/>
                <w:szCs w:val="16"/>
              </w:rPr>
            </w:pPr>
            <w:r w:rsidRPr="00471CBA">
              <w:rPr>
                <w:sz w:val="16"/>
                <w:szCs w:val="16"/>
              </w:rPr>
              <w:t>-</w:t>
            </w:r>
          </w:p>
        </w:tc>
      </w:tr>
      <w:tr w:rsidR="00F36B82" w:rsidRPr="00471CBA" w14:paraId="3782F001" w14:textId="77777777" w:rsidTr="00F36B82">
        <w:trPr>
          <w:trHeight w:val="170"/>
        </w:trPr>
        <w:tc>
          <w:tcPr>
            <w:tcW w:w="294" w:type="pct"/>
            <w:noWrap/>
            <w:hideMark/>
          </w:tcPr>
          <w:p w14:paraId="77CA503D" w14:textId="77777777" w:rsidR="000A44B5" w:rsidRPr="00471CBA" w:rsidRDefault="000A44B5" w:rsidP="000A44B5">
            <w:pPr>
              <w:rPr>
                <w:sz w:val="16"/>
                <w:szCs w:val="16"/>
              </w:rPr>
            </w:pPr>
            <w:r w:rsidRPr="00471CBA">
              <w:rPr>
                <w:sz w:val="16"/>
                <w:szCs w:val="16"/>
              </w:rPr>
              <w:t>5</w:t>
            </w:r>
          </w:p>
        </w:tc>
        <w:tc>
          <w:tcPr>
            <w:tcW w:w="914" w:type="pct"/>
            <w:hideMark/>
          </w:tcPr>
          <w:p w14:paraId="27752215" w14:textId="77777777" w:rsidR="000A44B5" w:rsidRPr="00471CBA" w:rsidRDefault="000A44B5" w:rsidP="000A44B5">
            <w:pPr>
              <w:contextualSpacing/>
              <w:rPr>
                <w:sz w:val="16"/>
                <w:szCs w:val="16"/>
              </w:rPr>
            </w:pPr>
            <w:r w:rsidRPr="00471CBA">
              <w:rPr>
                <w:sz w:val="16"/>
                <w:szCs w:val="16"/>
              </w:rPr>
              <w:t>Uluslararası teşkilatlardan alacaklar</w:t>
            </w:r>
          </w:p>
        </w:tc>
        <w:tc>
          <w:tcPr>
            <w:tcW w:w="306" w:type="pct"/>
            <w:tcBorders>
              <w:top w:val="nil"/>
              <w:left w:val="nil"/>
              <w:bottom w:val="nil"/>
              <w:right w:val="nil"/>
            </w:tcBorders>
            <w:noWrap/>
            <w:vAlign w:val="bottom"/>
          </w:tcPr>
          <w:p w14:paraId="53A94516" w14:textId="4AB05FE4" w:rsidR="000A44B5" w:rsidRPr="00471CBA" w:rsidRDefault="000A44B5" w:rsidP="00F36B82">
            <w:pPr>
              <w:ind w:right="-55"/>
              <w:jc w:val="right"/>
              <w:rPr>
                <w:color w:val="000000"/>
                <w:sz w:val="16"/>
                <w:szCs w:val="16"/>
              </w:rPr>
            </w:pPr>
            <w:r w:rsidRPr="00471CBA">
              <w:rPr>
                <w:sz w:val="16"/>
                <w:szCs w:val="16"/>
              </w:rPr>
              <w:t>-</w:t>
            </w:r>
          </w:p>
        </w:tc>
        <w:tc>
          <w:tcPr>
            <w:tcW w:w="278" w:type="pct"/>
            <w:tcBorders>
              <w:top w:val="nil"/>
              <w:left w:val="nil"/>
              <w:bottom w:val="nil"/>
              <w:right w:val="nil"/>
            </w:tcBorders>
            <w:noWrap/>
            <w:vAlign w:val="bottom"/>
          </w:tcPr>
          <w:p w14:paraId="1FCC4572" w14:textId="31427EDD" w:rsidR="000A44B5" w:rsidRPr="00471CBA" w:rsidRDefault="000A44B5" w:rsidP="00F36B82">
            <w:pPr>
              <w:ind w:right="-55"/>
              <w:jc w:val="right"/>
              <w:rPr>
                <w:color w:val="000000"/>
                <w:sz w:val="16"/>
                <w:szCs w:val="16"/>
              </w:rPr>
            </w:pPr>
            <w:r w:rsidRPr="00471CBA">
              <w:rPr>
                <w:sz w:val="16"/>
                <w:szCs w:val="16"/>
              </w:rPr>
              <w:t>-</w:t>
            </w:r>
          </w:p>
        </w:tc>
        <w:tc>
          <w:tcPr>
            <w:tcW w:w="306" w:type="pct"/>
            <w:tcBorders>
              <w:top w:val="nil"/>
              <w:left w:val="nil"/>
              <w:bottom w:val="nil"/>
              <w:right w:val="nil"/>
            </w:tcBorders>
            <w:noWrap/>
            <w:vAlign w:val="bottom"/>
          </w:tcPr>
          <w:p w14:paraId="7A90E1D4" w14:textId="12263671" w:rsidR="000A44B5" w:rsidRPr="00471CBA" w:rsidRDefault="000A44B5" w:rsidP="00F36B82">
            <w:pPr>
              <w:ind w:right="-55"/>
              <w:jc w:val="right"/>
              <w:rPr>
                <w:color w:val="000000"/>
                <w:sz w:val="16"/>
                <w:szCs w:val="16"/>
              </w:rPr>
            </w:pPr>
            <w:r w:rsidRPr="00471CBA">
              <w:rPr>
                <w:sz w:val="16"/>
                <w:szCs w:val="16"/>
              </w:rPr>
              <w:t>-</w:t>
            </w:r>
          </w:p>
        </w:tc>
        <w:tc>
          <w:tcPr>
            <w:tcW w:w="242" w:type="pct"/>
            <w:tcBorders>
              <w:top w:val="nil"/>
              <w:left w:val="nil"/>
              <w:bottom w:val="nil"/>
              <w:right w:val="nil"/>
            </w:tcBorders>
            <w:vAlign w:val="bottom"/>
          </w:tcPr>
          <w:p w14:paraId="233483CB" w14:textId="1A289438" w:rsidR="000A44B5" w:rsidRPr="00471CBA" w:rsidRDefault="000A44B5" w:rsidP="00F36B82">
            <w:pPr>
              <w:ind w:right="-55"/>
              <w:jc w:val="right"/>
              <w:rPr>
                <w:color w:val="000000"/>
                <w:sz w:val="16"/>
                <w:szCs w:val="16"/>
              </w:rPr>
            </w:pPr>
            <w:r w:rsidRPr="00471CBA">
              <w:rPr>
                <w:sz w:val="16"/>
                <w:szCs w:val="16"/>
              </w:rPr>
              <w:t>-</w:t>
            </w:r>
          </w:p>
        </w:tc>
        <w:tc>
          <w:tcPr>
            <w:tcW w:w="545" w:type="pct"/>
            <w:tcBorders>
              <w:top w:val="nil"/>
              <w:left w:val="nil"/>
              <w:bottom w:val="nil"/>
              <w:right w:val="nil"/>
            </w:tcBorders>
            <w:vAlign w:val="bottom"/>
          </w:tcPr>
          <w:p w14:paraId="30B0CD4D" w14:textId="7FA1CA79" w:rsidR="000A44B5" w:rsidRPr="00471CBA" w:rsidRDefault="000A44B5" w:rsidP="00F36B82">
            <w:pPr>
              <w:ind w:right="-55"/>
              <w:jc w:val="right"/>
              <w:rPr>
                <w:color w:val="000000"/>
                <w:sz w:val="16"/>
                <w:szCs w:val="16"/>
              </w:rPr>
            </w:pPr>
            <w:r w:rsidRPr="00471CBA">
              <w:rPr>
                <w:sz w:val="16"/>
                <w:szCs w:val="16"/>
              </w:rPr>
              <w:t>-</w:t>
            </w:r>
          </w:p>
        </w:tc>
        <w:tc>
          <w:tcPr>
            <w:tcW w:w="277" w:type="pct"/>
            <w:tcBorders>
              <w:top w:val="nil"/>
              <w:left w:val="nil"/>
              <w:bottom w:val="nil"/>
              <w:right w:val="nil"/>
            </w:tcBorders>
            <w:noWrap/>
            <w:vAlign w:val="bottom"/>
          </w:tcPr>
          <w:p w14:paraId="09C0D28D" w14:textId="7258AD7C" w:rsidR="000A44B5" w:rsidRPr="00471CBA" w:rsidRDefault="000A44B5" w:rsidP="00F36B82">
            <w:pPr>
              <w:ind w:right="-55"/>
              <w:jc w:val="right"/>
              <w:rPr>
                <w:color w:val="000000"/>
                <w:sz w:val="16"/>
                <w:szCs w:val="16"/>
              </w:rPr>
            </w:pPr>
            <w:r w:rsidRPr="00471CBA">
              <w:rPr>
                <w:sz w:val="16"/>
                <w:szCs w:val="16"/>
              </w:rPr>
              <w:t>-</w:t>
            </w:r>
          </w:p>
        </w:tc>
        <w:tc>
          <w:tcPr>
            <w:tcW w:w="277" w:type="pct"/>
            <w:tcBorders>
              <w:top w:val="nil"/>
              <w:left w:val="nil"/>
              <w:bottom w:val="nil"/>
              <w:right w:val="nil"/>
            </w:tcBorders>
            <w:noWrap/>
            <w:vAlign w:val="bottom"/>
          </w:tcPr>
          <w:p w14:paraId="455A1AF4" w14:textId="755A3DC6" w:rsidR="000A44B5" w:rsidRPr="00471CBA" w:rsidRDefault="000A44B5" w:rsidP="00F36B82">
            <w:pPr>
              <w:ind w:right="-55"/>
              <w:jc w:val="right"/>
              <w:rPr>
                <w:color w:val="000000"/>
                <w:sz w:val="16"/>
                <w:szCs w:val="16"/>
              </w:rPr>
            </w:pPr>
            <w:r w:rsidRPr="00471CBA">
              <w:rPr>
                <w:sz w:val="16"/>
                <w:szCs w:val="16"/>
              </w:rPr>
              <w:t>-</w:t>
            </w:r>
          </w:p>
        </w:tc>
        <w:tc>
          <w:tcPr>
            <w:tcW w:w="334" w:type="pct"/>
            <w:tcBorders>
              <w:top w:val="nil"/>
              <w:left w:val="nil"/>
              <w:bottom w:val="nil"/>
              <w:right w:val="nil"/>
            </w:tcBorders>
            <w:noWrap/>
            <w:vAlign w:val="bottom"/>
          </w:tcPr>
          <w:p w14:paraId="2CC8D12B" w14:textId="13793C7C" w:rsidR="000A44B5" w:rsidRPr="00471CBA" w:rsidRDefault="000A44B5" w:rsidP="00F36B82">
            <w:pPr>
              <w:ind w:right="-55"/>
              <w:jc w:val="right"/>
              <w:rPr>
                <w:color w:val="000000"/>
                <w:sz w:val="16"/>
                <w:szCs w:val="16"/>
              </w:rPr>
            </w:pPr>
            <w:r w:rsidRPr="00471CBA">
              <w:rPr>
                <w:sz w:val="16"/>
                <w:szCs w:val="16"/>
              </w:rPr>
              <w:t>-</w:t>
            </w:r>
          </w:p>
        </w:tc>
        <w:tc>
          <w:tcPr>
            <w:tcW w:w="277" w:type="pct"/>
            <w:tcBorders>
              <w:top w:val="nil"/>
              <w:left w:val="nil"/>
              <w:bottom w:val="nil"/>
              <w:right w:val="nil"/>
            </w:tcBorders>
            <w:noWrap/>
            <w:vAlign w:val="bottom"/>
          </w:tcPr>
          <w:p w14:paraId="2F0D1FE3" w14:textId="2C7BA9E4" w:rsidR="000A44B5" w:rsidRPr="00471CBA" w:rsidRDefault="000A44B5" w:rsidP="00F36B82">
            <w:pPr>
              <w:ind w:right="-55"/>
              <w:jc w:val="right"/>
              <w:rPr>
                <w:color w:val="000000"/>
                <w:sz w:val="16"/>
                <w:szCs w:val="16"/>
              </w:rPr>
            </w:pPr>
            <w:r w:rsidRPr="00471CBA">
              <w:rPr>
                <w:sz w:val="16"/>
                <w:szCs w:val="16"/>
              </w:rPr>
              <w:t>-</w:t>
            </w:r>
          </w:p>
        </w:tc>
        <w:tc>
          <w:tcPr>
            <w:tcW w:w="278" w:type="pct"/>
            <w:tcBorders>
              <w:top w:val="nil"/>
              <w:left w:val="nil"/>
              <w:bottom w:val="nil"/>
              <w:right w:val="nil"/>
            </w:tcBorders>
            <w:noWrap/>
            <w:vAlign w:val="bottom"/>
          </w:tcPr>
          <w:p w14:paraId="258D02F6" w14:textId="45D4F51D" w:rsidR="000A44B5" w:rsidRPr="00471CBA" w:rsidRDefault="000A44B5" w:rsidP="00F36B82">
            <w:pPr>
              <w:ind w:right="-55"/>
              <w:jc w:val="right"/>
              <w:rPr>
                <w:color w:val="000000"/>
                <w:sz w:val="16"/>
                <w:szCs w:val="16"/>
              </w:rPr>
            </w:pPr>
            <w:r w:rsidRPr="00471CBA">
              <w:rPr>
                <w:sz w:val="16"/>
                <w:szCs w:val="16"/>
              </w:rPr>
              <w:t>-</w:t>
            </w:r>
          </w:p>
        </w:tc>
        <w:tc>
          <w:tcPr>
            <w:tcW w:w="338" w:type="pct"/>
            <w:tcBorders>
              <w:top w:val="nil"/>
              <w:left w:val="nil"/>
              <w:bottom w:val="nil"/>
              <w:right w:val="nil"/>
            </w:tcBorders>
            <w:noWrap/>
            <w:vAlign w:val="bottom"/>
          </w:tcPr>
          <w:p w14:paraId="2DB75363" w14:textId="5382F693" w:rsidR="000A44B5" w:rsidRPr="00471CBA" w:rsidRDefault="000A44B5" w:rsidP="00F36B82">
            <w:pPr>
              <w:ind w:right="-55"/>
              <w:jc w:val="right"/>
              <w:rPr>
                <w:color w:val="000000"/>
                <w:sz w:val="16"/>
                <w:szCs w:val="16"/>
              </w:rPr>
            </w:pPr>
            <w:r w:rsidRPr="00471CBA">
              <w:rPr>
                <w:sz w:val="16"/>
                <w:szCs w:val="16"/>
              </w:rPr>
              <w:t>-</w:t>
            </w:r>
          </w:p>
        </w:tc>
        <w:tc>
          <w:tcPr>
            <w:tcW w:w="334" w:type="pct"/>
            <w:tcBorders>
              <w:top w:val="nil"/>
              <w:left w:val="nil"/>
              <w:bottom w:val="nil"/>
              <w:right w:val="nil"/>
            </w:tcBorders>
            <w:noWrap/>
            <w:vAlign w:val="bottom"/>
          </w:tcPr>
          <w:p w14:paraId="6D06C365" w14:textId="721FC218" w:rsidR="000A44B5" w:rsidRPr="00471CBA" w:rsidRDefault="000A44B5" w:rsidP="00F36B82">
            <w:pPr>
              <w:ind w:right="-55"/>
              <w:jc w:val="right"/>
              <w:rPr>
                <w:color w:val="000000"/>
                <w:sz w:val="16"/>
                <w:szCs w:val="16"/>
              </w:rPr>
            </w:pPr>
            <w:r w:rsidRPr="00471CBA">
              <w:rPr>
                <w:sz w:val="16"/>
                <w:szCs w:val="16"/>
              </w:rPr>
              <w:t>-</w:t>
            </w:r>
          </w:p>
        </w:tc>
      </w:tr>
      <w:tr w:rsidR="00F36B82" w:rsidRPr="00471CBA" w14:paraId="5CC3831D" w14:textId="77777777" w:rsidTr="00F36B82">
        <w:trPr>
          <w:trHeight w:val="170"/>
        </w:trPr>
        <w:tc>
          <w:tcPr>
            <w:tcW w:w="294" w:type="pct"/>
            <w:noWrap/>
            <w:hideMark/>
          </w:tcPr>
          <w:p w14:paraId="353E2903" w14:textId="77777777" w:rsidR="000A44B5" w:rsidRPr="00471CBA" w:rsidRDefault="000A44B5" w:rsidP="000A44B5">
            <w:pPr>
              <w:rPr>
                <w:sz w:val="16"/>
                <w:szCs w:val="16"/>
              </w:rPr>
            </w:pPr>
            <w:r w:rsidRPr="00471CBA">
              <w:rPr>
                <w:sz w:val="16"/>
                <w:szCs w:val="16"/>
              </w:rPr>
              <w:t>6</w:t>
            </w:r>
          </w:p>
        </w:tc>
        <w:tc>
          <w:tcPr>
            <w:tcW w:w="914" w:type="pct"/>
            <w:hideMark/>
          </w:tcPr>
          <w:p w14:paraId="2CB818FB" w14:textId="77777777" w:rsidR="000A44B5" w:rsidRPr="00471CBA" w:rsidRDefault="000A44B5" w:rsidP="000A44B5">
            <w:pPr>
              <w:contextualSpacing/>
              <w:rPr>
                <w:sz w:val="16"/>
                <w:szCs w:val="16"/>
              </w:rPr>
            </w:pPr>
            <w:r w:rsidRPr="00471CBA">
              <w:rPr>
                <w:sz w:val="16"/>
                <w:szCs w:val="16"/>
              </w:rPr>
              <w:t>Bankalardan ve aracı kurumlardan alacaklar</w:t>
            </w:r>
          </w:p>
        </w:tc>
        <w:tc>
          <w:tcPr>
            <w:tcW w:w="306" w:type="pct"/>
            <w:tcBorders>
              <w:top w:val="nil"/>
              <w:left w:val="nil"/>
              <w:bottom w:val="nil"/>
              <w:right w:val="nil"/>
            </w:tcBorders>
            <w:noWrap/>
            <w:vAlign w:val="bottom"/>
          </w:tcPr>
          <w:p w14:paraId="2DA31433" w14:textId="30E56596" w:rsidR="000A44B5" w:rsidRPr="00471CBA" w:rsidRDefault="000A44B5" w:rsidP="00F36B82">
            <w:pPr>
              <w:ind w:right="-55"/>
              <w:jc w:val="right"/>
              <w:rPr>
                <w:color w:val="000000"/>
                <w:sz w:val="16"/>
                <w:szCs w:val="16"/>
              </w:rPr>
            </w:pPr>
            <w:r w:rsidRPr="00471CBA">
              <w:rPr>
                <w:sz w:val="16"/>
                <w:szCs w:val="16"/>
              </w:rPr>
              <w:t>-</w:t>
            </w:r>
          </w:p>
        </w:tc>
        <w:tc>
          <w:tcPr>
            <w:tcW w:w="278" w:type="pct"/>
            <w:tcBorders>
              <w:top w:val="nil"/>
              <w:left w:val="nil"/>
              <w:bottom w:val="nil"/>
              <w:right w:val="nil"/>
            </w:tcBorders>
            <w:noWrap/>
            <w:vAlign w:val="bottom"/>
          </w:tcPr>
          <w:p w14:paraId="644AB926" w14:textId="4C4BAB22" w:rsidR="000A44B5" w:rsidRPr="00471CBA" w:rsidRDefault="000A44B5" w:rsidP="00F36B82">
            <w:pPr>
              <w:ind w:right="-55"/>
              <w:jc w:val="right"/>
              <w:rPr>
                <w:color w:val="000000"/>
                <w:sz w:val="16"/>
                <w:szCs w:val="16"/>
              </w:rPr>
            </w:pPr>
            <w:r w:rsidRPr="00471CBA">
              <w:rPr>
                <w:sz w:val="16"/>
                <w:szCs w:val="16"/>
              </w:rPr>
              <w:t>-</w:t>
            </w:r>
          </w:p>
        </w:tc>
        <w:tc>
          <w:tcPr>
            <w:tcW w:w="306" w:type="pct"/>
            <w:tcBorders>
              <w:top w:val="nil"/>
              <w:left w:val="nil"/>
              <w:bottom w:val="nil"/>
              <w:right w:val="nil"/>
            </w:tcBorders>
            <w:noWrap/>
            <w:vAlign w:val="bottom"/>
          </w:tcPr>
          <w:p w14:paraId="21ADD1BB" w14:textId="754709CC" w:rsidR="000A44B5" w:rsidRPr="00471CBA" w:rsidRDefault="000A44B5" w:rsidP="00F36B82">
            <w:pPr>
              <w:ind w:right="-55"/>
              <w:jc w:val="right"/>
              <w:rPr>
                <w:color w:val="000000"/>
                <w:sz w:val="16"/>
                <w:szCs w:val="16"/>
              </w:rPr>
            </w:pPr>
            <w:r w:rsidRPr="00471CBA">
              <w:rPr>
                <w:sz w:val="16"/>
                <w:szCs w:val="16"/>
              </w:rPr>
              <w:t>5.221.722</w:t>
            </w:r>
          </w:p>
        </w:tc>
        <w:tc>
          <w:tcPr>
            <w:tcW w:w="242" w:type="pct"/>
            <w:tcBorders>
              <w:top w:val="nil"/>
              <w:left w:val="nil"/>
              <w:bottom w:val="nil"/>
              <w:right w:val="nil"/>
            </w:tcBorders>
            <w:vAlign w:val="bottom"/>
          </w:tcPr>
          <w:p w14:paraId="2453AE21" w14:textId="2BEA8D81" w:rsidR="000A44B5" w:rsidRPr="00471CBA" w:rsidRDefault="000A44B5" w:rsidP="00F36B82">
            <w:pPr>
              <w:ind w:right="-55"/>
              <w:jc w:val="right"/>
              <w:rPr>
                <w:color w:val="000000"/>
                <w:sz w:val="16"/>
                <w:szCs w:val="16"/>
              </w:rPr>
            </w:pPr>
            <w:r w:rsidRPr="00471CBA">
              <w:rPr>
                <w:sz w:val="16"/>
                <w:szCs w:val="16"/>
              </w:rPr>
              <w:t>-</w:t>
            </w:r>
          </w:p>
        </w:tc>
        <w:tc>
          <w:tcPr>
            <w:tcW w:w="545" w:type="pct"/>
            <w:tcBorders>
              <w:top w:val="nil"/>
              <w:left w:val="nil"/>
              <w:bottom w:val="nil"/>
              <w:right w:val="nil"/>
            </w:tcBorders>
            <w:vAlign w:val="bottom"/>
          </w:tcPr>
          <w:p w14:paraId="394BEE7F" w14:textId="13E2E218" w:rsidR="000A44B5" w:rsidRPr="00471CBA" w:rsidRDefault="000A44B5" w:rsidP="00F36B82">
            <w:pPr>
              <w:ind w:right="-55"/>
              <w:jc w:val="right"/>
              <w:rPr>
                <w:color w:val="000000"/>
                <w:sz w:val="16"/>
                <w:szCs w:val="16"/>
              </w:rPr>
            </w:pPr>
            <w:r w:rsidRPr="00471CBA">
              <w:rPr>
                <w:sz w:val="16"/>
                <w:szCs w:val="16"/>
              </w:rPr>
              <w:t>-</w:t>
            </w:r>
          </w:p>
        </w:tc>
        <w:tc>
          <w:tcPr>
            <w:tcW w:w="277" w:type="pct"/>
            <w:tcBorders>
              <w:top w:val="nil"/>
              <w:left w:val="nil"/>
              <w:bottom w:val="nil"/>
              <w:right w:val="nil"/>
            </w:tcBorders>
            <w:noWrap/>
            <w:vAlign w:val="bottom"/>
          </w:tcPr>
          <w:p w14:paraId="3109550E" w14:textId="1725BF43" w:rsidR="000A44B5" w:rsidRPr="00471CBA" w:rsidRDefault="000A44B5" w:rsidP="00F36B82">
            <w:pPr>
              <w:ind w:right="-55"/>
              <w:jc w:val="right"/>
              <w:rPr>
                <w:color w:val="000000"/>
                <w:sz w:val="16"/>
                <w:szCs w:val="16"/>
              </w:rPr>
            </w:pPr>
            <w:r w:rsidRPr="00471CBA">
              <w:rPr>
                <w:sz w:val="16"/>
                <w:szCs w:val="16"/>
              </w:rPr>
              <w:t>1</w:t>
            </w:r>
          </w:p>
        </w:tc>
        <w:tc>
          <w:tcPr>
            <w:tcW w:w="277" w:type="pct"/>
            <w:tcBorders>
              <w:top w:val="nil"/>
              <w:left w:val="nil"/>
              <w:bottom w:val="nil"/>
              <w:right w:val="nil"/>
            </w:tcBorders>
            <w:noWrap/>
            <w:vAlign w:val="bottom"/>
          </w:tcPr>
          <w:p w14:paraId="4E10C889" w14:textId="5F1CEF59" w:rsidR="000A44B5" w:rsidRPr="00471CBA" w:rsidRDefault="000A44B5" w:rsidP="00F36B82">
            <w:pPr>
              <w:ind w:right="-55"/>
              <w:jc w:val="right"/>
              <w:rPr>
                <w:color w:val="000000"/>
                <w:sz w:val="16"/>
                <w:szCs w:val="16"/>
              </w:rPr>
            </w:pPr>
            <w:r w:rsidRPr="00471CBA">
              <w:rPr>
                <w:sz w:val="16"/>
                <w:szCs w:val="16"/>
              </w:rPr>
              <w:t>-</w:t>
            </w:r>
          </w:p>
        </w:tc>
        <w:tc>
          <w:tcPr>
            <w:tcW w:w="334" w:type="pct"/>
            <w:tcBorders>
              <w:top w:val="nil"/>
              <w:left w:val="nil"/>
              <w:bottom w:val="nil"/>
              <w:right w:val="nil"/>
            </w:tcBorders>
            <w:noWrap/>
            <w:vAlign w:val="bottom"/>
          </w:tcPr>
          <w:p w14:paraId="74EA106D" w14:textId="343765C2" w:rsidR="000A44B5" w:rsidRPr="00471CBA" w:rsidRDefault="000A44B5" w:rsidP="00F36B82">
            <w:pPr>
              <w:ind w:right="-55"/>
              <w:jc w:val="right"/>
              <w:rPr>
                <w:color w:val="000000"/>
                <w:sz w:val="16"/>
                <w:szCs w:val="16"/>
              </w:rPr>
            </w:pPr>
            <w:r w:rsidRPr="00471CBA">
              <w:rPr>
                <w:sz w:val="16"/>
                <w:szCs w:val="16"/>
              </w:rPr>
              <w:t>-</w:t>
            </w:r>
          </w:p>
        </w:tc>
        <w:tc>
          <w:tcPr>
            <w:tcW w:w="277" w:type="pct"/>
            <w:tcBorders>
              <w:top w:val="nil"/>
              <w:left w:val="nil"/>
              <w:bottom w:val="nil"/>
              <w:right w:val="nil"/>
            </w:tcBorders>
            <w:noWrap/>
            <w:vAlign w:val="bottom"/>
          </w:tcPr>
          <w:p w14:paraId="52850B93" w14:textId="70659560" w:rsidR="000A44B5" w:rsidRPr="00471CBA" w:rsidRDefault="000A44B5" w:rsidP="00F36B82">
            <w:pPr>
              <w:ind w:right="-55"/>
              <w:jc w:val="right"/>
              <w:rPr>
                <w:color w:val="000000"/>
                <w:sz w:val="16"/>
                <w:szCs w:val="16"/>
              </w:rPr>
            </w:pPr>
            <w:r w:rsidRPr="00471CBA">
              <w:rPr>
                <w:sz w:val="16"/>
                <w:szCs w:val="16"/>
              </w:rPr>
              <w:t>-</w:t>
            </w:r>
          </w:p>
        </w:tc>
        <w:tc>
          <w:tcPr>
            <w:tcW w:w="278" w:type="pct"/>
            <w:tcBorders>
              <w:top w:val="nil"/>
              <w:left w:val="nil"/>
              <w:bottom w:val="nil"/>
              <w:right w:val="nil"/>
            </w:tcBorders>
            <w:noWrap/>
            <w:vAlign w:val="bottom"/>
          </w:tcPr>
          <w:p w14:paraId="5519E87C" w14:textId="6A9531C2" w:rsidR="000A44B5" w:rsidRPr="00471CBA" w:rsidRDefault="000A44B5" w:rsidP="00F36B82">
            <w:pPr>
              <w:ind w:right="-55"/>
              <w:jc w:val="right"/>
              <w:rPr>
                <w:color w:val="000000"/>
                <w:sz w:val="16"/>
                <w:szCs w:val="16"/>
              </w:rPr>
            </w:pPr>
            <w:r w:rsidRPr="00471CBA">
              <w:rPr>
                <w:sz w:val="16"/>
                <w:szCs w:val="16"/>
              </w:rPr>
              <w:t>-</w:t>
            </w:r>
          </w:p>
        </w:tc>
        <w:tc>
          <w:tcPr>
            <w:tcW w:w="338" w:type="pct"/>
            <w:tcBorders>
              <w:top w:val="nil"/>
              <w:left w:val="nil"/>
              <w:bottom w:val="nil"/>
              <w:right w:val="nil"/>
            </w:tcBorders>
            <w:noWrap/>
            <w:vAlign w:val="bottom"/>
          </w:tcPr>
          <w:p w14:paraId="5DF8ADF8" w14:textId="179D73BA" w:rsidR="000A44B5" w:rsidRPr="00471CBA" w:rsidRDefault="000A44B5" w:rsidP="00F36B82">
            <w:pPr>
              <w:ind w:right="-55"/>
              <w:jc w:val="right"/>
              <w:rPr>
                <w:color w:val="000000"/>
                <w:sz w:val="16"/>
                <w:szCs w:val="16"/>
              </w:rPr>
            </w:pPr>
            <w:r w:rsidRPr="00471CBA">
              <w:rPr>
                <w:sz w:val="16"/>
                <w:szCs w:val="16"/>
              </w:rPr>
              <w:t>-</w:t>
            </w:r>
          </w:p>
        </w:tc>
        <w:tc>
          <w:tcPr>
            <w:tcW w:w="334" w:type="pct"/>
            <w:tcBorders>
              <w:top w:val="nil"/>
              <w:left w:val="nil"/>
              <w:bottom w:val="nil"/>
              <w:right w:val="nil"/>
            </w:tcBorders>
            <w:noWrap/>
            <w:vAlign w:val="bottom"/>
          </w:tcPr>
          <w:p w14:paraId="2836E387" w14:textId="167A3522" w:rsidR="000A44B5" w:rsidRPr="00471CBA" w:rsidRDefault="000A44B5" w:rsidP="00F36B82">
            <w:pPr>
              <w:ind w:right="-55"/>
              <w:jc w:val="right"/>
              <w:rPr>
                <w:color w:val="000000"/>
                <w:sz w:val="16"/>
                <w:szCs w:val="16"/>
              </w:rPr>
            </w:pPr>
            <w:r w:rsidRPr="00471CBA">
              <w:rPr>
                <w:sz w:val="16"/>
                <w:szCs w:val="16"/>
              </w:rPr>
              <w:t>5.221.723</w:t>
            </w:r>
          </w:p>
        </w:tc>
      </w:tr>
      <w:tr w:rsidR="00F36B82" w:rsidRPr="00471CBA" w14:paraId="4A03F4BF" w14:textId="77777777" w:rsidTr="00F36B82">
        <w:trPr>
          <w:trHeight w:val="170"/>
        </w:trPr>
        <w:tc>
          <w:tcPr>
            <w:tcW w:w="294" w:type="pct"/>
            <w:noWrap/>
            <w:hideMark/>
          </w:tcPr>
          <w:p w14:paraId="5389DDE7" w14:textId="77777777" w:rsidR="000A44B5" w:rsidRPr="00471CBA" w:rsidRDefault="000A44B5" w:rsidP="000A44B5">
            <w:pPr>
              <w:rPr>
                <w:sz w:val="16"/>
                <w:szCs w:val="16"/>
              </w:rPr>
            </w:pPr>
            <w:r w:rsidRPr="00471CBA">
              <w:rPr>
                <w:sz w:val="16"/>
                <w:szCs w:val="16"/>
              </w:rPr>
              <w:t>7</w:t>
            </w:r>
          </w:p>
        </w:tc>
        <w:tc>
          <w:tcPr>
            <w:tcW w:w="914" w:type="pct"/>
            <w:hideMark/>
          </w:tcPr>
          <w:p w14:paraId="6B12D61C" w14:textId="77777777" w:rsidR="000A44B5" w:rsidRPr="00471CBA" w:rsidRDefault="000A44B5" w:rsidP="000A44B5">
            <w:pPr>
              <w:contextualSpacing/>
              <w:rPr>
                <w:sz w:val="16"/>
                <w:szCs w:val="16"/>
              </w:rPr>
            </w:pPr>
            <w:r w:rsidRPr="00471CBA">
              <w:rPr>
                <w:sz w:val="16"/>
                <w:szCs w:val="16"/>
              </w:rPr>
              <w:t>Kurumsal alacaklar</w:t>
            </w:r>
          </w:p>
        </w:tc>
        <w:tc>
          <w:tcPr>
            <w:tcW w:w="306" w:type="pct"/>
            <w:tcBorders>
              <w:top w:val="nil"/>
              <w:left w:val="nil"/>
              <w:bottom w:val="nil"/>
              <w:right w:val="nil"/>
            </w:tcBorders>
            <w:noWrap/>
            <w:vAlign w:val="bottom"/>
          </w:tcPr>
          <w:p w14:paraId="4CACDF4A" w14:textId="028E8804" w:rsidR="000A44B5" w:rsidRPr="00471CBA" w:rsidRDefault="000A44B5" w:rsidP="00F36B82">
            <w:pPr>
              <w:ind w:right="-55"/>
              <w:jc w:val="right"/>
              <w:rPr>
                <w:color w:val="000000"/>
                <w:sz w:val="16"/>
                <w:szCs w:val="16"/>
              </w:rPr>
            </w:pPr>
            <w:r w:rsidRPr="00471CBA">
              <w:rPr>
                <w:sz w:val="16"/>
                <w:szCs w:val="16"/>
              </w:rPr>
              <w:t>650.620</w:t>
            </w:r>
          </w:p>
        </w:tc>
        <w:tc>
          <w:tcPr>
            <w:tcW w:w="278" w:type="pct"/>
            <w:tcBorders>
              <w:top w:val="nil"/>
              <w:left w:val="nil"/>
              <w:bottom w:val="nil"/>
              <w:right w:val="nil"/>
            </w:tcBorders>
            <w:noWrap/>
            <w:vAlign w:val="bottom"/>
          </w:tcPr>
          <w:p w14:paraId="1EFF021C" w14:textId="19F77EA9" w:rsidR="000A44B5" w:rsidRPr="00471CBA" w:rsidRDefault="000A44B5" w:rsidP="00F36B82">
            <w:pPr>
              <w:ind w:right="-55"/>
              <w:jc w:val="right"/>
              <w:rPr>
                <w:color w:val="000000"/>
                <w:sz w:val="16"/>
                <w:szCs w:val="16"/>
              </w:rPr>
            </w:pPr>
            <w:r w:rsidRPr="00471CBA">
              <w:rPr>
                <w:sz w:val="16"/>
                <w:szCs w:val="16"/>
              </w:rPr>
              <w:t>-</w:t>
            </w:r>
          </w:p>
        </w:tc>
        <w:tc>
          <w:tcPr>
            <w:tcW w:w="306" w:type="pct"/>
            <w:tcBorders>
              <w:top w:val="nil"/>
              <w:left w:val="nil"/>
              <w:bottom w:val="nil"/>
              <w:right w:val="nil"/>
            </w:tcBorders>
            <w:noWrap/>
            <w:vAlign w:val="bottom"/>
          </w:tcPr>
          <w:p w14:paraId="3800B90D" w14:textId="39E13CB1" w:rsidR="000A44B5" w:rsidRPr="00471CBA" w:rsidRDefault="000A44B5" w:rsidP="00F36B82">
            <w:pPr>
              <w:ind w:right="-55"/>
              <w:jc w:val="right"/>
              <w:rPr>
                <w:color w:val="000000"/>
                <w:sz w:val="16"/>
                <w:szCs w:val="16"/>
              </w:rPr>
            </w:pPr>
            <w:r w:rsidRPr="00471CBA">
              <w:rPr>
                <w:sz w:val="16"/>
                <w:szCs w:val="16"/>
              </w:rPr>
              <w:t>149.741</w:t>
            </w:r>
          </w:p>
        </w:tc>
        <w:tc>
          <w:tcPr>
            <w:tcW w:w="242" w:type="pct"/>
            <w:tcBorders>
              <w:top w:val="nil"/>
              <w:left w:val="nil"/>
              <w:bottom w:val="nil"/>
              <w:right w:val="nil"/>
            </w:tcBorders>
            <w:vAlign w:val="bottom"/>
          </w:tcPr>
          <w:p w14:paraId="0EC7E923" w14:textId="5198BDAB" w:rsidR="000A44B5" w:rsidRPr="00471CBA" w:rsidRDefault="000A44B5" w:rsidP="00F36B82">
            <w:pPr>
              <w:ind w:right="-55"/>
              <w:jc w:val="right"/>
              <w:rPr>
                <w:color w:val="000000"/>
                <w:sz w:val="16"/>
                <w:szCs w:val="16"/>
              </w:rPr>
            </w:pPr>
            <w:r w:rsidRPr="00471CBA">
              <w:rPr>
                <w:sz w:val="16"/>
                <w:szCs w:val="16"/>
              </w:rPr>
              <w:t>-</w:t>
            </w:r>
          </w:p>
        </w:tc>
        <w:tc>
          <w:tcPr>
            <w:tcW w:w="545" w:type="pct"/>
            <w:tcBorders>
              <w:top w:val="nil"/>
              <w:left w:val="nil"/>
              <w:bottom w:val="nil"/>
              <w:right w:val="nil"/>
            </w:tcBorders>
            <w:vAlign w:val="bottom"/>
          </w:tcPr>
          <w:p w14:paraId="2647AD25" w14:textId="0857495C" w:rsidR="000A44B5" w:rsidRPr="00471CBA" w:rsidRDefault="000A44B5" w:rsidP="00F36B82">
            <w:pPr>
              <w:ind w:right="-55"/>
              <w:jc w:val="right"/>
              <w:rPr>
                <w:color w:val="000000"/>
                <w:sz w:val="16"/>
                <w:szCs w:val="16"/>
              </w:rPr>
            </w:pPr>
            <w:r w:rsidRPr="00471CBA">
              <w:rPr>
                <w:sz w:val="16"/>
                <w:szCs w:val="16"/>
              </w:rPr>
              <w:t>-</w:t>
            </w:r>
          </w:p>
        </w:tc>
        <w:tc>
          <w:tcPr>
            <w:tcW w:w="277" w:type="pct"/>
            <w:tcBorders>
              <w:top w:val="nil"/>
              <w:left w:val="nil"/>
              <w:bottom w:val="nil"/>
              <w:right w:val="nil"/>
            </w:tcBorders>
            <w:noWrap/>
            <w:vAlign w:val="bottom"/>
          </w:tcPr>
          <w:p w14:paraId="26CA3E95" w14:textId="54C0BBF4" w:rsidR="000A44B5" w:rsidRPr="00471CBA" w:rsidRDefault="000A44B5" w:rsidP="00F36B82">
            <w:pPr>
              <w:ind w:right="-55"/>
              <w:jc w:val="right"/>
              <w:rPr>
                <w:color w:val="000000"/>
                <w:sz w:val="16"/>
                <w:szCs w:val="16"/>
              </w:rPr>
            </w:pPr>
            <w:r w:rsidRPr="00471CBA">
              <w:rPr>
                <w:sz w:val="16"/>
                <w:szCs w:val="16"/>
              </w:rPr>
              <w:t>267.086</w:t>
            </w:r>
          </w:p>
        </w:tc>
        <w:tc>
          <w:tcPr>
            <w:tcW w:w="277" w:type="pct"/>
            <w:tcBorders>
              <w:top w:val="nil"/>
              <w:left w:val="nil"/>
              <w:bottom w:val="nil"/>
              <w:right w:val="nil"/>
            </w:tcBorders>
            <w:noWrap/>
            <w:vAlign w:val="bottom"/>
          </w:tcPr>
          <w:p w14:paraId="37CFA150" w14:textId="2C645307" w:rsidR="000A44B5" w:rsidRPr="00471CBA" w:rsidRDefault="000A44B5" w:rsidP="00F36B82">
            <w:pPr>
              <w:ind w:right="-55"/>
              <w:jc w:val="right"/>
              <w:rPr>
                <w:color w:val="000000"/>
                <w:sz w:val="16"/>
                <w:szCs w:val="16"/>
              </w:rPr>
            </w:pPr>
            <w:r w:rsidRPr="00471CBA">
              <w:rPr>
                <w:sz w:val="16"/>
                <w:szCs w:val="16"/>
              </w:rPr>
              <w:t>-</w:t>
            </w:r>
          </w:p>
        </w:tc>
        <w:tc>
          <w:tcPr>
            <w:tcW w:w="334" w:type="pct"/>
            <w:tcBorders>
              <w:top w:val="nil"/>
              <w:left w:val="nil"/>
              <w:bottom w:val="nil"/>
              <w:right w:val="nil"/>
            </w:tcBorders>
            <w:noWrap/>
            <w:vAlign w:val="bottom"/>
          </w:tcPr>
          <w:p w14:paraId="336C42F8" w14:textId="58A8C227" w:rsidR="000A44B5" w:rsidRPr="00471CBA" w:rsidRDefault="000A44B5" w:rsidP="00F36B82">
            <w:pPr>
              <w:ind w:right="-55"/>
              <w:jc w:val="right"/>
              <w:rPr>
                <w:color w:val="000000"/>
                <w:sz w:val="16"/>
                <w:szCs w:val="16"/>
              </w:rPr>
            </w:pPr>
            <w:r w:rsidRPr="00471CBA">
              <w:rPr>
                <w:sz w:val="16"/>
                <w:szCs w:val="16"/>
              </w:rPr>
              <w:t>12.356.094</w:t>
            </w:r>
          </w:p>
        </w:tc>
        <w:tc>
          <w:tcPr>
            <w:tcW w:w="277" w:type="pct"/>
            <w:tcBorders>
              <w:top w:val="nil"/>
              <w:left w:val="nil"/>
              <w:bottom w:val="nil"/>
              <w:right w:val="nil"/>
            </w:tcBorders>
            <w:noWrap/>
            <w:vAlign w:val="bottom"/>
          </w:tcPr>
          <w:p w14:paraId="5B51F3D1" w14:textId="2B135273" w:rsidR="000A44B5" w:rsidRPr="00471CBA" w:rsidRDefault="000A44B5" w:rsidP="00F36B82">
            <w:pPr>
              <w:ind w:right="-55"/>
              <w:jc w:val="right"/>
              <w:rPr>
                <w:color w:val="000000"/>
                <w:sz w:val="16"/>
                <w:szCs w:val="16"/>
              </w:rPr>
            </w:pPr>
            <w:r w:rsidRPr="00471CBA">
              <w:rPr>
                <w:sz w:val="16"/>
                <w:szCs w:val="16"/>
              </w:rPr>
              <w:t>-</w:t>
            </w:r>
          </w:p>
        </w:tc>
        <w:tc>
          <w:tcPr>
            <w:tcW w:w="278" w:type="pct"/>
            <w:tcBorders>
              <w:top w:val="nil"/>
              <w:left w:val="nil"/>
              <w:bottom w:val="nil"/>
              <w:right w:val="nil"/>
            </w:tcBorders>
            <w:noWrap/>
            <w:vAlign w:val="bottom"/>
          </w:tcPr>
          <w:p w14:paraId="72037CF4" w14:textId="2B05FA33" w:rsidR="000A44B5" w:rsidRPr="00471CBA" w:rsidRDefault="000A44B5" w:rsidP="00F36B82">
            <w:pPr>
              <w:ind w:right="-55"/>
              <w:jc w:val="right"/>
              <w:rPr>
                <w:color w:val="000000"/>
                <w:sz w:val="16"/>
                <w:szCs w:val="16"/>
              </w:rPr>
            </w:pPr>
            <w:r w:rsidRPr="00471CBA">
              <w:rPr>
                <w:sz w:val="16"/>
                <w:szCs w:val="16"/>
              </w:rPr>
              <w:t>-</w:t>
            </w:r>
          </w:p>
        </w:tc>
        <w:tc>
          <w:tcPr>
            <w:tcW w:w="338" w:type="pct"/>
            <w:tcBorders>
              <w:top w:val="nil"/>
              <w:left w:val="nil"/>
              <w:bottom w:val="nil"/>
              <w:right w:val="nil"/>
            </w:tcBorders>
            <w:noWrap/>
            <w:vAlign w:val="bottom"/>
          </w:tcPr>
          <w:p w14:paraId="0ADD894A" w14:textId="314511B0" w:rsidR="000A44B5" w:rsidRPr="00471CBA" w:rsidRDefault="000A44B5" w:rsidP="00F36B82">
            <w:pPr>
              <w:ind w:right="-55"/>
              <w:jc w:val="right"/>
              <w:rPr>
                <w:color w:val="000000"/>
                <w:sz w:val="16"/>
                <w:szCs w:val="16"/>
              </w:rPr>
            </w:pPr>
            <w:r w:rsidRPr="00471CBA">
              <w:rPr>
                <w:sz w:val="16"/>
                <w:szCs w:val="16"/>
              </w:rPr>
              <w:t>-</w:t>
            </w:r>
          </w:p>
        </w:tc>
        <w:tc>
          <w:tcPr>
            <w:tcW w:w="334" w:type="pct"/>
            <w:tcBorders>
              <w:top w:val="nil"/>
              <w:left w:val="nil"/>
              <w:bottom w:val="nil"/>
              <w:right w:val="nil"/>
            </w:tcBorders>
            <w:noWrap/>
            <w:vAlign w:val="bottom"/>
          </w:tcPr>
          <w:p w14:paraId="6FE89E0B" w14:textId="239F94E3" w:rsidR="000A44B5" w:rsidRPr="00471CBA" w:rsidRDefault="000A44B5" w:rsidP="00F36B82">
            <w:pPr>
              <w:ind w:right="-55"/>
              <w:jc w:val="right"/>
              <w:rPr>
                <w:color w:val="000000"/>
                <w:sz w:val="16"/>
                <w:szCs w:val="16"/>
              </w:rPr>
            </w:pPr>
            <w:r w:rsidRPr="00471CBA">
              <w:rPr>
                <w:sz w:val="16"/>
                <w:szCs w:val="16"/>
              </w:rPr>
              <w:t>13.423.541</w:t>
            </w:r>
          </w:p>
        </w:tc>
      </w:tr>
      <w:tr w:rsidR="00F36B82" w:rsidRPr="00471CBA" w14:paraId="6701E8B5" w14:textId="77777777" w:rsidTr="00F36B82">
        <w:trPr>
          <w:trHeight w:val="170"/>
        </w:trPr>
        <w:tc>
          <w:tcPr>
            <w:tcW w:w="294" w:type="pct"/>
            <w:noWrap/>
            <w:hideMark/>
          </w:tcPr>
          <w:p w14:paraId="14D11AD5" w14:textId="77777777" w:rsidR="000A44B5" w:rsidRPr="00471CBA" w:rsidRDefault="000A44B5" w:rsidP="000A44B5">
            <w:pPr>
              <w:rPr>
                <w:sz w:val="16"/>
                <w:szCs w:val="16"/>
              </w:rPr>
            </w:pPr>
            <w:r w:rsidRPr="00471CBA">
              <w:rPr>
                <w:sz w:val="16"/>
                <w:szCs w:val="16"/>
              </w:rPr>
              <w:t>8</w:t>
            </w:r>
          </w:p>
        </w:tc>
        <w:tc>
          <w:tcPr>
            <w:tcW w:w="914" w:type="pct"/>
            <w:hideMark/>
          </w:tcPr>
          <w:p w14:paraId="34FF0FE2" w14:textId="77777777" w:rsidR="000A44B5" w:rsidRPr="00471CBA" w:rsidRDefault="000A44B5" w:rsidP="000A44B5">
            <w:pPr>
              <w:contextualSpacing/>
              <w:rPr>
                <w:sz w:val="16"/>
                <w:szCs w:val="16"/>
              </w:rPr>
            </w:pPr>
            <w:r w:rsidRPr="00471CBA">
              <w:rPr>
                <w:sz w:val="16"/>
                <w:szCs w:val="16"/>
              </w:rPr>
              <w:t>Perakende alacaklar</w:t>
            </w:r>
          </w:p>
        </w:tc>
        <w:tc>
          <w:tcPr>
            <w:tcW w:w="306" w:type="pct"/>
            <w:tcBorders>
              <w:top w:val="nil"/>
              <w:left w:val="nil"/>
              <w:bottom w:val="nil"/>
              <w:right w:val="nil"/>
            </w:tcBorders>
            <w:noWrap/>
            <w:vAlign w:val="bottom"/>
          </w:tcPr>
          <w:p w14:paraId="381114EA" w14:textId="1ED71EBE" w:rsidR="000A44B5" w:rsidRPr="00471CBA" w:rsidRDefault="000A44B5" w:rsidP="00F36B82">
            <w:pPr>
              <w:ind w:right="-55"/>
              <w:jc w:val="right"/>
              <w:rPr>
                <w:color w:val="000000"/>
                <w:sz w:val="16"/>
                <w:szCs w:val="16"/>
              </w:rPr>
            </w:pPr>
            <w:r w:rsidRPr="00471CBA">
              <w:rPr>
                <w:sz w:val="16"/>
                <w:szCs w:val="16"/>
              </w:rPr>
              <w:t>-</w:t>
            </w:r>
          </w:p>
        </w:tc>
        <w:tc>
          <w:tcPr>
            <w:tcW w:w="278" w:type="pct"/>
            <w:tcBorders>
              <w:top w:val="nil"/>
              <w:left w:val="nil"/>
              <w:bottom w:val="nil"/>
              <w:right w:val="nil"/>
            </w:tcBorders>
            <w:noWrap/>
            <w:vAlign w:val="bottom"/>
          </w:tcPr>
          <w:p w14:paraId="025C1740" w14:textId="0210AE80" w:rsidR="000A44B5" w:rsidRPr="00471CBA" w:rsidRDefault="000A44B5" w:rsidP="00F36B82">
            <w:pPr>
              <w:ind w:right="-55"/>
              <w:jc w:val="right"/>
              <w:rPr>
                <w:color w:val="000000"/>
                <w:sz w:val="16"/>
                <w:szCs w:val="16"/>
              </w:rPr>
            </w:pPr>
            <w:r w:rsidRPr="00471CBA">
              <w:rPr>
                <w:sz w:val="16"/>
                <w:szCs w:val="16"/>
              </w:rPr>
              <w:t>-</w:t>
            </w:r>
          </w:p>
        </w:tc>
        <w:tc>
          <w:tcPr>
            <w:tcW w:w="306" w:type="pct"/>
            <w:tcBorders>
              <w:top w:val="nil"/>
              <w:left w:val="nil"/>
              <w:bottom w:val="nil"/>
              <w:right w:val="nil"/>
            </w:tcBorders>
            <w:noWrap/>
            <w:vAlign w:val="bottom"/>
          </w:tcPr>
          <w:p w14:paraId="21F4953E" w14:textId="72BBA37E" w:rsidR="000A44B5" w:rsidRPr="00471CBA" w:rsidRDefault="000A44B5" w:rsidP="00F36B82">
            <w:pPr>
              <w:ind w:right="-55"/>
              <w:jc w:val="right"/>
              <w:rPr>
                <w:color w:val="000000"/>
                <w:sz w:val="16"/>
                <w:szCs w:val="16"/>
              </w:rPr>
            </w:pPr>
            <w:r w:rsidRPr="00471CBA">
              <w:rPr>
                <w:sz w:val="16"/>
                <w:szCs w:val="16"/>
              </w:rPr>
              <w:t>-</w:t>
            </w:r>
          </w:p>
        </w:tc>
        <w:tc>
          <w:tcPr>
            <w:tcW w:w="242" w:type="pct"/>
            <w:tcBorders>
              <w:top w:val="nil"/>
              <w:left w:val="nil"/>
              <w:bottom w:val="nil"/>
              <w:right w:val="nil"/>
            </w:tcBorders>
            <w:vAlign w:val="bottom"/>
          </w:tcPr>
          <w:p w14:paraId="3F0E3EB2" w14:textId="68787BC7" w:rsidR="000A44B5" w:rsidRPr="00471CBA" w:rsidRDefault="000A44B5" w:rsidP="00F36B82">
            <w:pPr>
              <w:ind w:right="-55"/>
              <w:jc w:val="right"/>
              <w:rPr>
                <w:color w:val="000000"/>
                <w:sz w:val="16"/>
                <w:szCs w:val="16"/>
              </w:rPr>
            </w:pPr>
            <w:r w:rsidRPr="00471CBA">
              <w:rPr>
                <w:sz w:val="16"/>
                <w:szCs w:val="16"/>
              </w:rPr>
              <w:t>-</w:t>
            </w:r>
          </w:p>
        </w:tc>
        <w:tc>
          <w:tcPr>
            <w:tcW w:w="545" w:type="pct"/>
            <w:tcBorders>
              <w:top w:val="nil"/>
              <w:left w:val="nil"/>
              <w:bottom w:val="nil"/>
              <w:right w:val="nil"/>
            </w:tcBorders>
            <w:vAlign w:val="bottom"/>
          </w:tcPr>
          <w:p w14:paraId="208814F9" w14:textId="1144EDB4" w:rsidR="000A44B5" w:rsidRPr="00471CBA" w:rsidRDefault="000A44B5" w:rsidP="00F36B82">
            <w:pPr>
              <w:ind w:right="-55"/>
              <w:jc w:val="right"/>
              <w:rPr>
                <w:color w:val="000000"/>
                <w:sz w:val="16"/>
                <w:szCs w:val="16"/>
              </w:rPr>
            </w:pPr>
            <w:r w:rsidRPr="00471CBA">
              <w:rPr>
                <w:sz w:val="16"/>
                <w:szCs w:val="16"/>
              </w:rPr>
              <w:t>-</w:t>
            </w:r>
          </w:p>
        </w:tc>
        <w:tc>
          <w:tcPr>
            <w:tcW w:w="277" w:type="pct"/>
            <w:tcBorders>
              <w:top w:val="nil"/>
              <w:left w:val="nil"/>
              <w:bottom w:val="nil"/>
              <w:right w:val="nil"/>
            </w:tcBorders>
            <w:noWrap/>
            <w:vAlign w:val="bottom"/>
          </w:tcPr>
          <w:p w14:paraId="1F9953EC" w14:textId="213C6710" w:rsidR="000A44B5" w:rsidRPr="00471CBA" w:rsidRDefault="000A44B5" w:rsidP="00F36B82">
            <w:pPr>
              <w:ind w:right="-55"/>
              <w:jc w:val="right"/>
              <w:rPr>
                <w:color w:val="000000"/>
                <w:sz w:val="16"/>
                <w:szCs w:val="16"/>
              </w:rPr>
            </w:pPr>
            <w:r w:rsidRPr="00471CBA">
              <w:rPr>
                <w:sz w:val="16"/>
                <w:szCs w:val="16"/>
              </w:rPr>
              <w:t>-</w:t>
            </w:r>
          </w:p>
        </w:tc>
        <w:tc>
          <w:tcPr>
            <w:tcW w:w="277" w:type="pct"/>
            <w:tcBorders>
              <w:top w:val="nil"/>
              <w:left w:val="nil"/>
              <w:bottom w:val="nil"/>
              <w:right w:val="nil"/>
            </w:tcBorders>
            <w:noWrap/>
            <w:vAlign w:val="bottom"/>
          </w:tcPr>
          <w:p w14:paraId="583558CE" w14:textId="3B342958" w:rsidR="000A44B5" w:rsidRPr="00471CBA" w:rsidRDefault="000A44B5" w:rsidP="00F36B82">
            <w:pPr>
              <w:ind w:right="-55"/>
              <w:jc w:val="right"/>
              <w:rPr>
                <w:color w:val="000000"/>
                <w:sz w:val="16"/>
                <w:szCs w:val="16"/>
              </w:rPr>
            </w:pPr>
            <w:r w:rsidRPr="00471CBA">
              <w:rPr>
                <w:sz w:val="16"/>
                <w:szCs w:val="16"/>
              </w:rPr>
              <w:t>-</w:t>
            </w:r>
          </w:p>
        </w:tc>
        <w:tc>
          <w:tcPr>
            <w:tcW w:w="334" w:type="pct"/>
            <w:tcBorders>
              <w:top w:val="nil"/>
              <w:left w:val="nil"/>
              <w:bottom w:val="nil"/>
              <w:right w:val="nil"/>
            </w:tcBorders>
            <w:noWrap/>
            <w:vAlign w:val="bottom"/>
          </w:tcPr>
          <w:p w14:paraId="119CA909" w14:textId="6305B157" w:rsidR="000A44B5" w:rsidRPr="00471CBA" w:rsidRDefault="000A44B5" w:rsidP="00F36B82">
            <w:pPr>
              <w:ind w:right="-55"/>
              <w:jc w:val="right"/>
              <w:rPr>
                <w:color w:val="000000"/>
                <w:sz w:val="16"/>
                <w:szCs w:val="16"/>
              </w:rPr>
            </w:pPr>
            <w:r w:rsidRPr="00471CBA">
              <w:rPr>
                <w:sz w:val="16"/>
                <w:szCs w:val="16"/>
              </w:rPr>
              <w:t>-</w:t>
            </w:r>
          </w:p>
        </w:tc>
        <w:tc>
          <w:tcPr>
            <w:tcW w:w="277" w:type="pct"/>
            <w:tcBorders>
              <w:top w:val="nil"/>
              <w:left w:val="nil"/>
              <w:bottom w:val="nil"/>
              <w:right w:val="nil"/>
            </w:tcBorders>
            <w:noWrap/>
            <w:vAlign w:val="bottom"/>
          </w:tcPr>
          <w:p w14:paraId="420D7BB6" w14:textId="4EFA4476" w:rsidR="000A44B5" w:rsidRPr="00471CBA" w:rsidRDefault="000A44B5" w:rsidP="00F36B82">
            <w:pPr>
              <w:ind w:right="-55"/>
              <w:jc w:val="right"/>
              <w:rPr>
                <w:color w:val="000000"/>
                <w:sz w:val="16"/>
                <w:szCs w:val="16"/>
              </w:rPr>
            </w:pPr>
            <w:r w:rsidRPr="00471CBA">
              <w:rPr>
                <w:sz w:val="16"/>
                <w:szCs w:val="16"/>
              </w:rPr>
              <w:t>-</w:t>
            </w:r>
          </w:p>
        </w:tc>
        <w:tc>
          <w:tcPr>
            <w:tcW w:w="278" w:type="pct"/>
            <w:tcBorders>
              <w:top w:val="nil"/>
              <w:left w:val="nil"/>
              <w:bottom w:val="nil"/>
              <w:right w:val="nil"/>
            </w:tcBorders>
            <w:noWrap/>
            <w:vAlign w:val="bottom"/>
          </w:tcPr>
          <w:p w14:paraId="1A4FCCDC" w14:textId="03251AC5" w:rsidR="000A44B5" w:rsidRPr="00471CBA" w:rsidRDefault="000A44B5" w:rsidP="00F36B82">
            <w:pPr>
              <w:ind w:right="-55"/>
              <w:jc w:val="right"/>
              <w:rPr>
                <w:color w:val="000000"/>
                <w:sz w:val="16"/>
                <w:szCs w:val="16"/>
              </w:rPr>
            </w:pPr>
            <w:r w:rsidRPr="00471CBA">
              <w:rPr>
                <w:sz w:val="16"/>
                <w:szCs w:val="16"/>
              </w:rPr>
              <w:t>-</w:t>
            </w:r>
          </w:p>
        </w:tc>
        <w:tc>
          <w:tcPr>
            <w:tcW w:w="338" w:type="pct"/>
            <w:tcBorders>
              <w:top w:val="nil"/>
              <w:left w:val="nil"/>
              <w:bottom w:val="nil"/>
              <w:right w:val="nil"/>
            </w:tcBorders>
            <w:noWrap/>
            <w:vAlign w:val="bottom"/>
          </w:tcPr>
          <w:p w14:paraId="0272E24D" w14:textId="01598939" w:rsidR="000A44B5" w:rsidRPr="00471CBA" w:rsidRDefault="000A44B5" w:rsidP="00F36B82">
            <w:pPr>
              <w:ind w:right="-55"/>
              <w:jc w:val="right"/>
              <w:rPr>
                <w:color w:val="000000"/>
                <w:sz w:val="16"/>
                <w:szCs w:val="16"/>
              </w:rPr>
            </w:pPr>
            <w:r w:rsidRPr="00471CBA">
              <w:rPr>
                <w:sz w:val="16"/>
                <w:szCs w:val="16"/>
              </w:rPr>
              <w:t>-</w:t>
            </w:r>
          </w:p>
        </w:tc>
        <w:tc>
          <w:tcPr>
            <w:tcW w:w="334" w:type="pct"/>
            <w:tcBorders>
              <w:top w:val="nil"/>
              <w:left w:val="nil"/>
              <w:bottom w:val="nil"/>
              <w:right w:val="nil"/>
            </w:tcBorders>
            <w:noWrap/>
            <w:vAlign w:val="bottom"/>
          </w:tcPr>
          <w:p w14:paraId="0C60574D" w14:textId="7BD53833" w:rsidR="000A44B5" w:rsidRPr="00471CBA" w:rsidRDefault="000A44B5" w:rsidP="00F36B82">
            <w:pPr>
              <w:ind w:right="-55"/>
              <w:jc w:val="right"/>
              <w:rPr>
                <w:color w:val="000000"/>
                <w:sz w:val="16"/>
                <w:szCs w:val="16"/>
              </w:rPr>
            </w:pPr>
            <w:r w:rsidRPr="00471CBA">
              <w:rPr>
                <w:sz w:val="16"/>
                <w:szCs w:val="16"/>
              </w:rPr>
              <w:t>-</w:t>
            </w:r>
          </w:p>
        </w:tc>
      </w:tr>
      <w:tr w:rsidR="00F36B82" w:rsidRPr="00471CBA" w14:paraId="505BB776" w14:textId="77777777" w:rsidTr="00F36B82">
        <w:trPr>
          <w:trHeight w:val="170"/>
        </w:trPr>
        <w:tc>
          <w:tcPr>
            <w:tcW w:w="294" w:type="pct"/>
            <w:noWrap/>
            <w:hideMark/>
          </w:tcPr>
          <w:p w14:paraId="4F496061" w14:textId="77777777" w:rsidR="000A44B5" w:rsidRPr="00471CBA" w:rsidRDefault="000A44B5" w:rsidP="000A44B5">
            <w:pPr>
              <w:contextualSpacing/>
              <w:rPr>
                <w:sz w:val="16"/>
                <w:szCs w:val="16"/>
              </w:rPr>
            </w:pPr>
            <w:r w:rsidRPr="00471CBA">
              <w:rPr>
                <w:sz w:val="16"/>
                <w:szCs w:val="16"/>
              </w:rPr>
              <w:t>9</w:t>
            </w:r>
          </w:p>
        </w:tc>
        <w:tc>
          <w:tcPr>
            <w:tcW w:w="914" w:type="pct"/>
            <w:hideMark/>
          </w:tcPr>
          <w:p w14:paraId="4D0344BA" w14:textId="77777777" w:rsidR="000A44B5" w:rsidRPr="00471CBA" w:rsidRDefault="000A44B5" w:rsidP="000A44B5">
            <w:pPr>
              <w:contextualSpacing/>
              <w:rPr>
                <w:sz w:val="16"/>
                <w:szCs w:val="16"/>
              </w:rPr>
            </w:pPr>
            <w:r w:rsidRPr="00471CBA">
              <w:rPr>
                <w:sz w:val="16"/>
                <w:szCs w:val="16"/>
              </w:rPr>
              <w:t>İkamet amaçlı gayrimenkul ipoteği ile teminatlandırılan alacaklar</w:t>
            </w:r>
          </w:p>
        </w:tc>
        <w:tc>
          <w:tcPr>
            <w:tcW w:w="306" w:type="pct"/>
            <w:tcBorders>
              <w:top w:val="nil"/>
              <w:left w:val="nil"/>
              <w:bottom w:val="nil"/>
              <w:right w:val="nil"/>
            </w:tcBorders>
            <w:noWrap/>
            <w:vAlign w:val="bottom"/>
          </w:tcPr>
          <w:p w14:paraId="11706518" w14:textId="6B578AFE" w:rsidR="000A44B5" w:rsidRPr="00471CBA" w:rsidRDefault="000A44B5" w:rsidP="00F36B82">
            <w:pPr>
              <w:ind w:right="-55"/>
              <w:jc w:val="right"/>
              <w:rPr>
                <w:color w:val="000000"/>
                <w:sz w:val="16"/>
                <w:szCs w:val="16"/>
              </w:rPr>
            </w:pPr>
            <w:r w:rsidRPr="00471CBA">
              <w:rPr>
                <w:sz w:val="16"/>
                <w:szCs w:val="16"/>
              </w:rPr>
              <w:t>754</w:t>
            </w:r>
          </w:p>
        </w:tc>
        <w:tc>
          <w:tcPr>
            <w:tcW w:w="278" w:type="pct"/>
            <w:tcBorders>
              <w:top w:val="nil"/>
              <w:left w:val="nil"/>
              <w:bottom w:val="nil"/>
              <w:right w:val="nil"/>
            </w:tcBorders>
            <w:noWrap/>
            <w:vAlign w:val="bottom"/>
          </w:tcPr>
          <w:p w14:paraId="1FE3152C" w14:textId="6EA96FA6" w:rsidR="000A44B5" w:rsidRPr="00471CBA" w:rsidRDefault="000A44B5" w:rsidP="00F36B82">
            <w:pPr>
              <w:ind w:right="-55"/>
              <w:jc w:val="right"/>
              <w:rPr>
                <w:color w:val="000000"/>
                <w:sz w:val="16"/>
                <w:szCs w:val="16"/>
              </w:rPr>
            </w:pPr>
            <w:r w:rsidRPr="00471CBA">
              <w:rPr>
                <w:sz w:val="16"/>
                <w:szCs w:val="16"/>
              </w:rPr>
              <w:t>-</w:t>
            </w:r>
          </w:p>
        </w:tc>
        <w:tc>
          <w:tcPr>
            <w:tcW w:w="306" w:type="pct"/>
            <w:tcBorders>
              <w:top w:val="nil"/>
              <w:left w:val="nil"/>
              <w:bottom w:val="nil"/>
              <w:right w:val="nil"/>
            </w:tcBorders>
            <w:noWrap/>
            <w:vAlign w:val="bottom"/>
          </w:tcPr>
          <w:p w14:paraId="65B00F73" w14:textId="619C79DE" w:rsidR="000A44B5" w:rsidRPr="00471CBA" w:rsidRDefault="000A44B5" w:rsidP="00F36B82">
            <w:pPr>
              <w:ind w:right="-55"/>
              <w:jc w:val="right"/>
              <w:rPr>
                <w:color w:val="000000"/>
                <w:sz w:val="16"/>
                <w:szCs w:val="16"/>
              </w:rPr>
            </w:pPr>
            <w:r w:rsidRPr="00471CBA">
              <w:rPr>
                <w:sz w:val="16"/>
                <w:szCs w:val="16"/>
              </w:rPr>
              <w:t>-</w:t>
            </w:r>
          </w:p>
        </w:tc>
        <w:tc>
          <w:tcPr>
            <w:tcW w:w="242" w:type="pct"/>
            <w:tcBorders>
              <w:top w:val="nil"/>
              <w:left w:val="nil"/>
              <w:bottom w:val="nil"/>
              <w:right w:val="nil"/>
            </w:tcBorders>
            <w:vAlign w:val="bottom"/>
          </w:tcPr>
          <w:p w14:paraId="2E4DA025" w14:textId="449867AB" w:rsidR="000A44B5" w:rsidRPr="00471CBA" w:rsidRDefault="000A44B5" w:rsidP="00F36B82">
            <w:pPr>
              <w:ind w:right="-55"/>
              <w:jc w:val="right"/>
              <w:rPr>
                <w:color w:val="000000"/>
                <w:sz w:val="16"/>
                <w:szCs w:val="16"/>
              </w:rPr>
            </w:pPr>
            <w:r w:rsidRPr="00471CBA">
              <w:rPr>
                <w:sz w:val="16"/>
                <w:szCs w:val="16"/>
              </w:rPr>
              <w:t>-</w:t>
            </w:r>
          </w:p>
        </w:tc>
        <w:tc>
          <w:tcPr>
            <w:tcW w:w="545" w:type="pct"/>
            <w:tcBorders>
              <w:top w:val="nil"/>
              <w:left w:val="nil"/>
              <w:bottom w:val="nil"/>
              <w:right w:val="nil"/>
            </w:tcBorders>
            <w:vAlign w:val="bottom"/>
          </w:tcPr>
          <w:p w14:paraId="73057E76" w14:textId="64F85881" w:rsidR="000A44B5" w:rsidRPr="00471CBA" w:rsidRDefault="000A44B5" w:rsidP="00F36B82">
            <w:pPr>
              <w:ind w:right="-55"/>
              <w:jc w:val="right"/>
              <w:rPr>
                <w:color w:val="000000"/>
                <w:sz w:val="16"/>
                <w:szCs w:val="16"/>
              </w:rPr>
            </w:pPr>
            <w:r w:rsidRPr="00471CBA">
              <w:rPr>
                <w:sz w:val="16"/>
                <w:szCs w:val="16"/>
              </w:rPr>
              <w:t>348.627</w:t>
            </w:r>
          </w:p>
        </w:tc>
        <w:tc>
          <w:tcPr>
            <w:tcW w:w="277" w:type="pct"/>
            <w:tcBorders>
              <w:top w:val="nil"/>
              <w:left w:val="nil"/>
              <w:bottom w:val="nil"/>
              <w:right w:val="nil"/>
            </w:tcBorders>
            <w:noWrap/>
            <w:vAlign w:val="bottom"/>
          </w:tcPr>
          <w:p w14:paraId="34D15899" w14:textId="0958E2C0" w:rsidR="000A44B5" w:rsidRPr="00471CBA" w:rsidRDefault="000A44B5" w:rsidP="00F36B82">
            <w:pPr>
              <w:ind w:right="-55"/>
              <w:jc w:val="right"/>
              <w:rPr>
                <w:color w:val="000000"/>
                <w:sz w:val="16"/>
                <w:szCs w:val="16"/>
              </w:rPr>
            </w:pPr>
            <w:r w:rsidRPr="00471CBA">
              <w:rPr>
                <w:sz w:val="16"/>
                <w:szCs w:val="16"/>
              </w:rPr>
              <w:t>-</w:t>
            </w:r>
          </w:p>
        </w:tc>
        <w:tc>
          <w:tcPr>
            <w:tcW w:w="277" w:type="pct"/>
            <w:tcBorders>
              <w:top w:val="nil"/>
              <w:left w:val="nil"/>
              <w:bottom w:val="nil"/>
              <w:right w:val="nil"/>
            </w:tcBorders>
            <w:noWrap/>
            <w:vAlign w:val="bottom"/>
          </w:tcPr>
          <w:p w14:paraId="5E40B66E" w14:textId="34023247" w:rsidR="000A44B5" w:rsidRPr="00471CBA" w:rsidRDefault="000A44B5" w:rsidP="00F36B82">
            <w:pPr>
              <w:ind w:right="-55"/>
              <w:jc w:val="right"/>
              <w:rPr>
                <w:color w:val="000000"/>
                <w:sz w:val="16"/>
                <w:szCs w:val="16"/>
              </w:rPr>
            </w:pPr>
            <w:r w:rsidRPr="00471CBA">
              <w:rPr>
                <w:sz w:val="16"/>
                <w:szCs w:val="16"/>
              </w:rPr>
              <w:t>-</w:t>
            </w:r>
          </w:p>
        </w:tc>
        <w:tc>
          <w:tcPr>
            <w:tcW w:w="334" w:type="pct"/>
            <w:tcBorders>
              <w:top w:val="nil"/>
              <w:left w:val="nil"/>
              <w:bottom w:val="nil"/>
              <w:right w:val="nil"/>
            </w:tcBorders>
            <w:noWrap/>
            <w:vAlign w:val="bottom"/>
          </w:tcPr>
          <w:p w14:paraId="73A3736C" w14:textId="3251BE5A" w:rsidR="000A44B5" w:rsidRPr="00471CBA" w:rsidRDefault="000A44B5" w:rsidP="00F36B82">
            <w:pPr>
              <w:ind w:right="-55"/>
              <w:jc w:val="right"/>
              <w:rPr>
                <w:color w:val="000000"/>
                <w:sz w:val="16"/>
                <w:szCs w:val="16"/>
              </w:rPr>
            </w:pPr>
            <w:r w:rsidRPr="00471CBA">
              <w:rPr>
                <w:sz w:val="16"/>
                <w:szCs w:val="16"/>
              </w:rPr>
              <w:t>-</w:t>
            </w:r>
          </w:p>
        </w:tc>
        <w:tc>
          <w:tcPr>
            <w:tcW w:w="277" w:type="pct"/>
            <w:tcBorders>
              <w:top w:val="nil"/>
              <w:left w:val="nil"/>
              <w:bottom w:val="nil"/>
              <w:right w:val="nil"/>
            </w:tcBorders>
            <w:noWrap/>
            <w:vAlign w:val="bottom"/>
          </w:tcPr>
          <w:p w14:paraId="608FF1CA" w14:textId="782499DF" w:rsidR="000A44B5" w:rsidRPr="00471CBA" w:rsidRDefault="000A44B5" w:rsidP="00F36B82">
            <w:pPr>
              <w:ind w:right="-55"/>
              <w:jc w:val="right"/>
              <w:rPr>
                <w:color w:val="000000"/>
                <w:sz w:val="16"/>
                <w:szCs w:val="16"/>
              </w:rPr>
            </w:pPr>
            <w:r w:rsidRPr="00471CBA">
              <w:rPr>
                <w:sz w:val="16"/>
                <w:szCs w:val="16"/>
              </w:rPr>
              <w:t>-</w:t>
            </w:r>
          </w:p>
        </w:tc>
        <w:tc>
          <w:tcPr>
            <w:tcW w:w="278" w:type="pct"/>
            <w:tcBorders>
              <w:top w:val="nil"/>
              <w:left w:val="nil"/>
              <w:bottom w:val="nil"/>
              <w:right w:val="nil"/>
            </w:tcBorders>
            <w:noWrap/>
            <w:vAlign w:val="bottom"/>
          </w:tcPr>
          <w:p w14:paraId="0D3BC075" w14:textId="5F4B9250" w:rsidR="000A44B5" w:rsidRPr="00471CBA" w:rsidRDefault="000A44B5" w:rsidP="00F36B82">
            <w:pPr>
              <w:ind w:right="-55"/>
              <w:jc w:val="right"/>
              <w:rPr>
                <w:color w:val="000000"/>
                <w:sz w:val="16"/>
                <w:szCs w:val="16"/>
              </w:rPr>
            </w:pPr>
            <w:r w:rsidRPr="00471CBA">
              <w:rPr>
                <w:sz w:val="16"/>
                <w:szCs w:val="16"/>
              </w:rPr>
              <w:t>-</w:t>
            </w:r>
          </w:p>
        </w:tc>
        <w:tc>
          <w:tcPr>
            <w:tcW w:w="338" w:type="pct"/>
            <w:tcBorders>
              <w:top w:val="nil"/>
              <w:left w:val="nil"/>
              <w:bottom w:val="nil"/>
              <w:right w:val="nil"/>
            </w:tcBorders>
            <w:noWrap/>
            <w:vAlign w:val="bottom"/>
          </w:tcPr>
          <w:p w14:paraId="4852F576" w14:textId="2FED5A83" w:rsidR="000A44B5" w:rsidRPr="00471CBA" w:rsidRDefault="000A44B5" w:rsidP="00F36B82">
            <w:pPr>
              <w:ind w:right="-55"/>
              <w:jc w:val="right"/>
              <w:rPr>
                <w:color w:val="000000"/>
                <w:sz w:val="16"/>
                <w:szCs w:val="16"/>
              </w:rPr>
            </w:pPr>
            <w:r w:rsidRPr="00471CBA">
              <w:rPr>
                <w:sz w:val="16"/>
                <w:szCs w:val="16"/>
              </w:rPr>
              <w:t>-</w:t>
            </w:r>
          </w:p>
        </w:tc>
        <w:tc>
          <w:tcPr>
            <w:tcW w:w="334" w:type="pct"/>
            <w:tcBorders>
              <w:top w:val="nil"/>
              <w:left w:val="nil"/>
              <w:bottom w:val="nil"/>
              <w:right w:val="nil"/>
            </w:tcBorders>
            <w:noWrap/>
            <w:vAlign w:val="bottom"/>
          </w:tcPr>
          <w:p w14:paraId="319F891C" w14:textId="47FD0909" w:rsidR="000A44B5" w:rsidRPr="00471CBA" w:rsidRDefault="000A44B5" w:rsidP="00F36B82">
            <w:pPr>
              <w:ind w:right="-55"/>
              <w:jc w:val="right"/>
              <w:rPr>
                <w:color w:val="000000"/>
                <w:sz w:val="16"/>
                <w:szCs w:val="16"/>
              </w:rPr>
            </w:pPr>
            <w:r w:rsidRPr="00471CBA">
              <w:rPr>
                <w:sz w:val="16"/>
                <w:szCs w:val="16"/>
              </w:rPr>
              <w:t>349.381</w:t>
            </w:r>
          </w:p>
        </w:tc>
      </w:tr>
      <w:tr w:rsidR="00F36B82" w:rsidRPr="00471CBA" w14:paraId="362C7414" w14:textId="77777777" w:rsidTr="00F36B82">
        <w:trPr>
          <w:trHeight w:val="170"/>
        </w:trPr>
        <w:tc>
          <w:tcPr>
            <w:tcW w:w="294" w:type="pct"/>
            <w:noWrap/>
          </w:tcPr>
          <w:p w14:paraId="6999FDDC" w14:textId="77777777" w:rsidR="000A44B5" w:rsidRPr="00471CBA" w:rsidRDefault="000A44B5" w:rsidP="000A44B5">
            <w:pPr>
              <w:contextualSpacing/>
              <w:rPr>
                <w:sz w:val="16"/>
                <w:szCs w:val="16"/>
              </w:rPr>
            </w:pPr>
            <w:r w:rsidRPr="00471CBA">
              <w:rPr>
                <w:sz w:val="16"/>
                <w:szCs w:val="16"/>
              </w:rPr>
              <w:t>10</w:t>
            </w:r>
          </w:p>
        </w:tc>
        <w:tc>
          <w:tcPr>
            <w:tcW w:w="914" w:type="pct"/>
          </w:tcPr>
          <w:p w14:paraId="53ACD283" w14:textId="77777777" w:rsidR="000A44B5" w:rsidRPr="00471CBA" w:rsidRDefault="000A44B5" w:rsidP="000A44B5">
            <w:pPr>
              <w:contextualSpacing/>
              <w:rPr>
                <w:sz w:val="16"/>
                <w:szCs w:val="16"/>
              </w:rPr>
            </w:pPr>
            <w:r w:rsidRPr="00471CBA">
              <w:rPr>
                <w:sz w:val="16"/>
                <w:szCs w:val="16"/>
              </w:rPr>
              <w:t>Ticari amaçlı gayrimenkul ipoteği ile teminatlandırılan alacaklar</w:t>
            </w:r>
          </w:p>
        </w:tc>
        <w:tc>
          <w:tcPr>
            <w:tcW w:w="306" w:type="pct"/>
            <w:tcBorders>
              <w:top w:val="nil"/>
              <w:left w:val="nil"/>
              <w:bottom w:val="nil"/>
              <w:right w:val="nil"/>
            </w:tcBorders>
            <w:noWrap/>
            <w:vAlign w:val="bottom"/>
          </w:tcPr>
          <w:p w14:paraId="2814D384" w14:textId="1498B8D1" w:rsidR="000A44B5" w:rsidRPr="00471CBA" w:rsidRDefault="000A44B5" w:rsidP="00F36B82">
            <w:pPr>
              <w:ind w:right="-55"/>
              <w:jc w:val="right"/>
              <w:rPr>
                <w:color w:val="000000"/>
                <w:sz w:val="16"/>
                <w:szCs w:val="16"/>
              </w:rPr>
            </w:pPr>
            <w:r w:rsidRPr="00471CBA">
              <w:rPr>
                <w:sz w:val="16"/>
                <w:szCs w:val="16"/>
              </w:rPr>
              <w:t>-</w:t>
            </w:r>
          </w:p>
        </w:tc>
        <w:tc>
          <w:tcPr>
            <w:tcW w:w="278" w:type="pct"/>
            <w:tcBorders>
              <w:top w:val="nil"/>
              <w:left w:val="nil"/>
              <w:bottom w:val="nil"/>
              <w:right w:val="nil"/>
            </w:tcBorders>
            <w:noWrap/>
            <w:vAlign w:val="bottom"/>
          </w:tcPr>
          <w:p w14:paraId="42034652" w14:textId="36E346BA" w:rsidR="000A44B5" w:rsidRPr="00471CBA" w:rsidRDefault="000A44B5" w:rsidP="00F36B82">
            <w:pPr>
              <w:ind w:right="-55"/>
              <w:jc w:val="right"/>
              <w:rPr>
                <w:color w:val="000000"/>
                <w:sz w:val="16"/>
                <w:szCs w:val="16"/>
              </w:rPr>
            </w:pPr>
            <w:r w:rsidRPr="00471CBA">
              <w:rPr>
                <w:sz w:val="16"/>
                <w:szCs w:val="16"/>
              </w:rPr>
              <w:t>-</w:t>
            </w:r>
          </w:p>
        </w:tc>
        <w:tc>
          <w:tcPr>
            <w:tcW w:w="306" w:type="pct"/>
            <w:tcBorders>
              <w:top w:val="nil"/>
              <w:left w:val="nil"/>
              <w:bottom w:val="nil"/>
              <w:right w:val="nil"/>
            </w:tcBorders>
            <w:noWrap/>
            <w:vAlign w:val="bottom"/>
          </w:tcPr>
          <w:p w14:paraId="12AD89B0" w14:textId="229D2BE3" w:rsidR="000A44B5" w:rsidRPr="00471CBA" w:rsidRDefault="000A44B5" w:rsidP="00F36B82">
            <w:pPr>
              <w:ind w:right="-55"/>
              <w:jc w:val="right"/>
              <w:rPr>
                <w:color w:val="000000"/>
                <w:sz w:val="16"/>
                <w:szCs w:val="16"/>
              </w:rPr>
            </w:pPr>
            <w:r w:rsidRPr="00471CBA">
              <w:rPr>
                <w:sz w:val="16"/>
                <w:szCs w:val="16"/>
              </w:rPr>
              <w:t>872</w:t>
            </w:r>
          </w:p>
        </w:tc>
        <w:tc>
          <w:tcPr>
            <w:tcW w:w="242" w:type="pct"/>
            <w:tcBorders>
              <w:top w:val="nil"/>
              <w:left w:val="nil"/>
              <w:bottom w:val="nil"/>
              <w:right w:val="nil"/>
            </w:tcBorders>
            <w:vAlign w:val="bottom"/>
          </w:tcPr>
          <w:p w14:paraId="2687ECDF" w14:textId="36E35CEE" w:rsidR="000A44B5" w:rsidRPr="00471CBA" w:rsidRDefault="000A44B5" w:rsidP="00F36B82">
            <w:pPr>
              <w:ind w:right="-55"/>
              <w:jc w:val="right"/>
              <w:rPr>
                <w:color w:val="000000"/>
                <w:sz w:val="16"/>
                <w:szCs w:val="16"/>
              </w:rPr>
            </w:pPr>
            <w:r w:rsidRPr="00471CBA">
              <w:rPr>
                <w:sz w:val="16"/>
                <w:szCs w:val="16"/>
              </w:rPr>
              <w:t>-</w:t>
            </w:r>
          </w:p>
        </w:tc>
        <w:tc>
          <w:tcPr>
            <w:tcW w:w="545" w:type="pct"/>
            <w:tcBorders>
              <w:top w:val="nil"/>
              <w:left w:val="nil"/>
              <w:bottom w:val="nil"/>
              <w:right w:val="nil"/>
            </w:tcBorders>
            <w:vAlign w:val="bottom"/>
          </w:tcPr>
          <w:p w14:paraId="4796E8E0" w14:textId="439AC6DC" w:rsidR="000A44B5" w:rsidRPr="00471CBA" w:rsidRDefault="000A44B5" w:rsidP="00F36B82">
            <w:pPr>
              <w:ind w:right="-55"/>
              <w:jc w:val="right"/>
              <w:rPr>
                <w:color w:val="000000"/>
                <w:sz w:val="16"/>
                <w:szCs w:val="16"/>
              </w:rPr>
            </w:pPr>
            <w:r w:rsidRPr="00471CBA">
              <w:rPr>
                <w:sz w:val="16"/>
                <w:szCs w:val="16"/>
              </w:rPr>
              <w:t>-</w:t>
            </w:r>
          </w:p>
        </w:tc>
        <w:tc>
          <w:tcPr>
            <w:tcW w:w="277" w:type="pct"/>
            <w:tcBorders>
              <w:top w:val="nil"/>
              <w:left w:val="nil"/>
              <w:bottom w:val="nil"/>
              <w:right w:val="nil"/>
            </w:tcBorders>
            <w:noWrap/>
            <w:vAlign w:val="bottom"/>
          </w:tcPr>
          <w:p w14:paraId="0370A641" w14:textId="598E58C3" w:rsidR="000A44B5" w:rsidRPr="00471CBA" w:rsidRDefault="000A44B5" w:rsidP="00F36B82">
            <w:pPr>
              <w:ind w:right="-55"/>
              <w:jc w:val="right"/>
              <w:rPr>
                <w:color w:val="000000"/>
                <w:sz w:val="16"/>
                <w:szCs w:val="16"/>
              </w:rPr>
            </w:pPr>
            <w:r w:rsidRPr="00471CBA">
              <w:rPr>
                <w:sz w:val="16"/>
                <w:szCs w:val="16"/>
              </w:rPr>
              <w:t>296.152</w:t>
            </w:r>
          </w:p>
        </w:tc>
        <w:tc>
          <w:tcPr>
            <w:tcW w:w="277" w:type="pct"/>
            <w:tcBorders>
              <w:top w:val="nil"/>
              <w:left w:val="nil"/>
              <w:bottom w:val="nil"/>
              <w:right w:val="nil"/>
            </w:tcBorders>
            <w:noWrap/>
            <w:vAlign w:val="bottom"/>
          </w:tcPr>
          <w:p w14:paraId="13A6CD07" w14:textId="49C210C5" w:rsidR="000A44B5" w:rsidRPr="00471CBA" w:rsidRDefault="000A44B5" w:rsidP="00F36B82">
            <w:pPr>
              <w:ind w:right="-55"/>
              <w:jc w:val="right"/>
              <w:rPr>
                <w:color w:val="000000"/>
                <w:sz w:val="16"/>
                <w:szCs w:val="16"/>
              </w:rPr>
            </w:pPr>
            <w:r w:rsidRPr="00471CBA">
              <w:rPr>
                <w:sz w:val="16"/>
                <w:szCs w:val="16"/>
              </w:rPr>
              <w:t>-</w:t>
            </w:r>
          </w:p>
        </w:tc>
        <w:tc>
          <w:tcPr>
            <w:tcW w:w="334" w:type="pct"/>
            <w:tcBorders>
              <w:top w:val="nil"/>
              <w:left w:val="nil"/>
              <w:bottom w:val="nil"/>
              <w:right w:val="nil"/>
            </w:tcBorders>
            <w:noWrap/>
            <w:vAlign w:val="bottom"/>
          </w:tcPr>
          <w:p w14:paraId="01144EFA" w14:textId="6098F3AC" w:rsidR="000A44B5" w:rsidRPr="00471CBA" w:rsidRDefault="000A44B5" w:rsidP="00F36B82">
            <w:pPr>
              <w:ind w:right="-55"/>
              <w:jc w:val="right"/>
              <w:rPr>
                <w:color w:val="000000"/>
                <w:sz w:val="16"/>
                <w:szCs w:val="16"/>
              </w:rPr>
            </w:pPr>
            <w:r w:rsidRPr="00471CBA">
              <w:rPr>
                <w:sz w:val="16"/>
                <w:szCs w:val="16"/>
              </w:rPr>
              <w:t>63.206</w:t>
            </w:r>
          </w:p>
        </w:tc>
        <w:tc>
          <w:tcPr>
            <w:tcW w:w="277" w:type="pct"/>
            <w:tcBorders>
              <w:top w:val="nil"/>
              <w:left w:val="nil"/>
              <w:bottom w:val="nil"/>
              <w:right w:val="nil"/>
            </w:tcBorders>
            <w:noWrap/>
            <w:vAlign w:val="bottom"/>
          </w:tcPr>
          <w:p w14:paraId="0326809A" w14:textId="44005118" w:rsidR="000A44B5" w:rsidRPr="00471CBA" w:rsidRDefault="000A44B5" w:rsidP="00F36B82">
            <w:pPr>
              <w:ind w:right="-55"/>
              <w:jc w:val="right"/>
              <w:rPr>
                <w:color w:val="000000"/>
                <w:sz w:val="16"/>
                <w:szCs w:val="16"/>
              </w:rPr>
            </w:pPr>
            <w:r w:rsidRPr="00471CBA">
              <w:rPr>
                <w:sz w:val="16"/>
                <w:szCs w:val="16"/>
              </w:rPr>
              <w:t>-</w:t>
            </w:r>
          </w:p>
        </w:tc>
        <w:tc>
          <w:tcPr>
            <w:tcW w:w="278" w:type="pct"/>
            <w:tcBorders>
              <w:top w:val="nil"/>
              <w:left w:val="nil"/>
              <w:bottom w:val="nil"/>
              <w:right w:val="nil"/>
            </w:tcBorders>
            <w:noWrap/>
            <w:vAlign w:val="bottom"/>
          </w:tcPr>
          <w:p w14:paraId="772034C3" w14:textId="6D654187" w:rsidR="000A44B5" w:rsidRPr="00471CBA" w:rsidRDefault="000A44B5" w:rsidP="00F36B82">
            <w:pPr>
              <w:ind w:right="-55"/>
              <w:jc w:val="right"/>
              <w:rPr>
                <w:color w:val="000000"/>
                <w:sz w:val="16"/>
                <w:szCs w:val="16"/>
              </w:rPr>
            </w:pPr>
            <w:r w:rsidRPr="00471CBA">
              <w:rPr>
                <w:sz w:val="16"/>
                <w:szCs w:val="16"/>
              </w:rPr>
              <w:t>-</w:t>
            </w:r>
          </w:p>
        </w:tc>
        <w:tc>
          <w:tcPr>
            <w:tcW w:w="338" w:type="pct"/>
            <w:tcBorders>
              <w:top w:val="nil"/>
              <w:left w:val="nil"/>
              <w:bottom w:val="nil"/>
              <w:right w:val="nil"/>
            </w:tcBorders>
            <w:noWrap/>
            <w:vAlign w:val="bottom"/>
          </w:tcPr>
          <w:p w14:paraId="2995179C" w14:textId="07767116" w:rsidR="000A44B5" w:rsidRPr="00471CBA" w:rsidRDefault="000A44B5" w:rsidP="00F36B82">
            <w:pPr>
              <w:ind w:right="-55"/>
              <w:jc w:val="right"/>
              <w:rPr>
                <w:color w:val="000000"/>
                <w:sz w:val="16"/>
                <w:szCs w:val="16"/>
              </w:rPr>
            </w:pPr>
            <w:r w:rsidRPr="00471CBA">
              <w:rPr>
                <w:sz w:val="16"/>
                <w:szCs w:val="16"/>
              </w:rPr>
              <w:t>-</w:t>
            </w:r>
          </w:p>
        </w:tc>
        <w:tc>
          <w:tcPr>
            <w:tcW w:w="334" w:type="pct"/>
            <w:tcBorders>
              <w:top w:val="nil"/>
              <w:left w:val="nil"/>
              <w:bottom w:val="nil"/>
              <w:right w:val="nil"/>
            </w:tcBorders>
            <w:noWrap/>
            <w:vAlign w:val="bottom"/>
          </w:tcPr>
          <w:p w14:paraId="57B78314" w14:textId="6BD54D88" w:rsidR="000A44B5" w:rsidRPr="00471CBA" w:rsidRDefault="000A44B5" w:rsidP="00F36B82">
            <w:pPr>
              <w:ind w:right="-55"/>
              <w:jc w:val="right"/>
              <w:rPr>
                <w:color w:val="000000"/>
                <w:sz w:val="16"/>
                <w:szCs w:val="16"/>
              </w:rPr>
            </w:pPr>
            <w:r w:rsidRPr="00471CBA">
              <w:rPr>
                <w:sz w:val="16"/>
                <w:szCs w:val="16"/>
              </w:rPr>
              <w:t>360.230</w:t>
            </w:r>
          </w:p>
        </w:tc>
      </w:tr>
      <w:tr w:rsidR="00F36B82" w:rsidRPr="00471CBA" w14:paraId="608B887D" w14:textId="77777777" w:rsidTr="00F36B82">
        <w:trPr>
          <w:trHeight w:val="170"/>
        </w:trPr>
        <w:tc>
          <w:tcPr>
            <w:tcW w:w="294" w:type="pct"/>
            <w:noWrap/>
            <w:hideMark/>
          </w:tcPr>
          <w:p w14:paraId="626DE6A0" w14:textId="77777777" w:rsidR="000A44B5" w:rsidRPr="00471CBA" w:rsidRDefault="000A44B5" w:rsidP="000A44B5">
            <w:pPr>
              <w:contextualSpacing/>
              <w:rPr>
                <w:sz w:val="16"/>
                <w:szCs w:val="16"/>
              </w:rPr>
            </w:pPr>
            <w:r w:rsidRPr="00471CBA">
              <w:rPr>
                <w:sz w:val="16"/>
                <w:szCs w:val="16"/>
              </w:rPr>
              <w:t>11</w:t>
            </w:r>
          </w:p>
        </w:tc>
        <w:tc>
          <w:tcPr>
            <w:tcW w:w="914" w:type="pct"/>
            <w:hideMark/>
          </w:tcPr>
          <w:p w14:paraId="2D356D48" w14:textId="77777777" w:rsidR="000A44B5" w:rsidRPr="00471CBA" w:rsidRDefault="000A44B5" w:rsidP="000A44B5">
            <w:pPr>
              <w:contextualSpacing/>
              <w:rPr>
                <w:sz w:val="16"/>
                <w:szCs w:val="16"/>
              </w:rPr>
            </w:pPr>
            <w:r w:rsidRPr="00471CBA">
              <w:rPr>
                <w:sz w:val="16"/>
                <w:szCs w:val="16"/>
              </w:rPr>
              <w:t>Tahsili gecikmiş alacaklar</w:t>
            </w:r>
          </w:p>
        </w:tc>
        <w:tc>
          <w:tcPr>
            <w:tcW w:w="306" w:type="pct"/>
            <w:tcBorders>
              <w:top w:val="nil"/>
              <w:left w:val="nil"/>
              <w:bottom w:val="nil"/>
              <w:right w:val="nil"/>
            </w:tcBorders>
            <w:noWrap/>
            <w:vAlign w:val="bottom"/>
          </w:tcPr>
          <w:p w14:paraId="75AE1EDF" w14:textId="7F4DE340" w:rsidR="000A44B5" w:rsidRPr="00471CBA" w:rsidRDefault="000A44B5" w:rsidP="00F36B82">
            <w:pPr>
              <w:ind w:right="-55"/>
              <w:jc w:val="right"/>
              <w:rPr>
                <w:color w:val="000000"/>
                <w:sz w:val="16"/>
                <w:szCs w:val="16"/>
              </w:rPr>
            </w:pPr>
            <w:r w:rsidRPr="00471CBA">
              <w:rPr>
                <w:sz w:val="16"/>
                <w:szCs w:val="16"/>
              </w:rPr>
              <w:t>-</w:t>
            </w:r>
          </w:p>
        </w:tc>
        <w:tc>
          <w:tcPr>
            <w:tcW w:w="278" w:type="pct"/>
            <w:tcBorders>
              <w:top w:val="nil"/>
              <w:left w:val="nil"/>
              <w:bottom w:val="nil"/>
              <w:right w:val="nil"/>
            </w:tcBorders>
            <w:noWrap/>
            <w:vAlign w:val="bottom"/>
          </w:tcPr>
          <w:p w14:paraId="33E3484C" w14:textId="1C8CE022" w:rsidR="000A44B5" w:rsidRPr="00471CBA" w:rsidRDefault="000A44B5" w:rsidP="00F36B82">
            <w:pPr>
              <w:ind w:right="-55"/>
              <w:jc w:val="right"/>
              <w:rPr>
                <w:color w:val="000000"/>
                <w:sz w:val="16"/>
                <w:szCs w:val="16"/>
              </w:rPr>
            </w:pPr>
            <w:r w:rsidRPr="00471CBA">
              <w:rPr>
                <w:sz w:val="16"/>
                <w:szCs w:val="16"/>
              </w:rPr>
              <w:t>-</w:t>
            </w:r>
          </w:p>
        </w:tc>
        <w:tc>
          <w:tcPr>
            <w:tcW w:w="306" w:type="pct"/>
            <w:tcBorders>
              <w:top w:val="nil"/>
              <w:left w:val="nil"/>
              <w:bottom w:val="nil"/>
              <w:right w:val="nil"/>
            </w:tcBorders>
            <w:noWrap/>
            <w:vAlign w:val="bottom"/>
          </w:tcPr>
          <w:p w14:paraId="31596C0B" w14:textId="2478AAE2" w:rsidR="000A44B5" w:rsidRPr="00471CBA" w:rsidRDefault="000A44B5" w:rsidP="00F36B82">
            <w:pPr>
              <w:ind w:right="-55"/>
              <w:jc w:val="right"/>
              <w:rPr>
                <w:color w:val="000000"/>
                <w:sz w:val="16"/>
                <w:szCs w:val="16"/>
              </w:rPr>
            </w:pPr>
            <w:r w:rsidRPr="00471CBA">
              <w:rPr>
                <w:sz w:val="16"/>
                <w:szCs w:val="16"/>
              </w:rPr>
              <w:t>-</w:t>
            </w:r>
          </w:p>
        </w:tc>
        <w:tc>
          <w:tcPr>
            <w:tcW w:w="242" w:type="pct"/>
            <w:tcBorders>
              <w:top w:val="nil"/>
              <w:left w:val="nil"/>
              <w:bottom w:val="nil"/>
              <w:right w:val="nil"/>
            </w:tcBorders>
            <w:vAlign w:val="bottom"/>
          </w:tcPr>
          <w:p w14:paraId="4E92B311" w14:textId="754E69DB" w:rsidR="000A44B5" w:rsidRPr="00471CBA" w:rsidRDefault="000A44B5" w:rsidP="00F36B82">
            <w:pPr>
              <w:ind w:right="-55"/>
              <w:jc w:val="right"/>
              <w:rPr>
                <w:color w:val="000000"/>
                <w:sz w:val="16"/>
                <w:szCs w:val="16"/>
              </w:rPr>
            </w:pPr>
            <w:r w:rsidRPr="00471CBA">
              <w:rPr>
                <w:sz w:val="16"/>
                <w:szCs w:val="16"/>
              </w:rPr>
              <w:t>-</w:t>
            </w:r>
          </w:p>
        </w:tc>
        <w:tc>
          <w:tcPr>
            <w:tcW w:w="545" w:type="pct"/>
            <w:tcBorders>
              <w:top w:val="nil"/>
              <w:left w:val="nil"/>
              <w:bottom w:val="nil"/>
              <w:right w:val="nil"/>
            </w:tcBorders>
            <w:vAlign w:val="bottom"/>
          </w:tcPr>
          <w:p w14:paraId="6CEC818B" w14:textId="1897BA74" w:rsidR="000A44B5" w:rsidRPr="00471CBA" w:rsidRDefault="000A44B5" w:rsidP="00F36B82">
            <w:pPr>
              <w:ind w:right="-55"/>
              <w:jc w:val="right"/>
              <w:rPr>
                <w:color w:val="000000"/>
                <w:sz w:val="16"/>
                <w:szCs w:val="16"/>
              </w:rPr>
            </w:pPr>
            <w:r w:rsidRPr="00471CBA">
              <w:rPr>
                <w:sz w:val="16"/>
                <w:szCs w:val="16"/>
              </w:rPr>
              <w:t>-</w:t>
            </w:r>
          </w:p>
        </w:tc>
        <w:tc>
          <w:tcPr>
            <w:tcW w:w="277" w:type="pct"/>
            <w:tcBorders>
              <w:top w:val="nil"/>
              <w:left w:val="nil"/>
              <w:bottom w:val="nil"/>
              <w:right w:val="nil"/>
            </w:tcBorders>
            <w:noWrap/>
            <w:vAlign w:val="bottom"/>
          </w:tcPr>
          <w:p w14:paraId="4832A0B1" w14:textId="09B69B21" w:rsidR="000A44B5" w:rsidRPr="00471CBA" w:rsidRDefault="000A44B5" w:rsidP="00F36B82">
            <w:pPr>
              <w:ind w:right="-55"/>
              <w:jc w:val="right"/>
              <w:rPr>
                <w:color w:val="000000"/>
                <w:sz w:val="16"/>
                <w:szCs w:val="16"/>
              </w:rPr>
            </w:pPr>
            <w:r w:rsidRPr="00471CBA">
              <w:rPr>
                <w:sz w:val="16"/>
                <w:szCs w:val="16"/>
              </w:rPr>
              <w:t>-</w:t>
            </w:r>
          </w:p>
        </w:tc>
        <w:tc>
          <w:tcPr>
            <w:tcW w:w="277" w:type="pct"/>
            <w:tcBorders>
              <w:top w:val="nil"/>
              <w:left w:val="nil"/>
              <w:bottom w:val="nil"/>
              <w:right w:val="nil"/>
            </w:tcBorders>
            <w:noWrap/>
            <w:vAlign w:val="bottom"/>
          </w:tcPr>
          <w:p w14:paraId="594B6F0E" w14:textId="24CBAB4B" w:rsidR="000A44B5" w:rsidRPr="00471CBA" w:rsidRDefault="000A44B5" w:rsidP="00F36B82">
            <w:pPr>
              <w:ind w:right="-55"/>
              <w:jc w:val="right"/>
              <w:rPr>
                <w:color w:val="000000"/>
                <w:sz w:val="16"/>
                <w:szCs w:val="16"/>
              </w:rPr>
            </w:pPr>
            <w:r w:rsidRPr="00471CBA">
              <w:rPr>
                <w:sz w:val="16"/>
                <w:szCs w:val="16"/>
              </w:rPr>
              <w:t>-</w:t>
            </w:r>
          </w:p>
        </w:tc>
        <w:tc>
          <w:tcPr>
            <w:tcW w:w="334" w:type="pct"/>
            <w:tcBorders>
              <w:top w:val="nil"/>
              <w:left w:val="nil"/>
              <w:bottom w:val="nil"/>
              <w:right w:val="nil"/>
            </w:tcBorders>
            <w:noWrap/>
            <w:vAlign w:val="bottom"/>
          </w:tcPr>
          <w:p w14:paraId="3DF0543D" w14:textId="586C0951" w:rsidR="000A44B5" w:rsidRPr="00471CBA" w:rsidRDefault="000A44B5" w:rsidP="00F36B82">
            <w:pPr>
              <w:ind w:right="-55"/>
              <w:jc w:val="right"/>
              <w:rPr>
                <w:color w:val="000000"/>
                <w:sz w:val="16"/>
                <w:szCs w:val="16"/>
              </w:rPr>
            </w:pPr>
            <w:r w:rsidRPr="00471CBA">
              <w:rPr>
                <w:sz w:val="16"/>
                <w:szCs w:val="16"/>
              </w:rPr>
              <w:t>-</w:t>
            </w:r>
          </w:p>
        </w:tc>
        <w:tc>
          <w:tcPr>
            <w:tcW w:w="277" w:type="pct"/>
            <w:tcBorders>
              <w:top w:val="nil"/>
              <w:left w:val="nil"/>
              <w:bottom w:val="nil"/>
              <w:right w:val="nil"/>
            </w:tcBorders>
            <w:noWrap/>
            <w:vAlign w:val="bottom"/>
          </w:tcPr>
          <w:p w14:paraId="47DC6E11" w14:textId="0EA9E275" w:rsidR="000A44B5" w:rsidRPr="00471CBA" w:rsidRDefault="000A44B5" w:rsidP="00F36B82">
            <w:pPr>
              <w:ind w:right="-55"/>
              <w:jc w:val="right"/>
              <w:rPr>
                <w:color w:val="000000"/>
                <w:sz w:val="16"/>
                <w:szCs w:val="16"/>
              </w:rPr>
            </w:pPr>
            <w:r w:rsidRPr="00471CBA">
              <w:rPr>
                <w:sz w:val="16"/>
                <w:szCs w:val="16"/>
              </w:rPr>
              <w:t>-</w:t>
            </w:r>
          </w:p>
        </w:tc>
        <w:tc>
          <w:tcPr>
            <w:tcW w:w="278" w:type="pct"/>
            <w:tcBorders>
              <w:top w:val="nil"/>
              <w:left w:val="nil"/>
              <w:bottom w:val="nil"/>
              <w:right w:val="nil"/>
            </w:tcBorders>
            <w:noWrap/>
            <w:vAlign w:val="bottom"/>
          </w:tcPr>
          <w:p w14:paraId="6E776E12" w14:textId="7F62ED65" w:rsidR="000A44B5" w:rsidRPr="00471CBA" w:rsidRDefault="000A44B5" w:rsidP="00F36B82">
            <w:pPr>
              <w:ind w:right="-55"/>
              <w:jc w:val="right"/>
              <w:rPr>
                <w:color w:val="000000"/>
                <w:sz w:val="16"/>
                <w:szCs w:val="16"/>
              </w:rPr>
            </w:pPr>
            <w:r w:rsidRPr="00471CBA">
              <w:rPr>
                <w:sz w:val="16"/>
                <w:szCs w:val="16"/>
              </w:rPr>
              <w:t>-</w:t>
            </w:r>
          </w:p>
        </w:tc>
        <w:tc>
          <w:tcPr>
            <w:tcW w:w="338" w:type="pct"/>
            <w:tcBorders>
              <w:top w:val="nil"/>
              <w:left w:val="nil"/>
              <w:bottom w:val="nil"/>
              <w:right w:val="nil"/>
            </w:tcBorders>
            <w:noWrap/>
            <w:vAlign w:val="bottom"/>
          </w:tcPr>
          <w:p w14:paraId="76C697F4" w14:textId="01CAF55C" w:rsidR="000A44B5" w:rsidRPr="00471CBA" w:rsidRDefault="000A44B5" w:rsidP="00F36B82">
            <w:pPr>
              <w:ind w:right="-55"/>
              <w:jc w:val="right"/>
              <w:rPr>
                <w:color w:val="000000"/>
                <w:sz w:val="16"/>
                <w:szCs w:val="16"/>
              </w:rPr>
            </w:pPr>
            <w:r w:rsidRPr="00471CBA">
              <w:rPr>
                <w:sz w:val="16"/>
                <w:szCs w:val="16"/>
              </w:rPr>
              <w:t>-</w:t>
            </w:r>
          </w:p>
        </w:tc>
        <w:tc>
          <w:tcPr>
            <w:tcW w:w="334" w:type="pct"/>
            <w:tcBorders>
              <w:top w:val="nil"/>
              <w:left w:val="nil"/>
              <w:bottom w:val="nil"/>
              <w:right w:val="nil"/>
            </w:tcBorders>
            <w:noWrap/>
            <w:vAlign w:val="bottom"/>
          </w:tcPr>
          <w:p w14:paraId="3BC06FBD" w14:textId="6BCDD999" w:rsidR="000A44B5" w:rsidRPr="00471CBA" w:rsidRDefault="000A44B5" w:rsidP="00F36B82">
            <w:pPr>
              <w:ind w:right="-55"/>
              <w:jc w:val="right"/>
              <w:rPr>
                <w:color w:val="000000"/>
                <w:sz w:val="16"/>
                <w:szCs w:val="16"/>
              </w:rPr>
            </w:pPr>
            <w:r w:rsidRPr="00471CBA">
              <w:rPr>
                <w:sz w:val="16"/>
                <w:szCs w:val="16"/>
              </w:rPr>
              <w:t>-</w:t>
            </w:r>
          </w:p>
        </w:tc>
      </w:tr>
      <w:tr w:rsidR="00F36B82" w:rsidRPr="00471CBA" w14:paraId="0E70CDBE" w14:textId="77777777" w:rsidTr="00F36B82">
        <w:trPr>
          <w:trHeight w:val="170"/>
        </w:trPr>
        <w:tc>
          <w:tcPr>
            <w:tcW w:w="294" w:type="pct"/>
            <w:noWrap/>
            <w:hideMark/>
          </w:tcPr>
          <w:p w14:paraId="640013A7" w14:textId="77777777" w:rsidR="000A44B5" w:rsidRPr="00471CBA" w:rsidRDefault="000A44B5" w:rsidP="000A44B5">
            <w:pPr>
              <w:contextualSpacing/>
              <w:rPr>
                <w:sz w:val="16"/>
                <w:szCs w:val="16"/>
              </w:rPr>
            </w:pPr>
            <w:r w:rsidRPr="00471CBA">
              <w:rPr>
                <w:sz w:val="16"/>
                <w:szCs w:val="16"/>
              </w:rPr>
              <w:t>12</w:t>
            </w:r>
          </w:p>
        </w:tc>
        <w:tc>
          <w:tcPr>
            <w:tcW w:w="914" w:type="pct"/>
            <w:hideMark/>
          </w:tcPr>
          <w:p w14:paraId="71FECB40" w14:textId="77777777" w:rsidR="000A44B5" w:rsidRPr="00471CBA" w:rsidRDefault="000A44B5" w:rsidP="000A44B5">
            <w:pPr>
              <w:contextualSpacing/>
              <w:rPr>
                <w:sz w:val="16"/>
                <w:szCs w:val="16"/>
              </w:rPr>
            </w:pPr>
            <w:r w:rsidRPr="00471CBA">
              <w:rPr>
                <w:sz w:val="16"/>
                <w:szCs w:val="16"/>
              </w:rPr>
              <w:t>Kurulca riski yüksek belirlenmiş alacaklar</w:t>
            </w:r>
          </w:p>
        </w:tc>
        <w:tc>
          <w:tcPr>
            <w:tcW w:w="306" w:type="pct"/>
            <w:tcBorders>
              <w:top w:val="nil"/>
              <w:left w:val="nil"/>
              <w:bottom w:val="nil"/>
              <w:right w:val="nil"/>
            </w:tcBorders>
            <w:noWrap/>
            <w:vAlign w:val="bottom"/>
          </w:tcPr>
          <w:p w14:paraId="56C8516E" w14:textId="4F90FDE8" w:rsidR="000A44B5" w:rsidRPr="00471CBA" w:rsidRDefault="000A44B5" w:rsidP="00F36B82">
            <w:pPr>
              <w:ind w:right="-55"/>
              <w:jc w:val="right"/>
              <w:rPr>
                <w:color w:val="000000"/>
                <w:sz w:val="16"/>
                <w:szCs w:val="16"/>
              </w:rPr>
            </w:pPr>
            <w:r w:rsidRPr="00471CBA">
              <w:rPr>
                <w:sz w:val="16"/>
                <w:szCs w:val="16"/>
              </w:rPr>
              <w:t>-</w:t>
            </w:r>
          </w:p>
        </w:tc>
        <w:tc>
          <w:tcPr>
            <w:tcW w:w="278" w:type="pct"/>
            <w:tcBorders>
              <w:top w:val="nil"/>
              <w:left w:val="nil"/>
              <w:bottom w:val="nil"/>
              <w:right w:val="nil"/>
            </w:tcBorders>
            <w:noWrap/>
            <w:vAlign w:val="bottom"/>
          </w:tcPr>
          <w:p w14:paraId="5DE8DA7A" w14:textId="53D61D68" w:rsidR="000A44B5" w:rsidRPr="00471CBA" w:rsidRDefault="000A44B5" w:rsidP="00F36B82">
            <w:pPr>
              <w:ind w:right="-55"/>
              <w:jc w:val="right"/>
              <w:rPr>
                <w:color w:val="000000"/>
                <w:sz w:val="16"/>
                <w:szCs w:val="16"/>
              </w:rPr>
            </w:pPr>
            <w:r w:rsidRPr="00471CBA">
              <w:rPr>
                <w:sz w:val="16"/>
                <w:szCs w:val="16"/>
              </w:rPr>
              <w:t>-</w:t>
            </w:r>
          </w:p>
        </w:tc>
        <w:tc>
          <w:tcPr>
            <w:tcW w:w="306" w:type="pct"/>
            <w:tcBorders>
              <w:top w:val="nil"/>
              <w:left w:val="nil"/>
              <w:bottom w:val="nil"/>
              <w:right w:val="nil"/>
            </w:tcBorders>
            <w:noWrap/>
            <w:vAlign w:val="bottom"/>
          </w:tcPr>
          <w:p w14:paraId="49125B47" w14:textId="37C90E4E" w:rsidR="000A44B5" w:rsidRPr="00471CBA" w:rsidRDefault="000A44B5" w:rsidP="00F36B82">
            <w:pPr>
              <w:ind w:right="-55"/>
              <w:jc w:val="right"/>
              <w:rPr>
                <w:color w:val="000000"/>
                <w:sz w:val="16"/>
                <w:szCs w:val="16"/>
              </w:rPr>
            </w:pPr>
            <w:r w:rsidRPr="00471CBA">
              <w:rPr>
                <w:sz w:val="16"/>
                <w:szCs w:val="16"/>
              </w:rPr>
              <w:t>-</w:t>
            </w:r>
          </w:p>
        </w:tc>
        <w:tc>
          <w:tcPr>
            <w:tcW w:w="242" w:type="pct"/>
            <w:tcBorders>
              <w:top w:val="nil"/>
              <w:left w:val="nil"/>
              <w:bottom w:val="nil"/>
              <w:right w:val="nil"/>
            </w:tcBorders>
            <w:vAlign w:val="bottom"/>
          </w:tcPr>
          <w:p w14:paraId="60448E47" w14:textId="4255F66E" w:rsidR="000A44B5" w:rsidRPr="00471CBA" w:rsidRDefault="000A44B5" w:rsidP="00F36B82">
            <w:pPr>
              <w:ind w:right="-55"/>
              <w:jc w:val="right"/>
              <w:rPr>
                <w:color w:val="000000"/>
                <w:sz w:val="16"/>
                <w:szCs w:val="16"/>
              </w:rPr>
            </w:pPr>
            <w:r w:rsidRPr="00471CBA">
              <w:rPr>
                <w:sz w:val="16"/>
                <w:szCs w:val="16"/>
              </w:rPr>
              <w:t>-</w:t>
            </w:r>
          </w:p>
        </w:tc>
        <w:tc>
          <w:tcPr>
            <w:tcW w:w="545" w:type="pct"/>
            <w:tcBorders>
              <w:top w:val="nil"/>
              <w:left w:val="nil"/>
              <w:bottom w:val="nil"/>
              <w:right w:val="nil"/>
            </w:tcBorders>
            <w:vAlign w:val="bottom"/>
          </w:tcPr>
          <w:p w14:paraId="411331AE" w14:textId="64EF7841" w:rsidR="000A44B5" w:rsidRPr="00471CBA" w:rsidRDefault="000A44B5" w:rsidP="00F36B82">
            <w:pPr>
              <w:ind w:right="-55"/>
              <w:jc w:val="right"/>
              <w:rPr>
                <w:color w:val="000000"/>
                <w:sz w:val="16"/>
                <w:szCs w:val="16"/>
              </w:rPr>
            </w:pPr>
            <w:r w:rsidRPr="00471CBA">
              <w:rPr>
                <w:sz w:val="16"/>
                <w:szCs w:val="16"/>
              </w:rPr>
              <w:t>-</w:t>
            </w:r>
          </w:p>
        </w:tc>
        <w:tc>
          <w:tcPr>
            <w:tcW w:w="277" w:type="pct"/>
            <w:tcBorders>
              <w:top w:val="nil"/>
              <w:left w:val="nil"/>
              <w:bottom w:val="nil"/>
              <w:right w:val="nil"/>
            </w:tcBorders>
            <w:noWrap/>
            <w:vAlign w:val="bottom"/>
          </w:tcPr>
          <w:p w14:paraId="1865ABAB" w14:textId="65848B52" w:rsidR="000A44B5" w:rsidRPr="00471CBA" w:rsidRDefault="000A44B5" w:rsidP="00F36B82">
            <w:pPr>
              <w:ind w:right="-55"/>
              <w:jc w:val="right"/>
              <w:rPr>
                <w:color w:val="000000"/>
                <w:sz w:val="16"/>
                <w:szCs w:val="16"/>
              </w:rPr>
            </w:pPr>
            <w:r w:rsidRPr="00471CBA">
              <w:rPr>
                <w:sz w:val="16"/>
                <w:szCs w:val="16"/>
              </w:rPr>
              <w:t>-</w:t>
            </w:r>
          </w:p>
        </w:tc>
        <w:tc>
          <w:tcPr>
            <w:tcW w:w="277" w:type="pct"/>
            <w:tcBorders>
              <w:top w:val="nil"/>
              <w:left w:val="nil"/>
              <w:bottom w:val="nil"/>
              <w:right w:val="nil"/>
            </w:tcBorders>
            <w:noWrap/>
            <w:vAlign w:val="bottom"/>
          </w:tcPr>
          <w:p w14:paraId="0F776F3A" w14:textId="7675E623" w:rsidR="000A44B5" w:rsidRPr="00471CBA" w:rsidRDefault="000A44B5" w:rsidP="00F36B82">
            <w:pPr>
              <w:ind w:right="-55"/>
              <w:jc w:val="right"/>
              <w:rPr>
                <w:color w:val="000000"/>
                <w:sz w:val="16"/>
                <w:szCs w:val="16"/>
              </w:rPr>
            </w:pPr>
            <w:r w:rsidRPr="00471CBA">
              <w:rPr>
                <w:sz w:val="16"/>
                <w:szCs w:val="16"/>
              </w:rPr>
              <w:t>-</w:t>
            </w:r>
          </w:p>
        </w:tc>
        <w:tc>
          <w:tcPr>
            <w:tcW w:w="334" w:type="pct"/>
            <w:tcBorders>
              <w:top w:val="nil"/>
              <w:left w:val="nil"/>
              <w:bottom w:val="nil"/>
              <w:right w:val="nil"/>
            </w:tcBorders>
            <w:noWrap/>
            <w:vAlign w:val="bottom"/>
          </w:tcPr>
          <w:p w14:paraId="73F2CF12" w14:textId="49FA4C6F" w:rsidR="000A44B5" w:rsidRPr="00471CBA" w:rsidRDefault="000A44B5" w:rsidP="00F36B82">
            <w:pPr>
              <w:ind w:right="-55"/>
              <w:jc w:val="right"/>
              <w:rPr>
                <w:color w:val="000000"/>
                <w:sz w:val="16"/>
                <w:szCs w:val="16"/>
              </w:rPr>
            </w:pPr>
            <w:r w:rsidRPr="00471CBA">
              <w:rPr>
                <w:sz w:val="16"/>
                <w:szCs w:val="16"/>
              </w:rPr>
              <w:t>-</w:t>
            </w:r>
          </w:p>
        </w:tc>
        <w:tc>
          <w:tcPr>
            <w:tcW w:w="277" w:type="pct"/>
            <w:tcBorders>
              <w:top w:val="nil"/>
              <w:left w:val="nil"/>
              <w:bottom w:val="nil"/>
              <w:right w:val="nil"/>
            </w:tcBorders>
            <w:noWrap/>
            <w:vAlign w:val="bottom"/>
          </w:tcPr>
          <w:p w14:paraId="44FEDEEC" w14:textId="67D30070" w:rsidR="000A44B5" w:rsidRPr="00471CBA" w:rsidRDefault="000A44B5" w:rsidP="00F36B82">
            <w:pPr>
              <w:ind w:right="-55"/>
              <w:jc w:val="right"/>
              <w:rPr>
                <w:color w:val="000000"/>
                <w:sz w:val="16"/>
                <w:szCs w:val="16"/>
              </w:rPr>
            </w:pPr>
            <w:r w:rsidRPr="00471CBA">
              <w:rPr>
                <w:sz w:val="16"/>
                <w:szCs w:val="16"/>
              </w:rPr>
              <w:t>-</w:t>
            </w:r>
          </w:p>
        </w:tc>
        <w:tc>
          <w:tcPr>
            <w:tcW w:w="278" w:type="pct"/>
            <w:tcBorders>
              <w:top w:val="nil"/>
              <w:left w:val="nil"/>
              <w:bottom w:val="nil"/>
              <w:right w:val="nil"/>
            </w:tcBorders>
            <w:noWrap/>
            <w:vAlign w:val="bottom"/>
          </w:tcPr>
          <w:p w14:paraId="00BAE778" w14:textId="29C3A260" w:rsidR="000A44B5" w:rsidRPr="00471CBA" w:rsidRDefault="000A44B5" w:rsidP="00F36B82">
            <w:pPr>
              <w:ind w:right="-55"/>
              <w:jc w:val="right"/>
              <w:rPr>
                <w:color w:val="000000"/>
                <w:sz w:val="16"/>
                <w:szCs w:val="16"/>
              </w:rPr>
            </w:pPr>
            <w:r w:rsidRPr="00471CBA">
              <w:rPr>
                <w:sz w:val="16"/>
                <w:szCs w:val="16"/>
              </w:rPr>
              <w:t>-</w:t>
            </w:r>
          </w:p>
        </w:tc>
        <w:tc>
          <w:tcPr>
            <w:tcW w:w="338" w:type="pct"/>
            <w:tcBorders>
              <w:top w:val="nil"/>
              <w:left w:val="nil"/>
              <w:bottom w:val="nil"/>
              <w:right w:val="nil"/>
            </w:tcBorders>
            <w:noWrap/>
            <w:vAlign w:val="bottom"/>
          </w:tcPr>
          <w:p w14:paraId="1D4E9101" w14:textId="1506E938" w:rsidR="000A44B5" w:rsidRPr="00471CBA" w:rsidRDefault="000A44B5" w:rsidP="00F36B82">
            <w:pPr>
              <w:ind w:right="-55"/>
              <w:jc w:val="right"/>
              <w:rPr>
                <w:color w:val="000000"/>
                <w:sz w:val="16"/>
                <w:szCs w:val="16"/>
              </w:rPr>
            </w:pPr>
            <w:r w:rsidRPr="00471CBA">
              <w:rPr>
                <w:sz w:val="16"/>
                <w:szCs w:val="16"/>
              </w:rPr>
              <w:t>27.648</w:t>
            </w:r>
          </w:p>
        </w:tc>
        <w:tc>
          <w:tcPr>
            <w:tcW w:w="334" w:type="pct"/>
            <w:tcBorders>
              <w:top w:val="nil"/>
              <w:left w:val="nil"/>
              <w:bottom w:val="nil"/>
              <w:right w:val="nil"/>
            </w:tcBorders>
            <w:noWrap/>
            <w:vAlign w:val="bottom"/>
          </w:tcPr>
          <w:p w14:paraId="6A1DA5DC" w14:textId="05C300B3" w:rsidR="000A44B5" w:rsidRPr="00471CBA" w:rsidRDefault="000A44B5" w:rsidP="00F36B82">
            <w:pPr>
              <w:ind w:right="-55"/>
              <w:jc w:val="right"/>
              <w:rPr>
                <w:color w:val="000000"/>
                <w:sz w:val="16"/>
                <w:szCs w:val="16"/>
              </w:rPr>
            </w:pPr>
            <w:r w:rsidRPr="00471CBA">
              <w:rPr>
                <w:sz w:val="16"/>
                <w:szCs w:val="16"/>
              </w:rPr>
              <w:t>27.648</w:t>
            </w:r>
          </w:p>
        </w:tc>
      </w:tr>
      <w:tr w:rsidR="00F36B82" w:rsidRPr="00471CBA" w14:paraId="025A4899" w14:textId="77777777" w:rsidTr="00F36B82">
        <w:trPr>
          <w:trHeight w:val="170"/>
        </w:trPr>
        <w:tc>
          <w:tcPr>
            <w:tcW w:w="294" w:type="pct"/>
            <w:noWrap/>
            <w:hideMark/>
          </w:tcPr>
          <w:p w14:paraId="1891A188" w14:textId="77777777" w:rsidR="000A44B5" w:rsidRPr="00471CBA" w:rsidRDefault="000A44B5" w:rsidP="000A44B5">
            <w:pPr>
              <w:rPr>
                <w:sz w:val="16"/>
                <w:szCs w:val="16"/>
              </w:rPr>
            </w:pPr>
            <w:r w:rsidRPr="00471CBA">
              <w:rPr>
                <w:sz w:val="16"/>
                <w:szCs w:val="16"/>
              </w:rPr>
              <w:t>13</w:t>
            </w:r>
          </w:p>
        </w:tc>
        <w:tc>
          <w:tcPr>
            <w:tcW w:w="914" w:type="pct"/>
            <w:hideMark/>
          </w:tcPr>
          <w:p w14:paraId="25EE9807" w14:textId="77777777" w:rsidR="000A44B5" w:rsidRPr="00471CBA" w:rsidRDefault="000A44B5" w:rsidP="000A44B5">
            <w:pPr>
              <w:contextualSpacing/>
              <w:rPr>
                <w:sz w:val="16"/>
                <w:szCs w:val="16"/>
              </w:rPr>
            </w:pPr>
            <w:r w:rsidRPr="00471CBA">
              <w:rPr>
                <w:sz w:val="16"/>
                <w:szCs w:val="16"/>
              </w:rPr>
              <w:t>Teminatlı menkul kıymetler</w:t>
            </w:r>
          </w:p>
        </w:tc>
        <w:tc>
          <w:tcPr>
            <w:tcW w:w="306" w:type="pct"/>
            <w:tcBorders>
              <w:top w:val="nil"/>
              <w:left w:val="nil"/>
              <w:bottom w:val="nil"/>
              <w:right w:val="nil"/>
            </w:tcBorders>
            <w:noWrap/>
            <w:vAlign w:val="bottom"/>
          </w:tcPr>
          <w:p w14:paraId="4D4B122B" w14:textId="52EDFADF" w:rsidR="000A44B5" w:rsidRPr="00471CBA" w:rsidRDefault="000A44B5" w:rsidP="00F36B82">
            <w:pPr>
              <w:ind w:right="-55"/>
              <w:jc w:val="right"/>
              <w:rPr>
                <w:color w:val="000000"/>
                <w:sz w:val="16"/>
                <w:szCs w:val="16"/>
              </w:rPr>
            </w:pPr>
            <w:r w:rsidRPr="00471CBA">
              <w:rPr>
                <w:sz w:val="16"/>
                <w:szCs w:val="16"/>
              </w:rPr>
              <w:t>-</w:t>
            </w:r>
          </w:p>
        </w:tc>
        <w:tc>
          <w:tcPr>
            <w:tcW w:w="278" w:type="pct"/>
            <w:tcBorders>
              <w:top w:val="nil"/>
              <w:left w:val="nil"/>
              <w:bottom w:val="nil"/>
              <w:right w:val="nil"/>
            </w:tcBorders>
            <w:noWrap/>
            <w:vAlign w:val="bottom"/>
          </w:tcPr>
          <w:p w14:paraId="5404DC5A" w14:textId="2EF24A2F" w:rsidR="000A44B5" w:rsidRPr="00471CBA" w:rsidRDefault="000A44B5" w:rsidP="00F36B82">
            <w:pPr>
              <w:ind w:right="-55"/>
              <w:jc w:val="right"/>
              <w:rPr>
                <w:color w:val="000000"/>
                <w:sz w:val="16"/>
                <w:szCs w:val="16"/>
              </w:rPr>
            </w:pPr>
            <w:r w:rsidRPr="00471CBA">
              <w:rPr>
                <w:sz w:val="16"/>
                <w:szCs w:val="16"/>
              </w:rPr>
              <w:t>-</w:t>
            </w:r>
          </w:p>
        </w:tc>
        <w:tc>
          <w:tcPr>
            <w:tcW w:w="306" w:type="pct"/>
            <w:tcBorders>
              <w:top w:val="nil"/>
              <w:left w:val="nil"/>
              <w:bottom w:val="nil"/>
              <w:right w:val="nil"/>
            </w:tcBorders>
            <w:noWrap/>
            <w:vAlign w:val="bottom"/>
          </w:tcPr>
          <w:p w14:paraId="598655A4" w14:textId="58E06803" w:rsidR="000A44B5" w:rsidRPr="00471CBA" w:rsidRDefault="000A44B5" w:rsidP="00F36B82">
            <w:pPr>
              <w:ind w:right="-55"/>
              <w:jc w:val="right"/>
              <w:rPr>
                <w:color w:val="000000"/>
                <w:sz w:val="16"/>
                <w:szCs w:val="16"/>
              </w:rPr>
            </w:pPr>
            <w:r w:rsidRPr="00471CBA">
              <w:rPr>
                <w:sz w:val="16"/>
                <w:szCs w:val="16"/>
              </w:rPr>
              <w:t>-</w:t>
            </w:r>
          </w:p>
        </w:tc>
        <w:tc>
          <w:tcPr>
            <w:tcW w:w="242" w:type="pct"/>
            <w:tcBorders>
              <w:top w:val="nil"/>
              <w:left w:val="nil"/>
              <w:bottom w:val="nil"/>
              <w:right w:val="nil"/>
            </w:tcBorders>
            <w:vAlign w:val="bottom"/>
          </w:tcPr>
          <w:p w14:paraId="11905277" w14:textId="79D2EBC1" w:rsidR="000A44B5" w:rsidRPr="00471CBA" w:rsidRDefault="000A44B5" w:rsidP="00F36B82">
            <w:pPr>
              <w:ind w:right="-55"/>
              <w:jc w:val="right"/>
              <w:rPr>
                <w:color w:val="000000"/>
                <w:sz w:val="16"/>
                <w:szCs w:val="16"/>
              </w:rPr>
            </w:pPr>
            <w:r w:rsidRPr="00471CBA">
              <w:rPr>
                <w:sz w:val="16"/>
                <w:szCs w:val="16"/>
              </w:rPr>
              <w:t>-</w:t>
            </w:r>
          </w:p>
        </w:tc>
        <w:tc>
          <w:tcPr>
            <w:tcW w:w="545" w:type="pct"/>
            <w:tcBorders>
              <w:top w:val="nil"/>
              <w:left w:val="nil"/>
              <w:bottom w:val="nil"/>
              <w:right w:val="nil"/>
            </w:tcBorders>
            <w:vAlign w:val="bottom"/>
          </w:tcPr>
          <w:p w14:paraId="68B8698F" w14:textId="627B7684" w:rsidR="000A44B5" w:rsidRPr="00471CBA" w:rsidRDefault="000A44B5" w:rsidP="00F36B82">
            <w:pPr>
              <w:ind w:right="-55"/>
              <w:jc w:val="right"/>
              <w:rPr>
                <w:color w:val="000000"/>
                <w:sz w:val="16"/>
                <w:szCs w:val="16"/>
              </w:rPr>
            </w:pPr>
            <w:r w:rsidRPr="00471CBA">
              <w:rPr>
                <w:sz w:val="16"/>
                <w:szCs w:val="16"/>
              </w:rPr>
              <w:t>-</w:t>
            </w:r>
          </w:p>
        </w:tc>
        <w:tc>
          <w:tcPr>
            <w:tcW w:w="277" w:type="pct"/>
            <w:tcBorders>
              <w:top w:val="nil"/>
              <w:left w:val="nil"/>
              <w:bottom w:val="nil"/>
              <w:right w:val="nil"/>
            </w:tcBorders>
            <w:noWrap/>
            <w:vAlign w:val="bottom"/>
          </w:tcPr>
          <w:p w14:paraId="05B673FC" w14:textId="55ADCA3B" w:rsidR="000A44B5" w:rsidRPr="00471CBA" w:rsidRDefault="000A44B5" w:rsidP="00F36B82">
            <w:pPr>
              <w:ind w:right="-55"/>
              <w:jc w:val="right"/>
              <w:rPr>
                <w:color w:val="000000"/>
                <w:sz w:val="16"/>
                <w:szCs w:val="16"/>
              </w:rPr>
            </w:pPr>
            <w:r w:rsidRPr="00471CBA">
              <w:rPr>
                <w:sz w:val="16"/>
                <w:szCs w:val="16"/>
              </w:rPr>
              <w:t>-</w:t>
            </w:r>
          </w:p>
        </w:tc>
        <w:tc>
          <w:tcPr>
            <w:tcW w:w="277" w:type="pct"/>
            <w:tcBorders>
              <w:top w:val="nil"/>
              <w:left w:val="nil"/>
              <w:bottom w:val="nil"/>
              <w:right w:val="nil"/>
            </w:tcBorders>
            <w:noWrap/>
            <w:vAlign w:val="bottom"/>
          </w:tcPr>
          <w:p w14:paraId="438C46A4" w14:textId="73B49785" w:rsidR="000A44B5" w:rsidRPr="00471CBA" w:rsidRDefault="000A44B5" w:rsidP="00F36B82">
            <w:pPr>
              <w:ind w:right="-55"/>
              <w:jc w:val="right"/>
              <w:rPr>
                <w:color w:val="000000"/>
                <w:sz w:val="16"/>
                <w:szCs w:val="16"/>
              </w:rPr>
            </w:pPr>
            <w:r w:rsidRPr="00471CBA">
              <w:rPr>
                <w:sz w:val="16"/>
                <w:szCs w:val="16"/>
              </w:rPr>
              <w:t>-</w:t>
            </w:r>
          </w:p>
        </w:tc>
        <w:tc>
          <w:tcPr>
            <w:tcW w:w="334" w:type="pct"/>
            <w:tcBorders>
              <w:top w:val="nil"/>
              <w:left w:val="nil"/>
              <w:bottom w:val="nil"/>
              <w:right w:val="nil"/>
            </w:tcBorders>
            <w:noWrap/>
            <w:vAlign w:val="bottom"/>
          </w:tcPr>
          <w:p w14:paraId="777ECEFA" w14:textId="2FAAD9E3" w:rsidR="000A44B5" w:rsidRPr="00471CBA" w:rsidRDefault="000A44B5" w:rsidP="00F36B82">
            <w:pPr>
              <w:ind w:right="-55"/>
              <w:jc w:val="right"/>
              <w:rPr>
                <w:color w:val="000000"/>
                <w:sz w:val="16"/>
                <w:szCs w:val="16"/>
              </w:rPr>
            </w:pPr>
            <w:r w:rsidRPr="00471CBA">
              <w:rPr>
                <w:sz w:val="16"/>
                <w:szCs w:val="16"/>
              </w:rPr>
              <w:t>-</w:t>
            </w:r>
          </w:p>
        </w:tc>
        <w:tc>
          <w:tcPr>
            <w:tcW w:w="277" w:type="pct"/>
            <w:tcBorders>
              <w:top w:val="nil"/>
              <w:left w:val="nil"/>
              <w:bottom w:val="nil"/>
              <w:right w:val="nil"/>
            </w:tcBorders>
            <w:noWrap/>
            <w:vAlign w:val="bottom"/>
          </w:tcPr>
          <w:p w14:paraId="56D73F03" w14:textId="6678087D" w:rsidR="000A44B5" w:rsidRPr="00471CBA" w:rsidRDefault="000A44B5" w:rsidP="00F36B82">
            <w:pPr>
              <w:ind w:right="-55"/>
              <w:jc w:val="right"/>
              <w:rPr>
                <w:color w:val="000000"/>
                <w:sz w:val="16"/>
                <w:szCs w:val="16"/>
              </w:rPr>
            </w:pPr>
            <w:r w:rsidRPr="00471CBA">
              <w:rPr>
                <w:sz w:val="16"/>
                <w:szCs w:val="16"/>
              </w:rPr>
              <w:t>-</w:t>
            </w:r>
          </w:p>
        </w:tc>
        <w:tc>
          <w:tcPr>
            <w:tcW w:w="278" w:type="pct"/>
            <w:tcBorders>
              <w:top w:val="nil"/>
              <w:left w:val="nil"/>
              <w:bottom w:val="nil"/>
              <w:right w:val="nil"/>
            </w:tcBorders>
            <w:noWrap/>
            <w:vAlign w:val="bottom"/>
          </w:tcPr>
          <w:p w14:paraId="1A99290A" w14:textId="3309ECF0" w:rsidR="000A44B5" w:rsidRPr="00471CBA" w:rsidRDefault="000A44B5" w:rsidP="00F36B82">
            <w:pPr>
              <w:ind w:right="-55"/>
              <w:jc w:val="right"/>
              <w:rPr>
                <w:color w:val="000000"/>
                <w:sz w:val="16"/>
                <w:szCs w:val="16"/>
              </w:rPr>
            </w:pPr>
            <w:r w:rsidRPr="00471CBA">
              <w:rPr>
                <w:sz w:val="16"/>
                <w:szCs w:val="16"/>
              </w:rPr>
              <w:t>-</w:t>
            </w:r>
          </w:p>
        </w:tc>
        <w:tc>
          <w:tcPr>
            <w:tcW w:w="338" w:type="pct"/>
            <w:tcBorders>
              <w:top w:val="nil"/>
              <w:left w:val="nil"/>
              <w:bottom w:val="nil"/>
              <w:right w:val="nil"/>
            </w:tcBorders>
            <w:noWrap/>
            <w:vAlign w:val="bottom"/>
          </w:tcPr>
          <w:p w14:paraId="00C81B09" w14:textId="309D47D8" w:rsidR="000A44B5" w:rsidRPr="00471CBA" w:rsidRDefault="000A44B5" w:rsidP="00F36B82">
            <w:pPr>
              <w:ind w:right="-55"/>
              <w:jc w:val="right"/>
              <w:rPr>
                <w:color w:val="000000"/>
                <w:sz w:val="16"/>
                <w:szCs w:val="16"/>
              </w:rPr>
            </w:pPr>
            <w:r w:rsidRPr="00471CBA">
              <w:rPr>
                <w:sz w:val="16"/>
                <w:szCs w:val="16"/>
              </w:rPr>
              <w:t>-</w:t>
            </w:r>
          </w:p>
        </w:tc>
        <w:tc>
          <w:tcPr>
            <w:tcW w:w="334" w:type="pct"/>
            <w:tcBorders>
              <w:top w:val="nil"/>
              <w:left w:val="nil"/>
              <w:bottom w:val="nil"/>
              <w:right w:val="nil"/>
            </w:tcBorders>
            <w:noWrap/>
            <w:vAlign w:val="bottom"/>
          </w:tcPr>
          <w:p w14:paraId="17C1D6CE" w14:textId="6F2BA87E" w:rsidR="000A44B5" w:rsidRPr="00471CBA" w:rsidRDefault="000A44B5" w:rsidP="00F36B82">
            <w:pPr>
              <w:ind w:right="-55"/>
              <w:jc w:val="right"/>
              <w:rPr>
                <w:color w:val="000000"/>
                <w:sz w:val="16"/>
                <w:szCs w:val="16"/>
              </w:rPr>
            </w:pPr>
            <w:r w:rsidRPr="00471CBA">
              <w:rPr>
                <w:sz w:val="16"/>
                <w:szCs w:val="16"/>
              </w:rPr>
              <w:t>-</w:t>
            </w:r>
          </w:p>
        </w:tc>
      </w:tr>
      <w:tr w:rsidR="00F36B82" w:rsidRPr="00471CBA" w14:paraId="0C226F1D" w14:textId="77777777" w:rsidTr="00F36B82">
        <w:trPr>
          <w:trHeight w:val="170"/>
        </w:trPr>
        <w:tc>
          <w:tcPr>
            <w:tcW w:w="294" w:type="pct"/>
            <w:noWrap/>
            <w:hideMark/>
          </w:tcPr>
          <w:p w14:paraId="5C9FD78E" w14:textId="77777777" w:rsidR="000A44B5" w:rsidRPr="00471CBA" w:rsidRDefault="000A44B5" w:rsidP="000A44B5">
            <w:pPr>
              <w:rPr>
                <w:sz w:val="16"/>
                <w:szCs w:val="16"/>
              </w:rPr>
            </w:pPr>
            <w:r w:rsidRPr="00471CBA">
              <w:rPr>
                <w:sz w:val="16"/>
                <w:szCs w:val="16"/>
              </w:rPr>
              <w:t>14</w:t>
            </w:r>
          </w:p>
        </w:tc>
        <w:tc>
          <w:tcPr>
            <w:tcW w:w="914" w:type="pct"/>
            <w:hideMark/>
          </w:tcPr>
          <w:p w14:paraId="7B1D4D18" w14:textId="77777777" w:rsidR="000A44B5" w:rsidRPr="00471CBA" w:rsidRDefault="000A44B5" w:rsidP="000A44B5">
            <w:pPr>
              <w:contextualSpacing/>
              <w:rPr>
                <w:sz w:val="16"/>
                <w:szCs w:val="16"/>
              </w:rPr>
            </w:pPr>
            <w:r w:rsidRPr="00471CBA">
              <w:rPr>
                <w:sz w:val="16"/>
                <w:szCs w:val="16"/>
              </w:rPr>
              <w:t>Bankalardan ve aracı kurumlardan olan kısa vadeli alacaklar ile kısa vadeli kurumsal alacaklar</w:t>
            </w:r>
          </w:p>
        </w:tc>
        <w:tc>
          <w:tcPr>
            <w:tcW w:w="306" w:type="pct"/>
            <w:tcBorders>
              <w:top w:val="nil"/>
              <w:left w:val="nil"/>
              <w:bottom w:val="nil"/>
              <w:right w:val="nil"/>
            </w:tcBorders>
            <w:noWrap/>
            <w:vAlign w:val="bottom"/>
          </w:tcPr>
          <w:p w14:paraId="2E239D76" w14:textId="0E5663BE" w:rsidR="000A44B5" w:rsidRPr="00471CBA" w:rsidRDefault="000A44B5" w:rsidP="00F36B82">
            <w:pPr>
              <w:ind w:right="-55"/>
              <w:jc w:val="right"/>
              <w:rPr>
                <w:color w:val="000000"/>
                <w:sz w:val="16"/>
                <w:szCs w:val="16"/>
              </w:rPr>
            </w:pPr>
            <w:r w:rsidRPr="00471CBA">
              <w:rPr>
                <w:sz w:val="16"/>
                <w:szCs w:val="16"/>
              </w:rPr>
              <w:t>-</w:t>
            </w:r>
          </w:p>
        </w:tc>
        <w:tc>
          <w:tcPr>
            <w:tcW w:w="278" w:type="pct"/>
            <w:tcBorders>
              <w:top w:val="nil"/>
              <w:left w:val="nil"/>
              <w:bottom w:val="nil"/>
              <w:right w:val="nil"/>
            </w:tcBorders>
            <w:noWrap/>
            <w:vAlign w:val="bottom"/>
          </w:tcPr>
          <w:p w14:paraId="275C8891" w14:textId="7B9336A7" w:rsidR="000A44B5" w:rsidRPr="00471CBA" w:rsidRDefault="000A44B5" w:rsidP="00F36B82">
            <w:pPr>
              <w:ind w:right="-55"/>
              <w:jc w:val="right"/>
              <w:rPr>
                <w:color w:val="000000"/>
                <w:sz w:val="16"/>
                <w:szCs w:val="16"/>
              </w:rPr>
            </w:pPr>
            <w:r w:rsidRPr="00471CBA">
              <w:rPr>
                <w:sz w:val="16"/>
                <w:szCs w:val="16"/>
              </w:rPr>
              <w:t>-</w:t>
            </w:r>
          </w:p>
        </w:tc>
        <w:tc>
          <w:tcPr>
            <w:tcW w:w="306" w:type="pct"/>
            <w:tcBorders>
              <w:top w:val="nil"/>
              <w:left w:val="nil"/>
              <w:bottom w:val="nil"/>
              <w:right w:val="nil"/>
            </w:tcBorders>
            <w:noWrap/>
            <w:vAlign w:val="bottom"/>
          </w:tcPr>
          <w:p w14:paraId="23EFEE35" w14:textId="19CC2DFD" w:rsidR="000A44B5" w:rsidRPr="00471CBA" w:rsidRDefault="000A44B5" w:rsidP="00F36B82">
            <w:pPr>
              <w:ind w:right="-55"/>
              <w:jc w:val="right"/>
              <w:rPr>
                <w:color w:val="000000"/>
                <w:sz w:val="16"/>
                <w:szCs w:val="16"/>
              </w:rPr>
            </w:pPr>
            <w:r w:rsidRPr="00471CBA">
              <w:rPr>
                <w:sz w:val="16"/>
                <w:szCs w:val="16"/>
              </w:rPr>
              <w:t>-</w:t>
            </w:r>
          </w:p>
        </w:tc>
        <w:tc>
          <w:tcPr>
            <w:tcW w:w="242" w:type="pct"/>
            <w:tcBorders>
              <w:top w:val="nil"/>
              <w:left w:val="nil"/>
              <w:bottom w:val="nil"/>
              <w:right w:val="nil"/>
            </w:tcBorders>
            <w:vAlign w:val="bottom"/>
          </w:tcPr>
          <w:p w14:paraId="46921E53" w14:textId="13E74806" w:rsidR="000A44B5" w:rsidRPr="00471CBA" w:rsidRDefault="000A44B5" w:rsidP="00F36B82">
            <w:pPr>
              <w:ind w:right="-55"/>
              <w:jc w:val="right"/>
              <w:rPr>
                <w:color w:val="000000"/>
                <w:sz w:val="16"/>
                <w:szCs w:val="16"/>
              </w:rPr>
            </w:pPr>
            <w:r w:rsidRPr="00471CBA">
              <w:rPr>
                <w:sz w:val="16"/>
                <w:szCs w:val="16"/>
              </w:rPr>
              <w:t>-</w:t>
            </w:r>
          </w:p>
        </w:tc>
        <w:tc>
          <w:tcPr>
            <w:tcW w:w="545" w:type="pct"/>
            <w:tcBorders>
              <w:top w:val="nil"/>
              <w:left w:val="nil"/>
              <w:bottom w:val="nil"/>
              <w:right w:val="nil"/>
            </w:tcBorders>
            <w:vAlign w:val="bottom"/>
          </w:tcPr>
          <w:p w14:paraId="6EA24365" w14:textId="0EC821F8" w:rsidR="000A44B5" w:rsidRPr="00471CBA" w:rsidRDefault="000A44B5" w:rsidP="00F36B82">
            <w:pPr>
              <w:ind w:right="-55"/>
              <w:jc w:val="right"/>
              <w:rPr>
                <w:color w:val="000000"/>
                <w:sz w:val="16"/>
                <w:szCs w:val="16"/>
              </w:rPr>
            </w:pPr>
            <w:r w:rsidRPr="00471CBA">
              <w:rPr>
                <w:sz w:val="16"/>
                <w:szCs w:val="16"/>
              </w:rPr>
              <w:t>-</w:t>
            </w:r>
          </w:p>
        </w:tc>
        <w:tc>
          <w:tcPr>
            <w:tcW w:w="277" w:type="pct"/>
            <w:tcBorders>
              <w:top w:val="nil"/>
              <w:left w:val="nil"/>
              <w:bottom w:val="nil"/>
              <w:right w:val="nil"/>
            </w:tcBorders>
            <w:noWrap/>
            <w:vAlign w:val="bottom"/>
          </w:tcPr>
          <w:p w14:paraId="62007373" w14:textId="61109C3B" w:rsidR="000A44B5" w:rsidRPr="00471CBA" w:rsidRDefault="000A44B5" w:rsidP="00F36B82">
            <w:pPr>
              <w:ind w:right="-55"/>
              <w:jc w:val="right"/>
              <w:rPr>
                <w:color w:val="000000"/>
                <w:sz w:val="16"/>
                <w:szCs w:val="16"/>
              </w:rPr>
            </w:pPr>
            <w:r w:rsidRPr="00471CBA">
              <w:rPr>
                <w:sz w:val="16"/>
                <w:szCs w:val="16"/>
              </w:rPr>
              <w:t>-</w:t>
            </w:r>
          </w:p>
        </w:tc>
        <w:tc>
          <w:tcPr>
            <w:tcW w:w="277" w:type="pct"/>
            <w:tcBorders>
              <w:top w:val="nil"/>
              <w:left w:val="nil"/>
              <w:bottom w:val="nil"/>
              <w:right w:val="nil"/>
            </w:tcBorders>
            <w:noWrap/>
            <w:vAlign w:val="bottom"/>
          </w:tcPr>
          <w:p w14:paraId="4659E30F" w14:textId="098E9FEC" w:rsidR="000A44B5" w:rsidRPr="00471CBA" w:rsidRDefault="000A44B5" w:rsidP="00F36B82">
            <w:pPr>
              <w:ind w:right="-55"/>
              <w:jc w:val="right"/>
              <w:rPr>
                <w:color w:val="000000"/>
                <w:sz w:val="16"/>
                <w:szCs w:val="16"/>
              </w:rPr>
            </w:pPr>
            <w:r w:rsidRPr="00471CBA">
              <w:rPr>
                <w:sz w:val="16"/>
                <w:szCs w:val="16"/>
              </w:rPr>
              <w:t>-</w:t>
            </w:r>
          </w:p>
        </w:tc>
        <w:tc>
          <w:tcPr>
            <w:tcW w:w="334" w:type="pct"/>
            <w:tcBorders>
              <w:top w:val="nil"/>
              <w:left w:val="nil"/>
              <w:bottom w:val="nil"/>
              <w:right w:val="nil"/>
            </w:tcBorders>
            <w:noWrap/>
            <w:vAlign w:val="bottom"/>
          </w:tcPr>
          <w:p w14:paraId="01689FF4" w14:textId="0ADC53E3" w:rsidR="000A44B5" w:rsidRPr="00471CBA" w:rsidRDefault="000A44B5" w:rsidP="00F36B82">
            <w:pPr>
              <w:ind w:right="-55"/>
              <w:jc w:val="right"/>
              <w:rPr>
                <w:color w:val="000000"/>
                <w:sz w:val="16"/>
                <w:szCs w:val="16"/>
              </w:rPr>
            </w:pPr>
            <w:r w:rsidRPr="00471CBA">
              <w:rPr>
                <w:sz w:val="16"/>
                <w:szCs w:val="16"/>
              </w:rPr>
              <w:t>-</w:t>
            </w:r>
          </w:p>
        </w:tc>
        <w:tc>
          <w:tcPr>
            <w:tcW w:w="277" w:type="pct"/>
            <w:tcBorders>
              <w:top w:val="nil"/>
              <w:left w:val="nil"/>
              <w:bottom w:val="nil"/>
              <w:right w:val="nil"/>
            </w:tcBorders>
            <w:noWrap/>
            <w:vAlign w:val="bottom"/>
          </w:tcPr>
          <w:p w14:paraId="25CCFD87" w14:textId="0A469651" w:rsidR="000A44B5" w:rsidRPr="00471CBA" w:rsidRDefault="000A44B5" w:rsidP="00F36B82">
            <w:pPr>
              <w:ind w:right="-55"/>
              <w:jc w:val="right"/>
              <w:rPr>
                <w:color w:val="000000"/>
                <w:sz w:val="16"/>
                <w:szCs w:val="16"/>
              </w:rPr>
            </w:pPr>
            <w:r w:rsidRPr="00471CBA">
              <w:rPr>
                <w:sz w:val="16"/>
                <w:szCs w:val="16"/>
              </w:rPr>
              <w:t>-</w:t>
            </w:r>
          </w:p>
        </w:tc>
        <w:tc>
          <w:tcPr>
            <w:tcW w:w="278" w:type="pct"/>
            <w:tcBorders>
              <w:top w:val="nil"/>
              <w:left w:val="nil"/>
              <w:bottom w:val="nil"/>
              <w:right w:val="nil"/>
            </w:tcBorders>
            <w:noWrap/>
            <w:vAlign w:val="bottom"/>
          </w:tcPr>
          <w:p w14:paraId="4426EC20" w14:textId="3CF1BEC5" w:rsidR="000A44B5" w:rsidRPr="00471CBA" w:rsidRDefault="000A44B5" w:rsidP="00F36B82">
            <w:pPr>
              <w:ind w:right="-55"/>
              <w:jc w:val="right"/>
              <w:rPr>
                <w:color w:val="000000"/>
                <w:sz w:val="16"/>
                <w:szCs w:val="16"/>
              </w:rPr>
            </w:pPr>
            <w:r w:rsidRPr="00471CBA">
              <w:rPr>
                <w:sz w:val="16"/>
                <w:szCs w:val="16"/>
              </w:rPr>
              <w:t>-</w:t>
            </w:r>
          </w:p>
        </w:tc>
        <w:tc>
          <w:tcPr>
            <w:tcW w:w="338" w:type="pct"/>
            <w:tcBorders>
              <w:top w:val="nil"/>
              <w:left w:val="nil"/>
              <w:bottom w:val="nil"/>
              <w:right w:val="nil"/>
            </w:tcBorders>
            <w:noWrap/>
            <w:vAlign w:val="bottom"/>
          </w:tcPr>
          <w:p w14:paraId="243D62ED" w14:textId="56EBCCC2" w:rsidR="000A44B5" w:rsidRPr="00471CBA" w:rsidRDefault="000A44B5" w:rsidP="00F36B82">
            <w:pPr>
              <w:ind w:right="-55"/>
              <w:jc w:val="right"/>
              <w:rPr>
                <w:color w:val="000000"/>
                <w:sz w:val="16"/>
                <w:szCs w:val="16"/>
              </w:rPr>
            </w:pPr>
            <w:r w:rsidRPr="00471CBA">
              <w:rPr>
                <w:sz w:val="16"/>
                <w:szCs w:val="16"/>
              </w:rPr>
              <w:t>-</w:t>
            </w:r>
          </w:p>
        </w:tc>
        <w:tc>
          <w:tcPr>
            <w:tcW w:w="334" w:type="pct"/>
            <w:tcBorders>
              <w:top w:val="nil"/>
              <w:left w:val="nil"/>
              <w:bottom w:val="nil"/>
              <w:right w:val="nil"/>
            </w:tcBorders>
            <w:noWrap/>
            <w:vAlign w:val="bottom"/>
          </w:tcPr>
          <w:p w14:paraId="6208F16B" w14:textId="3A4346CC" w:rsidR="000A44B5" w:rsidRPr="00471CBA" w:rsidRDefault="000A44B5" w:rsidP="00F36B82">
            <w:pPr>
              <w:ind w:right="-55"/>
              <w:jc w:val="right"/>
              <w:rPr>
                <w:color w:val="000000"/>
                <w:sz w:val="16"/>
                <w:szCs w:val="16"/>
              </w:rPr>
            </w:pPr>
            <w:r w:rsidRPr="00471CBA">
              <w:rPr>
                <w:sz w:val="16"/>
                <w:szCs w:val="16"/>
              </w:rPr>
              <w:t>-</w:t>
            </w:r>
          </w:p>
        </w:tc>
      </w:tr>
      <w:tr w:rsidR="00F36B82" w:rsidRPr="00471CBA" w14:paraId="403BC91C" w14:textId="77777777" w:rsidTr="00F36B82">
        <w:trPr>
          <w:trHeight w:val="170"/>
        </w:trPr>
        <w:tc>
          <w:tcPr>
            <w:tcW w:w="294" w:type="pct"/>
            <w:noWrap/>
            <w:hideMark/>
          </w:tcPr>
          <w:p w14:paraId="200D6BD3" w14:textId="77777777" w:rsidR="000A44B5" w:rsidRPr="00471CBA" w:rsidRDefault="000A44B5" w:rsidP="000A44B5">
            <w:pPr>
              <w:rPr>
                <w:sz w:val="16"/>
                <w:szCs w:val="16"/>
              </w:rPr>
            </w:pPr>
            <w:r w:rsidRPr="00471CBA">
              <w:rPr>
                <w:sz w:val="16"/>
                <w:szCs w:val="16"/>
              </w:rPr>
              <w:t>15</w:t>
            </w:r>
          </w:p>
        </w:tc>
        <w:tc>
          <w:tcPr>
            <w:tcW w:w="914" w:type="pct"/>
            <w:hideMark/>
          </w:tcPr>
          <w:p w14:paraId="3DEE51A6" w14:textId="77777777" w:rsidR="000A44B5" w:rsidRPr="00471CBA" w:rsidRDefault="000A44B5" w:rsidP="000A44B5">
            <w:pPr>
              <w:contextualSpacing/>
              <w:rPr>
                <w:sz w:val="16"/>
                <w:szCs w:val="16"/>
              </w:rPr>
            </w:pPr>
            <w:r w:rsidRPr="00471CBA">
              <w:rPr>
                <w:sz w:val="16"/>
                <w:szCs w:val="16"/>
              </w:rPr>
              <w:t>Kolektif yatırım kuruluşu niteliğindeki yatırımlar</w:t>
            </w:r>
          </w:p>
        </w:tc>
        <w:tc>
          <w:tcPr>
            <w:tcW w:w="306" w:type="pct"/>
            <w:tcBorders>
              <w:top w:val="nil"/>
              <w:left w:val="nil"/>
              <w:bottom w:val="nil"/>
              <w:right w:val="nil"/>
            </w:tcBorders>
            <w:noWrap/>
            <w:vAlign w:val="bottom"/>
          </w:tcPr>
          <w:p w14:paraId="7ABF1888" w14:textId="0F9B2DFA" w:rsidR="000A44B5" w:rsidRPr="00471CBA" w:rsidRDefault="000A44B5" w:rsidP="00F36B82">
            <w:pPr>
              <w:ind w:right="-55"/>
              <w:jc w:val="right"/>
              <w:rPr>
                <w:color w:val="000000"/>
                <w:sz w:val="16"/>
                <w:szCs w:val="16"/>
              </w:rPr>
            </w:pPr>
            <w:r w:rsidRPr="00471CBA">
              <w:rPr>
                <w:sz w:val="16"/>
                <w:szCs w:val="16"/>
              </w:rPr>
              <w:t>-</w:t>
            </w:r>
          </w:p>
        </w:tc>
        <w:tc>
          <w:tcPr>
            <w:tcW w:w="278" w:type="pct"/>
            <w:tcBorders>
              <w:top w:val="nil"/>
              <w:left w:val="nil"/>
              <w:bottom w:val="nil"/>
              <w:right w:val="nil"/>
            </w:tcBorders>
            <w:noWrap/>
            <w:vAlign w:val="bottom"/>
          </w:tcPr>
          <w:p w14:paraId="101D0156" w14:textId="55968A02" w:rsidR="000A44B5" w:rsidRPr="00471CBA" w:rsidRDefault="000A44B5" w:rsidP="00F36B82">
            <w:pPr>
              <w:ind w:right="-55"/>
              <w:jc w:val="right"/>
              <w:rPr>
                <w:color w:val="000000"/>
                <w:sz w:val="16"/>
                <w:szCs w:val="16"/>
              </w:rPr>
            </w:pPr>
            <w:r w:rsidRPr="00471CBA">
              <w:rPr>
                <w:sz w:val="16"/>
                <w:szCs w:val="16"/>
              </w:rPr>
              <w:t>-</w:t>
            </w:r>
          </w:p>
        </w:tc>
        <w:tc>
          <w:tcPr>
            <w:tcW w:w="306" w:type="pct"/>
            <w:tcBorders>
              <w:top w:val="nil"/>
              <w:left w:val="nil"/>
              <w:bottom w:val="nil"/>
              <w:right w:val="nil"/>
            </w:tcBorders>
            <w:noWrap/>
            <w:vAlign w:val="bottom"/>
          </w:tcPr>
          <w:p w14:paraId="43C8F152" w14:textId="32A131D2" w:rsidR="000A44B5" w:rsidRPr="00471CBA" w:rsidRDefault="000A44B5" w:rsidP="00F36B82">
            <w:pPr>
              <w:ind w:right="-55"/>
              <w:jc w:val="right"/>
              <w:rPr>
                <w:color w:val="000000"/>
                <w:sz w:val="16"/>
                <w:szCs w:val="16"/>
              </w:rPr>
            </w:pPr>
            <w:r w:rsidRPr="00471CBA">
              <w:rPr>
                <w:sz w:val="16"/>
                <w:szCs w:val="16"/>
              </w:rPr>
              <w:t>-</w:t>
            </w:r>
          </w:p>
        </w:tc>
        <w:tc>
          <w:tcPr>
            <w:tcW w:w="242" w:type="pct"/>
            <w:tcBorders>
              <w:top w:val="nil"/>
              <w:left w:val="nil"/>
              <w:bottom w:val="nil"/>
              <w:right w:val="nil"/>
            </w:tcBorders>
            <w:vAlign w:val="bottom"/>
          </w:tcPr>
          <w:p w14:paraId="0EDEAFA8" w14:textId="5B179492" w:rsidR="000A44B5" w:rsidRPr="00471CBA" w:rsidRDefault="000A44B5" w:rsidP="00F36B82">
            <w:pPr>
              <w:ind w:right="-55"/>
              <w:jc w:val="right"/>
              <w:rPr>
                <w:color w:val="000000"/>
                <w:sz w:val="16"/>
                <w:szCs w:val="16"/>
              </w:rPr>
            </w:pPr>
            <w:r w:rsidRPr="00471CBA">
              <w:rPr>
                <w:sz w:val="16"/>
                <w:szCs w:val="16"/>
              </w:rPr>
              <w:t>-</w:t>
            </w:r>
          </w:p>
        </w:tc>
        <w:tc>
          <w:tcPr>
            <w:tcW w:w="545" w:type="pct"/>
            <w:tcBorders>
              <w:top w:val="nil"/>
              <w:left w:val="nil"/>
              <w:bottom w:val="nil"/>
              <w:right w:val="nil"/>
            </w:tcBorders>
            <w:vAlign w:val="bottom"/>
          </w:tcPr>
          <w:p w14:paraId="100583D8" w14:textId="78E74721" w:rsidR="000A44B5" w:rsidRPr="00471CBA" w:rsidRDefault="000A44B5" w:rsidP="00F36B82">
            <w:pPr>
              <w:ind w:right="-55"/>
              <w:jc w:val="right"/>
              <w:rPr>
                <w:color w:val="000000"/>
                <w:sz w:val="16"/>
                <w:szCs w:val="16"/>
              </w:rPr>
            </w:pPr>
            <w:r w:rsidRPr="00471CBA">
              <w:rPr>
                <w:sz w:val="16"/>
                <w:szCs w:val="16"/>
              </w:rPr>
              <w:t>-</w:t>
            </w:r>
          </w:p>
        </w:tc>
        <w:tc>
          <w:tcPr>
            <w:tcW w:w="277" w:type="pct"/>
            <w:tcBorders>
              <w:top w:val="nil"/>
              <w:left w:val="nil"/>
              <w:bottom w:val="nil"/>
              <w:right w:val="nil"/>
            </w:tcBorders>
            <w:noWrap/>
            <w:vAlign w:val="bottom"/>
          </w:tcPr>
          <w:p w14:paraId="3E9FB7B5" w14:textId="412D8B0C" w:rsidR="000A44B5" w:rsidRPr="00471CBA" w:rsidRDefault="000A44B5" w:rsidP="00F36B82">
            <w:pPr>
              <w:ind w:right="-55"/>
              <w:jc w:val="right"/>
              <w:rPr>
                <w:color w:val="000000"/>
                <w:sz w:val="16"/>
                <w:szCs w:val="16"/>
              </w:rPr>
            </w:pPr>
            <w:r w:rsidRPr="00471CBA">
              <w:rPr>
                <w:sz w:val="16"/>
                <w:szCs w:val="16"/>
              </w:rPr>
              <w:t>-</w:t>
            </w:r>
          </w:p>
        </w:tc>
        <w:tc>
          <w:tcPr>
            <w:tcW w:w="277" w:type="pct"/>
            <w:tcBorders>
              <w:top w:val="nil"/>
              <w:left w:val="nil"/>
              <w:bottom w:val="nil"/>
              <w:right w:val="nil"/>
            </w:tcBorders>
            <w:noWrap/>
            <w:vAlign w:val="bottom"/>
          </w:tcPr>
          <w:p w14:paraId="1057641D" w14:textId="1D12CB36" w:rsidR="000A44B5" w:rsidRPr="00471CBA" w:rsidRDefault="000A44B5" w:rsidP="00F36B82">
            <w:pPr>
              <w:ind w:right="-55"/>
              <w:jc w:val="right"/>
              <w:rPr>
                <w:color w:val="000000"/>
                <w:sz w:val="16"/>
                <w:szCs w:val="16"/>
              </w:rPr>
            </w:pPr>
            <w:r w:rsidRPr="00471CBA">
              <w:rPr>
                <w:sz w:val="16"/>
                <w:szCs w:val="16"/>
              </w:rPr>
              <w:t>-</w:t>
            </w:r>
          </w:p>
        </w:tc>
        <w:tc>
          <w:tcPr>
            <w:tcW w:w="334" w:type="pct"/>
            <w:tcBorders>
              <w:top w:val="nil"/>
              <w:left w:val="nil"/>
              <w:bottom w:val="nil"/>
              <w:right w:val="nil"/>
            </w:tcBorders>
            <w:noWrap/>
            <w:vAlign w:val="bottom"/>
          </w:tcPr>
          <w:p w14:paraId="03A85959" w14:textId="32351750" w:rsidR="000A44B5" w:rsidRPr="00471CBA" w:rsidRDefault="000A44B5" w:rsidP="00F36B82">
            <w:pPr>
              <w:ind w:right="-55"/>
              <w:jc w:val="right"/>
              <w:rPr>
                <w:color w:val="000000"/>
                <w:sz w:val="16"/>
                <w:szCs w:val="16"/>
              </w:rPr>
            </w:pPr>
            <w:r w:rsidRPr="00471CBA">
              <w:rPr>
                <w:sz w:val="16"/>
                <w:szCs w:val="16"/>
              </w:rPr>
              <w:t>948</w:t>
            </w:r>
          </w:p>
        </w:tc>
        <w:tc>
          <w:tcPr>
            <w:tcW w:w="277" w:type="pct"/>
            <w:tcBorders>
              <w:top w:val="nil"/>
              <w:left w:val="nil"/>
              <w:bottom w:val="nil"/>
              <w:right w:val="nil"/>
            </w:tcBorders>
            <w:noWrap/>
            <w:vAlign w:val="bottom"/>
          </w:tcPr>
          <w:p w14:paraId="6C785045" w14:textId="66A69EFD" w:rsidR="000A44B5" w:rsidRPr="00471CBA" w:rsidRDefault="000A44B5" w:rsidP="00F36B82">
            <w:pPr>
              <w:ind w:right="-55"/>
              <w:jc w:val="right"/>
              <w:rPr>
                <w:color w:val="000000"/>
                <w:sz w:val="16"/>
                <w:szCs w:val="16"/>
              </w:rPr>
            </w:pPr>
            <w:r w:rsidRPr="00471CBA">
              <w:rPr>
                <w:sz w:val="16"/>
                <w:szCs w:val="16"/>
              </w:rPr>
              <w:t>-</w:t>
            </w:r>
          </w:p>
        </w:tc>
        <w:tc>
          <w:tcPr>
            <w:tcW w:w="278" w:type="pct"/>
            <w:tcBorders>
              <w:top w:val="nil"/>
              <w:left w:val="nil"/>
              <w:bottom w:val="nil"/>
              <w:right w:val="nil"/>
            </w:tcBorders>
            <w:noWrap/>
            <w:vAlign w:val="bottom"/>
          </w:tcPr>
          <w:p w14:paraId="5EAC55F5" w14:textId="0640572E" w:rsidR="000A44B5" w:rsidRPr="00471CBA" w:rsidRDefault="000A44B5" w:rsidP="00F36B82">
            <w:pPr>
              <w:ind w:right="-55"/>
              <w:jc w:val="right"/>
              <w:rPr>
                <w:color w:val="000000"/>
                <w:sz w:val="16"/>
                <w:szCs w:val="16"/>
              </w:rPr>
            </w:pPr>
            <w:r w:rsidRPr="00471CBA">
              <w:rPr>
                <w:sz w:val="16"/>
                <w:szCs w:val="16"/>
              </w:rPr>
              <w:t>-</w:t>
            </w:r>
          </w:p>
        </w:tc>
        <w:tc>
          <w:tcPr>
            <w:tcW w:w="338" w:type="pct"/>
            <w:tcBorders>
              <w:top w:val="nil"/>
              <w:left w:val="nil"/>
              <w:bottom w:val="nil"/>
              <w:right w:val="nil"/>
            </w:tcBorders>
            <w:noWrap/>
            <w:vAlign w:val="bottom"/>
          </w:tcPr>
          <w:p w14:paraId="146A919E" w14:textId="2BCC46C0" w:rsidR="000A44B5" w:rsidRPr="00471CBA" w:rsidRDefault="000A44B5" w:rsidP="00F36B82">
            <w:pPr>
              <w:ind w:right="-55"/>
              <w:jc w:val="right"/>
              <w:rPr>
                <w:color w:val="000000"/>
                <w:sz w:val="16"/>
                <w:szCs w:val="16"/>
              </w:rPr>
            </w:pPr>
            <w:r w:rsidRPr="00471CBA">
              <w:rPr>
                <w:sz w:val="16"/>
                <w:szCs w:val="16"/>
              </w:rPr>
              <w:t>-</w:t>
            </w:r>
          </w:p>
        </w:tc>
        <w:tc>
          <w:tcPr>
            <w:tcW w:w="334" w:type="pct"/>
            <w:tcBorders>
              <w:top w:val="nil"/>
              <w:left w:val="nil"/>
              <w:bottom w:val="nil"/>
              <w:right w:val="nil"/>
            </w:tcBorders>
            <w:noWrap/>
            <w:vAlign w:val="bottom"/>
          </w:tcPr>
          <w:p w14:paraId="5761064E" w14:textId="0F4CE0D0" w:rsidR="000A44B5" w:rsidRPr="00471CBA" w:rsidRDefault="000A44B5" w:rsidP="00F36B82">
            <w:pPr>
              <w:ind w:right="-55"/>
              <w:jc w:val="right"/>
              <w:rPr>
                <w:color w:val="000000"/>
                <w:sz w:val="16"/>
                <w:szCs w:val="16"/>
              </w:rPr>
            </w:pPr>
            <w:r w:rsidRPr="00471CBA">
              <w:rPr>
                <w:sz w:val="16"/>
                <w:szCs w:val="16"/>
              </w:rPr>
              <w:t>948</w:t>
            </w:r>
          </w:p>
        </w:tc>
      </w:tr>
      <w:tr w:rsidR="00F36B82" w:rsidRPr="00471CBA" w14:paraId="6D894756" w14:textId="77777777" w:rsidTr="00F36B82">
        <w:trPr>
          <w:trHeight w:val="170"/>
        </w:trPr>
        <w:tc>
          <w:tcPr>
            <w:tcW w:w="294" w:type="pct"/>
            <w:noWrap/>
            <w:hideMark/>
          </w:tcPr>
          <w:p w14:paraId="509F0ACB" w14:textId="77777777" w:rsidR="000A44B5" w:rsidRPr="00471CBA" w:rsidRDefault="000A44B5" w:rsidP="000A44B5">
            <w:pPr>
              <w:rPr>
                <w:sz w:val="16"/>
                <w:szCs w:val="16"/>
              </w:rPr>
            </w:pPr>
            <w:r w:rsidRPr="00471CBA">
              <w:rPr>
                <w:sz w:val="16"/>
                <w:szCs w:val="16"/>
              </w:rPr>
              <w:t>16</w:t>
            </w:r>
          </w:p>
        </w:tc>
        <w:tc>
          <w:tcPr>
            <w:tcW w:w="914" w:type="pct"/>
            <w:hideMark/>
          </w:tcPr>
          <w:p w14:paraId="006DDC80" w14:textId="77777777" w:rsidR="000A44B5" w:rsidRPr="00471CBA" w:rsidRDefault="000A44B5" w:rsidP="000A44B5">
            <w:pPr>
              <w:contextualSpacing/>
              <w:rPr>
                <w:sz w:val="16"/>
                <w:szCs w:val="16"/>
              </w:rPr>
            </w:pPr>
            <w:r w:rsidRPr="00471CBA">
              <w:rPr>
                <w:sz w:val="16"/>
                <w:szCs w:val="16"/>
              </w:rPr>
              <w:t>Diğer alacaklar</w:t>
            </w:r>
          </w:p>
        </w:tc>
        <w:tc>
          <w:tcPr>
            <w:tcW w:w="306" w:type="pct"/>
            <w:tcBorders>
              <w:top w:val="nil"/>
              <w:left w:val="nil"/>
              <w:bottom w:val="nil"/>
              <w:right w:val="nil"/>
            </w:tcBorders>
            <w:noWrap/>
            <w:vAlign w:val="bottom"/>
          </w:tcPr>
          <w:p w14:paraId="11B0CA4F" w14:textId="633E6402" w:rsidR="000A44B5" w:rsidRPr="00471CBA" w:rsidRDefault="000A44B5" w:rsidP="00F36B82">
            <w:pPr>
              <w:ind w:right="-55"/>
              <w:jc w:val="right"/>
              <w:rPr>
                <w:color w:val="000000"/>
                <w:sz w:val="16"/>
                <w:szCs w:val="16"/>
              </w:rPr>
            </w:pPr>
            <w:r w:rsidRPr="00471CBA">
              <w:rPr>
                <w:sz w:val="16"/>
                <w:szCs w:val="16"/>
              </w:rPr>
              <w:t>-</w:t>
            </w:r>
          </w:p>
        </w:tc>
        <w:tc>
          <w:tcPr>
            <w:tcW w:w="278" w:type="pct"/>
            <w:tcBorders>
              <w:top w:val="nil"/>
              <w:left w:val="nil"/>
              <w:bottom w:val="nil"/>
              <w:right w:val="nil"/>
            </w:tcBorders>
            <w:noWrap/>
            <w:vAlign w:val="bottom"/>
          </w:tcPr>
          <w:p w14:paraId="464DE7D5" w14:textId="7CF8C057" w:rsidR="000A44B5" w:rsidRPr="00471CBA" w:rsidRDefault="000A44B5" w:rsidP="00F36B82">
            <w:pPr>
              <w:ind w:right="-55"/>
              <w:jc w:val="right"/>
              <w:rPr>
                <w:color w:val="000000"/>
                <w:sz w:val="16"/>
                <w:szCs w:val="16"/>
              </w:rPr>
            </w:pPr>
            <w:r w:rsidRPr="00471CBA">
              <w:rPr>
                <w:sz w:val="16"/>
                <w:szCs w:val="16"/>
              </w:rPr>
              <w:t>-</w:t>
            </w:r>
          </w:p>
        </w:tc>
        <w:tc>
          <w:tcPr>
            <w:tcW w:w="306" w:type="pct"/>
            <w:tcBorders>
              <w:top w:val="nil"/>
              <w:left w:val="nil"/>
              <w:bottom w:val="nil"/>
              <w:right w:val="nil"/>
            </w:tcBorders>
            <w:noWrap/>
            <w:vAlign w:val="bottom"/>
          </w:tcPr>
          <w:p w14:paraId="35C39F06" w14:textId="566D574A" w:rsidR="000A44B5" w:rsidRPr="00471CBA" w:rsidRDefault="000A44B5" w:rsidP="00F36B82">
            <w:pPr>
              <w:ind w:right="-55"/>
              <w:jc w:val="right"/>
              <w:rPr>
                <w:color w:val="000000"/>
                <w:sz w:val="16"/>
                <w:szCs w:val="16"/>
              </w:rPr>
            </w:pPr>
            <w:r w:rsidRPr="00471CBA">
              <w:rPr>
                <w:sz w:val="16"/>
                <w:szCs w:val="16"/>
              </w:rPr>
              <w:t>-</w:t>
            </w:r>
          </w:p>
        </w:tc>
        <w:tc>
          <w:tcPr>
            <w:tcW w:w="242" w:type="pct"/>
            <w:tcBorders>
              <w:top w:val="nil"/>
              <w:left w:val="nil"/>
              <w:bottom w:val="nil"/>
              <w:right w:val="nil"/>
            </w:tcBorders>
            <w:vAlign w:val="bottom"/>
          </w:tcPr>
          <w:p w14:paraId="2CB873A9" w14:textId="004F75B5" w:rsidR="000A44B5" w:rsidRPr="00471CBA" w:rsidRDefault="000A44B5" w:rsidP="00F36B82">
            <w:pPr>
              <w:ind w:right="-55"/>
              <w:jc w:val="right"/>
              <w:rPr>
                <w:color w:val="000000"/>
                <w:sz w:val="16"/>
                <w:szCs w:val="16"/>
              </w:rPr>
            </w:pPr>
            <w:r w:rsidRPr="00471CBA">
              <w:rPr>
                <w:sz w:val="16"/>
                <w:szCs w:val="16"/>
              </w:rPr>
              <w:t>-</w:t>
            </w:r>
          </w:p>
        </w:tc>
        <w:tc>
          <w:tcPr>
            <w:tcW w:w="545" w:type="pct"/>
            <w:tcBorders>
              <w:top w:val="nil"/>
              <w:left w:val="nil"/>
              <w:bottom w:val="nil"/>
              <w:right w:val="nil"/>
            </w:tcBorders>
            <w:vAlign w:val="bottom"/>
          </w:tcPr>
          <w:p w14:paraId="3B39E300" w14:textId="15F65DD9" w:rsidR="000A44B5" w:rsidRPr="00471CBA" w:rsidRDefault="000A44B5" w:rsidP="00F36B82">
            <w:pPr>
              <w:ind w:right="-55"/>
              <w:jc w:val="right"/>
              <w:rPr>
                <w:color w:val="000000"/>
                <w:sz w:val="16"/>
                <w:szCs w:val="16"/>
              </w:rPr>
            </w:pPr>
            <w:r w:rsidRPr="00471CBA">
              <w:rPr>
                <w:sz w:val="16"/>
                <w:szCs w:val="16"/>
              </w:rPr>
              <w:t>-</w:t>
            </w:r>
          </w:p>
        </w:tc>
        <w:tc>
          <w:tcPr>
            <w:tcW w:w="277" w:type="pct"/>
            <w:tcBorders>
              <w:top w:val="nil"/>
              <w:left w:val="nil"/>
              <w:bottom w:val="nil"/>
              <w:right w:val="nil"/>
            </w:tcBorders>
            <w:noWrap/>
            <w:vAlign w:val="bottom"/>
          </w:tcPr>
          <w:p w14:paraId="36C65137" w14:textId="38E14DDE" w:rsidR="000A44B5" w:rsidRPr="00471CBA" w:rsidRDefault="000A44B5" w:rsidP="00F36B82">
            <w:pPr>
              <w:ind w:right="-55"/>
              <w:jc w:val="right"/>
              <w:rPr>
                <w:color w:val="000000"/>
                <w:sz w:val="16"/>
                <w:szCs w:val="16"/>
              </w:rPr>
            </w:pPr>
            <w:r w:rsidRPr="00471CBA">
              <w:rPr>
                <w:sz w:val="16"/>
                <w:szCs w:val="16"/>
              </w:rPr>
              <w:t>-</w:t>
            </w:r>
          </w:p>
        </w:tc>
        <w:tc>
          <w:tcPr>
            <w:tcW w:w="277" w:type="pct"/>
            <w:tcBorders>
              <w:top w:val="nil"/>
              <w:left w:val="nil"/>
              <w:bottom w:val="nil"/>
              <w:right w:val="nil"/>
            </w:tcBorders>
            <w:noWrap/>
            <w:vAlign w:val="bottom"/>
          </w:tcPr>
          <w:p w14:paraId="71267921" w14:textId="46228BD3" w:rsidR="000A44B5" w:rsidRPr="00471CBA" w:rsidRDefault="000A44B5" w:rsidP="00F36B82">
            <w:pPr>
              <w:ind w:right="-55"/>
              <w:jc w:val="right"/>
              <w:rPr>
                <w:color w:val="000000"/>
                <w:sz w:val="16"/>
                <w:szCs w:val="16"/>
              </w:rPr>
            </w:pPr>
            <w:r w:rsidRPr="00471CBA">
              <w:rPr>
                <w:sz w:val="16"/>
                <w:szCs w:val="16"/>
              </w:rPr>
              <w:t>-</w:t>
            </w:r>
          </w:p>
        </w:tc>
        <w:tc>
          <w:tcPr>
            <w:tcW w:w="334" w:type="pct"/>
            <w:tcBorders>
              <w:top w:val="nil"/>
              <w:left w:val="nil"/>
              <w:bottom w:val="nil"/>
              <w:right w:val="nil"/>
            </w:tcBorders>
            <w:noWrap/>
            <w:vAlign w:val="bottom"/>
          </w:tcPr>
          <w:p w14:paraId="6C01D222" w14:textId="595FBF42" w:rsidR="000A44B5" w:rsidRPr="00471CBA" w:rsidRDefault="000A44B5" w:rsidP="00F36B82">
            <w:pPr>
              <w:ind w:right="-55"/>
              <w:jc w:val="right"/>
              <w:rPr>
                <w:color w:val="000000"/>
                <w:sz w:val="16"/>
                <w:szCs w:val="16"/>
              </w:rPr>
            </w:pPr>
            <w:r w:rsidRPr="00471CBA">
              <w:rPr>
                <w:sz w:val="16"/>
                <w:szCs w:val="16"/>
              </w:rPr>
              <w:t>1.265</w:t>
            </w:r>
          </w:p>
        </w:tc>
        <w:tc>
          <w:tcPr>
            <w:tcW w:w="277" w:type="pct"/>
            <w:tcBorders>
              <w:top w:val="nil"/>
              <w:left w:val="nil"/>
              <w:bottom w:val="nil"/>
              <w:right w:val="nil"/>
            </w:tcBorders>
            <w:noWrap/>
            <w:vAlign w:val="bottom"/>
          </w:tcPr>
          <w:p w14:paraId="1CE758F7" w14:textId="2F67C6B4" w:rsidR="000A44B5" w:rsidRPr="00471CBA" w:rsidRDefault="000A44B5" w:rsidP="00F36B82">
            <w:pPr>
              <w:ind w:right="-55"/>
              <w:jc w:val="right"/>
              <w:rPr>
                <w:color w:val="000000"/>
                <w:sz w:val="16"/>
                <w:szCs w:val="16"/>
              </w:rPr>
            </w:pPr>
            <w:r w:rsidRPr="00471CBA">
              <w:rPr>
                <w:sz w:val="16"/>
                <w:szCs w:val="16"/>
              </w:rPr>
              <w:t>-</w:t>
            </w:r>
          </w:p>
        </w:tc>
        <w:tc>
          <w:tcPr>
            <w:tcW w:w="278" w:type="pct"/>
            <w:tcBorders>
              <w:top w:val="nil"/>
              <w:left w:val="nil"/>
              <w:bottom w:val="nil"/>
              <w:right w:val="nil"/>
            </w:tcBorders>
            <w:noWrap/>
            <w:vAlign w:val="bottom"/>
          </w:tcPr>
          <w:p w14:paraId="724CC3E2" w14:textId="6F09A2D0" w:rsidR="000A44B5" w:rsidRPr="00471CBA" w:rsidRDefault="000A44B5" w:rsidP="00F36B82">
            <w:pPr>
              <w:ind w:right="-55"/>
              <w:jc w:val="right"/>
              <w:rPr>
                <w:color w:val="000000"/>
                <w:sz w:val="16"/>
                <w:szCs w:val="16"/>
              </w:rPr>
            </w:pPr>
            <w:r w:rsidRPr="00471CBA">
              <w:rPr>
                <w:sz w:val="16"/>
                <w:szCs w:val="16"/>
              </w:rPr>
              <w:t>-</w:t>
            </w:r>
          </w:p>
        </w:tc>
        <w:tc>
          <w:tcPr>
            <w:tcW w:w="338" w:type="pct"/>
            <w:tcBorders>
              <w:top w:val="nil"/>
              <w:left w:val="nil"/>
              <w:bottom w:val="nil"/>
              <w:right w:val="nil"/>
            </w:tcBorders>
            <w:noWrap/>
            <w:vAlign w:val="bottom"/>
          </w:tcPr>
          <w:p w14:paraId="0603B23C" w14:textId="30D08CD1" w:rsidR="000A44B5" w:rsidRPr="00471CBA" w:rsidRDefault="000A44B5" w:rsidP="00F36B82">
            <w:pPr>
              <w:ind w:right="-55"/>
              <w:jc w:val="right"/>
              <w:rPr>
                <w:color w:val="000000"/>
                <w:sz w:val="16"/>
                <w:szCs w:val="16"/>
              </w:rPr>
            </w:pPr>
            <w:r w:rsidRPr="00471CBA">
              <w:rPr>
                <w:sz w:val="16"/>
                <w:szCs w:val="16"/>
              </w:rPr>
              <w:t>-</w:t>
            </w:r>
          </w:p>
        </w:tc>
        <w:tc>
          <w:tcPr>
            <w:tcW w:w="334" w:type="pct"/>
            <w:tcBorders>
              <w:top w:val="nil"/>
              <w:left w:val="nil"/>
              <w:bottom w:val="nil"/>
              <w:right w:val="nil"/>
            </w:tcBorders>
            <w:noWrap/>
            <w:vAlign w:val="bottom"/>
          </w:tcPr>
          <w:p w14:paraId="56D96875" w14:textId="430E9149" w:rsidR="000A44B5" w:rsidRPr="00471CBA" w:rsidRDefault="000A44B5" w:rsidP="00F36B82">
            <w:pPr>
              <w:ind w:right="-55"/>
              <w:jc w:val="right"/>
              <w:rPr>
                <w:color w:val="000000"/>
                <w:sz w:val="16"/>
                <w:szCs w:val="16"/>
              </w:rPr>
            </w:pPr>
            <w:r w:rsidRPr="00471CBA">
              <w:rPr>
                <w:sz w:val="16"/>
                <w:szCs w:val="16"/>
              </w:rPr>
              <w:t>1.265</w:t>
            </w:r>
          </w:p>
        </w:tc>
      </w:tr>
      <w:tr w:rsidR="00F36B82" w:rsidRPr="00471CBA" w14:paraId="7ACF17E9" w14:textId="77777777" w:rsidTr="00F36B82">
        <w:trPr>
          <w:trHeight w:val="170"/>
        </w:trPr>
        <w:tc>
          <w:tcPr>
            <w:tcW w:w="294" w:type="pct"/>
            <w:tcBorders>
              <w:bottom w:val="single" w:sz="4" w:space="0" w:color="auto"/>
            </w:tcBorders>
            <w:noWrap/>
            <w:hideMark/>
          </w:tcPr>
          <w:p w14:paraId="4682B197" w14:textId="77777777" w:rsidR="000A44B5" w:rsidRPr="00471CBA" w:rsidRDefault="000A44B5" w:rsidP="000A44B5">
            <w:pPr>
              <w:rPr>
                <w:sz w:val="16"/>
                <w:szCs w:val="16"/>
              </w:rPr>
            </w:pPr>
            <w:r w:rsidRPr="00471CBA">
              <w:rPr>
                <w:sz w:val="16"/>
                <w:szCs w:val="16"/>
              </w:rPr>
              <w:t>17</w:t>
            </w:r>
          </w:p>
        </w:tc>
        <w:tc>
          <w:tcPr>
            <w:tcW w:w="914" w:type="pct"/>
            <w:tcBorders>
              <w:bottom w:val="single" w:sz="4" w:space="0" w:color="auto"/>
            </w:tcBorders>
            <w:hideMark/>
          </w:tcPr>
          <w:p w14:paraId="1EE3D7BB" w14:textId="77777777" w:rsidR="000A44B5" w:rsidRPr="00471CBA" w:rsidRDefault="000A44B5" w:rsidP="000A44B5">
            <w:pPr>
              <w:contextualSpacing/>
              <w:rPr>
                <w:sz w:val="16"/>
                <w:szCs w:val="16"/>
              </w:rPr>
            </w:pPr>
            <w:r w:rsidRPr="00471CBA">
              <w:rPr>
                <w:sz w:val="16"/>
                <w:szCs w:val="16"/>
              </w:rPr>
              <w:t>Hisse senedi yatırımları</w:t>
            </w:r>
          </w:p>
        </w:tc>
        <w:tc>
          <w:tcPr>
            <w:tcW w:w="306" w:type="pct"/>
            <w:tcBorders>
              <w:top w:val="nil"/>
              <w:left w:val="nil"/>
              <w:bottom w:val="single" w:sz="4" w:space="0" w:color="auto"/>
              <w:right w:val="nil"/>
            </w:tcBorders>
            <w:noWrap/>
            <w:vAlign w:val="bottom"/>
          </w:tcPr>
          <w:p w14:paraId="25D7EDA9" w14:textId="13401EB0" w:rsidR="000A44B5" w:rsidRPr="00471CBA" w:rsidRDefault="000A44B5" w:rsidP="00F36B82">
            <w:pPr>
              <w:ind w:right="-55"/>
              <w:jc w:val="right"/>
              <w:rPr>
                <w:color w:val="000000"/>
                <w:sz w:val="16"/>
                <w:szCs w:val="16"/>
              </w:rPr>
            </w:pPr>
            <w:r w:rsidRPr="00471CBA">
              <w:rPr>
                <w:sz w:val="16"/>
                <w:szCs w:val="16"/>
              </w:rPr>
              <w:t>421.770</w:t>
            </w:r>
          </w:p>
        </w:tc>
        <w:tc>
          <w:tcPr>
            <w:tcW w:w="278" w:type="pct"/>
            <w:tcBorders>
              <w:top w:val="nil"/>
              <w:left w:val="nil"/>
              <w:bottom w:val="single" w:sz="4" w:space="0" w:color="auto"/>
              <w:right w:val="nil"/>
            </w:tcBorders>
            <w:noWrap/>
            <w:vAlign w:val="bottom"/>
          </w:tcPr>
          <w:p w14:paraId="67C5463B" w14:textId="1DC0251A" w:rsidR="000A44B5" w:rsidRPr="00471CBA" w:rsidRDefault="000A44B5" w:rsidP="00F36B82">
            <w:pPr>
              <w:ind w:right="-55"/>
              <w:jc w:val="right"/>
              <w:rPr>
                <w:color w:val="000000"/>
                <w:sz w:val="16"/>
                <w:szCs w:val="16"/>
              </w:rPr>
            </w:pPr>
            <w:r w:rsidRPr="00471CBA">
              <w:rPr>
                <w:sz w:val="16"/>
                <w:szCs w:val="16"/>
              </w:rPr>
              <w:t>-</w:t>
            </w:r>
          </w:p>
        </w:tc>
        <w:tc>
          <w:tcPr>
            <w:tcW w:w="306" w:type="pct"/>
            <w:tcBorders>
              <w:top w:val="nil"/>
              <w:left w:val="nil"/>
              <w:bottom w:val="single" w:sz="4" w:space="0" w:color="auto"/>
              <w:right w:val="nil"/>
            </w:tcBorders>
            <w:noWrap/>
            <w:vAlign w:val="bottom"/>
          </w:tcPr>
          <w:p w14:paraId="16243D79" w14:textId="390F533E" w:rsidR="000A44B5" w:rsidRPr="00471CBA" w:rsidRDefault="000A44B5" w:rsidP="00F36B82">
            <w:pPr>
              <w:ind w:right="-55"/>
              <w:jc w:val="right"/>
              <w:rPr>
                <w:color w:val="000000"/>
                <w:sz w:val="16"/>
                <w:szCs w:val="16"/>
              </w:rPr>
            </w:pPr>
            <w:r w:rsidRPr="00471CBA">
              <w:rPr>
                <w:sz w:val="16"/>
                <w:szCs w:val="16"/>
              </w:rPr>
              <w:t>33</w:t>
            </w:r>
          </w:p>
        </w:tc>
        <w:tc>
          <w:tcPr>
            <w:tcW w:w="242" w:type="pct"/>
            <w:tcBorders>
              <w:top w:val="nil"/>
              <w:left w:val="nil"/>
              <w:bottom w:val="single" w:sz="4" w:space="0" w:color="auto"/>
              <w:right w:val="nil"/>
            </w:tcBorders>
            <w:vAlign w:val="bottom"/>
          </w:tcPr>
          <w:p w14:paraId="0756FDFD" w14:textId="45EF7EE8" w:rsidR="000A44B5" w:rsidRPr="00471CBA" w:rsidRDefault="000A44B5" w:rsidP="00F36B82">
            <w:pPr>
              <w:ind w:right="-55"/>
              <w:jc w:val="right"/>
              <w:rPr>
                <w:color w:val="000000"/>
                <w:sz w:val="16"/>
                <w:szCs w:val="16"/>
              </w:rPr>
            </w:pPr>
            <w:r w:rsidRPr="00471CBA">
              <w:rPr>
                <w:sz w:val="16"/>
                <w:szCs w:val="16"/>
              </w:rPr>
              <w:t>-</w:t>
            </w:r>
          </w:p>
        </w:tc>
        <w:tc>
          <w:tcPr>
            <w:tcW w:w="545" w:type="pct"/>
            <w:tcBorders>
              <w:top w:val="nil"/>
              <w:left w:val="nil"/>
              <w:bottom w:val="single" w:sz="4" w:space="0" w:color="auto"/>
              <w:right w:val="nil"/>
            </w:tcBorders>
            <w:vAlign w:val="bottom"/>
          </w:tcPr>
          <w:p w14:paraId="2F5A7AC6" w14:textId="46271EDA" w:rsidR="000A44B5" w:rsidRPr="00471CBA" w:rsidRDefault="000A44B5" w:rsidP="00F36B82">
            <w:pPr>
              <w:ind w:right="-55"/>
              <w:jc w:val="right"/>
              <w:rPr>
                <w:color w:val="000000"/>
                <w:sz w:val="16"/>
                <w:szCs w:val="16"/>
              </w:rPr>
            </w:pPr>
            <w:r w:rsidRPr="00471CBA">
              <w:rPr>
                <w:sz w:val="16"/>
                <w:szCs w:val="16"/>
              </w:rPr>
              <w:t>-</w:t>
            </w:r>
          </w:p>
        </w:tc>
        <w:tc>
          <w:tcPr>
            <w:tcW w:w="277" w:type="pct"/>
            <w:tcBorders>
              <w:top w:val="nil"/>
              <w:left w:val="nil"/>
              <w:bottom w:val="single" w:sz="4" w:space="0" w:color="auto"/>
              <w:right w:val="nil"/>
            </w:tcBorders>
            <w:noWrap/>
            <w:vAlign w:val="bottom"/>
          </w:tcPr>
          <w:p w14:paraId="3D24C9AF" w14:textId="118028FC" w:rsidR="000A44B5" w:rsidRPr="00471CBA" w:rsidRDefault="000A44B5" w:rsidP="00F36B82">
            <w:pPr>
              <w:ind w:right="-55"/>
              <w:jc w:val="right"/>
              <w:rPr>
                <w:color w:val="000000"/>
                <w:sz w:val="16"/>
                <w:szCs w:val="16"/>
              </w:rPr>
            </w:pPr>
            <w:r w:rsidRPr="00471CBA">
              <w:rPr>
                <w:sz w:val="16"/>
                <w:szCs w:val="16"/>
              </w:rPr>
              <w:t>-</w:t>
            </w:r>
          </w:p>
        </w:tc>
        <w:tc>
          <w:tcPr>
            <w:tcW w:w="277" w:type="pct"/>
            <w:tcBorders>
              <w:top w:val="nil"/>
              <w:left w:val="nil"/>
              <w:bottom w:val="single" w:sz="4" w:space="0" w:color="auto"/>
              <w:right w:val="nil"/>
            </w:tcBorders>
            <w:noWrap/>
            <w:vAlign w:val="bottom"/>
          </w:tcPr>
          <w:p w14:paraId="475A0A8D" w14:textId="2BE12A1D" w:rsidR="000A44B5" w:rsidRPr="00471CBA" w:rsidRDefault="000A44B5" w:rsidP="00F36B82">
            <w:pPr>
              <w:ind w:right="-55"/>
              <w:jc w:val="right"/>
              <w:rPr>
                <w:color w:val="000000"/>
                <w:sz w:val="16"/>
                <w:szCs w:val="16"/>
              </w:rPr>
            </w:pPr>
            <w:r w:rsidRPr="00471CBA">
              <w:rPr>
                <w:sz w:val="16"/>
                <w:szCs w:val="16"/>
              </w:rPr>
              <w:t>-</w:t>
            </w:r>
          </w:p>
        </w:tc>
        <w:tc>
          <w:tcPr>
            <w:tcW w:w="334" w:type="pct"/>
            <w:tcBorders>
              <w:top w:val="nil"/>
              <w:left w:val="nil"/>
              <w:bottom w:val="single" w:sz="4" w:space="0" w:color="auto"/>
              <w:right w:val="nil"/>
            </w:tcBorders>
            <w:noWrap/>
            <w:vAlign w:val="bottom"/>
          </w:tcPr>
          <w:p w14:paraId="6453A41A" w14:textId="01A3EECC" w:rsidR="000A44B5" w:rsidRPr="00471CBA" w:rsidRDefault="000A44B5" w:rsidP="00F36B82">
            <w:pPr>
              <w:ind w:right="-55"/>
              <w:jc w:val="right"/>
              <w:rPr>
                <w:color w:val="000000"/>
                <w:sz w:val="16"/>
                <w:szCs w:val="16"/>
              </w:rPr>
            </w:pPr>
            <w:r w:rsidRPr="00471CBA">
              <w:rPr>
                <w:sz w:val="16"/>
                <w:szCs w:val="16"/>
              </w:rPr>
              <w:t>569.321</w:t>
            </w:r>
          </w:p>
        </w:tc>
        <w:tc>
          <w:tcPr>
            <w:tcW w:w="277" w:type="pct"/>
            <w:tcBorders>
              <w:top w:val="nil"/>
              <w:left w:val="nil"/>
              <w:bottom w:val="single" w:sz="4" w:space="0" w:color="auto"/>
              <w:right w:val="nil"/>
            </w:tcBorders>
            <w:noWrap/>
            <w:vAlign w:val="bottom"/>
          </w:tcPr>
          <w:p w14:paraId="77CB7453" w14:textId="45775E58" w:rsidR="000A44B5" w:rsidRPr="00471CBA" w:rsidRDefault="000A44B5" w:rsidP="00F36B82">
            <w:pPr>
              <w:ind w:right="-55"/>
              <w:jc w:val="right"/>
              <w:rPr>
                <w:color w:val="000000"/>
                <w:sz w:val="16"/>
                <w:szCs w:val="16"/>
              </w:rPr>
            </w:pPr>
            <w:r w:rsidRPr="00471CBA">
              <w:rPr>
                <w:sz w:val="16"/>
                <w:szCs w:val="16"/>
              </w:rPr>
              <w:t>-</w:t>
            </w:r>
          </w:p>
        </w:tc>
        <w:tc>
          <w:tcPr>
            <w:tcW w:w="278" w:type="pct"/>
            <w:tcBorders>
              <w:top w:val="nil"/>
              <w:left w:val="nil"/>
              <w:bottom w:val="single" w:sz="4" w:space="0" w:color="auto"/>
              <w:right w:val="nil"/>
            </w:tcBorders>
            <w:noWrap/>
            <w:vAlign w:val="bottom"/>
          </w:tcPr>
          <w:p w14:paraId="533A9028" w14:textId="1B401A91" w:rsidR="000A44B5" w:rsidRPr="00471CBA" w:rsidRDefault="000A44B5" w:rsidP="00F36B82">
            <w:pPr>
              <w:ind w:right="-55"/>
              <w:jc w:val="right"/>
              <w:rPr>
                <w:color w:val="000000"/>
                <w:sz w:val="16"/>
                <w:szCs w:val="16"/>
              </w:rPr>
            </w:pPr>
            <w:r w:rsidRPr="00471CBA">
              <w:rPr>
                <w:sz w:val="16"/>
                <w:szCs w:val="16"/>
              </w:rPr>
              <w:t>-</w:t>
            </w:r>
          </w:p>
        </w:tc>
        <w:tc>
          <w:tcPr>
            <w:tcW w:w="338" w:type="pct"/>
            <w:tcBorders>
              <w:top w:val="nil"/>
              <w:left w:val="nil"/>
              <w:bottom w:val="single" w:sz="4" w:space="0" w:color="auto"/>
              <w:right w:val="nil"/>
            </w:tcBorders>
            <w:noWrap/>
            <w:vAlign w:val="bottom"/>
          </w:tcPr>
          <w:p w14:paraId="08B9400D" w14:textId="3299FC64" w:rsidR="000A44B5" w:rsidRPr="00471CBA" w:rsidRDefault="000A44B5" w:rsidP="00F36B82">
            <w:pPr>
              <w:ind w:right="-55"/>
              <w:jc w:val="right"/>
              <w:rPr>
                <w:color w:val="000000"/>
                <w:sz w:val="16"/>
                <w:szCs w:val="16"/>
              </w:rPr>
            </w:pPr>
            <w:r w:rsidRPr="00471CBA">
              <w:rPr>
                <w:sz w:val="16"/>
                <w:szCs w:val="16"/>
              </w:rPr>
              <w:t>-</w:t>
            </w:r>
          </w:p>
        </w:tc>
        <w:tc>
          <w:tcPr>
            <w:tcW w:w="334" w:type="pct"/>
            <w:tcBorders>
              <w:top w:val="nil"/>
              <w:left w:val="nil"/>
              <w:bottom w:val="single" w:sz="4" w:space="0" w:color="auto"/>
              <w:right w:val="nil"/>
            </w:tcBorders>
            <w:noWrap/>
            <w:vAlign w:val="bottom"/>
          </w:tcPr>
          <w:p w14:paraId="45DAED51" w14:textId="02D8A974" w:rsidR="000A44B5" w:rsidRPr="00471CBA" w:rsidRDefault="000A44B5" w:rsidP="00F36B82">
            <w:pPr>
              <w:ind w:right="-55"/>
              <w:jc w:val="right"/>
              <w:rPr>
                <w:color w:val="000000"/>
                <w:sz w:val="16"/>
                <w:szCs w:val="16"/>
              </w:rPr>
            </w:pPr>
            <w:r w:rsidRPr="00471CBA">
              <w:rPr>
                <w:sz w:val="16"/>
                <w:szCs w:val="16"/>
              </w:rPr>
              <w:t>991.124</w:t>
            </w:r>
          </w:p>
        </w:tc>
      </w:tr>
      <w:tr w:rsidR="00F36B82" w:rsidRPr="00471CBA" w14:paraId="2460DB83" w14:textId="77777777" w:rsidTr="00F36B82">
        <w:trPr>
          <w:trHeight w:val="170"/>
        </w:trPr>
        <w:tc>
          <w:tcPr>
            <w:tcW w:w="294" w:type="pct"/>
            <w:tcBorders>
              <w:top w:val="single" w:sz="4" w:space="0" w:color="auto"/>
              <w:bottom w:val="single" w:sz="12" w:space="0" w:color="auto"/>
            </w:tcBorders>
            <w:noWrap/>
            <w:hideMark/>
          </w:tcPr>
          <w:p w14:paraId="75D53D87" w14:textId="77777777" w:rsidR="000A44B5" w:rsidRPr="00471CBA" w:rsidRDefault="000A44B5" w:rsidP="000A44B5">
            <w:pPr>
              <w:rPr>
                <w:b/>
                <w:sz w:val="16"/>
                <w:szCs w:val="16"/>
              </w:rPr>
            </w:pPr>
            <w:r w:rsidRPr="00471CBA">
              <w:rPr>
                <w:b/>
                <w:sz w:val="16"/>
                <w:szCs w:val="16"/>
              </w:rPr>
              <w:t>18</w:t>
            </w:r>
          </w:p>
        </w:tc>
        <w:tc>
          <w:tcPr>
            <w:tcW w:w="914" w:type="pct"/>
            <w:tcBorders>
              <w:top w:val="single" w:sz="4" w:space="0" w:color="auto"/>
              <w:bottom w:val="single" w:sz="12" w:space="0" w:color="auto"/>
            </w:tcBorders>
            <w:hideMark/>
          </w:tcPr>
          <w:p w14:paraId="10A655DD" w14:textId="77777777" w:rsidR="000A44B5" w:rsidRPr="00471CBA" w:rsidRDefault="000A44B5" w:rsidP="000A44B5">
            <w:pPr>
              <w:contextualSpacing/>
              <w:rPr>
                <w:b/>
                <w:sz w:val="16"/>
                <w:szCs w:val="16"/>
              </w:rPr>
            </w:pPr>
            <w:r w:rsidRPr="00471CBA">
              <w:rPr>
                <w:b/>
                <w:sz w:val="16"/>
                <w:szCs w:val="16"/>
              </w:rPr>
              <w:t>Toplam</w:t>
            </w:r>
          </w:p>
        </w:tc>
        <w:tc>
          <w:tcPr>
            <w:tcW w:w="306" w:type="pct"/>
            <w:tcBorders>
              <w:top w:val="single" w:sz="4" w:space="0" w:color="auto"/>
              <w:left w:val="nil"/>
              <w:bottom w:val="single" w:sz="12" w:space="0" w:color="auto"/>
              <w:right w:val="nil"/>
            </w:tcBorders>
            <w:noWrap/>
            <w:vAlign w:val="bottom"/>
          </w:tcPr>
          <w:p w14:paraId="5838AF77" w14:textId="34904B62" w:rsidR="000A44B5" w:rsidRPr="00471CBA" w:rsidRDefault="000A44B5" w:rsidP="00F36B82">
            <w:pPr>
              <w:ind w:right="-55"/>
              <w:jc w:val="right"/>
              <w:rPr>
                <w:b/>
                <w:bCs/>
                <w:color w:val="000000"/>
                <w:sz w:val="16"/>
                <w:szCs w:val="16"/>
              </w:rPr>
            </w:pPr>
            <w:r w:rsidRPr="00471CBA">
              <w:rPr>
                <w:b/>
                <w:sz w:val="16"/>
                <w:szCs w:val="16"/>
              </w:rPr>
              <w:t>5.904.002</w:t>
            </w:r>
          </w:p>
        </w:tc>
        <w:tc>
          <w:tcPr>
            <w:tcW w:w="278" w:type="pct"/>
            <w:tcBorders>
              <w:top w:val="single" w:sz="4" w:space="0" w:color="auto"/>
              <w:left w:val="nil"/>
              <w:bottom w:val="single" w:sz="12" w:space="0" w:color="auto"/>
              <w:right w:val="nil"/>
            </w:tcBorders>
            <w:noWrap/>
            <w:vAlign w:val="bottom"/>
          </w:tcPr>
          <w:p w14:paraId="11B03A35" w14:textId="4B5251E8" w:rsidR="000A44B5" w:rsidRPr="00471CBA" w:rsidRDefault="000A44B5" w:rsidP="00F36B82">
            <w:pPr>
              <w:ind w:right="-55"/>
              <w:jc w:val="right"/>
              <w:rPr>
                <w:b/>
                <w:bCs/>
                <w:color w:val="000000"/>
                <w:sz w:val="16"/>
                <w:szCs w:val="16"/>
              </w:rPr>
            </w:pPr>
            <w:r w:rsidRPr="00471CBA">
              <w:rPr>
                <w:b/>
                <w:sz w:val="16"/>
                <w:szCs w:val="16"/>
              </w:rPr>
              <w:t>-</w:t>
            </w:r>
          </w:p>
        </w:tc>
        <w:tc>
          <w:tcPr>
            <w:tcW w:w="306" w:type="pct"/>
            <w:tcBorders>
              <w:top w:val="single" w:sz="4" w:space="0" w:color="auto"/>
              <w:left w:val="nil"/>
              <w:bottom w:val="single" w:sz="12" w:space="0" w:color="auto"/>
              <w:right w:val="nil"/>
            </w:tcBorders>
            <w:noWrap/>
            <w:vAlign w:val="bottom"/>
          </w:tcPr>
          <w:p w14:paraId="30B5ABCB" w14:textId="630A2F69" w:rsidR="000A44B5" w:rsidRPr="00471CBA" w:rsidRDefault="000A44B5" w:rsidP="00F36B82">
            <w:pPr>
              <w:ind w:right="-55"/>
              <w:jc w:val="right"/>
              <w:rPr>
                <w:b/>
                <w:bCs/>
                <w:color w:val="000000"/>
                <w:sz w:val="16"/>
                <w:szCs w:val="16"/>
              </w:rPr>
            </w:pPr>
            <w:r w:rsidRPr="00471CBA">
              <w:rPr>
                <w:b/>
                <w:sz w:val="16"/>
                <w:szCs w:val="16"/>
              </w:rPr>
              <w:t>5.372.368</w:t>
            </w:r>
          </w:p>
        </w:tc>
        <w:tc>
          <w:tcPr>
            <w:tcW w:w="242" w:type="pct"/>
            <w:tcBorders>
              <w:top w:val="single" w:sz="4" w:space="0" w:color="auto"/>
              <w:left w:val="nil"/>
              <w:bottom w:val="single" w:sz="12" w:space="0" w:color="auto"/>
              <w:right w:val="nil"/>
            </w:tcBorders>
            <w:vAlign w:val="bottom"/>
          </w:tcPr>
          <w:p w14:paraId="448C487D" w14:textId="0C41F344" w:rsidR="000A44B5" w:rsidRPr="00471CBA" w:rsidRDefault="000A44B5" w:rsidP="00F36B82">
            <w:pPr>
              <w:ind w:right="-55"/>
              <w:jc w:val="right"/>
              <w:rPr>
                <w:b/>
                <w:bCs/>
                <w:color w:val="000000"/>
                <w:sz w:val="16"/>
                <w:szCs w:val="16"/>
              </w:rPr>
            </w:pPr>
            <w:r w:rsidRPr="00471CBA">
              <w:rPr>
                <w:b/>
                <w:sz w:val="16"/>
                <w:szCs w:val="16"/>
              </w:rPr>
              <w:t>-</w:t>
            </w:r>
          </w:p>
        </w:tc>
        <w:tc>
          <w:tcPr>
            <w:tcW w:w="545" w:type="pct"/>
            <w:tcBorders>
              <w:top w:val="single" w:sz="4" w:space="0" w:color="auto"/>
              <w:left w:val="nil"/>
              <w:bottom w:val="single" w:sz="12" w:space="0" w:color="auto"/>
              <w:right w:val="nil"/>
            </w:tcBorders>
            <w:vAlign w:val="bottom"/>
          </w:tcPr>
          <w:p w14:paraId="54C5B0A9" w14:textId="73CA8822" w:rsidR="000A44B5" w:rsidRPr="00471CBA" w:rsidRDefault="000A44B5" w:rsidP="00F36B82">
            <w:pPr>
              <w:ind w:right="-55"/>
              <w:jc w:val="right"/>
              <w:rPr>
                <w:b/>
                <w:bCs/>
                <w:color w:val="000000"/>
                <w:sz w:val="16"/>
                <w:szCs w:val="16"/>
              </w:rPr>
            </w:pPr>
            <w:r w:rsidRPr="00471CBA">
              <w:rPr>
                <w:b/>
                <w:sz w:val="16"/>
                <w:szCs w:val="16"/>
              </w:rPr>
              <w:t>348.627</w:t>
            </w:r>
          </w:p>
        </w:tc>
        <w:tc>
          <w:tcPr>
            <w:tcW w:w="277" w:type="pct"/>
            <w:tcBorders>
              <w:top w:val="single" w:sz="4" w:space="0" w:color="auto"/>
              <w:left w:val="nil"/>
              <w:bottom w:val="single" w:sz="12" w:space="0" w:color="auto"/>
              <w:right w:val="nil"/>
            </w:tcBorders>
            <w:noWrap/>
            <w:vAlign w:val="bottom"/>
          </w:tcPr>
          <w:p w14:paraId="3F1727A6" w14:textId="0630961A" w:rsidR="000A44B5" w:rsidRPr="00471CBA" w:rsidRDefault="000A44B5" w:rsidP="00F36B82">
            <w:pPr>
              <w:ind w:right="-55"/>
              <w:jc w:val="right"/>
              <w:rPr>
                <w:b/>
                <w:bCs/>
                <w:color w:val="000000"/>
                <w:sz w:val="16"/>
                <w:szCs w:val="16"/>
              </w:rPr>
            </w:pPr>
            <w:r w:rsidRPr="00471CBA">
              <w:rPr>
                <w:b/>
                <w:sz w:val="16"/>
                <w:szCs w:val="16"/>
              </w:rPr>
              <w:t>563.239</w:t>
            </w:r>
          </w:p>
        </w:tc>
        <w:tc>
          <w:tcPr>
            <w:tcW w:w="277" w:type="pct"/>
            <w:tcBorders>
              <w:top w:val="single" w:sz="4" w:space="0" w:color="auto"/>
              <w:left w:val="nil"/>
              <w:bottom w:val="single" w:sz="12" w:space="0" w:color="auto"/>
              <w:right w:val="nil"/>
            </w:tcBorders>
            <w:noWrap/>
            <w:vAlign w:val="bottom"/>
          </w:tcPr>
          <w:p w14:paraId="7658E67D" w14:textId="0B57D129" w:rsidR="000A44B5" w:rsidRPr="00471CBA" w:rsidRDefault="000A44B5" w:rsidP="00F36B82">
            <w:pPr>
              <w:ind w:right="-55"/>
              <w:jc w:val="right"/>
              <w:rPr>
                <w:b/>
                <w:bCs/>
                <w:color w:val="000000"/>
                <w:sz w:val="16"/>
                <w:szCs w:val="16"/>
              </w:rPr>
            </w:pPr>
            <w:r w:rsidRPr="00471CBA">
              <w:rPr>
                <w:b/>
                <w:sz w:val="16"/>
                <w:szCs w:val="16"/>
              </w:rPr>
              <w:t>-</w:t>
            </w:r>
          </w:p>
        </w:tc>
        <w:tc>
          <w:tcPr>
            <w:tcW w:w="334" w:type="pct"/>
            <w:tcBorders>
              <w:top w:val="single" w:sz="4" w:space="0" w:color="auto"/>
              <w:left w:val="nil"/>
              <w:bottom w:val="single" w:sz="12" w:space="0" w:color="auto"/>
              <w:right w:val="nil"/>
            </w:tcBorders>
            <w:noWrap/>
            <w:vAlign w:val="bottom"/>
          </w:tcPr>
          <w:p w14:paraId="4B8F4BC9" w14:textId="69DBF854" w:rsidR="000A44B5" w:rsidRPr="00471CBA" w:rsidRDefault="000A44B5" w:rsidP="00F36B82">
            <w:pPr>
              <w:ind w:right="-55"/>
              <w:jc w:val="right"/>
              <w:rPr>
                <w:b/>
                <w:bCs/>
                <w:color w:val="000000"/>
                <w:sz w:val="16"/>
                <w:szCs w:val="16"/>
              </w:rPr>
            </w:pPr>
            <w:r w:rsidRPr="00471CBA">
              <w:rPr>
                <w:b/>
                <w:sz w:val="16"/>
                <w:szCs w:val="16"/>
              </w:rPr>
              <w:t>12.990.834</w:t>
            </w:r>
          </w:p>
        </w:tc>
        <w:tc>
          <w:tcPr>
            <w:tcW w:w="277" w:type="pct"/>
            <w:tcBorders>
              <w:top w:val="single" w:sz="4" w:space="0" w:color="auto"/>
              <w:left w:val="nil"/>
              <w:bottom w:val="single" w:sz="12" w:space="0" w:color="auto"/>
              <w:right w:val="nil"/>
            </w:tcBorders>
            <w:noWrap/>
            <w:vAlign w:val="bottom"/>
          </w:tcPr>
          <w:p w14:paraId="535B39F5" w14:textId="4777E934" w:rsidR="000A44B5" w:rsidRPr="00471CBA" w:rsidRDefault="000A44B5" w:rsidP="00F36B82">
            <w:pPr>
              <w:ind w:right="-55"/>
              <w:jc w:val="right"/>
              <w:rPr>
                <w:b/>
                <w:bCs/>
                <w:color w:val="000000"/>
                <w:sz w:val="16"/>
                <w:szCs w:val="16"/>
              </w:rPr>
            </w:pPr>
            <w:r w:rsidRPr="00471CBA">
              <w:rPr>
                <w:b/>
                <w:sz w:val="16"/>
                <w:szCs w:val="16"/>
              </w:rPr>
              <w:t>-</w:t>
            </w:r>
          </w:p>
        </w:tc>
        <w:tc>
          <w:tcPr>
            <w:tcW w:w="278" w:type="pct"/>
            <w:tcBorders>
              <w:top w:val="single" w:sz="4" w:space="0" w:color="auto"/>
              <w:left w:val="nil"/>
              <w:bottom w:val="single" w:sz="12" w:space="0" w:color="auto"/>
              <w:right w:val="nil"/>
            </w:tcBorders>
            <w:noWrap/>
            <w:vAlign w:val="bottom"/>
          </w:tcPr>
          <w:p w14:paraId="6DCB40F8" w14:textId="7BD54BFE" w:rsidR="000A44B5" w:rsidRPr="00471CBA" w:rsidRDefault="000A44B5" w:rsidP="00F36B82">
            <w:pPr>
              <w:ind w:right="-55"/>
              <w:jc w:val="right"/>
              <w:rPr>
                <w:b/>
                <w:bCs/>
                <w:color w:val="000000"/>
                <w:sz w:val="16"/>
                <w:szCs w:val="16"/>
              </w:rPr>
            </w:pPr>
            <w:r w:rsidRPr="00471CBA">
              <w:rPr>
                <w:b/>
                <w:sz w:val="16"/>
                <w:szCs w:val="16"/>
              </w:rPr>
              <w:t>-</w:t>
            </w:r>
          </w:p>
        </w:tc>
        <w:tc>
          <w:tcPr>
            <w:tcW w:w="338" w:type="pct"/>
            <w:tcBorders>
              <w:top w:val="single" w:sz="4" w:space="0" w:color="auto"/>
              <w:left w:val="nil"/>
              <w:bottom w:val="single" w:sz="12" w:space="0" w:color="auto"/>
              <w:right w:val="nil"/>
            </w:tcBorders>
            <w:noWrap/>
            <w:vAlign w:val="bottom"/>
          </w:tcPr>
          <w:p w14:paraId="2988698C" w14:textId="37927C46" w:rsidR="000A44B5" w:rsidRPr="00471CBA" w:rsidRDefault="000A44B5" w:rsidP="00F36B82">
            <w:pPr>
              <w:ind w:right="-55"/>
              <w:jc w:val="right"/>
              <w:rPr>
                <w:b/>
                <w:bCs/>
                <w:color w:val="000000"/>
                <w:sz w:val="16"/>
                <w:szCs w:val="16"/>
              </w:rPr>
            </w:pPr>
            <w:r w:rsidRPr="00471CBA">
              <w:rPr>
                <w:b/>
                <w:sz w:val="16"/>
                <w:szCs w:val="16"/>
              </w:rPr>
              <w:t>27.648</w:t>
            </w:r>
          </w:p>
        </w:tc>
        <w:tc>
          <w:tcPr>
            <w:tcW w:w="334" w:type="pct"/>
            <w:tcBorders>
              <w:top w:val="single" w:sz="4" w:space="0" w:color="auto"/>
              <w:left w:val="nil"/>
              <w:bottom w:val="single" w:sz="12" w:space="0" w:color="auto"/>
              <w:right w:val="nil"/>
            </w:tcBorders>
            <w:noWrap/>
            <w:vAlign w:val="bottom"/>
          </w:tcPr>
          <w:p w14:paraId="7145F8A6" w14:textId="3495450B" w:rsidR="000A44B5" w:rsidRPr="00471CBA" w:rsidRDefault="000A44B5" w:rsidP="00F36B82">
            <w:pPr>
              <w:ind w:right="-55"/>
              <w:jc w:val="right"/>
              <w:rPr>
                <w:b/>
                <w:bCs/>
                <w:color w:val="000000"/>
                <w:sz w:val="16"/>
                <w:szCs w:val="16"/>
              </w:rPr>
            </w:pPr>
            <w:r w:rsidRPr="00471CBA">
              <w:rPr>
                <w:b/>
                <w:sz w:val="16"/>
                <w:szCs w:val="16"/>
              </w:rPr>
              <w:t>25.206.718</w:t>
            </w:r>
          </w:p>
        </w:tc>
      </w:tr>
    </w:tbl>
    <w:p w14:paraId="32D1F6F3" w14:textId="3DB4DA09" w:rsidR="00EE0925" w:rsidRPr="00471CBA" w:rsidRDefault="00EE0925" w:rsidP="00F36B82">
      <w:pPr>
        <w:spacing w:before="120" w:after="120"/>
        <w:ind w:left="851" w:hanging="851"/>
        <w:rPr>
          <w:b/>
          <w:szCs w:val="20"/>
        </w:rPr>
        <w:sectPr w:rsidR="00EE0925" w:rsidRPr="00471CBA" w:rsidSect="00F36B82">
          <w:headerReference w:type="first" r:id="rId69"/>
          <w:pgSz w:w="16840" w:h="11907" w:orient="landscape" w:code="9"/>
          <w:pgMar w:top="1134" w:right="1134" w:bottom="1134" w:left="1701" w:header="851" w:footer="851" w:gutter="0"/>
          <w:cols w:space="708"/>
          <w:titlePg/>
          <w:docGrid w:linePitch="360"/>
        </w:sectPr>
      </w:pPr>
      <w:r w:rsidRPr="00471CBA">
        <w:rPr>
          <w:szCs w:val="20"/>
          <w:vertAlign w:val="superscript"/>
        </w:rPr>
        <w:t>(*)</w:t>
      </w:r>
      <w:r w:rsidRPr="00471CBA">
        <w:rPr>
          <w:szCs w:val="20"/>
        </w:rPr>
        <w:t xml:space="preserve"> </w:t>
      </w:r>
      <w:r w:rsidR="00F36B82">
        <w:rPr>
          <w:szCs w:val="20"/>
        </w:rPr>
        <w:tab/>
      </w:r>
      <w:r w:rsidRPr="00471CBA">
        <w:rPr>
          <w:szCs w:val="20"/>
        </w:rPr>
        <w:t>%500 risk ağırlığını ifade eder.</w:t>
      </w:r>
      <w:r w:rsidRPr="00471CBA">
        <w:rPr>
          <w:b/>
          <w:szCs w:val="20"/>
        </w:rPr>
        <w:br w:type="page"/>
      </w:r>
    </w:p>
    <w:p w14:paraId="3BFB9142" w14:textId="77777777" w:rsidR="00EE0925" w:rsidRPr="00471CBA" w:rsidRDefault="00EE0925" w:rsidP="00EE0925">
      <w:pPr>
        <w:pStyle w:val="GvdeMetniGirintisi"/>
        <w:widowControl w:val="0"/>
        <w:ind w:firstLine="0"/>
        <w:rPr>
          <w:b/>
          <w:szCs w:val="20"/>
        </w:rPr>
      </w:pPr>
      <w:r w:rsidRPr="00471CBA">
        <w:rPr>
          <w:b/>
          <w:szCs w:val="20"/>
        </w:rPr>
        <w:t>MALİ BÜNYEYE VE RİSK YÖNETİMİNE İLİŞKİN BİLGİLER (Devamı)</w:t>
      </w:r>
    </w:p>
    <w:p w14:paraId="3D0067AB" w14:textId="77777777" w:rsidR="00EE0925" w:rsidRPr="00471CBA" w:rsidRDefault="00EE0925" w:rsidP="00EE0925">
      <w:pPr>
        <w:widowControl w:val="0"/>
        <w:autoSpaceDE w:val="0"/>
        <w:autoSpaceDN w:val="0"/>
        <w:adjustRightInd w:val="0"/>
        <w:jc w:val="both"/>
        <w:rPr>
          <w:szCs w:val="20"/>
        </w:rPr>
      </w:pPr>
    </w:p>
    <w:p w14:paraId="5395EB07" w14:textId="77777777" w:rsidR="00EE0925" w:rsidRPr="00471CBA" w:rsidRDefault="00EE0925" w:rsidP="00EE0925">
      <w:pPr>
        <w:ind w:left="567" w:hanging="567"/>
        <w:rPr>
          <w:b/>
          <w:bCs/>
        </w:rPr>
      </w:pPr>
      <w:r w:rsidRPr="00471CBA">
        <w:rPr>
          <w:b/>
          <w:bCs/>
        </w:rPr>
        <w:t>IX.</w:t>
      </w:r>
      <w:r w:rsidRPr="00471CBA">
        <w:rPr>
          <w:b/>
          <w:bCs/>
        </w:rPr>
        <w:tab/>
        <w:t>RİSK YÖNETİMİNE İLİŞKİN AÇIKLAMALAR (Devamı)</w:t>
      </w:r>
    </w:p>
    <w:p w14:paraId="39665890" w14:textId="77777777" w:rsidR="00EE0925" w:rsidRPr="00471CBA" w:rsidRDefault="00EE0925" w:rsidP="00EE0925">
      <w:pPr>
        <w:rPr>
          <w:b/>
          <w:bCs/>
        </w:rPr>
      </w:pPr>
    </w:p>
    <w:p w14:paraId="2660712B" w14:textId="77777777" w:rsidR="00EE0925" w:rsidRPr="00471CBA" w:rsidRDefault="00EE0925" w:rsidP="00EE0925">
      <w:pPr>
        <w:spacing w:after="120"/>
        <w:ind w:left="567" w:hanging="568"/>
        <w:rPr>
          <w:b/>
          <w:szCs w:val="20"/>
        </w:rPr>
      </w:pPr>
      <w:r w:rsidRPr="00471CBA">
        <w:rPr>
          <w:b/>
          <w:szCs w:val="20"/>
        </w:rPr>
        <w:t>d.</w:t>
      </w:r>
      <w:r w:rsidRPr="00471CBA">
        <w:rPr>
          <w:b/>
          <w:szCs w:val="20"/>
        </w:rPr>
        <w:tab/>
        <w:t>Karşı Taraf Kredi Riskine (KKR) İlişkin Açıklanacak Hususlar:</w:t>
      </w:r>
    </w:p>
    <w:p w14:paraId="5CE244D4" w14:textId="77777777" w:rsidR="00EE0925" w:rsidRPr="00471CBA" w:rsidRDefault="00EE0925" w:rsidP="00EE0925">
      <w:pPr>
        <w:jc w:val="both"/>
      </w:pPr>
      <w:r w:rsidRPr="00471CBA">
        <w:t>Bankada, karşı taraf kredi risklerinin tanımlandığı, ölçüldüğü, izlendiği ve kontrol edildiği politika, süreç ve prosedürleri içeren iç mevzuatlar bulunmaktadır. Bu politikalar, yasal düzenlemeler veya banka içi değişiklikler dikkate alınarak en az yılda bir kez gözden geçirilir. Politikalara uygun olarak hazırlanan süreç, prosedür ve ilgili dokümanlar ise bir yıl içinde veya ihtiyaç duyulması halinde daha kısa sürelerde güncellenir.</w:t>
      </w:r>
    </w:p>
    <w:p w14:paraId="6F775A6B" w14:textId="77777777" w:rsidR="00EE0925" w:rsidRPr="00471CBA" w:rsidRDefault="00EE0925" w:rsidP="00EE0925">
      <w:pPr>
        <w:jc w:val="both"/>
      </w:pPr>
    </w:p>
    <w:p w14:paraId="50D4C02B" w14:textId="77777777" w:rsidR="00EE0925" w:rsidRPr="00471CBA" w:rsidRDefault="00EE0925" w:rsidP="00EE0925">
      <w:pPr>
        <w:jc w:val="both"/>
      </w:pPr>
      <w:r w:rsidRPr="00471CBA">
        <w:t xml:space="preserve">Karşı Taraf Kredi Riski kapsamında, Bankaların Sermaye Yeterliliğinin Ölçülmesine ve Değerlendirilmesine İlişkin Yönetmelik doğrultusunda risk ağırlıklı tutarlar hesaplanmaktadır. Alım satım hesaplarından doğan karşı taraf kredi riski, standart yöntem kullanılarak belirlenir. Yurtiçi ve yurtdışı finansal kurumlarla gerçekleştirilen </w:t>
      </w:r>
      <w:proofErr w:type="spellStart"/>
      <w:r w:rsidRPr="00471CBA">
        <w:t>nostro</w:t>
      </w:r>
      <w:proofErr w:type="spellEnd"/>
      <w:r w:rsidRPr="00471CBA">
        <w:t xml:space="preserve">, dış ticaret işlemleri, takas, ikame takas maliyeti, murabaha ve kıymetli maden </w:t>
      </w:r>
      <w:proofErr w:type="spellStart"/>
      <w:r w:rsidRPr="00471CBA">
        <w:t>nostro</w:t>
      </w:r>
      <w:proofErr w:type="spellEnd"/>
      <w:r w:rsidRPr="00471CBA">
        <w:t xml:space="preserve"> limitleri tanımlanır.</w:t>
      </w:r>
    </w:p>
    <w:p w14:paraId="0CDD10DC" w14:textId="77777777" w:rsidR="00EE0925" w:rsidRPr="00471CBA" w:rsidRDefault="00EE0925" w:rsidP="00EE0925">
      <w:pPr>
        <w:jc w:val="both"/>
      </w:pPr>
    </w:p>
    <w:p w14:paraId="17DC763B" w14:textId="77777777" w:rsidR="00EE0925" w:rsidRPr="00471CBA" w:rsidRDefault="00EE0925" w:rsidP="00EE0925">
      <w:pPr>
        <w:jc w:val="both"/>
      </w:pPr>
      <w:r w:rsidRPr="00471CBA">
        <w:t>Alım satım hesaplarında yer alan ve yönetmelikte belirtilen tezgâh üstü türev ürünler, kredi türevleri, menkul kıymet veya emtiaya dayalı ödünç alma/verme işlemleri, geri alım/satım sözleşmeleri, kredili menkul kıymet işlemleri ve uzun takas süresi gerektiren işlemler için karşı taraf kredi riski sermaye yükümlülüğü hesaplanır. Ayrıca, vadeli döviz alım/satım, dövize dayalı opsiyon ve swap işlemleri, kâr payı swapları, geri alım sözleşmeleri ve teminatlı borçlanma işlemleri de bu hesaplamaya dahildir. Risk tutarları ve risk ağırlıklı tutarlar, Bankaların Sermaye Yeterliliğinin Ölçülmesine ve Değerlendirilmesine İlişkin Yönetmelikte belirlenen yöntem ve kurallara uygun olarak hesaplanmaktadır.</w:t>
      </w:r>
    </w:p>
    <w:p w14:paraId="7FB072A5" w14:textId="77777777" w:rsidR="00EE0925" w:rsidRPr="00471CBA" w:rsidRDefault="00EE0925" w:rsidP="00EE0925">
      <w:pPr>
        <w:jc w:val="both"/>
      </w:pPr>
    </w:p>
    <w:p w14:paraId="2F2B3381" w14:textId="77777777" w:rsidR="00EE0925" w:rsidRPr="00471CBA" w:rsidRDefault="00EE0925" w:rsidP="00EE0925">
      <w:pPr>
        <w:jc w:val="both"/>
      </w:pPr>
      <w:r w:rsidRPr="00471CBA">
        <w:t>İlgili işlemlerin, belirlenen limitler dahilinde gerçekleştirilip gerçekleştirilmediği takip edilir. Limit aşımı olması durumunda ilgili birimler bilgilendirilir ve alınan aksiyonlar izlenir. Karşı taraf kredi riski yönetiminde, netleştirme ve teminatlandırma gibi risk azaltım yöntemleri uygulanır. Teminat kontrolü günlük olarak yapılır ve eksik teminatlı işlemler için şubeler otomatik e-posta yoluyla bilgilendirilerek tamamlanması beklenir.</w:t>
      </w:r>
    </w:p>
    <w:p w14:paraId="2763B69A" w14:textId="77777777" w:rsidR="00EE0925" w:rsidRPr="00471CBA" w:rsidRDefault="00EE0925" w:rsidP="00EE0925">
      <w:pPr>
        <w:jc w:val="both"/>
      </w:pPr>
    </w:p>
    <w:p w14:paraId="37610A83" w14:textId="77777777" w:rsidR="00EE0925" w:rsidRPr="00471CBA" w:rsidRDefault="00EE0925" w:rsidP="00EE0925">
      <w:pPr>
        <w:jc w:val="both"/>
      </w:pPr>
      <w:r w:rsidRPr="00471CBA">
        <w:t>Karşı taraf kredi riski stres testleri, tek bir karşı tarafa veya bir karşı taraf grubuna ilişkin yoğunlaşma riskini ve kredibilite bozulmalarının neden olabileceği olası kayıpları analiz eder. Bu testler, banka içi prosedürlerde belirlenen senaryolar temel alınarak gerçekleştirilir.</w:t>
      </w:r>
    </w:p>
    <w:p w14:paraId="20DD11E4" w14:textId="77777777" w:rsidR="00EE0925" w:rsidRPr="00471CBA" w:rsidRDefault="00EE0925" w:rsidP="00EE0925">
      <w:pPr>
        <w:pStyle w:val="GvdeMetniGirintisi"/>
        <w:widowControl w:val="0"/>
        <w:ind w:firstLine="0"/>
        <w:rPr>
          <w:b/>
          <w:bCs/>
        </w:rPr>
      </w:pPr>
    </w:p>
    <w:p w14:paraId="5C042A8C" w14:textId="77777777" w:rsidR="00EE0925" w:rsidRPr="00471CBA" w:rsidRDefault="00EE0925" w:rsidP="00EE0925">
      <w:pPr>
        <w:rPr>
          <w:b/>
          <w:szCs w:val="20"/>
        </w:rPr>
      </w:pPr>
      <w:r w:rsidRPr="00471CBA">
        <w:rPr>
          <w:b/>
          <w:szCs w:val="20"/>
        </w:rPr>
        <w:br w:type="page"/>
        <w:t>MALİ BÜNYEYE VE RİSK YÖNETİMİNE İLİŞKİN BİLGİLER (Devamı)</w:t>
      </w:r>
    </w:p>
    <w:p w14:paraId="26E12B15" w14:textId="77777777" w:rsidR="00EE0925" w:rsidRPr="00471CBA" w:rsidRDefault="00EE0925" w:rsidP="00EE0925">
      <w:pPr>
        <w:widowControl w:val="0"/>
        <w:autoSpaceDE w:val="0"/>
        <w:autoSpaceDN w:val="0"/>
        <w:adjustRightInd w:val="0"/>
        <w:ind w:left="851" w:hanging="851"/>
        <w:jc w:val="both"/>
        <w:rPr>
          <w:szCs w:val="20"/>
        </w:rPr>
      </w:pPr>
    </w:p>
    <w:p w14:paraId="273E7F86" w14:textId="77777777" w:rsidR="00EE0925" w:rsidRPr="00471CBA" w:rsidRDefault="00EE0925" w:rsidP="00EE0925">
      <w:pPr>
        <w:widowControl w:val="0"/>
        <w:ind w:left="851" w:hanging="851"/>
        <w:jc w:val="both"/>
        <w:outlineLvl w:val="1"/>
        <w:rPr>
          <w:b/>
          <w:szCs w:val="20"/>
        </w:rPr>
      </w:pPr>
      <w:r w:rsidRPr="00471CBA">
        <w:rPr>
          <w:b/>
          <w:szCs w:val="20"/>
        </w:rPr>
        <w:t>IX.</w:t>
      </w:r>
      <w:r w:rsidRPr="00471CBA">
        <w:rPr>
          <w:b/>
          <w:szCs w:val="20"/>
        </w:rPr>
        <w:tab/>
        <w:t>RİSK YÖNETİMİNE İLİŞKİN AÇIKLAMALAR (Devamı)</w:t>
      </w:r>
    </w:p>
    <w:p w14:paraId="23AF08AE" w14:textId="77777777" w:rsidR="00EE0925" w:rsidRPr="00471CBA" w:rsidRDefault="00EE0925" w:rsidP="00EE0925">
      <w:pPr>
        <w:widowControl w:val="0"/>
        <w:ind w:left="851" w:hanging="851"/>
        <w:jc w:val="both"/>
        <w:outlineLvl w:val="1"/>
        <w:rPr>
          <w:b/>
          <w:szCs w:val="20"/>
        </w:rPr>
      </w:pPr>
    </w:p>
    <w:p w14:paraId="0CECBC41" w14:textId="77777777" w:rsidR="00EE0925" w:rsidRPr="00471CBA" w:rsidRDefault="00EE0925" w:rsidP="00EE0925">
      <w:pPr>
        <w:autoSpaceDE w:val="0"/>
        <w:autoSpaceDN w:val="0"/>
        <w:adjustRightInd w:val="0"/>
        <w:spacing w:after="120"/>
        <w:ind w:left="851" w:hanging="851"/>
        <w:jc w:val="both"/>
        <w:rPr>
          <w:b/>
          <w:szCs w:val="20"/>
        </w:rPr>
      </w:pPr>
      <w:r w:rsidRPr="00471CBA">
        <w:rPr>
          <w:b/>
          <w:szCs w:val="20"/>
        </w:rPr>
        <w:t>d.1.</w:t>
      </w:r>
      <w:r w:rsidRPr="00471CBA">
        <w:rPr>
          <w:b/>
          <w:szCs w:val="20"/>
        </w:rPr>
        <w:tab/>
        <w:t>KKR’nin Ölçüm Yöntemlerine Göre Değerlendirilmesi: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5"/>
        <w:gridCol w:w="3528"/>
        <w:gridCol w:w="860"/>
        <w:gridCol w:w="930"/>
        <w:gridCol w:w="973"/>
        <w:gridCol w:w="1267"/>
        <w:gridCol w:w="986"/>
        <w:gridCol w:w="860"/>
      </w:tblGrid>
      <w:tr w:rsidR="00EE0925" w:rsidRPr="00471CBA" w14:paraId="53EF75E1" w14:textId="77777777" w:rsidTr="00B0049C">
        <w:trPr>
          <w:trHeight w:val="20"/>
        </w:trPr>
        <w:tc>
          <w:tcPr>
            <w:tcW w:w="123" w:type="pct"/>
            <w:tcBorders>
              <w:top w:val="single" w:sz="4" w:space="0" w:color="auto"/>
              <w:left w:val="nil"/>
              <w:bottom w:val="single" w:sz="4" w:space="0" w:color="auto"/>
              <w:right w:val="nil"/>
            </w:tcBorders>
            <w:hideMark/>
          </w:tcPr>
          <w:p w14:paraId="70FEB033" w14:textId="77777777" w:rsidR="00EE0925" w:rsidRPr="00471CBA" w:rsidRDefault="00EE0925" w:rsidP="00B0049C">
            <w:pPr>
              <w:ind w:left="-83" w:firstLine="83"/>
              <w:rPr>
                <w:sz w:val="18"/>
                <w:szCs w:val="18"/>
              </w:rPr>
            </w:pPr>
          </w:p>
        </w:tc>
        <w:tc>
          <w:tcPr>
            <w:tcW w:w="1831" w:type="pct"/>
            <w:tcBorders>
              <w:top w:val="single" w:sz="4" w:space="0" w:color="auto"/>
              <w:left w:val="nil"/>
              <w:bottom w:val="single" w:sz="4" w:space="0" w:color="auto"/>
              <w:right w:val="nil"/>
            </w:tcBorders>
            <w:vAlign w:val="center"/>
            <w:hideMark/>
          </w:tcPr>
          <w:p w14:paraId="75BA8345" w14:textId="016CFDDC" w:rsidR="00EE0925" w:rsidRPr="00471CBA" w:rsidRDefault="00802DBC" w:rsidP="00B0049C">
            <w:pPr>
              <w:ind w:left="-83" w:firstLine="83"/>
              <w:rPr>
                <w:b/>
                <w:sz w:val="18"/>
                <w:szCs w:val="18"/>
              </w:rPr>
            </w:pPr>
            <w:r w:rsidRPr="00471CBA">
              <w:rPr>
                <w:b/>
                <w:sz w:val="18"/>
                <w:szCs w:val="18"/>
              </w:rPr>
              <w:t>31 Aralık 2025</w:t>
            </w:r>
          </w:p>
        </w:tc>
        <w:tc>
          <w:tcPr>
            <w:tcW w:w="447" w:type="pct"/>
            <w:tcBorders>
              <w:top w:val="single" w:sz="4" w:space="0" w:color="auto"/>
              <w:left w:val="nil"/>
              <w:bottom w:val="single" w:sz="4" w:space="0" w:color="auto"/>
              <w:right w:val="nil"/>
            </w:tcBorders>
            <w:vAlign w:val="bottom"/>
            <w:hideMark/>
          </w:tcPr>
          <w:p w14:paraId="0F4AD9E4" w14:textId="77777777" w:rsidR="00EE0925" w:rsidRPr="00471CBA" w:rsidRDefault="00EE0925" w:rsidP="00B0049C">
            <w:pPr>
              <w:ind w:left="-83" w:firstLine="83"/>
              <w:jc w:val="right"/>
              <w:rPr>
                <w:b/>
                <w:sz w:val="18"/>
                <w:szCs w:val="18"/>
              </w:rPr>
            </w:pPr>
            <w:r w:rsidRPr="00471CBA">
              <w:rPr>
                <w:b/>
                <w:sz w:val="18"/>
                <w:szCs w:val="18"/>
              </w:rPr>
              <w:t xml:space="preserve">Yenileme </w:t>
            </w:r>
            <w:r w:rsidRPr="00471CBA">
              <w:rPr>
                <w:b/>
                <w:sz w:val="18"/>
                <w:szCs w:val="18"/>
              </w:rPr>
              <w:br/>
              <w:t>maliyeti</w:t>
            </w:r>
          </w:p>
        </w:tc>
        <w:tc>
          <w:tcPr>
            <w:tcW w:w="483" w:type="pct"/>
            <w:tcBorders>
              <w:top w:val="single" w:sz="4" w:space="0" w:color="auto"/>
              <w:left w:val="nil"/>
              <w:bottom w:val="single" w:sz="4" w:space="0" w:color="auto"/>
              <w:right w:val="nil"/>
            </w:tcBorders>
            <w:vAlign w:val="bottom"/>
            <w:hideMark/>
          </w:tcPr>
          <w:p w14:paraId="4595C1FD" w14:textId="77777777" w:rsidR="00EE0925" w:rsidRPr="00471CBA" w:rsidRDefault="00EE0925" w:rsidP="00B0049C">
            <w:pPr>
              <w:ind w:left="-83" w:firstLine="83"/>
              <w:jc w:val="right"/>
              <w:rPr>
                <w:b/>
                <w:sz w:val="18"/>
                <w:szCs w:val="18"/>
              </w:rPr>
            </w:pPr>
            <w:r w:rsidRPr="00471CBA">
              <w:rPr>
                <w:b/>
                <w:sz w:val="18"/>
                <w:szCs w:val="18"/>
              </w:rPr>
              <w:t>Potansiyel kredi riski</w:t>
            </w:r>
            <w:r w:rsidRPr="00471CBA">
              <w:rPr>
                <w:b/>
                <w:sz w:val="18"/>
                <w:szCs w:val="18"/>
              </w:rPr>
              <w:br/>
              <w:t>tutarı</w:t>
            </w:r>
          </w:p>
        </w:tc>
        <w:tc>
          <w:tcPr>
            <w:tcW w:w="506" w:type="pct"/>
            <w:tcBorders>
              <w:top w:val="single" w:sz="4" w:space="0" w:color="auto"/>
              <w:left w:val="nil"/>
              <w:bottom w:val="single" w:sz="4" w:space="0" w:color="auto"/>
              <w:right w:val="nil"/>
            </w:tcBorders>
            <w:noWrap/>
            <w:vAlign w:val="bottom"/>
            <w:hideMark/>
          </w:tcPr>
          <w:p w14:paraId="1D3FEFAA" w14:textId="77777777" w:rsidR="00EE0925" w:rsidRPr="00471CBA" w:rsidRDefault="00EE0925" w:rsidP="00B0049C">
            <w:pPr>
              <w:ind w:left="-83" w:firstLine="83"/>
              <w:jc w:val="right"/>
              <w:rPr>
                <w:b/>
                <w:sz w:val="18"/>
                <w:szCs w:val="18"/>
              </w:rPr>
            </w:pPr>
            <w:r w:rsidRPr="00471CBA">
              <w:rPr>
                <w:b/>
                <w:sz w:val="18"/>
                <w:szCs w:val="18"/>
              </w:rPr>
              <w:t xml:space="preserve">EBPRT </w:t>
            </w:r>
            <w:r w:rsidRPr="00471CBA">
              <w:rPr>
                <w:b/>
                <w:sz w:val="18"/>
                <w:szCs w:val="18"/>
                <w:vertAlign w:val="superscript"/>
              </w:rPr>
              <w:t>(*)</w:t>
            </w:r>
          </w:p>
        </w:tc>
        <w:tc>
          <w:tcPr>
            <w:tcW w:w="658" w:type="pct"/>
            <w:tcBorders>
              <w:top w:val="single" w:sz="4" w:space="0" w:color="auto"/>
              <w:left w:val="nil"/>
              <w:bottom w:val="single" w:sz="4" w:space="0" w:color="auto"/>
              <w:right w:val="nil"/>
            </w:tcBorders>
            <w:vAlign w:val="bottom"/>
            <w:hideMark/>
          </w:tcPr>
          <w:p w14:paraId="38D9FDB0" w14:textId="77777777" w:rsidR="00EE0925" w:rsidRPr="00471CBA" w:rsidRDefault="00EE0925" w:rsidP="00B0049C">
            <w:pPr>
              <w:ind w:left="-83" w:firstLine="83"/>
              <w:jc w:val="right"/>
              <w:rPr>
                <w:b/>
                <w:sz w:val="18"/>
                <w:szCs w:val="18"/>
              </w:rPr>
            </w:pPr>
            <w:r w:rsidRPr="00471CBA">
              <w:rPr>
                <w:b/>
                <w:sz w:val="18"/>
                <w:szCs w:val="18"/>
              </w:rPr>
              <w:t>Yasal risk tutarının hesaplanması</w:t>
            </w:r>
            <w:r w:rsidRPr="00471CBA">
              <w:rPr>
                <w:b/>
                <w:sz w:val="18"/>
                <w:szCs w:val="18"/>
              </w:rPr>
              <w:br/>
              <w:t>için kullanılan</w:t>
            </w:r>
            <w:r w:rsidRPr="00471CBA">
              <w:rPr>
                <w:b/>
                <w:sz w:val="18"/>
                <w:szCs w:val="18"/>
              </w:rPr>
              <w:br/>
              <w:t>alfa</w:t>
            </w:r>
          </w:p>
        </w:tc>
        <w:tc>
          <w:tcPr>
            <w:tcW w:w="512" w:type="pct"/>
            <w:tcBorders>
              <w:top w:val="single" w:sz="4" w:space="0" w:color="auto"/>
              <w:left w:val="nil"/>
              <w:bottom w:val="single" w:sz="4" w:space="0" w:color="auto"/>
              <w:right w:val="nil"/>
            </w:tcBorders>
            <w:vAlign w:val="bottom"/>
            <w:hideMark/>
          </w:tcPr>
          <w:p w14:paraId="1DE613DE" w14:textId="77777777" w:rsidR="00EE0925" w:rsidRPr="00471CBA" w:rsidRDefault="00EE0925" w:rsidP="00B0049C">
            <w:pPr>
              <w:ind w:left="-83" w:firstLine="83"/>
              <w:jc w:val="right"/>
              <w:rPr>
                <w:b/>
                <w:sz w:val="18"/>
                <w:szCs w:val="18"/>
              </w:rPr>
            </w:pPr>
            <w:r w:rsidRPr="00471CBA">
              <w:rPr>
                <w:b/>
                <w:sz w:val="18"/>
                <w:szCs w:val="18"/>
              </w:rPr>
              <w:t xml:space="preserve">Kredi riski azaltımı </w:t>
            </w:r>
            <w:r w:rsidRPr="00471CBA">
              <w:rPr>
                <w:b/>
                <w:sz w:val="18"/>
                <w:szCs w:val="18"/>
              </w:rPr>
              <w:br/>
              <w:t>sonrası risk tutarı</w:t>
            </w:r>
          </w:p>
        </w:tc>
        <w:tc>
          <w:tcPr>
            <w:tcW w:w="440" w:type="pct"/>
            <w:tcBorders>
              <w:top w:val="single" w:sz="4" w:space="0" w:color="auto"/>
              <w:left w:val="nil"/>
              <w:bottom w:val="single" w:sz="4" w:space="0" w:color="auto"/>
              <w:right w:val="nil"/>
            </w:tcBorders>
            <w:vAlign w:val="bottom"/>
            <w:hideMark/>
          </w:tcPr>
          <w:p w14:paraId="1E94F7B4" w14:textId="77777777" w:rsidR="00EE0925" w:rsidRPr="00471CBA" w:rsidRDefault="00EE0925" w:rsidP="00B0049C">
            <w:pPr>
              <w:ind w:left="-83" w:firstLine="83"/>
              <w:jc w:val="right"/>
              <w:rPr>
                <w:b/>
                <w:sz w:val="18"/>
                <w:szCs w:val="18"/>
              </w:rPr>
            </w:pPr>
            <w:r w:rsidRPr="00471CBA">
              <w:rPr>
                <w:b/>
                <w:sz w:val="18"/>
                <w:szCs w:val="18"/>
              </w:rPr>
              <w:t xml:space="preserve">Risk ağırlıklı </w:t>
            </w:r>
            <w:r w:rsidRPr="00471CBA">
              <w:rPr>
                <w:b/>
                <w:sz w:val="18"/>
                <w:szCs w:val="18"/>
              </w:rPr>
              <w:br/>
              <w:t>tutarlar</w:t>
            </w:r>
          </w:p>
        </w:tc>
      </w:tr>
      <w:tr w:rsidR="00802DBC" w:rsidRPr="00471CBA" w14:paraId="5989E7B6" w14:textId="77777777" w:rsidTr="00802DBC">
        <w:trPr>
          <w:trHeight w:val="20"/>
        </w:trPr>
        <w:tc>
          <w:tcPr>
            <w:tcW w:w="123" w:type="pct"/>
            <w:tcBorders>
              <w:top w:val="nil"/>
              <w:left w:val="nil"/>
              <w:bottom w:val="nil"/>
              <w:right w:val="nil"/>
            </w:tcBorders>
            <w:hideMark/>
          </w:tcPr>
          <w:p w14:paraId="248A0923" w14:textId="77777777" w:rsidR="00802DBC" w:rsidRPr="00471CBA" w:rsidRDefault="00802DBC" w:rsidP="00802DBC">
            <w:pPr>
              <w:ind w:left="-83" w:firstLine="83"/>
              <w:rPr>
                <w:sz w:val="18"/>
                <w:szCs w:val="18"/>
              </w:rPr>
            </w:pPr>
            <w:r w:rsidRPr="00471CBA">
              <w:rPr>
                <w:sz w:val="18"/>
                <w:szCs w:val="18"/>
              </w:rPr>
              <w:t>1</w:t>
            </w:r>
          </w:p>
        </w:tc>
        <w:tc>
          <w:tcPr>
            <w:tcW w:w="1831" w:type="pct"/>
            <w:tcBorders>
              <w:top w:val="nil"/>
              <w:left w:val="nil"/>
              <w:bottom w:val="nil"/>
              <w:right w:val="nil"/>
            </w:tcBorders>
            <w:hideMark/>
          </w:tcPr>
          <w:p w14:paraId="5E8D59BB" w14:textId="77777777" w:rsidR="00802DBC" w:rsidRPr="00471CBA" w:rsidRDefault="00802DBC" w:rsidP="00802DBC">
            <w:pPr>
              <w:rPr>
                <w:sz w:val="18"/>
                <w:szCs w:val="18"/>
              </w:rPr>
            </w:pPr>
            <w:r w:rsidRPr="00471CBA">
              <w:rPr>
                <w:sz w:val="18"/>
                <w:szCs w:val="18"/>
              </w:rPr>
              <w:t>Standart yaklaşım - KKR (türevler için)</w:t>
            </w:r>
          </w:p>
        </w:tc>
        <w:tc>
          <w:tcPr>
            <w:tcW w:w="447" w:type="pct"/>
            <w:tcBorders>
              <w:top w:val="nil"/>
              <w:left w:val="nil"/>
              <w:bottom w:val="nil"/>
              <w:right w:val="nil"/>
            </w:tcBorders>
            <w:noWrap/>
            <w:vAlign w:val="bottom"/>
          </w:tcPr>
          <w:p w14:paraId="6FB848DA" w14:textId="643D4AC3" w:rsidR="00802DBC" w:rsidRPr="00471CBA" w:rsidRDefault="00802DBC" w:rsidP="00802DBC">
            <w:pPr>
              <w:ind w:left="-83" w:firstLine="83"/>
              <w:jc w:val="right"/>
              <w:rPr>
                <w:sz w:val="18"/>
                <w:szCs w:val="18"/>
              </w:rPr>
            </w:pPr>
            <w:r w:rsidRPr="00471CBA">
              <w:rPr>
                <w:sz w:val="18"/>
                <w:szCs w:val="18"/>
              </w:rPr>
              <w:t>1.140.741</w:t>
            </w:r>
          </w:p>
        </w:tc>
        <w:tc>
          <w:tcPr>
            <w:tcW w:w="483" w:type="pct"/>
            <w:tcBorders>
              <w:top w:val="nil"/>
              <w:left w:val="nil"/>
              <w:bottom w:val="nil"/>
              <w:right w:val="nil"/>
            </w:tcBorders>
            <w:noWrap/>
            <w:vAlign w:val="bottom"/>
          </w:tcPr>
          <w:p w14:paraId="0BCFBEF2" w14:textId="6426EE80" w:rsidR="00802DBC" w:rsidRPr="00471CBA" w:rsidRDefault="00802DBC" w:rsidP="00802DBC">
            <w:pPr>
              <w:ind w:left="-83" w:firstLine="83"/>
              <w:jc w:val="right"/>
              <w:rPr>
                <w:sz w:val="18"/>
                <w:szCs w:val="18"/>
              </w:rPr>
            </w:pPr>
            <w:r w:rsidRPr="00471CBA">
              <w:rPr>
                <w:sz w:val="18"/>
                <w:szCs w:val="18"/>
              </w:rPr>
              <w:t>1.397.061</w:t>
            </w:r>
          </w:p>
        </w:tc>
        <w:tc>
          <w:tcPr>
            <w:tcW w:w="506" w:type="pct"/>
            <w:tcBorders>
              <w:top w:val="nil"/>
              <w:left w:val="nil"/>
              <w:bottom w:val="nil"/>
              <w:right w:val="nil"/>
            </w:tcBorders>
            <w:shd w:val="clear" w:color="auto" w:fill="000000" w:themeFill="text1"/>
            <w:noWrap/>
            <w:vAlign w:val="bottom"/>
          </w:tcPr>
          <w:p w14:paraId="3BDD052F" w14:textId="77777777" w:rsidR="00802DBC" w:rsidRPr="00471CBA" w:rsidRDefault="00802DBC" w:rsidP="00802DBC">
            <w:pPr>
              <w:ind w:left="-83" w:firstLine="83"/>
              <w:jc w:val="right"/>
              <w:rPr>
                <w:sz w:val="18"/>
                <w:szCs w:val="18"/>
              </w:rPr>
            </w:pPr>
          </w:p>
        </w:tc>
        <w:tc>
          <w:tcPr>
            <w:tcW w:w="658" w:type="pct"/>
            <w:tcBorders>
              <w:top w:val="nil"/>
              <w:left w:val="nil"/>
              <w:bottom w:val="nil"/>
              <w:right w:val="nil"/>
            </w:tcBorders>
            <w:noWrap/>
            <w:vAlign w:val="bottom"/>
          </w:tcPr>
          <w:p w14:paraId="291CA98D" w14:textId="29A0DC5D" w:rsidR="00802DBC" w:rsidRPr="00471CBA" w:rsidRDefault="00802DBC" w:rsidP="00802DBC">
            <w:pPr>
              <w:ind w:left="-83" w:firstLine="83"/>
              <w:jc w:val="right"/>
              <w:rPr>
                <w:sz w:val="18"/>
                <w:szCs w:val="18"/>
              </w:rPr>
            </w:pPr>
            <w:r w:rsidRPr="00471CBA">
              <w:rPr>
                <w:sz w:val="18"/>
                <w:szCs w:val="18"/>
              </w:rPr>
              <w:t>1,4</w:t>
            </w:r>
          </w:p>
        </w:tc>
        <w:tc>
          <w:tcPr>
            <w:tcW w:w="512" w:type="pct"/>
            <w:tcBorders>
              <w:top w:val="nil"/>
              <w:left w:val="nil"/>
              <w:bottom w:val="nil"/>
              <w:right w:val="nil"/>
            </w:tcBorders>
            <w:noWrap/>
            <w:vAlign w:val="bottom"/>
          </w:tcPr>
          <w:p w14:paraId="4BA15905" w14:textId="02E49302" w:rsidR="00802DBC" w:rsidRPr="00471CBA" w:rsidRDefault="00802DBC" w:rsidP="00802DBC">
            <w:pPr>
              <w:ind w:left="-83" w:firstLine="83"/>
              <w:jc w:val="right"/>
              <w:rPr>
                <w:sz w:val="18"/>
                <w:szCs w:val="18"/>
              </w:rPr>
            </w:pPr>
            <w:r w:rsidRPr="00471CBA">
              <w:rPr>
                <w:sz w:val="18"/>
                <w:szCs w:val="18"/>
              </w:rPr>
              <w:t>2.537.802</w:t>
            </w:r>
          </w:p>
        </w:tc>
        <w:tc>
          <w:tcPr>
            <w:tcW w:w="440" w:type="pct"/>
            <w:tcBorders>
              <w:top w:val="nil"/>
              <w:left w:val="nil"/>
              <w:bottom w:val="nil"/>
              <w:right w:val="nil"/>
            </w:tcBorders>
            <w:noWrap/>
            <w:vAlign w:val="bottom"/>
          </w:tcPr>
          <w:p w14:paraId="07E0E3A5" w14:textId="10A0BDFF" w:rsidR="00802DBC" w:rsidRPr="00471CBA" w:rsidRDefault="00802DBC" w:rsidP="00802DBC">
            <w:pPr>
              <w:ind w:left="-83" w:firstLine="83"/>
              <w:jc w:val="right"/>
              <w:rPr>
                <w:sz w:val="18"/>
                <w:szCs w:val="18"/>
              </w:rPr>
            </w:pPr>
            <w:r w:rsidRPr="00471CBA">
              <w:rPr>
                <w:sz w:val="18"/>
                <w:szCs w:val="18"/>
              </w:rPr>
              <w:t>2.029.610</w:t>
            </w:r>
          </w:p>
        </w:tc>
      </w:tr>
      <w:tr w:rsidR="00802DBC" w:rsidRPr="00471CBA" w14:paraId="63B289EA" w14:textId="77777777" w:rsidTr="00802DBC">
        <w:trPr>
          <w:trHeight w:val="20"/>
        </w:trPr>
        <w:tc>
          <w:tcPr>
            <w:tcW w:w="123" w:type="pct"/>
            <w:tcBorders>
              <w:top w:val="nil"/>
              <w:left w:val="nil"/>
              <w:bottom w:val="nil"/>
              <w:right w:val="nil"/>
            </w:tcBorders>
            <w:hideMark/>
          </w:tcPr>
          <w:p w14:paraId="1A8B28DB" w14:textId="77777777" w:rsidR="00802DBC" w:rsidRPr="00471CBA" w:rsidRDefault="00802DBC" w:rsidP="00802DBC">
            <w:pPr>
              <w:ind w:left="-83" w:firstLine="83"/>
              <w:rPr>
                <w:sz w:val="18"/>
                <w:szCs w:val="18"/>
              </w:rPr>
            </w:pPr>
            <w:r w:rsidRPr="00471CBA">
              <w:rPr>
                <w:sz w:val="18"/>
                <w:szCs w:val="18"/>
              </w:rPr>
              <w:t>2</w:t>
            </w:r>
          </w:p>
        </w:tc>
        <w:tc>
          <w:tcPr>
            <w:tcW w:w="1831" w:type="pct"/>
            <w:tcBorders>
              <w:top w:val="nil"/>
              <w:left w:val="nil"/>
              <w:bottom w:val="nil"/>
              <w:right w:val="nil"/>
            </w:tcBorders>
            <w:hideMark/>
          </w:tcPr>
          <w:p w14:paraId="67AB1713" w14:textId="77777777" w:rsidR="00802DBC" w:rsidRPr="00471CBA" w:rsidRDefault="00802DBC" w:rsidP="00802DBC">
            <w:pPr>
              <w:rPr>
                <w:sz w:val="18"/>
                <w:szCs w:val="18"/>
              </w:rPr>
            </w:pPr>
            <w:r w:rsidRPr="00471CBA">
              <w:rPr>
                <w:sz w:val="18"/>
                <w:szCs w:val="18"/>
              </w:rPr>
              <w:t>İçsel Model Yöntemi (türev finansal araçlar, repo işlemleri, menkul kıymetler veya emtia ödünç verme veya ödünç alma işlemleri, takas süresi uzun işlemler ile kredili menkul kıymet işlemleri için)</w:t>
            </w:r>
          </w:p>
        </w:tc>
        <w:tc>
          <w:tcPr>
            <w:tcW w:w="447" w:type="pct"/>
            <w:tcBorders>
              <w:top w:val="nil"/>
              <w:left w:val="nil"/>
              <w:bottom w:val="nil"/>
              <w:right w:val="nil"/>
            </w:tcBorders>
            <w:shd w:val="clear" w:color="auto" w:fill="000000" w:themeFill="text1"/>
            <w:noWrap/>
            <w:vAlign w:val="bottom"/>
          </w:tcPr>
          <w:p w14:paraId="29A1129D" w14:textId="77777777" w:rsidR="00802DBC" w:rsidRPr="00471CBA" w:rsidRDefault="00802DBC" w:rsidP="00802DBC">
            <w:pPr>
              <w:ind w:left="-83" w:firstLine="83"/>
              <w:jc w:val="right"/>
              <w:rPr>
                <w:sz w:val="18"/>
                <w:szCs w:val="18"/>
              </w:rPr>
            </w:pPr>
          </w:p>
        </w:tc>
        <w:tc>
          <w:tcPr>
            <w:tcW w:w="483" w:type="pct"/>
            <w:tcBorders>
              <w:top w:val="nil"/>
              <w:left w:val="nil"/>
              <w:bottom w:val="nil"/>
              <w:right w:val="nil"/>
            </w:tcBorders>
            <w:shd w:val="clear" w:color="auto" w:fill="000000" w:themeFill="text1"/>
            <w:noWrap/>
            <w:vAlign w:val="bottom"/>
          </w:tcPr>
          <w:p w14:paraId="2353DB4B" w14:textId="77777777" w:rsidR="00802DBC" w:rsidRPr="00471CBA" w:rsidRDefault="00802DBC" w:rsidP="00802DBC">
            <w:pPr>
              <w:ind w:left="-83" w:firstLine="83"/>
              <w:jc w:val="right"/>
              <w:rPr>
                <w:sz w:val="18"/>
                <w:szCs w:val="18"/>
              </w:rPr>
            </w:pPr>
          </w:p>
        </w:tc>
        <w:tc>
          <w:tcPr>
            <w:tcW w:w="506" w:type="pct"/>
            <w:tcBorders>
              <w:top w:val="nil"/>
              <w:left w:val="nil"/>
              <w:bottom w:val="nil"/>
              <w:right w:val="nil"/>
            </w:tcBorders>
            <w:noWrap/>
            <w:vAlign w:val="bottom"/>
          </w:tcPr>
          <w:p w14:paraId="63107FF2" w14:textId="77777777" w:rsidR="00802DBC" w:rsidRPr="00471CBA" w:rsidRDefault="00802DBC" w:rsidP="00802DBC">
            <w:pPr>
              <w:ind w:left="-83" w:firstLine="83"/>
              <w:jc w:val="right"/>
              <w:rPr>
                <w:sz w:val="18"/>
                <w:szCs w:val="18"/>
              </w:rPr>
            </w:pPr>
          </w:p>
        </w:tc>
        <w:tc>
          <w:tcPr>
            <w:tcW w:w="658" w:type="pct"/>
            <w:tcBorders>
              <w:top w:val="nil"/>
              <w:left w:val="nil"/>
              <w:bottom w:val="nil"/>
              <w:right w:val="nil"/>
            </w:tcBorders>
            <w:noWrap/>
            <w:vAlign w:val="bottom"/>
          </w:tcPr>
          <w:p w14:paraId="0B094D7F" w14:textId="77777777" w:rsidR="00802DBC" w:rsidRPr="00471CBA" w:rsidRDefault="00802DBC" w:rsidP="00802DBC">
            <w:pPr>
              <w:ind w:left="-83" w:firstLine="83"/>
              <w:jc w:val="right"/>
              <w:rPr>
                <w:sz w:val="18"/>
                <w:szCs w:val="18"/>
              </w:rPr>
            </w:pPr>
          </w:p>
        </w:tc>
        <w:tc>
          <w:tcPr>
            <w:tcW w:w="512" w:type="pct"/>
            <w:tcBorders>
              <w:top w:val="nil"/>
              <w:left w:val="nil"/>
              <w:bottom w:val="nil"/>
              <w:right w:val="nil"/>
            </w:tcBorders>
            <w:noWrap/>
            <w:vAlign w:val="bottom"/>
          </w:tcPr>
          <w:p w14:paraId="7EEEA7CC" w14:textId="4BB586EB" w:rsidR="00802DBC" w:rsidRPr="00471CBA" w:rsidRDefault="00802DBC" w:rsidP="00802DBC">
            <w:pPr>
              <w:ind w:left="-83" w:firstLine="83"/>
              <w:jc w:val="right"/>
              <w:rPr>
                <w:sz w:val="18"/>
                <w:szCs w:val="18"/>
              </w:rPr>
            </w:pPr>
            <w:r w:rsidRPr="00471CBA">
              <w:rPr>
                <w:sz w:val="18"/>
                <w:szCs w:val="18"/>
              </w:rPr>
              <w:t>-</w:t>
            </w:r>
          </w:p>
        </w:tc>
        <w:tc>
          <w:tcPr>
            <w:tcW w:w="440" w:type="pct"/>
            <w:tcBorders>
              <w:top w:val="nil"/>
              <w:left w:val="nil"/>
              <w:bottom w:val="nil"/>
              <w:right w:val="nil"/>
            </w:tcBorders>
            <w:noWrap/>
            <w:vAlign w:val="bottom"/>
          </w:tcPr>
          <w:p w14:paraId="24A832D3" w14:textId="0CB940F0" w:rsidR="00802DBC" w:rsidRPr="00471CBA" w:rsidRDefault="00802DBC" w:rsidP="00802DBC">
            <w:pPr>
              <w:ind w:left="-83" w:firstLine="83"/>
              <w:jc w:val="right"/>
              <w:rPr>
                <w:sz w:val="18"/>
                <w:szCs w:val="18"/>
              </w:rPr>
            </w:pPr>
            <w:r w:rsidRPr="00471CBA">
              <w:rPr>
                <w:sz w:val="18"/>
                <w:szCs w:val="18"/>
              </w:rPr>
              <w:t>-</w:t>
            </w:r>
          </w:p>
        </w:tc>
      </w:tr>
      <w:tr w:rsidR="00802DBC" w:rsidRPr="00471CBA" w14:paraId="69BF57A2" w14:textId="77777777" w:rsidTr="00802DBC">
        <w:trPr>
          <w:trHeight w:val="20"/>
        </w:trPr>
        <w:tc>
          <w:tcPr>
            <w:tcW w:w="123" w:type="pct"/>
            <w:tcBorders>
              <w:top w:val="nil"/>
              <w:left w:val="nil"/>
              <w:bottom w:val="nil"/>
              <w:right w:val="nil"/>
            </w:tcBorders>
            <w:hideMark/>
          </w:tcPr>
          <w:p w14:paraId="5361B7DD" w14:textId="77777777" w:rsidR="00802DBC" w:rsidRPr="00471CBA" w:rsidRDefault="00802DBC" w:rsidP="00802DBC">
            <w:pPr>
              <w:ind w:left="-83" w:firstLine="83"/>
              <w:rPr>
                <w:sz w:val="18"/>
                <w:szCs w:val="18"/>
              </w:rPr>
            </w:pPr>
            <w:r w:rsidRPr="00471CBA">
              <w:rPr>
                <w:sz w:val="18"/>
                <w:szCs w:val="18"/>
              </w:rPr>
              <w:t>3</w:t>
            </w:r>
          </w:p>
        </w:tc>
        <w:tc>
          <w:tcPr>
            <w:tcW w:w="1831" w:type="pct"/>
            <w:tcBorders>
              <w:top w:val="nil"/>
              <w:left w:val="nil"/>
              <w:bottom w:val="nil"/>
              <w:right w:val="nil"/>
            </w:tcBorders>
            <w:hideMark/>
          </w:tcPr>
          <w:p w14:paraId="66D77BAA" w14:textId="77777777" w:rsidR="00802DBC" w:rsidRPr="00471CBA" w:rsidRDefault="00802DBC" w:rsidP="00802DBC">
            <w:pPr>
              <w:rPr>
                <w:sz w:val="18"/>
                <w:szCs w:val="18"/>
              </w:rPr>
            </w:pPr>
            <w:r w:rsidRPr="00471CBA">
              <w:rPr>
                <w:sz w:val="18"/>
                <w:szCs w:val="18"/>
              </w:rPr>
              <w:t>Kredi riski azaltımı için kullanılan basit yöntem - (repo işlemleri, menkul kıymetler veya emtia ödünç verme veya ödünç alma işlemleri, takas süresi uzun işlemler ile kredili menkul kıymet işlemleri için)</w:t>
            </w:r>
          </w:p>
        </w:tc>
        <w:tc>
          <w:tcPr>
            <w:tcW w:w="447" w:type="pct"/>
            <w:tcBorders>
              <w:top w:val="nil"/>
              <w:left w:val="nil"/>
              <w:bottom w:val="nil"/>
              <w:right w:val="nil"/>
            </w:tcBorders>
            <w:shd w:val="clear" w:color="auto" w:fill="000000" w:themeFill="text1"/>
            <w:noWrap/>
            <w:vAlign w:val="bottom"/>
          </w:tcPr>
          <w:p w14:paraId="73B0158D" w14:textId="77777777" w:rsidR="00802DBC" w:rsidRPr="00471CBA" w:rsidRDefault="00802DBC" w:rsidP="00802DBC">
            <w:pPr>
              <w:ind w:left="-83" w:firstLine="83"/>
              <w:jc w:val="right"/>
              <w:rPr>
                <w:sz w:val="18"/>
                <w:szCs w:val="18"/>
              </w:rPr>
            </w:pPr>
          </w:p>
        </w:tc>
        <w:tc>
          <w:tcPr>
            <w:tcW w:w="483" w:type="pct"/>
            <w:tcBorders>
              <w:top w:val="nil"/>
              <w:left w:val="nil"/>
              <w:bottom w:val="nil"/>
              <w:right w:val="nil"/>
            </w:tcBorders>
            <w:shd w:val="clear" w:color="auto" w:fill="000000" w:themeFill="text1"/>
            <w:noWrap/>
            <w:vAlign w:val="bottom"/>
          </w:tcPr>
          <w:p w14:paraId="4537B889" w14:textId="77777777" w:rsidR="00802DBC" w:rsidRPr="00471CBA" w:rsidRDefault="00802DBC" w:rsidP="00802DBC">
            <w:pPr>
              <w:ind w:left="-83" w:firstLine="83"/>
              <w:jc w:val="right"/>
              <w:rPr>
                <w:sz w:val="18"/>
                <w:szCs w:val="18"/>
              </w:rPr>
            </w:pPr>
          </w:p>
        </w:tc>
        <w:tc>
          <w:tcPr>
            <w:tcW w:w="506" w:type="pct"/>
            <w:tcBorders>
              <w:top w:val="nil"/>
              <w:left w:val="nil"/>
              <w:bottom w:val="nil"/>
              <w:right w:val="nil"/>
            </w:tcBorders>
            <w:shd w:val="clear" w:color="auto" w:fill="000000" w:themeFill="text1"/>
            <w:noWrap/>
            <w:vAlign w:val="bottom"/>
          </w:tcPr>
          <w:p w14:paraId="05AF326B" w14:textId="77777777" w:rsidR="00802DBC" w:rsidRPr="00471CBA" w:rsidRDefault="00802DBC" w:rsidP="00802DBC">
            <w:pPr>
              <w:ind w:left="-83" w:firstLine="83"/>
              <w:jc w:val="right"/>
              <w:rPr>
                <w:sz w:val="18"/>
                <w:szCs w:val="18"/>
              </w:rPr>
            </w:pPr>
          </w:p>
        </w:tc>
        <w:tc>
          <w:tcPr>
            <w:tcW w:w="658" w:type="pct"/>
            <w:tcBorders>
              <w:top w:val="nil"/>
              <w:left w:val="nil"/>
              <w:bottom w:val="nil"/>
              <w:right w:val="nil"/>
            </w:tcBorders>
            <w:shd w:val="clear" w:color="auto" w:fill="000000" w:themeFill="text1"/>
            <w:noWrap/>
            <w:vAlign w:val="bottom"/>
          </w:tcPr>
          <w:p w14:paraId="2D2DF3C3" w14:textId="77777777" w:rsidR="00802DBC" w:rsidRPr="00471CBA" w:rsidRDefault="00802DBC" w:rsidP="00802DBC">
            <w:pPr>
              <w:ind w:left="-83" w:firstLine="83"/>
              <w:jc w:val="right"/>
              <w:rPr>
                <w:sz w:val="18"/>
                <w:szCs w:val="18"/>
              </w:rPr>
            </w:pPr>
          </w:p>
        </w:tc>
        <w:tc>
          <w:tcPr>
            <w:tcW w:w="512" w:type="pct"/>
            <w:tcBorders>
              <w:top w:val="nil"/>
              <w:left w:val="nil"/>
              <w:bottom w:val="nil"/>
              <w:right w:val="nil"/>
            </w:tcBorders>
            <w:noWrap/>
            <w:vAlign w:val="bottom"/>
          </w:tcPr>
          <w:p w14:paraId="56ED3EDA" w14:textId="39193288" w:rsidR="00802DBC" w:rsidRPr="00471CBA" w:rsidRDefault="00802DBC" w:rsidP="00802DBC">
            <w:pPr>
              <w:ind w:left="-83" w:firstLine="83"/>
              <w:jc w:val="right"/>
              <w:rPr>
                <w:sz w:val="18"/>
                <w:szCs w:val="18"/>
              </w:rPr>
            </w:pPr>
            <w:r w:rsidRPr="00471CBA">
              <w:rPr>
                <w:sz w:val="18"/>
                <w:szCs w:val="18"/>
              </w:rPr>
              <w:t>-</w:t>
            </w:r>
          </w:p>
        </w:tc>
        <w:tc>
          <w:tcPr>
            <w:tcW w:w="440" w:type="pct"/>
            <w:tcBorders>
              <w:top w:val="nil"/>
              <w:left w:val="nil"/>
              <w:bottom w:val="nil"/>
              <w:right w:val="nil"/>
            </w:tcBorders>
            <w:noWrap/>
            <w:vAlign w:val="bottom"/>
          </w:tcPr>
          <w:p w14:paraId="6691282E" w14:textId="1F91CB19" w:rsidR="00802DBC" w:rsidRPr="00471CBA" w:rsidRDefault="00802DBC" w:rsidP="00802DBC">
            <w:pPr>
              <w:ind w:left="-83" w:firstLine="83"/>
              <w:jc w:val="right"/>
              <w:rPr>
                <w:sz w:val="18"/>
                <w:szCs w:val="18"/>
              </w:rPr>
            </w:pPr>
            <w:r w:rsidRPr="00471CBA">
              <w:rPr>
                <w:sz w:val="18"/>
                <w:szCs w:val="18"/>
              </w:rPr>
              <w:t>-</w:t>
            </w:r>
          </w:p>
        </w:tc>
      </w:tr>
      <w:tr w:rsidR="00802DBC" w:rsidRPr="00471CBA" w14:paraId="240D5C13" w14:textId="77777777" w:rsidTr="00802DBC">
        <w:trPr>
          <w:trHeight w:val="20"/>
        </w:trPr>
        <w:tc>
          <w:tcPr>
            <w:tcW w:w="123" w:type="pct"/>
            <w:tcBorders>
              <w:top w:val="nil"/>
              <w:left w:val="nil"/>
              <w:bottom w:val="nil"/>
              <w:right w:val="nil"/>
            </w:tcBorders>
            <w:hideMark/>
          </w:tcPr>
          <w:p w14:paraId="6C91C368" w14:textId="77777777" w:rsidR="00802DBC" w:rsidRPr="00471CBA" w:rsidRDefault="00802DBC" w:rsidP="00802DBC">
            <w:pPr>
              <w:ind w:left="-83" w:firstLine="83"/>
              <w:rPr>
                <w:sz w:val="18"/>
                <w:szCs w:val="18"/>
              </w:rPr>
            </w:pPr>
            <w:r w:rsidRPr="00471CBA">
              <w:rPr>
                <w:sz w:val="18"/>
                <w:szCs w:val="18"/>
              </w:rPr>
              <w:t>4</w:t>
            </w:r>
          </w:p>
        </w:tc>
        <w:tc>
          <w:tcPr>
            <w:tcW w:w="1831" w:type="pct"/>
            <w:tcBorders>
              <w:top w:val="nil"/>
              <w:left w:val="nil"/>
              <w:bottom w:val="nil"/>
              <w:right w:val="nil"/>
            </w:tcBorders>
            <w:hideMark/>
          </w:tcPr>
          <w:p w14:paraId="2F0259A7" w14:textId="77777777" w:rsidR="00802DBC" w:rsidRPr="00471CBA" w:rsidRDefault="00802DBC" w:rsidP="00802DBC">
            <w:pPr>
              <w:rPr>
                <w:sz w:val="18"/>
                <w:szCs w:val="18"/>
              </w:rPr>
            </w:pPr>
            <w:r w:rsidRPr="00471CBA">
              <w:rPr>
                <w:sz w:val="18"/>
                <w:szCs w:val="18"/>
              </w:rPr>
              <w:t>Kredi riski azaltımı için kapsamlı yöntem – (repo işlemleri, menkul kıymetler veya emtia ödünç verme veya ödünç alma işlemleri, takas süresi uzun işlemler ile kredili menkul kıymet işlemleri için)</w:t>
            </w:r>
          </w:p>
        </w:tc>
        <w:tc>
          <w:tcPr>
            <w:tcW w:w="447" w:type="pct"/>
            <w:tcBorders>
              <w:top w:val="nil"/>
              <w:left w:val="nil"/>
              <w:bottom w:val="nil"/>
              <w:right w:val="nil"/>
            </w:tcBorders>
            <w:shd w:val="clear" w:color="auto" w:fill="000000" w:themeFill="text1"/>
            <w:noWrap/>
            <w:vAlign w:val="bottom"/>
          </w:tcPr>
          <w:p w14:paraId="083632AA" w14:textId="77777777" w:rsidR="00802DBC" w:rsidRPr="00471CBA" w:rsidRDefault="00802DBC" w:rsidP="00802DBC">
            <w:pPr>
              <w:ind w:left="-83" w:firstLine="83"/>
              <w:jc w:val="right"/>
              <w:rPr>
                <w:sz w:val="18"/>
                <w:szCs w:val="18"/>
              </w:rPr>
            </w:pPr>
          </w:p>
        </w:tc>
        <w:tc>
          <w:tcPr>
            <w:tcW w:w="483" w:type="pct"/>
            <w:tcBorders>
              <w:top w:val="nil"/>
              <w:left w:val="nil"/>
              <w:bottom w:val="nil"/>
              <w:right w:val="nil"/>
            </w:tcBorders>
            <w:shd w:val="clear" w:color="auto" w:fill="000000" w:themeFill="text1"/>
            <w:noWrap/>
            <w:vAlign w:val="bottom"/>
          </w:tcPr>
          <w:p w14:paraId="224252D1" w14:textId="77777777" w:rsidR="00802DBC" w:rsidRPr="00471CBA" w:rsidRDefault="00802DBC" w:rsidP="00802DBC">
            <w:pPr>
              <w:ind w:left="-83" w:firstLine="83"/>
              <w:jc w:val="right"/>
              <w:rPr>
                <w:sz w:val="18"/>
                <w:szCs w:val="18"/>
              </w:rPr>
            </w:pPr>
          </w:p>
        </w:tc>
        <w:tc>
          <w:tcPr>
            <w:tcW w:w="506" w:type="pct"/>
            <w:tcBorders>
              <w:top w:val="nil"/>
              <w:left w:val="nil"/>
              <w:bottom w:val="nil"/>
              <w:right w:val="nil"/>
            </w:tcBorders>
            <w:shd w:val="clear" w:color="auto" w:fill="000000" w:themeFill="text1"/>
            <w:noWrap/>
            <w:vAlign w:val="bottom"/>
          </w:tcPr>
          <w:p w14:paraId="656FD219" w14:textId="77777777" w:rsidR="00802DBC" w:rsidRPr="00471CBA" w:rsidRDefault="00802DBC" w:rsidP="00802DBC">
            <w:pPr>
              <w:ind w:left="-83" w:firstLine="83"/>
              <w:jc w:val="right"/>
              <w:rPr>
                <w:sz w:val="18"/>
                <w:szCs w:val="18"/>
              </w:rPr>
            </w:pPr>
          </w:p>
        </w:tc>
        <w:tc>
          <w:tcPr>
            <w:tcW w:w="658" w:type="pct"/>
            <w:tcBorders>
              <w:top w:val="nil"/>
              <w:left w:val="nil"/>
              <w:bottom w:val="nil"/>
              <w:right w:val="nil"/>
            </w:tcBorders>
            <w:shd w:val="clear" w:color="auto" w:fill="000000" w:themeFill="text1"/>
            <w:noWrap/>
            <w:vAlign w:val="bottom"/>
          </w:tcPr>
          <w:p w14:paraId="0DDBEF70" w14:textId="77777777" w:rsidR="00802DBC" w:rsidRPr="00471CBA" w:rsidRDefault="00802DBC" w:rsidP="00802DBC">
            <w:pPr>
              <w:ind w:left="-83" w:firstLine="83"/>
              <w:jc w:val="right"/>
              <w:rPr>
                <w:sz w:val="18"/>
                <w:szCs w:val="18"/>
              </w:rPr>
            </w:pPr>
          </w:p>
        </w:tc>
        <w:tc>
          <w:tcPr>
            <w:tcW w:w="512" w:type="pct"/>
            <w:tcBorders>
              <w:top w:val="nil"/>
              <w:left w:val="nil"/>
              <w:bottom w:val="nil"/>
              <w:right w:val="nil"/>
            </w:tcBorders>
            <w:noWrap/>
            <w:vAlign w:val="bottom"/>
          </w:tcPr>
          <w:p w14:paraId="497D53CF" w14:textId="457868ED" w:rsidR="00802DBC" w:rsidRPr="00471CBA" w:rsidRDefault="00802DBC" w:rsidP="00802DBC">
            <w:pPr>
              <w:ind w:left="-83" w:firstLine="83"/>
              <w:jc w:val="right"/>
              <w:rPr>
                <w:sz w:val="18"/>
                <w:szCs w:val="18"/>
              </w:rPr>
            </w:pPr>
            <w:r w:rsidRPr="00471CBA">
              <w:rPr>
                <w:sz w:val="18"/>
                <w:szCs w:val="18"/>
              </w:rPr>
              <w:t>-</w:t>
            </w:r>
          </w:p>
        </w:tc>
        <w:tc>
          <w:tcPr>
            <w:tcW w:w="440" w:type="pct"/>
            <w:tcBorders>
              <w:top w:val="nil"/>
              <w:left w:val="nil"/>
              <w:bottom w:val="nil"/>
              <w:right w:val="nil"/>
            </w:tcBorders>
            <w:noWrap/>
            <w:vAlign w:val="bottom"/>
          </w:tcPr>
          <w:p w14:paraId="680507E9" w14:textId="33D6635C" w:rsidR="00802DBC" w:rsidRPr="00471CBA" w:rsidRDefault="00802DBC" w:rsidP="00802DBC">
            <w:pPr>
              <w:ind w:left="-83" w:firstLine="83"/>
              <w:jc w:val="right"/>
              <w:rPr>
                <w:sz w:val="18"/>
                <w:szCs w:val="18"/>
              </w:rPr>
            </w:pPr>
            <w:r w:rsidRPr="00471CBA">
              <w:rPr>
                <w:sz w:val="18"/>
                <w:szCs w:val="18"/>
              </w:rPr>
              <w:t>-</w:t>
            </w:r>
          </w:p>
        </w:tc>
      </w:tr>
      <w:tr w:rsidR="00802DBC" w:rsidRPr="00471CBA" w14:paraId="6202CB75" w14:textId="77777777" w:rsidTr="00802DBC">
        <w:trPr>
          <w:trHeight w:val="20"/>
        </w:trPr>
        <w:tc>
          <w:tcPr>
            <w:tcW w:w="123" w:type="pct"/>
            <w:tcBorders>
              <w:top w:val="nil"/>
              <w:left w:val="nil"/>
              <w:bottom w:val="single" w:sz="4" w:space="0" w:color="auto"/>
              <w:right w:val="nil"/>
            </w:tcBorders>
            <w:hideMark/>
          </w:tcPr>
          <w:p w14:paraId="2F9203FE" w14:textId="77777777" w:rsidR="00802DBC" w:rsidRPr="00471CBA" w:rsidRDefault="00802DBC" w:rsidP="00802DBC">
            <w:pPr>
              <w:ind w:left="-83" w:firstLine="83"/>
              <w:rPr>
                <w:sz w:val="18"/>
                <w:szCs w:val="18"/>
              </w:rPr>
            </w:pPr>
            <w:r w:rsidRPr="00471CBA">
              <w:rPr>
                <w:sz w:val="18"/>
                <w:szCs w:val="18"/>
              </w:rPr>
              <w:t>5</w:t>
            </w:r>
          </w:p>
        </w:tc>
        <w:tc>
          <w:tcPr>
            <w:tcW w:w="1831" w:type="pct"/>
            <w:tcBorders>
              <w:top w:val="nil"/>
              <w:left w:val="nil"/>
              <w:bottom w:val="single" w:sz="4" w:space="0" w:color="auto"/>
              <w:right w:val="nil"/>
            </w:tcBorders>
            <w:hideMark/>
          </w:tcPr>
          <w:p w14:paraId="0FAFFEDE" w14:textId="77777777" w:rsidR="00802DBC" w:rsidRPr="00471CBA" w:rsidRDefault="00802DBC" w:rsidP="00802DBC">
            <w:pPr>
              <w:rPr>
                <w:sz w:val="18"/>
                <w:szCs w:val="18"/>
              </w:rPr>
            </w:pPr>
            <w:r w:rsidRPr="00471CBA">
              <w:rPr>
                <w:sz w:val="18"/>
                <w:szCs w:val="18"/>
              </w:rPr>
              <w:t>Repo işlemleri, menkul kıymetler veya emtia ödünç verme veya ödünç alma işlemleri, takas süresi uzun işlemler ile kredili menkul kıymet işlemleri için riske maruz değer</w:t>
            </w:r>
          </w:p>
        </w:tc>
        <w:tc>
          <w:tcPr>
            <w:tcW w:w="447" w:type="pct"/>
            <w:tcBorders>
              <w:top w:val="nil"/>
              <w:left w:val="nil"/>
              <w:bottom w:val="single" w:sz="4" w:space="0" w:color="auto"/>
              <w:right w:val="nil"/>
            </w:tcBorders>
            <w:shd w:val="clear" w:color="auto" w:fill="000000" w:themeFill="text1"/>
            <w:noWrap/>
            <w:vAlign w:val="bottom"/>
          </w:tcPr>
          <w:p w14:paraId="6DD14B16" w14:textId="77777777" w:rsidR="00802DBC" w:rsidRPr="00471CBA" w:rsidRDefault="00802DBC" w:rsidP="00802DBC">
            <w:pPr>
              <w:ind w:left="-83" w:firstLine="83"/>
              <w:jc w:val="right"/>
              <w:rPr>
                <w:sz w:val="18"/>
                <w:szCs w:val="18"/>
              </w:rPr>
            </w:pPr>
          </w:p>
        </w:tc>
        <w:tc>
          <w:tcPr>
            <w:tcW w:w="483" w:type="pct"/>
            <w:tcBorders>
              <w:top w:val="nil"/>
              <w:left w:val="nil"/>
              <w:bottom w:val="single" w:sz="4" w:space="0" w:color="auto"/>
              <w:right w:val="nil"/>
            </w:tcBorders>
            <w:shd w:val="clear" w:color="auto" w:fill="000000" w:themeFill="text1"/>
            <w:noWrap/>
            <w:vAlign w:val="bottom"/>
          </w:tcPr>
          <w:p w14:paraId="113A6CED" w14:textId="77777777" w:rsidR="00802DBC" w:rsidRPr="00471CBA" w:rsidRDefault="00802DBC" w:rsidP="00802DBC">
            <w:pPr>
              <w:ind w:left="-83" w:firstLine="83"/>
              <w:jc w:val="right"/>
              <w:rPr>
                <w:sz w:val="18"/>
                <w:szCs w:val="18"/>
              </w:rPr>
            </w:pPr>
          </w:p>
        </w:tc>
        <w:tc>
          <w:tcPr>
            <w:tcW w:w="506" w:type="pct"/>
            <w:tcBorders>
              <w:top w:val="nil"/>
              <w:left w:val="nil"/>
              <w:bottom w:val="single" w:sz="4" w:space="0" w:color="auto"/>
              <w:right w:val="nil"/>
            </w:tcBorders>
            <w:shd w:val="clear" w:color="auto" w:fill="000000" w:themeFill="text1"/>
            <w:noWrap/>
            <w:vAlign w:val="bottom"/>
          </w:tcPr>
          <w:p w14:paraId="0971832A" w14:textId="77777777" w:rsidR="00802DBC" w:rsidRPr="00471CBA" w:rsidRDefault="00802DBC" w:rsidP="00802DBC">
            <w:pPr>
              <w:ind w:left="-83" w:firstLine="83"/>
              <w:jc w:val="right"/>
              <w:rPr>
                <w:sz w:val="18"/>
                <w:szCs w:val="18"/>
              </w:rPr>
            </w:pPr>
          </w:p>
        </w:tc>
        <w:tc>
          <w:tcPr>
            <w:tcW w:w="658" w:type="pct"/>
            <w:tcBorders>
              <w:top w:val="nil"/>
              <w:left w:val="nil"/>
              <w:bottom w:val="single" w:sz="4" w:space="0" w:color="auto"/>
              <w:right w:val="nil"/>
            </w:tcBorders>
            <w:shd w:val="clear" w:color="auto" w:fill="000000" w:themeFill="text1"/>
            <w:noWrap/>
            <w:vAlign w:val="bottom"/>
          </w:tcPr>
          <w:p w14:paraId="62C1852C" w14:textId="77777777" w:rsidR="00802DBC" w:rsidRPr="00471CBA" w:rsidRDefault="00802DBC" w:rsidP="00802DBC">
            <w:pPr>
              <w:ind w:left="-83" w:firstLine="83"/>
              <w:jc w:val="right"/>
              <w:rPr>
                <w:sz w:val="18"/>
                <w:szCs w:val="18"/>
              </w:rPr>
            </w:pPr>
          </w:p>
        </w:tc>
        <w:tc>
          <w:tcPr>
            <w:tcW w:w="512" w:type="pct"/>
            <w:tcBorders>
              <w:top w:val="nil"/>
              <w:left w:val="nil"/>
              <w:bottom w:val="single" w:sz="4" w:space="0" w:color="auto"/>
              <w:right w:val="nil"/>
            </w:tcBorders>
            <w:noWrap/>
            <w:vAlign w:val="bottom"/>
          </w:tcPr>
          <w:p w14:paraId="351EDB8D" w14:textId="3B55FC92" w:rsidR="00802DBC" w:rsidRPr="00471CBA" w:rsidRDefault="00802DBC" w:rsidP="00802DBC">
            <w:pPr>
              <w:ind w:left="-83" w:firstLine="83"/>
              <w:jc w:val="right"/>
              <w:rPr>
                <w:sz w:val="18"/>
                <w:szCs w:val="18"/>
              </w:rPr>
            </w:pPr>
            <w:r w:rsidRPr="00471CBA">
              <w:rPr>
                <w:sz w:val="18"/>
                <w:szCs w:val="18"/>
              </w:rPr>
              <w:t>-</w:t>
            </w:r>
          </w:p>
        </w:tc>
        <w:tc>
          <w:tcPr>
            <w:tcW w:w="440" w:type="pct"/>
            <w:tcBorders>
              <w:top w:val="nil"/>
              <w:left w:val="nil"/>
              <w:bottom w:val="single" w:sz="4" w:space="0" w:color="auto"/>
              <w:right w:val="nil"/>
            </w:tcBorders>
            <w:noWrap/>
            <w:vAlign w:val="bottom"/>
          </w:tcPr>
          <w:p w14:paraId="7BD97FA5" w14:textId="3202CDEA" w:rsidR="00802DBC" w:rsidRPr="00471CBA" w:rsidRDefault="00802DBC" w:rsidP="00802DBC">
            <w:pPr>
              <w:ind w:left="-83" w:firstLine="83"/>
              <w:jc w:val="right"/>
              <w:rPr>
                <w:sz w:val="18"/>
                <w:szCs w:val="18"/>
              </w:rPr>
            </w:pPr>
            <w:r w:rsidRPr="00471CBA">
              <w:rPr>
                <w:sz w:val="18"/>
                <w:szCs w:val="18"/>
              </w:rPr>
              <w:t>-</w:t>
            </w:r>
          </w:p>
        </w:tc>
      </w:tr>
      <w:tr w:rsidR="00802DBC" w:rsidRPr="00471CBA" w14:paraId="284BF040" w14:textId="77777777" w:rsidTr="00802DBC">
        <w:trPr>
          <w:trHeight w:val="20"/>
        </w:trPr>
        <w:tc>
          <w:tcPr>
            <w:tcW w:w="123" w:type="pct"/>
            <w:tcBorders>
              <w:top w:val="single" w:sz="4" w:space="0" w:color="auto"/>
              <w:left w:val="nil"/>
              <w:bottom w:val="single" w:sz="4" w:space="0" w:color="auto"/>
              <w:right w:val="nil"/>
            </w:tcBorders>
            <w:hideMark/>
          </w:tcPr>
          <w:p w14:paraId="204444B6" w14:textId="77777777" w:rsidR="00802DBC" w:rsidRPr="00471CBA" w:rsidRDefault="00802DBC" w:rsidP="00802DBC">
            <w:pPr>
              <w:ind w:left="-83" w:firstLine="83"/>
              <w:rPr>
                <w:b/>
                <w:sz w:val="18"/>
                <w:szCs w:val="18"/>
              </w:rPr>
            </w:pPr>
            <w:r w:rsidRPr="00471CBA">
              <w:rPr>
                <w:b/>
                <w:sz w:val="18"/>
                <w:szCs w:val="18"/>
              </w:rPr>
              <w:t>6</w:t>
            </w:r>
          </w:p>
        </w:tc>
        <w:tc>
          <w:tcPr>
            <w:tcW w:w="1831" w:type="pct"/>
            <w:tcBorders>
              <w:top w:val="single" w:sz="4" w:space="0" w:color="auto"/>
              <w:left w:val="nil"/>
              <w:bottom w:val="single" w:sz="4" w:space="0" w:color="auto"/>
              <w:right w:val="nil"/>
            </w:tcBorders>
            <w:hideMark/>
          </w:tcPr>
          <w:p w14:paraId="760CC199" w14:textId="77777777" w:rsidR="00802DBC" w:rsidRPr="00471CBA" w:rsidRDefault="00802DBC" w:rsidP="00802DBC">
            <w:pPr>
              <w:rPr>
                <w:b/>
                <w:sz w:val="18"/>
                <w:szCs w:val="18"/>
              </w:rPr>
            </w:pPr>
            <w:r w:rsidRPr="00471CBA">
              <w:rPr>
                <w:b/>
                <w:sz w:val="18"/>
                <w:szCs w:val="18"/>
              </w:rPr>
              <w:t>Toplam</w:t>
            </w:r>
          </w:p>
        </w:tc>
        <w:tc>
          <w:tcPr>
            <w:tcW w:w="447" w:type="pct"/>
            <w:tcBorders>
              <w:top w:val="single" w:sz="4" w:space="0" w:color="auto"/>
              <w:left w:val="nil"/>
              <w:bottom w:val="single" w:sz="4" w:space="0" w:color="auto"/>
              <w:right w:val="nil"/>
            </w:tcBorders>
            <w:shd w:val="clear" w:color="auto" w:fill="000000" w:themeFill="text1"/>
            <w:noWrap/>
            <w:vAlign w:val="bottom"/>
          </w:tcPr>
          <w:p w14:paraId="626BEF5C" w14:textId="77777777" w:rsidR="00802DBC" w:rsidRPr="00471CBA" w:rsidRDefault="00802DBC" w:rsidP="00802DBC">
            <w:pPr>
              <w:ind w:left="-83" w:firstLine="83"/>
              <w:jc w:val="right"/>
              <w:rPr>
                <w:b/>
                <w:sz w:val="18"/>
                <w:szCs w:val="18"/>
              </w:rPr>
            </w:pPr>
          </w:p>
        </w:tc>
        <w:tc>
          <w:tcPr>
            <w:tcW w:w="483" w:type="pct"/>
            <w:tcBorders>
              <w:top w:val="single" w:sz="4" w:space="0" w:color="auto"/>
              <w:left w:val="nil"/>
              <w:bottom w:val="single" w:sz="4" w:space="0" w:color="auto"/>
              <w:right w:val="nil"/>
            </w:tcBorders>
            <w:shd w:val="clear" w:color="auto" w:fill="000000" w:themeFill="text1"/>
            <w:noWrap/>
            <w:vAlign w:val="bottom"/>
          </w:tcPr>
          <w:p w14:paraId="61CA8219" w14:textId="77777777" w:rsidR="00802DBC" w:rsidRPr="00471CBA" w:rsidRDefault="00802DBC" w:rsidP="00802DBC">
            <w:pPr>
              <w:ind w:left="-83" w:firstLine="83"/>
              <w:jc w:val="right"/>
              <w:rPr>
                <w:b/>
                <w:sz w:val="18"/>
                <w:szCs w:val="18"/>
              </w:rPr>
            </w:pPr>
          </w:p>
        </w:tc>
        <w:tc>
          <w:tcPr>
            <w:tcW w:w="506" w:type="pct"/>
            <w:tcBorders>
              <w:top w:val="single" w:sz="4" w:space="0" w:color="auto"/>
              <w:left w:val="nil"/>
              <w:bottom w:val="single" w:sz="4" w:space="0" w:color="auto"/>
              <w:right w:val="nil"/>
            </w:tcBorders>
            <w:shd w:val="clear" w:color="auto" w:fill="000000" w:themeFill="text1"/>
            <w:noWrap/>
            <w:vAlign w:val="bottom"/>
          </w:tcPr>
          <w:p w14:paraId="30EDE594" w14:textId="77777777" w:rsidR="00802DBC" w:rsidRPr="00471CBA" w:rsidRDefault="00802DBC" w:rsidP="00802DBC">
            <w:pPr>
              <w:ind w:left="-83" w:firstLine="83"/>
              <w:jc w:val="right"/>
              <w:rPr>
                <w:b/>
                <w:sz w:val="18"/>
                <w:szCs w:val="18"/>
              </w:rPr>
            </w:pPr>
          </w:p>
        </w:tc>
        <w:tc>
          <w:tcPr>
            <w:tcW w:w="658" w:type="pct"/>
            <w:tcBorders>
              <w:top w:val="single" w:sz="4" w:space="0" w:color="auto"/>
              <w:left w:val="nil"/>
              <w:bottom w:val="single" w:sz="4" w:space="0" w:color="auto"/>
              <w:right w:val="nil"/>
            </w:tcBorders>
            <w:shd w:val="clear" w:color="auto" w:fill="000000" w:themeFill="text1"/>
            <w:noWrap/>
            <w:vAlign w:val="bottom"/>
          </w:tcPr>
          <w:p w14:paraId="318D3935" w14:textId="77777777" w:rsidR="00802DBC" w:rsidRPr="00471CBA" w:rsidRDefault="00802DBC" w:rsidP="00802DBC">
            <w:pPr>
              <w:ind w:left="-83" w:firstLine="83"/>
              <w:jc w:val="right"/>
              <w:rPr>
                <w:b/>
                <w:sz w:val="18"/>
                <w:szCs w:val="18"/>
              </w:rPr>
            </w:pPr>
          </w:p>
        </w:tc>
        <w:tc>
          <w:tcPr>
            <w:tcW w:w="512" w:type="pct"/>
            <w:tcBorders>
              <w:top w:val="single" w:sz="4" w:space="0" w:color="auto"/>
              <w:left w:val="nil"/>
              <w:bottom w:val="single" w:sz="4" w:space="0" w:color="auto"/>
              <w:right w:val="nil"/>
            </w:tcBorders>
            <w:shd w:val="clear" w:color="auto" w:fill="000000" w:themeFill="text1"/>
            <w:noWrap/>
            <w:vAlign w:val="bottom"/>
          </w:tcPr>
          <w:p w14:paraId="11D862F3" w14:textId="77777777" w:rsidR="00802DBC" w:rsidRPr="00471CBA" w:rsidRDefault="00802DBC" w:rsidP="00802DBC">
            <w:pPr>
              <w:ind w:left="-83" w:firstLine="83"/>
              <w:jc w:val="right"/>
              <w:rPr>
                <w:b/>
                <w:sz w:val="18"/>
                <w:szCs w:val="18"/>
              </w:rPr>
            </w:pPr>
          </w:p>
        </w:tc>
        <w:tc>
          <w:tcPr>
            <w:tcW w:w="440" w:type="pct"/>
            <w:tcBorders>
              <w:top w:val="single" w:sz="4" w:space="0" w:color="auto"/>
              <w:left w:val="nil"/>
              <w:bottom w:val="single" w:sz="4" w:space="0" w:color="auto"/>
              <w:right w:val="nil"/>
            </w:tcBorders>
            <w:noWrap/>
            <w:vAlign w:val="bottom"/>
          </w:tcPr>
          <w:p w14:paraId="3558BCB3" w14:textId="5F05E2B6" w:rsidR="00802DBC" w:rsidRPr="00471CBA" w:rsidRDefault="00802DBC" w:rsidP="00802DBC">
            <w:pPr>
              <w:ind w:left="-83" w:firstLine="83"/>
              <w:jc w:val="right"/>
              <w:rPr>
                <w:b/>
                <w:sz w:val="18"/>
                <w:szCs w:val="18"/>
              </w:rPr>
            </w:pPr>
            <w:r w:rsidRPr="00471CBA">
              <w:rPr>
                <w:b/>
                <w:sz w:val="18"/>
                <w:szCs w:val="18"/>
              </w:rPr>
              <w:t>2.029.610</w:t>
            </w:r>
          </w:p>
        </w:tc>
      </w:tr>
    </w:tbl>
    <w:p w14:paraId="044C9D32" w14:textId="77777777" w:rsidR="00EE0925" w:rsidRPr="00471CBA" w:rsidRDefault="00EE0925" w:rsidP="00EE0925">
      <w:pPr>
        <w:spacing w:before="120" w:after="120"/>
        <w:ind w:left="567" w:hanging="568"/>
        <w:rPr>
          <w:b/>
          <w:szCs w:val="20"/>
        </w:rPr>
      </w:pPr>
      <w:r w:rsidRPr="00471CBA">
        <w:rPr>
          <w:sz w:val="18"/>
          <w:szCs w:val="18"/>
          <w:vertAlign w:val="superscript"/>
        </w:rPr>
        <w:t>(*) Efektif beklenen pozitif risk tutarı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8"/>
        <w:gridCol w:w="3530"/>
        <w:gridCol w:w="862"/>
        <w:gridCol w:w="931"/>
        <w:gridCol w:w="975"/>
        <w:gridCol w:w="1268"/>
        <w:gridCol w:w="987"/>
        <w:gridCol w:w="848"/>
      </w:tblGrid>
      <w:tr w:rsidR="00EE0925" w:rsidRPr="00471CBA" w14:paraId="64B343C1" w14:textId="77777777" w:rsidTr="00B0049C">
        <w:trPr>
          <w:trHeight w:val="20"/>
        </w:trPr>
        <w:tc>
          <w:tcPr>
            <w:tcW w:w="123" w:type="pct"/>
            <w:tcBorders>
              <w:top w:val="single" w:sz="4" w:space="0" w:color="auto"/>
              <w:left w:val="nil"/>
              <w:bottom w:val="single" w:sz="4" w:space="0" w:color="auto"/>
              <w:right w:val="nil"/>
            </w:tcBorders>
            <w:hideMark/>
          </w:tcPr>
          <w:p w14:paraId="0A3747C2" w14:textId="77777777" w:rsidR="00EE0925" w:rsidRPr="00471CBA" w:rsidRDefault="00EE0925" w:rsidP="00B0049C">
            <w:pPr>
              <w:ind w:left="-83" w:firstLine="83"/>
              <w:rPr>
                <w:sz w:val="18"/>
                <w:szCs w:val="18"/>
              </w:rPr>
            </w:pPr>
          </w:p>
        </w:tc>
        <w:tc>
          <w:tcPr>
            <w:tcW w:w="1831" w:type="pct"/>
            <w:tcBorders>
              <w:top w:val="single" w:sz="4" w:space="0" w:color="auto"/>
              <w:left w:val="nil"/>
              <w:bottom w:val="single" w:sz="4" w:space="0" w:color="auto"/>
              <w:right w:val="nil"/>
            </w:tcBorders>
            <w:vAlign w:val="center"/>
            <w:hideMark/>
          </w:tcPr>
          <w:p w14:paraId="05C8809F" w14:textId="77777777" w:rsidR="00EE0925" w:rsidRPr="00471CBA" w:rsidRDefault="00EE0925" w:rsidP="00B0049C">
            <w:pPr>
              <w:ind w:left="-83" w:firstLine="83"/>
              <w:rPr>
                <w:b/>
                <w:sz w:val="18"/>
                <w:szCs w:val="18"/>
              </w:rPr>
            </w:pPr>
            <w:r w:rsidRPr="00471CBA">
              <w:rPr>
                <w:b/>
                <w:sz w:val="18"/>
                <w:szCs w:val="18"/>
              </w:rPr>
              <w:t>31 Aralık 2024</w:t>
            </w:r>
          </w:p>
        </w:tc>
        <w:tc>
          <w:tcPr>
            <w:tcW w:w="447" w:type="pct"/>
            <w:tcBorders>
              <w:top w:val="single" w:sz="4" w:space="0" w:color="auto"/>
              <w:left w:val="nil"/>
              <w:bottom w:val="single" w:sz="4" w:space="0" w:color="auto"/>
              <w:right w:val="nil"/>
            </w:tcBorders>
            <w:vAlign w:val="bottom"/>
            <w:hideMark/>
          </w:tcPr>
          <w:p w14:paraId="77FB0E81" w14:textId="77777777" w:rsidR="00EE0925" w:rsidRPr="00471CBA" w:rsidRDefault="00EE0925" w:rsidP="00B0049C">
            <w:pPr>
              <w:ind w:left="-83" w:firstLine="83"/>
              <w:jc w:val="right"/>
              <w:rPr>
                <w:b/>
                <w:sz w:val="18"/>
                <w:szCs w:val="18"/>
              </w:rPr>
            </w:pPr>
            <w:r w:rsidRPr="00471CBA">
              <w:rPr>
                <w:b/>
                <w:sz w:val="18"/>
                <w:szCs w:val="18"/>
              </w:rPr>
              <w:t xml:space="preserve">Yenileme </w:t>
            </w:r>
            <w:r w:rsidRPr="00471CBA">
              <w:rPr>
                <w:b/>
                <w:sz w:val="18"/>
                <w:szCs w:val="18"/>
              </w:rPr>
              <w:br/>
              <w:t>maliyeti</w:t>
            </w:r>
          </w:p>
        </w:tc>
        <w:tc>
          <w:tcPr>
            <w:tcW w:w="483" w:type="pct"/>
            <w:tcBorders>
              <w:top w:val="single" w:sz="4" w:space="0" w:color="auto"/>
              <w:left w:val="nil"/>
              <w:bottom w:val="single" w:sz="4" w:space="0" w:color="auto"/>
              <w:right w:val="nil"/>
            </w:tcBorders>
            <w:vAlign w:val="bottom"/>
            <w:hideMark/>
          </w:tcPr>
          <w:p w14:paraId="75685449" w14:textId="77777777" w:rsidR="00EE0925" w:rsidRPr="00471CBA" w:rsidRDefault="00EE0925" w:rsidP="00B0049C">
            <w:pPr>
              <w:ind w:left="-83" w:firstLine="83"/>
              <w:jc w:val="right"/>
              <w:rPr>
                <w:b/>
                <w:sz w:val="18"/>
                <w:szCs w:val="18"/>
              </w:rPr>
            </w:pPr>
            <w:r w:rsidRPr="00471CBA">
              <w:rPr>
                <w:b/>
                <w:sz w:val="18"/>
                <w:szCs w:val="18"/>
              </w:rPr>
              <w:t>Potansiyel kredi riski</w:t>
            </w:r>
            <w:r w:rsidRPr="00471CBA">
              <w:rPr>
                <w:b/>
                <w:sz w:val="18"/>
                <w:szCs w:val="18"/>
              </w:rPr>
              <w:br/>
              <w:t>tutarı</w:t>
            </w:r>
          </w:p>
        </w:tc>
        <w:tc>
          <w:tcPr>
            <w:tcW w:w="506" w:type="pct"/>
            <w:tcBorders>
              <w:top w:val="single" w:sz="4" w:space="0" w:color="auto"/>
              <w:left w:val="nil"/>
              <w:bottom w:val="single" w:sz="4" w:space="0" w:color="auto"/>
              <w:right w:val="nil"/>
            </w:tcBorders>
            <w:noWrap/>
            <w:vAlign w:val="bottom"/>
            <w:hideMark/>
          </w:tcPr>
          <w:p w14:paraId="3E76643D" w14:textId="77777777" w:rsidR="00EE0925" w:rsidRPr="00471CBA" w:rsidRDefault="00EE0925" w:rsidP="00B0049C">
            <w:pPr>
              <w:ind w:left="-83" w:firstLine="83"/>
              <w:jc w:val="right"/>
              <w:rPr>
                <w:b/>
                <w:sz w:val="18"/>
                <w:szCs w:val="18"/>
              </w:rPr>
            </w:pPr>
            <w:r w:rsidRPr="00471CBA">
              <w:rPr>
                <w:b/>
                <w:sz w:val="18"/>
                <w:szCs w:val="18"/>
              </w:rPr>
              <w:t xml:space="preserve">EBPRT </w:t>
            </w:r>
            <w:r w:rsidRPr="00471CBA">
              <w:rPr>
                <w:b/>
                <w:sz w:val="18"/>
                <w:szCs w:val="18"/>
                <w:vertAlign w:val="superscript"/>
              </w:rPr>
              <w:t>(*)</w:t>
            </w:r>
          </w:p>
        </w:tc>
        <w:tc>
          <w:tcPr>
            <w:tcW w:w="658" w:type="pct"/>
            <w:tcBorders>
              <w:top w:val="single" w:sz="4" w:space="0" w:color="auto"/>
              <w:left w:val="nil"/>
              <w:bottom w:val="single" w:sz="4" w:space="0" w:color="auto"/>
              <w:right w:val="nil"/>
            </w:tcBorders>
            <w:vAlign w:val="bottom"/>
            <w:hideMark/>
          </w:tcPr>
          <w:p w14:paraId="5EF04B67" w14:textId="77777777" w:rsidR="00EE0925" w:rsidRPr="00471CBA" w:rsidRDefault="00EE0925" w:rsidP="00B0049C">
            <w:pPr>
              <w:ind w:left="-83" w:firstLine="83"/>
              <w:jc w:val="right"/>
              <w:rPr>
                <w:b/>
                <w:sz w:val="18"/>
                <w:szCs w:val="18"/>
              </w:rPr>
            </w:pPr>
            <w:r w:rsidRPr="00471CBA">
              <w:rPr>
                <w:b/>
                <w:sz w:val="18"/>
                <w:szCs w:val="18"/>
              </w:rPr>
              <w:t>Yasal risk tutarının hesaplanması</w:t>
            </w:r>
            <w:r w:rsidRPr="00471CBA">
              <w:rPr>
                <w:b/>
                <w:sz w:val="18"/>
                <w:szCs w:val="18"/>
              </w:rPr>
              <w:br/>
              <w:t>için kullanılan</w:t>
            </w:r>
            <w:r w:rsidRPr="00471CBA">
              <w:rPr>
                <w:b/>
                <w:sz w:val="18"/>
                <w:szCs w:val="18"/>
              </w:rPr>
              <w:br/>
              <w:t>alfa</w:t>
            </w:r>
          </w:p>
        </w:tc>
        <w:tc>
          <w:tcPr>
            <w:tcW w:w="512" w:type="pct"/>
            <w:tcBorders>
              <w:top w:val="single" w:sz="4" w:space="0" w:color="auto"/>
              <w:left w:val="nil"/>
              <w:bottom w:val="single" w:sz="4" w:space="0" w:color="auto"/>
              <w:right w:val="nil"/>
            </w:tcBorders>
            <w:vAlign w:val="bottom"/>
            <w:hideMark/>
          </w:tcPr>
          <w:p w14:paraId="4389A70D" w14:textId="77777777" w:rsidR="00EE0925" w:rsidRPr="00471CBA" w:rsidRDefault="00EE0925" w:rsidP="00B0049C">
            <w:pPr>
              <w:ind w:left="-83" w:firstLine="83"/>
              <w:jc w:val="right"/>
              <w:rPr>
                <w:b/>
                <w:sz w:val="18"/>
                <w:szCs w:val="18"/>
              </w:rPr>
            </w:pPr>
            <w:r w:rsidRPr="00471CBA">
              <w:rPr>
                <w:b/>
                <w:sz w:val="18"/>
                <w:szCs w:val="18"/>
              </w:rPr>
              <w:t xml:space="preserve">Kredi riski azaltımı </w:t>
            </w:r>
            <w:r w:rsidRPr="00471CBA">
              <w:rPr>
                <w:b/>
                <w:sz w:val="18"/>
                <w:szCs w:val="18"/>
              </w:rPr>
              <w:br/>
              <w:t>sonrası risk tutarı</w:t>
            </w:r>
          </w:p>
        </w:tc>
        <w:tc>
          <w:tcPr>
            <w:tcW w:w="440" w:type="pct"/>
            <w:tcBorders>
              <w:top w:val="single" w:sz="4" w:space="0" w:color="auto"/>
              <w:left w:val="nil"/>
              <w:bottom w:val="single" w:sz="4" w:space="0" w:color="auto"/>
              <w:right w:val="nil"/>
            </w:tcBorders>
            <w:vAlign w:val="bottom"/>
            <w:hideMark/>
          </w:tcPr>
          <w:p w14:paraId="12DA8880" w14:textId="77777777" w:rsidR="00EE0925" w:rsidRPr="00471CBA" w:rsidRDefault="00EE0925" w:rsidP="00B0049C">
            <w:pPr>
              <w:ind w:left="-83" w:firstLine="83"/>
              <w:jc w:val="right"/>
              <w:rPr>
                <w:b/>
                <w:sz w:val="18"/>
                <w:szCs w:val="18"/>
              </w:rPr>
            </w:pPr>
            <w:r w:rsidRPr="00471CBA">
              <w:rPr>
                <w:b/>
                <w:sz w:val="18"/>
                <w:szCs w:val="18"/>
              </w:rPr>
              <w:t xml:space="preserve">Risk ağırlıklı </w:t>
            </w:r>
            <w:r w:rsidRPr="00471CBA">
              <w:rPr>
                <w:b/>
                <w:sz w:val="18"/>
                <w:szCs w:val="18"/>
              </w:rPr>
              <w:br/>
              <w:t>tutarlar</w:t>
            </w:r>
          </w:p>
        </w:tc>
      </w:tr>
      <w:tr w:rsidR="000A44B5" w:rsidRPr="00471CBA" w14:paraId="03E2A83C" w14:textId="77777777" w:rsidTr="00B0049C">
        <w:trPr>
          <w:trHeight w:val="20"/>
        </w:trPr>
        <w:tc>
          <w:tcPr>
            <w:tcW w:w="123" w:type="pct"/>
            <w:tcBorders>
              <w:top w:val="nil"/>
              <w:left w:val="nil"/>
              <w:bottom w:val="nil"/>
              <w:right w:val="nil"/>
            </w:tcBorders>
            <w:hideMark/>
          </w:tcPr>
          <w:p w14:paraId="4C3B383A" w14:textId="77777777" w:rsidR="000A44B5" w:rsidRPr="00471CBA" w:rsidRDefault="000A44B5" w:rsidP="000A44B5">
            <w:pPr>
              <w:ind w:left="-83" w:firstLine="83"/>
              <w:rPr>
                <w:sz w:val="18"/>
                <w:szCs w:val="18"/>
              </w:rPr>
            </w:pPr>
            <w:r w:rsidRPr="00471CBA">
              <w:rPr>
                <w:sz w:val="18"/>
                <w:szCs w:val="18"/>
              </w:rPr>
              <w:t>1</w:t>
            </w:r>
          </w:p>
        </w:tc>
        <w:tc>
          <w:tcPr>
            <w:tcW w:w="1831" w:type="pct"/>
            <w:tcBorders>
              <w:top w:val="nil"/>
              <w:left w:val="nil"/>
              <w:bottom w:val="nil"/>
              <w:right w:val="nil"/>
            </w:tcBorders>
            <w:hideMark/>
          </w:tcPr>
          <w:p w14:paraId="16E8DF3E" w14:textId="77777777" w:rsidR="000A44B5" w:rsidRPr="00471CBA" w:rsidRDefault="000A44B5" w:rsidP="000A44B5">
            <w:pPr>
              <w:rPr>
                <w:sz w:val="18"/>
                <w:szCs w:val="18"/>
              </w:rPr>
            </w:pPr>
            <w:r w:rsidRPr="00471CBA">
              <w:rPr>
                <w:sz w:val="18"/>
                <w:szCs w:val="18"/>
              </w:rPr>
              <w:t>Standart yaklaşım - KKR (türevler için)</w:t>
            </w:r>
          </w:p>
        </w:tc>
        <w:tc>
          <w:tcPr>
            <w:tcW w:w="447" w:type="pct"/>
            <w:tcBorders>
              <w:top w:val="nil"/>
              <w:left w:val="nil"/>
              <w:bottom w:val="nil"/>
              <w:right w:val="nil"/>
            </w:tcBorders>
            <w:noWrap/>
            <w:vAlign w:val="bottom"/>
          </w:tcPr>
          <w:p w14:paraId="7EC8FCA6" w14:textId="26C0B353" w:rsidR="000A44B5" w:rsidRPr="00471CBA" w:rsidRDefault="000A44B5" w:rsidP="000A44B5">
            <w:pPr>
              <w:ind w:left="-83" w:firstLine="83"/>
              <w:jc w:val="right"/>
              <w:rPr>
                <w:sz w:val="18"/>
                <w:szCs w:val="18"/>
              </w:rPr>
            </w:pPr>
            <w:r w:rsidRPr="00471CBA">
              <w:rPr>
                <w:color w:val="000000"/>
                <w:sz w:val="18"/>
                <w:szCs w:val="18"/>
              </w:rPr>
              <w:t>31.225</w:t>
            </w:r>
          </w:p>
        </w:tc>
        <w:tc>
          <w:tcPr>
            <w:tcW w:w="483" w:type="pct"/>
            <w:tcBorders>
              <w:top w:val="nil"/>
              <w:left w:val="nil"/>
              <w:bottom w:val="nil"/>
              <w:right w:val="nil"/>
            </w:tcBorders>
            <w:noWrap/>
            <w:vAlign w:val="bottom"/>
          </w:tcPr>
          <w:p w14:paraId="7F91762B" w14:textId="6D0EB29B" w:rsidR="000A44B5" w:rsidRPr="00471CBA" w:rsidRDefault="000A44B5" w:rsidP="000A44B5">
            <w:pPr>
              <w:ind w:left="-83" w:firstLine="83"/>
              <w:jc w:val="right"/>
              <w:rPr>
                <w:sz w:val="18"/>
                <w:szCs w:val="18"/>
              </w:rPr>
            </w:pPr>
            <w:r w:rsidRPr="00471CBA">
              <w:rPr>
                <w:color w:val="000000"/>
                <w:sz w:val="18"/>
                <w:szCs w:val="18"/>
              </w:rPr>
              <w:t>53.237</w:t>
            </w:r>
          </w:p>
        </w:tc>
        <w:tc>
          <w:tcPr>
            <w:tcW w:w="506" w:type="pct"/>
            <w:tcBorders>
              <w:top w:val="nil"/>
              <w:left w:val="nil"/>
              <w:bottom w:val="nil"/>
              <w:right w:val="nil"/>
            </w:tcBorders>
            <w:shd w:val="clear" w:color="auto" w:fill="000000" w:themeFill="text1"/>
            <w:noWrap/>
            <w:vAlign w:val="bottom"/>
          </w:tcPr>
          <w:p w14:paraId="0A6F5838" w14:textId="67E6D8F8" w:rsidR="000A44B5" w:rsidRPr="00471CBA" w:rsidRDefault="000A44B5" w:rsidP="000A44B5">
            <w:pPr>
              <w:ind w:left="-83" w:firstLine="83"/>
              <w:jc w:val="right"/>
              <w:rPr>
                <w:sz w:val="18"/>
                <w:szCs w:val="18"/>
              </w:rPr>
            </w:pPr>
            <w:r w:rsidRPr="00471CBA">
              <w:rPr>
                <w:color w:val="000000"/>
                <w:sz w:val="18"/>
                <w:szCs w:val="18"/>
              </w:rPr>
              <w:t> </w:t>
            </w:r>
          </w:p>
        </w:tc>
        <w:tc>
          <w:tcPr>
            <w:tcW w:w="658" w:type="pct"/>
            <w:tcBorders>
              <w:top w:val="nil"/>
              <w:left w:val="nil"/>
              <w:bottom w:val="nil"/>
              <w:right w:val="nil"/>
            </w:tcBorders>
            <w:noWrap/>
            <w:vAlign w:val="bottom"/>
          </w:tcPr>
          <w:p w14:paraId="6C9814EA" w14:textId="1736DB71" w:rsidR="000A44B5" w:rsidRPr="00471CBA" w:rsidRDefault="000A44B5" w:rsidP="000A44B5">
            <w:pPr>
              <w:ind w:left="-83" w:firstLine="83"/>
              <w:jc w:val="right"/>
              <w:rPr>
                <w:sz w:val="18"/>
                <w:szCs w:val="18"/>
              </w:rPr>
            </w:pPr>
            <w:r w:rsidRPr="00471CBA">
              <w:rPr>
                <w:color w:val="000000"/>
                <w:sz w:val="18"/>
                <w:szCs w:val="18"/>
              </w:rPr>
              <w:t>1,4</w:t>
            </w:r>
          </w:p>
        </w:tc>
        <w:tc>
          <w:tcPr>
            <w:tcW w:w="512" w:type="pct"/>
            <w:tcBorders>
              <w:top w:val="nil"/>
              <w:left w:val="nil"/>
              <w:bottom w:val="nil"/>
              <w:right w:val="nil"/>
            </w:tcBorders>
            <w:noWrap/>
            <w:vAlign w:val="bottom"/>
          </w:tcPr>
          <w:p w14:paraId="2167342B" w14:textId="7A305405" w:rsidR="000A44B5" w:rsidRPr="00471CBA" w:rsidRDefault="000A44B5" w:rsidP="000A44B5">
            <w:pPr>
              <w:ind w:left="-83" w:firstLine="83"/>
              <w:jc w:val="right"/>
              <w:rPr>
                <w:sz w:val="18"/>
                <w:szCs w:val="18"/>
              </w:rPr>
            </w:pPr>
            <w:r w:rsidRPr="00471CBA">
              <w:rPr>
                <w:color w:val="000000"/>
                <w:sz w:val="18"/>
                <w:szCs w:val="18"/>
              </w:rPr>
              <w:t>84.462</w:t>
            </w:r>
          </w:p>
        </w:tc>
        <w:tc>
          <w:tcPr>
            <w:tcW w:w="440" w:type="pct"/>
            <w:tcBorders>
              <w:top w:val="nil"/>
              <w:left w:val="nil"/>
              <w:bottom w:val="nil"/>
              <w:right w:val="nil"/>
            </w:tcBorders>
            <w:noWrap/>
            <w:vAlign w:val="bottom"/>
          </w:tcPr>
          <w:p w14:paraId="0F49237A" w14:textId="4503743C" w:rsidR="000A44B5" w:rsidRPr="00471CBA" w:rsidRDefault="000A44B5" w:rsidP="000A44B5">
            <w:pPr>
              <w:ind w:left="-83" w:firstLine="83"/>
              <w:jc w:val="right"/>
              <w:rPr>
                <w:sz w:val="18"/>
                <w:szCs w:val="18"/>
              </w:rPr>
            </w:pPr>
            <w:r w:rsidRPr="00471CBA">
              <w:rPr>
                <w:color w:val="000000"/>
                <w:sz w:val="18"/>
                <w:szCs w:val="18"/>
              </w:rPr>
              <w:t>64.898</w:t>
            </w:r>
          </w:p>
        </w:tc>
      </w:tr>
      <w:tr w:rsidR="000A44B5" w:rsidRPr="00471CBA" w14:paraId="21AD2341" w14:textId="77777777" w:rsidTr="00B0049C">
        <w:trPr>
          <w:trHeight w:val="20"/>
        </w:trPr>
        <w:tc>
          <w:tcPr>
            <w:tcW w:w="123" w:type="pct"/>
            <w:tcBorders>
              <w:top w:val="nil"/>
              <w:left w:val="nil"/>
              <w:bottom w:val="nil"/>
              <w:right w:val="nil"/>
            </w:tcBorders>
            <w:hideMark/>
          </w:tcPr>
          <w:p w14:paraId="295CC005" w14:textId="77777777" w:rsidR="000A44B5" w:rsidRPr="00471CBA" w:rsidRDefault="000A44B5" w:rsidP="000A44B5">
            <w:pPr>
              <w:ind w:left="-83" w:firstLine="83"/>
              <w:rPr>
                <w:sz w:val="18"/>
                <w:szCs w:val="18"/>
              </w:rPr>
            </w:pPr>
            <w:r w:rsidRPr="00471CBA">
              <w:rPr>
                <w:sz w:val="18"/>
                <w:szCs w:val="18"/>
              </w:rPr>
              <w:t>2</w:t>
            </w:r>
          </w:p>
        </w:tc>
        <w:tc>
          <w:tcPr>
            <w:tcW w:w="1831" w:type="pct"/>
            <w:tcBorders>
              <w:top w:val="nil"/>
              <w:left w:val="nil"/>
              <w:bottom w:val="nil"/>
              <w:right w:val="nil"/>
            </w:tcBorders>
            <w:hideMark/>
          </w:tcPr>
          <w:p w14:paraId="663F3876" w14:textId="77777777" w:rsidR="000A44B5" w:rsidRPr="00471CBA" w:rsidRDefault="000A44B5" w:rsidP="000A44B5">
            <w:pPr>
              <w:rPr>
                <w:sz w:val="18"/>
                <w:szCs w:val="18"/>
              </w:rPr>
            </w:pPr>
            <w:r w:rsidRPr="00471CBA">
              <w:rPr>
                <w:sz w:val="18"/>
                <w:szCs w:val="18"/>
              </w:rPr>
              <w:t>İçsel Model Yöntemi (türev finansal araçlar, repo işlemleri, menkul kıymetler veya emtia ödünç verme veya ödünç alma işlemleri, takas süresi uzun işlemler ile kredili menkul kıymet işlemleri için)</w:t>
            </w:r>
          </w:p>
        </w:tc>
        <w:tc>
          <w:tcPr>
            <w:tcW w:w="447" w:type="pct"/>
            <w:tcBorders>
              <w:top w:val="nil"/>
              <w:left w:val="nil"/>
              <w:bottom w:val="nil"/>
              <w:right w:val="nil"/>
            </w:tcBorders>
            <w:shd w:val="clear" w:color="auto" w:fill="000000" w:themeFill="text1"/>
            <w:noWrap/>
            <w:vAlign w:val="bottom"/>
          </w:tcPr>
          <w:p w14:paraId="2265ECFF" w14:textId="308EF305" w:rsidR="000A44B5" w:rsidRPr="00471CBA" w:rsidRDefault="000A44B5" w:rsidP="000A44B5">
            <w:pPr>
              <w:ind w:left="-83" w:firstLine="83"/>
              <w:jc w:val="right"/>
              <w:rPr>
                <w:sz w:val="18"/>
                <w:szCs w:val="18"/>
              </w:rPr>
            </w:pPr>
            <w:r w:rsidRPr="00471CBA">
              <w:rPr>
                <w:color w:val="000000"/>
                <w:sz w:val="18"/>
                <w:szCs w:val="18"/>
              </w:rPr>
              <w:t> </w:t>
            </w:r>
          </w:p>
        </w:tc>
        <w:tc>
          <w:tcPr>
            <w:tcW w:w="483" w:type="pct"/>
            <w:tcBorders>
              <w:top w:val="nil"/>
              <w:left w:val="nil"/>
              <w:bottom w:val="nil"/>
              <w:right w:val="nil"/>
            </w:tcBorders>
            <w:shd w:val="clear" w:color="auto" w:fill="000000" w:themeFill="text1"/>
            <w:noWrap/>
            <w:vAlign w:val="bottom"/>
          </w:tcPr>
          <w:p w14:paraId="3B41BC38" w14:textId="770DDCC2" w:rsidR="000A44B5" w:rsidRPr="00471CBA" w:rsidRDefault="000A44B5" w:rsidP="000A44B5">
            <w:pPr>
              <w:ind w:left="-83" w:firstLine="83"/>
              <w:jc w:val="right"/>
              <w:rPr>
                <w:sz w:val="18"/>
                <w:szCs w:val="18"/>
              </w:rPr>
            </w:pPr>
            <w:r w:rsidRPr="00471CBA">
              <w:rPr>
                <w:color w:val="000000"/>
                <w:sz w:val="18"/>
                <w:szCs w:val="18"/>
              </w:rPr>
              <w:t> </w:t>
            </w:r>
          </w:p>
        </w:tc>
        <w:tc>
          <w:tcPr>
            <w:tcW w:w="506" w:type="pct"/>
            <w:tcBorders>
              <w:top w:val="nil"/>
              <w:left w:val="nil"/>
              <w:bottom w:val="nil"/>
              <w:right w:val="nil"/>
            </w:tcBorders>
            <w:noWrap/>
            <w:vAlign w:val="bottom"/>
          </w:tcPr>
          <w:p w14:paraId="63DE720E" w14:textId="69DAE56D" w:rsidR="000A44B5" w:rsidRPr="00471CBA" w:rsidRDefault="000A44B5" w:rsidP="000A44B5">
            <w:pPr>
              <w:ind w:left="-83" w:firstLine="83"/>
              <w:jc w:val="right"/>
              <w:rPr>
                <w:sz w:val="18"/>
                <w:szCs w:val="18"/>
              </w:rPr>
            </w:pPr>
            <w:r w:rsidRPr="00471CBA">
              <w:rPr>
                <w:color w:val="000000"/>
                <w:sz w:val="18"/>
                <w:szCs w:val="18"/>
              </w:rPr>
              <w:t> </w:t>
            </w:r>
          </w:p>
        </w:tc>
        <w:tc>
          <w:tcPr>
            <w:tcW w:w="658" w:type="pct"/>
            <w:tcBorders>
              <w:top w:val="nil"/>
              <w:left w:val="nil"/>
              <w:bottom w:val="nil"/>
              <w:right w:val="nil"/>
            </w:tcBorders>
            <w:noWrap/>
            <w:vAlign w:val="bottom"/>
          </w:tcPr>
          <w:p w14:paraId="67CA6863" w14:textId="0DA0769E" w:rsidR="000A44B5" w:rsidRPr="00471CBA" w:rsidRDefault="000A44B5" w:rsidP="000A44B5">
            <w:pPr>
              <w:ind w:left="-83" w:firstLine="83"/>
              <w:jc w:val="right"/>
              <w:rPr>
                <w:sz w:val="18"/>
                <w:szCs w:val="18"/>
              </w:rPr>
            </w:pPr>
            <w:r w:rsidRPr="00471CBA">
              <w:rPr>
                <w:color w:val="000000"/>
                <w:sz w:val="18"/>
                <w:szCs w:val="18"/>
              </w:rPr>
              <w:t> </w:t>
            </w:r>
          </w:p>
        </w:tc>
        <w:tc>
          <w:tcPr>
            <w:tcW w:w="512" w:type="pct"/>
            <w:tcBorders>
              <w:top w:val="nil"/>
              <w:left w:val="nil"/>
              <w:bottom w:val="nil"/>
              <w:right w:val="nil"/>
            </w:tcBorders>
            <w:noWrap/>
            <w:vAlign w:val="bottom"/>
          </w:tcPr>
          <w:p w14:paraId="5B138DFB" w14:textId="14ED6473" w:rsidR="000A44B5" w:rsidRPr="00471CBA" w:rsidRDefault="000A44B5" w:rsidP="000A44B5">
            <w:pPr>
              <w:ind w:left="-83" w:firstLine="83"/>
              <w:jc w:val="right"/>
              <w:rPr>
                <w:sz w:val="18"/>
                <w:szCs w:val="18"/>
              </w:rPr>
            </w:pPr>
            <w:r w:rsidRPr="00471CBA">
              <w:rPr>
                <w:color w:val="000000"/>
                <w:sz w:val="18"/>
                <w:szCs w:val="18"/>
              </w:rPr>
              <w:t>-</w:t>
            </w:r>
          </w:p>
        </w:tc>
        <w:tc>
          <w:tcPr>
            <w:tcW w:w="440" w:type="pct"/>
            <w:tcBorders>
              <w:top w:val="nil"/>
              <w:left w:val="nil"/>
              <w:bottom w:val="nil"/>
              <w:right w:val="nil"/>
            </w:tcBorders>
            <w:noWrap/>
            <w:vAlign w:val="bottom"/>
          </w:tcPr>
          <w:p w14:paraId="183AC53B" w14:textId="37091F5C" w:rsidR="000A44B5" w:rsidRPr="00471CBA" w:rsidRDefault="000A44B5" w:rsidP="000A44B5">
            <w:pPr>
              <w:ind w:left="-83" w:firstLine="83"/>
              <w:jc w:val="right"/>
              <w:rPr>
                <w:sz w:val="18"/>
                <w:szCs w:val="18"/>
              </w:rPr>
            </w:pPr>
            <w:r w:rsidRPr="00471CBA">
              <w:rPr>
                <w:color w:val="000000"/>
                <w:sz w:val="18"/>
                <w:szCs w:val="18"/>
              </w:rPr>
              <w:t>-</w:t>
            </w:r>
          </w:p>
        </w:tc>
      </w:tr>
      <w:tr w:rsidR="000A44B5" w:rsidRPr="00471CBA" w14:paraId="2BBF6B8E" w14:textId="77777777" w:rsidTr="00B0049C">
        <w:trPr>
          <w:trHeight w:val="20"/>
        </w:trPr>
        <w:tc>
          <w:tcPr>
            <w:tcW w:w="123" w:type="pct"/>
            <w:tcBorders>
              <w:top w:val="nil"/>
              <w:left w:val="nil"/>
              <w:bottom w:val="nil"/>
              <w:right w:val="nil"/>
            </w:tcBorders>
            <w:hideMark/>
          </w:tcPr>
          <w:p w14:paraId="0A2E3EA5" w14:textId="77777777" w:rsidR="000A44B5" w:rsidRPr="00471CBA" w:rsidRDefault="000A44B5" w:rsidP="000A44B5">
            <w:pPr>
              <w:ind w:left="-83" w:firstLine="83"/>
              <w:rPr>
                <w:sz w:val="18"/>
                <w:szCs w:val="18"/>
              </w:rPr>
            </w:pPr>
            <w:r w:rsidRPr="00471CBA">
              <w:rPr>
                <w:sz w:val="18"/>
                <w:szCs w:val="18"/>
              </w:rPr>
              <w:t>3</w:t>
            </w:r>
          </w:p>
        </w:tc>
        <w:tc>
          <w:tcPr>
            <w:tcW w:w="1831" w:type="pct"/>
            <w:tcBorders>
              <w:top w:val="nil"/>
              <w:left w:val="nil"/>
              <w:bottom w:val="nil"/>
              <w:right w:val="nil"/>
            </w:tcBorders>
            <w:hideMark/>
          </w:tcPr>
          <w:p w14:paraId="2B26051A" w14:textId="77777777" w:rsidR="000A44B5" w:rsidRPr="00471CBA" w:rsidRDefault="000A44B5" w:rsidP="000A44B5">
            <w:pPr>
              <w:rPr>
                <w:sz w:val="18"/>
                <w:szCs w:val="18"/>
              </w:rPr>
            </w:pPr>
            <w:r w:rsidRPr="00471CBA">
              <w:rPr>
                <w:sz w:val="18"/>
                <w:szCs w:val="18"/>
              </w:rPr>
              <w:t>Kredi riski azaltımı için kullanılan basit yöntem - (repo işlemleri, menkul kıymetler veya emtia ödünç verme veya ödünç alma işlemleri, takas süresi uzun işlemler ile kredili menkul kıymet işlemleri için)</w:t>
            </w:r>
          </w:p>
        </w:tc>
        <w:tc>
          <w:tcPr>
            <w:tcW w:w="447" w:type="pct"/>
            <w:tcBorders>
              <w:top w:val="nil"/>
              <w:left w:val="nil"/>
              <w:bottom w:val="nil"/>
              <w:right w:val="nil"/>
            </w:tcBorders>
            <w:shd w:val="clear" w:color="auto" w:fill="000000" w:themeFill="text1"/>
            <w:noWrap/>
            <w:vAlign w:val="bottom"/>
          </w:tcPr>
          <w:p w14:paraId="6C9E8305" w14:textId="7404D912" w:rsidR="000A44B5" w:rsidRPr="00471CBA" w:rsidRDefault="000A44B5" w:rsidP="000A44B5">
            <w:pPr>
              <w:ind w:left="-83" w:firstLine="83"/>
              <w:jc w:val="right"/>
              <w:rPr>
                <w:sz w:val="18"/>
                <w:szCs w:val="18"/>
              </w:rPr>
            </w:pPr>
            <w:r w:rsidRPr="00471CBA">
              <w:rPr>
                <w:color w:val="000000"/>
                <w:sz w:val="18"/>
                <w:szCs w:val="18"/>
              </w:rPr>
              <w:t> </w:t>
            </w:r>
          </w:p>
        </w:tc>
        <w:tc>
          <w:tcPr>
            <w:tcW w:w="483" w:type="pct"/>
            <w:tcBorders>
              <w:top w:val="nil"/>
              <w:left w:val="nil"/>
              <w:bottom w:val="nil"/>
              <w:right w:val="nil"/>
            </w:tcBorders>
            <w:shd w:val="clear" w:color="auto" w:fill="000000" w:themeFill="text1"/>
            <w:noWrap/>
            <w:vAlign w:val="bottom"/>
          </w:tcPr>
          <w:p w14:paraId="18154916" w14:textId="790880C5" w:rsidR="000A44B5" w:rsidRPr="00471CBA" w:rsidRDefault="000A44B5" w:rsidP="000A44B5">
            <w:pPr>
              <w:ind w:left="-83" w:firstLine="83"/>
              <w:jc w:val="right"/>
              <w:rPr>
                <w:sz w:val="18"/>
                <w:szCs w:val="18"/>
              </w:rPr>
            </w:pPr>
            <w:r w:rsidRPr="00471CBA">
              <w:rPr>
                <w:color w:val="000000"/>
                <w:sz w:val="18"/>
                <w:szCs w:val="18"/>
              </w:rPr>
              <w:t> </w:t>
            </w:r>
          </w:p>
        </w:tc>
        <w:tc>
          <w:tcPr>
            <w:tcW w:w="506" w:type="pct"/>
            <w:tcBorders>
              <w:top w:val="nil"/>
              <w:left w:val="nil"/>
              <w:bottom w:val="nil"/>
              <w:right w:val="nil"/>
            </w:tcBorders>
            <w:shd w:val="clear" w:color="auto" w:fill="000000" w:themeFill="text1"/>
            <w:noWrap/>
            <w:vAlign w:val="bottom"/>
          </w:tcPr>
          <w:p w14:paraId="03A1849F" w14:textId="564101DF" w:rsidR="000A44B5" w:rsidRPr="00471CBA" w:rsidRDefault="000A44B5" w:rsidP="000A44B5">
            <w:pPr>
              <w:ind w:left="-83" w:firstLine="83"/>
              <w:jc w:val="right"/>
              <w:rPr>
                <w:sz w:val="18"/>
                <w:szCs w:val="18"/>
              </w:rPr>
            </w:pPr>
            <w:r w:rsidRPr="00471CBA">
              <w:rPr>
                <w:color w:val="000000"/>
                <w:sz w:val="18"/>
                <w:szCs w:val="18"/>
              </w:rPr>
              <w:t> </w:t>
            </w:r>
          </w:p>
        </w:tc>
        <w:tc>
          <w:tcPr>
            <w:tcW w:w="658" w:type="pct"/>
            <w:tcBorders>
              <w:top w:val="nil"/>
              <w:left w:val="nil"/>
              <w:bottom w:val="nil"/>
              <w:right w:val="nil"/>
            </w:tcBorders>
            <w:shd w:val="clear" w:color="auto" w:fill="000000" w:themeFill="text1"/>
            <w:noWrap/>
            <w:vAlign w:val="bottom"/>
          </w:tcPr>
          <w:p w14:paraId="66698101" w14:textId="16F1AF0A" w:rsidR="000A44B5" w:rsidRPr="00471CBA" w:rsidRDefault="000A44B5" w:rsidP="000A44B5">
            <w:pPr>
              <w:ind w:left="-83" w:firstLine="83"/>
              <w:jc w:val="right"/>
              <w:rPr>
                <w:sz w:val="18"/>
                <w:szCs w:val="18"/>
              </w:rPr>
            </w:pPr>
            <w:r w:rsidRPr="00471CBA">
              <w:rPr>
                <w:color w:val="000000"/>
                <w:sz w:val="18"/>
                <w:szCs w:val="18"/>
              </w:rPr>
              <w:t> </w:t>
            </w:r>
          </w:p>
        </w:tc>
        <w:tc>
          <w:tcPr>
            <w:tcW w:w="512" w:type="pct"/>
            <w:tcBorders>
              <w:top w:val="nil"/>
              <w:left w:val="nil"/>
              <w:bottom w:val="nil"/>
              <w:right w:val="nil"/>
            </w:tcBorders>
            <w:noWrap/>
            <w:vAlign w:val="bottom"/>
          </w:tcPr>
          <w:p w14:paraId="7886FADF" w14:textId="12195FCC" w:rsidR="000A44B5" w:rsidRPr="00471CBA" w:rsidRDefault="000A44B5" w:rsidP="000A44B5">
            <w:pPr>
              <w:ind w:left="-83" w:firstLine="83"/>
              <w:jc w:val="right"/>
              <w:rPr>
                <w:sz w:val="18"/>
                <w:szCs w:val="18"/>
              </w:rPr>
            </w:pPr>
            <w:r w:rsidRPr="00471CBA">
              <w:rPr>
                <w:color w:val="000000"/>
                <w:sz w:val="18"/>
                <w:szCs w:val="18"/>
              </w:rPr>
              <w:t>475.539</w:t>
            </w:r>
          </w:p>
        </w:tc>
        <w:tc>
          <w:tcPr>
            <w:tcW w:w="440" w:type="pct"/>
            <w:tcBorders>
              <w:top w:val="nil"/>
              <w:left w:val="nil"/>
              <w:bottom w:val="nil"/>
              <w:right w:val="nil"/>
            </w:tcBorders>
            <w:noWrap/>
            <w:vAlign w:val="bottom"/>
          </w:tcPr>
          <w:p w14:paraId="6D533259" w14:textId="3A8C389E" w:rsidR="000A44B5" w:rsidRPr="00471CBA" w:rsidRDefault="000A44B5" w:rsidP="000A44B5">
            <w:pPr>
              <w:ind w:left="-83" w:firstLine="83"/>
              <w:jc w:val="right"/>
              <w:rPr>
                <w:sz w:val="18"/>
                <w:szCs w:val="18"/>
              </w:rPr>
            </w:pPr>
            <w:r w:rsidRPr="00471CBA">
              <w:rPr>
                <w:color w:val="000000"/>
                <w:sz w:val="18"/>
                <w:szCs w:val="18"/>
              </w:rPr>
              <w:t>-</w:t>
            </w:r>
          </w:p>
        </w:tc>
      </w:tr>
      <w:tr w:rsidR="000A44B5" w:rsidRPr="00471CBA" w14:paraId="69168408" w14:textId="77777777" w:rsidTr="00B0049C">
        <w:trPr>
          <w:trHeight w:val="20"/>
        </w:trPr>
        <w:tc>
          <w:tcPr>
            <w:tcW w:w="123" w:type="pct"/>
            <w:tcBorders>
              <w:top w:val="nil"/>
              <w:left w:val="nil"/>
              <w:bottom w:val="nil"/>
              <w:right w:val="nil"/>
            </w:tcBorders>
            <w:hideMark/>
          </w:tcPr>
          <w:p w14:paraId="698DFDBA" w14:textId="77777777" w:rsidR="000A44B5" w:rsidRPr="00471CBA" w:rsidRDefault="000A44B5" w:rsidP="000A44B5">
            <w:pPr>
              <w:ind w:left="-83" w:firstLine="83"/>
              <w:rPr>
                <w:sz w:val="18"/>
                <w:szCs w:val="18"/>
              </w:rPr>
            </w:pPr>
            <w:r w:rsidRPr="00471CBA">
              <w:rPr>
                <w:sz w:val="18"/>
                <w:szCs w:val="18"/>
              </w:rPr>
              <w:t>4</w:t>
            </w:r>
          </w:p>
        </w:tc>
        <w:tc>
          <w:tcPr>
            <w:tcW w:w="1831" w:type="pct"/>
            <w:tcBorders>
              <w:top w:val="nil"/>
              <w:left w:val="nil"/>
              <w:bottom w:val="nil"/>
              <w:right w:val="nil"/>
            </w:tcBorders>
            <w:hideMark/>
          </w:tcPr>
          <w:p w14:paraId="074BABEE" w14:textId="77777777" w:rsidR="000A44B5" w:rsidRPr="00471CBA" w:rsidRDefault="000A44B5" w:rsidP="000A44B5">
            <w:pPr>
              <w:rPr>
                <w:sz w:val="18"/>
                <w:szCs w:val="18"/>
              </w:rPr>
            </w:pPr>
            <w:r w:rsidRPr="00471CBA">
              <w:rPr>
                <w:sz w:val="18"/>
                <w:szCs w:val="18"/>
              </w:rPr>
              <w:t>Kredi riski azaltımı için kapsamlı yöntem – (repo işlemleri, menkul kıymetler veya emtia ödünç verme veya ödünç alma işlemleri, takas süresi uzun işlemler ile kredili menkul kıymet işlemleri için)</w:t>
            </w:r>
          </w:p>
        </w:tc>
        <w:tc>
          <w:tcPr>
            <w:tcW w:w="447" w:type="pct"/>
            <w:tcBorders>
              <w:top w:val="nil"/>
              <w:left w:val="nil"/>
              <w:bottom w:val="nil"/>
              <w:right w:val="nil"/>
            </w:tcBorders>
            <w:shd w:val="clear" w:color="auto" w:fill="000000" w:themeFill="text1"/>
            <w:noWrap/>
            <w:vAlign w:val="bottom"/>
          </w:tcPr>
          <w:p w14:paraId="7D0F7763" w14:textId="3064E36F" w:rsidR="000A44B5" w:rsidRPr="00471CBA" w:rsidRDefault="000A44B5" w:rsidP="000A44B5">
            <w:pPr>
              <w:ind w:left="-83" w:firstLine="83"/>
              <w:jc w:val="right"/>
              <w:rPr>
                <w:sz w:val="18"/>
                <w:szCs w:val="18"/>
              </w:rPr>
            </w:pPr>
            <w:r w:rsidRPr="00471CBA">
              <w:rPr>
                <w:color w:val="000000"/>
                <w:sz w:val="18"/>
                <w:szCs w:val="18"/>
              </w:rPr>
              <w:t> </w:t>
            </w:r>
          </w:p>
        </w:tc>
        <w:tc>
          <w:tcPr>
            <w:tcW w:w="483" w:type="pct"/>
            <w:tcBorders>
              <w:top w:val="nil"/>
              <w:left w:val="nil"/>
              <w:bottom w:val="nil"/>
              <w:right w:val="nil"/>
            </w:tcBorders>
            <w:shd w:val="clear" w:color="auto" w:fill="000000" w:themeFill="text1"/>
            <w:noWrap/>
            <w:vAlign w:val="bottom"/>
          </w:tcPr>
          <w:p w14:paraId="55641E6E" w14:textId="2975F197" w:rsidR="000A44B5" w:rsidRPr="00471CBA" w:rsidRDefault="000A44B5" w:rsidP="000A44B5">
            <w:pPr>
              <w:ind w:left="-83" w:firstLine="83"/>
              <w:jc w:val="right"/>
              <w:rPr>
                <w:sz w:val="18"/>
                <w:szCs w:val="18"/>
              </w:rPr>
            </w:pPr>
            <w:r w:rsidRPr="00471CBA">
              <w:rPr>
                <w:color w:val="000000"/>
                <w:sz w:val="18"/>
                <w:szCs w:val="18"/>
              </w:rPr>
              <w:t> </w:t>
            </w:r>
          </w:p>
        </w:tc>
        <w:tc>
          <w:tcPr>
            <w:tcW w:w="506" w:type="pct"/>
            <w:tcBorders>
              <w:top w:val="nil"/>
              <w:left w:val="nil"/>
              <w:bottom w:val="nil"/>
              <w:right w:val="nil"/>
            </w:tcBorders>
            <w:shd w:val="clear" w:color="auto" w:fill="000000" w:themeFill="text1"/>
            <w:noWrap/>
            <w:vAlign w:val="bottom"/>
          </w:tcPr>
          <w:p w14:paraId="7CF03966" w14:textId="2CC206A6" w:rsidR="000A44B5" w:rsidRPr="00471CBA" w:rsidRDefault="000A44B5" w:rsidP="000A44B5">
            <w:pPr>
              <w:ind w:left="-83" w:firstLine="83"/>
              <w:jc w:val="right"/>
              <w:rPr>
                <w:sz w:val="18"/>
                <w:szCs w:val="18"/>
              </w:rPr>
            </w:pPr>
            <w:r w:rsidRPr="00471CBA">
              <w:rPr>
                <w:color w:val="000000"/>
                <w:sz w:val="18"/>
                <w:szCs w:val="18"/>
              </w:rPr>
              <w:t> </w:t>
            </w:r>
          </w:p>
        </w:tc>
        <w:tc>
          <w:tcPr>
            <w:tcW w:w="658" w:type="pct"/>
            <w:tcBorders>
              <w:top w:val="nil"/>
              <w:left w:val="nil"/>
              <w:bottom w:val="nil"/>
              <w:right w:val="nil"/>
            </w:tcBorders>
            <w:shd w:val="clear" w:color="auto" w:fill="000000" w:themeFill="text1"/>
            <w:noWrap/>
            <w:vAlign w:val="bottom"/>
          </w:tcPr>
          <w:p w14:paraId="26D6FD49" w14:textId="2A85CB26" w:rsidR="000A44B5" w:rsidRPr="00471CBA" w:rsidRDefault="000A44B5" w:rsidP="000A44B5">
            <w:pPr>
              <w:ind w:left="-83" w:firstLine="83"/>
              <w:jc w:val="right"/>
              <w:rPr>
                <w:sz w:val="18"/>
                <w:szCs w:val="18"/>
              </w:rPr>
            </w:pPr>
            <w:r w:rsidRPr="00471CBA">
              <w:rPr>
                <w:color w:val="000000"/>
                <w:sz w:val="18"/>
                <w:szCs w:val="18"/>
              </w:rPr>
              <w:t> </w:t>
            </w:r>
          </w:p>
        </w:tc>
        <w:tc>
          <w:tcPr>
            <w:tcW w:w="512" w:type="pct"/>
            <w:tcBorders>
              <w:top w:val="nil"/>
              <w:left w:val="nil"/>
              <w:bottom w:val="nil"/>
              <w:right w:val="nil"/>
            </w:tcBorders>
            <w:noWrap/>
            <w:vAlign w:val="bottom"/>
          </w:tcPr>
          <w:p w14:paraId="20BF9D7B" w14:textId="4D840F3D" w:rsidR="000A44B5" w:rsidRPr="00471CBA" w:rsidRDefault="000A44B5" w:rsidP="000A44B5">
            <w:pPr>
              <w:ind w:left="-83" w:firstLine="83"/>
              <w:jc w:val="right"/>
              <w:rPr>
                <w:sz w:val="18"/>
                <w:szCs w:val="18"/>
              </w:rPr>
            </w:pPr>
            <w:r w:rsidRPr="00471CBA">
              <w:rPr>
                <w:color w:val="000000"/>
                <w:sz w:val="18"/>
                <w:szCs w:val="18"/>
              </w:rPr>
              <w:t>-</w:t>
            </w:r>
          </w:p>
        </w:tc>
        <w:tc>
          <w:tcPr>
            <w:tcW w:w="440" w:type="pct"/>
            <w:tcBorders>
              <w:top w:val="nil"/>
              <w:left w:val="nil"/>
              <w:bottom w:val="nil"/>
              <w:right w:val="nil"/>
            </w:tcBorders>
            <w:noWrap/>
            <w:vAlign w:val="bottom"/>
          </w:tcPr>
          <w:p w14:paraId="720947DB" w14:textId="4208241B" w:rsidR="000A44B5" w:rsidRPr="00471CBA" w:rsidRDefault="000A44B5" w:rsidP="000A44B5">
            <w:pPr>
              <w:ind w:left="-83" w:firstLine="83"/>
              <w:jc w:val="right"/>
              <w:rPr>
                <w:sz w:val="18"/>
                <w:szCs w:val="18"/>
              </w:rPr>
            </w:pPr>
            <w:r w:rsidRPr="00471CBA">
              <w:rPr>
                <w:color w:val="000000"/>
                <w:sz w:val="18"/>
                <w:szCs w:val="18"/>
              </w:rPr>
              <w:t>-</w:t>
            </w:r>
          </w:p>
        </w:tc>
      </w:tr>
      <w:tr w:rsidR="000A44B5" w:rsidRPr="00471CBA" w14:paraId="03E4F8CF" w14:textId="77777777" w:rsidTr="00B0049C">
        <w:trPr>
          <w:trHeight w:val="20"/>
        </w:trPr>
        <w:tc>
          <w:tcPr>
            <w:tcW w:w="123" w:type="pct"/>
            <w:tcBorders>
              <w:top w:val="nil"/>
              <w:left w:val="nil"/>
              <w:bottom w:val="single" w:sz="4" w:space="0" w:color="auto"/>
              <w:right w:val="nil"/>
            </w:tcBorders>
            <w:hideMark/>
          </w:tcPr>
          <w:p w14:paraId="1FD42144" w14:textId="77777777" w:rsidR="000A44B5" w:rsidRPr="00471CBA" w:rsidRDefault="000A44B5" w:rsidP="000A44B5">
            <w:pPr>
              <w:ind w:left="-83" w:firstLine="83"/>
              <w:rPr>
                <w:sz w:val="18"/>
                <w:szCs w:val="18"/>
              </w:rPr>
            </w:pPr>
            <w:r w:rsidRPr="00471CBA">
              <w:rPr>
                <w:sz w:val="18"/>
                <w:szCs w:val="18"/>
              </w:rPr>
              <w:t>5</w:t>
            </w:r>
          </w:p>
        </w:tc>
        <w:tc>
          <w:tcPr>
            <w:tcW w:w="1831" w:type="pct"/>
            <w:tcBorders>
              <w:top w:val="nil"/>
              <w:left w:val="nil"/>
              <w:bottom w:val="single" w:sz="4" w:space="0" w:color="auto"/>
              <w:right w:val="nil"/>
            </w:tcBorders>
            <w:hideMark/>
          </w:tcPr>
          <w:p w14:paraId="280CF8EF" w14:textId="77777777" w:rsidR="000A44B5" w:rsidRPr="00471CBA" w:rsidRDefault="000A44B5" w:rsidP="000A44B5">
            <w:pPr>
              <w:rPr>
                <w:sz w:val="18"/>
                <w:szCs w:val="18"/>
              </w:rPr>
            </w:pPr>
            <w:r w:rsidRPr="00471CBA">
              <w:rPr>
                <w:sz w:val="18"/>
                <w:szCs w:val="18"/>
              </w:rPr>
              <w:t>Repo işlemleri, menkul kıymetler veya emtia ödünç verme veya ödünç alma işlemleri, takas süresi uzun işlemler ile kredili menkul kıymet işlemleri için riske maruz değer</w:t>
            </w:r>
          </w:p>
        </w:tc>
        <w:tc>
          <w:tcPr>
            <w:tcW w:w="447" w:type="pct"/>
            <w:tcBorders>
              <w:top w:val="nil"/>
              <w:left w:val="nil"/>
              <w:bottom w:val="single" w:sz="4" w:space="0" w:color="auto"/>
              <w:right w:val="nil"/>
            </w:tcBorders>
            <w:shd w:val="clear" w:color="auto" w:fill="000000" w:themeFill="text1"/>
            <w:noWrap/>
            <w:vAlign w:val="bottom"/>
          </w:tcPr>
          <w:p w14:paraId="14B6AA64" w14:textId="4D5DE677" w:rsidR="000A44B5" w:rsidRPr="00471CBA" w:rsidRDefault="000A44B5" w:rsidP="000A44B5">
            <w:pPr>
              <w:ind w:left="-83" w:firstLine="83"/>
              <w:jc w:val="right"/>
              <w:rPr>
                <w:sz w:val="18"/>
                <w:szCs w:val="18"/>
              </w:rPr>
            </w:pPr>
            <w:r w:rsidRPr="00471CBA">
              <w:rPr>
                <w:color w:val="000000"/>
                <w:sz w:val="18"/>
                <w:szCs w:val="18"/>
              </w:rPr>
              <w:t> </w:t>
            </w:r>
          </w:p>
        </w:tc>
        <w:tc>
          <w:tcPr>
            <w:tcW w:w="483" w:type="pct"/>
            <w:tcBorders>
              <w:top w:val="nil"/>
              <w:left w:val="nil"/>
              <w:bottom w:val="single" w:sz="4" w:space="0" w:color="auto"/>
              <w:right w:val="nil"/>
            </w:tcBorders>
            <w:shd w:val="clear" w:color="auto" w:fill="000000" w:themeFill="text1"/>
            <w:noWrap/>
            <w:vAlign w:val="bottom"/>
          </w:tcPr>
          <w:p w14:paraId="3EB36F55" w14:textId="265F4816" w:rsidR="000A44B5" w:rsidRPr="00471CBA" w:rsidRDefault="000A44B5" w:rsidP="000A44B5">
            <w:pPr>
              <w:ind w:left="-83" w:firstLine="83"/>
              <w:jc w:val="right"/>
              <w:rPr>
                <w:sz w:val="18"/>
                <w:szCs w:val="18"/>
              </w:rPr>
            </w:pPr>
            <w:r w:rsidRPr="00471CBA">
              <w:rPr>
                <w:color w:val="000000"/>
                <w:sz w:val="18"/>
                <w:szCs w:val="18"/>
              </w:rPr>
              <w:t> </w:t>
            </w:r>
          </w:p>
        </w:tc>
        <w:tc>
          <w:tcPr>
            <w:tcW w:w="506" w:type="pct"/>
            <w:tcBorders>
              <w:top w:val="nil"/>
              <w:left w:val="nil"/>
              <w:bottom w:val="single" w:sz="4" w:space="0" w:color="auto"/>
              <w:right w:val="nil"/>
            </w:tcBorders>
            <w:shd w:val="clear" w:color="auto" w:fill="000000" w:themeFill="text1"/>
            <w:noWrap/>
            <w:vAlign w:val="bottom"/>
          </w:tcPr>
          <w:p w14:paraId="04C2E1C8" w14:textId="305D3A34" w:rsidR="000A44B5" w:rsidRPr="00471CBA" w:rsidRDefault="000A44B5" w:rsidP="000A44B5">
            <w:pPr>
              <w:ind w:left="-83" w:firstLine="83"/>
              <w:jc w:val="right"/>
              <w:rPr>
                <w:sz w:val="18"/>
                <w:szCs w:val="18"/>
              </w:rPr>
            </w:pPr>
            <w:r w:rsidRPr="00471CBA">
              <w:rPr>
                <w:color w:val="000000"/>
                <w:sz w:val="18"/>
                <w:szCs w:val="18"/>
              </w:rPr>
              <w:t> </w:t>
            </w:r>
          </w:p>
        </w:tc>
        <w:tc>
          <w:tcPr>
            <w:tcW w:w="658" w:type="pct"/>
            <w:tcBorders>
              <w:top w:val="nil"/>
              <w:left w:val="nil"/>
              <w:bottom w:val="single" w:sz="4" w:space="0" w:color="auto"/>
              <w:right w:val="nil"/>
            </w:tcBorders>
            <w:shd w:val="clear" w:color="auto" w:fill="000000" w:themeFill="text1"/>
            <w:noWrap/>
            <w:vAlign w:val="bottom"/>
          </w:tcPr>
          <w:p w14:paraId="435C5739" w14:textId="038E97F0" w:rsidR="000A44B5" w:rsidRPr="00471CBA" w:rsidRDefault="000A44B5" w:rsidP="000A44B5">
            <w:pPr>
              <w:ind w:left="-83" w:firstLine="83"/>
              <w:jc w:val="right"/>
              <w:rPr>
                <w:sz w:val="18"/>
                <w:szCs w:val="18"/>
              </w:rPr>
            </w:pPr>
            <w:r w:rsidRPr="00471CBA">
              <w:rPr>
                <w:color w:val="000000"/>
                <w:sz w:val="18"/>
                <w:szCs w:val="18"/>
              </w:rPr>
              <w:t> </w:t>
            </w:r>
          </w:p>
        </w:tc>
        <w:tc>
          <w:tcPr>
            <w:tcW w:w="512" w:type="pct"/>
            <w:tcBorders>
              <w:top w:val="nil"/>
              <w:left w:val="nil"/>
              <w:bottom w:val="single" w:sz="4" w:space="0" w:color="auto"/>
              <w:right w:val="nil"/>
            </w:tcBorders>
            <w:noWrap/>
            <w:vAlign w:val="bottom"/>
          </w:tcPr>
          <w:p w14:paraId="488B0DEF" w14:textId="6F4313A2" w:rsidR="000A44B5" w:rsidRPr="00471CBA" w:rsidRDefault="000A44B5" w:rsidP="000A44B5">
            <w:pPr>
              <w:ind w:left="-83" w:firstLine="83"/>
              <w:jc w:val="right"/>
              <w:rPr>
                <w:sz w:val="18"/>
                <w:szCs w:val="18"/>
              </w:rPr>
            </w:pPr>
            <w:r w:rsidRPr="00471CBA">
              <w:rPr>
                <w:color w:val="000000"/>
                <w:sz w:val="18"/>
                <w:szCs w:val="18"/>
              </w:rPr>
              <w:t>-</w:t>
            </w:r>
          </w:p>
        </w:tc>
        <w:tc>
          <w:tcPr>
            <w:tcW w:w="440" w:type="pct"/>
            <w:tcBorders>
              <w:top w:val="nil"/>
              <w:left w:val="nil"/>
              <w:bottom w:val="single" w:sz="4" w:space="0" w:color="auto"/>
              <w:right w:val="nil"/>
            </w:tcBorders>
            <w:noWrap/>
            <w:vAlign w:val="bottom"/>
          </w:tcPr>
          <w:p w14:paraId="19A256B4" w14:textId="0C02F5C9" w:rsidR="000A44B5" w:rsidRPr="00471CBA" w:rsidRDefault="000A44B5" w:rsidP="000A44B5">
            <w:pPr>
              <w:ind w:left="-83" w:firstLine="83"/>
              <w:jc w:val="right"/>
              <w:rPr>
                <w:sz w:val="18"/>
                <w:szCs w:val="18"/>
              </w:rPr>
            </w:pPr>
            <w:r w:rsidRPr="00471CBA">
              <w:rPr>
                <w:color w:val="000000"/>
                <w:sz w:val="18"/>
                <w:szCs w:val="18"/>
              </w:rPr>
              <w:t>-</w:t>
            </w:r>
          </w:p>
        </w:tc>
      </w:tr>
      <w:tr w:rsidR="000A44B5" w:rsidRPr="00471CBA" w14:paraId="0CB79FC8" w14:textId="77777777" w:rsidTr="00B0049C">
        <w:trPr>
          <w:trHeight w:val="20"/>
        </w:trPr>
        <w:tc>
          <w:tcPr>
            <w:tcW w:w="123" w:type="pct"/>
            <w:tcBorders>
              <w:top w:val="single" w:sz="4" w:space="0" w:color="auto"/>
              <w:left w:val="nil"/>
              <w:bottom w:val="single" w:sz="4" w:space="0" w:color="auto"/>
              <w:right w:val="nil"/>
            </w:tcBorders>
            <w:hideMark/>
          </w:tcPr>
          <w:p w14:paraId="0229C045" w14:textId="77777777" w:rsidR="000A44B5" w:rsidRPr="00471CBA" w:rsidRDefault="000A44B5" w:rsidP="000A44B5">
            <w:pPr>
              <w:ind w:left="-83" w:firstLine="83"/>
              <w:rPr>
                <w:b/>
                <w:sz w:val="18"/>
                <w:szCs w:val="18"/>
              </w:rPr>
            </w:pPr>
            <w:r w:rsidRPr="00471CBA">
              <w:rPr>
                <w:b/>
                <w:sz w:val="18"/>
                <w:szCs w:val="18"/>
              </w:rPr>
              <w:t>6</w:t>
            </w:r>
          </w:p>
        </w:tc>
        <w:tc>
          <w:tcPr>
            <w:tcW w:w="1831" w:type="pct"/>
            <w:tcBorders>
              <w:top w:val="single" w:sz="4" w:space="0" w:color="auto"/>
              <w:left w:val="nil"/>
              <w:bottom w:val="single" w:sz="4" w:space="0" w:color="auto"/>
              <w:right w:val="nil"/>
            </w:tcBorders>
            <w:hideMark/>
          </w:tcPr>
          <w:p w14:paraId="16C1CAD8" w14:textId="77777777" w:rsidR="000A44B5" w:rsidRPr="00471CBA" w:rsidRDefault="000A44B5" w:rsidP="000A44B5">
            <w:pPr>
              <w:rPr>
                <w:b/>
                <w:sz w:val="18"/>
                <w:szCs w:val="18"/>
              </w:rPr>
            </w:pPr>
            <w:r w:rsidRPr="00471CBA">
              <w:rPr>
                <w:b/>
                <w:sz w:val="18"/>
                <w:szCs w:val="18"/>
              </w:rPr>
              <w:t>Toplam</w:t>
            </w:r>
          </w:p>
        </w:tc>
        <w:tc>
          <w:tcPr>
            <w:tcW w:w="447" w:type="pct"/>
            <w:tcBorders>
              <w:top w:val="single" w:sz="4" w:space="0" w:color="auto"/>
              <w:left w:val="nil"/>
              <w:bottom w:val="single" w:sz="4" w:space="0" w:color="auto"/>
              <w:right w:val="nil"/>
            </w:tcBorders>
            <w:shd w:val="clear" w:color="auto" w:fill="000000" w:themeFill="text1"/>
            <w:noWrap/>
            <w:vAlign w:val="bottom"/>
          </w:tcPr>
          <w:p w14:paraId="238F87A8" w14:textId="689BE986" w:rsidR="000A44B5" w:rsidRPr="00471CBA" w:rsidRDefault="000A44B5" w:rsidP="000A44B5">
            <w:pPr>
              <w:ind w:left="-83" w:firstLine="83"/>
              <w:jc w:val="right"/>
              <w:rPr>
                <w:b/>
                <w:bCs/>
                <w:sz w:val="18"/>
                <w:szCs w:val="18"/>
              </w:rPr>
            </w:pPr>
            <w:r w:rsidRPr="00471CBA">
              <w:rPr>
                <w:b/>
                <w:bCs/>
                <w:color w:val="000000"/>
                <w:sz w:val="18"/>
                <w:szCs w:val="18"/>
              </w:rPr>
              <w:t> </w:t>
            </w:r>
          </w:p>
        </w:tc>
        <w:tc>
          <w:tcPr>
            <w:tcW w:w="483" w:type="pct"/>
            <w:tcBorders>
              <w:top w:val="single" w:sz="4" w:space="0" w:color="auto"/>
              <w:left w:val="nil"/>
              <w:bottom w:val="single" w:sz="4" w:space="0" w:color="auto"/>
              <w:right w:val="nil"/>
            </w:tcBorders>
            <w:shd w:val="clear" w:color="auto" w:fill="000000" w:themeFill="text1"/>
            <w:noWrap/>
            <w:vAlign w:val="bottom"/>
          </w:tcPr>
          <w:p w14:paraId="5453F193" w14:textId="405A9AC9" w:rsidR="000A44B5" w:rsidRPr="00471CBA" w:rsidRDefault="000A44B5" w:rsidP="000A44B5">
            <w:pPr>
              <w:ind w:left="-83" w:firstLine="83"/>
              <w:jc w:val="right"/>
              <w:rPr>
                <w:b/>
                <w:bCs/>
                <w:sz w:val="18"/>
                <w:szCs w:val="18"/>
              </w:rPr>
            </w:pPr>
            <w:r w:rsidRPr="00471CBA">
              <w:rPr>
                <w:b/>
                <w:bCs/>
                <w:color w:val="000000"/>
                <w:sz w:val="18"/>
                <w:szCs w:val="18"/>
              </w:rPr>
              <w:t> </w:t>
            </w:r>
          </w:p>
        </w:tc>
        <w:tc>
          <w:tcPr>
            <w:tcW w:w="506" w:type="pct"/>
            <w:tcBorders>
              <w:top w:val="single" w:sz="4" w:space="0" w:color="auto"/>
              <w:left w:val="nil"/>
              <w:bottom w:val="single" w:sz="4" w:space="0" w:color="auto"/>
              <w:right w:val="nil"/>
            </w:tcBorders>
            <w:shd w:val="clear" w:color="auto" w:fill="000000" w:themeFill="text1"/>
            <w:noWrap/>
            <w:vAlign w:val="bottom"/>
          </w:tcPr>
          <w:p w14:paraId="3367816D" w14:textId="6EF0FA71" w:rsidR="000A44B5" w:rsidRPr="00471CBA" w:rsidRDefault="000A44B5" w:rsidP="000A44B5">
            <w:pPr>
              <w:ind w:left="-83" w:firstLine="83"/>
              <w:jc w:val="right"/>
              <w:rPr>
                <w:b/>
                <w:bCs/>
                <w:sz w:val="18"/>
                <w:szCs w:val="18"/>
              </w:rPr>
            </w:pPr>
            <w:r w:rsidRPr="00471CBA">
              <w:rPr>
                <w:b/>
                <w:bCs/>
                <w:color w:val="000000"/>
                <w:sz w:val="18"/>
                <w:szCs w:val="18"/>
              </w:rPr>
              <w:t> </w:t>
            </w:r>
          </w:p>
        </w:tc>
        <w:tc>
          <w:tcPr>
            <w:tcW w:w="658" w:type="pct"/>
            <w:tcBorders>
              <w:top w:val="single" w:sz="4" w:space="0" w:color="auto"/>
              <w:left w:val="nil"/>
              <w:bottom w:val="single" w:sz="4" w:space="0" w:color="auto"/>
              <w:right w:val="nil"/>
            </w:tcBorders>
            <w:shd w:val="clear" w:color="auto" w:fill="000000" w:themeFill="text1"/>
            <w:noWrap/>
            <w:vAlign w:val="bottom"/>
          </w:tcPr>
          <w:p w14:paraId="24DCF117" w14:textId="2DC4B0B2" w:rsidR="000A44B5" w:rsidRPr="00471CBA" w:rsidRDefault="000A44B5" w:rsidP="000A44B5">
            <w:pPr>
              <w:ind w:left="-83" w:firstLine="83"/>
              <w:jc w:val="right"/>
              <w:rPr>
                <w:b/>
                <w:bCs/>
                <w:sz w:val="18"/>
                <w:szCs w:val="18"/>
              </w:rPr>
            </w:pPr>
            <w:r w:rsidRPr="00471CBA">
              <w:rPr>
                <w:b/>
                <w:bCs/>
                <w:color w:val="000000"/>
                <w:sz w:val="18"/>
                <w:szCs w:val="18"/>
              </w:rPr>
              <w:t> </w:t>
            </w:r>
          </w:p>
        </w:tc>
        <w:tc>
          <w:tcPr>
            <w:tcW w:w="512" w:type="pct"/>
            <w:tcBorders>
              <w:top w:val="single" w:sz="4" w:space="0" w:color="auto"/>
              <w:left w:val="nil"/>
              <w:bottom w:val="single" w:sz="4" w:space="0" w:color="auto"/>
              <w:right w:val="nil"/>
            </w:tcBorders>
            <w:shd w:val="clear" w:color="auto" w:fill="000000" w:themeFill="text1"/>
            <w:noWrap/>
            <w:vAlign w:val="bottom"/>
          </w:tcPr>
          <w:p w14:paraId="4B19C590" w14:textId="6DBB6903" w:rsidR="000A44B5" w:rsidRPr="00471CBA" w:rsidRDefault="000A44B5" w:rsidP="000A44B5">
            <w:pPr>
              <w:ind w:left="-83" w:firstLine="83"/>
              <w:jc w:val="right"/>
              <w:rPr>
                <w:b/>
                <w:bCs/>
                <w:sz w:val="18"/>
                <w:szCs w:val="18"/>
              </w:rPr>
            </w:pPr>
            <w:r w:rsidRPr="00471CBA">
              <w:rPr>
                <w:b/>
                <w:bCs/>
                <w:color w:val="000000"/>
                <w:sz w:val="18"/>
                <w:szCs w:val="18"/>
              </w:rPr>
              <w:t> </w:t>
            </w:r>
          </w:p>
        </w:tc>
        <w:tc>
          <w:tcPr>
            <w:tcW w:w="440" w:type="pct"/>
            <w:tcBorders>
              <w:top w:val="single" w:sz="4" w:space="0" w:color="auto"/>
              <w:left w:val="nil"/>
              <w:bottom w:val="single" w:sz="4" w:space="0" w:color="auto"/>
              <w:right w:val="nil"/>
            </w:tcBorders>
            <w:noWrap/>
            <w:vAlign w:val="bottom"/>
          </w:tcPr>
          <w:p w14:paraId="36BD06B8" w14:textId="4A3E60FD" w:rsidR="000A44B5" w:rsidRPr="00471CBA" w:rsidRDefault="000A44B5" w:rsidP="000A44B5">
            <w:pPr>
              <w:ind w:left="-83" w:firstLine="83"/>
              <w:jc w:val="right"/>
              <w:rPr>
                <w:b/>
                <w:bCs/>
                <w:sz w:val="18"/>
                <w:szCs w:val="18"/>
              </w:rPr>
            </w:pPr>
            <w:r w:rsidRPr="00471CBA">
              <w:rPr>
                <w:b/>
                <w:bCs/>
                <w:color w:val="000000"/>
                <w:sz w:val="18"/>
                <w:szCs w:val="18"/>
              </w:rPr>
              <w:t>64.898</w:t>
            </w:r>
          </w:p>
        </w:tc>
      </w:tr>
    </w:tbl>
    <w:p w14:paraId="7B797473" w14:textId="77777777" w:rsidR="00EE0925" w:rsidRPr="00471CBA" w:rsidRDefault="00EE0925" w:rsidP="00EE0925">
      <w:pPr>
        <w:spacing w:before="120" w:after="120"/>
        <w:ind w:left="567" w:hanging="568"/>
        <w:rPr>
          <w:b/>
          <w:szCs w:val="20"/>
        </w:rPr>
      </w:pPr>
      <w:r w:rsidRPr="00471CBA">
        <w:rPr>
          <w:sz w:val="18"/>
          <w:szCs w:val="18"/>
          <w:vertAlign w:val="superscript"/>
        </w:rPr>
        <w:t>(*) Efektif beklenen pozitif risk tutarı</w:t>
      </w:r>
    </w:p>
    <w:p w14:paraId="7D7553D6" w14:textId="77777777" w:rsidR="00EE0925" w:rsidRPr="00471CBA" w:rsidRDefault="00EE0925" w:rsidP="00EE0925">
      <w:pPr>
        <w:pStyle w:val="GvdeMetniGirintisi"/>
        <w:widowControl w:val="0"/>
        <w:ind w:firstLine="0"/>
        <w:rPr>
          <w:b/>
          <w:szCs w:val="20"/>
        </w:rPr>
      </w:pPr>
      <w:r w:rsidRPr="00471CBA">
        <w:rPr>
          <w:b/>
          <w:szCs w:val="20"/>
        </w:rPr>
        <w:t>MALİ BÜNYEYE VE RİSK YÖNETİMİNE İLİŞKİN BİLGİLER (Devamı)</w:t>
      </w:r>
    </w:p>
    <w:p w14:paraId="191E46E2" w14:textId="77777777" w:rsidR="00EE0925" w:rsidRPr="00471CBA" w:rsidRDefault="00EE0925" w:rsidP="00EE0925">
      <w:pPr>
        <w:spacing w:before="120" w:after="120"/>
        <w:ind w:left="851" w:hanging="851"/>
        <w:rPr>
          <w:b/>
          <w:szCs w:val="20"/>
        </w:rPr>
      </w:pPr>
      <w:r w:rsidRPr="00471CBA">
        <w:rPr>
          <w:b/>
          <w:szCs w:val="20"/>
        </w:rPr>
        <w:t>d.2.</w:t>
      </w:r>
      <w:r w:rsidRPr="00471CBA">
        <w:rPr>
          <w:b/>
          <w:szCs w:val="20"/>
        </w:rPr>
        <w:tab/>
        <w:t>Kredi Değerleme Ayarlamaları (KDA) İçin Sermaye Yükümlülüğü:</w:t>
      </w:r>
    </w:p>
    <w:tbl>
      <w:tblPr>
        <w:tblW w:w="5079" w:type="pct"/>
        <w:tblLayout w:type="fixed"/>
        <w:tblCellMar>
          <w:left w:w="70" w:type="dxa"/>
          <w:right w:w="70" w:type="dxa"/>
        </w:tblCellMar>
        <w:tblLook w:val="04A0" w:firstRow="1" w:lastRow="0" w:firstColumn="1" w:lastColumn="0" w:noHBand="0" w:noVBand="1"/>
      </w:tblPr>
      <w:tblGrid>
        <w:gridCol w:w="402"/>
        <w:gridCol w:w="3652"/>
        <w:gridCol w:w="2042"/>
        <w:gridCol w:w="850"/>
        <w:gridCol w:w="1960"/>
        <w:gridCol w:w="885"/>
      </w:tblGrid>
      <w:tr w:rsidR="00EE0925" w:rsidRPr="00471CBA" w14:paraId="1791D903" w14:textId="77777777" w:rsidTr="00B0049C">
        <w:trPr>
          <w:trHeight w:val="20"/>
        </w:trPr>
        <w:tc>
          <w:tcPr>
            <w:tcW w:w="205" w:type="pct"/>
            <w:tcBorders>
              <w:top w:val="single" w:sz="4" w:space="0" w:color="auto"/>
              <w:bottom w:val="single" w:sz="4" w:space="0" w:color="auto"/>
            </w:tcBorders>
            <w:noWrap/>
            <w:vAlign w:val="bottom"/>
          </w:tcPr>
          <w:p w14:paraId="3992159B" w14:textId="77777777" w:rsidR="00EE0925" w:rsidRPr="00471CBA" w:rsidRDefault="00EE0925" w:rsidP="00B0049C">
            <w:pPr>
              <w:rPr>
                <w:b/>
                <w:color w:val="000000"/>
                <w:sz w:val="18"/>
                <w:szCs w:val="18"/>
              </w:rPr>
            </w:pPr>
          </w:p>
        </w:tc>
        <w:tc>
          <w:tcPr>
            <w:tcW w:w="1865" w:type="pct"/>
            <w:tcBorders>
              <w:top w:val="single" w:sz="4" w:space="0" w:color="auto"/>
              <w:bottom w:val="single" w:sz="4" w:space="0" w:color="auto"/>
            </w:tcBorders>
            <w:noWrap/>
            <w:vAlign w:val="bottom"/>
          </w:tcPr>
          <w:p w14:paraId="3453BC6B" w14:textId="77777777" w:rsidR="00EE0925" w:rsidRPr="00471CBA" w:rsidRDefault="00EE0925" w:rsidP="00B0049C">
            <w:pPr>
              <w:rPr>
                <w:b/>
                <w:sz w:val="18"/>
                <w:szCs w:val="18"/>
              </w:rPr>
            </w:pPr>
          </w:p>
        </w:tc>
        <w:tc>
          <w:tcPr>
            <w:tcW w:w="1477" w:type="pct"/>
            <w:gridSpan w:val="2"/>
            <w:tcBorders>
              <w:top w:val="single" w:sz="4" w:space="0" w:color="auto"/>
              <w:bottom w:val="single" w:sz="4" w:space="0" w:color="auto"/>
            </w:tcBorders>
            <w:vAlign w:val="bottom"/>
          </w:tcPr>
          <w:p w14:paraId="0B7017EF" w14:textId="2411A26A" w:rsidR="00EE0925" w:rsidRPr="00471CBA" w:rsidRDefault="00EE0925" w:rsidP="00B0049C">
            <w:pPr>
              <w:jc w:val="center"/>
              <w:rPr>
                <w:b/>
                <w:sz w:val="18"/>
                <w:szCs w:val="18"/>
              </w:rPr>
            </w:pPr>
            <w:r w:rsidRPr="00471CBA">
              <w:rPr>
                <w:b/>
                <w:sz w:val="18"/>
                <w:szCs w:val="18"/>
              </w:rPr>
              <w:t>3</w:t>
            </w:r>
            <w:r w:rsidR="0052668F" w:rsidRPr="00471CBA">
              <w:rPr>
                <w:b/>
                <w:sz w:val="18"/>
                <w:szCs w:val="18"/>
              </w:rPr>
              <w:t>1 Aralık</w:t>
            </w:r>
            <w:r w:rsidRPr="00471CBA">
              <w:rPr>
                <w:b/>
                <w:sz w:val="18"/>
                <w:szCs w:val="18"/>
              </w:rPr>
              <w:t xml:space="preserve"> 2025</w:t>
            </w:r>
          </w:p>
        </w:tc>
        <w:tc>
          <w:tcPr>
            <w:tcW w:w="1453" w:type="pct"/>
            <w:gridSpan w:val="2"/>
            <w:tcBorders>
              <w:top w:val="single" w:sz="4" w:space="0" w:color="auto"/>
              <w:bottom w:val="single" w:sz="4" w:space="0" w:color="auto"/>
            </w:tcBorders>
          </w:tcPr>
          <w:p w14:paraId="6652F51A" w14:textId="77777777" w:rsidR="00EE0925" w:rsidRPr="00471CBA" w:rsidRDefault="00EE0925" w:rsidP="00B0049C">
            <w:pPr>
              <w:jc w:val="center"/>
              <w:rPr>
                <w:b/>
                <w:sz w:val="18"/>
                <w:szCs w:val="18"/>
              </w:rPr>
            </w:pPr>
            <w:r w:rsidRPr="00471CBA">
              <w:rPr>
                <w:b/>
                <w:sz w:val="18"/>
                <w:szCs w:val="18"/>
              </w:rPr>
              <w:t>31 Aralık 2024</w:t>
            </w:r>
          </w:p>
        </w:tc>
      </w:tr>
      <w:tr w:rsidR="00EE0925" w:rsidRPr="00471CBA" w14:paraId="6189036C" w14:textId="77777777" w:rsidTr="00B0049C">
        <w:trPr>
          <w:trHeight w:val="20"/>
        </w:trPr>
        <w:tc>
          <w:tcPr>
            <w:tcW w:w="205" w:type="pct"/>
            <w:tcBorders>
              <w:top w:val="single" w:sz="4" w:space="0" w:color="auto"/>
              <w:bottom w:val="single" w:sz="4" w:space="0" w:color="auto"/>
            </w:tcBorders>
            <w:noWrap/>
            <w:vAlign w:val="bottom"/>
            <w:hideMark/>
          </w:tcPr>
          <w:p w14:paraId="513F1783" w14:textId="77777777" w:rsidR="00EE0925" w:rsidRPr="00471CBA" w:rsidRDefault="00EE0925" w:rsidP="00B0049C">
            <w:pPr>
              <w:rPr>
                <w:b/>
                <w:color w:val="000000"/>
                <w:sz w:val="18"/>
                <w:szCs w:val="18"/>
              </w:rPr>
            </w:pPr>
            <w:r w:rsidRPr="00471CBA">
              <w:rPr>
                <w:b/>
                <w:color w:val="000000"/>
                <w:sz w:val="18"/>
                <w:szCs w:val="18"/>
              </w:rPr>
              <w:t> </w:t>
            </w:r>
          </w:p>
        </w:tc>
        <w:tc>
          <w:tcPr>
            <w:tcW w:w="1865" w:type="pct"/>
            <w:tcBorders>
              <w:top w:val="single" w:sz="4" w:space="0" w:color="auto"/>
              <w:bottom w:val="single" w:sz="4" w:space="0" w:color="auto"/>
            </w:tcBorders>
            <w:noWrap/>
            <w:vAlign w:val="bottom"/>
            <w:hideMark/>
          </w:tcPr>
          <w:p w14:paraId="7C75EB1B" w14:textId="77777777" w:rsidR="00EE0925" w:rsidRPr="00471CBA" w:rsidRDefault="00EE0925" w:rsidP="00B0049C">
            <w:pPr>
              <w:rPr>
                <w:b/>
                <w:sz w:val="18"/>
                <w:szCs w:val="18"/>
              </w:rPr>
            </w:pPr>
          </w:p>
        </w:tc>
        <w:tc>
          <w:tcPr>
            <w:tcW w:w="1043" w:type="pct"/>
            <w:tcBorders>
              <w:top w:val="single" w:sz="4" w:space="0" w:color="auto"/>
              <w:bottom w:val="single" w:sz="4" w:space="0" w:color="auto"/>
            </w:tcBorders>
            <w:vAlign w:val="bottom"/>
            <w:hideMark/>
          </w:tcPr>
          <w:p w14:paraId="52C967F0" w14:textId="77777777" w:rsidR="00EE0925" w:rsidRPr="00471CBA" w:rsidRDefault="00EE0925" w:rsidP="00B0049C">
            <w:pPr>
              <w:jc w:val="right"/>
              <w:rPr>
                <w:b/>
                <w:sz w:val="18"/>
                <w:szCs w:val="18"/>
              </w:rPr>
            </w:pPr>
            <w:r w:rsidRPr="00471CBA">
              <w:rPr>
                <w:b/>
                <w:sz w:val="18"/>
                <w:szCs w:val="18"/>
              </w:rPr>
              <w:t>Risk tutarı (Kredi riski azaltımı teknikleri kullanımı sonrası)</w:t>
            </w:r>
          </w:p>
        </w:tc>
        <w:tc>
          <w:tcPr>
            <w:tcW w:w="434" w:type="pct"/>
            <w:tcBorders>
              <w:top w:val="single" w:sz="4" w:space="0" w:color="auto"/>
              <w:bottom w:val="single" w:sz="4" w:space="0" w:color="auto"/>
            </w:tcBorders>
            <w:noWrap/>
            <w:vAlign w:val="bottom"/>
            <w:hideMark/>
          </w:tcPr>
          <w:p w14:paraId="13A54938" w14:textId="77777777" w:rsidR="00EE0925" w:rsidRPr="00471CBA" w:rsidRDefault="00EE0925" w:rsidP="00B0049C">
            <w:pPr>
              <w:jc w:val="right"/>
              <w:rPr>
                <w:b/>
                <w:sz w:val="18"/>
                <w:szCs w:val="18"/>
              </w:rPr>
            </w:pPr>
            <w:r w:rsidRPr="00471CBA">
              <w:rPr>
                <w:b/>
                <w:sz w:val="18"/>
                <w:szCs w:val="18"/>
              </w:rPr>
              <w:t>Risk ağırlıklı tutarlar</w:t>
            </w:r>
          </w:p>
        </w:tc>
        <w:tc>
          <w:tcPr>
            <w:tcW w:w="1001" w:type="pct"/>
            <w:tcBorders>
              <w:top w:val="single" w:sz="4" w:space="0" w:color="auto"/>
              <w:bottom w:val="single" w:sz="4" w:space="0" w:color="auto"/>
            </w:tcBorders>
            <w:vAlign w:val="bottom"/>
          </w:tcPr>
          <w:p w14:paraId="46F69374" w14:textId="77777777" w:rsidR="00EE0925" w:rsidRPr="00471CBA" w:rsidRDefault="00EE0925" w:rsidP="00B0049C">
            <w:pPr>
              <w:jc w:val="right"/>
              <w:rPr>
                <w:b/>
                <w:sz w:val="18"/>
                <w:szCs w:val="18"/>
              </w:rPr>
            </w:pPr>
            <w:r w:rsidRPr="00471CBA">
              <w:rPr>
                <w:b/>
                <w:sz w:val="18"/>
                <w:szCs w:val="18"/>
              </w:rPr>
              <w:t>Risk tutarı (Kredi riski azaltımı teknikleri kullanımı sonrası)</w:t>
            </w:r>
          </w:p>
        </w:tc>
        <w:tc>
          <w:tcPr>
            <w:tcW w:w="452" w:type="pct"/>
            <w:tcBorders>
              <w:top w:val="single" w:sz="4" w:space="0" w:color="auto"/>
              <w:bottom w:val="single" w:sz="4" w:space="0" w:color="auto"/>
            </w:tcBorders>
            <w:vAlign w:val="bottom"/>
          </w:tcPr>
          <w:p w14:paraId="7C83A620" w14:textId="77777777" w:rsidR="00EE0925" w:rsidRPr="00471CBA" w:rsidRDefault="00EE0925" w:rsidP="00B0049C">
            <w:pPr>
              <w:jc w:val="right"/>
              <w:rPr>
                <w:b/>
                <w:sz w:val="18"/>
                <w:szCs w:val="18"/>
              </w:rPr>
            </w:pPr>
            <w:r w:rsidRPr="00471CBA">
              <w:rPr>
                <w:b/>
                <w:sz w:val="18"/>
                <w:szCs w:val="18"/>
              </w:rPr>
              <w:t>Risk ağırlıklı tutarlar</w:t>
            </w:r>
          </w:p>
        </w:tc>
      </w:tr>
      <w:tr w:rsidR="000A44B5" w:rsidRPr="00471CBA" w14:paraId="5BD8BFCA" w14:textId="77777777" w:rsidTr="00B0049C">
        <w:trPr>
          <w:trHeight w:val="20"/>
        </w:trPr>
        <w:tc>
          <w:tcPr>
            <w:tcW w:w="205" w:type="pct"/>
            <w:tcBorders>
              <w:top w:val="single" w:sz="4" w:space="0" w:color="auto"/>
              <w:bottom w:val="single" w:sz="4" w:space="0" w:color="auto"/>
            </w:tcBorders>
            <w:noWrap/>
            <w:vAlign w:val="bottom"/>
            <w:hideMark/>
          </w:tcPr>
          <w:p w14:paraId="6055325B" w14:textId="77777777" w:rsidR="000A44B5" w:rsidRPr="00471CBA" w:rsidRDefault="000A44B5" w:rsidP="000A44B5">
            <w:pPr>
              <w:rPr>
                <w:color w:val="000000"/>
                <w:sz w:val="18"/>
                <w:szCs w:val="18"/>
              </w:rPr>
            </w:pPr>
            <w:r w:rsidRPr="00471CBA">
              <w:rPr>
                <w:color w:val="000000"/>
                <w:sz w:val="18"/>
                <w:szCs w:val="18"/>
              </w:rPr>
              <w:t> </w:t>
            </w:r>
          </w:p>
        </w:tc>
        <w:tc>
          <w:tcPr>
            <w:tcW w:w="1865" w:type="pct"/>
            <w:tcBorders>
              <w:top w:val="single" w:sz="4" w:space="0" w:color="auto"/>
              <w:bottom w:val="single" w:sz="4" w:space="0" w:color="auto"/>
            </w:tcBorders>
            <w:noWrap/>
            <w:hideMark/>
          </w:tcPr>
          <w:p w14:paraId="3F79AB05" w14:textId="77777777" w:rsidR="000A44B5" w:rsidRPr="00471CBA" w:rsidRDefault="000A44B5" w:rsidP="000A44B5">
            <w:pPr>
              <w:rPr>
                <w:sz w:val="18"/>
                <w:szCs w:val="18"/>
              </w:rPr>
            </w:pPr>
            <w:r w:rsidRPr="00471CBA">
              <w:rPr>
                <w:sz w:val="18"/>
                <w:szCs w:val="18"/>
              </w:rPr>
              <w:t>Gelişmiş yönteme göre KDA sermaye yükümlülüğüne tabi portföylerin toplam tutarı</w:t>
            </w:r>
          </w:p>
        </w:tc>
        <w:tc>
          <w:tcPr>
            <w:tcW w:w="1043" w:type="pct"/>
            <w:tcBorders>
              <w:top w:val="single" w:sz="4" w:space="0" w:color="auto"/>
              <w:bottom w:val="single" w:sz="4" w:space="0" w:color="auto"/>
            </w:tcBorders>
            <w:noWrap/>
            <w:vAlign w:val="bottom"/>
          </w:tcPr>
          <w:p w14:paraId="39A2B01D" w14:textId="77777777" w:rsidR="000A44B5" w:rsidRPr="00471CBA" w:rsidRDefault="000A44B5" w:rsidP="000A44B5">
            <w:pPr>
              <w:jc w:val="right"/>
              <w:rPr>
                <w:sz w:val="18"/>
                <w:szCs w:val="18"/>
              </w:rPr>
            </w:pPr>
            <w:r w:rsidRPr="00471CBA">
              <w:rPr>
                <w:sz w:val="18"/>
                <w:szCs w:val="18"/>
              </w:rPr>
              <w:t>-</w:t>
            </w:r>
          </w:p>
        </w:tc>
        <w:tc>
          <w:tcPr>
            <w:tcW w:w="434" w:type="pct"/>
            <w:tcBorders>
              <w:top w:val="single" w:sz="4" w:space="0" w:color="auto"/>
              <w:bottom w:val="single" w:sz="4" w:space="0" w:color="auto"/>
            </w:tcBorders>
            <w:noWrap/>
            <w:vAlign w:val="bottom"/>
          </w:tcPr>
          <w:p w14:paraId="314B2573" w14:textId="77777777" w:rsidR="000A44B5" w:rsidRPr="00471CBA" w:rsidRDefault="000A44B5" w:rsidP="000A44B5">
            <w:pPr>
              <w:jc w:val="right"/>
              <w:rPr>
                <w:sz w:val="18"/>
                <w:szCs w:val="18"/>
              </w:rPr>
            </w:pPr>
            <w:r w:rsidRPr="00471CBA">
              <w:rPr>
                <w:sz w:val="18"/>
                <w:szCs w:val="18"/>
              </w:rPr>
              <w:t>-</w:t>
            </w:r>
          </w:p>
        </w:tc>
        <w:tc>
          <w:tcPr>
            <w:tcW w:w="1001" w:type="pct"/>
            <w:tcBorders>
              <w:top w:val="single" w:sz="4" w:space="0" w:color="auto"/>
              <w:bottom w:val="single" w:sz="4" w:space="0" w:color="auto"/>
            </w:tcBorders>
            <w:vAlign w:val="bottom"/>
          </w:tcPr>
          <w:p w14:paraId="2AE8693F" w14:textId="37FBA2B9" w:rsidR="000A44B5" w:rsidRPr="00471CBA" w:rsidRDefault="000A44B5" w:rsidP="000A44B5">
            <w:pPr>
              <w:jc w:val="right"/>
              <w:rPr>
                <w:sz w:val="18"/>
                <w:szCs w:val="18"/>
              </w:rPr>
            </w:pPr>
            <w:r w:rsidRPr="00471CBA">
              <w:rPr>
                <w:color w:val="000000"/>
                <w:sz w:val="18"/>
                <w:szCs w:val="18"/>
              </w:rPr>
              <w:t>-</w:t>
            </w:r>
          </w:p>
        </w:tc>
        <w:tc>
          <w:tcPr>
            <w:tcW w:w="452" w:type="pct"/>
            <w:tcBorders>
              <w:top w:val="single" w:sz="4" w:space="0" w:color="auto"/>
              <w:bottom w:val="single" w:sz="4" w:space="0" w:color="auto"/>
            </w:tcBorders>
            <w:vAlign w:val="bottom"/>
          </w:tcPr>
          <w:p w14:paraId="311A5FC4" w14:textId="165487D9" w:rsidR="000A44B5" w:rsidRPr="00471CBA" w:rsidRDefault="000A44B5" w:rsidP="000A44B5">
            <w:pPr>
              <w:jc w:val="right"/>
              <w:rPr>
                <w:sz w:val="18"/>
                <w:szCs w:val="18"/>
              </w:rPr>
            </w:pPr>
            <w:r w:rsidRPr="00471CBA">
              <w:rPr>
                <w:color w:val="000000"/>
                <w:sz w:val="18"/>
                <w:szCs w:val="18"/>
              </w:rPr>
              <w:t>-</w:t>
            </w:r>
          </w:p>
        </w:tc>
      </w:tr>
      <w:tr w:rsidR="000A44B5" w:rsidRPr="00471CBA" w14:paraId="74BFC1E5" w14:textId="77777777" w:rsidTr="00B0049C">
        <w:trPr>
          <w:trHeight w:val="85"/>
        </w:trPr>
        <w:tc>
          <w:tcPr>
            <w:tcW w:w="205" w:type="pct"/>
            <w:tcBorders>
              <w:top w:val="single" w:sz="4" w:space="0" w:color="auto"/>
              <w:bottom w:val="single" w:sz="4" w:space="0" w:color="auto"/>
            </w:tcBorders>
            <w:noWrap/>
            <w:hideMark/>
          </w:tcPr>
          <w:p w14:paraId="25427D34" w14:textId="77777777" w:rsidR="000A44B5" w:rsidRPr="00471CBA" w:rsidRDefault="000A44B5" w:rsidP="000A44B5">
            <w:pPr>
              <w:rPr>
                <w:bCs/>
                <w:color w:val="000000"/>
                <w:sz w:val="18"/>
                <w:szCs w:val="18"/>
              </w:rPr>
            </w:pPr>
            <w:r w:rsidRPr="00471CBA">
              <w:rPr>
                <w:bCs/>
                <w:color w:val="000000"/>
                <w:sz w:val="18"/>
                <w:szCs w:val="18"/>
              </w:rPr>
              <w:t>1</w:t>
            </w:r>
          </w:p>
        </w:tc>
        <w:tc>
          <w:tcPr>
            <w:tcW w:w="1865" w:type="pct"/>
            <w:tcBorders>
              <w:top w:val="single" w:sz="4" w:space="0" w:color="auto"/>
              <w:bottom w:val="single" w:sz="4" w:space="0" w:color="auto"/>
            </w:tcBorders>
            <w:noWrap/>
            <w:hideMark/>
          </w:tcPr>
          <w:p w14:paraId="02C9FF0C" w14:textId="77777777" w:rsidR="000A44B5" w:rsidRPr="00471CBA" w:rsidRDefault="000A44B5" w:rsidP="000A44B5">
            <w:pPr>
              <w:rPr>
                <w:sz w:val="18"/>
                <w:szCs w:val="18"/>
              </w:rPr>
            </w:pPr>
            <w:r w:rsidRPr="00471CBA">
              <w:rPr>
                <w:sz w:val="18"/>
                <w:szCs w:val="18"/>
              </w:rPr>
              <w:t xml:space="preserve">(i)Riske maruz değer bileşeni (3*çarpan dahil) </w:t>
            </w:r>
          </w:p>
        </w:tc>
        <w:tc>
          <w:tcPr>
            <w:tcW w:w="1043" w:type="pct"/>
            <w:tcBorders>
              <w:top w:val="single" w:sz="4" w:space="0" w:color="auto"/>
              <w:bottom w:val="single" w:sz="4" w:space="0" w:color="auto"/>
            </w:tcBorders>
            <w:shd w:val="clear" w:color="auto" w:fill="000000" w:themeFill="text1"/>
            <w:noWrap/>
            <w:vAlign w:val="bottom"/>
          </w:tcPr>
          <w:p w14:paraId="1A4A29F5" w14:textId="77777777" w:rsidR="000A44B5" w:rsidRPr="00471CBA" w:rsidRDefault="000A44B5" w:rsidP="000A44B5">
            <w:pPr>
              <w:jc w:val="right"/>
              <w:rPr>
                <w:sz w:val="18"/>
                <w:szCs w:val="18"/>
              </w:rPr>
            </w:pPr>
          </w:p>
        </w:tc>
        <w:tc>
          <w:tcPr>
            <w:tcW w:w="434" w:type="pct"/>
            <w:tcBorders>
              <w:top w:val="single" w:sz="4" w:space="0" w:color="auto"/>
              <w:bottom w:val="single" w:sz="4" w:space="0" w:color="auto"/>
            </w:tcBorders>
            <w:noWrap/>
            <w:vAlign w:val="bottom"/>
          </w:tcPr>
          <w:p w14:paraId="2A385122" w14:textId="77777777" w:rsidR="000A44B5" w:rsidRPr="00471CBA" w:rsidRDefault="000A44B5" w:rsidP="000A44B5">
            <w:pPr>
              <w:jc w:val="right"/>
              <w:rPr>
                <w:sz w:val="18"/>
                <w:szCs w:val="18"/>
              </w:rPr>
            </w:pPr>
            <w:r w:rsidRPr="00471CBA">
              <w:rPr>
                <w:sz w:val="18"/>
                <w:szCs w:val="18"/>
              </w:rPr>
              <w:t>-</w:t>
            </w:r>
          </w:p>
        </w:tc>
        <w:tc>
          <w:tcPr>
            <w:tcW w:w="1001" w:type="pct"/>
            <w:tcBorders>
              <w:top w:val="single" w:sz="4" w:space="0" w:color="auto"/>
              <w:bottom w:val="single" w:sz="4" w:space="0" w:color="auto"/>
            </w:tcBorders>
            <w:shd w:val="clear" w:color="auto" w:fill="000000" w:themeFill="text1"/>
            <w:vAlign w:val="bottom"/>
          </w:tcPr>
          <w:p w14:paraId="4D8D4783" w14:textId="43EC4182" w:rsidR="000A44B5" w:rsidRPr="00471CBA" w:rsidRDefault="000A44B5" w:rsidP="000A44B5">
            <w:pPr>
              <w:jc w:val="right"/>
              <w:rPr>
                <w:sz w:val="18"/>
                <w:szCs w:val="18"/>
              </w:rPr>
            </w:pPr>
            <w:r w:rsidRPr="00471CBA">
              <w:rPr>
                <w:color w:val="000000"/>
                <w:sz w:val="18"/>
                <w:szCs w:val="18"/>
              </w:rPr>
              <w:t> </w:t>
            </w:r>
          </w:p>
        </w:tc>
        <w:tc>
          <w:tcPr>
            <w:tcW w:w="452" w:type="pct"/>
            <w:tcBorders>
              <w:top w:val="single" w:sz="4" w:space="0" w:color="auto"/>
              <w:bottom w:val="single" w:sz="4" w:space="0" w:color="auto"/>
            </w:tcBorders>
            <w:vAlign w:val="bottom"/>
          </w:tcPr>
          <w:p w14:paraId="3FFD5557" w14:textId="045DCB87" w:rsidR="000A44B5" w:rsidRPr="00471CBA" w:rsidRDefault="000A44B5" w:rsidP="000A44B5">
            <w:pPr>
              <w:jc w:val="right"/>
              <w:rPr>
                <w:sz w:val="18"/>
                <w:szCs w:val="18"/>
              </w:rPr>
            </w:pPr>
            <w:r w:rsidRPr="00471CBA">
              <w:rPr>
                <w:color w:val="000000"/>
                <w:sz w:val="18"/>
                <w:szCs w:val="18"/>
              </w:rPr>
              <w:t>-</w:t>
            </w:r>
          </w:p>
        </w:tc>
      </w:tr>
      <w:tr w:rsidR="000A44B5" w:rsidRPr="00471CBA" w14:paraId="24D658BE" w14:textId="77777777" w:rsidTr="00B0049C">
        <w:trPr>
          <w:trHeight w:val="20"/>
        </w:trPr>
        <w:tc>
          <w:tcPr>
            <w:tcW w:w="205" w:type="pct"/>
            <w:tcBorders>
              <w:top w:val="single" w:sz="4" w:space="0" w:color="auto"/>
              <w:bottom w:val="single" w:sz="4" w:space="0" w:color="auto"/>
            </w:tcBorders>
            <w:noWrap/>
            <w:hideMark/>
          </w:tcPr>
          <w:p w14:paraId="7B7E5F7B" w14:textId="77777777" w:rsidR="000A44B5" w:rsidRPr="00471CBA" w:rsidRDefault="000A44B5" w:rsidP="000A44B5">
            <w:pPr>
              <w:rPr>
                <w:bCs/>
                <w:color w:val="000000"/>
                <w:sz w:val="18"/>
                <w:szCs w:val="18"/>
              </w:rPr>
            </w:pPr>
            <w:r w:rsidRPr="00471CBA">
              <w:rPr>
                <w:bCs/>
                <w:color w:val="000000"/>
                <w:sz w:val="18"/>
                <w:szCs w:val="18"/>
              </w:rPr>
              <w:t>2</w:t>
            </w:r>
          </w:p>
        </w:tc>
        <w:tc>
          <w:tcPr>
            <w:tcW w:w="1865" w:type="pct"/>
            <w:tcBorders>
              <w:top w:val="single" w:sz="4" w:space="0" w:color="auto"/>
              <w:bottom w:val="single" w:sz="4" w:space="0" w:color="auto"/>
            </w:tcBorders>
            <w:noWrap/>
            <w:hideMark/>
          </w:tcPr>
          <w:p w14:paraId="3A21E41A" w14:textId="77777777" w:rsidR="000A44B5" w:rsidRPr="00471CBA" w:rsidRDefault="000A44B5" w:rsidP="000A44B5">
            <w:pPr>
              <w:rPr>
                <w:sz w:val="18"/>
                <w:szCs w:val="18"/>
              </w:rPr>
            </w:pPr>
            <w:r w:rsidRPr="00471CBA">
              <w:rPr>
                <w:sz w:val="18"/>
                <w:szCs w:val="18"/>
              </w:rPr>
              <w:t xml:space="preserve">(ii)Stres riske maruz değer (3*çarpan dahil) </w:t>
            </w:r>
          </w:p>
        </w:tc>
        <w:tc>
          <w:tcPr>
            <w:tcW w:w="1043" w:type="pct"/>
            <w:tcBorders>
              <w:top w:val="single" w:sz="4" w:space="0" w:color="auto"/>
              <w:bottom w:val="single" w:sz="4" w:space="0" w:color="auto"/>
            </w:tcBorders>
            <w:shd w:val="clear" w:color="auto" w:fill="000000" w:themeFill="text1"/>
            <w:noWrap/>
            <w:vAlign w:val="bottom"/>
          </w:tcPr>
          <w:p w14:paraId="41387B02" w14:textId="77777777" w:rsidR="000A44B5" w:rsidRPr="00471CBA" w:rsidRDefault="000A44B5" w:rsidP="000A44B5">
            <w:pPr>
              <w:jc w:val="right"/>
              <w:rPr>
                <w:sz w:val="18"/>
                <w:szCs w:val="18"/>
              </w:rPr>
            </w:pPr>
          </w:p>
        </w:tc>
        <w:tc>
          <w:tcPr>
            <w:tcW w:w="434" w:type="pct"/>
            <w:tcBorders>
              <w:top w:val="single" w:sz="4" w:space="0" w:color="auto"/>
              <w:bottom w:val="single" w:sz="4" w:space="0" w:color="auto"/>
            </w:tcBorders>
            <w:noWrap/>
            <w:vAlign w:val="bottom"/>
          </w:tcPr>
          <w:p w14:paraId="2ED3D318" w14:textId="77777777" w:rsidR="000A44B5" w:rsidRPr="00471CBA" w:rsidRDefault="000A44B5" w:rsidP="000A44B5">
            <w:pPr>
              <w:jc w:val="right"/>
              <w:rPr>
                <w:sz w:val="18"/>
                <w:szCs w:val="18"/>
              </w:rPr>
            </w:pPr>
            <w:r w:rsidRPr="00471CBA">
              <w:rPr>
                <w:sz w:val="18"/>
                <w:szCs w:val="18"/>
              </w:rPr>
              <w:t>-</w:t>
            </w:r>
          </w:p>
        </w:tc>
        <w:tc>
          <w:tcPr>
            <w:tcW w:w="1001" w:type="pct"/>
            <w:tcBorders>
              <w:top w:val="single" w:sz="4" w:space="0" w:color="auto"/>
              <w:bottom w:val="single" w:sz="4" w:space="0" w:color="auto"/>
            </w:tcBorders>
            <w:shd w:val="clear" w:color="auto" w:fill="000000" w:themeFill="text1"/>
            <w:vAlign w:val="bottom"/>
          </w:tcPr>
          <w:p w14:paraId="0F56119E" w14:textId="1D55BF47" w:rsidR="000A44B5" w:rsidRPr="00471CBA" w:rsidRDefault="000A44B5" w:rsidP="000A44B5">
            <w:pPr>
              <w:jc w:val="right"/>
              <w:rPr>
                <w:sz w:val="18"/>
                <w:szCs w:val="18"/>
              </w:rPr>
            </w:pPr>
            <w:r w:rsidRPr="00471CBA">
              <w:rPr>
                <w:color w:val="000000"/>
                <w:sz w:val="18"/>
                <w:szCs w:val="18"/>
              </w:rPr>
              <w:t> </w:t>
            </w:r>
          </w:p>
        </w:tc>
        <w:tc>
          <w:tcPr>
            <w:tcW w:w="452" w:type="pct"/>
            <w:tcBorders>
              <w:top w:val="single" w:sz="4" w:space="0" w:color="auto"/>
              <w:bottom w:val="single" w:sz="4" w:space="0" w:color="auto"/>
            </w:tcBorders>
            <w:vAlign w:val="bottom"/>
          </w:tcPr>
          <w:p w14:paraId="73EEA254" w14:textId="45A00363" w:rsidR="000A44B5" w:rsidRPr="00471CBA" w:rsidRDefault="000A44B5" w:rsidP="000A44B5">
            <w:pPr>
              <w:jc w:val="right"/>
              <w:rPr>
                <w:sz w:val="18"/>
                <w:szCs w:val="18"/>
              </w:rPr>
            </w:pPr>
            <w:r w:rsidRPr="00471CBA">
              <w:rPr>
                <w:color w:val="000000"/>
                <w:sz w:val="18"/>
                <w:szCs w:val="18"/>
              </w:rPr>
              <w:t>-</w:t>
            </w:r>
          </w:p>
        </w:tc>
      </w:tr>
      <w:tr w:rsidR="000A44B5" w:rsidRPr="00471CBA" w14:paraId="795F875A" w14:textId="77777777" w:rsidTr="00B0049C">
        <w:trPr>
          <w:trHeight w:val="20"/>
        </w:trPr>
        <w:tc>
          <w:tcPr>
            <w:tcW w:w="205" w:type="pct"/>
            <w:tcBorders>
              <w:top w:val="single" w:sz="4" w:space="0" w:color="auto"/>
              <w:bottom w:val="single" w:sz="4" w:space="0" w:color="auto"/>
            </w:tcBorders>
            <w:noWrap/>
            <w:hideMark/>
          </w:tcPr>
          <w:p w14:paraId="4E173DF9" w14:textId="77777777" w:rsidR="000A44B5" w:rsidRPr="00471CBA" w:rsidRDefault="000A44B5" w:rsidP="000A44B5">
            <w:pPr>
              <w:rPr>
                <w:bCs/>
                <w:color w:val="000000"/>
                <w:sz w:val="18"/>
                <w:szCs w:val="18"/>
              </w:rPr>
            </w:pPr>
            <w:r w:rsidRPr="00471CBA">
              <w:rPr>
                <w:bCs/>
                <w:color w:val="000000"/>
                <w:sz w:val="18"/>
                <w:szCs w:val="18"/>
              </w:rPr>
              <w:t>3</w:t>
            </w:r>
          </w:p>
        </w:tc>
        <w:tc>
          <w:tcPr>
            <w:tcW w:w="1865" w:type="pct"/>
            <w:tcBorders>
              <w:top w:val="single" w:sz="4" w:space="0" w:color="auto"/>
              <w:bottom w:val="single" w:sz="4" w:space="0" w:color="auto"/>
            </w:tcBorders>
            <w:noWrap/>
            <w:hideMark/>
          </w:tcPr>
          <w:p w14:paraId="6CB16833" w14:textId="77777777" w:rsidR="000A44B5" w:rsidRPr="00471CBA" w:rsidRDefault="000A44B5" w:rsidP="000A44B5">
            <w:pPr>
              <w:rPr>
                <w:sz w:val="18"/>
                <w:szCs w:val="18"/>
              </w:rPr>
            </w:pPr>
            <w:r w:rsidRPr="00471CBA">
              <w:rPr>
                <w:sz w:val="18"/>
                <w:szCs w:val="18"/>
              </w:rPr>
              <w:t xml:space="preserve">Standart yönteme göre KDA sermaye yükümlülüğüne tabi portföylerin toplam tutarı </w:t>
            </w:r>
          </w:p>
        </w:tc>
        <w:tc>
          <w:tcPr>
            <w:tcW w:w="1043" w:type="pct"/>
            <w:tcBorders>
              <w:top w:val="single" w:sz="4" w:space="0" w:color="auto"/>
              <w:bottom w:val="single" w:sz="4" w:space="0" w:color="auto"/>
            </w:tcBorders>
            <w:noWrap/>
            <w:vAlign w:val="bottom"/>
          </w:tcPr>
          <w:p w14:paraId="6CF75832" w14:textId="77777777" w:rsidR="000A44B5" w:rsidRPr="00471CBA" w:rsidRDefault="000A44B5" w:rsidP="000A44B5">
            <w:pPr>
              <w:jc w:val="right"/>
              <w:rPr>
                <w:sz w:val="18"/>
                <w:szCs w:val="18"/>
              </w:rPr>
            </w:pPr>
            <w:r w:rsidRPr="00471CBA">
              <w:rPr>
                <w:sz w:val="18"/>
                <w:szCs w:val="18"/>
              </w:rPr>
              <w:t>719.819</w:t>
            </w:r>
          </w:p>
        </w:tc>
        <w:tc>
          <w:tcPr>
            <w:tcW w:w="434" w:type="pct"/>
            <w:tcBorders>
              <w:top w:val="single" w:sz="4" w:space="0" w:color="auto"/>
              <w:bottom w:val="single" w:sz="4" w:space="0" w:color="auto"/>
            </w:tcBorders>
            <w:noWrap/>
            <w:vAlign w:val="bottom"/>
          </w:tcPr>
          <w:p w14:paraId="67FF771D" w14:textId="77777777" w:rsidR="000A44B5" w:rsidRPr="00471CBA" w:rsidRDefault="000A44B5" w:rsidP="000A44B5">
            <w:pPr>
              <w:jc w:val="right"/>
              <w:rPr>
                <w:sz w:val="18"/>
                <w:szCs w:val="18"/>
              </w:rPr>
            </w:pPr>
            <w:r w:rsidRPr="00471CBA">
              <w:rPr>
                <w:sz w:val="18"/>
                <w:szCs w:val="18"/>
              </w:rPr>
              <w:t>986</w:t>
            </w:r>
          </w:p>
        </w:tc>
        <w:tc>
          <w:tcPr>
            <w:tcW w:w="1001" w:type="pct"/>
            <w:tcBorders>
              <w:top w:val="single" w:sz="4" w:space="0" w:color="auto"/>
              <w:bottom w:val="single" w:sz="4" w:space="0" w:color="auto"/>
            </w:tcBorders>
            <w:vAlign w:val="bottom"/>
          </w:tcPr>
          <w:p w14:paraId="4E89849A" w14:textId="1A249D7A" w:rsidR="000A44B5" w:rsidRPr="00471CBA" w:rsidRDefault="000A44B5" w:rsidP="000A44B5">
            <w:pPr>
              <w:jc w:val="right"/>
              <w:rPr>
                <w:sz w:val="18"/>
                <w:szCs w:val="18"/>
              </w:rPr>
            </w:pPr>
            <w:r w:rsidRPr="00471CBA">
              <w:rPr>
                <w:color w:val="000000"/>
                <w:sz w:val="18"/>
                <w:szCs w:val="18"/>
              </w:rPr>
              <w:t>84.462</w:t>
            </w:r>
          </w:p>
        </w:tc>
        <w:tc>
          <w:tcPr>
            <w:tcW w:w="452" w:type="pct"/>
            <w:tcBorders>
              <w:top w:val="single" w:sz="4" w:space="0" w:color="auto"/>
              <w:bottom w:val="single" w:sz="4" w:space="0" w:color="auto"/>
            </w:tcBorders>
            <w:vAlign w:val="bottom"/>
          </w:tcPr>
          <w:p w14:paraId="0CB0E576" w14:textId="41148F3F" w:rsidR="000A44B5" w:rsidRPr="00471CBA" w:rsidRDefault="000A44B5" w:rsidP="000A44B5">
            <w:pPr>
              <w:jc w:val="right"/>
              <w:rPr>
                <w:sz w:val="18"/>
                <w:szCs w:val="18"/>
              </w:rPr>
            </w:pPr>
            <w:r w:rsidRPr="00471CBA">
              <w:rPr>
                <w:color w:val="000000"/>
                <w:sz w:val="18"/>
                <w:szCs w:val="18"/>
              </w:rPr>
              <w:t>99</w:t>
            </w:r>
          </w:p>
        </w:tc>
      </w:tr>
      <w:tr w:rsidR="000A44B5" w:rsidRPr="00471CBA" w14:paraId="3ED87E26" w14:textId="77777777" w:rsidTr="00B0049C">
        <w:trPr>
          <w:trHeight w:val="20"/>
        </w:trPr>
        <w:tc>
          <w:tcPr>
            <w:tcW w:w="205" w:type="pct"/>
            <w:tcBorders>
              <w:top w:val="single" w:sz="4" w:space="0" w:color="auto"/>
              <w:bottom w:val="single" w:sz="4" w:space="0" w:color="auto"/>
            </w:tcBorders>
            <w:noWrap/>
            <w:hideMark/>
          </w:tcPr>
          <w:p w14:paraId="60D87D55" w14:textId="77777777" w:rsidR="000A44B5" w:rsidRPr="00471CBA" w:rsidRDefault="000A44B5" w:rsidP="000A44B5">
            <w:pPr>
              <w:rPr>
                <w:b/>
                <w:bCs/>
                <w:color w:val="000000"/>
                <w:sz w:val="18"/>
                <w:szCs w:val="18"/>
              </w:rPr>
            </w:pPr>
            <w:r w:rsidRPr="00471CBA">
              <w:rPr>
                <w:b/>
                <w:bCs/>
                <w:color w:val="000000"/>
                <w:sz w:val="18"/>
                <w:szCs w:val="18"/>
              </w:rPr>
              <w:t>4</w:t>
            </w:r>
          </w:p>
        </w:tc>
        <w:tc>
          <w:tcPr>
            <w:tcW w:w="1865" w:type="pct"/>
            <w:tcBorders>
              <w:top w:val="single" w:sz="4" w:space="0" w:color="auto"/>
              <w:bottom w:val="single" w:sz="4" w:space="0" w:color="auto"/>
            </w:tcBorders>
            <w:noWrap/>
            <w:hideMark/>
          </w:tcPr>
          <w:p w14:paraId="6C4D069C" w14:textId="77777777" w:rsidR="000A44B5" w:rsidRPr="00471CBA" w:rsidRDefault="000A44B5" w:rsidP="000A44B5">
            <w:pPr>
              <w:rPr>
                <w:b/>
                <w:bCs/>
                <w:sz w:val="18"/>
                <w:szCs w:val="18"/>
              </w:rPr>
            </w:pPr>
            <w:r w:rsidRPr="00471CBA">
              <w:rPr>
                <w:b/>
                <w:bCs/>
                <w:sz w:val="18"/>
                <w:szCs w:val="18"/>
              </w:rPr>
              <w:t xml:space="preserve">KDA sermaye yükümlülüğüne tabi toplam tutar </w:t>
            </w:r>
          </w:p>
        </w:tc>
        <w:tc>
          <w:tcPr>
            <w:tcW w:w="1043" w:type="pct"/>
            <w:tcBorders>
              <w:top w:val="single" w:sz="4" w:space="0" w:color="auto"/>
              <w:bottom w:val="single" w:sz="4" w:space="0" w:color="auto"/>
            </w:tcBorders>
            <w:noWrap/>
            <w:vAlign w:val="bottom"/>
          </w:tcPr>
          <w:p w14:paraId="62037B9E" w14:textId="77777777" w:rsidR="000A44B5" w:rsidRPr="00471CBA" w:rsidRDefault="000A44B5" w:rsidP="000A44B5">
            <w:pPr>
              <w:jc w:val="right"/>
              <w:rPr>
                <w:b/>
                <w:bCs/>
                <w:sz w:val="18"/>
                <w:szCs w:val="18"/>
              </w:rPr>
            </w:pPr>
            <w:r w:rsidRPr="00471CBA">
              <w:rPr>
                <w:b/>
                <w:bCs/>
                <w:sz w:val="18"/>
                <w:szCs w:val="18"/>
              </w:rPr>
              <w:t>719.819</w:t>
            </w:r>
          </w:p>
        </w:tc>
        <w:tc>
          <w:tcPr>
            <w:tcW w:w="434" w:type="pct"/>
            <w:tcBorders>
              <w:top w:val="single" w:sz="4" w:space="0" w:color="auto"/>
              <w:bottom w:val="single" w:sz="4" w:space="0" w:color="auto"/>
            </w:tcBorders>
            <w:noWrap/>
            <w:vAlign w:val="bottom"/>
          </w:tcPr>
          <w:p w14:paraId="3AAA3A6F" w14:textId="77777777" w:rsidR="000A44B5" w:rsidRPr="00471CBA" w:rsidRDefault="000A44B5" w:rsidP="000A44B5">
            <w:pPr>
              <w:jc w:val="right"/>
              <w:rPr>
                <w:b/>
                <w:bCs/>
                <w:sz w:val="18"/>
                <w:szCs w:val="18"/>
              </w:rPr>
            </w:pPr>
            <w:r w:rsidRPr="00471CBA">
              <w:rPr>
                <w:b/>
                <w:bCs/>
                <w:sz w:val="18"/>
                <w:szCs w:val="18"/>
              </w:rPr>
              <w:t>986</w:t>
            </w:r>
          </w:p>
        </w:tc>
        <w:tc>
          <w:tcPr>
            <w:tcW w:w="1001" w:type="pct"/>
            <w:tcBorders>
              <w:top w:val="single" w:sz="4" w:space="0" w:color="auto"/>
              <w:bottom w:val="single" w:sz="4" w:space="0" w:color="auto"/>
            </w:tcBorders>
            <w:vAlign w:val="bottom"/>
          </w:tcPr>
          <w:p w14:paraId="2F908C97" w14:textId="385F60F8" w:rsidR="000A44B5" w:rsidRPr="00471CBA" w:rsidRDefault="000A44B5" w:rsidP="000A44B5">
            <w:pPr>
              <w:jc w:val="right"/>
              <w:rPr>
                <w:b/>
                <w:bCs/>
                <w:sz w:val="18"/>
                <w:szCs w:val="18"/>
              </w:rPr>
            </w:pPr>
            <w:r w:rsidRPr="00471CBA">
              <w:rPr>
                <w:b/>
                <w:bCs/>
                <w:color w:val="000000"/>
                <w:sz w:val="18"/>
                <w:szCs w:val="18"/>
              </w:rPr>
              <w:t>84.462</w:t>
            </w:r>
          </w:p>
        </w:tc>
        <w:tc>
          <w:tcPr>
            <w:tcW w:w="452" w:type="pct"/>
            <w:tcBorders>
              <w:top w:val="single" w:sz="4" w:space="0" w:color="auto"/>
              <w:bottom w:val="single" w:sz="4" w:space="0" w:color="auto"/>
            </w:tcBorders>
            <w:vAlign w:val="bottom"/>
          </w:tcPr>
          <w:p w14:paraId="576E55A5" w14:textId="331D75B1" w:rsidR="000A44B5" w:rsidRPr="00471CBA" w:rsidRDefault="000A44B5" w:rsidP="000A44B5">
            <w:pPr>
              <w:jc w:val="right"/>
              <w:rPr>
                <w:b/>
                <w:bCs/>
                <w:sz w:val="18"/>
                <w:szCs w:val="18"/>
              </w:rPr>
            </w:pPr>
            <w:r w:rsidRPr="00471CBA">
              <w:rPr>
                <w:b/>
                <w:bCs/>
                <w:color w:val="000000"/>
                <w:sz w:val="18"/>
                <w:szCs w:val="18"/>
              </w:rPr>
              <w:t>99</w:t>
            </w:r>
          </w:p>
        </w:tc>
      </w:tr>
    </w:tbl>
    <w:p w14:paraId="126C3E2A" w14:textId="77777777" w:rsidR="00EE0925" w:rsidRPr="00471CBA" w:rsidRDefault="00EE0925" w:rsidP="00EE0925">
      <w:pPr>
        <w:rPr>
          <w:b/>
          <w:szCs w:val="20"/>
        </w:rPr>
      </w:pPr>
    </w:p>
    <w:p w14:paraId="5D999A3D" w14:textId="77777777" w:rsidR="00EE0925" w:rsidRPr="00471CBA" w:rsidRDefault="00EE0925" w:rsidP="00EE0925">
      <w:pPr>
        <w:spacing w:after="120"/>
        <w:ind w:left="851" w:hanging="851"/>
        <w:rPr>
          <w:b/>
          <w:szCs w:val="20"/>
        </w:rPr>
      </w:pPr>
      <w:r w:rsidRPr="00471CBA">
        <w:rPr>
          <w:b/>
          <w:szCs w:val="20"/>
        </w:rPr>
        <w:t>d.3.</w:t>
      </w:r>
      <w:bookmarkStart w:id="70" w:name="_Hlk127255987"/>
      <w:r w:rsidRPr="00471CBA">
        <w:rPr>
          <w:b/>
          <w:szCs w:val="20"/>
        </w:rPr>
        <w:tab/>
        <w:t>Risk Sınıfları ve Risk Ağırlıklarına Göre KKR:</w:t>
      </w:r>
      <w:bookmarkEnd w:id="70"/>
    </w:p>
    <w:tbl>
      <w:tblPr>
        <w:tblW w:w="5000" w:type="pct"/>
        <w:tblCellMar>
          <w:left w:w="70" w:type="dxa"/>
          <w:right w:w="70" w:type="dxa"/>
        </w:tblCellMar>
        <w:tblLook w:val="04A0" w:firstRow="1" w:lastRow="0" w:firstColumn="1" w:lastColumn="0" w:noHBand="0" w:noVBand="1"/>
      </w:tblPr>
      <w:tblGrid>
        <w:gridCol w:w="2857"/>
        <w:gridCol w:w="539"/>
        <w:gridCol w:w="460"/>
        <w:gridCol w:w="660"/>
        <w:gridCol w:w="460"/>
        <w:gridCol w:w="460"/>
        <w:gridCol w:w="580"/>
        <w:gridCol w:w="460"/>
        <w:gridCol w:w="780"/>
        <w:gridCol w:w="540"/>
        <w:gridCol w:w="540"/>
        <w:gridCol w:w="523"/>
        <w:gridCol w:w="780"/>
      </w:tblGrid>
      <w:tr w:rsidR="00EE0925" w:rsidRPr="00471CBA" w14:paraId="62BC34FF" w14:textId="77777777" w:rsidTr="000C2E4B">
        <w:trPr>
          <w:trHeight w:val="209"/>
        </w:trPr>
        <w:tc>
          <w:tcPr>
            <w:tcW w:w="1544" w:type="pct"/>
            <w:tcBorders>
              <w:top w:val="single" w:sz="4" w:space="0" w:color="auto"/>
              <w:bottom w:val="single" w:sz="4" w:space="0" w:color="auto"/>
            </w:tcBorders>
            <w:noWrap/>
            <w:vAlign w:val="center"/>
          </w:tcPr>
          <w:p w14:paraId="68BEECDA" w14:textId="0BB934E4" w:rsidR="00EE0925" w:rsidRPr="00471CBA" w:rsidRDefault="00880899" w:rsidP="00B0049C">
            <w:pPr>
              <w:rPr>
                <w:b/>
                <w:sz w:val="16"/>
                <w:szCs w:val="16"/>
              </w:rPr>
            </w:pPr>
            <w:r w:rsidRPr="00471CBA">
              <w:rPr>
                <w:b/>
                <w:sz w:val="16"/>
                <w:szCs w:val="16"/>
              </w:rPr>
              <w:t xml:space="preserve">31 Aralık </w:t>
            </w:r>
            <w:r w:rsidR="00EE0925" w:rsidRPr="00471CBA">
              <w:rPr>
                <w:b/>
                <w:sz w:val="16"/>
                <w:szCs w:val="16"/>
              </w:rPr>
              <w:t>2025</w:t>
            </w:r>
          </w:p>
        </w:tc>
        <w:tc>
          <w:tcPr>
            <w:tcW w:w="342" w:type="pct"/>
            <w:tcBorders>
              <w:top w:val="single" w:sz="4" w:space="0" w:color="auto"/>
              <w:bottom w:val="single" w:sz="4" w:space="0" w:color="auto"/>
            </w:tcBorders>
            <w:noWrap/>
            <w:vAlign w:val="bottom"/>
          </w:tcPr>
          <w:p w14:paraId="7F91471A" w14:textId="77777777" w:rsidR="00EE0925" w:rsidRPr="00471CBA" w:rsidRDefault="00EE0925" w:rsidP="00B0049C">
            <w:pPr>
              <w:spacing w:after="60"/>
              <w:jc w:val="right"/>
              <w:rPr>
                <w:b/>
                <w:sz w:val="16"/>
                <w:szCs w:val="16"/>
              </w:rPr>
            </w:pPr>
          </w:p>
        </w:tc>
        <w:tc>
          <w:tcPr>
            <w:tcW w:w="239" w:type="pct"/>
            <w:tcBorders>
              <w:top w:val="single" w:sz="4" w:space="0" w:color="auto"/>
              <w:bottom w:val="single" w:sz="4" w:space="0" w:color="auto"/>
            </w:tcBorders>
            <w:noWrap/>
            <w:vAlign w:val="bottom"/>
          </w:tcPr>
          <w:p w14:paraId="03619D78" w14:textId="77777777" w:rsidR="00EE0925" w:rsidRPr="00471CBA" w:rsidRDefault="00EE0925" w:rsidP="00B0049C">
            <w:pPr>
              <w:spacing w:after="60"/>
              <w:jc w:val="right"/>
              <w:rPr>
                <w:b/>
                <w:sz w:val="16"/>
                <w:szCs w:val="16"/>
              </w:rPr>
            </w:pPr>
          </w:p>
        </w:tc>
        <w:tc>
          <w:tcPr>
            <w:tcW w:w="342" w:type="pct"/>
            <w:tcBorders>
              <w:top w:val="single" w:sz="4" w:space="0" w:color="auto"/>
              <w:bottom w:val="single" w:sz="4" w:space="0" w:color="auto"/>
            </w:tcBorders>
            <w:noWrap/>
            <w:vAlign w:val="bottom"/>
          </w:tcPr>
          <w:p w14:paraId="52E2C328" w14:textId="77777777" w:rsidR="00EE0925" w:rsidRPr="00471CBA" w:rsidRDefault="00EE0925" w:rsidP="00B0049C">
            <w:pPr>
              <w:spacing w:after="60"/>
              <w:jc w:val="right"/>
              <w:rPr>
                <w:b/>
                <w:sz w:val="16"/>
                <w:szCs w:val="16"/>
              </w:rPr>
            </w:pPr>
          </w:p>
        </w:tc>
        <w:tc>
          <w:tcPr>
            <w:tcW w:w="239" w:type="pct"/>
            <w:tcBorders>
              <w:top w:val="single" w:sz="4" w:space="0" w:color="auto"/>
              <w:bottom w:val="single" w:sz="4" w:space="0" w:color="auto"/>
            </w:tcBorders>
          </w:tcPr>
          <w:p w14:paraId="6065C912" w14:textId="77777777" w:rsidR="00EE0925" w:rsidRPr="00471CBA" w:rsidRDefault="00EE0925" w:rsidP="00B0049C">
            <w:pPr>
              <w:spacing w:after="60"/>
              <w:jc w:val="right"/>
              <w:rPr>
                <w:b/>
                <w:sz w:val="16"/>
                <w:szCs w:val="16"/>
              </w:rPr>
            </w:pPr>
          </w:p>
        </w:tc>
        <w:tc>
          <w:tcPr>
            <w:tcW w:w="239" w:type="pct"/>
            <w:tcBorders>
              <w:top w:val="single" w:sz="4" w:space="0" w:color="auto"/>
              <w:bottom w:val="single" w:sz="4" w:space="0" w:color="auto"/>
            </w:tcBorders>
          </w:tcPr>
          <w:p w14:paraId="3BDF94D3" w14:textId="77777777" w:rsidR="00EE0925" w:rsidRPr="00471CBA" w:rsidRDefault="00EE0925" w:rsidP="00B0049C">
            <w:pPr>
              <w:spacing w:after="60"/>
              <w:jc w:val="right"/>
              <w:rPr>
                <w:b/>
                <w:sz w:val="16"/>
                <w:szCs w:val="16"/>
              </w:rPr>
            </w:pPr>
          </w:p>
        </w:tc>
        <w:tc>
          <w:tcPr>
            <w:tcW w:w="239" w:type="pct"/>
            <w:tcBorders>
              <w:top w:val="single" w:sz="4" w:space="0" w:color="auto"/>
              <w:bottom w:val="single" w:sz="4" w:space="0" w:color="auto"/>
            </w:tcBorders>
            <w:noWrap/>
            <w:vAlign w:val="bottom"/>
          </w:tcPr>
          <w:p w14:paraId="0B5D41F7" w14:textId="77777777" w:rsidR="00EE0925" w:rsidRPr="00471CBA" w:rsidRDefault="00EE0925" w:rsidP="00B0049C">
            <w:pPr>
              <w:spacing w:after="60"/>
              <w:jc w:val="right"/>
              <w:rPr>
                <w:b/>
                <w:sz w:val="16"/>
                <w:szCs w:val="16"/>
              </w:rPr>
            </w:pPr>
          </w:p>
        </w:tc>
        <w:tc>
          <w:tcPr>
            <w:tcW w:w="239" w:type="pct"/>
            <w:tcBorders>
              <w:top w:val="single" w:sz="4" w:space="0" w:color="auto"/>
              <w:bottom w:val="single" w:sz="4" w:space="0" w:color="auto"/>
            </w:tcBorders>
            <w:noWrap/>
            <w:vAlign w:val="bottom"/>
          </w:tcPr>
          <w:p w14:paraId="13B85602" w14:textId="77777777" w:rsidR="00EE0925" w:rsidRPr="00471CBA" w:rsidRDefault="00EE0925" w:rsidP="00B0049C">
            <w:pPr>
              <w:spacing w:after="60"/>
              <w:jc w:val="right"/>
              <w:rPr>
                <w:b/>
                <w:sz w:val="16"/>
                <w:szCs w:val="16"/>
              </w:rPr>
            </w:pPr>
          </w:p>
        </w:tc>
        <w:tc>
          <w:tcPr>
            <w:tcW w:w="342" w:type="pct"/>
            <w:tcBorders>
              <w:top w:val="single" w:sz="4" w:space="0" w:color="auto"/>
              <w:bottom w:val="single" w:sz="4" w:space="0" w:color="auto"/>
            </w:tcBorders>
            <w:noWrap/>
            <w:vAlign w:val="bottom"/>
          </w:tcPr>
          <w:p w14:paraId="21C843D3" w14:textId="77777777" w:rsidR="00EE0925" w:rsidRPr="00471CBA" w:rsidRDefault="00EE0925" w:rsidP="00B0049C">
            <w:pPr>
              <w:spacing w:after="60"/>
              <w:jc w:val="right"/>
              <w:rPr>
                <w:b/>
                <w:sz w:val="16"/>
                <w:szCs w:val="16"/>
              </w:rPr>
            </w:pPr>
          </w:p>
        </w:tc>
        <w:tc>
          <w:tcPr>
            <w:tcW w:w="280" w:type="pct"/>
            <w:tcBorders>
              <w:top w:val="single" w:sz="4" w:space="0" w:color="auto"/>
              <w:bottom w:val="single" w:sz="4" w:space="0" w:color="auto"/>
            </w:tcBorders>
            <w:noWrap/>
            <w:vAlign w:val="bottom"/>
          </w:tcPr>
          <w:p w14:paraId="1ADEB8DE" w14:textId="77777777" w:rsidR="00EE0925" w:rsidRPr="00471CBA" w:rsidRDefault="00EE0925" w:rsidP="00B0049C">
            <w:pPr>
              <w:spacing w:after="60"/>
              <w:jc w:val="right"/>
              <w:rPr>
                <w:b/>
                <w:sz w:val="16"/>
                <w:szCs w:val="16"/>
              </w:rPr>
            </w:pPr>
          </w:p>
        </w:tc>
        <w:tc>
          <w:tcPr>
            <w:tcW w:w="280" w:type="pct"/>
            <w:tcBorders>
              <w:top w:val="single" w:sz="4" w:space="0" w:color="auto"/>
              <w:bottom w:val="single" w:sz="4" w:space="0" w:color="auto"/>
            </w:tcBorders>
          </w:tcPr>
          <w:p w14:paraId="6D66CD80" w14:textId="77777777" w:rsidR="00EE0925" w:rsidRPr="00471CBA" w:rsidRDefault="00EE0925" w:rsidP="00B0049C">
            <w:pPr>
              <w:spacing w:after="60"/>
              <w:jc w:val="right"/>
              <w:rPr>
                <w:b/>
                <w:sz w:val="16"/>
                <w:szCs w:val="16"/>
              </w:rPr>
            </w:pPr>
          </w:p>
        </w:tc>
        <w:tc>
          <w:tcPr>
            <w:tcW w:w="271" w:type="pct"/>
            <w:tcBorders>
              <w:top w:val="single" w:sz="4" w:space="0" w:color="auto"/>
              <w:bottom w:val="single" w:sz="4" w:space="0" w:color="auto"/>
            </w:tcBorders>
            <w:noWrap/>
            <w:vAlign w:val="bottom"/>
          </w:tcPr>
          <w:p w14:paraId="1BE691D3" w14:textId="77777777" w:rsidR="00EE0925" w:rsidRPr="00471CBA" w:rsidRDefault="00EE0925" w:rsidP="00B0049C">
            <w:pPr>
              <w:spacing w:after="60"/>
              <w:jc w:val="right"/>
              <w:rPr>
                <w:b/>
                <w:sz w:val="16"/>
                <w:szCs w:val="16"/>
              </w:rPr>
            </w:pPr>
          </w:p>
        </w:tc>
        <w:tc>
          <w:tcPr>
            <w:tcW w:w="405" w:type="pct"/>
            <w:tcBorders>
              <w:top w:val="single" w:sz="4" w:space="0" w:color="auto"/>
              <w:bottom w:val="single" w:sz="4" w:space="0" w:color="auto"/>
            </w:tcBorders>
            <w:noWrap/>
            <w:vAlign w:val="bottom"/>
          </w:tcPr>
          <w:p w14:paraId="77751BE6" w14:textId="77777777" w:rsidR="00EE0925" w:rsidRPr="00471CBA" w:rsidRDefault="00EE0925" w:rsidP="00B0049C">
            <w:pPr>
              <w:spacing w:after="60"/>
              <w:jc w:val="right"/>
              <w:rPr>
                <w:b/>
                <w:sz w:val="16"/>
                <w:szCs w:val="16"/>
              </w:rPr>
            </w:pPr>
          </w:p>
        </w:tc>
      </w:tr>
      <w:tr w:rsidR="00EE0925" w:rsidRPr="00471CBA" w14:paraId="323A2D30" w14:textId="77777777" w:rsidTr="000C2E4B">
        <w:trPr>
          <w:trHeight w:val="36"/>
        </w:trPr>
        <w:tc>
          <w:tcPr>
            <w:tcW w:w="1544" w:type="pct"/>
            <w:tcBorders>
              <w:top w:val="single" w:sz="4" w:space="0" w:color="auto"/>
              <w:bottom w:val="single" w:sz="4" w:space="0" w:color="auto"/>
              <w:tl2br w:val="single" w:sz="4" w:space="0" w:color="auto"/>
            </w:tcBorders>
            <w:noWrap/>
            <w:vAlign w:val="bottom"/>
            <w:hideMark/>
          </w:tcPr>
          <w:p w14:paraId="694A10F2" w14:textId="77777777" w:rsidR="00EE0925" w:rsidRPr="00471CBA" w:rsidRDefault="00EE0925" w:rsidP="00B0049C">
            <w:pPr>
              <w:spacing w:before="60"/>
              <w:jc w:val="right"/>
              <w:rPr>
                <w:b/>
                <w:sz w:val="16"/>
                <w:szCs w:val="16"/>
              </w:rPr>
            </w:pPr>
            <w:bookmarkStart w:id="71" w:name="_Hlk127256009"/>
            <w:r w:rsidRPr="00471CBA">
              <w:rPr>
                <w:b/>
                <w:sz w:val="16"/>
                <w:szCs w:val="16"/>
              </w:rPr>
              <w:t>Risk Ağırlıkları</w:t>
            </w:r>
          </w:p>
          <w:p w14:paraId="59790CD9" w14:textId="77777777" w:rsidR="00EE0925" w:rsidRPr="00471CBA" w:rsidRDefault="00EE0925" w:rsidP="00B0049C">
            <w:pPr>
              <w:spacing w:after="60"/>
              <w:rPr>
                <w:b/>
                <w:sz w:val="16"/>
                <w:szCs w:val="16"/>
              </w:rPr>
            </w:pPr>
            <w:r w:rsidRPr="00471CBA">
              <w:rPr>
                <w:b/>
                <w:sz w:val="16"/>
                <w:szCs w:val="16"/>
              </w:rPr>
              <w:t>Risk Sınıfları</w:t>
            </w:r>
          </w:p>
        </w:tc>
        <w:tc>
          <w:tcPr>
            <w:tcW w:w="342" w:type="pct"/>
            <w:tcBorders>
              <w:top w:val="single" w:sz="4" w:space="0" w:color="auto"/>
              <w:bottom w:val="single" w:sz="4" w:space="0" w:color="auto"/>
            </w:tcBorders>
            <w:noWrap/>
            <w:vAlign w:val="bottom"/>
            <w:hideMark/>
          </w:tcPr>
          <w:p w14:paraId="13EEC11E" w14:textId="77777777" w:rsidR="00EE0925" w:rsidRPr="00471CBA" w:rsidRDefault="00EE0925" w:rsidP="00B0049C">
            <w:pPr>
              <w:spacing w:before="60" w:after="60"/>
              <w:jc w:val="right"/>
              <w:rPr>
                <w:b/>
                <w:sz w:val="16"/>
                <w:szCs w:val="16"/>
              </w:rPr>
            </w:pPr>
            <w:r w:rsidRPr="00471CBA">
              <w:rPr>
                <w:b/>
                <w:sz w:val="16"/>
                <w:szCs w:val="16"/>
              </w:rPr>
              <w:t>%0</w:t>
            </w:r>
          </w:p>
        </w:tc>
        <w:tc>
          <w:tcPr>
            <w:tcW w:w="239" w:type="pct"/>
            <w:tcBorders>
              <w:top w:val="single" w:sz="4" w:space="0" w:color="auto"/>
              <w:bottom w:val="single" w:sz="4" w:space="0" w:color="auto"/>
            </w:tcBorders>
            <w:noWrap/>
            <w:vAlign w:val="bottom"/>
            <w:hideMark/>
          </w:tcPr>
          <w:p w14:paraId="49735F09" w14:textId="77777777" w:rsidR="00EE0925" w:rsidRPr="00471CBA" w:rsidRDefault="00EE0925" w:rsidP="00B0049C">
            <w:pPr>
              <w:spacing w:before="60" w:after="60"/>
              <w:jc w:val="right"/>
              <w:rPr>
                <w:b/>
                <w:sz w:val="16"/>
                <w:szCs w:val="16"/>
              </w:rPr>
            </w:pPr>
            <w:r w:rsidRPr="00471CBA">
              <w:rPr>
                <w:b/>
                <w:sz w:val="16"/>
                <w:szCs w:val="16"/>
              </w:rPr>
              <w:t>%10</w:t>
            </w:r>
          </w:p>
        </w:tc>
        <w:tc>
          <w:tcPr>
            <w:tcW w:w="342" w:type="pct"/>
            <w:tcBorders>
              <w:top w:val="single" w:sz="4" w:space="0" w:color="auto"/>
              <w:bottom w:val="single" w:sz="4" w:space="0" w:color="auto"/>
            </w:tcBorders>
            <w:noWrap/>
            <w:vAlign w:val="bottom"/>
            <w:hideMark/>
          </w:tcPr>
          <w:p w14:paraId="6A11AC84" w14:textId="77777777" w:rsidR="00EE0925" w:rsidRPr="00471CBA" w:rsidRDefault="00EE0925" w:rsidP="00B0049C">
            <w:pPr>
              <w:spacing w:before="60" w:after="60"/>
              <w:jc w:val="right"/>
              <w:rPr>
                <w:b/>
                <w:sz w:val="16"/>
                <w:szCs w:val="16"/>
              </w:rPr>
            </w:pPr>
            <w:r w:rsidRPr="00471CBA">
              <w:rPr>
                <w:b/>
                <w:sz w:val="16"/>
                <w:szCs w:val="16"/>
              </w:rPr>
              <w:t>%20</w:t>
            </w:r>
          </w:p>
        </w:tc>
        <w:tc>
          <w:tcPr>
            <w:tcW w:w="239" w:type="pct"/>
            <w:tcBorders>
              <w:top w:val="single" w:sz="4" w:space="0" w:color="auto"/>
              <w:bottom w:val="single" w:sz="4" w:space="0" w:color="auto"/>
            </w:tcBorders>
            <w:vAlign w:val="bottom"/>
          </w:tcPr>
          <w:p w14:paraId="43143266" w14:textId="77777777" w:rsidR="00EE0925" w:rsidRPr="00471CBA" w:rsidRDefault="00EE0925" w:rsidP="00B0049C">
            <w:pPr>
              <w:spacing w:before="60" w:after="60"/>
              <w:jc w:val="right"/>
              <w:rPr>
                <w:b/>
                <w:sz w:val="16"/>
                <w:szCs w:val="16"/>
              </w:rPr>
            </w:pPr>
            <w:r w:rsidRPr="00471CBA">
              <w:rPr>
                <w:b/>
                <w:sz w:val="16"/>
                <w:szCs w:val="16"/>
              </w:rPr>
              <w:t>%25</w:t>
            </w:r>
          </w:p>
        </w:tc>
        <w:tc>
          <w:tcPr>
            <w:tcW w:w="239" w:type="pct"/>
            <w:tcBorders>
              <w:top w:val="single" w:sz="4" w:space="0" w:color="auto"/>
              <w:bottom w:val="single" w:sz="4" w:space="0" w:color="auto"/>
            </w:tcBorders>
            <w:vAlign w:val="bottom"/>
          </w:tcPr>
          <w:p w14:paraId="78DE42DA" w14:textId="77777777" w:rsidR="00EE0925" w:rsidRPr="00471CBA" w:rsidRDefault="00EE0925" w:rsidP="00B0049C">
            <w:pPr>
              <w:spacing w:before="60" w:after="60"/>
              <w:jc w:val="right"/>
              <w:rPr>
                <w:b/>
                <w:sz w:val="16"/>
                <w:szCs w:val="16"/>
              </w:rPr>
            </w:pPr>
            <w:r w:rsidRPr="00471CBA">
              <w:rPr>
                <w:b/>
                <w:sz w:val="16"/>
                <w:szCs w:val="16"/>
              </w:rPr>
              <w:t>%35</w:t>
            </w:r>
          </w:p>
        </w:tc>
        <w:tc>
          <w:tcPr>
            <w:tcW w:w="239" w:type="pct"/>
            <w:tcBorders>
              <w:top w:val="single" w:sz="4" w:space="0" w:color="auto"/>
              <w:bottom w:val="single" w:sz="4" w:space="0" w:color="auto"/>
            </w:tcBorders>
            <w:noWrap/>
            <w:vAlign w:val="bottom"/>
            <w:hideMark/>
          </w:tcPr>
          <w:p w14:paraId="01B79032" w14:textId="77777777" w:rsidR="00EE0925" w:rsidRPr="00471CBA" w:rsidRDefault="00EE0925" w:rsidP="00B0049C">
            <w:pPr>
              <w:spacing w:before="60" w:after="60"/>
              <w:jc w:val="right"/>
              <w:rPr>
                <w:b/>
                <w:sz w:val="16"/>
                <w:szCs w:val="16"/>
              </w:rPr>
            </w:pPr>
            <w:r w:rsidRPr="00471CBA">
              <w:rPr>
                <w:b/>
                <w:sz w:val="16"/>
                <w:szCs w:val="16"/>
              </w:rPr>
              <w:t>%50</w:t>
            </w:r>
          </w:p>
        </w:tc>
        <w:tc>
          <w:tcPr>
            <w:tcW w:w="239" w:type="pct"/>
            <w:tcBorders>
              <w:top w:val="single" w:sz="4" w:space="0" w:color="auto"/>
              <w:bottom w:val="single" w:sz="4" w:space="0" w:color="auto"/>
            </w:tcBorders>
            <w:noWrap/>
            <w:vAlign w:val="bottom"/>
            <w:hideMark/>
          </w:tcPr>
          <w:p w14:paraId="7A239053" w14:textId="77777777" w:rsidR="00EE0925" w:rsidRPr="00471CBA" w:rsidRDefault="00EE0925" w:rsidP="00B0049C">
            <w:pPr>
              <w:spacing w:before="60" w:after="60"/>
              <w:jc w:val="right"/>
              <w:rPr>
                <w:b/>
                <w:sz w:val="16"/>
                <w:szCs w:val="16"/>
              </w:rPr>
            </w:pPr>
            <w:r w:rsidRPr="00471CBA">
              <w:rPr>
                <w:b/>
                <w:sz w:val="16"/>
                <w:szCs w:val="16"/>
              </w:rPr>
              <w:t>%75</w:t>
            </w:r>
          </w:p>
        </w:tc>
        <w:tc>
          <w:tcPr>
            <w:tcW w:w="342" w:type="pct"/>
            <w:tcBorders>
              <w:top w:val="single" w:sz="4" w:space="0" w:color="auto"/>
              <w:bottom w:val="single" w:sz="4" w:space="0" w:color="auto"/>
            </w:tcBorders>
            <w:noWrap/>
            <w:vAlign w:val="bottom"/>
            <w:hideMark/>
          </w:tcPr>
          <w:p w14:paraId="4164A8E8" w14:textId="77777777" w:rsidR="00EE0925" w:rsidRPr="00471CBA" w:rsidRDefault="00EE0925" w:rsidP="00B0049C">
            <w:pPr>
              <w:spacing w:before="60" w:after="60"/>
              <w:jc w:val="right"/>
              <w:rPr>
                <w:b/>
                <w:sz w:val="16"/>
                <w:szCs w:val="16"/>
              </w:rPr>
            </w:pPr>
            <w:r w:rsidRPr="00471CBA">
              <w:rPr>
                <w:b/>
                <w:sz w:val="16"/>
                <w:szCs w:val="16"/>
              </w:rPr>
              <w:t>%100</w:t>
            </w:r>
          </w:p>
        </w:tc>
        <w:tc>
          <w:tcPr>
            <w:tcW w:w="280" w:type="pct"/>
            <w:tcBorders>
              <w:top w:val="single" w:sz="4" w:space="0" w:color="auto"/>
              <w:bottom w:val="single" w:sz="4" w:space="0" w:color="auto"/>
            </w:tcBorders>
            <w:noWrap/>
            <w:vAlign w:val="bottom"/>
            <w:hideMark/>
          </w:tcPr>
          <w:p w14:paraId="4DB09449" w14:textId="77777777" w:rsidR="00EE0925" w:rsidRPr="00471CBA" w:rsidRDefault="00EE0925" w:rsidP="00B0049C">
            <w:pPr>
              <w:spacing w:before="60" w:after="60"/>
              <w:jc w:val="right"/>
              <w:rPr>
                <w:b/>
                <w:sz w:val="16"/>
                <w:szCs w:val="16"/>
              </w:rPr>
            </w:pPr>
            <w:r w:rsidRPr="00471CBA">
              <w:rPr>
                <w:b/>
                <w:sz w:val="16"/>
                <w:szCs w:val="16"/>
              </w:rPr>
              <w:t>%150</w:t>
            </w:r>
          </w:p>
        </w:tc>
        <w:tc>
          <w:tcPr>
            <w:tcW w:w="280" w:type="pct"/>
            <w:tcBorders>
              <w:top w:val="single" w:sz="4" w:space="0" w:color="auto"/>
              <w:bottom w:val="single" w:sz="4" w:space="0" w:color="auto"/>
            </w:tcBorders>
            <w:vAlign w:val="bottom"/>
          </w:tcPr>
          <w:p w14:paraId="0A35A3B7" w14:textId="77777777" w:rsidR="00EE0925" w:rsidRPr="00471CBA" w:rsidRDefault="00EE0925" w:rsidP="00B0049C">
            <w:pPr>
              <w:spacing w:before="60" w:after="60"/>
              <w:jc w:val="right"/>
              <w:rPr>
                <w:b/>
                <w:sz w:val="16"/>
                <w:szCs w:val="16"/>
              </w:rPr>
            </w:pPr>
            <w:r w:rsidRPr="00471CBA">
              <w:rPr>
                <w:b/>
                <w:sz w:val="16"/>
                <w:szCs w:val="16"/>
              </w:rPr>
              <w:t>%200</w:t>
            </w:r>
          </w:p>
        </w:tc>
        <w:tc>
          <w:tcPr>
            <w:tcW w:w="271" w:type="pct"/>
            <w:tcBorders>
              <w:top w:val="single" w:sz="4" w:space="0" w:color="auto"/>
              <w:bottom w:val="single" w:sz="4" w:space="0" w:color="auto"/>
            </w:tcBorders>
            <w:noWrap/>
            <w:vAlign w:val="bottom"/>
            <w:hideMark/>
          </w:tcPr>
          <w:p w14:paraId="46D66C3C" w14:textId="77777777" w:rsidR="00EE0925" w:rsidRPr="00471CBA" w:rsidRDefault="00EE0925" w:rsidP="00B0049C">
            <w:pPr>
              <w:spacing w:before="60" w:after="60"/>
              <w:jc w:val="right"/>
              <w:rPr>
                <w:b/>
                <w:sz w:val="16"/>
                <w:szCs w:val="16"/>
              </w:rPr>
            </w:pPr>
            <w:r w:rsidRPr="00471CBA">
              <w:rPr>
                <w:b/>
                <w:sz w:val="16"/>
                <w:szCs w:val="16"/>
              </w:rPr>
              <w:t>Diğer</w:t>
            </w:r>
          </w:p>
        </w:tc>
        <w:tc>
          <w:tcPr>
            <w:tcW w:w="405" w:type="pct"/>
            <w:tcBorders>
              <w:top w:val="single" w:sz="4" w:space="0" w:color="auto"/>
              <w:bottom w:val="single" w:sz="4" w:space="0" w:color="auto"/>
            </w:tcBorders>
            <w:noWrap/>
            <w:vAlign w:val="bottom"/>
            <w:hideMark/>
          </w:tcPr>
          <w:p w14:paraId="2B0321F3" w14:textId="77777777" w:rsidR="00EE0925" w:rsidRPr="00471CBA" w:rsidRDefault="00EE0925" w:rsidP="00B0049C">
            <w:pPr>
              <w:spacing w:before="60" w:after="60"/>
              <w:jc w:val="right"/>
              <w:rPr>
                <w:b/>
                <w:sz w:val="16"/>
                <w:szCs w:val="16"/>
              </w:rPr>
            </w:pPr>
            <w:r w:rsidRPr="00471CBA">
              <w:rPr>
                <w:b/>
                <w:sz w:val="16"/>
                <w:szCs w:val="16"/>
              </w:rPr>
              <w:t xml:space="preserve">Toplam </w:t>
            </w:r>
            <w:r w:rsidRPr="00471CBA">
              <w:rPr>
                <w:b/>
                <w:sz w:val="16"/>
                <w:szCs w:val="16"/>
              </w:rPr>
              <w:br/>
              <w:t xml:space="preserve">Kredi </w:t>
            </w:r>
            <w:r w:rsidRPr="00471CBA">
              <w:rPr>
                <w:b/>
                <w:sz w:val="16"/>
                <w:szCs w:val="16"/>
              </w:rPr>
              <w:br/>
              <w:t xml:space="preserve">Riski </w:t>
            </w:r>
            <w:r w:rsidRPr="00471CBA">
              <w:rPr>
                <w:b/>
                <w:sz w:val="16"/>
                <w:szCs w:val="16"/>
                <w:vertAlign w:val="superscript"/>
              </w:rPr>
              <w:t>(*)</w:t>
            </w:r>
          </w:p>
        </w:tc>
      </w:tr>
      <w:bookmarkEnd w:id="71"/>
      <w:tr w:rsidR="000C2E4B" w:rsidRPr="00471CBA" w14:paraId="3A8FC8D9" w14:textId="77777777" w:rsidTr="000C2E4B">
        <w:trPr>
          <w:trHeight w:val="36"/>
        </w:trPr>
        <w:tc>
          <w:tcPr>
            <w:tcW w:w="1544" w:type="pct"/>
            <w:tcBorders>
              <w:top w:val="single" w:sz="4" w:space="0" w:color="auto"/>
            </w:tcBorders>
            <w:vAlign w:val="center"/>
            <w:hideMark/>
          </w:tcPr>
          <w:p w14:paraId="7CE44FF8" w14:textId="77777777" w:rsidR="000C2E4B" w:rsidRPr="00471CBA" w:rsidRDefault="000C2E4B" w:rsidP="000C2E4B">
            <w:pPr>
              <w:rPr>
                <w:sz w:val="16"/>
                <w:szCs w:val="16"/>
              </w:rPr>
            </w:pPr>
            <w:r w:rsidRPr="00471CBA">
              <w:rPr>
                <w:sz w:val="16"/>
                <w:szCs w:val="16"/>
              </w:rPr>
              <w:t>Merkezi yönetimlerden ve merkez bankalarından alacaklar</w:t>
            </w:r>
          </w:p>
        </w:tc>
        <w:tc>
          <w:tcPr>
            <w:tcW w:w="342" w:type="pct"/>
            <w:tcBorders>
              <w:top w:val="single" w:sz="4" w:space="0" w:color="auto"/>
            </w:tcBorders>
            <w:noWrap/>
            <w:vAlign w:val="bottom"/>
          </w:tcPr>
          <w:p w14:paraId="5DDCCC83" w14:textId="1D759EDF" w:rsidR="000C2E4B" w:rsidRPr="00471CBA" w:rsidRDefault="000C2E4B" w:rsidP="000C2E4B">
            <w:pPr>
              <w:jc w:val="right"/>
              <w:rPr>
                <w:sz w:val="16"/>
                <w:szCs w:val="16"/>
              </w:rPr>
            </w:pPr>
            <w:r w:rsidRPr="00471CBA">
              <w:rPr>
                <w:sz w:val="16"/>
                <w:szCs w:val="16"/>
              </w:rPr>
              <w:t>-</w:t>
            </w:r>
          </w:p>
        </w:tc>
        <w:tc>
          <w:tcPr>
            <w:tcW w:w="239" w:type="pct"/>
            <w:tcBorders>
              <w:top w:val="single" w:sz="4" w:space="0" w:color="auto"/>
            </w:tcBorders>
            <w:noWrap/>
            <w:vAlign w:val="bottom"/>
          </w:tcPr>
          <w:p w14:paraId="7A9E9B52" w14:textId="3144482E" w:rsidR="000C2E4B" w:rsidRPr="00471CBA" w:rsidRDefault="000C2E4B" w:rsidP="000C2E4B">
            <w:pPr>
              <w:jc w:val="right"/>
              <w:rPr>
                <w:sz w:val="16"/>
                <w:szCs w:val="16"/>
              </w:rPr>
            </w:pPr>
            <w:r w:rsidRPr="00471CBA">
              <w:rPr>
                <w:sz w:val="16"/>
                <w:szCs w:val="16"/>
              </w:rPr>
              <w:t>-</w:t>
            </w:r>
          </w:p>
        </w:tc>
        <w:tc>
          <w:tcPr>
            <w:tcW w:w="342" w:type="pct"/>
            <w:tcBorders>
              <w:top w:val="single" w:sz="4" w:space="0" w:color="auto"/>
            </w:tcBorders>
            <w:noWrap/>
            <w:vAlign w:val="bottom"/>
          </w:tcPr>
          <w:p w14:paraId="31B9A1E9" w14:textId="2DAE5343" w:rsidR="000C2E4B" w:rsidRPr="00471CBA" w:rsidRDefault="000C2E4B" w:rsidP="000C2E4B">
            <w:pPr>
              <w:jc w:val="right"/>
              <w:rPr>
                <w:sz w:val="16"/>
                <w:szCs w:val="16"/>
              </w:rPr>
            </w:pPr>
            <w:r w:rsidRPr="00471CBA">
              <w:rPr>
                <w:sz w:val="16"/>
                <w:szCs w:val="16"/>
              </w:rPr>
              <w:t>-</w:t>
            </w:r>
          </w:p>
        </w:tc>
        <w:tc>
          <w:tcPr>
            <w:tcW w:w="239" w:type="pct"/>
            <w:tcBorders>
              <w:top w:val="single" w:sz="4" w:space="0" w:color="auto"/>
            </w:tcBorders>
            <w:vAlign w:val="bottom"/>
          </w:tcPr>
          <w:p w14:paraId="39852AB5" w14:textId="5207678F" w:rsidR="000C2E4B" w:rsidRPr="00471CBA" w:rsidRDefault="000C2E4B" w:rsidP="000C2E4B">
            <w:pPr>
              <w:jc w:val="right"/>
              <w:rPr>
                <w:sz w:val="16"/>
                <w:szCs w:val="16"/>
              </w:rPr>
            </w:pPr>
            <w:r w:rsidRPr="00471CBA">
              <w:rPr>
                <w:sz w:val="16"/>
                <w:szCs w:val="16"/>
              </w:rPr>
              <w:t>-</w:t>
            </w:r>
          </w:p>
        </w:tc>
        <w:tc>
          <w:tcPr>
            <w:tcW w:w="239" w:type="pct"/>
            <w:tcBorders>
              <w:top w:val="single" w:sz="4" w:space="0" w:color="auto"/>
            </w:tcBorders>
            <w:vAlign w:val="bottom"/>
          </w:tcPr>
          <w:p w14:paraId="44C42B09" w14:textId="48DAD4D3" w:rsidR="000C2E4B" w:rsidRPr="00471CBA" w:rsidRDefault="000C2E4B" w:rsidP="000C2E4B">
            <w:pPr>
              <w:jc w:val="right"/>
              <w:rPr>
                <w:sz w:val="16"/>
                <w:szCs w:val="16"/>
              </w:rPr>
            </w:pPr>
            <w:r w:rsidRPr="00471CBA">
              <w:rPr>
                <w:sz w:val="16"/>
                <w:szCs w:val="16"/>
              </w:rPr>
              <w:t>-</w:t>
            </w:r>
          </w:p>
        </w:tc>
        <w:tc>
          <w:tcPr>
            <w:tcW w:w="239" w:type="pct"/>
            <w:tcBorders>
              <w:top w:val="single" w:sz="4" w:space="0" w:color="auto"/>
            </w:tcBorders>
            <w:noWrap/>
            <w:vAlign w:val="bottom"/>
          </w:tcPr>
          <w:p w14:paraId="34B3C479" w14:textId="03DBBA5C" w:rsidR="000C2E4B" w:rsidRPr="00471CBA" w:rsidRDefault="000C2E4B" w:rsidP="000C2E4B">
            <w:pPr>
              <w:jc w:val="right"/>
              <w:rPr>
                <w:sz w:val="16"/>
                <w:szCs w:val="16"/>
              </w:rPr>
            </w:pPr>
            <w:r w:rsidRPr="00471CBA">
              <w:rPr>
                <w:sz w:val="16"/>
                <w:szCs w:val="16"/>
              </w:rPr>
              <w:t>-</w:t>
            </w:r>
          </w:p>
        </w:tc>
        <w:tc>
          <w:tcPr>
            <w:tcW w:w="239" w:type="pct"/>
            <w:tcBorders>
              <w:top w:val="single" w:sz="4" w:space="0" w:color="auto"/>
            </w:tcBorders>
            <w:noWrap/>
            <w:vAlign w:val="bottom"/>
          </w:tcPr>
          <w:p w14:paraId="6F852561" w14:textId="68387D49" w:rsidR="000C2E4B" w:rsidRPr="00471CBA" w:rsidRDefault="000C2E4B" w:rsidP="000C2E4B">
            <w:pPr>
              <w:jc w:val="right"/>
              <w:rPr>
                <w:sz w:val="16"/>
                <w:szCs w:val="16"/>
              </w:rPr>
            </w:pPr>
            <w:r w:rsidRPr="00471CBA">
              <w:rPr>
                <w:sz w:val="16"/>
                <w:szCs w:val="16"/>
              </w:rPr>
              <w:t>-</w:t>
            </w:r>
          </w:p>
        </w:tc>
        <w:tc>
          <w:tcPr>
            <w:tcW w:w="342" w:type="pct"/>
            <w:tcBorders>
              <w:top w:val="single" w:sz="4" w:space="0" w:color="auto"/>
            </w:tcBorders>
            <w:noWrap/>
            <w:vAlign w:val="bottom"/>
          </w:tcPr>
          <w:p w14:paraId="61F7E8C1" w14:textId="4888E922" w:rsidR="000C2E4B" w:rsidRPr="00471CBA" w:rsidRDefault="000C2E4B" w:rsidP="000C2E4B">
            <w:pPr>
              <w:jc w:val="right"/>
              <w:rPr>
                <w:sz w:val="16"/>
                <w:szCs w:val="16"/>
              </w:rPr>
            </w:pPr>
            <w:r w:rsidRPr="00471CBA">
              <w:rPr>
                <w:sz w:val="16"/>
                <w:szCs w:val="16"/>
              </w:rPr>
              <w:t>-</w:t>
            </w:r>
          </w:p>
        </w:tc>
        <w:tc>
          <w:tcPr>
            <w:tcW w:w="280" w:type="pct"/>
            <w:tcBorders>
              <w:top w:val="single" w:sz="4" w:space="0" w:color="auto"/>
            </w:tcBorders>
            <w:noWrap/>
            <w:vAlign w:val="bottom"/>
          </w:tcPr>
          <w:p w14:paraId="7EA93151" w14:textId="7A819387" w:rsidR="000C2E4B" w:rsidRPr="00471CBA" w:rsidRDefault="000C2E4B" w:rsidP="000C2E4B">
            <w:pPr>
              <w:jc w:val="right"/>
              <w:rPr>
                <w:sz w:val="16"/>
                <w:szCs w:val="16"/>
              </w:rPr>
            </w:pPr>
            <w:r w:rsidRPr="00471CBA">
              <w:rPr>
                <w:sz w:val="16"/>
                <w:szCs w:val="16"/>
              </w:rPr>
              <w:t>-</w:t>
            </w:r>
          </w:p>
        </w:tc>
        <w:tc>
          <w:tcPr>
            <w:tcW w:w="280" w:type="pct"/>
            <w:tcBorders>
              <w:top w:val="single" w:sz="4" w:space="0" w:color="auto"/>
            </w:tcBorders>
            <w:vAlign w:val="bottom"/>
          </w:tcPr>
          <w:p w14:paraId="3BD5DE45" w14:textId="6AB2821E" w:rsidR="000C2E4B" w:rsidRPr="00471CBA" w:rsidRDefault="000C2E4B" w:rsidP="000C2E4B">
            <w:pPr>
              <w:jc w:val="right"/>
              <w:rPr>
                <w:sz w:val="16"/>
                <w:szCs w:val="16"/>
              </w:rPr>
            </w:pPr>
            <w:r w:rsidRPr="00471CBA">
              <w:rPr>
                <w:sz w:val="16"/>
                <w:szCs w:val="16"/>
              </w:rPr>
              <w:t>-</w:t>
            </w:r>
          </w:p>
        </w:tc>
        <w:tc>
          <w:tcPr>
            <w:tcW w:w="271" w:type="pct"/>
            <w:tcBorders>
              <w:top w:val="single" w:sz="4" w:space="0" w:color="auto"/>
            </w:tcBorders>
            <w:noWrap/>
            <w:vAlign w:val="bottom"/>
          </w:tcPr>
          <w:p w14:paraId="16BCE1FF" w14:textId="1526261D" w:rsidR="000C2E4B" w:rsidRPr="00471CBA" w:rsidRDefault="000C2E4B" w:rsidP="000C2E4B">
            <w:pPr>
              <w:jc w:val="right"/>
              <w:rPr>
                <w:sz w:val="16"/>
                <w:szCs w:val="16"/>
              </w:rPr>
            </w:pPr>
            <w:r w:rsidRPr="00471CBA">
              <w:rPr>
                <w:sz w:val="16"/>
                <w:szCs w:val="16"/>
              </w:rPr>
              <w:t>-</w:t>
            </w:r>
          </w:p>
        </w:tc>
        <w:tc>
          <w:tcPr>
            <w:tcW w:w="405" w:type="pct"/>
            <w:tcBorders>
              <w:top w:val="single" w:sz="4" w:space="0" w:color="auto"/>
            </w:tcBorders>
            <w:noWrap/>
            <w:vAlign w:val="bottom"/>
          </w:tcPr>
          <w:p w14:paraId="6736C0D0" w14:textId="1A5E305B" w:rsidR="000C2E4B" w:rsidRPr="00471CBA" w:rsidRDefault="000C2E4B" w:rsidP="000C2E4B">
            <w:pPr>
              <w:jc w:val="right"/>
              <w:rPr>
                <w:sz w:val="16"/>
                <w:szCs w:val="16"/>
              </w:rPr>
            </w:pPr>
            <w:r w:rsidRPr="00471CBA">
              <w:rPr>
                <w:sz w:val="16"/>
                <w:szCs w:val="16"/>
              </w:rPr>
              <w:t>-</w:t>
            </w:r>
          </w:p>
        </w:tc>
      </w:tr>
      <w:tr w:rsidR="000C2E4B" w:rsidRPr="00471CBA" w14:paraId="2A38C891" w14:textId="77777777" w:rsidTr="000C2E4B">
        <w:trPr>
          <w:trHeight w:val="36"/>
        </w:trPr>
        <w:tc>
          <w:tcPr>
            <w:tcW w:w="1544" w:type="pct"/>
            <w:vAlign w:val="center"/>
            <w:hideMark/>
          </w:tcPr>
          <w:p w14:paraId="39190C24" w14:textId="77777777" w:rsidR="000C2E4B" w:rsidRPr="00471CBA" w:rsidRDefault="000C2E4B" w:rsidP="000C2E4B">
            <w:pPr>
              <w:rPr>
                <w:sz w:val="16"/>
                <w:szCs w:val="16"/>
              </w:rPr>
            </w:pPr>
            <w:r w:rsidRPr="00471CBA">
              <w:rPr>
                <w:sz w:val="16"/>
                <w:szCs w:val="16"/>
              </w:rPr>
              <w:t>Bölgesel veya yerel yönetimlerden alacaklar</w:t>
            </w:r>
          </w:p>
        </w:tc>
        <w:tc>
          <w:tcPr>
            <w:tcW w:w="342" w:type="pct"/>
            <w:noWrap/>
            <w:vAlign w:val="bottom"/>
          </w:tcPr>
          <w:p w14:paraId="10F39CB8" w14:textId="6A58C1C0" w:rsidR="000C2E4B" w:rsidRPr="00471CBA" w:rsidRDefault="000C2E4B" w:rsidP="000C2E4B">
            <w:pPr>
              <w:jc w:val="right"/>
              <w:rPr>
                <w:sz w:val="16"/>
                <w:szCs w:val="16"/>
              </w:rPr>
            </w:pPr>
            <w:r w:rsidRPr="00471CBA">
              <w:rPr>
                <w:sz w:val="16"/>
                <w:szCs w:val="16"/>
              </w:rPr>
              <w:t>-</w:t>
            </w:r>
          </w:p>
        </w:tc>
        <w:tc>
          <w:tcPr>
            <w:tcW w:w="239" w:type="pct"/>
            <w:noWrap/>
            <w:vAlign w:val="bottom"/>
          </w:tcPr>
          <w:p w14:paraId="6CCFF7F0" w14:textId="2D89ED33" w:rsidR="000C2E4B" w:rsidRPr="00471CBA" w:rsidRDefault="000C2E4B" w:rsidP="000C2E4B">
            <w:pPr>
              <w:jc w:val="right"/>
              <w:rPr>
                <w:sz w:val="16"/>
                <w:szCs w:val="16"/>
              </w:rPr>
            </w:pPr>
            <w:r w:rsidRPr="00471CBA">
              <w:rPr>
                <w:sz w:val="16"/>
                <w:szCs w:val="16"/>
              </w:rPr>
              <w:t>-</w:t>
            </w:r>
          </w:p>
        </w:tc>
        <w:tc>
          <w:tcPr>
            <w:tcW w:w="342" w:type="pct"/>
            <w:noWrap/>
            <w:vAlign w:val="bottom"/>
          </w:tcPr>
          <w:p w14:paraId="01679BC4" w14:textId="622EDDB8" w:rsidR="000C2E4B" w:rsidRPr="00471CBA" w:rsidRDefault="000C2E4B" w:rsidP="000C2E4B">
            <w:pPr>
              <w:jc w:val="right"/>
              <w:rPr>
                <w:sz w:val="16"/>
                <w:szCs w:val="16"/>
              </w:rPr>
            </w:pPr>
            <w:r w:rsidRPr="00471CBA">
              <w:rPr>
                <w:sz w:val="16"/>
                <w:szCs w:val="16"/>
              </w:rPr>
              <w:t>-</w:t>
            </w:r>
          </w:p>
        </w:tc>
        <w:tc>
          <w:tcPr>
            <w:tcW w:w="239" w:type="pct"/>
            <w:vAlign w:val="bottom"/>
          </w:tcPr>
          <w:p w14:paraId="7ECF5F21" w14:textId="0DBB7644" w:rsidR="000C2E4B" w:rsidRPr="00471CBA" w:rsidRDefault="000C2E4B" w:rsidP="000C2E4B">
            <w:pPr>
              <w:jc w:val="right"/>
              <w:rPr>
                <w:sz w:val="16"/>
                <w:szCs w:val="16"/>
              </w:rPr>
            </w:pPr>
            <w:r w:rsidRPr="00471CBA">
              <w:rPr>
                <w:sz w:val="16"/>
                <w:szCs w:val="16"/>
              </w:rPr>
              <w:t>-</w:t>
            </w:r>
          </w:p>
        </w:tc>
        <w:tc>
          <w:tcPr>
            <w:tcW w:w="239" w:type="pct"/>
            <w:vAlign w:val="bottom"/>
          </w:tcPr>
          <w:p w14:paraId="74816647" w14:textId="0EF7C27E" w:rsidR="000C2E4B" w:rsidRPr="00471CBA" w:rsidRDefault="000C2E4B" w:rsidP="000C2E4B">
            <w:pPr>
              <w:jc w:val="right"/>
              <w:rPr>
                <w:sz w:val="16"/>
                <w:szCs w:val="16"/>
              </w:rPr>
            </w:pPr>
            <w:r w:rsidRPr="00471CBA">
              <w:rPr>
                <w:sz w:val="16"/>
                <w:szCs w:val="16"/>
              </w:rPr>
              <w:t>-</w:t>
            </w:r>
          </w:p>
        </w:tc>
        <w:tc>
          <w:tcPr>
            <w:tcW w:w="239" w:type="pct"/>
            <w:noWrap/>
            <w:vAlign w:val="bottom"/>
          </w:tcPr>
          <w:p w14:paraId="233DAFC0" w14:textId="0E9CD9DB" w:rsidR="000C2E4B" w:rsidRPr="00471CBA" w:rsidRDefault="000C2E4B" w:rsidP="000C2E4B">
            <w:pPr>
              <w:jc w:val="right"/>
              <w:rPr>
                <w:sz w:val="16"/>
                <w:szCs w:val="16"/>
              </w:rPr>
            </w:pPr>
            <w:r w:rsidRPr="00471CBA">
              <w:rPr>
                <w:sz w:val="16"/>
                <w:szCs w:val="16"/>
              </w:rPr>
              <w:t>-</w:t>
            </w:r>
          </w:p>
        </w:tc>
        <w:tc>
          <w:tcPr>
            <w:tcW w:w="239" w:type="pct"/>
            <w:noWrap/>
            <w:vAlign w:val="bottom"/>
          </w:tcPr>
          <w:p w14:paraId="108C1944" w14:textId="6A3D8B18" w:rsidR="000C2E4B" w:rsidRPr="00471CBA" w:rsidRDefault="000C2E4B" w:rsidP="000C2E4B">
            <w:pPr>
              <w:jc w:val="right"/>
              <w:rPr>
                <w:sz w:val="16"/>
                <w:szCs w:val="16"/>
              </w:rPr>
            </w:pPr>
            <w:r w:rsidRPr="00471CBA">
              <w:rPr>
                <w:sz w:val="16"/>
                <w:szCs w:val="16"/>
              </w:rPr>
              <w:t>-</w:t>
            </w:r>
          </w:p>
        </w:tc>
        <w:tc>
          <w:tcPr>
            <w:tcW w:w="342" w:type="pct"/>
            <w:noWrap/>
            <w:vAlign w:val="bottom"/>
          </w:tcPr>
          <w:p w14:paraId="69B2083D" w14:textId="70EA41C1" w:rsidR="000C2E4B" w:rsidRPr="00471CBA" w:rsidRDefault="000C2E4B" w:rsidP="000C2E4B">
            <w:pPr>
              <w:jc w:val="right"/>
              <w:rPr>
                <w:sz w:val="16"/>
                <w:szCs w:val="16"/>
              </w:rPr>
            </w:pPr>
            <w:r w:rsidRPr="00471CBA">
              <w:rPr>
                <w:sz w:val="16"/>
                <w:szCs w:val="16"/>
              </w:rPr>
              <w:t>-</w:t>
            </w:r>
          </w:p>
        </w:tc>
        <w:tc>
          <w:tcPr>
            <w:tcW w:w="280" w:type="pct"/>
            <w:noWrap/>
            <w:vAlign w:val="bottom"/>
          </w:tcPr>
          <w:p w14:paraId="6DF2F163" w14:textId="4B11FC80" w:rsidR="000C2E4B" w:rsidRPr="00471CBA" w:rsidRDefault="000C2E4B" w:rsidP="000C2E4B">
            <w:pPr>
              <w:jc w:val="right"/>
              <w:rPr>
                <w:sz w:val="16"/>
                <w:szCs w:val="16"/>
              </w:rPr>
            </w:pPr>
            <w:r w:rsidRPr="00471CBA">
              <w:rPr>
                <w:sz w:val="16"/>
                <w:szCs w:val="16"/>
              </w:rPr>
              <w:t>-</w:t>
            </w:r>
          </w:p>
        </w:tc>
        <w:tc>
          <w:tcPr>
            <w:tcW w:w="280" w:type="pct"/>
            <w:vAlign w:val="bottom"/>
          </w:tcPr>
          <w:p w14:paraId="1C234C04" w14:textId="73AFF86C" w:rsidR="000C2E4B" w:rsidRPr="00471CBA" w:rsidRDefault="000C2E4B" w:rsidP="000C2E4B">
            <w:pPr>
              <w:jc w:val="right"/>
              <w:rPr>
                <w:sz w:val="16"/>
                <w:szCs w:val="16"/>
              </w:rPr>
            </w:pPr>
            <w:r w:rsidRPr="00471CBA">
              <w:rPr>
                <w:sz w:val="16"/>
                <w:szCs w:val="16"/>
              </w:rPr>
              <w:t>-</w:t>
            </w:r>
          </w:p>
        </w:tc>
        <w:tc>
          <w:tcPr>
            <w:tcW w:w="271" w:type="pct"/>
            <w:noWrap/>
            <w:vAlign w:val="bottom"/>
          </w:tcPr>
          <w:p w14:paraId="11280268" w14:textId="0CE5B433" w:rsidR="000C2E4B" w:rsidRPr="00471CBA" w:rsidRDefault="000C2E4B" w:rsidP="000C2E4B">
            <w:pPr>
              <w:jc w:val="right"/>
              <w:rPr>
                <w:sz w:val="16"/>
                <w:szCs w:val="16"/>
              </w:rPr>
            </w:pPr>
            <w:r w:rsidRPr="00471CBA">
              <w:rPr>
                <w:sz w:val="16"/>
                <w:szCs w:val="16"/>
              </w:rPr>
              <w:t>-</w:t>
            </w:r>
          </w:p>
        </w:tc>
        <w:tc>
          <w:tcPr>
            <w:tcW w:w="405" w:type="pct"/>
            <w:noWrap/>
            <w:vAlign w:val="bottom"/>
          </w:tcPr>
          <w:p w14:paraId="46F11829" w14:textId="797FDB5E" w:rsidR="000C2E4B" w:rsidRPr="00471CBA" w:rsidRDefault="000C2E4B" w:rsidP="000C2E4B">
            <w:pPr>
              <w:jc w:val="right"/>
              <w:rPr>
                <w:sz w:val="16"/>
                <w:szCs w:val="16"/>
              </w:rPr>
            </w:pPr>
            <w:r w:rsidRPr="00471CBA">
              <w:rPr>
                <w:sz w:val="16"/>
                <w:szCs w:val="16"/>
              </w:rPr>
              <w:t>-</w:t>
            </w:r>
          </w:p>
        </w:tc>
      </w:tr>
      <w:tr w:rsidR="000C2E4B" w:rsidRPr="00471CBA" w14:paraId="4A5109C2" w14:textId="77777777" w:rsidTr="000C2E4B">
        <w:trPr>
          <w:trHeight w:val="36"/>
        </w:trPr>
        <w:tc>
          <w:tcPr>
            <w:tcW w:w="1544" w:type="pct"/>
            <w:vAlign w:val="center"/>
            <w:hideMark/>
          </w:tcPr>
          <w:p w14:paraId="5F733D30" w14:textId="77777777" w:rsidR="000C2E4B" w:rsidRPr="00471CBA" w:rsidRDefault="000C2E4B" w:rsidP="000C2E4B">
            <w:pPr>
              <w:rPr>
                <w:sz w:val="16"/>
                <w:szCs w:val="16"/>
              </w:rPr>
            </w:pPr>
            <w:r w:rsidRPr="00471CBA">
              <w:rPr>
                <w:sz w:val="16"/>
                <w:szCs w:val="16"/>
              </w:rPr>
              <w:t>İdari birimlerden ve ticari olmayan girişimlerden alacaklar</w:t>
            </w:r>
          </w:p>
        </w:tc>
        <w:tc>
          <w:tcPr>
            <w:tcW w:w="342" w:type="pct"/>
            <w:noWrap/>
            <w:vAlign w:val="bottom"/>
          </w:tcPr>
          <w:p w14:paraId="62FF4476" w14:textId="2713AD35" w:rsidR="000C2E4B" w:rsidRPr="00471CBA" w:rsidRDefault="000C2E4B" w:rsidP="000C2E4B">
            <w:pPr>
              <w:jc w:val="right"/>
              <w:rPr>
                <w:sz w:val="16"/>
                <w:szCs w:val="16"/>
              </w:rPr>
            </w:pPr>
            <w:r w:rsidRPr="00471CBA">
              <w:rPr>
                <w:sz w:val="16"/>
                <w:szCs w:val="16"/>
              </w:rPr>
              <w:t>-</w:t>
            </w:r>
          </w:p>
        </w:tc>
        <w:tc>
          <w:tcPr>
            <w:tcW w:w="239" w:type="pct"/>
            <w:noWrap/>
            <w:vAlign w:val="bottom"/>
          </w:tcPr>
          <w:p w14:paraId="75F23D87" w14:textId="4CF240A9" w:rsidR="000C2E4B" w:rsidRPr="00471CBA" w:rsidRDefault="000C2E4B" w:rsidP="000C2E4B">
            <w:pPr>
              <w:jc w:val="right"/>
              <w:rPr>
                <w:sz w:val="16"/>
                <w:szCs w:val="16"/>
              </w:rPr>
            </w:pPr>
            <w:r w:rsidRPr="00471CBA">
              <w:rPr>
                <w:sz w:val="16"/>
                <w:szCs w:val="16"/>
              </w:rPr>
              <w:t>-</w:t>
            </w:r>
          </w:p>
        </w:tc>
        <w:tc>
          <w:tcPr>
            <w:tcW w:w="342" w:type="pct"/>
            <w:noWrap/>
            <w:vAlign w:val="bottom"/>
          </w:tcPr>
          <w:p w14:paraId="692F5C00" w14:textId="28B42A56" w:rsidR="000C2E4B" w:rsidRPr="00471CBA" w:rsidRDefault="000C2E4B" w:rsidP="000C2E4B">
            <w:pPr>
              <w:jc w:val="right"/>
              <w:rPr>
                <w:sz w:val="16"/>
                <w:szCs w:val="16"/>
              </w:rPr>
            </w:pPr>
            <w:r w:rsidRPr="00471CBA">
              <w:rPr>
                <w:sz w:val="16"/>
                <w:szCs w:val="16"/>
              </w:rPr>
              <w:t>-</w:t>
            </w:r>
          </w:p>
        </w:tc>
        <w:tc>
          <w:tcPr>
            <w:tcW w:w="239" w:type="pct"/>
            <w:vAlign w:val="bottom"/>
          </w:tcPr>
          <w:p w14:paraId="58E964DC" w14:textId="13B23D05" w:rsidR="000C2E4B" w:rsidRPr="00471CBA" w:rsidRDefault="000C2E4B" w:rsidP="000C2E4B">
            <w:pPr>
              <w:jc w:val="right"/>
              <w:rPr>
                <w:sz w:val="16"/>
                <w:szCs w:val="16"/>
              </w:rPr>
            </w:pPr>
            <w:r w:rsidRPr="00471CBA">
              <w:rPr>
                <w:sz w:val="16"/>
                <w:szCs w:val="16"/>
              </w:rPr>
              <w:t>-</w:t>
            </w:r>
          </w:p>
        </w:tc>
        <w:tc>
          <w:tcPr>
            <w:tcW w:w="239" w:type="pct"/>
            <w:vAlign w:val="bottom"/>
          </w:tcPr>
          <w:p w14:paraId="0CCF253D" w14:textId="006F0AC2" w:rsidR="000C2E4B" w:rsidRPr="00471CBA" w:rsidRDefault="000C2E4B" w:rsidP="000C2E4B">
            <w:pPr>
              <w:jc w:val="right"/>
              <w:rPr>
                <w:sz w:val="16"/>
                <w:szCs w:val="16"/>
              </w:rPr>
            </w:pPr>
            <w:r w:rsidRPr="00471CBA">
              <w:rPr>
                <w:sz w:val="16"/>
                <w:szCs w:val="16"/>
              </w:rPr>
              <w:t>-</w:t>
            </w:r>
          </w:p>
        </w:tc>
        <w:tc>
          <w:tcPr>
            <w:tcW w:w="239" w:type="pct"/>
            <w:noWrap/>
            <w:vAlign w:val="bottom"/>
          </w:tcPr>
          <w:p w14:paraId="01D45C6C" w14:textId="71A60A69" w:rsidR="000C2E4B" w:rsidRPr="00471CBA" w:rsidRDefault="000C2E4B" w:rsidP="000C2E4B">
            <w:pPr>
              <w:jc w:val="right"/>
              <w:rPr>
                <w:sz w:val="16"/>
                <w:szCs w:val="16"/>
              </w:rPr>
            </w:pPr>
            <w:r w:rsidRPr="00471CBA">
              <w:rPr>
                <w:sz w:val="16"/>
                <w:szCs w:val="16"/>
              </w:rPr>
              <w:t>-</w:t>
            </w:r>
          </w:p>
        </w:tc>
        <w:tc>
          <w:tcPr>
            <w:tcW w:w="239" w:type="pct"/>
            <w:noWrap/>
            <w:vAlign w:val="bottom"/>
          </w:tcPr>
          <w:p w14:paraId="4AEA44BF" w14:textId="7C133207" w:rsidR="000C2E4B" w:rsidRPr="00471CBA" w:rsidRDefault="000C2E4B" w:rsidP="000C2E4B">
            <w:pPr>
              <w:jc w:val="right"/>
              <w:rPr>
                <w:sz w:val="16"/>
                <w:szCs w:val="16"/>
              </w:rPr>
            </w:pPr>
            <w:r w:rsidRPr="00471CBA">
              <w:rPr>
                <w:sz w:val="16"/>
                <w:szCs w:val="16"/>
              </w:rPr>
              <w:t>-</w:t>
            </w:r>
          </w:p>
        </w:tc>
        <w:tc>
          <w:tcPr>
            <w:tcW w:w="342" w:type="pct"/>
            <w:noWrap/>
            <w:vAlign w:val="bottom"/>
          </w:tcPr>
          <w:p w14:paraId="185C1EFF" w14:textId="6A38ECDC" w:rsidR="000C2E4B" w:rsidRPr="00471CBA" w:rsidRDefault="000C2E4B" w:rsidP="000C2E4B">
            <w:pPr>
              <w:jc w:val="right"/>
              <w:rPr>
                <w:sz w:val="16"/>
                <w:szCs w:val="16"/>
              </w:rPr>
            </w:pPr>
            <w:r w:rsidRPr="00471CBA">
              <w:rPr>
                <w:sz w:val="16"/>
                <w:szCs w:val="16"/>
              </w:rPr>
              <w:t>-</w:t>
            </w:r>
          </w:p>
        </w:tc>
        <w:tc>
          <w:tcPr>
            <w:tcW w:w="280" w:type="pct"/>
            <w:noWrap/>
            <w:vAlign w:val="bottom"/>
          </w:tcPr>
          <w:p w14:paraId="211DCB52" w14:textId="49B0D8C7" w:rsidR="000C2E4B" w:rsidRPr="00471CBA" w:rsidRDefault="000C2E4B" w:rsidP="000C2E4B">
            <w:pPr>
              <w:jc w:val="right"/>
              <w:rPr>
                <w:sz w:val="16"/>
                <w:szCs w:val="16"/>
              </w:rPr>
            </w:pPr>
            <w:r w:rsidRPr="00471CBA">
              <w:rPr>
                <w:sz w:val="16"/>
                <w:szCs w:val="16"/>
              </w:rPr>
              <w:t>-</w:t>
            </w:r>
          </w:p>
        </w:tc>
        <w:tc>
          <w:tcPr>
            <w:tcW w:w="280" w:type="pct"/>
            <w:vAlign w:val="bottom"/>
          </w:tcPr>
          <w:p w14:paraId="0F0DC27D" w14:textId="62D6593D" w:rsidR="000C2E4B" w:rsidRPr="00471CBA" w:rsidRDefault="000C2E4B" w:rsidP="000C2E4B">
            <w:pPr>
              <w:jc w:val="right"/>
              <w:rPr>
                <w:sz w:val="16"/>
                <w:szCs w:val="16"/>
              </w:rPr>
            </w:pPr>
            <w:r w:rsidRPr="00471CBA">
              <w:rPr>
                <w:sz w:val="16"/>
                <w:szCs w:val="16"/>
              </w:rPr>
              <w:t>-</w:t>
            </w:r>
          </w:p>
        </w:tc>
        <w:tc>
          <w:tcPr>
            <w:tcW w:w="271" w:type="pct"/>
            <w:noWrap/>
            <w:vAlign w:val="bottom"/>
          </w:tcPr>
          <w:p w14:paraId="1DEAE3A5" w14:textId="76D317C3" w:rsidR="000C2E4B" w:rsidRPr="00471CBA" w:rsidRDefault="000C2E4B" w:rsidP="000C2E4B">
            <w:pPr>
              <w:jc w:val="right"/>
              <w:rPr>
                <w:sz w:val="16"/>
                <w:szCs w:val="16"/>
              </w:rPr>
            </w:pPr>
            <w:r w:rsidRPr="00471CBA">
              <w:rPr>
                <w:sz w:val="16"/>
                <w:szCs w:val="16"/>
              </w:rPr>
              <w:t>-</w:t>
            </w:r>
          </w:p>
        </w:tc>
        <w:tc>
          <w:tcPr>
            <w:tcW w:w="405" w:type="pct"/>
            <w:noWrap/>
            <w:vAlign w:val="bottom"/>
          </w:tcPr>
          <w:p w14:paraId="572BE730" w14:textId="0BEF0C06" w:rsidR="000C2E4B" w:rsidRPr="00471CBA" w:rsidRDefault="000C2E4B" w:rsidP="000C2E4B">
            <w:pPr>
              <w:jc w:val="right"/>
              <w:rPr>
                <w:sz w:val="16"/>
                <w:szCs w:val="16"/>
              </w:rPr>
            </w:pPr>
            <w:r w:rsidRPr="00471CBA">
              <w:rPr>
                <w:sz w:val="16"/>
                <w:szCs w:val="16"/>
              </w:rPr>
              <w:t>-</w:t>
            </w:r>
          </w:p>
        </w:tc>
      </w:tr>
      <w:tr w:rsidR="000C2E4B" w:rsidRPr="00471CBA" w14:paraId="2EC46EF7" w14:textId="77777777" w:rsidTr="000C2E4B">
        <w:trPr>
          <w:trHeight w:val="36"/>
        </w:trPr>
        <w:tc>
          <w:tcPr>
            <w:tcW w:w="1544" w:type="pct"/>
            <w:vAlign w:val="center"/>
            <w:hideMark/>
          </w:tcPr>
          <w:p w14:paraId="21F031D8" w14:textId="77777777" w:rsidR="000C2E4B" w:rsidRPr="00471CBA" w:rsidRDefault="000C2E4B" w:rsidP="000C2E4B">
            <w:pPr>
              <w:rPr>
                <w:sz w:val="16"/>
                <w:szCs w:val="16"/>
              </w:rPr>
            </w:pPr>
            <w:r w:rsidRPr="00471CBA">
              <w:rPr>
                <w:sz w:val="16"/>
                <w:szCs w:val="16"/>
              </w:rPr>
              <w:t>Çok taraflı kalkınma bankalarından alacaklar</w:t>
            </w:r>
          </w:p>
        </w:tc>
        <w:tc>
          <w:tcPr>
            <w:tcW w:w="342" w:type="pct"/>
            <w:noWrap/>
            <w:vAlign w:val="bottom"/>
          </w:tcPr>
          <w:p w14:paraId="16B4E132" w14:textId="424AA05A" w:rsidR="000C2E4B" w:rsidRPr="00471CBA" w:rsidRDefault="000C2E4B" w:rsidP="000C2E4B">
            <w:pPr>
              <w:jc w:val="right"/>
              <w:rPr>
                <w:sz w:val="16"/>
                <w:szCs w:val="16"/>
              </w:rPr>
            </w:pPr>
            <w:r w:rsidRPr="00471CBA">
              <w:rPr>
                <w:sz w:val="16"/>
                <w:szCs w:val="16"/>
              </w:rPr>
              <w:t>-</w:t>
            </w:r>
          </w:p>
        </w:tc>
        <w:tc>
          <w:tcPr>
            <w:tcW w:w="239" w:type="pct"/>
            <w:noWrap/>
            <w:vAlign w:val="bottom"/>
          </w:tcPr>
          <w:p w14:paraId="342FF7B5" w14:textId="5E7696BD" w:rsidR="000C2E4B" w:rsidRPr="00471CBA" w:rsidRDefault="000C2E4B" w:rsidP="000C2E4B">
            <w:pPr>
              <w:jc w:val="right"/>
              <w:rPr>
                <w:sz w:val="16"/>
                <w:szCs w:val="16"/>
              </w:rPr>
            </w:pPr>
            <w:r w:rsidRPr="00471CBA">
              <w:rPr>
                <w:sz w:val="16"/>
                <w:szCs w:val="16"/>
              </w:rPr>
              <w:t>-</w:t>
            </w:r>
          </w:p>
        </w:tc>
        <w:tc>
          <w:tcPr>
            <w:tcW w:w="342" w:type="pct"/>
            <w:noWrap/>
            <w:vAlign w:val="bottom"/>
          </w:tcPr>
          <w:p w14:paraId="2F3EAB9A" w14:textId="375FC335" w:rsidR="000C2E4B" w:rsidRPr="00471CBA" w:rsidRDefault="000C2E4B" w:rsidP="000C2E4B">
            <w:pPr>
              <w:jc w:val="right"/>
              <w:rPr>
                <w:sz w:val="16"/>
                <w:szCs w:val="16"/>
              </w:rPr>
            </w:pPr>
            <w:r w:rsidRPr="00471CBA">
              <w:rPr>
                <w:sz w:val="16"/>
                <w:szCs w:val="16"/>
              </w:rPr>
              <w:t>-</w:t>
            </w:r>
          </w:p>
        </w:tc>
        <w:tc>
          <w:tcPr>
            <w:tcW w:w="239" w:type="pct"/>
            <w:vAlign w:val="bottom"/>
          </w:tcPr>
          <w:p w14:paraId="124A0C6A" w14:textId="31070E7B" w:rsidR="000C2E4B" w:rsidRPr="00471CBA" w:rsidRDefault="000C2E4B" w:rsidP="000C2E4B">
            <w:pPr>
              <w:jc w:val="right"/>
              <w:rPr>
                <w:sz w:val="16"/>
                <w:szCs w:val="16"/>
              </w:rPr>
            </w:pPr>
            <w:r w:rsidRPr="00471CBA">
              <w:rPr>
                <w:sz w:val="16"/>
                <w:szCs w:val="16"/>
              </w:rPr>
              <w:t>-</w:t>
            </w:r>
          </w:p>
        </w:tc>
        <w:tc>
          <w:tcPr>
            <w:tcW w:w="239" w:type="pct"/>
            <w:vAlign w:val="bottom"/>
          </w:tcPr>
          <w:p w14:paraId="3DCAED57" w14:textId="3C6AB641" w:rsidR="000C2E4B" w:rsidRPr="00471CBA" w:rsidRDefault="000C2E4B" w:rsidP="000C2E4B">
            <w:pPr>
              <w:jc w:val="right"/>
              <w:rPr>
                <w:sz w:val="16"/>
                <w:szCs w:val="16"/>
              </w:rPr>
            </w:pPr>
            <w:r w:rsidRPr="00471CBA">
              <w:rPr>
                <w:sz w:val="16"/>
                <w:szCs w:val="16"/>
              </w:rPr>
              <w:t>-</w:t>
            </w:r>
          </w:p>
        </w:tc>
        <w:tc>
          <w:tcPr>
            <w:tcW w:w="239" w:type="pct"/>
            <w:noWrap/>
            <w:vAlign w:val="bottom"/>
          </w:tcPr>
          <w:p w14:paraId="2CFFEA3D" w14:textId="4DB90243" w:rsidR="000C2E4B" w:rsidRPr="00471CBA" w:rsidRDefault="000C2E4B" w:rsidP="000C2E4B">
            <w:pPr>
              <w:jc w:val="right"/>
              <w:rPr>
                <w:sz w:val="16"/>
                <w:szCs w:val="16"/>
              </w:rPr>
            </w:pPr>
            <w:r w:rsidRPr="00471CBA">
              <w:rPr>
                <w:sz w:val="16"/>
                <w:szCs w:val="16"/>
              </w:rPr>
              <w:t>-</w:t>
            </w:r>
          </w:p>
        </w:tc>
        <w:tc>
          <w:tcPr>
            <w:tcW w:w="239" w:type="pct"/>
            <w:noWrap/>
            <w:vAlign w:val="bottom"/>
          </w:tcPr>
          <w:p w14:paraId="70C9F282" w14:textId="73E4D1C6" w:rsidR="000C2E4B" w:rsidRPr="00471CBA" w:rsidRDefault="000C2E4B" w:rsidP="000C2E4B">
            <w:pPr>
              <w:jc w:val="right"/>
              <w:rPr>
                <w:sz w:val="16"/>
                <w:szCs w:val="16"/>
              </w:rPr>
            </w:pPr>
            <w:r w:rsidRPr="00471CBA">
              <w:rPr>
                <w:sz w:val="16"/>
                <w:szCs w:val="16"/>
              </w:rPr>
              <w:t>-</w:t>
            </w:r>
          </w:p>
        </w:tc>
        <w:tc>
          <w:tcPr>
            <w:tcW w:w="342" w:type="pct"/>
            <w:noWrap/>
            <w:vAlign w:val="bottom"/>
          </w:tcPr>
          <w:p w14:paraId="0E6968F4" w14:textId="2C17F334" w:rsidR="000C2E4B" w:rsidRPr="00471CBA" w:rsidRDefault="000C2E4B" w:rsidP="000C2E4B">
            <w:pPr>
              <w:jc w:val="right"/>
              <w:rPr>
                <w:sz w:val="16"/>
                <w:szCs w:val="16"/>
              </w:rPr>
            </w:pPr>
            <w:r w:rsidRPr="00471CBA">
              <w:rPr>
                <w:sz w:val="16"/>
                <w:szCs w:val="16"/>
              </w:rPr>
              <w:t>-</w:t>
            </w:r>
          </w:p>
        </w:tc>
        <w:tc>
          <w:tcPr>
            <w:tcW w:w="280" w:type="pct"/>
            <w:noWrap/>
            <w:vAlign w:val="bottom"/>
          </w:tcPr>
          <w:p w14:paraId="7CEC18B3" w14:textId="181C05D0" w:rsidR="000C2E4B" w:rsidRPr="00471CBA" w:rsidRDefault="000C2E4B" w:rsidP="000C2E4B">
            <w:pPr>
              <w:jc w:val="right"/>
              <w:rPr>
                <w:sz w:val="16"/>
                <w:szCs w:val="16"/>
              </w:rPr>
            </w:pPr>
            <w:r w:rsidRPr="00471CBA">
              <w:rPr>
                <w:sz w:val="16"/>
                <w:szCs w:val="16"/>
              </w:rPr>
              <w:t>-</w:t>
            </w:r>
          </w:p>
        </w:tc>
        <w:tc>
          <w:tcPr>
            <w:tcW w:w="280" w:type="pct"/>
            <w:vAlign w:val="bottom"/>
          </w:tcPr>
          <w:p w14:paraId="087C96D9" w14:textId="56EB943E" w:rsidR="000C2E4B" w:rsidRPr="00471CBA" w:rsidRDefault="000C2E4B" w:rsidP="000C2E4B">
            <w:pPr>
              <w:jc w:val="right"/>
              <w:rPr>
                <w:sz w:val="16"/>
                <w:szCs w:val="16"/>
              </w:rPr>
            </w:pPr>
            <w:r w:rsidRPr="00471CBA">
              <w:rPr>
                <w:sz w:val="16"/>
                <w:szCs w:val="16"/>
              </w:rPr>
              <w:t>-</w:t>
            </w:r>
          </w:p>
        </w:tc>
        <w:tc>
          <w:tcPr>
            <w:tcW w:w="271" w:type="pct"/>
            <w:noWrap/>
            <w:vAlign w:val="bottom"/>
          </w:tcPr>
          <w:p w14:paraId="2EB3B436" w14:textId="53852046" w:rsidR="000C2E4B" w:rsidRPr="00471CBA" w:rsidRDefault="000C2E4B" w:rsidP="000C2E4B">
            <w:pPr>
              <w:jc w:val="right"/>
              <w:rPr>
                <w:sz w:val="16"/>
                <w:szCs w:val="16"/>
              </w:rPr>
            </w:pPr>
            <w:r w:rsidRPr="00471CBA">
              <w:rPr>
                <w:sz w:val="16"/>
                <w:szCs w:val="16"/>
              </w:rPr>
              <w:t>-</w:t>
            </w:r>
          </w:p>
        </w:tc>
        <w:tc>
          <w:tcPr>
            <w:tcW w:w="405" w:type="pct"/>
            <w:noWrap/>
            <w:vAlign w:val="bottom"/>
          </w:tcPr>
          <w:p w14:paraId="3F1549FE" w14:textId="27B5ABD1" w:rsidR="000C2E4B" w:rsidRPr="00471CBA" w:rsidRDefault="000C2E4B" w:rsidP="000C2E4B">
            <w:pPr>
              <w:jc w:val="right"/>
              <w:rPr>
                <w:sz w:val="16"/>
                <w:szCs w:val="16"/>
              </w:rPr>
            </w:pPr>
            <w:r w:rsidRPr="00471CBA">
              <w:rPr>
                <w:sz w:val="16"/>
                <w:szCs w:val="16"/>
              </w:rPr>
              <w:t>-</w:t>
            </w:r>
          </w:p>
        </w:tc>
      </w:tr>
      <w:tr w:rsidR="000C2E4B" w:rsidRPr="00471CBA" w14:paraId="74759888" w14:textId="77777777" w:rsidTr="000C2E4B">
        <w:trPr>
          <w:trHeight w:val="36"/>
        </w:trPr>
        <w:tc>
          <w:tcPr>
            <w:tcW w:w="1544" w:type="pct"/>
            <w:vAlign w:val="center"/>
            <w:hideMark/>
          </w:tcPr>
          <w:p w14:paraId="40E1BD77" w14:textId="77777777" w:rsidR="000C2E4B" w:rsidRPr="00471CBA" w:rsidRDefault="000C2E4B" w:rsidP="000C2E4B">
            <w:pPr>
              <w:rPr>
                <w:sz w:val="16"/>
                <w:szCs w:val="16"/>
              </w:rPr>
            </w:pPr>
            <w:r w:rsidRPr="00471CBA">
              <w:rPr>
                <w:sz w:val="16"/>
                <w:szCs w:val="16"/>
              </w:rPr>
              <w:t>Uluslararası teşkilatlardan alacaklar</w:t>
            </w:r>
          </w:p>
        </w:tc>
        <w:tc>
          <w:tcPr>
            <w:tcW w:w="342" w:type="pct"/>
            <w:noWrap/>
            <w:vAlign w:val="bottom"/>
          </w:tcPr>
          <w:p w14:paraId="2F2E5FDD" w14:textId="6563ED75" w:rsidR="000C2E4B" w:rsidRPr="00471CBA" w:rsidRDefault="000C2E4B" w:rsidP="000C2E4B">
            <w:pPr>
              <w:jc w:val="right"/>
              <w:rPr>
                <w:sz w:val="16"/>
                <w:szCs w:val="16"/>
              </w:rPr>
            </w:pPr>
            <w:r w:rsidRPr="00471CBA">
              <w:rPr>
                <w:sz w:val="16"/>
                <w:szCs w:val="16"/>
              </w:rPr>
              <w:t>-</w:t>
            </w:r>
          </w:p>
        </w:tc>
        <w:tc>
          <w:tcPr>
            <w:tcW w:w="239" w:type="pct"/>
            <w:noWrap/>
            <w:vAlign w:val="bottom"/>
          </w:tcPr>
          <w:p w14:paraId="21206EC3" w14:textId="2FDDC572" w:rsidR="000C2E4B" w:rsidRPr="00471CBA" w:rsidRDefault="000C2E4B" w:rsidP="000C2E4B">
            <w:pPr>
              <w:jc w:val="right"/>
              <w:rPr>
                <w:sz w:val="16"/>
                <w:szCs w:val="16"/>
              </w:rPr>
            </w:pPr>
            <w:r w:rsidRPr="00471CBA">
              <w:rPr>
                <w:sz w:val="16"/>
                <w:szCs w:val="16"/>
              </w:rPr>
              <w:t>-</w:t>
            </w:r>
          </w:p>
        </w:tc>
        <w:tc>
          <w:tcPr>
            <w:tcW w:w="342" w:type="pct"/>
            <w:noWrap/>
            <w:vAlign w:val="bottom"/>
          </w:tcPr>
          <w:p w14:paraId="744601A2" w14:textId="31A2080B" w:rsidR="000C2E4B" w:rsidRPr="00471CBA" w:rsidRDefault="000C2E4B" w:rsidP="000C2E4B">
            <w:pPr>
              <w:jc w:val="right"/>
              <w:rPr>
                <w:sz w:val="16"/>
                <w:szCs w:val="16"/>
              </w:rPr>
            </w:pPr>
            <w:r w:rsidRPr="00471CBA">
              <w:rPr>
                <w:sz w:val="16"/>
                <w:szCs w:val="16"/>
              </w:rPr>
              <w:t>-</w:t>
            </w:r>
          </w:p>
        </w:tc>
        <w:tc>
          <w:tcPr>
            <w:tcW w:w="239" w:type="pct"/>
            <w:vAlign w:val="bottom"/>
          </w:tcPr>
          <w:p w14:paraId="3CB9990A" w14:textId="2643103A" w:rsidR="000C2E4B" w:rsidRPr="00471CBA" w:rsidRDefault="000C2E4B" w:rsidP="000C2E4B">
            <w:pPr>
              <w:jc w:val="right"/>
              <w:rPr>
                <w:sz w:val="16"/>
                <w:szCs w:val="16"/>
              </w:rPr>
            </w:pPr>
            <w:r w:rsidRPr="00471CBA">
              <w:rPr>
                <w:sz w:val="16"/>
                <w:szCs w:val="16"/>
              </w:rPr>
              <w:t>-</w:t>
            </w:r>
          </w:p>
        </w:tc>
        <w:tc>
          <w:tcPr>
            <w:tcW w:w="239" w:type="pct"/>
            <w:vAlign w:val="bottom"/>
          </w:tcPr>
          <w:p w14:paraId="3730F1C5" w14:textId="1F0B0FF2" w:rsidR="000C2E4B" w:rsidRPr="00471CBA" w:rsidRDefault="000C2E4B" w:rsidP="000C2E4B">
            <w:pPr>
              <w:jc w:val="right"/>
              <w:rPr>
                <w:sz w:val="16"/>
                <w:szCs w:val="16"/>
              </w:rPr>
            </w:pPr>
            <w:r w:rsidRPr="00471CBA">
              <w:rPr>
                <w:sz w:val="16"/>
                <w:szCs w:val="16"/>
              </w:rPr>
              <w:t>-</w:t>
            </w:r>
          </w:p>
        </w:tc>
        <w:tc>
          <w:tcPr>
            <w:tcW w:w="239" w:type="pct"/>
            <w:noWrap/>
            <w:vAlign w:val="bottom"/>
          </w:tcPr>
          <w:p w14:paraId="6BB7E3F0" w14:textId="7ADE552B" w:rsidR="000C2E4B" w:rsidRPr="00471CBA" w:rsidRDefault="000C2E4B" w:rsidP="000C2E4B">
            <w:pPr>
              <w:jc w:val="right"/>
              <w:rPr>
                <w:sz w:val="16"/>
                <w:szCs w:val="16"/>
              </w:rPr>
            </w:pPr>
            <w:r w:rsidRPr="00471CBA">
              <w:rPr>
                <w:sz w:val="16"/>
                <w:szCs w:val="16"/>
              </w:rPr>
              <w:t>-</w:t>
            </w:r>
          </w:p>
        </w:tc>
        <w:tc>
          <w:tcPr>
            <w:tcW w:w="239" w:type="pct"/>
            <w:noWrap/>
            <w:vAlign w:val="bottom"/>
          </w:tcPr>
          <w:p w14:paraId="08B05212" w14:textId="5DF7E784" w:rsidR="000C2E4B" w:rsidRPr="00471CBA" w:rsidRDefault="000C2E4B" w:rsidP="000C2E4B">
            <w:pPr>
              <w:jc w:val="right"/>
              <w:rPr>
                <w:sz w:val="16"/>
                <w:szCs w:val="16"/>
              </w:rPr>
            </w:pPr>
            <w:r w:rsidRPr="00471CBA">
              <w:rPr>
                <w:sz w:val="16"/>
                <w:szCs w:val="16"/>
              </w:rPr>
              <w:t>-</w:t>
            </w:r>
          </w:p>
        </w:tc>
        <w:tc>
          <w:tcPr>
            <w:tcW w:w="342" w:type="pct"/>
            <w:noWrap/>
            <w:vAlign w:val="bottom"/>
          </w:tcPr>
          <w:p w14:paraId="6F4934F5" w14:textId="76E6D936" w:rsidR="000C2E4B" w:rsidRPr="00471CBA" w:rsidRDefault="000C2E4B" w:rsidP="000C2E4B">
            <w:pPr>
              <w:jc w:val="right"/>
              <w:rPr>
                <w:sz w:val="16"/>
                <w:szCs w:val="16"/>
              </w:rPr>
            </w:pPr>
            <w:r w:rsidRPr="00471CBA">
              <w:rPr>
                <w:sz w:val="16"/>
                <w:szCs w:val="16"/>
              </w:rPr>
              <w:t>-</w:t>
            </w:r>
          </w:p>
        </w:tc>
        <w:tc>
          <w:tcPr>
            <w:tcW w:w="280" w:type="pct"/>
            <w:noWrap/>
            <w:vAlign w:val="bottom"/>
          </w:tcPr>
          <w:p w14:paraId="66819296" w14:textId="45169634" w:rsidR="000C2E4B" w:rsidRPr="00471CBA" w:rsidRDefault="000C2E4B" w:rsidP="000C2E4B">
            <w:pPr>
              <w:jc w:val="right"/>
              <w:rPr>
                <w:sz w:val="16"/>
                <w:szCs w:val="16"/>
              </w:rPr>
            </w:pPr>
            <w:r w:rsidRPr="00471CBA">
              <w:rPr>
                <w:sz w:val="16"/>
                <w:szCs w:val="16"/>
              </w:rPr>
              <w:t>-</w:t>
            </w:r>
          </w:p>
        </w:tc>
        <w:tc>
          <w:tcPr>
            <w:tcW w:w="280" w:type="pct"/>
            <w:vAlign w:val="bottom"/>
          </w:tcPr>
          <w:p w14:paraId="13E180CD" w14:textId="5846486C" w:rsidR="000C2E4B" w:rsidRPr="00471CBA" w:rsidRDefault="000C2E4B" w:rsidP="000C2E4B">
            <w:pPr>
              <w:jc w:val="right"/>
              <w:rPr>
                <w:sz w:val="16"/>
                <w:szCs w:val="16"/>
              </w:rPr>
            </w:pPr>
            <w:r w:rsidRPr="00471CBA">
              <w:rPr>
                <w:sz w:val="16"/>
                <w:szCs w:val="16"/>
              </w:rPr>
              <w:t>-</w:t>
            </w:r>
          </w:p>
        </w:tc>
        <w:tc>
          <w:tcPr>
            <w:tcW w:w="271" w:type="pct"/>
            <w:noWrap/>
            <w:vAlign w:val="bottom"/>
          </w:tcPr>
          <w:p w14:paraId="4D16F90F" w14:textId="305C3FA6" w:rsidR="000C2E4B" w:rsidRPr="00471CBA" w:rsidRDefault="000C2E4B" w:rsidP="000C2E4B">
            <w:pPr>
              <w:jc w:val="right"/>
              <w:rPr>
                <w:sz w:val="16"/>
                <w:szCs w:val="16"/>
              </w:rPr>
            </w:pPr>
            <w:r w:rsidRPr="00471CBA">
              <w:rPr>
                <w:sz w:val="16"/>
                <w:szCs w:val="16"/>
              </w:rPr>
              <w:t>-</w:t>
            </w:r>
          </w:p>
        </w:tc>
        <w:tc>
          <w:tcPr>
            <w:tcW w:w="405" w:type="pct"/>
            <w:noWrap/>
            <w:vAlign w:val="bottom"/>
          </w:tcPr>
          <w:p w14:paraId="055DA452" w14:textId="25FCFE7C" w:rsidR="000C2E4B" w:rsidRPr="00471CBA" w:rsidRDefault="000C2E4B" w:rsidP="000C2E4B">
            <w:pPr>
              <w:jc w:val="right"/>
              <w:rPr>
                <w:sz w:val="16"/>
                <w:szCs w:val="16"/>
              </w:rPr>
            </w:pPr>
            <w:r w:rsidRPr="00471CBA">
              <w:rPr>
                <w:sz w:val="16"/>
                <w:szCs w:val="16"/>
              </w:rPr>
              <w:t>-</w:t>
            </w:r>
          </w:p>
        </w:tc>
      </w:tr>
      <w:tr w:rsidR="000C2E4B" w:rsidRPr="00471CBA" w14:paraId="6C4F7B50" w14:textId="77777777" w:rsidTr="000C2E4B">
        <w:trPr>
          <w:trHeight w:val="36"/>
        </w:trPr>
        <w:tc>
          <w:tcPr>
            <w:tcW w:w="1544" w:type="pct"/>
            <w:vAlign w:val="center"/>
          </w:tcPr>
          <w:p w14:paraId="5E6982D4" w14:textId="77777777" w:rsidR="000C2E4B" w:rsidRPr="00471CBA" w:rsidRDefault="000C2E4B" w:rsidP="000C2E4B">
            <w:pPr>
              <w:rPr>
                <w:sz w:val="16"/>
                <w:szCs w:val="16"/>
              </w:rPr>
            </w:pPr>
            <w:r w:rsidRPr="00471CBA">
              <w:rPr>
                <w:sz w:val="16"/>
                <w:szCs w:val="16"/>
              </w:rPr>
              <w:t>Bankalar ve aracı kurumlardan alacaklar</w:t>
            </w:r>
          </w:p>
        </w:tc>
        <w:tc>
          <w:tcPr>
            <w:tcW w:w="342" w:type="pct"/>
            <w:noWrap/>
            <w:vAlign w:val="bottom"/>
          </w:tcPr>
          <w:p w14:paraId="10CCEEBD" w14:textId="3B14B149" w:rsidR="000C2E4B" w:rsidRPr="00471CBA" w:rsidRDefault="000C2E4B" w:rsidP="000C2E4B">
            <w:pPr>
              <w:jc w:val="right"/>
              <w:rPr>
                <w:sz w:val="16"/>
                <w:szCs w:val="16"/>
              </w:rPr>
            </w:pPr>
            <w:r w:rsidRPr="00471CBA">
              <w:rPr>
                <w:sz w:val="16"/>
                <w:szCs w:val="16"/>
              </w:rPr>
              <w:t>-</w:t>
            </w:r>
          </w:p>
        </w:tc>
        <w:tc>
          <w:tcPr>
            <w:tcW w:w="239" w:type="pct"/>
            <w:noWrap/>
            <w:vAlign w:val="bottom"/>
          </w:tcPr>
          <w:p w14:paraId="20EF7578" w14:textId="34E8E79C" w:rsidR="000C2E4B" w:rsidRPr="00471CBA" w:rsidRDefault="000C2E4B" w:rsidP="000C2E4B">
            <w:pPr>
              <w:jc w:val="right"/>
              <w:rPr>
                <w:sz w:val="16"/>
                <w:szCs w:val="16"/>
              </w:rPr>
            </w:pPr>
            <w:r w:rsidRPr="00471CBA">
              <w:rPr>
                <w:sz w:val="16"/>
                <w:szCs w:val="16"/>
              </w:rPr>
              <w:t>-</w:t>
            </w:r>
          </w:p>
        </w:tc>
        <w:tc>
          <w:tcPr>
            <w:tcW w:w="342" w:type="pct"/>
            <w:noWrap/>
            <w:vAlign w:val="bottom"/>
          </w:tcPr>
          <w:p w14:paraId="1D7A47E6" w14:textId="2E0EA71C" w:rsidR="000C2E4B" w:rsidRPr="00471CBA" w:rsidRDefault="000C2E4B" w:rsidP="000C2E4B">
            <w:pPr>
              <w:jc w:val="right"/>
              <w:rPr>
                <w:sz w:val="16"/>
                <w:szCs w:val="16"/>
              </w:rPr>
            </w:pPr>
            <w:r w:rsidRPr="00471CBA">
              <w:rPr>
                <w:sz w:val="16"/>
                <w:szCs w:val="16"/>
              </w:rPr>
              <w:t>616.963</w:t>
            </w:r>
          </w:p>
        </w:tc>
        <w:tc>
          <w:tcPr>
            <w:tcW w:w="239" w:type="pct"/>
            <w:vAlign w:val="bottom"/>
          </w:tcPr>
          <w:p w14:paraId="77250B15" w14:textId="08186AB4" w:rsidR="000C2E4B" w:rsidRPr="00471CBA" w:rsidRDefault="000C2E4B" w:rsidP="000C2E4B">
            <w:pPr>
              <w:jc w:val="right"/>
              <w:rPr>
                <w:sz w:val="16"/>
                <w:szCs w:val="16"/>
              </w:rPr>
            </w:pPr>
            <w:r w:rsidRPr="00471CBA">
              <w:rPr>
                <w:sz w:val="16"/>
                <w:szCs w:val="16"/>
              </w:rPr>
              <w:t>-</w:t>
            </w:r>
          </w:p>
        </w:tc>
        <w:tc>
          <w:tcPr>
            <w:tcW w:w="239" w:type="pct"/>
            <w:vAlign w:val="bottom"/>
          </w:tcPr>
          <w:p w14:paraId="63271E3C" w14:textId="518D3A55" w:rsidR="000C2E4B" w:rsidRPr="00471CBA" w:rsidRDefault="000C2E4B" w:rsidP="000C2E4B">
            <w:pPr>
              <w:jc w:val="right"/>
              <w:rPr>
                <w:sz w:val="16"/>
                <w:szCs w:val="16"/>
              </w:rPr>
            </w:pPr>
            <w:r w:rsidRPr="00471CBA">
              <w:rPr>
                <w:sz w:val="16"/>
                <w:szCs w:val="16"/>
              </w:rPr>
              <w:t>-</w:t>
            </w:r>
          </w:p>
        </w:tc>
        <w:tc>
          <w:tcPr>
            <w:tcW w:w="239" w:type="pct"/>
            <w:noWrap/>
            <w:vAlign w:val="bottom"/>
          </w:tcPr>
          <w:p w14:paraId="6EBFDC81" w14:textId="54285D10" w:rsidR="000C2E4B" w:rsidRPr="00471CBA" w:rsidRDefault="000C2E4B" w:rsidP="000C2E4B">
            <w:pPr>
              <w:jc w:val="right"/>
              <w:rPr>
                <w:sz w:val="16"/>
                <w:szCs w:val="16"/>
              </w:rPr>
            </w:pPr>
            <w:r w:rsidRPr="00471CBA">
              <w:rPr>
                <w:sz w:val="16"/>
                <w:szCs w:val="16"/>
              </w:rPr>
              <w:t>29.242</w:t>
            </w:r>
          </w:p>
        </w:tc>
        <w:tc>
          <w:tcPr>
            <w:tcW w:w="239" w:type="pct"/>
            <w:noWrap/>
            <w:vAlign w:val="bottom"/>
          </w:tcPr>
          <w:p w14:paraId="517B329B" w14:textId="75F0C583" w:rsidR="000C2E4B" w:rsidRPr="00471CBA" w:rsidRDefault="000C2E4B" w:rsidP="000C2E4B">
            <w:pPr>
              <w:jc w:val="right"/>
              <w:rPr>
                <w:sz w:val="16"/>
                <w:szCs w:val="16"/>
              </w:rPr>
            </w:pPr>
            <w:r w:rsidRPr="00471CBA">
              <w:rPr>
                <w:sz w:val="16"/>
                <w:szCs w:val="16"/>
              </w:rPr>
              <w:t>-</w:t>
            </w:r>
          </w:p>
        </w:tc>
        <w:tc>
          <w:tcPr>
            <w:tcW w:w="342" w:type="pct"/>
            <w:noWrap/>
            <w:vAlign w:val="bottom"/>
          </w:tcPr>
          <w:p w14:paraId="7E5133F4" w14:textId="204B56D4" w:rsidR="000C2E4B" w:rsidRPr="00471CBA" w:rsidRDefault="000C2E4B" w:rsidP="000C2E4B">
            <w:pPr>
              <w:jc w:val="right"/>
              <w:rPr>
                <w:sz w:val="16"/>
                <w:szCs w:val="16"/>
              </w:rPr>
            </w:pPr>
            <w:r w:rsidRPr="00471CBA">
              <w:rPr>
                <w:sz w:val="16"/>
                <w:szCs w:val="16"/>
              </w:rPr>
              <w:t>-</w:t>
            </w:r>
          </w:p>
        </w:tc>
        <w:tc>
          <w:tcPr>
            <w:tcW w:w="280" w:type="pct"/>
            <w:noWrap/>
            <w:vAlign w:val="bottom"/>
          </w:tcPr>
          <w:p w14:paraId="0C431B11" w14:textId="3A87913E" w:rsidR="000C2E4B" w:rsidRPr="00471CBA" w:rsidRDefault="000C2E4B" w:rsidP="000C2E4B">
            <w:pPr>
              <w:jc w:val="right"/>
              <w:rPr>
                <w:sz w:val="16"/>
                <w:szCs w:val="16"/>
              </w:rPr>
            </w:pPr>
            <w:r w:rsidRPr="00471CBA">
              <w:rPr>
                <w:sz w:val="16"/>
                <w:szCs w:val="16"/>
              </w:rPr>
              <w:t>-</w:t>
            </w:r>
          </w:p>
        </w:tc>
        <w:tc>
          <w:tcPr>
            <w:tcW w:w="280" w:type="pct"/>
            <w:vAlign w:val="bottom"/>
          </w:tcPr>
          <w:p w14:paraId="057225BC" w14:textId="765D3E8C" w:rsidR="000C2E4B" w:rsidRPr="00471CBA" w:rsidRDefault="000C2E4B" w:rsidP="000C2E4B">
            <w:pPr>
              <w:jc w:val="right"/>
              <w:rPr>
                <w:sz w:val="16"/>
                <w:szCs w:val="16"/>
              </w:rPr>
            </w:pPr>
            <w:r w:rsidRPr="00471CBA">
              <w:rPr>
                <w:sz w:val="16"/>
                <w:szCs w:val="16"/>
              </w:rPr>
              <w:t>-</w:t>
            </w:r>
          </w:p>
        </w:tc>
        <w:tc>
          <w:tcPr>
            <w:tcW w:w="271" w:type="pct"/>
            <w:noWrap/>
            <w:vAlign w:val="bottom"/>
          </w:tcPr>
          <w:p w14:paraId="071E4683" w14:textId="085D634E" w:rsidR="000C2E4B" w:rsidRPr="00471CBA" w:rsidRDefault="000C2E4B" w:rsidP="000C2E4B">
            <w:pPr>
              <w:jc w:val="right"/>
              <w:rPr>
                <w:sz w:val="16"/>
                <w:szCs w:val="16"/>
              </w:rPr>
            </w:pPr>
            <w:r w:rsidRPr="00471CBA">
              <w:rPr>
                <w:sz w:val="16"/>
                <w:szCs w:val="16"/>
              </w:rPr>
              <w:t>-</w:t>
            </w:r>
          </w:p>
        </w:tc>
        <w:tc>
          <w:tcPr>
            <w:tcW w:w="405" w:type="pct"/>
            <w:noWrap/>
            <w:vAlign w:val="bottom"/>
          </w:tcPr>
          <w:p w14:paraId="2F83BF52" w14:textId="748AD38E" w:rsidR="000C2E4B" w:rsidRPr="00471CBA" w:rsidRDefault="000C2E4B" w:rsidP="000C2E4B">
            <w:pPr>
              <w:jc w:val="right"/>
              <w:rPr>
                <w:sz w:val="16"/>
                <w:szCs w:val="16"/>
              </w:rPr>
            </w:pPr>
            <w:r w:rsidRPr="00471CBA">
              <w:rPr>
                <w:sz w:val="16"/>
                <w:szCs w:val="16"/>
              </w:rPr>
              <w:t>646.206</w:t>
            </w:r>
          </w:p>
        </w:tc>
      </w:tr>
      <w:tr w:rsidR="000C2E4B" w:rsidRPr="00471CBA" w14:paraId="686D5B18" w14:textId="77777777" w:rsidTr="000C2E4B">
        <w:trPr>
          <w:trHeight w:val="36"/>
        </w:trPr>
        <w:tc>
          <w:tcPr>
            <w:tcW w:w="1544" w:type="pct"/>
            <w:vAlign w:val="center"/>
            <w:hideMark/>
          </w:tcPr>
          <w:p w14:paraId="403A93B0" w14:textId="77777777" w:rsidR="000C2E4B" w:rsidRPr="00471CBA" w:rsidRDefault="000C2E4B" w:rsidP="000C2E4B">
            <w:pPr>
              <w:rPr>
                <w:sz w:val="16"/>
                <w:szCs w:val="16"/>
              </w:rPr>
            </w:pPr>
            <w:r w:rsidRPr="00471CBA">
              <w:rPr>
                <w:sz w:val="16"/>
                <w:szCs w:val="16"/>
              </w:rPr>
              <w:t>Kurumsal alacaklar</w:t>
            </w:r>
          </w:p>
        </w:tc>
        <w:tc>
          <w:tcPr>
            <w:tcW w:w="342" w:type="pct"/>
            <w:noWrap/>
            <w:vAlign w:val="bottom"/>
          </w:tcPr>
          <w:p w14:paraId="2240A8DF" w14:textId="78EFA40E" w:rsidR="000C2E4B" w:rsidRPr="00471CBA" w:rsidRDefault="000C2E4B" w:rsidP="000C2E4B">
            <w:pPr>
              <w:jc w:val="right"/>
              <w:rPr>
                <w:sz w:val="16"/>
                <w:szCs w:val="16"/>
              </w:rPr>
            </w:pPr>
            <w:r w:rsidRPr="00471CBA">
              <w:rPr>
                <w:sz w:val="16"/>
                <w:szCs w:val="16"/>
              </w:rPr>
              <w:t>-</w:t>
            </w:r>
          </w:p>
        </w:tc>
        <w:tc>
          <w:tcPr>
            <w:tcW w:w="239" w:type="pct"/>
            <w:noWrap/>
            <w:vAlign w:val="bottom"/>
          </w:tcPr>
          <w:p w14:paraId="259B3600" w14:textId="6818B1FA" w:rsidR="000C2E4B" w:rsidRPr="00471CBA" w:rsidRDefault="000C2E4B" w:rsidP="000C2E4B">
            <w:pPr>
              <w:jc w:val="right"/>
              <w:rPr>
                <w:sz w:val="16"/>
                <w:szCs w:val="16"/>
              </w:rPr>
            </w:pPr>
            <w:r w:rsidRPr="00471CBA">
              <w:rPr>
                <w:sz w:val="16"/>
                <w:szCs w:val="16"/>
              </w:rPr>
              <w:t>-</w:t>
            </w:r>
          </w:p>
        </w:tc>
        <w:tc>
          <w:tcPr>
            <w:tcW w:w="342" w:type="pct"/>
            <w:noWrap/>
            <w:vAlign w:val="bottom"/>
          </w:tcPr>
          <w:p w14:paraId="4E736050" w14:textId="7CFDA44A" w:rsidR="000C2E4B" w:rsidRPr="00471CBA" w:rsidRDefault="000C2E4B" w:rsidP="000C2E4B">
            <w:pPr>
              <w:jc w:val="right"/>
              <w:rPr>
                <w:sz w:val="16"/>
                <w:szCs w:val="16"/>
              </w:rPr>
            </w:pPr>
            <w:r w:rsidRPr="00471CBA">
              <w:rPr>
                <w:sz w:val="16"/>
                <w:szCs w:val="16"/>
              </w:rPr>
              <w:t>-</w:t>
            </w:r>
          </w:p>
        </w:tc>
        <w:tc>
          <w:tcPr>
            <w:tcW w:w="239" w:type="pct"/>
            <w:vAlign w:val="bottom"/>
          </w:tcPr>
          <w:p w14:paraId="3B42AD63" w14:textId="49208965" w:rsidR="000C2E4B" w:rsidRPr="00471CBA" w:rsidRDefault="000C2E4B" w:rsidP="000C2E4B">
            <w:pPr>
              <w:jc w:val="right"/>
              <w:rPr>
                <w:sz w:val="16"/>
                <w:szCs w:val="16"/>
              </w:rPr>
            </w:pPr>
            <w:r w:rsidRPr="00471CBA">
              <w:rPr>
                <w:sz w:val="16"/>
                <w:szCs w:val="16"/>
              </w:rPr>
              <w:t>-</w:t>
            </w:r>
          </w:p>
        </w:tc>
        <w:tc>
          <w:tcPr>
            <w:tcW w:w="239" w:type="pct"/>
            <w:vAlign w:val="bottom"/>
          </w:tcPr>
          <w:p w14:paraId="08027E05" w14:textId="424A713E" w:rsidR="000C2E4B" w:rsidRPr="00471CBA" w:rsidRDefault="000C2E4B" w:rsidP="000C2E4B">
            <w:pPr>
              <w:jc w:val="right"/>
              <w:rPr>
                <w:sz w:val="16"/>
                <w:szCs w:val="16"/>
              </w:rPr>
            </w:pPr>
            <w:r w:rsidRPr="00471CBA">
              <w:rPr>
                <w:sz w:val="16"/>
                <w:szCs w:val="16"/>
              </w:rPr>
              <w:t>-</w:t>
            </w:r>
          </w:p>
        </w:tc>
        <w:tc>
          <w:tcPr>
            <w:tcW w:w="239" w:type="pct"/>
            <w:noWrap/>
            <w:vAlign w:val="bottom"/>
          </w:tcPr>
          <w:p w14:paraId="62A92B21" w14:textId="0C1B7FD2" w:rsidR="000C2E4B" w:rsidRPr="00471CBA" w:rsidRDefault="000C2E4B" w:rsidP="000C2E4B">
            <w:pPr>
              <w:jc w:val="right"/>
              <w:rPr>
                <w:sz w:val="16"/>
                <w:szCs w:val="16"/>
              </w:rPr>
            </w:pPr>
            <w:r w:rsidRPr="00471CBA">
              <w:rPr>
                <w:sz w:val="16"/>
                <w:szCs w:val="16"/>
              </w:rPr>
              <w:t>-</w:t>
            </w:r>
          </w:p>
        </w:tc>
        <w:tc>
          <w:tcPr>
            <w:tcW w:w="239" w:type="pct"/>
            <w:noWrap/>
            <w:vAlign w:val="bottom"/>
          </w:tcPr>
          <w:p w14:paraId="0EE87C5D" w14:textId="19DD10C3" w:rsidR="000C2E4B" w:rsidRPr="00471CBA" w:rsidRDefault="000C2E4B" w:rsidP="000C2E4B">
            <w:pPr>
              <w:jc w:val="right"/>
              <w:rPr>
                <w:sz w:val="16"/>
                <w:szCs w:val="16"/>
              </w:rPr>
            </w:pPr>
            <w:r w:rsidRPr="00471CBA">
              <w:rPr>
                <w:sz w:val="16"/>
                <w:szCs w:val="16"/>
              </w:rPr>
              <w:t>-</w:t>
            </w:r>
          </w:p>
        </w:tc>
        <w:tc>
          <w:tcPr>
            <w:tcW w:w="342" w:type="pct"/>
            <w:noWrap/>
            <w:vAlign w:val="bottom"/>
          </w:tcPr>
          <w:p w14:paraId="07F7BA6E" w14:textId="294C781A" w:rsidR="000C2E4B" w:rsidRPr="00471CBA" w:rsidRDefault="000C2E4B" w:rsidP="000C2E4B">
            <w:pPr>
              <w:jc w:val="right"/>
              <w:rPr>
                <w:sz w:val="16"/>
                <w:szCs w:val="16"/>
              </w:rPr>
            </w:pPr>
            <w:r w:rsidRPr="00471CBA">
              <w:rPr>
                <w:sz w:val="16"/>
                <w:szCs w:val="16"/>
              </w:rPr>
              <w:t>1.891.596</w:t>
            </w:r>
          </w:p>
        </w:tc>
        <w:tc>
          <w:tcPr>
            <w:tcW w:w="280" w:type="pct"/>
            <w:noWrap/>
            <w:vAlign w:val="bottom"/>
          </w:tcPr>
          <w:p w14:paraId="45B7BBBE" w14:textId="55CA8175" w:rsidR="000C2E4B" w:rsidRPr="00471CBA" w:rsidRDefault="000C2E4B" w:rsidP="000C2E4B">
            <w:pPr>
              <w:jc w:val="right"/>
              <w:rPr>
                <w:sz w:val="16"/>
                <w:szCs w:val="16"/>
              </w:rPr>
            </w:pPr>
            <w:r w:rsidRPr="00471CBA">
              <w:rPr>
                <w:sz w:val="16"/>
                <w:szCs w:val="16"/>
              </w:rPr>
              <w:t>-</w:t>
            </w:r>
          </w:p>
        </w:tc>
        <w:tc>
          <w:tcPr>
            <w:tcW w:w="280" w:type="pct"/>
            <w:vAlign w:val="bottom"/>
          </w:tcPr>
          <w:p w14:paraId="34AA4130" w14:textId="16FF8135" w:rsidR="000C2E4B" w:rsidRPr="00471CBA" w:rsidRDefault="000C2E4B" w:rsidP="000C2E4B">
            <w:pPr>
              <w:jc w:val="right"/>
              <w:rPr>
                <w:sz w:val="16"/>
                <w:szCs w:val="16"/>
              </w:rPr>
            </w:pPr>
            <w:r w:rsidRPr="00471CBA">
              <w:rPr>
                <w:sz w:val="16"/>
                <w:szCs w:val="16"/>
              </w:rPr>
              <w:t>-</w:t>
            </w:r>
          </w:p>
        </w:tc>
        <w:tc>
          <w:tcPr>
            <w:tcW w:w="271" w:type="pct"/>
            <w:noWrap/>
            <w:vAlign w:val="bottom"/>
          </w:tcPr>
          <w:p w14:paraId="0293AE20" w14:textId="750A0FE0" w:rsidR="000C2E4B" w:rsidRPr="00471CBA" w:rsidRDefault="000C2E4B" w:rsidP="000C2E4B">
            <w:pPr>
              <w:jc w:val="right"/>
              <w:rPr>
                <w:sz w:val="16"/>
                <w:szCs w:val="16"/>
              </w:rPr>
            </w:pPr>
            <w:r w:rsidRPr="00471CBA">
              <w:rPr>
                <w:sz w:val="16"/>
                <w:szCs w:val="16"/>
              </w:rPr>
              <w:t>-</w:t>
            </w:r>
          </w:p>
        </w:tc>
        <w:tc>
          <w:tcPr>
            <w:tcW w:w="405" w:type="pct"/>
            <w:noWrap/>
            <w:vAlign w:val="bottom"/>
          </w:tcPr>
          <w:p w14:paraId="768BB360" w14:textId="648FD5E9" w:rsidR="000C2E4B" w:rsidRPr="00471CBA" w:rsidRDefault="000C2E4B" w:rsidP="000C2E4B">
            <w:pPr>
              <w:jc w:val="right"/>
              <w:rPr>
                <w:sz w:val="16"/>
                <w:szCs w:val="16"/>
              </w:rPr>
            </w:pPr>
            <w:r w:rsidRPr="00471CBA">
              <w:rPr>
                <w:sz w:val="16"/>
                <w:szCs w:val="16"/>
              </w:rPr>
              <w:t>1.891.596</w:t>
            </w:r>
          </w:p>
        </w:tc>
      </w:tr>
      <w:tr w:rsidR="000C2E4B" w:rsidRPr="00471CBA" w14:paraId="745839A6" w14:textId="77777777" w:rsidTr="000C2E4B">
        <w:trPr>
          <w:trHeight w:val="36"/>
        </w:trPr>
        <w:tc>
          <w:tcPr>
            <w:tcW w:w="1544" w:type="pct"/>
            <w:vAlign w:val="center"/>
            <w:hideMark/>
          </w:tcPr>
          <w:p w14:paraId="464C83CE" w14:textId="77777777" w:rsidR="000C2E4B" w:rsidRPr="00471CBA" w:rsidRDefault="000C2E4B" w:rsidP="000C2E4B">
            <w:pPr>
              <w:rPr>
                <w:sz w:val="16"/>
                <w:szCs w:val="16"/>
              </w:rPr>
            </w:pPr>
            <w:r w:rsidRPr="00471CBA">
              <w:rPr>
                <w:sz w:val="16"/>
                <w:szCs w:val="16"/>
              </w:rPr>
              <w:t>Perakende alacaklar</w:t>
            </w:r>
          </w:p>
        </w:tc>
        <w:tc>
          <w:tcPr>
            <w:tcW w:w="342" w:type="pct"/>
            <w:noWrap/>
            <w:vAlign w:val="bottom"/>
          </w:tcPr>
          <w:p w14:paraId="006958BF" w14:textId="27080673" w:rsidR="000C2E4B" w:rsidRPr="00471CBA" w:rsidRDefault="000C2E4B" w:rsidP="000C2E4B">
            <w:pPr>
              <w:jc w:val="right"/>
              <w:rPr>
                <w:sz w:val="16"/>
                <w:szCs w:val="16"/>
              </w:rPr>
            </w:pPr>
            <w:r w:rsidRPr="00471CBA">
              <w:rPr>
                <w:sz w:val="16"/>
                <w:szCs w:val="16"/>
              </w:rPr>
              <w:t>-</w:t>
            </w:r>
          </w:p>
        </w:tc>
        <w:tc>
          <w:tcPr>
            <w:tcW w:w="239" w:type="pct"/>
            <w:noWrap/>
            <w:vAlign w:val="bottom"/>
          </w:tcPr>
          <w:p w14:paraId="647E41DF" w14:textId="72871425" w:rsidR="000C2E4B" w:rsidRPr="00471CBA" w:rsidRDefault="000C2E4B" w:rsidP="000C2E4B">
            <w:pPr>
              <w:jc w:val="right"/>
              <w:rPr>
                <w:sz w:val="16"/>
                <w:szCs w:val="16"/>
              </w:rPr>
            </w:pPr>
            <w:r w:rsidRPr="00471CBA">
              <w:rPr>
                <w:sz w:val="16"/>
                <w:szCs w:val="16"/>
              </w:rPr>
              <w:t>-</w:t>
            </w:r>
          </w:p>
        </w:tc>
        <w:tc>
          <w:tcPr>
            <w:tcW w:w="342" w:type="pct"/>
            <w:noWrap/>
            <w:vAlign w:val="bottom"/>
          </w:tcPr>
          <w:p w14:paraId="5AB1E17A" w14:textId="40C75C2D" w:rsidR="000C2E4B" w:rsidRPr="00471CBA" w:rsidRDefault="000C2E4B" w:rsidP="000C2E4B">
            <w:pPr>
              <w:jc w:val="right"/>
              <w:rPr>
                <w:sz w:val="16"/>
                <w:szCs w:val="16"/>
              </w:rPr>
            </w:pPr>
            <w:r w:rsidRPr="00471CBA">
              <w:rPr>
                <w:sz w:val="16"/>
                <w:szCs w:val="16"/>
              </w:rPr>
              <w:t>-</w:t>
            </w:r>
          </w:p>
        </w:tc>
        <w:tc>
          <w:tcPr>
            <w:tcW w:w="239" w:type="pct"/>
            <w:vAlign w:val="bottom"/>
          </w:tcPr>
          <w:p w14:paraId="7523E8E6" w14:textId="07442D7D" w:rsidR="000C2E4B" w:rsidRPr="00471CBA" w:rsidRDefault="000C2E4B" w:rsidP="000C2E4B">
            <w:pPr>
              <w:jc w:val="right"/>
              <w:rPr>
                <w:sz w:val="16"/>
                <w:szCs w:val="16"/>
              </w:rPr>
            </w:pPr>
            <w:r w:rsidRPr="00471CBA">
              <w:rPr>
                <w:sz w:val="16"/>
                <w:szCs w:val="16"/>
              </w:rPr>
              <w:t>-</w:t>
            </w:r>
          </w:p>
        </w:tc>
        <w:tc>
          <w:tcPr>
            <w:tcW w:w="239" w:type="pct"/>
            <w:vAlign w:val="bottom"/>
          </w:tcPr>
          <w:p w14:paraId="7DAAA8C0" w14:textId="3A389D76" w:rsidR="000C2E4B" w:rsidRPr="00471CBA" w:rsidRDefault="000C2E4B" w:rsidP="000C2E4B">
            <w:pPr>
              <w:jc w:val="right"/>
              <w:rPr>
                <w:sz w:val="16"/>
                <w:szCs w:val="16"/>
              </w:rPr>
            </w:pPr>
            <w:r w:rsidRPr="00471CBA">
              <w:rPr>
                <w:sz w:val="16"/>
                <w:szCs w:val="16"/>
              </w:rPr>
              <w:t>-</w:t>
            </w:r>
          </w:p>
        </w:tc>
        <w:tc>
          <w:tcPr>
            <w:tcW w:w="239" w:type="pct"/>
            <w:noWrap/>
            <w:vAlign w:val="bottom"/>
          </w:tcPr>
          <w:p w14:paraId="1718CEDB" w14:textId="1FFFDEA1" w:rsidR="000C2E4B" w:rsidRPr="00471CBA" w:rsidRDefault="000C2E4B" w:rsidP="000C2E4B">
            <w:pPr>
              <w:jc w:val="right"/>
              <w:rPr>
                <w:sz w:val="16"/>
                <w:szCs w:val="16"/>
              </w:rPr>
            </w:pPr>
            <w:r w:rsidRPr="00471CBA">
              <w:rPr>
                <w:sz w:val="16"/>
                <w:szCs w:val="16"/>
              </w:rPr>
              <w:t>-</w:t>
            </w:r>
          </w:p>
        </w:tc>
        <w:tc>
          <w:tcPr>
            <w:tcW w:w="239" w:type="pct"/>
            <w:noWrap/>
            <w:vAlign w:val="bottom"/>
          </w:tcPr>
          <w:p w14:paraId="2DC459D6" w14:textId="1BEB79A6" w:rsidR="000C2E4B" w:rsidRPr="00471CBA" w:rsidRDefault="000C2E4B" w:rsidP="000C2E4B">
            <w:pPr>
              <w:jc w:val="right"/>
              <w:rPr>
                <w:sz w:val="16"/>
                <w:szCs w:val="16"/>
              </w:rPr>
            </w:pPr>
            <w:r w:rsidRPr="00471CBA">
              <w:rPr>
                <w:sz w:val="16"/>
                <w:szCs w:val="16"/>
              </w:rPr>
              <w:t>-</w:t>
            </w:r>
          </w:p>
        </w:tc>
        <w:tc>
          <w:tcPr>
            <w:tcW w:w="342" w:type="pct"/>
            <w:noWrap/>
            <w:vAlign w:val="bottom"/>
          </w:tcPr>
          <w:p w14:paraId="60B73C02" w14:textId="19ABB1DF" w:rsidR="000C2E4B" w:rsidRPr="00471CBA" w:rsidRDefault="000C2E4B" w:rsidP="000C2E4B">
            <w:pPr>
              <w:jc w:val="right"/>
              <w:rPr>
                <w:sz w:val="16"/>
                <w:szCs w:val="16"/>
              </w:rPr>
            </w:pPr>
            <w:r w:rsidRPr="00471CBA">
              <w:rPr>
                <w:sz w:val="16"/>
                <w:szCs w:val="16"/>
              </w:rPr>
              <w:t>-</w:t>
            </w:r>
          </w:p>
        </w:tc>
        <w:tc>
          <w:tcPr>
            <w:tcW w:w="280" w:type="pct"/>
            <w:noWrap/>
            <w:vAlign w:val="bottom"/>
          </w:tcPr>
          <w:p w14:paraId="70860DB0" w14:textId="4BF4CA66" w:rsidR="000C2E4B" w:rsidRPr="00471CBA" w:rsidRDefault="000C2E4B" w:rsidP="000C2E4B">
            <w:pPr>
              <w:jc w:val="right"/>
              <w:rPr>
                <w:sz w:val="16"/>
                <w:szCs w:val="16"/>
              </w:rPr>
            </w:pPr>
            <w:r w:rsidRPr="00471CBA">
              <w:rPr>
                <w:sz w:val="16"/>
                <w:szCs w:val="16"/>
              </w:rPr>
              <w:t>-</w:t>
            </w:r>
          </w:p>
        </w:tc>
        <w:tc>
          <w:tcPr>
            <w:tcW w:w="280" w:type="pct"/>
            <w:vAlign w:val="bottom"/>
          </w:tcPr>
          <w:p w14:paraId="61C80788" w14:textId="3731EF8D" w:rsidR="000C2E4B" w:rsidRPr="00471CBA" w:rsidRDefault="000C2E4B" w:rsidP="000C2E4B">
            <w:pPr>
              <w:jc w:val="right"/>
              <w:rPr>
                <w:sz w:val="16"/>
                <w:szCs w:val="16"/>
              </w:rPr>
            </w:pPr>
            <w:r w:rsidRPr="00471CBA">
              <w:rPr>
                <w:sz w:val="16"/>
                <w:szCs w:val="16"/>
              </w:rPr>
              <w:t>-</w:t>
            </w:r>
          </w:p>
        </w:tc>
        <w:tc>
          <w:tcPr>
            <w:tcW w:w="271" w:type="pct"/>
            <w:noWrap/>
            <w:vAlign w:val="bottom"/>
          </w:tcPr>
          <w:p w14:paraId="51D5CA24" w14:textId="0279F9B8" w:rsidR="000C2E4B" w:rsidRPr="00471CBA" w:rsidRDefault="000C2E4B" w:rsidP="000C2E4B">
            <w:pPr>
              <w:jc w:val="right"/>
              <w:rPr>
                <w:sz w:val="16"/>
                <w:szCs w:val="16"/>
              </w:rPr>
            </w:pPr>
            <w:r w:rsidRPr="00471CBA">
              <w:rPr>
                <w:sz w:val="16"/>
                <w:szCs w:val="16"/>
              </w:rPr>
              <w:t>-</w:t>
            </w:r>
          </w:p>
        </w:tc>
        <w:tc>
          <w:tcPr>
            <w:tcW w:w="405" w:type="pct"/>
            <w:noWrap/>
            <w:vAlign w:val="bottom"/>
          </w:tcPr>
          <w:p w14:paraId="11B8A9D6" w14:textId="37259C92" w:rsidR="000C2E4B" w:rsidRPr="00471CBA" w:rsidRDefault="000C2E4B" w:rsidP="000C2E4B">
            <w:pPr>
              <w:jc w:val="right"/>
              <w:rPr>
                <w:sz w:val="16"/>
                <w:szCs w:val="16"/>
              </w:rPr>
            </w:pPr>
            <w:r w:rsidRPr="00471CBA">
              <w:rPr>
                <w:sz w:val="16"/>
                <w:szCs w:val="16"/>
              </w:rPr>
              <w:t>-</w:t>
            </w:r>
          </w:p>
        </w:tc>
      </w:tr>
      <w:tr w:rsidR="000C2E4B" w:rsidRPr="00471CBA" w14:paraId="730819A9" w14:textId="77777777" w:rsidTr="000C2E4B">
        <w:trPr>
          <w:trHeight w:val="36"/>
        </w:trPr>
        <w:tc>
          <w:tcPr>
            <w:tcW w:w="1544" w:type="pct"/>
            <w:vAlign w:val="center"/>
            <w:hideMark/>
          </w:tcPr>
          <w:p w14:paraId="77A89D5F" w14:textId="77777777" w:rsidR="000C2E4B" w:rsidRPr="00471CBA" w:rsidRDefault="000C2E4B" w:rsidP="000C2E4B">
            <w:pPr>
              <w:rPr>
                <w:sz w:val="16"/>
                <w:szCs w:val="16"/>
              </w:rPr>
            </w:pPr>
            <w:r w:rsidRPr="00471CBA">
              <w:rPr>
                <w:sz w:val="16"/>
                <w:szCs w:val="16"/>
              </w:rPr>
              <w:t>Gayrimenkul ipoteğiyle teminatlandırılmış alacaklar</w:t>
            </w:r>
          </w:p>
        </w:tc>
        <w:tc>
          <w:tcPr>
            <w:tcW w:w="342" w:type="pct"/>
            <w:noWrap/>
            <w:vAlign w:val="bottom"/>
          </w:tcPr>
          <w:p w14:paraId="1AAA4052" w14:textId="10F6901D" w:rsidR="000C2E4B" w:rsidRPr="00471CBA" w:rsidRDefault="000C2E4B" w:rsidP="000C2E4B">
            <w:pPr>
              <w:jc w:val="right"/>
              <w:rPr>
                <w:sz w:val="16"/>
                <w:szCs w:val="16"/>
              </w:rPr>
            </w:pPr>
            <w:r w:rsidRPr="00471CBA">
              <w:rPr>
                <w:sz w:val="16"/>
                <w:szCs w:val="16"/>
              </w:rPr>
              <w:t>-</w:t>
            </w:r>
          </w:p>
        </w:tc>
        <w:tc>
          <w:tcPr>
            <w:tcW w:w="239" w:type="pct"/>
            <w:noWrap/>
            <w:vAlign w:val="bottom"/>
          </w:tcPr>
          <w:p w14:paraId="1072588B" w14:textId="44D62F44" w:rsidR="000C2E4B" w:rsidRPr="00471CBA" w:rsidRDefault="000C2E4B" w:rsidP="000C2E4B">
            <w:pPr>
              <w:jc w:val="right"/>
              <w:rPr>
                <w:sz w:val="16"/>
                <w:szCs w:val="16"/>
              </w:rPr>
            </w:pPr>
            <w:r w:rsidRPr="00471CBA">
              <w:rPr>
                <w:sz w:val="16"/>
                <w:szCs w:val="16"/>
              </w:rPr>
              <w:t>-</w:t>
            </w:r>
          </w:p>
        </w:tc>
        <w:tc>
          <w:tcPr>
            <w:tcW w:w="342" w:type="pct"/>
            <w:noWrap/>
            <w:vAlign w:val="bottom"/>
          </w:tcPr>
          <w:p w14:paraId="0DBB7C4E" w14:textId="1CCE842D" w:rsidR="000C2E4B" w:rsidRPr="00471CBA" w:rsidRDefault="000C2E4B" w:rsidP="000C2E4B">
            <w:pPr>
              <w:jc w:val="right"/>
              <w:rPr>
                <w:sz w:val="16"/>
                <w:szCs w:val="16"/>
              </w:rPr>
            </w:pPr>
            <w:r w:rsidRPr="00471CBA">
              <w:rPr>
                <w:sz w:val="16"/>
                <w:szCs w:val="16"/>
              </w:rPr>
              <w:t>-</w:t>
            </w:r>
          </w:p>
        </w:tc>
        <w:tc>
          <w:tcPr>
            <w:tcW w:w="239" w:type="pct"/>
            <w:vAlign w:val="bottom"/>
          </w:tcPr>
          <w:p w14:paraId="6C9C6B77" w14:textId="6A8A088C" w:rsidR="000C2E4B" w:rsidRPr="00471CBA" w:rsidRDefault="000C2E4B" w:rsidP="000C2E4B">
            <w:pPr>
              <w:jc w:val="right"/>
              <w:rPr>
                <w:sz w:val="16"/>
                <w:szCs w:val="16"/>
              </w:rPr>
            </w:pPr>
            <w:r w:rsidRPr="00471CBA">
              <w:rPr>
                <w:sz w:val="16"/>
                <w:szCs w:val="16"/>
              </w:rPr>
              <w:t>-</w:t>
            </w:r>
          </w:p>
        </w:tc>
        <w:tc>
          <w:tcPr>
            <w:tcW w:w="239" w:type="pct"/>
            <w:vAlign w:val="bottom"/>
          </w:tcPr>
          <w:p w14:paraId="47D397BC" w14:textId="06F799BD" w:rsidR="000C2E4B" w:rsidRPr="00471CBA" w:rsidRDefault="000C2E4B" w:rsidP="000C2E4B">
            <w:pPr>
              <w:jc w:val="right"/>
              <w:rPr>
                <w:sz w:val="16"/>
                <w:szCs w:val="16"/>
              </w:rPr>
            </w:pPr>
            <w:r w:rsidRPr="00471CBA">
              <w:rPr>
                <w:sz w:val="16"/>
                <w:szCs w:val="16"/>
              </w:rPr>
              <w:t>-</w:t>
            </w:r>
          </w:p>
        </w:tc>
        <w:tc>
          <w:tcPr>
            <w:tcW w:w="239" w:type="pct"/>
            <w:noWrap/>
            <w:vAlign w:val="bottom"/>
          </w:tcPr>
          <w:p w14:paraId="1B70E988" w14:textId="7D24E945" w:rsidR="000C2E4B" w:rsidRPr="00471CBA" w:rsidRDefault="000C2E4B" w:rsidP="000C2E4B">
            <w:pPr>
              <w:jc w:val="right"/>
              <w:rPr>
                <w:sz w:val="16"/>
                <w:szCs w:val="16"/>
              </w:rPr>
            </w:pPr>
            <w:r w:rsidRPr="00471CBA">
              <w:rPr>
                <w:sz w:val="16"/>
                <w:szCs w:val="16"/>
              </w:rPr>
              <w:t>-</w:t>
            </w:r>
          </w:p>
        </w:tc>
        <w:tc>
          <w:tcPr>
            <w:tcW w:w="239" w:type="pct"/>
            <w:noWrap/>
            <w:vAlign w:val="bottom"/>
          </w:tcPr>
          <w:p w14:paraId="55BBBEE7" w14:textId="404B2DF5" w:rsidR="000C2E4B" w:rsidRPr="00471CBA" w:rsidRDefault="000C2E4B" w:rsidP="000C2E4B">
            <w:pPr>
              <w:jc w:val="right"/>
              <w:rPr>
                <w:sz w:val="16"/>
                <w:szCs w:val="16"/>
              </w:rPr>
            </w:pPr>
            <w:r w:rsidRPr="00471CBA">
              <w:rPr>
                <w:sz w:val="16"/>
                <w:szCs w:val="16"/>
              </w:rPr>
              <w:t>-</w:t>
            </w:r>
          </w:p>
        </w:tc>
        <w:tc>
          <w:tcPr>
            <w:tcW w:w="342" w:type="pct"/>
            <w:noWrap/>
            <w:vAlign w:val="bottom"/>
          </w:tcPr>
          <w:p w14:paraId="1E977C1C" w14:textId="656EF968" w:rsidR="000C2E4B" w:rsidRPr="00471CBA" w:rsidRDefault="000C2E4B" w:rsidP="000C2E4B">
            <w:pPr>
              <w:jc w:val="right"/>
              <w:rPr>
                <w:sz w:val="16"/>
                <w:szCs w:val="16"/>
              </w:rPr>
            </w:pPr>
            <w:r w:rsidRPr="00471CBA">
              <w:rPr>
                <w:sz w:val="16"/>
                <w:szCs w:val="16"/>
              </w:rPr>
              <w:t>-</w:t>
            </w:r>
          </w:p>
        </w:tc>
        <w:tc>
          <w:tcPr>
            <w:tcW w:w="280" w:type="pct"/>
            <w:noWrap/>
            <w:vAlign w:val="bottom"/>
          </w:tcPr>
          <w:p w14:paraId="34810FFF" w14:textId="08FA3622" w:rsidR="000C2E4B" w:rsidRPr="00471CBA" w:rsidRDefault="000C2E4B" w:rsidP="000C2E4B">
            <w:pPr>
              <w:jc w:val="right"/>
              <w:rPr>
                <w:sz w:val="16"/>
                <w:szCs w:val="16"/>
              </w:rPr>
            </w:pPr>
            <w:r w:rsidRPr="00471CBA">
              <w:rPr>
                <w:sz w:val="16"/>
                <w:szCs w:val="16"/>
              </w:rPr>
              <w:t>-</w:t>
            </w:r>
          </w:p>
        </w:tc>
        <w:tc>
          <w:tcPr>
            <w:tcW w:w="280" w:type="pct"/>
            <w:vAlign w:val="bottom"/>
          </w:tcPr>
          <w:p w14:paraId="564F6A99" w14:textId="232951EF" w:rsidR="000C2E4B" w:rsidRPr="00471CBA" w:rsidRDefault="000C2E4B" w:rsidP="000C2E4B">
            <w:pPr>
              <w:jc w:val="right"/>
              <w:rPr>
                <w:sz w:val="16"/>
                <w:szCs w:val="16"/>
              </w:rPr>
            </w:pPr>
            <w:r w:rsidRPr="00471CBA">
              <w:rPr>
                <w:sz w:val="16"/>
                <w:szCs w:val="16"/>
              </w:rPr>
              <w:t>-</w:t>
            </w:r>
          </w:p>
        </w:tc>
        <w:tc>
          <w:tcPr>
            <w:tcW w:w="271" w:type="pct"/>
            <w:noWrap/>
            <w:vAlign w:val="bottom"/>
          </w:tcPr>
          <w:p w14:paraId="3FB95BEE" w14:textId="3D3A20DE" w:rsidR="000C2E4B" w:rsidRPr="00471CBA" w:rsidRDefault="000C2E4B" w:rsidP="000C2E4B">
            <w:pPr>
              <w:jc w:val="right"/>
              <w:rPr>
                <w:sz w:val="16"/>
                <w:szCs w:val="16"/>
              </w:rPr>
            </w:pPr>
            <w:r w:rsidRPr="00471CBA">
              <w:rPr>
                <w:sz w:val="16"/>
                <w:szCs w:val="16"/>
              </w:rPr>
              <w:t>-</w:t>
            </w:r>
          </w:p>
        </w:tc>
        <w:tc>
          <w:tcPr>
            <w:tcW w:w="405" w:type="pct"/>
            <w:noWrap/>
            <w:vAlign w:val="bottom"/>
          </w:tcPr>
          <w:p w14:paraId="450885F6" w14:textId="30A8BDCD" w:rsidR="000C2E4B" w:rsidRPr="00471CBA" w:rsidRDefault="000C2E4B" w:rsidP="000C2E4B">
            <w:pPr>
              <w:jc w:val="right"/>
              <w:rPr>
                <w:sz w:val="16"/>
                <w:szCs w:val="16"/>
              </w:rPr>
            </w:pPr>
            <w:r w:rsidRPr="00471CBA">
              <w:rPr>
                <w:sz w:val="16"/>
                <w:szCs w:val="16"/>
              </w:rPr>
              <w:t>-</w:t>
            </w:r>
          </w:p>
        </w:tc>
      </w:tr>
      <w:tr w:rsidR="000C2E4B" w:rsidRPr="00471CBA" w14:paraId="5247BCC9" w14:textId="77777777" w:rsidTr="000C2E4B">
        <w:trPr>
          <w:trHeight w:val="36"/>
        </w:trPr>
        <w:tc>
          <w:tcPr>
            <w:tcW w:w="1544" w:type="pct"/>
            <w:vAlign w:val="center"/>
            <w:hideMark/>
          </w:tcPr>
          <w:p w14:paraId="18CD6CCC" w14:textId="77777777" w:rsidR="000C2E4B" w:rsidRPr="00471CBA" w:rsidRDefault="000C2E4B" w:rsidP="000C2E4B">
            <w:pPr>
              <w:rPr>
                <w:sz w:val="16"/>
                <w:szCs w:val="16"/>
              </w:rPr>
            </w:pPr>
            <w:r w:rsidRPr="00471CBA">
              <w:rPr>
                <w:sz w:val="16"/>
                <w:szCs w:val="16"/>
              </w:rPr>
              <w:t>Tahsili gecikmiş alacaklar</w:t>
            </w:r>
          </w:p>
        </w:tc>
        <w:tc>
          <w:tcPr>
            <w:tcW w:w="342" w:type="pct"/>
            <w:noWrap/>
            <w:vAlign w:val="bottom"/>
          </w:tcPr>
          <w:p w14:paraId="1BD38017" w14:textId="3A035BBD" w:rsidR="000C2E4B" w:rsidRPr="00471CBA" w:rsidRDefault="000C2E4B" w:rsidP="000C2E4B">
            <w:pPr>
              <w:jc w:val="right"/>
              <w:rPr>
                <w:sz w:val="16"/>
                <w:szCs w:val="16"/>
              </w:rPr>
            </w:pPr>
            <w:r w:rsidRPr="00471CBA">
              <w:rPr>
                <w:sz w:val="16"/>
                <w:szCs w:val="16"/>
              </w:rPr>
              <w:t>-</w:t>
            </w:r>
          </w:p>
        </w:tc>
        <w:tc>
          <w:tcPr>
            <w:tcW w:w="239" w:type="pct"/>
            <w:noWrap/>
            <w:vAlign w:val="bottom"/>
          </w:tcPr>
          <w:p w14:paraId="1BE5ABC1" w14:textId="00EA3520" w:rsidR="000C2E4B" w:rsidRPr="00471CBA" w:rsidRDefault="000C2E4B" w:rsidP="000C2E4B">
            <w:pPr>
              <w:jc w:val="right"/>
              <w:rPr>
                <w:sz w:val="16"/>
                <w:szCs w:val="16"/>
              </w:rPr>
            </w:pPr>
            <w:r w:rsidRPr="00471CBA">
              <w:rPr>
                <w:sz w:val="16"/>
                <w:szCs w:val="16"/>
              </w:rPr>
              <w:t>-</w:t>
            </w:r>
          </w:p>
        </w:tc>
        <w:tc>
          <w:tcPr>
            <w:tcW w:w="342" w:type="pct"/>
            <w:noWrap/>
            <w:vAlign w:val="bottom"/>
          </w:tcPr>
          <w:p w14:paraId="54FAC3D5" w14:textId="34E2FBC6" w:rsidR="000C2E4B" w:rsidRPr="00471CBA" w:rsidRDefault="000C2E4B" w:rsidP="000C2E4B">
            <w:pPr>
              <w:jc w:val="right"/>
              <w:rPr>
                <w:sz w:val="16"/>
                <w:szCs w:val="16"/>
              </w:rPr>
            </w:pPr>
            <w:r w:rsidRPr="00471CBA">
              <w:rPr>
                <w:sz w:val="16"/>
                <w:szCs w:val="16"/>
              </w:rPr>
              <w:t>-</w:t>
            </w:r>
          </w:p>
        </w:tc>
        <w:tc>
          <w:tcPr>
            <w:tcW w:w="239" w:type="pct"/>
            <w:vAlign w:val="bottom"/>
          </w:tcPr>
          <w:p w14:paraId="3337AF7A" w14:textId="28C540F5" w:rsidR="000C2E4B" w:rsidRPr="00471CBA" w:rsidRDefault="000C2E4B" w:rsidP="000C2E4B">
            <w:pPr>
              <w:jc w:val="right"/>
              <w:rPr>
                <w:sz w:val="16"/>
                <w:szCs w:val="16"/>
              </w:rPr>
            </w:pPr>
            <w:r w:rsidRPr="00471CBA">
              <w:rPr>
                <w:sz w:val="16"/>
                <w:szCs w:val="16"/>
              </w:rPr>
              <w:t>-</w:t>
            </w:r>
          </w:p>
        </w:tc>
        <w:tc>
          <w:tcPr>
            <w:tcW w:w="239" w:type="pct"/>
            <w:vAlign w:val="bottom"/>
          </w:tcPr>
          <w:p w14:paraId="7A53A0C7" w14:textId="3A61AA92" w:rsidR="000C2E4B" w:rsidRPr="00471CBA" w:rsidRDefault="000C2E4B" w:rsidP="000C2E4B">
            <w:pPr>
              <w:jc w:val="right"/>
              <w:rPr>
                <w:sz w:val="16"/>
                <w:szCs w:val="16"/>
              </w:rPr>
            </w:pPr>
            <w:r w:rsidRPr="00471CBA">
              <w:rPr>
                <w:sz w:val="16"/>
                <w:szCs w:val="16"/>
              </w:rPr>
              <w:t>-</w:t>
            </w:r>
          </w:p>
        </w:tc>
        <w:tc>
          <w:tcPr>
            <w:tcW w:w="239" w:type="pct"/>
            <w:noWrap/>
            <w:vAlign w:val="bottom"/>
          </w:tcPr>
          <w:p w14:paraId="754BDABD" w14:textId="6629BED7" w:rsidR="000C2E4B" w:rsidRPr="00471CBA" w:rsidRDefault="000C2E4B" w:rsidP="000C2E4B">
            <w:pPr>
              <w:jc w:val="right"/>
              <w:rPr>
                <w:sz w:val="16"/>
                <w:szCs w:val="16"/>
              </w:rPr>
            </w:pPr>
            <w:r w:rsidRPr="00471CBA">
              <w:rPr>
                <w:sz w:val="16"/>
                <w:szCs w:val="16"/>
              </w:rPr>
              <w:t>-</w:t>
            </w:r>
          </w:p>
        </w:tc>
        <w:tc>
          <w:tcPr>
            <w:tcW w:w="239" w:type="pct"/>
            <w:noWrap/>
            <w:vAlign w:val="bottom"/>
          </w:tcPr>
          <w:p w14:paraId="7A138CF4" w14:textId="77DA1149" w:rsidR="000C2E4B" w:rsidRPr="00471CBA" w:rsidRDefault="000C2E4B" w:rsidP="000C2E4B">
            <w:pPr>
              <w:jc w:val="right"/>
              <w:rPr>
                <w:sz w:val="16"/>
                <w:szCs w:val="16"/>
              </w:rPr>
            </w:pPr>
            <w:r w:rsidRPr="00471CBA">
              <w:rPr>
                <w:sz w:val="16"/>
                <w:szCs w:val="16"/>
              </w:rPr>
              <w:t>-</w:t>
            </w:r>
          </w:p>
        </w:tc>
        <w:tc>
          <w:tcPr>
            <w:tcW w:w="342" w:type="pct"/>
            <w:noWrap/>
            <w:vAlign w:val="bottom"/>
          </w:tcPr>
          <w:p w14:paraId="5B135610" w14:textId="48339479" w:rsidR="000C2E4B" w:rsidRPr="00471CBA" w:rsidRDefault="000C2E4B" w:rsidP="000C2E4B">
            <w:pPr>
              <w:jc w:val="right"/>
              <w:rPr>
                <w:sz w:val="16"/>
                <w:szCs w:val="16"/>
              </w:rPr>
            </w:pPr>
            <w:r w:rsidRPr="00471CBA">
              <w:rPr>
                <w:sz w:val="16"/>
                <w:szCs w:val="16"/>
              </w:rPr>
              <w:t>-</w:t>
            </w:r>
          </w:p>
        </w:tc>
        <w:tc>
          <w:tcPr>
            <w:tcW w:w="280" w:type="pct"/>
            <w:noWrap/>
            <w:vAlign w:val="bottom"/>
          </w:tcPr>
          <w:p w14:paraId="0FD99389" w14:textId="3D24814B" w:rsidR="000C2E4B" w:rsidRPr="00471CBA" w:rsidRDefault="000C2E4B" w:rsidP="000C2E4B">
            <w:pPr>
              <w:jc w:val="right"/>
              <w:rPr>
                <w:sz w:val="16"/>
                <w:szCs w:val="16"/>
              </w:rPr>
            </w:pPr>
            <w:r w:rsidRPr="00471CBA">
              <w:rPr>
                <w:sz w:val="16"/>
                <w:szCs w:val="16"/>
              </w:rPr>
              <w:t>-</w:t>
            </w:r>
          </w:p>
        </w:tc>
        <w:tc>
          <w:tcPr>
            <w:tcW w:w="280" w:type="pct"/>
            <w:vAlign w:val="bottom"/>
          </w:tcPr>
          <w:p w14:paraId="28FD9B94" w14:textId="3A3200E4" w:rsidR="000C2E4B" w:rsidRPr="00471CBA" w:rsidRDefault="000C2E4B" w:rsidP="000C2E4B">
            <w:pPr>
              <w:jc w:val="right"/>
              <w:rPr>
                <w:sz w:val="16"/>
                <w:szCs w:val="16"/>
              </w:rPr>
            </w:pPr>
            <w:r w:rsidRPr="00471CBA">
              <w:rPr>
                <w:sz w:val="16"/>
                <w:szCs w:val="16"/>
              </w:rPr>
              <w:t>-</w:t>
            </w:r>
          </w:p>
        </w:tc>
        <w:tc>
          <w:tcPr>
            <w:tcW w:w="271" w:type="pct"/>
            <w:noWrap/>
            <w:vAlign w:val="bottom"/>
          </w:tcPr>
          <w:p w14:paraId="24464812" w14:textId="0D4F1140" w:rsidR="000C2E4B" w:rsidRPr="00471CBA" w:rsidRDefault="000C2E4B" w:rsidP="000C2E4B">
            <w:pPr>
              <w:jc w:val="right"/>
              <w:rPr>
                <w:sz w:val="16"/>
                <w:szCs w:val="16"/>
              </w:rPr>
            </w:pPr>
            <w:r w:rsidRPr="00471CBA">
              <w:rPr>
                <w:sz w:val="16"/>
                <w:szCs w:val="16"/>
              </w:rPr>
              <w:t>-</w:t>
            </w:r>
          </w:p>
        </w:tc>
        <w:tc>
          <w:tcPr>
            <w:tcW w:w="405" w:type="pct"/>
            <w:noWrap/>
            <w:vAlign w:val="bottom"/>
          </w:tcPr>
          <w:p w14:paraId="3747A312" w14:textId="4357A6D0" w:rsidR="000C2E4B" w:rsidRPr="00471CBA" w:rsidRDefault="000C2E4B" w:rsidP="000C2E4B">
            <w:pPr>
              <w:jc w:val="right"/>
              <w:rPr>
                <w:sz w:val="16"/>
                <w:szCs w:val="16"/>
              </w:rPr>
            </w:pPr>
            <w:r w:rsidRPr="00471CBA">
              <w:rPr>
                <w:sz w:val="16"/>
                <w:szCs w:val="16"/>
              </w:rPr>
              <w:t>-</w:t>
            </w:r>
          </w:p>
        </w:tc>
      </w:tr>
      <w:tr w:rsidR="000C2E4B" w:rsidRPr="00471CBA" w14:paraId="13A0E401" w14:textId="77777777" w:rsidTr="000C2E4B">
        <w:trPr>
          <w:trHeight w:val="36"/>
        </w:trPr>
        <w:tc>
          <w:tcPr>
            <w:tcW w:w="1544" w:type="pct"/>
            <w:vAlign w:val="center"/>
            <w:hideMark/>
          </w:tcPr>
          <w:p w14:paraId="25223D4B" w14:textId="77777777" w:rsidR="000C2E4B" w:rsidRPr="00471CBA" w:rsidRDefault="000C2E4B" w:rsidP="000C2E4B">
            <w:pPr>
              <w:rPr>
                <w:sz w:val="16"/>
                <w:szCs w:val="16"/>
              </w:rPr>
            </w:pPr>
            <w:r w:rsidRPr="00471CBA">
              <w:rPr>
                <w:sz w:val="16"/>
                <w:szCs w:val="16"/>
              </w:rPr>
              <w:t>Kurulca riski yüksek olarak belirlenen alacaklar</w:t>
            </w:r>
          </w:p>
        </w:tc>
        <w:tc>
          <w:tcPr>
            <w:tcW w:w="342" w:type="pct"/>
            <w:noWrap/>
            <w:vAlign w:val="bottom"/>
          </w:tcPr>
          <w:p w14:paraId="2D962AA8" w14:textId="6F350ABF" w:rsidR="000C2E4B" w:rsidRPr="00471CBA" w:rsidRDefault="000C2E4B" w:rsidP="000C2E4B">
            <w:pPr>
              <w:jc w:val="right"/>
              <w:rPr>
                <w:sz w:val="16"/>
                <w:szCs w:val="16"/>
              </w:rPr>
            </w:pPr>
            <w:r w:rsidRPr="00471CBA">
              <w:rPr>
                <w:sz w:val="16"/>
                <w:szCs w:val="16"/>
              </w:rPr>
              <w:t>-</w:t>
            </w:r>
          </w:p>
        </w:tc>
        <w:tc>
          <w:tcPr>
            <w:tcW w:w="239" w:type="pct"/>
            <w:noWrap/>
            <w:vAlign w:val="bottom"/>
          </w:tcPr>
          <w:p w14:paraId="74EF42A6" w14:textId="149B5E59" w:rsidR="000C2E4B" w:rsidRPr="00471CBA" w:rsidRDefault="000C2E4B" w:rsidP="000C2E4B">
            <w:pPr>
              <w:jc w:val="right"/>
              <w:rPr>
                <w:sz w:val="16"/>
                <w:szCs w:val="16"/>
              </w:rPr>
            </w:pPr>
            <w:r w:rsidRPr="00471CBA">
              <w:rPr>
                <w:sz w:val="16"/>
                <w:szCs w:val="16"/>
              </w:rPr>
              <w:t>-</w:t>
            </w:r>
          </w:p>
        </w:tc>
        <w:tc>
          <w:tcPr>
            <w:tcW w:w="342" w:type="pct"/>
            <w:noWrap/>
            <w:vAlign w:val="bottom"/>
          </w:tcPr>
          <w:p w14:paraId="19DCCF6C" w14:textId="57BE2E53" w:rsidR="000C2E4B" w:rsidRPr="00471CBA" w:rsidRDefault="000C2E4B" w:rsidP="000C2E4B">
            <w:pPr>
              <w:jc w:val="right"/>
              <w:rPr>
                <w:sz w:val="16"/>
                <w:szCs w:val="16"/>
              </w:rPr>
            </w:pPr>
            <w:r w:rsidRPr="00471CBA">
              <w:rPr>
                <w:sz w:val="16"/>
                <w:szCs w:val="16"/>
              </w:rPr>
              <w:t>-</w:t>
            </w:r>
          </w:p>
        </w:tc>
        <w:tc>
          <w:tcPr>
            <w:tcW w:w="239" w:type="pct"/>
            <w:vAlign w:val="bottom"/>
          </w:tcPr>
          <w:p w14:paraId="470E121D" w14:textId="531E9DD5" w:rsidR="000C2E4B" w:rsidRPr="00471CBA" w:rsidRDefault="000C2E4B" w:rsidP="000C2E4B">
            <w:pPr>
              <w:jc w:val="right"/>
              <w:rPr>
                <w:sz w:val="16"/>
                <w:szCs w:val="16"/>
              </w:rPr>
            </w:pPr>
            <w:r w:rsidRPr="00471CBA">
              <w:rPr>
                <w:sz w:val="16"/>
                <w:szCs w:val="16"/>
              </w:rPr>
              <w:t>-</w:t>
            </w:r>
          </w:p>
        </w:tc>
        <w:tc>
          <w:tcPr>
            <w:tcW w:w="239" w:type="pct"/>
            <w:vAlign w:val="bottom"/>
          </w:tcPr>
          <w:p w14:paraId="01D9BF00" w14:textId="1FFEE6B7" w:rsidR="000C2E4B" w:rsidRPr="00471CBA" w:rsidRDefault="000C2E4B" w:rsidP="000C2E4B">
            <w:pPr>
              <w:jc w:val="right"/>
              <w:rPr>
                <w:sz w:val="16"/>
                <w:szCs w:val="16"/>
              </w:rPr>
            </w:pPr>
            <w:r w:rsidRPr="00471CBA">
              <w:rPr>
                <w:sz w:val="16"/>
                <w:szCs w:val="16"/>
              </w:rPr>
              <w:t>-</w:t>
            </w:r>
          </w:p>
        </w:tc>
        <w:tc>
          <w:tcPr>
            <w:tcW w:w="239" w:type="pct"/>
            <w:noWrap/>
            <w:vAlign w:val="bottom"/>
          </w:tcPr>
          <w:p w14:paraId="19811C06" w14:textId="59AADB02" w:rsidR="000C2E4B" w:rsidRPr="00471CBA" w:rsidRDefault="000C2E4B" w:rsidP="000C2E4B">
            <w:pPr>
              <w:jc w:val="right"/>
              <w:rPr>
                <w:sz w:val="16"/>
                <w:szCs w:val="16"/>
              </w:rPr>
            </w:pPr>
            <w:r w:rsidRPr="00471CBA">
              <w:rPr>
                <w:sz w:val="16"/>
                <w:szCs w:val="16"/>
              </w:rPr>
              <w:t>-</w:t>
            </w:r>
          </w:p>
        </w:tc>
        <w:tc>
          <w:tcPr>
            <w:tcW w:w="239" w:type="pct"/>
            <w:noWrap/>
            <w:vAlign w:val="bottom"/>
          </w:tcPr>
          <w:p w14:paraId="091CCE6E" w14:textId="51A1B603" w:rsidR="000C2E4B" w:rsidRPr="00471CBA" w:rsidRDefault="000C2E4B" w:rsidP="000C2E4B">
            <w:pPr>
              <w:jc w:val="right"/>
              <w:rPr>
                <w:sz w:val="16"/>
                <w:szCs w:val="16"/>
              </w:rPr>
            </w:pPr>
            <w:r w:rsidRPr="00471CBA">
              <w:rPr>
                <w:sz w:val="16"/>
                <w:szCs w:val="16"/>
              </w:rPr>
              <w:t>-</w:t>
            </w:r>
          </w:p>
        </w:tc>
        <w:tc>
          <w:tcPr>
            <w:tcW w:w="342" w:type="pct"/>
            <w:noWrap/>
            <w:vAlign w:val="bottom"/>
          </w:tcPr>
          <w:p w14:paraId="3127F794" w14:textId="2EB411D9" w:rsidR="000C2E4B" w:rsidRPr="00471CBA" w:rsidRDefault="000C2E4B" w:rsidP="000C2E4B">
            <w:pPr>
              <w:jc w:val="right"/>
              <w:rPr>
                <w:sz w:val="16"/>
                <w:szCs w:val="16"/>
              </w:rPr>
            </w:pPr>
            <w:r w:rsidRPr="00471CBA">
              <w:rPr>
                <w:sz w:val="16"/>
                <w:szCs w:val="16"/>
              </w:rPr>
              <w:t>-</w:t>
            </w:r>
          </w:p>
        </w:tc>
        <w:tc>
          <w:tcPr>
            <w:tcW w:w="280" w:type="pct"/>
            <w:noWrap/>
            <w:vAlign w:val="bottom"/>
          </w:tcPr>
          <w:p w14:paraId="6551A348" w14:textId="00450584" w:rsidR="000C2E4B" w:rsidRPr="00471CBA" w:rsidRDefault="000C2E4B" w:rsidP="000C2E4B">
            <w:pPr>
              <w:jc w:val="right"/>
              <w:rPr>
                <w:sz w:val="16"/>
                <w:szCs w:val="16"/>
              </w:rPr>
            </w:pPr>
            <w:r w:rsidRPr="00471CBA">
              <w:rPr>
                <w:sz w:val="16"/>
                <w:szCs w:val="16"/>
              </w:rPr>
              <w:t>-</w:t>
            </w:r>
          </w:p>
        </w:tc>
        <w:tc>
          <w:tcPr>
            <w:tcW w:w="280" w:type="pct"/>
            <w:vAlign w:val="bottom"/>
          </w:tcPr>
          <w:p w14:paraId="07F1FC0B" w14:textId="2D8C8F75" w:rsidR="000C2E4B" w:rsidRPr="00471CBA" w:rsidRDefault="000C2E4B" w:rsidP="000C2E4B">
            <w:pPr>
              <w:jc w:val="right"/>
              <w:rPr>
                <w:sz w:val="16"/>
                <w:szCs w:val="16"/>
              </w:rPr>
            </w:pPr>
            <w:r w:rsidRPr="00471CBA">
              <w:rPr>
                <w:sz w:val="16"/>
                <w:szCs w:val="16"/>
              </w:rPr>
              <w:t>-</w:t>
            </w:r>
          </w:p>
        </w:tc>
        <w:tc>
          <w:tcPr>
            <w:tcW w:w="271" w:type="pct"/>
            <w:noWrap/>
            <w:vAlign w:val="bottom"/>
          </w:tcPr>
          <w:p w14:paraId="695EE146" w14:textId="2D0457AA" w:rsidR="000C2E4B" w:rsidRPr="00471CBA" w:rsidRDefault="000C2E4B" w:rsidP="000C2E4B">
            <w:pPr>
              <w:jc w:val="right"/>
              <w:rPr>
                <w:sz w:val="16"/>
                <w:szCs w:val="16"/>
              </w:rPr>
            </w:pPr>
            <w:r w:rsidRPr="00471CBA">
              <w:rPr>
                <w:sz w:val="16"/>
                <w:szCs w:val="16"/>
              </w:rPr>
              <w:t>-</w:t>
            </w:r>
          </w:p>
        </w:tc>
        <w:tc>
          <w:tcPr>
            <w:tcW w:w="405" w:type="pct"/>
            <w:noWrap/>
            <w:vAlign w:val="bottom"/>
          </w:tcPr>
          <w:p w14:paraId="77F52BDE" w14:textId="1E333330" w:rsidR="000C2E4B" w:rsidRPr="00471CBA" w:rsidRDefault="000C2E4B" w:rsidP="000C2E4B">
            <w:pPr>
              <w:jc w:val="right"/>
              <w:rPr>
                <w:sz w:val="16"/>
                <w:szCs w:val="16"/>
              </w:rPr>
            </w:pPr>
            <w:r w:rsidRPr="00471CBA">
              <w:rPr>
                <w:sz w:val="16"/>
                <w:szCs w:val="16"/>
              </w:rPr>
              <w:t>-</w:t>
            </w:r>
          </w:p>
        </w:tc>
      </w:tr>
      <w:tr w:rsidR="000C2E4B" w:rsidRPr="00471CBA" w14:paraId="75CA52C1" w14:textId="77777777" w:rsidTr="000C2E4B">
        <w:trPr>
          <w:trHeight w:val="36"/>
        </w:trPr>
        <w:tc>
          <w:tcPr>
            <w:tcW w:w="1544" w:type="pct"/>
            <w:vAlign w:val="center"/>
            <w:hideMark/>
          </w:tcPr>
          <w:p w14:paraId="1E57B3B0" w14:textId="77777777" w:rsidR="000C2E4B" w:rsidRPr="00471CBA" w:rsidRDefault="000C2E4B" w:rsidP="000C2E4B">
            <w:pPr>
              <w:rPr>
                <w:sz w:val="16"/>
                <w:szCs w:val="16"/>
              </w:rPr>
            </w:pPr>
            <w:r w:rsidRPr="00471CBA">
              <w:rPr>
                <w:sz w:val="16"/>
                <w:szCs w:val="16"/>
              </w:rPr>
              <w:t>Teminatlı menkul kıymetler</w:t>
            </w:r>
          </w:p>
        </w:tc>
        <w:tc>
          <w:tcPr>
            <w:tcW w:w="342" w:type="pct"/>
            <w:noWrap/>
            <w:vAlign w:val="bottom"/>
          </w:tcPr>
          <w:p w14:paraId="259518B1" w14:textId="76A86FD4" w:rsidR="000C2E4B" w:rsidRPr="00471CBA" w:rsidRDefault="000C2E4B" w:rsidP="000C2E4B">
            <w:pPr>
              <w:jc w:val="right"/>
              <w:rPr>
                <w:sz w:val="16"/>
                <w:szCs w:val="16"/>
              </w:rPr>
            </w:pPr>
            <w:r w:rsidRPr="00471CBA">
              <w:rPr>
                <w:sz w:val="16"/>
                <w:szCs w:val="16"/>
              </w:rPr>
              <w:t>-</w:t>
            </w:r>
          </w:p>
        </w:tc>
        <w:tc>
          <w:tcPr>
            <w:tcW w:w="239" w:type="pct"/>
            <w:noWrap/>
            <w:vAlign w:val="bottom"/>
          </w:tcPr>
          <w:p w14:paraId="63E10927" w14:textId="75BA6339" w:rsidR="000C2E4B" w:rsidRPr="00471CBA" w:rsidRDefault="000C2E4B" w:rsidP="000C2E4B">
            <w:pPr>
              <w:jc w:val="right"/>
              <w:rPr>
                <w:sz w:val="16"/>
                <w:szCs w:val="16"/>
              </w:rPr>
            </w:pPr>
            <w:r w:rsidRPr="00471CBA">
              <w:rPr>
                <w:sz w:val="16"/>
                <w:szCs w:val="16"/>
              </w:rPr>
              <w:t>-</w:t>
            </w:r>
          </w:p>
        </w:tc>
        <w:tc>
          <w:tcPr>
            <w:tcW w:w="342" w:type="pct"/>
            <w:noWrap/>
            <w:vAlign w:val="bottom"/>
          </w:tcPr>
          <w:p w14:paraId="4B29089D" w14:textId="0CC52FC5" w:rsidR="000C2E4B" w:rsidRPr="00471CBA" w:rsidRDefault="000C2E4B" w:rsidP="000C2E4B">
            <w:pPr>
              <w:jc w:val="right"/>
              <w:rPr>
                <w:sz w:val="16"/>
                <w:szCs w:val="16"/>
              </w:rPr>
            </w:pPr>
            <w:r w:rsidRPr="00471CBA">
              <w:rPr>
                <w:sz w:val="16"/>
                <w:szCs w:val="16"/>
              </w:rPr>
              <w:t>-</w:t>
            </w:r>
          </w:p>
        </w:tc>
        <w:tc>
          <w:tcPr>
            <w:tcW w:w="239" w:type="pct"/>
            <w:vAlign w:val="bottom"/>
          </w:tcPr>
          <w:p w14:paraId="003C5B03" w14:textId="6B122023" w:rsidR="000C2E4B" w:rsidRPr="00471CBA" w:rsidRDefault="000C2E4B" w:rsidP="000C2E4B">
            <w:pPr>
              <w:jc w:val="right"/>
              <w:rPr>
                <w:sz w:val="16"/>
                <w:szCs w:val="16"/>
              </w:rPr>
            </w:pPr>
            <w:r w:rsidRPr="00471CBA">
              <w:rPr>
                <w:sz w:val="16"/>
                <w:szCs w:val="16"/>
              </w:rPr>
              <w:t>-</w:t>
            </w:r>
          </w:p>
        </w:tc>
        <w:tc>
          <w:tcPr>
            <w:tcW w:w="239" w:type="pct"/>
            <w:vAlign w:val="bottom"/>
          </w:tcPr>
          <w:p w14:paraId="267C2BC0" w14:textId="77899E6E" w:rsidR="000C2E4B" w:rsidRPr="00471CBA" w:rsidRDefault="000C2E4B" w:rsidP="000C2E4B">
            <w:pPr>
              <w:jc w:val="right"/>
              <w:rPr>
                <w:sz w:val="16"/>
                <w:szCs w:val="16"/>
              </w:rPr>
            </w:pPr>
            <w:r w:rsidRPr="00471CBA">
              <w:rPr>
                <w:sz w:val="16"/>
                <w:szCs w:val="16"/>
              </w:rPr>
              <w:t>-</w:t>
            </w:r>
          </w:p>
        </w:tc>
        <w:tc>
          <w:tcPr>
            <w:tcW w:w="239" w:type="pct"/>
            <w:noWrap/>
            <w:vAlign w:val="bottom"/>
          </w:tcPr>
          <w:p w14:paraId="04A73E4B" w14:textId="2A93E636" w:rsidR="000C2E4B" w:rsidRPr="00471CBA" w:rsidRDefault="000C2E4B" w:rsidP="000C2E4B">
            <w:pPr>
              <w:jc w:val="right"/>
              <w:rPr>
                <w:sz w:val="16"/>
                <w:szCs w:val="16"/>
              </w:rPr>
            </w:pPr>
            <w:r w:rsidRPr="00471CBA">
              <w:rPr>
                <w:sz w:val="16"/>
                <w:szCs w:val="16"/>
              </w:rPr>
              <w:t>-</w:t>
            </w:r>
          </w:p>
        </w:tc>
        <w:tc>
          <w:tcPr>
            <w:tcW w:w="239" w:type="pct"/>
            <w:noWrap/>
            <w:vAlign w:val="bottom"/>
          </w:tcPr>
          <w:p w14:paraId="1F0D876F" w14:textId="45FA8259" w:rsidR="000C2E4B" w:rsidRPr="00471CBA" w:rsidRDefault="000C2E4B" w:rsidP="000C2E4B">
            <w:pPr>
              <w:jc w:val="right"/>
              <w:rPr>
                <w:sz w:val="16"/>
                <w:szCs w:val="16"/>
              </w:rPr>
            </w:pPr>
            <w:r w:rsidRPr="00471CBA">
              <w:rPr>
                <w:sz w:val="16"/>
                <w:szCs w:val="16"/>
              </w:rPr>
              <w:t>-</w:t>
            </w:r>
          </w:p>
        </w:tc>
        <w:tc>
          <w:tcPr>
            <w:tcW w:w="342" w:type="pct"/>
            <w:noWrap/>
            <w:vAlign w:val="bottom"/>
          </w:tcPr>
          <w:p w14:paraId="65116C0A" w14:textId="3A0498C6" w:rsidR="000C2E4B" w:rsidRPr="00471CBA" w:rsidRDefault="000C2E4B" w:rsidP="000C2E4B">
            <w:pPr>
              <w:jc w:val="right"/>
              <w:rPr>
                <w:sz w:val="16"/>
                <w:szCs w:val="16"/>
              </w:rPr>
            </w:pPr>
            <w:r w:rsidRPr="00471CBA">
              <w:rPr>
                <w:sz w:val="16"/>
                <w:szCs w:val="16"/>
              </w:rPr>
              <w:t>-</w:t>
            </w:r>
          </w:p>
        </w:tc>
        <w:tc>
          <w:tcPr>
            <w:tcW w:w="280" w:type="pct"/>
            <w:noWrap/>
            <w:vAlign w:val="bottom"/>
          </w:tcPr>
          <w:p w14:paraId="686A96BE" w14:textId="24EE6C11" w:rsidR="000C2E4B" w:rsidRPr="00471CBA" w:rsidRDefault="000C2E4B" w:rsidP="000C2E4B">
            <w:pPr>
              <w:jc w:val="right"/>
              <w:rPr>
                <w:sz w:val="16"/>
                <w:szCs w:val="16"/>
              </w:rPr>
            </w:pPr>
            <w:r w:rsidRPr="00471CBA">
              <w:rPr>
                <w:sz w:val="16"/>
                <w:szCs w:val="16"/>
              </w:rPr>
              <w:t>-</w:t>
            </w:r>
          </w:p>
        </w:tc>
        <w:tc>
          <w:tcPr>
            <w:tcW w:w="280" w:type="pct"/>
            <w:vAlign w:val="bottom"/>
          </w:tcPr>
          <w:p w14:paraId="5C25F26E" w14:textId="4D4BB814" w:rsidR="000C2E4B" w:rsidRPr="00471CBA" w:rsidRDefault="000C2E4B" w:rsidP="000C2E4B">
            <w:pPr>
              <w:jc w:val="right"/>
              <w:rPr>
                <w:sz w:val="16"/>
                <w:szCs w:val="16"/>
              </w:rPr>
            </w:pPr>
            <w:r w:rsidRPr="00471CBA">
              <w:rPr>
                <w:sz w:val="16"/>
                <w:szCs w:val="16"/>
              </w:rPr>
              <w:t>-</w:t>
            </w:r>
          </w:p>
        </w:tc>
        <w:tc>
          <w:tcPr>
            <w:tcW w:w="271" w:type="pct"/>
            <w:noWrap/>
            <w:vAlign w:val="bottom"/>
          </w:tcPr>
          <w:p w14:paraId="36D24605" w14:textId="2B2015CA" w:rsidR="000C2E4B" w:rsidRPr="00471CBA" w:rsidRDefault="000C2E4B" w:rsidP="000C2E4B">
            <w:pPr>
              <w:jc w:val="right"/>
              <w:rPr>
                <w:sz w:val="16"/>
                <w:szCs w:val="16"/>
              </w:rPr>
            </w:pPr>
            <w:r w:rsidRPr="00471CBA">
              <w:rPr>
                <w:sz w:val="16"/>
                <w:szCs w:val="16"/>
              </w:rPr>
              <w:t>-</w:t>
            </w:r>
          </w:p>
        </w:tc>
        <w:tc>
          <w:tcPr>
            <w:tcW w:w="405" w:type="pct"/>
            <w:noWrap/>
            <w:vAlign w:val="bottom"/>
          </w:tcPr>
          <w:p w14:paraId="3BD50269" w14:textId="15EBA950" w:rsidR="000C2E4B" w:rsidRPr="00471CBA" w:rsidRDefault="000C2E4B" w:rsidP="000C2E4B">
            <w:pPr>
              <w:jc w:val="right"/>
              <w:rPr>
                <w:sz w:val="16"/>
                <w:szCs w:val="16"/>
              </w:rPr>
            </w:pPr>
            <w:r w:rsidRPr="00471CBA">
              <w:rPr>
                <w:sz w:val="16"/>
                <w:szCs w:val="16"/>
              </w:rPr>
              <w:t>-</w:t>
            </w:r>
          </w:p>
        </w:tc>
      </w:tr>
      <w:tr w:rsidR="000C2E4B" w:rsidRPr="00471CBA" w14:paraId="64327CA7" w14:textId="77777777" w:rsidTr="000C2E4B">
        <w:trPr>
          <w:trHeight w:val="36"/>
        </w:trPr>
        <w:tc>
          <w:tcPr>
            <w:tcW w:w="1544" w:type="pct"/>
            <w:vAlign w:val="center"/>
            <w:hideMark/>
          </w:tcPr>
          <w:p w14:paraId="6DD5A36E" w14:textId="77777777" w:rsidR="000C2E4B" w:rsidRPr="00471CBA" w:rsidRDefault="000C2E4B" w:rsidP="000C2E4B">
            <w:pPr>
              <w:rPr>
                <w:sz w:val="16"/>
                <w:szCs w:val="16"/>
              </w:rPr>
            </w:pPr>
            <w:r w:rsidRPr="00471CBA">
              <w:rPr>
                <w:sz w:val="16"/>
                <w:szCs w:val="16"/>
              </w:rPr>
              <w:t>Menkul kıymetleştirme pozisyonları</w:t>
            </w:r>
          </w:p>
        </w:tc>
        <w:tc>
          <w:tcPr>
            <w:tcW w:w="342" w:type="pct"/>
            <w:noWrap/>
            <w:vAlign w:val="bottom"/>
          </w:tcPr>
          <w:p w14:paraId="37EBB3C3" w14:textId="6A39306F" w:rsidR="000C2E4B" w:rsidRPr="00471CBA" w:rsidRDefault="000C2E4B" w:rsidP="000C2E4B">
            <w:pPr>
              <w:jc w:val="right"/>
              <w:rPr>
                <w:sz w:val="16"/>
                <w:szCs w:val="16"/>
              </w:rPr>
            </w:pPr>
            <w:r w:rsidRPr="00471CBA">
              <w:rPr>
                <w:sz w:val="16"/>
                <w:szCs w:val="16"/>
              </w:rPr>
              <w:t>-</w:t>
            </w:r>
          </w:p>
        </w:tc>
        <w:tc>
          <w:tcPr>
            <w:tcW w:w="239" w:type="pct"/>
            <w:noWrap/>
            <w:vAlign w:val="bottom"/>
          </w:tcPr>
          <w:p w14:paraId="685C22F8" w14:textId="4933A321" w:rsidR="000C2E4B" w:rsidRPr="00471CBA" w:rsidRDefault="000C2E4B" w:rsidP="000C2E4B">
            <w:pPr>
              <w:jc w:val="right"/>
              <w:rPr>
                <w:sz w:val="16"/>
                <w:szCs w:val="16"/>
              </w:rPr>
            </w:pPr>
            <w:r w:rsidRPr="00471CBA">
              <w:rPr>
                <w:sz w:val="16"/>
                <w:szCs w:val="16"/>
              </w:rPr>
              <w:t>-</w:t>
            </w:r>
          </w:p>
        </w:tc>
        <w:tc>
          <w:tcPr>
            <w:tcW w:w="342" w:type="pct"/>
            <w:noWrap/>
            <w:vAlign w:val="bottom"/>
          </w:tcPr>
          <w:p w14:paraId="31B669D9" w14:textId="4C61FCC5" w:rsidR="000C2E4B" w:rsidRPr="00471CBA" w:rsidRDefault="000C2E4B" w:rsidP="000C2E4B">
            <w:pPr>
              <w:jc w:val="right"/>
              <w:rPr>
                <w:sz w:val="16"/>
                <w:szCs w:val="16"/>
              </w:rPr>
            </w:pPr>
            <w:r w:rsidRPr="00471CBA">
              <w:rPr>
                <w:sz w:val="16"/>
                <w:szCs w:val="16"/>
              </w:rPr>
              <w:t>-</w:t>
            </w:r>
          </w:p>
        </w:tc>
        <w:tc>
          <w:tcPr>
            <w:tcW w:w="239" w:type="pct"/>
            <w:vAlign w:val="bottom"/>
          </w:tcPr>
          <w:p w14:paraId="3E0776EF" w14:textId="1A2528F8" w:rsidR="000C2E4B" w:rsidRPr="00471CBA" w:rsidRDefault="000C2E4B" w:rsidP="000C2E4B">
            <w:pPr>
              <w:jc w:val="right"/>
              <w:rPr>
                <w:sz w:val="16"/>
                <w:szCs w:val="16"/>
              </w:rPr>
            </w:pPr>
            <w:r w:rsidRPr="00471CBA">
              <w:rPr>
                <w:sz w:val="16"/>
                <w:szCs w:val="16"/>
              </w:rPr>
              <w:t>-</w:t>
            </w:r>
          </w:p>
        </w:tc>
        <w:tc>
          <w:tcPr>
            <w:tcW w:w="239" w:type="pct"/>
            <w:vAlign w:val="bottom"/>
          </w:tcPr>
          <w:p w14:paraId="3F6A8524" w14:textId="339C82DD" w:rsidR="000C2E4B" w:rsidRPr="00471CBA" w:rsidRDefault="000C2E4B" w:rsidP="000C2E4B">
            <w:pPr>
              <w:jc w:val="right"/>
              <w:rPr>
                <w:sz w:val="16"/>
                <w:szCs w:val="16"/>
              </w:rPr>
            </w:pPr>
            <w:r w:rsidRPr="00471CBA">
              <w:rPr>
                <w:sz w:val="16"/>
                <w:szCs w:val="16"/>
              </w:rPr>
              <w:t>-</w:t>
            </w:r>
          </w:p>
        </w:tc>
        <w:tc>
          <w:tcPr>
            <w:tcW w:w="239" w:type="pct"/>
            <w:noWrap/>
            <w:vAlign w:val="bottom"/>
          </w:tcPr>
          <w:p w14:paraId="74829981" w14:textId="5BBBDAF4" w:rsidR="000C2E4B" w:rsidRPr="00471CBA" w:rsidRDefault="000C2E4B" w:rsidP="000C2E4B">
            <w:pPr>
              <w:jc w:val="right"/>
              <w:rPr>
                <w:sz w:val="16"/>
                <w:szCs w:val="16"/>
              </w:rPr>
            </w:pPr>
            <w:r w:rsidRPr="00471CBA">
              <w:rPr>
                <w:sz w:val="16"/>
                <w:szCs w:val="16"/>
              </w:rPr>
              <w:t>-</w:t>
            </w:r>
          </w:p>
        </w:tc>
        <w:tc>
          <w:tcPr>
            <w:tcW w:w="239" w:type="pct"/>
            <w:noWrap/>
            <w:vAlign w:val="bottom"/>
          </w:tcPr>
          <w:p w14:paraId="5147EB7D" w14:textId="30109768" w:rsidR="000C2E4B" w:rsidRPr="00471CBA" w:rsidRDefault="000C2E4B" w:rsidP="000C2E4B">
            <w:pPr>
              <w:jc w:val="right"/>
              <w:rPr>
                <w:sz w:val="16"/>
                <w:szCs w:val="16"/>
              </w:rPr>
            </w:pPr>
            <w:r w:rsidRPr="00471CBA">
              <w:rPr>
                <w:sz w:val="16"/>
                <w:szCs w:val="16"/>
              </w:rPr>
              <w:t>-</w:t>
            </w:r>
          </w:p>
        </w:tc>
        <w:tc>
          <w:tcPr>
            <w:tcW w:w="342" w:type="pct"/>
            <w:noWrap/>
            <w:vAlign w:val="bottom"/>
          </w:tcPr>
          <w:p w14:paraId="4F21FD8A" w14:textId="501322DA" w:rsidR="000C2E4B" w:rsidRPr="00471CBA" w:rsidRDefault="000C2E4B" w:rsidP="000C2E4B">
            <w:pPr>
              <w:jc w:val="right"/>
              <w:rPr>
                <w:sz w:val="16"/>
                <w:szCs w:val="16"/>
              </w:rPr>
            </w:pPr>
            <w:r w:rsidRPr="00471CBA">
              <w:rPr>
                <w:sz w:val="16"/>
                <w:szCs w:val="16"/>
              </w:rPr>
              <w:t>-</w:t>
            </w:r>
          </w:p>
        </w:tc>
        <w:tc>
          <w:tcPr>
            <w:tcW w:w="280" w:type="pct"/>
            <w:noWrap/>
            <w:vAlign w:val="bottom"/>
          </w:tcPr>
          <w:p w14:paraId="66087CE2" w14:textId="18167DB9" w:rsidR="000C2E4B" w:rsidRPr="00471CBA" w:rsidRDefault="000C2E4B" w:rsidP="000C2E4B">
            <w:pPr>
              <w:jc w:val="right"/>
              <w:rPr>
                <w:sz w:val="16"/>
                <w:szCs w:val="16"/>
              </w:rPr>
            </w:pPr>
            <w:r w:rsidRPr="00471CBA">
              <w:rPr>
                <w:sz w:val="16"/>
                <w:szCs w:val="16"/>
              </w:rPr>
              <w:t>-</w:t>
            </w:r>
          </w:p>
        </w:tc>
        <w:tc>
          <w:tcPr>
            <w:tcW w:w="280" w:type="pct"/>
            <w:vAlign w:val="bottom"/>
          </w:tcPr>
          <w:p w14:paraId="6EABDD90" w14:textId="4059660A" w:rsidR="000C2E4B" w:rsidRPr="00471CBA" w:rsidRDefault="000C2E4B" w:rsidP="000C2E4B">
            <w:pPr>
              <w:jc w:val="right"/>
              <w:rPr>
                <w:sz w:val="16"/>
                <w:szCs w:val="16"/>
              </w:rPr>
            </w:pPr>
            <w:r w:rsidRPr="00471CBA">
              <w:rPr>
                <w:sz w:val="16"/>
                <w:szCs w:val="16"/>
              </w:rPr>
              <w:t>-</w:t>
            </w:r>
          </w:p>
        </w:tc>
        <w:tc>
          <w:tcPr>
            <w:tcW w:w="271" w:type="pct"/>
            <w:noWrap/>
            <w:vAlign w:val="bottom"/>
          </w:tcPr>
          <w:p w14:paraId="525FD9FE" w14:textId="301329C1" w:rsidR="000C2E4B" w:rsidRPr="00471CBA" w:rsidRDefault="000C2E4B" w:rsidP="000C2E4B">
            <w:pPr>
              <w:jc w:val="right"/>
              <w:rPr>
                <w:sz w:val="16"/>
                <w:szCs w:val="16"/>
              </w:rPr>
            </w:pPr>
            <w:r w:rsidRPr="00471CBA">
              <w:rPr>
                <w:sz w:val="16"/>
                <w:szCs w:val="16"/>
              </w:rPr>
              <w:t>-</w:t>
            </w:r>
          </w:p>
        </w:tc>
        <w:tc>
          <w:tcPr>
            <w:tcW w:w="405" w:type="pct"/>
            <w:noWrap/>
            <w:vAlign w:val="bottom"/>
          </w:tcPr>
          <w:p w14:paraId="423AC8B4" w14:textId="2379D787" w:rsidR="000C2E4B" w:rsidRPr="00471CBA" w:rsidRDefault="000C2E4B" w:rsidP="000C2E4B">
            <w:pPr>
              <w:jc w:val="right"/>
              <w:rPr>
                <w:sz w:val="16"/>
                <w:szCs w:val="16"/>
              </w:rPr>
            </w:pPr>
            <w:r w:rsidRPr="00471CBA">
              <w:rPr>
                <w:sz w:val="16"/>
                <w:szCs w:val="16"/>
              </w:rPr>
              <w:t>-</w:t>
            </w:r>
          </w:p>
        </w:tc>
      </w:tr>
      <w:tr w:rsidR="000C2E4B" w:rsidRPr="00471CBA" w14:paraId="07B91A13" w14:textId="77777777" w:rsidTr="000C2E4B">
        <w:trPr>
          <w:trHeight w:val="36"/>
        </w:trPr>
        <w:tc>
          <w:tcPr>
            <w:tcW w:w="1544" w:type="pct"/>
            <w:vAlign w:val="center"/>
            <w:hideMark/>
          </w:tcPr>
          <w:p w14:paraId="7FE4F5A5" w14:textId="77777777" w:rsidR="000C2E4B" w:rsidRPr="00471CBA" w:rsidRDefault="000C2E4B" w:rsidP="000C2E4B">
            <w:pPr>
              <w:rPr>
                <w:sz w:val="16"/>
                <w:szCs w:val="16"/>
              </w:rPr>
            </w:pPr>
            <w:r w:rsidRPr="00471CBA">
              <w:rPr>
                <w:sz w:val="16"/>
                <w:szCs w:val="16"/>
              </w:rPr>
              <w:t>Kısa vadeli kredi derecelendirmesi bulunan bankalar ve aracı kurumlardan alacaklar ile kurumsal alacaklar</w:t>
            </w:r>
          </w:p>
        </w:tc>
        <w:tc>
          <w:tcPr>
            <w:tcW w:w="342" w:type="pct"/>
            <w:noWrap/>
            <w:vAlign w:val="bottom"/>
          </w:tcPr>
          <w:p w14:paraId="0DB0B920" w14:textId="13D82213" w:rsidR="000C2E4B" w:rsidRPr="00471CBA" w:rsidRDefault="000C2E4B" w:rsidP="000C2E4B">
            <w:pPr>
              <w:jc w:val="right"/>
              <w:rPr>
                <w:sz w:val="16"/>
                <w:szCs w:val="16"/>
              </w:rPr>
            </w:pPr>
            <w:r w:rsidRPr="00471CBA">
              <w:rPr>
                <w:sz w:val="16"/>
                <w:szCs w:val="16"/>
              </w:rPr>
              <w:t>-</w:t>
            </w:r>
          </w:p>
        </w:tc>
        <w:tc>
          <w:tcPr>
            <w:tcW w:w="239" w:type="pct"/>
            <w:noWrap/>
            <w:vAlign w:val="bottom"/>
          </w:tcPr>
          <w:p w14:paraId="4FBAAF9B" w14:textId="423EE9F2" w:rsidR="000C2E4B" w:rsidRPr="00471CBA" w:rsidRDefault="000C2E4B" w:rsidP="000C2E4B">
            <w:pPr>
              <w:jc w:val="right"/>
              <w:rPr>
                <w:sz w:val="16"/>
                <w:szCs w:val="16"/>
              </w:rPr>
            </w:pPr>
            <w:r w:rsidRPr="00471CBA">
              <w:rPr>
                <w:sz w:val="16"/>
                <w:szCs w:val="16"/>
              </w:rPr>
              <w:t>-</w:t>
            </w:r>
          </w:p>
        </w:tc>
        <w:tc>
          <w:tcPr>
            <w:tcW w:w="342" w:type="pct"/>
            <w:noWrap/>
            <w:vAlign w:val="bottom"/>
          </w:tcPr>
          <w:p w14:paraId="47EFA2E0" w14:textId="11D901E0" w:rsidR="000C2E4B" w:rsidRPr="00471CBA" w:rsidRDefault="000C2E4B" w:rsidP="000C2E4B">
            <w:pPr>
              <w:jc w:val="right"/>
              <w:rPr>
                <w:sz w:val="16"/>
                <w:szCs w:val="16"/>
              </w:rPr>
            </w:pPr>
            <w:r w:rsidRPr="00471CBA">
              <w:rPr>
                <w:sz w:val="16"/>
                <w:szCs w:val="16"/>
              </w:rPr>
              <w:t>-</w:t>
            </w:r>
          </w:p>
        </w:tc>
        <w:tc>
          <w:tcPr>
            <w:tcW w:w="239" w:type="pct"/>
            <w:vAlign w:val="bottom"/>
          </w:tcPr>
          <w:p w14:paraId="4F4855D9" w14:textId="534F788E" w:rsidR="000C2E4B" w:rsidRPr="00471CBA" w:rsidRDefault="000C2E4B" w:rsidP="000C2E4B">
            <w:pPr>
              <w:jc w:val="right"/>
              <w:rPr>
                <w:sz w:val="16"/>
                <w:szCs w:val="16"/>
              </w:rPr>
            </w:pPr>
            <w:r w:rsidRPr="00471CBA">
              <w:rPr>
                <w:sz w:val="16"/>
                <w:szCs w:val="16"/>
              </w:rPr>
              <w:t>-</w:t>
            </w:r>
          </w:p>
        </w:tc>
        <w:tc>
          <w:tcPr>
            <w:tcW w:w="239" w:type="pct"/>
            <w:vAlign w:val="bottom"/>
          </w:tcPr>
          <w:p w14:paraId="251243F2" w14:textId="2799976A" w:rsidR="000C2E4B" w:rsidRPr="00471CBA" w:rsidRDefault="000C2E4B" w:rsidP="000C2E4B">
            <w:pPr>
              <w:jc w:val="right"/>
              <w:rPr>
                <w:sz w:val="16"/>
                <w:szCs w:val="16"/>
              </w:rPr>
            </w:pPr>
            <w:r w:rsidRPr="00471CBA">
              <w:rPr>
                <w:sz w:val="16"/>
                <w:szCs w:val="16"/>
              </w:rPr>
              <w:t>-</w:t>
            </w:r>
          </w:p>
        </w:tc>
        <w:tc>
          <w:tcPr>
            <w:tcW w:w="239" w:type="pct"/>
            <w:noWrap/>
            <w:vAlign w:val="bottom"/>
          </w:tcPr>
          <w:p w14:paraId="48C553C9" w14:textId="59EA4C84" w:rsidR="000C2E4B" w:rsidRPr="00471CBA" w:rsidRDefault="000C2E4B" w:rsidP="000C2E4B">
            <w:pPr>
              <w:jc w:val="right"/>
              <w:rPr>
                <w:sz w:val="16"/>
                <w:szCs w:val="16"/>
              </w:rPr>
            </w:pPr>
            <w:r w:rsidRPr="00471CBA">
              <w:rPr>
                <w:sz w:val="16"/>
                <w:szCs w:val="16"/>
              </w:rPr>
              <w:t>-</w:t>
            </w:r>
          </w:p>
        </w:tc>
        <w:tc>
          <w:tcPr>
            <w:tcW w:w="239" w:type="pct"/>
            <w:noWrap/>
            <w:vAlign w:val="bottom"/>
          </w:tcPr>
          <w:p w14:paraId="552C1AB0" w14:textId="17B22741" w:rsidR="000C2E4B" w:rsidRPr="00471CBA" w:rsidRDefault="000C2E4B" w:rsidP="000C2E4B">
            <w:pPr>
              <w:jc w:val="right"/>
              <w:rPr>
                <w:sz w:val="16"/>
                <w:szCs w:val="16"/>
              </w:rPr>
            </w:pPr>
            <w:r w:rsidRPr="00471CBA">
              <w:rPr>
                <w:sz w:val="16"/>
                <w:szCs w:val="16"/>
              </w:rPr>
              <w:t>-</w:t>
            </w:r>
          </w:p>
        </w:tc>
        <w:tc>
          <w:tcPr>
            <w:tcW w:w="342" w:type="pct"/>
            <w:noWrap/>
            <w:vAlign w:val="bottom"/>
          </w:tcPr>
          <w:p w14:paraId="1808B585" w14:textId="023B8970" w:rsidR="000C2E4B" w:rsidRPr="00471CBA" w:rsidRDefault="000C2E4B" w:rsidP="000C2E4B">
            <w:pPr>
              <w:jc w:val="right"/>
              <w:rPr>
                <w:sz w:val="16"/>
                <w:szCs w:val="16"/>
              </w:rPr>
            </w:pPr>
            <w:r w:rsidRPr="00471CBA">
              <w:rPr>
                <w:sz w:val="16"/>
                <w:szCs w:val="16"/>
              </w:rPr>
              <w:t>-</w:t>
            </w:r>
          </w:p>
        </w:tc>
        <w:tc>
          <w:tcPr>
            <w:tcW w:w="280" w:type="pct"/>
            <w:noWrap/>
            <w:vAlign w:val="bottom"/>
          </w:tcPr>
          <w:p w14:paraId="21287228" w14:textId="3E433A65" w:rsidR="000C2E4B" w:rsidRPr="00471CBA" w:rsidRDefault="000C2E4B" w:rsidP="000C2E4B">
            <w:pPr>
              <w:jc w:val="right"/>
              <w:rPr>
                <w:sz w:val="16"/>
                <w:szCs w:val="16"/>
              </w:rPr>
            </w:pPr>
            <w:r w:rsidRPr="00471CBA">
              <w:rPr>
                <w:sz w:val="16"/>
                <w:szCs w:val="16"/>
              </w:rPr>
              <w:t>-</w:t>
            </w:r>
          </w:p>
        </w:tc>
        <w:tc>
          <w:tcPr>
            <w:tcW w:w="280" w:type="pct"/>
            <w:vAlign w:val="bottom"/>
          </w:tcPr>
          <w:p w14:paraId="27B01CE8" w14:textId="63B926D2" w:rsidR="000C2E4B" w:rsidRPr="00471CBA" w:rsidRDefault="000C2E4B" w:rsidP="000C2E4B">
            <w:pPr>
              <w:jc w:val="right"/>
              <w:rPr>
                <w:sz w:val="16"/>
                <w:szCs w:val="16"/>
              </w:rPr>
            </w:pPr>
            <w:r w:rsidRPr="00471CBA">
              <w:rPr>
                <w:sz w:val="16"/>
                <w:szCs w:val="16"/>
              </w:rPr>
              <w:t>-</w:t>
            </w:r>
          </w:p>
        </w:tc>
        <w:tc>
          <w:tcPr>
            <w:tcW w:w="271" w:type="pct"/>
            <w:noWrap/>
            <w:vAlign w:val="bottom"/>
          </w:tcPr>
          <w:p w14:paraId="2A51C8D9" w14:textId="69C3B59E" w:rsidR="000C2E4B" w:rsidRPr="00471CBA" w:rsidRDefault="000C2E4B" w:rsidP="000C2E4B">
            <w:pPr>
              <w:jc w:val="right"/>
              <w:rPr>
                <w:sz w:val="16"/>
                <w:szCs w:val="16"/>
              </w:rPr>
            </w:pPr>
            <w:r w:rsidRPr="00471CBA">
              <w:rPr>
                <w:sz w:val="16"/>
                <w:szCs w:val="16"/>
              </w:rPr>
              <w:t>-</w:t>
            </w:r>
          </w:p>
        </w:tc>
        <w:tc>
          <w:tcPr>
            <w:tcW w:w="405" w:type="pct"/>
            <w:noWrap/>
            <w:vAlign w:val="bottom"/>
          </w:tcPr>
          <w:p w14:paraId="1E92FB22" w14:textId="79F92C6D" w:rsidR="000C2E4B" w:rsidRPr="00471CBA" w:rsidRDefault="000C2E4B" w:rsidP="000C2E4B">
            <w:pPr>
              <w:jc w:val="right"/>
              <w:rPr>
                <w:sz w:val="16"/>
                <w:szCs w:val="16"/>
              </w:rPr>
            </w:pPr>
            <w:r w:rsidRPr="00471CBA">
              <w:rPr>
                <w:sz w:val="16"/>
                <w:szCs w:val="16"/>
              </w:rPr>
              <w:t>-</w:t>
            </w:r>
          </w:p>
        </w:tc>
      </w:tr>
      <w:tr w:rsidR="000C2E4B" w:rsidRPr="00471CBA" w14:paraId="1D56F100" w14:textId="77777777" w:rsidTr="000C2E4B">
        <w:trPr>
          <w:trHeight w:val="36"/>
        </w:trPr>
        <w:tc>
          <w:tcPr>
            <w:tcW w:w="1544" w:type="pct"/>
            <w:vAlign w:val="center"/>
            <w:hideMark/>
          </w:tcPr>
          <w:p w14:paraId="632A12C2" w14:textId="77777777" w:rsidR="000C2E4B" w:rsidRPr="00471CBA" w:rsidRDefault="000C2E4B" w:rsidP="000C2E4B">
            <w:pPr>
              <w:rPr>
                <w:sz w:val="16"/>
                <w:szCs w:val="16"/>
              </w:rPr>
            </w:pPr>
            <w:r w:rsidRPr="00471CBA">
              <w:rPr>
                <w:sz w:val="16"/>
                <w:szCs w:val="16"/>
              </w:rPr>
              <w:t>Kolektif yatırım kuruluşu niteliğindeki yatırımlar</w:t>
            </w:r>
          </w:p>
        </w:tc>
        <w:tc>
          <w:tcPr>
            <w:tcW w:w="342" w:type="pct"/>
            <w:noWrap/>
            <w:vAlign w:val="bottom"/>
          </w:tcPr>
          <w:p w14:paraId="601E7DBB" w14:textId="5D4BFA52" w:rsidR="000C2E4B" w:rsidRPr="00471CBA" w:rsidRDefault="000C2E4B" w:rsidP="000C2E4B">
            <w:pPr>
              <w:jc w:val="right"/>
              <w:rPr>
                <w:sz w:val="16"/>
                <w:szCs w:val="16"/>
              </w:rPr>
            </w:pPr>
            <w:r w:rsidRPr="00471CBA">
              <w:rPr>
                <w:sz w:val="16"/>
                <w:szCs w:val="16"/>
              </w:rPr>
              <w:t>-</w:t>
            </w:r>
          </w:p>
        </w:tc>
        <w:tc>
          <w:tcPr>
            <w:tcW w:w="239" w:type="pct"/>
            <w:noWrap/>
            <w:vAlign w:val="bottom"/>
          </w:tcPr>
          <w:p w14:paraId="0CCA664C" w14:textId="10FEE1A2" w:rsidR="000C2E4B" w:rsidRPr="00471CBA" w:rsidRDefault="000C2E4B" w:rsidP="000C2E4B">
            <w:pPr>
              <w:jc w:val="right"/>
              <w:rPr>
                <w:sz w:val="16"/>
                <w:szCs w:val="16"/>
              </w:rPr>
            </w:pPr>
            <w:r w:rsidRPr="00471CBA">
              <w:rPr>
                <w:sz w:val="16"/>
                <w:szCs w:val="16"/>
              </w:rPr>
              <w:t>-</w:t>
            </w:r>
          </w:p>
        </w:tc>
        <w:tc>
          <w:tcPr>
            <w:tcW w:w="342" w:type="pct"/>
            <w:noWrap/>
            <w:vAlign w:val="bottom"/>
          </w:tcPr>
          <w:p w14:paraId="4BC332A6" w14:textId="56FCCD67" w:rsidR="000C2E4B" w:rsidRPr="00471CBA" w:rsidRDefault="000C2E4B" w:rsidP="000C2E4B">
            <w:pPr>
              <w:jc w:val="right"/>
              <w:rPr>
                <w:sz w:val="16"/>
                <w:szCs w:val="16"/>
              </w:rPr>
            </w:pPr>
            <w:r w:rsidRPr="00471CBA">
              <w:rPr>
                <w:sz w:val="16"/>
                <w:szCs w:val="16"/>
              </w:rPr>
              <w:t>-</w:t>
            </w:r>
          </w:p>
        </w:tc>
        <w:tc>
          <w:tcPr>
            <w:tcW w:w="239" w:type="pct"/>
            <w:vAlign w:val="bottom"/>
          </w:tcPr>
          <w:p w14:paraId="1A7AD742" w14:textId="0CC3B03A" w:rsidR="000C2E4B" w:rsidRPr="00471CBA" w:rsidRDefault="000C2E4B" w:rsidP="000C2E4B">
            <w:pPr>
              <w:jc w:val="right"/>
              <w:rPr>
                <w:sz w:val="16"/>
                <w:szCs w:val="16"/>
              </w:rPr>
            </w:pPr>
            <w:r w:rsidRPr="00471CBA">
              <w:rPr>
                <w:sz w:val="16"/>
                <w:szCs w:val="16"/>
              </w:rPr>
              <w:t>-</w:t>
            </w:r>
          </w:p>
        </w:tc>
        <w:tc>
          <w:tcPr>
            <w:tcW w:w="239" w:type="pct"/>
            <w:vAlign w:val="bottom"/>
          </w:tcPr>
          <w:p w14:paraId="75A0C75B" w14:textId="6CAAB829" w:rsidR="000C2E4B" w:rsidRPr="00471CBA" w:rsidRDefault="000C2E4B" w:rsidP="000C2E4B">
            <w:pPr>
              <w:jc w:val="right"/>
              <w:rPr>
                <w:sz w:val="16"/>
                <w:szCs w:val="16"/>
              </w:rPr>
            </w:pPr>
            <w:r w:rsidRPr="00471CBA">
              <w:rPr>
                <w:sz w:val="16"/>
                <w:szCs w:val="16"/>
              </w:rPr>
              <w:t>-</w:t>
            </w:r>
          </w:p>
        </w:tc>
        <w:tc>
          <w:tcPr>
            <w:tcW w:w="239" w:type="pct"/>
            <w:noWrap/>
            <w:vAlign w:val="bottom"/>
          </w:tcPr>
          <w:p w14:paraId="340CD9BB" w14:textId="6885C685" w:rsidR="000C2E4B" w:rsidRPr="00471CBA" w:rsidRDefault="000C2E4B" w:rsidP="000C2E4B">
            <w:pPr>
              <w:jc w:val="right"/>
              <w:rPr>
                <w:sz w:val="16"/>
                <w:szCs w:val="16"/>
              </w:rPr>
            </w:pPr>
            <w:r w:rsidRPr="00471CBA">
              <w:rPr>
                <w:sz w:val="16"/>
                <w:szCs w:val="16"/>
              </w:rPr>
              <w:t>-</w:t>
            </w:r>
          </w:p>
        </w:tc>
        <w:tc>
          <w:tcPr>
            <w:tcW w:w="239" w:type="pct"/>
            <w:noWrap/>
            <w:vAlign w:val="bottom"/>
          </w:tcPr>
          <w:p w14:paraId="6C09B585" w14:textId="644352C9" w:rsidR="000C2E4B" w:rsidRPr="00471CBA" w:rsidRDefault="000C2E4B" w:rsidP="000C2E4B">
            <w:pPr>
              <w:jc w:val="right"/>
              <w:rPr>
                <w:sz w:val="16"/>
                <w:szCs w:val="16"/>
              </w:rPr>
            </w:pPr>
            <w:r w:rsidRPr="00471CBA">
              <w:rPr>
                <w:sz w:val="16"/>
                <w:szCs w:val="16"/>
              </w:rPr>
              <w:t>-</w:t>
            </w:r>
          </w:p>
        </w:tc>
        <w:tc>
          <w:tcPr>
            <w:tcW w:w="342" w:type="pct"/>
            <w:noWrap/>
            <w:vAlign w:val="bottom"/>
          </w:tcPr>
          <w:p w14:paraId="4B85A04F" w14:textId="7641351B" w:rsidR="000C2E4B" w:rsidRPr="00471CBA" w:rsidRDefault="000C2E4B" w:rsidP="000C2E4B">
            <w:pPr>
              <w:jc w:val="right"/>
              <w:rPr>
                <w:sz w:val="16"/>
                <w:szCs w:val="16"/>
              </w:rPr>
            </w:pPr>
            <w:r w:rsidRPr="00471CBA">
              <w:rPr>
                <w:sz w:val="16"/>
                <w:szCs w:val="16"/>
              </w:rPr>
              <w:t>-</w:t>
            </w:r>
          </w:p>
        </w:tc>
        <w:tc>
          <w:tcPr>
            <w:tcW w:w="280" w:type="pct"/>
            <w:noWrap/>
            <w:vAlign w:val="bottom"/>
          </w:tcPr>
          <w:p w14:paraId="6063CD3D" w14:textId="001B00B0" w:rsidR="000C2E4B" w:rsidRPr="00471CBA" w:rsidRDefault="000C2E4B" w:rsidP="000C2E4B">
            <w:pPr>
              <w:jc w:val="right"/>
              <w:rPr>
                <w:sz w:val="16"/>
                <w:szCs w:val="16"/>
              </w:rPr>
            </w:pPr>
            <w:r w:rsidRPr="00471CBA">
              <w:rPr>
                <w:sz w:val="16"/>
                <w:szCs w:val="16"/>
              </w:rPr>
              <w:t>-</w:t>
            </w:r>
          </w:p>
        </w:tc>
        <w:tc>
          <w:tcPr>
            <w:tcW w:w="280" w:type="pct"/>
            <w:vAlign w:val="bottom"/>
          </w:tcPr>
          <w:p w14:paraId="6FC5957E" w14:textId="46A49A17" w:rsidR="000C2E4B" w:rsidRPr="00471CBA" w:rsidRDefault="000C2E4B" w:rsidP="000C2E4B">
            <w:pPr>
              <w:jc w:val="right"/>
              <w:rPr>
                <w:sz w:val="16"/>
                <w:szCs w:val="16"/>
              </w:rPr>
            </w:pPr>
            <w:r w:rsidRPr="00471CBA">
              <w:rPr>
                <w:sz w:val="16"/>
                <w:szCs w:val="16"/>
              </w:rPr>
              <w:t>-</w:t>
            </w:r>
          </w:p>
        </w:tc>
        <w:tc>
          <w:tcPr>
            <w:tcW w:w="271" w:type="pct"/>
            <w:noWrap/>
            <w:vAlign w:val="bottom"/>
          </w:tcPr>
          <w:p w14:paraId="0A04F80A" w14:textId="3E6D7361" w:rsidR="000C2E4B" w:rsidRPr="00471CBA" w:rsidRDefault="000C2E4B" w:rsidP="000C2E4B">
            <w:pPr>
              <w:jc w:val="right"/>
              <w:rPr>
                <w:sz w:val="16"/>
                <w:szCs w:val="16"/>
              </w:rPr>
            </w:pPr>
            <w:r w:rsidRPr="00471CBA">
              <w:rPr>
                <w:sz w:val="16"/>
                <w:szCs w:val="16"/>
              </w:rPr>
              <w:t>-</w:t>
            </w:r>
          </w:p>
        </w:tc>
        <w:tc>
          <w:tcPr>
            <w:tcW w:w="405" w:type="pct"/>
            <w:noWrap/>
            <w:vAlign w:val="bottom"/>
          </w:tcPr>
          <w:p w14:paraId="7BAC5572" w14:textId="233D766E" w:rsidR="000C2E4B" w:rsidRPr="00471CBA" w:rsidRDefault="000C2E4B" w:rsidP="000C2E4B">
            <w:pPr>
              <w:jc w:val="right"/>
              <w:rPr>
                <w:sz w:val="16"/>
                <w:szCs w:val="16"/>
              </w:rPr>
            </w:pPr>
            <w:r w:rsidRPr="00471CBA">
              <w:rPr>
                <w:sz w:val="16"/>
                <w:szCs w:val="16"/>
              </w:rPr>
              <w:t>-</w:t>
            </w:r>
          </w:p>
        </w:tc>
      </w:tr>
      <w:tr w:rsidR="000C2E4B" w:rsidRPr="00471CBA" w14:paraId="0F5D1D80" w14:textId="77777777" w:rsidTr="000C2E4B">
        <w:trPr>
          <w:trHeight w:val="36"/>
        </w:trPr>
        <w:tc>
          <w:tcPr>
            <w:tcW w:w="1544" w:type="pct"/>
            <w:vAlign w:val="center"/>
            <w:hideMark/>
          </w:tcPr>
          <w:p w14:paraId="2B6846C5" w14:textId="77777777" w:rsidR="000C2E4B" w:rsidRPr="00471CBA" w:rsidRDefault="000C2E4B" w:rsidP="000C2E4B">
            <w:pPr>
              <w:rPr>
                <w:sz w:val="16"/>
                <w:szCs w:val="16"/>
              </w:rPr>
            </w:pPr>
            <w:r w:rsidRPr="00471CBA">
              <w:rPr>
                <w:sz w:val="16"/>
                <w:szCs w:val="16"/>
              </w:rPr>
              <w:t>Hisse senedi yatırımları</w:t>
            </w:r>
          </w:p>
        </w:tc>
        <w:tc>
          <w:tcPr>
            <w:tcW w:w="342" w:type="pct"/>
            <w:noWrap/>
            <w:vAlign w:val="bottom"/>
          </w:tcPr>
          <w:p w14:paraId="5A6FCF21" w14:textId="642D3884" w:rsidR="000C2E4B" w:rsidRPr="00471CBA" w:rsidRDefault="000C2E4B" w:rsidP="000C2E4B">
            <w:pPr>
              <w:jc w:val="right"/>
              <w:rPr>
                <w:sz w:val="16"/>
                <w:szCs w:val="16"/>
              </w:rPr>
            </w:pPr>
            <w:r w:rsidRPr="00471CBA">
              <w:rPr>
                <w:sz w:val="16"/>
                <w:szCs w:val="16"/>
              </w:rPr>
              <w:t>-</w:t>
            </w:r>
          </w:p>
        </w:tc>
        <w:tc>
          <w:tcPr>
            <w:tcW w:w="239" w:type="pct"/>
            <w:noWrap/>
            <w:vAlign w:val="bottom"/>
          </w:tcPr>
          <w:p w14:paraId="0E69FD7B" w14:textId="20688B0C" w:rsidR="000C2E4B" w:rsidRPr="00471CBA" w:rsidRDefault="000C2E4B" w:rsidP="000C2E4B">
            <w:pPr>
              <w:jc w:val="right"/>
              <w:rPr>
                <w:sz w:val="16"/>
                <w:szCs w:val="16"/>
              </w:rPr>
            </w:pPr>
            <w:r w:rsidRPr="00471CBA">
              <w:rPr>
                <w:sz w:val="16"/>
                <w:szCs w:val="16"/>
              </w:rPr>
              <w:t>-</w:t>
            </w:r>
          </w:p>
        </w:tc>
        <w:tc>
          <w:tcPr>
            <w:tcW w:w="342" w:type="pct"/>
            <w:noWrap/>
            <w:vAlign w:val="bottom"/>
          </w:tcPr>
          <w:p w14:paraId="132E1F05" w14:textId="70F8901F" w:rsidR="000C2E4B" w:rsidRPr="00471CBA" w:rsidRDefault="000C2E4B" w:rsidP="000C2E4B">
            <w:pPr>
              <w:jc w:val="right"/>
              <w:rPr>
                <w:sz w:val="16"/>
                <w:szCs w:val="16"/>
              </w:rPr>
            </w:pPr>
            <w:r w:rsidRPr="00471CBA">
              <w:rPr>
                <w:sz w:val="16"/>
                <w:szCs w:val="16"/>
              </w:rPr>
              <w:t>-</w:t>
            </w:r>
          </w:p>
        </w:tc>
        <w:tc>
          <w:tcPr>
            <w:tcW w:w="239" w:type="pct"/>
            <w:vAlign w:val="bottom"/>
          </w:tcPr>
          <w:p w14:paraId="6B68B34B" w14:textId="310C2F9B" w:rsidR="000C2E4B" w:rsidRPr="00471CBA" w:rsidRDefault="000C2E4B" w:rsidP="000C2E4B">
            <w:pPr>
              <w:jc w:val="right"/>
              <w:rPr>
                <w:sz w:val="16"/>
                <w:szCs w:val="16"/>
              </w:rPr>
            </w:pPr>
            <w:r w:rsidRPr="00471CBA">
              <w:rPr>
                <w:sz w:val="16"/>
                <w:szCs w:val="16"/>
              </w:rPr>
              <w:t>-</w:t>
            </w:r>
          </w:p>
        </w:tc>
        <w:tc>
          <w:tcPr>
            <w:tcW w:w="239" w:type="pct"/>
            <w:vAlign w:val="bottom"/>
          </w:tcPr>
          <w:p w14:paraId="2AB33218" w14:textId="6438D0AC" w:rsidR="000C2E4B" w:rsidRPr="00471CBA" w:rsidRDefault="000C2E4B" w:rsidP="000C2E4B">
            <w:pPr>
              <w:jc w:val="right"/>
              <w:rPr>
                <w:sz w:val="16"/>
                <w:szCs w:val="16"/>
              </w:rPr>
            </w:pPr>
            <w:r w:rsidRPr="00471CBA">
              <w:rPr>
                <w:sz w:val="16"/>
                <w:szCs w:val="16"/>
              </w:rPr>
              <w:t>-</w:t>
            </w:r>
          </w:p>
        </w:tc>
        <w:tc>
          <w:tcPr>
            <w:tcW w:w="239" w:type="pct"/>
            <w:noWrap/>
            <w:vAlign w:val="bottom"/>
          </w:tcPr>
          <w:p w14:paraId="37958149" w14:textId="0ABB5BE6" w:rsidR="000C2E4B" w:rsidRPr="00471CBA" w:rsidRDefault="000C2E4B" w:rsidP="000C2E4B">
            <w:pPr>
              <w:jc w:val="right"/>
              <w:rPr>
                <w:sz w:val="16"/>
                <w:szCs w:val="16"/>
              </w:rPr>
            </w:pPr>
            <w:r w:rsidRPr="00471CBA">
              <w:rPr>
                <w:sz w:val="16"/>
                <w:szCs w:val="16"/>
              </w:rPr>
              <w:t>-</w:t>
            </w:r>
          </w:p>
        </w:tc>
        <w:tc>
          <w:tcPr>
            <w:tcW w:w="239" w:type="pct"/>
            <w:noWrap/>
            <w:vAlign w:val="bottom"/>
          </w:tcPr>
          <w:p w14:paraId="7D8D9AB1" w14:textId="20FB89A6" w:rsidR="000C2E4B" w:rsidRPr="00471CBA" w:rsidRDefault="000C2E4B" w:rsidP="000C2E4B">
            <w:pPr>
              <w:jc w:val="right"/>
              <w:rPr>
                <w:sz w:val="16"/>
                <w:szCs w:val="16"/>
              </w:rPr>
            </w:pPr>
            <w:r w:rsidRPr="00471CBA">
              <w:rPr>
                <w:sz w:val="16"/>
                <w:szCs w:val="16"/>
              </w:rPr>
              <w:t>-</w:t>
            </w:r>
          </w:p>
        </w:tc>
        <w:tc>
          <w:tcPr>
            <w:tcW w:w="342" w:type="pct"/>
            <w:noWrap/>
            <w:vAlign w:val="bottom"/>
          </w:tcPr>
          <w:p w14:paraId="3C747BF3" w14:textId="5DB0F208" w:rsidR="000C2E4B" w:rsidRPr="00471CBA" w:rsidRDefault="000C2E4B" w:rsidP="000C2E4B">
            <w:pPr>
              <w:jc w:val="right"/>
              <w:rPr>
                <w:sz w:val="16"/>
                <w:szCs w:val="16"/>
              </w:rPr>
            </w:pPr>
            <w:r w:rsidRPr="00471CBA">
              <w:rPr>
                <w:sz w:val="16"/>
                <w:szCs w:val="16"/>
              </w:rPr>
              <w:t>-</w:t>
            </w:r>
          </w:p>
        </w:tc>
        <w:tc>
          <w:tcPr>
            <w:tcW w:w="280" w:type="pct"/>
            <w:noWrap/>
            <w:vAlign w:val="bottom"/>
          </w:tcPr>
          <w:p w14:paraId="5BC3F8A9" w14:textId="483EB10E" w:rsidR="000C2E4B" w:rsidRPr="00471CBA" w:rsidRDefault="000C2E4B" w:rsidP="000C2E4B">
            <w:pPr>
              <w:jc w:val="right"/>
              <w:rPr>
                <w:sz w:val="16"/>
                <w:szCs w:val="16"/>
              </w:rPr>
            </w:pPr>
            <w:r w:rsidRPr="00471CBA">
              <w:rPr>
                <w:sz w:val="16"/>
                <w:szCs w:val="16"/>
              </w:rPr>
              <w:t>-</w:t>
            </w:r>
          </w:p>
        </w:tc>
        <w:tc>
          <w:tcPr>
            <w:tcW w:w="280" w:type="pct"/>
            <w:vAlign w:val="bottom"/>
          </w:tcPr>
          <w:p w14:paraId="08274E01" w14:textId="38D1F460" w:rsidR="000C2E4B" w:rsidRPr="00471CBA" w:rsidRDefault="000C2E4B" w:rsidP="000C2E4B">
            <w:pPr>
              <w:jc w:val="right"/>
              <w:rPr>
                <w:sz w:val="16"/>
                <w:szCs w:val="16"/>
              </w:rPr>
            </w:pPr>
            <w:r w:rsidRPr="00471CBA">
              <w:rPr>
                <w:sz w:val="16"/>
                <w:szCs w:val="16"/>
              </w:rPr>
              <w:t>-</w:t>
            </w:r>
          </w:p>
        </w:tc>
        <w:tc>
          <w:tcPr>
            <w:tcW w:w="271" w:type="pct"/>
            <w:noWrap/>
            <w:vAlign w:val="bottom"/>
          </w:tcPr>
          <w:p w14:paraId="66E83156" w14:textId="25204A20" w:rsidR="000C2E4B" w:rsidRPr="00471CBA" w:rsidRDefault="000C2E4B" w:rsidP="000C2E4B">
            <w:pPr>
              <w:jc w:val="right"/>
              <w:rPr>
                <w:sz w:val="16"/>
                <w:szCs w:val="16"/>
              </w:rPr>
            </w:pPr>
            <w:r w:rsidRPr="00471CBA">
              <w:rPr>
                <w:sz w:val="16"/>
                <w:szCs w:val="16"/>
              </w:rPr>
              <w:t>-</w:t>
            </w:r>
          </w:p>
        </w:tc>
        <w:tc>
          <w:tcPr>
            <w:tcW w:w="405" w:type="pct"/>
            <w:noWrap/>
            <w:vAlign w:val="bottom"/>
          </w:tcPr>
          <w:p w14:paraId="74B99A30" w14:textId="3F33123C" w:rsidR="000C2E4B" w:rsidRPr="00471CBA" w:rsidRDefault="000C2E4B" w:rsidP="000C2E4B">
            <w:pPr>
              <w:jc w:val="right"/>
              <w:rPr>
                <w:sz w:val="16"/>
                <w:szCs w:val="16"/>
              </w:rPr>
            </w:pPr>
            <w:r w:rsidRPr="00471CBA">
              <w:rPr>
                <w:sz w:val="16"/>
                <w:szCs w:val="16"/>
              </w:rPr>
              <w:t>-</w:t>
            </w:r>
          </w:p>
        </w:tc>
      </w:tr>
      <w:tr w:rsidR="000C2E4B" w:rsidRPr="00471CBA" w14:paraId="49B5ADE6" w14:textId="77777777" w:rsidTr="000C2E4B">
        <w:trPr>
          <w:trHeight w:val="36"/>
        </w:trPr>
        <w:tc>
          <w:tcPr>
            <w:tcW w:w="1544" w:type="pct"/>
            <w:vAlign w:val="center"/>
            <w:hideMark/>
          </w:tcPr>
          <w:p w14:paraId="024166EF" w14:textId="77777777" w:rsidR="000C2E4B" w:rsidRPr="00471CBA" w:rsidRDefault="000C2E4B" w:rsidP="000C2E4B">
            <w:pPr>
              <w:rPr>
                <w:sz w:val="16"/>
                <w:szCs w:val="16"/>
              </w:rPr>
            </w:pPr>
            <w:r w:rsidRPr="00471CBA">
              <w:rPr>
                <w:sz w:val="16"/>
                <w:szCs w:val="16"/>
              </w:rPr>
              <w:t>Diğer alacaklar</w:t>
            </w:r>
          </w:p>
        </w:tc>
        <w:tc>
          <w:tcPr>
            <w:tcW w:w="342" w:type="pct"/>
            <w:noWrap/>
            <w:vAlign w:val="bottom"/>
          </w:tcPr>
          <w:p w14:paraId="2216917A" w14:textId="707B863B" w:rsidR="000C2E4B" w:rsidRPr="00471CBA" w:rsidRDefault="000C2E4B" w:rsidP="000C2E4B">
            <w:pPr>
              <w:jc w:val="right"/>
              <w:rPr>
                <w:sz w:val="16"/>
                <w:szCs w:val="16"/>
              </w:rPr>
            </w:pPr>
            <w:r w:rsidRPr="00471CBA">
              <w:rPr>
                <w:sz w:val="16"/>
                <w:szCs w:val="16"/>
              </w:rPr>
              <w:t>-</w:t>
            </w:r>
          </w:p>
        </w:tc>
        <w:tc>
          <w:tcPr>
            <w:tcW w:w="239" w:type="pct"/>
            <w:noWrap/>
            <w:vAlign w:val="bottom"/>
          </w:tcPr>
          <w:p w14:paraId="56D7C711" w14:textId="2A816BA4" w:rsidR="000C2E4B" w:rsidRPr="00471CBA" w:rsidRDefault="000C2E4B" w:rsidP="000C2E4B">
            <w:pPr>
              <w:jc w:val="right"/>
              <w:rPr>
                <w:sz w:val="16"/>
                <w:szCs w:val="16"/>
              </w:rPr>
            </w:pPr>
            <w:r w:rsidRPr="00471CBA">
              <w:rPr>
                <w:sz w:val="16"/>
                <w:szCs w:val="16"/>
              </w:rPr>
              <w:t>-</w:t>
            </w:r>
          </w:p>
        </w:tc>
        <w:tc>
          <w:tcPr>
            <w:tcW w:w="342" w:type="pct"/>
            <w:noWrap/>
            <w:vAlign w:val="bottom"/>
          </w:tcPr>
          <w:p w14:paraId="2EFCCE8A" w14:textId="41A88E48" w:rsidR="000C2E4B" w:rsidRPr="00471CBA" w:rsidRDefault="000C2E4B" w:rsidP="000C2E4B">
            <w:pPr>
              <w:jc w:val="right"/>
              <w:rPr>
                <w:sz w:val="16"/>
                <w:szCs w:val="16"/>
              </w:rPr>
            </w:pPr>
            <w:r w:rsidRPr="00471CBA">
              <w:rPr>
                <w:sz w:val="16"/>
                <w:szCs w:val="16"/>
              </w:rPr>
              <w:t>-</w:t>
            </w:r>
          </w:p>
        </w:tc>
        <w:tc>
          <w:tcPr>
            <w:tcW w:w="239" w:type="pct"/>
            <w:vAlign w:val="bottom"/>
          </w:tcPr>
          <w:p w14:paraId="338C452C" w14:textId="66CF4A4C" w:rsidR="000C2E4B" w:rsidRPr="00471CBA" w:rsidRDefault="000C2E4B" w:rsidP="000C2E4B">
            <w:pPr>
              <w:jc w:val="right"/>
              <w:rPr>
                <w:sz w:val="16"/>
                <w:szCs w:val="16"/>
              </w:rPr>
            </w:pPr>
            <w:r w:rsidRPr="00471CBA">
              <w:rPr>
                <w:sz w:val="16"/>
                <w:szCs w:val="16"/>
              </w:rPr>
              <w:t>-</w:t>
            </w:r>
          </w:p>
        </w:tc>
        <w:tc>
          <w:tcPr>
            <w:tcW w:w="239" w:type="pct"/>
            <w:vAlign w:val="bottom"/>
          </w:tcPr>
          <w:p w14:paraId="274675F0" w14:textId="05828343" w:rsidR="000C2E4B" w:rsidRPr="00471CBA" w:rsidRDefault="000C2E4B" w:rsidP="000C2E4B">
            <w:pPr>
              <w:jc w:val="right"/>
              <w:rPr>
                <w:sz w:val="16"/>
                <w:szCs w:val="16"/>
              </w:rPr>
            </w:pPr>
            <w:r w:rsidRPr="00471CBA">
              <w:rPr>
                <w:sz w:val="16"/>
                <w:szCs w:val="16"/>
              </w:rPr>
              <w:t>-</w:t>
            </w:r>
          </w:p>
        </w:tc>
        <w:tc>
          <w:tcPr>
            <w:tcW w:w="239" w:type="pct"/>
            <w:noWrap/>
            <w:vAlign w:val="bottom"/>
          </w:tcPr>
          <w:p w14:paraId="55274091" w14:textId="3DDAA587" w:rsidR="000C2E4B" w:rsidRPr="00471CBA" w:rsidRDefault="000C2E4B" w:rsidP="000C2E4B">
            <w:pPr>
              <w:jc w:val="right"/>
              <w:rPr>
                <w:sz w:val="16"/>
                <w:szCs w:val="16"/>
              </w:rPr>
            </w:pPr>
            <w:r w:rsidRPr="00471CBA">
              <w:rPr>
                <w:sz w:val="16"/>
                <w:szCs w:val="16"/>
              </w:rPr>
              <w:t>-</w:t>
            </w:r>
          </w:p>
        </w:tc>
        <w:tc>
          <w:tcPr>
            <w:tcW w:w="239" w:type="pct"/>
            <w:noWrap/>
            <w:vAlign w:val="bottom"/>
          </w:tcPr>
          <w:p w14:paraId="5DE4E659" w14:textId="7839EEAA" w:rsidR="000C2E4B" w:rsidRPr="00471CBA" w:rsidRDefault="000C2E4B" w:rsidP="000C2E4B">
            <w:pPr>
              <w:jc w:val="right"/>
              <w:rPr>
                <w:sz w:val="16"/>
                <w:szCs w:val="16"/>
              </w:rPr>
            </w:pPr>
            <w:r w:rsidRPr="00471CBA">
              <w:rPr>
                <w:sz w:val="16"/>
                <w:szCs w:val="16"/>
              </w:rPr>
              <w:t>-</w:t>
            </w:r>
          </w:p>
        </w:tc>
        <w:tc>
          <w:tcPr>
            <w:tcW w:w="342" w:type="pct"/>
            <w:noWrap/>
            <w:vAlign w:val="bottom"/>
          </w:tcPr>
          <w:p w14:paraId="3165BED9" w14:textId="6A08C579" w:rsidR="000C2E4B" w:rsidRPr="00471CBA" w:rsidRDefault="000C2E4B" w:rsidP="000C2E4B">
            <w:pPr>
              <w:jc w:val="right"/>
              <w:rPr>
                <w:sz w:val="16"/>
                <w:szCs w:val="16"/>
              </w:rPr>
            </w:pPr>
            <w:r w:rsidRPr="00471CBA">
              <w:rPr>
                <w:sz w:val="16"/>
                <w:szCs w:val="16"/>
              </w:rPr>
              <w:t>-</w:t>
            </w:r>
          </w:p>
        </w:tc>
        <w:tc>
          <w:tcPr>
            <w:tcW w:w="280" w:type="pct"/>
            <w:noWrap/>
            <w:vAlign w:val="bottom"/>
          </w:tcPr>
          <w:p w14:paraId="27574E7E" w14:textId="498B6006" w:rsidR="000C2E4B" w:rsidRPr="00471CBA" w:rsidRDefault="000C2E4B" w:rsidP="000C2E4B">
            <w:pPr>
              <w:jc w:val="right"/>
              <w:rPr>
                <w:sz w:val="16"/>
                <w:szCs w:val="16"/>
              </w:rPr>
            </w:pPr>
            <w:r w:rsidRPr="00471CBA">
              <w:rPr>
                <w:sz w:val="16"/>
                <w:szCs w:val="16"/>
              </w:rPr>
              <w:t>-</w:t>
            </w:r>
          </w:p>
        </w:tc>
        <w:tc>
          <w:tcPr>
            <w:tcW w:w="280" w:type="pct"/>
            <w:vAlign w:val="bottom"/>
          </w:tcPr>
          <w:p w14:paraId="5B6B126F" w14:textId="3E08AF6B" w:rsidR="000C2E4B" w:rsidRPr="00471CBA" w:rsidRDefault="000C2E4B" w:rsidP="000C2E4B">
            <w:pPr>
              <w:jc w:val="right"/>
              <w:rPr>
                <w:sz w:val="16"/>
                <w:szCs w:val="16"/>
              </w:rPr>
            </w:pPr>
            <w:r w:rsidRPr="00471CBA">
              <w:rPr>
                <w:sz w:val="16"/>
                <w:szCs w:val="16"/>
              </w:rPr>
              <w:t>-</w:t>
            </w:r>
          </w:p>
        </w:tc>
        <w:tc>
          <w:tcPr>
            <w:tcW w:w="271" w:type="pct"/>
            <w:noWrap/>
            <w:vAlign w:val="bottom"/>
          </w:tcPr>
          <w:p w14:paraId="35AF2449" w14:textId="6EC35DF1" w:rsidR="000C2E4B" w:rsidRPr="00471CBA" w:rsidRDefault="000C2E4B" w:rsidP="000C2E4B">
            <w:pPr>
              <w:jc w:val="right"/>
              <w:rPr>
                <w:sz w:val="16"/>
                <w:szCs w:val="16"/>
              </w:rPr>
            </w:pPr>
            <w:r w:rsidRPr="00471CBA">
              <w:rPr>
                <w:sz w:val="16"/>
                <w:szCs w:val="16"/>
              </w:rPr>
              <w:t>-</w:t>
            </w:r>
          </w:p>
        </w:tc>
        <w:tc>
          <w:tcPr>
            <w:tcW w:w="405" w:type="pct"/>
            <w:noWrap/>
            <w:vAlign w:val="bottom"/>
          </w:tcPr>
          <w:p w14:paraId="1B0FD6F1" w14:textId="5BF4D084" w:rsidR="000C2E4B" w:rsidRPr="00471CBA" w:rsidRDefault="000C2E4B" w:rsidP="000C2E4B">
            <w:pPr>
              <w:jc w:val="right"/>
              <w:rPr>
                <w:sz w:val="16"/>
                <w:szCs w:val="16"/>
              </w:rPr>
            </w:pPr>
            <w:r w:rsidRPr="00471CBA">
              <w:rPr>
                <w:sz w:val="16"/>
                <w:szCs w:val="16"/>
              </w:rPr>
              <w:t>-</w:t>
            </w:r>
          </w:p>
        </w:tc>
      </w:tr>
      <w:tr w:rsidR="000C2E4B" w:rsidRPr="00471CBA" w14:paraId="11554861" w14:textId="77777777" w:rsidTr="000C2E4B">
        <w:trPr>
          <w:trHeight w:val="36"/>
        </w:trPr>
        <w:tc>
          <w:tcPr>
            <w:tcW w:w="1544" w:type="pct"/>
            <w:tcBorders>
              <w:bottom w:val="single" w:sz="4" w:space="0" w:color="auto"/>
            </w:tcBorders>
            <w:vAlign w:val="center"/>
            <w:hideMark/>
          </w:tcPr>
          <w:p w14:paraId="59DD1BEE" w14:textId="77777777" w:rsidR="000C2E4B" w:rsidRPr="00471CBA" w:rsidRDefault="000C2E4B" w:rsidP="000C2E4B">
            <w:pPr>
              <w:rPr>
                <w:sz w:val="16"/>
                <w:szCs w:val="16"/>
              </w:rPr>
            </w:pPr>
            <w:r w:rsidRPr="00471CBA">
              <w:rPr>
                <w:sz w:val="16"/>
                <w:szCs w:val="16"/>
              </w:rPr>
              <w:t>Diğer varlıklar</w:t>
            </w:r>
          </w:p>
        </w:tc>
        <w:tc>
          <w:tcPr>
            <w:tcW w:w="342" w:type="pct"/>
            <w:tcBorders>
              <w:bottom w:val="single" w:sz="4" w:space="0" w:color="auto"/>
            </w:tcBorders>
            <w:noWrap/>
            <w:vAlign w:val="bottom"/>
          </w:tcPr>
          <w:p w14:paraId="12856F54" w14:textId="6EE9A7F5" w:rsidR="000C2E4B" w:rsidRPr="00471CBA" w:rsidRDefault="000C2E4B" w:rsidP="000C2E4B">
            <w:pPr>
              <w:jc w:val="right"/>
              <w:rPr>
                <w:sz w:val="16"/>
                <w:szCs w:val="16"/>
              </w:rPr>
            </w:pPr>
            <w:r w:rsidRPr="00471CBA">
              <w:rPr>
                <w:sz w:val="16"/>
                <w:szCs w:val="16"/>
              </w:rPr>
              <w:t>-</w:t>
            </w:r>
          </w:p>
        </w:tc>
        <w:tc>
          <w:tcPr>
            <w:tcW w:w="239" w:type="pct"/>
            <w:tcBorders>
              <w:bottom w:val="single" w:sz="4" w:space="0" w:color="auto"/>
            </w:tcBorders>
            <w:noWrap/>
            <w:vAlign w:val="bottom"/>
          </w:tcPr>
          <w:p w14:paraId="240C9247" w14:textId="0BBFC06C" w:rsidR="000C2E4B" w:rsidRPr="00471CBA" w:rsidRDefault="000C2E4B" w:rsidP="000C2E4B">
            <w:pPr>
              <w:jc w:val="right"/>
              <w:rPr>
                <w:sz w:val="16"/>
                <w:szCs w:val="16"/>
              </w:rPr>
            </w:pPr>
            <w:r w:rsidRPr="00471CBA">
              <w:rPr>
                <w:sz w:val="16"/>
                <w:szCs w:val="16"/>
              </w:rPr>
              <w:t>-</w:t>
            </w:r>
          </w:p>
        </w:tc>
        <w:tc>
          <w:tcPr>
            <w:tcW w:w="342" w:type="pct"/>
            <w:tcBorders>
              <w:bottom w:val="single" w:sz="4" w:space="0" w:color="auto"/>
            </w:tcBorders>
            <w:noWrap/>
            <w:vAlign w:val="bottom"/>
          </w:tcPr>
          <w:p w14:paraId="11548071" w14:textId="47DC1929" w:rsidR="000C2E4B" w:rsidRPr="00471CBA" w:rsidRDefault="000C2E4B" w:rsidP="000C2E4B">
            <w:pPr>
              <w:jc w:val="right"/>
              <w:rPr>
                <w:sz w:val="16"/>
                <w:szCs w:val="16"/>
              </w:rPr>
            </w:pPr>
            <w:r w:rsidRPr="00471CBA">
              <w:rPr>
                <w:sz w:val="16"/>
                <w:szCs w:val="16"/>
              </w:rPr>
              <w:t>-</w:t>
            </w:r>
          </w:p>
        </w:tc>
        <w:tc>
          <w:tcPr>
            <w:tcW w:w="239" w:type="pct"/>
            <w:tcBorders>
              <w:bottom w:val="single" w:sz="4" w:space="0" w:color="auto"/>
            </w:tcBorders>
            <w:vAlign w:val="bottom"/>
          </w:tcPr>
          <w:p w14:paraId="71D02FF0" w14:textId="54ABBD99" w:rsidR="000C2E4B" w:rsidRPr="00471CBA" w:rsidRDefault="000C2E4B" w:rsidP="000C2E4B">
            <w:pPr>
              <w:jc w:val="right"/>
              <w:rPr>
                <w:sz w:val="16"/>
                <w:szCs w:val="16"/>
              </w:rPr>
            </w:pPr>
            <w:r w:rsidRPr="00471CBA">
              <w:rPr>
                <w:sz w:val="16"/>
                <w:szCs w:val="16"/>
              </w:rPr>
              <w:t>-</w:t>
            </w:r>
          </w:p>
        </w:tc>
        <w:tc>
          <w:tcPr>
            <w:tcW w:w="239" w:type="pct"/>
            <w:tcBorders>
              <w:bottom w:val="single" w:sz="4" w:space="0" w:color="auto"/>
            </w:tcBorders>
            <w:vAlign w:val="bottom"/>
          </w:tcPr>
          <w:p w14:paraId="5ACBEF90" w14:textId="0E4059D5" w:rsidR="000C2E4B" w:rsidRPr="00471CBA" w:rsidRDefault="000C2E4B" w:rsidP="000C2E4B">
            <w:pPr>
              <w:jc w:val="right"/>
              <w:rPr>
                <w:sz w:val="16"/>
                <w:szCs w:val="16"/>
              </w:rPr>
            </w:pPr>
            <w:r w:rsidRPr="00471CBA">
              <w:rPr>
                <w:sz w:val="16"/>
                <w:szCs w:val="16"/>
              </w:rPr>
              <w:t>-</w:t>
            </w:r>
          </w:p>
        </w:tc>
        <w:tc>
          <w:tcPr>
            <w:tcW w:w="239" w:type="pct"/>
            <w:tcBorders>
              <w:bottom w:val="single" w:sz="4" w:space="0" w:color="auto"/>
            </w:tcBorders>
            <w:noWrap/>
            <w:vAlign w:val="bottom"/>
          </w:tcPr>
          <w:p w14:paraId="5CB25E5F" w14:textId="355F2FB8" w:rsidR="000C2E4B" w:rsidRPr="00471CBA" w:rsidRDefault="000C2E4B" w:rsidP="000C2E4B">
            <w:pPr>
              <w:jc w:val="right"/>
              <w:rPr>
                <w:sz w:val="16"/>
                <w:szCs w:val="16"/>
              </w:rPr>
            </w:pPr>
            <w:r w:rsidRPr="00471CBA">
              <w:rPr>
                <w:sz w:val="16"/>
                <w:szCs w:val="16"/>
              </w:rPr>
              <w:t>-</w:t>
            </w:r>
          </w:p>
        </w:tc>
        <w:tc>
          <w:tcPr>
            <w:tcW w:w="239" w:type="pct"/>
            <w:tcBorders>
              <w:bottom w:val="single" w:sz="4" w:space="0" w:color="auto"/>
            </w:tcBorders>
            <w:noWrap/>
            <w:vAlign w:val="bottom"/>
          </w:tcPr>
          <w:p w14:paraId="41DB5467" w14:textId="371C5072" w:rsidR="000C2E4B" w:rsidRPr="00471CBA" w:rsidRDefault="000C2E4B" w:rsidP="000C2E4B">
            <w:pPr>
              <w:jc w:val="right"/>
              <w:rPr>
                <w:sz w:val="16"/>
                <w:szCs w:val="16"/>
              </w:rPr>
            </w:pPr>
            <w:r w:rsidRPr="00471CBA">
              <w:rPr>
                <w:sz w:val="16"/>
                <w:szCs w:val="16"/>
              </w:rPr>
              <w:t>-</w:t>
            </w:r>
          </w:p>
        </w:tc>
        <w:tc>
          <w:tcPr>
            <w:tcW w:w="342" w:type="pct"/>
            <w:tcBorders>
              <w:bottom w:val="single" w:sz="4" w:space="0" w:color="auto"/>
            </w:tcBorders>
            <w:noWrap/>
            <w:vAlign w:val="bottom"/>
          </w:tcPr>
          <w:p w14:paraId="1641D0DB" w14:textId="41AA1E92" w:rsidR="000C2E4B" w:rsidRPr="00471CBA" w:rsidRDefault="000C2E4B" w:rsidP="000C2E4B">
            <w:pPr>
              <w:jc w:val="right"/>
              <w:rPr>
                <w:sz w:val="16"/>
                <w:szCs w:val="16"/>
              </w:rPr>
            </w:pPr>
            <w:r w:rsidRPr="00471CBA">
              <w:rPr>
                <w:sz w:val="16"/>
                <w:szCs w:val="16"/>
              </w:rPr>
              <w:t>-</w:t>
            </w:r>
          </w:p>
        </w:tc>
        <w:tc>
          <w:tcPr>
            <w:tcW w:w="280" w:type="pct"/>
            <w:tcBorders>
              <w:bottom w:val="single" w:sz="4" w:space="0" w:color="auto"/>
            </w:tcBorders>
            <w:noWrap/>
            <w:vAlign w:val="bottom"/>
          </w:tcPr>
          <w:p w14:paraId="75F62870" w14:textId="283C3C9C" w:rsidR="000C2E4B" w:rsidRPr="00471CBA" w:rsidRDefault="000C2E4B" w:rsidP="000C2E4B">
            <w:pPr>
              <w:jc w:val="right"/>
              <w:rPr>
                <w:sz w:val="16"/>
                <w:szCs w:val="16"/>
              </w:rPr>
            </w:pPr>
            <w:r w:rsidRPr="00471CBA">
              <w:rPr>
                <w:sz w:val="16"/>
                <w:szCs w:val="16"/>
              </w:rPr>
              <w:t>-</w:t>
            </w:r>
          </w:p>
        </w:tc>
        <w:tc>
          <w:tcPr>
            <w:tcW w:w="280" w:type="pct"/>
            <w:tcBorders>
              <w:bottom w:val="single" w:sz="4" w:space="0" w:color="auto"/>
            </w:tcBorders>
            <w:vAlign w:val="bottom"/>
          </w:tcPr>
          <w:p w14:paraId="7F7A4A71" w14:textId="27C52C12" w:rsidR="000C2E4B" w:rsidRPr="00471CBA" w:rsidRDefault="000C2E4B" w:rsidP="000C2E4B">
            <w:pPr>
              <w:jc w:val="right"/>
              <w:rPr>
                <w:sz w:val="16"/>
                <w:szCs w:val="16"/>
              </w:rPr>
            </w:pPr>
            <w:r w:rsidRPr="00471CBA">
              <w:rPr>
                <w:sz w:val="16"/>
                <w:szCs w:val="16"/>
              </w:rPr>
              <w:t>-</w:t>
            </w:r>
          </w:p>
        </w:tc>
        <w:tc>
          <w:tcPr>
            <w:tcW w:w="271" w:type="pct"/>
            <w:tcBorders>
              <w:bottom w:val="single" w:sz="4" w:space="0" w:color="auto"/>
            </w:tcBorders>
            <w:noWrap/>
            <w:vAlign w:val="bottom"/>
          </w:tcPr>
          <w:p w14:paraId="1186D7B3" w14:textId="5B37010B" w:rsidR="000C2E4B" w:rsidRPr="00471CBA" w:rsidRDefault="000C2E4B" w:rsidP="000C2E4B">
            <w:pPr>
              <w:jc w:val="right"/>
              <w:rPr>
                <w:sz w:val="16"/>
                <w:szCs w:val="16"/>
              </w:rPr>
            </w:pPr>
            <w:r w:rsidRPr="00471CBA">
              <w:rPr>
                <w:sz w:val="16"/>
                <w:szCs w:val="16"/>
              </w:rPr>
              <w:t>-</w:t>
            </w:r>
          </w:p>
        </w:tc>
        <w:tc>
          <w:tcPr>
            <w:tcW w:w="405" w:type="pct"/>
            <w:tcBorders>
              <w:bottom w:val="single" w:sz="4" w:space="0" w:color="auto"/>
            </w:tcBorders>
            <w:noWrap/>
            <w:vAlign w:val="bottom"/>
          </w:tcPr>
          <w:p w14:paraId="7D0DB13C" w14:textId="0F51AE41" w:rsidR="000C2E4B" w:rsidRPr="00471CBA" w:rsidRDefault="000C2E4B" w:rsidP="000C2E4B">
            <w:pPr>
              <w:jc w:val="right"/>
              <w:rPr>
                <w:sz w:val="16"/>
                <w:szCs w:val="16"/>
              </w:rPr>
            </w:pPr>
            <w:r w:rsidRPr="00471CBA">
              <w:rPr>
                <w:sz w:val="16"/>
                <w:szCs w:val="16"/>
              </w:rPr>
              <w:t>-</w:t>
            </w:r>
          </w:p>
        </w:tc>
      </w:tr>
      <w:tr w:rsidR="000C2E4B" w:rsidRPr="00471CBA" w14:paraId="607EDE2E" w14:textId="77777777" w:rsidTr="000C2E4B">
        <w:trPr>
          <w:trHeight w:val="36"/>
        </w:trPr>
        <w:tc>
          <w:tcPr>
            <w:tcW w:w="1544" w:type="pct"/>
            <w:tcBorders>
              <w:top w:val="single" w:sz="4" w:space="0" w:color="auto"/>
              <w:bottom w:val="single" w:sz="12" w:space="0" w:color="auto"/>
            </w:tcBorders>
            <w:vAlign w:val="center"/>
            <w:hideMark/>
          </w:tcPr>
          <w:p w14:paraId="0FC67534" w14:textId="77777777" w:rsidR="000C2E4B" w:rsidRPr="00471CBA" w:rsidRDefault="000C2E4B" w:rsidP="000C2E4B">
            <w:pPr>
              <w:rPr>
                <w:b/>
                <w:sz w:val="16"/>
                <w:szCs w:val="16"/>
              </w:rPr>
            </w:pPr>
            <w:r w:rsidRPr="00471CBA">
              <w:rPr>
                <w:b/>
                <w:sz w:val="16"/>
                <w:szCs w:val="16"/>
              </w:rPr>
              <w:t>Toplam</w:t>
            </w:r>
          </w:p>
        </w:tc>
        <w:tc>
          <w:tcPr>
            <w:tcW w:w="342" w:type="pct"/>
            <w:tcBorders>
              <w:top w:val="single" w:sz="4" w:space="0" w:color="auto"/>
              <w:bottom w:val="single" w:sz="12" w:space="0" w:color="auto"/>
            </w:tcBorders>
            <w:noWrap/>
            <w:vAlign w:val="bottom"/>
          </w:tcPr>
          <w:p w14:paraId="4B8AF5B3" w14:textId="6DB48D9A" w:rsidR="000C2E4B" w:rsidRPr="00471CBA" w:rsidRDefault="000C2E4B" w:rsidP="000C2E4B">
            <w:pPr>
              <w:jc w:val="right"/>
              <w:rPr>
                <w:b/>
                <w:sz w:val="16"/>
                <w:szCs w:val="16"/>
              </w:rPr>
            </w:pPr>
            <w:r w:rsidRPr="00471CBA">
              <w:rPr>
                <w:b/>
                <w:sz w:val="16"/>
                <w:szCs w:val="16"/>
              </w:rPr>
              <w:t>-</w:t>
            </w:r>
          </w:p>
        </w:tc>
        <w:tc>
          <w:tcPr>
            <w:tcW w:w="239" w:type="pct"/>
            <w:tcBorders>
              <w:top w:val="single" w:sz="4" w:space="0" w:color="auto"/>
              <w:bottom w:val="single" w:sz="12" w:space="0" w:color="auto"/>
            </w:tcBorders>
            <w:noWrap/>
            <w:vAlign w:val="bottom"/>
          </w:tcPr>
          <w:p w14:paraId="2D00BB81" w14:textId="72E4E947" w:rsidR="000C2E4B" w:rsidRPr="00471CBA" w:rsidRDefault="000C2E4B" w:rsidP="000C2E4B">
            <w:pPr>
              <w:jc w:val="right"/>
              <w:rPr>
                <w:b/>
                <w:sz w:val="16"/>
                <w:szCs w:val="16"/>
              </w:rPr>
            </w:pPr>
            <w:r w:rsidRPr="00471CBA">
              <w:rPr>
                <w:b/>
                <w:sz w:val="16"/>
                <w:szCs w:val="16"/>
              </w:rPr>
              <w:t>-</w:t>
            </w:r>
          </w:p>
        </w:tc>
        <w:tc>
          <w:tcPr>
            <w:tcW w:w="342" w:type="pct"/>
            <w:tcBorders>
              <w:top w:val="single" w:sz="4" w:space="0" w:color="auto"/>
              <w:bottom w:val="single" w:sz="12" w:space="0" w:color="auto"/>
            </w:tcBorders>
            <w:noWrap/>
            <w:vAlign w:val="bottom"/>
          </w:tcPr>
          <w:p w14:paraId="102617C9" w14:textId="7F90696A" w:rsidR="000C2E4B" w:rsidRPr="00471CBA" w:rsidRDefault="000C2E4B" w:rsidP="000C2E4B">
            <w:pPr>
              <w:jc w:val="right"/>
              <w:rPr>
                <w:b/>
                <w:sz w:val="16"/>
                <w:szCs w:val="16"/>
              </w:rPr>
            </w:pPr>
            <w:r w:rsidRPr="00471CBA">
              <w:rPr>
                <w:b/>
                <w:sz w:val="16"/>
                <w:szCs w:val="16"/>
              </w:rPr>
              <w:t>616.963</w:t>
            </w:r>
          </w:p>
        </w:tc>
        <w:tc>
          <w:tcPr>
            <w:tcW w:w="239" w:type="pct"/>
            <w:tcBorders>
              <w:top w:val="single" w:sz="4" w:space="0" w:color="auto"/>
              <w:bottom w:val="single" w:sz="12" w:space="0" w:color="auto"/>
            </w:tcBorders>
            <w:vAlign w:val="bottom"/>
          </w:tcPr>
          <w:p w14:paraId="206B3E48" w14:textId="5B953D60" w:rsidR="000C2E4B" w:rsidRPr="00471CBA" w:rsidRDefault="000C2E4B" w:rsidP="000C2E4B">
            <w:pPr>
              <w:jc w:val="right"/>
              <w:rPr>
                <w:b/>
                <w:sz w:val="16"/>
                <w:szCs w:val="16"/>
              </w:rPr>
            </w:pPr>
            <w:r w:rsidRPr="00471CBA">
              <w:rPr>
                <w:b/>
                <w:sz w:val="16"/>
                <w:szCs w:val="16"/>
              </w:rPr>
              <w:t>-</w:t>
            </w:r>
          </w:p>
        </w:tc>
        <w:tc>
          <w:tcPr>
            <w:tcW w:w="239" w:type="pct"/>
            <w:tcBorders>
              <w:top w:val="single" w:sz="4" w:space="0" w:color="auto"/>
              <w:bottom w:val="single" w:sz="12" w:space="0" w:color="auto"/>
            </w:tcBorders>
            <w:vAlign w:val="bottom"/>
          </w:tcPr>
          <w:p w14:paraId="4D4115D7" w14:textId="1C60DEA8" w:rsidR="000C2E4B" w:rsidRPr="00471CBA" w:rsidRDefault="000C2E4B" w:rsidP="000C2E4B">
            <w:pPr>
              <w:jc w:val="right"/>
              <w:rPr>
                <w:b/>
                <w:sz w:val="16"/>
                <w:szCs w:val="16"/>
              </w:rPr>
            </w:pPr>
            <w:r w:rsidRPr="00471CBA">
              <w:rPr>
                <w:b/>
                <w:sz w:val="16"/>
                <w:szCs w:val="16"/>
              </w:rPr>
              <w:t>-</w:t>
            </w:r>
          </w:p>
        </w:tc>
        <w:tc>
          <w:tcPr>
            <w:tcW w:w="239" w:type="pct"/>
            <w:tcBorders>
              <w:top w:val="single" w:sz="4" w:space="0" w:color="auto"/>
              <w:bottom w:val="single" w:sz="12" w:space="0" w:color="auto"/>
            </w:tcBorders>
            <w:noWrap/>
            <w:vAlign w:val="bottom"/>
          </w:tcPr>
          <w:p w14:paraId="54EFB019" w14:textId="0924AC37" w:rsidR="000C2E4B" w:rsidRPr="00471CBA" w:rsidRDefault="000C2E4B" w:rsidP="000C2E4B">
            <w:pPr>
              <w:jc w:val="right"/>
              <w:rPr>
                <w:b/>
                <w:sz w:val="16"/>
                <w:szCs w:val="16"/>
              </w:rPr>
            </w:pPr>
            <w:r w:rsidRPr="00471CBA">
              <w:rPr>
                <w:b/>
                <w:sz w:val="16"/>
                <w:szCs w:val="16"/>
              </w:rPr>
              <w:t>29.242</w:t>
            </w:r>
          </w:p>
        </w:tc>
        <w:tc>
          <w:tcPr>
            <w:tcW w:w="239" w:type="pct"/>
            <w:tcBorders>
              <w:top w:val="single" w:sz="4" w:space="0" w:color="auto"/>
              <w:bottom w:val="single" w:sz="12" w:space="0" w:color="auto"/>
            </w:tcBorders>
            <w:noWrap/>
            <w:vAlign w:val="bottom"/>
          </w:tcPr>
          <w:p w14:paraId="0A438481" w14:textId="237A8557" w:rsidR="000C2E4B" w:rsidRPr="00471CBA" w:rsidRDefault="000C2E4B" w:rsidP="000C2E4B">
            <w:pPr>
              <w:jc w:val="right"/>
              <w:rPr>
                <w:b/>
                <w:sz w:val="16"/>
                <w:szCs w:val="16"/>
              </w:rPr>
            </w:pPr>
            <w:r w:rsidRPr="00471CBA">
              <w:rPr>
                <w:b/>
                <w:sz w:val="16"/>
                <w:szCs w:val="16"/>
              </w:rPr>
              <w:t>-</w:t>
            </w:r>
          </w:p>
        </w:tc>
        <w:tc>
          <w:tcPr>
            <w:tcW w:w="342" w:type="pct"/>
            <w:tcBorders>
              <w:top w:val="single" w:sz="4" w:space="0" w:color="auto"/>
              <w:bottom w:val="single" w:sz="12" w:space="0" w:color="auto"/>
            </w:tcBorders>
            <w:noWrap/>
            <w:vAlign w:val="bottom"/>
          </w:tcPr>
          <w:p w14:paraId="5B3EFF09" w14:textId="52B24C95" w:rsidR="000C2E4B" w:rsidRPr="00471CBA" w:rsidRDefault="000C2E4B" w:rsidP="000C2E4B">
            <w:pPr>
              <w:jc w:val="right"/>
              <w:rPr>
                <w:b/>
                <w:sz w:val="16"/>
                <w:szCs w:val="16"/>
              </w:rPr>
            </w:pPr>
            <w:r w:rsidRPr="00471CBA">
              <w:rPr>
                <w:b/>
                <w:sz w:val="16"/>
                <w:szCs w:val="16"/>
              </w:rPr>
              <w:t>1.891.596</w:t>
            </w:r>
          </w:p>
        </w:tc>
        <w:tc>
          <w:tcPr>
            <w:tcW w:w="280" w:type="pct"/>
            <w:tcBorders>
              <w:top w:val="single" w:sz="4" w:space="0" w:color="auto"/>
              <w:bottom w:val="single" w:sz="12" w:space="0" w:color="auto"/>
            </w:tcBorders>
            <w:noWrap/>
            <w:vAlign w:val="bottom"/>
          </w:tcPr>
          <w:p w14:paraId="1ACAE2A0" w14:textId="72AA2D4F" w:rsidR="000C2E4B" w:rsidRPr="00471CBA" w:rsidRDefault="000C2E4B" w:rsidP="000C2E4B">
            <w:pPr>
              <w:jc w:val="right"/>
              <w:rPr>
                <w:b/>
                <w:sz w:val="16"/>
                <w:szCs w:val="16"/>
              </w:rPr>
            </w:pPr>
            <w:r w:rsidRPr="00471CBA">
              <w:rPr>
                <w:b/>
                <w:sz w:val="16"/>
                <w:szCs w:val="16"/>
              </w:rPr>
              <w:t>-</w:t>
            </w:r>
          </w:p>
        </w:tc>
        <w:tc>
          <w:tcPr>
            <w:tcW w:w="280" w:type="pct"/>
            <w:tcBorders>
              <w:top w:val="single" w:sz="4" w:space="0" w:color="auto"/>
              <w:bottom w:val="single" w:sz="12" w:space="0" w:color="auto"/>
            </w:tcBorders>
            <w:vAlign w:val="bottom"/>
          </w:tcPr>
          <w:p w14:paraId="7464CC3E" w14:textId="5D6889C6" w:rsidR="000C2E4B" w:rsidRPr="00471CBA" w:rsidRDefault="000C2E4B" w:rsidP="000C2E4B">
            <w:pPr>
              <w:jc w:val="right"/>
              <w:rPr>
                <w:b/>
                <w:sz w:val="16"/>
                <w:szCs w:val="16"/>
              </w:rPr>
            </w:pPr>
            <w:r w:rsidRPr="00471CBA">
              <w:rPr>
                <w:b/>
                <w:sz w:val="16"/>
                <w:szCs w:val="16"/>
              </w:rPr>
              <w:t>-</w:t>
            </w:r>
          </w:p>
        </w:tc>
        <w:tc>
          <w:tcPr>
            <w:tcW w:w="271" w:type="pct"/>
            <w:tcBorders>
              <w:top w:val="single" w:sz="4" w:space="0" w:color="auto"/>
              <w:bottom w:val="single" w:sz="12" w:space="0" w:color="auto"/>
            </w:tcBorders>
            <w:noWrap/>
            <w:vAlign w:val="bottom"/>
          </w:tcPr>
          <w:p w14:paraId="59FC6899" w14:textId="07A9B5AD" w:rsidR="000C2E4B" w:rsidRPr="00471CBA" w:rsidRDefault="000C2E4B" w:rsidP="000C2E4B">
            <w:pPr>
              <w:jc w:val="right"/>
              <w:rPr>
                <w:b/>
                <w:sz w:val="16"/>
                <w:szCs w:val="16"/>
              </w:rPr>
            </w:pPr>
            <w:r w:rsidRPr="00471CBA">
              <w:rPr>
                <w:b/>
                <w:sz w:val="16"/>
                <w:szCs w:val="16"/>
              </w:rPr>
              <w:t>-</w:t>
            </w:r>
          </w:p>
        </w:tc>
        <w:tc>
          <w:tcPr>
            <w:tcW w:w="405" w:type="pct"/>
            <w:tcBorders>
              <w:top w:val="single" w:sz="4" w:space="0" w:color="auto"/>
              <w:bottom w:val="single" w:sz="12" w:space="0" w:color="auto"/>
            </w:tcBorders>
            <w:noWrap/>
            <w:vAlign w:val="bottom"/>
          </w:tcPr>
          <w:p w14:paraId="43459C02" w14:textId="1053C136" w:rsidR="000C2E4B" w:rsidRPr="00471CBA" w:rsidRDefault="000C2E4B" w:rsidP="000C2E4B">
            <w:pPr>
              <w:jc w:val="right"/>
              <w:rPr>
                <w:b/>
                <w:sz w:val="16"/>
                <w:szCs w:val="16"/>
              </w:rPr>
            </w:pPr>
            <w:r w:rsidRPr="00471CBA">
              <w:rPr>
                <w:b/>
                <w:sz w:val="16"/>
                <w:szCs w:val="16"/>
              </w:rPr>
              <w:t>2.537.802</w:t>
            </w:r>
          </w:p>
        </w:tc>
      </w:tr>
    </w:tbl>
    <w:p w14:paraId="7E1E624C" w14:textId="77777777" w:rsidR="00EE0925" w:rsidRPr="00471CBA" w:rsidRDefault="00EE0925" w:rsidP="00EE0925">
      <w:pPr>
        <w:tabs>
          <w:tab w:val="left" w:pos="3794"/>
        </w:tabs>
        <w:spacing w:before="120" w:after="120"/>
        <w:ind w:right="-182"/>
        <w:jc w:val="both"/>
        <w:rPr>
          <w:rFonts w:ascii="Arial" w:hAnsi="Arial" w:cs="Arial"/>
          <w:sz w:val="16"/>
          <w:szCs w:val="20"/>
        </w:rPr>
      </w:pPr>
      <w:r w:rsidRPr="00471CBA">
        <w:rPr>
          <w:rFonts w:ascii="Arial" w:hAnsi="Arial" w:cs="Arial"/>
          <w:sz w:val="16"/>
          <w:szCs w:val="20"/>
          <w:vertAlign w:val="superscript"/>
        </w:rPr>
        <w:t>(*)</w:t>
      </w:r>
      <w:r w:rsidRPr="00471CBA">
        <w:rPr>
          <w:rFonts w:ascii="Arial" w:hAnsi="Arial" w:cs="Arial"/>
          <w:sz w:val="16"/>
          <w:szCs w:val="20"/>
        </w:rPr>
        <w:t xml:space="preserve"> Toplam kredi riski: Karşı taraf kredi riski ölçüm teknikleri uygulandıktan sonra sermaye yeterliliği hesaplamasıyla ilgili olan tutar.</w:t>
      </w:r>
    </w:p>
    <w:p w14:paraId="6EAE0AC6" w14:textId="77777777" w:rsidR="00EE0925" w:rsidRPr="00471CBA" w:rsidRDefault="00EE0925" w:rsidP="00EE0925">
      <w:pPr>
        <w:rPr>
          <w:rFonts w:ascii="Arial" w:hAnsi="Arial" w:cs="Arial"/>
          <w:sz w:val="16"/>
          <w:szCs w:val="20"/>
        </w:rPr>
      </w:pPr>
      <w:r w:rsidRPr="00471CBA">
        <w:rPr>
          <w:rFonts w:ascii="Arial" w:hAnsi="Arial" w:cs="Arial"/>
          <w:sz w:val="16"/>
          <w:szCs w:val="20"/>
        </w:rPr>
        <w:br w:type="page"/>
      </w:r>
    </w:p>
    <w:p w14:paraId="25E02FDD" w14:textId="77777777" w:rsidR="00EE0925" w:rsidRPr="00471CBA" w:rsidRDefault="00EE0925" w:rsidP="00EE0925">
      <w:pPr>
        <w:rPr>
          <w:b/>
          <w:szCs w:val="20"/>
        </w:rPr>
      </w:pPr>
      <w:r w:rsidRPr="00471CBA">
        <w:rPr>
          <w:b/>
          <w:szCs w:val="20"/>
        </w:rPr>
        <w:t>MALİ BÜNYEYE VE RİSK YÖNETİMİNE İLİŞKİN BİLGİLER (Devamı)</w:t>
      </w:r>
    </w:p>
    <w:p w14:paraId="2498F459" w14:textId="77777777" w:rsidR="00EE0925" w:rsidRPr="00471CBA" w:rsidRDefault="00EE0925" w:rsidP="00EE0925">
      <w:pPr>
        <w:widowControl w:val="0"/>
        <w:autoSpaceDE w:val="0"/>
        <w:autoSpaceDN w:val="0"/>
        <w:adjustRightInd w:val="0"/>
        <w:ind w:left="851" w:hanging="851"/>
        <w:jc w:val="both"/>
        <w:rPr>
          <w:sz w:val="14"/>
          <w:szCs w:val="14"/>
        </w:rPr>
      </w:pPr>
    </w:p>
    <w:p w14:paraId="1AE2C39D" w14:textId="77777777" w:rsidR="00EE0925" w:rsidRPr="00471CBA" w:rsidRDefault="00EE0925" w:rsidP="00EE0925">
      <w:pPr>
        <w:widowControl w:val="0"/>
        <w:ind w:left="851" w:hanging="851"/>
        <w:jc w:val="both"/>
        <w:outlineLvl w:val="1"/>
        <w:rPr>
          <w:b/>
          <w:szCs w:val="20"/>
        </w:rPr>
      </w:pPr>
      <w:r w:rsidRPr="00471CBA">
        <w:rPr>
          <w:b/>
          <w:szCs w:val="20"/>
        </w:rPr>
        <w:t>IX.</w:t>
      </w:r>
      <w:r w:rsidRPr="00471CBA">
        <w:rPr>
          <w:b/>
          <w:szCs w:val="20"/>
        </w:rPr>
        <w:tab/>
        <w:t>RİSK YÖNETİMİNE İLİŞKİN AÇIKLAMALAR (Devamı)</w:t>
      </w:r>
    </w:p>
    <w:p w14:paraId="08772A3E" w14:textId="77777777" w:rsidR="00EE0925" w:rsidRPr="00471CBA" w:rsidRDefault="00EE0925" w:rsidP="00EE0925">
      <w:pPr>
        <w:widowControl w:val="0"/>
        <w:ind w:left="851" w:hanging="851"/>
        <w:jc w:val="both"/>
        <w:outlineLvl w:val="1"/>
        <w:rPr>
          <w:b/>
          <w:szCs w:val="20"/>
        </w:rPr>
      </w:pPr>
    </w:p>
    <w:p w14:paraId="5E9C3595" w14:textId="77777777" w:rsidR="00EE0925" w:rsidRPr="00471CBA" w:rsidRDefault="00EE0925" w:rsidP="00EE0925">
      <w:pPr>
        <w:spacing w:after="120"/>
        <w:ind w:left="851" w:hanging="851"/>
        <w:rPr>
          <w:b/>
          <w:szCs w:val="20"/>
        </w:rPr>
      </w:pPr>
      <w:r w:rsidRPr="00471CBA">
        <w:rPr>
          <w:b/>
          <w:szCs w:val="20"/>
        </w:rPr>
        <w:t>d.3.</w:t>
      </w:r>
      <w:r w:rsidRPr="00471CBA">
        <w:rPr>
          <w:b/>
          <w:szCs w:val="20"/>
        </w:rPr>
        <w:tab/>
        <w:t>Risk Sınıfları ve Risk Ağırlıklarına Göre KKR (Devamı)</w:t>
      </w:r>
    </w:p>
    <w:p w14:paraId="29C083A6" w14:textId="77777777" w:rsidR="00EE0925" w:rsidRPr="00471CBA" w:rsidRDefault="00EE0925" w:rsidP="00EE0925">
      <w:pPr>
        <w:widowControl w:val="0"/>
        <w:ind w:left="851" w:hanging="851"/>
        <w:jc w:val="both"/>
        <w:outlineLvl w:val="1"/>
        <w:rPr>
          <w:b/>
          <w:sz w:val="14"/>
          <w:szCs w:val="14"/>
        </w:rPr>
      </w:pPr>
    </w:p>
    <w:tbl>
      <w:tblPr>
        <w:tblW w:w="5000" w:type="pct"/>
        <w:tblCellMar>
          <w:left w:w="70" w:type="dxa"/>
          <w:right w:w="70" w:type="dxa"/>
        </w:tblCellMar>
        <w:tblLook w:val="04A0" w:firstRow="1" w:lastRow="0" w:firstColumn="1" w:lastColumn="0" w:noHBand="0" w:noVBand="1"/>
      </w:tblPr>
      <w:tblGrid>
        <w:gridCol w:w="3242"/>
        <w:gridCol w:w="660"/>
        <w:gridCol w:w="460"/>
        <w:gridCol w:w="580"/>
        <w:gridCol w:w="460"/>
        <w:gridCol w:w="460"/>
        <w:gridCol w:w="460"/>
        <w:gridCol w:w="460"/>
        <w:gridCol w:w="580"/>
        <w:gridCol w:w="540"/>
        <w:gridCol w:w="540"/>
        <w:gridCol w:w="523"/>
        <w:gridCol w:w="674"/>
      </w:tblGrid>
      <w:tr w:rsidR="00EE0925" w:rsidRPr="00471CBA" w14:paraId="7CC35DB8" w14:textId="77777777" w:rsidTr="00B0049C">
        <w:trPr>
          <w:trHeight w:val="209"/>
        </w:trPr>
        <w:tc>
          <w:tcPr>
            <w:tcW w:w="1682" w:type="pct"/>
            <w:tcBorders>
              <w:top w:val="single" w:sz="4" w:space="0" w:color="auto"/>
              <w:bottom w:val="single" w:sz="4" w:space="0" w:color="auto"/>
            </w:tcBorders>
            <w:noWrap/>
            <w:vAlign w:val="center"/>
          </w:tcPr>
          <w:p w14:paraId="59874E12" w14:textId="77777777" w:rsidR="00EE0925" w:rsidRPr="00471CBA" w:rsidRDefault="00EE0925" w:rsidP="00B0049C">
            <w:pPr>
              <w:rPr>
                <w:b/>
                <w:sz w:val="16"/>
                <w:szCs w:val="16"/>
              </w:rPr>
            </w:pPr>
            <w:r w:rsidRPr="00471CBA">
              <w:rPr>
                <w:b/>
                <w:sz w:val="16"/>
                <w:szCs w:val="16"/>
              </w:rPr>
              <w:t>31 Aralık 2024</w:t>
            </w:r>
          </w:p>
        </w:tc>
        <w:tc>
          <w:tcPr>
            <w:tcW w:w="342" w:type="pct"/>
            <w:tcBorders>
              <w:top w:val="single" w:sz="4" w:space="0" w:color="auto"/>
              <w:bottom w:val="single" w:sz="4" w:space="0" w:color="auto"/>
            </w:tcBorders>
            <w:noWrap/>
            <w:vAlign w:val="bottom"/>
          </w:tcPr>
          <w:p w14:paraId="36CAEF6B" w14:textId="77777777" w:rsidR="00EE0925" w:rsidRPr="00471CBA" w:rsidRDefault="00EE0925" w:rsidP="00B0049C">
            <w:pPr>
              <w:spacing w:after="60"/>
              <w:jc w:val="right"/>
              <w:rPr>
                <w:b/>
                <w:sz w:val="16"/>
                <w:szCs w:val="16"/>
              </w:rPr>
            </w:pPr>
          </w:p>
        </w:tc>
        <w:tc>
          <w:tcPr>
            <w:tcW w:w="239" w:type="pct"/>
            <w:tcBorders>
              <w:top w:val="single" w:sz="4" w:space="0" w:color="auto"/>
              <w:bottom w:val="single" w:sz="4" w:space="0" w:color="auto"/>
            </w:tcBorders>
            <w:noWrap/>
            <w:vAlign w:val="bottom"/>
          </w:tcPr>
          <w:p w14:paraId="224F9E69" w14:textId="77777777" w:rsidR="00EE0925" w:rsidRPr="00471CBA" w:rsidRDefault="00EE0925" w:rsidP="00B0049C">
            <w:pPr>
              <w:spacing w:after="60"/>
              <w:jc w:val="right"/>
              <w:rPr>
                <w:b/>
                <w:sz w:val="16"/>
                <w:szCs w:val="16"/>
              </w:rPr>
            </w:pPr>
          </w:p>
        </w:tc>
        <w:tc>
          <w:tcPr>
            <w:tcW w:w="301" w:type="pct"/>
            <w:tcBorders>
              <w:top w:val="single" w:sz="4" w:space="0" w:color="auto"/>
              <w:bottom w:val="single" w:sz="4" w:space="0" w:color="auto"/>
            </w:tcBorders>
            <w:noWrap/>
            <w:vAlign w:val="bottom"/>
          </w:tcPr>
          <w:p w14:paraId="637CE102" w14:textId="77777777" w:rsidR="00EE0925" w:rsidRPr="00471CBA" w:rsidRDefault="00EE0925" w:rsidP="00B0049C">
            <w:pPr>
              <w:spacing w:after="60"/>
              <w:jc w:val="right"/>
              <w:rPr>
                <w:b/>
                <w:sz w:val="16"/>
                <w:szCs w:val="16"/>
              </w:rPr>
            </w:pPr>
          </w:p>
        </w:tc>
        <w:tc>
          <w:tcPr>
            <w:tcW w:w="239" w:type="pct"/>
            <w:tcBorders>
              <w:top w:val="single" w:sz="4" w:space="0" w:color="auto"/>
              <w:bottom w:val="single" w:sz="4" w:space="0" w:color="auto"/>
            </w:tcBorders>
          </w:tcPr>
          <w:p w14:paraId="48D0F2C7" w14:textId="77777777" w:rsidR="00EE0925" w:rsidRPr="00471CBA" w:rsidRDefault="00EE0925" w:rsidP="00B0049C">
            <w:pPr>
              <w:spacing w:after="60"/>
              <w:jc w:val="right"/>
              <w:rPr>
                <w:b/>
                <w:sz w:val="16"/>
                <w:szCs w:val="16"/>
              </w:rPr>
            </w:pPr>
          </w:p>
        </w:tc>
        <w:tc>
          <w:tcPr>
            <w:tcW w:w="239" w:type="pct"/>
            <w:tcBorders>
              <w:top w:val="single" w:sz="4" w:space="0" w:color="auto"/>
              <w:bottom w:val="single" w:sz="4" w:space="0" w:color="auto"/>
            </w:tcBorders>
          </w:tcPr>
          <w:p w14:paraId="12FE8919" w14:textId="77777777" w:rsidR="00EE0925" w:rsidRPr="00471CBA" w:rsidRDefault="00EE0925" w:rsidP="00B0049C">
            <w:pPr>
              <w:spacing w:after="60"/>
              <w:jc w:val="right"/>
              <w:rPr>
                <w:b/>
                <w:sz w:val="16"/>
                <w:szCs w:val="16"/>
              </w:rPr>
            </w:pPr>
          </w:p>
        </w:tc>
        <w:tc>
          <w:tcPr>
            <w:tcW w:w="239" w:type="pct"/>
            <w:tcBorders>
              <w:top w:val="single" w:sz="4" w:space="0" w:color="auto"/>
              <w:bottom w:val="single" w:sz="4" w:space="0" w:color="auto"/>
            </w:tcBorders>
            <w:noWrap/>
            <w:vAlign w:val="bottom"/>
          </w:tcPr>
          <w:p w14:paraId="49DE3E87" w14:textId="77777777" w:rsidR="00EE0925" w:rsidRPr="00471CBA" w:rsidRDefault="00EE0925" w:rsidP="00B0049C">
            <w:pPr>
              <w:spacing w:after="60"/>
              <w:jc w:val="right"/>
              <w:rPr>
                <w:b/>
                <w:sz w:val="16"/>
                <w:szCs w:val="16"/>
              </w:rPr>
            </w:pPr>
          </w:p>
        </w:tc>
        <w:tc>
          <w:tcPr>
            <w:tcW w:w="239" w:type="pct"/>
            <w:tcBorders>
              <w:top w:val="single" w:sz="4" w:space="0" w:color="auto"/>
              <w:bottom w:val="single" w:sz="4" w:space="0" w:color="auto"/>
            </w:tcBorders>
            <w:noWrap/>
            <w:vAlign w:val="bottom"/>
          </w:tcPr>
          <w:p w14:paraId="6E118E97" w14:textId="77777777" w:rsidR="00EE0925" w:rsidRPr="00471CBA" w:rsidRDefault="00EE0925" w:rsidP="00B0049C">
            <w:pPr>
              <w:spacing w:after="60"/>
              <w:jc w:val="right"/>
              <w:rPr>
                <w:b/>
                <w:sz w:val="16"/>
                <w:szCs w:val="16"/>
              </w:rPr>
            </w:pPr>
          </w:p>
        </w:tc>
        <w:tc>
          <w:tcPr>
            <w:tcW w:w="301" w:type="pct"/>
            <w:tcBorders>
              <w:top w:val="single" w:sz="4" w:space="0" w:color="auto"/>
              <w:bottom w:val="single" w:sz="4" w:space="0" w:color="auto"/>
            </w:tcBorders>
            <w:noWrap/>
            <w:vAlign w:val="bottom"/>
          </w:tcPr>
          <w:p w14:paraId="329836FC" w14:textId="77777777" w:rsidR="00EE0925" w:rsidRPr="00471CBA" w:rsidRDefault="00EE0925" w:rsidP="00B0049C">
            <w:pPr>
              <w:spacing w:after="60"/>
              <w:jc w:val="right"/>
              <w:rPr>
                <w:b/>
                <w:sz w:val="16"/>
                <w:szCs w:val="16"/>
              </w:rPr>
            </w:pPr>
          </w:p>
        </w:tc>
        <w:tc>
          <w:tcPr>
            <w:tcW w:w="280" w:type="pct"/>
            <w:tcBorders>
              <w:top w:val="single" w:sz="4" w:space="0" w:color="auto"/>
              <w:bottom w:val="single" w:sz="4" w:space="0" w:color="auto"/>
            </w:tcBorders>
            <w:noWrap/>
            <w:vAlign w:val="bottom"/>
          </w:tcPr>
          <w:p w14:paraId="14822C67" w14:textId="77777777" w:rsidR="00EE0925" w:rsidRPr="00471CBA" w:rsidRDefault="00EE0925" w:rsidP="00B0049C">
            <w:pPr>
              <w:spacing w:after="60"/>
              <w:jc w:val="right"/>
              <w:rPr>
                <w:b/>
                <w:sz w:val="16"/>
                <w:szCs w:val="16"/>
              </w:rPr>
            </w:pPr>
          </w:p>
        </w:tc>
        <w:tc>
          <w:tcPr>
            <w:tcW w:w="280" w:type="pct"/>
            <w:tcBorders>
              <w:top w:val="single" w:sz="4" w:space="0" w:color="auto"/>
              <w:bottom w:val="single" w:sz="4" w:space="0" w:color="auto"/>
            </w:tcBorders>
          </w:tcPr>
          <w:p w14:paraId="60EE3080" w14:textId="77777777" w:rsidR="00EE0925" w:rsidRPr="00471CBA" w:rsidRDefault="00EE0925" w:rsidP="00B0049C">
            <w:pPr>
              <w:spacing w:after="60"/>
              <w:jc w:val="right"/>
              <w:rPr>
                <w:b/>
                <w:sz w:val="16"/>
                <w:szCs w:val="16"/>
              </w:rPr>
            </w:pPr>
          </w:p>
        </w:tc>
        <w:tc>
          <w:tcPr>
            <w:tcW w:w="271" w:type="pct"/>
            <w:tcBorders>
              <w:top w:val="single" w:sz="4" w:space="0" w:color="auto"/>
              <w:bottom w:val="single" w:sz="4" w:space="0" w:color="auto"/>
            </w:tcBorders>
            <w:noWrap/>
            <w:vAlign w:val="bottom"/>
          </w:tcPr>
          <w:p w14:paraId="2CC78A79" w14:textId="77777777" w:rsidR="00EE0925" w:rsidRPr="00471CBA" w:rsidRDefault="00EE0925" w:rsidP="00B0049C">
            <w:pPr>
              <w:spacing w:after="60"/>
              <w:jc w:val="right"/>
              <w:rPr>
                <w:b/>
                <w:sz w:val="16"/>
                <w:szCs w:val="16"/>
              </w:rPr>
            </w:pPr>
          </w:p>
        </w:tc>
        <w:tc>
          <w:tcPr>
            <w:tcW w:w="350" w:type="pct"/>
            <w:tcBorders>
              <w:top w:val="single" w:sz="4" w:space="0" w:color="auto"/>
              <w:bottom w:val="single" w:sz="4" w:space="0" w:color="auto"/>
            </w:tcBorders>
            <w:noWrap/>
            <w:vAlign w:val="bottom"/>
          </w:tcPr>
          <w:p w14:paraId="7E1813FA" w14:textId="77777777" w:rsidR="00EE0925" w:rsidRPr="00471CBA" w:rsidRDefault="00EE0925" w:rsidP="00B0049C">
            <w:pPr>
              <w:spacing w:after="60"/>
              <w:jc w:val="right"/>
              <w:rPr>
                <w:b/>
                <w:sz w:val="16"/>
                <w:szCs w:val="16"/>
              </w:rPr>
            </w:pPr>
          </w:p>
        </w:tc>
      </w:tr>
      <w:tr w:rsidR="00EE0925" w:rsidRPr="00471CBA" w14:paraId="03D173AE" w14:textId="77777777" w:rsidTr="00B0049C">
        <w:trPr>
          <w:trHeight w:val="36"/>
        </w:trPr>
        <w:tc>
          <w:tcPr>
            <w:tcW w:w="1682" w:type="pct"/>
            <w:tcBorders>
              <w:top w:val="single" w:sz="4" w:space="0" w:color="auto"/>
              <w:bottom w:val="single" w:sz="4" w:space="0" w:color="auto"/>
              <w:tl2br w:val="single" w:sz="4" w:space="0" w:color="auto"/>
            </w:tcBorders>
            <w:noWrap/>
            <w:vAlign w:val="bottom"/>
            <w:hideMark/>
          </w:tcPr>
          <w:p w14:paraId="6DEF5E71" w14:textId="77777777" w:rsidR="00EE0925" w:rsidRPr="00471CBA" w:rsidRDefault="00EE0925" w:rsidP="00B0049C">
            <w:pPr>
              <w:spacing w:before="60"/>
              <w:jc w:val="right"/>
              <w:rPr>
                <w:b/>
                <w:sz w:val="16"/>
                <w:szCs w:val="16"/>
              </w:rPr>
            </w:pPr>
            <w:r w:rsidRPr="00471CBA">
              <w:rPr>
                <w:b/>
                <w:sz w:val="16"/>
                <w:szCs w:val="16"/>
              </w:rPr>
              <w:t>Risk Ağırlıkları</w:t>
            </w:r>
          </w:p>
          <w:p w14:paraId="130705F9" w14:textId="77777777" w:rsidR="00EE0925" w:rsidRPr="00471CBA" w:rsidRDefault="00EE0925" w:rsidP="00B0049C">
            <w:pPr>
              <w:spacing w:after="60"/>
              <w:rPr>
                <w:b/>
                <w:sz w:val="16"/>
                <w:szCs w:val="16"/>
              </w:rPr>
            </w:pPr>
            <w:r w:rsidRPr="00471CBA">
              <w:rPr>
                <w:b/>
                <w:sz w:val="16"/>
                <w:szCs w:val="16"/>
              </w:rPr>
              <w:t>Risk Sınıfları</w:t>
            </w:r>
          </w:p>
        </w:tc>
        <w:tc>
          <w:tcPr>
            <w:tcW w:w="342" w:type="pct"/>
            <w:tcBorders>
              <w:top w:val="single" w:sz="4" w:space="0" w:color="auto"/>
              <w:bottom w:val="single" w:sz="4" w:space="0" w:color="auto"/>
            </w:tcBorders>
            <w:noWrap/>
            <w:vAlign w:val="bottom"/>
            <w:hideMark/>
          </w:tcPr>
          <w:p w14:paraId="0F7CCABF" w14:textId="77777777" w:rsidR="00EE0925" w:rsidRPr="00471CBA" w:rsidRDefault="00EE0925" w:rsidP="00B0049C">
            <w:pPr>
              <w:spacing w:before="60" w:after="60"/>
              <w:jc w:val="right"/>
              <w:rPr>
                <w:b/>
                <w:sz w:val="16"/>
                <w:szCs w:val="16"/>
              </w:rPr>
            </w:pPr>
            <w:r w:rsidRPr="00471CBA">
              <w:rPr>
                <w:b/>
                <w:sz w:val="16"/>
                <w:szCs w:val="16"/>
              </w:rPr>
              <w:t>%0</w:t>
            </w:r>
          </w:p>
        </w:tc>
        <w:tc>
          <w:tcPr>
            <w:tcW w:w="239" w:type="pct"/>
            <w:tcBorders>
              <w:top w:val="single" w:sz="4" w:space="0" w:color="auto"/>
              <w:bottom w:val="single" w:sz="4" w:space="0" w:color="auto"/>
            </w:tcBorders>
            <w:noWrap/>
            <w:vAlign w:val="bottom"/>
            <w:hideMark/>
          </w:tcPr>
          <w:p w14:paraId="417AB816" w14:textId="77777777" w:rsidR="00EE0925" w:rsidRPr="00471CBA" w:rsidRDefault="00EE0925" w:rsidP="00B0049C">
            <w:pPr>
              <w:spacing w:before="60" w:after="60"/>
              <w:jc w:val="right"/>
              <w:rPr>
                <w:b/>
                <w:sz w:val="16"/>
                <w:szCs w:val="16"/>
              </w:rPr>
            </w:pPr>
            <w:r w:rsidRPr="00471CBA">
              <w:rPr>
                <w:b/>
                <w:sz w:val="16"/>
                <w:szCs w:val="16"/>
              </w:rPr>
              <w:t>%10</w:t>
            </w:r>
          </w:p>
        </w:tc>
        <w:tc>
          <w:tcPr>
            <w:tcW w:w="301" w:type="pct"/>
            <w:tcBorders>
              <w:top w:val="single" w:sz="4" w:space="0" w:color="auto"/>
              <w:bottom w:val="single" w:sz="4" w:space="0" w:color="auto"/>
            </w:tcBorders>
            <w:noWrap/>
            <w:vAlign w:val="bottom"/>
            <w:hideMark/>
          </w:tcPr>
          <w:p w14:paraId="1BF4EE66" w14:textId="77777777" w:rsidR="00EE0925" w:rsidRPr="00471CBA" w:rsidRDefault="00EE0925" w:rsidP="00B0049C">
            <w:pPr>
              <w:spacing w:before="60" w:after="60"/>
              <w:jc w:val="right"/>
              <w:rPr>
                <w:b/>
                <w:sz w:val="16"/>
                <w:szCs w:val="16"/>
              </w:rPr>
            </w:pPr>
            <w:r w:rsidRPr="00471CBA">
              <w:rPr>
                <w:b/>
                <w:sz w:val="16"/>
                <w:szCs w:val="16"/>
              </w:rPr>
              <w:t>%20</w:t>
            </w:r>
          </w:p>
        </w:tc>
        <w:tc>
          <w:tcPr>
            <w:tcW w:w="239" w:type="pct"/>
            <w:tcBorders>
              <w:top w:val="single" w:sz="4" w:space="0" w:color="auto"/>
              <w:bottom w:val="single" w:sz="4" w:space="0" w:color="auto"/>
            </w:tcBorders>
            <w:vAlign w:val="bottom"/>
          </w:tcPr>
          <w:p w14:paraId="1E6A80B2" w14:textId="77777777" w:rsidR="00EE0925" w:rsidRPr="00471CBA" w:rsidRDefault="00EE0925" w:rsidP="00B0049C">
            <w:pPr>
              <w:spacing w:before="60" w:after="60"/>
              <w:jc w:val="right"/>
              <w:rPr>
                <w:b/>
                <w:sz w:val="16"/>
                <w:szCs w:val="16"/>
              </w:rPr>
            </w:pPr>
            <w:r w:rsidRPr="00471CBA">
              <w:rPr>
                <w:b/>
                <w:sz w:val="16"/>
                <w:szCs w:val="16"/>
              </w:rPr>
              <w:t>%25</w:t>
            </w:r>
          </w:p>
        </w:tc>
        <w:tc>
          <w:tcPr>
            <w:tcW w:w="239" w:type="pct"/>
            <w:tcBorders>
              <w:top w:val="single" w:sz="4" w:space="0" w:color="auto"/>
              <w:bottom w:val="single" w:sz="4" w:space="0" w:color="auto"/>
            </w:tcBorders>
            <w:vAlign w:val="bottom"/>
          </w:tcPr>
          <w:p w14:paraId="76D7E4A2" w14:textId="77777777" w:rsidR="00EE0925" w:rsidRPr="00471CBA" w:rsidRDefault="00EE0925" w:rsidP="00B0049C">
            <w:pPr>
              <w:spacing w:before="60" w:after="60"/>
              <w:jc w:val="right"/>
              <w:rPr>
                <w:b/>
                <w:sz w:val="16"/>
                <w:szCs w:val="16"/>
              </w:rPr>
            </w:pPr>
            <w:r w:rsidRPr="00471CBA">
              <w:rPr>
                <w:b/>
                <w:sz w:val="16"/>
                <w:szCs w:val="16"/>
              </w:rPr>
              <w:t>%35</w:t>
            </w:r>
          </w:p>
        </w:tc>
        <w:tc>
          <w:tcPr>
            <w:tcW w:w="239" w:type="pct"/>
            <w:tcBorders>
              <w:top w:val="single" w:sz="4" w:space="0" w:color="auto"/>
              <w:bottom w:val="single" w:sz="4" w:space="0" w:color="auto"/>
            </w:tcBorders>
            <w:noWrap/>
            <w:vAlign w:val="bottom"/>
            <w:hideMark/>
          </w:tcPr>
          <w:p w14:paraId="536B0EFD" w14:textId="77777777" w:rsidR="00EE0925" w:rsidRPr="00471CBA" w:rsidRDefault="00EE0925" w:rsidP="00B0049C">
            <w:pPr>
              <w:spacing w:before="60" w:after="60"/>
              <w:jc w:val="right"/>
              <w:rPr>
                <w:b/>
                <w:sz w:val="16"/>
                <w:szCs w:val="16"/>
              </w:rPr>
            </w:pPr>
            <w:r w:rsidRPr="00471CBA">
              <w:rPr>
                <w:b/>
                <w:sz w:val="16"/>
                <w:szCs w:val="16"/>
              </w:rPr>
              <w:t>%50</w:t>
            </w:r>
          </w:p>
        </w:tc>
        <w:tc>
          <w:tcPr>
            <w:tcW w:w="239" w:type="pct"/>
            <w:tcBorders>
              <w:top w:val="single" w:sz="4" w:space="0" w:color="auto"/>
              <w:bottom w:val="single" w:sz="4" w:space="0" w:color="auto"/>
            </w:tcBorders>
            <w:noWrap/>
            <w:vAlign w:val="bottom"/>
            <w:hideMark/>
          </w:tcPr>
          <w:p w14:paraId="4D2AEEBB" w14:textId="77777777" w:rsidR="00EE0925" w:rsidRPr="00471CBA" w:rsidRDefault="00EE0925" w:rsidP="00B0049C">
            <w:pPr>
              <w:spacing w:before="60" w:after="60"/>
              <w:jc w:val="right"/>
              <w:rPr>
                <w:b/>
                <w:sz w:val="16"/>
                <w:szCs w:val="16"/>
              </w:rPr>
            </w:pPr>
            <w:r w:rsidRPr="00471CBA">
              <w:rPr>
                <w:b/>
                <w:sz w:val="16"/>
                <w:szCs w:val="16"/>
              </w:rPr>
              <w:t>%75</w:t>
            </w:r>
          </w:p>
        </w:tc>
        <w:tc>
          <w:tcPr>
            <w:tcW w:w="301" w:type="pct"/>
            <w:tcBorders>
              <w:top w:val="single" w:sz="4" w:space="0" w:color="auto"/>
              <w:bottom w:val="single" w:sz="4" w:space="0" w:color="auto"/>
            </w:tcBorders>
            <w:noWrap/>
            <w:vAlign w:val="bottom"/>
            <w:hideMark/>
          </w:tcPr>
          <w:p w14:paraId="03154837" w14:textId="77777777" w:rsidR="00EE0925" w:rsidRPr="00471CBA" w:rsidRDefault="00EE0925" w:rsidP="00B0049C">
            <w:pPr>
              <w:spacing w:before="60" w:after="60"/>
              <w:jc w:val="right"/>
              <w:rPr>
                <w:b/>
                <w:sz w:val="16"/>
                <w:szCs w:val="16"/>
              </w:rPr>
            </w:pPr>
            <w:r w:rsidRPr="00471CBA">
              <w:rPr>
                <w:b/>
                <w:sz w:val="16"/>
                <w:szCs w:val="16"/>
              </w:rPr>
              <w:t>%100</w:t>
            </w:r>
          </w:p>
        </w:tc>
        <w:tc>
          <w:tcPr>
            <w:tcW w:w="280" w:type="pct"/>
            <w:tcBorders>
              <w:top w:val="single" w:sz="4" w:space="0" w:color="auto"/>
              <w:bottom w:val="single" w:sz="4" w:space="0" w:color="auto"/>
            </w:tcBorders>
            <w:noWrap/>
            <w:vAlign w:val="bottom"/>
            <w:hideMark/>
          </w:tcPr>
          <w:p w14:paraId="62801602" w14:textId="77777777" w:rsidR="00EE0925" w:rsidRPr="00471CBA" w:rsidRDefault="00EE0925" w:rsidP="00B0049C">
            <w:pPr>
              <w:spacing w:before="60" w:after="60"/>
              <w:jc w:val="right"/>
              <w:rPr>
                <w:b/>
                <w:sz w:val="16"/>
                <w:szCs w:val="16"/>
              </w:rPr>
            </w:pPr>
            <w:r w:rsidRPr="00471CBA">
              <w:rPr>
                <w:b/>
                <w:sz w:val="16"/>
                <w:szCs w:val="16"/>
              </w:rPr>
              <w:t>%150</w:t>
            </w:r>
          </w:p>
        </w:tc>
        <w:tc>
          <w:tcPr>
            <w:tcW w:w="280" w:type="pct"/>
            <w:tcBorders>
              <w:top w:val="single" w:sz="4" w:space="0" w:color="auto"/>
              <w:bottom w:val="single" w:sz="4" w:space="0" w:color="auto"/>
            </w:tcBorders>
            <w:vAlign w:val="bottom"/>
          </w:tcPr>
          <w:p w14:paraId="66D93520" w14:textId="77777777" w:rsidR="00EE0925" w:rsidRPr="00471CBA" w:rsidRDefault="00EE0925" w:rsidP="00B0049C">
            <w:pPr>
              <w:spacing w:before="60" w:after="60"/>
              <w:jc w:val="right"/>
              <w:rPr>
                <w:b/>
                <w:sz w:val="16"/>
                <w:szCs w:val="16"/>
              </w:rPr>
            </w:pPr>
            <w:r w:rsidRPr="00471CBA">
              <w:rPr>
                <w:b/>
                <w:sz w:val="16"/>
                <w:szCs w:val="16"/>
              </w:rPr>
              <w:t>%200</w:t>
            </w:r>
          </w:p>
        </w:tc>
        <w:tc>
          <w:tcPr>
            <w:tcW w:w="271" w:type="pct"/>
            <w:tcBorders>
              <w:top w:val="single" w:sz="4" w:space="0" w:color="auto"/>
              <w:bottom w:val="single" w:sz="4" w:space="0" w:color="auto"/>
            </w:tcBorders>
            <w:noWrap/>
            <w:vAlign w:val="bottom"/>
            <w:hideMark/>
          </w:tcPr>
          <w:p w14:paraId="35D7FAC5" w14:textId="77777777" w:rsidR="00EE0925" w:rsidRPr="00471CBA" w:rsidRDefault="00EE0925" w:rsidP="00B0049C">
            <w:pPr>
              <w:spacing w:before="60" w:after="60"/>
              <w:jc w:val="right"/>
              <w:rPr>
                <w:b/>
                <w:sz w:val="16"/>
                <w:szCs w:val="16"/>
              </w:rPr>
            </w:pPr>
            <w:r w:rsidRPr="00471CBA">
              <w:rPr>
                <w:b/>
                <w:sz w:val="16"/>
                <w:szCs w:val="16"/>
              </w:rPr>
              <w:t>Diğer</w:t>
            </w:r>
          </w:p>
        </w:tc>
        <w:tc>
          <w:tcPr>
            <w:tcW w:w="350" w:type="pct"/>
            <w:tcBorders>
              <w:top w:val="single" w:sz="4" w:space="0" w:color="auto"/>
              <w:bottom w:val="single" w:sz="4" w:space="0" w:color="auto"/>
            </w:tcBorders>
            <w:noWrap/>
            <w:vAlign w:val="bottom"/>
            <w:hideMark/>
          </w:tcPr>
          <w:p w14:paraId="39BC31DB" w14:textId="77777777" w:rsidR="00EE0925" w:rsidRPr="00471CBA" w:rsidRDefault="00EE0925" w:rsidP="00B0049C">
            <w:pPr>
              <w:spacing w:before="60" w:after="60"/>
              <w:jc w:val="right"/>
              <w:rPr>
                <w:b/>
                <w:sz w:val="16"/>
                <w:szCs w:val="16"/>
              </w:rPr>
            </w:pPr>
            <w:r w:rsidRPr="00471CBA">
              <w:rPr>
                <w:b/>
                <w:sz w:val="16"/>
                <w:szCs w:val="16"/>
              </w:rPr>
              <w:t xml:space="preserve">Toplam </w:t>
            </w:r>
            <w:r w:rsidRPr="00471CBA">
              <w:rPr>
                <w:b/>
                <w:sz w:val="16"/>
                <w:szCs w:val="16"/>
              </w:rPr>
              <w:br/>
              <w:t xml:space="preserve">Kredi </w:t>
            </w:r>
            <w:r w:rsidRPr="00471CBA">
              <w:rPr>
                <w:b/>
                <w:sz w:val="16"/>
                <w:szCs w:val="16"/>
              </w:rPr>
              <w:br/>
              <w:t xml:space="preserve">Riski </w:t>
            </w:r>
            <w:r w:rsidRPr="00471CBA">
              <w:rPr>
                <w:b/>
                <w:sz w:val="16"/>
                <w:szCs w:val="16"/>
                <w:vertAlign w:val="superscript"/>
              </w:rPr>
              <w:t>(*)</w:t>
            </w:r>
          </w:p>
        </w:tc>
      </w:tr>
      <w:tr w:rsidR="000A44B5" w:rsidRPr="00471CBA" w14:paraId="56E70C26" w14:textId="77777777" w:rsidTr="00B0049C">
        <w:trPr>
          <w:trHeight w:val="36"/>
        </w:trPr>
        <w:tc>
          <w:tcPr>
            <w:tcW w:w="1682" w:type="pct"/>
            <w:tcBorders>
              <w:top w:val="single" w:sz="4" w:space="0" w:color="auto"/>
            </w:tcBorders>
            <w:vAlign w:val="center"/>
            <w:hideMark/>
          </w:tcPr>
          <w:p w14:paraId="154F9AE1" w14:textId="77777777" w:rsidR="000A44B5" w:rsidRPr="00471CBA" w:rsidRDefault="000A44B5" w:rsidP="000A44B5">
            <w:pPr>
              <w:rPr>
                <w:sz w:val="16"/>
                <w:szCs w:val="16"/>
              </w:rPr>
            </w:pPr>
            <w:r w:rsidRPr="00471CBA">
              <w:rPr>
                <w:sz w:val="16"/>
                <w:szCs w:val="16"/>
              </w:rPr>
              <w:t>Merkezi yönetimlerden ve merkez bankalarından alacaklar</w:t>
            </w:r>
          </w:p>
        </w:tc>
        <w:tc>
          <w:tcPr>
            <w:tcW w:w="342" w:type="pct"/>
            <w:tcBorders>
              <w:top w:val="single" w:sz="4" w:space="0" w:color="auto"/>
            </w:tcBorders>
            <w:noWrap/>
            <w:vAlign w:val="bottom"/>
          </w:tcPr>
          <w:p w14:paraId="29F553DA" w14:textId="2D0A65D7" w:rsidR="000A44B5" w:rsidRPr="00471CBA" w:rsidRDefault="000A44B5" w:rsidP="000A44B5">
            <w:pPr>
              <w:jc w:val="right"/>
              <w:rPr>
                <w:sz w:val="16"/>
                <w:szCs w:val="16"/>
              </w:rPr>
            </w:pPr>
            <w:r w:rsidRPr="00471CBA">
              <w:rPr>
                <w:sz w:val="16"/>
                <w:szCs w:val="16"/>
              </w:rPr>
              <w:t>-</w:t>
            </w:r>
          </w:p>
        </w:tc>
        <w:tc>
          <w:tcPr>
            <w:tcW w:w="239" w:type="pct"/>
            <w:tcBorders>
              <w:top w:val="single" w:sz="4" w:space="0" w:color="auto"/>
            </w:tcBorders>
            <w:noWrap/>
            <w:vAlign w:val="bottom"/>
          </w:tcPr>
          <w:p w14:paraId="439E88D1" w14:textId="0BD9DD3E" w:rsidR="000A44B5" w:rsidRPr="00471CBA" w:rsidRDefault="000A44B5" w:rsidP="000A44B5">
            <w:pPr>
              <w:jc w:val="right"/>
              <w:rPr>
                <w:sz w:val="16"/>
                <w:szCs w:val="16"/>
              </w:rPr>
            </w:pPr>
            <w:r w:rsidRPr="00471CBA">
              <w:rPr>
                <w:sz w:val="16"/>
                <w:szCs w:val="16"/>
              </w:rPr>
              <w:t>-</w:t>
            </w:r>
          </w:p>
        </w:tc>
        <w:tc>
          <w:tcPr>
            <w:tcW w:w="301" w:type="pct"/>
            <w:tcBorders>
              <w:top w:val="single" w:sz="4" w:space="0" w:color="auto"/>
            </w:tcBorders>
            <w:noWrap/>
            <w:vAlign w:val="bottom"/>
          </w:tcPr>
          <w:p w14:paraId="33F3A3BA" w14:textId="3E6E99BF" w:rsidR="000A44B5" w:rsidRPr="00471CBA" w:rsidRDefault="000A44B5" w:rsidP="000A44B5">
            <w:pPr>
              <w:jc w:val="right"/>
              <w:rPr>
                <w:sz w:val="16"/>
                <w:szCs w:val="16"/>
              </w:rPr>
            </w:pPr>
            <w:r w:rsidRPr="00471CBA">
              <w:rPr>
                <w:sz w:val="16"/>
                <w:szCs w:val="16"/>
              </w:rPr>
              <w:t>-</w:t>
            </w:r>
          </w:p>
        </w:tc>
        <w:tc>
          <w:tcPr>
            <w:tcW w:w="239" w:type="pct"/>
            <w:tcBorders>
              <w:top w:val="single" w:sz="4" w:space="0" w:color="auto"/>
            </w:tcBorders>
            <w:vAlign w:val="bottom"/>
          </w:tcPr>
          <w:p w14:paraId="24DCDC55" w14:textId="70780050" w:rsidR="000A44B5" w:rsidRPr="00471CBA" w:rsidRDefault="000A44B5" w:rsidP="000A44B5">
            <w:pPr>
              <w:jc w:val="right"/>
              <w:rPr>
                <w:sz w:val="16"/>
                <w:szCs w:val="16"/>
              </w:rPr>
            </w:pPr>
            <w:r w:rsidRPr="00471CBA">
              <w:rPr>
                <w:sz w:val="16"/>
                <w:szCs w:val="16"/>
              </w:rPr>
              <w:t>-</w:t>
            </w:r>
          </w:p>
        </w:tc>
        <w:tc>
          <w:tcPr>
            <w:tcW w:w="239" w:type="pct"/>
            <w:tcBorders>
              <w:top w:val="single" w:sz="4" w:space="0" w:color="auto"/>
            </w:tcBorders>
            <w:vAlign w:val="bottom"/>
          </w:tcPr>
          <w:p w14:paraId="47FD607A" w14:textId="0E21F4C4" w:rsidR="000A44B5" w:rsidRPr="00471CBA" w:rsidRDefault="000A44B5" w:rsidP="000A44B5">
            <w:pPr>
              <w:jc w:val="right"/>
              <w:rPr>
                <w:sz w:val="16"/>
                <w:szCs w:val="16"/>
              </w:rPr>
            </w:pPr>
            <w:r w:rsidRPr="00471CBA">
              <w:rPr>
                <w:sz w:val="16"/>
                <w:szCs w:val="16"/>
              </w:rPr>
              <w:t>-</w:t>
            </w:r>
          </w:p>
        </w:tc>
        <w:tc>
          <w:tcPr>
            <w:tcW w:w="239" w:type="pct"/>
            <w:tcBorders>
              <w:top w:val="single" w:sz="4" w:space="0" w:color="auto"/>
            </w:tcBorders>
            <w:noWrap/>
            <w:vAlign w:val="bottom"/>
          </w:tcPr>
          <w:p w14:paraId="5E6AF99E" w14:textId="6D5B2938" w:rsidR="000A44B5" w:rsidRPr="00471CBA" w:rsidRDefault="000A44B5" w:rsidP="000A44B5">
            <w:pPr>
              <w:jc w:val="right"/>
              <w:rPr>
                <w:sz w:val="16"/>
                <w:szCs w:val="16"/>
              </w:rPr>
            </w:pPr>
            <w:r w:rsidRPr="00471CBA">
              <w:rPr>
                <w:sz w:val="16"/>
                <w:szCs w:val="16"/>
              </w:rPr>
              <w:t>-</w:t>
            </w:r>
          </w:p>
        </w:tc>
        <w:tc>
          <w:tcPr>
            <w:tcW w:w="239" w:type="pct"/>
            <w:tcBorders>
              <w:top w:val="single" w:sz="4" w:space="0" w:color="auto"/>
            </w:tcBorders>
            <w:noWrap/>
            <w:vAlign w:val="bottom"/>
          </w:tcPr>
          <w:p w14:paraId="48F6FF4F" w14:textId="5B4A6310" w:rsidR="000A44B5" w:rsidRPr="00471CBA" w:rsidRDefault="000A44B5" w:rsidP="000A44B5">
            <w:pPr>
              <w:jc w:val="right"/>
              <w:rPr>
                <w:sz w:val="16"/>
                <w:szCs w:val="16"/>
              </w:rPr>
            </w:pPr>
            <w:r w:rsidRPr="00471CBA">
              <w:rPr>
                <w:sz w:val="16"/>
                <w:szCs w:val="16"/>
              </w:rPr>
              <w:t>-</w:t>
            </w:r>
          </w:p>
        </w:tc>
        <w:tc>
          <w:tcPr>
            <w:tcW w:w="301" w:type="pct"/>
            <w:tcBorders>
              <w:top w:val="single" w:sz="4" w:space="0" w:color="auto"/>
            </w:tcBorders>
            <w:noWrap/>
            <w:vAlign w:val="bottom"/>
          </w:tcPr>
          <w:p w14:paraId="46AD5C88" w14:textId="29490DAD" w:rsidR="000A44B5" w:rsidRPr="00471CBA" w:rsidRDefault="000A44B5" w:rsidP="000A44B5">
            <w:pPr>
              <w:jc w:val="right"/>
              <w:rPr>
                <w:sz w:val="16"/>
                <w:szCs w:val="16"/>
              </w:rPr>
            </w:pPr>
            <w:r w:rsidRPr="00471CBA">
              <w:rPr>
                <w:sz w:val="16"/>
                <w:szCs w:val="16"/>
              </w:rPr>
              <w:t>-</w:t>
            </w:r>
          </w:p>
        </w:tc>
        <w:tc>
          <w:tcPr>
            <w:tcW w:w="280" w:type="pct"/>
            <w:tcBorders>
              <w:top w:val="single" w:sz="4" w:space="0" w:color="auto"/>
            </w:tcBorders>
            <w:noWrap/>
            <w:vAlign w:val="bottom"/>
          </w:tcPr>
          <w:p w14:paraId="03C3974A" w14:textId="4461C273" w:rsidR="000A44B5" w:rsidRPr="00471CBA" w:rsidRDefault="000A44B5" w:rsidP="000A44B5">
            <w:pPr>
              <w:jc w:val="right"/>
              <w:rPr>
                <w:sz w:val="16"/>
                <w:szCs w:val="16"/>
              </w:rPr>
            </w:pPr>
            <w:r w:rsidRPr="00471CBA">
              <w:rPr>
                <w:sz w:val="16"/>
                <w:szCs w:val="16"/>
              </w:rPr>
              <w:t>-</w:t>
            </w:r>
          </w:p>
        </w:tc>
        <w:tc>
          <w:tcPr>
            <w:tcW w:w="280" w:type="pct"/>
            <w:tcBorders>
              <w:top w:val="single" w:sz="4" w:space="0" w:color="auto"/>
            </w:tcBorders>
            <w:vAlign w:val="bottom"/>
          </w:tcPr>
          <w:p w14:paraId="018FA91C" w14:textId="04349437" w:rsidR="000A44B5" w:rsidRPr="00471CBA" w:rsidRDefault="000A44B5" w:rsidP="000A44B5">
            <w:pPr>
              <w:jc w:val="right"/>
              <w:rPr>
                <w:sz w:val="16"/>
                <w:szCs w:val="16"/>
              </w:rPr>
            </w:pPr>
            <w:r w:rsidRPr="00471CBA">
              <w:rPr>
                <w:sz w:val="16"/>
                <w:szCs w:val="16"/>
              </w:rPr>
              <w:t>-</w:t>
            </w:r>
          </w:p>
        </w:tc>
        <w:tc>
          <w:tcPr>
            <w:tcW w:w="271" w:type="pct"/>
            <w:tcBorders>
              <w:top w:val="single" w:sz="4" w:space="0" w:color="auto"/>
            </w:tcBorders>
            <w:noWrap/>
            <w:vAlign w:val="bottom"/>
          </w:tcPr>
          <w:p w14:paraId="7F5745A0" w14:textId="1A1183E6" w:rsidR="000A44B5" w:rsidRPr="00471CBA" w:rsidRDefault="000A44B5" w:rsidP="000A44B5">
            <w:pPr>
              <w:jc w:val="right"/>
              <w:rPr>
                <w:sz w:val="16"/>
                <w:szCs w:val="16"/>
              </w:rPr>
            </w:pPr>
            <w:r w:rsidRPr="00471CBA">
              <w:rPr>
                <w:sz w:val="16"/>
                <w:szCs w:val="16"/>
              </w:rPr>
              <w:t>-</w:t>
            </w:r>
          </w:p>
        </w:tc>
        <w:tc>
          <w:tcPr>
            <w:tcW w:w="350" w:type="pct"/>
            <w:tcBorders>
              <w:top w:val="single" w:sz="4" w:space="0" w:color="auto"/>
            </w:tcBorders>
            <w:noWrap/>
            <w:vAlign w:val="bottom"/>
          </w:tcPr>
          <w:p w14:paraId="5216FCA4" w14:textId="21CF5320" w:rsidR="000A44B5" w:rsidRPr="00471CBA" w:rsidRDefault="000A44B5" w:rsidP="000A44B5">
            <w:pPr>
              <w:jc w:val="right"/>
              <w:rPr>
                <w:sz w:val="16"/>
                <w:szCs w:val="16"/>
              </w:rPr>
            </w:pPr>
            <w:r w:rsidRPr="00471CBA">
              <w:rPr>
                <w:sz w:val="16"/>
                <w:szCs w:val="16"/>
              </w:rPr>
              <w:t>-</w:t>
            </w:r>
          </w:p>
        </w:tc>
      </w:tr>
      <w:tr w:rsidR="000A44B5" w:rsidRPr="00471CBA" w14:paraId="2234806C" w14:textId="77777777" w:rsidTr="00B0049C">
        <w:trPr>
          <w:trHeight w:val="36"/>
        </w:trPr>
        <w:tc>
          <w:tcPr>
            <w:tcW w:w="1682" w:type="pct"/>
            <w:vAlign w:val="center"/>
            <w:hideMark/>
          </w:tcPr>
          <w:p w14:paraId="78C9EF35" w14:textId="77777777" w:rsidR="000A44B5" w:rsidRPr="00471CBA" w:rsidRDefault="000A44B5" w:rsidP="000A44B5">
            <w:pPr>
              <w:rPr>
                <w:sz w:val="16"/>
                <w:szCs w:val="16"/>
              </w:rPr>
            </w:pPr>
            <w:r w:rsidRPr="00471CBA">
              <w:rPr>
                <w:sz w:val="16"/>
                <w:szCs w:val="16"/>
              </w:rPr>
              <w:t>Bölgesel veya yerel yönetimlerden alacaklar</w:t>
            </w:r>
          </w:p>
        </w:tc>
        <w:tc>
          <w:tcPr>
            <w:tcW w:w="342" w:type="pct"/>
            <w:noWrap/>
            <w:vAlign w:val="bottom"/>
          </w:tcPr>
          <w:p w14:paraId="75EAC98C" w14:textId="177989E4" w:rsidR="000A44B5" w:rsidRPr="00471CBA" w:rsidRDefault="000A44B5" w:rsidP="000A44B5">
            <w:pPr>
              <w:jc w:val="right"/>
              <w:rPr>
                <w:sz w:val="16"/>
                <w:szCs w:val="16"/>
              </w:rPr>
            </w:pPr>
            <w:r w:rsidRPr="00471CBA">
              <w:rPr>
                <w:sz w:val="16"/>
                <w:szCs w:val="16"/>
              </w:rPr>
              <w:t>-</w:t>
            </w:r>
          </w:p>
        </w:tc>
        <w:tc>
          <w:tcPr>
            <w:tcW w:w="239" w:type="pct"/>
            <w:noWrap/>
            <w:vAlign w:val="bottom"/>
          </w:tcPr>
          <w:p w14:paraId="4B430575" w14:textId="4E6E46F9" w:rsidR="000A44B5" w:rsidRPr="00471CBA" w:rsidRDefault="000A44B5" w:rsidP="000A44B5">
            <w:pPr>
              <w:jc w:val="right"/>
              <w:rPr>
                <w:sz w:val="16"/>
                <w:szCs w:val="16"/>
              </w:rPr>
            </w:pPr>
            <w:r w:rsidRPr="00471CBA">
              <w:rPr>
                <w:sz w:val="16"/>
                <w:szCs w:val="16"/>
              </w:rPr>
              <w:t>-</w:t>
            </w:r>
          </w:p>
        </w:tc>
        <w:tc>
          <w:tcPr>
            <w:tcW w:w="301" w:type="pct"/>
            <w:noWrap/>
            <w:vAlign w:val="bottom"/>
          </w:tcPr>
          <w:p w14:paraId="65352E3F" w14:textId="2A34863A" w:rsidR="000A44B5" w:rsidRPr="00471CBA" w:rsidRDefault="000A44B5" w:rsidP="000A44B5">
            <w:pPr>
              <w:jc w:val="right"/>
              <w:rPr>
                <w:sz w:val="16"/>
                <w:szCs w:val="16"/>
              </w:rPr>
            </w:pPr>
            <w:r w:rsidRPr="00471CBA">
              <w:rPr>
                <w:sz w:val="16"/>
                <w:szCs w:val="16"/>
              </w:rPr>
              <w:t>-</w:t>
            </w:r>
          </w:p>
        </w:tc>
        <w:tc>
          <w:tcPr>
            <w:tcW w:w="239" w:type="pct"/>
            <w:vAlign w:val="bottom"/>
          </w:tcPr>
          <w:p w14:paraId="443C116F" w14:textId="060F3253" w:rsidR="000A44B5" w:rsidRPr="00471CBA" w:rsidRDefault="000A44B5" w:rsidP="000A44B5">
            <w:pPr>
              <w:jc w:val="right"/>
              <w:rPr>
                <w:sz w:val="16"/>
                <w:szCs w:val="16"/>
              </w:rPr>
            </w:pPr>
            <w:r w:rsidRPr="00471CBA">
              <w:rPr>
                <w:sz w:val="16"/>
                <w:szCs w:val="16"/>
              </w:rPr>
              <w:t>-</w:t>
            </w:r>
          </w:p>
        </w:tc>
        <w:tc>
          <w:tcPr>
            <w:tcW w:w="239" w:type="pct"/>
            <w:vAlign w:val="bottom"/>
          </w:tcPr>
          <w:p w14:paraId="4F75B467" w14:textId="75CCB11B" w:rsidR="000A44B5" w:rsidRPr="00471CBA" w:rsidRDefault="000A44B5" w:rsidP="000A44B5">
            <w:pPr>
              <w:jc w:val="right"/>
              <w:rPr>
                <w:sz w:val="16"/>
                <w:szCs w:val="16"/>
              </w:rPr>
            </w:pPr>
            <w:r w:rsidRPr="00471CBA">
              <w:rPr>
                <w:sz w:val="16"/>
                <w:szCs w:val="16"/>
              </w:rPr>
              <w:t>-</w:t>
            </w:r>
          </w:p>
        </w:tc>
        <w:tc>
          <w:tcPr>
            <w:tcW w:w="239" w:type="pct"/>
            <w:noWrap/>
            <w:vAlign w:val="bottom"/>
          </w:tcPr>
          <w:p w14:paraId="7196AE87" w14:textId="23031E7F" w:rsidR="000A44B5" w:rsidRPr="00471CBA" w:rsidRDefault="000A44B5" w:rsidP="000A44B5">
            <w:pPr>
              <w:jc w:val="right"/>
              <w:rPr>
                <w:sz w:val="16"/>
                <w:szCs w:val="16"/>
              </w:rPr>
            </w:pPr>
            <w:r w:rsidRPr="00471CBA">
              <w:rPr>
                <w:sz w:val="16"/>
                <w:szCs w:val="16"/>
              </w:rPr>
              <w:t>-</w:t>
            </w:r>
          </w:p>
        </w:tc>
        <w:tc>
          <w:tcPr>
            <w:tcW w:w="239" w:type="pct"/>
            <w:noWrap/>
            <w:vAlign w:val="bottom"/>
          </w:tcPr>
          <w:p w14:paraId="3CB26C73" w14:textId="583C7340" w:rsidR="000A44B5" w:rsidRPr="00471CBA" w:rsidRDefault="000A44B5" w:rsidP="000A44B5">
            <w:pPr>
              <w:jc w:val="right"/>
              <w:rPr>
                <w:sz w:val="16"/>
                <w:szCs w:val="16"/>
              </w:rPr>
            </w:pPr>
            <w:r w:rsidRPr="00471CBA">
              <w:rPr>
                <w:sz w:val="16"/>
                <w:szCs w:val="16"/>
              </w:rPr>
              <w:t>-</w:t>
            </w:r>
          </w:p>
        </w:tc>
        <w:tc>
          <w:tcPr>
            <w:tcW w:w="301" w:type="pct"/>
            <w:noWrap/>
            <w:vAlign w:val="bottom"/>
          </w:tcPr>
          <w:p w14:paraId="23F757EA" w14:textId="7C0CFF84" w:rsidR="000A44B5" w:rsidRPr="00471CBA" w:rsidRDefault="000A44B5" w:rsidP="000A44B5">
            <w:pPr>
              <w:jc w:val="right"/>
              <w:rPr>
                <w:sz w:val="16"/>
                <w:szCs w:val="16"/>
              </w:rPr>
            </w:pPr>
            <w:r w:rsidRPr="00471CBA">
              <w:rPr>
                <w:sz w:val="16"/>
                <w:szCs w:val="16"/>
              </w:rPr>
              <w:t>-</w:t>
            </w:r>
          </w:p>
        </w:tc>
        <w:tc>
          <w:tcPr>
            <w:tcW w:w="280" w:type="pct"/>
            <w:noWrap/>
            <w:vAlign w:val="bottom"/>
          </w:tcPr>
          <w:p w14:paraId="62F46135" w14:textId="127ED6BA" w:rsidR="000A44B5" w:rsidRPr="00471CBA" w:rsidRDefault="000A44B5" w:rsidP="000A44B5">
            <w:pPr>
              <w:jc w:val="right"/>
              <w:rPr>
                <w:sz w:val="16"/>
                <w:szCs w:val="16"/>
              </w:rPr>
            </w:pPr>
            <w:r w:rsidRPr="00471CBA">
              <w:rPr>
                <w:sz w:val="16"/>
                <w:szCs w:val="16"/>
              </w:rPr>
              <w:t>-</w:t>
            </w:r>
          </w:p>
        </w:tc>
        <w:tc>
          <w:tcPr>
            <w:tcW w:w="280" w:type="pct"/>
            <w:vAlign w:val="bottom"/>
          </w:tcPr>
          <w:p w14:paraId="544206BE" w14:textId="54EC8B9B" w:rsidR="000A44B5" w:rsidRPr="00471CBA" w:rsidRDefault="000A44B5" w:rsidP="000A44B5">
            <w:pPr>
              <w:jc w:val="right"/>
              <w:rPr>
                <w:sz w:val="16"/>
                <w:szCs w:val="16"/>
              </w:rPr>
            </w:pPr>
            <w:r w:rsidRPr="00471CBA">
              <w:rPr>
                <w:sz w:val="16"/>
                <w:szCs w:val="16"/>
              </w:rPr>
              <w:t>-</w:t>
            </w:r>
          </w:p>
        </w:tc>
        <w:tc>
          <w:tcPr>
            <w:tcW w:w="271" w:type="pct"/>
            <w:noWrap/>
            <w:vAlign w:val="bottom"/>
          </w:tcPr>
          <w:p w14:paraId="040994B9" w14:textId="56D4521B" w:rsidR="000A44B5" w:rsidRPr="00471CBA" w:rsidRDefault="000A44B5" w:rsidP="000A44B5">
            <w:pPr>
              <w:jc w:val="right"/>
              <w:rPr>
                <w:sz w:val="16"/>
                <w:szCs w:val="16"/>
              </w:rPr>
            </w:pPr>
            <w:r w:rsidRPr="00471CBA">
              <w:rPr>
                <w:sz w:val="16"/>
                <w:szCs w:val="16"/>
              </w:rPr>
              <w:t>-</w:t>
            </w:r>
          </w:p>
        </w:tc>
        <w:tc>
          <w:tcPr>
            <w:tcW w:w="350" w:type="pct"/>
            <w:noWrap/>
            <w:vAlign w:val="bottom"/>
          </w:tcPr>
          <w:p w14:paraId="7E9B2DAF" w14:textId="0F654F62" w:rsidR="000A44B5" w:rsidRPr="00471CBA" w:rsidRDefault="000A44B5" w:rsidP="000A44B5">
            <w:pPr>
              <w:jc w:val="right"/>
              <w:rPr>
                <w:sz w:val="16"/>
                <w:szCs w:val="16"/>
              </w:rPr>
            </w:pPr>
            <w:r w:rsidRPr="00471CBA">
              <w:rPr>
                <w:sz w:val="16"/>
                <w:szCs w:val="16"/>
              </w:rPr>
              <w:t>-</w:t>
            </w:r>
          </w:p>
        </w:tc>
      </w:tr>
      <w:tr w:rsidR="000A44B5" w:rsidRPr="00471CBA" w14:paraId="2C4AEE2F" w14:textId="77777777" w:rsidTr="00B0049C">
        <w:trPr>
          <w:trHeight w:val="36"/>
        </w:trPr>
        <w:tc>
          <w:tcPr>
            <w:tcW w:w="1682" w:type="pct"/>
            <w:vAlign w:val="center"/>
            <w:hideMark/>
          </w:tcPr>
          <w:p w14:paraId="532F6DCC" w14:textId="77777777" w:rsidR="000A44B5" w:rsidRPr="00471CBA" w:rsidRDefault="000A44B5" w:rsidP="000A44B5">
            <w:pPr>
              <w:rPr>
                <w:sz w:val="16"/>
                <w:szCs w:val="16"/>
              </w:rPr>
            </w:pPr>
            <w:r w:rsidRPr="00471CBA">
              <w:rPr>
                <w:sz w:val="16"/>
                <w:szCs w:val="16"/>
              </w:rPr>
              <w:t>İdari birimlerden ve ticari olmayan girişimlerden alacaklar</w:t>
            </w:r>
          </w:p>
        </w:tc>
        <w:tc>
          <w:tcPr>
            <w:tcW w:w="342" w:type="pct"/>
            <w:noWrap/>
            <w:vAlign w:val="bottom"/>
          </w:tcPr>
          <w:p w14:paraId="5D941EA6" w14:textId="57DAABB4" w:rsidR="000A44B5" w:rsidRPr="00471CBA" w:rsidRDefault="000A44B5" w:rsidP="000A44B5">
            <w:pPr>
              <w:jc w:val="right"/>
              <w:rPr>
                <w:sz w:val="16"/>
                <w:szCs w:val="16"/>
              </w:rPr>
            </w:pPr>
            <w:r w:rsidRPr="00471CBA">
              <w:rPr>
                <w:sz w:val="16"/>
                <w:szCs w:val="16"/>
              </w:rPr>
              <w:t>-</w:t>
            </w:r>
          </w:p>
        </w:tc>
        <w:tc>
          <w:tcPr>
            <w:tcW w:w="239" w:type="pct"/>
            <w:noWrap/>
            <w:vAlign w:val="bottom"/>
          </w:tcPr>
          <w:p w14:paraId="1668A398" w14:textId="638C1F0F" w:rsidR="000A44B5" w:rsidRPr="00471CBA" w:rsidRDefault="000A44B5" w:rsidP="000A44B5">
            <w:pPr>
              <w:jc w:val="right"/>
              <w:rPr>
                <w:sz w:val="16"/>
                <w:szCs w:val="16"/>
              </w:rPr>
            </w:pPr>
            <w:r w:rsidRPr="00471CBA">
              <w:rPr>
                <w:sz w:val="16"/>
                <w:szCs w:val="16"/>
              </w:rPr>
              <w:t>-</w:t>
            </w:r>
          </w:p>
        </w:tc>
        <w:tc>
          <w:tcPr>
            <w:tcW w:w="301" w:type="pct"/>
            <w:noWrap/>
            <w:vAlign w:val="bottom"/>
          </w:tcPr>
          <w:p w14:paraId="4758B72A" w14:textId="6C257E0D" w:rsidR="000A44B5" w:rsidRPr="00471CBA" w:rsidRDefault="000A44B5" w:rsidP="000A44B5">
            <w:pPr>
              <w:jc w:val="right"/>
              <w:rPr>
                <w:sz w:val="16"/>
                <w:szCs w:val="16"/>
              </w:rPr>
            </w:pPr>
            <w:r w:rsidRPr="00471CBA">
              <w:rPr>
                <w:sz w:val="16"/>
                <w:szCs w:val="16"/>
              </w:rPr>
              <w:t>-</w:t>
            </w:r>
          </w:p>
        </w:tc>
        <w:tc>
          <w:tcPr>
            <w:tcW w:w="239" w:type="pct"/>
            <w:vAlign w:val="bottom"/>
          </w:tcPr>
          <w:p w14:paraId="3177A1E5" w14:textId="3CF55C67" w:rsidR="000A44B5" w:rsidRPr="00471CBA" w:rsidRDefault="000A44B5" w:rsidP="000A44B5">
            <w:pPr>
              <w:jc w:val="right"/>
              <w:rPr>
                <w:sz w:val="16"/>
                <w:szCs w:val="16"/>
              </w:rPr>
            </w:pPr>
            <w:r w:rsidRPr="00471CBA">
              <w:rPr>
                <w:sz w:val="16"/>
                <w:szCs w:val="16"/>
              </w:rPr>
              <w:t>-</w:t>
            </w:r>
          </w:p>
        </w:tc>
        <w:tc>
          <w:tcPr>
            <w:tcW w:w="239" w:type="pct"/>
            <w:vAlign w:val="bottom"/>
          </w:tcPr>
          <w:p w14:paraId="558AADA6" w14:textId="4BDE80FE" w:rsidR="000A44B5" w:rsidRPr="00471CBA" w:rsidRDefault="000A44B5" w:rsidP="000A44B5">
            <w:pPr>
              <w:jc w:val="right"/>
              <w:rPr>
                <w:sz w:val="16"/>
                <w:szCs w:val="16"/>
              </w:rPr>
            </w:pPr>
            <w:r w:rsidRPr="00471CBA">
              <w:rPr>
                <w:sz w:val="16"/>
                <w:szCs w:val="16"/>
              </w:rPr>
              <w:t>-</w:t>
            </w:r>
          </w:p>
        </w:tc>
        <w:tc>
          <w:tcPr>
            <w:tcW w:w="239" w:type="pct"/>
            <w:noWrap/>
            <w:vAlign w:val="bottom"/>
          </w:tcPr>
          <w:p w14:paraId="4434A2E1" w14:textId="64D745AA" w:rsidR="000A44B5" w:rsidRPr="00471CBA" w:rsidRDefault="000A44B5" w:rsidP="000A44B5">
            <w:pPr>
              <w:jc w:val="right"/>
              <w:rPr>
                <w:sz w:val="16"/>
                <w:szCs w:val="16"/>
              </w:rPr>
            </w:pPr>
            <w:r w:rsidRPr="00471CBA">
              <w:rPr>
                <w:sz w:val="16"/>
                <w:szCs w:val="16"/>
              </w:rPr>
              <w:t>-</w:t>
            </w:r>
          </w:p>
        </w:tc>
        <w:tc>
          <w:tcPr>
            <w:tcW w:w="239" w:type="pct"/>
            <w:noWrap/>
            <w:vAlign w:val="bottom"/>
          </w:tcPr>
          <w:p w14:paraId="325968F5" w14:textId="43F55297" w:rsidR="000A44B5" w:rsidRPr="00471CBA" w:rsidRDefault="000A44B5" w:rsidP="000A44B5">
            <w:pPr>
              <w:jc w:val="right"/>
              <w:rPr>
                <w:sz w:val="16"/>
                <w:szCs w:val="16"/>
              </w:rPr>
            </w:pPr>
            <w:r w:rsidRPr="00471CBA">
              <w:rPr>
                <w:sz w:val="16"/>
                <w:szCs w:val="16"/>
              </w:rPr>
              <w:t>-</w:t>
            </w:r>
          </w:p>
        </w:tc>
        <w:tc>
          <w:tcPr>
            <w:tcW w:w="301" w:type="pct"/>
            <w:noWrap/>
            <w:vAlign w:val="bottom"/>
          </w:tcPr>
          <w:p w14:paraId="2B1C42F7" w14:textId="63E65FF8" w:rsidR="000A44B5" w:rsidRPr="00471CBA" w:rsidRDefault="000A44B5" w:rsidP="000A44B5">
            <w:pPr>
              <w:jc w:val="right"/>
              <w:rPr>
                <w:sz w:val="16"/>
                <w:szCs w:val="16"/>
              </w:rPr>
            </w:pPr>
            <w:r w:rsidRPr="00471CBA">
              <w:rPr>
                <w:sz w:val="16"/>
                <w:szCs w:val="16"/>
              </w:rPr>
              <w:t>-</w:t>
            </w:r>
          </w:p>
        </w:tc>
        <w:tc>
          <w:tcPr>
            <w:tcW w:w="280" w:type="pct"/>
            <w:noWrap/>
            <w:vAlign w:val="bottom"/>
          </w:tcPr>
          <w:p w14:paraId="7641CDE7" w14:textId="520A1FDE" w:rsidR="000A44B5" w:rsidRPr="00471CBA" w:rsidRDefault="000A44B5" w:rsidP="000A44B5">
            <w:pPr>
              <w:jc w:val="right"/>
              <w:rPr>
                <w:sz w:val="16"/>
                <w:szCs w:val="16"/>
              </w:rPr>
            </w:pPr>
            <w:r w:rsidRPr="00471CBA">
              <w:rPr>
                <w:sz w:val="16"/>
                <w:szCs w:val="16"/>
              </w:rPr>
              <w:t>-</w:t>
            </w:r>
          </w:p>
        </w:tc>
        <w:tc>
          <w:tcPr>
            <w:tcW w:w="280" w:type="pct"/>
            <w:vAlign w:val="bottom"/>
          </w:tcPr>
          <w:p w14:paraId="5584FE65" w14:textId="5A996282" w:rsidR="000A44B5" w:rsidRPr="00471CBA" w:rsidRDefault="000A44B5" w:rsidP="000A44B5">
            <w:pPr>
              <w:jc w:val="right"/>
              <w:rPr>
                <w:sz w:val="16"/>
                <w:szCs w:val="16"/>
              </w:rPr>
            </w:pPr>
            <w:r w:rsidRPr="00471CBA">
              <w:rPr>
                <w:sz w:val="16"/>
                <w:szCs w:val="16"/>
              </w:rPr>
              <w:t>-</w:t>
            </w:r>
          </w:p>
        </w:tc>
        <w:tc>
          <w:tcPr>
            <w:tcW w:w="271" w:type="pct"/>
            <w:noWrap/>
            <w:vAlign w:val="bottom"/>
          </w:tcPr>
          <w:p w14:paraId="6A203CAF" w14:textId="40E0A917" w:rsidR="000A44B5" w:rsidRPr="00471CBA" w:rsidRDefault="000A44B5" w:rsidP="000A44B5">
            <w:pPr>
              <w:jc w:val="right"/>
              <w:rPr>
                <w:sz w:val="16"/>
                <w:szCs w:val="16"/>
              </w:rPr>
            </w:pPr>
            <w:r w:rsidRPr="00471CBA">
              <w:rPr>
                <w:sz w:val="16"/>
                <w:szCs w:val="16"/>
              </w:rPr>
              <w:t>-</w:t>
            </w:r>
          </w:p>
        </w:tc>
        <w:tc>
          <w:tcPr>
            <w:tcW w:w="350" w:type="pct"/>
            <w:noWrap/>
            <w:vAlign w:val="bottom"/>
          </w:tcPr>
          <w:p w14:paraId="71C4F72A" w14:textId="3CD0FB19" w:rsidR="000A44B5" w:rsidRPr="00471CBA" w:rsidRDefault="000A44B5" w:rsidP="000A44B5">
            <w:pPr>
              <w:jc w:val="right"/>
              <w:rPr>
                <w:sz w:val="16"/>
                <w:szCs w:val="16"/>
              </w:rPr>
            </w:pPr>
            <w:r w:rsidRPr="00471CBA">
              <w:rPr>
                <w:sz w:val="16"/>
                <w:szCs w:val="16"/>
              </w:rPr>
              <w:t>-</w:t>
            </w:r>
          </w:p>
        </w:tc>
      </w:tr>
      <w:tr w:rsidR="000A44B5" w:rsidRPr="00471CBA" w14:paraId="42185424" w14:textId="77777777" w:rsidTr="00B0049C">
        <w:trPr>
          <w:trHeight w:val="36"/>
        </w:trPr>
        <w:tc>
          <w:tcPr>
            <w:tcW w:w="1682" w:type="pct"/>
            <w:vAlign w:val="center"/>
            <w:hideMark/>
          </w:tcPr>
          <w:p w14:paraId="51A05884" w14:textId="77777777" w:rsidR="000A44B5" w:rsidRPr="00471CBA" w:rsidRDefault="000A44B5" w:rsidP="000A44B5">
            <w:pPr>
              <w:rPr>
                <w:sz w:val="16"/>
                <w:szCs w:val="16"/>
              </w:rPr>
            </w:pPr>
            <w:r w:rsidRPr="00471CBA">
              <w:rPr>
                <w:sz w:val="16"/>
                <w:szCs w:val="16"/>
              </w:rPr>
              <w:t>Çok taraflı kalkınma bankalarından alacaklar</w:t>
            </w:r>
          </w:p>
        </w:tc>
        <w:tc>
          <w:tcPr>
            <w:tcW w:w="342" w:type="pct"/>
            <w:noWrap/>
            <w:vAlign w:val="bottom"/>
          </w:tcPr>
          <w:p w14:paraId="0F7098D2" w14:textId="35E37221" w:rsidR="000A44B5" w:rsidRPr="00471CBA" w:rsidRDefault="000A44B5" w:rsidP="000A44B5">
            <w:pPr>
              <w:jc w:val="right"/>
              <w:rPr>
                <w:sz w:val="16"/>
                <w:szCs w:val="16"/>
              </w:rPr>
            </w:pPr>
            <w:r w:rsidRPr="00471CBA">
              <w:rPr>
                <w:sz w:val="16"/>
                <w:szCs w:val="16"/>
              </w:rPr>
              <w:t>-</w:t>
            </w:r>
          </w:p>
        </w:tc>
        <w:tc>
          <w:tcPr>
            <w:tcW w:w="239" w:type="pct"/>
            <w:noWrap/>
            <w:vAlign w:val="bottom"/>
          </w:tcPr>
          <w:p w14:paraId="6DA37419" w14:textId="5E2A902F" w:rsidR="000A44B5" w:rsidRPr="00471CBA" w:rsidRDefault="000A44B5" w:rsidP="000A44B5">
            <w:pPr>
              <w:jc w:val="right"/>
              <w:rPr>
                <w:sz w:val="16"/>
                <w:szCs w:val="16"/>
              </w:rPr>
            </w:pPr>
            <w:r w:rsidRPr="00471CBA">
              <w:rPr>
                <w:sz w:val="16"/>
                <w:szCs w:val="16"/>
              </w:rPr>
              <w:t>-</w:t>
            </w:r>
          </w:p>
        </w:tc>
        <w:tc>
          <w:tcPr>
            <w:tcW w:w="301" w:type="pct"/>
            <w:noWrap/>
            <w:vAlign w:val="bottom"/>
          </w:tcPr>
          <w:p w14:paraId="32A9CBAF" w14:textId="35581481" w:rsidR="000A44B5" w:rsidRPr="00471CBA" w:rsidRDefault="000A44B5" w:rsidP="000A44B5">
            <w:pPr>
              <w:jc w:val="right"/>
              <w:rPr>
                <w:sz w:val="16"/>
                <w:szCs w:val="16"/>
              </w:rPr>
            </w:pPr>
            <w:r w:rsidRPr="00471CBA">
              <w:rPr>
                <w:sz w:val="16"/>
                <w:szCs w:val="16"/>
              </w:rPr>
              <w:t>-</w:t>
            </w:r>
          </w:p>
        </w:tc>
        <w:tc>
          <w:tcPr>
            <w:tcW w:w="239" w:type="pct"/>
            <w:vAlign w:val="bottom"/>
          </w:tcPr>
          <w:p w14:paraId="36F7C1EE" w14:textId="0D9EA2D9" w:rsidR="000A44B5" w:rsidRPr="00471CBA" w:rsidRDefault="000A44B5" w:rsidP="000A44B5">
            <w:pPr>
              <w:jc w:val="right"/>
              <w:rPr>
                <w:sz w:val="16"/>
                <w:szCs w:val="16"/>
              </w:rPr>
            </w:pPr>
            <w:r w:rsidRPr="00471CBA">
              <w:rPr>
                <w:sz w:val="16"/>
                <w:szCs w:val="16"/>
              </w:rPr>
              <w:t>-</w:t>
            </w:r>
          </w:p>
        </w:tc>
        <w:tc>
          <w:tcPr>
            <w:tcW w:w="239" w:type="pct"/>
            <w:vAlign w:val="bottom"/>
          </w:tcPr>
          <w:p w14:paraId="59D79AA1" w14:textId="5E143156" w:rsidR="000A44B5" w:rsidRPr="00471CBA" w:rsidRDefault="000A44B5" w:rsidP="000A44B5">
            <w:pPr>
              <w:jc w:val="right"/>
              <w:rPr>
                <w:sz w:val="16"/>
                <w:szCs w:val="16"/>
              </w:rPr>
            </w:pPr>
            <w:r w:rsidRPr="00471CBA">
              <w:rPr>
                <w:sz w:val="16"/>
                <w:szCs w:val="16"/>
              </w:rPr>
              <w:t>-</w:t>
            </w:r>
          </w:p>
        </w:tc>
        <w:tc>
          <w:tcPr>
            <w:tcW w:w="239" w:type="pct"/>
            <w:noWrap/>
            <w:vAlign w:val="bottom"/>
          </w:tcPr>
          <w:p w14:paraId="3F540428" w14:textId="1B3CD0C5" w:rsidR="000A44B5" w:rsidRPr="00471CBA" w:rsidRDefault="000A44B5" w:rsidP="000A44B5">
            <w:pPr>
              <w:jc w:val="right"/>
              <w:rPr>
                <w:sz w:val="16"/>
                <w:szCs w:val="16"/>
              </w:rPr>
            </w:pPr>
            <w:r w:rsidRPr="00471CBA">
              <w:rPr>
                <w:sz w:val="16"/>
                <w:szCs w:val="16"/>
              </w:rPr>
              <w:t>-</w:t>
            </w:r>
          </w:p>
        </w:tc>
        <w:tc>
          <w:tcPr>
            <w:tcW w:w="239" w:type="pct"/>
            <w:noWrap/>
            <w:vAlign w:val="bottom"/>
          </w:tcPr>
          <w:p w14:paraId="15303B11" w14:textId="35950365" w:rsidR="000A44B5" w:rsidRPr="00471CBA" w:rsidRDefault="000A44B5" w:rsidP="000A44B5">
            <w:pPr>
              <w:jc w:val="right"/>
              <w:rPr>
                <w:sz w:val="16"/>
                <w:szCs w:val="16"/>
              </w:rPr>
            </w:pPr>
            <w:r w:rsidRPr="00471CBA">
              <w:rPr>
                <w:sz w:val="16"/>
                <w:szCs w:val="16"/>
              </w:rPr>
              <w:t>-</w:t>
            </w:r>
          </w:p>
        </w:tc>
        <w:tc>
          <w:tcPr>
            <w:tcW w:w="301" w:type="pct"/>
            <w:noWrap/>
            <w:vAlign w:val="bottom"/>
          </w:tcPr>
          <w:p w14:paraId="7656A80E" w14:textId="6B777645" w:rsidR="000A44B5" w:rsidRPr="00471CBA" w:rsidRDefault="000A44B5" w:rsidP="000A44B5">
            <w:pPr>
              <w:jc w:val="right"/>
              <w:rPr>
                <w:sz w:val="16"/>
                <w:szCs w:val="16"/>
              </w:rPr>
            </w:pPr>
            <w:r w:rsidRPr="00471CBA">
              <w:rPr>
                <w:sz w:val="16"/>
                <w:szCs w:val="16"/>
              </w:rPr>
              <w:t>-</w:t>
            </w:r>
          </w:p>
        </w:tc>
        <w:tc>
          <w:tcPr>
            <w:tcW w:w="280" w:type="pct"/>
            <w:noWrap/>
            <w:vAlign w:val="bottom"/>
          </w:tcPr>
          <w:p w14:paraId="757A19B8" w14:textId="02FB9122" w:rsidR="000A44B5" w:rsidRPr="00471CBA" w:rsidRDefault="000A44B5" w:rsidP="000A44B5">
            <w:pPr>
              <w:jc w:val="right"/>
              <w:rPr>
                <w:sz w:val="16"/>
                <w:szCs w:val="16"/>
              </w:rPr>
            </w:pPr>
            <w:r w:rsidRPr="00471CBA">
              <w:rPr>
                <w:sz w:val="16"/>
                <w:szCs w:val="16"/>
              </w:rPr>
              <w:t>-</w:t>
            </w:r>
          </w:p>
        </w:tc>
        <w:tc>
          <w:tcPr>
            <w:tcW w:w="280" w:type="pct"/>
            <w:vAlign w:val="bottom"/>
          </w:tcPr>
          <w:p w14:paraId="683992C4" w14:textId="54575A33" w:rsidR="000A44B5" w:rsidRPr="00471CBA" w:rsidRDefault="000A44B5" w:rsidP="000A44B5">
            <w:pPr>
              <w:jc w:val="right"/>
              <w:rPr>
                <w:sz w:val="16"/>
                <w:szCs w:val="16"/>
              </w:rPr>
            </w:pPr>
            <w:r w:rsidRPr="00471CBA">
              <w:rPr>
                <w:sz w:val="16"/>
                <w:szCs w:val="16"/>
              </w:rPr>
              <w:t>-</w:t>
            </w:r>
          </w:p>
        </w:tc>
        <w:tc>
          <w:tcPr>
            <w:tcW w:w="271" w:type="pct"/>
            <w:noWrap/>
            <w:vAlign w:val="bottom"/>
          </w:tcPr>
          <w:p w14:paraId="03C04AD7" w14:textId="592271FA" w:rsidR="000A44B5" w:rsidRPr="00471CBA" w:rsidRDefault="000A44B5" w:rsidP="000A44B5">
            <w:pPr>
              <w:jc w:val="right"/>
              <w:rPr>
                <w:sz w:val="16"/>
                <w:szCs w:val="16"/>
              </w:rPr>
            </w:pPr>
            <w:r w:rsidRPr="00471CBA">
              <w:rPr>
                <w:sz w:val="16"/>
                <w:szCs w:val="16"/>
              </w:rPr>
              <w:t>-</w:t>
            </w:r>
          </w:p>
        </w:tc>
        <w:tc>
          <w:tcPr>
            <w:tcW w:w="350" w:type="pct"/>
            <w:noWrap/>
            <w:vAlign w:val="bottom"/>
          </w:tcPr>
          <w:p w14:paraId="0303C139" w14:textId="31317B1D" w:rsidR="000A44B5" w:rsidRPr="00471CBA" w:rsidRDefault="000A44B5" w:rsidP="000A44B5">
            <w:pPr>
              <w:jc w:val="right"/>
              <w:rPr>
                <w:sz w:val="16"/>
                <w:szCs w:val="16"/>
              </w:rPr>
            </w:pPr>
            <w:r w:rsidRPr="00471CBA">
              <w:rPr>
                <w:sz w:val="16"/>
                <w:szCs w:val="16"/>
              </w:rPr>
              <w:t>-</w:t>
            </w:r>
          </w:p>
        </w:tc>
      </w:tr>
      <w:tr w:rsidR="000A44B5" w:rsidRPr="00471CBA" w14:paraId="2BF301F6" w14:textId="77777777" w:rsidTr="00B0049C">
        <w:trPr>
          <w:trHeight w:val="36"/>
        </w:trPr>
        <w:tc>
          <w:tcPr>
            <w:tcW w:w="1682" w:type="pct"/>
            <w:vAlign w:val="center"/>
            <w:hideMark/>
          </w:tcPr>
          <w:p w14:paraId="3A60B7E8" w14:textId="77777777" w:rsidR="000A44B5" w:rsidRPr="00471CBA" w:rsidRDefault="000A44B5" w:rsidP="000A44B5">
            <w:pPr>
              <w:rPr>
                <w:sz w:val="16"/>
                <w:szCs w:val="16"/>
              </w:rPr>
            </w:pPr>
            <w:r w:rsidRPr="00471CBA">
              <w:rPr>
                <w:sz w:val="16"/>
                <w:szCs w:val="16"/>
              </w:rPr>
              <w:t>Uluslararası teşkilatlardan alacaklar</w:t>
            </w:r>
          </w:p>
        </w:tc>
        <w:tc>
          <w:tcPr>
            <w:tcW w:w="342" w:type="pct"/>
            <w:noWrap/>
            <w:vAlign w:val="bottom"/>
          </w:tcPr>
          <w:p w14:paraId="2B7C0D0F" w14:textId="688087CA" w:rsidR="000A44B5" w:rsidRPr="00471CBA" w:rsidRDefault="000A44B5" w:rsidP="000A44B5">
            <w:pPr>
              <w:jc w:val="right"/>
              <w:rPr>
                <w:sz w:val="16"/>
                <w:szCs w:val="16"/>
              </w:rPr>
            </w:pPr>
            <w:r w:rsidRPr="00471CBA">
              <w:rPr>
                <w:sz w:val="16"/>
                <w:szCs w:val="16"/>
              </w:rPr>
              <w:t>-</w:t>
            </w:r>
          </w:p>
        </w:tc>
        <w:tc>
          <w:tcPr>
            <w:tcW w:w="239" w:type="pct"/>
            <w:noWrap/>
            <w:vAlign w:val="bottom"/>
          </w:tcPr>
          <w:p w14:paraId="510DC0C1" w14:textId="0C9ABF9A" w:rsidR="000A44B5" w:rsidRPr="00471CBA" w:rsidRDefault="000A44B5" w:rsidP="000A44B5">
            <w:pPr>
              <w:jc w:val="right"/>
              <w:rPr>
                <w:sz w:val="16"/>
                <w:szCs w:val="16"/>
              </w:rPr>
            </w:pPr>
            <w:r w:rsidRPr="00471CBA">
              <w:rPr>
                <w:sz w:val="16"/>
                <w:szCs w:val="16"/>
              </w:rPr>
              <w:t>-</w:t>
            </w:r>
          </w:p>
        </w:tc>
        <w:tc>
          <w:tcPr>
            <w:tcW w:w="301" w:type="pct"/>
            <w:noWrap/>
            <w:vAlign w:val="bottom"/>
          </w:tcPr>
          <w:p w14:paraId="17A890D2" w14:textId="6E9626F8" w:rsidR="000A44B5" w:rsidRPr="00471CBA" w:rsidRDefault="000A44B5" w:rsidP="000A44B5">
            <w:pPr>
              <w:jc w:val="right"/>
              <w:rPr>
                <w:sz w:val="16"/>
                <w:szCs w:val="16"/>
              </w:rPr>
            </w:pPr>
            <w:r w:rsidRPr="00471CBA">
              <w:rPr>
                <w:sz w:val="16"/>
                <w:szCs w:val="16"/>
              </w:rPr>
              <w:t>-</w:t>
            </w:r>
          </w:p>
        </w:tc>
        <w:tc>
          <w:tcPr>
            <w:tcW w:w="239" w:type="pct"/>
            <w:vAlign w:val="bottom"/>
          </w:tcPr>
          <w:p w14:paraId="38C88090" w14:textId="75431B94" w:rsidR="000A44B5" w:rsidRPr="00471CBA" w:rsidRDefault="000A44B5" w:rsidP="000A44B5">
            <w:pPr>
              <w:jc w:val="right"/>
              <w:rPr>
                <w:sz w:val="16"/>
                <w:szCs w:val="16"/>
              </w:rPr>
            </w:pPr>
            <w:r w:rsidRPr="00471CBA">
              <w:rPr>
                <w:sz w:val="16"/>
                <w:szCs w:val="16"/>
              </w:rPr>
              <w:t>-</w:t>
            </w:r>
          </w:p>
        </w:tc>
        <w:tc>
          <w:tcPr>
            <w:tcW w:w="239" w:type="pct"/>
            <w:vAlign w:val="bottom"/>
          </w:tcPr>
          <w:p w14:paraId="7EF8D798" w14:textId="713268AB" w:rsidR="000A44B5" w:rsidRPr="00471CBA" w:rsidRDefault="000A44B5" w:rsidP="000A44B5">
            <w:pPr>
              <w:jc w:val="right"/>
              <w:rPr>
                <w:sz w:val="16"/>
                <w:szCs w:val="16"/>
              </w:rPr>
            </w:pPr>
            <w:r w:rsidRPr="00471CBA">
              <w:rPr>
                <w:sz w:val="16"/>
                <w:szCs w:val="16"/>
              </w:rPr>
              <w:t>-</w:t>
            </w:r>
          </w:p>
        </w:tc>
        <w:tc>
          <w:tcPr>
            <w:tcW w:w="239" w:type="pct"/>
            <w:noWrap/>
            <w:vAlign w:val="bottom"/>
          </w:tcPr>
          <w:p w14:paraId="2B73E6C5" w14:textId="61BEBB2C" w:rsidR="000A44B5" w:rsidRPr="00471CBA" w:rsidRDefault="000A44B5" w:rsidP="000A44B5">
            <w:pPr>
              <w:jc w:val="right"/>
              <w:rPr>
                <w:sz w:val="16"/>
                <w:szCs w:val="16"/>
              </w:rPr>
            </w:pPr>
            <w:r w:rsidRPr="00471CBA">
              <w:rPr>
                <w:sz w:val="16"/>
                <w:szCs w:val="16"/>
              </w:rPr>
              <w:t>-</w:t>
            </w:r>
          </w:p>
        </w:tc>
        <w:tc>
          <w:tcPr>
            <w:tcW w:w="239" w:type="pct"/>
            <w:noWrap/>
            <w:vAlign w:val="bottom"/>
          </w:tcPr>
          <w:p w14:paraId="1868D37C" w14:textId="6B7E4608" w:rsidR="000A44B5" w:rsidRPr="00471CBA" w:rsidRDefault="000A44B5" w:rsidP="000A44B5">
            <w:pPr>
              <w:jc w:val="right"/>
              <w:rPr>
                <w:sz w:val="16"/>
                <w:szCs w:val="16"/>
              </w:rPr>
            </w:pPr>
            <w:r w:rsidRPr="00471CBA">
              <w:rPr>
                <w:sz w:val="16"/>
                <w:szCs w:val="16"/>
              </w:rPr>
              <w:t>-</w:t>
            </w:r>
          </w:p>
        </w:tc>
        <w:tc>
          <w:tcPr>
            <w:tcW w:w="301" w:type="pct"/>
            <w:noWrap/>
            <w:vAlign w:val="bottom"/>
          </w:tcPr>
          <w:p w14:paraId="0885ED34" w14:textId="63D549F8" w:rsidR="000A44B5" w:rsidRPr="00471CBA" w:rsidRDefault="000A44B5" w:rsidP="000A44B5">
            <w:pPr>
              <w:jc w:val="right"/>
              <w:rPr>
                <w:sz w:val="16"/>
                <w:szCs w:val="16"/>
              </w:rPr>
            </w:pPr>
            <w:r w:rsidRPr="00471CBA">
              <w:rPr>
                <w:sz w:val="16"/>
                <w:szCs w:val="16"/>
              </w:rPr>
              <w:t>-</w:t>
            </w:r>
          </w:p>
        </w:tc>
        <w:tc>
          <w:tcPr>
            <w:tcW w:w="280" w:type="pct"/>
            <w:noWrap/>
            <w:vAlign w:val="bottom"/>
          </w:tcPr>
          <w:p w14:paraId="14E99D5D" w14:textId="3D1FBCD8" w:rsidR="000A44B5" w:rsidRPr="00471CBA" w:rsidRDefault="000A44B5" w:rsidP="000A44B5">
            <w:pPr>
              <w:jc w:val="right"/>
              <w:rPr>
                <w:sz w:val="16"/>
                <w:szCs w:val="16"/>
              </w:rPr>
            </w:pPr>
            <w:r w:rsidRPr="00471CBA">
              <w:rPr>
                <w:sz w:val="16"/>
                <w:szCs w:val="16"/>
              </w:rPr>
              <w:t>-</w:t>
            </w:r>
          </w:p>
        </w:tc>
        <w:tc>
          <w:tcPr>
            <w:tcW w:w="280" w:type="pct"/>
            <w:vAlign w:val="bottom"/>
          </w:tcPr>
          <w:p w14:paraId="6146B879" w14:textId="60F137D8" w:rsidR="000A44B5" w:rsidRPr="00471CBA" w:rsidRDefault="000A44B5" w:rsidP="000A44B5">
            <w:pPr>
              <w:jc w:val="right"/>
              <w:rPr>
                <w:sz w:val="16"/>
                <w:szCs w:val="16"/>
              </w:rPr>
            </w:pPr>
            <w:r w:rsidRPr="00471CBA">
              <w:rPr>
                <w:sz w:val="16"/>
                <w:szCs w:val="16"/>
              </w:rPr>
              <w:t>-</w:t>
            </w:r>
          </w:p>
        </w:tc>
        <w:tc>
          <w:tcPr>
            <w:tcW w:w="271" w:type="pct"/>
            <w:noWrap/>
            <w:vAlign w:val="bottom"/>
          </w:tcPr>
          <w:p w14:paraId="711FE2EE" w14:textId="6E25803D" w:rsidR="000A44B5" w:rsidRPr="00471CBA" w:rsidRDefault="000A44B5" w:rsidP="000A44B5">
            <w:pPr>
              <w:jc w:val="right"/>
              <w:rPr>
                <w:sz w:val="16"/>
                <w:szCs w:val="16"/>
              </w:rPr>
            </w:pPr>
            <w:r w:rsidRPr="00471CBA">
              <w:rPr>
                <w:sz w:val="16"/>
                <w:szCs w:val="16"/>
              </w:rPr>
              <w:t>-</w:t>
            </w:r>
          </w:p>
        </w:tc>
        <w:tc>
          <w:tcPr>
            <w:tcW w:w="350" w:type="pct"/>
            <w:noWrap/>
            <w:vAlign w:val="bottom"/>
          </w:tcPr>
          <w:p w14:paraId="6F51B0A8" w14:textId="63199C04" w:rsidR="000A44B5" w:rsidRPr="00471CBA" w:rsidRDefault="000A44B5" w:rsidP="000A44B5">
            <w:pPr>
              <w:jc w:val="right"/>
              <w:rPr>
                <w:sz w:val="16"/>
                <w:szCs w:val="16"/>
              </w:rPr>
            </w:pPr>
            <w:r w:rsidRPr="00471CBA">
              <w:rPr>
                <w:sz w:val="16"/>
                <w:szCs w:val="16"/>
              </w:rPr>
              <w:t>-</w:t>
            </w:r>
          </w:p>
        </w:tc>
      </w:tr>
      <w:tr w:rsidR="000A44B5" w:rsidRPr="00471CBA" w14:paraId="3C065FDA" w14:textId="77777777" w:rsidTr="00B0049C">
        <w:trPr>
          <w:trHeight w:val="36"/>
        </w:trPr>
        <w:tc>
          <w:tcPr>
            <w:tcW w:w="1682" w:type="pct"/>
            <w:vAlign w:val="center"/>
          </w:tcPr>
          <w:p w14:paraId="249F079F" w14:textId="77777777" w:rsidR="000A44B5" w:rsidRPr="00471CBA" w:rsidRDefault="000A44B5" w:rsidP="000A44B5">
            <w:pPr>
              <w:rPr>
                <w:sz w:val="16"/>
                <w:szCs w:val="16"/>
              </w:rPr>
            </w:pPr>
            <w:r w:rsidRPr="00471CBA">
              <w:rPr>
                <w:sz w:val="16"/>
                <w:szCs w:val="16"/>
              </w:rPr>
              <w:t>Bankalar ve aracı kurumlardan alacaklar</w:t>
            </w:r>
          </w:p>
        </w:tc>
        <w:tc>
          <w:tcPr>
            <w:tcW w:w="342" w:type="pct"/>
            <w:noWrap/>
            <w:vAlign w:val="bottom"/>
          </w:tcPr>
          <w:p w14:paraId="03F41CA8" w14:textId="0ACCE0FB" w:rsidR="000A44B5" w:rsidRPr="00471CBA" w:rsidRDefault="000A44B5" w:rsidP="000A44B5">
            <w:pPr>
              <w:jc w:val="right"/>
              <w:rPr>
                <w:sz w:val="16"/>
                <w:szCs w:val="16"/>
              </w:rPr>
            </w:pPr>
            <w:r w:rsidRPr="00471CBA">
              <w:rPr>
                <w:sz w:val="16"/>
                <w:szCs w:val="16"/>
              </w:rPr>
              <w:t>-</w:t>
            </w:r>
          </w:p>
        </w:tc>
        <w:tc>
          <w:tcPr>
            <w:tcW w:w="239" w:type="pct"/>
            <w:noWrap/>
            <w:vAlign w:val="bottom"/>
          </w:tcPr>
          <w:p w14:paraId="46FC0DDB" w14:textId="500D7AA0" w:rsidR="000A44B5" w:rsidRPr="00471CBA" w:rsidRDefault="000A44B5" w:rsidP="000A44B5">
            <w:pPr>
              <w:jc w:val="right"/>
              <w:rPr>
                <w:sz w:val="16"/>
                <w:szCs w:val="16"/>
              </w:rPr>
            </w:pPr>
            <w:r w:rsidRPr="00471CBA">
              <w:rPr>
                <w:sz w:val="16"/>
                <w:szCs w:val="16"/>
              </w:rPr>
              <w:t>-</w:t>
            </w:r>
          </w:p>
        </w:tc>
        <w:tc>
          <w:tcPr>
            <w:tcW w:w="301" w:type="pct"/>
            <w:noWrap/>
            <w:vAlign w:val="bottom"/>
          </w:tcPr>
          <w:p w14:paraId="4EAC6692" w14:textId="460C1E0D" w:rsidR="000A44B5" w:rsidRPr="00471CBA" w:rsidRDefault="000A44B5" w:rsidP="000A44B5">
            <w:pPr>
              <w:jc w:val="right"/>
              <w:rPr>
                <w:sz w:val="16"/>
                <w:szCs w:val="16"/>
              </w:rPr>
            </w:pPr>
            <w:r w:rsidRPr="00471CBA">
              <w:rPr>
                <w:sz w:val="16"/>
                <w:szCs w:val="16"/>
              </w:rPr>
              <w:t>24.455</w:t>
            </w:r>
          </w:p>
        </w:tc>
        <w:tc>
          <w:tcPr>
            <w:tcW w:w="239" w:type="pct"/>
            <w:vAlign w:val="bottom"/>
          </w:tcPr>
          <w:p w14:paraId="46E7CAFA" w14:textId="782BB0AF" w:rsidR="000A44B5" w:rsidRPr="00471CBA" w:rsidRDefault="000A44B5" w:rsidP="000A44B5">
            <w:pPr>
              <w:jc w:val="right"/>
              <w:rPr>
                <w:sz w:val="16"/>
                <w:szCs w:val="16"/>
              </w:rPr>
            </w:pPr>
            <w:r w:rsidRPr="00471CBA">
              <w:rPr>
                <w:sz w:val="16"/>
                <w:szCs w:val="16"/>
              </w:rPr>
              <w:t>-</w:t>
            </w:r>
          </w:p>
        </w:tc>
        <w:tc>
          <w:tcPr>
            <w:tcW w:w="239" w:type="pct"/>
            <w:vAlign w:val="bottom"/>
          </w:tcPr>
          <w:p w14:paraId="4562ADCA" w14:textId="3612098F" w:rsidR="000A44B5" w:rsidRPr="00471CBA" w:rsidRDefault="000A44B5" w:rsidP="000A44B5">
            <w:pPr>
              <w:jc w:val="right"/>
              <w:rPr>
                <w:sz w:val="16"/>
                <w:szCs w:val="16"/>
              </w:rPr>
            </w:pPr>
            <w:r w:rsidRPr="00471CBA">
              <w:rPr>
                <w:sz w:val="16"/>
                <w:szCs w:val="16"/>
              </w:rPr>
              <w:t>-</w:t>
            </w:r>
          </w:p>
        </w:tc>
        <w:tc>
          <w:tcPr>
            <w:tcW w:w="239" w:type="pct"/>
            <w:noWrap/>
            <w:vAlign w:val="bottom"/>
          </w:tcPr>
          <w:p w14:paraId="75B1F778" w14:textId="06A9AD92" w:rsidR="000A44B5" w:rsidRPr="00471CBA" w:rsidRDefault="000A44B5" w:rsidP="000A44B5">
            <w:pPr>
              <w:jc w:val="right"/>
              <w:rPr>
                <w:sz w:val="16"/>
                <w:szCs w:val="16"/>
              </w:rPr>
            </w:pPr>
            <w:r w:rsidRPr="00471CBA">
              <w:rPr>
                <w:sz w:val="16"/>
                <w:szCs w:val="16"/>
              </w:rPr>
              <w:t>-</w:t>
            </w:r>
          </w:p>
        </w:tc>
        <w:tc>
          <w:tcPr>
            <w:tcW w:w="239" w:type="pct"/>
            <w:noWrap/>
            <w:vAlign w:val="bottom"/>
          </w:tcPr>
          <w:p w14:paraId="476FB5AC" w14:textId="2BAB71DA" w:rsidR="000A44B5" w:rsidRPr="00471CBA" w:rsidRDefault="000A44B5" w:rsidP="000A44B5">
            <w:pPr>
              <w:jc w:val="right"/>
              <w:rPr>
                <w:sz w:val="16"/>
                <w:szCs w:val="16"/>
              </w:rPr>
            </w:pPr>
            <w:r w:rsidRPr="00471CBA">
              <w:rPr>
                <w:sz w:val="16"/>
                <w:szCs w:val="16"/>
              </w:rPr>
              <w:t>-</w:t>
            </w:r>
          </w:p>
        </w:tc>
        <w:tc>
          <w:tcPr>
            <w:tcW w:w="301" w:type="pct"/>
            <w:noWrap/>
            <w:vAlign w:val="bottom"/>
          </w:tcPr>
          <w:p w14:paraId="239963B9" w14:textId="63986065" w:rsidR="000A44B5" w:rsidRPr="00471CBA" w:rsidRDefault="000A44B5" w:rsidP="000A44B5">
            <w:pPr>
              <w:jc w:val="right"/>
              <w:rPr>
                <w:sz w:val="16"/>
                <w:szCs w:val="16"/>
              </w:rPr>
            </w:pPr>
            <w:r w:rsidRPr="00471CBA">
              <w:rPr>
                <w:sz w:val="16"/>
                <w:szCs w:val="16"/>
              </w:rPr>
              <w:t>-</w:t>
            </w:r>
          </w:p>
        </w:tc>
        <w:tc>
          <w:tcPr>
            <w:tcW w:w="280" w:type="pct"/>
            <w:noWrap/>
            <w:vAlign w:val="bottom"/>
          </w:tcPr>
          <w:p w14:paraId="4E937AAF" w14:textId="6DB59963" w:rsidR="000A44B5" w:rsidRPr="00471CBA" w:rsidRDefault="000A44B5" w:rsidP="000A44B5">
            <w:pPr>
              <w:jc w:val="right"/>
              <w:rPr>
                <w:sz w:val="16"/>
                <w:szCs w:val="16"/>
              </w:rPr>
            </w:pPr>
            <w:r w:rsidRPr="00471CBA">
              <w:rPr>
                <w:sz w:val="16"/>
                <w:szCs w:val="16"/>
              </w:rPr>
              <w:t>-</w:t>
            </w:r>
          </w:p>
        </w:tc>
        <w:tc>
          <w:tcPr>
            <w:tcW w:w="280" w:type="pct"/>
            <w:vAlign w:val="bottom"/>
          </w:tcPr>
          <w:p w14:paraId="0AD67A8C" w14:textId="6E3F9340" w:rsidR="000A44B5" w:rsidRPr="00471CBA" w:rsidRDefault="000A44B5" w:rsidP="000A44B5">
            <w:pPr>
              <w:jc w:val="right"/>
              <w:rPr>
                <w:sz w:val="16"/>
                <w:szCs w:val="16"/>
              </w:rPr>
            </w:pPr>
            <w:r w:rsidRPr="00471CBA">
              <w:rPr>
                <w:sz w:val="16"/>
                <w:szCs w:val="16"/>
              </w:rPr>
              <w:t>-</w:t>
            </w:r>
          </w:p>
        </w:tc>
        <w:tc>
          <w:tcPr>
            <w:tcW w:w="271" w:type="pct"/>
            <w:noWrap/>
            <w:vAlign w:val="bottom"/>
          </w:tcPr>
          <w:p w14:paraId="612800B5" w14:textId="77E6C8A1" w:rsidR="000A44B5" w:rsidRPr="00471CBA" w:rsidRDefault="000A44B5" w:rsidP="000A44B5">
            <w:pPr>
              <w:jc w:val="right"/>
              <w:rPr>
                <w:sz w:val="16"/>
                <w:szCs w:val="16"/>
              </w:rPr>
            </w:pPr>
            <w:r w:rsidRPr="00471CBA">
              <w:rPr>
                <w:sz w:val="16"/>
                <w:szCs w:val="16"/>
              </w:rPr>
              <w:t>-</w:t>
            </w:r>
          </w:p>
        </w:tc>
        <w:tc>
          <w:tcPr>
            <w:tcW w:w="350" w:type="pct"/>
            <w:noWrap/>
            <w:vAlign w:val="bottom"/>
          </w:tcPr>
          <w:p w14:paraId="56B01444" w14:textId="34E386A4" w:rsidR="000A44B5" w:rsidRPr="00471CBA" w:rsidRDefault="000A44B5" w:rsidP="000A44B5">
            <w:pPr>
              <w:jc w:val="right"/>
              <w:rPr>
                <w:sz w:val="16"/>
                <w:szCs w:val="16"/>
              </w:rPr>
            </w:pPr>
            <w:r w:rsidRPr="00471CBA">
              <w:rPr>
                <w:sz w:val="16"/>
                <w:szCs w:val="16"/>
              </w:rPr>
              <w:t>24.455</w:t>
            </w:r>
          </w:p>
        </w:tc>
      </w:tr>
      <w:tr w:rsidR="000A44B5" w:rsidRPr="00471CBA" w14:paraId="2D76FAEA" w14:textId="77777777" w:rsidTr="00B0049C">
        <w:trPr>
          <w:trHeight w:val="36"/>
        </w:trPr>
        <w:tc>
          <w:tcPr>
            <w:tcW w:w="1682" w:type="pct"/>
            <w:vAlign w:val="center"/>
            <w:hideMark/>
          </w:tcPr>
          <w:p w14:paraId="5B97FE4B" w14:textId="77777777" w:rsidR="000A44B5" w:rsidRPr="00471CBA" w:rsidRDefault="000A44B5" w:rsidP="000A44B5">
            <w:pPr>
              <w:rPr>
                <w:sz w:val="16"/>
                <w:szCs w:val="16"/>
              </w:rPr>
            </w:pPr>
            <w:r w:rsidRPr="00471CBA">
              <w:rPr>
                <w:sz w:val="16"/>
                <w:szCs w:val="16"/>
              </w:rPr>
              <w:t>Kurumsal alacaklar</w:t>
            </w:r>
          </w:p>
        </w:tc>
        <w:tc>
          <w:tcPr>
            <w:tcW w:w="342" w:type="pct"/>
            <w:noWrap/>
            <w:vAlign w:val="bottom"/>
          </w:tcPr>
          <w:p w14:paraId="710363C0" w14:textId="0116A24E" w:rsidR="000A44B5" w:rsidRPr="00471CBA" w:rsidRDefault="000A44B5" w:rsidP="000A44B5">
            <w:pPr>
              <w:jc w:val="right"/>
              <w:rPr>
                <w:sz w:val="16"/>
                <w:szCs w:val="16"/>
              </w:rPr>
            </w:pPr>
            <w:r w:rsidRPr="00471CBA">
              <w:rPr>
                <w:sz w:val="16"/>
                <w:szCs w:val="16"/>
              </w:rPr>
              <w:t>475.539</w:t>
            </w:r>
          </w:p>
        </w:tc>
        <w:tc>
          <w:tcPr>
            <w:tcW w:w="239" w:type="pct"/>
            <w:noWrap/>
            <w:vAlign w:val="bottom"/>
          </w:tcPr>
          <w:p w14:paraId="2A16BB28" w14:textId="7FF0E80B" w:rsidR="000A44B5" w:rsidRPr="00471CBA" w:rsidRDefault="000A44B5" w:rsidP="000A44B5">
            <w:pPr>
              <w:jc w:val="right"/>
              <w:rPr>
                <w:sz w:val="16"/>
                <w:szCs w:val="16"/>
              </w:rPr>
            </w:pPr>
            <w:r w:rsidRPr="00471CBA">
              <w:rPr>
                <w:sz w:val="16"/>
                <w:szCs w:val="16"/>
              </w:rPr>
              <w:t>-</w:t>
            </w:r>
          </w:p>
        </w:tc>
        <w:tc>
          <w:tcPr>
            <w:tcW w:w="301" w:type="pct"/>
            <w:noWrap/>
            <w:vAlign w:val="bottom"/>
          </w:tcPr>
          <w:p w14:paraId="4516B17E" w14:textId="02455A0B" w:rsidR="000A44B5" w:rsidRPr="00471CBA" w:rsidRDefault="000A44B5" w:rsidP="000A44B5">
            <w:pPr>
              <w:jc w:val="right"/>
              <w:rPr>
                <w:sz w:val="16"/>
                <w:szCs w:val="16"/>
              </w:rPr>
            </w:pPr>
            <w:r w:rsidRPr="00471CBA">
              <w:rPr>
                <w:sz w:val="16"/>
                <w:szCs w:val="16"/>
              </w:rPr>
              <w:t>-</w:t>
            </w:r>
          </w:p>
        </w:tc>
        <w:tc>
          <w:tcPr>
            <w:tcW w:w="239" w:type="pct"/>
            <w:vAlign w:val="bottom"/>
          </w:tcPr>
          <w:p w14:paraId="12A3FEF3" w14:textId="2F7734E7" w:rsidR="000A44B5" w:rsidRPr="00471CBA" w:rsidRDefault="000A44B5" w:rsidP="000A44B5">
            <w:pPr>
              <w:jc w:val="right"/>
              <w:rPr>
                <w:sz w:val="16"/>
                <w:szCs w:val="16"/>
              </w:rPr>
            </w:pPr>
            <w:r w:rsidRPr="00471CBA">
              <w:rPr>
                <w:sz w:val="16"/>
                <w:szCs w:val="16"/>
              </w:rPr>
              <w:t>-</w:t>
            </w:r>
          </w:p>
        </w:tc>
        <w:tc>
          <w:tcPr>
            <w:tcW w:w="239" w:type="pct"/>
            <w:vAlign w:val="bottom"/>
          </w:tcPr>
          <w:p w14:paraId="38787164" w14:textId="195E6F88" w:rsidR="000A44B5" w:rsidRPr="00471CBA" w:rsidRDefault="000A44B5" w:rsidP="000A44B5">
            <w:pPr>
              <w:jc w:val="right"/>
              <w:rPr>
                <w:sz w:val="16"/>
                <w:szCs w:val="16"/>
              </w:rPr>
            </w:pPr>
            <w:r w:rsidRPr="00471CBA">
              <w:rPr>
                <w:sz w:val="16"/>
                <w:szCs w:val="16"/>
              </w:rPr>
              <w:t>-</w:t>
            </w:r>
          </w:p>
        </w:tc>
        <w:tc>
          <w:tcPr>
            <w:tcW w:w="239" w:type="pct"/>
            <w:noWrap/>
            <w:vAlign w:val="bottom"/>
          </w:tcPr>
          <w:p w14:paraId="7FA2DD3F" w14:textId="53265C11" w:rsidR="000A44B5" w:rsidRPr="00471CBA" w:rsidRDefault="000A44B5" w:rsidP="000A44B5">
            <w:pPr>
              <w:jc w:val="right"/>
              <w:rPr>
                <w:sz w:val="16"/>
                <w:szCs w:val="16"/>
              </w:rPr>
            </w:pPr>
            <w:r w:rsidRPr="00471CBA">
              <w:rPr>
                <w:sz w:val="16"/>
                <w:szCs w:val="16"/>
              </w:rPr>
              <w:t>-</w:t>
            </w:r>
          </w:p>
        </w:tc>
        <w:tc>
          <w:tcPr>
            <w:tcW w:w="239" w:type="pct"/>
            <w:noWrap/>
            <w:vAlign w:val="bottom"/>
          </w:tcPr>
          <w:p w14:paraId="260EA483" w14:textId="782FB0FC" w:rsidR="000A44B5" w:rsidRPr="00471CBA" w:rsidRDefault="000A44B5" w:rsidP="000A44B5">
            <w:pPr>
              <w:jc w:val="right"/>
              <w:rPr>
                <w:sz w:val="16"/>
                <w:szCs w:val="16"/>
              </w:rPr>
            </w:pPr>
            <w:r w:rsidRPr="00471CBA">
              <w:rPr>
                <w:sz w:val="16"/>
                <w:szCs w:val="16"/>
              </w:rPr>
              <w:t>-</w:t>
            </w:r>
          </w:p>
        </w:tc>
        <w:tc>
          <w:tcPr>
            <w:tcW w:w="301" w:type="pct"/>
            <w:noWrap/>
            <w:vAlign w:val="bottom"/>
          </w:tcPr>
          <w:p w14:paraId="1AC9FB5A" w14:textId="655887C7" w:rsidR="000A44B5" w:rsidRPr="00471CBA" w:rsidRDefault="000A44B5" w:rsidP="000A44B5">
            <w:pPr>
              <w:jc w:val="right"/>
              <w:rPr>
                <w:sz w:val="16"/>
                <w:szCs w:val="16"/>
              </w:rPr>
            </w:pPr>
            <w:r w:rsidRPr="00471CBA">
              <w:rPr>
                <w:sz w:val="16"/>
                <w:szCs w:val="16"/>
              </w:rPr>
              <w:t>60.007</w:t>
            </w:r>
          </w:p>
        </w:tc>
        <w:tc>
          <w:tcPr>
            <w:tcW w:w="280" w:type="pct"/>
            <w:noWrap/>
            <w:vAlign w:val="bottom"/>
          </w:tcPr>
          <w:p w14:paraId="51BC634B" w14:textId="7B29CCC3" w:rsidR="000A44B5" w:rsidRPr="00471CBA" w:rsidRDefault="000A44B5" w:rsidP="000A44B5">
            <w:pPr>
              <w:jc w:val="right"/>
              <w:rPr>
                <w:sz w:val="16"/>
                <w:szCs w:val="16"/>
              </w:rPr>
            </w:pPr>
            <w:r w:rsidRPr="00471CBA">
              <w:rPr>
                <w:sz w:val="16"/>
                <w:szCs w:val="16"/>
              </w:rPr>
              <w:t>-</w:t>
            </w:r>
          </w:p>
        </w:tc>
        <w:tc>
          <w:tcPr>
            <w:tcW w:w="280" w:type="pct"/>
            <w:vAlign w:val="bottom"/>
          </w:tcPr>
          <w:p w14:paraId="433A058B" w14:textId="02C6A779" w:rsidR="000A44B5" w:rsidRPr="00471CBA" w:rsidRDefault="000A44B5" w:rsidP="000A44B5">
            <w:pPr>
              <w:jc w:val="right"/>
              <w:rPr>
                <w:sz w:val="16"/>
                <w:szCs w:val="16"/>
              </w:rPr>
            </w:pPr>
            <w:r w:rsidRPr="00471CBA">
              <w:rPr>
                <w:sz w:val="16"/>
                <w:szCs w:val="16"/>
              </w:rPr>
              <w:t>-</w:t>
            </w:r>
          </w:p>
        </w:tc>
        <w:tc>
          <w:tcPr>
            <w:tcW w:w="271" w:type="pct"/>
            <w:noWrap/>
            <w:vAlign w:val="bottom"/>
          </w:tcPr>
          <w:p w14:paraId="23F38269" w14:textId="777B27C8" w:rsidR="000A44B5" w:rsidRPr="00471CBA" w:rsidRDefault="000A44B5" w:rsidP="000A44B5">
            <w:pPr>
              <w:jc w:val="right"/>
              <w:rPr>
                <w:sz w:val="16"/>
                <w:szCs w:val="16"/>
              </w:rPr>
            </w:pPr>
            <w:r w:rsidRPr="00471CBA">
              <w:rPr>
                <w:sz w:val="16"/>
                <w:szCs w:val="16"/>
              </w:rPr>
              <w:t>-</w:t>
            </w:r>
          </w:p>
        </w:tc>
        <w:tc>
          <w:tcPr>
            <w:tcW w:w="350" w:type="pct"/>
            <w:noWrap/>
            <w:vAlign w:val="bottom"/>
          </w:tcPr>
          <w:p w14:paraId="4FDEB29C" w14:textId="2F38FF1E" w:rsidR="000A44B5" w:rsidRPr="00471CBA" w:rsidRDefault="000A44B5" w:rsidP="000A44B5">
            <w:pPr>
              <w:jc w:val="right"/>
              <w:rPr>
                <w:sz w:val="16"/>
                <w:szCs w:val="16"/>
              </w:rPr>
            </w:pPr>
            <w:r w:rsidRPr="00471CBA">
              <w:rPr>
                <w:sz w:val="16"/>
                <w:szCs w:val="16"/>
              </w:rPr>
              <w:t>535.546</w:t>
            </w:r>
          </w:p>
        </w:tc>
      </w:tr>
      <w:tr w:rsidR="000A44B5" w:rsidRPr="00471CBA" w14:paraId="2B1B0568" w14:textId="77777777" w:rsidTr="00B0049C">
        <w:trPr>
          <w:trHeight w:val="36"/>
        </w:trPr>
        <w:tc>
          <w:tcPr>
            <w:tcW w:w="1682" w:type="pct"/>
            <w:vAlign w:val="center"/>
            <w:hideMark/>
          </w:tcPr>
          <w:p w14:paraId="4884C098" w14:textId="77777777" w:rsidR="000A44B5" w:rsidRPr="00471CBA" w:rsidRDefault="000A44B5" w:rsidP="000A44B5">
            <w:pPr>
              <w:rPr>
                <w:sz w:val="16"/>
                <w:szCs w:val="16"/>
              </w:rPr>
            </w:pPr>
            <w:r w:rsidRPr="00471CBA">
              <w:rPr>
                <w:sz w:val="16"/>
                <w:szCs w:val="16"/>
              </w:rPr>
              <w:t>Perakende alacaklar</w:t>
            </w:r>
          </w:p>
        </w:tc>
        <w:tc>
          <w:tcPr>
            <w:tcW w:w="342" w:type="pct"/>
            <w:noWrap/>
            <w:vAlign w:val="bottom"/>
          </w:tcPr>
          <w:p w14:paraId="27DD5C0A" w14:textId="6BD9FB38" w:rsidR="000A44B5" w:rsidRPr="00471CBA" w:rsidRDefault="000A44B5" w:rsidP="000A44B5">
            <w:pPr>
              <w:jc w:val="right"/>
              <w:rPr>
                <w:sz w:val="16"/>
                <w:szCs w:val="16"/>
              </w:rPr>
            </w:pPr>
            <w:r w:rsidRPr="00471CBA">
              <w:rPr>
                <w:sz w:val="16"/>
                <w:szCs w:val="16"/>
              </w:rPr>
              <w:t>-</w:t>
            </w:r>
          </w:p>
        </w:tc>
        <w:tc>
          <w:tcPr>
            <w:tcW w:w="239" w:type="pct"/>
            <w:noWrap/>
            <w:vAlign w:val="bottom"/>
          </w:tcPr>
          <w:p w14:paraId="7220B6C8" w14:textId="7D90B1EB" w:rsidR="000A44B5" w:rsidRPr="00471CBA" w:rsidRDefault="000A44B5" w:rsidP="000A44B5">
            <w:pPr>
              <w:jc w:val="right"/>
              <w:rPr>
                <w:sz w:val="16"/>
                <w:szCs w:val="16"/>
              </w:rPr>
            </w:pPr>
            <w:r w:rsidRPr="00471CBA">
              <w:rPr>
                <w:sz w:val="16"/>
                <w:szCs w:val="16"/>
              </w:rPr>
              <w:t>-</w:t>
            </w:r>
          </w:p>
        </w:tc>
        <w:tc>
          <w:tcPr>
            <w:tcW w:w="301" w:type="pct"/>
            <w:noWrap/>
            <w:vAlign w:val="bottom"/>
          </w:tcPr>
          <w:p w14:paraId="6C111DF9" w14:textId="1D6EDDD6" w:rsidR="000A44B5" w:rsidRPr="00471CBA" w:rsidRDefault="000A44B5" w:rsidP="000A44B5">
            <w:pPr>
              <w:jc w:val="right"/>
              <w:rPr>
                <w:sz w:val="16"/>
                <w:szCs w:val="16"/>
              </w:rPr>
            </w:pPr>
            <w:r w:rsidRPr="00471CBA">
              <w:rPr>
                <w:sz w:val="16"/>
                <w:szCs w:val="16"/>
              </w:rPr>
              <w:t>-</w:t>
            </w:r>
          </w:p>
        </w:tc>
        <w:tc>
          <w:tcPr>
            <w:tcW w:w="239" w:type="pct"/>
            <w:vAlign w:val="bottom"/>
          </w:tcPr>
          <w:p w14:paraId="67B7DB75" w14:textId="7B0FC661" w:rsidR="000A44B5" w:rsidRPr="00471CBA" w:rsidRDefault="000A44B5" w:rsidP="000A44B5">
            <w:pPr>
              <w:jc w:val="right"/>
              <w:rPr>
                <w:sz w:val="16"/>
                <w:szCs w:val="16"/>
              </w:rPr>
            </w:pPr>
            <w:r w:rsidRPr="00471CBA">
              <w:rPr>
                <w:sz w:val="16"/>
                <w:szCs w:val="16"/>
              </w:rPr>
              <w:t>-</w:t>
            </w:r>
          </w:p>
        </w:tc>
        <w:tc>
          <w:tcPr>
            <w:tcW w:w="239" w:type="pct"/>
            <w:vAlign w:val="bottom"/>
          </w:tcPr>
          <w:p w14:paraId="136AF70A" w14:textId="07756DB4" w:rsidR="000A44B5" w:rsidRPr="00471CBA" w:rsidRDefault="000A44B5" w:rsidP="000A44B5">
            <w:pPr>
              <w:jc w:val="right"/>
              <w:rPr>
                <w:sz w:val="16"/>
                <w:szCs w:val="16"/>
              </w:rPr>
            </w:pPr>
            <w:r w:rsidRPr="00471CBA">
              <w:rPr>
                <w:sz w:val="16"/>
                <w:szCs w:val="16"/>
              </w:rPr>
              <w:t>-</w:t>
            </w:r>
          </w:p>
        </w:tc>
        <w:tc>
          <w:tcPr>
            <w:tcW w:w="239" w:type="pct"/>
            <w:noWrap/>
            <w:vAlign w:val="bottom"/>
          </w:tcPr>
          <w:p w14:paraId="099404D1" w14:textId="3B554CA0" w:rsidR="000A44B5" w:rsidRPr="00471CBA" w:rsidRDefault="000A44B5" w:rsidP="000A44B5">
            <w:pPr>
              <w:jc w:val="right"/>
              <w:rPr>
                <w:sz w:val="16"/>
                <w:szCs w:val="16"/>
              </w:rPr>
            </w:pPr>
            <w:r w:rsidRPr="00471CBA">
              <w:rPr>
                <w:sz w:val="16"/>
                <w:szCs w:val="16"/>
              </w:rPr>
              <w:t>-</w:t>
            </w:r>
          </w:p>
        </w:tc>
        <w:tc>
          <w:tcPr>
            <w:tcW w:w="239" w:type="pct"/>
            <w:noWrap/>
            <w:vAlign w:val="bottom"/>
          </w:tcPr>
          <w:p w14:paraId="0E8972A9" w14:textId="2E7B30A0" w:rsidR="000A44B5" w:rsidRPr="00471CBA" w:rsidRDefault="000A44B5" w:rsidP="000A44B5">
            <w:pPr>
              <w:jc w:val="right"/>
              <w:rPr>
                <w:sz w:val="16"/>
                <w:szCs w:val="16"/>
              </w:rPr>
            </w:pPr>
            <w:r w:rsidRPr="00471CBA">
              <w:rPr>
                <w:sz w:val="16"/>
                <w:szCs w:val="16"/>
              </w:rPr>
              <w:t>-</w:t>
            </w:r>
          </w:p>
        </w:tc>
        <w:tc>
          <w:tcPr>
            <w:tcW w:w="301" w:type="pct"/>
            <w:noWrap/>
            <w:vAlign w:val="bottom"/>
          </w:tcPr>
          <w:p w14:paraId="4A0081BB" w14:textId="2C94F45E" w:rsidR="000A44B5" w:rsidRPr="00471CBA" w:rsidRDefault="000A44B5" w:rsidP="000A44B5">
            <w:pPr>
              <w:jc w:val="right"/>
              <w:rPr>
                <w:sz w:val="16"/>
                <w:szCs w:val="16"/>
              </w:rPr>
            </w:pPr>
            <w:r w:rsidRPr="00471CBA">
              <w:rPr>
                <w:sz w:val="16"/>
                <w:szCs w:val="16"/>
              </w:rPr>
              <w:t>-</w:t>
            </w:r>
          </w:p>
        </w:tc>
        <w:tc>
          <w:tcPr>
            <w:tcW w:w="280" w:type="pct"/>
            <w:noWrap/>
            <w:vAlign w:val="bottom"/>
          </w:tcPr>
          <w:p w14:paraId="107DAF97" w14:textId="73D8B8C4" w:rsidR="000A44B5" w:rsidRPr="00471CBA" w:rsidRDefault="000A44B5" w:rsidP="000A44B5">
            <w:pPr>
              <w:jc w:val="right"/>
              <w:rPr>
                <w:sz w:val="16"/>
                <w:szCs w:val="16"/>
              </w:rPr>
            </w:pPr>
            <w:r w:rsidRPr="00471CBA">
              <w:rPr>
                <w:sz w:val="16"/>
                <w:szCs w:val="16"/>
              </w:rPr>
              <w:t>-</w:t>
            </w:r>
          </w:p>
        </w:tc>
        <w:tc>
          <w:tcPr>
            <w:tcW w:w="280" w:type="pct"/>
            <w:vAlign w:val="bottom"/>
          </w:tcPr>
          <w:p w14:paraId="40C5E05D" w14:textId="009882BD" w:rsidR="000A44B5" w:rsidRPr="00471CBA" w:rsidRDefault="000A44B5" w:rsidP="000A44B5">
            <w:pPr>
              <w:jc w:val="right"/>
              <w:rPr>
                <w:sz w:val="16"/>
                <w:szCs w:val="16"/>
              </w:rPr>
            </w:pPr>
            <w:r w:rsidRPr="00471CBA">
              <w:rPr>
                <w:sz w:val="16"/>
                <w:szCs w:val="16"/>
              </w:rPr>
              <w:t>-</w:t>
            </w:r>
          </w:p>
        </w:tc>
        <w:tc>
          <w:tcPr>
            <w:tcW w:w="271" w:type="pct"/>
            <w:noWrap/>
            <w:vAlign w:val="bottom"/>
          </w:tcPr>
          <w:p w14:paraId="023D2595" w14:textId="1A791437" w:rsidR="000A44B5" w:rsidRPr="00471CBA" w:rsidRDefault="000A44B5" w:rsidP="000A44B5">
            <w:pPr>
              <w:jc w:val="right"/>
              <w:rPr>
                <w:sz w:val="16"/>
                <w:szCs w:val="16"/>
              </w:rPr>
            </w:pPr>
            <w:r w:rsidRPr="00471CBA">
              <w:rPr>
                <w:sz w:val="16"/>
                <w:szCs w:val="16"/>
              </w:rPr>
              <w:t>-</w:t>
            </w:r>
          </w:p>
        </w:tc>
        <w:tc>
          <w:tcPr>
            <w:tcW w:w="350" w:type="pct"/>
            <w:noWrap/>
            <w:vAlign w:val="bottom"/>
          </w:tcPr>
          <w:p w14:paraId="7ED777C7" w14:textId="26999813" w:rsidR="000A44B5" w:rsidRPr="00471CBA" w:rsidRDefault="000A44B5" w:rsidP="000A44B5">
            <w:pPr>
              <w:jc w:val="right"/>
              <w:rPr>
                <w:sz w:val="16"/>
                <w:szCs w:val="16"/>
              </w:rPr>
            </w:pPr>
            <w:r w:rsidRPr="00471CBA">
              <w:rPr>
                <w:sz w:val="16"/>
                <w:szCs w:val="16"/>
              </w:rPr>
              <w:t>-</w:t>
            </w:r>
          </w:p>
        </w:tc>
      </w:tr>
      <w:tr w:rsidR="000A44B5" w:rsidRPr="00471CBA" w14:paraId="097C5895" w14:textId="77777777" w:rsidTr="00B0049C">
        <w:trPr>
          <w:trHeight w:val="36"/>
        </w:trPr>
        <w:tc>
          <w:tcPr>
            <w:tcW w:w="1682" w:type="pct"/>
            <w:vAlign w:val="center"/>
            <w:hideMark/>
          </w:tcPr>
          <w:p w14:paraId="46AB37C7" w14:textId="77777777" w:rsidR="000A44B5" w:rsidRPr="00471CBA" w:rsidRDefault="000A44B5" w:rsidP="000A44B5">
            <w:pPr>
              <w:rPr>
                <w:sz w:val="16"/>
                <w:szCs w:val="16"/>
              </w:rPr>
            </w:pPr>
            <w:r w:rsidRPr="00471CBA">
              <w:rPr>
                <w:sz w:val="16"/>
                <w:szCs w:val="16"/>
              </w:rPr>
              <w:t>Gayrimenkul ipoteğiyle teminatlandırılmış alacaklar</w:t>
            </w:r>
          </w:p>
        </w:tc>
        <w:tc>
          <w:tcPr>
            <w:tcW w:w="342" w:type="pct"/>
            <w:noWrap/>
            <w:vAlign w:val="bottom"/>
          </w:tcPr>
          <w:p w14:paraId="3187B4B2" w14:textId="5CB533C0" w:rsidR="000A44B5" w:rsidRPr="00471CBA" w:rsidRDefault="000A44B5" w:rsidP="000A44B5">
            <w:pPr>
              <w:jc w:val="right"/>
              <w:rPr>
                <w:sz w:val="16"/>
                <w:szCs w:val="16"/>
              </w:rPr>
            </w:pPr>
            <w:r w:rsidRPr="00471CBA">
              <w:rPr>
                <w:sz w:val="16"/>
                <w:szCs w:val="16"/>
              </w:rPr>
              <w:t>-</w:t>
            </w:r>
          </w:p>
        </w:tc>
        <w:tc>
          <w:tcPr>
            <w:tcW w:w="239" w:type="pct"/>
            <w:noWrap/>
            <w:vAlign w:val="bottom"/>
          </w:tcPr>
          <w:p w14:paraId="3E2BDD9E" w14:textId="4740A413" w:rsidR="000A44B5" w:rsidRPr="00471CBA" w:rsidRDefault="000A44B5" w:rsidP="000A44B5">
            <w:pPr>
              <w:jc w:val="right"/>
              <w:rPr>
                <w:sz w:val="16"/>
                <w:szCs w:val="16"/>
              </w:rPr>
            </w:pPr>
            <w:r w:rsidRPr="00471CBA">
              <w:rPr>
                <w:sz w:val="16"/>
                <w:szCs w:val="16"/>
              </w:rPr>
              <w:t>-</w:t>
            </w:r>
          </w:p>
        </w:tc>
        <w:tc>
          <w:tcPr>
            <w:tcW w:w="301" w:type="pct"/>
            <w:noWrap/>
            <w:vAlign w:val="bottom"/>
          </w:tcPr>
          <w:p w14:paraId="33E1BEC8" w14:textId="4D28E128" w:rsidR="000A44B5" w:rsidRPr="00471CBA" w:rsidRDefault="000A44B5" w:rsidP="000A44B5">
            <w:pPr>
              <w:jc w:val="right"/>
              <w:rPr>
                <w:sz w:val="16"/>
                <w:szCs w:val="16"/>
              </w:rPr>
            </w:pPr>
            <w:r w:rsidRPr="00471CBA">
              <w:rPr>
                <w:sz w:val="16"/>
                <w:szCs w:val="16"/>
              </w:rPr>
              <w:t>-</w:t>
            </w:r>
          </w:p>
        </w:tc>
        <w:tc>
          <w:tcPr>
            <w:tcW w:w="239" w:type="pct"/>
            <w:vAlign w:val="bottom"/>
          </w:tcPr>
          <w:p w14:paraId="7660C3F6" w14:textId="61BD1236" w:rsidR="000A44B5" w:rsidRPr="00471CBA" w:rsidRDefault="000A44B5" w:rsidP="000A44B5">
            <w:pPr>
              <w:jc w:val="right"/>
              <w:rPr>
                <w:sz w:val="16"/>
                <w:szCs w:val="16"/>
              </w:rPr>
            </w:pPr>
            <w:r w:rsidRPr="00471CBA">
              <w:rPr>
                <w:sz w:val="16"/>
                <w:szCs w:val="16"/>
              </w:rPr>
              <w:t>-</w:t>
            </w:r>
          </w:p>
        </w:tc>
        <w:tc>
          <w:tcPr>
            <w:tcW w:w="239" w:type="pct"/>
            <w:vAlign w:val="bottom"/>
          </w:tcPr>
          <w:p w14:paraId="794AB53E" w14:textId="548F8BE0" w:rsidR="000A44B5" w:rsidRPr="00471CBA" w:rsidRDefault="000A44B5" w:rsidP="000A44B5">
            <w:pPr>
              <w:jc w:val="right"/>
              <w:rPr>
                <w:sz w:val="16"/>
                <w:szCs w:val="16"/>
              </w:rPr>
            </w:pPr>
            <w:r w:rsidRPr="00471CBA">
              <w:rPr>
                <w:sz w:val="16"/>
                <w:szCs w:val="16"/>
              </w:rPr>
              <w:t>-</w:t>
            </w:r>
          </w:p>
        </w:tc>
        <w:tc>
          <w:tcPr>
            <w:tcW w:w="239" w:type="pct"/>
            <w:noWrap/>
            <w:vAlign w:val="bottom"/>
          </w:tcPr>
          <w:p w14:paraId="4217F58C" w14:textId="728E8CFE" w:rsidR="000A44B5" w:rsidRPr="00471CBA" w:rsidRDefault="000A44B5" w:rsidP="000A44B5">
            <w:pPr>
              <w:jc w:val="right"/>
              <w:rPr>
                <w:sz w:val="16"/>
                <w:szCs w:val="16"/>
              </w:rPr>
            </w:pPr>
            <w:r w:rsidRPr="00471CBA">
              <w:rPr>
                <w:sz w:val="16"/>
                <w:szCs w:val="16"/>
              </w:rPr>
              <w:t>-</w:t>
            </w:r>
          </w:p>
        </w:tc>
        <w:tc>
          <w:tcPr>
            <w:tcW w:w="239" w:type="pct"/>
            <w:noWrap/>
            <w:vAlign w:val="bottom"/>
          </w:tcPr>
          <w:p w14:paraId="2C33D699" w14:textId="35060E0D" w:rsidR="000A44B5" w:rsidRPr="00471CBA" w:rsidRDefault="000A44B5" w:rsidP="000A44B5">
            <w:pPr>
              <w:jc w:val="right"/>
              <w:rPr>
                <w:sz w:val="16"/>
                <w:szCs w:val="16"/>
              </w:rPr>
            </w:pPr>
            <w:r w:rsidRPr="00471CBA">
              <w:rPr>
                <w:sz w:val="16"/>
                <w:szCs w:val="16"/>
              </w:rPr>
              <w:t>-</w:t>
            </w:r>
          </w:p>
        </w:tc>
        <w:tc>
          <w:tcPr>
            <w:tcW w:w="301" w:type="pct"/>
            <w:noWrap/>
            <w:vAlign w:val="bottom"/>
          </w:tcPr>
          <w:p w14:paraId="5BBC8425" w14:textId="2B100072" w:rsidR="000A44B5" w:rsidRPr="00471CBA" w:rsidRDefault="000A44B5" w:rsidP="000A44B5">
            <w:pPr>
              <w:jc w:val="right"/>
              <w:rPr>
                <w:sz w:val="16"/>
                <w:szCs w:val="16"/>
              </w:rPr>
            </w:pPr>
            <w:r w:rsidRPr="00471CBA">
              <w:rPr>
                <w:sz w:val="16"/>
                <w:szCs w:val="16"/>
              </w:rPr>
              <w:t>-</w:t>
            </w:r>
          </w:p>
        </w:tc>
        <w:tc>
          <w:tcPr>
            <w:tcW w:w="280" w:type="pct"/>
            <w:noWrap/>
            <w:vAlign w:val="bottom"/>
          </w:tcPr>
          <w:p w14:paraId="6A26741A" w14:textId="05B88586" w:rsidR="000A44B5" w:rsidRPr="00471CBA" w:rsidRDefault="000A44B5" w:rsidP="000A44B5">
            <w:pPr>
              <w:jc w:val="right"/>
              <w:rPr>
                <w:sz w:val="16"/>
                <w:szCs w:val="16"/>
              </w:rPr>
            </w:pPr>
            <w:r w:rsidRPr="00471CBA">
              <w:rPr>
                <w:sz w:val="16"/>
                <w:szCs w:val="16"/>
              </w:rPr>
              <w:t>-</w:t>
            </w:r>
          </w:p>
        </w:tc>
        <w:tc>
          <w:tcPr>
            <w:tcW w:w="280" w:type="pct"/>
            <w:vAlign w:val="bottom"/>
          </w:tcPr>
          <w:p w14:paraId="60410287" w14:textId="44DCDACD" w:rsidR="000A44B5" w:rsidRPr="00471CBA" w:rsidRDefault="000A44B5" w:rsidP="000A44B5">
            <w:pPr>
              <w:jc w:val="right"/>
              <w:rPr>
                <w:sz w:val="16"/>
                <w:szCs w:val="16"/>
              </w:rPr>
            </w:pPr>
            <w:r w:rsidRPr="00471CBA">
              <w:rPr>
                <w:sz w:val="16"/>
                <w:szCs w:val="16"/>
              </w:rPr>
              <w:t>-</w:t>
            </w:r>
          </w:p>
        </w:tc>
        <w:tc>
          <w:tcPr>
            <w:tcW w:w="271" w:type="pct"/>
            <w:noWrap/>
            <w:vAlign w:val="bottom"/>
          </w:tcPr>
          <w:p w14:paraId="390AE343" w14:textId="3587A785" w:rsidR="000A44B5" w:rsidRPr="00471CBA" w:rsidRDefault="000A44B5" w:rsidP="000A44B5">
            <w:pPr>
              <w:jc w:val="right"/>
              <w:rPr>
                <w:sz w:val="16"/>
                <w:szCs w:val="16"/>
              </w:rPr>
            </w:pPr>
            <w:r w:rsidRPr="00471CBA">
              <w:rPr>
                <w:sz w:val="16"/>
                <w:szCs w:val="16"/>
              </w:rPr>
              <w:t>-</w:t>
            </w:r>
          </w:p>
        </w:tc>
        <w:tc>
          <w:tcPr>
            <w:tcW w:w="350" w:type="pct"/>
            <w:noWrap/>
            <w:vAlign w:val="bottom"/>
          </w:tcPr>
          <w:p w14:paraId="71BD6298" w14:textId="1A41F9AA" w:rsidR="000A44B5" w:rsidRPr="00471CBA" w:rsidRDefault="000A44B5" w:rsidP="000A44B5">
            <w:pPr>
              <w:jc w:val="right"/>
              <w:rPr>
                <w:sz w:val="16"/>
                <w:szCs w:val="16"/>
              </w:rPr>
            </w:pPr>
            <w:r w:rsidRPr="00471CBA">
              <w:rPr>
                <w:sz w:val="16"/>
                <w:szCs w:val="16"/>
              </w:rPr>
              <w:t>-</w:t>
            </w:r>
          </w:p>
        </w:tc>
      </w:tr>
      <w:tr w:rsidR="000A44B5" w:rsidRPr="00471CBA" w14:paraId="5FC7DF8C" w14:textId="77777777" w:rsidTr="00B0049C">
        <w:trPr>
          <w:trHeight w:val="36"/>
        </w:trPr>
        <w:tc>
          <w:tcPr>
            <w:tcW w:w="1682" w:type="pct"/>
            <w:vAlign w:val="center"/>
            <w:hideMark/>
          </w:tcPr>
          <w:p w14:paraId="025F0D3F" w14:textId="77777777" w:rsidR="000A44B5" w:rsidRPr="00471CBA" w:rsidRDefault="000A44B5" w:rsidP="000A44B5">
            <w:pPr>
              <w:rPr>
                <w:sz w:val="16"/>
                <w:szCs w:val="16"/>
              </w:rPr>
            </w:pPr>
            <w:r w:rsidRPr="00471CBA">
              <w:rPr>
                <w:sz w:val="16"/>
                <w:szCs w:val="16"/>
              </w:rPr>
              <w:t>Tahsili gecikmiş alacaklar</w:t>
            </w:r>
          </w:p>
        </w:tc>
        <w:tc>
          <w:tcPr>
            <w:tcW w:w="342" w:type="pct"/>
            <w:noWrap/>
            <w:vAlign w:val="bottom"/>
          </w:tcPr>
          <w:p w14:paraId="138BD772" w14:textId="3C6EC788" w:rsidR="000A44B5" w:rsidRPr="00471CBA" w:rsidRDefault="000A44B5" w:rsidP="000A44B5">
            <w:pPr>
              <w:jc w:val="right"/>
              <w:rPr>
                <w:sz w:val="16"/>
                <w:szCs w:val="16"/>
              </w:rPr>
            </w:pPr>
            <w:r w:rsidRPr="00471CBA">
              <w:rPr>
                <w:sz w:val="16"/>
                <w:szCs w:val="16"/>
              </w:rPr>
              <w:t>-</w:t>
            </w:r>
          </w:p>
        </w:tc>
        <w:tc>
          <w:tcPr>
            <w:tcW w:w="239" w:type="pct"/>
            <w:noWrap/>
            <w:vAlign w:val="bottom"/>
          </w:tcPr>
          <w:p w14:paraId="76D4F4AC" w14:textId="163DD9B0" w:rsidR="000A44B5" w:rsidRPr="00471CBA" w:rsidRDefault="000A44B5" w:rsidP="000A44B5">
            <w:pPr>
              <w:jc w:val="right"/>
              <w:rPr>
                <w:sz w:val="16"/>
                <w:szCs w:val="16"/>
              </w:rPr>
            </w:pPr>
            <w:r w:rsidRPr="00471CBA">
              <w:rPr>
                <w:sz w:val="16"/>
                <w:szCs w:val="16"/>
              </w:rPr>
              <w:t>-</w:t>
            </w:r>
          </w:p>
        </w:tc>
        <w:tc>
          <w:tcPr>
            <w:tcW w:w="301" w:type="pct"/>
            <w:noWrap/>
            <w:vAlign w:val="bottom"/>
          </w:tcPr>
          <w:p w14:paraId="62BB6D88" w14:textId="4CBF7DDA" w:rsidR="000A44B5" w:rsidRPr="00471CBA" w:rsidRDefault="000A44B5" w:rsidP="000A44B5">
            <w:pPr>
              <w:jc w:val="right"/>
              <w:rPr>
                <w:sz w:val="16"/>
                <w:szCs w:val="16"/>
              </w:rPr>
            </w:pPr>
            <w:r w:rsidRPr="00471CBA">
              <w:rPr>
                <w:sz w:val="16"/>
                <w:szCs w:val="16"/>
              </w:rPr>
              <w:t>-</w:t>
            </w:r>
          </w:p>
        </w:tc>
        <w:tc>
          <w:tcPr>
            <w:tcW w:w="239" w:type="pct"/>
            <w:vAlign w:val="bottom"/>
          </w:tcPr>
          <w:p w14:paraId="4B65EEC5" w14:textId="2225735D" w:rsidR="000A44B5" w:rsidRPr="00471CBA" w:rsidRDefault="000A44B5" w:rsidP="000A44B5">
            <w:pPr>
              <w:jc w:val="right"/>
              <w:rPr>
                <w:sz w:val="16"/>
                <w:szCs w:val="16"/>
              </w:rPr>
            </w:pPr>
            <w:r w:rsidRPr="00471CBA">
              <w:rPr>
                <w:sz w:val="16"/>
                <w:szCs w:val="16"/>
              </w:rPr>
              <w:t>-</w:t>
            </w:r>
          </w:p>
        </w:tc>
        <w:tc>
          <w:tcPr>
            <w:tcW w:w="239" w:type="pct"/>
            <w:vAlign w:val="bottom"/>
          </w:tcPr>
          <w:p w14:paraId="2085D8C8" w14:textId="2E57CF11" w:rsidR="000A44B5" w:rsidRPr="00471CBA" w:rsidRDefault="000A44B5" w:rsidP="000A44B5">
            <w:pPr>
              <w:jc w:val="right"/>
              <w:rPr>
                <w:sz w:val="16"/>
                <w:szCs w:val="16"/>
              </w:rPr>
            </w:pPr>
            <w:r w:rsidRPr="00471CBA">
              <w:rPr>
                <w:sz w:val="16"/>
                <w:szCs w:val="16"/>
              </w:rPr>
              <w:t>-</w:t>
            </w:r>
          </w:p>
        </w:tc>
        <w:tc>
          <w:tcPr>
            <w:tcW w:w="239" w:type="pct"/>
            <w:noWrap/>
            <w:vAlign w:val="bottom"/>
          </w:tcPr>
          <w:p w14:paraId="49DA22A2" w14:textId="60856083" w:rsidR="000A44B5" w:rsidRPr="00471CBA" w:rsidRDefault="000A44B5" w:rsidP="000A44B5">
            <w:pPr>
              <w:jc w:val="right"/>
              <w:rPr>
                <w:sz w:val="16"/>
                <w:szCs w:val="16"/>
              </w:rPr>
            </w:pPr>
            <w:r w:rsidRPr="00471CBA">
              <w:rPr>
                <w:sz w:val="16"/>
                <w:szCs w:val="16"/>
              </w:rPr>
              <w:t>-</w:t>
            </w:r>
          </w:p>
        </w:tc>
        <w:tc>
          <w:tcPr>
            <w:tcW w:w="239" w:type="pct"/>
            <w:noWrap/>
            <w:vAlign w:val="bottom"/>
          </w:tcPr>
          <w:p w14:paraId="506F809C" w14:textId="2A9047F1" w:rsidR="000A44B5" w:rsidRPr="00471CBA" w:rsidRDefault="000A44B5" w:rsidP="000A44B5">
            <w:pPr>
              <w:jc w:val="right"/>
              <w:rPr>
                <w:sz w:val="16"/>
                <w:szCs w:val="16"/>
              </w:rPr>
            </w:pPr>
            <w:r w:rsidRPr="00471CBA">
              <w:rPr>
                <w:sz w:val="16"/>
                <w:szCs w:val="16"/>
              </w:rPr>
              <w:t>-</w:t>
            </w:r>
          </w:p>
        </w:tc>
        <w:tc>
          <w:tcPr>
            <w:tcW w:w="301" w:type="pct"/>
            <w:noWrap/>
            <w:vAlign w:val="bottom"/>
          </w:tcPr>
          <w:p w14:paraId="60A5BFC1" w14:textId="2822D4EF" w:rsidR="000A44B5" w:rsidRPr="00471CBA" w:rsidRDefault="000A44B5" w:rsidP="000A44B5">
            <w:pPr>
              <w:jc w:val="right"/>
              <w:rPr>
                <w:sz w:val="16"/>
                <w:szCs w:val="16"/>
              </w:rPr>
            </w:pPr>
            <w:r w:rsidRPr="00471CBA">
              <w:rPr>
                <w:sz w:val="16"/>
                <w:szCs w:val="16"/>
              </w:rPr>
              <w:t>-</w:t>
            </w:r>
          </w:p>
        </w:tc>
        <w:tc>
          <w:tcPr>
            <w:tcW w:w="280" w:type="pct"/>
            <w:noWrap/>
            <w:vAlign w:val="bottom"/>
          </w:tcPr>
          <w:p w14:paraId="51BA3C35" w14:textId="19659305" w:rsidR="000A44B5" w:rsidRPr="00471CBA" w:rsidRDefault="000A44B5" w:rsidP="000A44B5">
            <w:pPr>
              <w:jc w:val="right"/>
              <w:rPr>
                <w:sz w:val="16"/>
                <w:szCs w:val="16"/>
              </w:rPr>
            </w:pPr>
            <w:r w:rsidRPr="00471CBA">
              <w:rPr>
                <w:sz w:val="16"/>
                <w:szCs w:val="16"/>
              </w:rPr>
              <w:t>-</w:t>
            </w:r>
          </w:p>
        </w:tc>
        <w:tc>
          <w:tcPr>
            <w:tcW w:w="280" w:type="pct"/>
            <w:vAlign w:val="bottom"/>
          </w:tcPr>
          <w:p w14:paraId="70A4A913" w14:textId="0CC3D959" w:rsidR="000A44B5" w:rsidRPr="00471CBA" w:rsidRDefault="000A44B5" w:rsidP="000A44B5">
            <w:pPr>
              <w:jc w:val="right"/>
              <w:rPr>
                <w:sz w:val="16"/>
                <w:szCs w:val="16"/>
              </w:rPr>
            </w:pPr>
            <w:r w:rsidRPr="00471CBA">
              <w:rPr>
                <w:sz w:val="16"/>
                <w:szCs w:val="16"/>
              </w:rPr>
              <w:t>-</w:t>
            </w:r>
          </w:p>
        </w:tc>
        <w:tc>
          <w:tcPr>
            <w:tcW w:w="271" w:type="pct"/>
            <w:noWrap/>
            <w:vAlign w:val="bottom"/>
          </w:tcPr>
          <w:p w14:paraId="77F72659" w14:textId="559DF51C" w:rsidR="000A44B5" w:rsidRPr="00471CBA" w:rsidRDefault="000A44B5" w:rsidP="000A44B5">
            <w:pPr>
              <w:jc w:val="right"/>
              <w:rPr>
                <w:sz w:val="16"/>
                <w:szCs w:val="16"/>
              </w:rPr>
            </w:pPr>
            <w:r w:rsidRPr="00471CBA">
              <w:rPr>
                <w:sz w:val="16"/>
                <w:szCs w:val="16"/>
              </w:rPr>
              <w:t>-</w:t>
            </w:r>
          </w:p>
        </w:tc>
        <w:tc>
          <w:tcPr>
            <w:tcW w:w="350" w:type="pct"/>
            <w:noWrap/>
            <w:vAlign w:val="bottom"/>
          </w:tcPr>
          <w:p w14:paraId="5F872CA0" w14:textId="1D0C19D0" w:rsidR="000A44B5" w:rsidRPr="00471CBA" w:rsidRDefault="000A44B5" w:rsidP="000A44B5">
            <w:pPr>
              <w:jc w:val="right"/>
              <w:rPr>
                <w:sz w:val="16"/>
                <w:szCs w:val="16"/>
              </w:rPr>
            </w:pPr>
            <w:r w:rsidRPr="00471CBA">
              <w:rPr>
                <w:sz w:val="16"/>
                <w:szCs w:val="16"/>
              </w:rPr>
              <w:t>-</w:t>
            </w:r>
          </w:p>
        </w:tc>
      </w:tr>
      <w:tr w:rsidR="000A44B5" w:rsidRPr="00471CBA" w14:paraId="419F8732" w14:textId="77777777" w:rsidTr="00B0049C">
        <w:trPr>
          <w:trHeight w:val="36"/>
        </w:trPr>
        <w:tc>
          <w:tcPr>
            <w:tcW w:w="1682" w:type="pct"/>
            <w:vAlign w:val="center"/>
            <w:hideMark/>
          </w:tcPr>
          <w:p w14:paraId="11D7ED81" w14:textId="77777777" w:rsidR="000A44B5" w:rsidRPr="00471CBA" w:rsidRDefault="000A44B5" w:rsidP="000A44B5">
            <w:pPr>
              <w:rPr>
                <w:sz w:val="16"/>
                <w:szCs w:val="16"/>
              </w:rPr>
            </w:pPr>
            <w:r w:rsidRPr="00471CBA">
              <w:rPr>
                <w:sz w:val="16"/>
                <w:szCs w:val="16"/>
              </w:rPr>
              <w:t>Kurulca riski yüksek olarak belirlenen alacaklar</w:t>
            </w:r>
          </w:p>
        </w:tc>
        <w:tc>
          <w:tcPr>
            <w:tcW w:w="342" w:type="pct"/>
            <w:noWrap/>
            <w:vAlign w:val="bottom"/>
          </w:tcPr>
          <w:p w14:paraId="23BF3A11" w14:textId="61C4ED07" w:rsidR="000A44B5" w:rsidRPr="00471CBA" w:rsidRDefault="000A44B5" w:rsidP="000A44B5">
            <w:pPr>
              <w:jc w:val="right"/>
              <w:rPr>
                <w:sz w:val="16"/>
                <w:szCs w:val="16"/>
              </w:rPr>
            </w:pPr>
            <w:r w:rsidRPr="00471CBA">
              <w:rPr>
                <w:sz w:val="16"/>
                <w:szCs w:val="16"/>
              </w:rPr>
              <w:t>-</w:t>
            </w:r>
          </w:p>
        </w:tc>
        <w:tc>
          <w:tcPr>
            <w:tcW w:w="239" w:type="pct"/>
            <w:noWrap/>
            <w:vAlign w:val="bottom"/>
          </w:tcPr>
          <w:p w14:paraId="7A236D99" w14:textId="798F9C83" w:rsidR="000A44B5" w:rsidRPr="00471CBA" w:rsidRDefault="000A44B5" w:rsidP="000A44B5">
            <w:pPr>
              <w:jc w:val="right"/>
              <w:rPr>
                <w:sz w:val="16"/>
                <w:szCs w:val="16"/>
              </w:rPr>
            </w:pPr>
            <w:r w:rsidRPr="00471CBA">
              <w:rPr>
                <w:sz w:val="16"/>
                <w:szCs w:val="16"/>
              </w:rPr>
              <w:t>-</w:t>
            </w:r>
          </w:p>
        </w:tc>
        <w:tc>
          <w:tcPr>
            <w:tcW w:w="301" w:type="pct"/>
            <w:noWrap/>
            <w:vAlign w:val="bottom"/>
          </w:tcPr>
          <w:p w14:paraId="3C30751A" w14:textId="273894C2" w:rsidR="000A44B5" w:rsidRPr="00471CBA" w:rsidRDefault="000A44B5" w:rsidP="000A44B5">
            <w:pPr>
              <w:jc w:val="right"/>
              <w:rPr>
                <w:sz w:val="16"/>
                <w:szCs w:val="16"/>
              </w:rPr>
            </w:pPr>
            <w:r w:rsidRPr="00471CBA">
              <w:rPr>
                <w:sz w:val="16"/>
                <w:szCs w:val="16"/>
              </w:rPr>
              <w:t>-</w:t>
            </w:r>
          </w:p>
        </w:tc>
        <w:tc>
          <w:tcPr>
            <w:tcW w:w="239" w:type="pct"/>
            <w:vAlign w:val="bottom"/>
          </w:tcPr>
          <w:p w14:paraId="2A093D4A" w14:textId="2B0F7303" w:rsidR="000A44B5" w:rsidRPr="00471CBA" w:rsidRDefault="000A44B5" w:rsidP="000A44B5">
            <w:pPr>
              <w:jc w:val="right"/>
              <w:rPr>
                <w:sz w:val="16"/>
                <w:szCs w:val="16"/>
              </w:rPr>
            </w:pPr>
            <w:r w:rsidRPr="00471CBA">
              <w:rPr>
                <w:sz w:val="16"/>
                <w:szCs w:val="16"/>
              </w:rPr>
              <w:t>-</w:t>
            </w:r>
          </w:p>
        </w:tc>
        <w:tc>
          <w:tcPr>
            <w:tcW w:w="239" w:type="pct"/>
            <w:vAlign w:val="bottom"/>
          </w:tcPr>
          <w:p w14:paraId="3F81075D" w14:textId="674ABD33" w:rsidR="000A44B5" w:rsidRPr="00471CBA" w:rsidRDefault="000A44B5" w:rsidP="000A44B5">
            <w:pPr>
              <w:jc w:val="right"/>
              <w:rPr>
                <w:sz w:val="16"/>
                <w:szCs w:val="16"/>
              </w:rPr>
            </w:pPr>
            <w:r w:rsidRPr="00471CBA">
              <w:rPr>
                <w:sz w:val="16"/>
                <w:szCs w:val="16"/>
              </w:rPr>
              <w:t>-</w:t>
            </w:r>
          </w:p>
        </w:tc>
        <w:tc>
          <w:tcPr>
            <w:tcW w:w="239" w:type="pct"/>
            <w:noWrap/>
            <w:vAlign w:val="bottom"/>
          </w:tcPr>
          <w:p w14:paraId="54045F90" w14:textId="47BCE435" w:rsidR="000A44B5" w:rsidRPr="00471CBA" w:rsidRDefault="000A44B5" w:rsidP="000A44B5">
            <w:pPr>
              <w:jc w:val="right"/>
              <w:rPr>
                <w:sz w:val="16"/>
                <w:szCs w:val="16"/>
              </w:rPr>
            </w:pPr>
            <w:r w:rsidRPr="00471CBA">
              <w:rPr>
                <w:sz w:val="16"/>
                <w:szCs w:val="16"/>
              </w:rPr>
              <w:t>-</w:t>
            </w:r>
          </w:p>
        </w:tc>
        <w:tc>
          <w:tcPr>
            <w:tcW w:w="239" w:type="pct"/>
            <w:noWrap/>
            <w:vAlign w:val="bottom"/>
          </w:tcPr>
          <w:p w14:paraId="46D2FCEA" w14:textId="6A85D759" w:rsidR="000A44B5" w:rsidRPr="00471CBA" w:rsidRDefault="000A44B5" w:rsidP="000A44B5">
            <w:pPr>
              <w:jc w:val="right"/>
              <w:rPr>
                <w:sz w:val="16"/>
                <w:szCs w:val="16"/>
              </w:rPr>
            </w:pPr>
            <w:r w:rsidRPr="00471CBA">
              <w:rPr>
                <w:sz w:val="16"/>
                <w:szCs w:val="16"/>
              </w:rPr>
              <w:t>-</w:t>
            </w:r>
          </w:p>
        </w:tc>
        <w:tc>
          <w:tcPr>
            <w:tcW w:w="301" w:type="pct"/>
            <w:noWrap/>
            <w:vAlign w:val="bottom"/>
          </w:tcPr>
          <w:p w14:paraId="273D828A" w14:textId="3405F775" w:rsidR="000A44B5" w:rsidRPr="00471CBA" w:rsidRDefault="000A44B5" w:rsidP="000A44B5">
            <w:pPr>
              <w:jc w:val="right"/>
              <w:rPr>
                <w:sz w:val="16"/>
                <w:szCs w:val="16"/>
              </w:rPr>
            </w:pPr>
            <w:r w:rsidRPr="00471CBA">
              <w:rPr>
                <w:sz w:val="16"/>
                <w:szCs w:val="16"/>
              </w:rPr>
              <w:t>-</w:t>
            </w:r>
          </w:p>
        </w:tc>
        <w:tc>
          <w:tcPr>
            <w:tcW w:w="280" w:type="pct"/>
            <w:noWrap/>
            <w:vAlign w:val="bottom"/>
          </w:tcPr>
          <w:p w14:paraId="7DC5A053" w14:textId="7F01BE6D" w:rsidR="000A44B5" w:rsidRPr="00471CBA" w:rsidRDefault="000A44B5" w:rsidP="000A44B5">
            <w:pPr>
              <w:jc w:val="right"/>
              <w:rPr>
                <w:sz w:val="16"/>
                <w:szCs w:val="16"/>
              </w:rPr>
            </w:pPr>
            <w:r w:rsidRPr="00471CBA">
              <w:rPr>
                <w:sz w:val="16"/>
                <w:szCs w:val="16"/>
              </w:rPr>
              <w:t>-</w:t>
            </w:r>
          </w:p>
        </w:tc>
        <w:tc>
          <w:tcPr>
            <w:tcW w:w="280" w:type="pct"/>
            <w:vAlign w:val="bottom"/>
          </w:tcPr>
          <w:p w14:paraId="21A49933" w14:textId="0FC59F4D" w:rsidR="000A44B5" w:rsidRPr="00471CBA" w:rsidRDefault="000A44B5" w:rsidP="000A44B5">
            <w:pPr>
              <w:jc w:val="right"/>
              <w:rPr>
                <w:sz w:val="16"/>
                <w:szCs w:val="16"/>
              </w:rPr>
            </w:pPr>
            <w:r w:rsidRPr="00471CBA">
              <w:rPr>
                <w:sz w:val="16"/>
                <w:szCs w:val="16"/>
              </w:rPr>
              <w:t>-</w:t>
            </w:r>
          </w:p>
        </w:tc>
        <w:tc>
          <w:tcPr>
            <w:tcW w:w="271" w:type="pct"/>
            <w:noWrap/>
            <w:vAlign w:val="bottom"/>
          </w:tcPr>
          <w:p w14:paraId="4295F58C" w14:textId="73ACCE49" w:rsidR="000A44B5" w:rsidRPr="00471CBA" w:rsidRDefault="000A44B5" w:rsidP="000A44B5">
            <w:pPr>
              <w:jc w:val="right"/>
              <w:rPr>
                <w:sz w:val="16"/>
                <w:szCs w:val="16"/>
              </w:rPr>
            </w:pPr>
            <w:r w:rsidRPr="00471CBA">
              <w:rPr>
                <w:sz w:val="16"/>
                <w:szCs w:val="16"/>
              </w:rPr>
              <w:t>-</w:t>
            </w:r>
          </w:p>
        </w:tc>
        <w:tc>
          <w:tcPr>
            <w:tcW w:w="350" w:type="pct"/>
            <w:noWrap/>
            <w:vAlign w:val="bottom"/>
          </w:tcPr>
          <w:p w14:paraId="0DF9C24C" w14:textId="19C9E2A6" w:rsidR="000A44B5" w:rsidRPr="00471CBA" w:rsidRDefault="000A44B5" w:rsidP="000A44B5">
            <w:pPr>
              <w:jc w:val="right"/>
              <w:rPr>
                <w:sz w:val="16"/>
                <w:szCs w:val="16"/>
              </w:rPr>
            </w:pPr>
            <w:r w:rsidRPr="00471CBA">
              <w:rPr>
                <w:sz w:val="16"/>
                <w:szCs w:val="16"/>
              </w:rPr>
              <w:t>-</w:t>
            </w:r>
          </w:p>
        </w:tc>
      </w:tr>
      <w:tr w:rsidR="000A44B5" w:rsidRPr="00471CBA" w14:paraId="38AF9C44" w14:textId="77777777" w:rsidTr="00B0049C">
        <w:trPr>
          <w:trHeight w:val="36"/>
        </w:trPr>
        <w:tc>
          <w:tcPr>
            <w:tcW w:w="1682" w:type="pct"/>
            <w:vAlign w:val="center"/>
            <w:hideMark/>
          </w:tcPr>
          <w:p w14:paraId="20125BBD" w14:textId="77777777" w:rsidR="000A44B5" w:rsidRPr="00471CBA" w:rsidRDefault="000A44B5" w:rsidP="000A44B5">
            <w:pPr>
              <w:rPr>
                <w:sz w:val="16"/>
                <w:szCs w:val="16"/>
              </w:rPr>
            </w:pPr>
            <w:r w:rsidRPr="00471CBA">
              <w:rPr>
                <w:sz w:val="16"/>
                <w:szCs w:val="16"/>
              </w:rPr>
              <w:t>Teminatlı menkul kıymetler</w:t>
            </w:r>
          </w:p>
        </w:tc>
        <w:tc>
          <w:tcPr>
            <w:tcW w:w="342" w:type="pct"/>
            <w:noWrap/>
            <w:vAlign w:val="bottom"/>
          </w:tcPr>
          <w:p w14:paraId="7B561B94" w14:textId="743F0BFD" w:rsidR="000A44B5" w:rsidRPr="00471CBA" w:rsidRDefault="000A44B5" w:rsidP="000A44B5">
            <w:pPr>
              <w:jc w:val="right"/>
              <w:rPr>
                <w:sz w:val="16"/>
                <w:szCs w:val="16"/>
              </w:rPr>
            </w:pPr>
            <w:r w:rsidRPr="00471CBA">
              <w:rPr>
                <w:sz w:val="16"/>
                <w:szCs w:val="16"/>
              </w:rPr>
              <w:t>-</w:t>
            </w:r>
          </w:p>
        </w:tc>
        <w:tc>
          <w:tcPr>
            <w:tcW w:w="239" w:type="pct"/>
            <w:noWrap/>
            <w:vAlign w:val="bottom"/>
          </w:tcPr>
          <w:p w14:paraId="316CE644" w14:textId="11FEC2DF" w:rsidR="000A44B5" w:rsidRPr="00471CBA" w:rsidRDefault="000A44B5" w:rsidP="000A44B5">
            <w:pPr>
              <w:jc w:val="right"/>
              <w:rPr>
                <w:sz w:val="16"/>
                <w:szCs w:val="16"/>
              </w:rPr>
            </w:pPr>
            <w:r w:rsidRPr="00471CBA">
              <w:rPr>
                <w:sz w:val="16"/>
                <w:szCs w:val="16"/>
              </w:rPr>
              <w:t>-</w:t>
            </w:r>
          </w:p>
        </w:tc>
        <w:tc>
          <w:tcPr>
            <w:tcW w:w="301" w:type="pct"/>
            <w:noWrap/>
            <w:vAlign w:val="bottom"/>
          </w:tcPr>
          <w:p w14:paraId="39CA8EF4" w14:textId="46C2EE86" w:rsidR="000A44B5" w:rsidRPr="00471CBA" w:rsidRDefault="000A44B5" w:rsidP="000A44B5">
            <w:pPr>
              <w:jc w:val="right"/>
              <w:rPr>
                <w:sz w:val="16"/>
                <w:szCs w:val="16"/>
              </w:rPr>
            </w:pPr>
            <w:r w:rsidRPr="00471CBA">
              <w:rPr>
                <w:sz w:val="16"/>
                <w:szCs w:val="16"/>
              </w:rPr>
              <w:t>-</w:t>
            </w:r>
          </w:p>
        </w:tc>
        <w:tc>
          <w:tcPr>
            <w:tcW w:w="239" w:type="pct"/>
            <w:vAlign w:val="bottom"/>
          </w:tcPr>
          <w:p w14:paraId="2ADAEEB9" w14:textId="6336DF1C" w:rsidR="000A44B5" w:rsidRPr="00471CBA" w:rsidRDefault="000A44B5" w:rsidP="000A44B5">
            <w:pPr>
              <w:jc w:val="right"/>
              <w:rPr>
                <w:sz w:val="16"/>
                <w:szCs w:val="16"/>
              </w:rPr>
            </w:pPr>
            <w:r w:rsidRPr="00471CBA">
              <w:rPr>
                <w:sz w:val="16"/>
                <w:szCs w:val="16"/>
              </w:rPr>
              <w:t>-</w:t>
            </w:r>
          </w:p>
        </w:tc>
        <w:tc>
          <w:tcPr>
            <w:tcW w:w="239" w:type="pct"/>
            <w:vAlign w:val="bottom"/>
          </w:tcPr>
          <w:p w14:paraId="2C04FF02" w14:textId="430C28C3" w:rsidR="000A44B5" w:rsidRPr="00471CBA" w:rsidRDefault="000A44B5" w:rsidP="000A44B5">
            <w:pPr>
              <w:jc w:val="right"/>
              <w:rPr>
                <w:sz w:val="16"/>
                <w:szCs w:val="16"/>
              </w:rPr>
            </w:pPr>
            <w:r w:rsidRPr="00471CBA">
              <w:rPr>
                <w:sz w:val="16"/>
                <w:szCs w:val="16"/>
              </w:rPr>
              <w:t>-</w:t>
            </w:r>
          </w:p>
        </w:tc>
        <w:tc>
          <w:tcPr>
            <w:tcW w:w="239" w:type="pct"/>
            <w:noWrap/>
            <w:vAlign w:val="bottom"/>
          </w:tcPr>
          <w:p w14:paraId="56B7B45C" w14:textId="2B77362E" w:rsidR="000A44B5" w:rsidRPr="00471CBA" w:rsidRDefault="000A44B5" w:rsidP="000A44B5">
            <w:pPr>
              <w:jc w:val="right"/>
              <w:rPr>
                <w:sz w:val="16"/>
                <w:szCs w:val="16"/>
              </w:rPr>
            </w:pPr>
            <w:r w:rsidRPr="00471CBA">
              <w:rPr>
                <w:sz w:val="16"/>
                <w:szCs w:val="16"/>
              </w:rPr>
              <w:t>-</w:t>
            </w:r>
          </w:p>
        </w:tc>
        <w:tc>
          <w:tcPr>
            <w:tcW w:w="239" w:type="pct"/>
            <w:noWrap/>
            <w:vAlign w:val="bottom"/>
          </w:tcPr>
          <w:p w14:paraId="608F15F2" w14:textId="4CE25FEE" w:rsidR="000A44B5" w:rsidRPr="00471CBA" w:rsidRDefault="000A44B5" w:rsidP="000A44B5">
            <w:pPr>
              <w:jc w:val="right"/>
              <w:rPr>
                <w:sz w:val="16"/>
                <w:szCs w:val="16"/>
              </w:rPr>
            </w:pPr>
            <w:r w:rsidRPr="00471CBA">
              <w:rPr>
                <w:sz w:val="16"/>
                <w:szCs w:val="16"/>
              </w:rPr>
              <w:t>-</w:t>
            </w:r>
          </w:p>
        </w:tc>
        <w:tc>
          <w:tcPr>
            <w:tcW w:w="301" w:type="pct"/>
            <w:noWrap/>
            <w:vAlign w:val="bottom"/>
          </w:tcPr>
          <w:p w14:paraId="6C49CDA9" w14:textId="0D4FB0BC" w:rsidR="000A44B5" w:rsidRPr="00471CBA" w:rsidRDefault="000A44B5" w:rsidP="000A44B5">
            <w:pPr>
              <w:jc w:val="right"/>
              <w:rPr>
                <w:sz w:val="16"/>
                <w:szCs w:val="16"/>
              </w:rPr>
            </w:pPr>
            <w:r w:rsidRPr="00471CBA">
              <w:rPr>
                <w:sz w:val="16"/>
                <w:szCs w:val="16"/>
              </w:rPr>
              <w:t>-</w:t>
            </w:r>
          </w:p>
        </w:tc>
        <w:tc>
          <w:tcPr>
            <w:tcW w:w="280" w:type="pct"/>
            <w:noWrap/>
            <w:vAlign w:val="bottom"/>
          </w:tcPr>
          <w:p w14:paraId="6663CA0C" w14:textId="24BB184A" w:rsidR="000A44B5" w:rsidRPr="00471CBA" w:rsidRDefault="000A44B5" w:rsidP="000A44B5">
            <w:pPr>
              <w:jc w:val="right"/>
              <w:rPr>
                <w:sz w:val="16"/>
                <w:szCs w:val="16"/>
              </w:rPr>
            </w:pPr>
            <w:r w:rsidRPr="00471CBA">
              <w:rPr>
                <w:sz w:val="16"/>
                <w:szCs w:val="16"/>
              </w:rPr>
              <w:t>-</w:t>
            </w:r>
          </w:p>
        </w:tc>
        <w:tc>
          <w:tcPr>
            <w:tcW w:w="280" w:type="pct"/>
            <w:vAlign w:val="bottom"/>
          </w:tcPr>
          <w:p w14:paraId="1D4B1FBA" w14:textId="5EE7E096" w:rsidR="000A44B5" w:rsidRPr="00471CBA" w:rsidRDefault="000A44B5" w:rsidP="000A44B5">
            <w:pPr>
              <w:jc w:val="right"/>
              <w:rPr>
                <w:sz w:val="16"/>
                <w:szCs w:val="16"/>
              </w:rPr>
            </w:pPr>
            <w:r w:rsidRPr="00471CBA">
              <w:rPr>
                <w:sz w:val="16"/>
                <w:szCs w:val="16"/>
              </w:rPr>
              <w:t>-</w:t>
            </w:r>
          </w:p>
        </w:tc>
        <w:tc>
          <w:tcPr>
            <w:tcW w:w="271" w:type="pct"/>
            <w:noWrap/>
            <w:vAlign w:val="bottom"/>
          </w:tcPr>
          <w:p w14:paraId="660CF597" w14:textId="0BFDD9B9" w:rsidR="000A44B5" w:rsidRPr="00471CBA" w:rsidRDefault="000A44B5" w:rsidP="000A44B5">
            <w:pPr>
              <w:jc w:val="right"/>
              <w:rPr>
                <w:sz w:val="16"/>
                <w:szCs w:val="16"/>
              </w:rPr>
            </w:pPr>
            <w:r w:rsidRPr="00471CBA">
              <w:rPr>
                <w:sz w:val="16"/>
                <w:szCs w:val="16"/>
              </w:rPr>
              <w:t>-</w:t>
            </w:r>
          </w:p>
        </w:tc>
        <w:tc>
          <w:tcPr>
            <w:tcW w:w="350" w:type="pct"/>
            <w:noWrap/>
            <w:vAlign w:val="bottom"/>
          </w:tcPr>
          <w:p w14:paraId="1A368596" w14:textId="35795BB2" w:rsidR="000A44B5" w:rsidRPr="00471CBA" w:rsidRDefault="000A44B5" w:rsidP="000A44B5">
            <w:pPr>
              <w:jc w:val="right"/>
              <w:rPr>
                <w:sz w:val="16"/>
                <w:szCs w:val="16"/>
              </w:rPr>
            </w:pPr>
            <w:r w:rsidRPr="00471CBA">
              <w:rPr>
                <w:sz w:val="16"/>
                <w:szCs w:val="16"/>
              </w:rPr>
              <w:t>-</w:t>
            </w:r>
          </w:p>
        </w:tc>
      </w:tr>
      <w:tr w:rsidR="000A44B5" w:rsidRPr="00471CBA" w14:paraId="32D82820" w14:textId="77777777" w:rsidTr="00B0049C">
        <w:trPr>
          <w:trHeight w:val="36"/>
        </w:trPr>
        <w:tc>
          <w:tcPr>
            <w:tcW w:w="1682" w:type="pct"/>
            <w:vAlign w:val="center"/>
            <w:hideMark/>
          </w:tcPr>
          <w:p w14:paraId="440AAF33" w14:textId="77777777" w:rsidR="000A44B5" w:rsidRPr="00471CBA" w:rsidRDefault="000A44B5" w:rsidP="000A44B5">
            <w:pPr>
              <w:rPr>
                <w:sz w:val="16"/>
                <w:szCs w:val="16"/>
              </w:rPr>
            </w:pPr>
            <w:r w:rsidRPr="00471CBA">
              <w:rPr>
                <w:sz w:val="16"/>
                <w:szCs w:val="16"/>
              </w:rPr>
              <w:t>Menkul kıymetleştirme pozisyonları</w:t>
            </w:r>
          </w:p>
        </w:tc>
        <w:tc>
          <w:tcPr>
            <w:tcW w:w="342" w:type="pct"/>
            <w:noWrap/>
            <w:vAlign w:val="bottom"/>
          </w:tcPr>
          <w:p w14:paraId="68F010D7" w14:textId="4C54FFFD" w:rsidR="000A44B5" w:rsidRPr="00471CBA" w:rsidRDefault="000A44B5" w:rsidP="000A44B5">
            <w:pPr>
              <w:jc w:val="right"/>
              <w:rPr>
                <w:sz w:val="16"/>
                <w:szCs w:val="16"/>
              </w:rPr>
            </w:pPr>
            <w:r w:rsidRPr="00471CBA">
              <w:rPr>
                <w:sz w:val="16"/>
                <w:szCs w:val="16"/>
              </w:rPr>
              <w:t>-</w:t>
            </w:r>
          </w:p>
        </w:tc>
        <w:tc>
          <w:tcPr>
            <w:tcW w:w="239" w:type="pct"/>
            <w:noWrap/>
            <w:vAlign w:val="bottom"/>
          </w:tcPr>
          <w:p w14:paraId="5CC2F5B9" w14:textId="73863CB3" w:rsidR="000A44B5" w:rsidRPr="00471CBA" w:rsidRDefault="000A44B5" w:rsidP="000A44B5">
            <w:pPr>
              <w:jc w:val="right"/>
              <w:rPr>
                <w:sz w:val="16"/>
                <w:szCs w:val="16"/>
              </w:rPr>
            </w:pPr>
            <w:r w:rsidRPr="00471CBA">
              <w:rPr>
                <w:sz w:val="16"/>
                <w:szCs w:val="16"/>
              </w:rPr>
              <w:t>-</w:t>
            </w:r>
          </w:p>
        </w:tc>
        <w:tc>
          <w:tcPr>
            <w:tcW w:w="301" w:type="pct"/>
            <w:noWrap/>
            <w:vAlign w:val="bottom"/>
          </w:tcPr>
          <w:p w14:paraId="3E59B072" w14:textId="70B398AA" w:rsidR="000A44B5" w:rsidRPr="00471CBA" w:rsidRDefault="000A44B5" w:rsidP="000A44B5">
            <w:pPr>
              <w:jc w:val="right"/>
              <w:rPr>
                <w:sz w:val="16"/>
                <w:szCs w:val="16"/>
              </w:rPr>
            </w:pPr>
            <w:r w:rsidRPr="00471CBA">
              <w:rPr>
                <w:sz w:val="16"/>
                <w:szCs w:val="16"/>
              </w:rPr>
              <w:t>-</w:t>
            </w:r>
          </w:p>
        </w:tc>
        <w:tc>
          <w:tcPr>
            <w:tcW w:w="239" w:type="pct"/>
            <w:vAlign w:val="bottom"/>
          </w:tcPr>
          <w:p w14:paraId="11D2D105" w14:textId="2B13F3D7" w:rsidR="000A44B5" w:rsidRPr="00471CBA" w:rsidRDefault="000A44B5" w:rsidP="000A44B5">
            <w:pPr>
              <w:jc w:val="right"/>
              <w:rPr>
                <w:sz w:val="16"/>
                <w:szCs w:val="16"/>
              </w:rPr>
            </w:pPr>
            <w:r w:rsidRPr="00471CBA">
              <w:rPr>
                <w:sz w:val="16"/>
                <w:szCs w:val="16"/>
              </w:rPr>
              <w:t>-</w:t>
            </w:r>
          </w:p>
        </w:tc>
        <w:tc>
          <w:tcPr>
            <w:tcW w:w="239" w:type="pct"/>
            <w:vAlign w:val="bottom"/>
          </w:tcPr>
          <w:p w14:paraId="5FA96ADB" w14:textId="01195C47" w:rsidR="000A44B5" w:rsidRPr="00471CBA" w:rsidRDefault="000A44B5" w:rsidP="000A44B5">
            <w:pPr>
              <w:jc w:val="right"/>
              <w:rPr>
                <w:sz w:val="16"/>
                <w:szCs w:val="16"/>
              </w:rPr>
            </w:pPr>
            <w:r w:rsidRPr="00471CBA">
              <w:rPr>
                <w:sz w:val="16"/>
                <w:szCs w:val="16"/>
              </w:rPr>
              <w:t>-</w:t>
            </w:r>
          </w:p>
        </w:tc>
        <w:tc>
          <w:tcPr>
            <w:tcW w:w="239" w:type="pct"/>
            <w:noWrap/>
            <w:vAlign w:val="bottom"/>
          </w:tcPr>
          <w:p w14:paraId="01753CB0" w14:textId="21FAEF22" w:rsidR="000A44B5" w:rsidRPr="00471CBA" w:rsidRDefault="000A44B5" w:rsidP="000A44B5">
            <w:pPr>
              <w:jc w:val="right"/>
              <w:rPr>
                <w:sz w:val="16"/>
                <w:szCs w:val="16"/>
              </w:rPr>
            </w:pPr>
            <w:r w:rsidRPr="00471CBA">
              <w:rPr>
                <w:sz w:val="16"/>
                <w:szCs w:val="16"/>
              </w:rPr>
              <w:t>-</w:t>
            </w:r>
          </w:p>
        </w:tc>
        <w:tc>
          <w:tcPr>
            <w:tcW w:w="239" w:type="pct"/>
            <w:noWrap/>
            <w:vAlign w:val="bottom"/>
          </w:tcPr>
          <w:p w14:paraId="09A5D959" w14:textId="56A57808" w:rsidR="000A44B5" w:rsidRPr="00471CBA" w:rsidRDefault="000A44B5" w:rsidP="000A44B5">
            <w:pPr>
              <w:jc w:val="right"/>
              <w:rPr>
                <w:sz w:val="16"/>
                <w:szCs w:val="16"/>
              </w:rPr>
            </w:pPr>
            <w:r w:rsidRPr="00471CBA">
              <w:rPr>
                <w:sz w:val="16"/>
                <w:szCs w:val="16"/>
              </w:rPr>
              <w:t>-</w:t>
            </w:r>
          </w:p>
        </w:tc>
        <w:tc>
          <w:tcPr>
            <w:tcW w:w="301" w:type="pct"/>
            <w:noWrap/>
            <w:vAlign w:val="bottom"/>
          </w:tcPr>
          <w:p w14:paraId="3A8FE1A8" w14:textId="3F413D0A" w:rsidR="000A44B5" w:rsidRPr="00471CBA" w:rsidRDefault="000A44B5" w:rsidP="000A44B5">
            <w:pPr>
              <w:jc w:val="right"/>
              <w:rPr>
                <w:sz w:val="16"/>
                <w:szCs w:val="16"/>
              </w:rPr>
            </w:pPr>
            <w:r w:rsidRPr="00471CBA">
              <w:rPr>
                <w:sz w:val="16"/>
                <w:szCs w:val="16"/>
              </w:rPr>
              <w:t>-</w:t>
            </w:r>
          </w:p>
        </w:tc>
        <w:tc>
          <w:tcPr>
            <w:tcW w:w="280" w:type="pct"/>
            <w:noWrap/>
            <w:vAlign w:val="bottom"/>
          </w:tcPr>
          <w:p w14:paraId="3CD0C375" w14:textId="69B017E6" w:rsidR="000A44B5" w:rsidRPr="00471CBA" w:rsidRDefault="000A44B5" w:rsidP="000A44B5">
            <w:pPr>
              <w:jc w:val="right"/>
              <w:rPr>
                <w:sz w:val="16"/>
                <w:szCs w:val="16"/>
              </w:rPr>
            </w:pPr>
            <w:r w:rsidRPr="00471CBA">
              <w:rPr>
                <w:sz w:val="16"/>
                <w:szCs w:val="16"/>
              </w:rPr>
              <w:t>-</w:t>
            </w:r>
          </w:p>
        </w:tc>
        <w:tc>
          <w:tcPr>
            <w:tcW w:w="280" w:type="pct"/>
            <w:vAlign w:val="bottom"/>
          </w:tcPr>
          <w:p w14:paraId="2FE7445C" w14:textId="2BF8F208" w:rsidR="000A44B5" w:rsidRPr="00471CBA" w:rsidRDefault="000A44B5" w:rsidP="000A44B5">
            <w:pPr>
              <w:jc w:val="right"/>
              <w:rPr>
                <w:sz w:val="16"/>
                <w:szCs w:val="16"/>
              </w:rPr>
            </w:pPr>
            <w:r w:rsidRPr="00471CBA">
              <w:rPr>
                <w:sz w:val="16"/>
                <w:szCs w:val="16"/>
              </w:rPr>
              <w:t>-</w:t>
            </w:r>
          </w:p>
        </w:tc>
        <w:tc>
          <w:tcPr>
            <w:tcW w:w="271" w:type="pct"/>
            <w:noWrap/>
            <w:vAlign w:val="bottom"/>
          </w:tcPr>
          <w:p w14:paraId="563643A1" w14:textId="5FA2834E" w:rsidR="000A44B5" w:rsidRPr="00471CBA" w:rsidRDefault="000A44B5" w:rsidP="000A44B5">
            <w:pPr>
              <w:jc w:val="right"/>
              <w:rPr>
                <w:sz w:val="16"/>
                <w:szCs w:val="16"/>
              </w:rPr>
            </w:pPr>
            <w:r w:rsidRPr="00471CBA">
              <w:rPr>
                <w:sz w:val="16"/>
                <w:szCs w:val="16"/>
              </w:rPr>
              <w:t>-</w:t>
            </w:r>
          </w:p>
        </w:tc>
        <w:tc>
          <w:tcPr>
            <w:tcW w:w="350" w:type="pct"/>
            <w:noWrap/>
            <w:vAlign w:val="bottom"/>
          </w:tcPr>
          <w:p w14:paraId="7ACD58E4" w14:textId="6802B369" w:rsidR="000A44B5" w:rsidRPr="00471CBA" w:rsidRDefault="000A44B5" w:rsidP="000A44B5">
            <w:pPr>
              <w:jc w:val="right"/>
              <w:rPr>
                <w:sz w:val="16"/>
                <w:szCs w:val="16"/>
              </w:rPr>
            </w:pPr>
            <w:r w:rsidRPr="00471CBA">
              <w:rPr>
                <w:sz w:val="16"/>
                <w:szCs w:val="16"/>
              </w:rPr>
              <w:t>-</w:t>
            </w:r>
          </w:p>
        </w:tc>
      </w:tr>
      <w:tr w:rsidR="000A44B5" w:rsidRPr="00471CBA" w14:paraId="58157036" w14:textId="77777777" w:rsidTr="00B0049C">
        <w:trPr>
          <w:trHeight w:val="36"/>
        </w:trPr>
        <w:tc>
          <w:tcPr>
            <w:tcW w:w="1682" w:type="pct"/>
            <w:vAlign w:val="center"/>
            <w:hideMark/>
          </w:tcPr>
          <w:p w14:paraId="298832DC" w14:textId="77777777" w:rsidR="000A44B5" w:rsidRPr="00471CBA" w:rsidRDefault="000A44B5" w:rsidP="000A44B5">
            <w:pPr>
              <w:rPr>
                <w:sz w:val="16"/>
                <w:szCs w:val="16"/>
              </w:rPr>
            </w:pPr>
            <w:r w:rsidRPr="00471CBA">
              <w:rPr>
                <w:sz w:val="16"/>
                <w:szCs w:val="16"/>
              </w:rPr>
              <w:t>Kısa vadeli kredi derecelendirmesi bulunan bankalar ve aracı kurumlardan alacaklar ile kurumsal alacaklar</w:t>
            </w:r>
          </w:p>
        </w:tc>
        <w:tc>
          <w:tcPr>
            <w:tcW w:w="342" w:type="pct"/>
            <w:noWrap/>
            <w:vAlign w:val="bottom"/>
          </w:tcPr>
          <w:p w14:paraId="6913F697" w14:textId="6C1A11A0" w:rsidR="000A44B5" w:rsidRPr="00471CBA" w:rsidRDefault="000A44B5" w:rsidP="000A44B5">
            <w:pPr>
              <w:jc w:val="right"/>
              <w:rPr>
                <w:sz w:val="16"/>
                <w:szCs w:val="16"/>
              </w:rPr>
            </w:pPr>
            <w:r w:rsidRPr="00471CBA">
              <w:rPr>
                <w:sz w:val="16"/>
                <w:szCs w:val="16"/>
              </w:rPr>
              <w:t>-</w:t>
            </w:r>
          </w:p>
        </w:tc>
        <w:tc>
          <w:tcPr>
            <w:tcW w:w="239" w:type="pct"/>
            <w:noWrap/>
            <w:vAlign w:val="bottom"/>
          </w:tcPr>
          <w:p w14:paraId="3DE7E270" w14:textId="3F897737" w:rsidR="000A44B5" w:rsidRPr="00471CBA" w:rsidRDefault="000A44B5" w:rsidP="000A44B5">
            <w:pPr>
              <w:jc w:val="right"/>
              <w:rPr>
                <w:sz w:val="16"/>
                <w:szCs w:val="16"/>
              </w:rPr>
            </w:pPr>
            <w:r w:rsidRPr="00471CBA">
              <w:rPr>
                <w:sz w:val="16"/>
                <w:szCs w:val="16"/>
              </w:rPr>
              <w:t>-</w:t>
            </w:r>
          </w:p>
        </w:tc>
        <w:tc>
          <w:tcPr>
            <w:tcW w:w="301" w:type="pct"/>
            <w:noWrap/>
            <w:vAlign w:val="bottom"/>
          </w:tcPr>
          <w:p w14:paraId="03E6A587" w14:textId="3C39F1C3" w:rsidR="000A44B5" w:rsidRPr="00471CBA" w:rsidRDefault="000A44B5" w:rsidP="000A44B5">
            <w:pPr>
              <w:jc w:val="right"/>
              <w:rPr>
                <w:sz w:val="16"/>
                <w:szCs w:val="16"/>
              </w:rPr>
            </w:pPr>
            <w:r w:rsidRPr="00471CBA">
              <w:rPr>
                <w:sz w:val="16"/>
                <w:szCs w:val="16"/>
              </w:rPr>
              <w:t>-</w:t>
            </w:r>
          </w:p>
        </w:tc>
        <w:tc>
          <w:tcPr>
            <w:tcW w:w="239" w:type="pct"/>
            <w:vAlign w:val="bottom"/>
          </w:tcPr>
          <w:p w14:paraId="4268E06B" w14:textId="18753D27" w:rsidR="000A44B5" w:rsidRPr="00471CBA" w:rsidRDefault="000A44B5" w:rsidP="000A44B5">
            <w:pPr>
              <w:jc w:val="right"/>
              <w:rPr>
                <w:sz w:val="16"/>
                <w:szCs w:val="16"/>
              </w:rPr>
            </w:pPr>
            <w:r w:rsidRPr="00471CBA">
              <w:rPr>
                <w:sz w:val="16"/>
                <w:szCs w:val="16"/>
              </w:rPr>
              <w:t>-</w:t>
            </w:r>
          </w:p>
        </w:tc>
        <w:tc>
          <w:tcPr>
            <w:tcW w:w="239" w:type="pct"/>
            <w:vAlign w:val="bottom"/>
          </w:tcPr>
          <w:p w14:paraId="4C764170" w14:textId="77044AD3" w:rsidR="000A44B5" w:rsidRPr="00471CBA" w:rsidRDefault="000A44B5" w:rsidP="000A44B5">
            <w:pPr>
              <w:jc w:val="right"/>
              <w:rPr>
                <w:sz w:val="16"/>
                <w:szCs w:val="16"/>
              </w:rPr>
            </w:pPr>
            <w:r w:rsidRPr="00471CBA">
              <w:rPr>
                <w:sz w:val="16"/>
                <w:szCs w:val="16"/>
              </w:rPr>
              <w:t>-</w:t>
            </w:r>
          </w:p>
        </w:tc>
        <w:tc>
          <w:tcPr>
            <w:tcW w:w="239" w:type="pct"/>
            <w:noWrap/>
            <w:vAlign w:val="bottom"/>
          </w:tcPr>
          <w:p w14:paraId="6FB933FC" w14:textId="6CEB4279" w:rsidR="000A44B5" w:rsidRPr="00471CBA" w:rsidRDefault="000A44B5" w:rsidP="000A44B5">
            <w:pPr>
              <w:jc w:val="right"/>
              <w:rPr>
                <w:sz w:val="16"/>
                <w:szCs w:val="16"/>
              </w:rPr>
            </w:pPr>
            <w:r w:rsidRPr="00471CBA">
              <w:rPr>
                <w:sz w:val="16"/>
                <w:szCs w:val="16"/>
              </w:rPr>
              <w:t>-</w:t>
            </w:r>
          </w:p>
        </w:tc>
        <w:tc>
          <w:tcPr>
            <w:tcW w:w="239" w:type="pct"/>
            <w:noWrap/>
            <w:vAlign w:val="bottom"/>
          </w:tcPr>
          <w:p w14:paraId="2F0C43A2" w14:textId="0494BD07" w:rsidR="000A44B5" w:rsidRPr="00471CBA" w:rsidRDefault="000A44B5" w:rsidP="000A44B5">
            <w:pPr>
              <w:jc w:val="right"/>
              <w:rPr>
                <w:sz w:val="16"/>
                <w:szCs w:val="16"/>
              </w:rPr>
            </w:pPr>
            <w:r w:rsidRPr="00471CBA">
              <w:rPr>
                <w:sz w:val="16"/>
                <w:szCs w:val="16"/>
              </w:rPr>
              <w:t>-</w:t>
            </w:r>
          </w:p>
        </w:tc>
        <w:tc>
          <w:tcPr>
            <w:tcW w:w="301" w:type="pct"/>
            <w:noWrap/>
            <w:vAlign w:val="bottom"/>
          </w:tcPr>
          <w:p w14:paraId="048B65B6" w14:textId="655950ED" w:rsidR="000A44B5" w:rsidRPr="00471CBA" w:rsidRDefault="000A44B5" w:rsidP="000A44B5">
            <w:pPr>
              <w:jc w:val="right"/>
              <w:rPr>
                <w:sz w:val="16"/>
                <w:szCs w:val="16"/>
              </w:rPr>
            </w:pPr>
            <w:r w:rsidRPr="00471CBA">
              <w:rPr>
                <w:sz w:val="16"/>
                <w:szCs w:val="16"/>
              </w:rPr>
              <w:t>-</w:t>
            </w:r>
          </w:p>
        </w:tc>
        <w:tc>
          <w:tcPr>
            <w:tcW w:w="280" w:type="pct"/>
            <w:noWrap/>
            <w:vAlign w:val="bottom"/>
          </w:tcPr>
          <w:p w14:paraId="72C9B202" w14:textId="5EDFA96A" w:rsidR="000A44B5" w:rsidRPr="00471CBA" w:rsidRDefault="000A44B5" w:rsidP="000A44B5">
            <w:pPr>
              <w:jc w:val="right"/>
              <w:rPr>
                <w:sz w:val="16"/>
                <w:szCs w:val="16"/>
              </w:rPr>
            </w:pPr>
            <w:r w:rsidRPr="00471CBA">
              <w:rPr>
                <w:sz w:val="16"/>
                <w:szCs w:val="16"/>
              </w:rPr>
              <w:t>-</w:t>
            </w:r>
          </w:p>
        </w:tc>
        <w:tc>
          <w:tcPr>
            <w:tcW w:w="280" w:type="pct"/>
            <w:vAlign w:val="bottom"/>
          </w:tcPr>
          <w:p w14:paraId="3EBEEE16" w14:textId="70C4179C" w:rsidR="000A44B5" w:rsidRPr="00471CBA" w:rsidRDefault="000A44B5" w:rsidP="000A44B5">
            <w:pPr>
              <w:jc w:val="right"/>
              <w:rPr>
                <w:sz w:val="16"/>
                <w:szCs w:val="16"/>
              </w:rPr>
            </w:pPr>
            <w:r w:rsidRPr="00471CBA">
              <w:rPr>
                <w:sz w:val="16"/>
                <w:szCs w:val="16"/>
              </w:rPr>
              <w:t>-</w:t>
            </w:r>
          </w:p>
        </w:tc>
        <w:tc>
          <w:tcPr>
            <w:tcW w:w="271" w:type="pct"/>
            <w:noWrap/>
            <w:vAlign w:val="bottom"/>
          </w:tcPr>
          <w:p w14:paraId="3DC0A978" w14:textId="51776182" w:rsidR="000A44B5" w:rsidRPr="00471CBA" w:rsidRDefault="000A44B5" w:rsidP="000A44B5">
            <w:pPr>
              <w:jc w:val="right"/>
              <w:rPr>
                <w:sz w:val="16"/>
                <w:szCs w:val="16"/>
              </w:rPr>
            </w:pPr>
            <w:r w:rsidRPr="00471CBA">
              <w:rPr>
                <w:sz w:val="16"/>
                <w:szCs w:val="16"/>
              </w:rPr>
              <w:t>-</w:t>
            </w:r>
          </w:p>
        </w:tc>
        <w:tc>
          <w:tcPr>
            <w:tcW w:w="350" w:type="pct"/>
            <w:noWrap/>
            <w:vAlign w:val="bottom"/>
          </w:tcPr>
          <w:p w14:paraId="23323484" w14:textId="3D22EC8F" w:rsidR="000A44B5" w:rsidRPr="00471CBA" w:rsidRDefault="000A44B5" w:rsidP="000A44B5">
            <w:pPr>
              <w:jc w:val="right"/>
              <w:rPr>
                <w:sz w:val="16"/>
                <w:szCs w:val="16"/>
              </w:rPr>
            </w:pPr>
            <w:r w:rsidRPr="00471CBA">
              <w:rPr>
                <w:sz w:val="16"/>
                <w:szCs w:val="16"/>
              </w:rPr>
              <w:t>-</w:t>
            </w:r>
          </w:p>
        </w:tc>
      </w:tr>
      <w:tr w:rsidR="000A44B5" w:rsidRPr="00471CBA" w14:paraId="2142FF6A" w14:textId="77777777" w:rsidTr="00B0049C">
        <w:trPr>
          <w:trHeight w:val="36"/>
        </w:trPr>
        <w:tc>
          <w:tcPr>
            <w:tcW w:w="1682" w:type="pct"/>
            <w:vAlign w:val="center"/>
            <w:hideMark/>
          </w:tcPr>
          <w:p w14:paraId="497EB3AA" w14:textId="77777777" w:rsidR="000A44B5" w:rsidRPr="00471CBA" w:rsidRDefault="000A44B5" w:rsidP="000A44B5">
            <w:pPr>
              <w:rPr>
                <w:sz w:val="16"/>
                <w:szCs w:val="16"/>
              </w:rPr>
            </w:pPr>
            <w:r w:rsidRPr="00471CBA">
              <w:rPr>
                <w:sz w:val="16"/>
                <w:szCs w:val="16"/>
              </w:rPr>
              <w:t>Kolektif yatırım kuruluşu niteliğindeki yatırımlar</w:t>
            </w:r>
          </w:p>
        </w:tc>
        <w:tc>
          <w:tcPr>
            <w:tcW w:w="342" w:type="pct"/>
            <w:noWrap/>
            <w:vAlign w:val="bottom"/>
          </w:tcPr>
          <w:p w14:paraId="1CBF57C1" w14:textId="6BAD5896" w:rsidR="000A44B5" w:rsidRPr="00471CBA" w:rsidRDefault="000A44B5" w:rsidP="000A44B5">
            <w:pPr>
              <w:jc w:val="right"/>
              <w:rPr>
                <w:sz w:val="16"/>
                <w:szCs w:val="16"/>
              </w:rPr>
            </w:pPr>
            <w:r w:rsidRPr="00471CBA">
              <w:rPr>
                <w:sz w:val="16"/>
                <w:szCs w:val="16"/>
              </w:rPr>
              <w:t>-</w:t>
            </w:r>
          </w:p>
        </w:tc>
        <w:tc>
          <w:tcPr>
            <w:tcW w:w="239" w:type="pct"/>
            <w:noWrap/>
            <w:vAlign w:val="bottom"/>
          </w:tcPr>
          <w:p w14:paraId="7396362A" w14:textId="635F2047" w:rsidR="000A44B5" w:rsidRPr="00471CBA" w:rsidRDefault="000A44B5" w:rsidP="000A44B5">
            <w:pPr>
              <w:jc w:val="right"/>
              <w:rPr>
                <w:sz w:val="16"/>
                <w:szCs w:val="16"/>
              </w:rPr>
            </w:pPr>
            <w:r w:rsidRPr="00471CBA">
              <w:rPr>
                <w:sz w:val="16"/>
                <w:szCs w:val="16"/>
              </w:rPr>
              <w:t>-</w:t>
            </w:r>
          </w:p>
        </w:tc>
        <w:tc>
          <w:tcPr>
            <w:tcW w:w="301" w:type="pct"/>
            <w:noWrap/>
            <w:vAlign w:val="bottom"/>
          </w:tcPr>
          <w:p w14:paraId="64A8EC28" w14:textId="12DE7B3F" w:rsidR="000A44B5" w:rsidRPr="00471CBA" w:rsidRDefault="000A44B5" w:rsidP="000A44B5">
            <w:pPr>
              <w:jc w:val="right"/>
              <w:rPr>
                <w:sz w:val="16"/>
                <w:szCs w:val="16"/>
              </w:rPr>
            </w:pPr>
            <w:r w:rsidRPr="00471CBA">
              <w:rPr>
                <w:sz w:val="16"/>
                <w:szCs w:val="16"/>
              </w:rPr>
              <w:t>-</w:t>
            </w:r>
          </w:p>
        </w:tc>
        <w:tc>
          <w:tcPr>
            <w:tcW w:w="239" w:type="pct"/>
            <w:vAlign w:val="bottom"/>
          </w:tcPr>
          <w:p w14:paraId="3F78A0F5" w14:textId="13151BC9" w:rsidR="000A44B5" w:rsidRPr="00471CBA" w:rsidRDefault="000A44B5" w:rsidP="000A44B5">
            <w:pPr>
              <w:jc w:val="right"/>
              <w:rPr>
                <w:sz w:val="16"/>
                <w:szCs w:val="16"/>
              </w:rPr>
            </w:pPr>
            <w:r w:rsidRPr="00471CBA">
              <w:rPr>
                <w:sz w:val="16"/>
                <w:szCs w:val="16"/>
              </w:rPr>
              <w:t>-</w:t>
            </w:r>
          </w:p>
        </w:tc>
        <w:tc>
          <w:tcPr>
            <w:tcW w:w="239" w:type="pct"/>
            <w:vAlign w:val="bottom"/>
          </w:tcPr>
          <w:p w14:paraId="11C3BC76" w14:textId="0D01B84B" w:rsidR="000A44B5" w:rsidRPr="00471CBA" w:rsidRDefault="000A44B5" w:rsidP="000A44B5">
            <w:pPr>
              <w:jc w:val="right"/>
              <w:rPr>
                <w:sz w:val="16"/>
                <w:szCs w:val="16"/>
              </w:rPr>
            </w:pPr>
            <w:r w:rsidRPr="00471CBA">
              <w:rPr>
                <w:sz w:val="16"/>
                <w:szCs w:val="16"/>
              </w:rPr>
              <w:t>-</w:t>
            </w:r>
          </w:p>
        </w:tc>
        <w:tc>
          <w:tcPr>
            <w:tcW w:w="239" w:type="pct"/>
            <w:noWrap/>
            <w:vAlign w:val="bottom"/>
          </w:tcPr>
          <w:p w14:paraId="1D21AC19" w14:textId="41958AEF" w:rsidR="000A44B5" w:rsidRPr="00471CBA" w:rsidRDefault="000A44B5" w:rsidP="000A44B5">
            <w:pPr>
              <w:jc w:val="right"/>
              <w:rPr>
                <w:sz w:val="16"/>
                <w:szCs w:val="16"/>
              </w:rPr>
            </w:pPr>
            <w:r w:rsidRPr="00471CBA">
              <w:rPr>
                <w:sz w:val="16"/>
                <w:szCs w:val="16"/>
              </w:rPr>
              <w:t>-</w:t>
            </w:r>
          </w:p>
        </w:tc>
        <w:tc>
          <w:tcPr>
            <w:tcW w:w="239" w:type="pct"/>
            <w:noWrap/>
            <w:vAlign w:val="bottom"/>
          </w:tcPr>
          <w:p w14:paraId="2FD3FB86" w14:textId="102D6981" w:rsidR="000A44B5" w:rsidRPr="00471CBA" w:rsidRDefault="000A44B5" w:rsidP="000A44B5">
            <w:pPr>
              <w:jc w:val="right"/>
              <w:rPr>
                <w:sz w:val="16"/>
                <w:szCs w:val="16"/>
              </w:rPr>
            </w:pPr>
            <w:r w:rsidRPr="00471CBA">
              <w:rPr>
                <w:sz w:val="16"/>
                <w:szCs w:val="16"/>
              </w:rPr>
              <w:t>-</w:t>
            </w:r>
          </w:p>
        </w:tc>
        <w:tc>
          <w:tcPr>
            <w:tcW w:w="301" w:type="pct"/>
            <w:noWrap/>
            <w:vAlign w:val="bottom"/>
          </w:tcPr>
          <w:p w14:paraId="7264FF3F" w14:textId="466A07AD" w:rsidR="000A44B5" w:rsidRPr="00471CBA" w:rsidRDefault="000A44B5" w:rsidP="000A44B5">
            <w:pPr>
              <w:jc w:val="right"/>
              <w:rPr>
                <w:sz w:val="16"/>
                <w:szCs w:val="16"/>
              </w:rPr>
            </w:pPr>
            <w:r w:rsidRPr="00471CBA">
              <w:rPr>
                <w:sz w:val="16"/>
                <w:szCs w:val="16"/>
              </w:rPr>
              <w:t>-</w:t>
            </w:r>
          </w:p>
        </w:tc>
        <w:tc>
          <w:tcPr>
            <w:tcW w:w="280" w:type="pct"/>
            <w:noWrap/>
            <w:vAlign w:val="bottom"/>
          </w:tcPr>
          <w:p w14:paraId="27A0FD3D" w14:textId="03A117E3" w:rsidR="000A44B5" w:rsidRPr="00471CBA" w:rsidRDefault="000A44B5" w:rsidP="000A44B5">
            <w:pPr>
              <w:jc w:val="right"/>
              <w:rPr>
                <w:sz w:val="16"/>
                <w:szCs w:val="16"/>
              </w:rPr>
            </w:pPr>
            <w:r w:rsidRPr="00471CBA">
              <w:rPr>
                <w:sz w:val="16"/>
                <w:szCs w:val="16"/>
              </w:rPr>
              <w:t>-</w:t>
            </w:r>
          </w:p>
        </w:tc>
        <w:tc>
          <w:tcPr>
            <w:tcW w:w="280" w:type="pct"/>
            <w:vAlign w:val="bottom"/>
          </w:tcPr>
          <w:p w14:paraId="661FCF9F" w14:textId="5D1F5E52" w:rsidR="000A44B5" w:rsidRPr="00471CBA" w:rsidRDefault="000A44B5" w:rsidP="000A44B5">
            <w:pPr>
              <w:jc w:val="right"/>
              <w:rPr>
                <w:sz w:val="16"/>
                <w:szCs w:val="16"/>
              </w:rPr>
            </w:pPr>
            <w:r w:rsidRPr="00471CBA">
              <w:rPr>
                <w:sz w:val="16"/>
                <w:szCs w:val="16"/>
              </w:rPr>
              <w:t>-</w:t>
            </w:r>
          </w:p>
        </w:tc>
        <w:tc>
          <w:tcPr>
            <w:tcW w:w="271" w:type="pct"/>
            <w:noWrap/>
            <w:vAlign w:val="bottom"/>
          </w:tcPr>
          <w:p w14:paraId="6D6CE505" w14:textId="1A340C7C" w:rsidR="000A44B5" w:rsidRPr="00471CBA" w:rsidRDefault="000A44B5" w:rsidP="000A44B5">
            <w:pPr>
              <w:jc w:val="right"/>
              <w:rPr>
                <w:sz w:val="16"/>
                <w:szCs w:val="16"/>
              </w:rPr>
            </w:pPr>
            <w:r w:rsidRPr="00471CBA">
              <w:rPr>
                <w:sz w:val="16"/>
                <w:szCs w:val="16"/>
              </w:rPr>
              <w:t>-</w:t>
            </w:r>
          </w:p>
        </w:tc>
        <w:tc>
          <w:tcPr>
            <w:tcW w:w="350" w:type="pct"/>
            <w:noWrap/>
            <w:vAlign w:val="bottom"/>
          </w:tcPr>
          <w:p w14:paraId="059ADDFE" w14:textId="1100D6A9" w:rsidR="000A44B5" w:rsidRPr="00471CBA" w:rsidRDefault="000A44B5" w:rsidP="000A44B5">
            <w:pPr>
              <w:jc w:val="right"/>
              <w:rPr>
                <w:sz w:val="16"/>
                <w:szCs w:val="16"/>
              </w:rPr>
            </w:pPr>
            <w:r w:rsidRPr="00471CBA">
              <w:rPr>
                <w:sz w:val="16"/>
                <w:szCs w:val="16"/>
              </w:rPr>
              <w:t>-</w:t>
            </w:r>
          </w:p>
        </w:tc>
      </w:tr>
      <w:tr w:rsidR="000A44B5" w:rsidRPr="00471CBA" w14:paraId="123E6A6D" w14:textId="77777777" w:rsidTr="00B0049C">
        <w:trPr>
          <w:trHeight w:val="36"/>
        </w:trPr>
        <w:tc>
          <w:tcPr>
            <w:tcW w:w="1682" w:type="pct"/>
            <w:vAlign w:val="center"/>
            <w:hideMark/>
          </w:tcPr>
          <w:p w14:paraId="224D4A72" w14:textId="77777777" w:rsidR="000A44B5" w:rsidRPr="00471CBA" w:rsidRDefault="000A44B5" w:rsidP="000A44B5">
            <w:pPr>
              <w:rPr>
                <w:sz w:val="16"/>
                <w:szCs w:val="16"/>
              </w:rPr>
            </w:pPr>
            <w:r w:rsidRPr="00471CBA">
              <w:rPr>
                <w:sz w:val="16"/>
                <w:szCs w:val="16"/>
              </w:rPr>
              <w:t>Hisse senedi yatırımları</w:t>
            </w:r>
          </w:p>
        </w:tc>
        <w:tc>
          <w:tcPr>
            <w:tcW w:w="342" w:type="pct"/>
            <w:noWrap/>
            <w:vAlign w:val="bottom"/>
          </w:tcPr>
          <w:p w14:paraId="0A2DAF17" w14:textId="407C9A2E" w:rsidR="000A44B5" w:rsidRPr="00471CBA" w:rsidRDefault="000A44B5" w:rsidP="000A44B5">
            <w:pPr>
              <w:jc w:val="right"/>
              <w:rPr>
                <w:sz w:val="16"/>
                <w:szCs w:val="16"/>
              </w:rPr>
            </w:pPr>
            <w:r w:rsidRPr="00471CBA">
              <w:rPr>
                <w:sz w:val="16"/>
                <w:szCs w:val="16"/>
              </w:rPr>
              <w:t>-</w:t>
            </w:r>
          </w:p>
        </w:tc>
        <w:tc>
          <w:tcPr>
            <w:tcW w:w="239" w:type="pct"/>
            <w:noWrap/>
            <w:vAlign w:val="bottom"/>
          </w:tcPr>
          <w:p w14:paraId="15A2B743" w14:textId="66BDCF3C" w:rsidR="000A44B5" w:rsidRPr="00471CBA" w:rsidRDefault="000A44B5" w:rsidP="000A44B5">
            <w:pPr>
              <w:jc w:val="right"/>
              <w:rPr>
                <w:sz w:val="16"/>
                <w:szCs w:val="16"/>
              </w:rPr>
            </w:pPr>
            <w:r w:rsidRPr="00471CBA">
              <w:rPr>
                <w:sz w:val="16"/>
                <w:szCs w:val="16"/>
              </w:rPr>
              <w:t>-</w:t>
            </w:r>
          </w:p>
        </w:tc>
        <w:tc>
          <w:tcPr>
            <w:tcW w:w="301" w:type="pct"/>
            <w:noWrap/>
            <w:vAlign w:val="bottom"/>
          </w:tcPr>
          <w:p w14:paraId="1E5D37C5" w14:textId="71A4752C" w:rsidR="000A44B5" w:rsidRPr="00471CBA" w:rsidRDefault="000A44B5" w:rsidP="000A44B5">
            <w:pPr>
              <w:jc w:val="right"/>
              <w:rPr>
                <w:sz w:val="16"/>
                <w:szCs w:val="16"/>
              </w:rPr>
            </w:pPr>
            <w:r w:rsidRPr="00471CBA">
              <w:rPr>
                <w:sz w:val="16"/>
                <w:szCs w:val="16"/>
              </w:rPr>
              <w:t>-</w:t>
            </w:r>
          </w:p>
        </w:tc>
        <w:tc>
          <w:tcPr>
            <w:tcW w:w="239" w:type="pct"/>
            <w:vAlign w:val="bottom"/>
          </w:tcPr>
          <w:p w14:paraId="79313D68" w14:textId="476BAD65" w:rsidR="000A44B5" w:rsidRPr="00471CBA" w:rsidRDefault="000A44B5" w:rsidP="000A44B5">
            <w:pPr>
              <w:jc w:val="right"/>
              <w:rPr>
                <w:sz w:val="16"/>
                <w:szCs w:val="16"/>
              </w:rPr>
            </w:pPr>
            <w:r w:rsidRPr="00471CBA">
              <w:rPr>
                <w:sz w:val="16"/>
                <w:szCs w:val="16"/>
              </w:rPr>
              <w:t>-</w:t>
            </w:r>
          </w:p>
        </w:tc>
        <w:tc>
          <w:tcPr>
            <w:tcW w:w="239" w:type="pct"/>
            <w:vAlign w:val="bottom"/>
          </w:tcPr>
          <w:p w14:paraId="710DAB80" w14:textId="3FBE422D" w:rsidR="000A44B5" w:rsidRPr="00471CBA" w:rsidRDefault="000A44B5" w:rsidP="000A44B5">
            <w:pPr>
              <w:jc w:val="right"/>
              <w:rPr>
                <w:sz w:val="16"/>
                <w:szCs w:val="16"/>
              </w:rPr>
            </w:pPr>
            <w:r w:rsidRPr="00471CBA">
              <w:rPr>
                <w:sz w:val="16"/>
                <w:szCs w:val="16"/>
              </w:rPr>
              <w:t>-</w:t>
            </w:r>
          </w:p>
        </w:tc>
        <w:tc>
          <w:tcPr>
            <w:tcW w:w="239" w:type="pct"/>
            <w:noWrap/>
            <w:vAlign w:val="bottom"/>
          </w:tcPr>
          <w:p w14:paraId="34793CEB" w14:textId="19208128" w:rsidR="000A44B5" w:rsidRPr="00471CBA" w:rsidRDefault="000A44B5" w:rsidP="000A44B5">
            <w:pPr>
              <w:jc w:val="right"/>
              <w:rPr>
                <w:sz w:val="16"/>
                <w:szCs w:val="16"/>
              </w:rPr>
            </w:pPr>
            <w:r w:rsidRPr="00471CBA">
              <w:rPr>
                <w:sz w:val="16"/>
                <w:szCs w:val="16"/>
              </w:rPr>
              <w:t>-</w:t>
            </w:r>
          </w:p>
        </w:tc>
        <w:tc>
          <w:tcPr>
            <w:tcW w:w="239" w:type="pct"/>
            <w:noWrap/>
            <w:vAlign w:val="bottom"/>
          </w:tcPr>
          <w:p w14:paraId="2A22E11C" w14:textId="33B2129D" w:rsidR="000A44B5" w:rsidRPr="00471CBA" w:rsidRDefault="000A44B5" w:rsidP="000A44B5">
            <w:pPr>
              <w:jc w:val="right"/>
              <w:rPr>
                <w:sz w:val="16"/>
                <w:szCs w:val="16"/>
              </w:rPr>
            </w:pPr>
            <w:r w:rsidRPr="00471CBA">
              <w:rPr>
                <w:sz w:val="16"/>
                <w:szCs w:val="16"/>
              </w:rPr>
              <w:t>-</w:t>
            </w:r>
          </w:p>
        </w:tc>
        <w:tc>
          <w:tcPr>
            <w:tcW w:w="301" w:type="pct"/>
            <w:noWrap/>
            <w:vAlign w:val="bottom"/>
          </w:tcPr>
          <w:p w14:paraId="1722AB91" w14:textId="55658729" w:rsidR="000A44B5" w:rsidRPr="00471CBA" w:rsidRDefault="000A44B5" w:rsidP="000A44B5">
            <w:pPr>
              <w:jc w:val="right"/>
              <w:rPr>
                <w:sz w:val="16"/>
                <w:szCs w:val="16"/>
              </w:rPr>
            </w:pPr>
            <w:r w:rsidRPr="00471CBA">
              <w:rPr>
                <w:sz w:val="16"/>
                <w:szCs w:val="16"/>
              </w:rPr>
              <w:t>-</w:t>
            </w:r>
          </w:p>
        </w:tc>
        <w:tc>
          <w:tcPr>
            <w:tcW w:w="280" w:type="pct"/>
            <w:noWrap/>
            <w:vAlign w:val="bottom"/>
          </w:tcPr>
          <w:p w14:paraId="281C9C97" w14:textId="7DCEDB56" w:rsidR="000A44B5" w:rsidRPr="00471CBA" w:rsidRDefault="000A44B5" w:rsidP="000A44B5">
            <w:pPr>
              <w:jc w:val="right"/>
              <w:rPr>
                <w:sz w:val="16"/>
                <w:szCs w:val="16"/>
              </w:rPr>
            </w:pPr>
            <w:r w:rsidRPr="00471CBA">
              <w:rPr>
                <w:sz w:val="16"/>
                <w:szCs w:val="16"/>
              </w:rPr>
              <w:t>-</w:t>
            </w:r>
          </w:p>
        </w:tc>
        <w:tc>
          <w:tcPr>
            <w:tcW w:w="280" w:type="pct"/>
            <w:vAlign w:val="bottom"/>
          </w:tcPr>
          <w:p w14:paraId="6CB00832" w14:textId="2D4DC83D" w:rsidR="000A44B5" w:rsidRPr="00471CBA" w:rsidRDefault="000A44B5" w:rsidP="000A44B5">
            <w:pPr>
              <w:jc w:val="right"/>
              <w:rPr>
                <w:sz w:val="16"/>
                <w:szCs w:val="16"/>
              </w:rPr>
            </w:pPr>
            <w:r w:rsidRPr="00471CBA">
              <w:rPr>
                <w:sz w:val="16"/>
                <w:szCs w:val="16"/>
              </w:rPr>
              <w:t>-</w:t>
            </w:r>
          </w:p>
        </w:tc>
        <w:tc>
          <w:tcPr>
            <w:tcW w:w="271" w:type="pct"/>
            <w:noWrap/>
            <w:vAlign w:val="bottom"/>
          </w:tcPr>
          <w:p w14:paraId="383760F9" w14:textId="67F77388" w:rsidR="000A44B5" w:rsidRPr="00471CBA" w:rsidRDefault="000A44B5" w:rsidP="000A44B5">
            <w:pPr>
              <w:jc w:val="right"/>
              <w:rPr>
                <w:sz w:val="16"/>
                <w:szCs w:val="16"/>
              </w:rPr>
            </w:pPr>
            <w:r w:rsidRPr="00471CBA">
              <w:rPr>
                <w:sz w:val="16"/>
                <w:szCs w:val="16"/>
              </w:rPr>
              <w:t>-</w:t>
            </w:r>
          </w:p>
        </w:tc>
        <w:tc>
          <w:tcPr>
            <w:tcW w:w="350" w:type="pct"/>
            <w:noWrap/>
            <w:vAlign w:val="bottom"/>
          </w:tcPr>
          <w:p w14:paraId="3F8FFF35" w14:textId="0379D84B" w:rsidR="000A44B5" w:rsidRPr="00471CBA" w:rsidRDefault="000A44B5" w:rsidP="000A44B5">
            <w:pPr>
              <w:jc w:val="right"/>
              <w:rPr>
                <w:sz w:val="16"/>
                <w:szCs w:val="16"/>
              </w:rPr>
            </w:pPr>
            <w:r w:rsidRPr="00471CBA">
              <w:rPr>
                <w:sz w:val="16"/>
                <w:szCs w:val="16"/>
              </w:rPr>
              <w:t>-</w:t>
            </w:r>
          </w:p>
        </w:tc>
      </w:tr>
      <w:tr w:rsidR="000A44B5" w:rsidRPr="00471CBA" w14:paraId="74EE8D58" w14:textId="77777777" w:rsidTr="00B0049C">
        <w:trPr>
          <w:trHeight w:val="36"/>
        </w:trPr>
        <w:tc>
          <w:tcPr>
            <w:tcW w:w="1682" w:type="pct"/>
            <w:vAlign w:val="center"/>
            <w:hideMark/>
          </w:tcPr>
          <w:p w14:paraId="7F8586B9" w14:textId="77777777" w:rsidR="000A44B5" w:rsidRPr="00471CBA" w:rsidRDefault="000A44B5" w:rsidP="000A44B5">
            <w:pPr>
              <w:rPr>
                <w:sz w:val="16"/>
                <w:szCs w:val="16"/>
              </w:rPr>
            </w:pPr>
            <w:r w:rsidRPr="00471CBA">
              <w:rPr>
                <w:sz w:val="16"/>
                <w:szCs w:val="16"/>
              </w:rPr>
              <w:t>Diğer alacaklar</w:t>
            </w:r>
          </w:p>
        </w:tc>
        <w:tc>
          <w:tcPr>
            <w:tcW w:w="342" w:type="pct"/>
            <w:noWrap/>
            <w:vAlign w:val="bottom"/>
          </w:tcPr>
          <w:p w14:paraId="408E7113" w14:textId="5A29D585" w:rsidR="000A44B5" w:rsidRPr="00471CBA" w:rsidRDefault="000A44B5" w:rsidP="000A44B5">
            <w:pPr>
              <w:jc w:val="right"/>
              <w:rPr>
                <w:sz w:val="16"/>
                <w:szCs w:val="16"/>
              </w:rPr>
            </w:pPr>
            <w:r w:rsidRPr="00471CBA">
              <w:rPr>
                <w:sz w:val="16"/>
                <w:szCs w:val="16"/>
              </w:rPr>
              <w:t>-</w:t>
            </w:r>
          </w:p>
        </w:tc>
        <w:tc>
          <w:tcPr>
            <w:tcW w:w="239" w:type="pct"/>
            <w:noWrap/>
            <w:vAlign w:val="bottom"/>
          </w:tcPr>
          <w:p w14:paraId="3394C822" w14:textId="6F3FCD1C" w:rsidR="000A44B5" w:rsidRPr="00471CBA" w:rsidRDefault="000A44B5" w:rsidP="000A44B5">
            <w:pPr>
              <w:jc w:val="right"/>
              <w:rPr>
                <w:sz w:val="16"/>
                <w:szCs w:val="16"/>
              </w:rPr>
            </w:pPr>
            <w:r w:rsidRPr="00471CBA">
              <w:rPr>
                <w:sz w:val="16"/>
                <w:szCs w:val="16"/>
              </w:rPr>
              <w:t>-</w:t>
            </w:r>
          </w:p>
        </w:tc>
        <w:tc>
          <w:tcPr>
            <w:tcW w:w="301" w:type="pct"/>
            <w:noWrap/>
            <w:vAlign w:val="bottom"/>
          </w:tcPr>
          <w:p w14:paraId="6DCE9F35" w14:textId="626B6850" w:rsidR="000A44B5" w:rsidRPr="00471CBA" w:rsidRDefault="000A44B5" w:rsidP="000A44B5">
            <w:pPr>
              <w:jc w:val="right"/>
              <w:rPr>
                <w:sz w:val="16"/>
                <w:szCs w:val="16"/>
              </w:rPr>
            </w:pPr>
            <w:r w:rsidRPr="00471CBA">
              <w:rPr>
                <w:sz w:val="16"/>
                <w:szCs w:val="16"/>
              </w:rPr>
              <w:t>-</w:t>
            </w:r>
          </w:p>
        </w:tc>
        <w:tc>
          <w:tcPr>
            <w:tcW w:w="239" w:type="pct"/>
            <w:vAlign w:val="bottom"/>
          </w:tcPr>
          <w:p w14:paraId="2ABEB2CF" w14:textId="4F26BDCB" w:rsidR="000A44B5" w:rsidRPr="00471CBA" w:rsidRDefault="000A44B5" w:rsidP="000A44B5">
            <w:pPr>
              <w:jc w:val="right"/>
              <w:rPr>
                <w:sz w:val="16"/>
                <w:szCs w:val="16"/>
              </w:rPr>
            </w:pPr>
            <w:r w:rsidRPr="00471CBA">
              <w:rPr>
                <w:sz w:val="16"/>
                <w:szCs w:val="16"/>
              </w:rPr>
              <w:t>-</w:t>
            </w:r>
          </w:p>
        </w:tc>
        <w:tc>
          <w:tcPr>
            <w:tcW w:w="239" w:type="pct"/>
            <w:vAlign w:val="bottom"/>
          </w:tcPr>
          <w:p w14:paraId="70DE8118" w14:textId="2954736C" w:rsidR="000A44B5" w:rsidRPr="00471CBA" w:rsidRDefault="000A44B5" w:rsidP="000A44B5">
            <w:pPr>
              <w:jc w:val="right"/>
              <w:rPr>
                <w:sz w:val="16"/>
                <w:szCs w:val="16"/>
              </w:rPr>
            </w:pPr>
            <w:r w:rsidRPr="00471CBA">
              <w:rPr>
                <w:sz w:val="16"/>
                <w:szCs w:val="16"/>
              </w:rPr>
              <w:t>-</w:t>
            </w:r>
          </w:p>
        </w:tc>
        <w:tc>
          <w:tcPr>
            <w:tcW w:w="239" w:type="pct"/>
            <w:noWrap/>
            <w:vAlign w:val="bottom"/>
          </w:tcPr>
          <w:p w14:paraId="230B6404" w14:textId="5BABCBA5" w:rsidR="000A44B5" w:rsidRPr="00471CBA" w:rsidRDefault="000A44B5" w:rsidP="000A44B5">
            <w:pPr>
              <w:jc w:val="right"/>
              <w:rPr>
                <w:sz w:val="16"/>
                <w:szCs w:val="16"/>
              </w:rPr>
            </w:pPr>
            <w:r w:rsidRPr="00471CBA">
              <w:rPr>
                <w:sz w:val="16"/>
                <w:szCs w:val="16"/>
              </w:rPr>
              <w:t>-</w:t>
            </w:r>
          </w:p>
        </w:tc>
        <w:tc>
          <w:tcPr>
            <w:tcW w:w="239" w:type="pct"/>
            <w:noWrap/>
            <w:vAlign w:val="bottom"/>
          </w:tcPr>
          <w:p w14:paraId="0708AF52" w14:textId="505BC935" w:rsidR="000A44B5" w:rsidRPr="00471CBA" w:rsidRDefault="000A44B5" w:rsidP="000A44B5">
            <w:pPr>
              <w:jc w:val="right"/>
              <w:rPr>
                <w:sz w:val="16"/>
                <w:szCs w:val="16"/>
              </w:rPr>
            </w:pPr>
            <w:r w:rsidRPr="00471CBA">
              <w:rPr>
                <w:sz w:val="16"/>
                <w:szCs w:val="16"/>
              </w:rPr>
              <w:t>-</w:t>
            </w:r>
          </w:p>
        </w:tc>
        <w:tc>
          <w:tcPr>
            <w:tcW w:w="301" w:type="pct"/>
            <w:noWrap/>
            <w:vAlign w:val="bottom"/>
          </w:tcPr>
          <w:p w14:paraId="733A834D" w14:textId="58C60AF1" w:rsidR="000A44B5" w:rsidRPr="00471CBA" w:rsidRDefault="000A44B5" w:rsidP="000A44B5">
            <w:pPr>
              <w:jc w:val="right"/>
              <w:rPr>
                <w:sz w:val="16"/>
                <w:szCs w:val="16"/>
              </w:rPr>
            </w:pPr>
            <w:r w:rsidRPr="00471CBA">
              <w:rPr>
                <w:sz w:val="16"/>
                <w:szCs w:val="16"/>
              </w:rPr>
              <w:t>-</w:t>
            </w:r>
          </w:p>
        </w:tc>
        <w:tc>
          <w:tcPr>
            <w:tcW w:w="280" w:type="pct"/>
            <w:noWrap/>
            <w:vAlign w:val="bottom"/>
          </w:tcPr>
          <w:p w14:paraId="26CC08C0" w14:textId="23B3B1DC" w:rsidR="000A44B5" w:rsidRPr="00471CBA" w:rsidRDefault="000A44B5" w:rsidP="000A44B5">
            <w:pPr>
              <w:jc w:val="right"/>
              <w:rPr>
                <w:sz w:val="16"/>
                <w:szCs w:val="16"/>
              </w:rPr>
            </w:pPr>
            <w:r w:rsidRPr="00471CBA">
              <w:rPr>
                <w:sz w:val="16"/>
                <w:szCs w:val="16"/>
              </w:rPr>
              <w:t>-</w:t>
            </w:r>
          </w:p>
        </w:tc>
        <w:tc>
          <w:tcPr>
            <w:tcW w:w="280" w:type="pct"/>
            <w:vAlign w:val="bottom"/>
          </w:tcPr>
          <w:p w14:paraId="7C787740" w14:textId="03CF679C" w:rsidR="000A44B5" w:rsidRPr="00471CBA" w:rsidRDefault="000A44B5" w:rsidP="000A44B5">
            <w:pPr>
              <w:jc w:val="right"/>
              <w:rPr>
                <w:sz w:val="16"/>
                <w:szCs w:val="16"/>
              </w:rPr>
            </w:pPr>
            <w:r w:rsidRPr="00471CBA">
              <w:rPr>
                <w:sz w:val="16"/>
                <w:szCs w:val="16"/>
              </w:rPr>
              <w:t>-</w:t>
            </w:r>
          </w:p>
        </w:tc>
        <w:tc>
          <w:tcPr>
            <w:tcW w:w="271" w:type="pct"/>
            <w:noWrap/>
            <w:vAlign w:val="bottom"/>
          </w:tcPr>
          <w:p w14:paraId="3483D9B9" w14:textId="4698B708" w:rsidR="000A44B5" w:rsidRPr="00471CBA" w:rsidRDefault="000A44B5" w:rsidP="000A44B5">
            <w:pPr>
              <w:jc w:val="right"/>
              <w:rPr>
                <w:sz w:val="16"/>
                <w:szCs w:val="16"/>
              </w:rPr>
            </w:pPr>
            <w:r w:rsidRPr="00471CBA">
              <w:rPr>
                <w:sz w:val="16"/>
                <w:szCs w:val="16"/>
              </w:rPr>
              <w:t>-</w:t>
            </w:r>
          </w:p>
        </w:tc>
        <w:tc>
          <w:tcPr>
            <w:tcW w:w="350" w:type="pct"/>
            <w:noWrap/>
            <w:vAlign w:val="bottom"/>
          </w:tcPr>
          <w:p w14:paraId="41445145" w14:textId="398D4D64" w:rsidR="000A44B5" w:rsidRPr="00471CBA" w:rsidRDefault="000A44B5" w:rsidP="000A44B5">
            <w:pPr>
              <w:jc w:val="right"/>
              <w:rPr>
                <w:sz w:val="16"/>
                <w:szCs w:val="16"/>
              </w:rPr>
            </w:pPr>
            <w:r w:rsidRPr="00471CBA">
              <w:rPr>
                <w:sz w:val="16"/>
                <w:szCs w:val="16"/>
              </w:rPr>
              <w:t>-</w:t>
            </w:r>
          </w:p>
        </w:tc>
      </w:tr>
      <w:tr w:rsidR="000A44B5" w:rsidRPr="00471CBA" w14:paraId="71D11AED" w14:textId="77777777" w:rsidTr="00B0049C">
        <w:trPr>
          <w:trHeight w:val="36"/>
        </w:trPr>
        <w:tc>
          <w:tcPr>
            <w:tcW w:w="1682" w:type="pct"/>
            <w:tcBorders>
              <w:bottom w:val="single" w:sz="4" w:space="0" w:color="auto"/>
            </w:tcBorders>
            <w:vAlign w:val="center"/>
            <w:hideMark/>
          </w:tcPr>
          <w:p w14:paraId="7EB15B88" w14:textId="77777777" w:rsidR="000A44B5" w:rsidRPr="00471CBA" w:rsidRDefault="000A44B5" w:rsidP="000A44B5">
            <w:pPr>
              <w:rPr>
                <w:sz w:val="16"/>
                <w:szCs w:val="16"/>
              </w:rPr>
            </w:pPr>
            <w:r w:rsidRPr="00471CBA">
              <w:rPr>
                <w:sz w:val="16"/>
                <w:szCs w:val="16"/>
              </w:rPr>
              <w:t>Diğer varlıklar</w:t>
            </w:r>
          </w:p>
        </w:tc>
        <w:tc>
          <w:tcPr>
            <w:tcW w:w="342" w:type="pct"/>
            <w:tcBorders>
              <w:bottom w:val="single" w:sz="4" w:space="0" w:color="auto"/>
            </w:tcBorders>
            <w:noWrap/>
            <w:vAlign w:val="bottom"/>
          </w:tcPr>
          <w:p w14:paraId="75116644" w14:textId="07321F2A" w:rsidR="000A44B5" w:rsidRPr="00471CBA" w:rsidRDefault="000A44B5" w:rsidP="000A44B5">
            <w:pPr>
              <w:jc w:val="right"/>
              <w:rPr>
                <w:sz w:val="16"/>
                <w:szCs w:val="16"/>
              </w:rPr>
            </w:pPr>
            <w:r w:rsidRPr="00471CBA">
              <w:rPr>
                <w:sz w:val="16"/>
                <w:szCs w:val="16"/>
              </w:rPr>
              <w:t>-</w:t>
            </w:r>
          </w:p>
        </w:tc>
        <w:tc>
          <w:tcPr>
            <w:tcW w:w="239" w:type="pct"/>
            <w:tcBorders>
              <w:bottom w:val="single" w:sz="4" w:space="0" w:color="auto"/>
            </w:tcBorders>
            <w:noWrap/>
            <w:vAlign w:val="bottom"/>
          </w:tcPr>
          <w:p w14:paraId="378D3444" w14:textId="0AA49F1C" w:rsidR="000A44B5" w:rsidRPr="00471CBA" w:rsidRDefault="000A44B5" w:rsidP="000A44B5">
            <w:pPr>
              <w:jc w:val="right"/>
              <w:rPr>
                <w:sz w:val="16"/>
                <w:szCs w:val="16"/>
              </w:rPr>
            </w:pPr>
            <w:r w:rsidRPr="00471CBA">
              <w:rPr>
                <w:sz w:val="16"/>
                <w:szCs w:val="16"/>
              </w:rPr>
              <w:t>-</w:t>
            </w:r>
          </w:p>
        </w:tc>
        <w:tc>
          <w:tcPr>
            <w:tcW w:w="301" w:type="pct"/>
            <w:tcBorders>
              <w:bottom w:val="single" w:sz="4" w:space="0" w:color="auto"/>
            </w:tcBorders>
            <w:noWrap/>
            <w:vAlign w:val="bottom"/>
          </w:tcPr>
          <w:p w14:paraId="3F1AEE65" w14:textId="7A5D5DC8" w:rsidR="000A44B5" w:rsidRPr="00471CBA" w:rsidRDefault="000A44B5" w:rsidP="000A44B5">
            <w:pPr>
              <w:jc w:val="right"/>
              <w:rPr>
                <w:sz w:val="16"/>
                <w:szCs w:val="16"/>
              </w:rPr>
            </w:pPr>
            <w:r w:rsidRPr="00471CBA">
              <w:rPr>
                <w:sz w:val="16"/>
                <w:szCs w:val="16"/>
              </w:rPr>
              <w:t>-</w:t>
            </w:r>
          </w:p>
        </w:tc>
        <w:tc>
          <w:tcPr>
            <w:tcW w:w="239" w:type="pct"/>
            <w:tcBorders>
              <w:bottom w:val="single" w:sz="4" w:space="0" w:color="auto"/>
            </w:tcBorders>
            <w:vAlign w:val="bottom"/>
          </w:tcPr>
          <w:p w14:paraId="07385C6E" w14:textId="3C18831F" w:rsidR="000A44B5" w:rsidRPr="00471CBA" w:rsidRDefault="000A44B5" w:rsidP="000A44B5">
            <w:pPr>
              <w:jc w:val="right"/>
              <w:rPr>
                <w:sz w:val="16"/>
                <w:szCs w:val="16"/>
              </w:rPr>
            </w:pPr>
            <w:r w:rsidRPr="00471CBA">
              <w:rPr>
                <w:sz w:val="16"/>
                <w:szCs w:val="16"/>
              </w:rPr>
              <w:t>-</w:t>
            </w:r>
          </w:p>
        </w:tc>
        <w:tc>
          <w:tcPr>
            <w:tcW w:w="239" w:type="pct"/>
            <w:tcBorders>
              <w:bottom w:val="single" w:sz="4" w:space="0" w:color="auto"/>
            </w:tcBorders>
            <w:vAlign w:val="bottom"/>
          </w:tcPr>
          <w:p w14:paraId="183EA33B" w14:textId="0D1C420E" w:rsidR="000A44B5" w:rsidRPr="00471CBA" w:rsidRDefault="000A44B5" w:rsidP="000A44B5">
            <w:pPr>
              <w:jc w:val="right"/>
              <w:rPr>
                <w:sz w:val="16"/>
                <w:szCs w:val="16"/>
              </w:rPr>
            </w:pPr>
            <w:r w:rsidRPr="00471CBA">
              <w:rPr>
                <w:sz w:val="16"/>
                <w:szCs w:val="16"/>
              </w:rPr>
              <w:t>-</w:t>
            </w:r>
          </w:p>
        </w:tc>
        <w:tc>
          <w:tcPr>
            <w:tcW w:w="239" w:type="pct"/>
            <w:tcBorders>
              <w:bottom w:val="single" w:sz="4" w:space="0" w:color="auto"/>
            </w:tcBorders>
            <w:noWrap/>
            <w:vAlign w:val="bottom"/>
          </w:tcPr>
          <w:p w14:paraId="3608DBE9" w14:textId="0627A5D6" w:rsidR="000A44B5" w:rsidRPr="00471CBA" w:rsidRDefault="000A44B5" w:rsidP="000A44B5">
            <w:pPr>
              <w:jc w:val="right"/>
              <w:rPr>
                <w:sz w:val="16"/>
                <w:szCs w:val="16"/>
              </w:rPr>
            </w:pPr>
            <w:r w:rsidRPr="00471CBA">
              <w:rPr>
                <w:sz w:val="16"/>
                <w:szCs w:val="16"/>
              </w:rPr>
              <w:t>-</w:t>
            </w:r>
          </w:p>
        </w:tc>
        <w:tc>
          <w:tcPr>
            <w:tcW w:w="239" w:type="pct"/>
            <w:tcBorders>
              <w:bottom w:val="single" w:sz="4" w:space="0" w:color="auto"/>
            </w:tcBorders>
            <w:noWrap/>
            <w:vAlign w:val="bottom"/>
          </w:tcPr>
          <w:p w14:paraId="0CE94C72" w14:textId="5374606E" w:rsidR="000A44B5" w:rsidRPr="00471CBA" w:rsidRDefault="000A44B5" w:rsidP="000A44B5">
            <w:pPr>
              <w:jc w:val="right"/>
              <w:rPr>
                <w:sz w:val="16"/>
                <w:szCs w:val="16"/>
              </w:rPr>
            </w:pPr>
            <w:r w:rsidRPr="00471CBA">
              <w:rPr>
                <w:sz w:val="16"/>
                <w:szCs w:val="16"/>
              </w:rPr>
              <w:t>-</w:t>
            </w:r>
          </w:p>
        </w:tc>
        <w:tc>
          <w:tcPr>
            <w:tcW w:w="301" w:type="pct"/>
            <w:tcBorders>
              <w:bottom w:val="single" w:sz="4" w:space="0" w:color="auto"/>
            </w:tcBorders>
            <w:noWrap/>
            <w:vAlign w:val="bottom"/>
          </w:tcPr>
          <w:p w14:paraId="6D2659DF" w14:textId="626B773A" w:rsidR="000A44B5" w:rsidRPr="00471CBA" w:rsidRDefault="000A44B5" w:rsidP="000A44B5">
            <w:pPr>
              <w:jc w:val="right"/>
              <w:rPr>
                <w:sz w:val="16"/>
                <w:szCs w:val="16"/>
              </w:rPr>
            </w:pPr>
            <w:r w:rsidRPr="00471CBA">
              <w:rPr>
                <w:sz w:val="16"/>
                <w:szCs w:val="16"/>
              </w:rPr>
              <w:t>-</w:t>
            </w:r>
          </w:p>
        </w:tc>
        <w:tc>
          <w:tcPr>
            <w:tcW w:w="280" w:type="pct"/>
            <w:tcBorders>
              <w:bottom w:val="single" w:sz="4" w:space="0" w:color="auto"/>
            </w:tcBorders>
            <w:noWrap/>
            <w:vAlign w:val="bottom"/>
          </w:tcPr>
          <w:p w14:paraId="7352C382" w14:textId="0D49AFD5" w:rsidR="000A44B5" w:rsidRPr="00471CBA" w:rsidRDefault="000A44B5" w:rsidP="000A44B5">
            <w:pPr>
              <w:jc w:val="right"/>
              <w:rPr>
                <w:sz w:val="16"/>
                <w:szCs w:val="16"/>
              </w:rPr>
            </w:pPr>
            <w:r w:rsidRPr="00471CBA">
              <w:rPr>
                <w:sz w:val="16"/>
                <w:szCs w:val="16"/>
              </w:rPr>
              <w:t>-</w:t>
            </w:r>
          </w:p>
        </w:tc>
        <w:tc>
          <w:tcPr>
            <w:tcW w:w="280" w:type="pct"/>
            <w:tcBorders>
              <w:bottom w:val="single" w:sz="4" w:space="0" w:color="auto"/>
            </w:tcBorders>
            <w:vAlign w:val="bottom"/>
          </w:tcPr>
          <w:p w14:paraId="49234A09" w14:textId="02BE8F63" w:rsidR="000A44B5" w:rsidRPr="00471CBA" w:rsidRDefault="000A44B5" w:rsidP="000A44B5">
            <w:pPr>
              <w:jc w:val="right"/>
              <w:rPr>
                <w:sz w:val="16"/>
                <w:szCs w:val="16"/>
              </w:rPr>
            </w:pPr>
            <w:r w:rsidRPr="00471CBA">
              <w:rPr>
                <w:sz w:val="16"/>
                <w:szCs w:val="16"/>
              </w:rPr>
              <w:t>-</w:t>
            </w:r>
          </w:p>
        </w:tc>
        <w:tc>
          <w:tcPr>
            <w:tcW w:w="271" w:type="pct"/>
            <w:tcBorders>
              <w:bottom w:val="single" w:sz="4" w:space="0" w:color="auto"/>
            </w:tcBorders>
            <w:noWrap/>
            <w:vAlign w:val="bottom"/>
          </w:tcPr>
          <w:p w14:paraId="69DC2631" w14:textId="10F0E063" w:rsidR="000A44B5" w:rsidRPr="00471CBA" w:rsidRDefault="000A44B5" w:rsidP="000A44B5">
            <w:pPr>
              <w:jc w:val="right"/>
              <w:rPr>
                <w:sz w:val="16"/>
                <w:szCs w:val="16"/>
              </w:rPr>
            </w:pPr>
            <w:r w:rsidRPr="00471CBA">
              <w:rPr>
                <w:sz w:val="16"/>
                <w:szCs w:val="16"/>
              </w:rPr>
              <w:t>-</w:t>
            </w:r>
          </w:p>
        </w:tc>
        <w:tc>
          <w:tcPr>
            <w:tcW w:w="350" w:type="pct"/>
            <w:tcBorders>
              <w:bottom w:val="single" w:sz="4" w:space="0" w:color="auto"/>
            </w:tcBorders>
            <w:noWrap/>
            <w:vAlign w:val="bottom"/>
          </w:tcPr>
          <w:p w14:paraId="3DB2075C" w14:textId="4C78CB48" w:rsidR="000A44B5" w:rsidRPr="00471CBA" w:rsidRDefault="000A44B5" w:rsidP="000A44B5">
            <w:pPr>
              <w:jc w:val="right"/>
              <w:rPr>
                <w:sz w:val="16"/>
                <w:szCs w:val="16"/>
              </w:rPr>
            </w:pPr>
            <w:r w:rsidRPr="00471CBA">
              <w:rPr>
                <w:sz w:val="16"/>
                <w:szCs w:val="16"/>
              </w:rPr>
              <w:t>-</w:t>
            </w:r>
          </w:p>
        </w:tc>
      </w:tr>
      <w:tr w:rsidR="000A44B5" w:rsidRPr="00471CBA" w14:paraId="158739D4" w14:textId="77777777" w:rsidTr="00B0049C">
        <w:trPr>
          <w:trHeight w:val="36"/>
        </w:trPr>
        <w:tc>
          <w:tcPr>
            <w:tcW w:w="1682" w:type="pct"/>
            <w:tcBorders>
              <w:top w:val="single" w:sz="4" w:space="0" w:color="auto"/>
              <w:bottom w:val="single" w:sz="12" w:space="0" w:color="auto"/>
            </w:tcBorders>
            <w:vAlign w:val="center"/>
            <w:hideMark/>
          </w:tcPr>
          <w:p w14:paraId="7E02F360" w14:textId="77777777" w:rsidR="000A44B5" w:rsidRPr="00471CBA" w:rsidRDefault="000A44B5" w:rsidP="000A44B5">
            <w:pPr>
              <w:rPr>
                <w:b/>
                <w:sz w:val="16"/>
                <w:szCs w:val="16"/>
              </w:rPr>
            </w:pPr>
            <w:r w:rsidRPr="00471CBA">
              <w:rPr>
                <w:b/>
                <w:sz w:val="16"/>
                <w:szCs w:val="16"/>
              </w:rPr>
              <w:t>Toplam</w:t>
            </w:r>
          </w:p>
        </w:tc>
        <w:tc>
          <w:tcPr>
            <w:tcW w:w="342" w:type="pct"/>
            <w:tcBorders>
              <w:top w:val="single" w:sz="4" w:space="0" w:color="auto"/>
              <w:bottom w:val="single" w:sz="12" w:space="0" w:color="auto"/>
            </w:tcBorders>
            <w:noWrap/>
            <w:vAlign w:val="bottom"/>
          </w:tcPr>
          <w:p w14:paraId="523F9EB0" w14:textId="262F9A17" w:rsidR="000A44B5" w:rsidRPr="00471CBA" w:rsidRDefault="000A44B5" w:rsidP="000A44B5">
            <w:pPr>
              <w:jc w:val="right"/>
              <w:rPr>
                <w:b/>
                <w:sz w:val="16"/>
                <w:szCs w:val="16"/>
              </w:rPr>
            </w:pPr>
            <w:r w:rsidRPr="00471CBA">
              <w:rPr>
                <w:b/>
                <w:sz w:val="16"/>
                <w:szCs w:val="16"/>
              </w:rPr>
              <w:t>475.539</w:t>
            </w:r>
          </w:p>
        </w:tc>
        <w:tc>
          <w:tcPr>
            <w:tcW w:w="239" w:type="pct"/>
            <w:tcBorders>
              <w:top w:val="single" w:sz="4" w:space="0" w:color="auto"/>
              <w:bottom w:val="single" w:sz="12" w:space="0" w:color="auto"/>
            </w:tcBorders>
            <w:noWrap/>
            <w:vAlign w:val="bottom"/>
          </w:tcPr>
          <w:p w14:paraId="6DB7A6AB" w14:textId="5EEFD1A4" w:rsidR="000A44B5" w:rsidRPr="00471CBA" w:rsidRDefault="000A44B5" w:rsidP="000A44B5">
            <w:pPr>
              <w:jc w:val="right"/>
              <w:rPr>
                <w:b/>
                <w:sz w:val="16"/>
                <w:szCs w:val="16"/>
              </w:rPr>
            </w:pPr>
            <w:r w:rsidRPr="00471CBA">
              <w:rPr>
                <w:b/>
                <w:sz w:val="16"/>
                <w:szCs w:val="16"/>
              </w:rPr>
              <w:t>-</w:t>
            </w:r>
          </w:p>
        </w:tc>
        <w:tc>
          <w:tcPr>
            <w:tcW w:w="301" w:type="pct"/>
            <w:tcBorders>
              <w:top w:val="single" w:sz="4" w:space="0" w:color="auto"/>
              <w:bottom w:val="single" w:sz="12" w:space="0" w:color="auto"/>
            </w:tcBorders>
            <w:noWrap/>
            <w:vAlign w:val="bottom"/>
          </w:tcPr>
          <w:p w14:paraId="3981DB11" w14:textId="0CF726FC" w:rsidR="000A44B5" w:rsidRPr="00471CBA" w:rsidRDefault="000A44B5" w:rsidP="000A44B5">
            <w:pPr>
              <w:jc w:val="right"/>
              <w:rPr>
                <w:b/>
                <w:sz w:val="16"/>
                <w:szCs w:val="16"/>
              </w:rPr>
            </w:pPr>
            <w:r w:rsidRPr="00471CBA">
              <w:rPr>
                <w:b/>
                <w:sz w:val="16"/>
                <w:szCs w:val="16"/>
              </w:rPr>
              <w:t>24.455</w:t>
            </w:r>
          </w:p>
        </w:tc>
        <w:tc>
          <w:tcPr>
            <w:tcW w:w="239" w:type="pct"/>
            <w:tcBorders>
              <w:top w:val="single" w:sz="4" w:space="0" w:color="auto"/>
              <w:bottom w:val="single" w:sz="12" w:space="0" w:color="auto"/>
            </w:tcBorders>
            <w:vAlign w:val="bottom"/>
          </w:tcPr>
          <w:p w14:paraId="45BDF936" w14:textId="7B471068" w:rsidR="000A44B5" w:rsidRPr="00471CBA" w:rsidRDefault="000A44B5" w:rsidP="000A44B5">
            <w:pPr>
              <w:jc w:val="right"/>
              <w:rPr>
                <w:b/>
                <w:sz w:val="16"/>
                <w:szCs w:val="16"/>
              </w:rPr>
            </w:pPr>
            <w:r w:rsidRPr="00471CBA">
              <w:rPr>
                <w:b/>
                <w:sz w:val="16"/>
                <w:szCs w:val="16"/>
              </w:rPr>
              <w:t>-</w:t>
            </w:r>
          </w:p>
        </w:tc>
        <w:tc>
          <w:tcPr>
            <w:tcW w:w="239" w:type="pct"/>
            <w:tcBorders>
              <w:top w:val="single" w:sz="4" w:space="0" w:color="auto"/>
              <w:bottom w:val="single" w:sz="12" w:space="0" w:color="auto"/>
            </w:tcBorders>
            <w:vAlign w:val="bottom"/>
          </w:tcPr>
          <w:p w14:paraId="240E64E2" w14:textId="627F8694" w:rsidR="000A44B5" w:rsidRPr="00471CBA" w:rsidRDefault="000A44B5" w:rsidP="000A44B5">
            <w:pPr>
              <w:jc w:val="right"/>
              <w:rPr>
                <w:b/>
                <w:sz w:val="16"/>
                <w:szCs w:val="16"/>
              </w:rPr>
            </w:pPr>
            <w:r w:rsidRPr="00471CBA">
              <w:rPr>
                <w:b/>
                <w:sz w:val="16"/>
                <w:szCs w:val="16"/>
              </w:rPr>
              <w:t>-</w:t>
            </w:r>
          </w:p>
        </w:tc>
        <w:tc>
          <w:tcPr>
            <w:tcW w:w="239" w:type="pct"/>
            <w:tcBorders>
              <w:top w:val="single" w:sz="4" w:space="0" w:color="auto"/>
              <w:bottom w:val="single" w:sz="12" w:space="0" w:color="auto"/>
            </w:tcBorders>
            <w:noWrap/>
            <w:vAlign w:val="bottom"/>
          </w:tcPr>
          <w:p w14:paraId="57410AE4" w14:textId="21713BE9" w:rsidR="000A44B5" w:rsidRPr="00471CBA" w:rsidRDefault="000A44B5" w:rsidP="000A44B5">
            <w:pPr>
              <w:jc w:val="right"/>
              <w:rPr>
                <w:b/>
                <w:sz w:val="16"/>
                <w:szCs w:val="16"/>
              </w:rPr>
            </w:pPr>
            <w:r w:rsidRPr="00471CBA">
              <w:rPr>
                <w:b/>
                <w:sz w:val="16"/>
                <w:szCs w:val="16"/>
              </w:rPr>
              <w:t>-</w:t>
            </w:r>
          </w:p>
        </w:tc>
        <w:tc>
          <w:tcPr>
            <w:tcW w:w="239" w:type="pct"/>
            <w:tcBorders>
              <w:top w:val="single" w:sz="4" w:space="0" w:color="auto"/>
              <w:bottom w:val="single" w:sz="12" w:space="0" w:color="auto"/>
            </w:tcBorders>
            <w:noWrap/>
            <w:vAlign w:val="bottom"/>
          </w:tcPr>
          <w:p w14:paraId="754BB008" w14:textId="70EE3A64" w:rsidR="000A44B5" w:rsidRPr="00471CBA" w:rsidRDefault="000A44B5" w:rsidP="000A44B5">
            <w:pPr>
              <w:jc w:val="right"/>
              <w:rPr>
                <w:b/>
                <w:sz w:val="16"/>
                <w:szCs w:val="16"/>
              </w:rPr>
            </w:pPr>
            <w:r w:rsidRPr="00471CBA">
              <w:rPr>
                <w:b/>
                <w:sz w:val="16"/>
                <w:szCs w:val="16"/>
              </w:rPr>
              <w:t>-</w:t>
            </w:r>
          </w:p>
        </w:tc>
        <w:tc>
          <w:tcPr>
            <w:tcW w:w="301" w:type="pct"/>
            <w:tcBorders>
              <w:top w:val="single" w:sz="4" w:space="0" w:color="auto"/>
              <w:bottom w:val="single" w:sz="12" w:space="0" w:color="auto"/>
            </w:tcBorders>
            <w:noWrap/>
            <w:vAlign w:val="bottom"/>
          </w:tcPr>
          <w:p w14:paraId="73AD0FA0" w14:textId="6AC86939" w:rsidR="000A44B5" w:rsidRPr="00471CBA" w:rsidRDefault="000A44B5" w:rsidP="000A44B5">
            <w:pPr>
              <w:jc w:val="right"/>
              <w:rPr>
                <w:b/>
                <w:sz w:val="16"/>
                <w:szCs w:val="16"/>
              </w:rPr>
            </w:pPr>
            <w:r w:rsidRPr="00471CBA">
              <w:rPr>
                <w:b/>
                <w:sz w:val="16"/>
                <w:szCs w:val="16"/>
              </w:rPr>
              <w:t>60.007</w:t>
            </w:r>
          </w:p>
        </w:tc>
        <w:tc>
          <w:tcPr>
            <w:tcW w:w="280" w:type="pct"/>
            <w:tcBorders>
              <w:top w:val="single" w:sz="4" w:space="0" w:color="auto"/>
              <w:bottom w:val="single" w:sz="12" w:space="0" w:color="auto"/>
            </w:tcBorders>
            <w:noWrap/>
            <w:vAlign w:val="bottom"/>
          </w:tcPr>
          <w:p w14:paraId="513D5C8B" w14:textId="474A5BCE" w:rsidR="000A44B5" w:rsidRPr="00471CBA" w:rsidRDefault="000A44B5" w:rsidP="000A44B5">
            <w:pPr>
              <w:jc w:val="right"/>
              <w:rPr>
                <w:b/>
                <w:sz w:val="16"/>
                <w:szCs w:val="16"/>
              </w:rPr>
            </w:pPr>
            <w:r w:rsidRPr="00471CBA">
              <w:rPr>
                <w:b/>
                <w:sz w:val="16"/>
                <w:szCs w:val="16"/>
              </w:rPr>
              <w:t>-</w:t>
            </w:r>
          </w:p>
        </w:tc>
        <w:tc>
          <w:tcPr>
            <w:tcW w:w="280" w:type="pct"/>
            <w:tcBorders>
              <w:top w:val="single" w:sz="4" w:space="0" w:color="auto"/>
              <w:bottom w:val="single" w:sz="12" w:space="0" w:color="auto"/>
            </w:tcBorders>
            <w:vAlign w:val="bottom"/>
          </w:tcPr>
          <w:p w14:paraId="3A141E3B" w14:textId="3DAF0994" w:rsidR="000A44B5" w:rsidRPr="00471CBA" w:rsidRDefault="000A44B5" w:rsidP="000A44B5">
            <w:pPr>
              <w:jc w:val="right"/>
              <w:rPr>
                <w:b/>
                <w:sz w:val="16"/>
                <w:szCs w:val="16"/>
              </w:rPr>
            </w:pPr>
            <w:r w:rsidRPr="00471CBA">
              <w:rPr>
                <w:b/>
                <w:sz w:val="16"/>
                <w:szCs w:val="16"/>
              </w:rPr>
              <w:t>-</w:t>
            </w:r>
          </w:p>
        </w:tc>
        <w:tc>
          <w:tcPr>
            <w:tcW w:w="271" w:type="pct"/>
            <w:tcBorders>
              <w:top w:val="single" w:sz="4" w:space="0" w:color="auto"/>
              <w:bottom w:val="single" w:sz="12" w:space="0" w:color="auto"/>
            </w:tcBorders>
            <w:noWrap/>
            <w:vAlign w:val="bottom"/>
          </w:tcPr>
          <w:p w14:paraId="30D8A031" w14:textId="05D8AC11" w:rsidR="000A44B5" w:rsidRPr="00471CBA" w:rsidRDefault="000A44B5" w:rsidP="000A44B5">
            <w:pPr>
              <w:jc w:val="right"/>
              <w:rPr>
                <w:b/>
                <w:sz w:val="16"/>
                <w:szCs w:val="16"/>
              </w:rPr>
            </w:pPr>
            <w:r w:rsidRPr="00471CBA">
              <w:rPr>
                <w:b/>
                <w:sz w:val="16"/>
                <w:szCs w:val="16"/>
              </w:rPr>
              <w:t>-</w:t>
            </w:r>
          </w:p>
        </w:tc>
        <w:tc>
          <w:tcPr>
            <w:tcW w:w="350" w:type="pct"/>
            <w:tcBorders>
              <w:top w:val="single" w:sz="4" w:space="0" w:color="auto"/>
              <w:bottom w:val="single" w:sz="12" w:space="0" w:color="auto"/>
            </w:tcBorders>
            <w:noWrap/>
            <w:vAlign w:val="bottom"/>
          </w:tcPr>
          <w:p w14:paraId="01863AB7" w14:textId="14EB49EE" w:rsidR="000A44B5" w:rsidRPr="00471CBA" w:rsidRDefault="000A44B5" w:rsidP="000A44B5">
            <w:pPr>
              <w:jc w:val="right"/>
              <w:rPr>
                <w:b/>
                <w:sz w:val="16"/>
                <w:szCs w:val="16"/>
              </w:rPr>
            </w:pPr>
            <w:r w:rsidRPr="00471CBA">
              <w:rPr>
                <w:b/>
                <w:sz w:val="16"/>
                <w:szCs w:val="16"/>
              </w:rPr>
              <w:t>560.001</w:t>
            </w:r>
          </w:p>
        </w:tc>
      </w:tr>
    </w:tbl>
    <w:p w14:paraId="7FC22818" w14:textId="77777777" w:rsidR="00EE0925" w:rsidRPr="00471CBA" w:rsidRDefault="00EE0925" w:rsidP="00EE0925">
      <w:pPr>
        <w:tabs>
          <w:tab w:val="left" w:pos="3794"/>
        </w:tabs>
        <w:spacing w:before="120" w:after="120"/>
        <w:ind w:right="-182"/>
        <w:jc w:val="both"/>
        <w:rPr>
          <w:rFonts w:ascii="Arial" w:hAnsi="Arial" w:cs="Arial"/>
          <w:b/>
          <w:sz w:val="18"/>
          <w:szCs w:val="20"/>
        </w:rPr>
      </w:pPr>
      <w:r w:rsidRPr="00471CBA">
        <w:rPr>
          <w:rFonts w:ascii="Arial" w:hAnsi="Arial" w:cs="Arial"/>
          <w:sz w:val="16"/>
          <w:szCs w:val="20"/>
          <w:vertAlign w:val="superscript"/>
        </w:rPr>
        <w:t>(*)</w:t>
      </w:r>
      <w:r w:rsidRPr="00471CBA">
        <w:rPr>
          <w:rFonts w:ascii="Arial" w:hAnsi="Arial" w:cs="Arial"/>
          <w:sz w:val="16"/>
          <w:szCs w:val="20"/>
        </w:rPr>
        <w:t xml:space="preserve"> Toplam kredi riski: Karşı taraf kredi riski ölçüm teknikleri uygulandıktan sonra sermaye yeterliliği hesaplamasıyla ilgili olan tutar.</w:t>
      </w:r>
    </w:p>
    <w:p w14:paraId="56892142" w14:textId="77777777" w:rsidR="00EE0925" w:rsidRPr="00471CBA" w:rsidRDefault="00EE0925" w:rsidP="00EE0925">
      <w:pPr>
        <w:spacing w:before="120" w:after="120"/>
        <w:ind w:left="567" w:hanging="568"/>
        <w:rPr>
          <w:b/>
          <w:szCs w:val="20"/>
        </w:rPr>
      </w:pPr>
      <w:r w:rsidRPr="00471CBA">
        <w:rPr>
          <w:b/>
          <w:szCs w:val="20"/>
        </w:rPr>
        <w:t>d.4.</w:t>
      </w:r>
      <w:bookmarkStart w:id="72" w:name="_Hlk127256254"/>
      <w:r w:rsidRPr="00471CBA">
        <w:rPr>
          <w:b/>
          <w:szCs w:val="20"/>
        </w:rPr>
        <w:tab/>
        <w:t>KKR İçin Kullanılan Teminatlar:</w:t>
      </w:r>
      <w:bookmarkEnd w:id="72"/>
    </w:p>
    <w:tbl>
      <w:tblPr>
        <w:tblW w:w="5000" w:type="pct"/>
        <w:tblCellMar>
          <w:left w:w="70" w:type="dxa"/>
          <w:right w:w="70" w:type="dxa"/>
        </w:tblCellMar>
        <w:tblLook w:val="04A0" w:firstRow="1" w:lastRow="0" w:firstColumn="1" w:lastColumn="0" w:noHBand="0" w:noVBand="1"/>
      </w:tblPr>
      <w:tblGrid>
        <w:gridCol w:w="2575"/>
        <w:gridCol w:w="1160"/>
        <w:gridCol w:w="1208"/>
        <w:gridCol w:w="1161"/>
        <w:gridCol w:w="1213"/>
        <w:gridCol w:w="1161"/>
        <w:gridCol w:w="1161"/>
      </w:tblGrid>
      <w:tr w:rsidR="00EE0925" w:rsidRPr="00471CBA" w14:paraId="058114A3" w14:textId="77777777" w:rsidTr="00B0049C">
        <w:trPr>
          <w:trHeight w:val="20"/>
        </w:trPr>
        <w:tc>
          <w:tcPr>
            <w:tcW w:w="1336" w:type="pct"/>
            <w:vMerge w:val="restart"/>
            <w:tcBorders>
              <w:top w:val="single" w:sz="4" w:space="0" w:color="auto"/>
            </w:tcBorders>
            <w:noWrap/>
            <w:vAlign w:val="center"/>
            <w:hideMark/>
          </w:tcPr>
          <w:p w14:paraId="65CDBEDC" w14:textId="2A824BCA" w:rsidR="00EE0925" w:rsidRPr="00471CBA" w:rsidRDefault="00880899" w:rsidP="00B0049C">
            <w:pPr>
              <w:rPr>
                <w:b/>
                <w:sz w:val="16"/>
                <w:szCs w:val="16"/>
              </w:rPr>
            </w:pPr>
            <w:bookmarkStart w:id="73" w:name="_Hlk127256290"/>
            <w:r w:rsidRPr="00471CBA">
              <w:rPr>
                <w:b/>
                <w:sz w:val="16"/>
                <w:szCs w:val="16"/>
              </w:rPr>
              <w:t xml:space="preserve">31 Aralık </w:t>
            </w:r>
            <w:r w:rsidR="00EE0925" w:rsidRPr="00471CBA">
              <w:rPr>
                <w:b/>
                <w:sz w:val="16"/>
                <w:szCs w:val="16"/>
              </w:rPr>
              <w:t>2025</w:t>
            </w:r>
          </w:p>
        </w:tc>
        <w:tc>
          <w:tcPr>
            <w:tcW w:w="2460" w:type="pct"/>
            <w:gridSpan w:val="4"/>
            <w:tcBorders>
              <w:top w:val="single" w:sz="4" w:space="0" w:color="auto"/>
              <w:bottom w:val="single" w:sz="4" w:space="0" w:color="auto"/>
            </w:tcBorders>
            <w:vAlign w:val="bottom"/>
            <w:hideMark/>
          </w:tcPr>
          <w:p w14:paraId="211FEE9E" w14:textId="77777777" w:rsidR="00EE0925" w:rsidRPr="00471CBA" w:rsidRDefault="00EE0925" w:rsidP="00B0049C">
            <w:pPr>
              <w:jc w:val="center"/>
              <w:rPr>
                <w:b/>
                <w:sz w:val="16"/>
                <w:szCs w:val="16"/>
              </w:rPr>
            </w:pPr>
            <w:r w:rsidRPr="00471CBA">
              <w:rPr>
                <w:b/>
                <w:sz w:val="16"/>
                <w:szCs w:val="16"/>
              </w:rPr>
              <w:t>Türev finansal araç teminatları</w:t>
            </w:r>
          </w:p>
        </w:tc>
        <w:tc>
          <w:tcPr>
            <w:tcW w:w="1204" w:type="pct"/>
            <w:gridSpan w:val="2"/>
            <w:tcBorders>
              <w:top w:val="single" w:sz="4" w:space="0" w:color="auto"/>
              <w:bottom w:val="single" w:sz="4" w:space="0" w:color="auto"/>
            </w:tcBorders>
            <w:vAlign w:val="bottom"/>
            <w:hideMark/>
          </w:tcPr>
          <w:p w14:paraId="6111DE11" w14:textId="77777777" w:rsidR="00EE0925" w:rsidRPr="00471CBA" w:rsidRDefault="00EE0925" w:rsidP="00B0049C">
            <w:pPr>
              <w:jc w:val="center"/>
              <w:rPr>
                <w:b/>
                <w:sz w:val="16"/>
                <w:szCs w:val="16"/>
              </w:rPr>
            </w:pPr>
            <w:r w:rsidRPr="00471CBA">
              <w:rPr>
                <w:b/>
                <w:sz w:val="16"/>
                <w:szCs w:val="16"/>
              </w:rPr>
              <w:t>Diğer işlem teminatları</w:t>
            </w:r>
          </w:p>
        </w:tc>
      </w:tr>
      <w:tr w:rsidR="00EE0925" w:rsidRPr="00471CBA" w14:paraId="4B093EB2" w14:textId="77777777" w:rsidTr="00B0049C">
        <w:trPr>
          <w:trHeight w:val="20"/>
        </w:trPr>
        <w:tc>
          <w:tcPr>
            <w:tcW w:w="1336" w:type="pct"/>
            <w:vMerge/>
            <w:noWrap/>
            <w:vAlign w:val="bottom"/>
            <w:hideMark/>
          </w:tcPr>
          <w:p w14:paraId="44015841" w14:textId="77777777" w:rsidR="00EE0925" w:rsidRPr="00471CBA" w:rsidRDefault="00EE0925" w:rsidP="00B0049C">
            <w:pPr>
              <w:rPr>
                <w:b/>
                <w:sz w:val="16"/>
                <w:szCs w:val="16"/>
              </w:rPr>
            </w:pPr>
          </w:p>
        </w:tc>
        <w:tc>
          <w:tcPr>
            <w:tcW w:w="1228" w:type="pct"/>
            <w:gridSpan w:val="2"/>
            <w:tcBorders>
              <w:top w:val="single" w:sz="4" w:space="0" w:color="auto"/>
              <w:bottom w:val="single" w:sz="4" w:space="0" w:color="auto"/>
            </w:tcBorders>
            <w:noWrap/>
            <w:vAlign w:val="bottom"/>
            <w:hideMark/>
          </w:tcPr>
          <w:p w14:paraId="02A38172" w14:textId="77777777" w:rsidR="00EE0925" w:rsidRPr="00471CBA" w:rsidRDefault="00EE0925" w:rsidP="00B0049C">
            <w:pPr>
              <w:jc w:val="center"/>
              <w:rPr>
                <w:b/>
                <w:sz w:val="16"/>
                <w:szCs w:val="16"/>
              </w:rPr>
            </w:pPr>
            <w:r w:rsidRPr="00471CBA">
              <w:rPr>
                <w:b/>
                <w:sz w:val="16"/>
                <w:szCs w:val="16"/>
              </w:rPr>
              <w:t>Alınan teminatlar</w:t>
            </w:r>
          </w:p>
        </w:tc>
        <w:tc>
          <w:tcPr>
            <w:tcW w:w="1231" w:type="pct"/>
            <w:gridSpan w:val="2"/>
            <w:tcBorders>
              <w:top w:val="single" w:sz="4" w:space="0" w:color="auto"/>
              <w:bottom w:val="single" w:sz="4" w:space="0" w:color="auto"/>
            </w:tcBorders>
            <w:noWrap/>
            <w:vAlign w:val="bottom"/>
            <w:hideMark/>
          </w:tcPr>
          <w:p w14:paraId="55A99EFF" w14:textId="77777777" w:rsidR="00EE0925" w:rsidRPr="00471CBA" w:rsidRDefault="00EE0925" w:rsidP="00B0049C">
            <w:pPr>
              <w:jc w:val="center"/>
              <w:rPr>
                <w:b/>
                <w:sz w:val="16"/>
                <w:szCs w:val="16"/>
              </w:rPr>
            </w:pPr>
            <w:r w:rsidRPr="00471CBA">
              <w:rPr>
                <w:b/>
                <w:sz w:val="16"/>
                <w:szCs w:val="16"/>
              </w:rPr>
              <w:t>Verilen teminatlar</w:t>
            </w:r>
          </w:p>
        </w:tc>
        <w:tc>
          <w:tcPr>
            <w:tcW w:w="602" w:type="pct"/>
            <w:vMerge w:val="restart"/>
            <w:tcBorders>
              <w:top w:val="single" w:sz="4" w:space="0" w:color="auto"/>
            </w:tcBorders>
            <w:vAlign w:val="bottom"/>
            <w:hideMark/>
          </w:tcPr>
          <w:p w14:paraId="67457966" w14:textId="77777777" w:rsidR="00EE0925" w:rsidRPr="00471CBA" w:rsidRDefault="00EE0925" w:rsidP="00B0049C">
            <w:pPr>
              <w:jc w:val="center"/>
              <w:rPr>
                <w:b/>
                <w:sz w:val="16"/>
                <w:szCs w:val="16"/>
              </w:rPr>
            </w:pPr>
            <w:r w:rsidRPr="00471CBA">
              <w:rPr>
                <w:b/>
                <w:sz w:val="16"/>
                <w:szCs w:val="16"/>
              </w:rPr>
              <w:t>Alınan teminatlar</w:t>
            </w:r>
          </w:p>
        </w:tc>
        <w:tc>
          <w:tcPr>
            <w:tcW w:w="602" w:type="pct"/>
            <w:vMerge w:val="restart"/>
            <w:tcBorders>
              <w:top w:val="single" w:sz="4" w:space="0" w:color="auto"/>
            </w:tcBorders>
            <w:vAlign w:val="bottom"/>
            <w:hideMark/>
          </w:tcPr>
          <w:p w14:paraId="6F4F29F3" w14:textId="77777777" w:rsidR="00EE0925" w:rsidRPr="00471CBA" w:rsidRDefault="00EE0925" w:rsidP="00B0049C">
            <w:pPr>
              <w:jc w:val="center"/>
              <w:rPr>
                <w:b/>
                <w:sz w:val="16"/>
                <w:szCs w:val="16"/>
              </w:rPr>
            </w:pPr>
            <w:r w:rsidRPr="00471CBA">
              <w:rPr>
                <w:b/>
                <w:sz w:val="16"/>
                <w:szCs w:val="16"/>
              </w:rPr>
              <w:t>Verilen teminatlar</w:t>
            </w:r>
          </w:p>
        </w:tc>
      </w:tr>
      <w:tr w:rsidR="00EE0925" w:rsidRPr="00471CBA" w14:paraId="7A7F2310" w14:textId="77777777" w:rsidTr="00B0049C">
        <w:trPr>
          <w:trHeight w:val="20"/>
        </w:trPr>
        <w:tc>
          <w:tcPr>
            <w:tcW w:w="1336" w:type="pct"/>
            <w:vMerge/>
            <w:tcBorders>
              <w:bottom w:val="single" w:sz="4" w:space="0" w:color="auto"/>
            </w:tcBorders>
            <w:vAlign w:val="bottom"/>
            <w:hideMark/>
          </w:tcPr>
          <w:p w14:paraId="3CB71066" w14:textId="77777777" w:rsidR="00EE0925" w:rsidRPr="00471CBA" w:rsidRDefault="00EE0925" w:rsidP="00B0049C">
            <w:pPr>
              <w:rPr>
                <w:sz w:val="16"/>
                <w:szCs w:val="16"/>
              </w:rPr>
            </w:pPr>
          </w:p>
        </w:tc>
        <w:tc>
          <w:tcPr>
            <w:tcW w:w="602" w:type="pct"/>
            <w:tcBorders>
              <w:top w:val="single" w:sz="4" w:space="0" w:color="auto"/>
              <w:bottom w:val="single" w:sz="4" w:space="0" w:color="auto"/>
            </w:tcBorders>
            <w:noWrap/>
            <w:vAlign w:val="bottom"/>
            <w:hideMark/>
          </w:tcPr>
          <w:p w14:paraId="55FCFBCF" w14:textId="77777777" w:rsidR="00EE0925" w:rsidRPr="00471CBA" w:rsidRDefault="00EE0925" w:rsidP="00B0049C">
            <w:pPr>
              <w:jc w:val="center"/>
              <w:rPr>
                <w:b/>
                <w:sz w:val="16"/>
                <w:szCs w:val="16"/>
              </w:rPr>
            </w:pPr>
            <w:r w:rsidRPr="00471CBA">
              <w:rPr>
                <w:b/>
                <w:sz w:val="16"/>
                <w:szCs w:val="16"/>
              </w:rPr>
              <w:t>Ayrılmış</w:t>
            </w:r>
          </w:p>
        </w:tc>
        <w:tc>
          <w:tcPr>
            <w:tcW w:w="627" w:type="pct"/>
            <w:tcBorders>
              <w:top w:val="single" w:sz="4" w:space="0" w:color="auto"/>
              <w:bottom w:val="single" w:sz="4" w:space="0" w:color="auto"/>
            </w:tcBorders>
            <w:noWrap/>
            <w:vAlign w:val="bottom"/>
            <w:hideMark/>
          </w:tcPr>
          <w:p w14:paraId="65551D79" w14:textId="77777777" w:rsidR="00EE0925" w:rsidRPr="00471CBA" w:rsidRDefault="00EE0925" w:rsidP="00B0049C">
            <w:pPr>
              <w:jc w:val="center"/>
              <w:rPr>
                <w:b/>
                <w:sz w:val="16"/>
                <w:szCs w:val="16"/>
              </w:rPr>
            </w:pPr>
            <w:r w:rsidRPr="00471CBA">
              <w:rPr>
                <w:b/>
                <w:sz w:val="16"/>
                <w:szCs w:val="16"/>
              </w:rPr>
              <w:t>Ayrılmamış</w:t>
            </w:r>
          </w:p>
        </w:tc>
        <w:tc>
          <w:tcPr>
            <w:tcW w:w="602" w:type="pct"/>
            <w:tcBorders>
              <w:top w:val="single" w:sz="4" w:space="0" w:color="auto"/>
              <w:bottom w:val="single" w:sz="4" w:space="0" w:color="auto"/>
            </w:tcBorders>
            <w:noWrap/>
            <w:vAlign w:val="bottom"/>
            <w:hideMark/>
          </w:tcPr>
          <w:p w14:paraId="0D588CAB" w14:textId="77777777" w:rsidR="00EE0925" w:rsidRPr="00471CBA" w:rsidRDefault="00EE0925" w:rsidP="00B0049C">
            <w:pPr>
              <w:jc w:val="center"/>
              <w:rPr>
                <w:b/>
                <w:sz w:val="16"/>
                <w:szCs w:val="16"/>
              </w:rPr>
            </w:pPr>
            <w:r w:rsidRPr="00471CBA">
              <w:rPr>
                <w:b/>
                <w:sz w:val="16"/>
                <w:szCs w:val="16"/>
              </w:rPr>
              <w:t>Ayrılmış</w:t>
            </w:r>
          </w:p>
        </w:tc>
        <w:tc>
          <w:tcPr>
            <w:tcW w:w="629" w:type="pct"/>
            <w:tcBorders>
              <w:top w:val="single" w:sz="4" w:space="0" w:color="auto"/>
              <w:bottom w:val="single" w:sz="4" w:space="0" w:color="auto"/>
            </w:tcBorders>
            <w:noWrap/>
            <w:vAlign w:val="bottom"/>
            <w:hideMark/>
          </w:tcPr>
          <w:p w14:paraId="19192A34" w14:textId="77777777" w:rsidR="00EE0925" w:rsidRPr="00471CBA" w:rsidRDefault="00EE0925" w:rsidP="00B0049C">
            <w:pPr>
              <w:jc w:val="center"/>
              <w:rPr>
                <w:b/>
                <w:sz w:val="16"/>
                <w:szCs w:val="16"/>
              </w:rPr>
            </w:pPr>
            <w:r w:rsidRPr="00471CBA">
              <w:rPr>
                <w:b/>
                <w:sz w:val="16"/>
                <w:szCs w:val="16"/>
              </w:rPr>
              <w:t>Ayrılmamış</w:t>
            </w:r>
          </w:p>
        </w:tc>
        <w:tc>
          <w:tcPr>
            <w:tcW w:w="602" w:type="pct"/>
            <w:vMerge/>
            <w:tcBorders>
              <w:bottom w:val="single" w:sz="4" w:space="0" w:color="auto"/>
            </w:tcBorders>
            <w:vAlign w:val="bottom"/>
            <w:hideMark/>
          </w:tcPr>
          <w:p w14:paraId="7574DB90" w14:textId="77777777" w:rsidR="00EE0925" w:rsidRPr="00471CBA" w:rsidRDefault="00EE0925" w:rsidP="00B0049C">
            <w:pPr>
              <w:rPr>
                <w:sz w:val="16"/>
                <w:szCs w:val="16"/>
              </w:rPr>
            </w:pPr>
          </w:p>
        </w:tc>
        <w:tc>
          <w:tcPr>
            <w:tcW w:w="602" w:type="pct"/>
            <w:vMerge/>
            <w:tcBorders>
              <w:bottom w:val="single" w:sz="4" w:space="0" w:color="auto"/>
            </w:tcBorders>
            <w:vAlign w:val="bottom"/>
            <w:hideMark/>
          </w:tcPr>
          <w:p w14:paraId="1F1818E1" w14:textId="77777777" w:rsidR="00EE0925" w:rsidRPr="00471CBA" w:rsidRDefault="00EE0925" w:rsidP="00B0049C">
            <w:pPr>
              <w:rPr>
                <w:sz w:val="16"/>
                <w:szCs w:val="16"/>
              </w:rPr>
            </w:pPr>
          </w:p>
        </w:tc>
      </w:tr>
      <w:tr w:rsidR="00EE0925" w:rsidRPr="00471CBA" w14:paraId="3C81C953" w14:textId="77777777" w:rsidTr="00B0049C">
        <w:trPr>
          <w:trHeight w:val="20"/>
        </w:trPr>
        <w:tc>
          <w:tcPr>
            <w:tcW w:w="1336" w:type="pct"/>
            <w:tcBorders>
              <w:top w:val="single" w:sz="4" w:space="0" w:color="auto"/>
            </w:tcBorders>
            <w:noWrap/>
            <w:vAlign w:val="bottom"/>
          </w:tcPr>
          <w:p w14:paraId="7A7106E8" w14:textId="77777777" w:rsidR="00EE0925" w:rsidRPr="00471CBA" w:rsidRDefault="00EE0925" w:rsidP="00B0049C">
            <w:pPr>
              <w:rPr>
                <w:sz w:val="16"/>
                <w:szCs w:val="16"/>
              </w:rPr>
            </w:pPr>
          </w:p>
        </w:tc>
        <w:tc>
          <w:tcPr>
            <w:tcW w:w="602" w:type="pct"/>
            <w:tcBorders>
              <w:top w:val="single" w:sz="4" w:space="0" w:color="auto"/>
            </w:tcBorders>
            <w:noWrap/>
            <w:vAlign w:val="bottom"/>
          </w:tcPr>
          <w:p w14:paraId="5D22FA46" w14:textId="77777777" w:rsidR="00EE0925" w:rsidRPr="00471CBA" w:rsidRDefault="00EE0925" w:rsidP="00B0049C">
            <w:pPr>
              <w:jc w:val="right"/>
              <w:rPr>
                <w:sz w:val="16"/>
                <w:szCs w:val="16"/>
              </w:rPr>
            </w:pPr>
          </w:p>
        </w:tc>
        <w:tc>
          <w:tcPr>
            <w:tcW w:w="627" w:type="pct"/>
            <w:tcBorders>
              <w:top w:val="single" w:sz="4" w:space="0" w:color="auto"/>
            </w:tcBorders>
            <w:noWrap/>
            <w:vAlign w:val="bottom"/>
          </w:tcPr>
          <w:p w14:paraId="21E84359" w14:textId="77777777" w:rsidR="00EE0925" w:rsidRPr="00471CBA" w:rsidRDefault="00EE0925" w:rsidP="00B0049C">
            <w:pPr>
              <w:jc w:val="right"/>
              <w:rPr>
                <w:sz w:val="16"/>
                <w:szCs w:val="16"/>
              </w:rPr>
            </w:pPr>
          </w:p>
        </w:tc>
        <w:tc>
          <w:tcPr>
            <w:tcW w:w="602" w:type="pct"/>
            <w:tcBorders>
              <w:top w:val="single" w:sz="4" w:space="0" w:color="auto"/>
            </w:tcBorders>
            <w:noWrap/>
            <w:vAlign w:val="bottom"/>
          </w:tcPr>
          <w:p w14:paraId="666C60BB" w14:textId="77777777" w:rsidR="00EE0925" w:rsidRPr="00471CBA" w:rsidRDefault="00EE0925" w:rsidP="00B0049C">
            <w:pPr>
              <w:jc w:val="right"/>
              <w:rPr>
                <w:sz w:val="16"/>
                <w:szCs w:val="16"/>
              </w:rPr>
            </w:pPr>
          </w:p>
        </w:tc>
        <w:tc>
          <w:tcPr>
            <w:tcW w:w="629" w:type="pct"/>
            <w:tcBorders>
              <w:top w:val="single" w:sz="4" w:space="0" w:color="auto"/>
            </w:tcBorders>
            <w:noWrap/>
            <w:vAlign w:val="bottom"/>
          </w:tcPr>
          <w:p w14:paraId="66C7D700" w14:textId="77777777" w:rsidR="00EE0925" w:rsidRPr="00471CBA" w:rsidRDefault="00EE0925" w:rsidP="00B0049C">
            <w:pPr>
              <w:jc w:val="right"/>
              <w:rPr>
                <w:sz w:val="16"/>
                <w:szCs w:val="16"/>
              </w:rPr>
            </w:pPr>
          </w:p>
        </w:tc>
        <w:tc>
          <w:tcPr>
            <w:tcW w:w="602" w:type="pct"/>
            <w:tcBorders>
              <w:top w:val="single" w:sz="4" w:space="0" w:color="auto"/>
            </w:tcBorders>
            <w:vAlign w:val="bottom"/>
          </w:tcPr>
          <w:p w14:paraId="1B8FF883" w14:textId="77777777" w:rsidR="00EE0925" w:rsidRPr="00471CBA" w:rsidRDefault="00EE0925" w:rsidP="00B0049C">
            <w:pPr>
              <w:jc w:val="right"/>
              <w:rPr>
                <w:sz w:val="16"/>
                <w:szCs w:val="16"/>
              </w:rPr>
            </w:pPr>
          </w:p>
        </w:tc>
        <w:tc>
          <w:tcPr>
            <w:tcW w:w="602" w:type="pct"/>
            <w:tcBorders>
              <w:top w:val="single" w:sz="4" w:space="0" w:color="auto"/>
            </w:tcBorders>
            <w:vAlign w:val="bottom"/>
          </w:tcPr>
          <w:p w14:paraId="7D3D8770" w14:textId="77777777" w:rsidR="00EE0925" w:rsidRPr="00471CBA" w:rsidRDefault="00EE0925" w:rsidP="00B0049C">
            <w:pPr>
              <w:jc w:val="right"/>
              <w:rPr>
                <w:sz w:val="16"/>
                <w:szCs w:val="16"/>
              </w:rPr>
            </w:pPr>
          </w:p>
        </w:tc>
      </w:tr>
      <w:tr w:rsidR="000C2E4B" w:rsidRPr="00471CBA" w14:paraId="7E530688" w14:textId="77777777" w:rsidTr="000C2E4B">
        <w:trPr>
          <w:trHeight w:val="20"/>
        </w:trPr>
        <w:tc>
          <w:tcPr>
            <w:tcW w:w="1336" w:type="pct"/>
            <w:noWrap/>
            <w:vAlign w:val="bottom"/>
            <w:hideMark/>
          </w:tcPr>
          <w:p w14:paraId="5A1555E2" w14:textId="77777777" w:rsidR="000C2E4B" w:rsidRPr="00471CBA" w:rsidRDefault="000C2E4B" w:rsidP="000C2E4B">
            <w:pPr>
              <w:rPr>
                <w:sz w:val="16"/>
                <w:szCs w:val="16"/>
              </w:rPr>
            </w:pPr>
            <w:r w:rsidRPr="00471CBA">
              <w:rPr>
                <w:sz w:val="16"/>
                <w:szCs w:val="16"/>
              </w:rPr>
              <w:t>Nakit - yerli para</w:t>
            </w:r>
          </w:p>
        </w:tc>
        <w:tc>
          <w:tcPr>
            <w:tcW w:w="602" w:type="pct"/>
            <w:noWrap/>
            <w:vAlign w:val="bottom"/>
          </w:tcPr>
          <w:p w14:paraId="7F8CAC0B" w14:textId="56683337" w:rsidR="000C2E4B" w:rsidRPr="00471CBA" w:rsidRDefault="000C2E4B" w:rsidP="000C2E4B">
            <w:pPr>
              <w:jc w:val="right"/>
              <w:rPr>
                <w:sz w:val="16"/>
                <w:szCs w:val="16"/>
              </w:rPr>
            </w:pPr>
            <w:r w:rsidRPr="00471CBA">
              <w:rPr>
                <w:sz w:val="16"/>
                <w:szCs w:val="16"/>
              </w:rPr>
              <w:t>203.886</w:t>
            </w:r>
          </w:p>
        </w:tc>
        <w:tc>
          <w:tcPr>
            <w:tcW w:w="627" w:type="pct"/>
            <w:noWrap/>
            <w:vAlign w:val="bottom"/>
          </w:tcPr>
          <w:p w14:paraId="52B1263E" w14:textId="65691373" w:rsidR="000C2E4B" w:rsidRPr="00471CBA" w:rsidRDefault="000C2E4B" w:rsidP="000C2E4B">
            <w:pPr>
              <w:jc w:val="right"/>
              <w:rPr>
                <w:sz w:val="16"/>
                <w:szCs w:val="16"/>
              </w:rPr>
            </w:pPr>
            <w:r w:rsidRPr="00471CBA">
              <w:rPr>
                <w:sz w:val="16"/>
                <w:szCs w:val="16"/>
              </w:rPr>
              <w:t>-</w:t>
            </w:r>
          </w:p>
        </w:tc>
        <w:tc>
          <w:tcPr>
            <w:tcW w:w="602" w:type="pct"/>
            <w:noWrap/>
            <w:vAlign w:val="bottom"/>
          </w:tcPr>
          <w:p w14:paraId="7115094A" w14:textId="50D5D019" w:rsidR="000C2E4B" w:rsidRPr="00471CBA" w:rsidRDefault="000C2E4B" w:rsidP="000C2E4B">
            <w:pPr>
              <w:jc w:val="right"/>
              <w:rPr>
                <w:sz w:val="16"/>
                <w:szCs w:val="16"/>
              </w:rPr>
            </w:pPr>
            <w:r w:rsidRPr="00471CBA">
              <w:rPr>
                <w:sz w:val="16"/>
                <w:szCs w:val="16"/>
              </w:rPr>
              <w:t>-</w:t>
            </w:r>
          </w:p>
        </w:tc>
        <w:tc>
          <w:tcPr>
            <w:tcW w:w="629" w:type="pct"/>
            <w:noWrap/>
            <w:vAlign w:val="bottom"/>
          </w:tcPr>
          <w:p w14:paraId="4F1243E2" w14:textId="693D7725" w:rsidR="000C2E4B" w:rsidRPr="00471CBA" w:rsidRDefault="000C2E4B" w:rsidP="000C2E4B">
            <w:pPr>
              <w:jc w:val="right"/>
              <w:rPr>
                <w:sz w:val="16"/>
                <w:szCs w:val="16"/>
              </w:rPr>
            </w:pPr>
            <w:r w:rsidRPr="00471CBA">
              <w:rPr>
                <w:sz w:val="16"/>
                <w:szCs w:val="16"/>
              </w:rPr>
              <w:t>-</w:t>
            </w:r>
          </w:p>
        </w:tc>
        <w:tc>
          <w:tcPr>
            <w:tcW w:w="602" w:type="pct"/>
            <w:vAlign w:val="bottom"/>
          </w:tcPr>
          <w:p w14:paraId="0AC31371" w14:textId="7B54089D" w:rsidR="000C2E4B" w:rsidRPr="00471CBA" w:rsidRDefault="000C2E4B" w:rsidP="000C2E4B">
            <w:pPr>
              <w:jc w:val="right"/>
              <w:rPr>
                <w:sz w:val="16"/>
                <w:szCs w:val="16"/>
              </w:rPr>
            </w:pPr>
            <w:r w:rsidRPr="00471CBA">
              <w:rPr>
                <w:sz w:val="16"/>
                <w:szCs w:val="16"/>
              </w:rPr>
              <w:t>-</w:t>
            </w:r>
          </w:p>
        </w:tc>
        <w:tc>
          <w:tcPr>
            <w:tcW w:w="602" w:type="pct"/>
            <w:vAlign w:val="bottom"/>
          </w:tcPr>
          <w:p w14:paraId="78CD7D76" w14:textId="37226D1E" w:rsidR="000C2E4B" w:rsidRPr="00471CBA" w:rsidRDefault="000C2E4B" w:rsidP="000C2E4B">
            <w:pPr>
              <w:jc w:val="right"/>
              <w:rPr>
                <w:sz w:val="16"/>
                <w:szCs w:val="16"/>
              </w:rPr>
            </w:pPr>
            <w:r w:rsidRPr="00471CBA">
              <w:rPr>
                <w:sz w:val="16"/>
                <w:szCs w:val="16"/>
              </w:rPr>
              <w:t>-</w:t>
            </w:r>
          </w:p>
        </w:tc>
      </w:tr>
      <w:tr w:rsidR="000C2E4B" w:rsidRPr="00471CBA" w14:paraId="0A187822" w14:textId="77777777" w:rsidTr="000C2E4B">
        <w:trPr>
          <w:trHeight w:val="20"/>
        </w:trPr>
        <w:tc>
          <w:tcPr>
            <w:tcW w:w="1336" w:type="pct"/>
            <w:noWrap/>
            <w:vAlign w:val="bottom"/>
            <w:hideMark/>
          </w:tcPr>
          <w:p w14:paraId="522E9A8C" w14:textId="77777777" w:rsidR="000C2E4B" w:rsidRPr="00471CBA" w:rsidRDefault="000C2E4B" w:rsidP="000C2E4B">
            <w:pPr>
              <w:rPr>
                <w:sz w:val="16"/>
                <w:szCs w:val="16"/>
              </w:rPr>
            </w:pPr>
            <w:r w:rsidRPr="00471CBA">
              <w:rPr>
                <w:sz w:val="16"/>
                <w:szCs w:val="16"/>
              </w:rPr>
              <w:t>Nakit - yabancı para</w:t>
            </w:r>
          </w:p>
        </w:tc>
        <w:tc>
          <w:tcPr>
            <w:tcW w:w="602" w:type="pct"/>
            <w:noWrap/>
            <w:vAlign w:val="bottom"/>
          </w:tcPr>
          <w:p w14:paraId="60EBD289" w14:textId="0C73C0E9" w:rsidR="000C2E4B" w:rsidRPr="00471CBA" w:rsidRDefault="000C2E4B" w:rsidP="000C2E4B">
            <w:pPr>
              <w:jc w:val="right"/>
              <w:rPr>
                <w:sz w:val="16"/>
                <w:szCs w:val="16"/>
              </w:rPr>
            </w:pPr>
            <w:r w:rsidRPr="00471CBA">
              <w:rPr>
                <w:sz w:val="16"/>
                <w:szCs w:val="16"/>
              </w:rPr>
              <w:t>5.054.036</w:t>
            </w:r>
          </w:p>
        </w:tc>
        <w:tc>
          <w:tcPr>
            <w:tcW w:w="627" w:type="pct"/>
            <w:noWrap/>
            <w:vAlign w:val="bottom"/>
          </w:tcPr>
          <w:p w14:paraId="51F8BE44" w14:textId="0A70660C" w:rsidR="000C2E4B" w:rsidRPr="00471CBA" w:rsidRDefault="000C2E4B" w:rsidP="000C2E4B">
            <w:pPr>
              <w:jc w:val="right"/>
              <w:rPr>
                <w:sz w:val="16"/>
                <w:szCs w:val="16"/>
              </w:rPr>
            </w:pPr>
            <w:r w:rsidRPr="00471CBA">
              <w:rPr>
                <w:sz w:val="16"/>
                <w:szCs w:val="16"/>
              </w:rPr>
              <w:t>-</w:t>
            </w:r>
          </w:p>
        </w:tc>
        <w:tc>
          <w:tcPr>
            <w:tcW w:w="602" w:type="pct"/>
            <w:noWrap/>
            <w:vAlign w:val="bottom"/>
          </w:tcPr>
          <w:p w14:paraId="4EA81124" w14:textId="5DB3BE18" w:rsidR="000C2E4B" w:rsidRPr="00471CBA" w:rsidRDefault="000C2E4B" w:rsidP="000C2E4B">
            <w:pPr>
              <w:jc w:val="right"/>
              <w:rPr>
                <w:sz w:val="16"/>
                <w:szCs w:val="16"/>
              </w:rPr>
            </w:pPr>
            <w:r w:rsidRPr="00471CBA">
              <w:rPr>
                <w:sz w:val="16"/>
                <w:szCs w:val="16"/>
              </w:rPr>
              <w:t>-</w:t>
            </w:r>
          </w:p>
        </w:tc>
        <w:tc>
          <w:tcPr>
            <w:tcW w:w="629" w:type="pct"/>
            <w:noWrap/>
            <w:vAlign w:val="bottom"/>
          </w:tcPr>
          <w:p w14:paraId="20A67523" w14:textId="6AA41E24" w:rsidR="000C2E4B" w:rsidRPr="00471CBA" w:rsidRDefault="000C2E4B" w:rsidP="000C2E4B">
            <w:pPr>
              <w:jc w:val="right"/>
              <w:rPr>
                <w:sz w:val="16"/>
                <w:szCs w:val="16"/>
              </w:rPr>
            </w:pPr>
            <w:r w:rsidRPr="00471CBA">
              <w:rPr>
                <w:sz w:val="16"/>
                <w:szCs w:val="16"/>
              </w:rPr>
              <w:t>-</w:t>
            </w:r>
          </w:p>
        </w:tc>
        <w:tc>
          <w:tcPr>
            <w:tcW w:w="602" w:type="pct"/>
            <w:vAlign w:val="bottom"/>
          </w:tcPr>
          <w:p w14:paraId="2CE87823" w14:textId="71C60656" w:rsidR="000C2E4B" w:rsidRPr="00471CBA" w:rsidRDefault="000C2E4B" w:rsidP="000C2E4B">
            <w:pPr>
              <w:jc w:val="right"/>
              <w:rPr>
                <w:sz w:val="16"/>
                <w:szCs w:val="16"/>
              </w:rPr>
            </w:pPr>
            <w:r w:rsidRPr="00471CBA">
              <w:rPr>
                <w:sz w:val="16"/>
                <w:szCs w:val="16"/>
              </w:rPr>
              <w:t>-</w:t>
            </w:r>
          </w:p>
        </w:tc>
        <w:tc>
          <w:tcPr>
            <w:tcW w:w="602" w:type="pct"/>
            <w:vAlign w:val="bottom"/>
          </w:tcPr>
          <w:p w14:paraId="6D55A7EF" w14:textId="498811F6" w:rsidR="000C2E4B" w:rsidRPr="00471CBA" w:rsidRDefault="000C2E4B" w:rsidP="000C2E4B">
            <w:pPr>
              <w:jc w:val="right"/>
              <w:rPr>
                <w:sz w:val="16"/>
                <w:szCs w:val="16"/>
              </w:rPr>
            </w:pPr>
            <w:r w:rsidRPr="00471CBA">
              <w:rPr>
                <w:sz w:val="16"/>
                <w:szCs w:val="16"/>
              </w:rPr>
              <w:t>-</w:t>
            </w:r>
          </w:p>
        </w:tc>
      </w:tr>
      <w:tr w:rsidR="000C2E4B" w:rsidRPr="00471CBA" w14:paraId="3FB6AC43" w14:textId="77777777" w:rsidTr="000C2E4B">
        <w:trPr>
          <w:trHeight w:val="20"/>
        </w:trPr>
        <w:tc>
          <w:tcPr>
            <w:tcW w:w="1336" w:type="pct"/>
            <w:noWrap/>
            <w:vAlign w:val="bottom"/>
            <w:hideMark/>
          </w:tcPr>
          <w:p w14:paraId="67C57103" w14:textId="77777777" w:rsidR="000C2E4B" w:rsidRPr="00471CBA" w:rsidRDefault="000C2E4B" w:rsidP="000C2E4B">
            <w:pPr>
              <w:rPr>
                <w:sz w:val="16"/>
                <w:szCs w:val="16"/>
              </w:rPr>
            </w:pPr>
            <w:r w:rsidRPr="00471CBA">
              <w:rPr>
                <w:sz w:val="16"/>
                <w:szCs w:val="16"/>
              </w:rPr>
              <w:t>Devlet tahvil/bono - yerli</w:t>
            </w:r>
          </w:p>
        </w:tc>
        <w:tc>
          <w:tcPr>
            <w:tcW w:w="602" w:type="pct"/>
            <w:noWrap/>
            <w:vAlign w:val="bottom"/>
          </w:tcPr>
          <w:p w14:paraId="1C8D76EE" w14:textId="3B8E43FD" w:rsidR="000C2E4B" w:rsidRPr="00471CBA" w:rsidRDefault="000C2E4B" w:rsidP="000C2E4B">
            <w:pPr>
              <w:jc w:val="right"/>
              <w:rPr>
                <w:sz w:val="16"/>
                <w:szCs w:val="16"/>
              </w:rPr>
            </w:pPr>
            <w:r w:rsidRPr="00471CBA">
              <w:rPr>
                <w:sz w:val="16"/>
                <w:szCs w:val="16"/>
              </w:rPr>
              <w:t>-</w:t>
            </w:r>
          </w:p>
        </w:tc>
        <w:tc>
          <w:tcPr>
            <w:tcW w:w="627" w:type="pct"/>
            <w:noWrap/>
            <w:vAlign w:val="bottom"/>
          </w:tcPr>
          <w:p w14:paraId="7A183F15" w14:textId="4BC77428" w:rsidR="000C2E4B" w:rsidRPr="00471CBA" w:rsidRDefault="000C2E4B" w:rsidP="000C2E4B">
            <w:pPr>
              <w:jc w:val="right"/>
              <w:rPr>
                <w:sz w:val="16"/>
                <w:szCs w:val="16"/>
              </w:rPr>
            </w:pPr>
            <w:r w:rsidRPr="00471CBA">
              <w:rPr>
                <w:sz w:val="16"/>
                <w:szCs w:val="16"/>
              </w:rPr>
              <w:t>-</w:t>
            </w:r>
          </w:p>
        </w:tc>
        <w:tc>
          <w:tcPr>
            <w:tcW w:w="602" w:type="pct"/>
            <w:noWrap/>
            <w:vAlign w:val="bottom"/>
          </w:tcPr>
          <w:p w14:paraId="0F38F26E" w14:textId="08B4C086" w:rsidR="000C2E4B" w:rsidRPr="00471CBA" w:rsidRDefault="000C2E4B" w:rsidP="000C2E4B">
            <w:pPr>
              <w:jc w:val="right"/>
              <w:rPr>
                <w:sz w:val="16"/>
                <w:szCs w:val="16"/>
              </w:rPr>
            </w:pPr>
            <w:r w:rsidRPr="00471CBA">
              <w:rPr>
                <w:sz w:val="16"/>
                <w:szCs w:val="16"/>
              </w:rPr>
              <w:t>-</w:t>
            </w:r>
          </w:p>
        </w:tc>
        <w:tc>
          <w:tcPr>
            <w:tcW w:w="629" w:type="pct"/>
            <w:noWrap/>
            <w:vAlign w:val="bottom"/>
          </w:tcPr>
          <w:p w14:paraId="16B92BB9" w14:textId="5CC90785" w:rsidR="000C2E4B" w:rsidRPr="00471CBA" w:rsidRDefault="000C2E4B" w:rsidP="000C2E4B">
            <w:pPr>
              <w:jc w:val="right"/>
              <w:rPr>
                <w:sz w:val="16"/>
                <w:szCs w:val="16"/>
              </w:rPr>
            </w:pPr>
            <w:r w:rsidRPr="00471CBA">
              <w:rPr>
                <w:sz w:val="16"/>
                <w:szCs w:val="16"/>
              </w:rPr>
              <w:t>-</w:t>
            </w:r>
          </w:p>
        </w:tc>
        <w:tc>
          <w:tcPr>
            <w:tcW w:w="602" w:type="pct"/>
            <w:vAlign w:val="bottom"/>
          </w:tcPr>
          <w:p w14:paraId="58CF0FCD" w14:textId="516D8E8A" w:rsidR="000C2E4B" w:rsidRPr="00471CBA" w:rsidRDefault="000C2E4B" w:rsidP="000C2E4B">
            <w:pPr>
              <w:jc w:val="right"/>
              <w:rPr>
                <w:sz w:val="16"/>
                <w:szCs w:val="16"/>
              </w:rPr>
            </w:pPr>
            <w:r w:rsidRPr="00471CBA">
              <w:rPr>
                <w:sz w:val="16"/>
                <w:szCs w:val="16"/>
              </w:rPr>
              <w:t>-</w:t>
            </w:r>
          </w:p>
        </w:tc>
        <w:tc>
          <w:tcPr>
            <w:tcW w:w="602" w:type="pct"/>
            <w:vAlign w:val="bottom"/>
          </w:tcPr>
          <w:p w14:paraId="1A9E2323" w14:textId="321118F8" w:rsidR="000C2E4B" w:rsidRPr="00471CBA" w:rsidRDefault="000C2E4B" w:rsidP="000C2E4B">
            <w:pPr>
              <w:jc w:val="right"/>
              <w:rPr>
                <w:sz w:val="16"/>
                <w:szCs w:val="16"/>
              </w:rPr>
            </w:pPr>
            <w:r w:rsidRPr="00471CBA">
              <w:rPr>
                <w:sz w:val="16"/>
                <w:szCs w:val="16"/>
              </w:rPr>
              <w:t>-</w:t>
            </w:r>
          </w:p>
        </w:tc>
      </w:tr>
      <w:tr w:rsidR="000C2E4B" w:rsidRPr="00471CBA" w14:paraId="46965207" w14:textId="77777777" w:rsidTr="000C2E4B">
        <w:trPr>
          <w:trHeight w:val="20"/>
        </w:trPr>
        <w:tc>
          <w:tcPr>
            <w:tcW w:w="1336" w:type="pct"/>
            <w:noWrap/>
            <w:vAlign w:val="bottom"/>
            <w:hideMark/>
          </w:tcPr>
          <w:p w14:paraId="5DFB692B" w14:textId="77777777" w:rsidR="000C2E4B" w:rsidRPr="00471CBA" w:rsidRDefault="000C2E4B" w:rsidP="000C2E4B">
            <w:pPr>
              <w:rPr>
                <w:sz w:val="16"/>
                <w:szCs w:val="16"/>
              </w:rPr>
            </w:pPr>
            <w:r w:rsidRPr="00471CBA">
              <w:rPr>
                <w:sz w:val="16"/>
                <w:szCs w:val="16"/>
              </w:rPr>
              <w:t>Devlet tahvil/bono - diğer</w:t>
            </w:r>
          </w:p>
        </w:tc>
        <w:tc>
          <w:tcPr>
            <w:tcW w:w="602" w:type="pct"/>
            <w:noWrap/>
            <w:vAlign w:val="bottom"/>
          </w:tcPr>
          <w:p w14:paraId="10FE86DE" w14:textId="3BFAB3A3" w:rsidR="000C2E4B" w:rsidRPr="00471CBA" w:rsidRDefault="000C2E4B" w:rsidP="000C2E4B">
            <w:pPr>
              <w:jc w:val="right"/>
              <w:rPr>
                <w:sz w:val="16"/>
                <w:szCs w:val="16"/>
              </w:rPr>
            </w:pPr>
            <w:r w:rsidRPr="00471CBA">
              <w:rPr>
                <w:sz w:val="16"/>
                <w:szCs w:val="16"/>
              </w:rPr>
              <w:t>-</w:t>
            </w:r>
          </w:p>
        </w:tc>
        <w:tc>
          <w:tcPr>
            <w:tcW w:w="627" w:type="pct"/>
            <w:noWrap/>
            <w:vAlign w:val="bottom"/>
          </w:tcPr>
          <w:p w14:paraId="0F88A9E0" w14:textId="3D20E9BD" w:rsidR="000C2E4B" w:rsidRPr="00471CBA" w:rsidRDefault="000C2E4B" w:rsidP="000C2E4B">
            <w:pPr>
              <w:jc w:val="right"/>
              <w:rPr>
                <w:sz w:val="16"/>
                <w:szCs w:val="16"/>
              </w:rPr>
            </w:pPr>
            <w:r w:rsidRPr="00471CBA">
              <w:rPr>
                <w:sz w:val="16"/>
                <w:szCs w:val="16"/>
              </w:rPr>
              <w:t>-</w:t>
            </w:r>
          </w:p>
        </w:tc>
        <w:tc>
          <w:tcPr>
            <w:tcW w:w="602" w:type="pct"/>
            <w:noWrap/>
            <w:vAlign w:val="bottom"/>
          </w:tcPr>
          <w:p w14:paraId="08E9A4D6" w14:textId="36B575F8" w:rsidR="000C2E4B" w:rsidRPr="00471CBA" w:rsidRDefault="000C2E4B" w:rsidP="000C2E4B">
            <w:pPr>
              <w:jc w:val="right"/>
              <w:rPr>
                <w:sz w:val="16"/>
                <w:szCs w:val="16"/>
              </w:rPr>
            </w:pPr>
            <w:r w:rsidRPr="00471CBA">
              <w:rPr>
                <w:sz w:val="16"/>
                <w:szCs w:val="16"/>
              </w:rPr>
              <w:t>-</w:t>
            </w:r>
          </w:p>
        </w:tc>
        <w:tc>
          <w:tcPr>
            <w:tcW w:w="629" w:type="pct"/>
            <w:noWrap/>
            <w:vAlign w:val="bottom"/>
          </w:tcPr>
          <w:p w14:paraId="06654A89" w14:textId="1B970551" w:rsidR="000C2E4B" w:rsidRPr="00471CBA" w:rsidRDefault="000C2E4B" w:rsidP="000C2E4B">
            <w:pPr>
              <w:jc w:val="right"/>
              <w:rPr>
                <w:sz w:val="16"/>
                <w:szCs w:val="16"/>
              </w:rPr>
            </w:pPr>
            <w:r w:rsidRPr="00471CBA">
              <w:rPr>
                <w:sz w:val="16"/>
                <w:szCs w:val="16"/>
              </w:rPr>
              <w:t>-</w:t>
            </w:r>
          </w:p>
        </w:tc>
        <w:tc>
          <w:tcPr>
            <w:tcW w:w="602" w:type="pct"/>
            <w:vAlign w:val="bottom"/>
          </w:tcPr>
          <w:p w14:paraId="76E9245C" w14:textId="058522DF" w:rsidR="000C2E4B" w:rsidRPr="00471CBA" w:rsidRDefault="000C2E4B" w:rsidP="000C2E4B">
            <w:pPr>
              <w:jc w:val="right"/>
              <w:rPr>
                <w:sz w:val="16"/>
                <w:szCs w:val="16"/>
              </w:rPr>
            </w:pPr>
            <w:r w:rsidRPr="00471CBA">
              <w:rPr>
                <w:sz w:val="16"/>
                <w:szCs w:val="16"/>
              </w:rPr>
              <w:t>-</w:t>
            </w:r>
          </w:p>
        </w:tc>
        <w:tc>
          <w:tcPr>
            <w:tcW w:w="602" w:type="pct"/>
            <w:vAlign w:val="bottom"/>
          </w:tcPr>
          <w:p w14:paraId="6924DF45" w14:textId="502CEE22" w:rsidR="000C2E4B" w:rsidRPr="00471CBA" w:rsidRDefault="000C2E4B" w:rsidP="000C2E4B">
            <w:pPr>
              <w:jc w:val="right"/>
              <w:rPr>
                <w:sz w:val="16"/>
                <w:szCs w:val="16"/>
              </w:rPr>
            </w:pPr>
            <w:r w:rsidRPr="00471CBA">
              <w:rPr>
                <w:sz w:val="16"/>
                <w:szCs w:val="16"/>
              </w:rPr>
              <w:t>-</w:t>
            </w:r>
          </w:p>
        </w:tc>
      </w:tr>
      <w:tr w:rsidR="000C2E4B" w:rsidRPr="00471CBA" w14:paraId="73D6040E" w14:textId="77777777" w:rsidTr="000C2E4B">
        <w:trPr>
          <w:trHeight w:val="20"/>
        </w:trPr>
        <w:tc>
          <w:tcPr>
            <w:tcW w:w="1336" w:type="pct"/>
            <w:noWrap/>
            <w:vAlign w:val="bottom"/>
            <w:hideMark/>
          </w:tcPr>
          <w:p w14:paraId="0FD5A8F8" w14:textId="77777777" w:rsidR="000C2E4B" w:rsidRPr="00471CBA" w:rsidRDefault="000C2E4B" w:rsidP="000C2E4B">
            <w:pPr>
              <w:rPr>
                <w:sz w:val="16"/>
                <w:szCs w:val="16"/>
              </w:rPr>
            </w:pPr>
            <w:r w:rsidRPr="00471CBA">
              <w:rPr>
                <w:sz w:val="16"/>
                <w:szCs w:val="16"/>
              </w:rPr>
              <w:t>Kamu kurum tahvil/bono</w:t>
            </w:r>
          </w:p>
        </w:tc>
        <w:tc>
          <w:tcPr>
            <w:tcW w:w="602" w:type="pct"/>
            <w:noWrap/>
            <w:vAlign w:val="bottom"/>
          </w:tcPr>
          <w:p w14:paraId="12BFDE14" w14:textId="4E6D4FD9" w:rsidR="000C2E4B" w:rsidRPr="00471CBA" w:rsidRDefault="000C2E4B" w:rsidP="000C2E4B">
            <w:pPr>
              <w:jc w:val="right"/>
              <w:rPr>
                <w:sz w:val="16"/>
                <w:szCs w:val="16"/>
              </w:rPr>
            </w:pPr>
            <w:r w:rsidRPr="00471CBA">
              <w:rPr>
                <w:sz w:val="16"/>
                <w:szCs w:val="16"/>
              </w:rPr>
              <w:t>-</w:t>
            </w:r>
          </w:p>
        </w:tc>
        <w:tc>
          <w:tcPr>
            <w:tcW w:w="627" w:type="pct"/>
            <w:noWrap/>
            <w:vAlign w:val="bottom"/>
          </w:tcPr>
          <w:p w14:paraId="65B770A4" w14:textId="6F120146" w:rsidR="000C2E4B" w:rsidRPr="00471CBA" w:rsidRDefault="000C2E4B" w:rsidP="000C2E4B">
            <w:pPr>
              <w:jc w:val="right"/>
              <w:rPr>
                <w:sz w:val="16"/>
                <w:szCs w:val="16"/>
              </w:rPr>
            </w:pPr>
            <w:r w:rsidRPr="00471CBA">
              <w:rPr>
                <w:sz w:val="16"/>
                <w:szCs w:val="16"/>
              </w:rPr>
              <w:t>-</w:t>
            </w:r>
          </w:p>
        </w:tc>
        <w:tc>
          <w:tcPr>
            <w:tcW w:w="602" w:type="pct"/>
            <w:noWrap/>
            <w:vAlign w:val="bottom"/>
          </w:tcPr>
          <w:p w14:paraId="49693971" w14:textId="2CC25A1E" w:rsidR="000C2E4B" w:rsidRPr="00471CBA" w:rsidRDefault="000C2E4B" w:rsidP="000C2E4B">
            <w:pPr>
              <w:jc w:val="right"/>
              <w:rPr>
                <w:sz w:val="16"/>
                <w:szCs w:val="16"/>
              </w:rPr>
            </w:pPr>
            <w:r w:rsidRPr="00471CBA">
              <w:rPr>
                <w:sz w:val="16"/>
                <w:szCs w:val="16"/>
              </w:rPr>
              <w:t>-</w:t>
            </w:r>
          </w:p>
        </w:tc>
        <w:tc>
          <w:tcPr>
            <w:tcW w:w="629" w:type="pct"/>
            <w:noWrap/>
            <w:vAlign w:val="bottom"/>
          </w:tcPr>
          <w:p w14:paraId="64CD732C" w14:textId="4AE9E253" w:rsidR="000C2E4B" w:rsidRPr="00471CBA" w:rsidRDefault="000C2E4B" w:rsidP="000C2E4B">
            <w:pPr>
              <w:jc w:val="right"/>
              <w:rPr>
                <w:sz w:val="16"/>
                <w:szCs w:val="16"/>
              </w:rPr>
            </w:pPr>
            <w:r w:rsidRPr="00471CBA">
              <w:rPr>
                <w:sz w:val="16"/>
                <w:szCs w:val="16"/>
              </w:rPr>
              <w:t>-</w:t>
            </w:r>
          </w:p>
        </w:tc>
        <w:tc>
          <w:tcPr>
            <w:tcW w:w="602" w:type="pct"/>
            <w:vAlign w:val="bottom"/>
          </w:tcPr>
          <w:p w14:paraId="38C857FF" w14:textId="4DBDCF94" w:rsidR="000C2E4B" w:rsidRPr="00471CBA" w:rsidRDefault="000C2E4B" w:rsidP="000C2E4B">
            <w:pPr>
              <w:jc w:val="right"/>
              <w:rPr>
                <w:sz w:val="16"/>
                <w:szCs w:val="16"/>
              </w:rPr>
            </w:pPr>
            <w:r w:rsidRPr="00471CBA">
              <w:rPr>
                <w:sz w:val="16"/>
                <w:szCs w:val="16"/>
              </w:rPr>
              <w:t>-</w:t>
            </w:r>
          </w:p>
        </w:tc>
        <w:tc>
          <w:tcPr>
            <w:tcW w:w="602" w:type="pct"/>
            <w:vAlign w:val="bottom"/>
          </w:tcPr>
          <w:p w14:paraId="78E49285" w14:textId="4588CC14" w:rsidR="000C2E4B" w:rsidRPr="00471CBA" w:rsidRDefault="000C2E4B" w:rsidP="000C2E4B">
            <w:pPr>
              <w:jc w:val="right"/>
              <w:rPr>
                <w:sz w:val="16"/>
                <w:szCs w:val="16"/>
              </w:rPr>
            </w:pPr>
            <w:r w:rsidRPr="00471CBA">
              <w:rPr>
                <w:sz w:val="16"/>
                <w:szCs w:val="16"/>
              </w:rPr>
              <w:t>-</w:t>
            </w:r>
          </w:p>
        </w:tc>
      </w:tr>
      <w:tr w:rsidR="000C2E4B" w:rsidRPr="00471CBA" w14:paraId="0C6B8D17" w14:textId="77777777" w:rsidTr="000C2E4B">
        <w:trPr>
          <w:trHeight w:val="20"/>
        </w:trPr>
        <w:tc>
          <w:tcPr>
            <w:tcW w:w="1336" w:type="pct"/>
            <w:noWrap/>
            <w:vAlign w:val="bottom"/>
            <w:hideMark/>
          </w:tcPr>
          <w:p w14:paraId="74668425" w14:textId="77777777" w:rsidR="000C2E4B" w:rsidRPr="00471CBA" w:rsidRDefault="000C2E4B" w:rsidP="000C2E4B">
            <w:pPr>
              <w:rPr>
                <w:sz w:val="16"/>
                <w:szCs w:val="16"/>
              </w:rPr>
            </w:pPr>
            <w:r w:rsidRPr="00471CBA">
              <w:rPr>
                <w:sz w:val="16"/>
                <w:szCs w:val="16"/>
              </w:rPr>
              <w:t>Kurumsal tahvil/bono</w:t>
            </w:r>
          </w:p>
        </w:tc>
        <w:tc>
          <w:tcPr>
            <w:tcW w:w="602" w:type="pct"/>
            <w:noWrap/>
            <w:vAlign w:val="bottom"/>
          </w:tcPr>
          <w:p w14:paraId="1BE87169" w14:textId="134F5287" w:rsidR="000C2E4B" w:rsidRPr="00471CBA" w:rsidRDefault="000C2E4B" w:rsidP="000C2E4B">
            <w:pPr>
              <w:jc w:val="right"/>
              <w:rPr>
                <w:sz w:val="16"/>
                <w:szCs w:val="16"/>
              </w:rPr>
            </w:pPr>
            <w:r w:rsidRPr="00471CBA">
              <w:rPr>
                <w:sz w:val="16"/>
                <w:szCs w:val="16"/>
              </w:rPr>
              <w:t>-</w:t>
            </w:r>
          </w:p>
        </w:tc>
        <w:tc>
          <w:tcPr>
            <w:tcW w:w="627" w:type="pct"/>
            <w:noWrap/>
            <w:vAlign w:val="bottom"/>
          </w:tcPr>
          <w:p w14:paraId="3F538743" w14:textId="43E88DB3" w:rsidR="000C2E4B" w:rsidRPr="00471CBA" w:rsidRDefault="000C2E4B" w:rsidP="000C2E4B">
            <w:pPr>
              <w:jc w:val="right"/>
              <w:rPr>
                <w:sz w:val="16"/>
                <w:szCs w:val="16"/>
              </w:rPr>
            </w:pPr>
            <w:r w:rsidRPr="00471CBA">
              <w:rPr>
                <w:sz w:val="16"/>
                <w:szCs w:val="16"/>
              </w:rPr>
              <w:t>-</w:t>
            </w:r>
          </w:p>
        </w:tc>
        <w:tc>
          <w:tcPr>
            <w:tcW w:w="602" w:type="pct"/>
            <w:noWrap/>
            <w:vAlign w:val="bottom"/>
          </w:tcPr>
          <w:p w14:paraId="0278DF13" w14:textId="10033081" w:rsidR="000C2E4B" w:rsidRPr="00471CBA" w:rsidRDefault="000C2E4B" w:rsidP="000C2E4B">
            <w:pPr>
              <w:jc w:val="right"/>
              <w:rPr>
                <w:sz w:val="16"/>
                <w:szCs w:val="16"/>
              </w:rPr>
            </w:pPr>
            <w:r w:rsidRPr="00471CBA">
              <w:rPr>
                <w:sz w:val="16"/>
                <w:szCs w:val="16"/>
              </w:rPr>
              <w:t>-</w:t>
            </w:r>
          </w:p>
        </w:tc>
        <w:tc>
          <w:tcPr>
            <w:tcW w:w="629" w:type="pct"/>
            <w:noWrap/>
            <w:vAlign w:val="bottom"/>
          </w:tcPr>
          <w:p w14:paraId="7212852F" w14:textId="7766EA89" w:rsidR="000C2E4B" w:rsidRPr="00471CBA" w:rsidRDefault="000C2E4B" w:rsidP="000C2E4B">
            <w:pPr>
              <w:jc w:val="right"/>
              <w:rPr>
                <w:sz w:val="16"/>
                <w:szCs w:val="16"/>
              </w:rPr>
            </w:pPr>
            <w:r w:rsidRPr="00471CBA">
              <w:rPr>
                <w:sz w:val="16"/>
                <w:szCs w:val="16"/>
              </w:rPr>
              <w:t>-</w:t>
            </w:r>
          </w:p>
        </w:tc>
        <w:tc>
          <w:tcPr>
            <w:tcW w:w="602" w:type="pct"/>
            <w:vAlign w:val="bottom"/>
          </w:tcPr>
          <w:p w14:paraId="4B8C5F80" w14:textId="41D73D2C" w:rsidR="000C2E4B" w:rsidRPr="00471CBA" w:rsidRDefault="000C2E4B" w:rsidP="000C2E4B">
            <w:pPr>
              <w:jc w:val="right"/>
              <w:rPr>
                <w:sz w:val="16"/>
                <w:szCs w:val="16"/>
              </w:rPr>
            </w:pPr>
            <w:r w:rsidRPr="00471CBA">
              <w:rPr>
                <w:sz w:val="16"/>
                <w:szCs w:val="16"/>
              </w:rPr>
              <w:t>-</w:t>
            </w:r>
          </w:p>
        </w:tc>
        <w:tc>
          <w:tcPr>
            <w:tcW w:w="602" w:type="pct"/>
            <w:vAlign w:val="bottom"/>
          </w:tcPr>
          <w:p w14:paraId="633892FB" w14:textId="6F699513" w:rsidR="000C2E4B" w:rsidRPr="00471CBA" w:rsidRDefault="000C2E4B" w:rsidP="000C2E4B">
            <w:pPr>
              <w:jc w:val="right"/>
              <w:rPr>
                <w:sz w:val="16"/>
                <w:szCs w:val="16"/>
              </w:rPr>
            </w:pPr>
            <w:r w:rsidRPr="00471CBA">
              <w:rPr>
                <w:sz w:val="16"/>
                <w:szCs w:val="16"/>
              </w:rPr>
              <w:t>-</w:t>
            </w:r>
          </w:p>
        </w:tc>
      </w:tr>
      <w:tr w:rsidR="000C2E4B" w:rsidRPr="00471CBA" w14:paraId="5A067EB9" w14:textId="77777777" w:rsidTr="000C2E4B">
        <w:trPr>
          <w:trHeight w:val="20"/>
        </w:trPr>
        <w:tc>
          <w:tcPr>
            <w:tcW w:w="1336" w:type="pct"/>
            <w:noWrap/>
            <w:vAlign w:val="bottom"/>
            <w:hideMark/>
          </w:tcPr>
          <w:p w14:paraId="15106008" w14:textId="77777777" w:rsidR="000C2E4B" w:rsidRPr="00471CBA" w:rsidRDefault="000C2E4B" w:rsidP="000C2E4B">
            <w:pPr>
              <w:rPr>
                <w:sz w:val="16"/>
                <w:szCs w:val="16"/>
              </w:rPr>
            </w:pPr>
            <w:r w:rsidRPr="00471CBA">
              <w:rPr>
                <w:sz w:val="16"/>
                <w:szCs w:val="16"/>
              </w:rPr>
              <w:t>Hisse senedi</w:t>
            </w:r>
          </w:p>
        </w:tc>
        <w:tc>
          <w:tcPr>
            <w:tcW w:w="602" w:type="pct"/>
            <w:noWrap/>
            <w:vAlign w:val="bottom"/>
          </w:tcPr>
          <w:p w14:paraId="3040E0FC" w14:textId="5F718C44" w:rsidR="000C2E4B" w:rsidRPr="00471CBA" w:rsidRDefault="000C2E4B" w:rsidP="000C2E4B">
            <w:pPr>
              <w:jc w:val="right"/>
              <w:rPr>
                <w:sz w:val="16"/>
                <w:szCs w:val="16"/>
              </w:rPr>
            </w:pPr>
            <w:r w:rsidRPr="00471CBA">
              <w:rPr>
                <w:sz w:val="16"/>
                <w:szCs w:val="16"/>
              </w:rPr>
              <w:t>-</w:t>
            </w:r>
          </w:p>
        </w:tc>
        <w:tc>
          <w:tcPr>
            <w:tcW w:w="627" w:type="pct"/>
            <w:noWrap/>
            <w:vAlign w:val="bottom"/>
          </w:tcPr>
          <w:p w14:paraId="4403E15D" w14:textId="16991302" w:rsidR="000C2E4B" w:rsidRPr="00471CBA" w:rsidRDefault="000C2E4B" w:rsidP="000C2E4B">
            <w:pPr>
              <w:jc w:val="right"/>
              <w:rPr>
                <w:sz w:val="16"/>
                <w:szCs w:val="16"/>
              </w:rPr>
            </w:pPr>
            <w:r w:rsidRPr="00471CBA">
              <w:rPr>
                <w:sz w:val="16"/>
                <w:szCs w:val="16"/>
              </w:rPr>
              <w:t>-</w:t>
            </w:r>
          </w:p>
        </w:tc>
        <w:tc>
          <w:tcPr>
            <w:tcW w:w="602" w:type="pct"/>
            <w:vAlign w:val="bottom"/>
          </w:tcPr>
          <w:p w14:paraId="63E98101" w14:textId="4B242624" w:rsidR="000C2E4B" w:rsidRPr="00471CBA" w:rsidRDefault="000C2E4B" w:rsidP="000C2E4B">
            <w:pPr>
              <w:jc w:val="right"/>
              <w:rPr>
                <w:sz w:val="16"/>
                <w:szCs w:val="16"/>
              </w:rPr>
            </w:pPr>
            <w:r w:rsidRPr="00471CBA">
              <w:rPr>
                <w:sz w:val="16"/>
                <w:szCs w:val="16"/>
              </w:rPr>
              <w:t>-</w:t>
            </w:r>
          </w:p>
        </w:tc>
        <w:tc>
          <w:tcPr>
            <w:tcW w:w="629" w:type="pct"/>
            <w:vAlign w:val="bottom"/>
          </w:tcPr>
          <w:p w14:paraId="1006E380" w14:textId="2E57D1D9" w:rsidR="000C2E4B" w:rsidRPr="00471CBA" w:rsidRDefault="000C2E4B" w:rsidP="000C2E4B">
            <w:pPr>
              <w:jc w:val="right"/>
              <w:rPr>
                <w:sz w:val="16"/>
                <w:szCs w:val="16"/>
              </w:rPr>
            </w:pPr>
            <w:r w:rsidRPr="00471CBA">
              <w:rPr>
                <w:sz w:val="16"/>
                <w:szCs w:val="16"/>
              </w:rPr>
              <w:t>-</w:t>
            </w:r>
          </w:p>
        </w:tc>
        <w:tc>
          <w:tcPr>
            <w:tcW w:w="602" w:type="pct"/>
            <w:vAlign w:val="bottom"/>
          </w:tcPr>
          <w:p w14:paraId="73525AB2" w14:textId="5BAB101D" w:rsidR="000C2E4B" w:rsidRPr="00471CBA" w:rsidRDefault="000C2E4B" w:rsidP="000C2E4B">
            <w:pPr>
              <w:jc w:val="right"/>
              <w:rPr>
                <w:sz w:val="16"/>
                <w:szCs w:val="16"/>
              </w:rPr>
            </w:pPr>
            <w:r w:rsidRPr="00471CBA">
              <w:rPr>
                <w:sz w:val="16"/>
                <w:szCs w:val="16"/>
              </w:rPr>
              <w:t>-</w:t>
            </w:r>
          </w:p>
        </w:tc>
        <w:tc>
          <w:tcPr>
            <w:tcW w:w="602" w:type="pct"/>
            <w:vAlign w:val="bottom"/>
          </w:tcPr>
          <w:p w14:paraId="396E5D85" w14:textId="360D7EB2" w:rsidR="000C2E4B" w:rsidRPr="00471CBA" w:rsidRDefault="000C2E4B" w:rsidP="000C2E4B">
            <w:pPr>
              <w:jc w:val="right"/>
              <w:rPr>
                <w:sz w:val="16"/>
                <w:szCs w:val="16"/>
              </w:rPr>
            </w:pPr>
            <w:r w:rsidRPr="00471CBA">
              <w:rPr>
                <w:sz w:val="16"/>
                <w:szCs w:val="16"/>
              </w:rPr>
              <w:t>-</w:t>
            </w:r>
          </w:p>
        </w:tc>
      </w:tr>
      <w:tr w:rsidR="000C2E4B" w:rsidRPr="00471CBA" w14:paraId="098AAB0E" w14:textId="77777777" w:rsidTr="000C2E4B">
        <w:trPr>
          <w:trHeight w:val="20"/>
        </w:trPr>
        <w:tc>
          <w:tcPr>
            <w:tcW w:w="1336" w:type="pct"/>
            <w:noWrap/>
            <w:vAlign w:val="bottom"/>
            <w:hideMark/>
          </w:tcPr>
          <w:p w14:paraId="46385D04" w14:textId="77777777" w:rsidR="000C2E4B" w:rsidRPr="00471CBA" w:rsidRDefault="000C2E4B" w:rsidP="000C2E4B">
            <w:pPr>
              <w:rPr>
                <w:sz w:val="16"/>
                <w:szCs w:val="16"/>
              </w:rPr>
            </w:pPr>
            <w:r w:rsidRPr="00471CBA">
              <w:rPr>
                <w:sz w:val="16"/>
                <w:szCs w:val="16"/>
              </w:rPr>
              <w:t>Diğer teminat</w:t>
            </w:r>
          </w:p>
        </w:tc>
        <w:tc>
          <w:tcPr>
            <w:tcW w:w="602" w:type="pct"/>
            <w:noWrap/>
            <w:vAlign w:val="bottom"/>
          </w:tcPr>
          <w:p w14:paraId="7B554C2C" w14:textId="40623280" w:rsidR="000C2E4B" w:rsidRPr="00471CBA" w:rsidRDefault="000C2E4B" w:rsidP="000C2E4B">
            <w:pPr>
              <w:jc w:val="right"/>
              <w:rPr>
                <w:sz w:val="16"/>
                <w:szCs w:val="16"/>
              </w:rPr>
            </w:pPr>
            <w:r w:rsidRPr="00471CBA">
              <w:rPr>
                <w:sz w:val="16"/>
                <w:szCs w:val="16"/>
              </w:rPr>
              <w:t>-</w:t>
            </w:r>
          </w:p>
        </w:tc>
        <w:tc>
          <w:tcPr>
            <w:tcW w:w="627" w:type="pct"/>
            <w:noWrap/>
            <w:vAlign w:val="bottom"/>
          </w:tcPr>
          <w:p w14:paraId="12583F81" w14:textId="0F075B44" w:rsidR="000C2E4B" w:rsidRPr="00471CBA" w:rsidRDefault="000C2E4B" w:rsidP="000C2E4B">
            <w:pPr>
              <w:jc w:val="right"/>
              <w:rPr>
                <w:sz w:val="16"/>
                <w:szCs w:val="16"/>
              </w:rPr>
            </w:pPr>
            <w:r w:rsidRPr="00471CBA">
              <w:rPr>
                <w:sz w:val="16"/>
                <w:szCs w:val="16"/>
              </w:rPr>
              <w:t>-</w:t>
            </w:r>
          </w:p>
        </w:tc>
        <w:tc>
          <w:tcPr>
            <w:tcW w:w="602" w:type="pct"/>
            <w:noWrap/>
            <w:vAlign w:val="bottom"/>
          </w:tcPr>
          <w:p w14:paraId="5E88F3BB" w14:textId="79A1ECD3" w:rsidR="000C2E4B" w:rsidRPr="00471CBA" w:rsidRDefault="000C2E4B" w:rsidP="000C2E4B">
            <w:pPr>
              <w:jc w:val="right"/>
              <w:rPr>
                <w:sz w:val="16"/>
                <w:szCs w:val="16"/>
              </w:rPr>
            </w:pPr>
            <w:r w:rsidRPr="00471CBA">
              <w:rPr>
                <w:sz w:val="16"/>
                <w:szCs w:val="16"/>
              </w:rPr>
              <w:t>-</w:t>
            </w:r>
          </w:p>
        </w:tc>
        <w:tc>
          <w:tcPr>
            <w:tcW w:w="629" w:type="pct"/>
            <w:noWrap/>
            <w:vAlign w:val="bottom"/>
          </w:tcPr>
          <w:p w14:paraId="46FB2BCB" w14:textId="3A940587" w:rsidR="000C2E4B" w:rsidRPr="00471CBA" w:rsidRDefault="000C2E4B" w:rsidP="000C2E4B">
            <w:pPr>
              <w:jc w:val="right"/>
              <w:rPr>
                <w:sz w:val="16"/>
                <w:szCs w:val="16"/>
              </w:rPr>
            </w:pPr>
            <w:r w:rsidRPr="00471CBA">
              <w:rPr>
                <w:sz w:val="16"/>
                <w:szCs w:val="16"/>
              </w:rPr>
              <w:t>-</w:t>
            </w:r>
          </w:p>
        </w:tc>
        <w:tc>
          <w:tcPr>
            <w:tcW w:w="602" w:type="pct"/>
            <w:noWrap/>
            <w:vAlign w:val="bottom"/>
          </w:tcPr>
          <w:p w14:paraId="2CCBE2F0" w14:textId="6072BC81" w:rsidR="000C2E4B" w:rsidRPr="00471CBA" w:rsidRDefault="000C2E4B" w:rsidP="000C2E4B">
            <w:pPr>
              <w:jc w:val="right"/>
              <w:rPr>
                <w:sz w:val="16"/>
                <w:szCs w:val="16"/>
              </w:rPr>
            </w:pPr>
            <w:r w:rsidRPr="00471CBA">
              <w:rPr>
                <w:sz w:val="16"/>
                <w:szCs w:val="16"/>
              </w:rPr>
              <w:t>-</w:t>
            </w:r>
          </w:p>
        </w:tc>
        <w:tc>
          <w:tcPr>
            <w:tcW w:w="602" w:type="pct"/>
            <w:noWrap/>
            <w:vAlign w:val="bottom"/>
          </w:tcPr>
          <w:p w14:paraId="24CDE303" w14:textId="721A9FB4" w:rsidR="000C2E4B" w:rsidRPr="00471CBA" w:rsidRDefault="000C2E4B" w:rsidP="000C2E4B">
            <w:pPr>
              <w:jc w:val="right"/>
              <w:rPr>
                <w:sz w:val="16"/>
                <w:szCs w:val="16"/>
              </w:rPr>
            </w:pPr>
            <w:r w:rsidRPr="00471CBA">
              <w:rPr>
                <w:sz w:val="16"/>
                <w:szCs w:val="16"/>
              </w:rPr>
              <w:t>-</w:t>
            </w:r>
          </w:p>
        </w:tc>
      </w:tr>
      <w:tr w:rsidR="000C2E4B" w:rsidRPr="00471CBA" w14:paraId="37719C02" w14:textId="77777777" w:rsidTr="000C2E4B">
        <w:trPr>
          <w:trHeight w:val="20"/>
        </w:trPr>
        <w:tc>
          <w:tcPr>
            <w:tcW w:w="1336" w:type="pct"/>
            <w:tcBorders>
              <w:bottom w:val="single" w:sz="4" w:space="0" w:color="auto"/>
            </w:tcBorders>
            <w:noWrap/>
            <w:vAlign w:val="bottom"/>
          </w:tcPr>
          <w:p w14:paraId="27D0FE12" w14:textId="77777777" w:rsidR="000C2E4B" w:rsidRPr="00471CBA" w:rsidRDefault="000C2E4B" w:rsidP="000C2E4B">
            <w:pPr>
              <w:rPr>
                <w:sz w:val="16"/>
                <w:szCs w:val="16"/>
              </w:rPr>
            </w:pPr>
          </w:p>
        </w:tc>
        <w:tc>
          <w:tcPr>
            <w:tcW w:w="602" w:type="pct"/>
            <w:tcBorders>
              <w:bottom w:val="single" w:sz="4" w:space="0" w:color="auto"/>
            </w:tcBorders>
            <w:noWrap/>
            <w:vAlign w:val="bottom"/>
          </w:tcPr>
          <w:p w14:paraId="17AFC50B" w14:textId="77777777" w:rsidR="000C2E4B" w:rsidRPr="00471CBA" w:rsidRDefault="000C2E4B" w:rsidP="000C2E4B">
            <w:pPr>
              <w:jc w:val="right"/>
              <w:rPr>
                <w:b/>
                <w:bCs/>
                <w:sz w:val="16"/>
                <w:szCs w:val="16"/>
              </w:rPr>
            </w:pPr>
          </w:p>
        </w:tc>
        <w:tc>
          <w:tcPr>
            <w:tcW w:w="627" w:type="pct"/>
            <w:tcBorders>
              <w:bottom w:val="single" w:sz="4" w:space="0" w:color="auto"/>
            </w:tcBorders>
            <w:noWrap/>
            <w:vAlign w:val="bottom"/>
          </w:tcPr>
          <w:p w14:paraId="4D26FBEE" w14:textId="77777777" w:rsidR="000C2E4B" w:rsidRPr="00471CBA" w:rsidRDefault="000C2E4B" w:rsidP="000C2E4B">
            <w:pPr>
              <w:jc w:val="right"/>
              <w:rPr>
                <w:b/>
                <w:bCs/>
                <w:sz w:val="16"/>
                <w:szCs w:val="16"/>
              </w:rPr>
            </w:pPr>
          </w:p>
        </w:tc>
        <w:tc>
          <w:tcPr>
            <w:tcW w:w="602" w:type="pct"/>
            <w:tcBorders>
              <w:bottom w:val="single" w:sz="4" w:space="0" w:color="auto"/>
            </w:tcBorders>
            <w:noWrap/>
            <w:vAlign w:val="bottom"/>
          </w:tcPr>
          <w:p w14:paraId="6B9BB77E" w14:textId="77777777" w:rsidR="000C2E4B" w:rsidRPr="00471CBA" w:rsidRDefault="000C2E4B" w:rsidP="000C2E4B">
            <w:pPr>
              <w:jc w:val="right"/>
              <w:rPr>
                <w:b/>
                <w:bCs/>
                <w:sz w:val="16"/>
                <w:szCs w:val="16"/>
              </w:rPr>
            </w:pPr>
          </w:p>
        </w:tc>
        <w:tc>
          <w:tcPr>
            <w:tcW w:w="629" w:type="pct"/>
            <w:tcBorders>
              <w:bottom w:val="single" w:sz="4" w:space="0" w:color="auto"/>
            </w:tcBorders>
            <w:noWrap/>
            <w:vAlign w:val="bottom"/>
          </w:tcPr>
          <w:p w14:paraId="4FDB5B67" w14:textId="77777777" w:rsidR="000C2E4B" w:rsidRPr="00471CBA" w:rsidRDefault="000C2E4B" w:rsidP="000C2E4B">
            <w:pPr>
              <w:jc w:val="right"/>
              <w:rPr>
                <w:b/>
                <w:bCs/>
                <w:sz w:val="16"/>
                <w:szCs w:val="16"/>
              </w:rPr>
            </w:pPr>
          </w:p>
        </w:tc>
        <w:tc>
          <w:tcPr>
            <w:tcW w:w="602" w:type="pct"/>
            <w:tcBorders>
              <w:bottom w:val="single" w:sz="4" w:space="0" w:color="auto"/>
            </w:tcBorders>
            <w:noWrap/>
            <w:vAlign w:val="bottom"/>
          </w:tcPr>
          <w:p w14:paraId="2D4E575C" w14:textId="77777777" w:rsidR="000C2E4B" w:rsidRPr="00471CBA" w:rsidRDefault="000C2E4B" w:rsidP="000C2E4B">
            <w:pPr>
              <w:jc w:val="right"/>
              <w:rPr>
                <w:b/>
                <w:bCs/>
                <w:sz w:val="16"/>
                <w:szCs w:val="16"/>
              </w:rPr>
            </w:pPr>
          </w:p>
        </w:tc>
        <w:tc>
          <w:tcPr>
            <w:tcW w:w="602" w:type="pct"/>
            <w:tcBorders>
              <w:bottom w:val="single" w:sz="4" w:space="0" w:color="auto"/>
            </w:tcBorders>
            <w:noWrap/>
            <w:vAlign w:val="bottom"/>
          </w:tcPr>
          <w:p w14:paraId="317A2F34" w14:textId="77777777" w:rsidR="000C2E4B" w:rsidRPr="00471CBA" w:rsidRDefault="000C2E4B" w:rsidP="000C2E4B">
            <w:pPr>
              <w:jc w:val="right"/>
              <w:rPr>
                <w:b/>
                <w:bCs/>
                <w:sz w:val="16"/>
                <w:szCs w:val="16"/>
              </w:rPr>
            </w:pPr>
          </w:p>
        </w:tc>
      </w:tr>
      <w:tr w:rsidR="000C2E4B" w:rsidRPr="00471CBA" w14:paraId="0E56D7B5" w14:textId="77777777" w:rsidTr="000C2E4B">
        <w:trPr>
          <w:trHeight w:val="20"/>
        </w:trPr>
        <w:tc>
          <w:tcPr>
            <w:tcW w:w="1336" w:type="pct"/>
            <w:tcBorders>
              <w:top w:val="single" w:sz="4" w:space="0" w:color="auto"/>
              <w:bottom w:val="single" w:sz="12" w:space="0" w:color="auto"/>
            </w:tcBorders>
            <w:noWrap/>
            <w:vAlign w:val="bottom"/>
            <w:hideMark/>
          </w:tcPr>
          <w:p w14:paraId="1C7AC275" w14:textId="77777777" w:rsidR="000C2E4B" w:rsidRPr="00471CBA" w:rsidRDefault="000C2E4B" w:rsidP="000C2E4B">
            <w:pPr>
              <w:rPr>
                <w:b/>
                <w:sz w:val="16"/>
                <w:szCs w:val="16"/>
              </w:rPr>
            </w:pPr>
            <w:r w:rsidRPr="00471CBA">
              <w:rPr>
                <w:b/>
                <w:sz w:val="16"/>
                <w:szCs w:val="16"/>
              </w:rPr>
              <w:t>Toplam</w:t>
            </w:r>
          </w:p>
        </w:tc>
        <w:tc>
          <w:tcPr>
            <w:tcW w:w="602" w:type="pct"/>
            <w:tcBorders>
              <w:top w:val="single" w:sz="4" w:space="0" w:color="auto"/>
              <w:bottom w:val="single" w:sz="12" w:space="0" w:color="auto"/>
            </w:tcBorders>
            <w:noWrap/>
            <w:vAlign w:val="bottom"/>
          </w:tcPr>
          <w:p w14:paraId="2C82D227" w14:textId="44A15F25" w:rsidR="000C2E4B" w:rsidRPr="00471CBA" w:rsidRDefault="000C2E4B" w:rsidP="000C2E4B">
            <w:pPr>
              <w:jc w:val="right"/>
              <w:rPr>
                <w:b/>
                <w:bCs/>
                <w:sz w:val="16"/>
                <w:szCs w:val="16"/>
              </w:rPr>
            </w:pPr>
            <w:r w:rsidRPr="00471CBA">
              <w:rPr>
                <w:sz w:val="16"/>
                <w:szCs w:val="16"/>
              </w:rPr>
              <w:t>5.257.922</w:t>
            </w:r>
          </w:p>
        </w:tc>
        <w:tc>
          <w:tcPr>
            <w:tcW w:w="627" w:type="pct"/>
            <w:tcBorders>
              <w:top w:val="single" w:sz="4" w:space="0" w:color="auto"/>
              <w:bottom w:val="single" w:sz="12" w:space="0" w:color="auto"/>
            </w:tcBorders>
            <w:noWrap/>
            <w:vAlign w:val="bottom"/>
          </w:tcPr>
          <w:p w14:paraId="31C4FF3B" w14:textId="116D286A" w:rsidR="000C2E4B" w:rsidRPr="00471CBA" w:rsidRDefault="000C2E4B" w:rsidP="000C2E4B">
            <w:pPr>
              <w:jc w:val="right"/>
              <w:rPr>
                <w:b/>
                <w:bCs/>
                <w:sz w:val="16"/>
                <w:szCs w:val="16"/>
              </w:rPr>
            </w:pPr>
            <w:r w:rsidRPr="00471CBA">
              <w:rPr>
                <w:sz w:val="16"/>
                <w:szCs w:val="16"/>
              </w:rPr>
              <w:t>-</w:t>
            </w:r>
          </w:p>
        </w:tc>
        <w:tc>
          <w:tcPr>
            <w:tcW w:w="602" w:type="pct"/>
            <w:tcBorders>
              <w:top w:val="single" w:sz="4" w:space="0" w:color="auto"/>
              <w:bottom w:val="single" w:sz="12" w:space="0" w:color="auto"/>
            </w:tcBorders>
            <w:noWrap/>
            <w:vAlign w:val="bottom"/>
          </w:tcPr>
          <w:p w14:paraId="6D8044D6" w14:textId="501D1C26" w:rsidR="000C2E4B" w:rsidRPr="00471CBA" w:rsidRDefault="000C2E4B" w:rsidP="000C2E4B">
            <w:pPr>
              <w:jc w:val="right"/>
              <w:rPr>
                <w:b/>
                <w:bCs/>
                <w:sz w:val="16"/>
                <w:szCs w:val="16"/>
              </w:rPr>
            </w:pPr>
            <w:r w:rsidRPr="00471CBA">
              <w:rPr>
                <w:sz w:val="16"/>
                <w:szCs w:val="16"/>
              </w:rPr>
              <w:t>-</w:t>
            </w:r>
          </w:p>
        </w:tc>
        <w:tc>
          <w:tcPr>
            <w:tcW w:w="629" w:type="pct"/>
            <w:tcBorders>
              <w:top w:val="single" w:sz="4" w:space="0" w:color="auto"/>
              <w:bottom w:val="single" w:sz="12" w:space="0" w:color="auto"/>
            </w:tcBorders>
            <w:noWrap/>
            <w:vAlign w:val="bottom"/>
          </w:tcPr>
          <w:p w14:paraId="6CDDADBE" w14:textId="7B97B4C3" w:rsidR="000C2E4B" w:rsidRPr="00471CBA" w:rsidRDefault="000C2E4B" w:rsidP="000C2E4B">
            <w:pPr>
              <w:jc w:val="right"/>
              <w:rPr>
                <w:b/>
                <w:bCs/>
                <w:sz w:val="16"/>
                <w:szCs w:val="16"/>
              </w:rPr>
            </w:pPr>
            <w:r w:rsidRPr="00471CBA">
              <w:rPr>
                <w:sz w:val="16"/>
                <w:szCs w:val="16"/>
              </w:rPr>
              <w:t>-</w:t>
            </w:r>
          </w:p>
        </w:tc>
        <w:tc>
          <w:tcPr>
            <w:tcW w:w="602" w:type="pct"/>
            <w:tcBorders>
              <w:top w:val="single" w:sz="4" w:space="0" w:color="auto"/>
              <w:bottom w:val="single" w:sz="12" w:space="0" w:color="auto"/>
            </w:tcBorders>
            <w:noWrap/>
            <w:vAlign w:val="bottom"/>
          </w:tcPr>
          <w:p w14:paraId="0F5F305D" w14:textId="14CCF5E2" w:rsidR="000C2E4B" w:rsidRPr="00471CBA" w:rsidRDefault="000C2E4B" w:rsidP="000C2E4B">
            <w:pPr>
              <w:jc w:val="right"/>
              <w:rPr>
                <w:b/>
                <w:bCs/>
                <w:sz w:val="16"/>
                <w:szCs w:val="16"/>
              </w:rPr>
            </w:pPr>
            <w:r w:rsidRPr="00471CBA">
              <w:rPr>
                <w:sz w:val="16"/>
                <w:szCs w:val="16"/>
              </w:rPr>
              <w:t>-</w:t>
            </w:r>
          </w:p>
        </w:tc>
        <w:tc>
          <w:tcPr>
            <w:tcW w:w="602" w:type="pct"/>
            <w:tcBorders>
              <w:top w:val="single" w:sz="4" w:space="0" w:color="auto"/>
              <w:bottom w:val="single" w:sz="12" w:space="0" w:color="auto"/>
            </w:tcBorders>
            <w:noWrap/>
            <w:vAlign w:val="bottom"/>
          </w:tcPr>
          <w:p w14:paraId="51CF0746" w14:textId="56389FBD" w:rsidR="000C2E4B" w:rsidRPr="00471CBA" w:rsidRDefault="000C2E4B" w:rsidP="000C2E4B">
            <w:pPr>
              <w:jc w:val="right"/>
              <w:rPr>
                <w:b/>
                <w:bCs/>
                <w:sz w:val="16"/>
                <w:szCs w:val="16"/>
              </w:rPr>
            </w:pPr>
            <w:r w:rsidRPr="00471CBA">
              <w:rPr>
                <w:sz w:val="16"/>
                <w:szCs w:val="16"/>
              </w:rPr>
              <w:t>-</w:t>
            </w:r>
          </w:p>
        </w:tc>
      </w:tr>
      <w:bookmarkEnd w:id="73"/>
    </w:tbl>
    <w:p w14:paraId="349DF4F9" w14:textId="77777777" w:rsidR="00EE0925" w:rsidRPr="00471CBA" w:rsidRDefault="00EE0925" w:rsidP="00EE0925">
      <w:pPr>
        <w:spacing w:before="80"/>
        <w:ind w:left="567" w:hanging="568"/>
        <w:jc w:val="both"/>
        <w:rPr>
          <w:bCs/>
          <w:szCs w:val="20"/>
        </w:rPr>
      </w:pPr>
    </w:p>
    <w:p w14:paraId="2ACBD378" w14:textId="77777777" w:rsidR="00EE0925" w:rsidRPr="00471CBA" w:rsidRDefault="00EE0925" w:rsidP="00EE0925">
      <w:pPr>
        <w:rPr>
          <w:bCs/>
          <w:szCs w:val="20"/>
        </w:rPr>
      </w:pPr>
      <w:r w:rsidRPr="00471CBA">
        <w:rPr>
          <w:bCs/>
          <w:szCs w:val="20"/>
        </w:rPr>
        <w:br w:type="page"/>
      </w:r>
    </w:p>
    <w:p w14:paraId="06D62D01" w14:textId="77777777" w:rsidR="00EE0925" w:rsidRPr="00471CBA" w:rsidRDefault="00EE0925" w:rsidP="00EE0925">
      <w:pPr>
        <w:rPr>
          <w:b/>
          <w:szCs w:val="20"/>
        </w:rPr>
      </w:pPr>
      <w:r w:rsidRPr="00471CBA">
        <w:rPr>
          <w:b/>
          <w:szCs w:val="20"/>
        </w:rPr>
        <w:t>MALİ BÜNYEYE VE RİSK YÖNETİMİNE İLİŞKİN BİLGİLER (Devamı)</w:t>
      </w:r>
    </w:p>
    <w:p w14:paraId="61894113" w14:textId="77777777" w:rsidR="00EE0925" w:rsidRPr="00471CBA" w:rsidRDefault="00EE0925" w:rsidP="00EE0925">
      <w:pPr>
        <w:widowControl w:val="0"/>
        <w:autoSpaceDE w:val="0"/>
        <w:autoSpaceDN w:val="0"/>
        <w:adjustRightInd w:val="0"/>
        <w:ind w:left="851" w:hanging="851"/>
        <w:jc w:val="both"/>
        <w:rPr>
          <w:sz w:val="14"/>
          <w:szCs w:val="14"/>
        </w:rPr>
      </w:pPr>
    </w:p>
    <w:p w14:paraId="69925B34" w14:textId="77777777" w:rsidR="00EE0925" w:rsidRPr="00471CBA" w:rsidRDefault="00EE0925" w:rsidP="00EE0925">
      <w:pPr>
        <w:widowControl w:val="0"/>
        <w:ind w:left="851" w:hanging="851"/>
        <w:jc w:val="both"/>
        <w:outlineLvl w:val="1"/>
        <w:rPr>
          <w:b/>
          <w:szCs w:val="20"/>
        </w:rPr>
      </w:pPr>
      <w:r w:rsidRPr="00471CBA">
        <w:rPr>
          <w:b/>
          <w:szCs w:val="20"/>
        </w:rPr>
        <w:t>IX.</w:t>
      </w:r>
      <w:r w:rsidRPr="00471CBA">
        <w:rPr>
          <w:b/>
          <w:szCs w:val="20"/>
        </w:rPr>
        <w:tab/>
        <w:t>RİSK YÖNETİMİNE İLİŞKİN AÇIKLAMALAR (Devamı)</w:t>
      </w:r>
    </w:p>
    <w:p w14:paraId="2EC1C9E9" w14:textId="77777777" w:rsidR="00EE0925" w:rsidRPr="00471CBA" w:rsidRDefault="00EE0925" w:rsidP="00EE0925">
      <w:pPr>
        <w:widowControl w:val="0"/>
        <w:ind w:left="851" w:hanging="851"/>
        <w:jc w:val="both"/>
        <w:outlineLvl w:val="1"/>
        <w:rPr>
          <w:b/>
          <w:szCs w:val="20"/>
        </w:rPr>
      </w:pPr>
    </w:p>
    <w:p w14:paraId="5B6BB853" w14:textId="77777777" w:rsidR="00EE0925" w:rsidRPr="00471CBA" w:rsidRDefault="00EE0925" w:rsidP="00EE0925">
      <w:pPr>
        <w:ind w:left="567" w:hanging="568"/>
        <w:rPr>
          <w:b/>
          <w:szCs w:val="20"/>
        </w:rPr>
      </w:pPr>
      <w:r w:rsidRPr="00471CBA">
        <w:rPr>
          <w:b/>
          <w:szCs w:val="20"/>
        </w:rPr>
        <w:t>d.4.</w:t>
      </w:r>
      <w:r w:rsidRPr="00471CBA">
        <w:rPr>
          <w:b/>
          <w:szCs w:val="20"/>
        </w:rPr>
        <w:tab/>
        <w:t>KKR İçin Kullanılan Teminatlar (Devamı)</w:t>
      </w:r>
    </w:p>
    <w:p w14:paraId="4E8B2955" w14:textId="77777777" w:rsidR="00EE0925" w:rsidRPr="00471CBA" w:rsidRDefault="00EE0925" w:rsidP="00EE0925"/>
    <w:tbl>
      <w:tblPr>
        <w:tblW w:w="5000" w:type="pct"/>
        <w:tblCellMar>
          <w:left w:w="70" w:type="dxa"/>
          <w:right w:w="70" w:type="dxa"/>
        </w:tblCellMar>
        <w:tblLook w:val="04A0" w:firstRow="1" w:lastRow="0" w:firstColumn="1" w:lastColumn="0" w:noHBand="0" w:noVBand="1"/>
      </w:tblPr>
      <w:tblGrid>
        <w:gridCol w:w="2575"/>
        <w:gridCol w:w="1160"/>
        <w:gridCol w:w="1208"/>
        <w:gridCol w:w="1161"/>
        <w:gridCol w:w="1213"/>
        <w:gridCol w:w="1161"/>
        <w:gridCol w:w="1161"/>
      </w:tblGrid>
      <w:tr w:rsidR="00EE0925" w:rsidRPr="00471CBA" w14:paraId="52EAB33A" w14:textId="77777777" w:rsidTr="00B0049C">
        <w:trPr>
          <w:trHeight w:val="20"/>
        </w:trPr>
        <w:tc>
          <w:tcPr>
            <w:tcW w:w="1336" w:type="pct"/>
            <w:vMerge w:val="restart"/>
            <w:tcBorders>
              <w:top w:val="single" w:sz="4" w:space="0" w:color="auto"/>
            </w:tcBorders>
            <w:noWrap/>
            <w:vAlign w:val="center"/>
            <w:hideMark/>
          </w:tcPr>
          <w:p w14:paraId="4BBD9245" w14:textId="77777777" w:rsidR="00EE0925" w:rsidRPr="00471CBA" w:rsidRDefault="00EE0925" w:rsidP="00B0049C">
            <w:pPr>
              <w:rPr>
                <w:b/>
                <w:sz w:val="16"/>
                <w:szCs w:val="16"/>
              </w:rPr>
            </w:pPr>
            <w:r w:rsidRPr="00471CBA">
              <w:rPr>
                <w:b/>
                <w:sz w:val="16"/>
                <w:szCs w:val="16"/>
              </w:rPr>
              <w:t>31 Aralık 2024</w:t>
            </w:r>
          </w:p>
        </w:tc>
        <w:tc>
          <w:tcPr>
            <w:tcW w:w="2460" w:type="pct"/>
            <w:gridSpan w:val="4"/>
            <w:tcBorders>
              <w:top w:val="single" w:sz="4" w:space="0" w:color="auto"/>
              <w:bottom w:val="single" w:sz="4" w:space="0" w:color="auto"/>
            </w:tcBorders>
            <w:vAlign w:val="bottom"/>
            <w:hideMark/>
          </w:tcPr>
          <w:p w14:paraId="42A14C97" w14:textId="77777777" w:rsidR="00EE0925" w:rsidRPr="00471CBA" w:rsidRDefault="00EE0925" w:rsidP="00B0049C">
            <w:pPr>
              <w:jc w:val="center"/>
              <w:rPr>
                <w:b/>
                <w:sz w:val="16"/>
                <w:szCs w:val="16"/>
              </w:rPr>
            </w:pPr>
            <w:r w:rsidRPr="00471CBA">
              <w:rPr>
                <w:b/>
                <w:sz w:val="16"/>
                <w:szCs w:val="16"/>
              </w:rPr>
              <w:t>Türev finansal araç teminatları</w:t>
            </w:r>
          </w:p>
        </w:tc>
        <w:tc>
          <w:tcPr>
            <w:tcW w:w="1204" w:type="pct"/>
            <w:gridSpan w:val="2"/>
            <w:tcBorders>
              <w:top w:val="single" w:sz="4" w:space="0" w:color="auto"/>
              <w:bottom w:val="single" w:sz="4" w:space="0" w:color="auto"/>
            </w:tcBorders>
            <w:vAlign w:val="bottom"/>
            <w:hideMark/>
          </w:tcPr>
          <w:p w14:paraId="4104096F" w14:textId="77777777" w:rsidR="00EE0925" w:rsidRPr="00471CBA" w:rsidRDefault="00EE0925" w:rsidP="00B0049C">
            <w:pPr>
              <w:jc w:val="center"/>
              <w:rPr>
                <w:b/>
                <w:sz w:val="16"/>
                <w:szCs w:val="16"/>
              </w:rPr>
            </w:pPr>
            <w:r w:rsidRPr="00471CBA">
              <w:rPr>
                <w:b/>
                <w:sz w:val="16"/>
                <w:szCs w:val="16"/>
              </w:rPr>
              <w:t>Diğer işlem teminatları</w:t>
            </w:r>
          </w:p>
        </w:tc>
      </w:tr>
      <w:tr w:rsidR="00EE0925" w:rsidRPr="00471CBA" w14:paraId="6770689E" w14:textId="77777777" w:rsidTr="00B0049C">
        <w:trPr>
          <w:trHeight w:val="20"/>
        </w:trPr>
        <w:tc>
          <w:tcPr>
            <w:tcW w:w="1336" w:type="pct"/>
            <w:vMerge/>
            <w:noWrap/>
            <w:vAlign w:val="bottom"/>
            <w:hideMark/>
          </w:tcPr>
          <w:p w14:paraId="10EA91FD" w14:textId="77777777" w:rsidR="00EE0925" w:rsidRPr="00471CBA" w:rsidRDefault="00EE0925" w:rsidP="00B0049C">
            <w:pPr>
              <w:rPr>
                <w:b/>
                <w:sz w:val="16"/>
                <w:szCs w:val="16"/>
              </w:rPr>
            </w:pPr>
          </w:p>
        </w:tc>
        <w:tc>
          <w:tcPr>
            <w:tcW w:w="1228" w:type="pct"/>
            <w:gridSpan w:val="2"/>
            <w:tcBorders>
              <w:top w:val="single" w:sz="4" w:space="0" w:color="auto"/>
              <w:bottom w:val="single" w:sz="4" w:space="0" w:color="auto"/>
            </w:tcBorders>
            <w:noWrap/>
            <w:vAlign w:val="bottom"/>
            <w:hideMark/>
          </w:tcPr>
          <w:p w14:paraId="11EF4931" w14:textId="77777777" w:rsidR="00EE0925" w:rsidRPr="00471CBA" w:rsidRDefault="00EE0925" w:rsidP="00B0049C">
            <w:pPr>
              <w:jc w:val="center"/>
              <w:rPr>
                <w:b/>
                <w:sz w:val="16"/>
                <w:szCs w:val="16"/>
              </w:rPr>
            </w:pPr>
            <w:r w:rsidRPr="00471CBA">
              <w:rPr>
                <w:b/>
                <w:sz w:val="16"/>
                <w:szCs w:val="16"/>
              </w:rPr>
              <w:t>Alınan teminatlar</w:t>
            </w:r>
          </w:p>
        </w:tc>
        <w:tc>
          <w:tcPr>
            <w:tcW w:w="1231" w:type="pct"/>
            <w:gridSpan w:val="2"/>
            <w:tcBorders>
              <w:top w:val="single" w:sz="4" w:space="0" w:color="auto"/>
              <w:bottom w:val="single" w:sz="4" w:space="0" w:color="auto"/>
            </w:tcBorders>
            <w:noWrap/>
            <w:vAlign w:val="bottom"/>
            <w:hideMark/>
          </w:tcPr>
          <w:p w14:paraId="23D78BB5" w14:textId="77777777" w:rsidR="00EE0925" w:rsidRPr="00471CBA" w:rsidRDefault="00EE0925" w:rsidP="00B0049C">
            <w:pPr>
              <w:jc w:val="center"/>
              <w:rPr>
                <w:b/>
                <w:sz w:val="16"/>
                <w:szCs w:val="16"/>
              </w:rPr>
            </w:pPr>
            <w:r w:rsidRPr="00471CBA">
              <w:rPr>
                <w:b/>
                <w:sz w:val="16"/>
                <w:szCs w:val="16"/>
              </w:rPr>
              <w:t>Verilen teminatlar</w:t>
            </w:r>
          </w:p>
        </w:tc>
        <w:tc>
          <w:tcPr>
            <w:tcW w:w="602" w:type="pct"/>
            <w:vMerge w:val="restart"/>
            <w:tcBorders>
              <w:top w:val="single" w:sz="4" w:space="0" w:color="auto"/>
            </w:tcBorders>
            <w:vAlign w:val="bottom"/>
            <w:hideMark/>
          </w:tcPr>
          <w:p w14:paraId="1F176D5B" w14:textId="77777777" w:rsidR="00EE0925" w:rsidRPr="00471CBA" w:rsidRDefault="00EE0925" w:rsidP="00B0049C">
            <w:pPr>
              <w:jc w:val="center"/>
              <w:rPr>
                <w:b/>
                <w:sz w:val="16"/>
                <w:szCs w:val="16"/>
              </w:rPr>
            </w:pPr>
            <w:r w:rsidRPr="00471CBA">
              <w:rPr>
                <w:b/>
                <w:sz w:val="16"/>
                <w:szCs w:val="16"/>
              </w:rPr>
              <w:t>Alınan teminatlar</w:t>
            </w:r>
          </w:p>
        </w:tc>
        <w:tc>
          <w:tcPr>
            <w:tcW w:w="602" w:type="pct"/>
            <w:vMerge w:val="restart"/>
            <w:tcBorders>
              <w:top w:val="single" w:sz="4" w:space="0" w:color="auto"/>
            </w:tcBorders>
            <w:vAlign w:val="bottom"/>
            <w:hideMark/>
          </w:tcPr>
          <w:p w14:paraId="60CB044A" w14:textId="77777777" w:rsidR="00EE0925" w:rsidRPr="00471CBA" w:rsidRDefault="00EE0925" w:rsidP="00B0049C">
            <w:pPr>
              <w:jc w:val="center"/>
              <w:rPr>
                <w:b/>
                <w:sz w:val="16"/>
                <w:szCs w:val="16"/>
              </w:rPr>
            </w:pPr>
            <w:r w:rsidRPr="00471CBA">
              <w:rPr>
                <w:b/>
                <w:sz w:val="16"/>
                <w:szCs w:val="16"/>
              </w:rPr>
              <w:t>Verilen teminatlar</w:t>
            </w:r>
          </w:p>
        </w:tc>
      </w:tr>
      <w:tr w:rsidR="00EE0925" w:rsidRPr="00471CBA" w14:paraId="0B72B60B" w14:textId="77777777" w:rsidTr="00B0049C">
        <w:trPr>
          <w:trHeight w:val="20"/>
        </w:trPr>
        <w:tc>
          <w:tcPr>
            <w:tcW w:w="1336" w:type="pct"/>
            <w:vMerge/>
            <w:tcBorders>
              <w:bottom w:val="single" w:sz="4" w:space="0" w:color="auto"/>
            </w:tcBorders>
            <w:vAlign w:val="bottom"/>
            <w:hideMark/>
          </w:tcPr>
          <w:p w14:paraId="5E6A5827" w14:textId="77777777" w:rsidR="00EE0925" w:rsidRPr="00471CBA" w:rsidRDefault="00EE0925" w:rsidP="00B0049C">
            <w:pPr>
              <w:rPr>
                <w:sz w:val="16"/>
                <w:szCs w:val="16"/>
              </w:rPr>
            </w:pPr>
          </w:p>
        </w:tc>
        <w:tc>
          <w:tcPr>
            <w:tcW w:w="602" w:type="pct"/>
            <w:tcBorders>
              <w:top w:val="single" w:sz="4" w:space="0" w:color="auto"/>
              <w:bottom w:val="single" w:sz="4" w:space="0" w:color="auto"/>
            </w:tcBorders>
            <w:noWrap/>
            <w:vAlign w:val="bottom"/>
            <w:hideMark/>
          </w:tcPr>
          <w:p w14:paraId="30C4B972" w14:textId="77777777" w:rsidR="00EE0925" w:rsidRPr="00471CBA" w:rsidRDefault="00EE0925" w:rsidP="00B0049C">
            <w:pPr>
              <w:jc w:val="center"/>
              <w:rPr>
                <w:b/>
                <w:sz w:val="16"/>
                <w:szCs w:val="16"/>
              </w:rPr>
            </w:pPr>
            <w:r w:rsidRPr="00471CBA">
              <w:rPr>
                <w:b/>
                <w:sz w:val="16"/>
                <w:szCs w:val="16"/>
              </w:rPr>
              <w:t>Ayrılmış</w:t>
            </w:r>
          </w:p>
        </w:tc>
        <w:tc>
          <w:tcPr>
            <w:tcW w:w="627" w:type="pct"/>
            <w:tcBorders>
              <w:top w:val="single" w:sz="4" w:space="0" w:color="auto"/>
              <w:bottom w:val="single" w:sz="4" w:space="0" w:color="auto"/>
            </w:tcBorders>
            <w:noWrap/>
            <w:vAlign w:val="bottom"/>
            <w:hideMark/>
          </w:tcPr>
          <w:p w14:paraId="060B05C3" w14:textId="77777777" w:rsidR="00EE0925" w:rsidRPr="00471CBA" w:rsidRDefault="00EE0925" w:rsidP="00B0049C">
            <w:pPr>
              <w:jc w:val="center"/>
              <w:rPr>
                <w:b/>
                <w:sz w:val="16"/>
                <w:szCs w:val="16"/>
              </w:rPr>
            </w:pPr>
            <w:r w:rsidRPr="00471CBA">
              <w:rPr>
                <w:b/>
                <w:sz w:val="16"/>
                <w:szCs w:val="16"/>
              </w:rPr>
              <w:t>Ayrılmamış</w:t>
            </w:r>
          </w:p>
        </w:tc>
        <w:tc>
          <w:tcPr>
            <w:tcW w:w="602" w:type="pct"/>
            <w:tcBorders>
              <w:top w:val="single" w:sz="4" w:space="0" w:color="auto"/>
              <w:bottom w:val="single" w:sz="4" w:space="0" w:color="auto"/>
            </w:tcBorders>
            <w:noWrap/>
            <w:vAlign w:val="bottom"/>
            <w:hideMark/>
          </w:tcPr>
          <w:p w14:paraId="6FE8B7EB" w14:textId="77777777" w:rsidR="00EE0925" w:rsidRPr="00471CBA" w:rsidRDefault="00EE0925" w:rsidP="00B0049C">
            <w:pPr>
              <w:jc w:val="center"/>
              <w:rPr>
                <w:b/>
                <w:sz w:val="16"/>
                <w:szCs w:val="16"/>
              </w:rPr>
            </w:pPr>
            <w:r w:rsidRPr="00471CBA">
              <w:rPr>
                <w:b/>
                <w:sz w:val="16"/>
                <w:szCs w:val="16"/>
              </w:rPr>
              <w:t>Ayrılmış</w:t>
            </w:r>
          </w:p>
        </w:tc>
        <w:tc>
          <w:tcPr>
            <w:tcW w:w="629" w:type="pct"/>
            <w:tcBorders>
              <w:top w:val="single" w:sz="4" w:space="0" w:color="auto"/>
              <w:bottom w:val="single" w:sz="4" w:space="0" w:color="auto"/>
            </w:tcBorders>
            <w:noWrap/>
            <w:vAlign w:val="bottom"/>
            <w:hideMark/>
          </w:tcPr>
          <w:p w14:paraId="4DE4A769" w14:textId="77777777" w:rsidR="00EE0925" w:rsidRPr="00471CBA" w:rsidRDefault="00EE0925" w:rsidP="00B0049C">
            <w:pPr>
              <w:jc w:val="center"/>
              <w:rPr>
                <w:b/>
                <w:sz w:val="16"/>
                <w:szCs w:val="16"/>
              </w:rPr>
            </w:pPr>
            <w:r w:rsidRPr="00471CBA">
              <w:rPr>
                <w:b/>
                <w:sz w:val="16"/>
                <w:szCs w:val="16"/>
              </w:rPr>
              <w:t>Ayrılmamış</w:t>
            </w:r>
          </w:p>
        </w:tc>
        <w:tc>
          <w:tcPr>
            <w:tcW w:w="602" w:type="pct"/>
            <w:vMerge/>
            <w:tcBorders>
              <w:bottom w:val="single" w:sz="4" w:space="0" w:color="auto"/>
            </w:tcBorders>
            <w:vAlign w:val="bottom"/>
            <w:hideMark/>
          </w:tcPr>
          <w:p w14:paraId="57F7367E" w14:textId="77777777" w:rsidR="00EE0925" w:rsidRPr="00471CBA" w:rsidRDefault="00EE0925" w:rsidP="00B0049C">
            <w:pPr>
              <w:rPr>
                <w:sz w:val="16"/>
                <w:szCs w:val="16"/>
              </w:rPr>
            </w:pPr>
          </w:p>
        </w:tc>
        <w:tc>
          <w:tcPr>
            <w:tcW w:w="602" w:type="pct"/>
            <w:vMerge/>
            <w:tcBorders>
              <w:bottom w:val="single" w:sz="4" w:space="0" w:color="auto"/>
            </w:tcBorders>
            <w:vAlign w:val="bottom"/>
            <w:hideMark/>
          </w:tcPr>
          <w:p w14:paraId="41F26753" w14:textId="77777777" w:rsidR="00EE0925" w:rsidRPr="00471CBA" w:rsidRDefault="00EE0925" w:rsidP="00B0049C">
            <w:pPr>
              <w:rPr>
                <w:sz w:val="16"/>
                <w:szCs w:val="16"/>
              </w:rPr>
            </w:pPr>
          </w:p>
        </w:tc>
      </w:tr>
      <w:tr w:rsidR="00EE0925" w:rsidRPr="00471CBA" w14:paraId="5EDA336E" w14:textId="77777777" w:rsidTr="00B0049C">
        <w:trPr>
          <w:trHeight w:val="20"/>
        </w:trPr>
        <w:tc>
          <w:tcPr>
            <w:tcW w:w="1336" w:type="pct"/>
            <w:tcBorders>
              <w:top w:val="single" w:sz="4" w:space="0" w:color="auto"/>
            </w:tcBorders>
            <w:noWrap/>
            <w:vAlign w:val="bottom"/>
          </w:tcPr>
          <w:p w14:paraId="4ABE8422" w14:textId="77777777" w:rsidR="00EE0925" w:rsidRPr="00471CBA" w:rsidRDefault="00EE0925" w:rsidP="00B0049C">
            <w:pPr>
              <w:rPr>
                <w:sz w:val="16"/>
                <w:szCs w:val="16"/>
              </w:rPr>
            </w:pPr>
          </w:p>
        </w:tc>
        <w:tc>
          <w:tcPr>
            <w:tcW w:w="602" w:type="pct"/>
            <w:tcBorders>
              <w:top w:val="single" w:sz="4" w:space="0" w:color="auto"/>
            </w:tcBorders>
            <w:noWrap/>
            <w:vAlign w:val="bottom"/>
          </w:tcPr>
          <w:p w14:paraId="09DFF8C7" w14:textId="77777777" w:rsidR="00EE0925" w:rsidRPr="00471CBA" w:rsidRDefault="00EE0925" w:rsidP="00B0049C">
            <w:pPr>
              <w:jc w:val="right"/>
              <w:rPr>
                <w:sz w:val="16"/>
                <w:szCs w:val="16"/>
              </w:rPr>
            </w:pPr>
          </w:p>
        </w:tc>
        <w:tc>
          <w:tcPr>
            <w:tcW w:w="627" w:type="pct"/>
            <w:tcBorders>
              <w:top w:val="single" w:sz="4" w:space="0" w:color="auto"/>
            </w:tcBorders>
            <w:noWrap/>
            <w:vAlign w:val="bottom"/>
          </w:tcPr>
          <w:p w14:paraId="70579766" w14:textId="77777777" w:rsidR="00EE0925" w:rsidRPr="00471CBA" w:rsidRDefault="00EE0925" w:rsidP="00B0049C">
            <w:pPr>
              <w:jc w:val="right"/>
              <w:rPr>
                <w:sz w:val="16"/>
                <w:szCs w:val="16"/>
              </w:rPr>
            </w:pPr>
          </w:p>
        </w:tc>
        <w:tc>
          <w:tcPr>
            <w:tcW w:w="602" w:type="pct"/>
            <w:tcBorders>
              <w:top w:val="single" w:sz="4" w:space="0" w:color="auto"/>
            </w:tcBorders>
            <w:noWrap/>
            <w:vAlign w:val="bottom"/>
          </w:tcPr>
          <w:p w14:paraId="6B580B3B" w14:textId="77777777" w:rsidR="00EE0925" w:rsidRPr="00471CBA" w:rsidRDefault="00EE0925" w:rsidP="00B0049C">
            <w:pPr>
              <w:jc w:val="right"/>
              <w:rPr>
                <w:sz w:val="16"/>
                <w:szCs w:val="16"/>
              </w:rPr>
            </w:pPr>
          </w:p>
        </w:tc>
        <w:tc>
          <w:tcPr>
            <w:tcW w:w="629" w:type="pct"/>
            <w:tcBorders>
              <w:top w:val="single" w:sz="4" w:space="0" w:color="auto"/>
            </w:tcBorders>
            <w:noWrap/>
            <w:vAlign w:val="bottom"/>
          </w:tcPr>
          <w:p w14:paraId="2BB3B4EB" w14:textId="77777777" w:rsidR="00EE0925" w:rsidRPr="00471CBA" w:rsidRDefault="00EE0925" w:rsidP="00B0049C">
            <w:pPr>
              <w:jc w:val="right"/>
              <w:rPr>
                <w:sz w:val="16"/>
                <w:szCs w:val="16"/>
              </w:rPr>
            </w:pPr>
          </w:p>
        </w:tc>
        <w:tc>
          <w:tcPr>
            <w:tcW w:w="602" w:type="pct"/>
            <w:tcBorders>
              <w:top w:val="single" w:sz="4" w:space="0" w:color="auto"/>
            </w:tcBorders>
            <w:vAlign w:val="bottom"/>
          </w:tcPr>
          <w:p w14:paraId="28307729" w14:textId="77777777" w:rsidR="00EE0925" w:rsidRPr="00471CBA" w:rsidRDefault="00EE0925" w:rsidP="00B0049C">
            <w:pPr>
              <w:jc w:val="right"/>
              <w:rPr>
                <w:sz w:val="16"/>
                <w:szCs w:val="16"/>
              </w:rPr>
            </w:pPr>
          </w:p>
        </w:tc>
        <w:tc>
          <w:tcPr>
            <w:tcW w:w="602" w:type="pct"/>
            <w:tcBorders>
              <w:top w:val="single" w:sz="4" w:space="0" w:color="auto"/>
            </w:tcBorders>
            <w:vAlign w:val="bottom"/>
          </w:tcPr>
          <w:p w14:paraId="665826ED" w14:textId="77777777" w:rsidR="00EE0925" w:rsidRPr="00471CBA" w:rsidRDefault="00EE0925" w:rsidP="00B0049C">
            <w:pPr>
              <w:jc w:val="right"/>
              <w:rPr>
                <w:sz w:val="16"/>
                <w:szCs w:val="16"/>
              </w:rPr>
            </w:pPr>
          </w:p>
        </w:tc>
      </w:tr>
      <w:tr w:rsidR="000A44B5" w:rsidRPr="00471CBA" w14:paraId="5413C46B" w14:textId="77777777" w:rsidTr="00880899">
        <w:trPr>
          <w:trHeight w:val="20"/>
        </w:trPr>
        <w:tc>
          <w:tcPr>
            <w:tcW w:w="1336" w:type="pct"/>
            <w:noWrap/>
            <w:vAlign w:val="bottom"/>
            <w:hideMark/>
          </w:tcPr>
          <w:p w14:paraId="73F3DAED" w14:textId="77777777" w:rsidR="000A44B5" w:rsidRPr="00471CBA" w:rsidRDefault="000A44B5" w:rsidP="000A44B5">
            <w:pPr>
              <w:rPr>
                <w:sz w:val="16"/>
                <w:szCs w:val="16"/>
              </w:rPr>
            </w:pPr>
            <w:r w:rsidRPr="00471CBA">
              <w:rPr>
                <w:sz w:val="16"/>
                <w:szCs w:val="16"/>
              </w:rPr>
              <w:t>Nakit - yerli para</w:t>
            </w:r>
          </w:p>
        </w:tc>
        <w:tc>
          <w:tcPr>
            <w:tcW w:w="602" w:type="pct"/>
            <w:noWrap/>
            <w:vAlign w:val="bottom"/>
          </w:tcPr>
          <w:p w14:paraId="6D229960" w14:textId="6629B753" w:rsidR="000A44B5" w:rsidRPr="00471CBA" w:rsidRDefault="000A44B5" w:rsidP="00880899">
            <w:pPr>
              <w:jc w:val="right"/>
              <w:rPr>
                <w:sz w:val="16"/>
                <w:szCs w:val="16"/>
              </w:rPr>
            </w:pPr>
            <w:r w:rsidRPr="00471CBA">
              <w:rPr>
                <w:color w:val="000000"/>
                <w:sz w:val="16"/>
                <w:szCs w:val="16"/>
              </w:rPr>
              <w:t>101.673</w:t>
            </w:r>
          </w:p>
        </w:tc>
        <w:tc>
          <w:tcPr>
            <w:tcW w:w="627" w:type="pct"/>
            <w:noWrap/>
            <w:vAlign w:val="bottom"/>
          </w:tcPr>
          <w:p w14:paraId="6362EBA3" w14:textId="42C0372A" w:rsidR="000A44B5" w:rsidRPr="00471CBA" w:rsidRDefault="000A44B5" w:rsidP="00880899">
            <w:pPr>
              <w:jc w:val="right"/>
              <w:rPr>
                <w:sz w:val="16"/>
                <w:szCs w:val="16"/>
              </w:rPr>
            </w:pPr>
            <w:r w:rsidRPr="00471CBA">
              <w:rPr>
                <w:color w:val="000000"/>
                <w:sz w:val="16"/>
                <w:szCs w:val="16"/>
              </w:rPr>
              <w:t>-</w:t>
            </w:r>
          </w:p>
        </w:tc>
        <w:tc>
          <w:tcPr>
            <w:tcW w:w="602" w:type="pct"/>
            <w:noWrap/>
            <w:vAlign w:val="bottom"/>
          </w:tcPr>
          <w:p w14:paraId="64F6BE7B" w14:textId="257614D2" w:rsidR="000A44B5" w:rsidRPr="00471CBA" w:rsidRDefault="000A44B5" w:rsidP="00880899">
            <w:pPr>
              <w:jc w:val="right"/>
              <w:rPr>
                <w:sz w:val="16"/>
                <w:szCs w:val="16"/>
              </w:rPr>
            </w:pPr>
            <w:r w:rsidRPr="00471CBA">
              <w:rPr>
                <w:color w:val="000000"/>
                <w:sz w:val="16"/>
                <w:szCs w:val="16"/>
              </w:rPr>
              <w:t>-</w:t>
            </w:r>
          </w:p>
        </w:tc>
        <w:tc>
          <w:tcPr>
            <w:tcW w:w="629" w:type="pct"/>
            <w:noWrap/>
            <w:vAlign w:val="bottom"/>
          </w:tcPr>
          <w:p w14:paraId="68F64E98" w14:textId="0F950FE4" w:rsidR="000A44B5" w:rsidRPr="00471CBA" w:rsidRDefault="000A44B5" w:rsidP="00880899">
            <w:pPr>
              <w:jc w:val="right"/>
              <w:rPr>
                <w:sz w:val="16"/>
                <w:szCs w:val="16"/>
              </w:rPr>
            </w:pPr>
            <w:r w:rsidRPr="00471CBA">
              <w:rPr>
                <w:color w:val="000000"/>
                <w:sz w:val="16"/>
                <w:szCs w:val="16"/>
              </w:rPr>
              <w:t>475.539</w:t>
            </w:r>
          </w:p>
        </w:tc>
        <w:tc>
          <w:tcPr>
            <w:tcW w:w="602" w:type="pct"/>
            <w:vAlign w:val="bottom"/>
          </w:tcPr>
          <w:p w14:paraId="4C321C39" w14:textId="680F7BF0" w:rsidR="000A44B5" w:rsidRPr="00471CBA" w:rsidRDefault="000A44B5" w:rsidP="00880899">
            <w:pPr>
              <w:jc w:val="right"/>
              <w:rPr>
                <w:sz w:val="16"/>
                <w:szCs w:val="16"/>
              </w:rPr>
            </w:pPr>
            <w:r w:rsidRPr="00471CBA">
              <w:rPr>
                <w:color w:val="000000"/>
                <w:sz w:val="16"/>
                <w:szCs w:val="16"/>
              </w:rPr>
              <w:t>-</w:t>
            </w:r>
          </w:p>
        </w:tc>
        <w:tc>
          <w:tcPr>
            <w:tcW w:w="602" w:type="pct"/>
            <w:vAlign w:val="bottom"/>
          </w:tcPr>
          <w:p w14:paraId="39718BFA" w14:textId="25F96DD9" w:rsidR="000A44B5" w:rsidRPr="00471CBA" w:rsidRDefault="000A44B5" w:rsidP="00880899">
            <w:pPr>
              <w:jc w:val="right"/>
              <w:rPr>
                <w:sz w:val="16"/>
                <w:szCs w:val="16"/>
              </w:rPr>
            </w:pPr>
            <w:r w:rsidRPr="00471CBA">
              <w:rPr>
                <w:color w:val="000000"/>
                <w:sz w:val="16"/>
                <w:szCs w:val="16"/>
              </w:rPr>
              <w:t>-</w:t>
            </w:r>
          </w:p>
        </w:tc>
      </w:tr>
      <w:tr w:rsidR="000A44B5" w:rsidRPr="00471CBA" w14:paraId="6809502F" w14:textId="77777777" w:rsidTr="00880899">
        <w:trPr>
          <w:trHeight w:val="20"/>
        </w:trPr>
        <w:tc>
          <w:tcPr>
            <w:tcW w:w="1336" w:type="pct"/>
            <w:noWrap/>
            <w:vAlign w:val="bottom"/>
            <w:hideMark/>
          </w:tcPr>
          <w:p w14:paraId="15632B78" w14:textId="77777777" w:rsidR="000A44B5" w:rsidRPr="00471CBA" w:rsidRDefault="000A44B5" w:rsidP="000A44B5">
            <w:pPr>
              <w:rPr>
                <w:sz w:val="16"/>
                <w:szCs w:val="16"/>
              </w:rPr>
            </w:pPr>
            <w:r w:rsidRPr="00471CBA">
              <w:rPr>
                <w:sz w:val="16"/>
                <w:szCs w:val="16"/>
              </w:rPr>
              <w:t>Nakit - yabancı para</w:t>
            </w:r>
          </w:p>
        </w:tc>
        <w:tc>
          <w:tcPr>
            <w:tcW w:w="602" w:type="pct"/>
            <w:noWrap/>
            <w:vAlign w:val="bottom"/>
          </w:tcPr>
          <w:p w14:paraId="188751F8" w14:textId="7ED15F91" w:rsidR="000A44B5" w:rsidRPr="00471CBA" w:rsidRDefault="000A44B5" w:rsidP="00880899">
            <w:pPr>
              <w:jc w:val="right"/>
              <w:rPr>
                <w:sz w:val="16"/>
                <w:szCs w:val="16"/>
              </w:rPr>
            </w:pPr>
            <w:r w:rsidRPr="00471CBA">
              <w:rPr>
                <w:color w:val="000000"/>
                <w:sz w:val="16"/>
                <w:szCs w:val="16"/>
              </w:rPr>
              <w:t>-</w:t>
            </w:r>
          </w:p>
        </w:tc>
        <w:tc>
          <w:tcPr>
            <w:tcW w:w="627" w:type="pct"/>
            <w:noWrap/>
            <w:vAlign w:val="bottom"/>
          </w:tcPr>
          <w:p w14:paraId="1A60537D" w14:textId="26AF1E50" w:rsidR="000A44B5" w:rsidRPr="00471CBA" w:rsidRDefault="000A44B5" w:rsidP="00880899">
            <w:pPr>
              <w:jc w:val="right"/>
              <w:rPr>
                <w:sz w:val="16"/>
                <w:szCs w:val="16"/>
              </w:rPr>
            </w:pPr>
            <w:r w:rsidRPr="00471CBA">
              <w:rPr>
                <w:color w:val="000000"/>
                <w:sz w:val="16"/>
                <w:szCs w:val="16"/>
              </w:rPr>
              <w:t>-</w:t>
            </w:r>
          </w:p>
        </w:tc>
        <w:tc>
          <w:tcPr>
            <w:tcW w:w="602" w:type="pct"/>
            <w:noWrap/>
            <w:vAlign w:val="bottom"/>
          </w:tcPr>
          <w:p w14:paraId="7C6FA551" w14:textId="2A3C8285" w:rsidR="000A44B5" w:rsidRPr="00471CBA" w:rsidRDefault="000A44B5" w:rsidP="00880899">
            <w:pPr>
              <w:jc w:val="right"/>
              <w:rPr>
                <w:sz w:val="16"/>
                <w:szCs w:val="16"/>
              </w:rPr>
            </w:pPr>
            <w:r w:rsidRPr="00471CBA">
              <w:rPr>
                <w:color w:val="000000"/>
                <w:sz w:val="16"/>
                <w:szCs w:val="16"/>
              </w:rPr>
              <w:t>-</w:t>
            </w:r>
          </w:p>
        </w:tc>
        <w:tc>
          <w:tcPr>
            <w:tcW w:w="629" w:type="pct"/>
            <w:noWrap/>
            <w:vAlign w:val="bottom"/>
          </w:tcPr>
          <w:p w14:paraId="62261C7E" w14:textId="23421715" w:rsidR="000A44B5" w:rsidRPr="00471CBA" w:rsidRDefault="000A44B5" w:rsidP="00880899">
            <w:pPr>
              <w:jc w:val="right"/>
              <w:rPr>
                <w:sz w:val="16"/>
                <w:szCs w:val="16"/>
              </w:rPr>
            </w:pPr>
            <w:r w:rsidRPr="00471CBA">
              <w:rPr>
                <w:color w:val="000000"/>
                <w:sz w:val="16"/>
                <w:szCs w:val="16"/>
              </w:rPr>
              <w:t>-</w:t>
            </w:r>
          </w:p>
        </w:tc>
        <w:tc>
          <w:tcPr>
            <w:tcW w:w="602" w:type="pct"/>
            <w:vAlign w:val="bottom"/>
          </w:tcPr>
          <w:p w14:paraId="6B200894" w14:textId="6E6EAFE4" w:rsidR="000A44B5" w:rsidRPr="00471CBA" w:rsidRDefault="000A44B5" w:rsidP="00880899">
            <w:pPr>
              <w:jc w:val="right"/>
              <w:rPr>
                <w:sz w:val="16"/>
                <w:szCs w:val="16"/>
              </w:rPr>
            </w:pPr>
            <w:r w:rsidRPr="00471CBA">
              <w:rPr>
                <w:color w:val="000000"/>
                <w:sz w:val="16"/>
                <w:szCs w:val="16"/>
              </w:rPr>
              <w:t>-</w:t>
            </w:r>
          </w:p>
        </w:tc>
        <w:tc>
          <w:tcPr>
            <w:tcW w:w="602" w:type="pct"/>
            <w:vAlign w:val="bottom"/>
          </w:tcPr>
          <w:p w14:paraId="46F60ACE" w14:textId="751AF3C7" w:rsidR="000A44B5" w:rsidRPr="00471CBA" w:rsidRDefault="000A44B5" w:rsidP="00880899">
            <w:pPr>
              <w:jc w:val="right"/>
              <w:rPr>
                <w:sz w:val="16"/>
                <w:szCs w:val="16"/>
              </w:rPr>
            </w:pPr>
            <w:r w:rsidRPr="00471CBA">
              <w:rPr>
                <w:color w:val="000000"/>
                <w:sz w:val="16"/>
                <w:szCs w:val="16"/>
              </w:rPr>
              <w:t>-</w:t>
            </w:r>
          </w:p>
        </w:tc>
      </w:tr>
      <w:tr w:rsidR="000A44B5" w:rsidRPr="00471CBA" w14:paraId="66C62E88" w14:textId="77777777" w:rsidTr="00880899">
        <w:trPr>
          <w:trHeight w:val="20"/>
        </w:trPr>
        <w:tc>
          <w:tcPr>
            <w:tcW w:w="1336" w:type="pct"/>
            <w:noWrap/>
            <w:vAlign w:val="bottom"/>
            <w:hideMark/>
          </w:tcPr>
          <w:p w14:paraId="485602A0" w14:textId="77777777" w:rsidR="000A44B5" w:rsidRPr="00471CBA" w:rsidRDefault="000A44B5" w:rsidP="000A44B5">
            <w:pPr>
              <w:rPr>
                <w:sz w:val="16"/>
                <w:szCs w:val="16"/>
              </w:rPr>
            </w:pPr>
            <w:r w:rsidRPr="00471CBA">
              <w:rPr>
                <w:sz w:val="16"/>
                <w:szCs w:val="16"/>
              </w:rPr>
              <w:t>Devlet tahvil/bono - yerli</w:t>
            </w:r>
          </w:p>
        </w:tc>
        <w:tc>
          <w:tcPr>
            <w:tcW w:w="602" w:type="pct"/>
            <w:noWrap/>
            <w:vAlign w:val="bottom"/>
          </w:tcPr>
          <w:p w14:paraId="26AF8F04" w14:textId="758FFB2A" w:rsidR="000A44B5" w:rsidRPr="00471CBA" w:rsidRDefault="000A44B5" w:rsidP="00880899">
            <w:pPr>
              <w:jc w:val="right"/>
              <w:rPr>
                <w:sz w:val="16"/>
                <w:szCs w:val="16"/>
              </w:rPr>
            </w:pPr>
            <w:r w:rsidRPr="00471CBA">
              <w:rPr>
                <w:color w:val="000000"/>
                <w:sz w:val="16"/>
                <w:szCs w:val="16"/>
              </w:rPr>
              <w:t>-</w:t>
            </w:r>
          </w:p>
        </w:tc>
        <w:tc>
          <w:tcPr>
            <w:tcW w:w="627" w:type="pct"/>
            <w:noWrap/>
            <w:vAlign w:val="bottom"/>
          </w:tcPr>
          <w:p w14:paraId="380E4C98" w14:textId="2CA97DAF" w:rsidR="000A44B5" w:rsidRPr="00471CBA" w:rsidRDefault="000A44B5" w:rsidP="00880899">
            <w:pPr>
              <w:jc w:val="right"/>
              <w:rPr>
                <w:sz w:val="16"/>
                <w:szCs w:val="16"/>
              </w:rPr>
            </w:pPr>
            <w:r w:rsidRPr="00471CBA">
              <w:rPr>
                <w:color w:val="000000"/>
                <w:sz w:val="16"/>
                <w:szCs w:val="16"/>
              </w:rPr>
              <w:t>-</w:t>
            </w:r>
          </w:p>
        </w:tc>
        <w:tc>
          <w:tcPr>
            <w:tcW w:w="602" w:type="pct"/>
            <w:noWrap/>
            <w:vAlign w:val="bottom"/>
          </w:tcPr>
          <w:p w14:paraId="179D2948" w14:textId="37830274" w:rsidR="000A44B5" w:rsidRPr="00471CBA" w:rsidRDefault="000A44B5" w:rsidP="00880899">
            <w:pPr>
              <w:jc w:val="right"/>
              <w:rPr>
                <w:sz w:val="16"/>
                <w:szCs w:val="16"/>
              </w:rPr>
            </w:pPr>
            <w:r w:rsidRPr="00471CBA">
              <w:rPr>
                <w:color w:val="000000"/>
                <w:sz w:val="16"/>
                <w:szCs w:val="16"/>
              </w:rPr>
              <w:t>-</w:t>
            </w:r>
          </w:p>
        </w:tc>
        <w:tc>
          <w:tcPr>
            <w:tcW w:w="629" w:type="pct"/>
            <w:noWrap/>
            <w:vAlign w:val="bottom"/>
          </w:tcPr>
          <w:p w14:paraId="03455C44" w14:textId="3B2753CF" w:rsidR="000A44B5" w:rsidRPr="00471CBA" w:rsidRDefault="000A44B5" w:rsidP="00880899">
            <w:pPr>
              <w:jc w:val="right"/>
              <w:rPr>
                <w:sz w:val="16"/>
                <w:szCs w:val="16"/>
              </w:rPr>
            </w:pPr>
            <w:r w:rsidRPr="00471CBA">
              <w:rPr>
                <w:color w:val="000000"/>
                <w:sz w:val="16"/>
                <w:szCs w:val="16"/>
              </w:rPr>
              <w:t>-</w:t>
            </w:r>
          </w:p>
        </w:tc>
        <w:tc>
          <w:tcPr>
            <w:tcW w:w="602" w:type="pct"/>
            <w:vAlign w:val="bottom"/>
          </w:tcPr>
          <w:p w14:paraId="16F15D85" w14:textId="63650922" w:rsidR="000A44B5" w:rsidRPr="00471CBA" w:rsidRDefault="000A44B5" w:rsidP="00880899">
            <w:pPr>
              <w:jc w:val="right"/>
              <w:rPr>
                <w:sz w:val="16"/>
                <w:szCs w:val="16"/>
              </w:rPr>
            </w:pPr>
            <w:r w:rsidRPr="00471CBA">
              <w:rPr>
                <w:color w:val="000000"/>
                <w:sz w:val="16"/>
                <w:szCs w:val="16"/>
              </w:rPr>
              <w:t>475.539</w:t>
            </w:r>
          </w:p>
        </w:tc>
        <w:tc>
          <w:tcPr>
            <w:tcW w:w="602" w:type="pct"/>
            <w:vAlign w:val="bottom"/>
          </w:tcPr>
          <w:p w14:paraId="449D6F5D" w14:textId="74641A20" w:rsidR="000A44B5" w:rsidRPr="00471CBA" w:rsidRDefault="000A44B5" w:rsidP="00880899">
            <w:pPr>
              <w:jc w:val="right"/>
              <w:rPr>
                <w:sz w:val="16"/>
                <w:szCs w:val="16"/>
              </w:rPr>
            </w:pPr>
            <w:r w:rsidRPr="00471CBA">
              <w:rPr>
                <w:color w:val="000000"/>
                <w:sz w:val="16"/>
                <w:szCs w:val="16"/>
              </w:rPr>
              <w:t>-</w:t>
            </w:r>
          </w:p>
        </w:tc>
      </w:tr>
      <w:tr w:rsidR="000A44B5" w:rsidRPr="00471CBA" w14:paraId="4B244ECE" w14:textId="77777777" w:rsidTr="00880899">
        <w:trPr>
          <w:trHeight w:val="20"/>
        </w:trPr>
        <w:tc>
          <w:tcPr>
            <w:tcW w:w="1336" w:type="pct"/>
            <w:noWrap/>
            <w:vAlign w:val="bottom"/>
            <w:hideMark/>
          </w:tcPr>
          <w:p w14:paraId="5BF3F8E3" w14:textId="77777777" w:rsidR="000A44B5" w:rsidRPr="00471CBA" w:rsidRDefault="000A44B5" w:rsidP="000A44B5">
            <w:pPr>
              <w:rPr>
                <w:sz w:val="16"/>
                <w:szCs w:val="16"/>
              </w:rPr>
            </w:pPr>
            <w:r w:rsidRPr="00471CBA">
              <w:rPr>
                <w:sz w:val="16"/>
                <w:szCs w:val="16"/>
              </w:rPr>
              <w:t>Devlet tahvil/bono - diğer</w:t>
            </w:r>
          </w:p>
        </w:tc>
        <w:tc>
          <w:tcPr>
            <w:tcW w:w="602" w:type="pct"/>
            <w:noWrap/>
            <w:vAlign w:val="bottom"/>
          </w:tcPr>
          <w:p w14:paraId="39A0025E" w14:textId="4114A7DB" w:rsidR="000A44B5" w:rsidRPr="00471CBA" w:rsidRDefault="000A44B5" w:rsidP="00880899">
            <w:pPr>
              <w:jc w:val="right"/>
              <w:rPr>
                <w:sz w:val="16"/>
                <w:szCs w:val="16"/>
              </w:rPr>
            </w:pPr>
            <w:r w:rsidRPr="00471CBA">
              <w:rPr>
                <w:color w:val="000000"/>
                <w:sz w:val="16"/>
                <w:szCs w:val="16"/>
              </w:rPr>
              <w:t>-</w:t>
            </w:r>
          </w:p>
        </w:tc>
        <w:tc>
          <w:tcPr>
            <w:tcW w:w="627" w:type="pct"/>
            <w:noWrap/>
            <w:vAlign w:val="bottom"/>
          </w:tcPr>
          <w:p w14:paraId="4A87AB30" w14:textId="308C5BC6" w:rsidR="000A44B5" w:rsidRPr="00471CBA" w:rsidRDefault="000A44B5" w:rsidP="00880899">
            <w:pPr>
              <w:jc w:val="right"/>
              <w:rPr>
                <w:sz w:val="16"/>
                <w:szCs w:val="16"/>
              </w:rPr>
            </w:pPr>
            <w:r w:rsidRPr="00471CBA">
              <w:rPr>
                <w:color w:val="000000"/>
                <w:sz w:val="16"/>
                <w:szCs w:val="16"/>
              </w:rPr>
              <w:t>-</w:t>
            </w:r>
          </w:p>
        </w:tc>
        <w:tc>
          <w:tcPr>
            <w:tcW w:w="602" w:type="pct"/>
            <w:noWrap/>
            <w:vAlign w:val="bottom"/>
          </w:tcPr>
          <w:p w14:paraId="51BF1E83" w14:textId="6C4FB4A4" w:rsidR="000A44B5" w:rsidRPr="00471CBA" w:rsidRDefault="000A44B5" w:rsidP="00880899">
            <w:pPr>
              <w:jc w:val="right"/>
              <w:rPr>
                <w:sz w:val="16"/>
                <w:szCs w:val="16"/>
              </w:rPr>
            </w:pPr>
            <w:r w:rsidRPr="00471CBA">
              <w:rPr>
                <w:color w:val="000000"/>
                <w:sz w:val="16"/>
                <w:szCs w:val="16"/>
              </w:rPr>
              <w:t>-</w:t>
            </w:r>
          </w:p>
        </w:tc>
        <w:tc>
          <w:tcPr>
            <w:tcW w:w="629" w:type="pct"/>
            <w:noWrap/>
            <w:vAlign w:val="bottom"/>
          </w:tcPr>
          <w:p w14:paraId="2C026BC5" w14:textId="374A05CA" w:rsidR="000A44B5" w:rsidRPr="00471CBA" w:rsidRDefault="000A44B5" w:rsidP="00880899">
            <w:pPr>
              <w:jc w:val="right"/>
              <w:rPr>
                <w:sz w:val="16"/>
                <w:szCs w:val="16"/>
              </w:rPr>
            </w:pPr>
            <w:r w:rsidRPr="00471CBA">
              <w:rPr>
                <w:color w:val="000000"/>
                <w:sz w:val="16"/>
                <w:szCs w:val="16"/>
              </w:rPr>
              <w:t>-</w:t>
            </w:r>
          </w:p>
        </w:tc>
        <w:tc>
          <w:tcPr>
            <w:tcW w:w="602" w:type="pct"/>
            <w:vAlign w:val="bottom"/>
          </w:tcPr>
          <w:p w14:paraId="73ED38C8" w14:textId="29E0AF9D" w:rsidR="000A44B5" w:rsidRPr="00471CBA" w:rsidRDefault="000A44B5" w:rsidP="00880899">
            <w:pPr>
              <w:jc w:val="right"/>
              <w:rPr>
                <w:sz w:val="16"/>
                <w:szCs w:val="16"/>
              </w:rPr>
            </w:pPr>
            <w:r w:rsidRPr="00471CBA">
              <w:rPr>
                <w:color w:val="000000"/>
                <w:sz w:val="16"/>
                <w:szCs w:val="16"/>
              </w:rPr>
              <w:t>-</w:t>
            </w:r>
          </w:p>
        </w:tc>
        <w:tc>
          <w:tcPr>
            <w:tcW w:w="602" w:type="pct"/>
            <w:vAlign w:val="bottom"/>
          </w:tcPr>
          <w:p w14:paraId="6EA85726" w14:textId="2F619FA5" w:rsidR="000A44B5" w:rsidRPr="00471CBA" w:rsidRDefault="000A44B5" w:rsidP="00880899">
            <w:pPr>
              <w:jc w:val="right"/>
              <w:rPr>
                <w:sz w:val="16"/>
                <w:szCs w:val="16"/>
              </w:rPr>
            </w:pPr>
            <w:r w:rsidRPr="00471CBA">
              <w:rPr>
                <w:color w:val="000000"/>
                <w:sz w:val="16"/>
                <w:szCs w:val="16"/>
              </w:rPr>
              <w:t>-</w:t>
            </w:r>
          </w:p>
        </w:tc>
      </w:tr>
      <w:tr w:rsidR="000A44B5" w:rsidRPr="00471CBA" w14:paraId="723D4252" w14:textId="77777777" w:rsidTr="00880899">
        <w:trPr>
          <w:trHeight w:val="20"/>
        </w:trPr>
        <w:tc>
          <w:tcPr>
            <w:tcW w:w="1336" w:type="pct"/>
            <w:noWrap/>
            <w:vAlign w:val="bottom"/>
            <w:hideMark/>
          </w:tcPr>
          <w:p w14:paraId="4AF0145F" w14:textId="77777777" w:rsidR="000A44B5" w:rsidRPr="00471CBA" w:rsidRDefault="000A44B5" w:rsidP="000A44B5">
            <w:pPr>
              <w:rPr>
                <w:sz w:val="16"/>
                <w:szCs w:val="16"/>
              </w:rPr>
            </w:pPr>
            <w:r w:rsidRPr="00471CBA">
              <w:rPr>
                <w:sz w:val="16"/>
                <w:szCs w:val="16"/>
              </w:rPr>
              <w:t>Kamu kurum tahvil/bono</w:t>
            </w:r>
          </w:p>
        </w:tc>
        <w:tc>
          <w:tcPr>
            <w:tcW w:w="602" w:type="pct"/>
            <w:noWrap/>
            <w:vAlign w:val="bottom"/>
          </w:tcPr>
          <w:p w14:paraId="774A4AB0" w14:textId="7241AD1C" w:rsidR="000A44B5" w:rsidRPr="00471CBA" w:rsidRDefault="000A44B5" w:rsidP="00880899">
            <w:pPr>
              <w:jc w:val="right"/>
              <w:rPr>
                <w:sz w:val="16"/>
                <w:szCs w:val="16"/>
              </w:rPr>
            </w:pPr>
            <w:r w:rsidRPr="00471CBA">
              <w:rPr>
                <w:color w:val="000000"/>
                <w:sz w:val="16"/>
                <w:szCs w:val="16"/>
              </w:rPr>
              <w:t>-</w:t>
            </w:r>
          </w:p>
        </w:tc>
        <w:tc>
          <w:tcPr>
            <w:tcW w:w="627" w:type="pct"/>
            <w:noWrap/>
            <w:vAlign w:val="bottom"/>
          </w:tcPr>
          <w:p w14:paraId="78203B65" w14:textId="42D99601" w:rsidR="000A44B5" w:rsidRPr="00471CBA" w:rsidRDefault="000A44B5" w:rsidP="00880899">
            <w:pPr>
              <w:jc w:val="right"/>
              <w:rPr>
                <w:sz w:val="16"/>
                <w:szCs w:val="16"/>
              </w:rPr>
            </w:pPr>
            <w:r w:rsidRPr="00471CBA">
              <w:rPr>
                <w:color w:val="000000"/>
                <w:sz w:val="16"/>
                <w:szCs w:val="16"/>
              </w:rPr>
              <w:t>-</w:t>
            </w:r>
          </w:p>
        </w:tc>
        <w:tc>
          <w:tcPr>
            <w:tcW w:w="602" w:type="pct"/>
            <w:noWrap/>
            <w:vAlign w:val="bottom"/>
          </w:tcPr>
          <w:p w14:paraId="07937C78" w14:textId="678D809F" w:rsidR="000A44B5" w:rsidRPr="00471CBA" w:rsidRDefault="000A44B5" w:rsidP="00880899">
            <w:pPr>
              <w:jc w:val="right"/>
              <w:rPr>
                <w:sz w:val="16"/>
                <w:szCs w:val="16"/>
              </w:rPr>
            </w:pPr>
            <w:r w:rsidRPr="00471CBA">
              <w:rPr>
                <w:color w:val="000000"/>
                <w:sz w:val="16"/>
                <w:szCs w:val="16"/>
              </w:rPr>
              <w:t>-</w:t>
            </w:r>
          </w:p>
        </w:tc>
        <w:tc>
          <w:tcPr>
            <w:tcW w:w="629" w:type="pct"/>
            <w:noWrap/>
            <w:vAlign w:val="bottom"/>
          </w:tcPr>
          <w:p w14:paraId="401AB4ED" w14:textId="30E905A9" w:rsidR="000A44B5" w:rsidRPr="00471CBA" w:rsidRDefault="000A44B5" w:rsidP="00880899">
            <w:pPr>
              <w:jc w:val="right"/>
              <w:rPr>
                <w:sz w:val="16"/>
                <w:szCs w:val="16"/>
              </w:rPr>
            </w:pPr>
            <w:r w:rsidRPr="00471CBA">
              <w:rPr>
                <w:color w:val="000000"/>
                <w:sz w:val="16"/>
                <w:szCs w:val="16"/>
              </w:rPr>
              <w:t>-</w:t>
            </w:r>
          </w:p>
        </w:tc>
        <w:tc>
          <w:tcPr>
            <w:tcW w:w="602" w:type="pct"/>
            <w:vAlign w:val="bottom"/>
          </w:tcPr>
          <w:p w14:paraId="5B9BBDD0" w14:textId="4900E6BE" w:rsidR="000A44B5" w:rsidRPr="00471CBA" w:rsidRDefault="000A44B5" w:rsidP="00880899">
            <w:pPr>
              <w:jc w:val="right"/>
              <w:rPr>
                <w:sz w:val="16"/>
                <w:szCs w:val="16"/>
              </w:rPr>
            </w:pPr>
            <w:r w:rsidRPr="00471CBA">
              <w:rPr>
                <w:color w:val="000000"/>
                <w:sz w:val="16"/>
                <w:szCs w:val="16"/>
              </w:rPr>
              <w:t>-</w:t>
            </w:r>
          </w:p>
        </w:tc>
        <w:tc>
          <w:tcPr>
            <w:tcW w:w="602" w:type="pct"/>
            <w:vAlign w:val="bottom"/>
          </w:tcPr>
          <w:p w14:paraId="00CDCCFA" w14:textId="30669564" w:rsidR="000A44B5" w:rsidRPr="00471CBA" w:rsidRDefault="000A44B5" w:rsidP="00880899">
            <w:pPr>
              <w:jc w:val="right"/>
              <w:rPr>
                <w:sz w:val="16"/>
                <w:szCs w:val="16"/>
              </w:rPr>
            </w:pPr>
            <w:r w:rsidRPr="00471CBA">
              <w:rPr>
                <w:color w:val="000000"/>
                <w:sz w:val="16"/>
                <w:szCs w:val="16"/>
              </w:rPr>
              <w:t>-</w:t>
            </w:r>
          </w:p>
        </w:tc>
      </w:tr>
      <w:tr w:rsidR="000A44B5" w:rsidRPr="00471CBA" w14:paraId="1A5CAB18" w14:textId="77777777" w:rsidTr="00880899">
        <w:trPr>
          <w:trHeight w:val="20"/>
        </w:trPr>
        <w:tc>
          <w:tcPr>
            <w:tcW w:w="1336" w:type="pct"/>
            <w:noWrap/>
            <w:vAlign w:val="bottom"/>
            <w:hideMark/>
          </w:tcPr>
          <w:p w14:paraId="33264A23" w14:textId="77777777" w:rsidR="000A44B5" w:rsidRPr="00471CBA" w:rsidRDefault="000A44B5" w:rsidP="000A44B5">
            <w:pPr>
              <w:rPr>
                <w:sz w:val="16"/>
                <w:szCs w:val="16"/>
              </w:rPr>
            </w:pPr>
            <w:r w:rsidRPr="00471CBA">
              <w:rPr>
                <w:sz w:val="16"/>
                <w:szCs w:val="16"/>
              </w:rPr>
              <w:t>Kurumsal tahvil/bono</w:t>
            </w:r>
          </w:p>
        </w:tc>
        <w:tc>
          <w:tcPr>
            <w:tcW w:w="602" w:type="pct"/>
            <w:noWrap/>
            <w:vAlign w:val="bottom"/>
          </w:tcPr>
          <w:p w14:paraId="5EF6F9F4" w14:textId="7AA01F66" w:rsidR="000A44B5" w:rsidRPr="00471CBA" w:rsidRDefault="000A44B5" w:rsidP="00880899">
            <w:pPr>
              <w:jc w:val="right"/>
              <w:rPr>
                <w:sz w:val="16"/>
                <w:szCs w:val="16"/>
              </w:rPr>
            </w:pPr>
            <w:r w:rsidRPr="00471CBA">
              <w:rPr>
                <w:color w:val="000000"/>
                <w:sz w:val="16"/>
                <w:szCs w:val="16"/>
              </w:rPr>
              <w:t>-</w:t>
            </w:r>
          </w:p>
        </w:tc>
        <w:tc>
          <w:tcPr>
            <w:tcW w:w="627" w:type="pct"/>
            <w:noWrap/>
            <w:vAlign w:val="bottom"/>
          </w:tcPr>
          <w:p w14:paraId="43DFEC4B" w14:textId="43DD739B" w:rsidR="000A44B5" w:rsidRPr="00471CBA" w:rsidRDefault="000A44B5" w:rsidP="00880899">
            <w:pPr>
              <w:jc w:val="right"/>
              <w:rPr>
                <w:sz w:val="16"/>
                <w:szCs w:val="16"/>
              </w:rPr>
            </w:pPr>
            <w:r w:rsidRPr="00471CBA">
              <w:rPr>
                <w:color w:val="000000"/>
                <w:sz w:val="16"/>
                <w:szCs w:val="16"/>
              </w:rPr>
              <w:t>-</w:t>
            </w:r>
          </w:p>
        </w:tc>
        <w:tc>
          <w:tcPr>
            <w:tcW w:w="602" w:type="pct"/>
            <w:noWrap/>
            <w:vAlign w:val="bottom"/>
          </w:tcPr>
          <w:p w14:paraId="0078CD3F" w14:textId="67BDBD86" w:rsidR="000A44B5" w:rsidRPr="00471CBA" w:rsidRDefault="000A44B5" w:rsidP="00880899">
            <w:pPr>
              <w:jc w:val="right"/>
              <w:rPr>
                <w:sz w:val="16"/>
                <w:szCs w:val="16"/>
              </w:rPr>
            </w:pPr>
            <w:r w:rsidRPr="00471CBA">
              <w:rPr>
                <w:color w:val="000000"/>
                <w:sz w:val="16"/>
                <w:szCs w:val="16"/>
              </w:rPr>
              <w:t>-</w:t>
            </w:r>
          </w:p>
        </w:tc>
        <w:tc>
          <w:tcPr>
            <w:tcW w:w="629" w:type="pct"/>
            <w:noWrap/>
            <w:vAlign w:val="bottom"/>
          </w:tcPr>
          <w:p w14:paraId="35668EC1" w14:textId="684BF430" w:rsidR="000A44B5" w:rsidRPr="00471CBA" w:rsidRDefault="000A44B5" w:rsidP="00880899">
            <w:pPr>
              <w:jc w:val="right"/>
              <w:rPr>
                <w:sz w:val="16"/>
                <w:szCs w:val="16"/>
              </w:rPr>
            </w:pPr>
            <w:r w:rsidRPr="00471CBA">
              <w:rPr>
                <w:color w:val="000000"/>
                <w:sz w:val="16"/>
                <w:szCs w:val="16"/>
              </w:rPr>
              <w:t>-</w:t>
            </w:r>
          </w:p>
        </w:tc>
        <w:tc>
          <w:tcPr>
            <w:tcW w:w="602" w:type="pct"/>
            <w:vAlign w:val="bottom"/>
          </w:tcPr>
          <w:p w14:paraId="3A7F43AD" w14:textId="722ED5C4" w:rsidR="000A44B5" w:rsidRPr="00471CBA" w:rsidRDefault="000A44B5" w:rsidP="00880899">
            <w:pPr>
              <w:jc w:val="right"/>
              <w:rPr>
                <w:sz w:val="16"/>
                <w:szCs w:val="16"/>
              </w:rPr>
            </w:pPr>
            <w:r w:rsidRPr="00471CBA">
              <w:rPr>
                <w:color w:val="000000"/>
                <w:sz w:val="16"/>
                <w:szCs w:val="16"/>
              </w:rPr>
              <w:t>-</w:t>
            </w:r>
          </w:p>
        </w:tc>
        <w:tc>
          <w:tcPr>
            <w:tcW w:w="602" w:type="pct"/>
            <w:vAlign w:val="bottom"/>
          </w:tcPr>
          <w:p w14:paraId="3F5426AE" w14:textId="67EEEF8B" w:rsidR="000A44B5" w:rsidRPr="00471CBA" w:rsidRDefault="000A44B5" w:rsidP="00880899">
            <w:pPr>
              <w:jc w:val="right"/>
              <w:rPr>
                <w:sz w:val="16"/>
                <w:szCs w:val="16"/>
              </w:rPr>
            </w:pPr>
            <w:r w:rsidRPr="00471CBA">
              <w:rPr>
                <w:color w:val="000000"/>
                <w:sz w:val="16"/>
                <w:szCs w:val="16"/>
              </w:rPr>
              <w:t>-</w:t>
            </w:r>
          </w:p>
        </w:tc>
      </w:tr>
      <w:tr w:rsidR="000A44B5" w:rsidRPr="00471CBA" w14:paraId="15692CAA" w14:textId="77777777" w:rsidTr="00880899">
        <w:trPr>
          <w:trHeight w:val="20"/>
        </w:trPr>
        <w:tc>
          <w:tcPr>
            <w:tcW w:w="1336" w:type="pct"/>
            <w:noWrap/>
            <w:vAlign w:val="bottom"/>
            <w:hideMark/>
          </w:tcPr>
          <w:p w14:paraId="701C6EF0" w14:textId="77777777" w:rsidR="000A44B5" w:rsidRPr="00471CBA" w:rsidRDefault="000A44B5" w:rsidP="000A44B5">
            <w:pPr>
              <w:rPr>
                <w:sz w:val="16"/>
                <w:szCs w:val="16"/>
              </w:rPr>
            </w:pPr>
            <w:r w:rsidRPr="00471CBA">
              <w:rPr>
                <w:sz w:val="16"/>
                <w:szCs w:val="16"/>
              </w:rPr>
              <w:t>Hisse senedi</w:t>
            </w:r>
          </w:p>
        </w:tc>
        <w:tc>
          <w:tcPr>
            <w:tcW w:w="602" w:type="pct"/>
            <w:noWrap/>
            <w:vAlign w:val="bottom"/>
          </w:tcPr>
          <w:p w14:paraId="0DD8E85F" w14:textId="4CFC3AF3" w:rsidR="000A44B5" w:rsidRPr="00471CBA" w:rsidRDefault="000A44B5" w:rsidP="00880899">
            <w:pPr>
              <w:jc w:val="right"/>
              <w:rPr>
                <w:sz w:val="16"/>
                <w:szCs w:val="16"/>
              </w:rPr>
            </w:pPr>
            <w:r w:rsidRPr="00471CBA">
              <w:rPr>
                <w:color w:val="000000"/>
                <w:sz w:val="16"/>
                <w:szCs w:val="16"/>
              </w:rPr>
              <w:t>-</w:t>
            </w:r>
          </w:p>
        </w:tc>
        <w:tc>
          <w:tcPr>
            <w:tcW w:w="627" w:type="pct"/>
            <w:noWrap/>
            <w:vAlign w:val="bottom"/>
          </w:tcPr>
          <w:p w14:paraId="55574FAA" w14:textId="3CD61875" w:rsidR="000A44B5" w:rsidRPr="00471CBA" w:rsidRDefault="000A44B5" w:rsidP="00880899">
            <w:pPr>
              <w:jc w:val="right"/>
              <w:rPr>
                <w:sz w:val="16"/>
                <w:szCs w:val="16"/>
              </w:rPr>
            </w:pPr>
            <w:r w:rsidRPr="00471CBA">
              <w:rPr>
                <w:color w:val="000000"/>
                <w:sz w:val="16"/>
                <w:szCs w:val="16"/>
              </w:rPr>
              <w:t>-</w:t>
            </w:r>
          </w:p>
        </w:tc>
        <w:tc>
          <w:tcPr>
            <w:tcW w:w="602" w:type="pct"/>
            <w:vAlign w:val="bottom"/>
          </w:tcPr>
          <w:p w14:paraId="11980DB8" w14:textId="314FECDC" w:rsidR="000A44B5" w:rsidRPr="00471CBA" w:rsidRDefault="000A44B5" w:rsidP="00880899">
            <w:pPr>
              <w:jc w:val="right"/>
              <w:rPr>
                <w:sz w:val="16"/>
                <w:szCs w:val="16"/>
              </w:rPr>
            </w:pPr>
            <w:r w:rsidRPr="00471CBA">
              <w:rPr>
                <w:color w:val="000000"/>
                <w:sz w:val="16"/>
                <w:szCs w:val="16"/>
              </w:rPr>
              <w:t>-</w:t>
            </w:r>
          </w:p>
        </w:tc>
        <w:tc>
          <w:tcPr>
            <w:tcW w:w="629" w:type="pct"/>
            <w:vAlign w:val="bottom"/>
          </w:tcPr>
          <w:p w14:paraId="115300F9" w14:textId="147547A7" w:rsidR="000A44B5" w:rsidRPr="00471CBA" w:rsidRDefault="000A44B5" w:rsidP="00880899">
            <w:pPr>
              <w:jc w:val="right"/>
              <w:rPr>
                <w:sz w:val="16"/>
                <w:szCs w:val="16"/>
              </w:rPr>
            </w:pPr>
            <w:r w:rsidRPr="00471CBA">
              <w:rPr>
                <w:color w:val="000000"/>
                <w:sz w:val="16"/>
                <w:szCs w:val="16"/>
              </w:rPr>
              <w:t>-</w:t>
            </w:r>
          </w:p>
        </w:tc>
        <w:tc>
          <w:tcPr>
            <w:tcW w:w="602" w:type="pct"/>
            <w:vAlign w:val="bottom"/>
          </w:tcPr>
          <w:p w14:paraId="3858FB9E" w14:textId="325551EC" w:rsidR="000A44B5" w:rsidRPr="00471CBA" w:rsidRDefault="000A44B5" w:rsidP="00880899">
            <w:pPr>
              <w:jc w:val="right"/>
              <w:rPr>
                <w:sz w:val="16"/>
                <w:szCs w:val="16"/>
              </w:rPr>
            </w:pPr>
            <w:r w:rsidRPr="00471CBA">
              <w:rPr>
                <w:color w:val="000000"/>
                <w:sz w:val="16"/>
                <w:szCs w:val="16"/>
              </w:rPr>
              <w:t>-</w:t>
            </w:r>
          </w:p>
        </w:tc>
        <w:tc>
          <w:tcPr>
            <w:tcW w:w="602" w:type="pct"/>
            <w:vAlign w:val="bottom"/>
          </w:tcPr>
          <w:p w14:paraId="48B9A7DA" w14:textId="12220987" w:rsidR="000A44B5" w:rsidRPr="00471CBA" w:rsidRDefault="000A44B5" w:rsidP="00880899">
            <w:pPr>
              <w:jc w:val="right"/>
              <w:rPr>
                <w:sz w:val="16"/>
                <w:szCs w:val="16"/>
              </w:rPr>
            </w:pPr>
            <w:r w:rsidRPr="00471CBA">
              <w:rPr>
                <w:color w:val="000000"/>
                <w:sz w:val="16"/>
                <w:szCs w:val="16"/>
              </w:rPr>
              <w:t>-</w:t>
            </w:r>
          </w:p>
        </w:tc>
      </w:tr>
      <w:tr w:rsidR="000A44B5" w:rsidRPr="00471CBA" w14:paraId="2E27048D" w14:textId="77777777" w:rsidTr="00880899">
        <w:trPr>
          <w:trHeight w:val="20"/>
        </w:trPr>
        <w:tc>
          <w:tcPr>
            <w:tcW w:w="1336" w:type="pct"/>
            <w:noWrap/>
            <w:vAlign w:val="bottom"/>
            <w:hideMark/>
          </w:tcPr>
          <w:p w14:paraId="7EE340C2" w14:textId="77777777" w:rsidR="000A44B5" w:rsidRPr="00471CBA" w:rsidRDefault="000A44B5" w:rsidP="000A44B5">
            <w:pPr>
              <w:rPr>
                <w:sz w:val="16"/>
                <w:szCs w:val="16"/>
              </w:rPr>
            </w:pPr>
            <w:r w:rsidRPr="00471CBA">
              <w:rPr>
                <w:sz w:val="16"/>
                <w:szCs w:val="16"/>
              </w:rPr>
              <w:t>Diğer teminat</w:t>
            </w:r>
          </w:p>
        </w:tc>
        <w:tc>
          <w:tcPr>
            <w:tcW w:w="602" w:type="pct"/>
            <w:noWrap/>
            <w:vAlign w:val="bottom"/>
          </w:tcPr>
          <w:p w14:paraId="6F384BDC" w14:textId="715B5DDC" w:rsidR="000A44B5" w:rsidRPr="00471CBA" w:rsidRDefault="000A44B5" w:rsidP="00880899">
            <w:pPr>
              <w:jc w:val="right"/>
              <w:rPr>
                <w:sz w:val="16"/>
                <w:szCs w:val="16"/>
              </w:rPr>
            </w:pPr>
            <w:r w:rsidRPr="00471CBA">
              <w:rPr>
                <w:color w:val="000000"/>
                <w:sz w:val="16"/>
                <w:szCs w:val="16"/>
              </w:rPr>
              <w:t>-</w:t>
            </w:r>
          </w:p>
        </w:tc>
        <w:tc>
          <w:tcPr>
            <w:tcW w:w="627" w:type="pct"/>
            <w:noWrap/>
            <w:vAlign w:val="bottom"/>
          </w:tcPr>
          <w:p w14:paraId="5DC31AA6" w14:textId="23FCC5C1" w:rsidR="000A44B5" w:rsidRPr="00471CBA" w:rsidRDefault="000A44B5" w:rsidP="00880899">
            <w:pPr>
              <w:jc w:val="right"/>
              <w:rPr>
                <w:sz w:val="16"/>
                <w:szCs w:val="16"/>
              </w:rPr>
            </w:pPr>
            <w:r w:rsidRPr="00471CBA">
              <w:rPr>
                <w:color w:val="000000"/>
                <w:sz w:val="16"/>
                <w:szCs w:val="16"/>
              </w:rPr>
              <w:t>-</w:t>
            </w:r>
          </w:p>
        </w:tc>
        <w:tc>
          <w:tcPr>
            <w:tcW w:w="602" w:type="pct"/>
            <w:noWrap/>
            <w:vAlign w:val="bottom"/>
          </w:tcPr>
          <w:p w14:paraId="20E24985" w14:textId="0458D947" w:rsidR="000A44B5" w:rsidRPr="00471CBA" w:rsidRDefault="000A44B5" w:rsidP="00880899">
            <w:pPr>
              <w:jc w:val="right"/>
              <w:rPr>
                <w:sz w:val="16"/>
                <w:szCs w:val="16"/>
              </w:rPr>
            </w:pPr>
            <w:r w:rsidRPr="00471CBA">
              <w:rPr>
                <w:color w:val="000000"/>
                <w:sz w:val="16"/>
                <w:szCs w:val="16"/>
              </w:rPr>
              <w:t>-</w:t>
            </w:r>
          </w:p>
        </w:tc>
        <w:tc>
          <w:tcPr>
            <w:tcW w:w="629" w:type="pct"/>
            <w:noWrap/>
            <w:vAlign w:val="bottom"/>
          </w:tcPr>
          <w:p w14:paraId="242B266B" w14:textId="50D8173B" w:rsidR="000A44B5" w:rsidRPr="00471CBA" w:rsidRDefault="000A44B5" w:rsidP="00880899">
            <w:pPr>
              <w:jc w:val="right"/>
              <w:rPr>
                <w:sz w:val="16"/>
                <w:szCs w:val="16"/>
              </w:rPr>
            </w:pPr>
            <w:r w:rsidRPr="00471CBA">
              <w:rPr>
                <w:color w:val="000000"/>
                <w:sz w:val="16"/>
                <w:szCs w:val="16"/>
              </w:rPr>
              <w:t>-</w:t>
            </w:r>
          </w:p>
        </w:tc>
        <w:tc>
          <w:tcPr>
            <w:tcW w:w="602" w:type="pct"/>
            <w:noWrap/>
            <w:vAlign w:val="bottom"/>
          </w:tcPr>
          <w:p w14:paraId="266DAC11" w14:textId="57E633F3" w:rsidR="000A44B5" w:rsidRPr="00471CBA" w:rsidRDefault="000A44B5" w:rsidP="00880899">
            <w:pPr>
              <w:jc w:val="right"/>
              <w:rPr>
                <w:sz w:val="16"/>
                <w:szCs w:val="16"/>
              </w:rPr>
            </w:pPr>
            <w:r w:rsidRPr="00471CBA">
              <w:rPr>
                <w:color w:val="000000"/>
                <w:sz w:val="16"/>
                <w:szCs w:val="16"/>
              </w:rPr>
              <w:t>-</w:t>
            </w:r>
          </w:p>
        </w:tc>
        <w:tc>
          <w:tcPr>
            <w:tcW w:w="602" w:type="pct"/>
            <w:noWrap/>
            <w:vAlign w:val="bottom"/>
          </w:tcPr>
          <w:p w14:paraId="586ECFCE" w14:textId="54D23D43" w:rsidR="000A44B5" w:rsidRPr="00471CBA" w:rsidRDefault="000A44B5" w:rsidP="00880899">
            <w:pPr>
              <w:jc w:val="right"/>
              <w:rPr>
                <w:sz w:val="16"/>
                <w:szCs w:val="16"/>
              </w:rPr>
            </w:pPr>
            <w:r w:rsidRPr="00471CBA">
              <w:rPr>
                <w:color w:val="000000"/>
                <w:sz w:val="16"/>
                <w:szCs w:val="16"/>
              </w:rPr>
              <w:t>-</w:t>
            </w:r>
          </w:p>
        </w:tc>
      </w:tr>
      <w:tr w:rsidR="000A44B5" w:rsidRPr="00471CBA" w14:paraId="45FDF91B" w14:textId="77777777" w:rsidTr="00880899">
        <w:trPr>
          <w:trHeight w:val="20"/>
        </w:trPr>
        <w:tc>
          <w:tcPr>
            <w:tcW w:w="1336" w:type="pct"/>
            <w:tcBorders>
              <w:bottom w:val="single" w:sz="4" w:space="0" w:color="auto"/>
            </w:tcBorders>
            <w:noWrap/>
            <w:vAlign w:val="bottom"/>
          </w:tcPr>
          <w:p w14:paraId="29E67296" w14:textId="77777777" w:rsidR="000A44B5" w:rsidRPr="00471CBA" w:rsidRDefault="000A44B5" w:rsidP="000A44B5">
            <w:pPr>
              <w:rPr>
                <w:sz w:val="16"/>
                <w:szCs w:val="16"/>
              </w:rPr>
            </w:pPr>
          </w:p>
        </w:tc>
        <w:tc>
          <w:tcPr>
            <w:tcW w:w="602" w:type="pct"/>
            <w:tcBorders>
              <w:bottom w:val="single" w:sz="4" w:space="0" w:color="auto"/>
            </w:tcBorders>
            <w:noWrap/>
            <w:vAlign w:val="bottom"/>
          </w:tcPr>
          <w:p w14:paraId="08C6A469" w14:textId="79580086" w:rsidR="000A44B5" w:rsidRPr="00471CBA" w:rsidRDefault="000A44B5" w:rsidP="00880899">
            <w:pPr>
              <w:jc w:val="right"/>
              <w:rPr>
                <w:sz w:val="16"/>
                <w:szCs w:val="16"/>
              </w:rPr>
            </w:pPr>
          </w:p>
        </w:tc>
        <w:tc>
          <w:tcPr>
            <w:tcW w:w="627" w:type="pct"/>
            <w:tcBorders>
              <w:bottom w:val="single" w:sz="4" w:space="0" w:color="auto"/>
            </w:tcBorders>
            <w:noWrap/>
            <w:vAlign w:val="bottom"/>
          </w:tcPr>
          <w:p w14:paraId="479E014C" w14:textId="2A938B69" w:rsidR="000A44B5" w:rsidRPr="00471CBA" w:rsidRDefault="000A44B5" w:rsidP="00880899">
            <w:pPr>
              <w:jc w:val="right"/>
              <w:rPr>
                <w:sz w:val="16"/>
                <w:szCs w:val="16"/>
              </w:rPr>
            </w:pPr>
          </w:p>
        </w:tc>
        <w:tc>
          <w:tcPr>
            <w:tcW w:w="602" w:type="pct"/>
            <w:tcBorders>
              <w:bottom w:val="single" w:sz="4" w:space="0" w:color="auto"/>
            </w:tcBorders>
            <w:noWrap/>
            <w:vAlign w:val="bottom"/>
          </w:tcPr>
          <w:p w14:paraId="13A4A072" w14:textId="03A6A1A3" w:rsidR="000A44B5" w:rsidRPr="00471CBA" w:rsidRDefault="000A44B5" w:rsidP="00880899">
            <w:pPr>
              <w:jc w:val="right"/>
              <w:rPr>
                <w:sz w:val="16"/>
                <w:szCs w:val="16"/>
              </w:rPr>
            </w:pPr>
          </w:p>
        </w:tc>
        <w:tc>
          <w:tcPr>
            <w:tcW w:w="629" w:type="pct"/>
            <w:tcBorders>
              <w:bottom w:val="single" w:sz="4" w:space="0" w:color="auto"/>
            </w:tcBorders>
            <w:noWrap/>
            <w:vAlign w:val="bottom"/>
          </w:tcPr>
          <w:p w14:paraId="2DABF51B" w14:textId="759F8462" w:rsidR="000A44B5" w:rsidRPr="00471CBA" w:rsidRDefault="000A44B5" w:rsidP="00880899">
            <w:pPr>
              <w:jc w:val="right"/>
              <w:rPr>
                <w:sz w:val="16"/>
                <w:szCs w:val="16"/>
              </w:rPr>
            </w:pPr>
          </w:p>
        </w:tc>
        <w:tc>
          <w:tcPr>
            <w:tcW w:w="602" w:type="pct"/>
            <w:tcBorders>
              <w:bottom w:val="single" w:sz="4" w:space="0" w:color="auto"/>
            </w:tcBorders>
            <w:noWrap/>
            <w:vAlign w:val="bottom"/>
          </w:tcPr>
          <w:p w14:paraId="38E6CF6C" w14:textId="11BF5EAB" w:rsidR="000A44B5" w:rsidRPr="00471CBA" w:rsidRDefault="000A44B5" w:rsidP="00880899">
            <w:pPr>
              <w:jc w:val="right"/>
              <w:rPr>
                <w:sz w:val="16"/>
                <w:szCs w:val="16"/>
              </w:rPr>
            </w:pPr>
          </w:p>
        </w:tc>
        <w:tc>
          <w:tcPr>
            <w:tcW w:w="602" w:type="pct"/>
            <w:tcBorders>
              <w:bottom w:val="single" w:sz="4" w:space="0" w:color="auto"/>
            </w:tcBorders>
            <w:noWrap/>
            <w:vAlign w:val="bottom"/>
          </w:tcPr>
          <w:p w14:paraId="09B02812" w14:textId="1C69611D" w:rsidR="000A44B5" w:rsidRPr="00471CBA" w:rsidRDefault="000A44B5" w:rsidP="00880899">
            <w:pPr>
              <w:jc w:val="right"/>
              <w:rPr>
                <w:sz w:val="16"/>
                <w:szCs w:val="16"/>
              </w:rPr>
            </w:pPr>
          </w:p>
        </w:tc>
      </w:tr>
      <w:tr w:rsidR="000A44B5" w:rsidRPr="00471CBA" w14:paraId="04A9AF06" w14:textId="77777777" w:rsidTr="00880899">
        <w:trPr>
          <w:trHeight w:val="20"/>
        </w:trPr>
        <w:tc>
          <w:tcPr>
            <w:tcW w:w="1336" w:type="pct"/>
            <w:tcBorders>
              <w:top w:val="single" w:sz="4" w:space="0" w:color="auto"/>
              <w:bottom w:val="single" w:sz="12" w:space="0" w:color="auto"/>
            </w:tcBorders>
            <w:noWrap/>
            <w:vAlign w:val="bottom"/>
            <w:hideMark/>
          </w:tcPr>
          <w:p w14:paraId="3B4A4DFC" w14:textId="77777777" w:rsidR="000A44B5" w:rsidRPr="00471CBA" w:rsidRDefault="000A44B5" w:rsidP="000A44B5">
            <w:pPr>
              <w:rPr>
                <w:b/>
                <w:sz w:val="16"/>
                <w:szCs w:val="16"/>
              </w:rPr>
            </w:pPr>
            <w:r w:rsidRPr="00471CBA">
              <w:rPr>
                <w:b/>
                <w:sz w:val="16"/>
                <w:szCs w:val="16"/>
              </w:rPr>
              <w:t>Toplam</w:t>
            </w:r>
          </w:p>
        </w:tc>
        <w:tc>
          <w:tcPr>
            <w:tcW w:w="602" w:type="pct"/>
            <w:tcBorders>
              <w:top w:val="single" w:sz="4" w:space="0" w:color="auto"/>
              <w:bottom w:val="single" w:sz="12" w:space="0" w:color="auto"/>
            </w:tcBorders>
            <w:noWrap/>
            <w:vAlign w:val="bottom"/>
          </w:tcPr>
          <w:p w14:paraId="2C9E99D6" w14:textId="63E7A9EA" w:rsidR="000A44B5" w:rsidRPr="00471CBA" w:rsidRDefault="000A44B5" w:rsidP="00880899">
            <w:pPr>
              <w:jc w:val="right"/>
              <w:rPr>
                <w:b/>
                <w:sz w:val="16"/>
                <w:szCs w:val="16"/>
              </w:rPr>
            </w:pPr>
            <w:r w:rsidRPr="00471CBA">
              <w:rPr>
                <w:b/>
                <w:bCs/>
                <w:color w:val="000000"/>
                <w:sz w:val="16"/>
                <w:szCs w:val="16"/>
              </w:rPr>
              <w:t>101.673</w:t>
            </w:r>
          </w:p>
        </w:tc>
        <w:tc>
          <w:tcPr>
            <w:tcW w:w="627" w:type="pct"/>
            <w:tcBorders>
              <w:top w:val="single" w:sz="4" w:space="0" w:color="auto"/>
              <w:bottom w:val="single" w:sz="12" w:space="0" w:color="auto"/>
            </w:tcBorders>
            <w:noWrap/>
            <w:vAlign w:val="bottom"/>
          </w:tcPr>
          <w:p w14:paraId="5B805FB0" w14:textId="2830A70C" w:rsidR="000A44B5" w:rsidRPr="00471CBA" w:rsidRDefault="000A44B5" w:rsidP="00880899">
            <w:pPr>
              <w:jc w:val="right"/>
              <w:rPr>
                <w:b/>
                <w:sz w:val="16"/>
                <w:szCs w:val="16"/>
              </w:rPr>
            </w:pPr>
            <w:r w:rsidRPr="00471CBA">
              <w:rPr>
                <w:b/>
                <w:bCs/>
                <w:color w:val="000000"/>
                <w:sz w:val="16"/>
                <w:szCs w:val="16"/>
              </w:rPr>
              <w:t>-</w:t>
            </w:r>
          </w:p>
        </w:tc>
        <w:tc>
          <w:tcPr>
            <w:tcW w:w="602" w:type="pct"/>
            <w:tcBorders>
              <w:top w:val="single" w:sz="4" w:space="0" w:color="auto"/>
              <w:bottom w:val="single" w:sz="12" w:space="0" w:color="auto"/>
            </w:tcBorders>
            <w:noWrap/>
            <w:vAlign w:val="bottom"/>
          </w:tcPr>
          <w:p w14:paraId="66E3BE93" w14:textId="2E3B46B1" w:rsidR="000A44B5" w:rsidRPr="00471CBA" w:rsidRDefault="000A44B5" w:rsidP="00880899">
            <w:pPr>
              <w:jc w:val="right"/>
              <w:rPr>
                <w:b/>
                <w:sz w:val="16"/>
                <w:szCs w:val="16"/>
              </w:rPr>
            </w:pPr>
            <w:r w:rsidRPr="00471CBA">
              <w:rPr>
                <w:b/>
                <w:bCs/>
                <w:color w:val="000000"/>
                <w:sz w:val="16"/>
                <w:szCs w:val="16"/>
              </w:rPr>
              <w:t>-</w:t>
            </w:r>
          </w:p>
        </w:tc>
        <w:tc>
          <w:tcPr>
            <w:tcW w:w="629" w:type="pct"/>
            <w:tcBorders>
              <w:top w:val="single" w:sz="4" w:space="0" w:color="auto"/>
              <w:bottom w:val="single" w:sz="12" w:space="0" w:color="auto"/>
            </w:tcBorders>
            <w:noWrap/>
            <w:vAlign w:val="bottom"/>
          </w:tcPr>
          <w:p w14:paraId="4A12ECDC" w14:textId="193713FF" w:rsidR="000A44B5" w:rsidRPr="00471CBA" w:rsidRDefault="000A44B5" w:rsidP="00880899">
            <w:pPr>
              <w:jc w:val="right"/>
              <w:rPr>
                <w:b/>
                <w:sz w:val="16"/>
                <w:szCs w:val="16"/>
              </w:rPr>
            </w:pPr>
            <w:r w:rsidRPr="00471CBA">
              <w:rPr>
                <w:b/>
                <w:bCs/>
                <w:color w:val="000000"/>
                <w:sz w:val="16"/>
                <w:szCs w:val="16"/>
              </w:rPr>
              <w:t>475.539</w:t>
            </w:r>
          </w:p>
        </w:tc>
        <w:tc>
          <w:tcPr>
            <w:tcW w:w="602" w:type="pct"/>
            <w:tcBorders>
              <w:top w:val="single" w:sz="4" w:space="0" w:color="auto"/>
              <w:bottom w:val="single" w:sz="12" w:space="0" w:color="auto"/>
            </w:tcBorders>
            <w:noWrap/>
            <w:vAlign w:val="bottom"/>
          </w:tcPr>
          <w:p w14:paraId="53159D7F" w14:textId="2D96D6F3" w:rsidR="000A44B5" w:rsidRPr="00471CBA" w:rsidRDefault="000A44B5" w:rsidP="00880899">
            <w:pPr>
              <w:jc w:val="right"/>
              <w:rPr>
                <w:b/>
                <w:sz w:val="16"/>
                <w:szCs w:val="16"/>
              </w:rPr>
            </w:pPr>
            <w:r w:rsidRPr="00471CBA">
              <w:rPr>
                <w:b/>
                <w:bCs/>
                <w:color w:val="000000"/>
                <w:sz w:val="16"/>
                <w:szCs w:val="16"/>
              </w:rPr>
              <w:t>475.539</w:t>
            </w:r>
          </w:p>
        </w:tc>
        <w:tc>
          <w:tcPr>
            <w:tcW w:w="602" w:type="pct"/>
            <w:tcBorders>
              <w:top w:val="single" w:sz="4" w:space="0" w:color="auto"/>
              <w:bottom w:val="single" w:sz="12" w:space="0" w:color="auto"/>
            </w:tcBorders>
            <w:noWrap/>
            <w:vAlign w:val="bottom"/>
          </w:tcPr>
          <w:p w14:paraId="7F47E85A" w14:textId="1C2D9993" w:rsidR="000A44B5" w:rsidRPr="00471CBA" w:rsidRDefault="000A44B5" w:rsidP="00880899">
            <w:pPr>
              <w:jc w:val="right"/>
              <w:rPr>
                <w:b/>
                <w:sz w:val="16"/>
                <w:szCs w:val="16"/>
              </w:rPr>
            </w:pPr>
            <w:r w:rsidRPr="00471CBA">
              <w:rPr>
                <w:b/>
                <w:bCs/>
                <w:color w:val="000000"/>
                <w:sz w:val="16"/>
                <w:szCs w:val="16"/>
              </w:rPr>
              <w:t>-</w:t>
            </w:r>
          </w:p>
        </w:tc>
      </w:tr>
    </w:tbl>
    <w:p w14:paraId="7CAC2310" w14:textId="77777777" w:rsidR="00EE0925" w:rsidRPr="00471CBA" w:rsidRDefault="00EE0925" w:rsidP="00EE0925">
      <w:pPr>
        <w:spacing w:before="80"/>
        <w:ind w:left="567" w:hanging="568"/>
        <w:jc w:val="both"/>
        <w:rPr>
          <w:b/>
          <w:szCs w:val="20"/>
        </w:rPr>
      </w:pPr>
    </w:p>
    <w:p w14:paraId="72CA0B41" w14:textId="77777777" w:rsidR="00EE0925" w:rsidRPr="00471CBA" w:rsidRDefault="00EE0925" w:rsidP="00EE0925">
      <w:pPr>
        <w:spacing w:before="80"/>
        <w:ind w:left="567" w:hanging="568"/>
        <w:jc w:val="both"/>
        <w:rPr>
          <w:b/>
          <w:szCs w:val="20"/>
        </w:rPr>
      </w:pPr>
      <w:r w:rsidRPr="00471CBA">
        <w:rPr>
          <w:b/>
          <w:szCs w:val="20"/>
        </w:rPr>
        <w:t>d.5.</w:t>
      </w:r>
      <w:r w:rsidRPr="00471CBA">
        <w:rPr>
          <w:b/>
          <w:szCs w:val="20"/>
        </w:rPr>
        <w:tab/>
        <w:t>Bankanın Alınan veya Satılan Kredi Türevlerinden Kaynaklanan Risklere İlişkin Bilgiler:</w:t>
      </w:r>
    </w:p>
    <w:p w14:paraId="4C1EB2ED" w14:textId="77777777" w:rsidR="00EE0925" w:rsidRPr="00471CBA" w:rsidRDefault="00EE0925" w:rsidP="00EE0925">
      <w:pPr>
        <w:spacing w:before="80"/>
        <w:ind w:left="1418" w:hanging="568"/>
        <w:rPr>
          <w:bCs/>
          <w:szCs w:val="20"/>
        </w:rPr>
      </w:pPr>
      <w:r w:rsidRPr="00471CBA">
        <w:rPr>
          <w:bCs/>
          <w:szCs w:val="20"/>
        </w:rPr>
        <w:t>Bulunmamaktadır (31 Aralık 2024: Bulunmamaktadır).</w:t>
      </w:r>
    </w:p>
    <w:p w14:paraId="64006046" w14:textId="77777777" w:rsidR="00EE0925" w:rsidRPr="00471CBA" w:rsidRDefault="00EE0925" w:rsidP="00EE0925">
      <w:pPr>
        <w:spacing w:before="80" w:after="120"/>
        <w:ind w:left="567" w:hanging="568"/>
        <w:jc w:val="both"/>
        <w:rPr>
          <w:szCs w:val="20"/>
        </w:rPr>
      </w:pPr>
      <w:r w:rsidRPr="00471CBA">
        <w:rPr>
          <w:b/>
          <w:szCs w:val="20"/>
        </w:rPr>
        <w:t>d.6.</w:t>
      </w:r>
      <w:r w:rsidRPr="00471CBA">
        <w:rPr>
          <w:b/>
          <w:szCs w:val="20"/>
        </w:rPr>
        <w:tab/>
        <w:t xml:space="preserve">Bankanın Merkezi Karşı Tarafa Olan Risklerine İlişkin Kapsamlı Bilgiler: </w:t>
      </w:r>
    </w:p>
    <w:tbl>
      <w:tblPr>
        <w:tblW w:w="9634" w:type="dxa"/>
        <w:tblLayout w:type="fixed"/>
        <w:tblCellMar>
          <w:left w:w="70" w:type="dxa"/>
          <w:right w:w="70" w:type="dxa"/>
        </w:tblCellMar>
        <w:tblLook w:val="04A0" w:firstRow="1" w:lastRow="0" w:firstColumn="1" w:lastColumn="0" w:noHBand="0" w:noVBand="1"/>
      </w:tblPr>
      <w:tblGrid>
        <w:gridCol w:w="421"/>
        <w:gridCol w:w="5244"/>
        <w:gridCol w:w="1134"/>
        <w:gridCol w:w="851"/>
        <w:gridCol w:w="6"/>
        <w:gridCol w:w="1128"/>
        <w:gridCol w:w="850"/>
      </w:tblGrid>
      <w:tr w:rsidR="00EE0925" w:rsidRPr="00471CBA" w14:paraId="0A85772D" w14:textId="77777777" w:rsidTr="00B0049C">
        <w:trPr>
          <w:trHeight w:val="113"/>
        </w:trPr>
        <w:tc>
          <w:tcPr>
            <w:tcW w:w="5665" w:type="dxa"/>
            <w:gridSpan w:val="2"/>
            <w:vMerge w:val="restart"/>
            <w:tcBorders>
              <w:top w:val="single" w:sz="4" w:space="0" w:color="auto"/>
              <w:left w:val="single" w:sz="4" w:space="0" w:color="auto"/>
              <w:right w:val="single" w:sz="4" w:space="0" w:color="auto"/>
            </w:tcBorders>
            <w:noWrap/>
            <w:vAlign w:val="center"/>
          </w:tcPr>
          <w:p w14:paraId="7D7A42CE" w14:textId="77777777" w:rsidR="00EE0925" w:rsidRPr="00471CBA" w:rsidRDefault="00EE0925" w:rsidP="00B0049C">
            <w:pPr>
              <w:rPr>
                <w:b/>
                <w:bCs/>
                <w:color w:val="000000"/>
                <w:sz w:val="18"/>
                <w:szCs w:val="18"/>
                <w:lang w:eastAsia="tr-TR"/>
              </w:rPr>
            </w:pPr>
            <w:r w:rsidRPr="00471CBA">
              <w:rPr>
                <w:color w:val="000000"/>
                <w:sz w:val="18"/>
                <w:szCs w:val="18"/>
                <w:lang w:eastAsia="tr-TR"/>
              </w:rPr>
              <w:t> </w:t>
            </w:r>
          </w:p>
        </w:tc>
        <w:tc>
          <w:tcPr>
            <w:tcW w:w="1991" w:type="dxa"/>
            <w:gridSpan w:val="3"/>
            <w:tcBorders>
              <w:top w:val="single" w:sz="4" w:space="0" w:color="auto"/>
              <w:left w:val="nil"/>
              <w:bottom w:val="single" w:sz="4" w:space="0" w:color="auto"/>
              <w:right w:val="single" w:sz="4" w:space="0" w:color="auto"/>
            </w:tcBorders>
            <w:noWrap/>
            <w:vAlign w:val="center"/>
          </w:tcPr>
          <w:p w14:paraId="5661CFD2" w14:textId="15BC787C" w:rsidR="00EE0925" w:rsidRPr="00471CBA" w:rsidRDefault="000A44B5" w:rsidP="00B0049C">
            <w:pPr>
              <w:jc w:val="center"/>
              <w:rPr>
                <w:b/>
                <w:bCs/>
                <w:color w:val="000000"/>
                <w:sz w:val="18"/>
                <w:szCs w:val="18"/>
                <w:lang w:eastAsia="tr-TR"/>
              </w:rPr>
            </w:pPr>
            <w:r w:rsidRPr="00471CBA">
              <w:rPr>
                <w:b/>
                <w:bCs/>
                <w:color w:val="000000"/>
                <w:sz w:val="18"/>
                <w:szCs w:val="18"/>
                <w:lang w:eastAsia="tr-TR"/>
              </w:rPr>
              <w:t xml:space="preserve">31 </w:t>
            </w:r>
            <w:r w:rsidR="00434274" w:rsidRPr="00471CBA">
              <w:rPr>
                <w:b/>
                <w:bCs/>
                <w:color w:val="000000"/>
                <w:sz w:val="18"/>
                <w:szCs w:val="18"/>
                <w:lang w:eastAsia="tr-TR"/>
              </w:rPr>
              <w:t>A</w:t>
            </w:r>
            <w:r w:rsidRPr="00471CBA">
              <w:rPr>
                <w:b/>
                <w:bCs/>
                <w:color w:val="000000"/>
                <w:sz w:val="18"/>
                <w:szCs w:val="18"/>
                <w:lang w:eastAsia="tr-TR"/>
              </w:rPr>
              <w:t>ralık 2025</w:t>
            </w:r>
          </w:p>
        </w:tc>
        <w:tc>
          <w:tcPr>
            <w:tcW w:w="1978" w:type="dxa"/>
            <w:gridSpan w:val="2"/>
            <w:tcBorders>
              <w:top w:val="single" w:sz="4" w:space="0" w:color="auto"/>
              <w:left w:val="nil"/>
              <w:bottom w:val="single" w:sz="4" w:space="0" w:color="auto"/>
              <w:right w:val="single" w:sz="4" w:space="0" w:color="auto"/>
            </w:tcBorders>
            <w:vAlign w:val="center"/>
          </w:tcPr>
          <w:p w14:paraId="016E9637" w14:textId="69EB990F" w:rsidR="00EE0925" w:rsidRPr="00471CBA" w:rsidRDefault="000A44B5" w:rsidP="00B0049C">
            <w:pPr>
              <w:jc w:val="center"/>
              <w:rPr>
                <w:b/>
                <w:bCs/>
                <w:color w:val="000000"/>
                <w:sz w:val="18"/>
                <w:szCs w:val="18"/>
                <w:lang w:eastAsia="tr-TR"/>
              </w:rPr>
            </w:pPr>
            <w:r w:rsidRPr="00471CBA">
              <w:rPr>
                <w:b/>
                <w:bCs/>
                <w:color w:val="000000"/>
                <w:sz w:val="18"/>
                <w:szCs w:val="18"/>
                <w:lang w:eastAsia="tr-TR"/>
              </w:rPr>
              <w:t>31 Aralık 2024</w:t>
            </w:r>
          </w:p>
        </w:tc>
      </w:tr>
      <w:tr w:rsidR="00EE0925" w:rsidRPr="00471CBA" w14:paraId="5AE6F945" w14:textId="77777777" w:rsidTr="00B0049C">
        <w:trPr>
          <w:trHeight w:val="113"/>
        </w:trPr>
        <w:tc>
          <w:tcPr>
            <w:tcW w:w="5665" w:type="dxa"/>
            <w:gridSpan w:val="2"/>
            <w:vMerge/>
            <w:tcBorders>
              <w:left w:val="single" w:sz="4" w:space="0" w:color="auto"/>
              <w:bottom w:val="single" w:sz="4" w:space="0" w:color="auto"/>
              <w:right w:val="single" w:sz="4" w:space="0" w:color="auto"/>
            </w:tcBorders>
            <w:noWrap/>
            <w:vAlign w:val="center"/>
            <w:hideMark/>
          </w:tcPr>
          <w:p w14:paraId="3D39BFDB" w14:textId="77777777" w:rsidR="00EE0925" w:rsidRPr="00471CBA" w:rsidRDefault="00EE0925" w:rsidP="00B0049C">
            <w:pPr>
              <w:rPr>
                <w:b/>
                <w:bCs/>
                <w:color w:val="000000"/>
                <w:sz w:val="18"/>
                <w:szCs w:val="18"/>
                <w:lang w:eastAsia="tr-TR"/>
              </w:rPr>
            </w:pPr>
          </w:p>
        </w:tc>
        <w:tc>
          <w:tcPr>
            <w:tcW w:w="1134" w:type="dxa"/>
            <w:tcBorders>
              <w:top w:val="single" w:sz="4" w:space="0" w:color="auto"/>
              <w:left w:val="nil"/>
              <w:bottom w:val="single" w:sz="4" w:space="0" w:color="auto"/>
              <w:right w:val="single" w:sz="4" w:space="0" w:color="auto"/>
            </w:tcBorders>
            <w:noWrap/>
            <w:vAlign w:val="center"/>
            <w:hideMark/>
          </w:tcPr>
          <w:p w14:paraId="6B8216F9" w14:textId="77777777" w:rsidR="00EE0925" w:rsidRPr="00471CBA" w:rsidRDefault="00EE0925" w:rsidP="00B0049C">
            <w:pPr>
              <w:jc w:val="center"/>
              <w:rPr>
                <w:b/>
                <w:bCs/>
                <w:color w:val="000000"/>
                <w:sz w:val="18"/>
                <w:szCs w:val="18"/>
                <w:lang w:eastAsia="tr-TR"/>
              </w:rPr>
            </w:pPr>
            <w:r w:rsidRPr="00471CBA">
              <w:rPr>
                <w:b/>
                <w:bCs/>
                <w:color w:val="000000"/>
                <w:sz w:val="18"/>
                <w:szCs w:val="18"/>
                <w:lang w:eastAsia="tr-TR"/>
              </w:rPr>
              <w:t xml:space="preserve"> KRA Sonrası Risk Tutarı </w:t>
            </w:r>
          </w:p>
        </w:tc>
        <w:tc>
          <w:tcPr>
            <w:tcW w:w="851" w:type="dxa"/>
            <w:tcBorders>
              <w:top w:val="single" w:sz="4" w:space="0" w:color="auto"/>
              <w:left w:val="nil"/>
              <w:bottom w:val="single" w:sz="4" w:space="0" w:color="auto"/>
              <w:right w:val="single" w:sz="4" w:space="0" w:color="auto"/>
            </w:tcBorders>
            <w:noWrap/>
            <w:vAlign w:val="center"/>
            <w:hideMark/>
          </w:tcPr>
          <w:p w14:paraId="78B851E1" w14:textId="77777777" w:rsidR="00EE0925" w:rsidRPr="00471CBA" w:rsidRDefault="00EE0925" w:rsidP="00B0049C">
            <w:pPr>
              <w:jc w:val="center"/>
              <w:rPr>
                <w:b/>
                <w:bCs/>
                <w:color w:val="000000"/>
                <w:sz w:val="18"/>
                <w:szCs w:val="18"/>
                <w:lang w:eastAsia="tr-TR"/>
              </w:rPr>
            </w:pPr>
            <w:r w:rsidRPr="00471CBA">
              <w:rPr>
                <w:b/>
                <w:bCs/>
                <w:color w:val="000000"/>
                <w:sz w:val="18"/>
                <w:szCs w:val="18"/>
                <w:lang w:eastAsia="tr-TR"/>
              </w:rPr>
              <w:t xml:space="preserve"> RAT </w:t>
            </w:r>
          </w:p>
        </w:tc>
        <w:tc>
          <w:tcPr>
            <w:tcW w:w="1134" w:type="dxa"/>
            <w:gridSpan w:val="2"/>
            <w:tcBorders>
              <w:top w:val="single" w:sz="4" w:space="0" w:color="auto"/>
              <w:left w:val="nil"/>
              <w:bottom w:val="single" w:sz="4" w:space="0" w:color="auto"/>
              <w:right w:val="single" w:sz="4" w:space="0" w:color="auto"/>
            </w:tcBorders>
            <w:vAlign w:val="center"/>
          </w:tcPr>
          <w:p w14:paraId="522A15A8" w14:textId="77777777" w:rsidR="00EE0925" w:rsidRPr="00471CBA" w:rsidRDefault="00EE0925" w:rsidP="00B0049C">
            <w:pPr>
              <w:jc w:val="center"/>
              <w:rPr>
                <w:b/>
                <w:bCs/>
                <w:color w:val="000000"/>
                <w:sz w:val="18"/>
                <w:szCs w:val="18"/>
                <w:lang w:eastAsia="tr-TR"/>
              </w:rPr>
            </w:pPr>
            <w:r w:rsidRPr="00471CBA">
              <w:rPr>
                <w:b/>
                <w:bCs/>
                <w:color w:val="000000"/>
                <w:sz w:val="18"/>
                <w:szCs w:val="18"/>
                <w:lang w:eastAsia="tr-TR"/>
              </w:rPr>
              <w:t xml:space="preserve"> KRA Sonrası Risk Tutarı </w:t>
            </w:r>
          </w:p>
        </w:tc>
        <w:tc>
          <w:tcPr>
            <w:tcW w:w="850" w:type="dxa"/>
            <w:tcBorders>
              <w:top w:val="single" w:sz="4" w:space="0" w:color="auto"/>
              <w:left w:val="single" w:sz="4" w:space="0" w:color="auto"/>
              <w:bottom w:val="single" w:sz="4" w:space="0" w:color="auto"/>
              <w:right w:val="single" w:sz="4" w:space="0" w:color="auto"/>
            </w:tcBorders>
            <w:vAlign w:val="center"/>
          </w:tcPr>
          <w:p w14:paraId="338D9DAE" w14:textId="77777777" w:rsidR="00EE0925" w:rsidRPr="00471CBA" w:rsidRDefault="00EE0925" w:rsidP="00B0049C">
            <w:pPr>
              <w:jc w:val="center"/>
              <w:rPr>
                <w:b/>
                <w:bCs/>
                <w:color w:val="000000"/>
                <w:sz w:val="18"/>
                <w:szCs w:val="18"/>
                <w:lang w:eastAsia="tr-TR"/>
              </w:rPr>
            </w:pPr>
            <w:r w:rsidRPr="00471CBA">
              <w:rPr>
                <w:b/>
                <w:bCs/>
                <w:color w:val="000000"/>
                <w:sz w:val="18"/>
                <w:szCs w:val="18"/>
                <w:lang w:eastAsia="tr-TR"/>
              </w:rPr>
              <w:t xml:space="preserve"> RAT </w:t>
            </w:r>
          </w:p>
        </w:tc>
      </w:tr>
      <w:tr w:rsidR="00434274" w:rsidRPr="00471CBA" w14:paraId="4BF26B2A" w14:textId="77777777" w:rsidTr="00434274">
        <w:trPr>
          <w:trHeight w:val="113"/>
        </w:trPr>
        <w:tc>
          <w:tcPr>
            <w:tcW w:w="421" w:type="dxa"/>
            <w:tcBorders>
              <w:top w:val="nil"/>
              <w:left w:val="single" w:sz="4" w:space="0" w:color="auto"/>
              <w:bottom w:val="single" w:sz="4" w:space="0" w:color="auto"/>
              <w:right w:val="single" w:sz="4" w:space="0" w:color="auto"/>
            </w:tcBorders>
            <w:hideMark/>
          </w:tcPr>
          <w:p w14:paraId="69F5BCD5" w14:textId="77777777" w:rsidR="00434274" w:rsidRPr="00471CBA" w:rsidRDefault="00434274" w:rsidP="00434274">
            <w:pPr>
              <w:rPr>
                <w:b/>
                <w:bCs/>
                <w:color w:val="000000"/>
                <w:sz w:val="18"/>
                <w:szCs w:val="18"/>
                <w:lang w:eastAsia="tr-TR"/>
              </w:rPr>
            </w:pPr>
            <w:bookmarkStart w:id="74" w:name="_Hlk189563755"/>
            <w:r w:rsidRPr="00471CBA">
              <w:rPr>
                <w:b/>
                <w:bCs/>
                <w:color w:val="000000"/>
                <w:sz w:val="18"/>
                <w:szCs w:val="18"/>
                <w:lang w:eastAsia="tr-TR"/>
              </w:rPr>
              <w:t>1</w:t>
            </w:r>
          </w:p>
        </w:tc>
        <w:tc>
          <w:tcPr>
            <w:tcW w:w="5244" w:type="dxa"/>
            <w:tcBorders>
              <w:top w:val="nil"/>
              <w:left w:val="nil"/>
              <w:bottom w:val="single" w:sz="4" w:space="0" w:color="auto"/>
              <w:right w:val="single" w:sz="4" w:space="0" w:color="auto"/>
            </w:tcBorders>
            <w:hideMark/>
          </w:tcPr>
          <w:p w14:paraId="135A1F62" w14:textId="77777777" w:rsidR="00434274" w:rsidRPr="00471CBA" w:rsidRDefault="00434274" w:rsidP="00434274">
            <w:pPr>
              <w:rPr>
                <w:b/>
                <w:bCs/>
                <w:color w:val="000000"/>
                <w:sz w:val="18"/>
                <w:szCs w:val="18"/>
                <w:lang w:eastAsia="tr-TR"/>
              </w:rPr>
            </w:pPr>
            <w:r w:rsidRPr="00471CBA">
              <w:rPr>
                <w:b/>
                <w:bCs/>
                <w:color w:val="000000"/>
                <w:sz w:val="18"/>
                <w:szCs w:val="18"/>
                <w:lang w:eastAsia="tr-TR"/>
              </w:rPr>
              <w:t>Taraflardan birinin MKT olduğu nitelikli işlemlerden kaynaklanan toplam riskler</w:t>
            </w:r>
          </w:p>
        </w:tc>
        <w:tc>
          <w:tcPr>
            <w:tcW w:w="1134" w:type="dxa"/>
            <w:tcBorders>
              <w:top w:val="nil"/>
              <w:left w:val="nil"/>
              <w:bottom w:val="single" w:sz="4" w:space="0" w:color="auto"/>
              <w:right w:val="single" w:sz="4" w:space="0" w:color="auto"/>
            </w:tcBorders>
            <w:shd w:val="clear" w:color="auto" w:fill="000000" w:themeFill="text1"/>
            <w:vAlign w:val="bottom"/>
            <w:hideMark/>
          </w:tcPr>
          <w:p w14:paraId="0372AA94" w14:textId="77777777" w:rsidR="00434274" w:rsidRPr="00471CBA" w:rsidRDefault="00434274" w:rsidP="00434274">
            <w:pPr>
              <w:jc w:val="right"/>
              <w:rPr>
                <w:b/>
                <w:bCs/>
                <w:color w:val="000000"/>
                <w:sz w:val="18"/>
                <w:szCs w:val="18"/>
                <w:lang w:eastAsia="tr-TR"/>
              </w:rPr>
            </w:pPr>
          </w:p>
        </w:tc>
        <w:tc>
          <w:tcPr>
            <w:tcW w:w="851" w:type="dxa"/>
            <w:tcBorders>
              <w:top w:val="nil"/>
              <w:left w:val="nil"/>
              <w:bottom w:val="single" w:sz="4" w:space="0" w:color="auto"/>
              <w:right w:val="single" w:sz="4" w:space="0" w:color="auto"/>
            </w:tcBorders>
            <w:vAlign w:val="bottom"/>
            <w:hideMark/>
          </w:tcPr>
          <w:p w14:paraId="6106972D" w14:textId="2EC80DCD" w:rsidR="00434274" w:rsidRPr="00471CBA" w:rsidRDefault="00434274" w:rsidP="00434274">
            <w:pPr>
              <w:jc w:val="right"/>
              <w:rPr>
                <w:b/>
                <w:bCs/>
                <w:color w:val="000000"/>
                <w:sz w:val="18"/>
                <w:szCs w:val="18"/>
                <w:lang w:eastAsia="tr-TR"/>
              </w:rPr>
            </w:pPr>
            <w:r w:rsidRPr="00471CBA">
              <w:rPr>
                <w:sz w:val="18"/>
                <w:szCs w:val="18"/>
              </w:rPr>
              <w:t>7.136</w:t>
            </w:r>
          </w:p>
        </w:tc>
        <w:tc>
          <w:tcPr>
            <w:tcW w:w="1134" w:type="dxa"/>
            <w:gridSpan w:val="2"/>
            <w:tcBorders>
              <w:top w:val="nil"/>
              <w:left w:val="nil"/>
              <w:bottom w:val="single" w:sz="4" w:space="0" w:color="auto"/>
              <w:right w:val="single" w:sz="4" w:space="0" w:color="auto"/>
            </w:tcBorders>
            <w:shd w:val="clear" w:color="auto" w:fill="000000" w:themeFill="text1"/>
            <w:vAlign w:val="bottom"/>
          </w:tcPr>
          <w:p w14:paraId="54E28804" w14:textId="5FF3E0FD" w:rsidR="00434274" w:rsidRPr="00471CBA" w:rsidRDefault="00434274" w:rsidP="00434274">
            <w:pPr>
              <w:jc w:val="right"/>
              <w:rPr>
                <w:b/>
                <w:bCs/>
                <w:color w:val="000000"/>
                <w:sz w:val="18"/>
                <w:szCs w:val="18"/>
                <w:lang w:eastAsia="tr-TR"/>
              </w:rPr>
            </w:pPr>
            <w:r w:rsidRPr="00471CBA">
              <w:rPr>
                <w:color w:val="000000"/>
                <w:sz w:val="18"/>
                <w:szCs w:val="18"/>
                <w:lang w:eastAsia="tr-TR"/>
              </w:rPr>
              <w:t> </w:t>
            </w:r>
          </w:p>
        </w:tc>
        <w:tc>
          <w:tcPr>
            <w:tcW w:w="850" w:type="dxa"/>
            <w:tcBorders>
              <w:top w:val="nil"/>
              <w:left w:val="single" w:sz="4" w:space="0" w:color="auto"/>
              <w:bottom w:val="single" w:sz="4" w:space="0" w:color="auto"/>
              <w:right w:val="single" w:sz="4" w:space="0" w:color="auto"/>
            </w:tcBorders>
            <w:vAlign w:val="bottom"/>
          </w:tcPr>
          <w:p w14:paraId="1188E629" w14:textId="095E834E" w:rsidR="00434274" w:rsidRPr="00471CBA" w:rsidRDefault="00434274" w:rsidP="00434274">
            <w:pPr>
              <w:jc w:val="right"/>
              <w:rPr>
                <w:b/>
                <w:bCs/>
                <w:color w:val="000000"/>
                <w:sz w:val="18"/>
                <w:szCs w:val="18"/>
                <w:lang w:eastAsia="tr-TR"/>
              </w:rPr>
            </w:pPr>
            <w:r w:rsidRPr="00471CBA">
              <w:rPr>
                <w:color w:val="000000"/>
                <w:sz w:val="18"/>
                <w:szCs w:val="18"/>
                <w:lang w:eastAsia="tr-TR"/>
              </w:rPr>
              <w:t>340</w:t>
            </w:r>
          </w:p>
        </w:tc>
      </w:tr>
      <w:tr w:rsidR="00434274" w:rsidRPr="00471CBA" w14:paraId="0CD51F5B" w14:textId="77777777" w:rsidTr="00434274">
        <w:trPr>
          <w:trHeight w:val="113"/>
        </w:trPr>
        <w:tc>
          <w:tcPr>
            <w:tcW w:w="421" w:type="dxa"/>
            <w:tcBorders>
              <w:top w:val="nil"/>
              <w:left w:val="single" w:sz="4" w:space="0" w:color="auto"/>
              <w:bottom w:val="single" w:sz="4" w:space="0" w:color="auto"/>
              <w:right w:val="single" w:sz="4" w:space="0" w:color="auto"/>
            </w:tcBorders>
            <w:noWrap/>
            <w:hideMark/>
          </w:tcPr>
          <w:p w14:paraId="2E0613E8" w14:textId="77777777" w:rsidR="00434274" w:rsidRPr="00471CBA" w:rsidRDefault="00434274" w:rsidP="00434274">
            <w:pPr>
              <w:rPr>
                <w:color w:val="000000"/>
                <w:sz w:val="18"/>
                <w:szCs w:val="18"/>
                <w:lang w:eastAsia="tr-TR"/>
              </w:rPr>
            </w:pPr>
            <w:r w:rsidRPr="00471CBA">
              <w:rPr>
                <w:color w:val="000000"/>
                <w:sz w:val="18"/>
                <w:szCs w:val="18"/>
                <w:lang w:eastAsia="tr-TR"/>
              </w:rPr>
              <w:t>2</w:t>
            </w:r>
          </w:p>
        </w:tc>
        <w:tc>
          <w:tcPr>
            <w:tcW w:w="5244" w:type="dxa"/>
            <w:tcBorders>
              <w:top w:val="nil"/>
              <w:left w:val="nil"/>
              <w:bottom w:val="single" w:sz="4" w:space="0" w:color="auto"/>
              <w:right w:val="single" w:sz="4" w:space="0" w:color="auto"/>
            </w:tcBorders>
            <w:noWrap/>
            <w:hideMark/>
          </w:tcPr>
          <w:p w14:paraId="3A368977" w14:textId="77777777" w:rsidR="00434274" w:rsidRPr="00471CBA" w:rsidRDefault="00434274" w:rsidP="00434274">
            <w:pPr>
              <w:rPr>
                <w:color w:val="000000"/>
                <w:sz w:val="18"/>
                <w:szCs w:val="18"/>
                <w:lang w:eastAsia="tr-TR"/>
              </w:rPr>
            </w:pPr>
            <w:proofErr w:type="spellStart"/>
            <w:r w:rsidRPr="00471CBA">
              <w:rPr>
                <w:color w:val="000000"/>
                <w:sz w:val="18"/>
                <w:szCs w:val="18"/>
                <w:lang w:eastAsia="tr-TR"/>
              </w:rPr>
              <w:t>MKT’deki</w:t>
            </w:r>
            <w:proofErr w:type="spellEnd"/>
            <w:r w:rsidRPr="00471CBA">
              <w:rPr>
                <w:color w:val="000000"/>
                <w:sz w:val="18"/>
                <w:szCs w:val="18"/>
                <w:lang w:eastAsia="tr-TR"/>
              </w:rPr>
              <w:t xml:space="preserve"> işlemlerden kaynaklanan risklere ilişkin (başlangıç teminatı ve garanti fonuna konulan tutar hariç)</w:t>
            </w:r>
          </w:p>
        </w:tc>
        <w:tc>
          <w:tcPr>
            <w:tcW w:w="1134" w:type="dxa"/>
            <w:tcBorders>
              <w:top w:val="nil"/>
              <w:left w:val="nil"/>
              <w:bottom w:val="single" w:sz="4" w:space="0" w:color="auto"/>
              <w:right w:val="single" w:sz="4" w:space="0" w:color="auto"/>
            </w:tcBorders>
            <w:noWrap/>
            <w:vAlign w:val="bottom"/>
            <w:hideMark/>
          </w:tcPr>
          <w:p w14:paraId="5944806E" w14:textId="0C6D257A" w:rsidR="00434274" w:rsidRPr="00471CBA" w:rsidRDefault="00434274" w:rsidP="00434274">
            <w:pPr>
              <w:jc w:val="right"/>
              <w:rPr>
                <w:color w:val="000000"/>
                <w:sz w:val="18"/>
                <w:szCs w:val="18"/>
                <w:lang w:eastAsia="tr-TR"/>
              </w:rPr>
            </w:pPr>
            <w:r w:rsidRPr="00471CBA">
              <w:rPr>
                <w:sz w:val="18"/>
                <w:szCs w:val="18"/>
              </w:rPr>
              <w:t>-</w:t>
            </w:r>
          </w:p>
        </w:tc>
        <w:tc>
          <w:tcPr>
            <w:tcW w:w="851" w:type="dxa"/>
            <w:tcBorders>
              <w:top w:val="nil"/>
              <w:left w:val="nil"/>
              <w:bottom w:val="single" w:sz="4" w:space="0" w:color="auto"/>
              <w:right w:val="single" w:sz="4" w:space="0" w:color="auto"/>
            </w:tcBorders>
            <w:noWrap/>
            <w:vAlign w:val="bottom"/>
            <w:hideMark/>
          </w:tcPr>
          <w:p w14:paraId="33FFF2E0" w14:textId="01582CC6" w:rsidR="00434274" w:rsidRPr="00471CBA" w:rsidRDefault="00434274" w:rsidP="00434274">
            <w:pPr>
              <w:jc w:val="right"/>
              <w:rPr>
                <w:color w:val="000000"/>
                <w:sz w:val="18"/>
                <w:szCs w:val="18"/>
                <w:lang w:eastAsia="tr-TR"/>
              </w:rPr>
            </w:pPr>
            <w:r w:rsidRPr="00471CBA">
              <w:rPr>
                <w:sz w:val="18"/>
                <w:szCs w:val="18"/>
              </w:rPr>
              <w:t>-</w:t>
            </w:r>
          </w:p>
        </w:tc>
        <w:tc>
          <w:tcPr>
            <w:tcW w:w="1134" w:type="dxa"/>
            <w:gridSpan w:val="2"/>
            <w:tcBorders>
              <w:top w:val="nil"/>
              <w:left w:val="nil"/>
              <w:bottom w:val="single" w:sz="4" w:space="0" w:color="auto"/>
              <w:right w:val="single" w:sz="4" w:space="0" w:color="auto"/>
            </w:tcBorders>
            <w:vAlign w:val="bottom"/>
          </w:tcPr>
          <w:p w14:paraId="7D1538F6" w14:textId="6F35DFC9" w:rsidR="00434274" w:rsidRPr="00471CBA" w:rsidRDefault="00434274" w:rsidP="00434274">
            <w:pPr>
              <w:jc w:val="right"/>
              <w:rPr>
                <w:color w:val="000000"/>
                <w:sz w:val="18"/>
                <w:szCs w:val="18"/>
                <w:lang w:eastAsia="tr-TR"/>
              </w:rPr>
            </w:pPr>
            <w:r w:rsidRPr="00471CBA">
              <w:rPr>
                <w:color w:val="000000"/>
                <w:sz w:val="18"/>
                <w:szCs w:val="18"/>
                <w:lang w:eastAsia="tr-TR"/>
              </w:rPr>
              <w:t>-</w:t>
            </w:r>
          </w:p>
        </w:tc>
        <w:tc>
          <w:tcPr>
            <w:tcW w:w="850" w:type="dxa"/>
            <w:tcBorders>
              <w:top w:val="nil"/>
              <w:left w:val="single" w:sz="4" w:space="0" w:color="auto"/>
              <w:bottom w:val="single" w:sz="4" w:space="0" w:color="auto"/>
              <w:right w:val="single" w:sz="4" w:space="0" w:color="auto"/>
            </w:tcBorders>
            <w:vAlign w:val="bottom"/>
          </w:tcPr>
          <w:p w14:paraId="32374169" w14:textId="56C787C8" w:rsidR="00434274" w:rsidRPr="00471CBA" w:rsidRDefault="00434274" w:rsidP="00434274">
            <w:pPr>
              <w:jc w:val="right"/>
              <w:rPr>
                <w:color w:val="000000"/>
                <w:sz w:val="18"/>
                <w:szCs w:val="18"/>
                <w:lang w:eastAsia="tr-TR"/>
              </w:rPr>
            </w:pPr>
            <w:r w:rsidRPr="00471CBA">
              <w:rPr>
                <w:color w:val="000000"/>
                <w:sz w:val="18"/>
                <w:szCs w:val="18"/>
                <w:lang w:eastAsia="tr-TR"/>
              </w:rPr>
              <w:t>-</w:t>
            </w:r>
          </w:p>
        </w:tc>
      </w:tr>
      <w:tr w:rsidR="00434274" w:rsidRPr="00471CBA" w14:paraId="3A1E263A" w14:textId="77777777" w:rsidTr="00434274">
        <w:trPr>
          <w:trHeight w:val="113"/>
        </w:trPr>
        <w:tc>
          <w:tcPr>
            <w:tcW w:w="421" w:type="dxa"/>
            <w:tcBorders>
              <w:top w:val="nil"/>
              <w:left w:val="single" w:sz="4" w:space="0" w:color="auto"/>
              <w:bottom w:val="single" w:sz="4" w:space="0" w:color="auto"/>
              <w:right w:val="single" w:sz="4" w:space="0" w:color="auto"/>
            </w:tcBorders>
            <w:noWrap/>
            <w:hideMark/>
          </w:tcPr>
          <w:p w14:paraId="6720A11A" w14:textId="77777777" w:rsidR="00434274" w:rsidRPr="00471CBA" w:rsidRDefault="00434274" w:rsidP="00434274">
            <w:pPr>
              <w:rPr>
                <w:color w:val="000000"/>
                <w:sz w:val="18"/>
                <w:szCs w:val="18"/>
                <w:lang w:eastAsia="tr-TR"/>
              </w:rPr>
            </w:pPr>
            <w:r w:rsidRPr="00471CBA">
              <w:rPr>
                <w:color w:val="000000"/>
                <w:sz w:val="18"/>
                <w:szCs w:val="18"/>
                <w:lang w:eastAsia="tr-TR"/>
              </w:rPr>
              <w:t>3</w:t>
            </w:r>
          </w:p>
        </w:tc>
        <w:tc>
          <w:tcPr>
            <w:tcW w:w="5244" w:type="dxa"/>
            <w:tcBorders>
              <w:top w:val="nil"/>
              <w:left w:val="nil"/>
              <w:bottom w:val="single" w:sz="4" w:space="0" w:color="auto"/>
              <w:right w:val="single" w:sz="4" w:space="0" w:color="auto"/>
            </w:tcBorders>
            <w:noWrap/>
            <w:hideMark/>
          </w:tcPr>
          <w:p w14:paraId="69D14161" w14:textId="77777777" w:rsidR="00434274" w:rsidRPr="00471CBA" w:rsidRDefault="00434274" w:rsidP="00434274">
            <w:pPr>
              <w:ind w:left="470"/>
              <w:rPr>
                <w:color w:val="000000"/>
                <w:sz w:val="18"/>
                <w:szCs w:val="18"/>
                <w:lang w:eastAsia="tr-TR"/>
              </w:rPr>
            </w:pPr>
            <w:r w:rsidRPr="00471CBA">
              <w:rPr>
                <w:color w:val="000000"/>
                <w:sz w:val="18"/>
                <w:szCs w:val="18"/>
                <w:lang w:eastAsia="tr-TR"/>
              </w:rPr>
              <w:t xml:space="preserve">(i)   </w:t>
            </w:r>
            <w:proofErr w:type="spellStart"/>
            <w:r w:rsidRPr="00471CBA">
              <w:rPr>
                <w:color w:val="000000"/>
                <w:sz w:val="18"/>
                <w:szCs w:val="18"/>
                <w:lang w:eastAsia="tr-TR"/>
              </w:rPr>
              <w:t>Tezgahüstü</w:t>
            </w:r>
            <w:proofErr w:type="spellEnd"/>
            <w:r w:rsidRPr="00471CBA">
              <w:rPr>
                <w:color w:val="000000"/>
                <w:sz w:val="18"/>
                <w:szCs w:val="18"/>
                <w:lang w:eastAsia="tr-TR"/>
              </w:rPr>
              <w:t xml:space="preserve"> türev işlemler</w:t>
            </w:r>
          </w:p>
        </w:tc>
        <w:tc>
          <w:tcPr>
            <w:tcW w:w="1134" w:type="dxa"/>
            <w:tcBorders>
              <w:top w:val="nil"/>
              <w:left w:val="nil"/>
              <w:bottom w:val="single" w:sz="4" w:space="0" w:color="auto"/>
              <w:right w:val="single" w:sz="4" w:space="0" w:color="auto"/>
            </w:tcBorders>
            <w:noWrap/>
            <w:vAlign w:val="bottom"/>
            <w:hideMark/>
          </w:tcPr>
          <w:p w14:paraId="1BC60566" w14:textId="3F73C965" w:rsidR="00434274" w:rsidRPr="00471CBA" w:rsidRDefault="00434274" w:rsidP="00434274">
            <w:pPr>
              <w:jc w:val="right"/>
              <w:rPr>
                <w:color w:val="000000"/>
                <w:sz w:val="18"/>
                <w:szCs w:val="18"/>
                <w:lang w:eastAsia="tr-TR"/>
              </w:rPr>
            </w:pPr>
            <w:r w:rsidRPr="00471CBA">
              <w:rPr>
                <w:sz w:val="18"/>
                <w:szCs w:val="18"/>
              </w:rPr>
              <w:t>-</w:t>
            </w:r>
          </w:p>
        </w:tc>
        <w:tc>
          <w:tcPr>
            <w:tcW w:w="851" w:type="dxa"/>
            <w:tcBorders>
              <w:top w:val="nil"/>
              <w:left w:val="nil"/>
              <w:bottom w:val="single" w:sz="4" w:space="0" w:color="auto"/>
              <w:right w:val="single" w:sz="4" w:space="0" w:color="auto"/>
            </w:tcBorders>
            <w:noWrap/>
            <w:vAlign w:val="bottom"/>
            <w:hideMark/>
          </w:tcPr>
          <w:p w14:paraId="16C9E7C2" w14:textId="5CC72538" w:rsidR="00434274" w:rsidRPr="00471CBA" w:rsidRDefault="00434274" w:rsidP="00434274">
            <w:pPr>
              <w:jc w:val="right"/>
              <w:rPr>
                <w:color w:val="000000"/>
                <w:sz w:val="18"/>
                <w:szCs w:val="18"/>
                <w:lang w:eastAsia="tr-TR"/>
              </w:rPr>
            </w:pPr>
            <w:r w:rsidRPr="00471CBA">
              <w:rPr>
                <w:sz w:val="18"/>
                <w:szCs w:val="18"/>
              </w:rPr>
              <w:t>-</w:t>
            </w:r>
          </w:p>
        </w:tc>
        <w:tc>
          <w:tcPr>
            <w:tcW w:w="1134" w:type="dxa"/>
            <w:gridSpan w:val="2"/>
            <w:tcBorders>
              <w:top w:val="nil"/>
              <w:left w:val="nil"/>
              <w:bottom w:val="single" w:sz="4" w:space="0" w:color="auto"/>
              <w:right w:val="single" w:sz="4" w:space="0" w:color="auto"/>
            </w:tcBorders>
            <w:vAlign w:val="bottom"/>
          </w:tcPr>
          <w:p w14:paraId="5ACCBED0" w14:textId="026CE8E7" w:rsidR="00434274" w:rsidRPr="00471CBA" w:rsidRDefault="00434274" w:rsidP="00434274">
            <w:pPr>
              <w:jc w:val="right"/>
              <w:rPr>
                <w:color w:val="000000"/>
                <w:sz w:val="18"/>
                <w:szCs w:val="18"/>
                <w:lang w:eastAsia="tr-TR"/>
              </w:rPr>
            </w:pPr>
            <w:r w:rsidRPr="00471CBA">
              <w:rPr>
                <w:color w:val="000000"/>
                <w:sz w:val="18"/>
                <w:szCs w:val="18"/>
                <w:lang w:eastAsia="tr-TR"/>
              </w:rPr>
              <w:t>-</w:t>
            </w:r>
          </w:p>
        </w:tc>
        <w:tc>
          <w:tcPr>
            <w:tcW w:w="850" w:type="dxa"/>
            <w:tcBorders>
              <w:top w:val="nil"/>
              <w:left w:val="single" w:sz="4" w:space="0" w:color="auto"/>
              <w:bottom w:val="single" w:sz="4" w:space="0" w:color="auto"/>
              <w:right w:val="single" w:sz="4" w:space="0" w:color="auto"/>
            </w:tcBorders>
            <w:vAlign w:val="bottom"/>
          </w:tcPr>
          <w:p w14:paraId="7BC11A62" w14:textId="66959AF4" w:rsidR="00434274" w:rsidRPr="00471CBA" w:rsidRDefault="00434274" w:rsidP="00434274">
            <w:pPr>
              <w:jc w:val="right"/>
              <w:rPr>
                <w:color w:val="000000"/>
                <w:sz w:val="18"/>
                <w:szCs w:val="18"/>
                <w:lang w:eastAsia="tr-TR"/>
              </w:rPr>
            </w:pPr>
            <w:r w:rsidRPr="00471CBA">
              <w:rPr>
                <w:color w:val="000000"/>
                <w:sz w:val="18"/>
                <w:szCs w:val="18"/>
                <w:lang w:eastAsia="tr-TR"/>
              </w:rPr>
              <w:t>-</w:t>
            </w:r>
          </w:p>
        </w:tc>
      </w:tr>
      <w:tr w:rsidR="00434274" w:rsidRPr="00471CBA" w14:paraId="129DE014" w14:textId="77777777" w:rsidTr="00434274">
        <w:trPr>
          <w:trHeight w:val="113"/>
        </w:trPr>
        <w:tc>
          <w:tcPr>
            <w:tcW w:w="421" w:type="dxa"/>
            <w:tcBorders>
              <w:top w:val="nil"/>
              <w:left w:val="single" w:sz="4" w:space="0" w:color="auto"/>
              <w:bottom w:val="single" w:sz="4" w:space="0" w:color="auto"/>
              <w:right w:val="single" w:sz="4" w:space="0" w:color="auto"/>
            </w:tcBorders>
            <w:noWrap/>
            <w:hideMark/>
          </w:tcPr>
          <w:p w14:paraId="31AD4607" w14:textId="77777777" w:rsidR="00434274" w:rsidRPr="00471CBA" w:rsidRDefault="00434274" w:rsidP="00434274">
            <w:pPr>
              <w:rPr>
                <w:color w:val="000000"/>
                <w:sz w:val="18"/>
                <w:szCs w:val="18"/>
                <w:lang w:eastAsia="tr-TR"/>
              </w:rPr>
            </w:pPr>
            <w:r w:rsidRPr="00471CBA">
              <w:rPr>
                <w:color w:val="000000"/>
                <w:sz w:val="18"/>
                <w:szCs w:val="18"/>
                <w:lang w:eastAsia="tr-TR"/>
              </w:rPr>
              <w:t>4</w:t>
            </w:r>
          </w:p>
        </w:tc>
        <w:tc>
          <w:tcPr>
            <w:tcW w:w="5244" w:type="dxa"/>
            <w:tcBorders>
              <w:top w:val="nil"/>
              <w:left w:val="nil"/>
              <w:bottom w:val="single" w:sz="4" w:space="0" w:color="auto"/>
              <w:right w:val="single" w:sz="4" w:space="0" w:color="auto"/>
            </w:tcBorders>
            <w:noWrap/>
            <w:hideMark/>
          </w:tcPr>
          <w:p w14:paraId="5F6454E8" w14:textId="77777777" w:rsidR="00434274" w:rsidRPr="00471CBA" w:rsidRDefault="00434274" w:rsidP="00434274">
            <w:pPr>
              <w:ind w:left="470"/>
              <w:rPr>
                <w:color w:val="000000"/>
                <w:sz w:val="18"/>
                <w:szCs w:val="18"/>
                <w:lang w:eastAsia="tr-TR"/>
              </w:rPr>
            </w:pPr>
            <w:r w:rsidRPr="00471CBA">
              <w:rPr>
                <w:color w:val="000000"/>
                <w:sz w:val="18"/>
                <w:szCs w:val="18"/>
                <w:lang w:eastAsia="tr-TR"/>
              </w:rPr>
              <w:t>(ii)   Diğer türev işlemler</w:t>
            </w:r>
          </w:p>
        </w:tc>
        <w:tc>
          <w:tcPr>
            <w:tcW w:w="1134" w:type="dxa"/>
            <w:tcBorders>
              <w:top w:val="nil"/>
              <w:left w:val="nil"/>
              <w:bottom w:val="single" w:sz="4" w:space="0" w:color="auto"/>
              <w:right w:val="single" w:sz="4" w:space="0" w:color="auto"/>
            </w:tcBorders>
            <w:noWrap/>
            <w:vAlign w:val="bottom"/>
            <w:hideMark/>
          </w:tcPr>
          <w:p w14:paraId="271A245F" w14:textId="172A3C05" w:rsidR="00434274" w:rsidRPr="00471CBA" w:rsidRDefault="00434274" w:rsidP="00434274">
            <w:pPr>
              <w:jc w:val="right"/>
              <w:rPr>
                <w:color w:val="000000"/>
                <w:sz w:val="18"/>
                <w:szCs w:val="18"/>
                <w:lang w:eastAsia="tr-TR"/>
              </w:rPr>
            </w:pPr>
            <w:r w:rsidRPr="00471CBA">
              <w:rPr>
                <w:sz w:val="18"/>
                <w:szCs w:val="18"/>
              </w:rPr>
              <w:t>-</w:t>
            </w:r>
          </w:p>
        </w:tc>
        <w:tc>
          <w:tcPr>
            <w:tcW w:w="851" w:type="dxa"/>
            <w:tcBorders>
              <w:top w:val="nil"/>
              <w:left w:val="nil"/>
              <w:bottom w:val="single" w:sz="4" w:space="0" w:color="auto"/>
              <w:right w:val="single" w:sz="4" w:space="0" w:color="auto"/>
            </w:tcBorders>
            <w:noWrap/>
            <w:vAlign w:val="bottom"/>
            <w:hideMark/>
          </w:tcPr>
          <w:p w14:paraId="30F20D0E" w14:textId="109EB0A1" w:rsidR="00434274" w:rsidRPr="00471CBA" w:rsidRDefault="00434274" w:rsidP="00434274">
            <w:pPr>
              <w:jc w:val="right"/>
              <w:rPr>
                <w:color w:val="000000"/>
                <w:sz w:val="18"/>
                <w:szCs w:val="18"/>
                <w:lang w:eastAsia="tr-TR"/>
              </w:rPr>
            </w:pPr>
            <w:r w:rsidRPr="00471CBA">
              <w:rPr>
                <w:sz w:val="18"/>
                <w:szCs w:val="18"/>
              </w:rPr>
              <w:t>-</w:t>
            </w:r>
          </w:p>
        </w:tc>
        <w:tc>
          <w:tcPr>
            <w:tcW w:w="1134" w:type="dxa"/>
            <w:gridSpan w:val="2"/>
            <w:tcBorders>
              <w:top w:val="nil"/>
              <w:left w:val="nil"/>
              <w:bottom w:val="single" w:sz="4" w:space="0" w:color="auto"/>
              <w:right w:val="single" w:sz="4" w:space="0" w:color="auto"/>
            </w:tcBorders>
            <w:vAlign w:val="bottom"/>
          </w:tcPr>
          <w:p w14:paraId="50EBA2EF" w14:textId="3718FF4B" w:rsidR="00434274" w:rsidRPr="00471CBA" w:rsidRDefault="00434274" w:rsidP="00434274">
            <w:pPr>
              <w:jc w:val="right"/>
              <w:rPr>
                <w:color w:val="000000"/>
                <w:sz w:val="18"/>
                <w:szCs w:val="18"/>
                <w:lang w:eastAsia="tr-TR"/>
              </w:rPr>
            </w:pPr>
            <w:r w:rsidRPr="00471CBA">
              <w:rPr>
                <w:color w:val="000000"/>
                <w:sz w:val="18"/>
                <w:szCs w:val="18"/>
                <w:lang w:eastAsia="tr-TR"/>
              </w:rPr>
              <w:t>-</w:t>
            </w:r>
          </w:p>
        </w:tc>
        <w:tc>
          <w:tcPr>
            <w:tcW w:w="850" w:type="dxa"/>
            <w:tcBorders>
              <w:top w:val="nil"/>
              <w:left w:val="single" w:sz="4" w:space="0" w:color="auto"/>
              <w:bottom w:val="single" w:sz="4" w:space="0" w:color="auto"/>
              <w:right w:val="single" w:sz="4" w:space="0" w:color="auto"/>
            </w:tcBorders>
            <w:vAlign w:val="bottom"/>
          </w:tcPr>
          <w:p w14:paraId="7AD68449" w14:textId="7EE9C67A" w:rsidR="00434274" w:rsidRPr="00471CBA" w:rsidRDefault="00434274" w:rsidP="00434274">
            <w:pPr>
              <w:jc w:val="right"/>
              <w:rPr>
                <w:color w:val="000000"/>
                <w:sz w:val="18"/>
                <w:szCs w:val="18"/>
                <w:lang w:eastAsia="tr-TR"/>
              </w:rPr>
            </w:pPr>
            <w:r w:rsidRPr="00471CBA">
              <w:rPr>
                <w:color w:val="000000"/>
                <w:sz w:val="18"/>
                <w:szCs w:val="18"/>
                <w:lang w:eastAsia="tr-TR"/>
              </w:rPr>
              <w:t>-</w:t>
            </w:r>
          </w:p>
        </w:tc>
      </w:tr>
      <w:tr w:rsidR="00434274" w:rsidRPr="00471CBA" w14:paraId="6541E680" w14:textId="77777777" w:rsidTr="00434274">
        <w:trPr>
          <w:trHeight w:val="113"/>
        </w:trPr>
        <w:tc>
          <w:tcPr>
            <w:tcW w:w="421" w:type="dxa"/>
            <w:tcBorders>
              <w:top w:val="nil"/>
              <w:left w:val="single" w:sz="4" w:space="0" w:color="auto"/>
              <w:bottom w:val="single" w:sz="4" w:space="0" w:color="auto"/>
              <w:right w:val="single" w:sz="4" w:space="0" w:color="auto"/>
            </w:tcBorders>
            <w:noWrap/>
            <w:hideMark/>
          </w:tcPr>
          <w:p w14:paraId="4DAA26F9" w14:textId="77777777" w:rsidR="00434274" w:rsidRPr="00471CBA" w:rsidRDefault="00434274" w:rsidP="00434274">
            <w:pPr>
              <w:rPr>
                <w:color w:val="000000"/>
                <w:sz w:val="18"/>
                <w:szCs w:val="18"/>
                <w:lang w:eastAsia="tr-TR"/>
              </w:rPr>
            </w:pPr>
            <w:r w:rsidRPr="00471CBA">
              <w:rPr>
                <w:color w:val="000000"/>
                <w:sz w:val="18"/>
                <w:szCs w:val="18"/>
                <w:lang w:eastAsia="tr-TR"/>
              </w:rPr>
              <w:t>5</w:t>
            </w:r>
          </w:p>
        </w:tc>
        <w:tc>
          <w:tcPr>
            <w:tcW w:w="5244" w:type="dxa"/>
            <w:tcBorders>
              <w:top w:val="nil"/>
              <w:left w:val="nil"/>
              <w:bottom w:val="single" w:sz="4" w:space="0" w:color="auto"/>
              <w:right w:val="single" w:sz="4" w:space="0" w:color="auto"/>
            </w:tcBorders>
            <w:noWrap/>
            <w:hideMark/>
          </w:tcPr>
          <w:p w14:paraId="13A5F1C8" w14:textId="77777777" w:rsidR="00434274" w:rsidRPr="00471CBA" w:rsidRDefault="00434274" w:rsidP="00434274">
            <w:pPr>
              <w:ind w:left="470"/>
              <w:rPr>
                <w:color w:val="000000"/>
                <w:sz w:val="18"/>
                <w:szCs w:val="18"/>
                <w:lang w:eastAsia="tr-TR"/>
              </w:rPr>
            </w:pPr>
            <w:r w:rsidRPr="00471CBA">
              <w:rPr>
                <w:color w:val="000000"/>
                <w:sz w:val="18"/>
                <w:szCs w:val="18"/>
                <w:lang w:eastAsia="tr-TR"/>
              </w:rPr>
              <w:t>(iii)  Menkul kıymet finansman işlemleri</w:t>
            </w:r>
          </w:p>
        </w:tc>
        <w:tc>
          <w:tcPr>
            <w:tcW w:w="1134" w:type="dxa"/>
            <w:tcBorders>
              <w:top w:val="nil"/>
              <w:left w:val="nil"/>
              <w:bottom w:val="single" w:sz="4" w:space="0" w:color="auto"/>
              <w:right w:val="single" w:sz="4" w:space="0" w:color="auto"/>
            </w:tcBorders>
            <w:noWrap/>
            <w:vAlign w:val="bottom"/>
            <w:hideMark/>
          </w:tcPr>
          <w:p w14:paraId="60393888" w14:textId="72EE3217" w:rsidR="00434274" w:rsidRPr="00471CBA" w:rsidRDefault="00434274" w:rsidP="00434274">
            <w:pPr>
              <w:jc w:val="right"/>
              <w:rPr>
                <w:color w:val="000000"/>
                <w:sz w:val="18"/>
                <w:szCs w:val="18"/>
                <w:lang w:eastAsia="tr-TR"/>
              </w:rPr>
            </w:pPr>
            <w:r w:rsidRPr="00471CBA">
              <w:rPr>
                <w:sz w:val="18"/>
                <w:szCs w:val="18"/>
              </w:rPr>
              <w:t>-</w:t>
            </w:r>
          </w:p>
        </w:tc>
        <w:tc>
          <w:tcPr>
            <w:tcW w:w="851" w:type="dxa"/>
            <w:tcBorders>
              <w:top w:val="nil"/>
              <w:left w:val="nil"/>
              <w:bottom w:val="single" w:sz="4" w:space="0" w:color="auto"/>
              <w:right w:val="single" w:sz="4" w:space="0" w:color="auto"/>
            </w:tcBorders>
            <w:noWrap/>
            <w:vAlign w:val="bottom"/>
            <w:hideMark/>
          </w:tcPr>
          <w:p w14:paraId="0E3AA010" w14:textId="45533E94" w:rsidR="00434274" w:rsidRPr="00471CBA" w:rsidRDefault="00434274" w:rsidP="00434274">
            <w:pPr>
              <w:jc w:val="right"/>
              <w:rPr>
                <w:color w:val="000000"/>
                <w:sz w:val="18"/>
                <w:szCs w:val="18"/>
                <w:lang w:eastAsia="tr-TR"/>
              </w:rPr>
            </w:pPr>
            <w:r w:rsidRPr="00471CBA">
              <w:rPr>
                <w:sz w:val="18"/>
                <w:szCs w:val="18"/>
              </w:rPr>
              <w:t>-</w:t>
            </w:r>
          </w:p>
        </w:tc>
        <w:tc>
          <w:tcPr>
            <w:tcW w:w="1134" w:type="dxa"/>
            <w:gridSpan w:val="2"/>
            <w:tcBorders>
              <w:top w:val="nil"/>
              <w:left w:val="nil"/>
              <w:bottom w:val="single" w:sz="4" w:space="0" w:color="auto"/>
              <w:right w:val="single" w:sz="4" w:space="0" w:color="auto"/>
            </w:tcBorders>
            <w:vAlign w:val="bottom"/>
          </w:tcPr>
          <w:p w14:paraId="7A1B3371" w14:textId="12FC4C6E" w:rsidR="00434274" w:rsidRPr="00471CBA" w:rsidRDefault="00434274" w:rsidP="00434274">
            <w:pPr>
              <w:jc w:val="right"/>
              <w:rPr>
                <w:color w:val="000000"/>
                <w:sz w:val="18"/>
                <w:szCs w:val="18"/>
                <w:lang w:eastAsia="tr-TR"/>
              </w:rPr>
            </w:pPr>
            <w:r w:rsidRPr="00471CBA">
              <w:rPr>
                <w:color w:val="000000"/>
                <w:sz w:val="18"/>
                <w:szCs w:val="18"/>
                <w:lang w:eastAsia="tr-TR"/>
              </w:rPr>
              <w:t>-</w:t>
            </w:r>
          </w:p>
        </w:tc>
        <w:tc>
          <w:tcPr>
            <w:tcW w:w="850" w:type="dxa"/>
            <w:tcBorders>
              <w:top w:val="nil"/>
              <w:left w:val="single" w:sz="4" w:space="0" w:color="auto"/>
              <w:bottom w:val="single" w:sz="4" w:space="0" w:color="auto"/>
              <w:right w:val="single" w:sz="4" w:space="0" w:color="auto"/>
            </w:tcBorders>
            <w:vAlign w:val="bottom"/>
          </w:tcPr>
          <w:p w14:paraId="009167A5" w14:textId="2A8EF1BB" w:rsidR="00434274" w:rsidRPr="00471CBA" w:rsidRDefault="00434274" w:rsidP="00434274">
            <w:pPr>
              <w:jc w:val="right"/>
              <w:rPr>
                <w:color w:val="000000"/>
                <w:sz w:val="18"/>
                <w:szCs w:val="18"/>
                <w:lang w:eastAsia="tr-TR"/>
              </w:rPr>
            </w:pPr>
            <w:r w:rsidRPr="00471CBA">
              <w:rPr>
                <w:color w:val="000000"/>
                <w:sz w:val="18"/>
                <w:szCs w:val="18"/>
                <w:lang w:eastAsia="tr-TR"/>
              </w:rPr>
              <w:t>-</w:t>
            </w:r>
          </w:p>
        </w:tc>
      </w:tr>
      <w:tr w:rsidR="00434274" w:rsidRPr="00471CBA" w14:paraId="3A8D3D9E" w14:textId="77777777" w:rsidTr="00434274">
        <w:trPr>
          <w:trHeight w:val="113"/>
        </w:trPr>
        <w:tc>
          <w:tcPr>
            <w:tcW w:w="421" w:type="dxa"/>
            <w:tcBorders>
              <w:top w:val="nil"/>
              <w:left w:val="single" w:sz="4" w:space="0" w:color="auto"/>
              <w:bottom w:val="single" w:sz="4" w:space="0" w:color="auto"/>
              <w:right w:val="single" w:sz="4" w:space="0" w:color="auto"/>
            </w:tcBorders>
            <w:noWrap/>
            <w:hideMark/>
          </w:tcPr>
          <w:p w14:paraId="2C34BA3B" w14:textId="77777777" w:rsidR="00434274" w:rsidRPr="00471CBA" w:rsidRDefault="00434274" w:rsidP="00434274">
            <w:pPr>
              <w:rPr>
                <w:color w:val="000000"/>
                <w:sz w:val="18"/>
                <w:szCs w:val="18"/>
                <w:lang w:eastAsia="tr-TR"/>
              </w:rPr>
            </w:pPr>
            <w:r w:rsidRPr="00471CBA">
              <w:rPr>
                <w:color w:val="000000"/>
                <w:sz w:val="18"/>
                <w:szCs w:val="18"/>
                <w:lang w:eastAsia="tr-TR"/>
              </w:rPr>
              <w:t>6</w:t>
            </w:r>
          </w:p>
        </w:tc>
        <w:tc>
          <w:tcPr>
            <w:tcW w:w="5244" w:type="dxa"/>
            <w:tcBorders>
              <w:top w:val="nil"/>
              <w:left w:val="nil"/>
              <w:bottom w:val="single" w:sz="4" w:space="0" w:color="auto"/>
              <w:right w:val="single" w:sz="4" w:space="0" w:color="auto"/>
            </w:tcBorders>
            <w:noWrap/>
            <w:hideMark/>
          </w:tcPr>
          <w:p w14:paraId="7DD946CA" w14:textId="77777777" w:rsidR="00434274" w:rsidRPr="00471CBA" w:rsidRDefault="00434274" w:rsidP="00434274">
            <w:pPr>
              <w:ind w:left="470"/>
              <w:rPr>
                <w:color w:val="000000"/>
                <w:sz w:val="18"/>
                <w:szCs w:val="18"/>
                <w:lang w:eastAsia="tr-TR"/>
              </w:rPr>
            </w:pPr>
            <w:r w:rsidRPr="00471CBA">
              <w:rPr>
                <w:color w:val="000000"/>
                <w:sz w:val="18"/>
                <w:szCs w:val="18"/>
                <w:lang w:eastAsia="tr-TR"/>
              </w:rPr>
              <w:t>(iv)  Çapraz ürün netleştirme işleminin uygulandığı netleştirme grupları</w:t>
            </w:r>
          </w:p>
        </w:tc>
        <w:tc>
          <w:tcPr>
            <w:tcW w:w="1134" w:type="dxa"/>
            <w:tcBorders>
              <w:top w:val="nil"/>
              <w:left w:val="nil"/>
              <w:bottom w:val="single" w:sz="4" w:space="0" w:color="auto"/>
              <w:right w:val="single" w:sz="4" w:space="0" w:color="auto"/>
            </w:tcBorders>
            <w:noWrap/>
            <w:vAlign w:val="bottom"/>
            <w:hideMark/>
          </w:tcPr>
          <w:p w14:paraId="137DC007" w14:textId="4E31AEAE" w:rsidR="00434274" w:rsidRPr="00471CBA" w:rsidRDefault="00434274" w:rsidP="00434274">
            <w:pPr>
              <w:jc w:val="right"/>
              <w:rPr>
                <w:color w:val="000000"/>
                <w:sz w:val="18"/>
                <w:szCs w:val="18"/>
                <w:lang w:eastAsia="tr-TR"/>
              </w:rPr>
            </w:pPr>
            <w:r w:rsidRPr="00471CBA">
              <w:rPr>
                <w:sz w:val="18"/>
                <w:szCs w:val="18"/>
              </w:rPr>
              <w:t>-</w:t>
            </w:r>
          </w:p>
        </w:tc>
        <w:tc>
          <w:tcPr>
            <w:tcW w:w="851" w:type="dxa"/>
            <w:tcBorders>
              <w:top w:val="nil"/>
              <w:left w:val="nil"/>
              <w:bottom w:val="single" w:sz="4" w:space="0" w:color="auto"/>
              <w:right w:val="single" w:sz="4" w:space="0" w:color="auto"/>
            </w:tcBorders>
            <w:noWrap/>
            <w:vAlign w:val="bottom"/>
            <w:hideMark/>
          </w:tcPr>
          <w:p w14:paraId="5A3C7DC5" w14:textId="241A986C" w:rsidR="00434274" w:rsidRPr="00471CBA" w:rsidRDefault="00434274" w:rsidP="00434274">
            <w:pPr>
              <w:jc w:val="right"/>
              <w:rPr>
                <w:color w:val="000000"/>
                <w:sz w:val="18"/>
                <w:szCs w:val="18"/>
                <w:lang w:eastAsia="tr-TR"/>
              </w:rPr>
            </w:pPr>
            <w:r w:rsidRPr="00471CBA">
              <w:rPr>
                <w:sz w:val="18"/>
                <w:szCs w:val="18"/>
              </w:rPr>
              <w:t>-</w:t>
            </w:r>
          </w:p>
        </w:tc>
        <w:tc>
          <w:tcPr>
            <w:tcW w:w="1134" w:type="dxa"/>
            <w:gridSpan w:val="2"/>
            <w:tcBorders>
              <w:top w:val="nil"/>
              <w:left w:val="nil"/>
              <w:bottom w:val="single" w:sz="4" w:space="0" w:color="auto"/>
              <w:right w:val="single" w:sz="4" w:space="0" w:color="auto"/>
            </w:tcBorders>
            <w:vAlign w:val="bottom"/>
          </w:tcPr>
          <w:p w14:paraId="5DB1D55E" w14:textId="4946109F" w:rsidR="00434274" w:rsidRPr="00471CBA" w:rsidRDefault="00434274" w:rsidP="00434274">
            <w:pPr>
              <w:jc w:val="right"/>
              <w:rPr>
                <w:color w:val="000000"/>
                <w:sz w:val="18"/>
                <w:szCs w:val="18"/>
                <w:lang w:eastAsia="tr-TR"/>
              </w:rPr>
            </w:pPr>
            <w:r w:rsidRPr="00471CBA">
              <w:rPr>
                <w:color w:val="000000"/>
                <w:sz w:val="18"/>
                <w:szCs w:val="18"/>
                <w:lang w:eastAsia="tr-TR"/>
              </w:rPr>
              <w:t>-</w:t>
            </w:r>
          </w:p>
        </w:tc>
        <w:tc>
          <w:tcPr>
            <w:tcW w:w="850" w:type="dxa"/>
            <w:tcBorders>
              <w:top w:val="nil"/>
              <w:left w:val="single" w:sz="4" w:space="0" w:color="auto"/>
              <w:bottom w:val="single" w:sz="4" w:space="0" w:color="auto"/>
              <w:right w:val="single" w:sz="4" w:space="0" w:color="auto"/>
            </w:tcBorders>
            <w:vAlign w:val="bottom"/>
          </w:tcPr>
          <w:p w14:paraId="0A535915" w14:textId="1B984761" w:rsidR="00434274" w:rsidRPr="00471CBA" w:rsidRDefault="00434274" w:rsidP="00434274">
            <w:pPr>
              <w:jc w:val="right"/>
              <w:rPr>
                <w:color w:val="000000"/>
                <w:sz w:val="18"/>
                <w:szCs w:val="18"/>
                <w:lang w:eastAsia="tr-TR"/>
              </w:rPr>
            </w:pPr>
            <w:r w:rsidRPr="00471CBA">
              <w:rPr>
                <w:color w:val="000000"/>
                <w:sz w:val="18"/>
                <w:szCs w:val="18"/>
                <w:lang w:eastAsia="tr-TR"/>
              </w:rPr>
              <w:t>-</w:t>
            </w:r>
          </w:p>
        </w:tc>
      </w:tr>
      <w:tr w:rsidR="00434274" w:rsidRPr="00471CBA" w14:paraId="4AEEFDA6" w14:textId="77777777" w:rsidTr="00434274">
        <w:trPr>
          <w:trHeight w:val="113"/>
        </w:trPr>
        <w:tc>
          <w:tcPr>
            <w:tcW w:w="421" w:type="dxa"/>
            <w:tcBorders>
              <w:top w:val="nil"/>
              <w:left w:val="single" w:sz="4" w:space="0" w:color="auto"/>
              <w:bottom w:val="single" w:sz="4" w:space="0" w:color="auto"/>
              <w:right w:val="single" w:sz="4" w:space="0" w:color="auto"/>
            </w:tcBorders>
            <w:noWrap/>
            <w:hideMark/>
          </w:tcPr>
          <w:p w14:paraId="578198B5" w14:textId="77777777" w:rsidR="00434274" w:rsidRPr="00471CBA" w:rsidRDefault="00434274" w:rsidP="00434274">
            <w:pPr>
              <w:rPr>
                <w:color w:val="000000"/>
                <w:sz w:val="18"/>
                <w:szCs w:val="18"/>
                <w:lang w:eastAsia="tr-TR"/>
              </w:rPr>
            </w:pPr>
            <w:r w:rsidRPr="00471CBA">
              <w:rPr>
                <w:color w:val="000000"/>
                <w:sz w:val="18"/>
                <w:szCs w:val="18"/>
                <w:lang w:eastAsia="tr-TR"/>
              </w:rPr>
              <w:t>7</w:t>
            </w:r>
          </w:p>
        </w:tc>
        <w:tc>
          <w:tcPr>
            <w:tcW w:w="5244" w:type="dxa"/>
            <w:tcBorders>
              <w:top w:val="nil"/>
              <w:left w:val="nil"/>
              <w:bottom w:val="single" w:sz="4" w:space="0" w:color="auto"/>
              <w:right w:val="single" w:sz="4" w:space="0" w:color="auto"/>
            </w:tcBorders>
            <w:noWrap/>
            <w:hideMark/>
          </w:tcPr>
          <w:p w14:paraId="21CC4E71" w14:textId="77777777" w:rsidR="00434274" w:rsidRPr="00471CBA" w:rsidRDefault="00434274" w:rsidP="00434274">
            <w:pPr>
              <w:rPr>
                <w:color w:val="000000"/>
                <w:sz w:val="18"/>
                <w:szCs w:val="18"/>
                <w:lang w:eastAsia="tr-TR"/>
              </w:rPr>
            </w:pPr>
            <w:r w:rsidRPr="00471CBA">
              <w:rPr>
                <w:color w:val="000000"/>
                <w:sz w:val="18"/>
                <w:szCs w:val="18"/>
                <w:lang w:eastAsia="tr-TR"/>
              </w:rPr>
              <w:t>Serbest olmayan başlangıç teminatı</w:t>
            </w:r>
          </w:p>
        </w:tc>
        <w:tc>
          <w:tcPr>
            <w:tcW w:w="1134" w:type="dxa"/>
            <w:tcBorders>
              <w:top w:val="nil"/>
              <w:left w:val="nil"/>
              <w:bottom w:val="single" w:sz="4" w:space="0" w:color="auto"/>
              <w:right w:val="single" w:sz="4" w:space="0" w:color="auto"/>
            </w:tcBorders>
            <w:noWrap/>
            <w:vAlign w:val="bottom"/>
            <w:hideMark/>
          </w:tcPr>
          <w:p w14:paraId="35EA141A" w14:textId="24454785" w:rsidR="00434274" w:rsidRPr="00471CBA" w:rsidRDefault="00434274" w:rsidP="00434274">
            <w:pPr>
              <w:jc w:val="right"/>
              <w:rPr>
                <w:color w:val="000000"/>
                <w:sz w:val="18"/>
                <w:szCs w:val="18"/>
                <w:lang w:eastAsia="tr-TR"/>
              </w:rPr>
            </w:pPr>
            <w:r w:rsidRPr="00471CBA">
              <w:rPr>
                <w:sz w:val="18"/>
                <w:szCs w:val="18"/>
              </w:rPr>
              <w:t>-</w:t>
            </w:r>
          </w:p>
        </w:tc>
        <w:tc>
          <w:tcPr>
            <w:tcW w:w="851" w:type="dxa"/>
            <w:tcBorders>
              <w:top w:val="nil"/>
              <w:left w:val="nil"/>
              <w:bottom w:val="single" w:sz="4" w:space="0" w:color="auto"/>
              <w:right w:val="single" w:sz="4" w:space="0" w:color="auto"/>
            </w:tcBorders>
            <w:shd w:val="clear" w:color="auto" w:fill="000000" w:themeFill="text1"/>
            <w:noWrap/>
            <w:vAlign w:val="bottom"/>
            <w:hideMark/>
          </w:tcPr>
          <w:p w14:paraId="7011F51F" w14:textId="77777777" w:rsidR="00434274" w:rsidRPr="00471CBA" w:rsidRDefault="00434274" w:rsidP="00434274">
            <w:pPr>
              <w:jc w:val="right"/>
              <w:rPr>
                <w:color w:val="000000"/>
                <w:sz w:val="18"/>
                <w:szCs w:val="18"/>
                <w:lang w:eastAsia="tr-TR"/>
              </w:rPr>
            </w:pPr>
          </w:p>
        </w:tc>
        <w:tc>
          <w:tcPr>
            <w:tcW w:w="1134" w:type="dxa"/>
            <w:gridSpan w:val="2"/>
            <w:tcBorders>
              <w:top w:val="nil"/>
              <w:left w:val="nil"/>
              <w:bottom w:val="single" w:sz="4" w:space="0" w:color="auto"/>
              <w:right w:val="single" w:sz="4" w:space="0" w:color="auto"/>
            </w:tcBorders>
            <w:vAlign w:val="bottom"/>
          </w:tcPr>
          <w:p w14:paraId="7BF591A1" w14:textId="0EC78AF7" w:rsidR="00434274" w:rsidRPr="00471CBA" w:rsidRDefault="00434274" w:rsidP="00434274">
            <w:pPr>
              <w:jc w:val="right"/>
              <w:rPr>
                <w:color w:val="000000"/>
                <w:sz w:val="18"/>
                <w:szCs w:val="18"/>
                <w:lang w:eastAsia="tr-TR"/>
              </w:rPr>
            </w:pPr>
            <w:r w:rsidRPr="00471CBA">
              <w:rPr>
                <w:color w:val="000000"/>
                <w:sz w:val="18"/>
                <w:szCs w:val="18"/>
                <w:lang w:eastAsia="tr-TR"/>
              </w:rPr>
              <w:t>-</w:t>
            </w:r>
          </w:p>
        </w:tc>
        <w:tc>
          <w:tcPr>
            <w:tcW w:w="850" w:type="dxa"/>
            <w:tcBorders>
              <w:top w:val="nil"/>
              <w:left w:val="single" w:sz="4" w:space="0" w:color="auto"/>
              <w:bottom w:val="single" w:sz="4" w:space="0" w:color="auto"/>
              <w:right w:val="single" w:sz="4" w:space="0" w:color="auto"/>
            </w:tcBorders>
            <w:shd w:val="clear" w:color="auto" w:fill="000000" w:themeFill="text1"/>
            <w:vAlign w:val="bottom"/>
          </w:tcPr>
          <w:p w14:paraId="16E0D8EF" w14:textId="182AEC17" w:rsidR="00434274" w:rsidRPr="00471CBA" w:rsidRDefault="00434274" w:rsidP="00434274">
            <w:pPr>
              <w:jc w:val="right"/>
              <w:rPr>
                <w:color w:val="000000"/>
                <w:sz w:val="18"/>
                <w:szCs w:val="18"/>
                <w:lang w:eastAsia="tr-TR"/>
              </w:rPr>
            </w:pPr>
            <w:r w:rsidRPr="00471CBA">
              <w:rPr>
                <w:color w:val="000000"/>
                <w:sz w:val="18"/>
                <w:szCs w:val="18"/>
                <w:lang w:eastAsia="tr-TR"/>
              </w:rPr>
              <w:t> </w:t>
            </w:r>
          </w:p>
        </w:tc>
      </w:tr>
      <w:tr w:rsidR="00434274" w:rsidRPr="00471CBA" w14:paraId="0200CB58" w14:textId="77777777" w:rsidTr="00434274">
        <w:trPr>
          <w:trHeight w:val="113"/>
        </w:trPr>
        <w:tc>
          <w:tcPr>
            <w:tcW w:w="421" w:type="dxa"/>
            <w:tcBorders>
              <w:top w:val="nil"/>
              <w:left w:val="single" w:sz="4" w:space="0" w:color="auto"/>
              <w:bottom w:val="single" w:sz="4" w:space="0" w:color="auto"/>
              <w:right w:val="single" w:sz="4" w:space="0" w:color="auto"/>
            </w:tcBorders>
            <w:noWrap/>
            <w:hideMark/>
          </w:tcPr>
          <w:p w14:paraId="4D85A551" w14:textId="77777777" w:rsidR="00434274" w:rsidRPr="00471CBA" w:rsidRDefault="00434274" w:rsidP="00434274">
            <w:pPr>
              <w:rPr>
                <w:color w:val="000000"/>
                <w:sz w:val="18"/>
                <w:szCs w:val="18"/>
                <w:lang w:eastAsia="tr-TR"/>
              </w:rPr>
            </w:pPr>
            <w:r w:rsidRPr="00471CBA">
              <w:rPr>
                <w:color w:val="000000"/>
                <w:sz w:val="18"/>
                <w:szCs w:val="18"/>
                <w:lang w:eastAsia="tr-TR"/>
              </w:rPr>
              <w:t>8</w:t>
            </w:r>
          </w:p>
        </w:tc>
        <w:tc>
          <w:tcPr>
            <w:tcW w:w="5244" w:type="dxa"/>
            <w:tcBorders>
              <w:top w:val="nil"/>
              <w:left w:val="nil"/>
              <w:bottom w:val="single" w:sz="4" w:space="0" w:color="auto"/>
              <w:right w:val="single" w:sz="4" w:space="0" w:color="auto"/>
            </w:tcBorders>
            <w:noWrap/>
            <w:hideMark/>
          </w:tcPr>
          <w:p w14:paraId="1B23F05E" w14:textId="77777777" w:rsidR="00434274" w:rsidRPr="00471CBA" w:rsidRDefault="00434274" w:rsidP="00434274">
            <w:pPr>
              <w:rPr>
                <w:color w:val="000000"/>
                <w:sz w:val="18"/>
                <w:szCs w:val="18"/>
                <w:lang w:eastAsia="tr-TR"/>
              </w:rPr>
            </w:pPr>
            <w:r w:rsidRPr="00471CBA">
              <w:rPr>
                <w:color w:val="000000"/>
                <w:sz w:val="18"/>
                <w:szCs w:val="18"/>
                <w:lang w:eastAsia="tr-TR"/>
              </w:rPr>
              <w:t>Serbest başlangıç teminatı</w:t>
            </w:r>
          </w:p>
        </w:tc>
        <w:tc>
          <w:tcPr>
            <w:tcW w:w="1134" w:type="dxa"/>
            <w:tcBorders>
              <w:top w:val="nil"/>
              <w:left w:val="nil"/>
              <w:bottom w:val="single" w:sz="4" w:space="0" w:color="auto"/>
              <w:right w:val="single" w:sz="4" w:space="0" w:color="auto"/>
            </w:tcBorders>
            <w:noWrap/>
            <w:vAlign w:val="bottom"/>
            <w:hideMark/>
          </w:tcPr>
          <w:p w14:paraId="4CC8F4C1" w14:textId="69BAF6E3" w:rsidR="00434274" w:rsidRPr="00471CBA" w:rsidRDefault="00434274" w:rsidP="00434274">
            <w:pPr>
              <w:jc w:val="right"/>
              <w:rPr>
                <w:color w:val="000000"/>
                <w:sz w:val="18"/>
                <w:szCs w:val="18"/>
                <w:lang w:eastAsia="tr-TR"/>
              </w:rPr>
            </w:pPr>
            <w:r w:rsidRPr="00471CBA">
              <w:rPr>
                <w:sz w:val="18"/>
                <w:szCs w:val="18"/>
              </w:rPr>
              <w:t>-</w:t>
            </w:r>
          </w:p>
        </w:tc>
        <w:tc>
          <w:tcPr>
            <w:tcW w:w="851" w:type="dxa"/>
            <w:tcBorders>
              <w:top w:val="nil"/>
              <w:left w:val="nil"/>
              <w:bottom w:val="single" w:sz="4" w:space="0" w:color="auto"/>
              <w:right w:val="single" w:sz="4" w:space="0" w:color="auto"/>
            </w:tcBorders>
            <w:noWrap/>
            <w:vAlign w:val="bottom"/>
            <w:hideMark/>
          </w:tcPr>
          <w:p w14:paraId="54626934" w14:textId="073F99B5" w:rsidR="00434274" w:rsidRPr="00471CBA" w:rsidRDefault="00434274" w:rsidP="00434274">
            <w:pPr>
              <w:jc w:val="right"/>
              <w:rPr>
                <w:color w:val="000000"/>
                <w:sz w:val="18"/>
                <w:szCs w:val="18"/>
                <w:lang w:eastAsia="tr-TR"/>
              </w:rPr>
            </w:pPr>
            <w:r w:rsidRPr="00471CBA">
              <w:rPr>
                <w:sz w:val="18"/>
                <w:szCs w:val="18"/>
              </w:rPr>
              <w:t>-</w:t>
            </w:r>
          </w:p>
        </w:tc>
        <w:tc>
          <w:tcPr>
            <w:tcW w:w="1134" w:type="dxa"/>
            <w:gridSpan w:val="2"/>
            <w:tcBorders>
              <w:top w:val="nil"/>
              <w:left w:val="nil"/>
              <w:bottom w:val="single" w:sz="4" w:space="0" w:color="auto"/>
              <w:right w:val="single" w:sz="4" w:space="0" w:color="auto"/>
            </w:tcBorders>
            <w:vAlign w:val="bottom"/>
          </w:tcPr>
          <w:p w14:paraId="5E6AC89B" w14:textId="16B074F0" w:rsidR="00434274" w:rsidRPr="00471CBA" w:rsidRDefault="00434274" w:rsidP="00434274">
            <w:pPr>
              <w:jc w:val="right"/>
              <w:rPr>
                <w:color w:val="000000"/>
                <w:sz w:val="18"/>
                <w:szCs w:val="18"/>
                <w:lang w:eastAsia="tr-TR"/>
              </w:rPr>
            </w:pPr>
            <w:r w:rsidRPr="00471CBA">
              <w:rPr>
                <w:color w:val="000000"/>
                <w:sz w:val="18"/>
                <w:szCs w:val="18"/>
                <w:lang w:eastAsia="tr-TR"/>
              </w:rPr>
              <w:t>-</w:t>
            </w:r>
          </w:p>
        </w:tc>
        <w:tc>
          <w:tcPr>
            <w:tcW w:w="850" w:type="dxa"/>
            <w:tcBorders>
              <w:top w:val="nil"/>
              <w:left w:val="single" w:sz="4" w:space="0" w:color="auto"/>
              <w:bottom w:val="single" w:sz="4" w:space="0" w:color="auto"/>
              <w:right w:val="single" w:sz="4" w:space="0" w:color="auto"/>
            </w:tcBorders>
            <w:vAlign w:val="bottom"/>
          </w:tcPr>
          <w:p w14:paraId="419EBE8C" w14:textId="5827F6F4" w:rsidR="00434274" w:rsidRPr="00471CBA" w:rsidRDefault="00434274" w:rsidP="00434274">
            <w:pPr>
              <w:jc w:val="right"/>
              <w:rPr>
                <w:color w:val="000000"/>
                <w:sz w:val="18"/>
                <w:szCs w:val="18"/>
                <w:lang w:eastAsia="tr-TR"/>
              </w:rPr>
            </w:pPr>
            <w:r w:rsidRPr="00471CBA">
              <w:rPr>
                <w:color w:val="000000"/>
                <w:sz w:val="18"/>
                <w:szCs w:val="18"/>
                <w:lang w:eastAsia="tr-TR"/>
              </w:rPr>
              <w:t>-</w:t>
            </w:r>
          </w:p>
        </w:tc>
      </w:tr>
      <w:tr w:rsidR="00434274" w:rsidRPr="00471CBA" w14:paraId="29F4FF81" w14:textId="77777777" w:rsidTr="00434274">
        <w:trPr>
          <w:trHeight w:val="113"/>
        </w:trPr>
        <w:tc>
          <w:tcPr>
            <w:tcW w:w="421" w:type="dxa"/>
            <w:tcBorders>
              <w:top w:val="nil"/>
              <w:left w:val="single" w:sz="4" w:space="0" w:color="auto"/>
              <w:bottom w:val="single" w:sz="4" w:space="0" w:color="auto"/>
              <w:right w:val="single" w:sz="4" w:space="0" w:color="auto"/>
            </w:tcBorders>
            <w:noWrap/>
            <w:hideMark/>
          </w:tcPr>
          <w:p w14:paraId="73859135" w14:textId="77777777" w:rsidR="00434274" w:rsidRPr="00471CBA" w:rsidRDefault="00434274" w:rsidP="00434274">
            <w:pPr>
              <w:rPr>
                <w:color w:val="000000"/>
                <w:sz w:val="18"/>
                <w:szCs w:val="18"/>
                <w:lang w:eastAsia="tr-TR"/>
              </w:rPr>
            </w:pPr>
            <w:r w:rsidRPr="00471CBA">
              <w:rPr>
                <w:color w:val="000000"/>
                <w:sz w:val="18"/>
                <w:szCs w:val="18"/>
                <w:lang w:eastAsia="tr-TR"/>
              </w:rPr>
              <w:t>9</w:t>
            </w:r>
          </w:p>
        </w:tc>
        <w:tc>
          <w:tcPr>
            <w:tcW w:w="5244" w:type="dxa"/>
            <w:tcBorders>
              <w:top w:val="nil"/>
              <w:left w:val="nil"/>
              <w:bottom w:val="single" w:sz="4" w:space="0" w:color="auto"/>
              <w:right w:val="single" w:sz="4" w:space="0" w:color="auto"/>
            </w:tcBorders>
            <w:noWrap/>
            <w:hideMark/>
          </w:tcPr>
          <w:p w14:paraId="66209ED5" w14:textId="77777777" w:rsidR="00434274" w:rsidRPr="00471CBA" w:rsidRDefault="00434274" w:rsidP="00434274">
            <w:pPr>
              <w:rPr>
                <w:color w:val="000000"/>
                <w:sz w:val="18"/>
                <w:szCs w:val="18"/>
                <w:lang w:eastAsia="tr-TR"/>
              </w:rPr>
            </w:pPr>
            <w:r w:rsidRPr="00471CBA">
              <w:rPr>
                <w:color w:val="000000"/>
                <w:sz w:val="18"/>
                <w:szCs w:val="18"/>
                <w:lang w:eastAsia="tr-TR"/>
              </w:rPr>
              <w:t>Garanti fonuna konulan tutar</w:t>
            </w:r>
          </w:p>
        </w:tc>
        <w:tc>
          <w:tcPr>
            <w:tcW w:w="1134" w:type="dxa"/>
            <w:tcBorders>
              <w:top w:val="nil"/>
              <w:left w:val="nil"/>
              <w:bottom w:val="single" w:sz="4" w:space="0" w:color="auto"/>
              <w:right w:val="single" w:sz="4" w:space="0" w:color="auto"/>
            </w:tcBorders>
            <w:noWrap/>
            <w:vAlign w:val="bottom"/>
            <w:hideMark/>
          </w:tcPr>
          <w:p w14:paraId="0C7A369C" w14:textId="2E7888F6" w:rsidR="00434274" w:rsidRPr="00471CBA" w:rsidRDefault="00434274" w:rsidP="00434274">
            <w:pPr>
              <w:jc w:val="right"/>
              <w:rPr>
                <w:color w:val="000000"/>
                <w:sz w:val="18"/>
                <w:szCs w:val="18"/>
                <w:lang w:eastAsia="tr-TR"/>
              </w:rPr>
            </w:pPr>
            <w:r w:rsidRPr="00471CBA">
              <w:rPr>
                <w:sz w:val="18"/>
                <w:szCs w:val="18"/>
              </w:rPr>
              <w:t>10.465</w:t>
            </w:r>
          </w:p>
        </w:tc>
        <w:tc>
          <w:tcPr>
            <w:tcW w:w="851" w:type="dxa"/>
            <w:tcBorders>
              <w:top w:val="nil"/>
              <w:left w:val="nil"/>
              <w:bottom w:val="single" w:sz="4" w:space="0" w:color="auto"/>
              <w:right w:val="single" w:sz="4" w:space="0" w:color="auto"/>
            </w:tcBorders>
            <w:noWrap/>
            <w:vAlign w:val="bottom"/>
            <w:hideMark/>
          </w:tcPr>
          <w:p w14:paraId="478DC15C" w14:textId="49DE1987" w:rsidR="00434274" w:rsidRPr="00471CBA" w:rsidRDefault="00434274" w:rsidP="00434274">
            <w:pPr>
              <w:jc w:val="right"/>
              <w:rPr>
                <w:color w:val="000000"/>
                <w:sz w:val="18"/>
                <w:szCs w:val="18"/>
                <w:lang w:eastAsia="tr-TR"/>
              </w:rPr>
            </w:pPr>
            <w:r w:rsidRPr="00471CBA">
              <w:rPr>
                <w:sz w:val="18"/>
                <w:szCs w:val="18"/>
              </w:rPr>
              <w:t>7.136</w:t>
            </w:r>
          </w:p>
        </w:tc>
        <w:tc>
          <w:tcPr>
            <w:tcW w:w="1134" w:type="dxa"/>
            <w:gridSpan w:val="2"/>
            <w:tcBorders>
              <w:top w:val="nil"/>
              <w:left w:val="nil"/>
              <w:bottom w:val="single" w:sz="4" w:space="0" w:color="auto"/>
              <w:right w:val="single" w:sz="4" w:space="0" w:color="auto"/>
            </w:tcBorders>
            <w:vAlign w:val="bottom"/>
          </w:tcPr>
          <w:p w14:paraId="243FB33A" w14:textId="15737559" w:rsidR="00434274" w:rsidRPr="00471CBA" w:rsidRDefault="00434274" w:rsidP="00434274">
            <w:pPr>
              <w:jc w:val="right"/>
              <w:rPr>
                <w:color w:val="000000"/>
                <w:sz w:val="18"/>
                <w:szCs w:val="18"/>
                <w:lang w:eastAsia="tr-TR"/>
              </w:rPr>
            </w:pPr>
            <w:r w:rsidRPr="00471CBA">
              <w:rPr>
                <w:color w:val="000000"/>
                <w:sz w:val="18"/>
                <w:szCs w:val="18"/>
                <w:lang w:eastAsia="tr-TR"/>
              </w:rPr>
              <w:t>10.465</w:t>
            </w:r>
          </w:p>
        </w:tc>
        <w:tc>
          <w:tcPr>
            <w:tcW w:w="850" w:type="dxa"/>
            <w:tcBorders>
              <w:top w:val="nil"/>
              <w:left w:val="single" w:sz="4" w:space="0" w:color="auto"/>
              <w:bottom w:val="single" w:sz="4" w:space="0" w:color="auto"/>
              <w:right w:val="single" w:sz="4" w:space="0" w:color="auto"/>
            </w:tcBorders>
            <w:vAlign w:val="bottom"/>
          </w:tcPr>
          <w:p w14:paraId="3ACB7284" w14:textId="32214BCF" w:rsidR="00434274" w:rsidRPr="00471CBA" w:rsidRDefault="00434274" w:rsidP="00434274">
            <w:pPr>
              <w:jc w:val="right"/>
              <w:rPr>
                <w:color w:val="000000"/>
                <w:sz w:val="18"/>
                <w:szCs w:val="18"/>
                <w:lang w:eastAsia="tr-TR"/>
              </w:rPr>
            </w:pPr>
            <w:r w:rsidRPr="00471CBA">
              <w:rPr>
                <w:color w:val="000000"/>
                <w:sz w:val="18"/>
                <w:szCs w:val="18"/>
                <w:lang w:eastAsia="tr-TR"/>
              </w:rPr>
              <w:t>340</w:t>
            </w:r>
          </w:p>
        </w:tc>
      </w:tr>
      <w:tr w:rsidR="00434274" w:rsidRPr="00471CBA" w14:paraId="3C2302AB" w14:textId="77777777" w:rsidTr="00434274">
        <w:trPr>
          <w:trHeight w:val="113"/>
        </w:trPr>
        <w:tc>
          <w:tcPr>
            <w:tcW w:w="421" w:type="dxa"/>
            <w:tcBorders>
              <w:top w:val="nil"/>
              <w:left w:val="single" w:sz="4" w:space="0" w:color="auto"/>
              <w:bottom w:val="single" w:sz="4" w:space="0" w:color="auto"/>
              <w:right w:val="single" w:sz="4" w:space="0" w:color="auto"/>
            </w:tcBorders>
            <w:noWrap/>
            <w:hideMark/>
          </w:tcPr>
          <w:p w14:paraId="36FAD1A1" w14:textId="77777777" w:rsidR="00434274" w:rsidRPr="00471CBA" w:rsidRDefault="00434274" w:rsidP="00434274">
            <w:pPr>
              <w:rPr>
                <w:color w:val="000000"/>
                <w:sz w:val="18"/>
                <w:szCs w:val="18"/>
                <w:lang w:eastAsia="tr-TR"/>
              </w:rPr>
            </w:pPr>
            <w:r w:rsidRPr="00471CBA">
              <w:rPr>
                <w:color w:val="000000"/>
                <w:sz w:val="18"/>
                <w:szCs w:val="18"/>
                <w:lang w:eastAsia="tr-TR"/>
              </w:rPr>
              <w:t>10</w:t>
            </w:r>
          </w:p>
        </w:tc>
        <w:tc>
          <w:tcPr>
            <w:tcW w:w="5244" w:type="dxa"/>
            <w:tcBorders>
              <w:top w:val="nil"/>
              <w:left w:val="nil"/>
              <w:bottom w:val="single" w:sz="4" w:space="0" w:color="auto"/>
              <w:right w:val="single" w:sz="4" w:space="0" w:color="auto"/>
            </w:tcBorders>
            <w:noWrap/>
            <w:hideMark/>
          </w:tcPr>
          <w:p w14:paraId="4F48D831" w14:textId="77777777" w:rsidR="00434274" w:rsidRPr="00471CBA" w:rsidRDefault="00434274" w:rsidP="00434274">
            <w:pPr>
              <w:rPr>
                <w:color w:val="000000"/>
                <w:sz w:val="18"/>
                <w:szCs w:val="18"/>
                <w:lang w:eastAsia="tr-TR"/>
              </w:rPr>
            </w:pPr>
            <w:r w:rsidRPr="00471CBA">
              <w:rPr>
                <w:color w:val="000000"/>
                <w:sz w:val="18"/>
                <w:szCs w:val="18"/>
                <w:lang w:eastAsia="tr-TR"/>
              </w:rPr>
              <w:t>Garanti fonuna konulması taahhüt edilen tutar</w:t>
            </w:r>
          </w:p>
        </w:tc>
        <w:tc>
          <w:tcPr>
            <w:tcW w:w="1134" w:type="dxa"/>
            <w:tcBorders>
              <w:top w:val="nil"/>
              <w:left w:val="nil"/>
              <w:bottom w:val="single" w:sz="4" w:space="0" w:color="auto"/>
              <w:right w:val="single" w:sz="4" w:space="0" w:color="auto"/>
            </w:tcBorders>
            <w:noWrap/>
            <w:vAlign w:val="bottom"/>
            <w:hideMark/>
          </w:tcPr>
          <w:p w14:paraId="389AAD50" w14:textId="7D243EBA" w:rsidR="00434274" w:rsidRPr="00471CBA" w:rsidRDefault="00434274" w:rsidP="00434274">
            <w:pPr>
              <w:jc w:val="right"/>
              <w:rPr>
                <w:color w:val="000000"/>
                <w:sz w:val="18"/>
                <w:szCs w:val="18"/>
                <w:lang w:eastAsia="tr-TR"/>
              </w:rPr>
            </w:pPr>
            <w:r w:rsidRPr="00471CBA">
              <w:rPr>
                <w:sz w:val="18"/>
                <w:szCs w:val="18"/>
              </w:rPr>
              <w:t>-</w:t>
            </w:r>
          </w:p>
        </w:tc>
        <w:tc>
          <w:tcPr>
            <w:tcW w:w="851" w:type="dxa"/>
            <w:tcBorders>
              <w:top w:val="nil"/>
              <w:left w:val="nil"/>
              <w:bottom w:val="single" w:sz="4" w:space="0" w:color="auto"/>
              <w:right w:val="single" w:sz="4" w:space="0" w:color="auto"/>
            </w:tcBorders>
            <w:noWrap/>
            <w:vAlign w:val="bottom"/>
            <w:hideMark/>
          </w:tcPr>
          <w:p w14:paraId="20F7A3EA" w14:textId="50D67D67" w:rsidR="00434274" w:rsidRPr="00471CBA" w:rsidRDefault="00434274" w:rsidP="00434274">
            <w:pPr>
              <w:jc w:val="right"/>
              <w:rPr>
                <w:color w:val="000000"/>
                <w:sz w:val="18"/>
                <w:szCs w:val="18"/>
                <w:lang w:eastAsia="tr-TR"/>
              </w:rPr>
            </w:pPr>
            <w:r w:rsidRPr="00471CBA">
              <w:rPr>
                <w:sz w:val="18"/>
                <w:szCs w:val="18"/>
              </w:rPr>
              <w:t>-</w:t>
            </w:r>
          </w:p>
        </w:tc>
        <w:tc>
          <w:tcPr>
            <w:tcW w:w="1134" w:type="dxa"/>
            <w:gridSpan w:val="2"/>
            <w:tcBorders>
              <w:top w:val="nil"/>
              <w:left w:val="nil"/>
              <w:bottom w:val="single" w:sz="4" w:space="0" w:color="auto"/>
              <w:right w:val="single" w:sz="4" w:space="0" w:color="auto"/>
            </w:tcBorders>
            <w:vAlign w:val="bottom"/>
          </w:tcPr>
          <w:p w14:paraId="57581748" w14:textId="63674E1F" w:rsidR="00434274" w:rsidRPr="00471CBA" w:rsidRDefault="00434274" w:rsidP="00434274">
            <w:pPr>
              <w:jc w:val="right"/>
              <w:rPr>
                <w:color w:val="000000"/>
                <w:sz w:val="18"/>
                <w:szCs w:val="18"/>
                <w:lang w:eastAsia="tr-TR"/>
              </w:rPr>
            </w:pPr>
            <w:r w:rsidRPr="00471CBA">
              <w:rPr>
                <w:color w:val="000000"/>
                <w:sz w:val="18"/>
                <w:szCs w:val="18"/>
                <w:lang w:eastAsia="tr-TR"/>
              </w:rPr>
              <w:t>-</w:t>
            </w:r>
          </w:p>
        </w:tc>
        <w:tc>
          <w:tcPr>
            <w:tcW w:w="850" w:type="dxa"/>
            <w:tcBorders>
              <w:top w:val="nil"/>
              <w:left w:val="single" w:sz="4" w:space="0" w:color="auto"/>
              <w:bottom w:val="single" w:sz="4" w:space="0" w:color="auto"/>
              <w:right w:val="single" w:sz="4" w:space="0" w:color="auto"/>
            </w:tcBorders>
            <w:vAlign w:val="bottom"/>
          </w:tcPr>
          <w:p w14:paraId="698205BD" w14:textId="0E0BE032" w:rsidR="00434274" w:rsidRPr="00471CBA" w:rsidRDefault="00434274" w:rsidP="00434274">
            <w:pPr>
              <w:jc w:val="right"/>
              <w:rPr>
                <w:color w:val="000000"/>
                <w:sz w:val="18"/>
                <w:szCs w:val="18"/>
                <w:lang w:eastAsia="tr-TR"/>
              </w:rPr>
            </w:pPr>
            <w:r w:rsidRPr="00471CBA">
              <w:rPr>
                <w:color w:val="000000"/>
                <w:sz w:val="18"/>
                <w:szCs w:val="18"/>
                <w:lang w:eastAsia="tr-TR"/>
              </w:rPr>
              <w:t>-</w:t>
            </w:r>
          </w:p>
        </w:tc>
      </w:tr>
      <w:tr w:rsidR="00434274" w:rsidRPr="00471CBA" w14:paraId="1043149A" w14:textId="77777777" w:rsidTr="00434274">
        <w:trPr>
          <w:trHeight w:val="113"/>
        </w:trPr>
        <w:tc>
          <w:tcPr>
            <w:tcW w:w="421" w:type="dxa"/>
            <w:tcBorders>
              <w:top w:val="nil"/>
              <w:left w:val="single" w:sz="4" w:space="0" w:color="auto"/>
              <w:bottom w:val="single" w:sz="4" w:space="0" w:color="auto"/>
              <w:right w:val="single" w:sz="4" w:space="0" w:color="auto"/>
            </w:tcBorders>
            <w:noWrap/>
            <w:hideMark/>
          </w:tcPr>
          <w:p w14:paraId="262A4040" w14:textId="77777777" w:rsidR="00434274" w:rsidRPr="00471CBA" w:rsidRDefault="00434274" w:rsidP="00434274">
            <w:pPr>
              <w:rPr>
                <w:b/>
                <w:bCs/>
                <w:color w:val="000000"/>
                <w:sz w:val="18"/>
                <w:szCs w:val="18"/>
                <w:lang w:eastAsia="tr-TR"/>
              </w:rPr>
            </w:pPr>
            <w:r w:rsidRPr="00471CBA">
              <w:rPr>
                <w:b/>
                <w:bCs/>
                <w:color w:val="000000"/>
                <w:sz w:val="18"/>
                <w:szCs w:val="18"/>
                <w:lang w:eastAsia="tr-TR"/>
              </w:rPr>
              <w:t>11</w:t>
            </w:r>
          </w:p>
        </w:tc>
        <w:tc>
          <w:tcPr>
            <w:tcW w:w="5244" w:type="dxa"/>
            <w:tcBorders>
              <w:top w:val="nil"/>
              <w:left w:val="nil"/>
              <w:bottom w:val="single" w:sz="4" w:space="0" w:color="auto"/>
              <w:right w:val="single" w:sz="4" w:space="0" w:color="auto"/>
            </w:tcBorders>
            <w:noWrap/>
            <w:hideMark/>
          </w:tcPr>
          <w:p w14:paraId="3DEFA0D4" w14:textId="77777777" w:rsidR="00434274" w:rsidRPr="00471CBA" w:rsidRDefault="00434274" w:rsidP="00434274">
            <w:pPr>
              <w:rPr>
                <w:b/>
                <w:bCs/>
                <w:color w:val="000000"/>
                <w:sz w:val="18"/>
                <w:szCs w:val="18"/>
                <w:lang w:eastAsia="tr-TR"/>
              </w:rPr>
            </w:pPr>
            <w:r w:rsidRPr="00471CBA">
              <w:rPr>
                <w:b/>
                <w:bCs/>
                <w:color w:val="000000"/>
                <w:sz w:val="18"/>
                <w:szCs w:val="18"/>
                <w:lang w:eastAsia="tr-TR"/>
              </w:rPr>
              <w:t>Taraflardan birinin MKT olduğu nitelikli olmayan işlemlerden kaynaklanan toplam riskler</w:t>
            </w:r>
          </w:p>
        </w:tc>
        <w:tc>
          <w:tcPr>
            <w:tcW w:w="1134" w:type="dxa"/>
            <w:tcBorders>
              <w:top w:val="nil"/>
              <w:left w:val="nil"/>
              <w:bottom w:val="single" w:sz="4" w:space="0" w:color="auto"/>
              <w:right w:val="single" w:sz="4" w:space="0" w:color="auto"/>
            </w:tcBorders>
            <w:shd w:val="clear" w:color="auto" w:fill="000000" w:themeFill="text1"/>
            <w:noWrap/>
            <w:vAlign w:val="bottom"/>
            <w:hideMark/>
          </w:tcPr>
          <w:p w14:paraId="2CF9CD18" w14:textId="77777777" w:rsidR="00434274" w:rsidRPr="00471CBA" w:rsidRDefault="00434274" w:rsidP="00434274">
            <w:pPr>
              <w:jc w:val="right"/>
              <w:rPr>
                <w:b/>
                <w:bCs/>
                <w:color w:val="000000"/>
                <w:sz w:val="18"/>
                <w:szCs w:val="18"/>
                <w:lang w:eastAsia="tr-TR"/>
              </w:rPr>
            </w:pPr>
          </w:p>
        </w:tc>
        <w:tc>
          <w:tcPr>
            <w:tcW w:w="851" w:type="dxa"/>
            <w:tcBorders>
              <w:top w:val="nil"/>
              <w:left w:val="nil"/>
              <w:bottom w:val="single" w:sz="4" w:space="0" w:color="auto"/>
              <w:right w:val="single" w:sz="4" w:space="0" w:color="auto"/>
            </w:tcBorders>
            <w:noWrap/>
            <w:vAlign w:val="bottom"/>
            <w:hideMark/>
          </w:tcPr>
          <w:p w14:paraId="063DD0AA" w14:textId="3B2F734E" w:rsidR="00434274" w:rsidRPr="00471CBA" w:rsidRDefault="00434274" w:rsidP="00434274">
            <w:pPr>
              <w:jc w:val="right"/>
              <w:rPr>
                <w:b/>
                <w:bCs/>
                <w:color w:val="000000"/>
                <w:sz w:val="18"/>
                <w:szCs w:val="18"/>
                <w:lang w:eastAsia="tr-TR"/>
              </w:rPr>
            </w:pPr>
            <w:r w:rsidRPr="00471CBA">
              <w:rPr>
                <w:sz w:val="18"/>
                <w:szCs w:val="18"/>
              </w:rPr>
              <w:t>-</w:t>
            </w:r>
          </w:p>
        </w:tc>
        <w:tc>
          <w:tcPr>
            <w:tcW w:w="1134" w:type="dxa"/>
            <w:gridSpan w:val="2"/>
            <w:tcBorders>
              <w:top w:val="nil"/>
              <w:left w:val="nil"/>
              <w:bottom w:val="single" w:sz="4" w:space="0" w:color="auto"/>
              <w:right w:val="single" w:sz="4" w:space="0" w:color="auto"/>
            </w:tcBorders>
            <w:shd w:val="clear" w:color="auto" w:fill="000000" w:themeFill="text1"/>
            <w:vAlign w:val="bottom"/>
          </w:tcPr>
          <w:p w14:paraId="0C7AAD0D" w14:textId="78A4960F" w:rsidR="00434274" w:rsidRPr="00471CBA" w:rsidRDefault="00434274" w:rsidP="00434274">
            <w:pPr>
              <w:jc w:val="right"/>
              <w:rPr>
                <w:b/>
                <w:bCs/>
                <w:color w:val="000000"/>
                <w:sz w:val="18"/>
                <w:szCs w:val="18"/>
                <w:lang w:eastAsia="tr-TR"/>
              </w:rPr>
            </w:pPr>
            <w:r w:rsidRPr="00471CBA">
              <w:rPr>
                <w:color w:val="000000"/>
                <w:sz w:val="18"/>
                <w:szCs w:val="18"/>
                <w:lang w:eastAsia="tr-TR"/>
              </w:rPr>
              <w:t> </w:t>
            </w:r>
          </w:p>
        </w:tc>
        <w:tc>
          <w:tcPr>
            <w:tcW w:w="850" w:type="dxa"/>
            <w:tcBorders>
              <w:top w:val="nil"/>
              <w:left w:val="single" w:sz="4" w:space="0" w:color="auto"/>
              <w:bottom w:val="single" w:sz="4" w:space="0" w:color="auto"/>
              <w:right w:val="single" w:sz="4" w:space="0" w:color="auto"/>
            </w:tcBorders>
            <w:vAlign w:val="bottom"/>
          </w:tcPr>
          <w:p w14:paraId="594D9467" w14:textId="56276243" w:rsidR="00434274" w:rsidRPr="00471CBA" w:rsidRDefault="00434274" w:rsidP="00434274">
            <w:pPr>
              <w:jc w:val="right"/>
              <w:rPr>
                <w:b/>
                <w:bCs/>
                <w:color w:val="000000"/>
                <w:sz w:val="18"/>
                <w:szCs w:val="18"/>
                <w:lang w:eastAsia="tr-TR"/>
              </w:rPr>
            </w:pPr>
            <w:r w:rsidRPr="00471CBA">
              <w:rPr>
                <w:color w:val="000000"/>
                <w:sz w:val="18"/>
                <w:szCs w:val="18"/>
                <w:lang w:eastAsia="tr-TR"/>
              </w:rPr>
              <w:t>-</w:t>
            </w:r>
          </w:p>
        </w:tc>
      </w:tr>
      <w:tr w:rsidR="00434274" w:rsidRPr="00471CBA" w14:paraId="3E3DF4ED" w14:textId="77777777" w:rsidTr="00434274">
        <w:trPr>
          <w:trHeight w:val="113"/>
        </w:trPr>
        <w:tc>
          <w:tcPr>
            <w:tcW w:w="421" w:type="dxa"/>
            <w:tcBorders>
              <w:top w:val="nil"/>
              <w:left w:val="single" w:sz="4" w:space="0" w:color="auto"/>
              <w:bottom w:val="single" w:sz="4" w:space="0" w:color="auto"/>
              <w:right w:val="single" w:sz="4" w:space="0" w:color="auto"/>
            </w:tcBorders>
            <w:noWrap/>
            <w:hideMark/>
          </w:tcPr>
          <w:p w14:paraId="787A21F9" w14:textId="77777777" w:rsidR="00434274" w:rsidRPr="00471CBA" w:rsidRDefault="00434274" w:rsidP="00434274">
            <w:pPr>
              <w:rPr>
                <w:color w:val="000000"/>
                <w:sz w:val="18"/>
                <w:szCs w:val="18"/>
                <w:lang w:eastAsia="tr-TR"/>
              </w:rPr>
            </w:pPr>
            <w:r w:rsidRPr="00471CBA">
              <w:rPr>
                <w:color w:val="000000"/>
                <w:sz w:val="18"/>
                <w:szCs w:val="18"/>
                <w:lang w:eastAsia="tr-TR"/>
              </w:rPr>
              <w:t>12</w:t>
            </w:r>
          </w:p>
        </w:tc>
        <w:tc>
          <w:tcPr>
            <w:tcW w:w="5244" w:type="dxa"/>
            <w:tcBorders>
              <w:top w:val="nil"/>
              <w:left w:val="nil"/>
              <w:bottom w:val="single" w:sz="4" w:space="0" w:color="auto"/>
              <w:right w:val="single" w:sz="4" w:space="0" w:color="auto"/>
            </w:tcBorders>
            <w:noWrap/>
            <w:hideMark/>
          </w:tcPr>
          <w:p w14:paraId="007638FC" w14:textId="77777777" w:rsidR="00434274" w:rsidRPr="00471CBA" w:rsidRDefault="00434274" w:rsidP="00434274">
            <w:pPr>
              <w:rPr>
                <w:color w:val="000000"/>
                <w:sz w:val="18"/>
                <w:szCs w:val="18"/>
                <w:lang w:eastAsia="tr-TR"/>
              </w:rPr>
            </w:pPr>
            <w:proofErr w:type="spellStart"/>
            <w:r w:rsidRPr="00471CBA">
              <w:rPr>
                <w:color w:val="000000"/>
                <w:sz w:val="18"/>
                <w:szCs w:val="18"/>
                <w:lang w:eastAsia="tr-TR"/>
              </w:rPr>
              <w:t>MKT’deki</w:t>
            </w:r>
            <w:proofErr w:type="spellEnd"/>
            <w:r w:rsidRPr="00471CBA">
              <w:rPr>
                <w:color w:val="000000"/>
                <w:sz w:val="18"/>
                <w:szCs w:val="18"/>
                <w:lang w:eastAsia="tr-TR"/>
              </w:rPr>
              <w:t xml:space="preserve"> işlemlerden kaynaklanan risklere ilişkin (başlangıç teminatı ve garanti fonuna konulan tutar hariç)</w:t>
            </w:r>
          </w:p>
        </w:tc>
        <w:tc>
          <w:tcPr>
            <w:tcW w:w="1134" w:type="dxa"/>
            <w:tcBorders>
              <w:top w:val="nil"/>
              <w:left w:val="nil"/>
              <w:bottom w:val="single" w:sz="4" w:space="0" w:color="auto"/>
              <w:right w:val="single" w:sz="4" w:space="0" w:color="auto"/>
            </w:tcBorders>
            <w:noWrap/>
            <w:vAlign w:val="bottom"/>
            <w:hideMark/>
          </w:tcPr>
          <w:p w14:paraId="5274C1D6" w14:textId="6673A811" w:rsidR="00434274" w:rsidRPr="00471CBA" w:rsidRDefault="00434274" w:rsidP="00434274">
            <w:pPr>
              <w:jc w:val="right"/>
              <w:rPr>
                <w:color w:val="000000"/>
                <w:sz w:val="18"/>
                <w:szCs w:val="18"/>
                <w:lang w:eastAsia="tr-TR"/>
              </w:rPr>
            </w:pPr>
            <w:r w:rsidRPr="00471CBA">
              <w:rPr>
                <w:sz w:val="18"/>
                <w:szCs w:val="18"/>
              </w:rPr>
              <w:t>-</w:t>
            </w:r>
          </w:p>
        </w:tc>
        <w:tc>
          <w:tcPr>
            <w:tcW w:w="851" w:type="dxa"/>
            <w:tcBorders>
              <w:top w:val="nil"/>
              <w:left w:val="nil"/>
              <w:bottom w:val="single" w:sz="4" w:space="0" w:color="auto"/>
              <w:right w:val="single" w:sz="4" w:space="0" w:color="auto"/>
            </w:tcBorders>
            <w:noWrap/>
            <w:vAlign w:val="bottom"/>
            <w:hideMark/>
          </w:tcPr>
          <w:p w14:paraId="643D019D" w14:textId="67FEBA53" w:rsidR="00434274" w:rsidRPr="00471CBA" w:rsidRDefault="00434274" w:rsidP="00434274">
            <w:pPr>
              <w:jc w:val="right"/>
              <w:rPr>
                <w:color w:val="000000"/>
                <w:sz w:val="18"/>
                <w:szCs w:val="18"/>
                <w:lang w:eastAsia="tr-TR"/>
              </w:rPr>
            </w:pPr>
            <w:r w:rsidRPr="00471CBA">
              <w:rPr>
                <w:sz w:val="18"/>
                <w:szCs w:val="18"/>
              </w:rPr>
              <w:t>-</w:t>
            </w:r>
          </w:p>
        </w:tc>
        <w:tc>
          <w:tcPr>
            <w:tcW w:w="1134" w:type="dxa"/>
            <w:gridSpan w:val="2"/>
            <w:tcBorders>
              <w:top w:val="nil"/>
              <w:left w:val="nil"/>
              <w:bottom w:val="single" w:sz="4" w:space="0" w:color="auto"/>
              <w:right w:val="single" w:sz="4" w:space="0" w:color="auto"/>
            </w:tcBorders>
            <w:vAlign w:val="bottom"/>
          </w:tcPr>
          <w:p w14:paraId="1373C54C" w14:textId="31203E40" w:rsidR="00434274" w:rsidRPr="00471CBA" w:rsidRDefault="00434274" w:rsidP="00434274">
            <w:pPr>
              <w:jc w:val="right"/>
              <w:rPr>
                <w:color w:val="000000"/>
                <w:sz w:val="18"/>
                <w:szCs w:val="18"/>
                <w:lang w:eastAsia="tr-TR"/>
              </w:rPr>
            </w:pPr>
            <w:r w:rsidRPr="00471CBA">
              <w:rPr>
                <w:color w:val="000000"/>
                <w:sz w:val="18"/>
                <w:szCs w:val="18"/>
                <w:lang w:eastAsia="tr-TR"/>
              </w:rPr>
              <w:t>-</w:t>
            </w:r>
          </w:p>
        </w:tc>
        <w:tc>
          <w:tcPr>
            <w:tcW w:w="850" w:type="dxa"/>
            <w:tcBorders>
              <w:top w:val="nil"/>
              <w:left w:val="single" w:sz="4" w:space="0" w:color="auto"/>
              <w:bottom w:val="single" w:sz="4" w:space="0" w:color="auto"/>
              <w:right w:val="single" w:sz="4" w:space="0" w:color="auto"/>
            </w:tcBorders>
            <w:vAlign w:val="bottom"/>
          </w:tcPr>
          <w:p w14:paraId="5B649F3E" w14:textId="68D7A1BE" w:rsidR="00434274" w:rsidRPr="00471CBA" w:rsidRDefault="00434274" w:rsidP="00434274">
            <w:pPr>
              <w:jc w:val="right"/>
              <w:rPr>
                <w:color w:val="000000"/>
                <w:sz w:val="18"/>
                <w:szCs w:val="18"/>
                <w:lang w:eastAsia="tr-TR"/>
              </w:rPr>
            </w:pPr>
            <w:r w:rsidRPr="00471CBA">
              <w:rPr>
                <w:color w:val="000000"/>
                <w:sz w:val="18"/>
                <w:szCs w:val="18"/>
                <w:lang w:eastAsia="tr-TR"/>
              </w:rPr>
              <w:t>-</w:t>
            </w:r>
          </w:p>
        </w:tc>
      </w:tr>
      <w:tr w:rsidR="00434274" w:rsidRPr="00471CBA" w14:paraId="34FF1E1E" w14:textId="77777777" w:rsidTr="00434274">
        <w:trPr>
          <w:trHeight w:val="113"/>
        </w:trPr>
        <w:tc>
          <w:tcPr>
            <w:tcW w:w="421" w:type="dxa"/>
            <w:tcBorders>
              <w:top w:val="nil"/>
              <w:left w:val="single" w:sz="4" w:space="0" w:color="auto"/>
              <w:bottom w:val="single" w:sz="4" w:space="0" w:color="auto"/>
              <w:right w:val="single" w:sz="4" w:space="0" w:color="auto"/>
            </w:tcBorders>
            <w:noWrap/>
            <w:hideMark/>
          </w:tcPr>
          <w:p w14:paraId="69E9F50C" w14:textId="77777777" w:rsidR="00434274" w:rsidRPr="00471CBA" w:rsidRDefault="00434274" w:rsidP="00434274">
            <w:pPr>
              <w:rPr>
                <w:color w:val="000000"/>
                <w:sz w:val="18"/>
                <w:szCs w:val="18"/>
                <w:lang w:eastAsia="tr-TR"/>
              </w:rPr>
            </w:pPr>
            <w:r w:rsidRPr="00471CBA">
              <w:rPr>
                <w:color w:val="000000"/>
                <w:sz w:val="18"/>
                <w:szCs w:val="18"/>
                <w:lang w:eastAsia="tr-TR"/>
              </w:rPr>
              <w:t>13</w:t>
            </w:r>
          </w:p>
        </w:tc>
        <w:tc>
          <w:tcPr>
            <w:tcW w:w="5244" w:type="dxa"/>
            <w:tcBorders>
              <w:top w:val="nil"/>
              <w:left w:val="nil"/>
              <w:bottom w:val="single" w:sz="4" w:space="0" w:color="auto"/>
              <w:right w:val="single" w:sz="4" w:space="0" w:color="auto"/>
            </w:tcBorders>
            <w:noWrap/>
            <w:hideMark/>
          </w:tcPr>
          <w:p w14:paraId="4F6ABC1A" w14:textId="77777777" w:rsidR="00434274" w:rsidRPr="00471CBA" w:rsidRDefault="00434274" w:rsidP="00434274">
            <w:pPr>
              <w:ind w:left="470"/>
              <w:rPr>
                <w:color w:val="000000"/>
                <w:sz w:val="18"/>
                <w:szCs w:val="18"/>
                <w:lang w:eastAsia="tr-TR"/>
              </w:rPr>
            </w:pPr>
            <w:r w:rsidRPr="00471CBA">
              <w:rPr>
                <w:color w:val="000000"/>
                <w:sz w:val="18"/>
                <w:szCs w:val="18"/>
                <w:lang w:eastAsia="tr-TR"/>
              </w:rPr>
              <w:t xml:space="preserve">(i)    </w:t>
            </w:r>
            <w:proofErr w:type="spellStart"/>
            <w:r w:rsidRPr="00471CBA">
              <w:rPr>
                <w:color w:val="000000"/>
                <w:sz w:val="18"/>
                <w:szCs w:val="18"/>
                <w:lang w:eastAsia="tr-TR"/>
              </w:rPr>
              <w:t>Tezgahüstü</w:t>
            </w:r>
            <w:proofErr w:type="spellEnd"/>
            <w:r w:rsidRPr="00471CBA">
              <w:rPr>
                <w:color w:val="000000"/>
                <w:sz w:val="18"/>
                <w:szCs w:val="18"/>
                <w:lang w:eastAsia="tr-TR"/>
              </w:rPr>
              <w:t xml:space="preserve"> türev işlemler</w:t>
            </w:r>
          </w:p>
        </w:tc>
        <w:tc>
          <w:tcPr>
            <w:tcW w:w="1134" w:type="dxa"/>
            <w:tcBorders>
              <w:top w:val="nil"/>
              <w:left w:val="nil"/>
              <w:bottom w:val="single" w:sz="4" w:space="0" w:color="auto"/>
              <w:right w:val="single" w:sz="4" w:space="0" w:color="auto"/>
            </w:tcBorders>
            <w:noWrap/>
            <w:vAlign w:val="bottom"/>
            <w:hideMark/>
          </w:tcPr>
          <w:p w14:paraId="4CBF1D1E" w14:textId="34F13E40" w:rsidR="00434274" w:rsidRPr="00471CBA" w:rsidRDefault="00434274" w:rsidP="00434274">
            <w:pPr>
              <w:jc w:val="right"/>
              <w:rPr>
                <w:color w:val="000000"/>
                <w:sz w:val="18"/>
                <w:szCs w:val="18"/>
                <w:lang w:eastAsia="tr-TR"/>
              </w:rPr>
            </w:pPr>
            <w:r w:rsidRPr="00471CBA">
              <w:rPr>
                <w:sz w:val="18"/>
                <w:szCs w:val="18"/>
              </w:rPr>
              <w:t>-</w:t>
            </w:r>
          </w:p>
        </w:tc>
        <w:tc>
          <w:tcPr>
            <w:tcW w:w="851" w:type="dxa"/>
            <w:tcBorders>
              <w:top w:val="nil"/>
              <w:left w:val="nil"/>
              <w:bottom w:val="single" w:sz="4" w:space="0" w:color="auto"/>
              <w:right w:val="single" w:sz="4" w:space="0" w:color="auto"/>
            </w:tcBorders>
            <w:noWrap/>
            <w:vAlign w:val="bottom"/>
            <w:hideMark/>
          </w:tcPr>
          <w:p w14:paraId="5ACCE269" w14:textId="347AC70C" w:rsidR="00434274" w:rsidRPr="00471CBA" w:rsidRDefault="00434274" w:rsidP="00434274">
            <w:pPr>
              <w:jc w:val="right"/>
              <w:rPr>
                <w:color w:val="000000"/>
                <w:sz w:val="18"/>
                <w:szCs w:val="18"/>
                <w:lang w:eastAsia="tr-TR"/>
              </w:rPr>
            </w:pPr>
            <w:r w:rsidRPr="00471CBA">
              <w:rPr>
                <w:sz w:val="18"/>
                <w:szCs w:val="18"/>
              </w:rPr>
              <w:t>-</w:t>
            </w:r>
          </w:p>
        </w:tc>
        <w:tc>
          <w:tcPr>
            <w:tcW w:w="1134" w:type="dxa"/>
            <w:gridSpan w:val="2"/>
            <w:tcBorders>
              <w:top w:val="nil"/>
              <w:left w:val="nil"/>
              <w:bottom w:val="single" w:sz="4" w:space="0" w:color="auto"/>
              <w:right w:val="single" w:sz="4" w:space="0" w:color="auto"/>
            </w:tcBorders>
            <w:vAlign w:val="bottom"/>
          </w:tcPr>
          <w:p w14:paraId="0116C02C" w14:textId="3EEE72CB" w:rsidR="00434274" w:rsidRPr="00471CBA" w:rsidRDefault="00434274" w:rsidP="00434274">
            <w:pPr>
              <w:jc w:val="right"/>
              <w:rPr>
                <w:color w:val="000000"/>
                <w:sz w:val="18"/>
                <w:szCs w:val="18"/>
                <w:lang w:eastAsia="tr-TR"/>
              </w:rPr>
            </w:pPr>
            <w:r w:rsidRPr="00471CBA">
              <w:rPr>
                <w:color w:val="000000"/>
                <w:sz w:val="18"/>
                <w:szCs w:val="18"/>
                <w:lang w:eastAsia="tr-TR"/>
              </w:rPr>
              <w:t>-</w:t>
            </w:r>
          </w:p>
        </w:tc>
        <w:tc>
          <w:tcPr>
            <w:tcW w:w="850" w:type="dxa"/>
            <w:tcBorders>
              <w:top w:val="nil"/>
              <w:left w:val="single" w:sz="4" w:space="0" w:color="auto"/>
              <w:bottom w:val="single" w:sz="4" w:space="0" w:color="auto"/>
              <w:right w:val="single" w:sz="4" w:space="0" w:color="auto"/>
            </w:tcBorders>
            <w:vAlign w:val="bottom"/>
          </w:tcPr>
          <w:p w14:paraId="60D70C48" w14:textId="64F41C43" w:rsidR="00434274" w:rsidRPr="00471CBA" w:rsidRDefault="00434274" w:rsidP="00434274">
            <w:pPr>
              <w:jc w:val="right"/>
              <w:rPr>
                <w:color w:val="000000"/>
                <w:sz w:val="18"/>
                <w:szCs w:val="18"/>
                <w:lang w:eastAsia="tr-TR"/>
              </w:rPr>
            </w:pPr>
            <w:r w:rsidRPr="00471CBA">
              <w:rPr>
                <w:color w:val="000000"/>
                <w:sz w:val="18"/>
                <w:szCs w:val="18"/>
                <w:lang w:eastAsia="tr-TR"/>
              </w:rPr>
              <w:t>-</w:t>
            </w:r>
          </w:p>
        </w:tc>
      </w:tr>
      <w:tr w:rsidR="00434274" w:rsidRPr="00471CBA" w14:paraId="285F410C" w14:textId="77777777" w:rsidTr="00434274">
        <w:trPr>
          <w:trHeight w:val="113"/>
        </w:trPr>
        <w:tc>
          <w:tcPr>
            <w:tcW w:w="421" w:type="dxa"/>
            <w:tcBorders>
              <w:top w:val="nil"/>
              <w:left w:val="single" w:sz="4" w:space="0" w:color="auto"/>
              <w:bottom w:val="single" w:sz="4" w:space="0" w:color="auto"/>
              <w:right w:val="single" w:sz="4" w:space="0" w:color="auto"/>
            </w:tcBorders>
            <w:noWrap/>
            <w:hideMark/>
          </w:tcPr>
          <w:p w14:paraId="3A3342C9" w14:textId="77777777" w:rsidR="00434274" w:rsidRPr="00471CBA" w:rsidRDefault="00434274" w:rsidP="00434274">
            <w:pPr>
              <w:rPr>
                <w:color w:val="000000"/>
                <w:sz w:val="18"/>
                <w:szCs w:val="18"/>
                <w:lang w:eastAsia="tr-TR"/>
              </w:rPr>
            </w:pPr>
            <w:r w:rsidRPr="00471CBA">
              <w:rPr>
                <w:color w:val="000000"/>
                <w:sz w:val="18"/>
                <w:szCs w:val="18"/>
                <w:lang w:eastAsia="tr-TR"/>
              </w:rPr>
              <w:t>14</w:t>
            </w:r>
          </w:p>
        </w:tc>
        <w:tc>
          <w:tcPr>
            <w:tcW w:w="5244" w:type="dxa"/>
            <w:tcBorders>
              <w:top w:val="nil"/>
              <w:left w:val="nil"/>
              <w:bottom w:val="single" w:sz="4" w:space="0" w:color="auto"/>
              <w:right w:val="single" w:sz="4" w:space="0" w:color="auto"/>
            </w:tcBorders>
            <w:noWrap/>
            <w:hideMark/>
          </w:tcPr>
          <w:p w14:paraId="5B95E359" w14:textId="77777777" w:rsidR="00434274" w:rsidRPr="00471CBA" w:rsidRDefault="00434274" w:rsidP="00434274">
            <w:pPr>
              <w:ind w:left="470"/>
              <w:rPr>
                <w:color w:val="000000"/>
                <w:sz w:val="18"/>
                <w:szCs w:val="18"/>
                <w:lang w:eastAsia="tr-TR"/>
              </w:rPr>
            </w:pPr>
            <w:r w:rsidRPr="00471CBA">
              <w:rPr>
                <w:color w:val="000000"/>
                <w:sz w:val="18"/>
                <w:szCs w:val="18"/>
                <w:lang w:eastAsia="tr-TR"/>
              </w:rPr>
              <w:t>(ii)    Diğer türev işlemler</w:t>
            </w:r>
          </w:p>
        </w:tc>
        <w:tc>
          <w:tcPr>
            <w:tcW w:w="1134" w:type="dxa"/>
            <w:tcBorders>
              <w:top w:val="nil"/>
              <w:left w:val="nil"/>
              <w:bottom w:val="single" w:sz="4" w:space="0" w:color="auto"/>
              <w:right w:val="single" w:sz="4" w:space="0" w:color="auto"/>
            </w:tcBorders>
            <w:noWrap/>
            <w:vAlign w:val="bottom"/>
            <w:hideMark/>
          </w:tcPr>
          <w:p w14:paraId="203FAE5E" w14:textId="6C569A7A" w:rsidR="00434274" w:rsidRPr="00471CBA" w:rsidRDefault="00434274" w:rsidP="00434274">
            <w:pPr>
              <w:jc w:val="right"/>
              <w:rPr>
                <w:color w:val="000000"/>
                <w:sz w:val="18"/>
                <w:szCs w:val="18"/>
                <w:lang w:eastAsia="tr-TR"/>
              </w:rPr>
            </w:pPr>
            <w:r w:rsidRPr="00471CBA">
              <w:rPr>
                <w:sz w:val="18"/>
                <w:szCs w:val="18"/>
              </w:rPr>
              <w:t>-</w:t>
            </w:r>
          </w:p>
        </w:tc>
        <w:tc>
          <w:tcPr>
            <w:tcW w:w="851" w:type="dxa"/>
            <w:tcBorders>
              <w:top w:val="nil"/>
              <w:left w:val="nil"/>
              <w:bottom w:val="single" w:sz="4" w:space="0" w:color="auto"/>
              <w:right w:val="single" w:sz="4" w:space="0" w:color="auto"/>
            </w:tcBorders>
            <w:noWrap/>
            <w:vAlign w:val="bottom"/>
            <w:hideMark/>
          </w:tcPr>
          <w:p w14:paraId="4611083E" w14:textId="7BFC652B" w:rsidR="00434274" w:rsidRPr="00471CBA" w:rsidRDefault="00434274" w:rsidP="00434274">
            <w:pPr>
              <w:jc w:val="right"/>
              <w:rPr>
                <w:color w:val="000000"/>
                <w:sz w:val="18"/>
                <w:szCs w:val="18"/>
                <w:lang w:eastAsia="tr-TR"/>
              </w:rPr>
            </w:pPr>
            <w:r w:rsidRPr="00471CBA">
              <w:rPr>
                <w:sz w:val="18"/>
                <w:szCs w:val="18"/>
              </w:rPr>
              <w:t>-</w:t>
            </w:r>
          </w:p>
        </w:tc>
        <w:tc>
          <w:tcPr>
            <w:tcW w:w="1134" w:type="dxa"/>
            <w:gridSpan w:val="2"/>
            <w:tcBorders>
              <w:top w:val="nil"/>
              <w:left w:val="nil"/>
              <w:bottom w:val="single" w:sz="4" w:space="0" w:color="auto"/>
              <w:right w:val="single" w:sz="4" w:space="0" w:color="auto"/>
            </w:tcBorders>
            <w:vAlign w:val="bottom"/>
          </w:tcPr>
          <w:p w14:paraId="1675FFED" w14:textId="397B5BE8" w:rsidR="00434274" w:rsidRPr="00471CBA" w:rsidRDefault="00434274" w:rsidP="00434274">
            <w:pPr>
              <w:jc w:val="right"/>
              <w:rPr>
                <w:color w:val="000000"/>
                <w:sz w:val="18"/>
                <w:szCs w:val="18"/>
                <w:lang w:eastAsia="tr-TR"/>
              </w:rPr>
            </w:pPr>
            <w:r w:rsidRPr="00471CBA">
              <w:rPr>
                <w:color w:val="000000"/>
                <w:sz w:val="18"/>
                <w:szCs w:val="18"/>
                <w:lang w:eastAsia="tr-TR"/>
              </w:rPr>
              <w:t>-</w:t>
            </w:r>
          </w:p>
        </w:tc>
        <w:tc>
          <w:tcPr>
            <w:tcW w:w="850" w:type="dxa"/>
            <w:tcBorders>
              <w:top w:val="nil"/>
              <w:left w:val="single" w:sz="4" w:space="0" w:color="auto"/>
              <w:bottom w:val="single" w:sz="4" w:space="0" w:color="auto"/>
              <w:right w:val="single" w:sz="4" w:space="0" w:color="auto"/>
            </w:tcBorders>
            <w:vAlign w:val="bottom"/>
          </w:tcPr>
          <w:p w14:paraId="47E7F2ED" w14:textId="2781DCED" w:rsidR="00434274" w:rsidRPr="00471CBA" w:rsidRDefault="00434274" w:rsidP="00434274">
            <w:pPr>
              <w:jc w:val="right"/>
              <w:rPr>
                <w:color w:val="000000"/>
                <w:sz w:val="18"/>
                <w:szCs w:val="18"/>
                <w:lang w:eastAsia="tr-TR"/>
              </w:rPr>
            </w:pPr>
            <w:r w:rsidRPr="00471CBA">
              <w:rPr>
                <w:color w:val="000000"/>
                <w:sz w:val="18"/>
                <w:szCs w:val="18"/>
                <w:lang w:eastAsia="tr-TR"/>
              </w:rPr>
              <w:t>-</w:t>
            </w:r>
          </w:p>
        </w:tc>
      </w:tr>
      <w:tr w:rsidR="00434274" w:rsidRPr="00471CBA" w14:paraId="6D98776F" w14:textId="77777777" w:rsidTr="00434274">
        <w:trPr>
          <w:trHeight w:val="113"/>
        </w:trPr>
        <w:tc>
          <w:tcPr>
            <w:tcW w:w="421" w:type="dxa"/>
            <w:tcBorders>
              <w:top w:val="nil"/>
              <w:left w:val="single" w:sz="4" w:space="0" w:color="auto"/>
              <w:bottom w:val="single" w:sz="4" w:space="0" w:color="auto"/>
              <w:right w:val="single" w:sz="4" w:space="0" w:color="auto"/>
            </w:tcBorders>
            <w:noWrap/>
            <w:hideMark/>
          </w:tcPr>
          <w:p w14:paraId="694F1FC1" w14:textId="77777777" w:rsidR="00434274" w:rsidRPr="00471CBA" w:rsidRDefault="00434274" w:rsidP="00434274">
            <w:pPr>
              <w:rPr>
                <w:color w:val="000000"/>
                <w:sz w:val="18"/>
                <w:szCs w:val="18"/>
                <w:lang w:eastAsia="tr-TR"/>
              </w:rPr>
            </w:pPr>
            <w:r w:rsidRPr="00471CBA">
              <w:rPr>
                <w:color w:val="000000"/>
                <w:sz w:val="18"/>
                <w:szCs w:val="18"/>
                <w:lang w:eastAsia="tr-TR"/>
              </w:rPr>
              <w:t>15</w:t>
            </w:r>
          </w:p>
        </w:tc>
        <w:tc>
          <w:tcPr>
            <w:tcW w:w="5244" w:type="dxa"/>
            <w:tcBorders>
              <w:top w:val="nil"/>
              <w:left w:val="nil"/>
              <w:bottom w:val="single" w:sz="4" w:space="0" w:color="auto"/>
              <w:right w:val="single" w:sz="4" w:space="0" w:color="auto"/>
            </w:tcBorders>
            <w:noWrap/>
            <w:hideMark/>
          </w:tcPr>
          <w:p w14:paraId="1B822A5F" w14:textId="77777777" w:rsidR="00434274" w:rsidRPr="00471CBA" w:rsidRDefault="00434274" w:rsidP="00434274">
            <w:pPr>
              <w:ind w:left="470"/>
              <w:rPr>
                <w:color w:val="000000"/>
                <w:sz w:val="18"/>
                <w:szCs w:val="18"/>
                <w:lang w:eastAsia="tr-TR"/>
              </w:rPr>
            </w:pPr>
            <w:r w:rsidRPr="00471CBA">
              <w:rPr>
                <w:color w:val="000000"/>
                <w:sz w:val="18"/>
                <w:szCs w:val="18"/>
                <w:lang w:eastAsia="tr-TR"/>
              </w:rPr>
              <w:t>(iii)   Menkul kıymet finansman işlemleri</w:t>
            </w:r>
          </w:p>
        </w:tc>
        <w:tc>
          <w:tcPr>
            <w:tcW w:w="1134" w:type="dxa"/>
            <w:tcBorders>
              <w:top w:val="nil"/>
              <w:left w:val="nil"/>
              <w:bottom w:val="single" w:sz="4" w:space="0" w:color="auto"/>
              <w:right w:val="single" w:sz="4" w:space="0" w:color="auto"/>
            </w:tcBorders>
            <w:noWrap/>
            <w:vAlign w:val="bottom"/>
            <w:hideMark/>
          </w:tcPr>
          <w:p w14:paraId="6BA050A1" w14:textId="60B013F3" w:rsidR="00434274" w:rsidRPr="00471CBA" w:rsidRDefault="00434274" w:rsidP="00434274">
            <w:pPr>
              <w:jc w:val="right"/>
              <w:rPr>
                <w:color w:val="000000"/>
                <w:sz w:val="18"/>
                <w:szCs w:val="18"/>
                <w:lang w:eastAsia="tr-TR"/>
              </w:rPr>
            </w:pPr>
            <w:r w:rsidRPr="00471CBA">
              <w:rPr>
                <w:sz w:val="18"/>
                <w:szCs w:val="18"/>
              </w:rPr>
              <w:t>-</w:t>
            </w:r>
          </w:p>
        </w:tc>
        <w:tc>
          <w:tcPr>
            <w:tcW w:w="851" w:type="dxa"/>
            <w:tcBorders>
              <w:top w:val="nil"/>
              <w:left w:val="nil"/>
              <w:bottom w:val="single" w:sz="4" w:space="0" w:color="auto"/>
              <w:right w:val="single" w:sz="4" w:space="0" w:color="auto"/>
            </w:tcBorders>
            <w:noWrap/>
            <w:vAlign w:val="bottom"/>
            <w:hideMark/>
          </w:tcPr>
          <w:p w14:paraId="004233B1" w14:textId="63A7F4CC" w:rsidR="00434274" w:rsidRPr="00471CBA" w:rsidRDefault="00434274" w:rsidP="00434274">
            <w:pPr>
              <w:jc w:val="right"/>
              <w:rPr>
                <w:color w:val="000000"/>
                <w:sz w:val="18"/>
                <w:szCs w:val="18"/>
                <w:lang w:eastAsia="tr-TR"/>
              </w:rPr>
            </w:pPr>
            <w:r w:rsidRPr="00471CBA">
              <w:rPr>
                <w:sz w:val="18"/>
                <w:szCs w:val="18"/>
              </w:rPr>
              <w:t>-</w:t>
            </w:r>
          </w:p>
        </w:tc>
        <w:tc>
          <w:tcPr>
            <w:tcW w:w="1134" w:type="dxa"/>
            <w:gridSpan w:val="2"/>
            <w:tcBorders>
              <w:top w:val="nil"/>
              <w:left w:val="nil"/>
              <w:bottom w:val="single" w:sz="4" w:space="0" w:color="auto"/>
              <w:right w:val="single" w:sz="4" w:space="0" w:color="auto"/>
            </w:tcBorders>
            <w:vAlign w:val="bottom"/>
          </w:tcPr>
          <w:p w14:paraId="06C5C2E1" w14:textId="2D54E304" w:rsidR="00434274" w:rsidRPr="00471CBA" w:rsidRDefault="00434274" w:rsidP="00434274">
            <w:pPr>
              <w:jc w:val="right"/>
              <w:rPr>
                <w:color w:val="000000"/>
                <w:sz w:val="18"/>
                <w:szCs w:val="18"/>
                <w:lang w:eastAsia="tr-TR"/>
              </w:rPr>
            </w:pPr>
            <w:r w:rsidRPr="00471CBA">
              <w:rPr>
                <w:color w:val="000000"/>
                <w:sz w:val="18"/>
                <w:szCs w:val="18"/>
                <w:lang w:eastAsia="tr-TR"/>
              </w:rPr>
              <w:t>-</w:t>
            </w:r>
          </w:p>
        </w:tc>
        <w:tc>
          <w:tcPr>
            <w:tcW w:w="850" w:type="dxa"/>
            <w:tcBorders>
              <w:top w:val="nil"/>
              <w:left w:val="single" w:sz="4" w:space="0" w:color="auto"/>
              <w:bottom w:val="single" w:sz="4" w:space="0" w:color="auto"/>
              <w:right w:val="single" w:sz="4" w:space="0" w:color="auto"/>
            </w:tcBorders>
            <w:vAlign w:val="bottom"/>
          </w:tcPr>
          <w:p w14:paraId="6BD1E058" w14:textId="095669F4" w:rsidR="00434274" w:rsidRPr="00471CBA" w:rsidRDefault="00434274" w:rsidP="00434274">
            <w:pPr>
              <w:jc w:val="right"/>
              <w:rPr>
                <w:color w:val="000000"/>
                <w:sz w:val="18"/>
                <w:szCs w:val="18"/>
                <w:lang w:eastAsia="tr-TR"/>
              </w:rPr>
            </w:pPr>
            <w:r w:rsidRPr="00471CBA">
              <w:rPr>
                <w:color w:val="000000"/>
                <w:sz w:val="18"/>
                <w:szCs w:val="18"/>
                <w:lang w:eastAsia="tr-TR"/>
              </w:rPr>
              <w:t>-</w:t>
            </w:r>
          </w:p>
        </w:tc>
      </w:tr>
      <w:tr w:rsidR="00434274" w:rsidRPr="00471CBA" w14:paraId="27ADF1DB" w14:textId="77777777" w:rsidTr="00434274">
        <w:trPr>
          <w:trHeight w:val="113"/>
        </w:trPr>
        <w:tc>
          <w:tcPr>
            <w:tcW w:w="421" w:type="dxa"/>
            <w:tcBorders>
              <w:top w:val="nil"/>
              <w:left w:val="single" w:sz="4" w:space="0" w:color="auto"/>
              <w:bottom w:val="single" w:sz="4" w:space="0" w:color="auto"/>
              <w:right w:val="single" w:sz="4" w:space="0" w:color="auto"/>
            </w:tcBorders>
            <w:noWrap/>
            <w:hideMark/>
          </w:tcPr>
          <w:p w14:paraId="0D2AC866" w14:textId="77777777" w:rsidR="00434274" w:rsidRPr="00471CBA" w:rsidRDefault="00434274" w:rsidP="00434274">
            <w:pPr>
              <w:rPr>
                <w:color w:val="000000"/>
                <w:sz w:val="18"/>
                <w:szCs w:val="18"/>
                <w:lang w:eastAsia="tr-TR"/>
              </w:rPr>
            </w:pPr>
            <w:r w:rsidRPr="00471CBA">
              <w:rPr>
                <w:color w:val="000000"/>
                <w:sz w:val="18"/>
                <w:szCs w:val="18"/>
                <w:lang w:eastAsia="tr-TR"/>
              </w:rPr>
              <w:t>16</w:t>
            </w:r>
          </w:p>
        </w:tc>
        <w:tc>
          <w:tcPr>
            <w:tcW w:w="5244" w:type="dxa"/>
            <w:tcBorders>
              <w:top w:val="nil"/>
              <w:left w:val="nil"/>
              <w:bottom w:val="single" w:sz="4" w:space="0" w:color="auto"/>
              <w:right w:val="single" w:sz="4" w:space="0" w:color="auto"/>
            </w:tcBorders>
            <w:noWrap/>
            <w:hideMark/>
          </w:tcPr>
          <w:p w14:paraId="3D56BA43" w14:textId="77777777" w:rsidR="00434274" w:rsidRPr="00471CBA" w:rsidRDefault="00434274" w:rsidP="00434274">
            <w:pPr>
              <w:ind w:left="470"/>
              <w:rPr>
                <w:color w:val="000000"/>
                <w:sz w:val="18"/>
                <w:szCs w:val="18"/>
                <w:lang w:eastAsia="tr-TR"/>
              </w:rPr>
            </w:pPr>
            <w:r w:rsidRPr="00471CBA">
              <w:rPr>
                <w:color w:val="000000"/>
                <w:sz w:val="18"/>
                <w:szCs w:val="18"/>
                <w:lang w:eastAsia="tr-TR"/>
              </w:rPr>
              <w:t>(iv)   Çapraz ürün netleştirme işleminin uygulandığı netleştirme grupları</w:t>
            </w:r>
          </w:p>
        </w:tc>
        <w:tc>
          <w:tcPr>
            <w:tcW w:w="1134" w:type="dxa"/>
            <w:tcBorders>
              <w:top w:val="nil"/>
              <w:left w:val="nil"/>
              <w:bottom w:val="single" w:sz="4" w:space="0" w:color="auto"/>
              <w:right w:val="single" w:sz="4" w:space="0" w:color="auto"/>
            </w:tcBorders>
            <w:noWrap/>
            <w:vAlign w:val="bottom"/>
            <w:hideMark/>
          </w:tcPr>
          <w:p w14:paraId="43346193" w14:textId="3A2E5D29" w:rsidR="00434274" w:rsidRPr="00471CBA" w:rsidRDefault="00434274" w:rsidP="00434274">
            <w:pPr>
              <w:jc w:val="right"/>
              <w:rPr>
                <w:color w:val="000000"/>
                <w:sz w:val="18"/>
                <w:szCs w:val="18"/>
                <w:lang w:eastAsia="tr-TR"/>
              </w:rPr>
            </w:pPr>
            <w:r w:rsidRPr="00471CBA">
              <w:rPr>
                <w:sz w:val="18"/>
                <w:szCs w:val="18"/>
              </w:rPr>
              <w:t>-</w:t>
            </w:r>
          </w:p>
        </w:tc>
        <w:tc>
          <w:tcPr>
            <w:tcW w:w="851" w:type="dxa"/>
            <w:tcBorders>
              <w:top w:val="nil"/>
              <w:left w:val="nil"/>
              <w:bottom w:val="single" w:sz="4" w:space="0" w:color="auto"/>
              <w:right w:val="single" w:sz="4" w:space="0" w:color="auto"/>
            </w:tcBorders>
            <w:noWrap/>
            <w:vAlign w:val="bottom"/>
            <w:hideMark/>
          </w:tcPr>
          <w:p w14:paraId="4B9017F2" w14:textId="0CB4016A" w:rsidR="00434274" w:rsidRPr="00471CBA" w:rsidRDefault="00434274" w:rsidP="00434274">
            <w:pPr>
              <w:jc w:val="right"/>
              <w:rPr>
                <w:color w:val="000000"/>
                <w:sz w:val="18"/>
                <w:szCs w:val="18"/>
                <w:lang w:eastAsia="tr-TR"/>
              </w:rPr>
            </w:pPr>
            <w:r w:rsidRPr="00471CBA">
              <w:rPr>
                <w:sz w:val="18"/>
                <w:szCs w:val="18"/>
              </w:rPr>
              <w:t>-</w:t>
            </w:r>
          </w:p>
        </w:tc>
        <w:tc>
          <w:tcPr>
            <w:tcW w:w="1134" w:type="dxa"/>
            <w:gridSpan w:val="2"/>
            <w:tcBorders>
              <w:top w:val="nil"/>
              <w:left w:val="nil"/>
              <w:bottom w:val="single" w:sz="4" w:space="0" w:color="auto"/>
              <w:right w:val="single" w:sz="4" w:space="0" w:color="auto"/>
            </w:tcBorders>
            <w:vAlign w:val="bottom"/>
          </w:tcPr>
          <w:p w14:paraId="71F38D0E" w14:textId="45803DA5" w:rsidR="00434274" w:rsidRPr="00471CBA" w:rsidRDefault="00434274" w:rsidP="00434274">
            <w:pPr>
              <w:jc w:val="right"/>
              <w:rPr>
                <w:color w:val="000000"/>
                <w:sz w:val="18"/>
                <w:szCs w:val="18"/>
                <w:lang w:eastAsia="tr-TR"/>
              </w:rPr>
            </w:pPr>
            <w:r w:rsidRPr="00471CBA">
              <w:rPr>
                <w:color w:val="000000"/>
                <w:sz w:val="18"/>
                <w:szCs w:val="18"/>
                <w:lang w:eastAsia="tr-TR"/>
              </w:rPr>
              <w:t>-</w:t>
            </w:r>
          </w:p>
        </w:tc>
        <w:tc>
          <w:tcPr>
            <w:tcW w:w="850" w:type="dxa"/>
            <w:tcBorders>
              <w:top w:val="nil"/>
              <w:left w:val="single" w:sz="4" w:space="0" w:color="auto"/>
              <w:bottom w:val="single" w:sz="4" w:space="0" w:color="auto"/>
              <w:right w:val="single" w:sz="4" w:space="0" w:color="auto"/>
            </w:tcBorders>
            <w:vAlign w:val="bottom"/>
          </w:tcPr>
          <w:p w14:paraId="277752BD" w14:textId="4E05AEB3" w:rsidR="00434274" w:rsidRPr="00471CBA" w:rsidRDefault="00434274" w:rsidP="00434274">
            <w:pPr>
              <w:jc w:val="right"/>
              <w:rPr>
                <w:color w:val="000000"/>
                <w:sz w:val="18"/>
                <w:szCs w:val="18"/>
                <w:lang w:eastAsia="tr-TR"/>
              </w:rPr>
            </w:pPr>
            <w:r w:rsidRPr="00471CBA">
              <w:rPr>
                <w:color w:val="000000"/>
                <w:sz w:val="18"/>
                <w:szCs w:val="18"/>
                <w:lang w:eastAsia="tr-TR"/>
              </w:rPr>
              <w:t>-</w:t>
            </w:r>
          </w:p>
        </w:tc>
      </w:tr>
      <w:tr w:rsidR="00434274" w:rsidRPr="00471CBA" w14:paraId="5C7B04AC" w14:textId="77777777" w:rsidTr="00434274">
        <w:trPr>
          <w:trHeight w:val="113"/>
        </w:trPr>
        <w:tc>
          <w:tcPr>
            <w:tcW w:w="421" w:type="dxa"/>
            <w:tcBorders>
              <w:top w:val="nil"/>
              <w:left w:val="single" w:sz="4" w:space="0" w:color="auto"/>
              <w:bottom w:val="single" w:sz="4" w:space="0" w:color="auto"/>
              <w:right w:val="single" w:sz="4" w:space="0" w:color="auto"/>
            </w:tcBorders>
            <w:noWrap/>
            <w:hideMark/>
          </w:tcPr>
          <w:p w14:paraId="57242630" w14:textId="77777777" w:rsidR="00434274" w:rsidRPr="00471CBA" w:rsidRDefault="00434274" w:rsidP="00434274">
            <w:pPr>
              <w:rPr>
                <w:color w:val="000000"/>
                <w:sz w:val="18"/>
                <w:szCs w:val="18"/>
                <w:lang w:eastAsia="tr-TR"/>
              </w:rPr>
            </w:pPr>
            <w:r w:rsidRPr="00471CBA">
              <w:rPr>
                <w:color w:val="000000"/>
                <w:sz w:val="18"/>
                <w:szCs w:val="18"/>
                <w:lang w:eastAsia="tr-TR"/>
              </w:rPr>
              <w:t>17</w:t>
            </w:r>
          </w:p>
        </w:tc>
        <w:tc>
          <w:tcPr>
            <w:tcW w:w="5244" w:type="dxa"/>
            <w:tcBorders>
              <w:top w:val="nil"/>
              <w:left w:val="nil"/>
              <w:bottom w:val="single" w:sz="4" w:space="0" w:color="auto"/>
              <w:right w:val="single" w:sz="4" w:space="0" w:color="auto"/>
            </w:tcBorders>
            <w:noWrap/>
            <w:hideMark/>
          </w:tcPr>
          <w:p w14:paraId="20D9F228" w14:textId="77777777" w:rsidR="00434274" w:rsidRPr="00471CBA" w:rsidRDefault="00434274" w:rsidP="00434274">
            <w:pPr>
              <w:rPr>
                <w:color w:val="000000"/>
                <w:sz w:val="18"/>
                <w:szCs w:val="18"/>
                <w:lang w:eastAsia="tr-TR"/>
              </w:rPr>
            </w:pPr>
            <w:r w:rsidRPr="00471CBA">
              <w:rPr>
                <w:color w:val="000000"/>
                <w:sz w:val="18"/>
                <w:szCs w:val="18"/>
                <w:lang w:eastAsia="tr-TR"/>
              </w:rPr>
              <w:t>Serbest olmayan başlangıç teminatı</w:t>
            </w:r>
          </w:p>
        </w:tc>
        <w:tc>
          <w:tcPr>
            <w:tcW w:w="1134" w:type="dxa"/>
            <w:tcBorders>
              <w:top w:val="nil"/>
              <w:left w:val="nil"/>
              <w:bottom w:val="single" w:sz="4" w:space="0" w:color="auto"/>
              <w:right w:val="single" w:sz="4" w:space="0" w:color="auto"/>
            </w:tcBorders>
            <w:noWrap/>
            <w:vAlign w:val="bottom"/>
            <w:hideMark/>
          </w:tcPr>
          <w:p w14:paraId="642B9F87" w14:textId="5170CBF3" w:rsidR="00434274" w:rsidRPr="00471CBA" w:rsidRDefault="00434274" w:rsidP="00434274">
            <w:pPr>
              <w:jc w:val="right"/>
              <w:rPr>
                <w:color w:val="000000"/>
                <w:sz w:val="18"/>
                <w:szCs w:val="18"/>
                <w:lang w:eastAsia="tr-TR"/>
              </w:rPr>
            </w:pPr>
            <w:r w:rsidRPr="00471CBA">
              <w:rPr>
                <w:sz w:val="18"/>
                <w:szCs w:val="18"/>
              </w:rPr>
              <w:t>-</w:t>
            </w:r>
          </w:p>
        </w:tc>
        <w:tc>
          <w:tcPr>
            <w:tcW w:w="851" w:type="dxa"/>
            <w:tcBorders>
              <w:top w:val="nil"/>
              <w:left w:val="nil"/>
              <w:bottom w:val="single" w:sz="4" w:space="0" w:color="auto"/>
              <w:right w:val="single" w:sz="4" w:space="0" w:color="auto"/>
            </w:tcBorders>
            <w:shd w:val="clear" w:color="auto" w:fill="000000" w:themeFill="text1"/>
            <w:noWrap/>
            <w:vAlign w:val="bottom"/>
            <w:hideMark/>
          </w:tcPr>
          <w:p w14:paraId="7893E451" w14:textId="77777777" w:rsidR="00434274" w:rsidRPr="00471CBA" w:rsidRDefault="00434274" w:rsidP="00434274">
            <w:pPr>
              <w:jc w:val="right"/>
              <w:rPr>
                <w:color w:val="000000"/>
                <w:sz w:val="18"/>
                <w:szCs w:val="18"/>
                <w:lang w:eastAsia="tr-TR"/>
              </w:rPr>
            </w:pPr>
          </w:p>
        </w:tc>
        <w:tc>
          <w:tcPr>
            <w:tcW w:w="1134" w:type="dxa"/>
            <w:gridSpan w:val="2"/>
            <w:tcBorders>
              <w:top w:val="nil"/>
              <w:left w:val="nil"/>
              <w:bottom w:val="single" w:sz="4" w:space="0" w:color="auto"/>
              <w:right w:val="single" w:sz="4" w:space="0" w:color="auto"/>
            </w:tcBorders>
            <w:vAlign w:val="bottom"/>
          </w:tcPr>
          <w:p w14:paraId="5CAAF54E" w14:textId="2008A779" w:rsidR="00434274" w:rsidRPr="00471CBA" w:rsidRDefault="00434274" w:rsidP="00434274">
            <w:pPr>
              <w:jc w:val="right"/>
              <w:rPr>
                <w:color w:val="000000"/>
                <w:sz w:val="18"/>
                <w:szCs w:val="18"/>
                <w:lang w:eastAsia="tr-TR"/>
              </w:rPr>
            </w:pPr>
            <w:r w:rsidRPr="00471CBA">
              <w:rPr>
                <w:color w:val="000000"/>
                <w:sz w:val="18"/>
                <w:szCs w:val="18"/>
                <w:lang w:eastAsia="tr-TR"/>
              </w:rPr>
              <w:t>-</w:t>
            </w:r>
          </w:p>
        </w:tc>
        <w:tc>
          <w:tcPr>
            <w:tcW w:w="850" w:type="dxa"/>
            <w:tcBorders>
              <w:top w:val="nil"/>
              <w:left w:val="single" w:sz="4" w:space="0" w:color="auto"/>
              <w:bottom w:val="single" w:sz="4" w:space="0" w:color="auto"/>
              <w:right w:val="single" w:sz="4" w:space="0" w:color="auto"/>
            </w:tcBorders>
            <w:shd w:val="clear" w:color="auto" w:fill="000000" w:themeFill="text1"/>
            <w:vAlign w:val="bottom"/>
          </w:tcPr>
          <w:p w14:paraId="2591912C" w14:textId="070D88C1" w:rsidR="00434274" w:rsidRPr="00471CBA" w:rsidRDefault="00434274" w:rsidP="00434274">
            <w:pPr>
              <w:jc w:val="right"/>
              <w:rPr>
                <w:color w:val="000000"/>
                <w:sz w:val="18"/>
                <w:szCs w:val="18"/>
                <w:lang w:eastAsia="tr-TR"/>
              </w:rPr>
            </w:pPr>
            <w:r w:rsidRPr="00471CBA">
              <w:rPr>
                <w:color w:val="000000"/>
                <w:sz w:val="18"/>
                <w:szCs w:val="18"/>
                <w:lang w:eastAsia="tr-TR"/>
              </w:rPr>
              <w:t> </w:t>
            </w:r>
          </w:p>
        </w:tc>
      </w:tr>
      <w:tr w:rsidR="00434274" w:rsidRPr="00471CBA" w14:paraId="4EAE138D" w14:textId="77777777" w:rsidTr="00434274">
        <w:trPr>
          <w:trHeight w:val="113"/>
        </w:trPr>
        <w:tc>
          <w:tcPr>
            <w:tcW w:w="421" w:type="dxa"/>
            <w:tcBorders>
              <w:top w:val="nil"/>
              <w:left w:val="single" w:sz="4" w:space="0" w:color="auto"/>
              <w:bottom w:val="single" w:sz="4" w:space="0" w:color="auto"/>
              <w:right w:val="single" w:sz="4" w:space="0" w:color="auto"/>
            </w:tcBorders>
            <w:noWrap/>
            <w:hideMark/>
          </w:tcPr>
          <w:p w14:paraId="766F2375" w14:textId="77777777" w:rsidR="00434274" w:rsidRPr="00471CBA" w:rsidRDefault="00434274" w:rsidP="00434274">
            <w:pPr>
              <w:rPr>
                <w:color w:val="000000"/>
                <w:sz w:val="18"/>
                <w:szCs w:val="18"/>
                <w:lang w:eastAsia="tr-TR"/>
              </w:rPr>
            </w:pPr>
            <w:r w:rsidRPr="00471CBA">
              <w:rPr>
                <w:color w:val="000000"/>
                <w:sz w:val="18"/>
                <w:szCs w:val="18"/>
                <w:lang w:eastAsia="tr-TR"/>
              </w:rPr>
              <w:t>18</w:t>
            </w:r>
          </w:p>
        </w:tc>
        <w:tc>
          <w:tcPr>
            <w:tcW w:w="5244" w:type="dxa"/>
            <w:tcBorders>
              <w:top w:val="nil"/>
              <w:left w:val="nil"/>
              <w:bottom w:val="single" w:sz="4" w:space="0" w:color="auto"/>
              <w:right w:val="single" w:sz="4" w:space="0" w:color="auto"/>
            </w:tcBorders>
            <w:noWrap/>
            <w:hideMark/>
          </w:tcPr>
          <w:p w14:paraId="20B02BB4" w14:textId="77777777" w:rsidR="00434274" w:rsidRPr="00471CBA" w:rsidRDefault="00434274" w:rsidP="00434274">
            <w:pPr>
              <w:rPr>
                <w:color w:val="000000"/>
                <w:sz w:val="18"/>
                <w:szCs w:val="18"/>
                <w:lang w:eastAsia="tr-TR"/>
              </w:rPr>
            </w:pPr>
            <w:r w:rsidRPr="00471CBA">
              <w:rPr>
                <w:color w:val="000000"/>
                <w:sz w:val="18"/>
                <w:szCs w:val="18"/>
                <w:lang w:eastAsia="tr-TR"/>
              </w:rPr>
              <w:t>Serbest başlangıç teminatı</w:t>
            </w:r>
          </w:p>
        </w:tc>
        <w:tc>
          <w:tcPr>
            <w:tcW w:w="1134" w:type="dxa"/>
            <w:tcBorders>
              <w:top w:val="nil"/>
              <w:left w:val="nil"/>
              <w:bottom w:val="single" w:sz="4" w:space="0" w:color="auto"/>
              <w:right w:val="single" w:sz="4" w:space="0" w:color="auto"/>
            </w:tcBorders>
            <w:noWrap/>
            <w:vAlign w:val="bottom"/>
            <w:hideMark/>
          </w:tcPr>
          <w:p w14:paraId="218956F5" w14:textId="7866689A" w:rsidR="00434274" w:rsidRPr="00471CBA" w:rsidRDefault="00434274" w:rsidP="00434274">
            <w:pPr>
              <w:jc w:val="right"/>
              <w:rPr>
                <w:color w:val="000000"/>
                <w:sz w:val="18"/>
                <w:szCs w:val="18"/>
                <w:lang w:eastAsia="tr-TR"/>
              </w:rPr>
            </w:pPr>
            <w:r w:rsidRPr="00471CBA">
              <w:rPr>
                <w:sz w:val="18"/>
                <w:szCs w:val="18"/>
              </w:rPr>
              <w:t>-</w:t>
            </w:r>
          </w:p>
        </w:tc>
        <w:tc>
          <w:tcPr>
            <w:tcW w:w="851" w:type="dxa"/>
            <w:tcBorders>
              <w:top w:val="nil"/>
              <w:left w:val="nil"/>
              <w:bottom w:val="single" w:sz="4" w:space="0" w:color="auto"/>
              <w:right w:val="single" w:sz="4" w:space="0" w:color="auto"/>
            </w:tcBorders>
            <w:noWrap/>
            <w:vAlign w:val="bottom"/>
            <w:hideMark/>
          </w:tcPr>
          <w:p w14:paraId="2CD9C22E" w14:textId="0C7AF962" w:rsidR="00434274" w:rsidRPr="00471CBA" w:rsidRDefault="00434274" w:rsidP="00434274">
            <w:pPr>
              <w:jc w:val="right"/>
              <w:rPr>
                <w:color w:val="000000"/>
                <w:sz w:val="18"/>
                <w:szCs w:val="18"/>
                <w:lang w:eastAsia="tr-TR"/>
              </w:rPr>
            </w:pPr>
            <w:r w:rsidRPr="00471CBA">
              <w:rPr>
                <w:sz w:val="18"/>
                <w:szCs w:val="18"/>
              </w:rPr>
              <w:t>-</w:t>
            </w:r>
          </w:p>
        </w:tc>
        <w:tc>
          <w:tcPr>
            <w:tcW w:w="1134" w:type="dxa"/>
            <w:gridSpan w:val="2"/>
            <w:tcBorders>
              <w:top w:val="nil"/>
              <w:left w:val="nil"/>
              <w:bottom w:val="single" w:sz="4" w:space="0" w:color="auto"/>
              <w:right w:val="single" w:sz="4" w:space="0" w:color="auto"/>
            </w:tcBorders>
            <w:vAlign w:val="bottom"/>
          </w:tcPr>
          <w:p w14:paraId="38FB3BFF" w14:textId="259940E4" w:rsidR="00434274" w:rsidRPr="00471CBA" w:rsidRDefault="00434274" w:rsidP="00434274">
            <w:pPr>
              <w:jc w:val="right"/>
              <w:rPr>
                <w:color w:val="000000"/>
                <w:sz w:val="18"/>
                <w:szCs w:val="18"/>
                <w:lang w:eastAsia="tr-TR"/>
              </w:rPr>
            </w:pPr>
            <w:r w:rsidRPr="00471CBA">
              <w:rPr>
                <w:color w:val="000000"/>
                <w:sz w:val="18"/>
                <w:szCs w:val="18"/>
                <w:lang w:eastAsia="tr-TR"/>
              </w:rPr>
              <w:t>-</w:t>
            </w:r>
          </w:p>
        </w:tc>
        <w:tc>
          <w:tcPr>
            <w:tcW w:w="850" w:type="dxa"/>
            <w:tcBorders>
              <w:top w:val="nil"/>
              <w:left w:val="single" w:sz="4" w:space="0" w:color="auto"/>
              <w:bottom w:val="single" w:sz="4" w:space="0" w:color="auto"/>
              <w:right w:val="single" w:sz="4" w:space="0" w:color="auto"/>
            </w:tcBorders>
            <w:vAlign w:val="bottom"/>
          </w:tcPr>
          <w:p w14:paraId="193984F3" w14:textId="5E243447" w:rsidR="00434274" w:rsidRPr="00471CBA" w:rsidRDefault="00434274" w:rsidP="00434274">
            <w:pPr>
              <w:jc w:val="right"/>
              <w:rPr>
                <w:color w:val="000000"/>
                <w:sz w:val="18"/>
                <w:szCs w:val="18"/>
                <w:lang w:eastAsia="tr-TR"/>
              </w:rPr>
            </w:pPr>
            <w:r w:rsidRPr="00471CBA">
              <w:rPr>
                <w:color w:val="000000"/>
                <w:sz w:val="18"/>
                <w:szCs w:val="18"/>
                <w:lang w:eastAsia="tr-TR"/>
              </w:rPr>
              <w:t>-</w:t>
            </w:r>
          </w:p>
        </w:tc>
      </w:tr>
      <w:tr w:rsidR="00434274" w:rsidRPr="00471CBA" w14:paraId="58AA6764" w14:textId="77777777" w:rsidTr="00434274">
        <w:trPr>
          <w:trHeight w:val="113"/>
        </w:trPr>
        <w:tc>
          <w:tcPr>
            <w:tcW w:w="421" w:type="dxa"/>
            <w:tcBorders>
              <w:top w:val="nil"/>
              <w:left w:val="single" w:sz="4" w:space="0" w:color="auto"/>
              <w:bottom w:val="single" w:sz="4" w:space="0" w:color="auto"/>
              <w:right w:val="single" w:sz="4" w:space="0" w:color="auto"/>
            </w:tcBorders>
            <w:noWrap/>
            <w:hideMark/>
          </w:tcPr>
          <w:p w14:paraId="0730E7AF" w14:textId="77777777" w:rsidR="00434274" w:rsidRPr="00471CBA" w:rsidRDefault="00434274" w:rsidP="00434274">
            <w:pPr>
              <w:rPr>
                <w:color w:val="000000"/>
                <w:sz w:val="18"/>
                <w:szCs w:val="18"/>
                <w:lang w:eastAsia="tr-TR"/>
              </w:rPr>
            </w:pPr>
            <w:r w:rsidRPr="00471CBA">
              <w:rPr>
                <w:color w:val="000000"/>
                <w:sz w:val="18"/>
                <w:szCs w:val="18"/>
                <w:lang w:eastAsia="tr-TR"/>
              </w:rPr>
              <w:t>19</w:t>
            </w:r>
          </w:p>
        </w:tc>
        <w:tc>
          <w:tcPr>
            <w:tcW w:w="5244" w:type="dxa"/>
            <w:tcBorders>
              <w:top w:val="nil"/>
              <w:left w:val="nil"/>
              <w:bottom w:val="single" w:sz="4" w:space="0" w:color="auto"/>
              <w:right w:val="single" w:sz="4" w:space="0" w:color="auto"/>
            </w:tcBorders>
            <w:noWrap/>
            <w:hideMark/>
          </w:tcPr>
          <w:p w14:paraId="7A34E7C8" w14:textId="77777777" w:rsidR="00434274" w:rsidRPr="00471CBA" w:rsidRDefault="00434274" w:rsidP="00434274">
            <w:pPr>
              <w:rPr>
                <w:color w:val="000000"/>
                <w:sz w:val="18"/>
                <w:szCs w:val="18"/>
                <w:lang w:eastAsia="tr-TR"/>
              </w:rPr>
            </w:pPr>
            <w:r w:rsidRPr="00471CBA">
              <w:rPr>
                <w:color w:val="000000"/>
                <w:sz w:val="18"/>
                <w:szCs w:val="18"/>
                <w:lang w:eastAsia="tr-TR"/>
              </w:rPr>
              <w:t>Garanti fonuna konulan tutar</w:t>
            </w:r>
          </w:p>
        </w:tc>
        <w:tc>
          <w:tcPr>
            <w:tcW w:w="1134" w:type="dxa"/>
            <w:tcBorders>
              <w:top w:val="nil"/>
              <w:left w:val="nil"/>
              <w:bottom w:val="single" w:sz="4" w:space="0" w:color="auto"/>
              <w:right w:val="single" w:sz="4" w:space="0" w:color="auto"/>
            </w:tcBorders>
            <w:noWrap/>
            <w:vAlign w:val="bottom"/>
            <w:hideMark/>
          </w:tcPr>
          <w:p w14:paraId="5AACE13C" w14:textId="6402D2D2" w:rsidR="00434274" w:rsidRPr="00471CBA" w:rsidRDefault="00434274" w:rsidP="00434274">
            <w:pPr>
              <w:jc w:val="right"/>
              <w:rPr>
                <w:color w:val="000000"/>
                <w:sz w:val="18"/>
                <w:szCs w:val="18"/>
                <w:lang w:eastAsia="tr-TR"/>
              </w:rPr>
            </w:pPr>
            <w:r w:rsidRPr="00471CBA">
              <w:rPr>
                <w:sz w:val="18"/>
                <w:szCs w:val="18"/>
              </w:rPr>
              <w:t>-</w:t>
            </w:r>
          </w:p>
        </w:tc>
        <w:tc>
          <w:tcPr>
            <w:tcW w:w="851" w:type="dxa"/>
            <w:tcBorders>
              <w:top w:val="nil"/>
              <w:left w:val="nil"/>
              <w:bottom w:val="single" w:sz="4" w:space="0" w:color="auto"/>
              <w:right w:val="single" w:sz="4" w:space="0" w:color="auto"/>
            </w:tcBorders>
            <w:noWrap/>
            <w:vAlign w:val="bottom"/>
            <w:hideMark/>
          </w:tcPr>
          <w:p w14:paraId="3549A51F" w14:textId="5B27A6AA" w:rsidR="00434274" w:rsidRPr="00471CBA" w:rsidRDefault="00434274" w:rsidP="00434274">
            <w:pPr>
              <w:jc w:val="right"/>
              <w:rPr>
                <w:color w:val="000000"/>
                <w:sz w:val="18"/>
                <w:szCs w:val="18"/>
                <w:lang w:eastAsia="tr-TR"/>
              </w:rPr>
            </w:pPr>
            <w:r w:rsidRPr="00471CBA">
              <w:rPr>
                <w:sz w:val="18"/>
                <w:szCs w:val="18"/>
              </w:rPr>
              <w:t>-</w:t>
            </w:r>
          </w:p>
        </w:tc>
        <w:tc>
          <w:tcPr>
            <w:tcW w:w="1134" w:type="dxa"/>
            <w:gridSpan w:val="2"/>
            <w:tcBorders>
              <w:top w:val="nil"/>
              <w:left w:val="nil"/>
              <w:bottom w:val="single" w:sz="4" w:space="0" w:color="auto"/>
              <w:right w:val="single" w:sz="4" w:space="0" w:color="auto"/>
            </w:tcBorders>
            <w:vAlign w:val="bottom"/>
          </w:tcPr>
          <w:p w14:paraId="6550666F" w14:textId="6029143A" w:rsidR="00434274" w:rsidRPr="00471CBA" w:rsidRDefault="00434274" w:rsidP="00434274">
            <w:pPr>
              <w:jc w:val="right"/>
              <w:rPr>
                <w:color w:val="000000"/>
                <w:sz w:val="18"/>
                <w:szCs w:val="18"/>
                <w:lang w:eastAsia="tr-TR"/>
              </w:rPr>
            </w:pPr>
            <w:r w:rsidRPr="00471CBA">
              <w:rPr>
                <w:color w:val="000000"/>
                <w:sz w:val="18"/>
                <w:szCs w:val="18"/>
                <w:lang w:eastAsia="tr-TR"/>
              </w:rPr>
              <w:t>-</w:t>
            </w:r>
          </w:p>
        </w:tc>
        <w:tc>
          <w:tcPr>
            <w:tcW w:w="850" w:type="dxa"/>
            <w:tcBorders>
              <w:top w:val="nil"/>
              <w:left w:val="single" w:sz="4" w:space="0" w:color="auto"/>
              <w:bottom w:val="single" w:sz="4" w:space="0" w:color="auto"/>
              <w:right w:val="single" w:sz="4" w:space="0" w:color="auto"/>
            </w:tcBorders>
            <w:vAlign w:val="bottom"/>
          </w:tcPr>
          <w:p w14:paraId="587697CD" w14:textId="69C4D5CA" w:rsidR="00434274" w:rsidRPr="00471CBA" w:rsidRDefault="00434274" w:rsidP="00434274">
            <w:pPr>
              <w:jc w:val="right"/>
              <w:rPr>
                <w:color w:val="000000"/>
                <w:sz w:val="18"/>
                <w:szCs w:val="18"/>
                <w:lang w:eastAsia="tr-TR"/>
              </w:rPr>
            </w:pPr>
            <w:r w:rsidRPr="00471CBA">
              <w:rPr>
                <w:color w:val="000000"/>
                <w:sz w:val="18"/>
                <w:szCs w:val="18"/>
                <w:lang w:eastAsia="tr-TR"/>
              </w:rPr>
              <w:t>-</w:t>
            </w:r>
          </w:p>
        </w:tc>
      </w:tr>
      <w:tr w:rsidR="00434274" w:rsidRPr="00471CBA" w14:paraId="05D0780C" w14:textId="77777777" w:rsidTr="00434274">
        <w:trPr>
          <w:trHeight w:val="113"/>
        </w:trPr>
        <w:tc>
          <w:tcPr>
            <w:tcW w:w="421" w:type="dxa"/>
            <w:tcBorders>
              <w:top w:val="nil"/>
              <w:left w:val="single" w:sz="4" w:space="0" w:color="auto"/>
              <w:bottom w:val="single" w:sz="4" w:space="0" w:color="auto"/>
              <w:right w:val="single" w:sz="4" w:space="0" w:color="auto"/>
            </w:tcBorders>
            <w:noWrap/>
            <w:hideMark/>
          </w:tcPr>
          <w:p w14:paraId="1C4D51F4" w14:textId="77777777" w:rsidR="00434274" w:rsidRPr="00471CBA" w:rsidRDefault="00434274" w:rsidP="00434274">
            <w:pPr>
              <w:rPr>
                <w:color w:val="000000"/>
                <w:sz w:val="18"/>
                <w:szCs w:val="18"/>
                <w:lang w:eastAsia="tr-TR"/>
              </w:rPr>
            </w:pPr>
            <w:r w:rsidRPr="00471CBA">
              <w:rPr>
                <w:color w:val="000000"/>
                <w:sz w:val="18"/>
                <w:szCs w:val="18"/>
                <w:lang w:eastAsia="tr-TR"/>
              </w:rPr>
              <w:t>20</w:t>
            </w:r>
          </w:p>
        </w:tc>
        <w:tc>
          <w:tcPr>
            <w:tcW w:w="5244" w:type="dxa"/>
            <w:tcBorders>
              <w:top w:val="nil"/>
              <w:left w:val="nil"/>
              <w:bottom w:val="single" w:sz="4" w:space="0" w:color="auto"/>
              <w:right w:val="single" w:sz="4" w:space="0" w:color="auto"/>
            </w:tcBorders>
            <w:noWrap/>
            <w:hideMark/>
          </w:tcPr>
          <w:p w14:paraId="5D4DC353" w14:textId="77777777" w:rsidR="00434274" w:rsidRPr="00471CBA" w:rsidRDefault="00434274" w:rsidP="00434274">
            <w:pPr>
              <w:rPr>
                <w:color w:val="000000"/>
                <w:sz w:val="18"/>
                <w:szCs w:val="18"/>
                <w:lang w:eastAsia="tr-TR"/>
              </w:rPr>
            </w:pPr>
            <w:r w:rsidRPr="00471CBA">
              <w:rPr>
                <w:color w:val="000000"/>
                <w:sz w:val="18"/>
                <w:szCs w:val="18"/>
                <w:lang w:eastAsia="tr-TR"/>
              </w:rPr>
              <w:t>Garanti fonuna konulması taahhüt edilen tutar</w:t>
            </w:r>
          </w:p>
        </w:tc>
        <w:tc>
          <w:tcPr>
            <w:tcW w:w="1134" w:type="dxa"/>
            <w:tcBorders>
              <w:top w:val="nil"/>
              <w:left w:val="nil"/>
              <w:bottom w:val="single" w:sz="4" w:space="0" w:color="auto"/>
              <w:right w:val="single" w:sz="4" w:space="0" w:color="auto"/>
            </w:tcBorders>
            <w:noWrap/>
            <w:vAlign w:val="bottom"/>
            <w:hideMark/>
          </w:tcPr>
          <w:p w14:paraId="0B4B1E26" w14:textId="59B26085" w:rsidR="00434274" w:rsidRPr="00471CBA" w:rsidRDefault="00434274" w:rsidP="00434274">
            <w:pPr>
              <w:jc w:val="right"/>
              <w:rPr>
                <w:color w:val="000000"/>
                <w:sz w:val="18"/>
                <w:szCs w:val="18"/>
                <w:lang w:eastAsia="tr-TR"/>
              </w:rPr>
            </w:pPr>
            <w:r w:rsidRPr="00471CBA">
              <w:rPr>
                <w:sz w:val="18"/>
                <w:szCs w:val="18"/>
              </w:rPr>
              <w:t>-</w:t>
            </w:r>
          </w:p>
        </w:tc>
        <w:tc>
          <w:tcPr>
            <w:tcW w:w="851" w:type="dxa"/>
            <w:tcBorders>
              <w:top w:val="nil"/>
              <w:left w:val="nil"/>
              <w:bottom w:val="single" w:sz="4" w:space="0" w:color="auto"/>
              <w:right w:val="single" w:sz="4" w:space="0" w:color="auto"/>
            </w:tcBorders>
            <w:noWrap/>
            <w:vAlign w:val="bottom"/>
            <w:hideMark/>
          </w:tcPr>
          <w:p w14:paraId="5BD046DC" w14:textId="14A994E6" w:rsidR="00434274" w:rsidRPr="00471CBA" w:rsidRDefault="00434274" w:rsidP="00434274">
            <w:pPr>
              <w:jc w:val="right"/>
              <w:rPr>
                <w:color w:val="000000"/>
                <w:sz w:val="18"/>
                <w:szCs w:val="18"/>
                <w:lang w:eastAsia="tr-TR"/>
              </w:rPr>
            </w:pPr>
            <w:r w:rsidRPr="00471CBA">
              <w:rPr>
                <w:sz w:val="18"/>
                <w:szCs w:val="18"/>
              </w:rPr>
              <w:t>-</w:t>
            </w:r>
          </w:p>
        </w:tc>
        <w:tc>
          <w:tcPr>
            <w:tcW w:w="1134" w:type="dxa"/>
            <w:gridSpan w:val="2"/>
            <w:tcBorders>
              <w:top w:val="nil"/>
              <w:left w:val="nil"/>
              <w:bottom w:val="single" w:sz="4" w:space="0" w:color="auto"/>
              <w:right w:val="single" w:sz="4" w:space="0" w:color="auto"/>
            </w:tcBorders>
            <w:vAlign w:val="bottom"/>
          </w:tcPr>
          <w:p w14:paraId="603B4275" w14:textId="2C41ED0C" w:rsidR="00434274" w:rsidRPr="00471CBA" w:rsidRDefault="00434274" w:rsidP="00434274">
            <w:pPr>
              <w:jc w:val="right"/>
              <w:rPr>
                <w:color w:val="000000"/>
                <w:sz w:val="18"/>
                <w:szCs w:val="18"/>
                <w:lang w:eastAsia="tr-TR"/>
              </w:rPr>
            </w:pPr>
            <w:r w:rsidRPr="00471CBA">
              <w:rPr>
                <w:color w:val="000000"/>
                <w:sz w:val="18"/>
                <w:szCs w:val="18"/>
                <w:lang w:eastAsia="tr-TR"/>
              </w:rPr>
              <w:t>-</w:t>
            </w:r>
          </w:p>
        </w:tc>
        <w:tc>
          <w:tcPr>
            <w:tcW w:w="850" w:type="dxa"/>
            <w:tcBorders>
              <w:top w:val="nil"/>
              <w:left w:val="single" w:sz="4" w:space="0" w:color="auto"/>
              <w:bottom w:val="single" w:sz="4" w:space="0" w:color="auto"/>
              <w:right w:val="single" w:sz="4" w:space="0" w:color="auto"/>
            </w:tcBorders>
            <w:vAlign w:val="bottom"/>
          </w:tcPr>
          <w:p w14:paraId="5C7168DB" w14:textId="58E3EEED" w:rsidR="00434274" w:rsidRPr="00471CBA" w:rsidRDefault="00434274" w:rsidP="00434274">
            <w:pPr>
              <w:jc w:val="right"/>
              <w:rPr>
                <w:color w:val="000000"/>
                <w:sz w:val="18"/>
                <w:szCs w:val="18"/>
                <w:lang w:eastAsia="tr-TR"/>
              </w:rPr>
            </w:pPr>
            <w:r w:rsidRPr="00471CBA">
              <w:rPr>
                <w:color w:val="000000"/>
                <w:sz w:val="18"/>
                <w:szCs w:val="18"/>
                <w:lang w:eastAsia="tr-TR"/>
              </w:rPr>
              <w:t>-</w:t>
            </w:r>
          </w:p>
        </w:tc>
      </w:tr>
      <w:bookmarkEnd w:id="74"/>
    </w:tbl>
    <w:p w14:paraId="299A19B6" w14:textId="77777777" w:rsidR="00EE0925" w:rsidRPr="00471CBA" w:rsidRDefault="00EE0925" w:rsidP="00EE0925">
      <w:pPr>
        <w:spacing w:before="120"/>
        <w:rPr>
          <w:b/>
          <w:bCs/>
        </w:rPr>
      </w:pPr>
    </w:p>
    <w:p w14:paraId="17D91B2F" w14:textId="77777777" w:rsidR="00EE0925" w:rsidRPr="00471CBA" w:rsidRDefault="00EE0925" w:rsidP="00EE0925">
      <w:pPr>
        <w:rPr>
          <w:b/>
          <w:bCs/>
        </w:rPr>
      </w:pPr>
      <w:r w:rsidRPr="00471CBA">
        <w:rPr>
          <w:b/>
          <w:bCs/>
        </w:rPr>
        <w:br w:type="page"/>
      </w:r>
    </w:p>
    <w:p w14:paraId="7EF49929" w14:textId="77777777" w:rsidR="00EE0925" w:rsidRPr="00471CBA" w:rsidRDefault="00EE0925" w:rsidP="00EE0925">
      <w:pPr>
        <w:rPr>
          <w:b/>
          <w:szCs w:val="20"/>
        </w:rPr>
      </w:pPr>
      <w:r w:rsidRPr="00471CBA">
        <w:rPr>
          <w:b/>
          <w:szCs w:val="20"/>
        </w:rPr>
        <w:t>MALİ BÜNYEYE VE RİSK YÖNETİMİNE İLİŞKİN BİLGİLER (Devamı)</w:t>
      </w:r>
    </w:p>
    <w:p w14:paraId="08A4B7DA" w14:textId="77777777" w:rsidR="00EE0925" w:rsidRPr="00471CBA" w:rsidRDefault="00EE0925" w:rsidP="00EE0925">
      <w:pPr>
        <w:widowControl w:val="0"/>
        <w:autoSpaceDE w:val="0"/>
        <w:autoSpaceDN w:val="0"/>
        <w:adjustRightInd w:val="0"/>
        <w:ind w:left="851" w:hanging="851"/>
        <w:jc w:val="both"/>
        <w:rPr>
          <w:sz w:val="14"/>
          <w:szCs w:val="14"/>
        </w:rPr>
      </w:pPr>
    </w:p>
    <w:p w14:paraId="322DE6B6" w14:textId="77777777" w:rsidR="00EE0925" w:rsidRPr="00471CBA" w:rsidRDefault="00EE0925" w:rsidP="00EE0925">
      <w:pPr>
        <w:widowControl w:val="0"/>
        <w:ind w:left="567" w:hanging="567"/>
        <w:jc w:val="both"/>
        <w:outlineLvl w:val="1"/>
        <w:rPr>
          <w:b/>
          <w:szCs w:val="20"/>
        </w:rPr>
      </w:pPr>
      <w:r w:rsidRPr="00471CBA">
        <w:rPr>
          <w:b/>
          <w:szCs w:val="20"/>
        </w:rPr>
        <w:t>IX.</w:t>
      </w:r>
      <w:r w:rsidRPr="00471CBA">
        <w:rPr>
          <w:b/>
          <w:szCs w:val="20"/>
        </w:rPr>
        <w:tab/>
        <w:t>RİSK YÖNETİMİNE İLİŞKİN AÇIKLAMALAR (Devamı)</w:t>
      </w:r>
    </w:p>
    <w:p w14:paraId="25F896A8" w14:textId="77777777" w:rsidR="00EE0925" w:rsidRPr="00471CBA" w:rsidRDefault="00EE0925" w:rsidP="00EE0925">
      <w:pPr>
        <w:widowControl w:val="0"/>
        <w:ind w:left="567" w:hanging="567"/>
        <w:jc w:val="both"/>
        <w:outlineLvl w:val="1"/>
        <w:rPr>
          <w:b/>
          <w:szCs w:val="20"/>
        </w:rPr>
      </w:pPr>
    </w:p>
    <w:p w14:paraId="4CB869E5" w14:textId="77777777" w:rsidR="00EE0925" w:rsidRPr="00471CBA" w:rsidRDefault="00EE0925" w:rsidP="00434274">
      <w:pPr>
        <w:spacing w:after="120"/>
        <w:ind w:left="567" w:hanging="567"/>
        <w:rPr>
          <w:b/>
          <w:bCs/>
        </w:rPr>
      </w:pPr>
      <w:r w:rsidRPr="00471CBA">
        <w:rPr>
          <w:b/>
          <w:bCs/>
        </w:rPr>
        <w:t>e.</w:t>
      </w:r>
      <w:r w:rsidRPr="00471CBA">
        <w:rPr>
          <w:b/>
          <w:bCs/>
        </w:rPr>
        <w:tab/>
        <w:t>Menkul Kıymetleştirmeye İlişkin Olarak Kamuya Açıklanacak Hususlar</w:t>
      </w:r>
    </w:p>
    <w:p w14:paraId="37299A53" w14:textId="77777777" w:rsidR="00EE0925" w:rsidRPr="00471CBA" w:rsidRDefault="00EE0925" w:rsidP="00434274">
      <w:pPr>
        <w:spacing w:after="120"/>
        <w:ind w:left="567"/>
        <w:rPr>
          <w:bCs/>
          <w:szCs w:val="20"/>
        </w:rPr>
      </w:pPr>
      <w:r w:rsidRPr="00471CBA">
        <w:rPr>
          <w:bCs/>
          <w:szCs w:val="20"/>
        </w:rPr>
        <w:t>Bulunmamaktadır (31 Aralık 2024: Bulunmamaktadır).</w:t>
      </w:r>
    </w:p>
    <w:p w14:paraId="077DDB5B" w14:textId="0545F2C2" w:rsidR="007322D9" w:rsidRPr="00471CBA" w:rsidRDefault="007322D9" w:rsidP="007322D9">
      <w:pPr>
        <w:autoSpaceDE w:val="0"/>
        <w:autoSpaceDN w:val="0"/>
        <w:adjustRightInd w:val="0"/>
        <w:spacing w:before="80" w:after="120"/>
        <w:jc w:val="both"/>
        <w:rPr>
          <w:b/>
          <w:szCs w:val="20"/>
        </w:rPr>
      </w:pPr>
      <w:r w:rsidRPr="00471CBA">
        <w:rPr>
          <w:b/>
          <w:szCs w:val="20"/>
        </w:rPr>
        <w:t>f.</w:t>
      </w:r>
      <w:r w:rsidRPr="00471CBA">
        <w:rPr>
          <w:b/>
          <w:szCs w:val="20"/>
        </w:rPr>
        <w:tab/>
        <w:t>Piyasa Riskine İlişkin Olarak Kamuya Açıklanacak Hususlar</w:t>
      </w:r>
    </w:p>
    <w:p w14:paraId="0254E324" w14:textId="77777777" w:rsidR="007322D9" w:rsidRPr="00471CBA" w:rsidRDefault="007322D9" w:rsidP="007322D9">
      <w:pPr>
        <w:jc w:val="both"/>
        <w:rPr>
          <w:b/>
          <w:szCs w:val="20"/>
        </w:rPr>
      </w:pPr>
      <w:r w:rsidRPr="00471CBA">
        <w:t>Bankada, maruz kalınan piyasa risklerinin tanımlandığı, ölçüm, izleme ve kontrol süreçlerinin detaylandırıldığı politika, süreç ve prosedürlerden oluşan iç mevzuatlar bulunur. Yasal veya banka içi değişiklikler göz önünde bulundurularak politika, prosedür ve süreçler en az yılda bir kez veya gerekli olması halinde daha sık olarak güncellenir. Piyasa riskine ilişkin çalışmalar Risk Yönetim Başkanlığı’nın altında bulunan Risk Politikaları ve Raporlamaları Müdürlüğü tarafından yapılmaktadır. İlgili çalışmalar yasal piyasa riski hesaplamaları, banka tarafından belirlenmiş limitlere uyumun takibi ve stres testi hesaplamalarını kapsamaktadır. Piyasa riski yönetimi kapsamında Aktif Pasif Yönetimi Müdürlüğü ile yakından çalışılmaktadır. Piyasa riski kapsamında ele alınabilecek banka içi politika, prosedür ve süreç dokümanlarının oluşturulması ve güncellenmesi aşamasında ilgili müdürlüklerden görüş ve öneriler alınmaktadır. Ayrıca piyasa riski kapsamında izlenen limitlere ilişkin uyumsuzluk olması durumunda ilgili birimlerden aşımların sebebi ve alınan/alınacak aksiyonlar hakkında bilgi alınmaktadır. Bankada piyasa riskine esas tutar “Bankaların Sermaye Yeterliliğinin Ölçülmesine ve Değerlendirilmesine İlişkin Yönetmelik” kapsamında standart metot kullanılarak hesaplanır. Standart metoda göre hesaplanan faiz (kâr payı) oranı riski, kur riski (altın dahil), emtia riski, takas riski, hisse senedi riski için gerekli sermaye yükümlülükleri toplamının on iki buçuk ile çarpılması suretiyle bulunur.</w:t>
      </w:r>
    </w:p>
    <w:p w14:paraId="2E88B862" w14:textId="77777777" w:rsidR="00EE0925" w:rsidRPr="00471CBA" w:rsidRDefault="00EE0925" w:rsidP="00EE0925">
      <w:pPr>
        <w:ind w:left="851"/>
        <w:rPr>
          <w:sz w:val="18"/>
          <w:szCs w:val="22"/>
        </w:rPr>
      </w:pPr>
    </w:p>
    <w:p w14:paraId="4E165574" w14:textId="77777777" w:rsidR="00EE0925" w:rsidRPr="00471CBA" w:rsidRDefault="00EE0925" w:rsidP="00EE0925">
      <w:pPr>
        <w:spacing w:after="120"/>
        <w:rPr>
          <w:b/>
          <w:szCs w:val="20"/>
        </w:rPr>
      </w:pPr>
      <w:r w:rsidRPr="00471CBA">
        <w:rPr>
          <w:b/>
          <w:szCs w:val="20"/>
        </w:rPr>
        <w:t>Standart Yaklaşım:</w:t>
      </w:r>
    </w:p>
    <w:tbl>
      <w:tblPr>
        <w:tblW w:w="5000" w:type="pct"/>
        <w:tblCellMar>
          <w:left w:w="70" w:type="dxa"/>
          <w:right w:w="70" w:type="dxa"/>
        </w:tblCellMar>
        <w:tblLook w:val="04A0" w:firstRow="1" w:lastRow="0" w:firstColumn="1" w:lastColumn="0" w:noHBand="0" w:noVBand="1"/>
      </w:tblPr>
      <w:tblGrid>
        <w:gridCol w:w="240"/>
        <w:gridCol w:w="6047"/>
        <w:gridCol w:w="1817"/>
        <w:gridCol w:w="1535"/>
      </w:tblGrid>
      <w:tr w:rsidR="00EE0925" w:rsidRPr="00471CBA" w14:paraId="43875596" w14:textId="77777777" w:rsidTr="00B0049C">
        <w:trPr>
          <w:cantSplit/>
        </w:trPr>
        <w:tc>
          <w:tcPr>
            <w:tcW w:w="124" w:type="pct"/>
            <w:noWrap/>
            <w:vAlign w:val="bottom"/>
          </w:tcPr>
          <w:p w14:paraId="49D9126A" w14:textId="77777777" w:rsidR="00EE0925" w:rsidRPr="00471CBA" w:rsidRDefault="00EE0925" w:rsidP="00B0049C">
            <w:pPr>
              <w:rPr>
                <w:b/>
                <w:szCs w:val="20"/>
              </w:rPr>
            </w:pPr>
            <w:bookmarkStart w:id="75" w:name="_Hlk95925302"/>
          </w:p>
        </w:tc>
        <w:tc>
          <w:tcPr>
            <w:tcW w:w="3137" w:type="pct"/>
            <w:noWrap/>
            <w:vAlign w:val="center"/>
          </w:tcPr>
          <w:p w14:paraId="27A44D18" w14:textId="77777777" w:rsidR="00EE0925" w:rsidRPr="00471CBA" w:rsidRDefault="00EE0925" w:rsidP="00B0049C">
            <w:pPr>
              <w:rPr>
                <w:b/>
                <w:szCs w:val="20"/>
              </w:rPr>
            </w:pPr>
          </w:p>
        </w:tc>
        <w:tc>
          <w:tcPr>
            <w:tcW w:w="943" w:type="pct"/>
            <w:tcBorders>
              <w:bottom w:val="single" w:sz="2" w:space="0" w:color="auto"/>
            </w:tcBorders>
            <w:noWrap/>
            <w:vAlign w:val="bottom"/>
          </w:tcPr>
          <w:p w14:paraId="652E4A5D" w14:textId="4DC0A8BF" w:rsidR="00EE0925" w:rsidRPr="00471CBA" w:rsidRDefault="00434274" w:rsidP="00B0049C">
            <w:pPr>
              <w:jc w:val="right"/>
              <w:rPr>
                <w:b/>
                <w:szCs w:val="20"/>
              </w:rPr>
            </w:pPr>
            <w:r w:rsidRPr="00471CBA">
              <w:rPr>
                <w:b/>
                <w:szCs w:val="20"/>
              </w:rPr>
              <w:t>31 Aralık 2025</w:t>
            </w:r>
          </w:p>
        </w:tc>
        <w:tc>
          <w:tcPr>
            <w:tcW w:w="796" w:type="pct"/>
            <w:tcBorders>
              <w:bottom w:val="single" w:sz="2" w:space="0" w:color="auto"/>
            </w:tcBorders>
            <w:vAlign w:val="bottom"/>
          </w:tcPr>
          <w:p w14:paraId="3BE7B7EA" w14:textId="77777777" w:rsidR="00EE0925" w:rsidRPr="00471CBA" w:rsidRDefault="00EE0925" w:rsidP="00B0049C">
            <w:pPr>
              <w:jc w:val="right"/>
              <w:rPr>
                <w:b/>
                <w:szCs w:val="20"/>
              </w:rPr>
            </w:pPr>
            <w:r w:rsidRPr="00471CBA">
              <w:rPr>
                <w:b/>
                <w:szCs w:val="20"/>
              </w:rPr>
              <w:t>31 Aralık 2024</w:t>
            </w:r>
          </w:p>
        </w:tc>
      </w:tr>
      <w:tr w:rsidR="00EE0925" w:rsidRPr="00471CBA" w14:paraId="444FE434" w14:textId="77777777" w:rsidTr="00B0049C">
        <w:trPr>
          <w:cantSplit/>
        </w:trPr>
        <w:tc>
          <w:tcPr>
            <w:tcW w:w="124" w:type="pct"/>
            <w:tcBorders>
              <w:bottom w:val="single" w:sz="4" w:space="0" w:color="auto"/>
            </w:tcBorders>
            <w:noWrap/>
            <w:vAlign w:val="bottom"/>
          </w:tcPr>
          <w:p w14:paraId="39EB4391" w14:textId="77777777" w:rsidR="00EE0925" w:rsidRPr="00471CBA" w:rsidRDefault="00EE0925" w:rsidP="00B0049C">
            <w:pPr>
              <w:rPr>
                <w:b/>
                <w:szCs w:val="20"/>
              </w:rPr>
            </w:pPr>
          </w:p>
        </w:tc>
        <w:tc>
          <w:tcPr>
            <w:tcW w:w="3137" w:type="pct"/>
            <w:tcBorders>
              <w:bottom w:val="single" w:sz="4" w:space="0" w:color="auto"/>
            </w:tcBorders>
            <w:noWrap/>
            <w:vAlign w:val="center"/>
          </w:tcPr>
          <w:p w14:paraId="118BF6FB" w14:textId="77777777" w:rsidR="00EE0925" w:rsidRPr="00471CBA" w:rsidRDefault="00EE0925" w:rsidP="00B0049C">
            <w:pPr>
              <w:rPr>
                <w:b/>
                <w:szCs w:val="20"/>
              </w:rPr>
            </w:pPr>
          </w:p>
        </w:tc>
        <w:tc>
          <w:tcPr>
            <w:tcW w:w="943" w:type="pct"/>
            <w:tcBorders>
              <w:top w:val="single" w:sz="2" w:space="0" w:color="auto"/>
              <w:bottom w:val="single" w:sz="4" w:space="0" w:color="auto"/>
            </w:tcBorders>
            <w:noWrap/>
            <w:vAlign w:val="center"/>
            <w:hideMark/>
          </w:tcPr>
          <w:p w14:paraId="418EC4D7" w14:textId="77777777" w:rsidR="00EE0925" w:rsidRPr="00471CBA" w:rsidRDefault="00EE0925" w:rsidP="00B0049C">
            <w:pPr>
              <w:jc w:val="right"/>
              <w:rPr>
                <w:b/>
                <w:szCs w:val="20"/>
              </w:rPr>
            </w:pPr>
            <w:r w:rsidRPr="00471CBA">
              <w:rPr>
                <w:b/>
                <w:szCs w:val="20"/>
              </w:rPr>
              <w:t>RAT</w:t>
            </w:r>
          </w:p>
        </w:tc>
        <w:tc>
          <w:tcPr>
            <w:tcW w:w="796" w:type="pct"/>
            <w:tcBorders>
              <w:top w:val="single" w:sz="2" w:space="0" w:color="auto"/>
              <w:bottom w:val="single" w:sz="4" w:space="0" w:color="auto"/>
            </w:tcBorders>
            <w:vAlign w:val="center"/>
          </w:tcPr>
          <w:p w14:paraId="1D2234CA" w14:textId="77777777" w:rsidR="00EE0925" w:rsidRPr="00471CBA" w:rsidRDefault="00EE0925" w:rsidP="00B0049C">
            <w:pPr>
              <w:jc w:val="right"/>
              <w:rPr>
                <w:b/>
                <w:szCs w:val="20"/>
              </w:rPr>
            </w:pPr>
            <w:r w:rsidRPr="00471CBA">
              <w:rPr>
                <w:b/>
                <w:szCs w:val="20"/>
              </w:rPr>
              <w:t>RAT</w:t>
            </w:r>
          </w:p>
        </w:tc>
      </w:tr>
      <w:bookmarkEnd w:id="75"/>
      <w:tr w:rsidR="000A44B5" w:rsidRPr="00471CBA" w14:paraId="722A9981" w14:textId="77777777" w:rsidTr="00B0049C">
        <w:trPr>
          <w:cantSplit/>
        </w:trPr>
        <w:tc>
          <w:tcPr>
            <w:tcW w:w="124" w:type="pct"/>
            <w:tcBorders>
              <w:top w:val="single" w:sz="4" w:space="0" w:color="auto"/>
              <w:bottom w:val="single" w:sz="4" w:space="0" w:color="auto"/>
            </w:tcBorders>
            <w:noWrap/>
            <w:vAlign w:val="bottom"/>
            <w:hideMark/>
          </w:tcPr>
          <w:p w14:paraId="47F268EB" w14:textId="77777777" w:rsidR="000A44B5" w:rsidRPr="00471CBA" w:rsidRDefault="000A44B5" w:rsidP="000A44B5">
            <w:pPr>
              <w:rPr>
                <w:szCs w:val="20"/>
              </w:rPr>
            </w:pPr>
          </w:p>
        </w:tc>
        <w:tc>
          <w:tcPr>
            <w:tcW w:w="3137" w:type="pct"/>
            <w:tcBorders>
              <w:top w:val="single" w:sz="4" w:space="0" w:color="auto"/>
              <w:bottom w:val="single" w:sz="4" w:space="0" w:color="auto"/>
            </w:tcBorders>
            <w:noWrap/>
            <w:vAlign w:val="center"/>
            <w:hideMark/>
          </w:tcPr>
          <w:p w14:paraId="39AFEAE5" w14:textId="77777777" w:rsidR="000A44B5" w:rsidRPr="00471CBA" w:rsidRDefault="000A44B5" w:rsidP="000A44B5">
            <w:pPr>
              <w:rPr>
                <w:b/>
                <w:szCs w:val="20"/>
              </w:rPr>
            </w:pPr>
            <w:r w:rsidRPr="00471CBA">
              <w:rPr>
                <w:b/>
                <w:szCs w:val="20"/>
              </w:rPr>
              <w:t>Dolaysız (peşin) ürünler</w:t>
            </w:r>
          </w:p>
        </w:tc>
        <w:tc>
          <w:tcPr>
            <w:tcW w:w="943" w:type="pct"/>
            <w:tcBorders>
              <w:top w:val="single" w:sz="4" w:space="0" w:color="auto"/>
              <w:bottom w:val="single" w:sz="4" w:space="0" w:color="auto"/>
            </w:tcBorders>
            <w:shd w:val="clear" w:color="auto" w:fill="000000" w:themeFill="text1"/>
            <w:noWrap/>
          </w:tcPr>
          <w:p w14:paraId="2CD31FC5" w14:textId="77777777" w:rsidR="000A44B5" w:rsidRPr="00471CBA" w:rsidRDefault="000A44B5" w:rsidP="000A44B5">
            <w:pPr>
              <w:jc w:val="right"/>
              <w:rPr>
                <w:szCs w:val="20"/>
              </w:rPr>
            </w:pPr>
          </w:p>
        </w:tc>
        <w:tc>
          <w:tcPr>
            <w:tcW w:w="796" w:type="pct"/>
            <w:tcBorders>
              <w:top w:val="single" w:sz="4" w:space="0" w:color="auto"/>
              <w:bottom w:val="single" w:sz="4" w:space="0" w:color="auto"/>
            </w:tcBorders>
            <w:shd w:val="clear" w:color="auto" w:fill="000000" w:themeFill="text1"/>
          </w:tcPr>
          <w:p w14:paraId="3A769478" w14:textId="77777777" w:rsidR="000A44B5" w:rsidRPr="00471CBA" w:rsidRDefault="000A44B5" w:rsidP="000A44B5">
            <w:pPr>
              <w:jc w:val="right"/>
              <w:rPr>
                <w:szCs w:val="20"/>
              </w:rPr>
            </w:pPr>
          </w:p>
        </w:tc>
      </w:tr>
      <w:tr w:rsidR="00434274" w:rsidRPr="00471CBA" w14:paraId="1BA3D79F" w14:textId="77777777" w:rsidTr="00A56719">
        <w:trPr>
          <w:cantSplit/>
        </w:trPr>
        <w:tc>
          <w:tcPr>
            <w:tcW w:w="124" w:type="pct"/>
            <w:tcBorders>
              <w:top w:val="single" w:sz="4" w:space="0" w:color="auto"/>
            </w:tcBorders>
            <w:noWrap/>
            <w:vAlign w:val="center"/>
            <w:hideMark/>
          </w:tcPr>
          <w:p w14:paraId="674FE8DD" w14:textId="77777777" w:rsidR="00434274" w:rsidRPr="00471CBA" w:rsidRDefault="00434274" w:rsidP="00434274">
            <w:pPr>
              <w:jc w:val="center"/>
              <w:rPr>
                <w:szCs w:val="20"/>
              </w:rPr>
            </w:pPr>
            <w:bookmarkStart w:id="76" w:name="_Hlk95925283"/>
            <w:r w:rsidRPr="00471CBA">
              <w:rPr>
                <w:szCs w:val="20"/>
              </w:rPr>
              <w:t>1</w:t>
            </w:r>
          </w:p>
        </w:tc>
        <w:tc>
          <w:tcPr>
            <w:tcW w:w="3137" w:type="pct"/>
            <w:tcBorders>
              <w:top w:val="single" w:sz="4" w:space="0" w:color="auto"/>
            </w:tcBorders>
            <w:noWrap/>
            <w:vAlign w:val="center"/>
            <w:hideMark/>
          </w:tcPr>
          <w:p w14:paraId="7FA561FD" w14:textId="77777777" w:rsidR="00434274" w:rsidRPr="00471CBA" w:rsidRDefault="00434274" w:rsidP="00434274">
            <w:pPr>
              <w:rPr>
                <w:szCs w:val="20"/>
              </w:rPr>
            </w:pPr>
            <w:r w:rsidRPr="00471CBA">
              <w:rPr>
                <w:szCs w:val="20"/>
              </w:rPr>
              <w:t xml:space="preserve">         Kar oranı riski (genel ve spesifik)</w:t>
            </w:r>
          </w:p>
        </w:tc>
        <w:tc>
          <w:tcPr>
            <w:tcW w:w="943" w:type="pct"/>
            <w:tcBorders>
              <w:top w:val="single" w:sz="4" w:space="0" w:color="auto"/>
            </w:tcBorders>
            <w:noWrap/>
          </w:tcPr>
          <w:p w14:paraId="06AD22D8" w14:textId="2F3FC6CC" w:rsidR="00434274" w:rsidRPr="00471CBA" w:rsidRDefault="00434274" w:rsidP="00434274">
            <w:pPr>
              <w:jc w:val="right"/>
              <w:rPr>
                <w:szCs w:val="20"/>
              </w:rPr>
            </w:pPr>
            <w:r w:rsidRPr="00471CBA">
              <w:t>87.650</w:t>
            </w:r>
          </w:p>
        </w:tc>
        <w:tc>
          <w:tcPr>
            <w:tcW w:w="796" w:type="pct"/>
            <w:tcBorders>
              <w:top w:val="single" w:sz="4" w:space="0" w:color="auto"/>
            </w:tcBorders>
          </w:tcPr>
          <w:p w14:paraId="3B1E7CBB" w14:textId="75226BC6" w:rsidR="00434274" w:rsidRPr="00471CBA" w:rsidRDefault="00434274" w:rsidP="00434274">
            <w:pPr>
              <w:jc w:val="right"/>
              <w:rPr>
                <w:szCs w:val="20"/>
              </w:rPr>
            </w:pPr>
            <w:r w:rsidRPr="00471CBA">
              <w:rPr>
                <w:szCs w:val="20"/>
              </w:rPr>
              <w:t>135.650</w:t>
            </w:r>
          </w:p>
        </w:tc>
      </w:tr>
      <w:bookmarkEnd w:id="76"/>
      <w:tr w:rsidR="00434274" w:rsidRPr="00471CBA" w14:paraId="48653559" w14:textId="77777777" w:rsidTr="00A56719">
        <w:trPr>
          <w:cantSplit/>
        </w:trPr>
        <w:tc>
          <w:tcPr>
            <w:tcW w:w="124" w:type="pct"/>
            <w:noWrap/>
            <w:vAlign w:val="center"/>
            <w:hideMark/>
          </w:tcPr>
          <w:p w14:paraId="77939F63" w14:textId="77777777" w:rsidR="00434274" w:rsidRPr="00471CBA" w:rsidRDefault="00434274" w:rsidP="00434274">
            <w:pPr>
              <w:jc w:val="center"/>
              <w:rPr>
                <w:szCs w:val="20"/>
              </w:rPr>
            </w:pPr>
            <w:r w:rsidRPr="00471CBA">
              <w:rPr>
                <w:szCs w:val="20"/>
              </w:rPr>
              <w:t>2</w:t>
            </w:r>
          </w:p>
        </w:tc>
        <w:tc>
          <w:tcPr>
            <w:tcW w:w="3137" w:type="pct"/>
            <w:noWrap/>
            <w:vAlign w:val="center"/>
            <w:hideMark/>
          </w:tcPr>
          <w:p w14:paraId="755694BE" w14:textId="77777777" w:rsidR="00434274" w:rsidRPr="00471CBA" w:rsidRDefault="00434274" w:rsidP="00434274">
            <w:pPr>
              <w:rPr>
                <w:szCs w:val="20"/>
              </w:rPr>
            </w:pPr>
            <w:r w:rsidRPr="00471CBA">
              <w:rPr>
                <w:szCs w:val="20"/>
              </w:rPr>
              <w:t xml:space="preserve">         Hisse senedi riski (genel ve spesifik)</w:t>
            </w:r>
          </w:p>
        </w:tc>
        <w:tc>
          <w:tcPr>
            <w:tcW w:w="943" w:type="pct"/>
            <w:noWrap/>
          </w:tcPr>
          <w:p w14:paraId="15953FED" w14:textId="52B520FC" w:rsidR="00434274" w:rsidRPr="00471CBA" w:rsidRDefault="00434274" w:rsidP="00434274">
            <w:pPr>
              <w:jc w:val="right"/>
              <w:rPr>
                <w:szCs w:val="20"/>
              </w:rPr>
            </w:pPr>
            <w:r w:rsidRPr="00471CBA">
              <w:t>60.775</w:t>
            </w:r>
          </w:p>
        </w:tc>
        <w:tc>
          <w:tcPr>
            <w:tcW w:w="796" w:type="pct"/>
          </w:tcPr>
          <w:p w14:paraId="19C2272A" w14:textId="06404C11" w:rsidR="00434274" w:rsidRPr="00471CBA" w:rsidRDefault="00434274" w:rsidP="00434274">
            <w:pPr>
              <w:jc w:val="right"/>
              <w:rPr>
                <w:szCs w:val="20"/>
              </w:rPr>
            </w:pPr>
            <w:r w:rsidRPr="00471CBA">
              <w:rPr>
                <w:szCs w:val="20"/>
              </w:rPr>
              <w:t>-</w:t>
            </w:r>
          </w:p>
        </w:tc>
      </w:tr>
      <w:tr w:rsidR="00434274" w:rsidRPr="00471CBA" w14:paraId="1D5F0A7F" w14:textId="77777777" w:rsidTr="00A56719">
        <w:trPr>
          <w:cantSplit/>
        </w:trPr>
        <w:tc>
          <w:tcPr>
            <w:tcW w:w="124" w:type="pct"/>
            <w:noWrap/>
            <w:vAlign w:val="center"/>
            <w:hideMark/>
          </w:tcPr>
          <w:p w14:paraId="6DBC6EEC" w14:textId="77777777" w:rsidR="00434274" w:rsidRPr="00471CBA" w:rsidRDefault="00434274" w:rsidP="00434274">
            <w:pPr>
              <w:jc w:val="center"/>
              <w:rPr>
                <w:szCs w:val="20"/>
              </w:rPr>
            </w:pPr>
            <w:r w:rsidRPr="00471CBA">
              <w:rPr>
                <w:szCs w:val="20"/>
              </w:rPr>
              <w:t>3</w:t>
            </w:r>
          </w:p>
        </w:tc>
        <w:tc>
          <w:tcPr>
            <w:tcW w:w="3137" w:type="pct"/>
            <w:noWrap/>
            <w:vAlign w:val="center"/>
            <w:hideMark/>
          </w:tcPr>
          <w:p w14:paraId="70F83A89" w14:textId="77777777" w:rsidR="00434274" w:rsidRPr="00471CBA" w:rsidRDefault="00434274" w:rsidP="00434274">
            <w:pPr>
              <w:rPr>
                <w:szCs w:val="20"/>
              </w:rPr>
            </w:pPr>
            <w:r w:rsidRPr="00471CBA">
              <w:rPr>
                <w:szCs w:val="20"/>
              </w:rPr>
              <w:t xml:space="preserve">         Kur riski</w:t>
            </w:r>
          </w:p>
        </w:tc>
        <w:tc>
          <w:tcPr>
            <w:tcW w:w="943" w:type="pct"/>
            <w:noWrap/>
          </w:tcPr>
          <w:p w14:paraId="7DEA7BB3" w14:textId="0A68FC35" w:rsidR="00434274" w:rsidRPr="00471CBA" w:rsidRDefault="00434274" w:rsidP="00434274">
            <w:pPr>
              <w:jc w:val="right"/>
              <w:rPr>
                <w:szCs w:val="20"/>
              </w:rPr>
            </w:pPr>
            <w:r w:rsidRPr="00471CBA">
              <w:t>399.950</w:t>
            </w:r>
          </w:p>
        </w:tc>
        <w:tc>
          <w:tcPr>
            <w:tcW w:w="796" w:type="pct"/>
          </w:tcPr>
          <w:p w14:paraId="27986B74" w14:textId="49423496" w:rsidR="00434274" w:rsidRPr="00471CBA" w:rsidRDefault="00434274" w:rsidP="00434274">
            <w:pPr>
              <w:jc w:val="right"/>
              <w:rPr>
                <w:szCs w:val="20"/>
              </w:rPr>
            </w:pPr>
            <w:r w:rsidRPr="00471CBA">
              <w:rPr>
                <w:szCs w:val="20"/>
              </w:rPr>
              <w:t>224.988</w:t>
            </w:r>
          </w:p>
        </w:tc>
      </w:tr>
      <w:tr w:rsidR="00434274" w:rsidRPr="00471CBA" w14:paraId="3FF0C3F6" w14:textId="77777777" w:rsidTr="00A56719">
        <w:trPr>
          <w:cantSplit/>
        </w:trPr>
        <w:tc>
          <w:tcPr>
            <w:tcW w:w="124" w:type="pct"/>
            <w:tcBorders>
              <w:bottom w:val="single" w:sz="4" w:space="0" w:color="auto"/>
            </w:tcBorders>
            <w:noWrap/>
            <w:vAlign w:val="center"/>
            <w:hideMark/>
          </w:tcPr>
          <w:p w14:paraId="62227D4E" w14:textId="77777777" w:rsidR="00434274" w:rsidRPr="00471CBA" w:rsidRDefault="00434274" w:rsidP="00434274">
            <w:pPr>
              <w:jc w:val="center"/>
              <w:rPr>
                <w:szCs w:val="20"/>
              </w:rPr>
            </w:pPr>
            <w:r w:rsidRPr="00471CBA">
              <w:rPr>
                <w:szCs w:val="20"/>
              </w:rPr>
              <w:t>4</w:t>
            </w:r>
          </w:p>
        </w:tc>
        <w:tc>
          <w:tcPr>
            <w:tcW w:w="3137" w:type="pct"/>
            <w:tcBorders>
              <w:bottom w:val="single" w:sz="4" w:space="0" w:color="auto"/>
            </w:tcBorders>
            <w:vAlign w:val="center"/>
            <w:hideMark/>
          </w:tcPr>
          <w:p w14:paraId="602E0B00" w14:textId="77777777" w:rsidR="00434274" w:rsidRPr="00471CBA" w:rsidRDefault="00434274" w:rsidP="00434274">
            <w:pPr>
              <w:rPr>
                <w:szCs w:val="20"/>
              </w:rPr>
            </w:pPr>
            <w:r w:rsidRPr="00471CBA">
              <w:rPr>
                <w:szCs w:val="20"/>
              </w:rPr>
              <w:t xml:space="preserve">         Emtia riski</w:t>
            </w:r>
          </w:p>
        </w:tc>
        <w:tc>
          <w:tcPr>
            <w:tcW w:w="943" w:type="pct"/>
            <w:tcBorders>
              <w:bottom w:val="single" w:sz="4" w:space="0" w:color="auto"/>
            </w:tcBorders>
            <w:noWrap/>
          </w:tcPr>
          <w:p w14:paraId="6168EDE4" w14:textId="34914692" w:rsidR="00434274" w:rsidRPr="00471CBA" w:rsidRDefault="00434274" w:rsidP="00434274">
            <w:pPr>
              <w:jc w:val="right"/>
              <w:rPr>
                <w:szCs w:val="20"/>
              </w:rPr>
            </w:pPr>
            <w:r w:rsidRPr="00471CBA">
              <w:t>3.852.150</w:t>
            </w:r>
          </w:p>
        </w:tc>
        <w:tc>
          <w:tcPr>
            <w:tcW w:w="796" w:type="pct"/>
            <w:tcBorders>
              <w:bottom w:val="single" w:sz="4" w:space="0" w:color="auto"/>
            </w:tcBorders>
          </w:tcPr>
          <w:p w14:paraId="117B3D71" w14:textId="69274B22" w:rsidR="00434274" w:rsidRPr="00471CBA" w:rsidRDefault="00434274" w:rsidP="00434274">
            <w:pPr>
              <w:jc w:val="right"/>
              <w:rPr>
                <w:szCs w:val="20"/>
              </w:rPr>
            </w:pPr>
            <w:r w:rsidRPr="00471CBA">
              <w:rPr>
                <w:szCs w:val="20"/>
              </w:rPr>
              <w:t>18.125</w:t>
            </w:r>
          </w:p>
        </w:tc>
      </w:tr>
      <w:tr w:rsidR="00434274" w:rsidRPr="00471CBA" w14:paraId="71291F95" w14:textId="77777777" w:rsidTr="00A56719">
        <w:trPr>
          <w:cantSplit/>
        </w:trPr>
        <w:tc>
          <w:tcPr>
            <w:tcW w:w="124" w:type="pct"/>
            <w:tcBorders>
              <w:top w:val="single" w:sz="4" w:space="0" w:color="auto"/>
              <w:bottom w:val="single" w:sz="4" w:space="0" w:color="auto"/>
            </w:tcBorders>
            <w:noWrap/>
            <w:vAlign w:val="center"/>
            <w:hideMark/>
          </w:tcPr>
          <w:p w14:paraId="129A78C8" w14:textId="77777777" w:rsidR="00434274" w:rsidRPr="00471CBA" w:rsidRDefault="00434274" w:rsidP="00434274">
            <w:pPr>
              <w:jc w:val="center"/>
              <w:rPr>
                <w:szCs w:val="20"/>
              </w:rPr>
            </w:pPr>
            <w:r w:rsidRPr="00471CBA">
              <w:rPr>
                <w:szCs w:val="20"/>
              </w:rPr>
              <w:t> </w:t>
            </w:r>
          </w:p>
        </w:tc>
        <w:tc>
          <w:tcPr>
            <w:tcW w:w="3137" w:type="pct"/>
            <w:tcBorders>
              <w:top w:val="single" w:sz="4" w:space="0" w:color="auto"/>
              <w:bottom w:val="single" w:sz="4" w:space="0" w:color="auto"/>
            </w:tcBorders>
            <w:noWrap/>
            <w:vAlign w:val="center"/>
            <w:hideMark/>
          </w:tcPr>
          <w:p w14:paraId="4B183DEA" w14:textId="77777777" w:rsidR="00434274" w:rsidRPr="00471CBA" w:rsidRDefault="00434274" w:rsidP="00434274">
            <w:pPr>
              <w:rPr>
                <w:b/>
                <w:szCs w:val="20"/>
              </w:rPr>
            </w:pPr>
            <w:r w:rsidRPr="00471CBA">
              <w:rPr>
                <w:b/>
                <w:szCs w:val="20"/>
              </w:rPr>
              <w:t>Opsiyonlar</w:t>
            </w:r>
          </w:p>
        </w:tc>
        <w:tc>
          <w:tcPr>
            <w:tcW w:w="943" w:type="pct"/>
            <w:tcBorders>
              <w:top w:val="single" w:sz="4" w:space="0" w:color="auto"/>
              <w:bottom w:val="single" w:sz="4" w:space="0" w:color="auto"/>
            </w:tcBorders>
            <w:shd w:val="clear" w:color="auto" w:fill="000000"/>
            <w:noWrap/>
          </w:tcPr>
          <w:p w14:paraId="7C0C08C1" w14:textId="77777777" w:rsidR="00434274" w:rsidRPr="00471CBA" w:rsidRDefault="00434274" w:rsidP="00434274">
            <w:pPr>
              <w:jc w:val="right"/>
              <w:rPr>
                <w:szCs w:val="20"/>
              </w:rPr>
            </w:pPr>
          </w:p>
        </w:tc>
        <w:tc>
          <w:tcPr>
            <w:tcW w:w="796" w:type="pct"/>
            <w:tcBorders>
              <w:top w:val="single" w:sz="4" w:space="0" w:color="auto"/>
              <w:bottom w:val="single" w:sz="4" w:space="0" w:color="auto"/>
            </w:tcBorders>
            <w:shd w:val="clear" w:color="auto" w:fill="000000"/>
          </w:tcPr>
          <w:p w14:paraId="74B8D0A4" w14:textId="77777777" w:rsidR="00434274" w:rsidRPr="00471CBA" w:rsidRDefault="00434274" w:rsidP="00434274">
            <w:pPr>
              <w:jc w:val="right"/>
              <w:rPr>
                <w:szCs w:val="20"/>
              </w:rPr>
            </w:pPr>
          </w:p>
        </w:tc>
      </w:tr>
      <w:tr w:rsidR="00434274" w:rsidRPr="00471CBA" w14:paraId="243779F9" w14:textId="77777777" w:rsidTr="00A56719">
        <w:trPr>
          <w:cantSplit/>
        </w:trPr>
        <w:tc>
          <w:tcPr>
            <w:tcW w:w="124" w:type="pct"/>
            <w:tcBorders>
              <w:top w:val="single" w:sz="4" w:space="0" w:color="auto"/>
            </w:tcBorders>
            <w:noWrap/>
            <w:vAlign w:val="center"/>
            <w:hideMark/>
          </w:tcPr>
          <w:p w14:paraId="51AD88A5" w14:textId="77777777" w:rsidR="00434274" w:rsidRPr="00471CBA" w:rsidRDefault="00434274" w:rsidP="00434274">
            <w:pPr>
              <w:jc w:val="center"/>
              <w:rPr>
                <w:szCs w:val="20"/>
              </w:rPr>
            </w:pPr>
            <w:r w:rsidRPr="00471CBA">
              <w:rPr>
                <w:szCs w:val="20"/>
              </w:rPr>
              <w:t>5</w:t>
            </w:r>
          </w:p>
        </w:tc>
        <w:tc>
          <w:tcPr>
            <w:tcW w:w="3137" w:type="pct"/>
            <w:tcBorders>
              <w:top w:val="single" w:sz="4" w:space="0" w:color="auto"/>
            </w:tcBorders>
            <w:noWrap/>
            <w:vAlign w:val="center"/>
            <w:hideMark/>
          </w:tcPr>
          <w:p w14:paraId="096002FA" w14:textId="77777777" w:rsidR="00434274" w:rsidRPr="00471CBA" w:rsidRDefault="00434274" w:rsidP="00434274">
            <w:pPr>
              <w:rPr>
                <w:szCs w:val="20"/>
              </w:rPr>
            </w:pPr>
            <w:r w:rsidRPr="00471CBA">
              <w:rPr>
                <w:szCs w:val="20"/>
              </w:rPr>
              <w:t xml:space="preserve">         Basitleştirilmiş yaklaşım</w:t>
            </w:r>
          </w:p>
        </w:tc>
        <w:tc>
          <w:tcPr>
            <w:tcW w:w="943" w:type="pct"/>
            <w:tcBorders>
              <w:top w:val="single" w:sz="4" w:space="0" w:color="auto"/>
            </w:tcBorders>
            <w:noWrap/>
          </w:tcPr>
          <w:p w14:paraId="435EECEA" w14:textId="5FE9889D" w:rsidR="00434274" w:rsidRPr="00471CBA" w:rsidRDefault="00434274" w:rsidP="00434274">
            <w:pPr>
              <w:jc w:val="right"/>
              <w:rPr>
                <w:szCs w:val="20"/>
              </w:rPr>
            </w:pPr>
            <w:r w:rsidRPr="00471CBA">
              <w:t>-</w:t>
            </w:r>
          </w:p>
        </w:tc>
        <w:tc>
          <w:tcPr>
            <w:tcW w:w="796" w:type="pct"/>
            <w:tcBorders>
              <w:top w:val="single" w:sz="4" w:space="0" w:color="auto"/>
            </w:tcBorders>
          </w:tcPr>
          <w:p w14:paraId="2BB39A69" w14:textId="22FA2840" w:rsidR="00434274" w:rsidRPr="00471CBA" w:rsidRDefault="00434274" w:rsidP="00434274">
            <w:pPr>
              <w:jc w:val="right"/>
              <w:rPr>
                <w:szCs w:val="20"/>
              </w:rPr>
            </w:pPr>
            <w:r w:rsidRPr="00471CBA">
              <w:rPr>
                <w:szCs w:val="20"/>
              </w:rPr>
              <w:t>-</w:t>
            </w:r>
          </w:p>
        </w:tc>
      </w:tr>
      <w:tr w:rsidR="00434274" w:rsidRPr="00471CBA" w14:paraId="0FC3DD95" w14:textId="77777777" w:rsidTr="00A56719">
        <w:trPr>
          <w:cantSplit/>
        </w:trPr>
        <w:tc>
          <w:tcPr>
            <w:tcW w:w="124" w:type="pct"/>
            <w:noWrap/>
            <w:vAlign w:val="center"/>
            <w:hideMark/>
          </w:tcPr>
          <w:p w14:paraId="7F4F1866" w14:textId="77777777" w:rsidR="00434274" w:rsidRPr="00471CBA" w:rsidRDefault="00434274" w:rsidP="00434274">
            <w:pPr>
              <w:jc w:val="center"/>
              <w:rPr>
                <w:szCs w:val="20"/>
              </w:rPr>
            </w:pPr>
            <w:r w:rsidRPr="00471CBA">
              <w:rPr>
                <w:szCs w:val="20"/>
              </w:rPr>
              <w:t>6</w:t>
            </w:r>
          </w:p>
        </w:tc>
        <w:tc>
          <w:tcPr>
            <w:tcW w:w="3137" w:type="pct"/>
            <w:noWrap/>
            <w:vAlign w:val="center"/>
            <w:hideMark/>
          </w:tcPr>
          <w:p w14:paraId="1868042F" w14:textId="77777777" w:rsidR="00434274" w:rsidRPr="00471CBA" w:rsidRDefault="00434274" w:rsidP="00434274">
            <w:pPr>
              <w:rPr>
                <w:szCs w:val="20"/>
              </w:rPr>
            </w:pPr>
            <w:r w:rsidRPr="00471CBA">
              <w:rPr>
                <w:szCs w:val="20"/>
              </w:rPr>
              <w:t xml:space="preserve">         Delta-plus metodu</w:t>
            </w:r>
          </w:p>
        </w:tc>
        <w:tc>
          <w:tcPr>
            <w:tcW w:w="943" w:type="pct"/>
            <w:noWrap/>
          </w:tcPr>
          <w:p w14:paraId="69752DC1" w14:textId="11571DC9" w:rsidR="00434274" w:rsidRPr="00471CBA" w:rsidRDefault="00434274" w:rsidP="00434274">
            <w:pPr>
              <w:jc w:val="right"/>
              <w:rPr>
                <w:szCs w:val="20"/>
              </w:rPr>
            </w:pPr>
            <w:r w:rsidRPr="00471CBA">
              <w:t>-</w:t>
            </w:r>
          </w:p>
        </w:tc>
        <w:tc>
          <w:tcPr>
            <w:tcW w:w="796" w:type="pct"/>
          </w:tcPr>
          <w:p w14:paraId="4F69252C" w14:textId="402BEFDD" w:rsidR="00434274" w:rsidRPr="00471CBA" w:rsidRDefault="00434274" w:rsidP="00434274">
            <w:pPr>
              <w:jc w:val="right"/>
              <w:rPr>
                <w:szCs w:val="20"/>
              </w:rPr>
            </w:pPr>
            <w:r w:rsidRPr="00471CBA">
              <w:rPr>
                <w:szCs w:val="20"/>
              </w:rPr>
              <w:t>-</w:t>
            </w:r>
          </w:p>
        </w:tc>
      </w:tr>
      <w:tr w:rsidR="00434274" w:rsidRPr="00471CBA" w14:paraId="42BB9AE5" w14:textId="77777777" w:rsidTr="00A56719">
        <w:trPr>
          <w:cantSplit/>
        </w:trPr>
        <w:tc>
          <w:tcPr>
            <w:tcW w:w="124" w:type="pct"/>
            <w:noWrap/>
            <w:vAlign w:val="center"/>
            <w:hideMark/>
          </w:tcPr>
          <w:p w14:paraId="68185360" w14:textId="77777777" w:rsidR="00434274" w:rsidRPr="00471CBA" w:rsidRDefault="00434274" w:rsidP="00434274">
            <w:pPr>
              <w:jc w:val="center"/>
              <w:rPr>
                <w:szCs w:val="20"/>
              </w:rPr>
            </w:pPr>
            <w:r w:rsidRPr="00471CBA">
              <w:rPr>
                <w:szCs w:val="20"/>
              </w:rPr>
              <w:t>7</w:t>
            </w:r>
          </w:p>
        </w:tc>
        <w:tc>
          <w:tcPr>
            <w:tcW w:w="3137" w:type="pct"/>
            <w:noWrap/>
            <w:vAlign w:val="center"/>
            <w:hideMark/>
          </w:tcPr>
          <w:p w14:paraId="08437733" w14:textId="77777777" w:rsidR="00434274" w:rsidRPr="00471CBA" w:rsidRDefault="00434274" w:rsidP="00434274">
            <w:pPr>
              <w:rPr>
                <w:szCs w:val="20"/>
              </w:rPr>
            </w:pPr>
            <w:r w:rsidRPr="00471CBA">
              <w:rPr>
                <w:szCs w:val="20"/>
              </w:rPr>
              <w:t xml:space="preserve">         Senaryo yaklaşımı</w:t>
            </w:r>
          </w:p>
        </w:tc>
        <w:tc>
          <w:tcPr>
            <w:tcW w:w="943" w:type="pct"/>
            <w:noWrap/>
          </w:tcPr>
          <w:p w14:paraId="1F409388" w14:textId="67E7CEF1" w:rsidR="00434274" w:rsidRPr="00471CBA" w:rsidRDefault="00434274" w:rsidP="00434274">
            <w:pPr>
              <w:jc w:val="right"/>
              <w:rPr>
                <w:szCs w:val="20"/>
              </w:rPr>
            </w:pPr>
            <w:r w:rsidRPr="00471CBA">
              <w:t>-</w:t>
            </w:r>
          </w:p>
        </w:tc>
        <w:tc>
          <w:tcPr>
            <w:tcW w:w="796" w:type="pct"/>
          </w:tcPr>
          <w:p w14:paraId="0B687E22" w14:textId="6DDFFAD1" w:rsidR="00434274" w:rsidRPr="00471CBA" w:rsidRDefault="00434274" w:rsidP="00434274">
            <w:pPr>
              <w:jc w:val="right"/>
              <w:rPr>
                <w:szCs w:val="20"/>
              </w:rPr>
            </w:pPr>
            <w:r w:rsidRPr="00471CBA">
              <w:rPr>
                <w:szCs w:val="20"/>
              </w:rPr>
              <w:t>-</w:t>
            </w:r>
          </w:p>
        </w:tc>
      </w:tr>
      <w:tr w:rsidR="00434274" w:rsidRPr="00471CBA" w14:paraId="0E8745F4" w14:textId="77777777" w:rsidTr="00A56719">
        <w:trPr>
          <w:cantSplit/>
        </w:trPr>
        <w:tc>
          <w:tcPr>
            <w:tcW w:w="124" w:type="pct"/>
            <w:tcBorders>
              <w:bottom w:val="single" w:sz="4" w:space="0" w:color="auto"/>
            </w:tcBorders>
            <w:noWrap/>
            <w:vAlign w:val="center"/>
            <w:hideMark/>
          </w:tcPr>
          <w:p w14:paraId="3232140A" w14:textId="77777777" w:rsidR="00434274" w:rsidRPr="00471CBA" w:rsidRDefault="00434274" w:rsidP="00434274">
            <w:pPr>
              <w:jc w:val="center"/>
              <w:rPr>
                <w:szCs w:val="20"/>
              </w:rPr>
            </w:pPr>
            <w:r w:rsidRPr="00471CBA">
              <w:rPr>
                <w:szCs w:val="20"/>
              </w:rPr>
              <w:t>8</w:t>
            </w:r>
          </w:p>
        </w:tc>
        <w:tc>
          <w:tcPr>
            <w:tcW w:w="3137" w:type="pct"/>
            <w:tcBorders>
              <w:bottom w:val="single" w:sz="4" w:space="0" w:color="auto"/>
            </w:tcBorders>
            <w:noWrap/>
            <w:vAlign w:val="center"/>
            <w:hideMark/>
          </w:tcPr>
          <w:p w14:paraId="46379D19" w14:textId="77777777" w:rsidR="00434274" w:rsidRPr="00471CBA" w:rsidRDefault="00434274" w:rsidP="00434274">
            <w:pPr>
              <w:rPr>
                <w:szCs w:val="20"/>
              </w:rPr>
            </w:pPr>
            <w:r w:rsidRPr="00471CBA">
              <w:rPr>
                <w:szCs w:val="20"/>
              </w:rPr>
              <w:t xml:space="preserve">         Menkul kıymetleştirme</w:t>
            </w:r>
          </w:p>
        </w:tc>
        <w:tc>
          <w:tcPr>
            <w:tcW w:w="943" w:type="pct"/>
            <w:tcBorders>
              <w:bottom w:val="single" w:sz="4" w:space="0" w:color="auto"/>
            </w:tcBorders>
            <w:noWrap/>
          </w:tcPr>
          <w:p w14:paraId="5E929D46" w14:textId="2D8BE5A3" w:rsidR="00434274" w:rsidRPr="00471CBA" w:rsidRDefault="00434274" w:rsidP="00434274">
            <w:pPr>
              <w:jc w:val="right"/>
              <w:rPr>
                <w:szCs w:val="20"/>
              </w:rPr>
            </w:pPr>
            <w:r w:rsidRPr="00471CBA">
              <w:t>-</w:t>
            </w:r>
          </w:p>
        </w:tc>
        <w:tc>
          <w:tcPr>
            <w:tcW w:w="796" w:type="pct"/>
            <w:tcBorders>
              <w:bottom w:val="single" w:sz="4" w:space="0" w:color="auto"/>
            </w:tcBorders>
          </w:tcPr>
          <w:p w14:paraId="39A8746D" w14:textId="30FF0331" w:rsidR="00434274" w:rsidRPr="00471CBA" w:rsidRDefault="00434274" w:rsidP="00434274">
            <w:pPr>
              <w:jc w:val="right"/>
              <w:rPr>
                <w:szCs w:val="20"/>
              </w:rPr>
            </w:pPr>
            <w:r w:rsidRPr="00471CBA">
              <w:rPr>
                <w:szCs w:val="20"/>
              </w:rPr>
              <w:t>-</w:t>
            </w:r>
          </w:p>
        </w:tc>
      </w:tr>
      <w:tr w:rsidR="00434274" w:rsidRPr="00471CBA" w14:paraId="5E69D26C" w14:textId="77777777" w:rsidTr="00A56719">
        <w:trPr>
          <w:cantSplit/>
        </w:trPr>
        <w:tc>
          <w:tcPr>
            <w:tcW w:w="124" w:type="pct"/>
            <w:tcBorders>
              <w:top w:val="single" w:sz="4" w:space="0" w:color="auto"/>
              <w:bottom w:val="single" w:sz="12" w:space="0" w:color="auto"/>
            </w:tcBorders>
            <w:noWrap/>
            <w:vAlign w:val="center"/>
            <w:hideMark/>
          </w:tcPr>
          <w:p w14:paraId="769358A3" w14:textId="77777777" w:rsidR="00434274" w:rsidRPr="00471CBA" w:rsidRDefault="00434274" w:rsidP="00434274">
            <w:pPr>
              <w:jc w:val="center"/>
              <w:rPr>
                <w:b/>
                <w:szCs w:val="20"/>
              </w:rPr>
            </w:pPr>
            <w:r w:rsidRPr="00471CBA">
              <w:rPr>
                <w:b/>
                <w:szCs w:val="20"/>
              </w:rPr>
              <w:t>9</w:t>
            </w:r>
          </w:p>
        </w:tc>
        <w:tc>
          <w:tcPr>
            <w:tcW w:w="3137" w:type="pct"/>
            <w:tcBorders>
              <w:top w:val="single" w:sz="4" w:space="0" w:color="auto"/>
              <w:bottom w:val="single" w:sz="12" w:space="0" w:color="auto"/>
            </w:tcBorders>
            <w:noWrap/>
            <w:vAlign w:val="center"/>
            <w:hideMark/>
          </w:tcPr>
          <w:p w14:paraId="0DBC4B7F" w14:textId="77777777" w:rsidR="00434274" w:rsidRPr="00471CBA" w:rsidRDefault="00434274" w:rsidP="00434274">
            <w:pPr>
              <w:rPr>
                <w:b/>
                <w:szCs w:val="20"/>
              </w:rPr>
            </w:pPr>
            <w:r w:rsidRPr="00471CBA">
              <w:rPr>
                <w:b/>
                <w:szCs w:val="20"/>
              </w:rPr>
              <w:t>Toplam</w:t>
            </w:r>
          </w:p>
        </w:tc>
        <w:tc>
          <w:tcPr>
            <w:tcW w:w="943" w:type="pct"/>
            <w:tcBorders>
              <w:top w:val="single" w:sz="4" w:space="0" w:color="auto"/>
              <w:bottom w:val="single" w:sz="12" w:space="0" w:color="auto"/>
            </w:tcBorders>
            <w:noWrap/>
          </w:tcPr>
          <w:p w14:paraId="0BA8F85E" w14:textId="61DE32DE" w:rsidR="00434274" w:rsidRPr="00471CBA" w:rsidRDefault="00434274" w:rsidP="00434274">
            <w:pPr>
              <w:jc w:val="right"/>
              <w:rPr>
                <w:b/>
                <w:szCs w:val="20"/>
              </w:rPr>
            </w:pPr>
            <w:r w:rsidRPr="00471CBA">
              <w:rPr>
                <w:b/>
              </w:rPr>
              <w:t>4.400.525</w:t>
            </w:r>
          </w:p>
        </w:tc>
        <w:tc>
          <w:tcPr>
            <w:tcW w:w="796" w:type="pct"/>
            <w:tcBorders>
              <w:top w:val="single" w:sz="4" w:space="0" w:color="auto"/>
              <w:bottom w:val="single" w:sz="12" w:space="0" w:color="auto"/>
            </w:tcBorders>
          </w:tcPr>
          <w:p w14:paraId="6C4CEE96" w14:textId="66F5DE01" w:rsidR="00434274" w:rsidRPr="00471CBA" w:rsidRDefault="00434274" w:rsidP="00434274">
            <w:pPr>
              <w:jc w:val="right"/>
              <w:rPr>
                <w:b/>
                <w:szCs w:val="20"/>
              </w:rPr>
            </w:pPr>
            <w:r w:rsidRPr="00471CBA">
              <w:rPr>
                <w:b/>
                <w:szCs w:val="20"/>
              </w:rPr>
              <w:t>378.763</w:t>
            </w:r>
          </w:p>
        </w:tc>
      </w:tr>
    </w:tbl>
    <w:p w14:paraId="1CBA62A9" w14:textId="77777777" w:rsidR="00EE0925" w:rsidRPr="00471CBA" w:rsidRDefault="00EE0925" w:rsidP="00EE0925">
      <w:pPr>
        <w:ind w:left="567" w:hanging="567"/>
        <w:rPr>
          <w:b/>
          <w:bCs/>
        </w:rPr>
      </w:pPr>
    </w:p>
    <w:p w14:paraId="067DC13B" w14:textId="77777777" w:rsidR="007322D9" w:rsidRPr="00471CBA" w:rsidRDefault="007322D9" w:rsidP="007322D9">
      <w:pPr>
        <w:spacing w:before="120" w:after="120"/>
        <w:rPr>
          <w:b/>
          <w:szCs w:val="20"/>
        </w:rPr>
      </w:pPr>
      <w:r w:rsidRPr="00471CBA">
        <w:rPr>
          <w:b/>
          <w:szCs w:val="20"/>
        </w:rPr>
        <w:t>g. Operasyonel Riske İlişkin Olarak Kamuya Açıklanacak Hususlar:</w:t>
      </w:r>
    </w:p>
    <w:p w14:paraId="216AB759" w14:textId="3DB833B1" w:rsidR="007322D9" w:rsidRPr="00471CBA" w:rsidRDefault="007322D9" w:rsidP="007322D9">
      <w:pPr>
        <w:spacing w:after="120"/>
        <w:ind w:right="187"/>
        <w:jc w:val="both"/>
        <w:rPr>
          <w:szCs w:val="20"/>
        </w:rPr>
      </w:pPr>
      <w:r w:rsidRPr="00471CBA">
        <w:rPr>
          <w:szCs w:val="20"/>
        </w:rPr>
        <w:t>Operasyonel risk sermaye gereksinimi, ülke mevzuatındaki uygulamaya paralel olarak, Bankaların Sermaye Yeterliliğinin Ölçülmesine ve Değerlendirilmesine ilişkin Yönetmelik’in 24. maddesi uyarınca Temel Gösterge Yöntemi kullanılarak yılda bir defa hesaplanmaktadır. 31 Aralık 202</w:t>
      </w:r>
      <w:r w:rsidR="0079133B" w:rsidRPr="00471CBA">
        <w:rPr>
          <w:szCs w:val="20"/>
        </w:rPr>
        <w:t>5</w:t>
      </w:r>
      <w:r w:rsidRPr="00471CBA">
        <w:rPr>
          <w:szCs w:val="20"/>
        </w:rPr>
        <w:t xml:space="preserve"> itibarıyla operasyonel riske esas tutar ve hesaplamaya ilişkin bilgilere aşağıda yer verilmektedir.</w:t>
      </w:r>
    </w:p>
    <w:tbl>
      <w:tblPr>
        <w:tblW w:w="9795" w:type="dxa"/>
        <w:tblCellMar>
          <w:left w:w="0" w:type="dxa"/>
          <w:right w:w="0" w:type="dxa"/>
        </w:tblCellMar>
        <w:tblLook w:val="04A0" w:firstRow="1" w:lastRow="0" w:firstColumn="1" w:lastColumn="0" w:noHBand="0" w:noVBand="1"/>
      </w:tblPr>
      <w:tblGrid>
        <w:gridCol w:w="3214"/>
        <w:gridCol w:w="1053"/>
        <w:gridCol w:w="1053"/>
        <w:gridCol w:w="1053"/>
        <w:gridCol w:w="1390"/>
        <w:gridCol w:w="829"/>
        <w:gridCol w:w="1203"/>
      </w:tblGrid>
      <w:tr w:rsidR="000A44B5" w:rsidRPr="00471CBA" w14:paraId="218CE050" w14:textId="77777777" w:rsidTr="000A44B5">
        <w:trPr>
          <w:trHeight w:val="227"/>
        </w:trPr>
        <w:tc>
          <w:tcPr>
            <w:tcW w:w="3214" w:type="dxa"/>
            <w:tcBorders>
              <w:top w:val="single" w:sz="4" w:space="0" w:color="auto"/>
              <w:bottom w:val="single" w:sz="4" w:space="0" w:color="auto"/>
            </w:tcBorders>
            <w:tcMar>
              <w:top w:w="0" w:type="dxa"/>
              <w:left w:w="30" w:type="dxa"/>
              <w:bottom w:w="0" w:type="dxa"/>
              <w:right w:w="30" w:type="dxa"/>
            </w:tcMar>
            <w:vAlign w:val="bottom"/>
            <w:hideMark/>
          </w:tcPr>
          <w:p w14:paraId="16088CAE" w14:textId="7981C48A" w:rsidR="000A44B5" w:rsidRPr="00471CBA" w:rsidRDefault="000A44B5" w:rsidP="000A44B5">
            <w:pPr>
              <w:rPr>
                <w:b/>
                <w:szCs w:val="20"/>
              </w:rPr>
            </w:pPr>
            <w:r w:rsidRPr="00471CBA">
              <w:rPr>
                <w:b/>
                <w:bCs/>
                <w:szCs w:val="20"/>
              </w:rPr>
              <w:t>31 Aralık 2025</w:t>
            </w:r>
          </w:p>
        </w:tc>
        <w:tc>
          <w:tcPr>
            <w:tcW w:w="1053" w:type="dxa"/>
            <w:tcBorders>
              <w:top w:val="single" w:sz="4" w:space="0" w:color="auto"/>
              <w:bottom w:val="single" w:sz="4" w:space="0" w:color="auto"/>
            </w:tcBorders>
            <w:tcMar>
              <w:top w:w="0" w:type="dxa"/>
              <w:left w:w="30" w:type="dxa"/>
              <w:bottom w:w="0" w:type="dxa"/>
              <w:right w:w="30" w:type="dxa"/>
            </w:tcMar>
            <w:vAlign w:val="bottom"/>
            <w:hideMark/>
          </w:tcPr>
          <w:p w14:paraId="61099D4A" w14:textId="77777777" w:rsidR="000A44B5" w:rsidRPr="00471CBA" w:rsidRDefault="000A44B5" w:rsidP="000A44B5">
            <w:pPr>
              <w:jc w:val="center"/>
              <w:rPr>
                <w:b/>
                <w:szCs w:val="20"/>
              </w:rPr>
            </w:pPr>
            <w:r w:rsidRPr="00471CBA">
              <w:rPr>
                <w:b/>
                <w:szCs w:val="20"/>
              </w:rPr>
              <w:t>2 ÖD Tutar</w:t>
            </w:r>
          </w:p>
        </w:tc>
        <w:tc>
          <w:tcPr>
            <w:tcW w:w="1053" w:type="dxa"/>
            <w:tcBorders>
              <w:top w:val="single" w:sz="4" w:space="0" w:color="auto"/>
              <w:bottom w:val="single" w:sz="4" w:space="0" w:color="auto"/>
            </w:tcBorders>
            <w:tcMar>
              <w:top w:w="0" w:type="dxa"/>
              <w:left w:w="30" w:type="dxa"/>
              <w:bottom w:w="0" w:type="dxa"/>
              <w:right w:w="30" w:type="dxa"/>
            </w:tcMar>
            <w:vAlign w:val="bottom"/>
            <w:hideMark/>
          </w:tcPr>
          <w:p w14:paraId="48E414EC" w14:textId="77777777" w:rsidR="000A44B5" w:rsidRPr="00471CBA" w:rsidRDefault="000A44B5" w:rsidP="000A44B5">
            <w:pPr>
              <w:jc w:val="center"/>
              <w:rPr>
                <w:b/>
                <w:szCs w:val="20"/>
              </w:rPr>
            </w:pPr>
            <w:r w:rsidRPr="00471CBA">
              <w:rPr>
                <w:b/>
                <w:szCs w:val="20"/>
              </w:rPr>
              <w:t>1 ÖD Tutar</w:t>
            </w:r>
          </w:p>
        </w:tc>
        <w:tc>
          <w:tcPr>
            <w:tcW w:w="1053" w:type="dxa"/>
            <w:tcBorders>
              <w:top w:val="single" w:sz="4" w:space="0" w:color="auto"/>
              <w:bottom w:val="single" w:sz="4" w:space="0" w:color="auto"/>
            </w:tcBorders>
            <w:tcMar>
              <w:top w:w="0" w:type="dxa"/>
              <w:left w:w="30" w:type="dxa"/>
              <w:bottom w:w="0" w:type="dxa"/>
              <w:right w:w="30" w:type="dxa"/>
            </w:tcMar>
            <w:vAlign w:val="bottom"/>
            <w:hideMark/>
          </w:tcPr>
          <w:p w14:paraId="710370EE" w14:textId="77777777" w:rsidR="000A44B5" w:rsidRPr="00471CBA" w:rsidRDefault="000A44B5" w:rsidP="000A44B5">
            <w:pPr>
              <w:jc w:val="center"/>
              <w:rPr>
                <w:b/>
                <w:szCs w:val="20"/>
              </w:rPr>
            </w:pPr>
            <w:r w:rsidRPr="00471CBA">
              <w:rPr>
                <w:b/>
                <w:szCs w:val="20"/>
              </w:rPr>
              <w:t>CD Tutar</w:t>
            </w:r>
          </w:p>
        </w:tc>
        <w:tc>
          <w:tcPr>
            <w:tcW w:w="1390" w:type="dxa"/>
            <w:tcBorders>
              <w:top w:val="single" w:sz="4" w:space="0" w:color="auto"/>
              <w:bottom w:val="single" w:sz="4" w:space="0" w:color="auto"/>
            </w:tcBorders>
            <w:tcMar>
              <w:top w:w="0" w:type="dxa"/>
              <w:left w:w="30" w:type="dxa"/>
              <w:bottom w:w="0" w:type="dxa"/>
              <w:right w:w="30" w:type="dxa"/>
            </w:tcMar>
            <w:vAlign w:val="bottom"/>
            <w:hideMark/>
          </w:tcPr>
          <w:p w14:paraId="2C105A71" w14:textId="77777777" w:rsidR="000A44B5" w:rsidRPr="00471CBA" w:rsidRDefault="000A44B5" w:rsidP="000A44B5">
            <w:pPr>
              <w:jc w:val="center"/>
              <w:rPr>
                <w:b/>
                <w:szCs w:val="20"/>
              </w:rPr>
            </w:pPr>
            <w:r w:rsidRPr="00471CBA">
              <w:rPr>
                <w:b/>
                <w:szCs w:val="20"/>
              </w:rPr>
              <w:t>Toplam/Pozitif BG yılı sayısı</w:t>
            </w:r>
          </w:p>
        </w:tc>
        <w:tc>
          <w:tcPr>
            <w:tcW w:w="829" w:type="dxa"/>
            <w:tcBorders>
              <w:top w:val="single" w:sz="4" w:space="0" w:color="auto"/>
              <w:bottom w:val="single" w:sz="4" w:space="0" w:color="auto"/>
            </w:tcBorders>
            <w:tcMar>
              <w:top w:w="0" w:type="dxa"/>
              <w:left w:w="30" w:type="dxa"/>
              <w:bottom w:w="0" w:type="dxa"/>
              <w:right w:w="30" w:type="dxa"/>
            </w:tcMar>
            <w:vAlign w:val="bottom"/>
            <w:hideMark/>
          </w:tcPr>
          <w:p w14:paraId="0A6A5DD2" w14:textId="77777777" w:rsidR="000A44B5" w:rsidRPr="00471CBA" w:rsidRDefault="000A44B5" w:rsidP="000A44B5">
            <w:pPr>
              <w:jc w:val="center"/>
              <w:rPr>
                <w:b/>
                <w:szCs w:val="20"/>
              </w:rPr>
            </w:pPr>
            <w:r w:rsidRPr="00471CBA">
              <w:rPr>
                <w:b/>
                <w:szCs w:val="20"/>
              </w:rPr>
              <w:t>Oran (%)</w:t>
            </w:r>
          </w:p>
        </w:tc>
        <w:tc>
          <w:tcPr>
            <w:tcW w:w="1203" w:type="dxa"/>
            <w:tcBorders>
              <w:top w:val="single" w:sz="4" w:space="0" w:color="auto"/>
              <w:bottom w:val="single" w:sz="4" w:space="0" w:color="auto"/>
            </w:tcBorders>
            <w:tcMar>
              <w:top w:w="0" w:type="dxa"/>
              <w:left w:w="30" w:type="dxa"/>
              <w:bottom w:w="0" w:type="dxa"/>
              <w:right w:w="30" w:type="dxa"/>
            </w:tcMar>
            <w:vAlign w:val="bottom"/>
            <w:hideMark/>
          </w:tcPr>
          <w:p w14:paraId="2D9E00AE" w14:textId="77777777" w:rsidR="000A44B5" w:rsidRPr="00471CBA" w:rsidRDefault="000A44B5" w:rsidP="000A44B5">
            <w:pPr>
              <w:jc w:val="center"/>
              <w:rPr>
                <w:b/>
                <w:szCs w:val="20"/>
              </w:rPr>
            </w:pPr>
            <w:r w:rsidRPr="00471CBA">
              <w:rPr>
                <w:b/>
                <w:szCs w:val="20"/>
              </w:rPr>
              <w:t>Toplam</w:t>
            </w:r>
          </w:p>
        </w:tc>
      </w:tr>
      <w:tr w:rsidR="000A44B5" w:rsidRPr="00471CBA" w14:paraId="3E8337F8" w14:textId="77777777" w:rsidTr="00B0049C">
        <w:trPr>
          <w:trHeight w:val="227"/>
        </w:trPr>
        <w:tc>
          <w:tcPr>
            <w:tcW w:w="3214" w:type="dxa"/>
            <w:tcBorders>
              <w:top w:val="single" w:sz="4" w:space="0" w:color="auto"/>
            </w:tcBorders>
            <w:tcMar>
              <w:top w:w="0" w:type="dxa"/>
              <w:left w:w="30" w:type="dxa"/>
              <w:bottom w:w="0" w:type="dxa"/>
              <w:right w:w="30" w:type="dxa"/>
            </w:tcMar>
            <w:vAlign w:val="center"/>
            <w:hideMark/>
          </w:tcPr>
          <w:p w14:paraId="34863362" w14:textId="77777777" w:rsidR="000A44B5" w:rsidRPr="00471CBA" w:rsidRDefault="000A44B5" w:rsidP="000A44B5">
            <w:pPr>
              <w:jc w:val="center"/>
              <w:rPr>
                <w:b/>
                <w:bCs/>
                <w:szCs w:val="20"/>
              </w:rPr>
            </w:pPr>
          </w:p>
        </w:tc>
        <w:tc>
          <w:tcPr>
            <w:tcW w:w="1053" w:type="dxa"/>
            <w:tcBorders>
              <w:top w:val="single" w:sz="4" w:space="0" w:color="auto"/>
            </w:tcBorders>
            <w:tcMar>
              <w:top w:w="0" w:type="dxa"/>
              <w:left w:w="30" w:type="dxa"/>
              <w:bottom w:w="0" w:type="dxa"/>
              <w:right w:w="30" w:type="dxa"/>
            </w:tcMar>
            <w:vAlign w:val="bottom"/>
            <w:hideMark/>
          </w:tcPr>
          <w:p w14:paraId="1B6DF3AC" w14:textId="77777777" w:rsidR="000A44B5" w:rsidRPr="00471CBA" w:rsidRDefault="000A44B5" w:rsidP="000A44B5">
            <w:pPr>
              <w:jc w:val="center"/>
              <w:rPr>
                <w:szCs w:val="20"/>
              </w:rPr>
            </w:pPr>
          </w:p>
        </w:tc>
        <w:tc>
          <w:tcPr>
            <w:tcW w:w="1053" w:type="dxa"/>
            <w:tcBorders>
              <w:top w:val="single" w:sz="4" w:space="0" w:color="auto"/>
            </w:tcBorders>
            <w:tcMar>
              <w:top w:w="0" w:type="dxa"/>
              <w:left w:w="30" w:type="dxa"/>
              <w:bottom w:w="0" w:type="dxa"/>
              <w:right w:w="30" w:type="dxa"/>
            </w:tcMar>
            <w:vAlign w:val="bottom"/>
            <w:hideMark/>
          </w:tcPr>
          <w:p w14:paraId="6429C262" w14:textId="77777777" w:rsidR="000A44B5" w:rsidRPr="00471CBA" w:rsidRDefault="000A44B5" w:rsidP="000A44B5">
            <w:pPr>
              <w:jc w:val="center"/>
              <w:rPr>
                <w:szCs w:val="20"/>
              </w:rPr>
            </w:pPr>
          </w:p>
        </w:tc>
        <w:tc>
          <w:tcPr>
            <w:tcW w:w="1053" w:type="dxa"/>
            <w:tcBorders>
              <w:top w:val="single" w:sz="4" w:space="0" w:color="auto"/>
            </w:tcBorders>
            <w:tcMar>
              <w:top w:w="0" w:type="dxa"/>
              <w:left w:w="30" w:type="dxa"/>
              <w:bottom w:w="0" w:type="dxa"/>
              <w:right w:w="30" w:type="dxa"/>
            </w:tcMar>
            <w:vAlign w:val="bottom"/>
            <w:hideMark/>
          </w:tcPr>
          <w:p w14:paraId="31130C95" w14:textId="77777777" w:rsidR="000A44B5" w:rsidRPr="00471CBA" w:rsidRDefault="000A44B5" w:rsidP="000A44B5">
            <w:pPr>
              <w:jc w:val="center"/>
              <w:rPr>
                <w:szCs w:val="20"/>
              </w:rPr>
            </w:pPr>
          </w:p>
        </w:tc>
        <w:tc>
          <w:tcPr>
            <w:tcW w:w="1390" w:type="dxa"/>
            <w:tcBorders>
              <w:top w:val="single" w:sz="4" w:space="0" w:color="auto"/>
            </w:tcBorders>
            <w:tcMar>
              <w:top w:w="0" w:type="dxa"/>
              <w:left w:w="30" w:type="dxa"/>
              <w:bottom w:w="0" w:type="dxa"/>
              <w:right w:w="30" w:type="dxa"/>
            </w:tcMar>
            <w:vAlign w:val="bottom"/>
            <w:hideMark/>
          </w:tcPr>
          <w:p w14:paraId="42D687F2" w14:textId="77777777" w:rsidR="000A44B5" w:rsidRPr="00471CBA" w:rsidRDefault="000A44B5" w:rsidP="000A44B5">
            <w:pPr>
              <w:jc w:val="center"/>
              <w:rPr>
                <w:szCs w:val="20"/>
              </w:rPr>
            </w:pPr>
          </w:p>
        </w:tc>
        <w:tc>
          <w:tcPr>
            <w:tcW w:w="829" w:type="dxa"/>
            <w:tcBorders>
              <w:top w:val="single" w:sz="4" w:space="0" w:color="auto"/>
            </w:tcBorders>
            <w:tcMar>
              <w:top w:w="0" w:type="dxa"/>
              <w:left w:w="30" w:type="dxa"/>
              <w:bottom w:w="0" w:type="dxa"/>
              <w:right w:w="30" w:type="dxa"/>
            </w:tcMar>
            <w:vAlign w:val="bottom"/>
            <w:hideMark/>
          </w:tcPr>
          <w:p w14:paraId="3B2A2442" w14:textId="77777777" w:rsidR="000A44B5" w:rsidRPr="00471CBA" w:rsidRDefault="000A44B5" w:rsidP="000A44B5">
            <w:pPr>
              <w:jc w:val="center"/>
              <w:rPr>
                <w:szCs w:val="20"/>
              </w:rPr>
            </w:pPr>
          </w:p>
        </w:tc>
        <w:tc>
          <w:tcPr>
            <w:tcW w:w="1203" w:type="dxa"/>
            <w:tcBorders>
              <w:top w:val="single" w:sz="4" w:space="0" w:color="auto"/>
            </w:tcBorders>
            <w:tcMar>
              <w:top w:w="0" w:type="dxa"/>
              <w:left w:w="30" w:type="dxa"/>
              <w:bottom w:w="0" w:type="dxa"/>
              <w:right w:w="30" w:type="dxa"/>
            </w:tcMar>
            <w:vAlign w:val="bottom"/>
            <w:hideMark/>
          </w:tcPr>
          <w:p w14:paraId="5ABDCD8B" w14:textId="77777777" w:rsidR="000A44B5" w:rsidRPr="00471CBA" w:rsidRDefault="000A44B5" w:rsidP="000A44B5">
            <w:pPr>
              <w:jc w:val="center"/>
              <w:rPr>
                <w:szCs w:val="20"/>
              </w:rPr>
            </w:pPr>
          </w:p>
        </w:tc>
      </w:tr>
      <w:tr w:rsidR="0079133B" w:rsidRPr="00471CBA" w14:paraId="1F2C58A1" w14:textId="77777777" w:rsidTr="00BE7A2F">
        <w:trPr>
          <w:trHeight w:val="227"/>
        </w:trPr>
        <w:tc>
          <w:tcPr>
            <w:tcW w:w="3214" w:type="dxa"/>
            <w:tcMar>
              <w:top w:w="0" w:type="dxa"/>
              <w:left w:w="30" w:type="dxa"/>
              <w:bottom w:w="0" w:type="dxa"/>
              <w:right w:w="30" w:type="dxa"/>
            </w:tcMar>
            <w:vAlign w:val="center"/>
            <w:hideMark/>
          </w:tcPr>
          <w:p w14:paraId="4B070334" w14:textId="77777777" w:rsidR="0079133B" w:rsidRPr="00471CBA" w:rsidRDefault="0079133B" w:rsidP="0079133B">
            <w:pPr>
              <w:rPr>
                <w:szCs w:val="20"/>
              </w:rPr>
            </w:pPr>
            <w:r w:rsidRPr="00471CBA">
              <w:rPr>
                <w:szCs w:val="20"/>
              </w:rPr>
              <w:t>Brüt gelir</w:t>
            </w:r>
          </w:p>
        </w:tc>
        <w:tc>
          <w:tcPr>
            <w:tcW w:w="1053" w:type="dxa"/>
            <w:tcMar>
              <w:top w:w="0" w:type="dxa"/>
              <w:left w:w="30" w:type="dxa"/>
              <w:bottom w:w="0" w:type="dxa"/>
              <w:right w:w="30" w:type="dxa"/>
            </w:tcMar>
            <w:vAlign w:val="center"/>
          </w:tcPr>
          <w:p w14:paraId="6712C11F" w14:textId="01DC21AF" w:rsidR="0079133B" w:rsidRPr="00471CBA" w:rsidRDefault="0079133B" w:rsidP="0079133B">
            <w:pPr>
              <w:jc w:val="center"/>
              <w:rPr>
                <w:szCs w:val="20"/>
              </w:rPr>
            </w:pPr>
            <w:r w:rsidRPr="00471CBA">
              <w:rPr>
                <w:color w:val="000000"/>
                <w:szCs w:val="20"/>
              </w:rPr>
              <w:t>12.330</w:t>
            </w:r>
          </w:p>
        </w:tc>
        <w:tc>
          <w:tcPr>
            <w:tcW w:w="1053" w:type="dxa"/>
            <w:tcMar>
              <w:top w:w="0" w:type="dxa"/>
              <w:left w:w="30" w:type="dxa"/>
              <w:bottom w:w="0" w:type="dxa"/>
              <w:right w:w="30" w:type="dxa"/>
            </w:tcMar>
            <w:vAlign w:val="center"/>
          </w:tcPr>
          <w:p w14:paraId="5587BD4B" w14:textId="55F60487" w:rsidR="0079133B" w:rsidRPr="00471CBA" w:rsidRDefault="0079133B" w:rsidP="0079133B">
            <w:pPr>
              <w:jc w:val="center"/>
              <w:rPr>
                <w:szCs w:val="20"/>
              </w:rPr>
            </w:pPr>
            <w:r w:rsidRPr="00471CBA">
              <w:rPr>
                <w:color w:val="000000"/>
                <w:szCs w:val="20"/>
              </w:rPr>
              <w:t>91.397</w:t>
            </w:r>
          </w:p>
        </w:tc>
        <w:tc>
          <w:tcPr>
            <w:tcW w:w="1053" w:type="dxa"/>
            <w:tcMar>
              <w:top w:w="0" w:type="dxa"/>
              <w:left w:w="30" w:type="dxa"/>
              <w:bottom w:w="0" w:type="dxa"/>
              <w:right w:w="30" w:type="dxa"/>
            </w:tcMar>
            <w:vAlign w:val="center"/>
          </w:tcPr>
          <w:p w14:paraId="5375C9D3" w14:textId="7DD46EE7" w:rsidR="0079133B" w:rsidRPr="00471CBA" w:rsidRDefault="0079133B" w:rsidP="0079133B">
            <w:pPr>
              <w:jc w:val="center"/>
              <w:rPr>
                <w:szCs w:val="20"/>
              </w:rPr>
            </w:pPr>
            <w:r w:rsidRPr="00471CBA">
              <w:rPr>
                <w:color w:val="000000"/>
                <w:szCs w:val="20"/>
              </w:rPr>
              <w:t>3.176.924</w:t>
            </w:r>
          </w:p>
        </w:tc>
        <w:tc>
          <w:tcPr>
            <w:tcW w:w="1390" w:type="dxa"/>
            <w:tcMar>
              <w:top w:w="0" w:type="dxa"/>
              <w:left w:w="30" w:type="dxa"/>
              <w:bottom w:w="0" w:type="dxa"/>
              <w:right w:w="30" w:type="dxa"/>
            </w:tcMar>
            <w:vAlign w:val="center"/>
          </w:tcPr>
          <w:p w14:paraId="68CC8CD9" w14:textId="4011782A" w:rsidR="0079133B" w:rsidRPr="00471CBA" w:rsidRDefault="0079133B" w:rsidP="0079133B">
            <w:pPr>
              <w:jc w:val="center"/>
              <w:rPr>
                <w:szCs w:val="20"/>
              </w:rPr>
            </w:pPr>
            <w:r w:rsidRPr="00471CBA">
              <w:rPr>
                <w:color w:val="000000"/>
                <w:szCs w:val="20"/>
              </w:rPr>
              <w:t>1.093.550</w:t>
            </w:r>
          </w:p>
        </w:tc>
        <w:tc>
          <w:tcPr>
            <w:tcW w:w="829" w:type="dxa"/>
            <w:tcMar>
              <w:top w:w="0" w:type="dxa"/>
              <w:left w:w="30" w:type="dxa"/>
              <w:bottom w:w="0" w:type="dxa"/>
              <w:right w:w="30" w:type="dxa"/>
            </w:tcMar>
            <w:vAlign w:val="center"/>
          </w:tcPr>
          <w:p w14:paraId="0A4461F0" w14:textId="02B5A690" w:rsidR="0079133B" w:rsidRPr="00471CBA" w:rsidRDefault="0079133B" w:rsidP="0079133B">
            <w:pPr>
              <w:jc w:val="center"/>
              <w:rPr>
                <w:szCs w:val="20"/>
              </w:rPr>
            </w:pPr>
            <w:r w:rsidRPr="00471CBA">
              <w:rPr>
                <w:color w:val="000000"/>
                <w:szCs w:val="20"/>
              </w:rPr>
              <w:t>15</w:t>
            </w:r>
          </w:p>
        </w:tc>
        <w:tc>
          <w:tcPr>
            <w:tcW w:w="1203" w:type="dxa"/>
            <w:tcMar>
              <w:top w:w="0" w:type="dxa"/>
              <w:left w:w="30" w:type="dxa"/>
              <w:bottom w:w="0" w:type="dxa"/>
              <w:right w:w="30" w:type="dxa"/>
            </w:tcMar>
            <w:vAlign w:val="center"/>
          </w:tcPr>
          <w:p w14:paraId="7C6DE663" w14:textId="212E50E4" w:rsidR="0079133B" w:rsidRPr="00471CBA" w:rsidRDefault="0079133B" w:rsidP="0079133B">
            <w:pPr>
              <w:jc w:val="center"/>
              <w:rPr>
                <w:szCs w:val="20"/>
              </w:rPr>
            </w:pPr>
            <w:r w:rsidRPr="00471CBA">
              <w:rPr>
                <w:color w:val="000000"/>
                <w:szCs w:val="20"/>
              </w:rPr>
              <w:t>164.033</w:t>
            </w:r>
          </w:p>
        </w:tc>
      </w:tr>
      <w:tr w:rsidR="000A44B5" w:rsidRPr="00471CBA" w14:paraId="4FCD54E3" w14:textId="77777777" w:rsidTr="00B0049C">
        <w:trPr>
          <w:trHeight w:val="227"/>
        </w:trPr>
        <w:tc>
          <w:tcPr>
            <w:tcW w:w="3214" w:type="dxa"/>
            <w:tcBorders>
              <w:bottom w:val="single" w:sz="4" w:space="0" w:color="auto"/>
            </w:tcBorders>
            <w:tcMar>
              <w:top w:w="0" w:type="dxa"/>
              <w:left w:w="30" w:type="dxa"/>
              <w:bottom w:w="0" w:type="dxa"/>
              <w:right w:w="30" w:type="dxa"/>
            </w:tcMar>
            <w:vAlign w:val="center"/>
            <w:hideMark/>
          </w:tcPr>
          <w:p w14:paraId="0350EB4A" w14:textId="77777777" w:rsidR="000A44B5" w:rsidRPr="00471CBA" w:rsidRDefault="000A44B5" w:rsidP="000A44B5">
            <w:pPr>
              <w:rPr>
                <w:szCs w:val="20"/>
              </w:rPr>
            </w:pPr>
            <w:r w:rsidRPr="00471CBA">
              <w:rPr>
                <w:szCs w:val="20"/>
              </w:rPr>
              <w:t>Operasyonel riske esas tutar</w:t>
            </w:r>
          </w:p>
          <w:p w14:paraId="525F1E58" w14:textId="77777777" w:rsidR="000A44B5" w:rsidRPr="00471CBA" w:rsidRDefault="000A44B5" w:rsidP="000A44B5">
            <w:pPr>
              <w:rPr>
                <w:szCs w:val="20"/>
              </w:rPr>
            </w:pPr>
            <w:r w:rsidRPr="00471CBA">
              <w:rPr>
                <w:szCs w:val="20"/>
              </w:rPr>
              <w:t>(Toplam*12,5)</w:t>
            </w:r>
          </w:p>
        </w:tc>
        <w:tc>
          <w:tcPr>
            <w:tcW w:w="5378" w:type="dxa"/>
            <w:gridSpan w:val="5"/>
            <w:tcBorders>
              <w:bottom w:val="single" w:sz="4" w:space="0" w:color="auto"/>
            </w:tcBorders>
            <w:tcMar>
              <w:top w:w="0" w:type="dxa"/>
              <w:left w:w="30" w:type="dxa"/>
              <w:bottom w:w="0" w:type="dxa"/>
              <w:right w:w="30" w:type="dxa"/>
            </w:tcMar>
            <w:vAlign w:val="bottom"/>
          </w:tcPr>
          <w:p w14:paraId="261BF31C" w14:textId="77777777" w:rsidR="000A44B5" w:rsidRPr="00471CBA" w:rsidRDefault="000A44B5" w:rsidP="000A44B5">
            <w:pPr>
              <w:ind w:right="129"/>
              <w:jc w:val="center"/>
              <w:rPr>
                <w:szCs w:val="20"/>
              </w:rPr>
            </w:pPr>
          </w:p>
        </w:tc>
        <w:tc>
          <w:tcPr>
            <w:tcW w:w="1203" w:type="dxa"/>
            <w:tcBorders>
              <w:bottom w:val="single" w:sz="4" w:space="0" w:color="auto"/>
            </w:tcBorders>
            <w:tcMar>
              <w:top w:w="0" w:type="dxa"/>
              <w:left w:w="30" w:type="dxa"/>
              <w:bottom w:w="0" w:type="dxa"/>
              <w:right w:w="30" w:type="dxa"/>
            </w:tcMar>
            <w:vAlign w:val="bottom"/>
          </w:tcPr>
          <w:p w14:paraId="194A3B30" w14:textId="1E944C27" w:rsidR="000A44B5" w:rsidRPr="00471CBA" w:rsidRDefault="0079133B" w:rsidP="0079133B">
            <w:pPr>
              <w:jc w:val="center"/>
              <w:rPr>
                <w:color w:val="000000"/>
                <w:szCs w:val="20"/>
              </w:rPr>
            </w:pPr>
            <w:r w:rsidRPr="00471CBA">
              <w:rPr>
                <w:color w:val="000000"/>
                <w:szCs w:val="20"/>
              </w:rPr>
              <w:t>2.050.407</w:t>
            </w:r>
          </w:p>
        </w:tc>
      </w:tr>
    </w:tbl>
    <w:p w14:paraId="47D2601F" w14:textId="10EF816B" w:rsidR="00434274" w:rsidRPr="00471CBA" w:rsidRDefault="00434274" w:rsidP="007322D9">
      <w:pPr>
        <w:autoSpaceDE w:val="0"/>
        <w:autoSpaceDN w:val="0"/>
        <w:adjustRightInd w:val="0"/>
        <w:spacing w:before="120" w:after="120"/>
        <w:ind w:right="187"/>
        <w:jc w:val="both"/>
        <w:rPr>
          <w:b/>
          <w:szCs w:val="20"/>
        </w:rPr>
      </w:pPr>
    </w:p>
    <w:p w14:paraId="4F44AC3A" w14:textId="77777777" w:rsidR="00434274" w:rsidRPr="00471CBA" w:rsidRDefault="00434274">
      <w:pPr>
        <w:rPr>
          <w:b/>
          <w:szCs w:val="20"/>
        </w:rPr>
      </w:pPr>
      <w:r w:rsidRPr="00471CBA">
        <w:rPr>
          <w:b/>
          <w:szCs w:val="20"/>
        </w:rPr>
        <w:br w:type="page"/>
      </w:r>
    </w:p>
    <w:p w14:paraId="53A25696" w14:textId="77777777" w:rsidR="000A45F8" w:rsidRPr="00471CBA" w:rsidRDefault="000A45F8" w:rsidP="000A45F8">
      <w:pPr>
        <w:rPr>
          <w:b/>
          <w:szCs w:val="20"/>
        </w:rPr>
      </w:pPr>
      <w:r w:rsidRPr="00471CBA">
        <w:rPr>
          <w:b/>
          <w:szCs w:val="20"/>
        </w:rPr>
        <w:t>MALİ BÜNYEYE VE RİSK YÖNETİMİNE İLİŞKİN BİLGİLER (Devamı)</w:t>
      </w:r>
    </w:p>
    <w:p w14:paraId="15E093AF" w14:textId="77777777" w:rsidR="000A45F8" w:rsidRPr="00471CBA" w:rsidRDefault="000A45F8" w:rsidP="000A45F8">
      <w:pPr>
        <w:widowControl w:val="0"/>
        <w:autoSpaceDE w:val="0"/>
        <w:autoSpaceDN w:val="0"/>
        <w:adjustRightInd w:val="0"/>
        <w:ind w:left="851" w:hanging="851"/>
        <w:jc w:val="both"/>
        <w:rPr>
          <w:sz w:val="14"/>
          <w:szCs w:val="14"/>
        </w:rPr>
      </w:pPr>
    </w:p>
    <w:p w14:paraId="638E5639" w14:textId="77777777" w:rsidR="000A45F8" w:rsidRPr="00471CBA" w:rsidRDefault="000A45F8" w:rsidP="000A45F8">
      <w:pPr>
        <w:widowControl w:val="0"/>
        <w:ind w:left="567" w:hanging="567"/>
        <w:jc w:val="both"/>
        <w:outlineLvl w:val="1"/>
        <w:rPr>
          <w:b/>
          <w:szCs w:val="20"/>
        </w:rPr>
      </w:pPr>
      <w:r w:rsidRPr="00471CBA">
        <w:rPr>
          <w:b/>
          <w:szCs w:val="20"/>
        </w:rPr>
        <w:t>IX.</w:t>
      </w:r>
      <w:r w:rsidRPr="00471CBA">
        <w:rPr>
          <w:b/>
          <w:szCs w:val="20"/>
        </w:rPr>
        <w:tab/>
        <w:t>RİSK YÖNETİMİNE İLİŞKİN AÇIKLAMALAR (Devamı)</w:t>
      </w:r>
    </w:p>
    <w:p w14:paraId="133E6800" w14:textId="1DFAB7ED" w:rsidR="007322D9" w:rsidRPr="00471CBA" w:rsidRDefault="007322D9" w:rsidP="007322D9">
      <w:pPr>
        <w:autoSpaceDE w:val="0"/>
        <w:autoSpaceDN w:val="0"/>
        <w:adjustRightInd w:val="0"/>
        <w:spacing w:before="120" w:after="120"/>
        <w:ind w:right="187"/>
        <w:jc w:val="both"/>
        <w:rPr>
          <w:b/>
          <w:bCs/>
          <w:szCs w:val="20"/>
        </w:rPr>
      </w:pPr>
      <w:r w:rsidRPr="00471CBA">
        <w:rPr>
          <w:b/>
          <w:szCs w:val="20"/>
        </w:rPr>
        <w:t xml:space="preserve">h. </w:t>
      </w:r>
      <w:r w:rsidRPr="00471CBA">
        <w:rPr>
          <w:b/>
          <w:bCs/>
          <w:szCs w:val="20"/>
        </w:rPr>
        <w:t>Bankacılık hesaplarındaki kar oranı riskine ilişkin olarak kamuya açıklanacak hususlar:</w:t>
      </w:r>
    </w:p>
    <w:p w14:paraId="5C28922D" w14:textId="77777777" w:rsidR="007322D9" w:rsidRPr="00471CBA" w:rsidRDefault="007322D9" w:rsidP="007322D9">
      <w:pPr>
        <w:pStyle w:val="ListeParagraf"/>
        <w:autoSpaceDE w:val="0"/>
        <w:autoSpaceDN w:val="0"/>
        <w:adjustRightInd w:val="0"/>
        <w:spacing w:before="120" w:after="120"/>
        <w:ind w:left="0" w:right="187"/>
        <w:jc w:val="both"/>
        <w:rPr>
          <w:b/>
          <w:bCs/>
          <w:szCs w:val="20"/>
        </w:rPr>
      </w:pPr>
      <w:r w:rsidRPr="00471CBA">
        <w:rPr>
          <w:b/>
          <w:bCs/>
          <w:szCs w:val="20"/>
        </w:rPr>
        <w:t>1) Bankacılık hesaplarından kaynaklanan kar oranı riskinin niteliği ve kredi erken geri ödemeleri ve vadeli mevduatlar dışındaki mevduatların hareketine ilişkin olanlar da dahil önemli varsayımlar ile kar oranı riskinin ölçüm sıklığı</w:t>
      </w:r>
    </w:p>
    <w:p w14:paraId="427D6351" w14:textId="12875CB8" w:rsidR="006F6076" w:rsidRPr="00471CBA" w:rsidRDefault="006F6076" w:rsidP="000A45F8">
      <w:pPr>
        <w:spacing w:before="100" w:beforeAutospacing="1" w:after="100" w:afterAutospacing="1"/>
        <w:jc w:val="both"/>
        <w:rPr>
          <w:szCs w:val="20"/>
        </w:rPr>
      </w:pPr>
      <w:r w:rsidRPr="00471CBA">
        <w:t xml:space="preserve">Bankacılık hesaplarından doğan kâr payı oranı riskinin kapsamı; sabit </w:t>
      </w:r>
      <w:proofErr w:type="spellStart"/>
      <w:r w:rsidRPr="00471CBA">
        <w:t>karpaylı</w:t>
      </w:r>
      <w:proofErr w:type="spellEnd"/>
      <w:r w:rsidRPr="00471CBA">
        <w:t xml:space="preserve"> kredilerin erken kapatılması, vadeli </w:t>
      </w:r>
      <w:r w:rsidRPr="00471CBA">
        <w:rPr>
          <w:szCs w:val="20"/>
        </w:rPr>
        <w:t>fonların vadesinden önce çekilmesi ve vadesiz çekirdek fonlara ilişkin varsayımlar dâhil olmak üzere önemli kabulleri içermektedir. Söz konusu riskin ölçüm esasları ve sıklığı aşağıda özetlenmiştir:</w:t>
      </w:r>
    </w:p>
    <w:p w14:paraId="5F57FD2E" w14:textId="1490AB99" w:rsidR="006F6076" w:rsidRPr="00471CBA" w:rsidRDefault="006F6076" w:rsidP="008459A9">
      <w:pPr>
        <w:numPr>
          <w:ilvl w:val="0"/>
          <w:numId w:val="98"/>
        </w:numPr>
        <w:spacing w:before="100" w:beforeAutospacing="1" w:after="100" w:afterAutospacing="1"/>
        <w:jc w:val="both"/>
        <w:rPr>
          <w:szCs w:val="20"/>
        </w:rPr>
      </w:pPr>
      <w:r w:rsidRPr="00471CBA">
        <w:rPr>
          <w:szCs w:val="20"/>
        </w:rPr>
        <w:t xml:space="preserve">Bankacılık hesaplarından kaynaklanan kâr payı oranı riski, 12 Mayıs 2025 tarih ve 32898 sayılı Resmî </w:t>
      </w:r>
      <w:proofErr w:type="spellStart"/>
      <w:r w:rsidRPr="00471CBA">
        <w:rPr>
          <w:szCs w:val="20"/>
        </w:rPr>
        <w:t>Gazete’de</w:t>
      </w:r>
      <w:proofErr w:type="spellEnd"/>
      <w:r w:rsidRPr="00471CBA">
        <w:rPr>
          <w:szCs w:val="20"/>
        </w:rPr>
        <w:t xml:space="preserve"> yayımlanan “Bankacılık Hesaplarından Kaynaklanan Faiz Oranı Riskinin Standart Yaklaşımla Ölçülmesine ve Değerlendirilmesine İlişkin Yönetmelik” çerçevesinde, ay sonu bilanço verileri esas alınarak hesaplanmaktadır.</w:t>
      </w:r>
    </w:p>
    <w:p w14:paraId="4D98B6FC" w14:textId="5F7A289C" w:rsidR="006F6076" w:rsidRPr="00471CBA" w:rsidRDefault="006F6076" w:rsidP="008459A9">
      <w:pPr>
        <w:numPr>
          <w:ilvl w:val="0"/>
          <w:numId w:val="98"/>
        </w:numPr>
        <w:spacing w:before="100" w:beforeAutospacing="1" w:after="100" w:afterAutospacing="1"/>
        <w:jc w:val="both"/>
        <w:rPr>
          <w:szCs w:val="20"/>
        </w:rPr>
      </w:pPr>
      <w:r w:rsidRPr="00471CBA">
        <w:rPr>
          <w:szCs w:val="20"/>
        </w:rPr>
        <w:t>Kâr payı oranlarına duyarlı varlık ve yükümlülükler, yeniden fiyatlama vadelerine ve beklenen nakit akışlarına göre analiz edilmektedir. Bankacılık hesaplarına ilişkin aktif ve pasif kalemlerin yeniden fiyatlama dönemleri arasındaki farklara belirli şok uygulanmakta; bu kapsamda ortaya çıkan değer değişimi ana sermayeye oranlanmaktadır. İlgili tabloda paralel yukarı ve paralel aşağı yönlü kâr payı şoklarının sonuçları sunulmaktadır.</w:t>
      </w:r>
    </w:p>
    <w:p w14:paraId="1BAE1C1C" w14:textId="77777777" w:rsidR="007322D9" w:rsidRPr="00471CBA" w:rsidRDefault="007322D9" w:rsidP="006F6076">
      <w:pPr>
        <w:jc w:val="both"/>
        <w:rPr>
          <w:bCs/>
          <w:szCs w:val="20"/>
        </w:rPr>
      </w:pPr>
      <w:r w:rsidRPr="00471CBA">
        <w:rPr>
          <w:bCs/>
          <w:szCs w:val="20"/>
        </w:rPr>
        <w:t>Söz konusu hususların Banka sermayesini olumsuz etkileme riskine karşılık, Yönetim Kurulu tarafından oluşturulan Yönetmelikler kapsamında ve haftalık olarak Banka Aktif-Pasif Komitesi tarafından değerlendirilip, yönetilmektedir.</w:t>
      </w:r>
    </w:p>
    <w:p w14:paraId="01790D9B" w14:textId="2DB8DA93" w:rsidR="007322D9" w:rsidRPr="00471CBA" w:rsidRDefault="007322D9" w:rsidP="007322D9">
      <w:pPr>
        <w:rPr>
          <w:bCs/>
          <w:szCs w:val="20"/>
        </w:rPr>
      </w:pPr>
    </w:p>
    <w:p w14:paraId="3DD14F72" w14:textId="77777777" w:rsidR="007322D9" w:rsidRPr="00471CBA" w:rsidRDefault="007322D9" w:rsidP="007322D9">
      <w:pPr>
        <w:autoSpaceDE w:val="0"/>
        <w:autoSpaceDN w:val="0"/>
        <w:adjustRightInd w:val="0"/>
        <w:spacing w:after="120"/>
        <w:ind w:right="155"/>
        <w:jc w:val="both"/>
        <w:rPr>
          <w:b/>
          <w:bCs/>
          <w:szCs w:val="20"/>
        </w:rPr>
      </w:pPr>
      <w:r w:rsidRPr="00471CBA">
        <w:rPr>
          <w:b/>
          <w:bCs/>
          <w:szCs w:val="20"/>
        </w:rPr>
        <w:t xml:space="preserve">2) </w:t>
      </w:r>
      <w:bookmarkStart w:id="77" w:name="_Hlk127256648"/>
      <w:r w:rsidRPr="00471CBA">
        <w:rPr>
          <w:b/>
          <w:bCs/>
          <w:szCs w:val="20"/>
        </w:rPr>
        <w:t>Bankacılık Hesaplarından Kaynaklanan Kar Oranı Riskinin Standart Şok Yöntemiyle Ölçülmesine ve Değerlendirilmesine İlişkin Yönetmelik uyarınca kar oranlarındaki dalgalanmalardan doğan ekonomik değer farkları:</w:t>
      </w:r>
      <w:bookmarkEnd w:id="77"/>
    </w:p>
    <w:tbl>
      <w:tblPr>
        <w:tblW w:w="4924" w:type="pct"/>
        <w:tblCellMar>
          <w:left w:w="70" w:type="dxa"/>
          <w:right w:w="70" w:type="dxa"/>
        </w:tblCellMar>
        <w:tblLook w:val="04A0" w:firstRow="1" w:lastRow="0" w:firstColumn="1" w:lastColumn="0" w:noHBand="0" w:noVBand="1"/>
      </w:tblPr>
      <w:tblGrid>
        <w:gridCol w:w="5870"/>
        <w:gridCol w:w="3622"/>
      </w:tblGrid>
      <w:tr w:rsidR="003F7DEA" w:rsidRPr="00471CBA" w14:paraId="1CA8BF59" w14:textId="77777777" w:rsidTr="003F7DEA">
        <w:trPr>
          <w:trHeight w:val="289"/>
        </w:trPr>
        <w:tc>
          <w:tcPr>
            <w:tcW w:w="3092" w:type="pct"/>
            <w:vMerge w:val="restart"/>
            <w:tcBorders>
              <w:top w:val="single" w:sz="8" w:space="0" w:color="auto"/>
              <w:left w:val="nil"/>
              <w:bottom w:val="single" w:sz="4" w:space="0" w:color="000000"/>
              <w:right w:val="nil"/>
            </w:tcBorders>
            <w:noWrap/>
            <w:vAlign w:val="center"/>
            <w:hideMark/>
          </w:tcPr>
          <w:p w14:paraId="5E794E9D" w14:textId="77777777" w:rsidR="003F7DEA" w:rsidRPr="00471CBA" w:rsidRDefault="003F7DEA">
            <w:pPr>
              <w:rPr>
                <w:b/>
                <w:bCs/>
                <w:szCs w:val="20"/>
                <w:lang w:eastAsia="tr-TR"/>
              </w:rPr>
            </w:pPr>
            <w:r w:rsidRPr="00471CBA">
              <w:rPr>
                <w:b/>
                <w:bCs/>
                <w:szCs w:val="20"/>
                <w:lang w:eastAsia="tr-TR"/>
              </w:rPr>
              <w:t>Para Birimi</w:t>
            </w:r>
          </w:p>
        </w:tc>
        <w:tc>
          <w:tcPr>
            <w:tcW w:w="1908" w:type="pct"/>
            <w:vMerge w:val="restart"/>
            <w:tcBorders>
              <w:top w:val="single" w:sz="8" w:space="0" w:color="auto"/>
              <w:left w:val="nil"/>
              <w:bottom w:val="single" w:sz="4" w:space="0" w:color="000000"/>
              <w:right w:val="nil"/>
            </w:tcBorders>
            <w:vAlign w:val="center"/>
            <w:hideMark/>
          </w:tcPr>
          <w:p w14:paraId="6EC9C9C1" w14:textId="77777777" w:rsidR="003F7DEA" w:rsidRPr="00471CBA" w:rsidRDefault="003F7DEA">
            <w:pPr>
              <w:jc w:val="right"/>
              <w:rPr>
                <w:b/>
                <w:bCs/>
                <w:szCs w:val="20"/>
                <w:lang w:eastAsia="tr-TR"/>
              </w:rPr>
            </w:pPr>
            <w:r w:rsidRPr="00471CBA">
              <w:rPr>
                <w:b/>
                <w:bCs/>
                <w:szCs w:val="20"/>
                <w:lang w:eastAsia="tr-TR"/>
              </w:rPr>
              <w:t>31 Aralık 2025</w:t>
            </w:r>
          </w:p>
        </w:tc>
      </w:tr>
      <w:tr w:rsidR="003F7DEA" w:rsidRPr="00471CBA" w14:paraId="1A2AB9C9" w14:textId="77777777" w:rsidTr="003F7DEA">
        <w:trPr>
          <w:trHeight w:val="255"/>
        </w:trPr>
        <w:tc>
          <w:tcPr>
            <w:tcW w:w="0" w:type="auto"/>
            <w:vMerge/>
            <w:tcBorders>
              <w:top w:val="single" w:sz="8" w:space="0" w:color="auto"/>
              <w:left w:val="nil"/>
              <w:bottom w:val="single" w:sz="4" w:space="0" w:color="000000"/>
              <w:right w:val="nil"/>
            </w:tcBorders>
            <w:vAlign w:val="center"/>
            <w:hideMark/>
          </w:tcPr>
          <w:p w14:paraId="10C180D1" w14:textId="77777777" w:rsidR="003F7DEA" w:rsidRPr="00471CBA" w:rsidRDefault="003F7DEA">
            <w:pPr>
              <w:rPr>
                <w:b/>
                <w:bCs/>
                <w:szCs w:val="20"/>
                <w:lang w:eastAsia="tr-TR"/>
              </w:rPr>
            </w:pPr>
          </w:p>
        </w:tc>
        <w:tc>
          <w:tcPr>
            <w:tcW w:w="0" w:type="auto"/>
            <w:vMerge/>
            <w:tcBorders>
              <w:top w:val="single" w:sz="8" w:space="0" w:color="auto"/>
              <w:left w:val="nil"/>
              <w:bottom w:val="single" w:sz="4" w:space="0" w:color="000000"/>
              <w:right w:val="nil"/>
            </w:tcBorders>
            <w:vAlign w:val="center"/>
            <w:hideMark/>
          </w:tcPr>
          <w:p w14:paraId="6A779057" w14:textId="77777777" w:rsidR="003F7DEA" w:rsidRPr="00471CBA" w:rsidRDefault="003F7DEA">
            <w:pPr>
              <w:rPr>
                <w:b/>
                <w:bCs/>
                <w:szCs w:val="20"/>
                <w:lang w:eastAsia="tr-TR"/>
              </w:rPr>
            </w:pPr>
          </w:p>
        </w:tc>
      </w:tr>
      <w:tr w:rsidR="003F7DEA" w:rsidRPr="00471CBA" w14:paraId="423E35CD" w14:textId="77777777" w:rsidTr="003F7DEA">
        <w:trPr>
          <w:trHeight w:val="255"/>
        </w:trPr>
        <w:tc>
          <w:tcPr>
            <w:tcW w:w="3092" w:type="pct"/>
            <w:noWrap/>
            <w:vAlign w:val="center"/>
            <w:hideMark/>
          </w:tcPr>
          <w:p w14:paraId="74260C37" w14:textId="77777777" w:rsidR="003F7DEA" w:rsidRPr="00471CBA" w:rsidRDefault="003F7DEA">
            <w:pPr>
              <w:rPr>
                <w:szCs w:val="20"/>
                <w:lang w:eastAsia="tr-TR"/>
              </w:rPr>
            </w:pPr>
            <w:r w:rsidRPr="00471CBA">
              <w:rPr>
                <w:szCs w:val="20"/>
                <w:lang w:eastAsia="tr-TR"/>
              </w:rPr>
              <w:t>Paralel Yukarı</w:t>
            </w:r>
          </w:p>
        </w:tc>
        <w:tc>
          <w:tcPr>
            <w:tcW w:w="1908" w:type="pct"/>
            <w:vAlign w:val="center"/>
            <w:hideMark/>
          </w:tcPr>
          <w:p w14:paraId="72AF7CA9" w14:textId="77777777" w:rsidR="003F7DEA" w:rsidRPr="00471CBA" w:rsidRDefault="003F7DEA">
            <w:pPr>
              <w:jc w:val="right"/>
              <w:rPr>
                <w:szCs w:val="20"/>
                <w:lang w:eastAsia="tr-TR"/>
              </w:rPr>
            </w:pPr>
            <w:r w:rsidRPr="00471CBA">
              <w:rPr>
                <w:szCs w:val="20"/>
                <w:lang w:eastAsia="tr-TR"/>
              </w:rPr>
              <w:t>527.529</w:t>
            </w:r>
          </w:p>
        </w:tc>
      </w:tr>
      <w:tr w:rsidR="003F7DEA" w:rsidRPr="00471CBA" w14:paraId="7BC1A467" w14:textId="77777777" w:rsidTr="003F7DEA">
        <w:trPr>
          <w:trHeight w:val="255"/>
        </w:trPr>
        <w:tc>
          <w:tcPr>
            <w:tcW w:w="3092" w:type="pct"/>
            <w:noWrap/>
            <w:vAlign w:val="center"/>
            <w:hideMark/>
          </w:tcPr>
          <w:p w14:paraId="67A2D063" w14:textId="77777777" w:rsidR="003F7DEA" w:rsidRPr="00471CBA" w:rsidRDefault="003F7DEA">
            <w:pPr>
              <w:rPr>
                <w:szCs w:val="20"/>
                <w:lang w:eastAsia="tr-TR"/>
              </w:rPr>
            </w:pPr>
            <w:r w:rsidRPr="00471CBA">
              <w:rPr>
                <w:szCs w:val="20"/>
                <w:lang w:eastAsia="tr-TR"/>
              </w:rPr>
              <w:t>Paralel Aşağı</w:t>
            </w:r>
          </w:p>
        </w:tc>
        <w:tc>
          <w:tcPr>
            <w:tcW w:w="1908" w:type="pct"/>
            <w:vAlign w:val="center"/>
            <w:hideMark/>
          </w:tcPr>
          <w:p w14:paraId="6C215AC7" w14:textId="77777777" w:rsidR="003F7DEA" w:rsidRPr="00471CBA" w:rsidRDefault="003F7DEA">
            <w:pPr>
              <w:jc w:val="right"/>
              <w:rPr>
                <w:szCs w:val="20"/>
                <w:lang w:eastAsia="tr-TR"/>
              </w:rPr>
            </w:pPr>
            <w:r w:rsidRPr="00471CBA">
              <w:rPr>
                <w:szCs w:val="20"/>
                <w:lang w:eastAsia="tr-TR"/>
              </w:rPr>
              <w:t>(524.610)</w:t>
            </w:r>
          </w:p>
        </w:tc>
      </w:tr>
      <w:tr w:rsidR="003F7DEA" w:rsidRPr="00471CBA" w14:paraId="0BEC5D7D" w14:textId="77777777" w:rsidTr="003F7DEA">
        <w:trPr>
          <w:trHeight w:val="255"/>
        </w:trPr>
        <w:tc>
          <w:tcPr>
            <w:tcW w:w="3092" w:type="pct"/>
            <w:noWrap/>
            <w:vAlign w:val="center"/>
            <w:hideMark/>
          </w:tcPr>
          <w:p w14:paraId="4ECCF35C" w14:textId="77777777" w:rsidR="003F7DEA" w:rsidRPr="00471CBA" w:rsidRDefault="003F7DEA">
            <w:pPr>
              <w:rPr>
                <w:szCs w:val="20"/>
                <w:lang w:eastAsia="tr-TR"/>
              </w:rPr>
            </w:pPr>
            <w:r w:rsidRPr="00471CBA">
              <w:rPr>
                <w:szCs w:val="20"/>
                <w:lang w:eastAsia="tr-TR"/>
              </w:rPr>
              <w:t>Artan Eğim</w:t>
            </w:r>
          </w:p>
        </w:tc>
        <w:tc>
          <w:tcPr>
            <w:tcW w:w="1908" w:type="pct"/>
            <w:vAlign w:val="center"/>
            <w:hideMark/>
          </w:tcPr>
          <w:p w14:paraId="27A0F8A6" w14:textId="77777777" w:rsidR="003F7DEA" w:rsidRPr="00471CBA" w:rsidRDefault="003F7DEA">
            <w:pPr>
              <w:jc w:val="right"/>
              <w:rPr>
                <w:szCs w:val="20"/>
                <w:lang w:eastAsia="tr-TR"/>
              </w:rPr>
            </w:pPr>
            <w:r w:rsidRPr="00471CBA">
              <w:rPr>
                <w:szCs w:val="20"/>
                <w:lang w:eastAsia="tr-TR"/>
              </w:rPr>
              <w:t>(200.176)</w:t>
            </w:r>
          </w:p>
        </w:tc>
      </w:tr>
      <w:tr w:rsidR="003F7DEA" w:rsidRPr="00471CBA" w14:paraId="313F7672" w14:textId="77777777" w:rsidTr="003F7DEA">
        <w:trPr>
          <w:trHeight w:val="255"/>
        </w:trPr>
        <w:tc>
          <w:tcPr>
            <w:tcW w:w="3092" w:type="pct"/>
            <w:noWrap/>
            <w:vAlign w:val="center"/>
            <w:hideMark/>
          </w:tcPr>
          <w:p w14:paraId="05CB4DD8" w14:textId="77777777" w:rsidR="003F7DEA" w:rsidRPr="00471CBA" w:rsidRDefault="003F7DEA">
            <w:pPr>
              <w:rPr>
                <w:szCs w:val="20"/>
                <w:lang w:eastAsia="tr-TR"/>
              </w:rPr>
            </w:pPr>
            <w:r w:rsidRPr="00471CBA">
              <w:rPr>
                <w:szCs w:val="20"/>
                <w:lang w:eastAsia="tr-TR"/>
              </w:rPr>
              <w:t>Azalan Eğim</w:t>
            </w:r>
          </w:p>
        </w:tc>
        <w:tc>
          <w:tcPr>
            <w:tcW w:w="1908" w:type="pct"/>
            <w:vAlign w:val="center"/>
            <w:hideMark/>
          </w:tcPr>
          <w:p w14:paraId="63760B3E" w14:textId="77777777" w:rsidR="003F7DEA" w:rsidRPr="00471CBA" w:rsidRDefault="003F7DEA">
            <w:pPr>
              <w:jc w:val="right"/>
              <w:rPr>
                <w:szCs w:val="20"/>
                <w:lang w:eastAsia="tr-TR"/>
              </w:rPr>
            </w:pPr>
            <w:r w:rsidRPr="00471CBA">
              <w:rPr>
                <w:szCs w:val="20"/>
                <w:lang w:eastAsia="tr-TR"/>
              </w:rPr>
              <w:t>279.738</w:t>
            </w:r>
          </w:p>
        </w:tc>
      </w:tr>
      <w:tr w:rsidR="003F7DEA" w:rsidRPr="00471CBA" w14:paraId="3F4BBAA5" w14:textId="77777777" w:rsidTr="003F7DEA">
        <w:trPr>
          <w:trHeight w:val="255"/>
        </w:trPr>
        <w:tc>
          <w:tcPr>
            <w:tcW w:w="3092" w:type="pct"/>
            <w:noWrap/>
            <w:vAlign w:val="center"/>
            <w:hideMark/>
          </w:tcPr>
          <w:p w14:paraId="6AAFC323" w14:textId="77777777" w:rsidR="003F7DEA" w:rsidRPr="00471CBA" w:rsidRDefault="003F7DEA">
            <w:pPr>
              <w:rPr>
                <w:szCs w:val="20"/>
                <w:lang w:eastAsia="tr-TR"/>
              </w:rPr>
            </w:pPr>
            <w:r w:rsidRPr="00471CBA">
              <w:rPr>
                <w:szCs w:val="20"/>
                <w:lang w:eastAsia="tr-TR"/>
              </w:rPr>
              <w:t>Kısa Vadeli Yukarı</w:t>
            </w:r>
          </w:p>
        </w:tc>
        <w:tc>
          <w:tcPr>
            <w:tcW w:w="1908" w:type="pct"/>
            <w:vAlign w:val="center"/>
            <w:hideMark/>
          </w:tcPr>
          <w:p w14:paraId="73DDF9BE" w14:textId="77777777" w:rsidR="003F7DEA" w:rsidRPr="00471CBA" w:rsidRDefault="003F7DEA">
            <w:pPr>
              <w:jc w:val="right"/>
              <w:rPr>
                <w:szCs w:val="20"/>
                <w:lang w:eastAsia="tr-TR"/>
              </w:rPr>
            </w:pPr>
            <w:r w:rsidRPr="00471CBA">
              <w:rPr>
                <w:szCs w:val="20"/>
                <w:lang w:eastAsia="tr-TR"/>
              </w:rPr>
              <w:t>503.024</w:t>
            </w:r>
          </w:p>
        </w:tc>
      </w:tr>
      <w:tr w:rsidR="003F7DEA" w:rsidRPr="00471CBA" w14:paraId="5C3090DB" w14:textId="77777777" w:rsidTr="003F7DEA">
        <w:trPr>
          <w:trHeight w:val="255"/>
        </w:trPr>
        <w:tc>
          <w:tcPr>
            <w:tcW w:w="3092" w:type="pct"/>
            <w:noWrap/>
            <w:vAlign w:val="center"/>
            <w:hideMark/>
          </w:tcPr>
          <w:p w14:paraId="574434B1" w14:textId="77777777" w:rsidR="003F7DEA" w:rsidRPr="00471CBA" w:rsidRDefault="003F7DEA">
            <w:pPr>
              <w:rPr>
                <w:szCs w:val="20"/>
                <w:lang w:eastAsia="tr-TR"/>
              </w:rPr>
            </w:pPr>
            <w:r w:rsidRPr="00471CBA">
              <w:rPr>
                <w:szCs w:val="20"/>
                <w:lang w:eastAsia="tr-TR"/>
              </w:rPr>
              <w:t>Kısa Vadeli Aşağı</w:t>
            </w:r>
          </w:p>
        </w:tc>
        <w:tc>
          <w:tcPr>
            <w:tcW w:w="1908" w:type="pct"/>
            <w:vAlign w:val="center"/>
            <w:hideMark/>
          </w:tcPr>
          <w:p w14:paraId="6EA64197" w14:textId="77777777" w:rsidR="003F7DEA" w:rsidRPr="00471CBA" w:rsidRDefault="003F7DEA">
            <w:pPr>
              <w:jc w:val="right"/>
              <w:rPr>
                <w:szCs w:val="20"/>
                <w:lang w:eastAsia="tr-TR"/>
              </w:rPr>
            </w:pPr>
            <w:r w:rsidRPr="00471CBA">
              <w:rPr>
                <w:szCs w:val="20"/>
                <w:lang w:eastAsia="tr-TR"/>
              </w:rPr>
              <w:t>(486.589)</w:t>
            </w:r>
          </w:p>
        </w:tc>
      </w:tr>
      <w:tr w:rsidR="003F7DEA" w:rsidRPr="00471CBA" w14:paraId="52ABBAC9" w14:textId="77777777" w:rsidTr="003F7DEA">
        <w:trPr>
          <w:trHeight w:val="255"/>
        </w:trPr>
        <w:tc>
          <w:tcPr>
            <w:tcW w:w="3092" w:type="pct"/>
            <w:tcBorders>
              <w:top w:val="single" w:sz="4" w:space="0" w:color="auto"/>
              <w:left w:val="nil"/>
              <w:bottom w:val="nil"/>
              <w:right w:val="nil"/>
            </w:tcBorders>
            <w:noWrap/>
            <w:vAlign w:val="center"/>
            <w:hideMark/>
          </w:tcPr>
          <w:p w14:paraId="4E32097C" w14:textId="77777777" w:rsidR="003F7DEA" w:rsidRPr="00471CBA" w:rsidRDefault="003F7DEA">
            <w:pPr>
              <w:rPr>
                <w:b/>
                <w:bCs/>
                <w:szCs w:val="20"/>
                <w:lang w:eastAsia="tr-TR"/>
              </w:rPr>
            </w:pPr>
            <w:r w:rsidRPr="00471CBA">
              <w:rPr>
                <w:b/>
                <w:bCs/>
                <w:szCs w:val="20"/>
                <w:lang w:eastAsia="tr-TR"/>
              </w:rPr>
              <w:t>Maksimum</w:t>
            </w:r>
          </w:p>
        </w:tc>
        <w:tc>
          <w:tcPr>
            <w:tcW w:w="1908" w:type="pct"/>
            <w:tcBorders>
              <w:top w:val="single" w:sz="4" w:space="0" w:color="auto"/>
              <w:left w:val="nil"/>
              <w:bottom w:val="single" w:sz="4" w:space="0" w:color="auto"/>
              <w:right w:val="nil"/>
            </w:tcBorders>
            <w:vAlign w:val="center"/>
            <w:hideMark/>
          </w:tcPr>
          <w:p w14:paraId="70A2B169" w14:textId="77777777" w:rsidR="003F7DEA" w:rsidRPr="00471CBA" w:rsidRDefault="003F7DEA">
            <w:pPr>
              <w:jc w:val="right"/>
              <w:rPr>
                <w:b/>
                <w:bCs/>
                <w:szCs w:val="20"/>
                <w:lang w:eastAsia="tr-TR"/>
              </w:rPr>
            </w:pPr>
            <w:r w:rsidRPr="00471CBA">
              <w:rPr>
                <w:b/>
                <w:bCs/>
                <w:szCs w:val="20"/>
                <w:lang w:eastAsia="tr-TR"/>
              </w:rPr>
              <w:t>527.529</w:t>
            </w:r>
          </w:p>
        </w:tc>
      </w:tr>
      <w:tr w:rsidR="003F7DEA" w:rsidRPr="00471CBA" w14:paraId="5FC21BAF" w14:textId="77777777" w:rsidTr="003F7DEA">
        <w:trPr>
          <w:trHeight w:val="270"/>
        </w:trPr>
        <w:tc>
          <w:tcPr>
            <w:tcW w:w="3092" w:type="pct"/>
            <w:tcBorders>
              <w:top w:val="single" w:sz="4" w:space="0" w:color="auto"/>
              <w:left w:val="nil"/>
              <w:bottom w:val="single" w:sz="8" w:space="0" w:color="auto"/>
              <w:right w:val="nil"/>
            </w:tcBorders>
            <w:noWrap/>
            <w:vAlign w:val="center"/>
            <w:hideMark/>
          </w:tcPr>
          <w:p w14:paraId="2129A037" w14:textId="77777777" w:rsidR="003F7DEA" w:rsidRPr="00471CBA" w:rsidRDefault="003F7DEA">
            <w:pPr>
              <w:rPr>
                <w:b/>
                <w:bCs/>
                <w:szCs w:val="20"/>
                <w:lang w:eastAsia="tr-TR"/>
              </w:rPr>
            </w:pPr>
            <w:r w:rsidRPr="00471CBA">
              <w:rPr>
                <w:b/>
                <w:bCs/>
                <w:szCs w:val="20"/>
                <w:lang w:eastAsia="tr-TR"/>
              </w:rPr>
              <w:t>Ana Sermaye</w:t>
            </w:r>
          </w:p>
        </w:tc>
        <w:tc>
          <w:tcPr>
            <w:tcW w:w="1908" w:type="pct"/>
            <w:tcBorders>
              <w:top w:val="nil"/>
              <w:left w:val="nil"/>
              <w:bottom w:val="single" w:sz="8" w:space="0" w:color="auto"/>
              <w:right w:val="nil"/>
            </w:tcBorders>
            <w:vAlign w:val="center"/>
            <w:hideMark/>
          </w:tcPr>
          <w:p w14:paraId="54F426BC" w14:textId="77777777" w:rsidR="003F7DEA" w:rsidRPr="00471CBA" w:rsidRDefault="003F7DEA">
            <w:pPr>
              <w:jc w:val="right"/>
              <w:rPr>
                <w:b/>
                <w:bCs/>
                <w:szCs w:val="20"/>
                <w:lang w:eastAsia="tr-TR"/>
              </w:rPr>
            </w:pPr>
            <w:r w:rsidRPr="00471CBA">
              <w:rPr>
                <w:b/>
                <w:bCs/>
                <w:szCs w:val="20"/>
                <w:lang w:eastAsia="tr-TR"/>
              </w:rPr>
              <w:t>8.764.650</w:t>
            </w:r>
          </w:p>
        </w:tc>
      </w:tr>
    </w:tbl>
    <w:p w14:paraId="763A87B4" w14:textId="3500C3E6" w:rsidR="00285F25" w:rsidRDefault="00285F25">
      <w:pPr>
        <w:rPr>
          <w:bCs/>
          <w:szCs w:val="20"/>
        </w:rPr>
      </w:pPr>
      <w:r w:rsidRPr="00471CBA">
        <w:rPr>
          <w:bCs/>
          <w:szCs w:val="20"/>
        </w:rPr>
        <w:br w:type="page"/>
      </w:r>
    </w:p>
    <w:p w14:paraId="46755CB3" w14:textId="77777777" w:rsidR="00D067C4" w:rsidRPr="00471CBA" w:rsidRDefault="00D067C4" w:rsidP="00D067C4">
      <w:pPr>
        <w:rPr>
          <w:b/>
          <w:szCs w:val="20"/>
        </w:rPr>
      </w:pPr>
      <w:r w:rsidRPr="00471CBA">
        <w:rPr>
          <w:b/>
          <w:szCs w:val="20"/>
        </w:rPr>
        <w:t>MALİ BÜNYEYE VE RİSK YÖNETİMİNE İLİŞKİN BİLGİLER (Devamı)</w:t>
      </w:r>
    </w:p>
    <w:p w14:paraId="7968125D" w14:textId="77777777" w:rsidR="00D067C4" w:rsidRPr="00471CBA" w:rsidRDefault="00D067C4">
      <w:pPr>
        <w:rPr>
          <w:bCs/>
          <w:szCs w:val="20"/>
        </w:rPr>
      </w:pPr>
    </w:p>
    <w:p w14:paraId="077915AB" w14:textId="4A965C54" w:rsidR="003F1901" w:rsidRPr="00471CBA" w:rsidRDefault="00E7584F" w:rsidP="008459A9">
      <w:pPr>
        <w:pStyle w:val="ListeParagraf"/>
        <w:widowControl w:val="0"/>
        <w:numPr>
          <w:ilvl w:val="0"/>
          <w:numId w:val="102"/>
        </w:numPr>
        <w:jc w:val="both"/>
        <w:outlineLvl w:val="1"/>
        <w:rPr>
          <w:b/>
          <w:szCs w:val="20"/>
        </w:rPr>
      </w:pPr>
      <w:bookmarkStart w:id="78" w:name="_Hlk189495902"/>
      <w:bookmarkStart w:id="79" w:name="_Hlk189495913"/>
      <w:r w:rsidRPr="00471CBA">
        <w:rPr>
          <w:b/>
          <w:szCs w:val="20"/>
        </w:rPr>
        <w:t>FAALİYET BÖLÜMLERİNE İLİŞKİN AÇIKLAMALAR</w:t>
      </w:r>
    </w:p>
    <w:p w14:paraId="0560E4D3" w14:textId="77777777" w:rsidR="00BA2226" w:rsidRPr="00471CBA" w:rsidRDefault="00BA2226" w:rsidP="00BA2226">
      <w:pPr>
        <w:pStyle w:val="ListeParagraf"/>
        <w:widowControl w:val="0"/>
        <w:ind w:left="567"/>
        <w:jc w:val="both"/>
        <w:outlineLvl w:val="1"/>
        <w:rPr>
          <w:b/>
          <w:szCs w:val="20"/>
        </w:rPr>
      </w:pPr>
    </w:p>
    <w:bookmarkEnd w:id="63"/>
    <w:p w14:paraId="5BFB5E9C" w14:textId="63FCEAFA" w:rsidR="00A71B74" w:rsidRPr="00471CBA" w:rsidRDefault="00284FE5" w:rsidP="00BA2226">
      <w:pPr>
        <w:ind w:left="567"/>
        <w:jc w:val="both"/>
      </w:pPr>
      <w:r w:rsidRPr="00471CBA">
        <w:t xml:space="preserve">Banka, </w:t>
      </w:r>
      <w:r w:rsidR="002B35A0" w:rsidRPr="00471CBA">
        <w:t>Perakende,</w:t>
      </w:r>
      <w:r w:rsidR="00CC02DD" w:rsidRPr="00471CBA">
        <w:t xml:space="preserve"> </w:t>
      </w:r>
      <w:r w:rsidR="002B35A0" w:rsidRPr="00471CBA">
        <w:t>Ticari, Kurumsal</w:t>
      </w:r>
      <w:r w:rsidR="00662B66" w:rsidRPr="00471CBA">
        <w:t xml:space="preserve">, </w:t>
      </w:r>
      <w:r w:rsidR="002B35A0" w:rsidRPr="00471CBA">
        <w:t>KOBİ</w:t>
      </w:r>
      <w:r w:rsidR="00662B66" w:rsidRPr="00471CBA">
        <w:t xml:space="preserve"> ve</w:t>
      </w:r>
      <w:r w:rsidRPr="00471CBA">
        <w:t xml:space="preserve"> Hazine alanlarında faaliyette</w:t>
      </w:r>
      <w:r w:rsidR="00CC02DD" w:rsidRPr="00471CBA">
        <w:t xml:space="preserve"> </w:t>
      </w:r>
      <w:r w:rsidRPr="00471CBA">
        <w:t>bulunmaktadır.</w:t>
      </w:r>
    </w:p>
    <w:bookmarkEnd w:id="78"/>
    <w:bookmarkEnd w:id="79"/>
    <w:p w14:paraId="5794B9B8" w14:textId="44CB166F" w:rsidR="00A74C68" w:rsidRPr="00471CBA" w:rsidRDefault="00A74C68" w:rsidP="00A71B74"/>
    <w:tbl>
      <w:tblPr>
        <w:tblW w:w="5000" w:type="pct"/>
        <w:tblCellMar>
          <w:left w:w="70" w:type="dxa"/>
          <w:right w:w="70" w:type="dxa"/>
        </w:tblCellMar>
        <w:tblLook w:val="04A0" w:firstRow="1" w:lastRow="0" w:firstColumn="1" w:lastColumn="0" w:noHBand="0" w:noVBand="1"/>
      </w:tblPr>
      <w:tblGrid>
        <w:gridCol w:w="2719"/>
        <w:gridCol w:w="1457"/>
        <w:gridCol w:w="1891"/>
        <w:gridCol w:w="1947"/>
        <w:gridCol w:w="1625"/>
      </w:tblGrid>
      <w:tr w:rsidR="00A74C68" w:rsidRPr="00471CBA" w14:paraId="21EF83CC" w14:textId="77777777" w:rsidTr="00A74C68">
        <w:trPr>
          <w:divId w:val="96491655"/>
          <w:trHeight w:val="227"/>
        </w:trPr>
        <w:tc>
          <w:tcPr>
            <w:tcW w:w="1410" w:type="pct"/>
            <w:tcBorders>
              <w:top w:val="nil"/>
              <w:left w:val="nil"/>
              <w:bottom w:val="single" w:sz="4" w:space="0" w:color="auto"/>
              <w:right w:val="nil"/>
            </w:tcBorders>
            <w:noWrap/>
            <w:vAlign w:val="bottom"/>
            <w:hideMark/>
          </w:tcPr>
          <w:p w14:paraId="5777AC72" w14:textId="736A7EF0" w:rsidR="00A74C68" w:rsidRPr="00471CBA" w:rsidRDefault="00A74C68" w:rsidP="00A74C68">
            <w:pPr>
              <w:rPr>
                <w:b/>
                <w:bCs/>
                <w:color w:val="000000"/>
                <w:szCs w:val="20"/>
                <w:lang w:eastAsia="tr-TR"/>
              </w:rPr>
            </w:pPr>
            <w:r w:rsidRPr="00471CBA">
              <w:rPr>
                <w:b/>
                <w:bCs/>
                <w:color w:val="000000"/>
                <w:szCs w:val="20"/>
                <w:lang w:eastAsia="tr-TR"/>
              </w:rPr>
              <w:t>Cari Dönem</w:t>
            </w:r>
          </w:p>
        </w:tc>
        <w:tc>
          <w:tcPr>
            <w:tcW w:w="756" w:type="pct"/>
            <w:tcBorders>
              <w:top w:val="nil"/>
              <w:left w:val="nil"/>
              <w:bottom w:val="single" w:sz="4" w:space="0" w:color="auto"/>
              <w:right w:val="nil"/>
            </w:tcBorders>
            <w:vAlign w:val="bottom"/>
            <w:hideMark/>
          </w:tcPr>
          <w:p w14:paraId="251F699B" w14:textId="77777777" w:rsidR="00A74C68" w:rsidRPr="00471CBA" w:rsidRDefault="00A74C68" w:rsidP="00A74C68">
            <w:pPr>
              <w:jc w:val="right"/>
              <w:rPr>
                <w:b/>
                <w:bCs/>
                <w:color w:val="000000"/>
                <w:szCs w:val="20"/>
                <w:lang w:eastAsia="tr-TR"/>
              </w:rPr>
            </w:pPr>
            <w:r w:rsidRPr="00471CBA">
              <w:rPr>
                <w:b/>
                <w:bCs/>
                <w:color w:val="000000"/>
                <w:szCs w:val="20"/>
                <w:lang w:eastAsia="tr-TR"/>
              </w:rPr>
              <w:t>Perakende</w:t>
            </w:r>
            <w:r w:rsidRPr="00471CBA">
              <w:rPr>
                <w:b/>
                <w:bCs/>
                <w:color w:val="000000"/>
                <w:szCs w:val="20"/>
                <w:lang w:eastAsia="tr-TR"/>
              </w:rPr>
              <w:br/>
              <w:t xml:space="preserve"> Bankacılık</w:t>
            </w:r>
          </w:p>
        </w:tc>
        <w:tc>
          <w:tcPr>
            <w:tcW w:w="981" w:type="pct"/>
            <w:tcBorders>
              <w:top w:val="nil"/>
              <w:left w:val="nil"/>
              <w:bottom w:val="single" w:sz="4" w:space="0" w:color="auto"/>
              <w:right w:val="nil"/>
            </w:tcBorders>
            <w:vAlign w:val="bottom"/>
            <w:hideMark/>
          </w:tcPr>
          <w:p w14:paraId="41233121" w14:textId="77777777" w:rsidR="00A74C68" w:rsidRPr="00471CBA" w:rsidRDefault="00A74C68" w:rsidP="00A74C68">
            <w:pPr>
              <w:jc w:val="right"/>
              <w:rPr>
                <w:b/>
                <w:bCs/>
                <w:color w:val="000000"/>
                <w:szCs w:val="20"/>
                <w:lang w:eastAsia="tr-TR"/>
              </w:rPr>
            </w:pPr>
            <w:r w:rsidRPr="00471CBA">
              <w:rPr>
                <w:b/>
                <w:bCs/>
                <w:color w:val="000000"/>
                <w:szCs w:val="20"/>
                <w:lang w:eastAsia="tr-TR"/>
              </w:rPr>
              <w:t>Ticari, Kurumsal ve KOBİ Bankacılığı</w:t>
            </w:r>
          </w:p>
        </w:tc>
        <w:tc>
          <w:tcPr>
            <w:tcW w:w="1010" w:type="pct"/>
            <w:tcBorders>
              <w:top w:val="nil"/>
              <w:left w:val="nil"/>
              <w:bottom w:val="single" w:sz="4" w:space="0" w:color="auto"/>
              <w:right w:val="nil"/>
            </w:tcBorders>
            <w:vAlign w:val="bottom"/>
            <w:hideMark/>
          </w:tcPr>
          <w:p w14:paraId="7E20A650" w14:textId="77777777" w:rsidR="00A74C68" w:rsidRPr="00471CBA" w:rsidRDefault="00A74C68" w:rsidP="00A74C68">
            <w:pPr>
              <w:jc w:val="right"/>
              <w:rPr>
                <w:b/>
                <w:bCs/>
                <w:color w:val="000000"/>
                <w:szCs w:val="20"/>
                <w:lang w:eastAsia="tr-TR"/>
              </w:rPr>
            </w:pPr>
            <w:r w:rsidRPr="00471CBA">
              <w:rPr>
                <w:b/>
                <w:bCs/>
                <w:color w:val="000000"/>
                <w:szCs w:val="20"/>
                <w:lang w:eastAsia="tr-TR"/>
              </w:rPr>
              <w:t xml:space="preserve">Hazine, </w:t>
            </w:r>
            <w:proofErr w:type="gramStart"/>
            <w:r w:rsidRPr="00471CBA">
              <w:rPr>
                <w:b/>
                <w:bCs/>
                <w:color w:val="000000"/>
                <w:szCs w:val="20"/>
                <w:lang w:eastAsia="tr-TR"/>
              </w:rPr>
              <w:t>Diğer</w:t>
            </w:r>
            <w:proofErr w:type="gramEnd"/>
            <w:r w:rsidRPr="00471CBA">
              <w:rPr>
                <w:b/>
                <w:bCs/>
                <w:color w:val="000000"/>
                <w:szCs w:val="20"/>
                <w:lang w:eastAsia="tr-TR"/>
              </w:rPr>
              <w:t xml:space="preserve"> ve Dağıtılamayan</w:t>
            </w:r>
          </w:p>
        </w:tc>
        <w:tc>
          <w:tcPr>
            <w:tcW w:w="843" w:type="pct"/>
            <w:tcBorders>
              <w:top w:val="nil"/>
              <w:left w:val="nil"/>
              <w:bottom w:val="single" w:sz="4" w:space="0" w:color="auto"/>
              <w:right w:val="nil"/>
            </w:tcBorders>
            <w:vAlign w:val="bottom"/>
            <w:hideMark/>
          </w:tcPr>
          <w:p w14:paraId="45993769" w14:textId="77777777" w:rsidR="00A74C68" w:rsidRPr="00471CBA" w:rsidRDefault="00A74C68" w:rsidP="00A74C68">
            <w:pPr>
              <w:jc w:val="right"/>
              <w:rPr>
                <w:b/>
                <w:bCs/>
                <w:color w:val="000000"/>
                <w:szCs w:val="20"/>
                <w:lang w:eastAsia="tr-TR"/>
              </w:rPr>
            </w:pPr>
            <w:r w:rsidRPr="00471CBA">
              <w:rPr>
                <w:b/>
                <w:bCs/>
                <w:color w:val="000000"/>
                <w:szCs w:val="20"/>
                <w:lang w:eastAsia="tr-TR"/>
              </w:rPr>
              <w:t>Toplam</w:t>
            </w:r>
          </w:p>
        </w:tc>
      </w:tr>
      <w:tr w:rsidR="00A74C68" w:rsidRPr="00471CBA" w14:paraId="29F925E0" w14:textId="77777777" w:rsidTr="00A74C68">
        <w:trPr>
          <w:divId w:val="96491655"/>
          <w:trHeight w:val="227"/>
        </w:trPr>
        <w:tc>
          <w:tcPr>
            <w:tcW w:w="1410" w:type="pct"/>
            <w:tcBorders>
              <w:top w:val="single" w:sz="4" w:space="0" w:color="auto"/>
              <w:left w:val="nil"/>
              <w:bottom w:val="nil"/>
              <w:right w:val="nil"/>
            </w:tcBorders>
            <w:noWrap/>
            <w:vAlign w:val="bottom"/>
            <w:hideMark/>
          </w:tcPr>
          <w:p w14:paraId="7C9FFBFA" w14:textId="77777777" w:rsidR="00A74C68" w:rsidRPr="00471CBA" w:rsidRDefault="00A74C68" w:rsidP="00A74C68">
            <w:pPr>
              <w:rPr>
                <w:b/>
                <w:bCs/>
                <w:color w:val="000000"/>
                <w:szCs w:val="20"/>
                <w:lang w:eastAsia="tr-TR"/>
              </w:rPr>
            </w:pPr>
          </w:p>
        </w:tc>
        <w:tc>
          <w:tcPr>
            <w:tcW w:w="756" w:type="pct"/>
            <w:tcBorders>
              <w:top w:val="single" w:sz="4" w:space="0" w:color="auto"/>
              <w:left w:val="nil"/>
              <w:bottom w:val="nil"/>
              <w:right w:val="nil"/>
            </w:tcBorders>
            <w:noWrap/>
            <w:vAlign w:val="bottom"/>
            <w:hideMark/>
          </w:tcPr>
          <w:p w14:paraId="2092A1FB" w14:textId="77777777" w:rsidR="00A74C68" w:rsidRPr="00471CBA" w:rsidRDefault="00A74C68" w:rsidP="00A74C68">
            <w:pPr>
              <w:jc w:val="right"/>
              <w:rPr>
                <w:szCs w:val="20"/>
                <w:lang w:eastAsia="tr-TR"/>
              </w:rPr>
            </w:pPr>
          </w:p>
        </w:tc>
        <w:tc>
          <w:tcPr>
            <w:tcW w:w="981" w:type="pct"/>
            <w:tcBorders>
              <w:top w:val="single" w:sz="4" w:space="0" w:color="auto"/>
              <w:left w:val="nil"/>
              <w:bottom w:val="nil"/>
              <w:right w:val="nil"/>
            </w:tcBorders>
            <w:noWrap/>
            <w:vAlign w:val="bottom"/>
            <w:hideMark/>
          </w:tcPr>
          <w:p w14:paraId="345CCCE9" w14:textId="77777777" w:rsidR="00A74C68" w:rsidRPr="00471CBA" w:rsidRDefault="00A74C68" w:rsidP="00A74C68">
            <w:pPr>
              <w:jc w:val="right"/>
              <w:rPr>
                <w:szCs w:val="20"/>
                <w:lang w:eastAsia="tr-TR"/>
              </w:rPr>
            </w:pPr>
          </w:p>
        </w:tc>
        <w:tc>
          <w:tcPr>
            <w:tcW w:w="1010" w:type="pct"/>
            <w:tcBorders>
              <w:top w:val="single" w:sz="4" w:space="0" w:color="auto"/>
              <w:left w:val="nil"/>
              <w:bottom w:val="nil"/>
              <w:right w:val="nil"/>
            </w:tcBorders>
            <w:noWrap/>
            <w:vAlign w:val="bottom"/>
            <w:hideMark/>
          </w:tcPr>
          <w:p w14:paraId="672DDF5C" w14:textId="77777777" w:rsidR="00A74C68" w:rsidRPr="00471CBA" w:rsidRDefault="00A74C68" w:rsidP="00A74C68">
            <w:pPr>
              <w:jc w:val="right"/>
              <w:rPr>
                <w:szCs w:val="20"/>
                <w:lang w:eastAsia="tr-TR"/>
              </w:rPr>
            </w:pPr>
          </w:p>
        </w:tc>
        <w:tc>
          <w:tcPr>
            <w:tcW w:w="843" w:type="pct"/>
            <w:tcBorders>
              <w:top w:val="single" w:sz="4" w:space="0" w:color="auto"/>
              <w:left w:val="nil"/>
              <w:bottom w:val="nil"/>
              <w:right w:val="nil"/>
            </w:tcBorders>
            <w:noWrap/>
            <w:vAlign w:val="bottom"/>
            <w:hideMark/>
          </w:tcPr>
          <w:p w14:paraId="65DEA8A8" w14:textId="77777777" w:rsidR="00A74C68" w:rsidRPr="00471CBA" w:rsidRDefault="00A74C68" w:rsidP="00A74C68">
            <w:pPr>
              <w:jc w:val="right"/>
              <w:rPr>
                <w:szCs w:val="20"/>
                <w:lang w:eastAsia="tr-TR"/>
              </w:rPr>
            </w:pPr>
          </w:p>
        </w:tc>
      </w:tr>
      <w:tr w:rsidR="00A74C68" w:rsidRPr="00471CBA" w14:paraId="28F81B71" w14:textId="77777777" w:rsidTr="00A74C68">
        <w:trPr>
          <w:divId w:val="96491655"/>
          <w:trHeight w:val="227"/>
        </w:trPr>
        <w:tc>
          <w:tcPr>
            <w:tcW w:w="1410" w:type="pct"/>
            <w:tcBorders>
              <w:top w:val="nil"/>
              <w:left w:val="nil"/>
              <w:bottom w:val="nil"/>
              <w:right w:val="nil"/>
            </w:tcBorders>
            <w:vAlign w:val="center"/>
            <w:hideMark/>
          </w:tcPr>
          <w:p w14:paraId="562ECAFB" w14:textId="77777777" w:rsidR="00A74C68" w:rsidRPr="00471CBA" w:rsidRDefault="00A74C68" w:rsidP="00A74C68">
            <w:pPr>
              <w:rPr>
                <w:color w:val="000000"/>
                <w:szCs w:val="20"/>
                <w:lang w:eastAsia="tr-TR"/>
              </w:rPr>
            </w:pPr>
            <w:r w:rsidRPr="00471CBA">
              <w:rPr>
                <w:color w:val="000000"/>
                <w:szCs w:val="20"/>
                <w:lang w:eastAsia="tr-TR"/>
              </w:rPr>
              <w:t>Faaliyet Gelirleri</w:t>
            </w:r>
          </w:p>
        </w:tc>
        <w:tc>
          <w:tcPr>
            <w:tcW w:w="756" w:type="pct"/>
            <w:tcBorders>
              <w:top w:val="nil"/>
              <w:left w:val="nil"/>
              <w:bottom w:val="nil"/>
              <w:right w:val="nil"/>
            </w:tcBorders>
            <w:vAlign w:val="center"/>
            <w:hideMark/>
          </w:tcPr>
          <w:p w14:paraId="5C2DD965" w14:textId="77777777" w:rsidR="00A74C68" w:rsidRPr="00471CBA" w:rsidRDefault="00A74C68" w:rsidP="00A74C68">
            <w:pPr>
              <w:jc w:val="right"/>
              <w:rPr>
                <w:color w:val="000000"/>
                <w:szCs w:val="20"/>
                <w:lang w:eastAsia="tr-TR"/>
              </w:rPr>
            </w:pPr>
            <w:r w:rsidRPr="00471CBA">
              <w:rPr>
                <w:color w:val="000000"/>
                <w:szCs w:val="20"/>
                <w:lang w:eastAsia="tr-TR"/>
              </w:rPr>
              <w:t>248.730</w:t>
            </w:r>
          </w:p>
        </w:tc>
        <w:tc>
          <w:tcPr>
            <w:tcW w:w="981" w:type="pct"/>
            <w:tcBorders>
              <w:top w:val="nil"/>
              <w:left w:val="nil"/>
              <w:bottom w:val="nil"/>
              <w:right w:val="nil"/>
            </w:tcBorders>
            <w:vAlign w:val="center"/>
            <w:hideMark/>
          </w:tcPr>
          <w:p w14:paraId="65F9EC34" w14:textId="77777777" w:rsidR="00A74C68" w:rsidRPr="00471CBA" w:rsidRDefault="00A74C68" w:rsidP="00A74C68">
            <w:pPr>
              <w:jc w:val="right"/>
              <w:rPr>
                <w:color w:val="000000"/>
                <w:szCs w:val="20"/>
                <w:lang w:eastAsia="tr-TR"/>
              </w:rPr>
            </w:pPr>
            <w:r w:rsidRPr="00471CBA">
              <w:rPr>
                <w:color w:val="000000"/>
                <w:szCs w:val="20"/>
                <w:lang w:eastAsia="tr-TR"/>
              </w:rPr>
              <w:t>11.475.502</w:t>
            </w:r>
          </w:p>
        </w:tc>
        <w:tc>
          <w:tcPr>
            <w:tcW w:w="1010" w:type="pct"/>
            <w:tcBorders>
              <w:top w:val="nil"/>
              <w:left w:val="nil"/>
              <w:bottom w:val="nil"/>
              <w:right w:val="nil"/>
            </w:tcBorders>
            <w:vAlign w:val="center"/>
            <w:hideMark/>
          </w:tcPr>
          <w:p w14:paraId="3FE7720A" w14:textId="77777777" w:rsidR="00A74C68" w:rsidRPr="00471CBA" w:rsidRDefault="00A74C68" w:rsidP="00A74C68">
            <w:pPr>
              <w:jc w:val="right"/>
              <w:rPr>
                <w:color w:val="000000"/>
                <w:szCs w:val="20"/>
                <w:lang w:eastAsia="tr-TR"/>
              </w:rPr>
            </w:pPr>
            <w:r w:rsidRPr="00471CBA">
              <w:rPr>
                <w:color w:val="000000"/>
                <w:szCs w:val="20"/>
                <w:lang w:eastAsia="tr-TR"/>
              </w:rPr>
              <w:t>2.109.998</w:t>
            </w:r>
          </w:p>
        </w:tc>
        <w:tc>
          <w:tcPr>
            <w:tcW w:w="843" w:type="pct"/>
            <w:tcBorders>
              <w:top w:val="nil"/>
              <w:left w:val="nil"/>
              <w:bottom w:val="nil"/>
              <w:right w:val="nil"/>
            </w:tcBorders>
            <w:vAlign w:val="center"/>
            <w:hideMark/>
          </w:tcPr>
          <w:p w14:paraId="2D0EB9BC" w14:textId="77777777" w:rsidR="00A74C68" w:rsidRPr="00471CBA" w:rsidRDefault="00A74C68" w:rsidP="00A74C68">
            <w:pPr>
              <w:jc w:val="right"/>
              <w:rPr>
                <w:color w:val="000000"/>
                <w:szCs w:val="20"/>
                <w:lang w:eastAsia="tr-TR"/>
              </w:rPr>
            </w:pPr>
            <w:r w:rsidRPr="00471CBA">
              <w:rPr>
                <w:color w:val="000000"/>
                <w:szCs w:val="20"/>
                <w:lang w:eastAsia="tr-TR"/>
              </w:rPr>
              <w:t>13.834.230</w:t>
            </w:r>
          </w:p>
        </w:tc>
      </w:tr>
      <w:tr w:rsidR="00A74C68" w:rsidRPr="00471CBA" w14:paraId="1A02BD55" w14:textId="77777777" w:rsidTr="00A74C68">
        <w:trPr>
          <w:divId w:val="96491655"/>
          <w:trHeight w:val="227"/>
        </w:trPr>
        <w:tc>
          <w:tcPr>
            <w:tcW w:w="1410" w:type="pct"/>
            <w:tcBorders>
              <w:top w:val="nil"/>
              <w:left w:val="nil"/>
              <w:bottom w:val="nil"/>
              <w:right w:val="nil"/>
            </w:tcBorders>
            <w:vAlign w:val="center"/>
            <w:hideMark/>
          </w:tcPr>
          <w:p w14:paraId="51419617" w14:textId="77777777" w:rsidR="00A74C68" w:rsidRPr="00471CBA" w:rsidRDefault="00A74C68" w:rsidP="00A74C68">
            <w:pPr>
              <w:rPr>
                <w:color w:val="000000"/>
                <w:szCs w:val="20"/>
                <w:lang w:eastAsia="tr-TR"/>
              </w:rPr>
            </w:pPr>
            <w:r w:rsidRPr="00471CBA">
              <w:rPr>
                <w:color w:val="000000"/>
                <w:szCs w:val="20"/>
                <w:lang w:eastAsia="tr-TR"/>
              </w:rPr>
              <w:t>Faaliyet Giderleri</w:t>
            </w:r>
          </w:p>
        </w:tc>
        <w:tc>
          <w:tcPr>
            <w:tcW w:w="756" w:type="pct"/>
            <w:tcBorders>
              <w:top w:val="nil"/>
              <w:left w:val="nil"/>
              <w:bottom w:val="nil"/>
              <w:right w:val="nil"/>
            </w:tcBorders>
            <w:vAlign w:val="center"/>
            <w:hideMark/>
          </w:tcPr>
          <w:p w14:paraId="5C27DA9A" w14:textId="77777777" w:rsidR="00A74C68" w:rsidRPr="00471CBA" w:rsidRDefault="00A74C68" w:rsidP="00A74C68">
            <w:pPr>
              <w:jc w:val="right"/>
              <w:rPr>
                <w:color w:val="000000"/>
                <w:szCs w:val="20"/>
                <w:lang w:eastAsia="tr-TR"/>
              </w:rPr>
            </w:pPr>
            <w:r w:rsidRPr="00471CBA">
              <w:rPr>
                <w:color w:val="000000"/>
                <w:szCs w:val="20"/>
                <w:lang w:eastAsia="tr-TR"/>
              </w:rPr>
              <w:t>221.942</w:t>
            </w:r>
          </w:p>
        </w:tc>
        <w:tc>
          <w:tcPr>
            <w:tcW w:w="981" w:type="pct"/>
            <w:tcBorders>
              <w:top w:val="nil"/>
              <w:left w:val="nil"/>
              <w:bottom w:val="nil"/>
              <w:right w:val="nil"/>
            </w:tcBorders>
            <w:vAlign w:val="center"/>
            <w:hideMark/>
          </w:tcPr>
          <w:p w14:paraId="7FFA3583" w14:textId="77777777" w:rsidR="00A74C68" w:rsidRPr="00471CBA" w:rsidRDefault="00A74C68" w:rsidP="00A74C68">
            <w:pPr>
              <w:jc w:val="right"/>
              <w:rPr>
                <w:color w:val="000000"/>
                <w:szCs w:val="20"/>
                <w:lang w:eastAsia="tr-TR"/>
              </w:rPr>
            </w:pPr>
            <w:r w:rsidRPr="00471CBA">
              <w:rPr>
                <w:color w:val="000000"/>
                <w:szCs w:val="20"/>
                <w:lang w:eastAsia="tr-TR"/>
              </w:rPr>
              <w:t>9.043.337</w:t>
            </w:r>
          </w:p>
        </w:tc>
        <w:tc>
          <w:tcPr>
            <w:tcW w:w="1010" w:type="pct"/>
            <w:tcBorders>
              <w:top w:val="nil"/>
              <w:left w:val="nil"/>
              <w:bottom w:val="nil"/>
              <w:right w:val="nil"/>
            </w:tcBorders>
            <w:vAlign w:val="center"/>
            <w:hideMark/>
          </w:tcPr>
          <w:p w14:paraId="3CE3CE30" w14:textId="77777777" w:rsidR="00A74C68" w:rsidRPr="00471CBA" w:rsidRDefault="00A74C68" w:rsidP="00A74C68">
            <w:pPr>
              <w:jc w:val="right"/>
              <w:rPr>
                <w:color w:val="000000"/>
                <w:szCs w:val="20"/>
                <w:lang w:eastAsia="tr-TR"/>
              </w:rPr>
            </w:pPr>
            <w:r w:rsidRPr="00471CBA">
              <w:rPr>
                <w:color w:val="000000"/>
                <w:szCs w:val="20"/>
                <w:lang w:eastAsia="tr-TR"/>
              </w:rPr>
              <w:t>1.813.768</w:t>
            </w:r>
          </w:p>
        </w:tc>
        <w:tc>
          <w:tcPr>
            <w:tcW w:w="843" w:type="pct"/>
            <w:tcBorders>
              <w:top w:val="nil"/>
              <w:left w:val="nil"/>
              <w:bottom w:val="nil"/>
              <w:right w:val="nil"/>
            </w:tcBorders>
            <w:vAlign w:val="center"/>
            <w:hideMark/>
          </w:tcPr>
          <w:p w14:paraId="0A69DAFC" w14:textId="77777777" w:rsidR="00A74C68" w:rsidRPr="00471CBA" w:rsidRDefault="00A74C68" w:rsidP="00A74C68">
            <w:pPr>
              <w:jc w:val="right"/>
              <w:rPr>
                <w:color w:val="000000"/>
                <w:szCs w:val="20"/>
                <w:lang w:eastAsia="tr-TR"/>
              </w:rPr>
            </w:pPr>
            <w:r w:rsidRPr="00471CBA">
              <w:rPr>
                <w:color w:val="000000"/>
                <w:szCs w:val="20"/>
                <w:lang w:eastAsia="tr-TR"/>
              </w:rPr>
              <w:t>11.079.047</w:t>
            </w:r>
          </w:p>
        </w:tc>
      </w:tr>
      <w:tr w:rsidR="00A74C68" w:rsidRPr="00471CBA" w14:paraId="427FEAB1" w14:textId="77777777" w:rsidTr="00A74C68">
        <w:trPr>
          <w:divId w:val="96491655"/>
          <w:trHeight w:val="227"/>
        </w:trPr>
        <w:tc>
          <w:tcPr>
            <w:tcW w:w="1410" w:type="pct"/>
            <w:tcBorders>
              <w:top w:val="nil"/>
              <w:left w:val="nil"/>
              <w:bottom w:val="nil"/>
              <w:right w:val="nil"/>
            </w:tcBorders>
            <w:vAlign w:val="center"/>
            <w:hideMark/>
          </w:tcPr>
          <w:p w14:paraId="762619CD" w14:textId="77777777" w:rsidR="00A74C68" w:rsidRPr="00471CBA" w:rsidRDefault="00A74C68" w:rsidP="00A74C68">
            <w:pPr>
              <w:rPr>
                <w:color w:val="000000"/>
                <w:szCs w:val="20"/>
                <w:lang w:eastAsia="tr-TR"/>
              </w:rPr>
            </w:pPr>
            <w:r w:rsidRPr="00471CBA">
              <w:rPr>
                <w:color w:val="000000"/>
                <w:szCs w:val="20"/>
                <w:lang w:eastAsia="tr-TR"/>
              </w:rPr>
              <w:t>Faaliyet Gelirleri/Giderleri</w:t>
            </w:r>
          </w:p>
        </w:tc>
        <w:tc>
          <w:tcPr>
            <w:tcW w:w="756" w:type="pct"/>
            <w:tcBorders>
              <w:top w:val="nil"/>
              <w:left w:val="nil"/>
              <w:bottom w:val="nil"/>
              <w:right w:val="nil"/>
            </w:tcBorders>
            <w:vAlign w:val="center"/>
            <w:hideMark/>
          </w:tcPr>
          <w:p w14:paraId="2EB8C8F5" w14:textId="77777777" w:rsidR="00A74C68" w:rsidRPr="00471CBA" w:rsidRDefault="00A74C68" w:rsidP="00A74C68">
            <w:pPr>
              <w:jc w:val="right"/>
              <w:rPr>
                <w:color w:val="000000"/>
                <w:szCs w:val="20"/>
                <w:lang w:eastAsia="tr-TR"/>
              </w:rPr>
            </w:pPr>
            <w:r w:rsidRPr="00471CBA">
              <w:rPr>
                <w:color w:val="000000"/>
                <w:szCs w:val="20"/>
                <w:lang w:eastAsia="tr-TR"/>
              </w:rPr>
              <w:t>26.788</w:t>
            </w:r>
          </w:p>
        </w:tc>
        <w:tc>
          <w:tcPr>
            <w:tcW w:w="981" w:type="pct"/>
            <w:tcBorders>
              <w:top w:val="nil"/>
              <w:left w:val="nil"/>
              <w:bottom w:val="nil"/>
              <w:right w:val="nil"/>
            </w:tcBorders>
            <w:vAlign w:val="center"/>
            <w:hideMark/>
          </w:tcPr>
          <w:p w14:paraId="02021FAC" w14:textId="77777777" w:rsidR="00A74C68" w:rsidRPr="00471CBA" w:rsidRDefault="00A74C68" w:rsidP="00A74C68">
            <w:pPr>
              <w:jc w:val="right"/>
              <w:rPr>
                <w:color w:val="000000"/>
                <w:szCs w:val="20"/>
                <w:lang w:eastAsia="tr-TR"/>
              </w:rPr>
            </w:pPr>
            <w:r w:rsidRPr="00471CBA">
              <w:rPr>
                <w:color w:val="000000"/>
                <w:szCs w:val="20"/>
                <w:lang w:eastAsia="tr-TR"/>
              </w:rPr>
              <w:t>2.432.165</w:t>
            </w:r>
          </w:p>
        </w:tc>
        <w:tc>
          <w:tcPr>
            <w:tcW w:w="1010" w:type="pct"/>
            <w:tcBorders>
              <w:top w:val="nil"/>
              <w:left w:val="nil"/>
              <w:bottom w:val="nil"/>
              <w:right w:val="nil"/>
            </w:tcBorders>
            <w:vAlign w:val="center"/>
            <w:hideMark/>
          </w:tcPr>
          <w:p w14:paraId="2685B399" w14:textId="77777777" w:rsidR="00A74C68" w:rsidRPr="00471CBA" w:rsidRDefault="00A74C68" w:rsidP="00A74C68">
            <w:pPr>
              <w:jc w:val="right"/>
              <w:rPr>
                <w:color w:val="000000"/>
                <w:szCs w:val="20"/>
                <w:lang w:eastAsia="tr-TR"/>
              </w:rPr>
            </w:pPr>
            <w:r w:rsidRPr="00471CBA">
              <w:rPr>
                <w:color w:val="000000"/>
                <w:szCs w:val="20"/>
                <w:lang w:eastAsia="tr-TR"/>
              </w:rPr>
              <w:t>296.230</w:t>
            </w:r>
          </w:p>
        </w:tc>
        <w:tc>
          <w:tcPr>
            <w:tcW w:w="843" w:type="pct"/>
            <w:tcBorders>
              <w:top w:val="nil"/>
              <w:left w:val="nil"/>
              <w:bottom w:val="nil"/>
              <w:right w:val="nil"/>
            </w:tcBorders>
            <w:vAlign w:val="center"/>
            <w:hideMark/>
          </w:tcPr>
          <w:p w14:paraId="7247AB34" w14:textId="77777777" w:rsidR="00A74C68" w:rsidRPr="00471CBA" w:rsidRDefault="00A74C68" w:rsidP="00A74C68">
            <w:pPr>
              <w:jc w:val="right"/>
              <w:rPr>
                <w:color w:val="000000"/>
                <w:szCs w:val="20"/>
                <w:lang w:eastAsia="tr-TR"/>
              </w:rPr>
            </w:pPr>
            <w:r w:rsidRPr="00471CBA">
              <w:rPr>
                <w:color w:val="000000"/>
                <w:szCs w:val="20"/>
                <w:lang w:eastAsia="tr-TR"/>
              </w:rPr>
              <w:t>2.755.183</w:t>
            </w:r>
          </w:p>
        </w:tc>
      </w:tr>
      <w:tr w:rsidR="00A74C68" w:rsidRPr="00471CBA" w14:paraId="7808A8BA" w14:textId="77777777" w:rsidTr="00A74C68">
        <w:trPr>
          <w:divId w:val="96491655"/>
          <w:trHeight w:val="227"/>
        </w:trPr>
        <w:tc>
          <w:tcPr>
            <w:tcW w:w="1410" w:type="pct"/>
            <w:tcBorders>
              <w:top w:val="nil"/>
              <w:left w:val="nil"/>
              <w:bottom w:val="nil"/>
              <w:right w:val="nil"/>
            </w:tcBorders>
            <w:vAlign w:val="center"/>
            <w:hideMark/>
          </w:tcPr>
          <w:p w14:paraId="405B6B6E" w14:textId="77777777" w:rsidR="00A74C68" w:rsidRPr="00471CBA" w:rsidRDefault="00A74C68" w:rsidP="00A74C68">
            <w:pPr>
              <w:rPr>
                <w:color w:val="000000"/>
                <w:szCs w:val="20"/>
                <w:lang w:eastAsia="tr-TR"/>
              </w:rPr>
            </w:pPr>
            <w:r w:rsidRPr="00471CBA">
              <w:rPr>
                <w:color w:val="000000"/>
                <w:szCs w:val="20"/>
                <w:lang w:eastAsia="tr-TR"/>
              </w:rPr>
              <w:t>Vergi Öncesi Kar</w:t>
            </w:r>
          </w:p>
        </w:tc>
        <w:tc>
          <w:tcPr>
            <w:tcW w:w="756" w:type="pct"/>
            <w:tcBorders>
              <w:top w:val="nil"/>
              <w:left w:val="nil"/>
              <w:bottom w:val="nil"/>
              <w:right w:val="nil"/>
            </w:tcBorders>
            <w:vAlign w:val="center"/>
            <w:hideMark/>
          </w:tcPr>
          <w:p w14:paraId="0E3540B8" w14:textId="77777777" w:rsidR="00A74C68" w:rsidRPr="00471CBA" w:rsidRDefault="00A74C68" w:rsidP="00A74C68">
            <w:pPr>
              <w:jc w:val="right"/>
              <w:rPr>
                <w:color w:val="000000"/>
                <w:szCs w:val="20"/>
                <w:lang w:eastAsia="tr-TR"/>
              </w:rPr>
            </w:pPr>
            <w:r w:rsidRPr="00471CBA">
              <w:rPr>
                <w:color w:val="000000"/>
                <w:szCs w:val="20"/>
                <w:lang w:eastAsia="tr-TR"/>
              </w:rPr>
              <w:t>26.788</w:t>
            </w:r>
          </w:p>
        </w:tc>
        <w:tc>
          <w:tcPr>
            <w:tcW w:w="981" w:type="pct"/>
            <w:tcBorders>
              <w:top w:val="nil"/>
              <w:left w:val="nil"/>
              <w:bottom w:val="nil"/>
              <w:right w:val="nil"/>
            </w:tcBorders>
            <w:vAlign w:val="center"/>
            <w:hideMark/>
          </w:tcPr>
          <w:p w14:paraId="2C007995" w14:textId="77777777" w:rsidR="00A74C68" w:rsidRPr="00471CBA" w:rsidRDefault="00A74C68" w:rsidP="00A74C68">
            <w:pPr>
              <w:jc w:val="right"/>
              <w:rPr>
                <w:color w:val="000000"/>
                <w:szCs w:val="20"/>
                <w:lang w:eastAsia="tr-TR"/>
              </w:rPr>
            </w:pPr>
            <w:r w:rsidRPr="00471CBA">
              <w:rPr>
                <w:color w:val="000000"/>
                <w:szCs w:val="20"/>
                <w:lang w:eastAsia="tr-TR"/>
              </w:rPr>
              <w:t>2.432.165</w:t>
            </w:r>
          </w:p>
        </w:tc>
        <w:tc>
          <w:tcPr>
            <w:tcW w:w="1010" w:type="pct"/>
            <w:tcBorders>
              <w:top w:val="nil"/>
              <w:left w:val="nil"/>
              <w:bottom w:val="nil"/>
              <w:right w:val="nil"/>
            </w:tcBorders>
            <w:vAlign w:val="center"/>
            <w:hideMark/>
          </w:tcPr>
          <w:p w14:paraId="29451F73" w14:textId="77777777" w:rsidR="00A74C68" w:rsidRPr="00471CBA" w:rsidRDefault="00A74C68" w:rsidP="00A74C68">
            <w:pPr>
              <w:jc w:val="right"/>
              <w:rPr>
                <w:color w:val="000000"/>
                <w:szCs w:val="20"/>
                <w:lang w:eastAsia="tr-TR"/>
              </w:rPr>
            </w:pPr>
            <w:r w:rsidRPr="00471CBA">
              <w:rPr>
                <w:color w:val="000000"/>
                <w:szCs w:val="20"/>
                <w:lang w:eastAsia="tr-TR"/>
              </w:rPr>
              <w:t>296.230</w:t>
            </w:r>
          </w:p>
        </w:tc>
        <w:tc>
          <w:tcPr>
            <w:tcW w:w="843" w:type="pct"/>
            <w:tcBorders>
              <w:top w:val="nil"/>
              <w:left w:val="nil"/>
              <w:bottom w:val="nil"/>
              <w:right w:val="nil"/>
            </w:tcBorders>
            <w:vAlign w:val="center"/>
            <w:hideMark/>
          </w:tcPr>
          <w:p w14:paraId="5BD43BD8" w14:textId="77777777" w:rsidR="00A74C68" w:rsidRPr="00471CBA" w:rsidRDefault="00A74C68" w:rsidP="00A74C68">
            <w:pPr>
              <w:jc w:val="right"/>
              <w:rPr>
                <w:color w:val="000000"/>
                <w:szCs w:val="20"/>
                <w:lang w:eastAsia="tr-TR"/>
              </w:rPr>
            </w:pPr>
            <w:r w:rsidRPr="00471CBA">
              <w:rPr>
                <w:color w:val="000000"/>
                <w:szCs w:val="20"/>
                <w:lang w:eastAsia="tr-TR"/>
              </w:rPr>
              <w:t>2.755.183</w:t>
            </w:r>
          </w:p>
        </w:tc>
      </w:tr>
      <w:tr w:rsidR="00A74C68" w:rsidRPr="00471CBA" w14:paraId="791DF977" w14:textId="77777777" w:rsidTr="00A74C68">
        <w:trPr>
          <w:divId w:val="96491655"/>
          <w:trHeight w:val="227"/>
        </w:trPr>
        <w:tc>
          <w:tcPr>
            <w:tcW w:w="1410" w:type="pct"/>
            <w:tcBorders>
              <w:top w:val="nil"/>
              <w:left w:val="nil"/>
              <w:bottom w:val="nil"/>
              <w:right w:val="nil"/>
            </w:tcBorders>
            <w:vAlign w:val="center"/>
            <w:hideMark/>
          </w:tcPr>
          <w:p w14:paraId="7F3DF0E9" w14:textId="77777777" w:rsidR="00A74C68" w:rsidRPr="00471CBA" w:rsidRDefault="00A74C68" w:rsidP="00A74C68">
            <w:pPr>
              <w:rPr>
                <w:color w:val="000000"/>
                <w:szCs w:val="20"/>
                <w:lang w:eastAsia="tr-TR"/>
              </w:rPr>
            </w:pPr>
            <w:r w:rsidRPr="00471CBA">
              <w:rPr>
                <w:color w:val="000000"/>
                <w:szCs w:val="20"/>
                <w:lang w:eastAsia="tr-TR"/>
              </w:rPr>
              <w:t>Vergi Gideri</w:t>
            </w:r>
          </w:p>
        </w:tc>
        <w:tc>
          <w:tcPr>
            <w:tcW w:w="756" w:type="pct"/>
            <w:tcBorders>
              <w:top w:val="nil"/>
              <w:left w:val="nil"/>
              <w:bottom w:val="nil"/>
              <w:right w:val="nil"/>
            </w:tcBorders>
            <w:vAlign w:val="center"/>
            <w:hideMark/>
          </w:tcPr>
          <w:p w14:paraId="065018E7" w14:textId="77777777" w:rsidR="00A74C68" w:rsidRPr="00471CBA" w:rsidRDefault="00A74C68" w:rsidP="00A74C68">
            <w:pPr>
              <w:jc w:val="right"/>
              <w:rPr>
                <w:rFonts w:ascii="Arial" w:hAnsi="Arial" w:cs="Arial"/>
                <w:color w:val="000000"/>
                <w:sz w:val="18"/>
                <w:szCs w:val="18"/>
                <w:lang w:eastAsia="tr-TR"/>
              </w:rPr>
            </w:pPr>
            <w:r w:rsidRPr="00471CBA">
              <w:rPr>
                <w:color w:val="000000"/>
                <w:szCs w:val="20"/>
                <w:lang w:eastAsia="tr-TR"/>
              </w:rPr>
              <w:t>6.786</w:t>
            </w:r>
          </w:p>
        </w:tc>
        <w:tc>
          <w:tcPr>
            <w:tcW w:w="981" w:type="pct"/>
            <w:tcBorders>
              <w:top w:val="nil"/>
              <w:left w:val="nil"/>
              <w:bottom w:val="nil"/>
              <w:right w:val="nil"/>
            </w:tcBorders>
            <w:vAlign w:val="center"/>
            <w:hideMark/>
          </w:tcPr>
          <w:p w14:paraId="49D80BF1" w14:textId="77777777" w:rsidR="00A74C68" w:rsidRPr="00471CBA" w:rsidRDefault="00A74C68" w:rsidP="00A74C68">
            <w:pPr>
              <w:jc w:val="right"/>
              <w:rPr>
                <w:rFonts w:ascii="Arial" w:hAnsi="Arial" w:cs="Arial"/>
                <w:color w:val="000000"/>
                <w:sz w:val="18"/>
                <w:szCs w:val="18"/>
                <w:lang w:eastAsia="tr-TR"/>
              </w:rPr>
            </w:pPr>
            <w:r w:rsidRPr="00471CBA">
              <w:rPr>
                <w:color w:val="000000"/>
                <w:szCs w:val="20"/>
                <w:lang w:eastAsia="tr-TR"/>
              </w:rPr>
              <w:t>616.142</w:t>
            </w:r>
          </w:p>
        </w:tc>
        <w:tc>
          <w:tcPr>
            <w:tcW w:w="1010" w:type="pct"/>
            <w:tcBorders>
              <w:top w:val="nil"/>
              <w:left w:val="nil"/>
              <w:bottom w:val="nil"/>
              <w:right w:val="nil"/>
            </w:tcBorders>
            <w:vAlign w:val="center"/>
            <w:hideMark/>
          </w:tcPr>
          <w:p w14:paraId="004EF4F8" w14:textId="77777777" w:rsidR="00A74C68" w:rsidRPr="00471CBA" w:rsidRDefault="00A74C68" w:rsidP="00A74C68">
            <w:pPr>
              <w:jc w:val="right"/>
              <w:rPr>
                <w:color w:val="000000"/>
                <w:szCs w:val="20"/>
                <w:lang w:eastAsia="tr-TR"/>
              </w:rPr>
            </w:pPr>
            <w:r w:rsidRPr="00471CBA">
              <w:rPr>
                <w:color w:val="000000"/>
                <w:szCs w:val="20"/>
                <w:lang w:eastAsia="tr-TR"/>
              </w:rPr>
              <w:t>75.044</w:t>
            </w:r>
          </w:p>
        </w:tc>
        <w:tc>
          <w:tcPr>
            <w:tcW w:w="843" w:type="pct"/>
            <w:tcBorders>
              <w:top w:val="nil"/>
              <w:left w:val="nil"/>
              <w:bottom w:val="nil"/>
              <w:right w:val="nil"/>
            </w:tcBorders>
            <w:vAlign w:val="center"/>
            <w:hideMark/>
          </w:tcPr>
          <w:p w14:paraId="70188E74" w14:textId="77777777" w:rsidR="00A74C68" w:rsidRPr="00471CBA" w:rsidRDefault="00A74C68" w:rsidP="00A74C68">
            <w:pPr>
              <w:jc w:val="right"/>
              <w:rPr>
                <w:color w:val="000000"/>
                <w:szCs w:val="20"/>
                <w:lang w:eastAsia="tr-TR"/>
              </w:rPr>
            </w:pPr>
            <w:r w:rsidRPr="00471CBA">
              <w:rPr>
                <w:color w:val="000000"/>
                <w:szCs w:val="20"/>
                <w:lang w:eastAsia="tr-TR"/>
              </w:rPr>
              <w:t>697.972</w:t>
            </w:r>
          </w:p>
        </w:tc>
      </w:tr>
      <w:tr w:rsidR="00A74C68" w:rsidRPr="00471CBA" w14:paraId="08CA1091" w14:textId="77777777" w:rsidTr="00A74C68">
        <w:trPr>
          <w:divId w:val="96491655"/>
          <w:trHeight w:val="227"/>
        </w:trPr>
        <w:tc>
          <w:tcPr>
            <w:tcW w:w="1410" w:type="pct"/>
            <w:tcBorders>
              <w:top w:val="nil"/>
              <w:left w:val="nil"/>
              <w:bottom w:val="single" w:sz="4" w:space="0" w:color="auto"/>
              <w:right w:val="nil"/>
            </w:tcBorders>
            <w:vAlign w:val="center"/>
            <w:hideMark/>
          </w:tcPr>
          <w:p w14:paraId="0DF84617" w14:textId="77777777" w:rsidR="00A74C68" w:rsidRPr="00471CBA" w:rsidRDefault="00A74C68" w:rsidP="00A74C68">
            <w:pPr>
              <w:rPr>
                <w:b/>
                <w:bCs/>
                <w:color w:val="000000"/>
                <w:szCs w:val="20"/>
                <w:lang w:eastAsia="tr-TR"/>
              </w:rPr>
            </w:pPr>
            <w:r w:rsidRPr="00471CBA">
              <w:rPr>
                <w:b/>
                <w:bCs/>
                <w:color w:val="000000"/>
                <w:szCs w:val="20"/>
                <w:lang w:eastAsia="tr-TR"/>
              </w:rPr>
              <w:t>Net Dönem K/Z</w:t>
            </w:r>
          </w:p>
        </w:tc>
        <w:tc>
          <w:tcPr>
            <w:tcW w:w="756" w:type="pct"/>
            <w:tcBorders>
              <w:top w:val="nil"/>
              <w:left w:val="nil"/>
              <w:bottom w:val="single" w:sz="4" w:space="0" w:color="auto"/>
              <w:right w:val="nil"/>
            </w:tcBorders>
            <w:vAlign w:val="center"/>
            <w:hideMark/>
          </w:tcPr>
          <w:p w14:paraId="08A59D93" w14:textId="77777777" w:rsidR="00A74C68" w:rsidRPr="00471CBA" w:rsidRDefault="00A74C68" w:rsidP="00A74C68">
            <w:pPr>
              <w:jc w:val="right"/>
              <w:rPr>
                <w:b/>
                <w:bCs/>
                <w:color w:val="000000"/>
                <w:szCs w:val="20"/>
                <w:lang w:eastAsia="tr-TR"/>
              </w:rPr>
            </w:pPr>
            <w:r w:rsidRPr="00471CBA">
              <w:rPr>
                <w:b/>
                <w:bCs/>
                <w:color w:val="000000"/>
                <w:szCs w:val="20"/>
                <w:lang w:eastAsia="tr-TR"/>
              </w:rPr>
              <w:t>20.002</w:t>
            </w:r>
          </w:p>
        </w:tc>
        <w:tc>
          <w:tcPr>
            <w:tcW w:w="981" w:type="pct"/>
            <w:tcBorders>
              <w:top w:val="nil"/>
              <w:left w:val="nil"/>
              <w:bottom w:val="single" w:sz="4" w:space="0" w:color="auto"/>
              <w:right w:val="nil"/>
            </w:tcBorders>
            <w:vAlign w:val="center"/>
            <w:hideMark/>
          </w:tcPr>
          <w:p w14:paraId="549AD33D" w14:textId="77777777" w:rsidR="00A74C68" w:rsidRPr="00471CBA" w:rsidRDefault="00A74C68" w:rsidP="00A74C68">
            <w:pPr>
              <w:jc w:val="right"/>
              <w:rPr>
                <w:b/>
                <w:bCs/>
                <w:color w:val="000000"/>
                <w:szCs w:val="20"/>
                <w:lang w:eastAsia="tr-TR"/>
              </w:rPr>
            </w:pPr>
            <w:r w:rsidRPr="00471CBA">
              <w:rPr>
                <w:b/>
                <w:bCs/>
                <w:color w:val="000000"/>
                <w:szCs w:val="20"/>
                <w:lang w:eastAsia="tr-TR"/>
              </w:rPr>
              <w:t>1.816.023</w:t>
            </w:r>
          </w:p>
        </w:tc>
        <w:tc>
          <w:tcPr>
            <w:tcW w:w="1010" w:type="pct"/>
            <w:tcBorders>
              <w:top w:val="nil"/>
              <w:left w:val="nil"/>
              <w:bottom w:val="single" w:sz="4" w:space="0" w:color="auto"/>
              <w:right w:val="nil"/>
            </w:tcBorders>
            <w:vAlign w:val="center"/>
            <w:hideMark/>
          </w:tcPr>
          <w:p w14:paraId="52A6A5E6" w14:textId="77777777" w:rsidR="00A74C68" w:rsidRPr="00471CBA" w:rsidRDefault="00A74C68" w:rsidP="00A74C68">
            <w:pPr>
              <w:jc w:val="right"/>
              <w:rPr>
                <w:b/>
                <w:bCs/>
                <w:color w:val="000000"/>
                <w:szCs w:val="20"/>
                <w:lang w:eastAsia="tr-TR"/>
              </w:rPr>
            </w:pPr>
            <w:r w:rsidRPr="00471CBA">
              <w:rPr>
                <w:b/>
                <w:bCs/>
                <w:color w:val="000000"/>
                <w:szCs w:val="20"/>
                <w:lang w:eastAsia="tr-TR"/>
              </w:rPr>
              <w:t>221.186</w:t>
            </w:r>
          </w:p>
        </w:tc>
        <w:tc>
          <w:tcPr>
            <w:tcW w:w="843" w:type="pct"/>
            <w:tcBorders>
              <w:top w:val="nil"/>
              <w:left w:val="nil"/>
              <w:bottom w:val="single" w:sz="4" w:space="0" w:color="auto"/>
              <w:right w:val="nil"/>
            </w:tcBorders>
            <w:vAlign w:val="center"/>
            <w:hideMark/>
          </w:tcPr>
          <w:p w14:paraId="5E37411E" w14:textId="77777777" w:rsidR="00A74C68" w:rsidRPr="00471CBA" w:rsidRDefault="00A74C68" w:rsidP="00A74C68">
            <w:pPr>
              <w:jc w:val="right"/>
              <w:rPr>
                <w:b/>
                <w:bCs/>
                <w:color w:val="000000"/>
                <w:szCs w:val="20"/>
                <w:lang w:eastAsia="tr-TR"/>
              </w:rPr>
            </w:pPr>
            <w:r w:rsidRPr="00471CBA">
              <w:rPr>
                <w:b/>
                <w:bCs/>
                <w:color w:val="000000"/>
                <w:szCs w:val="20"/>
                <w:lang w:eastAsia="tr-TR"/>
              </w:rPr>
              <w:t>2.057.211</w:t>
            </w:r>
          </w:p>
        </w:tc>
      </w:tr>
      <w:tr w:rsidR="00A74C68" w:rsidRPr="00471CBA" w14:paraId="056B4F01" w14:textId="77777777" w:rsidTr="00A74C68">
        <w:trPr>
          <w:divId w:val="96491655"/>
          <w:trHeight w:val="227"/>
        </w:trPr>
        <w:tc>
          <w:tcPr>
            <w:tcW w:w="1410" w:type="pct"/>
            <w:tcBorders>
              <w:top w:val="nil"/>
              <w:left w:val="nil"/>
              <w:bottom w:val="nil"/>
              <w:right w:val="nil"/>
            </w:tcBorders>
            <w:vAlign w:val="center"/>
            <w:hideMark/>
          </w:tcPr>
          <w:p w14:paraId="4AEA3708" w14:textId="77777777" w:rsidR="00A74C68" w:rsidRPr="00471CBA" w:rsidRDefault="00A74C68" w:rsidP="00A74C68">
            <w:pPr>
              <w:rPr>
                <w:b/>
                <w:bCs/>
                <w:color w:val="000000"/>
                <w:szCs w:val="20"/>
                <w:lang w:eastAsia="tr-TR"/>
              </w:rPr>
            </w:pPr>
          </w:p>
        </w:tc>
        <w:tc>
          <w:tcPr>
            <w:tcW w:w="756" w:type="pct"/>
            <w:tcBorders>
              <w:top w:val="nil"/>
              <w:left w:val="nil"/>
              <w:bottom w:val="nil"/>
              <w:right w:val="nil"/>
            </w:tcBorders>
            <w:noWrap/>
            <w:vAlign w:val="bottom"/>
            <w:hideMark/>
          </w:tcPr>
          <w:p w14:paraId="164E1C21" w14:textId="77777777" w:rsidR="00A74C68" w:rsidRPr="00471CBA" w:rsidRDefault="00A74C68" w:rsidP="00A74C68">
            <w:pPr>
              <w:jc w:val="right"/>
              <w:rPr>
                <w:szCs w:val="20"/>
                <w:lang w:eastAsia="tr-TR"/>
              </w:rPr>
            </w:pPr>
          </w:p>
        </w:tc>
        <w:tc>
          <w:tcPr>
            <w:tcW w:w="981" w:type="pct"/>
            <w:tcBorders>
              <w:top w:val="nil"/>
              <w:left w:val="nil"/>
              <w:bottom w:val="nil"/>
              <w:right w:val="nil"/>
            </w:tcBorders>
            <w:noWrap/>
            <w:vAlign w:val="bottom"/>
            <w:hideMark/>
          </w:tcPr>
          <w:p w14:paraId="4D99D8E2" w14:textId="77777777" w:rsidR="00A74C68" w:rsidRPr="00471CBA" w:rsidRDefault="00A74C68" w:rsidP="00A74C68">
            <w:pPr>
              <w:jc w:val="right"/>
              <w:rPr>
                <w:szCs w:val="20"/>
                <w:lang w:eastAsia="tr-TR"/>
              </w:rPr>
            </w:pPr>
          </w:p>
        </w:tc>
        <w:tc>
          <w:tcPr>
            <w:tcW w:w="1010" w:type="pct"/>
            <w:tcBorders>
              <w:top w:val="nil"/>
              <w:left w:val="nil"/>
              <w:bottom w:val="nil"/>
              <w:right w:val="nil"/>
            </w:tcBorders>
            <w:noWrap/>
            <w:vAlign w:val="bottom"/>
            <w:hideMark/>
          </w:tcPr>
          <w:p w14:paraId="2222271A" w14:textId="77777777" w:rsidR="00A74C68" w:rsidRPr="00471CBA" w:rsidRDefault="00A74C68" w:rsidP="00A74C68">
            <w:pPr>
              <w:jc w:val="right"/>
              <w:rPr>
                <w:rFonts w:ascii="Arial" w:hAnsi="Arial" w:cs="Arial"/>
                <w:color w:val="000000"/>
                <w:szCs w:val="20"/>
                <w:lang w:eastAsia="tr-TR"/>
              </w:rPr>
            </w:pPr>
            <w:r w:rsidRPr="00471CBA">
              <w:rPr>
                <w:szCs w:val="20"/>
                <w:lang w:eastAsia="tr-TR"/>
              </w:rPr>
              <w:t>-</w:t>
            </w:r>
          </w:p>
        </w:tc>
        <w:tc>
          <w:tcPr>
            <w:tcW w:w="843" w:type="pct"/>
            <w:tcBorders>
              <w:top w:val="nil"/>
              <w:left w:val="nil"/>
              <w:bottom w:val="nil"/>
              <w:right w:val="nil"/>
            </w:tcBorders>
            <w:noWrap/>
            <w:vAlign w:val="bottom"/>
            <w:hideMark/>
          </w:tcPr>
          <w:p w14:paraId="1342D17C" w14:textId="77777777" w:rsidR="00A74C68" w:rsidRPr="00471CBA" w:rsidRDefault="00A74C68" w:rsidP="00A74C68">
            <w:pPr>
              <w:jc w:val="right"/>
              <w:rPr>
                <w:szCs w:val="20"/>
                <w:lang w:eastAsia="tr-TR"/>
              </w:rPr>
            </w:pPr>
          </w:p>
        </w:tc>
      </w:tr>
      <w:tr w:rsidR="00A74C68" w:rsidRPr="00471CBA" w14:paraId="450AA01F" w14:textId="77777777" w:rsidTr="00A74C68">
        <w:trPr>
          <w:divId w:val="96491655"/>
          <w:trHeight w:val="227"/>
        </w:trPr>
        <w:tc>
          <w:tcPr>
            <w:tcW w:w="1410" w:type="pct"/>
            <w:tcBorders>
              <w:top w:val="nil"/>
              <w:left w:val="nil"/>
              <w:bottom w:val="single" w:sz="4" w:space="0" w:color="auto"/>
              <w:right w:val="nil"/>
            </w:tcBorders>
            <w:vAlign w:val="center"/>
            <w:hideMark/>
          </w:tcPr>
          <w:p w14:paraId="00C27B63" w14:textId="77777777" w:rsidR="00A74C68" w:rsidRPr="00471CBA" w:rsidRDefault="00A74C68" w:rsidP="00A74C68">
            <w:pPr>
              <w:rPr>
                <w:b/>
                <w:bCs/>
                <w:color w:val="000000"/>
                <w:szCs w:val="20"/>
                <w:lang w:eastAsia="tr-TR"/>
              </w:rPr>
            </w:pPr>
            <w:r w:rsidRPr="00471CBA">
              <w:rPr>
                <w:b/>
                <w:bCs/>
                <w:color w:val="000000"/>
                <w:szCs w:val="20"/>
                <w:lang w:eastAsia="tr-TR"/>
              </w:rPr>
              <w:t>Toplam Varlıklar</w:t>
            </w:r>
          </w:p>
        </w:tc>
        <w:tc>
          <w:tcPr>
            <w:tcW w:w="756" w:type="pct"/>
            <w:tcBorders>
              <w:top w:val="nil"/>
              <w:left w:val="nil"/>
              <w:bottom w:val="single" w:sz="4" w:space="0" w:color="auto"/>
              <w:right w:val="nil"/>
            </w:tcBorders>
            <w:vAlign w:val="center"/>
            <w:hideMark/>
          </w:tcPr>
          <w:p w14:paraId="400423E9" w14:textId="77777777" w:rsidR="00A74C68" w:rsidRPr="00471CBA" w:rsidRDefault="00A74C68" w:rsidP="00A74C68">
            <w:pPr>
              <w:jc w:val="right"/>
              <w:rPr>
                <w:b/>
                <w:bCs/>
                <w:color w:val="000000"/>
                <w:szCs w:val="20"/>
                <w:lang w:eastAsia="tr-TR"/>
              </w:rPr>
            </w:pPr>
            <w:r w:rsidRPr="00471CBA">
              <w:rPr>
                <w:b/>
                <w:bCs/>
                <w:color w:val="000000"/>
                <w:szCs w:val="20"/>
                <w:lang w:eastAsia="tr-TR"/>
              </w:rPr>
              <w:t>1.208.372</w:t>
            </w:r>
          </w:p>
        </w:tc>
        <w:tc>
          <w:tcPr>
            <w:tcW w:w="981" w:type="pct"/>
            <w:tcBorders>
              <w:top w:val="nil"/>
              <w:left w:val="nil"/>
              <w:bottom w:val="single" w:sz="4" w:space="0" w:color="auto"/>
              <w:right w:val="nil"/>
            </w:tcBorders>
            <w:vAlign w:val="center"/>
            <w:hideMark/>
          </w:tcPr>
          <w:p w14:paraId="79E27C28" w14:textId="77777777" w:rsidR="00A74C68" w:rsidRPr="00471CBA" w:rsidRDefault="00A74C68" w:rsidP="00A74C68">
            <w:pPr>
              <w:jc w:val="right"/>
              <w:rPr>
                <w:b/>
                <w:bCs/>
                <w:color w:val="000000"/>
                <w:szCs w:val="20"/>
                <w:lang w:eastAsia="tr-TR"/>
              </w:rPr>
            </w:pPr>
            <w:r w:rsidRPr="00471CBA">
              <w:rPr>
                <w:b/>
                <w:bCs/>
                <w:color w:val="000000"/>
                <w:szCs w:val="20"/>
                <w:lang w:eastAsia="tr-TR"/>
              </w:rPr>
              <w:t>50.921.903</w:t>
            </w:r>
          </w:p>
        </w:tc>
        <w:tc>
          <w:tcPr>
            <w:tcW w:w="1010" w:type="pct"/>
            <w:tcBorders>
              <w:top w:val="nil"/>
              <w:left w:val="nil"/>
              <w:bottom w:val="single" w:sz="4" w:space="0" w:color="auto"/>
              <w:right w:val="nil"/>
            </w:tcBorders>
            <w:vAlign w:val="center"/>
            <w:hideMark/>
          </w:tcPr>
          <w:p w14:paraId="00C20006" w14:textId="77777777" w:rsidR="00A74C68" w:rsidRPr="00471CBA" w:rsidRDefault="00A74C68" w:rsidP="00A74C68">
            <w:pPr>
              <w:jc w:val="right"/>
              <w:rPr>
                <w:b/>
                <w:bCs/>
                <w:color w:val="000000"/>
                <w:szCs w:val="20"/>
                <w:lang w:eastAsia="tr-TR"/>
              </w:rPr>
            </w:pPr>
            <w:r w:rsidRPr="00471CBA">
              <w:rPr>
                <w:b/>
                <w:bCs/>
                <w:color w:val="000000"/>
                <w:szCs w:val="20"/>
                <w:lang w:eastAsia="tr-TR"/>
              </w:rPr>
              <w:t>47.547.879</w:t>
            </w:r>
          </w:p>
        </w:tc>
        <w:tc>
          <w:tcPr>
            <w:tcW w:w="843" w:type="pct"/>
            <w:tcBorders>
              <w:top w:val="nil"/>
              <w:left w:val="nil"/>
              <w:bottom w:val="single" w:sz="4" w:space="0" w:color="auto"/>
              <w:right w:val="nil"/>
            </w:tcBorders>
            <w:vAlign w:val="center"/>
            <w:hideMark/>
          </w:tcPr>
          <w:p w14:paraId="2D879277" w14:textId="77777777" w:rsidR="00A74C68" w:rsidRPr="00471CBA" w:rsidRDefault="00A74C68" w:rsidP="00A74C68">
            <w:pPr>
              <w:jc w:val="right"/>
              <w:rPr>
                <w:b/>
                <w:bCs/>
                <w:color w:val="000000"/>
                <w:szCs w:val="20"/>
                <w:lang w:eastAsia="tr-TR"/>
              </w:rPr>
            </w:pPr>
            <w:r w:rsidRPr="00471CBA">
              <w:rPr>
                <w:b/>
                <w:bCs/>
                <w:color w:val="000000"/>
                <w:szCs w:val="20"/>
                <w:lang w:eastAsia="tr-TR"/>
              </w:rPr>
              <w:t>99.678.154</w:t>
            </w:r>
          </w:p>
        </w:tc>
      </w:tr>
      <w:tr w:rsidR="00A74C68" w:rsidRPr="00471CBA" w14:paraId="5F81BB6E" w14:textId="77777777" w:rsidTr="00A74C68">
        <w:trPr>
          <w:divId w:val="96491655"/>
          <w:trHeight w:val="227"/>
        </w:trPr>
        <w:tc>
          <w:tcPr>
            <w:tcW w:w="1410" w:type="pct"/>
            <w:tcBorders>
              <w:top w:val="nil"/>
              <w:left w:val="nil"/>
              <w:bottom w:val="single" w:sz="4" w:space="0" w:color="auto"/>
              <w:right w:val="nil"/>
            </w:tcBorders>
            <w:vAlign w:val="center"/>
            <w:hideMark/>
          </w:tcPr>
          <w:p w14:paraId="43AD8FC7" w14:textId="77777777" w:rsidR="00A74C68" w:rsidRPr="00471CBA" w:rsidRDefault="00A74C68" w:rsidP="00A74C68">
            <w:pPr>
              <w:rPr>
                <w:b/>
                <w:bCs/>
                <w:color w:val="000000"/>
                <w:szCs w:val="20"/>
                <w:lang w:eastAsia="tr-TR"/>
              </w:rPr>
            </w:pPr>
            <w:r w:rsidRPr="00471CBA">
              <w:rPr>
                <w:b/>
                <w:bCs/>
                <w:color w:val="000000"/>
                <w:szCs w:val="20"/>
                <w:lang w:eastAsia="tr-TR"/>
              </w:rPr>
              <w:t>Toplam Yükümlülükler</w:t>
            </w:r>
          </w:p>
        </w:tc>
        <w:tc>
          <w:tcPr>
            <w:tcW w:w="756" w:type="pct"/>
            <w:tcBorders>
              <w:top w:val="nil"/>
              <w:left w:val="nil"/>
              <w:bottom w:val="single" w:sz="4" w:space="0" w:color="auto"/>
              <w:right w:val="nil"/>
            </w:tcBorders>
            <w:vAlign w:val="center"/>
            <w:hideMark/>
          </w:tcPr>
          <w:p w14:paraId="7471A499" w14:textId="77777777" w:rsidR="00A74C68" w:rsidRPr="00471CBA" w:rsidRDefault="00A74C68" w:rsidP="00A74C68">
            <w:pPr>
              <w:jc w:val="right"/>
              <w:rPr>
                <w:b/>
                <w:bCs/>
                <w:color w:val="000000"/>
                <w:szCs w:val="20"/>
                <w:lang w:eastAsia="tr-TR"/>
              </w:rPr>
            </w:pPr>
            <w:r w:rsidRPr="00471CBA">
              <w:rPr>
                <w:b/>
                <w:bCs/>
                <w:color w:val="000000"/>
                <w:szCs w:val="20"/>
                <w:lang w:eastAsia="tr-TR"/>
              </w:rPr>
              <w:t>12.958.287</w:t>
            </w:r>
          </w:p>
        </w:tc>
        <w:tc>
          <w:tcPr>
            <w:tcW w:w="981" w:type="pct"/>
            <w:tcBorders>
              <w:top w:val="nil"/>
              <w:left w:val="nil"/>
              <w:bottom w:val="single" w:sz="4" w:space="0" w:color="auto"/>
              <w:right w:val="nil"/>
            </w:tcBorders>
            <w:vAlign w:val="center"/>
            <w:hideMark/>
          </w:tcPr>
          <w:p w14:paraId="46C48395" w14:textId="77777777" w:rsidR="00A74C68" w:rsidRPr="00471CBA" w:rsidRDefault="00A74C68" w:rsidP="00A74C68">
            <w:pPr>
              <w:jc w:val="right"/>
              <w:rPr>
                <w:b/>
                <w:bCs/>
                <w:color w:val="000000"/>
                <w:szCs w:val="20"/>
                <w:lang w:eastAsia="tr-TR"/>
              </w:rPr>
            </w:pPr>
            <w:r w:rsidRPr="00471CBA">
              <w:rPr>
                <w:b/>
                <w:bCs/>
                <w:color w:val="000000"/>
                <w:szCs w:val="20"/>
                <w:lang w:eastAsia="tr-TR"/>
              </w:rPr>
              <w:t>64.838.968</w:t>
            </w:r>
          </w:p>
        </w:tc>
        <w:tc>
          <w:tcPr>
            <w:tcW w:w="1010" w:type="pct"/>
            <w:tcBorders>
              <w:top w:val="nil"/>
              <w:left w:val="nil"/>
              <w:bottom w:val="single" w:sz="4" w:space="0" w:color="auto"/>
              <w:right w:val="nil"/>
            </w:tcBorders>
            <w:vAlign w:val="center"/>
            <w:hideMark/>
          </w:tcPr>
          <w:p w14:paraId="7BF8CAA9" w14:textId="77777777" w:rsidR="00A74C68" w:rsidRPr="00471CBA" w:rsidRDefault="00A74C68" w:rsidP="00A74C68">
            <w:pPr>
              <w:jc w:val="right"/>
              <w:rPr>
                <w:b/>
                <w:bCs/>
                <w:color w:val="000000"/>
                <w:szCs w:val="20"/>
                <w:lang w:eastAsia="tr-TR"/>
              </w:rPr>
            </w:pPr>
            <w:r w:rsidRPr="00471CBA">
              <w:rPr>
                <w:b/>
                <w:bCs/>
                <w:color w:val="000000"/>
                <w:szCs w:val="20"/>
                <w:lang w:eastAsia="tr-TR"/>
              </w:rPr>
              <w:t>21.880.899</w:t>
            </w:r>
          </w:p>
        </w:tc>
        <w:tc>
          <w:tcPr>
            <w:tcW w:w="843" w:type="pct"/>
            <w:tcBorders>
              <w:top w:val="nil"/>
              <w:left w:val="nil"/>
              <w:bottom w:val="single" w:sz="4" w:space="0" w:color="auto"/>
              <w:right w:val="nil"/>
            </w:tcBorders>
            <w:vAlign w:val="center"/>
            <w:hideMark/>
          </w:tcPr>
          <w:p w14:paraId="1283A5F1" w14:textId="77777777" w:rsidR="00A74C68" w:rsidRPr="00471CBA" w:rsidRDefault="00A74C68" w:rsidP="00A74C68">
            <w:pPr>
              <w:jc w:val="right"/>
              <w:rPr>
                <w:b/>
                <w:bCs/>
                <w:color w:val="000000"/>
                <w:szCs w:val="20"/>
                <w:lang w:eastAsia="tr-TR"/>
              </w:rPr>
            </w:pPr>
            <w:r w:rsidRPr="00471CBA">
              <w:rPr>
                <w:b/>
                <w:bCs/>
                <w:color w:val="000000"/>
                <w:szCs w:val="20"/>
                <w:lang w:eastAsia="tr-TR"/>
              </w:rPr>
              <w:t>99.678.154</w:t>
            </w:r>
          </w:p>
        </w:tc>
      </w:tr>
    </w:tbl>
    <w:p w14:paraId="5D417AC9" w14:textId="0C917F3E" w:rsidR="00A71B74" w:rsidRPr="00471CBA" w:rsidRDefault="00A71B74" w:rsidP="00A71B74">
      <w:pPr>
        <w:rPr>
          <w:sz w:val="10"/>
          <w:szCs w:val="10"/>
        </w:rPr>
      </w:pPr>
    </w:p>
    <w:p w14:paraId="032AABCD" w14:textId="32233ABF" w:rsidR="00A74C68" w:rsidRPr="00471CBA" w:rsidRDefault="00A74C68" w:rsidP="00A71B74"/>
    <w:tbl>
      <w:tblPr>
        <w:tblW w:w="5000" w:type="pct"/>
        <w:tblCellMar>
          <w:left w:w="70" w:type="dxa"/>
          <w:right w:w="70" w:type="dxa"/>
        </w:tblCellMar>
        <w:tblLook w:val="04A0" w:firstRow="1" w:lastRow="0" w:firstColumn="1" w:lastColumn="0" w:noHBand="0" w:noVBand="1"/>
      </w:tblPr>
      <w:tblGrid>
        <w:gridCol w:w="2719"/>
        <w:gridCol w:w="1457"/>
        <w:gridCol w:w="1891"/>
        <w:gridCol w:w="1947"/>
        <w:gridCol w:w="1625"/>
      </w:tblGrid>
      <w:tr w:rsidR="00A74C68" w:rsidRPr="00471CBA" w14:paraId="7F6E0338" w14:textId="77777777" w:rsidTr="00A74C68">
        <w:trPr>
          <w:divId w:val="673805426"/>
          <w:trHeight w:val="227"/>
        </w:trPr>
        <w:tc>
          <w:tcPr>
            <w:tcW w:w="1410" w:type="pct"/>
            <w:tcBorders>
              <w:top w:val="nil"/>
              <w:left w:val="nil"/>
              <w:bottom w:val="single" w:sz="4" w:space="0" w:color="auto"/>
              <w:right w:val="nil"/>
            </w:tcBorders>
            <w:noWrap/>
            <w:vAlign w:val="bottom"/>
            <w:hideMark/>
          </w:tcPr>
          <w:p w14:paraId="61707D93" w14:textId="17F3E87C" w:rsidR="00A74C68" w:rsidRPr="00471CBA" w:rsidRDefault="00A74C68" w:rsidP="00A74C68">
            <w:pPr>
              <w:rPr>
                <w:b/>
                <w:bCs/>
                <w:color w:val="000000"/>
                <w:szCs w:val="20"/>
                <w:lang w:eastAsia="tr-TR"/>
              </w:rPr>
            </w:pPr>
            <w:r w:rsidRPr="00471CBA">
              <w:rPr>
                <w:b/>
                <w:bCs/>
                <w:color w:val="000000"/>
                <w:szCs w:val="20"/>
                <w:lang w:eastAsia="tr-TR"/>
              </w:rPr>
              <w:t>Önceki Dönem</w:t>
            </w:r>
          </w:p>
        </w:tc>
        <w:tc>
          <w:tcPr>
            <w:tcW w:w="756" w:type="pct"/>
            <w:tcBorders>
              <w:top w:val="nil"/>
              <w:left w:val="nil"/>
              <w:bottom w:val="single" w:sz="4" w:space="0" w:color="auto"/>
              <w:right w:val="nil"/>
            </w:tcBorders>
            <w:vAlign w:val="bottom"/>
            <w:hideMark/>
          </w:tcPr>
          <w:p w14:paraId="338E5C86" w14:textId="77777777" w:rsidR="00A74C68" w:rsidRPr="00471CBA" w:rsidRDefault="00A74C68" w:rsidP="00A74C68">
            <w:pPr>
              <w:jc w:val="right"/>
              <w:rPr>
                <w:b/>
                <w:bCs/>
                <w:color w:val="000000"/>
                <w:szCs w:val="20"/>
                <w:lang w:eastAsia="tr-TR"/>
              </w:rPr>
            </w:pPr>
            <w:r w:rsidRPr="00471CBA">
              <w:rPr>
                <w:b/>
                <w:bCs/>
                <w:color w:val="000000"/>
                <w:szCs w:val="20"/>
                <w:lang w:eastAsia="tr-TR"/>
              </w:rPr>
              <w:t>Perakende</w:t>
            </w:r>
            <w:r w:rsidRPr="00471CBA">
              <w:rPr>
                <w:b/>
                <w:bCs/>
                <w:color w:val="000000"/>
                <w:szCs w:val="20"/>
                <w:lang w:eastAsia="tr-TR"/>
              </w:rPr>
              <w:br/>
              <w:t xml:space="preserve"> Bankacılık</w:t>
            </w:r>
          </w:p>
        </w:tc>
        <w:tc>
          <w:tcPr>
            <w:tcW w:w="981" w:type="pct"/>
            <w:tcBorders>
              <w:top w:val="nil"/>
              <w:left w:val="nil"/>
              <w:bottom w:val="single" w:sz="4" w:space="0" w:color="auto"/>
              <w:right w:val="nil"/>
            </w:tcBorders>
            <w:vAlign w:val="bottom"/>
            <w:hideMark/>
          </w:tcPr>
          <w:p w14:paraId="77805EA3" w14:textId="77777777" w:rsidR="00A74C68" w:rsidRPr="00471CBA" w:rsidRDefault="00A74C68" w:rsidP="00A74C68">
            <w:pPr>
              <w:jc w:val="right"/>
              <w:rPr>
                <w:b/>
                <w:bCs/>
                <w:color w:val="000000"/>
                <w:szCs w:val="20"/>
                <w:lang w:eastAsia="tr-TR"/>
              </w:rPr>
            </w:pPr>
            <w:r w:rsidRPr="00471CBA">
              <w:rPr>
                <w:b/>
                <w:bCs/>
                <w:color w:val="000000"/>
                <w:szCs w:val="20"/>
                <w:lang w:eastAsia="tr-TR"/>
              </w:rPr>
              <w:t>Ticari, Kurumsal ve KOBİ Bankacılığı</w:t>
            </w:r>
          </w:p>
        </w:tc>
        <w:tc>
          <w:tcPr>
            <w:tcW w:w="1010" w:type="pct"/>
            <w:tcBorders>
              <w:top w:val="nil"/>
              <w:left w:val="nil"/>
              <w:bottom w:val="single" w:sz="4" w:space="0" w:color="auto"/>
              <w:right w:val="nil"/>
            </w:tcBorders>
            <w:vAlign w:val="bottom"/>
            <w:hideMark/>
          </w:tcPr>
          <w:p w14:paraId="12BB8AE1" w14:textId="77777777" w:rsidR="00A74C68" w:rsidRPr="00471CBA" w:rsidRDefault="00A74C68" w:rsidP="00A74C68">
            <w:pPr>
              <w:jc w:val="right"/>
              <w:rPr>
                <w:b/>
                <w:bCs/>
                <w:color w:val="000000"/>
                <w:szCs w:val="20"/>
                <w:lang w:eastAsia="tr-TR"/>
              </w:rPr>
            </w:pPr>
            <w:r w:rsidRPr="00471CBA">
              <w:rPr>
                <w:b/>
                <w:bCs/>
                <w:color w:val="000000"/>
                <w:szCs w:val="20"/>
                <w:lang w:eastAsia="tr-TR"/>
              </w:rPr>
              <w:t xml:space="preserve">Hazine, </w:t>
            </w:r>
            <w:proofErr w:type="gramStart"/>
            <w:r w:rsidRPr="00471CBA">
              <w:rPr>
                <w:b/>
                <w:bCs/>
                <w:color w:val="000000"/>
                <w:szCs w:val="20"/>
                <w:lang w:eastAsia="tr-TR"/>
              </w:rPr>
              <w:t>Diğer</w:t>
            </w:r>
            <w:proofErr w:type="gramEnd"/>
            <w:r w:rsidRPr="00471CBA">
              <w:rPr>
                <w:b/>
                <w:bCs/>
                <w:color w:val="000000"/>
                <w:szCs w:val="20"/>
                <w:lang w:eastAsia="tr-TR"/>
              </w:rPr>
              <w:t xml:space="preserve"> ve Dağıtılamayan</w:t>
            </w:r>
          </w:p>
        </w:tc>
        <w:tc>
          <w:tcPr>
            <w:tcW w:w="843" w:type="pct"/>
            <w:tcBorders>
              <w:top w:val="nil"/>
              <w:left w:val="nil"/>
              <w:bottom w:val="single" w:sz="4" w:space="0" w:color="auto"/>
              <w:right w:val="nil"/>
            </w:tcBorders>
            <w:vAlign w:val="bottom"/>
            <w:hideMark/>
          </w:tcPr>
          <w:p w14:paraId="3FCB905D" w14:textId="77777777" w:rsidR="00A74C68" w:rsidRPr="00471CBA" w:rsidRDefault="00A74C68" w:rsidP="00A74C68">
            <w:pPr>
              <w:jc w:val="right"/>
              <w:rPr>
                <w:b/>
                <w:bCs/>
                <w:color w:val="000000"/>
                <w:szCs w:val="20"/>
                <w:lang w:eastAsia="tr-TR"/>
              </w:rPr>
            </w:pPr>
            <w:r w:rsidRPr="00471CBA">
              <w:rPr>
                <w:b/>
                <w:bCs/>
                <w:color w:val="000000"/>
                <w:szCs w:val="20"/>
                <w:lang w:eastAsia="tr-TR"/>
              </w:rPr>
              <w:t>Toplam</w:t>
            </w:r>
          </w:p>
        </w:tc>
      </w:tr>
      <w:tr w:rsidR="00A74C68" w:rsidRPr="00471CBA" w14:paraId="27E9F20F" w14:textId="77777777" w:rsidTr="00A74C68">
        <w:trPr>
          <w:divId w:val="673805426"/>
          <w:trHeight w:val="227"/>
        </w:trPr>
        <w:tc>
          <w:tcPr>
            <w:tcW w:w="1410" w:type="pct"/>
            <w:tcBorders>
              <w:top w:val="single" w:sz="4" w:space="0" w:color="auto"/>
              <w:left w:val="nil"/>
              <w:bottom w:val="nil"/>
              <w:right w:val="nil"/>
            </w:tcBorders>
            <w:noWrap/>
            <w:vAlign w:val="bottom"/>
            <w:hideMark/>
          </w:tcPr>
          <w:p w14:paraId="3A7E6777" w14:textId="77777777" w:rsidR="00A74C68" w:rsidRPr="00471CBA" w:rsidRDefault="00A74C68" w:rsidP="00A74C68">
            <w:pPr>
              <w:rPr>
                <w:b/>
                <w:bCs/>
                <w:color w:val="000000"/>
                <w:szCs w:val="20"/>
                <w:lang w:eastAsia="tr-TR"/>
              </w:rPr>
            </w:pPr>
          </w:p>
        </w:tc>
        <w:tc>
          <w:tcPr>
            <w:tcW w:w="756" w:type="pct"/>
            <w:tcBorders>
              <w:top w:val="single" w:sz="4" w:space="0" w:color="auto"/>
              <w:left w:val="nil"/>
              <w:bottom w:val="nil"/>
              <w:right w:val="nil"/>
            </w:tcBorders>
            <w:noWrap/>
            <w:vAlign w:val="bottom"/>
            <w:hideMark/>
          </w:tcPr>
          <w:p w14:paraId="1E541E45" w14:textId="77777777" w:rsidR="00A74C68" w:rsidRPr="00471CBA" w:rsidRDefault="00A74C68" w:rsidP="00A74C68">
            <w:pPr>
              <w:jc w:val="right"/>
              <w:rPr>
                <w:szCs w:val="20"/>
                <w:lang w:eastAsia="tr-TR"/>
              </w:rPr>
            </w:pPr>
          </w:p>
        </w:tc>
        <w:tc>
          <w:tcPr>
            <w:tcW w:w="981" w:type="pct"/>
            <w:tcBorders>
              <w:top w:val="single" w:sz="4" w:space="0" w:color="auto"/>
              <w:left w:val="nil"/>
              <w:bottom w:val="nil"/>
              <w:right w:val="nil"/>
            </w:tcBorders>
            <w:noWrap/>
            <w:vAlign w:val="bottom"/>
            <w:hideMark/>
          </w:tcPr>
          <w:p w14:paraId="1C19EEF9" w14:textId="77777777" w:rsidR="00A74C68" w:rsidRPr="00471CBA" w:rsidRDefault="00A74C68" w:rsidP="00A74C68">
            <w:pPr>
              <w:jc w:val="right"/>
              <w:rPr>
                <w:szCs w:val="20"/>
                <w:lang w:eastAsia="tr-TR"/>
              </w:rPr>
            </w:pPr>
          </w:p>
        </w:tc>
        <w:tc>
          <w:tcPr>
            <w:tcW w:w="1010" w:type="pct"/>
            <w:tcBorders>
              <w:top w:val="single" w:sz="4" w:space="0" w:color="auto"/>
              <w:left w:val="nil"/>
              <w:bottom w:val="nil"/>
              <w:right w:val="nil"/>
            </w:tcBorders>
            <w:noWrap/>
            <w:vAlign w:val="bottom"/>
            <w:hideMark/>
          </w:tcPr>
          <w:p w14:paraId="29F178E3" w14:textId="77777777" w:rsidR="00A74C68" w:rsidRPr="00471CBA" w:rsidRDefault="00A74C68" w:rsidP="00A74C68">
            <w:pPr>
              <w:jc w:val="right"/>
              <w:rPr>
                <w:szCs w:val="20"/>
                <w:lang w:eastAsia="tr-TR"/>
              </w:rPr>
            </w:pPr>
          </w:p>
        </w:tc>
        <w:tc>
          <w:tcPr>
            <w:tcW w:w="843" w:type="pct"/>
            <w:tcBorders>
              <w:top w:val="single" w:sz="4" w:space="0" w:color="auto"/>
              <w:left w:val="nil"/>
              <w:bottom w:val="nil"/>
              <w:right w:val="nil"/>
            </w:tcBorders>
            <w:noWrap/>
            <w:vAlign w:val="bottom"/>
            <w:hideMark/>
          </w:tcPr>
          <w:p w14:paraId="2FB7594F" w14:textId="77777777" w:rsidR="00A74C68" w:rsidRPr="00471CBA" w:rsidRDefault="00A74C68" w:rsidP="00A74C68">
            <w:pPr>
              <w:jc w:val="right"/>
              <w:rPr>
                <w:szCs w:val="20"/>
                <w:lang w:eastAsia="tr-TR"/>
              </w:rPr>
            </w:pPr>
          </w:p>
        </w:tc>
      </w:tr>
      <w:tr w:rsidR="00A74C68" w:rsidRPr="00471CBA" w14:paraId="0DCC8A91" w14:textId="77777777" w:rsidTr="00A74C68">
        <w:trPr>
          <w:divId w:val="673805426"/>
          <w:trHeight w:val="227"/>
        </w:trPr>
        <w:tc>
          <w:tcPr>
            <w:tcW w:w="1410" w:type="pct"/>
            <w:tcBorders>
              <w:top w:val="nil"/>
              <w:left w:val="nil"/>
              <w:bottom w:val="nil"/>
              <w:right w:val="nil"/>
            </w:tcBorders>
            <w:vAlign w:val="center"/>
            <w:hideMark/>
          </w:tcPr>
          <w:p w14:paraId="54F7F26E" w14:textId="77777777" w:rsidR="00A74C68" w:rsidRPr="00471CBA" w:rsidRDefault="00A74C68" w:rsidP="00A74C68">
            <w:pPr>
              <w:rPr>
                <w:color w:val="000000"/>
                <w:szCs w:val="20"/>
                <w:lang w:eastAsia="tr-TR"/>
              </w:rPr>
            </w:pPr>
            <w:r w:rsidRPr="00471CBA">
              <w:rPr>
                <w:color w:val="000000"/>
                <w:szCs w:val="20"/>
                <w:lang w:eastAsia="tr-TR"/>
              </w:rPr>
              <w:t>Faaliyet Gelirleri</w:t>
            </w:r>
          </w:p>
        </w:tc>
        <w:tc>
          <w:tcPr>
            <w:tcW w:w="756" w:type="pct"/>
            <w:tcBorders>
              <w:top w:val="nil"/>
              <w:left w:val="nil"/>
              <w:bottom w:val="nil"/>
              <w:right w:val="nil"/>
            </w:tcBorders>
            <w:vAlign w:val="center"/>
            <w:hideMark/>
          </w:tcPr>
          <w:p w14:paraId="471C3CA7" w14:textId="77777777" w:rsidR="00A74C68" w:rsidRPr="00471CBA" w:rsidRDefault="00A74C68" w:rsidP="00A74C68">
            <w:pPr>
              <w:jc w:val="right"/>
              <w:rPr>
                <w:color w:val="000000"/>
                <w:szCs w:val="20"/>
                <w:lang w:eastAsia="tr-TR"/>
              </w:rPr>
            </w:pPr>
            <w:r w:rsidRPr="00471CBA">
              <w:rPr>
                <w:color w:val="000000"/>
                <w:szCs w:val="20"/>
                <w:lang w:eastAsia="tr-TR"/>
              </w:rPr>
              <w:t>94.262</w:t>
            </w:r>
          </w:p>
        </w:tc>
        <w:tc>
          <w:tcPr>
            <w:tcW w:w="981" w:type="pct"/>
            <w:tcBorders>
              <w:top w:val="nil"/>
              <w:left w:val="nil"/>
              <w:bottom w:val="nil"/>
              <w:right w:val="nil"/>
            </w:tcBorders>
            <w:vAlign w:val="center"/>
            <w:hideMark/>
          </w:tcPr>
          <w:p w14:paraId="214FB294" w14:textId="77777777" w:rsidR="00A74C68" w:rsidRPr="00471CBA" w:rsidRDefault="00A74C68" w:rsidP="00A74C68">
            <w:pPr>
              <w:jc w:val="right"/>
              <w:rPr>
                <w:color w:val="000000"/>
                <w:szCs w:val="20"/>
                <w:lang w:eastAsia="tr-TR"/>
              </w:rPr>
            </w:pPr>
            <w:r w:rsidRPr="00471CBA">
              <w:rPr>
                <w:color w:val="000000"/>
                <w:szCs w:val="20"/>
                <w:lang w:eastAsia="tr-TR"/>
              </w:rPr>
              <w:t>3.070.485</w:t>
            </w:r>
          </w:p>
        </w:tc>
        <w:tc>
          <w:tcPr>
            <w:tcW w:w="1010" w:type="pct"/>
            <w:tcBorders>
              <w:top w:val="nil"/>
              <w:left w:val="nil"/>
              <w:bottom w:val="nil"/>
              <w:right w:val="nil"/>
            </w:tcBorders>
            <w:vAlign w:val="center"/>
            <w:hideMark/>
          </w:tcPr>
          <w:p w14:paraId="09829E6D" w14:textId="77777777" w:rsidR="00A74C68" w:rsidRPr="00471CBA" w:rsidRDefault="00A74C68" w:rsidP="00A74C68">
            <w:pPr>
              <w:jc w:val="right"/>
              <w:rPr>
                <w:color w:val="000000"/>
                <w:szCs w:val="20"/>
                <w:lang w:eastAsia="tr-TR"/>
              </w:rPr>
            </w:pPr>
            <w:r w:rsidRPr="00471CBA">
              <w:rPr>
                <w:color w:val="000000"/>
                <w:szCs w:val="20"/>
                <w:lang w:eastAsia="tr-TR"/>
              </w:rPr>
              <w:t>2.088.876</w:t>
            </w:r>
          </w:p>
        </w:tc>
        <w:tc>
          <w:tcPr>
            <w:tcW w:w="843" w:type="pct"/>
            <w:tcBorders>
              <w:top w:val="nil"/>
              <w:left w:val="nil"/>
              <w:bottom w:val="nil"/>
              <w:right w:val="nil"/>
            </w:tcBorders>
            <w:vAlign w:val="center"/>
            <w:hideMark/>
          </w:tcPr>
          <w:p w14:paraId="73047A16" w14:textId="77777777" w:rsidR="00A74C68" w:rsidRPr="00471CBA" w:rsidRDefault="00A74C68" w:rsidP="00A74C68">
            <w:pPr>
              <w:jc w:val="right"/>
              <w:rPr>
                <w:color w:val="000000"/>
                <w:szCs w:val="20"/>
                <w:lang w:eastAsia="tr-TR"/>
              </w:rPr>
            </w:pPr>
            <w:r w:rsidRPr="00471CBA">
              <w:rPr>
                <w:color w:val="000000"/>
                <w:szCs w:val="20"/>
                <w:lang w:eastAsia="tr-TR"/>
              </w:rPr>
              <w:t>5.253.623</w:t>
            </w:r>
          </w:p>
        </w:tc>
      </w:tr>
      <w:tr w:rsidR="00A74C68" w:rsidRPr="00471CBA" w14:paraId="1E7AB592" w14:textId="77777777" w:rsidTr="00A74C68">
        <w:trPr>
          <w:divId w:val="673805426"/>
          <w:trHeight w:val="227"/>
        </w:trPr>
        <w:tc>
          <w:tcPr>
            <w:tcW w:w="1410" w:type="pct"/>
            <w:tcBorders>
              <w:top w:val="nil"/>
              <w:left w:val="nil"/>
              <w:bottom w:val="nil"/>
              <w:right w:val="nil"/>
            </w:tcBorders>
            <w:vAlign w:val="center"/>
            <w:hideMark/>
          </w:tcPr>
          <w:p w14:paraId="7AEC97CA" w14:textId="77777777" w:rsidR="00A74C68" w:rsidRPr="00471CBA" w:rsidRDefault="00A74C68" w:rsidP="00A74C68">
            <w:pPr>
              <w:rPr>
                <w:color w:val="000000"/>
                <w:szCs w:val="20"/>
                <w:lang w:eastAsia="tr-TR"/>
              </w:rPr>
            </w:pPr>
            <w:r w:rsidRPr="00471CBA">
              <w:rPr>
                <w:color w:val="000000"/>
                <w:szCs w:val="20"/>
                <w:lang w:eastAsia="tr-TR"/>
              </w:rPr>
              <w:t>Faaliyet Giderleri</w:t>
            </w:r>
          </w:p>
        </w:tc>
        <w:tc>
          <w:tcPr>
            <w:tcW w:w="756" w:type="pct"/>
            <w:tcBorders>
              <w:top w:val="nil"/>
              <w:left w:val="nil"/>
              <w:bottom w:val="nil"/>
              <w:right w:val="nil"/>
            </w:tcBorders>
            <w:vAlign w:val="center"/>
            <w:hideMark/>
          </w:tcPr>
          <w:p w14:paraId="61882CA6" w14:textId="77777777" w:rsidR="00A74C68" w:rsidRPr="00471CBA" w:rsidRDefault="00A74C68" w:rsidP="00A74C68">
            <w:pPr>
              <w:jc w:val="right"/>
              <w:rPr>
                <w:color w:val="000000"/>
                <w:szCs w:val="20"/>
                <w:lang w:eastAsia="tr-TR"/>
              </w:rPr>
            </w:pPr>
            <w:r w:rsidRPr="00471CBA">
              <w:rPr>
                <w:color w:val="000000"/>
                <w:szCs w:val="20"/>
                <w:lang w:eastAsia="tr-TR"/>
              </w:rPr>
              <w:t>51.161</w:t>
            </w:r>
          </w:p>
        </w:tc>
        <w:tc>
          <w:tcPr>
            <w:tcW w:w="981" w:type="pct"/>
            <w:tcBorders>
              <w:top w:val="nil"/>
              <w:left w:val="nil"/>
              <w:bottom w:val="nil"/>
              <w:right w:val="nil"/>
            </w:tcBorders>
            <w:vAlign w:val="center"/>
            <w:hideMark/>
          </w:tcPr>
          <w:p w14:paraId="4025B758" w14:textId="77777777" w:rsidR="00A74C68" w:rsidRPr="00471CBA" w:rsidRDefault="00A74C68" w:rsidP="00A74C68">
            <w:pPr>
              <w:jc w:val="right"/>
              <w:rPr>
                <w:color w:val="000000"/>
                <w:szCs w:val="20"/>
                <w:lang w:eastAsia="tr-TR"/>
              </w:rPr>
            </w:pPr>
            <w:r w:rsidRPr="00471CBA">
              <w:rPr>
                <w:color w:val="000000"/>
                <w:szCs w:val="20"/>
                <w:lang w:eastAsia="tr-TR"/>
              </w:rPr>
              <w:t>2.284.836</w:t>
            </w:r>
          </w:p>
        </w:tc>
        <w:tc>
          <w:tcPr>
            <w:tcW w:w="1010" w:type="pct"/>
            <w:tcBorders>
              <w:top w:val="nil"/>
              <w:left w:val="nil"/>
              <w:bottom w:val="nil"/>
              <w:right w:val="nil"/>
            </w:tcBorders>
            <w:vAlign w:val="center"/>
            <w:hideMark/>
          </w:tcPr>
          <w:p w14:paraId="01F7790C" w14:textId="77777777" w:rsidR="00A74C68" w:rsidRPr="00471CBA" w:rsidRDefault="00A74C68" w:rsidP="00A74C68">
            <w:pPr>
              <w:jc w:val="right"/>
              <w:rPr>
                <w:color w:val="000000"/>
                <w:szCs w:val="20"/>
                <w:lang w:eastAsia="tr-TR"/>
              </w:rPr>
            </w:pPr>
            <w:r w:rsidRPr="00471CBA">
              <w:rPr>
                <w:color w:val="000000"/>
                <w:szCs w:val="20"/>
                <w:lang w:eastAsia="tr-TR"/>
              </w:rPr>
              <w:t>1.301.443</w:t>
            </w:r>
          </w:p>
        </w:tc>
        <w:tc>
          <w:tcPr>
            <w:tcW w:w="843" w:type="pct"/>
            <w:tcBorders>
              <w:top w:val="nil"/>
              <w:left w:val="nil"/>
              <w:bottom w:val="nil"/>
              <w:right w:val="nil"/>
            </w:tcBorders>
            <w:vAlign w:val="center"/>
            <w:hideMark/>
          </w:tcPr>
          <w:p w14:paraId="0DEB7F2E" w14:textId="77777777" w:rsidR="00A74C68" w:rsidRPr="00471CBA" w:rsidRDefault="00A74C68" w:rsidP="00A74C68">
            <w:pPr>
              <w:jc w:val="right"/>
              <w:rPr>
                <w:color w:val="000000"/>
                <w:szCs w:val="20"/>
                <w:lang w:eastAsia="tr-TR"/>
              </w:rPr>
            </w:pPr>
            <w:r w:rsidRPr="00471CBA">
              <w:rPr>
                <w:color w:val="000000"/>
                <w:szCs w:val="20"/>
                <w:lang w:eastAsia="tr-TR"/>
              </w:rPr>
              <w:t>3.637.440</w:t>
            </w:r>
          </w:p>
        </w:tc>
      </w:tr>
      <w:tr w:rsidR="00A74C68" w:rsidRPr="00471CBA" w14:paraId="216440A1" w14:textId="77777777" w:rsidTr="00A74C68">
        <w:trPr>
          <w:divId w:val="673805426"/>
          <w:trHeight w:val="227"/>
        </w:trPr>
        <w:tc>
          <w:tcPr>
            <w:tcW w:w="1410" w:type="pct"/>
            <w:tcBorders>
              <w:top w:val="nil"/>
              <w:left w:val="nil"/>
              <w:bottom w:val="nil"/>
              <w:right w:val="nil"/>
            </w:tcBorders>
            <w:vAlign w:val="center"/>
            <w:hideMark/>
          </w:tcPr>
          <w:p w14:paraId="649472CF" w14:textId="77777777" w:rsidR="00A74C68" w:rsidRPr="00471CBA" w:rsidRDefault="00A74C68" w:rsidP="00A74C68">
            <w:pPr>
              <w:rPr>
                <w:color w:val="000000"/>
                <w:szCs w:val="20"/>
                <w:lang w:eastAsia="tr-TR"/>
              </w:rPr>
            </w:pPr>
            <w:r w:rsidRPr="00471CBA">
              <w:rPr>
                <w:color w:val="000000"/>
                <w:szCs w:val="20"/>
                <w:lang w:eastAsia="tr-TR"/>
              </w:rPr>
              <w:t>Faaliyet Gelirleri/Giderleri</w:t>
            </w:r>
          </w:p>
        </w:tc>
        <w:tc>
          <w:tcPr>
            <w:tcW w:w="756" w:type="pct"/>
            <w:tcBorders>
              <w:top w:val="nil"/>
              <w:left w:val="nil"/>
              <w:bottom w:val="nil"/>
              <w:right w:val="nil"/>
            </w:tcBorders>
            <w:vAlign w:val="center"/>
            <w:hideMark/>
          </w:tcPr>
          <w:p w14:paraId="2E05680F" w14:textId="77777777" w:rsidR="00A74C68" w:rsidRPr="00471CBA" w:rsidRDefault="00A74C68" w:rsidP="00A74C68">
            <w:pPr>
              <w:jc w:val="right"/>
              <w:rPr>
                <w:color w:val="000000"/>
                <w:szCs w:val="20"/>
                <w:lang w:eastAsia="tr-TR"/>
              </w:rPr>
            </w:pPr>
            <w:r w:rsidRPr="00471CBA">
              <w:rPr>
                <w:color w:val="000000"/>
                <w:szCs w:val="20"/>
                <w:lang w:eastAsia="tr-TR"/>
              </w:rPr>
              <w:t>43.101</w:t>
            </w:r>
          </w:p>
        </w:tc>
        <w:tc>
          <w:tcPr>
            <w:tcW w:w="981" w:type="pct"/>
            <w:tcBorders>
              <w:top w:val="nil"/>
              <w:left w:val="nil"/>
              <w:bottom w:val="nil"/>
              <w:right w:val="nil"/>
            </w:tcBorders>
            <w:vAlign w:val="center"/>
            <w:hideMark/>
          </w:tcPr>
          <w:p w14:paraId="2075E0C4" w14:textId="77777777" w:rsidR="00A74C68" w:rsidRPr="00471CBA" w:rsidRDefault="00A74C68" w:rsidP="00A74C68">
            <w:pPr>
              <w:jc w:val="right"/>
              <w:rPr>
                <w:color w:val="000000"/>
                <w:szCs w:val="20"/>
                <w:lang w:eastAsia="tr-TR"/>
              </w:rPr>
            </w:pPr>
            <w:r w:rsidRPr="00471CBA">
              <w:rPr>
                <w:color w:val="000000"/>
                <w:szCs w:val="20"/>
                <w:lang w:eastAsia="tr-TR"/>
              </w:rPr>
              <w:t>785.649</w:t>
            </w:r>
          </w:p>
        </w:tc>
        <w:tc>
          <w:tcPr>
            <w:tcW w:w="1010" w:type="pct"/>
            <w:tcBorders>
              <w:top w:val="nil"/>
              <w:left w:val="nil"/>
              <w:bottom w:val="nil"/>
              <w:right w:val="nil"/>
            </w:tcBorders>
            <w:vAlign w:val="center"/>
            <w:hideMark/>
          </w:tcPr>
          <w:p w14:paraId="653C8675" w14:textId="77777777" w:rsidR="00A74C68" w:rsidRPr="00471CBA" w:rsidRDefault="00A74C68" w:rsidP="00A74C68">
            <w:pPr>
              <w:jc w:val="right"/>
              <w:rPr>
                <w:color w:val="000000"/>
                <w:szCs w:val="20"/>
                <w:lang w:eastAsia="tr-TR"/>
              </w:rPr>
            </w:pPr>
            <w:r w:rsidRPr="00471CBA">
              <w:rPr>
                <w:color w:val="000000"/>
                <w:szCs w:val="20"/>
                <w:lang w:eastAsia="tr-TR"/>
              </w:rPr>
              <w:t>787.433</w:t>
            </w:r>
          </w:p>
        </w:tc>
        <w:tc>
          <w:tcPr>
            <w:tcW w:w="843" w:type="pct"/>
            <w:tcBorders>
              <w:top w:val="nil"/>
              <w:left w:val="nil"/>
              <w:bottom w:val="nil"/>
              <w:right w:val="nil"/>
            </w:tcBorders>
            <w:vAlign w:val="center"/>
            <w:hideMark/>
          </w:tcPr>
          <w:p w14:paraId="5DFF2CBD" w14:textId="77777777" w:rsidR="00A74C68" w:rsidRPr="00471CBA" w:rsidRDefault="00A74C68" w:rsidP="00A74C68">
            <w:pPr>
              <w:jc w:val="right"/>
              <w:rPr>
                <w:color w:val="000000"/>
                <w:szCs w:val="20"/>
                <w:lang w:eastAsia="tr-TR"/>
              </w:rPr>
            </w:pPr>
            <w:r w:rsidRPr="00471CBA">
              <w:rPr>
                <w:color w:val="000000"/>
                <w:szCs w:val="20"/>
                <w:lang w:eastAsia="tr-TR"/>
              </w:rPr>
              <w:t>1.616.183</w:t>
            </w:r>
          </w:p>
        </w:tc>
      </w:tr>
      <w:tr w:rsidR="00A74C68" w:rsidRPr="00471CBA" w14:paraId="06A98244" w14:textId="77777777" w:rsidTr="00A74C68">
        <w:trPr>
          <w:divId w:val="673805426"/>
          <w:trHeight w:val="227"/>
        </w:trPr>
        <w:tc>
          <w:tcPr>
            <w:tcW w:w="1410" w:type="pct"/>
            <w:tcBorders>
              <w:top w:val="nil"/>
              <w:left w:val="nil"/>
              <w:bottom w:val="nil"/>
              <w:right w:val="nil"/>
            </w:tcBorders>
            <w:vAlign w:val="center"/>
            <w:hideMark/>
          </w:tcPr>
          <w:p w14:paraId="1E101E88" w14:textId="77777777" w:rsidR="00A74C68" w:rsidRPr="00471CBA" w:rsidRDefault="00A74C68" w:rsidP="00A74C68">
            <w:pPr>
              <w:rPr>
                <w:color w:val="000000"/>
                <w:szCs w:val="20"/>
                <w:lang w:eastAsia="tr-TR"/>
              </w:rPr>
            </w:pPr>
            <w:r w:rsidRPr="00471CBA">
              <w:rPr>
                <w:color w:val="000000"/>
                <w:szCs w:val="20"/>
                <w:lang w:eastAsia="tr-TR"/>
              </w:rPr>
              <w:t>Vergi Öncesi Kar</w:t>
            </w:r>
          </w:p>
        </w:tc>
        <w:tc>
          <w:tcPr>
            <w:tcW w:w="756" w:type="pct"/>
            <w:tcBorders>
              <w:top w:val="nil"/>
              <w:left w:val="nil"/>
              <w:bottom w:val="nil"/>
              <w:right w:val="nil"/>
            </w:tcBorders>
            <w:vAlign w:val="center"/>
            <w:hideMark/>
          </w:tcPr>
          <w:p w14:paraId="6B700A2A" w14:textId="77777777" w:rsidR="00A74C68" w:rsidRPr="00471CBA" w:rsidRDefault="00A74C68" w:rsidP="00A74C68">
            <w:pPr>
              <w:jc w:val="right"/>
              <w:rPr>
                <w:color w:val="000000"/>
                <w:szCs w:val="20"/>
                <w:lang w:eastAsia="tr-TR"/>
              </w:rPr>
            </w:pPr>
            <w:r w:rsidRPr="00471CBA">
              <w:rPr>
                <w:color w:val="000000"/>
                <w:szCs w:val="20"/>
                <w:lang w:eastAsia="tr-TR"/>
              </w:rPr>
              <w:t>43.101</w:t>
            </w:r>
          </w:p>
        </w:tc>
        <w:tc>
          <w:tcPr>
            <w:tcW w:w="981" w:type="pct"/>
            <w:tcBorders>
              <w:top w:val="nil"/>
              <w:left w:val="nil"/>
              <w:bottom w:val="nil"/>
              <w:right w:val="nil"/>
            </w:tcBorders>
            <w:vAlign w:val="center"/>
            <w:hideMark/>
          </w:tcPr>
          <w:p w14:paraId="4442E764" w14:textId="77777777" w:rsidR="00A74C68" w:rsidRPr="00471CBA" w:rsidRDefault="00A74C68" w:rsidP="00A74C68">
            <w:pPr>
              <w:jc w:val="right"/>
              <w:rPr>
                <w:color w:val="000000"/>
                <w:szCs w:val="20"/>
                <w:lang w:eastAsia="tr-TR"/>
              </w:rPr>
            </w:pPr>
            <w:r w:rsidRPr="00471CBA">
              <w:rPr>
                <w:color w:val="000000"/>
                <w:szCs w:val="20"/>
                <w:lang w:eastAsia="tr-TR"/>
              </w:rPr>
              <w:t>785.649</w:t>
            </w:r>
          </w:p>
        </w:tc>
        <w:tc>
          <w:tcPr>
            <w:tcW w:w="1010" w:type="pct"/>
            <w:tcBorders>
              <w:top w:val="nil"/>
              <w:left w:val="nil"/>
              <w:bottom w:val="nil"/>
              <w:right w:val="nil"/>
            </w:tcBorders>
            <w:vAlign w:val="center"/>
            <w:hideMark/>
          </w:tcPr>
          <w:p w14:paraId="55B3C42A" w14:textId="77777777" w:rsidR="00A74C68" w:rsidRPr="00471CBA" w:rsidRDefault="00A74C68" w:rsidP="00A74C68">
            <w:pPr>
              <w:jc w:val="right"/>
              <w:rPr>
                <w:color w:val="000000"/>
                <w:szCs w:val="20"/>
                <w:lang w:eastAsia="tr-TR"/>
              </w:rPr>
            </w:pPr>
            <w:r w:rsidRPr="00471CBA">
              <w:rPr>
                <w:color w:val="000000"/>
                <w:szCs w:val="20"/>
                <w:lang w:eastAsia="tr-TR"/>
              </w:rPr>
              <w:t>787.485</w:t>
            </w:r>
          </w:p>
        </w:tc>
        <w:tc>
          <w:tcPr>
            <w:tcW w:w="843" w:type="pct"/>
            <w:tcBorders>
              <w:top w:val="nil"/>
              <w:left w:val="nil"/>
              <w:bottom w:val="nil"/>
              <w:right w:val="nil"/>
            </w:tcBorders>
            <w:vAlign w:val="center"/>
            <w:hideMark/>
          </w:tcPr>
          <w:p w14:paraId="6C795B1E" w14:textId="77777777" w:rsidR="00A74C68" w:rsidRPr="00471CBA" w:rsidRDefault="00A74C68" w:rsidP="00A74C68">
            <w:pPr>
              <w:jc w:val="right"/>
              <w:rPr>
                <w:color w:val="000000"/>
                <w:szCs w:val="20"/>
                <w:lang w:eastAsia="tr-TR"/>
              </w:rPr>
            </w:pPr>
            <w:r w:rsidRPr="00471CBA">
              <w:rPr>
                <w:color w:val="000000"/>
                <w:szCs w:val="20"/>
                <w:lang w:eastAsia="tr-TR"/>
              </w:rPr>
              <w:t>1.616.235</w:t>
            </w:r>
          </w:p>
        </w:tc>
      </w:tr>
      <w:tr w:rsidR="00A74C68" w:rsidRPr="00471CBA" w14:paraId="72F0B35C" w14:textId="77777777" w:rsidTr="00A74C68">
        <w:trPr>
          <w:divId w:val="673805426"/>
          <w:trHeight w:val="227"/>
        </w:trPr>
        <w:tc>
          <w:tcPr>
            <w:tcW w:w="1410" w:type="pct"/>
            <w:tcBorders>
              <w:top w:val="nil"/>
              <w:left w:val="nil"/>
              <w:bottom w:val="nil"/>
              <w:right w:val="nil"/>
            </w:tcBorders>
            <w:vAlign w:val="center"/>
            <w:hideMark/>
          </w:tcPr>
          <w:p w14:paraId="2FF721A0" w14:textId="77777777" w:rsidR="00A74C68" w:rsidRPr="00471CBA" w:rsidRDefault="00A74C68" w:rsidP="00A74C68">
            <w:pPr>
              <w:rPr>
                <w:color w:val="000000"/>
                <w:szCs w:val="20"/>
                <w:lang w:eastAsia="tr-TR"/>
              </w:rPr>
            </w:pPr>
            <w:r w:rsidRPr="00471CBA">
              <w:rPr>
                <w:color w:val="000000"/>
                <w:szCs w:val="20"/>
                <w:lang w:eastAsia="tr-TR"/>
              </w:rPr>
              <w:t>Vergi Gideri</w:t>
            </w:r>
          </w:p>
        </w:tc>
        <w:tc>
          <w:tcPr>
            <w:tcW w:w="756" w:type="pct"/>
            <w:tcBorders>
              <w:top w:val="nil"/>
              <w:left w:val="nil"/>
              <w:bottom w:val="nil"/>
              <w:right w:val="nil"/>
            </w:tcBorders>
            <w:vAlign w:val="center"/>
            <w:hideMark/>
          </w:tcPr>
          <w:p w14:paraId="36D1D66F" w14:textId="77777777" w:rsidR="00A74C68" w:rsidRPr="00471CBA" w:rsidRDefault="00A74C68" w:rsidP="00A74C68">
            <w:pPr>
              <w:jc w:val="right"/>
              <w:rPr>
                <w:color w:val="000000"/>
                <w:szCs w:val="20"/>
                <w:lang w:eastAsia="tr-TR"/>
              </w:rPr>
            </w:pPr>
            <w:r w:rsidRPr="00471CBA">
              <w:rPr>
                <w:color w:val="000000"/>
                <w:szCs w:val="20"/>
                <w:lang w:eastAsia="tr-TR"/>
              </w:rPr>
              <w:t>-</w:t>
            </w:r>
          </w:p>
        </w:tc>
        <w:tc>
          <w:tcPr>
            <w:tcW w:w="981" w:type="pct"/>
            <w:tcBorders>
              <w:top w:val="nil"/>
              <w:left w:val="nil"/>
              <w:bottom w:val="nil"/>
              <w:right w:val="nil"/>
            </w:tcBorders>
            <w:vAlign w:val="center"/>
            <w:hideMark/>
          </w:tcPr>
          <w:p w14:paraId="2B1C3BF7" w14:textId="77777777" w:rsidR="00A74C68" w:rsidRPr="00471CBA" w:rsidRDefault="00A74C68" w:rsidP="00A74C68">
            <w:pPr>
              <w:jc w:val="right"/>
              <w:rPr>
                <w:color w:val="000000"/>
                <w:szCs w:val="20"/>
                <w:lang w:eastAsia="tr-TR"/>
              </w:rPr>
            </w:pPr>
            <w:r w:rsidRPr="00471CBA">
              <w:rPr>
                <w:color w:val="000000"/>
                <w:szCs w:val="20"/>
                <w:lang w:eastAsia="tr-TR"/>
              </w:rPr>
              <w:t>-</w:t>
            </w:r>
          </w:p>
        </w:tc>
        <w:tc>
          <w:tcPr>
            <w:tcW w:w="1010" w:type="pct"/>
            <w:tcBorders>
              <w:top w:val="nil"/>
              <w:left w:val="nil"/>
              <w:bottom w:val="nil"/>
              <w:right w:val="nil"/>
            </w:tcBorders>
            <w:vAlign w:val="center"/>
            <w:hideMark/>
          </w:tcPr>
          <w:p w14:paraId="75352BD3" w14:textId="77777777" w:rsidR="00A74C68" w:rsidRPr="00471CBA" w:rsidRDefault="00A74C68" w:rsidP="00A74C68">
            <w:pPr>
              <w:jc w:val="right"/>
              <w:rPr>
                <w:color w:val="000000"/>
                <w:szCs w:val="20"/>
                <w:lang w:eastAsia="tr-TR"/>
              </w:rPr>
            </w:pPr>
            <w:r w:rsidRPr="00471CBA">
              <w:rPr>
                <w:color w:val="000000"/>
                <w:szCs w:val="20"/>
                <w:lang w:eastAsia="tr-TR"/>
              </w:rPr>
              <w:t>262.593</w:t>
            </w:r>
          </w:p>
        </w:tc>
        <w:tc>
          <w:tcPr>
            <w:tcW w:w="843" w:type="pct"/>
            <w:tcBorders>
              <w:top w:val="nil"/>
              <w:left w:val="nil"/>
              <w:bottom w:val="nil"/>
              <w:right w:val="nil"/>
            </w:tcBorders>
            <w:vAlign w:val="center"/>
            <w:hideMark/>
          </w:tcPr>
          <w:p w14:paraId="13DF273B" w14:textId="77777777" w:rsidR="00A74C68" w:rsidRPr="00471CBA" w:rsidRDefault="00A74C68" w:rsidP="00A74C68">
            <w:pPr>
              <w:jc w:val="right"/>
              <w:rPr>
                <w:color w:val="000000"/>
                <w:szCs w:val="20"/>
                <w:lang w:eastAsia="tr-TR"/>
              </w:rPr>
            </w:pPr>
            <w:r w:rsidRPr="00471CBA">
              <w:rPr>
                <w:color w:val="000000"/>
                <w:szCs w:val="20"/>
                <w:lang w:eastAsia="tr-TR"/>
              </w:rPr>
              <w:t>262.593</w:t>
            </w:r>
          </w:p>
        </w:tc>
      </w:tr>
      <w:tr w:rsidR="00A74C68" w:rsidRPr="00471CBA" w14:paraId="2AFA6AAE" w14:textId="77777777" w:rsidTr="00A74C68">
        <w:trPr>
          <w:divId w:val="673805426"/>
          <w:trHeight w:val="227"/>
        </w:trPr>
        <w:tc>
          <w:tcPr>
            <w:tcW w:w="1410" w:type="pct"/>
            <w:tcBorders>
              <w:top w:val="nil"/>
              <w:left w:val="nil"/>
              <w:bottom w:val="single" w:sz="4" w:space="0" w:color="auto"/>
              <w:right w:val="nil"/>
            </w:tcBorders>
            <w:vAlign w:val="center"/>
            <w:hideMark/>
          </w:tcPr>
          <w:p w14:paraId="171DC1B7" w14:textId="77777777" w:rsidR="00A74C68" w:rsidRPr="00471CBA" w:rsidRDefault="00A74C68" w:rsidP="00A74C68">
            <w:pPr>
              <w:rPr>
                <w:b/>
                <w:bCs/>
                <w:color w:val="000000"/>
                <w:szCs w:val="20"/>
                <w:lang w:eastAsia="tr-TR"/>
              </w:rPr>
            </w:pPr>
            <w:r w:rsidRPr="00471CBA">
              <w:rPr>
                <w:b/>
                <w:bCs/>
                <w:color w:val="000000"/>
                <w:szCs w:val="20"/>
                <w:lang w:eastAsia="tr-TR"/>
              </w:rPr>
              <w:t>Net Dönem K/Z</w:t>
            </w:r>
          </w:p>
        </w:tc>
        <w:tc>
          <w:tcPr>
            <w:tcW w:w="756" w:type="pct"/>
            <w:tcBorders>
              <w:top w:val="nil"/>
              <w:left w:val="nil"/>
              <w:bottom w:val="single" w:sz="4" w:space="0" w:color="auto"/>
              <w:right w:val="nil"/>
            </w:tcBorders>
            <w:vAlign w:val="center"/>
            <w:hideMark/>
          </w:tcPr>
          <w:p w14:paraId="6B9D5588" w14:textId="77777777" w:rsidR="00A74C68" w:rsidRPr="00471CBA" w:rsidRDefault="00A74C68" w:rsidP="00A74C68">
            <w:pPr>
              <w:jc w:val="right"/>
              <w:rPr>
                <w:b/>
                <w:bCs/>
                <w:color w:val="000000"/>
                <w:szCs w:val="20"/>
                <w:lang w:eastAsia="tr-TR"/>
              </w:rPr>
            </w:pPr>
            <w:r w:rsidRPr="00471CBA">
              <w:rPr>
                <w:b/>
                <w:bCs/>
                <w:color w:val="000000"/>
                <w:szCs w:val="20"/>
                <w:lang w:eastAsia="tr-TR"/>
              </w:rPr>
              <w:t>43.101</w:t>
            </w:r>
          </w:p>
        </w:tc>
        <w:tc>
          <w:tcPr>
            <w:tcW w:w="981" w:type="pct"/>
            <w:tcBorders>
              <w:top w:val="nil"/>
              <w:left w:val="nil"/>
              <w:bottom w:val="single" w:sz="4" w:space="0" w:color="auto"/>
              <w:right w:val="nil"/>
            </w:tcBorders>
            <w:vAlign w:val="center"/>
            <w:hideMark/>
          </w:tcPr>
          <w:p w14:paraId="0DE72A43" w14:textId="77777777" w:rsidR="00A74C68" w:rsidRPr="00471CBA" w:rsidRDefault="00A74C68" w:rsidP="00A74C68">
            <w:pPr>
              <w:jc w:val="right"/>
              <w:rPr>
                <w:b/>
                <w:bCs/>
                <w:color w:val="000000"/>
                <w:szCs w:val="20"/>
                <w:lang w:eastAsia="tr-TR"/>
              </w:rPr>
            </w:pPr>
            <w:r w:rsidRPr="00471CBA">
              <w:rPr>
                <w:b/>
                <w:bCs/>
                <w:color w:val="000000"/>
                <w:szCs w:val="20"/>
                <w:lang w:eastAsia="tr-TR"/>
              </w:rPr>
              <w:t>785.649</w:t>
            </w:r>
          </w:p>
        </w:tc>
        <w:tc>
          <w:tcPr>
            <w:tcW w:w="1010" w:type="pct"/>
            <w:tcBorders>
              <w:top w:val="nil"/>
              <w:left w:val="nil"/>
              <w:bottom w:val="single" w:sz="4" w:space="0" w:color="auto"/>
              <w:right w:val="nil"/>
            </w:tcBorders>
            <w:vAlign w:val="center"/>
            <w:hideMark/>
          </w:tcPr>
          <w:p w14:paraId="784CF685" w14:textId="77777777" w:rsidR="00A74C68" w:rsidRPr="00471CBA" w:rsidRDefault="00A74C68" w:rsidP="00A74C68">
            <w:pPr>
              <w:jc w:val="right"/>
              <w:rPr>
                <w:b/>
                <w:bCs/>
                <w:color w:val="000000"/>
                <w:szCs w:val="20"/>
                <w:lang w:eastAsia="tr-TR"/>
              </w:rPr>
            </w:pPr>
            <w:r w:rsidRPr="00471CBA">
              <w:rPr>
                <w:b/>
                <w:bCs/>
                <w:color w:val="000000"/>
                <w:szCs w:val="20"/>
                <w:lang w:eastAsia="tr-TR"/>
              </w:rPr>
              <w:t>524.892</w:t>
            </w:r>
          </w:p>
        </w:tc>
        <w:tc>
          <w:tcPr>
            <w:tcW w:w="843" w:type="pct"/>
            <w:tcBorders>
              <w:top w:val="nil"/>
              <w:left w:val="nil"/>
              <w:bottom w:val="single" w:sz="4" w:space="0" w:color="auto"/>
              <w:right w:val="nil"/>
            </w:tcBorders>
            <w:vAlign w:val="center"/>
            <w:hideMark/>
          </w:tcPr>
          <w:p w14:paraId="3B9A56A2" w14:textId="77777777" w:rsidR="00A74C68" w:rsidRPr="00471CBA" w:rsidRDefault="00A74C68" w:rsidP="00A74C68">
            <w:pPr>
              <w:jc w:val="right"/>
              <w:rPr>
                <w:b/>
                <w:bCs/>
                <w:color w:val="000000"/>
                <w:szCs w:val="20"/>
                <w:lang w:eastAsia="tr-TR"/>
              </w:rPr>
            </w:pPr>
            <w:r w:rsidRPr="00471CBA">
              <w:rPr>
                <w:b/>
                <w:bCs/>
                <w:color w:val="000000"/>
                <w:szCs w:val="20"/>
                <w:lang w:eastAsia="tr-TR"/>
              </w:rPr>
              <w:t>1.353.642</w:t>
            </w:r>
          </w:p>
        </w:tc>
      </w:tr>
      <w:tr w:rsidR="00A74C68" w:rsidRPr="00471CBA" w14:paraId="7623303E" w14:textId="77777777" w:rsidTr="00A74C68">
        <w:trPr>
          <w:divId w:val="673805426"/>
          <w:trHeight w:val="227"/>
        </w:trPr>
        <w:tc>
          <w:tcPr>
            <w:tcW w:w="1410" w:type="pct"/>
            <w:tcBorders>
              <w:top w:val="nil"/>
              <w:left w:val="nil"/>
              <w:bottom w:val="nil"/>
              <w:right w:val="nil"/>
            </w:tcBorders>
            <w:vAlign w:val="center"/>
            <w:hideMark/>
          </w:tcPr>
          <w:p w14:paraId="63DB6947" w14:textId="77777777" w:rsidR="00A74C68" w:rsidRPr="00471CBA" w:rsidRDefault="00A74C68" w:rsidP="00A74C68">
            <w:pPr>
              <w:rPr>
                <w:b/>
                <w:bCs/>
                <w:color w:val="000000"/>
                <w:szCs w:val="20"/>
                <w:lang w:eastAsia="tr-TR"/>
              </w:rPr>
            </w:pPr>
          </w:p>
        </w:tc>
        <w:tc>
          <w:tcPr>
            <w:tcW w:w="756" w:type="pct"/>
            <w:tcBorders>
              <w:top w:val="nil"/>
              <w:left w:val="nil"/>
              <w:bottom w:val="nil"/>
              <w:right w:val="nil"/>
            </w:tcBorders>
            <w:noWrap/>
            <w:vAlign w:val="bottom"/>
            <w:hideMark/>
          </w:tcPr>
          <w:p w14:paraId="7362C15A" w14:textId="77777777" w:rsidR="00A74C68" w:rsidRPr="00471CBA" w:rsidRDefault="00A74C68" w:rsidP="00A74C68">
            <w:pPr>
              <w:jc w:val="right"/>
              <w:rPr>
                <w:szCs w:val="20"/>
                <w:lang w:eastAsia="tr-TR"/>
              </w:rPr>
            </w:pPr>
          </w:p>
        </w:tc>
        <w:tc>
          <w:tcPr>
            <w:tcW w:w="981" w:type="pct"/>
            <w:tcBorders>
              <w:top w:val="nil"/>
              <w:left w:val="nil"/>
              <w:bottom w:val="nil"/>
              <w:right w:val="nil"/>
            </w:tcBorders>
            <w:noWrap/>
            <w:vAlign w:val="bottom"/>
            <w:hideMark/>
          </w:tcPr>
          <w:p w14:paraId="2EA07D80" w14:textId="77777777" w:rsidR="00A74C68" w:rsidRPr="00471CBA" w:rsidRDefault="00A74C68" w:rsidP="00A74C68">
            <w:pPr>
              <w:jc w:val="right"/>
              <w:rPr>
                <w:szCs w:val="20"/>
                <w:lang w:eastAsia="tr-TR"/>
              </w:rPr>
            </w:pPr>
          </w:p>
        </w:tc>
        <w:tc>
          <w:tcPr>
            <w:tcW w:w="1010" w:type="pct"/>
            <w:tcBorders>
              <w:top w:val="nil"/>
              <w:left w:val="nil"/>
              <w:bottom w:val="nil"/>
              <w:right w:val="nil"/>
            </w:tcBorders>
            <w:noWrap/>
            <w:vAlign w:val="bottom"/>
            <w:hideMark/>
          </w:tcPr>
          <w:p w14:paraId="5DFB6F3D" w14:textId="77777777" w:rsidR="00A74C68" w:rsidRPr="00471CBA" w:rsidRDefault="00A74C68" w:rsidP="00A74C68">
            <w:pPr>
              <w:jc w:val="right"/>
              <w:rPr>
                <w:szCs w:val="20"/>
                <w:lang w:eastAsia="tr-TR"/>
              </w:rPr>
            </w:pPr>
          </w:p>
        </w:tc>
        <w:tc>
          <w:tcPr>
            <w:tcW w:w="843" w:type="pct"/>
            <w:tcBorders>
              <w:top w:val="nil"/>
              <w:left w:val="nil"/>
              <w:bottom w:val="nil"/>
              <w:right w:val="nil"/>
            </w:tcBorders>
            <w:noWrap/>
            <w:vAlign w:val="bottom"/>
            <w:hideMark/>
          </w:tcPr>
          <w:p w14:paraId="11E76BE7" w14:textId="77777777" w:rsidR="00A74C68" w:rsidRPr="00471CBA" w:rsidRDefault="00A74C68" w:rsidP="00A74C68">
            <w:pPr>
              <w:jc w:val="right"/>
              <w:rPr>
                <w:szCs w:val="20"/>
                <w:lang w:eastAsia="tr-TR"/>
              </w:rPr>
            </w:pPr>
          </w:p>
        </w:tc>
      </w:tr>
      <w:tr w:rsidR="00A74C68" w:rsidRPr="00471CBA" w14:paraId="76E451CC" w14:textId="77777777" w:rsidTr="00A74C68">
        <w:trPr>
          <w:divId w:val="673805426"/>
          <w:trHeight w:val="227"/>
        </w:trPr>
        <w:tc>
          <w:tcPr>
            <w:tcW w:w="1410" w:type="pct"/>
            <w:tcBorders>
              <w:top w:val="nil"/>
              <w:left w:val="nil"/>
              <w:bottom w:val="single" w:sz="4" w:space="0" w:color="auto"/>
              <w:right w:val="nil"/>
            </w:tcBorders>
            <w:vAlign w:val="center"/>
            <w:hideMark/>
          </w:tcPr>
          <w:p w14:paraId="3EFEA49F" w14:textId="77777777" w:rsidR="00A74C68" w:rsidRPr="00471CBA" w:rsidRDefault="00A74C68" w:rsidP="00A74C68">
            <w:pPr>
              <w:rPr>
                <w:b/>
                <w:bCs/>
                <w:color w:val="000000"/>
                <w:szCs w:val="20"/>
                <w:lang w:eastAsia="tr-TR"/>
              </w:rPr>
            </w:pPr>
            <w:r w:rsidRPr="00471CBA">
              <w:rPr>
                <w:b/>
                <w:bCs/>
                <w:color w:val="000000"/>
                <w:szCs w:val="20"/>
                <w:lang w:eastAsia="tr-TR"/>
              </w:rPr>
              <w:t>Toplam Varlıklar</w:t>
            </w:r>
          </w:p>
        </w:tc>
        <w:tc>
          <w:tcPr>
            <w:tcW w:w="756" w:type="pct"/>
            <w:tcBorders>
              <w:top w:val="nil"/>
              <w:left w:val="nil"/>
              <w:bottom w:val="single" w:sz="4" w:space="0" w:color="auto"/>
              <w:right w:val="nil"/>
            </w:tcBorders>
            <w:vAlign w:val="center"/>
            <w:hideMark/>
          </w:tcPr>
          <w:p w14:paraId="49FE4965" w14:textId="77777777" w:rsidR="00A74C68" w:rsidRPr="00471CBA" w:rsidRDefault="00A74C68" w:rsidP="00A74C68">
            <w:pPr>
              <w:jc w:val="right"/>
              <w:rPr>
                <w:b/>
                <w:bCs/>
                <w:color w:val="000000"/>
                <w:szCs w:val="20"/>
                <w:lang w:eastAsia="tr-TR"/>
              </w:rPr>
            </w:pPr>
            <w:r w:rsidRPr="00471CBA">
              <w:rPr>
                <w:b/>
                <w:bCs/>
                <w:color w:val="000000"/>
                <w:szCs w:val="20"/>
                <w:lang w:eastAsia="tr-TR"/>
              </w:rPr>
              <w:t>876</w:t>
            </w:r>
          </w:p>
        </w:tc>
        <w:tc>
          <w:tcPr>
            <w:tcW w:w="981" w:type="pct"/>
            <w:tcBorders>
              <w:top w:val="nil"/>
              <w:left w:val="nil"/>
              <w:bottom w:val="single" w:sz="4" w:space="0" w:color="auto"/>
              <w:right w:val="nil"/>
            </w:tcBorders>
            <w:vAlign w:val="center"/>
            <w:hideMark/>
          </w:tcPr>
          <w:p w14:paraId="3B52752B" w14:textId="77777777" w:rsidR="00A74C68" w:rsidRPr="00471CBA" w:rsidRDefault="00A74C68" w:rsidP="00A74C68">
            <w:pPr>
              <w:jc w:val="right"/>
              <w:rPr>
                <w:b/>
                <w:bCs/>
                <w:color w:val="000000"/>
                <w:szCs w:val="20"/>
                <w:lang w:eastAsia="tr-TR"/>
              </w:rPr>
            </w:pPr>
            <w:r w:rsidRPr="00471CBA">
              <w:rPr>
                <w:b/>
                <w:bCs/>
                <w:color w:val="000000"/>
                <w:szCs w:val="20"/>
                <w:lang w:eastAsia="tr-TR"/>
              </w:rPr>
              <w:t>20.678.224</w:t>
            </w:r>
          </w:p>
        </w:tc>
        <w:tc>
          <w:tcPr>
            <w:tcW w:w="1010" w:type="pct"/>
            <w:tcBorders>
              <w:top w:val="nil"/>
              <w:left w:val="nil"/>
              <w:bottom w:val="single" w:sz="4" w:space="0" w:color="auto"/>
              <w:right w:val="nil"/>
            </w:tcBorders>
            <w:vAlign w:val="center"/>
            <w:hideMark/>
          </w:tcPr>
          <w:p w14:paraId="6565C56A" w14:textId="77777777" w:rsidR="00A74C68" w:rsidRPr="00471CBA" w:rsidRDefault="00A74C68" w:rsidP="00A74C68">
            <w:pPr>
              <w:jc w:val="right"/>
              <w:rPr>
                <w:b/>
                <w:bCs/>
                <w:color w:val="000000"/>
                <w:szCs w:val="20"/>
                <w:lang w:eastAsia="tr-TR"/>
              </w:rPr>
            </w:pPr>
            <w:r w:rsidRPr="00471CBA">
              <w:rPr>
                <w:b/>
                <w:bCs/>
                <w:color w:val="000000"/>
                <w:szCs w:val="20"/>
                <w:lang w:eastAsia="tr-TR"/>
              </w:rPr>
              <w:t>13.956.057</w:t>
            </w:r>
          </w:p>
        </w:tc>
        <w:tc>
          <w:tcPr>
            <w:tcW w:w="843" w:type="pct"/>
            <w:tcBorders>
              <w:top w:val="nil"/>
              <w:left w:val="nil"/>
              <w:bottom w:val="single" w:sz="4" w:space="0" w:color="auto"/>
              <w:right w:val="nil"/>
            </w:tcBorders>
            <w:vAlign w:val="center"/>
            <w:hideMark/>
          </w:tcPr>
          <w:p w14:paraId="0C5368B3" w14:textId="77777777" w:rsidR="00A74C68" w:rsidRPr="00471CBA" w:rsidRDefault="00A74C68" w:rsidP="00A74C68">
            <w:pPr>
              <w:jc w:val="right"/>
              <w:rPr>
                <w:b/>
                <w:bCs/>
                <w:color w:val="000000"/>
                <w:szCs w:val="20"/>
                <w:lang w:eastAsia="tr-TR"/>
              </w:rPr>
            </w:pPr>
            <w:r w:rsidRPr="00471CBA">
              <w:rPr>
                <w:b/>
                <w:bCs/>
                <w:color w:val="000000"/>
                <w:szCs w:val="20"/>
                <w:lang w:eastAsia="tr-TR"/>
              </w:rPr>
              <w:t>34.635.157</w:t>
            </w:r>
          </w:p>
        </w:tc>
      </w:tr>
      <w:tr w:rsidR="00A74C68" w:rsidRPr="00471CBA" w14:paraId="11BF3861" w14:textId="77777777" w:rsidTr="00A74C68">
        <w:trPr>
          <w:divId w:val="673805426"/>
          <w:trHeight w:val="227"/>
        </w:trPr>
        <w:tc>
          <w:tcPr>
            <w:tcW w:w="1410" w:type="pct"/>
            <w:tcBorders>
              <w:top w:val="nil"/>
              <w:left w:val="nil"/>
              <w:bottom w:val="single" w:sz="4" w:space="0" w:color="auto"/>
              <w:right w:val="nil"/>
            </w:tcBorders>
            <w:vAlign w:val="center"/>
            <w:hideMark/>
          </w:tcPr>
          <w:p w14:paraId="3022F6D9" w14:textId="77777777" w:rsidR="00A74C68" w:rsidRPr="00471CBA" w:rsidRDefault="00A74C68" w:rsidP="00A74C68">
            <w:pPr>
              <w:rPr>
                <w:b/>
                <w:bCs/>
                <w:color w:val="000000"/>
                <w:szCs w:val="20"/>
                <w:lang w:eastAsia="tr-TR"/>
              </w:rPr>
            </w:pPr>
            <w:r w:rsidRPr="00471CBA">
              <w:rPr>
                <w:b/>
                <w:bCs/>
                <w:color w:val="000000"/>
                <w:szCs w:val="20"/>
                <w:lang w:eastAsia="tr-TR"/>
              </w:rPr>
              <w:t>Toplam Yükümlülükler</w:t>
            </w:r>
          </w:p>
        </w:tc>
        <w:tc>
          <w:tcPr>
            <w:tcW w:w="756" w:type="pct"/>
            <w:tcBorders>
              <w:top w:val="nil"/>
              <w:left w:val="nil"/>
              <w:bottom w:val="single" w:sz="4" w:space="0" w:color="auto"/>
              <w:right w:val="nil"/>
            </w:tcBorders>
            <w:vAlign w:val="center"/>
            <w:hideMark/>
          </w:tcPr>
          <w:p w14:paraId="4864A07F" w14:textId="77777777" w:rsidR="00A74C68" w:rsidRPr="00471CBA" w:rsidRDefault="00A74C68" w:rsidP="00A74C68">
            <w:pPr>
              <w:jc w:val="right"/>
              <w:rPr>
                <w:b/>
                <w:bCs/>
                <w:color w:val="000000"/>
                <w:szCs w:val="20"/>
                <w:lang w:eastAsia="tr-TR"/>
              </w:rPr>
            </w:pPr>
            <w:r w:rsidRPr="00471CBA">
              <w:rPr>
                <w:b/>
                <w:bCs/>
                <w:color w:val="000000"/>
                <w:szCs w:val="20"/>
                <w:lang w:eastAsia="tr-TR"/>
              </w:rPr>
              <w:t>580.440</w:t>
            </w:r>
          </w:p>
        </w:tc>
        <w:tc>
          <w:tcPr>
            <w:tcW w:w="981" w:type="pct"/>
            <w:tcBorders>
              <w:top w:val="nil"/>
              <w:left w:val="nil"/>
              <w:bottom w:val="single" w:sz="4" w:space="0" w:color="auto"/>
              <w:right w:val="nil"/>
            </w:tcBorders>
            <w:vAlign w:val="center"/>
            <w:hideMark/>
          </w:tcPr>
          <w:p w14:paraId="576E14C8" w14:textId="77777777" w:rsidR="00A74C68" w:rsidRPr="00471CBA" w:rsidRDefault="00A74C68" w:rsidP="00A74C68">
            <w:pPr>
              <w:jc w:val="right"/>
              <w:rPr>
                <w:b/>
                <w:bCs/>
                <w:color w:val="000000"/>
                <w:szCs w:val="20"/>
                <w:lang w:eastAsia="tr-TR"/>
              </w:rPr>
            </w:pPr>
            <w:r w:rsidRPr="00471CBA">
              <w:rPr>
                <w:b/>
                <w:bCs/>
                <w:color w:val="000000"/>
                <w:szCs w:val="20"/>
                <w:lang w:eastAsia="tr-TR"/>
              </w:rPr>
              <w:t>22.346.465</w:t>
            </w:r>
          </w:p>
        </w:tc>
        <w:tc>
          <w:tcPr>
            <w:tcW w:w="1010" w:type="pct"/>
            <w:tcBorders>
              <w:top w:val="nil"/>
              <w:left w:val="nil"/>
              <w:bottom w:val="single" w:sz="4" w:space="0" w:color="auto"/>
              <w:right w:val="nil"/>
            </w:tcBorders>
            <w:vAlign w:val="center"/>
            <w:hideMark/>
          </w:tcPr>
          <w:p w14:paraId="35202508" w14:textId="77777777" w:rsidR="00A74C68" w:rsidRPr="00471CBA" w:rsidRDefault="00A74C68" w:rsidP="00A74C68">
            <w:pPr>
              <w:jc w:val="right"/>
              <w:rPr>
                <w:b/>
                <w:bCs/>
                <w:color w:val="000000"/>
                <w:szCs w:val="20"/>
                <w:lang w:eastAsia="tr-TR"/>
              </w:rPr>
            </w:pPr>
            <w:r w:rsidRPr="00471CBA">
              <w:rPr>
                <w:b/>
                <w:bCs/>
                <w:color w:val="000000"/>
                <w:szCs w:val="20"/>
                <w:lang w:eastAsia="tr-TR"/>
              </w:rPr>
              <w:t>11.708.252</w:t>
            </w:r>
          </w:p>
        </w:tc>
        <w:tc>
          <w:tcPr>
            <w:tcW w:w="843" w:type="pct"/>
            <w:tcBorders>
              <w:top w:val="nil"/>
              <w:left w:val="nil"/>
              <w:bottom w:val="single" w:sz="4" w:space="0" w:color="auto"/>
              <w:right w:val="nil"/>
            </w:tcBorders>
            <w:vAlign w:val="center"/>
            <w:hideMark/>
          </w:tcPr>
          <w:p w14:paraId="2D397EB9" w14:textId="77777777" w:rsidR="00A74C68" w:rsidRPr="00471CBA" w:rsidRDefault="00A74C68" w:rsidP="00A74C68">
            <w:pPr>
              <w:jc w:val="right"/>
              <w:rPr>
                <w:b/>
                <w:bCs/>
                <w:color w:val="000000"/>
                <w:szCs w:val="20"/>
                <w:lang w:eastAsia="tr-TR"/>
              </w:rPr>
            </w:pPr>
            <w:r w:rsidRPr="00471CBA">
              <w:rPr>
                <w:b/>
                <w:bCs/>
                <w:color w:val="000000"/>
                <w:szCs w:val="20"/>
                <w:lang w:eastAsia="tr-TR"/>
              </w:rPr>
              <w:t>34.635.157</w:t>
            </w:r>
          </w:p>
        </w:tc>
      </w:tr>
    </w:tbl>
    <w:p w14:paraId="6819543D" w14:textId="4CA0066C" w:rsidR="00A71B74" w:rsidRPr="00471CBA" w:rsidRDefault="00A71B74" w:rsidP="00A71B74">
      <w:pPr>
        <w:rPr>
          <w:szCs w:val="20"/>
        </w:rPr>
      </w:pPr>
    </w:p>
    <w:p w14:paraId="6272F08D" w14:textId="77777777" w:rsidR="00E50789" w:rsidRPr="00471CBA" w:rsidRDefault="00E50789" w:rsidP="00E50789">
      <w:pPr>
        <w:rPr>
          <w:szCs w:val="20"/>
        </w:rPr>
      </w:pPr>
    </w:p>
    <w:p w14:paraId="0011D4E9" w14:textId="77777777" w:rsidR="00A71B74" w:rsidRPr="00471CBA" w:rsidRDefault="00A71B74" w:rsidP="00A71B74">
      <w:pPr>
        <w:rPr>
          <w:szCs w:val="20"/>
        </w:rPr>
      </w:pPr>
    </w:p>
    <w:p w14:paraId="5016330B" w14:textId="77777777" w:rsidR="00A71B74" w:rsidRPr="00471CBA" w:rsidRDefault="00A71B74" w:rsidP="00A71B74">
      <w:pPr>
        <w:rPr>
          <w:szCs w:val="20"/>
        </w:rPr>
      </w:pPr>
    </w:p>
    <w:p w14:paraId="740445AC" w14:textId="0E117DDD" w:rsidR="00A71B74" w:rsidRPr="00471CBA" w:rsidRDefault="00A71B74" w:rsidP="00A71B74">
      <w:pPr>
        <w:rPr>
          <w:szCs w:val="20"/>
        </w:rPr>
        <w:sectPr w:rsidR="00A71B74" w:rsidRPr="00471CBA" w:rsidSect="0004729F">
          <w:headerReference w:type="default" r:id="rId70"/>
          <w:headerReference w:type="first" r:id="rId71"/>
          <w:pgSz w:w="11907" w:h="16840" w:code="9"/>
          <w:pgMar w:top="1134" w:right="1134" w:bottom="1134" w:left="1134" w:header="851" w:footer="851" w:gutter="0"/>
          <w:cols w:space="708"/>
          <w:titlePg/>
          <w:docGrid w:linePitch="360"/>
        </w:sectPr>
      </w:pPr>
    </w:p>
    <w:bookmarkEnd w:id="61"/>
    <w:p w14:paraId="264F0EE0" w14:textId="7F4CABC4" w:rsidR="00136C29" w:rsidRPr="00471CBA" w:rsidRDefault="00BE064F" w:rsidP="00EE6955">
      <w:pPr>
        <w:widowControl w:val="0"/>
        <w:jc w:val="center"/>
        <w:rPr>
          <w:b/>
          <w:szCs w:val="20"/>
        </w:rPr>
      </w:pPr>
      <w:r w:rsidRPr="00471CBA">
        <w:rPr>
          <w:b/>
          <w:szCs w:val="20"/>
        </w:rPr>
        <w:t>BEŞİNCİ BÖLÜM</w:t>
      </w:r>
    </w:p>
    <w:p w14:paraId="21E8252A" w14:textId="77777777" w:rsidR="00F37168" w:rsidRPr="00471CBA" w:rsidRDefault="00F37168" w:rsidP="00EE6955">
      <w:pPr>
        <w:widowControl w:val="0"/>
        <w:jc w:val="center"/>
        <w:rPr>
          <w:b/>
          <w:szCs w:val="20"/>
        </w:rPr>
      </w:pPr>
    </w:p>
    <w:p w14:paraId="41FA6C16" w14:textId="221110F3" w:rsidR="00136C29" w:rsidRPr="00471CBA" w:rsidRDefault="007F6642" w:rsidP="00827CD4">
      <w:pPr>
        <w:widowControl w:val="0"/>
        <w:jc w:val="center"/>
        <w:rPr>
          <w:b/>
          <w:szCs w:val="20"/>
        </w:rPr>
      </w:pPr>
      <w:r w:rsidRPr="00471CBA">
        <w:rPr>
          <w:b/>
          <w:szCs w:val="20"/>
        </w:rPr>
        <w:t>KONSOLİDE OLMAYAN FİNANSAL TABLOLARA İLİŞKİN AÇIKLAMA VE DİPNOTLAR</w:t>
      </w:r>
    </w:p>
    <w:p w14:paraId="347C5E09" w14:textId="77777777" w:rsidR="00EE6955" w:rsidRPr="00471CBA" w:rsidRDefault="00EE6955" w:rsidP="00CB1909">
      <w:pPr>
        <w:widowControl w:val="0"/>
        <w:ind w:hanging="720"/>
        <w:jc w:val="both"/>
        <w:rPr>
          <w:b/>
          <w:sz w:val="16"/>
          <w:szCs w:val="16"/>
        </w:rPr>
      </w:pPr>
    </w:p>
    <w:p w14:paraId="22D33538" w14:textId="013764E6" w:rsidR="00EE6955" w:rsidRPr="00471CBA" w:rsidRDefault="00F37168" w:rsidP="00EE6955">
      <w:pPr>
        <w:widowControl w:val="0"/>
        <w:numPr>
          <w:ilvl w:val="0"/>
          <w:numId w:val="3"/>
        </w:numPr>
        <w:tabs>
          <w:tab w:val="clear" w:pos="720"/>
        </w:tabs>
        <w:ind w:left="851" w:right="452" w:hanging="851"/>
        <w:jc w:val="both"/>
        <w:rPr>
          <w:b/>
          <w:szCs w:val="20"/>
        </w:rPr>
      </w:pPr>
      <w:r w:rsidRPr="00471CBA">
        <w:rPr>
          <w:b/>
          <w:szCs w:val="20"/>
        </w:rPr>
        <w:t xml:space="preserve">BİLANÇONUN AKTİF HESAPLARINA İLİŞKİN AÇIKLAMA VE DİPNOTLAR </w:t>
      </w:r>
    </w:p>
    <w:p w14:paraId="22100463" w14:textId="77777777" w:rsidR="00EE6955" w:rsidRPr="00471CBA" w:rsidRDefault="00EE6955" w:rsidP="00EE6955">
      <w:pPr>
        <w:widowControl w:val="0"/>
        <w:ind w:right="452"/>
        <w:jc w:val="both"/>
        <w:rPr>
          <w:b/>
          <w:szCs w:val="20"/>
        </w:rPr>
      </w:pPr>
    </w:p>
    <w:p w14:paraId="1661F6E5" w14:textId="5D1F5013" w:rsidR="00136C29" w:rsidRPr="00471CBA" w:rsidRDefault="00C23DD2" w:rsidP="00212E4A">
      <w:pPr>
        <w:pStyle w:val="GvdeMetniGirintisi"/>
        <w:widowControl w:val="0"/>
        <w:numPr>
          <w:ilvl w:val="0"/>
          <w:numId w:val="31"/>
        </w:numPr>
        <w:tabs>
          <w:tab w:val="left" w:pos="1276"/>
        </w:tabs>
        <w:ind w:left="851" w:right="-93" w:hanging="851"/>
        <w:rPr>
          <w:b/>
          <w:szCs w:val="20"/>
        </w:rPr>
      </w:pPr>
      <w:r w:rsidRPr="00471CBA">
        <w:rPr>
          <w:b/>
          <w:szCs w:val="20"/>
        </w:rPr>
        <w:t>a</w:t>
      </w:r>
      <w:r w:rsidR="00B32B58" w:rsidRPr="00471CBA">
        <w:rPr>
          <w:b/>
          <w:szCs w:val="20"/>
        </w:rPr>
        <w:t>.</w:t>
      </w:r>
      <w:r w:rsidR="000F5EC0" w:rsidRPr="00471CBA">
        <w:rPr>
          <w:b/>
          <w:szCs w:val="20"/>
        </w:rPr>
        <w:tab/>
      </w:r>
      <w:r w:rsidR="00136C29" w:rsidRPr="00471CBA">
        <w:rPr>
          <w:b/>
          <w:szCs w:val="20"/>
        </w:rPr>
        <w:t>Nakit değerler ve TCMB’ye ilişkin bilgiler</w:t>
      </w:r>
    </w:p>
    <w:p w14:paraId="3735E197" w14:textId="312DFF18" w:rsidR="00A74C68" w:rsidRPr="00471CBA" w:rsidRDefault="00A74C68" w:rsidP="005355DE">
      <w:pPr>
        <w:rPr>
          <w:szCs w:val="20"/>
        </w:rPr>
      </w:pPr>
    </w:p>
    <w:tbl>
      <w:tblPr>
        <w:tblW w:w="5000" w:type="pct"/>
        <w:tblCellMar>
          <w:left w:w="70" w:type="dxa"/>
          <w:right w:w="70" w:type="dxa"/>
        </w:tblCellMar>
        <w:tblLook w:val="04A0" w:firstRow="1" w:lastRow="0" w:firstColumn="1" w:lastColumn="0" w:noHBand="0" w:noVBand="1"/>
      </w:tblPr>
      <w:tblGrid>
        <w:gridCol w:w="5691"/>
        <w:gridCol w:w="1733"/>
        <w:gridCol w:w="1931"/>
      </w:tblGrid>
      <w:tr w:rsidR="00A74C68" w:rsidRPr="00471CBA" w14:paraId="047B1C33" w14:textId="77777777" w:rsidTr="00A74C68">
        <w:trPr>
          <w:divId w:val="1482506104"/>
          <w:trHeight w:val="227"/>
        </w:trPr>
        <w:tc>
          <w:tcPr>
            <w:tcW w:w="2232" w:type="pct"/>
            <w:tcBorders>
              <w:top w:val="nil"/>
              <w:left w:val="nil"/>
              <w:bottom w:val="nil"/>
              <w:right w:val="nil"/>
            </w:tcBorders>
            <w:vAlign w:val="bottom"/>
            <w:hideMark/>
          </w:tcPr>
          <w:p w14:paraId="6DE67DF3" w14:textId="516BFF81" w:rsidR="00A74C68" w:rsidRPr="00471CBA" w:rsidRDefault="00A74C68" w:rsidP="00A74C68"/>
        </w:tc>
        <w:tc>
          <w:tcPr>
            <w:tcW w:w="1437" w:type="pct"/>
            <w:gridSpan w:val="2"/>
            <w:tcBorders>
              <w:top w:val="nil"/>
              <w:left w:val="nil"/>
              <w:bottom w:val="single" w:sz="4" w:space="0" w:color="auto"/>
              <w:right w:val="nil"/>
            </w:tcBorders>
            <w:noWrap/>
            <w:vAlign w:val="center"/>
            <w:hideMark/>
          </w:tcPr>
          <w:p w14:paraId="3E7AB4E9" w14:textId="77777777" w:rsidR="00A74C68" w:rsidRPr="00471CBA" w:rsidRDefault="00A74C68" w:rsidP="00A74C68">
            <w:pPr>
              <w:jc w:val="center"/>
              <w:rPr>
                <w:b/>
                <w:bCs/>
                <w:color w:val="000000"/>
                <w:szCs w:val="20"/>
              </w:rPr>
            </w:pPr>
            <w:r w:rsidRPr="00471CBA">
              <w:rPr>
                <w:b/>
                <w:bCs/>
                <w:color w:val="000000"/>
                <w:szCs w:val="20"/>
              </w:rPr>
              <w:t>31 Aralık 2025</w:t>
            </w:r>
          </w:p>
        </w:tc>
      </w:tr>
      <w:tr w:rsidR="00A74C68" w:rsidRPr="00471CBA" w14:paraId="04A05E6D" w14:textId="77777777" w:rsidTr="00A74C68">
        <w:trPr>
          <w:divId w:val="1482506104"/>
          <w:trHeight w:val="227"/>
        </w:trPr>
        <w:tc>
          <w:tcPr>
            <w:tcW w:w="2232" w:type="pct"/>
            <w:tcBorders>
              <w:top w:val="nil"/>
              <w:left w:val="nil"/>
              <w:bottom w:val="single" w:sz="4" w:space="0" w:color="auto"/>
              <w:right w:val="nil"/>
            </w:tcBorders>
            <w:vAlign w:val="bottom"/>
            <w:hideMark/>
          </w:tcPr>
          <w:p w14:paraId="01F583EF" w14:textId="77777777" w:rsidR="00A74C68" w:rsidRPr="00471CBA" w:rsidRDefault="00A74C68" w:rsidP="00A74C68">
            <w:pPr>
              <w:jc w:val="both"/>
              <w:rPr>
                <w:b/>
                <w:bCs/>
                <w:color w:val="000000"/>
                <w:szCs w:val="20"/>
              </w:rPr>
            </w:pPr>
            <w:r w:rsidRPr="00471CBA">
              <w:rPr>
                <w:b/>
                <w:bCs/>
                <w:color w:val="000000"/>
                <w:szCs w:val="20"/>
              </w:rPr>
              <w:t> </w:t>
            </w:r>
          </w:p>
        </w:tc>
        <w:tc>
          <w:tcPr>
            <w:tcW w:w="680" w:type="pct"/>
            <w:tcBorders>
              <w:top w:val="nil"/>
              <w:left w:val="nil"/>
              <w:bottom w:val="single" w:sz="4" w:space="0" w:color="auto"/>
              <w:right w:val="nil"/>
            </w:tcBorders>
            <w:vAlign w:val="bottom"/>
            <w:hideMark/>
          </w:tcPr>
          <w:p w14:paraId="42D30C2A" w14:textId="77777777" w:rsidR="00A74C68" w:rsidRPr="00471CBA" w:rsidRDefault="00A74C68" w:rsidP="00A74C68">
            <w:pPr>
              <w:jc w:val="right"/>
              <w:rPr>
                <w:b/>
                <w:bCs/>
                <w:color w:val="000000"/>
                <w:szCs w:val="20"/>
              </w:rPr>
            </w:pPr>
            <w:r w:rsidRPr="00471CBA">
              <w:rPr>
                <w:b/>
                <w:bCs/>
                <w:color w:val="000000"/>
                <w:szCs w:val="20"/>
              </w:rPr>
              <w:t>TP</w:t>
            </w:r>
          </w:p>
        </w:tc>
        <w:tc>
          <w:tcPr>
            <w:tcW w:w="757" w:type="pct"/>
            <w:tcBorders>
              <w:top w:val="nil"/>
              <w:left w:val="nil"/>
              <w:bottom w:val="single" w:sz="4" w:space="0" w:color="auto"/>
              <w:right w:val="nil"/>
            </w:tcBorders>
            <w:vAlign w:val="bottom"/>
            <w:hideMark/>
          </w:tcPr>
          <w:p w14:paraId="358684C6" w14:textId="77777777" w:rsidR="00A74C68" w:rsidRPr="00471CBA" w:rsidRDefault="00A74C68" w:rsidP="00A74C68">
            <w:pPr>
              <w:jc w:val="right"/>
              <w:rPr>
                <w:b/>
                <w:bCs/>
                <w:color w:val="000000"/>
                <w:szCs w:val="20"/>
              </w:rPr>
            </w:pPr>
            <w:r w:rsidRPr="00471CBA">
              <w:rPr>
                <w:b/>
                <w:bCs/>
                <w:color w:val="000000"/>
                <w:szCs w:val="20"/>
              </w:rPr>
              <w:t>YP</w:t>
            </w:r>
          </w:p>
        </w:tc>
      </w:tr>
      <w:tr w:rsidR="00A74C68" w:rsidRPr="00471CBA" w14:paraId="1822E9D9" w14:textId="77777777" w:rsidTr="00A74C68">
        <w:trPr>
          <w:divId w:val="1482506104"/>
          <w:trHeight w:val="227"/>
        </w:trPr>
        <w:tc>
          <w:tcPr>
            <w:tcW w:w="2232" w:type="pct"/>
            <w:tcBorders>
              <w:top w:val="nil"/>
              <w:left w:val="nil"/>
              <w:bottom w:val="nil"/>
              <w:right w:val="nil"/>
            </w:tcBorders>
            <w:vAlign w:val="bottom"/>
            <w:hideMark/>
          </w:tcPr>
          <w:p w14:paraId="17531B72" w14:textId="77777777" w:rsidR="00A74C68" w:rsidRPr="00471CBA" w:rsidRDefault="00A74C68" w:rsidP="00A74C68">
            <w:pPr>
              <w:jc w:val="both"/>
              <w:rPr>
                <w:color w:val="000000"/>
                <w:szCs w:val="20"/>
              </w:rPr>
            </w:pPr>
            <w:r w:rsidRPr="00471CBA">
              <w:rPr>
                <w:color w:val="000000"/>
                <w:szCs w:val="20"/>
              </w:rPr>
              <w:t> </w:t>
            </w:r>
          </w:p>
        </w:tc>
        <w:tc>
          <w:tcPr>
            <w:tcW w:w="680" w:type="pct"/>
            <w:tcBorders>
              <w:top w:val="nil"/>
              <w:left w:val="nil"/>
              <w:bottom w:val="nil"/>
              <w:right w:val="nil"/>
            </w:tcBorders>
            <w:vAlign w:val="bottom"/>
            <w:hideMark/>
          </w:tcPr>
          <w:p w14:paraId="6A509F75" w14:textId="77777777" w:rsidR="00A74C68" w:rsidRPr="00471CBA" w:rsidRDefault="00A74C68" w:rsidP="00A74C68">
            <w:pPr>
              <w:jc w:val="right"/>
              <w:rPr>
                <w:color w:val="000000"/>
                <w:szCs w:val="20"/>
              </w:rPr>
            </w:pPr>
            <w:r w:rsidRPr="00471CBA">
              <w:rPr>
                <w:color w:val="000000"/>
                <w:szCs w:val="20"/>
              </w:rPr>
              <w:t> </w:t>
            </w:r>
          </w:p>
        </w:tc>
        <w:tc>
          <w:tcPr>
            <w:tcW w:w="757" w:type="pct"/>
            <w:tcBorders>
              <w:top w:val="nil"/>
              <w:left w:val="nil"/>
              <w:bottom w:val="nil"/>
              <w:right w:val="nil"/>
            </w:tcBorders>
            <w:vAlign w:val="bottom"/>
            <w:hideMark/>
          </w:tcPr>
          <w:p w14:paraId="32022A70" w14:textId="77777777" w:rsidR="00A74C68" w:rsidRPr="00471CBA" w:rsidRDefault="00A74C68" w:rsidP="00A74C68">
            <w:pPr>
              <w:jc w:val="right"/>
              <w:rPr>
                <w:color w:val="000000"/>
                <w:szCs w:val="20"/>
              </w:rPr>
            </w:pPr>
            <w:r w:rsidRPr="00471CBA">
              <w:rPr>
                <w:color w:val="000000"/>
                <w:szCs w:val="20"/>
              </w:rPr>
              <w:t> </w:t>
            </w:r>
          </w:p>
        </w:tc>
      </w:tr>
      <w:tr w:rsidR="00A74C68" w:rsidRPr="00471CBA" w14:paraId="31BEED1D" w14:textId="77777777" w:rsidTr="00A74C68">
        <w:trPr>
          <w:divId w:val="1482506104"/>
          <w:trHeight w:val="227"/>
        </w:trPr>
        <w:tc>
          <w:tcPr>
            <w:tcW w:w="2232" w:type="pct"/>
            <w:tcBorders>
              <w:top w:val="nil"/>
              <w:left w:val="nil"/>
              <w:bottom w:val="nil"/>
              <w:right w:val="nil"/>
            </w:tcBorders>
            <w:vAlign w:val="bottom"/>
            <w:hideMark/>
          </w:tcPr>
          <w:p w14:paraId="0E71F789" w14:textId="77777777" w:rsidR="00A74C68" w:rsidRPr="00471CBA" w:rsidRDefault="00A74C68" w:rsidP="00A74C68">
            <w:pPr>
              <w:jc w:val="both"/>
              <w:rPr>
                <w:color w:val="000000"/>
                <w:szCs w:val="20"/>
              </w:rPr>
            </w:pPr>
            <w:r w:rsidRPr="00471CBA">
              <w:rPr>
                <w:color w:val="000000"/>
                <w:szCs w:val="20"/>
              </w:rPr>
              <w:t>Kasa / Efektif</w:t>
            </w:r>
          </w:p>
        </w:tc>
        <w:tc>
          <w:tcPr>
            <w:tcW w:w="680" w:type="pct"/>
            <w:tcBorders>
              <w:top w:val="nil"/>
              <w:left w:val="nil"/>
              <w:bottom w:val="nil"/>
              <w:right w:val="nil"/>
            </w:tcBorders>
            <w:vAlign w:val="center"/>
            <w:hideMark/>
          </w:tcPr>
          <w:p w14:paraId="4532041B" w14:textId="77777777" w:rsidR="00A74C68" w:rsidRPr="00471CBA" w:rsidRDefault="00A74C68" w:rsidP="00A74C68">
            <w:pPr>
              <w:jc w:val="right"/>
              <w:rPr>
                <w:color w:val="000000"/>
                <w:szCs w:val="20"/>
              </w:rPr>
            </w:pPr>
            <w:r w:rsidRPr="00471CBA">
              <w:rPr>
                <w:color w:val="000000"/>
                <w:szCs w:val="20"/>
              </w:rPr>
              <w:t>91.926</w:t>
            </w:r>
          </w:p>
        </w:tc>
        <w:tc>
          <w:tcPr>
            <w:tcW w:w="757" w:type="pct"/>
            <w:tcBorders>
              <w:top w:val="nil"/>
              <w:left w:val="nil"/>
              <w:bottom w:val="nil"/>
              <w:right w:val="nil"/>
            </w:tcBorders>
            <w:vAlign w:val="center"/>
            <w:hideMark/>
          </w:tcPr>
          <w:p w14:paraId="2AD468A3" w14:textId="77777777" w:rsidR="00A74C68" w:rsidRPr="00471CBA" w:rsidRDefault="00A74C68" w:rsidP="00A74C68">
            <w:pPr>
              <w:jc w:val="right"/>
              <w:rPr>
                <w:color w:val="000000"/>
                <w:szCs w:val="20"/>
              </w:rPr>
            </w:pPr>
            <w:r w:rsidRPr="00471CBA">
              <w:rPr>
                <w:color w:val="000000"/>
                <w:szCs w:val="20"/>
              </w:rPr>
              <w:t>1.596.518</w:t>
            </w:r>
          </w:p>
        </w:tc>
      </w:tr>
      <w:tr w:rsidR="00A74C68" w:rsidRPr="00471CBA" w14:paraId="1A8120FA" w14:textId="77777777" w:rsidTr="00A74C68">
        <w:trPr>
          <w:divId w:val="1482506104"/>
          <w:trHeight w:val="227"/>
        </w:trPr>
        <w:tc>
          <w:tcPr>
            <w:tcW w:w="2232" w:type="pct"/>
            <w:tcBorders>
              <w:top w:val="nil"/>
              <w:left w:val="nil"/>
              <w:bottom w:val="nil"/>
              <w:right w:val="nil"/>
            </w:tcBorders>
            <w:vAlign w:val="bottom"/>
            <w:hideMark/>
          </w:tcPr>
          <w:p w14:paraId="049B3859" w14:textId="77777777" w:rsidR="00A74C68" w:rsidRPr="00471CBA" w:rsidRDefault="00A74C68" w:rsidP="00A74C68">
            <w:pPr>
              <w:jc w:val="both"/>
              <w:rPr>
                <w:color w:val="000000"/>
                <w:szCs w:val="20"/>
              </w:rPr>
            </w:pPr>
            <w:r w:rsidRPr="00471CBA">
              <w:rPr>
                <w:color w:val="000000"/>
                <w:szCs w:val="20"/>
              </w:rPr>
              <w:t>TCMB</w:t>
            </w:r>
          </w:p>
        </w:tc>
        <w:tc>
          <w:tcPr>
            <w:tcW w:w="680" w:type="pct"/>
            <w:tcBorders>
              <w:top w:val="nil"/>
              <w:left w:val="nil"/>
              <w:bottom w:val="nil"/>
              <w:right w:val="nil"/>
            </w:tcBorders>
            <w:vAlign w:val="center"/>
            <w:hideMark/>
          </w:tcPr>
          <w:p w14:paraId="51CD5465" w14:textId="77777777" w:rsidR="00A74C68" w:rsidRPr="00471CBA" w:rsidRDefault="00A74C68" w:rsidP="00A74C68">
            <w:pPr>
              <w:jc w:val="right"/>
              <w:rPr>
                <w:color w:val="000000"/>
                <w:szCs w:val="20"/>
              </w:rPr>
            </w:pPr>
            <w:r w:rsidRPr="00471CBA">
              <w:rPr>
                <w:color w:val="000000"/>
                <w:szCs w:val="20"/>
              </w:rPr>
              <w:t>1.982.797</w:t>
            </w:r>
          </w:p>
        </w:tc>
        <w:tc>
          <w:tcPr>
            <w:tcW w:w="757" w:type="pct"/>
            <w:tcBorders>
              <w:top w:val="nil"/>
              <w:left w:val="nil"/>
              <w:bottom w:val="nil"/>
              <w:right w:val="nil"/>
            </w:tcBorders>
            <w:vAlign w:val="center"/>
            <w:hideMark/>
          </w:tcPr>
          <w:p w14:paraId="4D2B8B05" w14:textId="77777777" w:rsidR="00A74C68" w:rsidRPr="00471CBA" w:rsidRDefault="00A74C68" w:rsidP="00A74C68">
            <w:pPr>
              <w:jc w:val="right"/>
              <w:rPr>
                <w:color w:val="000000"/>
                <w:szCs w:val="20"/>
              </w:rPr>
            </w:pPr>
            <w:r w:rsidRPr="00471CBA">
              <w:rPr>
                <w:color w:val="000000"/>
                <w:szCs w:val="20"/>
              </w:rPr>
              <w:t>20.765.370</w:t>
            </w:r>
          </w:p>
        </w:tc>
      </w:tr>
      <w:tr w:rsidR="00A74C68" w:rsidRPr="00471CBA" w14:paraId="3D6269E3" w14:textId="77777777" w:rsidTr="00A74C68">
        <w:trPr>
          <w:divId w:val="1482506104"/>
          <w:trHeight w:val="227"/>
        </w:trPr>
        <w:tc>
          <w:tcPr>
            <w:tcW w:w="2232" w:type="pct"/>
            <w:tcBorders>
              <w:top w:val="nil"/>
              <w:left w:val="nil"/>
              <w:bottom w:val="single" w:sz="4" w:space="0" w:color="auto"/>
              <w:right w:val="nil"/>
            </w:tcBorders>
            <w:vAlign w:val="bottom"/>
            <w:hideMark/>
          </w:tcPr>
          <w:p w14:paraId="66DAC859" w14:textId="77777777" w:rsidR="00A74C68" w:rsidRPr="00471CBA" w:rsidRDefault="00A74C68" w:rsidP="00A74C68">
            <w:pPr>
              <w:jc w:val="both"/>
              <w:rPr>
                <w:color w:val="000000"/>
                <w:szCs w:val="20"/>
              </w:rPr>
            </w:pPr>
            <w:r w:rsidRPr="00471CBA">
              <w:rPr>
                <w:color w:val="000000"/>
                <w:szCs w:val="20"/>
              </w:rPr>
              <w:t xml:space="preserve">Diğer </w:t>
            </w:r>
            <w:r w:rsidRPr="00471CBA">
              <w:rPr>
                <w:color w:val="000000"/>
                <w:szCs w:val="20"/>
                <w:vertAlign w:val="superscript"/>
              </w:rPr>
              <w:t>(*)</w:t>
            </w:r>
          </w:p>
        </w:tc>
        <w:tc>
          <w:tcPr>
            <w:tcW w:w="680" w:type="pct"/>
            <w:tcBorders>
              <w:top w:val="nil"/>
              <w:left w:val="nil"/>
              <w:bottom w:val="single" w:sz="4" w:space="0" w:color="auto"/>
              <w:right w:val="nil"/>
            </w:tcBorders>
            <w:vAlign w:val="center"/>
            <w:hideMark/>
          </w:tcPr>
          <w:p w14:paraId="7244DAA4" w14:textId="77777777" w:rsidR="00A74C68" w:rsidRPr="00471CBA" w:rsidRDefault="00A74C68" w:rsidP="00A74C68">
            <w:pPr>
              <w:jc w:val="right"/>
              <w:rPr>
                <w:color w:val="000000"/>
                <w:szCs w:val="20"/>
              </w:rPr>
            </w:pPr>
            <w:r w:rsidRPr="00471CBA">
              <w:rPr>
                <w:color w:val="000000"/>
                <w:szCs w:val="20"/>
              </w:rPr>
              <w:t>-</w:t>
            </w:r>
          </w:p>
        </w:tc>
        <w:tc>
          <w:tcPr>
            <w:tcW w:w="757" w:type="pct"/>
            <w:tcBorders>
              <w:top w:val="nil"/>
              <w:left w:val="nil"/>
              <w:bottom w:val="single" w:sz="4" w:space="0" w:color="auto"/>
              <w:right w:val="nil"/>
            </w:tcBorders>
            <w:vAlign w:val="center"/>
            <w:hideMark/>
          </w:tcPr>
          <w:p w14:paraId="5684BD63" w14:textId="77777777" w:rsidR="00A74C68" w:rsidRPr="00471CBA" w:rsidRDefault="00A74C68" w:rsidP="00A74C68">
            <w:pPr>
              <w:jc w:val="right"/>
              <w:rPr>
                <w:color w:val="000000"/>
                <w:szCs w:val="20"/>
              </w:rPr>
            </w:pPr>
            <w:r w:rsidRPr="00471CBA">
              <w:rPr>
                <w:color w:val="000000"/>
                <w:szCs w:val="20"/>
              </w:rPr>
              <w:t>1.570.929</w:t>
            </w:r>
          </w:p>
        </w:tc>
      </w:tr>
      <w:tr w:rsidR="00A74C68" w:rsidRPr="00471CBA" w14:paraId="07598103" w14:textId="77777777" w:rsidTr="00A74C68">
        <w:trPr>
          <w:divId w:val="1482506104"/>
          <w:trHeight w:val="227"/>
        </w:trPr>
        <w:tc>
          <w:tcPr>
            <w:tcW w:w="2232" w:type="pct"/>
            <w:tcBorders>
              <w:top w:val="nil"/>
              <w:left w:val="nil"/>
              <w:right w:val="nil"/>
            </w:tcBorders>
            <w:vAlign w:val="bottom"/>
            <w:hideMark/>
          </w:tcPr>
          <w:p w14:paraId="03850B07" w14:textId="77777777" w:rsidR="00A74C68" w:rsidRPr="00471CBA" w:rsidRDefault="00A74C68" w:rsidP="00A74C68">
            <w:pPr>
              <w:jc w:val="right"/>
              <w:rPr>
                <w:color w:val="000000"/>
                <w:szCs w:val="20"/>
              </w:rPr>
            </w:pPr>
          </w:p>
        </w:tc>
        <w:tc>
          <w:tcPr>
            <w:tcW w:w="680" w:type="pct"/>
            <w:tcBorders>
              <w:top w:val="nil"/>
              <w:left w:val="nil"/>
              <w:right w:val="nil"/>
            </w:tcBorders>
            <w:vAlign w:val="center"/>
            <w:hideMark/>
          </w:tcPr>
          <w:p w14:paraId="2204ABB0" w14:textId="77777777" w:rsidR="00A74C68" w:rsidRPr="00471CBA" w:rsidRDefault="00A74C68" w:rsidP="00A74C68">
            <w:pPr>
              <w:jc w:val="both"/>
              <w:rPr>
                <w:szCs w:val="20"/>
              </w:rPr>
            </w:pPr>
          </w:p>
        </w:tc>
        <w:tc>
          <w:tcPr>
            <w:tcW w:w="757" w:type="pct"/>
            <w:tcBorders>
              <w:top w:val="nil"/>
              <w:left w:val="nil"/>
              <w:right w:val="nil"/>
            </w:tcBorders>
            <w:vAlign w:val="center"/>
            <w:hideMark/>
          </w:tcPr>
          <w:p w14:paraId="283B55DB" w14:textId="77777777" w:rsidR="00A74C68" w:rsidRPr="00471CBA" w:rsidRDefault="00A74C68" w:rsidP="00A74C68">
            <w:pPr>
              <w:jc w:val="right"/>
              <w:rPr>
                <w:szCs w:val="20"/>
              </w:rPr>
            </w:pPr>
          </w:p>
        </w:tc>
      </w:tr>
      <w:tr w:rsidR="00A74C68" w:rsidRPr="00471CBA" w14:paraId="082D17E3" w14:textId="77777777" w:rsidTr="00A74C68">
        <w:trPr>
          <w:divId w:val="1482506104"/>
          <w:trHeight w:val="227"/>
        </w:trPr>
        <w:tc>
          <w:tcPr>
            <w:tcW w:w="2232" w:type="pct"/>
            <w:tcBorders>
              <w:top w:val="nil"/>
              <w:left w:val="nil"/>
              <w:bottom w:val="single" w:sz="12" w:space="0" w:color="auto"/>
              <w:right w:val="nil"/>
            </w:tcBorders>
            <w:vAlign w:val="bottom"/>
            <w:hideMark/>
          </w:tcPr>
          <w:p w14:paraId="0FB70A63" w14:textId="77777777" w:rsidR="00A74C68" w:rsidRPr="00471CBA" w:rsidRDefault="00A74C68" w:rsidP="00A74C68">
            <w:pPr>
              <w:jc w:val="both"/>
              <w:rPr>
                <w:b/>
                <w:bCs/>
                <w:color w:val="000000"/>
                <w:szCs w:val="20"/>
              </w:rPr>
            </w:pPr>
            <w:r w:rsidRPr="00471CBA">
              <w:rPr>
                <w:b/>
                <w:bCs/>
                <w:color w:val="000000"/>
                <w:szCs w:val="20"/>
              </w:rPr>
              <w:t>Toplam</w:t>
            </w:r>
          </w:p>
        </w:tc>
        <w:tc>
          <w:tcPr>
            <w:tcW w:w="680" w:type="pct"/>
            <w:tcBorders>
              <w:top w:val="nil"/>
              <w:left w:val="nil"/>
              <w:bottom w:val="single" w:sz="12" w:space="0" w:color="auto"/>
              <w:right w:val="nil"/>
            </w:tcBorders>
            <w:vAlign w:val="center"/>
            <w:hideMark/>
          </w:tcPr>
          <w:p w14:paraId="7C163793" w14:textId="77777777" w:rsidR="00A74C68" w:rsidRPr="00471CBA" w:rsidRDefault="00A74C68" w:rsidP="00A74C68">
            <w:pPr>
              <w:jc w:val="right"/>
              <w:rPr>
                <w:b/>
                <w:bCs/>
                <w:color w:val="000000"/>
                <w:szCs w:val="20"/>
              </w:rPr>
            </w:pPr>
            <w:r w:rsidRPr="00471CBA">
              <w:rPr>
                <w:b/>
                <w:bCs/>
                <w:color w:val="000000"/>
                <w:szCs w:val="20"/>
              </w:rPr>
              <w:t>2.074.723</w:t>
            </w:r>
          </w:p>
        </w:tc>
        <w:tc>
          <w:tcPr>
            <w:tcW w:w="757" w:type="pct"/>
            <w:tcBorders>
              <w:top w:val="nil"/>
              <w:left w:val="nil"/>
              <w:bottom w:val="single" w:sz="12" w:space="0" w:color="auto"/>
              <w:right w:val="nil"/>
            </w:tcBorders>
            <w:vAlign w:val="center"/>
            <w:hideMark/>
          </w:tcPr>
          <w:p w14:paraId="7B5F0AC5" w14:textId="77777777" w:rsidR="00A74C68" w:rsidRPr="00471CBA" w:rsidRDefault="00A74C68" w:rsidP="00A74C68">
            <w:pPr>
              <w:jc w:val="right"/>
              <w:rPr>
                <w:b/>
                <w:bCs/>
                <w:color w:val="000000"/>
                <w:szCs w:val="20"/>
              </w:rPr>
            </w:pPr>
            <w:r w:rsidRPr="00471CBA">
              <w:rPr>
                <w:b/>
                <w:bCs/>
                <w:color w:val="000000"/>
                <w:szCs w:val="20"/>
              </w:rPr>
              <w:t>23.932.817</w:t>
            </w:r>
          </w:p>
        </w:tc>
      </w:tr>
    </w:tbl>
    <w:p w14:paraId="22206077" w14:textId="55C63D64" w:rsidR="0045421A" w:rsidRPr="00F36B82" w:rsidRDefault="0045421A" w:rsidP="005355DE">
      <w:pPr>
        <w:rPr>
          <w:sz w:val="16"/>
          <w:szCs w:val="16"/>
        </w:rPr>
      </w:pPr>
    </w:p>
    <w:p w14:paraId="5F5FDE23" w14:textId="415C2BB2" w:rsidR="00E76635" w:rsidRPr="00471CBA" w:rsidRDefault="00A202E4" w:rsidP="00F36B82">
      <w:pPr>
        <w:ind w:left="567" w:hanging="567"/>
        <w:rPr>
          <w:sz w:val="18"/>
          <w:szCs w:val="18"/>
        </w:rPr>
      </w:pPr>
      <w:r w:rsidRPr="00471CBA">
        <w:rPr>
          <w:sz w:val="18"/>
          <w:szCs w:val="18"/>
          <w:vertAlign w:val="superscript"/>
        </w:rPr>
        <w:t>(*)</w:t>
      </w:r>
      <w:r w:rsidR="005355DE" w:rsidRPr="00471CBA">
        <w:rPr>
          <w:sz w:val="18"/>
          <w:szCs w:val="18"/>
          <w:vertAlign w:val="superscript"/>
        </w:rPr>
        <w:t xml:space="preserve"> </w:t>
      </w:r>
      <w:r w:rsidR="00F36B82">
        <w:rPr>
          <w:sz w:val="18"/>
          <w:szCs w:val="18"/>
          <w:vertAlign w:val="superscript"/>
        </w:rPr>
        <w:tab/>
      </w:r>
      <w:r w:rsidR="00932390" w:rsidRPr="00471CBA">
        <w:rPr>
          <w:sz w:val="18"/>
          <w:szCs w:val="18"/>
        </w:rPr>
        <w:t>3</w:t>
      </w:r>
      <w:r w:rsidR="00E76635" w:rsidRPr="00471CBA">
        <w:rPr>
          <w:sz w:val="18"/>
          <w:szCs w:val="18"/>
        </w:rPr>
        <w:t>1</w:t>
      </w:r>
      <w:r w:rsidR="00932390" w:rsidRPr="00471CBA">
        <w:rPr>
          <w:sz w:val="18"/>
          <w:szCs w:val="18"/>
        </w:rPr>
        <w:t xml:space="preserve"> </w:t>
      </w:r>
      <w:r w:rsidR="00E76635" w:rsidRPr="00471CBA">
        <w:rPr>
          <w:sz w:val="18"/>
          <w:szCs w:val="18"/>
        </w:rPr>
        <w:t>Aralık</w:t>
      </w:r>
      <w:r w:rsidR="00932390" w:rsidRPr="00471CBA">
        <w:rPr>
          <w:sz w:val="18"/>
          <w:szCs w:val="18"/>
        </w:rPr>
        <w:t xml:space="preserve"> 2025</w:t>
      </w:r>
      <w:r w:rsidRPr="00471CBA">
        <w:rPr>
          <w:sz w:val="18"/>
          <w:szCs w:val="18"/>
        </w:rPr>
        <w:t xml:space="preserve"> tarihi itibarıyla </w:t>
      </w:r>
      <w:r w:rsidR="00783285" w:rsidRPr="00471CBA">
        <w:rPr>
          <w:sz w:val="18"/>
          <w:szCs w:val="18"/>
        </w:rPr>
        <w:t>1.146.021</w:t>
      </w:r>
      <w:r w:rsidR="00AC34DC" w:rsidRPr="00471CBA">
        <w:rPr>
          <w:sz w:val="18"/>
          <w:szCs w:val="18"/>
          <w:shd w:val="clear" w:color="auto" w:fill="FFFFFF" w:themeFill="background1"/>
        </w:rPr>
        <w:t xml:space="preserve"> </w:t>
      </w:r>
      <w:r w:rsidRPr="00471CBA">
        <w:rPr>
          <w:sz w:val="18"/>
          <w:szCs w:val="18"/>
        </w:rPr>
        <w:t xml:space="preserve">TL tutarındaki kıymetli maden depo </w:t>
      </w:r>
      <w:r w:rsidR="00E76635" w:rsidRPr="00471CBA">
        <w:rPr>
          <w:sz w:val="18"/>
          <w:szCs w:val="18"/>
        </w:rPr>
        <w:t xml:space="preserve">hesabını </w:t>
      </w:r>
      <w:r w:rsidR="00783285" w:rsidRPr="00471CBA">
        <w:rPr>
          <w:sz w:val="18"/>
          <w:szCs w:val="18"/>
        </w:rPr>
        <w:t>ve 424.908 TL tutarında yoldaki paralar hesabını içermektedir.</w:t>
      </w:r>
    </w:p>
    <w:tbl>
      <w:tblPr>
        <w:tblW w:w="5000" w:type="pct"/>
        <w:tblCellMar>
          <w:left w:w="70" w:type="dxa"/>
          <w:right w:w="70" w:type="dxa"/>
        </w:tblCellMar>
        <w:tblLook w:val="04A0" w:firstRow="1" w:lastRow="0" w:firstColumn="1" w:lastColumn="0" w:noHBand="0" w:noVBand="1"/>
      </w:tblPr>
      <w:tblGrid>
        <w:gridCol w:w="5861"/>
        <w:gridCol w:w="1746"/>
        <w:gridCol w:w="1748"/>
      </w:tblGrid>
      <w:tr w:rsidR="00167195" w:rsidRPr="00471CBA" w14:paraId="53282437" w14:textId="77777777" w:rsidTr="00752E50">
        <w:trPr>
          <w:trHeight w:val="227"/>
        </w:trPr>
        <w:tc>
          <w:tcPr>
            <w:tcW w:w="3133" w:type="pct"/>
            <w:tcBorders>
              <w:top w:val="nil"/>
              <w:left w:val="nil"/>
              <w:bottom w:val="nil"/>
              <w:right w:val="nil"/>
            </w:tcBorders>
            <w:vAlign w:val="bottom"/>
            <w:hideMark/>
          </w:tcPr>
          <w:p w14:paraId="39783BA3" w14:textId="77777777" w:rsidR="00167195" w:rsidRPr="00471CBA" w:rsidRDefault="00167195" w:rsidP="003B2BBE"/>
        </w:tc>
        <w:tc>
          <w:tcPr>
            <w:tcW w:w="1867" w:type="pct"/>
            <w:gridSpan w:val="2"/>
            <w:tcBorders>
              <w:top w:val="nil"/>
              <w:left w:val="nil"/>
              <w:bottom w:val="single" w:sz="4" w:space="0" w:color="auto"/>
              <w:right w:val="nil"/>
            </w:tcBorders>
            <w:noWrap/>
            <w:vAlign w:val="center"/>
            <w:hideMark/>
          </w:tcPr>
          <w:p w14:paraId="656447EC" w14:textId="77777777" w:rsidR="00167195" w:rsidRPr="00471CBA" w:rsidRDefault="00167195" w:rsidP="003B2BBE">
            <w:pPr>
              <w:jc w:val="center"/>
              <w:rPr>
                <w:b/>
                <w:bCs/>
                <w:color w:val="000000"/>
                <w:szCs w:val="20"/>
              </w:rPr>
            </w:pPr>
            <w:r w:rsidRPr="00471CBA">
              <w:rPr>
                <w:b/>
                <w:bCs/>
                <w:color w:val="000000"/>
                <w:szCs w:val="20"/>
              </w:rPr>
              <w:t>31 Aralık 2024</w:t>
            </w:r>
          </w:p>
        </w:tc>
      </w:tr>
      <w:tr w:rsidR="00167195" w:rsidRPr="00471CBA" w14:paraId="2696BDF4" w14:textId="77777777" w:rsidTr="00752E50">
        <w:trPr>
          <w:trHeight w:val="227"/>
        </w:trPr>
        <w:tc>
          <w:tcPr>
            <w:tcW w:w="3133" w:type="pct"/>
            <w:tcBorders>
              <w:top w:val="nil"/>
              <w:left w:val="nil"/>
              <w:bottom w:val="single" w:sz="4" w:space="0" w:color="auto"/>
              <w:right w:val="nil"/>
            </w:tcBorders>
            <w:vAlign w:val="bottom"/>
            <w:hideMark/>
          </w:tcPr>
          <w:p w14:paraId="46023902" w14:textId="77777777" w:rsidR="00167195" w:rsidRPr="00471CBA" w:rsidRDefault="00167195" w:rsidP="003B2BBE">
            <w:pPr>
              <w:jc w:val="both"/>
              <w:rPr>
                <w:b/>
                <w:bCs/>
                <w:color w:val="000000"/>
                <w:szCs w:val="20"/>
              </w:rPr>
            </w:pPr>
            <w:r w:rsidRPr="00471CBA">
              <w:rPr>
                <w:b/>
                <w:bCs/>
                <w:color w:val="000000"/>
                <w:szCs w:val="20"/>
              </w:rPr>
              <w:t> </w:t>
            </w:r>
          </w:p>
        </w:tc>
        <w:tc>
          <w:tcPr>
            <w:tcW w:w="933" w:type="pct"/>
            <w:tcBorders>
              <w:top w:val="nil"/>
              <w:left w:val="nil"/>
              <w:bottom w:val="single" w:sz="4" w:space="0" w:color="auto"/>
              <w:right w:val="nil"/>
            </w:tcBorders>
            <w:hideMark/>
          </w:tcPr>
          <w:p w14:paraId="21014A64" w14:textId="77777777" w:rsidR="00167195" w:rsidRPr="00471CBA" w:rsidRDefault="00167195" w:rsidP="003B2BBE">
            <w:pPr>
              <w:jc w:val="right"/>
              <w:rPr>
                <w:b/>
                <w:bCs/>
                <w:color w:val="000000"/>
                <w:szCs w:val="20"/>
              </w:rPr>
            </w:pPr>
            <w:r w:rsidRPr="00471CBA">
              <w:rPr>
                <w:b/>
                <w:bCs/>
                <w:color w:val="000000"/>
                <w:szCs w:val="20"/>
              </w:rPr>
              <w:t>TP</w:t>
            </w:r>
          </w:p>
        </w:tc>
        <w:tc>
          <w:tcPr>
            <w:tcW w:w="934" w:type="pct"/>
            <w:tcBorders>
              <w:top w:val="nil"/>
              <w:left w:val="nil"/>
              <w:bottom w:val="single" w:sz="4" w:space="0" w:color="auto"/>
              <w:right w:val="nil"/>
            </w:tcBorders>
            <w:hideMark/>
          </w:tcPr>
          <w:p w14:paraId="498FA416" w14:textId="77777777" w:rsidR="00167195" w:rsidRPr="00471CBA" w:rsidRDefault="00167195" w:rsidP="003B2BBE">
            <w:pPr>
              <w:jc w:val="right"/>
              <w:rPr>
                <w:b/>
                <w:bCs/>
                <w:color w:val="000000"/>
                <w:szCs w:val="20"/>
              </w:rPr>
            </w:pPr>
            <w:r w:rsidRPr="00471CBA">
              <w:rPr>
                <w:b/>
                <w:bCs/>
                <w:color w:val="000000"/>
                <w:szCs w:val="20"/>
              </w:rPr>
              <w:t>YP</w:t>
            </w:r>
          </w:p>
        </w:tc>
      </w:tr>
      <w:tr w:rsidR="00167195" w:rsidRPr="00471CBA" w14:paraId="51890C50" w14:textId="77777777" w:rsidTr="00752E50">
        <w:trPr>
          <w:trHeight w:val="227"/>
        </w:trPr>
        <w:tc>
          <w:tcPr>
            <w:tcW w:w="3133" w:type="pct"/>
            <w:tcBorders>
              <w:top w:val="nil"/>
              <w:left w:val="nil"/>
              <w:bottom w:val="nil"/>
              <w:right w:val="nil"/>
            </w:tcBorders>
            <w:vAlign w:val="bottom"/>
            <w:hideMark/>
          </w:tcPr>
          <w:p w14:paraId="00020AF1" w14:textId="77777777" w:rsidR="00167195" w:rsidRPr="00471CBA" w:rsidRDefault="00167195" w:rsidP="003B2BBE">
            <w:pPr>
              <w:jc w:val="both"/>
              <w:rPr>
                <w:color w:val="000000"/>
                <w:szCs w:val="20"/>
              </w:rPr>
            </w:pPr>
            <w:r w:rsidRPr="00471CBA">
              <w:rPr>
                <w:color w:val="000000"/>
                <w:szCs w:val="20"/>
              </w:rPr>
              <w:t> </w:t>
            </w:r>
          </w:p>
        </w:tc>
        <w:tc>
          <w:tcPr>
            <w:tcW w:w="933" w:type="pct"/>
            <w:tcBorders>
              <w:top w:val="nil"/>
              <w:left w:val="nil"/>
              <w:bottom w:val="nil"/>
              <w:right w:val="nil"/>
            </w:tcBorders>
            <w:hideMark/>
          </w:tcPr>
          <w:p w14:paraId="4FD50BC0" w14:textId="77777777" w:rsidR="00167195" w:rsidRPr="00471CBA" w:rsidRDefault="00167195" w:rsidP="003B2BBE">
            <w:pPr>
              <w:jc w:val="right"/>
              <w:rPr>
                <w:color w:val="000000"/>
                <w:szCs w:val="20"/>
              </w:rPr>
            </w:pPr>
            <w:r w:rsidRPr="00471CBA">
              <w:rPr>
                <w:color w:val="000000"/>
                <w:szCs w:val="20"/>
              </w:rPr>
              <w:t> </w:t>
            </w:r>
          </w:p>
        </w:tc>
        <w:tc>
          <w:tcPr>
            <w:tcW w:w="934" w:type="pct"/>
            <w:tcBorders>
              <w:top w:val="nil"/>
              <w:left w:val="nil"/>
              <w:bottom w:val="nil"/>
              <w:right w:val="nil"/>
            </w:tcBorders>
            <w:hideMark/>
          </w:tcPr>
          <w:p w14:paraId="3B309320" w14:textId="77777777" w:rsidR="00167195" w:rsidRPr="00471CBA" w:rsidRDefault="00167195" w:rsidP="003B2BBE">
            <w:pPr>
              <w:jc w:val="right"/>
              <w:rPr>
                <w:color w:val="000000"/>
                <w:szCs w:val="20"/>
              </w:rPr>
            </w:pPr>
            <w:r w:rsidRPr="00471CBA">
              <w:rPr>
                <w:color w:val="000000"/>
                <w:szCs w:val="20"/>
              </w:rPr>
              <w:t> </w:t>
            </w:r>
          </w:p>
        </w:tc>
      </w:tr>
      <w:tr w:rsidR="00167195" w:rsidRPr="00471CBA" w14:paraId="53FF6F8F" w14:textId="77777777" w:rsidTr="00752E50">
        <w:trPr>
          <w:trHeight w:val="227"/>
        </w:trPr>
        <w:tc>
          <w:tcPr>
            <w:tcW w:w="3133" w:type="pct"/>
            <w:tcBorders>
              <w:top w:val="nil"/>
              <w:left w:val="nil"/>
              <w:bottom w:val="nil"/>
              <w:right w:val="nil"/>
            </w:tcBorders>
            <w:vAlign w:val="bottom"/>
            <w:hideMark/>
          </w:tcPr>
          <w:p w14:paraId="11AA432A" w14:textId="77777777" w:rsidR="00167195" w:rsidRPr="00471CBA" w:rsidRDefault="00167195" w:rsidP="003B2BBE">
            <w:pPr>
              <w:jc w:val="both"/>
              <w:rPr>
                <w:color w:val="000000"/>
                <w:szCs w:val="20"/>
              </w:rPr>
            </w:pPr>
            <w:r w:rsidRPr="00471CBA">
              <w:rPr>
                <w:color w:val="000000"/>
                <w:szCs w:val="20"/>
              </w:rPr>
              <w:t>Kasa / Efektif</w:t>
            </w:r>
          </w:p>
        </w:tc>
        <w:tc>
          <w:tcPr>
            <w:tcW w:w="933" w:type="pct"/>
            <w:tcBorders>
              <w:top w:val="nil"/>
              <w:left w:val="nil"/>
              <w:bottom w:val="nil"/>
              <w:right w:val="nil"/>
            </w:tcBorders>
            <w:vAlign w:val="center"/>
            <w:hideMark/>
          </w:tcPr>
          <w:p w14:paraId="3A59AE1D" w14:textId="77777777" w:rsidR="00167195" w:rsidRPr="00471CBA" w:rsidRDefault="00167195" w:rsidP="003B2BBE">
            <w:pPr>
              <w:jc w:val="right"/>
              <w:rPr>
                <w:color w:val="000000"/>
                <w:szCs w:val="20"/>
              </w:rPr>
            </w:pPr>
            <w:r w:rsidRPr="00471CBA">
              <w:rPr>
                <w:color w:val="000000"/>
                <w:szCs w:val="20"/>
              </w:rPr>
              <w:t>56.979</w:t>
            </w:r>
          </w:p>
        </w:tc>
        <w:tc>
          <w:tcPr>
            <w:tcW w:w="934" w:type="pct"/>
            <w:tcBorders>
              <w:top w:val="nil"/>
              <w:left w:val="nil"/>
              <w:bottom w:val="nil"/>
              <w:right w:val="nil"/>
            </w:tcBorders>
            <w:vAlign w:val="center"/>
            <w:hideMark/>
          </w:tcPr>
          <w:p w14:paraId="1D795D5D" w14:textId="77777777" w:rsidR="00167195" w:rsidRPr="00471CBA" w:rsidRDefault="00167195" w:rsidP="003B2BBE">
            <w:pPr>
              <w:jc w:val="right"/>
              <w:rPr>
                <w:color w:val="000000"/>
                <w:szCs w:val="20"/>
              </w:rPr>
            </w:pPr>
            <w:r w:rsidRPr="00471CBA">
              <w:rPr>
                <w:color w:val="000000"/>
                <w:szCs w:val="20"/>
              </w:rPr>
              <w:t>470.569</w:t>
            </w:r>
          </w:p>
        </w:tc>
      </w:tr>
      <w:tr w:rsidR="00167195" w:rsidRPr="00471CBA" w14:paraId="321DF175" w14:textId="77777777" w:rsidTr="00752E50">
        <w:trPr>
          <w:trHeight w:val="227"/>
        </w:trPr>
        <w:tc>
          <w:tcPr>
            <w:tcW w:w="3133" w:type="pct"/>
            <w:tcBorders>
              <w:top w:val="nil"/>
              <w:left w:val="nil"/>
              <w:bottom w:val="nil"/>
              <w:right w:val="nil"/>
            </w:tcBorders>
            <w:vAlign w:val="bottom"/>
            <w:hideMark/>
          </w:tcPr>
          <w:p w14:paraId="09679253" w14:textId="77777777" w:rsidR="00167195" w:rsidRPr="00471CBA" w:rsidRDefault="00167195" w:rsidP="003B2BBE">
            <w:pPr>
              <w:jc w:val="both"/>
              <w:rPr>
                <w:color w:val="000000"/>
                <w:szCs w:val="20"/>
              </w:rPr>
            </w:pPr>
            <w:r w:rsidRPr="00471CBA">
              <w:rPr>
                <w:color w:val="000000"/>
                <w:szCs w:val="20"/>
              </w:rPr>
              <w:t>TCMB</w:t>
            </w:r>
          </w:p>
        </w:tc>
        <w:tc>
          <w:tcPr>
            <w:tcW w:w="933" w:type="pct"/>
            <w:tcBorders>
              <w:top w:val="nil"/>
              <w:left w:val="nil"/>
              <w:bottom w:val="nil"/>
              <w:right w:val="nil"/>
            </w:tcBorders>
            <w:vAlign w:val="center"/>
            <w:hideMark/>
          </w:tcPr>
          <w:p w14:paraId="0DEFAAA3" w14:textId="77777777" w:rsidR="00167195" w:rsidRPr="00471CBA" w:rsidRDefault="00167195" w:rsidP="003B2BBE">
            <w:pPr>
              <w:jc w:val="right"/>
              <w:rPr>
                <w:color w:val="000000"/>
                <w:szCs w:val="20"/>
              </w:rPr>
            </w:pPr>
            <w:r w:rsidRPr="00471CBA">
              <w:rPr>
                <w:color w:val="000000"/>
                <w:szCs w:val="20"/>
              </w:rPr>
              <w:t>553.500</w:t>
            </w:r>
          </w:p>
        </w:tc>
        <w:tc>
          <w:tcPr>
            <w:tcW w:w="934" w:type="pct"/>
            <w:tcBorders>
              <w:top w:val="nil"/>
              <w:left w:val="nil"/>
              <w:bottom w:val="nil"/>
              <w:right w:val="nil"/>
            </w:tcBorders>
            <w:vAlign w:val="center"/>
            <w:hideMark/>
          </w:tcPr>
          <w:p w14:paraId="3E71E2FE" w14:textId="77777777" w:rsidR="00167195" w:rsidRPr="00471CBA" w:rsidRDefault="00167195" w:rsidP="003B2BBE">
            <w:pPr>
              <w:jc w:val="right"/>
              <w:rPr>
                <w:color w:val="000000"/>
                <w:szCs w:val="20"/>
              </w:rPr>
            </w:pPr>
            <w:r w:rsidRPr="00471CBA">
              <w:rPr>
                <w:color w:val="000000"/>
                <w:szCs w:val="20"/>
              </w:rPr>
              <w:t>3.540.927</w:t>
            </w:r>
          </w:p>
        </w:tc>
      </w:tr>
      <w:tr w:rsidR="00167195" w:rsidRPr="00471CBA" w14:paraId="7BFB18B0" w14:textId="77777777" w:rsidTr="00752E50">
        <w:trPr>
          <w:trHeight w:val="227"/>
        </w:trPr>
        <w:tc>
          <w:tcPr>
            <w:tcW w:w="3133" w:type="pct"/>
            <w:tcBorders>
              <w:top w:val="nil"/>
              <w:left w:val="nil"/>
              <w:bottom w:val="single" w:sz="4" w:space="0" w:color="auto"/>
              <w:right w:val="nil"/>
            </w:tcBorders>
            <w:vAlign w:val="bottom"/>
            <w:hideMark/>
          </w:tcPr>
          <w:p w14:paraId="41C4DE69" w14:textId="77777777" w:rsidR="00167195" w:rsidRPr="00471CBA" w:rsidRDefault="00167195" w:rsidP="003B2BBE">
            <w:pPr>
              <w:jc w:val="both"/>
              <w:rPr>
                <w:color w:val="000000"/>
                <w:szCs w:val="20"/>
              </w:rPr>
            </w:pPr>
            <w:r w:rsidRPr="00471CBA">
              <w:rPr>
                <w:color w:val="000000"/>
                <w:szCs w:val="20"/>
              </w:rPr>
              <w:t xml:space="preserve">Diğer </w:t>
            </w:r>
            <w:r w:rsidRPr="00471CBA">
              <w:rPr>
                <w:color w:val="000000"/>
                <w:szCs w:val="20"/>
                <w:vertAlign w:val="superscript"/>
              </w:rPr>
              <w:t>(*)</w:t>
            </w:r>
          </w:p>
        </w:tc>
        <w:tc>
          <w:tcPr>
            <w:tcW w:w="933" w:type="pct"/>
            <w:tcBorders>
              <w:top w:val="nil"/>
              <w:left w:val="nil"/>
              <w:bottom w:val="single" w:sz="4" w:space="0" w:color="auto"/>
              <w:right w:val="nil"/>
            </w:tcBorders>
            <w:vAlign w:val="center"/>
            <w:hideMark/>
          </w:tcPr>
          <w:p w14:paraId="762BDA7E" w14:textId="77777777" w:rsidR="00167195" w:rsidRPr="00471CBA" w:rsidRDefault="00167195" w:rsidP="003B2BBE">
            <w:pPr>
              <w:jc w:val="right"/>
              <w:rPr>
                <w:color w:val="000000"/>
                <w:szCs w:val="20"/>
              </w:rPr>
            </w:pPr>
            <w:r w:rsidRPr="00471CBA">
              <w:rPr>
                <w:color w:val="000000"/>
                <w:szCs w:val="20"/>
              </w:rPr>
              <w:t>-</w:t>
            </w:r>
          </w:p>
        </w:tc>
        <w:tc>
          <w:tcPr>
            <w:tcW w:w="934" w:type="pct"/>
            <w:tcBorders>
              <w:top w:val="nil"/>
              <w:left w:val="nil"/>
              <w:bottom w:val="single" w:sz="4" w:space="0" w:color="auto"/>
              <w:right w:val="nil"/>
            </w:tcBorders>
            <w:vAlign w:val="center"/>
            <w:hideMark/>
          </w:tcPr>
          <w:p w14:paraId="0B69FC27" w14:textId="77777777" w:rsidR="00167195" w:rsidRPr="00471CBA" w:rsidRDefault="00167195" w:rsidP="003B2BBE">
            <w:pPr>
              <w:jc w:val="right"/>
              <w:rPr>
                <w:color w:val="000000"/>
                <w:szCs w:val="20"/>
              </w:rPr>
            </w:pPr>
            <w:r w:rsidRPr="00471CBA">
              <w:rPr>
                <w:color w:val="000000"/>
                <w:szCs w:val="20"/>
              </w:rPr>
              <w:t>22.030</w:t>
            </w:r>
          </w:p>
        </w:tc>
      </w:tr>
      <w:tr w:rsidR="00167195" w:rsidRPr="00471CBA" w14:paraId="3BFCA3C4" w14:textId="77777777" w:rsidTr="00752E50">
        <w:trPr>
          <w:trHeight w:val="227"/>
        </w:trPr>
        <w:tc>
          <w:tcPr>
            <w:tcW w:w="3133" w:type="pct"/>
            <w:tcBorders>
              <w:top w:val="nil"/>
              <w:left w:val="nil"/>
              <w:right w:val="nil"/>
            </w:tcBorders>
            <w:vAlign w:val="bottom"/>
            <w:hideMark/>
          </w:tcPr>
          <w:p w14:paraId="6AEF24CD" w14:textId="77777777" w:rsidR="00167195" w:rsidRPr="00471CBA" w:rsidRDefault="00167195" w:rsidP="003B2BBE">
            <w:pPr>
              <w:jc w:val="right"/>
              <w:rPr>
                <w:color w:val="000000"/>
                <w:szCs w:val="20"/>
              </w:rPr>
            </w:pPr>
          </w:p>
        </w:tc>
        <w:tc>
          <w:tcPr>
            <w:tcW w:w="933" w:type="pct"/>
            <w:tcBorders>
              <w:top w:val="nil"/>
              <w:left w:val="nil"/>
              <w:right w:val="nil"/>
            </w:tcBorders>
            <w:vAlign w:val="center"/>
            <w:hideMark/>
          </w:tcPr>
          <w:p w14:paraId="7AC4A683" w14:textId="77777777" w:rsidR="00167195" w:rsidRPr="00471CBA" w:rsidRDefault="00167195" w:rsidP="003B2BBE">
            <w:pPr>
              <w:jc w:val="right"/>
              <w:rPr>
                <w:szCs w:val="20"/>
              </w:rPr>
            </w:pPr>
          </w:p>
        </w:tc>
        <w:tc>
          <w:tcPr>
            <w:tcW w:w="934" w:type="pct"/>
            <w:tcBorders>
              <w:top w:val="nil"/>
              <w:left w:val="nil"/>
              <w:right w:val="nil"/>
            </w:tcBorders>
            <w:vAlign w:val="center"/>
            <w:hideMark/>
          </w:tcPr>
          <w:p w14:paraId="6534F735" w14:textId="77777777" w:rsidR="00167195" w:rsidRPr="00471CBA" w:rsidRDefault="00167195" w:rsidP="003B2BBE">
            <w:pPr>
              <w:jc w:val="right"/>
              <w:rPr>
                <w:szCs w:val="20"/>
              </w:rPr>
            </w:pPr>
          </w:p>
        </w:tc>
      </w:tr>
      <w:tr w:rsidR="00167195" w:rsidRPr="00471CBA" w14:paraId="6300DDC1" w14:textId="77777777" w:rsidTr="00752E50">
        <w:trPr>
          <w:trHeight w:val="227"/>
        </w:trPr>
        <w:tc>
          <w:tcPr>
            <w:tcW w:w="3133" w:type="pct"/>
            <w:tcBorders>
              <w:top w:val="nil"/>
              <w:left w:val="nil"/>
              <w:bottom w:val="single" w:sz="12" w:space="0" w:color="auto"/>
              <w:right w:val="nil"/>
            </w:tcBorders>
            <w:vAlign w:val="bottom"/>
            <w:hideMark/>
          </w:tcPr>
          <w:p w14:paraId="6623652D" w14:textId="77777777" w:rsidR="00167195" w:rsidRPr="00471CBA" w:rsidRDefault="00167195" w:rsidP="003B2BBE">
            <w:pPr>
              <w:jc w:val="both"/>
              <w:rPr>
                <w:b/>
                <w:bCs/>
                <w:color w:val="000000"/>
                <w:szCs w:val="20"/>
              </w:rPr>
            </w:pPr>
            <w:r w:rsidRPr="00471CBA">
              <w:rPr>
                <w:b/>
                <w:bCs/>
                <w:color w:val="000000"/>
                <w:szCs w:val="20"/>
              </w:rPr>
              <w:t>Toplam</w:t>
            </w:r>
          </w:p>
        </w:tc>
        <w:tc>
          <w:tcPr>
            <w:tcW w:w="933" w:type="pct"/>
            <w:tcBorders>
              <w:top w:val="nil"/>
              <w:left w:val="nil"/>
              <w:bottom w:val="single" w:sz="12" w:space="0" w:color="auto"/>
              <w:right w:val="nil"/>
            </w:tcBorders>
            <w:vAlign w:val="center"/>
            <w:hideMark/>
          </w:tcPr>
          <w:p w14:paraId="033E966B" w14:textId="77777777" w:rsidR="00167195" w:rsidRPr="00471CBA" w:rsidRDefault="00167195" w:rsidP="003B2BBE">
            <w:pPr>
              <w:jc w:val="right"/>
              <w:rPr>
                <w:b/>
                <w:bCs/>
                <w:color w:val="000000"/>
                <w:szCs w:val="20"/>
              </w:rPr>
            </w:pPr>
            <w:r w:rsidRPr="00471CBA">
              <w:rPr>
                <w:b/>
                <w:bCs/>
                <w:color w:val="000000"/>
                <w:szCs w:val="20"/>
              </w:rPr>
              <w:t>610.479</w:t>
            </w:r>
          </w:p>
        </w:tc>
        <w:tc>
          <w:tcPr>
            <w:tcW w:w="934" w:type="pct"/>
            <w:tcBorders>
              <w:top w:val="nil"/>
              <w:left w:val="nil"/>
              <w:bottom w:val="single" w:sz="12" w:space="0" w:color="auto"/>
              <w:right w:val="nil"/>
            </w:tcBorders>
            <w:vAlign w:val="center"/>
            <w:hideMark/>
          </w:tcPr>
          <w:p w14:paraId="131D382D" w14:textId="77777777" w:rsidR="00167195" w:rsidRPr="00471CBA" w:rsidRDefault="00167195" w:rsidP="003B2BBE">
            <w:pPr>
              <w:jc w:val="right"/>
              <w:rPr>
                <w:b/>
                <w:bCs/>
                <w:color w:val="000000"/>
                <w:szCs w:val="20"/>
              </w:rPr>
            </w:pPr>
            <w:r w:rsidRPr="00471CBA">
              <w:rPr>
                <w:b/>
                <w:bCs/>
                <w:color w:val="000000"/>
                <w:szCs w:val="20"/>
              </w:rPr>
              <w:t>4.033.526</w:t>
            </w:r>
          </w:p>
        </w:tc>
      </w:tr>
    </w:tbl>
    <w:p w14:paraId="6C05B69C" w14:textId="77777777" w:rsidR="00167195" w:rsidRPr="00F36B82" w:rsidRDefault="00167195" w:rsidP="005355DE">
      <w:pPr>
        <w:rPr>
          <w:sz w:val="16"/>
          <w:szCs w:val="16"/>
        </w:rPr>
      </w:pPr>
    </w:p>
    <w:p w14:paraId="586E1285" w14:textId="2C154D7D" w:rsidR="00136C29" w:rsidRPr="00471CBA" w:rsidRDefault="00136C29" w:rsidP="008459A9">
      <w:pPr>
        <w:pStyle w:val="GvdeMetniGirintisi"/>
        <w:widowControl w:val="0"/>
        <w:numPr>
          <w:ilvl w:val="0"/>
          <w:numId w:val="61"/>
        </w:numPr>
        <w:ind w:left="851" w:hanging="851"/>
        <w:rPr>
          <w:b/>
          <w:szCs w:val="20"/>
        </w:rPr>
      </w:pPr>
      <w:r w:rsidRPr="00471CBA">
        <w:rPr>
          <w:b/>
          <w:szCs w:val="20"/>
        </w:rPr>
        <w:t>T.C. Merkez Bankası hesabına ilişkin bilgiler</w:t>
      </w:r>
    </w:p>
    <w:p w14:paraId="02004F8E" w14:textId="49FBA3C3" w:rsidR="00A74C68" w:rsidRPr="00F36B82" w:rsidRDefault="00A74C68" w:rsidP="00A74C68">
      <w:pPr>
        <w:widowControl w:val="0"/>
        <w:ind w:left="142" w:hanging="142"/>
        <w:jc w:val="both"/>
        <w:rPr>
          <w:sz w:val="16"/>
          <w:szCs w:val="16"/>
        </w:rPr>
      </w:pPr>
    </w:p>
    <w:tbl>
      <w:tblPr>
        <w:tblW w:w="5000" w:type="pct"/>
        <w:tblCellMar>
          <w:left w:w="70" w:type="dxa"/>
          <w:right w:w="70" w:type="dxa"/>
        </w:tblCellMar>
        <w:tblLook w:val="04A0" w:firstRow="1" w:lastRow="0" w:firstColumn="1" w:lastColumn="0" w:noHBand="0" w:noVBand="1"/>
      </w:tblPr>
      <w:tblGrid>
        <w:gridCol w:w="5681"/>
        <w:gridCol w:w="1739"/>
        <w:gridCol w:w="1935"/>
      </w:tblGrid>
      <w:tr w:rsidR="00A74C68" w:rsidRPr="00471CBA" w14:paraId="287CF81F" w14:textId="77777777" w:rsidTr="00A74C68">
        <w:trPr>
          <w:divId w:val="309873794"/>
          <w:trHeight w:val="227"/>
        </w:trPr>
        <w:tc>
          <w:tcPr>
            <w:tcW w:w="2222" w:type="pct"/>
            <w:tcBorders>
              <w:top w:val="nil"/>
              <w:left w:val="nil"/>
              <w:bottom w:val="nil"/>
              <w:right w:val="nil"/>
            </w:tcBorders>
            <w:vAlign w:val="bottom"/>
            <w:hideMark/>
          </w:tcPr>
          <w:p w14:paraId="2CD02848" w14:textId="19663B5E" w:rsidR="00A74C68" w:rsidRPr="00471CBA" w:rsidRDefault="00A74C68" w:rsidP="00A74C68"/>
        </w:tc>
        <w:tc>
          <w:tcPr>
            <w:tcW w:w="1437" w:type="pct"/>
            <w:gridSpan w:val="2"/>
            <w:tcBorders>
              <w:top w:val="nil"/>
              <w:left w:val="nil"/>
              <w:bottom w:val="single" w:sz="4" w:space="0" w:color="auto"/>
              <w:right w:val="nil"/>
            </w:tcBorders>
            <w:noWrap/>
            <w:vAlign w:val="center"/>
            <w:hideMark/>
          </w:tcPr>
          <w:p w14:paraId="48A62241" w14:textId="77777777" w:rsidR="00A74C68" w:rsidRPr="00471CBA" w:rsidRDefault="00A74C68" w:rsidP="00A74C68">
            <w:pPr>
              <w:jc w:val="center"/>
              <w:rPr>
                <w:b/>
                <w:bCs/>
                <w:color w:val="000000"/>
                <w:szCs w:val="20"/>
              </w:rPr>
            </w:pPr>
            <w:r w:rsidRPr="00471CBA">
              <w:rPr>
                <w:b/>
                <w:bCs/>
                <w:color w:val="000000"/>
                <w:szCs w:val="20"/>
              </w:rPr>
              <w:t>31 Aralık 2025</w:t>
            </w:r>
          </w:p>
        </w:tc>
      </w:tr>
      <w:tr w:rsidR="00A74C68" w:rsidRPr="00471CBA" w14:paraId="09E5FA3F" w14:textId="77777777" w:rsidTr="00A74C68">
        <w:trPr>
          <w:divId w:val="309873794"/>
          <w:trHeight w:val="227"/>
        </w:trPr>
        <w:tc>
          <w:tcPr>
            <w:tcW w:w="2222" w:type="pct"/>
            <w:tcBorders>
              <w:top w:val="nil"/>
              <w:left w:val="nil"/>
              <w:bottom w:val="single" w:sz="4" w:space="0" w:color="auto"/>
              <w:right w:val="nil"/>
            </w:tcBorders>
            <w:vAlign w:val="bottom"/>
            <w:hideMark/>
          </w:tcPr>
          <w:p w14:paraId="5D47954D" w14:textId="77777777" w:rsidR="00A74C68" w:rsidRPr="00471CBA" w:rsidRDefault="00A74C68" w:rsidP="00A74C68">
            <w:pPr>
              <w:jc w:val="both"/>
              <w:rPr>
                <w:b/>
                <w:bCs/>
                <w:color w:val="000000"/>
                <w:szCs w:val="20"/>
              </w:rPr>
            </w:pPr>
            <w:r w:rsidRPr="00471CBA">
              <w:rPr>
                <w:b/>
                <w:bCs/>
                <w:color w:val="000000"/>
                <w:szCs w:val="20"/>
              </w:rPr>
              <w:t> </w:t>
            </w:r>
          </w:p>
        </w:tc>
        <w:tc>
          <w:tcPr>
            <w:tcW w:w="680" w:type="pct"/>
            <w:tcBorders>
              <w:top w:val="nil"/>
              <w:left w:val="nil"/>
              <w:bottom w:val="single" w:sz="4" w:space="0" w:color="auto"/>
              <w:right w:val="nil"/>
            </w:tcBorders>
            <w:vAlign w:val="bottom"/>
            <w:hideMark/>
          </w:tcPr>
          <w:p w14:paraId="1E379539" w14:textId="77777777" w:rsidR="00A74C68" w:rsidRPr="00471CBA" w:rsidRDefault="00A74C68" w:rsidP="00A74C68">
            <w:pPr>
              <w:jc w:val="right"/>
              <w:rPr>
                <w:b/>
                <w:bCs/>
                <w:color w:val="000000"/>
                <w:szCs w:val="20"/>
              </w:rPr>
            </w:pPr>
            <w:r w:rsidRPr="00471CBA">
              <w:rPr>
                <w:b/>
                <w:bCs/>
                <w:color w:val="000000"/>
                <w:szCs w:val="20"/>
              </w:rPr>
              <w:t>TP</w:t>
            </w:r>
          </w:p>
        </w:tc>
        <w:tc>
          <w:tcPr>
            <w:tcW w:w="757" w:type="pct"/>
            <w:tcBorders>
              <w:top w:val="nil"/>
              <w:left w:val="nil"/>
              <w:bottom w:val="single" w:sz="4" w:space="0" w:color="auto"/>
              <w:right w:val="nil"/>
            </w:tcBorders>
            <w:vAlign w:val="bottom"/>
            <w:hideMark/>
          </w:tcPr>
          <w:p w14:paraId="556474E9" w14:textId="77777777" w:rsidR="00A74C68" w:rsidRPr="00471CBA" w:rsidRDefault="00A74C68" w:rsidP="00A74C68">
            <w:pPr>
              <w:jc w:val="right"/>
              <w:rPr>
                <w:b/>
                <w:bCs/>
                <w:color w:val="000000"/>
                <w:szCs w:val="20"/>
              </w:rPr>
            </w:pPr>
            <w:r w:rsidRPr="00471CBA">
              <w:rPr>
                <w:b/>
                <w:bCs/>
                <w:color w:val="000000"/>
                <w:szCs w:val="20"/>
              </w:rPr>
              <w:t>YP</w:t>
            </w:r>
          </w:p>
        </w:tc>
      </w:tr>
      <w:tr w:rsidR="00A74C68" w:rsidRPr="00471CBA" w14:paraId="45F86262" w14:textId="77777777" w:rsidTr="00A74C68">
        <w:trPr>
          <w:divId w:val="309873794"/>
          <w:trHeight w:val="227"/>
        </w:trPr>
        <w:tc>
          <w:tcPr>
            <w:tcW w:w="2222" w:type="pct"/>
            <w:tcBorders>
              <w:top w:val="nil"/>
              <w:left w:val="nil"/>
              <w:bottom w:val="nil"/>
              <w:right w:val="nil"/>
            </w:tcBorders>
            <w:vAlign w:val="bottom"/>
            <w:hideMark/>
          </w:tcPr>
          <w:p w14:paraId="56BDF011" w14:textId="77777777" w:rsidR="00A74C68" w:rsidRPr="00471CBA" w:rsidRDefault="00A74C68" w:rsidP="00A74C68">
            <w:pPr>
              <w:jc w:val="both"/>
              <w:rPr>
                <w:color w:val="000000"/>
                <w:szCs w:val="20"/>
              </w:rPr>
            </w:pPr>
            <w:r w:rsidRPr="00471CBA">
              <w:rPr>
                <w:color w:val="000000"/>
                <w:szCs w:val="20"/>
              </w:rPr>
              <w:t> </w:t>
            </w:r>
          </w:p>
        </w:tc>
        <w:tc>
          <w:tcPr>
            <w:tcW w:w="680" w:type="pct"/>
            <w:tcBorders>
              <w:top w:val="nil"/>
              <w:left w:val="nil"/>
              <w:bottom w:val="nil"/>
              <w:right w:val="nil"/>
            </w:tcBorders>
            <w:vAlign w:val="bottom"/>
            <w:hideMark/>
          </w:tcPr>
          <w:p w14:paraId="4FAFAA52" w14:textId="77777777" w:rsidR="00A74C68" w:rsidRPr="00471CBA" w:rsidRDefault="00A74C68" w:rsidP="00A74C68">
            <w:pPr>
              <w:jc w:val="right"/>
              <w:rPr>
                <w:color w:val="000000"/>
                <w:szCs w:val="20"/>
              </w:rPr>
            </w:pPr>
            <w:r w:rsidRPr="00471CBA">
              <w:rPr>
                <w:color w:val="000000"/>
                <w:szCs w:val="20"/>
              </w:rPr>
              <w:t> </w:t>
            </w:r>
          </w:p>
        </w:tc>
        <w:tc>
          <w:tcPr>
            <w:tcW w:w="757" w:type="pct"/>
            <w:tcBorders>
              <w:top w:val="nil"/>
              <w:left w:val="nil"/>
              <w:bottom w:val="nil"/>
              <w:right w:val="nil"/>
            </w:tcBorders>
            <w:vAlign w:val="bottom"/>
            <w:hideMark/>
          </w:tcPr>
          <w:p w14:paraId="2125E614" w14:textId="77777777" w:rsidR="00A74C68" w:rsidRPr="00471CBA" w:rsidRDefault="00A74C68" w:rsidP="00A74C68">
            <w:pPr>
              <w:jc w:val="right"/>
              <w:rPr>
                <w:color w:val="000000"/>
                <w:szCs w:val="20"/>
              </w:rPr>
            </w:pPr>
            <w:r w:rsidRPr="00471CBA">
              <w:rPr>
                <w:color w:val="000000"/>
                <w:szCs w:val="20"/>
              </w:rPr>
              <w:t> </w:t>
            </w:r>
          </w:p>
        </w:tc>
      </w:tr>
      <w:tr w:rsidR="00A74C68" w:rsidRPr="00471CBA" w14:paraId="08E75893" w14:textId="77777777" w:rsidTr="00A74C68">
        <w:trPr>
          <w:divId w:val="309873794"/>
          <w:trHeight w:val="227"/>
        </w:trPr>
        <w:tc>
          <w:tcPr>
            <w:tcW w:w="2222" w:type="pct"/>
            <w:tcBorders>
              <w:top w:val="nil"/>
              <w:left w:val="nil"/>
              <w:bottom w:val="nil"/>
              <w:right w:val="nil"/>
            </w:tcBorders>
            <w:vAlign w:val="bottom"/>
            <w:hideMark/>
          </w:tcPr>
          <w:p w14:paraId="64E330A0" w14:textId="77777777" w:rsidR="00A74C68" w:rsidRPr="00471CBA" w:rsidRDefault="00A74C68" w:rsidP="00A74C68">
            <w:pPr>
              <w:jc w:val="both"/>
              <w:rPr>
                <w:color w:val="000000"/>
                <w:szCs w:val="20"/>
              </w:rPr>
            </w:pPr>
            <w:r w:rsidRPr="00471CBA">
              <w:rPr>
                <w:color w:val="000000"/>
                <w:szCs w:val="20"/>
              </w:rPr>
              <w:t xml:space="preserve">Vadesiz serbest hesap </w:t>
            </w:r>
          </w:p>
        </w:tc>
        <w:tc>
          <w:tcPr>
            <w:tcW w:w="680" w:type="pct"/>
            <w:tcBorders>
              <w:top w:val="nil"/>
              <w:left w:val="nil"/>
              <w:bottom w:val="nil"/>
              <w:right w:val="nil"/>
            </w:tcBorders>
            <w:vAlign w:val="center"/>
            <w:hideMark/>
          </w:tcPr>
          <w:p w14:paraId="7ACD60F5" w14:textId="77777777" w:rsidR="00A74C68" w:rsidRPr="00471CBA" w:rsidRDefault="00A74C68" w:rsidP="00A74C68">
            <w:pPr>
              <w:jc w:val="right"/>
              <w:rPr>
                <w:color w:val="000000"/>
                <w:szCs w:val="20"/>
              </w:rPr>
            </w:pPr>
            <w:r w:rsidRPr="00471CBA">
              <w:rPr>
                <w:color w:val="000000"/>
                <w:szCs w:val="20"/>
              </w:rPr>
              <w:t>1.705.112</w:t>
            </w:r>
          </w:p>
        </w:tc>
        <w:tc>
          <w:tcPr>
            <w:tcW w:w="757" w:type="pct"/>
            <w:tcBorders>
              <w:top w:val="nil"/>
              <w:left w:val="nil"/>
              <w:bottom w:val="nil"/>
              <w:right w:val="nil"/>
            </w:tcBorders>
            <w:vAlign w:val="center"/>
            <w:hideMark/>
          </w:tcPr>
          <w:p w14:paraId="340D9A5B" w14:textId="77777777" w:rsidR="00A74C68" w:rsidRPr="00471CBA" w:rsidRDefault="00A74C68" w:rsidP="00A74C68">
            <w:pPr>
              <w:jc w:val="right"/>
              <w:rPr>
                <w:color w:val="000000"/>
                <w:szCs w:val="20"/>
              </w:rPr>
            </w:pPr>
            <w:r w:rsidRPr="00471CBA">
              <w:rPr>
                <w:color w:val="000000"/>
                <w:szCs w:val="20"/>
              </w:rPr>
              <w:t>8.158.287</w:t>
            </w:r>
          </w:p>
        </w:tc>
      </w:tr>
      <w:tr w:rsidR="00A74C68" w:rsidRPr="00471CBA" w14:paraId="2B69AE83" w14:textId="77777777" w:rsidTr="00A74C68">
        <w:trPr>
          <w:divId w:val="309873794"/>
          <w:trHeight w:val="227"/>
        </w:trPr>
        <w:tc>
          <w:tcPr>
            <w:tcW w:w="2222" w:type="pct"/>
            <w:tcBorders>
              <w:top w:val="nil"/>
              <w:left w:val="nil"/>
              <w:bottom w:val="nil"/>
              <w:right w:val="nil"/>
            </w:tcBorders>
            <w:vAlign w:val="bottom"/>
            <w:hideMark/>
          </w:tcPr>
          <w:p w14:paraId="2E3DA5C4" w14:textId="77777777" w:rsidR="00A74C68" w:rsidRPr="00471CBA" w:rsidRDefault="00A74C68" w:rsidP="00A74C68">
            <w:pPr>
              <w:jc w:val="both"/>
              <w:rPr>
                <w:color w:val="000000"/>
                <w:szCs w:val="20"/>
              </w:rPr>
            </w:pPr>
            <w:r w:rsidRPr="00471CBA">
              <w:rPr>
                <w:color w:val="000000"/>
                <w:szCs w:val="20"/>
              </w:rPr>
              <w:t>Vadeli serbest hesap</w:t>
            </w:r>
          </w:p>
        </w:tc>
        <w:tc>
          <w:tcPr>
            <w:tcW w:w="680" w:type="pct"/>
            <w:tcBorders>
              <w:top w:val="nil"/>
              <w:left w:val="nil"/>
              <w:bottom w:val="nil"/>
              <w:right w:val="nil"/>
            </w:tcBorders>
            <w:vAlign w:val="center"/>
            <w:hideMark/>
          </w:tcPr>
          <w:p w14:paraId="0E0D2A0C" w14:textId="77777777" w:rsidR="00A74C68" w:rsidRPr="00471CBA" w:rsidRDefault="00A74C68" w:rsidP="00A74C68">
            <w:pPr>
              <w:jc w:val="right"/>
              <w:rPr>
                <w:color w:val="000000"/>
                <w:szCs w:val="20"/>
              </w:rPr>
            </w:pPr>
            <w:r w:rsidRPr="00471CBA">
              <w:rPr>
                <w:color w:val="000000"/>
                <w:szCs w:val="20"/>
              </w:rPr>
              <w:t>-</w:t>
            </w:r>
          </w:p>
        </w:tc>
        <w:tc>
          <w:tcPr>
            <w:tcW w:w="757" w:type="pct"/>
            <w:tcBorders>
              <w:top w:val="nil"/>
              <w:left w:val="nil"/>
              <w:bottom w:val="nil"/>
              <w:right w:val="nil"/>
            </w:tcBorders>
            <w:vAlign w:val="center"/>
            <w:hideMark/>
          </w:tcPr>
          <w:p w14:paraId="2A12B9AB" w14:textId="77777777" w:rsidR="00A74C68" w:rsidRPr="00471CBA" w:rsidRDefault="00A74C68" w:rsidP="00A74C68">
            <w:pPr>
              <w:jc w:val="right"/>
              <w:rPr>
                <w:color w:val="000000"/>
                <w:szCs w:val="20"/>
              </w:rPr>
            </w:pPr>
            <w:r w:rsidRPr="00471CBA">
              <w:rPr>
                <w:color w:val="000000"/>
                <w:szCs w:val="20"/>
              </w:rPr>
              <w:t>-</w:t>
            </w:r>
          </w:p>
        </w:tc>
      </w:tr>
      <w:tr w:rsidR="00A74C68" w:rsidRPr="00471CBA" w14:paraId="58FC1352" w14:textId="77777777" w:rsidTr="00A74C68">
        <w:trPr>
          <w:divId w:val="309873794"/>
          <w:trHeight w:val="227"/>
        </w:trPr>
        <w:tc>
          <w:tcPr>
            <w:tcW w:w="2222" w:type="pct"/>
            <w:tcBorders>
              <w:top w:val="nil"/>
              <w:left w:val="nil"/>
              <w:bottom w:val="single" w:sz="4" w:space="0" w:color="auto"/>
              <w:right w:val="nil"/>
            </w:tcBorders>
            <w:vAlign w:val="bottom"/>
            <w:hideMark/>
          </w:tcPr>
          <w:p w14:paraId="1058A5D1" w14:textId="77777777" w:rsidR="00A74C68" w:rsidRPr="00471CBA" w:rsidRDefault="00A74C68" w:rsidP="00A74C68">
            <w:pPr>
              <w:jc w:val="both"/>
              <w:rPr>
                <w:color w:val="000000"/>
                <w:szCs w:val="20"/>
              </w:rPr>
            </w:pPr>
            <w:r w:rsidRPr="00471CBA">
              <w:rPr>
                <w:color w:val="000000"/>
                <w:szCs w:val="20"/>
              </w:rPr>
              <w:t>Vadeli serbest olmayan hesap</w:t>
            </w:r>
          </w:p>
        </w:tc>
        <w:tc>
          <w:tcPr>
            <w:tcW w:w="680" w:type="pct"/>
            <w:tcBorders>
              <w:top w:val="nil"/>
              <w:left w:val="nil"/>
              <w:bottom w:val="single" w:sz="4" w:space="0" w:color="auto"/>
              <w:right w:val="nil"/>
            </w:tcBorders>
            <w:vAlign w:val="center"/>
            <w:hideMark/>
          </w:tcPr>
          <w:p w14:paraId="33DE0EAE" w14:textId="77777777" w:rsidR="00A74C68" w:rsidRPr="00471CBA" w:rsidRDefault="00A74C68" w:rsidP="00A74C68">
            <w:pPr>
              <w:jc w:val="right"/>
              <w:rPr>
                <w:color w:val="000000"/>
                <w:szCs w:val="20"/>
              </w:rPr>
            </w:pPr>
            <w:r w:rsidRPr="00471CBA">
              <w:rPr>
                <w:color w:val="000000"/>
                <w:szCs w:val="20"/>
              </w:rPr>
              <w:t>277.685</w:t>
            </w:r>
          </w:p>
        </w:tc>
        <w:tc>
          <w:tcPr>
            <w:tcW w:w="757" w:type="pct"/>
            <w:tcBorders>
              <w:top w:val="nil"/>
              <w:left w:val="nil"/>
              <w:bottom w:val="single" w:sz="4" w:space="0" w:color="auto"/>
              <w:right w:val="nil"/>
            </w:tcBorders>
            <w:vAlign w:val="center"/>
            <w:hideMark/>
          </w:tcPr>
          <w:p w14:paraId="68E5F530" w14:textId="77777777" w:rsidR="00A74C68" w:rsidRPr="00471CBA" w:rsidRDefault="00A74C68" w:rsidP="00A74C68">
            <w:pPr>
              <w:jc w:val="right"/>
              <w:rPr>
                <w:color w:val="000000"/>
                <w:szCs w:val="20"/>
              </w:rPr>
            </w:pPr>
            <w:r w:rsidRPr="00471CBA">
              <w:rPr>
                <w:color w:val="000000"/>
                <w:szCs w:val="20"/>
              </w:rPr>
              <w:t>12.607.083</w:t>
            </w:r>
          </w:p>
        </w:tc>
      </w:tr>
      <w:tr w:rsidR="00A74C68" w:rsidRPr="00471CBA" w14:paraId="7279FA58" w14:textId="77777777" w:rsidTr="00A74C68">
        <w:trPr>
          <w:divId w:val="309873794"/>
          <w:trHeight w:val="227"/>
        </w:trPr>
        <w:tc>
          <w:tcPr>
            <w:tcW w:w="2222" w:type="pct"/>
            <w:tcBorders>
              <w:top w:val="nil"/>
              <w:left w:val="nil"/>
              <w:right w:val="nil"/>
            </w:tcBorders>
            <w:vAlign w:val="bottom"/>
            <w:hideMark/>
          </w:tcPr>
          <w:p w14:paraId="597E054F" w14:textId="77777777" w:rsidR="00A74C68" w:rsidRPr="00471CBA" w:rsidRDefault="00A74C68" w:rsidP="00A74C68">
            <w:pPr>
              <w:jc w:val="right"/>
              <w:rPr>
                <w:color w:val="000000"/>
                <w:szCs w:val="20"/>
              </w:rPr>
            </w:pPr>
          </w:p>
        </w:tc>
        <w:tc>
          <w:tcPr>
            <w:tcW w:w="680" w:type="pct"/>
            <w:tcBorders>
              <w:top w:val="nil"/>
              <w:left w:val="nil"/>
              <w:right w:val="nil"/>
            </w:tcBorders>
            <w:vAlign w:val="center"/>
            <w:hideMark/>
          </w:tcPr>
          <w:p w14:paraId="529E7D57" w14:textId="77777777" w:rsidR="00A74C68" w:rsidRPr="00471CBA" w:rsidRDefault="00A74C68" w:rsidP="00A74C68">
            <w:pPr>
              <w:jc w:val="both"/>
              <w:rPr>
                <w:szCs w:val="20"/>
              </w:rPr>
            </w:pPr>
          </w:p>
        </w:tc>
        <w:tc>
          <w:tcPr>
            <w:tcW w:w="757" w:type="pct"/>
            <w:tcBorders>
              <w:top w:val="nil"/>
              <w:left w:val="nil"/>
              <w:right w:val="nil"/>
            </w:tcBorders>
            <w:vAlign w:val="center"/>
            <w:hideMark/>
          </w:tcPr>
          <w:p w14:paraId="253B640D" w14:textId="77777777" w:rsidR="00A74C68" w:rsidRPr="00471CBA" w:rsidRDefault="00A74C68" w:rsidP="00A74C68">
            <w:pPr>
              <w:jc w:val="right"/>
              <w:rPr>
                <w:szCs w:val="20"/>
              </w:rPr>
            </w:pPr>
          </w:p>
        </w:tc>
      </w:tr>
      <w:tr w:rsidR="00A74C68" w:rsidRPr="00471CBA" w14:paraId="5EB5C612" w14:textId="77777777" w:rsidTr="00A74C68">
        <w:trPr>
          <w:divId w:val="309873794"/>
          <w:trHeight w:val="227"/>
        </w:trPr>
        <w:tc>
          <w:tcPr>
            <w:tcW w:w="2222" w:type="pct"/>
            <w:tcBorders>
              <w:top w:val="nil"/>
              <w:left w:val="nil"/>
              <w:bottom w:val="single" w:sz="12" w:space="0" w:color="auto"/>
              <w:right w:val="nil"/>
            </w:tcBorders>
            <w:vAlign w:val="bottom"/>
            <w:hideMark/>
          </w:tcPr>
          <w:p w14:paraId="4C8607F1" w14:textId="77777777" w:rsidR="00A74C68" w:rsidRPr="00471CBA" w:rsidRDefault="00A74C68" w:rsidP="00A74C68">
            <w:pPr>
              <w:jc w:val="both"/>
              <w:rPr>
                <w:b/>
                <w:bCs/>
                <w:color w:val="000000"/>
                <w:szCs w:val="20"/>
              </w:rPr>
            </w:pPr>
            <w:r w:rsidRPr="00471CBA">
              <w:rPr>
                <w:b/>
                <w:bCs/>
                <w:color w:val="000000"/>
                <w:szCs w:val="20"/>
              </w:rPr>
              <w:t>Toplam</w:t>
            </w:r>
          </w:p>
        </w:tc>
        <w:tc>
          <w:tcPr>
            <w:tcW w:w="680" w:type="pct"/>
            <w:tcBorders>
              <w:top w:val="nil"/>
              <w:left w:val="nil"/>
              <w:bottom w:val="single" w:sz="12" w:space="0" w:color="auto"/>
              <w:right w:val="nil"/>
            </w:tcBorders>
            <w:vAlign w:val="center"/>
            <w:hideMark/>
          </w:tcPr>
          <w:p w14:paraId="4CEB79B3" w14:textId="77777777" w:rsidR="00A74C68" w:rsidRPr="00471CBA" w:rsidRDefault="00A74C68" w:rsidP="00A74C68">
            <w:pPr>
              <w:jc w:val="right"/>
              <w:rPr>
                <w:b/>
                <w:bCs/>
                <w:color w:val="000000"/>
                <w:szCs w:val="20"/>
              </w:rPr>
            </w:pPr>
            <w:r w:rsidRPr="00471CBA">
              <w:rPr>
                <w:b/>
                <w:bCs/>
                <w:color w:val="000000"/>
                <w:szCs w:val="20"/>
              </w:rPr>
              <w:t>1.982.797</w:t>
            </w:r>
          </w:p>
        </w:tc>
        <w:tc>
          <w:tcPr>
            <w:tcW w:w="757" w:type="pct"/>
            <w:tcBorders>
              <w:top w:val="nil"/>
              <w:left w:val="nil"/>
              <w:bottom w:val="single" w:sz="12" w:space="0" w:color="auto"/>
              <w:right w:val="nil"/>
            </w:tcBorders>
            <w:vAlign w:val="center"/>
            <w:hideMark/>
          </w:tcPr>
          <w:p w14:paraId="00A89702" w14:textId="77777777" w:rsidR="00A74C68" w:rsidRPr="00471CBA" w:rsidRDefault="00A74C68" w:rsidP="00A74C68">
            <w:pPr>
              <w:jc w:val="right"/>
              <w:rPr>
                <w:b/>
                <w:bCs/>
                <w:color w:val="000000"/>
                <w:szCs w:val="20"/>
              </w:rPr>
            </w:pPr>
            <w:r w:rsidRPr="00471CBA">
              <w:rPr>
                <w:b/>
                <w:bCs/>
                <w:color w:val="000000"/>
                <w:szCs w:val="20"/>
              </w:rPr>
              <w:t>20.765.370</w:t>
            </w:r>
          </w:p>
        </w:tc>
      </w:tr>
    </w:tbl>
    <w:p w14:paraId="3590A22F" w14:textId="7D413783" w:rsidR="005355DE" w:rsidRPr="00F36B82" w:rsidRDefault="005355DE" w:rsidP="005355DE">
      <w:pPr>
        <w:widowControl w:val="0"/>
        <w:jc w:val="both"/>
        <w:rPr>
          <w:sz w:val="16"/>
          <w:szCs w:val="16"/>
        </w:rPr>
      </w:pPr>
    </w:p>
    <w:tbl>
      <w:tblPr>
        <w:tblW w:w="5000" w:type="pct"/>
        <w:tblCellMar>
          <w:left w:w="70" w:type="dxa"/>
          <w:right w:w="70" w:type="dxa"/>
        </w:tblCellMar>
        <w:tblLook w:val="04A0" w:firstRow="1" w:lastRow="0" w:firstColumn="1" w:lastColumn="0" w:noHBand="0" w:noVBand="1"/>
      </w:tblPr>
      <w:tblGrid>
        <w:gridCol w:w="5833"/>
        <w:gridCol w:w="1733"/>
        <w:gridCol w:w="1789"/>
      </w:tblGrid>
      <w:tr w:rsidR="00167195" w:rsidRPr="00471CBA" w14:paraId="64616B95" w14:textId="77777777" w:rsidTr="00752E50">
        <w:trPr>
          <w:trHeight w:val="227"/>
        </w:trPr>
        <w:tc>
          <w:tcPr>
            <w:tcW w:w="3118" w:type="pct"/>
            <w:tcBorders>
              <w:top w:val="nil"/>
              <w:left w:val="nil"/>
              <w:bottom w:val="nil"/>
              <w:right w:val="nil"/>
            </w:tcBorders>
            <w:vAlign w:val="bottom"/>
            <w:hideMark/>
          </w:tcPr>
          <w:p w14:paraId="0BE3F2AD" w14:textId="77777777" w:rsidR="00167195" w:rsidRPr="00471CBA" w:rsidRDefault="00167195" w:rsidP="003B2BBE"/>
        </w:tc>
        <w:tc>
          <w:tcPr>
            <w:tcW w:w="1882" w:type="pct"/>
            <w:gridSpan w:val="2"/>
            <w:tcBorders>
              <w:top w:val="nil"/>
              <w:left w:val="nil"/>
              <w:bottom w:val="single" w:sz="4" w:space="0" w:color="auto"/>
              <w:right w:val="nil"/>
            </w:tcBorders>
            <w:noWrap/>
            <w:vAlign w:val="center"/>
            <w:hideMark/>
          </w:tcPr>
          <w:p w14:paraId="60061506" w14:textId="77777777" w:rsidR="00167195" w:rsidRPr="00471CBA" w:rsidRDefault="00167195" w:rsidP="003B2BBE">
            <w:pPr>
              <w:jc w:val="center"/>
              <w:rPr>
                <w:b/>
                <w:bCs/>
                <w:color w:val="000000"/>
                <w:szCs w:val="20"/>
              </w:rPr>
            </w:pPr>
            <w:r w:rsidRPr="00471CBA">
              <w:rPr>
                <w:b/>
                <w:bCs/>
                <w:color w:val="000000"/>
                <w:szCs w:val="20"/>
              </w:rPr>
              <w:t>31 Aralık 2024</w:t>
            </w:r>
          </w:p>
        </w:tc>
      </w:tr>
      <w:tr w:rsidR="00167195" w:rsidRPr="00471CBA" w14:paraId="46306783" w14:textId="77777777" w:rsidTr="00752E50">
        <w:trPr>
          <w:trHeight w:val="227"/>
        </w:trPr>
        <w:tc>
          <w:tcPr>
            <w:tcW w:w="3118" w:type="pct"/>
            <w:tcBorders>
              <w:top w:val="nil"/>
              <w:left w:val="nil"/>
              <w:bottom w:val="single" w:sz="4" w:space="0" w:color="auto"/>
              <w:right w:val="nil"/>
            </w:tcBorders>
            <w:vAlign w:val="bottom"/>
            <w:hideMark/>
          </w:tcPr>
          <w:p w14:paraId="08691C42" w14:textId="77777777" w:rsidR="00167195" w:rsidRPr="00471CBA" w:rsidRDefault="00167195" w:rsidP="003B2BBE">
            <w:pPr>
              <w:jc w:val="both"/>
              <w:rPr>
                <w:b/>
                <w:bCs/>
                <w:color w:val="000000"/>
                <w:szCs w:val="20"/>
              </w:rPr>
            </w:pPr>
            <w:r w:rsidRPr="00471CBA">
              <w:rPr>
                <w:b/>
                <w:bCs/>
                <w:color w:val="000000"/>
                <w:szCs w:val="20"/>
              </w:rPr>
              <w:t> </w:t>
            </w:r>
          </w:p>
        </w:tc>
        <w:tc>
          <w:tcPr>
            <w:tcW w:w="926" w:type="pct"/>
            <w:tcBorders>
              <w:top w:val="nil"/>
              <w:left w:val="nil"/>
              <w:bottom w:val="single" w:sz="4" w:space="0" w:color="auto"/>
              <w:right w:val="nil"/>
            </w:tcBorders>
            <w:hideMark/>
          </w:tcPr>
          <w:p w14:paraId="039425D0" w14:textId="77777777" w:rsidR="00167195" w:rsidRPr="00471CBA" w:rsidRDefault="00167195" w:rsidP="003B2BBE">
            <w:pPr>
              <w:jc w:val="right"/>
              <w:rPr>
                <w:b/>
                <w:bCs/>
                <w:color w:val="000000"/>
                <w:szCs w:val="20"/>
              </w:rPr>
            </w:pPr>
            <w:r w:rsidRPr="00471CBA">
              <w:rPr>
                <w:b/>
                <w:bCs/>
                <w:color w:val="000000"/>
                <w:szCs w:val="20"/>
              </w:rPr>
              <w:t>TP</w:t>
            </w:r>
          </w:p>
        </w:tc>
        <w:tc>
          <w:tcPr>
            <w:tcW w:w="956" w:type="pct"/>
            <w:tcBorders>
              <w:top w:val="nil"/>
              <w:left w:val="nil"/>
              <w:bottom w:val="single" w:sz="4" w:space="0" w:color="auto"/>
              <w:right w:val="nil"/>
            </w:tcBorders>
            <w:hideMark/>
          </w:tcPr>
          <w:p w14:paraId="657B4C71" w14:textId="77777777" w:rsidR="00167195" w:rsidRPr="00471CBA" w:rsidRDefault="00167195" w:rsidP="003B2BBE">
            <w:pPr>
              <w:jc w:val="right"/>
              <w:rPr>
                <w:b/>
                <w:bCs/>
                <w:color w:val="000000"/>
                <w:szCs w:val="20"/>
              </w:rPr>
            </w:pPr>
            <w:r w:rsidRPr="00471CBA">
              <w:rPr>
                <w:b/>
                <w:bCs/>
                <w:color w:val="000000"/>
                <w:szCs w:val="20"/>
              </w:rPr>
              <w:t>YP</w:t>
            </w:r>
          </w:p>
        </w:tc>
      </w:tr>
      <w:tr w:rsidR="00167195" w:rsidRPr="00471CBA" w14:paraId="3516D1CF" w14:textId="77777777" w:rsidTr="00752E50">
        <w:trPr>
          <w:trHeight w:val="227"/>
        </w:trPr>
        <w:tc>
          <w:tcPr>
            <w:tcW w:w="3118" w:type="pct"/>
            <w:tcBorders>
              <w:top w:val="nil"/>
              <w:left w:val="nil"/>
              <w:bottom w:val="nil"/>
              <w:right w:val="nil"/>
            </w:tcBorders>
            <w:vAlign w:val="bottom"/>
            <w:hideMark/>
          </w:tcPr>
          <w:p w14:paraId="49FFEBF9" w14:textId="77777777" w:rsidR="00167195" w:rsidRPr="00471CBA" w:rsidRDefault="00167195" w:rsidP="003B2BBE">
            <w:pPr>
              <w:jc w:val="both"/>
              <w:rPr>
                <w:color w:val="000000"/>
                <w:szCs w:val="20"/>
              </w:rPr>
            </w:pPr>
            <w:r w:rsidRPr="00471CBA">
              <w:rPr>
                <w:color w:val="000000"/>
                <w:szCs w:val="20"/>
              </w:rPr>
              <w:t> </w:t>
            </w:r>
          </w:p>
        </w:tc>
        <w:tc>
          <w:tcPr>
            <w:tcW w:w="926" w:type="pct"/>
            <w:tcBorders>
              <w:top w:val="nil"/>
              <w:left w:val="nil"/>
              <w:bottom w:val="nil"/>
              <w:right w:val="nil"/>
            </w:tcBorders>
            <w:hideMark/>
          </w:tcPr>
          <w:p w14:paraId="3CEBDAD4" w14:textId="77777777" w:rsidR="00167195" w:rsidRPr="00471CBA" w:rsidRDefault="00167195" w:rsidP="003B2BBE">
            <w:pPr>
              <w:jc w:val="right"/>
              <w:rPr>
                <w:color w:val="000000"/>
                <w:szCs w:val="20"/>
              </w:rPr>
            </w:pPr>
            <w:r w:rsidRPr="00471CBA">
              <w:rPr>
                <w:color w:val="000000"/>
                <w:szCs w:val="20"/>
              </w:rPr>
              <w:t> </w:t>
            </w:r>
          </w:p>
        </w:tc>
        <w:tc>
          <w:tcPr>
            <w:tcW w:w="956" w:type="pct"/>
            <w:tcBorders>
              <w:top w:val="nil"/>
              <w:left w:val="nil"/>
              <w:bottom w:val="nil"/>
              <w:right w:val="nil"/>
            </w:tcBorders>
            <w:hideMark/>
          </w:tcPr>
          <w:p w14:paraId="3F36D1AE" w14:textId="77777777" w:rsidR="00167195" w:rsidRPr="00471CBA" w:rsidRDefault="00167195" w:rsidP="003B2BBE">
            <w:pPr>
              <w:jc w:val="right"/>
              <w:rPr>
                <w:color w:val="000000"/>
                <w:szCs w:val="20"/>
              </w:rPr>
            </w:pPr>
            <w:r w:rsidRPr="00471CBA">
              <w:rPr>
                <w:color w:val="000000"/>
                <w:szCs w:val="20"/>
              </w:rPr>
              <w:t> </w:t>
            </w:r>
          </w:p>
        </w:tc>
      </w:tr>
      <w:tr w:rsidR="00167195" w:rsidRPr="00471CBA" w14:paraId="0A9C264F" w14:textId="77777777" w:rsidTr="00752E50">
        <w:trPr>
          <w:trHeight w:val="227"/>
        </w:trPr>
        <w:tc>
          <w:tcPr>
            <w:tcW w:w="3118" w:type="pct"/>
            <w:tcBorders>
              <w:top w:val="nil"/>
              <w:left w:val="nil"/>
              <w:bottom w:val="nil"/>
              <w:right w:val="nil"/>
            </w:tcBorders>
            <w:vAlign w:val="bottom"/>
            <w:hideMark/>
          </w:tcPr>
          <w:p w14:paraId="477BC49F" w14:textId="77777777" w:rsidR="00167195" w:rsidRPr="00471CBA" w:rsidRDefault="00167195" w:rsidP="003B2BBE">
            <w:pPr>
              <w:jc w:val="both"/>
              <w:rPr>
                <w:color w:val="000000"/>
                <w:szCs w:val="20"/>
              </w:rPr>
            </w:pPr>
            <w:r w:rsidRPr="00471CBA">
              <w:rPr>
                <w:color w:val="000000"/>
                <w:szCs w:val="20"/>
              </w:rPr>
              <w:t xml:space="preserve">Vadesiz serbest hesap </w:t>
            </w:r>
          </w:p>
        </w:tc>
        <w:tc>
          <w:tcPr>
            <w:tcW w:w="926" w:type="pct"/>
            <w:tcBorders>
              <w:top w:val="nil"/>
              <w:left w:val="nil"/>
              <w:bottom w:val="nil"/>
              <w:right w:val="nil"/>
            </w:tcBorders>
            <w:vAlign w:val="center"/>
            <w:hideMark/>
          </w:tcPr>
          <w:p w14:paraId="50BB03DF" w14:textId="77777777" w:rsidR="00167195" w:rsidRPr="00471CBA" w:rsidRDefault="00167195" w:rsidP="003B2BBE">
            <w:pPr>
              <w:jc w:val="right"/>
              <w:rPr>
                <w:color w:val="000000"/>
                <w:szCs w:val="20"/>
              </w:rPr>
            </w:pPr>
            <w:r w:rsidRPr="00471CBA">
              <w:rPr>
                <w:color w:val="000000"/>
                <w:szCs w:val="20"/>
              </w:rPr>
              <w:t>553.500</w:t>
            </w:r>
          </w:p>
        </w:tc>
        <w:tc>
          <w:tcPr>
            <w:tcW w:w="956" w:type="pct"/>
            <w:tcBorders>
              <w:top w:val="nil"/>
              <w:left w:val="nil"/>
              <w:bottom w:val="nil"/>
              <w:right w:val="nil"/>
            </w:tcBorders>
            <w:vAlign w:val="center"/>
            <w:hideMark/>
          </w:tcPr>
          <w:p w14:paraId="31905F13" w14:textId="77777777" w:rsidR="00167195" w:rsidRPr="00471CBA" w:rsidRDefault="00167195" w:rsidP="003B2BBE">
            <w:pPr>
              <w:jc w:val="right"/>
              <w:rPr>
                <w:color w:val="000000"/>
                <w:szCs w:val="20"/>
              </w:rPr>
            </w:pPr>
            <w:r w:rsidRPr="00471CBA">
              <w:rPr>
                <w:color w:val="000000"/>
                <w:szCs w:val="20"/>
              </w:rPr>
              <w:t>1.535.726</w:t>
            </w:r>
          </w:p>
        </w:tc>
      </w:tr>
      <w:tr w:rsidR="00167195" w:rsidRPr="00471CBA" w14:paraId="69C207FB" w14:textId="77777777" w:rsidTr="00752E50">
        <w:trPr>
          <w:trHeight w:val="227"/>
        </w:trPr>
        <w:tc>
          <w:tcPr>
            <w:tcW w:w="3118" w:type="pct"/>
            <w:tcBorders>
              <w:top w:val="nil"/>
              <w:left w:val="nil"/>
              <w:bottom w:val="nil"/>
              <w:right w:val="nil"/>
            </w:tcBorders>
            <w:vAlign w:val="bottom"/>
            <w:hideMark/>
          </w:tcPr>
          <w:p w14:paraId="23766657" w14:textId="77777777" w:rsidR="00167195" w:rsidRPr="00471CBA" w:rsidRDefault="00167195" w:rsidP="003B2BBE">
            <w:pPr>
              <w:jc w:val="both"/>
              <w:rPr>
                <w:color w:val="000000"/>
                <w:szCs w:val="20"/>
              </w:rPr>
            </w:pPr>
            <w:r w:rsidRPr="00471CBA">
              <w:rPr>
                <w:color w:val="000000"/>
                <w:szCs w:val="20"/>
              </w:rPr>
              <w:t>Vadeli serbest hesap</w:t>
            </w:r>
          </w:p>
        </w:tc>
        <w:tc>
          <w:tcPr>
            <w:tcW w:w="926" w:type="pct"/>
            <w:tcBorders>
              <w:top w:val="nil"/>
              <w:left w:val="nil"/>
              <w:bottom w:val="nil"/>
              <w:right w:val="nil"/>
            </w:tcBorders>
            <w:vAlign w:val="center"/>
            <w:hideMark/>
          </w:tcPr>
          <w:p w14:paraId="34CE52CE" w14:textId="77777777" w:rsidR="00167195" w:rsidRPr="00471CBA" w:rsidRDefault="00167195" w:rsidP="003B2BBE">
            <w:pPr>
              <w:jc w:val="right"/>
              <w:rPr>
                <w:color w:val="000000"/>
                <w:szCs w:val="20"/>
              </w:rPr>
            </w:pPr>
            <w:r w:rsidRPr="00471CBA">
              <w:rPr>
                <w:color w:val="000000"/>
                <w:szCs w:val="20"/>
              </w:rPr>
              <w:t>-</w:t>
            </w:r>
          </w:p>
        </w:tc>
        <w:tc>
          <w:tcPr>
            <w:tcW w:w="956" w:type="pct"/>
            <w:tcBorders>
              <w:top w:val="nil"/>
              <w:left w:val="nil"/>
              <w:bottom w:val="nil"/>
              <w:right w:val="nil"/>
            </w:tcBorders>
            <w:vAlign w:val="center"/>
            <w:hideMark/>
          </w:tcPr>
          <w:p w14:paraId="6A4B672D" w14:textId="77777777" w:rsidR="00167195" w:rsidRPr="00471CBA" w:rsidRDefault="00167195" w:rsidP="003B2BBE">
            <w:pPr>
              <w:jc w:val="right"/>
              <w:rPr>
                <w:color w:val="000000"/>
                <w:szCs w:val="20"/>
              </w:rPr>
            </w:pPr>
            <w:r w:rsidRPr="00471CBA">
              <w:rPr>
                <w:color w:val="000000"/>
                <w:szCs w:val="20"/>
              </w:rPr>
              <w:t>-</w:t>
            </w:r>
          </w:p>
        </w:tc>
      </w:tr>
      <w:tr w:rsidR="00167195" w:rsidRPr="00471CBA" w14:paraId="4F7C61D1" w14:textId="77777777" w:rsidTr="00752E50">
        <w:trPr>
          <w:trHeight w:val="227"/>
        </w:trPr>
        <w:tc>
          <w:tcPr>
            <w:tcW w:w="3118" w:type="pct"/>
            <w:tcBorders>
              <w:top w:val="nil"/>
              <w:left w:val="nil"/>
              <w:bottom w:val="single" w:sz="4" w:space="0" w:color="auto"/>
              <w:right w:val="nil"/>
            </w:tcBorders>
            <w:vAlign w:val="bottom"/>
            <w:hideMark/>
          </w:tcPr>
          <w:p w14:paraId="53B911D5" w14:textId="77777777" w:rsidR="00167195" w:rsidRPr="00471CBA" w:rsidRDefault="00167195" w:rsidP="003B2BBE">
            <w:pPr>
              <w:jc w:val="both"/>
              <w:rPr>
                <w:color w:val="000000"/>
                <w:szCs w:val="20"/>
              </w:rPr>
            </w:pPr>
            <w:r w:rsidRPr="00471CBA">
              <w:rPr>
                <w:color w:val="000000"/>
                <w:szCs w:val="20"/>
              </w:rPr>
              <w:t>Vadeli serbest olmayan hesap</w:t>
            </w:r>
          </w:p>
        </w:tc>
        <w:tc>
          <w:tcPr>
            <w:tcW w:w="926" w:type="pct"/>
            <w:tcBorders>
              <w:top w:val="nil"/>
              <w:left w:val="nil"/>
              <w:bottom w:val="single" w:sz="4" w:space="0" w:color="auto"/>
              <w:right w:val="nil"/>
            </w:tcBorders>
            <w:vAlign w:val="center"/>
            <w:hideMark/>
          </w:tcPr>
          <w:p w14:paraId="2D371081" w14:textId="77777777" w:rsidR="00167195" w:rsidRPr="00471CBA" w:rsidRDefault="00167195" w:rsidP="003B2BBE">
            <w:pPr>
              <w:jc w:val="right"/>
              <w:rPr>
                <w:color w:val="000000"/>
                <w:szCs w:val="20"/>
              </w:rPr>
            </w:pPr>
            <w:r w:rsidRPr="00471CBA">
              <w:rPr>
                <w:color w:val="000000"/>
                <w:szCs w:val="20"/>
              </w:rPr>
              <w:t>-</w:t>
            </w:r>
          </w:p>
        </w:tc>
        <w:tc>
          <w:tcPr>
            <w:tcW w:w="956" w:type="pct"/>
            <w:tcBorders>
              <w:top w:val="nil"/>
              <w:left w:val="nil"/>
              <w:bottom w:val="single" w:sz="4" w:space="0" w:color="auto"/>
              <w:right w:val="nil"/>
            </w:tcBorders>
            <w:vAlign w:val="center"/>
            <w:hideMark/>
          </w:tcPr>
          <w:p w14:paraId="3480E275" w14:textId="77777777" w:rsidR="00167195" w:rsidRPr="00471CBA" w:rsidRDefault="00167195" w:rsidP="003B2BBE">
            <w:pPr>
              <w:jc w:val="right"/>
              <w:rPr>
                <w:color w:val="000000"/>
                <w:szCs w:val="20"/>
              </w:rPr>
            </w:pPr>
            <w:r w:rsidRPr="00471CBA">
              <w:rPr>
                <w:color w:val="000000"/>
                <w:szCs w:val="20"/>
              </w:rPr>
              <w:t>2.005.201</w:t>
            </w:r>
          </w:p>
        </w:tc>
      </w:tr>
      <w:tr w:rsidR="00167195" w:rsidRPr="00471CBA" w14:paraId="1E55465E" w14:textId="77777777" w:rsidTr="00752E50">
        <w:trPr>
          <w:trHeight w:val="227"/>
        </w:trPr>
        <w:tc>
          <w:tcPr>
            <w:tcW w:w="3118" w:type="pct"/>
            <w:tcBorders>
              <w:top w:val="nil"/>
              <w:left w:val="nil"/>
              <w:right w:val="nil"/>
            </w:tcBorders>
            <w:vAlign w:val="bottom"/>
            <w:hideMark/>
          </w:tcPr>
          <w:p w14:paraId="71C17B6B" w14:textId="77777777" w:rsidR="00167195" w:rsidRPr="00471CBA" w:rsidRDefault="00167195" w:rsidP="003B2BBE">
            <w:pPr>
              <w:jc w:val="right"/>
              <w:rPr>
                <w:color w:val="000000"/>
                <w:szCs w:val="20"/>
              </w:rPr>
            </w:pPr>
          </w:p>
        </w:tc>
        <w:tc>
          <w:tcPr>
            <w:tcW w:w="926" w:type="pct"/>
            <w:tcBorders>
              <w:top w:val="nil"/>
              <w:left w:val="nil"/>
              <w:right w:val="nil"/>
            </w:tcBorders>
            <w:vAlign w:val="center"/>
            <w:hideMark/>
          </w:tcPr>
          <w:p w14:paraId="679649C9" w14:textId="77777777" w:rsidR="00167195" w:rsidRPr="00471CBA" w:rsidRDefault="00167195" w:rsidP="003B2BBE">
            <w:pPr>
              <w:jc w:val="right"/>
              <w:rPr>
                <w:szCs w:val="20"/>
              </w:rPr>
            </w:pPr>
          </w:p>
        </w:tc>
        <w:tc>
          <w:tcPr>
            <w:tcW w:w="956" w:type="pct"/>
            <w:tcBorders>
              <w:top w:val="nil"/>
              <w:left w:val="nil"/>
              <w:right w:val="nil"/>
            </w:tcBorders>
            <w:vAlign w:val="center"/>
            <w:hideMark/>
          </w:tcPr>
          <w:p w14:paraId="0B99977D" w14:textId="77777777" w:rsidR="00167195" w:rsidRPr="00471CBA" w:rsidRDefault="00167195" w:rsidP="003B2BBE">
            <w:pPr>
              <w:jc w:val="right"/>
              <w:rPr>
                <w:szCs w:val="20"/>
              </w:rPr>
            </w:pPr>
          </w:p>
        </w:tc>
      </w:tr>
      <w:tr w:rsidR="00167195" w:rsidRPr="00471CBA" w14:paraId="0A98B1FE" w14:textId="77777777" w:rsidTr="00752E50">
        <w:trPr>
          <w:trHeight w:val="227"/>
        </w:trPr>
        <w:tc>
          <w:tcPr>
            <w:tcW w:w="3118" w:type="pct"/>
            <w:tcBorders>
              <w:top w:val="nil"/>
              <w:left w:val="nil"/>
              <w:bottom w:val="single" w:sz="12" w:space="0" w:color="auto"/>
              <w:right w:val="nil"/>
            </w:tcBorders>
            <w:vAlign w:val="bottom"/>
            <w:hideMark/>
          </w:tcPr>
          <w:p w14:paraId="48794137" w14:textId="77777777" w:rsidR="00167195" w:rsidRPr="00471CBA" w:rsidRDefault="00167195" w:rsidP="003B2BBE">
            <w:pPr>
              <w:jc w:val="both"/>
              <w:rPr>
                <w:b/>
                <w:bCs/>
                <w:color w:val="000000"/>
                <w:szCs w:val="20"/>
              </w:rPr>
            </w:pPr>
            <w:r w:rsidRPr="00471CBA">
              <w:rPr>
                <w:b/>
                <w:bCs/>
                <w:color w:val="000000"/>
                <w:szCs w:val="20"/>
              </w:rPr>
              <w:t>Toplam</w:t>
            </w:r>
          </w:p>
        </w:tc>
        <w:tc>
          <w:tcPr>
            <w:tcW w:w="926" w:type="pct"/>
            <w:tcBorders>
              <w:top w:val="nil"/>
              <w:left w:val="nil"/>
              <w:bottom w:val="single" w:sz="12" w:space="0" w:color="auto"/>
              <w:right w:val="nil"/>
            </w:tcBorders>
            <w:vAlign w:val="center"/>
            <w:hideMark/>
          </w:tcPr>
          <w:p w14:paraId="73086BC0" w14:textId="77777777" w:rsidR="00167195" w:rsidRPr="00471CBA" w:rsidRDefault="00167195" w:rsidP="003B2BBE">
            <w:pPr>
              <w:jc w:val="right"/>
              <w:rPr>
                <w:b/>
                <w:bCs/>
                <w:color w:val="000000"/>
                <w:szCs w:val="20"/>
              </w:rPr>
            </w:pPr>
            <w:r w:rsidRPr="00471CBA">
              <w:rPr>
                <w:b/>
                <w:bCs/>
                <w:color w:val="000000"/>
                <w:szCs w:val="20"/>
              </w:rPr>
              <w:t>553.500</w:t>
            </w:r>
          </w:p>
        </w:tc>
        <w:tc>
          <w:tcPr>
            <w:tcW w:w="956" w:type="pct"/>
            <w:tcBorders>
              <w:top w:val="nil"/>
              <w:left w:val="nil"/>
              <w:bottom w:val="single" w:sz="12" w:space="0" w:color="auto"/>
              <w:right w:val="nil"/>
            </w:tcBorders>
            <w:vAlign w:val="center"/>
            <w:hideMark/>
          </w:tcPr>
          <w:p w14:paraId="251AA780" w14:textId="77777777" w:rsidR="00167195" w:rsidRPr="00471CBA" w:rsidRDefault="00167195" w:rsidP="003B2BBE">
            <w:pPr>
              <w:jc w:val="right"/>
              <w:rPr>
                <w:b/>
                <w:bCs/>
                <w:color w:val="000000"/>
                <w:szCs w:val="20"/>
              </w:rPr>
            </w:pPr>
            <w:r w:rsidRPr="00471CBA">
              <w:rPr>
                <w:b/>
                <w:bCs/>
                <w:color w:val="000000"/>
                <w:szCs w:val="20"/>
              </w:rPr>
              <w:t>3.540.927</w:t>
            </w:r>
          </w:p>
        </w:tc>
      </w:tr>
    </w:tbl>
    <w:p w14:paraId="7C894022" w14:textId="77777777" w:rsidR="00167195" w:rsidRPr="00F36B82" w:rsidRDefault="00167195" w:rsidP="005355DE">
      <w:pPr>
        <w:widowControl w:val="0"/>
        <w:jc w:val="both"/>
        <w:rPr>
          <w:sz w:val="16"/>
          <w:szCs w:val="16"/>
        </w:rPr>
      </w:pPr>
    </w:p>
    <w:p w14:paraId="3E051967" w14:textId="4E1277F4" w:rsidR="00A4245A" w:rsidRPr="00471CBA" w:rsidRDefault="00E56E3C" w:rsidP="005355DE">
      <w:pPr>
        <w:widowControl w:val="0"/>
        <w:jc w:val="both"/>
        <w:rPr>
          <w:sz w:val="19"/>
          <w:szCs w:val="19"/>
        </w:rPr>
      </w:pPr>
      <w:bookmarkStart w:id="80" w:name="_Hlk181352175"/>
      <w:bookmarkStart w:id="81" w:name="_Hlk195697707"/>
      <w:r w:rsidRPr="00471CBA">
        <w:rPr>
          <w:sz w:val="19"/>
          <w:szCs w:val="19"/>
        </w:rPr>
        <w:t>Banka, TCMB’nin “Zorunlu Karşılıkla</w:t>
      </w:r>
      <w:r w:rsidR="0031269D" w:rsidRPr="00471CBA">
        <w:rPr>
          <w:sz w:val="19"/>
          <w:szCs w:val="19"/>
        </w:rPr>
        <w:t>r Hakkında 2005/1 sayılı Tebliğ’</w:t>
      </w:r>
      <w:r w:rsidRPr="00471CBA">
        <w:rPr>
          <w:sz w:val="19"/>
          <w:szCs w:val="19"/>
        </w:rPr>
        <w:t>ine göre Türk parası ve yabancı para</w:t>
      </w:r>
      <w:r w:rsidR="00BB18DC" w:rsidRPr="00471CBA">
        <w:rPr>
          <w:sz w:val="19"/>
          <w:szCs w:val="19"/>
        </w:rPr>
        <w:t xml:space="preserve"> yükümlülükleri </w:t>
      </w:r>
      <w:r w:rsidRPr="00471CBA">
        <w:rPr>
          <w:sz w:val="19"/>
          <w:szCs w:val="19"/>
        </w:rPr>
        <w:t>için TCMB nezdinde zoru</w:t>
      </w:r>
      <w:r w:rsidR="000A6E36" w:rsidRPr="00471CBA">
        <w:rPr>
          <w:sz w:val="19"/>
          <w:szCs w:val="19"/>
        </w:rPr>
        <w:t xml:space="preserve">nlu karşılık tesis etmektedir. </w:t>
      </w:r>
      <w:r w:rsidRPr="00471CBA">
        <w:rPr>
          <w:sz w:val="19"/>
          <w:szCs w:val="19"/>
        </w:rPr>
        <w:t>Zorunlu karşılıklar TCMB’de “Zoru</w:t>
      </w:r>
      <w:r w:rsidR="0031269D" w:rsidRPr="00471CBA">
        <w:rPr>
          <w:sz w:val="19"/>
          <w:szCs w:val="19"/>
        </w:rPr>
        <w:t>nlu Karşılıklar Hakkında Tebliğ</w:t>
      </w:r>
      <w:r w:rsidR="00293500" w:rsidRPr="00471CBA">
        <w:rPr>
          <w:sz w:val="19"/>
          <w:szCs w:val="19"/>
        </w:rPr>
        <w:t>”</w:t>
      </w:r>
      <w:r w:rsidRPr="00471CBA">
        <w:rPr>
          <w:sz w:val="19"/>
          <w:szCs w:val="19"/>
        </w:rPr>
        <w:t>e göre Türk Lirası, ABD</w:t>
      </w:r>
      <w:r w:rsidR="00155A0C" w:rsidRPr="00471CBA">
        <w:rPr>
          <w:sz w:val="19"/>
          <w:szCs w:val="19"/>
        </w:rPr>
        <w:t xml:space="preserve"> Doları</w:t>
      </w:r>
      <w:r w:rsidRPr="00471CBA">
        <w:rPr>
          <w:sz w:val="19"/>
          <w:szCs w:val="19"/>
        </w:rPr>
        <w:t xml:space="preserve"> ve/veya Euro ve standart altın cinsinden tutulabilmektedir.</w:t>
      </w:r>
    </w:p>
    <w:p w14:paraId="0F89F7B2" w14:textId="77777777" w:rsidR="00EE6955" w:rsidRPr="00F36B82" w:rsidRDefault="00EE6955" w:rsidP="0045421A">
      <w:pPr>
        <w:widowControl w:val="0"/>
        <w:tabs>
          <w:tab w:val="left" w:pos="1920"/>
        </w:tabs>
        <w:jc w:val="both"/>
        <w:rPr>
          <w:sz w:val="16"/>
          <w:szCs w:val="16"/>
        </w:rPr>
      </w:pPr>
    </w:p>
    <w:p w14:paraId="0E284255" w14:textId="56261C4E" w:rsidR="00F36B82" w:rsidRDefault="00C81384" w:rsidP="0045421A">
      <w:pPr>
        <w:widowControl w:val="0"/>
        <w:tabs>
          <w:tab w:val="left" w:pos="1920"/>
        </w:tabs>
        <w:jc w:val="both"/>
        <w:rPr>
          <w:sz w:val="19"/>
          <w:szCs w:val="19"/>
        </w:rPr>
      </w:pPr>
      <w:bookmarkStart w:id="82" w:name="_Hlk197332896"/>
      <w:bookmarkStart w:id="83" w:name="_Hlk69721422"/>
      <w:bookmarkStart w:id="84" w:name="_Hlk116899118"/>
      <w:r w:rsidRPr="00471CBA">
        <w:rPr>
          <w:sz w:val="19"/>
          <w:szCs w:val="19"/>
        </w:rPr>
        <w:t>Banka</w:t>
      </w:r>
      <w:r w:rsidR="0062760B" w:rsidRPr="00471CBA">
        <w:rPr>
          <w:sz w:val="19"/>
          <w:szCs w:val="19"/>
        </w:rPr>
        <w:t>nın</w:t>
      </w:r>
      <w:r w:rsidRPr="00471CBA">
        <w:rPr>
          <w:sz w:val="19"/>
          <w:szCs w:val="19"/>
        </w:rPr>
        <w:t xml:space="preserve">, </w:t>
      </w:r>
      <w:r w:rsidR="00932390" w:rsidRPr="00471CBA">
        <w:rPr>
          <w:sz w:val="19"/>
          <w:szCs w:val="19"/>
        </w:rPr>
        <w:t>3</w:t>
      </w:r>
      <w:r w:rsidR="00066D9A" w:rsidRPr="00471CBA">
        <w:rPr>
          <w:sz w:val="19"/>
          <w:szCs w:val="19"/>
        </w:rPr>
        <w:t>1</w:t>
      </w:r>
      <w:r w:rsidR="00932390" w:rsidRPr="00471CBA">
        <w:rPr>
          <w:sz w:val="19"/>
          <w:szCs w:val="19"/>
        </w:rPr>
        <w:t xml:space="preserve"> </w:t>
      </w:r>
      <w:r w:rsidR="00066D9A" w:rsidRPr="00471CBA">
        <w:rPr>
          <w:sz w:val="19"/>
          <w:szCs w:val="19"/>
        </w:rPr>
        <w:t>Aralık</w:t>
      </w:r>
      <w:r w:rsidR="00932390" w:rsidRPr="00471CBA">
        <w:rPr>
          <w:sz w:val="19"/>
          <w:szCs w:val="19"/>
        </w:rPr>
        <w:t xml:space="preserve"> 2025</w:t>
      </w:r>
      <w:r w:rsidR="008145D0" w:rsidRPr="00471CBA">
        <w:rPr>
          <w:sz w:val="19"/>
          <w:szCs w:val="19"/>
        </w:rPr>
        <w:t xml:space="preserve"> </w:t>
      </w:r>
      <w:r w:rsidR="00136C29" w:rsidRPr="00471CBA">
        <w:rPr>
          <w:sz w:val="19"/>
          <w:szCs w:val="19"/>
        </w:rPr>
        <w:t>tarihi itibarıyla Türk parası zorunlu karşılık için geçerli oranlar</w:t>
      </w:r>
      <w:r w:rsidR="0062760B" w:rsidRPr="00471CBA">
        <w:rPr>
          <w:sz w:val="19"/>
          <w:szCs w:val="19"/>
        </w:rPr>
        <w:t>ı</w:t>
      </w:r>
      <w:r w:rsidR="00136C29" w:rsidRPr="00471CBA">
        <w:rPr>
          <w:sz w:val="19"/>
          <w:szCs w:val="19"/>
        </w:rPr>
        <w:t xml:space="preserve">, </w:t>
      </w:r>
      <w:r w:rsidR="00100462" w:rsidRPr="00471CBA">
        <w:rPr>
          <w:sz w:val="19"/>
          <w:szCs w:val="19"/>
        </w:rPr>
        <w:t>katılım fonları</w:t>
      </w:r>
      <w:r w:rsidR="00136C29" w:rsidRPr="00471CBA">
        <w:rPr>
          <w:sz w:val="19"/>
          <w:szCs w:val="19"/>
        </w:rPr>
        <w:t xml:space="preserve"> ve diğer yükümlülükler için vade yapısına göre </w:t>
      </w:r>
      <w:r w:rsidR="00C74A4F" w:rsidRPr="00471CBA">
        <w:rPr>
          <w:sz w:val="19"/>
          <w:szCs w:val="19"/>
        </w:rPr>
        <w:t>%</w:t>
      </w:r>
      <w:r w:rsidR="00E4266F" w:rsidRPr="00471CBA">
        <w:rPr>
          <w:sz w:val="19"/>
          <w:szCs w:val="19"/>
        </w:rPr>
        <w:t>3</w:t>
      </w:r>
      <w:r w:rsidR="00C74A4F" w:rsidRPr="00471CBA">
        <w:rPr>
          <w:sz w:val="19"/>
          <w:szCs w:val="19"/>
        </w:rPr>
        <w:t xml:space="preserve"> ile %</w:t>
      </w:r>
      <w:r w:rsidR="00475D75" w:rsidRPr="00471CBA">
        <w:rPr>
          <w:sz w:val="19"/>
          <w:szCs w:val="19"/>
        </w:rPr>
        <w:t>40</w:t>
      </w:r>
      <w:r w:rsidR="002C17EF" w:rsidRPr="00471CBA">
        <w:rPr>
          <w:sz w:val="19"/>
          <w:szCs w:val="19"/>
        </w:rPr>
        <w:t xml:space="preserve"> </w:t>
      </w:r>
      <w:r w:rsidR="00A541EE" w:rsidRPr="00471CBA">
        <w:rPr>
          <w:sz w:val="19"/>
          <w:szCs w:val="19"/>
        </w:rPr>
        <w:t xml:space="preserve">(31 Aralık 2024: %3 ile %33) </w:t>
      </w:r>
      <w:r w:rsidR="00136C29" w:rsidRPr="00471CBA">
        <w:rPr>
          <w:sz w:val="19"/>
          <w:szCs w:val="19"/>
        </w:rPr>
        <w:t xml:space="preserve">aralığında; yabancı para zorunlu karşılık için geçerli oranlar ise </w:t>
      </w:r>
      <w:r w:rsidR="00100462" w:rsidRPr="00471CBA">
        <w:rPr>
          <w:sz w:val="19"/>
          <w:szCs w:val="19"/>
        </w:rPr>
        <w:t>katılım fonları</w:t>
      </w:r>
      <w:r w:rsidR="00136C29" w:rsidRPr="00471CBA">
        <w:rPr>
          <w:sz w:val="19"/>
          <w:szCs w:val="19"/>
        </w:rPr>
        <w:t xml:space="preserve"> ve diğer yüküm</w:t>
      </w:r>
      <w:r w:rsidR="004F5FF1" w:rsidRPr="00471CBA">
        <w:rPr>
          <w:sz w:val="19"/>
          <w:szCs w:val="19"/>
        </w:rPr>
        <w:t xml:space="preserve">lülüklerde vade yapısına göre </w:t>
      </w:r>
      <w:r w:rsidR="00C74A4F" w:rsidRPr="00471CBA">
        <w:rPr>
          <w:sz w:val="19"/>
          <w:szCs w:val="19"/>
        </w:rPr>
        <w:t>%</w:t>
      </w:r>
      <w:r w:rsidR="00CD53BA" w:rsidRPr="00471CBA">
        <w:rPr>
          <w:sz w:val="19"/>
          <w:szCs w:val="19"/>
        </w:rPr>
        <w:t>5</w:t>
      </w:r>
      <w:r w:rsidR="00C74A4F" w:rsidRPr="00471CBA">
        <w:rPr>
          <w:sz w:val="19"/>
          <w:szCs w:val="19"/>
        </w:rPr>
        <w:t xml:space="preserve"> ile %</w:t>
      </w:r>
      <w:r w:rsidR="00056A91" w:rsidRPr="00471CBA">
        <w:rPr>
          <w:sz w:val="19"/>
          <w:szCs w:val="19"/>
        </w:rPr>
        <w:t>3</w:t>
      </w:r>
      <w:r w:rsidR="00475D75" w:rsidRPr="00471CBA">
        <w:rPr>
          <w:sz w:val="19"/>
          <w:szCs w:val="19"/>
        </w:rPr>
        <w:t>2</w:t>
      </w:r>
      <w:r w:rsidR="002C17EF" w:rsidRPr="00471CBA">
        <w:rPr>
          <w:sz w:val="19"/>
          <w:szCs w:val="19"/>
        </w:rPr>
        <w:t xml:space="preserve"> </w:t>
      </w:r>
      <w:r w:rsidR="00A541EE" w:rsidRPr="00471CBA">
        <w:rPr>
          <w:sz w:val="19"/>
          <w:szCs w:val="19"/>
        </w:rPr>
        <w:t xml:space="preserve">(31 Aralık 2024: %5 ile </w:t>
      </w:r>
      <w:r w:rsidR="00A541EE" w:rsidRPr="00C93640">
        <w:rPr>
          <w:sz w:val="19"/>
          <w:szCs w:val="19"/>
        </w:rPr>
        <w:t xml:space="preserve">%30) </w:t>
      </w:r>
      <w:r w:rsidR="002C17EF" w:rsidRPr="00C93640">
        <w:rPr>
          <w:sz w:val="19"/>
          <w:szCs w:val="19"/>
        </w:rPr>
        <w:t>aralığındadır</w:t>
      </w:r>
      <w:r w:rsidR="00E1577C" w:rsidRPr="00C93640">
        <w:rPr>
          <w:sz w:val="19"/>
          <w:szCs w:val="19"/>
        </w:rPr>
        <w:t xml:space="preserve">. </w:t>
      </w:r>
      <w:bookmarkStart w:id="85" w:name="_Hlk223336926"/>
      <w:bookmarkStart w:id="86" w:name="_Hlk96523202"/>
      <w:r w:rsidR="00404D74" w:rsidRPr="00C93640">
        <w:rPr>
          <w:sz w:val="19"/>
          <w:szCs w:val="19"/>
        </w:rPr>
        <w:t>Ayrıca yabancı para cinsinden mevduatlara (yurt dışı banka mevduatları ve kıymetli maden hesapları hariç) %2,5 oranında ilave TL cinsinden zorunlu karşılık tesis edilmektedir.</w:t>
      </w:r>
      <w:r w:rsidR="00F36B82">
        <w:rPr>
          <w:sz w:val="19"/>
          <w:szCs w:val="19"/>
        </w:rPr>
        <w:br w:type="page"/>
      </w:r>
    </w:p>
    <w:bookmarkEnd w:id="80"/>
    <w:bookmarkEnd w:id="82"/>
    <w:bookmarkEnd w:id="85"/>
    <w:p w14:paraId="66E6F9C0" w14:textId="67BA4C4F" w:rsidR="00674806" w:rsidRPr="00471CBA" w:rsidRDefault="00674806" w:rsidP="00674806">
      <w:pPr>
        <w:widowControl w:val="0"/>
        <w:ind w:left="720" w:hanging="720"/>
        <w:jc w:val="both"/>
        <w:rPr>
          <w:b/>
          <w:szCs w:val="20"/>
        </w:rPr>
      </w:pPr>
      <w:r w:rsidRPr="00471CBA">
        <w:rPr>
          <w:b/>
          <w:szCs w:val="20"/>
        </w:rPr>
        <w:t>KONSOLİDE OLMAYAN FİNANSAL TABLOLARA İLİŞKİN AÇIKLAMA VE DİPNOTLAR (Devamı)</w:t>
      </w:r>
    </w:p>
    <w:p w14:paraId="46081650" w14:textId="77777777" w:rsidR="00674806" w:rsidRPr="00471CBA" w:rsidRDefault="00674806" w:rsidP="00674806">
      <w:pPr>
        <w:pStyle w:val="ListeParagraf"/>
        <w:widowControl w:val="0"/>
        <w:ind w:left="14" w:right="452"/>
        <w:jc w:val="both"/>
        <w:rPr>
          <w:b/>
          <w:szCs w:val="20"/>
        </w:rPr>
      </w:pPr>
    </w:p>
    <w:p w14:paraId="3F4CD38E" w14:textId="77777777" w:rsidR="00674806" w:rsidRPr="00471CBA" w:rsidRDefault="00674806" w:rsidP="00674806">
      <w:pPr>
        <w:pStyle w:val="ListeParagraf"/>
        <w:widowControl w:val="0"/>
        <w:numPr>
          <w:ilvl w:val="0"/>
          <w:numId w:val="8"/>
        </w:numPr>
        <w:ind w:left="851" w:hanging="851"/>
        <w:jc w:val="both"/>
        <w:rPr>
          <w:b/>
          <w:szCs w:val="20"/>
        </w:rPr>
      </w:pPr>
      <w:r w:rsidRPr="00471CBA">
        <w:rPr>
          <w:b/>
          <w:szCs w:val="20"/>
        </w:rPr>
        <w:t>BİLANÇONUN AKTİF HESAPLARINA İLİŞKİN AÇIKLAMA VE DİPNOTLAR (Devamı)</w:t>
      </w:r>
    </w:p>
    <w:p w14:paraId="6D3A3CB1" w14:textId="77777777" w:rsidR="005C5316" w:rsidRPr="00471CBA" w:rsidRDefault="005C5316" w:rsidP="009F6E11">
      <w:pPr>
        <w:widowControl w:val="0"/>
        <w:tabs>
          <w:tab w:val="left" w:pos="1920"/>
        </w:tabs>
        <w:jc w:val="both"/>
        <w:rPr>
          <w:sz w:val="16"/>
          <w:szCs w:val="16"/>
        </w:rPr>
      </w:pPr>
    </w:p>
    <w:bookmarkEnd w:id="81"/>
    <w:bookmarkEnd w:id="83"/>
    <w:bookmarkEnd w:id="84"/>
    <w:bookmarkEnd w:id="86"/>
    <w:p w14:paraId="00B7EED7" w14:textId="1F1AE677" w:rsidR="005014D6" w:rsidRPr="00471CBA" w:rsidRDefault="00C820DA" w:rsidP="003808B6">
      <w:pPr>
        <w:pStyle w:val="ListeParagraf"/>
        <w:widowControl w:val="0"/>
        <w:ind w:left="1276" w:hanging="425"/>
        <w:rPr>
          <w:b/>
          <w:szCs w:val="20"/>
        </w:rPr>
      </w:pPr>
      <w:r w:rsidRPr="00471CBA">
        <w:rPr>
          <w:b/>
          <w:szCs w:val="20"/>
        </w:rPr>
        <w:t>c1</w:t>
      </w:r>
      <w:r w:rsidR="005014D6" w:rsidRPr="00471CBA">
        <w:rPr>
          <w:b/>
          <w:szCs w:val="20"/>
        </w:rPr>
        <w:t>.</w:t>
      </w:r>
      <w:r w:rsidR="00AF0E43" w:rsidRPr="00471CBA">
        <w:rPr>
          <w:b/>
          <w:szCs w:val="20"/>
        </w:rPr>
        <w:tab/>
      </w:r>
      <w:r w:rsidR="005014D6" w:rsidRPr="00471CBA">
        <w:rPr>
          <w:b/>
          <w:szCs w:val="20"/>
        </w:rPr>
        <w:t>Bankalara ilişkin bilgiler</w:t>
      </w:r>
    </w:p>
    <w:p w14:paraId="5D4E450C" w14:textId="5C211C22" w:rsidR="00A74C68" w:rsidRPr="00471CBA" w:rsidRDefault="00A74C68" w:rsidP="003922B7">
      <w:pPr>
        <w:pStyle w:val="GvdeMetniGirintisi"/>
        <w:widowControl w:val="0"/>
        <w:ind w:firstLine="0"/>
        <w:rPr>
          <w:szCs w:val="20"/>
        </w:rPr>
      </w:pPr>
    </w:p>
    <w:tbl>
      <w:tblPr>
        <w:tblW w:w="5000" w:type="pct"/>
        <w:tblCellMar>
          <w:left w:w="70" w:type="dxa"/>
          <w:right w:w="70" w:type="dxa"/>
        </w:tblCellMar>
        <w:tblLook w:val="04A0" w:firstRow="1" w:lastRow="0" w:firstColumn="1" w:lastColumn="0" w:noHBand="0" w:noVBand="1"/>
      </w:tblPr>
      <w:tblGrid>
        <w:gridCol w:w="5702"/>
        <w:gridCol w:w="1917"/>
        <w:gridCol w:w="1736"/>
      </w:tblGrid>
      <w:tr w:rsidR="00A74C68" w:rsidRPr="00471CBA" w14:paraId="3BA3E092" w14:textId="77777777" w:rsidTr="00A74C68">
        <w:trPr>
          <w:divId w:val="645549097"/>
          <w:trHeight w:val="227"/>
        </w:trPr>
        <w:tc>
          <w:tcPr>
            <w:tcW w:w="2237" w:type="pct"/>
            <w:tcBorders>
              <w:top w:val="nil"/>
              <w:left w:val="nil"/>
              <w:bottom w:val="nil"/>
              <w:right w:val="nil"/>
            </w:tcBorders>
            <w:vAlign w:val="bottom"/>
            <w:hideMark/>
          </w:tcPr>
          <w:p w14:paraId="70491268" w14:textId="67D7CFDD" w:rsidR="00A74C68" w:rsidRPr="00471CBA" w:rsidRDefault="00A74C68" w:rsidP="00A74C68"/>
        </w:tc>
        <w:tc>
          <w:tcPr>
            <w:tcW w:w="1433" w:type="pct"/>
            <w:gridSpan w:val="2"/>
            <w:tcBorders>
              <w:top w:val="nil"/>
              <w:left w:val="nil"/>
              <w:bottom w:val="single" w:sz="4" w:space="0" w:color="auto"/>
              <w:right w:val="nil"/>
            </w:tcBorders>
            <w:noWrap/>
            <w:vAlign w:val="center"/>
            <w:hideMark/>
          </w:tcPr>
          <w:p w14:paraId="3E541B30" w14:textId="77777777" w:rsidR="00A74C68" w:rsidRPr="00471CBA" w:rsidRDefault="00A74C68" w:rsidP="00A74C68">
            <w:pPr>
              <w:jc w:val="center"/>
              <w:rPr>
                <w:b/>
                <w:bCs/>
                <w:color w:val="000000"/>
                <w:szCs w:val="20"/>
              </w:rPr>
            </w:pPr>
            <w:r w:rsidRPr="00471CBA">
              <w:rPr>
                <w:b/>
                <w:bCs/>
                <w:color w:val="000000"/>
                <w:szCs w:val="20"/>
              </w:rPr>
              <w:t>31 Aralık 2025</w:t>
            </w:r>
          </w:p>
        </w:tc>
      </w:tr>
      <w:tr w:rsidR="00A74C68" w:rsidRPr="00471CBA" w14:paraId="7F12BEA8" w14:textId="77777777" w:rsidTr="00A74C68">
        <w:trPr>
          <w:divId w:val="645549097"/>
          <w:trHeight w:val="227"/>
        </w:trPr>
        <w:tc>
          <w:tcPr>
            <w:tcW w:w="2237" w:type="pct"/>
            <w:tcBorders>
              <w:top w:val="nil"/>
              <w:left w:val="nil"/>
              <w:bottom w:val="single" w:sz="4" w:space="0" w:color="auto"/>
              <w:right w:val="nil"/>
            </w:tcBorders>
            <w:vAlign w:val="bottom"/>
            <w:hideMark/>
          </w:tcPr>
          <w:p w14:paraId="18EB1C9B" w14:textId="77777777" w:rsidR="00A74C68" w:rsidRPr="00471CBA" w:rsidRDefault="00A74C68" w:rsidP="00A74C68">
            <w:pPr>
              <w:jc w:val="both"/>
              <w:rPr>
                <w:b/>
                <w:bCs/>
                <w:color w:val="000000"/>
                <w:szCs w:val="20"/>
              </w:rPr>
            </w:pPr>
            <w:r w:rsidRPr="00471CBA">
              <w:rPr>
                <w:b/>
                <w:bCs/>
                <w:color w:val="000000"/>
                <w:szCs w:val="20"/>
              </w:rPr>
              <w:t> </w:t>
            </w:r>
          </w:p>
        </w:tc>
        <w:tc>
          <w:tcPr>
            <w:tcW w:w="752" w:type="pct"/>
            <w:tcBorders>
              <w:top w:val="nil"/>
              <w:left w:val="nil"/>
              <w:bottom w:val="single" w:sz="4" w:space="0" w:color="auto"/>
              <w:right w:val="nil"/>
            </w:tcBorders>
            <w:vAlign w:val="bottom"/>
            <w:hideMark/>
          </w:tcPr>
          <w:p w14:paraId="0EB51870" w14:textId="77777777" w:rsidR="00A74C68" w:rsidRPr="00471CBA" w:rsidRDefault="00A74C68" w:rsidP="00A74C68">
            <w:pPr>
              <w:jc w:val="right"/>
              <w:rPr>
                <w:b/>
                <w:bCs/>
                <w:color w:val="000000"/>
                <w:szCs w:val="20"/>
              </w:rPr>
            </w:pPr>
            <w:r w:rsidRPr="00471CBA">
              <w:rPr>
                <w:b/>
                <w:bCs/>
                <w:color w:val="000000"/>
                <w:szCs w:val="20"/>
              </w:rPr>
              <w:t>TP</w:t>
            </w:r>
          </w:p>
        </w:tc>
        <w:tc>
          <w:tcPr>
            <w:tcW w:w="681" w:type="pct"/>
            <w:tcBorders>
              <w:top w:val="nil"/>
              <w:left w:val="nil"/>
              <w:bottom w:val="single" w:sz="4" w:space="0" w:color="auto"/>
              <w:right w:val="nil"/>
            </w:tcBorders>
            <w:vAlign w:val="bottom"/>
            <w:hideMark/>
          </w:tcPr>
          <w:p w14:paraId="54774805" w14:textId="77777777" w:rsidR="00A74C68" w:rsidRPr="00471CBA" w:rsidRDefault="00A74C68" w:rsidP="00A74C68">
            <w:pPr>
              <w:jc w:val="right"/>
              <w:rPr>
                <w:b/>
                <w:bCs/>
                <w:color w:val="000000"/>
                <w:szCs w:val="20"/>
              </w:rPr>
            </w:pPr>
            <w:r w:rsidRPr="00471CBA">
              <w:rPr>
                <w:b/>
                <w:bCs/>
                <w:color w:val="000000"/>
                <w:szCs w:val="20"/>
              </w:rPr>
              <w:t>YP</w:t>
            </w:r>
          </w:p>
        </w:tc>
      </w:tr>
      <w:tr w:rsidR="00A74C68" w:rsidRPr="00471CBA" w14:paraId="06FA2E07" w14:textId="77777777" w:rsidTr="00A74C68">
        <w:trPr>
          <w:divId w:val="645549097"/>
          <w:trHeight w:val="227"/>
        </w:trPr>
        <w:tc>
          <w:tcPr>
            <w:tcW w:w="2237" w:type="pct"/>
            <w:tcBorders>
              <w:top w:val="nil"/>
              <w:left w:val="nil"/>
              <w:bottom w:val="nil"/>
              <w:right w:val="nil"/>
            </w:tcBorders>
            <w:vAlign w:val="bottom"/>
            <w:hideMark/>
          </w:tcPr>
          <w:p w14:paraId="0D2920E1" w14:textId="77777777" w:rsidR="00A74C68" w:rsidRPr="00471CBA" w:rsidRDefault="00A74C68" w:rsidP="00A74C68">
            <w:pPr>
              <w:jc w:val="both"/>
              <w:rPr>
                <w:color w:val="000000"/>
                <w:szCs w:val="20"/>
              </w:rPr>
            </w:pPr>
            <w:r w:rsidRPr="00471CBA">
              <w:rPr>
                <w:color w:val="000000"/>
                <w:szCs w:val="20"/>
              </w:rPr>
              <w:t> </w:t>
            </w:r>
          </w:p>
        </w:tc>
        <w:tc>
          <w:tcPr>
            <w:tcW w:w="752" w:type="pct"/>
            <w:tcBorders>
              <w:top w:val="nil"/>
              <w:left w:val="nil"/>
              <w:bottom w:val="nil"/>
              <w:right w:val="nil"/>
            </w:tcBorders>
            <w:vAlign w:val="bottom"/>
            <w:hideMark/>
          </w:tcPr>
          <w:p w14:paraId="7DDF164D" w14:textId="77777777" w:rsidR="00A74C68" w:rsidRPr="00471CBA" w:rsidRDefault="00A74C68" w:rsidP="00A74C68">
            <w:pPr>
              <w:jc w:val="right"/>
              <w:rPr>
                <w:color w:val="000000"/>
                <w:szCs w:val="20"/>
              </w:rPr>
            </w:pPr>
            <w:r w:rsidRPr="00471CBA">
              <w:rPr>
                <w:color w:val="000000"/>
                <w:szCs w:val="20"/>
              </w:rPr>
              <w:t> </w:t>
            </w:r>
          </w:p>
        </w:tc>
        <w:tc>
          <w:tcPr>
            <w:tcW w:w="681" w:type="pct"/>
            <w:tcBorders>
              <w:top w:val="nil"/>
              <w:left w:val="nil"/>
              <w:bottom w:val="nil"/>
              <w:right w:val="nil"/>
            </w:tcBorders>
            <w:vAlign w:val="bottom"/>
            <w:hideMark/>
          </w:tcPr>
          <w:p w14:paraId="72677B82" w14:textId="77777777" w:rsidR="00A74C68" w:rsidRPr="00471CBA" w:rsidRDefault="00A74C68" w:rsidP="00A74C68">
            <w:pPr>
              <w:jc w:val="right"/>
              <w:rPr>
                <w:color w:val="000000"/>
                <w:szCs w:val="20"/>
              </w:rPr>
            </w:pPr>
            <w:r w:rsidRPr="00471CBA">
              <w:rPr>
                <w:color w:val="000000"/>
                <w:szCs w:val="20"/>
              </w:rPr>
              <w:t> </w:t>
            </w:r>
          </w:p>
        </w:tc>
      </w:tr>
      <w:tr w:rsidR="00A74C68" w:rsidRPr="00471CBA" w14:paraId="0FD7E67F" w14:textId="77777777" w:rsidTr="00A74C68">
        <w:trPr>
          <w:divId w:val="645549097"/>
          <w:trHeight w:val="227"/>
        </w:trPr>
        <w:tc>
          <w:tcPr>
            <w:tcW w:w="2237" w:type="pct"/>
            <w:tcBorders>
              <w:top w:val="nil"/>
              <w:left w:val="nil"/>
              <w:bottom w:val="nil"/>
              <w:right w:val="nil"/>
            </w:tcBorders>
            <w:vAlign w:val="bottom"/>
            <w:hideMark/>
          </w:tcPr>
          <w:p w14:paraId="46C48980" w14:textId="77777777" w:rsidR="00A74C68" w:rsidRPr="00471CBA" w:rsidRDefault="00A74C68" w:rsidP="00A74C68">
            <w:pPr>
              <w:jc w:val="both"/>
              <w:rPr>
                <w:b/>
                <w:bCs/>
                <w:color w:val="000000"/>
                <w:szCs w:val="20"/>
              </w:rPr>
            </w:pPr>
            <w:r w:rsidRPr="00471CBA">
              <w:rPr>
                <w:b/>
                <w:bCs/>
                <w:color w:val="000000"/>
                <w:szCs w:val="20"/>
              </w:rPr>
              <w:t xml:space="preserve">Bankalar </w:t>
            </w:r>
          </w:p>
        </w:tc>
        <w:tc>
          <w:tcPr>
            <w:tcW w:w="752" w:type="pct"/>
            <w:tcBorders>
              <w:top w:val="nil"/>
              <w:left w:val="nil"/>
              <w:bottom w:val="nil"/>
              <w:right w:val="nil"/>
            </w:tcBorders>
            <w:vAlign w:val="center"/>
            <w:hideMark/>
          </w:tcPr>
          <w:p w14:paraId="7CDBCDDC" w14:textId="77777777" w:rsidR="00A74C68" w:rsidRPr="00471CBA" w:rsidRDefault="00A74C68" w:rsidP="00A74C68">
            <w:pPr>
              <w:jc w:val="both"/>
              <w:rPr>
                <w:b/>
                <w:bCs/>
                <w:color w:val="000000"/>
                <w:szCs w:val="20"/>
              </w:rPr>
            </w:pPr>
          </w:p>
        </w:tc>
        <w:tc>
          <w:tcPr>
            <w:tcW w:w="681" w:type="pct"/>
            <w:tcBorders>
              <w:top w:val="nil"/>
              <w:left w:val="nil"/>
              <w:bottom w:val="nil"/>
              <w:right w:val="nil"/>
            </w:tcBorders>
            <w:vAlign w:val="center"/>
            <w:hideMark/>
          </w:tcPr>
          <w:p w14:paraId="17757360" w14:textId="77777777" w:rsidR="00A74C68" w:rsidRPr="00471CBA" w:rsidRDefault="00A74C68" w:rsidP="00A74C68">
            <w:pPr>
              <w:jc w:val="right"/>
              <w:rPr>
                <w:szCs w:val="20"/>
              </w:rPr>
            </w:pPr>
          </w:p>
        </w:tc>
      </w:tr>
      <w:tr w:rsidR="00A74C68" w:rsidRPr="00471CBA" w14:paraId="5A85DE31" w14:textId="77777777" w:rsidTr="00A74C68">
        <w:trPr>
          <w:divId w:val="645549097"/>
          <w:trHeight w:val="227"/>
        </w:trPr>
        <w:tc>
          <w:tcPr>
            <w:tcW w:w="2237" w:type="pct"/>
            <w:tcBorders>
              <w:top w:val="nil"/>
              <w:left w:val="nil"/>
              <w:bottom w:val="nil"/>
              <w:right w:val="nil"/>
            </w:tcBorders>
            <w:vAlign w:val="bottom"/>
            <w:hideMark/>
          </w:tcPr>
          <w:p w14:paraId="68B24796" w14:textId="77777777" w:rsidR="00A74C68" w:rsidRPr="00471CBA" w:rsidRDefault="00A74C68" w:rsidP="00A74C68">
            <w:pPr>
              <w:jc w:val="both"/>
              <w:rPr>
                <w:color w:val="000000"/>
                <w:szCs w:val="20"/>
              </w:rPr>
            </w:pPr>
            <w:r w:rsidRPr="00471CBA">
              <w:rPr>
                <w:color w:val="000000"/>
                <w:szCs w:val="20"/>
              </w:rPr>
              <w:t>Yurtiçi</w:t>
            </w:r>
          </w:p>
        </w:tc>
        <w:tc>
          <w:tcPr>
            <w:tcW w:w="752" w:type="pct"/>
            <w:tcBorders>
              <w:top w:val="nil"/>
              <w:left w:val="nil"/>
              <w:bottom w:val="nil"/>
              <w:right w:val="nil"/>
            </w:tcBorders>
            <w:vAlign w:val="center"/>
            <w:hideMark/>
          </w:tcPr>
          <w:p w14:paraId="1A714134" w14:textId="77777777" w:rsidR="00A74C68" w:rsidRPr="00471CBA" w:rsidRDefault="00A74C68" w:rsidP="00A74C68">
            <w:pPr>
              <w:jc w:val="right"/>
              <w:rPr>
                <w:color w:val="000000"/>
                <w:szCs w:val="20"/>
              </w:rPr>
            </w:pPr>
            <w:r w:rsidRPr="00471CBA">
              <w:rPr>
                <w:color w:val="000000"/>
                <w:szCs w:val="20"/>
              </w:rPr>
              <w:t>1.783.444</w:t>
            </w:r>
          </w:p>
        </w:tc>
        <w:tc>
          <w:tcPr>
            <w:tcW w:w="681" w:type="pct"/>
            <w:tcBorders>
              <w:top w:val="nil"/>
              <w:left w:val="nil"/>
              <w:bottom w:val="nil"/>
              <w:right w:val="nil"/>
            </w:tcBorders>
            <w:vAlign w:val="center"/>
            <w:hideMark/>
          </w:tcPr>
          <w:p w14:paraId="05DF1719" w14:textId="77777777" w:rsidR="00A74C68" w:rsidRPr="00471CBA" w:rsidRDefault="00A74C68" w:rsidP="00A74C68">
            <w:pPr>
              <w:jc w:val="right"/>
              <w:rPr>
                <w:color w:val="000000"/>
                <w:szCs w:val="20"/>
              </w:rPr>
            </w:pPr>
            <w:r w:rsidRPr="00471CBA">
              <w:rPr>
                <w:color w:val="000000"/>
                <w:szCs w:val="20"/>
              </w:rPr>
              <w:t>1.420.226</w:t>
            </w:r>
          </w:p>
        </w:tc>
      </w:tr>
      <w:tr w:rsidR="00A74C68" w:rsidRPr="00471CBA" w14:paraId="7E206D82" w14:textId="77777777" w:rsidTr="00A74C68">
        <w:trPr>
          <w:divId w:val="645549097"/>
          <w:trHeight w:val="227"/>
        </w:trPr>
        <w:tc>
          <w:tcPr>
            <w:tcW w:w="2237" w:type="pct"/>
            <w:tcBorders>
              <w:top w:val="nil"/>
              <w:left w:val="nil"/>
              <w:bottom w:val="nil"/>
              <w:right w:val="nil"/>
            </w:tcBorders>
            <w:vAlign w:val="bottom"/>
            <w:hideMark/>
          </w:tcPr>
          <w:p w14:paraId="5CA9DBE9" w14:textId="77777777" w:rsidR="00A74C68" w:rsidRPr="00471CBA" w:rsidRDefault="00A74C68" w:rsidP="00A74C68">
            <w:pPr>
              <w:jc w:val="both"/>
              <w:rPr>
                <w:color w:val="000000"/>
                <w:szCs w:val="20"/>
              </w:rPr>
            </w:pPr>
            <w:r w:rsidRPr="00471CBA">
              <w:rPr>
                <w:color w:val="000000"/>
                <w:szCs w:val="20"/>
              </w:rPr>
              <w:t>Yurtdışı</w:t>
            </w:r>
          </w:p>
        </w:tc>
        <w:tc>
          <w:tcPr>
            <w:tcW w:w="752" w:type="pct"/>
            <w:tcBorders>
              <w:top w:val="nil"/>
              <w:left w:val="nil"/>
              <w:bottom w:val="nil"/>
              <w:right w:val="nil"/>
            </w:tcBorders>
            <w:vAlign w:val="center"/>
            <w:hideMark/>
          </w:tcPr>
          <w:p w14:paraId="7B6658E0" w14:textId="77777777" w:rsidR="00A74C68" w:rsidRPr="00471CBA" w:rsidRDefault="00A74C68" w:rsidP="00A74C68">
            <w:pPr>
              <w:jc w:val="right"/>
              <w:rPr>
                <w:color w:val="000000"/>
                <w:szCs w:val="20"/>
              </w:rPr>
            </w:pPr>
            <w:r w:rsidRPr="00471CBA">
              <w:rPr>
                <w:color w:val="000000"/>
                <w:szCs w:val="20"/>
              </w:rPr>
              <w:t>-</w:t>
            </w:r>
          </w:p>
        </w:tc>
        <w:tc>
          <w:tcPr>
            <w:tcW w:w="681" w:type="pct"/>
            <w:tcBorders>
              <w:top w:val="nil"/>
              <w:left w:val="nil"/>
              <w:bottom w:val="nil"/>
              <w:right w:val="nil"/>
            </w:tcBorders>
            <w:vAlign w:val="center"/>
            <w:hideMark/>
          </w:tcPr>
          <w:p w14:paraId="206C8469" w14:textId="77777777" w:rsidR="00A74C68" w:rsidRPr="00471CBA" w:rsidRDefault="00A74C68" w:rsidP="00A74C68">
            <w:pPr>
              <w:jc w:val="right"/>
              <w:rPr>
                <w:color w:val="000000"/>
                <w:szCs w:val="20"/>
              </w:rPr>
            </w:pPr>
            <w:r w:rsidRPr="00471CBA">
              <w:rPr>
                <w:color w:val="000000"/>
                <w:szCs w:val="20"/>
              </w:rPr>
              <w:t>5.307.296</w:t>
            </w:r>
          </w:p>
        </w:tc>
      </w:tr>
      <w:tr w:rsidR="00A74C68" w:rsidRPr="00471CBA" w14:paraId="13B67D00" w14:textId="77777777" w:rsidTr="00A74C68">
        <w:trPr>
          <w:divId w:val="645549097"/>
          <w:trHeight w:val="227"/>
        </w:trPr>
        <w:tc>
          <w:tcPr>
            <w:tcW w:w="2237" w:type="pct"/>
            <w:tcBorders>
              <w:top w:val="nil"/>
              <w:left w:val="nil"/>
              <w:bottom w:val="single" w:sz="4" w:space="0" w:color="auto"/>
              <w:right w:val="nil"/>
            </w:tcBorders>
            <w:vAlign w:val="bottom"/>
            <w:hideMark/>
          </w:tcPr>
          <w:p w14:paraId="3D160B5D" w14:textId="77777777" w:rsidR="00A74C68" w:rsidRPr="00471CBA" w:rsidRDefault="00A74C68" w:rsidP="00A74C68">
            <w:pPr>
              <w:jc w:val="both"/>
              <w:rPr>
                <w:color w:val="000000"/>
                <w:szCs w:val="20"/>
              </w:rPr>
            </w:pPr>
            <w:r w:rsidRPr="00471CBA">
              <w:rPr>
                <w:color w:val="000000"/>
                <w:szCs w:val="20"/>
              </w:rPr>
              <w:t>Yurtdışı Merkez ve Şubeler</w:t>
            </w:r>
          </w:p>
        </w:tc>
        <w:tc>
          <w:tcPr>
            <w:tcW w:w="752" w:type="pct"/>
            <w:tcBorders>
              <w:top w:val="nil"/>
              <w:left w:val="nil"/>
              <w:bottom w:val="single" w:sz="4" w:space="0" w:color="auto"/>
              <w:right w:val="nil"/>
            </w:tcBorders>
            <w:vAlign w:val="center"/>
            <w:hideMark/>
          </w:tcPr>
          <w:p w14:paraId="11BEC16F" w14:textId="77777777" w:rsidR="00A74C68" w:rsidRPr="00471CBA" w:rsidRDefault="00A74C68" w:rsidP="00A74C68">
            <w:pPr>
              <w:jc w:val="right"/>
              <w:rPr>
                <w:color w:val="000000"/>
                <w:szCs w:val="20"/>
              </w:rPr>
            </w:pPr>
            <w:r w:rsidRPr="00471CBA">
              <w:rPr>
                <w:color w:val="000000"/>
                <w:szCs w:val="20"/>
              </w:rPr>
              <w:t>-</w:t>
            </w:r>
          </w:p>
        </w:tc>
        <w:tc>
          <w:tcPr>
            <w:tcW w:w="681" w:type="pct"/>
            <w:tcBorders>
              <w:top w:val="nil"/>
              <w:left w:val="nil"/>
              <w:bottom w:val="single" w:sz="4" w:space="0" w:color="auto"/>
              <w:right w:val="nil"/>
            </w:tcBorders>
            <w:vAlign w:val="center"/>
            <w:hideMark/>
          </w:tcPr>
          <w:p w14:paraId="5E0F8036" w14:textId="77777777" w:rsidR="00A74C68" w:rsidRPr="00471CBA" w:rsidRDefault="00A74C68" w:rsidP="00A74C68">
            <w:pPr>
              <w:jc w:val="right"/>
              <w:rPr>
                <w:color w:val="000000"/>
                <w:szCs w:val="20"/>
              </w:rPr>
            </w:pPr>
            <w:r w:rsidRPr="00471CBA">
              <w:rPr>
                <w:color w:val="000000"/>
                <w:szCs w:val="20"/>
              </w:rPr>
              <w:t>-</w:t>
            </w:r>
          </w:p>
        </w:tc>
      </w:tr>
      <w:tr w:rsidR="00A74C68" w:rsidRPr="00471CBA" w14:paraId="7DCE910A" w14:textId="77777777" w:rsidTr="00A74C68">
        <w:trPr>
          <w:divId w:val="645549097"/>
          <w:trHeight w:val="227"/>
        </w:trPr>
        <w:tc>
          <w:tcPr>
            <w:tcW w:w="2237" w:type="pct"/>
            <w:tcBorders>
              <w:top w:val="nil"/>
              <w:left w:val="nil"/>
              <w:right w:val="nil"/>
            </w:tcBorders>
            <w:vAlign w:val="bottom"/>
            <w:hideMark/>
          </w:tcPr>
          <w:p w14:paraId="5AE61342" w14:textId="77777777" w:rsidR="00A74C68" w:rsidRPr="00471CBA" w:rsidRDefault="00A74C68" w:rsidP="00A74C68">
            <w:pPr>
              <w:jc w:val="right"/>
              <w:rPr>
                <w:color w:val="000000"/>
                <w:szCs w:val="20"/>
              </w:rPr>
            </w:pPr>
          </w:p>
        </w:tc>
        <w:tc>
          <w:tcPr>
            <w:tcW w:w="752" w:type="pct"/>
            <w:tcBorders>
              <w:top w:val="nil"/>
              <w:left w:val="nil"/>
              <w:right w:val="nil"/>
            </w:tcBorders>
            <w:vAlign w:val="center"/>
            <w:hideMark/>
          </w:tcPr>
          <w:p w14:paraId="477DB5E6" w14:textId="77777777" w:rsidR="00A74C68" w:rsidRPr="00471CBA" w:rsidRDefault="00A74C68" w:rsidP="00A74C68">
            <w:pPr>
              <w:jc w:val="both"/>
              <w:rPr>
                <w:szCs w:val="20"/>
              </w:rPr>
            </w:pPr>
          </w:p>
        </w:tc>
        <w:tc>
          <w:tcPr>
            <w:tcW w:w="681" w:type="pct"/>
            <w:tcBorders>
              <w:top w:val="nil"/>
              <w:left w:val="nil"/>
              <w:right w:val="nil"/>
            </w:tcBorders>
            <w:vAlign w:val="center"/>
            <w:hideMark/>
          </w:tcPr>
          <w:p w14:paraId="3CB81A1D" w14:textId="77777777" w:rsidR="00A74C68" w:rsidRPr="00471CBA" w:rsidRDefault="00A74C68" w:rsidP="00A74C68">
            <w:pPr>
              <w:jc w:val="right"/>
              <w:rPr>
                <w:szCs w:val="20"/>
              </w:rPr>
            </w:pPr>
          </w:p>
        </w:tc>
      </w:tr>
      <w:tr w:rsidR="00A74C68" w:rsidRPr="00471CBA" w14:paraId="0814F3BF" w14:textId="77777777" w:rsidTr="00A74C68">
        <w:trPr>
          <w:divId w:val="645549097"/>
          <w:trHeight w:val="227"/>
        </w:trPr>
        <w:tc>
          <w:tcPr>
            <w:tcW w:w="2237" w:type="pct"/>
            <w:tcBorders>
              <w:top w:val="nil"/>
              <w:left w:val="nil"/>
              <w:bottom w:val="single" w:sz="12" w:space="0" w:color="auto"/>
              <w:right w:val="nil"/>
            </w:tcBorders>
            <w:vAlign w:val="bottom"/>
            <w:hideMark/>
          </w:tcPr>
          <w:p w14:paraId="789F29E9" w14:textId="77777777" w:rsidR="00A74C68" w:rsidRPr="00471CBA" w:rsidRDefault="00A74C68" w:rsidP="00A74C68">
            <w:pPr>
              <w:jc w:val="both"/>
              <w:rPr>
                <w:b/>
                <w:bCs/>
                <w:color w:val="000000"/>
                <w:szCs w:val="20"/>
              </w:rPr>
            </w:pPr>
            <w:r w:rsidRPr="00471CBA">
              <w:rPr>
                <w:b/>
                <w:bCs/>
                <w:color w:val="000000"/>
                <w:szCs w:val="20"/>
              </w:rPr>
              <w:t>Toplam</w:t>
            </w:r>
          </w:p>
        </w:tc>
        <w:tc>
          <w:tcPr>
            <w:tcW w:w="752" w:type="pct"/>
            <w:tcBorders>
              <w:top w:val="nil"/>
              <w:left w:val="nil"/>
              <w:bottom w:val="single" w:sz="12" w:space="0" w:color="auto"/>
              <w:right w:val="nil"/>
            </w:tcBorders>
            <w:vAlign w:val="center"/>
            <w:hideMark/>
          </w:tcPr>
          <w:p w14:paraId="0D17C476" w14:textId="77777777" w:rsidR="00A74C68" w:rsidRPr="00471CBA" w:rsidRDefault="00A74C68" w:rsidP="00A74C68">
            <w:pPr>
              <w:jc w:val="right"/>
              <w:rPr>
                <w:b/>
                <w:bCs/>
                <w:color w:val="000000"/>
                <w:szCs w:val="20"/>
              </w:rPr>
            </w:pPr>
            <w:r w:rsidRPr="00471CBA">
              <w:rPr>
                <w:b/>
                <w:bCs/>
                <w:color w:val="000000"/>
                <w:szCs w:val="20"/>
              </w:rPr>
              <w:t>1.783.444</w:t>
            </w:r>
          </w:p>
        </w:tc>
        <w:tc>
          <w:tcPr>
            <w:tcW w:w="681" w:type="pct"/>
            <w:tcBorders>
              <w:top w:val="nil"/>
              <w:left w:val="nil"/>
              <w:bottom w:val="single" w:sz="12" w:space="0" w:color="auto"/>
              <w:right w:val="nil"/>
            </w:tcBorders>
            <w:vAlign w:val="center"/>
            <w:hideMark/>
          </w:tcPr>
          <w:p w14:paraId="63D89D3C" w14:textId="77777777" w:rsidR="00A74C68" w:rsidRPr="00471CBA" w:rsidRDefault="00A74C68" w:rsidP="00A74C68">
            <w:pPr>
              <w:jc w:val="right"/>
              <w:rPr>
                <w:b/>
                <w:bCs/>
                <w:color w:val="000000"/>
                <w:szCs w:val="20"/>
              </w:rPr>
            </w:pPr>
            <w:r w:rsidRPr="00471CBA">
              <w:rPr>
                <w:b/>
                <w:bCs/>
                <w:color w:val="000000"/>
                <w:szCs w:val="20"/>
              </w:rPr>
              <w:t>6.727.522</w:t>
            </w:r>
          </w:p>
        </w:tc>
      </w:tr>
    </w:tbl>
    <w:p w14:paraId="1252D95E" w14:textId="40C4E20E" w:rsidR="003922B7" w:rsidRPr="00471CBA" w:rsidRDefault="003922B7" w:rsidP="003922B7">
      <w:pPr>
        <w:pStyle w:val="GvdeMetniGirintisi"/>
        <w:widowControl w:val="0"/>
        <w:ind w:firstLine="0"/>
        <w:rPr>
          <w:szCs w:val="20"/>
        </w:rPr>
      </w:pPr>
    </w:p>
    <w:tbl>
      <w:tblPr>
        <w:tblW w:w="5000" w:type="pct"/>
        <w:tblCellMar>
          <w:left w:w="70" w:type="dxa"/>
          <w:right w:w="70" w:type="dxa"/>
        </w:tblCellMar>
        <w:tblLook w:val="04A0" w:firstRow="1" w:lastRow="0" w:firstColumn="1" w:lastColumn="0" w:noHBand="0" w:noVBand="1"/>
      </w:tblPr>
      <w:tblGrid>
        <w:gridCol w:w="5867"/>
        <w:gridCol w:w="1744"/>
        <w:gridCol w:w="1744"/>
      </w:tblGrid>
      <w:tr w:rsidR="00A46163" w:rsidRPr="00471CBA" w14:paraId="6C55AE86" w14:textId="77777777" w:rsidTr="00752E50">
        <w:trPr>
          <w:trHeight w:val="227"/>
        </w:trPr>
        <w:tc>
          <w:tcPr>
            <w:tcW w:w="3136" w:type="pct"/>
            <w:tcBorders>
              <w:top w:val="nil"/>
              <w:left w:val="nil"/>
              <w:bottom w:val="nil"/>
              <w:right w:val="nil"/>
            </w:tcBorders>
            <w:vAlign w:val="bottom"/>
            <w:hideMark/>
          </w:tcPr>
          <w:p w14:paraId="6C54A745" w14:textId="77777777" w:rsidR="00A46163" w:rsidRPr="00471CBA" w:rsidRDefault="00A46163" w:rsidP="003B2BBE"/>
        </w:tc>
        <w:tc>
          <w:tcPr>
            <w:tcW w:w="1864" w:type="pct"/>
            <w:gridSpan w:val="2"/>
            <w:tcBorders>
              <w:top w:val="nil"/>
              <w:left w:val="nil"/>
              <w:bottom w:val="single" w:sz="4" w:space="0" w:color="auto"/>
              <w:right w:val="nil"/>
            </w:tcBorders>
            <w:noWrap/>
            <w:vAlign w:val="center"/>
            <w:hideMark/>
          </w:tcPr>
          <w:p w14:paraId="0FF60620" w14:textId="77777777" w:rsidR="00A46163" w:rsidRPr="00471CBA" w:rsidRDefault="00A46163" w:rsidP="003B2BBE">
            <w:pPr>
              <w:jc w:val="center"/>
              <w:rPr>
                <w:b/>
                <w:bCs/>
                <w:color w:val="000000"/>
                <w:szCs w:val="20"/>
              </w:rPr>
            </w:pPr>
            <w:r w:rsidRPr="00471CBA">
              <w:rPr>
                <w:b/>
                <w:bCs/>
                <w:color w:val="000000"/>
                <w:szCs w:val="20"/>
              </w:rPr>
              <w:t>31 Aralık 2024</w:t>
            </w:r>
          </w:p>
        </w:tc>
      </w:tr>
      <w:tr w:rsidR="00A46163" w:rsidRPr="00471CBA" w14:paraId="2C832A17" w14:textId="77777777" w:rsidTr="00752E50">
        <w:trPr>
          <w:trHeight w:val="227"/>
        </w:trPr>
        <w:tc>
          <w:tcPr>
            <w:tcW w:w="3136" w:type="pct"/>
            <w:tcBorders>
              <w:top w:val="nil"/>
              <w:left w:val="nil"/>
              <w:bottom w:val="single" w:sz="4" w:space="0" w:color="auto"/>
              <w:right w:val="nil"/>
            </w:tcBorders>
            <w:vAlign w:val="bottom"/>
            <w:hideMark/>
          </w:tcPr>
          <w:p w14:paraId="2E152DA9" w14:textId="77777777" w:rsidR="00A46163" w:rsidRPr="00471CBA" w:rsidRDefault="00A46163" w:rsidP="003B2BBE">
            <w:pPr>
              <w:jc w:val="both"/>
              <w:rPr>
                <w:b/>
                <w:bCs/>
                <w:color w:val="000000"/>
                <w:szCs w:val="20"/>
              </w:rPr>
            </w:pPr>
            <w:r w:rsidRPr="00471CBA">
              <w:rPr>
                <w:b/>
                <w:bCs/>
                <w:color w:val="000000"/>
                <w:szCs w:val="20"/>
              </w:rPr>
              <w:t> </w:t>
            </w:r>
          </w:p>
        </w:tc>
        <w:tc>
          <w:tcPr>
            <w:tcW w:w="932" w:type="pct"/>
            <w:tcBorders>
              <w:top w:val="nil"/>
              <w:left w:val="nil"/>
              <w:bottom w:val="single" w:sz="4" w:space="0" w:color="auto"/>
              <w:right w:val="nil"/>
            </w:tcBorders>
            <w:hideMark/>
          </w:tcPr>
          <w:p w14:paraId="17627CD4" w14:textId="77777777" w:rsidR="00A46163" w:rsidRPr="00471CBA" w:rsidRDefault="00A46163" w:rsidP="003B2BBE">
            <w:pPr>
              <w:jc w:val="right"/>
              <w:rPr>
                <w:b/>
                <w:bCs/>
                <w:color w:val="000000"/>
                <w:szCs w:val="20"/>
              </w:rPr>
            </w:pPr>
            <w:r w:rsidRPr="00471CBA">
              <w:rPr>
                <w:b/>
                <w:bCs/>
                <w:color w:val="000000"/>
                <w:szCs w:val="20"/>
              </w:rPr>
              <w:t>TP</w:t>
            </w:r>
          </w:p>
        </w:tc>
        <w:tc>
          <w:tcPr>
            <w:tcW w:w="932" w:type="pct"/>
            <w:tcBorders>
              <w:top w:val="nil"/>
              <w:left w:val="nil"/>
              <w:bottom w:val="single" w:sz="4" w:space="0" w:color="auto"/>
              <w:right w:val="nil"/>
            </w:tcBorders>
            <w:hideMark/>
          </w:tcPr>
          <w:p w14:paraId="385B9580" w14:textId="77777777" w:rsidR="00A46163" w:rsidRPr="00471CBA" w:rsidRDefault="00A46163" w:rsidP="003B2BBE">
            <w:pPr>
              <w:jc w:val="right"/>
              <w:rPr>
                <w:b/>
                <w:bCs/>
                <w:color w:val="000000"/>
                <w:szCs w:val="20"/>
              </w:rPr>
            </w:pPr>
            <w:r w:rsidRPr="00471CBA">
              <w:rPr>
                <w:b/>
                <w:bCs/>
                <w:color w:val="000000"/>
                <w:szCs w:val="20"/>
              </w:rPr>
              <w:t>YP</w:t>
            </w:r>
          </w:p>
        </w:tc>
      </w:tr>
      <w:tr w:rsidR="00A46163" w:rsidRPr="00471CBA" w14:paraId="0FCAF704" w14:textId="77777777" w:rsidTr="00752E50">
        <w:trPr>
          <w:trHeight w:val="227"/>
        </w:trPr>
        <w:tc>
          <w:tcPr>
            <w:tcW w:w="3136" w:type="pct"/>
            <w:tcBorders>
              <w:top w:val="nil"/>
              <w:left w:val="nil"/>
              <w:bottom w:val="nil"/>
              <w:right w:val="nil"/>
            </w:tcBorders>
            <w:vAlign w:val="bottom"/>
            <w:hideMark/>
          </w:tcPr>
          <w:p w14:paraId="3EF27EFC" w14:textId="77777777" w:rsidR="00A46163" w:rsidRPr="00471CBA" w:rsidRDefault="00A46163" w:rsidP="003B2BBE">
            <w:pPr>
              <w:jc w:val="both"/>
              <w:rPr>
                <w:color w:val="000000"/>
                <w:szCs w:val="20"/>
              </w:rPr>
            </w:pPr>
            <w:r w:rsidRPr="00471CBA">
              <w:rPr>
                <w:color w:val="000000"/>
                <w:szCs w:val="20"/>
              </w:rPr>
              <w:t> </w:t>
            </w:r>
          </w:p>
        </w:tc>
        <w:tc>
          <w:tcPr>
            <w:tcW w:w="932" w:type="pct"/>
            <w:tcBorders>
              <w:top w:val="nil"/>
              <w:left w:val="nil"/>
              <w:bottom w:val="nil"/>
              <w:right w:val="nil"/>
            </w:tcBorders>
            <w:hideMark/>
          </w:tcPr>
          <w:p w14:paraId="7DB37990" w14:textId="77777777" w:rsidR="00A46163" w:rsidRPr="00471CBA" w:rsidRDefault="00A46163" w:rsidP="003B2BBE">
            <w:pPr>
              <w:jc w:val="right"/>
              <w:rPr>
                <w:color w:val="000000"/>
                <w:szCs w:val="20"/>
              </w:rPr>
            </w:pPr>
            <w:r w:rsidRPr="00471CBA">
              <w:rPr>
                <w:color w:val="000000"/>
                <w:szCs w:val="20"/>
              </w:rPr>
              <w:t> </w:t>
            </w:r>
          </w:p>
        </w:tc>
        <w:tc>
          <w:tcPr>
            <w:tcW w:w="932" w:type="pct"/>
            <w:tcBorders>
              <w:top w:val="nil"/>
              <w:left w:val="nil"/>
              <w:bottom w:val="nil"/>
              <w:right w:val="nil"/>
            </w:tcBorders>
            <w:hideMark/>
          </w:tcPr>
          <w:p w14:paraId="694B7B6D" w14:textId="77777777" w:rsidR="00A46163" w:rsidRPr="00471CBA" w:rsidRDefault="00A46163" w:rsidP="003B2BBE">
            <w:pPr>
              <w:jc w:val="right"/>
              <w:rPr>
                <w:color w:val="000000"/>
                <w:szCs w:val="20"/>
              </w:rPr>
            </w:pPr>
            <w:r w:rsidRPr="00471CBA">
              <w:rPr>
                <w:color w:val="000000"/>
                <w:szCs w:val="20"/>
              </w:rPr>
              <w:t> </w:t>
            </w:r>
          </w:p>
        </w:tc>
      </w:tr>
      <w:tr w:rsidR="00A46163" w:rsidRPr="00471CBA" w14:paraId="7FB98DCE" w14:textId="77777777" w:rsidTr="00752E50">
        <w:trPr>
          <w:trHeight w:val="227"/>
        </w:trPr>
        <w:tc>
          <w:tcPr>
            <w:tcW w:w="3136" w:type="pct"/>
            <w:tcBorders>
              <w:top w:val="nil"/>
              <w:left w:val="nil"/>
              <w:bottom w:val="nil"/>
              <w:right w:val="nil"/>
            </w:tcBorders>
            <w:vAlign w:val="bottom"/>
            <w:hideMark/>
          </w:tcPr>
          <w:p w14:paraId="787315F0" w14:textId="77777777" w:rsidR="00A46163" w:rsidRPr="00471CBA" w:rsidRDefault="00A46163" w:rsidP="003B2BBE">
            <w:pPr>
              <w:jc w:val="both"/>
              <w:rPr>
                <w:b/>
                <w:bCs/>
                <w:color w:val="000000"/>
                <w:szCs w:val="20"/>
              </w:rPr>
            </w:pPr>
            <w:r w:rsidRPr="00471CBA">
              <w:rPr>
                <w:b/>
                <w:bCs/>
                <w:color w:val="000000"/>
                <w:szCs w:val="20"/>
              </w:rPr>
              <w:t xml:space="preserve">Bankalar </w:t>
            </w:r>
          </w:p>
        </w:tc>
        <w:tc>
          <w:tcPr>
            <w:tcW w:w="932" w:type="pct"/>
            <w:tcBorders>
              <w:top w:val="nil"/>
              <w:left w:val="nil"/>
              <w:bottom w:val="nil"/>
              <w:right w:val="nil"/>
            </w:tcBorders>
            <w:vAlign w:val="center"/>
            <w:hideMark/>
          </w:tcPr>
          <w:p w14:paraId="2889C91D" w14:textId="77777777" w:rsidR="00A46163" w:rsidRPr="00471CBA" w:rsidRDefault="00A46163" w:rsidP="003B2BBE">
            <w:pPr>
              <w:jc w:val="right"/>
              <w:rPr>
                <w:szCs w:val="20"/>
              </w:rPr>
            </w:pPr>
          </w:p>
        </w:tc>
        <w:tc>
          <w:tcPr>
            <w:tcW w:w="932" w:type="pct"/>
            <w:tcBorders>
              <w:top w:val="nil"/>
              <w:left w:val="nil"/>
              <w:bottom w:val="nil"/>
              <w:right w:val="nil"/>
            </w:tcBorders>
            <w:vAlign w:val="center"/>
            <w:hideMark/>
          </w:tcPr>
          <w:p w14:paraId="48F525D7" w14:textId="77777777" w:rsidR="00A46163" w:rsidRPr="00471CBA" w:rsidRDefault="00A46163" w:rsidP="003B2BBE">
            <w:pPr>
              <w:jc w:val="right"/>
              <w:rPr>
                <w:szCs w:val="20"/>
              </w:rPr>
            </w:pPr>
          </w:p>
        </w:tc>
      </w:tr>
      <w:tr w:rsidR="00A46163" w:rsidRPr="00471CBA" w14:paraId="58FDF36C" w14:textId="77777777" w:rsidTr="00752E50">
        <w:trPr>
          <w:trHeight w:val="227"/>
        </w:trPr>
        <w:tc>
          <w:tcPr>
            <w:tcW w:w="3136" w:type="pct"/>
            <w:tcBorders>
              <w:top w:val="nil"/>
              <w:left w:val="nil"/>
              <w:bottom w:val="nil"/>
              <w:right w:val="nil"/>
            </w:tcBorders>
            <w:vAlign w:val="bottom"/>
            <w:hideMark/>
          </w:tcPr>
          <w:p w14:paraId="0C821CD6" w14:textId="77777777" w:rsidR="00A46163" w:rsidRPr="00471CBA" w:rsidRDefault="00A46163" w:rsidP="003B2BBE">
            <w:pPr>
              <w:jc w:val="both"/>
              <w:rPr>
                <w:color w:val="000000"/>
                <w:szCs w:val="20"/>
              </w:rPr>
            </w:pPr>
            <w:r w:rsidRPr="00471CBA">
              <w:rPr>
                <w:color w:val="000000"/>
                <w:szCs w:val="20"/>
              </w:rPr>
              <w:t>Yurtiçi</w:t>
            </w:r>
          </w:p>
        </w:tc>
        <w:tc>
          <w:tcPr>
            <w:tcW w:w="932" w:type="pct"/>
            <w:tcBorders>
              <w:top w:val="nil"/>
              <w:left w:val="nil"/>
              <w:bottom w:val="nil"/>
              <w:right w:val="nil"/>
            </w:tcBorders>
            <w:vAlign w:val="center"/>
            <w:hideMark/>
          </w:tcPr>
          <w:p w14:paraId="4117FAD0" w14:textId="77777777" w:rsidR="00A46163" w:rsidRPr="00471CBA" w:rsidRDefault="00A46163" w:rsidP="003B2BBE">
            <w:pPr>
              <w:jc w:val="right"/>
              <w:rPr>
                <w:color w:val="000000"/>
                <w:szCs w:val="20"/>
              </w:rPr>
            </w:pPr>
            <w:r w:rsidRPr="00471CBA">
              <w:rPr>
                <w:color w:val="000000"/>
                <w:szCs w:val="20"/>
              </w:rPr>
              <w:t>1.625.027</w:t>
            </w:r>
          </w:p>
        </w:tc>
        <w:tc>
          <w:tcPr>
            <w:tcW w:w="932" w:type="pct"/>
            <w:tcBorders>
              <w:top w:val="nil"/>
              <w:left w:val="nil"/>
              <w:bottom w:val="nil"/>
              <w:right w:val="nil"/>
            </w:tcBorders>
            <w:vAlign w:val="center"/>
            <w:hideMark/>
          </w:tcPr>
          <w:p w14:paraId="4FFDDC6C" w14:textId="77777777" w:rsidR="00A46163" w:rsidRPr="00471CBA" w:rsidRDefault="00A46163" w:rsidP="003B2BBE">
            <w:pPr>
              <w:jc w:val="right"/>
              <w:rPr>
                <w:color w:val="000000"/>
                <w:szCs w:val="20"/>
              </w:rPr>
            </w:pPr>
            <w:r w:rsidRPr="00471CBA">
              <w:rPr>
                <w:color w:val="000000"/>
                <w:szCs w:val="20"/>
              </w:rPr>
              <w:t>1.745.541</w:t>
            </w:r>
          </w:p>
        </w:tc>
      </w:tr>
      <w:tr w:rsidR="00A46163" w:rsidRPr="00471CBA" w14:paraId="7362B77B" w14:textId="77777777" w:rsidTr="00752E50">
        <w:trPr>
          <w:trHeight w:val="227"/>
        </w:trPr>
        <w:tc>
          <w:tcPr>
            <w:tcW w:w="3136" w:type="pct"/>
            <w:tcBorders>
              <w:top w:val="nil"/>
              <w:left w:val="nil"/>
              <w:bottom w:val="nil"/>
              <w:right w:val="nil"/>
            </w:tcBorders>
            <w:vAlign w:val="bottom"/>
            <w:hideMark/>
          </w:tcPr>
          <w:p w14:paraId="21706E6C" w14:textId="77777777" w:rsidR="00A46163" w:rsidRPr="00471CBA" w:rsidRDefault="00A46163" w:rsidP="003B2BBE">
            <w:pPr>
              <w:jc w:val="both"/>
              <w:rPr>
                <w:color w:val="000000"/>
                <w:szCs w:val="20"/>
              </w:rPr>
            </w:pPr>
            <w:r w:rsidRPr="00471CBA">
              <w:rPr>
                <w:color w:val="000000"/>
                <w:szCs w:val="20"/>
              </w:rPr>
              <w:t>Yurtdışı</w:t>
            </w:r>
          </w:p>
        </w:tc>
        <w:tc>
          <w:tcPr>
            <w:tcW w:w="932" w:type="pct"/>
            <w:tcBorders>
              <w:top w:val="nil"/>
              <w:left w:val="nil"/>
              <w:bottom w:val="nil"/>
              <w:right w:val="nil"/>
            </w:tcBorders>
            <w:vAlign w:val="center"/>
            <w:hideMark/>
          </w:tcPr>
          <w:p w14:paraId="5751863E" w14:textId="77777777" w:rsidR="00A46163" w:rsidRPr="00471CBA" w:rsidRDefault="00A46163" w:rsidP="003B2BBE">
            <w:pPr>
              <w:jc w:val="right"/>
              <w:rPr>
                <w:color w:val="000000"/>
                <w:szCs w:val="20"/>
              </w:rPr>
            </w:pPr>
            <w:r w:rsidRPr="00471CBA">
              <w:rPr>
                <w:color w:val="000000"/>
                <w:szCs w:val="20"/>
              </w:rPr>
              <w:t>-</w:t>
            </w:r>
          </w:p>
        </w:tc>
        <w:tc>
          <w:tcPr>
            <w:tcW w:w="932" w:type="pct"/>
            <w:tcBorders>
              <w:top w:val="nil"/>
              <w:left w:val="nil"/>
              <w:bottom w:val="nil"/>
              <w:right w:val="nil"/>
            </w:tcBorders>
            <w:vAlign w:val="center"/>
            <w:hideMark/>
          </w:tcPr>
          <w:p w14:paraId="6D97CB64" w14:textId="77777777" w:rsidR="00A46163" w:rsidRPr="00471CBA" w:rsidRDefault="00A46163" w:rsidP="003B2BBE">
            <w:pPr>
              <w:jc w:val="right"/>
              <w:rPr>
                <w:color w:val="000000"/>
                <w:szCs w:val="20"/>
              </w:rPr>
            </w:pPr>
            <w:r w:rsidRPr="00471CBA">
              <w:rPr>
                <w:color w:val="000000"/>
                <w:szCs w:val="20"/>
              </w:rPr>
              <w:t>1.067.053</w:t>
            </w:r>
          </w:p>
        </w:tc>
      </w:tr>
      <w:tr w:rsidR="00A46163" w:rsidRPr="00471CBA" w14:paraId="4F246A76" w14:textId="77777777" w:rsidTr="00752E50">
        <w:trPr>
          <w:trHeight w:val="227"/>
        </w:trPr>
        <w:tc>
          <w:tcPr>
            <w:tcW w:w="3136" w:type="pct"/>
            <w:tcBorders>
              <w:top w:val="nil"/>
              <w:left w:val="nil"/>
              <w:bottom w:val="single" w:sz="4" w:space="0" w:color="auto"/>
              <w:right w:val="nil"/>
            </w:tcBorders>
            <w:vAlign w:val="bottom"/>
            <w:hideMark/>
          </w:tcPr>
          <w:p w14:paraId="2D25E923" w14:textId="77777777" w:rsidR="00A46163" w:rsidRPr="00471CBA" w:rsidRDefault="00A46163" w:rsidP="003B2BBE">
            <w:pPr>
              <w:jc w:val="both"/>
              <w:rPr>
                <w:color w:val="000000"/>
                <w:szCs w:val="20"/>
              </w:rPr>
            </w:pPr>
            <w:r w:rsidRPr="00471CBA">
              <w:rPr>
                <w:color w:val="000000"/>
                <w:szCs w:val="20"/>
              </w:rPr>
              <w:t>Yurtdışı Merkez ve Şubeler</w:t>
            </w:r>
          </w:p>
        </w:tc>
        <w:tc>
          <w:tcPr>
            <w:tcW w:w="932" w:type="pct"/>
            <w:tcBorders>
              <w:top w:val="nil"/>
              <w:left w:val="nil"/>
              <w:bottom w:val="single" w:sz="4" w:space="0" w:color="auto"/>
              <w:right w:val="nil"/>
            </w:tcBorders>
            <w:vAlign w:val="center"/>
            <w:hideMark/>
          </w:tcPr>
          <w:p w14:paraId="0E086CE6" w14:textId="77777777" w:rsidR="00A46163" w:rsidRPr="00471CBA" w:rsidRDefault="00A46163" w:rsidP="003B2BBE">
            <w:pPr>
              <w:jc w:val="right"/>
              <w:rPr>
                <w:color w:val="000000"/>
                <w:szCs w:val="20"/>
              </w:rPr>
            </w:pPr>
            <w:r w:rsidRPr="00471CBA">
              <w:rPr>
                <w:color w:val="000000"/>
                <w:szCs w:val="20"/>
              </w:rPr>
              <w:t>-</w:t>
            </w:r>
          </w:p>
        </w:tc>
        <w:tc>
          <w:tcPr>
            <w:tcW w:w="932" w:type="pct"/>
            <w:tcBorders>
              <w:top w:val="nil"/>
              <w:left w:val="nil"/>
              <w:bottom w:val="single" w:sz="4" w:space="0" w:color="auto"/>
              <w:right w:val="nil"/>
            </w:tcBorders>
            <w:vAlign w:val="center"/>
            <w:hideMark/>
          </w:tcPr>
          <w:p w14:paraId="74467C88" w14:textId="77777777" w:rsidR="00A46163" w:rsidRPr="00471CBA" w:rsidRDefault="00A46163" w:rsidP="003B2BBE">
            <w:pPr>
              <w:jc w:val="right"/>
              <w:rPr>
                <w:color w:val="000000"/>
                <w:szCs w:val="20"/>
              </w:rPr>
            </w:pPr>
            <w:r w:rsidRPr="00471CBA">
              <w:rPr>
                <w:color w:val="000000"/>
                <w:szCs w:val="20"/>
              </w:rPr>
              <w:t>-</w:t>
            </w:r>
          </w:p>
        </w:tc>
      </w:tr>
      <w:tr w:rsidR="00A46163" w:rsidRPr="00471CBA" w14:paraId="587B38F9" w14:textId="77777777" w:rsidTr="00752E50">
        <w:trPr>
          <w:trHeight w:val="227"/>
        </w:trPr>
        <w:tc>
          <w:tcPr>
            <w:tcW w:w="3136" w:type="pct"/>
            <w:tcBorders>
              <w:top w:val="nil"/>
              <w:left w:val="nil"/>
              <w:right w:val="nil"/>
            </w:tcBorders>
            <w:vAlign w:val="bottom"/>
            <w:hideMark/>
          </w:tcPr>
          <w:p w14:paraId="431510DA" w14:textId="77777777" w:rsidR="00A46163" w:rsidRPr="00471CBA" w:rsidRDefault="00A46163" w:rsidP="003B2BBE">
            <w:pPr>
              <w:jc w:val="right"/>
              <w:rPr>
                <w:color w:val="000000"/>
                <w:szCs w:val="20"/>
              </w:rPr>
            </w:pPr>
          </w:p>
        </w:tc>
        <w:tc>
          <w:tcPr>
            <w:tcW w:w="932" w:type="pct"/>
            <w:tcBorders>
              <w:top w:val="nil"/>
              <w:left w:val="nil"/>
              <w:right w:val="nil"/>
            </w:tcBorders>
            <w:vAlign w:val="center"/>
            <w:hideMark/>
          </w:tcPr>
          <w:p w14:paraId="739489C2" w14:textId="77777777" w:rsidR="00A46163" w:rsidRPr="00471CBA" w:rsidRDefault="00A46163" w:rsidP="003B2BBE">
            <w:pPr>
              <w:jc w:val="right"/>
              <w:rPr>
                <w:szCs w:val="20"/>
              </w:rPr>
            </w:pPr>
          </w:p>
        </w:tc>
        <w:tc>
          <w:tcPr>
            <w:tcW w:w="932" w:type="pct"/>
            <w:tcBorders>
              <w:top w:val="nil"/>
              <w:left w:val="nil"/>
              <w:right w:val="nil"/>
            </w:tcBorders>
            <w:vAlign w:val="center"/>
            <w:hideMark/>
          </w:tcPr>
          <w:p w14:paraId="2475DBBA" w14:textId="77777777" w:rsidR="00A46163" w:rsidRPr="00471CBA" w:rsidRDefault="00A46163" w:rsidP="003B2BBE">
            <w:pPr>
              <w:jc w:val="right"/>
              <w:rPr>
                <w:szCs w:val="20"/>
              </w:rPr>
            </w:pPr>
          </w:p>
        </w:tc>
      </w:tr>
      <w:tr w:rsidR="00A46163" w:rsidRPr="00471CBA" w14:paraId="3A8CCAAF" w14:textId="77777777" w:rsidTr="00752E50">
        <w:trPr>
          <w:trHeight w:val="227"/>
        </w:trPr>
        <w:tc>
          <w:tcPr>
            <w:tcW w:w="3136" w:type="pct"/>
            <w:tcBorders>
              <w:top w:val="nil"/>
              <w:left w:val="nil"/>
              <w:bottom w:val="single" w:sz="12" w:space="0" w:color="auto"/>
              <w:right w:val="nil"/>
            </w:tcBorders>
            <w:vAlign w:val="bottom"/>
            <w:hideMark/>
          </w:tcPr>
          <w:p w14:paraId="0A459076" w14:textId="77777777" w:rsidR="00A46163" w:rsidRPr="00471CBA" w:rsidRDefault="00A46163" w:rsidP="003B2BBE">
            <w:pPr>
              <w:jc w:val="both"/>
              <w:rPr>
                <w:b/>
                <w:bCs/>
                <w:color w:val="000000"/>
                <w:szCs w:val="20"/>
              </w:rPr>
            </w:pPr>
            <w:r w:rsidRPr="00471CBA">
              <w:rPr>
                <w:b/>
                <w:bCs/>
                <w:color w:val="000000"/>
                <w:szCs w:val="20"/>
              </w:rPr>
              <w:t>Toplam</w:t>
            </w:r>
          </w:p>
        </w:tc>
        <w:tc>
          <w:tcPr>
            <w:tcW w:w="932" w:type="pct"/>
            <w:tcBorders>
              <w:top w:val="nil"/>
              <w:left w:val="nil"/>
              <w:bottom w:val="single" w:sz="12" w:space="0" w:color="auto"/>
              <w:right w:val="nil"/>
            </w:tcBorders>
            <w:vAlign w:val="center"/>
            <w:hideMark/>
          </w:tcPr>
          <w:p w14:paraId="3B4F5D68" w14:textId="77777777" w:rsidR="00A46163" w:rsidRPr="00471CBA" w:rsidRDefault="00A46163" w:rsidP="003B2BBE">
            <w:pPr>
              <w:jc w:val="right"/>
              <w:rPr>
                <w:b/>
                <w:bCs/>
                <w:color w:val="000000"/>
                <w:szCs w:val="20"/>
              </w:rPr>
            </w:pPr>
            <w:r w:rsidRPr="00471CBA">
              <w:rPr>
                <w:b/>
                <w:bCs/>
                <w:color w:val="000000"/>
                <w:szCs w:val="20"/>
              </w:rPr>
              <w:t>1.625.027</w:t>
            </w:r>
          </w:p>
        </w:tc>
        <w:tc>
          <w:tcPr>
            <w:tcW w:w="932" w:type="pct"/>
            <w:tcBorders>
              <w:top w:val="nil"/>
              <w:left w:val="nil"/>
              <w:bottom w:val="single" w:sz="12" w:space="0" w:color="auto"/>
              <w:right w:val="nil"/>
            </w:tcBorders>
            <w:vAlign w:val="center"/>
            <w:hideMark/>
          </w:tcPr>
          <w:p w14:paraId="6EBF437B" w14:textId="77777777" w:rsidR="00A46163" w:rsidRPr="00471CBA" w:rsidRDefault="00A46163" w:rsidP="003B2BBE">
            <w:pPr>
              <w:jc w:val="right"/>
              <w:rPr>
                <w:b/>
                <w:bCs/>
                <w:color w:val="000000"/>
                <w:szCs w:val="20"/>
              </w:rPr>
            </w:pPr>
            <w:r w:rsidRPr="00471CBA">
              <w:rPr>
                <w:b/>
                <w:bCs/>
                <w:color w:val="000000"/>
                <w:szCs w:val="20"/>
              </w:rPr>
              <w:t>2.812.594</w:t>
            </w:r>
          </w:p>
        </w:tc>
      </w:tr>
    </w:tbl>
    <w:p w14:paraId="6DB7BF94" w14:textId="77777777" w:rsidR="00894C14" w:rsidRPr="00471CBA" w:rsidRDefault="00894C14" w:rsidP="006F61BC">
      <w:pPr>
        <w:pStyle w:val="ListeParagraf"/>
        <w:widowControl w:val="0"/>
        <w:ind w:left="1276" w:hanging="425"/>
        <w:jc w:val="both"/>
        <w:rPr>
          <w:b/>
          <w:bCs/>
          <w:iCs/>
          <w:szCs w:val="20"/>
        </w:rPr>
      </w:pPr>
    </w:p>
    <w:p w14:paraId="277B146C" w14:textId="77777777" w:rsidR="00A67FD6" w:rsidRPr="00471CBA" w:rsidRDefault="00A67FD6" w:rsidP="00A67FD6">
      <w:pPr>
        <w:pStyle w:val="ListeParagraf"/>
        <w:widowControl w:val="0"/>
        <w:ind w:left="1276" w:hanging="425"/>
        <w:jc w:val="both"/>
        <w:rPr>
          <w:b/>
          <w:bCs/>
          <w:iCs/>
          <w:szCs w:val="20"/>
        </w:rPr>
      </w:pPr>
      <w:bookmarkStart w:id="87" w:name="_Hlk99380062"/>
      <w:r w:rsidRPr="00471CBA">
        <w:rPr>
          <w:b/>
          <w:bCs/>
          <w:iCs/>
          <w:szCs w:val="20"/>
        </w:rPr>
        <w:t>c2.</w:t>
      </w:r>
      <w:r w:rsidRPr="00471CBA">
        <w:rPr>
          <w:b/>
          <w:bCs/>
          <w:iCs/>
          <w:szCs w:val="20"/>
        </w:rPr>
        <w:tab/>
        <w:t>Yurtdışı bankalar hesabına ilişkin bilgiler:</w:t>
      </w:r>
    </w:p>
    <w:p w14:paraId="37CB3A1E" w14:textId="77777777" w:rsidR="00A67FD6" w:rsidRPr="00471CBA" w:rsidRDefault="00A67FD6" w:rsidP="00A67FD6">
      <w:pPr>
        <w:rPr>
          <w:szCs w:val="20"/>
        </w:rPr>
      </w:pPr>
    </w:p>
    <w:tbl>
      <w:tblPr>
        <w:tblW w:w="5000" w:type="pct"/>
        <w:tblCellMar>
          <w:left w:w="0" w:type="dxa"/>
          <w:right w:w="0" w:type="dxa"/>
        </w:tblCellMar>
        <w:tblLook w:val="04A0" w:firstRow="1" w:lastRow="0" w:firstColumn="1" w:lastColumn="0" w:noHBand="0" w:noVBand="1"/>
      </w:tblPr>
      <w:tblGrid>
        <w:gridCol w:w="6295"/>
        <w:gridCol w:w="1617"/>
        <w:gridCol w:w="1443"/>
      </w:tblGrid>
      <w:tr w:rsidR="00066D9A" w:rsidRPr="00471CBA" w14:paraId="603C07DA" w14:textId="77777777" w:rsidTr="00066D9A">
        <w:trPr>
          <w:trHeight w:val="170"/>
        </w:trPr>
        <w:tc>
          <w:tcPr>
            <w:tcW w:w="3365" w:type="pct"/>
            <w:tcBorders>
              <w:left w:val="nil"/>
              <w:right w:val="nil"/>
            </w:tcBorders>
          </w:tcPr>
          <w:p w14:paraId="0A81644C" w14:textId="77777777" w:rsidR="00066D9A" w:rsidRPr="00471CBA" w:rsidRDefault="00066D9A" w:rsidP="00B0049C">
            <w:pPr>
              <w:autoSpaceDE w:val="0"/>
              <w:autoSpaceDN w:val="0"/>
              <w:adjustRightInd w:val="0"/>
              <w:rPr>
                <w:rFonts w:eastAsia="Arial Unicode MS"/>
                <w:b/>
                <w:szCs w:val="20"/>
              </w:rPr>
            </w:pPr>
          </w:p>
        </w:tc>
        <w:tc>
          <w:tcPr>
            <w:tcW w:w="1635" w:type="pct"/>
            <w:gridSpan w:val="2"/>
            <w:tcBorders>
              <w:left w:val="nil"/>
              <w:bottom w:val="single" w:sz="2" w:space="0" w:color="auto"/>
              <w:right w:val="nil"/>
            </w:tcBorders>
            <w:vAlign w:val="center"/>
            <w:hideMark/>
          </w:tcPr>
          <w:p w14:paraId="20F17175" w14:textId="16DBF1D8" w:rsidR="00066D9A" w:rsidRPr="00471CBA" w:rsidRDefault="00066D9A" w:rsidP="00B0049C">
            <w:pPr>
              <w:autoSpaceDE w:val="0"/>
              <w:autoSpaceDN w:val="0"/>
              <w:adjustRightInd w:val="0"/>
              <w:ind w:left="-162" w:right="-161"/>
              <w:jc w:val="center"/>
              <w:rPr>
                <w:rFonts w:eastAsia="Arial Unicode MS"/>
                <w:b/>
                <w:szCs w:val="20"/>
              </w:rPr>
            </w:pPr>
            <w:r w:rsidRPr="00471CBA">
              <w:rPr>
                <w:b/>
                <w:bCs/>
                <w:color w:val="000000"/>
                <w:szCs w:val="20"/>
              </w:rPr>
              <w:t>31 Aralık 2025</w:t>
            </w:r>
          </w:p>
        </w:tc>
      </w:tr>
      <w:tr w:rsidR="00066D9A" w:rsidRPr="00471CBA" w14:paraId="53B7FA13" w14:textId="77777777" w:rsidTr="00066D9A">
        <w:trPr>
          <w:trHeight w:val="170"/>
        </w:trPr>
        <w:tc>
          <w:tcPr>
            <w:tcW w:w="3365" w:type="pct"/>
            <w:tcBorders>
              <w:left w:val="nil"/>
              <w:bottom w:val="single" w:sz="4" w:space="0" w:color="auto"/>
              <w:right w:val="nil"/>
            </w:tcBorders>
          </w:tcPr>
          <w:p w14:paraId="7A062443" w14:textId="77777777" w:rsidR="00066D9A" w:rsidRPr="00471CBA" w:rsidRDefault="00066D9A" w:rsidP="00B0049C">
            <w:pPr>
              <w:autoSpaceDE w:val="0"/>
              <w:autoSpaceDN w:val="0"/>
              <w:adjustRightInd w:val="0"/>
              <w:rPr>
                <w:rFonts w:eastAsia="Arial Unicode MS"/>
                <w:b/>
                <w:szCs w:val="20"/>
              </w:rPr>
            </w:pPr>
          </w:p>
        </w:tc>
        <w:tc>
          <w:tcPr>
            <w:tcW w:w="864" w:type="pct"/>
            <w:tcBorders>
              <w:top w:val="single" w:sz="2" w:space="0" w:color="auto"/>
              <w:left w:val="nil"/>
              <w:bottom w:val="single" w:sz="4" w:space="0" w:color="auto"/>
              <w:right w:val="nil"/>
            </w:tcBorders>
            <w:vAlign w:val="bottom"/>
            <w:hideMark/>
          </w:tcPr>
          <w:p w14:paraId="58AA1806" w14:textId="77777777" w:rsidR="00066D9A" w:rsidRPr="00471CBA" w:rsidRDefault="00066D9A" w:rsidP="00B0049C">
            <w:pPr>
              <w:autoSpaceDE w:val="0"/>
              <w:autoSpaceDN w:val="0"/>
              <w:adjustRightInd w:val="0"/>
              <w:ind w:right="40"/>
              <w:jc w:val="right"/>
              <w:rPr>
                <w:rFonts w:eastAsia="Arial Unicode MS"/>
                <w:b/>
                <w:szCs w:val="20"/>
              </w:rPr>
            </w:pPr>
            <w:r w:rsidRPr="00471CBA">
              <w:rPr>
                <w:rFonts w:eastAsia="Arial Unicode MS"/>
                <w:b/>
                <w:szCs w:val="20"/>
              </w:rPr>
              <w:t>Serbest tutar</w:t>
            </w:r>
          </w:p>
        </w:tc>
        <w:tc>
          <w:tcPr>
            <w:tcW w:w="771" w:type="pct"/>
            <w:tcBorders>
              <w:top w:val="single" w:sz="2" w:space="0" w:color="auto"/>
              <w:left w:val="nil"/>
              <w:bottom w:val="single" w:sz="4" w:space="0" w:color="auto"/>
              <w:right w:val="nil"/>
            </w:tcBorders>
            <w:vAlign w:val="bottom"/>
            <w:hideMark/>
          </w:tcPr>
          <w:p w14:paraId="1068776C" w14:textId="77777777" w:rsidR="00066D9A" w:rsidRPr="00471CBA" w:rsidRDefault="00066D9A" w:rsidP="00B0049C">
            <w:pPr>
              <w:autoSpaceDE w:val="0"/>
              <w:autoSpaceDN w:val="0"/>
              <w:adjustRightInd w:val="0"/>
              <w:ind w:right="40"/>
              <w:jc w:val="right"/>
              <w:rPr>
                <w:rFonts w:eastAsia="Arial Unicode MS"/>
                <w:b/>
                <w:szCs w:val="20"/>
              </w:rPr>
            </w:pPr>
            <w:r w:rsidRPr="00471CBA">
              <w:rPr>
                <w:rFonts w:eastAsia="Arial Unicode MS"/>
                <w:b/>
                <w:szCs w:val="20"/>
              </w:rPr>
              <w:t>Serbest olmayan tutar</w:t>
            </w:r>
          </w:p>
        </w:tc>
      </w:tr>
      <w:tr w:rsidR="00066D9A" w:rsidRPr="00471CBA" w14:paraId="627C8350" w14:textId="77777777" w:rsidTr="00066D9A">
        <w:trPr>
          <w:trHeight w:val="77"/>
        </w:trPr>
        <w:tc>
          <w:tcPr>
            <w:tcW w:w="3365" w:type="pct"/>
            <w:tcBorders>
              <w:top w:val="single" w:sz="4" w:space="0" w:color="auto"/>
              <w:left w:val="nil"/>
              <w:bottom w:val="nil"/>
              <w:right w:val="nil"/>
            </w:tcBorders>
          </w:tcPr>
          <w:p w14:paraId="540192D4" w14:textId="77777777" w:rsidR="00066D9A" w:rsidRPr="00471CBA" w:rsidRDefault="00066D9A" w:rsidP="00B0049C">
            <w:pPr>
              <w:autoSpaceDE w:val="0"/>
              <w:autoSpaceDN w:val="0"/>
              <w:adjustRightInd w:val="0"/>
              <w:rPr>
                <w:rFonts w:eastAsia="Arial Unicode MS"/>
                <w:szCs w:val="20"/>
              </w:rPr>
            </w:pPr>
          </w:p>
        </w:tc>
        <w:tc>
          <w:tcPr>
            <w:tcW w:w="864" w:type="pct"/>
            <w:tcBorders>
              <w:top w:val="single" w:sz="4" w:space="0" w:color="auto"/>
              <w:left w:val="nil"/>
              <w:bottom w:val="nil"/>
              <w:right w:val="nil"/>
            </w:tcBorders>
            <w:vAlign w:val="bottom"/>
          </w:tcPr>
          <w:p w14:paraId="5B6AA661" w14:textId="77777777" w:rsidR="00066D9A" w:rsidRPr="00471CBA" w:rsidRDefault="00066D9A" w:rsidP="00B0049C">
            <w:pPr>
              <w:autoSpaceDE w:val="0"/>
              <w:autoSpaceDN w:val="0"/>
              <w:adjustRightInd w:val="0"/>
              <w:ind w:right="40"/>
              <w:jc w:val="right"/>
              <w:rPr>
                <w:rFonts w:eastAsia="Arial Unicode MS"/>
                <w:szCs w:val="20"/>
              </w:rPr>
            </w:pPr>
          </w:p>
        </w:tc>
        <w:tc>
          <w:tcPr>
            <w:tcW w:w="771" w:type="pct"/>
            <w:tcBorders>
              <w:top w:val="single" w:sz="4" w:space="0" w:color="auto"/>
              <w:left w:val="nil"/>
              <w:bottom w:val="nil"/>
              <w:right w:val="nil"/>
            </w:tcBorders>
            <w:vAlign w:val="bottom"/>
          </w:tcPr>
          <w:p w14:paraId="257DCF80" w14:textId="77777777" w:rsidR="00066D9A" w:rsidRPr="00471CBA" w:rsidRDefault="00066D9A" w:rsidP="00B0049C">
            <w:pPr>
              <w:autoSpaceDE w:val="0"/>
              <w:autoSpaceDN w:val="0"/>
              <w:adjustRightInd w:val="0"/>
              <w:ind w:right="40"/>
              <w:jc w:val="right"/>
              <w:rPr>
                <w:rFonts w:eastAsia="Arial Unicode MS"/>
                <w:szCs w:val="20"/>
              </w:rPr>
            </w:pPr>
          </w:p>
        </w:tc>
      </w:tr>
      <w:tr w:rsidR="00066D9A" w:rsidRPr="00471CBA" w14:paraId="6BE07A45" w14:textId="77777777" w:rsidTr="00362958">
        <w:trPr>
          <w:trHeight w:val="170"/>
        </w:trPr>
        <w:tc>
          <w:tcPr>
            <w:tcW w:w="3365" w:type="pct"/>
            <w:hideMark/>
          </w:tcPr>
          <w:p w14:paraId="5DC67BFD" w14:textId="77777777" w:rsidR="00066D9A" w:rsidRPr="00471CBA" w:rsidRDefault="00066D9A" w:rsidP="00066D9A">
            <w:pPr>
              <w:autoSpaceDE w:val="0"/>
              <w:autoSpaceDN w:val="0"/>
              <w:adjustRightInd w:val="0"/>
              <w:ind w:left="56"/>
              <w:rPr>
                <w:rFonts w:eastAsia="Arial Unicode MS"/>
                <w:szCs w:val="20"/>
              </w:rPr>
            </w:pPr>
            <w:r w:rsidRPr="00471CBA">
              <w:rPr>
                <w:rFonts w:eastAsia="Arial Unicode MS"/>
                <w:szCs w:val="20"/>
              </w:rPr>
              <w:t>AB Ülkeleri</w:t>
            </w:r>
          </w:p>
        </w:tc>
        <w:tc>
          <w:tcPr>
            <w:tcW w:w="864" w:type="pct"/>
            <w:vAlign w:val="center"/>
          </w:tcPr>
          <w:p w14:paraId="228F7047" w14:textId="0A06060B" w:rsidR="00066D9A" w:rsidRPr="00471CBA" w:rsidRDefault="00066D9A" w:rsidP="00066D9A">
            <w:pPr>
              <w:ind w:right="127"/>
              <w:jc w:val="right"/>
              <w:rPr>
                <w:szCs w:val="20"/>
              </w:rPr>
            </w:pPr>
            <w:r w:rsidRPr="00471CBA">
              <w:rPr>
                <w:color w:val="000000"/>
                <w:szCs w:val="20"/>
              </w:rPr>
              <w:t>2.083.216</w:t>
            </w:r>
          </w:p>
        </w:tc>
        <w:tc>
          <w:tcPr>
            <w:tcW w:w="771" w:type="pct"/>
            <w:vAlign w:val="center"/>
          </w:tcPr>
          <w:p w14:paraId="73D325B0" w14:textId="5A5DEE04" w:rsidR="00066D9A" w:rsidRPr="00471CBA" w:rsidRDefault="00066D9A" w:rsidP="00066D9A">
            <w:pPr>
              <w:ind w:right="127"/>
              <w:jc w:val="right"/>
              <w:rPr>
                <w:szCs w:val="20"/>
              </w:rPr>
            </w:pPr>
            <w:r w:rsidRPr="00471CBA">
              <w:rPr>
                <w:color w:val="000000"/>
                <w:szCs w:val="20"/>
              </w:rPr>
              <w:t>-</w:t>
            </w:r>
          </w:p>
        </w:tc>
      </w:tr>
      <w:tr w:rsidR="00066D9A" w:rsidRPr="00471CBA" w14:paraId="0E67F9C2" w14:textId="77777777" w:rsidTr="00362958">
        <w:trPr>
          <w:trHeight w:val="170"/>
        </w:trPr>
        <w:tc>
          <w:tcPr>
            <w:tcW w:w="3365" w:type="pct"/>
            <w:hideMark/>
          </w:tcPr>
          <w:p w14:paraId="1DBF90D8" w14:textId="77777777" w:rsidR="00066D9A" w:rsidRPr="00471CBA" w:rsidRDefault="00066D9A" w:rsidP="00066D9A">
            <w:pPr>
              <w:autoSpaceDE w:val="0"/>
              <w:autoSpaceDN w:val="0"/>
              <w:adjustRightInd w:val="0"/>
              <w:ind w:left="56"/>
              <w:rPr>
                <w:rFonts w:eastAsia="Arial Unicode MS"/>
                <w:szCs w:val="20"/>
              </w:rPr>
            </w:pPr>
            <w:r w:rsidRPr="00471CBA">
              <w:rPr>
                <w:rFonts w:eastAsia="Arial Unicode MS"/>
                <w:szCs w:val="20"/>
              </w:rPr>
              <w:t>ABD, Kanada</w:t>
            </w:r>
          </w:p>
        </w:tc>
        <w:tc>
          <w:tcPr>
            <w:tcW w:w="864" w:type="pct"/>
            <w:vAlign w:val="center"/>
          </w:tcPr>
          <w:p w14:paraId="592477F9" w14:textId="50F220D5" w:rsidR="00066D9A" w:rsidRPr="00471CBA" w:rsidRDefault="00066D9A" w:rsidP="00066D9A">
            <w:pPr>
              <w:ind w:right="127"/>
              <w:jc w:val="right"/>
              <w:rPr>
                <w:szCs w:val="20"/>
              </w:rPr>
            </w:pPr>
            <w:r w:rsidRPr="00471CBA">
              <w:rPr>
                <w:color w:val="000000"/>
                <w:szCs w:val="20"/>
              </w:rPr>
              <w:t>954.767</w:t>
            </w:r>
          </w:p>
        </w:tc>
        <w:tc>
          <w:tcPr>
            <w:tcW w:w="771" w:type="pct"/>
            <w:vAlign w:val="center"/>
          </w:tcPr>
          <w:p w14:paraId="671B6C90" w14:textId="52852228" w:rsidR="00066D9A" w:rsidRPr="00471CBA" w:rsidRDefault="00066D9A" w:rsidP="00066D9A">
            <w:pPr>
              <w:ind w:right="127"/>
              <w:jc w:val="right"/>
              <w:rPr>
                <w:szCs w:val="20"/>
              </w:rPr>
            </w:pPr>
            <w:r w:rsidRPr="00471CBA">
              <w:rPr>
                <w:color w:val="000000"/>
                <w:szCs w:val="20"/>
              </w:rPr>
              <w:t>-</w:t>
            </w:r>
          </w:p>
        </w:tc>
      </w:tr>
      <w:tr w:rsidR="00066D9A" w:rsidRPr="00471CBA" w14:paraId="203064E7" w14:textId="77777777" w:rsidTr="00362958">
        <w:trPr>
          <w:trHeight w:val="170"/>
        </w:trPr>
        <w:tc>
          <w:tcPr>
            <w:tcW w:w="3365" w:type="pct"/>
            <w:hideMark/>
          </w:tcPr>
          <w:p w14:paraId="45E5308A" w14:textId="77777777" w:rsidR="00066D9A" w:rsidRPr="00471CBA" w:rsidRDefault="00066D9A" w:rsidP="00066D9A">
            <w:pPr>
              <w:autoSpaceDE w:val="0"/>
              <w:autoSpaceDN w:val="0"/>
              <w:adjustRightInd w:val="0"/>
              <w:ind w:left="56"/>
              <w:rPr>
                <w:rFonts w:eastAsia="Arial Unicode MS"/>
                <w:szCs w:val="20"/>
              </w:rPr>
            </w:pPr>
            <w:r w:rsidRPr="00471CBA">
              <w:rPr>
                <w:rFonts w:eastAsia="Arial Unicode MS"/>
                <w:szCs w:val="20"/>
              </w:rPr>
              <w:t xml:space="preserve">OECD Ülkeleri </w:t>
            </w:r>
            <w:r w:rsidRPr="00471CBA">
              <w:rPr>
                <w:rFonts w:eastAsia="Arial Unicode MS"/>
                <w:szCs w:val="20"/>
                <w:vertAlign w:val="superscript"/>
              </w:rPr>
              <w:t>(*)</w:t>
            </w:r>
          </w:p>
        </w:tc>
        <w:tc>
          <w:tcPr>
            <w:tcW w:w="864" w:type="pct"/>
            <w:vAlign w:val="center"/>
          </w:tcPr>
          <w:p w14:paraId="0483E64B" w14:textId="31CD1F5B" w:rsidR="00066D9A" w:rsidRPr="00471CBA" w:rsidRDefault="00066D9A" w:rsidP="00066D9A">
            <w:pPr>
              <w:ind w:right="127"/>
              <w:jc w:val="right"/>
              <w:rPr>
                <w:szCs w:val="20"/>
              </w:rPr>
            </w:pPr>
            <w:r w:rsidRPr="00471CBA">
              <w:rPr>
                <w:color w:val="000000"/>
                <w:szCs w:val="20"/>
              </w:rPr>
              <w:t>2.260.497</w:t>
            </w:r>
          </w:p>
        </w:tc>
        <w:tc>
          <w:tcPr>
            <w:tcW w:w="771" w:type="pct"/>
            <w:vAlign w:val="center"/>
          </w:tcPr>
          <w:p w14:paraId="53267BA6" w14:textId="097D9664" w:rsidR="00066D9A" w:rsidRPr="00471CBA" w:rsidRDefault="00066D9A" w:rsidP="00066D9A">
            <w:pPr>
              <w:ind w:right="127"/>
              <w:jc w:val="right"/>
              <w:rPr>
                <w:szCs w:val="20"/>
              </w:rPr>
            </w:pPr>
            <w:r w:rsidRPr="00471CBA">
              <w:rPr>
                <w:color w:val="000000"/>
                <w:szCs w:val="20"/>
              </w:rPr>
              <w:t>-</w:t>
            </w:r>
          </w:p>
        </w:tc>
      </w:tr>
      <w:tr w:rsidR="00066D9A" w:rsidRPr="00471CBA" w14:paraId="15F39DB9" w14:textId="77777777" w:rsidTr="00362958">
        <w:trPr>
          <w:trHeight w:val="170"/>
        </w:trPr>
        <w:tc>
          <w:tcPr>
            <w:tcW w:w="3365" w:type="pct"/>
            <w:hideMark/>
          </w:tcPr>
          <w:p w14:paraId="7B9BB49A" w14:textId="77777777" w:rsidR="00066D9A" w:rsidRPr="00471CBA" w:rsidRDefault="00066D9A" w:rsidP="00066D9A">
            <w:pPr>
              <w:autoSpaceDE w:val="0"/>
              <w:autoSpaceDN w:val="0"/>
              <w:adjustRightInd w:val="0"/>
              <w:ind w:left="56"/>
              <w:rPr>
                <w:rFonts w:eastAsia="Arial Unicode MS"/>
                <w:szCs w:val="20"/>
              </w:rPr>
            </w:pPr>
            <w:r w:rsidRPr="00471CBA">
              <w:rPr>
                <w:rFonts w:eastAsia="Arial Unicode MS"/>
                <w:szCs w:val="20"/>
              </w:rPr>
              <w:t>Kıyı Bankacılığı Bölgeleri</w:t>
            </w:r>
          </w:p>
        </w:tc>
        <w:tc>
          <w:tcPr>
            <w:tcW w:w="864" w:type="pct"/>
            <w:vAlign w:val="center"/>
          </w:tcPr>
          <w:p w14:paraId="1F6C6B1D" w14:textId="259888FE" w:rsidR="00066D9A" w:rsidRPr="00471CBA" w:rsidRDefault="00066D9A" w:rsidP="00066D9A">
            <w:pPr>
              <w:ind w:right="127"/>
              <w:jc w:val="right"/>
              <w:rPr>
                <w:szCs w:val="20"/>
              </w:rPr>
            </w:pPr>
            <w:r w:rsidRPr="00471CBA">
              <w:rPr>
                <w:color w:val="000000"/>
                <w:szCs w:val="20"/>
              </w:rPr>
              <w:t>-</w:t>
            </w:r>
          </w:p>
        </w:tc>
        <w:tc>
          <w:tcPr>
            <w:tcW w:w="771" w:type="pct"/>
            <w:vAlign w:val="center"/>
          </w:tcPr>
          <w:p w14:paraId="1D55F20E" w14:textId="21ED5170" w:rsidR="00066D9A" w:rsidRPr="00471CBA" w:rsidRDefault="00066D9A" w:rsidP="00066D9A">
            <w:pPr>
              <w:ind w:right="127"/>
              <w:jc w:val="right"/>
              <w:rPr>
                <w:szCs w:val="20"/>
              </w:rPr>
            </w:pPr>
            <w:r w:rsidRPr="00471CBA">
              <w:rPr>
                <w:color w:val="000000"/>
                <w:szCs w:val="20"/>
              </w:rPr>
              <w:t>-</w:t>
            </w:r>
          </w:p>
        </w:tc>
      </w:tr>
      <w:tr w:rsidR="00066D9A" w:rsidRPr="00471CBA" w14:paraId="35B1F1D5" w14:textId="77777777" w:rsidTr="00362958">
        <w:trPr>
          <w:trHeight w:val="170"/>
        </w:trPr>
        <w:tc>
          <w:tcPr>
            <w:tcW w:w="3365" w:type="pct"/>
            <w:hideMark/>
          </w:tcPr>
          <w:p w14:paraId="3DF675D5" w14:textId="77777777" w:rsidR="00066D9A" w:rsidRPr="00471CBA" w:rsidRDefault="00066D9A" w:rsidP="00066D9A">
            <w:pPr>
              <w:autoSpaceDE w:val="0"/>
              <w:autoSpaceDN w:val="0"/>
              <w:adjustRightInd w:val="0"/>
              <w:ind w:left="56"/>
              <w:rPr>
                <w:rFonts w:eastAsia="Arial Unicode MS"/>
                <w:szCs w:val="20"/>
              </w:rPr>
            </w:pPr>
            <w:r w:rsidRPr="00471CBA">
              <w:rPr>
                <w:rFonts w:eastAsia="Arial Unicode MS"/>
                <w:szCs w:val="20"/>
              </w:rPr>
              <w:t xml:space="preserve">Diğer </w:t>
            </w:r>
          </w:p>
        </w:tc>
        <w:tc>
          <w:tcPr>
            <w:tcW w:w="864" w:type="pct"/>
            <w:vAlign w:val="center"/>
          </w:tcPr>
          <w:p w14:paraId="33134BFD" w14:textId="1DD9B058" w:rsidR="00066D9A" w:rsidRPr="00471CBA" w:rsidRDefault="00066D9A" w:rsidP="00066D9A">
            <w:pPr>
              <w:ind w:right="127"/>
              <w:jc w:val="right"/>
              <w:rPr>
                <w:szCs w:val="20"/>
              </w:rPr>
            </w:pPr>
            <w:r w:rsidRPr="00471CBA">
              <w:rPr>
                <w:color w:val="000000"/>
                <w:szCs w:val="20"/>
              </w:rPr>
              <w:t>8.816</w:t>
            </w:r>
          </w:p>
        </w:tc>
        <w:tc>
          <w:tcPr>
            <w:tcW w:w="771" w:type="pct"/>
            <w:vAlign w:val="center"/>
          </w:tcPr>
          <w:p w14:paraId="0656FA10" w14:textId="444034FF" w:rsidR="00066D9A" w:rsidRPr="00471CBA" w:rsidRDefault="00066D9A" w:rsidP="00066D9A">
            <w:pPr>
              <w:ind w:right="127"/>
              <w:jc w:val="right"/>
              <w:rPr>
                <w:szCs w:val="20"/>
              </w:rPr>
            </w:pPr>
            <w:r w:rsidRPr="00471CBA">
              <w:rPr>
                <w:color w:val="000000"/>
                <w:szCs w:val="20"/>
              </w:rPr>
              <w:t>-</w:t>
            </w:r>
          </w:p>
        </w:tc>
      </w:tr>
      <w:tr w:rsidR="00066D9A" w:rsidRPr="00471CBA" w14:paraId="0D2A6F2C" w14:textId="77777777" w:rsidTr="00362958">
        <w:trPr>
          <w:trHeight w:val="170"/>
        </w:trPr>
        <w:tc>
          <w:tcPr>
            <w:tcW w:w="3365" w:type="pct"/>
            <w:tcBorders>
              <w:top w:val="nil"/>
              <w:left w:val="nil"/>
              <w:bottom w:val="single" w:sz="4" w:space="0" w:color="auto"/>
              <w:right w:val="nil"/>
            </w:tcBorders>
          </w:tcPr>
          <w:p w14:paraId="069736A6" w14:textId="77777777" w:rsidR="00066D9A" w:rsidRPr="00471CBA" w:rsidRDefault="00066D9A" w:rsidP="00066D9A">
            <w:pPr>
              <w:autoSpaceDE w:val="0"/>
              <w:autoSpaceDN w:val="0"/>
              <w:adjustRightInd w:val="0"/>
              <w:ind w:left="56"/>
              <w:rPr>
                <w:rFonts w:eastAsia="Arial Unicode MS"/>
                <w:szCs w:val="20"/>
              </w:rPr>
            </w:pPr>
          </w:p>
        </w:tc>
        <w:tc>
          <w:tcPr>
            <w:tcW w:w="864" w:type="pct"/>
            <w:tcBorders>
              <w:top w:val="nil"/>
              <w:left w:val="nil"/>
              <w:bottom w:val="single" w:sz="4" w:space="0" w:color="auto"/>
              <w:right w:val="nil"/>
            </w:tcBorders>
            <w:vAlign w:val="center"/>
          </w:tcPr>
          <w:p w14:paraId="72182F9B" w14:textId="77777777" w:rsidR="00066D9A" w:rsidRPr="00471CBA" w:rsidRDefault="00066D9A" w:rsidP="00066D9A">
            <w:pPr>
              <w:ind w:right="127"/>
              <w:jc w:val="right"/>
              <w:rPr>
                <w:szCs w:val="20"/>
              </w:rPr>
            </w:pPr>
          </w:p>
        </w:tc>
        <w:tc>
          <w:tcPr>
            <w:tcW w:w="771" w:type="pct"/>
            <w:tcBorders>
              <w:top w:val="nil"/>
              <w:left w:val="nil"/>
              <w:bottom w:val="single" w:sz="4" w:space="0" w:color="auto"/>
              <w:right w:val="nil"/>
            </w:tcBorders>
            <w:vAlign w:val="center"/>
          </w:tcPr>
          <w:p w14:paraId="24E73B15" w14:textId="77777777" w:rsidR="00066D9A" w:rsidRPr="00471CBA" w:rsidRDefault="00066D9A" w:rsidP="00066D9A">
            <w:pPr>
              <w:autoSpaceDE w:val="0"/>
              <w:autoSpaceDN w:val="0"/>
              <w:adjustRightInd w:val="0"/>
              <w:ind w:right="127"/>
              <w:jc w:val="right"/>
              <w:rPr>
                <w:szCs w:val="20"/>
              </w:rPr>
            </w:pPr>
          </w:p>
        </w:tc>
      </w:tr>
      <w:tr w:rsidR="00066D9A" w:rsidRPr="00471CBA" w14:paraId="1682A166" w14:textId="77777777" w:rsidTr="00362958">
        <w:trPr>
          <w:trHeight w:val="170"/>
        </w:trPr>
        <w:tc>
          <w:tcPr>
            <w:tcW w:w="3365" w:type="pct"/>
            <w:tcBorders>
              <w:top w:val="single" w:sz="4" w:space="0" w:color="auto"/>
              <w:left w:val="nil"/>
              <w:bottom w:val="single" w:sz="12" w:space="0" w:color="auto"/>
              <w:right w:val="nil"/>
            </w:tcBorders>
            <w:hideMark/>
          </w:tcPr>
          <w:p w14:paraId="2FF7A727" w14:textId="77777777" w:rsidR="00066D9A" w:rsidRPr="00471CBA" w:rsidRDefault="00066D9A" w:rsidP="00066D9A">
            <w:pPr>
              <w:autoSpaceDE w:val="0"/>
              <w:autoSpaceDN w:val="0"/>
              <w:adjustRightInd w:val="0"/>
              <w:ind w:left="56"/>
              <w:rPr>
                <w:rFonts w:eastAsia="Arial Unicode MS"/>
                <w:b/>
                <w:szCs w:val="20"/>
              </w:rPr>
            </w:pPr>
            <w:r w:rsidRPr="00471CBA">
              <w:rPr>
                <w:rFonts w:eastAsia="Arial Unicode MS"/>
                <w:b/>
                <w:szCs w:val="20"/>
              </w:rPr>
              <w:t>Toplam</w:t>
            </w:r>
          </w:p>
        </w:tc>
        <w:tc>
          <w:tcPr>
            <w:tcW w:w="864" w:type="pct"/>
            <w:tcBorders>
              <w:top w:val="single" w:sz="4" w:space="0" w:color="auto"/>
              <w:left w:val="nil"/>
              <w:bottom w:val="single" w:sz="12" w:space="0" w:color="auto"/>
              <w:right w:val="nil"/>
            </w:tcBorders>
            <w:vAlign w:val="center"/>
          </w:tcPr>
          <w:p w14:paraId="4AD45789" w14:textId="5AB33429" w:rsidR="00066D9A" w:rsidRPr="00471CBA" w:rsidRDefault="00066D9A" w:rsidP="00066D9A">
            <w:pPr>
              <w:ind w:right="127"/>
              <w:jc w:val="right"/>
              <w:rPr>
                <w:b/>
                <w:szCs w:val="20"/>
              </w:rPr>
            </w:pPr>
            <w:r w:rsidRPr="00471CBA">
              <w:rPr>
                <w:b/>
                <w:color w:val="000000"/>
                <w:szCs w:val="20"/>
              </w:rPr>
              <w:t>5.307.296</w:t>
            </w:r>
          </w:p>
        </w:tc>
        <w:tc>
          <w:tcPr>
            <w:tcW w:w="771" w:type="pct"/>
            <w:tcBorders>
              <w:top w:val="single" w:sz="4" w:space="0" w:color="auto"/>
              <w:left w:val="nil"/>
              <w:bottom w:val="single" w:sz="12" w:space="0" w:color="auto"/>
              <w:right w:val="nil"/>
            </w:tcBorders>
            <w:vAlign w:val="center"/>
          </w:tcPr>
          <w:p w14:paraId="4F2F10D7" w14:textId="179DE123" w:rsidR="00066D9A" w:rsidRPr="00471CBA" w:rsidRDefault="00066D9A" w:rsidP="00066D9A">
            <w:pPr>
              <w:ind w:right="127"/>
              <w:jc w:val="right"/>
              <w:rPr>
                <w:b/>
                <w:szCs w:val="20"/>
              </w:rPr>
            </w:pPr>
            <w:r w:rsidRPr="00471CBA">
              <w:rPr>
                <w:b/>
                <w:color w:val="000000"/>
                <w:szCs w:val="20"/>
              </w:rPr>
              <w:t>-</w:t>
            </w:r>
          </w:p>
        </w:tc>
      </w:tr>
    </w:tbl>
    <w:p w14:paraId="2C7673B0" w14:textId="5412FF19" w:rsidR="00A67FD6" w:rsidRPr="00471CBA" w:rsidRDefault="00A67FD6" w:rsidP="00A67FD6">
      <w:pPr>
        <w:spacing w:before="60"/>
        <w:ind w:left="142" w:hanging="114"/>
        <w:jc w:val="both"/>
        <w:rPr>
          <w:sz w:val="18"/>
          <w:szCs w:val="18"/>
        </w:rPr>
      </w:pPr>
      <w:r w:rsidRPr="00471CBA">
        <w:rPr>
          <w:sz w:val="18"/>
          <w:szCs w:val="18"/>
          <w:vertAlign w:val="superscript"/>
        </w:rPr>
        <w:t xml:space="preserve">(*) </w:t>
      </w:r>
      <w:r w:rsidRPr="00471CBA">
        <w:rPr>
          <w:sz w:val="18"/>
          <w:szCs w:val="18"/>
        </w:rPr>
        <w:t>AB ülkeleri, ABD ve Kanada dı</w:t>
      </w:r>
      <w:r w:rsidRPr="00471CBA">
        <w:rPr>
          <w:rFonts w:eastAsia="TimesNewRoman"/>
          <w:sz w:val="18"/>
          <w:szCs w:val="18"/>
        </w:rPr>
        <w:t>ş</w:t>
      </w:r>
      <w:r w:rsidRPr="00471CBA">
        <w:rPr>
          <w:sz w:val="18"/>
          <w:szCs w:val="18"/>
        </w:rPr>
        <w:t>ındaki OECD ülkeleri</w:t>
      </w:r>
    </w:p>
    <w:p w14:paraId="77D150E6" w14:textId="77777777" w:rsidR="00066D9A" w:rsidRPr="00471CBA" w:rsidRDefault="00066D9A" w:rsidP="00A67FD6">
      <w:pPr>
        <w:spacing w:before="60"/>
        <w:ind w:left="142" w:hanging="114"/>
        <w:jc w:val="both"/>
        <w:rPr>
          <w:szCs w:val="20"/>
        </w:rPr>
      </w:pPr>
    </w:p>
    <w:tbl>
      <w:tblPr>
        <w:tblW w:w="5000" w:type="pct"/>
        <w:tblCellMar>
          <w:left w:w="0" w:type="dxa"/>
          <w:right w:w="0" w:type="dxa"/>
        </w:tblCellMar>
        <w:tblLook w:val="04A0" w:firstRow="1" w:lastRow="0" w:firstColumn="1" w:lastColumn="0" w:noHBand="0" w:noVBand="1"/>
      </w:tblPr>
      <w:tblGrid>
        <w:gridCol w:w="6295"/>
        <w:gridCol w:w="1617"/>
        <w:gridCol w:w="1443"/>
      </w:tblGrid>
      <w:tr w:rsidR="00066D9A" w:rsidRPr="00471CBA" w14:paraId="376D41F1" w14:textId="77777777" w:rsidTr="00066D9A">
        <w:trPr>
          <w:trHeight w:val="170"/>
        </w:trPr>
        <w:tc>
          <w:tcPr>
            <w:tcW w:w="3365" w:type="pct"/>
            <w:tcBorders>
              <w:left w:val="nil"/>
              <w:right w:val="nil"/>
            </w:tcBorders>
          </w:tcPr>
          <w:p w14:paraId="78FB5996" w14:textId="77777777" w:rsidR="00066D9A" w:rsidRPr="00471CBA" w:rsidRDefault="00066D9A" w:rsidP="00C44D8F">
            <w:pPr>
              <w:autoSpaceDE w:val="0"/>
              <w:autoSpaceDN w:val="0"/>
              <w:adjustRightInd w:val="0"/>
              <w:rPr>
                <w:rFonts w:eastAsia="Arial Unicode MS"/>
                <w:b/>
                <w:szCs w:val="20"/>
              </w:rPr>
            </w:pPr>
          </w:p>
        </w:tc>
        <w:tc>
          <w:tcPr>
            <w:tcW w:w="1635" w:type="pct"/>
            <w:gridSpan w:val="2"/>
            <w:tcBorders>
              <w:left w:val="nil"/>
              <w:bottom w:val="single" w:sz="2" w:space="0" w:color="auto"/>
              <w:right w:val="nil"/>
            </w:tcBorders>
            <w:vAlign w:val="center"/>
            <w:hideMark/>
          </w:tcPr>
          <w:p w14:paraId="5DA8CF65" w14:textId="77777777" w:rsidR="00066D9A" w:rsidRPr="00471CBA" w:rsidRDefault="00066D9A" w:rsidP="00C44D8F">
            <w:pPr>
              <w:autoSpaceDE w:val="0"/>
              <w:autoSpaceDN w:val="0"/>
              <w:adjustRightInd w:val="0"/>
              <w:ind w:left="-162" w:right="-161"/>
              <w:jc w:val="center"/>
              <w:rPr>
                <w:rFonts w:eastAsia="Arial Unicode MS"/>
                <w:b/>
                <w:szCs w:val="20"/>
              </w:rPr>
            </w:pPr>
            <w:r w:rsidRPr="00471CBA">
              <w:rPr>
                <w:b/>
                <w:bCs/>
                <w:color w:val="000000"/>
                <w:szCs w:val="20"/>
              </w:rPr>
              <w:t>31 Aralık 2024</w:t>
            </w:r>
          </w:p>
        </w:tc>
      </w:tr>
      <w:tr w:rsidR="00066D9A" w:rsidRPr="00471CBA" w14:paraId="70F1A919" w14:textId="77777777" w:rsidTr="00066D9A">
        <w:trPr>
          <w:trHeight w:val="170"/>
        </w:trPr>
        <w:tc>
          <w:tcPr>
            <w:tcW w:w="3365" w:type="pct"/>
            <w:tcBorders>
              <w:left w:val="nil"/>
              <w:bottom w:val="single" w:sz="4" w:space="0" w:color="auto"/>
              <w:right w:val="nil"/>
            </w:tcBorders>
          </w:tcPr>
          <w:p w14:paraId="75878327" w14:textId="77777777" w:rsidR="00066D9A" w:rsidRPr="00471CBA" w:rsidRDefault="00066D9A" w:rsidP="00C44D8F">
            <w:pPr>
              <w:autoSpaceDE w:val="0"/>
              <w:autoSpaceDN w:val="0"/>
              <w:adjustRightInd w:val="0"/>
              <w:rPr>
                <w:rFonts w:eastAsia="Arial Unicode MS"/>
                <w:b/>
                <w:szCs w:val="20"/>
              </w:rPr>
            </w:pPr>
          </w:p>
        </w:tc>
        <w:tc>
          <w:tcPr>
            <w:tcW w:w="864" w:type="pct"/>
            <w:tcBorders>
              <w:top w:val="single" w:sz="2" w:space="0" w:color="auto"/>
              <w:left w:val="nil"/>
              <w:bottom w:val="single" w:sz="4" w:space="0" w:color="auto"/>
              <w:right w:val="nil"/>
            </w:tcBorders>
            <w:vAlign w:val="bottom"/>
            <w:hideMark/>
          </w:tcPr>
          <w:p w14:paraId="6ABF6FBE" w14:textId="77777777" w:rsidR="00066D9A" w:rsidRPr="00471CBA" w:rsidRDefault="00066D9A" w:rsidP="00C44D8F">
            <w:pPr>
              <w:autoSpaceDE w:val="0"/>
              <w:autoSpaceDN w:val="0"/>
              <w:adjustRightInd w:val="0"/>
              <w:ind w:right="40"/>
              <w:jc w:val="right"/>
              <w:rPr>
                <w:rFonts w:eastAsia="Arial Unicode MS"/>
                <w:b/>
                <w:szCs w:val="20"/>
              </w:rPr>
            </w:pPr>
            <w:r w:rsidRPr="00471CBA">
              <w:rPr>
                <w:rFonts w:eastAsia="Arial Unicode MS"/>
                <w:b/>
                <w:szCs w:val="20"/>
              </w:rPr>
              <w:t>Serbest tutar</w:t>
            </w:r>
          </w:p>
        </w:tc>
        <w:tc>
          <w:tcPr>
            <w:tcW w:w="771" w:type="pct"/>
            <w:tcBorders>
              <w:top w:val="single" w:sz="2" w:space="0" w:color="auto"/>
              <w:left w:val="nil"/>
              <w:bottom w:val="single" w:sz="4" w:space="0" w:color="auto"/>
              <w:right w:val="nil"/>
            </w:tcBorders>
            <w:vAlign w:val="bottom"/>
            <w:hideMark/>
          </w:tcPr>
          <w:p w14:paraId="4D2EC089" w14:textId="77777777" w:rsidR="00066D9A" w:rsidRPr="00471CBA" w:rsidRDefault="00066D9A" w:rsidP="00C44D8F">
            <w:pPr>
              <w:autoSpaceDE w:val="0"/>
              <w:autoSpaceDN w:val="0"/>
              <w:adjustRightInd w:val="0"/>
              <w:ind w:right="40"/>
              <w:jc w:val="right"/>
              <w:rPr>
                <w:rFonts w:eastAsia="Arial Unicode MS"/>
                <w:b/>
                <w:szCs w:val="20"/>
              </w:rPr>
            </w:pPr>
            <w:r w:rsidRPr="00471CBA">
              <w:rPr>
                <w:rFonts w:eastAsia="Arial Unicode MS"/>
                <w:b/>
                <w:szCs w:val="20"/>
              </w:rPr>
              <w:t>Serbest olmayan tutar</w:t>
            </w:r>
          </w:p>
        </w:tc>
      </w:tr>
      <w:tr w:rsidR="00066D9A" w:rsidRPr="00471CBA" w14:paraId="6E59B6A2" w14:textId="77777777" w:rsidTr="00066D9A">
        <w:trPr>
          <w:trHeight w:val="77"/>
        </w:trPr>
        <w:tc>
          <w:tcPr>
            <w:tcW w:w="3365" w:type="pct"/>
            <w:tcBorders>
              <w:top w:val="single" w:sz="4" w:space="0" w:color="auto"/>
              <w:left w:val="nil"/>
              <w:bottom w:val="nil"/>
              <w:right w:val="nil"/>
            </w:tcBorders>
          </w:tcPr>
          <w:p w14:paraId="01F1227D" w14:textId="77777777" w:rsidR="00066D9A" w:rsidRPr="00471CBA" w:rsidRDefault="00066D9A" w:rsidP="00C44D8F">
            <w:pPr>
              <w:autoSpaceDE w:val="0"/>
              <w:autoSpaceDN w:val="0"/>
              <w:adjustRightInd w:val="0"/>
              <w:rPr>
                <w:rFonts w:eastAsia="Arial Unicode MS"/>
                <w:szCs w:val="20"/>
              </w:rPr>
            </w:pPr>
          </w:p>
        </w:tc>
        <w:tc>
          <w:tcPr>
            <w:tcW w:w="864" w:type="pct"/>
            <w:tcBorders>
              <w:top w:val="single" w:sz="4" w:space="0" w:color="auto"/>
              <w:left w:val="nil"/>
              <w:bottom w:val="nil"/>
              <w:right w:val="nil"/>
            </w:tcBorders>
            <w:vAlign w:val="bottom"/>
          </w:tcPr>
          <w:p w14:paraId="1AC4D95F" w14:textId="77777777" w:rsidR="00066D9A" w:rsidRPr="00471CBA" w:rsidRDefault="00066D9A" w:rsidP="00C44D8F">
            <w:pPr>
              <w:autoSpaceDE w:val="0"/>
              <w:autoSpaceDN w:val="0"/>
              <w:adjustRightInd w:val="0"/>
              <w:ind w:right="40"/>
              <w:jc w:val="right"/>
              <w:rPr>
                <w:rFonts w:eastAsia="Arial Unicode MS"/>
                <w:szCs w:val="20"/>
              </w:rPr>
            </w:pPr>
          </w:p>
        </w:tc>
        <w:tc>
          <w:tcPr>
            <w:tcW w:w="771" w:type="pct"/>
            <w:tcBorders>
              <w:top w:val="single" w:sz="4" w:space="0" w:color="auto"/>
              <w:left w:val="nil"/>
              <w:bottom w:val="nil"/>
              <w:right w:val="nil"/>
            </w:tcBorders>
            <w:vAlign w:val="bottom"/>
          </w:tcPr>
          <w:p w14:paraId="0CD3E1B1" w14:textId="77777777" w:rsidR="00066D9A" w:rsidRPr="00471CBA" w:rsidRDefault="00066D9A" w:rsidP="00C44D8F">
            <w:pPr>
              <w:autoSpaceDE w:val="0"/>
              <w:autoSpaceDN w:val="0"/>
              <w:adjustRightInd w:val="0"/>
              <w:ind w:right="40"/>
              <w:jc w:val="right"/>
              <w:rPr>
                <w:rFonts w:eastAsia="Arial Unicode MS"/>
                <w:szCs w:val="20"/>
              </w:rPr>
            </w:pPr>
          </w:p>
        </w:tc>
      </w:tr>
      <w:tr w:rsidR="00066D9A" w:rsidRPr="00471CBA" w14:paraId="5A6B0E07" w14:textId="77777777" w:rsidTr="00066D9A">
        <w:trPr>
          <w:trHeight w:val="170"/>
        </w:trPr>
        <w:tc>
          <w:tcPr>
            <w:tcW w:w="3365" w:type="pct"/>
            <w:hideMark/>
          </w:tcPr>
          <w:p w14:paraId="02C050D4" w14:textId="77777777" w:rsidR="00066D9A" w:rsidRPr="00471CBA" w:rsidRDefault="00066D9A" w:rsidP="00C44D8F">
            <w:pPr>
              <w:autoSpaceDE w:val="0"/>
              <w:autoSpaceDN w:val="0"/>
              <w:adjustRightInd w:val="0"/>
              <w:ind w:left="56"/>
              <w:rPr>
                <w:rFonts w:eastAsia="Arial Unicode MS"/>
                <w:szCs w:val="20"/>
              </w:rPr>
            </w:pPr>
            <w:r w:rsidRPr="00471CBA">
              <w:rPr>
                <w:rFonts w:eastAsia="Arial Unicode MS"/>
                <w:szCs w:val="20"/>
              </w:rPr>
              <w:t>AB Ülkeleri</w:t>
            </w:r>
          </w:p>
        </w:tc>
        <w:tc>
          <w:tcPr>
            <w:tcW w:w="864" w:type="pct"/>
            <w:vAlign w:val="bottom"/>
          </w:tcPr>
          <w:p w14:paraId="26E97EC1" w14:textId="77777777" w:rsidR="00066D9A" w:rsidRPr="00471CBA" w:rsidRDefault="00066D9A" w:rsidP="00C44D8F">
            <w:pPr>
              <w:ind w:right="127"/>
              <w:jc w:val="right"/>
              <w:rPr>
                <w:szCs w:val="20"/>
              </w:rPr>
            </w:pPr>
            <w:r w:rsidRPr="00471CBA">
              <w:rPr>
                <w:szCs w:val="20"/>
              </w:rPr>
              <w:t>935.542</w:t>
            </w:r>
          </w:p>
        </w:tc>
        <w:tc>
          <w:tcPr>
            <w:tcW w:w="771" w:type="pct"/>
            <w:vAlign w:val="bottom"/>
          </w:tcPr>
          <w:p w14:paraId="66B06C42" w14:textId="77777777" w:rsidR="00066D9A" w:rsidRPr="00471CBA" w:rsidRDefault="00066D9A" w:rsidP="00C44D8F">
            <w:pPr>
              <w:ind w:right="127"/>
              <w:jc w:val="right"/>
              <w:rPr>
                <w:szCs w:val="20"/>
              </w:rPr>
            </w:pPr>
            <w:r w:rsidRPr="00471CBA">
              <w:rPr>
                <w:szCs w:val="20"/>
              </w:rPr>
              <w:t>-</w:t>
            </w:r>
          </w:p>
        </w:tc>
      </w:tr>
      <w:tr w:rsidR="00066D9A" w:rsidRPr="00471CBA" w14:paraId="5966AB8A" w14:textId="77777777" w:rsidTr="00066D9A">
        <w:trPr>
          <w:trHeight w:val="170"/>
        </w:trPr>
        <w:tc>
          <w:tcPr>
            <w:tcW w:w="3365" w:type="pct"/>
            <w:hideMark/>
          </w:tcPr>
          <w:p w14:paraId="58060E10" w14:textId="77777777" w:rsidR="00066D9A" w:rsidRPr="00471CBA" w:rsidRDefault="00066D9A" w:rsidP="00C44D8F">
            <w:pPr>
              <w:autoSpaceDE w:val="0"/>
              <w:autoSpaceDN w:val="0"/>
              <w:adjustRightInd w:val="0"/>
              <w:ind w:left="56"/>
              <w:rPr>
                <w:rFonts w:eastAsia="Arial Unicode MS"/>
                <w:szCs w:val="20"/>
              </w:rPr>
            </w:pPr>
            <w:r w:rsidRPr="00471CBA">
              <w:rPr>
                <w:rFonts w:eastAsia="Arial Unicode MS"/>
                <w:szCs w:val="20"/>
              </w:rPr>
              <w:t>ABD, Kanada</w:t>
            </w:r>
          </w:p>
        </w:tc>
        <w:tc>
          <w:tcPr>
            <w:tcW w:w="864" w:type="pct"/>
            <w:vAlign w:val="bottom"/>
          </w:tcPr>
          <w:p w14:paraId="7B566EC0" w14:textId="77777777" w:rsidR="00066D9A" w:rsidRPr="00471CBA" w:rsidRDefault="00066D9A" w:rsidP="00C44D8F">
            <w:pPr>
              <w:ind w:right="127"/>
              <w:jc w:val="right"/>
              <w:rPr>
                <w:szCs w:val="20"/>
              </w:rPr>
            </w:pPr>
            <w:r w:rsidRPr="00471CBA">
              <w:rPr>
                <w:szCs w:val="20"/>
              </w:rPr>
              <w:t>-</w:t>
            </w:r>
          </w:p>
        </w:tc>
        <w:tc>
          <w:tcPr>
            <w:tcW w:w="771" w:type="pct"/>
            <w:vAlign w:val="bottom"/>
          </w:tcPr>
          <w:p w14:paraId="3DE3AE04" w14:textId="77777777" w:rsidR="00066D9A" w:rsidRPr="00471CBA" w:rsidRDefault="00066D9A" w:rsidP="00C44D8F">
            <w:pPr>
              <w:ind w:right="127"/>
              <w:jc w:val="right"/>
              <w:rPr>
                <w:szCs w:val="20"/>
              </w:rPr>
            </w:pPr>
            <w:r w:rsidRPr="00471CBA">
              <w:rPr>
                <w:szCs w:val="20"/>
              </w:rPr>
              <w:t>-</w:t>
            </w:r>
          </w:p>
        </w:tc>
      </w:tr>
      <w:tr w:rsidR="00066D9A" w:rsidRPr="00471CBA" w14:paraId="4F769318" w14:textId="77777777" w:rsidTr="00066D9A">
        <w:trPr>
          <w:trHeight w:val="170"/>
        </w:trPr>
        <w:tc>
          <w:tcPr>
            <w:tcW w:w="3365" w:type="pct"/>
            <w:hideMark/>
          </w:tcPr>
          <w:p w14:paraId="52CFC28B" w14:textId="77777777" w:rsidR="00066D9A" w:rsidRPr="00471CBA" w:rsidRDefault="00066D9A" w:rsidP="00C44D8F">
            <w:pPr>
              <w:autoSpaceDE w:val="0"/>
              <w:autoSpaceDN w:val="0"/>
              <w:adjustRightInd w:val="0"/>
              <w:ind w:left="56"/>
              <w:rPr>
                <w:rFonts w:eastAsia="Arial Unicode MS"/>
                <w:szCs w:val="20"/>
              </w:rPr>
            </w:pPr>
            <w:r w:rsidRPr="00471CBA">
              <w:rPr>
                <w:rFonts w:eastAsia="Arial Unicode MS"/>
                <w:szCs w:val="20"/>
              </w:rPr>
              <w:t xml:space="preserve">OECD Ülkeleri </w:t>
            </w:r>
            <w:r w:rsidRPr="00471CBA">
              <w:rPr>
                <w:rFonts w:eastAsia="Arial Unicode MS"/>
                <w:szCs w:val="20"/>
                <w:vertAlign w:val="superscript"/>
              </w:rPr>
              <w:t>(*)</w:t>
            </w:r>
          </w:p>
        </w:tc>
        <w:tc>
          <w:tcPr>
            <w:tcW w:w="864" w:type="pct"/>
            <w:vAlign w:val="bottom"/>
          </w:tcPr>
          <w:p w14:paraId="0767408A" w14:textId="77777777" w:rsidR="00066D9A" w:rsidRPr="00471CBA" w:rsidRDefault="00066D9A" w:rsidP="00C44D8F">
            <w:pPr>
              <w:ind w:right="127"/>
              <w:jc w:val="right"/>
              <w:rPr>
                <w:szCs w:val="20"/>
              </w:rPr>
            </w:pPr>
            <w:r w:rsidRPr="00471CBA">
              <w:rPr>
                <w:szCs w:val="20"/>
              </w:rPr>
              <w:t>129.633</w:t>
            </w:r>
          </w:p>
        </w:tc>
        <w:tc>
          <w:tcPr>
            <w:tcW w:w="771" w:type="pct"/>
            <w:vAlign w:val="bottom"/>
          </w:tcPr>
          <w:p w14:paraId="1F23B325" w14:textId="77777777" w:rsidR="00066D9A" w:rsidRPr="00471CBA" w:rsidRDefault="00066D9A" w:rsidP="00C44D8F">
            <w:pPr>
              <w:ind w:right="127"/>
              <w:jc w:val="right"/>
              <w:rPr>
                <w:szCs w:val="20"/>
              </w:rPr>
            </w:pPr>
            <w:r w:rsidRPr="00471CBA">
              <w:rPr>
                <w:szCs w:val="20"/>
              </w:rPr>
              <w:t>-</w:t>
            </w:r>
          </w:p>
        </w:tc>
      </w:tr>
      <w:tr w:rsidR="00066D9A" w:rsidRPr="00471CBA" w14:paraId="0387BF08" w14:textId="77777777" w:rsidTr="00066D9A">
        <w:trPr>
          <w:trHeight w:val="170"/>
        </w:trPr>
        <w:tc>
          <w:tcPr>
            <w:tcW w:w="3365" w:type="pct"/>
            <w:hideMark/>
          </w:tcPr>
          <w:p w14:paraId="12F5DF68" w14:textId="77777777" w:rsidR="00066D9A" w:rsidRPr="00471CBA" w:rsidRDefault="00066D9A" w:rsidP="00C44D8F">
            <w:pPr>
              <w:autoSpaceDE w:val="0"/>
              <w:autoSpaceDN w:val="0"/>
              <w:adjustRightInd w:val="0"/>
              <w:ind w:left="56"/>
              <w:rPr>
                <w:rFonts w:eastAsia="Arial Unicode MS"/>
                <w:szCs w:val="20"/>
              </w:rPr>
            </w:pPr>
            <w:r w:rsidRPr="00471CBA">
              <w:rPr>
                <w:rFonts w:eastAsia="Arial Unicode MS"/>
                <w:szCs w:val="20"/>
              </w:rPr>
              <w:t>Kıyı Bankacılığı Bölgeleri</w:t>
            </w:r>
          </w:p>
        </w:tc>
        <w:tc>
          <w:tcPr>
            <w:tcW w:w="864" w:type="pct"/>
            <w:vAlign w:val="bottom"/>
          </w:tcPr>
          <w:p w14:paraId="7D886188" w14:textId="77777777" w:rsidR="00066D9A" w:rsidRPr="00471CBA" w:rsidRDefault="00066D9A" w:rsidP="00C44D8F">
            <w:pPr>
              <w:ind w:right="127"/>
              <w:jc w:val="right"/>
              <w:rPr>
                <w:szCs w:val="20"/>
              </w:rPr>
            </w:pPr>
            <w:r w:rsidRPr="00471CBA">
              <w:rPr>
                <w:szCs w:val="20"/>
              </w:rPr>
              <w:t>-</w:t>
            </w:r>
          </w:p>
        </w:tc>
        <w:tc>
          <w:tcPr>
            <w:tcW w:w="771" w:type="pct"/>
            <w:vAlign w:val="bottom"/>
          </w:tcPr>
          <w:p w14:paraId="7412ACEB" w14:textId="77777777" w:rsidR="00066D9A" w:rsidRPr="00471CBA" w:rsidRDefault="00066D9A" w:rsidP="00C44D8F">
            <w:pPr>
              <w:ind w:right="127"/>
              <w:jc w:val="right"/>
              <w:rPr>
                <w:szCs w:val="20"/>
              </w:rPr>
            </w:pPr>
            <w:r w:rsidRPr="00471CBA">
              <w:rPr>
                <w:szCs w:val="20"/>
              </w:rPr>
              <w:t>-</w:t>
            </w:r>
          </w:p>
        </w:tc>
      </w:tr>
      <w:tr w:rsidR="00066D9A" w:rsidRPr="00471CBA" w14:paraId="1623D810" w14:textId="77777777" w:rsidTr="00066D9A">
        <w:trPr>
          <w:trHeight w:val="170"/>
        </w:trPr>
        <w:tc>
          <w:tcPr>
            <w:tcW w:w="3365" w:type="pct"/>
            <w:hideMark/>
          </w:tcPr>
          <w:p w14:paraId="09B849D6" w14:textId="77777777" w:rsidR="00066D9A" w:rsidRPr="00471CBA" w:rsidRDefault="00066D9A" w:rsidP="00C44D8F">
            <w:pPr>
              <w:autoSpaceDE w:val="0"/>
              <w:autoSpaceDN w:val="0"/>
              <w:adjustRightInd w:val="0"/>
              <w:ind w:left="56"/>
              <w:rPr>
                <w:rFonts w:eastAsia="Arial Unicode MS"/>
                <w:szCs w:val="20"/>
              </w:rPr>
            </w:pPr>
            <w:r w:rsidRPr="00471CBA">
              <w:rPr>
                <w:rFonts w:eastAsia="Arial Unicode MS"/>
                <w:szCs w:val="20"/>
              </w:rPr>
              <w:t xml:space="preserve">Diğer </w:t>
            </w:r>
          </w:p>
        </w:tc>
        <w:tc>
          <w:tcPr>
            <w:tcW w:w="864" w:type="pct"/>
            <w:vAlign w:val="bottom"/>
          </w:tcPr>
          <w:p w14:paraId="7DF5457E" w14:textId="77777777" w:rsidR="00066D9A" w:rsidRPr="00471CBA" w:rsidRDefault="00066D9A" w:rsidP="00C44D8F">
            <w:pPr>
              <w:ind w:right="127"/>
              <w:jc w:val="right"/>
              <w:rPr>
                <w:szCs w:val="20"/>
              </w:rPr>
            </w:pPr>
            <w:r w:rsidRPr="00471CBA">
              <w:rPr>
                <w:szCs w:val="20"/>
              </w:rPr>
              <w:t>1.878</w:t>
            </w:r>
          </w:p>
        </w:tc>
        <w:tc>
          <w:tcPr>
            <w:tcW w:w="771" w:type="pct"/>
            <w:vAlign w:val="bottom"/>
          </w:tcPr>
          <w:p w14:paraId="4578002A" w14:textId="77777777" w:rsidR="00066D9A" w:rsidRPr="00471CBA" w:rsidRDefault="00066D9A" w:rsidP="00C44D8F">
            <w:pPr>
              <w:ind w:right="127"/>
              <w:jc w:val="right"/>
              <w:rPr>
                <w:szCs w:val="20"/>
              </w:rPr>
            </w:pPr>
            <w:r w:rsidRPr="00471CBA">
              <w:rPr>
                <w:szCs w:val="20"/>
              </w:rPr>
              <w:t>-</w:t>
            </w:r>
          </w:p>
        </w:tc>
      </w:tr>
      <w:tr w:rsidR="00066D9A" w:rsidRPr="00471CBA" w14:paraId="6AF8326B" w14:textId="77777777" w:rsidTr="00066D9A">
        <w:trPr>
          <w:trHeight w:val="170"/>
        </w:trPr>
        <w:tc>
          <w:tcPr>
            <w:tcW w:w="3365" w:type="pct"/>
            <w:tcBorders>
              <w:top w:val="nil"/>
              <w:left w:val="nil"/>
              <w:bottom w:val="single" w:sz="4" w:space="0" w:color="auto"/>
              <w:right w:val="nil"/>
            </w:tcBorders>
          </w:tcPr>
          <w:p w14:paraId="7824A3F1" w14:textId="77777777" w:rsidR="00066D9A" w:rsidRPr="00471CBA" w:rsidRDefault="00066D9A" w:rsidP="00C44D8F">
            <w:pPr>
              <w:autoSpaceDE w:val="0"/>
              <w:autoSpaceDN w:val="0"/>
              <w:adjustRightInd w:val="0"/>
              <w:ind w:left="56"/>
              <w:rPr>
                <w:rFonts w:eastAsia="Arial Unicode MS"/>
                <w:szCs w:val="20"/>
              </w:rPr>
            </w:pPr>
          </w:p>
        </w:tc>
        <w:tc>
          <w:tcPr>
            <w:tcW w:w="864" w:type="pct"/>
            <w:tcBorders>
              <w:top w:val="nil"/>
              <w:left w:val="nil"/>
              <w:bottom w:val="single" w:sz="4" w:space="0" w:color="auto"/>
              <w:right w:val="nil"/>
            </w:tcBorders>
            <w:vAlign w:val="bottom"/>
          </w:tcPr>
          <w:p w14:paraId="30B2555B" w14:textId="77777777" w:rsidR="00066D9A" w:rsidRPr="00471CBA" w:rsidRDefault="00066D9A" w:rsidP="00C44D8F">
            <w:pPr>
              <w:ind w:right="127"/>
              <w:jc w:val="right"/>
              <w:rPr>
                <w:szCs w:val="20"/>
              </w:rPr>
            </w:pPr>
          </w:p>
        </w:tc>
        <w:tc>
          <w:tcPr>
            <w:tcW w:w="771" w:type="pct"/>
            <w:tcBorders>
              <w:top w:val="nil"/>
              <w:left w:val="nil"/>
              <w:bottom w:val="single" w:sz="4" w:space="0" w:color="auto"/>
              <w:right w:val="nil"/>
            </w:tcBorders>
            <w:vAlign w:val="bottom"/>
          </w:tcPr>
          <w:p w14:paraId="448140D3" w14:textId="77777777" w:rsidR="00066D9A" w:rsidRPr="00471CBA" w:rsidRDefault="00066D9A" w:rsidP="00C44D8F">
            <w:pPr>
              <w:autoSpaceDE w:val="0"/>
              <w:autoSpaceDN w:val="0"/>
              <w:adjustRightInd w:val="0"/>
              <w:ind w:right="127"/>
              <w:jc w:val="right"/>
              <w:rPr>
                <w:szCs w:val="20"/>
              </w:rPr>
            </w:pPr>
          </w:p>
        </w:tc>
      </w:tr>
      <w:tr w:rsidR="00066D9A" w:rsidRPr="00471CBA" w14:paraId="49ED8CC3" w14:textId="77777777" w:rsidTr="00066D9A">
        <w:trPr>
          <w:trHeight w:val="170"/>
        </w:trPr>
        <w:tc>
          <w:tcPr>
            <w:tcW w:w="3365" w:type="pct"/>
            <w:tcBorders>
              <w:top w:val="single" w:sz="4" w:space="0" w:color="auto"/>
              <w:left w:val="nil"/>
              <w:bottom w:val="single" w:sz="12" w:space="0" w:color="auto"/>
              <w:right w:val="nil"/>
            </w:tcBorders>
            <w:hideMark/>
          </w:tcPr>
          <w:p w14:paraId="4EB3164D" w14:textId="77777777" w:rsidR="00066D9A" w:rsidRPr="00471CBA" w:rsidRDefault="00066D9A" w:rsidP="00C44D8F">
            <w:pPr>
              <w:autoSpaceDE w:val="0"/>
              <w:autoSpaceDN w:val="0"/>
              <w:adjustRightInd w:val="0"/>
              <w:ind w:left="56"/>
              <w:rPr>
                <w:rFonts w:eastAsia="Arial Unicode MS"/>
                <w:b/>
                <w:szCs w:val="20"/>
              </w:rPr>
            </w:pPr>
            <w:r w:rsidRPr="00471CBA">
              <w:rPr>
                <w:rFonts w:eastAsia="Arial Unicode MS"/>
                <w:b/>
                <w:szCs w:val="20"/>
              </w:rPr>
              <w:t>Toplam</w:t>
            </w:r>
          </w:p>
        </w:tc>
        <w:tc>
          <w:tcPr>
            <w:tcW w:w="864" w:type="pct"/>
            <w:tcBorders>
              <w:top w:val="single" w:sz="4" w:space="0" w:color="auto"/>
              <w:left w:val="nil"/>
              <w:bottom w:val="single" w:sz="12" w:space="0" w:color="auto"/>
              <w:right w:val="nil"/>
            </w:tcBorders>
            <w:vAlign w:val="bottom"/>
          </w:tcPr>
          <w:p w14:paraId="476B634F" w14:textId="77777777" w:rsidR="00066D9A" w:rsidRPr="00471CBA" w:rsidRDefault="00066D9A" w:rsidP="00C44D8F">
            <w:pPr>
              <w:ind w:right="127"/>
              <w:jc w:val="right"/>
              <w:rPr>
                <w:b/>
                <w:szCs w:val="20"/>
              </w:rPr>
            </w:pPr>
            <w:r w:rsidRPr="00471CBA">
              <w:rPr>
                <w:b/>
                <w:szCs w:val="20"/>
              </w:rPr>
              <w:t>1.067.053</w:t>
            </w:r>
          </w:p>
        </w:tc>
        <w:tc>
          <w:tcPr>
            <w:tcW w:w="771" w:type="pct"/>
            <w:tcBorders>
              <w:top w:val="single" w:sz="4" w:space="0" w:color="auto"/>
              <w:left w:val="nil"/>
              <w:bottom w:val="single" w:sz="12" w:space="0" w:color="auto"/>
              <w:right w:val="nil"/>
            </w:tcBorders>
            <w:vAlign w:val="bottom"/>
          </w:tcPr>
          <w:p w14:paraId="7DCDB7A5" w14:textId="77777777" w:rsidR="00066D9A" w:rsidRPr="00471CBA" w:rsidRDefault="00066D9A" w:rsidP="00C44D8F">
            <w:pPr>
              <w:ind w:right="127"/>
              <w:jc w:val="right"/>
              <w:rPr>
                <w:b/>
                <w:szCs w:val="20"/>
              </w:rPr>
            </w:pPr>
            <w:r w:rsidRPr="00471CBA">
              <w:rPr>
                <w:b/>
                <w:szCs w:val="20"/>
              </w:rPr>
              <w:t>-</w:t>
            </w:r>
          </w:p>
        </w:tc>
      </w:tr>
    </w:tbl>
    <w:p w14:paraId="69A04B03" w14:textId="77777777" w:rsidR="00066D9A" w:rsidRPr="00471CBA" w:rsidRDefault="00066D9A" w:rsidP="00066D9A">
      <w:pPr>
        <w:spacing w:before="60"/>
        <w:ind w:left="142" w:hanging="114"/>
        <w:jc w:val="both"/>
        <w:rPr>
          <w:sz w:val="18"/>
          <w:szCs w:val="18"/>
        </w:rPr>
      </w:pPr>
      <w:r w:rsidRPr="00471CBA">
        <w:rPr>
          <w:sz w:val="18"/>
          <w:szCs w:val="18"/>
          <w:vertAlign w:val="superscript"/>
        </w:rPr>
        <w:t xml:space="preserve">(*) </w:t>
      </w:r>
      <w:r w:rsidRPr="00471CBA">
        <w:rPr>
          <w:sz w:val="18"/>
          <w:szCs w:val="18"/>
        </w:rPr>
        <w:t>AB ülkeleri, ABD ve Kanada dı</w:t>
      </w:r>
      <w:r w:rsidRPr="00471CBA">
        <w:rPr>
          <w:rFonts w:eastAsia="TimesNewRoman"/>
          <w:sz w:val="18"/>
          <w:szCs w:val="18"/>
        </w:rPr>
        <w:t>ş</w:t>
      </w:r>
      <w:r w:rsidRPr="00471CBA">
        <w:rPr>
          <w:sz w:val="18"/>
          <w:szCs w:val="18"/>
        </w:rPr>
        <w:t>ındaki OECD ülkeleri</w:t>
      </w:r>
    </w:p>
    <w:p w14:paraId="389A9BEB" w14:textId="5A9F3AA8" w:rsidR="000A45F8" w:rsidRPr="00471CBA" w:rsidRDefault="000A45F8">
      <w:pPr>
        <w:rPr>
          <w:szCs w:val="20"/>
        </w:rPr>
      </w:pPr>
      <w:r w:rsidRPr="00471CBA">
        <w:rPr>
          <w:szCs w:val="20"/>
        </w:rPr>
        <w:br w:type="page"/>
      </w:r>
    </w:p>
    <w:p w14:paraId="0F24360B" w14:textId="77777777" w:rsidR="000A45F8" w:rsidRPr="00471CBA" w:rsidRDefault="000A45F8" w:rsidP="000A45F8">
      <w:pPr>
        <w:widowControl w:val="0"/>
        <w:ind w:left="720" w:hanging="720"/>
        <w:jc w:val="both"/>
        <w:rPr>
          <w:b/>
          <w:szCs w:val="20"/>
        </w:rPr>
      </w:pPr>
      <w:r w:rsidRPr="00471CBA">
        <w:rPr>
          <w:b/>
          <w:szCs w:val="20"/>
        </w:rPr>
        <w:t>KONSOLİDE OLMAYAN FİNANSAL TABLOLARA İLİŞKİN AÇIKLAMA VE DİPNOTLAR (Devamı)</w:t>
      </w:r>
    </w:p>
    <w:p w14:paraId="7B39F512" w14:textId="77777777" w:rsidR="000A45F8" w:rsidRPr="00471CBA" w:rsidRDefault="000A45F8" w:rsidP="000A45F8">
      <w:pPr>
        <w:pStyle w:val="ListeParagraf"/>
        <w:widowControl w:val="0"/>
        <w:ind w:left="14" w:right="452"/>
        <w:jc w:val="both"/>
        <w:rPr>
          <w:b/>
          <w:szCs w:val="20"/>
        </w:rPr>
      </w:pPr>
    </w:p>
    <w:p w14:paraId="797BB2C4" w14:textId="77777777" w:rsidR="000A45F8" w:rsidRPr="00471CBA" w:rsidRDefault="000A45F8" w:rsidP="008459A9">
      <w:pPr>
        <w:pStyle w:val="ListeParagraf"/>
        <w:widowControl w:val="0"/>
        <w:numPr>
          <w:ilvl w:val="0"/>
          <w:numId w:val="103"/>
        </w:numPr>
        <w:ind w:left="709"/>
        <w:jc w:val="both"/>
        <w:rPr>
          <w:b/>
          <w:szCs w:val="20"/>
        </w:rPr>
      </w:pPr>
      <w:r w:rsidRPr="00471CBA">
        <w:rPr>
          <w:b/>
          <w:szCs w:val="20"/>
        </w:rPr>
        <w:t>BİLANÇONUN AKTİF HESAPLARINA İLİŞKİN AÇIKLAMA VE DİPNOTLAR (Devamı)</w:t>
      </w:r>
    </w:p>
    <w:p w14:paraId="299A295B" w14:textId="77777777" w:rsidR="001664DE" w:rsidRPr="00471CBA" w:rsidRDefault="001664DE" w:rsidP="00647F12">
      <w:pPr>
        <w:rPr>
          <w:szCs w:val="20"/>
        </w:rPr>
      </w:pPr>
    </w:p>
    <w:p w14:paraId="3AAE5057" w14:textId="03F7CB50" w:rsidR="00894C14" w:rsidRPr="00471CBA" w:rsidRDefault="00894C14" w:rsidP="00894C14">
      <w:pPr>
        <w:pStyle w:val="ListeParagraf"/>
        <w:widowControl w:val="0"/>
        <w:numPr>
          <w:ilvl w:val="0"/>
          <w:numId w:val="31"/>
        </w:numPr>
        <w:ind w:left="851" w:hanging="851"/>
        <w:jc w:val="both"/>
        <w:rPr>
          <w:b/>
          <w:szCs w:val="20"/>
        </w:rPr>
      </w:pPr>
      <w:bookmarkStart w:id="88" w:name="_Hlk99380147"/>
      <w:r w:rsidRPr="00471CBA">
        <w:rPr>
          <w:b/>
          <w:szCs w:val="20"/>
        </w:rPr>
        <w:t xml:space="preserve">Gerçeğe uygun değer farkı </w:t>
      </w:r>
      <w:r w:rsidR="001F2A1F" w:rsidRPr="00471CBA">
        <w:rPr>
          <w:b/>
          <w:szCs w:val="20"/>
        </w:rPr>
        <w:t>kâr</w:t>
      </w:r>
      <w:r w:rsidRPr="00471CBA">
        <w:rPr>
          <w:b/>
          <w:szCs w:val="20"/>
        </w:rPr>
        <w:t xml:space="preserve"> zarara yansıtılan finansal varlıklar: </w:t>
      </w:r>
    </w:p>
    <w:p w14:paraId="4C4CDA1E" w14:textId="77777777" w:rsidR="00894C14" w:rsidRPr="00471CBA" w:rsidRDefault="00894C14" w:rsidP="00894C14">
      <w:pPr>
        <w:pStyle w:val="ListeParagraf"/>
        <w:widowControl w:val="0"/>
        <w:ind w:left="-3"/>
        <w:jc w:val="both"/>
        <w:rPr>
          <w:b/>
          <w:szCs w:val="20"/>
        </w:rPr>
      </w:pPr>
    </w:p>
    <w:p w14:paraId="3B5899CC" w14:textId="77777777" w:rsidR="00894C14" w:rsidRPr="00471CBA" w:rsidRDefault="00894C14" w:rsidP="00894C14">
      <w:pPr>
        <w:pStyle w:val="GvdeMetniGirintisi"/>
        <w:widowControl w:val="0"/>
        <w:numPr>
          <w:ilvl w:val="2"/>
          <w:numId w:val="3"/>
        </w:numPr>
        <w:tabs>
          <w:tab w:val="clear" w:pos="1980"/>
        </w:tabs>
        <w:ind w:left="1276" w:hanging="425"/>
        <w:rPr>
          <w:b/>
          <w:szCs w:val="20"/>
        </w:rPr>
      </w:pPr>
      <w:r w:rsidRPr="00471CBA">
        <w:rPr>
          <w:b/>
          <w:szCs w:val="20"/>
        </w:rPr>
        <w:t>Gerçeğe uygun değer farkı kâr/zarara yansıtılan finansal varlıklardan repo işlemlerine konu olanlar ve teminata verilen/bloke edilenlere ilişkin bilgiler:</w:t>
      </w:r>
    </w:p>
    <w:p w14:paraId="51110C56" w14:textId="77777777" w:rsidR="00894C14" w:rsidRPr="00471CBA" w:rsidRDefault="00894C14" w:rsidP="00894C14">
      <w:pPr>
        <w:pStyle w:val="GvdeMetniGirintisi"/>
        <w:widowControl w:val="0"/>
        <w:ind w:left="1980" w:firstLine="0"/>
        <w:rPr>
          <w:b/>
          <w:szCs w:val="20"/>
        </w:rPr>
      </w:pPr>
    </w:p>
    <w:p w14:paraId="0DF70AB8" w14:textId="5EDFF062" w:rsidR="009A4BCA" w:rsidRPr="00471CBA" w:rsidRDefault="00F63131" w:rsidP="009A4BCA">
      <w:pPr>
        <w:widowControl w:val="0"/>
        <w:ind w:left="851"/>
        <w:jc w:val="both"/>
        <w:rPr>
          <w:szCs w:val="20"/>
        </w:rPr>
      </w:pPr>
      <w:r w:rsidRPr="00471CBA">
        <w:rPr>
          <w:szCs w:val="20"/>
        </w:rPr>
        <w:t xml:space="preserve">31 Aralık </w:t>
      </w:r>
      <w:r w:rsidR="00932390" w:rsidRPr="00471CBA">
        <w:rPr>
          <w:szCs w:val="20"/>
        </w:rPr>
        <w:t>2025</w:t>
      </w:r>
      <w:r w:rsidR="009A4BCA" w:rsidRPr="00471CBA">
        <w:rPr>
          <w:szCs w:val="20"/>
        </w:rPr>
        <w:t xml:space="preserve"> tarihi itibarıyla Banka’nın geri alım vaadi ile satıma konu olan nominal yatırımı bulunmamaktadır (</w:t>
      </w:r>
      <w:r w:rsidR="00E44BEE" w:rsidRPr="00471CBA">
        <w:rPr>
          <w:szCs w:val="20"/>
        </w:rPr>
        <w:t>31 Aralık 2024</w:t>
      </w:r>
      <w:r w:rsidR="009A4BCA" w:rsidRPr="00471CBA">
        <w:rPr>
          <w:szCs w:val="20"/>
        </w:rPr>
        <w:t>: Bulunmamaktadır).</w:t>
      </w:r>
    </w:p>
    <w:p w14:paraId="5962DD74" w14:textId="77777777" w:rsidR="009A4BCA" w:rsidRPr="00471CBA" w:rsidRDefault="009A4BCA" w:rsidP="009A4BCA">
      <w:pPr>
        <w:widowControl w:val="0"/>
        <w:ind w:left="851"/>
        <w:jc w:val="both"/>
        <w:rPr>
          <w:szCs w:val="20"/>
        </w:rPr>
      </w:pPr>
    </w:p>
    <w:p w14:paraId="40D69637" w14:textId="621F4CC2" w:rsidR="009A4BCA" w:rsidRPr="00471CBA" w:rsidRDefault="00F63131" w:rsidP="009A4BCA">
      <w:pPr>
        <w:widowControl w:val="0"/>
        <w:ind w:left="851"/>
        <w:jc w:val="both"/>
        <w:rPr>
          <w:szCs w:val="20"/>
        </w:rPr>
      </w:pPr>
      <w:r w:rsidRPr="00471CBA">
        <w:rPr>
          <w:szCs w:val="20"/>
        </w:rPr>
        <w:t xml:space="preserve">31 Aralık </w:t>
      </w:r>
      <w:r w:rsidR="00932390" w:rsidRPr="00471CBA">
        <w:rPr>
          <w:szCs w:val="20"/>
        </w:rPr>
        <w:t>2025</w:t>
      </w:r>
      <w:r w:rsidR="009A4BCA" w:rsidRPr="00471CBA">
        <w:rPr>
          <w:szCs w:val="20"/>
        </w:rPr>
        <w:t xml:space="preserve"> tarihi itibarıyla teminata verilen/bloke edilen nominal yatırımı bulunmamaktadır </w:t>
      </w:r>
      <w:r w:rsidR="009A4BCA" w:rsidRPr="00471CBA">
        <w:rPr>
          <w:szCs w:val="20"/>
        </w:rPr>
        <w:br/>
        <w:t>(</w:t>
      </w:r>
      <w:r w:rsidR="00E44BEE" w:rsidRPr="00471CBA">
        <w:rPr>
          <w:szCs w:val="20"/>
        </w:rPr>
        <w:t>31 Aralık 2024</w:t>
      </w:r>
      <w:r w:rsidR="009A4BCA" w:rsidRPr="00471CBA">
        <w:rPr>
          <w:szCs w:val="20"/>
        </w:rPr>
        <w:t>: Bulunmamaktadır).</w:t>
      </w:r>
    </w:p>
    <w:p w14:paraId="3BE2B22B" w14:textId="77777777" w:rsidR="00894C14" w:rsidRPr="00471CBA" w:rsidRDefault="00894C14" w:rsidP="00894C14">
      <w:pPr>
        <w:widowControl w:val="0"/>
        <w:jc w:val="both"/>
        <w:rPr>
          <w:color w:val="000000"/>
          <w:szCs w:val="20"/>
        </w:rPr>
      </w:pPr>
    </w:p>
    <w:bookmarkEnd w:id="88"/>
    <w:p w14:paraId="3BAE03C0" w14:textId="77777777" w:rsidR="00894C14" w:rsidRPr="00471CBA" w:rsidRDefault="00894C14" w:rsidP="00894C14">
      <w:pPr>
        <w:pStyle w:val="GvdeMetniGirintisi"/>
        <w:widowControl w:val="0"/>
        <w:numPr>
          <w:ilvl w:val="2"/>
          <w:numId w:val="3"/>
        </w:numPr>
        <w:tabs>
          <w:tab w:val="clear" w:pos="1980"/>
        </w:tabs>
        <w:ind w:left="1276" w:hanging="425"/>
        <w:rPr>
          <w:b/>
          <w:szCs w:val="20"/>
        </w:rPr>
      </w:pPr>
      <w:r w:rsidRPr="00471CBA">
        <w:rPr>
          <w:b/>
          <w:szCs w:val="20"/>
        </w:rPr>
        <w:t xml:space="preserve">Gerçeğe uygun değer farkı </w:t>
      </w:r>
      <w:r w:rsidRPr="00471CBA">
        <w:rPr>
          <w:b/>
          <w:color w:val="000000" w:themeColor="text1"/>
          <w:szCs w:val="20"/>
        </w:rPr>
        <w:t xml:space="preserve">kâr/zarara </w:t>
      </w:r>
      <w:r w:rsidRPr="00471CBA">
        <w:rPr>
          <w:b/>
          <w:szCs w:val="20"/>
        </w:rPr>
        <w:t xml:space="preserve">yansıtılan finansal varlıklar: </w:t>
      </w:r>
    </w:p>
    <w:p w14:paraId="3EF66F86" w14:textId="60ABFAE4" w:rsidR="00A74C68" w:rsidRPr="00471CBA" w:rsidRDefault="00A74C68" w:rsidP="00A74C68">
      <w:pPr>
        <w:pStyle w:val="GvdeMetniGirintisi"/>
        <w:widowControl w:val="0"/>
        <w:ind w:left="14" w:hanging="581"/>
        <w:rPr>
          <w:szCs w:val="20"/>
        </w:rPr>
      </w:pPr>
    </w:p>
    <w:tbl>
      <w:tblPr>
        <w:tblW w:w="5000" w:type="pct"/>
        <w:tblCellMar>
          <w:left w:w="70" w:type="dxa"/>
          <w:right w:w="70" w:type="dxa"/>
        </w:tblCellMar>
        <w:tblLook w:val="04A0" w:firstRow="1" w:lastRow="0" w:firstColumn="1" w:lastColumn="0" w:noHBand="0" w:noVBand="1"/>
      </w:tblPr>
      <w:tblGrid>
        <w:gridCol w:w="5679"/>
        <w:gridCol w:w="2037"/>
        <w:gridCol w:w="1639"/>
      </w:tblGrid>
      <w:tr w:rsidR="00A74C68" w:rsidRPr="00471CBA" w14:paraId="552A8A3C" w14:textId="77777777" w:rsidTr="00A74C68">
        <w:trPr>
          <w:divId w:val="854349075"/>
          <w:trHeight w:val="170"/>
        </w:trPr>
        <w:tc>
          <w:tcPr>
            <w:tcW w:w="2205" w:type="pct"/>
            <w:tcBorders>
              <w:top w:val="nil"/>
              <w:left w:val="nil"/>
              <w:bottom w:val="nil"/>
              <w:right w:val="nil"/>
            </w:tcBorders>
            <w:vAlign w:val="center"/>
            <w:hideMark/>
          </w:tcPr>
          <w:p w14:paraId="66FEB665" w14:textId="2A55F721" w:rsidR="00A74C68" w:rsidRPr="00471CBA" w:rsidRDefault="00A74C68" w:rsidP="00A74C68">
            <w:pPr>
              <w:rPr>
                <w:sz w:val="18"/>
                <w:szCs w:val="18"/>
              </w:rPr>
            </w:pPr>
          </w:p>
        </w:tc>
        <w:tc>
          <w:tcPr>
            <w:tcW w:w="1427" w:type="pct"/>
            <w:gridSpan w:val="2"/>
            <w:tcBorders>
              <w:top w:val="nil"/>
              <w:left w:val="nil"/>
              <w:bottom w:val="single" w:sz="4" w:space="0" w:color="auto"/>
              <w:right w:val="nil"/>
            </w:tcBorders>
            <w:noWrap/>
            <w:vAlign w:val="center"/>
            <w:hideMark/>
          </w:tcPr>
          <w:p w14:paraId="54A83C9F" w14:textId="77777777" w:rsidR="00A74C68" w:rsidRPr="00471CBA" w:rsidRDefault="00A74C68" w:rsidP="00A74C68">
            <w:pPr>
              <w:jc w:val="center"/>
              <w:rPr>
                <w:b/>
                <w:bCs/>
                <w:color w:val="000000"/>
                <w:sz w:val="18"/>
                <w:szCs w:val="18"/>
              </w:rPr>
            </w:pPr>
            <w:r w:rsidRPr="00471CBA">
              <w:rPr>
                <w:b/>
                <w:bCs/>
                <w:color w:val="000000"/>
                <w:sz w:val="18"/>
                <w:szCs w:val="18"/>
              </w:rPr>
              <w:t>31 Aralık 2025</w:t>
            </w:r>
          </w:p>
        </w:tc>
      </w:tr>
      <w:tr w:rsidR="00A74C68" w:rsidRPr="00471CBA" w14:paraId="6EA94F7D" w14:textId="77777777" w:rsidTr="00A74C68">
        <w:trPr>
          <w:divId w:val="854349075"/>
          <w:trHeight w:val="170"/>
        </w:trPr>
        <w:tc>
          <w:tcPr>
            <w:tcW w:w="2205" w:type="pct"/>
            <w:tcBorders>
              <w:top w:val="nil"/>
              <w:left w:val="nil"/>
              <w:bottom w:val="single" w:sz="4" w:space="0" w:color="auto"/>
              <w:right w:val="nil"/>
            </w:tcBorders>
            <w:vAlign w:val="center"/>
            <w:hideMark/>
          </w:tcPr>
          <w:p w14:paraId="5C05FDE8" w14:textId="77777777" w:rsidR="00A74C68" w:rsidRPr="00471CBA" w:rsidRDefault="00A74C68" w:rsidP="00A74C68">
            <w:pPr>
              <w:jc w:val="both"/>
              <w:rPr>
                <w:b/>
                <w:bCs/>
                <w:sz w:val="18"/>
                <w:szCs w:val="18"/>
              </w:rPr>
            </w:pPr>
            <w:r w:rsidRPr="00471CBA">
              <w:rPr>
                <w:b/>
                <w:bCs/>
                <w:sz w:val="18"/>
                <w:szCs w:val="18"/>
              </w:rPr>
              <w:t> </w:t>
            </w:r>
          </w:p>
        </w:tc>
        <w:tc>
          <w:tcPr>
            <w:tcW w:w="791" w:type="pct"/>
            <w:tcBorders>
              <w:top w:val="nil"/>
              <w:left w:val="nil"/>
              <w:bottom w:val="single" w:sz="4" w:space="0" w:color="auto"/>
              <w:right w:val="nil"/>
            </w:tcBorders>
            <w:vAlign w:val="center"/>
            <w:hideMark/>
          </w:tcPr>
          <w:p w14:paraId="6CEA8C83" w14:textId="77777777" w:rsidR="00A74C68" w:rsidRPr="00471CBA" w:rsidRDefault="00A74C68" w:rsidP="00A74C68">
            <w:pPr>
              <w:jc w:val="right"/>
              <w:rPr>
                <w:b/>
                <w:bCs/>
                <w:sz w:val="18"/>
                <w:szCs w:val="18"/>
              </w:rPr>
            </w:pPr>
            <w:r w:rsidRPr="00471CBA">
              <w:rPr>
                <w:b/>
                <w:bCs/>
                <w:sz w:val="18"/>
                <w:szCs w:val="18"/>
              </w:rPr>
              <w:t>TP</w:t>
            </w:r>
          </w:p>
        </w:tc>
        <w:tc>
          <w:tcPr>
            <w:tcW w:w="636" w:type="pct"/>
            <w:tcBorders>
              <w:top w:val="nil"/>
              <w:left w:val="nil"/>
              <w:bottom w:val="single" w:sz="4" w:space="0" w:color="auto"/>
              <w:right w:val="nil"/>
            </w:tcBorders>
            <w:vAlign w:val="center"/>
            <w:hideMark/>
          </w:tcPr>
          <w:p w14:paraId="7D1D789E" w14:textId="77777777" w:rsidR="00A74C68" w:rsidRPr="00471CBA" w:rsidRDefault="00A74C68" w:rsidP="00A74C68">
            <w:pPr>
              <w:jc w:val="right"/>
              <w:rPr>
                <w:b/>
                <w:bCs/>
                <w:sz w:val="18"/>
                <w:szCs w:val="18"/>
              </w:rPr>
            </w:pPr>
            <w:r w:rsidRPr="00471CBA">
              <w:rPr>
                <w:b/>
                <w:bCs/>
                <w:sz w:val="18"/>
                <w:szCs w:val="18"/>
              </w:rPr>
              <w:t>YP</w:t>
            </w:r>
          </w:p>
        </w:tc>
      </w:tr>
      <w:tr w:rsidR="00A74C68" w:rsidRPr="00471CBA" w14:paraId="604BBE2B" w14:textId="77777777" w:rsidTr="00A74C68">
        <w:trPr>
          <w:divId w:val="854349075"/>
          <w:trHeight w:val="170"/>
        </w:trPr>
        <w:tc>
          <w:tcPr>
            <w:tcW w:w="2205" w:type="pct"/>
            <w:tcBorders>
              <w:top w:val="nil"/>
              <w:left w:val="nil"/>
              <w:bottom w:val="nil"/>
              <w:right w:val="nil"/>
            </w:tcBorders>
            <w:vAlign w:val="center"/>
            <w:hideMark/>
          </w:tcPr>
          <w:p w14:paraId="705B659E" w14:textId="77777777" w:rsidR="00A74C68" w:rsidRPr="00471CBA" w:rsidRDefault="00A74C68" w:rsidP="00A74C68">
            <w:pPr>
              <w:jc w:val="right"/>
              <w:rPr>
                <w:b/>
                <w:bCs/>
                <w:sz w:val="18"/>
                <w:szCs w:val="18"/>
              </w:rPr>
            </w:pPr>
          </w:p>
        </w:tc>
        <w:tc>
          <w:tcPr>
            <w:tcW w:w="791" w:type="pct"/>
            <w:tcBorders>
              <w:top w:val="nil"/>
              <w:left w:val="nil"/>
              <w:bottom w:val="nil"/>
              <w:right w:val="nil"/>
            </w:tcBorders>
            <w:vAlign w:val="center"/>
            <w:hideMark/>
          </w:tcPr>
          <w:p w14:paraId="7D565E4C" w14:textId="77777777" w:rsidR="00A74C68" w:rsidRPr="00471CBA" w:rsidRDefault="00A74C68" w:rsidP="00A74C68">
            <w:pPr>
              <w:jc w:val="both"/>
              <w:rPr>
                <w:sz w:val="18"/>
                <w:szCs w:val="18"/>
              </w:rPr>
            </w:pPr>
          </w:p>
        </w:tc>
        <w:tc>
          <w:tcPr>
            <w:tcW w:w="636" w:type="pct"/>
            <w:tcBorders>
              <w:top w:val="nil"/>
              <w:left w:val="nil"/>
              <w:bottom w:val="nil"/>
              <w:right w:val="nil"/>
            </w:tcBorders>
            <w:vAlign w:val="center"/>
            <w:hideMark/>
          </w:tcPr>
          <w:p w14:paraId="756C8C35" w14:textId="77777777" w:rsidR="00A74C68" w:rsidRPr="00471CBA" w:rsidRDefault="00A74C68" w:rsidP="00A74C68">
            <w:pPr>
              <w:jc w:val="right"/>
              <w:rPr>
                <w:sz w:val="18"/>
                <w:szCs w:val="18"/>
              </w:rPr>
            </w:pPr>
          </w:p>
        </w:tc>
      </w:tr>
      <w:tr w:rsidR="00A74C68" w:rsidRPr="00471CBA" w14:paraId="5A21CF25" w14:textId="77777777" w:rsidTr="00A74C68">
        <w:trPr>
          <w:divId w:val="854349075"/>
          <w:trHeight w:val="170"/>
        </w:trPr>
        <w:tc>
          <w:tcPr>
            <w:tcW w:w="2205" w:type="pct"/>
            <w:tcBorders>
              <w:top w:val="nil"/>
              <w:left w:val="nil"/>
              <w:bottom w:val="nil"/>
              <w:right w:val="nil"/>
            </w:tcBorders>
            <w:vAlign w:val="center"/>
            <w:hideMark/>
          </w:tcPr>
          <w:p w14:paraId="54CB6DA2" w14:textId="77777777" w:rsidR="00A74C68" w:rsidRPr="00471CBA" w:rsidRDefault="00A74C68" w:rsidP="00A74C68">
            <w:pPr>
              <w:jc w:val="both"/>
              <w:rPr>
                <w:sz w:val="18"/>
                <w:szCs w:val="18"/>
              </w:rPr>
            </w:pPr>
            <w:r w:rsidRPr="00471CBA">
              <w:rPr>
                <w:sz w:val="18"/>
                <w:szCs w:val="18"/>
              </w:rPr>
              <w:t>Yatırım Fonu Katılım Belgeleri (Net)</w:t>
            </w:r>
          </w:p>
        </w:tc>
        <w:tc>
          <w:tcPr>
            <w:tcW w:w="791" w:type="pct"/>
            <w:tcBorders>
              <w:top w:val="nil"/>
              <w:left w:val="nil"/>
              <w:bottom w:val="nil"/>
              <w:right w:val="nil"/>
            </w:tcBorders>
            <w:vAlign w:val="center"/>
            <w:hideMark/>
          </w:tcPr>
          <w:p w14:paraId="1B39BCEA" w14:textId="77777777" w:rsidR="00A74C68" w:rsidRPr="00471CBA" w:rsidRDefault="00A74C68" w:rsidP="00A74C68">
            <w:pPr>
              <w:jc w:val="right"/>
              <w:rPr>
                <w:sz w:val="18"/>
                <w:szCs w:val="18"/>
              </w:rPr>
            </w:pPr>
            <w:r w:rsidRPr="00471CBA">
              <w:rPr>
                <w:sz w:val="18"/>
                <w:szCs w:val="18"/>
              </w:rPr>
              <w:t>1.308.897</w:t>
            </w:r>
          </w:p>
        </w:tc>
        <w:tc>
          <w:tcPr>
            <w:tcW w:w="636" w:type="pct"/>
            <w:tcBorders>
              <w:top w:val="nil"/>
              <w:left w:val="nil"/>
              <w:bottom w:val="nil"/>
              <w:right w:val="nil"/>
            </w:tcBorders>
            <w:vAlign w:val="center"/>
            <w:hideMark/>
          </w:tcPr>
          <w:p w14:paraId="1111276A" w14:textId="77777777" w:rsidR="00A74C68" w:rsidRPr="00471CBA" w:rsidRDefault="00A74C68" w:rsidP="00A74C68">
            <w:pPr>
              <w:jc w:val="right"/>
              <w:rPr>
                <w:sz w:val="18"/>
                <w:szCs w:val="18"/>
              </w:rPr>
            </w:pPr>
            <w:r w:rsidRPr="00471CBA">
              <w:rPr>
                <w:sz w:val="18"/>
                <w:szCs w:val="18"/>
              </w:rPr>
              <w:t>-</w:t>
            </w:r>
          </w:p>
        </w:tc>
      </w:tr>
      <w:tr w:rsidR="00A74C68" w:rsidRPr="00471CBA" w14:paraId="6CC7412C" w14:textId="77777777" w:rsidTr="00A74C68">
        <w:trPr>
          <w:divId w:val="854349075"/>
          <w:trHeight w:val="170"/>
        </w:trPr>
        <w:tc>
          <w:tcPr>
            <w:tcW w:w="2205" w:type="pct"/>
            <w:tcBorders>
              <w:top w:val="nil"/>
              <w:left w:val="nil"/>
              <w:bottom w:val="nil"/>
              <w:right w:val="nil"/>
            </w:tcBorders>
            <w:vAlign w:val="center"/>
            <w:hideMark/>
          </w:tcPr>
          <w:p w14:paraId="5E149CC6" w14:textId="77777777" w:rsidR="00A74C68" w:rsidRPr="00471CBA" w:rsidRDefault="00A74C68" w:rsidP="00A74C68">
            <w:pPr>
              <w:jc w:val="both"/>
              <w:rPr>
                <w:sz w:val="18"/>
                <w:szCs w:val="18"/>
              </w:rPr>
            </w:pPr>
            <w:r w:rsidRPr="00471CBA">
              <w:rPr>
                <w:sz w:val="18"/>
                <w:szCs w:val="18"/>
              </w:rPr>
              <w:t>Kira Sertifikası</w:t>
            </w:r>
          </w:p>
        </w:tc>
        <w:tc>
          <w:tcPr>
            <w:tcW w:w="791" w:type="pct"/>
            <w:tcBorders>
              <w:top w:val="nil"/>
              <w:left w:val="nil"/>
              <w:bottom w:val="nil"/>
              <w:right w:val="nil"/>
            </w:tcBorders>
            <w:vAlign w:val="center"/>
            <w:hideMark/>
          </w:tcPr>
          <w:p w14:paraId="57CF4C11" w14:textId="77777777" w:rsidR="00A74C68" w:rsidRPr="00471CBA" w:rsidRDefault="00A74C68" w:rsidP="00A74C68">
            <w:pPr>
              <w:jc w:val="right"/>
              <w:rPr>
                <w:sz w:val="18"/>
                <w:szCs w:val="18"/>
              </w:rPr>
            </w:pPr>
            <w:r w:rsidRPr="00471CBA">
              <w:rPr>
                <w:sz w:val="18"/>
                <w:szCs w:val="18"/>
              </w:rPr>
              <w:t>-</w:t>
            </w:r>
          </w:p>
        </w:tc>
        <w:tc>
          <w:tcPr>
            <w:tcW w:w="636" w:type="pct"/>
            <w:tcBorders>
              <w:top w:val="nil"/>
              <w:left w:val="nil"/>
              <w:bottom w:val="nil"/>
              <w:right w:val="nil"/>
            </w:tcBorders>
            <w:vAlign w:val="center"/>
            <w:hideMark/>
          </w:tcPr>
          <w:p w14:paraId="46A616D8" w14:textId="77777777" w:rsidR="00A74C68" w:rsidRPr="00471CBA" w:rsidRDefault="00A74C68" w:rsidP="00A74C68">
            <w:pPr>
              <w:jc w:val="right"/>
              <w:rPr>
                <w:sz w:val="18"/>
                <w:szCs w:val="18"/>
              </w:rPr>
            </w:pPr>
            <w:r w:rsidRPr="00471CBA">
              <w:rPr>
                <w:sz w:val="18"/>
                <w:szCs w:val="18"/>
              </w:rPr>
              <w:t>-</w:t>
            </w:r>
          </w:p>
        </w:tc>
      </w:tr>
      <w:tr w:rsidR="00A74C68" w:rsidRPr="00471CBA" w14:paraId="1E91D497" w14:textId="77777777" w:rsidTr="00A74C68">
        <w:trPr>
          <w:divId w:val="854349075"/>
          <w:trHeight w:val="170"/>
        </w:trPr>
        <w:tc>
          <w:tcPr>
            <w:tcW w:w="2205" w:type="pct"/>
            <w:tcBorders>
              <w:top w:val="nil"/>
              <w:left w:val="nil"/>
              <w:bottom w:val="nil"/>
              <w:right w:val="nil"/>
            </w:tcBorders>
            <w:noWrap/>
            <w:vAlign w:val="center"/>
            <w:hideMark/>
          </w:tcPr>
          <w:p w14:paraId="331C139F" w14:textId="77777777" w:rsidR="00A74C68" w:rsidRPr="00471CBA" w:rsidRDefault="00A74C68" w:rsidP="00A74C68">
            <w:pPr>
              <w:rPr>
                <w:sz w:val="18"/>
                <w:szCs w:val="18"/>
              </w:rPr>
            </w:pPr>
            <w:r w:rsidRPr="00471CBA">
              <w:rPr>
                <w:sz w:val="18"/>
                <w:szCs w:val="18"/>
              </w:rPr>
              <w:t>Sermayede Payı Temsil Eden Menkul Değerler</w:t>
            </w:r>
          </w:p>
        </w:tc>
        <w:tc>
          <w:tcPr>
            <w:tcW w:w="791" w:type="pct"/>
            <w:tcBorders>
              <w:top w:val="nil"/>
              <w:left w:val="nil"/>
              <w:bottom w:val="nil"/>
              <w:right w:val="nil"/>
            </w:tcBorders>
            <w:vAlign w:val="center"/>
            <w:hideMark/>
          </w:tcPr>
          <w:p w14:paraId="57297E1F" w14:textId="77777777" w:rsidR="00A74C68" w:rsidRPr="00471CBA" w:rsidRDefault="00A74C68" w:rsidP="00A74C68">
            <w:pPr>
              <w:jc w:val="right"/>
              <w:rPr>
                <w:sz w:val="18"/>
                <w:szCs w:val="18"/>
              </w:rPr>
            </w:pPr>
            <w:r w:rsidRPr="00471CBA">
              <w:rPr>
                <w:sz w:val="18"/>
                <w:szCs w:val="18"/>
              </w:rPr>
              <w:t>15</w:t>
            </w:r>
          </w:p>
        </w:tc>
        <w:tc>
          <w:tcPr>
            <w:tcW w:w="636" w:type="pct"/>
            <w:tcBorders>
              <w:top w:val="nil"/>
              <w:left w:val="nil"/>
              <w:bottom w:val="nil"/>
              <w:right w:val="nil"/>
            </w:tcBorders>
            <w:vAlign w:val="center"/>
            <w:hideMark/>
          </w:tcPr>
          <w:p w14:paraId="6DD8506A" w14:textId="77777777" w:rsidR="00A74C68" w:rsidRPr="00471CBA" w:rsidRDefault="00A74C68" w:rsidP="00A74C68">
            <w:pPr>
              <w:jc w:val="right"/>
              <w:rPr>
                <w:sz w:val="18"/>
                <w:szCs w:val="18"/>
              </w:rPr>
            </w:pPr>
            <w:r w:rsidRPr="00471CBA">
              <w:rPr>
                <w:sz w:val="18"/>
                <w:szCs w:val="18"/>
              </w:rPr>
              <w:t>-</w:t>
            </w:r>
          </w:p>
        </w:tc>
      </w:tr>
      <w:tr w:rsidR="00A74C68" w:rsidRPr="00471CBA" w14:paraId="2A9CCD27" w14:textId="77777777" w:rsidTr="00A74C68">
        <w:trPr>
          <w:divId w:val="854349075"/>
          <w:trHeight w:val="170"/>
        </w:trPr>
        <w:tc>
          <w:tcPr>
            <w:tcW w:w="2205" w:type="pct"/>
            <w:tcBorders>
              <w:top w:val="nil"/>
              <w:left w:val="nil"/>
              <w:bottom w:val="single" w:sz="4" w:space="0" w:color="auto"/>
              <w:right w:val="nil"/>
            </w:tcBorders>
            <w:vAlign w:val="center"/>
            <w:hideMark/>
          </w:tcPr>
          <w:p w14:paraId="5B9575DA" w14:textId="77777777" w:rsidR="00A74C68" w:rsidRPr="00471CBA" w:rsidRDefault="00A74C68" w:rsidP="00A74C68">
            <w:pPr>
              <w:jc w:val="both"/>
              <w:rPr>
                <w:sz w:val="18"/>
                <w:szCs w:val="18"/>
              </w:rPr>
            </w:pPr>
            <w:r w:rsidRPr="00471CBA">
              <w:rPr>
                <w:sz w:val="18"/>
                <w:szCs w:val="18"/>
              </w:rPr>
              <w:t>Diğer</w:t>
            </w:r>
          </w:p>
        </w:tc>
        <w:tc>
          <w:tcPr>
            <w:tcW w:w="791" w:type="pct"/>
            <w:tcBorders>
              <w:top w:val="nil"/>
              <w:left w:val="nil"/>
              <w:bottom w:val="single" w:sz="4" w:space="0" w:color="auto"/>
              <w:right w:val="nil"/>
            </w:tcBorders>
            <w:vAlign w:val="center"/>
            <w:hideMark/>
          </w:tcPr>
          <w:p w14:paraId="0FD7139A" w14:textId="77777777" w:rsidR="00A74C68" w:rsidRPr="00471CBA" w:rsidRDefault="00A74C68" w:rsidP="00A74C68">
            <w:pPr>
              <w:jc w:val="right"/>
              <w:rPr>
                <w:sz w:val="18"/>
                <w:szCs w:val="18"/>
              </w:rPr>
            </w:pPr>
            <w:r w:rsidRPr="00471CBA">
              <w:rPr>
                <w:sz w:val="18"/>
                <w:szCs w:val="18"/>
              </w:rPr>
              <w:t>30.392</w:t>
            </w:r>
          </w:p>
        </w:tc>
        <w:tc>
          <w:tcPr>
            <w:tcW w:w="636" w:type="pct"/>
            <w:tcBorders>
              <w:top w:val="nil"/>
              <w:left w:val="nil"/>
              <w:bottom w:val="single" w:sz="4" w:space="0" w:color="auto"/>
              <w:right w:val="nil"/>
            </w:tcBorders>
            <w:vAlign w:val="center"/>
            <w:hideMark/>
          </w:tcPr>
          <w:p w14:paraId="4917A188" w14:textId="77777777" w:rsidR="00A74C68" w:rsidRPr="00471CBA" w:rsidRDefault="00A74C68" w:rsidP="00A74C68">
            <w:pPr>
              <w:jc w:val="right"/>
              <w:rPr>
                <w:sz w:val="18"/>
                <w:szCs w:val="18"/>
              </w:rPr>
            </w:pPr>
            <w:r w:rsidRPr="00471CBA">
              <w:rPr>
                <w:sz w:val="18"/>
                <w:szCs w:val="18"/>
              </w:rPr>
              <w:t>-</w:t>
            </w:r>
          </w:p>
        </w:tc>
      </w:tr>
      <w:tr w:rsidR="00A74C68" w:rsidRPr="00471CBA" w14:paraId="4112CB15" w14:textId="77777777" w:rsidTr="00A74C68">
        <w:trPr>
          <w:divId w:val="854349075"/>
          <w:trHeight w:val="170"/>
        </w:trPr>
        <w:tc>
          <w:tcPr>
            <w:tcW w:w="2205" w:type="pct"/>
            <w:tcBorders>
              <w:top w:val="nil"/>
              <w:left w:val="nil"/>
              <w:right w:val="nil"/>
            </w:tcBorders>
            <w:vAlign w:val="center"/>
            <w:hideMark/>
          </w:tcPr>
          <w:p w14:paraId="5C77167A" w14:textId="77777777" w:rsidR="00A74C68" w:rsidRPr="00471CBA" w:rsidRDefault="00A74C68" w:rsidP="00A74C68">
            <w:pPr>
              <w:jc w:val="right"/>
              <w:rPr>
                <w:sz w:val="18"/>
                <w:szCs w:val="18"/>
              </w:rPr>
            </w:pPr>
          </w:p>
        </w:tc>
        <w:tc>
          <w:tcPr>
            <w:tcW w:w="791" w:type="pct"/>
            <w:tcBorders>
              <w:top w:val="nil"/>
              <w:left w:val="nil"/>
              <w:right w:val="nil"/>
            </w:tcBorders>
            <w:vAlign w:val="center"/>
            <w:hideMark/>
          </w:tcPr>
          <w:p w14:paraId="5FA620D5" w14:textId="77777777" w:rsidR="00A74C68" w:rsidRPr="00471CBA" w:rsidRDefault="00A74C68" w:rsidP="00A74C68">
            <w:pPr>
              <w:jc w:val="both"/>
              <w:rPr>
                <w:sz w:val="18"/>
                <w:szCs w:val="18"/>
              </w:rPr>
            </w:pPr>
          </w:p>
        </w:tc>
        <w:tc>
          <w:tcPr>
            <w:tcW w:w="636" w:type="pct"/>
            <w:tcBorders>
              <w:top w:val="nil"/>
              <w:left w:val="nil"/>
              <w:right w:val="nil"/>
            </w:tcBorders>
            <w:vAlign w:val="center"/>
            <w:hideMark/>
          </w:tcPr>
          <w:p w14:paraId="03467568" w14:textId="77777777" w:rsidR="00A74C68" w:rsidRPr="00471CBA" w:rsidRDefault="00A74C68" w:rsidP="00A74C68">
            <w:pPr>
              <w:jc w:val="right"/>
              <w:rPr>
                <w:sz w:val="18"/>
                <w:szCs w:val="18"/>
              </w:rPr>
            </w:pPr>
          </w:p>
        </w:tc>
      </w:tr>
      <w:tr w:rsidR="00A74C68" w:rsidRPr="00471CBA" w14:paraId="70A63A12" w14:textId="77777777" w:rsidTr="00A74C68">
        <w:trPr>
          <w:divId w:val="854349075"/>
          <w:trHeight w:val="170"/>
        </w:trPr>
        <w:tc>
          <w:tcPr>
            <w:tcW w:w="2205" w:type="pct"/>
            <w:tcBorders>
              <w:top w:val="nil"/>
              <w:left w:val="nil"/>
              <w:bottom w:val="single" w:sz="12" w:space="0" w:color="auto"/>
              <w:right w:val="nil"/>
            </w:tcBorders>
            <w:vAlign w:val="center"/>
            <w:hideMark/>
          </w:tcPr>
          <w:p w14:paraId="0905B63B" w14:textId="77777777" w:rsidR="00A74C68" w:rsidRPr="00471CBA" w:rsidRDefault="00A74C68" w:rsidP="00A74C68">
            <w:pPr>
              <w:jc w:val="both"/>
              <w:rPr>
                <w:b/>
                <w:bCs/>
                <w:sz w:val="18"/>
                <w:szCs w:val="18"/>
              </w:rPr>
            </w:pPr>
            <w:r w:rsidRPr="00471CBA">
              <w:rPr>
                <w:b/>
                <w:bCs/>
                <w:sz w:val="18"/>
                <w:szCs w:val="18"/>
              </w:rPr>
              <w:t>Toplam</w:t>
            </w:r>
          </w:p>
        </w:tc>
        <w:tc>
          <w:tcPr>
            <w:tcW w:w="791" w:type="pct"/>
            <w:tcBorders>
              <w:top w:val="nil"/>
              <w:left w:val="nil"/>
              <w:bottom w:val="single" w:sz="12" w:space="0" w:color="auto"/>
              <w:right w:val="nil"/>
            </w:tcBorders>
            <w:vAlign w:val="center"/>
            <w:hideMark/>
          </w:tcPr>
          <w:p w14:paraId="3B2CB87F" w14:textId="77777777" w:rsidR="00A74C68" w:rsidRPr="00471CBA" w:rsidRDefault="00A74C68" w:rsidP="00A74C68">
            <w:pPr>
              <w:jc w:val="right"/>
              <w:rPr>
                <w:b/>
                <w:bCs/>
                <w:sz w:val="18"/>
                <w:szCs w:val="18"/>
              </w:rPr>
            </w:pPr>
            <w:r w:rsidRPr="00471CBA">
              <w:rPr>
                <w:b/>
                <w:bCs/>
                <w:sz w:val="18"/>
                <w:szCs w:val="18"/>
              </w:rPr>
              <w:t>1.339.304</w:t>
            </w:r>
          </w:p>
        </w:tc>
        <w:tc>
          <w:tcPr>
            <w:tcW w:w="636" w:type="pct"/>
            <w:tcBorders>
              <w:top w:val="nil"/>
              <w:left w:val="nil"/>
              <w:bottom w:val="single" w:sz="12" w:space="0" w:color="auto"/>
              <w:right w:val="nil"/>
            </w:tcBorders>
            <w:vAlign w:val="center"/>
            <w:hideMark/>
          </w:tcPr>
          <w:p w14:paraId="3DAEA96B" w14:textId="77777777" w:rsidR="00A74C68" w:rsidRPr="00471CBA" w:rsidRDefault="00A74C68" w:rsidP="00A74C68">
            <w:pPr>
              <w:jc w:val="right"/>
              <w:rPr>
                <w:b/>
                <w:bCs/>
                <w:sz w:val="18"/>
                <w:szCs w:val="18"/>
              </w:rPr>
            </w:pPr>
            <w:r w:rsidRPr="00471CBA">
              <w:rPr>
                <w:b/>
                <w:bCs/>
                <w:sz w:val="18"/>
                <w:szCs w:val="18"/>
              </w:rPr>
              <w:t>-</w:t>
            </w:r>
          </w:p>
        </w:tc>
      </w:tr>
    </w:tbl>
    <w:p w14:paraId="70765796" w14:textId="1E027E17" w:rsidR="00204442" w:rsidRPr="00471CBA" w:rsidRDefault="00204442">
      <w:pPr>
        <w:rPr>
          <w:b/>
          <w:szCs w:val="20"/>
        </w:rPr>
      </w:pPr>
    </w:p>
    <w:tbl>
      <w:tblPr>
        <w:tblW w:w="5000" w:type="pct"/>
        <w:tblCellMar>
          <w:left w:w="70" w:type="dxa"/>
          <w:right w:w="70" w:type="dxa"/>
        </w:tblCellMar>
        <w:tblLook w:val="04A0" w:firstRow="1" w:lastRow="0" w:firstColumn="1" w:lastColumn="0" w:noHBand="0" w:noVBand="1"/>
      </w:tblPr>
      <w:tblGrid>
        <w:gridCol w:w="5774"/>
        <w:gridCol w:w="1942"/>
        <w:gridCol w:w="1639"/>
      </w:tblGrid>
      <w:tr w:rsidR="00204442" w:rsidRPr="00471CBA" w14:paraId="37F5E93B" w14:textId="77777777" w:rsidTr="00752E50">
        <w:trPr>
          <w:trHeight w:val="170"/>
        </w:trPr>
        <w:tc>
          <w:tcPr>
            <w:tcW w:w="3086" w:type="pct"/>
            <w:tcBorders>
              <w:top w:val="nil"/>
              <w:left w:val="nil"/>
              <w:bottom w:val="nil"/>
              <w:right w:val="nil"/>
            </w:tcBorders>
            <w:vAlign w:val="center"/>
            <w:hideMark/>
          </w:tcPr>
          <w:p w14:paraId="070B0C8F" w14:textId="77777777" w:rsidR="00204442" w:rsidRPr="00471CBA" w:rsidRDefault="00204442" w:rsidP="003B2BBE">
            <w:pPr>
              <w:rPr>
                <w:sz w:val="18"/>
                <w:szCs w:val="18"/>
              </w:rPr>
            </w:pPr>
          </w:p>
        </w:tc>
        <w:tc>
          <w:tcPr>
            <w:tcW w:w="1914" w:type="pct"/>
            <w:gridSpan w:val="2"/>
            <w:tcBorders>
              <w:top w:val="nil"/>
              <w:left w:val="nil"/>
              <w:bottom w:val="single" w:sz="4" w:space="0" w:color="auto"/>
              <w:right w:val="nil"/>
            </w:tcBorders>
            <w:noWrap/>
            <w:vAlign w:val="center"/>
            <w:hideMark/>
          </w:tcPr>
          <w:p w14:paraId="28CF68D8" w14:textId="77777777" w:rsidR="00204442" w:rsidRPr="00471CBA" w:rsidRDefault="00204442" w:rsidP="003B2BBE">
            <w:pPr>
              <w:jc w:val="center"/>
              <w:rPr>
                <w:b/>
                <w:bCs/>
                <w:color w:val="000000"/>
                <w:sz w:val="18"/>
                <w:szCs w:val="18"/>
              </w:rPr>
            </w:pPr>
            <w:r w:rsidRPr="00471CBA">
              <w:rPr>
                <w:b/>
                <w:bCs/>
                <w:color w:val="000000"/>
                <w:sz w:val="18"/>
                <w:szCs w:val="18"/>
              </w:rPr>
              <w:t>31 Aralık 2024</w:t>
            </w:r>
          </w:p>
        </w:tc>
      </w:tr>
      <w:tr w:rsidR="00204442" w:rsidRPr="00471CBA" w14:paraId="7CBFCA7A" w14:textId="77777777" w:rsidTr="00752E50">
        <w:trPr>
          <w:trHeight w:val="170"/>
        </w:trPr>
        <w:tc>
          <w:tcPr>
            <w:tcW w:w="3086" w:type="pct"/>
            <w:tcBorders>
              <w:top w:val="nil"/>
              <w:left w:val="nil"/>
              <w:bottom w:val="single" w:sz="4" w:space="0" w:color="auto"/>
              <w:right w:val="nil"/>
            </w:tcBorders>
            <w:vAlign w:val="center"/>
            <w:hideMark/>
          </w:tcPr>
          <w:p w14:paraId="70015033" w14:textId="77777777" w:rsidR="00204442" w:rsidRPr="00471CBA" w:rsidRDefault="00204442" w:rsidP="003B2BBE">
            <w:pPr>
              <w:jc w:val="both"/>
              <w:rPr>
                <w:b/>
                <w:bCs/>
                <w:sz w:val="18"/>
                <w:szCs w:val="18"/>
              </w:rPr>
            </w:pPr>
            <w:r w:rsidRPr="00471CBA">
              <w:rPr>
                <w:b/>
                <w:bCs/>
                <w:sz w:val="18"/>
                <w:szCs w:val="18"/>
              </w:rPr>
              <w:t> </w:t>
            </w:r>
          </w:p>
        </w:tc>
        <w:tc>
          <w:tcPr>
            <w:tcW w:w="1038" w:type="pct"/>
            <w:tcBorders>
              <w:top w:val="nil"/>
              <w:left w:val="nil"/>
              <w:bottom w:val="single" w:sz="4" w:space="0" w:color="auto"/>
              <w:right w:val="nil"/>
            </w:tcBorders>
            <w:vAlign w:val="center"/>
            <w:hideMark/>
          </w:tcPr>
          <w:p w14:paraId="6A2A1A7D" w14:textId="77777777" w:rsidR="00204442" w:rsidRPr="00471CBA" w:rsidRDefault="00204442" w:rsidP="003B2BBE">
            <w:pPr>
              <w:jc w:val="right"/>
              <w:rPr>
                <w:b/>
                <w:bCs/>
                <w:sz w:val="18"/>
                <w:szCs w:val="18"/>
              </w:rPr>
            </w:pPr>
            <w:r w:rsidRPr="00471CBA">
              <w:rPr>
                <w:b/>
                <w:bCs/>
                <w:sz w:val="18"/>
                <w:szCs w:val="18"/>
              </w:rPr>
              <w:t>TP</w:t>
            </w:r>
          </w:p>
        </w:tc>
        <w:tc>
          <w:tcPr>
            <w:tcW w:w="876" w:type="pct"/>
            <w:tcBorders>
              <w:top w:val="nil"/>
              <w:left w:val="nil"/>
              <w:bottom w:val="single" w:sz="4" w:space="0" w:color="auto"/>
              <w:right w:val="nil"/>
            </w:tcBorders>
            <w:vAlign w:val="center"/>
            <w:hideMark/>
          </w:tcPr>
          <w:p w14:paraId="6C470CB7" w14:textId="77777777" w:rsidR="00204442" w:rsidRPr="00471CBA" w:rsidRDefault="00204442" w:rsidP="003B2BBE">
            <w:pPr>
              <w:jc w:val="right"/>
              <w:rPr>
                <w:b/>
                <w:bCs/>
                <w:sz w:val="18"/>
                <w:szCs w:val="18"/>
              </w:rPr>
            </w:pPr>
            <w:r w:rsidRPr="00471CBA">
              <w:rPr>
                <w:b/>
                <w:bCs/>
                <w:sz w:val="18"/>
                <w:szCs w:val="18"/>
              </w:rPr>
              <w:t>YP</w:t>
            </w:r>
          </w:p>
        </w:tc>
      </w:tr>
      <w:tr w:rsidR="00204442" w:rsidRPr="00471CBA" w14:paraId="3D82CF30" w14:textId="77777777" w:rsidTr="00752E50">
        <w:trPr>
          <w:trHeight w:val="170"/>
        </w:trPr>
        <w:tc>
          <w:tcPr>
            <w:tcW w:w="3086" w:type="pct"/>
            <w:tcBorders>
              <w:top w:val="nil"/>
              <w:left w:val="nil"/>
              <w:bottom w:val="nil"/>
              <w:right w:val="nil"/>
            </w:tcBorders>
            <w:vAlign w:val="center"/>
            <w:hideMark/>
          </w:tcPr>
          <w:p w14:paraId="64C7B037" w14:textId="77777777" w:rsidR="00204442" w:rsidRPr="00471CBA" w:rsidRDefault="00204442" w:rsidP="003B2BBE">
            <w:pPr>
              <w:jc w:val="right"/>
              <w:rPr>
                <w:b/>
                <w:bCs/>
                <w:sz w:val="18"/>
                <w:szCs w:val="18"/>
              </w:rPr>
            </w:pPr>
          </w:p>
        </w:tc>
        <w:tc>
          <w:tcPr>
            <w:tcW w:w="1038" w:type="pct"/>
            <w:tcBorders>
              <w:top w:val="nil"/>
              <w:left w:val="nil"/>
              <w:bottom w:val="nil"/>
              <w:right w:val="nil"/>
            </w:tcBorders>
            <w:vAlign w:val="center"/>
            <w:hideMark/>
          </w:tcPr>
          <w:p w14:paraId="08AC7986" w14:textId="77777777" w:rsidR="00204442" w:rsidRPr="00471CBA" w:rsidRDefault="00204442" w:rsidP="003B2BBE">
            <w:pPr>
              <w:jc w:val="right"/>
              <w:rPr>
                <w:sz w:val="18"/>
                <w:szCs w:val="18"/>
              </w:rPr>
            </w:pPr>
          </w:p>
        </w:tc>
        <w:tc>
          <w:tcPr>
            <w:tcW w:w="876" w:type="pct"/>
            <w:tcBorders>
              <w:top w:val="nil"/>
              <w:left w:val="nil"/>
              <w:bottom w:val="nil"/>
              <w:right w:val="nil"/>
            </w:tcBorders>
            <w:vAlign w:val="center"/>
            <w:hideMark/>
          </w:tcPr>
          <w:p w14:paraId="5BBEB06B" w14:textId="77777777" w:rsidR="00204442" w:rsidRPr="00471CBA" w:rsidRDefault="00204442" w:rsidP="003B2BBE">
            <w:pPr>
              <w:jc w:val="right"/>
              <w:rPr>
                <w:sz w:val="18"/>
                <w:szCs w:val="18"/>
              </w:rPr>
            </w:pPr>
          </w:p>
        </w:tc>
      </w:tr>
      <w:tr w:rsidR="00204442" w:rsidRPr="00471CBA" w14:paraId="608C34C2" w14:textId="77777777" w:rsidTr="00752E50">
        <w:trPr>
          <w:trHeight w:val="170"/>
        </w:trPr>
        <w:tc>
          <w:tcPr>
            <w:tcW w:w="3086" w:type="pct"/>
            <w:tcBorders>
              <w:top w:val="nil"/>
              <w:left w:val="nil"/>
              <w:bottom w:val="nil"/>
              <w:right w:val="nil"/>
            </w:tcBorders>
            <w:vAlign w:val="center"/>
            <w:hideMark/>
          </w:tcPr>
          <w:p w14:paraId="5E5347DE" w14:textId="77777777" w:rsidR="00204442" w:rsidRPr="00471CBA" w:rsidRDefault="00204442" w:rsidP="003B2BBE">
            <w:pPr>
              <w:jc w:val="both"/>
              <w:rPr>
                <w:sz w:val="18"/>
                <w:szCs w:val="18"/>
              </w:rPr>
            </w:pPr>
            <w:r w:rsidRPr="00471CBA">
              <w:rPr>
                <w:sz w:val="18"/>
                <w:szCs w:val="18"/>
              </w:rPr>
              <w:t>Yatırım Fonu Katılım Belgeleri (Net)</w:t>
            </w:r>
          </w:p>
        </w:tc>
        <w:tc>
          <w:tcPr>
            <w:tcW w:w="1038" w:type="pct"/>
            <w:tcBorders>
              <w:top w:val="nil"/>
              <w:left w:val="nil"/>
              <w:bottom w:val="nil"/>
              <w:right w:val="nil"/>
            </w:tcBorders>
            <w:vAlign w:val="center"/>
            <w:hideMark/>
          </w:tcPr>
          <w:p w14:paraId="052204F2" w14:textId="77777777" w:rsidR="00204442" w:rsidRPr="00471CBA" w:rsidRDefault="00204442" w:rsidP="003B2BBE">
            <w:pPr>
              <w:jc w:val="right"/>
              <w:rPr>
                <w:sz w:val="18"/>
                <w:szCs w:val="18"/>
              </w:rPr>
            </w:pPr>
            <w:r w:rsidRPr="00471CBA">
              <w:rPr>
                <w:sz w:val="18"/>
                <w:szCs w:val="18"/>
              </w:rPr>
              <w:t>947</w:t>
            </w:r>
          </w:p>
        </w:tc>
        <w:tc>
          <w:tcPr>
            <w:tcW w:w="876" w:type="pct"/>
            <w:tcBorders>
              <w:top w:val="nil"/>
              <w:left w:val="nil"/>
              <w:bottom w:val="nil"/>
              <w:right w:val="nil"/>
            </w:tcBorders>
            <w:vAlign w:val="center"/>
            <w:hideMark/>
          </w:tcPr>
          <w:p w14:paraId="052466E6" w14:textId="77777777" w:rsidR="00204442" w:rsidRPr="00471CBA" w:rsidRDefault="00204442" w:rsidP="003B2BBE">
            <w:pPr>
              <w:jc w:val="right"/>
              <w:rPr>
                <w:sz w:val="18"/>
                <w:szCs w:val="18"/>
              </w:rPr>
            </w:pPr>
            <w:r w:rsidRPr="00471CBA">
              <w:rPr>
                <w:sz w:val="18"/>
                <w:szCs w:val="18"/>
              </w:rPr>
              <w:t>-</w:t>
            </w:r>
          </w:p>
        </w:tc>
      </w:tr>
      <w:tr w:rsidR="00204442" w:rsidRPr="00471CBA" w14:paraId="216A10F7" w14:textId="77777777" w:rsidTr="00752E50">
        <w:trPr>
          <w:trHeight w:val="170"/>
        </w:trPr>
        <w:tc>
          <w:tcPr>
            <w:tcW w:w="3086" w:type="pct"/>
            <w:tcBorders>
              <w:top w:val="nil"/>
              <w:left w:val="nil"/>
              <w:bottom w:val="nil"/>
              <w:right w:val="nil"/>
            </w:tcBorders>
            <w:vAlign w:val="center"/>
            <w:hideMark/>
          </w:tcPr>
          <w:p w14:paraId="7DD0E0F2" w14:textId="77777777" w:rsidR="00204442" w:rsidRPr="00471CBA" w:rsidRDefault="00204442" w:rsidP="003B2BBE">
            <w:pPr>
              <w:jc w:val="both"/>
              <w:rPr>
                <w:sz w:val="18"/>
                <w:szCs w:val="18"/>
              </w:rPr>
            </w:pPr>
            <w:r w:rsidRPr="00471CBA">
              <w:rPr>
                <w:sz w:val="18"/>
                <w:szCs w:val="18"/>
              </w:rPr>
              <w:t>Kira Sertifikası</w:t>
            </w:r>
          </w:p>
        </w:tc>
        <w:tc>
          <w:tcPr>
            <w:tcW w:w="1038" w:type="pct"/>
            <w:tcBorders>
              <w:top w:val="nil"/>
              <w:left w:val="nil"/>
              <w:bottom w:val="nil"/>
              <w:right w:val="nil"/>
            </w:tcBorders>
            <w:vAlign w:val="center"/>
            <w:hideMark/>
          </w:tcPr>
          <w:p w14:paraId="48F12232" w14:textId="77777777" w:rsidR="00204442" w:rsidRPr="00471CBA" w:rsidRDefault="00204442" w:rsidP="003B2BBE">
            <w:pPr>
              <w:jc w:val="right"/>
              <w:rPr>
                <w:sz w:val="18"/>
                <w:szCs w:val="18"/>
              </w:rPr>
            </w:pPr>
            <w:r w:rsidRPr="00471CBA">
              <w:rPr>
                <w:sz w:val="18"/>
                <w:szCs w:val="18"/>
              </w:rPr>
              <w:t>-</w:t>
            </w:r>
          </w:p>
        </w:tc>
        <w:tc>
          <w:tcPr>
            <w:tcW w:w="876" w:type="pct"/>
            <w:tcBorders>
              <w:top w:val="nil"/>
              <w:left w:val="nil"/>
              <w:bottom w:val="nil"/>
              <w:right w:val="nil"/>
            </w:tcBorders>
            <w:vAlign w:val="center"/>
            <w:hideMark/>
          </w:tcPr>
          <w:p w14:paraId="65B9BBE4" w14:textId="77777777" w:rsidR="00204442" w:rsidRPr="00471CBA" w:rsidRDefault="00204442" w:rsidP="003B2BBE">
            <w:pPr>
              <w:jc w:val="right"/>
              <w:rPr>
                <w:sz w:val="18"/>
                <w:szCs w:val="18"/>
              </w:rPr>
            </w:pPr>
            <w:r w:rsidRPr="00471CBA">
              <w:rPr>
                <w:sz w:val="18"/>
                <w:szCs w:val="18"/>
              </w:rPr>
              <w:t>132.336</w:t>
            </w:r>
          </w:p>
        </w:tc>
      </w:tr>
      <w:tr w:rsidR="00204442" w:rsidRPr="00471CBA" w14:paraId="5DAF4069" w14:textId="77777777" w:rsidTr="00752E50">
        <w:trPr>
          <w:trHeight w:val="170"/>
        </w:trPr>
        <w:tc>
          <w:tcPr>
            <w:tcW w:w="3086" w:type="pct"/>
            <w:tcBorders>
              <w:top w:val="nil"/>
              <w:left w:val="nil"/>
              <w:bottom w:val="nil"/>
              <w:right w:val="nil"/>
            </w:tcBorders>
            <w:noWrap/>
            <w:vAlign w:val="center"/>
            <w:hideMark/>
          </w:tcPr>
          <w:p w14:paraId="7D19A639" w14:textId="77777777" w:rsidR="00204442" w:rsidRPr="00471CBA" w:rsidRDefault="00204442" w:rsidP="003B2BBE">
            <w:pPr>
              <w:rPr>
                <w:sz w:val="18"/>
                <w:szCs w:val="18"/>
              </w:rPr>
            </w:pPr>
            <w:r w:rsidRPr="00471CBA">
              <w:rPr>
                <w:sz w:val="18"/>
                <w:szCs w:val="18"/>
              </w:rPr>
              <w:t>Sermayede Payı Temsil Eden Menkul Değerler</w:t>
            </w:r>
          </w:p>
        </w:tc>
        <w:tc>
          <w:tcPr>
            <w:tcW w:w="1038" w:type="pct"/>
            <w:tcBorders>
              <w:top w:val="nil"/>
              <w:left w:val="nil"/>
              <w:bottom w:val="nil"/>
              <w:right w:val="nil"/>
            </w:tcBorders>
            <w:vAlign w:val="center"/>
            <w:hideMark/>
          </w:tcPr>
          <w:p w14:paraId="7B66FB94" w14:textId="77777777" w:rsidR="00204442" w:rsidRPr="00471CBA" w:rsidRDefault="00204442" w:rsidP="003B2BBE">
            <w:pPr>
              <w:jc w:val="right"/>
              <w:rPr>
                <w:sz w:val="18"/>
                <w:szCs w:val="18"/>
              </w:rPr>
            </w:pPr>
            <w:r w:rsidRPr="00471CBA">
              <w:rPr>
                <w:sz w:val="18"/>
                <w:szCs w:val="18"/>
              </w:rPr>
              <w:t>15</w:t>
            </w:r>
          </w:p>
        </w:tc>
        <w:tc>
          <w:tcPr>
            <w:tcW w:w="876" w:type="pct"/>
            <w:tcBorders>
              <w:top w:val="nil"/>
              <w:left w:val="nil"/>
              <w:bottom w:val="nil"/>
              <w:right w:val="nil"/>
            </w:tcBorders>
            <w:vAlign w:val="center"/>
            <w:hideMark/>
          </w:tcPr>
          <w:p w14:paraId="38CE4EBB" w14:textId="77777777" w:rsidR="00204442" w:rsidRPr="00471CBA" w:rsidRDefault="00204442" w:rsidP="003B2BBE">
            <w:pPr>
              <w:jc w:val="right"/>
              <w:rPr>
                <w:sz w:val="18"/>
                <w:szCs w:val="18"/>
              </w:rPr>
            </w:pPr>
            <w:r w:rsidRPr="00471CBA">
              <w:rPr>
                <w:sz w:val="18"/>
                <w:szCs w:val="18"/>
              </w:rPr>
              <w:t>-</w:t>
            </w:r>
          </w:p>
        </w:tc>
      </w:tr>
      <w:tr w:rsidR="00204442" w:rsidRPr="00471CBA" w14:paraId="2B039E76" w14:textId="77777777" w:rsidTr="00752E50">
        <w:trPr>
          <w:trHeight w:val="170"/>
        </w:trPr>
        <w:tc>
          <w:tcPr>
            <w:tcW w:w="3086" w:type="pct"/>
            <w:tcBorders>
              <w:top w:val="nil"/>
              <w:left w:val="nil"/>
              <w:bottom w:val="single" w:sz="4" w:space="0" w:color="auto"/>
              <w:right w:val="nil"/>
            </w:tcBorders>
            <w:vAlign w:val="center"/>
            <w:hideMark/>
          </w:tcPr>
          <w:p w14:paraId="2746EC3D" w14:textId="77777777" w:rsidR="00204442" w:rsidRPr="00471CBA" w:rsidRDefault="00204442" w:rsidP="003B2BBE">
            <w:pPr>
              <w:jc w:val="both"/>
              <w:rPr>
                <w:sz w:val="18"/>
                <w:szCs w:val="18"/>
              </w:rPr>
            </w:pPr>
            <w:r w:rsidRPr="00471CBA">
              <w:rPr>
                <w:sz w:val="18"/>
                <w:szCs w:val="18"/>
              </w:rPr>
              <w:t>Diğer</w:t>
            </w:r>
          </w:p>
        </w:tc>
        <w:tc>
          <w:tcPr>
            <w:tcW w:w="1038" w:type="pct"/>
            <w:tcBorders>
              <w:top w:val="nil"/>
              <w:left w:val="nil"/>
              <w:bottom w:val="single" w:sz="4" w:space="0" w:color="auto"/>
              <w:right w:val="nil"/>
            </w:tcBorders>
            <w:vAlign w:val="center"/>
            <w:hideMark/>
          </w:tcPr>
          <w:p w14:paraId="73F955BE" w14:textId="77777777" w:rsidR="00204442" w:rsidRPr="00471CBA" w:rsidRDefault="00204442" w:rsidP="003B2BBE">
            <w:pPr>
              <w:jc w:val="right"/>
              <w:rPr>
                <w:sz w:val="18"/>
                <w:szCs w:val="18"/>
              </w:rPr>
            </w:pPr>
            <w:r w:rsidRPr="00471CBA">
              <w:rPr>
                <w:sz w:val="18"/>
                <w:szCs w:val="18"/>
              </w:rPr>
              <w:t>-</w:t>
            </w:r>
          </w:p>
        </w:tc>
        <w:tc>
          <w:tcPr>
            <w:tcW w:w="876" w:type="pct"/>
            <w:tcBorders>
              <w:top w:val="nil"/>
              <w:left w:val="nil"/>
              <w:bottom w:val="single" w:sz="4" w:space="0" w:color="auto"/>
              <w:right w:val="nil"/>
            </w:tcBorders>
            <w:vAlign w:val="center"/>
            <w:hideMark/>
          </w:tcPr>
          <w:p w14:paraId="3F5B4219" w14:textId="77777777" w:rsidR="00204442" w:rsidRPr="00471CBA" w:rsidRDefault="00204442" w:rsidP="003B2BBE">
            <w:pPr>
              <w:jc w:val="right"/>
              <w:rPr>
                <w:sz w:val="18"/>
                <w:szCs w:val="18"/>
              </w:rPr>
            </w:pPr>
            <w:r w:rsidRPr="00471CBA">
              <w:rPr>
                <w:sz w:val="18"/>
                <w:szCs w:val="18"/>
              </w:rPr>
              <w:t>-</w:t>
            </w:r>
          </w:p>
        </w:tc>
      </w:tr>
      <w:tr w:rsidR="00204442" w:rsidRPr="00471CBA" w14:paraId="35A3B914" w14:textId="77777777" w:rsidTr="00752E50">
        <w:trPr>
          <w:trHeight w:val="170"/>
        </w:trPr>
        <w:tc>
          <w:tcPr>
            <w:tcW w:w="3086" w:type="pct"/>
            <w:tcBorders>
              <w:top w:val="nil"/>
              <w:left w:val="nil"/>
              <w:right w:val="nil"/>
            </w:tcBorders>
            <w:vAlign w:val="center"/>
            <w:hideMark/>
          </w:tcPr>
          <w:p w14:paraId="44E2E57D" w14:textId="77777777" w:rsidR="00204442" w:rsidRPr="00471CBA" w:rsidRDefault="00204442" w:rsidP="003B2BBE">
            <w:pPr>
              <w:jc w:val="right"/>
              <w:rPr>
                <w:sz w:val="18"/>
                <w:szCs w:val="18"/>
              </w:rPr>
            </w:pPr>
          </w:p>
        </w:tc>
        <w:tc>
          <w:tcPr>
            <w:tcW w:w="1038" w:type="pct"/>
            <w:tcBorders>
              <w:top w:val="nil"/>
              <w:left w:val="nil"/>
              <w:right w:val="nil"/>
            </w:tcBorders>
            <w:vAlign w:val="center"/>
            <w:hideMark/>
          </w:tcPr>
          <w:p w14:paraId="1E9DC433" w14:textId="77777777" w:rsidR="00204442" w:rsidRPr="00471CBA" w:rsidRDefault="00204442" w:rsidP="003B2BBE">
            <w:pPr>
              <w:jc w:val="right"/>
              <w:rPr>
                <w:sz w:val="18"/>
                <w:szCs w:val="18"/>
              </w:rPr>
            </w:pPr>
          </w:p>
        </w:tc>
        <w:tc>
          <w:tcPr>
            <w:tcW w:w="876" w:type="pct"/>
            <w:tcBorders>
              <w:top w:val="nil"/>
              <w:left w:val="nil"/>
              <w:right w:val="nil"/>
            </w:tcBorders>
            <w:vAlign w:val="center"/>
            <w:hideMark/>
          </w:tcPr>
          <w:p w14:paraId="257C8915" w14:textId="77777777" w:rsidR="00204442" w:rsidRPr="00471CBA" w:rsidRDefault="00204442" w:rsidP="003B2BBE">
            <w:pPr>
              <w:jc w:val="right"/>
              <w:rPr>
                <w:sz w:val="18"/>
                <w:szCs w:val="18"/>
              </w:rPr>
            </w:pPr>
          </w:p>
        </w:tc>
      </w:tr>
      <w:tr w:rsidR="00204442" w:rsidRPr="00471CBA" w14:paraId="167B805C" w14:textId="77777777" w:rsidTr="00752E50">
        <w:trPr>
          <w:trHeight w:val="170"/>
        </w:trPr>
        <w:tc>
          <w:tcPr>
            <w:tcW w:w="3086" w:type="pct"/>
            <w:tcBorders>
              <w:top w:val="nil"/>
              <w:left w:val="nil"/>
              <w:bottom w:val="single" w:sz="12" w:space="0" w:color="auto"/>
              <w:right w:val="nil"/>
            </w:tcBorders>
            <w:vAlign w:val="center"/>
            <w:hideMark/>
          </w:tcPr>
          <w:p w14:paraId="650014EC" w14:textId="77777777" w:rsidR="00204442" w:rsidRPr="00471CBA" w:rsidRDefault="00204442" w:rsidP="003B2BBE">
            <w:pPr>
              <w:jc w:val="both"/>
              <w:rPr>
                <w:b/>
                <w:bCs/>
                <w:sz w:val="18"/>
                <w:szCs w:val="18"/>
              </w:rPr>
            </w:pPr>
            <w:r w:rsidRPr="00471CBA">
              <w:rPr>
                <w:b/>
                <w:bCs/>
                <w:sz w:val="18"/>
                <w:szCs w:val="18"/>
              </w:rPr>
              <w:t>Toplam</w:t>
            </w:r>
          </w:p>
        </w:tc>
        <w:tc>
          <w:tcPr>
            <w:tcW w:w="1038" w:type="pct"/>
            <w:tcBorders>
              <w:top w:val="nil"/>
              <w:left w:val="nil"/>
              <w:bottom w:val="single" w:sz="12" w:space="0" w:color="auto"/>
              <w:right w:val="nil"/>
            </w:tcBorders>
            <w:vAlign w:val="center"/>
            <w:hideMark/>
          </w:tcPr>
          <w:p w14:paraId="6A941C94" w14:textId="77777777" w:rsidR="00204442" w:rsidRPr="00471CBA" w:rsidRDefault="00204442" w:rsidP="003B2BBE">
            <w:pPr>
              <w:jc w:val="right"/>
              <w:rPr>
                <w:b/>
                <w:bCs/>
                <w:sz w:val="18"/>
                <w:szCs w:val="18"/>
              </w:rPr>
            </w:pPr>
            <w:r w:rsidRPr="00471CBA">
              <w:rPr>
                <w:b/>
                <w:bCs/>
                <w:sz w:val="18"/>
                <w:szCs w:val="18"/>
              </w:rPr>
              <w:t>962</w:t>
            </w:r>
          </w:p>
        </w:tc>
        <w:tc>
          <w:tcPr>
            <w:tcW w:w="876" w:type="pct"/>
            <w:tcBorders>
              <w:top w:val="nil"/>
              <w:left w:val="nil"/>
              <w:bottom w:val="single" w:sz="12" w:space="0" w:color="auto"/>
              <w:right w:val="nil"/>
            </w:tcBorders>
            <w:vAlign w:val="center"/>
            <w:hideMark/>
          </w:tcPr>
          <w:p w14:paraId="4F193E65" w14:textId="77777777" w:rsidR="00204442" w:rsidRPr="00471CBA" w:rsidRDefault="00204442" w:rsidP="003B2BBE">
            <w:pPr>
              <w:jc w:val="right"/>
              <w:rPr>
                <w:b/>
                <w:bCs/>
                <w:sz w:val="18"/>
                <w:szCs w:val="18"/>
              </w:rPr>
            </w:pPr>
            <w:r w:rsidRPr="00471CBA">
              <w:rPr>
                <w:b/>
                <w:bCs/>
                <w:sz w:val="18"/>
                <w:szCs w:val="18"/>
              </w:rPr>
              <w:t>132.336</w:t>
            </w:r>
          </w:p>
        </w:tc>
      </w:tr>
    </w:tbl>
    <w:p w14:paraId="4E5D24B0" w14:textId="180F8330" w:rsidR="001664DE" w:rsidRPr="00471CBA" w:rsidRDefault="001664DE">
      <w:pPr>
        <w:rPr>
          <w:b/>
          <w:szCs w:val="20"/>
        </w:rPr>
      </w:pPr>
    </w:p>
    <w:bookmarkEnd w:id="87"/>
    <w:p w14:paraId="4C7320DF" w14:textId="6AEEC9D2" w:rsidR="00BD0305" w:rsidRPr="00471CBA" w:rsidRDefault="00BD0305" w:rsidP="00AD239B">
      <w:pPr>
        <w:pStyle w:val="GvdeMetniGirintisi"/>
        <w:widowControl w:val="0"/>
        <w:numPr>
          <w:ilvl w:val="0"/>
          <w:numId w:val="2"/>
        </w:numPr>
        <w:tabs>
          <w:tab w:val="clear" w:pos="720"/>
        </w:tabs>
        <w:ind w:left="851" w:hanging="851"/>
        <w:rPr>
          <w:b/>
          <w:szCs w:val="20"/>
        </w:rPr>
      </w:pPr>
      <w:r w:rsidRPr="00471CBA">
        <w:rPr>
          <w:b/>
          <w:szCs w:val="20"/>
        </w:rPr>
        <w:t>Gerçeğe uygun değer farkı diğer kapsamlı gelire yansıtılan finansal varlıklara ilişkin bilgiler:</w:t>
      </w:r>
    </w:p>
    <w:p w14:paraId="5C8B66AC" w14:textId="182489E0" w:rsidR="00EE6955" w:rsidRPr="00471CBA" w:rsidRDefault="00EE6955" w:rsidP="003A6799">
      <w:pPr>
        <w:pStyle w:val="GvdeMetniGirintisi"/>
        <w:widowControl w:val="0"/>
        <w:ind w:left="851" w:firstLine="0"/>
        <w:rPr>
          <w:b/>
          <w:szCs w:val="20"/>
        </w:rPr>
      </w:pPr>
    </w:p>
    <w:p w14:paraId="530729CC" w14:textId="2CA4996C" w:rsidR="00926EB7" w:rsidRPr="00471CBA" w:rsidRDefault="00342279" w:rsidP="00F36B82">
      <w:pPr>
        <w:pStyle w:val="ListeParagraf"/>
        <w:numPr>
          <w:ilvl w:val="1"/>
          <w:numId w:val="2"/>
        </w:numPr>
        <w:tabs>
          <w:tab w:val="clear" w:pos="1440"/>
          <w:tab w:val="num" w:pos="1985"/>
        </w:tabs>
        <w:ind w:left="1276" w:hanging="425"/>
        <w:jc w:val="both"/>
        <w:rPr>
          <w:b/>
          <w:bCs/>
          <w:szCs w:val="20"/>
        </w:rPr>
      </w:pPr>
      <w:r w:rsidRPr="00471CBA">
        <w:rPr>
          <w:b/>
          <w:bCs/>
          <w:szCs w:val="20"/>
        </w:rPr>
        <w:t>Gerçeğe uygun değer farkı diğer kapsamlı gelire yansıtılan finansal varlıklardan repo işlemlerine konu olanlar ve teminata verilen /bloke edilenlere ilişkin bilgiler:</w:t>
      </w:r>
    </w:p>
    <w:p w14:paraId="339600A2" w14:textId="77777777" w:rsidR="00437A66" w:rsidRPr="00471CBA" w:rsidRDefault="00437A66" w:rsidP="00437A66">
      <w:pPr>
        <w:jc w:val="both"/>
        <w:rPr>
          <w:szCs w:val="20"/>
        </w:rPr>
      </w:pPr>
    </w:p>
    <w:p w14:paraId="1A0A53F5" w14:textId="44AC464F" w:rsidR="009A4BCA" w:rsidRPr="00471CBA" w:rsidRDefault="00F63131" w:rsidP="00F36B82">
      <w:pPr>
        <w:spacing w:after="240"/>
        <w:ind w:left="1276"/>
        <w:jc w:val="both"/>
        <w:rPr>
          <w:szCs w:val="20"/>
        </w:rPr>
      </w:pPr>
      <w:r w:rsidRPr="00471CBA">
        <w:rPr>
          <w:szCs w:val="20"/>
        </w:rPr>
        <w:t xml:space="preserve">31 Aralık 2025 </w:t>
      </w:r>
      <w:r w:rsidR="009A4BCA" w:rsidRPr="00471CBA">
        <w:rPr>
          <w:szCs w:val="20"/>
        </w:rPr>
        <w:t>tarihi itibarıyla Banka</w:t>
      </w:r>
      <w:r w:rsidR="003961EE" w:rsidRPr="00471CBA">
        <w:rPr>
          <w:szCs w:val="20"/>
        </w:rPr>
        <w:t>’</w:t>
      </w:r>
      <w:r w:rsidR="009A4BCA" w:rsidRPr="00471CBA">
        <w:rPr>
          <w:szCs w:val="20"/>
        </w:rPr>
        <w:t xml:space="preserve">nın geri alım vaadi ile satıma konu olan nominal </w:t>
      </w:r>
      <w:r w:rsidR="000358DB" w:rsidRPr="00471CBA">
        <w:rPr>
          <w:szCs w:val="20"/>
        </w:rPr>
        <w:t>yatırımı</w:t>
      </w:r>
      <w:r w:rsidR="00A3501E" w:rsidRPr="00471CBA">
        <w:rPr>
          <w:szCs w:val="20"/>
        </w:rPr>
        <w:t xml:space="preserve"> </w:t>
      </w:r>
      <w:bookmarkStart w:id="89" w:name="_Hlk213014136"/>
      <w:r w:rsidR="00A3501E" w:rsidRPr="00471CBA">
        <w:rPr>
          <w:szCs w:val="20"/>
        </w:rPr>
        <w:t>bulunmamaktadır</w:t>
      </w:r>
      <w:r w:rsidR="00B143F0" w:rsidRPr="00471CBA">
        <w:rPr>
          <w:szCs w:val="20"/>
        </w:rPr>
        <w:t xml:space="preserve"> </w:t>
      </w:r>
      <w:bookmarkEnd w:id="89"/>
      <w:r w:rsidR="009A4BCA" w:rsidRPr="00471CBA">
        <w:rPr>
          <w:szCs w:val="20"/>
        </w:rPr>
        <w:t>(</w:t>
      </w:r>
      <w:r w:rsidR="00C57DD2" w:rsidRPr="00471CBA">
        <w:rPr>
          <w:szCs w:val="20"/>
        </w:rPr>
        <w:t>31 Aralık 2024</w:t>
      </w:r>
      <w:r w:rsidR="009A4BCA" w:rsidRPr="00471CBA">
        <w:rPr>
          <w:szCs w:val="20"/>
        </w:rPr>
        <w:t xml:space="preserve">: </w:t>
      </w:r>
      <w:r w:rsidR="00C57DD2" w:rsidRPr="00471CBA">
        <w:rPr>
          <w:szCs w:val="20"/>
        </w:rPr>
        <w:t>240.377</w:t>
      </w:r>
      <w:r w:rsidR="009A4BCA" w:rsidRPr="00471CBA">
        <w:rPr>
          <w:szCs w:val="20"/>
        </w:rPr>
        <w:t>).</w:t>
      </w:r>
    </w:p>
    <w:p w14:paraId="19438D23" w14:textId="70B897B8" w:rsidR="00674806" w:rsidRPr="00471CBA" w:rsidRDefault="00F63131" w:rsidP="00F36B82">
      <w:pPr>
        <w:ind w:left="1276"/>
        <w:jc w:val="both"/>
        <w:rPr>
          <w:szCs w:val="20"/>
        </w:rPr>
      </w:pPr>
      <w:r w:rsidRPr="00471CBA">
        <w:rPr>
          <w:szCs w:val="20"/>
        </w:rPr>
        <w:t xml:space="preserve">31 Aralık 2025 </w:t>
      </w:r>
      <w:r w:rsidR="009A4BCA" w:rsidRPr="00471CBA">
        <w:rPr>
          <w:szCs w:val="20"/>
        </w:rPr>
        <w:t xml:space="preserve">tarihi itibarıyla teminata verilen/bloke edilen nominal yatırım tutarı </w:t>
      </w:r>
      <w:r w:rsidRPr="00471CBA">
        <w:rPr>
          <w:szCs w:val="20"/>
        </w:rPr>
        <w:t>1.344.832</w:t>
      </w:r>
      <w:r w:rsidR="000358DB" w:rsidRPr="00471CBA">
        <w:rPr>
          <w:szCs w:val="20"/>
        </w:rPr>
        <w:t xml:space="preserve"> TL’dir</w:t>
      </w:r>
      <w:r w:rsidR="009A4BCA" w:rsidRPr="00471CBA">
        <w:rPr>
          <w:szCs w:val="20"/>
        </w:rPr>
        <w:br/>
        <w:t>(</w:t>
      </w:r>
      <w:r w:rsidR="00C57DD2" w:rsidRPr="00471CBA">
        <w:rPr>
          <w:szCs w:val="20"/>
        </w:rPr>
        <w:t>31 Aralık 2024</w:t>
      </w:r>
      <w:r w:rsidR="009A4BCA" w:rsidRPr="00471CBA">
        <w:rPr>
          <w:szCs w:val="20"/>
        </w:rPr>
        <w:t>: Bulunmamaktadır).</w:t>
      </w:r>
    </w:p>
    <w:p w14:paraId="4253A5D2" w14:textId="77777777" w:rsidR="00674806" w:rsidRPr="00471CBA" w:rsidRDefault="00674806">
      <w:pPr>
        <w:rPr>
          <w:szCs w:val="20"/>
        </w:rPr>
      </w:pPr>
      <w:r w:rsidRPr="00471CBA">
        <w:rPr>
          <w:szCs w:val="20"/>
        </w:rPr>
        <w:br w:type="page"/>
      </w:r>
    </w:p>
    <w:p w14:paraId="1E0D4B99" w14:textId="77777777" w:rsidR="00674806" w:rsidRPr="00471CBA" w:rsidRDefault="00674806" w:rsidP="00674806">
      <w:pPr>
        <w:widowControl w:val="0"/>
        <w:ind w:left="720" w:hanging="720"/>
        <w:jc w:val="both"/>
        <w:rPr>
          <w:b/>
          <w:szCs w:val="20"/>
        </w:rPr>
      </w:pPr>
      <w:r w:rsidRPr="00471CBA">
        <w:rPr>
          <w:b/>
          <w:szCs w:val="20"/>
        </w:rPr>
        <w:t>KONSOLİDE OLMAYAN FİNANSAL TABLOLARA İLİŞKİN AÇIKLAMA VE DİPNOTLAR (Devamı)</w:t>
      </w:r>
    </w:p>
    <w:p w14:paraId="7F19EC0B" w14:textId="77777777" w:rsidR="00674806" w:rsidRPr="00471CBA" w:rsidRDefault="00674806" w:rsidP="00674806">
      <w:pPr>
        <w:pStyle w:val="ListeParagraf"/>
        <w:widowControl w:val="0"/>
        <w:ind w:left="14" w:right="452"/>
        <w:jc w:val="both"/>
        <w:rPr>
          <w:b/>
          <w:szCs w:val="20"/>
        </w:rPr>
      </w:pPr>
    </w:p>
    <w:p w14:paraId="20815C6E" w14:textId="77777777" w:rsidR="00674806" w:rsidRPr="00471CBA" w:rsidRDefault="00674806" w:rsidP="008459A9">
      <w:pPr>
        <w:pStyle w:val="ListeParagraf"/>
        <w:widowControl w:val="0"/>
        <w:numPr>
          <w:ilvl w:val="0"/>
          <w:numId w:val="62"/>
        </w:numPr>
        <w:ind w:left="709"/>
        <w:jc w:val="both"/>
        <w:rPr>
          <w:b/>
          <w:szCs w:val="20"/>
        </w:rPr>
      </w:pPr>
      <w:r w:rsidRPr="00471CBA">
        <w:rPr>
          <w:b/>
          <w:szCs w:val="20"/>
        </w:rPr>
        <w:t>BİLANÇONUN AKTİF HESAPLARINA İLİŞKİN AÇIKLAMA VE DİPNOTLAR (Devamı)</w:t>
      </w:r>
    </w:p>
    <w:p w14:paraId="4CCA025C" w14:textId="6D7373CF" w:rsidR="00C1247A" w:rsidRPr="00471CBA" w:rsidRDefault="00C1247A" w:rsidP="003A6799">
      <w:pPr>
        <w:pStyle w:val="GvdeMetniGirintisi"/>
        <w:widowControl w:val="0"/>
        <w:ind w:left="851" w:firstLine="0"/>
        <w:rPr>
          <w:b/>
          <w:szCs w:val="20"/>
        </w:rPr>
      </w:pPr>
    </w:p>
    <w:p w14:paraId="6C7408B6" w14:textId="04884899" w:rsidR="00437A66" w:rsidRPr="00471CBA" w:rsidRDefault="00437A66" w:rsidP="00F36B82">
      <w:pPr>
        <w:pStyle w:val="ListeParagraf"/>
        <w:numPr>
          <w:ilvl w:val="1"/>
          <w:numId w:val="2"/>
        </w:numPr>
        <w:tabs>
          <w:tab w:val="clear" w:pos="1440"/>
        </w:tabs>
        <w:ind w:left="1276" w:hanging="425"/>
        <w:jc w:val="both"/>
        <w:rPr>
          <w:b/>
          <w:bCs/>
          <w:szCs w:val="20"/>
        </w:rPr>
      </w:pPr>
      <w:r w:rsidRPr="00471CBA">
        <w:rPr>
          <w:b/>
          <w:bCs/>
          <w:szCs w:val="20"/>
        </w:rPr>
        <w:t>Gerçeğe uygun değer farkı diğer kapsamlı gelire yansıtılan finansal varlıklara ilişkin bilgiler</w:t>
      </w:r>
      <w:r w:rsidR="00342279" w:rsidRPr="00471CBA">
        <w:rPr>
          <w:b/>
          <w:bCs/>
          <w:szCs w:val="20"/>
        </w:rPr>
        <w:t>:</w:t>
      </w:r>
      <w:r w:rsidRPr="00471CBA">
        <w:rPr>
          <w:b/>
          <w:bCs/>
          <w:szCs w:val="20"/>
        </w:rPr>
        <w:t xml:space="preserve"> </w:t>
      </w:r>
    </w:p>
    <w:p w14:paraId="4ACF8822" w14:textId="410954AE" w:rsidR="00A74C68" w:rsidRPr="00471CBA" w:rsidRDefault="00A74C68" w:rsidP="00926EB7">
      <w:pPr>
        <w:pStyle w:val="GvdeMetniGirintisi"/>
        <w:widowControl w:val="0"/>
        <w:ind w:left="851" w:firstLine="0"/>
        <w:rPr>
          <w:szCs w:val="20"/>
        </w:rPr>
      </w:pPr>
    </w:p>
    <w:tbl>
      <w:tblPr>
        <w:tblW w:w="5000" w:type="pct"/>
        <w:tblCellMar>
          <w:left w:w="70" w:type="dxa"/>
          <w:right w:w="70" w:type="dxa"/>
        </w:tblCellMar>
        <w:tblLook w:val="04A0" w:firstRow="1" w:lastRow="0" w:firstColumn="1" w:lastColumn="0" w:noHBand="0" w:noVBand="1"/>
      </w:tblPr>
      <w:tblGrid>
        <w:gridCol w:w="6999"/>
        <w:gridCol w:w="2356"/>
      </w:tblGrid>
      <w:tr w:rsidR="00A74C68" w:rsidRPr="00471CBA" w14:paraId="5004F583" w14:textId="77777777" w:rsidTr="00A74C68">
        <w:trPr>
          <w:divId w:val="2068989399"/>
          <w:trHeight w:val="227"/>
        </w:trPr>
        <w:tc>
          <w:tcPr>
            <w:tcW w:w="3027" w:type="pct"/>
            <w:tcBorders>
              <w:top w:val="nil"/>
              <w:left w:val="nil"/>
              <w:bottom w:val="nil"/>
              <w:right w:val="nil"/>
            </w:tcBorders>
            <w:noWrap/>
            <w:vAlign w:val="bottom"/>
            <w:hideMark/>
          </w:tcPr>
          <w:p w14:paraId="75735856" w14:textId="11176D79" w:rsidR="00A74C68" w:rsidRPr="00471CBA" w:rsidRDefault="00A74C68" w:rsidP="00A74C68"/>
        </w:tc>
        <w:tc>
          <w:tcPr>
            <w:tcW w:w="1019" w:type="pct"/>
            <w:tcBorders>
              <w:top w:val="nil"/>
              <w:left w:val="nil"/>
              <w:bottom w:val="single" w:sz="4" w:space="0" w:color="auto"/>
              <w:right w:val="nil"/>
            </w:tcBorders>
            <w:noWrap/>
            <w:vAlign w:val="center"/>
            <w:hideMark/>
          </w:tcPr>
          <w:p w14:paraId="6510C93C" w14:textId="77777777" w:rsidR="00A74C68" w:rsidRPr="00471CBA" w:rsidRDefault="00A74C68" w:rsidP="00A74C68">
            <w:pPr>
              <w:jc w:val="right"/>
              <w:rPr>
                <w:b/>
                <w:bCs/>
                <w:color w:val="000000"/>
                <w:szCs w:val="20"/>
              </w:rPr>
            </w:pPr>
            <w:r w:rsidRPr="00471CBA">
              <w:rPr>
                <w:b/>
                <w:bCs/>
                <w:color w:val="000000"/>
                <w:szCs w:val="20"/>
              </w:rPr>
              <w:t>31 Aralık 2025</w:t>
            </w:r>
          </w:p>
        </w:tc>
      </w:tr>
      <w:tr w:rsidR="00A74C68" w:rsidRPr="00471CBA" w14:paraId="77F5E619" w14:textId="77777777" w:rsidTr="00A74C68">
        <w:trPr>
          <w:divId w:val="2068989399"/>
          <w:trHeight w:val="227"/>
        </w:trPr>
        <w:tc>
          <w:tcPr>
            <w:tcW w:w="3027" w:type="pct"/>
            <w:tcBorders>
              <w:top w:val="nil"/>
              <w:left w:val="nil"/>
              <w:bottom w:val="nil"/>
              <w:right w:val="nil"/>
            </w:tcBorders>
            <w:noWrap/>
            <w:vAlign w:val="bottom"/>
            <w:hideMark/>
          </w:tcPr>
          <w:p w14:paraId="694B7FF3" w14:textId="77777777" w:rsidR="00A74C68" w:rsidRPr="00471CBA" w:rsidRDefault="00A74C68" w:rsidP="00A74C68">
            <w:pPr>
              <w:rPr>
                <w:b/>
                <w:bCs/>
                <w:color w:val="000000"/>
                <w:szCs w:val="20"/>
              </w:rPr>
            </w:pPr>
          </w:p>
        </w:tc>
        <w:tc>
          <w:tcPr>
            <w:tcW w:w="1019" w:type="pct"/>
            <w:tcBorders>
              <w:top w:val="nil"/>
              <w:left w:val="nil"/>
              <w:bottom w:val="nil"/>
              <w:right w:val="nil"/>
            </w:tcBorders>
            <w:noWrap/>
            <w:vAlign w:val="bottom"/>
            <w:hideMark/>
          </w:tcPr>
          <w:p w14:paraId="1078738F" w14:textId="77777777" w:rsidR="00A74C68" w:rsidRPr="00471CBA" w:rsidRDefault="00A74C68" w:rsidP="00A74C68">
            <w:pPr>
              <w:jc w:val="center"/>
              <w:rPr>
                <w:szCs w:val="20"/>
              </w:rPr>
            </w:pPr>
          </w:p>
        </w:tc>
      </w:tr>
      <w:tr w:rsidR="00A74C68" w:rsidRPr="00471CBA" w14:paraId="132C1751" w14:textId="77777777" w:rsidTr="00A74C68">
        <w:trPr>
          <w:divId w:val="2068989399"/>
          <w:trHeight w:val="227"/>
        </w:trPr>
        <w:tc>
          <w:tcPr>
            <w:tcW w:w="3027" w:type="pct"/>
            <w:tcBorders>
              <w:top w:val="nil"/>
              <w:left w:val="nil"/>
              <w:bottom w:val="nil"/>
              <w:right w:val="nil"/>
            </w:tcBorders>
            <w:noWrap/>
            <w:vAlign w:val="bottom"/>
            <w:hideMark/>
          </w:tcPr>
          <w:p w14:paraId="2F895348" w14:textId="77777777" w:rsidR="00A74C68" w:rsidRPr="00471CBA" w:rsidRDefault="00A74C68" w:rsidP="00A74C68">
            <w:pPr>
              <w:rPr>
                <w:b/>
                <w:bCs/>
                <w:szCs w:val="20"/>
              </w:rPr>
            </w:pPr>
            <w:r w:rsidRPr="00471CBA">
              <w:rPr>
                <w:b/>
                <w:bCs/>
                <w:szCs w:val="20"/>
              </w:rPr>
              <w:t>Borçlanma Senetleri</w:t>
            </w:r>
          </w:p>
        </w:tc>
        <w:tc>
          <w:tcPr>
            <w:tcW w:w="1019" w:type="pct"/>
            <w:tcBorders>
              <w:top w:val="nil"/>
              <w:left w:val="nil"/>
              <w:bottom w:val="nil"/>
              <w:right w:val="nil"/>
            </w:tcBorders>
            <w:vAlign w:val="center"/>
            <w:hideMark/>
          </w:tcPr>
          <w:p w14:paraId="424CB0EC" w14:textId="77777777" w:rsidR="00A74C68" w:rsidRPr="00471CBA" w:rsidRDefault="00A74C68" w:rsidP="00A74C68">
            <w:pPr>
              <w:jc w:val="right"/>
              <w:rPr>
                <w:b/>
                <w:bCs/>
                <w:color w:val="000000"/>
                <w:szCs w:val="20"/>
              </w:rPr>
            </w:pPr>
            <w:r w:rsidRPr="00471CBA">
              <w:rPr>
                <w:b/>
                <w:bCs/>
                <w:color w:val="000000"/>
                <w:szCs w:val="20"/>
              </w:rPr>
              <w:t>5.188.331</w:t>
            </w:r>
          </w:p>
        </w:tc>
      </w:tr>
      <w:tr w:rsidR="00A74C68" w:rsidRPr="00471CBA" w14:paraId="6B6DDD78" w14:textId="77777777" w:rsidTr="00A74C68">
        <w:trPr>
          <w:divId w:val="2068989399"/>
          <w:trHeight w:val="227"/>
        </w:trPr>
        <w:tc>
          <w:tcPr>
            <w:tcW w:w="3027" w:type="pct"/>
            <w:tcBorders>
              <w:top w:val="nil"/>
              <w:left w:val="nil"/>
              <w:bottom w:val="nil"/>
              <w:right w:val="nil"/>
            </w:tcBorders>
            <w:noWrap/>
            <w:vAlign w:val="bottom"/>
            <w:hideMark/>
          </w:tcPr>
          <w:p w14:paraId="1D874024" w14:textId="77777777" w:rsidR="00A74C68" w:rsidRPr="00471CBA" w:rsidRDefault="00A74C68" w:rsidP="00A74C68">
            <w:pPr>
              <w:ind w:firstLineChars="100" w:firstLine="200"/>
              <w:rPr>
                <w:color w:val="000000"/>
                <w:szCs w:val="20"/>
              </w:rPr>
            </w:pPr>
            <w:r w:rsidRPr="00471CBA">
              <w:rPr>
                <w:color w:val="000000"/>
                <w:szCs w:val="20"/>
              </w:rPr>
              <w:t>Borsada İşlem Gören</w:t>
            </w:r>
          </w:p>
        </w:tc>
        <w:tc>
          <w:tcPr>
            <w:tcW w:w="1019" w:type="pct"/>
            <w:tcBorders>
              <w:top w:val="nil"/>
              <w:left w:val="nil"/>
              <w:bottom w:val="nil"/>
              <w:right w:val="nil"/>
            </w:tcBorders>
            <w:vAlign w:val="center"/>
            <w:hideMark/>
          </w:tcPr>
          <w:p w14:paraId="68B46404" w14:textId="77777777" w:rsidR="00A74C68" w:rsidRPr="00471CBA" w:rsidRDefault="00A74C68" w:rsidP="00A74C68">
            <w:pPr>
              <w:jc w:val="right"/>
              <w:rPr>
                <w:color w:val="000000"/>
                <w:szCs w:val="20"/>
              </w:rPr>
            </w:pPr>
            <w:r w:rsidRPr="00471CBA">
              <w:rPr>
                <w:color w:val="000000"/>
                <w:szCs w:val="20"/>
              </w:rPr>
              <w:t>5.188.331</w:t>
            </w:r>
          </w:p>
        </w:tc>
      </w:tr>
      <w:tr w:rsidR="00A74C68" w:rsidRPr="00471CBA" w14:paraId="4A1833E6" w14:textId="77777777" w:rsidTr="00A74C68">
        <w:trPr>
          <w:divId w:val="2068989399"/>
          <w:trHeight w:val="227"/>
        </w:trPr>
        <w:tc>
          <w:tcPr>
            <w:tcW w:w="3027" w:type="pct"/>
            <w:tcBorders>
              <w:top w:val="nil"/>
              <w:left w:val="nil"/>
              <w:bottom w:val="nil"/>
              <w:right w:val="nil"/>
            </w:tcBorders>
            <w:noWrap/>
            <w:vAlign w:val="bottom"/>
            <w:hideMark/>
          </w:tcPr>
          <w:p w14:paraId="70D633A3" w14:textId="77777777" w:rsidR="00A74C68" w:rsidRPr="00471CBA" w:rsidRDefault="00A74C68" w:rsidP="00A74C68">
            <w:pPr>
              <w:ind w:firstLineChars="100" w:firstLine="200"/>
              <w:rPr>
                <w:color w:val="000000"/>
                <w:szCs w:val="20"/>
              </w:rPr>
            </w:pPr>
            <w:r w:rsidRPr="00471CBA">
              <w:rPr>
                <w:color w:val="000000"/>
                <w:szCs w:val="20"/>
              </w:rPr>
              <w:t>Borsada İşlem Görmeyen</w:t>
            </w:r>
          </w:p>
        </w:tc>
        <w:tc>
          <w:tcPr>
            <w:tcW w:w="1019" w:type="pct"/>
            <w:tcBorders>
              <w:top w:val="nil"/>
              <w:left w:val="nil"/>
              <w:bottom w:val="nil"/>
              <w:right w:val="nil"/>
            </w:tcBorders>
            <w:vAlign w:val="center"/>
            <w:hideMark/>
          </w:tcPr>
          <w:p w14:paraId="6487D58B" w14:textId="77777777" w:rsidR="00A74C68" w:rsidRPr="00471CBA" w:rsidRDefault="00A74C68" w:rsidP="00A74C68">
            <w:pPr>
              <w:jc w:val="right"/>
              <w:rPr>
                <w:color w:val="000000"/>
                <w:szCs w:val="20"/>
              </w:rPr>
            </w:pPr>
            <w:r w:rsidRPr="00471CBA">
              <w:rPr>
                <w:color w:val="000000"/>
                <w:szCs w:val="20"/>
              </w:rPr>
              <w:t>-</w:t>
            </w:r>
          </w:p>
        </w:tc>
      </w:tr>
      <w:tr w:rsidR="00A74C68" w:rsidRPr="00471CBA" w14:paraId="09FB9B3C" w14:textId="77777777" w:rsidTr="00A74C68">
        <w:trPr>
          <w:divId w:val="2068989399"/>
          <w:trHeight w:val="227"/>
        </w:trPr>
        <w:tc>
          <w:tcPr>
            <w:tcW w:w="3027" w:type="pct"/>
            <w:tcBorders>
              <w:top w:val="nil"/>
              <w:left w:val="nil"/>
              <w:bottom w:val="nil"/>
              <w:right w:val="nil"/>
            </w:tcBorders>
            <w:noWrap/>
            <w:vAlign w:val="bottom"/>
            <w:hideMark/>
          </w:tcPr>
          <w:p w14:paraId="1D8BE8CE" w14:textId="77777777" w:rsidR="00A74C68" w:rsidRPr="00471CBA" w:rsidRDefault="00A74C68" w:rsidP="00A74C68">
            <w:pPr>
              <w:rPr>
                <w:b/>
                <w:bCs/>
                <w:szCs w:val="20"/>
              </w:rPr>
            </w:pPr>
            <w:r w:rsidRPr="00471CBA">
              <w:rPr>
                <w:b/>
                <w:bCs/>
                <w:szCs w:val="20"/>
              </w:rPr>
              <w:t>Hisse Senetleri</w:t>
            </w:r>
          </w:p>
        </w:tc>
        <w:tc>
          <w:tcPr>
            <w:tcW w:w="1019" w:type="pct"/>
            <w:tcBorders>
              <w:top w:val="nil"/>
              <w:left w:val="nil"/>
              <w:bottom w:val="nil"/>
              <w:right w:val="nil"/>
            </w:tcBorders>
            <w:vAlign w:val="center"/>
            <w:hideMark/>
          </w:tcPr>
          <w:p w14:paraId="1B6EF00B" w14:textId="77777777" w:rsidR="00A74C68" w:rsidRPr="00471CBA" w:rsidRDefault="00A74C68" w:rsidP="00A74C68">
            <w:pPr>
              <w:jc w:val="right"/>
              <w:rPr>
                <w:color w:val="000000"/>
                <w:szCs w:val="20"/>
              </w:rPr>
            </w:pPr>
            <w:r w:rsidRPr="00471CBA">
              <w:rPr>
                <w:color w:val="000000"/>
                <w:szCs w:val="20"/>
              </w:rPr>
              <w:t>-</w:t>
            </w:r>
          </w:p>
        </w:tc>
      </w:tr>
      <w:tr w:rsidR="00A74C68" w:rsidRPr="00471CBA" w14:paraId="13DEB306" w14:textId="77777777" w:rsidTr="00A74C68">
        <w:trPr>
          <w:divId w:val="2068989399"/>
          <w:trHeight w:val="227"/>
        </w:trPr>
        <w:tc>
          <w:tcPr>
            <w:tcW w:w="3027" w:type="pct"/>
            <w:tcBorders>
              <w:top w:val="nil"/>
              <w:left w:val="nil"/>
              <w:bottom w:val="nil"/>
              <w:right w:val="nil"/>
            </w:tcBorders>
            <w:noWrap/>
            <w:vAlign w:val="bottom"/>
            <w:hideMark/>
          </w:tcPr>
          <w:p w14:paraId="147EF9FB" w14:textId="77777777" w:rsidR="00A74C68" w:rsidRPr="00471CBA" w:rsidRDefault="00A74C68" w:rsidP="00A74C68">
            <w:pPr>
              <w:ind w:firstLineChars="100" w:firstLine="200"/>
              <w:rPr>
                <w:color w:val="000000"/>
                <w:szCs w:val="20"/>
              </w:rPr>
            </w:pPr>
            <w:r w:rsidRPr="00471CBA">
              <w:rPr>
                <w:color w:val="000000"/>
                <w:szCs w:val="20"/>
              </w:rPr>
              <w:t>Borsada İşlem Gören</w:t>
            </w:r>
          </w:p>
        </w:tc>
        <w:tc>
          <w:tcPr>
            <w:tcW w:w="1019" w:type="pct"/>
            <w:tcBorders>
              <w:top w:val="nil"/>
              <w:left w:val="nil"/>
              <w:bottom w:val="nil"/>
              <w:right w:val="nil"/>
            </w:tcBorders>
            <w:vAlign w:val="center"/>
            <w:hideMark/>
          </w:tcPr>
          <w:p w14:paraId="6648D9F6" w14:textId="77777777" w:rsidR="00A74C68" w:rsidRPr="00471CBA" w:rsidRDefault="00A74C68" w:rsidP="00A74C68">
            <w:pPr>
              <w:jc w:val="right"/>
              <w:rPr>
                <w:color w:val="000000"/>
                <w:szCs w:val="20"/>
              </w:rPr>
            </w:pPr>
            <w:r w:rsidRPr="00471CBA">
              <w:rPr>
                <w:color w:val="000000"/>
                <w:szCs w:val="20"/>
              </w:rPr>
              <w:t>-</w:t>
            </w:r>
          </w:p>
        </w:tc>
      </w:tr>
      <w:tr w:rsidR="00A74C68" w:rsidRPr="00471CBA" w14:paraId="4F28A9AB" w14:textId="77777777" w:rsidTr="00A74C68">
        <w:trPr>
          <w:divId w:val="2068989399"/>
          <w:trHeight w:val="227"/>
        </w:trPr>
        <w:tc>
          <w:tcPr>
            <w:tcW w:w="3027" w:type="pct"/>
            <w:tcBorders>
              <w:top w:val="nil"/>
              <w:left w:val="nil"/>
              <w:bottom w:val="nil"/>
              <w:right w:val="nil"/>
            </w:tcBorders>
            <w:noWrap/>
            <w:vAlign w:val="bottom"/>
            <w:hideMark/>
          </w:tcPr>
          <w:p w14:paraId="61869BEF" w14:textId="77777777" w:rsidR="00A74C68" w:rsidRPr="00471CBA" w:rsidRDefault="00A74C68" w:rsidP="00A74C68">
            <w:pPr>
              <w:ind w:firstLineChars="100" w:firstLine="200"/>
              <w:rPr>
                <w:color w:val="000000"/>
                <w:szCs w:val="20"/>
              </w:rPr>
            </w:pPr>
            <w:r w:rsidRPr="00471CBA">
              <w:rPr>
                <w:color w:val="000000"/>
                <w:szCs w:val="20"/>
              </w:rPr>
              <w:t>Borsada İşlem Görmeyen</w:t>
            </w:r>
          </w:p>
        </w:tc>
        <w:tc>
          <w:tcPr>
            <w:tcW w:w="1019" w:type="pct"/>
            <w:tcBorders>
              <w:top w:val="nil"/>
              <w:left w:val="nil"/>
              <w:bottom w:val="nil"/>
              <w:right w:val="nil"/>
            </w:tcBorders>
            <w:vAlign w:val="center"/>
            <w:hideMark/>
          </w:tcPr>
          <w:p w14:paraId="041906DB" w14:textId="77777777" w:rsidR="00A74C68" w:rsidRPr="00471CBA" w:rsidRDefault="00A74C68" w:rsidP="00A74C68">
            <w:pPr>
              <w:jc w:val="right"/>
              <w:rPr>
                <w:color w:val="000000"/>
                <w:szCs w:val="20"/>
              </w:rPr>
            </w:pPr>
            <w:r w:rsidRPr="00471CBA">
              <w:rPr>
                <w:color w:val="000000"/>
                <w:szCs w:val="20"/>
              </w:rPr>
              <w:t>-</w:t>
            </w:r>
          </w:p>
        </w:tc>
      </w:tr>
      <w:tr w:rsidR="00A74C68" w:rsidRPr="00471CBA" w14:paraId="0DFF996F" w14:textId="77777777" w:rsidTr="00A74C68">
        <w:trPr>
          <w:divId w:val="2068989399"/>
          <w:trHeight w:val="227"/>
        </w:trPr>
        <w:tc>
          <w:tcPr>
            <w:tcW w:w="3027" w:type="pct"/>
            <w:tcBorders>
              <w:top w:val="nil"/>
              <w:left w:val="nil"/>
              <w:bottom w:val="single" w:sz="4" w:space="0" w:color="auto"/>
              <w:right w:val="nil"/>
            </w:tcBorders>
            <w:noWrap/>
            <w:vAlign w:val="bottom"/>
            <w:hideMark/>
          </w:tcPr>
          <w:p w14:paraId="6601E21B" w14:textId="77777777" w:rsidR="00A74C68" w:rsidRPr="00471CBA" w:rsidRDefault="00A74C68" w:rsidP="00A74C68">
            <w:pPr>
              <w:rPr>
                <w:b/>
                <w:bCs/>
                <w:szCs w:val="20"/>
              </w:rPr>
            </w:pPr>
            <w:r w:rsidRPr="00471CBA">
              <w:rPr>
                <w:b/>
                <w:bCs/>
                <w:szCs w:val="20"/>
              </w:rPr>
              <w:t>Değer Azalma Karşılığı (-)</w:t>
            </w:r>
          </w:p>
        </w:tc>
        <w:tc>
          <w:tcPr>
            <w:tcW w:w="1019" w:type="pct"/>
            <w:tcBorders>
              <w:top w:val="nil"/>
              <w:left w:val="nil"/>
              <w:bottom w:val="single" w:sz="4" w:space="0" w:color="auto"/>
              <w:right w:val="nil"/>
            </w:tcBorders>
            <w:vAlign w:val="center"/>
            <w:hideMark/>
          </w:tcPr>
          <w:p w14:paraId="714C0F9B" w14:textId="77777777" w:rsidR="00A74C68" w:rsidRPr="00471CBA" w:rsidRDefault="00A74C68" w:rsidP="00A74C68">
            <w:pPr>
              <w:jc w:val="right"/>
              <w:rPr>
                <w:color w:val="000000"/>
                <w:szCs w:val="20"/>
              </w:rPr>
            </w:pPr>
            <w:r w:rsidRPr="00471CBA">
              <w:rPr>
                <w:color w:val="000000"/>
                <w:szCs w:val="20"/>
              </w:rPr>
              <w:t>474</w:t>
            </w:r>
          </w:p>
        </w:tc>
      </w:tr>
      <w:tr w:rsidR="00A74C68" w:rsidRPr="00471CBA" w14:paraId="7D156AB4" w14:textId="77777777" w:rsidTr="00A74C68">
        <w:trPr>
          <w:divId w:val="2068989399"/>
          <w:trHeight w:val="227"/>
        </w:trPr>
        <w:tc>
          <w:tcPr>
            <w:tcW w:w="3027" w:type="pct"/>
            <w:tcBorders>
              <w:top w:val="nil"/>
              <w:left w:val="nil"/>
              <w:right w:val="nil"/>
            </w:tcBorders>
            <w:noWrap/>
            <w:vAlign w:val="bottom"/>
            <w:hideMark/>
          </w:tcPr>
          <w:p w14:paraId="21ADEF00" w14:textId="77777777" w:rsidR="00A74C68" w:rsidRPr="00471CBA" w:rsidRDefault="00A74C68" w:rsidP="00A74C68">
            <w:pPr>
              <w:jc w:val="right"/>
              <w:rPr>
                <w:color w:val="000000"/>
                <w:szCs w:val="20"/>
              </w:rPr>
            </w:pPr>
          </w:p>
        </w:tc>
        <w:tc>
          <w:tcPr>
            <w:tcW w:w="1019" w:type="pct"/>
            <w:tcBorders>
              <w:top w:val="nil"/>
              <w:left w:val="nil"/>
              <w:right w:val="nil"/>
            </w:tcBorders>
            <w:noWrap/>
            <w:vAlign w:val="center"/>
            <w:hideMark/>
          </w:tcPr>
          <w:p w14:paraId="28B684E7" w14:textId="77777777" w:rsidR="00A74C68" w:rsidRPr="00471CBA" w:rsidRDefault="00A74C68" w:rsidP="00A74C68">
            <w:pPr>
              <w:jc w:val="right"/>
              <w:rPr>
                <w:szCs w:val="20"/>
              </w:rPr>
            </w:pPr>
          </w:p>
        </w:tc>
      </w:tr>
      <w:tr w:rsidR="00A74C68" w:rsidRPr="00471CBA" w14:paraId="3E81838D" w14:textId="77777777" w:rsidTr="00A74C68">
        <w:trPr>
          <w:divId w:val="2068989399"/>
          <w:trHeight w:val="227"/>
        </w:trPr>
        <w:tc>
          <w:tcPr>
            <w:tcW w:w="3027" w:type="pct"/>
            <w:tcBorders>
              <w:top w:val="nil"/>
              <w:left w:val="nil"/>
              <w:bottom w:val="single" w:sz="12" w:space="0" w:color="auto"/>
              <w:right w:val="nil"/>
            </w:tcBorders>
            <w:noWrap/>
            <w:vAlign w:val="bottom"/>
            <w:hideMark/>
          </w:tcPr>
          <w:p w14:paraId="39AB84F6" w14:textId="77777777" w:rsidR="00A74C68" w:rsidRPr="00471CBA" w:rsidRDefault="00A74C68" w:rsidP="00A74C68">
            <w:pPr>
              <w:rPr>
                <w:b/>
                <w:bCs/>
                <w:szCs w:val="20"/>
              </w:rPr>
            </w:pPr>
            <w:r w:rsidRPr="00471CBA">
              <w:rPr>
                <w:b/>
                <w:bCs/>
                <w:szCs w:val="20"/>
              </w:rPr>
              <w:t>Toplam</w:t>
            </w:r>
          </w:p>
        </w:tc>
        <w:tc>
          <w:tcPr>
            <w:tcW w:w="1019" w:type="pct"/>
            <w:tcBorders>
              <w:top w:val="nil"/>
              <w:left w:val="nil"/>
              <w:bottom w:val="single" w:sz="12" w:space="0" w:color="auto"/>
              <w:right w:val="nil"/>
            </w:tcBorders>
            <w:vAlign w:val="center"/>
            <w:hideMark/>
          </w:tcPr>
          <w:p w14:paraId="041897BB" w14:textId="77777777" w:rsidR="00A74C68" w:rsidRPr="00471CBA" w:rsidRDefault="00A74C68" w:rsidP="00A74C68">
            <w:pPr>
              <w:jc w:val="right"/>
              <w:rPr>
                <w:b/>
                <w:bCs/>
                <w:color w:val="000000"/>
                <w:szCs w:val="20"/>
              </w:rPr>
            </w:pPr>
            <w:r w:rsidRPr="00471CBA">
              <w:rPr>
                <w:b/>
                <w:bCs/>
                <w:color w:val="000000"/>
                <w:szCs w:val="20"/>
              </w:rPr>
              <w:t>5.187.857</w:t>
            </w:r>
          </w:p>
        </w:tc>
      </w:tr>
    </w:tbl>
    <w:p w14:paraId="77CF9711" w14:textId="5C0182F2" w:rsidR="00F95068" w:rsidRPr="00471CBA" w:rsidRDefault="00F95068" w:rsidP="00926EB7">
      <w:pPr>
        <w:pStyle w:val="GvdeMetniGirintisi"/>
        <w:widowControl w:val="0"/>
        <w:ind w:left="851" w:firstLine="0"/>
        <w:rPr>
          <w:b/>
          <w:szCs w:val="20"/>
        </w:rPr>
      </w:pPr>
    </w:p>
    <w:tbl>
      <w:tblPr>
        <w:tblW w:w="5000" w:type="pct"/>
        <w:tblCellMar>
          <w:left w:w="70" w:type="dxa"/>
          <w:right w:w="70" w:type="dxa"/>
        </w:tblCellMar>
        <w:tblLook w:val="04A0" w:firstRow="1" w:lastRow="0" w:firstColumn="1" w:lastColumn="0" w:noHBand="0" w:noVBand="1"/>
      </w:tblPr>
      <w:tblGrid>
        <w:gridCol w:w="7114"/>
        <w:gridCol w:w="2241"/>
      </w:tblGrid>
      <w:tr w:rsidR="00204442" w:rsidRPr="00471CBA" w14:paraId="022F8639" w14:textId="77777777" w:rsidTr="009B2EDC">
        <w:trPr>
          <w:trHeight w:val="227"/>
        </w:trPr>
        <w:tc>
          <w:tcPr>
            <w:tcW w:w="3802" w:type="pct"/>
            <w:tcBorders>
              <w:top w:val="nil"/>
              <w:left w:val="nil"/>
              <w:bottom w:val="nil"/>
              <w:right w:val="nil"/>
            </w:tcBorders>
            <w:noWrap/>
            <w:vAlign w:val="bottom"/>
            <w:hideMark/>
          </w:tcPr>
          <w:p w14:paraId="7F2C1159" w14:textId="77777777" w:rsidR="00204442" w:rsidRPr="00471CBA" w:rsidRDefault="00204442" w:rsidP="003B2BBE"/>
        </w:tc>
        <w:tc>
          <w:tcPr>
            <w:tcW w:w="1198" w:type="pct"/>
            <w:tcBorders>
              <w:top w:val="nil"/>
              <w:left w:val="nil"/>
              <w:bottom w:val="single" w:sz="4" w:space="0" w:color="auto"/>
              <w:right w:val="nil"/>
            </w:tcBorders>
            <w:noWrap/>
            <w:vAlign w:val="center"/>
            <w:hideMark/>
          </w:tcPr>
          <w:p w14:paraId="6A52B67B" w14:textId="77777777" w:rsidR="00204442" w:rsidRPr="00471CBA" w:rsidRDefault="00204442" w:rsidP="003B2BBE">
            <w:pPr>
              <w:jc w:val="right"/>
              <w:rPr>
                <w:b/>
                <w:bCs/>
                <w:color w:val="000000"/>
                <w:szCs w:val="20"/>
              </w:rPr>
            </w:pPr>
            <w:r w:rsidRPr="00471CBA">
              <w:rPr>
                <w:b/>
                <w:bCs/>
                <w:color w:val="000000"/>
                <w:szCs w:val="20"/>
              </w:rPr>
              <w:t>31 Aralık 2024</w:t>
            </w:r>
          </w:p>
        </w:tc>
      </w:tr>
      <w:tr w:rsidR="00204442" w:rsidRPr="00471CBA" w14:paraId="1640215A" w14:textId="77777777" w:rsidTr="009B2EDC">
        <w:trPr>
          <w:trHeight w:val="227"/>
        </w:trPr>
        <w:tc>
          <w:tcPr>
            <w:tcW w:w="3802" w:type="pct"/>
            <w:tcBorders>
              <w:top w:val="nil"/>
              <w:left w:val="nil"/>
              <w:bottom w:val="nil"/>
              <w:right w:val="nil"/>
            </w:tcBorders>
            <w:noWrap/>
            <w:vAlign w:val="bottom"/>
            <w:hideMark/>
          </w:tcPr>
          <w:p w14:paraId="743CDDA5" w14:textId="77777777" w:rsidR="00204442" w:rsidRPr="00471CBA" w:rsidRDefault="00204442" w:rsidP="003B2BBE">
            <w:pPr>
              <w:rPr>
                <w:b/>
                <w:bCs/>
                <w:color w:val="000000"/>
                <w:szCs w:val="20"/>
              </w:rPr>
            </w:pPr>
          </w:p>
        </w:tc>
        <w:tc>
          <w:tcPr>
            <w:tcW w:w="1198" w:type="pct"/>
            <w:tcBorders>
              <w:top w:val="nil"/>
              <w:left w:val="nil"/>
              <w:bottom w:val="nil"/>
              <w:right w:val="nil"/>
            </w:tcBorders>
            <w:noWrap/>
            <w:vAlign w:val="bottom"/>
            <w:hideMark/>
          </w:tcPr>
          <w:p w14:paraId="24BD8911" w14:textId="77777777" w:rsidR="00204442" w:rsidRPr="00471CBA" w:rsidRDefault="00204442" w:rsidP="003B2BBE">
            <w:pPr>
              <w:jc w:val="center"/>
              <w:rPr>
                <w:szCs w:val="20"/>
              </w:rPr>
            </w:pPr>
          </w:p>
        </w:tc>
      </w:tr>
      <w:tr w:rsidR="00204442" w:rsidRPr="00471CBA" w14:paraId="0779825E" w14:textId="77777777" w:rsidTr="009B2EDC">
        <w:trPr>
          <w:trHeight w:val="227"/>
        </w:trPr>
        <w:tc>
          <w:tcPr>
            <w:tcW w:w="3802" w:type="pct"/>
            <w:tcBorders>
              <w:top w:val="nil"/>
              <w:left w:val="nil"/>
              <w:bottom w:val="nil"/>
              <w:right w:val="nil"/>
            </w:tcBorders>
            <w:noWrap/>
            <w:vAlign w:val="bottom"/>
            <w:hideMark/>
          </w:tcPr>
          <w:p w14:paraId="354C3ACF" w14:textId="77777777" w:rsidR="00204442" w:rsidRPr="00471CBA" w:rsidRDefault="00204442" w:rsidP="003B2BBE">
            <w:pPr>
              <w:rPr>
                <w:b/>
                <w:bCs/>
                <w:szCs w:val="20"/>
              </w:rPr>
            </w:pPr>
            <w:r w:rsidRPr="00471CBA">
              <w:rPr>
                <w:b/>
                <w:bCs/>
                <w:szCs w:val="20"/>
              </w:rPr>
              <w:t>Borçlanma Senetleri</w:t>
            </w:r>
          </w:p>
        </w:tc>
        <w:tc>
          <w:tcPr>
            <w:tcW w:w="1198" w:type="pct"/>
            <w:tcBorders>
              <w:top w:val="nil"/>
              <w:left w:val="nil"/>
              <w:bottom w:val="nil"/>
              <w:right w:val="nil"/>
            </w:tcBorders>
            <w:vAlign w:val="center"/>
            <w:hideMark/>
          </w:tcPr>
          <w:p w14:paraId="61E0C885" w14:textId="77777777" w:rsidR="00204442" w:rsidRPr="00471CBA" w:rsidRDefault="00204442" w:rsidP="003B2BBE">
            <w:pPr>
              <w:jc w:val="right"/>
              <w:rPr>
                <w:b/>
                <w:bCs/>
                <w:color w:val="000000"/>
                <w:szCs w:val="20"/>
              </w:rPr>
            </w:pPr>
            <w:r w:rsidRPr="00471CBA">
              <w:rPr>
                <w:b/>
                <w:bCs/>
                <w:color w:val="000000"/>
                <w:szCs w:val="20"/>
              </w:rPr>
              <w:t>964.443</w:t>
            </w:r>
          </w:p>
        </w:tc>
      </w:tr>
      <w:tr w:rsidR="00204442" w:rsidRPr="00471CBA" w14:paraId="3A456618" w14:textId="77777777" w:rsidTr="009B2EDC">
        <w:trPr>
          <w:trHeight w:val="227"/>
        </w:trPr>
        <w:tc>
          <w:tcPr>
            <w:tcW w:w="3802" w:type="pct"/>
            <w:tcBorders>
              <w:top w:val="nil"/>
              <w:left w:val="nil"/>
              <w:bottom w:val="nil"/>
              <w:right w:val="nil"/>
            </w:tcBorders>
            <w:noWrap/>
            <w:vAlign w:val="bottom"/>
            <w:hideMark/>
          </w:tcPr>
          <w:p w14:paraId="5B8B00C7" w14:textId="77777777" w:rsidR="00204442" w:rsidRPr="00471CBA" w:rsidRDefault="00204442" w:rsidP="003B2BBE">
            <w:pPr>
              <w:ind w:firstLineChars="100" w:firstLine="200"/>
              <w:rPr>
                <w:color w:val="000000"/>
                <w:szCs w:val="20"/>
              </w:rPr>
            </w:pPr>
            <w:r w:rsidRPr="00471CBA">
              <w:rPr>
                <w:color w:val="000000"/>
                <w:szCs w:val="20"/>
              </w:rPr>
              <w:t>Borsada İşlem Gören</w:t>
            </w:r>
          </w:p>
        </w:tc>
        <w:tc>
          <w:tcPr>
            <w:tcW w:w="1198" w:type="pct"/>
            <w:tcBorders>
              <w:top w:val="nil"/>
              <w:left w:val="nil"/>
              <w:bottom w:val="nil"/>
              <w:right w:val="nil"/>
            </w:tcBorders>
            <w:vAlign w:val="center"/>
            <w:hideMark/>
          </w:tcPr>
          <w:p w14:paraId="4D93CDA7" w14:textId="77777777" w:rsidR="00204442" w:rsidRPr="00471CBA" w:rsidRDefault="00204442" w:rsidP="003B2BBE">
            <w:pPr>
              <w:jc w:val="right"/>
              <w:rPr>
                <w:color w:val="000000"/>
                <w:szCs w:val="20"/>
              </w:rPr>
            </w:pPr>
            <w:r w:rsidRPr="00471CBA">
              <w:rPr>
                <w:color w:val="000000"/>
                <w:szCs w:val="20"/>
              </w:rPr>
              <w:t>964.443</w:t>
            </w:r>
          </w:p>
        </w:tc>
      </w:tr>
      <w:tr w:rsidR="00204442" w:rsidRPr="00471CBA" w14:paraId="14C305D3" w14:textId="77777777" w:rsidTr="009B2EDC">
        <w:trPr>
          <w:trHeight w:val="227"/>
        </w:trPr>
        <w:tc>
          <w:tcPr>
            <w:tcW w:w="3802" w:type="pct"/>
            <w:tcBorders>
              <w:top w:val="nil"/>
              <w:left w:val="nil"/>
              <w:bottom w:val="nil"/>
              <w:right w:val="nil"/>
            </w:tcBorders>
            <w:noWrap/>
            <w:vAlign w:val="bottom"/>
            <w:hideMark/>
          </w:tcPr>
          <w:p w14:paraId="136A8C2D" w14:textId="77777777" w:rsidR="00204442" w:rsidRPr="00471CBA" w:rsidRDefault="00204442" w:rsidP="003B2BBE">
            <w:pPr>
              <w:ind w:firstLineChars="100" w:firstLine="200"/>
              <w:rPr>
                <w:color w:val="000000"/>
                <w:szCs w:val="20"/>
              </w:rPr>
            </w:pPr>
            <w:r w:rsidRPr="00471CBA">
              <w:rPr>
                <w:color w:val="000000"/>
                <w:szCs w:val="20"/>
              </w:rPr>
              <w:t>Borsada İşlem Görmeyen</w:t>
            </w:r>
          </w:p>
        </w:tc>
        <w:tc>
          <w:tcPr>
            <w:tcW w:w="1198" w:type="pct"/>
            <w:tcBorders>
              <w:top w:val="nil"/>
              <w:left w:val="nil"/>
              <w:bottom w:val="nil"/>
              <w:right w:val="nil"/>
            </w:tcBorders>
            <w:vAlign w:val="center"/>
            <w:hideMark/>
          </w:tcPr>
          <w:p w14:paraId="2FB02D35" w14:textId="77777777" w:rsidR="00204442" w:rsidRPr="00471CBA" w:rsidRDefault="00204442" w:rsidP="003B2BBE">
            <w:pPr>
              <w:jc w:val="right"/>
              <w:rPr>
                <w:color w:val="000000"/>
                <w:szCs w:val="20"/>
              </w:rPr>
            </w:pPr>
            <w:r w:rsidRPr="00471CBA">
              <w:rPr>
                <w:color w:val="000000"/>
                <w:szCs w:val="20"/>
              </w:rPr>
              <w:t>-</w:t>
            </w:r>
          </w:p>
        </w:tc>
      </w:tr>
      <w:tr w:rsidR="00204442" w:rsidRPr="00471CBA" w14:paraId="70568D37" w14:textId="77777777" w:rsidTr="009B2EDC">
        <w:trPr>
          <w:trHeight w:val="227"/>
        </w:trPr>
        <w:tc>
          <w:tcPr>
            <w:tcW w:w="3802" w:type="pct"/>
            <w:tcBorders>
              <w:top w:val="nil"/>
              <w:left w:val="nil"/>
              <w:bottom w:val="nil"/>
              <w:right w:val="nil"/>
            </w:tcBorders>
            <w:noWrap/>
            <w:vAlign w:val="bottom"/>
            <w:hideMark/>
          </w:tcPr>
          <w:p w14:paraId="18C332A4" w14:textId="77777777" w:rsidR="00204442" w:rsidRPr="00471CBA" w:rsidRDefault="00204442" w:rsidP="003B2BBE">
            <w:pPr>
              <w:rPr>
                <w:b/>
                <w:bCs/>
                <w:szCs w:val="20"/>
              </w:rPr>
            </w:pPr>
            <w:r w:rsidRPr="00471CBA">
              <w:rPr>
                <w:b/>
                <w:bCs/>
                <w:szCs w:val="20"/>
              </w:rPr>
              <w:t>Hisse Senetleri</w:t>
            </w:r>
          </w:p>
        </w:tc>
        <w:tc>
          <w:tcPr>
            <w:tcW w:w="1198" w:type="pct"/>
            <w:tcBorders>
              <w:top w:val="nil"/>
              <w:left w:val="nil"/>
              <w:bottom w:val="nil"/>
              <w:right w:val="nil"/>
            </w:tcBorders>
            <w:vAlign w:val="center"/>
            <w:hideMark/>
          </w:tcPr>
          <w:p w14:paraId="5D891E26" w14:textId="77777777" w:rsidR="00204442" w:rsidRPr="00471CBA" w:rsidRDefault="00204442" w:rsidP="003B2BBE">
            <w:pPr>
              <w:jc w:val="right"/>
              <w:rPr>
                <w:color w:val="000000"/>
                <w:szCs w:val="20"/>
              </w:rPr>
            </w:pPr>
            <w:r w:rsidRPr="00471CBA">
              <w:rPr>
                <w:color w:val="000000"/>
                <w:szCs w:val="20"/>
              </w:rPr>
              <w:t>-</w:t>
            </w:r>
          </w:p>
        </w:tc>
      </w:tr>
      <w:tr w:rsidR="00204442" w:rsidRPr="00471CBA" w14:paraId="0182E4FB" w14:textId="77777777" w:rsidTr="009B2EDC">
        <w:trPr>
          <w:trHeight w:val="227"/>
        </w:trPr>
        <w:tc>
          <w:tcPr>
            <w:tcW w:w="3802" w:type="pct"/>
            <w:tcBorders>
              <w:top w:val="nil"/>
              <w:left w:val="nil"/>
              <w:bottom w:val="nil"/>
              <w:right w:val="nil"/>
            </w:tcBorders>
            <w:noWrap/>
            <w:vAlign w:val="bottom"/>
            <w:hideMark/>
          </w:tcPr>
          <w:p w14:paraId="43746905" w14:textId="77777777" w:rsidR="00204442" w:rsidRPr="00471CBA" w:rsidRDefault="00204442" w:rsidP="003B2BBE">
            <w:pPr>
              <w:ind w:firstLineChars="100" w:firstLine="200"/>
              <w:rPr>
                <w:color w:val="000000"/>
                <w:szCs w:val="20"/>
              </w:rPr>
            </w:pPr>
            <w:r w:rsidRPr="00471CBA">
              <w:rPr>
                <w:color w:val="000000"/>
                <w:szCs w:val="20"/>
              </w:rPr>
              <w:t>Borsada İşlem Gören</w:t>
            </w:r>
          </w:p>
        </w:tc>
        <w:tc>
          <w:tcPr>
            <w:tcW w:w="1198" w:type="pct"/>
            <w:tcBorders>
              <w:top w:val="nil"/>
              <w:left w:val="nil"/>
              <w:bottom w:val="nil"/>
              <w:right w:val="nil"/>
            </w:tcBorders>
            <w:vAlign w:val="center"/>
            <w:hideMark/>
          </w:tcPr>
          <w:p w14:paraId="355E662F" w14:textId="77777777" w:rsidR="00204442" w:rsidRPr="00471CBA" w:rsidRDefault="00204442" w:rsidP="003B2BBE">
            <w:pPr>
              <w:jc w:val="right"/>
              <w:rPr>
                <w:color w:val="000000"/>
                <w:szCs w:val="20"/>
              </w:rPr>
            </w:pPr>
            <w:r w:rsidRPr="00471CBA">
              <w:rPr>
                <w:color w:val="000000"/>
                <w:szCs w:val="20"/>
              </w:rPr>
              <w:t>-</w:t>
            </w:r>
          </w:p>
        </w:tc>
      </w:tr>
      <w:tr w:rsidR="00204442" w:rsidRPr="00471CBA" w14:paraId="7F158736" w14:textId="77777777" w:rsidTr="009B2EDC">
        <w:trPr>
          <w:trHeight w:val="227"/>
        </w:trPr>
        <w:tc>
          <w:tcPr>
            <w:tcW w:w="3802" w:type="pct"/>
            <w:tcBorders>
              <w:top w:val="nil"/>
              <w:left w:val="nil"/>
              <w:bottom w:val="nil"/>
              <w:right w:val="nil"/>
            </w:tcBorders>
            <w:noWrap/>
            <w:vAlign w:val="bottom"/>
            <w:hideMark/>
          </w:tcPr>
          <w:p w14:paraId="159724BD" w14:textId="77777777" w:rsidR="00204442" w:rsidRPr="00471CBA" w:rsidRDefault="00204442" w:rsidP="003B2BBE">
            <w:pPr>
              <w:ind w:firstLineChars="100" w:firstLine="200"/>
              <w:rPr>
                <w:color w:val="000000"/>
                <w:szCs w:val="20"/>
              </w:rPr>
            </w:pPr>
            <w:r w:rsidRPr="00471CBA">
              <w:rPr>
                <w:color w:val="000000"/>
                <w:szCs w:val="20"/>
              </w:rPr>
              <w:t>Borsada İşlem Görmeyen</w:t>
            </w:r>
          </w:p>
        </w:tc>
        <w:tc>
          <w:tcPr>
            <w:tcW w:w="1198" w:type="pct"/>
            <w:tcBorders>
              <w:top w:val="nil"/>
              <w:left w:val="nil"/>
              <w:bottom w:val="nil"/>
              <w:right w:val="nil"/>
            </w:tcBorders>
            <w:vAlign w:val="center"/>
            <w:hideMark/>
          </w:tcPr>
          <w:p w14:paraId="74EE8FF4" w14:textId="77777777" w:rsidR="00204442" w:rsidRPr="00471CBA" w:rsidRDefault="00204442" w:rsidP="003B2BBE">
            <w:pPr>
              <w:jc w:val="right"/>
              <w:rPr>
                <w:color w:val="000000"/>
                <w:szCs w:val="20"/>
              </w:rPr>
            </w:pPr>
            <w:r w:rsidRPr="00471CBA">
              <w:rPr>
                <w:color w:val="000000"/>
                <w:szCs w:val="20"/>
              </w:rPr>
              <w:t>-</w:t>
            </w:r>
          </w:p>
        </w:tc>
      </w:tr>
      <w:tr w:rsidR="00204442" w:rsidRPr="00471CBA" w14:paraId="487FFF7C" w14:textId="77777777" w:rsidTr="009B2EDC">
        <w:trPr>
          <w:trHeight w:val="227"/>
        </w:trPr>
        <w:tc>
          <w:tcPr>
            <w:tcW w:w="3802" w:type="pct"/>
            <w:tcBorders>
              <w:top w:val="nil"/>
              <w:left w:val="nil"/>
              <w:bottom w:val="single" w:sz="4" w:space="0" w:color="auto"/>
              <w:right w:val="nil"/>
            </w:tcBorders>
            <w:noWrap/>
            <w:vAlign w:val="bottom"/>
            <w:hideMark/>
          </w:tcPr>
          <w:p w14:paraId="77F12151" w14:textId="77777777" w:rsidR="00204442" w:rsidRPr="00471CBA" w:rsidRDefault="00204442" w:rsidP="003B2BBE">
            <w:pPr>
              <w:rPr>
                <w:b/>
                <w:bCs/>
                <w:szCs w:val="20"/>
              </w:rPr>
            </w:pPr>
            <w:r w:rsidRPr="00471CBA">
              <w:rPr>
                <w:b/>
                <w:bCs/>
                <w:szCs w:val="20"/>
              </w:rPr>
              <w:t>Değer Azalma Karşılığı (-)</w:t>
            </w:r>
          </w:p>
        </w:tc>
        <w:tc>
          <w:tcPr>
            <w:tcW w:w="1198" w:type="pct"/>
            <w:tcBorders>
              <w:top w:val="nil"/>
              <w:left w:val="nil"/>
              <w:bottom w:val="single" w:sz="4" w:space="0" w:color="auto"/>
              <w:right w:val="nil"/>
            </w:tcBorders>
            <w:vAlign w:val="center"/>
            <w:hideMark/>
          </w:tcPr>
          <w:p w14:paraId="000E87E5" w14:textId="77777777" w:rsidR="00204442" w:rsidRPr="00471CBA" w:rsidRDefault="00204442" w:rsidP="003B2BBE">
            <w:pPr>
              <w:jc w:val="right"/>
              <w:rPr>
                <w:color w:val="000000"/>
                <w:szCs w:val="20"/>
              </w:rPr>
            </w:pPr>
            <w:r w:rsidRPr="00471CBA">
              <w:rPr>
                <w:color w:val="000000"/>
                <w:szCs w:val="20"/>
              </w:rPr>
              <w:t>-</w:t>
            </w:r>
          </w:p>
        </w:tc>
      </w:tr>
      <w:tr w:rsidR="00204442" w:rsidRPr="00471CBA" w14:paraId="786B5692" w14:textId="77777777" w:rsidTr="009B2EDC">
        <w:trPr>
          <w:trHeight w:val="227"/>
        </w:trPr>
        <w:tc>
          <w:tcPr>
            <w:tcW w:w="3802" w:type="pct"/>
            <w:tcBorders>
              <w:top w:val="nil"/>
              <w:left w:val="nil"/>
              <w:right w:val="nil"/>
            </w:tcBorders>
            <w:noWrap/>
            <w:vAlign w:val="bottom"/>
            <w:hideMark/>
          </w:tcPr>
          <w:p w14:paraId="717900BA" w14:textId="77777777" w:rsidR="00204442" w:rsidRPr="00471CBA" w:rsidRDefault="00204442" w:rsidP="003B2BBE">
            <w:pPr>
              <w:jc w:val="right"/>
              <w:rPr>
                <w:color w:val="000000"/>
                <w:szCs w:val="20"/>
              </w:rPr>
            </w:pPr>
          </w:p>
        </w:tc>
        <w:tc>
          <w:tcPr>
            <w:tcW w:w="1198" w:type="pct"/>
            <w:tcBorders>
              <w:top w:val="nil"/>
              <w:left w:val="nil"/>
              <w:right w:val="nil"/>
            </w:tcBorders>
            <w:noWrap/>
            <w:vAlign w:val="center"/>
            <w:hideMark/>
          </w:tcPr>
          <w:p w14:paraId="74839EAD" w14:textId="77777777" w:rsidR="00204442" w:rsidRPr="00471CBA" w:rsidRDefault="00204442" w:rsidP="003B2BBE">
            <w:pPr>
              <w:jc w:val="right"/>
              <w:rPr>
                <w:szCs w:val="20"/>
              </w:rPr>
            </w:pPr>
          </w:p>
        </w:tc>
      </w:tr>
      <w:tr w:rsidR="00204442" w:rsidRPr="00471CBA" w14:paraId="6AE3EBF3" w14:textId="77777777" w:rsidTr="009B2EDC">
        <w:trPr>
          <w:trHeight w:val="227"/>
        </w:trPr>
        <w:tc>
          <w:tcPr>
            <w:tcW w:w="3802" w:type="pct"/>
            <w:tcBorders>
              <w:top w:val="nil"/>
              <w:left w:val="nil"/>
              <w:bottom w:val="single" w:sz="12" w:space="0" w:color="auto"/>
              <w:right w:val="nil"/>
            </w:tcBorders>
            <w:noWrap/>
            <w:vAlign w:val="bottom"/>
            <w:hideMark/>
          </w:tcPr>
          <w:p w14:paraId="48E50577" w14:textId="77777777" w:rsidR="00204442" w:rsidRPr="00471CBA" w:rsidRDefault="00204442" w:rsidP="003B2BBE">
            <w:pPr>
              <w:rPr>
                <w:b/>
                <w:bCs/>
                <w:szCs w:val="20"/>
              </w:rPr>
            </w:pPr>
            <w:r w:rsidRPr="00471CBA">
              <w:rPr>
                <w:b/>
                <w:bCs/>
                <w:szCs w:val="20"/>
              </w:rPr>
              <w:t>Toplam</w:t>
            </w:r>
          </w:p>
        </w:tc>
        <w:tc>
          <w:tcPr>
            <w:tcW w:w="1198" w:type="pct"/>
            <w:tcBorders>
              <w:top w:val="nil"/>
              <w:left w:val="nil"/>
              <w:bottom w:val="single" w:sz="12" w:space="0" w:color="auto"/>
              <w:right w:val="nil"/>
            </w:tcBorders>
            <w:vAlign w:val="center"/>
            <w:hideMark/>
          </w:tcPr>
          <w:p w14:paraId="1071700A" w14:textId="77777777" w:rsidR="00204442" w:rsidRPr="00471CBA" w:rsidRDefault="00204442" w:rsidP="003B2BBE">
            <w:pPr>
              <w:jc w:val="right"/>
              <w:rPr>
                <w:b/>
                <w:bCs/>
                <w:color w:val="000000"/>
                <w:szCs w:val="20"/>
              </w:rPr>
            </w:pPr>
            <w:r w:rsidRPr="00471CBA">
              <w:rPr>
                <w:b/>
                <w:bCs/>
                <w:color w:val="000000"/>
                <w:szCs w:val="20"/>
              </w:rPr>
              <w:t>964.443</w:t>
            </w:r>
          </w:p>
        </w:tc>
      </w:tr>
    </w:tbl>
    <w:p w14:paraId="14A165D7" w14:textId="77777777" w:rsidR="00204442" w:rsidRPr="00471CBA" w:rsidRDefault="00204442" w:rsidP="00926EB7">
      <w:pPr>
        <w:pStyle w:val="GvdeMetniGirintisi"/>
        <w:widowControl w:val="0"/>
        <w:ind w:left="851" w:firstLine="0"/>
        <w:rPr>
          <w:b/>
          <w:szCs w:val="20"/>
        </w:rPr>
      </w:pPr>
    </w:p>
    <w:p w14:paraId="0BC23D9C" w14:textId="77777777" w:rsidR="00894C14" w:rsidRPr="00471CBA" w:rsidRDefault="00894C14" w:rsidP="00894C14">
      <w:pPr>
        <w:pStyle w:val="GvdeMetniGirintisi"/>
        <w:widowControl w:val="0"/>
        <w:numPr>
          <w:ilvl w:val="0"/>
          <w:numId w:val="2"/>
        </w:numPr>
        <w:tabs>
          <w:tab w:val="clear" w:pos="720"/>
        </w:tabs>
        <w:spacing w:after="240"/>
        <w:ind w:left="851" w:hanging="851"/>
        <w:rPr>
          <w:b/>
          <w:szCs w:val="20"/>
        </w:rPr>
      </w:pPr>
      <w:r w:rsidRPr="00471CBA">
        <w:rPr>
          <w:b/>
          <w:szCs w:val="20"/>
        </w:rPr>
        <w:t>İtfa edilmiş maliyet üzerinden değerlenen finansal varlıklara ilişkin açıklamalar:</w:t>
      </w:r>
    </w:p>
    <w:p w14:paraId="35C2417F" w14:textId="77777777" w:rsidR="00894C14" w:rsidRPr="00471CBA" w:rsidRDefault="00894C14" w:rsidP="008459A9">
      <w:pPr>
        <w:pStyle w:val="ListeParagraf"/>
        <w:numPr>
          <w:ilvl w:val="0"/>
          <w:numId w:val="57"/>
        </w:numPr>
        <w:spacing w:after="240"/>
        <w:ind w:left="1276" w:hanging="425"/>
        <w:rPr>
          <w:b/>
          <w:bCs/>
          <w:szCs w:val="20"/>
        </w:rPr>
      </w:pPr>
      <w:r w:rsidRPr="00471CBA">
        <w:rPr>
          <w:b/>
          <w:bCs/>
          <w:szCs w:val="20"/>
        </w:rPr>
        <w:t>İtfa edilmiş maliyet üzerinden değerlenen finansal varlıklardan repo işlemlerine konu olanlar ve teminata verilen / bloke edilenlere ilişkin bilgiler:</w:t>
      </w:r>
    </w:p>
    <w:p w14:paraId="6EEC7894" w14:textId="6506DB34" w:rsidR="009A4BCA" w:rsidRPr="00471CBA" w:rsidRDefault="00F63131" w:rsidP="00F36B82">
      <w:pPr>
        <w:ind w:left="1276"/>
        <w:jc w:val="both"/>
        <w:rPr>
          <w:szCs w:val="20"/>
        </w:rPr>
      </w:pPr>
      <w:bookmarkStart w:id="90" w:name="_Hlk203741703"/>
      <w:r w:rsidRPr="00471CBA">
        <w:rPr>
          <w:szCs w:val="20"/>
        </w:rPr>
        <w:t xml:space="preserve">31 Aralık 2025 </w:t>
      </w:r>
      <w:r w:rsidR="009A4BCA" w:rsidRPr="00471CBA">
        <w:rPr>
          <w:szCs w:val="20"/>
        </w:rPr>
        <w:t>tarihi itibarıyla Banka</w:t>
      </w:r>
      <w:r w:rsidR="003961EE" w:rsidRPr="00471CBA">
        <w:rPr>
          <w:szCs w:val="20"/>
        </w:rPr>
        <w:t>’</w:t>
      </w:r>
      <w:r w:rsidR="009A4BCA" w:rsidRPr="00471CBA">
        <w:rPr>
          <w:szCs w:val="20"/>
        </w:rPr>
        <w:t xml:space="preserve">nın geri alım vaadi ile satıma konu olan nominal </w:t>
      </w:r>
      <w:r w:rsidR="000358DB" w:rsidRPr="00471CBA">
        <w:rPr>
          <w:szCs w:val="20"/>
        </w:rPr>
        <w:t xml:space="preserve">yatırımı </w:t>
      </w:r>
      <w:bookmarkStart w:id="91" w:name="_Hlk213014186"/>
      <w:r w:rsidR="00A3501E" w:rsidRPr="00471CBA">
        <w:rPr>
          <w:szCs w:val="20"/>
        </w:rPr>
        <w:t>bulunmamaktadır</w:t>
      </w:r>
      <w:r w:rsidR="00B143F0" w:rsidRPr="00471CBA">
        <w:rPr>
          <w:szCs w:val="20"/>
        </w:rPr>
        <w:t xml:space="preserve"> </w:t>
      </w:r>
      <w:bookmarkEnd w:id="91"/>
      <w:r w:rsidR="009A4BCA" w:rsidRPr="00471CBA">
        <w:rPr>
          <w:szCs w:val="20"/>
        </w:rPr>
        <w:t>(</w:t>
      </w:r>
      <w:r w:rsidR="005F3904" w:rsidRPr="00471CBA">
        <w:rPr>
          <w:szCs w:val="20"/>
        </w:rPr>
        <w:t>31 Aralık 2024</w:t>
      </w:r>
      <w:r w:rsidR="009A4BCA" w:rsidRPr="00471CBA">
        <w:rPr>
          <w:szCs w:val="20"/>
        </w:rPr>
        <w:t xml:space="preserve">: </w:t>
      </w:r>
      <w:r w:rsidR="005F3904" w:rsidRPr="00471CBA">
        <w:rPr>
          <w:szCs w:val="20"/>
        </w:rPr>
        <w:t>194.307 TL</w:t>
      </w:r>
      <w:r w:rsidR="009A4BCA" w:rsidRPr="00471CBA">
        <w:rPr>
          <w:szCs w:val="20"/>
        </w:rPr>
        <w:t>).</w:t>
      </w:r>
    </w:p>
    <w:p w14:paraId="1C00B6A9" w14:textId="77777777" w:rsidR="009A4BCA" w:rsidRPr="00471CBA" w:rsidRDefault="009A4BCA" w:rsidP="00F36B82">
      <w:pPr>
        <w:ind w:left="1276"/>
        <w:jc w:val="both"/>
        <w:rPr>
          <w:szCs w:val="20"/>
        </w:rPr>
      </w:pPr>
    </w:p>
    <w:p w14:paraId="00DAAEF8" w14:textId="38CD972E" w:rsidR="009A4BCA" w:rsidRPr="00471CBA" w:rsidRDefault="00F63131" w:rsidP="00F36B82">
      <w:pPr>
        <w:ind w:left="1276"/>
        <w:jc w:val="both"/>
        <w:rPr>
          <w:szCs w:val="20"/>
        </w:rPr>
      </w:pPr>
      <w:r w:rsidRPr="00471CBA">
        <w:rPr>
          <w:szCs w:val="20"/>
        </w:rPr>
        <w:t xml:space="preserve">31 Aralık 2025 </w:t>
      </w:r>
      <w:r w:rsidR="009A4BCA" w:rsidRPr="00471CBA">
        <w:rPr>
          <w:szCs w:val="20"/>
        </w:rPr>
        <w:t xml:space="preserve">tarihi itibarıyla teminata verilen/bloke edilen nominal yatırım tutarı </w:t>
      </w:r>
      <w:r w:rsidRPr="00471CBA">
        <w:rPr>
          <w:szCs w:val="20"/>
        </w:rPr>
        <w:t>249.880</w:t>
      </w:r>
      <w:r w:rsidR="000358DB" w:rsidRPr="00471CBA">
        <w:rPr>
          <w:szCs w:val="20"/>
        </w:rPr>
        <w:t xml:space="preserve"> TL</w:t>
      </w:r>
      <w:r w:rsidR="00B143F0" w:rsidRPr="00471CBA">
        <w:rPr>
          <w:szCs w:val="20"/>
        </w:rPr>
        <w:t>’</w:t>
      </w:r>
      <w:r w:rsidR="000358DB" w:rsidRPr="00471CBA">
        <w:rPr>
          <w:szCs w:val="20"/>
        </w:rPr>
        <w:t>dir</w:t>
      </w:r>
    </w:p>
    <w:p w14:paraId="4BC99B5E" w14:textId="12AFCFD2" w:rsidR="00894C14" w:rsidRPr="00471CBA" w:rsidRDefault="009A4BCA" w:rsidP="00F36B82">
      <w:pPr>
        <w:ind w:left="1276"/>
        <w:jc w:val="both"/>
        <w:rPr>
          <w:szCs w:val="20"/>
        </w:rPr>
      </w:pPr>
      <w:r w:rsidRPr="00471CBA">
        <w:rPr>
          <w:szCs w:val="20"/>
        </w:rPr>
        <w:t>(</w:t>
      </w:r>
      <w:r w:rsidR="005F3904" w:rsidRPr="00471CBA">
        <w:rPr>
          <w:szCs w:val="20"/>
        </w:rPr>
        <w:t>31 Aralık 2024</w:t>
      </w:r>
      <w:r w:rsidRPr="00471CBA">
        <w:rPr>
          <w:szCs w:val="20"/>
        </w:rPr>
        <w:t>: Bulunmamaktadır).</w:t>
      </w:r>
    </w:p>
    <w:bookmarkEnd w:id="90"/>
    <w:p w14:paraId="105A492E" w14:textId="75DEB97D" w:rsidR="00204442" w:rsidRPr="00471CBA" w:rsidRDefault="00204442">
      <w:pPr>
        <w:rPr>
          <w:szCs w:val="20"/>
        </w:rPr>
      </w:pPr>
    </w:p>
    <w:p w14:paraId="72B62FFE" w14:textId="77777777" w:rsidR="00894C14" w:rsidRPr="00471CBA" w:rsidRDefault="00894C14" w:rsidP="008459A9">
      <w:pPr>
        <w:pStyle w:val="ListeParagraf"/>
        <w:numPr>
          <w:ilvl w:val="0"/>
          <w:numId w:val="57"/>
        </w:numPr>
        <w:ind w:left="1276" w:hanging="425"/>
        <w:rPr>
          <w:b/>
          <w:bCs/>
          <w:szCs w:val="20"/>
        </w:rPr>
      </w:pPr>
      <w:r w:rsidRPr="00471CBA">
        <w:rPr>
          <w:b/>
          <w:bCs/>
          <w:szCs w:val="20"/>
        </w:rPr>
        <w:t>İtfa edilmiş maliyet üzerinden değerlenen borçlanma senetlerine ilişkin bilgiler:</w:t>
      </w:r>
    </w:p>
    <w:p w14:paraId="2FA19698" w14:textId="19012552" w:rsidR="00A74C68" w:rsidRPr="00471CBA" w:rsidRDefault="00A74C68" w:rsidP="00894C14">
      <w:pPr>
        <w:widowControl w:val="0"/>
        <w:ind w:left="840" w:firstLine="11"/>
        <w:rPr>
          <w:szCs w:val="20"/>
        </w:rPr>
      </w:pPr>
    </w:p>
    <w:tbl>
      <w:tblPr>
        <w:tblW w:w="5000" w:type="pct"/>
        <w:tblCellMar>
          <w:left w:w="70" w:type="dxa"/>
          <w:right w:w="70" w:type="dxa"/>
        </w:tblCellMar>
        <w:tblLook w:val="04A0" w:firstRow="1" w:lastRow="0" w:firstColumn="1" w:lastColumn="0" w:noHBand="0" w:noVBand="1"/>
      </w:tblPr>
      <w:tblGrid>
        <w:gridCol w:w="6167"/>
        <w:gridCol w:w="3188"/>
      </w:tblGrid>
      <w:tr w:rsidR="00A74C68" w:rsidRPr="00471CBA" w14:paraId="552EDB99" w14:textId="77777777" w:rsidTr="00A74C68">
        <w:trPr>
          <w:divId w:val="1681080658"/>
          <w:trHeight w:val="170"/>
        </w:trPr>
        <w:tc>
          <w:tcPr>
            <w:tcW w:w="2500" w:type="pct"/>
            <w:tcBorders>
              <w:top w:val="nil"/>
              <w:left w:val="nil"/>
              <w:bottom w:val="nil"/>
              <w:right w:val="nil"/>
            </w:tcBorders>
            <w:shd w:val="clear" w:color="000000" w:fill="FFFFFF"/>
            <w:vAlign w:val="bottom"/>
            <w:hideMark/>
          </w:tcPr>
          <w:p w14:paraId="116E819C" w14:textId="718FAB0A" w:rsidR="00A74C68" w:rsidRPr="00471CBA" w:rsidRDefault="00A74C68" w:rsidP="00A74C68">
            <w:pPr>
              <w:jc w:val="both"/>
              <w:rPr>
                <w:color w:val="000000"/>
                <w:szCs w:val="20"/>
              </w:rPr>
            </w:pPr>
            <w:r w:rsidRPr="00471CBA">
              <w:rPr>
                <w:color w:val="000000"/>
                <w:szCs w:val="20"/>
              </w:rPr>
              <w:t> </w:t>
            </w:r>
          </w:p>
        </w:tc>
        <w:tc>
          <w:tcPr>
            <w:tcW w:w="1293" w:type="pct"/>
            <w:tcBorders>
              <w:top w:val="nil"/>
              <w:left w:val="nil"/>
              <w:bottom w:val="single" w:sz="4" w:space="0" w:color="auto"/>
              <w:right w:val="nil"/>
            </w:tcBorders>
            <w:noWrap/>
            <w:vAlign w:val="center"/>
            <w:hideMark/>
          </w:tcPr>
          <w:p w14:paraId="576EEAB4" w14:textId="77777777" w:rsidR="00A74C68" w:rsidRPr="00471CBA" w:rsidRDefault="00A74C68" w:rsidP="00A74C68">
            <w:pPr>
              <w:jc w:val="right"/>
              <w:rPr>
                <w:b/>
                <w:bCs/>
                <w:color w:val="000000"/>
                <w:szCs w:val="20"/>
              </w:rPr>
            </w:pPr>
            <w:r w:rsidRPr="00471CBA">
              <w:rPr>
                <w:b/>
                <w:bCs/>
                <w:color w:val="000000"/>
                <w:szCs w:val="20"/>
              </w:rPr>
              <w:t>31 Aralık 2025</w:t>
            </w:r>
          </w:p>
        </w:tc>
      </w:tr>
      <w:tr w:rsidR="00A74C68" w:rsidRPr="00471CBA" w14:paraId="32A51EFE" w14:textId="77777777" w:rsidTr="00A74C68">
        <w:trPr>
          <w:divId w:val="1681080658"/>
          <w:trHeight w:val="170"/>
        </w:trPr>
        <w:tc>
          <w:tcPr>
            <w:tcW w:w="2500" w:type="pct"/>
            <w:tcBorders>
              <w:top w:val="nil"/>
              <w:left w:val="nil"/>
              <w:bottom w:val="nil"/>
              <w:right w:val="nil"/>
            </w:tcBorders>
            <w:shd w:val="clear" w:color="000000" w:fill="FFFFFF"/>
            <w:vAlign w:val="bottom"/>
            <w:hideMark/>
          </w:tcPr>
          <w:p w14:paraId="01AB5F1E" w14:textId="77777777" w:rsidR="00A74C68" w:rsidRPr="00471CBA" w:rsidRDefault="00A74C68" w:rsidP="00A74C68">
            <w:pPr>
              <w:jc w:val="both"/>
              <w:rPr>
                <w:color w:val="000000"/>
                <w:szCs w:val="20"/>
              </w:rPr>
            </w:pPr>
            <w:r w:rsidRPr="00471CBA">
              <w:rPr>
                <w:color w:val="000000"/>
                <w:szCs w:val="20"/>
              </w:rPr>
              <w:t> </w:t>
            </w:r>
          </w:p>
        </w:tc>
        <w:tc>
          <w:tcPr>
            <w:tcW w:w="1293" w:type="pct"/>
            <w:tcBorders>
              <w:top w:val="nil"/>
              <w:left w:val="nil"/>
              <w:bottom w:val="nil"/>
              <w:right w:val="nil"/>
            </w:tcBorders>
            <w:shd w:val="clear" w:color="000000" w:fill="FFFFFF"/>
            <w:vAlign w:val="bottom"/>
            <w:hideMark/>
          </w:tcPr>
          <w:p w14:paraId="266CAFE8" w14:textId="77777777" w:rsidR="00A74C68" w:rsidRPr="00471CBA" w:rsidRDefault="00A74C68" w:rsidP="00A74C68">
            <w:pPr>
              <w:jc w:val="right"/>
              <w:rPr>
                <w:b/>
                <w:bCs/>
                <w:color w:val="000000"/>
                <w:szCs w:val="20"/>
              </w:rPr>
            </w:pPr>
            <w:r w:rsidRPr="00471CBA">
              <w:rPr>
                <w:b/>
                <w:bCs/>
                <w:color w:val="000000"/>
                <w:szCs w:val="20"/>
              </w:rPr>
              <w:t> </w:t>
            </w:r>
          </w:p>
        </w:tc>
      </w:tr>
      <w:tr w:rsidR="00A74C68" w:rsidRPr="00471CBA" w14:paraId="72A19491" w14:textId="77777777" w:rsidTr="00A74C68">
        <w:trPr>
          <w:divId w:val="1681080658"/>
          <w:trHeight w:val="170"/>
        </w:trPr>
        <w:tc>
          <w:tcPr>
            <w:tcW w:w="2500" w:type="pct"/>
            <w:tcBorders>
              <w:top w:val="nil"/>
              <w:left w:val="nil"/>
              <w:bottom w:val="nil"/>
              <w:right w:val="nil"/>
            </w:tcBorders>
            <w:noWrap/>
            <w:vAlign w:val="bottom"/>
            <w:hideMark/>
          </w:tcPr>
          <w:p w14:paraId="03A2BA3D" w14:textId="77777777" w:rsidR="00A74C68" w:rsidRPr="00471CBA" w:rsidRDefault="00A74C68" w:rsidP="00A74C68">
            <w:pPr>
              <w:ind w:firstLineChars="200" w:firstLine="400"/>
              <w:rPr>
                <w:color w:val="000000"/>
                <w:szCs w:val="20"/>
              </w:rPr>
            </w:pPr>
            <w:r w:rsidRPr="00471CBA">
              <w:rPr>
                <w:color w:val="000000"/>
                <w:szCs w:val="20"/>
              </w:rPr>
              <w:t>Devlet Tahvili</w:t>
            </w:r>
          </w:p>
        </w:tc>
        <w:tc>
          <w:tcPr>
            <w:tcW w:w="1293" w:type="pct"/>
            <w:tcBorders>
              <w:top w:val="nil"/>
              <w:left w:val="nil"/>
              <w:bottom w:val="nil"/>
              <w:right w:val="nil"/>
            </w:tcBorders>
            <w:vAlign w:val="center"/>
            <w:hideMark/>
          </w:tcPr>
          <w:p w14:paraId="14CF5FF9" w14:textId="77777777" w:rsidR="00A74C68" w:rsidRPr="00471CBA" w:rsidRDefault="00A74C68" w:rsidP="00A74C68">
            <w:pPr>
              <w:jc w:val="right"/>
              <w:rPr>
                <w:color w:val="000000"/>
                <w:szCs w:val="20"/>
              </w:rPr>
            </w:pPr>
            <w:r w:rsidRPr="00471CBA">
              <w:rPr>
                <w:color w:val="000000"/>
                <w:szCs w:val="20"/>
              </w:rPr>
              <w:t>-</w:t>
            </w:r>
          </w:p>
        </w:tc>
      </w:tr>
      <w:tr w:rsidR="00A74C68" w:rsidRPr="00471CBA" w14:paraId="07FD9B2D" w14:textId="77777777" w:rsidTr="00A74C68">
        <w:trPr>
          <w:divId w:val="1681080658"/>
          <w:trHeight w:val="170"/>
        </w:trPr>
        <w:tc>
          <w:tcPr>
            <w:tcW w:w="2500" w:type="pct"/>
            <w:tcBorders>
              <w:top w:val="nil"/>
              <w:left w:val="nil"/>
              <w:bottom w:val="nil"/>
              <w:right w:val="nil"/>
            </w:tcBorders>
            <w:noWrap/>
            <w:vAlign w:val="bottom"/>
            <w:hideMark/>
          </w:tcPr>
          <w:p w14:paraId="3BCD78F6" w14:textId="77777777" w:rsidR="00A74C68" w:rsidRPr="00471CBA" w:rsidRDefault="00A74C68" w:rsidP="00A74C68">
            <w:pPr>
              <w:ind w:firstLineChars="200" w:firstLine="400"/>
              <w:rPr>
                <w:color w:val="000000"/>
                <w:szCs w:val="20"/>
              </w:rPr>
            </w:pPr>
            <w:r w:rsidRPr="00471CBA">
              <w:rPr>
                <w:color w:val="000000"/>
                <w:szCs w:val="20"/>
              </w:rPr>
              <w:t>Hazine Bonosu</w:t>
            </w:r>
          </w:p>
        </w:tc>
        <w:tc>
          <w:tcPr>
            <w:tcW w:w="1293" w:type="pct"/>
            <w:tcBorders>
              <w:top w:val="nil"/>
              <w:left w:val="nil"/>
              <w:bottom w:val="nil"/>
              <w:right w:val="nil"/>
            </w:tcBorders>
            <w:vAlign w:val="center"/>
            <w:hideMark/>
          </w:tcPr>
          <w:p w14:paraId="54A639A0" w14:textId="77777777" w:rsidR="00A74C68" w:rsidRPr="00471CBA" w:rsidRDefault="00A74C68" w:rsidP="00A74C68">
            <w:pPr>
              <w:jc w:val="right"/>
              <w:rPr>
                <w:color w:val="000000"/>
                <w:szCs w:val="20"/>
              </w:rPr>
            </w:pPr>
            <w:r w:rsidRPr="00471CBA">
              <w:rPr>
                <w:color w:val="000000"/>
                <w:szCs w:val="20"/>
              </w:rPr>
              <w:t>-</w:t>
            </w:r>
          </w:p>
        </w:tc>
      </w:tr>
      <w:tr w:rsidR="00A74C68" w:rsidRPr="00471CBA" w14:paraId="2A2701B3" w14:textId="77777777" w:rsidTr="00A74C68">
        <w:trPr>
          <w:divId w:val="1681080658"/>
          <w:trHeight w:val="170"/>
        </w:trPr>
        <w:tc>
          <w:tcPr>
            <w:tcW w:w="2500" w:type="pct"/>
            <w:tcBorders>
              <w:top w:val="nil"/>
              <w:left w:val="nil"/>
              <w:bottom w:val="nil"/>
              <w:right w:val="nil"/>
            </w:tcBorders>
            <w:noWrap/>
            <w:vAlign w:val="bottom"/>
            <w:hideMark/>
          </w:tcPr>
          <w:p w14:paraId="2736BDFA" w14:textId="77777777" w:rsidR="00A74C68" w:rsidRPr="00471CBA" w:rsidRDefault="00A74C68" w:rsidP="00A74C68">
            <w:pPr>
              <w:ind w:firstLineChars="200" w:firstLine="400"/>
              <w:rPr>
                <w:color w:val="000000"/>
                <w:szCs w:val="20"/>
              </w:rPr>
            </w:pPr>
            <w:r w:rsidRPr="00471CBA">
              <w:rPr>
                <w:color w:val="000000"/>
                <w:szCs w:val="20"/>
              </w:rPr>
              <w:t xml:space="preserve">Diğer Kamu Borçlanma Senetleri </w:t>
            </w:r>
            <w:r w:rsidRPr="00471CBA">
              <w:rPr>
                <w:color w:val="000000"/>
                <w:szCs w:val="20"/>
                <w:vertAlign w:val="superscript"/>
              </w:rPr>
              <w:t>(*)</w:t>
            </w:r>
          </w:p>
        </w:tc>
        <w:tc>
          <w:tcPr>
            <w:tcW w:w="1293" w:type="pct"/>
            <w:tcBorders>
              <w:top w:val="nil"/>
              <w:left w:val="nil"/>
              <w:bottom w:val="nil"/>
              <w:right w:val="nil"/>
            </w:tcBorders>
            <w:vAlign w:val="center"/>
            <w:hideMark/>
          </w:tcPr>
          <w:p w14:paraId="7A22F53C" w14:textId="77777777" w:rsidR="00A74C68" w:rsidRPr="00471CBA" w:rsidRDefault="00A74C68" w:rsidP="00A74C68">
            <w:pPr>
              <w:jc w:val="right"/>
              <w:rPr>
                <w:color w:val="000000"/>
                <w:szCs w:val="20"/>
              </w:rPr>
            </w:pPr>
            <w:r w:rsidRPr="00471CBA">
              <w:rPr>
                <w:color w:val="000000"/>
                <w:szCs w:val="20"/>
              </w:rPr>
              <w:t>750.636</w:t>
            </w:r>
          </w:p>
        </w:tc>
      </w:tr>
      <w:tr w:rsidR="00A74C68" w:rsidRPr="00471CBA" w14:paraId="3229E7CB" w14:textId="77777777" w:rsidTr="00A74C68">
        <w:trPr>
          <w:divId w:val="1681080658"/>
          <w:trHeight w:val="170"/>
        </w:trPr>
        <w:tc>
          <w:tcPr>
            <w:tcW w:w="2500" w:type="pct"/>
            <w:tcBorders>
              <w:top w:val="nil"/>
              <w:left w:val="nil"/>
              <w:bottom w:val="single" w:sz="4" w:space="0" w:color="auto"/>
              <w:right w:val="nil"/>
            </w:tcBorders>
            <w:noWrap/>
            <w:vAlign w:val="bottom"/>
            <w:hideMark/>
          </w:tcPr>
          <w:p w14:paraId="3578F018" w14:textId="77777777" w:rsidR="00A74C68" w:rsidRPr="00471CBA" w:rsidRDefault="00A74C68" w:rsidP="00A74C68">
            <w:pPr>
              <w:ind w:firstLineChars="200" w:firstLine="400"/>
              <w:rPr>
                <w:color w:val="000000"/>
                <w:szCs w:val="20"/>
              </w:rPr>
            </w:pPr>
            <w:r w:rsidRPr="00471CBA">
              <w:rPr>
                <w:color w:val="000000"/>
                <w:szCs w:val="20"/>
              </w:rPr>
              <w:t xml:space="preserve">Diğer Borçlanma Senetleri </w:t>
            </w:r>
          </w:p>
        </w:tc>
        <w:tc>
          <w:tcPr>
            <w:tcW w:w="1293" w:type="pct"/>
            <w:tcBorders>
              <w:top w:val="nil"/>
              <w:left w:val="nil"/>
              <w:bottom w:val="single" w:sz="4" w:space="0" w:color="auto"/>
              <w:right w:val="nil"/>
            </w:tcBorders>
            <w:vAlign w:val="center"/>
            <w:hideMark/>
          </w:tcPr>
          <w:p w14:paraId="7B9F87CE" w14:textId="77777777" w:rsidR="00A74C68" w:rsidRPr="00471CBA" w:rsidRDefault="00A74C68" w:rsidP="00A74C68">
            <w:pPr>
              <w:jc w:val="right"/>
              <w:rPr>
                <w:color w:val="000000"/>
                <w:szCs w:val="20"/>
              </w:rPr>
            </w:pPr>
            <w:r w:rsidRPr="00471CBA">
              <w:rPr>
                <w:color w:val="000000"/>
                <w:szCs w:val="20"/>
              </w:rPr>
              <w:t>-</w:t>
            </w:r>
          </w:p>
        </w:tc>
      </w:tr>
      <w:tr w:rsidR="00A74C68" w:rsidRPr="00471CBA" w14:paraId="7969A19A" w14:textId="77777777" w:rsidTr="00A74C68">
        <w:trPr>
          <w:divId w:val="1681080658"/>
          <w:trHeight w:val="170"/>
        </w:trPr>
        <w:tc>
          <w:tcPr>
            <w:tcW w:w="2500" w:type="pct"/>
            <w:tcBorders>
              <w:top w:val="nil"/>
              <w:left w:val="nil"/>
              <w:right w:val="nil"/>
            </w:tcBorders>
            <w:noWrap/>
            <w:vAlign w:val="bottom"/>
            <w:hideMark/>
          </w:tcPr>
          <w:p w14:paraId="0CAE1743" w14:textId="77777777" w:rsidR="00A74C68" w:rsidRPr="00471CBA" w:rsidRDefault="00A74C68" w:rsidP="00A74C68">
            <w:pPr>
              <w:jc w:val="right"/>
              <w:rPr>
                <w:color w:val="000000"/>
                <w:szCs w:val="20"/>
              </w:rPr>
            </w:pPr>
          </w:p>
        </w:tc>
        <w:tc>
          <w:tcPr>
            <w:tcW w:w="1293" w:type="pct"/>
            <w:tcBorders>
              <w:top w:val="nil"/>
              <w:left w:val="nil"/>
              <w:right w:val="nil"/>
            </w:tcBorders>
            <w:noWrap/>
            <w:vAlign w:val="center"/>
            <w:hideMark/>
          </w:tcPr>
          <w:p w14:paraId="0DBF27E1" w14:textId="77777777" w:rsidR="00A74C68" w:rsidRPr="00471CBA" w:rsidRDefault="00A74C68" w:rsidP="00A74C68">
            <w:pPr>
              <w:jc w:val="right"/>
              <w:rPr>
                <w:szCs w:val="20"/>
              </w:rPr>
            </w:pPr>
          </w:p>
        </w:tc>
      </w:tr>
      <w:tr w:rsidR="00A74C68" w:rsidRPr="00471CBA" w14:paraId="0B42813D" w14:textId="77777777" w:rsidTr="00A74C68">
        <w:trPr>
          <w:divId w:val="1681080658"/>
          <w:trHeight w:val="170"/>
        </w:trPr>
        <w:tc>
          <w:tcPr>
            <w:tcW w:w="2500" w:type="pct"/>
            <w:tcBorders>
              <w:top w:val="nil"/>
              <w:left w:val="nil"/>
              <w:bottom w:val="single" w:sz="12" w:space="0" w:color="auto"/>
              <w:right w:val="nil"/>
            </w:tcBorders>
            <w:noWrap/>
            <w:vAlign w:val="bottom"/>
            <w:hideMark/>
          </w:tcPr>
          <w:p w14:paraId="646979FE" w14:textId="77777777" w:rsidR="00A74C68" w:rsidRPr="00471CBA" w:rsidRDefault="00A74C68" w:rsidP="00A74C68">
            <w:pPr>
              <w:rPr>
                <w:b/>
                <w:bCs/>
                <w:color w:val="000000"/>
                <w:szCs w:val="20"/>
              </w:rPr>
            </w:pPr>
            <w:r w:rsidRPr="00471CBA">
              <w:rPr>
                <w:b/>
                <w:bCs/>
                <w:color w:val="000000"/>
                <w:szCs w:val="20"/>
              </w:rPr>
              <w:t>Toplam</w:t>
            </w:r>
          </w:p>
        </w:tc>
        <w:tc>
          <w:tcPr>
            <w:tcW w:w="1293" w:type="pct"/>
            <w:tcBorders>
              <w:top w:val="nil"/>
              <w:left w:val="nil"/>
              <w:bottom w:val="single" w:sz="12" w:space="0" w:color="auto"/>
              <w:right w:val="nil"/>
            </w:tcBorders>
            <w:vAlign w:val="center"/>
            <w:hideMark/>
          </w:tcPr>
          <w:p w14:paraId="3D79F897" w14:textId="77777777" w:rsidR="00A74C68" w:rsidRPr="00471CBA" w:rsidRDefault="00A74C68" w:rsidP="00A74C68">
            <w:pPr>
              <w:jc w:val="right"/>
              <w:rPr>
                <w:b/>
                <w:bCs/>
                <w:color w:val="000000"/>
                <w:szCs w:val="20"/>
              </w:rPr>
            </w:pPr>
            <w:r w:rsidRPr="00471CBA">
              <w:rPr>
                <w:b/>
                <w:bCs/>
                <w:color w:val="000000"/>
                <w:szCs w:val="20"/>
              </w:rPr>
              <w:t>750.636</w:t>
            </w:r>
          </w:p>
        </w:tc>
      </w:tr>
    </w:tbl>
    <w:p w14:paraId="78B74C37" w14:textId="3641E529" w:rsidR="00894C14" w:rsidRPr="00471CBA" w:rsidRDefault="00894C14" w:rsidP="00894C14">
      <w:pPr>
        <w:widowControl w:val="0"/>
        <w:ind w:left="840" w:firstLine="11"/>
        <w:rPr>
          <w:b/>
          <w:sz w:val="14"/>
          <w:szCs w:val="14"/>
        </w:rPr>
      </w:pPr>
    </w:p>
    <w:p w14:paraId="2AF3D444" w14:textId="16C36ED4" w:rsidR="00894C14" w:rsidRPr="00471CBA" w:rsidRDefault="00894C14" w:rsidP="00894C14">
      <w:pPr>
        <w:widowControl w:val="0"/>
        <w:ind w:firstLine="11"/>
        <w:rPr>
          <w:bCs/>
          <w:sz w:val="18"/>
          <w:szCs w:val="18"/>
        </w:rPr>
      </w:pPr>
      <w:r w:rsidRPr="00471CBA">
        <w:rPr>
          <w:bCs/>
          <w:sz w:val="18"/>
          <w:szCs w:val="18"/>
          <w:vertAlign w:val="superscript"/>
        </w:rPr>
        <w:t>(*)</w:t>
      </w:r>
      <w:r w:rsidRPr="00471CBA">
        <w:rPr>
          <w:bCs/>
          <w:sz w:val="18"/>
          <w:szCs w:val="18"/>
        </w:rPr>
        <w:tab/>
        <w:t>T.C. Hazine ve Maliye Bakanlığı tarafından ihraç edilen kira sertifikalarını içermektedir.</w:t>
      </w:r>
    </w:p>
    <w:p w14:paraId="627F748F" w14:textId="4B33B7AA" w:rsidR="00F36B82" w:rsidRDefault="00F36B82">
      <w:pPr>
        <w:rPr>
          <w:bCs/>
          <w:sz w:val="18"/>
          <w:szCs w:val="18"/>
        </w:rPr>
      </w:pPr>
      <w:r>
        <w:rPr>
          <w:bCs/>
          <w:sz w:val="18"/>
          <w:szCs w:val="18"/>
        </w:rPr>
        <w:br w:type="page"/>
      </w:r>
    </w:p>
    <w:p w14:paraId="6D81B073" w14:textId="77777777" w:rsidR="00F36B82" w:rsidRPr="00471CBA" w:rsidRDefault="00F36B82" w:rsidP="00F36B82">
      <w:pPr>
        <w:widowControl w:val="0"/>
        <w:spacing w:line="221" w:lineRule="auto"/>
        <w:ind w:left="720" w:hanging="720"/>
        <w:jc w:val="both"/>
        <w:rPr>
          <w:b/>
          <w:szCs w:val="20"/>
        </w:rPr>
      </w:pPr>
      <w:r w:rsidRPr="00471CBA">
        <w:rPr>
          <w:b/>
          <w:szCs w:val="20"/>
        </w:rPr>
        <w:t>KONSOLİDE OLMAYAN FİNANSAL TABLOLARA İLİŞKİN AÇIKLAMA VE DİPNOTLAR (Devamı)</w:t>
      </w:r>
    </w:p>
    <w:p w14:paraId="235B1ECB" w14:textId="77777777" w:rsidR="00F36B82" w:rsidRPr="00471CBA" w:rsidRDefault="00F36B82" w:rsidP="00F36B82">
      <w:pPr>
        <w:pStyle w:val="ListeParagraf"/>
        <w:widowControl w:val="0"/>
        <w:spacing w:line="221" w:lineRule="auto"/>
        <w:ind w:left="14" w:right="452"/>
        <w:jc w:val="both"/>
        <w:rPr>
          <w:b/>
          <w:szCs w:val="20"/>
        </w:rPr>
      </w:pPr>
    </w:p>
    <w:p w14:paraId="79B924B0" w14:textId="77777777" w:rsidR="00F36B82" w:rsidRPr="00471CBA" w:rsidRDefault="00F36B82" w:rsidP="008459A9">
      <w:pPr>
        <w:pStyle w:val="ListeParagraf"/>
        <w:widowControl w:val="0"/>
        <w:numPr>
          <w:ilvl w:val="0"/>
          <w:numId w:val="86"/>
        </w:numPr>
        <w:spacing w:line="221" w:lineRule="auto"/>
        <w:ind w:left="851" w:hanging="851"/>
        <w:jc w:val="both"/>
        <w:rPr>
          <w:b/>
          <w:szCs w:val="20"/>
        </w:rPr>
      </w:pPr>
      <w:r w:rsidRPr="00471CBA">
        <w:rPr>
          <w:b/>
          <w:szCs w:val="20"/>
        </w:rPr>
        <w:t>BİLANÇONUN AKTİF HESAPLARINA İLİŞKİN AÇIKLAMA VE DİPNOTLAR (Devamı)</w:t>
      </w:r>
    </w:p>
    <w:p w14:paraId="4EC17710" w14:textId="77777777" w:rsidR="00F36B82" w:rsidRDefault="00F36B82" w:rsidP="00F36B82">
      <w:pPr>
        <w:spacing w:line="221" w:lineRule="auto"/>
        <w:ind w:left="851"/>
        <w:jc w:val="both"/>
        <w:rPr>
          <w:szCs w:val="20"/>
        </w:rPr>
      </w:pPr>
    </w:p>
    <w:p w14:paraId="7204B056" w14:textId="703C25FA" w:rsidR="00F36B82" w:rsidRPr="00471CBA" w:rsidRDefault="00F36B82" w:rsidP="00F36B82">
      <w:pPr>
        <w:pStyle w:val="ListeParagraf"/>
        <w:spacing w:line="221" w:lineRule="auto"/>
        <w:ind w:left="1276" w:hanging="425"/>
        <w:rPr>
          <w:b/>
          <w:bCs/>
          <w:szCs w:val="20"/>
        </w:rPr>
      </w:pPr>
      <w:r>
        <w:rPr>
          <w:b/>
          <w:bCs/>
          <w:szCs w:val="20"/>
        </w:rPr>
        <w:t>b.</w:t>
      </w:r>
      <w:r>
        <w:rPr>
          <w:b/>
          <w:bCs/>
          <w:szCs w:val="20"/>
        </w:rPr>
        <w:tab/>
      </w:r>
      <w:r w:rsidRPr="00471CBA">
        <w:rPr>
          <w:b/>
          <w:bCs/>
          <w:szCs w:val="20"/>
        </w:rPr>
        <w:t>İtfa edilmiş maliyet üzerinden değerlenen borçlanma senetlerine ilişkin bilgiler:</w:t>
      </w:r>
      <w:r>
        <w:rPr>
          <w:b/>
          <w:bCs/>
          <w:szCs w:val="20"/>
        </w:rPr>
        <w:t xml:space="preserve"> (Devamı)</w:t>
      </w:r>
    </w:p>
    <w:p w14:paraId="1A19DEB6" w14:textId="77777777" w:rsidR="00204442" w:rsidRPr="00F36B82" w:rsidRDefault="00204442" w:rsidP="00F36B82">
      <w:pPr>
        <w:widowControl w:val="0"/>
        <w:spacing w:line="221" w:lineRule="auto"/>
        <w:ind w:firstLine="11"/>
        <w:rPr>
          <w:bCs/>
          <w:sz w:val="14"/>
          <w:szCs w:val="14"/>
        </w:rPr>
      </w:pPr>
    </w:p>
    <w:tbl>
      <w:tblPr>
        <w:tblW w:w="5000" w:type="pct"/>
        <w:tblCellMar>
          <w:left w:w="70" w:type="dxa"/>
          <w:right w:w="70" w:type="dxa"/>
        </w:tblCellMar>
        <w:tblLook w:val="04A0" w:firstRow="1" w:lastRow="0" w:firstColumn="1" w:lastColumn="0" w:noHBand="0" w:noVBand="1"/>
      </w:tblPr>
      <w:tblGrid>
        <w:gridCol w:w="6309"/>
        <w:gridCol w:w="3046"/>
      </w:tblGrid>
      <w:tr w:rsidR="00204442" w:rsidRPr="00471CBA" w14:paraId="1D6F2A51" w14:textId="77777777" w:rsidTr="009B2EDC">
        <w:trPr>
          <w:trHeight w:val="170"/>
        </w:trPr>
        <w:tc>
          <w:tcPr>
            <w:tcW w:w="3372" w:type="pct"/>
            <w:tcBorders>
              <w:top w:val="nil"/>
              <w:left w:val="nil"/>
              <w:bottom w:val="nil"/>
              <w:right w:val="nil"/>
            </w:tcBorders>
            <w:shd w:val="clear" w:color="000000" w:fill="FFFFFF"/>
            <w:vAlign w:val="bottom"/>
            <w:hideMark/>
          </w:tcPr>
          <w:p w14:paraId="6EE2B9AB" w14:textId="77777777" w:rsidR="00204442" w:rsidRPr="00471CBA" w:rsidRDefault="00204442" w:rsidP="00F36B82">
            <w:pPr>
              <w:spacing w:line="221" w:lineRule="auto"/>
              <w:jc w:val="both"/>
              <w:rPr>
                <w:color w:val="000000"/>
                <w:szCs w:val="20"/>
              </w:rPr>
            </w:pPr>
            <w:r w:rsidRPr="00471CBA">
              <w:rPr>
                <w:color w:val="000000"/>
                <w:szCs w:val="20"/>
              </w:rPr>
              <w:t> </w:t>
            </w:r>
          </w:p>
        </w:tc>
        <w:tc>
          <w:tcPr>
            <w:tcW w:w="1628" w:type="pct"/>
            <w:tcBorders>
              <w:top w:val="nil"/>
              <w:left w:val="nil"/>
              <w:bottom w:val="single" w:sz="4" w:space="0" w:color="auto"/>
              <w:right w:val="nil"/>
            </w:tcBorders>
            <w:noWrap/>
            <w:vAlign w:val="center"/>
            <w:hideMark/>
          </w:tcPr>
          <w:p w14:paraId="291B7549" w14:textId="77777777" w:rsidR="00204442" w:rsidRPr="00471CBA" w:rsidRDefault="00204442" w:rsidP="00F36B82">
            <w:pPr>
              <w:spacing w:line="221" w:lineRule="auto"/>
              <w:jc w:val="right"/>
              <w:rPr>
                <w:b/>
                <w:bCs/>
                <w:color w:val="000000"/>
                <w:szCs w:val="20"/>
              </w:rPr>
            </w:pPr>
            <w:r w:rsidRPr="00471CBA">
              <w:rPr>
                <w:b/>
                <w:bCs/>
                <w:color w:val="000000"/>
                <w:szCs w:val="20"/>
              </w:rPr>
              <w:t>31 Aralık 2024</w:t>
            </w:r>
          </w:p>
        </w:tc>
      </w:tr>
      <w:tr w:rsidR="00204442" w:rsidRPr="00471CBA" w14:paraId="3DEFD715" w14:textId="77777777" w:rsidTr="009B2EDC">
        <w:trPr>
          <w:trHeight w:val="170"/>
        </w:trPr>
        <w:tc>
          <w:tcPr>
            <w:tcW w:w="3372" w:type="pct"/>
            <w:tcBorders>
              <w:top w:val="nil"/>
              <w:left w:val="nil"/>
              <w:bottom w:val="nil"/>
              <w:right w:val="nil"/>
            </w:tcBorders>
            <w:shd w:val="clear" w:color="000000" w:fill="FFFFFF"/>
            <w:vAlign w:val="bottom"/>
            <w:hideMark/>
          </w:tcPr>
          <w:p w14:paraId="4CB73320" w14:textId="77777777" w:rsidR="00204442" w:rsidRPr="00471CBA" w:rsidRDefault="00204442" w:rsidP="00F36B82">
            <w:pPr>
              <w:spacing w:line="221" w:lineRule="auto"/>
              <w:jc w:val="both"/>
              <w:rPr>
                <w:color w:val="000000"/>
                <w:szCs w:val="20"/>
              </w:rPr>
            </w:pPr>
            <w:r w:rsidRPr="00471CBA">
              <w:rPr>
                <w:color w:val="000000"/>
                <w:szCs w:val="20"/>
              </w:rPr>
              <w:t> </w:t>
            </w:r>
          </w:p>
        </w:tc>
        <w:tc>
          <w:tcPr>
            <w:tcW w:w="1628" w:type="pct"/>
            <w:tcBorders>
              <w:top w:val="nil"/>
              <w:left w:val="nil"/>
              <w:bottom w:val="nil"/>
              <w:right w:val="nil"/>
            </w:tcBorders>
            <w:shd w:val="clear" w:color="000000" w:fill="FFFFFF"/>
            <w:vAlign w:val="bottom"/>
            <w:hideMark/>
          </w:tcPr>
          <w:p w14:paraId="1A976AFB" w14:textId="77777777" w:rsidR="00204442" w:rsidRPr="00471CBA" w:rsidRDefault="00204442" w:rsidP="00F36B82">
            <w:pPr>
              <w:spacing w:line="221" w:lineRule="auto"/>
              <w:jc w:val="right"/>
              <w:rPr>
                <w:b/>
                <w:bCs/>
                <w:color w:val="000000"/>
                <w:szCs w:val="20"/>
              </w:rPr>
            </w:pPr>
            <w:r w:rsidRPr="00471CBA">
              <w:rPr>
                <w:b/>
                <w:bCs/>
                <w:color w:val="000000"/>
                <w:szCs w:val="20"/>
              </w:rPr>
              <w:t> </w:t>
            </w:r>
          </w:p>
        </w:tc>
      </w:tr>
      <w:tr w:rsidR="00204442" w:rsidRPr="00471CBA" w14:paraId="3792EC71" w14:textId="77777777" w:rsidTr="009B2EDC">
        <w:trPr>
          <w:trHeight w:val="170"/>
        </w:trPr>
        <w:tc>
          <w:tcPr>
            <w:tcW w:w="3372" w:type="pct"/>
            <w:tcBorders>
              <w:top w:val="nil"/>
              <w:left w:val="nil"/>
              <w:bottom w:val="nil"/>
              <w:right w:val="nil"/>
            </w:tcBorders>
            <w:noWrap/>
            <w:vAlign w:val="bottom"/>
            <w:hideMark/>
          </w:tcPr>
          <w:p w14:paraId="351B0770" w14:textId="77777777" w:rsidR="00204442" w:rsidRPr="00471CBA" w:rsidRDefault="00204442" w:rsidP="00F36B82">
            <w:pPr>
              <w:spacing w:line="221" w:lineRule="auto"/>
              <w:ind w:firstLineChars="200" w:firstLine="400"/>
              <w:rPr>
                <w:color w:val="000000"/>
                <w:szCs w:val="20"/>
              </w:rPr>
            </w:pPr>
            <w:r w:rsidRPr="00471CBA">
              <w:rPr>
                <w:color w:val="000000"/>
                <w:szCs w:val="20"/>
              </w:rPr>
              <w:t>Devlet Tahvili</w:t>
            </w:r>
          </w:p>
        </w:tc>
        <w:tc>
          <w:tcPr>
            <w:tcW w:w="1628" w:type="pct"/>
            <w:tcBorders>
              <w:top w:val="nil"/>
              <w:left w:val="nil"/>
              <w:bottom w:val="nil"/>
              <w:right w:val="nil"/>
            </w:tcBorders>
            <w:vAlign w:val="center"/>
            <w:hideMark/>
          </w:tcPr>
          <w:p w14:paraId="3851DCDD" w14:textId="77777777" w:rsidR="00204442" w:rsidRPr="00471CBA" w:rsidRDefault="00204442" w:rsidP="00F36B82">
            <w:pPr>
              <w:spacing w:line="221" w:lineRule="auto"/>
              <w:jc w:val="right"/>
              <w:rPr>
                <w:color w:val="000000"/>
                <w:szCs w:val="20"/>
              </w:rPr>
            </w:pPr>
            <w:r w:rsidRPr="00471CBA">
              <w:rPr>
                <w:color w:val="000000"/>
                <w:szCs w:val="20"/>
              </w:rPr>
              <w:t>-</w:t>
            </w:r>
          </w:p>
        </w:tc>
      </w:tr>
      <w:tr w:rsidR="00204442" w:rsidRPr="00471CBA" w14:paraId="0CC6CEC9" w14:textId="77777777" w:rsidTr="009B2EDC">
        <w:trPr>
          <w:trHeight w:val="170"/>
        </w:trPr>
        <w:tc>
          <w:tcPr>
            <w:tcW w:w="3372" w:type="pct"/>
            <w:tcBorders>
              <w:top w:val="nil"/>
              <w:left w:val="nil"/>
              <w:bottom w:val="nil"/>
              <w:right w:val="nil"/>
            </w:tcBorders>
            <w:noWrap/>
            <w:vAlign w:val="bottom"/>
            <w:hideMark/>
          </w:tcPr>
          <w:p w14:paraId="1A8582F2" w14:textId="77777777" w:rsidR="00204442" w:rsidRPr="00471CBA" w:rsidRDefault="00204442" w:rsidP="00F36B82">
            <w:pPr>
              <w:spacing w:line="221" w:lineRule="auto"/>
              <w:ind w:firstLineChars="200" w:firstLine="400"/>
              <w:rPr>
                <w:color w:val="000000"/>
                <w:szCs w:val="20"/>
              </w:rPr>
            </w:pPr>
            <w:r w:rsidRPr="00471CBA">
              <w:rPr>
                <w:color w:val="000000"/>
                <w:szCs w:val="20"/>
              </w:rPr>
              <w:t>Hazine Bonosu</w:t>
            </w:r>
          </w:p>
        </w:tc>
        <w:tc>
          <w:tcPr>
            <w:tcW w:w="1628" w:type="pct"/>
            <w:tcBorders>
              <w:top w:val="nil"/>
              <w:left w:val="nil"/>
              <w:bottom w:val="nil"/>
              <w:right w:val="nil"/>
            </w:tcBorders>
            <w:vAlign w:val="center"/>
            <w:hideMark/>
          </w:tcPr>
          <w:p w14:paraId="22BB76BC" w14:textId="77777777" w:rsidR="00204442" w:rsidRPr="00471CBA" w:rsidRDefault="00204442" w:rsidP="00F36B82">
            <w:pPr>
              <w:spacing w:line="221" w:lineRule="auto"/>
              <w:jc w:val="right"/>
              <w:rPr>
                <w:color w:val="000000"/>
                <w:szCs w:val="20"/>
              </w:rPr>
            </w:pPr>
            <w:r w:rsidRPr="00471CBA">
              <w:rPr>
                <w:color w:val="000000"/>
                <w:szCs w:val="20"/>
              </w:rPr>
              <w:t>-</w:t>
            </w:r>
          </w:p>
        </w:tc>
      </w:tr>
      <w:tr w:rsidR="00204442" w:rsidRPr="00471CBA" w14:paraId="114EE01D" w14:textId="77777777" w:rsidTr="009B2EDC">
        <w:trPr>
          <w:trHeight w:val="170"/>
        </w:trPr>
        <w:tc>
          <w:tcPr>
            <w:tcW w:w="3372" w:type="pct"/>
            <w:tcBorders>
              <w:top w:val="nil"/>
              <w:left w:val="nil"/>
              <w:bottom w:val="nil"/>
              <w:right w:val="nil"/>
            </w:tcBorders>
            <w:noWrap/>
            <w:vAlign w:val="bottom"/>
            <w:hideMark/>
          </w:tcPr>
          <w:p w14:paraId="41F7A93F" w14:textId="77777777" w:rsidR="00204442" w:rsidRPr="00471CBA" w:rsidRDefault="00204442" w:rsidP="00F36B82">
            <w:pPr>
              <w:spacing w:line="221" w:lineRule="auto"/>
              <w:ind w:firstLineChars="200" w:firstLine="400"/>
              <w:rPr>
                <w:color w:val="000000"/>
                <w:szCs w:val="20"/>
              </w:rPr>
            </w:pPr>
            <w:r w:rsidRPr="00471CBA">
              <w:rPr>
                <w:color w:val="000000"/>
                <w:szCs w:val="20"/>
              </w:rPr>
              <w:t xml:space="preserve">Diğer Kamu Borçlanma Senetleri </w:t>
            </w:r>
            <w:r w:rsidRPr="00471CBA">
              <w:rPr>
                <w:color w:val="000000"/>
                <w:szCs w:val="20"/>
                <w:vertAlign w:val="superscript"/>
              </w:rPr>
              <w:t>(*)</w:t>
            </w:r>
          </w:p>
        </w:tc>
        <w:tc>
          <w:tcPr>
            <w:tcW w:w="1628" w:type="pct"/>
            <w:tcBorders>
              <w:top w:val="nil"/>
              <w:left w:val="nil"/>
              <w:bottom w:val="nil"/>
              <w:right w:val="nil"/>
            </w:tcBorders>
            <w:vAlign w:val="center"/>
            <w:hideMark/>
          </w:tcPr>
          <w:p w14:paraId="792EBE7E" w14:textId="77777777" w:rsidR="00204442" w:rsidRPr="00471CBA" w:rsidRDefault="00204442" w:rsidP="00F36B82">
            <w:pPr>
              <w:spacing w:line="221" w:lineRule="auto"/>
              <w:jc w:val="right"/>
              <w:rPr>
                <w:color w:val="000000"/>
                <w:szCs w:val="20"/>
              </w:rPr>
            </w:pPr>
            <w:r w:rsidRPr="00471CBA">
              <w:rPr>
                <w:color w:val="000000"/>
                <w:szCs w:val="20"/>
              </w:rPr>
              <w:t>391.310</w:t>
            </w:r>
          </w:p>
        </w:tc>
      </w:tr>
      <w:tr w:rsidR="00204442" w:rsidRPr="00471CBA" w14:paraId="3BF59276" w14:textId="77777777" w:rsidTr="009B2EDC">
        <w:trPr>
          <w:trHeight w:val="170"/>
        </w:trPr>
        <w:tc>
          <w:tcPr>
            <w:tcW w:w="3372" w:type="pct"/>
            <w:tcBorders>
              <w:top w:val="nil"/>
              <w:left w:val="nil"/>
              <w:bottom w:val="single" w:sz="4" w:space="0" w:color="auto"/>
              <w:right w:val="nil"/>
            </w:tcBorders>
            <w:noWrap/>
            <w:vAlign w:val="bottom"/>
            <w:hideMark/>
          </w:tcPr>
          <w:p w14:paraId="19F86139" w14:textId="77777777" w:rsidR="00204442" w:rsidRPr="00471CBA" w:rsidRDefault="00204442" w:rsidP="00F36B82">
            <w:pPr>
              <w:spacing w:line="221" w:lineRule="auto"/>
              <w:ind w:firstLineChars="200" w:firstLine="400"/>
              <w:rPr>
                <w:color w:val="000000"/>
                <w:szCs w:val="20"/>
              </w:rPr>
            </w:pPr>
            <w:r w:rsidRPr="00471CBA">
              <w:rPr>
                <w:color w:val="000000"/>
                <w:szCs w:val="20"/>
              </w:rPr>
              <w:t xml:space="preserve">Diğer Borçlanma Senetleri </w:t>
            </w:r>
          </w:p>
        </w:tc>
        <w:tc>
          <w:tcPr>
            <w:tcW w:w="1628" w:type="pct"/>
            <w:tcBorders>
              <w:top w:val="nil"/>
              <w:left w:val="nil"/>
              <w:bottom w:val="single" w:sz="4" w:space="0" w:color="auto"/>
              <w:right w:val="nil"/>
            </w:tcBorders>
            <w:vAlign w:val="center"/>
            <w:hideMark/>
          </w:tcPr>
          <w:p w14:paraId="3F4101F9" w14:textId="77777777" w:rsidR="00204442" w:rsidRPr="00471CBA" w:rsidRDefault="00204442" w:rsidP="00F36B82">
            <w:pPr>
              <w:spacing w:line="221" w:lineRule="auto"/>
              <w:jc w:val="right"/>
              <w:rPr>
                <w:color w:val="000000"/>
                <w:szCs w:val="20"/>
              </w:rPr>
            </w:pPr>
            <w:r w:rsidRPr="00471CBA">
              <w:rPr>
                <w:color w:val="000000"/>
                <w:szCs w:val="20"/>
              </w:rPr>
              <w:t>-</w:t>
            </w:r>
          </w:p>
        </w:tc>
      </w:tr>
      <w:tr w:rsidR="00204442" w:rsidRPr="00471CBA" w14:paraId="6854B1B9" w14:textId="77777777" w:rsidTr="009B2EDC">
        <w:trPr>
          <w:trHeight w:val="170"/>
        </w:trPr>
        <w:tc>
          <w:tcPr>
            <w:tcW w:w="3372" w:type="pct"/>
            <w:tcBorders>
              <w:top w:val="nil"/>
              <w:left w:val="nil"/>
              <w:right w:val="nil"/>
            </w:tcBorders>
            <w:noWrap/>
            <w:vAlign w:val="bottom"/>
            <w:hideMark/>
          </w:tcPr>
          <w:p w14:paraId="57008D03" w14:textId="77777777" w:rsidR="00204442" w:rsidRPr="00471CBA" w:rsidRDefault="00204442" w:rsidP="00F36B82">
            <w:pPr>
              <w:spacing w:line="221" w:lineRule="auto"/>
              <w:jc w:val="right"/>
              <w:rPr>
                <w:color w:val="000000"/>
                <w:szCs w:val="20"/>
              </w:rPr>
            </w:pPr>
          </w:p>
        </w:tc>
        <w:tc>
          <w:tcPr>
            <w:tcW w:w="1628" w:type="pct"/>
            <w:tcBorders>
              <w:top w:val="nil"/>
              <w:left w:val="nil"/>
              <w:right w:val="nil"/>
            </w:tcBorders>
            <w:noWrap/>
            <w:vAlign w:val="center"/>
            <w:hideMark/>
          </w:tcPr>
          <w:p w14:paraId="52BAEE4C" w14:textId="77777777" w:rsidR="00204442" w:rsidRPr="00471CBA" w:rsidRDefault="00204442" w:rsidP="00F36B82">
            <w:pPr>
              <w:spacing w:line="221" w:lineRule="auto"/>
              <w:jc w:val="right"/>
              <w:rPr>
                <w:szCs w:val="20"/>
              </w:rPr>
            </w:pPr>
          </w:p>
        </w:tc>
      </w:tr>
      <w:tr w:rsidR="00204442" w:rsidRPr="00471CBA" w14:paraId="391ABB1A" w14:textId="77777777" w:rsidTr="009B2EDC">
        <w:trPr>
          <w:trHeight w:val="170"/>
        </w:trPr>
        <w:tc>
          <w:tcPr>
            <w:tcW w:w="3372" w:type="pct"/>
            <w:tcBorders>
              <w:top w:val="nil"/>
              <w:left w:val="nil"/>
              <w:bottom w:val="single" w:sz="12" w:space="0" w:color="auto"/>
              <w:right w:val="nil"/>
            </w:tcBorders>
            <w:noWrap/>
            <w:vAlign w:val="bottom"/>
            <w:hideMark/>
          </w:tcPr>
          <w:p w14:paraId="1432F76D" w14:textId="77777777" w:rsidR="00204442" w:rsidRPr="00471CBA" w:rsidRDefault="00204442" w:rsidP="00F36B82">
            <w:pPr>
              <w:spacing w:line="221" w:lineRule="auto"/>
              <w:rPr>
                <w:b/>
                <w:bCs/>
                <w:color w:val="000000"/>
                <w:szCs w:val="20"/>
              </w:rPr>
            </w:pPr>
            <w:r w:rsidRPr="00471CBA">
              <w:rPr>
                <w:b/>
                <w:bCs/>
                <w:color w:val="000000"/>
                <w:szCs w:val="20"/>
              </w:rPr>
              <w:t>Toplam</w:t>
            </w:r>
          </w:p>
        </w:tc>
        <w:tc>
          <w:tcPr>
            <w:tcW w:w="1628" w:type="pct"/>
            <w:tcBorders>
              <w:top w:val="nil"/>
              <w:left w:val="nil"/>
              <w:bottom w:val="single" w:sz="12" w:space="0" w:color="auto"/>
              <w:right w:val="nil"/>
            </w:tcBorders>
            <w:vAlign w:val="center"/>
            <w:hideMark/>
          </w:tcPr>
          <w:p w14:paraId="0BF46030" w14:textId="77777777" w:rsidR="00204442" w:rsidRPr="00471CBA" w:rsidRDefault="00204442" w:rsidP="00F36B82">
            <w:pPr>
              <w:spacing w:line="221" w:lineRule="auto"/>
              <w:jc w:val="right"/>
              <w:rPr>
                <w:b/>
                <w:bCs/>
                <w:color w:val="000000"/>
                <w:szCs w:val="20"/>
              </w:rPr>
            </w:pPr>
            <w:r w:rsidRPr="00471CBA">
              <w:rPr>
                <w:b/>
                <w:bCs/>
                <w:color w:val="000000"/>
                <w:szCs w:val="20"/>
              </w:rPr>
              <w:t>391.310</w:t>
            </w:r>
          </w:p>
        </w:tc>
      </w:tr>
    </w:tbl>
    <w:p w14:paraId="313F9277" w14:textId="77777777" w:rsidR="00204442" w:rsidRPr="00F36B82" w:rsidRDefault="00204442" w:rsidP="00F36B82">
      <w:pPr>
        <w:widowControl w:val="0"/>
        <w:spacing w:line="221" w:lineRule="auto"/>
        <w:ind w:firstLine="11"/>
        <w:rPr>
          <w:bCs/>
          <w:sz w:val="14"/>
          <w:szCs w:val="14"/>
        </w:rPr>
      </w:pPr>
    </w:p>
    <w:p w14:paraId="7D42A560" w14:textId="77777777" w:rsidR="00204442" w:rsidRPr="00471CBA" w:rsidRDefault="00204442" w:rsidP="00F36B82">
      <w:pPr>
        <w:widowControl w:val="0"/>
        <w:spacing w:line="221" w:lineRule="auto"/>
        <w:ind w:firstLine="11"/>
        <w:rPr>
          <w:bCs/>
          <w:sz w:val="18"/>
          <w:szCs w:val="18"/>
        </w:rPr>
      </w:pPr>
      <w:r w:rsidRPr="00471CBA">
        <w:rPr>
          <w:bCs/>
          <w:sz w:val="18"/>
          <w:szCs w:val="18"/>
          <w:vertAlign w:val="superscript"/>
        </w:rPr>
        <w:t>(*)</w:t>
      </w:r>
      <w:r w:rsidRPr="00471CBA">
        <w:rPr>
          <w:bCs/>
          <w:sz w:val="18"/>
          <w:szCs w:val="18"/>
        </w:rPr>
        <w:tab/>
        <w:t>T.C. Hazine ve Maliye Bakanlığı tarafından ihraç edilen kira sertifikalarını içermektedir.</w:t>
      </w:r>
    </w:p>
    <w:p w14:paraId="3FC41DA2" w14:textId="4E89CCC0" w:rsidR="00F95068" w:rsidRPr="00F36B82" w:rsidRDefault="00F95068" w:rsidP="00F36B82">
      <w:pPr>
        <w:spacing w:line="221" w:lineRule="auto"/>
        <w:rPr>
          <w:b/>
          <w:sz w:val="14"/>
          <w:szCs w:val="14"/>
        </w:rPr>
      </w:pPr>
    </w:p>
    <w:p w14:paraId="21E681F8" w14:textId="7B2B2FA2" w:rsidR="009E0027" w:rsidRPr="00471CBA" w:rsidRDefault="00F36B82" w:rsidP="00F36B82">
      <w:pPr>
        <w:pStyle w:val="ListeParagraf"/>
        <w:spacing w:line="221" w:lineRule="auto"/>
        <w:ind w:left="1276" w:hanging="425"/>
        <w:rPr>
          <w:b/>
          <w:bCs/>
          <w:szCs w:val="20"/>
        </w:rPr>
      </w:pPr>
      <w:r>
        <w:rPr>
          <w:b/>
          <w:bCs/>
          <w:szCs w:val="20"/>
        </w:rPr>
        <w:t xml:space="preserve">c. </w:t>
      </w:r>
      <w:r>
        <w:rPr>
          <w:b/>
          <w:bCs/>
          <w:szCs w:val="20"/>
        </w:rPr>
        <w:tab/>
      </w:r>
      <w:r w:rsidR="009E0027" w:rsidRPr="00471CBA">
        <w:rPr>
          <w:b/>
          <w:bCs/>
          <w:szCs w:val="20"/>
        </w:rPr>
        <w:t>İtfa edilmiş maliyeti üzerinden değerlenen finansal varlıklara ilişkin bilgiler:</w:t>
      </w:r>
    </w:p>
    <w:p w14:paraId="08240F2B" w14:textId="3EB16379" w:rsidR="00A74C68" w:rsidRPr="00F36B82" w:rsidRDefault="00A74C68" w:rsidP="00F36B82">
      <w:pPr>
        <w:spacing w:line="221" w:lineRule="auto"/>
        <w:rPr>
          <w:sz w:val="14"/>
          <w:szCs w:val="14"/>
        </w:rPr>
      </w:pPr>
    </w:p>
    <w:tbl>
      <w:tblPr>
        <w:tblW w:w="5000" w:type="pct"/>
        <w:tblCellMar>
          <w:left w:w="70" w:type="dxa"/>
          <w:right w:w="70" w:type="dxa"/>
        </w:tblCellMar>
        <w:tblLook w:val="04A0" w:firstRow="1" w:lastRow="0" w:firstColumn="1" w:lastColumn="0" w:noHBand="0" w:noVBand="1"/>
      </w:tblPr>
      <w:tblGrid>
        <w:gridCol w:w="6171"/>
        <w:gridCol w:w="3184"/>
      </w:tblGrid>
      <w:tr w:rsidR="00A74C68" w:rsidRPr="00471CBA" w14:paraId="3FFF471D" w14:textId="77777777" w:rsidTr="00A74C68">
        <w:trPr>
          <w:divId w:val="1983076108"/>
          <w:trHeight w:val="170"/>
        </w:trPr>
        <w:tc>
          <w:tcPr>
            <w:tcW w:w="2500" w:type="pct"/>
            <w:tcBorders>
              <w:top w:val="nil"/>
              <w:left w:val="nil"/>
              <w:bottom w:val="nil"/>
              <w:right w:val="nil"/>
            </w:tcBorders>
            <w:noWrap/>
            <w:vAlign w:val="bottom"/>
            <w:hideMark/>
          </w:tcPr>
          <w:p w14:paraId="04866CCB" w14:textId="1AFD72A6" w:rsidR="00A74C68" w:rsidRPr="00471CBA" w:rsidRDefault="00A74C68" w:rsidP="00F36B82">
            <w:pPr>
              <w:spacing w:line="221" w:lineRule="auto"/>
              <w:jc w:val="center"/>
              <w:rPr>
                <w:szCs w:val="20"/>
              </w:rPr>
            </w:pPr>
          </w:p>
        </w:tc>
        <w:tc>
          <w:tcPr>
            <w:tcW w:w="1290" w:type="pct"/>
            <w:tcBorders>
              <w:top w:val="nil"/>
              <w:left w:val="nil"/>
              <w:bottom w:val="single" w:sz="4" w:space="0" w:color="auto"/>
              <w:right w:val="nil"/>
            </w:tcBorders>
            <w:noWrap/>
            <w:vAlign w:val="center"/>
            <w:hideMark/>
          </w:tcPr>
          <w:p w14:paraId="34085DB2" w14:textId="77777777" w:rsidR="00A74C68" w:rsidRPr="00471CBA" w:rsidRDefault="00A74C68" w:rsidP="00F36B82">
            <w:pPr>
              <w:spacing w:line="221" w:lineRule="auto"/>
              <w:jc w:val="right"/>
              <w:rPr>
                <w:b/>
                <w:bCs/>
                <w:color w:val="000000"/>
                <w:szCs w:val="20"/>
              </w:rPr>
            </w:pPr>
            <w:r w:rsidRPr="00471CBA">
              <w:rPr>
                <w:b/>
                <w:bCs/>
                <w:color w:val="000000"/>
                <w:szCs w:val="20"/>
              </w:rPr>
              <w:t>31 Aralık 2025</w:t>
            </w:r>
          </w:p>
        </w:tc>
      </w:tr>
      <w:tr w:rsidR="00A74C68" w:rsidRPr="00471CBA" w14:paraId="2E367A69" w14:textId="77777777" w:rsidTr="00A74C68">
        <w:trPr>
          <w:divId w:val="1983076108"/>
          <w:trHeight w:val="170"/>
        </w:trPr>
        <w:tc>
          <w:tcPr>
            <w:tcW w:w="2500" w:type="pct"/>
            <w:tcBorders>
              <w:top w:val="nil"/>
              <w:left w:val="nil"/>
              <w:bottom w:val="nil"/>
              <w:right w:val="nil"/>
            </w:tcBorders>
            <w:noWrap/>
            <w:vAlign w:val="bottom"/>
            <w:hideMark/>
          </w:tcPr>
          <w:p w14:paraId="3F57E805" w14:textId="77777777" w:rsidR="00A74C68" w:rsidRPr="00471CBA" w:rsidRDefault="00A74C68" w:rsidP="00F36B82">
            <w:pPr>
              <w:spacing w:line="221" w:lineRule="auto"/>
              <w:rPr>
                <w:b/>
                <w:bCs/>
                <w:color w:val="000000"/>
                <w:szCs w:val="20"/>
              </w:rPr>
            </w:pPr>
          </w:p>
        </w:tc>
        <w:tc>
          <w:tcPr>
            <w:tcW w:w="1290" w:type="pct"/>
            <w:tcBorders>
              <w:top w:val="nil"/>
              <w:left w:val="nil"/>
              <w:bottom w:val="nil"/>
              <w:right w:val="nil"/>
            </w:tcBorders>
            <w:noWrap/>
            <w:vAlign w:val="bottom"/>
            <w:hideMark/>
          </w:tcPr>
          <w:p w14:paraId="2A6CE268" w14:textId="77777777" w:rsidR="00A74C68" w:rsidRPr="00471CBA" w:rsidRDefault="00A74C68" w:rsidP="00F36B82">
            <w:pPr>
              <w:spacing w:line="221" w:lineRule="auto"/>
              <w:jc w:val="right"/>
              <w:rPr>
                <w:szCs w:val="20"/>
              </w:rPr>
            </w:pPr>
          </w:p>
        </w:tc>
      </w:tr>
      <w:tr w:rsidR="00A74C68" w:rsidRPr="00471CBA" w14:paraId="1D4B8AB2" w14:textId="77777777" w:rsidTr="00A74C68">
        <w:trPr>
          <w:divId w:val="1983076108"/>
          <w:trHeight w:val="170"/>
        </w:trPr>
        <w:tc>
          <w:tcPr>
            <w:tcW w:w="2500" w:type="pct"/>
            <w:tcBorders>
              <w:top w:val="nil"/>
              <w:left w:val="nil"/>
              <w:bottom w:val="nil"/>
              <w:right w:val="nil"/>
            </w:tcBorders>
            <w:noWrap/>
            <w:vAlign w:val="bottom"/>
            <w:hideMark/>
          </w:tcPr>
          <w:p w14:paraId="7B02E4AF" w14:textId="77777777" w:rsidR="00A74C68" w:rsidRPr="00471CBA" w:rsidRDefault="00A74C68" w:rsidP="00F36B82">
            <w:pPr>
              <w:spacing w:line="221" w:lineRule="auto"/>
              <w:rPr>
                <w:color w:val="000000"/>
                <w:szCs w:val="20"/>
              </w:rPr>
            </w:pPr>
            <w:r w:rsidRPr="00471CBA">
              <w:rPr>
                <w:color w:val="000000"/>
                <w:szCs w:val="20"/>
              </w:rPr>
              <w:t>Borçlanma Senetleri</w:t>
            </w:r>
          </w:p>
        </w:tc>
        <w:tc>
          <w:tcPr>
            <w:tcW w:w="1290" w:type="pct"/>
            <w:tcBorders>
              <w:top w:val="nil"/>
              <w:left w:val="nil"/>
              <w:bottom w:val="nil"/>
              <w:right w:val="nil"/>
            </w:tcBorders>
            <w:vAlign w:val="center"/>
            <w:hideMark/>
          </w:tcPr>
          <w:p w14:paraId="390C05E9" w14:textId="77777777" w:rsidR="00A74C68" w:rsidRPr="00471CBA" w:rsidRDefault="00A74C68" w:rsidP="00F36B82">
            <w:pPr>
              <w:spacing w:line="221" w:lineRule="auto"/>
              <w:jc w:val="right"/>
              <w:rPr>
                <w:color w:val="000000"/>
                <w:szCs w:val="20"/>
              </w:rPr>
            </w:pPr>
            <w:r w:rsidRPr="00471CBA">
              <w:rPr>
                <w:color w:val="000000"/>
                <w:szCs w:val="20"/>
              </w:rPr>
              <w:t>750.636</w:t>
            </w:r>
          </w:p>
        </w:tc>
      </w:tr>
      <w:tr w:rsidR="00A74C68" w:rsidRPr="00471CBA" w14:paraId="1FB6E9E7" w14:textId="77777777" w:rsidTr="00A74C68">
        <w:trPr>
          <w:divId w:val="1983076108"/>
          <w:trHeight w:val="170"/>
        </w:trPr>
        <w:tc>
          <w:tcPr>
            <w:tcW w:w="2500" w:type="pct"/>
            <w:tcBorders>
              <w:top w:val="nil"/>
              <w:left w:val="nil"/>
              <w:bottom w:val="nil"/>
              <w:right w:val="nil"/>
            </w:tcBorders>
            <w:noWrap/>
            <w:vAlign w:val="bottom"/>
            <w:hideMark/>
          </w:tcPr>
          <w:p w14:paraId="76149A57" w14:textId="77777777" w:rsidR="00A74C68" w:rsidRPr="00471CBA" w:rsidRDefault="00A74C68" w:rsidP="00F36B82">
            <w:pPr>
              <w:spacing w:line="221" w:lineRule="auto"/>
              <w:ind w:firstLineChars="200" w:firstLine="400"/>
              <w:rPr>
                <w:color w:val="000000"/>
                <w:szCs w:val="20"/>
              </w:rPr>
            </w:pPr>
            <w:r w:rsidRPr="00471CBA">
              <w:rPr>
                <w:color w:val="000000"/>
                <w:szCs w:val="20"/>
              </w:rPr>
              <w:t>Borsada İşlem Görenler</w:t>
            </w:r>
          </w:p>
        </w:tc>
        <w:tc>
          <w:tcPr>
            <w:tcW w:w="1290" w:type="pct"/>
            <w:tcBorders>
              <w:top w:val="nil"/>
              <w:left w:val="nil"/>
              <w:bottom w:val="nil"/>
              <w:right w:val="nil"/>
            </w:tcBorders>
            <w:vAlign w:val="center"/>
            <w:hideMark/>
          </w:tcPr>
          <w:p w14:paraId="0F71E6FB" w14:textId="77777777" w:rsidR="00A74C68" w:rsidRPr="00471CBA" w:rsidRDefault="00A74C68" w:rsidP="00F36B82">
            <w:pPr>
              <w:spacing w:line="221" w:lineRule="auto"/>
              <w:jc w:val="right"/>
              <w:rPr>
                <w:color w:val="000000"/>
                <w:szCs w:val="20"/>
              </w:rPr>
            </w:pPr>
            <w:r w:rsidRPr="00471CBA">
              <w:rPr>
                <w:color w:val="000000"/>
                <w:szCs w:val="20"/>
              </w:rPr>
              <w:t>750.636</w:t>
            </w:r>
          </w:p>
        </w:tc>
      </w:tr>
      <w:tr w:rsidR="00A74C68" w:rsidRPr="00471CBA" w14:paraId="32B59B51" w14:textId="77777777" w:rsidTr="00A74C68">
        <w:trPr>
          <w:divId w:val="1983076108"/>
          <w:trHeight w:val="170"/>
        </w:trPr>
        <w:tc>
          <w:tcPr>
            <w:tcW w:w="2500" w:type="pct"/>
            <w:tcBorders>
              <w:top w:val="nil"/>
              <w:left w:val="nil"/>
              <w:bottom w:val="nil"/>
              <w:right w:val="nil"/>
            </w:tcBorders>
            <w:noWrap/>
            <w:vAlign w:val="bottom"/>
            <w:hideMark/>
          </w:tcPr>
          <w:p w14:paraId="4737F7AB" w14:textId="77777777" w:rsidR="00A74C68" w:rsidRPr="00471CBA" w:rsidRDefault="00A74C68" w:rsidP="00F36B82">
            <w:pPr>
              <w:spacing w:line="221" w:lineRule="auto"/>
              <w:ind w:firstLineChars="200" w:firstLine="400"/>
              <w:rPr>
                <w:color w:val="000000"/>
                <w:szCs w:val="20"/>
              </w:rPr>
            </w:pPr>
            <w:r w:rsidRPr="00471CBA">
              <w:rPr>
                <w:color w:val="000000"/>
                <w:szCs w:val="20"/>
              </w:rPr>
              <w:t>Borsada İşlem Görmeyenler</w:t>
            </w:r>
          </w:p>
        </w:tc>
        <w:tc>
          <w:tcPr>
            <w:tcW w:w="1290" w:type="pct"/>
            <w:tcBorders>
              <w:top w:val="nil"/>
              <w:left w:val="nil"/>
              <w:bottom w:val="nil"/>
              <w:right w:val="nil"/>
            </w:tcBorders>
            <w:vAlign w:val="center"/>
            <w:hideMark/>
          </w:tcPr>
          <w:p w14:paraId="4925302A" w14:textId="77777777" w:rsidR="00A74C68" w:rsidRPr="00471CBA" w:rsidRDefault="00A74C68" w:rsidP="00F36B82">
            <w:pPr>
              <w:spacing w:line="221" w:lineRule="auto"/>
              <w:jc w:val="right"/>
              <w:rPr>
                <w:color w:val="000000"/>
                <w:szCs w:val="20"/>
              </w:rPr>
            </w:pPr>
            <w:r w:rsidRPr="00471CBA">
              <w:rPr>
                <w:color w:val="000000"/>
                <w:szCs w:val="20"/>
              </w:rPr>
              <w:t>-</w:t>
            </w:r>
          </w:p>
        </w:tc>
      </w:tr>
      <w:tr w:rsidR="00A74C68" w:rsidRPr="00471CBA" w14:paraId="518DADEB" w14:textId="77777777" w:rsidTr="00A74C68">
        <w:trPr>
          <w:divId w:val="1983076108"/>
          <w:trHeight w:val="170"/>
        </w:trPr>
        <w:tc>
          <w:tcPr>
            <w:tcW w:w="2500" w:type="pct"/>
            <w:tcBorders>
              <w:top w:val="nil"/>
              <w:left w:val="nil"/>
              <w:bottom w:val="single" w:sz="4" w:space="0" w:color="auto"/>
              <w:right w:val="nil"/>
            </w:tcBorders>
            <w:noWrap/>
            <w:vAlign w:val="bottom"/>
            <w:hideMark/>
          </w:tcPr>
          <w:p w14:paraId="7C144704" w14:textId="77777777" w:rsidR="00A74C68" w:rsidRPr="00471CBA" w:rsidRDefault="00A74C68" w:rsidP="00F36B82">
            <w:pPr>
              <w:spacing w:line="221" w:lineRule="auto"/>
              <w:rPr>
                <w:color w:val="000000"/>
                <w:szCs w:val="20"/>
              </w:rPr>
            </w:pPr>
            <w:r w:rsidRPr="00471CBA">
              <w:rPr>
                <w:color w:val="000000"/>
                <w:szCs w:val="20"/>
              </w:rPr>
              <w:t>Değer Azalma Karşılığı (-)</w:t>
            </w:r>
          </w:p>
        </w:tc>
        <w:tc>
          <w:tcPr>
            <w:tcW w:w="1290" w:type="pct"/>
            <w:tcBorders>
              <w:top w:val="nil"/>
              <w:left w:val="nil"/>
              <w:bottom w:val="single" w:sz="4" w:space="0" w:color="auto"/>
              <w:right w:val="nil"/>
            </w:tcBorders>
            <w:vAlign w:val="center"/>
            <w:hideMark/>
          </w:tcPr>
          <w:p w14:paraId="30F5676E" w14:textId="77777777" w:rsidR="00A74C68" w:rsidRPr="00471CBA" w:rsidRDefault="00A74C68" w:rsidP="00F36B82">
            <w:pPr>
              <w:spacing w:line="221" w:lineRule="auto"/>
              <w:jc w:val="right"/>
              <w:rPr>
                <w:color w:val="000000"/>
                <w:szCs w:val="20"/>
              </w:rPr>
            </w:pPr>
            <w:r w:rsidRPr="00471CBA">
              <w:rPr>
                <w:color w:val="000000"/>
                <w:szCs w:val="20"/>
              </w:rPr>
              <w:t>-</w:t>
            </w:r>
          </w:p>
        </w:tc>
      </w:tr>
      <w:tr w:rsidR="00A74C68" w:rsidRPr="00471CBA" w14:paraId="726A3481" w14:textId="77777777" w:rsidTr="00A74C68">
        <w:trPr>
          <w:divId w:val="1983076108"/>
          <w:trHeight w:val="170"/>
        </w:trPr>
        <w:tc>
          <w:tcPr>
            <w:tcW w:w="2500" w:type="pct"/>
            <w:tcBorders>
              <w:top w:val="nil"/>
              <w:left w:val="nil"/>
              <w:right w:val="nil"/>
            </w:tcBorders>
            <w:noWrap/>
            <w:vAlign w:val="bottom"/>
            <w:hideMark/>
          </w:tcPr>
          <w:p w14:paraId="4355EABC" w14:textId="77777777" w:rsidR="00A74C68" w:rsidRPr="00471CBA" w:rsidRDefault="00A74C68" w:rsidP="00F36B82">
            <w:pPr>
              <w:spacing w:line="221" w:lineRule="auto"/>
              <w:jc w:val="right"/>
              <w:rPr>
                <w:color w:val="000000"/>
                <w:szCs w:val="20"/>
              </w:rPr>
            </w:pPr>
          </w:p>
        </w:tc>
        <w:tc>
          <w:tcPr>
            <w:tcW w:w="1290" w:type="pct"/>
            <w:tcBorders>
              <w:top w:val="nil"/>
              <w:left w:val="nil"/>
              <w:right w:val="nil"/>
            </w:tcBorders>
            <w:noWrap/>
            <w:vAlign w:val="center"/>
            <w:hideMark/>
          </w:tcPr>
          <w:p w14:paraId="521B0A62" w14:textId="77777777" w:rsidR="00A74C68" w:rsidRPr="00471CBA" w:rsidRDefault="00A74C68" w:rsidP="00F36B82">
            <w:pPr>
              <w:spacing w:line="221" w:lineRule="auto"/>
              <w:jc w:val="right"/>
              <w:rPr>
                <w:szCs w:val="20"/>
              </w:rPr>
            </w:pPr>
          </w:p>
        </w:tc>
      </w:tr>
      <w:tr w:rsidR="00A74C68" w:rsidRPr="00471CBA" w14:paraId="2D68254A" w14:textId="77777777" w:rsidTr="00A74C68">
        <w:trPr>
          <w:divId w:val="1983076108"/>
          <w:trHeight w:val="170"/>
        </w:trPr>
        <w:tc>
          <w:tcPr>
            <w:tcW w:w="2500" w:type="pct"/>
            <w:tcBorders>
              <w:top w:val="nil"/>
              <w:left w:val="nil"/>
              <w:bottom w:val="single" w:sz="12" w:space="0" w:color="auto"/>
              <w:right w:val="nil"/>
            </w:tcBorders>
            <w:noWrap/>
            <w:vAlign w:val="bottom"/>
            <w:hideMark/>
          </w:tcPr>
          <w:p w14:paraId="6F6D3012" w14:textId="77777777" w:rsidR="00A74C68" w:rsidRPr="00471CBA" w:rsidRDefault="00A74C68" w:rsidP="00F36B82">
            <w:pPr>
              <w:spacing w:line="221" w:lineRule="auto"/>
              <w:rPr>
                <w:b/>
                <w:bCs/>
                <w:color w:val="000000"/>
                <w:szCs w:val="20"/>
              </w:rPr>
            </w:pPr>
            <w:r w:rsidRPr="00471CBA">
              <w:rPr>
                <w:b/>
                <w:bCs/>
                <w:color w:val="000000"/>
                <w:szCs w:val="20"/>
              </w:rPr>
              <w:t>Toplam</w:t>
            </w:r>
          </w:p>
        </w:tc>
        <w:tc>
          <w:tcPr>
            <w:tcW w:w="1290" w:type="pct"/>
            <w:tcBorders>
              <w:top w:val="nil"/>
              <w:left w:val="nil"/>
              <w:bottom w:val="single" w:sz="12" w:space="0" w:color="auto"/>
              <w:right w:val="nil"/>
            </w:tcBorders>
            <w:vAlign w:val="center"/>
            <w:hideMark/>
          </w:tcPr>
          <w:p w14:paraId="4ADA2271" w14:textId="77777777" w:rsidR="00A74C68" w:rsidRPr="00471CBA" w:rsidRDefault="00A74C68" w:rsidP="00F36B82">
            <w:pPr>
              <w:spacing w:line="221" w:lineRule="auto"/>
              <w:jc w:val="right"/>
              <w:rPr>
                <w:b/>
                <w:bCs/>
                <w:color w:val="000000"/>
                <w:szCs w:val="20"/>
              </w:rPr>
            </w:pPr>
            <w:r w:rsidRPr="00471CBA">
              <w:rPr>
                <w:b/>
                <w:bCs/>
                <w:color w:val="000000"/>
                <w:szCs w:val="20"/>
              </w:rPr>
              <w:t>750.636</w:t>
            </w:r>
          </w:p>
        </w:tc>
      </w:tr>
    </w:tbl>
    <w:p w14:paraId="3C70E42B" w14:textId="1DB4DDE5" w:rsidR="009E0027" w:rsidRPr="00F36B82" w:rsidRDefault="009E0027" w:rsidP="00F36B82">
      <w:pPr>
        <w:spacing w:line="221" w:lineRule="auto"/>
        <w:rPr>
          <w:sz w:val="14"/>
          <w:szCs w:val="14"/>
        </w:rPr>
      </w:pPr>
    </w:p>
    <w:tbl>
      <w:tblPr>
        <w:tblW w:w="5000" w:type="pct"/>
        <w:tblCellMar>
          <w:left w:w="70" w:type="dxa"/>
          <w:right w:w="70" w:type="dxa"/>
        </w:tblCellMar>
        <w:tblLook w:val="04A0" w:firstRow="1" w:lastRow="0" w:firstColumn="1" w:lastColumn="0" w:noHBand="0" w:noVBand="1"/>
      </w:tblPr>
      <w:tblGrid>
        <w:gridCol w:w="6303"/>
        <w:gridCol w:w="3052"/>
      </w:tblGrid>
      <w:tr w:rsidR="00204442" w:rsidRPr="00471CBA" w14:paraId="0090AAC1" w14:textId="77777777" w:rsidTr="00612802">
        <w:trPr>
          <w:trHeight w:val="170"/>
        </w:trPr>
        <w:tc>
          <w:tcPr>
            <w:tcW w:w="3369" w:type="pct"/>
            <w:tcBorders>
              <w:top w:val="nil"/>
              <w:left w:val="nil"/>
              <w:bottom w:val="nil"/>
              <w:right w:val="nil"/>
            </w:tcBorders>
            <w:noWrap/>
            <w:vAlign w:val="bottom"/>
            <w:hideMark/>
          </w:tcPr>
          <w:p w14:paraId="6C33409B" w14:textId="77777777" w:rsidR="00204442" w:rsidRPr="00471CBA" w:rsidRDefault="00204442" w:rsidP="00F36B82">
            <w:pPr>
              <w:spacing w:line="221" w:lineRule="auto"/>
              <w:jc w:val="center"/>
              <w:rPr>
                <w:szCs w:val="20"/>
              </w:rPr>
            </w:pPr>
          </w:p>
        </w:tc>
        <w:tc>
          <w:tcPr>
            <w:tcW w:w="1631" w:type="pct"/>
            <w:tcBorders>
              <w:top w:val="nil"/>
              <w:left w:val="nil"/>
              <w:bottom w:val="single" w:sz="4" w:space="0" w:color="auto"/>
              <w:right w:val="nil"/>
            </w:tcBorders>
            <w:noWrap/>
            <w:vAlign w:val="center"/>
            <w:hideMark/>
          </w:tcPr>
          <w:p w14:paraId="60859ACE" w14:textId="77777777" w:rsidR="00204442" w:rsidRPr="00471CBA" w:rsidRDefault="00204442" w:rsidP="00F36B82">
            <w:pPr>
              <w:spacing w:line="221" w:lineRule="auto"/>
              <w:jc w:val="right"/>
              <w:rPr>
                <w:b/>
                <w:bCs/>
                <w:color w:val="000000"/>
                <w:szCs w:val="20"/>
              </w:rPr>
            </w:pPr>
            <w:r w:rsidRPr="00471CBA">
              <w:rPr>
                <w:b/>
                <w:bCs/>
                <w:color w:val="000000"/>
                <w:szCs w:val="20"/>
              </w:rPr>
              <w:t>31 Aralık 2024</w:t>
            </w:r>
          </w:p>
        </w:tc>
      </w:tr>
      <w:tr w:rsidR="00204442" w:rsidRPr="00471CBA" w14:paraId="3793E485" w14:textId="77777777" w:rsidTr="00612802">
        <w:trPr>
          <w:trHeight w:val="170"/>
        </w:trPr>
        <w:tc>
          <w:tcPr>
            <w:tcW w:w="3369" w:type="pct"/>
            <w:tcBorders>
              <w:top w:val="nil"/>
              <w:left w:val="nil"/>
              <w:bottom w:val="nil"/>
              <w:right w:val="nil"/>
            </w:tcBorders>
            <w:noWrap/>
            <w:vAlign w:val="bottom"/>
            <w:hideMark/>
          </w:tcPr>
          <w:p w14:paraId="48F36064" w14:textId="77777777" w:rsidR="00204442" w:rsidRPr="00471CBA" w:rsidRDefault="00204442" w:rsidP="00F36B82">
            <w:pPr>
              <w:spacing w:line="221" w:lineRule="auto"/>
              <w:rPr>
                <w:b/>
                <w:bCs/>
                <w:color w:val="000000"/>
                <w:szCs w:val="20"/>
              </w:rPr>
            </w:pPr>
          </w:p>
        </w:tc>
        <w:tc>
          <w:tcPr>
            <w:tcW w:w="1631" w:type="pct"/>
            <w:tcBorders>
              <w:top w:val="nil"/>
              <w:left w:val="nil"/>
              <w:bottom w:val="nil"/>
              <w:right w:val="nil"/>
            </w:tcBorders>
            <w:noWrap/>
            <w:vAlign w:val="bottom"/>
            <w:hideMark/>
          </w:tcPr>
          <w:p w14:paraId="2A3B14A6" w14:textId="77777777" w:rsidR="00204442" w:rsidRPr="00471CBA" w:rsidRDefault="00204442" w:rsidP="00F36B82">
            <w:pPr>
              <w:spacing w:line="221" w:lineRule="auto"/>
              <w:jc w:val="right"/>
              <w:rPr>
                <w:szCs w:val="20"/>
              </w:rPr>
            </w:pPr>
          </w:p>
        </w:tc>
      </w:tr>
      <w:tr w:rsidR="00204442" w:rsidRPr="00471CBA" w14:paraId="7FA7F5B4" w14:textId="77777777" w:rsidTr="00612802">
        <w:trPr>
          <w:trHeight w:val="170"/>
        </w:trPr>
        <w:tc>
          <w:tcPr>
            <w:tcW w:w="3369" w:type="pct"/>
            <w:tcBorders>
              <w:top w:val="nil"/>
              <w:left w:val="nil"/>
              <w:bottom w:val="nil"/>
              <w:right w:val="nil"/>
            </w:tcBorders>
            <w:noWrap/>
            <w:vAlign w:val="bottom"/>
            <w:hideMark/>
          </w:tcPr>
          <w:p w14:paraId="3FB28F58" w14:textId="77777777" w:rsidR="00204442" w:rsidRPr="00471CBA" w:rsidRDefault="00204442" w:rsidP="00F36B82">
            <w:pPr>
              <w:spacing w:line="221" w:lineRule="auto"/>
              <w:rPr>
                <w:color w:val="000000"/>
                <w:szCs w:val="20"/>
              </w:rPr>
            </w:pPr>
            <w:r w:rsidRPr="00471CBA">
              <w:rPr>
                <w:color w:val="000000"/>
                <w:szCs w:val="20"/>
              </w:rPr>
              <w:t>Borçlanma Senetleri</w:t>
            </w:r>
          </w:p>
        </w:tc>
        <w:tc>
          <w:tcPr>
            <w:tcW w:w="1631" w:type="pct"/>
            <w:tcBorders>
              <w:top w:val="nil"/>
              <w:left w:val="nil"/>
              <w:bottom w:val="nil"/>
              <w:right w:val="nil"/>
            </w:tcBorders>
            <w:vAlign w:val="center"/>
            <w:hideMark/>
          </w:tcPr>
          <w:p w14:paraId="5729F4FA" w14:textId="77777777" w:rsidR="00204442" w:rsidRPr="00471CBA" w:rsidRDefault="00204442" w:rsidP="00F36B82">
            <w:pPr>
              <w:spacing w:line="221" w:lineRule="auto"/>
              <w:jc w:val="right"/>
              <w:rPr>
                <w:color w:val="000000"/>
                <w:szCs w:val="20"/>
              </w:rPr>
            </w:pPr>
            <w:r w:rsidRPr="00471CBA">
              <w:rPr>
                <w:color w:val="000000"/>
                <w:szCs w:val="20"/>
              </w:rPr>
              <w:t>391.310</w:t>
            </w:r>
          </w:p>
        </w:tc>
      </w:tr>
      <w:tr w:rsidR="00204442" w:rsidRPr="00471CBA" w14:paraId="0A4ED2FD" w14:textId="77777777" w:rsidTr="00612802">
        <w:trPr>
          <w:trHeight w:val="170"/>
        </w:trPr>
        <w:tc>
          <w:tcPr>
            <w:tcW w:w="3369" w:type="pct"/>
            <w:tcBorders>
              <w:top w:val="nil"/>
              <w:left w:val="nil"/>
              <w:bottom w:val="nil"/>
              <w:right w:val="nil"/>
            </w:tcBorders>
            <w:noWrap/>
            <w:vAlign w:val="bottom"/>
            <w:hideMark/>
          </w:tcPr>
          <w:p w14:paraId="698A0741" w14:textId="77777777" w:rsidR="00204442" w:rsidRPr="00471CBA" w:rsidRDefault="00204442" w:rsidP="00F36B82">
            <w:pPr>
              <w:spacing w:line="221" w:lineRule="auto"/>
              <w:ind w:firstLineChars="200" w:firstLine="400"/>
              <w:rPr>
                <w:color w:val="000000"/>
                <w:szCs w:val="20"/>
              </w:rPr>
            </w:pPr>
            <w:r w:rsidRPr="00471CBA">
              <w:rPr>
                <w:color w:val="000000"/>
                <w:szCs w:val="20"/>
              </w:rPr>
              <w:t>Borsada İşlem Görenler</w:t>
            </w:r>
          </w:p>
        </w:tc>
        <w:tc>
          <w:tcPr>
            <w:tcW w:w="1631" w:type="pct"/>
            <w:tcBorders>
              <w:top w:val="nil"/>
              <w:left w:val="nil"/>
              <w:bottom w:val="nil"/>
              <w:right w:val="nil"/>
            </w:tcBorders>
            <w:vAlign w:val="center"/>
            <w:hideMark/>
          </w:tcPr>
          <w:p w14:paraId="4D106DBD" w14:textId="77777777" w:rsidR="00204442" w:rsidRPr="00471CBA" w:rsidRDefault="00204442" w:rsidP="00F36B82">
            <w:pPr>
              <w:spacing w:line="221" w:lineRule="auto"/>
              <w:jc w:val="right"/>
              <w:rPr>
                <w:color w:val="000000"/>
                <w:szCs w:val="20"/>
              </w:rPr>
            </w:pPr>
            <w:r w:rsidRPr="00471CBA">
              <w:rPr>
                <w:color w:val="000000"/>
                <w:szCs w:val="20"/>
              </w:rPr>
              <w:t>391.310</w:t>
            </w:r>
          </w:p>
        </w:tc>
      </w:tr>
      <w:tr w:rsidR="00204442" w:rsidRPr="00471CBA" w14:paraId="55317A9E" w14:textId="77777777" w:rsidTr="00612802">
        <w:trPr>
          <w:trHeight w:val="170"/>
        </w:trPr>
        <w:tc>
          <w:tcPr>
            <w:tcW w:w="3369" w:type="pct"/>
            <w:tcBorders>
              <w:top w:val="nil"/>
              <w:left w:val="nil"/>
              <w:bottom w:val="nil"/>
              <w:right w:val="nil"/>
            </w:tcBorders>
            <w:noWrap/>
            <w:vAlign w:val="bottom"/>
            <w:hideMark/>
          </w:tcPr>
          <w:p w14:paraId="0D00F9E6" w14:textId="77777777" w:rsidR="00204442" w:rsidRPr="00471CBA" w:rsidRDefault="00204442" w:rsidP="00F36B82">
            <w:pPr>
              <w:spacing w:line="221" w:lineRule="auto"/>
              <w:ind w:firstLineChars="200" w:firstLine="400"/>
              <w:rPr>
                <w:color w:val="000000"/>
                <w:szCs w:val="20"/>
              </w:rPr>
            </w:pPr>
            <w:r w:rsidRPr="00471CBA">
              <w:rPr>
                <w:color w:val="000000"/>
                <w:szCs w:val="20"/>
              </w:rPr>
              <w:t>Borsada İşlem Görmeyenler</w:t>
            </w:r>
          </w:p>
        </w:tc>
        <w:tc>
          <w:tcPr>
            <w:tcW w:w="1631" w:type="pct"/>
            <w:tcBorders>
              <w:top w:val="nil"/>
              <w:left w:val="nil"/>
              <w:bottom w:val="nil"/>
              <w:right w:val="nil"/>
            </w:tcBorders>
            <w:vAlign w:val="center"/>
            <w:hideMark/>
          </w:tcPr>
          <w:p w14:paraId="2E2B7B99" w14:textId="77777777" w:rsidR="00204442" w:rsidRPr="00471CBA" w:rsidRDefault="00204442" w:rsidP="00F36B82">
            <w:pPr>
              <w:spacing w:line="221" w:lineRule="auto"/>
              <w:jc w:val="right"/>
              <w:rPr>
                <w:color w:val="000000"/>
                <w:szCs w:val="20"/>
              </w:rPr>
            </w:pPr>
            <w:r w:rsidRPr="00471CBA">
              <w:rPr>
                <w:color w:val="000000"/>
                <w:szCs w:val="20"/>
              </w:rPr>
              <w:t>-</w:t>
            </w:r>
          </w:p>
        </w:tc>
      </w:tr>
      <w:tr w:rsidR="00204442" w:rsidRPr="00471CBA" w14:paraId="2B0A8D89" w14:textId="77777777" w:rsidTr="00612802">
        <w:trPr>
          <w:trHeight w:val="170"/>
        </w:trPr>
        <w:tc>
          <w:tcPr>
            <w:tcW w:w="3369" w:type="pct"/>
            <w:tcBorders>
              <w:top w:val="nil"/>
              <w:left w:val="nil"/>
              <w:bottom w:val="single" w:sz="4" w:space="0" w:color="auto"/>
              <w:right w:val="nil"/>
            </w:tcBorders>
            <w:noWrap/>
            <w:vAlign w:val="bottom"/>
            <w:hideMark/>
          </w:tcPr>
          <w:p w14:paraId="6639D7A9" w14:textId="77777777" w:rsidR="00204442" w:rsidRPr="00471CBA" w:rsidRDefault="00204442" w:rsidP="00F36B82">
            <w:pPr>
              <w:spacing w:line="221" w:lineRule="auto"/>
              <w:rPr>
                <w:color w:val="000000"/>
                <w:szCs w:val="20"/>
              </w:rPr>
            </w:pPr>
            <w:r w:rsidRPr="00471CBA">
              <w:rPr>
                <w:color w:val="000000"/>
                <w:szCs w:val="20"/>
              </w:rPr>
              <w:t>Değer Azalma Karşılığı (-)</w:t>
            </w:r>
          </w:p>
        </w:tc>
        <w:tc>
          <w:tcPr>
            <w:tcW w:w="1631" w:type="pct"/>
            <w:tcBorders>
              <w:top w:val="nil"/>
              <w:left w:val="nil"/>
              <w:bottom w:val="single" w:sz="4" w:space="0" w:color="auto"/>
              <w:right w:val="nil"/>
            </w:tcBorders>
            <w:vAlign w:val="center"/>
            <w:hideMark/>
          </w:tcPr>
          <w:p w14:paraId="085E7711" w14:textId="77777777" w:rsidR="00204442" w:rsidRPr="00471CBA" w:rsidRDefault="00204442" w:rsidP="00F36B82">
            <w:pPr>
              <w:spacing w:line="221" w:lineRule="auto"/>
              <w:jc w:val="right"/>
              <w:rPr>
                <w:color w:val="000000"/>
                <w:szCs w:val="20"/>
              </w:rPr>
            </w:pPr>
            <w:r w:rsidRPr="00471CBA">
              <w:rPr>
                <w:color w:val="000000"/>
                <w:szCs w:val="20"/>
              </w:rPr>
              <w:t>-</w:t>
            </w:r>
          </w:p>
        </w:tc>
      </w:tr>
      <w:tr w:rsidR="00204442" w:rsidRPr="00471CBA" w14:paraId="51EFA306" w14:textId="77777777" w:rsidTr="00612802">
        <w:trPr>
          <w:trHeight w:val="170"/>
        </w:trPr>
        <w:tc>
          <w:tcPr>
            <w:tcW w:w="3369" w:type="pct"/>
            <w:tcBorders>
              <w:top w:val="nil"/>
              <w:left w:val="nil"/>
              <w:right w:val="nil"/>
            </w:tcBorders>
            <w:noWrap/>
            <w:vAlign w:val="bottom"/>
            <w:hideMark/>
          </w:tcPr>
          <w:p w14:paraId="4EE489C0" w14:textId="77777777" w:rsidR="00204442" w:rsidRPr="00471CBA" w:rsidRDefault="00204442" w:rsidP="00F36B82">
            <w:pPr>
              <w:spacing w:line="221" w:lineRule="auto"/>
              <w:jc w:val="right"/>
              <w:rPr>
                <w:color w:val="000000"/>
                <w:szCs w:val="20"/>
              </w:rPr>
            </w:pPr>
          </w:p>
        </w:tc>
        <w:tc>
          <w:tcPr>
            <w:tcW w:w="1631" w:type="pct"/>
            <w:tcBorders>
              <w:top w:val="nil"/>
              <w:left w:val="nil"/>
              <w:right w:val="nil"/>
            </w:tcBorders>
            <w:noWrap/>
            <w:vAlign w:val="center"/>
            <w:hideMark/>
          </w:tcPr>
          <w:p w14:paraId="07F80BF6" w14:textId="77777777" w:rsidR="00204442" w:rsidRPr="00471CBA" w:rsidRDefault="00204442" w:rsidP="00F36B82">
            <w:pPr>
              <w:spacing w:line="221" w:lineRule="auto"/>
              <w:jc w:val="right"/>
              <w:rPr>
                <w:szCs w:val="20"/>
              </w:rPr>
            </w:pPr>
          </w:p>
        </w:tc>
      </w:tr>
      <w:tr w:rsidR="00204442" w:rsidRPr="00471CBA" w14:paraId="2FA2E460" w14:textId="77777777" w:rsidTr="00612802">
        <w:trPr>
          <w:trHeight w:val="170"/>
        </w:trPr>
        <w:tc>
          <w:tcPr>
            <w:tcW w:w="3369" w:type="pct"/>
            <w:tcBorders>
              <w:top w:val="nil"/>
              <w:left w:val="nil"/>
              <w:bottom w:val="single" w:sz="12" w:space="0" w:color="auto"/>
              <w:right w:val="nil"/>
            </w:tcBorders>
            <w:noWrap/>
            <w:vAlign w:val="bottom"/>
            <w:hideMark/>
          </w:tcPr>
          <w:p w14:paraId="714E0208" w14:textId="77777777" w:rsidR="00204442" w:rsidRPr="00471CBA" w:rsidRDefault="00204442" w:rsidP="00F36B82">
            <w:pPr>
              <w:spacing w:line="221" w:lineRule="auto"/>
              <w:rPr>
                <w:b/>
                <w:bCs/>
                <w:color w:val="000000"/>
                <w:szCs w:val="20"/>
              </w:rPr>
            </w:pPr>
            <w:r w:rsidRPr="00471CBA">
              <w:rPr>
                <w:b/>
                <w:bCs/>
                <w:color w:val="000000"/>
                <w:szCs w:val="20"/>
              </w:rPr>
              <w:t>Toplam</w:t>
            </w:r>
          </w:p>
        </w:tc>
        <w:tc>
          <w:tcPr>
            <w:tcW w:w="1631" w:type="pct"/>
            <w:tcBorders>
              <w:top w:val="nil"/>
              <w:left w:val="nil"/>
              <w:bottom w:val="single" w:sz="12" w:space="0" w:color="auto"/>
              <w:right w:val="nil"/>
            </w:tcBorders>
            <w:vAlign w:val="center"/>
            <w:hideMark/>
          </w:tcPr>
          <w:p w14:paraId="1393FECE" w14:textId="77777777" w:rsidR="00204442" w:rsidRPr="00471CBA" w:rsidRDefault="00204442" w:rsidP="00F36B82">
            <w:pPr>
              <w:spacing w:line="221" w:lineRule="auto"/>
              <w:jc w:val="right"/>
              <w:rPr>
                <w:b/>
                <w:bCs/>
                <w:color w:val="000000"/>
                <w:szCs w:val="20"/>
              </w:rPr>
            </w:pPr>
            <w:r w:rsidRPr="00471CBA">
              <w:rPr>
                <w:b/>
                <w:bCs/>
                <w:color w:val="000000"/>
                <w:szCs w:val="20"/>
              </w:rPr>
              <w:t>391.310</w:t>
            </w:r>
          </w:p>
        </w:tc>
      </w:tr>
    </w:tbl>
    <w:p w14:paraId="2A0215CF" w14:textId="77777777" w:rsidR="00204442" w:rsidRPr="00F36B82" w:rsidRDefault="00204442" w:rsidP="00F36B82">
      <w:pPr>
        <w:spacing w:line="221" w:lineRule="auto"/>
        <w:rPr>
          <w:sz w:val="14"/>
          <w:szCs w:val="14"/>
        </w:rPr>
      </w:pPr>
    </w:p>
    <w:p w14:paraId="601B953A" w14:textId="11E9B887" w:rsidR="008B4B67" w:rsidRPr="00471CBA" w:rsidRDefault="00F36B82" w:rsidP="00F36B82">
      <w:pPr>
        <w:pStyle w:val="ListeParagraf"/>
        <w:spacing w:line="221" w:lineRule="auto"/>
        <w:ind w:left="1276" w:hanging="425"/>
        <w:rPr>
          <w:b/>
          <w:bCs/>
          <w:szCs w:val="20"/>
        </w:rPr>
      </w:pPr>
      <w:r>
        <w:rPr>
          <w:b/>
          <w:bCs/>
          <w:szCs w:val="20"/>
        </w:rPr>
        <w:t xml:space="preserve">d. </w:t>
      </w:r>
      <w:r>
        <w:rPr>
          <w:b/>
          <w:bCs/>
          <w:szCs w:val="20"/>
        </w:rPr>
        <w:tab/>
      </w:r>
      <w:r w:rsidR="008B4B67" w:rsidRPr="00471CBA">
        <w:rPr>
          <w:b/>
          <w:bCs/>
          <w:szCs w:val="20"/>
        </w:rPr>
        <w:t>İtfa edilmiş maliyeti üzerinden değerlenen finansal varlıkların yıl içindeki hareketleri:</w:t>
      </w:r>
    </w:p>
    <w:p w14:paraId="4553341D" w14:textId="4E408ED8" w:rsidR="00A74C68" w:rsidRPr="00F36B82" w:rsidRDefault="00A74C68" w:rsidP="00F36B82">
      <w:pPr>
        <w:spacing w:line="221" w:lineRule="auto"/>
        <w:rPr>
          <w:sz w:val="14"/>
          <w:szCs w:val="14"/>
        </w:rPr>
      </w:pPr>
    </w:p>
    <w:tbl>
      <w:tblPr>
        <w:tblW w:w="5000" w:type="pct"/>
        <w:tblCellMar>
          <w:left w:w="70" w:type="dxa"/>
          <w:right w:w="70" w:type="dxa"/>
        </w:tblCellMar>
        <w:tblLook w:val="04A0" w:firstRow="1" w:lastRow="0" w:firstColumn="1" w:lastColumn="0" w:noHBand="0" w:noVBand="1"/>
      </w:tblPr>
      <w:tblGrid>
        <w:gridCol w:w="6167"/>
        <w:gridCol w:w="3188"/>
      </w:tblGrid>
      <w:tr w:rsidR="00A74C68" w:rsidRPr="00471CBA" w14:paraId="150DC9AF" w14:textId="77777777" w:rsidTr="00A74C68">
        <w:trPr>
          <w:divId w:val="831288349"/>
          <w:trHeight w:val="170"/>
        </w:trPr>
        <w:tc>
          <w:tcPr>
            <w:tcW w:w="2500" w:type="pct"/>
            <w:tcBorders>
              <w:top w:val="nil"/>
              <w:left w:val="nil"/>
              <w:bottom w:val="nil"/>
              <w:right w:val="nil"/>
            </w:tcBorders>
            <w:noWrap/>
            <w:hideMark/>
          </w:tcPr>
          <w:p w14:paraId="36145526" w14:textId="558AB51E" w:rsidR="00A74C68" w:rsidRPr="00471CBA" w:rsidRDefault="00A74C68" w:rsidP="00F36B82">
            <w:pPr>
              <w:spacing w:line="221" w:lineRule="auto"/>
              <w:rPr>
                <w:szCs w:val="20"/>
              </w:rPr>
            </w:pPr>
          </w:p>
        </w:tc>
        <w:tc>
          <w:tcPr>
            <w:tcW w:w="1293" w:type="pct"/>
            <w:tcBorders>
              <w:top w:val="nil"/>
              <w:left w:val="nil"/>
              <w:bottom w:val="single" w:sz="4" w:space="0" w:color="auto"/>
              <w:right w:val="nil"/>
            </w:tcBorders>
            <w:noWrap/>
            <w:vAlign w:val="center"/>
            <w:hideMark/>
          </w:tcPr>
          <w:p w14:paraId="45136B72" w14:textId="77777777" w:rsidR="00A74C68" w:rsidRPr="00471CBA" w:rsidRDefault="00A74C68" w:rsidP="00F36B82">
            <w:pPr>
              <w:spacing w:line="221" w:lineRule="auto"/>
              <w:jc w:val="right"/>
              <w:rPr>
                <w:b/>
                <w:bCs/>
                <w:color w:val="000000"/>
                <w:szCs w:val="20"/>
              </w:rPr>
            </w:pPr>
            <w:r w:rsidRPr="00471CBA">
              <w:rPr>
                <w:b/>
                <w:bCs/>
                <w:color w:val="000000"/>
                <w:szCs w:val="20"/>
              </w:rPr>
              <w:t>31 Aralık 2025</w:t>
            </w:r>
          </w:p>
        </w:tc>
      </w:tr>
      <w:tr w:rsidR="00A74C68" w:rsidRPr="00471CBA" w14:paraId="4AF8EE80" w14:textId="77777777" w:rsidTr="00A74C68">
        <w:trPr>
          <w:divId w:val="831288349"/>
          <w:trHeight w:val="170"/>
        </w:trPr>
        <w:tc>
          <w:tcPr>
            <w:tcW w:w="2500" w:type="pct"/>
            <w:tcBorders>
              <w:top w:val="nil"/>
              <w:left w:val="nil"/>
              <w:bottom w:val="nil"/>
              <w:right w:val="nil"/>
            </w:tcBorders>
            <w:noWrap/>
            <w:vAlign w:val="bottom"/>
            <w:hideMark/>
          </w:tcPr>
          <w:p w14:paraId="4CFF0D2C" w14:textId="77777777" w:rsidR="00A74C68" w:rsidRPr="00471CBA" w:rsidRDefault="00A74C68" w:rsidP="00F36B82">
            <w:pPr>
              <w:spacing w:line="221" w:lineRule="auto"/>
              <w:rPr>
                <w:b/>
                <w:bCs/>
                <w:color w:val="000000"/>
                <w:szCs w:val="20"/>
              </w:rPr>
            </w:pPr>
          </w:p>
        </w:tc>
        <w:tc>
          <w:tcPr>
            <w:tcW w:w="1293" w:type="pct"/>
            <w:tcBorders>
              <w:top w:val="nil"/>
              <w:left w:val="nil"/>
              <w:bottom w:val="nil"/>
              <w:right w:val="nil"/>
            </w:tcBorders>
            <w:noWrap/>
            <w:vAlign w:val="bottom"/>
            <w:hideMark/>
          </w:tcPr>
          <w:p w14:paraId="6FA93F93" w14:textId="77777777" w:rsidR="00A74C68" w:rsidRPr="00471CBA" w:rsidRDefault="00A74C68" w:rsidP="00F36B82">
            <w:pPr>
              <w:spacing w:line="221" w:lineRule="auto"/>
              <w:jc w:val="both"/>
              <w:rPr>
                <w:szCs w:val="20"/>
              </w:rPr>
            </w:pPr>
          </w:p>
        </w:tc>
      </w:tr>
      <w:tr w:rsidR="00A74C68" w:rsidRPr="00471CBA" w14:paraId="7FDA9D0F" w14:textId="77777777" w:rsidTr="00A74C68">
        <w:trPr>
          <w:divId w:val="831288349"/>
          <w:trHeight w:val="170"/>
        </w:trPr>
        <w:tc>
          <w:tcPr>
            <w:tcW w:w="2500" w:type="pct"/>
            <w:tcBorders>
              <w:top w:val="nil"/>
              <w:left w:val="nil"/>
              <w:bottom w:val="nil"/>
              <w:right w:val="nil"/>
            </w:tcBorders>
            <w:noWrap/>
            <w:vAlign w:val="bottom"/>
            <w:hideMark/>
          </w:tcPr>
          <w:p w14:paraId="4AE28754" w14:textId="77777777" w:rsidR="00A74C68" w:rsidRPr="00471CBA" w:rsidRDefault="00A74C68" w:rsidP="00F36B82">
            <w:pPr>
              <w:spacing w:line="221" w:lineRule="auto"/>
              <w:rPr>
                <w:color w:val="000000"/>
                <w:szCs w:val="20"/>
              </w:rPr>
            </w:pPr>
            <w:r w:rsidRPr="00471CBA">
              <w:rPr>
                <w:color w:val="000000"/>
                <w:szCs w:val="20"/>
              </w:rPr>
              <w:t xml:space="preserve">Dönem Başındaki Değer </w:t>
            </w:r>
          </w:p>
        </w:tc>
        <w:tc>
          <w:tcPr>
            <w:tcW w:w="1293" w:type="pct"/>
            <w:tcBorders>
              <w:top w:val="nil"/>
              <w:left w:val="nil"/>
              <w:bottom w:val="nil"/>
              <w:right w:val="nil"/>
            </w:tcBorders>
            <w:vAlign w:val="center"/>
            <w:hideMark/>
          </w:tcPr>
          <w:p w14:paraId="6F6E91C1" w14:textId="77777777" w:rsidR="00A74C68" w:rsidRPr="00471CBA" w:rsidRDefault="00A74C68" w:rsidP="00F36B82">
            <w:pPr>
              <w:spacing w:line="221" w:lineRule="auto"/>
              <w:jc w:val="right"/>
              <w:rPr>
                <w:color w:val="000000"/>
                <w:szCs w:val="20"/>
              </w:rPr>
            </w:pPr>
            <w:r w:rsidRPr="00471CBA">
              <w:rPr>
                <w:color w:val="000000"/>
                <w:szCs w:val="20"/>
              </w:rPr>
              <w:t>391.310</w:t>
            </w:r>
          </w:p>
        </w:tc>
      </w:tr>
      <w:tr w:rsidR="00A74C68" w:rsidRPr="00471CBA" w14:paraId="5A2D7615" w14:textId="77777777" w:rsidTr="00A74C68">
        <w:trPr>
          <w:divId w:val="831288349"/>
          <w:trHeight w:val="170"/>
        </w:trPr>
        <w:tc>
          <w:tcPr>
            <w:tcW w:w="2500" w:type="pct"/>
            <w:tcBorders>
              <w:top w:val="nil"/>
              <w:left w:val="nil"/>
              <w:bottom w:val="nil"/>
              <w:right w:val="nil"/>
            </w:tcBorders>
            <w:noWrap/>
            <w:vAlign w:val="bottom"/>
            <w:hideMark/>
          </w:tcPr>
          <w:p w14:paraId="00C843B6" w14:textId="77777777" w:rsidR="00A74C68" w:rsidRPr="00471CBA" w:rsidRDefault="00A74C68" w:rsidP="00F36B82">
            <w:pPr>
              <w:spacing w:line="221" w:lineRule="auto"/>
              <w:rPr>
                <w:color w:val="000000"/>
                <w:szCs w:val="20"/>
              </w:rPr>
            </w:pPr>
            <w:r w:rsidRPr="00471CBA">
              <w:rPr>
                <w:color w:val="000000"/>
                <w:szCs w:val="20"/>
              </w:rPr>
              <w:t xml:space="preserve">Parasal Varlıklarda Meydana Gelen Kur Farkları </w:t>
            </w:r>
          </w:p>
        </w:tc>
        <w:tc>
          <w:tcPr>
            <w:tcW w:w="1293" w:type="pct"/>
            <w:tcBorders>
              <w:top w:val="nil"/>
              <w:left w:val="nil"/>
              <w:bottom w:val="nil"/>
              <w:right w:val="nil"/>
            </w:tcBorders>
            <w:vAlign w:val="center"/>
            <w:hideMark/>
          </w:tcPr>
          <w:p w14:paraId="1DDA48F4" w14:textId="77777777" w:rsidR="00A74C68" w:rsidRPr="00471CBA" w:rsidRDefault="00A74C68" w:rsidP="00F36B82">
            <w:pPr>
              <w:spacing w:line="221" w:lineRule="auto"/>
              <w:jc w:val="right"/>
              <w:rPr>
                <w:color w:val="000000"/>
                <w:szCs w:val="20"/>
              </w:rPr>
            </w:pPr>
            <w:r w:rsidRPr="00471CBA">
              <w:rPr>
                <w:color w:val="000000"/>
                <w:szCs w:val="20"/>
              </w:rPr>
              <w:t>-</w:t>
            </w:r>
          </w:p>
        </w:tc>
      </w:tr>
      <w:tr w:rsidR="00A74C68" w:rsidRPr="00471CBA" w14:paraId="7021614E" w14:textId="77777777" w:rsidTr="00A74C68">
        <w:trPr>
          <w:divId w:val="831288349"/>
          <w:trHeight w:val="170"/>
        </w:trPr>
        <w:tc>
          <w:tcPr>
            <w:tcW w:w="2500" w:type="pct"/>
            <w:tcBorders>
              <w:top w:val="nil"/>
              <w:left w:val="nil"/>
              <w:bottom w:val="nil"/>
              <w:right w:val="nil"/>
            </w:tcBorders>
            <w:noWrap/>
            <w:vAlign w:val="bottom"/>
            <w:hideMark/>
          </w:tcPr>
          <w:p w14:paraId="1D17E6E0" w14:textId="64CB2CF6" w:rsidR="00A74C68" w:rsidRPr="00471CBA" w:rsidRDefault="00A74C68" w:rsidP="00F36B82">
            <w:pPr>
              <w:spacing w:line="221" w:lineRule="auto"/>
              <w:rPr>
                <w:color w:val="000000"/>
                <w:szCs w:val="20"/>
              </w:rPr>
            </w:pPr>
            <w:r w:rsidRPr="00471CBA">
              <w:rPr>
                <w:color w:val="000000"/>
                <w:szCs w:val="20"/>
              </w:rPr>
              <w:t>Yıl İçindeki Alımlar</w:t>
            </w:r>
            <w:r w:rsidR="00C233A9">
              <w:rPr>
                <w:color w:val="000000"/>
                <w:szCs w:val="20"/>
              </w:rPr>
              <w:t xml:space="preserve"> </w:t>
            </w:r>
            <w:r w:rsidR="00C233A9" w:rsidRPr="00C233A9">
              <w:rPr>
                <w:color w:val="000000"/>
                <w:szCs w:val="20"/>
                <w:vertAlign w:val="superscript"/>
              </w:rPr>
              <w:t>(*)</w:t>
            </w:r>
          </w:p>
        </w:tc>
        <w:tc>
          <w:tcPr>
            <w:tcW w:w="1293" w:type="pct"/>
            <w:tcBorders>
              <w:top w:val="nil"/>
              <w:left w:val="nil"/>
              <w:bottom w:val="nil"/>
              <w:right w:val="nil"/>
            </w:tcBorders>
            <w:vAlign w:val="center"/>
            <w:hideMark/>
          </w:tcPr>
          <w:p w14:paraId="3900D613" w14:textId="77777777" w:rsidR="00A74C68" w:rsidRPr="00471CBA" w:rsidRDefault="00A74C68" w:rsidP="00F36B82">
            <w:pPr>
              <w:spacing w:line="221" w:lineRule="auto"/>
              <w:jc w:val="right"/>
              <w:rPr>
                <w:color w:val="000000"/>
                <w:szCs w:val="20"/>
              </w:rPr>
            </w:pPr>
            <w:r w:rsidRPr="00471CBA">
              <w:rPr>
                <w:color w:val="000000"/>
                <w:szCs w:val="20"/>
              </w:rPr>
              <w:t>359.326</w:t>
            </w:r>
          </w:p>
        </w:tc>
      </w:tr>
      <w:tr w:rsidR="00A74C68" w:rsidRPr="00471CBA" w14:paraId="541A558A" w14:textId="77777777" w:rsidTr="00A74C68">
        <w:trPr>
          <w:divId w:val="831288349"/>
          <w:trHeight w:val="170"/>
        </w:trPr>
        <w:tc>
          <w:tcPr>
            <w:tcW w:w="2500" w:type="pct"/>
            <w:tcBorders>
              <w:top w:val="nil"/>
              <w:left w:val="nil"/>
              <w:right w:val="nil"/>
            </w:tcBorders>
            <w:noWrap/>
            <w:vAlign w:val="bottom"/>
            <w:hideMark/>
          </w:tcPr>
          <w:p w14:paraId="4B9ED556" w14:textId="77777777" w:rsidR="00A74C68" w:rsidRPr="00471CBA" w:rsidRDefault="00A74C68" w:rsidP="00F36B82">
            <w:pPr>
              <w:spacing w:line="221" w:lineRule="auto"/>
              <w:rPr>
                <w:color w:val="000000"/>
                <w:szCs w:val="20"/>
              </w:rPr>
            </w:pPr>
            <w:r w:rsidRPr="00471CBA">
              <w:rPr>
                <w:color w:val="000000"/>
                <w:szCs w:val="20"/>
              </w:rPr>
              <w:t>Satış ve İtfa Yolu ile Elden Çıkarılanlar</w:t>
            </w:r>
          </w:p>
        </w:tc>
        <w:tc>
          <w:tcPr>
            <w:tcW w:w="1293" w:type="pct"/>
            <w:tcBorders>
              <w:top w:val="nil"/>
              <w:left w:val="nil"/>
              <w:right w:val="nil"/>
            </w:tcBorders>
            <w:vAlign w:val="center"/>
            <w:hideMark/>
          </w:tcPr>
          <w:p w14:paraId="276B2294" w14:textId="77777777" w:rsidR="00A74C68" w:rsidRPr="00471CBA" w:rsidRDefault="00A74C68" w:rsidP="00F36B82">
            <w:pPr>
              <w:spacing w:line="221" w:lineRule="auto"/>
              <w:jc w:val="right"/>
              <w:rPr>
                <w:color w:val="000000"/>
                <w:szCs w:val="20"/>
              </w:rPr>
            </w:pPr>
            <w:r w:rsidRPr="00471CBA">
              <w:rPr>
                <w:color w:val="000000"/>
                <w:szCs w:val="20"/>
              </w:rPr>
              <w:t>-</w:t>
            </w:r>
          </w:p>
        </w:tc>
      </w:tr>
      <w:tr w:rsidR="00A74C68" w:rsidRPr="00471CBA" w14:paraId="3AB4CAFC" w14:textId="77777777" w:rsidTr="00A74C68">
        <w:trPr>
          <w:divId w:val="831288349"/>
          <w:trHeight w:val="170"/>
        </w:trPr>
        <w:tc>
          <w:tcPr>
            <w:tcW w:w="2500" w:type="pct"/>
            <w:tcBorders>
              <w:top w:val="nil"/>
              <w:left w:val="nil"/>
              <w:bottom w:val="single" w:sz="4" w:space="0" w:color="auto"/>
              <w:right w:val="nil"/>
            </w:tcBorders>
            <w:noWrap/>
            <w:vAlign w:val="bottom"/>
            <w:hideMark/>
          </w:tcPr>
          <w:p w14:paraId="11507DCE" w14:textId="77777777" w:rsidR="00A74C68" w:rsidRPr="00471CBA" w:rsidRDefault="00A74C68" w:rsidP="00F36B82">
            <w:pPr>
              <w:spacing w:line="221" w:lineRule="auto"/>
              <w:rPr>
                <w:color w:val="000000"/>
                <w:szCs w:val="20"/>
              </w:rPr>
            </w:pPr>
            <w:r w:rsidRPr="00471CBA">
              <w:rPr>
                <w:color w:val="000000"/>
                <w:szCs w:val="20"/>
              </w:rPr>
              <w:t>Değer Azalışı Karşılığı (-)</w:t>
            </w:r>
          </w:p>
        </w:tc>
        <w:tc>
          <w:tcPr>
            <w:tcW w:w="1293" w:type="pct"/>
            <w:tcBorders>
              <w:top w:val="nil"/>
              <w:left w:val="nil"/>
              <w:bottom w:val="single" w:sz="4" w:space="0" w:color="auto"/>
              <w:right w:val="nil"/>
            </w:tcBorders>
            <w:vAlign w:val="center"/>
            <w:hideMark/>
          </w:tcPr>
          <w:p w14:paraId="57F7062D" w14:textId="77777777" w:rsidR="00A74C68" w:rsidRPr="00471CBA" w:rsidRDefault="00A74C68" w:rsidP="00F36B82">
            <w:pPr>
              <w:spacing w:line="221" w:lineRule="auto"/>
              <w:jc w:val="right"/>
              <w:rPr>
                <w:color w:val="000000"/>
                <w:szCs w:val="20"/>
              </w:rPr>
            </w:pPr>
            <w:r w:rsidRPr="00471CBA">
              <w:rPr>
                <w:color w:val="000000"/>
                <w:szCs w:val="20"/>
              </w:rPr>
              <w:t>-</w:t>
            </w:r>
          </w:p>
        </w:tc>
      </w:tr>
      <w:tr w:rsidR="00A74C68" w:rsidRPr="00471CBA" w14:paraId="232EA784" w14:textId="77777777" w:rsidTr="00A74C68">
        <w:trPr>
          <w:divId w:val="831288349"/>
          <w:trHeight w:val="170"/>
        </w:trPr>
        <w:tc>
          <w:tcPr>
            <w:tcW w:w="2500" w:type="pct"/>
            <w:tcBorders>
              <w:top w:val="single" w:sz="4" w:space="0" w:color="auto"/>
              <w:left w:val="nil"/>
              <w:right w:val="nil"/>
            </w:tcBorders>
            <w:noWrap/>
            <w:vAlign w:val="bottom"/>
            <w:hideMark/>
          </w:tcPr>
          <w:p w14:paraId="44DBE8D5" w14:textId="77777777" w:rsidR="00A74C68" w:rsidRPr="00471CBA" w:rsidRDefault="00A74C68" w:rsidP="00F36B82">
            <w:pPr>
              <w:spacing w:line="221" w:lineRule="auto"/>
              <w:rPr>
                <w:b/>
                <w:bCs/>
                <w:color w:val="000000"/>
                <w:szCs w:val="20"/>
              </w:rPr>
            </w:pPr>
          </w:p>
        </w:tc>
        <w:tc>
          <w:tcPr>
            <w:tcW w:w="1293" w:type="pct"/>
            <w:tcBorders>
              <w:top w:val="single" w:sz="4" w:space="0" w:color="auto"/>
              <w:left w:val="nil"/>
              <w:right w:val="nil"/>
            </w:tcBorders>
            <w:noWrap/>
            <w:vAlign w:val="bottom"/>
            <w:hideMark/>
          </w:tcPr>
          <w:p w14:paraId="43801190" w14:textId="77777777" w:rsidR="00A74C68" w:rsidRPr="00471CBA" w:rsidRDefault="00A74C68" w:rsidP="00F36B82">
            <w:pPr>
              <w:spacing w:line="221" w:lineRule="auto"/>
              <w:jc w:val="right"/>
              <w:rPr>
                <w:b/>
                <w:bCs/>
                <w:color w:val="000000"/>
                <w:szCs w:val="20"/>
              </w:rPr>
            </w:pPr>
          </w:p>
        </w:tc>
      </w:tr>
      <w:tr w:rsidR="00A74C68" w:rsidRPr="00471CBA" w14:paraId="44A16CD2" w14:textId="77777777" w:rsidTr="00A74C68">
        <w:trPr>
          <w:divId w:val="831288349"/>
          <w:trHeight w:val="170"/>
        </w:trPr>
        <w:tc>
          <w:tcPr>
            <w:tcW w:w="2500" w:type="pct"/>
            <w:tcBorders>
              <w:top w:val="nil"/>
              <w:left w:val="nil"/>
              <w:bottom w:val="single" w:sz="12" w:space="0" w:color="auto"/>
              <w:right w:val="nil"/>
            </w:tcBorders>
            <w:noWrap/>
            <w:vAlign w:val="bottom"/>
            <w:hideMark/>
          </w:tcPr>
          <w:p w14:paraId="4FDD4380" w14:textId="77777777" w:rsidR="00A74C68" w:rsidRPr="00471CBA" w:rsidRDefault="00A74C68" w:rsidP="00F36B82">
            <w:pPr>
              <w:spacing w:line="221" w:lineRule="auto"/>
              <w:rPr>
                <w:b/>
                <w:bCs/>
                <w:color w:val="000000"/>
                <w:szCs w:val="20"/>
              </w:rPr>
            </w:pPr>
            <w:r w:rsidRPr="00471CBA">
              <w:rPr>
                <w:b/>
                <w:bCs/>
                <w:color w:val="000000"/>
                <w:szCs w:val="20"/>
              </w:rPr>
              <w:t>Dönem Sonu Toplamı</w:t>
            </w:r>
          </w:p>
        </w:tc>
        <w:tc>
          <w:tcPr>
            <w:tcW w:w="1293" w:type="pct"/>
            <w:tcBorders>
              <w:top w:val="nil"/>
              <w:left w:val="nil"/>
              <w:bottom w:val="single" w:sz="12" w:space="0" w:color="auto"/>
              <w:right w:val="nil"/>
            </w:tcBorders>
            <w:vAlign w:val="center"/>
            <w:hideMark/>
          </w:tcPr>
          <w:p w14:paraId="76736974" w14:textId="77777777" w:rsidR="00A74C68" w:rsidRPr="00471CBA" w:rsidRDefault="00A74C68" w:rsidP="00F36B82">
            <w:pPr>
              <w:spacing w:line="221" w:lineRule="auto"/>
              <w:jc w:val="right"/>
              <w:rPr>
                <w:b/>
                <w:bCs/>
                <w:color w:val="000000"/>
                <w:szCs w:val="20"/>
              </w:rPr>
            </w:pPr>
            <w:r w:rsidRPr="00471CBA">
              <w:rPr>
                <w:b/>
                <w:bCs/>
                <w:color w:val="000000"/>
                <w:szCs w:val="20"/>
              </w:rPr>
              <w:t>750.636</w:t>
            </w:r>
          </w:p>
        </w:tc>
      </w:tr>
    </w:tbl>
    <w:p w14:paraId="05E8647A" w14:textId="0022F14F" w:rsidR="008B4B67" w:rsidRPr="00F36B82" w:rsidRDefault="008B4B67" w:rsidP="00F36B82">
      <w:pPr>
        <w:spacing w:line="221" w:lineRule="auto"/>
        <w:rPr>
          <w:sz w:val="14"/>
          <w:szCs w:val="14"/>
        </w:rPr>
      </w:pPr>
    </w:p>
    <w:p w14:paraId="57901A2C" w14:textId="5E6E061D" w:rsidR="00C233A9" w:rsidRPr="00C93640" w:rsidRDefault="00C233A9" w:rsidP="00F36B82">
      <w:pPr>
        <w:spacing w:line="221" w:lineRule="auto"/>
      </w:pPr>
      <w:bookmarkStart w:id="92" w:name="_Hlk223337077"/>
      <w:r w:rsidRPr="00C93640">
        <w:rPr>
          <w:vertAlign w:val="superscript"/>
        </w:rPr>
        <w:t>(*)</w:t>
      </w:r>
      <w:r w:rsidRPr="00C93640">
        <w:t xml:space="preserve"> Reeskontlar “Yıl İçindeki Alımlar” satırında gösterilmiştir.</w:t>
      </w:r>
    </w:p>
    <w:bookmarkEnd w:id="92"/>
    <w:p w14:paraId="7C666AFA" w14:textId="77777777" w:rsidR="00C233A9" w:rsidRPr="00F36B82" w:rsidRDefault="00C233A9" w:rsidP="00F36B82">
      <w:pPr>
        <w:spacing w:line="221" w:lineRule="auto"/>
        <w:rPr>
          <w:sz w:val="14"/>
          <w:szCs w:val="14"/>
        </w:rPr>
      </w:pPr>
    </w:p>
    <w:tbl>
      <w:tblPr>
        <w:tblW w:w="5000" w:type="pct"/>
        <w:tblCellMar>
          <w:left w:w="70" w:type="dxa"/>
          <w:right w:w="70" w:type="dxa"/>
        </w:tblCellMar>
        <w:tblLook w:val="04A0" w:firstRow="1" w:lastRow="0" w:firstColumn="1" w:lastColumn="0" w:noHBand="0" w:noVBand="1"/>
      </w:tblPr>
      <w:tblGrid>
        <w:gridCol w:w="6309"/>
        <w:gridCol w:w="3046"/>
      </w:tblGrid>
      <w:tr w:rsidR="00204442" w:rsidRPr="00C93640" w14:paraId="7BACFDF3" w14:textId="77777777" w:rsidTr="00612802">
        <w:trPr>
          <w:trHeight w:val="170"/>
        </w:trPr>
        <w:tc>
          <w:tcPr>
            <w:tcW w:w="3372" w:type="pct"/>
            <w:tcBorders>
              <w:top w:val="nil"/>
              <w:left w:val="nil"/>
              <w:bottom w:val="nil"/>
              <w:right w:val="nil"/>
            </w:tcBorders>
            <w:noWrap/>
            <w:hideMark/>
          </w:tcPr>
          <w:p w14:paraId="0DDB02BF" w14:textId="77777777" w:rsidR="00204442" w:rsidRPr="00C93640" w:rsidRDefault="00204442" w:rsidP="00F36B82">
            <w:pPr>
              <w:spacing w:line="221" w:lineRule="auto"/>
              <w:rPr>
                <w:szCs w:val="20"/>
              </w:rPr>
            </w:pPr>
          </w:p>
        </w:tc>
        <w:tc>
          <w:tcPr>
            <w:tcW w:w="1628" w:type="pct"/>
            <w:tcBorders>
              <w:top w:val="nil"/>
              <w:left w:val="nil"/>
              <w:bottom w:val="single" w:sz="4" w:space="0" w:color="auto"/>
              <w:right w:val="nil"/>
            </w:tcBorders>
            <w:noWrap/>
            <w:vAlign w:val="center"/>
            <w:hideMark/>
          </w:tcPr>
          <w:p w14:paraId="2A1ED3B8" w14:textId="77777777" w:rsidR="00204442" w:rsidRPr="00C93640" w:rsidRDefault="00204442" w:rsidP="00F36B82">
            <w:pPr>
              <w:spacing w:line="221" w:lineRule="auto"/>
              <w:jc w:val="right"/>
              <w:rPr>
                <w:b/>
                <w:bCs/>
                <w:color w:val="000000"/>
                <w:szCs w:val="20"/>
              </w:rPr>
            </w:pPr>
            <w:r w:rsidRPr="00C93640">
              <w:rPr>
                <w:b/>
                <w:bCs/>
                <w:color w:val="000000"/>
                <w:szCs w:val="20"/>
              </w:rPr>
              <w:t>31 Aralık 2024</w:t>
            </w:r>
          </w:p>
        </w:tc>
      </w:tr>
      <w:tr w:rsidR="00204442" w:rsidRPr="00C93640" w14:paraId="6EB8D08F" w14:textId="77777777" w:rsidTr="00612802">
        <w:trPr>
          <w:trHeight w:val="170"/>
        </w:trPr>
        <w:tc>
          <w:tcPr>
            <w:tcW w:w="3372" w:type="pct"/>
            <w:tcBorders>
              <w:top w:val="nil"/>
              <w:left w:val="nil"/>
              <w:bottom w:val="nil"/>
              <w:right w:val="nil"/>
            </w:tcBorders>
            <w:noWrap/>
            <w:vAlign w:val="bottom"/>
            <w:hideMark/>
          </w:tcPr>
          <w:p w14:paraId="369757C0" w14:textId="77777777" w:rsidR="00204442" w:rsidRPr="00C93640" w:rsidRDefault="00204442" w:rsidP="00F36B82">
            <w:pPr>
              <w:spacing w:line="221" w:lineRule="auto"/>
              <w:rPr>
                <w:b/>
                <w:bCs/>
                <w:color w:val="000000"/>
                <w:szCs w:val="20"/>
              </w:rPr>
            </w:pPr>
          </w:p>
        </w:tc>
        <w:tc>
          <w:tcPr>
            <w:tcW w:w="1628" w:type="pct"/>
            <w:tcBorders>
              <w:top w:val="nil"/>
              <w:left w:val="nil"/>
              <w:bottom w:val="nil"/>
              <w:right w:val="nil"/>
            </w:tcBorders>
            <w:noWrap/>
            <w:vAlign w:val="bottom"/>
            <w:hideMark/>
          </w:tcPr>
          <w:p w14:paraId="28B97B38" w14:textId="77777777" w:rsidR="00204442" w:rsidRPr="00C93640" w:rsidRDefault="00204442" w:rsidP="00F36B82">
            <w:pPr>
              <w:spacing w:line="221" w:lineRule="auto"/>
              <w:jc w:val="both"/>
              <w:rPr>
                <w:szCs w:val="20"/>
              </w:rPr>
            </w:pPr>
          </w:p>
        </w:tc>
      </w:tr>
      <w:tr w:rsidR="00204442" w:rsidRPr="00C93640" w14:paraId="2E1A7C1D" w14:textId="77777777" w:rsidTr="00612802">
        <w:trPr>
          <w:trHeight w:val="170"/>
        </w:trPr>
        <w:tc>
          <w:tcPr>
            <w:tcW w:w="3372" w:type="pct"/>
            <w:tcBorders>
              <w:top w:val="nil"/>
              <w:left w:val="nil"/>
              <w:bottom w:val="nil"/>
              <w:right w:val="nil"/>
            </w:tcBorders>
            <w:noWrap/>
            <w:vAlign w:val="bottom"/>
            <w:hideMark/>
          </w:tcPr>
          <w:p w14:paraId="4325E726" w14:textId="77777777" w:rsidR="00204442" w:rsidRPr="00C93640" w:rsidRDefault="00204442" w:rsidP="00F36B82">
            <w:pPr>
              <w:spacing w:line="221" w:lineRule="auto"/>
              <w:rPr>
                <w:color w:val="000000"/>
                <w:szCs w:val="20"/>
              </w:rPr>
            </w:pPr>
            <w:r w:rsidRPr="00C93640">
              <w:rPr>
                <w:color w:val="000000"/>
                <w:szCs w:val="20"/>
              </w:rPr>
              <w:t xml:space="preserve">Dönem Başındaki Değer </w:t>
            </w:r>
          </w:p>
        </w:tc>
        <w:tc>
          <w:tcPr>
            <w:tcW w:w="1628" w:type="pct"/>
            <w:tcBorders>
              <w:top w:val="nil"/>
              <w:left w:val="nil"/>
              <w:bottom w:val="nil"/>
              <w:right w:val="nil"/>
            </w:tcBorders>
            <w:vAlign w:val="center"/>
            <w:hideMark/>
          </w:tcPr>
          <w:p w14:paraId="3EF3E810" w14:textId="77777777" w:rsidR="00204442" w:rsidRPr="00C93640" w:rsidRDefault="00204442" w:rsidP="00F36B82">
            <w:pPr>
              <w:spacing w:line="221" w:lineRule="auto"/>
              <w:jc w:val="right"/>
              <w:rPr>
                <w:color w:val="000000"/>
                <w:szCs w:val="20"/>
              </w:rPr>
            </w:pPr>
            <w:r w:rsidRPr="00C93640">
              <w:rPr>
                <w:color w:val="000000"/>
                <w:szCs w:val="20"/>
              </w:rPr>
              <w:t>-</w:t>
            </w:r>
          </w:p>
        </w:tc>
      </w:tr>
      <w:tr w:rsidR="00204442" w:rsidRPr="00C93640" w14:paraId="642FB036" w14:textId="77777777" w:rsidTr="00612802">
        <w:trPr>
          <w:trHeight w:val="170"/>
        </w:trPr>
        <w:tc>
          <w:tcPr>
            <w:tcW w:w="3372" w:type="pct"/>
            <w:tcBorders>
              <w:top w:val="nil"/>
              <w:left w:val="nil"/>
              <w:bottom w:val="nil"/>
              <w:right w:val="nil"/>
            </w:tcBorders>
            <w:noWrap/>
            <w:vAlign w:val="bottom"/>
            <w:hideMark/>
          </w:tcPr>
          <w:p w14:paraId="49183741" w14:textId="77777777" w:rsidR="00204442" w:rsidRPr="00C93640" w:rsidRDefault="00204442" w:rsidP="00F36B82">
            <w:pPr>
              <w:spacing w:line="221" w:lineRule="auto"/>
              <w:rPr>
                <w:color w:val="000000"/>
                <w:szCs w:val="20"/>
              </w:rPr>
            </w:pPr>
            <w:r w:rsidRPr="00C93640">
              <w:rPr>
                <w:color w:val="000000"/>
                <w:szCs w:val="20"/>
              </w:rPr>
              <w:t xml:space="preserve">Parasal Varlıklarda Meydana Gelen Kur Farkları </w:t>
            </w:r>
          </w:p>
        </w:tc>
        <w:tc>
          <w:tcPr>
            <w:tcW w:w="1628" w:type="pct"/>
            <w:tcBorders>
              <w:top w:val="nil"/>
              <w:left w:val="nil"/>
              <w:bottom w:val="nil"/>
              <w:right w:val="nil"/>
            </w:tcBorders>
            <w:vAlign w:val="center"/>
            <w:hideMark/>
          </w:tcPr>
          <w:p w14:paraId="1D691AA3" w14:textId="77777777" w:rsidR="00204442" w:rsidRPr="00C93640" w:rsidRDefault="00204442" w:rsidP="00F36B82">
            <w:pPr>
              <w:spacing w:line="221" w:lineRule="auto"/>
              <w:jc w:val="right"/>
              <w:rPr>
                <w:color w:val="000000"/>
                <w:szCs w:val="20"/>
              </w:rPr>
            </w:pPr>
            <w:r w:rsidRPr="00C93640">
              <w:rPr>
                <w:color w:val="000000"/>
                <w:szCs w:val="20"/>
              </w:rPr>
              <w:t>-</w:t>
            </w:r>
          </w:p>
        </w:tc>
      </w:tr>
      <w:tr w:rsidR="00204442" w:rsidRPr="00C93640" w14:paraId="095BBF97" w14:textId="77777777" w:rsidTr="00612802">
        <w:trPr>
          <w:trHeight w:val="170"/>
        </w:trPr>
        <w:tc>
          <w:tcPr>
            <w:tcW w:w="3372" w:type="pct"/>
            <w:tcBorders>
              <w:top w:val="nil"/>
              <w:left w:val="nil"/>
              <w:bottom w:val="nil"/>
              <w:right w:val="nil"/>
            </w:tcBorders>
            <w:noWrap/>
            <w:vAlign w:val="bottom"/>
            <w:hideMark/>
          </w:tcPr>
          <w:p w14:paraId="1487EF05" w14:textId="156CD220" w:rsidR="00204442" w:rsidRPr="00C93640" w:rsidRDefault="00204442" w:rsidP="00F36B82">
            <w:pPr>
              <w:spacing w:line="221" w:lineRule="auto"/>
              <w:rPr>
                <w:color w:val="000000"/>
                <w:szCs w:val="20"/>
              </w:rPr>
            </w:pPr>
            <w:r w:rsidRPr="00C93640">
              <w:rPr>
                <w:color w:val="000000"/>
                <w:szCs w:val="20"/>
              </w:rPr>
              <w:t>Yıl İçindeki Alımlar</w:t>
            </w:r>
            <w:r w:rsidR="00C233A9" w:rsidRPr="00C93640">
              <w:rPr>
                <w:color w:val="000000"/>
                <w:szCs w:val="20"/>
              </w:rPr>
              <w:t xml:space="preserve"> </w:t>
            </w:r>
            <w:r w:rsidR="00C233A9" w:rsidRPr="00C93640">
              <w:rPr>
                <w:color w:val="000000"/>
                <w:szCs w:val="20"/>
                <w:vertAlign w:val="superscript"/>
              </w:rPr>
              <w:t>(*)</w:t>
            </w:r>
          </w:p>
        </w:tc>
        <w:tc>
          <w:tcPr>
            <w:tcW w:w="1628" w:type="pct"/>
            <w:tcBorders>
              <w:top w:val="nil"/>
              <w:left w:val="nil"/>
              <w:bottom w:val="nil"/>
              <w:right w:val="nil"/>
            </w:tcBorders>
            <w:vAlign w:val="center"/>
            <w:hideMark/>
          </w:tcPr>
          <w:p w14:paraId="3D0BD0F3" w14:textId="77777777" w:rsidR="00204442" w:rsidRPr="00C93640" w:rsidRDefault="00204442" w:rsidP="00F36B82">
            <w:pPr>
              <w:spacing w:line="221" w:lineRule="auto"/>
              <w:jc w:val="right"/>
              <w:rPr>
                <w:color w:val="000000"/>
                <w:szCs w:val="20"/>
              </w:rPr>
            </w:pPr>
            <w:r w:rsidRPr="00C93640">
              <w:rPr>
                <w:color w:val="000000"/>
                <w:szCs w:val="20"/>
              </w:rPr>
              <w:t>391.310</w:t>
            </w:r>
          </w:p>
        </w:tc>
      </w:tr>
      <w:tr w:rsidR="00204442" w:rsidRPr="00C93640" w14:paraId="013E0A17" w14:textId="77777777" w:rsidTr="00612802">
        <w:trPr>
          <w:trHeight w:val="170"/>
        </w:trPr>
        <w:tc>
          <w:tcPr>
            <w:tcW w:w="3372" w:type="pct"/>
            <w:tcBorders>
              <w:top w:val="nil"/>
              <w:left w:val="nil"/>
              <w:right w:val="nil"/>
            </w:tcBorders>
            <w:noWrap/>
            <w:vAlign w:val="bottom"/>
            <w:hideMark/>
          </w:tcPr>
          <w:p w14:paraId="1FD1B802" w14:textId="77777777" w:rsidR="00204442" w:rsidRPr="00C93640" w:rsidRDefault="00204442" w:rsidP="00F36B82">
            <w:pPr>
              <w:spacing w:line="221" w:lineRule="auto"/>
              <w:rPr>
                <w:color w:val="000000"/>
                <w:szCs w:val="20"/>
              </w:rPr>
            </w:pPr>
            <w:r w:rsidRPr="00C93640">
              <w:rPr>
                <w:color w:val="000000"/>
                <w:szCs w:val="20"/>
              </w:rPr>
              <w:t>Satış ve İtfa Yolu ile Elden Çıkarılanlar</w:t>
            </w:r>
          </w:p>
        </w:tc>
        <w:tc>
          <w:tcPr>
            <w:tcW w:w="1628" w:type="pct"/>
            <w:tcBorders>
              <w:top w:val="nil"/>
              <w:left w:val="nil"/>
              <w:right w:val="nil"/>
            </w:tcBorders>
            <w:vAlign w:val="center"/>
            <w:hideMark/>
          </w:tcPr>
          <w:p w14:paraId="77BBF8A0" w14:textId="77777777" w:rsidR="00204442" w:rsidRPr="00C93640" w:rsidRDefault="00204442" w:rsidP="00F36B82">
            <w:pPr>
              <w:spacing w:line="221" w:lineRule="auto"/>
              <w:jc w:val="right"/>
              <w:rPr>
                <w:color w:val="000000"/>
                <w:szCs w:val="20"/>
              </w:rPr>
            </w:pPr>
            <w:r w:rsidRPr="00C93640">
              <w:rPr>
                <w:color w:val="000000"/>
                <w:szCs w:val="20"/>
              </w:rPr>
              <w:t>-</w:t>
            </w:r>
          </w:p>
        </w:tc>
      </w:tr>
      <w:tr w:rsidR="00204442" w:rsidRPr="00C93640" w14:paraId="1DC8A31B" w14:textId="77777777" w:rsidTr="00612802">
        <w:trPr>
          <w:trHeight w:val="170"/>
        </w:trPr>
        <w:tc>
          <w:tcPr>
            <w:tcW w:w="3372" w:type="pct"/>
            <w:tcBorders>
              <w:top w:val="nil"/>
              <w:left w:val="nil"/>
              <w:bottom w:val="single" w:sz="4" w:space="0" w:color="auto"/>
              <w:right w:val="nil"/>
            </w:tcBorders>
            <w:noWrap/>
            <w:vAlign w:val="bottom"/>
            <w:hideMark/>
          </w:tcPr>
          <w:p w14:paraId="4415C07D" w14:textId="77777777" w:rsidR="00204442" w:rsidRPr="00C93640" w:rsidRDefault="00204442" w:rsidP="00F36B82">
            <w:pPr>
              <w:spacing w:line="221" w:lineRule="auto"/>
              <w:rPr>
                <w:color w:val="000000"/>
                <w:szCs w:val="20"/>
              </w:rPr>
            </w:pPr>
            <w:r w:rsidRPr="00C93640">
              <w:rPr>
                <w:color w:val="000000"/>
                <w:szCs w:val="20"/>
              </w:rPr>
              <w:t>Değer Azalışı Karşılığı (-)</w:t>
            </w:r>
          </w:p>
        </w:tc>
        <w:tc>
          <w:tcPr>
            <w:tcW w:w="1628" w:type="pct"/>
            <w:tcBorders>
              <w:top w:val="nil"/>
              <w:left w:val="nil"/>
              <w:bottom w:val="single" w:sz="4" w:space="0" w:color="auto"/>
              <w:right w:val="nil"/>
            </w:tcBorders>
            <w:vAlign w:val="center"/>
            <w:hideMark/>
          </w:tcPr>
          <w:p w14:paraId="696D364A" w14:textId="77777777" w:rsidR="00204442" w:rsidRPr="00C93640" w:rsidRDefault="00204442" w:rsidP="00F36B82">
            <w:pPr>
              <w:spacing w:line="221" w:lineRule="auto"/>
              <w:jc w:val="right"/>
              <w:rPr>
                <w:color w:val="000000"/>
                <w:szCs w:val="20"/>
              </w:rPr>
            </w:pPr>
            <w:r w:rsidRPr="00C93640">
              <w:rPr>
                <w:color w:val="000000"/>
                <w:szCs w:val="20"/>
              </w:rPr>
              <w:t>-</w:t>
            </w:r>
          </w:p>
        </w:tc>
      </w:tr>
      <w:tr w:rsidR="00204442" w:rsidRPr="00C93640" w14:paraId="3902171A" w14:textId="77777777" w:rsidTr="00612802">
        <w:trPr>
          <w:trHeight w:val="170"/>
        </w:trPr>
        <w:tc>
          <w:tcPr>
            <w:tcW w:w="3372" w:type="pct"/>
            <w:tcBorders>
              <w:top w:val="single" w:sz="4" w:space="0" w:color="auto"/>
              <w:left w:val="nil"/>
              <w:right w:val="nil"/>
            </w:tcBorders>
            <w:noWrap/>
            <w:vAlign w:val="bottom"/>
            <w:hideMark/>
          </w:tcPr>
          <w:p w14:paraId="3525FDB4" w14:textId="77777777" w:rsidR="00204442" w:rsidRPr="00C93640" w:rsidRDefault="00204442" w:rsidP="00F36B82">
            <w:pPr>
              <w:spacing w:line="221" w:lineRule="auto"/>
              <w:rPr>
                <w:b/>
                <w:bCs/>
                <w:color w:val="000000"/>
                <w:szCs w:val="20"/>
              </w:rPr>
            </w:pPr>
          </w:p>
        </w:tc>
        <w:tc>
          <w:tcPr>
            <w:tcW w:w="1628" w:type="pct"/>
            <w:tcBorders>
              <w:top w:val="single" w:sz="4" w:space="0" w:color="auto"/>
              <w:left w:val="nil"/>
              <w:right w:val="nil"/>
            </w:tcBorders>
            <w:noWrap/>
            <w:vAlign w:val="bottom"/>
            <w:hideMark/>
          </w:tcPr>
          <w:p w14:paraId="6A28C45D" w14:textId="77777777" w:rsidR="00204442" w:rsidRPr="00C93640" w:rsidRDefault="00204442" w:rsidP="00F36B82">
            <w:pPr>
              <w:spacing w:line="221" w:lineRule="auto"/>
              <w:jc w:val="right"/>
              <w:rPr>
                <w:b/>
                <w:bCs/>
                <w:color w:val="000000"/>
                <w:szCs w:val="20"/>
              </w:rPr>
            </w:pPr>
          </w:p>
        </w:tc>
      </w:tr>
      <w:tr w:rsidR="00204442" w:rsidRPr="00C93640" w14:paraId="499DC7C8" w14:textId="77777777" w:rsidTr="00612802">
        <w:trPr>
          <w:trHeight w:val="170"/>
        </w:trPr>
        <w:tc>
          <w:tcPr>
            <w:tcW w:w="3372" w:type="pct"/>
            <w:tcBorders>
              <w:top w:val="nil"/>
              <w:left w:val="nil"/>
              <w:bottom w:val="single" w:sz="12" w:space="0" w:color="auto"/>
              <w:right w:val="nil"/>
            </w:tcBorders>
            <w:noWrap/>
            <w:vAlign w:val="bottom"/>
            <w:hideMark/>
          </w:tcPr>
          <w:p w14:paraId="203D08D4" w14:textId="77777777" w:rsidR="00204442" w:rsidRPr="00C93640" w:rsidRDefault="00204442" w:rsidP="00F36B82">
            <w:pPr>
              <w:spacing w:line="221" w:lineRule="auto"/>
              <w:rPr>
                <w:b/>
                <w:bCs/>
                <w:color w:val="000000"/>
                <w:szCs w:val="20"/>
              </w:rPr>
            </w:pPr>
            <w:r w:rsidRPr="00C93640">
              <w:rPr>
                <w:b/>
                <w:bCs/>
                <w:color w:val="000000"/>
                <w:szCs w:val="20"/>
              </w:rPr>
              <w:t>Dönem Sonu Toplamı</w:t>
            </w:r>
          </w:p>
        </w:tc>
        <w:tc>
          <w:tcPr>
            <w:tcW w:w="1628" w:type="pct"/>
            <w:tcBorders>
              <w:top w:val="nil"/>
              <w:left w:val="nil"/>
              <w:bottom w:val="single" w:sz="12" w:space="0" w:color="auto"/>
              <w:right w:val="nil"/>
            </w:tcBorders>
            <w:vAlign w:val="center"/>
            <w:hideMark/>
          </w:tcPr>
          <w:p w14:paraId="6D96B4AA" w14:textId="77777777" w:rsidR="00204442" w:rsidRPr="00C93640" w:rsidRDefault="00204442" w:rsidP="00F36B82">
            <w:pPr>
              <w:spacing w:line="221" w:lineRule="auto"/>
              <w:jc w:val="right"/>
              <w:rPr>
                <w:b/>
                <w:bCs/>
                <w:color w:val="000000"/>
                <w:szCs w:val="20"/>
              </w:rPr>
            </w:pPr>
            <w:r w:rsidRPr="00C93640">
              <w:rPr>
                <w:b/>
                <w:bCs/>
                <w:color w:val="000000"/>
                <w:szCs w:val="20"/>
              </w:rPr>
              <w:t>391.310</w:t>
            </w:r>
          </w:p>
        </w:tc>
      </w:tr>
    </w:tbl>
    <w:p w14:paraId="7C12C207" w14:textId="15DAA01A" w:rsidR="00612802" w:rsidRPr="00C93640" w:rsidRDefault="00612802" w:rsidP="00F36B82">
      <w:pPr>
        <w:spacing w:line="221" w:lineRule="auto"/>
      </w:pPr>
    </w:p>
    <w:p w14:paraId="7F3CB8EB" w14:textId="2266DA14" w:rsidR="00612802" w:rsidRPr="00471CBA" w:rsidRDefault="00803280" w:rsidP="00F36B82">
      <w:pPr>
        <w:spacing w:line="221" w:lineRule="auto"/>
      </w:pPr>
      <w:r w:rsidRPr="00C93640">
        <w:rPr>
          <w:vertAlign w:val="superscript"/>
        </w:rPr>
        <w:t>(*)</w:t>
      </w:r>
      <w:r w:rsidRPr="00C93640">
        <w:t xml:space="preserve"> Reeskontlar “Yıl İçindeki Alımlar” satırında gösterilmiştir.</w:t>
      </w:r>
      <w:r w:rsidR="00612802" w:rsidRPr="00471CBA">
        <w:br w:type="page"/>
      </w:r>
    </w:p>
    <w:p w14:paraId="7D66BC67" w14:textId="77777777" w:rsidR="00674806" w:rsidRPr="00471CBA" w:rsidRDefault="00674806" w:rsidP="00674806">
      <w:pPr>
        <w:widowControl w:val="0"/>
        <w:ind w:left="720" w:hanging="720"/>
        <w:jc w:val="both"/>
        <w:rPr>
          <w:b/>
          <w:szCs w:val="20"/>
        </w:rPr>
      </w:pPr>
      <w:r w:rsidRPr="00471CBA">
        <w:rPr>
          <w:b/>
          <w:szCs w:val="20"/>
        </w:rPr>
        <w:t>KONSOLİDE OLMAYAN FİNANSAL TABLOLARA İLİŞKİN AÇIKLAMA VE DİPNOTLAR (Devamı)</w:t>
      </w:r>
    </w:p>
    <w:p w14:paraId="6956C44F" w14:textId="77777777" w:rsidR="00674806" w:rsidRPr="00471CBA" w:rsidRDefault="00674806" w:rsidP="00674806">
      <w:pPr>
        <w:pStyle w:val="ListeParagraf"/>
        <w:widowControl w:val="0"/>
        <w:ind w:left="14" w:right="452"/>
        <w:jc w:val="both"/>
        <w:rPr>
          <w:b/>
          <w:szCs w:val="20"/>
        </w:rPr>
      </w:pPr>
    </w:p>
    <w:p w14:paraId="40B60582" w14:textId="77777777" w:rsidR="00674806" w:rsidRPr="00471CBA" w:rsidRDefault="00674806" w:rsidP="008459A9">
      <w:pPr>
        <w:pStyle w:val="ListeParagraf"/>
        <w:widowControl w:val="0"/>
        <w:numPr>
          <w:ilvl w:val="0"/>
          <w:numId w:val="87"/>
        </w:numPr>
        <w:ind w:left="709"/>
        <w:jc w:val="both"/>
        <w:rPr>
          <w:b/>
          <w:szCs w:val="20"/>
        </w:rPr>
      </w:pPr>
      <w:r w:rsidRPr="00471CBA">
        <w:rPr>
          <w:b/>
          <w:szCs w:val="20"/>
        </w:rPr>
        <w:t>BİLANÇONUN AKTİF HESAPLARINA İLİŞKİN AÇIKLAMA VE DİPNOTLAR (Devamı)</w:t>
      </w:r>
    </w:p>
    <w:p w14:paraId="49F34CEB" w14:textId="77777777" w:rsidR="00204442" w:rsidRPr="00471CBA" w:rsidRDefault="00204442" w:rsidP="008B4B67"/>
    <w:p w14:paraId="21667F11" w14:textId="77777777" w:rsidR="00894C14" w:rsidRPr="00471CBA" w:rsidRDefault="00894C14" w:rsidP="00894C14">
      <w:pPr>
        <w:pStyle w:val="GvdeMetniGirintisi"/>
        <w:widowControl w:val="0"/>
        <w:numPr>
          <w:ilvl w:val="0"/>
          <w:numId w:val="2"/>
        </w:numPr>
        <w:tabs>
          <w:tab w:val="clear" w:pos="720"/>
        </w:tabs>
        <w:ind w:left="851" w:hanging="851"/>
        <w:rPr>
          <w:b/>
          <w:szCs w:val="20"/>
        </w:rPr>
      </w:pPr>
      <w:r w:rsidRPr="00471CBA">
        <w:rPr>
          <w:b/>
          <w:szCs w:val="20"/>
        </w:rPr>
        <w:t>Türev finansal varlıklara ilişkin bilgiler</w:t>
      </w:r>
    </w:p>
    <w:p w14:paraId="7425613A" w14:textId="77777777" w:rsidR="00894C14" w:rsidRPr="00471CBA" w:rsidRDefault="00894C14" w:rsidP="00894C14">
      <w:pPr>
        <w:pStyle w:val="GvdeMetniGirintisi"/>
        <w:widowControl w:val="0"/>
        <w:ind w:left="851" w:firstLine="0"/>
        <w:rPr>
          <w:b/>
          <w:szCs w:val="20"/>
        </w:rPr>
      </w:pPr>
    </w:p>
    <w:p w14:paraId="590FD4CC" w14:textId="77777777" w:rsidR="00894C14" w:rsidRPr="00471CBA" w:rsidRDefault="00894C14" w:rsidP="00894C14">
      <w:pPr>
        <w:pStyle w:val="GvdeMetniGirintisi"/>
        <w:widowControl w:val="0"/>
        <w:numPr>
          <w:ilvl w:val="0"/>
          <w:numId w:val="32"/>
        </w:numPr>
        <w:ind w:left="851" w:firstLine="0"/>
        <w:rPr>
          <w:b/>
          <w:iCs/>
          <w:szCs w:val="20"/>
        </w:rPr>
      </w:pPr>
      <w:r w:rsidRPr="00471CBA">
        <w:rPr>
          <w:b/>
          <w:iCs/>
          <w:szCs w:val="20"/>
        </w:rPr>
        <w:t>Türev finansal varlıklara ilişkin pozitif farklar tablosu:</w:t>
      </w:r>
    </w:p>
    <w:p w14:paraId="5410ADC0" w14:textId="74D39769" w:rsidR="00A74C68" w:rsidRPr="00471CBA" w:rsidRDefault="00A74C68" w:rsidP="00894C14">
      <w:pPr>
        <w:pStyle w:val="GvdeMetniGirintisi"/>
        <w:widowControl w:val="0"/>
        <w:ind w:firstLine="0"/>
        <w:rPr>
          <w:szCs w:val="20"/>
        </w:rPr>
      </w:pPr>
    </w:p>
    <w:tbl>
      <w:tblPr>
        <w:tblW w:w="5000" w:type="pct"/>
        <w:tblCellMar>
          <w:left w:w="70" w:type="dxa"/>
          <w:right w:w="70" w:type="dxa"/>
        </w:tblCellMar>
        <w:tblLook w:val="04A0" w:firstRow="1" w:lastRow="0" w:firstColumn="1" w:lastColumn="0" w:noHBand="0" w:noVBand="1"/>
      </w:tblPr>
      <w:tblGrid>
        <w:gridCol w:w="5146"/>
        <w:gridCol w:w="1910"/>
        <w:gridCol w:w="2299"/>
      </w:tblGrid>
      <w:tr w:rsidR="00A74C68" w:rsidRPr="00471CBA" w14:paraId="5C3941F5" w14:textId="77777777" w:rsidTr="00A74C68">
        <w:trPr>
          <w:divId w:val="1146240149"/>
          <w:trHeight w:val="170"/>
        </w:trPr>
        <w:tc>
          <w:tcPr>
            <w:tcW w:w="2074" w:type="pct"/>
            <w:tcBorders>
              <w:top w:val="nil"/>
              <w:left w:val="nil"/>
              <w:bottom w:val="single" w:sz="4" w:space="0" w:color="auto"/>
              <w:right w:val="nil"/>
            </w:tcBorders>
            <w:vAlign w:val="center"/>
            <w:hideMark/>
          </w:tcPr>
          <w:p w14:paraId="4D54906C" w14:textId="374E5B48" w:rsidR="00A74C68" w:rsidRPr="00471CBA" w:rsidRDefault="00A74C68" w:rsidP="00A74C68">
            <w:pPr>
              <w:jc w:val="both"/>
              <w:rPr>
                <w:b/>
                <w:bCs/>
                <w:color w:val="000000"/>
                <w:szCs w:val="20"/>
              </w:rPr>
            </w:pPr>
            <w:r w:rsidRPr="00471CBA">
              <w:rPr>
                <w:b/>
                <w:bCs/>
                <w:color w:val="000000"/>
                <w:szCs w:val="20"/>
              </w:rPr>
              <w:t> </w:t>
            </w:r>
          </w:p>
        </w:tc>
        <w:tc>
          <w:tcPr>
            <w:tcW w:w="1697" w:type="pct"/>
            <w:gridSpan w:val="2"/>
            <w:tcBorders>
              <w:top w:val="single" w:sz="4" w:space="0" w:color="auto"/>
              <w:left w:val="nil"/>
              <w:bottom w:val="single" w:sz="4" w:space="0" w:color="auto"/>
              <w:right w:val="nil"/>
            </w:tcBorders>
            <w:noWrap/>
            <w:vAlign w:val="center"/>
            <w:hideMark/>
          </w:tcPr>
          <w:p w14:paraId="40356A3B" w14:textId="77777777" w:rsidR="00A74C68" w:rsidRPr="00471CBA" w:rsidRDefault="00A74C68" w:rsidP="00A74C68">
            <w:pPr>
              <w:jc w:val="center"/>
              <w:rPr>
                <w:b/>
                <w:bCs/>
                <w:color w:val="000000"/>
                <w:szCs w:val="20"/>
              </w:rPr>
            </w:pPr>
            <w:r w:rsidRPr="00471CBA">
              <w:rPr>
                <w:b/>
                <w:bCs/>
                <w:color w:val="000000"/>
                <w:szCs w:val="20"/>
              </w:rPr>
              <w:t>31 Aralık 2025</w:t>
            </w:r>
          </w:p>
        </w:tc>
      </w:tr>
      <w:tr w:rsidR="00A74C68" w:rsidRPr="00471CBA" w14:paraId="1D8D392C" w14:textId="77777777" w:rsidTr="00A74C68">
        <w:trPr>
          <w:divId w:val="1146240149"/>
          <w:trHeight w:val="170"/>
        </w:trPr>
        <w:tc>
          <w:tcPr>
            <w:tcW w:w="2074" w:type="pct"/>
            <w:tcBorders>
              <w:top w:val="nil"/>
              <w:left w:val="nil"/>
              <w:bottom w:val="single" w:sz="4" w:space="0" w:color="auto"/>
              <w:right w:val="nil"/>
            </w:tcBorders>
            <w:vAlign w:val="center"/>
            <w:hideMark/>
          </w:tcPr>
          <w:p w14:paraId="1BA43CC2" w14:textId="77777777" w:rsidR="00A74C68" w:rsidRPr="00471CBA" w:rsidRDefault="00A74C68" w:rsidP="00A74C68">
            <w:pPr>
              <w:jc w:val="both"/>
              <w:rPr>
                <w:b/>
                <w:bCs/>
                <w:color w:val="000000"/>
                <w:szCs w:val="20"/>
              </w:rPr>
            </w:pPr>
            <w:r w:rsidRPr="00471CBA">
              <w:rPr>
                <w:b/>
                <w:bCs/>
                <w:color w:val="000000"/>
                <w:szCs w:val="20"/>
              </w:rPr>
              <w:t> </w:t>
            </w:r>
          </w:p>
        </w:tc>
        <w:tc>
          <w:tcPr>
            <w:tcW w:w="770" w:type="pct"/>
            <w:tcBorders>
              <w:top w:val="nil"/>
              <w:left w:val="nil"/>
              <w:bottom w:val="single" w:sz="4" w:space="0" w:color="auto"/>
              <w:right w:val="nil"/>
            </w:tcBorders>
            <w:vAlign w:val="center"/>
            <w:hideMark/>
          </w:tcPr>
          <w:p w14:paraId="06BB8F69" w14:textId="77777777" w:rsidR="00A74C68" w:rsidRPr="00471CBA" w:rsidRDefault="00A74C68" w:rsidP="00A74C68">
            <w:pPr>
              <w:jc w:val="center"/>
              <w:rPr>
                <w:b/>
                <w:bCs/>
                <w:color w:val="000000"/>
                <w:szCs w:val="20"/>
              </w:rPr>
            </w:pPr>
            <w:r w:rsidRPr="00471CBA">
              <w:rPr>
                <w:b/>
                <w:bCs/>
                <w:color w:val="000000"/>
                <w:szCs w:val="20"/>
              </w:rPr>
              <w:t>TP</w:t>
            </w:r>
          </w:p>
        </w:tc>
        <w:tc>
          <w:tcPr>
            <w:tcW w:w="927" w:type="pct"/>
            <w:tcBorders>
              <w:top w:val="nil"/>
              <w:left w:val="nil"/>
              <w:bottom w:val="single" w:sz="4" w:space="0" w:color="auto"/>
              <w:right w:val="nil"/>
            </w:tcBorders>
            <w:vAlign w:val="center"/>
            <w:hideMark/>
          </w:tcPr>
          <w:p w14:paraId="647953B5" w14:textId="77777777" w:rsidR="00A74C68" w:rsidRPr="00471CBA" w:rsidRDefault="00A74C68" w:rsidP="00A74C68">
            <w:pPr>
              <w:jc w:val="center"/>
              <w:rPr>
                <w:b/>
                <w:bCs/>
                <w:color w:val="000000"/>
                <w:szCs w:val="20"/>
              </w:rPr>
            </w:pPr>
            <w:r w:rsidRPr="00471CBA">
              <w:rPr>
                <w:b/>
                <w:bCs/>
                <w:color w:val="000000"/>
                <w:szCs w:val="20"/>
              </w:rPr>
              <w:t>YP</w:t>
            </w:r>
          </w:p>
        </w:tc>
      </w:tr>
      <w:tr w:rsidR="00A74C68" w:rsidRPr="00471CBA" w14:paraId="25BD03D3" w14:textId="77777777" w:rsidTr="00A74C68">
        <w:trPr>
          <w:divId w:val="1146240149"/>
          <w:trHeight w:val="170"/>
        </w:trPr>
        <w:tc>
          <w:tcPr>
            <w:tcW w:w="2074" w:type="pct"/>
            <w:tcBorders>
              <w:top w:val="nil"/>
              <w:left w:val="nil"/>
              <w:bottom w:val="nil"/>
              <w:right w:val="nil"/>
            </w:tcBorders>
            <w:vAlign w:val="center"/>
            <w:hideMark/>
          </w:tcPr>
          <w:p w14:paraId="4DD70E79" w14:textId="77777777" w:rsidR="00A74C68" w:rsidRPr="00471CBA" w:rsidRDefault="00A74C68" w:rsidP="00A74C68">
            <w:pPr>
              <w:jc w:val="center"/>
              <w:rPr>
                <w:b/>
                <w:bCs/>
                <w:color w:val="000000"/>
                <w:szCs w:val="20"/>
              </w:rPr>
            </w:pPr>
          </w:p>
        </w:tc>
        <w:tc>
          <w:tcPr>
            <w:tcW w:w="770" w:type="pct"/>
            <w:tcBorders>
              <w:top w:val="nil"/>
              <w:left w:val="nil"/>
              <w:bottom w:val="nil"/>
              <w:right w:val="nil"/>
            </w:tcBorders>
            <w:vAlign w:val="center"/>
            <w:hideMark/>
          </w:tcPr>
          <w:p w14:paraId="4E53085B" w14:textId="77777777" w:rsidR="00A74C68" w:rsidRPr="00471CBA" w:rsidRDefault="00A74C68" w:rsidP="00A74C68">
            <w:pPr>
              <w:jc w:val="both"/>
              <w:rPr>
                <w:szCs w:val="20"/>
              </w:rPr>
            </w:pPr>
          </w:p>
        </w:tc>
        <w:tc>
          <w:tcPr>
            <w:tcW w:w="927" w:type="pct"/>
            <w:tcBorders>
              <w:top w:val="nil"/>
              <w:left w:val="nil"/>
              <w:bottom w:val="nil"/>
              <w:right w:val="nil"/>
            </w:tcBorders>
            <w:vAlign w:val="center"/>
            <w:hideMark/>
          </w:tcPr>
          <w:p w14:paraId="62746113" w14:textId="77777777" w:rsidR="00A74C68" w:rsidRPr="00471CBA" w:rsidRDefault="00A74C68" w:rsidP="00A74C68">
            <w:pPr>
              <w:jc w:val="right"/>
              <w:rPr>
                <w:szCs w:val="20"/>
              </w:rPr>
            </w:pPr>
          </w:p>
        </w:tc>
      </w:tr>
      <w:tr w:rsidR="00A74C68" w:rsidRPr="00471CBA" w14:paraId="0B2AF1B6" w14:textId="77777777" w:rsidTr="00A74C68">
        <w:trPr>
          <w:divId w:val="1146240149"/>
          <w:trHeight w:val="170"/>
        </w:trPr>
        <w:tc>
          <w:tcPr>
            <w:tcW w:w="2074" w:type="pct"/>
            <w:tcBorders>
              <w:top w:val="nil"/>
              <w:left w:val="nil"/>
              <w:bottom w:val="nil"/>
              <w:right w:val="nil"/>
            </w:tcBorders>
            <w:vAlign w:val="center"/>
            <w:hideMark/>
          </w:tcPr>
          <w:p w14:paraId="5F487B09" w14:textId="77777777" w:rsidR="00A74C68" w:rsidRPr="00471CBA" w:rsidRDefault="00A74C68" w:rsidP="00A74C68">
            <w:pPr>
              <w:jc w:val="both"/>
              <w:rPr>
                <w:color w:val="000000"/>
                <w:szCs w:val="20"/>
              </w:rPr>
            </w:pPr>
            <w:r w:rsidRPr="00471CBA">
              <w:rPr>
                <w:color w:val="000000"/>
                <w:szCs w:val="20"/>
              </w:rPr>
              <w:t>Vadeli İşlemler</w:t>
            </w:r>
          </w:p>
        </w:tc>
        <w:tc>
          <w:tcPr>
            <w:tcW w:w="770" w:type="pct"/>
            <w:tcBorders>
              <w:top w:val="nil"/>
              <w:left w:val="nil"/>
              <w:bottom w:val="nil"/>
              <w:right w:val="nil"/>
            </w:tcBorders>
            <w:vAlign w:val="center"/>
            <w:hideMark/>
          </w:tcPr>
          <w:p w14:paraId="7AA4E9BF" w14:textId="77777777" w:rsidR="00A74C68" w:rsidRPr="00471CBA" w:rsidRDefault="00A74C68" w:rsidP="00A74C68">
            <w:pPr>
              <w:jc w:val="right"/>
              <w:rPr>
                <w:color w:val="000000"/>
                <w:szCs w:val="20"/>
              </w:rPr>
            </w:pPr>
            <w:r w:rsidRPr="00471CBA">
              <w:rPr>
                <w:color w:val="000000"/>
                <w:szCs w:val="20"/>
              </w:rPr>
              <w:t>55.226</w:t>
            </w:r>
          </w:p>
        </w:tc>
        <w:tc>
          <w:tcPr>
            <w:tcW w:w="927" w:type="pct"/>
            <w:tcBorders>
              <w:top w:val="nil"/>
              <w:left w:val="nil"/>
              <w:bottom w:val="nil"/>
              <w:right w:val="nil"/>
            </w:tcBorders>
            <w:vAlign w:val="center"/>
            <w:hideMark/>
          </w:tcPr>
          <w:p w14:paraId="23A850A8" w14:textId="77777777" w:rsidR="00A74C68" w:rsidRPr="00471CBA" w:rsidRDefault="00A74C68" w:rsidP="00A74C68">
            <w:pPr>
              <w:jc w:val="right"/>
              <w:rPr>
                <w:color w:val="000000"/>
                <w:szCs w:val="20"/>
              </w:rPr>
            </w:pPr>
            <w:r w:rsidRPr="00471CBA">
              <w:rPr>
                <w:color w:val="000000"/>
                <w:szCs w:val="20"/>
              </w:rPr>
              <w:t>307.941</w:t>
            </w:r>
          </w:p>
        </w:tc>
      </w:tr>
      <w:tr w:rsidR="00A74C68" w:rsidRPr="00471CBA" w14:paraId="70746CBB" w14:textId="77777777" w:rsidTr="00A74C68">
        <w:trPr>
          <w:divId w:val="1146240149"/>
          <w:trHeight w:val="170"/>
        </w:trPr>
        <w:tc>
          <w:tcPr>
            <w:tcW w:w="2074" w:type="pct"/>
            <w:tcBorders>
              <w:top w:val="nil"/>
              <w:left w:val="nil"/>
              <w:bottom w:val="nil"/>
              <w:right w:val="nil"/>
            </w:tcBorders>
            <w:vAlign w:val="center"/>
            <w:hideMark/>
          </w:tcPr>
          <w:p w14:paraId="09877AD5" w14:textId="77777777" w:rsidR="00A74C68" w:rsidRPr="00471CBA" w:rsidRDefault="00A74C68" w:rsidP="00A74C68">
            <w:pPr>
              <w:jc w:val="both"/>
              <w:rPr>
                <w:color w:val="000000"/>
                <w:szCs w:val="20"/>
              </w:rPr>
            </w:pPr>
            <w:r w:rsidRPr="00471CBA">
              <w:rPr>
                <w:color w:val="000000"/>
                <w:szCs w:val="20"/>
              </w:rPr>
              <w:t>Swap İşlemleri</w:t>
            </w:r>
          </w:p>
        </w:tc>
        <w:tc>
          <w:tcPr>
            <w:tcW w:w="770" w:type="pct"/>
            <w:tcBorders>
              <w:top w:val="nil"/>
              <w:left w:val="nil"/>
              <w:bottom w:val="nil"/>
              <w:right w:val="nil"/>
            </w:tcBorders>
            <w:vAlign w:val="center"/>
            <w:hideMark/>
          </w:tcPr>
          <w:p w14:paraId="2D7FFB32" w14:textId="77777777" w:rsidR="00A74C68" w:rsidRPr="00471CBA" w:rsidRDefault="00A74C68" w:rsidP="00A74C68">
            <w:pPr>
              <w:jc w:val="right"/>
              <w:rPr>
                <w:color w:val="000000"/>
                <w:szCs w:val="20"/>
              </w:rPr>
            </w:pPr>
            <w:r w:rsidRPr="00471CBA">
              <w:rPr>
                <w:color w:val="000000"/>
                <w:szCs w:val="20"/>
              </w:rPr>
              <w:t>78.112</w:t>
            </w:r>
          </w:p>
        </w:tc>
        <w:tc>
          <w:tcPr>
            <w:tcW w:w="927" w:type="pct"/>
            <w:tcBorders>
              <w:top w:val="nil"/>
              <w:left w:val="nil"/>
              <w:bottom w:val="nil"/>
              <w:right w:val="nil"/>
            </w:tcBorders>
            <w:vAlign w:val="center"/>
            <w:hideMark/>
          </w:tcPr>
          <w:p w14:paraId="21D48163" w14:textId="77777777" w:rsidR="00A74C68" w:rsidRPr="00471CBA" w:rsidRDefault="00A74C68" w:rsidP="00A74C68">
            <w:pPr>
              <w:jc w:val="right"/>
              <w:rPr>
                <w:color w:val="000000"/>
                <w:szCs w:val="20"/>
              </w:rPr>
            </w:pPr>
            <w:r w:rsidRPr="00471CBA">
              <w:rPr>
                <w:color w:val="000000"/>
                <w:szCs w:val="20"/>
              </w:rPr>
              <w:t>706.286</w:t>
            </w:r>
          </w:p>
        </w:tc>
      </w:tr>
      <w:tr w:rsidR="00A74C68" w:rsidRPr="00471CBA" w14:paraId="6C86E6BA" w14:textId="77777777" w:rsidTr="00A74C68">
        <w:trPr>
          <w:divId w:val="1146240149"/>
          <w:trHeight w:val="170"/>
        </w:trPr>
        <w:tc>
          <w:tcPr>
            <w:tcW w:w="2074" w:type="pct"/>
            <w:tcBorders>
              <w:top w:val="nil"/>
              <w:left w:val="nil"/>
              <w:bottom w:val="nil"/>
              <w:right w:val="nil"/>
            </w:tcBorders>
            <w:vAlign w:val="center"/>
            <w:hideMark/>
          </w:tcPr>
          <w:p w14:paraId="3D7C43DC" w14:textId="77777777" w:rsidR="00A74C68" w:rsidRPr="00471CBA" w:rsidRDefault="00A74C68" w:rsidP="00A74C68">
            <w:pPr>
              <w:jc w:val="both"/>
              <w:rPr>
                <w:color w:val="000000"/>
                <w:szCs w:val="20"/>
              </w:rPr>
            </w:pPr>
            <w:r w:rsidRPr="00471CBA">
              <w:rPr>
                <w:color w:val="000000"/>
                <w:szCs w:val="20"/>
              </w:rPr>
              <w:t>Futures İşlemleri</w:t>
            </w:r>
          </w:p>
        </w:tc>
        <w:tc>
          <w:tcPr>
            <w:tcW w:w="770" w:type="pct"/>
            <w:tcBorders>
              <w:top w:val="nil"/>
              <w:left w:val="nil"/>
              <w:bottom w:val="nil"/>
              <w:right w:val="nil"/>
            </w:tcBorders>
            <w:vAlign w:val="center"/>
            <w:hideMark/>
          </w:tcPr>
          <w:p w14:paraId="6344278F" w14:textId="77777777" w:rsidR="00A74C68" w:rsidRPr="00471CBA" w:rsidRDefault="00A74C68" w:rsidP="00A74C68">
            <w:pPr>
              <w:jc w:val="right"/>
              <w:rPr>
                <w:color w:val="000000"/>
                <w:szCs w:val="20"/>
              </w:rPr>
            </w:pPr>
            <w:r w:rsidRPr="00471CBA">
              <w:rPr>
                <w:color w:val="000000"/>
                <w:szCs w:val="20"/>
              </w:rPr>
              <w:t>-</w:t>
            </w:r>
          </w:p>
        </w:tc>
        <w:tc>
          <w:tcPr>
            <w:tcW w:w="927" w:type="pct"/>
            <w:tcBorders>
              <w:top w:val="nil"/>
              <w:left w:val="nil"/>
              <w:bottom w:val="nil"/>
              <w:right w:val="nil"/>
            </w:tcBorders>
            <w:vAlign w:val="center"/>
            <w:hideMark/>
          </w:tcPr>
          <w:p w14:paraId="48AE9495" w14:textId="77777777" w:rsidR="00A74C68" w:rsidRPr="00471CBA" w:rsidRDefault="00A74C68" w:rsidP="00A74C68">
            <w:pPr>
              <w:jc w:val="right"/>
              <w:rPr>
                <w:color w:val="000000"/>
                <w:szCs w:val="20"/>
              </w:rPr>
            </w:pPr>
            <w:r w:rsidRPr="00471CBA">
              <w:rPr>
                <w:color w:val="000000"/>
                <w:szCs w:val="20"/>
              </w:rPr>
              <w:t>-</w:t>
            </w:r>
          </w:p>
        </w:tc>
      </w:tr>
      <w:tr w:rsidR="00A74C68" w:rsidRPr="00471CBA" w14:paraId="1E9C70F8" w14:textId="77777777" w:rsidTr="00A74C68">
        <w:trPr>
          <w:divId w:val="1146240149"/>
          <w:trHeight w:val="170"/>
        </w:trPr>
        <w:tc>
          <w:tcPr>
            <w:tcW w:w="2074" w:type="pct"/>
            <w:tcBorders>
              <w:top w:val="nil"/>
              <w:left w:val="nil"/>
              <w:bottom w:val="nil"/>
              <w:right w:val="nil"/>
            </w:tcBorders>
            <w:vAlign w:val="center"/>
            <w:hideMark/>
          </w:tcPr>
          <w:p w14:paraId="0E4E5C2B" w14:textId="77777777" w:rsidR="00A74C68" w:rsidRPr="00471CBA" w:rsidRDefault="00A74C68" w:rsidP="00A74C68">
            <w:pPr>
              <w:jc w:val="both"/>
              <w:rPr>
                <w:color w:val="000000"/>
                <w:szCs w:val="20"/>
              </w:rPr>
            </w:pPr>
            <w:r w:rsidRPr="00471CBA">
              <w:rPr>
                <w:color w:val="000000"/>
                <w:szCs w:val="20"/>
              </w:rPr>
              <w:t xml:space="preserve">Opsiyonlar </w:t>
            </w:r>
          </w:p>
        </w:tc>
        <w:tc>
          <w:tcPr>
            <w:tcW w:w="770" w:type="pct"/>
            <w:tcBorders>
              <w:top w:val="nil"/>
              <w:left w:val="nil"/>
              <w:bottom w:val="nil"/>
              <w:right w:val="nil"/>
            </w:tcBorders>
            <w:vAlign w:val="center"/>
            <w:hideMark/>
          </w:tcPr>
          <w:p w14:paraId="6F3294FE" w14:textId="77777777" w:rsidR="00A74C68" w:rsidRPr="00471CBA" w:rsidRDefault="00A74C68" w:rsidP="00A74C68">
            <w:pPr>
              <w:jc w:val="right"/>
              <w:rPr>
                <w:color w:val="000000"/>
                <w:szCs w:val="20"/>
              </w:rPr>
            </w:pPr>
            <w:r w:rsidRPr="00471CBA">
              <w:rPr>
                <w:color w:val="000000"/>
                <w:szCs w:val="20"/>
              </w:rPr>
              <w:t>-</w:t>
            </w:r>
          </w:p>
        </w:tc>
        <w:tc>
          <w:tcPr>
            <w:tcW w:w="927" w:type="pct"/>
            <w:tcBorders>
              <w:top w:val="nil"/>
              <w:left w:val="nil"/>
              <w:bottom w:val="nil"/>
              <w:right w:val="nil"/>
            </w:tcBorders>
            <w:vAlign w:val="center"/>
            <w:hideMark/>
          </w:tcPr>
          <w:p w14:paraId="028AB708" w14:textId="77777777" w:rsidR="00A74C68" w:rsidRPr="00471CBA" w:rsidRDefault="00A74C68" w:rsidP="00A74C68">
            <w:pPr>
              <w:jc w:val="right"/>
              <w:rPr>
                <w:color w:val="000000"/>
                <w:szCs w:val="20"/>
              </w:rPr>
            </w:pPr>
            <w:r w:rsidRPr="00471CBA">
              <w:rPr>
                <w:color w:val="000000"/>
                <w:szCs w:val="20"/>
              </w:rPr>
              <w:t>-</w:t>
            </w:r>
          </w:p>
        </w:tc>
      </w:tr>
      <w:tr w:rsidR="00A74C68" w:rsidRPr="00471CBA" w14:paraId="378E36F7" w14:textId="77777777" w:rsidTr="00A74C68">
        <w:trPr>
          <w:divId w:val="1146240149"/>
          <w:trHeight w:val="170"/>
        </w:trPr>
        <w:tc>
          <w:tcPr>
            <w:tcW w:w="2074" w:type="pct"/>
            <w:tcBorders>
              <w:top w:val="nil"/>
              <w:left w:val="nil"/>
              <w:bottom w:val="single" w:sz="4" w:space="0" w:color="auto"/>
              <w:right w:val="nil"/>
            </w:tcBorders>
            <w:vAlign w:val="center"/>
            <w:hideMark/>
          </w:tcPr>
          <w:p w14:paraId="72A6A360" w14:textId="77777777" w:rsidR="00A74C68" w:rsidRPr="00471CBA" w:rsidRDefault="00A74C68" w:rsidP="00A74C68">
            <w:pPr>
              <w:jc w:val="both"/>
              <w:rPr>
                <w:color w:val="000000"/>
                <w:szCs w:val="20"/>
              </w:rPr>
            </w:pPr>
            <w:r w:rsidRPr="00471CBA">
              <w:rPr>
                <w:color w:val="000000"/>
                <w:szCs w:val="20"/>
              </w:rPr>
              <w:t>Diğer</w:t>
            </w:r>
          </w:p>
        </w:tc>
        <w:tc>
          <w:tcPr>
            <w:tcW w:w="770" w:type="pct"/>
            <w:tcBorders>
              <w:top w:val="nil"/>
              <w:left w:val="nil"/>
              <w:bottom w:val="single" w:sz="4" w:space="0" w:color="auto"/>
              <w:right w:val="nil"/>
            </w:tcBorders>
            <w:vAlign w:val="center"/>
            <w:hideMark/>
          </w:tcPr>
          <w:p w14:paraId="7DD67D14" w14:textId="77777777" w:rsidR="00A74C68" w:rsidRPr="00471CBA" w:rsidRDefault="00A74C68" w:rsidP="00A74C68">
            <w:pPr>
              <w:jc w:val="right"/>
              <w:rPr>
                <w:color w:val="000000"/>
                <w:szCs w:val="20"/>
              </w:rPr>
            </w:pPr>
            <w:r w:rsidRPr="00471CBA">
              <w:rPr>
                <w:color w:val="000000"/>
                <w:szCs w:val="20"/>
              </w:rPr>
              <w:t>-</w:t>
            </w:r>
          </w:p>
        </w:tc>
        <w:tc>
          <w:tcPr>
            <w:tcW w:w="927" w:type="pct"/>
            <w:tcBorders>
              <w:top w:val="nil"/>
              <w:left w:val="nil"/>
              <w:bottom w:val="single" w:sz="4" w:space="0" w:color="auto"/>
              <w:right w:val="nil"/>
            </w:tcBorders>
            <w:vAlign w:val="center"/>
            <w:hideMark/>
          </w:tcPr>
          <w:p w14:paraId="288954FD" w14:textId="77777777" w:rsidR="00A74C68" w:rsidRPr="00471CBA" w:rsidRDefault="00A74C68" w:rsidP="00A74C68">
            <w:pPr>
              <w:jc w:val="right"/>
              <w:rPr>
                <w:color w:val="000000"/>
                <w:szCs w:val="20"/>
              </w:rPr>
            </w:pPr>
            <w:r w:rsidRPr="00471CBA">
              <w:rPr>
                <w:color w:val="000000"/>
                <w:szCs w:val="20"/>
              </w:rPr>
              <w:t>-</w:t>
            </w:r>
          </w:p>
        </w:tc>
      </w:tr>
      <w:tr w:rsidR="00A74C68" w:rsidRPr="00471CBA" w14:paraId="459EAFCB" w14:textId="77777777" w:rsidTr="00A74C68">
        <w:trPr>
          <w:divId w:val="1146240149"/>
          <w:trHeight w:val="170"/>
        </w:trPr>
        <w:tc>
          <w:tcPr>
            <w:tcW w:w="2074" w:type="pct"/>
            <w:tcBorders>
              <w:top w:val="nil"/>
              <w:left w:val="nil"/>
              <w:right w:val="nil"/>
            </w:tcBorders>
            <w:noWrap/>
            <w:vAlign w:val="bottom"/>
            <w:hideMark/>
          </w:tcPr>
          <w:p w14:paraId="65DF7F64" w14:textId="77777777" w:rsidR="00A74C68" w:rsidRPr="00471CBA" w:rsidRDefault="00A74C68" w:rsidP="00A74C68">
            <w:pPr>
              <w:jc w:val="right"/>
              <w:rPr>
                <w:color w:val="000000"/>
                <w:szCs w:val="20"/>
              </w:rPr>
            </w:pPr>
          </w:p>
        </w:tc>
        <w:tc>
          <w:tcPr>
            <w:tcW w:w="770" w:type="pct"/>
            <w:tcBorders>
              <w:top w:val="nil"/>
              <w:left w:val="nil"/>
              <w:right w:val="nil"/>
            </w:tcBorders>
            <w:noWrap/>
            <w:vAlign w:val="bottom"/>
            <w:hideMark/>
          </w:tcPr>
          <w:p w14:paraId="4A26FB1D" w14:textId="77777777" w:rsidR="00A74C68" w:rsidRPr="00471CBA" w:rsidRDefault="00A74C68" w:rsidP="00A74C68">
            <w:pPr>
              <w:rPr>
                <w:szCs w:val="20"/>
              </w:rPr>
            </w:pPr>
          </w:p>
        </w:tc>
        <w:tc>
          <w:tcPr>
            <w:tcW w:w="927" w:type="pct"/>
            <w:tcBorders>
              <w:top w:val="nil"/>
              <w:left w:val="nil"/>
              <w:right w:val="nil"/>
            </w:tcBorders>
            <w:noWrap/>
            <w:vAlign w:val="bottom"/>
            <w:hideMark/>
          </w:tcPr>
          <w:p w14:paraId="547C74EE" w14:textId="77777777" w:rsidR="00A74C68" w:rsidRPr="00471CBA" w:rsidRDefault="00A74C68" w:rsidP="00A74C68">
            <w:pPr>
              <w:jc w:val="center"/>
              <w:rPr>
                <w:szCs w:val="20"/>
              </w:rPr>
            </w:pPr>
          </w:p>
        </w:tc>
      </w:tr>
      <w:tr w:rsidR="00A74C68" w:rsidRPr="00471CBA" w14:paraId="4B89B155" w14:textId="77777777" w:rsidTr="00A74C68">
        <w:trPr>
          <w:divId w:val="1146240149"/>
          <w:trHeight w:val="170"/>
        </w:trPr>
        <w:tc>
          <w:tcPr>
            <w:tcW w:w="2074" w:type="pct"/>
            <w:tcBorders>
              <w:top w:val="nil"/>
              <w:left w:val="nil"/>
              <w:bottom w:val="single" w:sz="12" w:space="0" w:color="auto"/>
              <w:right w:val="nil"/>
            </w:tcBorders>
            <w:vAlign w:val="center"/>
            <w:hideMark/>
          </w:tcPr>
          <w:p w14:paraId="73CAD6B6" w14:textId="77777777" w:rsidR="00A74C68" w:rsidRPr="00471CBA" w:rsidRDefault="00A74C68" w:rsidP="00A74C68">
            <w:pPr>
              <w:jc w:val="both"/>
              <w:rPr>
                <w:b/>
                <w:bCs/>
                <w:color w:val="000000"/>
                <w:szCs w:val="20"/>
              </w:rPr>
            </w:pPr>
            <w:r w:rsidRPr="00471CBA">
              <w:rPr>
                <w:b/>
                <w:bCs/>
                <w:color w:val="000000"/>
                <w:szCs w:val="20"/>
              </w:rPr>
              <w:t>Toplam</w:t>
            </w:r>
          </w:p>
        </w:tc>
        <w:tc>
          <w:tcPr>
            <w:tcW w:w="770" w:type="pct"/>
            <w:tcBorders>
              <w:top w:val="nil"/>
              <w:left w:val="nil"/>
              <w:bottom w:val="single" w:sz="12" w:space="0" w:color="auto"/>
              <w:right w:val="nil"/>
            </w:tcBorders>
            <w:vAlign w:val="center"/>
            <w:hideMark/>
          </w:tcPr>
          <w:p w14:paraId="479BE766" w14:textId="77777777" w:rsidR="00A74C68" w:rsidRPr="00471CBA" w:rsidRDefault="00A74C68" w:rsidP="00A74C68">
            <w:pPr>
              <w:jc w:val="right"/>
              <w:rPr>
                <w:b/>
                <w:bCs/>
                <w:color w:val="000000"/>
                <w:szCs w:val="20"/>
              </w:rPr>
            </w:pPr>
            <w:r w:rsidRPr="00471CBA">
              <w:rPr>
                <w:b/>
                <w:bCs/>
                <w:color w:val="000000"/>
                <w:szCs w:val="20"/>
              </w:rPr>
              <w:t>133.338</w:t>
            </w:r>
          </w:p>
        </w:tc>
        <w:tc>
          <w:tcPr>
            <w:tcW w:w="927" w:type="pct"/>
            <w:tcBorders>
              <w:top w:val="nil"/>
              <w:left w:val="nil"/>
              <w:bottom w:val="single" w:sz="12" w:space="0" w:color="auto"/>
              <w:right w:val="nil"/>
            </w:tcBorders>
            <w:vAlign w:val="center"/>
            <w:hideMark/>
          </w:tcPr>
          <w:p w14:paraId="43090175" w14:textId="77777777" w:rsidR="00A74C68" w:rsidRPr="00471CBA" w:rsidRDefault="00A74C68" w:rsidP="00A74C68">
            <w:pPr>
              <w:jc w:val="right"/>
              <w:rPr>
                <w:b/>
                <w:bCs/>
                <w:color w:val="000000"/>
                <w:szCs w:val="20"/>
              </w:rPr>
            </w:pPr>
            <w:r w:rsidRPr="00471CBA">
              <w:rPr>
                <w:b/>
                <w:bCs/>
                <w:color w:val="000000"/>
                <w:szCs w:val="20"/>
              </w:rPr>
              <w:t>1.014.227</w:t>
            </w:r>
          </w:p>
        </w:tc>
      </w:tr>
    </w:tbl>
    <w:p w14:paraId="0B632C48" w14:textId="2C5FDDFA" w:rsidR="00894C14" w:rsidRPr="00471CBA" w:rsidRDefault="00894C14" w:rsidP="00894C14">
      <w:pPr>
        <w:pStyle w:val="GvdeMetniGirintisi"/>
        <w:widowControl w:val="0"/>
        <w:ind w:firstLine="0"/>
        <w:rPr>
          <w:szCs w:val="20"/>
        </w:rPr>
      </w:pPr>
    </w:p>
    <w:p w14:paraId="76A67A4E" w14:textId="77777777" w:rsidR="00894C14" w:rsidRPr="00471CBA" w:rsidRDefault="00894C14" w:rsidP="00894C14">
      <w:pPr>
        <w:pStyle w:val="GvdeMetniGirintisi"/>
        <w:widowControl w:val="0"/>
        <w:ind w:firstLine="0"/>
        <w:rPr>
          <w:szCs w:val="20"/>
        </w:rPr>
      </w:pPr>
      <w:r w:rsidRPr="00471CBA">
        <w:rPr>
          <w:szCs w:val="20"/>
        </w:rPr>
        <w:t>Banka’nın riskten korunma amaçlı türev finansal varlıkları bulunmamaktadır.</w:t>
      </w:r>
    </w:p>
    <w:p w14:paraId="43780ED7" w14:textId="77777777" w:rsidR="00204442" w:rsidRPr="00471CBA" w:rsidRDefault="00204442"/>
    <w:tbl>
      <w:tblPr>
        <w:tblW w:w="5000" w:type="pct"/>
        <w:tblCellMar>
          <w:left w:w="70" w:type="dxa"/>
          <w:right w:w="70" w:type="dxa"/>
        </w:tblCellMar>
        <w:tblLook w:val="04A0" w:firstRow="1" w:lastRow="0" w:firstColumn="1" w:lastColumn="0" w:noHBand="0" w:noVBand="1"/>
      </w:tblPr>
      <w:tblGrid>
        <w:gridCol w:w="5875"/>
        <w:gridCol w:w="1648"/>
        <w:gridCol w:w="1832"/>
      </w:tblGrid>
      <w:tr w:rsidR="00204442" w:rsidRPr="00471CBA" w14:paraId="610DE34A" w14:textId="77777777" w:rsidTr="00612802">
        <w:trPr>
          <w:trHeight w:val="170"/>
        </w:trPr>
        <w:tc>
          <w:tcPr>
            <w:tcW w:w="3140" w:type="pct"/>
            <w:tcBorders>
              <w:top w:val="nil"/>
              <w:left w:val="nil"/>
              <w:bottom w:val="single" w:sz="4" w:space="0" w:color="auto"/>
              <w:right w:val="nil"/>
            </w:tcBorders>
            <w:vAlign w:val="center"/>
            <w:hideMark/>
          </w:tcPr>
          <w:p w14:paraId="6FDE2DF0" w14:textId="77777777" w:rsidR="00204442" w:rsidRPr="00471CBA" w:rsidRDefault="00204442" w:rsidP="003B2BBE">
            <w:pPr>
              <w:jc w:val="both"/>
              <w:rPr>
                <w:b/>
                <w:bCs/>
                <w:color w:val="000000"/>
                <w:szCs w:val="20"/>
              </w:rPr>
            </w:pPr>
            <w:r w:rsidRPr="00471CBA">
              <w:rPr>
                <w:b/>
                <w:bCs/>
                <w:color w:val="000000"/>
                <w:szCs w:val="20"/>
              </w:rPr>
              <w:t> </w:t>
            </w:r>
          </w:p>
        </w:tc>
        <w:tc>
          <w:tcPr>
            <w:tcW w:w="1860" w:type="pct"/>
            <w:gridSpan w:val="2"/>
            <w:tcBorders>
              <w:top w:val="single" w:sz="4" w:space="0" w:color="auto"/>
              <w:left w:val="nil"/>
              <w:bottom w:val="single" w:sz="4" w:space="0" w:color="auto"/>
              <w:right w:val="nil"/>
            </w:tcBorders>
            <w:noWrap/>
            <w:vAlign w:val="center"/>
            <w:hideMark/>
          </w:tcPr>
          <w:p w14:paraId="2C4EAB49" w14:textId="77777777" w:rsidR="00204442" w:rsidRPr="00471CBA" w:rsidRDefault="00204442" w:rsidP="003B2BBE">
            <w:pPr>
              <w:jc w:val="center"/>
              <w:rPr>
                <w:b/>
                <w:bCs/>
                <w:color w:val="000000"/>
                <w:szCs w:val="20"/>
              </w:rPr>
            </w:pPr>
            <w:r w:rsidRPr="00471CBA">
              <w:rPr>
                <w:b/>
                <w:bCs/>
                <w:color w:val="000000"/>
                <w:szCs w:val="20"/>
              </w:rPr>
              <w:t>31 Aralık 2024</w:t>
            </w:r>
          </w:p>
        </w:tc>
      </w:tr>
      <w:tr w:rsidR="00204442" w:rsidRPr="00471CBA" w14:paraId="0F04C5B9" w14:textId="77777777" w:rsidTr="00612802">
        <w:trPr>
          <w:trHeight w:val="170"/>
        </w:trPr>
        <w:tc>
          <w:tcPr>
            <w:tcW w:w="3140" w:type="pct"/>
            <w:tcBorders>
              <w:top w:val="nil"/>
              <w:left w:val="nil"/>
              <w:bottom w:val="single" w:sz="4" w:space="0" w:color="auto"/>
              <w:right w:val="nil"/>
            </w:tcBorders>
            <w:vAlign w:val="center"/>
            <w:hideMark/>
          </w:tcPr>
          <w:p w14:paraId="6CD56A91" w14:textId="77777777" w:rsidR="00204442" w:rsidRPr="00471CBA" w:rsidRDefault="00204442" w:rsidP="003B2BBE">
            <w:pPr>
              <w:jc w:val="both"/>
              <w:rPr>
                <w:b/>
                <w:bCs/>
                <w:color w:val="000000"/>
                <w:szCs w:val="20"/>
              </w:rPr>
            </w:pPr>
            <w:r w:rsidRPr="00471CBA">
              <w:rPr>
                <w:b/>
                <w:bCs/>
                <w:color w:val="000000"/>
                <w:szCs w:val="20"/>
              </w:rPr>
              <w:t> </w:t>
            </w:r>
          </w:p>
        </w:tc>
        <w:tc>
          <w:tcPr>
            <w:tcW w:w="881" w:type="pct"/>
            <w:tcBorders>
              <w:top w:val="nil"/>
              <w:left w:val="nil"/>
              <w:bottom w:val="single" w:sz="4" w:space="0" w:color="auto"/>
              <w:right w:val="nil"/>
            </w:tcBorders>
            <w:vAlign w:val="center"/>
            <w:hideMark/>
          </w:tcPr>
          <w:p w14:paraId="562FB1EB" w14:textId="77777777" w:rsidR="00204442" w:rsidRPr="00471CBA" w:rsidRDefault="00204442" w:rsidP="003B2BBE">
            <w:pPr>
              <w:jc w:val="center"/>
              <w:rPr>
                <w:b/>
                <w:bCs/>
                <w:color w:val="000000"/>
                <w:szCs w:val="20"/>
              </w:rPr>
            </w:pPr>
            <w:r w:rsidRPr="00471CBA">
              <w:rPr>
                <w:b/>
                <w:bCs/>
                <w:color w:val="000000"/>
                <w:szCs w:val="20"/>
              </w:rPr>
              <w:t>TP</w:t>
            </w:r>
          </w:p>
        </w:tc>
        <w:tc>
          <w:tcPr>
            <w:tcW w:w="979" w:type="pct"/>
            <w:tcBorders>
              <w:top w:val="nil"/>
              <w:left w:val="nil"/>
              <w:bottom w:val="single" w:sz="4" w:space="0" w:color="auto"/>
              <w:right w:val="nil"/>
            </w:tcBorders>
            <w:noWrap/>
            <w:hideMark/>
          </w:tcPr>
          <w:p w14:paraId="7EC963C0" w14:textId="77777777" w:rsidR="00204442" w:rsidRPr="00471CBA" w:rsidRDefault="00204442" w:rsidP="003B2BBE">
            <w:pPr>
              <w:jc w:val="center"/>
              <w:rPr>
                <w:b/>
                <w:bCs/>
                <w:color w:val="000000"/>
                <w:szCs w:val="20"/>
              </w:rPr>
            </w:pPr>
            <w:r w:rsidRPr="00471CBA">
              <w:rPr>
                <w:b/>
                <w:bCs/>
                <w:color w:val="000000"/>
                <w:szCs w:val="20"/>
              </w:rPr>
              <w:t>YP</w:t>
            </w:r>
          </w:p>
        </w:tc>
      </w:tr>
      <w:tr w:rsidR="00204442" w:rsidRPr="00471CBA" w14:paraId="580F8E25" w14:textId="77777777" w:rsidTr="00612802">
        <w:trPr>
          <w:trHeight w:val="170"/>
        </w:trPr>
        <w:tc>
          <w:tcPr>
            <w:tcW w:w="3140" w:type="pct"/>
            <w:tcBorders>
              <w:top w:val="nil"/>
              <w:left w:val="nil"/>
              <w:bottom w:val="nil"/>
              <w:right w:val="nil"/>
            </w:tcBorders>
            <w:vAlign w:val="center"/>
            <w:hideMark/>
          </w:tcPr>
          <w:p w14:paraId="4521FF2E" w14:textId="77777777" w:rsidR="00204442" w:rsidRPr="00471CBA" w:rsidRDefault="00204442" w:rsidP="003B2BBE">
            <w:pPr>
              <w:jc w:val="center"/>
              <w:rPr>
                <w:b/>
                <w:bCs/>
                <w:color w:val="000000"/>
                <w:szCs w:val="20"/>
              </w:rPr>
            </w:pPr>
          </w:p>
        </w:tc>
        <w:tc>
          <w:tcPr>
            <w:tcW w:w="881" w:type="pct"/>
            <w:tcBorders>
              <w:top w:val="nil"/>
              <w:left w:val="nil"/>
              <w:bottom w:val="nil"/>
              <w:right w:val="nil"/>
            </w:tcBorders>
            <w:vAlign w:val="center"/>
            <w:hideMark/>
          </w:tcPr>
          <w:p w14:paraId="4B3B2C13" w14:textId="77777777" w:rsidR="00204442" w:rsidRPr="00471CBA" w:rsidRDefault="00204442" w:rsidP="003B2BBE">
            <w:pPr>
              <w:jc w:val="right"/>
              <w:rPr>
                <w:szCs w:val="20"/>
              </w:rPr>
            </w:pPr>
          </w:p>
        </w:tc>
        <w:tc>
          <w:tcPr>
            <w:tcW w:w="979" w:type="pct"/>
            <w:tcBorders>
              <w:top w:val="nil"/>
              <w:left w:val="nil"/>
              <w:bottom w:val="nil"/>
              <w:right w:val="nil"/>
            </w:tcBorders>
            <w:hideMark/>
          </w:tcPr>
          <w:p w14:paraId="3816A6F3" w14:textId="77777777" w:rsidR="00204442" w:rsidRPr="00471CBA" w:rsidRDefault="00204442" w:rsidP="003B2BBE">
            <w:pPr>
              <w:jc w:val="right"/>
              <w:rPr>
                <w:szCs w:val="20"/>
              </w:rPr>
            </w:pPr>
          </w:p>
        </w:tc>
      </w:tr>
      <w:tr w:rsidR="00204442" w:rsidRPr="00471CBA" w14:paraId="425AE4FD" w14:textId="77777777" w:rsidTr="00612802">
        <w:trPr>
          <w:trHeight w:val="170"/>
        </w:trPr>
        <w:tc>
          <w:tcPr>
            <w:tcW w:w="3140" w:type="pct"/>
            <w:tcBorders>
              <w:top w:val="nil"/>
              <w:left w:val="nil"/>
              <w:bottom w:val="nil"/>
              <w:right w:val="nil"/>
            </w:tcBorders>
            <w:vAlign w:val="center"/>
            <w:hideMark/>
          </w:tcPr>
          <w:p w14:paraId="67CD016C" w14:textId="77777777" w:rsidR="00204442" w:rsidRPr="00471CBA" w:rsidRDefault="00204442" w:rsidP="003B2BBE">
            <w:pPr>
              <w:jc w:val="both"/>
              <w:rPr>
                <w:color w:val="000000"/>
                <w:szCs w:val="20"/>
              </w:rPr>
            </w:pPr>
            <w:r w:rsidRPr="00471CBA">
              <w:rPr>
                <w:color w:val="000000"/>
                <w:szCs w:val="20"/>
              </w:rPr>
              <w:t>Vadeli İşlemler</w:t>
            </w:r>
          </w:p>
        </w:tc>
        <w:tc>
          <w:tcPr>
            <w:tcW w:w="881" w:type="pct"/>
            <w:tcBorders>
              <w:top w:val="nil"/>
              <w:left w:val="nil"/>
              <w:bottom w:val="nil"/>
              <w:right w:val="nil"/>
            </w:tcBorders>
            <w:vAlign w:val="center"/>
            <w:hideMark/>
          </w:tcPr>
          <w:p w14:paraId="0C4814A3" w14:textId="77777777" w:rsidR="00204442" w:rsidRPr="00471CBA" w:rsidRDefault="00204442" w:rsidP="003B2BBE">
            <w:pPr>
              <w:jc w:val="right"/>
              <w:rPr>
                <w:color w:val="000000"/>
                <w:szCs w:val="20"/>
              </w:rPr>
            </w:pPr>
            <w:r w:rsidRPr="00471CBA">
              <w:rPr>
                <w:color w:val="000000"/>
                <w:szCs w:val="20"/>
              </w:rPr>
              <w:t>1.463</w:t>
            </w:r>
          </w:p>
        </w:tc>
        <w:tc>
          <w:tcPr>
            <w:tcW w:w="979" w:type="pct"/>
            <w:tcBorders>
              <w:top w:val="nil"/>
              <w:left w:val="nil"/>
              <w:bottom w:val="nil"/>
              <w:right w:val="nil"/>
            </w:tcBorders>
            <w:vAlign w:val="center"/>
            <w:hideMark/>
          </w:tcPr>
          <w:p w14:paraId="444C68BD" w14:textId="77777777" w:rsidR="00204442" w:rsidRPr="00471CBA" w:rsidRDefault="00204442" w:rsidP="003B2BBE">
            <w:pPr>
              <w:jc w:val="right"/>
              <w:rPr>
                <w:color w:val="000000"/>
                <w:szCs w:val="20"/>
              </w:rPr>
            </w:pPr>
            <w:r w:rsidRPr="00471CBA">
              <w:rPr>
                <w:color w:val="000000"/>
                <w:szCs w:val="20"/>
              </w:rPr>
              <w:t>13.824</w:t>
            </w:r>
          </w:p>
        </w:tc>
      </w:tr>
      <w:tr w:rsidR="00204442" w:rsidRPr="00471CBA" w14:paraId="0E1588C7" w14:textId="77777777" w:rsidTr="00612802">
        <w:trPr>
          <w:trHeight w:val="170"/>
        </w:trPr>
        <w:tc>
          <w:tcPr>
            <w:tcW w:w="3140" w:type="pct"/>
            <w:tcBorders>
              <w:top w:val="nil"/>
              <w:left w:val="nil"/>
              <w:bottom w:val="nil"/>
              <w:right w:val="nil"/>
            </w:tcBorders>
            <w:vAlign w:val="center"/>
            <w:hideMark/>
          </w:tcPr>
          <w:p w14:paraId="340F9EF1" w14:textId="77777777" w:rsidR="00204442" w:rsidRPr="00471CBA" w:rsidRDefault="00204442" w:rsidP="003B2BBE">
            <w:pPr>
              <w:jc w:val="both"/>
              <w:rPr>
                <w:color w:val="000000"/>
                <w:szCs w:val="20"/>
              </w:rPr>
            </w:pPr>
            <w:r w:rsidRPr="00471CBA">
              <w:rPr>
                <w:color w:val="000000"/>
                <w:szCs w:val="20"/>
              </w:rPr>
              <w:t>Swap İşlemleri</w:t>
            </w:r>
          </w:p>
        </w:tc>
        <w:tc>
          <w:tcPr>
            <w:tcW w:w="881" w:type="pct"/>
            <w:tcBorders>
              <w:top w:val="nil"/>
              <w:left w:val="nil"/>
              <w:bottom w:val="nil"/>
              <w:right w:val="nil"/>
            </w:tcBorders>
            <w:vAlign w:val="center"/>
            <w:hideMark/>
          </w:tcPr>
          <w:p w14:paraId="58E745D1" w14:textId="77777777" w:rsidR="00204442" w:rsidRPr="00471CBA" w:rsidRDefault="00204442" w:rsidP="003B2BBE">
            <w:pPr>
              <w:jc w:val="right"/>
              <w:rPr>
                <w:color w:val="000000"/>
                <w:szCs w:val="20"/>
              </w:rPr>
            </w:pPr>
            <w:r w:rsidRPr="00471CBA">
              <w:rPr>
                <w:color w:val="000000"/>
                <w:szCs w:val="20"/>
              </w:rPr>
              <w:t>4.276</w:t>
            </w:r>
          </w:p>
        </w:tc>
        <w:tc>
          <w:tcPr>
            <w:tcW w:w="979" w:type="pct"/>
            <w:tcBorders>
              <w:top w:val="nil"/>
              <w:left w:val="nil"/>
              <w:bottom w:val="nil"/>
              <w:right w:val="nil"/>
            </w:tcBorders>
            <w:vAlign w:val="center"/>
            <w:hideMark/>
          </w:tcPr>
          <w:p w14:paraId="3B6E35DF" w14:textId="77777777" w:rsidR="00204442" w:rsidRPr="00471CBA" w:rsidRDefault="00204442" w:rsidP="003B2BBE">
            <w:pPr>
              <w:jc w:val="right"/>
              <w:rPr>
                <w:color w:val="000000"/>
                <w:szCs w:val="20"/>
              </w:rPr>
            </w:pPr>
            <w:r w:rsidRPr="00471CBA">
              <w:rPr>
                <w:color w:val="000000"/>
                <w:szCs w:val="20"/>
              </w:rPr>
              <w:t>2.711</w:t>
            </w:r>
          </w:p>
        </w:tc>
      </w:tr>
      <w:tr w:rsidR="00204442" w:rsidRPr="00471CBA" w14:paraId="0B1F404E" w14:textId="77777777" w:rsidTr="00612802">
        <w:trPr>
          <w:trHeight w:val="170"/>
        </w:trPr>
        <w:tc>
          <w:tcPr>
            <w:tcW w:w="3140" w:type="pct"/>
            <w:tcBorders>
              <w:top w:val="nil"/>
              <w:left w:val="nil"/>
              <w:bottom w:val="nil"/>
              <w:right w:val="nil"/>
            </w:tcBorders>
            <w:vAlign w:val="center"/>
            <w:hideMark/>
          </w:tcPr>
          <w:p w14:paraId="6B2CE8D2" w14:textId="77777777" w:rsidR="00204442" w:rsidRPr="00471CBA" w:rsidRDefault="00204442" w:rsidP="003B2BBE">
            <w:pPr>
              <w:jc w:val="both"/>
              <w:rPr>
                <w:color w:val="000000"/>
                <w:szCs w:val="20"/>
              </w:rPr>
            </w:pPr>
            <w:r w:rsidRPr="00471CBA">
              <w:rPr>
                <w:color w:val="000000"/>
                <w:szCs w:val="20"/>
              </w:rPr>
              <w:t>Futures İşlemleri</w:t>
            </w:r>
          </w:p>
        </w:tc>
        <w:tc>
          <w:tcPr>
            <w:tcW w:w="881" w:type="pct"/>
            <w:tcBorders>
              <w:top w:val="nil"/>
              <w:left w:val="nil"/>
              <w:bottom w:val="nil"/>
              <w:right w:val="nil"/>
            </w:tcBorders>
            <w:vAlign w:val="center"/>
            <w:hideMark/>
          </w:tcPr>
          <w:p w14:paraId="63821B10" w14:textId="77777777" w:rsidR="00204442" w:rsidRPr="00471CBA" w:rsidRDefault="00204442" w:rsidP="003B2BBE">
            <w:pPr>
              <w:jc w:val="right"/>
              <w:rPr>
                <w:color w:val="000000"/>
                <w:szCs w:val="20"/>
              </w:rPr>
            </w:pPr>
            <w:r w:rsidRPr="00471CBA">
              <w:rPr>
                <w:color w:val="000000"/>
                <w:szCs w:val="20"/>
              </w:rPr>
              <w:t>-</w:t>
            </w:r>
          </w:p>
        </w:tc>
        <w:tc>
          <w:tcPr>
            <w:tcW w:w="979" w:type="pct"/>
            <w:tcBorders>
              <w:top w:val="nil"/>
              <w:left w:val="nil"/>
              <w:bottom w:val="nil"/>
              <w:right w:val="nil"/>
            </w:tcBorders>
            <w:vAlign w:val="center"/>
            <w:hideMark/>
          </w:tcPr>
          <w:p w14:paraId="11552954" w14:textId="77777777" w:rsidR="00204442" w:rsidRPr="00471CBA" w:rsidRDefault="00204442" w:rsidP="003B2BBE">
            <w:pPr>
              <w:jc w:val="right"/>
              <w:rPr>
                <w:color w:val="000000"/>
                <w:szCs w:val="20"/>
              </w:rPr>
            </w:pPr>
            <w:r w:rsidRPr="00471CBA">
              <w:rPr>
                <w:color w:val="000000"/>
                <w:szCs w:val="20"/>
              </w:rPr>
              <w:t>-</w:t>
            </w:r>
          </w:p>
        </w:tc>
      </w:tr>
      <w:tr w:rsidR="00204442" w:rsidRPr="00471CBA" w14:paraId="79BC62BA" w14:textId="77777777" w:rsidTr="00612802">
        <w:trPr>
          <w:trHeight w:val="170"/>
        </w:trPr>
        <w:tc>
          <w:tcPr>
            <w:tcW w:w="3140" w:type="pct"/>
            <w:tcBorders>
              <w:top w:val="nil"/>
              <w:left w:val="nil"/>
              <w:bottom w:val="nil"/>
              <w:right w:val="nil"/>
            </w:tcBorders>
            <w:vAlign w:val="center"/>
            <w:hideMark/>
          </w:tcPr>
          <w:p w14:paraId="48F29A12" w14:textId="77777777" w:rsidR="00204442" w:rsidRPr="00471CBA" w:rsidRDefault="00204442" w:rsidP="003B2BBE">
            <w:pPr>
              <w:jc w:val="both"/>
              <w:rPr>
                <w:color w:val="000000"/>
                <w:szCs w:val="20"/>
              </w:rPr>
            </w:pPr>
            <w:r w:rsidRPr="00471CBA">
              <w:rPr>
                <w:color w:val="000000"/>
                <w:szCs w:val="20"/>
              </w:rPr>
              <w:t xml:space="preserve">Opsiyonlar </w:t>
            </w:r>
          </w:p>
        </w:tc>
        <w:tc>
          <w:tcPr>
            <w:tcW w:w="881" w:type="pct"/>
            <w:tcBorders>
              <w:top w:val="nil"/>
              <w:left w:val="nil"/>
              <w:bottom w:val="nil"/>
              <w:right w:val="nil"/>
            </w:tcBorders>
            <w:vAlign w:val="center"/>
            <w:hideMark/>
          </w:tcPr>
          <w:p w14:paraId="6A94344D" w14:textId="77777777" w:rsidR="00204442" w:rsidRPr="00471CBA" w:rsidRDefault="00204442" w:rsidP="003B2BBE">
            <w:pPr>
              <w:jc w:val="right"/>
              <w:rPr>
                <w:color w:val="000000"/>
                <w:szCs w:val="20"/>
              </w:rPr>
            </w:pPr>
            <w:r w:rsidRPr="00471CBA">
              <w:rPr>
                <w:color w:val="000000"/>
                <w:szCs w:val="20"/>
              </w:rPr>
              <w:t>-</w:t>
            </w:r>
          </w:p>
        </w:tc>
        <w:tc>
          <w:tcPr>
            <w:tcW w:w="979" w:type="pct"/>
            <w:tcBorders>
              <w:top w:val="nil"/>
              <w:left w:val="nil"/>
              <w:bottom w:val="nil"/>
              <w:right w:val="nil"/>
            </w:tcBorders>
            <w:vAlign w:val="center"/>
            <w:hideMark/>
          </w:tcPr>
          <w:p w14:paraId="52A75D8A" w14:textId="77777777" w:rsidR="00204442" w:rsidRPr="00471CBA" w:rsidRDefault="00204442" w:rsidP="003B2BBE">
            <w:pPr>
              <w:jc w:val="right"/>
              <w:rPr>
                <w:color w:val="000000"/>
                <w:szCs w:val="20"/>
              </w:rPr>
            </w:pPr>
            <w:r w:rsidRPr="00471CBA">
              <w:rPr>
                <w:color w:val="000000"/>
                <w:szCs w:val="20"/>
              </w:rPr>
              <w:t>-</w:t>
            </w:r>
          </w:p>
        </w:tc>
      </w:tr>
      <w:tr w:rsidR="00204442" w:rsidRPr="00471CBA" w14:paraId="0734FC8B" w14:textId="77777777" w:rsidTr="00612802">
        <w:trPr>
          <w:trHeight w:val="170"/>
        </w:trPr>
        <w:tc>
          <w:tcPr>
            <w:tcW w:w="3140" w:type="pct"/>
            <w:tcBorders>
              <w:top w:val="nil"/>
              <w:left w:val="nil"/>
              <w:bottom w:val="single" w:sz="4" w:space="0" w:color="auto"/>
              <w:right w:val="nil"/>
            </w:tcBorders>
            <w:vAlign w:val="center"/>
            <w:hideMark/>
          </w:tcPr>
          <w:p w14:paraId="4B24737A" w14:textId="77777777" w:rsidR="00204442" w:rsidRPr="00471CBA" w:rsidRDefault="00204442" w:rsidP="003B2BBE">
            <w:pPr>
              <w:jc w:val="both"/>
              <w:rPr>
                <w:color w:val="000000"/>
                <w:szCs w:val="20"/>
              </w:rPr>
            </w:pPr>
            <w:r w:rsidRPr="00471CBA">
              <w:rPr>
                <w:color w:val="000000"/>
                <w:szCs w:val="20"/>
              </w:rPr>
              <w:t>Diğer</w:t>
            </w:r>
          </w:p>
        </w:tc>
        <w:tc>
          <w:tcPr>
            <w:tcW w:w="881" w:type="pct"/>
            <w:tcBorders>
              <w:top w:val="nil"/>
              <w:left w:val="nil"/>
              <w:bottom w:val="single" w:sz="4" w:space="0" w:color="auto"/>
              <w:right w:val="nil"/>
            </w:tcBorders>
            <w:vAlign w:val="center"/>
            <w:hideMark/>
          </w:tcPr>
          <w:p w14:paraId="4C746553" w14:textId="77777777" w:rsidR="00204442" w:rsidRPr="00471CBA" w:rsidRDefault="00204442" w:rsidP="003B2BBE">
            <w:pPr>
              <w:jc w:val="right"/>
              <w:rPr>
                <w:color w:val="000000"/>
                <w:szCs w:val="20"/>
              </w:rPr>
            </w:pPr>
            <w:r w:rsidRPr="00471CBA">
              <w:rPr>
                <w:color w:val="000000"/>
                <w:szCs w:val="20"/>
              </w:rPr>
              <w:t>-</w:t>
            </w:r>
          </w:p>
        </w:tc>
        <w:tc>
          <w:tcPr>
            <w:tcW w:w="979" w:type="pct"/>
            <w:tcBorders>
              <w:top w:val="nil"/>
              <w:left w:val="nil"/>
              <w:bottom w:val="single" w:sz="4" w:space="0" w:color="auto"/>
              <w:right w:val="nil"/>
            </w:tcBorders>
            <w:vAlign w:val="center"/>
            <w:hideMark/>
          </w:tcPr>
          <w:p w14:paraId="2860088E" w14:textId="77777777" w:rsidR="00204442" w:rsidRPr="00471CBA" w:rsidRDefault="00204442" w:rsidP="003B2BBE">
            <w:pPr>
              <w:jc w:val="right"/>
              <w:rPr>
                <w:color w:val="000000"/>
                <w:szCs w:val="20"/>
              </w:rPr>
            </w:pPr>
            <w:r w:rsidRPr="00471CBA">
              <w:rPr>
                <w:color w:val="000000"/>
                <w:szCs w:val="20"/>
              </w:rPr>
              <w:t>-</w:t>
            </w:r>
          </w:p>
        </w:tc>
      </w:tr>
      <w:tr w:rsidR="00204442" w:rsidRPr="00471CBA" w14:paraId="07596954" w14:textId="77777777" w:rsidTr="00612802">
        <w:trPr>
          <w:trHeight w:val="170"/>
        </w:trPr>
        <w:tc>
          <w:tcPr>
            <w:tcW w:w="3140" w:type="pct"/>
            <w:tcBorders>
              <w:top w:val="nil"/>
              <w:left w:val="nil"/>
              <w:right w:val="nil"/>
            </w:tcBorders>
            <w:noWrap/>
            <w:vAlign w:val="bottom"/>
            <w:hideMark/>
          </w:tcPr>
          <w:p w14:paraId="16C90284" w14:textId="77777777" w:rsidR="00204442" w:rsidRPr="00471CBA" w:rsidRDefault="00204442" w:rsidP="003B2BBE">
            <w:pPr>
              <w:jc w:val="right"/>
              <w:rPr>
                <w:color w:val="000000"/>
                <w:szCs w:val="20"/>
              </w:rPr>
            </w:pPr>
          </w:p>
        </w:tc>
        <w:tc>
          <w:tcPr>
            <w:tcW w:w="881" w:type="pct"/>
            <w:tcBorders>
              <w:top w:val="nil"/>
              <w:left w:val="nil"/>
              <w:right w:val="nil"/>
            </w:tcBorders>
            <w:noWrap/>
            <w:vAlign w:val="bottom"/>
            <w:hideMark/>
          </w:tcPr>
          <w:p w14:paraId="017B2839" w14:textId="77777777" w:rsidR="00204442" w:rsidRPr="00471CBA" w:rsidRDefault="00204442" w:rsidP="003B2BBE">
            <w:pPr>
              <w:jc w:val="center"/>
              <w:rPr>
                <w:szCs w:val="20"/>
              </w:rPr>
            </w:pPr>
          </w:p>
        </w:tc>
        <w:tc>
          <w:tcPr>
            <w:tcW w:w="979" w:type="pct"/>
            <w:tcBorders>
              <w:top w:val="nil"/>
              <w:left w:val="nil"/>
              <w:right w:val="nil"/>
            </w:tcBorders>
            <w:noWrap/>
            <w:vAlign w:val="bottom"/>
            <w:hideMark/>
          </w:tcPr>
          <w:p w14:paraId="6CC2C701" w14:textId="77777777" w:rsidR="00204442" w:rsidRPr="00471CBA" w:rsidRDefault="00204442" w:rsidP="003B2BBE">
            <w:pPr>
              <w:jc w:val="center"/>
              <w:rPr>
                <w:szCs w:val="20"/>
              </w:rPr>
            </w:pPr>
          </w:p>
        </w:tc>
      </w:tr>
      <w:tr w:rsidR="00204442" w:rsidRPr="00471CBA" w14:paraId="0F29E0EB" w14:textId="77777777" w:rsidTr="00612802">
        <w:trPr>
          <w:trHeight w:val="170"/>
        </w:trPr>
        <w:tc>
          <w:tcPr>
            <w:tcW w:w="3140" w:type="pct"/>
            <w:tcBorders>
              <w:top w:val="nil"/>
              <w:left w:val="nil"/>
              <w:bottom w:val="single" w:sz="12" w:space="0" w:color="auto"/>
              <w:right w:val="nil"/>
            </w:tcBorders>
            <w:vAlign w:val="center"/>
            <w:hideMark/>
          </w:tcPr>
          <w:p w14:paraId="0C2A7331" w14:textId="77777777" w:rsidR="00204442" w:rsidRPr="00471CBA" w:rsidRDefault="00204442" w:rsidP="003B2BBE">
            <w:pPr>
              <w:jc w:val="both"/>
              <w:rPr>
                <w:b/>
                <w:bCs/>
                <w:color w:val="000000"/>
                <w:szCs w:val="20"/>
              </w:rPr>
            </w:pPr>
            <w:r w:rsidRPr="00471CBA">
              <w:rPr>
                <w:b/>
                <w:bCs/>
                <w:color w:val="000000"/>
                <w:szCs w:val="20"/>
              </w:rPr>
              <w:t>Toplam</w:t>
            </w:r>
          </w:p>
        </w:tc>
        <w:tc>
          <w:tcPr>
            <w:tcW w:w="881" w:type="pct"/>
            <w:tcBorders>
              <w:top w:val="nil"/>
              <w:left w:val="nil"/>
              <w:bottom w:val="single" w:sz="12" w:space="0" w:color="auto"/>
              <w:right w:val="nil"/>
            </w:tcBorders>
            <w:vAlign w:val="center"/>
            <w:hideMark/>
          </w:tcPr>
          <w:p w14:paraId="55C361EA" w14:textId="77777777" w:rsidR="00204442" w:rsidRPr="00471CBA" w:rsidRDefault="00204442" w:rsidP="003B2BBE">
            <w:pPr>
              <w:jc w:val="right"/>
              <w:rPr>
                <w:b/>
                <w:bCs/>
                <w:color w:val="000000"/>
                <w:szCs w:val="20"/>
              </w:rPr>
            </w:pPr>
            <w:r w:rsidRPr="00471CBA">
              <w:rPr>
                <w:b/>
                <w:bCs/>
                <w:color w:val="000000"/>
                <w:szCs w:val="20"/>
              </w:rPr>
              <w:t>5.739</w:t>
            </w:r>
          </w:p>
        </w:tc>
        <w:tc>
          <w:tcPr>
            <w:tcW w:w="979" w:type="pct"/>
            <w:tcBorders>
              <w:top w:val="nil"/>
              <w:left w:val="nil"/>
              <w:bottom w:val="single" w:sz="12" w:space="0" w:color="auto"/>
              <w:right w:val="nil"/>
            </w:tcBorders>
            <w:vAlign w:val="center"/>
            <w:hideMark/>
          </w:tcPr>
          <w:p w14:paraId="43903ABB" w14:textId="77777777" w:rsidR="00204442" w:rsidRPr="00471CBA" w:rsidRDefault="00204442" w:rsidP="003B2BBE">
            <w:pPr>
              <w:jc w:val="right"/>
              <w:rPr>
                <w:b/>
                <w:bCs/>
                <w:color w:val="000000"/>
                <w:szCs w:val="20"/>
              </w:rPr>
            </w:pPr>
            <w:r w:rsidRPr="00471CBA">
              <w:rPr>
                <w:b/>
                <w:bCs/>
                <w:color w:val="000000"/>
                <w:szCs w:val="20"/>
              </w:rPr>
              <w:t>16.535</w:t>
            </w:r>
          </w:p>
        </w:tc>
      </w:tr>
    </w:tbl>
    <w:p w14:paraId="0337643D" w14:textId="350A86AF" w:rsidR="00A03014" w:rsidRPr="00471CBA" w:rsidRDefault="00A03014" w:rsidP="000A45F8"/>
    <w:p w14:paraId="263DCB50" w14:textId="4D1FD9C7" w:rsidR="00BD0305" w:rsidRPr="00471CBA" w:rsidRDefault="00BD0305" w:rsidP="00D07241">
      <w:pPr>
        <w:pStyle w:val="GvdeMetniGirintisi"/>
        <w:widowControl w:val="0"/>
        <w:numPr>
          <w:ilvl w:val="0"/>
          <w:numId w:val="2"/>
        </w:numPr>
        <w:tabs>
          <w:tab w:val="clear" w:pos="720"/>
        </w:tabs>
        <w:ind w:left="567" w:hanging="578"/>
        <w:rPr>
          <w:b/>
          <w:szCs w:val="20"/>
        </w:rPr>
      </w:pPr>
      <w:r w:rsidRPr="00471CBA">
        <w:rPr>
          <w:b/>
          <w:szCs w:val="20"/>
        </w:rPr>
        <w:t>Kredilere ilişkin açıklamalar</w:t>
      </w:r>
    </w:p>
    <w:p w14:paraId="5A34BEE0" w14:textId="77777777" w:rsidR="002D3591" w:rsidRPr="00F36B82" w:rsidRDefault="002D3591" w:rsidP="00D07241">
      <w:pPr>
        <w:pStyle w:val="GvdeMetniGirintisi"/>
        <w:widowControl w:val="0"/>
        <w:ind w:left="567" w:hanging="578"/>
        <w:rPr>
          <w:b/>
          <w:sz w:val="16"/>
          <w:szCs w:val="16"/>
        </w:rPr>
      </w:pPr>
    </w:p>
    <w:p w14:paraId="2BAD742F" w14:textId="59F27465" w:rsidR="00BD0305" w:rsidRPr="00471CBA" w:rsidRDefault="00BD0305" w:rsidP="00D07241">
      <w:pPr>
        <w:pStyle w:val="GvdeMetniGirintisi"/>
        <w:widowControl w:val="0"/>
        <w:numPr>
          <w:ilvl w:val="0"/>
          <w:numId w:val="6"/>
        </w:numPr>
        <w:tabs>
          <w:tab w:val="clear" w:pos="540"/>
        </w:tabs>
        <w:ind w:left="567" w:hanging="578"/>
        <w:rPr>
          <w:b/>
          <w:szCs w:val="20"/>
        </w:rPr>
      </w:pPr>
      <w:r w:rsidRPr="00471CBA">
        <w:rPr>
          <w:b/>
          <w:szCs w:val="20"/>
        </w:rPr>
        <w:t>Banka’nın ortaklarına ve mensuplarına verilen her çeşit kredi veya avansın bakiyesine ilişkin bilgiler</w:t>
      </w:r>
    </w:p>
    <w:p w14:paraId="70B3BEC6" w14:textId="14B9863F" w:rsidR="00A74C68" w:rsidRPr="00F36B82" w:rsidRDefault="00A74C68" w:rsidP="00220C76">
      <w:pPr>
        <w:pStyle w:val="GvdeMetniGirintisi"/>
        <w:widowControl w:val="0"/>
        <w:ind w:left="840" w:firstLine="0"/>
        <w:rPr>
          <w:sz w:val="16"/>
          <w:szCs w:val="20"/>
        </w:rPr>
      </w:pPr>
    </w:p>
    <w:tbl>
      <w:tblPr>
        <w:tblW w:w="5000" w:type="pct"/>
        <w:tblCellMar>
          <w:left w:w="70" w:type="dxa"/>
          <w:right w:w="70" w:type="dxa"/>
        </w:tblCellMar>
        <w:tblLook w:val="04A0" w:firstRow="1" w:lastRow="0" w:firstColumn="1" w:lastColumn="0" w:noHBand="0" w:noVBand="1"/>
      </w:tblPr>
      <w:tblGrid>
        <w:gridCol w:w="6298"/>
        <w:gridCol w:w="1358"/>
        <w:gridCol w:w="1699"/>
      </w:tblGrid>
      <w:tr w:rsidR="00A74C68" w:rsidRPr="00471CBA" w14:paraId="0A0C1A38" w14:textId="77777777" w:rsidTr="00A74C68">
        <w:trPr>
          <w:divId w:val="1207837582"/>
          <w:trHeight w:val="170"/>
        </w:trPr>
        <w:tc>
          <w:tcPr>
            <w:tcW w:w="2495" w:type="pct"/>
            <w:tcBorders>
              <w:left w:val="nil"/>
              <w:bottom w:val="single" w:sz="4" w:space="0" w:color="auto"/>
              <w:right w:val="nil"/>
            </w:tcBorders>
            <w:noWrap/>
            <w:hideMark/>
          </w:tcPr>
          <w:p w14:paraId="023A5DC8" w14:textId="36BC4BC6" w:rsidR="00A74C68" w:rsidRPr="00471CBA" w:rsidRDefault="00A74C68" w:rsidP="00A74C68">
            <w:pPr>
              <w:rPr>
                <w:b/>
                <w:bCs/>
                <w:color w:val="000000"/>
                <w:sz w:val="18"/>
                <w:szCs w:val="18"/>
                <w:lang w:eastAsia="tr-TR"/>
              </w:rPr>
            </w:pPr>
            <w:r w:rsidRPr="00471CBA">
              <w:rPr>
                <w:b/>
                <w:bCs/>
                <w:color w:val="000000"/>
                <w:sz w:val="18"/>
                <w:szCs w:val="18"/>
                <w:lang w:eastAsia="tr-TR"/>
              </w:rPr>
              <w:t> </w:t>
            </w:r>
          </w:p>
        </w:tc>
        <w:tc>
          <w:tcPr>
            <w:tcW w:w="1211" w:type="pct"/>
            <w:gridSpan w:val="2"/>
            <w:tcBorders>
              <w:left w:val="nil"/>
              <w:bottom w:val="single" w:sz="4" w:space="0" w:color="auto"/>
              <w:right w:val="nil"/>
            </w:tcBorders>
            <w:noWrap/>
            <w:vAlign w:val="center"/>
            <w:hideMark/>
          </w:tcPr>
          <w:p w14:paraId="142C7EE0" w14:textId="77777777" w:rsidR="00A74C68" w:rsidRPr="00471CBA" w:rsidRDefault="00A74C68" w:rsidP="00A74C68">
            <w:pPr>
              <w:jc w:val="center"/>
              <w:rPr>
                <w:b/>
                <w:bCs/>
                <w:color w:val="000000"/>
                <w:sz w:val="18"/>
                <w:szCs w:val="18"/>
                <w:lang w:eastAsia="tr-TR"/>
              </w:rPr>
            </w:pPr>
            <w:r w:rsidRPr="00471CBA">
              <w:rPr>
                <w:b/>
                <w:bCs/>
                <w:color w:val="000000"/>
                <w:sz w:val="18"/>
                <w:szCs w:val="18"/>
                <w:lang w:eastAsia="tr-TR"/>
              </w:rPr>
              <w:t>31 Aralık 2025</w:t>
            </w:r>
          </w:p>
        </w:tc>
      </w:tr>
      <w:tr w:rsidR="00A74C68" w:rsidRPr="00471CBA" w14:paraId="28178592" w14:textId="77777777" w:rsidTr="00A74C68">
        <w:trPr>
          <w:divId w:val="1207837582"/>
          <w:trHeight w:val="170"/>
        </w:trPr>
        <w:tc>
          <w:tcPr>
            <w:tcW w:w="2495" w:type="pct"/>
            <w:tcBorders>
              <w:top w:val="nil"/>
              <w:left w:val="nil"/>
              <w:bottom w:val="single" w:sz="4" w:space="0" w:color="auto"/>
              <w:right w:val="nil"/>
            </w:tcBorders>
            <w:noWrap/>
            <w:hideMark/>
          </w:tcPr>
          <w:p w14:paraId="0D567B5D" w14:textId="77777777" w:rsidR="00A74C68" w:rsidRPr="00471CBA" w:rsidRDefault="00A74C68" w:rsidP="00A74C68">
            <w:pPr>
              <w:rPr>
                <w:b/>
                <w:bCs/>
                <w:color w:val="000000"/>
                <w:sz w:val="18"/>
                <w:szCs w:val="18"/>
                <w:lang w:eastAsia="tr-TR"/>
              </w:rPr>
            </w:pPr>
            <w:r w:rsidRPr="00471CBA">
              <w:rPr>
                <w:b/>
                <w:bCs/>
                <w:color w:val="000000"/>
                <w:sz w:val="18"/>
                <w:szCs w:val="18"/>
                <w:lang w:eastAsia="tr-TR"/>
              </w:rPr>
              <w:t> </w:t>
            </w:r>
          </w:p>
        </w:tc>
        <w:tc>
          <w:tcPr>
            <w:tcW w:w="538" w:type="pct"/>
            <w:tcBorders>
              <w:top w:val="nil"/>
              <w:left w:val="nil"/>
              <w:bottom w:val="single" w:sz="4" w:space="0" w:color="auto"/>
              <w:right w:val="nil"/>
            </w:tcBorders>
            <w:noWrap/>
            <w:vAlign w:val="center"/>
            <w:hideMark/>
          </w:tcPr>
          <w:p w14:paraId="49C747EC" w14:textId="77777777" w:rsidR="00A74C68" w:rsidRPr="00471CBA" w:rsidRDefault="00A74C68" w:rsidP="00A74C68">
            <w:pPr>
              <w:jc w:val="center"/>
              <w:rPr>
                <w:b/>
                <w:bCs/>
                <w:color w:val="000000"/>
                <w:sz w:val="18"/>
                <w:szCs w:val="18"/>
                <w:lang w:eastAsia="tr-TR"/>
              </w:rPr>
            </w:pPr>
            <w:r w:rsidRPr="00471CBA">
              <w:rPr>
                <w:rFonts w:eastAsia="Arial Unicode MS"/>
                <w:b/>
                <w:bCs/>
                <w:color w:val="000000"/>
                <w:sz w:val="18"/>
                <w:szCs w:val="18"/>
                <w:lang w:eastAsia="tr-TR"/>
              </w:rPr>
              <w:t>Nakdi</w:t>
            </w:r>
          </w:p>
        </w:tc>
        <w:tc>
          <w:tcPr>
            <w:tcW w:w="673" w:type="pct"/>
            <w:tcBorders>
              <w:top w:val="nil"/>
              <w:left w:val="nil"/>
              <w:bottom w:val="single" w:sz="4" w:space="0" w:color="auto"/>
              <w:right w:val="nil"/>
            </w:tcBorders>
            <w:noWrap/>
            <w:vAlign w:val="center"/>
            <w:hideMark/>
          </w:tcPr>
          <w:p w14:paraId="7D1EF7DB" w14:textId="77777777" w:rsidR="00A74C68" w:rsidRPr="00471CBA" w:rsidRDefault="00A74C68" w:rsidP="00A74C68">
            <w:pPr>
              <w:jc w:val="center"/>
              <w:rPr>
                <w:b/>
                <w:bCs/>
                <w:color w:val="000000"/>
                <w:sz w:val="18"/>
                <w:szCs w:val="18"/>
                <w:lang w:eastAsia="tr-TR"/>
              </w:rPr>
            </w:pPr>
            <w:proofErr w:type="spellStart"/>
            <w:r w:rsidRPr="00471CBA">
              <w:rPr>
                <w:rFonts w:eastAsia="Arial Unicode MS"/>
                <w:b/>
                <w:bCs/>
                <w:color w:val="000000"/>
                <w:sz w:val="18"/>
                <w:szCs w:val="18"/>
                <w:lang w:eastAsia="tr-TR"/>
              </w:rPr>
              <w:t>Gayrinakdi</w:t>
            </w:r>
            <w:proofErr w:type="spellEnd"/>
          </w:p>
        </w:tc>
      </w:tr>
      <w:tr w:rsidR="00A74C68" w:rsidRPr="00471CBA" w14:paraId="1E0C3BAE" w14:textId="77777777" w:rsidTr="00A74C68">
        <w:trPr>
          <w:divId w:val="1207837582"/>
          <w:trHeight w:val="170"/>
        </w:trPr>
        <w:tc>
          <w:tcPr>
            <w:tcW w:w="2495" w:type="pct"/>
            <w:tcBorders>
              <w:top w:val="nil"/>
              <w:left w:val="nil"/>
              <w:bottom w:val="nil"/>
              <w:right w:val="nil"/>
            </w:tcBorders>
            <w:vAlign w:val="bottom"/>
            <w:hideMark/>
          </w:tcPr>
          <w:p w14:paraId="296BF301" w14:textId="77777777" w:rsidR="00A74C68" w:rsidRPr="00471CBA" w:rsidRDefault="00A74C68" w:rsidP="00A74C68">
            <w:pPr>
              <w:jc w:val="center"/>
              <w:rPr>
                <w:b/>
                <w:bCs/>
                <w:color w:val="000000"/>
                <w:sz w:val="18"/>
                <w:szCs w:val="18"/>
                <w:lang w:eastAsia="tr-TR"/>
              </w:rPr>
            </w:pPr>
          </w:p>
        </w:tc>
        <w:tc>
          <w:tcPr>
            <w:tcW w:w="538" w:type="pct"/>
            <w:tcBorders>
              <w:top w:val="nil"/>
              <w:left w:val="nil"/>
              <w:bottom w:val="nil"/>
              <w:right w:val="nil"/>
            </w:tcBorders>
            <w:vAlign w:val="bottom"/>
            <w:hideMark/>
          </w:tcPr>
          <w:p w14:paraId="2D563359" w14:textId="77777777" w:rsidR="00A74C68" w:rsidRPr="00471CBA" w:rsidRDefault="00A74C68" w:rsidP="00A74C68">
            <w:pPr>
              <w:rPr>
                <w:sz w:val="18"/>
                <w:szCs w:val="18"/>
                <w:lang w:eastAsia="tr-TR"/>
              </w:rPr>
            </w:pPr>
          </w:p>
        </w:tc>
        <w:tc>
          <w:tcPr>
            <w:tcW w:w="673" w:type="pct"/>
            <w:tcBorders>
              <w:top w:val="nil"/>
              <w:left w:val="nil"/>
              <w:bottom w:val="nil"/>
              <w:right w:val="nil"/>
            </w:tcBorders>
            <w:noWrap/>
            <w:vAlign w:val="bottom"/>
            <w:hideMark/>
          </w:tcPr>
          <w:p w14:paraId="5EFCA9D5" w14:textId="77777777" w:rsidR="00A74C68" w:rsidRPr="00471CBA" w:rsidRDefault="00A74C68" w:rsidP="00A74C68">
            <w:pPr>
              <w:jc w:val="right"/>
              <w:rPr>
                <w:sz w:val="18"/>
                <w:szCs w:val="18"/>
                <w:lang w:eastAsia="tr-TR"/>
              </w:rPr>
            </w:pPr>
          </w:p>
        </w:tc>
      </w:tr>
      <w:tr w:rsidR="00A74C68" w:rsidRPr="00471CBA" w14:paraId="38A35365" w14:textId="77777777" w:rsidTr="00A74C68">
        <w:trPr>
          <w:divId w:val="1207837582"/>
          <w:trHeight w:val="170"/>
        </w:trPr>
        <w:tc>
          <w:tcPr>
            <w:tcW w:w="2495" w:type="pct"/>
            <w:tcBorders>
              <w:top w:val="nil"/>
              <w:left w:val="nil"/>
              <w:bottom w:val="nil"/>
              <w:right w:val="nil"/>
            </w:tcBorders>
            <w:vAlign w:val="center"/>
            <w:hideMark/>
          </w:tcPr>
          <w:p w14:paraId="565A39E2" w14:textId="77777777" w:rsidR="00A74C68" w:rsidRPr="00471CBA" w:rsidRDefault="00A74C68" w:rsidP="00A74C68">
            <w:pPr>
              <w:rPr>
                <w:color w:val="000000"/>
                <w:sz w:val="18"/>
                <w:szCs w:val="18"/>
                <w:lang w:eastAsia="tr-TR"/>
              </w:rPr>
            </w:pPr>
            <w:r w:rsidRPr="00471CBA">
              <w:rPr>
                <w:color w:val="000000"/>
                <w:sz w:val="18"/>
                <w:szCs w:val="18"/>
                <w:lang w:eastAsia="tr-TR"/>
              </w:rPr>
              <w:t>Banka Ortaklarına Verilen Doğrudan Krediler</w:t>
            </w:r>
          </w:p>
        </w:tc>
        <w:tc>
          <w:tcPr>
            <w:tcW w:w="538" w:type="pct"/>
            <w:tcBorders>
              <w:top w:val="nil"/>
              <w:left w:val="nil"/>
              <w:bottom w:val="nil"/>
              <w:right w:val="nil"/>
            </w:tcBorders>
            <w:vAlign w:val="center"/>
            <w:hideMark/>
          </w:tcPr>
          <w:p w14:paraId="5E6B6B5E"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673" w:type="pct"/>
            <w:tcBorders>
              <w:top w:val="nil"/>
              <w:left w:val="nil"/>
              <w:bottom w:val="nil"/>
              <w:right w:val="nil"/>
            </w:tcBorders>
            <w:vAlign w:val="center"/>
            <w:hideMark/>
          </w:tcPr>
          <w:p w14:paraId="5A02CDF0"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r>
      <w:tr w:rsidR="00A74C68" w:rsidRPr="00471CBA" w14:paraId="395B7847" w14:textId="77777777" w:rsidTr="00A74C68">
        <w:trPr>
          <w:divId w:val="1207837582"/>
          <w:trHeight w:val="170"/>
        </w:trPr>
        <w:tc>
          <w:tcPr>
            <w:tcW w:w="2495" w:type="pct"/>
            <w:tcBorders>
              <w:top w:val="nil"/>
              <w:left w:val="nil"/>
              <w:bottom w:val="nil"/>
              <w:right w:val="nil"/>
            </w:tcBorders>
            <w:vAlign w:val="center"/>
            <w:hideMark/>
          </w:tcPr>
          <w:p w14:paraId="6CC3100C" w14:textId="77777777" w:rsidR="00A74C68" w:rsidRPr="00471CBA" w:rsidRDefault="00A74C68" w:rsidP="00A74C68">
            <w:pPr>
              <w:ind w:firstLineChars="200" w:firstLine="360"/>
              <w:rPr>
                <w:color w:val="000000"/>
                <w:sz w:val="18"/>
                <w:szCs w:val="18"/>
                <w:lang w:eastAsia="tr-TR"/>
              </w:rPr>
            </w:pPr>
            <w:r w:rsidRPr="00471CBA">
              <w:rPr>
                <w:color w:val="000000"/>
                <w:sz w:val="18"/>
                <w:szCs w:val="18"/>
                <w:lang w:eastAsia="tr-TR"/>
              </w:rPr>
              <w:t>Tüzel Kişi Ortaklara Verilen Krediler</w:t>
            </w:r>
          </w:p>
        </w:tc>
        <w:tc>
          <w:tcPr>
            <w:tcW w:w="538" w:type="pct"/>
            <w:tcBorders>
              <w:top w:val="nil"/>
              <w:left w:val="nil"/>
              <w:bottom w:val="nil"/>
              <w:right w:val="nil"/>
            </w:tcBorders>
            <w:vAlign w:val="center"/>
            <w:hideMark/>
          </w:tcPr>
          <w:p w14:paraId="124B8BB5"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673" w:type="pct"/>
            <w:tcBorders>
              <w:top w:val="nil"/>
              <w:left w:val="nil"/>
              <w:bottom w:val="nil"/>
              <w:right w:val="nil"/>
            </w:tcBorders>
            <w:vAlign w:val="center"/>
            <w:hideMark/>
          </w:tcPr>
          <w:p w14:paraId="773B4F3B"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r>
      <w:tr w:rsidR="00A74C68" w:rsidRPr="00471CBA" w14:paraId="656295C6" w14:textId="77777777" w:rsidTr="00A74C68">
        <w:trPr>
          <w:divId w:val="1207837582"/>
          <w:trHeight w:val="170"/>
        </w:trPr>
        <w:tc>
          <w:tcPr>
            <w:tcW w:w="2495" w:type="pct"/>
            <w:tcBorders>
              <w:top w:val="nil"/>
              <w:left w:val="nil"/>
              <w:bottom w:val="nil"/>
              <w:right w:val="nil"/>
            </w:tcBorders>
            <w:vAlign w:val="center"/>
            <w:hideMark/>
          </w:tcPr>
          <w:p w14:paraId="052220BA" w14:textId="77777777" w:rsidR="00A74C68" w:rsidRPr="00471CBA" w:rsidRDefault="00A74C68" w:rsidP="00A74C68">
            <w:pPr>
              <w:ind w:firstLineChars="200" w:firstLine="360"/>
              <w:rPr>
                <w:color w:val="000000"/>
                <w:sz w:val="18"/>
                <w:szCs w:val="18"/>
                <w:lang w:eastAsia="tr-TR"/>
              </w:rPr>
            </w:pPr>
            <w:r w:rsidRPr="00471CBA">
              <w:rPr>
                <w:color w:val="000000"/>
                <w:sz w:val="18"/>
                <w:szCs w:val="18"/>
                <w:lang w:eastAsia="tr-TR"/>
              </w:rPr>
              <w:t xml:space="preserve">Gerçek Kişi Ortaklara Verilen Krediler </w:t>
            </w:r>
          </w:p>
        </w:tc>
        <w:tc>
          <w:tcPr>
            <w:tcW w:w="538" w:type="pct"/>
            <w:tcBorders>
              <w:top w:val="nil"/>
              <w:left w:val="nil"/>
              <w:bottom w:val="nil"/>
              <w:right w:val="nil"/>
            </w:tcBorders>
            <w:vAlign w:val="center"/>
            <w:hideMark/>
          </w:tcPr>
          <w:p w14:paraId="094E2663"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673" w:type="pct"/>
            <w:tcBorders>
              <w:top w:val="nil"/>
              <w:left w:val="nil"/>
              <w:bottom w:val="nil"/>
              <w:right w:val="nil"/>
            </w:tcBorders>
            <w:vAlign w:val="center"/>
            <w:hideMark/>
          </w:tcPr>
          <w:p w14:paraId="16235AE4"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r>
      <w:tr w:rsidR="00A74C68" w:rsidRPr="00471CBA" w14:paraId="7278EA50" w14:textId="77777777" w:rsidTr="00A74C68">
        <w:trPr>
          <w:divId w:val="1207837582"/>
          <w:trHeight w:val="170"/>
        </w:trPr>
        <w:tc>
          <w:tcPr>
            <w:tcW w:w="2495" w:type="pct"/>
            <w:tcBorders>
              <w:top w:val="nil"/>
              <w:left w:val="nil"/>
              <w:bottom w:val="nil"/>
              <w:right w:val="nil"/>
            </w:tcBorders>
            <w:vAlign w:val="center"/>
            <w:hideMark/>
          </w:tcPr>
          <w:p w14:paraId="1218A892" w14:textId="77777777" w:rsidR="00A74C68" w:rsidRPr="00471CBA" w:rsidRDefault="00A74C68" w:rsidP="00A74C68">
            <w:pPr>
              <w:rPr>
                <w:color w:val="000000"/>
                <w:sz w:val="18"/>
                <w:szCs w:val="18"/>
                <w:lang w:eastAsia="tr-TR"/>
              </w:rPr>
            </w:pPr>
            <w:r w:rsidRPr="00471CBA">
              <w:rPr>
                <w:color w:val="000000"/>
                <w:sz w:val="18"/>
                <w:szCs w:val="18"/>
                <w:lang w:eastAsia="tr-TR"/>
              </w:rPr>
              <w:t>Banka Ortaklarına Verilen Dolaylı Krediler</w:t>
            </w:r>
          </w:p>
        </w:tc>
        <w:tc>
          <w:tcPr>
            <w:tcW w:w="538" w:type="pct"/>
            <w:tcBorders>
              <w:top w:val="nil"/>
              <w:left w:val="nil"/>
              <w:bottom w:val="nil"/>
              <w:right w:val="nil"/>
            </w:tcBorders>
            <w:vAlign w:val="center"/>
            <w:hideMark/>
          </w:tcPr>
          <w:p w14:paraId="5707A222"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673" w:type="pct"/>
            <w:tcBorders>
              <w:top w:val="nil"/>
              <w:left w:val="nil"/>
              <w:bottom w:val="nil"/>
              <w:right w:val="nil"/>
            </w:tcBorders>
            <w:vAlign w:val="center"/>
            <w:hideMark/>
          </w:tcPr>
          <w:p w14:paraId="5AE3DBED"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r>
      <w:tr w:rsidR="00A74C68" w:rsidRPr="00471CBA" w14:paraId="58AB469C" w14:textId="77777777" w:rsidTr="00A74C68">
        <w:trPr>
          <w:divId w:val="1207837582"/>
          <w:trHeight w:val="170"/>
        </w:trPr>
        <w:tc>
          <w:tcPr>
            <w:tcW w:w="2495" w:type="pct"/>
            <w:tcBorders>
              <w:top w:val="nil"/>
              <w:left w:val="nil"/>
              <w:bottom w:val="single" w:sz="4" w:space="0" w:color="auto"/>
              <w:right w:val="nil"/>
            </w:tcBorders>
            <w:noWrap/>
            <w:vAlign w:val="center"/>
            <w:hideMark/>
          </w:tcPr>
          <w:p w14:paraId="23C1E963" w14:textId="77777777" w:rsidR="00A74C68" w:rsidRPr="00471CBA" w:rsidRDefault="00A74C68" w:rsidP="00A74C68">
            <w:pPr>
              <w:rPr>
                <w:color w:val="000000"/>
                <w:sz w:val="18"/>
                <w:szCs w:val="18"/>
                <w:lang w:eastAsia="tr-TR"/>
              </w:rPr>
            </w:pPr>
            <w:r w:rsidRPr="00471CBA">
              <w:rPr>
                <w:color w:val="000000"/>
                <w:sz w:val="18"/>
                <w:szCs w:val="18"/>
                <w:lang w:eastAsia="tr-TR"/>
              </w:rPr>
              <w:t>Banka Mensuplarına Verilen Krediler</w:t>
            </w:r>
          </w:p>
        </w:tc>
        <w:tc>
          <w:tcPr>
            <w:tcW w:w="538" w:type="pct"/>
            <w:tcBorders>
              <w:top w:val="nil"/>
              <w:left w:val="nil"/>
              <w:bottom w:val="single" w:sz="4" w:space="0" w:color="auto"/>
              <w:right w:val="nil"/>
            </w:tcBorders>
            <w:vAlign w:val="center"/>
            <w:hideMark/>
          </w:tcPr>
          <w:p w14:paraId="61234B36" w14:textId="77777777" w:rsidR="00A74C68" w:rsidRPr="00471CBA" w:rsidRDefault="00A74C68" w:rsidP="00A74C68">
            <w:pPr>
              <w:jc w:val="right"/>
              <w:rPr>
                <w:color w:val="000000"/>
                <w:sz w:val="18"/>
                <w:szCs w:val="18"/>
                <w:lang w:eastAsia="tr-TR"/>
              </w:rPr>
            </w:pPr>
            <w:r w:rsidRPr="00471CBA">
              <w:rPr>
                <w:color w:val="000000"/>
                <w:sz w:val="18"/>
                <w:szCs w:val="18"/>
                <w:lang w:eastAsia="tr-TR"/>
              </w:rPr>
              <w:t>16.405</w:t>
            </w:r>
          </w:p>
        </w:tc>
        <w:tc>
          <w:tcPr>
            <w:tcW w:w="673" w:type="pct"/>
            <w:tcBorders>
              <w:top w:val="nil"/>
              <w:left w:val="nil"/>
              <w:bottom w:val="single" w:sz="4" w:space="0" w:color="auto"/>
              <w:right w:val="nil"/>
            </w:tcBorders>
            <w:vAlign w:val="center"/>
            <w:hideMark/>
          </w:tcPr>
          <w:p w14:paraId="22094510"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r>
      <w:tr w:rsidR="00A74C68" w:rsidRPr="00471CBA" w14:paraId="09D39C99" w14:textId="77777777" w:rsidTr="00A74C68">
        <w:trPr>
          <w:divId w:val="1207837582"/>
          <w:trHeight w:val="170"/>
        </w:trPr>
        <w:tc>
          <w:tcPr>
            <w:tcW w:w="2495" w:type="pct"/>
            <w:tcBorders>
              <w:top w:val="nil"/>
              <w:left w:val="nil"/>
              <w:bottom w:val="nil"/>
              <w:right w:val="nil"/>
            </w:tcBorders>
            <w:noWrap/>
            <w:vAlign w:val="center"/>
            <w:hideMark/>
          </w:tcPr>
          <w:p w14:paraId="3DC0B9AC" w14:textId="77777777" w:rsidR="00A74C68" w:rsidRPr="00471CBA" w:rsidRDefault="00A74C68" w:rsidP="00A74C68">
            <w:pPr>
              <w:jc w:val="right"/>
              <w:rPr>
                <w:color w:val="000000"/>
                <w:sz w:val="18"/>
                <w:szCs w:val="18"/>
                <w:lang w:eastAsia="tr-TR"/>
              </w:rPr>
            </w:pPr>
          </w:p>
        </w:tc>
        <w:tc>
          <w:tcPr>
            <w:tcW w:w="538" w:type="pct"/>
            <w:tcBorders>
              <w:top w:val="nil"/>
              <w:left w:val="nil"/>
              <w:bottom w:val="nil"/>
              <w:right w:val="nil"/>
            </w:tcBorders>
            <w:vAlign w:val="center"/>
            <w:hideMark/>
          </w:tcPr>
          <w:p w14:paraId="259FBDA6" w14:textId="77777777" w:rsidR="00A74C68" w:rsidRPr="00471CBA" w:rsidRDefault="00A74C68" w:rsidP="00A74C68">
            <w:pPr>
              <w:rPr>
                <w:sz w:val="18"/>
                <w:szCs w:val="18"/>
                <w:lang w:eastAsia="tr-TR"/>
              </w:rPr>
            </w:pPr>
          </w:p>
        </w:tc>
        <w:tc>
          <w:tcPr>
            <w:tcW w:w="673" w:type="pct"/>
            <w:tcBorders>
              <w:top w:val="nil"/>
              <w:left w:val="nil"/>
              <w:bottom w:val="nil"/>
              <w:right w:val="nil"/>
            </w:tcBorders>
            <w:vAlign w:val="center"/>
            <w:hideMark/>
          </w:tcPr>
          <w:p w14:paraId="7C3B4BB0" w14:textId="77777777" w:rsidR="00A74C68" w:rsidRPr="00471CBA" w:rsidRDefault="00A74C68" w:rsidP="00A74C68">
            <w:pPr>
              <w:jc w:val="right"/>
              <w:rPr>
                <w:sz w:val="18"/>
                <w:szCs w:val="18"/>
                <w:lang w:eastAsia="tr-TR"/>
              </w:rPr>
            </w:pPr>
          </w:p>
        </w:tc>
      </w:tr>
      <w:tr w:rsidR="00A74C68" w:rsidRPr="00471CBA" w14:paraId="43906CBF" w14:textId="77777777" w:rsidTr="00A74C68">
        <w:trPr>
          <w:divId w:val="1207837582"/>
          <w:trHeight w:val="170"/>
        </w:trPr>
        <w:tc>
          <w:tcPr>
            <w:tcW w:w="2495" w:type="pct"/>
            <w:tcBorders>
              <w:top w:val="nil"/>
              <w:left w:val="nil"/>
              <w:bottom w:val="single" w:sz="8" w:space="0" w:color="auto"/>
              <w:right w:val="nil"/>
            </w:tcBorders>
            <w:noWrap/>
            <w:vAlign w:val="center"/>
            <w:hideMark/>
          </w:tcPr>
          <w:p w14:paraId="162B3E3A" w14:textId="77777777" w:rsidR="00A74C68" w:rsidRPr="00471CBA" w:rsidRDefault="00A74C68" w:rsidP="00A74C68">
            <w:pPr>
              <w:rPr>
                <w:b/>
                <w:bCs/>
                <w:color w:val="000000"/>
                <w:sz w:val="18"/>
                <w:szCs w:val="18"/>
                <w:lang w:eastAsia="tr-TR"/>
              </w:rPr>
            </w:pPr>
            <w:r w:rsidRPr="00471CBA">
              <w:rPr>
                <w:rFonts w:eastAsia="Arial Unicode MS"/>
                <w:b/>
                <w:bCs/>
                <w:color w:val="000000"/>
                <w:sz w:val="18"/>
                <w:szCs w:val="18"/>
                <w:lang w:eastAsia="tr-TR"/>
              </w:rPr>
              <w:t>Toplam</w:t>
            </w:r>
          </w:p>
        </w:tc>
        <w:tc>
          <w:tcPr>
            <w:tcW w:w="538" w:type="pct"/>
            <w:tcBorders>
              <w:top w:val="nil"/>
              <w:left w:val="nil"/>
              <w:bottom w:val="single" w:sz="8" w:space="0" w:color="auto"/>
              <w:right w:val="nil"/>
            </w:tcBorders>
            <w:vAlign w:val="center"/>
            <w:hideMark/>
          </w:tcPr>
          <w:p w14:paraId="13FEE3BB" w14:textId="77777777" w:rsidR="00A74C68" w:rsidRPr="00471CBA" w:rsidRDefault="00A74C68" w:rsidP="00A74C68">
            <w:pPr>
              <w:jc w:val="right"/>
              <w:rPr>
                <w:b/>
                <w:bCs/>
                <w:color w:val="000000"/>
                <w:sz w:val="18"/>
                <w:szCs w:val="18"/>
                <w:lang w:eastAsia="tr-TR"/>
              </w:rPr>
            </w:pPr>
            <w:r w:rsidRPr="00471CBA">
              <w:rPr>
                <w:b/>
                <w:bCs/>
                <w:color w:val="000000"/>
                <w:sz w:val="18"/>
                <w:szCs w:val="18"/>
                <w:lang w:eastAsia="tr-TR"/>
              </w:rPr>
              <w:t>16.405</w:t>
            </w:r>
          </w:p>
        </w:tc>
        <w:tc>
          <w:tcPr>
            <w:tcW w:w="673" w:type="pct"/>
            <w:tcBorders>
              <w:top w:val="nil"/>
              <w:left w:val="nil"/>
              <w:bottom w:val="single" w:sz="8" w:space="0" w:color="auto"/>
              <w:right w:val="nil"/>
            </w:tcBorders>
            <w:vAlign w:val="center"/>
            <w:hideMark/>
          </w:tcPr>
          <w:p w14:paraId="34733A4D" w14:textId="77777777" w:rsidR="00A74C68" w:rsidRPr="00471CBA" w:rsidRDefault="00A74C68" w:rsidP="00A74C68">
            <w:pPr>
              <w:jc w:val="right"/>
              <w:rPr>
                <w:b/>
                <w:bCs/>
                <w:color w:val="000000"/>
                <w:sz w:val="18"/>
                <w:szCs w:val="18"/>
                <w:lang w:eastAsia="tr-TR"/>
              </w:rPr>
            </w:pPr>
            <w:r w:rsidRPr="00471CBA">
              <w:rPr>
                <w:b/>
                <w:bCs/>
                <w:color w:val="000000"/>
                <w:sz w:val="18"/>
                <w:szCs w:val="18"/>
                <w:lang w:eastAsia="tr-TR"/>
              </w:rPr>
              <w:t>-</w:t>
            </w:r>
          </w:p>
        </w:tc>
      </w:tr>
    </w:tbl>
    <w:p w14:paraId="6DBF1B5E" w14:textId="31DD6006" w:rsidR="008E6384" w:rsidRPr="00F36B82" w:rsidRDefault="008E6384" w:rsidP="00220C76">
      <w:pPr>
        <w:pStyle w:val="GvdeMetniGirintisi"/>
        <w:widowControl w:val="0"/>
        <w:ind w:left="840" w:firstLine="0"/>
        <w:rPr>
          <w:bCs/>
          <w:sz w:val="16"/>
          <w:szCs w:val="16"/>
        </w:rPr>
      </w:pPr>
    </w:p>
    <w:tbl>
      <w:tblPr>
        <w:tblW w:w="5000" w:type="pct"/>
        <w:tblCellMar>
          <w:left w:w="70" w:type="dxa"/>
          <w:right w:w="70" w:type="dxa"/>
        </w:tblCellMar>
        <w:tblLook w:val="04A0" w:firstRow="1" w:lastRow="0" w:firstColumn="1" w:lastColumn="0" w:noHBand="0" w:noVBand="1"/>
      </w:tblPr>
      <w:tblGrid>
        <w:gridCol w:w="6159"/>
        <w:gridCol w:w="1248"/>
        <w:gridCol w:w="1948"/>
      </w:tblGrid>
      <w:tr w:rsidR="00204442" w:rsidRPr="00471CBA" w14:paraId="0EEEF093" w14:textId="77777777" w:rsidTr="00FF2C6B">
        <w:trPr>
          <w:trHeight w:val="170"/>
        </w:trPr>
        <w:tc>
          <w:tcPr>
            <w:tcW w:w="3292" w:type="pct"/>
            <w:tcBorders>
              <w:left w:val="nil"/>
              <w:bottom w:val="single" w:sz="4" w:space="0" w:color="auto"/>
              <w:right w:val="nil"/>
            </w:tcBorders>
            <w:noWrap/>
            <w:hideMark/>
          </w:tcPr>
          <w:p w14:paraId="46E86B39" w14:textId="77777777" w:rsidR="00204442" w:rsidRPr="00471CBA" w:rsidRDefault="00204442" w:rsidP="003B2BBE">
            <w:pPr>
              <w:rPr>
                <w:b/>
                <w:bCs/>
                <w:color w:val="000000"/>
                <w:sz w:val="18"/>
                <w:szCs w:val="18"/>
                <w:lang w:eastAsia="tr-TR"/>
              </w:rPr>
            </w:pPr>
            <w:r w:rsidRPr="00471CBA">
              <w:rPr>
                <w:b/>
                <w:bCs/>
                <w:color w:val="000000"/>
                <w:sz w:val="18"/>
                <w:szCs w:val="18"/>
                <w:lang w:eastAsia="tr-TR"/>
              </w:rPr>
              <w:t> </w:t>
            </w:r>
          </w:p>
        </w:tc>
        <w:tc>
          <w:tcPr>
            <w:tcW w:w="1708" w:type="pct"/>
            <w:gridSpan w:val="2"/>
            <w:tcBorders>
              <w:left w:val="nil"/>
              <w:bottom w:val="single" w:sz="4" w:space="0" w:color="auto"/>
              <w:right w:val="nil"/>
            </w:tcBorders>
            <w:noWrap/>
            <w:vAlign w:val="center"/>
            <w:hideMark/>
          </w:tcPr>
          <w:p w14:paraId="3A05E354" w14:textId="77777777" w:rsidR="00204442" w:rsidRPr="00471CBA" w:rsidRDefault="00204442" w:rsidP="003B2BBE">
            <w:pPr>
              <w:jc w:val="center"/>
              <w:rPr>
                <w:b/>
                <w:bCs/>
                <w:color w:val="000000"/>
                <w:sz w:val="18"/>
                <w:szCs w:val="18"/>
                <w:lang w:eastAsia="tr-TR"/>
              </w:rPr>
            </w:pPr>
            <w:r w:rsidRPr="00471CBA">
              <w:rPr>
                <w:b/>
                <w:bCs/>
                <w:color w:val="000000"/>
                <w:sz w:val="18"/>
                <w:szCs w:val="18"/>
                <w:lang w:eastAsia="tr-TR"/>
              </w:rPr>
              <w:t>31 Aralık 2024</w:t>
            </w:r>
          </w:p>
        </w:tc>
      </w:tr>
      <w:tr w:rsidR="00204442" w:rsidRPr="00471CBA" w14:paraId="1660E322" w14:textId="77777777" w:rsidTr="00FF2C6B">
        <w:trPr>
          <w:trHeight w:val="170"/>
        </w:trPr>
        <w:tc>
          <w:tcPr>
            <w:tcW w:w="3292" w:type="pct"/>
            <w:tcBorders>
              <w:top w:val="nil"/>
              <w:left w:val="nil"/>
              <w:bottom w:val="single" w:sz="4" w:space="0" w:color="auto"/>
              <w:right w:val="nil"/>
            </w:tcBorders>
            <w:noWrap/>
            <w:hideMark/>
          </w:tcPr>
          <w:p w14:paraId="7F8FEFD2" w14:textId="77777777" w:rsidR="00204442" w:rsidRPr="00471CBA" w:rsidRDefault="00204442" w:rsidP="003B2BBE">
            <w:pPr>
              <w:rPr>
                <w:b/>
                <w:bCs/>
                <w:color w:val="000000"/>
                <w:sz w:val="18"/>
                <w:szCs w:val="18"/>
                <w:lang w:eastAsia="tr-TR"/>
              </w:rPr>
            </w:pPr>
            <w:r w:rsidRPr="00471CBA">
              <w:rPr>
                <w:b/>
                <w:bCs/>
                <w:color w:val="000000"/>
                <w:sz w:val="18"/>
                <w:szCs w:val="18"/>
                <w:lang w:eastAsia="tr-TR"/>
              </w:rPr>
              <w:t> </w:t>
            </w:r>
          </w:p>
        </w:tc>
        <w:tc>
          <w:tcPr>
            <w:tcW w:w="667" w:type="pct"/>
            <w:tcBorders>
              <w:top w:val="nil"/>
              <w:left w:val="nil"/>
              <w:bottom w:val="single" w:sz="4" w:space="0" w:color="auto"/>
              <w:right w:val="nil"/>
            </w:tcBorders>
            <w:vAlign w:val="center"/>
            <w:hideMark/>
          </w:tcPr>
          <w:p w14:paraId="409C4761" w14:textId="77777777" w:rsidR="00204442" w:rsidRPr="00471CBA" w:rsidRDefault="00204442" w:rsidP="003B2BBE">
            <w:pPr>
              <w:jc w:val="center"/>
              <w:rPr>
                <w:b/>
                <w:bCs/>
                <w:color w:val="000000"/>
                <w:sz w:val="18"/>
                <w:szCs w:val="18"/>
                <w:lang w:eastAsia="tr-TR"/>
              </w:rPr>
            </w:pPr>
            <w:r w:rsidRPr="00471CBA">
              <w:rPr>
                <w:rFonts w:eastAsia="Arial Unicode MS"/>
                <w:b/>
                <w:bCs/>
                <w:color w:val="000000"/>
                <w:sz w:val="18"/>
                <w:szCs w:val="18"/>
                <w:lang w:eastAsia="tr-TR"/>
              </w:rPr>
              <w:t>Nakdi</w:t>
            </w:r>
          </w:p>
        </w:tc>
        <w:tc>
          <w:tcPr>
            <w:tcW w:w="1041" w:type="pct"/>
            <w:tcBorders>
              <w:top w:val="nil"/>
              <w:left w:val="nil"/>
              <w:bottom w:val="single" w:sz="4" w:space="0" w:color="auto"/>
              <w:right w:val="nil"/>
            </w:tcBorders>
            <w:vAlign w:val="center"/>
            <w:hideMark/>
          </w:tcPr>
          <w:p w14:paraId="466B1DBE" w14:textId="77777777" w:rsidR="00204442" w:rsidRPr="00471CBA" w:rsidRDefault="00204442" w:rsidP="003B2BBE">
            <w:pPr>
              <w:jc w:val="center"/>
              <w:rPr>
                <w:b/>
                <w:bCs/>
                <w:color w:val="000000"/>
                <w:sz w:val="18"/>
                <w:szCs w:val="18"/>
                <w:lang w:eastAsia="tr-TR"/>
              </w:rPr>
            </w:pPr>
            <w:proofErr w:type="spellStart"/>
            <w:r w:rsidRPr="00471CBA">
              <w:rPr>
                <w:rFonts w:eastAsia="Arial Unicode MS"/>
                <w:b/>
                <w:bCs/>
                <w:color w:val="000000"/>
                <w:sz w:val="18"/>
                <w:szCs w:val="18"/>
                <w:lang w:eastAsia="tr-TR"/>
              </w:rPr>
              <w:t>Gayrinakdi</w:t>
            </w:r>
            <w:proofErr w:type="spellEnd"/>
          </w:p>
        </w:tc>
      </w:tr>
      <w:tr w:rsidR="00204442" w:rsidRPr="00471CBA" w14:paraId="0699DFD1" w14:textId="77777777" w:rsidTr="00FF2C6B">
        <w:trPr>
          <w:trHeight w:val="170"/>
        </w:trPr>
        <w:tc>
          <w:tcPr>
            <w:tcW w:w="3292" w:type="pct"/>
            <w:tcBorders>
              <w:top w:val="nil"/>
              <w:left w:val="nil"/>
              <w:bottom w:val="nil"/>
              <w:right w:val="nil"/>
            </w:tcBorders>
            <w:vAlign w:val="bottom"/>
            <w:hideMark/>
          </w:tcPr>
          <w:p w14:paraId="1DF6526A" w14:textId="77777777" w:rsidR="00204442" w:rsidRPr="00471CBA" w:rsidRDefault="00204442" w:rsidP="003B2BBE">
            <w:pPr>
              <w:jc w:val="center"/>
              <w:rPr>
                <w:b/>
                <w:bCs/>
                <w:color w:val="000000"/>
                <w:sz w:val="18"/>
                <w:szCs w:val="18"/>
                <w:lang w:eastAsia="tr-TR"/>
              </w:rPr>
            </w:pPr>
          </w:p>
        </w:tc>
        <w:tc>
          <w:tcPr>
            <w:tcW w:w="667" w:type="pct"/>
            <w:tcBorders>
              <w:top w:val="nil"/>
              <w:left w:val="nil"/>
              <w:bottom w:val="nil"/>
              <w:right w:val="nil"/>
            </w:tcBorders>
            <w:noWrap/>
            <w:hideMark/>
          </w:tcPr>
          <w:p w14:paraId="02EF53EC" w14:textId="77777777" w:rsidR="00204442" w:rsidRPr="00471CBA" w:rsidRDefault="00204442" w:rsidP="003B2BBE">
            <w:pPr>
              <w:jc w:val="right"/>
              <w:rPr>
                <w:sz w:val="18"/>
                <w:szCs w:val="18"/>
                <w:lang w:eastAsia="tr-TR"/>
              </w:rPr>
            </w:pPr>
          </w:p>
        </w:tc>
        <w:tc>
          <w:tcPr>
            <w:tcW w:w="1041" w:type="pct"/>
            <w:tcBorders>
              <w:top w:val="nil"/>
              <w:left w:val="nil"/>
              <w:bottom w:val="nil"/>
              <w:right w:val="nil"/>
            </w:tcBorders>
            <w:noWrap/>
            <w:hideMark/>
          </w:tcPr>
          <w:p w14:paraId="32732687" w14:textId="77777777" w:rsidR="00204442" w:rsidRPr="00471CBA" w:rsidRDefault="00204442" w:rsidP="003B2BBE">
            <w:pPr>
              <w:jc w:val="right"/>
              <w:rPr>
                <w:sz w:val="18"/>
                <w:szCs w:val="18"/>
                <w:lang w:eastAsia="tr-TR"/>
              </w:rPr>
            </w:pPr>
          </w:p>
        </w:tc>
      </w:tr>
      <w:tr w:rsidR="00204442" w:rsidRPr="00471CBA" w14:paraId="6CEE2621" w14:textId="77777777" w:rsidTr="00FF2C6B">
        <w:trPr>
          <w:trHeight w:val="170"/>
        </w:trPr>
        <w:tc>
          <w:tcPr>
            <w:tcW w:w="3292" w:type="pct"/>
            <w:tcBorders>
              <w:top w:val="nil"/>
              <w:left w:val="nil"/>
              <w:bottom w:val="nil"/>
              <w:right w:val="nil"/>
            </w:tcBorders>
            <w:vAlign w:val="center"/>
            <w:hideMark/>
          </w:tcPr>
          <w:p w14:paraId="582C0614" w14:textId="77777777" w:rsidR="00204442" w:rsidRPr="00471CBA" w:rsidRDefault="00204442" w:rsidP="003B2BBE">
            <w:pPr>
              <w:rPr>
                <w:color w:val="000000"/>
                <w:sz w:val="18"/>
                <w:szCs w:val="18"/>
                <w:lang w:eastAsia="tr-TR"/>
              </w:rPr>
            </w:pPr>
            <w:r w:rsidRPr="00471CBA">
              <w:rPr>
                <w:color w:val="000000"/>
                <w:sz w:val="18"/>
                <w:szCs w:val="18"/>
                <w:lang w:eastAsia="tr-TR"/>
              </w:rPr>
              <w:t>Banka Ortaklarına Verilen Doğrudan Krediler</w:t>
            </w:r>
          </w:p>
        </w:tc>
        <w:tc>
          <w:tcPr>
            <w:tcW w:w="667" w:type="pct"/>
            <w:tcBorders>
              <w:top w:val="nil"/>
              <w:left w:val="nil"/>
              <w:bottom w:val="nil"/>
              <w:right w:val="nil"/>
            </w:tcBorders>
            <w:vAlign w:val="center"/>
            <w:hideMark/>
          </w:tcPr>
          <w:p w14:paraId="50412753" w14:textId="77777777" w:rsidR="00204442" w:rsidRPr="00471CBA" w:rsidRDefault="00204442" w:rsidP="003B2BBE">
            <w:pPr>
              <w:jc w:val="right"/>
              <w:rPr>
                <w:color w:val="000000"/>
                <w:sz w:val="18"/>
                <w:szCs w:val="18"/>
                <w:lang w:eastAsia="tr-TR"/>
              </w:rPr>
            </w:pPr>
            <w:r w:rsidRPr="00471CBA">
              <w:rPr>
                <w:color w:val="000000"/>
                <w:sz w:val="18"/>
                <w:szCs w:val="18"/>
                <w:lang w:eastAsia="tr-TR"/>
              </w:rPr>
              <w:t>-</w:t>
            </w:r>
          </w:p>
        </w:tc>
        <w:tc>
          <w:tcPr>
            <w:tcW w:w="1041" w:type="pct"/>
            <w:tcBorders>
              <w:top w:val="nil"/>
              <w:left w:val="nil"/>
              <w:bottom w:val="nil"/>
              <w:right w:val="nil"/>
            </w:tcBorders>
            <w:vAlign w:val="center"/>
            <w:hideMark/>
          </w:tcPr>
          <w:p w14:paraId="6E8E876C" w14:textId="77777777" w:rsidR="00204442" w:rsidRPr="00471CBA" w:rsidRDefault="00204442" w:rsidP="003B2BBE">
            <w:pPr>
              <w:jc w:val="right"/>
              <w:rPr>
                <w:color w:val="000000"/>
                <w:sz w:val="18"/>
                <w:szCs w:val="18"/>
                <w:lang w:eastAsia="tr-TR"/>
              </w:rPr>
            </w:pPr>
            <w:r w:rsidRPr="00471CBA">
              <w:rPr>
                <w:color w:val="000000"/>
                <w:sz w:val="18"/>
                <w:szCs w:val="18"/>
                <w:lang w:eastAsia="tr-TR"/>
              </w:rPr>
              <w:t>-</w:t>
            </w:r>
          </w:p>
        </w:tc>
      </w:tr>
      <w:tr w:rsidR="00204442" w:rsidRPr="00471CBA" w14:paraId="366B3629" w14:textId="77777777" w:rsidTr="00FF2C6B">
        <w:trPr>
          <w:trHeight w:val="170"/>
        </w:trPr>
        <w:tc>
          <w:tcPr>
            <w:tcW w:w="3292" w:type="pct"/>
            <w:tcBorders>
              <w:top w:val="nil"/>
              <w:left w:val="nil"/>
              <w:bottom w:val="nil"/>
              <w:right w:val="nil"/>
            </w:tcBorders>
            <w:vAlign w:val="center"/>
            <w:hideMark/>
          </w:tcPr>
          <w:p w14:paraId="0739AF69" w14:textId="77777777" w:rsidR="00204442" w:rsidRPr="00471CBA" w:rsidRDefault="00204442" w:rsidP="003B2BBE">
            <w:pPr>
              <w:ind w:firstLineChars="200" w:firstLine="360"/>
              <w:rPr>
                <w:color w:val="000000"/>
                <w:sz w:val="18"/>
                <w:szCs w:val="18"/>
                <w:lang w:eastAsia="tr-TR"/>
              </w:rPr>
            </w:pPr>
            <w:r w:rsidRPr="00471CBA">
              <w:rPr>
                <w:color w:val="000000"/>
                <w:sz w:val="18"/>
                <w:szCs w:val="18"/>
                <w:lang w:eastAsia="tr-TR"/>
              </w:rPr>
              <w:t>Tüzel Kişi Ortaklara Verilen Krediler</w:t>
            </w:r>
          </w:p>
        </w:tc>
        <w:tc>
          <w:tcPr>
            <w:tcW w:w="667" w:type="pct"/>
            <w:tcBorders>
              <w:top w:val="nil"/>
              <w:left w:val="nil"/>
              <w:bottom w:val="nil"/>
              <w:right w:val="nil"/>
            </w:tcBorders>
            <w:vAlign w:val="center"/>
            <w:hideMark/>
          </w:tcPr>
          <w:p w14:paraId="58578107" w14:textId="77777777" w:rsidR="00204442" w:rsidRPr="00471CBA" w:rsidRDefault="00204442" w:rsidP="003B2BBE">
            <w:pPr>
              <w:jc w:val="right"/>
              <w:rPr>
                <w:color w:val="000000"/>
                <w:sz w:val="18"/>
                <w:szCs w:val="18"/>
                <w:lang w:eastAsia="tr-TR"/>
              </w:rPr>
            </w:pPr>
            <w:r w:rsidRPr="00471CBA">
              <w:rPr>
                <w:color w:val="000000"/>
                <w:sz w:val="18"/>
                <w:szCs w:val="18"/>
                <w:lang w:eastAsia="tr-TR"/>
              </w:rPr>
              <w:t>-</w:t>
            </w:r>
          </w:p>
        </w:tc>
        <w:tc>
          <w:tcPr>
            <w:tcW w:w="1041" w:type="pct"/>
            <w:tcBorders>
              <w:top w:val="nil"/>
              <w:left w:val="nil"/>
              <w:bottom w:val="nil"/>
              <w:right w:val="nil"/>
            </w:tcBorders>
            <w:vAlign w:val="center"/>
            <w:hideMark/>
          </w:tcPr>
          <w:p w14:paraId="2FFDCB40" w14:textId="77777777" w:rsidR="00204442" w:rsidRPr="00471CBA" w:rsidRDefault="00204442" w:rsidP="003B2BBE">
            <w:pPr>
              <w:jc w:val="right"/>
              <w:rPr>
                <w:color w:val="000000"/>
                <w:sz w:val="18"/>
                <w:szCs w:val="18"/>
                <w:lang w:eastAsia="tr-TR"/>
              </w:rPr>
            </w:pPr>
            <w:r w:rsidRPr="00471CBA">
              <w:rPr>
                <w:color w:val="000000"/>
                <w:sz w:val="18"/>
                <w:szCs w:val="18"/>
                <w:lang w:eastAsia="tr-TR"/>
              </w:rPr>
              <w:t>-</w:t>
            </w:r>
          </w:p>
        </w:tc>
      </w:tr>
      <w:tr w:rsidR="00204442" w:rsidRPr="00471CBA" w14:paraId="4327A0E5" w14:textId="77777777" w:rsidTr="00FF2C6B">
        <w:trPr>
          <w:trHeight w:val="170"/>
        </w:trPr>
        <w:tc>
          <w:tcPr>
            <w:tcW w:w="3292" w:type="pct"/>
            <w:tcBorders>
              <w:top w:val="nil"/>
              <w:left w:val="nil"/>
              <w:bottom w:val="nil"/>
              <w:right w:val="nil"/>
            </w:tcBorders>
            <w:vAlign w:val="center"/>
            <w:hideMark/>
          </w:tcPr>
          <w:p w14:paraId="4A09898D" w14:textId="77777777" w:rsidR="00204442" w:rsidRPr="00471CBA" w:rsidRDefault="00204442" w:rsidP="003B2BBE">
            <w:pPr>
              <w:ind w:firstLineChars="200" w:firstLine="360"/>
              <w:rPr>
                <w:color w:val="000000"/>
                <w:sz w:val="18"/>
                <w:szCs w:val="18"/>
                <w:lang w:eastAsia="tr-TR"/>
              </w:rPr>
            </w:pPr>
            <w:r w:rsidRPr="00471CBA">
              <w:rPr>
                <w:color w:val="000000"/>
                <w:sz w:val="18"/>
                <w:szCs w:val="18"/>
                <w:lang w:eastAsia="tr-TR"/>
              </w:rPr>
              <w:t xml:space="preserve">Gerçek Kişi Ortaklara Verilen Krediler </w:t>
            </w:r>
          </w:p>
        </w:tc>
        <w:tc>
          <w:tcPr>
            <w:tcW w:w="667" w:type="pct"/>
            <w:tcBorders>
              <w:top w:val="nil"/>
              <w:left w:val="nil"/>
              <w:bottom w:val="nil"/>
              <w:right w:val="nil"/>
            </w:tcBorders>
            <w:vAlign w:val="center"/>
            <w:hideMark/>
          </w:tcPr>
          <w:p w14:paraId="7D73F76F" w14:textId="77777777" w:rsidR="00204442" w:rsidRPr="00471CBA" w:rsidRDefault="00204442" w:rsidP="003B2BBE">
            <w:pPr>
              <w:jc w:val="right"/>
              <w:rPr>
                <w:color w:val="000000"/>
                <w:sz w:val="18"/>
                <w:szCs w:val="18"/>
                <w:lang w:eastAsia="tr-TR"/>
              </w:rPr>
            </w:pPr>
            <w:r w:rsidRPr="00471CBA">
              <w:rPr>
                <w:color w:val="000000"/>
                <w:sz w:val="18"/>
                <w:szCs w:val="18"/>
                <w:lang w:eastAsia="tr-TR"/>
              </w:rPr>
              <w:t>-</w:t>
            </w:r>
          </w:p>
        </w:tc>
        <w:tc>
          <w:tcPr>
            <w:tcW w:w="1041" w:type="pct"/>
            <w:tcBorders>
              <w:top w:val="nil"/>
              <w:left w:val="nil"/>
              <w:bottom w:val="nil"/>
              <w:right w:val="nil"/>
            </w:tcBorders>
            <w:vAlign w:val="center"/>
            <w:hideMark/>
          </w:tcPr>
          <w:p w14:paraId="64E86997" w14:textId="77777777" w:rsidR="00204442" w:rsidRPr="00471CBA" w:rsidRDefault="00204442" w:rsidP="003B2BBE">
            <w:pPr>
              <w:jc w:val="right"/>
              <w:rPr>
                <w:color w:val="000000"/>
                <w:sz w:val="18"/>
                <w:szCs w:val="18"/>
                <w:lang w:eastAsia="tr-TR"/>
              </w:rPr>
            </w:pPr>
            <w:r w:rsidRPr="00471CBA">
              <w:rPr>
                <w:color w:val="000000"/>
                <w:sz w:val="18"/>
                <w:szCs w:val="18"/>
                <w:lang w:eastAsia="tr-TR"/>
              </w:rPr>
              <w:t>-</w:t>
            </w:r>
          </w:p>
        </w:tc>
      </w:tr>
      <w:tr w:rsidR="00204442" w:rsidRPr="00471CBA" w14:paraId="6D384319" w14:textId="77777777" w:rsidTr="00FF2C6B">
        <w:trPr>
          <w:trHeight w:val="170"/>
        </w:trPr>
        <w:tc>
          <w:tcPr>
            <w:tcW w:w="3292" w:type="pct"/>
            <w:tcBorders>
              <w:top w:val="nil"/>
              <w:left w:val="nil"/>
              <w:bottom w:val="nil"/>
              <w:right w:val="nil"/>
            </w:tcBorders>
            <w:vAlign w:val="center"/>
            <w:hideMark/>
          </w:tcPr>
          <w:p w14:paraId="62543F44" w14:textId="77777777" w:rsidR="00204442" w:rsidRPr="00471CBA" w:rsidRDefault="00204442" w:rsidP="003B2BBE">
            <w:pPr>
              <w:rPr>
                <w:color w:val="000000"/>
                <w:sz w:val="18"/>
                <w:szCs w:val="18"/>
                <w:lang w:eastAsia="tr-TR"/>
              </w:rPr>
            </w:pPr>
            <w:r w:rsidRPr="00471CBA">
              <w:rPr>
                <w:color w:val="000000"/>
                <w:sz w:val="18"/>
                <w:szCs w:val="18"/>
                <w:lang w:eastAsia="tr-TR"/>
              </w:rPr>
              <w:t>Banka Ortaklarına Verilen Dolaylı Krediler</w:t>
            </w:r>
          </w:p>
        </w:tc>
        <w:tc>
          <w:tcPr>
            <w:tcW w:w="667" w:type="pct"/>
            <w:tcBorders>
              <w:top w:val="nil"/>
              <w:left w:val="nil"/>
              <w:bottom w:val="nil"/>
              <w:right w:val="nil"/>
            </w:tcBorders>
            <w:vAlign w:val="center"/>
            <w:hideMark/>
          </w:tcPr>
          <w:p w14:paraId="4E3BC2EC" w14:textId="77777777" w:rsidR="00204442" w:rsidRPr="00471CBA" w:rsidRDefault="00204442" w:rsidP="003B2BBE">
            <w:pPr>
              <w:jc w:val="right"/>
              <w:rPr>
                <w:color w:val="000000"/>
                <w:sz w:val="18"/>
                <w:szCs w:val="18"/>
                <w:lang w:eastAsia="tr-TR"/>
              </w:rPr>
            </w:pPr>
            <w:r w:rsidRPr="00471CBA">
              <w:rPr>
                <w:color w:val="000000"/>
                <w:sz w:val="18"/>
                <w:szCs w:val="18"/>
                <w:lang w:eastAsia="tr-TR"/>
              </w:rPr>
              <w:t>-</w:t>
            </w:r>
          </w:p>
        </w:tc>
        <w:tc>
          <w:tcPr>
            <w:tcW w:w="1041" w:type="pct"/>
            <w:tcBorders>
              <w:top w:val="nil"/>
              <w:left w:val="nil"/>
              <w:bottom w:val="nil"/>
              <w:right w:val="nil"/>
            </w:tcBorders>
            <w:vAlign w:val="center"/>
            <w:hideMark/>
          </w:tcPr>
          <w:p w14:paraId="65B1B34B" w14:textId="77777777" w:rsidR="00204442" w:rsidRPr="00471CBA" w:rsidRDefault="00204442" w:rsidP="003B2BBE">
            <w:pPr>
              <w:jc w:val="right"/>
              <w:rPr>
                <w:color w:val="000000"/>
                <w:sz w:val="18"/>
                <w:szCs w:val="18"/>
                <w:lang w:eastAsia="tr-TR"/>
              </w:rPr>
            </w:pPr>
            <w:r w:rsidRPr="00471CBA">
              <w:rPr>
                <w:color w:val="000000"/>
                <w:sz w:val="18"/>
                <w:szCs w:val="18"/>
                <w:lang w:eastAsia="tr-TR"/>
              </w:rPr>
              <w:t>-</w:t>
            </w:r>
          </w:p>
        </w:tc>
      </w:tr>
      <w:tr w:rsidR="00204442" w:rsidRPr="00471CBA" w14:paraId="1A38B033" w14:textId="77777777" w:rsidTr="00FF2C6B">
        <w:trPr>
          <w:trHeight w:val="170"/>
        </w:trPr>
        <w:tc>
          <w:tcPr>
            <w:tcW w:w="3292" w:type="pct"/>
            <w:tcBorders>
              <w:top w:val="nil"/>
              <w:left w:val="nil"/>
              <w:bottom w:val="single" w:sz="4" w:space="0" w:color="auto"/>
              <w:right w:val="nil"/>
            </w:tcBorders>
            <w:noWrap/>
            <w:vAlign w:val="center"/>
            <w:hideMark/>
          </w:tcPr>
          <w:p w14:paraId="227303C7" w14:textId="77777777" w:rsidR="00204442" w:rsidRPr="00471CBA" w:rsidRDefault="00204442" w:rsidP="003B2BBE">
            <w:pPr>
              <w:rPr>
                <w:color w:val="000000"/>
                <w:sz w:val="18"/>
                <w:szCs w:val="18"/>
                <w:lang w:eastAsia="tr-TR"/>
              </w:rPr>
            </w:pPr>
            <w:r w:rsidRPr="00471CBA">
              <w:rPr>
                <w:color w:val="000000"/>
                <w:sz w:val="18"/>
                <w:szCs w:val="18"/>
                <w:lang w:eastAsia="tr-TR"/>
              </w:rPr>
              <w:t>Banka Mensuplarına Verilen Krediler</w:t>
            </w:r>
          </w:p>
        </w:tc>
        <w:tc>
          <w:tcPr>
            <w:tcW w:w="667" w:type="pct"/>
            <w:tcBorders>
              <w:top w:val="nil"/>
              <w:left w:val="nil"/>
              <w:bottom w:val="single" w:sz="4" w:space="0" w:color="auto"/>
              <w:right w:val="nil"/>
            </w:tcBorders>
            <w:vAlign w:val="center"/>
            <w:hideMark/>
          </w:tcPr>
          <w:p w14:paraId="075F50F2" w14:textId="77777777" w:rsidR="00204442" w:rsidRPr="00471CBA" w:rsidRDefault="00204442" w:rsidP="003B2BBE">
            <w:pPr>
              <w:jc w:val="right"/>
              <w:rPr>
                <w:color w:val="000000"/>
                <w:sz w:val="18"/>
                <w:szCs w:val="18"/>
                <w:lang w:eastAsia="tr-TR"/>
              </w:rPr>
            </w:pPr>
            <w:r w:rsidRPr="00471CBA">
              <w:rPr>
                <w:color w:val="000000"/>
                <w:sz w:val="18"/>
                <w:szCs w:val="18"/>
                <w:lang w:eastAsia="tr-TR"/>
              </w:rPr>
              <w:t>-</w:t>
            </w:r>
          </w:p>
        </w:tc>
        <w:tc>
          <w:tcPr>
            <w:tcW w:w="1041" w:type="pct"/>
            <w:tcBorders>
              <w:top w:val="nil"/>
              <w:left w:val="nil"/>
              <w:bottom w:val="single" w:sz="4" w:space="0" w:color="auto"/>
              <w:right w:val="nil"/>
            </w:tcBorders>
            <w:vAlign w:val="center"/>
            <w:hideMark/>
          </w:tcPr>
          <w:p w14:paraId="6EB11327" w14:textId="77777777" w:rsidR="00204442" w:rsidRPr="00471CBA" w:rsidRDefault="00204442" w:rsidP="003B2BBE">
            <w:pPr>
              <w:jc w:val="right"/>
              <w:rPr>
                <w:color w:val="000000"/>
                <w:sz w:val="18"/>
                <w:szCs w:val="18"/>
                <w:lang w:eastAsia="tr-TR"/>
              </w:rPr>
            </w:pPr>
            <w:r w:rsidRPr="00471CBA">
              <w:rPr>
                <w:color w:val="000000"/>
                <w:sz w:val="18"/>
                <w:szCs w:val="18"/>
                <w:lang w:eastAsia="tr-TR"/>
              </w:rPr>
              <w:t>-</w:t>
            </w:r>
          </w:p>
        </w:tc>
      </w:tr>
      <w:tr w:rsidR="00204442" w:rsidRPr="00471CBA" w14:paraId="07E54D9C" w14:textId="77777777" w:rsidTr="00FF2C6B">
        <w:trPr>
          <w:trHeight w:val="170"/>
        </w:trPr>
        <w:tc>
          <w:tcPr>
            <w:tcW w:w="3292" w:type="pct"/>
            <w:tcBorders>
              <w:top w:val="nil"/>
              <w:left w:val="nil"/>
              <w:bottom w:val="nil"/>
              <w:right w:val="nil"/>
            </w:tcBorders>
            <w:noWrap/>
            <w:vAlign w:val="center"/>
            <w:hideMark/>
          </w:tcPr>
          <w:p w14:paraId="0BCC5B7D" w14:textId="77777777" w:rsidR="00204442" w:rsidRPr="00471CBA" w:rsidRDefault="00204442" w:rsidP="003B2BBE">
            <w:pPr>
              <w:jc w:val="right"/>
              <w:rPr>
                <w:color w:val="000000"/>
                <w:sz w:val="18"/>
                <w:szCs w:val="18"/>
                <w:lang w:eastAsia="tr-TR"/>
              </w:rPr>
            </w:pPr>
          </w:p>
        </w:tc>
        <w:tc>
          <w:tcPr>
            <w:tcW w:w="667" w:type="pct"/>
            <w:tcBorders>
              <w:top w:val="nil"/>
              <w:left w:val="nil"/>
              <w:bottom w:val="nil"/>
              <w:right w:val="nil"/>
            </w:tcBorders>
            <w:vAlign w:val="center"/>
            <w:hideMark/>
          </w:tcPr>
          <w:p w14:paraId="67BFE056" w14:textId="77777777" w:rsidR="00204442" w:rsidRPr="00471CBA" w:rsidRDefault="00204442" w:rsidP="003B2BBE">
            <w:pPr>
              <w:jc w:val="right"/>
              <w:rPr>
                <w:sz w:val="18"/>
                <w:szCs w:val="18"/>
                <w:lang w:eastAsia="tr-TR"/>
              </w:rPr>
            </w:pPr>
          </w:p>
        </w:tc>
        <w:tc>
          <w:tcPr>
            <w:tcW w:w="1041" w:type="pct"/>
            <w:tcBorders>
              <w:top w:val="nil"/>
              <w:left w:val="nil"/>
              <w:bottom w:val="nil"/>
              <w:right w:val="nil"/>
            </w:tcBorders>
            <w:vAlign w:val="center"/>
            <w:hideMark/>
          </w:tcPr>
          <w:p w14:paraId="470E3A74" w14:textId="77777777" w:rsidR="00204442" w:rsidRPr="00471CBA" w:rsidRDefault="00204442" w:rsidP="003B2BBE">
            <w:pPr>
              <w:jc w:val="right"/>
              <w:rPr>
                <w:sz w:val="18"/>
                <w:szCs w:val="18"/>
                <w:lang w:eastAsia="tr-TR"/>
              </w:rPr>
            </w:pPr>
          </w:p>
        </w:tc>
      </w:tr>
      <w:tr w:rsidR="00204442" w:rsidRPr="00471CBA" w14:paraId="1F03D16C" w14:textId="77777777" w:rsidTr="00FF2C6B">
        <w:trPr>
          <w:trHeight w:val="170"/>
        </w:trPr>
        <w:tc>
          <w:tcPr>
            <w:tcW w:w="3292" w:type="pct"/>
            <w:tcBorders>
              <w:top w:val="nil"/>
              <w:left w:val="nil"/>
              <w:bottom w:val="single" w:sz="8" w:space="0" w:color="auto"/>
              <w:right w:val="nil"/>
            </w:tcBorders>
            <w:noWrap/>
            <w:vAlign w:val="center"/>
            <w:hideMark/>
          </w:tcPr>
          <w:p w14:paraId="02DF0882" w14:textId="77777777" w:rsidR="00204442" w:rsidRPr="00471CBA" w:rsidRDefault="00204442" w:rsidP="003B2BBE">
            <w:pPr>
              <w:rPr>
                <w:b/>
                <w:bCs/>
                <w:color w:val="000000"/>
                <w:sz w:val="18"/>
                <w:szCs w:val="18"/>
                <w:lang w:eastAsia="tr-TR"/>
              </w:rPr>
            </w:pPr>
            <w:r w:rsidRPr="00471CBA">
              <w:rPr>
                <w:rFonts w:eastAsia="Arial Unicode MS"/>
                <w:b/>
                <w:bCs/>
                <w:color w:val="000000"/>
                <w:sz w:val="18"/>
                <w:szCs w:val="18"/>
                <w:lang w:eastAsia="tr-TR"/>
              </w:rPr>
              <w:t>Toplam</w:t>
            </w:r>
          </w:p>
        </w:tc>
        <w:tc>
          <w:tcPr>
            <w:tcW w:w="667" w:type="pct"/>
            <w:tcBorders>
              <w:top w:val="nil"/>
              <w:left w:val="nil"/>
              <w:bottom w:val="single" w:sz="8" w:space="0" w:color="auto"/>
              <w:right w:val="nil"/>
            </w:tcBorders>
            <w:vAlign w:val="center"/>
            <w:hideMark/>
          </w:tcPr>
          <w:p w14:paraId="78A4D7C5" w14:textId="77777777" w:rsidR="00204442" w:rsidRPr="00471CBA" w:rsidRDefault="00204442" w:rsidP="003B2BBE">
            <w:pPr>
              <w:jc w:val="right"/>
              <w:rPr>
                <w:b/>
                <w:bCs/>
                <w:color w:val="000000"/>
                <w:sz w:val="18"/>
                <w:szCs w:val="18"/>
                <w:lang w:eastAsia="tr-TR"/>
              </w:rPr>
            </w:pPr>
            <w:r w:rsidRPr="00471CBA">
              <w:rPr>
                <w:b/>
                <w:bCs/>
                <w:color w:val="000000"/>
                <w:sz w:val="18"/>
                <w:szCs w:val="18"/>
                <w:lang w:eastAsia="tr-TR"/>
              </w:rPr>
              <w:t>-</w:t>
            </w:r>
          </w:p>
        </w:tc>
        <w:tc>
          <w:tcPr>
            <w:tcW w:w="1041" w:type="pct"/>
            <w:tcBorders>
              <w:top w:val="nil"/>
              <w:left w:val="nil"/>
              <w:bottom w:val="single" w:sz="8" w:space="0" w:color="auto"/>
              <w:right w:val="nil"/>
            </w:tcBorders>
            <w:vAlign w:val="center"/>
            <w:hideMark/>
          </w:tcPr>
          <w:p w14:paraId="66F6A423" w14:textId="77777777" w:rsidR="00204442" w:rsidRPr="00471CBA" w:rsidRDefault="00204442" w:rsidP="003B2BBE">
            <w:pPr>
              <w:jc w:val="right"/>
              <w:rPr>
                <w:b/>
                <w:bCs/>
                <w:color w:val="000000"/>
                <w:sz w:val="18"/>
                <w:szCs w:val="18"/>
                <w:lang w:eastAsia="tr-TR"/>
              </w:rPr>
            </w:pPr>
            <w:r w:rsidRPr="00471CBA">
              <w:rPr>
                <w:b/>
                <w:bCs/>
                <w:color w:val="000000"/>
                <w:sz w:val="18"/>
                <w:szCs w:val="18"/>
                <w:lang w:eastAsia="tr-TR"/>
              </w:rPr>
              <w:t>-</w:t>
            </w:r>
          </w:p>
        </w:tc>
      </w:tr>
    </w:tbl>
    <w:p w14:paraId="32EBA3AB" w14:textId="77777777" w:rsidR="000A45F8" w:rsidRPr="00471CBA" w:rsidRDefault="000A45F8">
      <w:pPr>
        <w:rPr>
          <w:bCs/>
          <w:szCs w:val="20"/>
        </w:rPr>
      </w:pPr>
      <w:r w:rsidRPr="00471CBA">
        <w:rPr>
          <w:bCs/>
          <w:szCs w:val="20"/>
        </w:rPr>
        <w:br w:type="page"/>
      </w:r>
    </w:p>
    <w:p w14:paraId="35B0329A" w14:textId="77777777" w:rsidR="00964E60" w:rsidRPr="00471CBA" w:rsidRDefault="00964E60" w:rsidP="00964E60">
      <w:pPr>
        <w:rPr>
          <w:b/>
          <w:szCs w:val="20"/>
        </w:rPr>
      </w:pPr>
      <w:r w:rsidRPr="00471CBA">
        <w:rPr>
          <w:b/>
          <w:szCs w:val="20"/>
        </w:rPr>
        <w:t>KONSOLİDE OLMAYAN FİNANSAL TABLOLARA İLİŞKİN AÇIKLAMA VE DİPNOTLAR (Devamı)</w:t>
      </w:r>
    </w:p>
    <w:p w14:paraId="43920713" w14:textId="77777777" w:rsidR="00964E60" w:rsidRPr="00471CBA" w:rsidRDefault="00964E60" w:rsidP="00964E60">
      <w:pPr>
        <w:pStyle w:val="ListeParagraf"/>
        <w:widowControl w:val="0"/>
        <w:ind w:left="14" w:right="452"/>
        <w:jc w:val="both"/>
        <w:rPr>
          <w:b/>
          <w:szCs w:val="20"/>
        </w:rPr>
      </w:pPr>
    </w:p>
    <w:p w14:paraId="54264888" w14:textId="77777777" w:rsidR="00964E60" w:rsidRPr="00471CBA" w:rsidRDefault="00964E60" w:rsidP="008459A9">
      <w:pPr>
        <w:pStyle w:val="ListeParagraf"/>
        <w:widowControl w:val="0"/>
        <w:numPr>
          <w:ilvl w:val="0"/>
          <w:numId w:val="73"/>
        </w:numPr>
        <w:ind w:left="567" w:hanging="567"/>
        <w:jc w:val="both"/>
        <w:rPr>
          <w:b/>
          <w:szCs w:val="20"/>
        </w:rPr>
      </w:pPr>
      <w:r w:rsidRPr="00471CBA">
        <w:rPr>
          <w:b/>
          <w:szCs w:val="20"/>
        </w:rPr>
        <w:t>BİLANÇONUN AKTİF HESAPLARINA İLİŞKİN AÇIKLAMA VE DİPNOTLAR (Devamı)</w:t>
      </w:r>
    </w:p>
    <w:p w14:paraId="5BB96112" w14:textId="77777777" w:rsidR="00964E60" w:rsidRPr="00471CBA" w:rsidRDefault="00964E60" w:rsidP="00964E60">
      <w:pPr>
        <w:pStyle w:val="GvdeMetniGirintisi"/>
        <w:widowControl w:val="0"/>
        <w:ind w:left="567" w:hanging="567"/>
        <w:rPr>
          <w:b/>
          <w:szCs w:val="20"/>
        </w:rPr>
      </w:pPr>
    </w:p>
    <w:p w14:paraId="5C6BCDFE" w14:textId="45681D02" w:rsidR="00E5759F" w:rsidRPr="00471CBA" w:rsidRDefault="00626CAF" w:rsidP="000B0EE6">
      <w:pPr>
        <w:pStyle w:val="GvdeMetniGirintisi"/>
        <w:widowControl w:val="0"/>
        <w:numPr>
          <w:ilvl w:val="0"/>
          <w:numId w:val="6"/>
        </w:numPr>
        <w:tabs>
          <w:tab w:val="clear" w:pos="540"/>
        </w:tabs>
        <w:ind w:left="567" w:hanging="567"/>
        <w:rPr>
          <w:b/>
          <w:szCs w:val="20"/>
        </w:rPr>
      </w:pPr>
      <w:r w:rsidRPr="00471CBA">
        <w:rPr>
          <w:b/>
          <w:szCs w:val="20"/>
        </w:rPr>
        <w:t>Standar</w:t>
      </w:r>
      <w:r w:rsidR="00571016" w:rsidRPr="00471CBA">
        <w:rPr>
          <w:b/>
          <w:szCs w:val="20"/>
        </w:rPr>
        <w:t>t nitelikli ve yakın izlemedeki krediler ile yeniden yapılandırılan yakın izlemedeki kredilere ilişkin</w:t>
      </w:r>
      <w:r w:rsidR="00450D22" w:rsidRPr="00471CBA">
        <w:rPr>
          <w:b/>
          <w:szCs w:val="20"/>
        </w:rPr>
        <w:t xml:space="preserve"> </w:t>
      </w:r>
      <w:r w:rsidR="00571016" w:rsidRPr="00471CBA">
        <w:rPr>
          <w:b/>
          <w:szCs w:val="20"/>
        </w:rPr>
        <w:t>bilgiler</w:t>
      </w:r>
    </w:p>
    <w:p w14:paraId="1778E957" w14:textId="77777777" w:rsidR="002D3591" w:rsidRPr="00471CBA" w:rsidRDefault="002D3591" w:rsidP="00220C76">
      <w:pPr>
        <w:pStyle w:val="GvdeMetniGirintisi"/>
        <w:widowControl w:val="0"/>
        <w:ind w:left="180" w:firstLine="0"/>
        <w:rPr>
          <w:b/>
          <w:szCs w:val="20"/>
        </w:rPr>
      </w:pPr>
    </w:p>
    <w:p w14:paraId="4F35B217" w14:textId="4FE3DD01" w:rsidR="002D3591" w:rsidRPr="00471CBA" w:rsidRDefault="000C2CEF" w:rsidP="00D07241">
      <w:pPr>
        <w:pStyle w:val="GvdeMetniGirintisi"/>
        <w:widowControl w:val="0"/>
        <w:ind w:left="567" w:hanging="567"/>
        <w:rPr>
          <w:b/>
          <w:szCs w:val="20"/>
        </w:rPr>
      </w:pPr>
      <w:r w:rsidRPr="00471CBA">
        <w:rPr>
          <w:b/>
          <w:szCs w:val="20"/>
        </w:rPr>
        <w:t>b1.</w:t>
      </w:r>
      <w:r w:rsidR="002D3591" w:rsidRPr="00471CBA">
        <w:rPr>
          <w:b/>
          <w:szCs w:val="20"/>
        </w:rPr>
        <w:tab/>
      </w:r>
      <w:r w:rsidRPr="00471CBA">
        <w:rPr>
          <w:b/>
          <w:szCs w:val="20"/>
        </w:rPr>
        <w:t>Standart nitelikli ve yakın izlemedeki krediler ile yeniden yapılandırılan yakın izlemedeki kredilere ilişkin detay tablosu</w:t>
      </w:r>
    </w:p>
    <w:p w14:paraId="38A99143" w14:textId="3E35D29B" w:rsidR="00A74C68" w:rsidRPr="00471CBA" w:rsidRDefault="00A74C68" w:rsidP="00AE0899">
      <w:pPr>
        <w:widowControl w:val="0"/>
        <w:ind w:right="187"/>
        <w:jc w:val="both"/>
        <w:rPr>
          <w:szCs w:val="20"/>
        </w:rPr>
      </w:pPr>
    </w:p>
    <w:tbl>
      <w:tblPr>
        <w:tblW w:w="5000" w:type="pct"/>
        <w:tblCellMar>
          <w:left w:w="70" w:type="dxa"/>
          <w:right w:w="70" w:type="dxa"/>
        </w:tblCellMar>
        <w:tblLook w:val="04A0" w:firstRow="1" w:lastRow="0" w:firstColumn="1" w:lastColumn="0" w:noHBand="0" w:noVBand="1"/>
      </w:tblPr>
      <w:tblGrid>
        <w:gridCol w:w="2300"/>
        <w:gridCol w:w="1416"/>
        <w:gridCol w:w="1959"/>
        <w:gridCol w:w="1903"/>
        <w:gridCol w:w="1777"/>
      </w:tblGrid>
      <w:tr w:rsidR="00A74C68" w:rsidRPr="00471CBA" w14:paraId="2FE31FA6" w14:textId="77777777" w:rsidTr="00A74C68">
        <w:trPr>
          <w:divId w:val="1300109099"/>
          <w:trHeight w:val="170"/>
        </w:trPr>
        <w:tc>
          <w:tcPr>
            <w:tcW w:w="1229" w:type="pct"/>
            <w:tcBorders>
              <w:top w:val="single" w:sz="4" w:space="0" w:color="auto"/>
              <w:left w:val="nil"/>
              <w:bottom w:val="nil"/>
              <w:right w:val="nil"/>
            </w:tcBorders>
            <w:vAlign w:val="center"/>
            <w:hideMark/>
          </w:tcPr>
          <w:p w14:paraId="52B2B5E4" w14:textId="475C3D54" w:rsidR="00A74C68" w:rsidRPr="00471CBA" w:rsidRDefault="00A74C68" w:rsidP="00A74C68">
            <w:pPr>
              <w:rPr>
                <w:b/>
                <w:bCs/>
                <w:color w:val="000000"/>
                <w:sz w:val="18"/>
                <w:szCs w:val="18"/>
              </w:rPr>
            </w:pPr>
            <w:r w:rsidRPr="00471CBA">
              <w:rPr>
                <w:b/>
                <w:bCs/>
                <w:color w:val="000000"/>
                <w:sz w:val="18"/>
                <w:szCs w:val="18"/>
              </w:rPr>
              <w:t> </w:t>
            </w:r>
          </w:p>
        </w:tc>
        <w:tc>
          <w:tcPr>
            <w:tcW w:w="757" w:type="pct"/>
            <w:vMerge w:val="restart"/>
            <w:tcBorders>
              <w:top w:val="single" w:sz="4" w:space="0" w:color="auto"/>
              <w:left w:val="nil"/>
              <w:bottom w:val="single" w:sz="4" w:space="0" w:color="000000"/>
              <w:right w:val="nil"/>
            </w:tcBorders>
            <w:vAlign w:val="center"/>
            <w:hideMark/>
          </w:tcPr>
          <w:p w14:paraId="2CF8DB3F" w14:textId="77777777" w:rsidR="00A74C68" w:rsidRPr="00471CBA" w:rsidRDefault="00A74C68" w:rsidP="00A74C68">
            <w:pPr>
              <w:jc w:val="center"/>
              <w:rPr>
                <w:b/>
                <w:bCs/>
                <w:color w:val="000000"/>
                <w:sz w:val="18"/>
                <w:szCs w:val="18"/>
              </w:rPr>
            </w:pPr>
            <w:r w:rsidRPr="00471CBA">
              <w:rPr>
                <w:b/>
                <w:bCs/>
                <w:color w:val="000000"/>
                <w:sz w:val="18"/>
                <w:szCs w:val="18"/>
              </w:rPr>
              <w:t>Standart Nitelikli Krediler</w:t>
            </w:r>
          </w:p>
        </w:tc>
        <w:tc>
          <w:tcPr>
            <w:tcW w:w="3014" w:type="pct"/>
            <w:gridSpan w:val="3"/>
            <w:tcBorders>
              <w:top w:val="single" w:sz="4" w:space="0" w:color="auto"/>
              <w:left w:val="nil"/>
              <w:bottom w:val="single" w:sz="4" w:space="0" w:color="auto"/>
              <w:right w:val="nil"/>
            </w:tcBorders>
            <w:vAlign w:val="center"/>
            <w:hideMark/>
          </w:tcPr>
          <w:p w14:paraId="61FFDD8C" w14:textId="77777777" w:rsidR="00A74C68" w:rsidRPr="00471CBA" w:rsidRDefault="00A74C68" w:rsidP="00A74C68">
            <w:pPr>
              <w:jc w:val="center"/>
              <w:rPr>
                <w:b/>
                <w:bCs/>
                <w:color w:val="000000"/>
                <w:sz w:val="18"/>
                <w:szCs w:val="18"/>
              </w:rPr>
            </w:pPr>
            <w:r w:rsidRPr="00471CBA">
              <w:rPr>
                <w:b/>
                <w:bCs/>
                <w:color w:val="000000"/>
                <w:sz w:val="18"/>
                <w:szCs w:val="18"/>
              </w:rPr>
              <w:t>Yakın İzlemedeki Krediler</w:t>
            </w:r>
          </w:p>
        </w:tc>
      </w:tr>
      <w:tr w:rsidR="00A74C68" w:rsidRPr="00471CBA" w14:paraId="79807306" w14:textId="77777777" w:rsidTr="00A74C68">
        <w:trPr>
          <w:divId w:val="1300109099"/>
          <w:trHeight w:val="170"/>
        </w:trPr>
        <w:tc>
          <w:tcPr>
            <w:tcW w:w="1229" w:type="pct"/>
            <w:tcBorders>
              <w:top w:val="nil"/>
              <w:left w:val="nil"/>
              <w:bottom w:val="nil"/>
              <w:right w:val="nil"/>
            </w:tcBorders>
            <w:vAlign w:val="center"/>
            <w:hideMark/>
          </w:tcPr>
          <w:p w14:paraId="3741EA56" w14:textId="77777777" w:rsidR="00A74C68" w:rsidRPr="00471CBA" w:rsidRDefault="00A74C68" w:rsidP="00A74C68">
            <w:pPr>
              <w:rPr>
                <w:b/>
                <w:bCs/>
                <w:color w:val="000000"/>
                <w:sz w:val="18"/>
                <w:szCs w:val="18"/>
                <w:lang w:eastAsia="tr-TR"/>
              </w:rPr>
            </w:pPr>
            <w:r w:rsidRPr="00471CBA">
              <w:rPr>
                <w:b/>
                <w:bCs/>
                <w:color w:val="000000"/>
                <w:sz w:val="18"/>
                <w:szCs w:val="18"/>
              </w:rPr>
              <w:t xml:space="preserve">31 </w:t>
            </w:r>
            <w:r w:rsidRPr="00471CBA">
              <w:rPr>
                <w:b/>
                <w:bCs/>
                <w:color w:val="000000"/>
                <w:sz w:val="18"/>
                <w:szCs w:val="18"/>
                <w:lang w:eastAsia="tr-TR"/>
              </w:rPr>
              <w:t>Aralık 2025</w:t>
            </w:r>
          </w:p>
        </w:tc>
        <w:tc>
          <w:tcPr>
            <w:tcW w:w="757" w:type="pct"/>
            <w:vMerge/>
            <w:tcBorders>
              <w:top w:val="single" w:sz="4" w:space="0" w:color="auto"/>
              <w:left w:val="nil"/>
              <w:bottom w:val="single" w:sz="4" w:space="0" w:color="000000"/>
              <w:right w:val="nil"/>
            </w:tcBorders>
            <w:vAlign w:val="center"/>
            <w:hideMark/>
          </w:tcPr>
          <w:p w14:paraId="76C7C692" w14:textId="77777777" w:rsidR="00A74C68" w:rsidRPr="00471CBA" w:rsidRDefault="00A74C68" w:rsidP="00A74C68">
            <w:pPr>
              <w:rPr>
                <w:b/>
                <w:bCs/>
                <w:color w:val="000000"/>
                <w:sz w:val="18"/>
                <w:szCs w:val="18"/>
              </w:rPr>
            </w:pPr>
          </w:p>
        </w:tc>
        <w:tc>
          <w:tcPr>
            <w:tcW w:w="1047" w:type="pct"/>
            <w:vMerge w:val="restart"/>
            <w:tcBorders>
              <w:top w:val="nil"/>
              <w:left w:val="nil"/>
              <w:bottom w:val="single" w:sz="4" w:space="0" w:color="000000"/>
              <w:right w:val="nil"/>
            </w:tcBorders>
            <w:vAlign w:val="center"/>
            <w:hideMark/>
          </w:tcPr>
          <w:p w14:paraId="6919CD5E" w14:textId="77777777" w:rsidR="00A74C68" w:rsidRPr="00471CBA" w:rsidRDefault="00A74C68" w:rsidP="00A74C68">
            <w:pPr>
              <w:jc w:val="center"/>
              <w:rPr>
                <w:b/>
                <w:bCs/>
                <w:color w:val="000000"/>
                <w:sz w:val="18"/>
                <w:szCs w:val="18"/>
              </w:rPr>
            </w:pPr>
            <w:r w:rsidRPr="00471CBA">
              <w:rPr>
                <w:b/>
                <w:bCs/>
                <w:color w:val="000000"/>
                <w:sz w:val="18"/>
                <w:szCs w:val="18"/>
              </w:rPr>
              <w:t>Yeniden Yapılandırma Kapsamında Yer Almayanlar</w:t>
            </w:r>
          </w:p>
        </w:tc>
        <w:tc>
          <w:tcPr>
            <w:tcW w:w="1967" w:type="pct"/>
            <w:gridSpan w:val="2"/>
            <w:tcBorders>
              <w:top w:val="single" w:sz="4" w:space="0" w:color="auto"/>
              <w:left w:val="nil"/>
              <w:bottom w:val="single" w:sz="4" w:space="0" w:color="auto"/>
              <w:right w:val="nil"/>
            </w:tcBorders>
            <w:vAlign w:val="center"/>
            <w:hideMark/>
          </w:tcPr>
          <w:p w14:paraId="1DE87295" w14:textId="77777777" w:rsidR="00A74C68" w:rsidRPr="00471CBA" w:rsidRDefault="00A74C68" w:rsidP="00A74C68">
            <w:pPr>
              <w:jc w:val="center"/>
              <w:rPr>
                <w:b/>
                <w:bCs/>
                <w:color w:val="000000"/>
                <w:sz w:val="18"/>
                <w:szCs w:val="18"/>
              </w:rPr>
            </w:pPr>
            <w:r w:rsidRPr="00471CBA">
              <w:rPr>
                <w:b/>
                <w:bCs/>
                <w:color w:val="000000"/>
                <w:sz w:val="18"/>
                <w:szCs w:val="18"/>
              </w:rPr>
              <w:t>Yeniden Yapılandırılanlar</w:t>
            </w:r>
          </w:p>
        </w:tc>
      </w:tr>
      <w:tr w:rsidR="00A74C68" w:rsidRPr="00471CBA" w14:paraId="185E2AD7" w14:textId="77777777" w:rsidTr="00A74C68">
        <w:trPr>
          <w:divId w:val="1300109099"/>
          <w:trHeight w:val="170"/>
        </w:trPr>
        <w:tc>
          <w:tcPr>
            <w:tcW w:w="1229" w:type="pct"/>
            <w:tcBorders>
              <w:top w:val="nil"/>
              <w:left w:val="nil"/>
              <w:bottom w:val="single" w:sz="4" w:space="0" w:color="auto"/>
              <w:right w:val="nil"/>
            </w:tcBorders>
            <w:vAlign w:val="center"/>
            <w:hideMark/>
          </w:tcPr>
          <w:p w14:paraId="4FC9B686" w14:textId="77777777" w:rsidR="00A74C68" w:rsidRPr="00471CBA" w:rsidRDefault="00A74C68" w:rsidP="00A74C68">
            <w:pPr>
              <w:rPr>
                <w:b/>
                <w:bCs/>
                <w:color w:val="000000"/>
                <w:sz w:val="18"/>
                <w:szCs w:val="18"/>
              </w:rPr>
            </w:pPr>
            <w:r w:rsidRPr="00471CBA">
              <w:rPr>
                <w:b/>
                <w:bCs/>
                <w:color w:val="000000"/>
                <w:sz w:val="18"/>
                <w:szCs w:val="18"/>
              </w:rPr>
              <w:t>Nakdi Krediler</w:t>
            </w:r>
          </w:p>
        </w:tc>
        <w:tc>
          <w:tcPr>
            <w:tcW w:w="757" w:type="pct"/>
            <w:vMerge/>
            <w:tcBorders>
              <w:top w:val="single" w:sz="4" w:space="0" w:color="auto"/>
              <w:left w:val="nil"/>
              <w:bottom w:val="single" w:sz="4" w:space="0" w:color="000000"/>
              <w:right w:val="nil"/>
            </w:tcBorders>
            <w:vAlign w:val="center"/>
            <w:hideMark/>
          </w:tcPr>
          <w:p w14:paraId="086C0A93" w14:textId="77777777" w:rsidR="00A74C68" w:rsidRPr="00471CBA" w:rsidRDefault="00A74C68" w:rsidP="00A74C68">
            <w:pPr>
              <w:rPr>
                <w:b/>
                <w:bCs/>
                <w:color w:val="000000"/>
                <w:sz w:val="18"/>
                <w:szCs w:val="18"/>
              </w:rPr>
            </w:pPr>
          </w:p>
        </w:tc>
        <w:tc>
          <w:tcPr>
            <w:tcW w:w="1047" w:type="pct"/>
            <w:vMerge/>
            <w:tcBorders>
              <w:top w:val="nil"/>
              <w:left w:val="nil"/>
              <w:bottom w:val="single" w:sz="4" w:space="0" w:color="000000"/>
              <w:right w:val="nil"/>
            </w:tcBorders>
            <w:vAlign w:val="center"/>
            <w:hideMark/>
          </w:tcPr>
          <w:p w14:paraId="33DE5F5A" w14:textId="77777777" w:rsidR="00A74C68" w:rsidRPr="00471CBA" w:rsidRDefault="00A74C68" w:rsidP="00A74C68">
            <w:pPr>
              <w:rPr>
                <w:b/>
                <w:bCs/>
                <w:color w:val="000000"/>
                <w:sz w:val="18"/>
                <w:szCs w:val="18"/>
              </w:rPr>
            </w:pPr>
          </w:p>
        </w:tc>
        <w:tc>
          <w:tcPr>
            <w:tcW w:w="1017" w:type="pct"/>
            <w:tcBorders>
              <w:top w:val="nil"/>
              <w:left w:val="nil"/>
              <w:bottom w:val="single" w:sz="4" w:space="0" w:color="auto"/>
              <w:right w:val="nil"/>
            </w:tcBorders>
            <w:vAlign w:val="center"/>
            <w:hideMark/>
          </w:tcPr>
          <w:p w14:paraId="74FCD124" w14:textId="77777777" w:rsidR="00A74C68" w:rsidRPr="00471CBA" w:rsidRDefault="00A74C68" w:rsidP="00A74C68">
            <w:pPr>
              <w:jc w:val="center"/>
              <w:rPr>
                <w:b/>
                <w:bCs/>
                <w:color w:val="000000"/>
                <w:sz w:val="18"/>
                <w:szCs w:val="18"/>
              </w:rPr>
            </w:pPr>
            <w:r w:rsidRPr="00471CBA">
              <w:rPr>
                <w:b/>
                <w:bCs/>
                <w:color w:val="000000"/>
                <w:sz w:val="18"/>
                <w:szCs w:val="18"/>
              </w:rPr>
              <w:t>Sözleşme Koşullarında Değişiklik Yapılanlar</w:t>
            </w:r>
          </w:p>
        </w:tc>
        <w:tc>
          <w:tcPr>
            <w:tcW w:w="950" w:type="pct"/>
            <w:tcBorders>
              <w:top w:val="nil"/>
              <w:left w:val="nil"/>
              <w:bottom w:val="single" w:sz="4" w:space="0" w:color="auto"/>
              <w:right w:val="nil"/>
            </w:tcBorders>
            <w:vAlign w:val="center"/>
            <w:hideMark/>
          </w:tcPr>
          <w:p w14:paraId="21F03CEE" w14:textId="77777777" w:rsidR="00A74C68" w:rsidRPr="00471CBA" w:rsidRDefault="00A74C68" w:rsidP="00A74C68">
            <w:pPr>
              <w:jc w:val="center"/>
              <w:rPr>
                <w:b/>
                <w:bCs/>
                <w:color w:val="000000"/>
                <w:sz w:val="18"/>
                <w:szCs w:val="18"/>
              </w:rPr>
            </w:pPr>
            <w:r w:rsidRPr="00471CBA">
              <w:rPr>
                <w:b/>
                <w:bCs/>
                <w:color w:val="000000"/>
                <w:sz w:val="18"/>
                <w:szCs w:val="18"/>
              </w:rPr>
              <w:t>Yeniden Finansman Yapılanlar</w:t>
            </w:r>
          </w:p>
        </w:tc>
      </w:tr>
      <w:tr w:rsidR="00A74C68" w:rsidRPr="00471CBA" w14:paraId="610D72D0" w14:textId="77777777" w:rsidTr="00A74C68">
        <w:trPr>
          <w:divId w:val="1300109099"/>
          <w:trHeight w:val="170"/>
        </w:trPr>
        <w:tc>
          <w:tcPr>
            <w:tcW w:w="1229" w:type="pct"/>
            <w:tcBorders>
              <w:top w:val="nil"/>
              <w:left w:val="nil"/>
              <w:bottom w:val="nil"/>
              <w:right w:val="nil"/>
            </w:tcBorders>
            <w:vAlign w:val="center"/>
            <w:hideMark/>
          </w:tcPr>
          <w:p w14:paraId="6F9E2C4E" w14:textId="77777777" w:rsidR="00A74C68" w:rsidRPr="00471CBA" w:rsidRDefault="00A74C68" w:rsidP="00A74C68">
            <w:pPr>
              <w:rPr>
                <w:b/>
                <w:bCs/>
                <w:color w:val="000000"/>
                <w:sz w:val="18"/>
                <w:szCs w:val="18"/>
              </w:rPr>
            </w:pPr>
            <w:r w:rsidRPr="00471CBA">
              <w:rPr>
                <w:b/>
                <w:bCs/>
                <w:color w:val="000000"/>
                <w:sz w:val="18"/>
                <w:szCs w:val="18"/>
              </w:rPr>
              <w:t>Krediler</w:t>
            </w:r>
          </w:p>
        </w:tc>
        <w:tc>
          <w:tcPr>
            <w:tcW w:w="757" w:type="pct"/>
            <w:tcBorders>
              <w:top w:val="nil"/>
              <w:left w:val="nil"/>
              <w:bottom w:val="nil"/>
              <w:right w:val="nil"/>
            </w:tcBorders>
            <w:vAlign w:val="center"/>
            <w:hideMark/>
          </w:tcPr>
          <w:p w14:paraId="2216A100" w14:textId="77777777" w:rsidR="00A74C68" w:rsidRPr="00471CBA" w:rsidRDefault="00A74C68" w:rsidP="00A74C68">
            <w:pPr>
              <w:jc w:val="right"/>
              <w:rPr>
                <w:b/>
                <w:bCs/>
                <w:color w:val="000000"/>
                <w:sz w:val="18"/>
                <w:szCs w:val="18"/>
              </w:rPr>
            </w:pPr>
            <w:r w:rsidRPr="00471CBA">
              <w:rPr>
                <w:b/>
                <w:bCs/>
                <w:color w:val="000000"/>
                <w:sz w:val="18"/>
                <w:szCs w:val="18"/>
              </w:rPr>
              <w:t>51.404.015</w:t>
            </w:r>
          </w:p>
        </w:tc>
        <w:tc>
          <w:tcPr>
            <w:tcW w:w="1047" w:type="pct"/>
            <w:tcBorders>
              <w:top w:val="nil"/>
              <w:left w:val="nil"/>
              <w:bottom w:val="nil"/>
              <w:right w:val="nil"/>
            </w:tcBorders>
            <w:vAlign w:val="center"/>
            <w:hideMark/>
          </w:tcPr>
          <w:p w14:paraId="592B4FCB" w14:textId="77777777" w:rsidR="00A74C68" w:rsidRPr="00471CBA" w:rsidRDefault="00A74C68" w:rsidP="00A74C68">
            <w:pPr>
              <w:jc w:val="right"/>
              <w:rPr>
                <w:b/>
                <w:bCs/>
                <w:color w:val="000000"/>
                <w:sz w:val="18"/>
                <w:szCs w:val="18"/>
              </w:rPr>
            </w:pPr>
            <w:r w:rsidRPr="00471CBA">
              <w:rPr>
                <w:b/>
                <w:bCs/>
                <w:color w:val="000000"/>
                <w:sz w:val="18"/>
                <w:szCs w:val="18"/>
              </w:rPr>
              <w:t>450.125</w:t>
            </w:r>
          </w:p>
        </w:tc>
        <w:tc>
          <w:tcPr>
            <w:tcW w:w="1017" w:type="pct"/>
            <w:tcBorders>
              <w:top w:val="nil"/>
              <w:left w:val="nil"/>
              <w:bottom w:val="nil"/>
              <w:right w:val="nil"/>
            </w:tcBorders>
            <w:vAlign w:val="center"/>
            <w:hideMark/>
          </w:tcPr>
          <w:p w14:paraId="6DA113EE" w14:textId="77777777" w:rsidR="00A74C68" w:rsidRPr="00471CBA" w:rsidRDefault="00A74C68" w:rsidP="00A74C68">
            <w:pPr>
              <w:jc w:val="right"/>
              <w:rPr>
                <w:b/>
                <w:bCs/>
                <w:color w:val="000000"/>
                <w:sz w:val="18"/>
                <w:szCs w:val="18"/>
              </w:rPr>
            </w:pPr>
            <w:r w:rsidRPr="00471CBA">
              <w:rPr>
                <w:b/>
                <w:bCs/>
                <w:color w:val="000000"/>
                <w:sz w:val="18"/>
                <w:szCs w:val="18"/>
              </w:rPr>
              <w:t>-</w:t>
            </w:r>
          </w:p>
        </w:tc>
        <w:tc>
          <w:tcPr>
            <w:tcW w:w="950" w:type="pct"/>
            <w:tcBorders>
              <w:top w:val="nil"/>
              <w:left w:val="nil"/>
              <w:bottom w:val="nil"/>
              <w:right w:val="nil"/>
            </w:tcBorders>
            <w:vAlign w:val="center"/>
            <w:hideMark/>
          </w:tcPr>
          <w:p w14:paraId="578694F5" w14:textId="77777777" w:rsidR="00A74C68" w:rsidRPr="00471CBA" w:rsidRDefault="00A74C68" w:rsidP="00A74C68">
            <w:pPr>
              <w:jc w:val="right"/>
              <w:rPr>
                <w:b/>
                <w:bCs/>
                <w:color w:val="000000"/>
                <w:sz w:val="18"/>
                <w:szCs w:val="18"/>
              </w:rPr>
            </w:pPr>
            <w:r w:rsidRPr="00471CBA">
              <w:rPr>
                <w:b/>
                <w:bCs/>
                <w:color w:val="000000"/>
                <w:sz w:val="18"/>
                <w:szCs w:val="18"/>
              </w:rPr>
              <w:t>15.504</w:t>
            </w:r>
          </w:p>
        </w:tc>
      </w:tr>
      <w:tr w:rsidR="00A74C68" w:rsidRPr="00471CBA" w14:paraId="7FB40F1E" w14:textId="77777777" w:rsidTr="00A74C68">
        <w:trPr>
          <w:divId w:val="1300109099"/>
          <w:trHeight w:val="170"/>
        </w:trPr>
        <w:tc>
          <w:tcPr>
            <w:tcW w:w="1229" w:type="pct"/>
            <w:tcBorders>
              <w:top w:val="nil"/>
              <w:left w:val="nil"/>
              <w:bottom w:val="nil"/>
              <w:right w:val="nil"/>
            </w:tcBorders>
            <w:vAlign w:val="center"/>
            <w:hideMark/>
          </w:tcPr>
          <w:p w14:paraId="5BFA8069" w14:textId="77777777" w:rsidR="00A74C68" w:rsidRPr="00471CBA" w:rsidRDefault="00A74C68" w:rsidP="00A74C68">
            <w:pPr>
              <w:ind w:firstLineChars="200" w:firstLine="360"/>
              <w:rPr>
                <w:color w:val="000000"/>
                <w:sz w:val="18"/>
                <w:szCs w:val="18"/>
              </w:rPr>
            </w:pPr>
            <w:r w:rsidRPr="00471CBA">
              <w:rPr>
                <w:color w:val="000000"/>
                <w:sz w:val="18"/>
                <w:szCs w:val="18"/>
              </w:rPr>
              <w:t>İhracat Kredileri</w:t>
            </w:r>
          </w:p>
        </w:tc>
        <w:tc>
          <w:tcPr>
            <w:tcW w:w="757" w:type="pct"/>
            <w:tcBorders>
              <w:top w:val="nil"/>
              <w:left w:val="nil"/>
              <w:bottom w:val="nil"/>
              <w:right w:val="nil"/>
            </w:tcBorders>
            <w:vAlign w:val="center"/>
            <w:hideMark/>
          </w:tcPr>
          <w:p w14:paraId="341D16BC" w14:textId="77777777" w:rsidR="00A74C68" w:rsidRPr="00471CBA" w:rsidRDefault="00A74C68" w:rsidP="00A74C68">
            <w:pPr>
              <w:ind w:firstLineChars="200" w:firstLine="360"/>
              <w:jc w:val="right"/>
              <w:rPr>
                <w:color w:val="000000"/>
                <w:sz w:val="18"/>
                <w:szCs w:val="18"/>
              </w:rPr>
            </w:pPr>
            <w:r w:rsidRPr="00471CBA">
              <w:rPr>
                <w:color w:val="000000"/>
                <w:sz w:val="18"/>
                <w:szCs w:val="18"/>
              </w:rPr>
              <w:t>994.330</w:t>
            </w:r>
          </w:p>
        </w:tc>
        <w:tc>
          <w:tcPr>
            <w:tcW w:w="1047" w:type="pct"/>
            <w:tcBorders>
              <w:top w:val="nil"/>
              <w:left w:val="nil"/>
              <w:bottom w:val="nil"/>
              <w:right w:val="nil"/>
            </w:tcBorders>
            <w:vAlign w:val="center"/>
            <w:hideMark/>
          </w:tcPr>
          <w:p w14:paraId="5AFDF4ED" w14:textId="77777777" w:rsidR="00A74C68" w:rsidRPr="00471CBA" w:rsidRDefault="00A74C68" w:rsidP="00A74C68">
            <w:pPr>
              <w:jc w:val="right"/>
              <w:rPr>
                <w:color w:val="000000"/>
                <w:sz w:val="18"/>
                <w:szCs w:val="18"/>
              </w:rPr>
            </w:pPr>
            <w:r w:rsidRPr="00471CBA">
              <w:rPr>
                <w:sz w:val="18"/>
                <w:szCs w:val="18"/>
              </w:rPr>
              <w:t>-</w:t>
            </w:r>
          </w:p>
        </w:tc>
        <w:tc>
          <w:tcPr>
            <w:tcW w:w="1017" w:type="pct"/>
            <w:tcBorders>
              <w:top w:val="nil"/>
              <w:left w:val="nil"/>
              <w:bottom w:val="nil"/>
              <w:right w:val="nil"/>
            </w:tcBorders>
            <w:vAlign w:val="center"/>
            <w:hideMark/>
          </w:tcPr>
          <w:p w14:paraId="5BA9FEA3" w14:textId="77777777" w:rsidR="00A74C68" w:rsidRPr="00471CBA" w:rsidRDefault="00A74C68" w:rsidP="00A74C68">
            <w:pPr>
              <w:jc w:val="right"/>
              <w:rPr>
                <w:color w:val="000000"/>
                <w:sz w:val="18"/>
                <w:szCs w:val="18"/>
              </w:rPr>
            </w:pPr>
            <w:r w:rsidRPr="00471CBA">
              <w:rPr>
                <w:sz w:val="18"/>
                <w:szCs w:val="18"/>
              </w:rPr>
              <w:t>-</w:t>
            </w:r>
          </w:p>
        </w:tc>
        <w:tc>
          <w:tcPr>
            <w:tcW w:w="950" w:type="pct"/>
            <w:tcBorders>
              <w:top w:val="nil"/>
              <w:left w:val="nil"/>
              <w:bottom w:val="nil"/>
              <w:right w:val="nil"/>
            </w:tcBorders>
            <w:vAlign w:val="center"/>
            <w:hideMark/>
          </w:tcPr>
          <w:p w14:paraId="239AAB8D" w14:textId="77777777" w:rsidR="00A74C68" w:rsidRPr="00471CBA" w:rsidRDefault="00A74C68" w:rsidP="00A74C68">
            <w:pPr>
              <w:jc w:val="right"/>
              <w:rPr>
                <w:color w:val="000000"/>
                <w:sz w:val="18"/>
                <w:szCs w:val="18"/>
              </w:rPr>
            </w:pPr>
            <w:r w:rsidRPr="00471CBA">
              <w:rPr>
                <w:sz w:val="18"/>
                <w:szCs w:val="18"/>
              </w:rPr>
              <w:t>-</w:t>
            </w:r>
          </w:p>
        </w:tc>
      </w:tr>
      <w:tr w:rsidR="00A74C68" w:rsidRPr="00471CBA" w14:paraId="6E9DD109" w14:textId="77777777" w:rsidTr="00A74C68">
        <w:trPr>
          <w:divId w:val="1300109099"/>
          <w:trHeight w:val="170"/>
        </w:trPr>
        <w:tc>
          <w:tcPr>
            <w:tcW w:w="1229" w:type="pct"/>
            <w:tcBorders>
              <w:top w:val="nil"/>
              <w:left w:val="nil"/>
              <w:bottom w:val="nil"/>
              <w:right w:val="nil"/>
            </w:tcBorders>
            <w:vAlign w:val="center"/>
            <w:hideMark/>
          </w:tcPr>
          <w:p w14:paraId="39B4FC5E" w14:textId="77777777" w:rsidR="00A74C68" w:rsidRPr="00471CBA" w:rsidRDefault="00A74C68" w:rsidP="00A74C68">
            <w:pPr>
              <w:ind w:firstLineChars="200" w:firstLine="360"/>
              <w:rPr>
                <w:color w:val="000000"/>
                <w:sz w:val="18"/>
                <w:szCs w:val="18"/>
              </w:rPr>
            </w:pPr>
            <w:r w:rsidRPr="00471CBA">
              <w:rPr>
                <w:color w:val="000000"/>
                <w:sz w:val="18"/>
                <w:szCs w:val="18"/>
              </w:rPr>
              <w:t>İthalat Kredileri</w:t>
            </w:r>
          </w:p>
        </w:tc>
        <w:tc>
          <w:tcPr>
            <w:tcW w:w="757" w:type="pct"/>
            <w:tcBorders>
              <w:top w:val="nil"/>
              <w:left w:val="nil"/>
              <w:bottom w:val="nil"/>
              <w:right w:val="nil"/>
            </w:tcBorders>
            <w:vAlign w:val="center"/>
            <w:hideMark/>
          </w:tcPr>
          <w:p w14:paraId="6F426F66" w14:textId="77777777" w:rsidR="00A74C68" w:rsidRPr="00471CBA" w:rsidRDefault="00A74C68" w:rsidP="00A74C68">
            <w:pPr>
              <w:ind w:firstLineChars="200" w:firstLine="360"/>
              <w:jc w:val="right"/>
              <w:rPr>
                <w:color w:val="000000"/>
                <w:sz w:val="18"/>
                <w:szCs w:val="18"/>
              </w:rPr>
            </w:pPr>
            <w:r w:rsidRPr="00471CBA">
              <w:rPr>
                <w:color w:val="000000"/>
                <w:sz w:val="18"/>
                <w:szCs w:val="18"/>
              </w:rPr>
              <w:t>-</w:t>
            </w:r>
          </w:p>
        </w:tc>
        <w:tc>
          <w:tcPr>
            <w:tcW w:w="1047" w:type="pct"/>
            <w:tcBorders>
              <w:top w:val="nil"/>
              <w:left w:val="nil"/>
              <w:bottom w:val="nil"/>
              <w:right w:val="nil"/>
            </w:tcBorders>
            <w:vAlign w:val="center"/>
            <w:hideMark/>
          </w:tcPr>
          <w:p w14:paraId="62B8804F" w14:textId="77777777" w:rsidR="00A74C68" w:rsidRPr="00471CBA" w:rsidRDefault="00A74C68" w:rsidP="00A74C68">
            <w:pPr>
              <w:jc w:val="right"/>
              <w:rPr>
                <w:color w:val="000000"/>
                <w:sz w:val="18"/>
                <w:szCs w:val="18"/>
              </w:rPr>
            </w:pPr>
            <w:r w:rsidRPr="00471CBA">
              <w:rPr>
                <w:sz w:val="18"/>
                <w:szCs w:val="18"/>
              </w:rPr>
              <w:t>-</w:t>
            </w:r>
          </w:p>
        </w:tc>
        <w:tc>
          <w:tcPr>
            <w:tcW w:w="1017" w:type="pct"/>
            <w:tcBorders>
              <w:top w:val="nil"/>
              <w:left w:val="nil"/>
              <w:bottom w:val="nil"/>
              <w:right w:val="nil"/>
            </w:tcBorders>
            <w:vAlign w:val="center"/>
            <w:hideMark/>
          </w:tcPr>
          <w:p w14:paraId="5B1F3209" w14:textId="77777777" w:rsidR="00A74C68" w:rsidRPr="00471CBA" w:rsidRDefault="00A74C68" w:rsidP="00A74C68">
            <w:pPr>
              <w:jc w:val="right"/>
              <w:rPr>
                <w:color w:val="000000"/>
                <w:sz w:val="18"/>
                <w:szCs w:val="18"/>
              </w:rPr>
            </w:pPr>
            <w:r w:rsidRPr="00471CBA">
              <w:rPr>
                <w:sz w:val="18"/>
                <w:szCs w:val="18"/>
              </w:rPr>
              <w:t>-</w:t>
            </w:r>
          </w:p>
        </w:tc>
        <w:tc>
          <w:tcPr>
            <w:tcW w:w="950" w:type="pct"/>
            <w:tcBorders>
              <w:top w:val="nil"/>
              <w:left w:val="nil"/>
              <w:bottom w:val="nil"/>
              <w:right w:val="nil"/>
            </w:tcBorders>
            <w:vAlign w:val="center"/>
            <w:hideMark/>
          </w:tcPr>
          <w:p w14:paraId="56CF6D38" w14:textId="77777777" w:rsidR="00A74C68" w:rsidRPr="00471CBA" w:rsidRDefault="00A74C68" w:rsidP="00A74C68">
            <w:pPr>
              <w:jc w:val="right"/>
              <w:rPr>
                <w:color w:val="000000"/>
                <w:sz w:val="18"/>
                <w:szCs w:val="18"/>
              </w:rPr>
            </w:pPr>
            <w:r w:rsidRPr="00471CBA">
              <w:rPr>
                <w:sz w:val="18"/>
                <w:szCs w:val="18"/>
              </w:rPr>
              <w:t>-</w:t>
            </w:r>
          </w:p>
        </w:tc>
      </w:tr>
      <w:tr w:rsidR="00A74C68" w:rsidRPr="00471CBA" w14:paraId="0AD8AF2C" w14:textId="77777777" w:rsidTr="00A74C68">
        <w:trPr>
          <w:divId w:val="1300109099"/>
          <w:trHeight w:val="170"/>
        </w:trPr>
        <w:tc>
          <w:tcPr>
            <w:tcW w:w="1229" w:type="pct"/>
            <w:tcBorders>
              <w:top w:val="nil"/>
              <w:left w:val="nil"/>
              <w:bottom w:val="nil"/>
              <w:right w:val="nil"/>
            </w:tcBorders>
            <w:vAlign w:val="center"/>
            <w:hideMark/>
          </w:tcPr>
          <w:p w14:paraId="3769425A" w14:textId="77777777" w:rsidR="00A74C68" w:rsidRPr="00471CBA" w:rsidRDefault="00A74C68" w:rsidP="00A74C68">
            <w:pPr>
              <w:ind w:firstLineChars="200" w:firstLine="360"/>
              <w:rPr>
                <w:color w:val="000000"/>
                <w:sz w:val="18"/>
                <w:szCs w:val="18"/>
              </w:rPr>
            </w:pPr>
            <w:r w:rsidRPr="00471CBA">
              <w:rPr>
                <w:color w:val="000000"/>
                <w:sz w:val="18"/>
                <w:szCs w:val="18"/>
              </w:rPr>
              <w:t>İşletme Kredileri</w:t>
            </w:r>
          </w:p>
        </w:tc>
        <w:tc>
          <w:tcPr>
            <w:tcW w:w="757" w:type="pct"/>
            <w:tcBorders>
              <w:top w:val="nil"/>
              <w:left w:val="nil"/>
              <w:bottom w:val="nil"/>
              <w:right w:val="nil"/>
            </w:tcBorders>
            <w:vAlign w:val="center"/>
            <w:hideMark/>
          </w:tcPr>
          <w:p w14:paraId="5C2348BE" w14:textId="77777777" w:rsidR="00A74C68" w:rsidRPr="00471CBA" w:rsidRDefault="00A74C68" w:rsidP="00A74C68">
            <w:pPr>
              <w:ind w:firstLineChars="200" w:firstLine="360"/>
              <w:jc w:val="right"/>
              <w:rPr>
                <w:color w:val="000000"/>
                <w:sz w:val="18"/>
                <w:szCs w:val="18"/>
              </w:rPr>
            </w:pPr>
            <w:r w:rsidRPr="00471CBA">
              <w:rPr>
                <w:color w:val="000000"/>
                <w:sz w:val="18"/>
                <w:szCs w:val="18"/>
              </w:rPr>
              <w:t>34.734.606</w:t>
            </w:r>
          </w:p>
        </w:tc>
        <w:tc>
          <w:tcPr>
            <w:tcW w:w="1047" w:type="pct"/>
            <w:tcBorders>
              <w:top w:val="nil"/>
              <w:left w:val="nil"/>
              <w:bottom w:val="nil"/>
              <w:right w:val="nil"/>
            </w:tcBorders>
            <w:vAlign w:val="center"/>
            <w:hideMark/>
          </w:tcPr>
          <w:p w14:paraId="50AA76E4" w14:textId="77777777" w:rsidR="00A74C68" w:rsidRPr="00471CBA" w:rsidRDefault="00A74C68" w:rsidP="00A74C68">
            <w:pPr>
              <w:jc w:val="right"/>
              <w:rPr>
                <w:color w:val="000000"/>
                <w:sz w:val="18"/>
                <w:szCs w:val="18"/>
              </w:rPr>
            </w:pPr>
            <w:r w:rsidRPr="00471CBA">
              <w:rPr>
                <w:sz w:val="18"/>
                <w:szCs w:val="18"/>
              </w:rPr>
              <w:t>333.068</w:t>
            </w:r>
          </w:p>
        </w:tc>
        <w:tc>
          <w:tcPr>
            <w:tcW w:w="1017" w:type="pct"/>
            <w:tcBorders>
              <w:top w:val="nil"/>
              <w:left w:val="nil"/>
              <w:bottom w:val="nil"/>
              <w:right w:val="nil"/>
            </w:tcBorders>
            <w:vAlign w:val="center"/>
            <w:hideMark/>
          </w:tcPr>
          <w:p w14:paraId="369FE8D0" w14:textId="77777777" w:rsidR="00A74C68" w:rsidRPr="00471CBA" w:rsidRDefault="00A74C68" w:rsidP="00A74C68">
            <w:pPr>
              <w:jc w:val="right"/>
              <w:rPr>
                <w:color w:val="000000"/>
                <w:sz w:val="18"/>
                <w:szCs w:val="18"/>
              </w:rPr>
            </w:pPr>
            <w:r w:rsidRPr="00471CBA">
              <w:rPr>
                <w:sz w:val="18"/>
                <w:szCs w:val="18"/>
              </w:rPr>
              <w:t>-</w:t>
            </w:r>
          </w:p>
        </w:tc>
        <w:tc>
          <w:tcPr>
            <w:tcW w:w="950" w:type="pct"/>
            <w:tcBorders>
              <w:top w:val="nil"/>
              <w:left w:val="nil"/>
              <w:bottom w:val="nil"/>
              <w:right w:val="nil"/>
            </w:tcBorders>
            <w:vAlign w:val="center"/>
            <w:hideMark/>
          </w:tcPr>
          <w:p w14:paraId="2FB34131" w14:textId="77777777" w:rsidR="00A74C68" w:rsidRPr="00471CBA" w:rsidRDefault="00A74C68" w:rsidP="00A74C68">
            <w:pPr>
              <w:jc w:val="right"/>
              <w:rPr>
                <w:color w:val="000000"/>
                <w:sz w:val="18"/>
                <w:szCs w:val="18"/>
              </w:rPr>
            </w:pPr>
            <w:r w:rsidRPr="00471CBA">
              <w:rPr>
                <w:sz w:val="18"/>
                <w:szCs w:val="18"/>
              </w:rPr>
              <w:t>10.534</w:t>
            </w:r>
          </w:p>
        </w:tc>
      </w:tr>
      <w:tr w:rsidR="00A74C68" w:rsidRPr="00471CBA" w14:paraId="000D3565" w14:textId="77777777" w:rsidTr="00A74C68">
        <w:trPr>
          <w:divId w:val="1300109099"/>
          <w:trHeight w:val="170"/>
        </w:trPr>
        <w:tc>
          <w:tcPr>
            <w:tcW w:w="1229" w:type="pct"/>
            <w:tcBorders>
              <w:top w:val="nil"/>
              <w:left w:val="nil"/>
              <w:bottom w:val="nil"/>
              <w:right w:val="nil"/>
            </w:tcBorders>
            <w:vAlign w:val="center"/>
            <w:hideMark/>
          </w:tcPr>
          <w:p w14:paraId="35C4F191" w14:textId="77777777" w:rsidR="00A74C68" w:rsidRPr="00471CBA" w:rsidRDefault="00A74C68" w:rsidP="00A74C68">
            <w:pPr>
              <w:ind w:firstLineChars="200" w:firstLine="360"/>
              <w:rPr>
                <w:color w:val="000000"/>
                <w:sz w:val="18"/>
                <w:szCs w:val="18"/>
              </w:rPr>
            </w:pPr>
            <w:r w:rsidRPr="00471CBA">
              <w:rPr>
                <w:color w:val="000000"/>
                <w:sz w:val="18"/>
                <w:szCs w:val="18"/>
              </w:rPr>
              <w:t>Tüketici Kredileri</w:t>
            </w:r>
          </w:p>
        </w:tc>
        <w:tc>
          <w:tcPr>
            <w:tcW w:w="757" w:type="pct"/>
            <w:tcBorders>
              <w:top w:val="nil"/>
              <w:left w:val="nil"/>
              <w:bottom w:val="nil"/>
              <w:right w:val="nil"/>
            </w:tcBorders>
            <w:vAlign w:val="center"/>
            <w:hideMark/>
          </w:tcPr>
          <w:p w14:paraId="5F74258F" w14:textId="77777777" w:rsidR="00A74C68" w:rsidRPr="00471CBA" w:rsidRDefault="00A74C68" w:rsidP="00A74C68">
            <w:pPr>
              <w:ind w:firstLineChars="200" w:firstLine="360"/>
              <w:jc w:val="right"/>
              <w:rPr>
                <w:color w:val="000000"/>
                <w:sz w:val="18"/>
                <w:szCs w:val="18"/>
              </w:rPr>
            </w:pPr>
            <w:r w:rsidRPr="00471CBA">
              <w:rPr>
                <w:color w:val="000000"/>
                <w:sz w:val="18"/>
                <w:szCs w:val="18"/>
              </w:rPr>
              <w:t>307.491</w:t>
            </w:r>
          </w:p>
        </w:tc>
        <w:tc>
          <w:tcPr>
            <w:tcW w:w="1047" w:type="pct"/>
            <w:tcBorders>
              <w:top w:val="nil"/>
              <w:left w:val="nil"/>
              <w:bottom w:val="nil"/>
              <w:right w:val="nil"/>
            </w:tcBorders>
            <w:vAlign w:val="center"/>
            <w:hideMark/>
          </w:tcPr>
          <w:p w14:paraId="05D1CFA5" w14:textId="77777777" w:rsidR="00A74C68" w:rsidRPr="00471CBA" w:rsidRDefault="00A74C68" w:rsidP="00A74C68">
            <w:pPr>
              <w:jc w:val="right"/>
              <w:rPr>
                <w:color w:val="000000"/>
                <w:sz w:val="18"/>
                <w:szCs w:val="18"/>
              </w:rPr>
            </w:pPr>
            <w:r w:rsidRPr="00471CBA">
              <w:rPr>
                <w:sz w:val="18"/>
                <w:szCs w:val="18"/>
              </w:rPr>
              <w:t>44</w:t>
            </w:r>
          </w:p>
        </w:tc>
        <w:tc>
          <w:tcPr>
            <w:tcW w:w="1017" w:type="pct"/>
            <w:tcBorders>
              <w:top w:val="nil"/>
              <w:left w:val="nil"/>
              <w:bottom w:val="nil"/>
              <w:right w:val="nil"/>
            </w:tcBorders>
            <w:vAlign w:val="center"/>
            <w:hideMark/>
          </w:tcPr>
          <w:p w14:paraId="5D17A79C" w14:textId="77777777" w:rsidR="00A74C68" w:rsidRPr="00471CBA" w:rsidRDefault="00A74C68" w:rsidP="00A74C68">
            <w:pPr>
              <w:jc w:val="right"/>
              <w:rPr>
                <w:color w:val="000000"/>
                <w:sz w:val="18"/>
                <w:szCs w:val="18"/>
              </w:rPr>
            </w:pPr>
            <w:r w:rsidRPr="00471CBA">
              <w:rPr>
                <w:sz w:val="18"/>
                <w:szCs w:val="18"/>
              </w:rPr>
              <w:t>-</w:t>
            </w:r>
          </w:p>
        </w:tc>
        <w:tc>
          <w:tcPr>
            <w:tcW w:w="950" w:type="pct"/>
            <w:tcBorders>
              <w:top w:val="nil"/>
              <w:left w:val="nil"/>
              <w:bottom w:val="nil"/>
              <w:right w:val="nil"/>
            </w:tcBorders>
            <w:vAlign w:val="center"/>
            <w:hideMark/>
          </w:tcPr>
          <w:p w14:paraId="6F85EE20" w14:textId="77777777" w:rsidR="00A74C68" w:rsidRPr="00471CBA" w:rsidRDefault="00A74C68" w:rsidP="00A74C68">
            <w:pPr>
              <w:jc w:val="right"/>
              <w:rPr>
                <w:color w:val="000000"/>
                <w:sz w:val="18"/>
                <w:szCs w:val="18"/>
              </w:rPr>
            </w:pPr>
            <w:r w:rsidRPr="00471CBA">
              <w:rPr>
                <w:sz w:val="18"/>
                <w:szCs w:val="18"/>
              </w:rPr>
              <w:t>-</w:t>
            </w:r>
          </w:p>
        </w:tc>
      </w:tr>
      <w:tr w:rsidR="00A74C68" w:rsidRPr="00471CBA" w14:paraId="6C32DDB2" w14:textId="77777777" w:rsidTr="00A74C68">
        <w:trPr>
          <w:divId w:val="1300109099"/>
          <w:trHeight w:val="170"/>
        </w:trPr>
        <w:tc>
          <w:tcPr>
            <w:tcW w:w="1229" w:type="pct"/>
            <w:tcBorders>
              <w:top w:val="nil"/>
              <w:left w:val="nil"/>
              <w:bottom w:val="nil"/>
              <w:right w:val="nil"/>
            </w:tcBorders>
            <w:vAlign w:val="center"/>
            <w:hideMark/>
          </w:tcPr>
          <w:p w14:paraId="15C6093C" w14:textId="77777777" w:rsidR="00A74C68" w:rsidRPr="00471CBA" w:rsidRDefault="00A74C68" w:rsidP="00A74C68">
            <w:pPr>
              <w:ind w:firstLineChars="200" w:firstLine="360"/>
              <w:rPr>
                <w:color w:val="000000"/>
                <w:sz w:val="18"/>
                <w:szCs w:val="18"/>
              </w:rPr>
            </w:pPr>
            <w:r w:rsidRPr="00471CBA">
              <w:rPr>
                <w:color w:val="000000"/>
                <w:sz w:val="18"/>
                <w:szCs w:val="18"/>
              </w:rPr>
              <w:t>Kredi Kartları</w:t>
            </w:r>
          </w:p>
        </w:tc>
        <w:tc>
          <w:tcPr>
            <w:tcW w:w="757" w:type="pct"/>
            <w:tcBorders>
              <w:top w:val="nil"/>
              <w:left w:val="nil"/>
              <w:bottom w:val="nil"/>
              <w:right w:val="nil"/>
            </w:tcBorders>
            <w:vAlign w:val="center"/>
            <w:hideMark/>
          </w:tcPr>
          <w:p w14:paraId="695CF659" w14:textId="77777777" w:rsidR="00A74C68" w:rsidRPr="00471CBA" w:rsidRDefault="00A74C68" w:rsidP="00A74C68">
            <w:pPr>
              <w:ind w:firstLineChars="200" w:firstLine="360"/>
              <w:jc w:val="right"/>
              <w:rPr>
                <w:color w:val="000000"/>
                <w:sz w:val="18"/>
                <w:szCs w:val="18"/>
              </w:rPr>
            </w:pPr>
            <w:r w:rsidRPr="00471CBA">
              <w:rPr>
                <w:color w:val="000000"/>
                <w:sz w:val="18"/>
                <w:szCs w:val="18"/>
              </w:rPr>
              <w:t>15.947</w:t>
            </w:r>
          </w:p>
        </w:tc>
        <w:tc>
          <w:tcPr>
            <w:tcW w:w="1047" w:type="pct"/>
            <w:tcBorders>
              <w:top w:val="nil"/>
              <w:left w:val="nil"/>
              <w:bottom w:val="nil"/>
              <w:right w:val="nil"/>
            </w:tcBorders>
            <w:vAlign w:val="center"/>
            <w:hideMark/>
          </w:tcPr>
          <w:p w14:paraId="2E639AA1" w14:textId="77777777" w:rsidR="00A74C68" w:rsidRPr="00471CBA" w:rsidRDefault="00A74C68" w:rsidP="00A74C68">
            <w:pPr>
              <w:jc w:val="right"/>
              <w:rPr>
                <w:color w:val="000000"/>
                <w:sz w:val="18"/>
                <w:szCs w:val="18"/>
              </w:rPr>
            </w:pPr>
            <w:r w:rsidRPr="00471CBA">
              <w:rPr>
                <w:sz w:val="18"/>
                <w:szCs w:val="18"/>
              </w:rPr>
              <w:t>-</w:t>
            </w:r>
          </w:p>
        </w:tc>
        <w:tc>
          <w:tcPr>
            <w:tcW w:w="1017" w:type="pct"/>
            <w:tcBorders>
              <w:top w:val="nil"/>
              <w:left w:val="nil"/>
              <w:bottom w:val="nil"/>
              <w:right w:val="nil"/>
            </w:tcBorders>
            <w:vAlign w:val="center"/>
            <w:hideMark/>
          </w:tcPr>
          <w:p w14:paraId="3E2FE223" w14:textId="77777777" w:rsidR="00A74C68" w:rsidRPr="00471CBA" w:rsidRDefault="00A74C68" w:rsidP="00A74C68">
            <w:pPr>
              <w:jc w:val="right"/>
              <w:rPr>
                <w:color w:val="000000"/>
                <w:sz w:val="18"/>
                <w:szCs w:val="18"/>
              </w:rPr>
            </w:pPr>
            <w:r w:rsidRPr="00471CBA">
              <w:rPr>
                <w:sz w:val="18"/>
                <w:szCs w:val="18"/>
              </w:rPr>
              <w:t>-</w:t>
            </w:r>
          </w:p>
        </w:tc>
        <w:tc>
          <w:tcPr>
            <w:tcW w:w="950" w:type="pct"/>
            <w:tcBorders>
              <w:top w:val="nil"/>
              <w:left w:val="nil"/>
              <w:bottom w:val="nil"/>
              <w:right w:val="nil"/>
            </w:tcBorders>
            <w:vAlign w:val="center"/>
            <w:hideMark/>
          </w:tcPr>
          <w:p w14:paraId="4E0335C6" w14:textId="77777777" w:rsidR="00A74C68" w:rsidRPr="00471CBA" w:rsidRDefault="00A74C68" w:rsidP="00A74C68">
            <w:pPr>
              <w:jc w:val="right"/>
              <w:rPr>
                <w:color w:val="000000"/>
                <w:sz w:val="18"/>
                <w:szCs w:val="18"/>
              </w:rPr>
            </w:pPr>
            <w:r w:rsidRPr="00471CBA">
              <w:rPr>
                <w:sz w:val="18"/>
                <w:szCs w:val="18"/>
              </w:rPr>
              <w:t>-</w:t>
            </w:r>
          </w:p>
        </w:tc>
      </w:tr>
      <w:tr w:rsidR="00A74C68" w:rsidRPr="00471CBA" w14:paraId="60BB80F3" w14:textId="77777777" w:rsidTr="00A74C68">
        <w:trPr>
          <w:divId w:val="1300109099"/>
          <w:trHeight w:val="170"/>
        </w:trPr>
        <w:tc>
          <w:tcPr>
            <w:tcW w:w="1229" w:type="pct"/>
            <w:tcBorders>
              <w:top w:val="nil"/>
              <w:left w:val="nil"/>
              <w:bottom w:val="nil"/>
              <w:right w:val="nil"/>
            </w:tcBorders>
            <w:vAlign w:val="center"/>
            <w:hideMark/>
          </w:tcPr>
          <w:p w14:paraId="766FDDA9" w14:textId="77777777" w:rsidR="00A74C68" w:rsidRPr="00471CBA" w:rsidRDefault="00A74C68" w:rsidP="00A74C68">
            <w:pPr>
              <w:ind w:left="641" w:hanging="283"/>
              <w:rPr>
                <w:sz w:val="18"/>
                <w:szCs w:val="18"/>
              </w:rPr>
            </w:pPr>
            <w:r w:rsidRPr="00471CBA">
              <w:rPr>
                <w:sz w:val="18"/>
                <w:szCs w:val="18"/>
              </w:rPr>
              <w:t>Mali Kesime Verilen Krediler</w:t>
            </w:r>
          </w:p>
        </w:tc>
        <w:tc>
          <w:tcPr>
            <w:tcW w:w="757" w:type="pct"/>
            <w:tcBorders>
              <w:top w:val="nil"/>
              <w:left w:val="nil"/>
              <w:bottom w:val="nil"/>
              <w:right w:val="nil"/>
            </w:tcBorders>
            <w:vAlign w:val="center"/>
            <w:hideMark/>
          </w:tcPr>
          <w:p w14:paraId="3C97A118" w14:textId="77777777" w:rsidR="00A74C68" w:rsidRPr="00471CBA" w:rsidRDefault="00A74C68" w:rsidP="00A74C68">
            <w:pPr>
              <w:ind w:firstLineChars="200" w:firstLine="360"/>
              <w:jc w:val="right"/>
              <w:rPr>
                <w:color w:val="000000"/>
                <w:sz w:val="18"/>
                <w:szCs w:val="18"/>
              </w:rPr>
            </w:pPr>
            <w:r w:rsidRPr="00471CBA">
              <w:rPr>
                <w:color w:val="000000"/>
                <w:sz w:val="18"/>
                <w:szCs w:val="18"/>
              </w:rPr>
              <w:t>3.805.003</w:t>
            </w:r>
          </w:p>
        </w:tc>
        <w:tc>
          <w:tcPr>
            <w:tcW w:w="1047" w:type="pct"/>
            <w:tcBorders>
              <w:top w:val="nil"/>
              <w:left w:val="nil"/>
              <w:bottom w:val="nil"/>
              <w:right w:val="nil"/>
            </w:tcBorders>
            <w:vAlign w:val="center"/>
            <w:hideMark/>
          </w:tcPr>
          <w:p w14:paraId="200BE392" w14:textId="77777777" w:rsidR="00A74C68" w:rsidRPr="00471CBA" w:rsidRDefault="00A74C68" w:rsidP="00A74C68">
            <w:pPr>
              <w:jc w:val="right"/>
              <w:rPr>
                <w:color w:val="000000"/>
                <w:sz w:val="18"/>
                <w:szCs w:val="18"/>
              </w:rPr>
            </w:pPr>
            <w:r w:rsidRPr="00471CBA">
              <w:rPr>
                <w:sz w:val="18"/>
                <w:szCs w:val="18"/>
              </w:rPr>
              <w:t>-</w:t>
            </w:r>
          </w:p>
        </w:tc>
        <w:tc>
          <w:tcPr>
            <w:tcW w:w="1017" w:type="pct"/>
            <w:tcBorders>
              <w:top w:val="nil"/>
              <w:left w:val="nil"/>
              <w:bottom w:val="nil"/>
              <w:right w:val="nil"/>
            </w:tcBorders>
            <w:vAlign w:val="center"/>
            <w:hideMark/>
          </w:tcPr>
          <w:p w14:paraId="03262751" w14:textId="77777777" w:rsidR="00A74C68" w:rsidRPr="00471CBA" w:rsidRDefault="00A74C68" w:rsidP="00A74C68">
            <w:pPr>
              <w:jc w:val="right"/>
              <w:rPr>
                <w:color w:val="000000"/>
                <w:sz w:val="18"/>
                <w:szCs w:val="18"/>
              </w:rPr>
            </w:pPr>
            <w:r w:rsidRPr="00471CBA">
              <w:rPr>
                <w:sz w:val="18"/>
                <w:szCs w:val="18"/>
              </w:rPr>
              <w:t>-</w:t>
            </w:r>
          </w:p>
        </w:tc>
        <w:tc>
          <w:tcPr>
            <w:tcW w:w="950" w:type="pct"/>
            <w:tcBorders>
              <w:top w:val="nil"/>
              <w:left w:val="nil"/>
              <w:bottom w:val="nil"/>
              <w:right w:val="nil"/>
            </w:tcBorders>
            <w:vAlign w:val="center"/>
            <w:hideMark/>
          </w:tcPr>
          <w:p w14:paraId="69BF08A5" w14:textId="77777777" w:rsidR="00A74C68" w:rsidRPr="00471CBA" w:rsidRDefault="00A74C68" w:rsidP="00A74C68">
            <w:pPr>
              <w:jc w:val="right"/>
              <w:rPr>
                <w:color w:val="000000"/>
                <w:sz w:val="18"/>
                <w:szCs w:val="18"/>
              </w:rPr>
            </w:pPr>
            <w:r w:rsidRPr="00471CBA">
              <w:rPr>
                <w:sz w:val="18"/>
                <w:szCs w:val="18"/>
              </w:rPr>
              <w:t>-</w:t>
            </w:r>
          </w:p>
        </w:tc>
      </w:tr>
      <w:tr w:rsidR="00A74C68" w:rsidRPr="00471CBA" w14:paraId="20D6A5B7" w14:textId="77777777" w:rsidTr="00A74C68">
        <w:trPr>
          <w:divId w:val="1300109099"/>
          <w:trHeight w:val="170"/>
        </w:trPr>
        <w:tc>
          <w:tcPr>
            <w:tcW w:w="1229" w:type="pct"/>
            <w:tcBorders>
              <w:top w:val="nil"/>
              <w:left w:val="nil"/>
              <w:bottom w:val="nil"/>
              <w:right w:val="nil"/>
            </w:tcBorders>
            <w:vAlign w:val="center"/>
            <w:hideMark/>
          </w:tcPr>
          <w:p w14:paraId="144EE769" w14:textId="77777777" w:rsidR="00A74C68" w:rsidRPr="00471CBA" w:rsidRDefault="00A74C68" w:rsidP="00A74C68">
            <w:pPr>
              <w:ind w:firstLineChars="200" w:firstLine="360"/>
              <w:rPr>
                <w:color w:val="000000"/>
                <w:sz w:val="18"/>
                <w:szCs w:val="18"/>
                <w:vertAlign w:val="superscript"/>
              </w:rPr>
            </w:pPr>
            <w:r w:rsidRPr="00471CBA">
              <w:rPr>
                <w:color w:val="000000"/>
                <w:sz w:val="18"/>
                <w:szCs w:val="18"/>
              </w:rPr>
              <w:t>Diğer</w:t>
            </w:r>
          </w:p>
        </w:tc>
        <w:tc>
          <w:tcPr>
            <w:tcW w:w="757" w:type="pct"/>
            <w:tcBorders>
              <w:top w:val="nil"/>
              <w:left w:val="nil"/>
              <w:bottom w:val="nil"/>
              <w:right w:val="nil"/>
            </w:tcBorders>
            <w:vAlign w:val="center"/>
            <w:hideMark/>
          </w:tcPr>
          <w:p w14:paraId="321067A9" w14:textId="77777777" w:rsidR="00A74C68" w:rsidRPr="00471CBA" w:rsidRDefault="00A74C68" w:rsidP="00A74C68">
            <w:pPr>
              <w:ind w:firstLineChars="200" w:firstLine="360"/>
              <w:jc w:val="right"/>
              <w:rPr>
                <w:color w:val="000000"/>
                <w:sz w:val="18"/>
                <w:szCs w:val="18"/>
              </w:rPr>
            </w:pPr>
            <w:r w:rsidRPr="00471CBA">
              <w:rPr>
                <w:color w:val="000000"/>
                <w:sz w:val="18"/>
                <w:szCs w:val="18"/>
              </w:rPr>
              <w:t>11.546.638</w:t>
            </w:r>
          </w:p>
        </w:tc>
        <w:tc>
          <w:tcPr>
            <w:tcW w:w="1047" w:type="pct"/>
            <w:tcBorders>
              <w:top w:val="nil"/>
              <w:left w:val="nil"/>
              <w:bottom w:val="nil"/>
              <w:right w:val="nil"/>
            </w:tcBorders>
            <w:vAlign w:val="center"/>
            <w:hideMark/>
          </w:tcPr>
          <w:p w14:paraId="3A6580EE" w14:textId="77777777" w:rsidR="00A74C68" w:rsidRPr="00471CBA" w:rsidRDefault="00A74C68" w:rsidP="00A74C68">
            <w:pPr>
              <w:jc w:val="right"/>
              <w:rPr>
                <w:color w:val="000000"/>
                <w:sz w:val="18"/>
                <w:szCs w:val="18"/>
              </w:rPr>
            </w:pPr>
            <w:r w:rsidRPr="00471CBA">
              <w:rPr>
                <w:sz w:val="18"/>
                <w:szCs w:val="18"/>
              </w:rPr>
              <w:t>117.013</w:t>
            </w:r>
          </w:p>
        </w:tc>
        <w:tc>
          <w:tcPr>
            <w:tcW w:w="1017" w:type="pct"/>
            <w:tcBorders>
              <w:top w:val="nil"/>
              <w:left w:val="nil"/>
              <w:bottom w:val="nil"/>
              <w:right w:val="nil"/>
            </w:tcBorders>
            <w:vAlign w:val="center"/>
            <w:hideMark/>
          </w:tcPr>
          <w:p w14:paraId="63100FB0" w14:textId="77777777" w:rsidR="00A74C68" w:rsidRPr="00471CBA" w:rsidRDefault="00A74C68" w:rsidP="00A74C68">
            <w:pPr>
              <w:jc w:val="right"/>
              <w:rPr>
                <w:color w:val="000000"/>
                <w:sz w:val="18"/>
                <w:szCs w:val="18"/>
              </w:rPr>
            </w:pPr>
            <w:r w:rsidRPr="00471CBA">
              <w:rPr>
                <w:sz w:val="18"/>
                <w:szCs w:val="18"/>
              </w:rPr>
              <w:t>-</w:t>
            </w:r>
          </w:p>
        </w:tc>
        <w:tc>
          <w:tcPr>
            <w:tcW w:w="950" w:type="pct"/>
            <w:tcBorders>
              <w:top w:val="nil"/>
              <w:left w:val="nil"/>
              <w:bottom w:val="nil"/>
              <w:right w:val="nil"/>
            </w:tcBorders>
            <w:vAlign w:val="center"/>
            <w:hideMark/>
          </w:tcPr>
          <w:p w14:paraId="7A36BBFC" w14:textId="77777777" w:rsidR="00A74C68" w:rsidRPr="00471CBA" w:rsidRDefault="00A74C68" w:rsidP="00A74C68">
            <w:pPr>
              <w:jc w:val="right"/>
              <w:rPr>
                <w:color w:val="000000"/>
                <w:sz w:val="18"/>
                <w:szCs w:val="18"/>
              </w:rPr>
            </w:pPr>
            <w:r w:rsidRPr="00471CBA">
              <w:rPr>
                <w:sz w:val="18"/>
                <w:szCs w:val="18"/>
              </w:rPr>
              <w:t>4.970</w:t>
            </w:r>
          </w:p>
        </w:tc>
      </w:tr>
      <w:tr w:rsidR="00A74C68" w:rsidRPr="00471CBA" w14:paraId="50122507" w14:textId="77777777" w:rsidTr="00A74C68">
        <w:trPr>
          <w:divId w:val="1300109099"/>
          <w:trHeight w:val="170"/>
        </w:trPr>
        <w:tc>
          <w:tcPr>
            <w:tcW w:w="1229" w:type="pct"/>
            <w:tcBorders>
              <w:top w:val="nil"/>
              <w:left w:val="nil"/>
              <w:bottom w:val="single" w:sz="4" w:space="0" w:color="auto"/>
              <w:right w:val="nil"/>
            </w:tcBorders>
            <w:vAlign w:val="center"/>
            <w:hideMark/>
          </w:tcPr>
          <w:p w14:paraId="65A017FF" w14:textId="77777777" w:rsidR="00A74C68" w:rsidRPr="00471CBA" w:rsidRDefault="00A74C68" w:rsidP="00A74C68">
            <w:pPr>
              <w:rPr>
                <w:color w:val="000000"/>
                <w:sz w:val="18"/>
                <w:szCs w:val="18"/>
              </w:rPr>
            </w:pPr>
            <w:r w:rsidRPr="00471CBA">
              <w:rPr>
                <w:color w:val="000000"/>
                <w:sz w:val="18"/>
                <w:szCs w:val="18"/>
              </w:rPr>
              <w:t>Diğer Alacaklar</w:t>
            </w:r>
          </w:p>
        </w:tc>
        <w:tc>
          <w:tcPr>
            <w:tcW w:w="757" w:type="pct"/>
            <w:tcBorders>
              <w:top w:val="nil"/>
              <w:left w:val="nil"/>
              <w:bottom w:val="single" w:sz="4" w:space="0" w:color="auto"/>
              <w:right w:val="nil"/>
            </w:tcBorders>
            <w:vAlign w:val="center"/>
            <w:hideMark/>
          </w:tcPr>
          <w:p w14:paraId="49C58C85" w14:textId="77777777" w:rsidR="00A74C68" w:rsidRPr="00471CBA" w:rsidRDefault="00A74C68" w:rsidP="00A74C68">
            <w:pPr>
              <w:jc w:val="right"/>
              <w:rPr>
                <w:color w:val="000000"/>
                <w:sz w:val="18"/>
                <w:szCs w:val="18"/>
              </w:rPr>
            </w:pPr>
            <w:r w:rsidRPr="00471CBA">
              <w:rPr>
                <w:color w:val="000000"/>
                <w:sz w:val="18"/>
                <w:szCs w:val="18"/>
              </w:rPr>
              <w:t>-</w:t>
            </w:r>
          </w:p>
        </w:tc>
        <w:tc>
          <w:tcPr>
            <w:tcW w:w="1047" w:type="pct"/>
            <w:tcBorders>
              <w:top w:val="nil"/>
              <w:left w:val="nil"/>
              <w:bottom w:val="single" w:sz="4" w:space="0" w:color="auto"/>
              <w:right w:val="nil"/>
            </w:tcBorders>
            <w:vAlign w:val="center"/>
            <w:hideMark/>
          </w:tcPr>
          <w:p w14:paraId="3AAC9FF6" w14:textId="77777777" w:rsidR="00A74C68" w:rsidRPr="00471CBA" w:rsidRDefault="00A74C68" w:rsidP="00A74C68">
            <w:pPr>
              <w:jc w:val="right"/>
              <w:rPr>
                <w:color w:val="000000"/>
                <w:sz w:val="18"/>
                <w:szCs w:val="18"/>
              </w:rPr>
            </w:pPr>
            <w:r w:rsidRPr="00471CBA">
              <w:rPr>
                <w:color w:val="000000"/>
                <w:sz w:val="18"/>
                <w:szCs w:val="18"/>
              </w:rPr>
              <w:t>-</w:t>
            </w:r>
          </w:p>
        </w:tc>
        <w:tc>
          <w:tcPr>
            <w:tcW w:w="1017" w:type="pct"/>
            <w:tcBorders>
              <w:top w:val="nil"/>
              <w:left w:val="nil"/>
              <w:bottom w:val="single" w:sz="4" w:space="0" w:color="auto"/>
              <w:right w:val="nil"/>
            </w:tcBorders>
            <w:vAlign w:val="center"/>
            <w:hideMark/>
          </w:tcPr>
          <w:p w14:paraId="0B816B73" w14:textId="77777777" w:rsidR="00A74C68" w:rsidRPr="00471CBA" w:rsidRDefault="00A74C68" w:rsidP="00A74C68">
            <w:pPr>
              <w:jc w:val="right"/>
              <w:rPr>
                <w:color w:val="000000"/>
                <w:sz w:val="18"/>
                <w:szCs w:val="18"/>
              </w:rPr>
            </w:pPr>
            <w:r w:rsidRPr="00471CBA">
              <w:rPr>
                <w:color w:val="000000"/>
                <w:sz w:val="18"/>
                <w:szCs w:val="18"/>
              </w:rPr>
              <w:t>-</w:t>
            </w:r>
          </w:p>
        </w:tc>
        <w:tc>
          <w:tcPr>
            <w:tcW w:w="950" w:type="pct"/>
            <w:tcBorders>
              <w:top w:val="nil"/>
              <w:left w:val="nil"/>
              <w:bottom w:val="single" w:sz="4" w:space="0" w:color="auto"/>
              <w:right w:val="nil"/>
            </w:tcBorders>
            <w:vAlign w:val="center"/>
            <w:hideMark/>
          </w:tcPr>
          <w:p w14:paraId="7F03CE66"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11858197" w14:textId="77777777" w:rsidTr="00A74C68">
        <w:trPr>
          <w:divId w:val="1300109099"/>
          <w:trHeight w:val="170"/>
        </w:trPr>
        <w:tc>
          <w:tcPr>
            <w:tcW w:w="1229" w:type="pct"/>
            <w:tcBorders>
              <w:top w:val="nil"/>
              <w:left w:val="nil"/>
              <w:right w:val="nil"/>
            </w:tcBorders>
            <w:vAlign w:val="center"/>
            <w:hideMark/>
          </w:tcPr>
          <w:p w14:paraId="63234EB0" w14:textId="77777777" w:rsidR="00A74C68" w:rsidRPr="00471CBA" w:rsidRDefault="00A74C68" w:rsidP="00A74C68">
            <w:pPr>
              <w:jc w:val="right"/>
              <w:rPr>
                <w:color w:val="000000"/>
                <w:sz w:val="18"/>
                <w:szCs w:val="18"/>
              </w:rPr>
            </w:pPr>
          </w:p>
        </w:tc>
        <w:tc>
          <w:tcPr>
            <w:tcW w:w="757" w:type="pct"/>
            <w:tcBorders>
              <w:top w:val="nil"/>
              <w:left w:val="nil"/>
              <w:right w:val="nil"/>
            </w:tcBorders>
            <w:vAlign w:val="center"/>
            <w:hideMark/>
          </w:tcPr>
          <w:p w14:paraId="5C8EAB46" w14:textId="77777777" w:rsidR="00A74C68" w:rsidRPr="00471CBA" w:rsidRDefault="00A74C68" w:rsidP="00A74C68">
            <w:pPr>
              <w:jc w:val="right"/>
              <w:rPr>
                <w:sz w:val="18"/>
                <w:szCs w:val="18"/>
              </w:rPr>
            </w:pPr>
          </w:p>
        </w:tc>
        <w:tc>
          <w:tcPr>
            <w:tcW w:w="1047" w:type="pct"/>
            <w:tcBorders>
              <w:top w:val="nil"/>
              <w:left w:val="nil"/>
              <w:right w:val="nil"/>
            </w:tcBorders>
            <w:vAlign w:val="center"/>
            <w:hideMark/>
          </w:tcPr>
          <w:p w14:paraId="684D8780" w14:textId="77777777" w:rsidR="00A74C68" w:rsidRPr="00471CBA" w:rsidRDefault="00A74C68" w:rsidP="00A74C68">
            <w:pPr>
              <w:jc w:val="right"/>
              <w:rPr>
                <w:sz w:val="18"/>
                <w:szCs w:val="18"/>
              </w:rPr>
            </w:pPr>
          </w:p>
        </w:tc>
        <w:tc>
          <w:tcPr>
            <w:tcW w:w="1017" w:type="pct"/>
            <w:tcBorders>
              <w:top w:val="nil"/>
              <w:left w:val="nil"/>
              <w:right w:val="nil"/>
            </w:tcBorders>
            <w:vAlign w:val="center"/>
            <w:hideMark/>
          </w:tcPr>
          <w:p w14:paraId="015428FF" w14:textId="77777777" w:rsidR="00A74C68" w:rsidRPr="00471CBA" w:rsidRDefault="00A74C68" w:rsidP="00A74C68">
            <w:pPr>
              <w:jc w:val="right"/>
              <w:rPr>
                <w:sz w:val="18"/>
                <w:szCs w:val="18"/>
              </w:rPr>
            </w:pPr>
          </w:p>
        </w:tc>
        <w:tc>
          <w:tcPr>
            <w:tcW w:w="950" w:type="pct"/>
            <w:tcBorders>
              <w:top w:val="nil"/>
              <w:left w:val="nil"/>
              <w:right w:val="nil"/>
            </w:tcBorders>
            <w:vAlign w:val="center"/>
            <w:hideMark/>
          </w:tcPr>
          <w:p w14:paraId="14B57CE8" w14:textId="77777777" w:rsidR="00A74C68" w:rsidRPr="00471CBA" w:rsidRDefault="00A74C68" w:rsidP="00A74C68">
            <w:pPr>
              <w:jc w:val="right"/>
              <w:rPr>
                <w:sz w:val="18"/>
                <w:szCs w:val="18"/>
              </w:rPr>
            </w:pPr>
          </w:p>
        </w:tc>
      </w:tr>
      <w:tr w:rsidR="00A74C68" w:rsidRPr="00471CBA" w14:paraId="1F08979F" w14:textId="77777777" w:rsidTr="00A74C68">
        <w:trPr>
          <w:divId w:val="1300109099"/>
          <w:trHeight w:val="170"/>
        </w:trPr>
        <w:tc>
          <w:tcPr>
            <w:tcW w:w="1229" w:type="pct"/>
            <w:tcBorders>
              <w:top w:val="nil"/>
              <w:left w:val="nil"/>
              <w:bottom w:val="single" w:sz="12" w:space="0" w:color="auto"/>
              <w:right w:val="nil"/>
            </w:tcBorders>
            <w:vAlign w:val="center"/>
            <w:hideMark/>
          </w:tcPr>
          <w:p w14:paraId="49C92A66" w14:textId="77777777" w:rsidR="00A74C68" w:rsidRPr="00471CBA" w:rsidRDefault="00A74C68" w:rsidP="00A74C68">
            <w:pPr>
              <w:rPr>
                <w:b/>
                <w:bCs/>
                <w:color w:val="000000"/>
                <w:sz w:val="18"/>
                <w:szCs w:val="18"/>
              </w:rPr>
            </w:pPr>
            <w:r w:rsidRPr="00471CBA">
              <w:rPr>
                <w:b/>
                <w:bCs/>
                <w:color w:val="000000"/>
                <w:sz w:val="18"/>
                <w:szCs w:val="18"/>
              </w:rPr>
              <w:t xml:space="preserve">Toplam </w:t>
            </w:r>
          </w:p>
        </w:tc>
        <w:tc>
          <w:tcPr>
            <w:tcW w:w="757" w:type="pct"/>
            <w:tcBorders>
              <w:top w:val="nil"/>
              <w:left w:val="nil"/>
              <w:bottom w:val="single" w:sz="12" w:space="0" w:color="auto"/>
              <w:right w:val="nil"/>
            </w:tcBorders>
            <w:vAlign w:val="center"/>
            <w:hideMark/>
          </w:tcPr>
          <w:p w14:paraId="456C7783" w14:textId="77777777" w:rsidR="00A74C68" w:rsidRPr="00471CBA" w:rsidRDefault="00A74C68" w:rsidP="00A74C68">
            <w:pPr>
              <w:jc w:val="right"/>
              <w:rPr>
                <w:b/>
                <w:bCs/>
                <w:color w:val="000000"/>
                <w:sz w:val="18"/>
                <w:szCs w:val="18"/>
              </w:rPr>
            </w:pPr>
            <w:r w:rsidRPr="00471CBA">
              <w:rPr>
                <w:b/>
                <w:bCs/>
                <w:color w:val="000000"/>
                <w:sz w:val="18"/>
                <w:szCs w:val="18"/>
              </w:rPr>
              <w:t>51.404.015</w:t>
            </w:r>
          </w:p>
        </w:tc>
        <w:tc>
          <w:tcPr>
            <w:tcW w:w="1047" w:type="pct"/>
            <w:tcBorders>
              <w:top w:val="nil"/>
              <w:left w:val="nil"/>
              <w:bottom w:val="single" w:sz="12" w:space="0" w:color="auto"/>
              <w:right w:val="nil"/>
            </w:tcBorders>
            <w:vAlign w:val="center"/>
            <w:hideMark/>
          </w:tcPr>
          <w:p w14:paraId="6D31C6B0" w14:textId="77777777" w:rsidR="00A74C68" w:rsidRPr="00471CBA" w:rsidRDefault="00A74C68" w:rsidP="00A74C68">
            <w:pPr>
              <w:jc w:val="right"/>
              <w:rPr>
                <w:b/>
                <w:bCs/>
                <w:color w:val="000000"/>
                <w:sz w:val="18"/>
                <w:szCs w:val="18"/>
              </w:rPr>
            </w:pPr>
            <w:r w:rsidRPr="00471CBA">
              <w:rPr>
                <w:b/>
                <w:bCs/>
                <w:color w:val="000000"/>
                <w:sz w:val="18"/>
                <w:szCs w:val="18"/>
              </w:rPr>
              <w:t>450.125</w:t>
            </w:r>
          </w:p>
        </w:tc>
        <w:tc>
          <w:tcPr>
            <w:tcW w:w="1017" w:type="pct"/>
            <w:tcBorders>
              <w:top w:val="nil"/>
              <w:left w:val="nil"/>
              <w:bottom w:val="single" w:sz="12" w:space="0" w:color="auto"/>
              <w:right w:val="nil"/>
            </w:tcBorders>
            <w:vAlign w:val="center"/>
            <w:hideMark/>
          </w:tcPr>
          <w:p w14:paraId="29A02F92" w14:textId="77777777" w:rsidR="00A74C68" w:rsidRPr="00471CBA" w:rsidRDefault="00A74C68" w:rsidP="00A74C68">
            <w:pPr>
              <w:jc w:val="right"/>
              <w:rPr>
                <w:b/>
                <w:bCs/>
                <w:color w:val="000000"/>
                <w:sz w:val="18"/>
                <w:szCs w:val="18"/>
              </w:rPr>
            </w:pPr>
            <w:r w:rsidRPr="00471CBA">
              <w:rPr>
                <w:b/>
                <w:bCs/>
                <w:color w:val="000000"/>
                <w:sz w:val="18"/>
                <w:szCs w:val="18"/>
              </w:rPr>
              <w:t>-</w:t>
            </w:r>
          </w:p>
        </w:tc>
        <w:tc>
          <w:tcPr>
            <w:tcW w:w="950" w:type="pct"/>
            <w:tcBorders>
              <w:top w:val="nil"/>
              <w:left w:val="nil"/>
              <w:bottom w:val="single" w:sz="12" w:space="0" w:color="auto"/>
              <w:right w:val="nil"/>
            </w:tcBorders>
            <w:vAlign w:val="center"/>
            <w:hideMark/>
          </w:tcPr>
          <w:p w14:paraId="014DC198" w14:textId="77777777" w:rsidR="00A74C68" w:rsidRPr="00471CBA" w:rsidRDefault="00A74C68" w:rsidP="00A74C68">
            <w:pPr>
              <w:jc w:val="right"/>
              <w:rPr>
                <w:b/>
                <w:bCs/>
                <w:color w:val="000000"/>
                <w:sz w:val="18"/>
                <w:szCs w:val="18"/>
              </w:rPr>
            </w:pPr>
            <w:r w:rsidRPr="00471CBA">
              <w:rPr>
                <w:b/>
                <w:bCs/>
                <w:color w:val="000000"/>
                <w:sz w:val="18"/>
                <w:szCs w:val="18"/>
              </w:rPr>
              <w:t>15.504</w:t>
            </w:r>
          </w:p>
        </w:tc>
      </w:tr>
    </w:tbl>
    <w:p w14:paraId="7BDB19B2" w14:textId="1D2F64AC" w:rsidR="008E26A1" w:rsidRPr="00471CBA" w:rsidRDefault="008E26A1" w:rsidP="00AE0899">
      <w:pPr>
        <w:widowControl w:val="0"/>
        <w:ind w:right="187"/>
        <w:jc w:val="both"/>
        <w:rPr>
          <w:szCs w:val="20"/>
        </w:rPr>
      </w:pPr>
    </w:p>
    <w:p w14:paraId="46BCF26B" w14:textId="1C39A6FC" w:rsidR="00873DBD" w:rsidRPr="00471CBA" w:rsidRDefault="00E96B8E" w:rsidP="005B751B">
      <w:pPr>
        <w:autoSpaceDE w:val="0"/>
        <w:autoSpaceDN w:val="0"/>
        <w:adjustRightInd w:val="0"/>
        <w:spacing w:after="120"/>
        <w:ind w:left="283" w:hanging="323"/>
        <w:jc w:val="both"/>
        <w:rPr>
          <w:sz w:val="18"/>
          <w:szCs w:val="18"/>
        </w:rPr>
      </w:pPr>
      <w:r w:rsidRPr="00471CBA">
        <w:rPr>
          <w:sz w:val="18"/>
          <w:szCs w:val="18"/>
          <w:vertAlign w:val="superscript"/>
        </w:rPr>
        <w:t xml:space="preserve">(*) </w:t>
      </w:r>
      <w:r w:rsidRPr="00471CBA">
        <w:rPr>
          <w:sz w:val="18"/>
          <w:szCs w:val="18"/>
        </w:rPr>
        <w:t>Diğer kredilerin detayı aşağıdaki gibidir:</w:t>
      </w:r>
    </w:p>
    <w:p w14:paraId="5A94DEF1" w14:textId="77777777" w:rsidR="00E96B8E" w:rsidRPr="00471CBA" w:rsidRDefault="00E96B8E" w:rsidP="005B751B">
      <w:pPr>
        <w:autoSpaceDE w:val="0"/>
        <w:autoSpaceDN w:val="0"/>
        <w:adjustRightInd w:val="0"/>
        <w:spacing w:after="120"/>
        <w:ind w:left="283" w:hanging="323"/>
        <w:jc w:val="both"/>
        <w:rPr>
          <w:sz w:val="18"/>
          <w:szCs w:val="18"/>
        </w:rPr>
      </w:pPr>
    </w:p>
    <w:tbl>
      <w:tblPr>
        <w:tblW w:w="5000" w:type="pct"/>
        <w:tblCellMar>
          <w:left w:w="70" w:type="dxa"/>
          <w:right w:w="70" w:type="dxa"/>
        </w:tblCellMar>
        <w:tblLook w:val="04A0" w:firstRow="1" w:lastRow="0" w:firstColumn="1" w:lastColumn="0" w:noHBand="0" w:noVBand="1"/>
      </w:tblPr>
      <w:tblGrid>
        <w:gridCol w:w="6489"/>
        <w:gridCol w:w="2866"/>
      </w:tblGrid>
      <w:tr w:rsidR="00FA7BA2" w:rsidRPr="00471CBA" w14:paraId="68A3340D" w14:textId="77777777" w:rsidTr="00B0137C">
        <w:trPr>
          <w:trHeight w:val="170"/>
        </w:trPr>
        <w:tc>
          <w:tcPr>
            <w:tcW w:w="3468" w:type="pct"/>
            <w:tcBorders>
              <w:top w:val="nil"/>
              <w:left w:val="nil"/>
              <w:bottom w:val="nil"/>
              <w:right w:val="nil"/>
            </w:tcBorders>
            <w:noWrap/>
            <w:vAlign w:val="center"/>
            <w:hideMark/>
          </w:tcPr>
          <w:p w14:paraId="34A222D1" w14:textId="77777777" w:rsidR="00FA7BA2" w:rsidRPr="00471CBA" w:rsidRDefault="00FA7BA2" w:rsidP="00FA7BA2">
            <w:pPr>
              <w:rPr>
                <w:color w:val="000000"/>
                <w:szCs w:val="20"/>
                <w:lang w:eastAsia="tr-TR"/>
              </w:rPr>
            </w:pPr>
            <w:r w:rsidRPr="00471CBA">
              <w:rPr>
                <w:color w:val="000000"/>
                <w:szCs w:val="20"/>
                <w:lang w:eastAsia="tr-TR"/>
              </w:rPr>
              <w:t>Taksitli Ticari Krediler</w:t>
            </w:r>
          </w:p>
        </w:tc>
        <w:tc>
          <w:tcPr>
            <w:tcW w:w="1532" w:type="pct"/>
            <w:tcBorders>
              <w:top w:val="nil"/>
              <w:left w:val="nil"/>
              <w:bottom w:val="nil"/>
              <w:right w:val="nil"/>
            </w:tcBorders>
            <w:hideMark/>
          </w:tcPr>
          <w:p w14:paraId="4B1E68B1" w14:textId="20D3E062" w:rsidR="00FA7BA2" w:rsidRPr="00471CBA" w:rsidRDefault="00FA7BA2" w:rsidP="00FA7BA2">
            <w:pPr>
              <w:jc w:val="right"/>
              <w:rPr>
                <w:color w:val="000000"/>
                <w:szCs w:val="20"/>
                <w:lang w:eastAsia="tr-TR"/>
              </w:rPr>
            </w:pPr>
            <w:r w:rsidRPr="00471CBA">
              <w:t>2.385.209</w:t>
            </w:r>
          </w:p>
        </w:tc>
      </w:tr>
      <w:tr w:rsidR="00FA7BA2" w:rsidRPr="00471CBA" w14:paraId="2ACAF48B" w14:textId="77777777" w:rsidTr="00B0137C">
        <w:trPr>
          <w:trHeight w:val="170"/>
        </w:trPr>
        <w:tc>
          <w:tcPr>
            <w:tcW w:w="3468" w:type="pct"/>
            <w:tcBorders>
              <w:top w:val="nil"/>
              <w:left w:val="nil"/>
              <w:right w:val="nil"/>
            </w:tcBorders>
            <w:noWrap/>
            <w:vAlign w:val="center"/>
          </w:tcPr>
          <w:p w14:paraId="5810CA30" w14:textId="77777777" w:rsidR="00FA7BA2" w:rsidRPr="00471CBA" w:rsidRDefault="00FA7BA2" w:rsidP="00FA7BA2">
            <w:pPr>
              <w:rPr>
                <w:color w:val="000000"/>
                <w:szCs w:val="20"/>
                <w:lang w:eastAsia="tr-TR"/>
              </w:rPr>
            </w:pPr>
            <w:r w:rsidRPr="00471CBA">
              <w:rPr>
                <w:color w:val="000000"/>
                <w:szCs w:val="20"/>
                <w:lang w:eastAsia="tr-TR"/>
              </w:rPr>
              <w:t>Kıymetli Maden Kredileri</w:t>
            </w:r>
          </w:p>
        </w:tc>
        <w:tc>
          <w:tcPr>
            <w:tcW w:w="1532" w:type="pct"/>
            <w:tcBorders>
              <w:top w:val="nil"/>
              <w:left w:val="nil"/>
              <w:right w:val="nil"/>
            </w:tcBorders>
          </w:tcPr>
          <w:p w14:paraId="172969C2" w14:textId="5769E832" w:rsidR="00FA7BA2" w:rsidRPr="00471CBA" w:rsidRDefault="00FA7BA2" w:rsidP="00FA7BA2">
            <w:pPr>
              <w:jc w:val="right"/>
              <w:rPr>
                <w:color w:val="000000"/>
                <w:szCs w:val="20"/>
                <w:lang w:eastAsia="tr-TR"/>
              </w:rPr>
            </w:pPr>
            <w:r w:rsidRPr="00471CBA">
              <w:t>8.603.085</w:t>
            </w:r>
          </w:p>
        </w:tc>
      </w:tr>
      <w:tr w:rsidR="00FA7BA2" w:rsidRPr="00471CBA" w14:paraId="284E294D" w14:textId="77777777" w:rsidTr="00B0137C">
        <w:trPr>
          <w:trHeight w:val="170"/>
        </w:trPr>
        <w:tc>
          <w:tcPr>
            <w:tcW w:w="3468" w:type="pct"/>
            <w:tcBorders>
              <w:top w:val="nil"/>
              <w:left w:val="nil"/>
              <w:right w:val="nil"/>
            </w:tcBorders>
            <w:noWrap/>
            <w:vAlign w:val="center"/>
          </w:tcPr>
          <w:p w14:paraId="1EB2B3A7" w14:textId="5B09EFFF" w:rsidR="00FA7BA2" w:rsidRPr="00471CBA" w:rsidRDefault="00FA7BA2" w:rsidP="00F3707B">
            <w:pPr>
              <w:rPr>
                <w:color w:val="000000"/>
                <w:szCs w:val="20"/>
                <w:lang w:eastAsia="tr-TR"/>
              </w:rPr>
            </w:pPr>
            <w:r w:rsidRPr="00471CBA">
              <w:rPr>
                <w:color w:val="000000"/>
                <w:szCs w:val="20"/>
                <w:lang w:eastAsia="tr-TR"/>
              </w:rPr>
              <w:t>Yurtdışı krediler</w:t>
            </w:r>
          </w:p>
        </w:tc>
        <w:tc>
          <w:tcPr>
            <w:tcW w:w="1532" w:type="pct"/>
            <w:tcBorders>
              <w:top w:val="nil"/>
              <w:left w:val="nil"/>
              <w:right w:val="nil"/>
            </w:tcBorders>
          </w:tcPr>
          <w:p w14:paraId="48A2CAE2" w14:textId="45A677E6" w:rsidR="00FA7BA2" w:rsidRPr="00471CBA" w:rsidRDefault="00FA7BA2" w:rsidP="00F3707B">
            <w:pPr>
              <w:jc w:val="right"/>
            </w:pPr>
            <w:r w:rsidRPr="00471CBA">
              <w:t>616.331</w:t>
            </w:r>
          </w:p>
        </w:tc>
      </w:tr>
      <w:tr w:rsidR="00FA7BA2" w:rsidRPr="00471CBA" w14:paraId="50445D19" w14:textId="77777777" w:rsidTr="00B0137C">
        <w:trPr>
          <w:trHeight w:val="170"/>
        </w:trPr>
        <w:tc>
          <w:tcPr>
            <w:tcW w:w="3468" w:type="pct"/>
            <w:tcBorders>
              <w:top w:val="nil"/>
              <w:left w:val="nil"/>
              <w:right w:val="nil"/>
            </w:tcBorders>
            <w:noWrap/>
            <w:vAlign w:val="center"/>
          </w:tcPr>
          <w:p w14:paraId="3F08F3CC" w14:textId="010C5470" w:rsidR="00FA7BA2" w:rsidRPr="00471CBA" w:rsidRDefault="00FA7BA2" w:rsidP="00FA7BA2">
            <w:pPr>
              <w:rPr>
                <w:color w:val="000000"/>
                <w:szCs w:val="20"/>
                <w:lang w:eastAsia="tr-TR"/>
              </w:rPr>
            </w:pPr>
            <w:r w:rsidRPr="00471CBA">
              <w:rPr>
                <w:color w:val="000000"/>
                <w:szCs w:val="20"/>
                <w:lang w:eastAsia="tr-TR"/>
              </w:rPr>
              <w:t>Müşteri adına menkul değer alım kredileri</w:t>
            </w:r>
          </w:p>
        </w:tc>
        <w:tc>
          <w:tcPr>
            <w:tcW w:w="1532" w:type="pct"/>
            <w:tcBorders>
              <w:top w:val="nil"/>
              <w:left w:val="nil"/>
              <w:right w:val="nil"/>
            </w:tcBorders>
          </w:tcPr>
          <w:p w14:paraId="557DA589" w14:textId="674E1442" w:rsidR="00FA7BA2" w:rsidRPr="00471CBA" w:rsidRDefault="00FA7BA2" w:rsidP="00FA7BA2">
            <w:pPr>
              <w:jc w:val="right"/>
            </w:pPr>
            <w:r w:rsidRPr="00471CBA">
              <w:t>52.522</w:t>
            </w:r>
          </w:p>
        </w:tc>
      </w:tr>
      <w:tr w:rsidR="00FA7BA2" w:rsidRPr="00471CBA" w14:paraId="00074E09" w14:textId="77777777" w:rsidTr="00B0137C">
        <w:trPr>
          <w:trHeight w:val="170"/>
        </w:trPr>
        <w:tc>
          <w:tcPr>
            <w:tcW w:w="3468" w:type="pct"/>
            <w:tcBorders>
              <w:top w:val="nil"/>
              <w:left w:val="nil"/>
              <w:right w:val="nil"/>
            </w:tcBorders>
            <w:noWrap/>
            <w:vAlign w:val="center"/>
          </w:tcPr>
          <w:p w14:paraId="1F2B7FEE" w14:textId="5322E19B" w:rsidR="00FA7BA2" w:rsidRPr="00471CBA" w:rsidRDefault="00FA7BA2" w:rsidP="00FA7BA2">
            <w:pPr>
              <w:rPr>
                <w:color w:val="000000"/>
                <w:szCs w:val="20"/>
                <w:lang w:eastAsia="tr-TR"/>
              </w:rPr>
            </w:pPr>
            <w:r w:rsidRPr="00471CBA">
              <w:rPr>
                <w:color w:val="000000"/>
                <w:szCs w:val="20"/>
                <w:lang w:eastAsia="tr-TR"/>
              </w:rPr>
              <w:t>Diğer</w:t>
            </w:r>
          </w:p>
        </w:tc>
        <w:tc>
          <w:tcPr>
            <w:tcW w:w="1532" w:type="pct"/>
            <w:tcBorders>
              <w:top w:val="nil"/>
              <w:left w:val="nil"/>
              <w:right w:val="nil"/>
            </w:tcBorders>
          </w:tcPr>
          <w:p w14:paraId="62D77DF0" w14:textId="07B8CCB3" w:rsidR="00FA7BA2" w:rsidRPr="00471CBA" w:rsidRDefault="001754A7" w:rsidP="00FA7BA2">
            <w:pPr>
              <w:jc w:val="right"/>
            </w:pPr>
            <w:r w:rsidRPr="00471CBA">
              <w:t>11.474</w:t>
            </w:r>
          </w:p>
        </w:tc>
      </w:tr>
      <w:tr w:rsidR="00040B79" w:rsidRPr="00471CBA" w14:paraId="43B12DB7" w14:textId="77777777" w:rsidTr="00B0137C">
        <w:trPr>
          <w:trHeight w:val="170"/>
        </w:trPr>
        <w:tc>
          <w:tcPr>
            <w:tcW w:w="3468" w:type="pct"/>
            <w:tcBorders>
              <w:top w:val="single" w:sz="4" w:space="0" w:color="auto"/>
              <w:left w:val="nil"/>
              <w:right w:val="nil"/>
            </w:tcBorders>
            <w:noWrap/>
            <w:vAlign w:val="center"/>
            <w:hideMark/>
          </w:tcPr>
          <w:p w14:paraId="3D71FB22" w14:textId="77777777" w:rsidR="00040B79" w:rsidRPr="00471CBA" w:rsidRDefault="00040B79" w:rsidP="00B0137C">
            <w:pPr>
              <w:jc w:val="right"/>
              <w:rPr>
                <w:color w:val="000000"/>
                <w:szCs w:val="20"/>
                <w:lang w:eastAsia="tr-TR"/>
              </w:rPr>
            </w:pPr>
          </w:p>
        </w:tc>
        <w:tc>
          <w:tcPr>
            <w:tcW w:w="1532" w:type="pct"/>
            <w:tcBorders>
              <w:top w:val="single" w:sz="4" w:space="0" w:color="auto"/>
              <w:left w:val="nil"/>
              <w:right w:val="nil"/>
            </w:tcBorders>
            <w:vAlign w:val="center"/>
            <w:hideMark/>
          </w:tcPr>
          <w:p w14:paraId="58BC1CFE" w14:textId="77777777" w:rsidR="00040B79" w:rsidRPr="00471CBA" w:rsidRDefault="00040B79" w:rsidP="00B0137C">
            <w:pPr>
              <w:rPr>
                <w:szCs w:val="20"/>
                <w:lang w:eastAsia="tr-TR"/>
              </w:rPr>
            </w:pPr>
          </w:p>
        </w:tc>
      </w:tr>
      <w:tr w:rsidR="00040B79" w:rsidRPr="00471CBA" w14:paraId="26B7020A" w14:textId="77777777" w:rsidTr="00B0137C">
        <w:trPr>
          <w:trHeight w:val="170"/>
        </w:trPr>
        <w:tc>
          <w:tcPr>
            <w:tcW w:w="3468" w:type="pct"/>
            <w:tcBorders>
              <w:left w:val="nil"/>
              <w:bottom w:val="single" w:sz="8" w:space="0" w:color="auto"/>
              <w:right w:val="nil"/>
            </w:tcBorders>
            <w:noWrap/>
            <w:vAlign w:val="center"/>
            <w:hideMark/>
          </w:tcPr>
          <w:p w14:paraId="7F339F77" w14:textId="77777777" w:rsidR="00040B79" w:rsidRPr="00471CBA" w:rsidRDefault="00040B79" w:rsidP="00B0137C">
            <w:pPr>
              <w:rPr>
                <w:b/>
                <w:bCs/>
                <w:color w:val="000000"/>
                <w:szCs w:val="20"/>
                <w:lang w:eastAsia="tr-TR"/>
              </w:rPr>
            </w:pPr>
            <w:r w:rsidRPr="00471CBA">
              <w:rPr>
                <w:b/>
                <w:bCs/>
                <w:color w:val="000000"/>
                <w:szCs w:val="20"/>
                <w:lang w:eastAsia="tr-TR"/>
              </w:rPr>
              <w:t>Toplam</w:t>
            </w:r>
          </w:p>
        </w:tc>
        <w:tc>
          <w:tcPr>
            <w:tcW w:w="1532" w:type="pct"/>
            <w:tcBorders>
              <w:left w:val="nil"/>
              <w:bottom w:val="single" w:sz="8" w:space="0" w:color="auto"/>
              <w:right w:val="nil"/>
            </w:tcBorders>
            <w:vAlign w:val="center"/>
            <w:hideMark/>
          </w:tcPr>
          <w:p w14:paraId="7A799E33" w14:textId="7AA03D3E" w:rsidR="00040B79" w:rsidRPr="00471CBA" w:rsidRDefault="001754A7" w:rsidP="00B0137C">
            <w:pPr>
              <w:jc w:val="right"/>
              <w:rPr>
                <w:b/>
                <w:bCs/>
                <w:color w:val="000000"/>
                <w:szCs w:val="20"/>
                <w:lang w:eastAsia="tr-TR"/>
              </w:rPr>
            </w:pPr>
            <w:r w:rsidRPr="00471CBA">
              <w:rPr>
                <w:b/>
                <w:bCs/>
                <w:color w:val="000000"/>
                <w:szCs w:val="20"/>
                <w:lang w:eastAsia="tr-TR"/>
              </w:rPr>
              <w:t>11.668.621</w:t>
            </w:r>
          </w:p>
        </w:tc>
      </w:tr>
    </w:tbl>
    <w:p w14:paraId="4455C21C" w14:textId="77777777" w:rsidR="000A45F8" w:rsidRPr="00471CBA" w:rsidRDefault="000A45F8" w:rsidP="008472F9">
      <w:pPr>
        <w:rPr>
          <w:b/>
          <w:szCs w:val="20"/>
        </w:rPr>
      </w:pPr>
    </w:p>
    <w:tbl>
      <w:tblPr>
        <w:tblW w:w="5000" w:type="pct"/>
        <w:tblCellMar>
          <w:left w:w="70" w:type="dxa"/>
          <w:right w:w="70" w:type="dxa"/>
        </w:tblCellMar>
        <w:tblLook w:val="04A0" w:firstRow="1" w:lastRow="0" w:firstColumn="1" w:lastColumn="0" w:noHBand="0" w:noVBand="1"/>
      </w:tblPr>
      <w:tblGrid>
        <w:gridCol w:w="2300"/>
        <w:gridCol w:w="1416"/>
        <w:gridCol w:w="1959"/>
        <w:gridCol w:w="1903"/>
        <w:gridCol w:w="1777"/>
      </w:tblGrid>
      <w:tr w:rsidR="00A74C68" w:rsidRPr="00471CBA" w14:paraId="1E2BF583" w14:textId="77777777" w:rsidTr="00A74C68">
        <w:trPr>
          <w:divId w:val="113715892"/>
          <w:trHeight w:val="170"/>
        </w:trPr>
        <w:tc>
          <w:tcPr>
            <w:tcW w:w="1229" w:type="pct"/>
            <w:tcBorders>
              <w:top w:val="single" w:sz="4" w:space="0" w:color="auto"/>
              <w:left w:val="nil"/>
              <w:bottom w:val="nil"/>
              <w:right w:val="nil"/>
            </w:tcBorders>
            <w:vAlign w:val="center"/>
            <w:hideMark/>
          </w:tcPr>
          <w:p w14:paraId="40020236" w14:textId="623F92A2" w:rsidR="00A74C68" w:rsidRPr="00471CBA" w:rsidRDefault="00A74C68" w:rsidP="00A74C68">
            <w:pPr>
              <w:rPr>
                <w:b/>
                <w:bCs/>
                <w:color w:val="000000"/>
                <w:sz w:val="18"/>
                <w:szCs w:val="18"/>
              </w:rPr>
            </w:pPr>
            <w:r w:rsidRPr="00471CBA">
              <w:rPr>
                <w:b/>
                <w:bCs/>
                <w:color w:val="000000"/>
                <w:sz w:val="18"/>
                <w:szCs w:val="18"/>
              </w:rPr>
              <w:t> </w:t>
            </w:r>
          </w:p>
        </w:tc>
        <w:tc>
          <w:tcPr>
            <w:tcW w:w="757" w:type="pct"/>
            <w:vMerge w:val="restart"/>
            <w:tcBorders>
              <w:top w:val="single" w:sz="4" w:space="0" w:color="auto"/>
              <w:left w:val="nil"/>
              <w:bottom w:val="single" w:sz="4" w:space="0" w:color="000000"/>
              <w:right w:val="nil"/>
            </w:tcBorders>
            <w:vAlign w:val="center"/>
            <w:hideMark/>
          </w:tcPr>
          <w:p w14:paraId="281B9D39" w14:textId="77777777" w:rsidR="00A74C68" w:rsidRPr="00471CBA" w:rsidRDefault="00A74C68" w:rsidP="00A74C68">
            <w:pPr>
              <w:jc w:val="center"/>
              <w:rPr>
                <w:b/>
                <w:bCs/>
                <w:color w:val="000000"/>
                <w:sz w:val="18"/>
                <w:szCs w:val="18"/>
              </w:rPr>
            </w:pPr>
            <w:r w:rsidRPr="00471CBA">
              <w:rPr>
                <w:b/>
                <w:bCs/>
                <w:color w:val="000000"/>
                <w:sz w:val="18"/>
                <w:szCs w:val="18"/>
              </w:rPr>
              <w:t>Standart Nitelikli Krediler</w:t>
            </w:r>
          </w:p>
        </w:tc>
        <w:tc>
          <w:tcPr>
            <w:tcW w:w="3014" w:type="pct"/>
            <w:gridSpan w:val="3"/>
            <w:tcBorders>
              <w:top w:val="single" w:sz="4" w:space="0" w:color="auto"/>
              <w:left w:val="nil"/>
              <w:bottom w:val="single" w:sz="4" w:space="0" w:color="auto"/>
              <w:right w:val="nil"/>
            </w:tcBorders>
            <w:vAlign w:val="center"/>
            <w:hideMark/>
          </w:tcPr>
          <w:p w14:paraId="466B51BF" w14:textId="77777777" w:rsidR="00A74C68" w:rsidRPr="00471CBA" w:rsidRDefault="00A74C68" w:rsidP="00A74C68">
            <w:pPr>
              <w:jc w:val="center"/>
              <w:rPr>
                <w:b/>
                <w:bCs/>
                <w:color w:val="000000"/>
                <w:sz w:val="18"/>
                <w:szCs w:val="18"/>
              </w:rPr>
            </w:pPr>
            <w:r w:rsidRPr="00471CBA">
              <w:rPr>
                <w:b/>
                <w:bCs/>
                <w:color w:val="000000"/>
                <w:sz w:val="18"/>
                <w:szCs w:val="18"/>
              </w:rPr>
              <w:t>Yakın İzlemedeki Krediler</w:t>
            </w:r>
          </w:p>
        </w:tc>
      </w:tr>
      <w:tr w:rsidR="00A74C68" w:rsidRPr="00471CBA" w14:paraId="6FFC019C" w14:textId="77777777" w:rsidTr="00A74C68">
        <w:trPr>
          <w:divId w:val="113715892"/>
          <w:trHeight w:val="170"/>
        </w:trPr>
        <w:tc>
          <w:tcPr>
            <w:tcW w:w="1229" w:type="pct"/>
            <w:tcBorders>
              <w:top w:val="nil"/>
              <w:left w:val="nil"/>
              <w:bottom w:val="nil"/>
              <w:right w:val="nil"/>
            </w:tcBorders>
            <w:vAlign w:val="center"/>
            <w:hideMark/>
          </w:tcPr>
          <w:p w14:paraId="1776765D" w14:textId="77777777" w:rsidR="00A74C68" w:rsidRPr="00471CBA" w:rsidRDefault="00A74C68" w:rsidP="00A74C68">
            <w:pPr>
              <w:rPr>
                <w:b/>
                <w:bCs/>
                <w:color w:val="000000"/>
                <w:sz w:val="18"/>
                <w:szCs w:val="18"/>
                <w:lang w:eastAsia="tr-TR"/>
              </w:rPr>
            </w:pPr>
            <w:r w:rsidRPr="00471CBA">
              <w:rPr>
                <w:b/>
                <w:bCs/>
                <w:color w:val="000000"/>
                <w:sz w:val="18"/>
                <w:szCs w:val="18"/>
              </w:rPr>
              <w:t xml:space="preserve">31 </w:t>
            </w:r>
            <w:r w:rsidRPr="00471CBA">
              <w:rPr>
                <w:b/>
                <w:bCs/>
                <w:color w:val="000000"/>
                <w:sz w:val="18"/>
                <w:szCs w:val="18"/>
                <w:lang w:eastAsia="tr-TR"/>
              </w:rPr>
              <w:t>Aralık 2024</w:t>
            </w:r>
          </w:p>
        </w:tc>
        <w:tc>
          <w:tcPr>
            <w:tcW w:w="757" w:type="pct"/>
            <w:vMerge/>
            <w:tcBorders>
              <w:top w:val="single" w:sz="4" w:space="0" w:color="auto"/>
              <w:left w:val="nil"/>
              <w:bottom w:val="single" w:sz="4" w:space="0" w:color="000000"/>
              <w:right w:val="nil"/>
            </w:tcBorders>
            <w:vAlign w:val="center"/>
            <w:hideMark/>
          </w:tcPr>
          <w:p w14:paraId="36A7841C" w14:textId="77777777" w:rsidR="00A74C68" w:rsidRPr="00471CBA" w:rsidRDefault="00A74C68" w:rsidP="00A74C68">
            <w:pPr>
              <w:rPr>
                <w:b/>
                <w:bCs/>
                <w:color w:val="000000"/>
                <w:sz w:val="18"/>
                <w:szCs w:val="18"/>
              </w:rPr>
            </w:pPr>
          </w:p>
        </w:tc>
        <w:tc>
          <w:tcPr>
            <w:tcW w:w="1047" w:type="pct"/>
            <w:vMerge w:val="restart"/>
            <w:tcBorders>
              <w:top w:val="nil"/>
              <w:left w:val="nil"/>
              <w:bottom w:val="single" w:sz="4" w:space="0" w:color="000000"/>
              <w:right w:val="nil"/>
            </w:tcBorders>
            <w:vAlign w:val="center"/>
            <w:hideMark/>
          </w:tcPr>
          <w:p w14:paraId="5383F419" w14:textId="77777777" w:rsidR="00A74C68" w:rsidRPr="00471CBA" w:rsidRDefault="00A74C68" w:rsidP="00A74C68">
            <w:pPr>
              <w:jc w:val="center"/>
              <w:rPr>
                <w:b/>
                <w:bCs/>
                <w:color w:val="000000"/>
                <w:sz w:val="18"/>
                <w:szCs w:val="18"/>
              </w:rPr>
            </w:pPr>
            <w:r w:rsidRPr="00471CBA">
              <w:rPr>
                <w:b/>
                <w:bCs/>
                <w:color w:val="000000"/>
                <w:sz w:val="18"/>
                <w:szCs w:val="18"/>
              </w:rPr>
              <w:t>Yeniden Yapılandırma Kapsamında Yer Almayanlar</w:t>
            </w:r>
          </w:p>
        </w:tc>
        <w:tc>
          <w:tcPr>
            <w:tcW w:w="1967" w:type="pct"/>
            <w:gridSpan w:val="2"/>
            <w:tcBorders>
              <w:top w:val="single" w:sz="4" w:space="0" w:color="auto"/>
              <w:left w:val="nil"/>
              <w:bottom w:val="single" w:sz="4" w:space="0" w:color="auto"/>
              <w:right w:val="nil"/>
            </w:tcBorders>
            <w:vAlign w:val="center"/>
            <w:hideMark/>
          </w:tcPr>
          <w:p w14:paraId="08383954" w14:textId="77777777" w:rsidR="00A74C68" w:rsidRPr="00471CBA" w:rsidRDefault="00A74C68" w:rsidP="00A74C68">
            <w:pPr>
              <w:jc w:val="center"/>
              <w:rPr>
                <w:b/>
                <w:bCs/>
                <w:color w:val="000000"/>
                <w:sz w:val="18"/>
                <w:szCs w:val="18"/>
              </w:rPr>
            </w:pPr>
            <w:r w:rsidRPr="00471CBA">
              <w:rPr>
                <w:b/>
                <w:bCs/>
                <w:color w:val="000000"/>
                <w:sz w:val="18"/>
                <w:szCs w:val="18"/>
              </w:rPr>
              <w:t>Yeniden Yapılandırılanlar</w:t>
            </w:r>
          </w:p>
        </w:tc>
      </w:tr>
      <w:tr w:rsidR="00A74C68" w:rsidRPr="00471CBA" w14:paraId="170D4BC6" w14:textId="77777777" w:rsidTr="00A74C68">
        <w:trPr>
          <w:divId w:val="113715892"/>
          <w:trHeight w:val="170"/>
        </w:trPr>
        <w:tc>
          <w:tcPr>
            <w:tcW w:w="1229" w:type="pct"/>
            <w:tcBorders>
              <w:top w:val="nil"/>
              <w:left w:val="nil"/>
              <w:bottom w:val="single" w:sz="4" w:space="0" w:color="auto"/>
              <w:right w:val="nil"/>
            </w:tcBorders>
            <w:vAlign w:val="center"/>
            <w:hideMark/>
          </w:tcPr>
          <w:p w14:paraId="31D6C36C" w14:textId="77777777" w:rsidR="00A74C68" w:rsidRPr="00471CBA" w:rsidRDefault="00A74C68" w:rsidP="00A74C68">
            <w:pPr>
              <w:rPr>
                <w:b/>
                <w:bCs/>
                <w:color w:val="000000"/>
                <w:sz w:val="18"/>
                <w:szCs w:val="18"/>
              </w:rPr>
            </w:pPr>
            <w:r w:rsidRPr="00471CBA">
              <w:rPr>
                <w:b/>
                <w:bCs/>
                <w:color w:val="000000"/>
                <w:sz w:val="18"/>
                <w:szCs w:val="18"/>
              </w:rPr>
              <w:t>Nakdi Krediler</w:t>
            </w:r>
          </w:p>
        </w:tc>
        <w:tc>
          <w:tcPr>
            <w:tcW w:w="757" w:type="pct"/>
            <w:vMerge/>
            <w:tcBorders>
              <w:top w:val="single" w:sz="4" w:space="0" w:color="auto"/>
              <w:left w:val="nil"/>
              <w:bottom w:val="single" w:sz="4" w:space="0" w:color="000000"/>
              <w:right w:val="nil"/>
            </w:tcBorders>
            <w:vAlign w:val="center"/>
            <w:hideMark/>
          </w:tcPr>
          <w:p w14:paraId="1713C28E" w14:textId="77777777" w:rsidR="00A74C68" w:rsidRPr="00471CBA" w:rsidRDefault="00A74C68" w:rsidP="00A74C68">
            <w:pPr>
              <w:rPr>
                <w:b/>
                <w:bCs/>
                <w:color w:val="000000"/>
                <w:sz w:val="18"/>
                <w:szCs w:val="18"/>
              </w:rPr>
            </w:pPr>
          </w:p>
        </w:tc>
        <w:tc>
          <w:tcPr>
            <w:tcW w:w="1047" w:type="pct"/>
            <w:vMerge/>
            <w:tcBorders>
              <w:top w:val="nil"/>
              <w:left w:val="nil"/>
              <w:bottom w:val="single" w:sz="4" w:space="0" w:color="000000"/>
              <w:right w:val="nil"/>
            </w:tcBorders>
            <w:vAlign w:val="center"/>
            <w:hideMark/>
          </w:tcPr>
          <w:p w14:paraId="6C1B7D87" w14:textId="77777777" w:rsidR="00A74C68" w:rsidRPr="00471CBA" w:rsidRDefault="00A74C68" w:rsidP="00A74C68">
            <w:pPr>
              <w:rPr>
                <w:b/>
                <w:bCs/>
                <w:color w:val="000000"/>
                <w:sz w:val="18"/>
                <w:szCs w:val="18"/>
              </w:rPr>
            </w:pPr>
          </w:p>
        </w:tc>
        <w:tc>
          <w:tcPr>
            <w:tcW w:w="1017" w:type="pct"/>
            <w:tcBorders>
              <w:top w:val="nil"/>
              <w:left w:val="nil"/>
              <w:bottom w:val="single" w:sz="4" w:space="0" w:color="auto"/>
              <w:right w:val="nil"/>
            </w:tcBorders>
            <w:vAlign w:val="center"/>
            <w:hideMark/>
          </w:tcPr>
          <w:p w14:paraId="75AB89DE" w14:textId="77777777" w:rsidR="00A74C68" w:rsidRPr="00471CBA" w:rsidRDefault="00A74C68" w:rsidP="00A74C68">
            <w:pPr>
              <w:jc w:val="center"/>
              <w:rPr>
                <w:b/>
                <w:bCs/>
                <w:color w:val="000000"/>
                <w:sz w:val="18"/>
                <w:szCs w:val="18"/>
              </w:rPr>
            </w:pPr>
            <w:r w:rsidRPr="00471CBA">
              <w:rPr>
                <w:b/>
                <w:bCs/>
                <w:color w:val="000000"/>
                <w:sz w:val="18"/>
                <w:szCs w:val="18"/>
              </w:rPr>
              <w:t>Sözleşme Koşullarında Değişiklik Yapılanlar</w:t>
            </w:r>
          </w:p>
        </w:tc>
        <w:tc>
          <w:tcPr>
            <w:tcW w:w="950" w:type="pct"/>
            <w:tcBorders>
              <w:top w:val="nil"/>
              <w:left w:val="nil"/>
              <w:bottom w:val="single" w:sz="4" w:space="0" w:color="auto"/>
              <w:right w:val="nil"/>
            </w:tcBorders>
            <w:vAlign w:val="center"/>
            <w:hideMark/>
          </w:tcPr>
          <w:p w14:paraId="50D50428" w14:textId="77777777" w:rsidR="00A74C68" w:rsidRPr="00471CBA" w:rsidRDefault="00A74C68" w:rsidP="00A74C68">
            <w:pPr>
              <w:jc w:val="center"/>
              <w:rPr>
                <w:b/>
                <w:bCs/>
                <w:color w:val="000000"/>
                <w:sz w:val="18"/>
                <w:szCs w:val="18"/>
              </w:rPr>
            </w:pPr>
            <w:r w:rsidRPr="00471CBA">
              <w:rPr>
                <w:b/>
                <w:bCs/>
                <w:color w:val="000000"/>
                <w:sz w:val="18"/>
                <w:szCs w:val="18"/>
              </w:rPr>
              <w:t>Yeniden Finansman Yapılanlar</w:t>
            </w:r>
          </w:p>
        </w:tc>
      </w:tr>
      <w:tr w:rsidR="00A74C68" w:rsidRPr="00471CBA" w14:paraId="462DFC7D" w14:textId="77777777" w:rsidTr="00A74C68">
        <w:trPr>
          <w:divId w:val="113715892"/>
          <w:trHeight w:val="170"/>
        </w:trPr>
        <w:tc>
          <w:tcPr>
            <w:tcW w:w="1229" w:type="pct"/>
            <w:tcBorders>
              <w:top w:val="nil"/>
              <w:left w:val="nil"/>
              <w:bottom w:val="nil"/>
              <w:right w:val="nil"/>
            </w:tcBorders>
            <w:vAlign w:val="center"/>
            <w:hideMark/>
          </w:tcPr>
          <w:p w14:paraId="7420AB37" w14:textId="77777777" w:rsidR="00A74C68" w:rsidRPr="00471CBA" w:rsidRDefault="00A74C68" w:rsidP="00A74C68">
            <w:pPr>
              <w:rPr>
                <w:b/>
                <w:bCs/>
                <w:color w:val="000000"/>
                <w:sz w:val="18"/>
                <w:szCs w:val="18"/>
              </w:rPr>
            </w:pPr>
            <w:r w:rsidRPr="00471CBA">
              <w:rPr>
                <w:b/>
                <w:bCs/>
                <w:color w:val="000000"/>
                <w:sz w:val="18"/>
                <w:szCs w:val="18"/>
              </w:rPr>
              <w:t>Krediler</w:t>
            </w:r>
          </w:p>
        </w:tc>
        <w:tc>
          <w:tcPr>
            <w:tcW w:w="757" w:type="pct"/>
            <w:tcBorders>
              <w:top w:val="nil"/>
              <w:left w:val="nil"/>
              <w:bottom w:val="nil"/>
              <w:right w:val="nil"/>
            </w:tcBorders>
            <w:vAlign w:val="center"/>
            <w:hideMark/>
          </w:tcPr>
          <w:p w14:paraId="24555757" w14:textId="77777777" w:rsidR="00A74C68" w:rsidRPr="00471CBA" w:rsidRDefault="00A74C68" w:rsidP="00A74C68">
            <w:pPr>
              <w:jc w:val="right"/>
              <w:rPr>
                <w:b/>
                <w:bCs/>
                <w:color w:val="000000"/>
                <w:sz w:val="18"/>
                <w:szCs w:val="18"/>
              </w:rPr>
            </w:pPr>
            <w:r w:rsidRPr="00471CBA">
              <w:rPr>
                <w:b/>
                <w:bCs/>
                <w:color w:val="000000"/>
                <w:sz w:val="18"/>
                <w:szCs w:val="18"/>
              </w:rPr>
              <w:t>23.029.459</w:t>
            </w:r>
          </w:p>
        </w:tc>
        <w:tc>
          <w:tcPr>
            <w:tcW w:w="1047" w:type="pct"/>
            <w:tcBorders>
              <w:top w:val="nil"/>
              <w:left w:val="nil"/>
              <w:bottom w:val="nil"/>
              <w:right w:val="nil"/>
            </w:tcBorders>
            <w:vAlign w:val="center"/>
            <w:hideMark/>
          </w:tcPr>
          <w:p w14:paraId="79046FE8" w14:textId="77777777" w:rsidR="00A74C68" w:rsidRPr="00471CBA" w:rsidRDefault="00A74C68" w:rsidP="00A74C68">
            <w:pPr>
              <w:jc w:val="right"/>
              <w:rPr>
                <w:b/>
                <w:bCs/>
                <w:color w:val="000000"/>
                <w:sz w:val="18"/>
                <w:szCs w:val="18"/>
              </w:rPr>
            </w:pPr>
            <w:r w:rsidRPr="00471CBA">
              <w:rPr>
                <w:b/>
                <w:bCs/>
                <w:color w:val="000000"/>
                <w:sz w:val="18"/>
                <w:szCs w:val="18"/>
              </w:rPr>
              <w:t>-</w:t>
            </w:r>
          </w:p>
        </w:tc>
        <w:tc>
          <w:tcPr>
            <w:tcW w:w="1017" w:type="pct"/>
            <w:tcBorders>
              <w:top w:val="nil"/>
              <w:left w:val="nil"/>
              <w:bottom w:val="nil"/>
              <w:right w:val="nil"/>
            </w:tcBorders>
            <w:vAlign w:val="center"/>
            <w:hideMark/>
          </w:tcPr>
          <w:p w14:paraId="3A46062D" w14:textId="77777777" w:rsidR="00A74C68" w:rsidRPr="00471CBA" w:rsidRDefault="00A74C68" w:rsidP="00A74C68">
            <w:pPr>
              <w:jc w:val="right"/>
              <w:rPr>
                <w:b/>
                <w:bCs/>
                <w:color w:val="000000"/>
                <w:sz w:val="18"/>
                <w:szCs w:val="18"/>
              </w:rPr>
            </w:pPr>
            <w:r w:rsidRPr="00471CBA">
              <w:rPr>
                <w:b/>
                <w:bCs/>
                <w:color w:val="000000"/>
                <w:sz w:val="18"/>
                <w:szCs w:val="18"/>
              </w:rPr>
              <w:t>-</w:t>
            </w:r>
          </w:p>
        </w:tc>
        <w:tc>
          <w:tcPr>
            <w:tcW w:w="950" w:type="pct"/>
            <w:tcBorders>
              <w:top w:val="nil"/>
              <w:left w:val="nil"/>
              <w:bottom w:val="nil"/>
              <w:right w:val="nil"/>
            </w:tcBorders>
            <w:vAlign w:val="center"/>
            <w:hideMark/>
          </w:tcPr>
          <w:p w14:paraId="2B67BF98" w14:textId="77777777" w:rsidR="00A74C68" w:rsidRPr="00471CBA" w:rsidRDefault="00A74C68" w:rsidP="00A74C68">
            <w:pPr>
              <w:jc w:val="right"/>
              <w:rPr>
                <w:b/>
                <w:bCs/>
                <w:color w:val="000000"/>
                <w:sz w:val="18"/>
                <w:szCs w:val="18"/>
              </w:rPr>
            </w:pPr>
            <w:r w:rsidRPr="00471CBA">
              <w:rPr>
                <w:b/>
                <w:bCs/>
                <w:color w:val="000000"/>
                <w:sz w:val="18"/>
                <w:szCs w:val="18"/>
              </w:rPr>
              <w:t>-</w:t>
            </w:r>
          </w:p>
        </w:tc>
      </w:tr>
      <w:tr w:rsidR="00A74C68" w:rsidRPr="00471CBA" w14:paraId="6A38CE1C" w14:textId="77777777" w:rsidTr="00A74C68">
        <w:trPr>
          <w:divId w:val="113715892"/>
          <w:trHeight w:val="170"/>
        </w:trPr>
        <w:tc>
          <w:tcPr>
            <w:tcW w:w="1229" w:type="pct"/>
            <w:tcBorders>
              <w:top w:val="nil"/>
              <w:left w:val="nil"/>
              <w:bottom w:val="nil"/>
              <w:right w:val="nil"/>
            </w:tcBorders>
            <w:vAlign w:val="center"/>
            <w:hideMark/>
          </w:tcPr>
          <w:p w14:paraId="6D3C322E" w14:textId="77777777" w:rsidR="00A74C68" w:rsidRPr="00471CBA" w:rsidRDefault="00A74C68" w:rsidP="00A74C68">
            <w:pPr>
              <w:ind w:firstLineChars="200" w:firstLine="360"/>
              <w:rPr>
                <w:color w:val="000000"/>
                <w:sz w:val="18"/>
                <w:szCs w:val="18"/>
              </w:rPr>
            </w:pPr>
            <w:r w:rsidRPr="00471CBA">
              <w:rPr>
                <w:color w:val="000000"/>
                <w:sz w:val="18"/>
                <w:szCs w:val="18"/>
              </w:rPr>
              <w:t>İhracat Kredileri</w:t>
            </w:r>
          </w:p>
        </w:tc>
        <w:tc>
          <w:tcPr>
            <w:tcW w:w="757" w:type="pct"/>
            <w:tcBorders>
              <w:top w:val="nil"/>
              <w:left w:val="nil"/>
              <w:bottom w:val="nil"/>
              <w:right w:val="nil"/>
            </w:tcBorders>
            <w:vAlign w:val="center"/>
            <w:hideMark/>
          </w:tcPr>
          <w:p w14:paraId="395E08B2" w14:textId="77777777" w:rsidR="00A74C68" w:rsidRPr="00471CBA" w:rsidRDefault="00A74C68" w:rsidP="00A74C68">
            <w:pPr>
              <w:ind w:firstLineChars="200" w:firstLine="360"/>
              <w:jc w:val="right"/>
              <w:rPr>
                <w:color w:val="000000"/>
                <w:sz w:val="18"/>
                <w:szCs w:val="18"/>
              </w:rPr>
            </w:pPr>
            <w:r w:rsidRPr="00471CBA">
              <w:rPr>
                <w:color w:val="000000"/>
                <w:sz w:val="18"/>
                <w:szCs w:val="18"/>
              </w:rPr>
              <w:t>-</w:t>
            </w:r>
          </w:p>
        </w:tc>
        <w:tc>
          <w:tcPr>
            <w:tcW w:w="1047" w:type="pct"/>
            <w:tcBorders>
              <w:top w:val="nil"/>
              <w:left w:val="nil"/>
              <w:bottom w:val="nil"/>
              <w:right w:val="nil"/>
            </w:tcBorders>
            <w:vAlign w:val="center"/>
            <w:hideMark/>
          </w:tcPr>
          <w:p w14:paraId="67806369" w14:textId="77777777" w:rsidR="00A74C68" w:rsidRPr="00471CBA" w:rsidRDefault="00A74C68" w:rsidP="00A74C68">
            <w:pPr>
              <w:jc w:val="right"/>
              <w:rPr>
                <w:color w:val="000000"/>
                <w:sz w:val="18"/>
                <w:szCs w:val="18"/>
              </w:rPr>
            </w:pPr>
            <w:r w:rsidRPr="00471CBA">
              <w:rPr>
                <w:sz w:val="18"/>
                <w:szCs w:val="18"/>
              </w:rPr>
              <w:t>-</w:t>
            </w:r>
          </w:p>
        </w:tc>
        <w:tc>
          <w:tcPr>
            <w:tcW w:w="1017" w:type="pct"/>
            <w:tcBorders>
              <w:top w:val="nil"/>
              <w:left w:val="nil"/>
              <w:bottom w:val="nil"/>
              <w:right w:val="nil"/>
            </w:tcBorders>
            <w:vAlign w:val="center"/>
            <w:hideMark/>
          </w:tcPr>
          <w:p w14:paraId="4372AFAD" w14:textId="77777777" w:rsidR="00A74C68" w:rsidRPr="00471CBA" w:rsidRDefault="00A74C68" w:rsidP="00A74C68">
            <w:pPr>
              <w:jc w:val="right"/>
              <w:rPr>
                <w:color w:val="000000"/>
                <w:sz w:val="18"/>
                <w:szCs w:val="18"/>
              </w:rPr>
            </w:pPr>
            <w:r w:rsidRPr="00471CBA">
              <w:rPr>
                <w:sz w:val="18"/>
                <w:szCs w:val="18"/>
              </w:rPr>
              <w:t>-</w:t>
            </w:r>
          </w:p>
        </w:tc>
        <w:tc>
          <w:tcPr>
            <w:tcW w:w="950" w:type="pct"/>
            <w:tcBorders>
              <w:top w:val="nil"/>
              <w:left w:val="nil"/>
              <w:bottom w:val="nil"/>
              <w:right w:val="nil"/>
            </w:tcBorders>
            <w:vAlign w:val="center"/>
            <w:hideMark/>
          </w:tcPr>
          <w:p w14:paraId="21CA5558" w14:textId="77777777" w:rsidR="00A74C68" w:rsidRPr="00471CBA" w:rsidRDefault="00A74C68" w:rsidP="00A74C68">
            <w:pPr>
              <w:jc w:val="right"/>
              <w:rPr>
                <w:color w:val="000000"/>
                <w:sz w:val="18"/>
                <w:szCs w:val="18"/>
              </w:rPr>
            </w:pPr>
            <w:r w:rsidRPr="00471CBA">
              <w:rPr>
                <w:sz w:val="18"/>
                <w:szCs w:val="18"/>
              </w:rPr>
              <w:t>-</w:t>
            </w:r>
          </w:p>
        </w:tc>
      </w:tr>
      <w:tr w:rsidR="00A74C68" w:rsidRPr="00471CBA" w14:paraId="1B1C23C1" w14:textId="77777777" w:rsidTr="00A74C68">
        <w:trPr>
          <w:divId w:val="113715892"/>
          <w:trHeight w:val="170"/>
        </w:trPr>
        <w:tc>
          <w:tcPr>
            <w:tcW w:w="1229" w:type="pct"/>
            <w:tcBorders>
              <w:top w:val="nil"/>
              <w:left w:val="nil"/>
              <w:bottom w:val="nil"/>
              <w:right w:val="nil"/>
            </w:tcBorders>
            <w:vAlign w:val="center"/>
            <w:hideMark/>
          </w:tcPr>
          <w:p w14:paraId="2047EA68" w14:textId="77777777" w:rsidR="00A74C68" w:rsidRPr="00471CBA" w:rsidRDefault="00A74C68" w:rsidP="00A74C68">
            <w:pPr>
              <w:ind w:firstLineChars="200" w:firstLine="360"/>
              <w:rPr>
                <w:color w:val="000000"/>
                <w:sz w:val="18"/>
                <w:szCs w:val="18"/>
              </w:rPr>
            </w:pPr>
            <w:r w:rsidRPr="00471CBA">
              <w:rPr>
                <w:color w:val="000000"/>
                <w:sz w:val="18"/>
                <w:szCs w:val="18"/>
              </w:rPr>
              <w:t>İthalat Kredileri</w:t>
            </w:r>
          </w:p>
        </w:tc>
        <w:tc>
          <w:tcPr>
            <w:tcW w:w="757" w:type="pct"/>
            <w:tcBorders>
              <w:top w:val="nil"/>
              <w:left w:val="nil"/>
              <w:bottom w:val="nil"/>
              <w:right w:val="nil"/>
            </w:tcBorders>
            <w:vAlign w:val="center"/>
            <w:hideMark/>
          </w:tcPr>
          <w:p w14:paraId="01F85048" w14:textId="77777777" w:rsidR="00A74C68" w:rsidRPr="00471CBA" w:rsidRDefault="00A74C68" w:rsidP="00A74C68">
            <w:pPr>
              <w:ind w:firstLineChars="200" w:firstLine="360"/>
              <w:jc w:val="right"/>
              <w:rPr>
                <w:color w:val="000000"/>
                <w:sz w:val="18"/>
                <w:szCs w:val="18"/>
              </w:rPr>
            </w:pPr>
            <w:r w:rsidRPr="00471CBA">
              <w:rPr>
                <w:color w:val="000000"/>
                <w:sz w:val="18"/>
                <w:szCs w:val="18"/>
              </w:rPr>
              <w:t>-</w:t>
            </w:r>
          </w:p>
        </w:tc>
        <w:tc>
          <w:tcPr>
            <w:tcW w:w="1047" w:type="pct"/>
            <w:tcBorders>
              <w:top w:val="nil"/>
              <w:left w:val="nil"/>
              <w:bottom w:val="nil"/>
              <w:right w:val="nil"/>
            </w:tcBorders>
            <w:vAlign w:val="center"/>
            <w:hideMark/>
          </w:tcPr>
          <w:p w14:paraId="2E2C8BFC" w14:textId="77777777" w:rsidR="00A74C68" w:rsidRPr="00471CBA" w:rsidRDefault="00A74C68" w:rsidP="00A74C68">
            <w:pPr>
              <w:jc w:val="right"/>
              <w:rPr>
                <w:color w:val="000000"/>
                <w:sz w:val="18"/>
                <w:szCs w:val="18"/>
              </w:rPr>
            </w:pPr>
            <w:r w:rsidRPr="00471CBA">
              <w:rPr>
                <w:sz w:val="18"/>
                <w:szCs w:val="18"/>
              </w:rPr>
              <w:t>-</w:t>
            </w:r>
          </w:p>
        </w:tc>
        <w:tc>
          <w:tcPr>
            <w:tcW w:w="1017" w:type="pct"/>
            <w:tcBorders>
              <w:top w:val="nil"/>
              <w:left w:val="nil"/>
              <w:bottom w:val="nil"/>
              <w:right w:val="nil"/>
            </w:tcBorders>
            <w:vAlign w:val="center"/>
            <w:hideMark/>
          </w:tcPr>
          <w:p w14:paraId="7E03145E" w14:textId="77777777" w:rsidR="00A74C68" w:rsidRPr="00471CBA" w:rsidRDefault="00A74C68" w:rsidP="00A74C68">
            <w:pPr>
              <w:jc w:val="right"/>
              <w:rPr>
                <w:color w:val="000000"/>
                <w:sz w:val="18"/>
                <w:szCs w:val="18"/>
              </w:rPr>
            </w:pPr>
            <w:r w:rsidRPr="00471CBA">
              <w:rPr>
                <w:sz w:val="18"/>
                <w:szCs w:val="18"/>
              </w:rPr>
              <w:t>-</w:t>
            </w:r>
          </w:p>
        </w:tc>
        <w:tc>
          <w:tcPr>
            <w:tcW w:w="950" w:type="pct"/>
            <w:tcBorders>
              <w:top w:val="nil"/>
              <w:left w:val="nil"/>
              <w:bottom w:val="nil"/>
              <w:right w:val="nil"/>
            </w:tcBorders>
            <w:vAlign w:val="center"/>
            <w:hideMark/>
          </w:tcPr>
          <w:p w14:paraId="5731587A" w14:textId="77777777" w:rsidR="00A74C68" w:rsidRPr="00471CBA" w:rsidRDefault="00A74C68" w:rsidP="00A74C68">
            <w:pPr>
              <w:jc w:val="right"/>
              <w:rPr>
                <w:color w:val="000000"/>
                <w:sz w:val="18"/>
                <w:szCs w:val="18"/>
              </w:rPr>
            </w:pPr>
            <w:r w:rsidRPr="00471CBA">
              <w:rPr>
                <w:sz w:val="18"/>
                <w:szCs w:val="18"/>
              </w:rPr>
              <w:t>-</w:t>
            </w:r>
          </w:p>
        </w:tc>
      </w:tr>
      <w:tr w:rsidR="00A74C68" w:rsidRPr="00471CBA" w14:paraId="7482D9E3" w14:textId="77777777" w:rsidTr="00A74C68">
        <w:trPr>
          <w:divId w:val="113715892"/>
          <w:trHeight w:val="170"/>
        </w:trPr>
        <w:tc>
          <w:tcPr>
            <w:tcW w:w="1229" w:type="pct"/>
            <w:tcBorders>
              <w:top w:val="nil"/>
              <w:left w:val="nil"/>
              <w:bottom w:val="nil"/>
              <w:right w:val="nil"/>
            </w:tcBorders>
            <w:vAlign w:val="center"/>
            <w:hideMark/>
          </w:tcPr>
          <w:p w14:paraId="21945804" w14:textId="77777777" w:rsidR="00A74C68" w:rsidRPr="00471CBA" w:rsidRDefault="00A74C68" w:rsidP="00A74C68">
            <w:pPr>
              <w:ind w:firstLineChars="200" w:firstLine="360"/>
              <w:rPr>
                <w:color w:val="000000"/>
                <w:sz w:val="18"/>
                <w:szCs w:val="18"/>
              </w:rPr>
            </w:pPr>
            <w:r w:rsidRPr="00471CBA">
              <w:rPr>
                <w:color w:val="000000"/>
                <w:sz w:val="18"/>
                <w:szCs w:val="18"/>
              </w:rPr>
              <w:t>İşletme Kredileri</w:t>
            </w:r>
          </w:p>
        </w:tc>
        <w:tc>
          <w:tcPr>
            <w:tcW w:w="757" w:type="pct"/>
            <w:tcBorders>
              <w:top w:val="nil"/>
              <w:left w:val="nil"/>
              <w:bottom w:val="nil"/>
              <w:right w:val="nil"/>
            </w:tcBorders>
            <w:vAlign w:val="center"/>
            <w:hideMark/>
          </w:tcPr>
          <w:p w14:paraId="53014E12" w14:textId="77777777" w:rsidR="00A74C68" w:rsidRPr="00471CBA" w:rsidRDefault="00A74C68" w:rsidP="00A74C68">
            <w:pPr>
              <w:ind w:firstLineChars="200" w:firstLine="360"/>
              <w:jc w:val="right"/>
              <w:rPr>
                <w:color w:val="000000"/>
                <w:sz w:val="18"/>
                <w:szCs w:val="18"/>
              </w:rPr>
            </w:pPr>
            <w:r w:rsidRPr="00471CBA">
              <w:rPr>
                <w:color w:val="000000"/>
                <w:sz w:val="18"/>
                <w:szCs w:val="18"/>
              </w:rPr>
              <w:t>16.721.167</w:t>
            </w:r>
          </w:p>
        </w:tc>
        <w:tc>
          <w:tcPr>
            <w:tcW w:w="1047" w:type="pct"/>
            <w:tcBorders>
              <w:top w:val="nil"/>
              <w:left w:val="nil"/>
              <w:bottom w:val="nil"/>
              <w:right w:val="nil"/>
            </w:tcBorders>
            <w:vAlign w:val="center"/>
            <w:hideMark/>
          </w:tcPr>
          <w:p w14:paraId="741CE05A" w14:textId="77777777" w:rsidR="00A74C68" w:rsidRPr="00471CBA" w:rsidRDefault="00A74C68" w:rsidP="00A74C68">
            <w:pPr>
              <w:jc w:val="right"/>
              <w:rPr>
                <w:color w:val="000000"/>
                <w:sz w:val="18"/>
                <w:szCs w:val="18"/>
              </w:rPr>
            </w:pPr>
            <w:r w:rsidRPr="00471CBA">
              <w:rPr>
                <w:sz w:val="18"/>
                <w:szCs w:val="18"/>
              </w:rPr>
              <w:t>-</w:t>
            </w:r>
          </w:p>
        </w:tc>
        <w:tc>
          <w:tcPr>
            <w:tcW w:w="1017" w:type="pct"/>
            <w:tcBorders>
              <w:top w:val="nil"/>
              <w:left w:val="nil"/>
              <w:bottom w:val="nil"/>
              <w:right w:val="nil"/>
            </w:tcBorders>
            <w:vAlign w:val="center"/>
            <w:hideMark/>
          </w:tcPr>
          <w:p w14:paraId="12D7D868" w14:textId="77777777" w:rsidR="00A74C68" w:rsidRPr="00471CBA" w:rsidRDefault="00A74C68" w:rsidP="00A74C68">
            <w:pPr>
              <w:jc w:val="right"/>
              <w:rPr>
                <w:color w:val="000000"/>
                <w:sz w:val="18"/>
                <w:szCs w:val="18"/>
              </w:rPr>
            </w:pPr>
            <w:r w:rsidRPr="00471CBA">
              <w:rPr>
                <w:sz w:val="18"/>
                <w:szCs w:val="18"/>
              </w:rPr>
              <w:t>-</w:t>
            </w:r>
          </w:p>
        </w:tc>
        <w:tc>
          <w:tcPr>
            <w:tcW w:w="950" w:type="pct"/>
            <w:tcBorders>
              <w:top w:val="nil"/>
              <w:left w:val="nil"/>
              <w:bottom w:val="nil"/>
              <w:right w:val="nil"/>
            </w:tcBorders>
            <w:vAlign w:val="center"/>
            <w:hideMark/>
          </w:tcPr>
          <w:p w14:paraId="7D95BD0F" w14:textId="77777777" w:rsidR="00A74C68" w:rsidRPr="00471CBA" w:rsidRDefault="00A74C68" w:rsidP="00A74C68">
            <w:pPr>
              <w:jc w:val="right"/>
              <w:rPr>
                <w:color w:val="000000"/>
                <w:sz w:val="18"/>
                <w:szCs w:val="18"/>
              </w:rPr>
            </w:pPr>
            <w:r w:rsidRPr="00471CBA">
              <w:rPr>
                <w:sz w:val="18"/>
                <w:szCs w:val="18"/>
              </w:rPr>
              <w:t>-</w:t>
            </w:r>
          </w:p>
        </w:tc>
      </w:tr>
      <w:tr w:rsidR="00A74C68" w:rsidRPr="00471CBA" w14:paraId="1968C318" w14:textId="77777777" w:rsidTr="00A74C68">
        <w:trPr>
          <w:divId w:val="113715892"/>
          <w:trHeight w:val="170"/>
        </w:trPr>
        <w:tc>
          <w:tcPr>
            <w:tcW w:w="1229" w:type="pct"/>
            <w:tcBorders>
              <w:top w:val="nil"/>
              <w:left w:val="nil"/>
              <w:bottom w:val="nil"/>
              <w:right w:val="nil"/>
            </w:tcBorders>
            <w:vAlign w:val="center"/>
            <w:hideMark/>
          </w:tcPr>
          <w:p w14:paraId="5AEDD9F7" w14:textId="77777777" w:rsidR="00A74C68" w:rsidRPr="00471CBA" w:rsidRDefault="00A74C68" w:rsidP="00A74C68">
            <w:pPr>
              <w:ind w:firstLineChars="200" w:firstLine="360"/>
              <w:rPr>
                <w:color w:val="000000"/>
                <w:sz w:val="18"/>
                <w:szCs w:val="18"/>
              </w:rPr>
            </w:pPr>
            <w:r w:rsidRPr="00471CBA">
              <w:rPr>
                <w:color w:val="000000"/>
                <w:sz w:val="18"/>
                <w:szCs w:val="18"/>
              </w:rPr>
              <w:t>Tüketici Kredileri</w:t>
            </w:r>
          </w:p>
        </w:tc>
        <w:tc>
          <w:tcPr>
            <w:tcW w:w="757" w:type="pct"/>
            <w:tcBorders>
              <w:top w:val="nil"/>
              <w:left w:val="nil"/>
              <w:bottom w:val="nil"/>
              <w:right w:val="nil"/>
            </w:tcBorders>
            <w:vAlign w:val="center"/>
            <w:hideMark/>
          </w:tcPr>
          <w:p w14:paraId="71CFC659" w14:textId="77777777" w:rsidR="00A74C68" w:rsidRPr="00471CBA" w:rsidRDefault="00A74C68" w:rsidP="00A74C68">
            <w:pPr>
              <w:ind w:firstLineChars="200" w:firstLine="360"/>
              <w:jc w:val="right"/>
              <w:rPr>
                <w:color w:val="000000"/>
                <w:sz w:val="18"/>
                <w:szCs w:val="18"/>
              </w:rPr>
            </w:pPr>
            <w:r w:rsidRPr="00471CBA">
              <w:rPr>
                <w:color w:val="000000"/>
                <w:sz w:val="18"/>
                <w:szCs w:val="18"/>
              </w:rPr>
              <w:t>876</w:t>
            </w:r>
          </w:p>
        </w:tc>
        <w:tc>
          <w:tcPr>
            <w:tcW w:w="1047" w:type="pct"/>
            <w:tcBorders>
              <w:top w:val="nil"/>
              <w:left w:val="nil"/>
              <w:bottom w:val="nil"/>
              <w:right w:val="nil"/>
            </w:tcBorders>
            <w:vAlign w:val="center"/>
            <w:hideMark/>
          </w:tcPr>
          <w:p w14:paraId="4AF93A92" w14:textId="77777777" w:rsidR="00A74C68" w:rsidRPr="00471CBA" w:rsidRDefault="00A74C68" w:rsidP="00A74C68">
            <w:pPr>
              <w:jc w:val="right"/>
              <w:rPr>
                <w:color w:val="000000"/>
                <w:sz w:val="18"/>
                <w:szCs w:val="18"/>
              </w:rPr>
            </w:pPr>
            <w:r w:rsidRPr="00471CBA">
              <w:rPr>
                <w:sz w:val="18"/>
                <w:szCs w:val="18"/>
              </w:rPr>
              <w:t>-</w:t>
            </w:r>
          </w:p>
        </w:tc>
        <w:tc>
          <w:tcPr>
            <w:tcW w:w="1017" w:type="pct"/>
            <w:tcBorders>
              <w:top w:val="nil"/>
              <w:left w:val="nil"/>
              <w:bottom w:val="nil"/>
              <w:right w:val="nil"/>
            </w:tcBorders>
            <w:vAlign w:val="center"/>
            <w:hideMark/>
          </w:tcPr>
          <w:p w14:paraId="5648BECA" w14:textId="77777777" w:rsidR="00A74C68" w:rsidRPr="00471CBA" w:rsidRDefault="00A74C68" w:rsidP="00A74C68">
            <w:pPr>
              <w:jc w:val="right"/>
              <w:rPr>
                <w:color w:val="000000"/>
                <w:sz w:val="18"/>
                <w:szCs w:val="18"/>
              </w:rPr>
            </w:pPr>
            <w:r w:rsidRPr="00471CBA">
              <w:rPr>
                <w:sz w:val="18"/>
                <w:szCs w:val="18"/>
              </w:rPr>
              <w:t>-</w:t>
            </w:r>
          </w:p>
        </w:tc>
        <w:tc>
          <w:tcPr>
            <w:tcW w:w="950" w:type="pct"/>
            <w:tcBorders>
              <w:top w:val="nil"/>
              <w:left w:val="nil"/>
              <w:bottom w:val="nil"/>
              <w:right w:val="nil"/>
            </w:tcBorders>
            <w:vAlign w:val="center"/>
            <w:hideMark/>
          </w:tcPr>
          <w:p w14:paraId="3FCC3DB9" w14:textId="77777777" w:rsidR="00A74C68" w:rsidRPr="00471CBA" w:rsidRDefault="00A74C68" w:rsidP="00A74C68">
            <w:pPr>
              <w:jc w:val="right"/>
              <w:rPr>
                <w:color w:val="000000"/>
                <w:sz w:val="18"/>
                <w:szCs w:val="18"/>
              </w:rPr>
            </w:pPr>
            <w:r w:rsidRPr="00471CBA">
              <w:rPr>
                <w:sz w:val="18"/>
                <w:szCs w:val="18"/>
              </w:rPr>
              <w:t>-</w:t>
            </w:r>
          </w:p>
        </w:tc>
      </w:tr>
      <w:tr w:rsidR="00A74C68" w:rsidRPr="00471CBA" w14:paraId="33B493CF" w14:textId="77777777" w:rsidTr="00A74C68">
        <w:trPr>
          <w:divId w:val="113715892"/>
          <w:trHeight w:val="170"/>
        </w:trPr>
        <w:tc>
          <w:tcPr>
            <w:tcW w:w="1229" w:type="pct"/>
            <w:tcBorders>
              <w:top w:val="nil"/>
              <w:left w:val="nil"/>
              <w:bottom w:val="nil"/>
              <w:right w:val="nil"/>
            </w:tcBorders>
            <w:vAlign w:val="center"/>
            <w:hideMark/>
          </w:tcPr>
          <w:p w14:paraId="63111DDF" w14:textId="77777777" w:rsidR="00A74C68" w:rsidRPr="00471CBA" w:rsidRDefault="00A74C68" w:rsidP="00A74C68">
            <w:pPr>
              <w:ind w:firstLineChars="200" w:firstLine="360"/>
              <w:rPr>
                <w:color w:val="000000"/>
                <w:sz w:val="18"/>
                <w:szCs w:val="18"/>
              </w:rPr>
            </w:pPr>
            <w:r w:rsidRPr="00471CBA">
              <w:rPr>
                <w:color w:val="000000"/>
                <w:sz w:val="18"/>
                <w:szCs w:val="18"/>
              </w:rPr>
              <w:t>Kredi Kartları</w:t>
            </w:r>
          </w:p>
        </w:tc>
        <w:tc>
          <w:tcPr>
            <w:tcW w:w="757" w:type="pct"/>
            <w:tcBorders>
              <w:top w:val="nil"/>
              <w:left w:val="nil"/>
              <w:bottom w:val="nil"/>
              <w:right w:val="nil"/>
            </w:tcBorders>
            <w:vAlign w:val="center"/>
            <w:hideMark/>
          </w:tcPr>
          <w:p w14:paraId="22B3F005" w14:textId="77777777" w:rsidR="00A74C68" w:rsidRPr="00471CBA" w:rsidRDefault="00A74C68" w:rsidP="00A74C68">
            <w:pPr>
              <w:ind w:firstLineChars="200" w:firstLine="360"/>
              <w:jc w:val="right"/>
              <w:rPr>
                <w:color w:val="000000"/>
                <w:sz w:val="18"/>
                <w:szCs w:val="18"/>
              </w:rPr>
            </w:pPr>
            <w:r w:rsidRPr="00471CBA">
              <w:rPr>
                <w:color w:val="000000"/>
                <w:sz w:val="18"/>
                <w:szCs w:val="18"/>
              </w:rPr>
              <w:t>-</w:t>
            </w:r>
          </w:p>
        </w:tc>
        <w:tc>
          <w:tcPr>
            <w:tcW w:w="1047" w:type="pct"/>
            <w:tcBorders>
              <w:top w:val="nil"/>
              <w:left w:val="nil"/>
              <w:bottom w:val="nil"/>
              <w:right w:val="nil"/>
            </w:tcBorders>
            <w:vAlign w:val="center"/>
            <w:hideMark/>
          </w:tcPr>
          <w:p w14:paraId="6C0BBAE4" w14:textId="77777777" w:rsidR="00A74C68" w:rsidRPr="00471CBA" w:rsidRDefault="00A74C68" w:rsidP="00A74C68">
            <w:pPr>
              <w:jc w:val="right"/>
              <w:rPr>
                <w:color w:val="000000"/>
                <w:sz w:val="18"/>
                <w:szCs w:val="18"/>
              </w:rPr>
            </w:pPr>
            <w:r w:rsidRPr="00471CBA">
              <w:rPr>
                <w:sz w:val="18"/>
                <w:szCs w:val="18"/>
              </w:rPr>
              <w:t>-</w:t>
            </w:r>
          </w:p>
        </w:tc>
        <w:tc>
          <w:tcPr>
            <w:tcW w:w="1017" w:type="pct"/>
            <w:tcBorders>
              <w:top w:val="nil"/>
              <w:left w:val="nil"/>
              <w:bottom w:val="nil"/>
              <w:right w:val="nil"/>
            </w:tcBorders>
            <w:vAlign w:val="center"/>
            <w:hideMark/>
          </w:tcPr>
          <w:p w14:paraId="190DBD2F" w14:textId="77777777" w:rsidR="00A74C68" w:rsidRPr="00471CBA" w:rsidRDefault="00A74C68" w:rsidP="00A74C68">
            <w:pPr>
              <w:jc w:val="right"/>
              <w:rPr>
                <w:color w:val="000000"/>
                <w:sz w:val="18"/>
                <w:szCs w:val="18"/>
              </w:rPr>
            </w:pPr>
            <w:r w:rsidRPr="00471CBA">
              <w:rPr>
                <w:sz w:val="18"/>
                <w:szCs w:val="18"/>
              </w:rPr>
              <w:t>-</w:t>
            </w:r>
          </w:p>
        </w:tc>
        <w:tc>
          <w:tcPr>
            <w:tcW w:w="950" w:type="pct"/>
            <w:tcBorders>
              <w:top w:val="nil"/>
              <w:left w:val="nil"/>
              <w:bottom w:val="nil"/>
              <w:right w:val="nil"/>
            </w:tcBorders>
            <w:vAlign w:val="center"/>
            <w:hideMark/>
          </w:tcPr>
          <w:p w14:paraId="3F1F6D65" w14:textId="77777777" w:rsidR="00A74C68" w:rsidRPr="00471CBA" w:rsidRDefault="00A74C68" w:rsidP="00A74C68">
            <w:pPr>
              <w:jc w:val="right"/>
              <w:rPr>
                <w:color w:val="000000"/>
                <w:sz w:val="18"/>
                <w:szCs w:val="18"/>
              </w:rPr>
            </w:pPr>
            <w:r w:rsidRPr="00471CBA">
              <w:rPr>
                <w:sz w:val="18"/>
                <w:szCs w:val="18"/>
              </w:rPr>
              <w:t>-</w:t>
            </w:r>
          </w:p>
        </w:tc>
      </w:tr>
      <w:tr w:rsidR="00A74C68" w:rsidRPr="00471CBA" w14:paraId="72BEDEF9" w14:textId="77777777" w:rsidTr="00A74C68">
        <w:trPr>
          <w:divId w:val="113715892"/>
          <w:trHeight w:val="170"/>
        </w:trPr>
        <w:tc>
          <w:tcPr>
            <w:tcW w:w="1229" w:type="pct"/>
            <w:tcBorders>
              <w:top w:val="nil"/>
              <w:left w:val="nil"/>
              <w:bottom w:val="nil"/>
              <w:right w:val="nil"/>
            </w:tcBorders>
            <w:vAlign w:val="center"/>
            <w:hideMark/>
          </w:tcPr>
          <w:p w14:paraId="3197370E" w14:textId="77777777" w:rsidR="00A74C68" w:rsidRPr="00471CBA" w:rsidRDefault="00A74C68" w:rsidP="00A74C68">
            <w:pPr>
              <w:ind w:left="641" w:hanging="283"/>
              <w:rPr>
                <w:sz w:val="18"/>
                <w:szCs w:val="18"/>
              </w:rPr>
            </w:pPr>
            <w:r w:rsidRPr="00471CBA">
              <w:rPr>
                <w:sz w:val="18"/>
                <w:szCs w:val="18"/>
              </w:rPr>
              <w:t>Mali Kesime Verilen Krediler</w:t>
            </w:r>
          </w:p>
        </w:tc>
        <w:tc>
          <w:tcPr>
            <w:tcW w:w="757" w:type="pct"/>
            <w:tcBorders>
              <w:top w:val="nil"/>
              <w:left w:val="nil"/>
              <w:bottom w:val="nil"/>
              <w:right w:val="nil"/>
            </w:tcBorders>
            <w:vAlign w:val="center"/>
            <w:hideMark/>
          </w:tcPr>
          <w:p w14:paraId="1127D92C" w14:textId="77777777" w:rsidR="00A74C68" w:rsidRPr="00471CBA" w:rsidRDefault="00A74C68" w:rsidP="00A74C68">
            <w:pPr>
              <w:ind w:firstLineChars="200" w:firstLine="360"/>
              <w:jc w:val="right"/>
              <w:rPr>
                <w:color w:val="000000"/>
                <w:sz w:val="18"/>
                <w:szCs w:val="18"/>
              </w:rPr>
            </w:pPr>
            <w:r w:rsidRPr="00471CBA">
              <w:rPr>
                <w:color w:val="000000"/>
                <w:sz w:val="18"/>
                <w:szCs w:val="18"/>
              </w:rPr>
              <w:t>4.061.952</w:t>
            </w:r>
          </w:p>
        </w:tc>
        <w:tc>
          <w:tcPr>
            <w:tcW w:w="1047" w:type="pct"/>
            <w:tcBorders>
              <w:top w:val="nil"/>
              <w:left w:val="nil"/>
              <w:bottom w:val="nil"/>
              <w:right w:val="nil"/>
            </w:tcBorders>
            <w:vAlign w:val="center"/>
            <w:hideMark/>
          </w:tcPr>
          <w:p w14:paraId="40C33298" w14:textId="77777777" w:rsidR="00A74C68" w:rsidRPr="00471CBA" w:rsidRDefault="00A74C68" w:rsidP="00A74C68">
            <w:pPr>
              <w:jc w:val="right"/>
              <w:rPr>
                <w:color w:val="000000"/>
                <w:sz w:val="18"/>
                <w:szCs w:val="18"/>
              </w:rPr>
            </w:pPr>
            <w:r w:rsidRPr="00471CBA">
              <w:rPr>
                <w:sz w:val="18"/>
                <w:szCs w:val="18"/>
              </w:rPr>
              <w:t>-</w:t>
            </w:r>
          </w:p>
        </w:tc>
        <w:tc>
          <w:tcPr>
            <w:tcW w:w="1017" w:type="pct"/>
            <w:tcBorders>
              <w:top w:val="nil"/>
              <w:left w:val="nil"/>
              <w:bottom w:val="nil"/>
              <w:right w:val="nil"/>
            </w:tcBorders>
            <w:vAlign w:val="center"/>
            <w:hideMark/>
          </w:tcPr>
          <w:p w14:paraId="1B78C13F" w14:textId="77777777" w:rsidR="00A74C68" w:rsidRPr="00471CBA" w:rsidRDefault="00A74C68" w:rsidP="00A74C68">
            <w:pPr>
              <w:jc w:val="right"/>
              <w:rPr>
                <w:color w:val="000000"/>
                <w:sz w:val="18"/>
                <w:szCs w:val="18"/>
              </w:rPr>
            </w:pPr>
            <w:r w:rsidRPr="00471CBA">
              <w:rPr>
                <w:sz w:val="18"/>
                <w:szCs w:val="18"/>
              </w:rPr>
              <w:t>-</w:t>
            </w:r>
          </w:p>
        </w:tc>
        <w:tc>
          <w:tcPr>
            <w:tcW w:w="950" w:type="pct"/>
            <w:tcBorders>
              <w:top w:val="nil"/>
              <w:left w:val="nil"/>
              <w:bottom w:val="nil"/>
              <w:right w:val="nil"/>
            </w:tcBorders>
            <w:vAlign w:val="center"/>
            <w:hideMark/>
          </w:tcPr>
          <w:p w14:paraId="029A4111" w14:textId="77777777" w:rsidR="00A74C68" w:rsidRPr="00471CBA" w:rsidRDefault="00A74C68" w:rsidP="00A74C68">
            <w:pPr>
              <w:jc w:val="right"/>
              <w:rPr>
                <w:color w:val="000000"/>
                <w:sz w:val="18"/>
                <w:szCs w:val="18"/>
              </w:rPr>
            </w:pPr>
            <w:r w:rsidRPr="00471CBA">
              <w:rPr>
                <w:sz w:val="18"/>
                <w:szCs w:val="18"/>
              </w:rPr>
              <w:t>-</w:t>
            </w:r>
          </w:p>
        </w:tc>
      </w:tr>
      <w:tr w:rsidR="00A74C68" w:rsidRPr="00471CBA" w14:paraId="04E6CFA1" w14:textId="77777777" w:rsidTr="00A74C68">
        <w:trPr>
          <w:divId w:val="113715892"/>
          <w:trHeight w:val="170"/>
        </w:trPr>
        <w:tc>
          <w:tcPr>
            <w:tcW w:w="1229" w:type="pct"/>
            <w:tcBorders>
              <w:top w:val="nil"/>
              <w:left w:val="nil"/>
              <w:bottom w:val="nil"/>
              <w:right w:val="nil"/>
            </w:tcBorders>
            <w:vAlign w:val="center"/>
            <w:hideMark/>
          </w:tcPr>
          <w:p w14:paraId="1F7CE056" w14:textId="77777777" w:rsidR="00A74C68" w:rsidRPr="00471CBA" w:rsidRDefault="00A74C68" w:rsidP="00A74C68">
            <w:pPr>
              <w:ind w:firstLineChars="200" w:firstLine="360"/>
              <w:rPr>
                <w:color w:val="000000"/>
                <w:sz w:val="18"/>
                <w:szCs w:val="18"/>
                <w:vertAlign w:val="superscript"/>
              </w:rPr>
            </w:pPr>
            <w:r w:rsidRPr="00471CBA">
              <w:rPr>
                <w:color w:val="000000"/>
                <w:sz w:val="18"/>
                <w:szCs w:val="18"/>
              </w:rPr>
              <w:t>Diğer</w:t>
            </w:r>
          </w:p>
        </w:tc>
        <w:tc>
          <w:tcPr>
            <w:tcW w:w="757" w:type="pct"/>
            <w:tcBorders>
              <w:top w:val="nil"/>
              <w:left w:val="nil"/>
              <w:bottom w:val="nil"/>
              <w:right w:val="nil"/>
            </w:tcBorders>
            <w:vAlign w:val="center"/>
            <w:hideMark/>
          </w:tcPr>
          <w:p w14:paraId="14B7009D" w14:textId="77777777" w:rsidR="00A74C68" w:rsidRPr="00471CBA" w:rsidRDefault="00A74C68" w:rsidP="00A74C68">
            <w:pPr>
              <w:ind w:firstLineChars="200" w:firstLine="360"/>
              <w:jc w:val="right"/>
              <w:rPr>
                <w:color w:val="000000"/>
                <w:sz w:val="18"/>
                <w:szCs w:val="18"/>
              </w:rPr>
            </w:pPr>
            <w:r w:rsidRPr="00471CBA">
              <w:rPr>
                <w:color w:val="000000"/>
                <w:sz w:val="18"/>
                <w:szCs w:val="18"/>
              </w:rPr>
              <w:t>2.245.464</w:t>
            </w:r>
          </w:p>
        </w:tc>
        <w:tc>
          <w:tcPr>
            <w:tcW w:w="1047" w:type="pct"/>
            <w:tcBorders>
              <w:top w:val="nil"/>
              <w:left w:val="nil"/>
              <w:bottom w:val="nil"/>
              <w:right w:val="nil"/>
            </w:tcBorders>
            <w:vAlign w:val="center"/>
            <w:hideMark/>
          </w:tcPr>
          <w:p w14:paraId="4B9F3172" w14:textId="77777777" w:rsidR="00A74C68" w:rsidRPr="00471CBA" w:rsidRDefault="00A74C68" w:rsidP="00A74C68">
            <w:pPr>
              <w:jc w:val="right"/>
              <w:rPr>
                <w:color w:val="000000"/>
                <w:sz w:val="18"/>
                <w:szCs w:val="18"/>
              </w:rPr>
            </w:pPr>
            <w:r w:rsidRPr="00471CBA">
              <w:rPr>
                <w:sz w:val="18"/>
                <w:szCs w:val="18"/>
              </w:rPr>
              <w:t>-</w:t>
            </w:r>
          </w:p>
        </w:tc>
        <w:tc>
          <w:tcPr>
            <w:tcW w:w="1017" w:type="pct"/>
            <w:tcBorders>
              <w:top w:val="nil"/>
              <w:left w:val="nil"/>
              <w:bottom w:val="nil"/>
              <w:right w:val="nil"/>
            </w:tcBorders>
            <w:vAlign w:val="center"/>
            <w:hideMark/>
          </w:tcPr>
          <w:p w14:paraId="3538B4E9" w14:textId="77777777" w:rsidR="00A74C68" w:rsidRPr="00471CBA" w:rsidRDefault="00A74C68" w:rsidP="00A74C68">
            <w:pPr>
              <w:jc w:val="right"/>
              <w:rPr>
                <w:color w:val="000000"/>
                <w:sz w:val="18"/>
                <w:szCs w:val="18"/>
              </w:rPr>
            </w:pPr>
            <w:r w:rsidRPr="00471CBA">
              <w:rPr>
                <w:sz w:val="18"/>
                <w:szCs w:val="18"/>
              </w:rPr>
              <w:t>-</w:t>
            </w:r>
          </w:p>
        </w:tc>
        <w:tc>
          <w:tcPr>
            <w:tcW w:w="950" w:type="pct"/>
            <w:tcBorders>
              <w:top w:val="nil"/>
              <w:left w:val="nil"/>
              <w:bottom w:val="nil"/>
              <w:right w:val="nil"/>
            </w:tcBorders>
            <w:vAlign w:val="center"/>
            <w:hideMark/>
          </w:tcPr>
          <w:p w14:paraId="5B8127F5" w14:textId="77777777" w:rsidR="00A74C68" w:rsidRPr="00471CBA" w:rsidRDefault="00A74C68" w:rsidP="00A74C68">
            <w:pPr>
              <w:jc w:val="right"/>
              <w:rPr>
                <w:color w:val="000000"/>
                <w:sz w:val="18"/>
                <w:szCs w:val="18"/>
              </w:rPr>
            </w:pPr>
            <w:r w:rsidRPr="00471CBA">
              <w:rPr>
                <w:sz w:val="18"/>
                <w:szCs w:val="18"/>
              </w:rPr>
              <w:t>-</w:t>
            </w:r>
          </w:p>
        </w:tc>
      </w:tr>
      <w:tr w:rsidR="00A74C68" w:rsidRPr="00471CBA" w14:paraId="43990944" w14:textId="77777777" w:rsidTr="00A74C68">
        <w:trPr>
          <w:divId w:val="113715892"/>
          <w:trHeight w:val="170"/>
        </w:trPr>
        <w:tc>
          <w:tcPr>
            <w:tcW w:w="1229" w:type="pct"/>
            <w:tcBorders>
              <w:top w:val="nil"/>
              <w:left w:val="nil"/>
              <w:bottom w:val="single" w:sz="4" w:space="0" w:color="auto"/>
              <w:right w:val="nil"/>
            </w:tcBorders>
            <w:vAlign w:val="center"/>
            <w:hideMark/>
          </w:tcPr>
          <w:p w14:paraId="25B7FD00" w14:textId="77777777" w:rsidR="00A74C68" w:rsidRPr="00471CBA" w:rsidRDefault="00A74C68" w:rsidP="00A74C68">
            <w:pPr>
              <w:rPr>
                <w:color w:val="000000"/>
                <w:sz w:val="18"/>
                <w:szCs w:val="18"/>
              </w:rPr>
            </w:pPr>
            <w:r w:rsidRPr="00471CBA">
              <w:rPr>
                <w:color w:val="000000"/>
                <w:sz w:val="18"/>
                <w:szCs w:val="18"/>
              </w:rPr>
              <w:t>Diğer Alacaklar</w:t>
            </w:r>
          </w:p>
        </w:tc>
        <w:tc>
          <w:tcPr>
            <w:tcW w:w="757" w:type="pct"/>
            <w:tcBorders>
              <w:top w:val="nil"/>
              <w:left w:val="nil"/>
              <w:bottom w:val="single" w:sz="4" w:space="0" w:color="auto"/>
              <w:right w:val="nil"/>
            </w:tcBorders>
            <w:vAlign w:val="center"/>
            <w:hideMark/>
          </w:tcPr>
          <w:p w14:paraId="1E71B49B" w14:textId="77777777" w:rsidR="00A74C68" w:rsidRPr="00471CBA" w:rsidRDefault="00A74C68" w:rsidP="00A74C68">
            <w:pPr>
              <w:jc w:val="right"/>
              <w:rPr>
                <w:color w:val="000000"/>
                <w:sz w:val="18"/>
                <w:szCs w:val="18"/>
              </w:rPr>
            </w:pPr>
            <w:r w:rsidRPr="00471CBA">
              <w:rPr>
                <w:color w:val="000000"/>
                <w:sz w:val="18"/>
                <w:szCs w:val="18"/>
              </w:rPr>
              <w:t>-</w:t>
            </w:r>
          </w:p>
        </w:tc>
        <w:tc>
          <w:tcPr>
            <w:tcW w:w="1047" w:type="pct"/>
            <w:tcBorders>
              <w:top w:val="nil"/>
              <w:left w:val="nil"/>
              <w:bottom w:val="single" w:sz="4" w:space="0" w:color="auto"/>
              <w:right w:val="nil"/>
            </w:tcBorders>
            <w:vAlign w:val="center"/>
            <w:hideMark/>
          </w:tcPr>
          <w:p w14:paraId="0B2A5C5A" w14:textId="77777777" w:rsidR="00A74C68" w:rsidRPr="00471CBA" w:rsidRDefault="00A74C68" w:rsidP="00A74C68">
            <w:pPr>
              <w:jc w:val="right"/>
              <w:rPr>
                <w:color w:val="000000"/>
                <w:sz w:val="18"/>
                <w:szCs w:val="18"/>
              </w:rPr>
            </w:pPr>
            <w:r w:rsidRPr="00471CBA">
              <w:rPr>
                <w:color w:val="000000"/>
                <w:sz w:val="18"/>
                <w:szCs w:val="18"/>
              </w:rPr>
              <w:t>-</w:t>
            </w:r>
          </w:p>
        </w:tc>
        <w:tc>
          <w:tcPr>
            <w:tcW w:w="1017" w:type="pct"/>
            <w:tcBorders>
              <w:top w:val="nil"/>
              <w:left w:val="nil"/>
              <w:bottom w:val="single" w:sz="4" w:space="0" w:color="auto"/>
              <w:right w:val="nil"/>
            </w:tcBorders>
            <w:vAlign w:val="center"/>
            <w:hideMark/>
          </w:tcPr>
          <w:p w14:paraId="7325AB74" w14:textId="77777777" w:rsidR="00A74C68" w:rsidRPr="00471CBA" w:rsidRDefault="00A74C68" w:rsidP="00A74C68">
            <w:pPr>
              <w:jc w:val="right"/>
              <w:rPr>
                <w:color w:val="000000"/>
                <w:sz w:val="18"/>
                <w:szCs w:val="18"/>
              </w:rPr>
            </w:pPr>
            <w:r w:rsidRPr="00471CBA">
              <w:rPr>
                <w:color w:val="000000"/>
                <w:sz w:val="18"/>
                <w:szCs w:val="18"/>
              </w:rPr>
              <w:t>-</w:t>
            </w:r>
          </w:p>
        </w:tc>
        <w:tc>
          <w:tcPr>
            <w:tcW w:w="950" w:type="pct"/>
            <w:tcBorders>
              <w:top w:val="nil"/>
              <w:left w:val="nil"/>
              <w:bottom w:val="single" w:sz="4" w:space="0" w:color="auto"/>
              <w:right w:val="nil"/>
            </w:tcBorders>
            <w:vAlign w:val="center"/>
            <w:hideMark/>
          </w:tcPr>
          <w:p w14:paraId="072F7B47"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13F3BB2A" w14:textId="77777777" w:rsidTr="00A74C68">
        <w:trPr>
          <w:divId w:val="113715892"/>
          <w:trHeight w:val="170"/>
        </w:trPr>
        <w:tc>
          <w:tcPr>
            <w:tcW w:w="1229" w:type="pct"/>
            <w:tcBorders>
              <w:top w:val="nil"/>
              <w:left w:val="nil"/>
              <w:right w:val="nil"/>
            </w:tcBorders>
            <w:vAlign w:val="center"/>
            <w:hideMark/>
          </w:tcPr>
          <w:p w14:paraId="61055190" w14:textId="77777777" w:rsidR="00A74C68" w:rsidRPr="00471CBA" w:rsidRDefault="00A74C68" w:rsidP="00A74C68">
            <w:pPr>
              <w:jc w:val="right"/>
              <w:rPr>
                <w:color w:val="000000"/>
                <w:sz w:val="18"/>
                <w:szCs w:val="18"/>
              </w:rPr>
            </w:pPr>
          </w:p>
        </w:tc>
        <w:tc>
          <w:tcPr>
            <w:tcW w:w="757" w:type="pct"/>
            <w:tcBorders>
              <w:top w:val="nil"/>
              <w:left w:val="nil"/>
              <w:right w:val="nil"/>
            </w:tcBorders>
            <w:vAlign w:val="center"/>
            <w:hideMark/>
          </w:tcPr>
          <w:p w14:paraId="2416F5AE" w14:textId="77777777" w:rsidR="00A74C68" w:rsidRPr="00471CBA" w:rsidRDefault="00A74C68" w:rsidP="00A74C68">
            <w:pPr>
              <w:jc w:val="right"/>
              <w:rPr>
                <w:sz w:val="18"/>
                <w:szCs w:val="18"/>
              </w:rPr>
            </w:pPr>
          </w:p>
        </w:tc>
        <w:tc>
          <w:tcPr>
            <w:tcW w:w="1047" w:type="pct"/>
            <w:tcBorders>
              <w:top w:val="nil"/>
              <w:left w:val="nil"/>
              <w:right w:val="nil"/>
            </w:tcBorders>
            <w:vAlign w:val="center"/>
            <w:hideMark/>
          </w:tcPr>
          <w:p w14:paraId="1FDBCB10" w14:textId="77777777" w:rsidR="00A74C68" w:rsidRPr="00471CBA" w:rsidRDefault="00A74C68" w:rsidP="00A74C68">
            <w:pPr>
              <w:jc w:val="right"/>
              <w:rPr>
                <w:sz w:val="18"/>
                <w:szCs w:val="18"/>
              </w:rPr>
            </w:pPr>
          </w:p>
        </w:tc>
        <w:tc>
          <w:tcPr>
            <w:tcW w:w="1017" w:type="pct"/>
            <w:tcBorders>
              <w:top w:val="nil"/>
              <w:left w:val="nil"/>
              <w:right w:val="nil"/>
            </w:tcBorders>
            <w:vAlign w:val="center"/>
            <w:hideMark/>
          </w:tcPr>
          <w:p w14:paraId="4E09D6CA" w14:textId="77777777" w:rsidR="00A74C68" w:rsidRPr="00471CBA" w:rsidRDefault="00A74C68" w:rsidP="00A74C68">
            <w:pPr>
              <w:jc w:val="right"/>
              <w:rPr>
                <w:sz w:val="18"/>
                <w:szCs w:val="18"/>
              </w:rPr>
            </w:pPr>
          </w:p>
        </w:tc>
        <w:tc>
          <w:tcPr>
            <w:tcW w:w="950" w:type="pct"/>
            <w:tcBorders>
              <w:top w:val="nil"/>
              <w:left w:val="nil"/>
              <w:right w:val="nil"/>
            </w:tcBorders>
            <w:vAlign w:val="center"/>
            <w:hideMark/>
          </w:tcPr>
          <w:p w14:paraId="6A81E324" w14:textId="77777777" w:rsidR="00A74C68" w:rsidRPr="00471CBA" w:rsidRDefault="00A74C68" w:rsidP="00A74C68">
            <w:pPr>
              <w:jc w:val="right"/>
              <w:rPr>
                <w:sz w:val="18"/>
                <w:szCs w:val="18"/>
              </w:rPr>
            </w:pPr>
          </w:p>
        </w:tc>
      </w:tr>
      <w:tr w:rsidR="00A74C68" w:rsidRPr="00471CBA" w14:paraId="113526E1" w14:textId="77777777" w:rsidTr="00A74C68">
        <w:trPr>
          <w:divId w:val="113715892"/>
          <w:trHeight w:val="170"/>
        </w:trPr>
        <w:tc>
          <w:tcPr>
            <w:tcW w:w="1229" w:type="pct"/>
            <w:tcBorders>
              <w:top w:val="nil"/>
              <w:left w:val="nil"/>
              <w:bottom w:val="single" w:sz="12" w:space="0" w:color="auto"/>
              <w:right w:val="nil"/>
            </w:tcBorders>
            <w:vAlign w:val="center"/>
            <w:hideMark/>
          </w:tcPr>
          <w:p w14:paraId="086000FE" w14:textId="77777777" w:rsidR="00A74C68" w:rsidRPr="00471CBA" w:rsidRDefault="00A74C68" w:rsidP="00A74C68">
            <w:pPr>
              <w:rPr>
                <w:b/>
                <w:bCs/>
                <w:color w:val="000000"/>
                <w:sz w:val="18"/>
                <w:szCs w:val="18"/>
              </w:rPr>
            </w:pPr>
            <w:r w:rsidRPr="00471CBA">
              <w:rPr>
                <w:b/>
                <w:bCs/>
                <w:color w:val="000000"/>
                <w:sz w:val="18"/>
                <w:szCs w:val="18"/>
              </w:rPr>
              <w:t xml:space="preserve">Toplam </w:t>
            </w:r>
          </w:p>
        </w:tc>
        <w:tc>
          <w:tcPr>
            <w:tcW w:w="757" w:type="pct"/>
            <w:tcBorders>
              <w:top w:val="nil"/>
              <w:left w:val="nil"/>
              <w:bottom w:val="single" w:sz="12" w:space="0" w:color="auto"/>
              <w:right w:val="nil"/>
            </w:tcBorders>
            <w:vAlign w:val="center"/>
            <w:hideMark/>
          </w:tcPr>
          <w:p w14:paraId="6612D5BB" w14:textId="77777777" w:rsidR="00A74C68" w:rsidRPr="00471CBA" w:rsidRDefault="00A74C68" w:rsidP="00A74C68">
            <w:pPr>
              <w:jc w:val="right"/>
              <w:rPr>
                <w:b/>
                <w:bCs/>
                <w:color w:val="000000"/>
                <w:sz w:val="18"/>
                <w:szCs w:val="18"/>
              </w:rPr>
            </w:pPr>
            <w:r w:rsidRPr="00471CBA">
              <w:rPr>
                <w:b/>
                <w:bCs/>
                <w:color w:val="000000"/>
                <w:sz w:val="18"/>
                <w:szCs w:val="18"/>
              </w:rPr>
              <w:t>23.029.459</w:t>
            </w:r>
          </w:p>
        </w:tc>
        <w:tc>
          <w:tcPr>
            <w:tcW w:w="1047" w:type="pct"/>
            <w:tcBorders>
              <w:top w:val="nil"/>
              <w:left w:val="nil"/>
              <w:bottom w:val="single" w:sz="12" w:space="0" w:color="auto"/>
              <w:right w:val="nil"/>
            </w:tcBorders>
            <w:vAlign w:val="center"/>
            <w:hideMark/>
          </w:tcPr>
          <w:p w14:paraId="7B9E4F61" w14:textId="77777777" w:rsidR="00A74C68" w:rsidRPr="00471CBA" w:rsidRDefault="00A74C68" w:rsidP="00A74C68">
            <w:pPr>
              <w:jc w:val="right"/>
              <w:rPr>
                <w:b/>
                <w:bCs/>
                <w:color w:val="000000"/>
                <w:sz w:val="18"/>
                <w:szCs w:val="18"/>
              </w:rPr>
            </w:pPr>
            <w:r w:rsidRPr="00471CBA">
              <w:rPr>
                <w:b/>
                <w:bCs/>
                <w:color w:val="000000"/>
                <w:sz w:val="18"/>
                <w:szCs w:val="18"/>
              </w:rPr>
              <w:t>-</w:t>
            </w:r>
          </w:p>
        </w:tc>
        <w:tc>
          <w:tcPr>
            <w:tcW w:w="1017" w:type="pct"/>
            <w:tcBorders>
              <w:top w:val="nil"/>
              <w:left w:val="nil"/>
              <w:bottom w:val="single" w:sz="12" w:space="0" w:color="auto"/>
              <w:right w:val="nil"/>
            </w:tcBorders>
            <w:vAlign w:val="center"/>
            <w:hideMark/>
          </w:tcPr>
          <w:p w14:paraId="03584463" w14:textId="77777777" w:rsidR="00A74C68" w:rsidRPr="00471CBA" w:rsidRDefault="00A74C68" w:rsidP="00A74C68">
            <w:pPr>
              <w:jc w:val="right"/>
              <w:rPr>
                <w:b/>
                <w:bCs/>
                <w:color w:val="000000"/>
                <w:sz w:val="18"/>
                <w:szCs w:val="18"/>
              </w:rPr>
            </w:pPr>
            <w:r w:rsidRPr="00471CBA">
              <w:rPr>
                <w:b/>
                <w:bCs/>
                <w:color w:val="000000"/>
                <w:sz w:val="18"/>
                <w:szCs w:val="18"/>
              </w:rPr>
              <w:t>-</w:t>
            </w:r>
          </w:p>
        </w:tc>
        <w:tc>
          <w:tcPr>
            <w:tcW w:w="950" w:type="pct"/>
            <w:tcBorders>
              <w:top w:val="nil"/>
              <w:left w:val="nil"/>
              <w:bottom w:val="single" w:sz="12" w:space="0" w:color="auto"/>
              <w:right w:val="nil"/>
            </w:tcBorders>
            <w:vAlign w:val="center"/>
            <w:hideMark/>
          </w:tcPr>
          <w:p w14:paraId="6C443F16" w14:textId="77777777" w:rsidR="00A74C68" w:rsidRPr="00471CBA" w:rsidRDefault="00A74C68" w:rsidP="00A74C68">
            <w:pPr>
              <w:jc w:val="right"/>
              <w:rPr>
                <w:b/>
                <w:bCs/>
                <w:color w:val="000000"/>
                <w:sz w:val="18"/>
                <w:szCs w:val="18"/>
              </w:rPr>
            </w:pPr>
            <w:r w:rsidRPr="00471CBA">
              <w:rPr>
                <w:b/>
                <w:bCs/>
                <w:color w:val="000000"/>
                <w:sz w:val="18"/>
                <w:szCs w:val="18"/>
              </w:rPr>
              <w:t>-</w:t>
            </w:r>
          </w:p>
        </w:tc>
      </w:tr>
    </w:tbl>
    <w:p w14:paraId="7E8E47BD" w14:textId="4D1F6966" w:rsidR="00F36B82" w:rsidRDefault="00F36B82" w:rsidP="001A1834">
      <w:pPr>
        <w:widowControl w:val="0"/>
        <w:ind w:left="851"/>
        <w:jc w:val="both"/>
        <w:rPr>
          <w:sz w:val="14"/>
          <w:szCs w:val="14"/>
        </w:rPr>
      </w:pPr>
    </w:p>
    <w:p w14:paraId="491B4772" w14:textId="77777777" w:rsidR="00F36B82" w:rsidRDefault="00F36B82">
      <w:pPr>
        <w:rPr>
          <w:sz w:val="14"/>
          <w:szCs w:val="14"/>
        </w:rPr>
      </w:pPr>
      <w:r>
        <w:rPr>
          <w:sz w:val="14"/>
          <w:szCs w:val="14"/>
        </w:rPr>
        <w:br w:type="page"/>
      </w:r>
    </w:p>
    <w:p w14:paraId="3690AEA4" w14:textId="77777777" w:rsidR="00F36B82" w:rsidRPr="00471CBA" w:rsidRDefault="00F36B82" w:rsidP="00F36B82">
      <w:pPr>
        <w:rPr>
          <w:b/>
          <w:szCs w:val="20"/>
        </w:rPr>
      </w:pPr>
      <w:r w:rsidRPr="00471CBA">
        <w:rPr>
          <w:b/>
          <w:szCs w:val="20"/>
        </w:rPr>
        <w:t>KONSOLİDE OLMAYAN FİNANSAL TABLOLARA İLİŞKİN AÇIKLAMA VE DİPNOTLAR (Devamı)</w:t>
      </w:r>
    </w:p>
    <w:p w14:paraId="67889554" w14:textId="77777777" w:rsidR="00F36B82" w:rsidRPr="00471CBA" w:rsidRDefault="00F36B82" w:rsidP="00F36B82">
      <w:pPr>
        <w:pStyle w:val="ListeParagraf"/>
        <w:widowControl w:val="0"/>
        <w:ind w:left="14" w:right="452"/>
        <w:jc w:val="both"/>
        <w:rPr>
          <w:b/>
          <w:szCs w:val="20"/>
        </w:rPr>
      </w:pPr>
    </w:p>
    <w:p w14:paraId="7DD5A9DA" w14:textId="77777777" w:rsidR="00F36B82" w:rsidRPr="00471CBA" w:rsidRDefault="00F36B82" w:rsidP="008459A9">
      <w:pPr>
        <w:pStyle w:val="ListeParagraf"/>
        <w:widowControl w:val="0"/>
        <w:numPr>
          <w:ilvl w:val="0"/>
          <w:numId w:val="104"/>
        </w:numPr>
        <w:ind w:left="709"/>
        <w:jc w:val="both"/>
        <w:rPr>
          <w:b/>
          <w:szCs w:val="20"/>
        </w:rPr>
      </w:pPr>
      <w:r w:rsidRPr="00471CBA">
        <w:rPr>
          <w:b/>
          <w:szCs w:val="20"/>
        </w:rPr>
        <w:t>BİLANÇONUN AKTİF HESAPLARINA İLİŞKİN AÇIKLAMA VE DİPNOTLAR (Devamı)</w:t>
      </w:r>
    </w:p>
    <w:p w14:paraId="08E21772" w14:textId="77777777" w:rsidR="00F36B82" w:rsidRPr="00471CBA" w:rsidRDefault="00F36B82" w:rsidP="00F36B82">
      <w:pPr>
        <w:pStyle w:val="GvdeMetniGirintisi"/>
        <w:widowControl w:val="0"/>
        <w:ind w:left="567" w:hanging="567"/>
        <w:rPr>
          <w:b/>
          <w:szCs w:val="20"/>
        </w:rPr>
      </w:pPr>
    </w:p>
    <w:p w14:paraId="64AA1EA5" w14:textId="77777777" w:rsidR="00F36B82" w:rsidRPr="00471CBA" w:rsidRDefault="00F36B82" w:rsidP="00F36B82">
      <w:pPr>
        <w:pStyle w:val="GvdeMetniGirintisi"/>
        <w:widowControl w:val="0"/>
        <w:ind w:left="567" w:hanging="567"/>
        <w:rPr>
          <w:b/>
          <w:szCs w:val="20"/>
        </w:rPr>
      </w:pPr>
      <w:r w:rsidRPr="00471CBA">
        <w:rPr>
          <w:b/>
          <w:szCs w:val="20"/>
        </w:rPr>
        <w:t>b1.</w:t>
      </w:r>
      <w:r w:rsidRPr="00471CBA">
        <w:rPr>
          <w:b/>
          <w:szCs w:val="20"/>
        </w:rPr>
        <w:tab/>
        <w:t>Standart nitelikli ve yakın izlemedeki krediler ile yeniden yapılandırılan yakın izlemedeki kredilere ilişkin detay tablosu (devamı)</w:t>
      </w:r>
    </w:p>
    <w:p w14:paraId="7E16D612" w14:textId="77777777" w:rsidR="00304C05" w:rsidRPr="00471CBA" w:rsidRDefault="00304C05" w:rsidP="001A1834">
      <w:pPr>
        <w:widowControl w:val="0"/>
        <w:ind w:left="851"/>
        <w:jc w:val="both"/>
        <w:rPr>
          <w:sz w:val="14"/>
          <w:szCs w:val="14"/>
        </w:rPr>
      </w:pPr>
    </w:p>
    <w:p w14:paraId="0D0E60F9" w14:textId="6FA23DCD" w:rsidR="007F6D29" w:rsidRPr="00471CBA" w:rsidRDefault="007F6D29" w:rsidP="001A1834">
      <w:pPr>
        <w:autoSpaceDE w:val="0"/>
        <w:autoSpaceDN w:val="0"/>
        <w:adjustRightInd w:val="0"/>
        <w:ind w:left="283" w:hanging="323"/>
        <w:jc w:val="both"/>
        <w:rPr>
          <w:sz w:val="18"/>
          <w:szCs w:val="18"/>
        </w:rPr>
      </w:pPr>
      <w:r w:rsidRPr="00471CBA">
        <w:rPr>
          <w:sz w:val="18"/>
          <w:szCs w:val="18"/>
          <w:vertAlign w:val="superscript"/>
        </w:rPr>
        <w:t xml:space="preserve">(*) </w:t>
      </w:r>
      <w:r w:rsidRPr="00471CBA">
        <w:rPr>
          <w:sz w:val="18"/>
          <w:szCs w:val="18"/>
        </w:rPr>
        <w:t>Diğer kredilerin detayı aşağıdaki gibidir:</w:t>
      </w:r>
    </w:p>
    <w:p w14:paraId="3E29C919" w14:textId="068107E3" w:rsidR="00040B79" w:rsidRPr="00471CBA" w:rsidRDefault="00040B79" w:rsidP="001A1834">
      <w:pPr>
        <w:autoSpaceDE w:val="0"/>
        <w:autoSpaceDN w:val="0"/>
        <w:adjustRightInd w:val="0"/>
        <w:ind w:left="283" w:hanging="323"/>
        <w:jc w:val="both"/>
        <w:rPr>
          <w:sz w:val="14"/>
          <w:szCs w:val="14"/>
        </w:rPr>
      </w:pPr>
    </w:p>
    <w:tbl>
      <w:tblPr>
        <w:tblW w:w="5000" w:type="pct"/>
        <w:tblCellMar>
          <w:left w:w="70" w:type="dxa"/>
          <w:right w:w="70" w:type="dxa"/>
        </w:tblCellMar>
        <w:tblLook w:val="04A0" w:firstRow="1" w:lastRow="0" w:firstColumn="1" w:lastColumn="0" w:noHBand="0" w:noVBand="1"/>
      </w:tblPr>
      <w:tblGrid>
        <w:gridCol w:w="6489"/>
        <w:gridCol w:w="2866"/>
      </w:tblGrid>
      <w:tr w:rsidR="00040B79" w:rsidRPr="00471CBA" w14:paraId="0B81C556" w14:textId="77777777" w:rsidTr="00B0137C">
        <w:trPr>
          <w:trHeight w:val="170"/>
        </w:trPr>
        <w:tc>
          <w:tcPr>
            <w:tcW w:w="3468" w:type="pct"/>
            <w:tcBorders>
              <w:top w:val="nil"/>
              <w:left w:val="nil"/>
              <w:bottom w:val="nil"/>
              <w:right w:val="nil"/>
            </w:tcBorders>
            <w:noWrap/>
            <w:vAlign w:val="center"/>
            <w:hideMark/>
          </w:tcPr>
          <w:p w14:paraId="0014F181" w14:textId="77777777" w:rsidR="00040B79" w:rsidRPr="00471CBA" w:rsidRDefault="00040B79" w:rsidP="00B0137C">
            <w:pPr>
              <w:rPr>
                <w:color w:val="000000"/>
                <w:szCs w:val="20"/>
                <w:lang w:eastAsia="tr-TR"/>
              </w:rPr>
            </w:pPr>
            <w:r w:rsidRPr="00471CBA">
              <w:rPr>
                <w:color w:val="000000"/>
                <w:szCs w:val="20"/>
                <w:lang w:eastAsia="tr-TR"/>
              </w:rPr>
              <w:t>Taksitli Ticari Krediler</w:t>
            </w:r>
          </w:p>
        </w:tc>
        <w:tc>
          <w:tcPr>
            <w:tcW w:w="1532" w:type="pct"/>
            <w:tcBorders>
              <w:top w:val="nil"/>
              <w:left w:val="nil"/>
              <w:bottom w:val="nil"/>
              <w:right w:val="nil"/>
            </w:tcBorders>
            <w:vAlign w:val="center"/>
            <w:hideMark/>
          </w:tcPr>
          <w:p w14:paraId="3E819018" w14:textId="77777777" w:rsidR="00040B79" w:rsidRPr="00471CBA" w:rsidRDefault="00040B79" w:rsidP="00B0137C">
            <w:pPr>
              <w:jc w:val="right"/>
              <w:rPr>
                <w:color w:val="000000"/>
                <w:szCs w:val="20"/>
                <w:lang w:eastAsia="tr-TR"/>
              </w:rPr>
            </w:pPr>
            <w:r w:rsidRPr="00471CBA">
              <w:rPr>
                <w:color w:val="000000"/>
                <w:szCs w:val="20"/>
                <w:lang w:eastAsia="tr-TR"/>
              </w:rPr>
              <w:t>1.459.905</w:t>
            </w:r>
          </w:p>
        </w:tc>
      </w:tr>
      <w:tr w:rsidR="00040B79" w:rsidRPr="00471CBA" w14:paraId="5FA99FFF" w14:textId="77777777" w:rsidTr="00B0137C">
        <w:trPr>
          <w:trHeight w:val="170"/>
        </w:trPr>
        <w:tc>
          <w:tcPr>
            <w:tcW w:w="3468" w:type="pct"/>
            <w:tcBorders>
              <w:top w:val="nil"/>
              <w:left w:val="nil"/>
              <w:right w:val="nil"/>
            </w:tcBorders>
            <w:noWrap/>
            <w:vAlign w:val="center"/>
          </w:tcPr>
          <w:p w14:paraId="0C7C227A" w14:textId="77777777" w:rsidR="00040B79" w:rsidRPr="00471CBA" w:rsidRDefault="00040B79" w:rsidP="00B0137C">
            <w:pPr>
              <w:rPr>
                <w:color w:val="000000"/>
                <w:szCs w:val="20"/>
                <w:lang w:eastAsia="tr-TR"/>
              </w:rPr>
            </w:pPr>
            <w:r w:rsidRPr="00471CBA">
              <w:rPr>
                <w:color w:val="000000"/>
                <w:szCs w:val="20"/>
                <w:lang w:eastAsia="tr-TR"/>
              </w:rPr>
              <w:t>Kıymetli Maden Kredileri</w:t>
            </w:r>
          </w:p>
        </w:tc>
        <w:tc>
          <w:tcPr>
            <w:tcW w:w="1532" w:type="pct"/>
            <w:tcBorders>
              <w:top w:val="nil"/>
              <w:left w:val="nil"/>
              <w:right w:val="nil"/>
            </w:tcBorders>
            <w:vAlign w:val="center"/>
          </w:tcPr>
          <w:p w14:paraId="11435892" w14:textId="77777777" w:rsidR="00040B79" w:rsidRPr="00471CBA" w:rsidRDefault="00040B79" w:rsidP="00B0137C">
            <w:pPr>
              <w:jc w:val="right"/>
              <w:rPr>
                <w:color w:val="000000"/>
                <w:szCs w:val="20"/>
                <w:lang w:eastAsia="tr-TR"/>
              </w:rPr>
            </w:pPr>
            <w:r w:rsidRPr="00471CBA">
              <w:rPr>
                <w:color w:val="000000"/>
                <w:szCs w:val="20"/>
                <w:lang w:eastAsia="tr-TR"/>
              </w:rPr>
              <w:t>702.660</w:t>
            </w:r>
          </w:p>
        </w:tc>
      </w:tr>
      <w:tr w:rsidR="00F0754C" w:rsidRPr="00471CBA" w14:paraId="3505D511" w14:textId="77777777" w:rsidTr="00B0137C">
        <w:trPr>
          <w:trHeight w:val="170"/>
        </w:trPr>
        <w:tc>
          <w:tcPr>
            <w:tcW w:w="3468" w:type="pct"/>
            <w:tcBorders>
              <w:top w:val="nil"/>
              <w:left w:val="nil"/>
              <w:right w:val="nil"/>
            </w:tcBorders>
            <w:noWrap/>
            <w:vAlign w:val="center"/>
          </w:tcPr>
          <w:p w14:paraId="7F52D2B5" w14:textId="338174C0" w:rsidR="00F0754C" w:rsidRPr="00471CBA" w:rsidRDefault="00C06936" w:rsidP="00B0137C">
            <w:pPr>
              <w:rPr>
                <w:color w:val="000000"/>
                <w:szCs w:val="20"/>
                <w:lang w:eastAsia="tr-TR"/>
              </w:rPr>
            </w:pPr>
            <w:r w:rsidRPr="00471CBA">
              <w:rPr>
                <w:color w:val="000000"/>
                <w:szCs w:val="20"/>
                <w:lang w:eastAsia="tr-TR"/>
              </w:rPr>
              <w:t>Yurtdışı krediler</w:t>
            </w:r>
          </w:p>
        </w:tc>
        <w:tc>
          <w:tcPr>
            <w:tcW w:w="1532" w:type="pct"/>
            <w:tcBorders>
              <w:top w:val="nil"/>
              <w:left w:val="nil"/>
              <w:right w:val="nil"/>
            </w:tcBorders>
            <w:vAlign w:val="center"/>
          </w:tcPr>
          <w:p w14:paraId="276A532E" w14:textId="33DA212D" w:rsidR="00F0754C" w:rsidRPr="00471CBA" w:rsidRDefault="00F0754C" w:rsidP="00B0137C">
            <w:pPr>
              <w:jc w:val="right"/>
              <w:rPr>
                <w:color w:val="000000"/>
                <w:szCs w:val="20"/>
                <w:lang w:eastAsia="tr-TR"/>
              </w:rPr>
            </w:pPr>
            <w:r w:rsidRPr="00471CBA">
              <w:rPr>
                <w:color w:val="000000"/>
                <w:szCs w:val="20"/>
                <w:lang w:eastAsia="tr-TR"/>
              </w:rPr>
              <w:t>78.011</w:t>
            </w:r>
          </w:p>
        </w:tc>
      </w:tr>
      <w:tr w:rsidR="00040B79" w:rsidRPr="00471CBA" w14:paraId="04918EE7" w14:textId="77777777" w:rsidTr="00B0137C">
        <w:trPr>
          <w:trHeight w:val="170"/>
        </w:trPr>
        <w:tc>
          <w:tcPr>
            <w:tcW w:w="3468" w:type="pct"/>
            <w:tcBorders>
              <w:top w:val="nil"/>
              <w:left w:val="nil"/>
              <w:bottom w:val="single" w:sz="4" w:space="0" w:color="auto"/>
              <w:right w:val="nil"/>
            </w:tcBorders>
            <w:noWrap/>
            <w:vAlign w:val="center"/>
            <w:hideMark/>
          </w:tcPr>
          <w:p w14:paraId="096BD401" w14:textId="77777777" w:rsidR="00040B79" w:rsidRPr="00471CBA" w:rsidRDefault="00040B79" w:rsidP="00B0137C">
            <w:pPr>
              <w:rPr>
                <w:color w:val="000000"/>
                <w:szCs w:val="20"/>
                <w:lang w:eastAsia="tr-TR"/>
              </w:rPr>
            </w:pPr>
            <w:r w:rsidRPr="00471CBA">
              <w:rPr>
                <w:color w:val="000000"/>
                <w:szCs w:val="20"/>
                <w:lang w:eastAsia="tr-TR"/>
              </w:rPr>
              <w:t>Diğer</w:t>
            </w:r>
          </w:p>
        </w:tc>
        <w:tc>
          <w:tcPr>
            <w:tcW w:w="1532" w:type="pct"/>
            <w:tcBorders>
              <w:top w:val="nil"/>
              <w:left w:val="nil"/>
              <w:bottom w:val="single" w:sz="4" w:space="0" w:color="auto"/>
              <w:right w:val="nil"/>
            </w:tcBorders>
            <w:vAlign w:val="center"/>
            <w:hideMark/>
          </w:tcPr>
          <w:p w14:paraId="08B0E017" w14:textId="77C4C4A7" w:rsidR="00040B79" w:rsidRPr="00471CBA" w:rsidRDefault="00F0754C" w:rsidP="00B0137C">
            <w:pPr>
              <w:jc w:val="right"/>
              <w:rPr>
                <w:color w:val="000000"/>
                <w:szCs w:val="20"/>
                <w:lang w:eastAsia="tr-TR"/>
              </w:rPr>
            </w:pPr>
            <w:r w:rsidRPr="00471CBA">
              <w:rPr>
                <w:color w:val="000000"/>
                <w:szCs w:val="20"/>
                <w:lang w:eastAsia="tr-TR"/>
              </w:rPr>
              <w:t>4.888</w:t>
            </w:r>
          </w:p>
        </w:tc>
      </w:tr>
      <w:tr w:rsidR="00040B79" w:rsidRPr="00471CBA" w14:paraId="7734294B" w14:textId="77777777" w:rsidTr="00B0137C">
        <w:trPr>
          <w:trHeight w:val="170"/>
        </w:trPr>
        <w:tc>
          <w:tcPr>
            <w:tcW w:w="3468" w:type="pct"/>
            <w:tcBorders>
              <w:top w:val="single" w:sz="4" w:space="0" w:color="auto"/>
              <w:left w:val="nil"/>
              <w:right w:val="nil"/>
            </w:tcBorders>
            <w:noWrap/>
            <w:vAlign w:val="center"/>
            <w:hideMark/>
          </w:tcPr>
          <w:p w14:paraId="5F23DE67" w14:textId="77777777" w:rsidR="00040B79" w:rsidRPr="00471CBA" w:rsidRDefault="00040B79" w:rsidP="00B0137C">
            <w:pPr>
              <w:jc w:val="right"/>
              <w:rPr>
                <w:color w:val="000000"/>
                <w:szCs w:val="20"/>
                <w:lang w:eastAsia="tr-TR"/>
              </w:rPr>
            </w:pPr>
          </w:p>
        </w:tc>
        <w:tc>
          <w:tcPr>
            <w:tcW w:w="1532" w:type="pct"/>
            <w:tcBorders>
              <w:top w:val="single" w:sz="4" w:space="0" w:color="auto"/>
              <w:left w:val="nil"/>
              <w:right w:val="nil"/>
            </w:tcBorders>
            <w:vAlign w:val="center"/>
            <w:hideMark/>
          </w:tcPr>
          <w:p w14:paraId="7E17EEE1" w14:textId="77777777" w:rsidR="00040B79" w:rsidRPr="00471CBA" w:rsidRDefault="00040B79" w:rsidP="00B0137C">
            <w:pPr>
              <w:rPr>
                <w:szCs w:val="20"/>
                <w:lang w:eastAsia="tr-TR"/>
              </w:rPr>
            </w:pPr>
          </w:p>
        </w:tc>
      </w:tr>
      <w:tr w:rsidR="00040B79" w:rsidRPr="00471CBA" w14:paraId="3987467F" w14:textId="77777777" w:rsidTr="00B0137C">
        <w:trPr>
          <w:trHeight w:val="170"/>
        </w:trPr>
        <w:tc>
          <w:tcPr>
            <w:tcW w:w="3468" w:type="pct"/>
            <w:tcBorders>
              <w:left w:val="nil"/>
              <w:bottom w:val="single" w:sz="8" w:space="0" w:color="auto"/>
              <w:right w:val="nil"/>
            </w:tcBorders>
            <w:noWrap/>
            <w:vAlign w:val="center"/>
            <w:hideMark/>
          </w:tcPr>
          <w:p w14:paraId="27211051" w14:textId="77777777" w:rsidR="00040B79" w:rsidRPr="00471CBA" w:rsidRDefault="00040B79" w:rsidP="00B0137C">
            <w:pPr>
              <w:rPr>
                <w:b/>
                <w:bCs/>
                <w:color w:val="000000"/>
                <w:szCs w:val="20"/>
                <w:lang w:eastAsia="tr-TR"/>
              </w:rPr>
            </w:pPr>
            <w:r w:rsidRPr="00471CBA">
              <w:rPr>
                <w:b/>
                <w:bCs/>
                <w:color w:val="000000"/>
                <w:szCs w:val="20"/>
                <w:lang w:eastAsia="tr-TR"/>
              </w:rPr>
              <w:t>Toplam</w:t>
            </w:r>
          </w:p>
        </w:tc>
        <w:tc>
          <w:tcPr>
            <w:tcW w:w="1532" w:type="pct"/>
            <w:tcBorders>
              <w:left w:val="nil"/>
              <w:bottom w:val="single" w:sz="8" w:space="0" w:color="auto"/>
              <w:right w:val="nil"/>
            </w:tcBorders>
            <w:vAlign w:val="center"/>
            <w:hideMark/>
          </w:tcPr>
          <w:p w14:paraId="3A7BC6D2" w14:textId="77777777" w:rsidR="00040B79" w:rsidRPr="00471CBA" w:rsidRDefault="00040B79" w:rsidP="00B0137C">
            <w:pPr>
              <w:jc w:val="right"/>
              <w:rPr>
                <w:b/>
                <w:bCs/>
                <w:color w:val="000000"/>
                <w:szCs w:val="20"/>
                <w:lang w:eastAsia="tr-TR"/>
              </w:rPr>
            </w:pPr>
            <w:r w:rsidRPr="00471CBA">
              <w:rPr>
                <w:b/>
                <w:bCs/>
                <w:color w:val="000000"/>
                <w:szCs w:val="20"/>
                <w:lang w:eastAsia="tr-TR"/>
              </w:rPr>
              <w:t>2.245.464</w:t>
            </w:r>
          </w:p>
        </w:tc>
      </w:tr>
    </w:tbl>
    <w:p w14:paraId="14FB8173" w14:textId="1545C260" w:rsidR="005E3A4F" w:rsidRPr="00471CBA" w:rsidRDefault="005E3A4F" w:rsidP="00AE0899">
      <w:pPr>
        <w:widowControl w:val="0"/>
        <w:ind w:left="851"/>
        <w:jc w:val="both"/>
        <w:rPr>
          <w:szCs w:val="20"/>
        </w:rPr>
      </w:pPr>
    </w:p>
    <w:p w14:paraId="303E9FF0" w14:textId="7445CC57" w:rsidR="00E21BAB" w:rsidRPr="00471CBA" w:rsidRDefault="00E66F02" w:rsidP="00A8453C">
      <w:pPr>
        <w:widowControl w:val="0"/>
        <w:jc w:val="both"/>
        <w:rPr>
          <w:b/>
          <w:bCs/>
          <w:szCs w:val="20"/>
        </w:rPr>
      </w:pPr>
      <w:bookmarkStart w:id="93" w:name="_Hlk213014249"/>
      <w:r w:rsidRPr="00471CBA">
        <w:rPr>
          <w:b/>
          <w:bCs/>
          <w:szCs w:val="20"/>
        </w:rPr>
        <w:t>b2.</w:t>
      </w:r>
      <w:r w:rsidRPr="00471CBA">
        <w:rPr>
          <w:b/>
          <w:bCs/>
          <w:szCs w:val="20"/>
        </w:rPr>
        <w:tab/>
      </w:r>
      <w:r w:rsidR="00E21BAB" w:rsidRPr="00471CBA">
        <w:rPr>
          <w:b/>
          <w:bCs/>
          <w:szCs w:val="20"/>
        </w:rPr>
        <w:t>Standart nitelikli ve yakın izlemedeki krediler ile yeniden yapılandırılan yakın izlemedeki krediler</w:t>
      </w:r>
      <w:r w:rsidR="00A27424" w:rsidRPr="00471CBA">
        <w:rPr>
          <w:b/>
          <w:bCs/>
          <w:szCs w:val="20"/>
        </w:rPr>
        <w:t xml:space="preserve"> için ayrılan</w:t>
      </w:r>
      <w:r w:rsidR="00A8453C" w:rsidRPr="00471CBA">
        <w:rPr>
          <w:b/>
          <w:bCs/>
          <w:szCs w:val="20"/>
        </w:rPr>
        <w:t xml:space="preserve"> </w:t>
      </w:r>
      <w:r w:rsidR="00E21BAB" w:rsidRPr="00471CBA">
        <w:rPr>
          <w:b/>
          <w:bCs/>
          <w:szCs w:val="20"/>
        </w:rPr>
        <w:t>karşılıklara ilişkin bilgiler</w:t>
      </w:r>
    </w:p>
    <w:bookmarkEnd w:id="93"/>
    <w:p w14:paraId="33EBFC51" w14:textId="0A1AE2D3" w:rsidR="00A74C68" w:rsidRPr="00471CBA" w:rsidRDefault="00A74C68" w:rsidP="00A27424"/>
    <w:tbl>
      <w:tblPr>
        <w:tblW w:w="0" w:type="auto"/>
        <w:tblCellMar>
          <w:left w:w="70" w:type="dxa"/>
          <w:right w:w="70" w:type="dxa"/>
        </w:tblCellMar>
        <w:tblLook w:val="04A0" w:firstRow="1" w:lastRow="0" w:firstColumn="1" w:lastColumn="0" w:noHBand="0" w:noVBand="1"/>
      </w:tblPr>
      <w:tblGrid>
        <w:gridCol w:w="6521"/>
        <w:gridCol w:w="1353"/>
        <w:gridCol w:w="1481"/>
      </w:tblGrid>
      <w:tr w:rsidR="00A74C68" w:rsidRPr="00471CBA" w14:paraId="40D2EF14" w14:textId="77777777" w:rsidTr="00A74C68">
        <w:trPr>
          <w:divId w:val="1986855206"/>
          <w:trHeight w:val="227"/>
        </w:trPr>
        <w:tc>
          <w:tcPr>
            <w:tcW w:w="6521" w:type="dxa"/>
            <w:tcBorders>
              <w:top w:val="nil"/>
              <w:left w:val="nil"/>
              <w:bottom w:val="nil"/>
              <w:right w:val="nil"/>
            </w:tcBorders>
            <w:vAlign w:val="center"/>
            <w:hideMark/>
          </w:tcPr>
          <w:p w14:paraId="24922EFB" w14:textId="5EDF3473" w:rsidR="00A74C68" w:rsidRPr="00471CBA" w:rsidRDefault="00A74C68" w:rsidP="00A74C68">
            <w:pPr>
              <w:rPr>
                <w:b/>
                <w:bCs/>
                <w:color w:val="000000"/>
                <w:szCs w:val="20"/>
                <w:lang w:eastAsia="tr-TR"/>
              </w:rPr>
            </w:pPr>
            <w:r w:rsidRPr="00471CBA">
              <w:rPr>
                <w:b/>
                <w:bCs/>
                <w:color w:val="000000"/>
                <w:szCs w:val="20"/>
                <w:lang w:eastAsia="tr-TR"/>
              </w:rPr>
              <w:t>31 Aralık 2025</w:t>
            </w:r>
          </w:p>
        </w:tc>
        <w:tc>
          <w:tcPr>
            <w:tcW w:w="0" w:type="auto"/>
            <w:tcBorders>
              <w:top w:val="nil"/>
              <w:left w:val="nil"/>
              <w:bottom w:val="single" w:sz="4" w:space="0" w:color="auto"/>
              <w:right w:val="nil"/>
            </w:tcBorders>
            <w:vAlign w:val="bottom"/>
            <w:hideMark/>
          </w:tcPr>
          <w:p w14:paraId="17211161" w14:textId="77777777" w:rsidR="00A74C68" w:rsidRPr="00471CBA" w:rsidRDefault="00A74C68" w:rsidP="00A74C68">
            <w:pPr>
              <w:jc w:val="right"/>
              <w:rPr>
                <w:b/>
                <w:bCs/>
                <w:color w:val="000000"/>
                <w:szCs w:val="20"/>
                <w:lang w:eastAsia="tr-TR"/>
              </w:rPr>
            </w:pPr>
            <w:r w:rsidRPr="00471CBA">
              <w:rPr>
                <w:b/>
                <w:bCs/>
                <w:color w:val="000000"/>
                <w:szCs w:val="20"/>
                <w:lang w:eastAsia="tr-TR"/>
              </w:rPr>
              <w:t>Standart Nitelikli Krediler</w:t>
            </w:r>
          </w:p>
        </w:tc>
        <w:tc>
          <w:tcPr>
            <w:tcW w:w="0" w:type="auto"/>
            <w:tcBorders>
              <w:top w:val="nil"/>
              <w:left w:val="nil"/>
              <w:bottom w:val="single" w:sz="4" w:space="0" w:color="auto"/>
              <w:right w:val="nil"/>
            </w:tcBorders>
            <w:vAlign w:val="bottom"/>
            <w:hideMark/>
          </w:tcPr>
          <w:p w14:paraId="6AA46C12" w14:textId="77777777" w:rsidR="00A74C68" w:rsidRPr="00471CBA" w:rsidRDefault="00A74C68" w:rsidP="00A74C68">
            <w:pPr>
              <w:jc w:val="right"/>
              <w:rPr>
                <w:b/>
                <w:bCs/>
                <w:color w:val="000000"/>
                <w:szCs w:val="20"/>
                <w:lang w:eastAsia="tr-TR"/>
              </w:rPr>
            </w:pPr>
            <w:r w:rsidRPr="00471CBA">
              <w:rPr>
                <w:b/>
                <w:bCs/>
                <w:color w:val="000000"/>
                <w:szCs w:val="20"/>
                <w:lang w:eastAsia="tr-TR"/>
              </w:rPr>
              <w:t>Yakın İzlemedeki Krediler</w:t>
            </w:r>
          </w:p>
        </w:tc>
      </w:tr>
      <w:tr w:rsidR="00A74C68" w:rsidRPr="00471CBA" w14:paraId="4D882ABF" w14:textId="77777777" w:rsidTr="00A74C68">
        <w:trPr>
          <w:divId w:val="1986855206"/>
          <w:trHeight w:val="227"/>
        </w:trPr>
        <w:tc>
          <w:tcPr>
            <w:tcW w:w="6521" w:type="dxa"/>
            <w:tcBorders>
              <w:top w:val="nil"/>
              <w:left w:val="nil"/>
              <w:bottom w:val="nil"/>
              <w:right w:val="nil"/>
            </w:tcBorders>
            <w:vAlign w:val="center"/>
            <w:hideMark/>
          </w:tcPr>
          <w:p w14:paraId="772AB013" w14:textId="77777777" w:rsidR="00A74C68" w:rsidRPr="00471CBA" w:rsidRDefault="00A74C68" w:rsidP="00A74C68">
            <w:pPr>
              <w:jc w:val="right"/>
              <w:rPr>
                <w:b/>
                <w:bCs/>
                <w:color w:val="000000"/>
                <w:szCs w:val="20"/>
                <w:lang w:eastAsia="tr-TR"/>
              </w:rPr>
            </w:pPr>
          </w:p>
        </w:tc>
        <w:tc>
          <w:tcPr>
            <w:tcW w:w="0" w:type="auto"/>
            <w:tcBorders>
              <w:top w:val="nil"/>
              <w:left w:val="nil"/>
              <w:bottom w:val="nil"/>
              <w:right w:val="nil"/>
            </w:tcBorders>
            <w:vAlign w:val="center"/>
            <w:hideMark/>
          </w:tcPr>
          <w:p w14:paraId="3BB1B2A0" w14:textId="77777777" w:rsidR="00A74C68" w:rsidRPr="00471CBA" w:rsidRDefault="00A74C68" w:rsidP="00A74C68">
            <w:pPr>
              <w:jc w:val="right"/>
              <w:rPr>
                <w:szCs w:val="20"/>
                <w:lang w:eastAsia="tr-TR"/>
              </w:rPr>
            </w:pPr>
          </w:p>
        </w:tc>
        <w:tc>
          <w:tcPr>
            <w:tcW w:w="0" w:type="auto"/>
            <w:tcBorders>
              <w:top w:val="nil"/>
              <w:left w:val="nil"/>
              <w:bottom w:val="nil"/>
              <w:right w:val="nil"/>
            </w:tcBorders>
            <w:vAlign w:val="center"/>
            <w:hideMark/>
          </w:tcPr>
          <w:p w14:paraId="2B1E895B" w14:textId="77777777" w:rsidR="00A74C68" w:rsidRPr="00471CBA" w:rsidRDefault="00A74C68" w:rsidP="00A74C68">
            <w:pPr>
              <w:jc w:val="right"/>
              <w:rPr>
                <w:szCs w:val="20"/>
                <w:lang w:eastAsia="tr-TR"/>
              </w:rPr>
            </w:pPr>
          </w:p>
        </w:tc>
      </w:tr>
      <w:tr w:rsidR="00A74C68" w:rsidRPr="00471CBA" w14:paraId="7EB1B073" w14:textId="77777777" w:rsidTr="00A74C68">
        <w:trPr>
          <w:divId w:val="1986855206"/>
          <w:trHeight w:val="227"/>
        </w:trPr>
        <w:tc>
          <w:tcPr>
            <w:tcW w:w="6521" w:type="dxa"/>
            <w:tcBorders>
              <w:top w:val="nil"/>
              <w:left w:val="nil"/>
              <w:bottom w:val="nil"/>
              <w:right w:val="nil"/>
            </w:tcBorders>
            <w:noWrap/>
            <w:vAlign w:val="bottom"/>
            <w:hideMark/>
          </w:tcPr>
          <w:p w14:paraId="7BDCAE2F" w14:textId="77777777" w:rsidR="00A74C68" w:rsidRPr="00471CBA" w:rsidRDefault="00A74C68" w:rsidP="00A74C68">
            <w:pPr>
              <w:rPr>
                <w:szCs w:val="20"/>
                <w:lang w:eastAsia="tr-TR"/>
              </w:rPr>
            </w:pPr>
            <w:r w:rsidRPr="00471CBA">
              <w:rPr>
                <w:szCs w:val="20"/>
                <w:lang w:eastAsia="tr-TR"/>
              </w:rPr>
              <w:t xml:space="preserve">12 Aylık Beklenen Zarar Karşılığı </w:t>
            </w:r>
          </w:p>
        </w:tc>
        <w:tc>
          <w:tcPr>
            <w:tcW w:w="0" w:type="auto"/>
            <w:tcBorders>
              <w:top w:val="nil"/>
              <w:left w:val="nil"/>
              <w:bottom w:val="nil"/>
              <w:right w:val="nil"/>
            </w:tcBorders>
            <w:vAlign w:val="center"/>
            <w:hideMark/>
          </w:tcPr>
          <w:p w14:paraId="5C13483E" w14:textId="77777777" w:rsidR="00A74C68" w:rsidRPr="00471CBA" w:rsidRDefault="00A74C68" w:rsidP="00A74C68">
            <w:pPr>
              <w:jc w:val="right"/>
              <w:rPr>
                <w:color w:val="000000"/>
                <w:szCs w:val="20"/>
                <w:lang w:eastAsia="tr-TR"/>
              </w:rPr>
            </w:pPr>
            <w:r w:rsidRPr="00471CBA">
              <w:rPr>
                <w:color w:val="000000"/>
                <w:szCs w:val="20"/>
                <w:lang w:eastAsia="tr-TR"/>
              </w:rPr>
              <w:t>136.798</w:t>
            </w:r>
          </w:p>
        </w:tc>
        <w:tc>
          <w:tcPr>
            <w:tcW w:w="0" w:type="auto"/>
            <w:tcBorders>
              <w:top w:val="nil"/>
              <w:left w:val="nil"/>
              <w:bottom w:val="nil"/>
              <w:right w:val="nil"/>
            </w:tcBorders>
            <w:vAlign w:val="center"/>
            <w:hideMark/>
          </w:tcPr>
          <w:p w14:paraId="6AC7666F" w14:textId="77777777" w:rsidR="00A74C68" w:rsidRPr="00471CBA" w:rsidRDefault="00A74C68" w:rsidP="00A74C68">
            <w:pPr>
              <w:jc w:val="right"/>
              <w:rPr>
                <w:color w:val="000000"/>
                <w:szCs w:val="20"/>
                <w:lang w:eastAsia="tr-TR"/>
              </w:rPr>
            </w:pPr>
            <w:r w:rsidRPr="00471CBA">
              <w:rPr>
                <w:color w:val="000000"/>
                <w:szCs w:val="20"/>
                <w:lang w:eastAsia="tr-TR"/>
              </w:rPr>
              <w:t>-</w:t>
            </w:r>
          </w:p>
        </w:tc>
      </w:tr>
      <w:tr w:rsidR="00A74C68" w:rsidRPr="00471CBA" w14:paraId="780A07D7" w14:textId="77777777" w:rsidTr="00A74C68">
        <w:trPr>
          <w:divId w:val="1986855206"/>
          <w:trHeight w:val="227"/>
        </w:trPr>
        <w:tc>
          <w:tcPr>
            <w:tcW w:w="6521" w:type="dxa"/>
            <w:tcBorders>
              <w:top w:val="nil"/>
              <w:left w:val="nil"/>
              <w:bottom w:val="nil"/>
              <w:right w:val="nil"/>
            </w:tcBorders>
            <w:noWrap/>
            <w:vAlign w:val="bottom"/>
            <w:hideMark/>
          </w:tcPr>
          <w:p w14:paraId="01CB1D00" w14:textId="77777777" w:rsidR="00A74C68" w:rsidRPr="00471CBA" w:rsidRDefault="00A74C68" w:rsidP="00A74C68">
            <w:pPr>
              <w:rPr>
                <w:szCs w:val="20"/>
                <w:lang w:eastAsia="tr-TR"/>
              </w:rPr>
            </w:pPr>
            <w:r w:rsidRPr="00471CBA">
              <w:rPr>
                <w:szCs w:val="20"/>
                <w:lang w:eastAsia="tr-TR"/>
              </w:rPr>
              <w:t xml:space="preserve">İtfa Edilmiş Maliyeti </w:t>
            </w:r>
            <w:proofErr w:type="gramStart"/>
            <w:r w:rsidRPr="00471CBA">
              <w:rPr>
                <w:szCs w:val="20"/>
                <w:lang w:eastAsia="tr-TR"/>
              </w:rPr>
              <w:t>İle</w:t>
            </w:r>
            <w:proofErr w:type="gramEnd"/>
            <w:r w:rsidRPr="00471CBA">
              <w:rPr>
                <w:szCs w:val="20"/>
                <w:lang w:eastAsia="tr-TR"/>
              </w:rPr>
              <w:t xml:space="preserve"> Ölçülen Diğer Finansal Varlıklara İlişkin Beklenen Zarar Karşılığı </w:t>
            </w:r>
          </w:p>
        </w:tc>
        <w:tc>
          <w:tcPr>
            <w:tcW w:w="0" w:type="auto"/>
            <w:tcBorders>
              <w:top w:val="nil"/>
              <w:left w:val="nil"/>
              <w:bottom w:val="nil"/>
              <w:right w:val="nil"/>
            </w:tcBorders>
            <w:vAlign w:val="center"/>
            <w:hideMark/>
          </w:tcPr>
          <w:p w14:paraId="682427CB" w14:textId="77777777" w:rsidR="00A74C68" w:rsidRPr="00471CBA" w:rsidRDefault="00A74C68" w:rsidP="00A74C68">
            <w:pPr>
              <w:jc w:val="right"/>
              <w:rPr>
                <w:color w:val="000000"/>
                <w:szCs w:val="20"/>
                <w:lang w:eastAsia="tr-TR"/>
              </w:rPr>
            </w:pPr>
            <w:r w:rsidRPr="00471CBA">
              <w:rPr>
                <w:color w:val="000000"/>
                <w:szCs w:val="20"/>
                <w:lang w:eastAsia="tr-TR"/>
              </w:rPr>
              <w:t>81</w:t>
            </w:r>
          </w:p>
        </w:tc>
        <w:tc>
          <w:tcPr>
            <w:tcW w:w="0" w:type="auto"/>
            <w:tcBorders>
              <w:top w:val="nil"/>
              <w:left w:val="nil"/>
              <w:bottom w:val="nil"/>
              <w:right w:val="nil"/>
            </w:tcBorders>
            <w:vAlign w:val="center"/>
            <w:hideMark/>
          </w:tcPr>
          <w:p w14:paraId="4E1789B0" w14:textId="77777777" w:rsidR="00A74C68" w:rsidRPr="00471CBA" w:rsidRDefault="00A74C68" w:rsidP="00A74C68">
            <w:pPr>
              <w:jc w:val="right"/>
              <w:rPr>
                <w:color w:val="000000"/>
                <w:szCs w:val="20"/>
                <w:lang w:eastAsia="tr-TR"/>
              </w:rPr>
            </w:pPr>
            <w:r w:rsidRPr="00471CBA">
              <w:rPr>
                <w:color w:val="000000"/>
                <w:szCs w:val="20"/>
                <w:lang w:eastAsia="tr-TR"/>
              </w:rPr>
              <w:t>-</w:t>
            </w:r>
          </w:p>
        </w:tc>
      </w:tr>
      <w:tr w:rsidR="00A74C68" w:rsidRPr="00471CBA" w14:paraId="1AAB95B4" w14:textId="77777777" w:rsidTr="00A74C68">
        <w:trPr>
          <w:divId w:val="1986855206"/>
          <w:trHeight w:val="227"/>
        </w:trPr>
        <w:tc>
          <w:tcPr>
            <w:tcW w:w="6521" w:type="dxa"/>
            <w:tcBorders>
              <w:top w:val="nil"/>
              <w:left w:val="nil"/>
              <w:bottom w:val="single" w:sz="4" w:space="0" w:color="auto"/>
              <w:right w:val="nil"/>
            </w:tcBorders>
            <w:noWrap/>
            <w:vAlign w:val="bottom"/>
            <w:hideMark/>
          </w:tcPr>
          <w:p w14:paraId="33DBBA51" w14:textId="77777777" w:rsidR="00A74C68" w:rsidRPr="00471CBA" w:rsidRDefault="00A74C68" w:rsidP="00A74C68">
            <w:pPr>
              <w:rPr>
                <w:szCs w:val="20"/>
                <w:lang w:eastAsia="tr-TR"/>
              </w:rPr>
            </w:pPr>
            <w:r w:rsidRPr="00471CBA">
              <w:rPr>
                <w:szCs w:val="20"/>
                <w:lang w:eastAsia="tr-TR"/>
              </w:rPr>
              <w:t xml:space="preserve">Kredi Riskinde Önemli Artış </w:t>
            </w:r>
          </w:p>
        </w:tc>
        <w:tc>
          <w:tcPr>
            <w:tcW w:w="0" w:type="auto"/>
            <w:tcBorders>
              <w:top w:val="nil"/>
              <w:left w:val="nil"/>
              <w:bottom w:val="single" w:sz="4" w:space="0" w:color="auto"/>
              <w:right w:val="nil"/>
            </w:tcBorders>
            <w:vAlign w:val="center"/>
            <w:hideMark/>
          </w:tcPr>
          <w:p w14:paraId="0F878EF8" w14:textId="77777777" w:rsidR="00A74C68" w:rsidRPr="00471CBA" w:rsidRDefault="00A74C68" w:rsidP="00A74C68">
            <w:pPr>
              <w:jc w:val="right"/>
              <w:rPr>
                <w:color w:val="000000"/>
                <w:szCs w:val="20"/>
                <w:lang w:eastAsia="tr-TR"/>
              </w:rPr>
            </w:pPr>
            <w:r w:rsidRPr="00471CBA">
              <w:rPr>
                <w:color w:val="000000"/>
                <w:szCs w:val="20"/>
                <w:lang w:eastAsia="tr-TR"/>
              </w:rPr>
              <w:t>-</w:t>
            </w:r>
          </w:p>
        </w:tc>
        <w:tc>
          <w:tcPr>
            <w:tcW w:w="0" w:type="auto"/>
            <w:tcBorders>
              <w:top w:val="nil"/>
              <w:left w:val="nil"/>
              <w:bottom w:val="single" w:sz="4" w:space="0" w:color="auto"/>
              <w:right w:val="nil"/>
            </w:tcBorders>
            <w:vAlign w:val="center"/>
            <w:hideMark/>
          </w:tcPr>
          <w:p w14:paraId="5E8475E4" w14:textId="77777777" w:rsidR="00A74C68" w:rsidRPr="00471CBA" w:rsidRDefault="00A74C68" w:rsidP="00A74C68">
            <w:pPr>
              <w:jc w:val="right"/>
              <w:rPr>
                <w:color w:val="000000"/>
                <w:szCs w:val="20"/>
                <w:lang w:eastAsia="tr-TR"/>
              </w:rPr>
            </w:pPr>
            <w:r w:rsidRPr="00471CBA">
              <w:rPr>
                <w:color w:val="000000"/>
                <w:szCs w:val="20"/>
                <w:lang w:eastAsia="tr-TR"/>
              </w:rPr>
              <w:t>14.050</w:t>
            </w:r>
          </w:p>
        </w:tc>
      </w:tr>
      <w:tr w:rsidR="00A74C68" w:rsidRPr="00471CBA" w14:paraId="06784546" w14:textId="77777777" w:rsidTr="00A74C68">
        <w:trPr>
          <w:divId w:val="1986855206"/>
          <w:trHeight w:val="227"/>
        </w:trPr>
        <w:tc>
          <w:tcPr>
            <w:tcW w:w="6521" w:type="dxa"/>
            <w:tcBorders>
              <w:top w:val="nil"/>
              <w:left w:val="nil"/>
              <w:bottom w:val="nil"/>
              <w:right w:val="nil"/>
            </w:tcBorders>
            <w:noWrap/>
            <w:vAlign w:val="bottom"/>
            <w:hideMark/>
          </w:tcPr>
          <w:p w14:paraId="439AE71E" w14:textId="77777777" w:rsidR="00A74C68" w:rsidRPr="00471CBA" w:rsidRDefault="00A74C68" w:rsidP="00A74C68">
            <w:pPr>
              <w:jc w:val="right"/>
              <w:rPr>
                <w:color w:val="000000"/>
                <w:szCs w:val="20"/>
                <w:lang w:eastAsia="tr-TR"/>
              </w:rPr>
            </w:pPr>
          </w:p>
        </w:tc>
        <w:tc>
          <w:tcPr>
            <w:tcW w:w="0" w:type="auto"/>
            <w:tcBorders>
              <w:top w:val="nil"/>
              <w:left w:val="nil"/>
              <w:bottom w:val="nil"/>
              <w:right w:val="nil"/>
            </w:tcBorders>
            <w:noWrap/>
            <w:vAlign w:val="bottom"/>
            <w:hideMark/>
          </w:tcPr>
          <w:p w14:paraId="28A143BD" w14:textId="77777777" w:rsidR="00A74C68" w:rsidRPr="00471CBA" w:rsidRDefault="00A74C68" w:rsidP="00A74C68">
            <w:pPr>
              <w:jc w:val="right"/>
              <w:rPr>
                <w:szCs w:val="20"/>
                <w:lang w:eastAsia="tr-TR"/>
              </w:rPr>
            </w:pPr>
          </w:p>
        </w:tc>
        <w:tc>
          <w:tcPr>
            <w:tcW w:w="0" w:type="auto"/>
            <w:tcBorders>
              <w:top w:val="nil"/>
              <w:left w:val="nil"/>
              <w:bottom w:val="nil"/>
              <w:right w:val="nil"/>
            </w:tcBorders>
            <w:noWrap/>
            <w:vAlign w:val="bottom"/>
            <w:hideMark/>
          </w:tcPr>
          <w:p w14:paraId="4DB07B55" w14:textId="77777777" w:rsidR="00A74C68" w:rsidRPr="00471CBA" w:rsidRDefault="00A74C68" w:rsidP="00A74C68">
            <w:pPr>
              <w:jc w:val="right"/>
              <w:rPr>
                <w:szCs w:val="20"/>
                <w:lang w:eastAsia="tr-TR"/>
              </w:rPr>
            </w:pPr>
          </w:p>
        </w:tc>
      </w:tr>
      <w:tr w:rsidR="00A74C68" w:rsidRPr="00471CBA" w14:paraId="77CD35B3" w14:textId="77777777" w:rsidTr="00A74C68">
        <w:trPr>
          <w:divId w:val="1986855206"/>
          <w:trHeight w:val="227"/>
        </w:trPr>
        <w:tc>
          <w:tcPr>
            <w:tcW w:w="6521" w:type="dxa"/>
            <w:tcBorders>
              <w:top w:val="nil"/>
              <w:left w:val="nil"/>
              <w:bottom w:val="single" w:sz="8" w:space="0" w:color="auto"/>
              <w:right w:val="nil"/>
            </w:tcBorders>
            <w:noWrap/>
            <w:vAlign w:val="bottom"/>
            <w:hideMark/>
          </w:tcPr>
          <w:p w14:paraId="4F06364A" w14:textId="77777777" w:rsidR="00A74C68" w:rsidRPr="00471CBA" w:rsidRDefault="00A74C68" w:rsidP="00A74C68">
            <w:pPr>
              <w:rPr>
                <w:b/>
                <w:bCs/>
                <w:szCs w:val="20"/>
                <w:lang w:eastAsia="tr-TR"/>
              </w:rPr>
            </w:pPr>
            <w:r w:rsidRPr="00471CBA">
              <w:rPr>
                <w:b/>
                <w:bCs/>
                <w:szCs w:val="20"/>
                <w:lang w:eastAsia="tr-TR"/>
              </w:rPr>
              <w:t xml:space="preserve">Toplam </w:t>
            </w:r>
          </w:p>
        </w:tc>
        <w:tc>
          <w:tcPr>
            <w:tcW w:w="0" w:type="auto"/>
            <w:tcBorders>
              <w:top w:val="nil"/>
              <w:left w:val="nil"/>
              <w:bottom w:val="single" w:sz="8" w:space="0" w:color="auto"/>
              <w:right w:val="nil"/>
            </w:tcBorders>
            <w:vAlign w:val="center"/>
            <w:hideMark/>
          </w:tcPr>
          <w:p w14:paraId="3C5DA700" w14:textId="77777777" w:rsidR="00A74C68" w:rsidRPr="00471CBA" w:rsidRDefault="00A74C68" w:rsidP="00A74C68">
            <w:pPr>
              <w:jc w:val="right"/>
              <w:rPr>
                <w:b/>
                <w:bCs/>
                <w:color w:val="000000"/>
                <w:szCs w:val="20"/>
                <w:lang w:eastAsia="tr-TR"/>
              </w:rPr>
            </w:pPr>
            <w:r w:rsidRPr="00471CBA">
              <w:rPr>
                <w:b/>
                <w:bCs/>
                <w:color w:val="000000"/>
                <w:szCs w:val="20"/>
                <w:lang w:eastAsia="tr-TR"/>
              </w:rPr>
              <w:t>136.879</w:t>
            </w:r>
          </w:p>
        </w:tc>
        <w:tc>
          <w:tcPr>
            <w:tcW w:w="0" w:type="auto"/>
            <w:tcBorders>
              <w:top w:val="nil"/>
              <w:left w:val="nil"/>
              <w:bottom w:val="single" w:sz="8" w:space="0" w:color="auto"/>
              <w:right w:val="nil"/>
            </w:tcBorders>
            <w:vAlign w:val="center"/>
            <w:hideMark/>
          </w:tcPr>
          <w:p w14:paraId="6FDC76FA" w14:textId="77777777" w:rsidR="00A74C68" w:rsidRPr="00471CBA" w:rsidRDefault="00A74C68" w:rsidP="00A74C68">
            <w:pPr>
              <w:jc w:val="right"/>
              <w:rPr>
                <w:b/>
                <w:bCs/>
                <w:color w:val="000000"/>
                <w:szCs w:val="20"/>
                <w:lang w:eastAsia="tr-TR"/>
              </w:rPr>
            </w:pPr>
            <w:r w:rsidRPr="00471CBA">
              <w:rPr>
                <w:b/>
                <w:bCs/>
                <w:color w:val="000000"/>
                <w:szCs w:val="20"/>
                <w:lang w:eastAsia="tr-TR"/>
              </w:rPr>
              <w:t>14.050</w:t>
            </w:r>
          </w:p>
        </w:tc>
      </w:tr>
    </w:tbl>
    <w:p w14:paraId="1A448458" w14:textId="77777777" w:rsidR="00E21BAB" w:rsidRPr="00471CBA" w:rsidRDefault="00E21BAB" w:rsidP="00A27424"/>
    <w:p w14:paraId="34F06950" w14:textId="77777777" w:rsidR="00A67FD6" w:rsidRPr="00471CBA" w:rsidRDefault="00A67FD6" w:rsidP="00A67FD6">
      <w:pPr>
        <w:pStyle w:val="GvdeMetniGirintisi"/>
        <w:widowControl w:val="0"/>
        <w:numPr>
          <w:ilvl w:val="0"/>
          <w:numId w:val="6"/>
        </w:numPr>
        <w:tabs>
          <w:tab w:val="clear" w:pos="540"/>
        </w:tabs>
        <w:ind w:left="567" w:hanging="567"/>
        <w:rPr>
          <w:b/>
          <w:szCs w:val="20"/>
        </w:rPr>
      </w:pPr>
      <w:bookmarkStart w:id="94" w:name="_Hlk189572280"/>
      <w:bookmarkStart w:id="95" w:name="_Hlk221782032"/>
      <w:r w:rsidRPr="00471CBA">
        <w:rPr>
          <w:b/>
          <w:szCs w:val="20"/>
        </w:rPr>
        <w:t>Vade yapısına göre nakdi kredilerin dağılımı:</w:t>
      </w:r>
    </w:p>
    <w:p w14:paraId="0604E9EC" w14:textId="77777777" w:rsidR="00A67FD6" w:rsidRPr="00471CBA" w:rsidRDefault="00A67FD6" w:rsidP="00A67FD6"/>
    <w:tbl>
      <w:tblPr>
        <w:tblW w:w="5000" w:type="pct"/>
        <w:tblCellMar>
          <w:left w:w="0" w:type="dxa"/>
          <w:right w:w="0" w:type="dxa"/>
        </w:tblCellMar>
        <w:tblLook w:val="0000" w:firstRow="0" w:lastRow="0" w:firstColumn="0" w:lastColumn="0" w:noHBand="0" w:noVBand="0"/>
      </w:tblPr>
      <w:tblGrid>
        <w:gridCol w:w="2546"/>
        <w:gridCol w:w="1845"/>
        <w:gridCol w:w="2979"/>
        <w:gridCol w:w="1985"/>
      </w:tblGrid>
      <w:tr w:rsidR="00A67FD6" w:rsidRPr="00471CBA" w14:paraId="5E8A2CE2" w14:textId="77777777" w:rsidTr="00B0049C">
        <w:trPr>
          <w:trHeight w:val="186"/>
        </w:trPr>
        <w:tc>
          <w:tcPr>
            <w:tcW w:w="1361" w:type="pct"/>
            <w:vMerge w:val="restart"/>
            <w:tcBorders>
              <w:top w:val="single" w:sz="4" w:space="0" w:color="auto"/>
            </w:tcBorders>
          </w:tcPr>
          <w:p w14:paraId="058EBDA2" w14:textId="77777777" w:rsidR="00A67FD6" w:rsidRPr="00471CBA" w:rsidRDefault="00A67FD6" w:rsidP="00B0049C">
            <w:pPr>
              <w:autoSpaceDE w:val="0"/>
              <w:autoSpaceDN w:val="0"/>
              <w:adjustRightInd w:val="0"/>
              <w:rPr>
                <w:rFonts w:eastAsia="Arial Unicode MS"/>
                <w:sz w:val="18"/>
                <w:szCs w:val="18"/>
              </w:rPr>
            </w:pPr>
          </w:p>
          <w:p w14:paraId="500D9A7C" w14:textId="77777777" w:rsidR="00A67FD6" w:rsidRPr="00471CBA" w:rsidRDefault="00A67FD6" w:rsidP="00B0049C">
            <w:pPr>
              <w:autoSpaceDE w:val="0"/>
              <w:autoSpaceDN w:val="0"/>
              <w:adjustRightInd w:val="0"/>
              <w:rPr>
                <w:rFonts w:eastAsia="Arial Unicode MS"/>
                <w:b/>
                <w:sz w:val="18"/>
                <w:szCs w:val="18"/>
              </w:rPr>
            </w:pPr>
            <w:r w:rsidRPr="00471CBA">
              <w:rPr>
                <w:rFonts w:eastAsia="Arial Unicode MS"/>
                <w:b/>
                <w:sz w:val="18"/>
                <w:szCs w:val="18"/>
              </w:rPr>
              <w:t>Nakdi krediler</w:t>
            </w:r>
          </w:p>
          <w:p w14:paraId="34EC6E73" w14:textId="6B43B753" w:rsidR="00A67FD6" w:rsidRPr="00471CBA" w:rsidRDefault="00A67FD6" w:rsidP="00B0049C">
            <w:pPr>
              <w:autoSpaceDE w:val="0"/>
              <w:autoSpaceDN w:val="0"/>
              <w:adjustRightInd w:val="0"/>
              <w:rPr>
                <w:rFonts w:eastAsia="Arial Unicode MS"/>
                <w:sz w:val="18"/>
                <w:szCs w:val="18"/>
              </w:rPr>
            </w:pPr>
            <w:r w:rsidRPr="00471CBA">
              <w:rPr>
                <w:rFonts w:eastAsia="Arial Unicode MS"/>
                <w:b/>
                <w:sz w:val="18"/>
                <w:szCs w:val="18"/>
              </w:rPr>
              <w:t>31 Aralık 202</w:t>
            </w:r>
            <w:r w:rsidR="00595569" w:rsidRPr="00471CBA">
              <w:rPr>
                <w:rFonts w:eastAsia="Arial Unicode MS"/>
                <w:b/>
                <w:sz w:val="18"/>
                <w:szCs w:val="18"/>
              </w:rPr>
              <w:t>5</w:t>
            </w:r>
          </w:p>
        </w:tc>
        <w:tc>
          <w:tcPr>
            <w:tcW w:w="986" w:type="pct"/>
            <w:vMerge w:val="restart"/>
            <w:tcBorders>
              <w:top w:val="single" w:sz="4" w:space="0" w:color="auto"/>
            </w:tcBorders>
            <w:vAlign w:val="center"/>
          </w:tcPr>
          <w:p w14:paraId="6D55FEBA" w14:textId="77777777" w:rsidR="00A67FD6" w:rsidRPr="00471CBA" w:rsidRDefault="00A67FD6" w:rsidP="00B0049C">
            <w:pPr>
              <w:autoSpaceDE w:val="0"/>
              <w:autoSpaceDN w:val="0"/>
              <w:adjustRightInd w:val="0"/>
              <w:jc w:val="center"/>
              <w:rPr>
                <w:rFonts w:eastAsia="Arial Unicode MS"/>
                <w:b/>
                <w:sz w:val="18"/>
                <w:szCs w:val="18"/>
              </w:rPr>
            </w:pPr>
            <w:r w:rsidRPr="00471CBA">
              <w:rPr>
                <w:rFonts w:eastAsia="Arial Unicode MS"/>
                <w:b/>
                <w:sz w:val="18"/>
                <w:szCs w:val="18"/>
              </w:rPr>
              <w:t>Standart nitelikli krediler</w:t>
            </w:r>
          </w:p>
        </w:tc>
        <w:tc>
          <w:tcPr>
            <w:tcW w:w="2653" w:type="pct"/>
            <w:gridSpan w:val="2"/>
            <w:tcBorders>
              <w:top w:val="single" w:sz="4" w:space="0" w:color="auto"/>
              <w:bottom w:val="single" w:sz="4" w:space="0" w:color="auto"/>
            </w:tcBorders>
          </w:tcPr>
          <w:p w14:paraId="171A1451" w14:textId="77777777" w:rsidR="00A67FD6" w:rsidRPr="00471CBA" w:rsidRDefault="00A67FD6" w:rsidP="00B0049C">
            <w:pPr>
              <w:autoSpaceDE w:val="0"/>
              <w:autoSpaceDN w:val="0"/>
              <w:adjustRightInd w:val="0"/>
              <w:jc w:val="center"/>
              <w:rPr>
                <w:rFonts w:eastAsia="Arial Unicode MS"/>
                <w:b/>
                <w:sz w:val="18"/>
                <w:szCs w:val="18"/>
              </w:rPr>
            </w:pPr>
            <w:r w:rsidRPr="00471CBA">
              <w:rPr>
                <w:rFonts w:eastAsia="Arial Unicode MS"/>
                <w:b/>
                <w:sz w:val="18"/>
                <w:szCs w:val="18"/>
              </w:rPr>
              <w:t>Yakın izlemedeki krediler</w:t>
            </w:r>
          </w:p>
        </w:tc>
      </w:tr>
      <w:tr w:rsidR="00A67FD6" w:rsidRPr="00471CBA" w14:paraId="0D22842C" w14:textId="77777777" w:rsidTr="00B0049C">
        <w:trPr>
          <w:trHeight w:val="401"/>
        </w:trPr>
        <w:tc>
          <w:tcPr>
            <w:tcW w:w="1361" w:type="pct"/>
            <w:vMerge/>
            <w:tcBorders>
              <w:bottom w:val="single" w:sz="4" w:space="0" w:color="auto"/>
            </w:tcBorders>
          </w:tcPr>
          <w:p w14:paraId="75E8C28C" w14:textId="77777777" w:rsidR="00A67FD6" w:rsidRPr="00471CBA" w:rsidRDefault="00A67FD6" w:rsidP="00B0049C">
            <w:pPr>
              <w:autoSpaceDE w:val="0"/>
              <w:autoSpaceDN w:val="0"/>
              <w:adjustRightInd w:val="0"/>
              <w:rPr>
                <w:rFonts w:eastAsia="Arial Unicode MS"/>
                <w:sz w:val="18"/>
                <w:szCs w:val="18"/>
              </w:rPr>
            </w:pPr>
          </w:p>
        </w:tc>
        <w:tc>
          <w:tcPr>
            <w:tcW w:w="986" w:type="pct"/>
            <w:vMerge/>
            <w:tcBorders>
              <w:bottom w:val="single" w:sz="4" w:space="0" w:color="auto"/>
            </w:tcBorders>
            <w:vAlign w:val="bottom"/>
          </w:tcPr>
          <w:p w14:paraId="7D7C7D00" w14:textId="77777777" w:rsidR="00A67FD6" w:rsidRPr="00471CBA" w:rsidRDefault="00A67FD6" w:rsidP="00B0049C">
            <w:pPr>
              <w:autoSpaceDE w:val="0"/>
              <w:autoSpaceDN w:val="0"/>
              <w:adjustRightInd w:val="0"/>
              <w:ind w:right="120"/>
              <w:jc w:val="right"/>
              <w:rPr>
                <w:rFonts w:eastAsia="Arial Unicode MS"/>
                <w:b/>
                <w:sz w:val="18"/>
                <w:szCs w:val="18"/>
              </w:rPr>
            </w:pPr>
          </w:p>
        </w:tc>
        <w:tc>
          <w:tcPr>
            <w:tcW w:w="1592" w:type="pct"/>
            <w:tcBorders>
              <w:top w:val="single" w:sz="4" w:space="0" w:color="auto"/>
              <w:bottom w:val="single" w:sz="4" w:space="0" w:color="auto"/>
            </w:tcBorders>
            <w:vAlign w:val="bottom"/>
          </w:tcPr>
          <w:p w14:paraId="2BD46ADA" w14:textId="77777777" w:rsidR="00A67FD6" w:rsidRPr="00471CBA" w:rsidRDefault="00A67FD6" w:rsidP="00B0049C">
            <w:pPr>
              <w:autoSpaceDE w:val="0"/>
              <w:autoSpaceDN w:val="0"/>
              <w:adjustRightInd w:val="0"/>
              <w:ind w:right="120"/>
              <w:jc w:val="right"/>
              <w:rPr>
                <w:rFonts w:eastAsia="Arial Unicode MS"/>
                <w:b/>
                <w:sz w:val="18"/>
                <w:szCs w:val="18"/>
              </w:rPr>
            </w:pPr>
            <w:r w:rsidRPr="00471CBA">
              <w:rPr>
                <w:rFonts w:eastAsia="Arial Unicode MS"/>
                <w:b/>
                <w:sz w:val="18"/>
                <w:szCs w:val="18"/>
              </w:rPr>
              <w:t>Yeniden Yapılandırma Kapsamında Yer Almayanlar</w:t>
            </w:r>
          </w:p>
        </w:tc>
        <w:tc>
          <w:tcPr>
            <w:tcW w:w="1061" w:type="pct"/>
            <w:tcBorders>
              <w:top w:val="single" w:sz="4" w:space="0" w:color="auto"/>
              <w:bottom w:val="single" w:sz="4" w:space="0" w:color="auto"/>
            </w:tcBorders>
            <w:vAlign w:val="bottom"/>
          </w:tcPr>
          <w:p w14:paraId="0F13FECC" w14:textId="77777777" w:rsidR="00A67FD6" w:rsidRPr="00471CBA" w:rsidRDefault="00A67FD6" w:rsidP="00B0049C">
            <w:pPr>
              <w:autoSpaceDE w:val="0"/>
              <w:autoSpaceDN w:val="0"/>
              <w:adjustRightInd w:val="0"/>
              <w:ind w:right="120"/>
              <w:jc w:val="right"/>
              <w:rPr>
                <w:rFonts w:eastAsia="Arial Unicode MS"/>
                <w:b/>
                <w:sz w:val="18"/>
                <w:szCs w:val="18"/>
              </w:rPr>
            </w:pPr>
            <w:r w:rsidRPr="00471CBA">
              <w:rPr>
                <w:rFonts w:eastAsia="Arial Unicode MS"/>
                <w:b/>
                <w:sz w:val="18"/>
                <w:szCs w:val="18"/>
              </w:rPr>
              <w:t>Yeniden Yapılandırılanlar</w:t>
            </w:r>
          </w:p>
        </w:tc>
      </w:tr>
      <w:tr w:rsidR="00A67FD6" w:rsidRPr="00471CBA" w14:paraId="5D68A65A" w14:textId="77777777" w:rsidTr="00B0049C">
        <w:trPr>
          <w:trHeight w:val="113"/>
        </w:trPr>
        <w:tc>
          <w:tcPr>
            <w:tcW w:w="1361" w:type="pct"/>
            <w:tcBorders>
              <w:top w:val="single" w:sz="4" w:space="0" w:color="auto"/>
            </w:tcBorders>
          </w:tcPr>
          <w:p w14:paraId="003537F9" w14:textId="77777777" w:rsidR="00A67FD6" w:rsidRPr="00471CBA" w:rsidRDefault="00A67FD6" w:rsidP="00B0049C">
            <w:pPr>
              <w:autoSpaceDE w:val="0"/>
              <w:autoSpaceDN w:val="0"/>
              <w:adjustRightInd w:val="0"/>
              <w:rPr>
                <w:rFonts w:eastAsia="Arial Unicode MS"/>
                <w:sz w:val="18"/>
                <w:szCs w:val="18"/>
              </w:rPr>
            </w:pPr>
          </w:p>
        </w:tc>
        <w:tc>
          <w:tcPr>
            <w:tcW w:w="986" w:type="pct"/>
            <w:tcBorders>
              <w:top w:val="single" w:sz="4" w:space="0" w:color="auto"/>
            </w:tcBorders>
          </w:tcPr>
          <w:p w14:paraId="14B0F079" w14:textId="77777777" w:rsidR="00A67FD6" w:rsidRPr="00471CBA" w:rsidRDefault="00A67FD6" w:rsidP="00B0049C">
            <w:pPr>
              <w:autoSpaceDE w:val="0"/>
              <w:autoSpaceDN w:val="0"/>
              <w:adjustRightInd w:val="0"/>
              <w:ind w:right="120"/>
              <w:jc w:val="right"/>
              <w:rPr>
                <w:rFonts w:eastAsia="Arial Unicode MS"/>
                <w:sz w:val="18"/>
                <w:szCs w:val="18"/>
              </w:rPr>
            </w:pPr>
          </w:p>
        </w:tc>
        <w:tc>
          <w:tcPr>
            <w:tcW w:w="1592" w:type="pct"/>
            <w:tcBorders>
              <w:top w:val="single" w:sz="4" w:space="0" w:color="auto"/>
            </w:tcBorders>
          </w:tcPr>
          <w:p w14:paraId="63062175" w14:textId="77777777" w:rsidR="00A67FD6" w:rsidRPr="00471CBA" w:rsidRDefault="00A67FD6" w:rsidP="00B0049C">
            <w:pPr>
              <w:autoSpaceDE w:val="0"/>
              <w:autoSpaceDN w:val="0"/>
              <w:adjustRightInd w:val="0"/>
              <w:ind w:right="120"/>
              <w:jc w:val="right"/>
              <w:rPr>
                <w:rFonts w:eastAsia="Arial Unicode MS"/>
                <w:sz w:val="18"/>
                <w:szCs w:val="18"/>
              </w:rPr>
            </w:pPr>
          </w:p>
        </w:tc>
        <w:tc>
          <w:tcPr>
            <w:tcW w:w="1061" w:type="pct"/>
            <w:tcBorders>
              <w:top w:val="single" w:sz="4" w:space="0" w:color="auto"/>
            </w:tcBorders>
          </w:tcPr>
          <w:p w14:paraId="7D3E62FE" w14:textId="77777777" w:rsidR="00A67FD6" w:rsidRPr="00471CBA" w:rsidRDefault="00A67FD6" w:rsidP="00B0049C">
            <w:pPr>
              <w:autoSpaceDE w:val="0"/>
              <w:autoSpaceDN w:val="0"/>
              <w:adjustRightInd w:val="0"/>
              <w:ind w:right="120"/>
              <w:jc w:val="right"/>
              <w:rPr>
                <w:rFonts w:eastAsia="Arial Unicode MS"/>
                <w:sz w:val="18"/>
                <w:szCs w:val="18"/>
              </w:rPr>
            </w:pPr>
          </w:p>
        </w:tc>
      </w:tr>
      <w:tr w:rsidR="00C06936" w:rsidRPr="00471CBA" w14:paraId="7F670018" w14:textId="77777777" w:rsidTr="00F37FE2">
        <w:trPr>
          <w:trHeight w:val="113"/>
        </w:trPr>
        <w:tc>
          <w:tcPr>
            <w:tcW w:w="1361" w:type="pct"/>
          </w:tcPr>
          <w:p w14:paraId="12C2C31C" w14:textId="77777777" w:rsidR="00C06936" w:rsidRPr="00471CBA" w:rsidRDefault="00C06936" w:rsidP="00C06936">
            <w:pPr>
              <w:autoSpaceDE w:val="0"/>
              <w:autoSpaceDN w:val="0"/>
              <w:adjustRightInd w:val="0"/>
              <w:rPr>
                <w:rFonts w:eastAsia="Arial Unicode MS"/>
                <w:sz w:val="18"/>
                <w:szCs w:val="18"/>
              </w:rPr>
            </w:pPr>
            <w:r w:rsidRPr="00471CBA">
              <w:rPr>
                <w:rFonts w:eastAsia="Arial Unicode MS"/>
                <w:sz w:val="18"/>
                <w:szCs w:val="18"/>
              </w:rPr>
              <w:t xml:space="preserve">Kısa vadeli krediler </w:t>
            </w:r>
          </w:p>
        </w:tc>
        <w:tc>
          <w:tcPr>
            <w:tcW w:w="986" w:type="pct"/>
          </w:tcPr>
          <w:p w14:paraId="54C3B8AD" w14:textId="7A936B56" w:rsidR="00C06936" w:rsidRPr="00471CBA" w:rsidRDefault="00C06936" w:rsidP="00C06936">
            <w:pPr>
              <w:ind w:right="113"/>
              <w:jc w:val="right"/>
              <w:rPr>
                <w:sz w:val="18"/>
                <w:szCs w:val="18"/>
              </w:rPr>
            </w:pPr>
            <w:r w:rsidRPr="00471CBA">
              <w:rPr>
                <w:sz w:val="18"/>
                <w:szCs w:val="18"/>
              </w:rPr>
              <w:t>38.577.079</w:t>
            </w:r>
          </w:p>
        </w:tc>
        <w:tc>
          <w:tcPr>
            <w:tcW w:w="1592" w:type="pct"/>
            <w:tcBorders>
              <w:left w:val="nil"/>
            </w:tcBorders>
          </w:tcPr>
          <w:p w14:paraId="7390A4D4" w14:textId="31F2D83D" w:rsidR="00C06936" w:rsidRPr="00471CBA" w:rsidRDefault="00C06936" w:rsidP="00C06936">
            <w:pPr>
              <w:ind w:right="113"/>
              <w:jc w:val="right"/>
              <w:rPr>
                <w:sz w:val="18"/>
                <w:szCs w:val="18"/>
              </w:rPr>
            </w:pPr>
            <w:r w:rsidRPr="00471CBA">
              <w:rPr>
                <w:sz w:val="18"/>
                <w:szCs w:val="18"/>
              </w:rPr>
              <w:t>217.314</w:t>
            </w:r>
          </w:p>
        </w:tc>
        <w:tc>
          <w:tcPr>
            <w:tcW w:w="1061" w:type="pct"/>
          </w:tcPr>
          <w:p w14:paraId="0F104D02" w14:textId="5BBD8AE4" w:rsidR="00C06936" w:rsidRPr="00471CBA" w:rsidRDefault="00C06936" w:rsidP="00C06936">
            <w:pPr>
              <w:ind w:right="113"/>
              <w:jc w:val="right"/>
              <w:rPr>
                <w:sz w:val="18"/>
                <w:szCs w:val="18"/>
              </w:rPr>
            </w:pPr>
            <w:r w:rsidRPr="00471CBA">
              <w:rPr>
                <w:sz w:val="18"/>
                <w:szCs w:val="18"/>
              </w:rPr>
              <w:t>-</w:t>
            </w:r>
          </w:p>
        </w:tc>
      </w:tr>
      <w:tr w:rsidR="00C06936" w:rsidRPr="00471CBA" w14:paraId="0F6945B0" w14:textId="77777777" w:rsidTr="00F37FE2">
        <w:trPr>
          <w:trHeight w:val="113"/>
        </w:trPr>
        <w:tc>
          <w:tcPr>
            <w:tcW w:w="1361" w:type="pct"/>
          </w:tcPr>
          <w:p w14:paraId="2D7B85AA" w14:textId="77777777" w:rsidR="00C06936" w:rsidRPr="00471CBA" w:rsidRDefault="00C06936" w:rsidP="00C06936">
            <w:pPr>
              <w:autoSpaceDE w:val="0"/>
              <w:autoSpaceDN w:val="0"/>
              <w:adjustRightInd w:val="0"/>
              <w:rPr>
                <w:rFonts w:eastAsia="Arial Unicode MS"/>
                <w:sz w:val="18"/>
                <w:szCs w:val="18"/>
              </w:rPr>
            </w:pPr>
            <w:r w:rsidRPr="00471CBA">
              <w:rPr>
                <w:rFonts w:eastAsia="Arial Unicode MS"/>
                <w:sz w:val="18"/>
                <w:szCs w:val="18"/>
              </w:rPr>
              <w:t xml:space="preserve">Orta ve uzun vadeli krediler </w:t>
            </w:r>
            <w:r w:rsidRPr="00471CBA">
              <w:rPr>
                <w:rFonts w:eastAsia="Arial Unicode MS"/>
                <w:sz w:val="18"/>
                <w:szCs w:val="18"/>
                <w:vertAlign w:val="superscript"/>
              </w:rPr>
              <w:t>(*)</w:t>
            </w:r>
          </w:p>
        </w:tc>
        <w:tc>
          <w:tcPr>
            <w:tcW w:w="986" w:type="pct"/>
            <w:tcBorders>
              <w:top w:val="nil"/>
            </w:tcBorders>
          </w:tcPr>
          <w:p w14:paraId="76C3A8CA" w14:textId="37ABE84B" w:rsidR="00C06936" w:rsidRPr="00471CBA" w:rsidRDefault="00C06936" w:rsidP="00C06936">
            <w:pPr>
              <w:ind w:right="113"/>
              <w:jc w:val="right"/>
              <w:rPr>
                <w:sz w:val="18"/>
                <w:szCs w:val="18"/>
              </w:rPr>
            </w:pPr>
            <w:r w:rsidRPr="00471CBA">
              <w:rPr>
                <w:sz w:val="18"/>
                <w:szCs w:val="18"/>
              </w:rPr>
              <w:t>12.826.936</w:t>
            </w:r>
          </w:p>
        </w:tc>
        <w:tc>
          <w:tcPr>
            <w:tcW w:w="1592" w:type="pct"/>
            <w:tcBorders>
              <w:left w:val="nil"/>
            </w:tcBorders>
          </w:tcPr>
          <w:p w14:paraId="4B2F4C03" w14:textId="3B486586" w:rsidR="00C06936" w:rsidRPr="00471CBA" w:rsidRDefault="00C06936" w:rsidP="00C06936">
            <w:pPr>
              <w:ind w:right="113"/>
              <w:jc w:val="right"/>
              <w:rPr>
                <w:sz w:val="18"/>
                <w:szCs w:val="18"/>
              </w:rPr>
            </w:pPr>
            <w:r w:rsidRPr="00471CBA">
              <w:rPr>
                <w:sz w:val="18"/>
                <w:szCs w:val="18"/>
              </w:rPr>
              <w:t>232.811</w:t>
            </w:r>
          </w:p>
        </w:tc>
        <w:tc>
          <w:tcPr>
            <w:tcW w:w="1061" w:type="pct"/>
          </w:tcPr>
          <w:p w14:paraId="7083E807" w14:textId="308BFD3E" w:rsidR="00C06936" w:rsidRPr="00471CBA" w:rsidRDefault="00C06936" w:rsidP="00C06936">
            <w:pPr>
              <w:ind w:right="113"/>
              <w:jc w:val="right"/>
              <w:rPr>
                <w:sz w:val="18"/>
                <w:szCs w:val="18"/>
              </w:rPr>
            </w:pPr>
            <w:r w:rsidRPr="00471CBA">
              <w:rPr>
                <w:sz w:val="18"/>
                <w:szCs w:val="18"/>
              </w:rPr>
              <w:t>15.504</w:t>
            </w:r>
          </w:p>
        </w:tc>
      </w:tr>
      <w:tr w:rsidR="00C06936" w:rsidRPr="00471CBA" w14:paraId="49E4D460" w14:textId="77777777" w:rsidTr="00F37FE2">
        <w:trPr>
          <w:trHeight w:hRule="exact" w:val="213"/>
        </w:trPr>
        <w:tc>
          <w:tcPr>
            <w:tcW w:w="1361" w:type="pct"/>
            <w:tcBorders>
              <w:bottom w:val="single" w:sz="4" w:space="0" w:color="auto"/>
            </w:tcBorders>
          </w:tcPr>
          <w:p w14:paraId="54A32F34" w14:textId="77777777" w:rsidR="00C06936" w:rsidRPr="00471CBA" w:rsidRDefault="00C06936" w:rsidP="00C06936">
            <w:pPr>
              <w:autoSpaceDE w:val="0"/>
              <w:autoSpaceDN w:val="0"/>
              <w:adjustRightInd w:val="0"/>
              <w:ind w:left="180"/>
              <w:rPr>
                <w:rFonts w:eastAsia="Arial Unicode MS"/>
                <w:sz w:val="18"/>
                <w:szCs w:val="18"/>
              </w:rPr>
            </w:pPr>
          </w:p>
        </w:tc>
        <w:tc>
          <w:tcPr>
            <w:tcW w:w="986" w:type="pct"/>
            <w:tcBorders>
              <w:bottom w:val="single" w:sz="4" w:space="0" w:color="auto"/>
            </w:tcBorders>
          </w:tcPr>
          <w:p w14:paraId="1356B58F" w14:textId="77777777" w:rsidR="00C06936" w:rsidRPr="00471CBA" w:rsidRDefault="00C06936" w:rsidP="00C06936">
            <w:pPr>
              <w:ind w:right="113"/>
              <w:jc w:val="right"/>
              <w:rPr>
                <w:b/>
                <w:sz w:val="18"/>
                <w:szCs w:val="18"/>
              </w:rPr>
            </w:pPr>
          </w:p>
        </w:tc>
        <w:tc>
          <w:tcPr>
            <w:tcW w:w="1592" w:type="pct"/>
            <w:tcBorders>
              <w:bottom w:val="single" w:sz="4" w:space="0" w:color="auto"/>
            </w:tcBorders>
          </w:tcPr>
          <w:p w14:paraId="007FF65C" w14:textId="77777777" w:rsidR="00C06936" w:rsidRPr="00471CBA" w:rsidRDefault="00C06936" w:rsidP="00C06936">
            <w:pPr>
              <w:ind w:right="113"/>
              <w:jc w:val="right"/>
              <w:rPr>
                <w:b/>
                <w:sz w:val="18"/>
                <w:szCs w:val="18"/>
              </w:rPr>
            </w:pPr>
          </w:p>
        </w:tc>
        <w:tc>
          <w:tcPr>
            <w:tcW w:w="1061" w:type="pct"/>
            <w:tcBorders>
              <w:bottom w:val="single" w:sz="4" w:space="0" w:color="auto"/>
            </w:tcBorders>
          </w:tcPr>
          <w:p w14:paraId="481ADEDE" w14:textId="77777777" w:rsidR="00C06936" w:rsidRPr="00471CBA" w:rsidRDefault="00C06936" w:rsidP="00C06936">
            <w:pPr>
              <w:ind w:right="113"/>
              <w:jc w:val="right"/>
              <w:rPr>
                <w:b/>
                <w:sz w:val="18"/>
                <w:szCs w:val="18"/>
              </w:rPr>
            </w:pPr>
          </w:p>
        </w:tc>
      </w:tr>
      <w:tr w:rsidR="00C06936" w:rsidRPr="00471CBA" w14:paraId="7B37C859" w14:textId="77777777" w:rsidTr="00F37FE2">
        <w:tc>
          <w:tcPr>
            <w:tcW w:w="1361" w:type="pct"/>
            <w:tcBorders>
              <w:top w:val="single" w:sz="4" w:space="0" w:color="auto"/>
              <w:bottom w:val="single" w:sz="12" w:space="0" w:color="auto"/>
            </w:tcBorders>
          </w:tcPr>
          <w:p w14:paraId="6AB43120" w14:textId="77777777" w:rsidR="00C06936" w:rsidRPr="00471CBA" w:rsidRDefault="00C06936" w:rsidP="00C06936">
            <w:pPr>
              <w:autoSpaceDE w:val="0"/>
              <w:autoSpaceDN w:val="0"/>
              <w:adjustRightInd w:val="0"/>
              <w:rPr>
                <w:rFonts w:eastAsia="Arial Unicode MS"/>
                <w:b/>
                <w:sz w:val="18"/>
                <w:szCs w:val="18"/>
              </w:rPr>
            </w:pPr>
            <w:r w:rsidRPr="00471CBA">
              <w:rPr>
                <w:rFonts w:eastAsia="Arial Unicode MS"/>
                <w:b/>
                <w:sz w:val="18"/>
                <w:szCs w:val="18"/>
              </w:rPr>
              <w:t>Toplam</w:t>
            </w:r>
          </w:p>
        </w:tc>
        <w:tc>
          <w:tcPr>
            <w:tcW w:w="986" w:type="pct"/>
            <w:tcBorders>
              <w:top w:val="single" w:sz="4" w:space="0" w:color="auto"/>
              <w:bottom w:val="single" w:sz="12" w:space="0" w:color="auto"/>
            </w:tcBorders>
          </w:tcPr>
          <w:p w14:paraId="1DCD990E" w14:textId="7502A809" w:rsidR="00C06936" w:rsidRPr="00471CBA" w:rsidRDefault="00C06936" w:rsidP="00C06936">
            <w:pPr>
              <w:ind w:right="113"/>
              <w:jc w:val="right"/>
              <w:rPr>
                <w:b/>
                <w:sz w:val="18"/>
                <w:szCs w:val="18"/>
              </w:rPr>
            </w:pPr>
            <w:r w:rsidRPr="00471CBA">
              <w:rPr>
                <w:b/>
                <w:sz w:val="18"/>
                <w:szCs w:val="18"/>
              </w:rPr>
              <w:t>51.404.015</w:t>
            </w:r>
          </w:p>
        </w:tc>
        <w:tc>
          <w:tcPr>
            <w:tcW w:w="1592" w:type="pct"/>
            <w:tcBorders>
              <w:top w:val="single" w:sz="4" w:space="0" w:color="auto"/>
              <w:bottom w:val="single" w:sz="12" w:space="0" w:color="auto"/>
            </w:tcBorders>
          </w:tcPr>
          <w:p w14:paraId="73756E4C" w14:textId="39734120" w:rsidR="00C06936" w:rsidRPr="00471CBA" w:rsidRDefault="00C06936" w:rsidP="00C06936">
            <w:pPr>
              <w:ind w:right="113"/>
              <w:jc w:val="right"/>
              <w:rPr>
                <w:b/>
                <w:sz w:val="18"/>
                <w:szCs w:val="18"/>
              </w:rPr>
            </w:pPr>
            <w:r w:rsidRPr="00471CBA">
              <w:rPr>
                <w:b/>
                <w:sz w:val="18"/>
                <w:szCs w:val="18"/>
              </w:rPr>
              <w:t>450.125</w:t>
            </w:r>
          </w:p>
        </w:tc>
        <w:tc>
          <w:tcPr>
            <w:tcW w:w="1061" w:type="pct"/>
            <w:tcBorders>
              <w:top w:val="single" w:sz="4" w:space="0" w:color="auto"/>
              <w:bottom w:val="single" w:sz="12" w:space="0" w:color="auto"/>
            </w:tcBorders>
          </w:tcPr>
          <w:p w14:paraId="7B154CFF" w14:textId="421045EE" w:rsidR="00C06936" w:rsidRPr="00471CBA" w:rsidRDefault="00C06936" w:rsidP="00C06936">
            <w:pPr>
              <w:ind w:right="113"/>
              <w:jc w:val="right"/>
              <w:rPr>
                <w:b/>
                <w:sz w:val="18"/>
                <w:szCs w:val="18"/>
              </w:rPr>
            </w:pPr>
            <w:r w:rsidRPr="00471CBA">
              <w:rPr>
                <w:b/>
                <w:sz w:val="18"/>
                <w:szCs w:val="18"/>
              </w:rPr>
              <w:t>15.504</w:t>
            </w:r>
          </w:p>
        </w:tc>
      </w:tr>
    </w:tbl>
    <w:p w14:paraId="260DE5F6" w14:textId="77777777" w:rsidR="00A67FD6" w:rsidRPr="00471CBA" w:rsidRDefault="00A67FD6" w:rsidP="00A67FD6">
      <w:pPr>
        <w:spacing w:before="120" w:after="120"/>
        <w:ind w:right="-54" w:firstLine="14"/>
        <w:jc w:val="both"/>
        <w:rPr>
          <w:sz w:val="14"/>
          <w:szCs w:val="16"/>
        </w:rPr>
      </w:pPr>
      <w:r w:rsidRPr="00471CBA">
        <w:rPr>
          <w:sz w:val="14"/>
          <w:szCs w:val="16"/>
          <w:vertAlign w:val="superscript"/>
        </w:rPr>
        <w:t xml:space="preserve">(*) </w:t>
      </w:r>
      <w:r w:rsidRPr="00471CBA">
        <w:rPr>
          <w:sz w:val="14"/>
          <w:szCs w:val="16"/>
        </w:rPr>
        <w:t>İlk kullandırıldıkları zaman orijinal vadeleri 1 yılın üzerinde olan krediler “Orta ve uzun vadeli krediler” olarak sınıflandırılmaktadır.</w:t>
      </w:r>
    </w:p>
    <w:bookmarkEnd w:id="94"/>
    <w:p w14:paraId="40C705B6" w14:textId="27DDD71F" w:rsidR="00A21219" w:rsidRPr="00471CBA" w:rsidRDefault="00A21219">
      <w:pPr>
        <w:rPr>
          <w:b/>
          <w:szCs w:val="20"/>
        </w:rPr>
      </w:pPr>
    </w:p>
    <w:tbl>
      <w:tblPr>
        <w:tblW w:w="5000" w:type="pct"/>
        <w:tblCellMar>
          <w:left w:w="0" w:type="dxa"/>
          <w:right w:w="0" w:type="dxa"/>
        </w:tblCellMar>
        <w:tblLook w:val="0000" w:firstRow="0" w:lastRow="0" w:firstColumn="0" w:lastColumn="0" w:noHBand="0" w:noVBand="0"/>
      </w:tblPr>
      <w:tblGrid>
        <w:gridCol w:w="2546"/>
        <w:gridCol w:w="1845"/>
        <w:gridCol w:w="2979"/>
        <w:gridCol w:w="1985"/>
      </w:tblGrid>
      <w:tr w:rsidR="00595569" w:rsidRPr="00471CBA" w14:paraId="1D12E086" w14:textId="77777777" w:rsidTr="00C44D8F">
        <w:trPr>
          <w:trHeight w:val="186"/>
        </w:trPr>
        <w:tc>
          <w:tcPr>
            <w:tcW w:w="1361" w:type="pct"/>
            <w:vMerge w:val="restart"/>
            <w:tcBorders>
              <w:top w:val="single" w:sz="4" w:space="0" w:color="auto"/>
            </w:tcBorders>
          </w:tcPr>
          <w:p w14:paraId="32B30CEB" w14:textId="77777777" w:rsidR="00595569" w:rsidRPr="00471CBA" w:rsidRDefault="00595569" w:rsidP="00C44D8F">
            <w:pPr>
              <w:autoSpaceDE w:val="0"/>
              <w:autoSpaceDN w:val="0"/>
              <w:adjustRightInd w:val="0"/>
              <w:rPr>
                <w:rFonts w:eastAsia="Arial Unicode MS"/>
                <w:sz w:val="18"/>
                <w:szCs w:val="18"/>
              </w:rPr>
            </w:pPr>
          </w:p>
          <w:p w14:paraId="1A036D5D" w14:textId="77777777" w:rsidR="00595569" w:rsidRPr="00471CBA" w:rsidRDefault="00595569" w:rsidP="00C44D8F">
            <w:pPr>
              <w:autoSpaceDE w:val="0"/>
              <w:autoSpaceDN w:val="0"/>
              <w:adjustRightInd w:val="0"/>
              <w:rPr>
                <w:rFonts w:eastAsia="Arial Unicode MS"/>
                <w:b/>
                <w:sz w:val="18"/>
                <w:szCs w:val="18"/>
              </w:rPr>
            </w:pPr>
            <w:r w:rsidRPr="00471CBA">
              <w:rPr>
                <w:rFonts w:eastAsia="Arial Unicode MS"/>
                <w:b/>
                <w:sz w:val="18"/>
                <w:szCs w:val="18"/>
              </w:rPr>
              <w:t>Nakdi krediler</w:t>
            </w:r>
          </w:p>
          <w:p w14:paraId="10874209" w14:textId="77777777" w:rsidR="00595569" w:rsidRPr="00471CBA" w:rsidRDefault="00595569" w:rsidP="00C44D8F">
            <w:pPr>
              <w:autoSpaceDE w:val="0"/>
              <w:autoSpaceDN w:val="0"/>
              <w:adjustRightInd w:val="0"/>
              <w:rPr>
                <w:rFonts w:eastAsia="Arial Unicode MS"/>
                <w:sz w:val="18"/>
                <w:szCs w:val="18"/>
              </w:rPr>
            </w:pPr>
            <w:r w:rsidRPr="00471CBA">
              <w:rPr>
                <w:rFonts w:eastAsia="Arial Unicode MS"/>
                <w:b/>
                <w:sz w:val="18"/>
                <w:szCs w:val="18"/>
              </w:rPr>
              <w:t>31 Aralık 2024</w:t>
            </w:r>
          </w:p>
        </w:tc>
        <w:tc>
          <w:tcPr>
            <w:tcW w:w="986" w:type="pct"/>
            <w:vMerge w:val="restart"/>
            <w:tcBorders>
              <w:top w:val="single" w:sz="4" w:space="0" w:color="auto"/>
            </w:tcBorders>
            <w:vAlign w:val="center"/>
          </w:tcPr>
          <w:p w14:paraId="2FFCFE0E" w14:textId="77777777" w:rsidR="00595569" w:rsidRPr="00471CBA" w:rsidRDefault="00595569" w:rsidP="00C44D8F">
            <w:pPr>
              <w:autoSpaceDE w:val="0"/>
              <w:autoSpaceDN w:val="0"/>
              <w:adjustRightInd w:val="0"/>
              <w:jc w:val="center"/>
              <w:rPr>
                <w:rFonts w:eastAsia="Arial Unicode MS"/>
                <w:b/>
                <w:sz w:val="18"/>
                <w:szCs w:val="18"/>
              </w:rPr>
            </w:pPr>
            <w:r w:rsidRPr="00471CBA">
              <w:rPr>
                <w:rFonts w:eastAsia="Arial Unicode MS"/>
                <w:b/>
                <w:sz w:val="18"/>
                <w:szCs w:val="18"/>
              </w:rPr>
              <w:t>Standart nitelikli krediler</w:t>
            </w:r>
          </w:p>
        </w:tc>
        <w:tc>
          <w:tcPr>
            <w:tcW w:w="2653" w:type="pct"/>
            <w:gridSpan w:val="2"/>
            <w:tcBorders>
              <w:top w:val="single" w:sz="4" w:space="0" w:color="auto"/>
              <w:bottom w:val="single" w:sz="4" w:space="0" w:color="auto"/>
            </w:tcBorders>
          </w:tcPr>
          <w:p w14:paraId="17AB2E10" w14:textId="77777777" w:rsidR="00595569" w:rsidRPr="00471CBA" w:rsidRDefault="00595569" w:rsidP="00C44D8F">
            <w:pPr>
              <w:autoSpaceDE w:val="0"/>
              <w:autoSpaceDN w:val="0"/>
              <w:adjustRightInd w:val="0"/>
              <w:jc w:val="center"/>
              <w:rPr>
                <w:rFonts w:eastAsia="Arial Unicode MS"/>
                <w:b/>
                <w:sz w:val="18"/>
                <w:szCs w:val="18"/>
              </w:rPr>
            </w:pPr>
            <w:r w:rsidRPr="00471CBA">
              <w:rPr>
                <w:rFonts w:eastAsia="Arial Unicode MS"/>
                <w:b/>
                <w:sz w:val="18"/>
                <w:szCs w:val="18"/>
              </w:rPr>
              <w:t>Yakın izlemedeki krediler</w:t>
            </w:r>
          </w:p>
        </w:tc>
      </w:tr>
      <w:tr w:rsidR="00595569" w:rsidRPr="00471CBA" w14:paraId="4072BAE3" w14:textId="77777777" w:rsidTr="00C44D8F">
        <w:trPr>
          <w:trHeight w:val="401"/>
        </w:trPr>
        <w:tc>
          <w:tcPr>
            <w:tcW w:w="1361" w:type="pct"/>
            <w:vMerge/>
            <w:tcBorders>
              <w:bottom w:val="single" w:sz="4" w:space="0" w:color="auto"/>
            </w:tcBorders>
          </w:tcPr>
          <w:p w14:paraId="783C3DCE" w14:textId="77777777" w:rsidR="00595569" w:rsidRPr="00471CBA" w:rsidRDefault="00595569" w:rsidP="00C44D8F">
            <w:pPr>
              <w:autoSpaceDE w:val="0"/>
              <w:autoSpaceDN w:val="0"/>
              <w:adjustRightInd w:val="0"/>
              <w:rPr>
                <w:rFonts w:eastAsia="Arial Unicode MS"/>
                <w:sz w:val="18"/>
                <w:szCs w:val="18"/>
              </w:rPr>
            </w:pPr>
          </w:p>
        </w:tc>
        <w:tc>
          <w:tcPr>
            <w:tcW w:w="986" w:type="pct"/>
            <w:vMerge/>
            <w:tcBorders>
              <w:bottom w:val="single" w:sz="4" w:space="0" w:color="auto"/>
            </w:tcBorders>
            <w:vAlign w:val="bottom"/>
          </w:tcPr>
          <w:p w14:paraId="3A1C12D4" w14:textId="77777777" w:rsidR="00595569" w:rsidRPr="00471CBA" w:rsidRDefault="00595569" w:rsidP="00C44D8F">
            <w:pPr>
              <w:autoSpaceDE w:val="0"/>
              <w:autoSpaceDN w:val="0"/>
              <w:adjustRightInd w:val="0"/>
              <w:ind w:right="120"/>
              <w:jc w:val="right"/>
              <w:rPr>
                <w:rFonts w:eastAsia="Arial Unicode MS"/>
                <w:b/>
                <w:sz w:val="18"/>
                <w:szCs w:val="18"/>
              </w:rPr>
            </w:pPr>
          </w:p>
        </w:tc>
        <w:tc>
          <w:tcPr>
            <w:tcW w:w="1592" w:type="pct"/>
            <w:tcBorders>
              <w:top w:val="single" w:sz="4" w:space="0" w:color="auto"/>
              <w:bottom w:val="single" w:sz="4" w:space="0" w:color="auto"/>
            </w:tcBorders>
            <w:vAlign w:val="bottom"/>
          </w:tcPr>
          <w:p w14:paraId="620B26C1" w14:textId="77777777" w:rsidR="00595569" w:rsidRPr="00471CBA" w:rsidRDefault="00595569" w:rsidP="00C44D8F">
            <w:pPr>
              <w:autoSpaceDE w:val="0"/>
              <w:autoSpaceDN w:val="0"/>
              <w:adjustRightInd w:val="0"/>
              <w:ind w:right="120"/>
              <w:jc w:val="right"/>
              <w:rPr>
                <w:rFonts w:eastAsia="Arial Unicode MS"/>
                <w:b/>
                <w:sz w:val="18"/>
                <w:szCs w:val="18"/>
              </w:rPr>
            </w:pPr>
            <w:r w:rsidRPr="00471CBA">
              <w:rPr>
                <w:rFonts w:eastAsia="Arial Unicode MS"/>
                <w:b/>
                <w:sz w:val="18"/>
                <w:szCs w:val="18"/>
              </w:rPr>
              <w:t>Yeniden Yapılandırma Kapsamında Yer Almayanlar</w:t>
            </w:r>
          </w:p>
        </w:tc>
        <w:tc>
          <w:tcPr>
            <w:tcW w:w="1061" w:type="pct"/>
            <w:tcBorders>
              <w:top w:val="single" w:sz="4" w:space="0" w:color="auto"/>
              <w:bottom w:val="single" w:sz="4" w:space="0" w:color="auto"/>
            </w:tcBorders>
            <w:vAlign w:val="bottom"/>
          </w:tcPr>
          <w:p w14:paraId="60DAAEDA" w14:textId="77777777" w:rsidR="00595569" w:rsidRPr="00471CBA" w:rsidRDefault="00595569" w:rsidP="00C44D8F">
            <w:pPr>
              <w:autoSpaceDE w:val="0"/>
              <w:autoSpaceDN w:val="0"/>
              <w:adjustRightInd w:val="0"/>
              <w:ind w:right="120"/>
              <w:jc w:val="right"/>
              <w:rPr>
                <w:rFonts w:eastAsia="Arial Unicode MS"/>
                <w:b/>
                <w:sz w:val="18"/>
                <w:szCs w:val="18"/>
              </w:rPr>
            </w:pPr>
            <w:r w:rsidRPr="00471CBA">
              <w:rPr>
                <w:rFonts w:eastAsia="Arial Unicode MS"/>
                <w:b/>
                <w:sz w:val="18"/>
                <w:szCs w:val="18"/>
              </w:rPr>
              <w:t>Yeniden Yapılandırılanlar</w:t>
            </w:r>
          </w:p>
        </w:tc>
      </w:tr>
      <w:tr w:rsidR="00595569" w:rsidRPr="00471CBA" w14:paraId="213F40EA" w14:textId="77777777" w:rsidTr="00C44D8F">
        <w:trPr>
          <w:trHeight w:val="113"/>
        </w:trPr>
        <w:tc>
          <w:tcPr>
            <w:tcW w:w="1361" w:type="pct"/>
            <w:tcBorders>
              <w:top w:val="single" w:sz="4" w:space="0" w:color="auto"/>
            </w:tcBorders>
          </w:tcPr>
          <w:p w14:paraId="0C785A34" w14:textId="77777777" w:rsidR="00595569" w:rsidRPr="00471CBA" w:rsidRDefault="00595569" w:rsidP="00C44D8F">
            <w:pPr>
              <w:autoSpaceDE w:val="0"/>
              <w:autoSpaceDN w:val="0"/>
              <w:adjustRightInd w:val="0"/>
              <w:rPr>
                <w:rFonts w:eastAsia="Arial Unicode MS"/>
                <w:sz w:val="18"/>
                <w:szCs w:val="18"/>
              </w:rPr>
            </w:pPr>
          </w:p>
        </w:tc>
        <w:tc>
          <w:tcPr>
            <w:tcW w:w="986" w:type="pct"/>
            <w:tcBorders>
              <w:top w:val="single" w:sz="4" w:space="0" w:color="auto"/>
            </w:tcBorders>
          </w:tcPr>
          <w:p w14:paraId="0029382A" w14:textId="77777777" w:rsidR="00595569" w:rsidRPr="00471CBA" w:rsidRDefault="00595569" w:rsidP="00C44D8F">
            <w:pPr>
              <w:autoSpaceDE w:val="0"/>
              <w:autoSpaceDN w:val="0"/>
              <w:adjustRightInd w:val="0"/>
              <w:ind w:right="120"/>
              <w:jc w:val="right"/>
              <w:rPr>
                <w:rFonts w:eastAsia="Arial Unicode MS"/>
                <w:sz w:val="18"/>
                <w:szCs w:val="18"/>
              </w:rPr>
            </w:pPr>
          </w:p>
        </w:tc>
        <w:tc>
          <w:tcPr>
            <w:tcW w:w="1592" w:type="pct"/>
            <w:tcBorders>
              <w:top w:val="single" w:sz="4" w:space="0" w:color="auto"/>
            </w:tcBorders>
          </w:tcPr>
          <w:p w14:paraId="485C4A5F" w14:textId="77777777" w:rsidR="00595569" w:rsidRPr="00471CBA" w:rsidRDefault="00595569" w:rsidP="00C44D8F">
            <w:pPr>
              <w:autoSpaceDE w:val="0"/>
              <w:autoSpaceDN w:val="0"/>
              <w:adjustRightInd w:val="0"/>
              <w:ind w:right="120"/>
              <w:jc w:val="right"/>
              <w:rPr>
                <w:rFonts w:eastAsia="Arial Unicode MS"/>
                <w:sz w:val="18"/>
                <w:szCs w:val="18"/>
              </w:rPr>
            </w:pPr>
          </w:p>
        </w:tc>
        <w:tc>
          <w:tcPr>
            <w:tcW w:w="1061" w:type="pct"/>
            <w:tcBorders>
              <w:top w:val="single" w:sz="4" w:space="0" w:color="auto"/>
            </w:tcBorders>
          </w:tcPr>
          <w:p w14:paraId="179DF150" w14:textId="77777777" w:rsidR="00595569" w:rsidRPr="00471CBA" w:rsidRDefault="00595569" w:rsidP="00C44D8F">
            <w:pPr>
              <w:autoSpaceDE w:val="0"/>
              <w:autoSpaceDN w:val="0"/>
              <w:adjustRightInd w:val="0"/>
              <w:ind w:right="120"/>
              <w:jc w:val="right"/>
              <w:rPr>
                <w:rFonts w:eastAsia="Arial Unicode MS"/>
                <w:sz w:val="18"/>
                <w:szCs w:val="18"/>
              </w:rPr>
            </w:pPr>
          </w:p>
        </w:tc>
      </w:tr>
      <w:tr w:rsidR="00595569" w:rsidRPr="00471CBA" w14:paraId="2DDF088E" w14:textId="77777777" w:rsidTr="00C44D8F">
        <w:trPr>
          <w:trHeight w:val="113"/>
        </w:trPr>
        <w:tc>
          <w:tcPr>
            <w:tcW w:w="1361" w:type="pct"/>
          </w:tcPr>
          <w:p w14:paraId="12AA02FD" w14:textId="77777777" w:rsidR="00595569" w:rsidRPr="00471CBA" w:rsidRDefault="00595569" w:rsidP="00C44D8F">
            <w:pPr>
              <w:autoSpaceDE w:val="0"/>
              <w:autoSpaceDN w:val="0"/>
              <w:adjustRightInd w:val="0"/>
              <w:rPr>
                <w:rFonts w:eastAsia="Arial Unicode MS"/>
                <w:sz w:val="18"/>
                <w:szCs w:val="18"/>
              </w:rPr>
            </w:pPr>
            <w:r w:rsidRPr="00471CBA">
              <w:rPr>
                <w:rFonts w:eastAsia="Arial Unicode MS"/>
                <w:sz w:val="18"/>
                <w:szCs w:val="18"/>
              </w:rPr>
              <w:t xml:space="preserve">Kısa vadeli krediler </w:t>
            </w:r>
          </w:p>
        </w:tc>
        <w:tc>
          <w:tcPr>
            <w:tcW w:w="986" w:type="pct"/>
          </w:tcPr>
          <w:p w14:paraId="1F415D4F" w14:textId="77777777" w:rsidR="00595569" w:rsidRPr="00471CBA" w:rsidRDefault="00595569" w:rsidP="00C44D8F">
            <w:pPr>
              <w:ind w:right="113"/>
              <w:jc w:val="right"/>
              <w:rPr>
                <w:sz w:val="18"/>
                <w:szCs w:val="18"/>
              </w:rPr>
            </w:pPr>
            <w:r w:rsidRPr="00471CBA">
              <w:rPr>
                <w:sz w:val="18"/>
                <w:szCs w:val="18"/>
              </w:rPr>
              <w:t>17.547.714</w:t>
            </w:r>
          </w:p>
        </w:tc>
        <w:tc>
          <w:tcPr>
            <w:tcW w:w="1592" w:type="pct"/>
            <w:tcBorders>
              <w:left w:val="nil"/>
            </w:tcBorders>
            <w:vAlign w:val="bottom"/>
          </w:tcPr>
          <w:p w14:paraId="29A5586C" w14:textId="77777777" w:rsidR="00595569" w:rsidRPr="00471CBA" w:rsidRDefault="00595569" w:rsidP="00C44D8F">
            <w:pPr>
              <w:ind w:right="113"/>
              <w:jc w:val="right"/>
              <w:rPr>
                <w:sz w:val="18"/>
                <w:szCs w:val="18"/>
              </w:rPr>
            </w:pPr>
            <w:r w:rsidRPr="00471CBA">
              <w:rPr>
                <w:sz w:val="18"/>
                <w:szCs w:val="18"/>
              </w:rPr>
              <w:t>-</w:t>
            </w:r>
          </w:p>
        </w:tc>
        <w:tc>
          <w:tcPr>
            <w:tcW w:w="1061" w:type="pct"/>
            <w:vAlign w:val="bottom"/>
          </w:tcPr>
          <w:p w14:paraId="473DEDF7" w14:textId="77777777" w:rsidR="00595569" w:rsidRPr="00471CBA" w:rsidRDefault="00595569" w:rsidP="00C44D8F">
            <w:pPr>
              <w:ind w:right="113"/>
              <w:jc w:val="right"/>
              <w:rPr>
                <w:sz w:val="18"/>
                <w:szCs w:val="18"/>
              </w:rPr>
            </w:pPr>
            <w:r w:rsidRPr="00471CBA">
              <w:rPr>
                <w:sz w:val="18"/>
                <w:szCs w:val="18"/>
              </w:rPr>
              <w:t>-</w:t>
            </w:r>
          </w:p>
        </w:tc>
      </w:tr>
      <w:tr w:rsidR="00595569" w:rsidRPr="00471CBA" w14:paraId="1AF42BB8" w14:textId="77777777" w:rsidTr="00C44D8F">
        <w:trPr>
          <w:trHeight w:val="113"/>
        </w:trPr>
        <w:tc>
          <w:tcPr>
            <w:tcW w:w="1361" w:type="pct"/>
          </w:tcPr>
          <w:p w14:paraId="6057F1AC" w14:textId="77777777" w:rsidR="00595569" w:rsidRPr="00471CBA" w:rsidRDefault="00595569" w:rsidP="00C44D8F">
            <w:pPr>
              <w:autoSpaceDE w:val="0"/>
              <w:autoSpaceDN w:val="0"/>
              <w:adjustRightInd w:val="0"/>
              <w:rPr>
                <w:rFonts w:eastAsia="Arial Unicode MS"/>
                <w:sz w:val="18"/>
                <w:szCs w:val="18"/>
              </w:rPr>
            </w:pPr>
            <w:r w:rsidRPr="00471CBA">
              <w:rPr>
                <w:rFonts w:eastAsia="Arial Unicode MS"/>
                <w:sz w:val="18"/>
                <w:szCs w:val="18"/>
              </w:rPr>
              <w:t xml:space="preserve">Orta ve uzun vadeli krediler </w:t>
            </w:r>
            <w:r w:rsidRPr="00471CBA">
              <w:rPr>
                <w:rFonts w:eastAsia="Arial Unicode MS"/>
                <w:sz w:val="18"/>
                <w:szCs w:val="18"/>
                <w:vertAlign w:val="superscript"/>
              </w:rPr>
              <w:t>(*)</w:t>
            </w:r>
          </w:p>
        </w:tc>
        <w:tc>
          <w:tcPr>
            <w:tcW w:w="986" w:type="pct"/>
            <w:tcBorders>
              <w:top w:val="nil"/>
            </w:tcBorders>
          </w:tcPr>
          <w:p w14:paraId="28DF3544" w14:textId="77777777" w:rsidR="00595569" w:rsidRPr="00471CBA" w:rsidRDefault="00595569" w:rsidP="00C44D8F">
            <w:pPr>
              <w:ind w:right="113"/>
              <w:jc w:val="right"/>
              <w:rPr>
                <w:sz w:val="18"/>
                <w:szCs w:val="18"/>
              </w:rPr>
            </w:pPr>
            <w:r w:rsidRPr="00471CBA">
              <w:rPr>
                <w:sz w:val="18"/>
                <w:szCs w:val="18"/>
              </w:rPr>
              <w:t>5.481.745</w:t>
            </w:r>
          </w:p>
        </w:tc>
        <w:tc>
          <w:tcPr>
            <w:tcW w:w="1592" w:type="pct"/>
            <w:tcBorders>
              <w:left w:val="nil"/>
            </w:tcBorders>
            <w:vAlign w:val="bottom"/>
          </w:tcPr>
          <w:p w14:paraId="160B4D1E" w14:textId="77777777" w:rsidR="00595569" w:rsidRPr="00471CBA" w:rsidRDefault="00595569" w:rsidP="00C44D8F">
            <w:pPr>
              <w:ind w:right="113"/>
              <w:jc w:val="right"/>
              <w:rPr>
                <w:sz w:val="18"/>
                <w:szCs w:val="18"/>
              </w:rPr>
            </w:pPr>
            <w:r w:rsidRPr="00471CBA">
              <w:rPr>
                <w:sz w:val="18"/>
                <w:szCs w:val="18"/>
              </w:rPr>
              <w:t>-</w:t>
            </w:r>
          </w:p>
        </w:tc>
        <w:tc>
          <w:tcPr>
            <w:tcW w:w="1061" w:type="pct"/>
            <w:vAlign w:val="bottom"/>
          </w:tcPr>
          <w:p w14:paraId="4A9A4274" w14:textId="77777777" w:rsidR="00595569" w:rsidRPr="00471CBA" w:rsidRDefault="00595569" w:rsidP="00C44D8F">
            <w:pPr>
              <w:ind w:right="113"/>
              <w:jc w:val="right"/>
              <w:rPr>
                <w:sz w:val="18"/>
                <w:szCs w:val="18"/>
              </w:rPr>
            </w:pPr>
            <w:r w:rsidRPr="00471CBA">
              <w:rPr>
                <w:sz w:val="18"/>
                <w:szCs w:val="18"/>
              </w:rPr>
              <w:t>-</w:t>
            </w:r>
          </w:p>
        </w:tc>
      </w:tr>
      <w:tr w:rsidR="00595569" w:rsidRPr="00471CBA" w14:paraId="55F95410" w14:textId="77777777" w:rsidTr="00C44D8F">
        <w:trPr>
          <w:trHeight w:hRule="exact" w:val="213"/>
        </w:trPr>
        <w:tc>
          <w:tcPr>
            <w:tcW w:w="1361" w:type="pct"/>
            <w:tcBorders>
              <w:bottom w:val="single" w:sz="4" w:space="0" w:color="auto"/>
            </w:tcBorders>
          </w:tcPr>
          <w:p w14:paraId="243DE193" w14:textId="77777777" w:rsidR="00595569" w:rsidRPr="00471CBA" w:rsidRDefault="00595569" w:rsidP="00C44D8F">
            <w:pPr>
              <w:autoSpaceDE w:val="0"/>
              <w:autoSpaceDN w:val="0"/>
              <w:adjustRightInd w:val="0"/>
              <w:ind w:left="180"/>
              <w:rPr>
                <w:rFonts w:eastAsia="Arial Unicode MS"/>
                <w:sz w:val="18"/>
                <w:szCs w:val="18"/>
              </w:rPr>
            </w:pPr>
          </w:p>
        </w:tc>
        <w:tc>
          <w:tcPr>
            <w:tcW w:w="986" w:type="pct"/>
            <w:tcBorders>
              <w:bottom w:val="single" w:sz="4" w:space="0" w:color="auto"/>
            </w:tcBorders>
          </w:tcPr>
          <w:p w14:paraId="750392ED" w14:textId="77777777" w:rsidR="00595569" w:rsidRPr="00471CBA" w:rsidRDefault="00595569" w:rsidP="00C44D8F">
            <w:pPr>
              <w:ind w:right="113"/>
              <w:jc w:val="right"/>
              <w:rPr>
                <w:b/>
                <w:sz w:val="18"/>
                <w:szCs w:val="18"/>
              </w:rPr>
            </w:pPr>
          </w:p>
        </w:tc>
        <w:tc>
          <w:tcPr>
            <w:tcW w:w="1592" w:type="pct"/>
            <w:tcBorders>
              <w:bottom w:val="single" w:sz="4" w:space="0" w:color="auto"/>
            </w:tcBorders>
            <w:vAlign w:val="bottom"/>
          </w:tcPr>
          <w:p w14:paraId="252875BA" w14:textId="77777777" w:rsidR="00595569" w:rsidRPr="00471CBA" w:rsidRDefault="00595569" w:rsidP="00C44D8F">
            <w:pPr>
              <w:ind w:right="113"/>
              <w:jc w:val="right"/>
              <w:rPr>
                <w:b/>
                <w:sz w:val="18"/>
                <w:szCs w:val="18"/>
              </w:rPr>
            </w:pPr>
          </w:p>
        </w:tc>
        <w:tc>
          <w:tcPr>
            <w:tcW w:w="1061" w:type="pct"/>
            <w:tcBorders>
              <w:bottom w:val="single" w:sz="4" w:space="0" w:color="auto"/>
            </w:tcBorders>
            <w:vAlign w:val="bottom"/>
          </w:tcPr>
          <w:p w14:paraId="1C391C24" w14:textId="77777777" w:rsidR="00595569" w:rsidRPr="00471CBA" w:rsidRDefault="00595569" w:rsidP="00C44D8F">
            <w:pPr>
              <w:ind w:right="113"/>
              <w:jc w:val="right"/>
              <w:rPr>
                <w:b/>
                <w:sz w:val="18"/>
                <w:szCs w:val="18"/>
              </w:rPr>
            </w:pPr>
          </w:p>
        </w:tc>
      </w:tr>
      <w:tr w:rsidR="00595569" w:rsidRPr="00471CBA" w14:paraId="34AFADF8" w14:textId="77777777" w:rsidTr="00C44D8F">
        <w:tc>
          <w:tcPr>
            <w:tcW w:w="1361" w:type="pct"/>
            <w:tcBorders>
              <w:top w:val="single" w:sz="4" w:space="0" w:color="auto"/>
              <w:bottom w:val="single" w:sz="12" w:space="0" w:color="auto"/>
            </w:tcBorders>
          </w:tcPr>
          <w:p w14:paraId="591AD27C" w14:textId="77777777" w:rsidR="00595569" w:rsidRPr="00471CBA" w:rsidRDefault="00595569" w:rsidP="00C44D8F">
            <w:pPr>
              <w:autoSpaceDE w:val="0"/>
              <w:autoSpaceDN w:val="0"/>
              <w:adjustRightInd w:val="0"/>
              <w:rPr>
                <w:rFonts w:eastAsia="Arial Unicode MS"/>
                <w:b/>
                <w:sz w:val="18"/>
                <w:szCs w:val="18"/>
              </w:rPr>
            </w:pPr>
            <w:r w:rsidRPr="00471CBA">
              <w:rPr>
                <w:rFonts w:eastAsia="Arial Unicode MS"/>
                <w:b/>
                <w:sz w:val="18"/>
                <w:szCs w:val="18"/>
              </w:rPr>
              <w:t>Toplam</w:t>
            </w:r>
          </w:p>
        </w:tc>
        <w:tc>
          <w:tcPr>
            <w:tcW w:w="986" w:type="pct"/>
            <w:tcBorders>
              <w:top w:val="single" w:sz="4" w:space="0" w:color="auto"/>
              <w:bottom w:val="single" w:sz="12" w:space="0" w:color="auto"/>
            </w:tcBorders>
          </w:tcPr>
          <w:p w14:paraId="7509D5BB" w14:textId="77777777" w:rsidR="00595569" w:rsidRPr="00471CBA" w:rsidRDefault="00595569" w:rsidP="00C44D8F">
            <w:pPr>
              <w:ind w:right="113"/>
              <w:jc w:val="right"/>
              <w:rPr>
                <w:b/>
                <w:sz w:val="18"/>
                <w:szCs w:val="18"/>
              </w:rPr>
            </w:pPr>
            <w:r w:rsidRPr="00471CBA">
              <w:rPr>
                <w:b/>
                <w:sz w:val="18"/>
                <w:szCs w:val="18"/>
              </w:rPr>
              <w:t>23.029.459</w:t>
            </w:r>
          </w:p>
        </w:tc>
        <w:tc>
          <w:tcPr>
            <w:tcW w:w="1592" w:type="pct"/>
            <w:tcBorders>
              <w:top w:val="single" w:sz="4" w:space="0" w:color="auto"/>
              <w:bottom w:val="single" w:sz="12" w:space="0" w:color="auto"/>
            </w:tcBorders>
            <w:vAlign w:val="bottom"/>
          </w:tcPr>
          <w:p w14:paraId="15595C59" w14:textId="77777777" w:rsidR="00595569" w:rsidRPr="00471CBA" w:rsidRDefault="00595569" w:rsidP="00C44D8F">
            <w:pPr>
              <w:ind w:right="113"/>
              <w:jc w:val="right"/>
              <w:rPr>
                <w:b/>
                <w:sz w:val="18"/>
                <w:szCs w:val="18"/>
              </w:rPr>
            </w:pPr>
            <w:r w:rsidRPr="00471CBA">
              <w:rPr>
                <w:b/>
                <w:sz w:val="18"/>
                <w:szCs w:val="18"/>
              </w:rPr>
              <w:t>-</w:t>
            </w:r>
          </w:p>
        </w:tc>
        <w:tc>
          <w:tcPr>
            <w:tcW w:w="1061" w:type="pct"/>
            <w:tcBorders>
              <w:top w:val="single" w:sz="4" w:space="0" w:color="auto"/>
              <w:bottom w:val="single" w:sz="12" w:space="0" w:color="auto"/>
            </w:tcBorders>
            <w:vAlign w:val="bottom"/>
          </w:tcPr>
          <w:p w14:paraId="20388E16" w14:textId="77777777" w:rsidR="00595569" w:rsidRPr="00471CBA" w:rsidRDefault="00595569" w:rsidP="00C44D8F">
            <w:pPr>
              <w:ind w:right="113"/>
              <w:jc w:val="right"/>
              <w:rPr>
                <w:b/>
                <w:sz w:val="18"/>
                <w:szCs w:val="18"/>
              </w:rPr>
            </w:pPr>
            <w:r w:rsidRPr="00471CBA">
              <w:rPr>
                <w:b/>
                <w:sz w:val="18"/>
                <w:szCs w:val="18"/>
              </w:rPr>
              <w:t>-</w:t>
            </w:r>
          </w:p>
        </w:tc>
      </w:tr>
    </w:tbl>
    <w:p w14:paraId="0D83C258" w14:textId="0F6A9C7E" w:rsidR="00964E60" w:rsidRPr="00471CBA" w:rsidRDefault="00595569" w:rsidP="00595569">
      <w:pPr>
        <w:spacing w:before="120" w:after="120"/>
        <w:ind w:right="-54" w:firstLine="14"/>
        <w:jc w:val="both"/>
        <w:rPr>
          <w:sz w:val="14"/>
          <w:szCs w:val="16"/>
        </w:rPr>
      </w:pPr>
      <w:r w:rsidRPr="00471CBA">
        <w:rPr>
          <w:sz w:val="14"/>
          <w:szCs w:val="16"/>
          <w:vertAlign w:val="superscript"/>
        </w:rPr>
        <w:t xml:space="preserve">(*) </w:t>
      </w:r>
      <w:r w:rsidRPr="00471CBA">
        <w:rPr>
          <w:sz w:val="14"/>
          <w:szCs w:val="16"/>
        </w:rPr>
        <w:t>İlk kullandırıldıkları zaman orijinal vadeleri 1 yılın üzerinde olan krediler “Orta ve uzun vadeli krediler” olarak sınıflandırılmaktadır.</w:t>
      </w:r>
    </w:p>
    <w:p w14:paraId="08023C15" w14:textId="77777777" w:rsidR="00964E60" w:rsidRPr="00471CBA" w:rsidRDefault="00964E60">
      <w:pPr>
        <w:rPr>
          <w:sz w:val="14"/>
          <w:szCs w:val="16"/>
        </w:rPr>
      </w:pPr>
      <w:r w:rsidRPr="00471CBA">
        <w:rPr>
          <w:sz w:val="14"/>
          <w:szCs w:val="16"/>
        </w:rPr>
        <w:br w:type="page"/>
      </w:r>
    </w:p>
    <w:p w14:paraId="11BC8870" w14:textId="77777777" w:rsidR="00964E60" w:rsidRPr="00471CBA" w:rsidRDefault="00964E60" w:rsidP="00964E60">
      <w:pPr>
        <w:rPr>
          <w:b/>
          <w:szCs w:val="20"/>
        </w:rPr>
      </w:pPr>
      <w:r w:rsidRPr="00471CBA">
        <w:rPr>
          <w:b/>
          <w:szCs w:val="20"/>
        </w:rPr>
        <w:t>KONSOLİDE OLMAYAN FİNANSAL TABLOLARA İLİŞKİN AÇIKLAMA VE DİPNOTLAR (Devamı)</w:t>
      </w:r>
    </w:p>
    <w:p w14:paraId="08CAF57A" w14:textId="77777777" w:rsidR="00964E60" w:rsidRPr="00471CBA" w:rsidRDefault="00964E60" w:rsidP="00964E60">
      <w:pPr>
        <w:pStyle w:val="ListeParagraf"/>
        <w:widowControl w:val="0"/>
        <w:ind w:left="14" w:right="452"/>
        <w:jc w:val="both"/>
        <w:rPr>
          <w:b/>
          <w:szCs w:val="20"/>
        </w:rPr>
      </w:pPr>
    </w:p>
    <w:p w14:paraId="6D37F30E" w14:textId="77777777" w:rsidR="00964E60" w:rsidRPr="00471CBA" w:rsidRDefault="00964E60" w:rsidP="00964E60">
      <w:pPr>
        <w:pStyle w:val="ListeParagraf"/>
        <w:widowControl w:val="0"/>
        <w:numPr>
          <w:ilvl w:val="0"/>
          <w:numId w:val="47"/>
        </w:numPr>
        <w:ind w:left="567" w:hanging="567"/>
        <w:jc w:val="both"/>
        <w:rPr>
          <w:b/>
          <w:szCs w:val="20"/>
        </w:rPr>
      </w:pPr>
      <w:r w:rsidRPr="00471CBA">
        <w:rPr>
          <w:b/>
          <w:szCs w:val="20"/>
        </w:rPr>
        <w:t>BİLANÇONUN AKTİF HESAPLARINA İLİŞKİN AÇIKLAMA VE DİPNOTLAR (Devamı)</w:t>
      </w:r>
    </w:p>
    <w:p w14:paraId="1D9244EB" w14:textId="77777777" w:rsidR="00595569" w:rsidRPr="00471CBA" w:rsidRDefault="00595569" w:rsidP="00964E60"/>
    <w:bookmarkEnd w:id="95"/>
    <w:p w14:paraId="2F53F3B6" w14:textId="11D5D72A" w:rsidR="0098050E" w:rsidRPr="00471CBA" w:rsidRDefault="0098050E" w:rsidP="00D07241">
      <w:pPr>
        <w:pStyle w:val="GvdeMetniGirintisi"/>
        <w:widowControl w:val="0"/>
        <w:numPr>
          <w:ilvl w:val="0"/>
          <w:numId w:val="6"/>
        </w:numPr>
        <w:tabs>
          <w:tab w:val="clear" w:pos="540"/>
        </w:tabs>
        <w:ind w:left="567" w:hanging="567"/>
        <w:rPr>
          <w:b/>
          <w:szCs w:val="20"/>
        </w:rPr>
      </w:pPr>
      <w:r w:rsidRPr="00471CBA">
        <w:rPr>
          <w:b/>
          <w:szCs w:val="20"/>
        </w:rPr>
        <w:t>Tüketici kredileri, bireysel kredi kartları, personel kredileri ve personel kredi kartlarına ilişkin bilgiler:</w:t>
      </w:r>
    </w:p>
    <w:p w14:paraId="7B2D853E" w14:textId="49C56883" w:rsidR="00A74C68" w:rsidRPr="00471CBA" w:rsidRDefault="00A74C68" w:rsidP="00AE0899">
      <w:pPr>
        <w:pStyle w:val="GvdeMetniGirintisi"/>
        <w:widowControl w:val="0"/>
        <w:ind w:left="-14" w:right="70" w:hanging="602"/>
        <w:rPr>
          <w:szCs w:val="20"/>
        </w:rPr>
      </w:pPr>
    </w:p>
    <w:tbl>
      <w:tblPr>
        <w:tblW w:w="4966" w:type="pct"/>
        <w:tblCellMar>
          <w:left w:w="70" w:type="dxa"/>
          <w:right w:w="70" w:type="dxa"/>
        </w:tblCellMar>
        <w:tblLook w:val="04A0" w:firstRow="1" w:lastRow="0" w:firstColumn="1" w:lastColumn="0" w:noHBand="0" w:noVBand="1"/>
      </w:tblPr>
      <w:tblGrid>
        <w:gridCol w:w="4895"/>
        <w:gridCol w:w="1397"/>
        <w:gridCol w:w="1624"/>
        <w:gridCol w:w="1375"/>
      </w:tblGrid>
      <w:tr w:rsidR="00A74C68" w:rsidRPr="00471CBA" w14:paraId="596AFA4E" w14:textId="77777777" w:rsidTr="00A74C68">
        <w:trPr>
          <w:divId w:val="1403407814"/>
          <w:trHeight w:val="170"/>
        </w:trPr>
        <w:tc>
          <w:tcPr>
            <w:tcW w:w="2634" w:type="pct"/>
            <w:tcBorders>
              <w:top w:val="nil"/>
              <w:left w:val="nil"/>
              <w:bottom w:val="single" w:sz="4" w:space="0" w:color="auto"/>
              <w:right w:val="nil"/>
            </w:tcBorders>
            <w:noWrap/>
            <w:vAlign w:val="bottom"/>
            <w:hideMark/>
          </w:tcPr>
          <w:p w14:paraId="5425048C" w14:textId="16133D90" w:rsidR="00A74C68" w:rsidRPr="00471CBA" w:rsidRDefault="00A74C68" w:rsidP="00A74C68">
            <w:pPr>
              <w:rPr>
                <w:b/>
                <w:bCs/>
                <w:color w:val="000000"/>
                <w:sz w:val="18"/>
                <w:szCs w:val="18"/>
              </w:rPr>
            </w:pPr>
            <w:r w:rsidRPr="00471CBA">
              <w:rPr>
                <w:b/>
                <w:bCs/>
                <w:color w:val="000000"/>
                <w:sz w:val="18"/>
                <w:szCs w:val="18"/>
              </w:rPr>
              <w:t>31 Aralık 2025</w:t>
            </w:r>
          </w:p>
        </w:tc>
        <w:tc>
          <w:tcPr>
            <w:tcW w:w="752" w:type="pct"/>
            <w:tcBorders>
              <w:top w:val="nil"/>
              <w:left w:val="nil"/>
              <w:bottom w:val="single" w:sz="4" w:space="0" w:color="auto"/>
              <w:right w:val="nil"/>
            </w:tcBorders>
            <w:vAlign w:val="bottom"/>
            <w:hideMark/>
          </w:tcPr>
          <w:p w14:paraId="2B2C5E94" w14:textId="77777777" w:rsidR="00A74C68" w:rsidRPr="00471CBA" w:rsidRDefault="00A74C68" w:rsidP="00A74C68">
            <w:pPr>
              <w:jc w:val="right"/>
              <w:rPr>
                <w:b/>
                <w:bCs/>
                <w:color w:val="000000"/>
                <w:sz w:val="18"/>
                <w:szCs w:val="18"/>
              </w:rPr>
            </w:pPr>
            <w:r w:rsidRPr="00471CBA">
              <w:rPr>
                <w:b/>
                <w:bCs/>
                <w:color w:val="000000"/>
                <w:sz w:val="18"/>
                <w:szCs w:val="18"/>
              </w:rPr>
              <w:t>Kısa Vadeli</w:t>
            </w:r>
          </w:p>
        </w:tc>
        <w:tc>
          <w:tcPr>
            <w:tcW w:w="874" w:type="pct"/>
            <w:tcBorders>
              <w:top w:val="nil"/>
              <w:left w:val="nil"/>
              <w:bottom w:val="single" w:sz="4" w:space="0" w:color="auto"/>
              <w:right w:val="nil"/>
            </w:tcBorders>
            <w:vAlign w:val="bottom"/>
            <w:hideMark/>
          </w:tcPr>
          <w:p w14:paraId="603526EF" w14:textId="77777777" w:rsidR="00A74C68" w:rsidRPr="00471CBA" w:rsidRDefault="00A74C68" w:rsidP="00A74C68">
            <w:pPr>
              <w:jc w:val="right"/>
              <w:rPr>
                <w:b/>
                <w:bCs/>
                <w:color w:val="000000"/>
                <w:sz w:val="18"/>
                <w:szCs w:val="18"/>
              </w:rPr>
            </w:pPr>
            <w:r w:rsidRPr="00471CBA">
              <w:rPr>
                <w:b/>
                <w:bCs/>
                <w:color w:val="000000"/>
                <w:sz w:val="18"/>
                <w:szCs w:val="18"/>
              </w:rPr>
              <w:t>Orta ve Uzun Vadeli</w:t>
            </w:r>
          </w:p>
        </w:tc>
        <w:tc>
          <w:tcPr>
            <w:tcW w:w="740" w:type="pct"/>
            <w:tcBorders>
              <w:top w:val="nil"/>
              <w:left w:val="nil"/>
              <w:bottom w:val="single" w:sz="4" w:space="0" w:color="auto"/>
              <w:right w:val="nil"/>
            </w:tcBorders>
            <w:vAlign w:val="bottom"/>
            <w:hideMark/>
          </w:tcPr>
          <w:p w14:paraId="7223907D" w14:textId="77777777" w:rsidR="00A74C68" w:rsidRPr="00471CBA" w:rsidRDefault="00A74C68" w:rsidP="00A74C68">
            <w:pPr>
              <w:jc w:val="right"/>
              <w:rPr>
                <w:b/>
                <w:bCs/>
                <w:color w:val="000000"/>
                <w:sz w:val="18"/>
                <w:szCs w:val="18"/>
              </w:rPr>
            </w:pPr>
            <w:r w:rsidRPr="00471CBA">
              <w:rPr>
                <w:b/>
                <w:bCs/>
                <w:color w:val="000000"/>
                <w:sz w:val="18"/>
                <w:szCs w:val="18"/>
              </w:rPr>
              <w:t>Toplam</w:t>
            </w:r>
          </w:p>
        </w:tc>
      </w:tr>
      <w:tr w:rsidR="00A74C68" w:rsidRPr="00471CBA" w14:paraId="0BF975C0" w14:textId="77777777" w:rsidTr="00A74C68">
        <w:trPr>
          <w:divId w:val="1403407814"/>
          <w:trHeight w:val="170"/>
        </w:trPr>
        <w:tc>
          <w:tcPr>
            <w:tcW w:w="2634" w:type="pct"/>
            <w:tcBorders>
              <w:top w:val="single" w:sz="4" w:space="0" w:color="auto"/>
              <w:left w:val="nil"/>
              <w:bottom w:val="nil"/>
              <w:right w:val="nil"/>
            </w:tcBorders>
            <w:noWrap/>
            <w:vAlign w:val="bottom"/>
            <w:hideMark/>
          </w:tcPr>
          <w:p w14:paraId="78115594" w14:textId="77777777" w:rsidR="00A74C68" w:rsidRPr="00471CBA" w:rsidRDefault="00A74C68" w:rsidP="00A74C68">
            <w:pPr>
              <w:jc w:val="right"/>
              <w:rPr>
                <w:b/>
                <w:bCs/>
                <w:color w:val="000000"/>
                <w:sz w:val="18"/>
                <w:szCs w:val="18"/>
              </w:rPr>
            </w:pPr>
          </w:p>
        </w:tc>
        <w:tc>
          <w:tcPr>
            <w:tcW w:w="752" w:type="pct"/>
            <w:tcBorders>
              <w:top w:val="single" w:sz="4" w:space="0" w:color="auto"/>
              <w:left w:val="nil"/>
              <w:bottom w:val="nil"/>
              <w:right w:val="nil"/>
            </w:tcBorders>
            <w:noWrap/>
            <w:vAlign w:val="bottom"/>
            <w:hideMark/>
          </w:tcPr>
          <w:p w14:paraId="4C0D0766" w14:textId="77777777" w:rsidR="00A74C68" w:rsidRPr="00471CBA" w:rsidRDefault="00A74C68" w:rsidP="00A74C68">
            <w:pPr>
              <w:jc w:val="both"/>
              <w:rPr>
                <w:sz w:val="18"/>
                <w:szCs w:val="18"/>
              </w:rPr>
            </w:pPr>
          </w:p>
        </w:tc>
        <w:tc>
          <w:tcPr>
            <w:tcW w:w="874" w:type="pct"/>
            <w:tcBorders>
              <w:top w:val="single" w:sz="4" w:space="0" w:color="auto"/>
              <w:left w:val="nil"/>
              <w:bottom w:val="nil"/>
              <w:right w:val="nil"/>
            </w:tcBorders>
            <w:noWrap/>
            <w:vAlign w:val="bottom"/>
            <w:hideMark/>
          </w:tcPr>
          <w:p w14:paraId="2AE1BEFB" w14:textId="77777777" w:rsidR="00A74C68" w:rsidRPr="00471CBA" w:rsidRDefault="00A74C68" w:rsidP="00A74C68">
            <w:pPr>
              <w:jc w:val="right"/>
              <w:rPr>
                <w:sz w:val="18"/>
                <w:szCs w:val="18"/>
              </w:rPr>
            </w:pPr>
          </w:p>
        </w:tc>
        <w:tc>
          <w:tcPr>
            <w:tcW w:w="740" w:type="pct"/>
            <w:tcBorders>
              <w:top w:val="single" w:sz="4" w:space="0" w:color="auto"/>
              <w:left w:val="nil"/>
              <w:bottom w:val="nil"/>
              <w:right w:val="nil"/>
            </w:tcBorders>
            <w:noWrap/>
            <w:vAlign w:val="bottom"/>
            <w:hideMark/>
          </w:tcPr>
          <w:p w14:paraId="31685E61" w14:textId="77777777" w:rsidR="00A74C68" w:rsidRPr="00471CBA" w:rsidRDefault="00A74C68" w:rsidP="00A74C68">
            <w:pPr>
              <w:jc w:val="right"/>
              <w:rPr>
                <w:sz w:val="18"/>
                <w:szCs w:val="18"/>
              </w:rPr>
            </w:pPr>
          </w:p>
        </w:tc>
      </w:tr>
      <w:tr w:rsidR="00A74C68" w:rsidRPr="00471CBA" w14:paraId="6ADC686B" w14:textId="77777777" w:rsidTr="00A74C68">
        <w:trPr>
          <w:divId w:val="1403407814"/>
          <w:trHeight w:val="170"/>
        </w:trPr>
        <w:tc>
          <w:tcPr>
            <w:tcW w:w="2634" w:type="pct"/>
            <w:tcBorders>
              <w:top w:val="nil"/>
              <w:left w:val="nil"/>
              <w:bottom w:val="nil"/>
              <w:right w:val="nil"/>
            </w:tcBorders>
            <w:noWrap/>
            <w:vAlign w:val="center"/>
            <w:hideMark/>
          </w:tcPr>
          <w:p w14:paraId="7C26F74D" w14:textId="77777777" w:rsidR="00A74C68" w:rsidRPr="00471CBA" w:rsidRDefault="00A74C68" w:rsidP="00A74C68">
            <w:pPr>
              <w:jc w:val="both"/>
              <w:rPr>
                <w:b/>
                <w:bCs/>
                <w:color w:val="000000"/>
                <w:sz w:val="18"/>
                <w:szCs w:val="18"/>
              </w:rPr>
            </w:pPr>
            <w:r w:rsidRPr="00471CBA">
              <w:rPr>
                <w:b/>
                <w:bCs/>
                <w:color w:val="000000"/>
                <w:sz w:val="18"/>
                <w:szCs w:val="18"/>
              </w:rPr>
              <w:t>Tüketici Kredileri-TP</w:t>
            </w:r>
          </w:p>
        </w:tc>
        <w:tc>
          <w:tcPr>
            <w:tcW w:w="752" w:type="pct"/>
            <w:tcBorders>
              <w:top w:val="nil"/>
              <w:left w:val="nil"/>
              <w:bottom w:val="nil"/>
              <w:right w:val="nil"/>
            </w:tcBorders>
            <w:vAlign w:val="center"/>
            <w:hideMark/>
          </w:tcPr>
          <w:p w14:paraId="7DEA39C8" w14:textId="77777777" w:rsidR="00A74C68" w:rsidRPr="00471CBA" w:rsidRDefault="00A74C68" w:rsidP="00A74C68">
            <w:pPr>
              <w:jc w:val="right"/>
              <w:rPr>
                <w:b/>
                <w:bCs/>
                <w:color w:val="000000"/>
                <w:sz w:val="18"/>
                <w:szCs w:val="18"/>
              </w:rPr>
            </w:pPr>
            <w:r w:rsidRPr="00471CBA">
              <w:rPr>
                <w:b/>
                <w:bCs/>
                <w:color w:val="000000"/>
                <w:sz w:val="18"/>
                <w:szCs w:val="18"/>
              </w:rPr>
              <w:t>21.041</w:t>
            </w:r>
          </w:p>
        </w:tc>
        <w:tc>
          <w:tcPr>
            <w:tcW w:w="874" w:type="pct"/>
            <w:tcBorders>
              <w:top w:val="nil"/>
              <w:left w:val="nil"/>
              <w:bottom w:val="nil"/>
              <w:right w:val="nil"/>
            </w:tcBorders>
            <w:vAlign w:val="center"/>
            <w:hideMark/>
          </w:tcPr>
          <w:p w14:paraId="1DB7B4C1" w14:textId="77777777" w:rsidR="00A74C68" w:rsidRPr="00471CBA" w:rsidRDefault="00A74C68" w:rsidP="00A74C68">
            <w:pPr>
              <w:jc w:val="right"/>
              <w:rPr>
                <w:b/>
                <w:bCs/>
                <w:color w:val="000000"/>
                <w:sz w:val="18"/>
                <w:szCs w:val="18"/>
              </w:rPr>
            </w:pPr>
            <w:r w:rsidRPr="00471CBA">
              <w:rPr>
                <w:b/>
                <w:bCs/>
                <w:color w:val="000000"/>
                <w:sz w:val="18"/>
                <w:szCs w:val="18"/>
              </w:rPr>
              <w:t>273.682</w:t>
            </w:r>
          </w:p>
        </w:tc>
        <w:tc>
          <w:tcPr>
            <w:tcW w:w="740" w:type="pct"/>
            <w:tcBorders>
              <w:top w:val="nil"/>
              <w:left w:val="nil"/>
              <w:bottom w:val="nil"/>
              <w:right w:val="nil"/>
            </w:tcBorders>
            <w:vAlign w:val="center"/>
            <w:hideMark/>
          </w:tcPr>
          <w:p w14:paraId="2B9E16C6" w14:textId="77777777" w:rsidR="00A74C68" w:rsidRPr="00471CBA" w:rsidRDefault="00A74C68" w:rsidP="00A74C68">
            <w:pPr>
              <w:jc w:val="right"/>
              <w:rPr>
                <w:b/>
                <w:bCs/>
                <w:color w:val="000000"/>
                <w:sz w:val="18"/>
                <w:szCs w:val="18"/>
              </w:rPr>
            </w:pPr>
            <w:r w:rsidRPr="00471CBA">
              <w:rPr>
                <w:b/>
                <w:bCs/>
                <w:color w:val="000000"/>
                <w:sz w:val="18"/>
                <w:szCs w:val="18"/>
              </w:rPr>
              <w:t>294.723</w:t>
            </w:r>
          </w:p>
        </w:tc>
      </w:tr>
      <w:tr w:rsidR="00A74C68" w:rsidRPr="00471CBA" w14:paraId="1AAB89BD" w14:textId="77777777" w:rsidTr="00A74C68">
        <w:trPr>
          <w:divId w:val="1403407814"/>
          <w:trHeight w:val="170"/>
        </w:trPr>
        <w:tc>
          <w:tcPr>
            <w:tcW w:w="2634" w:type="pct"/>
            <w:tcBorders>
              <w:top w:val="nil"/>
              <w:left w:val="nil"/>
              <w:bottom w:val="nil"/>
              <w:right w:val="nil"/>
            </w:tcBorders>
            <w:noWrap/>
            <w:vAlign w:val="center"/>
            <w:hideMark/>
          </w:tcPr>
          <w:p w14:paraId="249EBD72" w14:textId="77777777" w:rsidR="00A74C68" w:rsidRPr="00471CBA" w:rsidRDefault="00A74C68" w:rsidP="00A74C68">
            <w:pPr>
              <w:jc w:val="both"/>
              <w:rPr>
                <w:color w:val="000000"/>
                <w:sz w:val="18"/>
                <w:szCs w:val="18"/>
              </w:rPr>
            </w:pPr>
            <w:r w:rsidRPr="00471CBA">
              <w:rPr>
                <w:color w:val="000000"/>
                <w:sz w:val="18"/>
                <w:szCs w:val="18"/>
              </w:rPr>
              <w:t>Konut Kredisi</w:t>
            </w:r>
          </w:p>
        </w:tc>
        <w:tc>
          <w:tcPr>
            <w:tcW w:w="752" w:type="pct"/>
            <w:tcBorders>
              <w:top w:val="nil"/>
              <w:left w:val="nil"/>
              <w:bottom w:val="nil"/>
              <w:right w:val="nil"/>
            </w:tcBorders>
            <w:vAlign w:val="center"/>
            <w:hideMark/>
          </w:tcPr>
          <w:p w14:paraId="78D67988" w14:textId="77777777" w:rsidR="00A74C68" w:rsidRPr="00471CBA" w:rsidRDefault="00A74C68" w:rsidP="00A74C68">
            <w:pPr>
              <w:jc w:val="right"/>
              <w:rPr>
                <w:color w:val="000000"/>
                <w:sz w:val="18"/>
                <w:szCs w:val="18"/>
              </w:rPr>
            </w:pPr>
            <w:r w:rsidRPr="00471CBA">
              <w:rPr>
                <w:color w:val="000000"/>
                <w:sz w:val="18"/>
                <w:szCs w:val="18"/>
              </w:rPr>
              <w:t>1.519</w:t>
            </w:r>
          </w:p>
        </w:tc>
        <w:tc>
          <w:tcPr>
            <w:tcW w:w="874" w:type="pct"/>
            <w:tcBorders>
              <w:top w:val="nil"/>
              <w:left w:val="nil"/>
              <w:bottom w:val="nil"/>
              <w:right w:val="nil"/>
            </w:tcBorders>
            <w:vAlign w:val="center"/>
            <w:hideMark/>
          </w:tcPr>
          <w:p w14:paraId="57013C4F" w14:textId="77777777" w:rsidR="00A74C68" w:rsidRPr="00471CBA" w:rsidRDefault="00A74C68" w:rsidP="00A74C68">
            <w:pPr>
              <w:jc w:val="right"/>
              <w:rPr>
                <w:color w:val="000000"/>
                <w:sz w:val="18"/>
                <w:szCs w:val="18"/>
              </w:rPr>
            </w:pPr>
            <w:r w:rsidRPr="00471CBA">
              <w:rPr>
                <w:color w:val="000000"/>
                <w:sz w:val="18"/>
                <w:szCs w:val="18"/>
              </w:rPr>
              <w:t>247.840</w:t>
            </w:r>
          </w:p>
        </w:tc>
        <w:tc>
          <w:tcPr>
            <w:tcW w:w="740" w:type="pct"/>
            <w:tcBorders>
              <w:top w:val="nil"/>
              <w:left w:val="nil"/>
              <w:bottom w:val="nil"/>
              <w:right w:val="nil"/>
            </w:tcBorders>
            <w:vAlign w:val="center"/>
            <w:hideMark/>
          </w:tcPr>
          <w:p w14:paraId="65737DBC" w14:textId="77777777" w:rsidR="00A74C68" w:rsidRPr="00471CBA" w:rsidRDefault="00A74C68" w:rsidP="00A74C68">
            <w:pPr>
              <w:jc w:val="right"/>
              <w:rPr>
                <w:color w:val="000000"/>
                <w:sz w:val="18"/>
                <w:szCs w:val="18"/>
              </w:rPr>
            </w:pPr>
            <w:r w:rsidRPr="00471CBA">
              <w:rPr>
                <w:color w:val="000000"/>
                <w:sz w:val="18"/>
                <w:szCs w:val="18"/>
              </w:rPr>
              <w:t>249.359</w:t>
            </w:r>
          </w:p>
        </w:tc>
      </w:tr>
      <w:tr w:rsidR="00A74C68" w:rsidRPr="00471CBA" w14:paraId="46485432" w14:textId="77777777" w:rsidTr="00A74C68">
        <w:trPr>
          <w:divId w:val="1403407814"/>
          <w:trHeight w:val="170"/>
        </w:trPr>
        <w:tc>
          <w:tcPr>
            <w:tcW w:w="2634" w:type="pct"/>
            <w:tcBorders>
              <w:top w:val="nil"/>
              <w:left w:val="nil"/>
              <w:bottom w:val="nil"/>
              <w:right w:val="nil"/>
            </w:tcBorders>
            <w:noWrap/>
            <w:vAlign w:val="center"/>
            <w:hideMark/>
          </w:tcPr>
          <w:p w14:paraId="41CFD57A" w14:textId="77777777" w:rsidR="00A74C68" w:rsidRPr="00471CBA" w:rsidRDefault="00A74C68" w:rsidP="00A74C68">
            <w:pPr>
              <w:jc w:val="both"/>
              <w:rPr>
                <w:color w:val="000000"/>
                <w:sz w:val="18"/>
                <w:szCs w:val="18"/>
              </w:rPr>
            </w:pPr>
            <w:r w:rsidRPr="00471CBA">
              <w:rPr>
                <w:color w:val="000000"/>
                <w:sz w:val="18"/>
                <w:szCs w:val="18"/>
              </w:rPr>
              <w:t>Taşıt Kredisi</w:t>
            </w:r>
          </w:p>
        </w:tc>
        <w:tc>
          <w:tcPr>
            <w:tcW w:w="752" w:type="pct"/>
            <w:tcBorders>
              <w:top w:val="nil"/>
              <w:left w:val="nil"/>
              <w:bottom w:val="nil"/>
              <w:right w:val="nil"/>
            </w:tcBorders>
            <w:vAlign w:val="center"/>
            <w:hideMark/>
          </w:tcPr>
          <w:p w14:paraId="5D3D7D8A" w14:textId="77777777" w:rsidR="00A74C68" w:rsidRPr="00471CBA" w:rsidRDefault="00A74C68" w:rsidP="00A74C68">
            <w:pPr>
              <w:jc w:val="right"/>
              <w:rPr>
                <w:color w:val="000000"/>
                <w:sz w:val="18"/>
                <w:szCs w:val="18"/>
              </w:rPr>
            </w:pPr>
            <w:r w:rsidRPr="00471CBA">
              <w:rPr>
                <w:color w:val="000000"/>
                <w:sz w:val="18"/>
                <w:szCs w:val="18"/>
              </w:rPr>
              <w:t>16.569</w:t>
            </w:r>
          </w:p>
        </w:tc>
        <w:tc>
          <w:tcPr>
            <w:tcW w:w="874" w:type="pct"/>
            <w:tcBorders>
              <w:top w:val="nil"/>
              <w:left w:val="nil"/>
              <w:bottom w:val="nil"/>
              <w:right w:val="nil"/>
            </w:tcBorders>
            <w:vAlign w:val="center"/>
            <w:hideMark/>
          </w:tcPr>
          <w:p w14:paraId="1B05F745" w14:textId="77777777" w:rsidR="00A74C68" w:rsidRPr="00471CBA" w:rsidRDefault="00A74C68" w:rsidP="00A74C68">
            <w:pPr>
              <w:jc w:val="right"/>
              <w:rPr>
                <w:color w:val="000000"/>
                <w:sz w:val="18"/>
                <w:szCs w:val="18"/>
              </w:rPr>
            </w:pPr>
            <w:r w:rsidRPr="00471CBA">
              <w:rPr>
                <w:color w:val="000000"/>
                <w:sz w:val="18"/>
                <w:szCs w:val="18"/>
              </w:rPr>
              <w:t>17.018</w:t>
            </w:r>
          </w:p>
        </w:tc>
        <w:tc>
          <w:tcPr>
            <w:tcW w:w="740" w:type="pct"/>
            <w:tcBorders>
              <w:top w:val="nil"/>
              <w:left w:val="nil"/>
              <w:bottom w:val="nil"/>
              <w:right w:val="nil"/>
            </w:tcBorders>
            <w:vAlign w:val="center"/>
            <w:hideMark/>
          </w:tcPr>
          <w:p w14:paraId="4EEBC744" w14:textId="77777777" w:rsidR="00A74C68" w:rsidRPr="00471CBA" w:rsidRDefault="00A74C68" w:rsidP="00A74C68">
            <w:pPr>
              <w:jc w:val="right"/>
              <w:rPr>
                <w:color w:val="000000"/>
                <w:sz w:val="18"/>
                <w:szCs w:val="18"/>
              </w:rPr>
            </w:pPr>
            <w:r w:rsidRPr="00471CBA">
              <w:rPr>
                <w:color w:val="000000"/>
                <w:sz w:val="18"/>
                <w:szCs w:val="18"/>
              </w:rPr>
              <w:t>33.587</w:t>
            </w:r>
          </w:p>
        </w:tc>
      </w:tr>
      <w:tr w:rsidR="00A74C68" w:rsidRPr="00471CBA" w14:paraId="656E865F" w14:textId="77777777" w:rsidTr="00A74C68">
        <w:trPr>
          <w:divId w:val="1403407814"/>
          <w:trHeight w:val="170"/>
        </w:trPr>
        <w:tc>
          <w:tcPr>
            <w:tcW w:w="2634" w:type="pct"/>
            <w:tcBorders>
              <w:top w:val="nil"/>
              <w:left w:val="nil"/>
              <w:bottom w:val="nil"/>
              <w:right w:val="nil"/>
            </w:tcBorders>
            <w:noWrap/>
            <w:vAlign w:val="center"/>
            <w:hideMark/>
          </w:tcPr>
          <w:p w14:paraId="5FD2C97F" w14:textId="77777777" w:rsidR="00A74C68" w:rsidRPr="00471CBA" w:rsidRDefault="00A74C68" w:rsidP="00A74C68">
            <w:pPr>
              <w:jc w:val="both"/>
              <w:rPr>
                <w:color w:val="000000"/>
                <w:sz w:val="18"/>
                <w:szCs w:val="18"/>
              </w:rPr>
            </w:pPr>
            <w:r w:rsidRPr="00471CBA">
              <w:rPr>
                <w:color w:val="000000"/>
                <w:sz w:val="18"/>
                <w:szCs w:val="18"/>
              </w:rPr>
              <w:t>İhtiyaç Kredisi</w:t>
            </w:r>
          </w:p>
        </w:tc>
        <w:tc>
          <w:tcPr>
            <w:tcW w:w="752" w:type="pct"/>
            <w:tcBorders>
              <w:top w:val="nil"/>
              <w:left w:val="nil"/>
              <w:bottom w:val="nil"/>
              <w:right w:val="nil"/>
            </w:tcBorders>
            <w:vAlign w:val="center"/>
            <w:hideMark/>
          </w:tcPr>
          <w:p w14:paraId="3488E3FB" w14:textId="77777777" w:rsidR="00A74C68" w:rsidRPr="00471CBA" w:rsidRDefault="00A74C68" w:rsidP="00A74C68">
            <w:pPr>
              <w:jc w:val="right"/>
              <w:rPr>
                <w:color w:val="000000"/>
                <w:sz w:val="18"/>
                <w:szCs w:val="18"/>
              </w:rPr>
            </w:pPr>
            <w:r w:rsidRPr="00471CBA">
              <w:rPr>
                <w:color w:val="000000"/>
                <w:sz w:val="18"/>
                <w:szCs w:val="18"/>
              </w:rPr>
              <w:t>2.953</w:t>
            </w:r>
          </w:p>
        </w:tc>
        <w:tc>
          <w:tcPr>
            <w:tcW w:w="874" w:type="pct"/>
            <w:tcBorders>
              <w:top w:val="nil"/>
              <w:left w:val="nil"/>
              <w:bottom w:val="nil"/>
              <w:right w:val="nil"/>
            </w:tcBorders>
            <w:vAlign w:val="center"/>
            <w:hideMark/>
          </w:tcPr>
          <w:p w14:paraId="029EDBAB" w14:textId="77777777" w:rsidR="00A74C68" w:rsidRPr="00471CBA" w:rsidRDefault="00A74C68" w:rsidP="00A74C68">
            <w:pPr>
              <w:jc w:val="right"/>
              <w:rPr>
                <w:color w:val="000000"/>
                <w:sz w:val="18"/>
                <w:szCs w:val="18"/>
              </w:rPr>
            </w:pPr>
            <w:r w:rsidRPr="00471CBA">
              <w:rPr>
                <w:color w:val="000000"/>
                <w:sz w:val="18"/>
                <w:szCs w:val="18"/>
              </w:rPr>
              <w:t>8.824</w:t>
            </w:r>
          </w:p>
        </w:tc>
        <w:tc>
          <w:tcPr>
            <w:tcW w:w="740" w:type="pct"/>
            <w:tcBorders>
              <w:top w:val="nil"/>
              <w:left w:val="nil"/>
              <w:bottom w:val="nil"/>
              <w:right w:val="nil"/>
            </w:tcBorders>
            <w:vAlign w:val="center"/>
            <w:hideMark/>
          </w:tcPr>
          <w:p w14:paraId="235DED8A" w14:textId="77777777" w:rsidR="00A74C68" w:rsidRPr="00471CBA" w:rsidRDefault="00A74C68" w:rsidP="00A74C68">
            <w:pPr>
              <w:jc w:val="right"/>
              <w:rPr>
                <w:color w:val="000000"/>
                <w:sz w:val="18"/>
                <w:szCs w:val="18"/>
              </w:rPr>
            </w:pPr>
            <w:r w:rsidRPr="00471CBA">
              <w:rPr>
                <w:color w:val="000000"/>
                <w:sz w:val="18"/>
                <w:szCs w:val="18"/>
              </w:rPr>
              <w:t>11.777</w:t>
            </w:r>
          </w:p>
        </w:tc>
      </w:tr>
      <w:tr w:rsidR="00A74C68" w:rsidRPr="00471CBA" w14:paraId="324F5605" w14:textId="77777777" w:rsidTr="00A74C68">
        <w:trPr>
          <w:divId w:val="1403407814"/>
          <w:trHeight w:val="170"/>
        </w:trPr>
        <w:tc>
          <w:tcPr>
            <w:tcW w:w="2634" w:type="pct"/>
            <w:tcBorders>
              <w:top w:val="nil"/>
              <w:left w:val="nil"/>
              <w:bottom w:val="nil"/>
              <w:right w:val="nil"/>
            </w:tcBorders>
            <w:noWrap/>
            <w:vAlign w:val="center"/>
            <w:hideMark/>
          </w:tcPr>
          <w:p w14:paraId="5C25E70B" w14:textId="77777777" w:rsidR="00A74C68" w:rsidRPr="00471CBA" w:rsidRDefault="00A74C68" w:rsidP="00A74C68">
            <w:pPr>
              <w:jc w:val="both"/>
              <w:rPr>
                <w:color w:val="000000"/>
                <w:sz w:val="18"/>
                <w:szCs w:val="18"/>
              </w:rPr>
            </w:pPr>
            <w:r w:rsidRPr="00471CBA">
              <w:rPr>
                <w:color w:val="000000"/>
                <w:sz w:val="18"/>
                <w:szCs w:val="18"/>
              </w:rPr>
              <w:t xml:space="preserve">Diğer </w:t>
            </w:r>
          </w:p>
        </w:tc>
        <w:tc>
          <w:tcPr>
            <w:tcW w:w="752" w:type="pct"/>
            <w:tcBorders>
              <w:top w:val="nil"/>
              <w:left w:val="nil"/>
              <w:bottom w:val="nil"/>
              <w:right w:val="nil"/>
            </w:tcBorders>
            <w:vAlign w:val="center"/>
            <w:hideMark/>
          </w:tcPr>
          <w:p w14:paraId="351D667E"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43F1ACEA"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29836F3E"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310974BD" w14:textId="77777777" w:rsidTr="00A74C68">
        <w:trPr>
          <w:divId w:val="1403407814"/>
          <w:trHeight w:val="170"/>
        </w:trPr>
        <w:tc>
          <w:tcPr>
            <w:tcW w:w="2634" w:type="pct"/>
            <w:tcBorders>
              <w:top w:val="nil"/>
              <w:left w:val="nil"/>
              <w:bottom w:val="nil"/>
              <w:right w:val="nil"/>
            </w:tcBorders>
            <w:noWrap/>
            <w:vAlign w:val="center"/>
            <w:hideMark/>
          </w:tcPr>
          <w:p w14:paraId="28A3D602" w14:textId="77777777" w:rsidR="00A74C68" w:rsidRPr="00471CBA" w:rsidRDefault="00A74C68" w:rsidP="00A74C68">
            <w:pPr>
              <w:jc w:val="both"/>
              <w:rPr>
                <w:b/>
                <w:bCs/>
                <w:color w:val="000000"/>
                <w:sz w:val="18"/>
                <w:szCs w:val="18"/>
              </w:rPr>
            </w:pPr>
            <w:r w:rsidRPr="00471CBA">
              <w:rPr>
                <w:b/>
                <w:bCs/>
                <w:color w:val="000000"/>
                <w:sz w:val="18"/>
                <w:szCs w:val="18"/>
              </w:rPr>
              <w:t>Tüketici Kredileri-Dövize Endeksli</w:t>
            </w:r>
          </w:p>
        </w:tc>
        <w:tc>
          <w:tcPr>
            <w:tcW w:w="752" w:type="pct"/>
            <w:tcBorders>
              <w:top w:val="nil"/>
              <w:left w:val="nil"/>
              <w:bottom w:val="nil"/>
              <w:right w:val="nil"/>
            </w:tcBorders>
            <w:vAlign w:val="center"/>
            <w:hideMark/>
          </w:tcPr>
          <w:p w14:paraId="3055DC8D" w14:textId="77777777" w:rsidR="00A74C68" w:rsidRPr="00471CBA" w:rsidRDefault="00A74C68" w:rsidP="00A74C68">
            <w:pPr>
              <w:jc w:val="right"/>
              <w:rPr>
                <w:b/>
                <w:bCs/>
                <w:color w:val="000000"/>
                <w:sz w:val="18"/>
                <w:szCs w:val="18"/>
              </w:rPr>
            </w:pPr>
            <w:r w:rsidRPr="00471CBA">
              <w:rPr>
                <w:b/>
                <w:bCs/>
                <w:color w:val="000000"/>
                <w:sz w:val="18"/>
                <w:szCs w:val="18"/>
              </w:rPr>
              <w:t>-</w:t>
            </w:r>
          </w:p>
        </w:tc>
        <w:tc>
          <w:tcPr>
            <w:tcW w:w="874" w:type="pct"/>
            <w:tcBorders>
              <w:top w:val="nil"/>
              <w:left w:val="nil"/>
              <w:bottom w:val="nil"/>
              <w:right w:val="nil"/>
            </w:tcBorders>
            <w:vAlign w:val="center"/>
            <w:hideMark/>
          </w:tcPr>
          <w:p w14:paraId="68FACE2F" w14:textId="77777777" w:rsidR="00A74C68" w:rsidRPr="00471CBA" w:rsidRDefault="00A74C68" w:rsidP="00A74C68">
            <w:pPr>
              <w:jc w:val="right"/>
              <w:rPr>
                <w:b/>
                <w:bCs/>
                <w:color w:val="000000"/>
                <w:sz w:val="18"/>
                <w:szCs w:val="18"/>
              </w:rPr>
            </w:pPr>
            <w:r w:rsidRPr="00471CBA">
              <w:rPr>
                <w:b/>
                <w:bCs/>
                <w:color w:val="000000"/>
                <w:sz w:val="18"/>
                <w:szCs w:val="18"/>
              </w:rPr>
              <w:t>-</w:t>
            </w:r>
          </w:p>
        </w:tc>
        <w:tc>
          <w:tcPr>
            <w:tcW w:w="740" w:type="pct"/>
            <w:tcBorders>
              <w:top w:val="nil"/>
              <w:left w:val="nil"/>
              <w:bottom w:val="nil"/>
              <w:right w:val="nil"/>
            </w:tcBorders>
            <w:vAlign w:val="center"/>
            <w:hideMark/>
          </w:tcPr>
          <w:p w14:paraId="78C4CD6B" w14:textId="77777777" w:rsidR="00A74C68" w:rsidRPr="00471CBA" w:rsidRDefault="00A74C68" w:rsidP="00A74C68">
            <w:pPr>
              <w:jc w:val="right"/>
              <w:rPr>
                <w:b/>
                <w:bCs/>
                <w:color w:val="000000"/>
                <w:sz w:val="18"/>
                <w:szCs w:val="18"/>
              </w:rPr>
            </w:pPr>
            <w:r w:rsidRPr="00471CBA">
              <w:rPr>
                <w:b/>
                <w:bCs/>
                <w:color w:val="000000"/>
                <w:sz w:val="18"/>
                <w:szCs w:val="18"/>
              </w:rPr>
              <w:t>-</w:t>
            </w:r>
          </w:p>
        </w:tc>
      </w:tr>
      <w:tr w:rsidR="00A74C68" w:rsidRPr="00471CBA" w14:paraId="2A1FA6C5" w14:textId="77777777" w:rsidTr="00A74C68">
        <w:trPr>
          <w:divId w:val="1403407814"/>
          <w:trHeight w:val="170"/>
        </w:trPr>
        <w:tc>
          <w:tcPr>
            <w:tcW w:w="2634" w:type="pct"/>
            <w:tcBorders>
              <w:top w:val="nil"/>
              <w:left w:val="nil"/>
              <w:bottom w:val="nil"/>
              <w:right w:val="nil"/>
            </w:tcBorders>
            <w:noWrap/>
            <w:vAlign w:val="center"/>
            <w:hideMark/>
          </w:tcPr>
          <w:p w14:paraId="52D03BAB" w14:textId="77777777" w:rsidR="00A74C68" w:rsidRPr="00471CBA" w:rsidRDefault="00A74C68" w:rsidP="00A74C68">
            <w:pPr>
              <w:jc w:val="both"/>
              <w:rPr>
                <w:color w:val="000000"/>
                <w:sz w:val="18"/>
                <w:szCs w:val="18"/>
              </w:rPr>
            </w:pPr>
            <w:r w:rsidRPr="00471CBA">
              <w:rPr>
                <w:color w:val="000000"/>
                <w:sz w:val="18"/>
                <w:szCs w:val="18"/>
              </w:rPr>
              <w:t>Konut Kredisi</w:t>
            </w:r>
          </w:p>
        </w:tc>
        <w:tc>
          <w:tcPr>
            <w:tcW w:w="752" w:type="pct"/>
            <w:tcBorders>
              <w:top w:val="nil"/>
              <w:left w:val="nil"/>
              <w:bottom w:val="nil"/>
              <w:right w:val="nil"/>
            </w:tcBorders>
            <w:vAlign w:val="center"/>
            <w:hideMark/>
          </w:tcPr>
          <w:p w14:paraId="198DF421"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75DB43C4"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77C3B5BA"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49DEF431" w14:textId="77777777" w:rsidTr="00A74C68">
        <w:trPr>
          <w:divId w:val="1403407814"/>
          <w:trHeight w:val="170"/>
        </w:trPr>
        <w:tc>
          <w:tcPr>
            <w:tcW w:w="2634" w:type="pct"/>
            <w:tcBorders>
              <w:top w:val="nil"/>
              <w:left w:val="nil"/>
              <w:bottom w:val="nil"/>
              <w:right w:val="nil"/>
            </w:tcBorders>
            <w:noWrap/>
            <w:vAlign w:val="center"/>
            <w:hideMark/>
          </w:tcPr>
          <w:p w14:paraId="1B4D9355" w14:textId="77777777" w:rsidR="00A74C68" w:rsidRPr="00471CBA" w:rsidRDefault="00A74C68" w:rsidP="00A74C68">
            <w:pPr>
              <w:jc w:val="both"/>
              <w:rPr>
                <w:color w:val="000000"/>
                <w:sz w:val="18"/>
                <w:szCs w:val="18"/>
              </w:rPr>
            </w:pPr>
            <w:r w:rsidRPr="00471CBA">
              <w:rPr>
                <w:color w:val="000000"/>
                <w:sz w:val="18"/>
                <w:szCs w:val="18"/>
              </w:rPr>
              <w:t>Taşıt Kredisi</w:t>
            </w:r>
          </w:p>
        </w:tc>
        <w:tc>
          <w:tcPr>
            <w:tcW w:w="752" w:type="pct"/>
            <w:tcBorders>
              <w:top w:val="nil"/>
              <w:left w:val="nil"/>
              <w:bottom w:val="nil"/>
              <w:right w:val="nil"/>
            </w:tcBorders>
            <w:vAlign w:val="center"/>
            <w:hideMark/>
          </w:tcPr>
          <w:p w14:paraId="0A19ED76"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1FB78995"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5F25D811"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0CAFCB05" w14:textId="77777777" w:rsidTr="00A74C68">
        <w:trPr>
          <w:divId w:val="1403407814"/>
          <w:trHeight w:val="170"/>
        </w:trPr>
        <w:tc>
          <w:tcPr>
            <w:tcW w:w="2634" w:type="pct"/>
            <w:tcBorders>
              <w:top w:val="nil"/>
              <w:left w:val="nil"/>
              <w:bottom w:val="nil"/>
              <w:right w:val="nil"/>
            </w:tcBorders>
            <w:noWrap/>
            <w:vAlign w:val="center"/>
            <w:hideMark/>
          </w:tcPr>
          <w:p w14:paraId="094AEAD9" w14:textId="77777777" w:rsidR="00A74C68" w:rsidRPr="00471CBA" w:rsidRDefault="00A74C68" w:rsidP="00A74C68">
            <w:pPr>
              <w:jc w:val="both"/>
              <w:rPr>
                <w:color w:val="000000"/>
                <w:sz w:val="18"/>
                <w:szCs w:val="18"/>
              </w:rPr>
            </w:pPr>
            <w:r w:rsidRPr="00471CBA">
              <w:rPr>
                <w:color w:val="000000"/>
                <w:sz w:val="18"/>
                <w:szCs w:val="18"/>
              </w:rPr>
              <w:t>İhtiyaç Kredisi</w:t>
            </w:r>
          </w:p>
        </w:tc>
        <w:tc>
          <w:tcPr>
            <w:tcW w:w="752" w:type="pct"/>
            <w:tcBorders>
              <w:top w:val="nil"/>
              <w:left w:val="nil"/>
              <w:bottom w:val="nil"/>
              <w:right w:val="nil"/>
            </w:tcBorders>
            <w:vAlign w:val="center"/>
            <w:hideMark/>
          </w:tcPr>
          <w:p w14:paraId="1A2041A7"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62836DB2"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6714312F"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3789104C" w14:textId="77777777" w:rsidTr="00A74C68">
        <w:trPr>
          <w:divId w:val="1403407814"/>
          <w:trHeight w:val="170"/>
        </w:trPr>
        <w:tc>
          <w:tcPr>
            <w:tcW w:w="2634" w:type="pct"/>
            <w:tcBorders>
              <w:top w:val="nil"/>
              <w:left w:val="nil"/>
              <w:bottom w:val="nil"/>
              <w:right w:val="nil"/>
            </w:tcBorders>
            <w:noWrap/>
            <w:vAlign w:val="center"/>
            <w:hideMark/>
          </w:tcPr>
          <w:p w14:paraId="4F0C245B" w14:textId="77777777" w:rsidR="00A74C68" w:rsidRPr="00471CBA" w:rsidRDefault="00A74C68" w:rsidP="00A74C68">
            <w:pPr>
              <w:jc w:val="both"/>
              <w:rPr>
                <w:color w:val="000000"/>
                <w:sz w:val="18"/>
                <w:szCs w:val="18"/>
              </w:rPr>
            </w:pPr>
            <w:r w:rsidRPr="00471CBA">
              <w:rPr>
                <w:color w:val="000000"/>
                <w:sz w:val="18"/>
                <w:szCs w:val="18"/>
              </w:rPr>
              <w:t xml:space="preserve">Diğer </w:t>
            </w:r>
          </w:p>
        </w:tc>
        <w:tc>
          <w:tcPr>
            <w:tcW w:w="752" w:type="pct"/>
            <w:tcBorders>
              <w:top w:val="nil"/>
              <w:left w:val="nil"/>
              <w:bottom w:val="nil"/>
              <w:right w:val="nil"/>
            </w:tcBorders>
            <w:vAlign w:val="center"/>
            <w:hideMark/>
          </w:tcPr>
          <w:p w14:paraId="1FDB90FA"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45557919"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7B138959"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1256B23E" w14:textId="77777777" w:rsidTr="00A74C68">
        <w:trPr>
          <w:divId w:val="1403407814"/>
          <w:trHeight w:val="170"/>
        </w:trPr>
        <w:tc>
          <w:tcPr>
            <w:tcW w:w="2634" w:type="pct"/>
            <w:tcBorders>
              <w:top w:val="nil"/>
              <w:left w:val="nil"/>
              <w:bottom w:val="nil"/>
              <w:right w:val="nil"/>
            </w:tcBorders>
            <w:noWrap/>
            <w:vAlign w:val="center"/>
            <w:hideMark/>
          </w:tcPr>
          <w:p w14:paraId="2042FBEB" w14:textId="77777777" w:rsidR="00A74C68" w:rsidRPr="00471CBA" w:rsidRDefault="00A74C68" w:rsidP="00A74C68">
            <w:pPr>
              <w:jc w:val="both"/>
              <w:rPr>
                <w:b/>
                <w:bCs/>
                <w:color w:val="000000"/>
                <w:sz w:val="18"/>
                <w:szCs w:val="18"/>
              </w:rPr>
            </w:pPr>
            <w:r w:rsidRPr="00471CBA">
              <w:rPr>
                <w:b/>
                <w:bCs/>
                <w:color w:val="000000"/>
                <w:sz w:val="18"/>
                <w:szCs w:val="18"/>
              </w:rPr>
              <w:t>Tüketici Kredileri-YP</w:t>
            </w:r>
          </w:p>
        </w:tc>
        <w:tc>
          <w:tcPr>
            <w:tcW w:w="752" w:type="pct"/>
            <w:tcBorders>
              <w:top w:val="nil"/>
              <w:left w:val="nil"/>
              <w:bottom w:val="nil"/>
              <w:right w:val="nil"/>
            </w:tcBorders>
            <w:vAlign w:val="center"/>
            <w:hideMark/>
          </w:tcPr>
          <w:p w14:paraId="44C724B6" w14:textId="77777777" w:rsidR="00A74C68" w:rsidRPr="00471CBA" w:rsidRDefault="00A74C68" w:rsidP="00A74C68">
            <w:pPr>
              <w:jc w:val="right"/>
              <w:rPr>
                <w:b/>
                <w:bCs/>
                <w:color w:val="000000"/>
                <w:sz w:val="18"/>
                <w:szCs w:val="18"/>
              </w:rPr>
            </w:pPr>
            <w:r w:rsidRPr="00471CBA">
              <w:rPr>
                <w:b/>
                <w:bCs/>
                <w:color w:val="000000"/>
                <w:sz w:val="18"/>
                <w:szCs w:val="18"/>
              </w:rPr>
              <w:t>-</w:t>
            </w:r>
          </w:p>
        </w:tc>
        <w:tc>
          <w:tcPr>
            <w:tcW w:w="874" w:type="pct"/>
            <w:tcBorders>
              <w:top w:val="nil"/>
              <w:left w:val="nil"/>
              <w:bottom w:val="nil"/>
              <w:right w:val="nil"/>
            </w:tcBorders>
            <w:vAlign w:val="center"/>
            <w:hideMark/>
          </w:tcPr>
          <w:p w14:paraId="26D838C1" w14:textId="77777777" w:rsidR="00A74C68" w:rsidRPr="00471CBA" w:rsidRDefault="00A74C68" w:rsidP="00A74C68">
            <w:pPr>
              <w:jc w:val="right"/>
              <w:rPr>
                <w:b/>
                <w:bCs/>
                <w:color w:val="000000"/>
                <w:sz w:val="18"/>
                <w:szCs w:val="18"/>
              </w:rPr>
            </w:pPr>
            <w:r w:rsidRPr="00471CBA">
              <w:rPr>
                <w:b/>
                <w:bCs/>
                <w:color w:val="000000"/>
                <w:sz w:val="18"/>
                <w:szCs w:val="18"/>
              </w:rPr>
              <w:t>-</w:t>
            </w:r>
          </w:p>
        </w:tc>
        <w:tc>
          <w:tcPr>
            <w:tcW w:w="740" w:type="pct"/>
            <w:tcBorders>
              <w:top w:val="nil"/>
              <w:left w:val="nil"/>
              <w:bottom w:val="nil"/>
              <w:right w:val="nil"/>
            </w:tcBorders>
            <w:vAlign w:val="center"/>
            <w:hideMark/>
          </w:tcPr>
          <w:p w14:paraId="50060766" w14:textId="77777777" w:rsidR="00A74C68" w:rsidRPr="00471CBA" w:rsidRDefault="00A74C68" w:rsidP="00A74C68">
            <w:pPr>
              <w:jc w:val="right"/>
              <w:rPr>
                <w:b/>
                <w:bCs/>
                <w:color w:val="000000"/>
                <w:sz w:val="18"/>
                <w:szCs w:val="18"/>
              </w:rPr>
            </w:pPr>
            <w:r w:rsidRPr="00471CBA">
              <w:rPr>
                <w:b/>
                <w:bCs/>
                <w:color w:val="000000"/>
                <w:sz w:val="18"/>
                <w:szCs w:val="18"/>
              </w:rPr>
              <w:t>-</w:t>
            </w:r>
          </w:p>
        </w:tc>
      </w:tr>
      <w:tr w:rsidR="00A74C68" w:rsidRPr="00471CBA" w14:paraId="3D260653" w14:textId="77777777" w:rsidTr="00A74C68">
        <w:trPr>
          <w:divId w:val="1403407814"/>
          <w:trHeight w:val="170"/>
        </w:trPr>
        <w:tc>
          <w:tcPr>
            <w:tcW w:w="2634" w:type="pct"/>
            <w:tcBorders>
              <w:top w:val="nil"/>
              <w:left w:val="nil"/>
              <w:bottom w:val="nil"/>
              <w:right w:val="nil"/>
            </w:tcBorders>
            <w:noWrap/>
            <w:vAlign w:val="center"/>
            <w:hideMark/>
          </w:tcPr>
          <w:p w14:paraId="2300B45D" w14:textId="77777777" w:rsidR="00A74C68" w:rsidRPr="00471CBA" w:rsidRDefault="00A74C68" w:rsidP="00A74C68">
            <w:pPr>
              <w:jc w:val="both"/>
              <w:rPr>
                <w:color w:val="000000"/>
                <w:sz w:val="18"/>
                <w:szCs w:val="18"/>
              </w:rPr>
            </w:pPr>
            <w:r w:rsidRPr="00471CBA">
              <w:rPr>
                <w:color w:val="000000"/>
                <w:sz w:val="18"/>
                <w:szCs w:val="18"/>
              </w:rPr>
              <w:t>Konut Kredisi</w:t>
            </w:r>
          </w:p>
        </w:tc>
        <w:tc>
          <w:tcPr>
            <w:tcW w:w="752" w:type="pct"/>
            <w:tcBorders>
              <w:top w:val="nil"/>
              <w:left w:val="nil"/>
              <w:bottom w:val="nil"/>
              <w:right w:val="nil"/>
            </w:tcBorders>
            <w:vAlign w:val="center"/>
            <w:hideMark/>
          </w:tcPr>
          <w:p w14:paraId="6D142455"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38C2B4D6"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20A03535"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7404A76D" w14:textId="77777777" w:rsidTr="00A74C68">
        <w:trPr>
          <w:divId w:val="1403407814"/>
          <w:trHeight w:val="170"/>
        </w:trPr>
        <w:tc>
          <w:tcPr>
            <w:tcW w:w="2634" w:type="pct"/>
            <w:tcBorders>
              <w:top w:val="nil"/>
              <w:left w:val="nil"/>
              <w:bottom w:val="nil"/>
              <w:right w:val="nil"/>
            </w:tcBorders>
            <w:noWrap/>
            <w:vAlign w:val="center"/>
            <w:hideMark/>
          </w:tcPr>
          <w:p w14:paraId="76CD7058" w14:textId="77777777" w:rsidR="00A74C68" w:rsidRPr="00471CBA" w:rsidRDefault="00A74C68" w:rsidP="00A74C68">
            <w:pPr>
              <w:jc w:val="both"/>
              <w:rPr>
                <w:color w:val="000000"/>
                <w:sz w:val="18"/>
                <w:szCs w:val="18"/>
              </w:rPr>
            </w:pPr>
            <w:r w:rsidRPr="00471CBA">
              <w:rPr>
                <w:color w:val="000000"/>
                <w:sz w:val="18"/>
                <w:szCs w:val="18"/>
              </w:rPr>
              <w:t>Taşıt Kredisi</w:t>
            </w:r>
          </w:p>
        </w:tc>
        <w:tc>
          <w:tcPr>
            <w:tcW w:w="752" w:type="pct"/>
            <w:tcBorders>
              <w:top w:val="nil"/>
              <w:left w:val="nil"/>
              <w:bottom w:val="nil"/>
              <w:right w:val="nil"/>
            </w:tcBorders>
            <w:vAlign w:val="center"/>
            <w:hideMark/>
          </w:tcPr>
          <w:p w14:paraId="425BEA23"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5B321874"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2BE10EE1"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08D08CF9" w14:textId="77777777" w:rsidTr="00A74C68">
        <w:trPr>
          <w:divId w:val="1403407814"/>
          <w:trHeight w:val="170"/>
        </w:trPr>
        <w:tc>
          <w:tcPr>
            <w:tcW w:w="2634" w:type="pct"/>
            <w:tcBorders>
              <w:top w:val="nil"/>
              <w:left w:val="nil"/>
              <w:bottom w:val="nil"/>
              <w:right w:val="nil"/>
            </w:tcBorders>
            <w:noWrap/>
            <w:vAlign w:val="center"/>
            <w:hideMark/>
          </w:tcPr>
          <w:p w14:paraId="7197EAB2" w14:textId="77777777" w:rsidR="00A74C68" w:rsidRPr="00471CBA" w:rsidRDefault="00A74C68" w:rsidP="00A74C68">
            <w:pPr>
              <w:jc w:val="both"/>
              <w:rPr>
                <w:color w:val="000000"/>
                <w:sz w:val="18"/>
                <w:szCs w:val="18"/>
              </w:rPr>
            </w:pPr>
            <w:r w:rsidRPr="00471CBA">
              <w:rPr>
                <w:color w:val="000000"/>
                <w:sz w:val="18"/>
                <w:szCs w:val="18"/>
              </w:rPr>
              <w:t>İhtiyaç Kredisi</w:t>
            </w:r>
          </w:p>
        </w:tc>
        <w:tc>
          <w:tcPr>
            <w:tcW w:w="752" w:type="pct"/>
            <w:tcBorders>
              <w:top w:val="nil"/>
              <w:left w:val="nil"/>
              <w:bottom w:val="nil"/>
              <w:right w:val="nil"/>
            </w:tcBorders>
            <w:vAlign w:val="center"/>
            <w:hideMark/>
          </w:tcPr>
          <w:p w14:paraId="6C13904B"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45938129"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46CEDBBC"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213B3D9B" w14:textId="77777777" w:rsidTr="00A74C68">
        <w:trPr>
          <w:divId w:val="1403407814"/>
          <w:trHeight w:val="170"/>
        </w:trPr>
        <w:tc>
          <w:tcPr>
            <w:tcW w:w="2634" w:type="pct"/>
            <w:tcBorders>
              <w:top w:val="nil"/>
              <w:left w:val="nil"/>
              <w:bottom w:val="nil"/>
              <w:right w:val="nil"/>
            </w:tcBorders>
            <w:noWrap/>
            <w:vAlign w:val="center"/>
            <w:hideMark/>
          </w:tcPr>
          <w:p w14:paraId="43BCDF7C" w14:textId="77777777" w:rsidR="00A74C68" w:rsidRPr="00471CBA" w:rsidRDefault="00A74C68" w:rsidP="00A74C68">
            <w:pPr>
              <w:jc w:val="both"/>
              <w:rPr>
                <w:color w:val="000000"/>
                <w:sz w:val="18"/>
                <w:szCs w:val="18"/>
              </w:rPr>
            </w:pPr>
            <w:r w:rsidRPr="00471CBA">
              <w:rPr>
                <w:color w:val="000000"/>
                <w:sz w:val="18"/>
                <w:szCs w:val="18"/>
              </w:rPr>
              <w:t xml:space="preserve">Diğer </w:t>
            </w:r>
          </w:p>
        </w:tc>
        <w:tc>
          <w:tcPr>
            <w:tcW w:w="752" w:type="pct"/>
            <w:tcBorders>
              <w:top w:val="nil"/>
              <w:left w:val="nil"/>
              <w:bottom w:val="nil"/>
              <w:right w:val="nil"/>
            </w:tcBorders>
            <w:vAlign w:val="center"/>
            <w:hideMark/>
          </w:tcPr>
          <w:p w14:paraId="3FD66646"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1F1E572F"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6A03720D"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46F2336A" w14:textId="77777777" w:rsidTr="00A74C68">
        <w:trPr>
          <w:divId w:val="1403407814"/>
          <w:trHeight w:val="170"/>
        </w:trPr>
        <w:tc>
          <w:tcPr>
            <w:tcW w:w="2634" w:type="pct"/>
            <w:tcBorders>
              <w:top w:val="nil"/>
              <w:left w:val="nil"/>
              <w:bottom w:val="nil"/>
              <w:right w:val="nil"/>
            </w:tcBorders>
            <w:noWrap/>
            <w:vAlign w:val="center"/>
            <w:hideMark/>
          </w:tcPr>
          <w:p w14:paraId="78B737D3" w14:textId="77777777" w:rsidR="00A74C68" w:rsidRPr="00471CBA" w:rsidRDefault="00A74C68" w:rsidP="00A74C68">
            <w:pPr>
              <w:jc w:val="both"/>
              <w:rPr>
                <w:b/>
                <w:bCs/>
                <w:color w:val="000000"/>
                <w:sz w:val="18"/>
                <w:szCs w:val="18"/>
              </w:rPr>
            </w:pPr>
            <w:r w:rsidRPr="00471CBA">
              <w:rPr>
                <w:b/>
                <w:bCs/>
                <w:color w:val="000000"/>
                <w:sz w:val="18"/>
                <w:szCs w:val="18"/>
              </w:rPr>
              <w:t>Bireysel Kredi Kartları-TP</w:t>
            </w:r>
          </w:p>
        </w:tc>
        <w:tc>
          <w:tcPr>
            <w:tcW w:w="752" w:type="pct"/>
            <w:tcBorders>
              <w:top w:val="nil"/>
              <w:left w:val="nil"/>
              <w:bottom w:val="nil"/>
              <w:right w:val="nil"/>
            </w:tcBorders>
            <w:vAlign w:val="center"/>
            <w:hideMark/>
          </w:tcPr>
          <w:p w14:paraId="27E595A9" w14:textId="77777777" w:rsidR="00A74C68" w:rsidRPr="00471CBA" w:rsidRDefault="00A74C68" w:rsidP="00A74C68">
            <w:pPr>
              <w:jc w:val="right"/>
              <w:rPr>
                <w:color w:val="000000"/>
                <w:sz w:val="18"/>
                <w:szCs w:val="18"/>
              </w:rPr>
            </w:pPr>
            <w:r w:rsidRPr="00471CBA">
              <w:rPr>
                <w:color w:val="000000"/>
                <w:sz w:val="18"/>
                <w:szCs w:val="18"/>
              </w:rPr>
              <w:t>12.354</w:t>
            </w:r>
          </w:p>
        </w:tc>
        <w:tc>
          <w:tcPr>
            <w:tcW w:w="874" w:type="pct"/>
            <w:tcBorders>
              <w:top w:val="nil"/>
              <w:left w:val="nil"/>
              <w:bottom w:val="nil"/>
              <w:right w:val="nil"/>
            </w:tcBorders>
            <w:vAlign w:val="center"/>
            <w:hideMark/>
          </w:tcPr>
          <w:p w14:paraId="2DAB3F8D"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1DB1BED2" w14:textId="77777777" w:rsidR="00A74C68" w:rsidRPr="00471CBA" w:rsidRDefault="00A74C68" w:rsidP="00A74C68">
            <w:pPr>
              <w:jc w:val="right"/>
              <w:rPr>
                <w:color w:val="000000"/>
                <w:sz w:val="18"/>
                <w:szCs w:val="18"/>
              </w:rPr>
            </w:pPr>
            <w:r w:rsidRPr="00471CBA">
              <w:rPr>
                <w:color w:val="000000"/>
                <w:sz w:val="18"/>
                <w:szCs w:val="18"/>
              </w:rPr>
              <w:t>12.354</w:t>
            </w:r>
          </w:p>
        </w:tc>
      </w:tr>
      <w:tr w:rsidR="00A74C68" w:rsidRPr="00471CBA" w14:paraId="3821B77A" w14:textId="77777777" w:rsidTr="00A74C68">
        <w:trPr>
          <w:divId w:val="1403407814"/>
          <w:trHeight w:val="170"/>
        </w:trPr>
        <w:tc>
          <w:tcPr>
            <w:tcW w:w="2634" w:type="pct"/>
            <w:tcBorders>
              <w:top w:val="nil"/>
              <w:left w:val="nil"/>
              <w:bottom w:val="nil"/>
              <w:right w:val="nil"/>
            </w:tcBorders>
            <w:noWrap/>
            <w:vAlign w:val="center"/>
            <w:hideMark/>
          </w:tcPr>
          <w:p w14:paraId="54AB3B07" w14:textId="77777777" w:rsidR="00A74C68" w:rsidRPr="00471CBA" w:rsidRDefault="00A74C68" w:rsidP="00A74C68">
            <w:pPr>
              <w:jc w:val="both"/>
              <w:rPr>
                <w:color w:val="000000"/>
                <w:sz w:val="18"/>
                <w:szCs w:val="18"/>
              </w:rPr>
            </w:pPr>
            <w:r w:rsidRPr="00471CBA">
              <w:rPr>
                <w:color w:val="000000"/>
                <w:sz w:val="18"/>
                <w:szCs w:val="18"/>
              </w:rPr>
              <w:t>Taksitli</w:t>
            </w:r>
          </w:p>
        </w:tc>
        <w:tc>
          <w:tcPr>
            <w:tcW w:w="752" w:type="pct"/>
            <w:tcBorders>
              <w:top w:val="nil"/>
              <w:left w:val="nil"/>
              <w:bottom w:val="nil"/>
              <w:right w:val="nil"/>
            </w:tcBorders>
            <w:vAlign w:val="center"/>
            <w:hideMark/>
          </w:tcPr>
          <w:p w14:paraId="48046D5C" w14:textId="77777777" w:rsidR="00A74C68" w:rsidRPr="00471CBA" w:rsidRDefault="00A74C68" w:rsidP="00A74C68">
            <w:pPr>
              <w:jc w:val="right"/>
              <w:rPr>
                <w:color w:val="000000"/>
                <w:sz w:val="18"/>
                <w:szCs w:val="18"/>
              </w:rPr>
            </w:pPr>
            <w:r w:rsidRPr="00471CBA">
              <w:rPr>
                <w:color w:val="000000"/>
                <w:sz w:val="18"/>
                <w:szCs w:val="18"/>
              </w:rPr>
              <w:t>902</w:t>
            </w:r>
          </w:p>
        </w:tc>
        <w:tc>
          <w:tcPr>
            <w:tcW w:w="874" w:type="pct"/>
            <w:tcBorders>
              <w:top w:val="nil"/>
              <w:left w:val="nil"/>
              <w:bottom w:val="nil"/>
              <w:right w:val="nil"/>
            </w:tcBorders>
            <w:vAlign w:val="center"/>
            <w:hideMark/>
          </w:tcPr>
          <w:p w14:paraId="6CE438E3"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0A674DD6" w14:textId="77777777" w:rsidR="00A74C68" w:rsidRPr="00471CBA" w:rsidRDefault="00A74C68" w:rsidP="00A74C68">
            <w:pPr>
              <w:jc w:val="right"/>
              <w:rPr>
                <w:color w:val="000000"/>
                <w:sz w:val="18"/>
                <w:szCs w:val="18"/>
              </w:rPr>
            </w:pPr>
            <w:r w:rsidRPr="00471CBA">
              <w:rPr>
                <w:color w:val="000000"/>
                <w:sz w:val="18"/>
                <w:szCs w:val="18"/>
              </w:rPr>
              <w:t>902</w:t>
            </w:r>
          </w:p>
        </w:tc>
      </w:tr>
      <w:tr w:rsidR="00A74C68" w:rsidRPr="00471CBA" w14:paraId="2C1FE56B" w14:textId="77777777" w:rsidTr="00A74C68">
        <w:trPr>
          <w:divId w:val="1403407814"/>
          <w:trHeight w:val="170"/>
        </w:trPr>
        <w:tc>
          <w:tcPr>
            <w:tcW w:w="2634" w:type="pct"/>
            <w:tcBorders>
              <w:top w:val="nil"/>
              <w:left w:val="nil"/>
              <w:bottom w:val="nil"/>
              <w:right w:val="nil"/>
            </w:tcBorders>
            <w:noWrap/>
            <w:vAlign w:val="center"/>
            <w:hideMark/>
          </w:tcPr>
          <w:p w14:paraId="008887A9" w14:textId="77777777" w:rsidR="00A74C68" w:rsidRPr="00471CBA" w:rsidRDefault="00A74C68" w:rsidP="00A74C68">
            <w:pPr>
              <w:jc w:val="both"/>
              <w:rPr>
                <w:color w:val="000000"/>
                <w:sz w:val="18"/>
                <w:szCs w:val="18"/>
              </w:rPr>
            </w:pPr>
            <w:r w:rsidRPr="00471CBA">
              <w:rPr>
                <w:color w:val="000000"/>
                <w:sz w:val="18"/>
                <w:szCs w:val="18"/>
              </w:rPr>
              <w:t>Taksitsiz</w:t>
            </w:r>
          </w:p>
        </w:tc>
        <w:tc>
          <w:tcPr>
            <w:tcW w:w="752" w:type="pct"/>
            <w:tcBorders>
              <w:top w:val="nil"/>
              <w:left w:val="nil"/>
              <w:bottom w:val="nil"/>
              <w:right w:val="nil"/>
            </w:tcBorders>
            <w:vAlign w:val="center"/>
            <w:hideMark/>
          </w:tcPr>
          <w:p w14:paraId="10C904B0" w14:textId="77777777" w:rsidR="00A74C68" w:rsidRPr="00471CBA" w:rsidRDefault="00A74C68" w:rsidP="00A74C68">
            <w:pPr>
              <w:jc w:val="right"/>
              <w:rPr>
                <w:color w:val="000000"/>
                <w:sz w:val="18"/>
                <w:szCs w:val="18"/>
              </w:rPr>
            </w:pPr>
            <w:r w:rsidRPr="00471CBA">
              <w:rPr>
                <w:color w:val="000000"/>
                <w:sz w:val="18"/>
                <w:szCs w:val="18"/>
              </w:rPr>
              <w:t>11.452</w:t>
            </w:r>
          </w:p>
        </w:tc>
        <w:tc>
          <w:tcPr>
            <w:tcW w:w="874" w:type="pct"/>
            <w:tcBorders>
              <w:top w:val="nil"/>
              <w:left w:val="nil"/>
              <w:bottom w:val="nil"/>
              <w:right w:val="nil"/>
            </w:tcBorders>
            <w:vAlign w:val="center"/>
            <w:hideMark/>
          </w:tcPr>
          <w:p w14:paraId="0AC58073"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55DD76B5" w14:textId="77777777" w:rsidR="00A74C68" w:rsidRPr="00471CBA" w:rsidRDefault="00A74C68" w:rsidP="00A74C68">
            <w:pPr>
              <w:jc w:val="right"/>
              <w:rPr>
                <w:color w:val="000000"/>
                <w:sz w:val="18"/>
                <w:szCs w:val="18"/>
              </w:rPr>
            </w:pPr>
            <w:r w:rsidRPr="00471CBA">
              <w:rPr>
                <w:color w:val="000000"/>
                <w:sz w:val="18"/>
                <w:szCs w:val="18"/>
              </w:rPr>
              <w:t>11.452</w:t>
            </w:r>
          </w:p>
        </w:tc>
      </w:tr>
      <w:tr w:rsidR="00A74C68" w:rsidRPr="00471CBA" w14:paraId="64DCF946" w14:textId="77777777" w:rsidTr="00A74C68">
        <w:trPr>
          <w:divId w:val="1403407814"/>
          <w:trHeight w:val="170"/>
        </w:trPr>
        <w:tc>
          <w:tcPr>
            <w:tcW w:w="2634" w:type="pct"/>
            <w:tcBorders>
              <w:top w:val="nil"/>
              <w:left w:val="nil"/>
              <w:bottom w:val="nil"/>
              <w:right w:val="nil"/>
            </w:tcBorders>
            <w:noWrap/>
            <w:vAlign w:val="center"/>
            <w:hideMark/>
          </w:tcPr>
          <w:p w14:paraId="5EB10BFE" w14:textId="77777777" w:rsidR="00A74C68" w:rsidRPr="00471CBA" w:rsidRDefault="00A74C68" w:rsidP="00A74C68">
            <w:pPr>
              <w:jc w:val="both"/>
              <w:rPr>
                <w:b/>
                <w:bCs/>
                <w:color w:val="000000"/>
                <w:sz w:val="18"/>
                <w:szCs w:val="18"/>
              </w:rPr>
            </w:pPr>
            <w:r w:rsidRPr="00471CBA">
              <w:rPr>
                <w:b/>
                <w:bCs/>
                <w:color w:val="000000"/>
                <w:sz w:val="18"/>
                <w:szCs w:val="18"/>
              </w:rPr>
              <w:t>Bireysel Kredi Kartları-YP</w:t>
            </w:r>
          </w:p>
        </w:tc>
        <w:tc>
          <w:tcPr>
            <w:tcW w:w="752" w:type="pct"/>
            <w:tcBorders>
              <w:top w:val="nil"/>
              <w:left w:val="nil"/>
              <w:bottom w:val="nil"/>
              <w:right w:val="nil"/>
            </w:tcBorders>
            <w:vAlign w:val="center"/>
            <w:hideMark/>
          </w:tcPr>
          <w:p w14:paraId="4925EC1C"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4EDFCA09"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7A568944"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482BBF93" w14:textId="77777777" w:rsidTr="00A74C68">
        <w:trPr>
          <w:divId w:val="1403407814"/>
          <w:trHeight w:val="170"/>
        </w:trPr>
        <w:tc>
          <w:tcPr>
            <w:tcW w:w="2634" w:type="pct"/>
            <w:tcBorders>
              <w:top w:val="nil"/>
              <w:left w:val="nil"/>
              <w:bottom w:val="nil"/>
              <w:right w:val="nil"/>
            </w:tcBorders>
            <w:noWrap/>
            <w:vAlign w:val="center"/>
            <w:hideMark/>
          </w:tcPr>
          <w:p w14:paraId="0C53F123" w14:textId="77777777" w:rsidR="00A74C68" w:rsidRPr="00471CBA" w:rsidRDefault="00A74C68" w:rsidP="00A74C68">
            <w:pPr>
              <w:jc w:val="both"/>
              <w:rPr>
                <w:color w:val="000000"/>
                <w:sz w:val="18"/>
                <w:szCs w:val="18"/>
              </w:rPr>
            </w:pPr>
            <w:r w:rsidRPr="00471CBA">
              <w:rPr>
                <w:color w:val="000000"/>
                <w:sz w:val="18"/>
                <w:szCs w:val="18"/>
              </w:rPr>
              <w:t>Taksitli</w:t>
            </w:r>
          </w:p>
        </w:tc>
        <w:tc>
          <w:tcPr>
            <w:tcW w:w="752" w:type="pct"/>
            <w:tcBorders>
              <w:top w:val="nil"/>
              <w:left w:val="nil"/>
              <w:bottom w:val="nil"/>
              <w:right w:val="nil"/>
            </w:tcBorders>
            <w:vAlign w:val="center"/>
            <w:hideMark/>
          </w:tcPr>
          <w:p w14:paraId="0B56851D"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113D6242"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7AEF44B5"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3D16DBA3" w14:textId="77777777" w:rsidTr="00A74C68">
        <w:trPr>
          <w:divId w:val="1403407814"/>
          <w:trHeight w:val="170"/>
        </w:trPr>
        <w:tc>
          <w:tcPr>
            <w:tcW w:w="2634" w:type="pct"/>
            <w:tcBorders>
              <w:top w:val="nil"/>
              <w:left w:val="nil"/>
              <w:bottom w:val="nil"/>
              <w:right w:val="nil"/>
            </w:tcBorders>
            <w:noWrap/>
            <w:vAlign w:val="center"/>
            <w:hideMark/>
          </w:tcPr>
          <w:p w14:paraId="516152ED" w14:textId="77777777" w:rsidR="00A74C68" w:rsidRPr="00471CBA" w:rsidRDefault="00A74C68" w:rsidP="00A74C68">
            <w:pPr>
              <w:jc w:val="both"/>
              <w:rPr>
                <w:color w:val="000000"/>
                <w:sz w:val="18"/>
                <w:szCs w:val="18"/>
              </w:rPr>
            </w:pPr>
            <w:r w:rsidRPr="00471CBA">
              <w:rPr>
                <w:color w:val="000000"/>
                <w:sz w:val="18"/>
                <w:szCs w:val="18"/>
              </w:rPr>
              <w:t>Taksitsiz</w:t>
            </w:r>
          </w:p>
        </w:tc>
        <w:tc>
          <w:tcPr>
            <w:tcW w:w="752" w:type="pct"/>
            <w:tcBorders>
              <w:top w:val="nil"/>
              <w:left w:val="nil"/>
              <w:bottom w:val="nil"/>
              <w:right w:val="nil"/>
            </w:tcBorders>
            <w:vAlign w:val="center"/>
            <w:hideMark/>
          </w:tcPr>
          <w:p w14:paraId="1DB736DA"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18BFFA20"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17EB688E"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0A940422" w14:textId="77777777" w:rsidTr="00A74C68">
        <w:trPr>
          <w:divId w:val="1403407814"/>
          <w:trHeight w:val="170"/>
        </w:trPr>
        <w:tc>
          <w:tcPr>
            <w:tcW w:w="2634" w:type="pct"/>
            <w:tcBorders>
              <w:top w:val="nil"/>
              <w:left w:val="nil"/>
              <w:bottom w:val="nil"/>
              <w:right w:val="nil"/>
            </w:tcBorders>
            <w:noWrap/>
            <w:vAlign w:val="center"/>
            <w:hideMark/>
          </w:tcPr>
          <w:p w14:paraId="30F4E411" w14:textId="77777777" w:rsidR="00A74C68" w:rsidRPr="00471CBA" w:rsidRDefault="00A74C68" w:rsidP="00A74C68">
            <w:pPr>
              <w:jc w:val="both"/>
              <w:rPr>
                <w:b/>
                <w:bCs/>
                <w:color w:val="000000"/>
                <w:sz w:val="18"/>
                <w:szCs w:val="18"/>
              </w:rPr>
            </w:pPr>
            <w:r w:rsidRPr="00471CBA">
              <w:rPr>
                <w:b/>
                <w:bCs/>
                <w:color w:val="000000"/>
                <w:sz w:val="18"/>
                <w:szCs w:val="18"/>
              </w:rPr>
              <w:t>Personel Kredileri-TP</w:t>
            </w:r>
          </w:p>
        </w:tc>
        <w:tc>
          <w:tcPr>
            <w:tcW w:w="752" w:type="pct"/>
            <w:tcBorders>
              <w:top w:val="nil"/>
              <w:left w:val="nil"/>
              <w:bottom w:val="nil"/>
              <w:right w:val="nil"/>
            </w:tcBorders>
            <w:vAlign w:val="center"/>
            <w:hideMark/>
          </w:tcPr>
          <w:p w14:paraId="3DDE3093" w14:textId="77777777" w:rsidR="00A74C68" w:rsidRPr="00471CBA" w:rsidRDefault="00A74C68" w:rsidP="00A74C68">
            <w:pPr>
              <w:jc w:val="right"/>
              <w:rPr>
                <w:color w:val="000000"/>
                <w:sz w:val="18"/>
                <w:szCs w:val="18"/>
              </w:rPr>
            </w:pPr>
            <w:r w:rsidRPr="00471CBA">
              <w:rPr>
                <w:color w:val="000000"/>
                <w:sz w:val="18"/>
                <w:szCs w:val="18"/>
              </w:rPr>
              <w:t>9.408</w:t>
            </w:r>
          </w:p>
        </w:tc>
        <w:tc>
          <w:tcPr>
            <w:tcW w:w="874" w:type="pct"/>
            <w:tcBorders>
              <w:top w:val="nil"/>
              <w:left w:val="nil"/>
              <w:bottom w:val="nil"/>
              <w:right w:val="nil"/>
            </w:tcBorders>
            <w:vAlign w:val="center"/>
            <w:hideMark/>
          </w:tcPr>
          <w:p w14:paraId="0FFA4D6C" w14:textId="77777777" w:rsidR="00A74C68" w:rsidRPr="00471CBA" w:rsidRDefault="00A74C68" w:rsidP="00A74C68">
            <w:pPr>
              <w:jc w:val="right"/>
              <w:rPr>
                <w:color w:val="000000"/>
                <w:sz w:val="18"/>
                <w:szCs w:val="18"/>
              </w:rPr>
            </w:pPr>
            <w:r w:rsidRPr="00471CBA">
              <w:rPr>
                <w:color w:val="000000"/>
                <w:sz w:val="18"/>
                <w:szCs w:val="18"/>
              </w:rPr>
              <w:t>3.404</w:t>
            </w:r>
          </w:p>
        </w:tc>
        <w:tc>
          <w:tcPr>
            <w:tcW w:w="740" w:type="pct"/>
            <w:tcBorders>
              <w:top w:val="nil"/>
              <w:left w:val="nil"/>
              <w:bottom w:val="nil"/>
              <w:right w:val="nil"/>
            </w:tcBorders>
            <w:vAlign w:val="center"/>
            <w:hideMark/>
          </w:tcPr>
          <w:p w14:paraId="1078EFCB" w14:textId="77777777" w:rsidR="00A74C68" w:rsidRPr="00471CBA" w:rsidRDefault="00A74C68" w:rsidP="00A74C68">
            <w:pPr>
              <w:jc w:val="right"/>
              <w:rPr>
                <w:color w:val="000000"/>
                <w:sz w:val="18"/>
                <w:szCs w:val="18"/>
              </w:rPr>
            </w:pPr>
            <w:r w:rsidRPr="00471CBA">
              <w:rPr>
                <w:color w:val="000000"/>
                <w:sz w:val="18"/>
                <w:szCs w:val="18"/>
              </w:rPr>
              <w:t>12.812</w:t>
            </w:r>
          </w:p>
        </w:tc>
      </w:tr>
      <w:tr w:rsidR="00A74C68" w:rsidRPr="00471CBA" w14:paraId="016B866B" w14:textId="77777777" w:rsidTr="00A74C68">
        <w:trPr>
          <w:divId w:val="1403407814"/>
          <w:trHeight w:val="170"/>
        </w:trPr>
        <w:tc>
          <w:tcPr>
            <w:tcW w:w="2634" w:type="pct"/>
            <w:tcBorders>
              <w:top w:val="nil"/>
              <w:left w:val="nil"/>
              <w:bottom w:val="nil"/>
              <w:right w:val="nil"/>
            </w:tcBorders>
            <w:noWrap/>
            <w:vAlign w:val="center"/>
            <w:hideMark/>
          </w:tcPr>
          <w:p w14:paraId="6B6F4778" w14:textId="77777777" w:rsidR="00A74C68" w:rsidRPr="00471CBA" w:rsidRDefault="00A74C68" w:rsidP="00A74C68">
            <w:pPr>
              <w:jc w:val="both"/>
              <w:rPr>
                <w:color w:val="000000"/>
                <w:sz w:val="18"/>
                <w:szCs w:val="18"/>
              </w:rPr>
            </w:pPr>
            <w:r w:rsidRPr="00471CBA">
              <w:rPr>
                <w:color w:val="000000"/>
                <w:sz w:val="18"/>
                <w:szCs w:val="18"/>
              </w:rPr>
              <w:t>Konut Kredisi</w:t>
            </w:r>
          </w:p>
        </w:tc>
        <w:tc>
          <w:tcPr>
            <w:tcW w:w="752" w:type="pct"/>
            <w:tcBorders>
              <w:top w:val="nil"/>
              <w:left w:val="nil"/>
              <w:bottom w:val="nil"/>
              <w:right w:val="nil"/>
            </w:tcBorders>
            <w:vAlign w:val="center"/>
            <w:hideMark/>
          </w:tcPr>
          <w:p w14:paraId="2715AC80"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05875F2E" w14:textId="77777777" w:rsidR="00A74C68" w:rsidRPr="00471CBA" w:rsidRDefault="00A74C68" w:rsidP="00A74C68">
            <w:pPr>
              <w:jc w:val="right"/>
              <w:rPr>
                <w:color w:val="000000"/>
                <w:sz w:val="18"/>
                <w:szCs w:val="18"/>
              </w:rPr>
            </w:pPr>
            <w:r w:rsidRPr="00471CBA">
              <w:rPr>
                <w:color w:val="000000"/>
                <w:sz w:val="18"/>
                <w:szCs w:val="18"/>
              </w:rPr>
              <w:t>405</w:t>
            </w:r>
          </w:p>
        </w:tc>
        <w:tc>
          <w:tcPr>
            <w:tcW w:w="740" w:type="pct"/>
            <w:tcBorders>
              <w:top w:val="nil"/>
              <w:left w:val="nil"/>
              <w:bottom w:val="nil"/>
              <w:right w:val="nil"/>
            </w:tcBorders>
            <w:vAlign w:val="center"/>
            <w:hideMark/>
          </w:tcPr>
          <w:p w14:paraId="355B0F6D" w14:textId="77777777" w:rsidR="00A74C68" w:rsidRPr="00471CBA" w:rsidRDefault="00A74C68" w:rsidP="00A74C68">
            <w:pPr>
              <w:jc w:val="right"/>
              <w:rPr>
                <w:color w:val="000000"/>
                <w:sz w:val="18"/>
                <w:szCs w:val="18"/>
              </w:rPr>
            </w:pPr>
            <w:r w:rsidRPr="00471CBA">
              <w:rPr>
                <w:color w:val="000000"/>
                <w:sz w:val="18"/>
                <w:szCs w:val="18"/>
              </w:rPr>
              <w:t>405</w:t>
            </w:r>
          </w:p>
        </w:tc>
      </w:tr>
      <w:tr w:rsidR="00A74C68" w:rsidRPr="00471CBA" w14:paraId="6B3E55EF" w14:textId="77777777" w:rsidTr="00A74C68">
        <w:trPr>
          <w:divId w:val="1403407814"/>
          <w:trHeight w:val="170"/>
        </w:trPr>
        <w:tc>
          <w:tcPr>
            <w:tcW w:w="2634" w:type="pct"/>
            <w:tcBorders>
              <w:top w:val="nil"/>
              <w:left w:val="nil"/>
              <w:bottom w:val="nil"/>
              <w:right w:val="nil"/>
            </w:tcBorders>
            <w:noWrap/>
            <w:vAlign w:val="center"/>
            <w:hideMark/>
          </w:tcPr>
          <w:p w14:paraId="151064BB" w14:textId="77777777" w:rsidR="00A74C68" w:rsidRPr="00471CBA" w:rsidRDefault="00A74C68" w:rsidP="00A74C68">
            <w:pPr>
              <w:jc w:val="both"/>
              <w:rPr>
                <w:color w:val="000000"/>
                <w:sz w:val="18"/>
                <w:szCs w:val="18"/>
              </w:rPr>
            </w:pPr>
            <w:r w:rsidRPr="00471CBA">
              <w:rPr>
                <w:color w:val="000000"/>
                <w:sz w:val="18"/>
                <w:szCs w:val="18"/>
              </w:rPr>
              <w:t>Taşıt Kredisi</w:t>
            </w:r>
          </w:p>
        </w:tc>
        <w:tc>
          <w:tcPr>
            <w:tcW w:w="752" w:type="pct"/>
            <w:tcBorders>
              <w:top w:val="nil"/>
              <w:left w:val="nil"/>
              <w:bottom w:val="nil"/>
              <w:right w:val="nil"/>
            </w:tcBorders>
            <w:vAlign w:val="center"/>
            <w:hideMark/>
          </w:tcPr>
          <w:p w14:paraId="30F513B5" w14:textId="77777777" w:rsidR="00A74C68" w:rsidRPr="00471CBA" w:rsidRDefault="00A74C68" w:rsidP="00A74C68">
            <w:pPr>
              <w:jc w:val="right"/>
              <w:rPr>
                <w:color w:val="000000"/>
                <w:sz w:val="18"/>
                <w:szCs w:val="18"/>
              </w:rPr>
            </w:pPr>
            <w:r w:rsidRPr="00471CBA">
              <w:rPr>
                <w:color w:val="000000"/>
                <w:sz w:val="18"/>
                <w:szCs w:val="18"/>
              </w:rPr>
              <w:t>1.722</w:t>
            </w:r>
          </w:p>
        </w:tc>
        <w:tc>
          <w:tcPr>
            <w:tcW w:w="874" w:type="pct"/>
            <w:tcBorders>
              <w:top w:val="nil"/>
              <w:left w:val="nil"/>
              <w:bottom w:val="nil"/>
              <w:right w:val="nil"/>
            </w:tcBorders>
            <w:vAlign w:val="center"/>
            <w:hideMark/>
          </w:tcPr>
          <w:p w14:paraId="4501C774" w14:textId="77777777" w:rsidR="00A74C68" w:rsidRPr="00471CBA" w:rsidRDefault="00A74C68" w:rsidP="00A74C68">
            <w:pPr>
              <w:jc w:val="right"/>
              <w:rPr>
                <w:color w:val="000000"/>
                <w:sz w:val="18"/>
                <w:szCs w:val="18"/>
              </w:rPr>
            </w:pPr>
            <w:r w:rsidRPr="00471CBA">
              <w:rPr>
                <w:color w:val="000000"/>
                <w:sz w:val="18"/>
                <w:szCs w:val="18"/>
              </w:rPr>
              <w:t>1.011</w:t>
            </w:r>
          </w:p>
        </w:tc>
        <w:tc>
          <w:tcPr>
            <w:tcW w:w="740" w:type="pct"/>
            <w:tcBorders>
              <w:top w:val="nil"/>
              <w:left w:val="nil"/>
              <w:bottom w:val="nil"/>
              <w:right w:val="nil"/>
            </w:tcBorders>
            <w:vAlign w:val="center"/>
            <w:hideMark/>
          </w:tcPr>
          <w:p w14:paraId="704D9447" w14:textId="77777777" w:rsidR="00A74C68" w:rsidRPr="00471CBA" w:rsidRDefault="00A74C68" w:rsidP="00A74C68">
            <w:pPr>
              <w:jc w:val="right"/>
              <w:rPr>
                <w:color w:val="000000"/>
                <w:sz w:val="18"/>
                <w:szCs w:val="18"/>
              </w:rPr>
            </w:pPr>
            <w:r w:rsidRPr="00471CBA">
              <w:rPr>
                <w:color w:val="000000"/>
                <w:sz w:val="18"/>
                <w:szCs w:val="18"/>
              </w:rPr>
              <w:t>2.733</w:t>
            </w:r>
          </w:p>
        </w:tc>
      </w:tr>
      <w:tr w:rsidR="00A74C68" w:rsidRPr="00471CBA" w14:paraId="511C8291" w14:textId="77777777" w:rsidTr="00A74C68">
        <w:trPr>
          <w:divId w:val="1403407814"/>
          <w:trHeight w:val="170"/>
        </w:trPr>
        <w:tc>
          <w:tcPr>
            <w:tcW w:w="2634" w:type="pct"/>
            <w:tcBorders>
              <w:top w:val="nil"/>
              <w:left w:val="nil"/>
              <w:bottom w:val="nil"/>
              <w:right w:val="nil"/>
            </w:tcBorders>
            <w:noWrap/>
            <w:vAlign w:val="center"/>
            <w:hideMark/>
          </w:tcPr>
          <w:p w14:paraId="5173B2A0" w14:textId="77777777" w:rsidR="00A74C68" w:rsidRPr="00471CBA" w:rsidRDefault="00A74C68" w:rsidP="00A74C68">
            <w:pPr>
              <w:jc w:val="both"/>
              <w:rPr>
                <w:color w:val="000000"/>
                <w:sz w:val="18"/>
                <w:szCs w:val="18"/>
              </w:rPr>
            </w:pPr>
            <w:r w:rsidRPr="00471CBA">
              <w:rPr>
                <w:color w:val="000000"/>
                <w:sz w:val="18"/>
                <w:szCs w:val="18"/>
              </w:rPr>
              <w:t>İhtiyaç Kredisi</w:t>
            </w:r>
          </w:p>
        </w:tc>
        <w:tc>
          <w:tcPr>
            <w:tcW w:w="752" w:type="pct"/>
            <w:tcBorders>
              <w:top w:val="nil"/>
              <w:left w:val="nil"/>
              <w:bottom w:val="nil"/>
              <w:right w:val="nil"/>
            </w:tcBorders>
            <w:vAlign w:val="center"/>
            <w:hideMark/>
          </w:tcPr>
          <w:p w14:paraId="5E988741" w14:textId="77777777" w:rsidR="00A74C68" w:rsidRPr="00471CBA" w:rsidRDefault="00A74C68" w:rsidP="00A74C68">
            <w:pPr>
              <w:jc w:val="right"/>
              <w:rPr>
                <w:color w:val="000000"/>
                <w:sz w:val="18"/>
                <w:szCs w:val="18"/>
              </w:rPr>
            </w:pPr>
            <w:r w:rsidRPr="00471CBA">
              <w:rPr>
                <w:color w:val="000000"/>
                <w:sz w:val="18"/>
                <w:szCs w:val="18"/>
              </w:rPr>
              <w:t>7.686</w:t>
            </w:r>
          </w:p>
        </w:tc>
        <w:tc>
          <w:tcPr>
            <w:tcW w:w="874" w:type="pct"/>
            <w:tcBorders>
              <w:top w:val="nil"/>
              <w:left w:val="nil"/>
              <w:bottom w:val="nil"/>
              <w:right w:val="nil"/>
            </w:tcBorders>
            <w:vAlign w:val="center"/>
            <w:hideMark/>
          </w:tcPr>
          <w:p w14:paraId="1C89AE5E" w14:textId="77777777" w:rsidR="00A74C68" w:rsidRPr="00471CBA" w:rsidRDefault="00A74C68" w:rsidP="00A74C68">
            <w:pPr>
              <w:jc w:val="right"/>
              <w:rPr>
                <w:color w:val="000000"/>
                <w:sz w:val="18"/>
                <w:szCs w:val="18"/>
              </w:rPr>
            </w:pPr>
            <w:r w:rsidRPr="00471CBA">
              <w:rPr>
                <w:color w:val="000000"/>
                <w:sz w:val="18"/>
                <w:szCs w:val="18"/>
              </w:rPr>
              <w:t>1.988</w:t>
            </w:r>
          </w:p>
        </w:tc>
        <w:tc>
          <w:tcPr>
            <w:tcW w:w="740" w:type="pct"/>
            <w:tcBorders>
              <w:top w:val="nil"/>
              <w:left w:val="nil"/>
              <w:bottom w:val="nil"/>
              <w:right w:val="nil"/>
            </w:tcBorders>
            <w:vAlign w:val="center"/>
            <w:hideMark/>
          </w:tcPr>
          <w:p w14:paraId="68F3193F" w14:textId="77777777" w:rsidR="00A74C68" w:rsidRPr="00471CBA" w:rsidRDefault="00A74C68" w:rsidP="00A74C68">
            <w:pPr>
              <w:jc w:val="right"/>
              <w:rPr>
                <w:color w:val="000000"/>
                <w:sz w:val="18"/>
                <w:szCs w:val="18"/>
              </w:rPr>
            </w:pPr>
            <w:r w:rsidRPr="00471CBA">
              <w:rPr>
                <w:color w:val="000000"/>
                <w:sz w:val="18"/>
                <w:szCs w:val="18"/>
              </w:rPr>
              <w:t>9.674</w:t>
            </w:r>
          </w:p>
        </w:tc>
      </w:tr>
      <w:tr w:rsidR="00A74C68" w:rsidRPr="00471CBA" w14:paraId="1718B3B3" w14:textId="77777777" w:rsidTr="00A74C68">
        <w:trPr>
          <w:divId w:val="1403407814"/>
          <w:trHeight w:val="170"/>
        </w:trPr>
        <w:tc>
          <w:tcPr>
            <w:tcW w:w="2634" w:type="pct"/>
            <w:tcBorders>
              <w:top w:val="nil"/>
              <w:left w:val="nil"/>
              <w:bottom w:val="nil"/>
              <w:right w:val="nil"/>
            </w:tcBorders>
            <w:noWrap/>
            <w:vAlign w:val="center"/>
            <w:hideMark/>
          </w:tcPr>
          <w:p w14:paraId="4DC9D81B" w14:textId="77777777" w:rsidR="00A74C68" w:rsidRPr="00471CBA" w:rsidRDefault="00A74C68" w:rsidP="00A74C68">
            <w:pPr>
              <w:jc w:val="both"/>
              <w:rPr>
                <w:color w:val="000000"/>
                <w:sz w:val="18"/>
                <w:szCs w:val="18"/>
              </w:rPr>
            </w:pPr>
            <w:r w:rsidRPr="00471CBA">
              <w:rPr>
                <w:color w:val="000000"/>
                <w:sz w:val="18"/>
                <w:szCs w:val="18"/>
              </w:rPr>
              <w:t>Diğer</w:t>
            </w:r>
          </w:p>
        </w:tc>
        <w:tc>
          <w:tcPr>
            <w:tcW w:w="752" w:type="pct"/>
            <w:tcBorders>
              <w:top w:val="nil"/>
              <w:left w:val="nil"/>
              <w:bottom w:val="nil"/>
              <w:right w:val="nil"/>
            </w:tcBorders>
            <w:vAlign w:val="center"/>
            <w:hideMark/>
          </w:tcPr>
          <w:p w14:paraId="53745F12"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32701885"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11697E23"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10D8C80F" w14:textId="77777777" w:rsidTr="00A74C68">
        <w:trPr>
          <w:divId w:val="1403407814"/>
          <w:trHeight w:val="170"/>
        </w:trPr>
        <w:tc>
          <w:tcPr>
            <w:tcW w:w="2634" w:type="pct"/>
            <w:tcBorders>
              <w:top w:val="nil"/>
              <w:left w:val="nil"/>
              <w:bottom w:val="nil"/>
              <w:right w:val="nil"/>
            </w:tcBorders>
            <w:noWrap/>
            <w:vAlign w:val="center"/>
            <w:hideMark/>
          </w:tcPr>
          <w:p w14:paraId="29B2893C" w14:textId="77777777" w:rsidR="00A74C68" w:rsidRPr="00471CBA" w:rsidRDefault="00A74C68" w:rsidP="00A74C68">
            <w:pPr>
              <w:jc w:val="both"/>
              <w:rPr>
                <w:b/>
                <w:bCs/>
                <w:color w:val="000000"/>
                <w:sz w:val="18"/>
                <w:szCs w:val="18"/>
              </w:rPr>
            </w:pPr>
            <w:r w:rsidRPr="00471CBA">
              <w:rPr>
                <w:b/>
                <w:bCs/>
                <w:color w:val="000000"/>
                <w:sz w:val="18"/>
                <w:szCs w:val="18"/>
              </w:rPr>
              <w:t>Personel Kredileri-Dövize Endeksli</w:t>
            </w:r>
          </w:p>
        </w:tc>
        <w:tc>
          <w:tcPr>
            <w:tcW w:w="752" w:type="pct"/>
            <w:tcBorders>
              <w:top w:val="nil"/>
              <w:left w:val="nil"/>
              <w:bottom w:val="nil"/>
              <w:right w:val="nil"/>
            </w:tcBorders>
            <w:vAlign w:val="center"/>
            <w:hideMark/>
          </w:tcPr>
          <w:p w14:paraId="414786E8"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700F5063"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168BEB91"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4912C079" w14:textId="77777777" w:rsidTr="00A74C68">
        <w:trPr>
          <w:divId w:val="1403407814"/>
          <w:trHeight w:val="170"/>
        </w:trPr>
        <w:tc>
          <w:tcPr>
            <w:tcW w:w="2634" w:type="pct"/>
            <w:tcBorders>
              <w:top w:val="nil"/>
              <w:left w:val="nil"/>
              <w:bottom w:val="nil"/>
              <w:right w:val="nil"/>
            </w:tcBorders>
            <w:noWrap/>
            <w:vAlign w:val="center"/>
            <w:hideMark/>
          </w:tcPr>
          <w:p w14:paraId="677FABA2" w14:textId="77777777" w:rsidR="00A74C68" w:rsidRPr="00471CBA" w:rsidRDefault="00A74C68" w:rsidP="00A74C68">
            <w:pPr>
              <w:jc w:val="both"/>
              <w:rPr>
                <w:color w:val="000000"/>
                <w:sz w:val="18"/>
                <w:szCs w:val="18"/>
              </w:rPr>
            </w:pPr>
            <w:r w:rsidRPr="00471CBA">
              <w:rPr>
                <w:color w:val="000000"/>
                <w:sz w:val="18"/>
                <w:szCs w:val="18"/>
              </w:rPr>
              <w:t>Konut Kredisi</w:t>
            </w:r>
          </w:p>
        </w:tc>
        <w:tc>
          <w:tcPr>
            <w:tcW w:w="752" w:type="pct"/>
            <w:tcBorders>
              <w:top w:val="nil"/>
              <w:left w:val="nil"/>
              <w:bottom w:val="nil"/>
              <w:right w:val="nil"/>
            </w:tcBorders>
            <w:vAlign w:val="center"/>
            <w:hideMark/>
          </w:tcPr>
          <w:p w14:paraId="27E84AEE"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158F6794"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39854772"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56CFD06A" w14:textId="77777777" w:rsidTr="00A74C68">
        <w:trPr>
          <w:divId w:val="1403407814"/>
          <w:trHeight w:val="170"/>
        </w:trPr>
        <w:tc>
          <w:tcPr>
            <w:tcW w:w="2634" w:type="pct"/>
            <w:tcBorders>
              <w:top w:val="nil"/>
              <w:left w:val="nil"/>
              <w:bottom w:val="nil"/>
              <w:right w:val="nil"/>
            </w:tcBorders>
            <w:noWrap/>
            <w:vAlign w:val="center"/>
            <w:hideMark/>
          </w:tcPr>
          <w:p w14:paraId="6F6EB68C" w14:textId="77777777" w:rsidR="00A74C68" w:rsidRPr="00471CBA" w:rsidRDefault="00A74C68" w:rsidP="00A74C68">
            <w:pPr>
              <w:jc w:val="both"/>
              <w:rPr>
                <w:color w:val="000000"/>
                <w:sz w:val="18"/>
                <w:szCs w:val="18"/>
              </w:rPr>
            </w:pPr>
            <w:r w:rsidRPr="00471CBA">
              <w:rPr>
                <w:color w:val="000000"/>
                <w:sz w:val="18"/>
                <w:szCs w:val="18"/>
              </w:rPr>
              <w:t>Taşıt Kredisi</w:t>
            </w:r>
          </w:p>
        </w:tc>
        <w:tc>
          <w:tcPr>
            <w:tcW w:w="752" w:type="pct"/>
            <w:tcBorders>
              <w:top w:val="nil"/>
              <w:left w:val="nil"/>
              <w:bottom w:val="nil"/>
              <w:right w:val="nil"/>
            </w:tcBorders>
            <w:vAlign w:val="center"/>
            <w:hideMark/>
          </w:tcPr>
          <w:p w14:paraId="055E1BD7"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065EA7B4"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78545863"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65FEF53E" w14:textId="77777777" w:rsidTr="00A74C68">
        <w:trPr>
          <w:divId w:val="1403407814"/>
          <w:trHeight w:val="170"/>
        </w:trPr>
        <w:tc>
          <w:tcPr>
            <w:tcW w:w="2634" w:type="pct"/>
            <w:tcBorders>
              <w:top w:val="nil"/>
              <w:left w:val="nil"/>
              <w:bottom w:val="nil"/>
              <w:right w:val="nil"/>
            </w:tcBorders>
            <w:noWrap/>
            <w:vAlign w:val="center"/>
            <w:hideMark/>
          </w:tcPr>
          <w:p w14:paraId="7D7B557C" w14:textId="77777777" w:rsidR="00A74C68" w:rsidRPr="00471CBA" w:rsidRDefault="00A74C68" w:rsidP="00A74C68">
            <w:pPr>
              <w:jc w:val="both"/>
              <w:rPr>
                <w:color w:val="000000"/>
                <w:sz w:val="18"/>
                <w:szCs w:val="18"/>
              </w:rPr>
            </w:pPr>
            <w:r w:rsidRPr="00471CBA">
              <w:rPr>
                <w:color w:val="000000"/>
                <w:sz w:val="18"/>
                <w:szCs w:val="18"/>
              </w:rPr>
              <w:t>İhtiyaç Kredisi</w:t>
            </w:r>
          </w:p>
        </w:tc>
        <w:tc>
          <w:tcPr>
            <w:tcW w:w="752" w:type="pct"/>
            <w:tcBorders>
              <w:top w:val="nil"/>
              <w:left w:val="nil"/>
              <w:bottom w:val="nil"/>
              <w:right w:val="nil"/>
            </w:tcBorders>
            <w:vAlign w:val="center"/>
            <w:hideMark/>
          </w:tcPr>
          <w:p w14:paraId="7F8B7439"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23F6AA6A"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48F47A27"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17C67294" w14:textId="77777777" w:rsidTr="00A74C68">
        <w:trPr>
          <w:divId w:val="1403407814"/>
          <w:trHeight w:val="170"/>
        </w:trPr>
        <w:tc>
          <w:tcPr>
            <w:tcW w:w="2634" w:type="pct"/>
            <w:tcBorders>
              <w:top w:val="nil"/>
              <w:left w:val="nil"/>
              <w:bottom w:val="nil"/>
              <w:right w:val="nil"/>
            </w:tcBorders>
            <w:noWrap/>
            <w:vAlign w:val="center"/>
            <w:hideMark/>
          </w:tcPr>
          <w:p w14:paraId="01134BE1" w14:textId="77777777" w:rsidR="00A74C68" w:rsidRPr="00471CBA" w:rsidRDefault="00A74C68" w:rsidP="00A74C68">
            <w:pPr>
              <w:jc w:val="both"/>
              <w:rPr>
                <w:color w:val="000000"/>
                <w:sz w:val="18"/>
                <w:szCs w:val="18"/>
              </w:rPr>
            </w:pPr>
            <w:r w:rsidRPr="00471CBA">
              <w:rPr>
                <w:color w:val="000000"/>
                <w:sz w:val="18"/>
                <w:szCs w:val="18"/>
              </w:rPr>
              <w:t>Diğer</w:t>
            </w:r>
          </w:p>
        </w:tc>
        <w:tc>
          <w:tcPr>
            <w:tcW w:w="752" w:type="pct"/>
            <w:tcBorders>
              <w:top w:val="nil"/>
              <w:left w:val="nil"/>
              <w:bottom w:val="nil"/>
              <w:right w:val="nil"/>
            </w:tcBorders>
            <w:vAlign w:val="center"/>
            <w:hideMark/>
          </w:tcPr>
          <w:p w14:paraId="5C52AFFB"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6B3627B1"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179DB21B"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3F8371FC" w14:textId="77777777" w:rsidTr="00A74C68">
        <w:trPr>
          <w:divId w:val="1403407814"/>
          <w:trHeight w:val="170"/>
        </w:trPr>
        <w:tc>
          <w:tcPr>
            <w:tcW w:w="2634" w:type="pct"/>
            <w:tcBorders>
              <w:top w:val="nil"/>
              <w:left w:val="nil"/>
              <w:bottom w:val="nil"/>
              <w:right w:val="nil"/>
            </w:tcBorders>
            <w:noWrap/>
            <w:vAlign w:val="center"/>
            <w:hideMark/>
          </w:tcPr>
          <w:p w14:paraId="33265728" w14:textId="77777777" w:rsidR="00A74C68" w:rsidRPr="00471CBA" w:rsidRDefault="00A74C68" w:rsidP="00A74C68">
            <w:pPr>
              <w:jc w:val="both"/>
              <w:rPr>
                <w:b/>
                <w:bCs/>
                <w:color w:val="000000"/>
                <w:sz w:val="18"/>
                <w:szCs w:val="18"/>
              </w:rPr>
            </w:pPr>
            <w:r w:rsidRPr="00471CBA">
              <w:rPr>
                <w:b/>
                <w:bCs/>
                <w:color w:val="000000"/>
                <w:sz w:val="18"/>
                <w:szCs w:val="18"/>
              </w:rPr>
              <w:t>Personel Kredileri-YP</w:t>
            </w:r>
          </w:p>
        </w:tc>
        <w:tc>
          <w:tcPr>
            <w:tcW w:w="752" w:type="pct"/>
            <w:tcBorders>
              <w:top w:val="nil"/>
              <w:left w:val="nil"/>
              <w:bottom w:val="nil"/>
              <w:right w:val="nil"/>
            </w:tcBorders>
            <w:vAlign w:val="center"/>
            <w:hideMark/>
          </w:tcPr>
          <w:p w14:paraId="60EA66A1"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1B702B2C"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3934F40D"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222BE18B" w14:textId="77777777" w:rsidTr="00A74C68">
        <w:trPr>
          <w:divId w:val="1403407814"/>
          <w:trHeight w:val="170"/>
        </w:trPr>
        <w:tc>
          <w:tcPr>
            <w:tcW w:w="2634" w:type="pct"/>
            <w:tcBorders>
              <w:top w:val="nil"/>
              <w:left w:val="nil"/>
              <w:bottom w:val="nil"/>
              <w:right w:val="nil"/>
            </w:tcBorders>
            <w:noWrap/>
            <w:vAlign w:val="center"/>
            <w:hideMark/>
          </w:tcPr>
          <w:p w14:paraId="30B8B387" w14:textId="77777777" w:rsidR="00A74C68" w:rsidRPr="00471CBA" w:rsidRDefault="00A74C68" w:rsidP="00A74C68">
            <w:pPr>
              <w:jc w:val="both"/>
              <w:rPr>
                <w:color w:val="000000"/>
                <w:sz w:val="18"/>
                <w:szCs w:val="18"/>
              </w:rPr>
            </w:pPr>
            <w:r w:rsidRPr="00471CBA">
              <w:rPr>
                <w:color w:val="000000"/>
                <w:sz w:val="18"/>
                <w:szCs w:val="18"/>
              </w:rPr>
              <w:t>Konut Kredisi</w:t>
            </w:r>
          </w:p>
        </w:tc>
        <w:tc>
          <w:tcPr>
            <w:tcW w:w="752" w:type="pct"/>
            <w:tcBorders>
              <w:top w:val="nil"/>
              <w:left w:val="nil"/>
              <w:bottom w:val="nil"/>
              <w:right w:val="nil"/>
            </w:tcBorders>
            <w:vAlign w:val="center"/>
            <w:hideMark/>
          </w:tcPr>
          <w:p w14:paraId="38CC19DC"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0908E245"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34DD2046"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5BB4C104" w14:textId="77777777" w:rsidTr="00A74C68">
        <w:trPr>
          <w:divId w:val="1403407814"/>
          <w:trHeight w:val="170"/>
        </w:trPr>
        <w:tc>
          <w:tcPr>
            <w:tcW w:w="2634" w:type="pct"/>
            <w:tcBorders>
              <w:top w:val="nil"/>
              <w:left w:val="nil"/>
              <w:bottom w:val="nil"/>
              <w:right w:val="nil"/>
            </w:tcBorders>
            <w:noWrap/>
            <w:vAlign w:val="center"/>
            <w:hideMark/>
          </w:tcPr>
          <w:p w14:paraId="0878493F" w14:textId="77777777" w:rsidR="00A74C68" w:rsidRPr="00471CBA" w:rsidRDefault="00A74C68" w:rsidP="00A74C68">
            <w:pPr>
              <w:jc w:val="both"/>
              <w:rPr>
                <w:color w:val="000000"/>
                <w:sz w:val="18"/>
                <w:szCs w:val="18"/>
              </w:rPr>
            </w:pPr>
            <w:r w:rsidRPr="00471CBA">
              <w:rPr>
                <w:color w:val="000000"/>
                <w:sz w:val="18"/>
                <w:szCs w:val="18"/>
              </w:rPr>
              <w:t>Taşıt Kredisi</w:t>
            </w:r>
          </w:p>
        </w:tc>
        <w:tc>
          <w:tcPr>
            <w:tcW w:w="752" w:type="pct"/>
            <w:tcBorders>
              <w:top w:val="nil"/>
              <w:left w:val="nil"/>
              <w:bottom w:val="nil"/>
              <w:right w:val="nil"/>
            </w:tcBorders>
            <w:vAlign w:val="center"/>
            <w:hideMark/>
          </w:tcPr>
          <w:p w14:paraId="099EAEC3"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27A31D26"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37A1F806"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582F615B" w14:textId="77777777" w:rsidTr="00A74C68">
        <w:trPr>
          <w:divId w:val="1403407814"/>
          <w:trHeight w:val="170"/>
        </w:trPr>
        <w:tc>
          <w:tcPr>
            <w:tcW w:w="2634" w:type="pct"/>
            <w:tcBorders>
              <w:top w:val="nil"/>
              <w:left w:val="nil"/>
              <w:bottom w:val="nil"/>
              <w:right w:val="nil"/>
            </w:tcBorders>
            <w:noWrap/>
            <w:vAlign w:val="center"/>
            <w:hideMark/>
          </w:tcPr>
          <w:p w14:paraId="405D9131" w14:textId="77777777" w:rsidR="00A74C68" w:rsidRPr="00471CBA" w:rsidRDefault="00A74C68" w:rsidP="00A74C68">
            <w:pPr>
              <w:jc w:val="both"/>
              <w:rPr>
                <w:color w:val="000000"/>
                <w:sz w:val="18"/>
                <w:szCs w:val="18"/>
              </w:rPr>
            </w:pPr>
            <w:r w:rsidRPr="00471CBA">
              <w:rPr>
                <w:color w:val="000000"/>
                <w:sz w:val="18"/>
                <w:szCs w:val="18"/>
              </w:rPr>
              <w:t>İhtiyaç Kredisi</w:t>
            </w:r>
          </w:p>
        </w:tc>
        <w:tc>
          <w:tcPr>
            <w:tcW w:w="752" w:type="pct"/>
            <w:tcBorders>
              <w:top w:val="nil"/>
              <w:left w:val="nil"/>
              <w:bottom w:val="nil"/>
              <w:right w:val="nil"/>
            </w:tcBorders>
            <w:vAlign w:val="center"/>
            <w:hideMark/>
          </w:tcPr>
          <w:p w14:paraId="6097DD5D"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3D142D73"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4A20677F"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7640E700" w14:textId="77777777" w:rsidTr="00A74C68">
        <w:trPr>
          <w:divId w:val="1403407814"/>
          <w:trHeight w:val="170"/>
        </w:trPr>
        <w:tc>
          <w:tcPr>
            <w:tcW w:w="2634" w:type="pct"/>
            <w:tcBorders>
              <w:top w:val="nil"/>
              <w:left w:val="nil"/>
              <w:bottom w:val="nil"/>
              <w:right w:val="nil"/>
            </w:tcBorders>
            <w:noWrap/>
            <w:vAlign w:val="center"/>
            <w:hideMark/>
          </w:tcPr>
          <w:p w14:paraId="2CB6C151" w14:textId="77777777" w:rsidR="00A74C68" w:rsidRPr="00471CBA" w:rsidRDefault="00A74C68" w:rsidP="00A74C68">
            <w:pPr>
              <w:jc w:val="both"/>
              <w:rPr>
                <w:color w:val="000000"/>
                <w:sz w:val="18"/>
                <w:szCs w:val="18"/>
              </w:rPr>
            </w:pPr>
            <w:r w:rsidRPr="00471CBA">
              <w:rPr>
                <w:color w:val="000000"/>
                <w:sz w:val="18"/>
                <w:szCs w:val="18"/>
              </w:rPr>
              <w:t>Diğer</w:t>
            </w:r>
          </w:p>
        </w:tc>
        <w:tc>
          <w:tcPr>
            <w:tcW w:w="752" w:type="pct"/>
            <w:tcBorders>
              <w:top w:val="nil"/>
              <w:left w:val="nil"/>
              <w:bottom w:val="nil"/>
              <w:right w:val="nil"/>
            </w:tcBorders>
            <w:vAlign w:val="center"/>
            <w:hideMark/>
          </w:tcPr>
          <w:p w14:paraId="7A23116C"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2E6043A3"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3E0F912B"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02660D41" w14:textId="77777777" w:rsidTr="00A74C68">
        <w:trPr>
          <w:divId w:val="1403407814"/>
          <w:trHeight w:val="170"/>
        </w:trPr>
        <w:tc>
          <w:tcPr>
            <w:tcW w:w="2634" w:type="pct"/>
            <w:tcBorders>
              <w:top w:val="nil"/>
              <w:left w:val="nil"/>
              <w:bottom w:val="nil"/>
              <w:right w:val="nil"/>
            </w:tcBorders>
            <w:noWrap/>
            <w:vAlign w:val="center"/>
            <w:hideMark/>
          </w:tcPr>
          <w:p w14:paraId="32EAD6AC" w14:textId="77777777" w:rsidR="00A74C68" w:rsidRPr="00471CBA" w:rsidRDefault="00A74C68" w:rsidP="00A74C68">
            <w:pPr>
              <w:jc w:val="both"/>
              <w:rPr>
                <w:b/>
                <w:bCs/>
                <w:color w:val="000000"/>
                <w:sz w:val="18"/>
                <w:szCs w:val="18"/>
              </w:rPr>
            </w:pPr>
            <w:r w:rsidRPr="00471CBA">
              <w:rPr>
                <w:b/>
                <w:bCs/>
                <w:color w:val="000000"/>
                <w:sz w:val="18"/>
                <w:szCs w:val="18"/>
              </w:rPr>
              <w:t>Personel Kredi Kartları-TP</w:t>
            </w:r>
          </w:p>
        </w:tc>
        <w:tc>
          <w:tcPr>
            <w:tcW w:w="752" w:type="pct"/>
            <w:tcBorders>
              <w:top w:val="nil"/>
              <w:left w:val="nil"/>
              <w:bottom w:val="nil"/>
              <w:right w:val="nil"/>
            </w:tcBorders>
            <w:vAlign w:val="center"/>
            <w:hideMark/>
          </w:tcPr>
          <w:p w14:paraId="763A5F12" w14:textId="77777777" w:rsidR="00A74C68" w:rsidRPr="00471CBA" w:rsidRDefault="00A74C68" w:rsidP="00A74C68">
            <w:pPr>
              <w:jc w:val="right"/>
              <w:rPr>
                <w:color w:val="000000"/>
                <w:sz w:val="18"/>
                <w:szCs w:val="18"/>
              </w:rPr>
            </w:pPr>
            <w:r w:rsidRPr="00471CBA">
              <w:rPr>
                <w:color w:val="000000"/>
                <w:sz w:val="18"/>
                <w:szCs w:val="18"/>
              </w:rPr>
              <w:t>3.593</w:t>
            </w:r>
          </w:p>
        </w:tc>
        <w:tc>
          <w:tcPr>
            <w:tcW w:w="874" w:type="pct"/>
            <w:tcBorders>
              <w:top w:val="nil"/>
              <w:left w:val="nil"/>
              <w:bottom w:val="nil"/>
              <w:right w:val="nil"/>
            </w:tcBorders>
            <w:vAlign w:val="center"/>
            <w:hideMark/>
          </w:tcPr>
          <w:p w14:paraId="385E2688"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0EF905F4" w14:textId="77777777" w:rsidR="00A74C68" w:rsidRPr="00471CBA" w:rsidRDefault="00A74C68" w:rsidP="00A74C68">
            <w:pPr>
              <w:jc w:val="right"/>
              <w:rPr>
                <w:color w:val="000000"/>
                <w:sz w:val="18"/>
                <w:szCs w:val="18"/>
              </w:rPr>
            </w:pPr>
            <w:r w:rsidRPr="00471CBA">
              <w:rPr>
                <w:color w:val="000000"/>
                <w:sz w:val="18"/>
                <w:szCs w:val="18"/>
              </w:rPr>
              <w:t>3.593</w:t>
            </w:r>
          </w:p>
        </w:tc>
      </w:tr>
      <w:tr w:rsidR="00A74C68" w:rsidRPr="00471CBA" w14:paraId="1243150A" w14:textId="77777777" w:rsidTr="00A74C68">
        <w:trPr>
          <w:divId w:val="1403407814"/>
          <w:trHeight w:val="170"/>
        </w:trPr>
        <w:tc>
          <w:tcPr>
            <w:tcW w:w="2634" w:type="pct"/>
            <w:tcBorders>
              <w:top w:val="nil"/>
              <w:left w:val="nil"/>
              <w:bottom w:val="nil"/>
              <w:right w:val="nil"/>
            </w:tcBorders>
            <w:noWrap/>
            <w:vAlign w:val="center"/>
            <w:hideMark/>
          </w:tcPr>
          <w:p w14:paraId="20171F27" w14:textId="77777777" w:rsidR="00A74C68" w:rsidRPr="00471CBA" w:rsidRDefault="00A74C68" w:rsidP="00A74C68">
            <w:pPr>
              <w:jc w:val="both"/>
              <w:rPr>
                <w:color w:val="000000"/>
                <w:sz w:val="18"/>
                <w:szCs w:val="18"/>
              </w:rPr>
            </w:pPr>
            <w:r w:rsidRPr="00471CBA">
              <w:rPr>
                <w:color w:val="000000"/>
                <w:sz w:val="18"/>
                <w:szCs w:val="18"/>
              </w:rPr>
              <w:t xml:space="preserve">Taksitli </w:t>
            </w:r>
          </w:p>
        </w:tc>
        <w:tc>
          <w:tcPr>
            <w:tcW w:w="752" w:type="pct"/>
            <w:tcBorders>
              <w:top w:val="nil"/>
              <w:left w:val="nil"/>
              <w:bottom w:val="nil"/>
              <w:right w:val="nil"/>
            </w:tcBorders>
            <w:vAlign w:val="center"/>
            <w:hideMark/>
          </w:tcPr>
          <w:p w14:paraId="3212D8EA" w14:textId="77777777" w:rsidR="00A74C68" w:rsidRPr="00471CBA" w:rsidRDefault="00A74C68" w:rsidP="00A74C68">
            <w:pPr>
              <w:jc w:val="right"/>
              <w:rPr>
                <w:color w:val="000000"/>
                <w:sz w:val="18"/>
                <w:szCs w:val="18"/>
              </w:rPr>
            </w:pPr>
            <w:r w:rsidRPr="00471CBA">
              <w:rPr>
                <w:color w:val="000000"/>
                <w:sz w:val="18"/>
                <w:szCs w:val="18"/>
              </w:rPr>
              <w:t>963</w:t>
            </w:r>
          </w:p>
        </w:tc>
        <w:tc>
          <w:tcPr>
            <w:tcW w:w="874" w:type="pct"/>
            <w:tcBorders>
              <w:top w:val="nil"/>
              <w:left w:val="nil"/>
              <w:bottom w:val="nil"/>
              <w:right w:val="nil"/>
            </w:tcBorders>
            <w:vAlign w:val="center"/>
            <w:hideMark/>
          </w:tcPr>
          <w:p w14:paraId="181846E7"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7664C0BD" w14:textId="77777777" w:rsidR="00A74C68" w:rsidRPr="00471CBA" w:rsidRDefault="00A74C68" w:rsidP="00A74C68">
            <w:pPr>
              <w:jc w:val="right"/>
              <w:rPr>
                <w:color w:val="000000"/>
                <w:sz w:val="18"/>
                <w:szCs w:val="18"/>
              </w:rPr>
            </w:pPr>
            <w:r w:rsidRPr="00471CBA">
              <w:rPr>
                <w:color w:val="000000"/>
                <w:sz w:val="18"/>
                <w:szCs w:val="18"/>
              </w:rPr>
              <w:t>963</w:t>
            </w:r>
          </w:p>
        </w:tc>
      </w:tr>
      <w:tr w:rsidR="00A74C68" w:rsidRPr="00471CBA" w14:paraId="2A1A4BE4" w14:textId="77777777" w:rsidTr="00A74C68">
        <w:trPr>
          <w:divId w:val="1403407814"/>
          <w:trHeight w:val="170"/>
        </w:trPr>
        <w:tc>
          <w:tcPr>
            <w:tcW w:w="2634" w:type="pct"/>
            <w:tcBorders>
              <w:top w:val="nil"/>
              <w:left w:val="nil"/>
              <w:bottom w:val="nil"/>
              <w:right w:val="nil"/>
            </w:tcBorders>
            <w:noWrap/>
            <w:vAlign w:val="center"/>
            <w:hideMark/>
          </w:tcPr>
          <w:p w14:paraId="328AD635" w14:textId="77777777" w:rsidR="00A74C68" w:rsidRPr="00471CBA" w:rsidRDefault="00A74C68" w:rsidP="00A74C68">
            <w:pPr>
              <w:jc w:val="both"/>
              <w:rPr>
                <w:color w:val="000000"/>
                <w:sz w:val="18"/>
                <w:szCs w:val="18"/>
              </w:rPr>
            </w:pPr>
            <w:r w:rsidRPr="00471CBA">
              <w:rPr>
                <w:color w:val="000000"/>
                <w:sz w:val="18"/>
                <w:szCs w:val="18"/>
              </w:rPr>
              <w:t>Taksitsiz</w:t>
            </w:r>
          </w:p>
        </w:tc>
        <w:tc>
          <w:tcPr>
            <w:tcW w:w="752" w:type="pct"/>
            <w:tcBorders>
              <w:top w:val="nil"/>
              <w:left w:val="nil"/>
              <w:bottom w:val="nil"/>
              <w:right w:val="nil"/>
            </w:tcBorders>
            <w:vAlign w:val="center"/>
            <w:hideMark/>
          </w:tcPr>
          <w:p w14:paraId="1348843A" w14:textId="77777777" w:rsidR="00A74C68" w:rsidRPr="00471CBA" w:rsidRDefault="00A74C68" w:rsidP="00A74C68">
            <w:pPr>
              <w:jc w:val="right"/>
              <w:rPr>
                <w:color w:val="000000"/>
                <w:sz w:val="18"/>
                <w:szCs w:val="18"/>
              </w:rPr>
            </w:pPr>
            <w:r w:rsidRPr="00471CBA">
              <w:rPr>
                <w:color w:val="000000"/>
                <w:sz w:val="18"/>
                <w:szCs w:val="18"/>
              </w:rPr>
              <w:t>2.630</w:t>
            </w:r>
          </w:p>
        </w:tc>
        <w:tc>
          <w:tcPr>
            <w:tcW w:w="874" w:type="pct"/>
            <w:tcBorders>
              <w:top w:val="nil"/>
              <w:left w:val="nil"/>
              <w:bottom w:val="nil"/>
              <w:right w:val="nil"/>
            </w:tcBorders>
            <w:vAlign w:val="center"/>
            <w:hideMark/>
          </w:tcPr>
          <w:p w14:paraId="600557CC"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480605D3" w14:textId="77777777" w:rsidR="00A74C68" w:rsidRPr="00471CBA" w:rsidRDefault="00A74C68" w:rsidP="00A74C68">
            <w:pPr>
              <w:jc w:val="right"/>
              <w:rPr>
                <w:color w:val="000000"/>
                <w:sz w:val="18"/>
                <w:szCs w:val="18"/>
              </w:rPr>
            </w:pPr>
            <w:r w:rsidRPr="00471CBA">
              <w:rPr>
                <w:color w:val="000000"/>
                <w:sz w:val="18"/>
                <w:szCs w:val="18"/>
              </w:rPr>
              <w:t>2.630</w:t>
            </w:r>
          </w:p>
        </w:tc>
      </w:tr>
      <w:tr w:rsidR="00A74C68" w:rsidRPr="00471CBA" w14:paraId="2416E3A9" w14:textId="77777777" w:rsidTr="00A74C68">
        <w:trPr>
          <w:divId w:val="1403407814"/>
          <w:trHeight w:val="170"/>
        </w:trPr>
        <w:tc>
          <w:tcPr>
            <w:tcW w:w="2634" w:type="pct"/>
            <w:tcBorders>
              <w:top w:val="nil"/>
              <w:left w:val="nil"/>
              <w:bottom w:val="nil"/>
              <w:right w:val="nil"/>
            </w:tcBorders>
            <w:noWrap/>
            <w:vAlign w:val="center"/>
            <w:hideMark/>
          </w:tcPr>
          <w:p w14:paraId="4DDE344E" w14:textId="77777777" w:rsidR="00A74C68" w:rsidRPr="00471CBA" w:rsidRDefault="00A74C68" w:rsidP="00A74C68">
            <w:pPr>
              <w:jc w:val="both"/>
              <w:rPr>
                <w:b/>
                <w:bCs/>
                <w:color w:val="000000"/>
                <w:sz w:val="18"/>
                <w:szCs w:val="18"/>
              </w:rPr>
            </w:pPr>
            <w:r w:rsidRPr="00471CBA">
              <w:rPr>
                <w:b/>
                <w:bCs/>
                <w:color w:val="000000"/>
                <w:sz w:val="18"/>
                <w:szCs w:val="18"/>
              </w:rPr>
              <w:t>Personel Kredi Kartları-YP</w:t>
            </w:r>
          </w:p>
        </w:tc>
        <w:tc>
          <w:tcPr>
            <w:tcW w:w="752" w:type="pct"/>
            <w:tcBorders>
              <w:top w:val="nil"/>
              <w:left w:val="nil"/>
              <w:bottom w:val="nil"/>
              <w:right w:val="nil"/>
            </w:tcBorders>
            <w:vAlign w:val="center"/>
            <w:hideMark/>
          </w:tcPr>
          <w:p w14:paraId="6089834E"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167F218D"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2636EC60"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306929DD" w14:textId="77777777" w:rsidTr="00A74C68">
        <w:trPr>
          <w:divId w:val="1403407814"/>
          <w:trHeight w:val="170"/>
        </w:trPr>
        <w:tc>
          <w:tcPr>
            <w:tcW w:w="2634" w:type="pct"/>
            <w:tcBorders>
              <w:top w:val="nil"/>
              <w:left w:val="nil"/>
              <w:bottom w:val="nil"/>
              <w:right w:val="nil"/>
            </w:tcBorders>
            <w:noWrap/>
            <w:vAlign w:val="center"/>
            <w:hideMark/>
          </w:tcPr>
          <w:p w14:paraId="1D289A7F" w14:textId="77777777" w:rsidR="00A74C68" w:rsidRPr="00471CBA" w:rsidRDefault="00A74C68" w:rsidP="00A74C68">
            <w:pPr>
              <w:jc w:val="both"/>
              <w:rPr>
                <w:color w:val="000000"/>
                <w:sz w:val="18"/>
                <w:szCs w:val="18"/>
              </w:rPr>
            </w:pPr>
            <w:r w:rsidRPr="00471CBA">
              <w:rPr>
                <w:color w:val="000000"/>
                <w:sz w:val="18"/>
                <w:szCs w:val="18"/>
              </w:rPr>
              <w:t xml:space="preserve">Taksitli </w:t>
            </w:r>
          </w:p>
        </w:tc>
        <w:tc>
          <w:tcPr>
            <w:tcW w:w="752" w:type="pct"/>
            <w:tcBorders>
              <w:top w:val="nil"/>
              <w:left w:val="nil"/>
              <w:bottom w:val="nil"/>
              <w:right w:val="nil"/>
            </w:tcBorders>
            <w:vAlign w:val="center"/>
            <w:hideMark/>
          </w:tcPr>
          <w:p w14:paraId="39BBB448"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71000632"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28FA966A"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7F3CD60E" w14:textId="77777777" w:rsidTr="00A74C68">
        <w:trPr>
          <w:divId w:val="1403407814"/>
          <w:trHeight w:val="170"/>
        </w:trPr>
        <w:tc>
          <w:tcPr>
            <w:tcW w:w="2634" w:type="pct"/>
            <w:tcBorders>
              <w:top w:val="nil"/>
              <w:left w:val="nil"/>
              <w:bottom w:val="nil"/>
              <w:right w:val="nil"/>
            </w:tcBorders>
            <w:noWrap/>
            <w:vAlign w:val="center"/>
            <w:hideMark/>
          </w:tcPr>
          <w:p w14:paraId="4D77D674" w14:textId="77777777" w:rsidR="00A74C68" w:rsidRPr="00471CBA" w:rsidRDefault="00A74C68" w:rsidP="00A74C68">
            <w:pPr>
              <w:jc w:val="both"/>
              <w:rPr>
                <w:color w:val="000000"/>
                <w:sz w:val="18"/>
                <w:szCs w:val="18"/>
              </w:rPr>
            </w:pPr>
            <w:r w:rsidRPr="00471CBA">
              <w:rPr>
                <w:color w:val="000000"/>
                <w:sz w:val="18"/>
                <w:szCs w:val="18"/>
              </w:rPr>
              <w:t>Taksitsiz</w:t>
            </w:r>
          </w:p>
        </w:tc>
        <w:tc>
          <w:tcPr>
            <w:tcW w:w="752" w:type="pct"/>
            <w:tcBorders>
              <w:top w:val="nil"/>
              <w:left w:val="nil"/>
              <w:bottom w:val="nil"/>
              <w:right w:val="nil"/>
            </w:tcBorders>
            <w:vAlign w:val="center"/>
            <w:hideMark/>
          </w:tcPr>
          <w:p w14:paraId="096B11CF"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6B96FABA"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1A1DAB2E"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7CE51A4C" w14:textId="77777777" w:rsidTr="00A74C68">
        <w:trPr>
          <w:divId w:val="1403407814"/>
          <w:trHeight w:val="170"/>
        </w:trPr>
        <w:tc>
          <w:tcPr>
            <w:tcW w:w="2634" w:type="pct"/>
            <w:tcBorders>
              <w:top w:val="nil"/>
              <w:left w:val="nil"/>
              <w:right w:val="nil"/>
            </w:tcBorders>
            <w:noWrap/>
            <w:vAlign w:val="center"/>
            <w:hideMark/>
          </w:tcPr>
          <w:p w14:paraId="5BECC8D3" w14:textId="77777777" w:rsidR="00A74C68" w:rsidRPr="00471CBA" w:rsidRDefault="00A74C68" w:rsidP="00A74C68">
            <w:pPr>
              <w:jc w:val="both"/>
              <w:rPr>
                <w:b/>
                <w:bCs/>
                <w:color w:val="000000"/>
                <w:sz w:val="18"/>
                <w:szCs w:val="18"/>
              </w:rPr>
            </w:pPr>
            <w:r w:rsidRPr="00471CBA">
              <w:rPr>
                <w:b/>
                <w:bCs/>
                <w:color w:val="000000"/>
                <w:sz w:val="18"/>
                <w:szCs w:val="18"/>
              </w:rPr>
              <w:t>Kredili Mevduat Hesabı-TP (Gerçek Kişi)</w:t>
            </w:r>
          </w:p>
        </w:tc>
        <w:tc>
          <w:tcPr>
            <w:tcW w:w="752" w:type="pct"/>
            <w:tcBorders>
              <w:top w:val="nil"/>
              <w:left w:val="nil"/>
              <w:right w:val="nil"/>
            </w:tcBorders>
            <w:vAlign w:val="center"/>
            <w:hideMark/>
          </w:tcPr>
          <w:p w14:paraId="25E13CAB"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right w:val="nil"/>
            </w:tcBorders>
            <w:vAlign w:val="center"/>
            <w:hideMark/>
          </w:tcPr>
          <w:p w14:paraId="4CE122D1"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right w:val="nil"/>
            </w:tcBorders>
            <w:vAlign w:val="center"/>
            <w:hideMark/>
          </w:tcPr>
          <w:p w14:paraId="74019CB1"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7BDCC1BD" w14:textId="77777777" w:rsidTr="00A74C68">
        <w:trPr>
          <w:divId w:val="1403407814"/>
          <w:trHeight w:val="170"/>
        </w:trPr>
        <w:tc>
          <w:tcPr>
            <w:tcW w:w="2634" w:type="pct"/>
            <w:tcBorders>
              <w:top w:val="nil"/>
              <w:left w:val="nil"/>
              <w:bottom w:val="single" w:sz="4" w:space="0" w:color="auto"/>
              <w:right w:val="nil"/>
            </w:tcBorders>
            <w:noWrap/>
            <w:vAlign w:val="center"/>
            <w:hideMark/>
          </w:tcPr>
          <w:p w14:paraId="7C2EDA4E" w14:textId="77777777" w:rsidR="00A74C68" w:rsidRPr="00471CBA" w:rsidRDefault="00A74C68" w:rsidP="00A74C68">
            <w:pPr>
              <w:jc w:val="both"/>
              <w:rPr>
                <w:b/>
                <w:bCs/>
                <w:color w:val="000000"/>
                <w:sz w:val="18"/>
                <w:szCs w:val="18"/>
              </w:rPr>
            </w:pPr>
            <w:r w:rsidRPr="00471CBA">
              <w:rPr>
                <w:b/>
                <w:bCs/>
                <w:color w:val="000000"/>
                <w:sz w:val="18"/>
                <w:szCs w:val="18"/>
              </w:rPr>
              <w:t>Kredili Mevduat Hesabı-YP (Gerçek Kişi)</w:t>
            </w:r>
          </w:p>
        </w:tc>
        <w:tc>
          <w:tcPr>
            <w:tcW w:w="752" w:type="pct"/>
            <w:tcBorders>
              <w:top w:val="nil"/>
              <w:left w:val="nil"/>
              <w:bottom w:val="single" w:sz="4" w:space="0" w:color="auto"/>
              <w:right w:val="nil"/>
            </w:tcBorders>
            <w:vAlign w:val="center"/>
            <w:hideMark/>
          </w:tcPr>
          <w:p w14:paraId="2C79D68D"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single" w:sz="4" w:space="0" w:color="auto"/>
              <w:right w:val="nil"/>
            </w:tcBorders>
            <w:vAlign w:val="center"/>
            <w:hideMark/>
          </w:tcPr>
          <w:p w14:paraId="5928AE92"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single" w:sz="4" w:space="0" w:color="auto"/>
              <w:right w:val="nil"/>
            </w:tcBorders>
            <w:vAlign w:val="center"/>
            <w:hideMark/>
          </w:tcPr>
          <w:p w14:paraId="08BDFE98"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46D0BA7C" w14:textId="77777777" w:rsidTr="00A74C68">
        <w:trPr>
          <w:divId w:val="1403407814"/>
          <w:trHeight w:val="170"/>
        </w:trPr>
        <w:tc>
          <w:tcPr>
            <w:tcW w:w="2634" w:type="pct"/>
            <w:tcBorders>
              <w:top w:val="single" w:sz="4" w:space="0" w:color="auto"/>
              <w:left w:val="nil"/>
              <w:right w:val="nil"/>
            </w:tcBorders>
            <w:noWrap/>
            <w:vAlign w:val="center"/>
            <w:hideMark/>
          </w:tcPr>
          <w:p w14:paraId="5F017C86" w14:textId="77777777" w:rsidR="00A74C68" w:rsidRPr="00471CBA" w:rsidRDefault="00A74C68" w:rsidP="00A74C68">
            <w:pPr>
              <w:jc w:val="right"/>
              <w:rPr>
                <w:color w:val="000000"/>
                <w:sz w:val="18"/>
                <w:szCs w:val="18"/>
              </w:rPr>
            </w:pPr>
          </w:p>
        </w:tc>
        <w:tc>
          <w:tcPr>
            <w:tcW w:w="752" w:type="pct"/>
            <w:tcBorders>
              <w:top w:val="single" w:sz="4" w:space="0" w:color="auto"/>
              <w:left w:val="nil"/>
              <w:right w:val="nil"/>
            </w:tcBorders>
            <w:noWrap/>
            <w:vAlign w:val="center"/>
            <w:hideMark/>
          </w:tcPr>
          <w:p w14:paraId="57130D1A" w14:textId="77777777" w:rsidR="00A74C68" w:rsidRPr="00471CBA" w:rsidRDefault="00A74C68" w:rsidP="00A74C68">
            <w:pPr>
              <w:jc w:val="right"/>
              <w:rPr>
                <w:sz w:val="18"/>
                <w:szCs w:val="18"/>
              </w:rPr>
            </w:pPr>
          </w:p>
        </w:tc>
        <w:tc>
          <w:tcPr>
            <w:tcW w:w="874" w:type="pct"/>
            <w:tcBorders>
              <w:top w:val="single" w:sz="4" w:space="0" w:color="auto"/>
              <w:left w:val="nil"/>
              <w:right w:val="nil"/>
            </w:tcBorders>
            <w:noWrap/>
            <w:vAlign w:val="center"/>
            <w:hideMark/>
          </w:tcPr>
          <w:p w14:paraId="10EA71EB" w14:textId="77777777" w:rsidR="00A74C68" w:rsidRPr="00471CBA" w:rsidRDefault="00A74C68" w:rsidP="00A74C68">
            <w:pPr>
              <w:jc w:val="right"/>
              <w:rPr>
                <w:sz w:val="18"/>
                <w:szCs w:val="18"/>
              </w:rPr>
            </w:pPr>
          </w:p>
        </w:tc>
        <w:tc>
          <w:tcPr>
            <w:tcW w:w="740" w:type="pct"/>
            <w:tcBorders>
              <w:top w:val="single" w:sz="4" w:space="0" w:color="auto"/>
              <w:left w:val="nil"/>
              <w:right w:val="nil"/>
            </w:tcBorders>
            <w:noWrap/>
            <w:vAlign w:val="center"/>
            <w:hideMark/>
          </w:tcPr>
          <w:p w14:paraId="0D210530" w14:textId="77777777" w:rsidR="00A74C68" w:rsidRPr="00471CBA" w:rsidRDefault="00A74C68" w:rsidP="00A74C68">
            <w:pPr>
              <w:jc w:val="right"/>
              <w:rPr>
                <w:sz w:val="18"/>
                <w:szCs w:val="18"/>
              </w:rPr>
            </w:pPr>
          </w:p>
        </w:tc>
      </w:tr>
      <w:tr w:rsidR="00A74C68" w:rsidRPr="00471CBA" w14:paraId="019627EF" w14:textId="77777777" w:rsidTr="00A74C68">
        <w:trPr>
          <w:divId w:val="1403407814"/>
          <w:trHeight w:val="170"/>
        </w:trPr>
        <w:tc>
          <w:tcPr>
            <w:tcW w:w="2634" w:type="pct"/>
            <w:tcBorders>
              <w:top w:val="nil"/>
              <w:left w:val="nil"/>
              <w:bottom w:val="single" w:sz="12" w:space="0" w:color="auto"/>
              <w:right w:val="nil"/>
            </w:tcBorders>
            <w:noWrap/>
            <w:vAlign w:val="center"/>
            <w:hideMark/>
          </w:tcPr>
          <w:p w14:paraId="508EFBCA" w14:textId="77777777" w:rsidR="00A74C68" w:rsidRPr="00471CBA" w:rsidRDefault="00A74C68" w:rsidP="00A74C68">
            <w:pPr>
              <w:jc w:val="both"/>
              <w:rPr>
                <w:b/>
                <w:bCs/>
                <w:color w:val="000000"/>
                <w:sz w:val="18"/>
                <w:szCs w:val="18"/>
              </w:rPr>
            </w:pPr>
            <w:r w:rsidRPr="00471CBA">
              <w:rPr>
                <w:b/>
                <w:bCs/>
                <w:color w:val="000000"/>
                <w:sz w:val="18"/>
                <w:szCs w:val="18"/>
              </w:rPr>
              <w:t>Toplam</w:t>
            </w:r>
          </w:p>
        </w:tc>
        <w:tc>
          <w:tcPr>
            <w:tcW w:w="752" w:type="pct"/>
            <w:tcBorders>
              <w:top w:val="nil"/>
              <w:left w:val="nil"/>
              <w:bottom w:val="single" w:sz="12" w:space="0" w:color="auto"/>
              <w:right w:val="nil"/>
            </w:tcBorders>
            <w:vAlign w:val="center"/>
            <w:hideMark/>
          </w:tcPr>
          <w:p w14:paraId="185E5EEF" w14:textId="77777777" w:rsidR="00A74C68" w:rsidRPr="00471CBA" w:rsidRDefault="00A74C68" w:rsidP="00A74C68">
            <w:pPr>
              <w:jc w:val="right"/>
              <w:rPr>
                <w:b/>
                <w:bCs/>
                <w:color w:val="000000"/>
                <w:sz w:val="18"/>
                <w:szCs w:val="18"/>
              </w:rPr>
            </w:pPr>
            <w:r w:rsidRPr="00471CBA">
              <w:rPr>
                <w:b/>
                <w:bCs/>
                <w:color w:val="000000"/>
                <w:sz w:val="18"/>
                <w:szCs w:val="18"/>
              </w:rPr>
              <w:t>46.396</w:t>
            </w:r>
          </w:p>
        </w:tc>
        <w:tc>
          <w:tcPr>
            <w:tcW w:w="874" w:type="pct"/>
            <w:tcBorders>
              <w:top w:val="nil"/>
              <w:left w:val="nil"/>
              <w:bottom w:val="single" w:sz="12" w:space="0" w:color="auto"/>
              <w:right w:val="nil"/>
            </w:tcBorders>
            <w:vAlign w:val="center"/>
            <w:hideMark/>
          </w:tcPr>
          <w:p w14:paraId="776CB589" w14:textId="77777777" w:rsidR="00A74C68" w:rsidRPr="00471CBA" w:rsidRDefault="00A74C68" w:rsidP="00A74C68">
            <w:pPr>
              <w:jc w:val="right"/>
              <w:rPr>
                <w:b/>
                <w:bCs/>
                <w:color w:val="000000"/>
                <w:sz w:val="18"/>
                <w:szCs w:val="18"/>
              </w:rPr>
            </w:pPr>
            <w:r w:rsidRPr="00471CBA">
              <w:rPr>
                <w:b/>
                <w:bCs/>
                <w:color w:val="000000"/>
                <w:sz w:val="18"/>
                <w:szCs w:val="18"/>
              </w:rPr>
              <w:t>277.086</w:t>
            </w:r>
          </w:p>
        </w:tc>
        <w:tc>
          <w:tcPr>
            <w:tcW w:w="740" w:type="pct"/>
            <w:tcBorders>
              <w:top w:val="nil"/>
              <w:left w:val="nil"/>
              <w:bottom w:val="single" w:sz="12" w:space="0" w:color="auto"/>
              <w:right w:val="nil"/>
            </w:tcBorders>
            <w:vAlign w:val="center"/>
            <w:hideMark/>
          </w:tcPr>
          <w:p w14:paraId="207D4A3F" w14:textId="77777777" w:rsidR="00A74C68" w:rsidRPr="00471CBA" w:rsidRDefault="00A74C68" w:rsidP="00A74C68">
            <w:pPr>
              <w:jc w:val="right"/>
              <w:rPr>
                <w:b/>
                <w:bCs/>
                <w:color w:val="000000"/>
                <w:sz w:val="18"/>
                <w:szCs w:val="18"/>
              </w:rPr>
            </w:pPr>
            <w:r w:rsidRPr="00471CBA">
              <w:rPr>
                <w:b/>
                <w:bCs/>
                <w:color w:val="000000"/>
                <w:sz w:val="18"/>
                <w:szCs w:val="18"/>
              </w:rPr>
              <w:t>323.482</w:t>
            </w:r>
          </w:p>
        </w:tc>
      </w:tr>
    </w:tbl>
    <w:p w14:paraId="42B95D5E" w14:textId="74F3D87F" w:rsidR="0098050E" w:rsidRPr="00471CBA" w:rsidRDefault="0098050E" w:rsidP="00AE0899">
      <w:pPr>
        <w:pStyle w:val="GvdeMetniGirintisi"/>
        <w:widowControl w:val="0"/>
        <w:ind w:left="-14" w:right="70" w:hanging="602"/>
        <w:rPr>
          <w:b/>
          <w:szCs w:val="20"/>
        </w:rPr>
      </w:pPr>
    </w:p>
    <w:p w14:paraId="766F7589" w14:textId="7D612FB7" w:rsidR="00426C04" w:rsidRPr="00471CBA" w:rsidRDefault="00426C04">
      <w:pPr>
        <w:rPr>
          <w:b/>
          <w:szCs w:val="20"/>
        </w:rPr>
      </w:pPr>
    </w:p>
    <w:p w14:paraId="14706E9A" w14:textId="384FCBCF" w:rsidR="00356D24" w:rsidRPr="00471CBA" w:rsidRDefault="00356D24">
      <w:pPr>
        <w:rPr>
          <w:b/>
          <w:szCs w:val="20"/>
        </w:rPr>
      </w:pPr>
      <w:r w:rsidRPr="00471CBA">
        <w:rPr>
          <w:b/>
          <w:szCs w:val="20"/>
        </w:rPr>
        <w:br w:type="page"/>
      </w:r>
    </w:p>
    <w:p w14:paraId="3901BF75" w14:textId="77777777" w:rsidR="008472F9" w:rsidRPr="00471CBA" w:rsidRDefault="008472F9" w:rsidP="008472F9">
      <w:pPr>
        <w:rPr>
          <w:b/>
          <w:szCs w:val="20"/>
        </w:rPr>
      </w:pPr>
      <w:r w:rsidRPr="00471CBA">
        <w:rPr>
          <w:b/>
          <w:szCs w:val="20"/>
        </w:rPr>
        <w:t>KONSOLİDE OLMAYAN FİNANSAL TABLOLARA İLİŞKİN AÇIKLAMA VE DİPNOTLAR (Devamı)</w:t>
      </w:r>
    </w:p>
    <w:p w14:paraId="131AAC05" w14:textId="77777777" w:rsidR="008472F9" w:rsidRPr="00471CBA" w:rsidRDefault="008472F9" w:rsidP="008472F9">
      <w:pPr>
        <w:pStyle w:val="ListeParagraf"/>
        <w:widowControl w:val="0"/>
        <w:ind w:left="14" w:right="452"/>
        <w:jc w:val="both"/>
        <w:rPr>
          <w:b/>
          <w:szCs w:val="20"/>
        </w:rPr>
      </w:pPr>
    </w:p>
    <w:p w14:paraId="0145FE5B" w14:textId="5472903D" w:rsidR="008472F9" w:rsidRPr="00471CBA" w:rsidRDefault="008472F9" w:rsidP="008459A9">
      <w:pPr>
        <w:pStyle w:val="ListeParagraf"/>
        <w:widowControl w:val="0"/>
        <w:numPr>
          <w:ilvl w:val="0"/>
          <w:numId w:val="74"/>
        </w:numPr>
        <w:ind w:left="567" w:hanging="567"/>
        <w:jc w:val="both"/>
        <w:rPr>
          <w:b/>
          <w:szCs w:val="20"/>
        </w:rPr>
      </w:pPr>
      <w:r w:rsidRPr="00471CBA">
        <w:rPr>
          <w:b/>
          <w:szCs w:val="20"/>
        </w:rPr>
        <w:t>BİLANÇONUN AKTİF HESAPLARINA İLİŞKİN AÇIKLAMA VE DİPNOTLAR (Devamı)</w:t>
      </w:r>
    </w:p>
    <w:p w14:paraId="033CDE64" w14:textId="7009A67D" w:rsidR="00044388" w:rsidRDefault="00044388" w:rsidP="00044388">
      <w:pPr>
        <w:pStyle w:val="ListeParagraf"/>
        <w:widowControl w:val="0"/>
        <w:ind w:left="567"/>
        <w:jc w:val="both"/>
        <w:rPr>
          <w:b/>
          <w:szCs w:val="20"/>
        </w:rPr>
      </w:pPr>
    </w:p>
    <w:p w14:paraId="78D3CA6D" w14:textId="77777777" w:rsidR="00E03A4D" w:rsidRPr="00471CBA" w:rsidRDefault="00E03A4D" w:rsidP="00044388">
      <w:pPr>
        <w:pStyle w:val="ListeParagraf"/>
        <w:widowControl w:val="0"/>
        <w:ind w:left="567"/>
        <w:jc w:val="both"/>
        <w:rPr>
          <w:b/>
          <w:szCs w:val="20"/>
        </w:rPr>
      </w:pPr>
    </w:p>
    <w:p w14:paraId="4A3B9ACD" w14:textId="338BF821" w:rsidR="00D07241" w:rsidRPr="00471CBA" w:rsidRDefault="00976E02" w:rsidP="008459A9">
      <w:pPr>
        <w:pStyle w:val="GvdeMetniGirintisi"/>
        <w:widowControl w:val="0"/>
        <w:numPr>
          <w:ilvl w:val="0"/>
          <w:numId w:val="76"/>
        </w:numPr>
        <w:tabs>
          <w:tab w:val="clear" w:pos="540"/>
        </w:tabs>
        <w:ind w:left="567" w:hanging="567"/>
        <w:rPr>
          <w:b/>
          <w:szCs w:val="20"/>
        </w:rPr>
      </w:pPr>
      <w:bookmarkStart w:id="96" w:name="_Hlk223377483"/>
      <w:r w:rsidRPr="00471CBA">
        <w:rPr>
          <w:b/>
          <w:szCs w:val="20"/>
        </w:rPr>
        <w:t>Tüketici kredileri, bireysel kredi kartları, personel kredileri ve personel kredi kartlarına ilişkin bilgiler (devamı)</w:t>
      </w:r>
    </w:p>
    <w:bookmarkEnd w:id="96"/>
    <w:p w14:paraId="5CCFAD51" w14:textId="5C34E9A2" w:rsidR="00A74C68" w:rsidRPr="00471CBA" w:rsidRDefault="00A74C68" w:rsidP="00356D24">
      <w:pPr>
        <w:pStyle w:val="GvdeMetniGirintisi"/>
        <w:widowControl w:val="0"/>
        <w:ind w:left="-14" w:right="70" w:hanging="602"/>
        <w:rPr>
          <w:szCs w:val="20"/>
        </w:rPr>
      </w:pPr>
    </w:p>
    <w:tbl>
      <w:tblPr>
        <w:tblW w:w="4966" w:type="pct"/>
        <w:tblCellMar>
          <w:left w:w="70" w:type="dxa"/>
          <w:right w:w="70" w:type="dxa"/>
        </w:tblCellMar>
        <w:tblLook w:val="04A0" w:firstRow="1" w:lastRow="0" w:firstColumn="1" w:lastColumn="0" w:noHBand="0" w:noVBand="1"/>
      </w:tblPr>
      <w:tblGrid>
        <w:gridCol w:w="4895"/>
        <w:gridCol w:w="1397"/>
        <w:gridCol w:w="1624"/>
        <w:gridCol w:w="1375"/>
      </w:tblGrid>
      <w:tr w:rsidR="00A74C68" w:rsidRPr="00471CBA" w14:paraId="0B92A605" w14:textId="77777777" w:rsidTr="00A74C68">
        <w:trPr>
          <w:divId w:val="215430599"/>
          <w:trHeight w:val="170"/>
        </w:trPr>
        <w:tc>
          <w:tcPr>
            <w:tcW w:w="2634" w:type="pct"/>
            <w:tcBorders>
              <w:top w:val="nil"/>
              <w:left w:val="nil"/>
              <w:bottom w:val="single" w:sz="4" w:space="0" w:color="auto"/>
              <w:right w:val="nil"/>
            </w:tcBorders>
            <w:noWrap/>
            <w:vAlign w:val="bottom"/>
            <w:hideMark/>
          </w:tcPr>
          <w:p w14:paraId="2814352D" w14:textId="2F0B3A7E" w:rsidR="00A74C68" w:rsidRPr="00471CBA" w:rsidRDefault="00A74C68" w:rsidP="00A74C68">
            <w:pPr>
              <w:rPr>
                <w:b/>
                <w:bCs/>
                <w:color w:val="000000"/>
                <w:sz w:val="16"/>
                <w:szCs w:val="16"/>
                <w:lang w:eastAsia="tr-TR"/>
              </w:rPr>
            </w:pPr>
            <w:r w:rsidRPr="00471CBA">
              <w:rPr>
                <w:b/>
                <w:bCs/>
                <w:color w:val="000000"/>
                <w:sz w:val="18"/>
                <w:szCs w:val="18"/>
              </w:rPr>
              <w:t xml:space="preserve">31 </w:t>
            </w:r>
            <w:r w:rsidRPr="00471CBA">
              <w:rPr>
                <w:b/>
                <w:bCs/>
                <w:color w:val="000000"/>
                <w:sz w:val="16"/>
                <w:szCs w:val="16"/>
                <w:lang w:eastAsia="tr-TR"/>
              </w:rPr>
              <w:t>Aralık 2024</w:t>
            </w:r>
          </w:p>
        </w:tc>
        <w:tc>
          <w:tcPr>
            <w:tcW w:w="752" w:type="pct"/>
            <w:tcBorders>
              <w:top w:val="nil"/>
              <w:left w:val="nil"/>
              <w:bottom w:val="single" w:sz="4" w:space="0" w:color="auto"/>
              <w:right w:val="nil"/>
            </w:tcBorders>
            <w:vAlign w:val="bottom"/>
            <w:hideMark/>
          </w:tcPr>
          <w:p w14:paraId="2A48C03D" w14:textId="77777777" w:rsidR="00A74C68" w:rsidRPr="00471CBA" w:rsidRDefault="00A74C68" w:rsidP="00A74C68">
            <w:pPr>
              <w:jc w:val="right"/>
              <w:rPr>
                <w:b/>
                <w:bCs/>
                <w:color w:val="000000"/>
                <w:sz w:val="18"/>
                <w:szCs w:val="18"/>
              </w:rPr>
            </w:pPr>
            <w:r w:rsidRPr="00471CBA">
              <w:rPr>
                <w:b/>
                <w:bCs/>
                <w:color w:val="000000"/>
                <w:sz w:val="18"/>
                <w:szCs w:val="18"/>
              </w:rPr>
              <w:t>Kısa Vadeli</w:t>
            </w:r>
          </w:p>
        </w:tc>
        <w:tc>
          <w:tcPr>
            <w:tcW w:w="874" w:type="pct"/>
            <w:tcBorders>
              <w:top w:val="nil"/>
              <w:left w:val="nil"/>
              <w:bottom w:val="single" w:sz="4" w:space="0" w:color="auto"/>
              <w:right w:val="nil"/>
            </w:tcBorders>
            <w:vAlign w:val="bottom"/>
            <w:hideMark/>
          </w:tcPr>
          <w:p w14:paraId="4403A32D" w14:textId="77777777" w:rsidR="00A74C68" w:rsidRPr="00471CBA" w:rsidRDefault="00A74C68" w:rsidP="00A74C68">
            <w:pPr>
              <w:jc w:val="right"/>
              <w:rPr>
                <w:b/>
                <w:bCs/>
                <w:color w:val="000000"/>
                <w:sz w:val="18"/>
                <w:szCs w:val="18"/>
              </w:rPr>
            </w:pPr>
            <w:r w:rsidRPr="00471CBA">
              <w:rPr>
                <w:b/>
                <w:bCs/>
                <w:color w:val="000000"/>
                <w:sz w:val="18"/>
                <w:szCs w:val="18"/>
              </w:rPr>
              <w:t>Orta ve Uzun Vadeli</w:t>
            </w:r>
          </w:p>
        </w:tc>
        <w:tc>
          <w:tcPr>
            <w:tcW w:w="740" w:type="pct"/>
            <w:tcBorders>
              <w:top w:val="nil"/>
              <w:left w:val="nil"/>
              <w:bottom w:val="single" w:sz="4" w:space="0" w:color="auto"/>
              <w:right w:val="nil"/>
            </w:tcBorders>
            <w:vAlign w:val="bottom"/>
            <w:hideMark/>
          </w:tcPr>
          <w:p w14:paraId="5A97C5F8" w14:textId="77777777" w:rsidR="00A74C68" w:rsidRPr="00471CBA" w:rsidRDefault="00A74C68" w:rsidP="00A74C68">
            <w:pPr>
              <w:jc w:val="right"/>
              <w:rPr>
                <w:b/>
                <w:bCs/>
                <w:color w:val="000000"/>
                <w:sz w:val="18"/>
                <w:szCs w:val="18"/>
              </w:rPr>
            </w:pPr>
            <w:r w:rsidRPr="00471CBA">
              <w:rPr>
                <w:b/>
                <w:bCs/>
                <w:color w:val="000000"/>
                <w:sz w:val="18"/>
                <w:szCs w:val="18"/>
              </w:rPr>
              <w:t>Toplam</w:t>
            </w:r>
          </w:p>
        </w:tc>
      </w:tr>
      <w:tr w:rsidR="00A74C68" w:rsidRPr="00471CBA" w14:paraId="1DF4F103" w14:textId="77777777" w:rsidTr="00A74C68">
        <w:trPr>
          <w:divId w:val="215430599"/>
          <w:trHeight w:val="170"/>
        </w:trPr>
        <w:tc>
          <w:tcPr>
            <w:tcW w:w="2634" w:type="pct"/>
            <w:tcBorders>
              <w:top w:val="single" w:sz="4" w:space="0" w:color="auto"/>
              <w:left w:val="nil"/>
              <w:bottom w:val="nil"/>
              <w:right w:val="nil"/>
            </w:tcBorders>
            <w:noWrap/>
            <w:vAlign w:val="bottom"/>
            <w:hideMark/>
          </w:tcPr>
          <w:p w14:paraId="13F7C903" w14:textId="77777777" w:rsidR="00A74C68" w:rsidRPr="00471CBA" w:rsidRDefault="00A74C68" w:rsidP="00A74C68">
            <w:pPr>
              <w:jc w:val="right"/>
              <w:rPr>
                <w:b/>
                <w:bCs/>
                <w:color w:val="000000"/>
                <w:sz w:val="18"/>
                <w:szCs w:val="18"/>
              </w:rPr>
            </w:pPr>
          </w:p>
        </w:tc>
        <w:tc>
          <w:tcPr>
            <w:tcW w:w="752" w:type="pct"/>
            <w:tcBorders>
              <w:top w:val="single" w:sz="4" w:space="0" w:color="auto"/>
              <w:left w:val="nil"/>
              <w:bottom w:val="nil"/>
              <w:right w:val="nil"/>
            </w:tcBorders>
            <w:noWrap/>
            <w:vAlign w:val="bottom"/>
            <w:hideMark/>
          </w:tcPr>
          <w:p w14:paraId="23E73E99" w14:textId="77777777" w:rsidR="00A74C68" w:rsidRPr="00471CBA" w:rsidRDefault="00A74C68" w:rsidP="00A74C68">
            <w:pPr>
              <w:jc w:val="both"/>
              <w:rPr>
                <w:sz w:val="18"/>
                <w:szCs w:val="18"/>
              </w:rPr>
            </w:pPr>
          </w:p>
        </w:tc>
        <w:tc>
          <w:tcPr>
            <w:tcW w:w="874" w:type="pct"/>
            <w:tcBorders>
              <w:top w:val="single" w:sz="4" w:space="0" w:color="auto"/>
              <w:left w:val="nil"/>
              <w:bottom w:val="nil"/>
              <w:right w:val="nil"/>
            </w:tcBorders>
            <w:noWrap/>
            <w:vAlign w:val="bottom"/>
            <w:hideMark/>
          </w:tcPr>
          <w:p w14:paraId="79594A7F" w14:textId="77777777" w:rsidR="00A74C68" w:rsidRPr="00471CBA" w:rsidRDefault="00A74C68" w:rsidP="00A74C68">
            <w:pPr>
              <w:jc w:val="right"/>
              <w:rPr>
                <w:sz w:val="18"/>
                <w:szCs w:val="18"/>
              </w:rPr>
            </w:pPr>
          </w:p>
        </w:tc>
        <w:tc>
          <w:tcPr>
            <w:tcW w:w="740" w:type="pct"/>
            <w:tcBorders>
              <w:top w:val="single" w:sz="4" w:space="0" w:color="auto"/>
              <w:left w:val="nil"/>
              <w:bottom w:val="nil"/>
              <w:right w:val="nil"/>
            </w:tcBorders>
            <w:noWrap/>
            <w:vAlign w:val="bottom"/>
            <w:hideMark/>
          </w:tcPr>
          <w:p w14:paraId="718BDEF2" w14:textId="77777777" w:rsidR="00A74C68" w:rsidRPr="00471CBA" w:rsidRDefault="00A74C68" w:rsidP="00A74C68">
            <w:pPr>
              <w:jc w:val="right"/>
              <w:rPr>
                <w:sz w:val="18"/>
                <w:szCs w:val="18"/>
              </w:rPr>
            </w:pPr>
          </w:p>
        </w:tc>
      </w:tr>
      <w:tr w:rsidR="00A74C68" w:rsidRPr="00471CBA" w14:paraId="3ECB9D8A" w14:textId="77777777" w:rsidTr="00A74C68">
        <w:trPr>
          <w:divId w:val="215430599"/>
          <w:trHeight w:val="170"/>
        </w:trPr>
        <w:tc>
          <w:tcPr>
            <w:tcW w:w="2634" w:type="pct"/>
            <w:tcBorders>
              <w:top w:val="nil"/>
              <w:left w:val="nil"/>
              <w:bottom w:val="nil"/>
              <w:right w:val="nil"/>
            </w:tcBorders>
            <w:noWrap/>
            <w:vAlign w:val="center"/>
            <w:hideMark/>
          </w:tcPr>
          <w:p w14:paraId="58CEC6BF" w14:textId="77777777" w:rsidR="00A74C68" w:rsidRPr="00471CBA" w:rsidRDefault="00A74C68" w:rsidP="00A74C68">
            <w:pPr>
              <w:jc w:val="both"/>
              <w:rPr>
                <w:b/>
                <w:bCs/>
                <w:color w:val="000000"/>
                <w:sz w:val="18"/>
                <w:szCs w:val="18"/>
              </w:rPr>
            </w:pPr>
            <w:r w:rsidRPr="00471CBA">
              <w:rPr>
                <w:b/>
                <w:bCs/>
                <w:color w:val="000000"/>
                <w:sz w:val="18"/>
                <w:szCs w:val="18"/>
              </w:rPr>
              <w:t>Tüketici Kredileri-TP</w:t>
            </w:r>
          </w:p>
        </w:tc>
        <w:tc>
          <w:tcPr>
            <w:tcW w:w="752" w:type="pct"/>
            <w:tcBorders>
              <w:top w:val="nil"/>
              <w:left w:val="nil"/>
              <w:bottom w:val="nil"/>
              <w:right w:val="nil"/>
            </w:tcBorders>
            <w:vAlign w:val="center"/>
            <w:hideMark/>
          </w:tcPr>
          <w:p w14:paraId="0FAB723E" w14:textId="77777777" w:rsidR="00A74C68" w:rsidRPr="00471CBA" w:rsidRDefault="00A74C68" w:rsidP="00A74C68">
            <w:pPr>
              <w:jc w:val="right"/>
              <w:rPr>
                <w:b/>
                <w:bCs/>
                <w:color w:val="000000"/>
                <w:sz w:val="18"/>
                <w:szCs w:val="18"/>
              </w:rPr>
            </w:pPr>
            <w:r w:rsidRPr="00471CBA">
              <w:rPr>
                <w:b/>
                <w:bCs/>
                <w:color w:val="000000"/>
                <w:sz w:val="18"/>
                <w:szCs w:val="18"/>
              </w:rPr>
              <w:t>755</w:t>
            </w:r>
          </w:p>
        </w:tc>
        <w:tc>
          <w:tcPr>
            <w:tcW w:w="874" w:type="pct"/>
            <w:tcBorders>
              <w:top w:val="nil"/>
              <w:left w:val="nil"/>
              <w:bottom w:val="nil"/>
              <w:right w:val="nil"/>
            </w:tcBorders>
            <w:vAlign w:val="center"/>
            <w:hideMark/>
          </w:tcPr>
          <w:p w14:paraId="3F4A7ABB" w14:textId="77777777" w:rsidR="00A74C68" w:rsidRPr="00471CBA" w:rsidRDefault="00A74C68" w:rsidP="00A74C68">
            <w:pPr>
              <w:jc w:val="right"/>
              <w:rPr>
                <w:b/>
                <w:bCs/>
                <w:color w:val="000000"/>
                <w:sz w:val="18"/>
                <w:szCs w:val="18"/>
              </w:rPr>
            </w:pPr>
            <w:r w:rsidRPr="00471CBA">
              <w:rPr>
                <w:b/>
                <w:bCs/>
                <w:color w:val="000000"/>
                <w:sz w:val="18"/>
                <w:szCs w:val="18"/>
              </w:rPr>
              <w:t>121</w:t>
            </w:r>
          </w:p>
        </w:tc>
        <w:tc>
          <w:tcPr>
            <w:tcW w:w="740" w:type="pct"/>
            <w:tcBorders>
              <w:top w:val="nil"/>
              <w:left w:val="nil"/>
              <w:bottom w:val="nil"/>
              <w:right w:val="nil"/>
            </w:tcBorders>
            <w:vAlign w:val="center"/>
            <w:hideMark/>
          </w:tcPr>
          <w:p w14:paraId="27533958" w14:textId="77777777" w:rsidR="00A74C68" w:rsidRPr="00471CBA" w:rsidRDefault="00A74C68" w:rsidP="00A74C68">
            <w:pPr>
              <w:jc w:val="right"/>
              <w:rPr>
                <w:b/>
                <w:bCs/>
                <w:color w:val="000000"/>
                <w:sz w:val="18"/>
                <w:szCs w:val="18"/>
              </w:rPr>
            </w:pPr>
            <w:r w:rsidRPr="00471CBA">
              <w:rPr>
                <w:b/>
                <w:bCs/>
                <w:color w:val="000000"/>
                <w:sz w:val="18"/>
                <w:szCs w:val="18"/>
              </w:rPr>
              <w:t>876</w:t>
            </w:r>
          </w:p>
        </w:tc>
      </w:tr>
      <w:tr w:rsidR="00A74C68" w:rsidRPr="00471CBA" w14:paraId="4E719442" w14:textId="77777777" w:rsidTr="00A74C68">
        <w:trPr>
          <w:divId w:val="215430599"/>
          <w:trHeight w:val="170"/>
        </w:trPr>
        <w:tc>
          <w:tcPr>
            <w:tcW w:w="2634" w:type="pct"/>
            <w:tcBorders>
              <w:top w:val="nil"/>
              <w:left w:val="nil"/>
              <w:bottom w:val="nil"/>
              <w:right w:val="nil"/>
            </w:tcBorders>
            <w:noWrap/>
            <w:vAlign w:val="center"/>
            <w:hideMark/>
          </w:tcPr>
          <w:p w14:paraId="2467964B" w14:textId="77777777" w:rsidR="00A74C68" w:rsidRPr="00471CBA" w:rsidRDefault="00A74C68" w:rsidP="00A74C68">
            <w:pPr>
              <w:jc w:val="both"/>
              <w:rPr>
                <w:color w:val="000000"/>
                <w:sz w:val="18"/>
                <w:szCs w:val="18"/>
              </w:rPr>
            </w:pPr>
            <w:r w:rsidRPr="00471CBA">
              <w:rPr>
                <w:color w:val="000000"/>
                <w:sz w:val="18"/>
                <w:szCs w:val="18"/>
              </w:rPr>
              <w:t>Konut Kredisi</w:t>
            </w:r>
          </w:p>
        </w:tc>
        <w:tc>
          <w:tcPr>
            <w:tcW w:w="752" w:type="pct"/>
            <w:tcBorders>
              <w:top w:val="nil"/>
              <w:left w:val="nil"/>
              <w:bottom w:val="nil"/>
              <w:right w:val="nil"/>
            </w:tcBorders>
            <w:vAlign w:val="center"/>
            <w:hideMark/>
          </w:tcPr>
          <w:p w14:paraId="34FD88F3"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7D7B939D"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08DAD6DD"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01D958D0" w14:textId="77777777" w:rsidTr="00A74C68">
        <w:trPr>
          <w:divId w:val="215430599"/>
          <w:trHeight w:val="170"/>
        </w:trPr>
        <w:tc>
          <w:tcPr>
            <w:tcW w:w="2634" w:type="pct"/>
            <w:tcBorders>
              <w:top w:val="nil"/>
              <w:left w:val="nil"/>
              <w:bottom w:val="nil"/>
              <w:right w:val="nil"/>
            </w:tcBorders>
            <w:noWrap/>
            <w:vAlign w:val="center"/>
            <w:hideMark/>
          </w:tcPr>
          <w:p w14:paraId="765175C0" w14:textId="77777777" w:rsidR="00A74C68" w:rsidRPr="00471CBA" w:rsidRDefault="00A74C68" w:rsidP="00A74C68">
            <w:pPr>
              <w:jc w:val="both"/>
              <w:rPr>
                <w:color w:val="000000"/>
                <w:sz w:val="18"/>
                <w:szCs w:val="18"/>
              </w:rPr>
            </w:pPr>
            <w:r w:rsidRPr="00471CBA">
              <w:rPr>
                <w:color w:val="000000"/>
                <w:sz w:val="18"/>
                <w:szCs w:val="18"/>
              </w:rPr>
              <w:t>Taşıt Kredisi</w:t>
            </w:r>
          </w:p>
        </w:tc>
        <w:tc>
          <w:tcPr>
            <w:tcW w:w="752" w:type="pct"/>
            <w:tcBorders>
              <w:top w:val="nil"/>
              <w:left w:val="nil"/>
              <w:bottom w:val="nil"/>
              <w:right w:val="nil"/>
            </w:tcBorders>
            <w:vAlign w:val="center"/>
            <w:hideMark/>
          </w:tcPr>
          <w:p w14:paraId="2E1F356C" w14:textId="77777777" w:rsidR="00A74C68" w:rsidRPr="00471CBA" w:rsidRDefault="00A74C68" w:rsidP="00A74C68">
            <w:pPr>
              <w:jc w:val="right"/>
              <w:rPr>
                <w:color w:val="000000"/>
                <w:sz w:val="18"/>
                <w:szCs w:val="18"/>
              </w:rPr>
            </w:pPr>
            <w:r w:rsidRPr="00471CBA">
              <w:rPr>
                <w:color w:val="000000"/>
                <w:sz w:val="18"/>
                <w:szCs w:val="18"/>
              </w:rPr>
              <w:t>356</w:t>
            </w:r>
          </w:p>
        </w:tc>
        <w:tc>
          <w:tcPr>
            <w:tcW w:w="874" w:type="pct"/>
            <w:tcBorders>
              <w:top w:val="nil"/>
              <w:left w:val="nil"/>
              <w:bottom w:val="nil"/>
              <w:right w:val="nil"/>
            </w:tcBorders>
            <w:vAlign w:val="center"/>
            <w:hideMark/>
          </w:tcPr>
          <w:p w14:paraId="7E512EA5"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0B777BE9" w14:textId="77777777" w:rsidR="00A74C68" w:rsidRPr="00471CBA" w:rsidRDefault="00A74C68" w:rsidP="00A74C68">
            <w:pPr>
              <w:jc w:val="right"/>
              <w:rPr>
                <w:color w:val="000000"/>
                <w:sz w:val="18"/>
                <w:szCs w:val="18"/>
              </w:rPr>
            </w:pPr>
            <w:r w:rsidRPr="00471CBA">
              <w:rPr>
                <w:color w:val="000000"/>
                <w:sz w:val="18"/>
                <w:szCs w:val="18"/>
              </w:rPr>
              <w:t>356</w:t>
            </w:r>
          </w:p>
        </w:tc>
      </w:tr>
      <w:tr w:rsidR="00A74C68" w:rsidRPr="00471CBA" w14:paraId="41366F4A" w14:textId="77777777" w:rsidTr="00A74C68">
        <w:trPr>
          <w:divId w:val="215430599"/>
          <w:trHeight w:val="170"/>
        </w:trPr>
        <w:tc>
          <w:tcPr>
            <w:tcW w:w="2634" w:type="pct"/>
            <w:tcBorders>
              <w:top w:val="nil"/>
              <w:left w:val="nil"/>
              <w:bottom w:val="nil"/>
              <w:right w:val="nil"/>
            </w:tcBorders>
            <w:noWrap/>
            <w:vAlign w:val="center"/>
            <w:hideMark/>
          </w:tcPr>
          <w:p w14:paraId="0A30DBC3" w14:textId="77777777" w:rsidR="00A74C68" w:rsidRPr="00471CBA" w:rsidRDefault="00A74C68" w:rsidP="00A74C68">
            <w:pPr>
              <w:jc w:val="both"/>
              <w:rPr>
                <w:color w:val="000000"/>
                <w:sz w:val="18"/>
                <w:szCs w:val="18"/>
              </w:rPr>
            </w:pPr>
            <w:r w:rsidRPr="00471CBA">
              <w:rPr>
                <w:color w:val="000000"/>
                <w:sz w:val="18"/>
                <w:szCs w:val="18"/>
              </w:rPr>
              <w:t>İhtiyaç Kredisi</w:t>
            </w:r>
          </w:p>
        </w:tc>
        <w:tc>
          <w:tcPr>
            <w:tcW w:w="752" w:type="pct"/>
            <w:tcBorders>
              <w:top w:val="nil"/>
              <w:left w:val="nil"/>
              <w:bottom w:val="nil"/>
              <w:right w:val="nil"/>
            </w:tcBorders>
            <w:vAlign w:val="center"/>
            <w:hideMark/>
          </w:tcPr>
          <w:p w14:paraId="0F6B842A" w14:textId="77777777" w:rsidR="00A74C68" w:rsidRPr="00471CBA" w:rsidRDefault="00A74C68" w:rsidP="00A74C68">
            <w:pPr>
              <w:jc w:val="right"/>
              <w:rPr>
                <w:color w:val="000000"/>
                <w:sz w:val="18"/>
                <w:szCs w:val="18"/>
              </w:rPr>
            </w:pPr>
            <w:r w:rsidRPr="00471CBA">
              <w:rPr>
                <w:color w:val="000000"/>
                <w:sz w:val="18"/>
                <w:szCs w:val="18"/>
              </w:rPr>
              <w:t>399</w:t>
            </w:r>
          </w:p>
        </w:tc>
        <w:tc>
          <w:tcPr>
            <w:tcW w:w="874" w:type="pct"/>
            <w:tcBorders>
              <w:top w:val="nil"/>
              <w:left w:val="nil"/>
              <w:bottom w:val="nil"/>
              <w:right w:val="nil"/>
            </w:tcBorders>
            <w:vAlign w:val="center"/>
            <w:hideMark/>
          </w:tcPr>
          <w:p w14:paraId="2AB9EBD5" w14:textId="77777777" w:rsidR="00A74C68" w:rsidRPr="00471CBA" w:rsidRDefault="00A74C68" w:rsidP="00A74C68">
            <w:pPr>
              <w:jc w:val="right"/>
              <w:rPr>
                <w:color w:val="000000"/>
                <w:sz w:val="18"/>
                <w:szCs w:val="18"/>
              </w:rPr>
            </w:pPr>
            <w:r w:rsidRPr="00471CBA">
              <w:rPr>
                <w:color w:val="000000"/>
                <w:sz w:val="18"/>
                <w:szCs w:val="18"/>
              </w:rPr>
              <w:t>121</w:t>
            </w:r>
          </w:p>
        </w:tc>
        <w:tc>
          <w:tcPr>
            <w:tcW w:w="740" w:type="pct"/>
            <w:tcBorders>
              <w:top w:val="nil"/>
              <w:left w:val="nil"/>
              <w:bottom w:val="nil"/>
              <w:right w:val="nil"/>
            </w:tcBorders>
            <w:vAlign w:val="center"/>
            <w:hideMark/>
          </w:tcPr>
          <w:p w14:paraId="399917E5" w14:textId="77777777" w:rsidR="00A74C68" w:rsidRPr="00471CBA" w:rsidRDefault="00A74C68" w:rsidP="00A74C68">
            <w:pPr>
              <w:jc w:val="right"/>
              <w:rPr>
                <w:color w:val="000000"/>
                <w:sz w:val="18"/>
                <w:szCs w:val="18"/>
              </w:rPr>
            </w:pPr>
            <w:r w:rsidRPr="00471CBA">
              <w:rPr>
                <w:color w:val="000000"/>
                <w:sz w:val="18"/>
                <w:szCs w:val="18"/>
              </w:rPr>
              <w:t>520</w:t>
            </w:r>
          </w:p>
        </w:tc>
      </w:tr>
      <w:tr w:rsidR="00A74C68" w:rsidRPr="00471CBA" w14:paraId="10272CA0" w14:textId="77777777" w:rsidTr="00A74C68">
        <w:trPr>
          <w:divId w:val="215430599"/>
          <w:trHeight w:val="170"/>
        </w:trPr>
        <w:tc>
          <w:tcPr>
            <w:tcW w:w="2634" w:type="pct"/>
            <w:tcBorders>
              <w:top w:val="nil"/>
              <w:left w:val="nil"/>
              <w:bottom w:val="nil"/>
              <w:right w:val="nil"/>
            </w:tcBorders>
            <w:noWrap/>
            <w:vAlign w:val="center"/>
            <w:hideMark/>
          </w:tcPr>
          <w:p w14:paraId="605849CA" w14:textId="77777777" w:rsidR="00A74C68" w:rsidRPr="00471CBA" w:rsidRDefault="00A74C68" w:rsidP="00A74C68">
            <w:pPr>
              <w:jc w:val="both"/>
              <w:rPr>
                <w:color w:val="000000"/>
                <w:sz w:val="18"/>
                <w:szCs w:val="18"/>
              </w:rPr>
            </w:pPr>
            <w:r w:rsidRPr="00471CBA">
              <w:rPr>
                <w:color w:val="000000"/>
                <w:sz w:val="18"/>
                <w:szCs w:val="18"/>
              </w:rPr>
              <w:t xml:space="preserve">Diğer </w:t>
            </w:r>
          </w:p>
        </w:tc>
        <w:tc>
          <w:tcPr>
            <w:tcW w:w="752" w:type="pct"/>
            <w:tcBorders>
              <w:top w:val="nil"/>
              <w:left w:val="nil"/>
              <w:bottom w:val="nil"/>
              <w:right w:val="nil"/>
            </w:tcBorders>
            <w:vAlign w:val="center"/>
            <w:hideMark/>
          </w:tcPr>
          <w:p w14:paraId="3613B768"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2D6FCF46"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356F76A3"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5EABF084" w14:textId="77777777" w:rsidTr="00A74C68">
        <w:trPr>
          <w:divId w:val="215430599"/>
          <w:trHeight w:val="170"/>
        </w:trPr>
        <w:tc>
          <w:tcPr>
            <w:tcW w:w="2634" w:type="pct"/>
            <w:tcBorders>
              <w:top w:val="nil"/>
              <w:left w:val="nil"/>
              <w:bottom w:val="nil"/>
              <w:right w:val="nil"/>
            </w:tcBorders>
            <w:noWrap/>
            <w:vAlign w:val="center"/>
            <w:hideMark/>
          </w:tcPr>
          <w:p w14:paraId="49E7AEB2" w14:textId="77777777" w:rsidR="00A74C68" w:rsidRPr="00471CBA" w:rsidRDefault="00A74C68" w:rsidP="00A74C68">
            <w:pPr>
              <w:jc w:val="both"/>
              <w:rPr>
                <w:b/>
                <w:bCs/>
                <w:color w:val="000000"/>
                <w:sz w:val="18"/>
                <w:szCs w:val="18"/>
              </w:rPr>
            </w:pPr>
            <w:r w:rsidRPr="00471CBA">
              <w:rPr>
                <w:b/>
                <w:bCs/>
                <w:color w:val="000000"/>
                <w:sz w:val="18"/>
                <w:szCs w:val="18"/>
              </w:rPr>
              <w:t>Tüketici Kredileri-Dövize Endeksli</w:t>
            </w:r>
          </w:p>
        </w:tc>
        <w:tc>
          <w:tcPr>
            <w:tcW w:w="752" w:type="pct"/>
            <w:tcBorders>
              <w:top w:val="nil"/>
              <w:left w:val="nil"/>
              <w:bottom w:val="nil"/>
              <w:right w:val="nil"/>
            </w:tcBorders>
            <w:vAlign w:val="center"/>
            <w:hideMark/>
          </w:tcPr>
          <w:p w14:paraId="5825C1D2" w14:textId="77777777" w:rsidR="00A74C68" w:rsidRPr="00471CBA" w:rsidRDefault="00A74C68" w:rsidP="00A74C68">
            <w:pPr>
              <w:jc w:val="right"/>
              <w:rPr>
                <w:b/>
                <w:bCs/>
                <w:color w:val="000000"/>
                <w:sz w:val="18"/>
                <w:szCs w:val="18"/>
              </w:rPr>
            </w:pPr>
            <w:r w:rsidRPr="00471CBA">
              <w:rPr>
                <w:b/>
                <w:bCs/>
                <w:color w:val="000000"/>
                <w:sz w:val="18"/>
                <w:szCs w:val="18"/>
              </w:rPr>
              <w:t>-</w:t>
            </w:r>
          </w:p>
        </w:tc>
        <w:tc>
          <w:tcPr>
            <w:tcW w:w="874" w:type="pct"/>
            <w:tcBorders>
              <w:top w:val="nil"/>
              <w:left w:val="nil"/>
              <w:bottom w:val="nil"/>
              <w:right w:val="nil"/>
            </w:tcBorders>
            <w:vAlign w:val="center"/>
            <w:hideMark/>
          </w:tcPr>
          <w:p w14:paraId="3B89895B" w14:textId="77777777" w:rsidR="00A74C68" w:rsidRPr="00471CBA" w:rsidRDefault="00A74C68" w:rsidP="00A74C68">
            <w:pPr>
              <w:jc w:val="right"/>
              <w:rPr>
                <w:b/>
                <w:bCs/>
                <w:color w:val="000000"/>
                <w:sz w:val="18"/>
                <w:szCs w:val="18"/>
              </w:rPr>
            </w:pPr>
            <w:r w:rsidRPr="00471CBA">
              <w:rPr>
                <w:b/>
                <w:bCs/>
                <w:color w:val="000000"/>
                <w:sz w:val="18"/>
                <w:szCs w:val="18"/>
              </w:rPr>
              <w:t>-</w:t>
            </w:r>
          </w:p>
        </w:tc>
        <w:tc>
          <w:tcPr>
            <w:tcW w:w="740" w:type="pct"/>
            <w:tcBorders>
              <w:top w:val="nil"/>
              <w:left w:val="nil"/>
              <w:bottom w:val="nil"/>
              <w:right w:val="nil"/>
            </w:tcBorders>
            <w:vAlign w:val="center"/>
            <w:hideMark/>
          </w:tcPr>
          <w:p w14:paraId="26672966" w14:textId="77777777" w:rsidR="00A74C68" w:rsidRPr="00471CBA" w:rsidRDefault="00A74C68" w:rsidP="00A74C68">
            <w:pPr>
              <w:jc w:val="right"/>
              <w:rPr>
                <w:b/>
                <w:bCs/>
                <w:color w:val="000000"/>
                <w:sz w:val="18"/>
                <w:szCs w:val="18"/>
              </w:rPr>
            </w:pPr>
            <w:r w:rsidRPr="00471CBA">
              <w:rPr>
                <w:b/>
                <w:bCs/>
                <w:color w:val="000000"/>
                <w:sz w:val="18"/>
                <w:szCs w:val="18"/>
              </w:rPr>
              <w:t>-</w:t>
            </w:r>
          </w:p>
        </w:tc>
      </w:tr>
      <w:tr w:rsidR="00A74C68" w:rsidRPr="00471CBA" w14:paraId="1E6FE534" w14:textId="77777777" w:rsidTr="00A74C68">
        <w:trPr>
          <w:divId w:val="215430599"/>
          <w:trHeight w:val="170"/>
        </w:trPr>
        <w:tc>
          <w:tcPr>
            <w:tcW w:w="2634" w:type="pct"/>
            <w:tcBorders>
              <w:top w:val="nil"/>
              <w:left w:val="nil"/>
              <w:bottom w:val="nil"/>
              <w:right w:val="nil"/>
            </w:tcBorders>
            <w:noWrap/>
            <w:vAlign w:val="center"/>
            <w:hideMark/>
          </w:tcPr>
          <w:p w14:paraId="0536D638" w14:textId="77777777" w:rsidR="00A74C68" w:rsidRPr="00471CBA" w:rsidRDefault="00A74C68" w:rsidP="00A74C68">
            <w:pPr>
              <w:jc w:val="both"/>
              <w:rPr>
                <w:color w:val="000000"/>
                <w:sz w:val="18"/>
                <w:szCs w:val="18"/>
              </w:rPr>
            </w:pPr>
            <w:r w:rsidRPr="00471CBA">
              <w:rPr>
                <w:color w:val="000000"/>
                <w:sz w:val="18"/>
                <w:szCs w:val="18"/>
              </w:rPr>
              <w:t>Konut Kredisi</w:t>
            </w:r>
          </w:p>
        </w:tc>
        <w:tc>
          <w:tcPr>
            <w:tcW w:w="752" w:type="pct"/>
            <w:tcBorders>
              <w:top w:val="nil"/>
              <w:left w:val="nil"/>
              <w:bottom w:val="nil"/>
              <w:right w:val="nil"/>
            </w:tcBorders>
            <w:vAlign w:val="center"/>
            <w:hideMark/>
          </w:tcPr>
          <w:p w14:paraId="23C4C2CA"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4E718BCF"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750D6886"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26561B96" w14:textId="77777777" w:rsidTr="00A74C68">
        <w:trPr>
          <w:divId w:val="215430599"/>
          <w:trHeight w:val="170"/>
        </w:trPr>
        <w:tc>
          <w:tcPr>
            <w:tcW w:w="2634" w:type="pct"/>
            <w:tcBorders>
              <w:top w:val="nil"/>
              <w:left w:val="nil"/>
              <w:bottom w:val="nil"/>
              <w:right w:val="nil"/>
            </w:tcBorders>
            <w:noWrap/>
            <w:vAlign w:val="center"/>
            <w:hideMark/>
          </w:tcPr>
          <w:p w14:paraId="45B8AD91" w14:textId="77777777" w:rsidR="00A74C68" w:rsidRPr="00471CBA" w:rsidRDefault="00A74C68" w:rsidP="00A74C68">
            <w:pPr>
              <w:jc w:val="both"/>
              <w:rPr>
                <w:color w:val="000000"/>
                <w:sz w:val="18"/>
                <w:szCs w:val="18"/>
              </w:rPr>
            </w:pPr>
            <w:r w:rsidRPr="00471CBA">
              <w:rPr>
                <w:color w:val="000000"/>
                <w:sz w:val="18"/>
                <w:szCs w:val="18"/>
              </w:rPr>
              <w:t>Taşıt Kredisi</w:t>
            </w:r>
          </w:p>
        </w:tc>
        <w:tc>
          <w:tcPr>
            <w:tcW w:w="752" w:type="pct"/>
            <w:tcBorders>
              <w:top w:val="nil"/>
              <w:left w:val="nil"/>
              <w:bottom w:val="nil"/>
              <w:right w:val="nil"/>
            </w:tcBorders>
            <w:vAlign w:val="center"/>
            <w:hideMark/>
          </w:tcPr>
          <w:p w14:paraId="58E77DEC"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43D6B64D"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1F1C9392"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025AB12C" w14:textId="77777777" w:rsidTr="00A74C68">
        <w:trPr>
          <w:divId w:val="215430599"/>
          <w:trHeight w:val="170"/>
        </w:trPr>
        <w:tc>
          <w:tcPr>
            <w:tcW w:w="2634" w:type="pct"/>
            <w:tcBorders>
              <w:top w:val="nil"/>
              <w:left w:val="nil"/>
              <w:bottom w:val="nil"/>
              <w:right w:val="nil"/>
            </w:tcBorders>
            <w:noWrap/>
            <w:vAlign w:val="center"/>
            <w:hideMark/>
          </w:tcPr>
          <w:p w14:paraId="506D1146" w14:textId="77777777" w:rsidR="00A74C68" w:rsidRPr="00471CBA" w:rsidRDefault="00A74C68" w:rsidP="00A74C68">
            <w:pPr>
              <w:jc w:val="both"/>
              <w:rPr>
                <w:color w:val="000000"/>
                <w:sz w:val="18"/>
                <w:szCs w:val="18"/>
              </w:rPr>
            </w:pPr>
            <w:r w:rsidRPr="00471CBA">
              <w:rPr>
                <w:color w:val="000000"/>
                <w:sz w:val="18"/>
                <w:szCs w:val="18"/>
              </w:rPr>
              <w:t>İhtiyaç Kredisi</w:t>
            </w:r>
          </w:p>
        </w:tc>
        <w:tc>
          <w:tcPr>
            <w:tcW w:w="752" w:type="pct"/>
            <w:tcBorders>
              <w:top w:val="nil"/>
              <w:left w:val="nil"/>
              <w:bottom w:val="nil"/>
              <w:right w:val="nil"/>
            </w:tcBorders>
            <w:vAlign w:val="center"/>
            <w:hideMark/>
          </w:tcPr>
          <w:p w14:paraId="033C84B9"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43BC5BF6"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2C20D366"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00F1C752" w14:textId="77777777" w:rsidTr="00A74C68">
        <w:trPr>
          <w:divId w:val="215430599"/>
          <w:trHeight w:val="170"/>
        </w:trPr>
        <w:tc>
          <w:tcPr>
            <w:tcW w:w="2634" w:type="pct"/>
            <w:tcBorders>
              <w:top w:val="nil"/>
              <w:left w:val="nil"/>
              <w:bottom w:val="nil"/>
              <w:right w:val="nil"/>
            </w:tcBorders>
            <w:noWrap/>
            <w:vAlign w:val="center"/>
            <w:hideMark/>
          </w:tcPr>
          <w:p w14:paraId="6C4B928A" w14:textId="77777777" w:rsidR="00A74C68" w:rsidRPr="00471CBA" w:rsidRDefault="00A74C68" w:rsidP="00A74C68">
            <w:pPr>
              <w:jc w:val="both"/>
              <w:rPr>
                <w:color w:val="000000"/>
                <w:sz w:val="18"/>
                <w:szCs w:val="18"/>
              </w:rPr>
            </w:pPr>
            <w:r w:rsidRPr="00471CBA">
              <w:rPr>
                <w:color w:val="000000"/>
                <w:sz w:val="18"/>
                <w:szCs w:val="18"/>
              </w:rPr>
              <w:t xml:space="preserve">Diğer </w:t>
            </w:r>
          </w:p>
        </w:tc>
        <w:tc>
          <w:tcPr>
            <w:tcW w:w="752" w:type="pct"/>
            <w:tcBorders>
              <w:top w:val="nil"/>
              <w:left w:val="nil"/>
              <w:bottom w:val="nil"/>
              <w:right w:val="nil"/>
            </w:tcBorders>
            <w:vAlign w:val="center"/>
            <w:hideMark/>
          </w:tcPr>
          <w:p w14:paraId="2A41A2C2"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330DC92A"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32EB1E2F"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782D6566" w14:textId="77777777" w:rsidTr="00A74C68">
        <w:trPr>
          <w:divId w:val="215430599"/>
          <w:trHeight w:val="170"/>
        </w:trPr>
        <w:tc>
          <w:tcPr>
            <w:tcW w:w="2634" w:type="pct"/>
            <w:tcBorders>
              <w:top w:val="nil"/>
              <w:left w:val="nil"/>
              <w:bottom w:val="nil"/>
              <w:right w:val="nil"/>
            </w:tcBorders>
            <w:noWrap/>
            <w:vAlign w:val="center"/>
            <w:hideMark/>
          </w:tcPr>
          <w:p w14:paraId="56784AE3" w14:textId="77777777" w:rsidR="00A74C68" w:rsidRPr="00471CBA" w:rsidRDefault="00A74C68" w:rsidP="00A74C68">
            <w:pPr>
              <w:jc w:val="both"/>
              <w:rPr>
                <w:b/>
                <w:bCs/>
                <w:color w:val="000000"/>
                <w:sz w:val="18"/>
                <w:szCs w:val="18"/>
              </w:rPr>
            </w:pPr>
            <w:r w:rsidRPr="00471CBA">
              <w:rPr>
                <w:b/>
                <w:bCs/>
                <w:color w:val="000000"/>
                <w:sz w:val="18"/>
                <w:szCs w:val="18"/>
              </w:rPr>
              <w:t>Tüketici Kredileri-YP</w:t>
            </w:r>
          </w:p>
        </w:tc>
        <w:tc>
          <w:tcPr>
            <w:tcW w:w="752" w:type="pct"/>
            <w:tcBorders>
              <w:top w:val="nil"/>
              <w:left w:val="nil"/>
              <w:bottom w:val="nil"/>
              <w:right w:val="nil"/>
            </w:tcBorders>
            <w:vAlign w:val="center"/>
            <w:hideMark/>
          </w:tcPr>
          <w:p w14:paraId="5FDDC5D9" w14:textId="77777777" w:rsidR="00A74C68" w:rsidRPr="00471CBA" w:rsidRDefault="00A74C68" w:rsidP="00A74C68">
            <w:pPr>
              <w:jc w:val="right"/>
              <w:rPr>
                <w:b/>
                <w:bCs/>
                <w:color w:val="000000"/>
                <w:sz w:val="18"/>
                <w:szCs w:val="18"/>
              </w:rPr>
            </w:pPr>
            <w:r w:rsidRPr="00471CBA">
              <w:rPr>
                <w:b/>
                <w:bCs/>
                <w:color w:val="000000"/>
                <w:sz w:val="18"/>
                <w:szCs w:val="18"/>
              </w:rPr>
              <w:t>-</w:t>
            </w:r>
          </w:p>
        </w:tc>
        <w:tc>
          <w:tcPr>
            <w:tcW w:w="874" w:type="pct"/>
            <w:tcBorders>
              <w:top w:val="nil"/>
              <w:left w:val="nil"/>
              <w:bottom w:val="nil"/>
              <w:right w:val="nil"/>
            </w:tcBorders>
            <w:vAlign w:val="center"/>
            <w:hideMark/>
          </w:tcPr>
          <w:p w14:paraId="59FC03E7" w14:textId="77777777" w:rsidR="00A74C68" w:rsidRPr="00471CBA" w:rsidRDefault="00A74C68" w:rsidP="00A74C68">
            <w:pPr>
              <w:jc w:val="right"/>
              <w:rPr>
                <w:b/>
                <w:bCs/>
                <w:color w:val="000000"/>
                <w:sz w:val="18"/>
                <w:szCs w:val="18"/>
              </w:rPr>
            </w:pPr>
            <w:r w:rsidRPr="00471CBA">
              <w:rPr>
                <w:b/>
                <w:bCs/>
                <w:color w:val="000000"/>
                <w:sz w:val="18"/>
                <w:szCs w:val="18"/>
              </w:rPr>
              <w:t>-</w:t>
            </w:r>
          </w:p>
        </w:tc>
        <w:tc>
          <w:tcPr>
            <w:tcW w:w="740" w:type="pct"/>
            <w:tcBorders>
              <w:top w:val="nil"/>
              <w:left w:val="nil"/>
              <w:bottom w:val="nil"/>
              <w:right w:val="nil"/>
            </w:tcBorders>
            <w:vAlign w:val="center"/>
            <w:hideMark/>
          </w:tcPr>
          <w:p w14:paraId="342E883D" w14:textId="77777777" w:rsidR="00A74C68" w:rsidRPr="00471CBA" w:rsidRDefault="00A74C68" w:rsidP="00A74C68">
            <w:pPr>
              <w:jc w:val="right"/>
              <w:rPr>
                <w:b/>
                <w:bCs/>
                <w:color w:val="000000"/>
                <w:sz w:val="18"/>
                <w:szCs w:val="18"/>
              </w:rPr>
            </w:pPr>
            <w:r w:rsidRPr="00471CBA">
              <w:rPr>
                <w:b/>
                <w:bCs/>
                <w:color w:val="000000"/>
                <w:sz w:val="18"/>
                <w:szCs w:val="18"/>
              </w:rPr>
              <w:t>-</w:t>
            </w:r>
          </w:p>
        </w:tc>
      </w:tr>
      <w:tr w:rsidR="00A74C68" w:rsidRPr="00471CBA" w14:paraId="0F69B860" w14:textId="77777777" w:rsidTr="00A74C68">
        <w:trPr>
          <w:divId w:val="215430599"/>
          <w:trHeight w:val="170"/>
        </w:trPr>
        <w:tc>
          <w:tcPr>
            <w:tcW w:w="2634" w:type="pct"/>
            <w:tcBorders>
              <w:top w:val="nil"/>
              <w:left w:val="nil"/>
              <w:bottom w:val="nil"/>
              <w:right w:val="nil"/>
            </w:tcBorders>
            <w:noWrap/>
            <w:vAlign w:val="center"/>
            <w:hideMark/>
          </w:tcPr>
          <w:p w14:paraId="0097E0B6" w14:textId="77777777" w:rsidR="00A74C68" w:rsidRPr="00471CBA" w:rsidRDefault="00A74C68" w:rsidP="00A74C68">
            <w:pPr>
              <w:jc w:val="both"/>
              <w:rPr>
                <w:color w:val="000000"/>
                <w:sz w:val="18"/>
                <w:szCs w:val="18"/>
              </w:rPr>
            </w:pPr>
            <w:r w:rsidRPr="00471CBA">
              <w:rPr>
                <w:color w:val="000000"/>
                <w:sz w:val="18"/>
                <w:szCs w:val="18"/>
              </w:rPr>
              <w:t>Konut Kredisi</w:t>
            </w:r>
          </w:p>
        </w:tc>
        <w:tc>
          <w:tcPr>
            <w:tcW w:w="752" w:type="pct"/>
            <w:tcBorders>
              <w:top w:val="nil"/>
              <w:left w:val="nil"/>
              <w:bottom w:val="nil"/>
              <w:right w:val="nil"/>
            </w:tcBorders>
            <w:vAlign w:val="center"/>
            <w:hideMark/>
          </w:tcPr>
          <w:p w14:paraId="5D9453E6"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1E6377B9"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68F4B8FD"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5599FC17" w14:textId="77777777" w:rsidTr="00A74C68">
        <w:trPr>
          <w:divId w:val="215430599"/>
          <w:trHeight w:val="170"/>
        </w:trPr>
        <w:tc>
          <w:tcPr>
            <w:tcW w:w="2634" w:type="pct"/>
            <w:tcBorders>
              <w:top w:val="nil"/>
              <w:left w:val="nil"/>
              <w:bottom w:val="nil"/>
              <w:right w:val="nil"/>
            </w:tcBorders>
            <w:noWrap/>
            <w:vAlign w:val="center"/>
            <w:hideMark/>
          </w:tcPr>
          <w:p w14:paraId="65D2F504" w14:textId="77777777" w:rsidR="00A74C68" w:rsidRPr="00471CBA" w:rsidRDefault="00A74C68" w:rsidP="00A74C68">
            <w:pPr>
              <w:jc w:val="both"/>
              <w:rPr>
                <w:color w:val="000000"/>
                <w:sz w:val="18"/>
                <w:szCs w:val="18"/>
              </w:rPr>
            </w:pPr>
            <w:r w:rsidRPr="00471CBA">
              <w:rPr>
                <w:color w:val="000000"/>
                <w:sz w:val="18"/>
                <w:szCs w:val="18"/>
              </w:rPr>
              <w:t>Taşıt Kredisi</w:t>
            </w:r>
          </w:p>
        </w:tc>
        <w:tc>
          <w:tcPr>
            <w:tcW w:w="752" w:type="pct"/>
            <w:tcBorders>
              <w:top w:val="nil"/>
              <w:left w:val="nil"/>
              <w:bottom w:val="nil"/>
              <w:right w:val="nil"/>
            </w:tcBorders>
            <w:vAlign w:val="center"/>
            <w:hideMark/>
          </w:tcPr>
          <w:p w14:paraId="690E98DB"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700AF3CE"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6F381567"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7571575B" w14:textId="77777777" w:rsidTr="00A74C68">
        <w:trPr>
          <w:divId w:val="215430599"/>
          <w:trHeight w:val="170"/>
        </w:trPr>
        <w:tc>
          <w:tcPr>
            <w:tcW w:w="2634" w:type="pct"/>
            <w:tcBorders>
              <w:top w:val="nil"/>
              <w:left w:val="nil"/>
              <w:bottom w:val="nil"/>
              <w:right w:val="nil"/>
            </w:tcBorders>
            <w:noWrap/>
            <w:vAlign w:val="center"/>
            <w:hideMark/>
          </w:tcPr>
          <w:p w14:paraId="0F68D8F2" w14:textId="77777777" w:rsidR="00A74C68" w:rsidRPr="00471CBA" w:rsidRDefault="00A74C68" w:rsidP="00A74C68">
            <w:pPr>
              <w:jc w:val="both"/>
              <w:rPr>
                <w:color w:val="000000"/>
                <w:sz w:val="18"/>
                <w:szCs w:val="18"/>
              </w:rPr>
            </w:pPr>
            <w:r w:rsidRPr="00471CBA">
              <w:rPr>
                <w:color w:val="000000"/>
                <w:sz w:val="18"/>
                <w:szCs w:val="18"/>
              </w:rPr>
              <w:t>İhtiyaç Kredisi</w:t>
            </w:r>
          </w:p>
        </w:tc>
        <w:tc>
          <w:tcPr>
            <w:tcW w:w="752" w:type="pct"/>
            <w:tcBorders>
              <w:top w:val="nil"/>
              <w:left w:val="nil"/>
              <w:bottom w:val="nil"/>
              <w:right w:val="nil"/>
            </w:tcBorders>
            <w:vAlign w:val="center"/>
            <w:hideMark/>
          </w:tcPr>
          <w:p w14:paraId="4457868B"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6CD15909"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3651A69B"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044EB811" w14:textId="77777777" w:rsidTr="00A74C68">
        <w:trPr>
          <w:divId w:val="215430599"/>
          <w:trHeight w:val="170"/>
        </w:trPr>
        <w:tc>
          <w:tcPr>
            <w:tcW w:w="2634" w:type="pct"/>
            <w:tcBorders>
              <w:top w:val="nil"/>
              <w:left w:val="nil"/>
              <w:bottom w:val="nil"/>
              <w:right w:val="nil"/>
            </w:tcBorders>
            <w:noWrap/>
            <w:vAlign w:val="center"/>
            <w:hideMark/>
          </w:tcPr>
          <w:p w14:paraId="1831301A" w14:textId="77777777" w:rsidR="00A74C68" w:rsidRPr="00471CBA" w:rsidRDefault="00A74C68" w:rsidP="00A74C68">
            <w:pPr>
              <w:jc w:val="both"/>
              <w:rPr>
                <w:color w:val="000000"/>
                <w:sz w:val="18"/>
                <w:szCs w:val="18"/>
              </w:rPr>
            </w:pPr>
            <w:r w:rsidRPr="00471CBA">
              <w:rPr>
                <w:color w:val="000000"/>
                <w:sz w:val="18"/>
                <w:szCs w:val="18"/>
              </w:rPr>
              <w:t xml:space="preserve">Diğer </w:t>
            </w:r>
          </w:p>
        </w:tc>
        <w:tc>
          <w:tcPr>
            <w:tcW w:w="752" w:type="pct"/>
            <w:tcBorders>
              <w:top w:val="nil"/>
              <w:left w:val="nil"/>
              <w:bottom w:val="nil"/>
              <w:right w:val="nil"/>
            </w:tcBorders>
            <w:vAlign w:val="center"/>
            <w:hideMark/>
          </w:tcPr>
          <w:p w14:paraId="320F1A9B"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087C78E4"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2A36685E"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3CB93914" w14:textId="77777777" w:rsidTr="00A74C68">
        <w:trPr>
          <w:divId w:val="215430599"/>
          <w:trHeight w:val="170"/>
        </w:trPr>
        <w:tc>
          <w:tcPr>
            <w:tcW w:w="2634" w:type="pct"/>
            <w:tcBorders>
              <w:top w:val="nil"/>
              <w:left w:val="nil"/>
              <w:bottom w:val="nil"/>
              <w:right w:val="nil"/>
            </w:tcBorders>
            <w:noWrap/>
            <w:vAlign w:val="center"/>
            <w:hideMark/>
          </w:tcPr>
          <w:p w14:paraId="5AF81674" w14:textId="77777777" w:rsidR="00A74C68" w:rsidRPr="00471CBA" w:rsidRDefault="00A74C68" w:rsidP="00A74C68">
            <w:pPr>
              <w:jc w:val="both"/>
              <w:rPr>
                <w:b/>
                <w:bCs/>
                <w:color w:val="000000"/>
                <w:sz w:val="18"/>
                <w:szCs w:val="18"/>
              </w:rPr>
            </w:pPr>
            <w:r w:rsidRPr="00471CBA">
              <w:rPr>
                <w:b/>
                <w:bCs/>
                <w:color w:val="000000"/>
                <w:sz w:val="18"/>
                <w:szCs w:val="18"/>
              </w:rPr>
              <w:t>Bireysel Kredi Kartları-TP</w:t>
            </w:r>
          </w:p>
        </w:tc>
        <w:tc>
          <w:tcPr>
            <w:tcW w:w="752" w:type="pct"/>
            <w:tcBorders>
              <w:top w:val="nil"/>
              <w:left w:val="nil"/>
              <w:bottom w:val="nil"/>
              <w:right w:val="nil"/>
            </w:tcBorders>
            <w:vAlign w:val="center"/>
            <w:hideMark/>
          </w:tcPr>
          <w:p w14:paraId="7A823568"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7047CBBE"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0D6026B2"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5D7844AC" w14:textId="77777777" w:rsidTr="00A74C68">
        <w:trPr>
          <w:divId w:val="215430599"/>
          <w:trHeight w:val="170"/>
        </w:trPr>
        <w:tc>
          <w:tcPr>
            <w:tcW w:w="2634" w:type="pct"/>
            <w:tcBorders>
              <w:top w:val="nil"/>
              <w:left w:val="nil"/>
              <w:bottom w:val="nil"/>
              <w:right w:val="nil"/>
            </w:tcBorders>
            <w:noWrap/>
            <w:vAlign w:val="center"/>
            <w:hideMark/>
          </w:tcPr>
          <w:p w14:paraId="28CF99DF" w14:textId="77777777" w:rsidR="00A74C68" w:rsidRPr="00471CBA" w:rsidRDefault="00A74C68" w:rsidP="00A74C68">
            <w:pPr>
              <w:jc w:val="both"/>
              <w:rPr>
                <w:color w:val="000000"/>
                <w:sz w:val="18"/>
                <w:szCs w:val="18"/>
              </w:rPr>
            </w:pPr>
            <w:r w:rsidRPr="00471CBA">
              <w:rPr>
                <w:color w:val="000000"/>
                <w:sz w:val="18"/>
                <w:szCs w:val="18"/>
              </w:rPr>
              <w:t>Taksitli</w:t>
            </w:r>
          </w:p>
        </w:tc>
        <w:tc>
          <w:tcPr>
            <w:tcW w:w="752" w:type="pct"/>
            <w:tcBorders>
              <w:top w:val="nil"/>
              <w:left w:val="nil"/>
              <w:bottom w:val="nil"/>
              <w:right w:val="nil"/>
            </w:tcBorders>
            <w:vAlign w:val="center"/>
            <w:hideMark/>
          </w:tcPr>
          <w:p w14:paraId="3F4EBF2D"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4B08FFE8"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334E49F7"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080C2681" w14:textId="77777777" w:rsidTr="00A74C68">
        <w:trPr>
          <w:divId w:val="215430599"/>
          <w:trHeight w:val="170"/>
        </w:trPr>
        <w:tc>
          <w:tcPr>
            <w:tcW w:w="2634" w:type="pct"/>
            <w:tcBorders>
              <w:top w:val="nil"/>
              <w:left w:val="nil"/>
              <w:bottom w:val="nil"/>
              <w:right w:val="nil"/>
            </w:tcBorders>
            <w:noWrap/>
            <w:vAlign w:val="center"/>
            <w:hideMark/>
          </w:tcPr>
          <w:p w14:paraId="69EF604F" w14:textId="77777777" w:rsidR="00A74C68" w:rsidRPr="00471CBA" w:rsidRDefault="00A74C68" w:rsidP="00A74C68">
            <w:pPr>
              <w:jc w:val="both"/>
              <w:rPr>
                <w:color w:val="000000"/>
                <w:sz w:val="18"/>
                <w:szCs w:val="18"/>
              </w:rPr>
            </w:pPr>
            <w:r w:rsidRPr="00471CBA">
              <w:rPr>
                <w:color w:val="000000"/>
                <w:sz w:val="18"/>
                <w:szCs w:val="18"/>
              </w:rPr>
              <w:t>Taksitsiz</w:t>
            </w:r>
          </w:p>
        </w:tc>
        <w:tc>
          <w:tcPr>
            <w:tcW w:w="752" w:type="pct"/>
            <w:tcBorders>
              <w:top w:val="nil"/>
              <w:left w:val="nil"/>
              <w:bottom w:val="nil"/>
              <w:right w:val="nil"/>
            </w:tcBorders>
            <w:vAlign w:val="center"/>
            <w:hideMark/>
          </w:tcPr>
          <w:p w14:paraId="1F4EB122"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28EE378D"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55D5D9AA"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443C9545" w14:textId="77777777" w:rsidTr="00A74C68">
        <w:trPr>
          <w:divId w:val="215430599"/>
          <w:trHeight w:val="170"/>
        </w:trPr>
        <w:tc>
          <w:tcPr>
            <w:tcW w:w="2634" w:type="pct"/>
            <w:tcBorders>
              <w:top w:val="nil"/>
              <w:left w:val="nil"/>
              <w:bottom w:val="nil"/>
              <w:right w:val="nil"/>
            </w:tcBorders>
            <w:noWrap/>
            <w:vAlign w:val="center"/>
            <w:hideMark/>
          </w:tcPr>
          <w:p w14:paraId="552DCAE0" w14:textId="77777777" w:rsidR="00A74C68" w:rsidRPr="00471CBA" w:rsidRDefault="00A74C68" w:rsidP="00A74C68">
            <w:pPr>
              <w:jc w:val="both"/>
              <w:rPr>
                <w:b/>
                <w:bCs/>
                <w:color w:val="000000"/>
                <w:sz w:val="18"/>
                <w:szCs w:val="18"/>
              </w:rPr>
            </w:pPr>
            <w:r w:rsidRPr="00471CBA">
              <w:rPr>
                <w:b/>
                <w:bCs/>
                <w:color w:val="000000"/>
                <w:sz w:val="18"/>
                <w:szCs w:val="18"/>
              </w:rPr>
              <w:t>Bireysel Kredi Kartları-YP</w:t>
            </w:r>
          </w:p>
        </w:tc>
        <w:tc>
          <w:tcPr>
            <w:tcW w:w="752" w:type="pct"/>
            <w:tcBorders>
              <w:top w:val="nil"/>
              <w:left w:val="nil"/>
              <w:bottom w:val="nil"/>
              <w:right w:val="nil"/>
            </w:tcBorders>
            <w:vAlign w:val="center"/>
            <w:hideMark/>
          </w:tcPr>
          <w:p w14:paraId="58CCCD10"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43E3C8E9"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149F7447"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6463706B" w14:textId="77777777" w:rsidTr="00A74C68">
        <w:trPr>
          <w:divId w:val="215430599"/>
          <w:trHeight w:val="170"/>
        </w:trPr>
        <w:tc>
          <w:tcPr>
            <w:tcW w:w="2634" w:type="pct"/>
            <w:tcBorders>
              <w:top w:val="nil"/>
              <w:left w:val="nil"/>
              <w:bottom w:val="nil"/>
              <w:right w:val="nil"/>
            </w:tcBorders>
            <w:noWrap/>
            <w:vAlign w:val="center"/>
            <w:hideMark/>
          </w:tcPr>
          <w:p w14:paraId="63374ADC" w14:textId="77777777" w:rsidR="00A74C68" w:rsidRPr="00471CBA" w:rsidRDefault="00A74C68" w:rsidP="00A74C68">
            <w:pPr>
              <w:jc w:val="both"/>
              <w:rPr>
                <w:color w:val="000000"/>
                <w:sz w:val="18"/>
                <w:szCs w:val="18"/>
              </w:rPr>
            </w:pPr>
            <w:r w:rsidRPr="00471CBA">
              <w:rPr>
                <w:color w:val="000000"/>
                <w:sz w:val="18"/>
                <w:szCs w:val="18"/>
              </w:rPr>
              <w:t>Taksitli</w:t>
            </w:r>
          </w:p>
        </w:tc>
        <w:tc>
          <w:tcPr>
            <w:tcW w:w="752" w:type="pct"/>
            <w:tcBorders>
              <w:top w:val="nil"/>
              <w:left w:val="nil"/>
              <w:bottom w:val="nil"/>
              <w:right w:val="nil"/>
            </w:tcBorders>
            <w:vAlign w:val="center"/>
            <w:hideMark/>
          </w:tcPr>
          <w:p w14:paraId="5B3FCF1C"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39F9424F"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2A71A213"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6905FE44" w14:textId="77777777" w:rsidTr="00A74C68">
        <w:trPr>
          <w:divId w:val="215430599"/>
          <w:trHeight w:val="170"/>
        </w:trPr>
        <w:tc>
          <w:tcPr>
            <w:tcW w:w="2634" w:type="pct"/>
            <w:tcBorders>
              <w:top w:val="nil"/>
              <w:left w:val="nil"/>
              <w:bottom w:val="nil"/>
              <w:right w:val="nil"/>
            </w:tcBorders>
            <w:noWrap/>
            <w:vAlign w:val="center"/>
            <w:hideMark/>
          </w:tcPr>
          <w:p w14:paraId="55DC9794" w14:textId="77777777" w:rsidR="00A74C68" w:rsidRPr="00471CBA" w:rsidRDefault="00A74C68" w:rsidP="00A74C68">
            <w:pPr>
              <w:jc w:val="both"/>
              <w:rPr>
                <w:color w:val="000000"/>
                <w:sz w:val="18"/>
                <w:szCs w:val="18"/>
              </w:rPr>
            </w:pPr>
            <w:r w:rsidRPr="00471CBA">
              <w:rPr>
                <w:color w:val="000000"/>
                <w:sz w:val="18"/>
                <w:szCs w:val="18"/>
              </w:rPr>
              <w:t>Taksitsiz</w:t>
            </w:r>
          </w:p>
        </w:tc>
        <w:tc>
          <w:tcPr>
            <w:tcW w:w="752" w:type="pct"/>
            <w:tcBorders>
              <w:top w:val="nil"/>
              <w:left w:val="nil"/>
              <w:bottom w:val="nil"/>
              <w:right w:val="nil"/>
            </w:tcBorders>
            <w:vAlign w:val="center"/>
            <w:hideMark/>
          </w:tcPr>
          <w:p w14:paraId="0AAFF963"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1BFEFEAB"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207CA656"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090EF273" w14:textId="77777777" w:rsidTr="00A74C68">
        <w:trPr>
          <w:divId w:val="215430599"/>
          <w:trHeight w:val="170"/>
        </w:trPr>
        <w:tc>
          <w:tcPr>
            <w:tcW w:w="2634" w:type="pct"/>
            <w:tcBorders>
              <w:top w:val="nil"/>
              <w:left w:val="nil"/>
              <w:bottom w:val="nil"/>
              <w:right w:val="nil"/>
            </w:tcBorders>
            <w:noWrap/>
            <w:vAlign w:val="center"/>
            <w:hideMark/>
          </w:tcPr>
          <w:p w14:paraId="25F86C6B" w14:textId="77777777" w:rsidR="00A74C68" w:rsidRPr="00471CBA" w:rsidRDefault="00A74C68" w:rsidP="00A74C68">
            <w:pPr>
              <w:jc w:val="both"/>
              <w:rPr>
                <w:b/>
                <w:bCs/>
                <w:color w:val="000000"/>
                <w:sz w:val="18"/>
                <w:szCs w:val="18"/>
              </w:rPr>
            </w:pPr>
            <w:r w:rsidRPr="00471CBA">
              <w:rPr>
                <w:b/>
                <w:bCs/>
                <w:color w:val="000000"/>
                <w:sz w:val="18"/>
                <w:szCs w:val="18"/>
              </w:rPr>
              <w:t>Personel Kredileri-TP</w:t>
            </w:r>
          </w:p>
        </w:tc>
        <w:tc>
          <w:tcPr>
            <w:tcW w:w="752" w:type="pct"/>
            <w:tcBorders>
              <w:top w:val="nil"/>
              <w:left w:val="nil"/>
              <w:bottom w:val="nil"/>
              <w:right w:val="nil"/>
            </w:tcBorders>
            <w:vAlign w:val="center"/>
            <w:hideMark/>
          </w:tcPr>
          <w:p w14:paraId="4664060F"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06494857"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4468F1BF"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14CE5167" w14:textId="77777777" w:rsidTr="00A74C68">
        <w:trPr>
          <w:divId w:val="215430599"/>
          <w:trHeight w:val="170"/>
        </w:trPr>
        <w:tc>
          <w:tcPr>
            <w:tcW w:w="2634" w:type="pct"/>
            <w:tcBorders>
              <w:top w:val="nil"/>
              <w:left w:val="nil"/>
              <w:bottom w:val="nil"/>
              <w:right w:val="nil"/>
            </w:tcBorders>
            <w:noWrap/>
            <w:vAlign w:val="center"/>
            <w:hideMark/>
          </w:tcPr>
          <w:p w14:paraId="1D77D2E3" w14:textId="77777777" w:rsidR="00A74C68" w:rsidRPr="00471CBA" w:rsidRDefault="00A74C68" w:rsidP="00A74C68">
            <w:pPr>
              <w:jc w:val="both"/>
              <w:rPr>
                <w:color w:val="000000"/>
                <w:sz w:val="18"/>
                <w:szCs w:val="18"/>
              </w:rPr>
            </w:pPr>
            <w:r w:rsidRPr="00471CBA">
              <w:rPr>
                <w:color w:val="000000"/>
                <w:sz w:val="18"/>
                <w:szCs w:val="18"/>
              </w:rPr>
              <w:t>Konut Kredisi</w:t>
            </w:r>
          </w:p>
        </w:tc>
        <w:tc>
          <w:tcPr>
            <w:tcW w:w="752" w:type="pct"/>
            <w:tcBorders>
              <w:top w:val="nil"/>
              <w:left w:val="nil"/>
              <w:bottom w:val="nil"/>
              <w:right w:val="nil"/>
            </w:tcBorders>
            <w:vAlign w:val="center"/>
            <w:hideMark/>
          </w:tcPr>
          <w:p w14:paraId="18E20F48"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3370F534"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0F7BA0A3"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12321D02" w14:textId="77777777" w:rsidTr="00A74C68">
        <w:trPr>
          <w:divId w:val="215430599"/>
          <w:trHeight w:val="170"/>
        </w:trPr>
        <w:tc>
          <w:tcPr>
            <w:tcW w:w="2634" w:type="pct"/>
            <w:tcBorders>
              <w:top w:val="nil"/>
              <w:left w:val="nil"/>
              <w:bottom w:val="nil"/>
              <w:right w:val="nil"/>
            </w:tcBorders>
            <w:noWrap/>
            <w:vAlign w:val="center"/>
            <w:hideMark/>
          </w:tcPr>
          <w:p w14:paraId="4A159B22" w14:textId="77777777" w:rsidR="00A74C68" w:rsidRPr="00471CBA" w:rsidRDefault="00A74C68" w:rsidP="00A74C68">
            <w:pPr>
              <w:jc w:val="both"/>
              <w:rPr>
                <w:color w:val="000000"/>
                <w:sz w:val="18"/>
                <w:szCs w:val="18"/>
              </w:rPr>
            </w:pPr>
            <w:r w:rsidRPr="00471CBA">
              <w:rPr>
                <w:color w:val="000000"/>
                <w:sz w:val="18"/>
                <w:szCs w:val="18"/>
              </w:rPr>
              <w:t>Taşıt Kredisi</w:t>
            </w:r>
          </w:p>
        </w:tc>
        <w:tc>
          <w:tcPr>
            <w:tcW w:w="752" w:type="pct"/>
            <w:tcBorders>
              <w:top w:val="nil"/>
              <w:left w:val="nil"/>
              <w:bottom w:val="nil"/>
              <w:right w:val="nil"/>
            </w:tcBorders>
            <w:vAlign w:val="center"/>
            <w:hideMark/>
          </w:tcPr>
          <w:p w14:paraId="39ED4277"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5E1BA446"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6579F17C"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42765ECE" w14:textId="77777777" w:rsidTr="00A74C68">
        <w:trPr>
          <w:divId w:val="215430599"/>
          <w:trHeight w:val="170"/>
        </w:trPr>
        <w:tc>
          <w:tcPr>
            <w:tcW w:w="2634" w:type="pct"/>
            <w:tcBorders>
              <w:top w:val="nil"/>
              <w:left w:val="nil"/>
              <w:bottom w:val="nil"/>
              <w:right w:val="nil"/>
            </w:tcBorders>
            <w:noWrap/>
            <w:vAlign w:val="center"/>
            <w:hideMark/>
          </w:tcPr>
          <w:p w14:paraId="278F8BFA" w14:textId="77777777" w:rsidR="00A74C68" w:rsidRPr="00471CBA" w:rsidRDefault="00A74C68" w:rsidP="00A74C68">
            <w:pPr>
              <w:jc w:val="both"/>
              <w:rPr>
                <w:color w:val="000000"/>
                <w:sz w:val="18"/>
                <w:szCs w:val="18"/>
              </w:rPr>
            </w:pPr>
            <w:r w:rsidRPr="00471CBA">
              <w:rPr>
                <w:color w:val="000000"/>
                <w:sz w:val="18"/>
                <w:szCs w:val="18"/>
              </w:rPr>
              <w:t>İhtiyaç Kredisi</w:t>
            </w:r>
          </w:p>
        </w:tc>
        <w:tc>
          <w:tcPr>
            <w:tcW w:w="752" w:type="pct"/>
            <w:tcBorders>
              <w:top w:val="nil"/>
              <w:left w:val="nil"/>
              <w:bottom w:val="nil"/>
              <w:right w:val="nil"/>
            </w:tcBorders>
            <w:vAlign w:val="center"/>
            <w:hideMark/>
          </w:tcPr>
          <w:p w14:paraId="48F9BCC7"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2FCBF8A8"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3F0F211E"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47ABC0A8" w14:textId="77777777" w:rsidTr="00A74C68">
        <w:trPr>
          <w:divId w:val="215430599"/>
          <w:trHeight w:val="170"/>
        </w:trPr>
        <w:tc>
          <w:tcPr>
            <w:tcW w:w="2634" w:type="pct"/>
            <w:tcBorders>
              <w:top w:val="nil"/>
              <w:left w:val="nil"/>
              <w:bottom w:val="nil"/>
              <w:right w:val="nil"/>
            </w:tcBorders>
            <w:noWrap/>
            <w:vAlign w:val="center"/>
            <w:hideMark/>
          </w:tcPr>
          <w:p w14:paraId="521FD5AF" w14:textId="77777777" w:rsidR="00A74C68" w:rsidRPr="00471CBA" w:rsidRDefault="00A74C68" w:rsidP="00A74C68">
            <w:pPr>
              <w:jc w:val="both"/>
              <w:rPr>
                <w:color w:val="000000"/>
                <w:sz w:val="18"/>
                <w:szCs w:val="18"/>
              </w:rPr>
            </w:pPr>
            <w:r w:rsidRPr="00471CBA">
              <w:rPr>
                <w:color w:val="000000"/>
                <w:sz w:val="18"/>
                <w:szCs w:val="18"/>
              </w:rPr>
              <w:t>Diğer</w:t>
            </w:r>
          </w:p>
        </w:tc>
        <w:tc>
          <w:tcPr>
            <w:tcW w:w="752" w:type="pct"/>
            <w:tcBorders>
              <w:top w:val="nil"/>
              <w:left w:val="nil"/>
              <w:bottom w:val="nil"/>
              <w:right w:val="nil"/>
            </w:tcBorders>
            <w:vAlign w:val="center"/>
            <w:hideMark/>
          </w:tcPr>
          <w:p w14:paraId="2A55740A"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2B5178D4"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6F9524A5"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03AFA558" w14:textId="77777777" w:rsidTr="00A74C68">
        <w:trPr>
          <w:divId w:val="215430599"/>
          <w:trHeight w:val="170"/>
        </w:trPr>
        <w:tc>
          <w:tcPr>
            <w:tcW w:w="2634" w:type="pct"/>
            <w:tcBorders>
              <w:top w:val="nil"/>
              <w:left w:val="nil"/>
              <w:bottom w:val="nil"/>
              <w:right w:val="nil"/>
            </w:tcBorders>
            <w:noWrap/>
            <w:vAlign w:val="center"/>
            <w:hideMark/>
          </w:tcPr>
          <w:p w14:paraId="230ACA78" w14:textId="77777777" w:rsidR="00A74C68" w:rsidRPr="00471CBA" w:rsidRDefault="00A74C68" w:rsidP="00A74C68">
            <w:pPr>
              <w:jc w:val="both"/>
              <w:rPr>
                <w:b/>
                <w:bCs/>
                <w:color w:val="000000"/>
                <w:sz w:val="18"/>
                <w:szCs w:val="18"/>
              </w:rPr>
            </w:pPr>
            <w:r w:rsidRPr="00471CBA">
              <w:rPr>
                <w:b/>
                <w:bCs/>
                <w:color w:val="000000"/>
                <w:sz w:val="18"/>
                <w:szCs w:val="18"/>
              </w:rPr>
              <w:t>Personel Kredileri-Dövize Endeksli</w:t>
            </w:r>
          </w:p>
        </w:tc>
        <w:tc>
          <w:tcPr>
            <w:tcW w:w="752" w:type="pct"/>
            <w:tcBorders>
              <w:top w:val="nil"/>
              <w:left w:val="nil"/>
              <w:bottom w:val="nil"/>
              <w:right w:val="nil"/>
            </w:tcBorders>
            <w:vAlign w:val="center"/>
            <w:hideMark/>
          </w:tcPr>
          <w:p w14:paraId="70062479"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36B22FB7"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6CDD5FC3"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3E98CE68" w14:textId="77777777" w:rsidTr="00A74C68">
        <w:trPr>
          <w:divId w:val="215430599"/>
          <w:trHeight w:val="170"/>
        </w:trPr>
        <w:tc>
          <w:tcPr>
            <w:tcW w:w="2634" w:type="pct"/>
            <w:tcBorders>
              <w:top w:val="nil"/>
              <w:left w:val="nil"/>
              <w:bottom w:val="nil"/>
              <w:right w:val="nil"/>
            </w:tcBorders>
            <w:noWrap/>
            <w:vAlign w:val="center"/>
            <w:hideMark/>
          </w:tcPr>
          <w:p w14:paraId="0466CADC" w14:textId="77777777" w:rsidR="00A74C68" w:rsidRPr="00471CBA" w:rsidRDefault="00A74C68" w:rsidP="00A74C68">
            <w:pPr>
              <w:jc w:val="both"/>
              <w:rPr>
                <w:color w:val="000000"/>
                <w:sz w:val="18"/>
                <w:szCs w:val="18"/>
              </w:rPr>
            </w:pPr>
            <w:r w:rsidRPr="00471CBA">
              <w:rPr>
                <w:color w:val="000000"/>
                <w:sz w:val="18"/>
                <w:szCs w:val="18"/>
              </w:rPr>
              <w:t>Konut Kredisi</w:t>
            </w:r>
          </w:p>
        </w:tc>
        <w:tc>
          <w:tcPr>
            <w:tcW w:w="752" w:type="pct"/>
            <w:tcBorders>
              <w:top w:val="nil"/>
              <w:left w:val="nil"/>
              <w:bottom w:val="nil"/>
              <w:right w:val="nil"/>
            </w:tcBorders>
            <w:vAlign w:val="center"/>
            <w:hideMark/>
          </w:tcPr>
          <w:p w14:paraId="7680FBA3"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4D429260"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0DF657F3"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480C43A4" w14:textId="77777777" w:rsidTr="00A74C68">
        <w:trPr>
          <w:divId w:val="215430599"/>
          <w:trHeight w:val="170"/>
        </w:trPr>
        <w:tc>
          <w:tcPr>
            <w:tcW w:w="2634" w:type="pct"/>
            <w:tcBorders>
              <w:top w:val="nil"/>
              <w:left w:val="nil"/>
              <w:bottom w:val="nil"/>
              <w:right w:val="nil"/>
            </w:tcBorders>
            <w:noWrap/>
            <w:vAlign w:val="center"/>
            <w:hideMark/>
          </w:tcPr>
          <w:p w14:paraId="0733506A" w14:textId="77777777" w:rsidR="00A74C68" w:rsidRPr="00471CBA" w:rsidRDefault="00A74C68" w:rsidP="00A74C68">
            <w:pPr>
              <w:jc w:val="both"/>
              <w:rPr>
                <w:color w:val="000000"/>
                <w:sz w:val="18"/>
                <w:szCs w:val="18"/>
              </w:rPr>
            </w:pPr>
            <w:r w:rsidRPr="00471CBA">
              <w:rPr>
                <w:color w:val="000000"/>
                <w:sz w:val="18"/>
                <w:szCs w:val="18"/>
              </w:rPr>
              <w:t>Taşıt Kredisi</w:t>
            </w:r>
          </w:p>
        </w:tc>
        <w:tc>
          <w:tcPr>
            <w:tcW w:w="752" w:type="pct"/>
            <w:tcBorders>
              <w:top w:val="nil"/>
              <w:left w:val="nil"/>
              <w:bottom w:val="nil"/>
              <w:right w:val="nil"/>
            </w:tcBorders>
            <w:vAlign w:val="center"/>
            <w:hideMark/>
          </w:tcPr>
          <w:p w14:paraId="56A0A3CF"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6BB929F8"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398BECE8"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6B35BFC5" w14:textId="77777777" w:rsidTr="00A74C68">
        <w:trPr>
          <w:divId w:val="215430599"/>
          <w:trHeight w:val="170"/>
        </w:trPr>
        <w:tc>
          <w:tcPr>
            <w:tcW w:w="2634" w:type="pct"/>
            <w:tcBorders>
              <w:top w:val="nil"/>
              <w:left w:val="nil"/>
              <w:bottom w:val="nil"/>
              <w:right w:val="nil"/>
            </w:tcBorders>
            <w:noWrap/>
            <w:vAlign w:val="center"/>
            <w:hideMark/>
          </w:tcPr>
          <w:p w14:paraId="198BCFBC" w14:textId="77777777" w:rsidR="00A74C68" w:rsidRPr="00471CBA" w:rsidRDefault="00A74C68" w:rsidP="00A74C68">
            <w:pPr>
              <w:jc w:val="both"/>
              <w:rPr>
                <w:color w:val="000000"/>
                <w:sz w:val="18"/>
                <w:szCs w:val="18"/>
              </w:rPr>
            </w:pPr>
            <w:r w:rsidRPr="00471CBA">
              <w:rPr>
                <w:color w:val="000000"/>
                <w:sz w:val="18"/>
                <w:szCs w:val="18"/>
              </w:rPr>
              <w:t>İhtiyaç Kredisi</w:t>
            </w:r>
          </w:p>
        </w:tc>
        <w:tc>
          <w:tcPr>
            <w:tcW w:w="752" w:type="pct"/>
            <w:tcBorders>
              <w:top w:val="nil"/>
              <w:left w:val="nil"/>
              <w:bottom w:val="nil"/>
              <w:right w:val="nil"/>
            </w:tcBorders>
            <w:vAlign w:val="center"/>
            <w:hideMark/>
          </w:tcPr>
          <w:p w14:paraId="23AD1B04"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42F23960"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618FF84E"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61C7B0E9" w14:textId="77777777" w:rsidTr="00A74C68">
        <w:trPr>
          <w:divId w:val="215430599"/>
          <w:trHeight w:val="170"/>
        </w:trPr>
        <w:tc>
          <w:tcPr>
            <w:tcW w:w="2634" w:type="pct"/>
            <w:tcBorders>
              <w:top w:val="nil"/>
              <w:left w:val="nil"/>
              <w:bottom w:val="nil"/>
              <w:right w:val="nil"/>
            </w:tcBorders>
            <w:noWrap/>
            <w:vAlign w:val="center"/>
            <w:hideMark/>
          </w:tcPr>
          <w:p w14:paraId="080AD6F1" w14:textId="77777777" w:rsidR="00A74C68" w:rsidRPr="00471CBA" w:rsidRDefault="00A74C68" w:rsidP="00A74C68">
            <w:pPr>
              <w:jc w:val="both"/>
              <w:rPr>
                <w:color w:val="000000"/>
                <w:sz w:val="18"/>
                <w:szCs w:val="18"/>
              </w:rPr>
            </w:pPr>
            <w:r w:rsidRPr="00471CBA">
              <w:rPr>
                <w:color w:val="000000"/>
                <w:sz w:val="18"/>
                <w:szCs w:val="18"/>
              </w:rPr>
              <w:t>Diğer</w:t>
            </w:r>
          </w:p>
        </w:tc>
        <w:tc>
          <w:tcPr>
            <w:tcW w:w="752" w:type="pct"/>
            <w:tcBorders>
              <w:top w:val="nil"/>
              <w:left w:val="nil"/>
              <w:bottom w:val="nil"/>
              <w:right w:val="nil"/>
            </w:tcBorders>
            <w:vAlign w:val="center"/>
            <w:hideMark/>
          </w:tcPr>
          <w:p w14:paraId="22E47E18"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32C62E72"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77F08914"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56247041" w14:textId="77777777" w:rsidTr="00A74C68">
        <w:trPr>
          <w:divId w:val="215430599"/>
          <w:trHeight w:val="170"/>
        </w:trPr>
        <w:tc>
          <w:tcPr>
            <w:tcW w:w="2634" w:type="pct"/>
            <w:tcBorders>
              <w:top w:val="nil"/>
              <w:left w:val="nil"/>
              <w:bottom w:val="nil"/>
              <w:right w:val="nil"/>
            </w:tcBorders>
            <w:noWrap/>
            <w:vAlign w:val="center"/>
            <w:hideMark/>
          </w:tcPr>
          <w:p w14:paraId="44DAC32B" w14:textId="77777777" w:rsidR="00A74C68" w:rsidRPr="00471CBA" w:rsidRDefault="00A74C68" w:rsidP="00A74C68">
            <w:pPr>
              <w:jc w:val="both"/>
              <w:rPr>
                <w:b/>
                <w:bCs/>
                <w:color w:val="000000"/>
                <w:sz w:val="18"/>
                <w:szCs w:val="18"/>
              </w:rPr>
            </w:pPr>
            <w:r w:rsidRPr="00471CBA">
              <w:rPr>
                <w:b/>
                <w:bCs/>
                <w:color w:val="000000"/>
                <w:sz w:val="18"/>
                <w:szCs w:val="18"/>
              </w:rPr>
              <w:t>Personel Kredileri-YP</w:t>
            </w:r>
          </w:p>
        </w:tc>
        <w:tc>
          <w:tcPr>
            <w:tcW w:w="752" w:type="pct"/>
            <w:tcBorders>
              <w:top w:val="nil"/>
              <w:left w:val="nil"/>
              <w:bottom w:val="nil"/>
              <w:right w:val="nil"/>
            </w:tcBorders>
            <w:vAlign w:val="center"/>
            <w:hideMark/>
          </w:tcPr>
          <w:p w14:paraId="177E3160"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5F38E0CD"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241509C4"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56AEA267" w14:textId="77777777" w:rsidTr="00A74C68">
        <w:trPr>
          <w:divId w:val="215430599"/>
          <w:trHeight w:val="170"/>
        </w:trPr>
        <w:tc>
          <w:tcPr>
            <w:tcW w:w="2634" w:type="pct"/>
            <w:tcBorders>
              <w:top w:val="nil"/>
              <w:left w:val="nil"/>
              <w:bottom w:val="nil"/>
              <w:right w:val="nil"/>
            </w:tcBorders>
            <w:noWrap/>
            <w:vAlign w:val="center"/>
            <w:hideMark/>
          </w:tcPr>
          <w:p w14:paraId="4EF35577" w14:textId="77777777" w:rsidR="00A74C68" w:rsidRPr="00471CBA" w:rsidRDefault="00A74C68" w:rsidP="00A74C68">
            <w:pPr>
              <w:jc w:val="both"/>
              <w:rPr>
                <w:color w:val="000000"/>
                <w:sz w:val="18"/>
                <w:szCs w:val="18"/>
              </w:rPr>
            </w:pPr>
            <w:r w:rsidRPr="00471CBA">
              <w:rPr>
                <w:color w:val="000000"/>
                <w:sz w:val="18"/>
                <w:szCs w:val="18"/>
              </w:rPr>
              <w:t>Konut Kredisi</w:t>
            </w:r>
          </w:p>
        </w:tc>
        <w:tc>
          <w:tcPr>
            <w:tcW w:w="752" w:type="pct"/>
            <w:tcBorders>
              <w:top w:val="nil"/>
              <w:left w:val="nil"/>
              <w:bottom w:val="nil"/>
              <w:right w:val="nil"/>
            </w:tcBorders>
            <w:vAlign w:val="center"/>
            <w:hideMark/>
          </w:tcPr>
          <w:p w14:paraId="682286A0"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0F93A482"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2E1AD6C9"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5BDF8C36" w14:textId="77777777" w:rsidTr="00A74C68">
        <w:trPr>
          <w:divId w:val="215430599"/>
          <w:trHeight w:val="170"/>
        </w:trPr>
        <w:tc>
          <w:tcPr>
            <w:tcW w:w="2634" w:type="pct"/>
            <w:tcBorders>
              <w:top w:val="nil"/>
              <w:left w:val="nil"/>
              <w:bottom w:val="nil"/>
              <w:right w:val="nil"/>
            </w:tcBorders>
            <w:noWrap/>
            <w:vAlign w:val="center"/>
            <w:hideMark/>
          </w:tcPr>
          <w:p w14:paraId="04992AE7" w14:textId="77777777" w:rsidR="00A74C68" w:rsidRPr="00471CBA" w:rsidRDefault="00A74C68" w:rsidP="00A74C68">
            <w:pPr>
              <w:jc w:val="both"/>
              <w:rPr>
                <w:color w:val="000000"/>
                <w:sz w:val="18"/>
                <w:szCs w:val="18"/>
              </w:rPr>
            </w:pPr>
            <w:r w:rsidRPr="00471CBA">
              <w:rPr>
                <w:color w:val="000000"/>
                <w:sz w:val="18"/>
                <w:szCs w:val="18"/>
              </w:rPr>
              <w:t>Taşıt Kredisi</w:t>
            </w:r>
          </w:p>
        </w:tc>
        <w:tc>
          <w:tcPr>
            <w:tcW w:w="752" w:type="pct"/>
            <w:tcBorders>
              <w:top w:val="nil"/>
              <w:left w:val="nil"/>
              <w:bottom w:val="nil"/>
              <w:right w:val="nil"/>
            </w:tcBorders>
            <w:vAlign w:val="center"/>
            <w:hideMark/>
          </w:tcPr>
          <w:p w14:paraId="030F9F76"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0965268C"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08847094"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44BC3255" w14:textId="77777777" w:rsidTr="00A74C68">
        <w:trPr>
          <w:divId w:val="215430599"/>
          <w:trHeight w:val="170"/>
        </w:trPr>
        <w:tc>
          <w:tcPr>
            <w:tcW w:w="2634" w:type="pct"/>
            <w:tcBorders>
              <w:top w:val="nil"/>
              <w:left w:val="nil"/>
              <w:bottom w:val="nil"/>
              <w:right w:val="nil"/>
            </w:tcBorders>
            <w:noWrap/>
            <w:vAlign w:val="center"/>
            <w:hideMark/>
          </w:tcPr>
          <w:p w14:paraId="2A12D5E1" w14:textId="77777777" w:rsidR="00A74C68" w:rsidRPr="00471CBA" w:rsidRDefault="00A74C68" w:rsidP="00A74C68">
            <w:pPr>
              <w:jc w:val="both"/>
              <w:rPr>
                <w:color w:val="000000"/>
                <w:sz w:val="18"/>
                <w:szCs w:val="18"/>
              </w:rPr>
            </w:pPr>
            <w:r w:rsidRPr="00471CBA">
              <w:rPr>
                <w:color w:val="000000"/>
                <w:sz w:val="18"/>
                <w:szCs w:val="18"/>
              </w:rPr>
              <w:t>İhtiyaç Kredisi</w:t>
            </w:r>
          </w:p>
        </w:tc>
        <w:tc>
          <w:tcPr>
            <w:tcW w:w="752" w:type="pct"/>
            <w:tcBorders>
              <w:top w:val="nil"/>
              <w:left w:val="nil"/>
              <w:bottom w:val="nil"/>
              <w:right w:val="nil"/>
            </w:tcBorders>
            <w:vAlign w:val="center"/>
            <w:hideMark/>
          </w:tcPr>
          <w:p w14:paraId="2FA3D8A7"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3BBB562F"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1CE628E9"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102B15C1" w14:textId="77777777" w:rsidTr="00A74C68">
        <w:trPr>
          <w:divId w:val="215430599"/>
          <w:trHeight w:val="170"/>
        </w:trPr>
        <w:tc>
          <w:tcPr>
            <w:tcW w:w="2634" w:type="pct"/>
            <w:tcBorders>
              <w:top w:val="nil"/>
              <w:left w:val="nil"/>
              <w:bottom w:val="nil"/>
              <w:right w:val="nil"/>
            </w:tcBorders>
            <w:noWrap/>
            <w:vAlign w:val="center"/>
            <w:hideMark/>
          </w:tcPr>
          <w:p w14:paraId="02E3CFDC" w14:textId="77777777" w:rsidR="00A74C68" w:rsidRPr="00471CBA" w:rsidRDefault="00A74C68" w:rsidP="00A74C68">
            <w:pPr>
              <w:jc w:val="both"/>
              <w:rPr>
                <w:color w:val="000000"/>
                <w:sz w:val="18"/>
                <w:szCs w:val="18"/>
              </w:rPr>
            </w:pPr>
            <w:r w:rsidRPr="00471CBA">
              <w:rPr>
                <w:color w:val="000000"/>
                <w:sz w:val="18"/>
                <w:szCs w:val="18"/>
              </w:rPr>
              <w:t>Diğer</w:t>
            </w:r>
          </w:p>
        </w:tc>
        <w:tc>
          <w:tcPr>
            <w:tcW w:w="752" w:type="pct"/>
            <w:tcBorders>
              <w:top w:val="nil"/>
              <w:left w:val="nil"/>
              <w:bottom w:val="nil"/>
              <w:right w:val="nil"/>
            </w:tcBorders>
            <w:vAlign w:val="center"/>
            <w:hideMark/>
          </w:tcPr>
          <w:p w14:paraId="78A9CA63"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24C64343"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650F1F27"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00FA75FA" w14:textId="77777777" w:rsidTr="00A74C68">
        <w:trPr>
          <w:divId w:val="215430599"/>
          <w:trHeight w:val="170"/>
        </w:trPr>
        <w:tc>
          <w:tcPr>
            <w:tcW w:w="2634" w:type="pct"/>
            <w:tcBorders>
              <w:top w:val="nil"/>
              <w:left w:val="nil"/>
              <w:bottom w:val="nil"/>
              <w:right w:val="nil"/>
            </w:tcBorders>
            <w:noWrap/>
            <w:vAlign w:val="center"/>
            <w:hideMark/>
          </w:tcPr>
          <w:p w14:paraId="5FEE46E2" w14:textId="77777777" w:rsidR="00A74C68" w:rsidRPr="00471CBA" w:rsidRDefault="00A74C68" w:rsidP="00A74C68">
            <w:pPr>
              <w:jc w:val="both"/>
              <w:rPr>
                <w:b/>
                <w:bCs/>
                <w:color w:val="000000"/>
                <w:sz w:val="18"/>
                <w:szCs w:val="18"/>
              </w:rPr>
            </w:pPr>
            <w:r w:rsidRPr="00471CBA">
              <w:rPr>
                <w:b/>
                <w:bCs/>
                <w:color w:val="000000"/>
                <w:sz w:val="18"/>
                <w:szCs w:val="18"/>
              </w:rPr>
              <w:t>Personel Kredi Kartları-TP</w:t>
            </w:r>
          </w:p>
        </w:tc>
        <w:tc>
          <w:tcPr>
            <w:tcW w:w="752" w:type="pct"/>
            <w:tcBorders>
              <w:top w:val="nil"/>
              <w:left w:val="nil"/>
              <w:bottom w:val="nil"/>
              <w:right w:val="nil"/>
            </w:tcBorders>
            <w:vAlign w:val="center"/>
            <w:hideMark/>
          </w:tcPr>
          <w:p w14:paraId="532227AA"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60587D3F"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3DC9C795"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35E0ACA0" w14:textId="77777777" w:rsidTr="00A74C68">
        <w:trPr>
          <w:divId w:val="215430599"/>
          <w:trHeight w:val="170"/>
        </w:trPr>
        <w:tc>
          <w:tcPr>
            <w:tcW w:w="2634" w:type="pct"/>
            <w:tcBorders>
              <w:top w:val="nil"/>
              <w:left w:val="nil"/>
              <w:bottom w:val="nil"/>
              <w:right w:val="nil"/>
            </w:tcBorders>
            <w:noWrap/>
            <w:vAlign w:val="center"/>
            <w:hideMark/>
          </w:tcPr>
          <w:p w14:paraId="238C98F1" w14:textId="77777777" w:rsidR="00A74C68" w:rsidRPr="00471CBA" w:rsidRDefault="00A74C68" w:rsidP="00A74C68">
            <w:pPr>
              <w:jc w:val="both"/>
              <w:rPr>
                <w:color w:val="000000"/>
                <w:sz w:val="18"/>
                <w:szCs w:val="18"/>
              </w:rPr>
            </w:pPr>
            <w:r w:rsidRPr="00471CBA">
              <w:rPr>
                <w:color w:val="000000"/>
                <w:sz w:val="18"/>
                <w:szCs w:val="18"/>
              </w:rPr>
              <w:t xml:space="preserve">Taksitli </w:t>
            </w:r>
          </w:p>
        </w:tc>
        <w:tc>
          <w:tcPr>
            <w:tcW w:w="752" w:type="pct"/>
            <w:tcBorders>
              <w:top w:val="nil"/>
              <w:left w:val="nil"/>
              <w:bottom w:val="nil"/>
              <w:right w:val="nil"/>
            </w:tcBorders>
            <w:vAlign w:val="center"/>
            <w:hideMark/>
          </w:tcPr>
          <w:p w14:paraId="63D413F7"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5A0EDBD5"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07146E86"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03CDF7AD" w14:textId="77777777" w:rsidTr="00A74C68">
        <w:trPr>
          <w:divId w:val="215430599"/>
          <w:trHeight w:val="170"/>
        </w:trPr>
        <w:tc>
          <w:tcPr>
            <w:tcW w:w="2634" w:type="pct"/>
            <w:tcBorders>
              <w:top w:val="nil"/>
              <w:left w:val="nil"/>
              <w:bottom w:val="nil"/>
              <w:right w:val="nil"/>
            </w:tcBorders>
            <w:noWrap/>
            <w:vAlign w:val="center"/>
            <w:hideMark/>
          </w:tcPr>
          <w:p w14:paraId="074B3478" w14:textId="77777777" w:rsidR="00A74C68" w:rsidRPr="00471CBA" w:rsidRDefault="00A74C68" w:rsidP="00A74C68">
            <w:pPr>
              <w:jc w:val="both"/>
              <w:rPr>
                <w:color w:val="000000"/>
                <w:sz w:val="18"/>
                <w:szCs w:val="18"/>
              </w:rPr>
            </w:pPr>
            <w:r w:rsidRPr="00471CBA">
              <w:rPr>
                <w:color w:val="000000"/>
                <w:sz w:val="18"/>
                <w:szCs w:val="18"/>
              </w:rPr>
              <w:t>Taksitsiz</w:t>
            </w:r>
          </w:p>
        </w:tc>
        <w:tc>
          <w:tcPr>
            <w:tcW w:w="752" w:type="pct"/>
            <w:tcBorders>
              <w:top w:val="nil"/>
              <w:left w:val="nil"/>
              <w:bottom w:val="nil"/>
              <w:right w:val="nil"/>
            </w:tcBorders>
            <w:vAlign w:val="center"/>
            <w:hideMark/>
          </w:tcPr>
          <w:p w14:paraId="6B2897DD"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0F56E2F0"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134CC929"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6B4B661D" w14:textId="77777777" w:rsidTr="00A74C68">
        <w:trPr>
          <w:divId w:val="215430599"/>
          <w:trHeight w:val="170"/>
        </w:trPr>
        <w:tc>
          <w:tcPr>
            <w:tcW w:w="2634" w:type="pct"/>
            <w:tcBorders>
              <w:top w:val="nil"/>
              <w:left w:val="nil"/>
              <w:bottom w:val="nil"/>
              <w:right w:val="nil"/>
            </w:tcBorders>
            <w:noWrap/>
            <w:vAlign w:val="center"/>
            <w:hideMark/>
          </w:tcPr>
          <w:p w14:paraId="0FA349CB" w14:textId="77777777" w:rsidR="00A74C68" w:rsidRPr="00471CBA" w:rsidRDefault="00A74C68" w:rsidP="00A74C68">
            <w:pPr>
              <w:jc w:val="both"/>
              <w:rPr>
                <w:b/>
                <w:bCs/>
                <w:color w:val="000000"/>
                <w:sz w:val="18"/>
                <w:szCs w:val="18"/>
              </w:rPr>
            </w:pPr>
            <w:r w:rsidRPr="00471CBA">
              <w:rPr>
                <w:b/>
                <w:bCs/>
                <w:color w:val="000000"/>
                <w:sz w:val="18"/>
                <w:szCs w:val="18"/>
              </w:rPr>
              <w:t>Personel Kredi Kartları-YP</w:t>
            </w:r>
          </w:p>
        </w:tc>
        <w:tc>
          <w:tcPr>
            <w:tcW w:w="752" w:type="pct"/>
            <w:tcBorders>
              <w:top w:val="nil"/>
              <w:left w:val="nil"/>
              <w:bottom w:val="nil"/>
              <w:right w:val="nil"/>
            </w:tcBorders>
            <w:vAlign w:val="center"/>
            <w:hideMark/>
          </w:tcPr>
          <w:p w14:paraId="0652AF17"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2D13BDA1"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695E8CC6"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6E0363F5" w14:textId="77777777" w:rsidTr="00A74C68">
        <w:trPr>
          <w:divId w:val="215430599"/>
          <w:trHeight w:val="170"/>
        </w:trPr>
        <w:tc>
          <w:tcPr>
            <w:tcW w:w="2634" w:type="pct"/>
            <w:tcBorders>
              <w:top w:val="nil"/>
              <w:left w:val="nil"/>
              <w:bottom w:val="nil"/>
              <w:right w:val="nil"/>
            </w:tcBorders>
            <w:noWrap/>
            <w:vAlign w:val="center"/>
            <w:hideMark/>
          </w:tcPr>
          <w:p w14:paraId="46994CBD" w14:textId="77777777" w:rsidR="00A74C68" w:rsidRPr="00471CBA" w:rsidRDefault="00A74C68" w:rsidP="00A74C68">
            <w:pPr>
              <w:jc w:val="both"/>
              <w:rPr>
                <w:color w:val="000000"/>
                <w:sz w:val="18"/>
                <w:szCs w:val="18"/>
              </w:rPr>
            </w:pPr>
            <w:r w:rsidRPr="00471CBA">
              <w:rPr>
                <w:color w:val="000000"/>
                <w:sz w:val="18"/>
                <w:szCs w:val="18"/>
              </w:rPr>
              <w:t xml:space="preserve">Taksitli </w:t>
            </w:r>
          </w:p>
        </w:tc>
        <w:tc>
          <w:tcPr>
            <w:tcW w:w="752" w:type="pct"/>
            <w:tcBorders>
              <w:top w:val="nil"/>
              <w:left w:val="nil"/>
              <w:bottom w:val="nil"/>
              <w:right w:val="nil"/>
            </w:tcBorders>
            <w:vAlign w:val="center"/>
            <w:hideMark/>
          </w:tcPr>
          <w:p w14:paraId="0221BF36"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63B13835"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20C62EF0"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07316AAE" w14:textId="77777777" w:rsidTr="00A74C68">
        <w:trPr>
          <w:divId w:val="215430599"/>
          <w:trHeight w:val="170"/>
        </w:trPr>
        <w:tc>
          <w:tcPr>
            <w:tcW w:w="2634" w:type="pct"/>
            <w:tcBorders>
              <w:top w:val="nil"/>
              <w:left w:val="nil"/>
              <w:bottom w:val="nil"/>
              <w:right w:val="nil"/>
            </w:tcBorders>
            <w:noWrap/>
            <w:vAlign w:val="center"/>
            <w:hideMark/>
          </w:tcPr>
          <w:p w14:paraId="131EA5BE" w14:textId="77777777" w:rsidR="00A74C68" w:rsidRPr="00471CBA" w:rsidRDefault="00A74C68" w:rsidP="00A74C68">
            <w:pPr>
              <w:jc w:val="both"/>
              <w:rPr>
                <w:color w:val="000000"/>
                <w:sz w:val="18"/>
                <w:szCs w:val="18"/>
              </w:rPr>
            </w:pPr>
            <w:r w:rsidRPr="00471CBA">
              <w:rPr>
                <w:color w:val="000000"/>
                <w:sz w:val="18"/>
                <w:szCs w:val="18"/>
              </w:rPr>
              <w:t>Taksitsiz</w:t>
            </w:r>
          </w:p>
        </w:tc>
        <w:tc>
          <w:tcPr>
            <w:tcW w:w="752" w:type="pct"/>
            <w:tcBorders>
              <w:top w:val="nil"/>
              <w:left w:val="nil"/>
              <w:bottom w:val="nil"/>
              <w:right w:val="nil"/>
            </w:tcBorders>
            <w:vAlign w:val="center"/>
            <w:hideMark/>
          </w:tcPr>
          <w:p w14:paraId="19C927B1"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nil"/>
              <w:right w:val="nil"/>
            </w:tcBorders>
            <w:vAlign w:val="center"/>
            <w:hideMark/>
          </w:tcPr>
          <w:p w14:paraId="55047795"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nil"/>
              <w:right w:val="nil"/>
            </w:tcBorders>
            <w:vAlign w:val="center"/>
            <w:hideMark/>
          </w:tcPr>
          <w:p w14:paraId="276C7781"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0947464E" w14:textId="77777777" w:rsidTr="00A74C68">
        <w:trPr>
          <w:divId w:val="215430599"/>
          <w:trHeight w:val="170"/>
        </w:trPr>
        <w:tc>
          <w:tcPr>
            <w:tcW w:w="2634" w:type="pct"/>
            <w:tcBorders>
              <w:top w:val="nil"/>
              <w:left w:val="nil"/>
              <w:right w:val="nil"/>
            </w:tcBorders>
            <w:noWrap/>
            <w:vAlign w:val="center"/>
            <w:hideMark/>
          </w:tcPr>
          <w:p w14:paraId="0DD64E62" w14:textId="77777777" w:rsidR="00A74C68" w:rsidRPr="00471CBA" w:rsidRDefault="00A74C68" w:rsidP="00A74C68">
            <w:pPr>
              <w:jc w:val="both"/>
              <w:rPr>
                <w:b/>
                <w:bCs/>
                <w:color w:val="000000"/>
                <w:sz w:val="18"/>
                <w:szCs w:val="18"/>
              </w:rPr>
            </w:pPr>
            <w:r w:rsidRPr="00471CBA">
              <w:rPr>
                <w:b/>
                <w:bCs/>
                <w:color w:val="000000"/>
                <w:sz w:val="18"/>
                <w:szCs w:val="18"/>
              </w:rPr>
              <w:t>Kredili Mevduat Hesabı-TP (Gerçek Kişi)</w:t>
            </w:r>
          </w:p>
        </w:tc>
        <w:tc>
          <w:tcPr>
            <w:tcW w:w="752" w:type="pct"/>
            <w:tcBorders>
              <w:top w:val="nil"/>
              <w:left w:val="nil"/>
              <w:right w:val="nil"/>
            </w:tcBorders>
            <w:vAlign w:val="center"/>
            <w:hideMark/>
          </w:tcPr>
          <w:p w14:paraId="7189CFC7"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right w:val="nil"/>
            </w:tcBorders>
            <w:vAlign w:val="center"/>
            <w:hideMark/>
          </w:tcPr>
          <w:p w14:paraId="4EF4FEC0"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right w:val="nil"/>
            </w:tcBorders>
            <w:vAlign w:val="center"/>
            <w:hideMark/>
          </w:tcPr>
          <w:p w14:paraId="27DDF686"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1ECDC6E7" w14:textId="77777777" w:rsidTr="00A74C68">
        <w:trPr>
          <w:divId w:val="215430599"/>
          <w:trHeight w:val="170"/>
        </w:trPr>
        <w:tc>
          <w:tcPr>
            <w:tcW w:w="2634" w:type="pct"/>
            <w:tcBorders>
              <w:top w:val="nil"/>
              <w:left w:val="nil"/>
              <w:bottom w:val="single" w:sz="4" w:space="0" w:color="auto"/>
              <w:right w:val="nil"/>
            </w:tcBorders>
            <w:noWrap/>
            <w:vAlign w:val="center"/>
            <w:hideMark/>
          </w:tcPr>
          <w:p w14:paraId="0E60C6BA" w14:textId="77777777" w:rsidR="00A74C68" w:rsidRPr="00471CBA" w:rsidRDefault="00A74C68" w:rsidP="00A74C68">
            <w:pPr>
              <w:jc w:val="both"/>
              <w:rPr>
                <w:b/>
                <w:bCs/>
                <w:color w:val="000000"/>
                <w:sz w:val="18"/>
                <w:szCs w:val="18"/>
              </w:rPr>
            </w:pPr>
            <w:r w:rsidRPr="00471CBA">
              <w:rPr>
                <w:b/>
                <w:bCs/>
                <w:color w:val="000000"/>
                <w:sz w:val="18"/>
                <w:szCs w:val="18"/>
              </w:rPr>
              <w:t>Kredili Mevduat Hesabı-YP (Gerçek Kişi)</w:t>
            </w:r>
          </w:p>
        </w:tc>
        <w:tc>
          <w:tcPr>
            <w:tcW w:w="752" w:type="pct"/>
            <w:tcBorders>
              <w:top w:val="nil"/>
              <w:left w:val="nil"/>
              <w:bottom w:val="single" w:sz="4" w:space="0" w:color="auto"/>
              <w:right w:val="nil"/>
            </w:tcBorders>
            <w:vAlign w:val="center"/>
            <w:hideMark/>
          </w:tcPr>
          <w:p w14:paraId="31B47D60" w14:textId="77777777" w:rsidR="00A74C68" w:rsidRPr="00471CBA" w:rsidRDefault="00A74C68" w:rsidP="00A74C68">
            <w:pPr>
              <w:jc w:val="right"/>
              <w:rPr>
                <w:color w:val="000000"/>
                <w:sz w:val="18"/>
                <w:szCs w:val="18"/>
              </w:rPr>
            </w:pPr>
            <w:r w:rsidRPr="00471CBA">
              <w:rPr>
                <w:color w:val="000000"/>
                <w:sz w:val="18"/>
                <w:szCs w:val="18"/>
              </w:rPr>
              <w:t>-</w:t>
            </w:r>
          </w:p>
        </w:tc>
        <w:tc>
          <w:tcPr>
            <w:tcW w:w="874" w:type="pct"/>
            <w:tcBorders>
              <w:top w:val="nil"/>
              <w:left w:val="nil"/>
              <w:bottom w:val="single" w:sz="4" w:space="0" w:color="auto"/>
              <w:right w:val="nil"/>
            </w:tcBorders>
            <w:vAlign w:val="center"/>
            <w:hideMark/>
          </w:tcPr>
          <w:p w14:paraId="743AA15E" w14:textId="77777777" w:rsidR="00A74C68" w:rsidRPr="00471CBA" w:rsidRDefault="00A74C68" w:rsidP="00A74C68">
            <w:pPr>
              <w:jc w:val="right"/>
              <w:rPr>
                <w:color w:val="000000"/>
                <w:sz w:val="18"/>
                <w:szCs w:val="18"/>
              </w:rPr>
            </w:pPr>
            <w:r w:rsidRPr="00471CBA">
              <w:rPr>
                <w:color w:val="000000"/>
                <w:sz w:val="18"/>
                <w:szCs w:val="18"/>
              </w:rPr>
              <w:t>-</w:t>
            </w:r>
          </w:p>
        </w:tc>
        <w:tc>
          <w:tcPr>
            <w:tcW w:w="740" w:type="pct"/>
            <w:tcBorders>
              <w:top w:val="nil"/>
              <w:left w:val="nil"/>
              <w:bottom w:val="single" w:sz="4" w:space="0" w:color="auto"/>
              <w:right w:val="nil"/>
            </w:tcBorders>
            <w:vAlign w:val="center"/>
            <w:hideMark/>
          </w:tcPr>
          <w:p w14:paraId="084D76A8" w14:textId="77777777" w:rsidR="00A74C68" w:rsidRPr="00471CBA" w:rsidRDefault="00A74C68" w:rsidP="00A74C68">
            <w:pPr>
              <w:jc w:val="right"/>
              <w:rPr>
                <w:color w:val="000000"/>
                <w:sz w:val="18"/>
                <w:szCs w:val="18"/>
              </w:rPr>
            </w:pPr>
            <w:r w:rsidRPr="00471CBA">
              <w:rPr>
                <w:color w:val="000000"/>
                <w:sz w:val="18"/>
                <w:szCs w:val="18"/>
              </w:rPr>
              <w:t>-</w:t>
            </w:r>
          </w:p>
        </w:tc>
      </w:tr>
      <w:tr w:rsidR="00A74C68" w:rsidRPr="00471CBA" w14:paraId="24D610E1" w14:textId="77777777" w:rsidTr="00A74C68">
        <w:trPr>
          <w:divId w:val="215430599"/>
          <w:trHeight w:val="170"/>
        </w:trPr>
        <w:tc>
          <w:tcPr>
            <w:tcW w:w="2634" w:type="pct"/>
            <w:tcBorders>
              <w:top w:val="single" w:sz="4" w:space="0" w:color="auto"/>
              <w:left w:val="nil"/>
              <w:right w:val="nil"/>
            </w:tcBorders>
            <w:noWrap/>
            <w:vAlign w:val="center"/>
            <w:hideMark/>
          </w:tcPr>
          <w:p w14:paraId="5754446A" w14:textId="77777777" w:rsidR="00A74C68" w:rsidRPr="00471CBA" w:rsidRDefault="00A74C68" w:rsidP="00A74C68">
            <w:pPr>
              <w:jc w:val="right"/>
              <w:rPr>
                <w:color w:val="000000"/>
                <w:sz w:val="18"/>
                <w:szCs w:val="18"/>
              </w:rPr>
            </w:pPr>
          </w:p>
        </w:tc>
        <w:tc>
          <w:tcPr>
            <w:tcW w:w="752" w:type="pct"/>
            <w:tcBorders>
              <w:top w:val="single" w:sz="4" w:space="0" w:color="auto"/>
              <w:left w:val="nil"/>
              <w:right w:val="nil"/>
            </w:tcBorders>
            <w:noWrap/>
            <w:vAlign w:val="center"/>
            <w:hideMark/>
          </w:tcPr>
          <w:p w14:paraId="56D16EB3" w14:textId="77777777" w:rsidR="00A74C68" w:rsidRPr="00471CBA" w:rsidRDefault="00A74C68" w:rsidP="00A74C68">
            <w:pPr>
              <w:jc w:val="right"/>
              <w:rPr>
                <w:sz w:val="18"/>
                <w:szCs w:val="18"/>
              </w:rPr>
            </w:pPr>
          </w:p>
        </w:tc>
        <w:tc>
          <w:tcPr>
            <w:tcW w:w="874" w:type="pct"/>
            <w:tcBorders>
              <w:top w:val="single" w:sz="4" w:space="0" w:color="auto"/>
              <w:left w:val="nil"/>
              <w:right w:val="nil"/>
            </w:tcBorders>
            <w:noWrap/>
            <w:vAlign w:val="center"/>
            <w:hideMark/>
          </w:tcPr>
          <w:p w14:paraId="3B909ADA" w14:textId="77777777" w:rsidR="00A74C68" w:rsidRPr="00471CBA" w:rsidRDefault="00A74C68" w:rsidP="00A74C68">
            <w:pPr>
              <w:jc w:val="right"/>
              <w:rPr>
                <w:sz w:val="18"/>
                <w:szCs w:val="18"/>
              </w:rPr>
            </w:pPr>
          </w:p>
        </w:tc>
        <w:tc>
          <w:tcPr>
            <w:tcW w:w="740" w:type="pct"/>
            <w:tcBorders>
              <w:top w:val="single" w:sz="4" w:space="0" w:color="auto"/>
              <w:left w:val="nil"/>
              <w:right w:val="nil"/>
            </w:tcBorders>
            <w:noWrap/>
            <w:vAlign w:val="center"/>
            <w:hideMark/>
          </w:tcPr>
          <w:p w14:paraId="35915E29" w14:textId="77777777" w:rsidR="00A74C68" w:rsidRPr="00471CBA" w:rsidRDefault="00A74C68" w:rsidP="00A74C68">
            <w:pPr>
              <w:jc w:val="right"/>
              <w:rPr>
                <w:sz w:val="18"/>
                <w:szCs w:val="18"/>
              </w:rPr>
            </w:pPr>
          </w:p>
        </w:tc>
      </w:tr>
      <w:tr w:rsidR="00A74C68" w:rsidRPr="00471CBA" w14:paraId="7C82C4D7" w14:textId="77777777" w:rsidTr="00A74C68">
        <w:trPr>
          <w:divId w:val="215430599"/>
          <w:trHeight w:val="170"/>
        </w:trPr>
        <w:tc>
          <w:tcPr>
            <w:tcW w:w="2634" w:type="pct"/>
            <w:tcBorders>
              <w:top w:val="nil"/>
              <w:left w:val="nil"/>
              <w:bottom w:val="single" w:sz="12" w:space="0" w:color="auto"/>
              <w:right w:val="nil"/>
            </w:tcBorders>
            <w:noWrap/>
            <w:vAlign w:val="center"/>
            <w:hideMark/>
          </w:tcPr>
          <w:p w14:paraId="4352543D" w14:textId="77777777" w:rsidR="00A74C68" w:rsidRPr="00471CBA" w:rsidRDefault="00A74C68" w:rsidP="00A74C68">
            <w:pPr>
              <w:jc w:val="both"/>
              <w:rPr>
                <w:b/>
                <w:bCs/>
                <w:color w:val="000000"/>
                <w:sz w:val="18"/>
                <w:szCs w:val="18"/>
              </w:rPr>
            </w:pPr>
            <w:r w:rsidRPr="00471CBA">
              <w:rPr>
                <w:b/>
                <w:bCs/>
                <w:color w:val="000000"/>
                <w:sz w:val="18"/>
                <w:szCs w:val="18"/>
              </w:rPr>
              <w:t>Toplam</w:t>
            </w:r>
          </w:p>
        </w:tc>
        <w:tc>
          <w:tcPr>
            <w:tcW w:w="752" w:type="pct"/>
            <w:tcBorders>
              <w:top w:val="nil"/>
              <w:left w:val="nil"/>
              <w:bottom w:val="single" w:sz="12" w:space="0" w:color="auto"/>
              <w:right w:val="nil"/>
            </w:tcBorders>
            <w:vAlign w:val="center"/>
            <w:hideMark/>
          </w:tcPr>
          <w:p w14:paraId="48769375" w14:textId="77777777" w:rsidR="00A74C68" w:rsidRPr="00471CBA" w:rsidRDefault="00A74C68" w:rsidP="00A74C68">
            <w:pPr>
              <w:jc w:val="right"/>
              <w:rPr>
                <w:b/>
                <w:bCs/>
                <w:color w:val="000000"/>
                <w:sz w:val="18"/>
                <w:szCs w:val="18"/>
              </w:rPr>
            </w:pPr>
            <w:r w:rsidRPr="00471CBA">
              <w:rPr>
                <w:b/>
                <w:bCs/>
                <w:color w:val="000000"/>
                <w:sz w:val="18"/>
                <w:szCs w:val="18"/>
              </w:rPr>
              <w:t>755</w:t>
            </w:r>
          </w:p>
        </w:tc>
        <w:tc>
          <w:tcPr>
            <w:tcW w:w="874" w:type="pct"/>
            <w:tcBorders>
              <w:top w:val="nil"/>
              <w:left w:val="nil"/>
              <w:bottom w:val="single" w:sz="12" w:space="0" w:color="auto"/>
              <w:right w:val="nil"/>
            </w:tcBorders>
            <w:vAlign w:val="center"/>
            <w:hideMark/>
          </w:tcPr>
          <w:p w14:paraId="0803CD8B" w14:textId="77777777" w:rsidR="00A74C68" w:rsidRPr="00471CBA" w:rsidRDefault="00A74C68" w:rsidP="00A74C68">
            <w:pPr>
              <w:jc w:val="right"/>
              <w:rPr>
                <w:b/>
                <w:bCs/>
                <w:color w:val="000000"/>
                <w:sz w:val="18"/>
                <w:szCs w:val="18"/>
              </w:rPr>
            </w:pPr>
            <w:r w:rsidRPr="00471CBA">
              <w:rPr>
                <w:b/>
                <w:bCs/>
                <w:color w:val="000000"/>
                <w:sz w:val="18"/>
                <w:szCs w:val="18"/>
              </w:rPr>
              <w:t>121</w:t>
            </w:r>
          </w:p>
        </w:tc>
        <w:tc>
          <w:tcPr>
            <w:tcW w:w="740" w:type="pct"/>
            <w:tcBorders>
              <w:top w:val="nil"/>
              <w:left w:val="nil"/>
              <w:bottom w:val="single" w:sz="12" w:space="0" w:color="auto"/>
              <w:right w:val="nil"/>
            </w:tcBorders>
            <w:vAlign w:val="center"/>
            <w:hideMark/>
          </w:tcPr>
          <w:p w14:paraId="14F0FF67" w14:textId="77777777" w:rsidR="00A74C68" w:rsidRPr="00471CBA" w:rsidRDefault="00A74C68" w:rsidP="00A74C68">
            <w:pPr>
              <w:jc w:val="right"/>
              <w:rPr>
                <w:b/>
                <w:bCs/>
                <w:color w:val="000000"/>
                <w:sz w:val="18"/>
                <w:szCs w:val="18"/>
              </w:rPr>
            </w:pPr>
            <w:r w:rsidRPr="00471CBA">
              <w:rPr>
                <w:b/>
                <w:bCs/>
                <w:color w:val="000000"/>
                <w:sz w:val="18"/>
                <w:szCs w:val="18"/>
              </w:rPr>
              <w:t>876</w:t>
            </w:r>
          </w:p>
        </w:tc>
      </w:tr>
    </w:tbl>
    <w:p w14:paraId="793390D2" w14:textId="165F2C58" w:rsidR="00356D24" w:rsidRPr="00471CBA" w:rsidRDefault="00356D24" w:rsidP="00356D24">
      <w:pPr>
        <w:pStyle w:val="GvdeMetniGirintisi"/>
        <w:widowControl w:val="0"/>
        <w:ind w:left="-14" w:right="70" w:hanging="602"/>
        <w:rPr>
          <w:b/>
          <w:szCs w:val="20"/>
        </w:rPr>
      </w:pPr>
    </w:p>
    <w:p w14:paraId="684A9113" w14:textId="77777777" w:rsidR="00356D24" w:rsidRPr="00471CBA" w:rsidRDefault="00356D24">
      <w:pPr>
        <w:rPr>
          <w:b/>
          <w:szCs w:val="20"/>
        </w:rPr>
      </w:pPr>
    </w:p>
    <w:p w14:paraId="569360BA" w14:textId="77777777" w:rsidR="009B0E8B" w:rsidRPr="00471CBA" w:rsidRDefault="009B0E8B">
      <w:pPr>
        <w:rPr>
          <w:b/>
          <w:szCs w:val="20"/>
        </w:rPr>
      </w:pPr>
      <w:r w:rsidRPr="00471CBA">
        <w:rPr>
          <w:b/>
          <w:szCs w:val="20"/>
        </w:rPr>
        <w:br w:type="page"/>
      </w:r>
    </w:p>
    <w:p w14:paraId="2CFCFE69" w14:textId="35674A1F" w:rsidR="00426C04" w:rsidRPr="00471CBA" w:rsidRDefault="00426C04" w:rsidP="009B0E8B">
      <w:pPr>
        <w:spacing w:after="120"/>
        <w:rPr>
          <w:b/>
          <w:szCs w:val="20"/>
        </w:rPr>
      </w:pPr>
      <w:r w:rsidRPr="00471CBA">
        <w:rPr>
          <w:b/>
          <w:szCs w:val="20"/>
        </w:rPr>
        <w:t>KONSOLİDE OLMAYAN FİNANSAL TABLOLARA İLİŞKİN AÇIKLAMA VE DİPNOTLAR (Devamı)</w:t>
      </w:r>
    </w:p>
    <w:p w14:paraId="4A24DA89" w14:textId="77777777" w:rsidR="00426C04" w:rsidRPr="00471CBA" w:rsidRDefault="00426C04" w:rsidP="008459A9">
      <w:pPr>
        <w:pStyle w:val="ListeParagraf"/>
        <w:widowControl w:val="0"/>
        <w:numPr>
          <w:ilvl w:val="0"/>
          <w:numId w:val="63"/>
        </w:numPr>
        <w:spacing w:after="120"/>
        <w:ind w:left="567" w:hanging="567"/>
        <w:jc w:val="both"/>
        <w:rPr>
          <w:b/>
          <w:szCs w:val="20"/>
        </w:rPr>
      </w:pPr>
      <w:r w:rsidRPr="00471CBA">
        <w:rPr>
          <w:b/>
          <w:szCs w:val="20"/>
        </w:rPr>
        <w:t>BİLANÇONUN AKTİF HESAPLARINA İLİŞKİN AÇIKLAMA VE DİPNOTLAR (Devamı)</w:t>
      </w:r>
    </w:p>
    <w:p w14:paraId="786D92E5" w14:textId="00841F33" w:rsidR="0098050E" w:rsidRPr="00471CBA" w:rsidRDefault="0098050E" w:rsidP="008459A9">
      <w:pPr>
        <w:pStyle w:val="GvdeMetniGirintisi"/>
        <w:widowControl w:val="0"/>
        <w:numPr>
          <w:ilvl w:val="0"/>
          <w:numId w:val="76"/>
        </w:numPr>
        <w:ind w:left="567" w:hanging="567"/>
        <w:rPr>
          <w:b/>
          <w:szCs w:val="20"/>
        </w:rPr>
      </w:pPr>
      <w:r w:rsidRPr="00471CBA">
        <w:rPr>
          <w:b/>
          <w:szCs w:val="20"/>
        </w:rPr>
        <w:t>Taksitli ticari krediler ve kurumsal kredi kartlarına ilişkin bilgiler:</w:t>
      </w:r>
    </w:p>
    <w:p w14:paraId="397CD137" w14:textId="40A50936" w:rsidR="00A74C68" w:rsidRPr="00471CBA" w:rsidRDefault="00A74C68" w:rsidP="003D4220">
      <w:pPr>
        <w:widowControl w:val="0"/>
        <w:ind w:left="851"/>
        <w:rPr>
          <w:szCs w:val="20"/>
        </w:rPr>
      </w:pPr>
    </w:p>
    <w:tbl>
      <w:tblPr>
        <w:tblW w:w="5000" w:type="pct"/>
        <w:tblCellMar>
          <w:left w:w="70" w:type="dxa"/>
          <w:right w:w="70" w:type="dxa"/>
        </w:tblCellMar>
        <w:tblLook w:val="04A0" w:firstRow="1" w:lastRow="0" w:firstColumn="1" w:lastColumn="0" w:noHBand="0" w:noVBand="1"/>
      </w:tblPr>
      <w:tblGrid>
        <w:gridCol w:w="5247"/>
        <w:gridCol w:w="1392"/>
        <w:gridCol w:w="1358"/>
        <w:gridCol w:w="1358"/>
      </w:tblGrid>
      <w:tr w:rsidR="00A74C68" w:rsidRPr="00471CBA" w14:paraId="6687F179" w14:textId="77777777" w:rsidTr="00A74C68">
        <w:trPr>
          <w:divId w:val="221328215"/>
          <w:trHeight w:val="170"/>
        </w:trPr>
        <w:tc>
          <w:tcPr>
            <w:tcW w:w="2804" w:type="pct"/>
            <w:tcBorders>
              <w:top w:val="nil"/>
              <w:left w:val="nil"/>
              <w:bottom w:val="single" w:sz="4" w:space="0" w:color="auto"/>
              <w:right w:val="nil"/>
            </w:tcBorders>
            <w:noWrap/>
            <w:vAlign w:val="bottom"/>
            <w:hideMark/>
          </w:tcPr>
          <w:p w14:paraId="32BD2FAD" w14:textId="06139D0E" w:rsidR="00A74C68" w:rsidRPr="00471CBA" w:rsidRDefault="00A74C68" w:rsidP="00A74C68">
            <w:pPr>
              <w:rPr>
                <w:b/>
                <w:bCs/>
                <w:color w:val="000000"/>
                <w:szCs w:val="20"/>
              </w:rPr>
            </w:pPr>
            <w:r w:rsidRPr="00471CBA">
              <w:rPr>
                <w:b/>
                <w:bCs/>
                <w:color w:val="000000"/>
                <w:szCs w:val="20"/>
              </w:rPr>
              <w:t>31 Aralık 2025</w:t>
            </w:r>
          </w:p>
        </w:tc>
        <w:tc>
          <w:tcPr>
            <w:tcW w:w="744" w:type="pct"/>
            <w:tcBorders>
              <w:top w:val="nil"/>
              <w:left w:val="nil"/>
              <w:bottom w:val="single" w:sz="4" w:space="0" w:color="auto"/>
              <w:right w:val="nil"/>
            </w:tcBorders>
            <w:vAlign w:val="bottom"/>
            <w:hideMark/>
          </w:tcPr>
          <w:p w14:paraId="1EDACFE0" w14:textId="77777777" w:rsidR="00A74C68" w:rsidRPr="00471CBA" w:rsidRDefault="00A74C68" w:rsidP="00A74C68">
            <w:pPr>
              <w:jc w:val="right"/>
              <w:rPr>
                <w:b/>
                <w:bCs/>
                <w:color w:val="000000"/>
                <w:szCs w:val="20"/>
              </w:rPr>
            </w:pPr>
            <w:r w:rsidRPr="00471CBA">
              <w:rPr>
                <w:b/>
                <w:bCs/>
                <w:color w:val="000000"/>
                <w:szCs w:val="20"/>
              </w:rPr>
              <w:t>Kısa vadeli</w:t>
            </w:r>
          </w:p>
        </w:tc>
        <w:tc>
          <w:tcPr>
            <w:tcW w:w="726" w:type="pct"/>
            <w:tcBorders>
              <w:top w:val="nil"/>
              <w:left w:val="nil"/>
              <w:bottom w:val="single" w:sz="4" w:space="0" w:color="auto"/>
              <w:right w:val="nil"/>
            </w:tcBorders>
            <w:vAlign w:val="bottom"/>
            <w:hideMark/>
          </w:tcPr>
          <w:p w14:paraId="4B65778D" w14:textId="77777777" w:rsidR="00A74C68" w:rsidRPr="00471CBA" w:rsidRDefault="00A74C68" w:rsidP="00A74C68">
            <w:pPr>
              <w:jc w:val="right"/>
              <w:rPr>
                <w:b/>
                <w:bCs/>
                <w:color w:val="000000"/>
                <w:szCs w:val="20"/>
              </w:rPr>
            </w:pPr>
            <w:r w:rsidRPr="00471CBA">
              <w:rPr>
                <w:b/>
                <w:bCs/>
                <w:color w:val="000000"/>
                <w:szCs w:val="20"/>
              </w:rPr>
              <w:t>Orta ve Uzun vadeli</w:t>
            </w:r>
          </w:p>
        </w:tc>
        <w:tc>
          <w:tcPr>
            <w:tcW w:w="726" w:type="pct"/>
            <w:tcBorders>
              <w:top w:val="nil"/>
              <w:left w:val="nil"/>
              <w:bottom w:val="single" w:sz="4" w:space="0" w:color="auto"/>
              <w:right w:val="nil"/>
            </w:tcBorders>
            <w:vAlign w:val="bottom"/>
            <w:hideMark/>
          </w:tcPr>
          <w:p w14:paraId="0EA83863" w14:textId="77777777" w:rsidR="00A74C68" w:rsidRPr="00471CBA" w:rsidRDefault="00A74C68" w:rsidP="00A74C68">
            <w:pPr>
              <w:jc w:val="right"/>
              <w:rPr>
                <w:b/>
                <w:bCs/>
                <w:color w:val="000000"/>
                <w:szCs w:val="20"/>
              </w:rPr>
            </w:pPr>
            <w:r w:rsidRPr="00471CBA">
              <w:rPr>
                <w:b/>
                <w:bCs/>
                <w:color w:val="000000"/>
                <w:szCs w:val="20"/>
              </w:rPr>
              <w:t>Toplam</w:t>
            </w:r>
          </w:p>
        </w:tc>
      </w:tr>
      <w:tr w:rsidR="00A74C68" w:rsidRPr="00471CBA" w14:paraId="0400949A" w14:textId="77777777" w:rsidTr="00A74C68">
        <w:trPr>
          <w:divId w:val="221328215"/>
          <w:trHeight w:val="170"/>
        </w:trPr>
        <w:tc>
          <w:tcPr>
            <w:tcW w:w="2804" w:type="pct"/>
            <w:tcBorders>
              <w:top w:val="single" w:sz="4" w:space="0" w:color="auto"/>
              <w:left w:val="nil"/>
              <w:bottom w:val="nil"/>
              <w:right w:val="nil"/>
            </w:tcBorders>
            <w:noWrap/>
            <w:vAlign w:val="bottom"/>
            <w:hideMark/>
          </w:tcPr>
          <w:p w14:paraId="0847A20D" w14:textId="77777777" w:rsidR="00A74C68" w:rsidRPr="00471CBA" w:rsidRDefault="00A74C68" w:rsidP="00A74C68">
            <w:pPr>
              <w:jc w:val="right"/>
              <w:rPr>
                <w:b/>
                <w:bCs/>
                <w:color w:val="000000"/>
                <w:szCs w:val="20"/>
              </w:rPr>
            </w:pPr>
          </w:p>
        </w:tc>
        <w:tc>
          <w:tcPr>
            <w:tcW w:w="744" w:type="pct"/>
            <w:tcBorders>
              <w:top w:val="single" w:sz="4" w:space="0" w:color="auto"/>
              <w:left w:val="nil"/>
              <w:bottom w:val="nil"/>
              <w:right w:val="nil"/>
            </w:tcBorders>
            <w:noWrap/>
            <w:vAlign w:val="bottom"/>
            <w:hideMark/>
          </w:tcPr>
          <w:p w14:paraId="3F208033" w14:textId="77777777" w:rsidR="00A74C68" w:rsidRPr="00471CBA" w:rsidRDefault="00A74C68" w:rsidP="00A74C68">
            <w:pPr>
              <w:jc w:val="both"/>
              <w:rPr>
                <w:szCs w:val="20"/>
              </w:rPr>
            </w:pPr>
          </w:p>
        </w:tc>
        <w:tc>
          <w:tcPr>
            <w:tcW w:w="726" w:type="pct"/>
            <w:tcBorders>
              <w:top w:val="single" w:sz="4" w:space="0" w:color="auto"/>
              <w:left w:val="nil"/>
              <w:bottom w:val="nil"/>
              <w:right w:val="nil"/>
            </w:tcBorders>
            <w:noWrap/>
            <w:vAlign w:val="bottom"/>
            <w:hideMark/>
          </w:tcPr>
          <w:p w14:paraId="5CE2F633" w14:textId="77777777" w:rsidR="00A74C68" w:rsidRPr="00471CBA" w:rsidRDefault="00A74C68" w:rsidP="00A74C68">
            <w:pPr>
              <w:jc w:val="right"/>
              <w:rPr>
                <w:szCs w:val="20"/>
              </w:rPr>
            </w:pPr>
          </w:p>
        </w:tc>
        <w:tc>
          <w:tcPr>
            <w:tcW w:w="726" w:type="pct"/>
            <w:tcBorders>
              <w:top w:val="single" w:sz="4" w:space="0" w:color="auto"/>
              <w:left w:val="nil"/>
              <w:bottom w:val="nil"/>
              <w:right w:val="nil"/>
            </w:tcBorders>
            <w:noWrap/>
            <w:vAlign w:val="bottom"/>
            <w:hideMark/>
          </w:tcPr>
          <w:p w14:paraId="0A0BDBEC" w14:textId="77777777" w:rsidR="00A74C68" w:rsidRPr="00471CBA" w:rsidRDefault="00A74C68" w:rsidP="00A74C68">
            <w:pPr>
              <w:jc w:val="right"/>
              <w:rPr>
                <w:szCs w:val="20"/>
              </w:rPr>
            </w:pPr>
          </w:p>
        </w:tc>
      </w:tr>
      <w:tr w:rsidR="00A74C68" w:rsidRPr="00471CBA" w14:paraId="4C616C80" w14:textId="77777777" w:rsidTr="00A74C68">
        <w:trPr>
          <w:divId w:val="221328215"/>
          <w:trHeight w:val="170"/>
        </w:trPr>
        <w:tc>
          <w:tcPr>
            <w:tcW w:w="2804" w:type="pct"/>
            <w:tcBorders>
              <w:top w:val="nil"/>
              <w:left w:val="nil"/>
              <w:bottom w:val="nil"/>
              <w:right w:val="nil"/>
            </w:tcBorders>
            <w:noWrap/>
            <w:vAlign w:val="center"/>
            <w:hideMark/>
          </w:tcPr>
          <w:p w14:paraId="25517D56" w14:textId="77777777" w:rsidR="00A74C68" w:rsidRPr="00471CBA" w:rsidRDefault="00A74C68" w:rsidP="00A74C68">
            <w:pPr>
              <w:jc w:val="both"/>
              <w:rPr>
                <w:b/>
                <w:bCs/>
                <w:color w:val="000000"/>
                <w:szCs w:val="20"/>
              </w:rPr>
            </w:pPr>
            <w:r w:rsidRPr="00471CBA">
              <w:rPr>
                <w:b/>
                <w:bCs/>
                <w:color w:val="000000"/>
                <w:szCs w:val="20"/>
              </w:rPr>
              <w:t>Taksitli Ticari Krediler-TP</w:t>
            </w:r>
          </w:p>
        </w:tc>
        <w:tc>
          <w:tcPr>
            <w:tcW w:w="744" w:type="pct"/>
            <w:tcBorders>
              <w:top w:val="nil"/>
              <w:left w:val="nil"/>
              <w:bottom w:val="nil"/>
              <w:right w:val="nil"/>
            </w:tcBorders>
            <w:vAlign w:val="center"/>
            <w:hideMark/>
          </w:tcPr>
          <w:p w14:paraId="42421838" w14:textId="77777777" w:rsidR="00A74C68" w:rsidRPr="00471CBA" w:rsidRDefault="00A74C68" w:rsidP="00A74C68">
            <w:pPr>
              <w:jc w:val="right"/>
              <w:rPr>
                <w:b/>
                <w:bCs/>
                <w:color w:val="000000"/>
                <w:szCs w:val="20"/>
              </w:rPr>
            </w:pPr>
            <w:r w:rsidRPr="00471CBA">
              <w:rPr>
                <w:b/>
                <w:bCs/>
                <w:color w:val="000000"/>
                <w:szCs w:val="20"/>
              </w:rPr>
              <w:t>242.481</w:t>
            </w:r>
          </w:p>
        </w:tc>
        <w:tc>
          <w:tcPr>
            <w:tcW w:w="726" w:type="pct"/>
            <w:tcBorders>
              <w:top w:val="nil"/>
              <w:left w:val="nil"/>
              <w:bottom w:val="nil"/>
              <w:right w:val="nil"/>
            </w:tcBorders>
            <w:vAlign w:val="center"/>
            <w:hideMark/>
          </w:tcPr>
          <w:p w14:paraId="7CA7FD39" w14:textId="77777777" w:rsidR="00A74C68" w:rsidRPr="00471CBA" w:rsidRDefault="00A74C68" w:rsidP="00A74C68">
            <w:pPr>
              <w:jc w:val="right"/>
              <w:rPr>
                <w:b/>
                <w:bCs/>
                <w:color w:val="000000"/>
                <w:szCs w:val="20"/>
              </w:rPr>
            </w:pPr>
            <w:r w:rsidRPr="00471CBA">
              <w:rPr>
                <w:b/>
                <w:bCs/>
                <w:color w:val="000000"/>
                <w:szCs w:val="20"/>
              </w:rPr>
              <w:t>1.719.012</w:t>
            </w:r>
          </w:p>
        </w:tc>
        <w:tc>
          <w:tcPr>
            <w:tcW w:w="726" w:type="pct"/>
            <w:tcBorders>
              <w:top w:val="nil"/>
              <w:left w:val="nil"/>
              <w:bottom w:val="nil"/>
              <w:right w:val="nil"/>
            </w:tcBorders>
            <w:vAlign w:val="center"/>
            <w:hideMark/>
          </w:tcPr>
          <w:p w14:paraId="53AA6E97" w14:textId="77777777" w:rsidR="00A74C68" w:rsidRPr="00471CBA" w:rsidRDefault="00A74C68" w:rsidP="00A74C68">
            <w:pPr>
              <w:jc w:val="right"/>
              <w:rPr>
                <w:b/>
                <w:bCs/>
                <w:color w:val="000000"/>
                <w:szCs w:val="20"/>
              </w:rPr>
            </w:pPr>
            <w:r w:rsidRPr="00471CBA">
              <w:rPr>
                <w:b/>
                <w:bCs/>
                <w:color w:val="000000"/>
                <w:szCs w:val="20"/>
              </w:rPr>
              <w:t>1.961.493</w:t>
            </w:r>
          </w:p>
        </w:tc>
      </w:tr>
      <w:tr w:rsidR="00A74C68" w:rsidRPr="00471CBA" w14:paraId="16F15F1C" w14:textId="77777777" w:rsidTr="00A74C68">
        <w:trPr>
          <w:divId w:val="221328215"/>
          <w:trHeight w:val="170"/>
        </w:trPr>
        <w:tc>
          <w:tcPr>
            <w:tcW w:w="2804" w:type="pct"/>
            <w:tcBorders>
              <w:top w:val="nil"/>
              <w:left w:val="nil"/>
              <w:bottom w:val="nil"/>
              <w:right w:val="nil"/>
            </w:tcBorders>
            <w:noWrap/>
            <w:vAlign w:val="center"/>
            <w:hideMark/>
          </w:tcPr>
          <w:p w14:paraId="508C3594" w14:textId="77777777" w:rsidR="00A74C68" w:rsidRPr="00471CBA" w:rsidRDefault="00A74C68" w:rsidP="00A74C68">
            <w:pPr>
              <w:jc w:val="both"/>
              <w:rPr>
                <w:color w:val="000000"/>
                <w:szCs w:val="20"/>
              </w:rPr>
            </w:pPr>
            <w:r w:rsidRPr="00471CBA">
              <w:rPr>
                <w:color w:val="000000"/>
                <w:szCs w:val="20"/>
              </w:rPr>
              <w:t>İşyeri Kredileri</w:t>
            </w:r>
          </w:p>
        </w:tc>
        <w:tc>
          <w:tcPr>
            <w:tcW w:w="744" w:type="pct"/>
            <w:tcBorders>
              <w:top w:val="nil"/>
              <w:left w:val="nil"/>
              <w:bottom w:val="nil"/>
              <w:right w:val="nil"/>
            </w:tcBorders>
            <w:vAlign w:val="center"/>
            <w:hideMark/>
          </w:tcPr>
          <w:p w14:paraId="2DF048C2" w14:textId="77777777" w:rsidR="00A74C68" w:rsidRPr="00471CBA" w:rsidRDefault="00A74C68" w:rsidP="00A74C68">
            <w:pPr>
              <w:jc w:val="right"/>
              <w:rPr>
                <w:color w:val="000000"/>
                <w:szCs w:val="20"/>
              </w:rPr>
            </w:pPr>
            <w:r w:rsidRPr="00471CBA">
              <w:rPr>
                <w:color w:val="000000"/>
                <w:szCs w:val="20"/>
              </w:rPr>
              <w:t>2.832</w:t>
            </w:r>
          </w:p>
        </w:tc>
        <w:tc>
          <w:tcPr>
            <w:tcW w:w="726" w:type="pct"/>
            <w:tcBorders>
              <w:top w:val="nil"/>
              <w:left w:val="nil"/>
              <w:bottom w:val="nil"/>
              <w:right w:val="nil"/>
            </w:tcBorders>
            <w:vAlign w:val="center"/>
            <w:hideMark/>
          </w:tcPr>
          <w:p w14:paraId="7623F3B8" w14:textId="77777777" w:rsidR="00A74C68" w:rsidRPr="00471CBA" w:rsidRDefault="00A74C68" w:rsidP="00A74C68">
            <w:pPr>
              <w:jc w:val="right"/>
              <w:rPr>
                <w:color w:val="000000"/>
                <w:szCs w:val="20"/>
              </w:rPr>
            </w:pPr>
            <w:r w:rsidRPr="00471CBA">
              <w:rPr>
                <w:color w:val="000000"/>
                <w:szCs w:val="20"/>
              </w:rPr>
              <w:t>214.811</w:t>
            </w:r>
          </w:p>
        </w:tc>
        <w:tc>
          <w:tcPr>
            <w:tcW w:w="726" w:type="pct"/>
            <w:tcBorders>
              <w:top w:val="nil"/>
              <w:left w:val="nil"/>
              <w:bottom w:val="nil"/>
              <w:right w:val="nil"/>
            </w:tcBorders>
            <w:vAlign w:val="center"/>
            <w:hideMark/>
          </w:tcPr>
          <w:p w14:paraId="5C49D15A" w14:textId="77777777" w:rsidR="00A74C68" w:rsidRPr="00471CBA" w:rsidRDefault="00A74C68" w:rsidP="00A74C68">
            <w:pPr>
              <w:jc w:val="right"/>
              <w:rPr>
                <w:color w:val="000000"/>
                <w:szCs w:val="20"/>
              </w:rPr>
            </w:pPr>
            <w:r w:rsidRPr="00471CBA">
              <w:rPr>
                <w:color w:val="000000"/>
                <w:szCs w:val="20"/>
              </w:rPr>
              <w:t>217.643</w:t>
            </w:r>
          </w:p>
        </w:tc>
      </w:tr>
      <w:tr w:rsidR="00A74C68" w:rsidRPr="00471CBA" w14:paraId="0B6E4469" w14:textId="77777777" w:rsidTr="00A74C68">
        <w:trPr>
          <w:divId w:val="221328215"/>
          <w:trHeight w:val="170"/>
        </w:trPr>
        <w:tc>
          <w:tcPr>
            <w:tcW w:w="2804" w:type="pct"/>
            <w:tcBorders>
              <w:top w:val="nil"/>
              <w:left w:val="nil"/>
              <w:bottom w:val="nil"/>
              <w:right w:val="nil"/>
            </w:tcBorders>
            <w:noWrap/>
            <w:vAlign w:val="center"/>
            <w:hideMark/>
          </w:tcPr>
          <w:p w14:paraId="44DA80D9" w14:textId="77777777" w:rsidR="00A74C68" w:rsidRPr="00471CBA" w:rsidRDefault="00A74C68" w:rsidP="00A74C68">
            <w:pPr>
              <w:jc w:val="both"/>
              <w:rPr>
                <w:color w:val="000000"/>
                <w:szCs w:val="20"/>
              </w:rPr>
            </w:pPr>
            <w:r w:rsidRPr="00471CBA">
              <w:rPr>
                <w:color w:val="000000"/>
                <w:szCs w:val="20"/>
              </w:rPr>
              <w:t>Taşıt Kredileri</w:t>
            </w:r>
          </w:p>
        </w:tc>
        <w:tc>
          <w:tcPr>
            <w:tcW w:w="744" w:type="pct"/>
            <w:tcBorders>
              <w:top w:val="nil"/>
              <w:left w:val="nil"/>
              <w:bottom w:val="nil"/>
              <w:right w:val="nil"/>
            </w:tcBorders>
            <w:vAlign w:val="center"/>
            <w:hideMark/>
          </w:tcPr>
          <w:p w14:paraId="0D8DF035" w14:textId="77777777" w:rsidR="00A74C68" w:rsidRPr="00471CBA" w:rsidRDefault="00A74C68" w:rsidP="00A74C68">
            <w:pPr>
              <w:jc w:val="right"/>
              <w:rPr>
                <w:color w:val="000000"/>
                <w:szCs w:val="20"/>
              </w:rPr>
            </w:pPr>
            <w:r w:rsidRPr="00471CBA">
              <w:rPr>
                <w:color w:val="000000"/>
                <w:szCs w:val="20"/>
              </w:rPr>
              <w:t>239.649</w:t>
            </w:r>
          </w:p>
        </w:tc>
        <w:tc>
          <w:tcPr>
            <w:tcW w:w="726" w:type="pct"/>
            <w:tcBorders>
              <w:top w:val="nil"/>
              <w:left w:val="nil"/>
              <w:bottom w:val="nil"/>
              <w:right w:val="nil"/>
            </w:tcBorders>
            <w:vAlign w:val="center"/>
            <w:hideMark/>
          </w:tcPr>
          <w:p w14:paraId="1944DFE6" w14:textId="77777777" w:rsidR="00A74C68" w:rsidRPr="00471CBA" w:rsidRDefault="00A74C68" w:rsidP="00A74C68">
            <w:pPr>
              <w:jc w:val="right"/>
              <w:rPr>
                <w:color w:val="000000"/>
                <w:szCs w:val="20"/>
              </w:rPr>
            </w:pPr>
            <w:r w:rsidRPr="00471CBA">
              <w:rPr>
                <w:color w:val="000000"/>
                <w:szCs w:val="20"/>
              </w:rPr>
              <w:t>1.504.201</w:t>
            </w:r>
          </w:p>
        </w:tc>
        <w:tc>
          <w:tcPr>
            <w:tcW w:w="726" w:type="pct"/>
            <w:tcBorders>
              <w:top w:val="nil"/>
              <w:left w:val="nil"/>
              <w:bottom w:val="nil"/>
              <w:right w:val="nil"/>
            </w:tcBorders>
            <w:vAlign w:val="center"/>
            <w:hideMark/>
          </w:tcPr>
          <w:p w14:paraId="024E2857" w14:textId="77777777" w:rsidR="00A74C68" w:rsidRPr="00471CBA" w:rsidRDefault="00A74C68" w:rsidP="00A74C68">
            <w:pPr>
              <w:jc w:val="right"/>
              <w:rPr>
                <w:color w:val="000000"/>
                <w:szCs w:val="20"/>
              </w:rPr>
            </w:pPr>
            <w:r w:rsidRPr="00471CBA">
              <w:rPr>
                <w:color w:val="000000"/>
                <w:szCs w:val="20"/>
              </w:rPr>
              <w:t>1.743.850</w:t>
            </w:r>
          </w:p>
        </w:tc>
      </w:tr>
      <w:tr w:rsidR="00A74C68" w:rsidRPr="00471CBA" w14:paraId="5CBFDCAF" w14:textId="77777777" w:rsidTr="00A74C68">
        <w:trPr>
          <w:divId w:val="221328215"/>
          <w:trHeight w:val="170"/>
        </w:trPr>
        <w:tc>
          <w:tcPr>
            <w:tcW w:w="2804" w:type="pct"/>
            <w:tcBorders>
              <w:top w:val="nil"/>
              <w:left w:val="nil"/>
              <w:bottom w:val="nil"/>
              <w:right w:val="nil"/>
            </w:tcBorders>
            <w:noWrap/>
            <w:vAlign w:val="center"/>
            <w:hideMark/>
          </w:tcPr>
          <w:p w14:paraId="20432978" w14:textId="77777777" w:rsidR="00A74C68" w:rsidRPr="00471CBA" w:rsidRDefault="00A74C68" w:rsidP="00A74C68">
            <w:pPr>
              <w:jc w:val="both"/>
              <w:rPr>
                <w:color w:val="000000"/>
                <w:szCs w:val="20"/>
              </w:rPr>
            </w:pPr>
            <w:r w:rsidRPr="00471CBA">
              <w:rPr>
                <w:color w:val="000000"/>
                <w:szCs w:val="20"/>
              </w:rPr>
              <w:t>İhtiyaç Kredileri</w:t>
            </w:r>
          </w:p>
        </w:tc>
        <w:tc>
          <w:tcPr>
            <w:tcW w:w="744" w:type="pct"/>
            <w:tcBorders>
              <w:top w:val="nil"/>
              <w:left w:val="nil"/>
              <w:bottom w:val="nil"/>
              <w:right w:val="nil"/>
            </w:tcBorders>
            <w:vAlign w:val="center"/>
            <w:hideMark/>
          </w:tcPr>
          <w:p w14:paraId="4B9AA957"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075F4783"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6D4720BD" w14:textId="77777777" w:rsidR="00A74C68" w:rsidRPr="00471CBA" w:rsidRDefault="00A74C68" w:rsidP="00A74C68">
            <w:pPr>
              <w:jc w:val="right"/>
              <w:rPr>
                <w:color w:val="000000"/>
                <w:szCs w:val="20"/>
              </w:rPr>
            </w:pPr>
            <w:r w:rsidRPr="00471CBA">
              <w:rPr>
                <w:color w:val="000000"/>
                <w:szCs w:val="20"/>
              </w:rPr>
              <w:t>-</w:t>
            </w:r>
          </w:p>
        </w:tc>
      </w:tr>
      <w:tr w:rsidR="00A74C68" w:rsidRPr="00471CBA" w14:paraId="310392AB" w14:textId="77777777" w:rsidTr="00A74C68">
        <w:trPr>
          <w:divId w:val="221328215"/>
          <w:trHeight w:val="170"/>
        </w:trPr>
        <w:tc>
          <w:tcPr>
            <w:tcW w:w="2804" w:type="pct"/>
            <w:tcBorders>
              <w:top w:val="nil"/>
              <w:left w:val="nil"/>
              <w:bottom w:val="nil"/>
              <w:right w:val="nil"/>
            </w:tcBorders>
            <w:noWrap/>
            <w:vAlign w:val="center"/>
            <w:hideMark/>
          </w:tcPr>
          <w:p w14:paraId="47820050" w14:textId="77777777" w:rsidR="00A74C68" w:rsidRPr="00471CBA" w:rsidRDefault="00A74C68" w:rsidP="00A74C68">
            <w:pPr>
              <w:jc w:val="both"/>
              <w:rPr>
                <w:color w:val="000000"/>
                <w:szCs w:val="20"/>
              </w:rPr>
            </w:pPr>
            <w:r w:rsidRPr="00471CBA">
              <w:rPr>
                <w:color w:val="000000"/>
                <w:szCs w:val="20"/>
              </w:rPr>
              <w:t>Diğer</w:t>
            </w:r>
          </w:p>
        </w:tc>
        <w:tc>
          <w:tcPr>
            <w:tcW w:w="744" w:type="pct"/>
            <w:tcBorders>
              <w:top w:val="nil"/>
              <w:left w:val="nil"/>
              <w:bottom w:val="nil"/>
              <w:right w:val="nil"/>
            </w:tcBorders>
            <w:vAlign w:val="center"/>
            <w:hideMark/>
          </w:tcPr>
          <w:p w14:paraId="6152D5A0"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41DA4FCA"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6F33CB1A" w14:textId="77777777" w:rsidR="00A74C68" w:rsidRPr="00471CBA" w:rsidRDefault="00A74C68" w:rsidP="00A74C68">
            <w:pPr>
              <w:jc w:val="right"/>
              <w:rPr>
                <w:color w:val="000000"/>
                <w:szCs w:val="20"/>
              </w:rPr>
            </w:pPr>
            <w:r w:rsidRPr="00471CBA">
              <w:rPr>
                <w:color w:val="000000"/>
                <w:szCs w:val="20"/>
              </w:rPr>
              <w:t>-</w:t>
            </w:r>
          </w:p>
        </w:tc>
      </w:tr>
      <w:tr w:rsidR="00A74C68" w:rsidRPr="00471CBA" w14:paraId="7CC83C6F" w14:textId="77777777" w:rsidTr="00A74C68">
        <w:trPr>
          <w:divId w:val="221328215"/>
          <w:trHeight w:val="170"/>
        </w:trPr>
        <w:tc>
          <w:tcPr>
            <w:tcW w:w="2804" w:type="pct"/>
            <w:tcBorders>
              <w:top w:val="nil"/>
              <w:left w:val="nil"/>
              <w:bottom w:val="nil"/>
              <w:right w:val="nil"/>
            </w:tcBorders>
            <w:noWrap/>
            <w:vAlign w:val="center"/>
            <w:hideMark/>
          </w:tcPr>
          <w:p w14:paraId="711E6516" w14:textId="77777777" w:rsidR="00A74C68" w:rsidRPr="00471CBA" w:rsidRDefault="00A74C68" w:rsidP="00A74C68">
            <w:pPr>
              <w:jc w:val="both"/>
              <w:rPr>
                <w:b/>
                <w:bCs/>
                <w:color w:val="000000"/>
                <w:szCs w:val="20"/>
              </w:rPr>
            </w:pPr>
            <w:r w:rsidRPr="00471CBA">
              <w:rPr>
                <w:b/>
                <w:bCs/>
                <w:color w:val="000000"/>
                <w:szCs w:val="20"/>
              </w:rPr>
              <w:t>Taksitli Ticari Krediler-Dövize Endeksli</w:t>
            </w:r>
          </w:p>
        </w:tc>
        <w:tc>
          <w:tcPr>
            <w:tcW w:w="744" w:type="pct"/>
            <w:tcBorders>
              <w:top w:val="nil"/>
              <w:left w:val="nil"/>
              <w:bottom w:val="nil"/>
              <w:right w:val="nil"/>
            </w:tcBorders>
            <w:vAlign w:val="center"/>
            <w:hideMark/>
          </w:tcPr>
          <w:p w14:paraId="3618FB52" w14:textId="77777777" w:rsidR="00A74C68" w:rsidRPr="00471CBA" w:rsidRDefault="00A74C68" w:rsidP="00A74C68">
            <w:pPr>
              <w:jc w:val="right"/>
              <w:rPr>
                <w:b/>
                <w:bCs/>
                <w:color w:val="000000"/>
                <w:szCs w:val="20"/>
              </w:rPr>
            </w:pPr>
            <w:r w:rsidRPr="00471CBA">
              <w:rPr>
                <w:b/>
                <w:bCs/>
                <w:color w:val="000000"/>
                <w:szCs w:val="20"/>
              </w:rPr>
              <w:t>-</w:t>
            </w:r>
          </w:p>
        </w:tc>
        <w:tc>
          <w:tcPr>
            <w:tcW w:w="726" w:type="pct"/>
            <w:tcBorders>
              <w:top w:val="nil"/>
              <w:left w:val="nil"/>
              <w:bottom w:val="nil"/>
              <w:right w:val="nil"/>
            </w:tcBorders>
            <w:vAlign w:val="center"/>
            <w:hideMark/>
          </w:tcPr>
          <w:p w14:paraId="776E5C37" w14:textId="77777777" w:rsidR="00A74C68" w:rsidRPr="00471CBA" w:rsidRDefault="00A74C68" w:rsidP="00A74C68">
            <w:pPr>
              <w:jc w:val="right"/>
              <w:rPr>
                <w:b/>
                <w:bCs/>
                <w:color w:val="000000"/>
                <w:szCs w:val="20"/>
              </w:rPr>
            </w:pPr>
            <w:r w:rsidRPr="00471CBA">
              <w:rPr>
                <w:b/>
                <w:bCs/>
                <w:color w:val="000000"/>
                <w:szCs w:val="20"/>
              </w:rPr>
              <w:t>-</w:t>
            </w:r>
          </w:p>
        </w:tc>
        <w:tc>
          <w:tcPr>
            <w:tcW w:w="726" w:type="pct"/>
            <w:tcBorders>
              <w:top w:val="nil"/>
              <w:left w:val="nil"/>
              <w:bottom w:val="nil"/>
              <w:right w:val="nil"/>
            </w:tcBorders>
            <w:vAlign w:val="center"/>
            <w:hideMark/>
          </w:tcPr>
          <w:p w14:paraId="5FD4AB9B" w14:textId="77777777" w:rsidR="00A74C68" w:rsidRPr="00471CBA" w:rsidRDefault="00A74C68" w:rsidP="00A74C68">
            <w:pPr>
              <w:jc w:val="right"/>
              <w:rPr>
                <w:b/>
                <w:bCs/>
                <w:color w:val="000000"/>
                <w:szCs w:val="20"/>
              </w:rPr>
            </w:pPr>
            <w:r w:rsidRPr="00471CBA">
              <w:rPr>
                <w:b/>
                <w:bCs/>
                <w:color w:val="000000"/>
                <w:szCs w:val="20"/>
              </w:rPr>
              <w:t>-</w:t>
            </w:r>
          </w:p>
        </w:tc>
      </w:tr>
      <w:tr w:rsidR="00A74C68" w:rsidRPr="00471CBA" w14:paraId="6A3DFFBA" w14:textId="77777777" w:rsidTr="00A74C68">
        <w:trPr>
          <w:divId w:val="221328215"/>
          <w:trHeight w:val="170"/>
        </w:trPr>
        <w:tc>
          <w:tcPr>
            <w:tcW w:w="2804" w:type="pct"/>
            <w:tcBorders>
              <w:top w:val="nil"/>
              <w:left w:val="nil"/>
              <w:bottom w:val="nil"/>
              <w:right w:val="nil"/>
            </w:tcBorders>
            <w:noWrap/>
            <w:vAlign w:val="center"/>
            <w:hideMark/>
          </w:tcPr>
          <w:p w14:paraId="28C37A71" w14:textId="77777777" w:rsidR="00A74C68" w:rsidRPr="00471CBA" w:rsidRDefault="00A74C68" w:rsidP="00A74C68">
            <w:pPr>
              <w:jc w:val="both"/>
              <w:rPr>
                <w:color w:val="000000"/>
                <w:szCs w:val="20"/>
              </w:rPr>
            </w:pPr>
            <w:r w:rsidRPr="00471CBA">
              <w:rPr>
                <w:color w:val="000000"/>
                <w:szCs w:val="20"/>
              </w:rPr>
              <w:t>İşyeri Kredileri</w:t>
            </w:r>
          </w:p>
        </w:tc>
        <w:tc>
          <w:tcPr>
            <w:tcW w:w="744" w:type="pct"/>
            <w:tcBorders>
              <w:top w:val="nil"/>
              <w:left w:val="nil"/>
              <w:bottom w:val="nil"/>
              <w:right w:val="nil"/>
            </w:tcBorders>
            <w:vAlign w:val="center"/>
            <w:hideMark/>
          </w:tcPr>
          <w:p w14:paraId="6E3D0E4D"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375A843A"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268F8069" w14:textId="77777777" w:rsidR="00A74C68" w:rsidRPr="00471CBA" w:rsidRDefault="00A74C68" w:rsidP="00A74C68">
            <w:pPr>
              <w:jc w:val="right"/>
              <w:rPr>
                <w:color w:val="000000"/>
                <w:szCs w:val="20"/>
              </w:rPr>
            </w:pPr>
            <w:r w:rsidRPr="00471CBA">
              <w:rPr>
                <w:color w:val="000000"/>
                <w:szCs w:val="20"/>
              </w:rPr>
              <w:t>-</w:t>
            </w:r>
          </w:p>
        </w:tc>
      </w:tr>
      <w:tr w:rsidR="00A74C68" w:rsidRPr="00471CBA" w14:paraId="3FA29FF6" w14:textId="77777777" w:rsidTr="00A74C68">
        <w:trPr>
          <w:divId w:val="221328215"/>
          <w:trHeight w:val="170"/>
        </w:trPr>
        <w:tc>
          <w:tcPr>
            <w:tcW w:w="2804" w:type="pct"/>
            <w:tcBorders>
              <w:top w:val="nil"/>
              <w:left w:val="nil"/>
              <w:bottom w:val="nil"/>
              <w:right w:val="nil"/>
            </w:tcBorders>
            <w:noWrap/>
            <w:vAlign w:val="center"/>
            <w:hideMark/>
          </w:tcPr>
          <w:p w14:paraId="67887CA0" w14:textId="77777777" w:rsidR="00A74C68" w:rsidRPr="00471CBA" w:rsidRDefault="00A74C68" w:rsidP="00A74C68">
            <w:pPr>
              <w:jc w:val="both"/>
              <w:rPr>
                <w:color w:val="000000"/>
                <w:szCs w:val="20"/>
              </w:rPr>
            </w:pPr>
            <w:r w:rsidRPr="00471CBA">
              <w:rPr>
                <w:color w:val="000000"/>
                <w:szCs w:val="20"/>
              </w:rPr>
              <w:t>Taşıt Kredileri</w:t>
            </w:r>
          </w:p>
        </w:tc>
        <w:tc>
          <w:tcPr>
            <w:tcW w:w="744" w:type="pct"/>
            <w:tcBorders>
              <w:top w:val="nil"/>
              <w:left w:val="nil"/>
              <w:bottom w:val="nil"/>
              <w:right w:val="nil"/>
            </w:tcBorders>
            <w:vAlign w:val="center"/>
            <w:hideMark/>
          </w:tcPr>
          <w:p w14:paraId="7A220234"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05BB7D4E"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04C2C8EB" w14:textId="77777777" w:rsidR="00A74C68" w:rsidRPr="00471CBA" w:rsidRDefault="00A74C68" w:rsidP="00A74C68">
            <w:pPr>
              <w:jc w:val="right"/>
              <w:rPr>
                <w:color w:val="000000"/>
                <w:szCs w:val="20"/>
              </w:rPr>
            </w:pPr>
            <w:r w:rsidRPr="00471CBA">
              <w:rPr>
                <w:color w:val="000000"/>
                <w:szCs w:val="20"/>
              </w:rPr>
              <w:t>-</w:t>
            </w:r>
          </w:p>
        </w:tc>
      </w:tr>
      <w:tr w:rsidR="00A74C68" w:rsidRPr="00471CBA" w14:paraId="111B1786" w14:textId="77777777" w:rsidTr="00A74C68">
        <w:trPr>
          <w:divId w:val="221328215"/>
          <w:trHeight w:val="170"/>
        </w:trPr>
        <w:tc>
          <w:tcPr>
            <w:tcW w:w="2804" w:type="pct"/>
            <w:tcBorders>
              <w:top w:val="nil"/>
              <w:left w:val="nil"/>
              <w:bottom w:val="nil"/>
              <w:right w:val="nil"/>
            </w:tcBorders>
            <w:noWrap/>
            <w:vAlign w:val="center"/>
            <w:hideMark/>
          </w:tcPr>
          <w:p w14:paraId="5CDF69DF" w14:textId="77777777" w:rsidR="00A74C68" w:rsidRPr="00471CBA" w:rsidRDefault="00A74C68" w:rsidP="00A74C68">
            <w:pPr>
              <w:jc w:val="both"/>
              <w:rPr>
                <w:color w:val="000000"/>
                <w:szCs w:val="20"/>
              </w:rPr>
            </w:pPr>
            <w:r w:rsidRPr="00471CBA">
              <w:rPr>
                <w:color w:val="000000"/>
                <w:szCs w:val="20"/>
              </w:rPr>
              <w:t>İhtiyaç Kredileri</w:t>
            </w:r>
          </w:p>
        </w:tc>
        <w:tc>
          <w:tcPr>
            <w:tcW w:w="744" w:type="pct"/>
            <w:tcBorders>
              <w:top w:val="nil"/>
              <w:left w:val="nil"/>
              <w:bottom w:val="nil"/>
              <w:right w:val="nil"/>
            </w:tcBorders>
            <w:vAlign w:val="center"/>
            <w:hideMark/>
          </w:tcPr>
          <w:p w14:paraId="01ED711F"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0D197553"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24B6BA70" w14:textId="77777777" w:rsidR="00A74C68" w:rsidRPr="00471CBA" w:rsidRDefault="00A74C68" w:rsidP="00A74C68">
            <w:pPr>
              <w:jc w:val="right"/>
              <w:rPr>
                <w:color w:val="000000"/>
                <w:szCs w:val="20"/>
              </w:rPr>
            </w:pPr>
            <w:r w:rsidRPr="00471CBA">
              <w:rPr>
                <w:color w:val="000000"/>
                <w:szCs w:val="20"/>
              </w:rPr>
              <w:t>-</w:t>
            </w:r>
          </w:p>
        </w:tc>
      </w:tr>
      <w:tr w:rsidR="00A74C68" w:rsidRPr="00471CBA" w14:paraId="2539DC70" w14:textId="77777777" w:rsidTr="00A74C68">
        <w:trPr>
          <w:divId w:val="221328215"/>
          <w:trHeight w:val="170"/>
        </w:trPr>
        <w:tc>
          <w:tcPr>
            <w:tcW w:w="2804" w:type="pct"/>
            <w:tcBorders>
              <w:top w:val="nil"/>
              <w:left w:val="nil"/>
              <w:bottom w:val="nil"/>
              <w:right w:val="nil"/>
            </w:tcBorders>
            <w:noWrap/>
            <w:vAlign w:val="center"/>
            <w:hideMark/>
          </w:tcPr>
          <w:p w14:paraId="576226CA" w14:textId="77777777" w:rsidR="00A74C68" w:rsidRPr="00471CBA" w:rsidRDefault="00A74C68" w:rsidP="00A74C68">
            <w:pPr>
              <w:jc w:val="both"/>
              <w:rPr>
                <w:color w:val="000000"/>
                <w:szCs w:val="20"/>
              </w:rPr>
            </w:pPr>
            <w:r w:rsidRPr="00471CBA">
              <w:rPr>
                <w:color w:val="000000"/>
                <w:szCs w:val="20"/>
              </w:rPr>
              <w:t>Diğer</w:t>
            </w:r>
          </w:p>
        </w:tc>
        <w:tc>
          <w:tcPr>
            <w:tcW w:w="744" w:type="pct"/>
            <w:tcBorders>
              <w:top w:val="nil"/>
              <w:left w:val="nil"/>
              <w:bottom w:val="nil"/>
              <w:right w:val="nil"/>
            </w:tcBorders>
            <w:vAlign w:val="center"/>
            <w:hideMark/>
          </w:tcPr>
          <w:p w14:paraId="6B76F0EE"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4D05BF04"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707DCD4C" w14:textId="77777777" w:rsidR="00A74C68" w:rsidRPr="00471CBA" w:rsidRDefault="00A74C68" w:rsidP="00A74C68">
            <w:pPr>
              <w:jc w:val="right"/>
              <w:rPr>
                <w:color w:val="000000"/>
                <w:szCs w:val="20"/>
              </w:rPr>
            </w:pPr>
            <w:r w:rsidRPr="00471CBA">
              <w:rPr>
                <w:color w:val="000000"/>
                <w:szCs w:val="20"/>
              </w:rPr>
              <w:t>-</w:t>
            </w:r>
          </w:p>
        </w:tc>
      </w:tr>
      <w:tr w:rsidR="00A74C68" w:rsidRPr="00471CBA" w14:paraId="5ABB61A4" w14:textId="77777777" w:rsidTr="00A74C68">
        <w:trPr>
          <w:divId w:val="221328215"/>
          <w:trHeight w:val="170"/>
        </w:trPr>
        <w:tc>
          <w:tcPr>
            <w:tcW w:w="2804" w:type="pct"/>
            <w:tcBorders>
              <w:top w:val="nil"/>
              <w:left w:val="nil"/>
              <w:bottom w:val="nil"/>
              <w:right w:val="nil"/>
            </w:tcBorders>
            <w:noWrap/>
            <w:vAlign w:val="center"/>
            <w:hideMark/>
          </w:tcPr>
          <w:p w14:paraId="37CA8A08" w14:textId="77777777" w:rsidR="00A74C68" w:rsidRPr="00471CBA" w:rsidRDefault="00A74C68" w:rsidP="00A74C68">
            <w:pPr>
              <w:jc w:val="both"/>
              <w:rPr>
                <w:b/>
                <w:bCs/>
                <w:color w:val="000000"/>
                <w:szCs w:val="20"/>
              </w:rPr>
            </w:pPr>
            <w:r w:rsidRPr="00471CBA">
              <w:rPr>
                <w:b/>
                <w:bCs/>
                <w:color w:val="000000"/>
                <w:szCs w:val="20"/>
              </w:rPr>
              <w:t>Taksitli Ticari Krediler-YP</w:t>
            </w:r>
          </w:p>
        </w:tc>
        <w:tc>
          <w:tcPr>
            <w:tcW w:w="744" w:type="pct"/>
            <w:tcBorders>
              <w:top w:val="nil"/>
              <w:left w:val="nil"/>
              <w:bottom w:val="nil"/>
              <w:right w:val="nil"/>
            </w:tcBorders>
            <w:vAlign w:val="center"/>
            <w:hideMark/>
          </w:tcPr>
          <w:p w14:paraId="701E2A79" w14:textId="77777777" w:rsidR="00A74C68" w:rsidRPr="00471CBA" w:rsidRDefault="00A74C68" w:rsidP="00A74C68">
            <w:pPr>
              <w:jc w:val="right"/>
              <w:rPr>
                <w:b/>
                <w:bCs/>
                <w:color w:val="000000"/>
                <w:szCs w:val="20"/>
              </w:rPr>
            </w:pPr>
            <w:r w:rsidRPr="00471CBA">
              <w:rPr>
                <w:b/>
                <w:bCs/>
                <w:color w:val="000000"/>
                <w:szCs w:val="20"/>
              </w:rPr>
              <w:t>96.350</w:t>
            </w:r>
          </w:p>
        </w:tc>
        <w:tc>
          <w:tcPr>
            <w:tcW w:w="726" w:type="pct"/>
            <w:tcBorders>
              <w:top w:val="nil"/>
              <w:left w:val="nil"/>
              <w:bottom w:val="nil"/>
              <w:right w:val="nil"/>
            </w:tcBorders>
            <w:vAlign w:val="center"/>
            <w:hideMark/>
          </w:tcPr>
          <w:p w14:paraId="50504E6E" w14:textId="77777777" w:rsidR="00A74C68" w:rsidRPr="00471CBA" w:rsidRDefault="00A74C68" w:rsidP="00A74C68">
            <w:pPr>
              <w:jc w:val="right"/>
              <w:rPr>
                <w:b/>
                <w:bCs/>
                <w:color w:val="000000"/>
                <w:szCs w:val="20"/>
              </w:rPr>
            </w:pPr>
            <w:r w:rsidRPr="00471CBA">
              <w:rPr>
                <w:b/>
                <w:bCs/>
                <w:color w:val="000000"/>
                <w:szCs w:val="20"/>
              </w:rPr>
              <w:t>327.366</w:t>
            </w:r>
          </w:p>
        </w:tc>
        <w:tc>
          <w:tcPr>
            <w:tcW w:w="726" w:type="pct"/>
            <w:tcBorders>
              <w:top w:val="nil"/>
              <w:left w:val="nil"/>
              <w:bottom w:val="nil"/>
              <w:right w:val="nil"/>
            </w:tcBorders>
            <w:vAlign w:val="center"/>
            <w:hideMark/>
          </w:tcPr>
          <w:p w14:paraId="33DDB026" w14:textId="77777777" w:rsidR="00A74C68" w:rsidRPr="00471CBA" w:rsidRDefault="00A74C68" w:rsidP="00A74C68">
            <w:pPr>
              <w:jc w:val="right"/>
              <w:rPr>
                <w:b/>
                <w:bCs/>
                <w:color w:val="000000"/>
                <w:szCs w:val="20"/>
              </w:rPr>
            </w:pPr>
            <w:r w:rsidRPr="00471CBA">
              <w:rPr>
                <w:b/>
                <w:bCs/>
                <w:color w:val="000000"/>
                <w:szCs w:val="20"/>
              </w:rPr>
              <w:t>423.716</w:t>
            </w:r>
          </w:p>
        </w:tc>
      </w:tr>
      <w:tr w:rsidR="00A74C68" w:rsidRPr="00471CBA" w14:paraId="5846C818" w14:textId="77777777" w:rsidTr="00A74C68">
        <w:trPr>
          <w:divId w:val="221328215"/>
          <w:trHeight w:val="170"/>
        </w:trPr>
        <w:tc>
          <w:tcPr>
            <w:tcW w:w="2804" w:type="pct"/>
            <w:tcBorders>
              <w:top w:val="nil"/>
              <w:left w:val="nil"/>
              <w:bottom w:val="nil"/>
              <w:right w:val="nil"/>
            </w:tcBorders>
            <w:noWrap/>
            <w:vAlign w:val="center"/>
            <w:hideMark/>
          </w:tcPr>
          <w:p w14:paraId="619DC77D" w14:textId="77777777" w:rsidR="00A74C68" w:rsidRPr="00471CBA" w:rsidRDefault="00A74C68" w:rsidP="00A74C68">
            <w:pPr>
              <w:jc w:val="both"/>
              <w:rPr>
                <w:color w:val="000000"/>
                <w:szCs w:val="20"/>
              </w:rPr>
            </w:pPr>
            <w:r w:rsidRPr="00471CBA">
              <w:rPr>
                <w:color w:val="000000"/>
                <w:szCs w:val="20"/>
              </w:rPr>
              <w:t>İşyeri Kredileri</w:t>
            </w:r>
          </w:p>
        </w:tc>
        <w:tc>
          <w:tcPr>
            <w:tcW w:w="744" w:type="pct"/>
            <w:tcBorders>
              <w:top w:val="nil"/>
              <w:left w:val="nil"/>
              <w:bottom w:val="nil"/>
              <w:right w:val="nil"/>
            </w:tcBorders>
            <w:vAlign w:val="center"/>
            <w:hideMark/>
          </w:tcPr>
          <w:p w14:paraId="7CFAEA5C"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40FDD777" w14:textId="77777777" w:rsidR="00A74C68" w:rsidRPr="00471CBA" w:rsidRDefault="00A74C68" w:rsidP="00A74C68">
            <w:pPr>
              <w:jc w:val="right"/>
              <w:rPr>
                <w:color w:val="000000"/>
                <w:szCs w:val="20"/>
              </w:rPr>
            </w:pPr>
            <w:r w:rsidRPr="00471CBA">
              <w:rPr>
                <w:color w:val="000000"/>
                <w:szCs w:val="20"/>
              </w:rPr>
              <w:t>15.506</w:t>
            </w:r>
          </w:p>
        </w:tc>
        <w:tc>
          <w:tcPr>
            <w:tcW w:w="726" w:type="pct"/>
            <w:tcBorders>
              <w:top w:val="nil"/>
              <w:left w:val="nil"/>
              <w:bottom w:val="nil"/>
              <w:right w:val="nil"/>
            </w:tcBorders>
            <w:vAlign w:val="center"/>
            <w:hideMark/>
          </w:tcPr>
          <w:p w14:paraId="653FB670" w14:textId="77777777" w:rsidR="00A74C68" w:rsidRPr="00471CBA" w:rsidRDefault="00A74C68" w:rsidP="00A74C68">
            <w:pPr>
              <w:jc w:val="right"/>
              <w:rPr>
                <w:color w:val="000000"/>
                <w:szCs w:val="20"/>
              </w:rPr>
            </w:pPr>
            <w:r w:rsidRPr="00471CBA">
              <w:rPr>
                <w:color w:val="000000"/>
                <w:szCs w:val="20"/>
              </w:rPr>
              <w:t>15.506</w:t>
            </w:r>
          </w:p>
        </w:tc>
      </w:tr>
      <w:tr w:rsidR="00A74C68" w:rsidRPr="00471CBA" w14:paraId="3F59BB89" w14:textId="77777777" w:rsidTr="00A74C68">
        <w:trPr>
          <w:divId w:val="221328215"/>
          <w:trHeight w:val="170"/>
        </w:trPr>
        <w:tc>
          <w:tcPr>
            <w:tcW w:w="2804" w:type="pct"/>
            <w:tcBorders>
              <w:top w:val="nil"/>
              <w:left w:val="nil"/>
              <w:bottom w:val="nil"/>
              <w:right w:val="nil"/>
            </w:tcBorders>
            <w:noWrap/>
            <w:vAlign w:val="center"/>
            <w:hideMark/>
          </w:tcPr>
          <w:p w14:paraId="2E771FA7" w14:textId="77777777" w:rsidR="00A74C68" w:rsidRPr="00471CBA" w:rsidRDefault="00A74C68" w:rsidP="00A74C68">
            <w:pPr>
              <w:jc w:val="both"/>
              <w:rPr>
                <w:color w:val="000000"/>
                <w:szCs w:val="20"/>
              </w:rPr>
            </w:pPr>
            <w:r w:rsidRPr="00471CBA">
              <w:rPr>
                <w:color w:val="000000"/>
                <w:szCs w:val="20"/>
              </w:rPr>
              <w:t>Taşıt Kredileri</w:t>
            </w:r>
          </w:p>
        </w:tc>
        <w:tc>
          <w:tcPr>
            <w:tcW w:w="744" w:type="pct"/>
            <w:tcBorders>
              <w:top w:val="nil"/>
              <w:left w:val="nil"/>
              <w:bottom w:val="nil"/>
              <w:right w:val="nil"/>
            </w:tcBorders>
            <w:vAlign w:val="center"/>
            <w:hideMark/>
          </w:tcPr>
          <w:p w14:paraId="2B0628D4" w14:textId="77777777" w:rsidR="00A74C68" w:rsidRPr="00471CBA" w:rsidRDefault="00A74C68" w:rsidP="00A74C68">
            <w:pPr>
              <w:jc w:val="right"/>
              <w:rPr>
                <w:color w:val="000000"/>
                <w:szCs w:val="20"/>
              </w:rPr>
            </w:pPr>
            <w:r w:rsidRPr="00471CBA">
              <w:rPr>
                <w:color w:val="000000"/>
                <w:szCs w:val="20"/>
              </w:rPr>
              <w:t>96.350</w:t>
            </w:r>
          </w:p>
        </w:tc>
        <w:tc>
          <w:tcPr>
            <w:tcW w:w="726" w:type="pct"/>
            <w:tcBorders>
              <w:top w:val="nil"/>
              <w:left w:val="nil"/>
              <w:bottom w:val="nil"/>
              <w:right w:val="nil"/>
            </w:tcBorders>
            <w:vAlign w:val="center"/>
            <w:hideMark/>
          </w:tcPr>
          <w:p w14:paraId="26591AB8" w14:textId="77777777" w:rsidR="00A74C68" w:rsidRPr="00471CBA" w:rsidRDefault="00A74C68" w:rsidP="00A74C68">
            <w:pPr>
              <w:jc w:val="right"/>
              <w:rPr>
                <w:color w:val="000000"/>
                <w:szCs w:val="20"/>
              </w:rPr>
            </w:pPr>
            <w:r w:rsidRPr="00471CBA">
              <w:rPr>
                <w:color w:val="000000"/>
                <w:szCs w:val="20"/>
              </w:rPr>
              <w:t>311.860</w:t>
            </w:r>
          </w:p>
        </w:tc>
        <w:tc>
          <w:tcPr>
            <w:tcW w:w="726" w:type="pct"/>
            <w:tcBorders>
              <w:top w:val="nil"/>
              <w:left w:val="nil"/>
              <w:bottom w:val="nil"/>
              <w:right w:val="nil"/>
            </w:tcBorders>
            <w:vAlign w:val="center"/>
            <w:hideMark/>
          </w:tcPr>
          <w:p w14:paraId="4362C62E" w14:textId="77777777" w:rsidR="00A74C68" w:rsidRPr="00471CBA" w:rsidRDefault="00A74C68" w:rsidP="00A74C68">
            <w:pPr>
              <w:jc w:val="right"/>
              <w:rPr>
                <w:color w:val="000000"/>
                <w:szCs w:val="20"/>
              </w:rPr>
            </w:pPr>
            <w:r w:rsidRPr="00471CBA">
              <w:rPr>
                <w:color w:val="000000"/>
                <w:szCs w:val="20"/>
              </w:rPr>
              <w:t>408.210</w:t>
            </w:r>
          </w:p>
        </w:tc>
      </w:tr>
      <w:tr w:rsidR="00A74C68" w:rsidRPr="00471CBA" w14:paraId="711BCE96" w14:textId="77777777" w:rsidTr="00A74C68">
        <w:trPr>
          <w:divId w:val="221328215"/>
          <w:trHeight w:val="170"/>
        </w:trPr>
        <w:tc>
          <w:tcPr>
            <w:tcW w:w="2804" w:type="pct"/>
            <w:tcBorders>
              <w:top w:val="nil"/>
              <w:left w:val="nil"/>
              <w:bottom w:val="nil"/>
              <w:right w:val="nil"/>
            </w:tcBorders>
            <w:noWrap/>
            <w:vAlign w:val="center"/>
            <w:hideMark/>
          </w:tcPr>
          <w:p w14:paraId="707C5507" w14:textId="77777777" w:rsidR="00A74C68" w:rsidRPr="00471CBA" w:rsidRDefault="00A74C68" w:rsidP="00A74C68">
            <w:pPr>
              <w:jc w:val="both"/>
              <w:rPr>
                <w:color w:val="000000"/>
                <w:szCs w:val="20"/>
              </w:rPr>
            </w:pPr>
            <w:r w:rsidRPr="00471CBA">
              <w:rPr>
                <w:color w:val="000000"/>
                <w:szCs w:val="20"/>
              </w:rPr>
              <w:t>İhtiyaç Kredileri</w:t>
            </w:r>
          </w:p>
        </w:tc>
        <w:tc>
          <w:tcPr>
            <w:tcW w:w="744" w:type="pct"/>
            <w:tcBorders>
              <w:top w:val="nil"/>
              <w:left w:val="nil"/>
              <w:bottom w:val="nil"/>
              <w:right w:val="nil"/>
            </w:tcBorders>
            <w:vAlign w:val="center"/>
            <w:hideMark/>
          </w:tcPr>
          <w:p w14:paraId="6CD6DAB6"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09916AFC"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2AC20A8F" w14:textId="77777777" w:rsidR="00A74C68" w:rsidRPr="00471CBA" w:rsidRDefault="00A74C68" w:rsidP="00A74C68">
            <w:pPr>
              <w:jc w:val="right"/>
              <w:rPr>
                <w:color w:val="000000"/>
                <w:szCs w:val="20"/>
              </w:rPr>
            </w:pPr>
            <w:r w:rsidRPr="00471CBA">
              <w:rPr>
                <w:color w:val="000000"/>
                <w:szCs w:val="20"/>
              </w:rPr>
              <w:t>-</w:t>
            </w:r>
          </w:p>
        </w:tc>
      </w:tr>
      <w:tr w:rsidR="00A74C68" w:rsidRPr="00471CBA" w14:paraId="1F7B2E2E" w14:textId="77777777" w:rsidTr="00A74C68">
        <w:trPr>
          <w:divId w:val="221328215"/>
          <w:trHeight w:val="170"/>
        </w:trPr>
        <w:tc>
          <w:tcPr>
            <w:tcW w:w="2804" w:type="pct"/>
            <w:tcBorders>
              <w:top w:val="nil"/>
              <w:left w:val="nil"/>
              <w:bottom w:val="nil"/>
              <w:right w:val="nil"/>
            </w:tcBorders>
            <w:noWrap/>
            <w:vAlign w:val="center"/>
            <w:hideMark/>
          </w:tcPr>
          <w:p w14:paraId="52D14B00" w14:textId="77777777" w:rsidR="00A74C68" w:rsidRPr="00471CBA" w:rsidRDefault="00A74C68" w:rsidP="00A74C68">
            <w:pPr>
              <w:jc w:val="both"/>
              <w:rPr>
                <w:color w:val="000000"/>
                <w:szCs w:val="20"/>
              </w:rPr>
            </w:pPr>
            <w:r w:rsidRPr="00471CBA">
              <w:rPr>
                <w:color w:val="000000"/>
                <w:szCs w:val="20"/>
              </w:rPr>
              <w:t>Diğer</w:t>
            </w:r>
          </w:p>
        </w:tc>
        <w:tc>
          <w:tcPr>
            <w:tcW w:w="744" w:type="pct"/>
            <w:tcBorders>
              <w:top w:val="nil"/>
              <w:left w:val="nil"/>
              <w:bottom w:val="nil"/>
              <w:right w:val="nil"/>
            </w:tcBorders>
            <w:vAlign w:val="center"/>
            <w:hideMark/>
          </w:tcPr>
          <w:p w14:paraId="4237183D"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56A9C2D0"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49A3798F" w14:textId="77777777" w:rsidR="00A74C68" w:rsidRPr="00471CBA" w:rsidRDefault="00A74C68" w:rsidP="00A74C68">
            <w:pPr>
              <w:jc w:val="right"/>
              <w:rPr>
                <w:color w:val="000000"/>
                <w:szCs w:val="20"/>
              </w:rPr>
            </w:pPr>
            <w:r w:rsidRPr="00471CBA">
              <w:rPr>
                <w:color w:val="000000"/>
                <w:szCs w:val="20"/>
              </w:rPr>
              <w:t>-</w:t>
            </w:r>
          </w:p>
        </w:tc>
      </w:tr>
      <w:tr w:rsidR="00A74C68" w:rsidRPr="00471CBA" w14:paraId="787E9D41" w14:textId="77777777" w:rsidTr="00A74C68">
        <w:trPr>
          <w:divId w:val="221328215"/>
          <w:trHeight w:val="170"/>
        </w:trPr>
        <w:tc>
          <w:tcPr>
            <w:tcW w:w="2804" w:type="pct"/>
            <w:tcBorders>
              <w:top w:val="nil"/>
              <w:left w:val="nil"/>
              <w:bottom w:val="nil"/>
              <w:right w:val="nil"/>
            </w:tcBorders>
            <w:noWrap/>
            <w:vAlign w:val="center"/>
            <w:hideMark/>
          </w:tcPr>
          <w:p w14:paraId="53A75C46" w14:textId="77777777" w:rsidR="00A74C68" w:rsidRPr="00471CBA" w:rsidRDefault="00A74C68" w:rsidP="00A74C68">
            <w:pPr>
              <w:jc w:val="both"/>
              <w:rPr>
                <w:b/>
                <w:bCs/>
                <w:color w:val="000000"/>
                <w:szCs w:val="20"/>
              </w:rPr>
            </w:pPr>
            <w:r w:rsidRPr="00471CBA">
              <w:rPr>
                <w:b/>
                <w:bCs/>
                <w:color w:val="000000"/>
                <w:szCs w:val="20"/>
              </w:rPr>
              <w:t>Kurumsal Kredi Kartları-TP</w:t>
            </w:r>
          </w:p>
        </w:tc>
        <w:tc>
          <w:tcPr>
            <w:tcW w:w="744" w:type="pct"/>
            <w:tcBorders>
              <w:top w:val="nil"/>
              <w:left w:val="nil"/>
              <w:bottom w:val="nil"/>
              <w:right w:val="nil"/>
            </w:tcBorders>
            <w:vAlign w:val="center"/>
            <w:hideMark/>
          </w:tcPr>
          <w:p w14:paraId="568BC0CC" w14:textId="77777777" w:rsidR="00A74C68" w:rsidRPr="00471CBA" w:rsidRDefault="00A74C68" w:rsidP="00A74C68">
            <w:pPr>
              <w:jc w:val="right"/>
              <w:rPr>
                <w:b/>
                <w:bCs/>
                <w:color w:val="000000"/>
                <w:szCs w:val="20"/>
              </w:rPr>
            </w:pPr>
            <w:r w:rsidRPr="00471CBA">
              <w:rPr>
                <w:b/>
                <w:bCs/>
                <w:color w:val="000000"/>
                <w:szCs w:val="20"/>
              </w:rPr>
              <w:t>-</w:t>
            </w:r>
          </w:p>
        </w:tc>
        <w:tc>
          <w:tcPr>
            <w:tcW w:w="726" w:type="pct"/>
            <w:tcBorders>
              <w:top w:val="nil"/>
              <w:left w:val="nil"/>
              <w:bottom w:val="nil"/>
              <w:right w:val="nil"/>
            </w:tcBorders>
            <w:vAlign w:val="center"/>
            <w:hideMark/>
          </w:tcPr>
          <w:p w14:paraId="4A702401" w14:textId="77777777" w:rsidR="00A74C68" w:rsidRPr="00471CBA" w:rsidRDefault="00A74C68" w:rsidP="00A74C68">
            <w:pPr>
              <w:jc w:val="right"/>
              <w:rPr>
                <w:b/>
                <w:bCs/>
                <w:color w:val="000000"/>
                <w:szCs w:val="20"/>
              </w:rPr>
            </w:pPr>
            <w:r w:rsidRPr="00471CBA">
              <w:rPr>
                <w:b/>
                <w:bCs/>
                <w:color w:val="000000"/>
                <w:szCs w:val="20"/>
              </w:rPr>
              <w:t>-</w:t>
            </w:r>
          </w:p>
        </w:tc>
        <w:tc>
          <w:tcPr>
            <w:tcW w:w="726" w:type="pct"/>
            <w:tcBorders>
              <w:top w:val="nil"/>
              <w:left w:val="nil"/>
              <w:bottom w:val="nil"/>
              <w:right w:val="nil"/>
            </w:tcBorders>
            <w:vAlign w:val="center"/>
            <w:hideMark/>
          </w:tcPr>
          <w:p w14:paraId="4B2228A8" w14:textId="77777777" w:rsidR="00A74C68" w:rsidRPr="00471CBA" w:rsidRDefault="00A74C68" w:rsidP="00A74C68">
            <w:pPr>
              <w:jc w:val="right"/>
              <w:rPr>
                <w:b/>
                <w:bCs/>
                <w:color w:val="000000"/>
                <w:szCs w:val="20"/>
              </w:rPr>
            </w:pPr>
            <w:r w:rsidRPr="00471CBA">
              <w:rPr>
                <w:b/>
                <w:bCs/>
                <w:color w:val="000000"/>
                <w:szCs w:val="20"/>
              </w:rPr>
              <w:t>-</w:t>
            </w:r>
          </w:p>
        </w:tc>
      </w:tr>
      <w:tr w:rsidR="00A74C68" w:rsidRPr="00471CBA" w14:paraId="694ECBE5" w14:textId="77777777" w:rsidTr="00A74C68">
        <w:trPr>
          <w:divId w:val="221328215"/>
          <w:trHeight w:val="170"/>
        </w:trPr>
        <w:tc>
          <w:tcPr>
            <w:tcW w:w="2804" w:type="pct"/>
            <w:tcBorders>
              <w:top w:val="nil"/>
              <w:left w:val="nil"/>
              <w:bottom w:val="nil"/>
              <w:right w:val="nil"/>
            </w:tcBorders>
            <w:noWrap/>
            <w:vAlign w:val="center"/>
            <w:hideMark/>
          </w:tcPr>
          <w:p w14:paraId="2C63B9DB" w14:textId="77777777" w:rsidR="00A74C68" w:rsidRPr="00471CBA" w:rsidRDefault="00A74C68" w:rsidP="00A74C68">
            <w:pPr>
              <w:jc w:val="both"/>
              <w:rPr>
                <w:color w:val="000000"/>
                <w:szCs w:val="20"/>
              </w:rPr>
            </w:pPr>
            <w:r w:rsidRPr="00471CBA">
              <w:rPr>
                <w:color w:val="000000"/>
                <w:szCs w:val="20"/>
              </w:rPr>
              <w:t xml:space="preserve">Taksitli </w:t>
            </w:r>
          </w:p>
        </w:tc>
        <w:tc>
          <w:tcPr>
            <w:tcW w:w="744" w:type="pct"/>
            <w:tcBorders>
              <w:top w:val="nil"/>
              <w:left w:val="nil"/>
              <w:bottom w:val="nil"/>
              <w:right w:val="nil"/>
            </w:tcBorders>
            <w:vAlign w:val="center"/>
            <w:hideMark/>
          </w:tcPr>
          <w:p w14:paraId="08DDC820"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3F5324A1"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73B10662" w14:textId="77777777" w:rsidR="00A74C68" w:rsidRPr="00471CBA" w:rsidRDefault="00A74C68" w:rsidP="00A74C68">
            <w:pPr>
              <w:jc w:val="right"/>
              <w:rPr>
                <w:color w:val="000000"/>
                <w:szCs w:val="20"/>
              </w:rPr>
            </w:pPr>
            <w:r w:rsidRPr="00471CBA">
              <w:rPr>
                <w:color w:val="000000"/>
                <w:szCs w:val="20"/>
              </w:rPr>
              <w:t>-</w:t>
            </w:r>
          </w:p>
        </w:tc>
      </w:tr>
      <w:tr w:rsidR="00A74C68" w:rsidRPr="00471CBA" w14:paraId="3ECE1E14" w14:textId="77777777" w:rsidTr="00A74C68">
        <w:trPr>
          <w:divId w:val="221328215"/>
          <w:trHeight w:val="170"/>
        </w:trPr>
        <w:tc>
          <w:tcPr>
            <w:tcW w:w="2804" w:type="pct"/>
            <w:tcBorders>
              <w:top w:val="nil"/>
              <w:left w:val="nil"/>
              <w:bottom w:val="nil"/>
              <w:right w:val="nil"/>
            </w:tcBorders>
            <w:noWrap/>
            <w:vAlign w:val="center"/>
            <w:hideMark/>
          </w:tcPr>
          <w:p w14:paraId="0EF0F86C" w14:textId="77777777" w:rsidR="00A74C68" w:rsidRPr="00471CBA" w:rsidRDefault="00A74C68" w:rsidP="00A74C68">
            <w:pPr>
              <w:jc w:val="both"/>
              <w:rPr>
                <w:color w:val="000000"/>
                <w:szCs w:val="20"/>
              </w:rPr>
            </w:pPr>
            <w:r w:rsidRPr="00471CBA">
              <w:rPr>
                <w:color w:val="000000"/>
                <w:szCs w:val="20"/>
              </w:rPr>
              <w:t>Taksitsiz</w:t>
            </w:r>
          </w:p>
        </w:tc>
        <w:tc>
          <w:tcPr>
            <w:tcW w:w="744" w:type="pct"/>
            <w:tcBorders>
              <w:top w:val="nil"/>
              <w:left w:val="nil"/>
              <w:bottom w:val="nil"/>
              <w:right w:val="nil"/>
            </w:tcBorders>
            <w:vAlign w:val="center"/>
            <w:hideMark/>
          </w:tcPr>
          <w:p w14:paraId="4D76EDBF"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668BA029"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158C34B1" w14:textId="77777777" w:rsidR="00A74C68" w:rsidRPr="00471CBA" w:rsidRDefault="00A74C68" w:rsidP="00A74C68">
            <w:pPr>
              <w:jc w:val="right"/>
              <w:rPr>
                <w:color w:val="000000"/>
                <w:szCs w:val="20"/>
              </w:rPr>
            </w:pPr>
            <w:r w:rsidRPr="00471CBA">
              <w:rPr>
                <w:color w:val="000000"/>
                <w:szCs w:val="20"/>
              </w:rPr>
              <w:t>-</w:t>
            </w:r>
          </w:p>
        </w:tc>
      </w:tr>
      <w:tr w:rsidR="00A74C68" w:rsidRPr="00471CBA" w14:paraId="45E6B5DC" w14:textId="77777777" w:rsidTr="00A74C68">
        <w:trPr>
          <w:divId w:val="221328215"/>
          <w:trHeight w:val="170"/>
        </w:trPr>
        <w:tc>
          <w:tcPr>
            <w:tcW w:w="2804" w:type="pct"/>
            <w:tcBorders>
              <w:top w:val="nil"/>
              <w:left w:val="nil"/>
              <w:bottom w:val="nil"/>
              <w:right w:val="nil"/>
            </w:tcBorders>
            <w:noWrap/>
            <w:vAlign w:val="center"/>
            <w:hideMark/>
          </w:tcPr>
          <w:p w14:paraId="0464AC74" w14:textId="77777777" w:rsidR="00A74C68" w:rsidRPr="00471CBA" w:rsidRDefault="00A74C68" w:rsidP="00A74C68">
            <w:pPr>
              <w:jc w:val="both"/>
              <w:rPr>
                <w:b/>
                <w:bCs/>
                <w:color w:val="000000"/>
                <w:szCs w:val="20"/>
              </w:rPr>
            </w:pPr>
            <w:r w:rsidRPr="00471CBA">
              <w:rPr>
                <w:b/>
                <w:bCs/>
                <w:color w:val="000000"/>
                <w:szCs w:val="20"/>
              </w:rPr>
              <w:t>Kurumsal Kredi Kartları-YP</w:t>
            </w:r>
          </w:p>
        </w:tc>
        <w:tc>
          <w:tcPr>
            <w:tcW w:w="744" w:type="pct"/>
            <w:tcBorders>
              <w:top w:val="nil"/>
              <w:left w:val="nil"/>
              <w:bottom w:val="nil"/>
              <w:right w:val="nil"/>
            </w:tcBorders>
            <w:vAlign w:val="center"/>
            <w:hideMark/>
          </w:tcPr>
          <w:p w14:paraId="253880AF" w14:textId="77777777" w:rsidR="00A74C68" w:rsidRPr="00471CBA" w:rsidRDefault="00A74C68" w:rsidP="00A74C68">
            <w:pPr>
              <w:jc w:val="right"/>
              <w:rPr>
                <w:b/>
                <w:bCs/>
                <w:color w:val="000000"/>
                <w:szCs w:val="20"/>
              </w:rPr>
            </w:pPr>
            <w:r w:rsidRPr="00471CBA">
              <w:rPr>
                <w:b/>
                <w:bCs/>
                <w:color w:val="000000"/>
                <w:szCs w:val="20"/>
              </w:rPr>
              <w:t>-</w:t>
            </w:r>
          </w:p>
        </w:tc>
        <w:tc>
          <w:tcPr>
            <w:tcW w:w="726" w:type="pct"/>
            <w:tcBorders>
              <w:top w:val="nil"/>
              <w:left w:val="nil"/>
              <w:bottom w:val="nil"/>
              <w:right w:val="nil"/>
            </w:tcBorders>
            <w:vAlign w:val="center"/>
            <w:hideMark/>
          </w:tcPr>
          <w:p w14:paraId="03AD894D" w14:textId="77777777" w:rsidR="00A74C68" w:rsidRPr="00471CBA" w:rsidRDefault="00A74C68" w:rsidP="00A74C68">
            <w:pPr>
              <w:jc w:val="right"/>
              <w:rPr>
                <w:b/>
                <w:bCs/>
                <w:color w:val="000000"/>
                <w:szCs w:val="20"/>
              </w:rPr>
            </w:pPr>
            <w:r w:rsidRPr="00471CBA">
              <w:rPr>
                <w:b/>
                <w:bCs/>
                <w:color w:val="000000"/>
                <w:szCs w:val="20"/>
              </w:rPr>
              <w:t>-</w:t>
            </w:r>
          </w:p>
        </w:tc>
        <w:tc>
          <w:tcPr>
            <w:tcW w:w="726" w:type="pct"/>
            <w:tcBorders>
              <w:top w:val="nil"/>
              <w:left w:val="nil"/>
              <w:bottom w:val="nil"/>
              <w:right w:val="nil"/>
            </w:tcBorders>
            <w:vAlign w:val="center"/>
            <w:hideMark/>
          </w:tcPr>
          <w:p w14:paraId="33790CA4" w14:textId="77777777" w:rsidR="00A74C68" w:rsidRPr="00471CBA" w:rsidRDefault="00A74C68" w:rsidP="00A74C68">
            <w:pPr>
              <w:jc w:val="right"/>
              <w:rPr>
                <w:b/>
                <w:bCs/>
                <w:color w:val="000000"/>
                <w:szCs w:val="20"/>
              </w:rPr>
            </w:pPr>
            <w:r w:rsidRPr="00471CBA">
              <w:rPr>
                <w:b/>
                <w:bCs/>
                <w:color w:val="000000"/>
                <w:szCs w:val="20"/>
              </w:rPr>
              <w:t>-</w:t>
            </w:r>
          </w:p>
        </w:tc>
      </w:tr>
      <w:tr w:rsidR="00A74C68" w:rsidRPr="00471CBA" w14:paraId="5166CA7B" w14:textId="77777777" w:rsidTr="00A74C68">
        <w:trPr>
          <w:divId w:val="221328215"/>
          <w:trHeight w:val="170"/>
        </w:trPr>
        <w:tc>
          <w:tcPr>
            <w:tcW w:w="2804" w:type="pct"/>
            <w:tcBorders>
              <w:top w:val="nil"/>
              <w:left w:val="nil"/>
              <w:bottom w:val="nil"/>
              <w:right w:val="nil"/>
            </w:tcBorders>
            <w:noWrap/>
            <w:vAlign w:val="center"/>
            <w:hideMark/>
          </w:tcPr>
          <w:p w14:paraId="3EDBA14C" w14:textId="77777777" w:rsidR="00A74C68" w:rsidRPr="00471CBA" w:rsidRDefault="00A74C68" w:rsidP="00A74C68">
            <w:pPr>
              <w:jc w:val="both"/>
              <w:rPr>
                <w:color w:val="000000"/>
                <w:szCs w:val="20"/>
              </w:rPr>
            </w:pPr>
            <w:r w:rsidRPr="00471CBA">
              <w:rPr>
                <w:color w:val="000000"/>
                <w:szCs w:val="20"/>
              </w:rPr>
              <w:t xml:space="preserve">Taksitli </w:t>
            </w:r>
          </w:p>
        </w:tc>
        <w:tc>
          <w:tcPr>
            <w:tcW w:w="744" w:type="pct"/>
            <w:tcBorders>
              <w:top w:val="nil"/>
              <w:left w:val="nil"/>
              <w:bottom w:val="nil"/>
              <w:right w:val="nil"/>
            </w:tcBorders>
            <w:vAlign w:val="center"/>
            <w:hideMark/>
          </w:tcPr>
          <w:p w14:paraId="0AC7BB6D"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2B6DFDC5"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35AD38BF" w14:textId="77777777" w:rsidR="00A74C68" w:rsidRPr="00471CBA" w:rsidRDefault="00A74C68" w:rsidP="00A74C68">
            <w:pPr>
              <w:jc w:val="right"/>
              <w:rPr>
                <w:color w:val="000000"/>
                <w:szCs w:val="20"/>
              </w:rPr>
            </w:pPr>
            <w:r w:rsidRPr="00471CBA">
              <w:rPr>
                <w:color w:val="000000"/>
                <w:szCs w:val="20"/>
              </w:rPr>
              <w:t>-</w:t>
            </w:r>
          </w:p>
        </w:tc>
      </w:tr>
      <w:tr w:rsidR="00A74C68" w:rsidRPr="00471CBA" w14:paraId="24F12403" w14:textId="77777777" w:rsidTr="00A74C68">
        <w:trPr>
          <w:divId w:val="221328215"/>
          <w:trHeight w:val="170"/>
        </w:trPr>
        <w:tc>
          <w:tcPr>
            <w:tcW w:w="2804" w:type="pct"/>
            <w:tcBorders>
              <w:top w:val="nil"/>
              <w:left w:val="nil"/>
              <w:bottom w:val="nil"/>
              <w:right w:val="nil"/>
            </w:tcBorders>
            <w:noWrap/>
            <w:vAlign w:val="center"/>
            <w:hideMark/>
          </w:tcPr>
          <w:p w14:paraId="6F72BB61" w14:textId="77777777" w:rsidR="00A74C68" w:rsidRPr="00471CBA" w:rsidRDefault="00A74C68" w:rsidP="00A74C68">
            <w:pPr>
              <w:jc w:val="both"/>
              <w:rPr>
                <w:color w:val="000000"/>
                <w:szCs w:val="20"/>
              </w:rPr>
            </w:pPr>
            <w:r w:rsidRPr="00471CBA">
              <w:rPr>
                <w:color w:val="000000"/>
                <w:szCs w:val="20"/>
              </w:rPr>
              <w:t>Taksitsiz</w:t>
            </w:r>
          </w:p>
        </w:tc>
        <w:tc>
          <w:tcPr>
            <w:tcW w:w="744" w:type="pct"/>
            <w:tcBorders>
              <w:top w:val="nil"/>
              <w:left w:val="nil"/>
              <w:bottom w:val="nil"/>
              <w:right w:val="nil"/>
            </w:tcBorders>
            <w:vAlign w:val="center"/>
            <w:hideMark/>
          </w:tcPr>
          <w:p w14:paraId="1F8B6B41"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429E6F8F"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532A9DB6" w14:textId="77777777" w:rsidR="00A74C68" w:rsidRPr="00471CBA" w:rsidRDefault="00A74C68" w:rsidP="00A74C68">
            <w:pPr>
              <w:jc w:val="right"/>
              <w:rPr>
                <w:color w:val="000000"/>
                <w:szCs w:val="20"/>
              </w:rPr>
            </w:pPr>
            <w:r w:rsidRPr="00471CBA">
              <w:rPr>
                <w:color w:val="000000"/>
                <w:szCs w:val="20"/>
              </w:rPr>
              <w:t>-</w:t>
            </w:r>
          </w:p>
        </w:tc>
      </w:tr>
      <w:tr w:rsidR="00A74C68" w:rsidRPr="00471CBA" w14:paraId="0BDB8C00" w14:textId="77777777" w:rsidTr="00A74C68">
        <w:trPr>
          <w:divId w:val="221328215"/>
          <w:trHeight w:val="170"/>
        </w:trPr>
        <w:tc>
          <w:tcPr>
            <w:tcW w:w="2804" w:type="pct"/>
            <w:tcBorders>
              <w:top w:val="nil"/>
              <w:left w:val="nil"/>
              <w:bottom w:val="nil"/>
              <w:right w:val="nil"/>
            </w:tcBorders>
            <w:noWrap/>
            <w:vAlign w:val="center"/>
            <w:hideMark/>
          </w:tcPr>
          <w:p w14:paraId="51FF5936" w14:textId="77777777" w:rsidR="00A74C68" w:rsidRPr="00471CBA" w:rsidRDefault="00A74C68" w:rsidP="00A74C68">
            <w:pPr>
              <w:jc w:val="both"/>
              <w:rPr>
                <w:b/>
                <w:bCs/>
                <w:color w:val="000000"/>
                <w:szCs w:val="20"/>
              </w:rPr>
            </w:pPr>
            <w:r w:rsidRPr="00471CBA">
              <w:rPr>
                <w:b/>
                <w:bCs/>
                <w:color w:val="000000"/>
                <w:szCs w:val="20"/>
              </w:rPr>
              <w:t>Kredili Mevduat Hesabı-TP (Tüzel Kişi)</w:t>
            </w:r>
          </w:p>
        </w:tc>
        <w:tc>
          <w:tcPr>
            <w:tcW w:w="744" w:type="pct"/>
            <w:tcBorders>
              <w:top w:val="nil"/>
              <w:left w:val="nil"/>
              <w:bottom w:val="nil"/>
              <w:right w:val="nil"/>
            </w:tcBorders>
            <w:vAlign w:val="center"/>
            <w:hideMark/>
          </w:tcPr>
          <w:p w14:paraId="4C0E4974" w14:textId="77777777" w:rsidR="00A74C68" w:rsidRPr="00471CBA" w:rsidRDefault="00A74C68" w:rsidP="00A74C68">
            <w:pPr>
              <w:jc w:val="right"/>
              <w:rPr>
                <w:b/>
                <w:bCs/>
                <w:color w:val="000000"/>
                <w:szCs w:val="20"/>
              </w:rPr>
            </w:pPr>
            <w:r w:rsidRPr="00471CBA">
              <w:rPr>
                <w:b/>
                <w:bCs/>
                <w:color w:val="000000"/>
                <w:szCs w:val="20"/>
              </w:rPr>
              <w:t>-</w:t>
            </w:r>
          </w:p>
        </w:tc>
        <w:tc>
          <w:tcPr>
            <w:tcW w:w="726" w:type="pct"/>
            <w:tcBorders>
              <w:top w:val="nil"/>
              <w:left w:val="nil"/>
              <w:bottom w:val="nil"/>
              <w:right w:val="nil"/>
            </w:tcBorders>
            <w:vAlign w:val="center"/>
            <w:hideMark/>
          </w:tcPr>
          <w:p w14:paraId="5B24C300" w14:textId="77777777" w:rsidR="00A74C68" w:rsidRPr="00471CBA" w:rsidRDefault="00A74C68" w:rsidP="00A74C68">
            <w:pPr>
              <w:jc w:val="right"/>
              <w:rPr>
                <w:b/>
                <w:bCs/>
                <w:color w:val="000000"/>
                <w:szCs w:val="20"/>
              </w:rPr>
            </w:pPr>
            <w:r w:rsidRPr="00471CBA">
              <w:rPr>
                <w:b/>
                <w:bCs/>
                <w:color w:val="000000"/>
                <w:szCs w:val="20"/>
              </w:rPr>
              <w:t>-</w:t>
            </w:r>
          </w:p>
        </w:tc>
        <w:tc>
          <w:tcPr>
            <w:tcW w:w="726" w:type="pct"/>
            <w:tcBorders>
              <w:top w:val="nil"/>
              <w:left w:val="nil"/>
              <w:bottom w:val="nil"/>
              <w:right w:val="nil"/>
            </w:tcBorders>
            <w:vAlign w:val="center"/>
            <w:hideMark/>
          </w:tcPr>
          <w:p w14:paraId="2C59CB5D" w14:textId="77777777" w:rsidR="00A74C68" w:rsidRPr="00471CBA" w:rsidRDefault="00A74C68" w:rsidP="00A74C68">
            <w:pPr>
              <w:jc w:val="right"/>
              <w:rPr>
                <w:b/>
                <w:bCs/>
                <w:color w:val="000000"/>
                <w:szCs w:val="20"/>
              </w:rPr>
            </w:pPr>
            <w:r w:rsidRPr="00471CBA">
              <w:rPr>
                <w:b/>
                <w:bCs/>
                <w:color w:val="000000"/>
                <w:szCs w:val="20"/>
              </w:rPr>
              <w:t>-</w:t>
            </w:r>
          </w:p>
        </w:tc>
      </w:tr>
      <w:tr w:rsidR="00A74C68" w:rsidRPr="00471CBA" w14:paraId="4861F008" w14:textId="77777777" w:rsidTr="00A74C68">
        <w:trPr>
          <w:divId w:val="221328215"/>
          <w:trHeight w:val="170"/>
        </w:trPr>
        <w:tc>
          <w:tcPr>
            <w:tcW w:w="2804" w:type="pct"/>
            <w:tcBorders>
              <w:top w:val="nil"/>
              <w:left w:val="nil"/>
              <w:right w:val="nil"/>
            </w:tcBorders>
            <w:noWrap/>
            <w:vAlign w:val="center"/>
            <w:hideMark/>
          </w:tcPr>
          <w:p w14:paraId="00968DFB" w14:textId="77777777" w:rsidR="00A74C68" w:rsidRPr="00471CBA" w:rsidRDefault="00A74C68" w:rsidP="00A74C68">
            <w:pPr>
              <w:jc w:val="both"/>
              <w:rPr>
                <w:b/>
                <w:bCs/>
                <w:color w:val="000000"/>
                <w:szCs w:val="20"/>
              </w:rPr>
            </w:pPr>
            <w:r w:rsidRPr="00471CBA">
              <w:rPr>
                <w:b/>
                <w:bCs/>
                <w:color w:val="000000"/>
                <w:szCs w:val="20"/>
              </w:rPr>
              <w:t>Kredili Mevduat Hesabı-YP (Tüzel Kişi)</w:t>
            </w:r>
          </w:p>
        </w:tc>
        <w:tc>
          <w:tcPr>
            <w:tcW w:w="744" w:type="pct"/>
            <w:tcBorders>
              <w:top w:val="nil"/>
              <w:left w:val="nil"/>
              <w:right w:val="nil"/>
            </w:tcBorders>
            <w:vAlign w:val="center"/>
            <w:hideMark/>
          </w:tcPr>
          <w:p w14:paraId="2AD18F95" w14:textId="77777777" w:rsidR="00A74C68" w:rsidRPr="00471CBA" w:rsidRDefault="00A74C68" w:rsidP="00A74C68">
            <w:pPr>
              <w:jc w:val="right"/>
              <w:rPr>
                <w:b/>
                <w:bCs/>
                <w:color w:val="000000"/>
                <w:szCs w:val="20"/>
              </w:rPr>
            </w:pPr>
            <w:r w:rsidRPr="00471CBA">
              <w:rPr>
                <w:b/>
                <w:bCs/>
                <w:color w:val="000000"/>
                <w:szCs w:val="20"/>
              </w:rPr>
              <w:t>-</w:t>
            </w:r>
          </w:p>
        </w:tc>
        <w:tc>
          <w:tcPr>
            <w:tcW w:w="726" w:type="pct"/>
            <w:tcBorders>
              <w:top w:val="nil"/>
              <w:left w:val="nil"/>
              <w:right w:val="nil"/>
            </w:tcBorders>
            <w:vAlign w:val="center"/>
            <w:hideMark/>
          </w:tcPr>
          <w:p w14:paraId="447DFFDA" w14:textId="77777777" w:rsidR="00A74C68" w:rsidRPr="00471CBA" w:rsidRDefault="00A74C68" w:rsidP="00A74C68">
            <w:pPr>
              <w:jc w:val="right"/>
              <w:rPr>
                <w:b/>
                <w:bCs/>
                <w:color w:val="000000"/>
                <w:szCs w:val="20"/>
              </w:rPr>
            </w:pPr>
            <w:r w:rsidRPr="00471CBA">
              <w:rPr>
                <w:b/>
                <w:bCs/>
                <w:color w:val="000000"/>
                <w:szCs w:val="20"/>
              </w:rPr>
              <w:t>-</w:t>
            </w:r>
          </w:p>
        </w:tc>
        <w:tc>
          <w:tcPr>
            <w:tcW w:w="726" w:type="pct"/>
            <w:tcBorders>
              <w:top w:val="nil"/>
              <w:left w:val="nil"/>
              <w:right w:val="nil"/>
            </w:tcBorders>
            <w:vAlign w:val="center"/>
            <w:hideMark/>
          </w:tcPr>
          <w:p w14:paraId="30CD206E" w14:textId="77777777" w:rsidR="00A74C68" w:rsidRPr="00471CBA" w:rsidRDefault="00A74C68" w:rsidP="00A74C68">
            <w:pPr>
              <w:jc w:val="right"/>
              <w:rPr>
                <w:b/>
                <w:bCs/>
                <w:color w:val="000000"/>
                <w:szCs w:val="20"/>
              </w:rPr>
            </w:pPr>
            <w:r w:rsidRPr="00471CBA">
              <w:rPr>
                <w:b/>
                <w:bCs/>
                <w:color w:val="000000"/>
                <w:szCs w:val="20"/>
              </w:rPr>
              <w:t>-</w:t>
            </w:r>
          </w:p>
        </w:tc>
      </w:tr>
      <w:tr w:rsidR="00A74C68" w:rsidRPr="00471CBA" w14:paraId="2822F025" w14:textId="77777777" w:rsidTr="00A74C68">
        <w:trPr>
          <w:divId w:val="221328215"/>
          <w:trHeight w:val="170"/>
        </w:trPr>
        <w:tc>
          <w:tcPr>
            <w:tcW w:w="2804" w:type="pct"/>
            <w:tcBorders>
              <w:top w:val="nil"/>
              <w:left w:val="nil"/>
              <w:bottom w:val="single" w:sz="4" w:space="0" w:color="auto"/>
              <w:right w:val="nil"/>
            </w:tcBorders>
            <w:noWrap/>
            <w:vAlign w:val="center"/>
            <w:hideMark/>
          </w:tcPr>
          <w:p w14:paraId="7042351A" w14:textId="77777777" w:rsidR="00A74C68" w:rsidRPr="00471CBA" w:rsidRDefault="00A74C68" w:rsidP="00A74C68">
            <w:pPr>
              <w:jc w:val="both"/>
              <w:rPr>
                <w:rFonts w:eastAsia="Arial Unicode MS"/>
                <w:color w:val="000000"/>
                <w:szCs w:val="20"/>
              </w:rPr>
            </w:pPr>
          </w:p>
        </w:tc>
        <w:tc>
          <w:tcPr>
            <w:tcW w:w="744" w:type="pct"/>
            <w:tcBorders>
              <w:top w:val="nil"/>
              <w:left w:val="nil"/>
              <w:bottom w:val="single" w:sz="4" w:space="0" w:color="auto"/>
              <w:right w:val="nil"/>
            </w:tcBorders>
            <w:noWrap/>
            <w:vAlign w:val="center"/>
            <w:hideMark/>
          </w:tcPr>
          <w:p w14:paraId="36FC0A40" w14:textId="77777777" w:rsidR="00A74C68" w:rsidRPr="00471CBA" w:rsidRDefault="00A74C68" w:rsidP="00A74C68">
            <w:pPr>
              <w:jc w:val="right"/>
              <w:rPr>
                <w:b/>
                <w:bCs/>
                <w:color w:val="000000"/>
                <w:szCs w:val="20"/>
              </w:rPr>
            </w:pPr>
          </w:p>
        </w:tc>
        <w:tc>
          <w:tcPr>
            <w:tcW w:w="726" w:type="pct"/>
            <w:tcBorders>
              <w:top w:val="nil"/>
              <w:left w:val="nil"/>
              <w:bottom w:val="single" w:sz="4" w:space="0" w:color="auto"/>
              <w:right w:val="nil"/>
            </w:tcBorders>
            <w:noWrap/>
            <w:vAlign w:val="center"/>
            <w:hideMark/>
          </w:tcPr>
          <w:p w14:paraId="7E2210FD" w14:textId="77777777" w:rsidR="00A74C68" w:rsidRPr="00471CBA" w:rsidRDefault="00A74C68" w:rsidP="00A74C68">
            <w:pPr>
              <w:jc w:val="right"/>
              <w:rPr>
                <w:b/>
                <w:bCs/>
                <w:color w:val="000000"/>
                <w:szCs w:val="20"/>
              </w:rPr>
            </w:pPr>
          </w:p>
        </w:tc>
        <w:tc>
          <w:tcPr>
            <w:tcW w:w="726" w:type="pct"/>
            <w:tcBorders>
              <w:top w:val="nil"/>
              <w:left w:val="nil"/>
              <w:bottom w:val="single" w:sz="4" w:space="0" w:color="auto"/>
              <w:right w:val="nil"/>
            </w:tcBorders>
            <w:noWrap/>
            <w:vAlign w:val="center"/>
            <w:hideMark/>
          </w:tcPr>
          <w:p w14:paraId="7BF2AEA5" w14:textId="77777777" w:rsidR="00A74C68" w:rsidRPr="00471CBA" w:rsidRDefault="00A74C68" w:rsidP="00A74C68">
            <w:pPr>
              <w:jc w:val="right"/>
              <w:rPr>
                <w:b/>
                <w:bCs/>
                <w:color w:val="000000"/>
                <w:szCs w:val="20"/>
              </w:rPr>
            </w:pPr>
          </w:p>
        </w:tc>
      </w:tr>
      <w:tr w:rsidR="00A74C68" w:rsidRPr="00471CBA" w14:paraId="52D64AA1" w14:textId="77777777" w:rsidTr="00A74C68">
        <w:trPr>
          <w:divId w:val="221328215"/>
          <w:trHeight w:val="170"/>
        </w:trPr>
        <w:tc>
          <w:tcPr>
            <w:tcW w:w="2804" w:type="pct"/>
            <w:tcBorders>
              <w:top w:val="single" w:sz="4" w:space="0" w:color="auto"/>
              <w:left w:val="nil"/>
              <w:bottom w:val="single" w:sz="12" w:space="0" w:color="auto"/>
              <w:right w:val="nil"/>
            </w:tcBorders>
            <w:noWrap/>
            <w:vAlign w:val="center"/>
            <w:hideMark/>
          </w:tcPr>
          <w:p w14:paraId="5F638D30" w14:textId="77777777" w:rsidR="00A74C68" w:rsidRPr="00471CBA" w:rsidRDefault="00A74C68" w:rsidP="00A74C68">
            <w:pPr>
              <w:jc w:val="both"/>
              <w:rPr>
                <w:b/>
                <w:bCs/>
                <w:color w:val="000000"/>
                <w:szCs w:val="20"/>
              </w:rPr>
            </w:pPr>
            <w:r w:rsidRPr="00471CBA">
              <w:rPr>
                <w:b/>
                <w:bCs/>
                <w:color w:val="000000"/>
                <w:szCs w:val="20"/>
              </w:rPr>
              <w:t>Toplam</w:t>
            </w:r>
          </w:p>
        </w:tc>
        <w:tc>
          <w:tcPr>
            <w:tcW w:w="744" w:type="pct"/>
            <w:tcBorders>
              <w:top w:val="single" w:sz="4" w:space="0" w:color="auto"/>
              <w:left w:val="nil"/>
              <w:bottom w:val="single" w:sz="12" w:space="0" w:color="auto"/>
              <w:right w:val="nil"/>
            </w:tcBorders>
            <w:vAlign w:val="center"/>
            <w:hideMark/>
          </w:tcPr>
          <w:p w14:paraId="092C4ACD" w14:textId="77777777" w:rsidR="00A74C68" w:rsidRPr="00471CBA" w:rsidRDefault="00A74C68" w:rsidP="00A74C68">
            <w:pPr>
              <w:jc w:val="right"/>
              <w:rPr>
                <w:b/>
                <w:bCs/>
                <w:color w:val="000000"/>
                <w:szCs w:val="20"/>
              </w:rPr>
            </w:pPr>
            <w:r w:rsidRPr="00471CBA">
              <w:rPr>
                <w:b/>
                <w:bCs/>
                <w:color w:val="000000"/>
                <w:szCs w:val="20"/>
              </w:rPr>
              <w:t>338.831</w:t>
            </w:r>
          </w:p>
        </w:tc>
        <w:tc>
          <w:tcPr>
            <w:tcW w:w="726" w:type="pct"/>
            <w:tcBorders>
              <w:top w:val="single" w:sz="4" w:space="0" w:color="auto"/>
              <w:left w:val="nil"/>
              <w:bottom w:val="single" w:sz="12" w:space="0" w:color="auto"/>
              <w:right w:val="nil"/>
            </w:tcBorders>
            <w:vAlign w:val="center"/>
            <w:hideMark/>
          </w:tcPr>
          <w:p w14:paraId="033E3E38" w14:textId="77777777" w:rsidR="00A74C68" w:rsidRPr="00471CBA" w:rsidRDefault="00A74C68" w:rsidP="00A74C68">
            <w:pPr>
              <w:jc w:val="right"/>
              <w:rPr>
                <w:b/>
                <w:bCs/>
                <w:color w:val="000000"/>
                <w:szCs w:val="20"/>
              </w:rPr>
            </w:pPr>
            <w:r w:rsidRPr="00471CBA">
              <w:rPr>
                <w:b/>
                <w:bCs/>
                <w:color w:val="000000"/>
                <w:szCs w:val="20"/>
              </w:rPr>
              <w:t>2.046.378</w:t>
            </w:r>
          </w:p>
        </w:tc>
        <w:tc>
          <w:tcPr>
            <w:tcW w:w="726" w:type="pct"/>
            <w:tcBorders>
              <w:top w:val="single" w:sz="4" w:space="0" w:color="auto"/>
              <w:left w:val="nil"/>
              <w:bottom w:val="single" w:sz="12" w:space="0" w:color="auto"/>
              <w:right w:val="nil"/>
            </w:tcBorders>
            <w:vAlign w:val="center"/>
            <w:hideMark/>
          </w:tcPr>
          <w:p w14:paraId="05E5901D" w14:textId="77777777" w:rsidR="00A74C68" w:rsidRPr="00471CBA" w:rsidRDefault="00A74C68" w:rsidP="00A74C68">
            <w:pPr>
              <w:jc w:val="right"/>
              <w:rPr>
                <w:b/>
                <w:bCs/>
                <w:color w:val="000000"/>
                <w:szCs w:val="20"/>
              </w:rPr>
            </w:pPr>
            <w:r w:rsidRPr="00471CBA">
              <w:rPr>
                <w:b/>
                <w:bCs/>
                <w:color w:val="000000"/>
                <w:szCs w:val="20"/>
              </w:rPr>
              <w:t>2.385.209</w:t>
            </w:r>
          </w:p>
        </w:tc>
      </w:tr>
    </w:tbl>
    <w:p w14:paraId="1A979D2F" w14:textId="38C6E0A6" w:rsidR="008472F9" w:rsidRPr="00471CBA" w:rsidRDefault="008472F9" w:rsidP="003D4220">
      <w:pPr>
        <w:widowControl w:val="0"/>
        <w:ind w:left="851"/>
      </w:pPr>
    </w:p>
    <w:p w14:paraId="5989C6C2" w14:textId="77777777" w:rsidR="00044388" w:rsidRPr="00471CBA" w:rsidRDefault="00044388">
      <w:r w:rsidRPr="00471CBA">
        <w:br w:type="page"/>
      </w:r>
    </w:p>
    <w:p w14:paraId="074EE066" w14:textId="77777777" w:rsidR="00044388" w:rsidRPr="00471CBA" w:rsidRDefault="00044388" w:rsidP="00044388">
      <w:pPr>
        <w:spacing w:after="120"/>
        <w:rPr>
          <w:b/>
          <w:szCs w:val="20"/>
        </w:rPr>
      </w:pPr>
      <w:r w:rsidRPr="00471CBA">
        <w:rPr>
          <w:b/>
          <w:szCs w:val="20"/>
        </w:rPr>
        <w:t>KONSOLİDE OLMAYAN FİNANSAL TABLOLARA İLİŞKİN AÇIKLAMA VE DİPNOTLAR (Devamı)</w:t>
      </w:r>
    </w:p>
    <w:p w14:paraId="78035EED" w14:textId="77777777" w:rsidR="00044388" w:rsidRPr="00471CBA" w:rsidRDefault="00044388" w:rsidP="008459A9">
      <w:pPr>
        <w:pStyle w:val="ListeParagraf"/>
        <w:widowControl w:val="0"/>
        <w:numPr>
          <w:ilvl w:val="0"/>
          <w:numId w:val="77"/>
        </w:numPr>
        <w:spacing w:after="120"/>
        <w:ind w:left="567" w:hanging="567"/>
        <w:jc w:val="both"/>
        <w:rPr>
          <w:b/>
          <w:szCs w:val="20"/>
        </w:rPr>
      </w:pPr>
      <w:r w:rsidRPr="00471CBA">
        <w:rPr>
          <w:b/>
          <w:szCs w:val="20"/>
        </w:rPr>
        <w:t>BİLANÇONUN AKTİF HESAPLARINA İLİŞKİN AÇIKLAMA VE DİPNOTLAR (Devamı)</w:t>
      </w:r>
    </w:p>
    <w:p w14:paraId="060DD84F" w14:textId="57F94D69" w:rsidR="00044388" w:rsidRPr="00471CBA" w:rsidRDefault="00044388" w:rsidP="008459A9">
      <w:pPr>
        <w:pStyle w:val="GvdeMetniGirintisi"/>
        <w:widowControl w:val="0"/>
        <w:numPr>
          <w:ilvl w:val="0"/>
          <w:numId w:val="78"/>
        </w:numPr>
        <w:tabs>
          <w:tab w:val="clear" w:pos="720"/>
          <w:tab w:val="num" w:pos="1134"/>
        </w:tabs>
        <w:ind w:left="567" w:hanging="567"/>
        <w:rPr>
          <w:b/>
          <w:szCs w:val="20"/>
        </w:rPr>
      </w:pPr>
      <w:r w:rsidRPr="00471CBA">
        <w:rPr>
          <w:b/>
          <w:szCs w:val="20"/>
        </w:rPr>
        <w:t>Taksitli ticari krediler ve kurumsal kredi kartlarına ilişkin bilgiler</w:t>
      </w:r>
      <w:r w:rsidR="000D0436" w:rsidRPr="00471CBA">
        <w:rPr>
          <w:b/>
          <w:szCs w:val="20"/>
        </w:rPr>
        <w:t xml:space="preserve"> (Devamı)</w:t>
      </w:r>
    </w:p>
    <w:p w14:paraId="442D261F" w14:textId="11AD19E3" w:rsidR="00A74C68" w:rsidRPr="00471CBA" w:rsidRDefault="00A74C68" w:rsidP="00A74C68">
      <w:pPr>
        <w:widowControl w:val="0"/>
        <w:ind w:left="851"/>
        <w:rPr>
          <w:szCs w:val="20"/>
        </w:rPr>
      </w:pPr>
    </w:p>
    <w:tbl>
      <w:tblPr>
        <w:tblW w:w="5000" w:type="pct"/>
        <w:tblCellMar>
          <w:left w:w="70" w:type="dxa"/>
          <w:right w:w="70" w:type="dxa"/>
        </w:tblCellMar>
        <w:tblLook w:val="04A0" w:firstRow="1" w:lastRow="0" w:firstColumn="1" w:lastColumn="0" w:noHBand="0" w:noVBand="1"/>
      </w:tblPr>
      <w:tblGrid>
        <w:gridCol w:w="5247"/>
        <w:gridCol w:w="1392"/>
        <w:gridCol w:w="1358"/>
        <w:gridCol w:w="1358"/>
      </w:tblGrid>
      <w:tr w:rsidR="00A74C68" w:rsidRPr="00471CBA" w14:paraId="01C0F976" w14:textId="77777777" w:rsidTr="00A74C68">
        <w:trPr>
          <w:divId w:val="653067796"/>
          <w:trHeight w:val="170"/>
        </w:trPr>
        <w:tc>
          <w:tcPr>
            <w:tcW w:w="2804" w:type="pct"/>
            <w:tcBorders>
              <w:top w:val="nil"/>
              <w:left w:val="nil"/>
              <w:bottom w:val="single" w:sz="4" w:space="0" w:color="auto"/>
              <w:right w:val="nil"/>
            </w:tcBorders>
            <w:noWrap/>
            <w:vAlign w:val="bottom"/>
            <w:hideMark/>
          </w:tcPr>
          <w:p w14:paraId="419D9CBE" w14:textId="0D3EFAEE" w:rsidR="00A74C68" w:rsidRPr="00471CBA" w:rsidRDefault="00A74C68" w:rsidP="00A74C68">
            <w:pPr>
              <w:rPr>
                <w:b/>
                <w:bCs/>
                <w:color w:val="000000"/>
                <w:szCs w:val="20"/>
                <w:lang w:eastAsia="tr-TR"/>
              </w:rPr>
            </w:pPr>
            <w:r w:rsidRPr="00471CBA">
              <w:rPr>
                <w:b/>
                <w:bCs/>
                <w:color w:val="000000"/>
                <w:szCs w:val="20"/>
              </w:rPr>
              <w:t xml:space="preserve">31 </w:t>
            </w:r>
            <w:r w:rsidRPr="00471CBA">
              <w:rPr>
                <w:b/>
                <w:bCs/>
                <w:color w:val="000000"/>
                <w:szCs w:val="20"/>
                <w:lang w:eastAsia="tr-TR"/>
              </w:rPr>
              <w:t>Aralık 2024</w:t>
            </w:r>
          </w:p>
        </w:tc>
        <w:tc>
          <w:tcPr>
            <w:tcW w:w="744" w:type="pct"/>
            <w:tcBorders>
              <w:top w:val="nil"/>
              <w:left w:val="nil"/>
              <w:bottom w:val="single" w:sz="4" w:space="0" w:color="auto"/>
              <w:right w:val="nil"/>
            </w:tcBorders>
            <w:vAlign w:val="bottom"/>
            <w:hideMark/>
          </w:tcPr>
          <w:p w14:paraId="5692FD37" w14:textId="77777777" w:rsidR="00A74C68" w:rsidRPr="00471CBA" w:rsidRDefault="00A74C68" w:rsidP="00A74C68">
            <w:pPr>
              <w:jc w:val="right"/>
              <w:rPr>
                <w:b/>
                <w:bCs/>
                <w:color w:val="000000"/>
                <w:szCs w:val="20"/>
              </w:rPr>
            </w:pPr>
            <w:r w:rsidRPr="00471CBA">
              <w:rPr>
                <w:b/>
                <w:bCs/>
                <w:color w:val="000000"/>
                <w:szCs w:val="20"/>
              </w:rPr>
              <w:t>Kısa vadeli</w:t>
            </w:r>
          </w:p>
        </w:tc>
        <w:tc>
          <w:tcPr>
            <w:tcW w:w="726" w:type="pct"/>
            <w:tcBorders>
              <w:top w:val="nil"/>
              <w:left w:val="nil"/>
              <w:bottom w:val="single" w:sz="4" w:space="0" w:color="auto"/>
              <w:right w:val="nil"/>
            </w:tcBorders>
            <w:vAlign w:val="bottom"/>
            <w:hideMark/>
          </w:tcPr>
          <w:p w14:paraId="6008F8CD" w14:textId="77777777" w:rsidR="00A74C68" w:rsidRPr="00471CBA" w:rsidRDefault="00A74C68" w:rsidP="00A74C68">
            <w:pPr>
              <w:jc w:val="right"/>
              <w:rPr>
                <w:b/>
                <w:bCs/>
                <w:color w:val="000000"/>
                <w:szCs w:val="20"/>
              </w:rPr>
            </w:pPr>
            <w:r w:rsidRPr="00471CBA">
              <w:rPr>
                <w:b/>
                <w:bCs/>
                <w:color w:val="000000"/>
                <w:szCs w:val="20"/>
              </w:rPr>
              <w:t>Orta ve Uzun vadeli</w:t>
            </w:r>
          </w:p>
        </w:tc>
        <w:tc>
          <w:tcPr>
            <w:tcW w:w="726" w:type="pct"/>
            <w:tcBorders>
              <w:top w:val="nil"/>
              <w:left w:val="nil"/>
              <w:bottom w:val="single" w:sz="4" w:space="0" w:color="auto"/>
              <w:right w:val="nil"/>
            </w:tcBorders>
            <w:vAlign w:val="bottom"/>
            <w:hideMark/>
          </w:tcPr>
          <w:p w14:paraId="533DB7CC" w14:textId="77777777" w:rsidR="00A74C68" w:rsidRPr="00471CBA" w:rsidRDefault="00A74C68" w:rsidP="00A74C68">
            <w:pPr>
              <w:jc w:val="right"/>
              <w:rPr>
                <w:b/>
                <w:bCs/>
                <w:color w:val="000000"/>
                <w:szCs w:val="20"/>
              </w:rPr>
            </w:pPr>
            <w:r w:rsidRPr="00471CBA">
              <w:rPr>
                <w:b/>
                <w:bCs/>
                <w:color w:val="000000"/>
                <w:szCs w:val="20"/>
              </w:rPr>
              <w:t>Toplam</w:t>
            </w:r>
          </w:p>
        </w:tc>
      </w:tr>
      <w:tr w:rsidR="00A74C68" w:rsidRPr="00471CBA" w14:paraId="6BD1C24B" w14:textId="77777777" w:rsidTr="00A74C68">
        <w:trPr>
          <w:divId w:val="653067796"/>
          <w:trHeight w:val="170"/>
        </w:trPr>
        <w:tc>
          <w:tcPr>
            <w:tcW w:w="2804" w:type="pct"/>
            <w:tcBorders>
              <w:top w:val="single" w:sz="4" w:space="0" w:color="auto"/>
              <w:left w:val="nil"/>
              <w:bottom w:val="nil"/>
              <w:right w:val="nil"/>
            </w:tcBorders>
            <w:noWrap/>
            <w:vAlign w:val="bottom"/>
            <w:hideMark/>
          </w:tcPr>
          <w:p w14:paraId="632ECA01" w14:textId="77777777" w:rsidR="00A74C68" w:rsidRPr="00471CBA" w:rsidRDefault="00A74C68" w:rsidP="00A74C68">
            <w:pPr>
              <w:jc w:val="right"/>
              <w:rPr>
                <w:b/>
                <w:bCs/>
                <w:color w:val="000000"/>
                <w:szCs w:val="20"/>
              </w:rPr>
            </w:pPr>
          </w:p>
        </w:tc>
        <w:tc>
          <w:tcPr>
            <w:tcW w:w="744" w:type="pct"/>
            <w:tcBorders>
              <w:top w:val="single" w:sz="4" w:space="0" w:color="auto"/>
              <w:left w:val="nil"/>
              <w:bottom w:val="nil"/>
              <w:right w:val="nil"/>
            </w:tcBorders>
            <w:noWrap/>
            <w:vAlign w:val="bottom"/>
            <w:hideMark/>
          </w:tcPr>
          <w:p w14:paraId="150873AA" w14:textId="77777777" w:rsidR="00A74C68" w:rsidRPr="00471CBA" w:rsidRDefault="00A74C68" w:rsidP="00A74C68">
            <w:pPr>
              <w:jc w:val="both"/>
              <w:rPr>
                <w:szCs w:val="20"/>
              </w:rPr>
            </w:pPr>
          </w:p>
        </w:tc>
        <w:tc>
          <w:tcPr>
            <w:tcW w:w="726" w:type="pct"/>
            <w:tcBorders>
              <w:top w:val="single" w:sz="4" w:space="0" w:color="auto"/>
              <w:left w:val="nil"/>
              <w:bottom w:val="nil"/>
              <w:right w:val="nil"/>
            </w:tcBorders>
            <w:noWrap/>
            <w:vAlign w:val="bottom"/>
            <w:hideMark/>
          </w:tcPr>
          <w:p w14:paraId="004A0F70" w14:textId="77777777" w:rsidR="00A74C68" w:rsidRPr="00471CBA" w:rsidRDefault="00A74C68" w:rsidP="00A74C68">
            <w:pPr>
              <w:jc w:val="right"/>
              <w:rPr>
                <w:szCs w:val="20"/>
              </w:rPr>
            </w:pPr>
          </w:p>
        </w:tc>
        <w:tc>
          <w:tcPr>
            <w:tcW w:w="726" w:type="pct"/>
            <w:tcBorders>
              <w:top w:val="single" w:sz="4" w:space="0" w:color="auto"/>
              <w:left w:val="nil"/>
              <w:bottom w:val="nil"/>
              <w:right w:val="nil"/>
            </w:tcBorders>
            <w:noWrap/>
            <w:vAlign w:val="bottom"/>
            <w:hideMark/>
          </w:tcPr>
          <w:p w14:paraId="343EE486" w14:textId="77777777" w:rsidR="00A74C68" w:rsidRPr="00471CBA" w:rsidRDefault="00A74C68" w:rsidP="00A74C68">
            <w:pPr>
              <w:jc w:val="right"/>
              <w:rPr>
                <w:szCs w:val="20"/>
              </w:rPr>
            </w:pPr>
          </w:p>
        </w:tc>
      </w:tr>
      <w:tr w:rsidR="00A74C68" w:rsidRPr="00471CBA" w14:paraId="5787C477" w14:textId="77777777" w:rsidTr="00A74C68">
        <w:trPr>
          <w:divId w:val="653067796"/>
          <w:trHeight w:val="170"/>
        </w:trPr>
        <w:tc>
          <w:tcPr>
            <w:tcW w:w="2804" w:type="pct"/>
            <w:tcBorders>
              <w:top w:val="nil"/>
              <w:left w:val="nil"/>
              <w:bottom w:val="nil"/>
              <w:right w:val="nil"/>
            </w:tcBorders>
            <w:noWrap/>
            <w:vAlign w:val="center"/>
            <w:hideMark/>
          </w:tcPr>
          <w:p w14:paraId="6917A8C3" w14:textId="77777777" w:rsidR="00A74C68" w:rsidRPr="00471CBA" w:rsidRDefault="00A74C68" w:rsidP="00A74C68">
            <w:pPr>
              <w:jc w:val="both"/>
              <w:rPr>
                <w:b/>
                <w:bCs/>
                <w:color w:val="000000"/>
                <w:szCs w:val="20"/>
              </w:rPr>
            </w:pPr>
            <w:r w:rsidRPr="00471CBA">
              <w:rPr>
                <w:b/>
                <w:bCs/>
                <w:color w:val="000000"/>
                <w:szCs w:val="20"/>
              </w:rPr>
              <w:t>Taksitli Ticari Krediler-TP</w:t>
            </w:r>
          </w:p>
        </w:tc>
        <w:tc>
          <w:tcPr>
            <w:tcW w:w="744" w:type="pct"/>
            <w:tcBorders>
              <w:top w:val="nil"/>
              <w:left w:val="nil"/>
              <w:bottom w:val="nil"/>
              <w:right w:val="nil"/>
            </w:tcBorders>
            <w:vAlign w:val="center"/>
            <w:hideMark/>
          </w:tcPr>
          <w:p w14:paraId="4BB221DF" w14:textId="77777777" w:rsidR="00A74C68" w:rsidRPr="00471CBA" w:rsidRDefault="00A74C68" w:rsidP="00A74C68">
            <w:pPr>
              <w:jc w:val="right"/>
              <w:rPr>
                <w:b/>
                <w:bCs/>
                <w:color w:val="000000"/>
                <w:szCs w:val="20"/>
              </w:rPr>
            </w:pPr>
            <w:r w:rsidRPr="00471CBA">
              <w:rPr>
                <w:b/>
                <w:bCs/>
                <w:color w:val="000000"/>
                <w:szCs w:val="20"/>
              </w:rPr>
              <w:t>119.161</w:t>
            </w:r>
          </w:p>
        </w:tc>
        <w:tc>
          <w:tcPr>
            <w:tcW w:w="726" w:type="pct"/>
            <w:tcBorders>
              <w:top w:val="nil"/>
              <w:left w:val="nil"/>
              <w:bottom w:val="nil"/>
              <w:right w:val="nil"/>
            </w:tcBorders>
            <w:vAlign w:val="center"/>
            <w:hideMark/>
          </w:tcPr>
          <w:p w14:paraId="0BCA4A79" w14:textId="77777777" w:rsidR="00A74C68" w:rsidRPr="00471CBA" w:rsidRDefault="00A74C68" w:rsidP="00A74C68">
            <w:pPr>
              <w:jc w:val="right"/>
              <w:rPr>
                <w:b/>
                <w:bCs/>
                <w:color w:val="000000"/>
                <w:szCs w:val="20"/>
              </w:rPr>
            </w:pPr>
            <w:r w:rsidRPr="00471CBA">
              <w:rPr>
                <w:b/>
                <w:bCs/>
                <w:color w:val="000000"/>
                <w:szCs w:val="20"/>
              </w:rPr>
              <w:t>1.050.004</w:t>
            </w:r>
          </w:p>
        </w:tc>
        <w:tc>
          <w:tcPr>
            <w:tcW w:w="726" w:type="pct"/>
            <w:tcBorders>
              <w:top w:val="nil"/>
              <w:left w:val="nil"/>
              <w:bottom w:val="nil"/>
              <w:right w:val="nil"/>
            </w:tcBorders>
            <w:vAlign w:val="center"/>
            <w:hideMark/>
          </w:tcPr>
          <w:p w14:paraId="6A97AAFE" w14:textId="77777777" w:rsidR="00A74C68" w:rsidRPr="00471CBA" w:rsidRDefault="00A74C68" w:rsidP="00A74C68">
            <w:pPr>
              <w:jc w:val="right"/>
              <w:rPr>
                <w:b/>
                <w:bCs/>
                <w:color w:val="000000"/>
                <w:szCs w:val="20"/>
              </w:rPr>
            </w:pPr>
            <w:r w:rsidRPr="00471CBA">
              <w:rPr>
                <w:b/>
                <w:bCs/>
                <w:color w:val="000000"/>
                <w:szCs w:val="20"/>
              </w:rPr>
              <w:t>1.169.165</w:t>
            </w:r>
          </w:p>
        </w:tc>
      </w:tr>
      <w:tr w:rsidR="00A74C68" w:rsidRPr="00471CBA" w14:paraId="4AE48872" w14:textId="77777777" w:rsidTr="00A74C68">
        <w:trPr>
          <w:divId w:val="653067796"/>
          <w:trHeight w:val="170"/>
        </w:trPr>
        <w:tc>
          <w:tcPr>
            <w:tcW w:w="2804" w:type="pct"/>
            <w:tcBorders>
              <w:top w:val="nil"/>
              <w:left w:val="nil"/>
              <w:bottom w:val="nil"/>
              <w:right w:val="nil"/>
            </w:tcBorders>
            <w:noWrap/>
            <w:vAlign w:val="center"/>
            <w:hideMark/>
          </w:tcPr>
          <w:p w14:paraId="0E88DC2E" w14:textId="77777777" w:rsidR="00A74C68" w:rsidRPr="00471CBA" w:rsidRDefault="00A74C68" w:rsidP="00A74C68">
            <w:pPr>
              <w:jc w:val="both"/>
              <w:rPr>
                <w:color w:val="000000"/>
                <w:szCs w:val="20"/>
              </w:rPr>
            </w:pPr>
            <w:r w:rsidRPr="00471CBA">
              <w:rPr>
                <w:color w:val="000000"/>
                <w:szCs w:val="20"/>
              </w:rPr>
              <w:t>İşyeri Kredileri</w:t>
            </w:r>
          </w:p>
        </w:tc>
        <w:tc>
          <w:tcPr>
            <w:tcW w:w="744" w:type="pct"/>
            <w:tcBorders>
              <w:top w:val="nil"/>
              <w:left w:val="nil"/>
              <w:bottom w:val="nil"/>
              <w:right w:val="nil"/>
            </w:tcBorders>
            <w:vAlign w:val="center"/>
            <w:hideMark/>
          </w:tcPr>
          <w:p w14:paraId="3373871C" w14:textId="77777777" w:rsidR="00A74C68" w:rsidRPr="00471CBA" w:rsidRDefault="00A74C68" w:rsidP="00A74C68">
            <w:pPr>
              <w:jc w:val="right"/>
              <w:rPr>
                <w:color w:val="000000"/>
                <w:szCs w:val="20"/>
              </w:rPr>
            </w:pPr>
            <w:r w:rsidRPr="00471CBA">
              <w:rPr>
                <w:color w:val="000000"/>
                <w:szCs w:val="20"/>
              </w:rPr>
              <w:t>5.144</w:t>
            </w:r>
          </w:p>
        </w:tc>
        <w:tc>
          <w:tcPr>
            <w:tcW w:w="726" w:type="pct"/>
            <w:tcBorders>
              <w:top w:val="nil"/>
              <w:left w:val="nil"/>
              <w:bottom w:val="nil"/>
              <w:right w:val="nil"/>
            </w:tcBorders>
            <w:vAlign w:val="center"/>
            <w:hideMark/>
          </w:tcPr>
          <w:p w14:paraId="72131210" w14:textId="77777777" w:rsidR="00A74C68" w:rsidRPr="00471CBA" w:rsidRDefault="00A74C68" w:rsidP="00A74C68">
            <w:pPr>
              <w:jc w:val="right"/>
              <w:rPr>
                <w:color w:val="000000"/>
                <w:szCs w:val="20"/>
              </w:rPr>
            </w:pPr>
            <w:r w:rsidRPr="00471CBA">
              <w:rPr>
                <w:color w:val="000000"/>
                <w:szCs w:val="20"/>
              </w:rPr>
              <w:t>40.012</w:t>
            </w:r>
          </w:p>
        </w:tc>
        <w:tc>
          <w:tcPr>
            <w:tcW w:w="726" w:type="pct"/>
            <w:tcBorders>
              <w:top w:val="nil"/>
              <w:left w:val="nil"/>
              <w:bottom w:val="nil"/>
              <w:right w:val="nil"/>
            </w:tcBorders>
            <w:vAlign w:val="center"/>
            <w:hideMark/>
          </w:tcPr>
          <w:p w14:paraId="60A8E84C" w14:textId="77777777" w:rsidR="00A74C68" w:rsidRPr="00471CBA" w:rsidRDefault="00A74C68" w:rsidP="00A74C68">
            <w:pPr>
              <w:jc w:val="right"/>
              <w:rPr>
                <w:color w:val="000000"/>
                <w:szCs w:val="20"/>
              </w:rPr>
            </w:pPr>
            <w:r w:rsidRPr="00471CBA">
              <w:rPr>
                <w:color w:val="000000"/>
                <w:szCs w:val="20"/>
              </w:rPr>
              <w:t>45.156</w:t>
            </w:r>
          </w:p>
        </w:tc>
      </w:tr>
      <w:tr w:rsidR="00A74C68" w:rsidRPr="00471CBA" w14:paraId="3C1068BA" w14:textId="77777777" w:rsidTr="00A74C68">
        <w:trPr>
          <w:divId w:val="653067796"/>
          <w:trHeight w:val="170"/>
        </w:trPr>
        <w:tc>
          <w:tcPr>
            <w:tcW w:w="2804" w:type="pct"/>
            <w:tcBorders>
              <w:top w:val="nil"/>
              <w:left w:val="nil"/>
              <w:bottom w:val="nil"/>
              <w:right w:val="nil"/>
            </w:tcBorders>
            <w:noWrap/>
            <w:vAlign w:val="center"/>
            <w:hideMark/>
          </w:tcPr>
          <w:p w14:paraId="3C535947" w14:textId="77777777" w:rsidR="00A74C68" w:rsidRPr="00471CBA" w:rsidRDefault="00A74C68" w:rsidP="00A74C68">
            <w:pPr>
              <w:jc w:val="both"/>
              <w:rPr>
                <w:color w:val="000000"/>
                <w:szCs w:val="20"/>
              </w:rPr>
            </w:pPr>
            <w:r w:rsidRPr="00471CBA">
              <w:rPr>
                <w:color w:val="000000"/>
                <w:szCs w:val="20"/>
              </w:rPr>
              <w:t>Taşıt Kredileri</w:t>
            </w:r>
          </w:p>
        </w:tc>
        <w:tc>
          <w:tcPr>
            <w:tcW w:w="744" w:type="pct"/>
            <w:tcBorders>
              <w:top w:val="nil"/>
              <w:left w:val="nil"/>
              <w:bottom w:val="nil"/>
              <w:right w:val="nil"/>
            </w:tcBorders>
            <w:vAlign w:val="center"/>
            <w:hideMark/>
          </w:tcPr>
          <w:p w14:paraId="6494C6CB" w14:textId="77777777" w:rsidR="00A74C68" w:rsidRPr="00471CBA" w:rsidRDefault="00A74C68" w:rsidP="00A74C68">
            <w:pPr>
              <w:jc w:val="right"/>
              <w:rPr>
                <w:color w:val="000000"/>
                <w:szCs w:val="20"/>
              </w:rPr>
            </w:pPr>
            <w:r w:rsidRPr="00471CBA">
              <w:rPr>
                <w:color w:val="000000"/>
                <w:szCs w:val="20"/>
              </w:rPr>
              <w:t>114.017</w:t>
            </w:r>
          </w:p>
        </w:tc>
        <w:tc>
          <w:tcPr>
            <w:tcW w:w="726" w:type="pct"/>
            <w:tcBorders>
              <w:top w:val="nil"/>
              <w:left w:val="nil"/>
              <w:bottom w:val="nil"/>
              <w:right w:val="nil"/>
            </w:tcBorders>
            <w:vAlign w:val="center"/>
            <w:hideMark/>
          </w:tcPr>
          <w:p w14:paraId="3A9B36F5" w14:textId="77777777" w:rsidR="00A74C68" w:rsidRPr="00471CBA" w:rsidRDefault="00A74C68" w:rsidP="00A74C68">
            <w:pPr>
              <w:jc w:val="right"/>
              <w:rPr>
                <w:color w:val="000000"/>
                <w:szCs w:val="20"/>
              </w:rPr>
            </w:pPr>
            <w:r w:rsidRPr="00471CBA">
              <w:rPr>
                <w:color w:val="000000"/>
                <w:szCs w:val="20"/>
              </w:rPr>
              <w:t>1.009.992</w:t>
            </w:r>
          </w:p>
        </w:tc>
        <w:tc>
          <w:tcPr>
            <w:tcW w:w="726" w:type="pct"/>
            <w:tcBorders>
              <w:top w:val="nil"/>
              <w:left w:val="nil"/>
              <w:bottom w:val="nil"/>
              <w:right w:val="nil"/>
            </w:tcBorders>
            <w:vAlign w:val="center"/>
            <w:hideMark/>
          </w:tcPr>
          <w:p w14:paraId="6F982D57" w14:textId="77777777" w:rsidR="00A74C68" w:rsidRPr="00471CBA" w:rsidRDefault="00A74C68" w:rsidP="00A74C68">
            <w:pPr>
              <w:jc w:val="right"/>
              <w:rPr>
                <w:color w:val="000000"/>
                <w:szCs w:val="20"/>
              </w:rPr>
            </w:pPr>
            <w:r w:rsidRPr="00471CBA">
              <w:rPr>
                <w:color w:val="000000"/>
                <w:szCs w:val="20"/>
              </w:rPr>
              <w:t>1.124.009</w:t>
            </w:r>
          </w:p>
        </w:tc>
      </w:tr>
      <w:tr w:rsidR="00A74C68" w:rsidRPr="00471CBA" w14:paraId="1D99C6FE" w14:textId="77777777" w:rsidTr="00A74C68">
        <w:trPr>
          <w:divId w:val="653067796"/>
          <w:trHeight w:val="170"/>
        </w:trPr>
        <w:tc>
          <w:tcPr>
            <w:tcW w:w="2804" w:type="pct"/>
            <w:tcBorders>
              <w:top w:val="nil"/>
              <w:left w:val="nil"/>
              <w:bottom w:val="nil"/>
              <w:right w:val="nil"/>
            </w:tcBorders>
            <w:noWrap/>
            <w:vAlign w:val="center"/>
            <w:hideMark/>
          </w:tcPr>
          <w:p w14:paraId="5C8E86CE" w14:textId="77777777" w:rsidR="00A74C68" w:rsidRPr="00471CBA" w:rsidRDefault="00A74C68" w:rsidP="00A74C68">
            <w:pPr>
              <w:jc w:val="both"/>
              <w:rPr>
                <w:color w:val="000000"/>
                <w:szCs w:val="20"/>
              </w:rPr>
            </w:pPr>
            <w:r w:rsidRPr="00471CBA">
              <w:rPr>
                <w:color w:val="000000"/>
                <w:szCs w:val="20"/>
              </w:rPr>
              <w:t>İhtiyaç Kredileri</w:t>
            </w:r>
          </w:p>
        </w:tc>
        <w:tc>
          <w:tcPr>
            <w:tcW w:w="744" w:type="pct"/>
            <w:tcBorders>
              <w:top w:val="nil"/>
              <w:left w:val="nil"/>
              <w:bottom w:val="nil"/>
              <w:right w:val="nil"/>
            </w:tcBorders>
            <w:vAlign w:val="center"/>
            <w:hideMark/>
          </w:tcPr>
          <w:p w14:paraId="62D66181"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55677571"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7D11593F" w14:textId="77777777" w:rsidR="00A74C68" w:rsidRPr="00471CBA" w:rsidRDefault="00A74C68" w:rsidP="00A74C68">
            <w:pPr>
              <w:jc w:val="right"/>
              <w:rPr>
                <w:color w:val="000000"/>
                <w:szCs w:val="20"/>
              </w:rPr>
            </w:pPr>
            <w:r w:rsidRPr="00471CBA">
              <w:rPr>
                <w:color w:val="000000"/>
                <w:szCs w:val="20"/>
              </w:rPr>
              <w:t>-</w:t>
            </w:r>
          </w:p>
        </w:tc>
      </w:tr>
      <w:tr w:rsidR="00A74C68" w:rsidRPr="00471CBA" w14:paraId="183F368C" w14:textId="77777777" w:rsidTr="00A74C68">
        <w:trPr>
          <w:divId w:val="653067796"/>
          <w:trHeight w:val="170"/>
        </w:trPr>
        <w:tc>
          <w:tcPr>
            <w:tcW w:w="2804" w:type="pct"/>
            <w:tcBorders>
              <w:top w:val="nil"/>
              <w:left w:val="nil"/>
              <w:bottom w:val="nil"/>
              <w:right w:val="nil"/>
            </w:tcBorders>
            <w:noWrap/>
            <w:vAlign w:val="center"/>
            <w:hideMark/>
          </w:tcPr>
          <w:p w14:paraId="2F73B08D" w14:textId="77777777" w:rsidR="00A74C68" w:rsidRPr="00471CBA" w:rsidRDefault="00A74C68" w:rsidP="00A74C68">
            <w:pPr>
              <w:jc w:val="both"/>
              <w:rPr>
                <w:color w:val="000000"/>
                <w:szCs w:val="20"/>
              </w:rPr>
            </w:pPr>
            <w:r w:rsidRPr="00471CBA">
              <w:rPr>
                <w:color w:val="000000"/>
                <w:szCs w:val="20"/>
              </w:rPr>
              <w:t>Diğer</w:t>
            </w:r>
          </w:p>
        </w:tc>
        <w:tc>
          <w:tcPr>
            <w:tcW w:w="744" w:type="pct"/>
            <w:tcBorders>
              <w:top w:val="nil"/>
              <w:left w:val="nil"/>
              <w:bottom w:val="nil"/>
              <w:right w:val="nil"/>
            </w:tcBorders>
            <w:vAlign w:val="center"/>
            <w:hideMark/>
          </w:tcPr>
          <w:p w14:paraId="0448E67F"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7BBF3E5F"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72C8B11A" w14:textId="77777777" w:rsidR="00A74C68" w:rsidRPr="00471CBA" w:rsidRDefault="00A74C68" w:rsidP="00A74C68">
            <w:pPr>
              <w:jc w:val="right"/>
              <w:rPr>
                <w:color w:val="000000"/>
                <w:szCs w:val="20"/>
              </w:rPr>
            </w:pPr>
            <w:r w:rsidRPr="00471CBA">
              <w:rPr>
                <w:color w:val="000000"/>
                <w:szCs w:val="20"/>
              </w:rPr>
              <w:t>-</w:t>
            </w:r>
          </w:p>
        </w:tc>
      </w:tr>
      <w:tr w:rsidR="00A74C68" w:rsidRPr="00471CBA" w14:paraId="074D0F10" w14:textId="77777777" w:rsidTr="00A74C68">
        <w:trPr>
          <w:divId w:val="653067796"/>
          <w:trHeight w:val="170"/>
        </w:trPr>
        <w:tc>
          <w:tcPr>
            <w:tcW w:w="2804" w:type="pct"/>
            <w:tcBorders>
              <w:top w:val="nil"/>
              <w:left w:val="nil"/>
              <w:bottom w:val="nil"/>
              <w:right w:val="nil"/>
            </w:tcBorders>
            <w:noWrap/>
            <w:vAlign w:val="center"/>
            <w:hideMark/>
          </w:tcPr>
          <w:p w14:paraId="4C1C5553" w14:textId="77777777" w:rsidR="00A74C68" w:rsidRPr="00471CBA" w:rsidRDefault="00A74C68" w:rsidP="00A74C68">
            <w:pPr>
              <w:jc w:val="both"/>
              <w:rPr>
                <w:b/>
                <w:bCs/>
                <w:color w:val="000000"/>
                <w:szCs w:val="20"/>
              </w:rPr>
            </w:pPr>
            <w:r w:rsidRPr="00471CBA">
              <w:rPr>
                <w:b/>
                <w:bCs/>
                <w:color w:val="000000"/>
                <w:szCs w:val="20"/>
              </w:rPr>
              <w:t>Taksitli Ticari Krediler-Dövize Endeksli</w:t>
            </w:r>
          </w:p>
        </w:tc>
        <w:tc>
          <w:tcPr>
            <w:tcW w:w="744" w:type="pct"/>
            <w:tcBorders>
              <w:top w:val="nil"/>
              <w:left w:val="nil"/>
              <w:bottom w:val="nil"/>
              <w:right w:val="nil"/>
            </w:tcBorders>
            <w:vAlign w:val="center"/>
            <w:hideMark/>
          </w:tcPr>
          <w:p w14:paraId="76024164" w14:textId="77777777" w:rsidR="00A74C68" w:rsidRPr="00471CBA" w:rsidRDefault="00A74C68" w:rsidP="00A74C68">
            <w:pPr>
              <w:jc w:val="right"/>
              <w:rPr>
                <w:b/>
                <w:bCs/>
                <w:color w:val="000000"/>
                <w:szCs w:val="20"/>
              </w:rPr>
            </w:pPr>
            <w:r w:rsidRPr="00471CBA">
              <w:rPr>
                <w:b/>
                <w:bCs/>
                <w:color w:val="000000"/>
                <w:szCs w:val="20"/>
              </w:rPr>
              <w:t>-</w:t>
            </w:r>
          </w:p>
        </w:tc>
        <w:tc>
          <w:tcPr>
            <w:tcW w:w="726" w:type="pct"/>
            <w:tcBorders>
              <w:top w:val="nil"/>
              <w:left w:val="nil"/>
              <w:bottom w:val="nil"/>
              <w:right w:val="nil"/>
            </w:tcBorders>
            <w:vAlign w:val="center"/>
            <w:hideMark/>
          </w:tcPr>
          <w:p w14:paraId="4F939D47" w14:textId="77777777" w:rsidR="00A74C68" w:rsidRPr="00471CBA" w:rsidRDefault="00A74C68" w:rsidP="00A74C68">
            <w:pPr>
              <w:jc w:val="right"/>
              <w:rPr>
                <w:b/>
                <w:bCs/>
                <w:color w:val="000000"/>
                <w:szCs w:val="20"/>
              </w:rPr>
            </w:pPr>
            <w:r w:rsidRPr="00471CBA">
              <w:rPr>
                <w:b/>
                <w:bCs/>
                <w:color w:val="000000"/>
                <w:szCs w:val="20"/>
              </w:rPr>
              <w:t>-</w:t>
            </w:r>
          </w:p>
        </w:tc>
        <w:tc>
          <w:tcPr>
            <w:tcW w:w="726" w:type="pct"/>
            <w:tcBorders>
              <w:top w:val="nil"/>
              <w:left w:val="nil"/>
              <w:bottom w:val="nil"/>
              <w:right w:val="nil"/>
            </w:tcBorders>
            <w:vAlign w:val="center"/>
            <w:hideMark/>
          </w:tcPr>
          <w:p w14:paraId="6D0581AF" w14:textId="77777777" w:rsidR="00A74C68" w:rsidRPr="00471CBA" w:rsidRDefault="00A74C68" w:rsidP="00A74C68">
            <w:pPr>
              <w:jc w:val="right"/>
              <w:rPr>
                <w:b/>
                <w:bCs/>
                <w:color w:val="000000"/>
                <w:szCs w:val="20"/>
              </w:rPr>
            </w:pPr>
            <w:r w:rsidRPr="00471CBA">
              <w:rPr>
                <w:b/>
                <w:bCs/>
                <w:color w:val="000000"/>
                <w:szCs w:val="20"/>
              </w:rPr>
              <w:t>-</w:t>
            </w:r>
          </w:p>
        </w:tc>
      </w:tr>
      <w:tr w:rsidR="00A74C68" w:rsidRPr="00471CBA" w14:paraId="1D9423D2" w14:textId="77777777" w:rsidTr="00A74C68">
        <w:trPr>
          <w:divId w:val="653067796"/>
          <w:trHeight w:val="170"/>
        </w:trPr>
        <w:tc>
          <w:tcPr>
            <w:tcW w:w="2804" w:type="pct"/>
            <w:tcBorders>
              <w:top w:val="nil"/>
              <w:left w:val="nil"/>
              <w:bottom w:val="nil"/>
              <w:right w:val="nil"/>
            </w:tcBorders>
            <w:noWrap/>
            <w:vAlign w:val="center"/>
            <w:hideMark/>
          </w:tcPr>
          <w:p w14:paraId="32478F49" w14:textId="77777777" w:rsidR="00A74C68" w:rsidRPr="00471CBA" w:rsidRDefault="00A74C68" w:rsidP="00A74C68">
            <w:pPr>
              <w:jc w:val="both"/>
              <w:rPr>
                <w:color w:val="000000"/>
                <w:szCs w:val="20"/>
              </w:rPr>
            </w:pPr>
            <w:r w:rsidRPr="00471CBA">
              <w:rPr>
                <w:color w:val="000000"/>
                <w:szCs w:val="20"/>
              </w:rPr>
              <w:t>İşyeri Kredileri</w:t>
            </w:r>
          </w:p>
        </w:tc>
        <w:tc>
          <w:tcPr>
            <w:tcW w:w="744" w:type="pct"/>
            <w:tcBorders>
              <w:top w:val="nil"/>
              <w:left w:val="nil"/>
              <w:bottom w:val="nil"/>
              <w:right w:val="nil"/>
            </w:tcBorders>
            <w:vAlign w:val="center"/>
            <w:hideMark/>
          </w:tcPr>
          <w:p w14:paraId="7E50BF61"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7ACAE099"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5417513B" w14:textId="77777777" w:rsidR="00A74C68" w:rsidRPr="00471CBA" w:rsidRDefault="00A74C68" w:rsidP="00A74C68">
            <w:pPr>
              <w:jc w:val="right"/>
              <w:rPr>
                <w:color w:val="000000"/>
                <w:szCs w:val="20"/>
              </w:rPr>
            </w:pPr>
            <w:r w:rsidRPr="00471CBA">
              <w:rPr>
                <w:color w:val="000000"/>
                <w:szCs w:val="20"/>
              </w:rPr>
              <w:t>-</w:t>
            </w:r>
          </w:p>
        </w:tc>
      </w:tr>
      <w:tr w:rsidR="00A74C68" w:rsidRPr="00471CBA" w14:paraId="4CDABAE3" w14:textId="77777777" w:rsidTr="00A74C68">
        <w:trPr>
          <w:divId w:val="653067796"/>
          <w:trHeight w:val="170"/>
        </w:trPr>
        <w:tc>
          <w:tcPr>
            <w:tcW w:w="2804" w:type="pct"/>
            <w:tcBorders>
              <w:top w:val="nil"/>
              <w:left w:val="nil"/>
              <w:bottom w:val="nil"/>
              <w:right w:val="nil"/>
            </w:tcBorders>
            <w:noWrap/>
            <w:vAlign w:val="center"/>
            <w:hideMark/>
          </w:tcPr>
          <w:p w14:paraId="572EEB88" w14:textId="77777777" w:rsidR="00A74C68" w:rsidRPr="00471CBA" w:rsidRDefault="00A74C68" w:rsidP="00A74C68">
            <w:pPr>
              <w:jc w:val="both"/>
              <w:rPr>
                <w:color w:val="000000"/>
                <w:szCs w:val="20"/>
              </w:rPr>
            </w:pPr>
            <w:r w:rsidRPr="00471CBA">
              <w:rPr>
                <w:color w:val="000000"/>
                <w:szCs w:val="20"/>
              </w:rPr>
              <w:t>Taşıt Kredileri</w:t>
            </w:r>
          </w:p>
        </w:tc>
        <w:tc>
          <w:tcPr>
            <w:tcW w:w="744" w:type="pct"/>
            <w:tcBorders>
              <w:top w:val="nil"/>
              <w:left w:val="nil"/>
              <w:bottom w:val="nil"/>
              <w:right w:val="nil"/>
            </w:tcBorders>
            <w:vAlign w:val="center"/>
            <w:hideMark/>
          </w:tcPr>
          <w:p w14:paraId="3E0E9BBF"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5179B1F9"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44AD7127" w14:textId="77777777" w:rsidR="00A74C68" w:rsidRPr="00471CBA" w:rsidRDefault="00A74C68" w:rsidP="00A74C68">
            <w:pPr>
              <w:jc w:val="right"/>
              <w:rPr>
                <w:color w:val="000000"/>
                <w:szCs w:val="20"/>
              </w:rPr>
            </w:pPr>
            <w:r w:rsidRPr="00471CBA">
              <w:rPr>
                <w:color w:val="000000"/>
                <w:szCs w:val="20"/>
              </w:rPr>
              <w:t>-</w:t>
            </w:r>
          </w:p>
        </w:tc>
      </w:tr>
      <w:tr w:rsidR="00A74C68" w:rsidRPr="00471CBA" w14:paraId="4C14B5C8" w14:textId="77777777" w:rsidTr="00A74C68">
        <w:trPr>
          <w:divId w:val="653067796"/>
          <w:trHeight w:val="170"/>
        </w:trPr>
        <w:tc>
          <w:tcPr>
            <w:tcW w:w="2804" w:type="pct"/>
            <w:tcBorders>
              <w:top w:val="nil"/>
              <w:left w:val="nil"/>
              <w:bottom w:val="nil"/>
              <w:right w:val="nil"/>
            </w:tcBorders>
            <w:noWrap/>
            <w:vAlign w:val="center"/>
            <w:hideMark/>
          </w:tcPr>
          <w:p w14:paraId="7E406882" w14:textId="77777777" w:rsidR="00A74C68" w:rsidRPr="00471CBA" w:rsidRDefault="00A74C68" w:rsidP="00A74C68">
            <w:pPr>
              <w:jc w:val="both"/>
              <w:rPr>
                <w:color w:val="000000"/>
                <w:szCs w:val="20"/>
              </w:rPr>
            </w:pPr>
            <w:r w:rsidRPr="00471CBA">
              <w:rPr>
                <w:color w:val="000000"/>
                <w:szCs w:val="20"/>
              </w:rPr>
              <w:t>İhtiyaç Kredileri</w:t>
            </w:r>
          </w:p>
        </w:tc>
        <w:tc>
          <w:tcPr>
            <w:tcW w:w="744" w:type="pct"/>
            <w:tcBorders>
              <w:top w:val="nil"/>
              <w:left w:val="nil"/>
              <w:bottom w:val="nil"/>
              <w:right w:val="nil"/>
            </w:tcBorders>
            <w:vAlign w:val="center"/>
            <w:hideMark/>
          </w:tcPr>
          <w:p w14:paraId="07F63F76"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0CED4BA4"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067B87C8" w14:textId="77777777" w:rsidR="00A74C68" w:rsidRPr="00471CBA" w:rsidRDefault="00A74C68" w:rsidP="00A74C68">
            <w:pPr>
              <w:jc w:val="right"/>
              <w:rPr>
                <w:color w:val="000000"/>
                <w:szCs w:val="20"/>
              </w:rPr>
            </w:pPr>
            <w:r w:rsidRPr="00471CBA">
              <w:rPr>
                <w:color w:val="000000"/>
                <w:szCs w:val="20"/>
              </w:rPr>
              <w:t>-</w:t>
            </w:r>
          </w:p>
        </w:tc>
      </w:tr>
      <w:tr w:rsidR="00A74C68" w:rsidRPr="00471CBA" w14:paraId="06F1C32B" w14:textId="77777777" w:rsidTr="00A74C68">
        <w:trPr>
          <w:divId w:val="653067796"/>
          <w:trHeight w:val="170"/>
        </w:trPr>
        <w:tc>
          <w:tcPr>
            <w:tcW w:w="2804" w:type="pct"/>
            <w:tcBorders>
              <w:top w:val="nil"/>
              <w:left w:val="nil"/>
              <w:bottom w:val="nil"/>
              <w:right w:val="nil"/>
            </w:tcBorders>
            <w:noWrap/>
            <w:vAlign w:val="center"/>
            <w:hideMark/>
          </w:tcPr>
          <w:p w14:paraId="518EA75A" w14:textId="77777777" w:rsidR="00A74C68" w:rsidRPr="00471CBA" w:rsidRDefault="00A74C68" w:rsidP="00A74C68">
            <w:pPr>
              <w:jc w:val="both"/>
              <w:rPr>
                <w:color w:val="000000"/>
                <w:szCs w:val="20"/>
              </w:rPr>
            </w:pPr>
            <w:r w:rsidRPr="00471CBA">
              <w:rPr>
                <w:color w:val="000000"/>
                <w:szCs w:val="20"/>
              </w:rPr>
              <w:t>Diğer</w:t>
            </w:r>
          </w:p>
        </w:tc>
        <w:tc>
          <w:tcPr>
            <w:tcW w:w="744" w:type="pct"/>
            <w:tcBorders>
              <w:top w:val="nil"/>
              <w:left w:val="nil"/>
              <w:bottom w:val="nil"/>
              <w:right w:val="nil"/>
            </w:tcBorders>
            <w:vAlign w:val="center"/>
            <w:hideMark/>
          </w:tcPr>
          <w:p w14:paraId="68B6FE89"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4F4FBB9D"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40DD5AD0" w14:textId="77777777" w:rsidR="00A74C68" w:rsidRPr="00471CBA" w:rsidRDefault="00A74C68" w:rsidP="00A74C68">
            <w:pPr>
              <w:jc w:val="right"/>
              <w:rPr>
                <w:color w:val="000000"/>
                <w:szCs w:val="20"/>
              </w:rPr>
            </w:pPr>
            <w:r w:rsidRPr="00471CBA">
              <w:rPr>
                <w:color w:val="000000"/>
                <w:szCs w:val="20"/>
              </w:rPr>
              <w:t>-</w:t>
            </w:r>
          </w:p>
        </w:tc>
      </w:tr>
      <w:tr w:rsidR="00A74C68" w:rsidRPr="00471CBA" w14:paraId="038B6BAD" w14:textId="77777777" w:rsidTr="00A74C68">
        <w:trPr>
          <w:divId w:val="653067796"/>
          <w:trHeight w:val="170"/>
        </w:trPr>
        <w:tc>
          <w:tcPr>
            <w:tcW w:w="2804" w:type="pct"/>
            <w:tcBorders>
              <w:top w:val="nil"/>
              <w:left w:val="nil"/>
              <w:bottom w:val="nil"/>
              <w:right w:val="nil"/>
            </w:tcBorders>
            <w:noWrap/>
            <w:vAlign w:val="center"/>
            <w:hideMark/>
          </w:tcPr>
          <w:p w14:paraId="03D907CA" w14:textId="77777777" w:rsidR="00A74C68" w:rsidRPr="00471CBA" w:rsidRDefault="00A74C68" w:rsidP="00A74C68">
            <w:pPr>
              <w:jc w:val="both"/>
              <w:rPr>
                <w:b/>
                <w:bCs/>
                <w:color w:val="000000"/>
                <w:szCs w:val="20"/>
              </w:rPr>
            </w:pPr>
            <w:r w:rsidRPr="00471CBA">
              <w:rPr>
                <w:b/>
                <w:bCs/>
                <w:color w:val="000000"/>
                <w:szCs w:val="20"/>
              </w:rPr>
              <w:t>Taksitli Ticari Krediler-YP</w:t>
            </w:r>
          </w:p>
        </w:tc>
        <w:tc>
          <w:tcPr>
            <w:tcW w:w="744" w:type="pct"/>
            <w:tcBorders>
              <w:top w:val="nil"/>
              <w:left w:val="nil"/>
              <w:bottom w:val="nil"/>
              <w:right w:val="nil"/>
            </w:tcBorders>
            <w:vAlign w:val="center"/>
            <w:hideMark/>
          </w:tcPr>
          <w:p w14:paraId="380C8894" w14:textId="77777777" w:rsidR="00A74C68" w:rsidRPr="00471CBA" w:rsidRDefault="00A74C68" w:rsidP="00A74C68">
            <w:pPr>
              <w:jc w:val="right"/>
              <w:rPr>
                <w:b/>
                <w:bCs/>
                <w:color w:val="000000"/>
                <w:szCs w:val="20"/>
              </w:rPr>
            </w:pPr>
            <w:r w:rsidRPr="00471CBA">
              <w:rPr>
                <w:b/>
                <w:bCs/>
                <w:color w:val="000000"/>
                <w:szCs w:val="20"/>
              </w:rPr>
              <w:t>5.013</w:t>
            </w:r>
          </w:p>
        </w:tc>
        <w:tc>
          <w:tcPr>
            <w:tcW w:w="726" w:type="pct"/>
            <w:tcBorders>
              <w:top w:val="nil"/>
              <w:left w:val="nil"/>
              <w:bottom w:val="nil"/>
              <w:right w:val="nil"/>
            </w:tcBorders>
            <w:vAlign w:val="center"/>
            <w:hideMark/>
          </w:tcPr>
          <w:p w14:paraId="53E07872" w14:textId="77777777" w:rsidR="00A74C68" w:rsidRPr="00471CBA" w:rsidRDefault="00A74C68" w:rsidP="00A74C68">
            <w:pPr>
              <w:jc w:val="right"/>
              <w:rPr>
                <w:b/>
                <w:bCs/>
                <w:color w:val="000000"/>
                <w:szCs w:val="20"/>
              </w:rPr>
            </w:pPr>
            <w:r w:rsidRPr="00471CBA">
              <w:rPr>
                <w:b/>
                <w:bCs/>
                <w:color w:val="000000"/>
                <w:szCs w:val="20"/>
              </w:rPr>
              <w:t>285.727</w:t>
            </w:r>
          </w:p>
        </w:tc>
        <w:tc>
          <w:tcPr>
            <w:tcW w:w="726" w:type="pct"/>
            <w:tcBorders>
              <w:top w:val="nil"/>
              <w:left w:val="nil"/>
              <w:bottom w:val="nil"/>
              <w:right w:val="nil"/>
            </w:tcBorders>
            <w:vAlign w:val="center"/>
            <w:hideMark/>
          </w:tcPr>
          <w:p w14:paraId="65798FB8" w14:textId="77777777" w:rsidR="00A74C68" w:rsidRPr="00471CBA" w:rsidRDefault="00A74C68" w:rsidP="00A74C68">
            <w:pPr>
              <w:jc w:val="right"/>
              <w:rPr>
                <w:b/>
                <w:bCs/>
                <w:color w:val="000000"/>
                <w:szCs w:val="20"/>
              </w:rPr>
            </w:pPr>
            <w:r w:rsidRPr="00471CBA">
              <w:rPr>
                <w:b/>
                <w:bCs/>
                <w:color w:val="000000"/>
                <w:szCs w:val="20"/>
              </w:rPr>
              <w:t>290.740</w:t>
            </w:r>
          </w:p>
        </w:tc>
      </w:tr>
      <w:tr w:rsidR="00A74C68" w:rsidRPr="00471CBA" w14:paraId="3783DF1F" w14:textId="77777777" w:rsidTr="00A74C68">
        <w:trPr>
          <w:divId w:val="653067796"/>
          <w:trHeight w:val="170"/>
        </w:trPr>
        <w:tc>
          <w:tcPr>
            <w:tcW w:w="2804" w:type="pct"/>
            <w:tcBorders>
              <w:top w:val="nil"/>
              <w:left w:val="nil"/>
              <w:bottom w:val="nil"/>
              <w:right w:val="nil"/>
            </w:tcBorders>
            <w:noWrap/>
            <w:vAlign w:val="center"/>
            <w:hideMark/>
          </w:tcPr>
          <w:p w14:paraId="16AE798F" w14:textId="77777777" w:rsidR="00A74C68" w:rsidRPr="00471CBA" w:rsidRDefault="00A74C68" w:rsidP="00A74C68">
            <w:pPr>
              <w:jc w:val="both"/>
              <w:rPr>
                <w:color w:val="000000"/>
                <w:szCs w:val="20"/>
              </w:rPr>
            </w:pPr>
            <w:r w:rsidRPr="00471CBA">
              <w:rPr>
                <w:color w:val="000000"/>
                <w:szCs w:val="20"/>
              </w:rPr>
              <w:t>İşyeri Kredileri</w:t>
            </w:r>
          </w:p>
        </w:tc>
        <w:tc>
          <w:tcPr>
            <w:tcW w:w="744" w:type="pct"/>
            <w:tcBorders>
              <w:top w:val="nil"/>
              <w:left w:val="nil"/>
              <w:bottom w:val="nil"/>
              <w:right w:val="nil"/>
            </w:tcBorders>
            <w:vAlign w:val="center"/>
            <w:hideMark/>
          </w:tcPr>
          <w:p w14:paraId="3E7A0EC8"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6B95F275" w14:textId="77777777" w:rsidR="00A74C68" w:rsidRPr="00471CBA" w:rsidRDefault="00A74C68" w:rsidP="00A74C68">
            <w:pPr>
              <w:jc w:val="right"/>
              <w:rPr>
                <w:color w:val="000000"/>
                <w:szCs w:val="20"/>
              </w:rPr>
            </w:pPr>
            <w:r w:rsidRPr="00471CBA">
              <w:rPr>
                <w:color w:val="000000"/>
                <w:szCs w:val="20"/>
              </w:rPr>
              <w:t>14.527</w:t>
            </w:r>
          </w:p>
        </w:tc>
        <w:tc>
          <w:tcPr>
            <w:tcW w:w="726" w:type="pct"/>
            <w:tcBorders>
              <w:top w:val="nil"/>
              <w:left w:val="nil"/>
              <w:bottom w:val="nil"/>
              <w:right w:val="nil"/>
            </w:tcBorders>
            <w:vAlign w:val="center"/>
            <w:hideMark/>
          </w:tcPr>
          <w:p w14:paraId="7283709B" w14:textId="77777777" w:rsidR="00A74C68" w:rsidRPr="00471CBA" w:rsidRDefault="00A74C68" w:rsidP="00A74C68">
            <w:pPr>
              <w:jc w:val="right"/>
              <w:rPr>
                <w:color w:val="000000"/>
                <w:szCs w:val="20"/>
              </w:rPr>
            </w:pPr>
            <w:r w:rsidRPr="00471CBA">
              <w:rPr>
                <w:color w:val="000000"/>
                <w:szCs w:val="20"/>
              </w:rPr>
              <w:t>14.527</w:t>
            </w:r>
          </w:p>
        </w:tc>
      </w:tr>
      <w:tr w:rsidR="00A74C68" w:rsidRPr="00471CBA" w14:paraId="54A761DF" w14:textId="77777777" w:rsidTr="00A74C68">
        <w:trPr>
          <w:divId w:val="653067796"/>
          <w:trHeight w:val="170"/>
        </w:trPr>
        <w:tc>
          <w:tcPr>
            <w:tcW w:w="2804" w:type="pct"/>
            <w:tcBorders>
              <w:top w:val="nil"/>
              <w:left w:val="nil"/>
              <w:bottom w:val="nil"/>
              <w:right w:val="nil"/>
            </w:tcBorders>
            <w:noWrap/>
            <w:vAlign w:val="center"/>
            <w:hideMark/>
          </w:tcPr>
          <w:p w14:paraId="591388FE" w14:textId="77777777" w:rsidR="00A74C68" w:rsidRPr="00471CBA" w:rsidRDefault="00A74C68" w:rsidP="00A74C68">
            <w:pPr>
              <w:jc w:val="both"/>
              <w:rPr>
                <w:color w:val="000000"/>
                <w:szCs w:val="20"/>
              </w:rPr>
            </w:pPr>
            <w:r w:rsidRPr="00471CBA">
              <w:rPr>
                <w:color w:val="000000"/>
                <w:szCs w:val="20"/>
              </w:rPr>
              <w:t>Taşıt Kredileri</w:t>
            </w:r>
          </w:p>
        </w:tc>
        <w:tc>
          <w:tcPr>
            <w:tcW w:w="744" w:type="pct"/>
            <w:tcBorders>
              <w:top w:val="nil"/>
              <w:left w:val="nil"/>
              <w:bottom w:val="nil"/>
              <w:right w:val="nil"/>
            </w:tcBorders>
            <w:vAlign w:val="center"/>
            <w:hideMark/>
          </w:tcPr>
          <w:p w14:paraId="5D7B6538" w14:textId="77777777" w:rsidR="00A74C68" w:rsidRPr="00471CBA" w:rsidRDefault="00A74C68" w:rsidP="00A74C68">
            <w:pPr>
              <w:jc w:val="right"/>
              <w:rPr>
                <w:color w:val="000000"/>
                <w:szCs w:val="20"/>
              </w:rPr>
            </w:pPr>
            <w:r w:rsidRPr="00471CBA">
              <w:rPr>
                <w:color w:val="000000"/>
                <w:szCs w:val="20"/>
              </w:rPr>
              <w:t>5.013</w:t>
            </w:r>
          </w:p>
        </w:tc>
        <w:tc>
          <w:tcPr>
            <w:tcW w:w="726" w:type="pct"/>
            <w:tcBorders>
              <w:top w:val="nil"/>
              <w:left w:val="nil"/>
              <w:bottom w:val="nil"/>
              <w:right w:val="nil"/>
            </w:tcBorders>
            <w:vAlign w:val="center"/>
            <w:hideMark/>
          </w:tcPr>
          <w:p w14:paraId="61E6F33A" w14:textId="77777777" w:rsidR="00A74C68" w:rsidRPr="00471CBA" w:rsidRDefault="00A74C68" w:rsidP="00A74C68">
            <w:pPr>
              <w:jc w:val="right"/>
              <w:rPr>
                <w:color w:val="000000"/>
                <w:szCs w:val="20"/>
              </w:rPr>
            </w:pPr>
            <w:r w:rsidRPr="00471CBA">
              <w:rPr>
                <w:color w:val="000000"/>
                <w:szCs w:val="20"/>
              </w:rPr>
              <w:t>271.200</w:t>
            </w:r>
          </w:p>
        </w:tc>
        <w:tc>
          <w:tcPr>
            <w:tcW w:w="726" w:type="pct"/>
            <w:tcBorders>
              <w:top w:val="nil"/>
              <w:left w:val="nil"/>
              <w:bottom w:val="nil"/>
              <w:right w:val="nil"/>
            </w:tcBorders>
            <w:vAlign w:val="center"/>
            <w:hideMark/>
          </w:tcPr>
          <w:p w14:paraId="740DE8C2" w14:textId="77777777" w:rsidR="00A74C68" w:rsidRPr="00471CBA" w:rsidRDefault="00A74C68" w:rsidP="00A74C68">
            <w:pPr>
              <w:jc w:val="right"/>
              <w:rPr>
                <w:color w:val="000000"/>
                <w:szCs w:val="20"/>
              </w:rPr>
            </w:pPr>
            <w:r w:rsidRPr="00471CBA">
              <w:rPr>
                <w:color w:val="000000"/>
                <w:szCs w:val="20"/>
              </w:rPr>
              <w:t>276.213</w:t>
            </w:r>
          </w:p>
        </w:tc>
      </w:tr>
      <w:tr w:rsidR="00A74C68" w:rsidRPr="00471CBA" w14:paraId="20209E7B" w14:textId="77777777" w:rsidTr="00A74C68">
        <w:trPr>
          <w:divId w:val="653067796"/>
          <w:trHeight w:val="170"/>
        </w:trPr>
        <w:tc>
          <w:tcPr>
            <w:tcW w:w="2804" w:type="pct"/>
            <w:tcBorders>
              <w:top w:val="nil"/>
              <w:left w:val="nil"/>
              <w:bottom w:val="nil"/>
              <w:right w:val="nil"/>
            </w:tcBorders>
            <w:noWrap/>
            <w:vAlign w:val="center"/>
            <w:hideMark/>
          </w:tcPr>
          <w:p w14:paraId="34628A8B" w14:textId="77777777" w:rsidR="00A74C68" w:rsidRPr="00471CBA" w:rsidRDefault="00A74C68" w:rsidP="00A74C68">
            <w:pPr>
              <w:jc w:val="both"/>
              <w:rPr>
                <w:color w:val="000000"/>
                <w:szCs w:val="20"/>
              </w:rPr>
            </w:pPr>
            <w:r w:rsidRPr="00471CBA">
              <w:rPr>
                <w:color w:val="000000"/>
                <w:szCs w:val="20"/>
              </w:rPr>
              <w:t>İhtiyaç Kredileri</w:t>
            </w:r>
          </w:p>
        </w:tc>
        <w:tc>
          <w:tcPr>
            <w:tcW w:w="744" w:type="pct"/>
            <w:tcBorders>
              <w:top w:val="nil"/>
              <w:left w:val="nil"/>
              <w:bottom w:val="nil"/>
              <w:right w:val="nil"/>
            </w:tcBorders>
            <w:vAlign w:val="center"/>
            <w:hideMark/>
          </w:tcPr>
          <w:p w14:paraId="4369CADE"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4C986E5B"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0ECE6C62" w14:textId="77777777" w:rsidR="00A74C68" w:rsidRPr="00471CBA" w:rsidRDefault="00A74C68" w:rsidP="00A74C68">
            <w:pPr>
              <w:jc w:val="right"/>
              <w:rPr>
                <w:color w:val="000000"/>
                <w:szCs w:val="20"/>
              </w:rPr>
            </w:pPr>
            <w:r w:rsidRPr="00471CBA">
              <w:rPr>
                <w:color w:val="000000"/>
                <w:szCs w:val="20"/>
              </w:rPr>
              <w:t>-</w:t>
            </w:r>
          </w:p>
        </w:tc>
      </w:tr>
      <w:tr w:rsidR="00A74C68" w:rsidRPr="00471CBA" w14:paraId="00C7D346" w14:textId="77777777" w:rsidTr="00A74C68">
        <w:trPr>
          <w:divId w:val="653067796"/>
          <w:trHeight w:val="170"/>
        </w:trPr>
        <w:tc>
          <w:tcPr>
            <w:tcW w:w="2804" w:type="pct"/>
            <w:tcBorders>
              <w:top w:val="nil"/>
              <w:left w:val="nil"/>
              <w:bottom w:val="nil"/>
              <w:right w:val="nil"/>
            </w:tcBorders>
            <w:noWrap/>
            <w:vAlign w:val="center"/>
            <w:hideMark/>
          </w:tcPr>
          <w:p w14:paraId="1E6C94F9" w14:textId="77777777" w:rsidR="00A74C68" w:rsidRPr="00471CBA" w:rsidRDefault="00A74C68" w:rsidP="00A74C68">
            <w:pPr>
              <w:jc w:val="both"/>
              <w:rPr>
                <w:color w:val="000000"/>
                <w:szCs w:val="20"/>
              </w:rPr>
            </w:pPr>
            <w:r w:rsidRPr="00471CBA">
              <w:rPr>
                <w:color w:val="000000"/>
                <w:szCs w:val="20"/>
              </w:rPr>
              <w:t>Diğer</w:t>
            </w:r>
          </w:p>
        </w:tc>
        <w:tc>
          <w:tcPr>
            <w:tcW w:w="744" w:type="pct"/>
            <w:tcBorders>
              <w:top w:val="nil"/>
              <w:left w:val="nil"/>
              <w:bottom w:val="nil"/>
              <w:right w:val="nil"/>
            </w:tcBorders>
            <w:vAlign w:val="center"/>
            <w:hideMark/>
          </w:tcPr>
          <w:p w14:paraId="469BE874"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6631755E"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12707F14" w14:textId="77777777" w:rsidR="00A74C68" w:rsidRPr="00471CBA" w:rsidRDefault="00A74C68" w:rsidP="00A74C68">
            <w:pPr>
              <w:jc w:val="right"/>
              <w:rPr>
                <w:color w:val="000000"/>
                <w:szCs w:val="20"/>
              </w:rPr>
            </w:pPr>
            <w:r w:rsidRPr="00471CBA">
              <w:rPr>
                <w:color w:val="000000"/>
                <w:szCs w:val="20"/>
              </w:rPr>
              <w:t>-</w:t>
            </w:r>
          </w:p>
        </w:tc>
      </w:tr>
      <w:tr w:rsidR="00A74C68" w:rsidRPr="00471CBA" w14:paraId="26868C04" w14:textId="77777777" w:rsidTr="00A74C68">
        <w:trPr>
          <w:divId w:val="653067796"/>
          <w:trHeight w:val="170"/>
        </w:trPr>
        <w:tc>
          <w:tcPr>
            <w:tcW w:w="2804" w:type="pct"/>
            <w:tcBorders>
              <w:top w:val="nil"/>
              <w:left w:val="nil"/>
              <w:bottom w:val="nil"/>
              <w:right w:val="nil"/>
            </w:tcBorders>
            <w:noWrap/>
            <w:vAlign w:val="center"/>
            <w:hideMark/>
          </w:tcPr>
          <w:p w14:paraId="0D00CFF7" w14:textId="77777777" w:rsidR="00A74C68" w:rsidRPr="00471CBA" w:rsidRDefault="00A74C68" w:rsidP="00A74C68">
            <w:pPr>
              <w:jc w:val="both"/>
              <w:rPr>
                <w:b/>
                <w:bCs/>
                <w:color w:val="000000"/>
                <w:szCs w:val="20"/>
              </w:rPr>
            </w:pPr>
            <w:r w:rsidRPr="00471CBA">
              <w:rPr>
                <w:b/>
                <w:bCs/>
                <w:color w:val="000000"/>
                <w:szCs w:val="20"/>
              </w:rPr>
              <w:t>Kurumsal Kredi Kartları-TP</w:t>
            </w:r>
          </w:p>
        </w:tc>
        <w:tc>
          <w:tcPr>
            <w:tcW w:w="744" w:type="pct"/>
            <w:tcBorders>
              <w:top w:val="nil"/>
              <w:left w:val="nil"/>
              <w:bottom w:val="nil"/>
              <w:right w:val="nil"/>
            </w:tcBorders>
            <w:vAlign w:val="center"/>
            <w:hideMark/>
          </w:tcPr>
          <w:p w14:paraId="7336FEA9" w14:textId="77777777" w:rsidR="00A74C68" w:rsidRPr="00471CBA" w:rsidRDefault="00A74C68" w:rsidP="00A74C68">
            <w:pPr>
              <w:jc w:val="right"/>
              <w:rPr>
                <w:b/>
                <w:bCs/>
                <w:color w:val="000000"/>
                <w:szCs w:val="20"/>
              </w:rPr>
            </w:pPr>
            <w:r w:rsidRPr="00471CBA">
              <w:rPr>
                <w:b/>
                <w:bCs/>
                <w:color w:val="000000"/>
                <w:szCs w:val="20"/>
              </w:rPr>
              <w:t>-</w:t>
            </w:r>
          </w:p>
        </w:tc>
        <w:tc>
          <w:tcPr>
            <w:tcW w:w="726" w:type="pct"/>
            <w:tcBorders>
              <w:top w:val="nil"/>
              <w:left w:val="nil"/>
              <w:bottom w:val="nil"/>
              <w:right w:val="nil"/>
            </w:tcBorders>
            <w:vAlign w:val="center"/>
            <w:hideMark/>
          </w:tcPr>
          <w:p w14:paraId="1FD48D20" w14:textId="77777777" w:rsidR="00A74C68" w:rsidRPr="00471CBA" w:rsidRDefault="00A74C68" w:rsidP="00A74C68">
            <w:pPr>
              <w:jc w:val="right"/>
              <w:rPr>
                <w:b/>
                <w:bCs/>
                <w:color w:val="000000"/>
                <w:szCs w:val="20"/>
              </w:rPr>
            </w:pPr>
            <w:r w:rsidRPr="00471CBA">
              <w:rPr>
                <w:b/>
                <w:bCs/>
                <w:color w:val="000000"/>
                <w:szCs w:val="20"/>
              </w:rPr>
              <w:t>-</w:t>
            </w:r>
          </w:p>
        </w:tc>
        <w:tc>
          <w:tcPr>
            <w:tcW w:w="726" w:type="pct"/>
            <w:tcBorders>
              <w:top w:val="nil"/>
              <w:left w:val="nil"/>
              <w:bottom w:val="nil"/>
              <w:right w:val="nil"/>
            </w:tcBorders>
            <w:vAlign w:val="center"/>
            <w:hideMark/>
          </w:tcPr>
          <w:p w14:paraId="3836B9E6" w14:textId="77777777" w:rsidR="00A74C68" w:rsidRPr="00471CBA" w:rsidRDefault="00A74C68" w:rsidP="00A74C68">
            <w:pPr>
              <w:jc w:val="right"/>
              <w:rPr>
                <w:b/>
                <w:bCs/>
                <w:color w:val="000000"/>
                <w:szCs w:val="20"/>
              </w:rPr>
            </w:pPr>
            <w:r w:rsidRPr="00471CBA">
              <w:rPr>
                <w:b/>
                <w:bCs/>
                <w:color w:val="000000"/>
                <w:szCs w:val="20"/>
              </w:rPr>
              <w:t>-</w:t>
            </w:r>
          </w:p>
        </w:tc>
      </w:tr>
      <w:tr w:rsidR="00A74C68" w:rsidRPr="00471CBA" w14:paraId="0637065E" w14:textId="77777777" w:rsidTr="00A74C68">
        <w:trPr>
          <w:divId w:val="653067796"/>
          <w:trHeight w:val="170"/>
        </w:trPr>
        <w:tc>
          <w:tcPr>
            <w:tcW w:w="2804" w:type="pct"/>
            <w:tcBorders>
              <w:top w:val="nil"/>
              <w:left w:val="nil"/>
              <w:bottom w:val="nil"/>
              <w:right w:val="nil"/>
            </w:tcBorders>
            <w:noWrap/>
            <w:vAlign w:val="center"/>
            <w:hideMark/>
          </w:tcPr>
          <w:p w14:paraId="12B638AB" w14:textId="77777777" w:rsidR="00A74C68" w:rsidRPr="00471CBA" w:rsidRDefault="00A74C68" w:rsidP="00A74C68">
            <w:pPr>
              <w:jc w:val="both"/>
              <w:rPr>
                <w:color w:val="000000"/>
                <w:szCs w:val="20"/>
              </w:rPr>
            </w:pPr>
            <w:r w:rsidRPr="00471CBA">
              <w:rPr>
                <w:color w:val="000000"/>
                <w:szCs w:val="20"/>
              </w:rPr>
              <w:t xml:space="preserve">Taksitli </w:t>
            </w:r>
          </w:p>
        </w:tc>
        <w:tc>
          <w:tcPr>
            <w:tcW w:w="744" w:type="pct"/>
            <w:tcBorders>
              <w:top w:val="nil"/>
              <w:left w:val="nil"/>
              <w:bottom w:val="nil"/>
              <w:right w:val="nil"/>
            </w:tcBorders>
            <w:vAlign w:val="center"/>
            <w:hideMark/>
          </w:tcPr>
          <w:p w14:paraId="73A8A8F9"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286742C8"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1C79C2E8" w14:textId="77777777" w:rsidR="00A74C68" w:rsidRPr="00471CBA" w:rsidRDefault="00A74C68" w:rsidP="00A74C68">
            <w:pPr>
              <w:jc w:val="right"/>
              <w:rPr>
                <w:color w:val="000000"/>
                <w:szCs w:val="20"/>
              </w:rPr>
            </w:pPr>
            <w:r w:rsidRPr="00471CBA">
              <w:rPr>
                <w:color w:val="000000"/>
                <w:szCs w:val="20"/>
              </w:rPr>
              <w:t>-</w:t>
            </w:r>
          </w:p>
        </w:tc>
      </w:tr>
      <w:tr w:rsidR="00A74C68" w:rsidRPr="00471CBA" w14:paraId="517A1CE0" w14:textId="77777777" w:rsidTr="00A74C68">
        <w:trPr>
          <w:divId w:val="653067796"/>
          <w:trHeight w:val="170"/>
        </w:trPr>
        <w:tc>
          <w:tcPr>
            <w:tcW w:w="2804" w:type="pct"/>
            <w:tcBorders>
              <w:top w:val="nil"/>
              <w:left w:val="nil"/>
              <w:bottom w:val="nil"/>
              <w:right w:val="nil"/>
            </w:tcBorders>
            <w:noWrap/>
            <w:vAlign w:val="center"/>
            <w:hideMark/>
          </w:tcPr>
          <w:p w14:paraId="07FBED96" w14:textId="77777777" w:rsidR="00A74C68" w:rsidRPr="00471CBA" w:rsidRDefault="00A74C68" w:rsidP="00A74C68">
            <w:pPr>
              <w:jc w:val="both"/>
              <w:rPr>
                <w:color w:val="000000"/>
                <w:szCs w:val="20"/>
              </w:rPr>
            </w:pPr>
            <w:r w:rsidRPr="00471CBA">
              <w:rPr>
                <w:color w:val="000000"/>
                <w:szCs w:val="20"/>
              </w:rPr>
              <w:t>Taksitsiz</w:t>
            </w:r>
          </w:p>
        </w:tc>
        <w:tc>
          <w:tcPr>
            <w:tcW w:w="744" w:type="pct"/>
            <w:tcBorders>
              <w:top w:val="nil"/>
              <w:left w:val="nil"/>
              <w:bottom w:val="nil"/>
              <w:right w:val="nil"/>
            </w:tcBorders>
            <w:vAlign w:val="center"/>
            <w:hideMark/>
          </w:tcPr>
          <w:p w14:paraId="66D65820"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47FFAC26"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367C168E" w14:textId="77777777" w:rsidR="00A74C68" w:rsidRPr="00471CBA" w:rsidRDefault="00A74C68" w:rsidP="00A74C68">
            <w:pPr>
              <w:jc w:val="right"/>
              <w:rPr>
                <w:color w:val="000000"/>
                <w:szCs w:val="20"/>
              </w:rPr>
            </w:pPr>
            <w:r w:rsidRPr="00471CBA">
              <w:rPr>
                <w:color w:val="000000"/>
                <w:szCs w:val="20"/>
              </w:rPr>
              <w:t>-</w:t>
            </w:r>
          </w:p>
        </w:tc>
      </w:tr>
      <w:tr w:rsidR="00A74C68" w:rsidRPr="00471CBA" w14:paraId="66003618" w14:textId="77777777" w:rsidTr="00A74C68">
        <w:trPr>
          <w:divId w:val="653067796"/>
          <w:trHeight w:val="170"/>
        </w:trPr>
        <w:tc>
          <w:tcPr>
            <w:tcW w:w="2804" w:type="pct"/>
            <w:tcBorders>
              <w:top w:val="nil"/>
              <w:left w:val="nil"/>
              <w:bottom w:val="nil"/>
              <w:right w:val="nil"/>
            </w:tcBorders>
            <w:noWrap/>
            <w:vAlign w:val="center"/>
            <w:hideMark/>
          </w:tcPr>
          <w:p w14:paraId="54B2AEAA" w14:textId="77777777" w:rsidR="00A74C68" w:rsidRPr="00471CBA" w:rsidRDefault="00A74C68" w:rsidP="00A74C68">
            <w:pPr>
              <w:jc w:val="both"/>
              <w:rPr>
                <w:b/>
                <w:bCs/>
                <w:color w:val="000000"/>
                <w:szCs w:val="20"/>
              </w:rPr>
            </w:pPr>
            <w:r w:rsidRPr="00471CBA">
              <w:rPr>
                <w:b/>
                <w:bCs/>
                <w:color w:val="000000"/>
                <w:szCs w:val="20"/>
              </w:rPr>
              <w:t>Kurumsal Kredi Kartları-YP</w:t>
            </w:r>
          </w:p>
        </w:tc>
        <w:tc>
          <w:tcPr>
            <w:tcW w:w="744" w:type="pct"/>
            <w:tcBorders>
              <w:top w:val="nil"/>
              <w:left w:val="nil"/>
              <w:bottom w:val="nil"/>
              <w:right w:val="nil"/>
            </w:tcBorders>
            <w:vAlign w:val="center"/>
            <w:hideMark/>
          </w:tcPr>
          <w:p w14:paraId="65E3A22C" w14:textId="77777777" w:rsidR="00A74C68" w:rsidRPr="00471CBA" w:rsidRDefault="00A74C68" w:rsidP="00A74C68">
            <w:pPr>
              <w:jc w:val="right"/>
              <w:rPr>
                <w:b/>
                <w:bCs/>
                <w:color w:val="000000"/>
                <w:szCs w:val="20"/>
              </w:rPr>
            </w:pPr>
            <w:r w:rsidRPr="00471CBA">
              <w:rPr>
                <w:b/>
                <w:bCs/>
                <w:color w:val="000000"/>
                <w:szCs w:val="20"/>
              </w:rPr>
              <w:t>-</w:t>
            </w:r>
          </w:p>
        </w:tc>
        <w:tc>
          <w:tcPr>
            <w:tcW w:w="726" w:type="pct"/>
            <w:tcBorders>
              <w:top w:val="nil"/>
              <w:left w:val="nil"/>
              <w:bottom w:val="nil"/>
              <w:right w:val="nil"/>
            </w:tcBorders>
            <w:vAlign w:val="center"/>
            <w:hideMark/>
          </w:tcPr>
          <w:p w14:paraId="68D159D5" w14:textId="77777777" w:rsidR="00A74C68" w:rsidRPr="00471CBA" w:rsidRDefault="00A74C68" w:rsidP="00A74C68">
            <w:pPr>
              <w:jc w:val="right"/>
              <w:rPr>
                <w:b/>
                <w:bCs/>
                <w:color w:val="000000"/>
                <w:szCs w:val="20"/>
              </w:rPr>
            </w:pPr>
            <w:r w:rsidRPr="00471CBA">
              <w:rPr>
                <w:b/>
                <w:bCs/>
                <w:color w:val="000000"/>
                <w:szCs w:val="20"/>
              </w:rPr>
              <w:t>-</w:t>
            </w:r>
          </w:p>
        </w:tc>
        <w:tc>
          <w:tcPr>
            <w:tcW w:w="726" w:type="pct"/>
            <w:tcBorders>
              <w:top w:val="nil"/>
              <w:left w:val="nil"/>
              <w:bottom w:val="nil"/>
              <w:right w:val="nil"/>
            </w:tcBorders>
            <w:vAlign w:val="center"/>
            <w:hideMark/>
          </w:tcPr>
          <w:p w14:paraId="42703724" w14:textId="77777777" w:rsidR="00A74C68" w:rsidRPr="00471CBA" w:rsidRDefault="00A74C68" w:rsidP="00A74C68">
            <w:pPr>
              <w:jc w:val="right"/>
              <w:rPr>
                <w:b/>
                <w:bCs/>
                <w:color w:val="000000"/>
                <w:szCs w:val="20"/>
              </w:rPr>
            </w:pPr>
            <w:r w:rsidRPr="00471CBA">
              <w:rPr>
                <w:b/>
                <w:bCs/>
                <w:color w:val="000000"/>
                <w:szCs w:val="20"/>
              </w:rPr>
              <w:t>-</w:t>
            </w:r>
          </w:p>
        </w:tc>
      </w:tr>
      <w:tr w:rsidR="00A74C68" w:rsidRPr="00471CBA" w14:paraId="1277B335" w14:textId="77777777" w:rsidTr="00A74C68">
        <w:trPr>
          <w:divId w:val="653067796"/>
          <w:trHeight w:val="170"/>
        </w:trPr>
        <w:tc>
          <w:tcPr>
            <w:tcW w:w="2804" w:type="pct"/>
            <w:tcBorders>
              <w:top w:val="nil"/>
              <w:left w:val="nil"/>
              <w:bottom w:val="nil"/>
              <w:right w:val="nil"/>
            </w:tcBorders>
            <w:noWrap/>
            <w:vAlign w:val="center"/>
            <w:hideMark/>
          </w:tcPr>
          <w:p w14:paraId="312824A4" w14:textId="77777777" w:rsidR="00A74C68" w:rsidRPr="00471CBA" w:rsidRDefault="00A74C68" w:rsidP="00A74C68">
            <w:pPr>
              <w:jc w:val="both"/>
              <w:rPr>
                <w:color w:val="000000"/>
                <w:szCs w:val="20"/>
              </w:rPr>
            </w:pPr>
            <w:r w:rsidRPr="00471CBA">
              <w:rPr>
                <w:color w:val="000000"/>
                <w:szCs w:val="20"/>
              </w:rPr>
              <w:t xml:space="preserve">Taksitli </w:t>
            </w:r>
          </w:p>
        </w:tc>
        <w:tc>
          <w:tcPr>
            <w:tcW w:w="744" w:type="pct"/>
            <w:tcBorders>
              <w:top w:val="nil"/>
              <w:left w:val="nil"/>
              <w:bottom w:val="nil"/>
              <w:right w:val="nil"/>
            </w:tcBorders>
            <w:vAlign w:val="center"/>
            <w:hideMark/>
          </w:tcPr>
          <w:p w14:paraId="6C126CF6"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19EAFADA"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66A63CCF" w14:textId="77777777" w:rsidR="00A74C68" w:rsidRPr="00471CBA" w:rsidRDefault="00A74C68" w:rsidP="00A74C68">
            <w:pPr>
              <w:jc w:val="right"/>
              <w:rPr>
                <w:color w:val="000000"/>
                <w:szCs w:val="20"/>
              </w:rPr>
            </w:pPr>
            <w:r w:rsidRPr="00471CBA">
              <w:rPr>
                <w:color w:val="000000"/>
                <w:szCs w:val="20"/>
              </w:rPr>
              <w:t>-</w:t>
            </w:r>
          </w:p>
        </w:tc>
      </w:tr>
      <w:tr w:rsidR="00A74C68" w:rsidRPr="00471CBA" w14:paraId="761A01EF" w14:textId="77777777" w:rsidTr="00A74C68">
        <w:trPr>
          <w:divId w:val="653067796"/>
          <w:trHeight w:val="170"/>
        </w:trPr>
        <w:tc>
          <w:tcPr>
            <w:tcW w:w="2804" w:type="pct"/>
            <w:tcBorders>
              <w:top w:val="nil"/>
              <w:left w:val="nil"/>
              <w:bottom w:val="nil"/>
              <w:right w:val="nil"/>
            </w:tcBorders>
            <w:noWrap/>
            <w:vAlign w:val="center"/>
            <w:hideMark/>
          </w:tcPr>
          <w:p w14:paraId="1522C236" w14:textId="77777777" w:rsidR="00A74C68" w:rsidRPr="00471CBA" w:rsidRDefault="00A74C68" w:rsidP="00A74C68">
            <w:pPr>
              <w:jc w:val="both"/>
              <w:rPr>
                <w:color w:val="000000"/>
                <w:szCs w:val="20"/>
              </w:rPr>
            </w:pPr>
            <w:r w:rsidRPr="00471CBA">
              <w:rPr>
                <w:color w:val="000000"/>
                <w:szCs w:val="20"/>
              </w:rPr>
              <w:t>Taksitsiz</w:t>
            </w:r>
          </w:p>
        </w:tc>
        <w:tc>
          <w:tcPr>
            <w:tcW w:w="744" w:type="pct"/>
            <w:tcBorders>
              <w:top w:val="nil"/>
              <w:left w:val="nil"/>
              <w:bottom w:val="nil"/>
              <w:right w:val="nil"/>
            </w:tcBorders>
            <w:vAlign w:val="center"/>
            <w:hideMark/>
          </w:tcPr>
          <w:p w14:paraId="71814FCE"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08DF88E7" w14:textId="77777777" w:rsidR="00A74C68" w:rsidRPr="00471CBA" w:rsidRDefault="00A74C68" w:rsidP="00A74C68">
            <w:pPr>
              <w:jc w:val="right"/>
              <w:rPr>
                <w:color w:val="000000"/>
                <w:szCs w:val="20"/>
              </w:rPr>
            </w:pPr>
            <w:r w:rsidRPr="00471CBA">
              <w:rPr>
                <w:color w:val="000000"/>
                <w:szCs w:val="20"/>
              </w:rPr>
              <w:t>-</w:t>
            </w:r>
          </w:p>
        </w:tc>
        <w:tc>
          <w:tcPr>
            <w:tcW w:w="726" w:type="pct"/>
            <w:tcBorders>
              <w:top w:val="nil"/>
              <w:left w:val="nil"/>
              <w:bottom w:val="nil"/>
              <w:right w:val="nil"/>
            </w:tcBorders>
            <w:vAlign w:val="center"/>
            <w:hideMark/>
          </w:tcPr>
          <w:p w14:paraId="0293AB29" w14:textId="77777777" w:rsidR="00A74C68" w:rsidRPr="00471CBA" w:rsidRDefault="00A74C68" w:rsidP="00A74C68">
            <w:pPr>
              <w:jc w:val="right"/>
              <w:rPr>
                <w:color w:val="000000"/>
                <w:szCs w:val="20"/>
              </w:rPr>
            </w:pPr>
            <w:r w:rsidRPr="00471CBA">
              <w:rPr>
                <w:color w:val="000000"/>
                <w:szCs w:val="20"/>
              </w:rPr>
              <w:t>-</w:t>
            </w:r>
          </w:p>
        </w:tc>
      </w:tr>
      <w:tr w:rsidR="00A74C68" w:rsidRPr="00471CBA" w14:paraId="5B78C403" w14:textId="77777777" w:rsidTr="00A74C68">
        <w:trPr>
          <w:divId w:val="653067796"/>
          <w:trHeight w:val="170"/>
        </w:trPr>
        <w:tc>
          <w:tcPr>
            <w:tcW w:w="2804" w:type="pct"/>
            <w:tcBorders>
              <w:top w:val="nil"/>
              <w:left w:val="nil"/>
              <w:bottom w:val="nil"/>
              <w:right w:val="nil"/>
            </w:tcBorders>
            <w:noWrap/>
            <w:vAlign w:val="center"/>
            <w:hideMark/>
          </w:tcPr>
          <w:p w14:paraId="5EC916F3" w14:textId="77777777" w:rsidR="00A74C68" w:rsidRPr="00471CBA" w:rsidRDefault="00A74C68" w:rsidP="00A74C68">
            <w:pPr>
              <w:jc w:val="both"/>
              <w:rPr>
                <w:b/>
                <w:bCs/>
                <w:color w:val="000000"/>
                <w:szCs w:val="20"/>
              </w:rPr>
            </w:pPr>
            <w:r w:rsidRPr="00471CBA">
              <w:rPr>
                <w:b/>
                <w:bCs/>
                <w:color w:val="000000"/>
                <w:szCs w:val="20"/>
              </w:rPr>
              <w:t>Kredili Mevduat Hesabı-TP (Tüzel Kişi)</w:t>
            </w:r>
          </w:p>
        </w:tc>
        <w:tc>
          <w:tcPr>
            <w:tcW w:w="744" w:type="pct"/>
            <w:tcBorders>
              <w:top w:val="nil"/>
              <w:left w:val="nil"/>
              <w:bottom w:val="nil"/>
              <w:right w:val="nil"/>
            </w:tcBorders>
            <w:vAlign w:val="center"/>
            <w:hideMark/>
          </w:tcPr>
          <w:p w14:paraId="6382530C" w14:textId="77777777" w:rsidR="00A74C68" w:rsidRPr="00471CBA" w:rsidRDefault="00A74C68" w:rsidP="00A74C68">
            <w:pPr>
              <w:jc w:val="right"/>
              <w:rPr>
                <w:b/>
                <w:bCs/>
                <w:color w:val="000000"/>
                <w:szCs w:val="20"/>
              </w:rPr>
            </w:pPr>
            <w:r w:rsidRPr="00471CBA">
              <w:rPr>
                <w:b/>
                <w:bCs/>
                <w:color w:val="000000"/>
                <w:szCs w:val="20"/>
              </w:rPr>
              <w:t>-</w:t>
            </w:r>
          </w:p>
        </w:tc>
        <w:tc>
          <w:tcPr>
            <w:tcW w:w="726" w:type="pct"/>
            <w:tcBorders>
              <w:top w:val="nil"/>
              <w:left w:val="nil"/>
              <w:bottom w:val="nil"/>
              <w:right w:val="nil"/>
            </w:tcBorders>
            <w:vAlign w:val="center"/>
            <w:hideMark/>
          </w:tcPr>
          <w:p w14:paraId="19B8ED58" w14:textId="77777777" w:rsidR="00A74C68" w:rsidRPr="00471CBA" w:rsidRDefault="00A74C68" w:rsidP="00A74C68">
            <w:pPr>
              <w:jc w:val="right"/>
              <w:rPr>
                <w:b/>
                <w:bCs/>
                <w:color w:val="000000"/>
                <w:szCs w:val="20"/>
              </w:rPr>
            </w:pPr>
            <w:r w:rsidRPr="00471CBA">
              <w:rPr>
                <w:b/>
                <w:bCs/>
                <w:color w:val="000000"/>
                <w:szCs w:val="20"/>
              </w:rPr>
              <w:t>-</w:t>
            </w:r>
          </w:p>
        </w:tc>
        <w:tc>
          <w:tcPr>
            <w:tcW w:w="726" w:type="pct"/>
            <w:tcBorders>
              <w:top w:val="nil"/>
              <w:left w:val="nil"/>
              <w:bottom w:val="nil"/>
              <w:right w:val="nil"/>
            </w:tcBorders>
            <w:vAlign w:val="center"/>
            <w:hideMark/>
          </w:tcPr>
          <w:p w14:paraId="667617B7" w14:textId="77777777" w:rsidR="00A74C68" w:rsidRPr="00471CBA" w:rsidRDefault="00A74C68" w:rsidP="00A74C68">
            <w:pPr>
              <w:jc w:val="right"/>
              <w:rPr>
                <w:b/>
                <w:bCs/>
                <w:color w:val="000000"/>
                <w:szCs w:val="20"/>
              </w:rPr>
            </w:pPr>
            <w:r w:rsidRPr="00471CBA">
              <w:rPr>
                <w:b/>
                <w:bCs/>
                <w:color w:val="000000"/>
                <w:szCs w:val="20"/>
              </w:rPr>
              <w:t>-</w:t>
            </w:r>
          </w:p>
        </w:tc>
      </w:tr>
      <w:tr w:rsidR="00A74C68" w:rsidRPr="00471CBA" w14:paraId="0B30879B" w14:textId="77777777" w:rsidTr="00A74C68">
        <w:trPr>
          <w:divId w:val="653067796"/>
          <w:trHeight w:val="170"/>
        </w:trPr>
        <w:tc>
          <w:tcPr>
            <w:tcW w:w="2804" w:type="pct"/>
            <w:tcBorders>
              <w:top w:val="nil"/>
              <w:left w:val="nil"/>
              <w:right w:val="nil"/>
            </w:tcBorders>
            <w:noWrap/>
            <w:vAlign w:val="center"/>
            <w:hideMark/>
          </w:tcPr>
          <w:p w14:paraId="43047C95" w14:textId="77777777" w:rsidR="00A74C68" w:rsidRPr="00471CBA" w:rsidRDefault="00A74C68" w:rsidP="00A74C68">
            <w:pPr>
              <w:jc w:val="both"/>
              <w:rPr>
                <w:b/>
                <w:bCs/>
                <w:color w:val="000000"/>
                <w:szCs w:val="20"/>
              </w:rPr>
            </w:pPr>
            <w:r w:rsidRPr="00471CBA">
              <w:rPr>
                <w:b/>
                <w:bCs/>
                <w:color w:val="000000"/>
                <w:szCs w:val="20"/>
              </w:rPr>
              <w:t>Kredili Mevduat Hesabı-YP (Tüzel Kişi)</w:t>
            </w:r>
          </w:p>
        </w:tc>
        <w:tc>
          <w:tcPr>
            <w:tcW w:w="744" w:type="pct"/>
            <w:tcBorders>
              <w:top w:val="nil"/>
              <w:left w:val="nil"/>
              <w:right w:val="nil"/>
            </w:tcBorders>
            <w:vAlign w:val="center"/>
            <w:hideMark/>
          </w:tcPr>
          <w:p w14:paraId="1E2C43A3" w14:textId="77777777" w:rsidR="00A74C68" w:rsidRPr="00471CBA" w:rsidRDefault="00A74C68" w:rsidP="00A74C68">
            <w:pPr>
              <w:jc w:val="right"/>
              <w:rPr>
                <w:b/>
                <w:bCs/>
                <w:color w:val="000000"/>
                <w:szCs w:val="20"/>
              </w:rPr>
            </w:pPr>
            <w:r w:rsidRPr="00471CBA">
              <w:rPr>
                <w:b/>
                <w:bCs/>
                <w:color w:val="000000"/>
                <w:szCs w:val="20"/>
              </w:rPr>
              <w:t>-</w:t>
            </w:r>
          </w:p>
        </w:tc>
        <w:tc>
          <w:tcPr>
            <w:tcW w:w="726" w:type="pct"/>
            <w:tcBorders>
              <w:top w:val="nil"/>
              <w:left w:val="nil"/>
              <w:right w:val="nil"/>
            </w:tcBorders>
            <w:vAlign w:val="center"/>
            <w:hideMark/>
          </w:tcPr>
          <w:p w14:paraId="232B8016" w14:textId="77777777" w:rsidR="00A74C68" w:rsidRPr="00471CBA" w:rsidRDefault="00A74C68" w:rsidP="00A74C68">
            <w:pPr>
              <w:jc w:val="right"/>
              <w:rPr>
                <w:b/>
                <w:bCs/>
                <w:color w:val="000000"/>
                <w:szCs w:val="20"/>
              </w:rPr>
            </w:pPr>
            <w:r w:rsidRPr="00471CBA">
              <w:rPr>
                <w:b/>
                <w:bCs/>
                <w:color w:val="000000"/>
                <w:szCs w:val="20"/>
              </w:rPr>
              <w:t>-</w:t>
            </w:r>
          </w:p>
        </w:tc>
        <w:tc>
          <w:tcPr>
            <w:tcW w:w="726" w:type="pct"/>
            <w:tcBorders>
              <w:top w:val="nil"/>
              <w:left w:val="nil"/>
              <w:right w:val="nil"/>
            </w:tcBorders>
            <w:vAlign w:val="center"/>
            <w:hideMark/>
          </w:tcPr>
          <w:p w14:paraId="56DD847D" w14:textId="77777777" w:rsidR="00A74C68" w:rsidRPr="00471CBA" w:rsidRDefault="00A74C68" w:rsidP="00A74C68">
            <w:pPr>
              <w:jc w:val="right"/>
              <w:rPr>
                <w:b/>
                <w:bCs/>
                <w:color w:val="000000"/>
                <w:szCs w:val="20"/>
              </w:rPr>
            </w:pPr>
            <w:r w:rsidRPr="00471CBA">
              <w:rPr>
                <w:b/>
                <w:bCs/>
                <w:color w:val="000000"/>
                <w:szCs w:val="20"/>
              </w:rPr>
              <w:t>-</w:t>
            </w:r>
          </w:p>
        </w:tc>
      </w:tr>
      <w:tr w:rsidR="00A74C68" w:rsidRPr="00471CBA" w14:paraId="2ECC4550" w14:textId="77777777" w:rsidTr="00A74C68">
        <w:trPr>
          <w:divId w:val="653067796"/>
          <w:trHeight w:val="170"/>
        </w:trPr>
        <w:tc>
          <w:tcPr>
            <w:tcW w:w="2804" w:type="pct"/>
            <w:tcBorders>
              <w:top w:val="nil"/>
              <w:left w:val="nil"/>
              <w:bottom w:val="single" w:sz="4" w:space="0" w:color="auto"/>
              <w:right w:val="nil"/>
            </w:tcBorders>
            <w:noWrap/>
            <w:vAlign w:val="center"/>
            <w:hideMark/>
          </w:tcPr>
          <w:p w14:paraId="5FCEF0C4" w14:textId="77777777" w:rsidR="00A74C68" w:rsidRPr="00471CBA" w:rsidRDefault="00A74C68" w:rsidP="00A74C68">
            <w:pPr>
              <w:jc w:val="both"/>
              <w:rPr>
                <w:rFonts w:eastAsia="Arial Unicode MS"/>
                <w:color w:val="000000"/>
                <w:szCs w:val="20"/>
              </w:rPr>
            </w:pPr>
          </w:p>
        </w:tc>
        <w:tc>
          <w:tcPr>
            <w:tcW w:w="744" w:type="pct"/>
            <w:tcBorders>
              <w:top w:val="nil"/>
              <w:left w:val="nil"/>
              <w:bottom w:val="single" w:sz="4" w:space="0" w:color="auto"/>
              <w:right w:val="nil"/>
            </w:tcBorders>
            <w:noWrap/>
            <w:vAlign w:val="center"/>
            <w:hideMark/>
          </w:tcPr>
          <w:p w14:paraId="20F77688" w14:textId="77777777" w:rsidR="00A74C68" w:rsidRPr="00471CBA" w:rsidRDefault="00A74C68" w:rsidP="00A74C68">
            <w:pPr>
              <w:jc w:val="right"/>
              <w:rPr>
                <w:b/>
                <w:bCs/>
                <w:color w:val="000000"/>
                <w:szCs w:val="20"/>
              </w:rPr>
            </w:pPr>
          </w:p>
        </w:tc>
        <w:tc>
          <w:tcPr>
            <w:tcW w:w="726" w:type="pct"/>
            <w:tcBorders>
              <w:top w:val="nil"/>
              <w:left w:val="nil"/>
              <w:bottom w:val="single" w:sz="4" w:space="0" w:color="auto"/>
              <w:right w:val="nil"/>
            </w:tcBorders>
            <w:noWrap/>
            <w:vAlign w:val="center"/>
            <w:hideMark/>
          </w:tcPr>
          <w:p w14:paraId="508B0563" w14:textId="77777777" w:rsidR="00A74C68" w:rsidRPr="00471CBA" w:rsidRDefault="00A74C68" w:rsidP="00A74C68">
            <w:pPr>
              <w:jc w:val="right"/>
              <w:rPr>
                <w:b/>
                <w:bCs/>
                <w:color w:val="000000"/>
                <w:szCs w:val="20"/>
              </w:rPr>
            </w:pPr>
          </w:p>
        </w:tc>
        <w:tc>
          <w:tcPr>
            <w:tcW w:w="726" w:type="pct"/>
            <w:tcBorders>
              <w:top w:val="nil"/>
              <w:left w:val="nil"/>
              <w:bottom w:val="single" w:sz="4" w:space="0" w:color="auto"/>
              <w:right w:val="nil"/>
            </w:tcBorders>
            <w:noWrap/>
            <w:vAlign w:val="center"/>
            <w:hideMark/>
          </w:tcPr>
          <w:p w14:paraId="005A99D6" w14:textId="77777777" w:rsidR="00A74C68" w:rsidRPr="00471CBA" w:rsidRDefault="00A74C68" w:rsidP="00A74C68">
            <w:pPr>
              <w:jc w:val="right"/>
              <w:rPr>
                <w:b/>
                <w:bCs/>
                <w:color w:val="000000"/>
                <w:szCs w:val="20"/>
              </w:rPr>
            </w:pPr>
          </w:p>
        </w:tc>
      </w:tr>
      <w:tr w:rsidR="00A74C68" w:rsidRPr="00471CBA" w14:paraId="3B32AAAA" w14:textId="77777777" w:rsidTr="00A74C68">
        <w:trPr>
          <w:divId w:val="653067796"/>
          <w:trHeight w:val="170"/>
        </w:trPr>
        <w:tc>
          <w:tcPr>
            <w:tcW w:w="2804" w:type="pct"/>
            <w:tcBorders>
              <w:top w:val="single" w:sz="4" w:space="0" w:color="auto"/>
              <w:left w:val="nil"/>
              <w:bottom w:val="single" w:sz="12" w:space="0" w:color="auto"/>
              <w:right w:val="nil"/>
            </w:tcBorders>
            <w:noWrap/>
            <w:vAlign w:val="center"/>
            <w:hideMark/>
          </w:tcPr>
          <w:p w14:paraId="6D8BEC19" w14:textId="77777777" w:rsidR="00A74C68" w:rsidRPr="00471CBA" w:rsidRDefault="00A74C68" w:rsidP="00A74C68">
            <w:pPr>
              <w:jc w:val="both"/>
              <w:rPr>
                <w:b/>
                <w:bCs/>
                <w:color w:val="000000"/>
                <w:szCs w:val="20"/>
              </w:rPr>
            </w:pPr>
            <w:r w:rsidRPr="00471CBA">
              <w:rPr>
                <w:b/>
                <w:bCs/>
                <w:color w:val="000000"/>
                <w:szCs w:val="20"/>
              </w:rPr>
              <w:t>Toplam</w:t>
            </w:r>
          </w:p>
        </w:tc>
        <w:tc>
          <w:tcPr>
            <w:tcW w:w="744" w:type="pct"/>
            <w:tcBorders>
              <w:top w:val="single" w:sz="4" w:space="0" w:color="auto"/>
              <w:left w:val="nil"/>
              <w:bottom w:val="single" w:sz="12" w:space="0" w:color="auto"/>
              <w:right w:val="nil"/>
            </w:tcBorders>
            <w:vAlign w:val="center"/>
            <w:hideMark/>
          </w:tcPr>
          <w:p w14:paraId="2BED61BC" w14:textId="77777777" w:rsidR="00A74C68" w:rsidRPr="00471CBA" w:rsidRDefault="00A74C68" w:rsidP="00A74C68">
            <w:pPr>
              <w:jc w:val="right"/>
              <w:rPr>
                <w:b/>
                <w:bCs/>
                <w:color w:val="000000"/>
                <w:szCs w:val="20"/>
              </w:rPr>
            </w:pPr>
            <w:r w:rsidRPr="00471CBA">
              <w:rPr>
                <w:b/>
                <w:bCs/>
                <w:color w:val="000000"/>
                <w:szCs w:val="20"/>
              </w:rPr>
              <w:t>124.174</w:t>
            </w:r>
          </w:p>
        </w:tc>
        <w:tc>
          <w:tcPr>
            <w:tcW w:w="726" w:type="pct"/>
            <w:tcBorders>
              <w:top w:val="single" w:sz="4" w:space="0" w:color="auto"/>
              <w:left w:val="nil"/>
              <w:bottom w:val="single" w:sz="12" w:space="0" w:color="auto"/>
              <w:right w:val="nil"/>
            </w:tcBorders>
            <w:vAlign w:val="center"/>
            <w:hideMark/>
          </w:tcPr>
          <w:p w14:paraId="4CCB3D71" w14:textId="77777777" w:rsidR="00A74C68" w:rsidRPr="00471CBA" w:rsidRDefault="00A74C68" w:rsidP="00A74C68">
            <w:pPr>
              <w:jc w:val="right"/>
              <w:rPr>
                <w:b/>
                <w:bCs/>
                <w:color w:val="000000"/>
                <w:szCs w:val="20"/>
              </w:rPr>
            </w:pPr>
            <w:r w:rsidRPr="00471CBA">
              <w:rPr>
                <w:b/>
                <w:bCs/>
                <w:color w:val="000000"/>
                <w:szCs w:val="20"/>
              </w:rPr>
              <w:t>1.335.731</w:t>
            </w:r>
          </w:p>
        </w:tc>
        <w:tc>
          <w:tcPr>
            <w:tcW w:w="726" w:type="pct"/>
            <w:tcBorders>
              <w:top w:val="single" w:sz="4" w:space="0" w:color="auto"/>
              <w:left w:val="nil"/>
              <w:bottom w:val="single" w:sz="12" w:space="0" w:color="auto"/>
              <w:right w:val="nil"/>
            </w:tcBorders>
            <w:vAlign w:val="center"/>
            <w:hideMark/>
          </w:tcPr>
          <w:p w14:paraId="2C00F138" w14:textId="77777777" w:rsidR="00A74C68" w:rsidRPr="00471CBA" w:rsidRDefault="00A74C68" w:rsidP="00A74C68">
            <w:pPr>
              <w:jc w:val="right"/>
              <w:rPr>
                <w:b/>
                <w:bCs/>
                <w:color w:val="000000"/>
                <w:szCs w:val="20"/>
              </w:rPr>
            </w:pPr>
            <w:r w:rsidRPr="00471CBA">
              <w:rPr>
                <w:b/>
                <w:bCs/>
                <w:color w:val="000000"/>
                <w:szCs w:val="20"/>
              </w:rPr>
              <w:t>1.459.905</w:t>
            </w:r>
          </w:p>
        </w:tc>
      </w:tr>
    </w:tbl>
    <w:p w14:paraId="29C36B59" w14:textId="5243E4CB" w:rsidR="00524B3F" w:rsidRPr="00471CBA" w:rsidRDefault="00524B3F" w:rsidP="00314609">
      <w:pPr>
        <w:widowControl w:val="0"/>
        <w:spacing w:after="120"/>
        <w:ind w:left="851"/>
        <w:jc w:val="both"/>
        <w:rPr>
          <w:szCs w:val="20"/>
        </w:rPr>
      </w:pPr>
    </w:p>
    <w:p w14:paraId="6C9929BF" w14:textId="77777777" w:rsidR="00A67FD6" w:rsidRPr="00471CBA" w:rsidRDefault="00A67FD6" w:rsidP="00A67FD6">
      <w:pPr>
        <w:pStyle w:val="GvdeMetniGirintisi"/>
        <w:widowControl w:val="0"/>
        <w:numPr>
          <w:ilvl w:val="0"/>
          <w:numId w:val="6"/>
        </w:numPr>
        <w:tabs>
          <w:tab w:val="clear" w:pos="540"/>
        </w:tabs>
        <w:ind w:left="567" w:hanging="567"/>
        <w:rPr>
          <w:b/>
          <w:szCs w:val="20"/>
        </w:rPr>
      </w:pPr>
      <w:bookmarkStart w:id="97" w:name="_Hlk221782051"/>
      <w:r w:rsidRPr="00471CBA">
        <w:rPr>
          <w:b/>
          <w:szCs w:val="20"/>
        </w:rPr>
        <w:t>Kredilerin kullanıcılara göre dağılımı:</w:t>
      </w:r>
    </w:p>
    <w:p w14:paraId="4AE38557" w14:textId="77777777" w:rsidR="00A67FD6" w:rsidRPr="00471CBA" w:rsidRDefault="00A67FD6" w:rsidP="00A67FD6"/>
    <w:tbl>
      <w:tblPr>
        <w:tblW w:w="5000" w:type="pct"/>
        <w:tblCellMar>
          <w:left w:w="0" w:type="dxa"/>
          <w:right w:w="0" w:type="dxa"/>
        </w:tblCellMar>
        <w:tblLook w:val="0000" w:firstRow="0" w:lastRow="0" w:firstColumn="0" w:lastColumn="0" w:noHBand="0" w:noVBand="0"/>
      </w:tblPr>
      <w:tblGrid>
        <w:gridCol w:w="7211"/>
        <w:gridCol w:w="2144"/>
      </w:tblGrid>
      <w:tr w:rsidR="00A67FD6" w:rsidRPr="00471CBA" w14:paraId="77EB5677" w14:textId="77777777" w:rsidTr="00B0049C">
        <w:trPr>
          <w:trHeight w:val="113"/>
        </w:trPr>
        <w:tc>
          <w:tcPr>
            <w:tcW w:w="3854" w:type="pct"/>
          </w:tcPr>
          <w:p w14:paraId="157F2550" w14:textId="77777777" w:rsidR="00A67FD6" w:rsidRPr="00471CBA" w:rsidRDefault="00A67FD6" w:rsidP="00B0049C">
            <w:pPr>
              <w:autoSpaceDE w:val="0"/>
              <w:autoSpaceDN w:val="0"/>
              <w:adjustRightInd w:val="0"/>
              <w:rPr>
                <w:rFonts w:eastAsia="Arial Unicode MS"/>
                <w:b/>
                <w:szCs w:val="20"/>
              </w:rPr>
            </w:pPr>
            <w:bookmarkStart w:id="98" w:name="_Hlk189572340"/>
          </w:p>
        </w:tc>
        <w:tc>
          <w:tcPr>
            <w:tcW w:w="1146" w:type="pct"/>
            <w:tcBorders>
              <w:top w:val="single" w:sz="4" w:space="0" w:color="auto"/>
              <w:bottom w:val="single" w:sz="4" w:space="0" w:color="auto"/>
            </w:tcBorders>
            <w:vAlign w:val="center"/>
          </w:tcPr>
          <w:p w14:paraId="49C72536" w14:textId="4A3A03A4" w:rsidR="00A67FD6" w:rsidRPr="00471CBA" w:rsidRDefault="00A67FD6" w:rsidP="00B0049C">
            <w:pPr>
              <w:autoSpaceDE w:val="0"/>
              <w:autoSpaceDN w:val="0"/>
              <w:adjustRightInd w:val="0"/>
              <w:ind w:right="86"/>
              <w:jc w:val="right"/>
              <w:rPr>
                <w:rFonts w:eastAsia="Arial Unicode MS"/>
                <w:b/>
                <w:szCs w:val="20"/>
              </w:rPr>
            </w:pPr>
            <w:r w:rsidRPr="00471CBA">
              <w:rPr>
                <w:b/>
                <w:bCs/>
                <w:color w:val="000000"/>
                <w:szCs w:val="20"/>
              </w:rPr>
              <w:t>31 Aralık 202</w:t>
            </w:r>
            <w:r w:rsidR="00FB2CF8" w:rsidRPr="00471CBA">
              <w:rPr>
                <w:b/>
                <w:bCs/>
                <w:color w:val="000000"/>
                <w:szCs w:val="20"/>
              </w:rPr>
              <w:t>5</w:t>
            </w:r>
          </w:p>
        </w:tc>
      </w:tr>
      <w:tr w:rsidR="00A67FD6" w:rsidRPr="00471CBA" w14:paraId="25742F30" w14:textId="77777777" w:rsidTr="00B0049C">
        <w:trPr>
          <w:trHeight w:val="113"/>
        </w:trPr>
        <w:tc>
          <w:tcPr>
            <w:tcW w:w="3854" w:type="pct"/>
          </w:tcPr>
          <w:p w14:paraId="1A6108DF" w14:textId="77777777" w:rsidR="00A67FD6" w:rsidRPr="00471CBA" w:rsidRDefault="00A67FD6" w:rsidP="00B0049C">
            <w:pPr>
              <w:autoSpaceDE w:val="0"/>
              <w:autoSpaceDN w:val="0"/>
              <w:adjustRightInd w:val="0"/>
              <w:rPr>
                <w:rFonts w:eastAsia="Arial Unicode MS"/>
                <w:szCs w:val="20"/>
              </w:rPr>
            </w:pPr>
          </w:p>
        </w:tc>
        <w:tc>
          <w:tcPr>
            <w:tcW w:w="1146" w:type="pct"/>
            <w:tcBorders>
              <w:top w:val="single" w:sz="4" w:space="0" w:color="auto"/>
            </w:tcBorders>
          </w:tcPr>
          <w:p w14:paraId="179E0D62" w14:textId="77777777" w:rsidR="00A67FD6" w:rsidRPr="00471CBA" w:rsidRDefault="00A67FD6" w:rsidP="00B0049C">
            <w:pPr>
              <w:autoSpaceDE w:val="0"/>
              <w:autoSpaceDN w:val="0"/>
              <w:adjustRightInd w:val="0"/>
              <w:ind w:right="86"/>
              <w:jc w:val="right"/>
              <w:rPr>
                <w:rFonts w:eastAsia="Arial Unicode MS"/>
                <w:szCs w:val="20"/>
              </w:rPr>
            </w:pPr>
          </w:p>
        </w:tc>
      </w:tr>
      <w:tr w:rsidR="00FB2CF8" w:rsidRPr="00471CBA" w14:paraId="24E14BB3" w14:textId="77777777" w:rsidTr="00DE035B">
        <w:trPr>
          <w:trHeight w:val="113"/>
        </w:trPr>
        <w:tc>
          <w:tcPr>
            <w:tcW w:w="3854" w:type="pct"/>
          </w:tcPr>
          <w:p w14:paraId="7542FBF5" w14:textId="77777777" w:rsidR="00FB2CF8" w:rsidRPr="00471CBA" w:rsidRDefault="00FB2CF8" w:rsidP="00FB2CF8">
            <w:pPr>
              <w:autoSpaceDE w:val="0"/>
              <w:autoSpaceDN w:val="0"/>
              <w:adjustRightInd w:val="0"/>
              <w:rPr>
                <w:rFonts w:eastAsia="Arial Unicode MS"/>
                <w:szCs w:val="20"/>
              </w:rPr>
            </w:pPr>
            <w:r w:rsidRPr="00471CBA">
              <w:rPr>
                <w:rFonts w:eastAsia="Arial Unicode MS"/>
                <w:szCs w:val="20"/>
              </w:rPr>
              <w:t>Kamu</w:t>
            </w:r>
          </w:p>
        </w:tc>
        <w:tc>
          <w:tcPr>
            <w:tcW w:w="1146" w:type="pct"/>
            <w:tcBorders>
              <w:top w:val="nil"/>
              <w:left w:val="nil"/>
              <w:bottom w:val="nil"/>
              <w:right w:val="nil"/>
            </w:tcBorders>
            <w:vAlign w:val="center"/>
          </w:tcPr>
          <w:p w14:paraId="25C8D6B3" w14:textId="7A22AF4A" w:rsidR="00FB2CF8" w:rsidRPr="00471CBA" w:rsidRDefault="00FB2CF8" w:rsidP="00FB2CF8">
            <w:pPr>
              <w:ind w:right="86"/>
              <w:jc w:val="right"/>
              <w:rPr>
                <w:color w:val="000000"/>
                <w:szCs w:val="20"/>
              </w:rPr>
            </w:pPr>
            <w:r w:rsidRPr="00471CBA">
              <w:rPr>
                <w:color w:val="000000"/>
                <w:szCs w:val="20"/>
              </w:rPr>
              <w:t>3.504.762</w:t>
            </w:r>
          </w:p>
        </w:tc>
      </w:tr>
      <w:tr w:rsidR="00FB2CF8" w:rsidRPr="00471CBA" w14:paraId="4B096DA9" w14:textId="77777777" w:rsidTr="00DE035B">
        <w:trPr>
          <w:trHeight w:val="113"/>
        </w:trPr>
        <w:tc>
          <w:tcPr>
            <w:tcW w:w="3854" w:type="pct"/>
          </w:tcPr>
          <w:p w14:paraId="7221CE1E" w14:textId="77777777" w:rsidR="00FB2CF8" w:rsidRPr="00471CBA" w:rsidRDefault="00FB2CF8" w:rsidP="00FB2CF8">
            <w:pPr>
              <w:autoSpaceDE w:val="0"/>
              <w:autoSpaceDN w:val="0"/>
              <w:adjustRightInd w:val="0"/>
              <w:rPr>
                <w:rFonts w:eastAsia="Arial Unicode MS"/>
                <w:szCs w:val="20"/>
              </w:rPr>
            </w:pPr>
            <w:r w:rsidRPr="00471CBA">
              <w:rPr>
                <w:rFonts w:eastAsia="Arial Unicode MS"/>
                <w:szCs w:val="20"/>
              </w:rPr>
              <w:t>Özel</w:t>
            </w:r>
          </w:p>
        </w:tc>
        <w:tc>
          <w:tcPr>
            <w:tcW w:w="1146" w:type="pct"/>
            <w:tcBorders>
              <w:top w:val="nil"/>
              <w:left w:val="nil"/>
              <w:bottom w:val="nil"/>
              <w:right w:val="nil"/>
            </w:tcBorders>
            <w:vAlign w:val="center"/>
          </w:tcPr>
          <w:p w14:paraId="15ED48AA" w14:textId="191E8EEE" w:rsidR="00FB2CF8" w:rsidRPr="00471CBA" w:rsidRDefault="00FB2CF8" w:rsidP="00FB2CF8">
            <w:pPr>
              <w:ind w:right="86"/>
              <w:jc w:val="right"/>
              <w:rPr>
                <w:color w:val="000000"/>
                <w:szCs w:val="20"/>
              </w:rPr>
            </w:pPr>
            <w:r w:rsidRPr="00471CBA">
              <w:rPr>
                <w:color w:val="000000"/>
                <w:szCs w:val="20"/>
              </w:rPr>
              <w:t>48.364.882</w:t>
            </w:r>
          </w:p>
        </w:tc>
      </w:tr>
      <w:tr w:rsidR="00FB2CF8" w:rsidRPr="00471CBA" w14:paraId="5B94E7DF" w14:textId="77777777" w:rsidTr="00DE035B">
        <w:trPr>
          <w:trHeight w:val="113"/>
        </w:trPr>
        <w:tc>
          <w:tcPr>
            <w:tcW w:w="3854" w:type="pct"/>
            <w:tcBorders>
              <w:bottom w:val="single" w:sz="4" w:space="0" w:color="auto"/>
            </w:tcBorders>
          </w:tcPr>
          <w:p w14:paraId="43C0C64F" w14:textId="77777777" w:rsidR="00FB2CF8" w:rsidRPr="00471CBA" w:rsidRDefault="00FB2CF8" w:rsidP="00FB2CF8">
            <w:pPr>
              <w:autoSpaceDE w:val="0"/>
              <w:autoSpaceDN w:val="0"/>
              <w:adjustRightInd w:val="0"/>
              <w:rPr>
                <w:rFonts w:eastAsia="Arial Unicode MS"/>
                <w:b/>
                <w:szCs w:val="20"/>
              </w:rPr>
            </w:pPr>
          </w:p>
        </w:tc>
        <w:tc>
          <w:tcPr>
            <w:tcW w:w="1146" w:type="pct"/>
            <w:tcBorders>
              <w:bottom w:val="single" w:sz="4" w:space="0" w:color="auto"/>
            </w:tcBorders>
            <w:vAlign w:val="center"/>
          </w:tcPr>
          <w:p w14:paraId="55849D57" w14:textId="445DFBCE" w:rsidR="00FB2CF8" w:rsidRPr="00471CBA" w:rsidRDefault="00FB2CF8" w:rsidP="00FB2CF8">
            <w:pPr>
              <w:ind w:right="86"/>
              <w:jc w:val="right"/>
              <w:rPr>
                <w:rFonts w:eastAsia="Arial Unicode MS"/>
                <w:szCs w:val="20"/>
              </w:rPr>
            </w:pPr>
            <w:r w:rsidRPr="00471CBA">
              <w:rPr>
                <w:color w:val="000000"/>
                <w:szCs w:val="20"/>
              </w:rPr>
              <w:t> </w:t>
            </w:r>
          </w:p>
        </w:tc>
      </w:tr>
      <w:tr w:rsidR="00FB2CF8" w:rsidRPr="009B5764" w14:paraId="6995CD75" w14:textId="77777777" w:rsidTr="00DE035B">
        <w:trPr>
          <w:trHeight w:val="113"/>
        </w:trPr>
        <w:tc>
          <w:tcPr>
            <w:tcW w:w="3854" w:type="pct"/>
            <w:tcBorders>
              <w:top w:val="single" w:sz="4" w:space="0" w:color="auto"/>
              <w:bottom w:val="single" w:sz="12" w:space="0" w:color="auto"/>
            </w:tcBorders>
          </w:tcPr>
          <w:p w14:paraId="7A904AF9" w14:textId="77777777" w:rsidR="00FB2CF8" w:rsidRPr="009B5764" w:rsidRDefault="00FB2CF8" w:rsidP="00FB2CF8">
            <w:pPr>
              <w:autoSpaceDE w:val="0"/>
              <w:autoSpaceDN w:val="0"/>
              <w:adjustRightInd w:val="0"/>
              <w:rPr>
                <w:rFonts w:eastAsia="Arial Unicode MS"/>
                <w:b/>
                <w:szCs w:val="20"/>
              </w:rPr>
            </w:pPr>
            <w:r w:rsidRPr="009B5764">
              <w:rPr>
                <w:rFonts w:eastAsia="Arial Unicode MS"/>
                <w:b/>
                <w:szCs w:val="20"/>
              </w:rPr>
              <w:t>Toplam</w:t>
            </w:r>
          </w:p>
        </w:tc>
        <w:tc>
          <w:tcPr>
            <w:tcW w:w="1146" w:type="pct"/>
            <w:tcBorders>
              <w:top w:val="single" w:sz="4" w:space="0" w:color="auto"/>
              <w:bottom w:val="single" w:sz="12" w:space="0" w:color="auto"/>
            </w:tcBorders>
            <w:vAlign w:val="center"/>
          </w:tcPr>
          <w:p w14:paraId="0C99210E" w14:textId="4BA2B2D5" w:rsidR="00FB2CF8" w:rsidRPr="009B5764" w:rsidRDefault="00FB2CF8" w:rsidP="00FB2CF8">
            <w:pPr>
              <w:ind w:right="86"/>
              <w:jc w:val="right"/>
              <w:rPr>
                <w:b/>
                <w:szCs w:val="20"/>
              </w:rPr>
            </w:pPr>
            <w:r w:rsidRPr="009B5764">
              <w:rPr>
                <w:b/>
                <w:color w:val="000000"/>
                <w:szCs w:val="20"/>
              </w:rPr>
              <w:t>51.869.644</w:t>
            </w:r>
          </w:p>
        </w:tc>
      </w:tr>
    </w:tbl>
    <w:p w14:paraId="32F7E443" w14:textId="77777777" w:rsidR="00A67FD6" w:rsidRPr="00471CBA" w:rsidRDefault="00A67FD6" w:rsidP="00A67FD6"/>
    <w:bookmarkEnd w:id="98"/>
    <w:tbl>
      <w:tblPr>
        <w:tblW w:w="5000" w:type="pct"/>
        <w:tblCellMar>
          <w:left w:w="0" w:type="dxa"/>
          <w:right w:w="0" w:type="dxa"/>
        </w:tblCellMar>
        <w:tblLook w:val="0000" w:firstRow="0" w:lastRow="0" w:firstColumn="0" w:lastColumn="0" w:noHBand="0" w:noVBand="0"/>
      </w:tblPr>
      <w:tblGrid>
        <w:gridCol w:w="7211"/>
        <w:gridCol w:w="2144"/>
      </w:tblGrid>
      <w:tr w:rsidR="00FB2CF8" w:rsidRPr="00471CBA" w14:paraId="6E4F8138" w14:textId="77777777" w:rsidTr="00C44D8F">
        <w:trPr>
          <w:trHeight w:val="113"/>
        </w:trPr>
        <w:tc>
          <w:tcPr>
            <w:tcW w:w="3854" w:type="pct"/>
          </w:tcPr>
          <w:p w14:paraId="78DAD909" w14:textId="77777777" w:rsidR="00FB2CF8" w:rsidRPr="00471CBA" w:rsidRDefault="00FB2CF8" w:rsidP="00C44D8F">
            <w:pPr>
              <w:autoSpaceDE w:val="0"/>
              <w:autoSpaceDN w:val="0"/>
              <w:adjustRightInd w:val="0"/>
              <w:rPr>
                <w:rFonts w:eastAsia="Arial Unicode MS"/>
                <w:b/>
                <w:szCs w:val="20"/>
              </w:rPr>
            </w:pPr>
          </w:p>
        </w:tc>
        <w:tc>
          <w:tcPr>
            <w:tcW w:w="1146" w:type="pct"/>
            <w:tcBorders>
              <w:top w:val="single" w:sz="4" w:space="0" w:color="auto"/>
              <w:bottom w:val="single" w:sz="4" w:space="0" w:color="auto"/>
            </w:tcBorders>
            <w:vAlign w:val="center"/>
          </w:tcPr>
          <w:p w14:paraId="7EC53357" w14:textId="77777777" w:rsidR="00FB2CF8" w:rsidRPr="00471CBA" w:rsidRDefault="00FB2CF8" w:rsidP="00C44D8F">
            <w:pPr>
              <w:autoSpaceDE w:val="0"/>
              <w:autoSpaceDN w:val="0"/>
              <w:adjustRightInd w:val="0"/>
              <w:ind w:right="86"/>
              <w:jc w:val="right"/>
              <w:rPr>
                <w:rFonts w:eastAsia="Arial Unicode MS"/>
                <w:b/>
                <w:szCs w:val="20"/>
              </w:rPr>
            </w:pPr>
            <w:r w:rsidRPr="00471CBA">
              <w:rPr>
                <w:b/>
                <w:bCs/>
                <w:color w:val="000000"/>
                <w:szCs w:val="20"/>
              </w:rPr>
              <w:t>31 Aralık 2024</w:t>
            </w:r>
          </w:p>
        </w:tc>
      </w:tr>
      <w:tr w:rsidR="00FB2CF8" w:rsidRPr="00471CBA" w14:paraId="75C1E74D" w14:textId="77777777" w:rsidTr="00C44D8F">
        <w:trPr>
          <w:trHeight w:val="113"/>
        </w:trPr>
        <w:tc>
          <w:tcPr>
            <w:tcW w:w="3854" w:type="pct"/>
          </w:tcPr>
          <w:p w14:paraId="7B1D41D8" w14:textId="77777777" w:rsidR="00FB2CF8" w:rsidRPr="00471CBA" w:rsidRDefault="00FB2CF8" w:rsidP="00C44D8F">
            <w:pPr>
              <w:autoSpaceDE w:val="0"/>
              <w:autoSpaceDN w:val="0"/>
              <w:adjustRightInd w:val="0"/>
              <w:rPr>
                <w:rFonts w:eastAsia="Arial Unicode MS"/>
                <w:szCs w:val="20"/>
              </w:rPr>
            </w:pPr>
          </w:p>
        </w:tc>
        <w:tc>
          <w:tcPr>
            <w:tcW w:w="1146" w:type="pct"/>
            <w:tcBorders>
              <w:top w:val="single" w:sz="4" w:space="0" w:color="auto"/>
            </w:tcBorders>
          </w:tcPr>
          <w:p w14:paraId="2C73E917" w14:textId="77777777" w:rsidR="00FB2CF8" w:rsidRPr="00471CBA" w:rsidRDefault="00FB2CF8" w:rsidP="00C44D8F">
            <w:pPr>
              <w:autoSpaceDE w:val="0"/>
              <w:autoSpaceDN w:val="0"/>
              <w:adjustRightInd w:val="0"/>
              <w:ind w:right="86"/>
              <w:jc w:val="right"/>
              <w:rPr>
                <w:rFonts w:eastAsia="Arial Unicode MS"/>
                <w:szCs w:val="20"/>
              </w:rPr>
            </w:pPr>
          </w:p>
        </w:tc>
      </w:tr>
      <w:tr w:rsidR="00FB2CF8" w:rsidRPr="00471CBA" w14:paraId="1848668E" w14:textId="77777777" w:rsidTr="00C44D8F">
        <w:trPr>
          <w:trHeight w:val="113"/>
        </w:trPr>
        <w:tc>
          <w:tcPr>
            <w:tcW w:w="3854" w:type="pct"/>
          </w:tcPr>
          <w:p w14:paraId="2AD36DE9" w14:textId="77777777" w:rsidR="00FB2CF8" w:rsidRPr="00471CBA" w:rsidRDefault="00FB2CF8" w:rsidP="00C44D8F">
            <w:pPr>
              <w:autoSpaceDE w:val="0"/>
              <w:autoSpaceDN w:val="0"/>
              <w:adjustRightInd w:val="0"/>
              <w:rPr>
                <w:rFonts w:eastAsia="Arial Unicode MS"/>
                <w:szCs w:val="20"/>
              </w:rPr>
            </w:pPr>
            <w:r w:rsidRPr="00471CBA">
              <w:rPr>
                <w:rFonts w:eastAsia="Arial Unicode MS"/>
                <w:szCs w:val="20"/>
              </w:rPr>
              <w:t>Kamu</w:t>
            </w:r>
          </w:p>
        </w:tc>
        <w:tc>
          <w:tcPr>
            <w:tcW w:w="1146" w:type="pct"/>
            <w:tcBorders>
              <w:top w:val="nil"/>
              <w:left w:val="nil"/>
              <w:bottom w:val="nil"/>
              <w:right w:val="nil"/>
            </w:tcBorders>
          </w:tcPr>
          <w:p w14:paraId="0C2C3DB8" w14:textId="77777777" w:rsidR="00FB2CF8" w:rsidRPr="00471CBA" w:rsidRDefault="00FB2CF8" w:rsidP="00C44D8F">
            <w:pPr>
              <w:ind w:right="86"/>
              <w:jc w:val="right"/>
              <w:rPr>
                <w:color w:val="000000"/>
                <w:szCs w:val="20"/>
              </w:rPr>
            </w:pPr>
            <w:r w:rsidRPr="00471CBA">
              <w:rPr>
                <w:szCs w:val="20"/>
              </w:rPr>
              <w:t>1.570.244</w:t>
            </w:r>
          </w:p>
        </w:tc>
      </w:tr>
      <w:tr w:rsidR="00FB2CF8" w:rsidRPr="00471CBA" w14:paraId="7D44D07A" w14:textId="77777777" w:rsidTr="00C44D8F">
        <w:trPr>
          <w:trHeight w:val="113"/>
        </w:trPr>
        <w:tc>
          <w:tcPr>
            <w:tcW w:w="3854" w:type="pct"/>
          </w:tcPr>
          <w:p w14:paraId="2C931D98" w14:textId="77777777" w:rsidR="00FB2CF8" w:rsidRPr="00471CBA" w:rsidRDefault="00FB2CF8" w:rsidP="00C44D8F">
            <w:pPr>
              <w:autoSpaceDE w:val="0"/>
              <w:autoSpaceDN w:val="0"/>
              <w:adjustRightInd w:val="0"/>
              <w:rPr>
                <w:rFonts w:eastAsia="Arial Unicode MS"/>
                <w:szCs w:val="20"/>
              </w:rPr>
            </w:pPr>
            <w:r w:rsidRPr="00471CBA">
              <w:rPr>
                <w:rFonts w:eastAsia="Arial Unicode MS"/>
                <w:szCs w:val="20"/>
              </w:rPr>
              <w:t>Özel</w:t>
            </w:r>
          </w:p>
        </w:tc>
        <w:tc>
          <w:tcPr>
            <w:tcW w:w="1146" w:type="pct"/>
            <w:tcBorders>
              <w:top w:val="nil"/>
              <w:left w:val="nil"/>
              <w:bottom w:val="nil"/>
              <w:right w:val="nil"/>
            </w:tcBorders>
          </w:tcPr>
          <w:p w14:paraId="22E3190D" w14:textId="77777777" w:rsidR="00FB2CF8" w:rsidRPr="00471CBA" w:rsidRDefault="00FB2CF8" w:rsidP="00C44D8F">
            <w:pPr>
              <w:ind w:right="86"/>
              <w:jc w:val="right"/>
              <w:rPr>
                <w:color w:val="000000"/>
                <w:szCs w:val="20"/>
              </w:rPr>
            </w:pPr>
            <w:r w:rsidRPr="00471CBA">
              <w:rPr>
                <w:szCs w:val="20"/>
              </w:rPr>
              <w:t>21.459.215</w:t>
            </w:r>
          </w:p>
        </w:tc>
      </w:tr>
      <w:tr w:rsidR="00FB2CF8" w:rsidRPr="00471CBA" w14:paraId="527C74EC" w14:textId="77777777" w:rsidTr="00C44D8F">
        <w:trPr>
          <w:trHeight w:val="113"/>
        </w:trPr>
        <w:tc>
          <w:tcPr>
            <w:tcW w:w="3854" w:type="pct"/>
            <w:tcBorders>
              <w:bottom w:val="single" w:sz="4" w:space="0" w:color="auto"/>
            </w:tcBorders>
          </w:tcPr>
          <w:p w14:paraId="53FEC078" w14:textId="77777777" w:rsidR="00FB2CF8" w:rsidRPr="00471CBA" w:rsidRDefault="00FB2CF8" w:rsidP="00C44D8F">
            <w:pPr>
              <w:autoSpaceDE w:val="0"/>
              <w:autoSpaceDN w:val="0"/>
              <w:adjustRightInd w:val="0"/>
              <w:rPr>
                <w:rFonts w:eastAsia="Arial Unicode MS"/>
                <w:b/>
                <w:szCs w:val="20"/>
              </w:rPr>
            </w:pPr>
          </w:p>
        </w:tc>
        <w:tc>
          <w:tcPr>
            <w:tcW w:w="1146" w:type="pct"/>
            <w:tcBorders>
              <w:bottom w:val="single" w:sz="4" w:space="0" w:color="auto"/>
            </w:tcBorders>
          </w:tcPr>
          <w:p w14:paraId="6F2AA803" w14:textId="77777777" w:rsidR="00FB2CF8" w:rsidRPr="00471CBA" w:rsidRDefault="00FB2CF8" w:rsidP="00C44D8F">
            <w:pPr>
              <w:ind w:right="86"/>
              <w:jc w:val="right"/>
              <w:rPr>
                <w:rFonts w:eastAsia="Arial Unicode MS"/>
                <w:szCs w:val="20"/>
              </w:rPr>
            </w:pPr>
          </w:p>
        </w:tc>
      </w:tr>
      <w:tr w:rsidR="00FB2CF8" w:rsidRPr="009B5764" w14:paraId="19F56E9D" w14:textId="77777777" w:rsidTr="00C44D8F">
        <w:trPr>
          <w:trHeight w:val="113"/>
        </w:trPr>
        <w:tc>
          <w:tcPr>
            <w:tcW w:w="3854" w:type="pct"/>
            <w:tcBorders>
              <w:top w:val="single" w:sz="4" w:space="0" w:color="auto"/>
              <w:bottom w:val="single" w:sz="12" w:space="0" w:color="auto"/>
            </w:tcBorders>
          </w:tcPr>
          <w:p w14:paraId="0B9E6910" w14:textId="77777777" w:rsidR="00FB2CF8" w:rsidRPr="009B5764" w:rsidRDefault="00FB2CF8" w:rsidP="00C44D8F">
            <w:pPr>
              <w:autoSpaceDE w:val="0"/>
              <w:autoSpaceDN w:val="0"/>
              <w:adjustRightInd w:val="0"/>
              <w:rPr>
                <w:rFonts w:eastAsia="Arial Unicode MS"/>
                <w:b/>
                <w:szCs w:val="20"/>
              </w:rPr>
            </w:pPr>
            <w:r w:rsidRPr="009B5764">
              <w:rPr>
                <w:rFonts w:eastAsia="Arial Unicode MS"/>
                <w:b/>
                <w:szCs w:val="20"/>
              </w:rPr>
              <w:t>Toplam</w:t>
            </w:r>
          </w:p>
        </w:tc>
        <w:tc>
          <w:tcPr>
            <w:tcW w:w="1146" w:type="pct"/>
            <w:tcBorders>
              <w:top w:val="single" w:sz="4" w:space="0" w:color="auto"/>
              <w:bottom w:val="single" w:sz="12" w:space="0" w:color="auto"/>
            </w:tcBorders>
          </w:tcPr>
          <w:p w14:paraId="573150CB" w14:textId="77777777" w:rsidR="00FB2CF8" w:rsidRPr="009B5764" w:rsidRDefault="00FB2CF8" w:rsidP="00C44D8F">
            <w:pPr>
              <w:ind w:right="86"/>
              <w:jc w:val="right"/>
              <w:rPr>
                <w:b/>
                <w:szCs w:val="20"/>
              </w:rPr>
            </w:pPr>
            <w:r w:rsidRPr="009B5764">
              <w:rPr>
                <w:b/>
                <w:szCs w:val="20"/>
              </w:rPr>
              <w:t>23.029.459</w:t>
            </w:r>
          </w:p>
        </w:tc>
      </w:tr>
      <w:bookmarkEnd w:id="97"/>
    </w:tbl>
    <w:p w14:paraId="51CCAFC8" w14:textId="77FF5DCA" w:rsidR="00C06936" w:rsidRPr="00471CBA" w:rsidRDefault="00C06936" w:rsidP="00813BA8"/>
    <w:p w14:paraId="1ABDFF27" w14:textId="77777777" w:rsidR="00C06936" w:rsidRPr="00471CBA" w:rsidRDefault="00C06936">
      <w:r w:rsidRPr="00471CBA">
        <w:br w:type="page"/>
      </w:r>
    </w:p>
    <w:p w14:paraId="2CF60E59" w14:textId="77777777" w:rsidR="00964E60" w:rsidRPr="00471CBA" w:rsidRDefault="00964E60" w:rsidP="00964E60">
      <w:pPr>
        <w:spacing w:after="120"/>
        <w:rPr>
          <w:b/>
          <w:szCs w:val="20"/>
        </w:rPr>
      </w:pPr>
      <w:r w:rsidRPr="00471CBA">
        <w:rPr>
          <w:b/>
          <w:szCs w:val="20"/>
        </w:rPr>
        <w:t>KONSOLİDE OLMAYAN FİNANSAL TABLOLARA İLİŞKİN AÇIKLAMA VE DİPNOTLAR (Devamı)</w:t>
      </w:r>
    </w:p>
    <w:p w14:paraId="76912CFE" w14:textId="77777777" w:rsidR="00964E60" w:rsidRPr="00471CBA" w:rsidRDefault="00964E60" w:rsidP="008459A9">
      <w:pPr>
        <w:pStyle w:val="ListeParagraf"/>
        <w:widowControl w:val="0"/>
        <w:numPr>
          <w:ilvl w:val="0"/>
          <w:numId w:val="77"/>
        </w:numPr>
        <w:spacing w:after="120"/>
        <w:ind w:left="567" w:hanging="567"/>
        <w:jc w:val="both"/>
        <w:rPr>
          <w:b/>
          <w:szCs w:val="20"/>
        </w:rPr>
      </w:pPr>
      <w:r w:rsidRPr="00471CBA">
        <w:rPr>
          <w:b/>
          <w:szCs w:val="20"/>
        </w:rPr>
        <w:t>BİLANÇONUN AKTİF HESAPLARINA İLİŞKİN AÇIKLAMA VE DİPNOTLAR (Devamı)</w:t>
      </w:r>
    </w:p>
    <w:p w14:paraId="6156D163" w14:textId="77777777" w:rsidR="00660A09" w:rsidRPr="00471CBA" w:rsidRDefault="00660A09" w:rsidP="008459A9">
      <w:pPr>
        <w:pStyle w:val="GvdeMetniGirintisi"/>
        <w:widowControl w:val="0"/>
        <w:numPr>
          <w:ilvl w:val="0"/>
          <w:numId w:val="78"/>
        </w:numPr>
        <w:ind w:left="567" w:hanging="567"/>
        <w:rPr>
          <w:b/>
          <w:szCs w:val="20"/>
        </w:rPr>
      </w:pPr>
      <w:r w:rsidRPr="00471CBA">
        <w:rPr>
          <w:b/>
          <w:szCs w:val="20"/>
        </w:rPr>
        <w:t>Yurtiçi ve yurtdışı kredilerin dağılımı:</w:t>
      </w:r>
    </w:p>
    <w:p w14:paraId="41244ACC" w14:textId="7AEF8811" w:rsidR="00A74C68" w:rsidRPr="00471CBA" w:rsidRDefault="00A74C68" w:rsidP="00A74C68">
      <w:pPr>
        <w:widowControl w:val="0"/>
        <w:autoSpaceDE w:val="0"/>
        <w:autoSpaceDN w:val="0"/>
        <w:adjustRightInd w:val="0"/>
        <w:ind w:left="851"/>
        <w:rPr>
          <w:szCs w:val="20"/>
        </w:rPr>
      </w:pPr>
    </w:p>
    <w:tbl>
      <w:tblPr>
        <w:tblW w:w="5000" w:type="pct"/>
        <w:tblCellMar>
          <w:left w:w="70" w:type="dxa"/>
          <w:right w:w="70" w:type="dxa"/>
        </w:tblCellMar>
        <w:tblLook w:val="04A0" w:firstRow="1" w:lastRow="0" w:firstColumn="1" w:lastColumn="0" w:noHBand="0" w:noVBand="1"/>
      </w:tblPr>
      <w:tblGrid>
        <w:gridCol w:w="7207"/>
        <w:gridCol w:w="2148"/>
      </w:tblGrid>
      <w:tr w:rsidR="00A74C68" w:rsidRPr="00471CBA" w14:paraId="67CE5EA5" w14:textId="77777777" w:rsidTr="00A74C68">
        <w:trPr>
          <w:divId w:val="940987148"/>
          <w:trHeight w:val="227"/>
        </w:trPr>
        <w:tc>
          <w:tcPr>
            <w:tcW w:w="3852" w:type="pct"/>
            <w:tcBorders>
              <w:top w:val="nil"/>
              <w:left w:val="nil"/>
              <w:bottom w:val="nil"/>
              <w:right w:val="nil"/>
            </w:tcBorders>
            <w:vAlign w:val="bottom"/>
            <w:hideMark/>
          </w:tcPr>
          <w:p w14:paraId="11D962DD" w14:textId="22375E2B" w:rsidR="00A74C68" w:rsidRPr="00471CBA" w:rsidRDefault="00A74C68" w:rsidP="00A74C68">
            <w:pPr>
              <w:jc w:val="center"/>
              <w:rPr>
                <w:szCs w:val="20"/>
              </w:rPr>
            </w:pPr>
          </w:p>
        </w:tc>
        <w:tc>
          <w:tcPr>
            <w:tcW w:w="1148" w:type="pct"/>
            <w:tcBorders>
              <w:top w:val="nil"/>
              <w:left w:val="nil"/>
              <w:bottom w:val="single" w:sz="4" w:space="0" w:color="auto"/>
              <w:right w:val="nil"/>
            </w:tcBorders>
            <w:noWrap/>
            <w:vAlign w:val="center"/>
            <w:hideMark/>
          </w:tcPr>
          <w:p w14:paraId="5BB2720E" w14:textId="77777777" w:rsidR="00A74C68" w:rsidRPr="00471CBA" w:rsidRDefault="00A74C68" w:rsidP="00A74C68">
            <w:pPr>
              <w:jc w:val="right"/>
              <w:rPr>
                <w:b/>
                <w:bCs/>
                <w:color w:val="000000"/>
                <w:szCs w:val="20"/>
              </w:rPr>
            </w:pPr>
            <w:r w:rsidRPr="00471CBA">
              <w:rPr>
                <w:b/>
                <w:bCs/>
                <w:color w:val="000000"/>
                <w:szCs w:val="20"/>
              </w:rPr>
              <w:t>31 Aralık 2025</w:t>
            </w:r>
          </w:p>
        </w:tc>
      </w:tr>
      <w:tr w:rsidR="00A74C68" w:rsidRPr="00471CBA" w14:paraId="150068E5" w14:textId="77777777" w:rsidTr="00A74C68">
        <w:trPr>
          <w:divId w:val="940987148"/>
          <w:trHeight w:val="227"/>
        </w:trPr>
        <w:tc>
          <w:tcPr>
            <w:tcW w:w="3852" w:type="pct"/>
            <w:tcBorders>
              <w:top w:val="nil"/>
              <w:left w:val="nil"/>
              <w:bottom w:val="nil"/>
              <w:right w:val="nil"/>
            </w:tcBorders>
            <w:vAlign w:val="bottom"/>
            <w:hideMark/>
          </w:tcPr>
          <w:p w14:paraId="7311DECB" w14:textId="77777777" w:rsidR="00A74C68" w:rsidRPr="00471CBA" w:rsidRDefault="00A74C68" w:rsidP="00A74C68">
            <w:pPr>
              <w:jc w:val="center"/>
              <w:rPr>
                <w:b/>
                <w:bCs/>
                <w:color w:val="000000"/>
                <w:szCs w:val="20"/>
              </w:rPr>
            </w:pPr>
          </w:p>
        </w:tc>
        <w:tc>
          <w:tcPr>
            <w:tcW w:w="1148" w:type="pct"/>
            <w:tcBorders>
              <w:top w:val="nil"/>
              <w:left w:val="nil"/>
              <w:bottom w:val="nil"/>
              <w:right w:val="nil"/>
            </w:tcBorders>
            <w:noWrap/>
            <w:vAlign w:val="bottom"/>
            <w:hideMark/>
          </w:tcPr>
          <w:p w14:paraId="0F9CFF72" w14:textId="77777777" w:rsidR="00A74C68" w:rsidRPr="00471CBA" w:rsidRDefault="00A74C68" w:rsidP="00A74C68">
            <w:pPr>
              <w:jc w:val="right"/>
              <w:rPr>
                <w:szCs w:val="20"/>
              </w:rPr>
            </w:pPr>
          </w:p>
        </w:tc>
      </w:tr>
      <w:tr w:rsidR="00A74C68" w:rsidRPr="00471CBA" w14:paraId="2C78EEF2" w14:textId="77777777" w:rsidTr="00A74C68">
        <w:trPr>
          <w:divId w:val="940987148"/>
          <w:trHeight w:val="227"/>
        </w:trPr>
        <w:tc>
          <w:tcPr>
            <w:tcW w:w="3852" w:type="pct"/>
            <w:tcBorders>
              <w:top w:val="nil"/>
              <w:left w:val="nil"/>
              <w:bottom w:val="nil"/>
              <w:right w:val="nil"/>
            </w:tcBorders>
            <w:vAlign w:val="bottom"/>
            <w:hideMark/>
          </w:tcPr>
          <w:p w14:paraId="4BC4E0AC" w14:textId="77777777" w:rsidR="00A74C68" w:rsidRPr="00471CBA" w:rsidRDefault="00A74C68" w:rsidP="00A74C68">
            <w:pPr>
              <w:jc w:val="both"/>
              <w:rPr>
                <w:color w:val="000000"/>
                <w:szCs w:val="20"/>
              </w:rPr>
            </w:pPr>
            <w:r w:rsidRPr="00471CBA">
              <w:rPr>
                <w:color w:val="000000"/>
                <w:szCs w:val="20"/>
              </w:rPr>
              <w:t>Yurtiçi Krediler</w:t>
            </w:r>
          </w:p>
        </w:tc>
        <w:tc>
          <w:tcPr>
            <w:tcW w:w="1148" w:type="pct"/>
            <w:tcBorders>
              <w:top w:val="nil"/>
              <w:left w:val="nil"/>
              <w:bottom w:val="nil"/>
              <w:right w:val="nil"/>
            </w:tcBorders>
            <w:vAlign w:val="center"/>
            <w:hideMark/>
          </w:tcPr>
          <w:p w14:paraId="5AEC0B43" w14:textId="77777777" w:rsidR="00A74C68" w:rsidRPr="00471CBA" w:rsidRDefault="00A74C68" w:rsidP="00A74C68">
            <w:pPr>
              <w:jc w:val="right"/>
              <w:rPr>
                <w:color w:val="000000"/>
                <w:szCs w:val="20"/>
              </w:rPr>
            </w:pPr>
            <w:r w:rsidRPr="00471CBA">
              <w:rPr>
                <w:color w:val="000000"/>
                <w:szCs w:val="20"/>
              </w:rPr>
              <w:t>51.253.313</w:t>
            </w:r>
          </w:p>
        </w:tc>
      </w:tr>
      <w:tr w:rsidR="00A74C68" w:rsidRPr="00471CBA" w14:paraId="12BCCB56" w14:textId="77777777" w:rsidTr="00A74C68">
        <w:trPr>
          <w:divId w:val="940987148"/>
          <w:trHeight w:val="227"/>
        </w:trPr>
        <w:tc>
          <w:tcPr>
            <w:tcW w:w="3852" w:type="pct"/>
            <w:tcBorders>
              <w:top w:val="nil"/>
              <w:left w:val="nil"/>
              <w:bottom w:val="single" w:sz="4" w:space="0" w:color="auto"/>
              <w:right w:val="nil"/>
            </w:tcBorders>
            <w:vAlign w:val="bottom"/>
            <w:hideMark/>
          </w:tcPr>
          <w:p w14:paraId="36737914" w14:textId="77777777" w:rsidR="00A74C68" w:rsidRPr="00471CBA" w:rsidRDefault="00A74C68" w:rsidP="00A74C68">
            <w:pPr>
              <w:jc w:val="both"/>
              <w:rPr>
                <w:color w:val="000000"/>
                <w:szCs w:val="20"/>
              </w:rPr>
            </w:pPr>
            <w:r w:rsidRPr="00471CBA">
              <w:rPr>
                <w:color w:val="000000"/>
                <w:szCs w:val="20"/>
              </w:rPr>
              <w:t>Yurtdışı Krediler</w:t>
            </w:r>
          </w:p>
        </w:tc>
        <w:tc>
          <w:tcPr>
            <w:tcW w:w="1148" w:type="pct"/>
            <w:tcBorders>
              <w:top w:val="nil"/>
              <w:left w:val="nil"/>
              <w:bottom w:val="single" w:sz="4" w:space="0" w:color="auto"/>
              <w:right w:val="nil"/>
            </w:tcBorders>
            <w:vAlign w:val="center"/>
            <w:hideMark/>
          </w:tcPr>
          <w:p w14:paraId="06F8D2D4" w14:textId="77777777" w:rsidR="00A74C68" w:rsidRPr="00471CBA" w:rsidRDefault="00A74C68" w:rsidP="00A74C68">
            <w:pPr>
              <w:jc w:val="right"/>
              <w:rPr>
                <w:color w:val="000000"/>
                <w:szCs w:val="20"/>
              </w:rPr>
            </w:pPr>
            <w:r w:rsidRPr="00471CBA">
              <w:rPr>
                <w:color w:val="000000"/>
                <w:szCs w:val="20"/>
              </w:rPr>
              <w:t>616.331</w:t>
            </w:r>
          </w:p>
        </w:tc>
      </w:tr>
      <w:tr w:rsidR="00A74C68" w:rsidRPr="00471CBA" w14:paraId="66D6700F" w14:textId="77777777" w:rsidTr="00A74C68">
        <w:trPr>
          <w:divId w:val="940987148"/>
          <w:trHeight w:val="227"/>
        </w:trPr>
        <w:tc>
          <w:tcPr>
            <w:tcW w:w="3852" w:type="pct"/>
            <w:tcBorders>
              <w:top w:val="nil"/>
              <w:left w:val="nil"/>
              <w:right w:val="nil"/>
            </w:tcBorders>
            <w:vAlign w:val="bottom"/>
            <w:hideMark/>
          </w:tcPr>
          <w:p w14:paraId="6FD15E2F" w14:textId="77777777" w:rsidR="00A74C68" w:rsidRPr="00471CBA" w:rsidRDefault="00A74C68" w:rsidP="00A74C68">
            <w:pPr>
              <w:jc w:val="right"/>
              <w:rPr>
                <w:color w:val="000000"/>
                <w:szCs w:val="20"/>
              </w:rPr>
            </w:pPr>
          </w:p>
        </w:tc>
        <w:tc>
          <w:tcPr>
            <w:tcW w:w="1148" w:type="pct"/>
            <w:tcBorders>
              <w:top w:val="nil"/>
              <w:left w:val="nil"/>
              <w:right w:val="nil"/>
            </w:tcBorders>
            <w:vAlign w:val="center"/>
            <w:hideMark/>
          </w:tcPr>
          <w:p w14:paraId="4E1716E7" w14:textId="77777777" w:rsidR="00A74C68" w:rsidRPr="00471CBA" w:rsidRDefault="00A74C68" w:rsidP="00A74C68">
            <w:pPr>
              <w:jc w:val="right"/>
              <w:rPr>
                <w:szCs w:val="20"/>
              </w:rPr>
            </w:pPr>
          </w:p>
        </w:tc>
      </w:tr>
      <w:tr w:rsidR="00A74C68" w:rsidRPr="00471CBA" w14:paraId="109B48FB" w14:textId="77777777" w:rsidTr="00A74C68">
        <w:trPr>
          <w:divId w:val="940987148"/>
          <w:trHeight w:val="227"/>
        </w:trPr>
        <w:tc>
          <w:tcPr>
            <w:tcW w:w="3852" w:type="pct"/>
            <w:tcBorders>
              <w:top w:val="nil"/>
              <w:left w:val="nil"/>
              <w:bottom w:val="single" w:sz="4" w:space="0" w:color="auto"/>
              <w:right w:val="nil"/>
            </w:tcBorders>
            <w:vAlign w:val="bottom"/>
            <w:hideMark/>
          </w:tcPr>
          <w:p w14:paraId="4B95EEFA" w14:textId="77777777" w:rsidR="00A74C68" w:rsidRPr="00471CBA" w:rsidRDefault="00A74C68" w:rsidP="00A74C68">
            <w:pPr>
              <w:jc w:val="both"/>
              <w:rPr>
                <w:b/>
                <w:bCs/>
                <w:color w:val="000000"/>
                <w:szCs w:val="20"/>
              </w:rPr>
            </w:pPr>
            <w:r w:rsidRPr="00471CBA">
              <w:rPr>
                <w:b/>
                <w:bCs/>
                <w:color w:val="000000"/>
                <w:szCs w:val="20"/>
              </w:rPr>
              <w:t xml:space="preserve">Toplam </w:t>
            </w:r>
          </w:p>
        </w:tc>
        <w:tc>
          <w:tcPr>
            <w:tcW w:w="1148" w:type="pct"/>
            <w:tcBorders>
              <w:top w:val="nil"/>
              <w:left w:val="nil"/>
              <w:bottom w:val="single" w:sz="4" w:space="0" w:color="auto"/>
              <w:right w:val="nil"/>
            </w:tcBorders>
            <w:vAlign w:val="center"/>
            <w:hideMark/>
          </w:tcPr>
          <w:p w14:paraId="51FDCC81" w14:textId="77777777" w:rsidR="00A74C68" w:rsidRPr="00471CBA" w:rsidRDefault="00A74C68" w:rsidP="00A74C68">
            <w:pPr>
              <w:jc w:val="right"/>
              <w:rPr>
                <w:b/>
                <w:bCs/>
                <w:color w:val="000000"/>
                <w:szCs w:val="20"/>
              </w:rPr>
            </w:pPr>
            <w:r w:rsidRPr="00471CBA">
              <w:rPr>
                <w:b/>
                <w:bCs/>
                <w:color w:val="000000"/>
                <w:szCs w:val="20"/>
              </w:rPr>
              <w:t>51.869.644</w:t>
            </w:r>
          </w:p>
        </w:tc>
      </w:tr>
    </w:tbl>
    <w:p w14:paraId="6BED13AA" w14:textId="7AD2901C" w:rsidR="00314609" w:rsidRPr="00471CBA" w:rsidRDefault="00314609" w:rsidP="00314609">
      <w:pPr>
        <w:widowControl w:val="0"/>
        <w:ind w:left="851"/>
        <w:jc w:val="both"/>
        <w:rPr>
          <w:szCs w:val="20"/>
        </w:rPr>
      </w:pPr>
    </w:p>
    <w:tbl>
      <w:tblPr>
        <w:tblW w:w="5000" w:type="pct"/>
        <w:tblCellMar>
          <w:left w:w="70" w:type="dxa"/>
          <w:right w:w="70" w:type="dxa"/>
        </w:tblCellMar>
        <w:tblLook w:val="04A0" w:firstRow="1" w:lastRow="0" w:firstColumn="1" w:lastColumn="0" w:noHBand="0" w:noVBand="1"/>
      </w:tblPr>
      <w:tblGrid>
        <w:gridCol w:w="7347"/>
        <w:gridCol w:w="2008"/>
      </w:tblGrid>
      <w:tr w:rsidR="00204442" w:rsidRPr="00471CBA" w14:paraId="42F82D2B" w14:textId="77777777" w:rsidTr="001D0E99">
        <w:trPr>
          <w:trHeight w:val="227"/>
        </w:trPr>
        <w:tc>
          <w:tcPr>
            <w:tcW w:w="3927" w:type="pct"/>
            <w:tcBorders>
              <w:top w:val="nil"/>
              <w:left w:val="nil"/>
              <w:bottom w:val="nil"/>
              <w:right w:val="nil"/>
            </w:tcBorders>
            <w:vAlign w:val="bottom"/>
            <w:hideMark/>
          </w:tcPr>
          <w:p w14:paraId="7E7A4A47" w14:textId="77777777" w:rsidR="00204442" w:rsidRPr="00471CBA" w:rsidRDefault="00204442" w:rsidP="003B2BBE">
            <w:pPr>
              <w:jc w:val="center"/>
              <w:rPr>
                <w:szCs w:val="20"/>
              </w:rPr>
            </w:pPr>
            <w:bookmarkStart w:id="99" w:name="_Hlk189572380"/>
          </w:p>
        </w:tc>
        <w:tc>
          <w:tcPr>
            <w:tcW w:w="1073" w:type="pct"/>
            <w:tcBorders>
              <w:top w:val="nil"/>
              <w:left w:val="nil"/>
              <w:bottom w:val="single" w:sz="4" w:space="0" w:color="auto"/>
              <w:right w:val="nil"/>
            </w:tcBorders>
            <w:noWrap/>
            <w:vAlign w:val="center"/>
            <w:hideMark/>
          </w:tcPr>
          <w:p w14:paraId="3EBBBAC0" w14:textId="77777777" w:rsidR="00204442" w:rsidRPr="00471CBA" w:rsidRDefault="00204442" w:rsidP="000E5DAA">
            <w:pPr>
              <w:jc w:val="right"/>
              <w:rPr>
                <w:b/>
                <w:bCs/>
                <w:color w:val="000000"/>
                <w:szCs w:val="20"/>
                <w:lang w:eastAsia="tr-TR"/>
              </w:rPr>
            </w:pPr>
            <w:r w:rsidRPr="00471CBA">
              <w:rPr>
                <w:b/>
                <w:bCs/>
                <w:color w:val="000000"/>
                <w:szCs w:val="20"/>
                <w:lang w:eastAsia="tr-TR"/>
              </w:rPr>
              <w:t>31 Aralık 2024</w:t>
            </w:r>
          </w:p>
        </w:tc>
      </w:tr>
      <w:tr w:rsidR="00204442" w:rsidRPr="00471CBA" w14:paraId="4836E934" w14:textId="77777777" w:rsidTr="001D0E99">
        <w:trPr>
          <w:trHeight w:val="227"/>
        </w:trPr>
        <w:tc>
          <w:tcPr>
            <w:tcW w:w="3927" w:type="pct"/>
            <w:tcBorders>
              <w:top w:val="nil"/>
              <w:left w:val="nil"/>
              <w:bottom w:val="nil"/>
              <w:right w:val="nil"/>
            </w:tcBorders>
            <w:vAlign w:val="bottom"/>
            <w:hideMark/>
          </w:tcPr>
          <w:p w14:paraId="45E9A728" w14:textId="77777777" w:rsidR="00204442" w:rsidRPr="00471CBA" w:rsidRDefault="00204442" w:rsidP="003B2BBE">
            <w:pPr>
              <w:jc w:val="center"/>
              <w:rPr>
                <w:b/>
                <w:bCs/>
                <w:color w:val="000000"/>
                <w:szCs w:val="20"/>
              </w:rPr>
            </w:pPr>
          </w:p>
        </w:tc>
        <w:tc>
          <w:tcPr>
            <w:tcW w:w="1073" w:type="pct"/>
            <w:tcBorders>
              <w:top w:val="nil"/>
              <w:left w:val="nil"/>
              <w:bottom w:val="nil"/>
              <w:right w:val="nil"/>
            </w:tcBorders>
            <w:noWrap/>
            <w:vAlign w:val="bottom"/>
            <w:hideMark/>
          </w:tcPr>
          <w:p w14:paraId="3CA2AF96" w14:textId="77777777" w:rsidR="00204442" w:rsidRPr="00471CBA" w:rsidRDefault="00204442" w:rsidP="003B2BBE">
            <w:pPr>
              <w:rPr>
                <w:szCs w:val="20"/>
                <w:lang w:eastAsia="tr-TR"/>
              </w:rPr>
            </w:pPr>
          </w:p>
        </w:tc>
      </w:tr>
      <w:tr w:rsidR="00204442" w:rsidRPr="00471CBA" w14:paraId="5F15260F" w14:textId="77777777" w:rsidTr="001D0E99">
        <w:trPr>
          <w:trHeight w:val="227"/>
        </w:trPr>
        <w:tc>
          <w:tcPr>
            <w:tcW w:w="3927" w:type="pct"/>
            <w:tcBorders>
              <w:top w:val="nil"/>
              <w:left w:val="nil"/>
              <w:bottom w:val="nil"/>
              <w:right w:val="nil"/>
            </w:tcBorders>
            <w:vAlign w:val="bottom"/>
            <w:hideMark/>
          </w:tcPr>
          <w:p w14:paraId="7D9D5650" w14:textId="77777777" w:rsidR="00204442" w:rsidRPr="00471CBA" w:rsidRDefault="00204442" w:rsidP="003B2BBE">
            <w:pPr>
              <w:jc w:val="both"/>
              <w:rPr>
                <w:color w:val="000000"/>
                <w:szCs w:val="20"/>
              </w:rPr>
            </w:pPr>
            <w:r w:rsidRPr="00471CBA">
              <w:rPr>
                <w:color w:val="000000"/>
                <w:szCs w:val="20"/>
              </w:rPr>
              <w:t>Yurtiçi Krediler</w:t>
            </w:r>
          </w:p>
        </w:tc>
        <w:tc>
          <w:tcPr>
            <w:tcW w:w="1073" w:type="pct"/>
            <w:tcBorders>
              <w:top w:val="nil"/>
              <w:left w:val="nil"/>
              <w:bottom w:val="nil"/>
              <w:right w:val="nil"/>
            </w:tcBorders>
            <w:vAlign w:val="center"/>
            <w:hideMark/>
          </w:tcPr>
          <w:p w14:paraId="1D7CFD7B" w14:textId="77777777" w:rsidR="00204442" w:rsidRPr="00471CBA" w:rsidRDefault="00204442" w:rsidP="003B2BBE">
            <w:pPr>
              <w:jc w:val="right"/>
              <w:rPr>
                <w:color w:val="000000"/>
                <w:szCs w:val="20"/>
                <w:lang w:eastAsia="tr-TR"/>
              </w:rPr>
            </w:pPr>
            <w:r w:rsidRPr="00471CBA">
              <w:rPr>
                <w:color w:val="000000"/>
                <w:szCs w:val="20"/>
                <w:lang w:eastAsia="tr-TR"/>
              </w:rPr>
              <w:t>22.951.448</w:t>
            </w:r>
          </w:p>
        </w:tc>
      </w:tr>
      <w:tr w:rsidR="00204442" w:rsidRPr="00471CBA" w14:paraId="552DEFA4" w14:textId="77777777" w:rsidTr="001D0E99">
        <w:trPr>
          <w:trHeight w:val="227"/>
        </w:trPr>
        <w:tc>
          <w:tcPr>
            <w:tcW w:w="3927" w:type="pct"/>
            <w:tcBorders>
              <w:top w:val="nil"/>
              <w:left w:val="nil"/>
              <w:bottom w:val="single" w:sz="4" w:space="0" w:color="auto"/>
              <w:right w:val="nil"/>
            </w:tcBorders>
            <w:vAlign w:val="bottom"/>
            <w:hideMark/>
          </w:tcPr>
          <w:p w14:paraId="4961E723" w14:textId="77777777" w:rsidR="00204442" w:rsidRPr="00471CBA" w:rsidRDefault="00204442" w:rsidP="003B2BBE">
            <w:pPr>
              <w:jc w:val="both"/>
              <w:rPr>
                <w:color w:val="000000"/>
                <w:szCs w:val="20"/>
              </w:rPr>
            </w:pPr>
            <w:r w:rsidRPr="00471CBA">
              <w:rPr>
                <w:color w:val="000000"/>
                <w:szCs w:val="20"/>
              </w:rPr>
              <w:t>Yurtdışı Krediler</w:t>
            </w:r>
          </w:p>
        </w:tc>
        <w:tc>
          <w:tcPr>
            <w:tcW w:w="1073" w:type="pct"/>
            <w:tcBorders>
              <w:top w:val="nil"/>
              <w:left w:val="nil"/>
              <w:bottom w:val="single" w:sz="4" w:space="0" w:color="auto"/>
              <w:right w:val="nil"/>
            </w:tcBorders>
            <w:vAlign w:val="center"/>
            <w:hideMark/>
          </w:tcPr>
          <w:p w14:paraId="611DF431" w14:textId="77777777" w:rsidR="00204442" w:rsidRPr="00471CBA" w:rsidRDefault="00204442" w:rsidP="003B2BBE">
            <w:pPr>
              <w:jc w:val="right"/>
              <w:rPr>
                <w:color w:val="000000"/>
                <w:szCs w:val="20"/>
                <w:lang w:eastAsia="tr-TR"/>
              </w:rPr>
            </w:pPr>
            <w:r w:rsidRPr="00471CBA">
              <w:rPr>
                <w:color w:val="000000"/>
                <w:szCs w:val="20"/>
                <w:lang w:eastAsia="tr-TR"/>
              </w:rPr>
              <w:t>78.011</w:t>
            </w:r>
          </w:p>
        </w:tc>
      </w:tr>
      <w:tr w:rsidR="00204442" w:rsidRPr="00471CBA" w14:paraId="7E38A2A0" w14:textId="77777777" w:rsidTr="001D0E99">
        <w:trPr>
          <w:trHeight w:val="227"/>
        </w:trPr>
        <w:tc>
          <w:tcPr>
            <w:tcW w:w="3927" w:type="pct"/>
            <w:tcBorders>
              <w:top w:val="nil"/>
              <w:left w:val="nil"/>
              <w:right w:val="nil"/>
            </w:tcBorders>
            <w:vAlign w:val="bottom"/>
            <w:hideMark/>
          </w:tcPr>
          <w:p w14:paraId="5E4F395F" w14:textId="77777777" w:rsidR="00204442" w:rsidRPr="00471CBA" w:rsidRDefault="00204442" w:rsidP="003B2BBE">
            <w:pPr>
              <w:jc w:val="right"/>
              <w:rPr>
                <w:color w:val="000000"/>
                <w:szCs w:val="20"/>
              </w:rPr>
            </w:pPr>
          </w:p>
        </w:tc>
        <w:tc>
          <w:tcPr>
            <w:tcW w:w="1073" w:type="pct"/>
            <w:tcBorders>
              <w:top w:val="nil"/>
              <w:left w:val="nil"/>
              <w:right w:val="nil"/>
            </w:tcBorders>
            <w:vAlign w:val="center"/>
            <w:hideMark/>
          </w:tcPr>
          <w:p w14:paraId="0D973E2B" w14:textId="77777777" w:rsidR="00204442" w:rsidRPr="00471CBA" w:rsidRDefault="00204442" w:rsidP="003B2BBE">
            <w:pPr>
              <w:jc w:val="right"/>
              <w:rPr>
                <w:szCs w:val="20"/>
                <w:lang w:eastAsia="tr-TR"/>
              </w:rPr>
            </w:pPr>
          </w:p>
        </w:tc>
      </w:tr>
      <w:tr w:rsidR="00204442" w:rsidRPr="00471CBA" w14:paraId="4256664D" w14:textId="77777777" w:rsidTr="001D0E99">
        <w:trPr>
          <w:trHeight w:val="227"/>
        </w:trPr>
        <w:tc>
          <w:tcPr>
            <w:tcW w:w="3927" w:type="pct"/>
            <w:tcBorders>
              <w:top w:val="nil"/>
              <w:left w:val="nil"/>
              <w:bottom w:val="single" w:sz="4" w:space="0" w:color="auto"/>
              <w:right w:val="nil"/>
            </w:tcBorders>
            <w:vAlign w:val="bottom"/>
            <w:hideMark/>
          </w:tcPr>
          <w:p w14:paraId="5DC3DE5E" w14:textId="77777777" w:rsidR="00204442" w:rsidRPr="00471CBA" w:rsidRDefault="00204442" w:rsidP="003B2BBE">
            <w:pPr>
              <w:jc w:val="both"/>
              <w:rPr>
                <w:b/>
                <w:bCs/>
                <w:color w:val="000000"/>
                <w:szCs w:val="20"/>
              </w:rPr>
            </w:pPr>
            <w:r w:rsidRPr="00471CBA">
              <w:rPr>
                <w:b/>
                <w:bCs/>
                <w:color w:val="000000"/>
                <w:szCs w:val="20"/>
              </w:rPr>
              <w:t xml:space="preserve">Toplam </w:t>
            </w:r>
          </w:p>
        </w:tc>
        <w:tc>
          <w:tcPr>
            <w:tcW w:w="1073" w:type="pct"/>
            <w:tcBorders>
              <w:top w:val="nil"/>
              <w:left w:val="nil"/>
              <w:bottom w:val="single" w:sz="4" w:space="0" w:color="auto"/>
              <w:right w:val="nil"/>
            </w:tcBorders>
            <w:vAlign w:val="center"/>
            <w:hideMark/>
          </w:tcPr>
          <w:p w14:paraId="4FE2940C" w14:textId="77777777" w:rsidR="00204442" w:rsidRPr="00471CBA" w:rsidRDefault="00204442" w:rsidP="003B2BBE">
            <w:pPr>
              <w:jc w:val="right"/>
              <w:rPr>
                <w:b/>
                <w:bCs/>
                <w:color w:val="000000"/>
                <w:szCs w:val="20"/>
                <w:lang w:eastAsia="tr-TR"/>
              </w:rPr>
            </w:pPr>
            <w:r w:rsidRPr="00471CBA">
              <w:rPr>
                <w:b/>
                <w:bCs/>
                <w:color w:val="000000"/>
                <w:szCs w:val="20"/>
                <w:lang w:eastAsia="tr-TR"/>
              </w:rPr>
              <w:t>23.029.459</w:t>
            </w:r>
          </w:p>
        </w:tc>
      </w:tr>
      <w:bookmarkEnd w:id="99"/>
    </w:tbl>
    <w:p w14:paraId="2CF696AD" w14:textId="77777777" w:rsidR="00660A09" w:rsidRPr="00471CBA" w:rsidRDefault="00660A09" w:rsidP="00471069">
      <w:pPr>
        <w:widowControl w:val="0"/>
        <w:autoSpaceDE w:val="0"/>
        <w:autoSpaceDN w:val="0"/>
        <w:adjustRightInd w:val="0"/>
        <w:ind w:left="851"/>
        <w:rPr>
          <w:szCs w:val="20"/>
        </w:rPr>
      </w:pPr>
    </w:p>
    <w:p w14:paraId="7680EB36" w14:textId="77777777" w:rsidR="00660A09" w:rsidRPr="00471CBA" w:rsidRDefault="00660A09" w:rsidP="008459A9">
      <w:pPr>
        <w:pStyle w:val="GvdeMetniGirintisi"/>
        <w:widowControl w:val="0"/>
        <w:numPr>
          <w:ilvl w:val="0"/>
          <w:numId w:val="78"/>
        </w:numPr>
        <w:ind w:left="567" w:hanging="570"/>
        <w:rPr>
          <w:b/>
          <w:szCs w:val="20"/>
        </w:rPr>
      </w:pPr>
      <w:r w:rsidRPr="00471CBA">
        <w:rPr>
          <w:b/>
          <w:szCs w:val="20"/>
        </w:rPr>
        <w:t xml:space="preserve">Bağlı ortaklık ve iştiraklere verilen krediler: </w:t>
      </w:r>
    </w:p>
    <w:p w14:paraId="79C0DA3A" w14:textId="77777777" w:rsidR="00660A09" w:rsidRPr="00471CBA" w:rsidRDefault="00660A09" w:rsidP="00471069">
      <w:pPr>
        <w:widowControl w:val="0"/>
        <w:autoSpaceDE w:val="0"/>
        <w:autoSpaceDN w:val="0"/>
        <w:adjustRightInd w:val="0"/>
        <w:ind w:left="851"/>
        <w:rPr>
          <w:szCs w:val="20"/>
        </w:rPr>
      </w:pPr>
    </w:p>
    <w:p w14:paraId="78BDF526" w14:textId="10B4CFDF" w:rsidR="00660A09" w:rsidRPr="00471CBA" w:rsidRDefault="001C3412" w:rsidP="00471069">
      <w:pPr>
        <w:widowControl w:val="0"/>
        <w:ind w:left="851"/>
        <w:rPr>
          <w:bCs/>
          <w:szCs w:val="20"/>
        </w:rPr>
      </w:pPr>
      <w:r w:rsidRPr="00471CBA">
        <w:rPr>
          <w:bCs/>
          <w:szCs w:val="20"/>
        </w:rPr>
        <w:t>B</w:t>
      </w:r>
      <w:r w:rsidR="00660A09" w:rsidRPr="00471CBA">
        <w:rPr>
          <w:bCs/>
          <w:szCs w:val="20"/>
        </w:rPr>
        <w:t>ulunmamaktadır</w:t>
      </w:r>
      <w:r w:rsidR="00AF526A" w:rsidRPr="00471CBA">
        <w:rPr>
          <w:bCs/>
          <w:szCs w:val="20"/>
        </w:rPr>
        <w:t xml:space="preserve"> (</w:t>
      </w:r>
      <w:r w:rsidR="00C005C7" w:rsidRPr="00471CBA">
        <w:rPr>
          <w:bCs/>
          <w:szCs w:val="20"/>
        </w:rPr>
        <w:t>3</w:t>
      </w:r>
      <w:r w:rsidR="00AF526A" w:rsidRPr="00471CBA">
        <w:rPr>
          <w:bCs/>
          <w:szCs w:val="20"/>
        </w:rPr>
        <w:t xml:space="preserve">1 </w:t>
      </w:r>
      <w:r w:rsidR="00C005C7" w:rsidRPr="00471CBA">
        <w:rPr>
          <w:bCs/>
          <w:szCs w:val="20"/>
        </w:rPr>
        <w:t>Aralık</w:t>
      </w:r>
      <w:r w:rsidR="00AF526A" w:rsidRPr="00471CBA">
        <w:rPr>
          <w:bCs/>
          <w:szCs w:val="20"/>
        </w:rPr>
        <w:t xml:space="preserve"> 2024: Bulunmamaktadır).</w:t>
      </w:r>
    </w:p>
    <w:p w14:paraId="03974C2C" w14:textId="77777777" w:rsidR="00A01415" w:rsidRPr="00471CBA" w:rsidRDefault="00A01415" w:rsidP="00471069">
      <w:pPr>
        <w:widowControl w:val="0"/>
        <w:ind w:left="851"/>
        <w:rPr>
          <w:bCs/>
          <w:szCs w:val="20"/>
        </w:rPr>
      </w:pPr>
    </w:p>
    <w:p w14:paraId="3D71AE2D" w14:textId="3BA83CA5" w:rsidR="00385379" w:rsidRPr="00471CBA" w:rsidRDefault="00385379" w:rsidP="008459A9">
      <w:pPr>
        <w:pStyle w:val="GvdeMetniGirintisi"/>
        <w:widowControl w:val="0"/>
        <w:numPr>
          <w:ilvl w:val="0"/>
          <w:numId w:val="78"/>
        </w:numPr>
        <w:ind w:left="567" w:hanging="570"/>
        <w:rPr>
          <w:b/>
          <w:szCs w:val="20"/>
        </w:rPr>
      </w:pPr>
      <w:r w:rsidRPr="00471CBA">
        <w:rPr>
          <w:b/>
          <w:szCs w:val="20"/>
        </w:rPr>
        <w:t>Kredilere ilişkin olarak ayrılan özel karşılıklar veya temerrüt (Üçüncü Aşama) karşılıkları:</w:t>
      </w:r>
    </w:p>
    <w:p w14:paraId="7FB18449" w14:textId="2566FBB2" w:rsidR="00A74C68" w:rsidRPr="00471CBA" w:rsidRDefault="00A74C68" w:rsidP="00A74C68">
      <w:pPr>
        <w:pStyle w:val="GvdeMetniGirintisi"/>
        <w:spacing w:line="230" w:lineRule="auto"/>
        <w:ind w:left="-601" w:firstLine="0"/>
      </w:pPr>
    </w:p>
    <w:tbl>
      <w:tblPr>
        <w:tblW w:w="9628" w:type="dxa"/>
        <w:tblCellMar>
          <w:left w:w="70" w:type="dxa"/>
          <w:right w:w="70" w:type="dxa"/>
        </w:tblCellMar>
        <w:tblLook w:val="04A0" w:firstRow="1" w:lastRow="0" w:firstColumn="1" w:lastColumn="0" w:noHBand="0" w:noVBand="1"/>
      </w:tblPr>
      <w:tblGrid>
        <w:gridCol w:w="7507"/>
        <w:gridCol w:w="2121"/>
      </w:tblGrid>
      <w:tr w:rsidR="00A74C68" w:rsidRPr="00471CBA" w14:paraId="15C29113" w14:textId="77777777" w:rsidTr="00A74C68">
        <w:trPr>
          <w:divId w:val="613293469"/>
          <w:trHeight w:val="227"/>
        </w:trPr>
        <w:tc>
          <w:tcPr>
            <w:tcW w:w="6068" w:type="dxa"/>
            <w:tcBorders>
              <w:top w:val="nil"/>
              <w:left w:val="nil"/>
              <w:bottom w:val="nil"/>
              <w:right w:val="nil"/>
            </w:tcBorders>
            <w:vAlign w:val="bottom"/>
            <w:hideMark/>
          </w:tcPr>
          <w:p w14:paraId="100D5912" w14:textId="3410B30B" w:rsidR="00A74C68" w:rsidRPr="00471CBA" w:rsidRDefault="00A74C68" w:rsidP="00A74C68">
            <w:pPr>
              <w:jc w:val="both"/>
              <w:rPr>
                <w:b/>
                <w:bCs/>
                <w:color w:val="000000"/>
                <w:szCs w:val="20"/>
                <w:lang w:eastAsia="tr-TR"/>
              </w:rPr>
            </w:pPr>
            <w:r w:rsidRPr="00471CBA">
              <w:rPr>
                <w:b/>
                <w:bCs/>
                <w:color w:val="000000"/>
                <w:szCs w:val="20"/>
                <w:lang w:eastAsia="tr-TR"/>
              </w:rPr>
              <w:t> </w:t>
            </w:r>
          </w:p>
        </w:tc>
        <w:tc>
          <w:tcPr>
            <w:tcW w:w="1714" w:type="dxa"/>
            <w:tcBorders>
              <w:top w:val="nil"/>
              <w:left w:val="nil"/>
              <w:bottom w:val="single" w:sz="4" w:space="0" w:color="auto"/>
              <w:right w:val="nil"/>
            </w:tcBorders>
            <w:noWrap/>
            <w:vAlign w:val="center"/>
            <w:hideMark/>
          </w:tcPr>
          <w:p w14:paraId="6B1EC042" w14:textId="77777777" w:rsidR="00A74C68" w:rsidRPr="00471CBA" w:rsidRDefault="00A74C68" w:rsidP="00A74C68">
            <w:pPr>
              <w:jc w:val="right"/>
              <w:rPr>
                <w:b/>
                <w:bCs/>
                <w:color w:val="000000"/>
                <w:szCs w:val="20"/>
                <w:lang w:eastAsia="tr-TR"/>
              </w:rPr>
            </w:pPr>
            <w:r w:rsidRPr="00471CBA">
              <w:rPr>
                <w:b/>
                <w:bCs/>
                <w:color w:val="000000"/>
                <w:szCs w:val="20"/>
                <w:lang w:eastAsia="tr-TR"/>
              </w:rPr>
              <w:t>31 Aralık 2025</w:t>
            </w:r>
          </w:p>
        </w:tc>
      </w:tr>
      <w:tr w:rsidR="00A74C68" w:rsidRPr="00471CBA" w14:paraId="04247CCC" w14:textId="77777777" w:rsidTr="00A74C68">
        <w:trPr>
          <w:divId w:val="613293469"/>
          <w:trHeight w:val="227"/>
        </w:trPr>
        <w:tc>
          <w:tcPr>
            <w:tcW w:w="6068" w:type="dxa"/>
            <w:tcBorders>
              <w:top w:val="nil"/>
              <w:left w:val="nil"/>
              <w:bottom w:val="nil"/>
              <w:right w:val="nil"/>
            </w:tcBorders>
            <w:vAlign w:val="bottom"/>
            <w:hideMark/>
          </w:tcPr>
          <w:p w14:paraId="64444B5C" w14:textId="77777777" w:rsidR="00A74C68" w:rsidRPr="00471CBA" w:rsidRDefault="00A74C68" w:rsidP="00A74C68">
            <w:pPr>
              <w:jc w:val="both"/>
              <w:rPr>
                <w:color w:val="000000"/>
                <w:szCs w:val="20"/>
                <w:lang w:eastAsia="tr-TR"/>
              </w:rPr>
            </w:pPr>
            <w:r w:rsidRPr="00471CBA">
              <w:rPr>
                <w:color w:val="000000"/>
                <w:szCs w:val="20"/>
                <w:lang w:eastAsia="tr-TR"/>
              </w:rPr>
              <w:t> </w:t>
            </w:r>
          </w:p>
        </w:tc>
        <w:tc>
          <w:tcPr>
            <w:tcW w:w="1714" w:type="dxa"/>
            <w:tcBorders>
              <w:top w:val="nil"/>
              <w:left w:val="nil"/>
              <w:bottom w:val="nil"/>
              <w:right w:val="nil"/>
            </w:tcBorders>
            <w:hideMark/>
          </w:tcPr>
          <w:p w14:paraId="2B0BF0E0" w14:textId="77777777" w:rsidR="00A74C68" w:rsidRPr="00471CBA" w:rsidRDefault="00A74C68" w:rsidP="00A74C68">
            <w:pPr>
              <w:jc w:val="both"/>
              <w:rPr>
                <w:color w:val="000000"/>
                <w:szCs w:val="20"/>
                <w:lang w:eastAsia="tr-TR"/>
              </w:rPr>
            </w:pPr>
          </w:p>
        </w:tc>
      </w:tr>
      <w:tr w:rsidR="00A74C68" w:rsidRPr="00471CBA" w14:paraId="4B75095A" w14:textId="77777777" w:rsidTr="00A74C68">
        <w:trPr>
          <w:divId w:val="613293469"/>
          <w:trHeight w:val="227"/>
        </w:trPr>
        <w:tc>
          <w:tcPr>
            <w:tcW w:w="6068" w:type="dxa"/>
            <w:tcBorders>
              <w:top w:val="nil"/>
              <w:left w:val="nil"/>
              <w:bottom w:val="nil"/>
              <w:right w:val="nil"/>
            </w:tcBorders>
            <w:vAlign w:val="bottom"/>
            <w:hideMark/>
          </w:tcPr>
          <w:p w14:paraId="06D4532A" w14:textId="77777777" w:rsidR="00A74C68" w:rsidRPr="00471CBA" w:rsidRDefault="00A74C68" w:rsidP="00A74C68">
            <w:pPr>
              <w:rPr>
                <w:color w:val="000000"/>
                <w:szCs w:val="20"/>
                <w:lang w:eastAsia="tr-TR"/>
              </w:rPr>
            </w:pPr>
            <w:r w:rsidRPr="00471CBA">
              <w:rPr>
                <w:color w:val="000000"/>
                <w:szCs w:val="20"/>
                <w:lang w:eastAsia="tr-TR"/>
              </w:rPr>
              <w:t xml:space="preserve">Tahsil </w:t>
            </w:r>
            <w:proofErr w:type="gramStart"/>
            <w:r w:rsidRPr="00471CBA">
              <w:rPr>
                <w:color w:val="000000"/>
                <w:szCs w:val="20"/>
                <w:lang w:eastAsia="tr-TR"/>
              </w:rPr>
              <w:t>İmkanı</w:t>
            </w:r>
            <w:proofErr w:type="gramEnd"/>
            <w:r w:rsidRPr="00471CBA">
              <w:rPr>
                <w:color w:val="000000"/>
                <w:szCs w:val="20"/>
                <w:lang w:eastAsia="tr-TR"/>
              </w:rPr>
              <w:t xml:space="preserve"> Sınırlı Krediler İçin Ayrılanlar </w:t>
            </w:r>
          </w:p>
        </w:tc>
        <w:tc>
          <w:tcPr>
            <w:tcW w:w="1714" w:type="dxa"/>
            <w:tcBorders>
              <w:top w:val="nil"/>
              <w:left w:val="nil"/>
              <w:bottom w:val="nil"/>
              <w:right w:val="nil"/>
            </w:tcBorders>
            <w:vAlign w:val="center"/>
            <w:hideMark/>
          </w:tcPr>
          <w:p w14:paraId="1A871673" w14:textId="77777777" w:rsidR="00A74C68" w:rsidRPr="00471CBA" w:rsidRDefault="00A74C68" w:rsidP="00A74C68">
            <w:pPr>
              <w:jc w:val="right"/>
              <w:rPr>
                <w:color w:val="000000"/>
                <w:szCs w:val="20"/>
                <w:lang w:eastAsia="tr-TR"/>
              </w:rPr>
            </w:pPr>
            <w:r w:rsidRPr="00471CBA">
              <w:rPr>
                <w:color w:val="000000"/>
                <w:szCs w:val="20"/>
                <w:lang w:eastAsia="tr-TR"/>
              </w:rPr>
              <w:t>347.855</w:t>
            </w:r>
          </w:p>
        </w:tc>
      </w:tr>
      <w:tr w:rsidR="00A74C68" w:rsidRPr="00471CBA" w14:paraId="162D21E9" w14:textId="77777777" w:rsidTr="00A74C68">
        <w:trPr>
          <w:divId w:val="613293469"/>
          <w:trHeight w:val="227"/>
        </w:trPr>
        <w:tc>
          <w:tcPr>
            <w:tcW w:w="6068" w:type="dxa"/>
            <w:tcBorders>
              <w:top w:val="nil"/>
              <w:left w:val="nil"/>
              <w:right w:val="nil"/>
            </w:tcBorders>
            <w:vAlign w:val="bottom"/>
            <w:hideMark/>
          </w:tcPr>
          <w:p w14:paraId="63F497C9" w14:textId="77777777" w:rsidR="00A74C68" w:rsidRPr="00471CBA" w:rsidRDefault="00A74C68" w:rsidP="00A74C68">
            <w:pPr>
              <w:rPr>
                <w:color w:val="000000"/>
                <w:szCs w:val="20"/>
                <w:lang w:eastAsia="tr-TR"/>
              </w:rPr>
            </w:pPr>
            <w:r w:rsidRPr="00471CBA">
              <w:rPr>
                <w:color w:val="000000"/>
                <w:szCs w:val="20"/>
                <w:lang w:eastAsia="tr-TR"/>
              </w:rPr>
              <w:t xml:space="preserve">Tahsili Şüpheli Krediler İçin Ayrılanlar </w:t>
            </w:r>
          </w:p>
        </w:tc>
        <w:tc>
          <w:tcPr>
            <w:tcW w:w="1714" w:type="dxa"/>
            <w:tcBorders>
              <w:top w:val="nil"/>
              <w:left w:val="nil"/>
              <w:right w:val="nil"/>
            </w:tcBorders>
            <w:vAlign w:val="center"/>
            <w:hideMark/>
          </w:tcPr>
          <w:p w14:paraId="396FEEE9" w14:textId="77777777" w:rsidR="00A74C68" w:rsidRPr="00471CBA" w:rsidRDefault="00A74C68" w:rsidP="00A74C68">
            <w:pPr>
              <w:jc w:val="right"/>
              <w:rPr>
                <w:color w:val="000000"/>
                <w:szCs w:val="20"/>
                <w:lang w:eastAsia="tr-TR"/>
              </w:rPr>
            </w:pPr>
            <w:r w:rsidRPr="00471CBA">
              <w:rPr>
                <w:color w:val="000000"/>
                <w:szCs w:val="20"/>
                <w:lang w:eastAsia="tr-TR"/>
              </w:rPr>
              <w:t>40.650</w:t>
            </w:r>
          </w:p>
        </w:tc>
      </w:tr>
      <w:tr w:rsidR="00A74C68" w:rsidRPr="00471CBA" w14:paraId="652D7D83" w14:textId="77777777" w:rsidTr="00A74C68">
        <w:trPr>
          <w:divId w:val="613293469"/>
          <w:trHeight w:val="227"/>
        </w:trPr>
        <w:tc>
          <w:tcPr>
            <w:tcW w:w="6068" w:type="dxa"/>
            <w:tcBorders>
              <w:top w:val="nil"/>
              <w:left w:val="nil"/>
              <w:bottom w:val="single" w:sz="4" w:space="0" w:color="auto"/>
              <w:right w:val="nil"/>
            </w:tcBorders>
            <w:vAlign w:val="bottom"/>
            <w:hideMark/>
          </w:tcPr>
          <w:p w14:paraId="5C7AA323" w14:textId="77777777" w:rsidR="00A74C68" w:rsidRPr="00471CBA" w:rsidRDefault="00A74C68" w:rsidP="00A74C68">
            <w:pPr>
              <w:rPr>
                <w:color w:val="000000"/>
                <w:szCs w:val="20"/>
                <w:lang w:eastAsia="tr-TR"/>
              </w:rPr>
            </w:pPr>
            <w:r w:rsidRPr="00471CBA">
              <w:rPr>
                <w:color w:val="000000"/>
                <w:szCs w:val="20"/>
                <w:lang w:eastAsia="tr-TR"/>
              </w:rPr>
              <w:t>Zarar Niteliğindeki Krediler İçin Ayrılanlar</w:t>
            </w:r>
          </w:p>
        </w:tc>
        <w:tc>
          <w:tcPr>
            <w:tcW w:w="1714" w:type="dxa"/>
            <w:tcBorders>
              <w:top w:val="nil"/>
              <w:left w:val="nil"/>
              <w:bottom w:val="single" w:sz="4" w:space="0" w:color="auto"/>
              <w:right w:val="nil"/>
            </w:tcBorders>
            <w:vAlign w:val="center"/>
            <w:hideMark/>
          </w:tcPr>
          <w:p w14:paraId="67D15818" w14:textId="77777777" w:rsidR="00A74C68" w:rsidRPr="00471CBA" w:rsidRDefault="00A74C68" w:rsidP="00A74C68">
            <w:pPr>
              <w:jc w:val="right"/>
              <w:rPr>
                <w:color w:val="000000"/>
                <w:szCs w:val="20"/>
                <w:lang w:eastAsia="tr-TR"/>
              </w:rPr>
            </w:pPr>
            <w:r w:rsidRPr="00471CBA">
              <w:rPr>
                <w:color w:val="000000"/>
                <w:szCs w:val="20"/>
                <w:lang w:eastAsia="tr-TR"/>
              </w:rPr>
              <w:t>-</w:t>
            </w:r>
          </w:p>
        </w:tc>
      </w:tr>
      <w:tr w:rsidR="00A74C68" w:rsidRPr="00471CBA" w14:paraId="15984BB2" w14:textId="77777777" w:rsidTr="00A74C68">
        <w:trPr>
          <w:divId w:val="613293469"/>
          <w:trHeight w:val="227"/>
        </w:trPr>
        <w:tc>
          <w:tcPr>
            <w:tcW w:w="6068" w:type="dxa"/>
            <w:tcBorders>
              <w:top w:val="single" w:sz="4" w:space="0" w:color="auto"/>
              <w:left w:val="nil"/>
              <w:bottom w:val="nil"/>
              <w:right w:val="nil"/>
            </w:tcBorders>
            <w:vAlign w:val="bottom"/>
            <w:hideMark/>
          </w:tcPr>
          <w:p w14:paraId="1D3500E7" w14:textId="77777777" w:rsidR="00A74C68" w:rsidRPr="00471CBA" w:rsidRDefault="00A74C68" w:rsidP="00A74C68">
            <w:pPr>
              <w:jc w:val="both"/>
              <w:rPr>
                <w:color w:val="000000"/>
                <w:szCs w:val="20"/>
                <w:lang w:eastAsia="tr-TR"/>
              </w:rPr>
            </w:pPr>
            <w:r w:rsidRPr="00471CBA">
              <w:rPr>
                <w:color w:val="000000"/>
                <w:szCs w:val="20"/>
                <w:lang w:eastAsia="tr-TR"/>
              </w:rPr>
              <w:t> </w:t>
            </w:r>
          </w:p>
        </w:tc>
        <w:tc>
          <w:tcPr>
            <w:tcW w:w="1714" w:type="dxa"/>
            <w:tcBorders>
              <w:top w:val="single" w:sz="4" w:space="0" w:color="auto"/>
              <w:left w:val="nil"/>
              <w:bottom w:val="nil"/>
              <w:right w:val="nil"/>
            </w:tcBorders>
            <w:vAlign w:val="center"/>
            <w:hideMark/>
          </w:tcPr>
          <w:p w14:paraId="1570707E" w14:textId="77777777" w:rsidR="00A74C68" w:rsidRPr="00471CBA" w:rsidRDefault="00A74C68" w:rsidP="00A74C68">
            <w:pPr>
              <w:jc w:val="right"/>
              <w:rPr>
                <w:color w:val="000000"/>
                <w:szCs w:val="20"/>
                <w:lang w:eastAsia="tr-TR"/>
              </w:rPr>
            </w:pPr>
          </w:p>
        </w:tc>
      </w:tr>
      <w:tr w:rsidR="00A74C68" w:rsidRPr="00471CBA" w14:paraId="67A38749" w14:textId="77777777" w:rsidTr="00A74C68">
        <w:trPr>
          <w:divId w:val="613293469"/>
          <w:trHeight w:val="227"/>
        </w:trPr>
        <w:tc>
          <w:tcPr>
            <w:tcW w:w="6068" w:type="dxa"/>
            <w:tcBorders>
              <w:top w:val="nil"/>
              <w:left w:val="nil"/>
              <w:bottom w:val="single" w:sz="8" w:space="0" w:color="auto"/>
              <w:right w:val="nil"/>
            </w:tcBorders>
            <w:vAlign w:val="bottom"/>
            <w:hideMark/>
          </w:tcPr>
          <w:p w14:paraId="0E9CAECE" w14:textId="77777777" w:rsidR="00A74C68" w:rsidRPr="00471CBA" w:rsidRDefault="00A74C68" w:rsidP="00A74C68">
            <w:pPr>
              <w:jc w:val="both"/>
              <w:rPr>
                <w:b/>
                <w:bCs/>
                <w:color w:val="000000"/>
                <w:szCs w:val="20"/>
                <w:lang w:eastAsia="tr-TR"/>
              </w:rPr>
            </w:pPr>
            <w:r w:rsidRPr="00471CBA">
              <w:rPr>
                <w:b/>
                <w:bCs/>
                <w:color w:val="000000"/>
                <w:szCs w:val="20"/>
                <w:lang w:eastAsia="tr-TR"/>
              </w:rPr>
              <w:t>Toplam</w:t>
            </w:r>
          </w:p>
        </w:tc>
        <w:tc>
          <w:tcPr>
            <w:tcW w:w="1714" w:type="dxa"/>
            <w:tcBorders>
              <w:top w:val="nil"/>
              <w:left w:val="nil"/>
              <w:bottom w:val="single" w:sz="8" w:space="0" w:color="auto"/>
              <w:right w:val="nil"/>
            </w:tcBorders>
            <w:vAlign w:val="center"/>
            <w:hideMark/>
          </w:tcPr>
          <w:p w14:paraId="2BEABEB9" w14:textId="77777777" w:rsidR="00A74C68" w:rsidRPr="00471CBA" w:rsidRDefault="00A74C68" w:rsidP="00A74C68">
            <w:pPr>
              <w:jc w:val="right"/>
              <w:rPr>
                <w:b/>
                <w:bCs/>
                <w:color w:val="000000"/>
                <w:szCs w:val="20"/>
                <w:lang w:eastAsia="tr-TR"/>
              </w:rPr>
            </w:pPr>
            <w:r w:rsidRPr="00471CBA">
              <w:rPr>
                <w:b/>
                <w:bCs/>
                <w:color w:val="000000"/>
                <w:szCs w:val="20"/>
                <w:lang w:eastAsia="tr-TR"/>
              </w:rPr>
              <w:t>388.505</w:t>
            </w:r>
          </w:p>
        </w:tc>
      </w:tr>
    </w:tbl>
    <w:p w14:paraId="18FC8739" w14:textId="68126985" w:rsidR="00385379" w:rsidRPr="00471CBA" w:rsidRDefault="00385379" w:rsidP="00A01415">
      <w:pPr>
        <w:pStyle w:val="GvdeMetniGirintisi"/>
        <w:spacing w:line="230" w:lineRule="auto"/>
        <w:ind w:firstLine="0"/>
        <w:rPr>
          <w:b/>
          <w:sz w:val="16"/>
          <w:szCs w:val="16"/>
          <w:lang w:eastAsia="tr-TR"/>
        </w:rPr>
      </w:pPr>
    </w:p>
    <w:p w14:paraId="7F1D3DB9" w14:textId="77777777" w:rsidR="00385379" w:rsidRPr="00471CBA" w:rsidRDefault="00385379" w:rsidP="00674806">
      <w:pPr>
        <w:pStyle w:val="GvdeMetniGirintisi"/>
        <w:spacing w:before="120" w:after="120" w:line="230" w:lineRule="auto"/>
        <w:ind w:left="567" w:hanging="553"/>
        <w:rPr>
          <w:b/>
          <w:szCs w:val="20"/>
        </w:rPr>
      </w:pPr>
      <w:r w:rsidRPr="00471CBA">
        <w:rPr>
          <w:b/>
          <w:szCs w:val="20"/>
        </w:rPr>
        <w:t>h.</w:t>
      </w:r>
      <w:r w:rsidRPr="00471CBA">
        <w:rPr>
          <w:b/>
          <w:szCs w:val="20"/>
        </w:rPr>
        <w:tab/>
        <w:t xml:space="preserve">Donuk alacaklara ilişkin bilgiler (net): </w:t>
      </w:r>
    </w:p>
    <w:p w14:paraId="1FD5D167" w14:textId="77777777" w:rsidR="00385379" w:rsidRPr="00471CBA" w:rsidRDefault="00385379" w:rsidP="00674806">
      <w:pPr>
        <w:spacing w:before="120" w:after="120" w:line="230" w:lineRule="auto"/>
        <w:ind w:left="567" w:hanging="567"/>
        <w:jc w:val="both"/>
        <w:rPr>
          <w:b/>
          <w:szCs w:val="20"/>
        </w:rPr>
      </w:pPr>
      <w:r w:rsidRPr="00471CBA">
        <w:rPr>
          <w:b/>
          <w:szCs w:val="20"/>
        </w:rPr>
        <w:t>h.1.</w:t>
      </w:r>
      <w:r w:rsidRPr="00471CBA">
        <w:rPr>
          <w:b/>
          <w:szCs w:val="20"/>
        </w:rPr>
        <w:tab/>
        <w:t>Donuk alacaklar içerisindeki yeniden yapılandırılan kredilere ilişkin bilgiler:</w:t>
      </w:r>
    </w:p>
    <w:p w14:paraId="18D1E33C" w14:textId="77777777" w:rsidR="00705045" w:rsidRPr="00471CBA" w:rsidRDefault="00705045" w:rsidP="00705045">
      <w:pPr>
        <w:widowControl w:val="0"/>
        <w:ind w:left="851"/>
        <w:rPr>
          <w:bCs/>
          <w:szCs w:val="20"/>
        </w:rPr>
      </w:pPr>
      <w:r w:rsidRPr="00471CBA">
        <w:rPr>
          <w:bCs/>
          <w:szCs w:val="20"/>
        </w:rPr>
        <w:t>Bulunmamaktadır (31 Aralık 2024: Bulunmamaktadır).</w:t>
      </w:r>
    </w:p>
    <w:p w14:paraId="48C09AD3" w14:textId="3532C3B3" w:rsidR="00385379" w:rsidRPr="00471CBA" w:rsidRDefault="00385379" w:rsidP="00385379">
      <w:pPr>
        <w:rPr>
          <w:b/>
          <w:szCs w:val="20"/>
        </w:rPr>
      </w:pPr>
      <w:r w:rsidRPr="00471CBA">
        <w:rPr>
          <w:b/>
          <w:szCs w:val="20"/>
        </w:rPr>
        <w:br w:type="page"/>
      </w:r>
    </w:p>
    <w:p w14:paraId="3185C7C0" w14:textId="77777777" w:rsidR="00080449" w:rsidRPr="00471CBA" w:rsidRDefault="00080449" w:rsidP="00080449">
      <w:pPr>
        <w:rPr>
          <w:b/>
          <w:szCs w:val="20"/>
        </w:rPr>
      </w:pPr>
      <w:r w:rsidRPr="00471CBA">
        <w:rPr>
          <w:b/>
          <w:szCs w:val="20"/>
        </w:rPr>
        <w:t>KONSOLİDE OLMAYAN FİNANSAL TABLOLARA İLİŞKİN AÇIKLAMA VE DİPNOTLAR (Devamı)</w:t>
      </w:r>
    </w:p>
    <w:p w14:paraId="744CCFB0" w14:textId="77777777" w:rsidR="00080449" w:rsidRPr="00471CBA" w:rsidRDefault="00080449" w:rsidP="00080449">
      <w:pPr>
        <w:pStyle w:val="ListeParagraf"/>
        <w:widowControl w:val="0"/>
        <w:ind w:left="14" w:right="452"/>
        <w:jc w:val="both"/>
        <w:rPr>
          <w:b/>
          <w:szCs w:val="20"/>
        </w:rPr>
      </w:pPr>
    </w:p>
    <w:p w14:paraId="41C882F5" w14:textId="77777777" w:rsidR="00080449" w:rsidRPr="00471CBA" w:rsidRDefault="00080449" w:rsidP="008459A9">
      <w:pPr>
        <w:pStyle w:val="ListeParagraf"/>
        <w:widowControl w:val="0"/>
        <w:numPr>
          <w:ilvl w:val="0"/>
          <w:numId w:val="88"/>
        </w:numPr>
        <w:ind w:left="567" w:hanging="567"/>
        <w:jc w:val="both"/>
        <w:rPr>
          <w:b/>
          <w:szCs w:val="20"/>
        </w:rPr>
      </w:pPr>
      <w:r w:rsidRPr="00471CBA">
        <w:rPr>
          <w:b/>
          <w:szCs w:val="20"/>
        </w:rPr>
        <w:t>BİLANÇONUN AKTİF HESAPLARINA İLİŞKİN AÇIKLAMA VE DİPNOTLAR (Devamı)</w:t>
      </w:r>
    </w:p>
    <w:p w14:paraId="200066BF" w14:textId="647699A7" w:rsidR="00385379" w:rsidRPr="00471CBA" w:rsidRDefault="00385379" w:rsidP="00080449">
      <w:pPr>
        <w:autoSpaceDE w:val="0"/>
        <w:autoSpaceDN w:val="0"/>
        <w:adjustRightInd w:val="0"/>
        <w:spacing w:before="120" w:after="100" w:line="230" w:lineRule="auto"/>
        <w:ind w:left="567" w:right="-4" w:hanging="567"/>
        <w:jc w:val="both"/>
        <w:rPr>
          <w:b/>
          <w:szCs w:val="20"/>
        </w:rPr>
      </w:pPr>
      <w:r w:rsidRPr="00471CBA">
        <w:rPr>
          <w:b/>
          <w:szCs w:val="20"/>
        </w:rPr>
        <w:t>I.</w:t>
      </w:r>
      <w:r w:rsidRPr="00471CBA">
        <w:rPr>
          <w:b/>
          <w:szCs w:val="20"/>
        </w:rPr>
        <w:tab/>
        <w:t>Bilançonun aktif hesaplarına ilişkin açıklama ve dipnotlar (devamı):</w:t>
      </w:r>
    </w:p>
    <w:p w14:paraId="4A727BE9" w14:textId="77777777" w:rsidR="00385379" w:rsidRPr="00471CBA" w:rsidRDefault="00385379" w:rsidP="00080449">
      <w:pPr>
        <w:pStyle w:val="GvdeMetniGirintisi"/>
        <w:spacing w:before="120" w:line="230" w:lineRule="auto"/>
        <w:ind w:left="567" w:hanging="567"/>
        <w:rPr>
          <w:b/>
          <w:szCs w:val="20"/>
        </w:rPr>
      </w:pPr>
      <w:bookmarkStart w:id="100" w:name="_Hlk125537898"/>
      <w:r w:rsidRPr="00471CBA">
        <w:rPr>
          <w:b/>
          <w:szCs w:val="20"/>
        </w:rPr>
        <w:t>h.2.</w:t>
      </w:r>
      <w:r w:rsidRPr="00471CBA">
        <w:rPr>
          <w:b/>
          <w:szCs w:val="20"/>
        </w:rPr>
        <w:tab/>
        <w:t xml:space="preserve">Toplam donuk alacak hareketlerine ilişkin bilgiler: </w:t>
      </w:r>
    </w:p>
    <w:bookmarkEnd w:id="100"/>
    <w:p w14:paraId="7EED464A" w14:textId="53EDE260" w:rsidR="00A74C68" w:rsidRPr="00471CBA" w:rsidRDefault="00A74C68" w:rsidP="00A74C68">
      <w:pPr>
        <w:ind w:right="102"/>
        <w:jc w:val="both"/>
      </w:pPr>
    </w:p>
    <w:tbl>
      <w:tblPr>
        <w:tblW w:w="9735" w:type="dxa"/>
        <w:tblCellMar>
          <w:left w:w="70" w:type="dxa"/>
          <w:right w:w="70" w:type="dxa"/>
        </w:tblCellMar>
        <w:tblLook w:val="04A0" w:firstRow="1" w:lastRow="0" w:firstColumn="1" w:lastColumn="0" w:noHBand="0" w:noVBand="1"/>
      </w:tblPr>
      <w:tblGrid>
        <w:gridCol w:w="4474"/>
        <w:gridCol w:w="1739"/>
        <w:gridCol w:w="1718"/>
        <w:gridCol w:w="1804"/>
      </w:tblGrid>
      <w:tr w:rsidR="00A74C68" w:rsidRPr="00471CBA" w14:paraId="2FAD3B46" w14:textId="77777777" w:rsidTr="00A74C68">
        <w:trPr>
          <w:divId w:val="1226452555"/>
          <w:trHeight w:val="230"/>
        </w:trPr>
        <w:tc>
          <w:tcPr>
            <w:tcW w:w="4474" w:type="dxa"/>
            <w:tcBorders>
              <w:top w:val="nil"/>
              <w:left w:val="nil"/>
              <w:bottom w:val="nil"/>
              <w:right w:val="nil"/>
            </w:tcBorders>
            <w:noWrap/>
            <w:vAlign w:val="bottom"/>
            <w:hideMark/>
          </w:tcPr>
          <w:p w14:paraId="781DD0D4" w14:textId="04F9D1AB" w:rsidR="00A74C68" w:rsidRPr="00471CBA" w:rsidRDefault="00A74C68" w:rsidP="00A74C68">
            <w:pPr>
              <w:rPr>
                <w:b/>
                <w:bCs/>
                <w:szCs w:val="20"/>
                <w:lang w:eastAsia="tr-TR"/>
              </w:rPr>
            </w:pPr>
          </w:p>
        </w:tc>
        <w:tc>
          <w:tcPr>
            <w:tcW w:w="1739" w:type="dxa"/>
            <w:tcBorders>
              <w:top w:val="nil"/>
              <w:left w:val="nil"/>
              <w:bottom w:val="single" w:sz="4" w:space="0" w:color="auto"/>
              <w:right w:val="nil"/>
            </w:tcBorders>
            <w:vAlign w:val="bottom"/>
            <w:hideMark/>
          </w:tcPr>
          <w:p w14:paraId="2AE141E3" w14:textId="77777777" w:rsidR="00A74C68" w:rsidRPr="00471CBA" w:rsidRDefault="00A74C68" w:rsidP="00A74C68">
            <w:pPr>
              <w:jc w:val="right"/>
              <w:rPr>
                <w:b/>
                <w:bCs/>
                <w:color w:val="000000"/>
                <w:szCs w:val="20"/>
                <w:lang w:eastAsia="tr-TR"/>
              </w:rPr>
            </w:pPr>
            <w:r w:rsidRPr="00471CBA">
              <w:rPr>
                <w:b/>
                <w:bCs/>
                <w:color w:val="000000"/>
                <w:szCs w:val="20"/>
                <w:lang w:eastAsia="tr-TR"/>
              </w:rPr>
              <w:t>III. Grup</w:t>
            </w:r>
          </w:p>
        </w:tc>
        <w:tc>
          <w:tcPr>
            <w:tcW w:w="1718" w:type="dxa"/>
            <w:tcBorders>
              <w:top w:val="nil"/>
              <w:left w:val="nil"/>
              <w:bottom w:val="single" w:sz="4" w:space="0" w:color="auto"/>
              <w:right w:val="nil"/>
            </w:tcBorders>
            <w:vAlign w:val="bottom"/>
            <w:hideMark/>
          </w:tcPr>
          <w:p w14:paraId="1EA97875" w14:textId="77777777" w:rsidR="00A74C68" w:rsidRPr="00471CBA" w:rsidRDefault="00A74C68" w:rsidP="00A74C68">
            <w:pPr>
              <w:jc w:val="right"/>
              <w:rPr>
                <w:b/>
                <w:bCs/>
                <w:color w:val="000000"/>
                <w:szCs w:val="20"/>
                <w:lang w:eastAsia="tr-TR"/>
              </w:rPr>
            </w:pPr>
            <w:r w:rsidRPr="00471CBA">
              <w:rPr>
                <w:b/>
                <w:bCs/>
                <w:color w:val="000000"/>
                <w:szCs w:val="20"/>
                <w:lang w:eastAsia="tr-TR"/>
              </w:rPr>
              <w:t>IV. Grup</w:t>
            </w:r>
          </w:p>
        </w:tc>
        <w:tc>
          <w:tcPr>
            <w:tcW w:w="1804" w:type="dxa"/>
            <w:tcBorders>
              <w:top w:val="nil"/>
              <w:left w:val="nil"/>
              <w:bottom w:val="single" w:sz="4" w:space="0" w:color="auto"/>
              <w:right w:val="nil"/>
            </w:tcBorders>
            <w:vAlign w:val="bottom"/>
            <w:hideMark/>
          </w:tcPr>
          <w:p w14:paraId="667EF5EC" w14:textId="77777777" w:rsidR="00A74C68" w:rsidRPr="00471CBA" w:rsidRDefault="00A74C68" w:rsidP="00A74C68">
            <w:pPr>
              <w:jc w:val="right"/>
              <w:rPr>
                <w:b/>
                <w:bCs/>
                <w:color w:val="000000"/>
                <w:szCs w:val="20"/>
                <w:lang w:eastAsia="tr-TR"/>
              </w:rPr>
            </w:pPr>
            <w:r w:rsidRPr="00471CBA">
              <w:rPr>
                <w:b/>
                <w:bCs/>
                <w:color w:val="000000"/>
                <w:szCs w:val="20"/>
                <w:lang w:eastAsia="tr-TR"/>
              </w:rPr>
              <w:t>V. Grup</w:t>
            </w:r>
          </w:p>
        </w:tc>
      </w:tr>
      <w:tr w:rsidR="00A74C68" w:rsidRPr="00471CBA" w14:paraId="2B90B1BA" w14:textId="77777777" w:rsidTr="00A74C68">
        <w:trPr>
          <w:divId w:val="1226452555"/>
          <w:trHeight w:val="230"/>
        </w:trPr>
        <w:tc>
          <w:tcPr>
            <w:tcW w:w="4474" w:type="dxa"/>
            <w:tcBorders>
              <w:top w:val="nil"/>
              <w:left w:val="nil"/>
              <w:bottom w:val="single" w:sz="4" w:space="0" w:color="auto"/>
              <w:right w:val="nil"/>
            </w:tcBorders>
            <w:noWrap/>
            <w:vAlign w:val="center"/>
            <w:hideMark/>
          </w:tcPr>
          <w:p w14:paraId="23C7AC6C" w14:textId="77777777" w:rsidR="00A74C68" w:rsidRPr="00471CBA" w:rsidRDefault="00A74C68" w:rsidP="00A74C68">
            <w:pPr>
              <w:rPr>
                <w:b/>
                <w:bCs/>
                <w:color w:val="000000"/>
                <w:szCs w:val="20"/>
                <w:lang w:eastAsia="tr-TR"/>
              </w:rPr>
            </w:pPr>
            <w:r w:rsidRPr="00471CBA">
              <w:rPr>
                <w:b/>
                <w:bCs/>
                <w:color w:val="000000"/>
                <w:szCs w:val="20"/>
                <w:lang w:eastAsia="tr-TR"/>
              </w:rPr>
              <w:t>31 Aralık 2025</w:t>
            </w:r>
          </w:p>
        </w:tc>
        <w:tc>
          <w:tcPr>
            <w:tcW w:w="1739" w:type="dxa"/>
            <w:tcBorders>
              <w:top w:val="single" w:sz="4" w:space="0" w:color="auto"/>
              <w:left w:val="nil"/>
              <w:bottom w:val="single" w:sz="4" w:space="0" w:color="auto"/>
              <w:right w:val="nil"/>
            </w:tcBorders>
            <w:hideMark/>
          </w:tcPr>
          <w:p w14:paraId="3E2E635B" w14:textId="77777777" w:rsidR="00A74C68" w:rsidRPr="00471CBA" w:rsidRDefault="00A74C68" w:rsidP="00A74C68">
            <w:pPr>
              <w:jc w:val="right"/>
              <w:rPr>
                <w:b/>
                <w:bCs/>
                <w:color w:val="000000"/>
                <w:szCs w:val="20"/>
                <w:lang w:eastAsia="tr-TR"/>
              </w:rPr>
            </w:pPr>
            <w:r w:rsidRPr="00471CBA">
              <w:rPr>
                <w:b/>
                <w:bCs/>
                <w:color w:val="000000"/>
                <w:szCs w:val="20"/>
                <w:lang w:eastAsia="tr-TR"/>
              </w:rPr>
              <w:t>Tahsil İmkânı Sınırlı Krediler</w:t>
            </w:r>
          </w:p>
        </w:tc>
        <w:tc>
          <w:tcPr>
            <w:tcW w:w="1718" w:type="dxa"/>
            <w:tcBorders>
              <w:top w:val="single" w:sz="4" w:space="0" w:color="auto"/>
              <w:left w:val="nil"/>
              <w:bottom w:val="single" w:sz="4" w:space="0" w:color="auto"/>
              <w:right w:val="nil"/>
            </w:tcBorders>
            <w:hideMark/>
          </w:tcPr>
          <w:p w14:paraId="14A675C6" w14:textId="77777777" w:rsidR="00A74C68" w:rsidRPr="00471CBA" w:rsidRDefault="00A74C68" w:rsidP="00A74C68">
            <w:pPr>
              <w:jc w:val="right"/>
              <w:rPr>
                <w:b/>
                <w:bCs/>
                <w:color w:val="000000"/>
                <w:szCs w:val="20"/>
                <w:lang w:eastAsia="tr-TR"/>
              </w:rPr>
            </w:pPr>
            <w:r w:rsidRPr="00471CBA">
              <w:rPr>
                <w:b/>
                <w:bCs/>
                <w:color w:val="000000"/>
                <w:szCs w:val="20"/>
                <w:lang w:eastAsia="tr-TR"/>
              </w:rPr>
              <w:t>Tahsili Şüpheli Krediler</w:t>
            </w:r>
          </w:p>
        </w:tc>
        <w:tc>
          <w:tcPr>
            <w:tcW w:w="1804" w:type="dxa"/>
            <w:tcBorders>
              <w:top w:val="single" w:sz="4" w:space="0" w:color="auto"/>
              <w:left w:val="nil"/>
              <w:bottom w:val="single" w:sz="4" w:space="0" w:color="auto"/>
              <w:right w:val="nil"/>
            </w:tcBorders>
            <w:hideMark/>
          </w:tcPr>
          <w:p w14:paraId="5100ECFE" w14:textId="77777777" w:rsidR="00A74C68" w:rsidRPr="00471CBA" w:rsidRDefault="00A74C68" w:rsidP="00A74C68">
            <w:pPr>
              <w:jc w:val="right"/>
              <w:rPr>
                <w:b/>
                <w:bCs/>
                <w:color w:val="000000"/>
                <w:szCs w:val="20"/>
                <w:lang w:eastAsia="tr-TR"/>
              </w:rPr>
            </w:pPr>
            <w:r w:rsidRPr="00471CBA">
              <w:rPr>
                <w:b/>
                <w:bCs/>
                <w:color w:val="000000"/>
                <w:szCs w:val="20"/>
                <w:lang w:eastAsia="tr-TR"/>
              </w:rPr>
              <w:t>Zarar Niteliğindeki Krediler</w:t>
            </w:r>
          </w:p>
        </w:tc>
      </w:tr>
      <w:tr w:rsidR="00A74C68" w:rsidRPr="00471CBA" w14:paraId="06E38C81" w14:textId="77777777" w:rsidTr="00A74C68">
        <w:trPr>
          <w:divId w:val="1226452555"/>
          <w:trHeight w:val="230"/>
        </w:trPr>
        <w:tc>
          <w:tcPr>
            <w:tcW w:w="4474" w:type="dxa"/>
            <w:tcBorders>
              <w:top w:val="nil"/>
              <w:left w:val="nil"/>
              <w:bottom w:val="nil"/>
              <w:right w:val="nil"/>
            </w:tcBorders>
            <w:vAlign w:val="bottom"/>
            <w:hideMark/>
          </w:tcPr>
          <w:p w14:paraId="68FF0429" w14:textId="77777777" w:rsidR="00A74C68" w:rsidRPr="00471CBA" w:rsidRDefault="00A74C68" w:rsidP="00A74C68">
            <w:pPr>
              <w:jc w:val="right"/>
              <w:rPr>
                <w:color w:val="000000"/>
                <w:szCs w:val="20"/>
                <w:lang w:eastAsia="tr-TR"/>
              </w:rPr>
            </w:pPr>
          </w:p>
        </w:tc>
        <w:tc>
          <w:tcPr>
            <w:tcW w:w="1739" w:type="dxa"/>
            <w:tcBorders>
              <w:top w:val="nil"/>
              <w:left w:val="nil"/>
              <w:bottom w:val="nil"/>
              <w:right w:val="nil"/>
            </w:tcBorders>
            <w:vAlign w:val="bottom"/>
            <w:hideMark/>
          </w:tcPr>
          <w:p w14:paraId="1A4F7FB3" w14:textId="77777777" w:rsidR="00A74C68" w:rsidRPr="00471CBA" w:rsidRDefault="00A74C68" w:rsidP="00A74C68">
            <w:pPr>
              <w:jc w:val="right"/>
              <w:rPr>
                <w:szCs w:val="20"/>
                <w:lang w:eastAsia="tr-TR"/>
              </w:rPr>
            </w:pPr>
          </w:p>
        </w:tc>
        <w:tc>
          <w:tcPr>
            <w:tcW w:w="1718" w:type="dxa"/>
            <w:tcBorders>
              <w:top w:val="nil"/>
              <w:left w:val="nil"/>
              <w:bottom w:val="nil"/>
              <w:right w:val="nil"/>
            </w:tcBorders>
            <w:vAlign w:val="bottom"/>
            <w:hideMark/>
          </w:tcPr>
          <w:p w14:paraId="76E2B198" w14:textId="77777777" w:rsidR="00A74C68" w:rsidRPr="00471CBA" w:rsidRDefault="00A74C68" w:rsidP="00A74C68">
            <w:pPr>
              <w:jc w:val="right"/>
              <w:rPr>
                <w:szCs w:val="20"/>
                <w:lang w:eastAsia="tr-TR"/>
              </w:rPr>
            </w:pPr>
          </w:p>
        </w:tc>
        <w:tc>
          <w:tcPr>
            <w:tcW w:w="1804" w:type="dxa"/>
            <w:tcBorders>
              <w:top w:val="nil"/>
              <w:left w:val="nil"/>
              <w:bottom w:val="nil"/>
              <w:right w:val="nil"/>
            </w:tcBorders>
            <w:vAlign w:val="bottom"/>
            <w:hideMark/>
          </w:tcPr>
          <w:p w14:paraId="71C3FD91" w14:textId="77777777" w:rsidR="00A74C68" w:rsidRPr="00471CBA" w:rsidRDefault="00A74C68" w:rsidP="00A74C68">
            <w:pPr>
              <w:jc w:val="right"/>
              <w:rPr>
                <w:szCs w:val="20"/>
                <w:lang w:eastAsia="tr-TR"/>
              </w:rPr>
            </w:pPr>
          </w:p>
        </w:tc>
      </w:tr>
      <w:tr w:rsidR="00A74C68" w:rsidRPr="00471CBA" w14:paraId="386134DE" w14:textId="77777777" w:rsidTr="00A74C68">
        <w:trPr>
          <w:divId w:val="1226452555"/>
          <w:trHeight w:val="230"/>
        </w:trPr>
        <w:tc>
          <w:tcPr>
            <w:tcW w:w="4474" w:type="dxa"/>
            <w:tcBorders>
              <w:top w:val="nil"/>
              <w:left w:val="nil"/>
              <w:bottom w:val="nil"/>
              <w:right w:val="nil"/>
            </w:tcBorders>
            <w:vAlign w:val="bottom"/>
            <w:hideMark/>
          </w:tcPr>
          <w:p w14:paraId="6291E8D5" w14:textId="77777777" w:rsidR="00A74C68" w:rsidRPr="00471CBA" w:rsidRDefault="00A74C68" w:rsidP="00A74C68">
            <w:pPr>
              <w:rPr>
                <w:b/>
                <w:bCs/>
                <w:color w:val="000000"/>
                <w:szCs w:val="20"/>
                <w:lang w:eastAsia="tr-TR"/>
              </w:rPr>
            </w:pPr>
            <w:r w:rsidRPr="00471CBA">
              <w:rPr>
                <w:b/>
                <w:bCs/>
                <w:color w:val="000000"/>
                <w:szCs w:val="20"/>
                <w:lang w:eastAsia="tr-TR"/>
              </w:rPr>
              <w:t>Önceki Dönem Sonu Bakiyesi</w:t>
            </w:r>
          </w:p>
        </w:tc>
        <w:tc>
          <w:tcPr>
            <w:tcW w:w="1739" w:type="dxa"/>
            <w:tcBorders>
              <w:top w:val="nil"/>
              <w:left w:val="nil"/>
              <w:bottom w:val="nil"/>
              <w:right w:val="nil"/>
            </w:tcBorders>
            <w:vAlign w:val="bottom"/>
            <w:hideMark/>
          </w:tcPr>
          <w:p w14:paraId="129E2785" w14:textId="77777777" w:rsidR="00A74C68" w:rsidRPr="00471CBA" w:rsidRDefault="00A74C68" w:rsidP="00A74C68">
            <w:pPr>
              <w:jc w:val="right"/>
              <w:rPr>
                <w:color w:val="000000"/>
                <w:szCs w:val="20"/>
                <w:lang w:eastAsia="tr-TR"/>
              </w:rPr>
            </w:pPr>
            <w:r w:rsidRPr="00471CBA">
              <w:rPr>
                <w:b/>
                <w:bCs/>
                <w:color w:val="000000"/>
                <w:szCs w:val="20"/>
                <w:lang w:eastAsia="tr-TR"/>
              </w:rPr>
              <w:t>-</w:t>
            </w:r>
          </w:p>
        </w:tc>
        <w:tc>
          <w:tcPr>
            <w:tcW w:w="1718" w:type="dxa"/>
            <w:tcBorders>
              <w:top w:val="nil"/>
              <w:left w:val="nil"/>
              <w:bottom w:val="nil"/>
              <w:right w:val="nil"/>
            </w:tcBorders>
            <w:vAlign w:val="bottom"/>
            <w:hideMark/>
          </w:tcPr>
          <w:p w14:paraId="585EE19F" w14:textId="77777777" w:rsidR="00A74C68" w:rsidRPr="00471CBA" w:rsidRDefault="00A74C68" w:rsidP="00A74C68">
            <w:pPr>
              <w:jc w:val="right"/>
              <w:rPr>
                <w:color w:val="000000"/>
                <w:szCs w:val="20"/>
                <w:lang w:eastAsia="tr-TR"/>
              </w:rPr>
            </w:pPr>
            <w:r w:rsidRPr="00471CBA">
              <w:rPr>
                <w:szCs w:val="20"/>
                <w:lang w:eastAsia="tr-TR"/>
              </w:rPr>
              <w:t>-</w:t>
            </w:r>
          </w:p>
        </w:tc>
        <w:tc>
          <w:tcPr>
            <w:tcW w:w="1804" w:type="dxa"/>
            <w:tcBorders>
              <w:top w:val="nil"/>
              <w:left w:val="nil"/>
              <w:bottom w:val="nil"/>
              <w:right w:val="nil"/>
            </w:tcBorders>
            <w:vAlign w:val="bottom"/>
            <w:hideMark/>
          </w:tcPr>
          <w:p w14:paraId="4B027577" w14:textId="77777777" w:rsidR="00A74C68" w:rsidRPr="00471CBA" w:rsidRDefault="00A74C68" w:rsidP="00A74C68">
            <w:pPr>
              <w:jc w:val="right"/>
              <w:rPr>
                <w:color w:val="000000"/>
                <w:szCs w:val="20"/>
                <w:lang w:eastAsia="tr-TR"/>
              </w:rPr>
            </w:pPr>
            <w:r w:rsidRPr="00471CBA">
              <w:rPr>
                <w:szCs w:val="20"/>
                <w:lang w:eastAsia="tr-TR"/>
              </w:rPr>
              <w:t>-</w:t>
            </w:r>
          </w:p>
        </w:tc>
      </w:tr>
      <w:tr w:rsidR="00A74C68" w:rsidRPr="00471CBA" w14:paraId="466F67AE" w14:textId="77777777" w:rsidTr="00A74C68">
        <w:trPr>
          <w:divId w:val="1226452555"/>
          <w:trHeight w:val="230"/>
        </w:trPr>
        <w:tc>
          <w:tcPr>
            <w:tcW w:w="4474" w:type="dxa"/>
            <w:tcBorders>
              <w:top w:val="nil"/>
              <w:left w:val="nil"/>
              <w:bottom w:val="nil"/>
              <w:right w:val="nil"/>
            </w:tcBorders>
            <w:vAlign w:val="bottom"/>
            <w:hideMark/>
          </w:tcPr>
          <w:p w14:paraId="0435EBF0" w14:textId="77777777" w:rsidR="00A74C68" w:rsidRPr="00471CBA" w:rsidRDefault="00A74C68" w:rsidP="00A74C68">
            <w:pPr>
              <w:rPr>
                <w:color w:val="000000"/>
                <w:szCs w:val="20"/>
                <w:lang w:eastAsia="tr-TR"/>
              </w:rPr>
            </w:pPr>
            <w:r w:rsidRPr="00471CBA">
              <w:rPr>
                <w:color w:val="000000"/>
                <w:szCs w:val="20"/>
                <w:lang w:eastAsia="tr-TR"/>
              </w:rPr>
              <w:t>Dönem İçinde İntikal (+)</w:t>
            </w:r>
          </w:p>
        </w:tc>
        <w:tc>
          <w:tcPr>
            <w:tcW w:w="1739" w:type="dxa"/>
            <w:tcBorders>
              <w:top w:val="nil"/>
              <w:left w:val="nil"/>
              <w:bottom w:val="nil"/>
              <w:right w:val="nil"/>
            </w:tcBorders>
            <w:vAlign w:val="bottom"/>
            <w:hideMark/>
          </w:tcPr>
          <w:p w14:paraId="23A90E03" w14:textId="77777777" w:rsidR="00A74C68" w:rsidRPr="00471CBA" w:rsidRDefault="00A74C68" w:rsidP="00A74C68">
            <w:pPr>
              <w:jc w:val="right"/>
              <w:rPr>
                <w:color w:val="000000"/>
                <w:szCs w:val="20"/>
                <w:lang w:eastAsia="tr-TR"/>
              </w:rPr>
            </w:pPr>
            <w:r w:rsidRPr="00471CBA">
              <w:rPr>
                <w:color w:val="000000"/>
                <w:szCs w:val="20"/>
                <w:lang w:eastAsia="tr-TR"/>
              </w:rPr>
              <w:t>392.160</w:t>
            </w:r>
          </w:p>
        </w:tc>
        <w:tc>
          <w:tcPr>
            <w:tcW w:w="1718" w:type="dxa"/>
            <w:tcBorders>
              <w:top w:val="nil"/>
              <w:left w:val="nil"/>
              <w:bottom w:val="nil"/>
              <w:right w:val="nil"/>
            </w:tcBorders>
            <w:vAlign w:val="bottom"/>
            <w:hideMark/>
          </w:tcPr>
          <w:p w14:paraId="278B48EE" w14:textId="77777777" w:rsidR="00A74C68" w:rsidRPr="00471CBA" w:rsidRDefault="00A74C68" w:rsidP="00A74C68">
            <w:pPr>
              <w:jc w:val="right"/>
              <w:rPr>
                <w:color w:val="000000"/>
                <w:szCs w:val="20"/>
                <w:lang w:eastAsia="tr-TR"/>
              </w:rPr>
            </w:pPr>
            <w:r w:rsidRPr="00471CBA">
              <w:rPr>
                <w:szCs w:val="20"/>
                <w:lang w:eastAsia="tr-TR"/>
              </w:rPr>
              <w:t>-</w:t>
            </w:r>
          </w:p>
        </w:tc>
        <w:tc>
          <w:tcPr>
            <w:tcW w:w="1804" w:type="dxa"/>
            <w:tcBorders>
              <w:top w:val="nil"/>
              <w:left w:val="nil"/>
              <w:bottom w:val="nil"/>
              <w:right w:val="nil"/>
            </w:tcBorders>
            <w:vAlign w:val="bottom"/>
            <w:hideMark/>
          </w:tcPr>
          <w:p w14:paraId="2579A303" w14:textId="77777777" w:rsidR="00A74C68" w:rsidRPr="00471CBA" w:rsidRDefault="00A74C68" w:rsidP="00A74C68">
            <w:pPr>
              <w:jc w:val="right"/>
              <w:rPr>
                <w:color w:val="000000"/>
                <w:szCs w:val="20"/>
                <w:lang w:eastAsia="tr-TR"/>
              </w:rPr>
            </w:pPr>
            <w:r w:rsidRPr="00471CBA">
              <w:rPr>
                <w:szCs w:val="20"/>
                <w:lang w:eastAsia="tr-TR"/>
              </w:rPr>
              <w:t>-</w:t>
            </w:r>
          </w:p>
        </w:tc>
      </w:tr>
      <w:tr w:rsidR="00A74C68" w:rsidRPr="00471CBA" w14:paraId="72A7589C" w14:textId="77777777" w:rsidTr="00A74C68">
        <w:trPr>
          <w:divId w:val="1226452555"/>
          <w:trHeight w:val="230"/>
        </w:trPr>
        <w:tc>
          <w:tcPr>
            <w:tcW w:w="4474" w:type="dxa"/>
            <w:tcBorders>
              <w:top w:val="nil"/>
              <w:left w:val="nil"/>
              <w:bottom w:val="nil"/>
              <w:right w:val="nil"/>
            </w:tcBorders>
            <w:vAlign w:val="bottom"/>
            <w:hideMark/>
          </w:tcPr>
          <w:p w14:paraId="3AE963E4" w14:textId="77777777" w:rsidR="00A74C68" w:rsidRPr="00471CBA" w:rsidRDefault="00A74C68" w:rsidP="00A74C68">
            <w:pPr>
              <w:ind w:firstLineChars="100" w:firstLine="200"/>
              <w:rPr>
                <w:color w:val="000000"/>
                <w:szCs w:val="20"/>
                <w:lang w:eastAsia="tr-TR"/>
              </w:rPr>
            </w:pPr>
            <w:r w:rsidRPr="00471CBA">
              <w:rPr>
                <w:color w:val="000000"/>
                <w:szCs w:val="20"/>
                <w:lang w:eastAsia="tr-TR"/>
              </w:rPr>
              <w:t>Diğer Donuk Alacak Hesaplarından Giriş (+)</w:t>
            </w:r>
          </w:p>
        </w:tc>
        <w:tc>
          <w:tcPr>
            <w:tcW w:w="1739" w:type="dxa"/>
            <w:tcBorders>
              <w:top w:val="nil"/>
              <w:left w:val="nil"/>
              <w:bottom w:val="nil"/>
              <w:right w:val="nil"/>
            </w:tcBorders>
            <w:vAlign w:val="bottom"/>
            <w:hideMark/>
          </w:tcPr>
          <w:p w14:paraId="26A9E7F6" w14:textId="77777777" w:rsidR="00A74C68" w:rsidRPr="00471CBA" w:rsidRDefault="00A74C68" w:rsidP="00A74C68">
            <w:pPr>
              <w:ind w:firstLineChars="100" w:firstLine="200"/>
              <w:jc w:val="right"/>
              <w:rPr>
                <w:color w:val="000000"/>
                <w:szCs w:val="20"/>
                <w:lang w:eastAsia="tr-TR"/>
              </w:rPr>
            </w:pPr>
            <w:r w:rsidRPr="00471CBA">
              <w:rPr>
                <w:color w:val="000000"/>
                <w:szCs w:val="20"/>
                <w:lang w:eastAsia="tr-TR"/>
              </w:rPr>
              <w:t>-</w:t>
            </w:r>
          </w:p>
        </w:tc>
        <w:tc>
          <w:tcPr>
            <w:tcW w:w="1718" w:type="dxa"/>
            <w:tcBorders>
              <w:top w:val="nil"/>
              <w:left w:val="nil"/>
              <w:bottom w:val="nil"/>
              <w:right w:val="nil"/>
            </w:tcBorders>
            <w:vAlign w:val="bottom"/>
            <w:hideMark/>
          </w:tcPr>
          <w:p w14:paraId="5F34A2CE" w14:textId="77777777" w:rsidR="00A74C68" w:rsidRPr="00471CBA" w:rsidRDefault="00A74C68" w:rsidP="00A74C68">
            <w:pPr>
              <w:jc w:val="right"/>
              <w:rPr>
                <w:color w:val="000000"/>
                <w:szCs w:val="20"/>
                <w:lang w:eastAsia="tr-TR"/>
              </w:rPr>
            </w:pPr>
            <w:r w:rsidRPr="00471CBA">
              <w:rPr>
                <w:szCs w:val="20"/>
                <w:lang w:eastAsia="tr-TR"/>
              </w:rPr>
              <w:t>40.650</w:t>
            </w:r>
          </w:p>
        </w:tc>
        <w:tc>
          <w:tcPr>
            <w:tcW w:w="1804" w:type="dxa"/>
            <w:tcBorders>
              <w:top w:val="nil"/>
              <w:left w:val="nil"/>
              <w:bottom w:val="nil"/>
              <w:right w:val="nil"/>
            </w:tcBorders>
            <w:vAlign w:val="bottom"/>
            <w:hideMark/>
          </w:tcPr>
          <w:p w14:paraId="01569BE5" w14:textId="77777777" w:rsidR="00A74C68" w:rsidRPr="00471CBA" w:rsidRDefault="00A74C68" w:rsidP="00A74C68">
            <w:pPr>
              <w:jc w:val="right"/>
              <w:rPr>
                <w:color w:val="000000"/>
                <w:szCs w:val="20"/>
                <w:lang w:eastAsia="tr-TR"/>
              </w:rPr>
            </w:pPr>
            <w:r w:rsidRPr="00471CBA">
              <w:rPr>
                <w:szCs w:val="20"/>
                <w:lang w:eastAsia="tr-TR"/>
              </w:rPr>
              <w:t>-</w:t>
            </w:r>
          </w:p>
        </w:tc>
      </w:tr>
      <w:tr w:rsidR="00A74C68" w:rsidRPr="00471CBA" w14:paraId="53357D5D" w14:textId="77777777" w:rsidTr="00A74C68">
        <w:trPr>
          <w:divId w:val="1226452555"/>
          <w:trHeight w:val="230"/>
        </w:trPr>
        <w:tc>
          <w:tcPr>
            <w:tcW w:w="4474" w:type="dxa"/>
            <w:tcBorders>
              <w:top w:val="nil"/>
              <w:left w:val="nil"/>
              <w:bottom w:val="nil"/>
              <w:right w:val="nil"/>
            </w:tcBorders>
            <w:vAlign w:val="bottom"/>
            <w:hideMark/>
          </w:tcPr>
          <w:p w14:paraId="18FF5043" w14:textId="77777777" w:rsidR="00A74C68" w:rsidRPr="00471CBA" w:rsidRDefault="00A74C68" w:rsidP="00A74C68">
            <w:pPr>
              <w:ind w:firstLineChars="100" w:firstLine="200"/>
              <w:rPr>
                <w:color w:val="000000"/>
                <w:szCs w:val="20"/>
                <w:lang w:eastAsia="tr-TR"/>
              </w:rPr>
            </w:pPr>
            <w:r w:rsidRPr="00471CBA">
              <w:rPr>
                <w:color w:val="000000"/>
                <w:szCs w:val="20"/>
                <w:lang w:eastAsia="tr-TR"/>
              </w:rPr>
              <w:t>Diğer Donuk Alacak Hesaplarına Çıkış (-)</w:t>
            </w:r>
          </w:p>
        </w:tc>
        <w:tc>
          <w:tcPr>
            <w:tcW w:w="1739" w:type="dxa"/>
            <w:tcBorders>
              <w:top w:val="nil"/>
              <w:left w:val="nil"/>
              <w:bottom w:val="nil"/>
              <w:right w:val="nil"/>
            </w:tcBorders>
            <w:vAlign w:val="bottom"/>
            <w:hideMark/>
          </w:tcPr>
          <w:p w14:paraId="15B6D576" w14:textId="77777777" w:rsidR="00A74C68" w:rsidRPr="00471CBA" w:rsidRDefault="00A74C68" w:rsidP="00A74C68">
            <w:pPr>
              <w:ind w:firstLineChars="100" w:firstLine="200"/>
              <w:jc w:val="right"/>
              <w:rPr>
                <w:color w:val="000000"/>
                <w:szCs w:val="20"/>
                <w:lang w:eastAsia="tr-TR"/>
              </w:rPr>
            </w:pPr>
            <w:r w:rsidRPr="00471CBA">
              <w:rPr>
                <w:color w:val="000000"/>
                <w:szCs w:val="20"/>
                <w:lang w:eastAsia="tr-TR"/>
              </w:rPr>
              <w:t>40.650</w:t>
            </w:r>
          </w:p>
        </w:tc>
        <w:tc>
          <w:tcPr>
            <w:tcW w:w="1718" w:type="dxa"/>
            <w:tcBorders>
              <w:top w:val="nil"/>
              <w:left w:val="nil"/>
              <w:bottom w:val="nil"/>
              <w:right w:val="nil"/>
            </w:tcBorders>
            <w:vAlign w:val="bottom"/>
            <w:hideMark/>
          </w:tcPr>
          <w:p w14:paraId="2227CF69" w14:textId="77777777" w:rsidR="00A74C68" w:rsidRPr="00471CBA" w:rsidRDefault="00A74C68" w:rsidP="00A74C68">
            <w:pPr>
              <w:jc w:val="right"/>
              <w:rPr>
                <w:color w:val="000000"/>
                <w:szCs w:val="20"/>
                <w:lang w:eastAsia="tr-TR"/>
              </w:rPr>
            </w:pPr>
            <w:r w:rsidRPr="00471CBA">
              <w:rPr>
                <w:szCs w:val="20"/>
                <w:lang w:eastAsia="tr-TR"/>
              </w:rPr>
              <w:t>-</w:t>
            </w:r>
          </w:p>
        </w:tc>
        <w:tc>
          <w:tcPr>
            <w:tcW w:w="1804" w:type="dxa"/>
            <w:tcBorders>
              <w:top w:val="nil"/>
              <w:left w:val="nil"/>
              <w:bottom w:val="nil"/>
              <w:right w:val="nil"/>
            </w:tcBorders>
            <w:vAlign w:val="bottom"/>
            <w:hideMark/>
          </w:tcPr>
          <w:p w14:paraId="6C4CA3D1" w14:textId="77777777" w:rsidR="00A74C68" w:rsidRPr="00471CBA" w:rsidRDefault="00A74C68" w:rsidP="00A74C68">
            <w:pPr>
              <w:jc w:val="right"/>
              <w:rPr>
                <w:color w:val="000000"/>
                <w:szCs w:val="20"/>
                <w:lang w:eastAsia="tr-TR"/>
              </w:rPr>
            </w:pPr>
            <w:r w:rsidRPr="00471CBA">
              <w:rPr>
                <w:szCs w:val="20"/>
                <w:lang w:eastAsia="tr-TR"/>
              </w:rPr>
              <w:t>-</w:t>
            </w:r>
          </w:p>
        </w:tc>
      </w:tr>
      <w:tr w:rsidR="00A74C68" w:rsidRPr="00471CBA" w14:paraId="7298CAFB" w14:textId="77777777" w:rsidTr="00A74C68">
        <w:trPr>
          <w:divId w:val="1226452555"/>
          <w:trHeight w:val="230"/>
        </w:trPr>
        <w:tc>
          <w:tcPr>
            <w:tcW w:w="4474" w:type="dxa"/>
            <w:tcBorders>
              <w:top w:val="nil"/>
              <w:left w:val="nil"/>
              <w:bottom w:val="nil"/>
              <w:right w:val="nil"/>
            </w:tcBorders>
            <w:vAlign w:val="bottom"/>
            <w:hideMark/>
          </w:tcPr>
          <w:p w14:paraId="46173D1D" w14:textId="77777777" w:rsidR="00A74C68" w:rsidRPr="00471CBA" w:rsidRDefault="00A74C68" w:rsidP="00A74C68">
            <w:pPr>
              <w:ind w:firstLineChars="100" w:firstLine="200"/>
              <w:rPr>
                <w:color w:val="000000"/>
                <w:szCs w:val="20"/>
                <w:lang w:eastAsia="tr-TR"/>
              </w:rPr>
            </w:pPr>
            <w:r w:rsidRPr="00471CBA">
              <w:rPr>
                <w:color w:val="000000"/>
                <w:szCs w:val="20"/>
                <w:lang w:eastAsia="tr-TR"/>
              </w:rPr>
              <w:t>Dönem İçinde Tahsilat (-)</w:t>
            </w:r>
          </w:p>
        </w:tc>
        <w:tc>
          <w:tcPr>
            <w:tcW w:w="1739" w:type="dxa"/>
            <w:tcBorders>
              <w:top w:val="nil"/>
              <w:left w:val="nil"/>
              <w:bottom w:val="nil"/>
              <w:right w:val="nil"/>
            </w:tcBorders>
            <w:vAlign w:val="bottom"/>
            <w:hideMark/>
          </w:tcPr>
          <w:p w14:paraId="049063B2" w14:textId="77777777" w:rsidR="00A74C68" w:rsidRPr="00471CBA" w:rsidRDefault="00A74C68" w:rsidP="00A74C68">
            <w:pPr>
              <w:ind w:firstLineChars="100" w:firstLine="200"/>
              <w:jc w:val="right"/>
              <w:rPr>
                <w:color w:val="000000"/>
                <w:szCs w:val="20"/>
                <w:lang w:eastAsia="tr-TR"/>
              </w:rPr>
            </w:pPr>
            <w:r w:rsidRPr="00471CBA">
              <w:rPr>
                <w:color w:val="000000"/>
                <w:szCs w:val="20"/>
                <w:lang w:eastAsia="tr-TR"/>
              </w:rPr>
              <w:t>3.655</w:t>
            </w:r>
          </w:p>
        </w:tc>
        <w:tc>
          <w:tcPr>
            <w:tcW w:w="1718" w:type="dxa"/>
            <w:tcBorders>
              <w:top w:val="nil"/>
              <w:left w:val="nil"/>
              <w:bottom w:val="nil"/>
              <w:right w:val="nil"/>
            </w:tcBorders>
            <w:vAlign w:val="bottom"/>
            <w:hideMark/>
          </w:tcPr>
          <w:p w14:paraId="324D5531" w14:textId="77777777" w:rsidR="00A74C68" w:rsidRPr="00471CBA" w:rsidRDefault="00A74C68" w:rsidP="00A74C68">
            <w:pPr>
              <w:jc w:val="right"/>
              <w:rPr>
                <w:color w:val="000000"/>
                <w:szCs w:val="20"/>
                <w:lang w:eastAsia="tr-TR"/>
              </w:rPr>
            </w:pPr>
            <w:r w:rsidRPr="00471CBA">
              <w:rPr>
                <w:szCs w:val="20"/>
                <w:lang w:eastAsia="tr-TR"/>
              </w:rPr>
              <w:t>-</w:t>
            </w:r>
          </w:p>
        </w:tc>
        <w:tc>
          <w:tcPr>
            <w:tcW w:w="1804" w:type="dxa"/>
            <w:tcBorders>
              <w:top w:val="nil"/>
              <w:left w:val="nil"/>
              <w:bottom w:val="nil"/>
              <w:right w:val="nil"/>
            </w:tcBorders>
            <w:vAlign w:val="bottom"/>
            <w:hideMark/>
          </w:tcPr>
          <w:p w14:paraId="5BCA151C" w14:textId="77777777" w:rsidR="00A74C68" w:rsidRPr="00471CBA" w:rsidRDefault="00A74C68" w:rsidP="00A74C68">
            <w:pPr>
              <w:jc w:val="right"/>
              <w:rPr>
                <w:color w:val="000000"/>
                <w:szCs w:val="20"/>
                <w:lang w:eastAsia="tr-TR"/>
              </w:rPr>
            </w:pPr>
            <w:r w:rsidRPr="00471CBA">
              <w:rPr>
                <w:szCs w:val="20"/>
                <w:lang w:eastAsia="tr-TR"/>
              </w:rPr>
              <w:t>-</w:t>
            </w:r>
          </w:p>
        </w:tc>
      </w:tr>
      <w:tr w:rsidR="00A74C68" w:rsidRPr="00471CBA" w14:paraId="15333F82" w14:textId="77777777" w:rsidTr="00A74C68">
        <w:trPr>
          <w:divId w:val="1226452555"/>
          <w:trHeight w:val="230"/>
        </w:trPr>
        <w:tc>
          <w:tcPr>
            <w:tcW w:w="4474" w:type="dxa"/>
            <w:tcBorders>
              <w:top w:val="nil"/>
              <w:left w:val="nil"/>
              <w:bottom w:val="nil"/>
              <w:right w:val="nil"/>
            </w:tcBorders>
            <w:vAlign w:val="bottom"/>
            <w:hideMark/>
          </w:tcPr>
          <w:p w14:paraId="6AAFEA07" w14:textId="7DD43489" w:rsidR="00A74C68" w:rsidRPr="00471CBA" w:rsidRDefault="00A74C68" w:rsidP="00A74C68">
            <w:pPr>
              <w:ind w:firstLineChars="100" w:firstLine="200"/>
              <w:rPr>
                <w:color w:val="000000"/>
                <w:szCs w:val="20"/>
                <w:lang w:eastAsia="tr-TR"/>
              </w:rPr>
            </w:pPr>
            <w:r w:rsidRPr="00471CBA">
              <w:rPr>
                <w:color w:val="000000"/>
                <w:szCs w:val="20"/>
                <w:lang w:eastAsia="tr-TR"/>
              </w:rPr>
              <w:t>Kayıttan düşülen (-)</w:t>
            </w:r>
            <w:r w:rsidR="0055530A">
              <w:rPr>
                <w:color w:val="000000"/>
                <w:szCs w:val="20"/>
                <w:lang w:eastAsia="tr-TR"/>
              </w:rPr>
              <w:t xml:space="preserve"> </w:t>
            </w:r>
            <w:r w:rsidRPr="00471CBA">
              <w:rPr>
                <w:color w:val="000000"/>
                <w:szCs w:val="20"/>
                <w:vertAlign w:val="superscript"/>
                <w:lang w:eastAsia="tr-TR"/>
              </w:rPr>
              <w:t>(*)</w:t>
            </w:r>
          </w:p>
        </w:tc>
        <w:tc>
          <w:tcPr>
            <w:tcW w:w="1739" w:type="dxa"/>
            <w:tcBorders>
              <w:top w:val="nil"/>
              <w:left w:val="nil"/>
              <w:bottom w:val="nil"/>
              <w:right w:val="nil"/>
            </w:tcBorders>
            <w:vAlign w:val="bottom"/>
            <w:hideMark/>
          </w:tcPr>
          <w:p w14:paraId="79B20FA4" w14:textId="77777777" w:rsidR="00A74C68" w:rsidRPr="00471CBA" w:rsidRDefault="00A74C68" w:rsidP="00A74C68">
            <w:pPr>
              <w:ind w:firstLineChars="100" w:firstLine="200"/>
              <w:jc w:val="right"/>
              <w:rPr>
                <w:color w:val="000000"/>
                <w:szCs w:val="20"/>
                <w:lang w:eastAsia="tr-TR"/>
              </w:rPr>
            </w:pPr>
            <w:r w:rsidRPr="00471CBA">
              <w:rPr>
                <w:color w:val="000000"/>
                <w:szCs w:val="20"/>
                <w:lang w:eastAsia="tr-TR"/>
              </w:rPr>
              <w:t>-</w:t>
            </w:r>
          </w:p>
        </w:tc>
        <w:tc>
          <w:tcPr>
            <w:tcW w:w="1718" w:type="dxa"/>
            <w:tcBorders>
              <w:top w:val="nil"/>
              <w:left w:val="nil"/>
              <w:bottom w:val="nil"/>
              <w:right w:val="nil"/>
            </w:tcBorders>
            <w:vAlign w:val="bottom"/>
            <w:hideMark/>
          </w:tcPr>
          <w:p w14:paraId="3F0F0582" w14:textId="77777777" w:rsidR="00A74C68" w:rsidRPr="00471CBA" w:rsidRDefault="00A74C68" w:rsidP="00A74C68">
            <w:pPr>
              <w:jc w:val="right"/>
              <w:rPr>
                <w:color w:val="000000"/>
                <w:szCs w:val="20"/>
                <w:lang w:eastAsia="tr-TR"/>
              </w:rPr>
            </w:pPr>
            <w:r w:rsidRPr="00471CBA">
              <w:rPr>
                <w:szCs w:val="20"/>
                <w:lang w:eastAsia="tr-TR"/>
              </w:rPr>
              <w:t>-</w:t>
            </w:r>
          </w:p>
        </w:tc>
        <w:tc>
          <w:tcPr>
            <w:tcW w:w="1804" w:type="dxa"/>
            <w:tcBorders>
              <w:top w:val="nil"/>
              <w:left w:val="nil"/>
              <w:bottom w:val="nil"/>
              <w:right w:val="nil"/>
            </w:tcBorders>
            <w:vAlign w:val="bottom"/>
            <w:hideMark/>
          </w:tcPr>
          <w:p w14:paraId="3E531AAD" w14:textId="77777777" w:rsidR="00A74C68" w:rsidRPr="00471CBA" w:rsidRDefault="00A74C68" w:rsidP="00A74C68">
            <w:pPr>
              <w:jc w:val="right"/>
              <w:rPr>
                <w:color w:val="000000"/>
                <w:szCs w:val="20"/>
                <w:lang w:eastAsia="tr-TR"/>
              </w:rPr>
            </w:pPr>
            <w:r w:rsidRPr="00471CBA">
              <w:rPr>
                <w:szCs w:val="20"/>
                <w:lang w:eastAsia="tr-TR"/>
              </w:rPr>
              <w:t>-</w:t>
            </w:r>
          </w:p>
        </w:tc>
      </w:tr>
      <w:tr w:rsidR="00A74C68" w:rsidRPr="00471CBA" w14:paraId="0F62786E" w14:textId="77777777" w:rsidTr="00A74C68">
        <w:trPr>
          <w:divId w:val="1226452555"/>
          <w:trHeight w:val="230"/>
        </w:trPr>
        <w:tc>
          <w:tcPr>
            <w:tcW w:w="4474" w:type="dxa"/>
            <w:tcBorders>
              <w:top w:val="nil"/>
              <w:left w:val="nil"/>
              <w:bottom w:val="nil"/>
              <w:right w:val="nil"/>
            </w:tcBorders>
            <w:vAlign w:val="bottom"/>
            <w:hideMark/>
          </w:tcPr>
          <w:p w14:paraId="6A181DD7" w14:textId="77777777" w:rsidR="00A74C68" w:rsidRPr="00471CBA" w:rsidRDefault="00A74C68" w:rsidP="00A74C68">
            <w:pPr>
              <w:ind w:firstLineChars="100" w:firstLine="200"/>
              <w:rPr>
                <w:color w:val="000000"/>
                <w:szCs w:val="20"/>
                <w:lang w:eastAsia="tr-TR"/>
              </w:rPr>
            </w:pPr>
            <w:r w:rsidRPr="00471CBA">
              <w:rPr>
                <w:color w:val="000000"/>
                <w:szCs w:val="20"/>
                <w:lang w:eastAsia="tr-TR"/>
              </w:rPr>
              <w:t>Satılan (-)</w:t>
            </w:r>
          </w:p>
        </w:tc>
        <w:tc>
          <w:tcPr>
            <w:tcW w:w="1739" w:type="dxa"/>
            <w:tcBorders>
              <w:top w:val="nil"/>
              <w:left w:val="nil"/>
              <w:bottom w:val="nil"/>
              <w:right w:val="nil"/>
            </w:tcBorders>
            <w:vAlign w:val="bottom"/>
            <w:hideMark/>
          </w:tcPr>
          <w:p w14:paraId="3A3DA31D" w14:textId="77777777" w:rsidR="00A74C68" w:rsidRPr="00471CBA" w:rsidRDefault="00A74C68" w:rsidP="00A74C68">
            <w:pPr>
              <w:ind w:firstLineChars="100" w:firstLine="200"/>
              <w:jc w:val="right"/>
              <w:rPr>
                <w:color w:val="000000"/>
                <w:szCs w:val="20"/>
                <w:lang w:eastAsia="tr-TR"/>
              </w:rPr>
            </w:pPr>
            <w:r w:rsidRPr="00471CBA">
              <w:rPr>
                <w:color w:val="000000"/>
                <w:szCs w:val="20"/>
                <w:lang w:eastAsia="tr-TR"/>
              </w:rPr>
              <w:t>-</w:t>
            </w:r>
          </w:p>
        </w:tc>
        <w:tc>
          <w:tcPr>
            <w:tcW w:w="1718" w:type="dxa"/>
            <w:tcBorders>
              <w:top w:val="nil"/>
              <w:left w:val="nil"/>
              <w:bottom w:val="nil"/>
              <w:right w:val="nil"/>
            </w:tcBorders>
            <w:vAlign w:val="bottom"/>
            <w:hideMark/>
          </w:tcPr>
          <w:p w14:paraId="69A7597D" w14:textId="77777777" w:rsidR="00A74C68" w:rsidRPr="00471CBA" w:rsidRDefault="00A74C68" w:rsidP="00A74C68">
            <w:pPr>
              <w:jc w:val="right"/>
              <w:rPr>
                <w:color w:val="000000"/>
                <w:szCs w:val="20"/>
                <w:lang w:eastAsia="tr-TR"/>
              </w:rPr>
            </w:pPr>
            <w:r w:rsidRPr="00471CBA">
              <w:rPr>
                <w:szCs w:val="20"/>
                <w:lang w:eastAsia="tr-TR"/>
              </w:rPr>
              <w:t>-</w:t>
            </w:r>
          </w:p>
        </w:tc>
        <w:tc>
          <w:tcPr>
            <w:tcW w:w="1804" w:type="dxa"/>
            <w:tcBorders>
              <w:top w:val="nil"/>
              <w:left w:val="nil"/>
              <w:bottom w:val="nil"/>
              <w:right w:val="nil"/>
            </w:tcBorders>
            <w:vAlign w:val="bottom"/>
            <w:hideMark/>
          </w:tcPr>
          <w:p w14:paraId="5420F4F7" w14:textId="77777777" w:rsidR="00A74C68" w:rsidRPr="00471CBA" w:rsidRDefault="00A74C68" w:rsidP="00A74C68">
            <w:pPr>
              <w:jc w:val="right"/>
              <w:rPr>
                <w:color w:val="000000"/>
                <w:szCs w:val="20"/>
                <w:lang w:eastAsia="tr-TR"/>
              </w:rPr>
            </w:pPr>
            <w:r w:rsidRPr="00471CBA">
              <w:rPr>
                <w:szCs w:val="20"/>
                <w:lang w:eastAsia="tr-TR"/>
              </w:rPr>
              <w:t>-</w:t>
            </w:r>
          </w:p>
        </w:tc>
      </w:tr>
      <w:tr w:rsidR="00A74C68" w:rsidRPr="00471CBA" w14:paraId="15353E96" w14:textId="77777777" w:rsidTr="00A74C68">
        <w:trPr>
          <w:divId w:val="1226452555"/>
          <w:trHeight w:val="230"/>
        </w:trPr>
        <w:tc>
          <w:tcPr>
            <w:tcW w:w="4474" w:type="dxa"/>
            <w:tcBorders>
              <w:top w:val="nil"/>
              <w:left w:val="nil"/>
              <w:bottom w:val="nil"/>
              <w:right w:val="nil"/>
            </w:tcBorders>
            <w:vAlign w:val="bottom"/>
            <w:hideMark/>
          </w:tcPr>
          <w:p w14:paraId="4FB2DF7D" w14:textId="77777777" w:rsidR="00A74C68" w:rsidRPr="00471CBA" w:rsidRDefault="00A74C68" w:rsidP="00A74C68">
            <w:pPr>
              <w:ind w:firstLineChars="200" w:firstLine="400"/>
              <w:rPr>
                <w:color w:val="000000"/>
                <w:szCs w:val="20"/>
                <w:lang w:eastAsia="tr-TR"/>
              </w:rPr>
            </w:pPr>
            <w:r w:rsidRPr="00471CBA">
              <w:rPr>
                <w:color w:val="000000"/>
                <w:szCs w:val="20"/>
                <w:lang w:eastAsia="tr-TR"/>
              </w:rPr>
              <w:t>Kurumsal ve Ticari Krediler</w:t>
            </w:r>
          </w:p>
        </w:tc>
        <w:tc>
          <w:tcPr>
            <w:tcW w:w="1739" w:type="dxa"/>
            <w:tcBorders>
              <w:top w:val="nil"/>
              <w:left w:val="nil"/>
              <w:bottom w:val="nil"/>
              <w:right w:val="nil"/>
            </w:tcBorders>
            <w:vAlign w:val="bottom"/>
            <w:hideMark/>
          </w:tcPr>
          <w:p w14:paraId="1C349BD9" w14:textId="77777777" w:rsidR="00A74C68" w:rsidRPr="00471CBA" w:rsidRDefault="00A74C68" w:rsidP="00A74C68">
            <w:pPr>
              <w:ind w:firstLineChars="200" w:firstLine="400"/>
              <w:jc w:val="right"/>
              <w:rPr>
                <w:color w:val="000000"/>
                <w:szCs w:val="20"/>
                <w:lang w:eastAsia="tr-TR"/>
              </w:rPr>
            </w:pPr>
            <w:r w:rsidRPr="00471CBA">
              <w:rPr>
                <w:color w:val="000000"/>
                <w:szCs w:val="20"/>
                <w:lang w:eastAsia="tr-TR"/>
              </w:rPr>
              <w:t>-</w:t>
            </w:r>
          </w:p>
        </w:tc>
        <w:tc>
          <w:tcPr>
            <w:tcW w:w="1718" w:type="dxa"/>
            <w:tcBorders>
              <w:top w:val="nil"/>
              <w:left w:val="nil"/>
              <w:bottom w:val="nil"/>
              <w:right w:val="nil"/>
            </w:tcBorders>
            <w:vAlign w:val="bottom"/>
            <w:hideMark/>
          </w:tcPr>
          <w:p w14:paraId="294B9AB7" w14:textId="77777777" w:rsidR="00A74C68" w:rsidRPr="00471CBA" w:rsidRDefault="00A74C68" w:rsidP="00A74C68">
            <w:pPr>
              <w:jc w:val="right"/>
              <w:rPr>
                <w:color w:val="000000"/>
                <w:szCs w:val="20"/>
                <w:lang w:eastAsia="tr-TR"/>
              </w:rPr>
            </w:pPr>
            <w:r w:rsidRPr="00471CBA">
              <w:rPr>
                <w:szCs w:val="20"/>
                <w:lang w:eastAsia="tr-TR"/>
              </w:rPr>
              <w:t>-</w:t>
            </w:r>
          </w:p>
        </w:tc>
        <w:tc>
          <w:tcPr>
            <w:tcW w:w="1804" w:type="dxa"/>
            <w:tcBorders>
              <w:top w:val="nil"/>
              <w:left w:val="nil"/>
              <w:bottom w:val="nil"/>
              <w:right w:val="nil"/>
            </w:tcBorders>
            <w:vAlign w:val="bottom"/>
            <w:hideMark/>
          </w:tcPr>
          <w:p w14:paraId="547B31E0" w14:textId="77777777" w:rsidR="00A74C68" w:rsidRPr="00471CBA" w:rsidRDefault="00A74C68" w:rsidP="00A74C68">
            <w:pPr>
              <w:jc w:val="right"/>
              <w:rPr>
                <w:color w:val="000000"/>
                <w:szCs w:val="20"/>
                <w:lang w:eastAsia="tr-TR"/>
              </w:rPr>
            </w:pPr>
            <w:r w:rsidRPr="00471CBA">
              <w:rPr>
                <w:szCs w:val="20"/>
                <w:lang w:eastAsia="tr-TR"/>
              </w:rPr>
              <w:t>-</w:t>
            </w:r>
          </w:p>
        </w:tc>
      </w:tr>
      <w:tr w:rsidR="00A74C68" w:rsidRPr="00471CBA" w14:paraId="4B3F9AF8" w14:textId="77777777" w:rsidTr="00A74C68">
        <w:trPr>
          <w:divId w:val="1226452555"/>
          <w:trHeight w:val="230"/>
        </w:trPr>
        <w:tc>
          <w:tcPr>
            <w:tcW w:w="4474" w:type="dxa"/>
            <w:tcBorders>
              <w:top w:val="nil"/>
              <w:left w:val="nil"/>
              <w:bottom w:val="nil"/>
              <w:right w:val="nil"/>
            </w:tcBorders>
            <w:vAlign w:val="bottom"/>
            <w:hideMark/>
          </w:tcPr>
          <w:p w14:paraId="36AEBCA9" w14:textId="77777777" w:rsidR="00A74C68" w:rsidRPr="00471CBA" w:rsidRDefault="00A74C68" w:rsidP="00A74C68">
            <w:pPr>
              <w:ind w:firstLineChars="200" w:firstLine="400"/>
              <w:rPr>
                <w:color w:val="000000"/>
                <w:szCs w:val="20"/>
                <w:lang w:eastAsia="tr-TR"/>
              </w:rPr>
            </w:pPr>
            <w:r w:rsidRPr="00471CBA">
              <w:rPr>
                <w:color w:val="000000"/>
                <w:szCs w:val="20"/>
                <w:lang w:eastAsia="tr-TR"/>
              </w:rPr>
              <w:t>Bireysel Krediler</w:t>
            </w:r>
          </w:p>
        </w:tc>
        <w:tc>
          <w:tcPr>
            <w:tcW w:w="1739" w:type="dxa"/>
            <w:tcBorders>
              <w:top w:val="nil"/>
              <w:left w:val="nil"/>
              <w:bottom w:val="nil"/>
              <w:right w:val="nil"/>
            </w:tcBorders>
            <w:vAlign w:val="bottom"/>
            <w:hideMark/>
          </w:tcPr>
          <w:p w14:paraId="688873C3" w14:textId="77777777" w:rsidR="00A74C68" w:rsidRPr="00471CBA" w:rsidRDefault="00A74C68" w:rsidP="00A74C68">
            <w:pPr>
              <w:ind w:firstLineChars="200" w:firstLine="400"/>
              <w:jc w:val="right"/>
              <w:rPr>
                <w:color w:val="000000"/>
                <w:szCs w:val="20"/>
                <w:lang w:eastAsia="tr-TR"/>
              </w:rPr>
            </w:pPr>
            <w:r w:rsidRPr="00471CBA">
              <w:rPr>
                <w:color w:val="000000"/>
                <w:szCs w:val="20"/>
                <w:lang w:eastAsia="tr-TR"/>
              </w:rPr>
              <w:t>-</w:t>
            </w:r>
          </w:p>
        </w:tc>
        <w:tc>
          <w:tcPr>
            <w:tcW w:w="1718" w:type="dxa"/>
            <w:tcBorders>
              <w:top w:val="nil"/>
              <w:left w:val="nil"/>
              <w:bottom w:val="nil"/>
              <w:right w:val="nil"/>
            </w:tcBorders>
            <w:vAlign w:val="bottom"/>
            <w:hideMark/>
          </w:tcPr>
          <w:p w14:paraId="55CDEDE9" w14:textId="77777777" w:rsidR="00A74C68" w:rsidRPr="00471CBA" w:rsidRDefault="00A74C68" w:rsidP="00A74C68">
            <w:pPr>
              <w:jc w:val="right"/>
              <w:rPr>
                <w:color w:val="000000"/>
                <w:szCs w:val="20"/>
                <w:lang w:eastAsia="tr-TR"/>
              </w:rPr>
            </w:pPr>
            <w:r w:rsidRPr="00471CBA">
              <w:rPr>
                <w:szCs w:val="20"/>
                <w:lang w:eastAsia="tr-TR"/>
              </w:rPr>
              <w:t>-</w:t>
            </w:r>
          </w:p>
        </w:tc>
        <w:tc>
          <w:tcPr>
            <w:tcW w:w="1804" w:type="dxa"/>
            <w:tcBorders>
              <w:top w:val="nil"/>
              <w:left w:val="nil"/>
              <w:bottom w:val="nil"/>
              <w:right w:val="nil"/>
            </w:tcBorders>
            <w:vAlign w:val="bottom"/>
            <w:hideMark/>
          </w:tcPr>
          <w:p w14:paraId="582CD6F7" w14:textId="77777777" w:rsidR="00A74C68" w:rsidRPr="00471CBA" w:rsidRDefault="00A74C68" w:rsidP="00A74C68">
            <w:pPr>
              <w:jc w:val="right"/>
              <w:rPr>
                <w:color w:val="000000"/>
                <w:szCs w:val="20"/>
                <w:lang w:eastAsia="tr-TR"/>
              </w:rPr>
            </w:pPr>
            <w:r w:rsidRPr="00471CBA">
              <w:rPr>
                <w:szCs w:val="20"/>
                <w:lang w:eastAsia="tr-TR"/>
              </w:rPr>
              <w:t>-</w:t>
            </w:r>
          </w:p>
        </w:tc>
      </w:tr>
      <w:tr w:rsidR="00A74C68" w:rsidRPr="00471CBA" w14:paraId="49881BFE" w14:textId="77777777" w:rsidTr="00A74C68">
        <w:trPr>
          <w:divId w:val="1226452555"/>
          <w:trHeight w:val="230"/>
        </w:trPr>
        <w:tc>
          <w:tcPr>
            <w:tcW w:w="4474" w:type="dxa"/>
            <w:tcBorders>
              <w:top w:val="nil"/>
              <w:left w:val="nil"/>
              <w:bottom w:val="nil"/>
              <w:right w:val="nil"/>
            </w:tcBorders>
            <w:vAlign w:val="bottom"/>
            <w:hideMark/>
          </w:tcPr>
          <w:p w14:paraId="622902BE" w14:textId="77777777" w:rsidR="00A74C68" w:rsidRPr="00471CBA" w:rsidRDefault="00A74C68" w:rsidP="00A74C68">
            <w:pPr>
              <w:ind w:firstLineChars="200" w:firstLine="400"/>
              <w:rPr>
                <w:color w:val="000000"/>
                <w:szCs w:val="20"/>
                <w:lang w:eastAsia="tr-TR"/>
              </w:rPr>
            </w:pPr>
            <w:r w:rsidRPr="00471CBA">
              <w:rPr>
                <w:color w:val="000000"/>
                <w:szCs w:val="20"/>
                <w:lang w:eastAsia="tr-TR"/>
              </w:rPr>
              <w:t>Kredi Kartları</w:t>
            </w:r>
          </w:p>
        </w:tc>
        <w:tc>
          <w:tcPr>
            <w:tcW w:w="1739" w:type="dxa"/>
            <w:tcBorders>
              <w:top w:val="nil"/>
              <w:left w:val="nil"/>
              <w:bottom w:val="nil"/>
              <w:right w:val="nil"/>
            </w:tcBorders>
            <w:vAlign w:val="bottom"/>
            <w:hideMark/>
          </w:tcPr>
          <w:p w14:paraId="5A5B2D61" w14:textId="77777777" w:rsidR="00A74C68" w:rsidRPr="00471CBA" w:rsidRDefault="00A74C68" w:rsidP="00A74C68">
            <w:pPr>
              <w:ind w:firstLineChars="200" w:firstLine="400"/>
              <w:jc w:val="right"/>
              <w:rPr>
                <w:color w:val="000000"/>
                <w:szCs w:val="20"/>
                <w:lang w:eastAsia="tr-TR"/>
              </w:rPr>
            </w:pPr>
            <w:r w:rsidRPr="00471CBA">
              <w:rPr>
                <w:color w:val="000000"/>
                <w:szCs w:val="20"/>
                <w:lang w:eastAsia="tr-TR"/>
              </w:rPr>
              <w:t>-</w:t>
            </w:r>
          </w:p>
        </w:tc>
        <w:tc>
          <w:tcPr>
            <w:tcW w:w="1718" w:type="dxa"/>
            <w:tcBorders>
              <w:top w:val="nil"/>
              <w:left w:val="nil"/>
              <w:bottom w:val="nil"/>
              <w:right w:val="nil"/>
            </w:tcBorders>
            <w:vAlign w:val="bottom"/>
            <w:hideMark/>
          </w:tcPr>
          <w:p w14:paraId="76E8D3D4" w14:textId="77777777" w:rsidR="00A74C68" w:rsidRPr="00471CBA" w:rsidRDefault="00A74C68" w:rsidP="00A74C68">
            <w:pPr>
              <w:jc w:val="right"/>
              <w:rPr>
                <w:color w:val="000000"/>
                <w:szCs w:val="20"/>
                <w:lang w:eastAsia="tr-TR"/>
              </w:rPr>
            </w:pPr>
            <w:r w:rsidRPr="00471CBA">
              <w:rPr>
                <w:szCs w:val="20"/>
                <w:lang w:eastAsia="tr-TR"/>
              </w:rPr>
              <w:t>-</w:t>
            </w:r>
          </w:p>
        </w:tc>
        <w:tc>
          <w:tcPr>
            <w:tcW w:w="1804" w:type="dxa"/>
            <w:tcBorders>
              <w:top w:val="nil"/>
              <w:left w:val="nil"/>
              <w:bottom w:val="nil"/>
              <w:right w:val="nil"/>
            </w:tcBorders>
            <w:vAlign w:val="bottom"/>
            <w:hideMark/>
          </w:tcPr>
          <w:p w14:paraId="5D1353F1" w14:textId="77777777" w:rsidR="00A74C68" w:rsidRPr="00471CBA" w:rsidRDefault="00A74C68" w:rsidP="00A74C68">
            <w:pPr>
              <w:jc w:val="right"/>
              <w:rPr>
                <w:color w:val="000000"/>
                <w:szCs w:val="20"/>
                <w:lang w:eastAsia="tr-TR"/>
              </w:rPr>
            </w:pPr>
            <w:r w:rsidRPr="00471CBA">
              <w:rPr>
                <w:szCs w:val="20"/>
                <w:lang w:eastAsia="tr-TR"/>
              </w:rPr>
              <w:t>-</w:t>
            </w:r>
          </w:p>
        </w:tc>
      </w:tr>
      <w:tr w:rsidR="00A74C68" w:rsidRPr="00471CBA" w14:paraId="65E12AA6" w14:textId="77777777" w:rsidTr="00A74C68">
        <w:trPr>
          <w:divId w:val="1226452555"/>
          <w:trHeight w:val="230"/>
        </w:trPr>
        <w:tc>
          <w:tcPr>
            <w:tcW w:w="4474" w:type="dxa"/>
            <w:tcBorders>
              <w:top w:val="nil"/>
              <w:left w:val="nil"/>
              <w:bottom w:val="nil"/>
              <w:right w:val="nil"/>
            </w:tcBorders>
            <w:vAlign w:val="bottom"/>
            <w:hideMark/>
          </w:tcPr>
          <w:p w14:paraId="05A6B824" w14:textId="77777777" w:rsidR="00A74C68" w:rsidRPr="00471CBA" w:rsidRDefault="00A74C68" w:rsidP="00A74C68">
            <w:pPr>
              <w:ind w:firstLineChars="200" w:firstLine="400"/>
              <w:rPr>
                <w:color w:val="000000"/>
                <w:szCs w:val="20"/>
                <w:lang w:eastAsia="tr-TR"/>
              </w:rPr>
            </w:pPr>
            <w:r w:rsidRPr="00471CBA">
              <w:rPr>
                <w:color w:val="000000"/>
                <w:szCs w:val="20"/>
                <w:lang w:eastAsia="tr-TR"/>
              </w:rPr>
              <w:t>Diğer</w:t>
            </w:r>
          </w:p>
        </w:tc>
        <w:tc>
          <w:tcPr>
            <w:tcW w:w="1739" w:type="dxa"/>
            <w:tcBorders>
              <w:top w:val="nil"/>
              <w:left w:val="nil"/>
              <w:bottom w:val="nil"/>
              <w:right w:val="nil"/>
            </w:tcBorders>
            <w:vAlign w:val="bottom"/>
            <w:hideMark/>
          </w:tcPr>
          <w:p w14:paraId="67F300E3" w14:textId="77777777" w:rsidR="00A74C68" w:rsidRPr="00471CBA" w:rsidRDefault="00A74C68" w:rsidP="00A74C68">
            <w:pPr>
              <w:ind w:firstLineChars="200" w:firstLine="400"/>
              <w:jc w:val="right"/>
              <w:rPr>
                <w:color w:val="000000"/>
                <w:szCs w:val="20"/>
                <w:lang w:eastAsia="tr-TR"/>
              </w:rPr>
            </w:pPr>
            <w:r w:rsidRPr="00471CBA">
              <w:rPr>
                <w:color w:val="000000"/>
                <w:szCs w:val="20"/>
                <w:lang w:eastAsia="tr-TR"/>
              </w:rPr>
              <w:t>-</w:t>
            </w:r>
          </w:p>
        </w:tc>
        <w:tc>
          <w:tcPr>
            <w:tcW w:w="1718" w:type="dxa"/>
            <w:tcBorders>
              <w:top w:val="nil"/>
              <w:left w:val="nil"/>
              <w:bottom w:val="nil"/>
              <w:right w:val="nil"/>
            </w:tcBorders>
            <w:vAlign w:val="bottom"/>
            <w:hideMark/>
          </w:tcPr>
          <w:p w14:paraId="7075ED10" w14:textId="77777777" w:rsidR="00A74C68" w:rsidRPr="00471CBA" w:rsidRDefault="00A74C68" w:rsidP="00A74C68">
            <w:pPr>
              <w:jc w:val="right"/>
              <w:rPr>
                <w:color w:val="000000"/>
                <w:szCs w:val="20"/>
                <w:lang w:eastAsia="tr-TR"/>
              </w:rPr>
            </w:pPr>
            <w:r w:rsidRPr="00471CBA">
              <w:rPr>
                <w:szCs w:val="20"/>
                <w:lang w:eastAsia="tr-TR"/>
              </w:rPr>
              <w:t>-</w:t>
            </w:r>
          </w:p>
        </w:tc>
        <w:tc>
          <w:tcPr>
            <w:tcW w:w="1804" w:type="dxa"/>
            <w:tcBorders>
              <w:top w:val="nil"/>
              <w:left w:val="nil"/>
              <w:bottom w:val="nil"/>
              <w:right w:val="nil"/>
            </w:tcBorders>
            <w:vAlign w:val="bottom"/>
            <w:hideMark/>
          </w:tcPr>
          <w:p w14:paraId="77146E87" w14:textId="77777777" w:rsidR="00A74C68" w:rsidRPr="00471CBA" w:rsidRDefault="00A74C68" w:rsidP="00A74C68">
            <w:pPr>
              <w:jc w:val="right"/>
              <w:rPr>
                <w:color w:val="000000"/>
                <w:szCs w:val="20"/>
                <w:lang w:eastAsia="tr-TR"/>
              </w:rPr>
            </w:pPr>
            <w:r w:rsidRPr="00471CBA">
              <w:rPr>
                <w:szCs w:val="20"/>
                <w:lang w:eastAsia="tr-TR"/>
              </w:rPr>
              <w:t>-</w:t>
            </w:r>
          </w:p>
        </w:tc>
      </w:tr>
      <w:tr w:rsidR="00A74C68" w:rsidRPr="00471CBA" w14:paraId="2A4CA7EF" w14:textId="77777777" w:rsidTr="00A74C68">
        <w:trPr>
          <w:divId w:val="1226452555"/>
          <w:trHeight w:val="230"/>
        </w:trPr>
        <w:tc>
          <w:tcPr>
            <w:tcW w:w="4474" w:type="dxa"/>
            <w:tcBorders>
              <w:top w:val="nil"/>
              <w:left w:val="nil"/>
              <w:bottom w:val="single" w:sz="4" w:space="0" w:color="auto"/>
              <w:right w:val="nil"/>
            </w:tcBorders>
            <w:vAlign w:val="bottom"/>
            <w:hideMark/>
          </w:tcPr>
          <w:p w14:paraId="0A2E1B05" w14:textId="77777777" w:rsidR="00A74C68" w:rsidRPr="00471CBA" w:rsidRDefault="00A74C68" w:rsidP="00A74C68">
            <w:pPr>
              <w:jc w:val="both"/>
              <w:rPr>
                <w:color w:val="000000"/>
                <w:szCs w:val="20"/>
                <w:lang w:eastAsia="tr-TR"/>
              </w:rPr>
            </w:pPr>
            <w:r w:rsidRPr="00471CBA">
              <w:rPr>
                <w:color w:val="000000"/>
                <w:szCs w:val="20"/>
                <w:lang w:eastAsia="tr-TR"/>
              </w:rPr>
              <w:t> </w:t>
            </w:r>
          </w:p>
        </w:tc>
        <w:tc>
          <w:tcPr>
            <w:tcW w:w="1739" w:type="dxa"/>
            <w:tcBorders>
              <w:top w:val="nil"/>
              <w:left w:val="nil"/>
              <w:bottom w:val="single" w:sz="4" w:space="0" w:color="auto"/>
              <w:right w:val="nil"/>
            </w:tcBorders>
            <w:noWrap/>
            <w:vAlign w:val="bottom"/>
            <w:hideMark/>
          </w:tcPr>
          <w:p w14:paraId="25CF33D5" w14:textId="77777777" w:rsidR="00A74C68" w:rsidRPr="00471CBA" w:rsidRDefault="00A74C68" w:rsidP="00A74C68">
            <w:pPr>
              <w:jc w:val="right"/>
              <w:rPr>
                <w:color w:val="000000"/>
                <w:szCs w:val="20"/>
                <w:lang w:eastAsia="tr-TR"/>
              </w:rPr>
            </w:pPr>
            <w:r w:rsidRPr="00471CBA">
              <w:rPr>
                <w:color w:val="000000"/>
                <w:szCs w:val="20"/>
                <w:lang w:eastAsia="tr-TR"/>
              </w:rPr>
              <w:t> </w:t>
            </w:r>
          </w:p>
        </w:tc>
        <w:tc>
          <w:tcPr>
            <w:tcW w:w="1718" w:type="dxa"/>
            <w:tcBorders>
              <w:top w:val="nil"/>
              <w:left w:val="nil"/>
              <w:bottom w:val="single" w:sz="4" w:space="0" w:color="auto"/>
              <w:right w:val="nil"/>
            </w:tcBorders>
            <w:noWrap/>
            <w:vAlign w:val="bottom"/>
            <w:hideMark/>
          </w:tcPr>
          <w:p w14:paraId="190441E1" w14:textId="77777777" w:rsidR="00A74C68" w:rsidRPr="00471CBA" w:rsidRDefault="00A74C68" w:rsidP="00A74C68">
            <w:pPr>
              <w:jc w:val="right"/>
              <w:rPr>
                <w:color w:val="000000"/>
                <w:szCs w:val="20"/>
                <w:lang w:eastAsia="tr-TR"/>
              </w:rPr>
            </w:pPr>
            <w:r w:rsidRPr="00471CBA">
              <w:rPr>
                <w:color w:val="000000"/>
                <w:szCs w:val="20"/>
                <w:lang w:eastAsia="tr-TR"/>
              </w:rPr>
              <w:t> </w:t>
            </w:r>
          </w:p>
        </w:tc>
        <w:tc>
          <w:tcPr>
            <w:tcW w:w="1804" w:type="dxa"/>
            <w:tcBorders>
              <w:top w:val="nil"/>
              <w:left w:val="nil"/>
              <w:bottom w:val="single" w:sz="4" w:space="0" w:color="auto"/>
              <w:right w:val="nil"/>
            </w:tcBorders>
            <w:noWrap/>
            <w:vAlign w:val="bottom"/>
            <w:hideMark/>
          </w:tcPr>
          <w:p w14:paraId="536023DD" w14:textId="77777777" w:rsidR="00A74C68" w:rsidRPr="00471CBA" w:rsidRDefault="00A74C68" w:rsidP="00A74C68">
            <w:pPr>
              <w:jc w:val="right"/>
              <w:rPr>
                <w:color w:val="000000"/>
                <w:szCs w:val="20"/>
                <w:lang w:eastAsia="tr-TR"/>
              </w:rPr>
            </w:pPr>
            <w:r w:rsidRPr="00471CBA">
              <w:rPr>
                <w:color w:val="000000"/>
                <w:szCs w:val="20"/>
                <w:lang w:eastAsia="tr-TR"/>
              </w:rPr>
              <w:t> </w:t>
            </w:r>
          </w:p>
        </w:tc>
      </w:tr>
      <w:tr w:rsidR="00A74C68" w:rsidRPr="00471CBA" w14:paraId="585C7E9C" w14:textId="77777777" w:rsidTr="00A74C68">
        <w:trPr>
          <w:divId w:val="1226452555"/>
          <w:trHeight w:val="230"/>
        </w:trPr>
        <w:tc>
          <w:tcPr>
            <w:tcW w:w="4474" w:type="dxa"/>
            <w:tcBorders>
              <w:top w:val="single" w:sz="4" w:space="0" w:color="auto"/>
              <w:left w:val="nil"/>
              <w:bottom w:val="single" w:sz="4" w:space="0" w:color="auto"/>
              <w:right w:val="nil"/>
            </w:tcBorders>
            <w:vAlign w:val="center"/>
            <w:hideMark/>
          </w:tcPr>
          <w:p w14:paraId="59D33CB6" w14:textId="77777777" w:rsidR="00A74C68" w:rsidRPr="00471CBA" w:rsidRDefault="00A74C68" w:rsidP="00A74C68">
            <w:pPr>
              <w:rPr>
                <w:b/>
                <w:bCs/>
                <w:color w:val="000000"/>
                <w:szCs w:val="20"/>
                <w:lang w:eastAsia="tr-TR"/>
              </w:rPr>
            </w:pPr>
            <w:r w:rsidRPr="00471CBA">
              <w:rPr>
                <w:b/>
                <w:bCs/>
                <w:color w:val="000000"/>
                <w:szCs w:val="20"/>
                <w:lang w:eastAsia="tr-TR"/>
              </w:rPr>
              <w:t>Dönem Sonu Bakiyesi</w:t>
            </w:r>
          </w:p>
        </w:tc>
        <w:tc>
          <w:tcPr>
            <w:tcW w:w="1739" w:type="dxa"/>
            <w:tcBorders>
              <w:top w:val="single" w:sz="4" w:space="0" w:color="auto"/>
              <w:left w:val="nil"/>
              <w:bottom w:val="single" w:sz="4" w:space="0" w:color="auto"/>
              <w:right w:val="nil"/>
            </w:tcBorders>
            <w:vAlign w:val="bottom"/>
            <w:hideMark/>
          </w:tcPr>
          <w:p w14:paraId="17CCF77F" w14:textId="77777777" w:rsidR="00A74C68" w:rsidRPr="00471CBA" w:rsidRDefault="00A74C68" w:rsidP="00A74C68">
            <w:pPr>
              <w:jc w:val="right"/>
              <w:rPr>
                <w:b/>
                <w:bCs/>
                <w:color w:val="000000"/>
                <w:szCs w:val="20"/>
                <w:lang w:eastAsia="tr-TR"/>
              </w:rPr>
            </w:pPr>
            <w:r w:rsidRPr="00471CBA">
              <w:rPr>
                <w:b/>
                <w:bCs/>
                <w:color w:val="000000"/>
                <w:szCs w:val="20"/>
                <w:lang w:eastAsia="tr-TR"/>
              </w:rPr>
              <w:t>347.855</w:t>
            </w:r>
          </w:p>
        </w:tc>
        <w:tc>
          <w:tcPr>
            <w:tcW w:w="1718" w:type="dxa"/>
            <w:tcBorders>
              <w:top w:val="single" w:sz="4" w:space="0" w:color="auto"/>
              <w:left w:val="nil"/>
              <w:bottom w:val="single" w:sz="4" w:space="0" w:color="auto"/>
              <w:right w:val="nil"/>
            </w:tcBorders>
            <w:vAlign w:val="bottom"/>
            <w:hideMark/>
          </w:tcPr>
          <w:p w14:paraId="2D3F93C3" w14:textId="77777777" w:rsidR="00A74C68" w:rsidRPr="00471CBA" w:rsidRDefault="00A74C68" w:rsidP="00A74C68">
            <w:pPr>
              <w:jc w:val="right"/>
              <w:rPr>
                <w:b/>
                <w:bCs/>
                <w:color w:val="000000"/>
                <w:szCs w:val="20"/>
                <w:lang w:eastAsia="tr-TR"/>
              </w:rPr>
            </w:pPr>
            <w:r w:rsidRPr="00471CBA">
              <w:rPr>
                <w:b/>
                <w:bCs/>
                <w:color w:val="000000"/>
                <w:szCs w:val="20"/>
                <w:lang w:eastAsia="tr-TR"/>
              </w:rPr>
              <w:t>40.650</w:t>
            </w:r>
          </w:p>
        </w:tc>
        <w:tc>
          <w:tcPr>
            <w:tcW w:w="1804" w:type="dxa"/>
            <w:tcBorders>
              <w:top w:val="single" w:sz="4" w:space="0" w:color="auto"/>
              <w:left w:val="nil"/>
              <w:bottom w:val="single" w:sz="4" w:space="0" w:color="auto"/>
              <w:right w:val="nil"/>
            </w:tcBorders>
            <w:vAlign w:val="bottom"/>
            <w:hideMark/>
          </w:tcPr>
          <w:p w14:paraId="7B146465" w14:textId="77777777" w:rsidR="00A74C68" w:rsidRPr="00471CBA" w:rsidRDefault="00A74C68" w:rsidP="00A74C68">
            <w:pPr>
              <w:jc w:val="right"/>
              <w:rPr>
                <w:b/>
                <w:bCs/>
                <w:color w:val="000000"/>
                <w:szCs w:val="20"/>
                <w:lang w:eastAsia="tr-TR"/>
              </w:rPr>
            </w:pPr>
            <w:r w:rsidRPr="00471CBA">
              <w:rPr>
                <w:b/>
                <w:bCs/>
                <w:color w:val="000000"/>
                <w:szCs w:val="20"/>
                <w:lang w:eastAsia="tr-TR"/>
              </w:rPr>
              <w:t>-</w:t>
            </w:r>
          </w:p>
        </w:tc>
      </w:tr>
      <w:tr w:rsidR="00A74C68" w:rsidRPr="00471CBA" w14:paraId="11DFA0E5" w14:textId="77777777" w:rsidTr="00A74C68">
        <w:trPr>
          <w:divId w:val="1226452555"/>
          <w:trHeight w:val="230"/>
        </w:trPr>
        <w:tc>
          <w:tcPr>
            <w:tcW w:w="4474" w:type="dxa"/>
            <w:tcBorders>
              <w:top w:val="nil"/>
              <w:left w:val="nil"/>
              <w:bottom w:val="single" w:sz="4" w:space="0" w:color="auto"/>
              <w:right w:val="nil"/>
            </w:tcBorders>
            <w:vAlign w:val="center"/>
            <w:hideMark/>
          </w:tcPr>
          <w:p w14:paraId="6F7213B1" w14:textId="77777777" w:rsidR="00A74C68" w:rsidRPr="00471CBA" w:rsidRDefault="00A74C68" w:rsidP="00A74C68">
            <w:pPr>
              <w:ind w:firstLineChars="200" w:firstLine="400"/>
              <w:rPr>
                <w:color w:val="000000"/>
                <w:szCs w:val="20"/>
                <w:lang w:eastAsia="tr-TR"/>
              </w:rPr>
            </w:pPr>
            <w:r w:rsidRPr="00471CBA">
              <w:rPr>
                <w:color w:val="000000"/>
                <w:szCs w:val="20"/>
                <w:lang w:eastAsia="tr-TR"/>
              </w:rPr>
              <w:t>Karşılık (-)</w:t>
            </w:r>
          </w:p>
        </w:tc>
        <w:tc>
          <w:tcPr>
            <w:tcW w:w="1739" w:type="dxa"/>
            <w:tcBorders>
              <w:top w:val="single" w:sz="4" w:space="0" w:color="auto"/>
              <w:left w:val="nil"/>
              <w:bottom w:val="single" w:sz="4" w:space="0" w:color="auto"/>
              <w:right w:val="nil"/>
            </w:tcBorders>
            <w:vAlign w:val="bottom"/>
            <w:hideMark/>
          </w:tcPr>
          <w:p w14:paraId="066A5228" w14:textId="77777777" w:rsidR="00A74C68" w:rsidRPr="00471CBA" w:rsidRDefault="00A74C68" w:rsidP="00A74C68">
            <w:pPr>
              <w:jc w:val="right"/>
              <w:rPr>
                <w:color w:val="000000"/>
                <w:szCs w:val="20"/>
                <w:lang w:eastAsia="tr-TR"/>
              </w:rPr>
            </w:pPr>
            <w:r w:rsidRPr="00471CBA">
              <w:rPr>
                <w:color w:val="000000"/>
                <w:szCs w:val="20"/>
                <w:lang w:eastAsia="tr-TR"/>
              </w:rPr>
              <w:t>347.855</w:t>
            </w:r>
          </w:p>
        </w:tc>
        <w:tc>
          <w:tcPr>
            <w:tcW w:w="1718" w:type="dxa"/>
            <w:tcBorders>
              <w:top w:val="single" w:sz="4" w:space="0" w:color="auto"/>
              <w:left w:val="nil"/>
              <w:bottom w:val="single" w:sz="4" w:space="0" w:color="auto"/>
              <w:right w:val="nil"/>
            </w:tcBorders>
            <w:vAlign w:val="bottom"/>
            <w:hideMark/>
          </w:tcPr>
          <w:p w14:paraId="37DE8EE4" w14:textId="77777777" w:rsidR="00A74C68" w:rsidRPr="00471CBA" w:rsidRDefault="00A74C68" w:rsidP="00A74C68">
            <w:pPr>
              <w:jc w:val="right"/>
              <w:rPr>
                <w:color w:val="000000"/>
                <w:szCs w:val="20"/>
                <w:lang w:eastAsia="tr-TR"/>
              </w:rPr>
            </w:pPr>
            <w:r w:rsidRPr="00471CBA">
              <w:rPr>
                <w:color w:val="000000"/>
                <w:szCs w:val="20"/>
                <w:lang w:eastAsia="tr-TR"/>
              </w:rPr>
              <w:t>40.650</w:t>
            </w:r>
          </w:p>
        </w:tc>
        <w:tc>
          <w:tcPr>
            <w:tcW w:w="1804" w:type="dxa"/>
            <w:tcBorders>
              <w:top w:val="single" w:sz="4" w:space="0" w:color="auto"/>
              <w:left w:val="nil"/>
              <w:bottom w:val="single" w:sz="4" w:space="0" w:color="auto"/>
              <w:right w:val="nil"/>
            </w:tcBorders>
            <w:vAlign w:val="bottom"/>
            <w:hideMark/>
          </w:tcPr>
          <w:p w14:paraId="701C89CE" w14:textId="77777777" w:rsidR="00A74C68" w:rsidRPr="00471CBA" w:rsidRDefault="00A74C68" w:rsidP="00A74C68">
            <w:pPr>
              <w:jc w:val="right"/>
              <w:rPr>
                <w:color w:val="000000"/>
                <w:szCs w:val="20"/>
                <w:lang w:eastAsia="tr-TR"/>
              </w:rPr>
            </w:pPr>
            <w:r w:rsidRPr="00471CBA">
              <w:rPr>
                <w:color w:val="000000"/>
                <w:szCs w:val="20"/>
                <w:lang w:eastAsia="tr-TR"/>
              </w:rPr>
              <w:t>-</w:t>
            </w:r>
          </w:p>
        </w:tc>
      </w:tr>
      <w:tr w:rsidR="00A74C68" w:rsidRPr="00471CBA" w14:paraId="5486E781" w14:textId="77777777" w:rsidTr="00A74C68">
        <w:trPr>
          <w:divId w:val="1226452555"/>
          <w:trHeight w:val="230"/>
        </w:trPr>
        <w:tc>
          <w:tcPr>
            <w:tcW w:w="4474" w:type="dxa"/>
            <w:tcBorders>
              <w:top w:val="nil"/>
              <w:left w:val="nil"/>
              <w:bottom w:val="single" w:sz="4" w:space="0" w:color="auto"/>
              <w:right w:val="nil"/>
            </w:tcBorders>
            <w:vAlign w:val="center"/>
            <w:hideMark/>
          </w:tcPr>
          <w:p w14:paraId="4B2C2AD0" w14:textId="77777777" w:rsidR="00A74C68" w:rsidRPr="00471CBA" w:rsidRDefault="00A74C68" w:rsidP="00A74C68">
            <w:pPr>
              <w:rPr>
                <w:b/>
                <w:bCs/>
                <w:color w:val="000000"/>
                <w:szCs w:val="20"/>
                <w:lang w:eastAsia="tr-TR"/>
              </w:rPr>
            </w:pPr>
            <w:r w:rsidRPr="00471CBA">
              <w:rPr>
                <w:b/>
                <w:bCs/>
                <w:color w:val="000000"/>
                <w:szCs w:val="20"/>
                <w:lang w:eastAsia="tr-TR"/>
              </w:rPr>
              <w:t>Bilançodaki net bakiyesi</w:t>
            </w:r>
          </w:p>
        </w:tc>
        <w:tc>
          <w:tcPr>
            <w:tcW w:w="1739" w:type="dxa"/>
            <w:tcBorders>
              <w:top w:val="single" w:sz="4" w:space="0" w:color="auto"/>
              <w:left w:val="nil"/>
              <w:bottom w:val="single" w:sz="4" w:space="0" w:color="auto"/>
              <w:right w:val="nil"/>
            </w:tcBorders>
            <w:vAlign w:val="bottom"/>
            <w:hideMark/>
          </w:tcPr>
          <w:p w14:paraId="78733B2F" w14:textId="77777777" w:rsidR="00A74C68" w:rsidRPr="00471CBA" w:rsidRDefault="00A74C68" w:rsidP="00A74C68">
            <w:pPr>
              <w:jc w:val="right"/>
              <w:rPr>
                <w:b/>
                <w:bCs/>
                <w:color w:val="000000"/>
                <w:szCs w:val="20"/>
                <w:lang w:eastAsia="tr-TR"/>
              </w:rPr>
            </w:pPr>
            <w:r w:rsidRPr="00471CBA">
              <w:rPr>
                <w:b/>
                <w:bCs/>
                <w:color w:val="000000"/>
                <w:szCs w:val="20"/>
                <w:lang w:eastAsia="tr-TR"/>
              </w:rPr>
              <w:t>-</w:t>
            </w:r>
          </w:p>
        </w:tc>
        <w:tc>
          <w:tcPr>
            <w:tcW w:w="1718" w:type="dxa"/>
            <w:tcBorders>
              <w:top w:val="single" w:sz="4" w:space="0" w:color="auto"/>
              <w:left w:val="nil"/>
              <w:bottom w:val="single" w:sz="4" w:space="0" w:color="auto"/>
              <w:right w:val="nil"/>
            </w:tcBorders>
            <w:vAlign w:val="bottom"/>
            <w:hideMark/>
          </w:tcPr>
          <w:p w14:paraId="77B2812B" w14:textId="77777777" w:rsidR="00A74C68" w:rsidRPr="00471CBA" w:rsidRDefault="00A74C68" w:rsidP="00A74C68">
            <w:pPr>
              <w:jc w:val="right"/>
              <w:rPr>
                <w:b/>
                <w:bCs/>
                <w:color w:val="000000"/>
                <w:szCs w:val="20"/>
                <w:lang w:eastAsia="tr-TR"/>
              </w:rPr>
            </w:pPr>
            <w:r w:rsidRPr="00471CBA">
              <w:rPr>
                <w:b/>
                <w:bCs/>
                <w:color w:val="000000"/>
                <w:szCs w:val="20"/>
                <w:lang w:eastAsia="tr-TR"/>
              </w:rPr>
              <w:t>-</w:t>
            </w:r>
          </w:p>
        </w:tc>
        <w:tc>
          <w:tcPr>
            <w:tcW w:w="1804" w:type="dxa"/>
            <w:tcBorders>
              <w:top w:val="single" w:sz="4" w:space="0" w:color="auto"/>
              <w:left w:val="nil"/>
              <w:bottom w:val="single" w:sz="4" w:space="0" w:color="auto"/>
              <w:right w:val="nil"/>
            </w:tcBorders>
            <w:vAlign w:val="bottom"/>
            <w:hideMark/>
          </w:tcPr>
          <w:p w14:paraId="16123BA5" w14:textId="77777777" w:rsidR="00A74C68" w:rsidRPr="00471CBA" w:rsidRDefault="00A74C68" w:rsidP="00A74C68">
            <w:pPr>
              <w:jc w:val="right"/>
              <w:rPr>
                <w:b/>
                <w:bCs/>
                <w:color w:val="000000"/>
                <w:szCs w:val="20"/>
                <w:lang w:eastAsia="tr-TR"/>
              </w:rPr>
            </w:pPr>
            <w:r w:rsidRPr="00471CBA">
              <w:rPr>
                <w:b/>
                <w:bCs/>
                <w:color w:val="000000"/>
                <w:szCs w:val="20"/>
                <w:lang w:eastAsia="tr-TR"/>
              </w:rPr>
              <w:t>-</w:t>
            </w:r>
          </w:p>
        </w:tc>
      </w:tr>
    </w:tbl>
    <w:p w14:paraId="680150E9" w14:textId="121F402E" w:rsidR="008D5543" w:rsidRPr="00471CBA" w:rsidRDefault="008D5543" w:rsidP="003A29A6"/>
    <w:p w14:paraId="0C22E5E1" w14:textId="42EC91B9" w:rsidR="00385379" w:rsidRPr="00471CBA" w:rsidRDefault="00385379" w:rsidP="00080449">
      <w:pPr>
        <w:ind w:left="567" w:hanging="567"/>
        <w:rPr>
          <w:b/>
          <w:szCs w:val="20"/>
        </w:rPr>
      </w:pPr>
      <w:r w:rsidRPr="00471CBA">
        <w:rPr>
          <w:b/>
          <w:szCs w:val="20"/>
        </w:rPr>
        <w:t>h.3.</w:t>
      </w:r>
      <w:r w:rsidRPr="00471CBA">
        <w:rPr>
          <w:b/>
          <w:szCs w:val="20"/>
        </w:rPr>
        <w:tab/>
        <w:t>Yabancı para olarak kullandırılan kredilerden kaynaklanan donuk alacaklara ilişkin bilgiler:</w:t>
      </w:r>
    </w:p>
    <w:p w14:paraId="28C072F8" w14:textId="51ADC304" w:rsidR="00A74C68" w:rsidRPr="00471CBA" w:rsidRDefault="00A74C68"/>
    <w:tbl>
      <w:tblPr>
        <w:tblW w:w="9729" w:type="dxa"/>
        <w:tblCellMar>
          <w:left w:w="70" w:type="dxa"/>
          <w:right w:w="70" w:type="dxa"/>
        </w:tblCellMar>
        <w:tblLook w:val="04A0" w:firstRow="1" w:lastRow="0" w:firstColumn="1" w:lastColumn="0" w:noHBand="0" w:noVBand="1"/>
      </w:tblPr>
      <w:tblGrid>
        <w:gridCol w:w="4480"/>
        <w:gridCol w:w="1749"/>
        <w:gridCol w:w="1694"/>
        <w:gridCol w:w="1806"/>
      </w:tblGrid>
      <w:tr w:rsidR="00A74C68" w:rsidRPr="00471CBA" w14:paraId="23A8CBB8" w14:textId="77777777" w:rsidTr="00A74C68">
        <w:trPr>
          <w:divId w:val="2114519780"/>
          <w:trHeight w:val="227"/>
        </w:trPr>
        <w:tc>
          <w:tcPr>
            <w:tcW w:w="4480" w:type="dxa"/>
            <w:tcBorders>
              <w:top w:val="single" w:sz="4" w:space="0" w:color="auto"/>
              <w:left w:val="nil"/>
              <w:bottom w:val="nil"/>
              <w:right w:val="nil"/>
            </w:tcBorders>
            <w:vAlign w:val="bottom"/>
            <w:hideMark/>
          </w:tcPr>
          <w:p w14:paraId="750C4F3B" w14:textId="6BA80B25" w:rsidR="00A74C68" w:rsidRPr="00471CBA" w:rsidRDefault="00A74C68" w:rsidP="00A74C68">
            <w:pPr>
              <w:jc w:val="both"/>
              <w:rPr>
                <w:b/>
                <w:bCs/>
                <w:color w:val="000000"/>
                <w:szCs w:val="20"/>
                <w:lang w:eastAsia="tr-TR"/>
              </w:rPr>
            </w:pPr>
            <w:r w:rsidRPr="00471CBA">
              <w:rPr>
                <w:b/>
                <w:bCs/>
                <w:color w:val="000000"/>
                <w:szCs w:val="20"/>
                <w:lang w:eastAsia="tr-TR"/>
              </w:rPr>
              <w:t> </w:t>
            </w:r>
          </w:p>
        </w:tc>
        <w:tc>
          <w:tcPr>
            <w:tcW w:w="1749" w:type="dxa"/>
            <w:tcBorders>
              <w:top w:val="single" w:sz="4" w:space="0" w:color="auto"/>
              <w:left w:val="nil"/>
              <w:bottom w:val="single" w:sz="4" w:space="0" w:color="auto"/>
              <w:right w:val="nil"/>
            </w:tcBorders>
            <w:hideMark/>
          </w:tcPr>
          <w:p w14:paraId="74488384" w14:textId="77777777" w:rsidR="00A74C68" w:rsidRPr="00471CBA" w:rsidRDefault="00A74C68" w:rsidP="00A74C68">
            <w:pPr>
              <w:jc w:val="right"/>
              <w:rPr>
                <w:b/>
                <w:bCs/>
                <w:color w:val="000000"/>
                <w:szCs w:val="20"/>
                <w:lang w:eastAsia="tr-TR"/>
              </w:rPr>
            </w:pPr>
            <w:r w:rsidRPr="00471CBA">
              <w:rPr>
                <w:b/>
                <w:bCs/>
                <w:iCs/>
                <w:color w:val="000000"/>
                <w:szCs w:val="20"/>
                <w:lang w:eastAsia="tr-TR"/>
              </w:rPr>
              <w:t>III. Grup</w:t>
            </w:r>
          </w:p>
        </w:tc>
        <w:tc>
          <w:tcPr>
            <w:tcW w:w="1694" w:type="dxa"/>
            <w:tcBorders>
              <w:top w:val="single" w:sz="4" w:space="0" w:color="auto"/>
              <w:left w:val="nil"/>
              <w:bottom w:val="single" w:sz="4" w:space="0" w:color="auto"/>
              <w:right w:val="nil"/>
            </w:tcBorders>
            <w:hideMark/>
          </w:tcPr>
          <w:p w14:paraId="1CEA6441" w14:textId="77777777" w:rsidR="00A74C68" w:rsidRPr="00471CBA" w:rsidRDefault="00A74C68" w:rsidP="00A74C68">
            <w:pPr>
              <w:jc w:val="right"/>
              <w:rPr>
                <w:b/>
                <w:bCs/>
                <w:color w:val="000000"/>
                <w:szCs w:val="20"/>
                <w:lang w:eastAsia="tr-TR"/>
              </w:rPr>
            </w:pPr>
            <w:r w:rsidRPr="00471CBA">
              <w:rPr>
                <w:b/>
                <w:bCs/>
                <w:color w:val="000000"/>
                <w:szCs w:val="20"/>
                <w:lang w:eastAsia="tr-TR"/>
              </w:rPr>
              <w:t>IV. Grup</w:t>
            </w:r>
          </w:p>
        </w:tc>
        <w:tc>
          <w:tcPr>
            <w:tcW w:w="1806" w:type="dxa"/>
            <w:tcBorders>
              <w:top w:val="single" w:sz="4" w:space="0" w:color="auto"/>
              <w:left w:val="nil"/>
              <w:bottom w:val="single" w:sz="4" w:space="0" w:color="auto"/>
              <w:right w:val="nil"/>
            </w:tcBorders>
            <w:hideMark/>
          </w:tcPr>
          <w:p w14:paraId="6714CA7B" w14:textId="77777777" w:rsidR="00A74C68" w:rsidRPr="00471CBA" w:rsidRDefault="00A74C68" w:rsidP="00A74C68">
            <w:pPr>
              <w:jc w:val="right"/>
              <w:rPr>
                <w:b/>
                <w:bCs/>
                <w:color w:val="000000"/>
                <w:szCs w:val="20"/>
                <w:lang w:eastAsia="tr-TR"/>
              </w:rPr>
            </w:pPr>
            <w:r w:rsidRPr="00471CBA">
              <w:rPr>
                <w:b/>
                <w:bCs/>
                <w:color w:val="000000"/>
                <w:szCs w:val="20"/>
                <w:lang w:eastAsia="tr-TR"/>
              </w:rPr>
              <w:t>V. Grup</w:t>
            </w:r>
          </w:p>
        </w:tc>
      </w:tr>
      <w:tr w:rsidR="00A74C68" w:rsidRPr="00471CBA" w14:paraId="73C6029C" w14:textId="77777777" w:rsidTr="00A74C68">
        <w:trPr>
          <w:divId w:val="2114519780"/>
          <w:trHeight w:val="227"/>
        </w:trPr>
        <w:tc>
          <w:tcPr>
            <w:tcW w:w="4480" w:type="dxa"/>
            <w:tcBorders>
              <w:top w:val="nil"/>
              <w:left w:val="nil"/>
              <w:bottom w:val="single" w:sz="4" w:space="0" w:color="auto"/>
              <w:right w:val="nil"/>
            </w:tcBorders>
            <w:vAlign w:val="bottom"/>
            <w:hideMark/>
          </w:tcPr>
          <w:p w14:paraId="1D9C0F10" w14:textId="77777777" w:rsidR="00A74C68" w:rsidRPr="00471CBA" w:rsidRDefault="00A74C68" w:rsidP="00A74C68">
            <w:pPr>
              <w:jc w:val="both"/>
              <w:rPr>
                <w:b/>
                <w:bCs/>
                <w:color w:val="000000"/>
                <w:szCs w:val="20"/>
                <w:lang w:eastAsia="tr-TR"/>
              </w:rPr>
            </w:pPr>
            <w:r w:rsidRPr="00471CBA">
              <w:rPr>
                <w:b/>
                <w:bCs/>
                <w:color w:val="000000"/>
                <w:szCs w:val="20"/>
                <w:lang w:eastAsia="tr-TR"/>
              </w:rPr>
              <w:t> </w:t>
            </w:r>
          </w:p>
        </w:tc>
        <w:tc>
          <w:tcPr>
            <w:tcW w:w="1749" w:type="dxa"/>
            <w:tcBorders>
              <w:top w:val="single" w:sz="4" w:space="0" w:color="auto"/>
              <w:left w:val="nil"/>
              <w:bottom w:val="single" w:sz="4" w:space="0" w:color="auto"/>
              <w:right w:val="nil"/>
            </w:tcBorders>
            <w:hideMark/>
          </w:tcPr>
          <w:p w14:paraId="06FA9BA7" w14:textId="77777777" w:rsidR="00A74C68" w:rsidRPr="00471CBA" w:rsidRDefault="00A74C68" w:rsidP="00A74C68">
            <w:pPr>
              <w:jc w:val="right"/>
              <w:rPr>
                <w:b/>
                <w:bCs/>
                <w:color w:val="000000"/>
                <w:szCs w:val="20"/>
                <w:lang w:eastAsia="tr-TR"/>
              </w:rPr>
            </w:pPr>
            <w:r w:rsidRPr="00471CBA">
              <w:rPr>
                <w:b/>
                <w:bCs/>
                <w:iCs/>
                <w:color w:val="000000"/>
                <w:szCs w:val="20"/>
                <w:lang w:eastAsia="tr-TR"/>
              </w:rPr>
              <w:t>Tahsil İmkânı Sınırlı Krediler</w:t>
            </w:r>
          </w:p>
        </w:tc>
        <w:tc>
          <w:tcPr>
            <w:tcW w:w="1694" w:type="dxa"/>
            <w:tcBorders>
              <w:top w:val="single" w:sz="4" w:space="0" w:color="auto"/>
              <w:left w:val="nil"/>
              <w:bottom w:val="single" w:sz="4" w:space="0" w:color="auto"/>
              <w:right w:val="nil"/>
            </w:tcBorders>
            <w:hideMark/>
          </w:tcPr>
          <w:p w14:paraId="57320A0B" w14:textId="77777777" w:rsidR="00A74C68" w:rsidRPr="00471CBA" w:rsidRDefault="00A74C68" w:rsidP="00A74C68">
            <w:pPr>
              <w:jc w:val="right"/>
              <w:rPr>
                <w:b/>
                <w:bCs/>
                <w:color w:val="000000"/>
                <w:szCs w:val="20"/>
                <w:lang w:eastAsia="tr-TR"/>
              </w:rPr>
            </w:pPr>
            <w:r w:rsidRPr="00471CBA">
              <w:rPr>
                <w:b/>
                <w:bCs/>
                <w:color w:val="000000"/>
                <w:szCs w:val="20"/>
                <w:lang w:eastAsia="tr-TR"/>
              </w:rPr>
              <w:t xml:space="preserve">Tahsili Şüpheli Krediler </w:t>
            </w:r>
          </w:p>
        </w:tc>
        <w:tc>
          <w:tcPr>
            <w:tcW w:w="1806" w:type="dxa"/>
            <w:tcBorders>
              <w:top w:val="single" w:sz="4" w:space="0" w:color="auto"/>
              <w:left w:val="nil"/>
              <w:bottom w:val="single" w:sz="4" w:space="0" w:color="auto"/>
              <w:right w:val="nil"/>
            </w:tcBorders>
            <w:hideMark/>
          </w:tcPr>
          <w:p w14:paraId="35B82090" w14:textId="77777777" w:rsidR="00A74C68" w:rsidRPr="00471CBA" w:rsidRDefault="00A74C68" w:rsidP="00A74C68">
            <w:pPr>
              <w:jc w:val="right"/>
              <w:rPr>
                <w:b/>
                <w:bCs/>
                <w:color w:val="000000"/>
                <w:szCs w:val="20"/>
                <w:lang w:eastAsia="tr-TR"/>
              </w:rPr>
            </w:pPr>
            <w:r w:rsidRPr="00471CBA">
              <w:rPr>
                <w:b/>
                <w:bCs/>
                <w:color w:val="000000"/>
                <w:szCs w:val="20"/>
                <w:lang w:eastAsia="tr-TR"/>
              </w:rPr>
              <w:t xml:space="preserve">Zarar Niteliğindeki Krediler </w:t>
            </w:r>
          </w:p>
        </w:tc>
      </w:tr>
      <w:tr w:rsidR="00A74C68" w:rsidRPr="00471CBA" w14:paraId="761F3342" w14:textId="77777777" w:rsidTr="00A74C68">
        <w:trPr>
          <w:divId w:val="2114519780"/>
          <w:trHeight w:val="227"/>
        </w:trPr>
        <w:tc>
          <w:tcPr>
            <w:tcW w:w="4480" w:type="dxa"/>
            <w:tcBorders>
              <w:top w:val="nil"/>
              <w:left w:val="nil"/>
              <w:bottom w:val="nil"/>
              <w:right w:val="nil"/>
            </w:tcBorders>
            <w:noWrap/>
            <w:vAlign w:val="center"/>
            <w:hideMark/>
          </w:tcPr>
          <w:p w14:paraId="0E5F13C2" w14:textId="77777777" w:rsidR="00A74C68" w:rsidRPr="00471CBA" w:rsidRDefault="00A74C68" w:rsidP="00A74C68">
            <w:pPr>
              <w:rPr>
                <w:b/>
                <w:bCs/>
                <w:color w:val="000000"/>
                <w:szCs w:val="20"/>
                <w:lang w:eastAsia="tr-TR"/>
              </w:rPr>
            </w:pPr>
            <w:r w:rsidRPr="00471CBA">
              <w:rPr>
                <w:b/>
                <w:bCs/>
                <w:color w:val="000000"/>
                <w:szCs w:val="20"/>
                <w:lang w:eastAsia="tr-TR"/>
              </w:rPr>
              <w:t>31 Aralık 2025</w:t>
            </w:r>
          </w:p>
        </w:tc>
        <w:tc>
          <w:tcPr>
            <w:tcW w:w="1749" w:type="dxa"/>
            <w:tcBorders>
              <w:top w:val="nil"/>
              <w:left w:val="nil"/>
              <w:bottom w:val="nil"/>
              <w:right w:val="nil"/>
            </w:tcBorders>
            <w:vAlign w:val="bottom"/>
            <w:hideMark/>
          </w:tcPr>
          <w:p w14:paraId="7085C155" w14:textId="77777777" w:rsidR="00A74C68" w:rsidRPr="00471CBA" w:rsidRDefault="00A74C68" w:rsidP="00A74C68">
            <w:pPr>
              <w:jc w:val="right"/>
              <w:rPr>
                <w:color w:val="000000"/>
                <w:szCs w:val="20"/>
                <w:lang w:eastAsia="tr-TR"/>
              </w:rPr>
            </w:pPr>
            <w:r w:rsidRPr="00471CBA">
              <w:rPr>
                <w:color w:val="000000"/>
                <w:szCs w:val="20"/>
                <w:lang w:eastAsia="tr-TR"/>
              </w:rPr>
              <w:t> </w:t>
            </w:r>
          </w:p>
        </w:tc>
        <w:tc>
          <w:tcPr>
            <w:tcW w:w="1694" w:type="dxa"/>
            <w:tcBorders>
              <w:top w:val="nil"/>
              <w:left w:val="nil"/>
              <w:bottom w:val="nil"/>
              <w:right w:val="nil"/>
            </w:tcBorders>
            <w:vAlign w:val="bottom"/>
            <w:hideMark/>
          </w:tcPr>
          <w:p w14:paraId="5656BB23" w14:textId="77777777" w:rsidR="00A74C68" w:rsidRPr="00471CBA" w:rsidRDefault="00A74C68" w:rsidP="00A74C68">
            <w:pPr>
              <w:jc w:val="right"/>
              <w:rPr>
                <w:color w:val="000000"/>
                <w:szCs w:val="20"/>
                <w:lang w:eastAsia="tr-TR"/>
              </w:rPr>
            </w:pPr>
            <w:r w:rsidRPr="00471CBA">
              <w:rPr>
                <w:color w:val="000000"/>
                <w:szCs w:val="20"/>
                <w:lang w:eastAsia="tr-TR"/>
              </w:rPr>
              <w:t> </w:t>
            </w:r>
          </w:p>
        </w:tc>
        <w:tc>
          <w:tcPr>
            <w:tcW w:w="1806" w:type="dxa"/>
            <w:tcBorders>
              <w:top w:val="nil"/>
              <w:left w:val="nil"/>
              <w:bottom w:val="nil"/>
              <w:right w:val="nil"/>
            </w:tcBorders>
            <w:vAlign w:val="bottom"/>
            <w:hideMark/>
          </w:tcPr>
          <w:p w14:paraId="5855FEDC" w14:textId="77777777" w:rsidR="00A74C68" w:rsidRPr="00471CBA" w:rsidRDefault="00A74C68" w:rsidP="00A74C68">
            <w:pPr>
              <w:jc w:val="right"/>
              <w:rPr>
                <w:color w:val="000000"/>
                <w:szCs w:val="20"/>
                <w:lang w:eastAsia="tr-TR"/>
              </w:rPr>
            </w:pPr>
            <w:r w:rsidRPr="00471CBA">
              <w:rPr>
                <w:color w:val="000000"/>
                <w:szCs w:val="20"/>
                <w:lang w:eastAsia="tr-TR"/>
              </w:rPr>
              <w:t> </w:t>
            </w:r>
          </w:p>
        </w:tc>
      </w:tr>
      <w:tr w:rsidR="00A74C68" w:rsidRPr="00471CBA" w14:paraId="05086367" w14:textId="77777777" w:rsidTr="00A74C68">
        <w:trPr>
          <w:divId w:val="2114519780"/>
          <w:trHeight w:val="227"/>
        </w:trPr>
        <w:tc>
          <w:tcPr>
            <w:tcW w:w="4480" w:type="dxa"/>
            <w:tcBorders>
              <w:top w:val="nil"/>
              <w:left w:val="nil"/>
              <w:bottom w:val="nil"/>
              <w:right w:val="nil"/>
            </w:tcBorders>
            <w:vAlign w:val="bottom"/>
            <w:hideMark/>
          </w:tcPr>
          <w:p w14:paraId="25FE560D" w14:textId="77777777" w:rsidR="00A74C68" w:rsidRPr="00471CBA" w:rsidRDefault="00A74C68" w:rsidP="00A74C68">
            <w:pPr>
              <w:rPr>
                <w:color w:val="000000"/>
                <w:szCs w:val="20"/>
                <w:lang w:eastAsia="tr-TR"/>
              </w:rPr>
            </w:pPr>
            <w:r w:rsidRPr="00471CBA">
              <w:rPr>
                <w:iCs/>
                <w:color w:val="000000"/>
                <w:szCs w:val="20"/>
                <w:lang w:eastAsia="tr-TR"/>
              </w:rPr>
              <w:t>Dönem Sonu Bakiyesi</w:t>
            </w:r>
          </w:p>
        </w:tc>
        <w:tc>
          <w:tcPr>
            <w:tcW w:w="1749" w:type="dxa"/>
            <w:tcBorders>
              <w:top w:val="nil"/>
              <w:left w:val="nil"/>
              <w:bottom w:val="nil"/>
              <w:right w:val="nil"/>
            </w:tcBorders>
            <w:vAlign w:val="center"/>
            <w:hideMark/>
          </w:tcPr>
          <w:p w14:paraId="2937F9EE" w14:textId="77777777" w:rsidR="00A74C68" w:rsidRPr="00471CBA" w:rsidRDefault="00A74C68" w:rsidP="00A74C68">
            <w:pPr>
              <w:jc w:val="right"/>
              <w:rPr>
                <w:color w:val="000000"/>
                <w:szCs w:val="20"/>
                <w:lang w:eastAsia="tr-TR"/>
              </w:rPr>
            </w:pPr>
            <w:r w:rsidRPr="00471CBA">
              <w:rPr>
                <w:color w:val="000000"/>
                <w:szCs w:val="20"/>
                <w:lang w:eastAsia="tr-TR"/>
              </w:rPr>
              <w:t>176.859</w:t>
            </w:r>
          </w:p>
        </w:tc>
        <w:tc>
          <w:tcPr>
            <w:tcW w:w="1694" w:type="dxa"/>
            <w:tcBorders>
              <w:top w:val="nil"/>
              <w:left w:val="nil"/>
              <w:bottom w:val="nil"/>
              <w:right w:val="nil"/>
            </w:tcBorders>
            <w:vAlign w:val="center"/>
            <w:hideMark/>
          </w:tcPr>
          <w:p w14:paraId="637BE4B1" w14:textId="77777777" w:rsidR="00A74C68" w:rsidRPr="00471CBA" w:rsidRDefault="00A74C68" w:rsidP="00A74C68">
            <w:pPr>
              <w:jc w:val="right"/>
              <w:rPr>
                <w:color w:val="000000"/>
                <w:szCs w:val="20"/>
                <w:lang w:eastAsia="tr-TR"/>
              </w:rPr>
            </w:pPr>
            <w:r w:rsidRPr="00471CBA">
              <w:rPr>
                <w:szCs w:val="20"/>
                <w:lang w:eastAsia="tr-TR"/>
              </w:rPr>
              <w:t>-</w:t>
            </w:r>
          </w:p>
        </w:tc>
        <w:tc>
          <w:tcPr>
            <w:tcW w:w="1806" w:type="dxa"/>
            <w:tcBorders>
              <w:top w:val="nil"/>
              <w:left w:val="nil"/>
              <w:bottom w:val="nil"/>
              <w:right w:val="nil"/>
            </w:tcBorders>
            <w:vAlign w:val="center"/>
            <w:hideMark/>
          </w:tcPr>
          <w:p w14:paraId="23015436" w14:textId="77777777" w:rsidR="00A74C68" w:rsidRPr="00471CBA" w:rsidRDefault="00A74C68" w:rsidP="00A74C68">
            <w:pPr>
              <w:jc w:val="right"/>
              <w:rPr>
                <w:color w:val="000000"/>
                <w:szCs w:val="20"/>
                <w:lang w:eastAsia="tr-TR"/>
              </w:rPr>
            </w:pPr>
            <w:r w:rsidRPr="00471CBA">
              <w:rPr>
                <w:szCs w:val="20"/>
                <w:lang w:eastAsia="tr-TR"/>
              </w:rPr>
              <w:t>-</w:t>
            </w:r>
          </w:p>
        </w:tc>
      </w:tr>
      <w:tr w:rsidR="00A74C68" w:rsidRPr="00471CBA" w14:paraId="1EB3A1DF" w14:textId="77777777" w:rsidTr="00A74C68">
        <w:trPr>
          <w:divId w:val="2114519780"/>
          <w:trHeight w:val="227"/>
        </w:trPr>
        <w:tc>
          <w:tcPr>
            <w:tcW w:w="4480" w:type="dxa"/>
            <w:tcBorders>
              <w:top w:val="nil"/>
              <w:left w:val="nil"/>
              <w:bottom w:val="nil"/>
              <w:right w:val="nil"/>
            </w:tcBorders>
            <w:vAlign w:val="bottom"/>
            <w:hideMark/>
          </w:tcPr>
          <w:p w14:paraId="2DDA1A58" w14:textId="77777777" w:rsidR="00A74C68" w:rsidRPr="00471CBA" w:rsidRDefault="00A74C68" w:rsidP="00A74C68">
            <w:pPr>
              <w:ind w:firstLineChars="200" w:firstLine="400"/>
              <w:rPr>
                <w:color w:val="000000"/>
                <w:szCs w:val="20"/>
                <w:lang w:eastAsia="tr-TR"/>
              </w:rPr>
            </w:pPr>
            <w:r w:rsidRPr="00471CBA">
              <w:rPr>
                <w:color w:val="000000"/>
                <w:szCs w:val="20"/>
                <w:lang w:eastAsia="tr-TR"/>
              </w:rPr>
              <w:t>Karşılık Tutarı (-)</w:t>
            </w:r>
          </w:p>
        </w:tc>
        <w:tc>
          <w:tcPr>
            <w:tcW w:w="1749" w:type="dxa"/>
            <w:tcBorders>
              <w:top w:val="nil"/>
              <w:left w:val="nil"/>
              <w:bottom w:val="nil"/>
              <w:right w:val="nil"/>
            </w:tcBorders>
            <w:vAlign w:val="center"/>
            <w:hideMark/>
          </w:tcPr>
          <w:p w14:paraId="23317717" w14:textId="77777777" w:rsidR="00A74C68" w:rsidRPr="00471CBA" w:rsidRDefault="00A74C68" w:rsidP="00A74C68">
            <w:pPr>
              <w:ind w:firstLineChars="200" w:firstLine="400"/>
              <w:jc w:val="right"/>
              <w:rPr>
                <w:color w:val="000000"/>
                <w:szCs w:val="20"/>
                <w:lang w:eastAsia="tr-TR"/>
              </w:rPr>
            </w:pPr>
            <w:r w:rsidRPr="00471CBA">
              <w:rPr>
                <w:color w:val="000000"/>
                <w:szCs w:val="20"/>
                <w:lang w:eastAsia="tr-TR"/>
              </w:rPr>
              <w:t>176.859</w:t>
            </w:r>
          </w:p>
        </w:tc>
        <w:tc>
          <w:tcPr>
            <w:tcW w:w="1694" w:type="dxa"/>
            <w:tcBorders>
              <w:top w:val="nil"/>
              <w:left w:val="nil"/>
              <w:bottom w:val="nil"/>
              <w:right w:val="nil"/>
            </w:tcBorders>
            <w:vAlign w:val="center"/>
            <w:hideMark/>
          </w:tcPr>
          <w:p w14:paraId="3BB26E05" w14:textId="77777777" w:rsidR="00A74C68" w:rsidRPr="00471CBA" w:rsidRDefault="00A74C68" w:rsidP="00A74C68">
            <w:pPr>
              <w:jc w:val="right"/>
              <w:rPr>
                <w:color w:val="000000"/>
                <w:szCs w:val="20"/>
                <w:lang w:eastAsia="tr-TR"/>
              </w:rPr>
            </w:pPr>
            <w:r w:rsidRPr="00471CBA">
              <w:rPr>
                <w:szCs w:val="20"/>
                <w:lang w:eastAsia="tr-TR"/>
              </w:rPr>
              <w:t>-</w:t>
            </w:r>
          </w:p>
        </w:tc>
        <w:tc>
          <w:tcPr>
            <w:tcW w:w="1806" w:type="dxa"/>
            <w:tcBorders>
              <w:top w:val="nil"/>
              <w:left w:val="nil"/>
              <w:bottom w:val="nil"/>
              <w:right w:val="nil"/>
            </w:tcBorders>
            <w:vAlign w:val="center"/>
            <w:hideMark/>
          </w:tcPr>
          <w:p w14:paraId="4733864A" w14:textId="77777777" w:rsidR="00A74C68" w:rsidRPr="00471CBA" w:rsidRDefault="00A74C68" w:rsidP="00A74C68">
            <w:pPr>
              <w:jc w:val="right"/>
              <w:rPr>
                <w:color w:val="000000"/>
                <w:szCs w:val="20"/>
                <w:lang w:eastAsia="tr-TR"/>
              </w:rPr>
            </w:pPr>
            <w:r w:rsidRPr="00471CBA">
              <w:rPr>
                <w:szCs w:val="20"/>
                <w:lang w:eastAsia="tr-TR"/>
              </w:rPr>
              <w:t>-</w:t>
            </w:r>
          </w:p>
        </w:tc>
      </w:tr>
      <w:tr w:rsidR="00A74C68" w:rsidRPr="00471CBA" w14:paraId="5C01263C" w14:textId="77777777" w:rsidTr="00A74C68">
        <w:trPr>
          <w:divId w:val="2114519780"/>
          <w:trHeight w:val="227"/>
        </w:trPr>
        <w:tc>
          <w:tcPr>
            <w:tcW w:w="4480" w:type="dxa"/>
            <w:tcBorders>
              <w:top w:val="nil"/>
              <w:left w:val="nil"/>
              <w:bottom w:val="nil"/>
              <w:right w:val="nil"/>
            </w:tcBorders>
            <w:vAlign w:val="bottom"/>
            <w:hideMark/>
          </w:tcPr>
          <w:p w14:paraId="6C55AB72" w14:textId="77777777" w:rsidR="00A74C68" w:rsidRPr="00471CBA" w:rsidRDefault="00A74C68" w:rsidP="00A74C68">
            <w:pPr>
              <w:ind w:firstLineChars="200" w:firstLine="400"/>
              <w:rPr>
                <w:color w:val="000000"/>
                <w:szCs w:val="20"/>
                <w:lang w:eastAsia="tr-TR"/>
              </w:rPr>
            </w:pPr>
            <w:r w:rsidRPr="00471CBA">
              <w:rPr>
                <w:iCs/>
                <w:color w:val="000000"/>
                <w:szCs w:val="20"/>
                <w:lang w:eastAsia="tr-TR"/>
              </w:rPr>
              <w:t> </w:t>
            </w:r>
          </w:p>
        </w:tc>
        <w:tc>
          <w:tcPr>
            <w:tcW w:w="1749" w:type="dxa"/>
            <w:tcBorders>
              <w:top w:val="nil"/>
              <w:left w:val="nil"/>
              <w:bottom w:val="nil"/>
              <w:right w:val="nil"/>
            </w:tcBorders>
            <w:vAlign w:val="bottom"/>
            <w:hideMark/>
          </w:tcPr>
          <w:p w14:paraId="2D9F2089" w14:textId="77777777" w:rsidR="00A74C68" w:rsidRPr="00471CBA" w:rsidRDefault="00A74C68" w:rsidP="00A74C68">
            <w:pPr>
              <w:ind w:firstLineChars="200" w:firstLine="400"/>
              <w:jc w:val="right"/>
              <w:rPr>
                <w:color w:val="000000"/>
                <w:szCs w:val="20"/>
                <w:lang w:eastAsia="tr-TR"/>
              </w:rPr>
            </w:pPr>
            <w:r w:rsidRPr="00471CBA">
              <w:rPr>
                <w:color w:val="000000"/>
                <w:szCs w:val="20"/>
                <w:lang w:eastAsia="tr-TR"/>
              </w:rPr>
              <w:t> </w:t>
            </w:r>
          </w:p>
        </w:tc>
        <w:tc>
          <w:tcPr>
            <w:tcW w:w="1694" w:type="dxa"/>
            <w:tcBorders>
              <w:top w:val="nil"/>
              <w:left w:val="nil"/>
              <w:bottom w:val="nil"/>
              <w:right w:val="nil"/>
            </w:tcBorders>
            <w:vAlign w:val="bottom"/>
            <w:hideMark/>
          </w:tcPr>
          <w:p w14:paraId="4CB005CE" w14:textId="77777777" w:rsidR="00A74C68" w:rsidRPr="00471CBA" w:rsidRDefault="00A74C68" w:rsidP="00A74C68">
            <w:pPr>
              <w:ind w:firstLineChars="200" w:firstLine="400"/>
              <w:jc w:val="right"/>
              <w:rPr>
                <w:color w:val="000000"/>
                <w:szCs w:val="20"/>
                <w:lang w:eastAsia="tr-TR"/>
              </w:rPr>
            </w:pPr>
            <w:r w:rsidRPr="00471CBA">
              <w:rPr>
                <w:color w:val="000000"/>
                <w:szCs w:val="20"/>
                <w:lang w:eastAsia="tr-TR"/>
              </w:rPr>
              <w:t> </w:t>
            </w:r>
          </w:p>
        </w:tc>
        <w:tc>
          <w:tcPr>
            <w:tcW w:w="1806" w:type="dxa"/>
            <w:tcBorders>
              <w:top w:val="nil"/>
              <w:left w:val="nil"/>
              <w:bottom w:val="nil"/>
              <w:right w:val="nil"/>
            </w:tcBorders>
            <w:vAlign w:val="bottom"/>
            <w:hideMark/>
          </w:tcPr>
          <w:p w14:paraId="17DB881B" w14:textId="77777777" w:rsidR="00A74C68" w:rsidRPr="00471CBA" w:rsidRDefault="00A74C68" w:rsidP="00A74C68">
            <w:pPr>
              <w:ind w:firstLineChars="200" w:firstLine="400"/>
              <w:jc w:val="right"/>
              <w:rPr>
                <w:color w:val="000000"/>
                <w:szCs w:val="20"/>
                <w:lang w:eastAsia="tr-TR"/>
              </w:rPr>
            </w:pPr>
            <w:r w:rsidRPr="00471CBA">
              <w:rPr>
                <w:color w:val="000000"/>
                <w:szCs w:val="20"/>
                <w:lang w:eastAsia="tr-TR"/>
              </w:rPr>
              <w:t> </w:t>
            </w:r>
          </w:p>
        </w:tc>
      </w:tr>
      <w:tr w:rsidR="00A74C68" w:rsidRPr="00471CBA" w14:paraId="2A4D46E6" w14:textId="77777777" w:rsidTr="00A74C68">
        <w:trPr>
          <w:divId w:val="2114519780"/>
          <w:trHeight w:val="227"/>
        </w:trPr>
        <w:tc>
          <w:tcPr>
            <w:tcW w:w="4480" w:type="dxa"/>
            <w:tcBorders>
              <w:top w:val="single" w:sz="4" w:space="0" w:color="auto"/>
              <w:left w:val="nil"/>
              <w:bottom w:val="single" w:sz="4" w:space="0" w:color="auto"/>
              <w:right w:val="nil"/>
            </w:tcBorders>
            <w:vAlign w:val="bottom"/>
            <w:hideMark/>
          </w:tcPr>
          <w:p w14:paraId="3324AF01" w14:textId="77777777" w:rsidR="00A74C68" w:rsidRPr="00471CBA" w:rsidRDefault="00A74C68" w:rsidP="00A74C68">
            <w:pPr>
              <w:jc w:val="both"/>
              <w:rPr>
                <w:b/>
                <w:bCs/>
                <w:color w:val="000000"/>
                <w:szCs w:val="20"/>
                <w:lang w:eastAsia="tr-TR"/>
              </w:rPr>
            </w:pPr>
            <w:r w:rsidRPr="00471CBA">
              <w:rPr>
                <w:b/>
                <w:bCs/>
                <w:color w:val="000000"/>
                <w:szCs w:val="20"/>
                <w:lang w:eastAsia="tr-TR"/>
              </w:rPr>
              <w:t>Net Bakiye</w:t>
            </w:r>
          </w:p>
        </w:tc>
        <w:tc>
          <w:tcPr>
            <w:tcW w:w="1749" w:type="dxa"/>
            <w:tcBorders>
              <w:top w:val="single" w:sz="4" w:space="0" w:color="auto"/>
              <w:left w:val="nil"/>
              <w:bottom w:val="single" w:sz="4" w:space="0" w:color="auto"/>
              <w:right w:val="nil"/>
            </w:tcBorders>
            <w:vAlign w:val="center"/>
            <w:hideMark/>
          </w:tcPr>
          <w:p w14:paraId="215A7FB9" w14:textId="77777777" w:rsidR="00A74C68" w:rsidRPr="00471CBA" w:rsidRDefault="00A74C68" w:rsidP="00A74C68">
            <w:pPr>
              <w:jc w:val="right"/>
              <w:rPr>
                <w:b/>
                <w:bCs/>
                <w:color w:val="000000"/>
                <w:szCs w:val="20"/>
                <w:lang w:eastAsia="tr-TR"/>
              </w:rPr>
            </w:pPr>
            <w:r w:rsidRPr="00471CBA">
              <w:rPr>
                <w:b/>
                <w:bCs/>
                <w:color w:val="000000"/>
                <w:szCs w:val="20"/>
                <w:lang w:eastAsia="tr-TR"/>
              </w:rPr>
              <w:t>-</w:t>
            </w:r>
          </w:p>
        </w:tc>
        <w:tc>
          <w:tcPr>
            <w:tcW w:w="1694" w:type="dxa"/>
            <w:tcBorders>
              <w:top w:val="single" w:sz="4" w:space="0" w:color="auto"/>
              <w:left w:val="nil"/>
              <w:bottom w:val="single" w:sz="4" w:space="0" w:color="auto"/>
              <w:right w:val="nil"/>
            </w:tcBorders>
            <w:vAlign w:val="center"/>
            <w:hideMark/>
          </w:tcPr>
          <w:p w14:paraId="27E2A530" w14:textId="77777777" w:rsidR="00A74C68" w:rsidRPr="00471CBA" w:rsidRDefault="00A74C68" w:rsidP="00A74C68">
            <w:pPr>
              <w:jc w:val="right"/>
              <w:rPr>
                <w:b/>
                <w:bCs/>
                <w:color w:val="000000"/>
                <w:szCs w:val="20"/>
                <w:lang w:eastAsia="tr-TR"/>
              </w:rPr>
            </w:pPr>
            <w:r w:rsidRPr="00471CBA">
              <w:rPr>
                <w:b/>
                <w:bCs/>
                <w:color w:val="000000"/>
                <w:szCs w:val="20"/>
                <w:lang w:eastAsia="tr-TR"/>
              </w:rPr>
              <w:t>-</w:t>
            </w:r>
          </w:p>
        </w:tc>
        <w:tc>
          <w:tcPr>
            <w:tcW w:w="1806" w:type="dxa"/>
            <w:tcBorders>
              <w:top w:val="single" w:sz="4" w:space="0" w:color="auto"/>
              <w:left w:val="nil"/>
              <w:bottom w:val="single" w:sz="4" w:space="0" w:color="auto"/>
              <w:right w:val="nil"/>
            </w:tcBorders>
            <w:vAlign w:val="center"/>
            <w:hideMark/>
          </w:tcPr>
          <w:p w14:paraId="3CE7F921" w14:textId="77777777" w:rsidR="00A74C68" w:rsidRPr="00471CBA" w:rsidRDefault="00A74C68" w:rsidP="00A74C68">
            <w:pPr>
              <w:jc w:val="right"/>
              <w:rPr>
                <w:b/>
                <w:bCs/>
                <w:color w:val="000000"/>
                <w:szCs w:val="20"/>
                <w:lang w:eastAsia="tr-TR"/>
              </w:rPr>
            </w:pPr>
            <w:r w:rsidRPr="00471CBA">
              <w:rPr>
                <w:b/>
                <w:bCs/>
                <w:color w:val="000000"/>
                <w:szCs w:val="20"/>
                <w:lang w:eastAsia="tr-TR"/>
              </w:rPr>
              <w:t>-</w:t>
            </w:r>
          </w:p>
        </w:tc>
      </w:tr>
      <w:tr w:rsidR="00A74C68" w:rsidRPr="00471CBA" w14:paraId="6B7F886B" w14:textId="77777777" w:rsidTr="00A74C68">
        <w:trPr>
          <w:divId w:val="2114519780"/>
          <w:trHeight w:val="227"/>
        </w:trPr>
        <w:tc>
          <w:tcPr>
            <w:tcW w:w="4480" w:type="dxa"/>
            <w:tcBorders>
              <w:top w:val="nil"/>
              <w:left w:val="nil"/>
              <w:bottom w:val="nil"/>
              <w:right w:val="nil"/>
            </w:tcBorders>
            <w:noWrap/>
            <w:vAlign w:val="center"/>
            <w:hideMark/>
          </w:tcPr>
          <w:p w14:paraId="71A5AC36" w14:textId="77777777" w:rsidR="00A74C68" w:rsidRPr="00471CBA" w:rsidRDefault="00A74C68" w:rsidP="00A74C68">
            <w:pPr>
              <w:rPr>
                <w:b/>
                <w:bCs/>
                <w:color w:val="000000"/>
                <w:szCs w:val="20"/>
                <w:lang w:eastAsia="tr-TR"/>
              </w:rPr>
            </w:pPr>
          </w:p>
        </w:tc>
        <w:tc>
          <w:tcPr>
            <w:tcW w:w="1749" w:type="dxa"/>
            <w:tcBorders>
              <w:top w:val="nil"/>
              <w:left w:val="nil"/>
              <w:bottom w:val="nil"/>
              <w:right w:val="nil"/>
            </w:tcBorders>
            <w:vAlign w:val="center"/>
            <w:hideMark/>
          </w:tcPr>
          <w:p w14:paraId="7BCC7878" w14:textId="77777777" w:rsidR="00A74C68" w:rsidRPr="00471CBA" w:rsidRDefault="00A74C68" w:rsidP="00A74C68">
            <w:pPr>
              <w:jc w:val="right"/>
              <w:rPr>
                <w:color w:val="000000"/>
                <w:szCs w:val="20"/>
                <w:lang w:eastAsia="tr-TR"/>
              </w:rPr>
            </w:pPr>
          </w:p>
        </w:tc>
        <w:tc>
          <w:tcPr>
            <w:tcW w:w="1694" w:type="dxa"/>
            <w:tcBorders>
              <w:top w:val="nil"/>
              <w:left w:val="nil"/>
              <w:bottom w:val="nil"/>
              <w:right w:val="nil"/>
            </w:tcBorders>
            <w:vAlign w:val="center"/>
            <w:hideMark/>
          </w:tcPr>
          <w:p w14:paraId="6E368050" w14:textId="77777777" w:rsidR="00A74C68" w:rsidRPr="00471CBA" w:rsidRDefault="00A74C68" w:rsidP="00A74C68">
            <w:pPr>
              <w:jc w:val="right"/>
              <w:rPr>
                <w:color w:val="000000"/>
                <w:szCs w:val="20"/>
                <w:lang w:eastAsia="tr-TR"/>
              </w:rPr>
            </w:pPr>
          </w:p>
        </w:tc>
        <w:tc>
          <w:tcPr>
            <w:tcW w:w="1806" w:type="dxa"/>
            <w:tcBorders>
              <w:top w:val="nil"/>
              <w:left w:val="nil"/>
              <w:bottom w:val="nil"/>
              <w:right w:val="nil"/>
            </w:tcBorders>
            <w:vAlign w:val="center"/>
            <w:hideMark/>
          </w:tcPr>
          <w:p w14:paraId="3BE56C7B" w14:textId="77777777" w:rsidR="00A74C68" w:rsidRPr="00471CBA" w:rsidRDefault="00A74C68" w:rsidP="00A74C68">
            <w:pPr>
              <w:jc w:val="right"/>
              <w:rPr>
                <w:color w:val="000000"/>
                <w:szCs w:val="20"/>
                <w:lang w:eastAsia="tr-TR"/>
              </w:rPr>
            </w:pPr>
          </w:p>
        </w:tc>
      </w:tr>
      <w:tr w:rsidR="00A74C68" w:rsidRPr="00471CBA" w14:paraId="5C2E4499" w14:textId="77777777" w:rsidTr="00A74C68">
        <w:trPr>
          <w:divId w:val="2114519780"/>
          <w:trHeight w:val="227"/>
        </w:trPr>
        <w:tc>
          <w:tcPr>
            <w:tcW w:w="4480" w:type="dxa"/>
            <w:tcBorders>
              <w:top w:val="nil"/>
              <w:left w:val="nil"/>
              <w:bottom w:val="nil"/>
              <w:right w:val="nil"/>
            </w:tcBorders>
            <w:noWrap/>
            <w:vAlign w:val="center"/>
            <w:hideMark/>
          </w:tcPr>
          <w:p w14:paraId="16A153A1" w14:textId="77777777" w:rsidR="00A74C68" w:rsidRPr="00471CBA" w:rsidRDefault="00A74C68" w:rsidP="00A74C68">
            <w:pPr>
              <w:rPr>
                <w:b/>
                <w:bCs/>
                <w:color w:val="000000"/>
                <w:szCs w:val="20"/>
                <w:lang w:eastAsia="tr-TR"/>
              </w:rPr>
            </w:pPr>
            <w:r w:rsidRPr="00471CBA">
              <w:rPr>
                <w:b/>
                <w:bCs/>
                <w:color w:val="000000"/>
                <w:szCs w:val="20"/>
                <w:lang w:eastAsia="tr-TR"/>
              </w:rPr>
              <w:t>31 Aralık 2024</w:t>
            </w:r>
          </w:p>
        </w:tc>
        <w:tc>
          <w:tcPr>
            <w:tcW w:w="1749" w:type="dxa"/>
            <w:tcBorders>
              <w:top w:val="nil"/>
              <w:left w:val="nil"/>
              <w:bottom w:val="nil"/>
              <w:right w:val="nil"/>
            </w:tcBorders>
            <w:vAlign w:val="center"/>
            <w:hideMark/>
          </w:tcPr>
          <w:p w14:paraId="46120A8D" w14:textId="77777777" w:rsidR="00A74C68" w:rsidRPr="00471CBA" w:rsidRDefault="00A74C68" w:rsidP="00A74C68">
            <w:pPr>
              <w:jc w:val="right"/>
              <w:rPr>
                <w:b/>
                <w:bCs/>
                <w:color w:val="000000"/>
                <w:szCs w:val="20"/>
                <w:lang w:eastAsia="tr-TR"/>
              </w:rPr>
            </w:pPr>
            <w:r w:rsidRPr="00471CBA">
              <w:rPr>
                <w:b/>
                <w:bCs/>
                <w:szCs w:val="20"/>
                <w:lang w:eastAsia="tr-TR"/>
              </w:rPr>
              <w:t> </w:t>
            </w:r>
          </w:p>
        </w:tc>
        <w:tc>
          <w:tcPr>
            <w:tcW w:w="1694" w:type="dxa"/>
            <w:tcBorders>
              <w:top w:val="nil"/>
              <w:left w:val="nil"/>
              <w:bottom w:val="nil"/>
              <w:right w:val="nil"/>
            </w:tcBorders>
            <w:vAlign w:val="center"/>
            <w:hideMark/>
          </w:tcPr>
          <w:p w14:paraId="3D2B8C81" w14:textId="77777777" w:rsidR="00A74C68" w:rsidRPr="00471CBA" w:rsidRDefault="00A74C68" w:rsidP="00A74C68">
            <w:pPr>
              <w:jc w:val="right"/>
              <w:rPr>
                <w:b/>
                <w:bCs/>
                <w:color w:val="000000"/>
                <w:szCs w:val="20"/>
                <w:lang w:eastAsia="tr-TR"/>
              </w:rPr>
            </w:pPr>
            <w:r w:rsidRPr="00471CBA">
              <w:rPr>
                <w:b/>
                <w:bCs/>
                <w:szCs w:val="20"/>
                <w:lang w:eastAsia="tr-TR"/>
              </w:rPr>
              <w:t> </w:t>
            </w:r>
          </w:p>
        </w:tc>
        <w:tc>
          <w:tcPr>
            <w:tcW w:w="1806" w:type="dxa"/>
            <w:tcBorders>
              <w:top w:val="nil"/>
              <w:left w:val="nil"/>
              <w:bottom w:val="nil"/>
              <w:right w:val="nil"/>
            </w:tcBorders>
            <w:vAlign w:val="center"/>
            <w:hideMark/>
          </w:tcPr>
          <w:p w14:paraId="4AB9FD11" w14:textId="77777777" w:rsidR="00A74C68" w:rsidRPr="00471CBA" w:rsidRDefault="00A74C68" w:rsidP="00A74C68">
            <w:pPr>
              <w:jc w:val="right"/>
              <w:rPr>
                <w:b/>
                <w:bCs/>
                <w:color w:val="000000"/>
                <w:szCs w:val="20"/>
                <w:lang w:eastAsia="tr-TR"/>
              </w:rPr>
            </w:pPr>
            <w:r w:rsidRPr="00471CBA">
              <w:rPr>
                <w:b/>
                <w:bCs/>
                <w:szCs w:val="20"/>
                <w:lang w:eastAsia="tr-TR"/>
              </w:rPr>
              <w:t> </w:t>
            </w:r>
          </w:p>
        </w:tc>
      </w:tr>
      <w:tr w:rsidR="00A74C68" w:rsidRPr="00471CBA" w14:paraId="7C008B7E" w14:textId="77777777" w:rsidTr="00A74C68">
        <w:trPr>
          <w:divId w:val="2114519780"/>
          <w:trHeight w:val="227"/>
        </w:trPr>
        <w:tc>
          <w:tcPr>
            <w:tcW w:w="4480" w:type="dxa"/>
            <w:tcBorders>
              <w:top w:val="nil"/>
              <w:left w:val="nil"/>
              <w:bottom w:val="nil"/>
              <w:right w:val="nil"/>
            </w:tcBorders>
            <w:vAlign w:val="bottom"/>
            <w:hideMark/>
          </w:tcPr>
          <w:p w14:paraId="760A9019" w14:textId="77777777" w:rsidR="00A74C68" w:rsidRPr="00471CBA" w:rsidRDefault="00A74C68" w:rsidP="00A74C68">
            <w:pPr>
              <w:rPr>
                <w:color w:val="000000"/>
                <w:szCs w:val="20"/>
                <w:lang w:eastAsia="tr-TR"/>
              </w:rPr>
            </w:pPr>
            <w:r w:rsidRPr="00471CBA">
              <w:rPr>
                <w:iCs/>
                <w:color w:val="000000"/>
                <w:szCs w:val="20"/>
                <w:lang w:eastAsia="tr-TR"/>
              </w:rPr>
              <w:t>Dönem Sonu Bakiyesi</w:t>
            </w:r>
          </w:p>
        </w:tc>
        <w:tc>
          <w:tcPr>
            <w:tcW w:w="1749" w:type="dxa"/>
            <w:tcBorders>
              <w:top w:val="nil"/>
              <w:left w:val="nil"/>
              <w:bottom w:val="nil"/>
              <w:right w:val="nil"/>
            </w:tcBorders>
            <w:vAlign w:val="center"/>
            <w:hideMark/>
          </w:tcPr>
          <w:p w14:paraId="0E470C37" w14:textId="77777777" w:rsidR="00A74C68" w:rsidRPr="00471CBA" w:rsidRDefault="00A74C68" w:rsidP="00A74C68">
            <w:pPr>
              <w:jc w:val="right"/>
              <w:rPr>
                <w:color w:val="000000"/>
                <w:szCs w:val="20"/>
                <w:lang w:eastAsia="tr-TR"/>
              </w:rPr>
            </w:pPr>
            <w:r w:rsidRPr="00471CBA">
              <w:rPr>
                <w:color w:val="000000"/>
                <w:szCs w:val="20"/>
                <w:lang w:eastAsia="tr-TR"/>
              </w:rPr>
              <w:t>-</w:t>
            </w:r>
          </w:p>
        </w:tc>
        <w:tc>
          <w:tcPr>
            <w:tcW w:w="1694" w:type="dxa"/>
            <w:tcBorders>
              <w:top w:val="nil"/>
              <w:left w:val="nil"/>
              <w:bottom w:val="nil"/>
              <w:right w:val="nil"/>
            </w:tcBorders>
            <w:vAlign w:val="center"/>
            <w:hideMark/>
          </w:tcPr>
          <w:p w14:paraId="56AC5AA4" w14:textId="77777777" w:rsidR="00A74C68" w:rsidRPr="00471CBA" w:rsidRDefault="00A74C68" w:rsidP="00A74C68">
            <w:pPr>
              <w:jc w:val="right"/>
              <w:rPr>
                <w:color w:val="000000"/>
                <w:szCs w:val="20"/>
                <w:lang w:eastAsia="tr-TR"/>
              </w:rPr>
            </w:pPr>
            <w:r w:rsidRPr="00471CBA">
              <w:rPr>
                <w:szCs w:val="20"/>
                <w:lang w:eastAsia="tr-TR"/>
              </w:rPr>
              <w:t>-</w:t>
            </w:r>
          </w:p>
        </w:tc>
        <w:tc>
          <w:tcPr>
            <w:tcW w:w="1806" w:type="dxa"/>
            <w:tcBorders>
              <w:top w:val="nil"/>
              <w:left w:val="nil"/>
              <w:bottom w:val="nil"/>
              <w:right w:val="nil"/>
            </w:tcBorders>
            <w:vAlign w:val="center"/>
            <w:hideMark/>
          </w:tcPr>
          <w:p w14:paraId="2D1E3C6A" w14:textId="77777777" w:rsidR="00A74C68" w:rsidRPr="00471CBA" w:rsidRDefault="00A74C68" w:rsidP="00A74C68">
            <w:pPr>
              <w:jc w:val="right"/>
              <w:rPr>
                <w:color w:val="000000"/>
                <w:szCs w:val="20"/>
                <w:lang w:eastAsia="tr-TR"/>
              </w:rPr>
            </w:pPr>
            <w:r w:rsidRPr="00471CBA">
              <w:rPr>
                <w:szCs w:val="20"/>
                <w:lang w:eastAsia="tr-TR"/>
              </w:rPr>
              <w:t>-</w:t>
            </w:r>
          </w:p>
        </w:tc>
      </w:tr>
      <w:tr w:rsidR="00A74C68" w:rsidRPr="00471CBA" w14:paraId="34408579" w14:textId="77777777" w:rsidTr="00A74C68">
        <w:trPr>
          <w:divId w:val="2114519780"/>
          <w:trHeight w:val="227"/>
        </w:trPr>
        <w:tc>
          <w:tcPr>
            <w:tcW w:w="4480" w:type="dxa"/>
            <w:tcBorders>
              <w:top w:val="nil"/>
              <w:left w:val="nil"/>
              <w:bottom w:val="nil"/>
              <w:right w:val="nil"/>
            </w:tcBorders>
            <w:vAlign w:val="bottom"/>
            <w:hideMark/>
          </w:tcPr>
          <w:p w14:paraId="3BF44A93" w14:textId="77777777" w:rsidR="00A74C68" w:rsidRPr="00471CBA" w:rsidRDefault="00A74C68" w:rsidP="00A74C68">
            <w:pPr>
              <w:ind w:firstLineChars="200" w:firstLine="400"/>
              <w:rPr>
                <w:color w:val="000000"/>
                <w:szCs w:val="20"/>
                <w:lang w:eastAsia="tr-TR"/>
              </w:rPr>
            </w:pPr>
            <w:r w:rsidRPr="00471CBA">
              <w:rPr>
                <w:color w:val="000000"/>
                <w:szCs w:val="20"/>
                <w:lang w:eastAsia="tr-TR"/>
              </w:rPr>
              <w:t>Karşılık Tutarı (-)</w:t>
            </w:r>
          </w:p>
        </w:tc>
        <w:tc>
          <w:tcPr>
            <w:tcW w:w="1749" w:type="dxa"/>
            <w:tcBorders>
              <w:top w:val="nil"/>
              <w:left w:val="nil"/>
              <w:bottom w:val="nil"/>
              <w:right w:val="nil"/>
            </w:tcBorders>
            <w:vAlign w:val="center"/>
            <w:hideMark/>
          </w:tcPr>
          <w:p w14:paraId="25DDAF2A" w14:textId="77777777" w:rsidR="00A74C68" w:rsidRPr="00471CBA" w:rsidRDefault="00A74C68" w:rsidP="00A74C68">
            <w:pPr>
              <w:ind w:firstLineChars="200" w:firstLine="400"/>
              <w:jc w:val="right"/>
              <w:rPr>
                <w:color w:val="000000"/>
                <w:szCs w:val="20"/>
                <w:lang w:eastAsia="tr-TR"/>
              </w:rPr>
            </w:pPr>
            <w:r w:rsidRPr="00471CBA">
              <w:rPr>
                <w:color w:val="000000"/>
                <w:szCs w:val="20"/>
                <w:lang w:eastAsia="tr-TR"/>
              </w:rPr>
              <w:t>-</w:t>
            </w:r>
          </w:p>
        </w:tc>
        <w:tc>
          <w:tcPr>
            <w:tcW w:w="1694" w:type="dxa"/>
            <w:tcBorders>
              <w:top w:val="nil"/>
              <w:left w:val="nil"/>
              <w:bottom w:val="nil"/>
              <w:right w:val="nil"/>
            </w:tcBorders>
            <w:vAlign w:val="center"/>
            <w:hideMark/>
          </w:tcPr>
          <w:p w14:paraId="449595DB" w14:textId="77777777" w:rsidR="00A74C68" w:rsidRPr="00471CBA" w:rsidRDefault="00A74C68" w:rsidP="00A74C68">
            <w:pPr>
              <w:jc w:val="right"/>
              <w:rPr>
                <w:color w:val="000000"/>
                <w:szCs w:val="20"/>
                <w:lang w:eastAsia="tr-TR"/>
              </w:rPr>
            </w:pPr>
            <w:r w:rsidRPr="00471CBA">
              <w:rPr>
                <w:szCs w:val="20"/>
                <w:lang w:eastAsia="tr-TR"/>
              </w:rPr>
              <w:t>-</w:t>
            </w:r>
          </w:p>
        </w:tc>
        <w:tc>
          <w:tcPr>
            <w:tcW w:w="1806" w:type="dxa"/>
            <w:tcBorders>
              <w:top w:val="nil"/>
              <w:left w:val="nil"/>
              <w:bottom w:val="nil"/>
              <w:right w:val="nil"/>
            </w:tcBorders>
            <w:vAlign w:val="center"/>
            <w:hideMark/>
          </w:tcPr>
          <w:p w14:paraId="39A2C3DB" w14:textId="77777777" w:rsidR="00A74C68" w:rsidRPr="00471CBA" w:rsidRDefault="00A74C68" w:rsidP="00A74C68">
            <w:pPr>
              <w:jc w:val="right"/>
              <w:rPr>
                <w:color w:val="000000"/>
                <w:szCs w:val="20"/>
                <w:lang w:eastAsia="tr-TR"/>
              </w:rPr>
            </w:pPr>
            <w:r w:rsidRPr="00471CBA">
              <w:rPr>
                <w:szCs w:val="20"/>
                <w:lang w:eastAsia="tr-TR"/>
              </w:rPr>
              <w:t>-</w:t>
            </w:r>
          </w:p>
        </w:tc>
      </w:tr>
      <w:tr w:rsidR="00A74C68" w:rsidRPr="00471CBA" w14:paraId="3C8F2C78" w14:textId="77777777" w:rsidTr="00A74C68">
        <w:trPr>
          <w:divId w:val="2114519780"/>
          <w:trHeight w:val="227"/>
        </w:trPr>
        <w:tc>
          <w:tcPr>
            <w:tcW w:w="4480" w:type="dxa"/>
            <w:tcBorders>
              <w:top w:val="nil"/>
              <w:left w:val="nil"/>
              <w:bottom w:val="nil"/>
              <w:right w:val="nil"/>
            </w:tcBorders>
            <w:vAlign w:val="bottom"/>
            <w:hideMark/>
          </w:tcPr>
          <w:p w14:paraId="2A4D2F6D" w14:textId="77777777" w:rsidR="00A74C68" w:rsidRPr="00471CBA" w:rsidRDefault="00A74C68" w:rsidP="00A74C68">
            <w:pPr>
              <w:ind w:firstLineChars="200" w:firstLine="400"/>
              <w:rPr>
                <w:color w:val="000000"/>
                <w:szCs w:val="20"/>
                <w:lang w:eastAsia="tr-TR"/>
              </w:rPr>
            </w:pPr>
            <w:r w:rsidRPr="00471CBA">
              <w:rPr>
                <w:iCs/>
                <w:color w:val="000000"/>
                <w:szCs w:val="20"/>
                <w:lang w:eastAsia="tr-TR"/>
              </w:rPr>
              <w:t> </w:t>
            </w:r>
          </w:p>
        </w:tc>
        <w:tc>
          <w:tcPr>
            <w:tcW w:w="1749" w:type="dxa"/>
            <w:tcBorders>
              <w:top w:val="nil"/>
              <w:left w:val="nil"/>
              <w:bottom w:val="nil"/>
              <w:right w:val="nil"/>
            </w:tcBorders>
            <w:vAlign w:val="bottom"/>
            <w:hideMark/>
          </w:tcPr>
          <w:p w14:paraId="6E213279" w14:textId="77777777" w:rsidR="00A74C68" w:rsidRPr="00471CBA" w:rsidRDefault="00A74C68" w:rsidP="00A74C68">
            <w:pPr>
              <w:ind w:firstLineChars="200" w:firstLine="400"/>
              <w:jc w:val="right"/>
              <w:rPr>
                <w:color w:val="000000"/>
                <w:szCs w:val="20"/>
                <w:lang w:eastAsia="tr-TR"/>
              </w:rPr>
            </w:pPr>
            <w:r w:rsidRPr="00471CBA">
              <w:rPr>
                <w:color w:val="000000"/>
                <w:szCs w:val="20"/>
                <w:lang w:eastAsia="tr-TR"/>
              </w:rPr>
              <w:t> </w:t>
            </w:r>
          </w:p>
        </w:tc>
        <w:tc>
          <w:tcPr>
            <w:tcW w:w="1694" w:type="dxa"/>
            <w:tcBorders>
              <w:top w:val="nil"/>
              <w:left w:val="nil"/>
              <w:bottom w:val="nil"/>
              <w:right w:val="nil"/>
            </w:tcBorders>
            <w:vAlign w:val="bottom"/>
            <w:hideMark/>
          </w:tcPr>
          <w:p w14:paraId="0A9A4FE9" w14:textId="77777777" w:rsidR="00A74C68" w:rsidRPr="00471CBA" w:rsidRDefault="00A74C68" w:rsidP="00A74C68">
            <w:pPr>
              <w:ind w:firstLineChars="200" w:firstLine="400"/>
              <w:jc w:val="right"/>
              <w:rPr>
                <w:color w:val="000000"/>
                <w:szCs w:val="20"/>
                <w:lang w:eastAsia="tr-TR"/>
              </w:rPr>
            </w:pPr>
            <w:r w:rsidRPr="00471CBA">
              <w:rPr>
                <w:color w:val="000000"/>
                <w:szCs w:val="20"/>
                <w:lang w:eastAsia="tr-TR"/>
              </w:rPr>
              <w:t> </w:t>
            </w:r>
          </w:p>
        </w:tc>
        <w:tc>
          <w:tcPr>
            <w:tcW w:w="1806" w:type="dxa"/>
            <w:tcBorders>
              <w:top w:val="nil"/>
              <w:left w:val="nil"/>
              <w:bottom w:val="nil"/>
              <w:right w:val="nil"/>
            </w:tcBorders>
            <w:vAlign w:val="bottom"/>
            <w:hideMark/>
          </w:tcPr>
          <w:p w14:paraId="5CF84C2C" w14:textId="77777777" w:rsidR="00A74C68" w:rsidRPr="00471CBA" w:rsidRDefault="00A74C68" w:rsidP="00A74C68">
            <w:pPr>
              <w:ind w:firstLineChars="200" w:firstLine="400"/>
              <w:jc w:val="right"/>
              <w:rPr>
                <w:color w:val="000000"/>
                <w:szCs w:val="20"/>
                <w:lang w:eastAsia="tr-TR"/>
              </w:rPr>
            </w:pPr>
            <w:r w:rsidRPr="00471CBA">
              <w:rPr>
                <w:color w:val="000000"/>
                <w:szCs w:val="20"/>
                <w:lang w:eastAsia="tr-TR"/>
              </w:rPr>
              <w:t> </w:t>
            </w:r>
          </w:p>
        </w:tc>
      </w:tr>
      <w:tr w:rsidR="00A74C68" w:rsidRPr="00471CBA" w14:paraId="1FBD9A15" w14:textId="77777777" w:rsidTr="00A74C68">
        <w:trPr>
          <w:divId w:val="2114519780"/>
          <w:trHeight w:val="227"/>
        </w:trPr>
        <w:tc>
          <w:tcPr>
            <w:tcW w:w="4480" w:type="dxa"/>
            <w:tcBorders>
              <w:top w:val="single" w:sz="4" w:space="0" w:color="auto"/>
              <w:left w:val="nil"/>
              <w:bottom w:val="single" w:sz="4" w:space="0" w:color="auto"/>
              <w:right w:val="nil"/>
            </w:tcBorders>
            <w:vAlign w:val="bottom"/>
            <w:hideMark/>
          </w:tcPr>
          <w:p w14:paraId="5BA9D46E" w14:textId="77777777" w:rsidR="00A74C68" w:rsidRPr="00471CBA" w:rsidRDefault="00A74C68" w:rsidP="00A74C68">
            <w:pPr>
              <w:rPr>
                <w:b/>
                <w:bCs/>
                <w:color w:val="000000"/>
                <w:szCs w:val="20"/>
                <w:lang w:eastAsia="tr-TR"/>
              </w:rPr>
            </w:pPr>
            <w:r w:rsidRPr="00471CBA">
              <w:rPr>
                <w:b/>
                <w:bCs/>
                <w:color w:val="000000"/>
                <w:szCs w:val="20"/>
                <w:lang w:eastAsia="tr-TR"/>
              </w:rPr>
              <w:t>Net Bakiye</w:t>
            </w:r>
          </w:p>
        </w:tc>
        <w:tc>
          <w:tcPr>
            <w:tcW w:w="1749" w:type="dxa"/>
            <w:tcBorders>
              <w:top w:val="single" w:sz="4" w:space="0" w:color="auto"/>
              <w:left w:val="nil"/>
              <w:bottom w:val="single" w:sz="4" w:space="0" w:color="auto"/>
              <w:right w:val="nil"/>
            </w:tcBorders>
            <w:vAlign w:val="center"/>
            <w:hideMark/>
          </w:tcPr>
          <w:p w14:paraId="1D475BD3" w14:textId="77777777" w:rsidR="00A74C68" w:rsidRPr="00471CBA" w:rsidRDefault="00A74C68" w:rsidP="00A74C68">
            <w:pPr>
              <w:jc w:val="right"/>
              <w:rPr>
                <w:b/>
                <w:bCs/>
                <w:color w:val="000000"/>
                <w:szCs w:val="20"/>
                <w:lang w:eastAsia="tr-TR"/>
              </w:rPr>
            </w:pPr>
            <w:r w:rsidRPr="00471CBA">
              <w:rPr>
                <w:b/>
                <w:bCs/>
                <w:color w:val="000000"/>
                <w:szCs w:val="20"/>
                <w:lang w:eastAsia="tr-TR"/>
              </w:rPr>
              <w:t>-</w:t>
            </w:r>
          </w:p>
        </w:tc>
        <w:tc>
          <w:tcPr>
            <w:tcW w:w="1694" w:type="dxa"/>
            <w:tcBorders>
              <w:top w:val="single" w:sz="4" w:space="0" w:color="auto"/>
              <w:left w:val="nil"/>
              <w:bottom w:val="single" w:sz="4" w:space="0" w:color="auto"/>
              <w:right w:val="nil"/>
            </w:tcBorders>
            <w:vAlign w:val="center"/>
            <w:hideMark/>
          </w:tcPr>
          <w:p w14:paraId="559A7BA7" w14:textId="77777777" w:rsidR="00A74C68" w:rsidRPr="00471CBA" w:rsidRDefault="00A74C68" w:rsidP="00A74C68">
            <w:pPr>
              <w:jc w:val="right"/>
              <w:rPr>
                <w:b/>
                <w:bCs/>
                <w:color w:val="000000"/>
                <w:szCs w:val="20"/>
                <w:lang w:eastAsia="tr-TR"/>
              </w:rPr>
            </w:pPr>
            <w:r w:rsidRPr="00471CBA">
              <w:rPr>
                <w:b/>
                <w:bCs/>
                <w:color w:val="000000"/>
                <w:szCs w:val="20"/>
                <w:lang w:eastAsia="tr-TR"/>
              </w:rPr>
              <w:t>-</w:t>
            </w:r>
          </w:p>
        </w:tc>
        <w:tc>
          <w:tcPr>
            <w:tcW w:w="1806" w:type="dxa"/>
            <w:tcBorders>
              <w:top w:val="single" w:sz="4" w:space="0" w:color="auto"/>
              <w:left w:val="nil"/>
              <w:bottom w:val="single" w:sz="4" w:space="0" w:color="auto"/>
              <w:right w:val="nil"/>
            </w:tcBorders>
            <w:vAlign w:val="center"/>
            <w:hideMark/>
          </w:tcPr>
          <w:p w14:paraId="228692E2" w14:textId="77777777" w:rsidR="00A74C68" w:rsidRPr="00471CBA" w:rsidRDefault="00A74C68" w:rsidP="00A74C68">
            <w:pPr>
              <w:jc w:val="right"/>
              <w:rPr>
                <w:b/>
                <w:bCs/>
                <w:color w:val="000000"/>
                <w:szCs w:val="20"/>
                <w:lang w:eastAsia="tr-TR"/>
              </w:rPr>
            </w:pPr>
            <w:r w:rsidRPr="00471CBA">
              <w:rPr>
                <w:b/>
                <w:bCs/>
                <w:color w:val="000000"/>
                <w:szCs w:val="20"/>
                <w:lang w:eastAsia="tr-TR"/>
              </w:rPr>
              <w:t>-</w:t>
            </w:r>
          </w:p>
        </w:tc>
      </w:tr>
    </w:tbl>
    <w:p w14:paraId="52B9F4AE" w14:textId="269588CC" w:rsidR="00712924" w:rsidRPr="00471CBA" w:rsidRDefault="00712924">
      <w:pPr>
        <w:rPr>
          <w:b/>
          <w:szCs w:val="20"/>
        </w:rPr>
      </w:pPr>
      <w:r w:rsidRPr="00471CBA">
        <w:rPr>
          <w:b/>
          <w:szCs w:val="20"/>
        </w:rPr>
        <w:br w:type="page"/>
      </w:r>
    </w:p>
    <w:p w14:paraId="311B01A1" w14:textId="77777777" w:rsidR="00080449" w:rsidRPr="00471CBA" w:rsidRDefault="00080449" w:rsidP="00080449">
      <w:pPr>
        <w:rPr>
          <w:b/>
          <w:szCs w:val="20"/>
        </w:rPr>
      </w:pPr>
      <w:r w:rsidRPr="00471CBA">
        <w:rPr>
          <w:b/>
          <w:szCs w:val="20"/>
        </w:rPr>
        <w:t>KONSOLİDE OLMAYAN FİNANSAL TABLOLARA İLİŞKİN AÇIKLAMA VE DİPNOTLAR (Devamı)</w:t>
      </w:r>
    </w:p>
    <w:p w14:paraId="741A3E73" w14:textId="77777777" w:rsidR="00080449" w:rsidRPr="00471CBA" w:rsidRDefault="00080449" w:rsidP="00080449">
      <w:pPr>
        <w:pStyle w:val="ListeParagraf"/>
        <w:widowControl w:val="0"/>
        <w:ind w:left="14" w:right="452"/>
        <w:jc w:val="both"/>
        <w:rPr>
          <w:b/>
          <w:szCs w:val="20"/>
        </w:rPr>
      </w:pPr>
    </w:p>
    <w:p w14:paraId="2DDAAE20" w14:textId="77777777" w:rsidR="00080449" w:rsidRPr="00471CBA" w:rsidRDefault="00080449" w:rsidP="008459A9">
      <w:pPr>
        <w:pStyle w:val="ListeParagraf"/>
        <w:widowControl w:val="0"/>
        <w:numPr>
          <w:ilvl w:val="0"/>
          <w:numId w:val="89"/>
        </w:numPr>
        <w:ind w:left="567" w:hanging="567"/>
        <w:jc w:val="both"/>
        <w:rPr>
          <w:b/>
          <w:szCs w:val="20"/>
        </w:rPr>
      </w:pPr>
      <w:r w:rsidRPr="00471CBA">
        <w:rPr>
          <w:b/>
          <w:szCs w:val="20"/>
        </w:rPr>
        <w:t>BİLANÇONUN AKTİF HESAPLARINA İLİŞKİN AÇIKLAMA VE DİPNOTLAR (Devamı)</w:t>
      </w:r>
    </w:p>
    <w:p w14:paraId="480C0898" w14:textId="051AA490" w:rsidR="00385379" w:rsidRPr="00471CBA" w:rsidRDefault="00385379" w:rsidP="00080449">
      <w:pPr>
        <w:pStyle w:val="GvdeMetniGirintisi"/>
        <w:spacing w:before="120" w:after="120"/>
        <w:ind w:left="567" w:hanging="567"/>
        <w:rPr>
          <w:b/>
          <w:szCs w:val="20"/>
        </w:rPr>
      </w:pPr>
      <w:r w:rsidRPr="00471CBA">
        <w:rPr>
          <w:b/>
          <w:szCs w:val="20"/>
        </w:rPr>
        <w:t>h.4.</w:t>
      </w:r>
      <w:r w:rsidRPr="00471CBA">
        <w:rPr>
          <w:b/>
          <w:szCs w:val="20"/>
        </w:rPr>
        <w:tab/>
        <w:t xml:space="preserve">Donuk alacakların kullanıcı gruplarına göre brüt ve net tutarlarının gösterimi: </w:t>
      </w:r>
    </w:p>
    <w:tbl>
      <w:tblPr>
        <w:tblW w:w="5049" w:type="pct"/>
        <w:tblLayout w:type="fixed"/>
        <w:tblCellMar>
          <w:left w:w="70" w:type="dxa"/>
          <w:right w:w="70" w:type="dxa"/>
        </w:tblCellMar>
        <w:tblLook w:val="0000" w:firstRow="0" w:lastRow="0" w:firstColumn="0" w:lastColumn="0" w:noHBand="0" w:noVBand="0"/>
      </w:tblPr>
      <w:tblGrid>
        <w:gridCol w:w="4439"/>
        <w:gridCol w:w="1640"/>
        <w:gridCol w:w="9"/>
        <w:gridCol w:w="1530"/>
        <w:gridCol w:w="1829"/>
      </w:tblGrid>
      <w:tr w:rsidR="00385379" w:rsidRPr="00471CBA" w14:paraId="1AE8C2CF" w14:textId="77777777" w:rsidTr="00522EA7">
        <w:trPr>
          <w:trHeight w:val="113"/>
        </w:trPr>
        <w:tc>
          <w:tcPr>
            <w:tcW w:w="2349" w:type="pct"/>
            <w:tcBorders>
              <w:top w:val="single" w:sz="4" w:space="0" w:color="auto"/>
            </w:tcBorders>
            <w:noWrap/>
            <w:vAlign w:val="center"/>
          </w:tcPr>
          <w:p w14:paraId="10B28491" w14:textId="77777777" w:rsidR="00385379" w:rsidRPr="00471CBA" w:rsidRDefault="00385379" w:rsidP="00522EA7">
            <w:pPr>
              <w:jc w:val="right"/>
              <w:rPr>
                <w:b/>
                <w:bCs/>
                <w:szCs w:val="20"/>
              </w:rPr>
            </w:pPr>
          </w:p>
        </w:tc>
        <w:tc>
          <w:tcPr>
            <w:tcW w:w="868" w:type="pct"/>
            <w:tcBorders>
              <w:top w:val="single" w:sz="4" w:space="0" w:color="auto"/>
              <w:bottom w:val="single" w:sz="4" w:space="0" w:color="auto"/>
            </w:tcBorders>
            <w:noWrap/>
            <w:vAlign w:val="center"/>
          </w:tcPr>
          <w:p w14:paraId="2B945DE2" w14:textId="77777777" w:rsidR="00385379" w:rsidRPr="00471CBA" w:rsidRDefault="00385379" w:rsidP="00522EA7">
            <w:pPr>
              <w:ind w:right="47"/>
              <w:jc w:val="right"/>
              <w:rPr>
                <w:rFonts w:eastAsia="Arial Unicode MS"/>
                <w:b/>
                <w:iCs/>
                <w:szCs w:val="20"/>
              </w:rPr>
            </w:pPr>
            <w:r w:rsidRPr="00471CBA">
              <w:rPr>
                <w:b/>
                <w:iCs/>
                <w:szCs w:val="20"/>
              </w:rPr>
              <w:t>III. Grup</w:t>
            </w:r>
          </w:p>
        </w:tc>
        <w:tc>
          <w:tcPr>
            <w:tcW w:w="815" w:type="pct"/>
            <w:gridSpan w:val="2"/>
            <w:tcBorders>
              <w:top w:val="single" w:sz="4" w:space="0" w:color="auto"/>
              <w:bottom w:val="single" w:sz="4" w:space="0" w:color="auto"/>
            </w:tcBorders>
            <w:noWrap/>
            <w:vAlign w:val="center"/>
          </w:tcPr>
          <w:p w14:paraId="75E26B35" w14:textId="77777777" w:rsidR="00385379" w:rsidRPr="00471CBA" w:rsidRDefault="00385379" w:rsidP="00522EA7">
            <w:pPr>
              <w:ind w:right="47"/>
              <w:jc w:val="right"/>
              <w:rPr>
                <w:rFonts w:eastAsia="Arial Unicode MS"/>
                <w:b/>
                <w:iCs/>
                <w:szCs w:val="20"/>
              </w:rPr>
            </w:pPr>
            <w:r w:rsidRPr="00471CBA">
              <w:rPr>
                <w:b/>
                <w:iCs/>
                <w:szCs w:val="20"/>
              </w:rPr>
              <w:t>IV. Grup</w:t>
            </w:r>
          </w:p>
        </w:tc>
        <w:tc>
          <w:tcPr>
            <w:tcW w:w="968" w:type="pct"/>
            <w:tcBorders>
              <w:top w:val="single" w:sz="4" w:space="0" w:color="auto"/>
              <w:bottom w:val="single" w:sz="4" w:space="0" w:color="auto"/>
            </w:tcBorders>
            <w:noWrap/>
            <w:vAlign w:val="center"/>
          </w:tcPr>
          <w:p w14:paraId="0A37D4BB" w14:textId="77777777" w:rsidR="00385379" w:rsidRPr="00471CBA" w:rsidRDefault="00385379" w:rsidP="00522EA7">
            <w:pPr>
              <w:ind w:right="47"/>
              <w:jc w:val="right"/>
              <w:rPr>
                <w:rFonts w:eastAsia="Arial Unicode MS"/>
                <w:b/>
                <w:iCs/>
                <w:szCs w:val="20"/>
              </w:rPr>
            </w:pPr>
            <w:r w:rsidRPr="00471CBA">
              <w:rPr>
                <w:b/>
                <w:iCs/>
                <w:szCs w:val="20"/>
              </w:rPr>
              <w:t>V. Grup</w:t>
            </w:r>
          </w:p>
        </w:tc>
      </w:tr>
      <w:tr w:rsidR="00385379" w:rsidRPr="00471CBA" w14:paraId="6353A65D" w14:textId="77777777" w:rsidTr="00522EA7">
        <w:trPr>
          <w:trHeight w:val="113"/>
        </w:trPr>
        <w:tc>
          <w:tcPr>
            <w:tcW w:w="2349" w:type="pct"/>
            <w:noWrap/>
            <w:vAlign w:val="bottom"/>
          </w:tcPr>
          <w:p w14:paraId="6E862D81" w14:textId="77777777" w:rsidR="00385379" w:rsidRPr="00471CBA" w:rsidRDefault="00385379" w:rsidP="00522EA7">
            <w:pPr>
              <w:jc w:val="both"/>
              <w:rPr>
                <w:b/>
                <w:bCs/>
                <w:szCs w:val="20"/>
              </w:rPr>
            </w:pPr>
          </w:p>
        </w:tc>
        <w:tc>
          <w:tcPr>
            <w:tcW w:w="868" w:type="pct"/>
            <w:tcBorders>
              <w:top w:val="single" w:sz="4" w:space="0" w:color="auto"/>
              <w:bottom w:val="single" w:sz="4" w:space="0" w:color="auto"/>
            </w:tcBorders>
            <w:noWrap/>
            <w:vAlign w:val="bottom"/>
          </w:tcPr>
          <w:p w14:paraId="2C8C9172" w14:textId="77777777" w:rsidR="00385379" w:rsidRPr="00471CBA" w:rsidRDefault="00385379" w:rsidP="00522EA7">
            <w:pPr>
              <w:ind w:right="47"/>
              <w:jc w:val="right"/>
              <w:rPr>
                <w:rFonts w:eastAsia="Arial Unicode MS"/>
                <w:b/>
                <w:iCs/>
                <w:szCs w:val="20"/>
              </w:rPr>
            </w:pPr>
            <w:r w:rsidRPr="00471CBA">
              <w:rPr>
                <w:b/>
                <w:iCs/>
                <w:szCs w:val="20"/>
              </w:rPr>
              <w:t>Tahsil İmkânı Sınırlı Krediler</w:t>
            </w:r>
          </w:p>
        </w:tc>
        <w:tc>
          <w:tcPr>
            <w:tcW w:w="815" w:type="pct"/>
            <w:gridSpan w:val="2"/>
            <w:tcBorders>
              <w:top w:val="single" w:sz="4" w:space="0" w:color="auto"/>
              <w:bottom w:val="single" w:sz="4" w:space="0" w:color="auto"/>
            </w:tcBorders>
            <w:noWrap/>
            <w:vAlign w:val="bottom"/>
          </w:tcPr>
          <w:p w14:paraId="27B48554" w14:textId="77777777" w:rsidR="00385379" w:rsidRPr="00471CBA" w:rsidRDefault="00385379" w:rsidP="00522EA7">
            <w:pPr>
              <w:ind w:right="47" w:firstLine="66"/>
              <w:jc w:val="right"/>
              <w:rPr>
                <w:rFonts w:eastAsia="Arial Unicode MS"/>
                <w:b/>
                <w:iCs/>
                <w:szCs w:val="20"/>
              </w:rPr>
            </w:pPr>
            <w:r w:rsidRPr="00471CBA">
              <w:rPr>
                <w:b/>
                <w:iCs/>
                <w:szCs w:val="20"/>
              </w:rPr>
              <w:t>Tahsili Şüpheli Krediler</w:t>
            </w:r>
          </w:p>
        </w:tc>
        <w:tc>
          <w:tcPr>
            <w:tcW w:w="968" w:type="pct"/>
            <w:tcBorders>
              <w:top w:val="single" w:sz="4" w:space="0" w:color="auto"/>
              <w:bottom w:val="single" w:sz="4" w:space="0" w:color="auto"/>
            </w:tcBorders>
            <w:noWrap/>
            <w:vAlign w:val="bottom"/>
          </w:tcPr>
          <w:p w14:paraId="536BA2DC" w14:textId="77777777" w:rsidR="00385379" w:rsidRPr="00471CBA" w:rsidRDefault="00385379" w:rsidP="00522EA7">
            <w:pPr>
              <w:ind w:right="47"/>
              <w:jc w:val="right"/>
              <w:rPr>
                <w:rFonts w:eastAsia="Arial Unicode MS"/>
                <w:b/>
                <w:iCs/>
                <w:szCs w:val="20"/>
              </w:rPr>
            </w:pPr>
            <w:r w:rsidRPr="00471CBA">
              <w:rPr>
                <w:b/>
                <w:iCs/>
                <w:szCs w:val="20"/>
              </w:rPr>
              <w:t>Zarar Niteliğindeki Krediler</w:t>
            </w:r>
          </w:p>
        </w:tc>
      </w:tr>
      <w:tr w:rsidR="00705045" w:rsidRPr="00471CBA" w14:paraId="28BC5B58" w14:textId="77777777" w:rsidTr="00522EA7">
        <w:trPr>
          <w:trHeight w:val="113"/>
        </w:trPr>
        <w:tc>
          <w:tcPr>
            <w:tcW w:w="2349" w:type="pct"/>
            <w:tcBorders>
              <w:top w:val="single" w:sz="4" w:space="0" w:color="auto"/>
              <w:bottom w:val="single" w:sz="4" w:space="0" w:color="auto"/>
            </w:tcBorders>
            <w:noWrap/>
            <w:vAlign w:val="bottom"/>
          </w:tcPr>
          <w:p w14:paraId="1B2232D3" w14:textId="77777777" w:rsidR="00705045" w:rsidRPr="00471CBA" w:rsidRDefault="00705045" w:rsidP="00705045">
            <w:pPr>
              <w:jc w:val="both"/>
              <w:rPr>
                <w:rFonts w:eastAsia="Arial Unicode MS"/>
                <w:b/>
                <w:iCs/>
                <w:szCs w:val="20"/>
              </w:rPr>
            </w:pPr>
            <w:r w:rsidRPr="00471CBA">
              <w:rPr>
                <w:b/>
                <w:iCs/>
                <w:szCs w:val="20"/>
              </w:rPr>
              <w:t>Cari Dönem (Net)</w:t>
            </w:r>
          </w:p>
        </w:tc>
        <w:tc>
          <w:tcPr>
            <w:tcW w:w="868" w:type="pct"/>
            <w:tcBorders>
              <w:top w:val="single" w:sz="4" w:space="0" w:color="auto"/>
              <w:left w:val="nil"/>
              <w:bottom w:val="single" w:sz="4" w:space="0" w:color="auto"/>
              <w:right w:val="nil"/>
            </w:tcBorders>
            <w:noWrap/>
            <w:vAlign w:val="bottom"/>
          </w:tcPr>
          <w:p w14:paraId="0A0497DB" w14:textId="177405E3" w:rsidR="00705045" w:rsidRPr="00471CBA" w:rsidRDefault="00705045" w:rsidP="00705045">
            <w:pPr>
              <w:ind w:left="-196" w:right="18" w:firstLine="196"/>
              <w:jc w:val="right"/>
              <w:rPr>
                <w:rFonts w:eastAsia="Arial Unicode MS"/>
                <w:b/>
                <w:iCs/>
                <w:szCs w:val="20"/>
              </w:rPr>
            </w:pPr>
            <w:r w:rsidRPr="00471CBA">
              <w:rPr>
                <w:rFonts w:ascii="Arial" w:hAnsi="Arial" w:cs="Arial"/>
                <w:b/>
                <w:bCs/>
                <w:sz w:val="18"/>
                <w:szCs w:val="18"/>
              </w:rPr>
              <w:t>-</w:t>
            </w:r>
          </w:p>
        </w:tc>
        <w:tc>
          <w:tcPr>
            <w:tcW w:w="815" w:type="pct"/>
            <w:gridSpan w:val="2"/>
            <w:tcBorders>
              <w:top w:val="single" w:sz="4" w:space="0" w:color="auto"/>
              <w:left w:val="nil"/>
              <w:bottom w:val="single" w:sz="4" w:space="0" w:color="auto"/>
              <w:right w:val="nil"/>
            </w:tcBorders>
            <w:noWrap/>
            <w:vAlign w:val="bottom"/>
          </w:tcPr>
          <w:p w14:paraId="6D425FCF" w14:textId="35E30552" w:rsidR="00705045" w:rsidRPr="00471CBA" w:rsidRDefault="00705045" w:rsidP="00705045">
            <w:pPr>
              <w:ind w:left="-196" w:right="18" w:firstLine="196"/>
              <w:jc w:val="right"/>
              <w:rPr>
                <w:rFonts w:eastAsia="Arial Unicode MS"/>
                <w:b/>
                <w:iCs/>
                <w:szCs w:val="20"/>
              </w:rPr>
            </w:pPr>
            <w:r w:rsidRPr="00471CBA">
              <w:rPr>
                <w:rFonts w:ascii="Arial" w:hAnsi="Arial" w:cs="Arial"/>
                <w:b/>
                <w:bCs/>
                <w:sz w:val="18"/>
                <w:szCs w:val="18"/>
              </w:rPr>
              <w:t>-</w:t>
            </w:r>
          </w:p>
        </w:tc>
        <w:tc>
          <w:tcPr>
            <w:tcW w:w="968" w:type="pct"/>
            <w:tcBorders>
              <w:top w:val="single" w:sz="4" w:space="0" w:color="auto"/>
              <w:left w:val="nil"/>
              <w:bottom w:val="single" w:sz="4" w:space="0" w:color="auto"/>
            </w:tcBorders>
            <w:noWrap/>
            <w:vAlign w:val="bottom"/>
          </w:tcPr>
          <w:p w14:paraId="26626B55" w14:textId="51AB0A34" w:rsidR="00705045" w:rsidRPr="00471CBA" w:rsidRDefault="00705045" w:rsidP="00705045">
            <w:pPr>
              <w:ind w:left="-196" w:right="18" w:firstLine="196"/>
              <w:jc w:val="right"/>
              <w:rPr>
                <w:rFonts w:eastAsia="Arial Unicode MS"/>
                <w:b/>
                <w:iCs/>
                <w:szCs w:val="20"/>
              </w:rPr>
            </w:pPr>
            <w:r w:rsidRPr="00471CBA">
              <w:rPr>
                <w:rFonts w:ascii="Arial" w:hAnsi="Arial" w:cs="Arial"/>
                <w:b/>
                <w:bCs/>
                <w:sz w:val="18"/>
                <w:szCs w:val="18"/>
              </w:rPr>
              <w:t>-</w:t>
            </w:r>
          </w:p>
        </w:tc>
      </w:tr>
      <w:tr w:rsidR="00F52D0A" w:rsidRPr="00471CBA" w14:paraId="28BC115C" w14:textId="77777777" w:rsidTr="00F52D0A">
        <w:trPr>
          <w:trHeight w:val="113"/>
        </w:trPr>
        <w:tc>
          <w:tcPr>
            <w:tcW w:w="2349" w:type="pct"/>
            <w:tcBorders>
              <w:top w:val="single" w:sz="4" w:space="0" w:color="auto"/>
            </w:tcBorders>
            <w:noWrap/>
            <w:vAlign w:val="bottom"/>
          </w:tcPr>
          <w:p w14:paraId="5D091309" w14:textId="77777777" w:rsidR="00F52D0A" w:rsidRPr="00471CBA" w:rsidRDefault="00F52D0A" w:rsidP="00F52D0A">
            <w:pPr>
              <w:rPr>
                <w:rFonts w:eastAsia="Arial Unicode MS"/>
                <w:iCs/>
                <w:szCs w:val="20"/>
              </w:rPr>
            </w:pPr>
            <w:r w:rsidRPr="00471CBA">
              <w:rPr>
                <w:iCs/>
                <w:szCs w:val="20"/>
              </w:rPr>
              <w:t>Gerçek ve Tüzel Kişilere Kullandırılan Krediler (Brüt)</w:t>
            </w:r>
          </w:p>
        </w:tc>
        <w:tc>
          <w:tcPr>
            <w:tcW w:w="868" w:type="pct"/>
            <w:tcBorders>
              <w:top w:val="single" w:sz="4" w:space="0" w:color="auto"/>
              <w:left w:val="nil"/>
              <w:bottom w:val="nil"/>
              <w:right w:val="nil"/>
            </w:tcBorders>
            <w:noWrap/>
            <w:vAlign w:val="bottom"/>
          </w:tcPr>
          <w:p w14:paraId="402C38D4" w14:textId="589339BF" w:rsidR="00F52D0A" w:rsidRPr="00471CBA" w:rsidRDefault="00F52D0A" w:rsidP="00F52D0A">
            <w:pPr>
              <w:ind w:left="-196" w:right="18" w:firstLine="196"/>
              <w:jc w:val="right"/>
              <w:rPr>
                <w:rFonts w:eastAsia="Arial Unicode MS"/>
                <w:iCs/>
                <w:szCs w:val="20"/>
              </w:rPr>
            </w:pPr>
            <w:r w:rsidRPr="00471CBA">
              <w:rPr>
                <w:rFonts w:eastAsia="Arial Unicode MS"/>
                <w:iCs/>
                <w:szCs w:val="20"/>
              </w:rPr>
              <w:t>347.855</w:t>
            </w:r>
          </w:p>
        </w:tc>
        <w:tc>
          <w:tcPr>
            <w:tcW w:w="815" w:type="pct"/>
            <w:gridSpan w:val="2"/>
            <w:tcBorders>
              <w:top w:val="single" w:sz="4" w:space="0" w:color="auto"/>
              <w:left w:val="nil"/>
              <w:bottom w:val="nil"/>
              <w:right w:val="nil"/>
            </w:tcBorders>
            <w:noWrap/>
            <w:vAlign w:val="bottom"/>
          </w:tcPr>
          <w:p w14:paraId="7B8D00D1" w14:textId="64BAD963" w:rsidR="00F52D0A" w:rsidRPr="00471CBA" w:rsidRDefault="00F52D0A" w:rsidP="00F52D0A">
            <w:pPr>
              <w:ind w:left="-196" w:right="18" w:firstLine="196"/>
              <w:jc w:val="right"/>
              <w:rPr>
                <w:rFonts w:eastAsia="Arial Unicode MS"/>
                <w:iCs/>
                <w:szCs w:val="20"/>
              </w:rPr>
            </w:pPr>
            <w:r w:rsidRPr="00471CBA">
              <w:rPr>
                <w:rFonts w:eastAsia="Arial Unicode MS"/>
                <w:iCs/>
                <w:szCs w:val="20"/>
              </w:rPr>
              <w:t>40.650</w:t>
            </w:r>
          </w:p>
        </w:tc>
        <w:tc>
          <w:tcPr>
            <w:tcW w:w="968" w:type="pct"/>
            <w:tcBorders>
              <w:top w:val="single" w:sz="4" w:space="0" w:color="auto"/>
              <w:left w:val="nil"/>
              <w:bottom w:val="nil"/>
            </w:tcBorders>
            <w:noWrap/>
            <w:vAlign w:val="bottom"/>
          </w:tcPr>
          <w:p w14:paraId="6B655007" w14:textId="0322E1B9" w:rsidR="00F52D0A" w:rsidRPr="00471CBA" w:rsidRDefault="00F52D0A" w:rsidP="00F52D0A">
            <w:pPr>
              <w:ind w:left="-196" w:right="18" w:firstLine="196"/>
              <w:jc w:val="right"/>
              <w:rPr>
                <w:rFonts w:eastAsia="Arial Unicode MS"/>
                <w:iCs/>
                <w:szCs w:val="20"/>
              </w:rPr>
            </w:pPr>
            <w:r w:rsidRPr="00471CBA">
              <w:rPr>
                <w:rFonts w:eastAsia="Arial Unicode MS"/>
                <w:iCs/>
                <w:szCs w:val="20"/>
              </w:rPr>
              <w:t>-</w:t>
            </w:r>
          </w:p>
        </w:tc>
      </w:tr>
      <w:tr w:rsidR="00F52D0A" w:rsidRPr="00471CBA" w14:paraId="4B59F36B" w14:textId="77777777" w:rsidTr="00F52D0A">
        <w:trPr>
          <w:trHeight w:val="113"/>
        </w:trPr>
        <w:tc>
          <w:tcPr>
            <w:tcW w:w="2349" w:type="pct"/>
            <w:tcBorders>
              <w:bottom w:val="single" w:sz="4" w:space="0" w:color="auto"/>
            </w:tcBorders>
            <w:noWrap/>
            <w:vAlign w:val="bottom"/>
          </w:tcPr>
          <w:p w14:paraId="51F2B0CA" w14:textId="77777777" w:rsidR="00F52D0A" w:rsidRPr="00471CBA" w:rsidRDefault="00F52D0A" w:rsidP="00F52D0A">
            <w:pPr>
              <w:ind w:left="360"/>
              <w:rPr>
                <w:rFonts w:eastAsia="Arial Unicode MS"/>
                <w:iCs/>
                <w:szCs w:val="20"/>
              </w:rPr>
            </w:pPr>
            <w:r w:rsidRPr="00471CBA">
              <w:rPr>
                <w:iCs/>
                <w:szCs w:val="20"/>
              </w:rPr>
              <w:t>Karşılık Tutarı (-)</w:t>
            </w:r>
          </w:p>
        </w:tc>
        <w:tc>
          <w:tcPr>
            <w:tcW w:w="868" w:type="pct"/>
            <w:tcBorders>
              <w:top w:val="nil"/>
              <w:left w:val="nil"/>
              <w:bottom w:val="single" w:sz="4" w:space="0" w:color="auto"/>
              <w:right w:val="nil"/>
            </w:tcBorders>
            <w:noWrap/>
            <w:vAlign w:val="bottom"/>
          </w:tcPr>
          <w:p w14:paraId="66752254" w14:textId="0EE7EA0B" w:rsidR="00F52D0A" w:rsidRPr="00471CBA" w:rsidRDefault="00F52D0A" w:rsidP="00F52D0A">
            <w:pPr>
              <w:ind w:left="-196" w:right="18" w:firstLine="196"/>
              <w:jc w:val="right"/>
              <w:rPr>
                <w:rFonts w:eastAsia="Arial Unicode MS"/>
                <w:iCs/>
                <w:szCs w:val="20"/>
              </w:rPr>
            </w:pPr>
            <w:r w:rsidRPr="00471CBA">
              <w:rPr>
                <w:rFonts w:eastAsia="Arial Unicode MS"/>
                <w:iCs/>
                <w:szCs w:val="20"/>
              </w:rPr>
              <w:t>347.855</w:t>
            </w:r>
          </w:p>
        </w:tc>
        <w:tc>
          <w:tcPr>
            <w:tcW w:w="815" w:type="pct"/>
            <w:gridSpan w:val="2"/>
            <w:tcBorders>
              <w:top w:val="nil"/>
              <w:left w:val="nil"/>
              <w:bottom w:val="single" w:sz="4" w:space="0" w:color="auto"/>
              <w:right w:val="nil"/>
            </w:tcBorders>
            <w:noWrap/>
            <w:vAlign w:val="bottom"/>
          </w:tcPr>
          <w:p w14:paraId="36B2CE67" w14:textId="14E225EC" w:rsidR="00F52D0A" w:rsidRPr="00471CBA" w:rsidRDefault="00F52D0A" w:rsidP="00F52D0A">
            <w:pPr>
              <w:ind w:left="-196" w:right="18" w:firstLine="196"/>
              <w:jc w:val="right"/>
              <w:rPr>
                <w:rFonts w:eastAsia="Arial Unicode MS"/>
                <w:iCs/>
                <w:szCs w:val="20"/>
              </w:rPr>
            </w:pPr>
            <w:r w:rsidRPr="00471CBA">
              <w:rPr>
                <w:rFonts w:eastAsia="Arial Unicode MS"/>
                <w:iCs/>
                <w:szCs w:val="20"/>
              </w:rPr>
              <w:t>40.650</w:t>
            </w:r>
          </w:p>
        </w:tc>
        <w:tc>
          <w:tcPr>
            <w:tcW w:w="968" w:type="pct"/>
            <w:tcBorders>
              <w:top w:val="nil"/>
              <w:left w:val="nil"/>
              <w:bottom w:val="single" w:sz="4" w:space="0" w:color="auto"/>
            </w:tcBorders>
            <w:noWrap/>
            <w:vAlign w:val="bottom"/>
          </w:tcPr>
          <w:p w14:paraId="04A50FC0" w14:textId="14C019FB" w:rsidR="00F52D0A" w:rsidRPr="00471CBA" w:rsidRDefault="00F52D0A" w:rsidP="00F52D0A">
            <w:pPr>
              <w:ind w:left="-196" w:right="18" w:firstLine="196"/>
              <w:jc w:val="right"/>
              <w:rPr>
                <w:rFonts w:eastAsia="Arial Unicode MS"/>
                <w:iCs/>
                <w:szCs w:val="20"/>
              </w:rPr>
            </w:pPr>
            <w:r w:rsidRPr="00471CBA">
              <w:rPr>
                <w:rFonts w:eastAsia="Arial Unicode MS"/>
                <w:iCs/>
                <w:szCs w:val="20"/>
              </w:rPr>
              <w:t>-</w:t>
            </w:r>
          </w:p>
        </w:tc>
      </w:tr>
      <w:tr w:rsidR="00705045" w:rsidRPr="00471CBA" w14:paraId="18DB55B9" w14:textId="77777777" w:rsidTr="00522EA7">
        <w:trPr>
          <w:trHeight w:val="113"/>
        </w:trPr>
        <w:tc>
          <w:tcPr>
            <w:tcW w:w="2349" w:type="pct"/>
            <w:tcBorders>
              <w:top w:val="single" w:sz="4" w:space="0" w:color="auto"/>
              <w:bottom w:val="single" w:sz="4" w:space="0" w:color="auto"/>
            </w:tcBorders>
            <w:noWrap/>
            <w:vAlign w:val="bottom"/>
          </w:tcPr>
          <w:p w14:paraId="54DC3253" w14:textId="77777777" w:rsidR="00705045" w:rsidRPr="00471CBA" w:rsidRDefault="00705045" w:rsidP="00705045">
            <w:pPr>
              <w:rPr>
                <w:rFonts w:eastAsia="Arial Unicode MS"/>
                <w:b/>
                <w:iCs/>
                <w:szCs w:val="20"/>
              </w:rPr>
            </w:pPr>
            <w:r w:rsidRPr="00471CBA">
              <w:rPr>
                <w:b/>
                <w:iCs/>
                <w:szCs w:val="20"/>
              </w:rPr>
              <w:t xml:space="preserve">Gerçek ve Tüzel Kişilere Kullandırılan Krediler (Net) </w:t>
            </w:r>
          </w:p>
        </w:tc>
        <w:tc>
          <w:tcPr>
            <w:tcW w:w="868" w:type="pct"/>
            <w:tcBorders>
              <w:top w:val="single" w:sz="4" w:space="0" w:color="auto"/>
              <w:left w:val="nil"/>
              <w:bottom w:val="single" w:sz="4" w:space="0" w:color="auto"/>
              <w:right w:val="nil"/>
            </w:tcBorders>
            <w:noWrap/>
            <w:vAlign w:val="bottom"/>
          </w:tcPr>
          <w:p w14:paraId="1E838DEB" w14:textId="302DB256" w:rsidR="00705045" w:rsidRPr="00471CBA" w:rsidRDefault="00705045" w:rsidP="00705045">
            <w:pPr>
              <w:ind w:left="-196" w:right="18" w:firstLine="196"/>
              <w:jc w:val="right"/>
              <w:rPr>
                <w:rFonts w:eastAsia="Arial Unicode MS"/>
                <w:b/>
                <w:iCs/>
                <w:szCs w:val="20"/>
              </w:rPr>
            </w:pPr>
            <w:r w:rsidRPr="00471CBA">
              <w:rPr>
                <w:rFonts w:ascii="Arial" w:hAnsi="Arial" w:cs="Arial"/>
                <w:b/>
                <w:bCs/>
                <w:sz w:val="18"/>
                <w:szCs w:val="18"/>
              </w:rPr>
              <w:t>-</w:t>
            </w:r>
          </w:p>
        </w:tc>
        <w:tc>
          <w:tcPr>
            <w:tcW w:w="815" w:type="pct"/>
            <w:gridSpan w:val="2"/>
            <w:tcBorders>
              <w:top w:val="single" w:sz="4" w:space="0" w:color="auto"/>
              <w:left w:val="nil"/>
              <w:bottom w:val="single" w:sz="4" w:space="0" w:color="auto"/>
              <w:right w:val="nil"/>
            </w:tcBorders>
            <w:noWrap/>
            <w:vAlign w:val="bottom"/>
          </w:tcPr>
          <w:p w14:paraId="37E83C33" w14:textId="2083A7AE" w:rsidR="00705045" w:rsidRPr="00471CBA" w:rsidRDefault="00705045" w:rsidP="00705045">
            <w:pPr>
              <w:ind w:left="-196" w:right="18" w:firstLine="196"/>
              <w:jc w:val="right"/>
              <w:rPr>
                <w:rFonts w:eastAsia="Arial Unicode MS"/>
                <w:b/>
                <w:iCs/>
                <w:szCs w:val="20"/>
              </w:rPr>
            </w:pPr>
            <w:r w:rsidRPr="00471CBA">
              <w:rPr>
                <w:rFonts w:ascii="Arial" w:hAnsi="Arial" w:cs="Arial"/>
                <w:b/>
                <w:bCs/>
                <w:sz w:val="18"/>
                <w:szCs w:val="18"/>
              </w:rPr>
              <w:t>-</w:t>
            </w:r>
          </w:p>
        </w:tc>
        <w:tc>
          <w:tcPr>
            <w:tcW w:w="968" w:type="pct"/>
            <w:tcBorders>
              <w:top w:val="single" w:sz="4" w:space="0" w:color="auto"/>
              <w:left w:val="nil"/>
              <w:bottom w:val="single" w:sz="4" w:space="0" w:color="auto"/>
            </w:tcBorders>
            <w:noWrap/>
            <w:vAlign w:val="bottom"/>
          </w:tcPr>
          <w:p w14:paraId="635A4379" w14:textId="0C7B1C6A" w:rsidR="00705045" w:rsidRPr="00471CBA" w:rsidRDefault="00705045" w:rsidP="00705045">
            <w:pPr>
              <w:ind w:left="-196" w:right="18" w:firstLine="196"/>
              <w:jc w:val="right"/>
              <w:rPr>
                <w:rFonts w:eastAsia="Arial Unicode MS"/>
                <w:b/>
                <w:iCs/>
                <w:szCs w:val="20"/>
              </w:rPr>
            </w:pPr>
            <w:r w:rsidRPr="00471CBA">
              <w:rPr>
                <w:rFonts w:ascii="Arial" w:hAnsi="Arial" w:cs="Arial"/>
                <w:b/>
                <w:bCs/>
                <w:sz w:val="18"/>
                <w:szCs w:val="18"/>
              </w:rPr>
              <w:t>-</w:t>
            </w:r>
          </w:p>
        </w:tc>
      </w:tr>
      <w:tr w:rsidR="00385379" w:rsidRPr="00471CBA" w14:paraId="0B719D5E" w14:textId="77777777" w:rsidTr="00522EA7">
        <w:trPr>
          <w:trHeight w:val="113"/>
        </w:trPr>
        <w:tc>
          <w:tcPr>
            <w:tcW w:w="2349" w:type="pct"/>
            <w:tcBorders>
              <w:top w:val="single" w:sz="4" w:space="0" w:color="auto"/>
            </w:tcBorders>
            <w:noWrap/>
            <w:vAlign w:val="bottom"/>
          </w:tcPr>
          <w:p w14:paraId="317448BD" w14:textId="77777777" w:rsidR="00385379" w:rsidRPr="00471CBA" w:rsidRDefault="00385379" w:rsidP="00522EA7">
            <w:pPr>
              <w:rPr>
                <w:rFonts w:eastAsia="Arial Unicode MS"/>
                <w:iCs/>
                <w:szCs w:val="20"/>
              </w:rPr>
            </w:pPr>
            <w:r w:rsidRPr="00471CBA">
              <w:rPr>
                <w:iCs/>
                <w:szCs w:val="20"/>
              </w:rPr>
              <w:t>Bankalar (Brüt)</w:t>
            </w:r>
          </w:p>
        </w:tc>
        <w:tc>
          <w:tcPr>
            <w:tcW w:w="868" w:type="pct"/>
            <w:tcBorders>
              <w:top w:val="single" w:sz="4" w:space="0" w:color="auto"/>
            </w:tcBorders>
            <w:noWrap/>
          </w:tcPr>
          <w:p w14:paraId="55174CC8" w14:textId="5E7305E0" w:rsidR="00385379" w:rsidRPr="00471CBA" w:rsidRDefault="00385379" w:rsidP="00522EA7">
            <w:pPr>
              <w:ind w:left="-196" w:right="18" w:firstLine="196"/>
              <w:jc w:val="right"/>
              <w:rPr>
                <w:rFonts w:eastAsia="Arial Unicode MS"/>
                <w:iCs/>
                <w:szCs w:val="20"/>
              </w:rPr>
            </w:pPr>
          </w:p>
        </w:tc>
        <w:tc>
          <w:tcPr>
            <w:tcW w:w="815" w:type="pct"/>
            <w:gridSpan w:val="2"/>
            <w:tcBorders>
              <w:top w:val="single" w:sz="4" w:space="0" w:color="auto"/>
            </w:tcBorders>
            <w:noWrap/>
          </w:tcPr>
          <w:p w14:paraId="79E9717D" w14:textId="64850739" w:rsidR="00385379" w:rsidRPr="00471CBA" w:rsidRDefault="00385379" w:rsidP="00522EA7">
            <w:pPr>
              <w:ind w:left="-196" w:right="18" w:firstLine="196"/>
              <w:jc w:val="right"/>
              <w:rPr>
                <w:rFonts w:eastAsia="Arial Unicode MS"/>
                <w:iCs/>
                <w:szCs w:val="20"/>
              </w:rPr>
            </w:pPr>
          </w:p>
        </w:tc>
        <w:tc>
          <w:tcPr>
            <w:tcW w:w="968" w:type="pct"/>
            <w:tcBorders>
              <w:top w:val="single" w:sz="4" w:space="0" w:color="auto"/>
            </w:tcBorders>
            <w:noWrap/>
          </w:tcPr>
          <w:p w14:paraId="0BB3CAA4" w14:textId="7CD723CA" w:rsidR="00385379" w:rsidRPr="00471CBA" w:rsidRDefault="00385379" w:rsidP="00522EA7">
            <w:pPr>
              <w:ind w:left="-196" w:right="18" w:firstLine="196"/>
              <w:jc w:val="right"/>
              <w:rPr>
                <w:rFonts w:eastAsia="Arial Unicode MS"/>
                <w:iCs/>
                <w:szCs w:val="20"/>
              </w:rPr>
            </w:pPr>
          </w:p>
        </w:tc>
      </w:tr>
      <w:tr w:rsidR="00385379" w:rsidRPr="00471CBA" w14:paraId="44EEF990" w14:textId="77777777" w:rsidTr="00522EA7">
        <w:trPr>
          <w:trHeight w:val="113"/>
        </w:trPr>
        <w:tc>
          <w:tcPr>
            <w:tcW w:w="2349" w:type="pct"/>
            <w:tcBorders>
              <w:bottom w:val="single" w:sz="4" w:space="0" w:color="auto"/>
            </w:tcBorders>
            <w:noWrap/>
            <w:vAlign w:val="bottom"/>
          </w:tcPr>
          <w:p w14:paraId="20AEE3EF" w14:textId="77777777" w:rsidR="00385379" w:rsidRPr="00471CBA" w:rsidRDefault="00385379" w:rsidP="00522EA7">
            <w:pPr>
              <w:ind w:left="360"/>
              <w:rPr>
                <w:rFonts w:eastAsia="Arial Unicode MS"/>
                <w:iCs/>
                <w:szCs w:val="20"/>
              </w:rPr>
            </w:pPr>
            <w:r w:rsidRPr="00471CBA">
              <w:rPr>
                <w:iCs/>
                <w:szCs w:val="20"/>
              </w:rPr>
              <w:t>Karşılık Tutarı (-)</w:t>
            </w:r>
          </w:p>
        </w:tc>
        <w:tc>
          <w:tcPr>
            <w:tcW w:w="868" w:type="pct"/>
            <w:tcBorders>
              <w:bottom w:val="single" w:sz="4" w:space="0" w:color="auto"/>
            </w:tcBorders>
            <w:noWrap/>
          </w:tcPr>
          <w:p w14:paraId="706B17EC" w14:textId="69FDC846" w:rsidR="00385379" w:rsidRPr="00471CBA" w:rsidRDefault="00705045" w:rsidP="00522EA7">
            <w:pPr>
              <w:ind w:left="-196" w:right="18" w:firstLine="196"/>
              <w:jc w:val="right"/>
              <w:rPr>
                <w:rFonts w:eastAsia="Arial Unicode MS"/>
                <w:iCs/>
                <w:szCs w:val="20"/>
              </w:rPr>
            </w:pPr>
            <w:r w:rsidRPr="00471CBA">
              <w:rPr>
                <w:rFonts w:eastAsia="Arial Unicode MS"/>
                <w:iCs/>
                <w:szCs w:val="20"/>
              </w:rPr>
              <w:t>-</w:t>
            </w:r>
          </w:p>
        </w:tc>
        <w:tc>
          <w:tcPr>
            <w:tcW w:w="815" w:type="pct"/>
            <w:gridSpan w:val="2"/>
            <w:tcBorders>
              <w:bottom w:val="single" w:sz="4" w:space="0" w:color="auto"/>
            </w:tcBorders>
            <w:noWrap/>
          </w:tcPr>
          <w:p w14:paraId="5781993E" w14:textId="47F9275B" w:rsidR="00385379" w:rsidRPr="00471CBA" w:rsidRDefault="00705045" w:rsidP="00522EA7">
            <w:pPr>
              <w:ind w:left="-196" w:right="18" w:firstLine="196"/>
              <w:jc w:val="right"/>
              <w:rPr>
                <w:rFonts w:eastAsia="Arial Unicode MS"/>
                <w:iCs/>
                <w:szCs w:val="20"/>
              </w:rPr>
            </w:pPr>
            <w:r w:rsidRPr="00471CBA">
              <w:rPr>
                <w:rFonts w:eastAsia="Arial Unicode MS"/>
                <w:iCs/>
                <w:szCs w:val="20"/>
              </w:rPr>
              <w:t>-</w:t>
            </w:r>
          </w:p>
        </w:tc>
        <w:tc>
          <w:tcPr>
            <w:tcW w:w="968" w:type="pct"/>
            <w:tcBorders>
              <w:bottom w:val="single" w:sz="4" w:space="0" w:color="auto"/>
            </w:tcBorders>
            <w:noWrap/>
          </w:tcPr>
          <w:p w14:paraId="21E0B791" w14:textId="3C67A68D" w:rsidR="00385379" w:rsidRPr="00471CBA" w:rsidRDefault="00705045" w:rsidP="00522EA7">
            <w:pPr>
              <w:ind w:left="-196" w:right="18" w:firstLine="196"/>
              <w:jc w:val="right"/>
              <w:rPr>
                <w:rFonts w:eastAsia="Arial Unicode MS"/>
                <w:iCs/>
                <w:szCs w:val="20"/>
              </w:rPr>
            </w:pPr>
            <w:r w:rsidRPr="00471CBA">
              <w:rPr>
                <w:rFonts w:eastAsia="Arial Unicode MS"/>
                <w:iCs/>
                <w:szCs w:val="20"/>
              </w:rPr>
              <w:t>-</w:t>
            </w:r>
          </w:p>
        </w:tc>
      </w:tr>
      <w:tr w:rsidR="00705045" w:rsidRPr="00471CBA" w14:paraId="70BFAE9E" w14:textId="77777777" w:rsidTr="00522EA7">
        <w:trPr>
          <w:trHeight w:val="113"/>
        </w:trPr>
        <w:tc>
          <w:tcPr>
            <w:tcW w:w="2349" w:type="pct"/>
            <w:tcBorders>
              <w:top w:val="single" w:sz="4" w:space="0" w:color="auto"/>
              <w:bottom w:val="single" w:sz="4" w:space="0" w:color="auto"/>
            </w:tcBorders>
            <w:noWrap/>
            <w:vAlign w:val="bottom"/>
          </w:tcPr>
          <w:p w14:paraId="1EE8D285" w14:textId="77777777" w:rsidR="00705045" w:rsidRPr="00471CBA" w:rsidRDefault="00705045" w:rsidP="00705045">
            <w:pPr>
              <w:rPr>
                <w:rFonts w:eastAsia="Arial Unicode MS"/>
                <w:b/>
                <w:iCs/>
                <w:szCs w:val="20"/>
              </w:rPr>
            </w:pPr>
            <w:r w:rsidRPr="00471CBA">
              <w:rPr>
                <w:b/>
                <w:iCs/>
                <w:szCs w:val="20"/>
              </w:rPr>
              <w:t>Bankalar (Net)</w:t>
            </w:r>
          </w:p>
        </w:tc>
        <w:tc>
          <w:tcPr>
            <w:tcW w:w="868" w:type="pct"/>
            <w:tcBorders>
              <w:top w:val="single" w:sz="4" w:space="0" w:color="auto"/>
              <w:bottom w:val="single" w:sz="4" w:space="0" w:color="auto"/>
            </w:tcBorders>
            <w:noWrap/>
          </w:tcPr>
          <w:p w14:paraId="64E0FD8C" w14:textId="3C566ACC" w:rsidR="00705045" w:rsidRPr="00471CBA" w:rsidRDefault="00705045" w:rsidP="00705045">
            <w:pPr>
              <w:ind w:left="-196" w:right="18" w:firstLine="196"/>
              <w:jc w:val="right"/>
              <w:rPr>
                <w:rFonts w:eastAsia="Arial Unicode MS"/>
                <w:b/>
                <w:iCs/>
                <w:szCs w:val="20"/>
              </w:rPr>
            </w:pPr>
            <w:r w:rsidRPr="00471CBA">
              <w:rPr>
                <w:rFonts w:eastAsia="Arial Unicode MS"/>
                <w:iCs/>
                <w:szCs w:val="20"/>
              </w:rPr>
              <w:t>-</w:t>
            </w:r>
          </w:p>
        </w:tc>
        <w:tc>
          <w:tcPr>
            <w:tcW w:w="815" w:type="pct"/>
            <w:gridSpan w:val="2"/>
            <w:tcBorders>
              <w:top w:val="single" w:sz="4" w:space="0" w:color="auto"/>
              <w:bottom w:val="single" w:sz="4" w:space="0" w:color="auto"/>
            </w:tcBorders>
            <w:noWrap/>
          </w:tcPr>
          <w:p w14:paraId="266BDDC5" w14:textId="5A4BF7FD" w:rsidR="00705045" w:rsidRPr="00471CBA" w:rsidRDefault="00705045" w:rsidP="00705045">
            <w:pPr>
              <w:ind w:left="-196" w:right="18" w:firstLine="196"/>
              <w:jc w:val="right"/>
              <w:rPr>
                <w:rFonts w:eastAsia="Arial Unicode MS"/>
                <w:b/>
                <w:iCs/>
                <w:szCs w:val="20"/>
              </w:rPr>
            </w:pPr>
            <w:r w:rsidRPr="00471CBA">
              <w:rPr>
                <w:rFonts w:eastAsia="Arial Unicode MS"/>
                <w:iCs/>
                <w:szCs w:val="20"/>
              </w:rPr>
              <w:t>-</w:t>
            </w:r>
          </w:p>
        </w:tc>
        <w:tc>
          <w:tcPr>
            <w:tcW w:w="968" w:type="pct"/>
            <w:tcBorders>
              <w:top w:val="single" w:sz="4" w:space="0" w:color="auto"/>
              <w:bottom w:val="single" w:sz="4" w:space="0" w:color="auto"/>
            </w:tcBorders>
            <w:noWrap/>
          </w:tcPr>
          <w:p w14:paraId="1327965A" w14:textId="2F75839F" w:rsidR="00705045" w:rsidRPr="00471CBA" w:rsidRDefault="00705045" w:rsidP="00705045">
            <w:pPr>
              <w:ind w:left="-196" w:right="18" w:firstLine="196"/>
              <w:jc w:val="right"/>
              <w:rPr>
                <w:rFonts w:eastAsia="Arial Unicode MS"/>
                <w:b/>
                <w:iCs/>
                <w:szCs w:val="20"/>
              </w:rPr>
            </w:pPr>
            <w:r w:rsidRPr="00471CBA">
              <w:rPr>
                <w:rFonts w:eastAsia="Arial Unicode MS"/>
                <w:iCs/>
                <w:szCs w:val="20"/>
              </w:rPr>
              <w:t>-</w:t>
            </w:r>
          </w:p>
        </w:tc>
      </w:tr>
      <w:tr w:rsidR="00705045" w:rsidRPr="00471CBA" w14:paraId="43061541" w14:textId="77777777" w:rsidTr="00522EA7">
        <w:trPr>
          <w:trHeight w:val="113"/>
        </w:trPr>
        <w:tc>
          <w:tcPr>
            <w:tcW w:w="2349" w:type="pct"/>
            <w:tcBorders>
              <w:top w:val="single" w:sz="4" w:space="0" w:color="auto"/>
            </w:tcBorders>
            <w:noWrap/>
            <w:vAlign w:val="bottom"/>
          </w:tcPr>
          <w:p w14:paraId="049ADEE2" w14:textId="77777777" w:rsidR="00705045" w:rsidRPr="00471CBA" w:rsidRDefault="00705045" w:rsidP="00705045">
            <w:pPr>
              <w:rPr>
                <w:rFonts w:eastAsia="Arial Unicode MS"/>
                <w:iCs/>
                <w:szCs w:val="20"/>
              </w:rPr>
            </w:pPr>
            <w:r w:rsidRPr="00471CBA">
              <w:rPr>
                <w:iCs/>
                <w:szCs w:val="20"/>
              </w:rPr>
              <w:t>Diğer Krediler (Brüt)</w:t>
            </w:r>
          </w:p>
        </w:tc>
        <w:tc>
          <w:tcPr>
            <w:tcW w:w="868" w:type="pct"/>
            <w:tcBorders>
              <w:top w:val="single" w:sz="4" w:space="0" w:color="auto"/>
            </w:tcBorders>
            <w:noWrap/>
          </w:tcPr>
          <w:p w14:paraId="446544C4" w14:textId="4A473504" w:rsidR="00705045" w:rsidRPr="00471CBA" w:rsidRDefault="00705045" w:rsidP="00705045">
            <w:pPr>
              <w:ind w:left="-196" w:right="18" w:firstLine="196"/>
              <w:jc w:val="right"/>
              <w:rPr>
                <w:rFonts w:eastAsia="Arial Unicode MS"/>
                <w:iCs/>
                <w:szCs w:val="20"/>
              </w:rPr>
            </w:pPr>
            <w:r w:rsidRPr="00471CBA">
              <w:rPr>
                <w:rFonts w:eastAsia="Arial Unicode MS"/>
                <w:iCs/>
                <w:szCs w:val="20"/>
              </w:rPr>
              <w:t>-</w:t>
            </w:r>
          </w:p>
        </w:tc>
        <w:tc>
          <w:tcPr>
            <w:tcW w:w="815" w:type="pct"/>
            <w:gridSpan w:val="2"/>
            <w:tcBorders>
              <w:top w:val="single" w:sz="4" w:space="0" w:color="auto"/>
            </w:tcBorders>
            <w:noWrap/>
          </w:tcPr>
          <w:p w14:paraId="7C0BE3AC" w14:textId="28C9B485" w:rsidR="00705045" w:rsidRPr="00471CBA" w:rsidRDefault="00705045" w:rsidP="00705045">
            <w:pPr>
              <w:ind w:left="-196" w:right="18" w:firstLine="196"/>
              <w:jc w:val="right"/>
              <w:rPr>
                <w:rFonts w:eastAsia="Arial Unicode MS"/>
                <w:iCs/>
                <w:szCs w:val="20"/>
              </w:rPr>
            </w:pPr>
            <w:r w:rsidRPr="00471CBA">
              <w:rPr>
                <w:rFonts w:eastAsia="Arial Unicode MS"/>
                <w:iCs/>
                <w:szCs w:val="20"/>
              </w:rPr>
              <w:t>-</w:t>
            </w:r>
          </w:p>
        </w:tc>
        <w:tc>
          <w:tcPr>
            <w:tcW w:w="968" w:type="pct"/>
            <w:tcBorders>
              <w:top w:val="single" w:sz="4" w:space="0" w:color="auto"/>
            </w:tcBorders>
            <w:noWrap/>
          </w:tcPr>
          <w:p w14:paraId="6F2A40D5" w14:textId="5D1F1287" w:rsidR="00705045" w:rsidRPr="00471CBA" w:rsidRDefault="00705045" w:rsidP="00705045">
            <w:pPr>
              <w:ind w:left="-196" w:right="18" w:firstLine="196"/>
              <w:jc w:val="right"/>
              <w:rPr>
                <w:rFonts w:eastAsia="Arial Unicode MS"/>
                <w:iCs/>
                <w:szCs w:val="20"/>
              </w:rPr>
            </w:pPr>
            <w:r w:rsidRPr="00471CBA">
              <w:rPr>
                <w:rFonts w:eastAsia="Arial Unicode MS"/>
                <w:iCs/>
                <w:szCs w:val="20"/>
              </w:rPr>
              <w:t>-</w:t>
            </w:r>
          </w:p>
        </w:tc>
      </w:tr>
      <w:tr w:rsidR="00705045" w:rsidRPr="00471CBA" w14:paraId="25F0AF59" w14:textId="77777777" w:rsidTr="00522EA7">
        <w:trPr>
          <w:trHeight w:val="113"/>
        </w:trPr>
        <w:tc>
          <w:tcPr>
            <w:tcW w:w="2349" w:type="pct"/>
            <w:tcBorders>
              <w:bottom w:val="single" w:sz="4" w:space="0" w:color="auto"/>
            </w:tcBorders>
            <w:noWrap/>
            <w:vAlign w:val="bottom"/>
          </w:tcPr>
          <w:p w14:paraId="5B6A2B6A" w14:textId="77777777" w:rsidR="00705045" w:rsidRPr="00471CBA" w:rsidRDefault="00705045" w:rsidP="00705045">
            <w:pPr>
              <w:ind w:left="360"/>
              <w:rPr>
                <w:rFonts w:eastAsia="Arial Unicode MS"/>
                <w:iCs/>
                <w:szCs w:val="20"/>
              </w:rPr>
            </w:pPr>
            <w:r w:rsidRPr="00471CBA">
              <w:rPr>
                <w:iCs/>
                <w:szCs w:val="20"/>
              </w:rPr>
              <w:t>Karşılık Tutarı (-)</w:t>
            </w:r>
          </w:p>
        </w:tc>
        <w:tc>
          <w:tcPr>
            <w:tcW w:w="868" w:type="pct"/>
            <w:tcBorders>
              <w:bottom w:val="single" w:sz="4" w:space="0" w:color="auto"/>
            </w:tcBorders>
            <w:noWrap/>
          </w:tcPr>
          <w:p w14:paraId="13106251" w14:textId="0C16B870" w:rsidR="00705045" w:rsidRPr="00471CBA" w:rsidRDefault="00705045" w:rsidP="00705045">
            <w:pPr>
              <w:ind w:left="-196" w:right="18" w:firstLine="196"/>
              <w:jc w:val="right"/>
              <w:rPr>
                <w:rFonts w:eastAsia="Arial Unicode MS"/>
                <w:iCs/>
                <w:szCs w:val="20"/>
              </w:rPr>
            </w:pPr>
            <w:r w:rsidRPr="00471CBA">
              <w:rPr>
                <w:rFonts w:eastAsia="Arial Unicode MS"/>
                <w:iCs/>
                <w:szCs w:val="20"/>
              </w:rPr>
              <w:t>-</w:t>
            </w:r>
          </w:p>
        </w:tc>
        <w:tc>
          <w:tcPr>
            <w:tcW w:w="815" w:type="pct"/>
            <w:gridSpan w:val="2"/>
            <w:tcBorders>
              <w:bottom w:val="single" w:sz="4" w:space="0" w:color="auto"/>
            </w:tcBorders>
            <w:noWrap/>
          </w:tcPr>
          <w:p w14:paraId="76988AF9" w14:textId="5EAE49AC" w:rsidR="00705045" w:rsidRPr="00471CBA" w:rsidRDefault="00705045" w:rsidP="00705045">
            <w:pPr>
              <w:ind w:left="-196" w:right="18" w:firstLine="196"/>
              <w:jc w:val="right"/>
              <w:rPr>
                <w:rFonts w:eastAsia="Arial Unicode MS"/>
                <w:iCs/>
                <w:szCs w:val="20"/>
              </w:rPr>
            </w:pPr>
            <w:r w:rsidRPr="00471CBA">
              <w:rPr>
                <w:rFonts w:eastAsia="Arial Unicode MS"/>
                <w:iCs/>
                <w:szCs w:val="20"/>
              </w:rPr>
              <w:t>-</w:t>
            </w:r>
          </w:p>
        </w:tc>
        <w:tc>
          <w:tcPr>
            <w:tcW w:w="968" w:type="pct"/>
            <w:tcBorders>
              <w:bottom w:val="single" w:sz="4" w:space="0" w:color="auto"/>
            </w:tcBorders>
            <w:noWrap/>
          </w:tcPr>
          <w:p w14:paraId="55187295" w14:textId="5F4D3309" w:rsidR="00705045" w:rsidRPr="00471CBA" w:rsidRDefault="00705045" w:rsidP="00705045">
            <w:pPr>
              <w:ind w:left="-196" w:right="18" w:firstLine="196"/>
              <w:jc w:val="right"/>
              <w:rPr>
                <w:rFonts w:eastAsia="Arial Unicode MS"/>
                <w:iCs/>
                <w:szCs w:val="20"/>
              </w:rPr>
            </w:pPr>
            <w:r w:rsidRPr="00471CBA">
              <w:rPr>
                <w:rFonts w:eastAsia="Arial Unicode MS"/>
                <w:iCs/>
                <w:szCs w:val="20"/>
              </w:rPr>
              <w:t>-</w:t>
            </w:r>
          </w:p>
        </w:tc>
      </w:tr>
      <w:tr w:rsidR="00705045" w:rsidRPr="00471CBA" w14:paraId="2BE4507C" w14:textId="77777777" w:rsidTr="00522EA7">
        <w:trPr>
          <w:trHeight w:val="113"/>
        </w:trPr>
        <w:tc>
          <w:tcPr>
            <w:tcW w:w="2349" w:type="pct"/>
            <w:tcBorders>
              <w:top w:val="single" w:sz="4" w:space="0" w:color="auto"/>
              <w:bottom w:val="single" w:sz="4" w:space="0" w:color="auto"/>
            </w:tcBorders>
            <w:noWrap/>
            <w:vAlign w:val="bottom"/>
          </w:tcPr>
          <w:p w14:paraId="1D83AE6B" w14:textId="77777777" w:rsidR="00705045" w:rsidRPr="00471CBA" w:rsidRDefault="00705045" w:rsidP="00705045">
            <w:pPr>
              <w:ind w:right="-10"/>
              <w:rPr>
                <w:rFonts w:eastAsia="Arial Unicode MS"/>
                <w:b/>
                <w:iCs/>
                <w:szCs w:val="20"/>
              </w:rPr>
            </w:pPr>
            <w:r w:rsidRPr="00471CBA">
              <w:rPr>
                <w:b/>
                <w:iCs/>
                <w:szCs w:val="20"/>
              </w:rPr>
              <w:t>Diğer Krediler (Net)</w:t>
            </w:r>
          </w:p>
        </w:tc>
        <w:tc>
          <w:tcPr>
            <w:tcW w:w="868" w:type="pct"/>
            <w:tcBorders>
              <w:top w:val="single" w:sz="4" w:space="0" w:color="auto"/>
              <w:bottom w:val="single" w:sz="4" w:space="0" w:color="auto"/>
            </w:tcBorders>
            <w:noWrap/>
          </w:tcPr>
          <w:p w14:paraId="5FC7047A" w14:textId="2FABBB29" w:rsidR="00705045" w:rsidRPr="00471CBA" w:rsidRDefault="00705045" w:rsidP="00705045">
            <w:pPr>
              <w:ind w:left="-196" w:right="18" w:firstLine="196"/>
              <w:jc w:val="right"/>
              <w:rPr>
                <w:rFonts w:eastAsia="Arial Unicode MS"/>
                <w:b/>
                <w:iCs/>
                <w:szCs w:val="20"/>
              </w:rPr>
            </w:pPr>
            <w:r w:rsidRPr="00471CBA">
              <w:rPr>
                <w:rFonts w:eastAsia="Arial Unicode MS"/>
                <w:iCs/>
                <w:szCs w:val="20"/>
              </w:rPr>
              <w:t>-</w:t>
            </w:r>
          </w:p>
        </w:tc>
        <w:tc>
          <w:tcPr>
            <w:tcW w:w="815" w:type="pct"/>
            <w:gridSpan w:val="2"/>
            <w:tcBorders>
              <w:top w:val="single" w:sz="4" w:space="0" w:color="auto"/>
              <w:bottom w:val="single" w:sz="4" w:space="0" w:color="auto"/>
            </w:tcBorders>
            <w:noWrap/>
          </w:tcPr>
          <w:p w14:paraId="7103B2B4" w14:textId="6A37D408" w:rsidR="00705045" w:rsidRPr="00471CBA" w:rsidRDefault="00705045" w:rsidP="00705045">
            <w:pPr>
              <w:ind w:left="-196" w:right="18" w:firstLine="196"/>
              <w:jc w:val="right"/>
              <w:rPr>
                <w:rFonts w:eastAsia="Arial Unicode MS"/>
                <w:b/>
                <w:iCs/>
                <w:szCs w:val="20"/>
              </w:rPr>
            </w:pPr>
            <w:r w:rsidRPr="00471CBA">
              <w:rPr>
                <w:rFonts w:eastAsia="Arial Unicode MS"/>
                <w:iCs/>
                <w:szCs w:val="20"/>
              </w:rPr>
              <w:t>-</w:t>
            </w:r>
          </w:p>
        </w:tc>
        <w:tc>
          <w:tcPr>
            <w:tcW w:w="968" w:type="pct"/>
            <w:tcBorders>
              <w:top w:val="single" w:sz="4" w:space="0" w:color="auto"/>
              <w:bottom w:val="single" w:sz="4" w:space="0" w:color="auto"/>
            </w:tcBorders>
            <w:noWrap/>
          </w:tcPr>
          <w:p w14:paraId="35EBA34B" w14:textId="7ACE2353" w:rsidR="00705045" w:rsidRPr="00471CBA" w:rsidRDefault="00705045" w:rsidP="00705045">
            <w:pPr>
              <w:ind w:left="-196" w:right="18" w:firstLine="196"/>
              <w:jc w:val="right"/>
              <w:rPr>
                <w:rFonts w:eastAsia="Arial Unicode MS"/>
                <w:b/>
                <w:iCs/>
                <w:szCs w:val="20"/>
              </w:rPr>
            </w:pPr>
            <w:r w:rsidRPr="00471CBA">
              <w:rPr>
                <w:rFonts w:eastAsia="Arial Unicode MS"/>
                <w:iCs/>
                <w:szCs w:val="20"/>
              </w:rPr>
              <w:t>-</w:t>
            </w:r>
          </w:p>
        </w:tc>
      </w:tr>
      <w:tr w:rsidR="00385379" w:rsidRPr="00471CBA" w14:paraId="4D132E45" w14:textId="77777777" w:rsidTr="00522EA7">
        <w:trPr>
          <w:trHeight w:val="113"/>
        </w:trPr>
        <w:tc>
          <w:tcPr>
            <w:tcW w:w="2349" w:type="pct"/>
            <w:tcBorders>
              <w:bottom w:val="single" w:sz="4" w:space="0" w:color="auto"/>
            </w:tcBorders>
            <w:noWrap/>
            <w:vAlign w:val="bottom"/>
          </w:tcPr>
          <w:p w14:paraId="70F06F86" w14:textId="77777777" w:rsidR="00385379" w:rsidRPr="00471CBA" w:rsidRDefault="00385379" w:rsidP="00522EA7">
            <w:pPr>
              <w:rPr>
                <w:iCs/>
                <w:szCs w:val="20"/>
              </w:rPr>
            </w:pPr>
          </w:p>
        </w:tc>
        <w:tc>
          <w:tcPr>
            <w:tcW w:w="868" w:type="pct"/>
            <w:tcBorders>
              <w:bottom w:val="single" w:sz="4" w:space="0" w:color="auto"/>
            </w:tcBorders>
            <w:noWrap/>
          </w:tcPr>
          <w:p w14:paraId="52F356A6" w14:textId="77777777" w:rsidR="00385379" w:rsidRPr="00471CBA" w:rsidRDefault="00385379" w:rsidP="00522EA7">
            <w:pPr>
              <w:ind w:left="-22" w:right="18"/>
              <w:jc w:val="right"/>
              <w:rPr>
                <w:szCs w:val="20"/>
              </w:rPr>
            </w:pPr>
          </w:p>
        </w:tc>
        <w:tc>
          <w:tcPr>
            <w:tcW w:w="815" w:type="pct"/>
            <w:gridSpan w:val="2"/>
            <w:tcBorders>
              <w:bottom w:val="single" w:sz="4" w:space="0" w:color="auto"/>
            </w:tcBorders>
            <w:noWrap/>
          </w:tcPr>
          <w:p w14:paraId="5C4FF898" w14:textId="77777777" w:rsidR="00385379" w:rsidRPr="00471CBA" w:rsidRDefault="00385379" w:rsidP="00522EA7">
            <w:pPr>
              <w:ind w:right="18"/>
              <w:jc w:val="right"/>
              <w:rPr>
                <w:szCs w:val="20"/>
              </w:rPr>
            </w:pPr>
          </w:p>
        </w:tc>
        <w:tc>
          <w:tcPr>
            <w:tcW w:w="968" w:type="pct"/>
            <w:tcBorders>
              <w:bottom w:val="single" w:sz="4" w:space="0" w:color="auto"/>
            </w:tcBorders>
            <w:noWrap/>
          </w:tcPr>
          <w:p w14:paraId="0300B457" w14:textId="77777777" w:rsidR="00385379" w:rsidRPr="00471CBA" w:rsidRDefault="00385379" w:rsidP="00522EA7">
            <w:pPr>
              <w:ind w:right="18"/>
              <w:jc w:val="right"/>
              <w:rPr>
                <w:szCs w:val="20"/>
              </w:rPr>
            </w:pPr>
          </w:p>
        </w:tc>
      </w:tr>
      <w:tr w:rsidR="00705045" w:rsidRPr="00471CBA" w14:paraId="50752F3A" w14:textId="77777777" w:rsidTr="00B3492F">
        <w:trPr>
          <w:trHeight w:val="113"/>
        </w:trPr>
        <w:tc>
          <w:tcPr>
            <w:tcW w:w="2349" w:type="pct"/>
            <w:tcBorders>
              <w:top w:val="single" w:sz="4" w:space="0" w:color="auto"/>
              <w:bottom w:val="single" w:sz="4" w:space="0" w:color="auto"/>
            </w:tcBorders>
            <w:noWrap/>
            <w:vAlign w:val="bottom"/>
          </w:tcPr>
          <w:p w14:paraId="73E2DD8A" w14:textId="77777777" w:rsidR="00705045" w:rsidRPr="00471CBA" w:rsidRDefault="00705045" w:rsidP="00705045">
            <w:pPr>
              <w:ind w:left="67"/>
              <w:jc w:val="both"/>
              <w:rPr>
                <w:rFonts w:eastAsia="Arial Unicode MS"/>
                <w:b/>
                <w:iCs/>
                <w:szCs w:val="20"/>
              </w:rPr>
            </w:pPr>
            <w:r w:rsidRPr="00471CBA">
              <w:rPr>
                <w:b/>
                <w:iCs/>
                <w:szCs w:val="20"/>
              </w:rPr>
              <w:t>Önceki Dönem (Net)</w:t>
            </w:r>
          </w:p>
        </w:tc>
        <w:tc>
          <w:tcPr>
            <w:tcW w:w="873" w:type="pct"/>
            <w:gridSpan w:val="2"/>
            <w:tcBorders>
              <w:top w:val="single" w:sz="4" w:space="0" w:color="auto"/>
              <w:left w:val="nil"/>
              <w:bottom w:val="single" w:sz="4" w:space="0" w:color="auto"/>
              <w:right w:val="nil"/>
            </w:tcBorders>
            <w:noWrap/>
          </w:tcPr>
          <w:p w14:paraId="6159EB1F" w14:textId="65FA31F7" w:rsidR="00705045" w:rsidRPr="00471CBA" w:rsidRDefault="00705045" w:rsidP="00705045">
            <w:pPr>
              <w:ind w:left="-196" w:right="18" w:firstLine="196"/>
              <w:jc w:val="right"/>
              <w:rPr>
                <w:rFonts w:eastAsia="Arial Unicode MS"/>
                <w:b/>
                <w:iCs/>
                <w:szCs w:val="20"/>
              </w:rPr>
            </w:pPr>
            <w:r w:rsidRPr="00471CBA">
              <w:rPr>
                <w:rFonts w:eastAsia="Arial Unicode MS"/>
                <w:iCs/>
                <w:szCs w:val="20"/>
              </w:rPr>
              <w:t>-</w:t>
            </w:r>
          </w:p>
        </w:tc>
        <w:tc>
          <w:tcPr>
            <w:tcW w:w="810" w:type="pct"/>
            <w:tcBorders>
              <w:top w:val="single" w:sz="4" w:space="0" w:color="auto"/>
              <w:left w:val="nil"/>
              <w:bottom w:val="single" w:sz="4" w:space="0" w:color="auto"/>
              <w:right w:val="nil"/>
            </w:tcBorders>
            <w:noWrap/>
          </w:tcPr>
          <w:p w14:paraId="519DE4FE" w14:textId="4A5BCE3C" w:rsidR="00705045" w:rsidRPr="00471CBA" w:rsidRDefault="00705045" w:rsidP="00705045">
            <w:pPr>
              <w:ind w:left="-196" w:right="18" w:firstLine="196"/>
              <w:jc w:val="right"/>
              <w:rPr>
                <w:rFonts w:eastAsia="Arial Unicode MS"/>
                <w:b/>
                <w:iCs/>
                <w:szCs w:val="20"/>
              </w:rPr>
            </w:pPr>
            <w:r w:rsidRPr="00471CBA">
              <w:rPr>
                <w:rFonts w:eastAsia="Arial Unicode MS"/>
                <w:iCs/>
                <w:szCs w:val="20"/>
              </w:rPr>
              <w:t>-</w:t>
            </w:r>
          </w:p>
        </w:tc>
        <w:tc>
          <w:tcPr>
            <w:tcW w:w="968" w:type="pct"/>
            <w:tcBorders>
              <w:top w:val="single" w:sz="4" w:space="0" w:color="auto"/>
              <w:left w:val="nil"/>
              <w:bottom w:val="single" w:sz="4" w:space="0" w:color="auto"/>
            </w:tcBorders>
            <w:noWrap/>
          </w:tcPr>
          <w:p w14:paraId="3166D138" w14:textId="3F03B727" w:rsidR="00705045" w:rsidRPr="00471CBA" w:rsidRDefault="00705045" w:rsidP="00705045">
            <w:pPr>
              <w:ind w:left="-196" w:right="18" w:firstLine="196"/>
              <w:jc w:val="right"/>
              <w:rPr>
                <w:rFonts w:eastAsia="Arial Unicode MS"/>
                <w:b/>
                <w:iCs/>
                <w:szCs w:val="20"/>
              </w:rPr>
            </w:pPr>
            <w:r w:rsidRPr="00471CBA">
              <w:rPr>
                <w:rFonts w:eastAsia="Arial Unicode MS"/>
                <w:iCs/>
                <w:szCs w:val="20"/>
              </w:rPr>
              <w:t>-</w:t>
            </w:r>
          </w:p>
        </w:tc>
      </w:tr>
      <w:tr w:rsidR="00705045" w:rsidRPr="00471CBA" w14:paraId="740F9089" w14:textId="77777777" w:rsidTr="00B3492F">
        <w:trPr>
          <w:trHeight w:val="113"/>
        </w:trPr>
        <w:tc>
          <w:tcPr>
            <w:tcW w:w="2349" w:type="pct"/>
            <w:tcBorders>
              <w:top w:val="single" w:sz="4" w:space="0" w:color="auto"/>
            </w:tcBorders>
            <w:noWrap/>
            <w:vAlign w:val="bottom"/>
          </w:tcPr>
          <w:p w14:paraId="3AA1B4C3" w14:textId="77777777" w:rsidR="00705045" w:rsidRPr="00471CBA" w:rsidRDefault="00705045" w:rsidP="00705045">
            <w:pPr>
              <w:rPr>
                <w:rFonts w:eastAsia="Arial Unicode MS"/>
                <w:iCs/>
                <w:szCs w:val="20"/>
              </w:rPr>
            </w:pPr>
            <w:r w:rsidRPr="00471CBA">
              <w:rPr>
                <w:iCs/>
                <w:szCs w:val="20"/>
              </w:rPr>
              <w:t>Gerçek ve Tüzel Kişilere Kullandırılan Krediler (Brüt)</w:t>
            </w:r>
          </w:p>
        </w:tc>
        <w:tc>
          <w:tcPr>
            <w:tcW w:w="873" w:type="pct"/>
            <w:gridSpan w:val="2"/>
            <w:tcBorders>
              <w:top w:val="single" w:sz="4" w:space="0" w:color="auto"/>
              <w:left w:val="nil"/>
              <w:bottom w:val="nil"/>
              <w:right w:val="nil"/>
            </w:tcBorders>
            <w:noWrap/>
          </w:tcPr>
          <w:p w14:paraId="68A07DDF" w14:textId="0C962777" w:rsidR="00705045" w:rsidRPr="00471CBA" w:rsidRDefault="00705045" w:rsidP="00705045">
            <w:pPr>
              <w:ind w:left="-196" w:right="18" w:firstLine="196"/>
              <w:jc w:val="right"/>
              <w:rPr>
                <w:rFonts w:eastAsia="Arial Unicode MS"/>
                <w:iCs/>
                <w:szCs w:val="20"/>
              </w:rPr>
            </w:pPr>
            <w:r w:rsidRPr="00471CBA">
              <w:rPr>
                <w:rFonts w:eastAsia="Arial Unicode MS"/>
                <w:iCs/>
                <w:szCs w:val="20"/>
              </w:rPr>
              <w:t>-</w:t>
            </w:r>
          </w:p>
        </w:tc>
        <w:tc>
          <w:tcPr>
            <w:tcW w:w="810" w:type="pct"/>
            <w:tcBorders>
              <w:top w:val="single" w:sz="4" w:space="0" w:color="auto"/>
              <w:left w:val="nil"/>
              <w:bottom w:val="nil"/>
              <w:right w:val="nil"/>
            </w:tcBorders>
            <w:noWrap/>
          </w:tcPr>
          <w:p w14:paraId="7009B677" w14:textId="7774C0F7" w:rsidR="00705045" w:rsidRPr="00471CBA" w:rsidRDefault="00705045" w:rsidP="00705045">
            <w:pPr>
              <w:ind w:left="-196" w:right="18" w:firstLine="196"/>
              <w:jc w:val="right"/>
              <w:rPr>
                <w:rFonts w:eastAsia="Arial Unicode MS"/>
                <w:iCs/>
                <w:szCs w:val="20"/>
              </w:rPr>
            </w:pPr>
            <w:r w:rsidRPr="00471CBA">
              <w:rPr>
                <w:rFonts w:eastAsia="Arial Unicode MS"/>
                <w:iCs/>
                <w:szCs w:val="20"/>
              </w:rPr>
              <w:t>-</w:t>
            </w:r>
          </w:p>
        </w:tc>
        <w:tc>
          <w:tcPr>
            <w:tcW w:w="968" w:type="pct"/>
            <w:tcBorders>
              <w:top w:val="single" w:sz="4" w:space="0" w:color="auto"/>
              <w:left w:val="nil"/>
              <w:bottom w:val="nil"/>
            </w:tcBorders>
            <w:noWrap/>
          </w:tcPr>
          <w:p w14:paraId="3FA9E6FF" w14:textId="551BC189" w:rsidR="00705045" w:rsidRPr="00471CBA" w:rsidRDefault="00705045" w:rsidP="00705045">
            <w:pPr>
              <w:ind w:left="-196" w:right="18" w:firstLine="196"/>
              <w:jc w:val="right"/>
              <w:rPr>
                <w:rFonts w:eastAsia="Arial Unicode MS"/>
                <w:iCs/>
                <w:szCs w:val="20"/>
              </w:rPr>
            </w:pPr>
            <w:r w:rsidRPr="00471CBA">
              <w:rPr>
                <w:rFonts w:eastAsia="Arial Unicode MS"/>
                <w:iCs/>
                <w:szCs w:val="20"/>
              </w:rPr>
              <w:t>-</w:t>
            </w:r>
          </w:p>
        </w:tc>
      </w:tr>
      <w:tr w:rsidR="00705045" w:rsidRPr="00471CBA" w14:paraId="5ED86717" w14:textId="77777777" w:rsidTr="00B3492F">
        <w:trPr>
          <w:trHeight w:val="113"/>
        </w:trPr>
        <w:tc>
          <w:tcPr>
            <w:tcW w:w="2349" w:type="pct"/>
            <w:tcBorders>
              <w:bottom w:val="single" w:sz="4" w:space="0" w:color="auto"/>
            </w:tcBorders>
            <w:noWrap/>
            <w:vAlign w:val="bottom"/>
          </w:tcPr>
          <w:p w14:paraId="1428D80D" w14:textId="77777777" w:rsidR="00705045" w:rsidRPr="00471CBA" w:rsidRDefault="00705045" w:rsidP="00705045">
            <w:pPr>
              <w:ind w:left="360"/>
              <w:rPr>
                <w:rFonts w:eastAsia="Arial Unicode MS"/>
                <w:iCs/>
                <w:szCs w:val="20"/>
              </w:rPr>
            </w:pPr>
            <w:r w:rsidRPr="00471CBA">
              <w:rPr>
                <w:iCs/>
                <w:szCs w:val="20"/>
              </w:rPr>
              <w:t>Karşılık Tutarı (-)</w:t>
            </w:r>
          </w:p>
        </w:tc>
        <w:tc>
          <w:tcPr>
            <w:tcW w:w="873" w:type="pct"/>
            <w:gridSpan w:val="2"/>
            <w:tcBorders>
              <w:top w:val="nil"/>
              <w:left w:val="nil"/>
              <w:bottom w:val="single" w:sz="4" w:space="0" w:color="auto"/>
              <w:right w:val="nil"/>
            </w:tcBorders>
            <w:noWrap/>
          </w:tcPr>
          <w:p w14:paraId="7DF51CFF" w14:textId="24DC7DB6" w:rsidR="00705045" w:rsidRPr="00471CBA" w:rsidRDefault="00705045" w:rsidP="00705045">
            <w:pPr>
              <w:ind w:left="-196" w:right="18" w:firstLine="196"/>
              <w:jc w:val="right"/>
              <w:rPr>
                <w:rFonts w:eastAsia="Arial Unicode MS"/>
                <w:iCs/>
                <w:szCs w:val="20"/>
              </w:rPr>
            </w:pPr>
            <w:r w:rsidRPr="00471CBA">
              <w:rPr>
                <w:rFonts w:eastAsia="Arial Unicode MS"/>
                <w:iCs/>
                <w:szCs w:val="20"/>
              </w:rPr>
              <w:t>-</w:t>
            </w:r>
          </w:p>
        </w:tc>
        <w:tc>
          <w:tcPr>
            <w:tcW w:w="810" w:type="pct"/>
            <w:tcBorders>
              <w:top w:val="nil"/>
              <w:left w:val="nil"/>
              <w:bottom w:val="single" w:sz="4" w:space="0" w:color="auto"/>
              <w:right w:val="nil"/>
            </w:tcBorders>
            <w:noWrap/>
          </w:tcPr>
          <w:p w14:paraId="3F665E45" w14:textId="39CF79E5" w:rsidR="00705045" w:rsidRPr="00471CBA" w:rsidRDefault="00705045" w:rsidP="00705045">
            <w:pPr>
              <w:ind w:left="-196" w:right="18" w:firstLine="196"/>
              <w:jc w:val="right"/>
              <w:rPr>
                <w:rFonts w:eastAsia="Arial Unicode MS"/>
                <w:iCs/>
                <w:szCs w:val="20"/>
              </w:rPr>
            </w:pPr>
            <w:r w:rsidRPr="00471CBA">
              <w:rPr>
                <w:rFonts w:eastAsia="Arial Unicode MS"/>
                <w:iCs/>
                <w:szCs w:val="20"/>
              </w:rPr>
              <w:t>-</w:t>
            </w:r>
          </w:p>
        </w:tc>
        <w:tc>
          <w:tcPr>
            <w:tcW w:w="968" w:type="pct"/>
            <w:tcBorders>
              <w:top w:val="nil"/>
              <w:left w:val="nil"/>
              <w:bottom w:val="single" w:sz="4" w:space="0" w:color="auto"/>
            </w:tcBorders>
            <w:noWrap/>
          </w:tcPr>
          <w:p w14:paraId="553B4BD1" w14:textId="67842AAB" w:rsidR="00705045" w:rsidRPr="00471CBA" w:rsidRDefault="00705045" w:rsidP="00705045">
            <w:pPr>
              <w:ind w:left="-196" w:right="18" w:firstLine="196"/>
              <w:jc w:val="right"/>
              <w:rPr>
                <w:rFonts w:eastAsia="Arial Unicode MS"/>
                <w:iCs/>
                <w:szCs w:val="20"/>
              </w:rPr>
            </w:pPr>
            <w:r w:rsidRPr="00471CBA">
              <w:rPr>
                <w:rFonts w:eastAsia="Arial Unicode MS"/>
                <w:iCs/>
                <w:szCs w:val="20"/>
              </w:rPr>
              <w:t>-</w:t>
            </w:r>
          </w:p>
        </w:tc>
      </w:tr>
      <w:tr w:rsidR="00705045" w:rsidRPr="00471CBA" w14:paraId="13C6CDEA" w14:textId="77777777" w:rsidTr="00B3492F">
        <w:trPr>
          <w:trHeight w:val="113"/>
        </w:trPr>
        <w:tc>
          <w:tcPr>
            <w:tcW w:w="2349" w:type="pct"/>
            <w:tcBorders>
              <w:top w:val="single" w:sz="4" w:space="0" w:color="auto"/>
              <w:bottom w:val="single" w:sz="4" w:space="0" w:color="auto"/>
            </w:tcBorders>
            <w:noWrap/>
            <w:vAlign w:val="bottom"/>
          </w:tcPr>
          <w:p w14:paraId="2EF7D937" w14:textId="77777777" w:rsidR="00705045" w:rsidRPr="00471CBA" w:rsidRDefault="00705045" w:rsidP="00705045">
            <w:pPr>
              <w:rPr>
                <w:rFonts w:eastAsia="Arial Unicode MS"/>
                <w:b/>
                <w:iCs/>
                <w:szCs w:val="20"/>
              </w:rPr>
            </w:pPr>
            <w:r w:rsidRPr="00471CBA">
              <w:rPr>
                <w:b/>
                <w:iCs/>
                <w:szCs w:val="20"/>
              </w:rPr>
              <w:t xml:space="preserve">Gerçek ve Tüzel Kişilere Kullandırılan Krediler (Net) </w:t>
            </w:r>
          </w:p>
        </w:tc>
        <w:tc>
          <w:tcPr>
            <w:tcW w:w="873" w:type="pct"/>
            <w:gridSpan w:val="2"/>
            <w:tcBorders>
              <w:top w:val="single" w:sz="4" w:space="0" w:color="auto"/>
              <w:left w:val="nil"/>
              <w:bottom w:val="single" w:sz="4" w:space="0" w:color="auto"/>
              <w:right w:val="nil"/>
            </w:tcBorders>
            <w:noWrap/>
          </w:tcPr>
          <w:p w14:paraId="7554D01E" w14:textId="5465D237" w:rsidR="00705045" w:rsidRPr="00471CBA" w:rsidRDefault="00705045" w:rsidP="00705045">
            <w:pPr>
              <w:ind w:left="-196" w:right="18" w:firstLine="196"/>
              <w:jc w:val="right"/>
              <w:rPr>
                <w:rFonts w:eastAsia="Arial Unicode MS"/>
                <w:b/>
                <w:iCs/>
                <w:szCs w:val="20"/>
              </w:rPr>
            </w:pPr>
            <w:r w:rsidRPr="00471CBA">
              <w:rPr>
                <w:rFonts w:eastAsia="Arial Unicode MS"/>
                <w:iCs/>
                <w:szCs w:val="20"/>
              </w:rPr>
              <w:t>-</w:t>
            </w:r>
          </w:p>
        </w:tc>
        <w:tc>
          <w:tcPr>
            <w:tcW w:w="810" w:type="pct"/>
            <w:tcBorders>
              <w:top w:val="single" w:sz="4" w:space="0" w:color="auto"/>
              <w:left w:val="nil"/>
              <w:bottom w:val="single" w:sz="4" w:space="0" w:color="auto"/>
              <w:right w:val="nil"/>
            </w:tcBorders>
            <w:noWrap/>
          </w:tcPr>
          <w:p w14:paraId="51C1177E" w14:textId="613E57A1" w:rsidR="00705045" w:rsidRPr="00471CBA" w:rsidRDefault="00705045" w:rsidP="00705045">
            <w:pPr>
              <w:ind w:left="-196" w:right="18" w:firstLine="196"/>
              <w:jc w:val="right"/>
              <w:rPr>
                <w:rFonts w:eastAsia="Arial Unicode MS"/>
                <w:b/>
                <w:iCs/>
                <w:szCs w:val="20"/>
              </w:rPr>
            </w:pPr>
            <w:r w:rsidRPr="00471CBA">
              <w:rPr>
                <w:rFonts w:eastAsia="Arial Unicode MS"/>
                <w:iCs/>
                <w:szCs w:val="20"/>
              </w:rPr>
              <w:t>-</w:t>
            </w:r>
          </w:p>
        </w:tc>
        <w:tc>
          <w:tcPr>
            <w:tcW w:w="968" w:type="pct"/>
            <w:tcBorders>
              <w:top w:val="single" w:sz="4" w:space="0" w:color="auto"/>
              <w:left w:val="nil"/>
              <w:bottom w:val="single" w:sz="4" w:space="0" w:color="auto"/>
            </w:tcBorders>
            <w:noWrap/>
          </w:tcPr>
          <w:p w14:paraId="77AF1BB4" w14:textId="2FB4988D" w:rsidR="00705045" w:rsidRPr="00471CBA" w:rsidRDefault="00705045" w:rsidP="00705045">
            <w:pPr>
              <w:ind w:left="-196" w:right="18" w:firstLine="196"/>
              <w:jc w:val="right"/>
              <w:rPr>
                <w:rFonts w:eastAsia="Arial Unicode MS"/>
                <w:b/>
                <w:iCs/>
                <w:szCs w:val="20"/>
              </w:rPr>
            </w:pPr>
            <w:r w:rsidRPr="00471CBA">
              <w:rPr>
                <w:rFonts w:eastAsia="Arial Unicode MS"/>
                <w:iCs/>
                <w:szCs w:val="20"/>
              </w:rPr>
              <w:t>-</w:t>
            </w:r>
          </w:p>
        </w:tc>
      </w:tr>
      <w:tr w:rsidR="00705045" w:rsidRPr="00471CBA" w14:paraId="38A186D2" w14:textId="77777777" w:rsidTr="00522EA7">
        <w:trPr>
          <w:trHeight w:val="113"/>
        </w:trPr>
        <w:tc>
          <w:tcPr>
            <w:tcW w:w="2349" w:type="pct"/>
            <w:tcBorders>
              <w:top w:val="single" w:sz="4" w:space="0" w:color="auto"/>
            </w:tcBorders>
            <w:noWrap/>
            <w:vAlign w:val="bottom"/>
          </w:tcPr>
          <w:p w14:paraId="4CD657DC" w14:textId="77777777" w:rsidR="00705045" w:rsidRPr="00471CBA" w:rsidRDefault="00705045" w:rsidP="00705045">
            <w:pPr>
              <w:rPr>
                <w:rFonts w:eastAsia="Arial Unicode MS"/>
                <w:iCs/>
                <w:szCs w:val="20"/>
              </w:rPr>
            </w:pPr>
            <w:r w:rsidRPr="00471CBA">
              <w:rPr>
                <w:iCs/>
                <w:szCs w:val="20"/>
              </w:rPr>
              <w:t>Bankalar (Brüt)</w:t>
            </w:r>
          </w:p>
        </w:tc>
        <w:tc>
          <w:tcPr>
            <w:tcW w:w="873" w:type="pct"/>
            <w:gridSpan w:val="2"/>
            <w:tcBorders>
              <w:top w:val="single" w:sz="4" w:space="0" w:color="auto"/>
            </w:tcBorders>
            <w:noWrap/>
          </w:tcPr>
          <w:p w14:paraId="55F56232" w14:textId="3E4D23A0" w:rsidR="00705045" w:rsidRPr="00471CBA" w:rsidRDefault="00705045" w:rsidP="00705045">
            <w:pPr>
              <w:ind w:left="-196" w:right="18" w:firstLine="196"/>
              <w:jc w:val="right"/>
              <w:rPr>
                <w:rFonts w:eastAsia="Arial Unicode MS"/>
                <w:iCs/>
                <w:szCs w:val="20"/>
              </w:rPr>
            </w:pPr>
            <w:r w:rsidRPr="00471CBA">
              <w:rPr>
                <w:rFonts w:eastAsia="Arial Unicode MS"/>
                <w:iCs/>
                <w:szCs w:val="20"/>
              </w:rPr>
              <w:t>-</w:t>
            </w:r>
          </w:p>
        </w:tc>
        <w:tc>
          <w:tcPr>
            <w:tcW w:w="810" w:type="pct"/>
            <w:tcBorders>
              <w:top w:val="single" w:sz="4" w:space="0" w:color="auto"/>
            </w:tcBorders>
            <w:noWrap/>
          </w:tcPr>
          <w:p w14:paraId="41C4F8BF" w14:textId="305C9920" w:rsidR="00705045" w:rsidRPr="00471CBA" w:rsidRDefault="00705045" w:rsidP="00705045">
            <w:pPr>
              <w:ind w:left="-196" w:right="18" w:firstLine="196"/>
              <w:jc w:val="right"/>
              <w:rPr>
                <w:rFonts w:eastAsia="Arial Unicode MS"/>
                <w:iCs/>
                <w:szCs w:val="20"/>
              </w:rPr>
            </w:pPr>
            <w:r w:rsidRPr="00471CBA">
              <w:rPr>
                <w:rFonts w:eastAsia="Arial Unicode MS"/>
                <w:iCs/>
                <w:szCs w:val="20"/>
              </w:rPr>
              <w:t>-</w:t>
            </w:r>
          </w:p>
        </w:tc>
        <w:tc>
          <w:tcPr>
            <w:tcW w:w="968" w:type="pct"/>
            <w:tcBorders>
              <w:top w:val="single" w:sz="4" w:space="0" w:color="auto"/>
            </w:tcBorders>
            <w:noWrap/>
          </w:tcPr>
          <w:p w14:paraId="3C879665" w14:textId="6B6B3EF5" w:rsidR="00705045" w:rsidRPr="00471CBA" w:rsidRDefault="00705045" w:rsidP="00705045">
            <w:pPr>
              <w:ind w:left="-196" w:right="18" w:firstLine="196"/>
              <w:jc w:val="right"/>
              <w:rPr>
                <w:rFonts w:eastAsia="Arial Unicode MS"/>
                <w:iCs/>
                <w:szCs w:val="20"/>
              </w:rPr>
            </w:pPr>
            <w:r w:rsidRPr="00471CBA">
              <w:rPr>
                <w:rFonts w:eastAsia="Arial Unicode MS"/>
                <w:iCs/>
                <w:szCs w:val="20"/>
              </w:rPr>
              <w:t>-</w:t>
            </w:r>
          </w:p>
        </w:tc>
      </w:tr>
      <w:tr w:rsidR="00705045" w:rsidRPr="00471CBA" w14:paraId="12C92192" w14:textId="77777777" w:rsidTr="00522EA7">
        <w:trPr>
          <w:trHeight w:val="113"/>
        </w:trPr>
        <w:tc>
          <w:tcPr>
            <w:tcW w:w="2349" w:type="pct"/>
            <w:tcBorders>
              <w:bottom w:val="single" w:sz="4" w:space="0" w:color="auto"/>
            </w:tcBorders>
            <w:noWrap/>
            <w:vAlign w:val="bottom"/>
          </w:tcPr>
          <w:p w14:paraId="27BDEFDF" w14:textId="77777777" w:rsidR="00705045" w:rsidRPr="00471CBA" w:rsidRDefault="00705045" w:rsidP="00705045">
            <w:pPr>
              <w:ind w:left="360"/>
              <w:rPr>
                <w:rFonts w:eastAsia="Arial Unicode MS"/>
                <w:iCs/>
                <w:szCs w:val="20"/>
              </w:rPr>
            </w:pPr>
            <w:r w:rsidRPr="00471CBA">
              <w:rPr>
                <w:iCs/>
                <w:szCs w:val="20"/>
              </w:rPr>
              <w:t>Karşılık Tutarı (-)</w:t>
            </w:r>
          </w:p>
        </w:tc>
        <w:tc>
          <w:tcPr>
            <w:tcW w:w="873" w:type="pct"/>
            <w:gridSpan w:val="2"/>
            <w:tcBorders>
              <w:bottom w:val="single" w:sz="4" w:space="0" w:color="auto"/>
            </w:tcBorders>
            <w:noWrap/>
          </w:tcPr>
          <w:p w14:paraId="3CA7FFB9" w14:textId="0C5B3125" w:rsidR="00705045" w:rsidRPr="00471CBA" w:rsidRDefault="00705045" w:rsidP="00705045">
            <w:pPr>
              <w:ind w:left="-196" w:right="18" w:firstLine="196"/>
              <w:jc w:val="right"/>
              <w:rPr>
                <w:rFonts w:eastAsia="Arial Unicode MS"/>
                <w:iCs/>
                <w:szCs w:val="20"/>
              </w:rPr>
            </w:pPr>
            <w:r w:rsidRPr="00471CBA">
              <w:rPr>
                <w:rFonts w:eastAsia="Arial Unicode MS"/>
                <w:iCs/>
                <w:szCs w:val="20"/>
              </w:rPr>
              <w:t>-</w:t>
            </w:r>
          </w:p>
        </w:tc>
        <w:tc>
          <w:tcPr>
            <w:tcW w:w="810" w:type="pct"/>
            <w:tcBorders>
              <w:bottom w:val="single" w:sz="4" w:space="0" w:color="auto"/>
            </w:tcBorders>
            <w:noWrap/>
          </w:tcPr>
          <w:p w14:paraId="140A4183" w14:textId="217920E6" w:rsidR="00705045" w:rsidRPr="00471CBA" w:rsidRDefault="00705045" w:rsidP="00705045">
            <w:pPr>
              <w:ind w:left="-196" w:right="18" w:firstLine="196"/>
              <w:jc w:val="right"/>
              <w:rPr>
                <w:rFonts w:eastAsia="Arial Unicode MS"/>
                <w:iCs/>
                <w:szCs w:val="20"/>
              </w:rPr>
            </w:pPr>
            <w:r w:rsidRPr="00471CBA">
              <w:rPr>
                <w:rFonts w:eastAsia="Arial Unicode MS"/>
                <w:iCs/>
                <w:szCs w:val="20"/>
              </w:rPr>
              <w:t>-</w:t>
            </w:r>
          </w:p>
        </w:tc>
        <w:tc>
          <w:tcPr>
            <w:tcW w:w="968" w:type="pct"/>
            <w:tcBorders>
              <w:bottom w:val="single" w:sz="4" w:space="0" w:color="auto"/>
            </w:tcBorders>
            <w:noWrap/>
          </w:tcPr>
          <w:p w14:paraId="6880083E" w14:textId="3EEFE3D5" w:rsidR="00705045" w:rsidRPr="00471CBA" w:rsidRDefault="00705045" w:rsidP="00705045">
            <w:pPr>
              <w:ind w:left="-196" w:right="18" w:firstLine="196"/>
              <w:jc w:val="right"/>
              <w:rPr>
                <w:rFonts w:eastAsia="Arial Unicode MS"/>
                <w:iCs/>
                <w:szCs w:val="20"/>
              </w:rPr>
            </w:pPr>
            <w:r w:rsidRPr="00471CBA">
              <w:rPr>
                <w:rFonts w:eastAsia="Arial Unicode MS"/>
                <w:iCs/>
                <w:szCs w:val="20"/>
              </w:rPr>
              <w:t>-</w:t>
            </w:r>
          </w:p>
        </w:tc>
      </w:tr>
      <w:tr w:rsidR="00705045" w:rsidRPr="00471CBA" w14:paraId="73D58991" w14:textId="77777777" w:rsidTr="00522EA7">
        <w:trPr>
          <w:trHeight w:val="113"/>
        </w:trPr>
        <w:tc>
          <w:tcPr>
            <w:tcW w:w="2349" w:type="pct"/>
            <w:tcBorders>
              <w:top w:val="single" w:sz="4" w:space="0" w:color="auto"/>
              <w:bottom w:val="single" w:sz="4" w:space="0" w:color="auto"/>
            </w:tcBorders>
            <w:noWrap/>
            <w:vAlign w:val="bottom"/>
          </w:tcPr>
          <w:p w14:paraId="491998DC" w14:textId="77777777" w:rsidR="00705045" w:rsidRPr="00471CBA" w:rsidRDefault="00705045" w:rsidP="00705045">
            <w:pPr>
              <w:rPr>
                <w:b/>
                <w:iCs/>
                <w:szCs w:val="20"/>
              </w:rPr>
            </w:pPr>
            <w:r w:rsidRPr="00471CBA">
              <w:rPr>
                <w:b/>
                <w:iCs/>
                <w:szCs w:val="20"/>
              </w:rPr>
              <w:t>Bankalar (Net)</w:t>
            </w:r>
          </w:p>
        </w:tc>
        <w:tc>
          <w:tcPr>
            <w:tcW w:w="873" w:type="pct"/>
            <w:gridSpan w:val="2"/>
            <w:tcBorders>
              <w:top w:val="single" w:sz="4" w:space="0" w:color="auto"/>
              <w:bottom w:val="single" w:sz="4" w:space="0" w:color="auto"/>
            </w:tcBorders>
            <w:noWrap/>
          </w:tcPr>
          <w:p w14:paraId="7609F9F3" w14:textId="140438C6" w:rsidR="00705045" w:rsidRPr="00471CBA" w:rsidRDefault="00705045" w:rsidP="00705045">
            <w:pPr>
              <w:ind w:left="-196" w:right="18" w:firstLine="196"/>
              <w:jc w:val="right"/>
              <w:rPr>
                <w:rFonts w:eastAsia="Arial Unicode MS"/>
                <w:b/>
                <w:iCs/>
                <w:szCs w:val="20"/>
              </w:rPr>
            </w:pPr>
            <w:r w:rsidRPr="00471CBA">
              <w:rPr>
                <w:rFonts w:eastAsia="Arial Unicode MS"/>
                <w:iCs/>
                <w:szCs w:val="20"/>
              </w:rPr>
              <w:t>-</w:t>
            </w:r>
          </w:p>
        </w:tc>
        <w:tc>
          <w:tcPr>
            <w:tcW w:w="810" w:type="pct"/>
            <w:tcBorders>
              <w:top w:val="single" w:sz="4" w:space="0" w:color="auto"/>
              <w:bottom w:val="single" w:sz="4" w:space="0" w:color="auto"/>
            </w:tcBorders>
            <w:noWrap/>
          </w:tcPr>
          <w:p w14:paraId="77C6CACC" w14:textId="0102C7F8" w:rsidR="00705045" w:rsidRPr="00471CBA" w:rsidRDefault="00705045" w:rsidP="00705045">
            <w:pPr>
              <w:ind w:left="-196" w:right="18" w:firstLine="196"/>
              <w:jc w:val="right"/>
              <w:rPr>
                <w:rFonts w:eastAsia="Arial Unicode MS"/>
                <w:b/>
                <w:iCs/>
                <w:szCs w:val="20"/>
              </w:rPr>
            </w:pPr>
            <w:r w:rsidRPr="00471CBA">
              <w:rPr>
                <w:rFonts w:eastAsia="Arial Unicode MS"/>
                <w:iCs/>
                <w:szCs w:val="20"/>
              </w:rPr>
              <w:t>-</w:t>
            </w:r>
          </w:p>
        </w:tc>
        <w:tc>
          <w:tcPr>
            <w:tcW w:w="968" w:type="pct"/>
            <w:tcBorders>
              <w:top w:val="single" w:sz="4" w:space="0" w:color="auto"/>
              <w:bottom w:val="single" w:sz="4" w:space="0" w:color="auto"/>
            </w:tcBorders>
            <w:noWrap/>
          </w:tcPr>
          <w:p w14:paraId="205EE720" w14:textId="62BE25DF" w:rsidR="00705045" w:rsidRPr="00471CBA" w:rsidRDefault="00705045" w:rsidP="00705045">
            <w:pPr>
              <w:ind w:left="-196" w:right="18" w:firstLine="196"/>
              <w:jc w:val="right"/>
              <w:rPr>
                <w:rFonts w:eastAsia="Arial Unicode MS"/>
                <w:b/>
                <w:iCs/>
                <w:szCs w:val="20"/>
              </w:rPr>
            </w:pPr>
            <w:r w:rsidRPr="00471CBA">
              <w:rPr>
                <w:rFonts w:eastAsia="Arial Unicode MS"/>
                <w:iCs/>
                <w:szCs w:val="20"/>
              </w:rPr>
              <w:t>-</w:t>
            </w:r>
          </w:p>
        </w:tc>
      </w:tr>
      <w:tr w:rsidR="00705045" w:rsidRPr="00471CBA" w14:paraId="59EA6BED" w14:textId="77777777" w:rsidTr="00522EA7">
        <w:trPr>
          <w:trHeight w:val="113"/>
        </w:trPr>
        <w:tc>
          <w:tcPr>
            <w:tcW w:w="2349" w:type="pct"/>
            <w:tcBorders>
              <w:top w:val="single" w:sz="4" w:space="0" w:color="auto"/>
            </w:tcBorders>
            <w:noWrap/>
            <w:vAlign w:val="bottom"/>
          </w:tcPr>
          <w:p w14:paraId="620B82CC" w14:textId="77777777" w:rsidR="00705045" w:rsidRPr="00471CBA" w:rsidRDefault="00705045" w:rsidP="00705045">
            <w:pPr>
              <w:rPr>
                <w:rFonts w:eastAsia="Arial Unicode MS"/>
                <w:iCs/>
                <w:szCs w:val="20"/>
              </w:rPr>
            </w:pPr>
            <w:r w:rsidRPr="00471CBA">
              <w:rPr>
                <w:iCs/>
                <w:szCs w:val="20"/>
              </w:rPr>
              <w:t>Diğer Krediler (Brüt)</w:t>
            </w:r>
          </w:p>
        </w:tc>
        <w:tc>
          <w:tcPr>
            <w:tcW w:w="873" w:type="pct"/>
            <w:gridSpan w:val="2"/>
            <w:tcBorders>
              <w:top w:val="single" w:sz="4" w:space="0" w:color="auto"/>
            </w:tcBorders>
            <w:noWrap/>
          </w:tcPr>
          <w:p w14:paraId="6EA5C784" w14:textId="33BFBF5E" w:rsidR="00705045" w:rsidRPr="00471CBA" w:rsidRDefault="00705045" w:rsidP="00705045">
            <w:pPr>
              <w:ind w:left="-196" w:right="18" w:firstLine="196"/>
              <w:jc w:val="right"/>
              <w:rPr>
                <w:rFonts w:eastAsia="Arial Unicode MS"/>
                <w:iCs/>
                <w:szCs w:val="20"/>
              </w:rPr>
            </w:pPr>
            <w:r w:rsidRPr="00471CBA">
              <w:rPr>
                <w:rFonts w:eastAsia="Arial Unicode MS"/>
                <w:iCs/>
                <w:szCs w:val="20"/>
              </w:rPr>
              <w:t>-</w:t>
            </w:r>
          </w:p>
        </w:tc>
        <w:tc>
          <w:tcPr>
            <w:tcW w:w="810" w:type="pct"/>
            <w:tcBorders>
              <w:top w:val="single" w:sz="4" w:space="0" w:color="auto"/>
            </w:tcBorders>
            <w:noWrap/>
          </w:tcPr>
          <w:p w14:paraId="68E3F302" w14:textId="5E1D58E8" w:rsidR="00705045" w:rsidRPr="00471CBA" w:rsidRDefault="00705045" w:rsidP="00705045">
            <w:pPr>
              <w:ind w:left="-196" w:right="18" w:firstLine="196"/>
              <w:jc w:val="right"/>
              <w:rPr>
                <w:rFonts w:eastAsia="Arial Unicode MS"/>
                <w:iCs/>
                <w:szCs w:val="20"/>
              </w:rPr>
            </w:pPr>
            <w:r w:rsidRPr="00471CBA">
              <w:rPr>
                <w:rFonts w:eastAsia="Arial Unicode MS"/>
                <w:iCs/>
                <w:szCs w:val="20"/>
              </w:rPr>
              <w:t>-</w:t>
            </w:r>
          </w:p>
        </w:tc>
        <w:tc>
          <w:tcPr>
            <w:tcW w:w="968" w:type="pct"/>
            <w:tcBorders>
              <w:top w:val="single" w:sz="4" w:space="0" w:color="auto"/>
            </w:tcBorders>
            <w:noWrap/>
          </w:tcPr>
          <w:p w14:paraId="0BEE8ED6" w14:textId="26E89B5E" w:rsidR="00705045" w:rsidRPr="00471CBA" w:rsidRDefault="00705045" w:rsidP="00705045">
            <w:pPr>
              <w:ind w:left="-196" w:right="18" w:firstLine="196"/>
              <w:jc w:val="right"/>
              <w:rPr>
                <w:rFonts w:eastAsia="Arial Unicode MS"/>
                <w:iCs/>
                <w:szCs w:val="20"/>
              </w:rPr>
            </w:pPr>
            <w:r w:rsidRPr="00471CBA">
              <w:rPr>
                <w:rFonts w:eastAsia="Arial Unicode MS"/>
                <w:iCs/>
                <w:szCs w:val="20"/>
              </w:rPr>
              <w:t>-</w:t>
            </w:r>
          </w:p>
        </w:tc>
      </w:tr>
      <w:tr w:rsidR="00705045" w:rsidRPr="00471CBA" w14:paraId="7F73CFFB" w14:textId="77777777" w:rsidTr="00522EA7">
        <w:trPr>
          <w:trHeight w:val="113"/>
        </w:trPr>
        <w:tc>
          <w:tcPr>
            <w:tcW w:w="2349" w:type="pct"/>
            <w:tcBorders>
              <w:bottom w:val="single" w:sz="4" w:space="0" w:color="auto"/>
            </w:tcBorders>
            <w:noWrap/>
            <w:vAlign w:val="bottom"/>
          </w:tcPr>
          <w:p w14:paraId="113B482E" w14:textId="77777777" w:rsidR="00705045" w:rsidRPr="00471CBA" w:rsidRDefault="00705045" w:rsidP="00705045">
            <w:pPr>
              <w:ind w:left="360"/>
              <w:rPr>
                <w:rFonts w:eastAsia="Arial Unicode MS"/>
                <w:iCs/>
                <w:szCs w:val="20"/>
              </w:rPr>
            </w:pPr>
            <w:r w:rsidRPr="00471CBA">
              <w:rPr>
                <w:iCs/>
                <w:szCs w:val="20"/>
              </w:rPr>
              <w:t>Karşılık Tutarı (-)</w:t>
            </w:r>
          </w:p>
        </w:tc>
        <w:tc>
          <w:tcPr>
            <w:tcW w:w="873" w:type="pct"/>
            <w:gridSpan w:val="2"/>
            <w:tcBorders>
              <w:bottom w:val="single" w:sz="4" w:space="0" w:color="auto"/>
            </w:tcBorders>
            <w:noWrap/>
          </w:tcPr>
          <w:p w14:paraId="2A4CC176" w14:textId="449D2BE1" w:rsidR="00705045" w:rsidRPr="00471CBA" w:rsidRDefault="00705045" w:rsidP="00705045">
            <w:pPr>
              <w:ind w:left="-196" w:right="18" w:firstLine="196"/>
              <w:jc w:val="right"/>
              <w:rPr>
                <w:rFonts w:eastAsia="Arial Unicode MS"/>
                <w:iCs/>
                <w:szCs w:val="20"/>
              </w:rPr>
            </w:pPr>
            <w:r w:rsidRPr="00471CBA">
              <w:rPr>
                <w:rFonts w:eastAsia="Arial Unicode MS"/>
                <w:iCs/>
                <w:szCs w:val="20"/>
              </w:rPr>
              <w:t>-</w:t>
            </w:r>
          </w:p>
        </w:tc>
        <w:tc>
          <w:tcPr>
            <w:tcW w:w="810" w:type="pct"/>
            <w:tcBorders>
              <w:bottom w:val="single" w:sz="4" w:space="0" w:color="auto"/>
            </w:tcBorders>
            <w:noWrap/>
          </w:tcPr>
          <w:p w14:paraId="5DA6A0E9" w14:textId="5CA9428F" w:rsidR="00705045" w:rsidRPr="00471CBA" w:rsidRDefault="00705045" w:rsidP="00705045">
            <w:pPr>
              <w:ind w:left="-196" w:right="18" w:firstLine="196"/>
              <w:jc w:val="right"/>
              <w:rPr>
                <w:rFonts w:eastAsia="Arial Unicode MS"/>
                <w:iCs/>
                <w:szCs w:val="20"/>
              </w:rPr>
            </w:pPr>
            <w:r w:rsidRPr="00471CBA">
              <w:rPr>
                <w:rFonts w:eastAsia="Arial Unicode MS"/>
                <w:iCs/>
                <w:szCs w:val="20"/>
              </w:rPr>
              <w:t>-</w:t>
            </w:r>
          </w:p>
        </w:tc>
        <w:tc>
          <w:tcPr>
            <w:tcW w:w="968" w:type="pct"/>
            <w:tcBorders>
              <w:bottom w:val="single" w:sz="4" w:space="0" w:color="auto"/>
            </w:tcBorders>
            <w:noWrap/>
          </w:tcPr>
          <w:p w14:paraId="5C77EAB4" w14:textId="646B5066" w:rsidR="00705045" w:rsidRPr="00471CBA" w:rsidRDefault="00705045" w:rsidP="00705045">
            <w:pPr>
              <w:ind w:left="-196" w:right="18" w:firstLine="196"/>
              <w:jc w:val="right"/>
              <w:rPr>
                <w:rFonts w:eastAsia="Arial Unicode MS"/>
                <w:iCs/>
                <w:szCs w:val="20"/>
              </w:rPr>
            </w:pPr>
            <w:r w:rsidRPr="00471CBA">
              <w:rPr>
                <w:rFonts w:eastAsia="Arial Unicode MS"/>
                <w:iCs/>
                <w:szCs w:val="20"/>
              </w:rPr>
              <w:t>-</w:t>
            </w:r>
          </w:p>
        </w:tc>
      </w:tr>
      <w:tr w:rsidR="00705045" w:rsidRPr="00471CBA" w14:paraId="09537C2E" w14:textId="77777777" w:rsidTr="00522EA7">
        <w:trPr>
          <w:trHeight w:val="113"/>
        </w:trPr>
        <w:tc>
          <w:tcPr>
            <w:tcW w:w="2349" w:type="pct"/>
            <w:tcBorders>
              <w:top w:val="single" w:sz="4" w:space="0" w:color="auto"/>
              <w:bottom w:val="single" w:sz="4" w:space="0" w:color="auto"/>
            </w:tcBorders>
            <w:noWrap/>
            <w:vAlign w:val="bottom"/>
          </w:tcPr>
          <w:p w14:paraId="18FED329" w14:textId="77777777" w:rsidR="00705045" w:rsidRPr="00471CBA" w:rsidRDefault="00705045" w:rsidP="00705045">
            <w:pPr>
              <w:rPr>
                <w:rFonts w:eastAsia="Arial Unicode MS"/>
                <w:b/>
                <w:iCs/>
                <w:szCs w:val="20"/>
              </w:rPr>
            </w:pPr>
            <w:r w:rsidRPr="00471CBA">
              <w:rPr>
                <w:b/>
                <w:iCs/>
                <w:szCs w:val="20"/>
              </w:rPr>
              <w:t>Diğer Krediler (Net)</w:t>
            </w:r>
          </w:p>
        </w:tc>
        <w:tc>
          <w:tcPr>
            <w:tcW w:w="873" w:type="pct"/>
            <w:gridSpan w:val="2"/>
            <w:tcBorders>
              <w:top w:val="single" w:sz="4" w:space="0" w:color="auto"/>
              <w:bottom w:val="single" w:sz="4" w:space="0" w:color="auto"/>
            </w:tcBorders>
            <w:noWrap/>
          </w:tcPr>
          <w:p w14:paraId="02F792DB" w14:textId="03F83AD7" w:rsidR="00705045" w:rsidRPr="00471CBA" w:rsidRDefault="00705045" w:rsidP="00705045">
            <w:pPr>
              <w:ind w:left="-196" w:right="18" w:firstLine="196"/>
              <w:jc w:val="right"/>
              <w:rPr>
                <w:rFonts w:eastAsia="Arial Unicode MS"/>
                <w:b/>
                <w:iCs/>
                <w:szCs w:val="20"/>
              </w:rPr>
            </w:pPr>
            <w:r w:rsidRPr="00471CBA">
              <w:rPr>
                <w:rFonts w:eastAsia="Arial Unicode MS"/>
                <w:iCs/>
                <w:szCs w:val="20"/>
              </w:rPr>
              <w:t>-</w:t>
            </w:r>
          </w:p>
        </w:tc>
        <w:tc>
          <w:tcPr>
            <w:tcW w:w="810" w:type="pct"/>
            <w:tcBorders>
              <w:top w:val="single" w:sz="4" w:space="0" w:color="auto"/>
              <w:bottom w:val="single" w:sz="4" w:space="0" w:color="auto"/>
            </w:tcBorders>
            <w:noWrap/>
          </w:tcPr>
          <w:p w14:paraId="6EC98F8E" w14:textId="64F5FF27" w:rsidR="00705045" w:rsidRPr="00471CBA" w:rsidRDefault="00705045" w:rsidP="00705045">
            <w:pPr>
              <w:ind w:left="-196" w:right="18" w:firstLine="196"/>
              <w:jc w:val="right"/>
              <w:rPr>
                <w:rFonts w:eastAsia="Arial Unicode MS"/>
                <w:b/>
                <w:iCs/>
                <w:szCs w:val="20"/>
              </w:rPr>
            </w:pPr>
            <w:r w:rsidRPr="00471CBA">
              <w:rPr>
                <w:rFonts w:eastAsia="Arial Unicode MS"/>
                <w:iCs/>
                <w:szCs w:val="20"/>
              </w:rPr>
              <w:t>-</w:t>
            </w:r>
          </w:p>
        </w:tc>
        <w:tc>
          <w:tcPr>
            <w:tcW w:w="968" w:type="pct"/>
            <w:tcBorders>
              <w:top w:val="single" w:sz="4" w:space="0" w:color="auto"/>
              <w:bottom w:val="single" w:sz="4" w:space="0" w:color="auto"/>
            </w:tcBorders>
            <w:noWrap/>
          </w:tcPr>
          <w:p w14:paraId="45953D0A" w14:textId="4C4A6C16" w:rsidR="00705045" w:rsidRPr="00471CBA" w:rsidRDefault="00705045" w:rsidP="00705045">
            <w:pPr>
              <w:ind w:left="-196" w:right="18" w:firstLine="196"/>
              <w:jc w:val="right"/>
              <w:rPr>
                <w:rFonts w:eastAsia="Arial Unicode MS"/>
                <w:b/>
                <w:iCs/>
                <w:szCs w:val="20"/>
              </w:rPr>
            </w:pPr>
            <w:r w:rsidRPr="00471CBA">
              <w:rPr>
                <w:rFonts w:eastAsia="Arial Unicode MS"/>
                <w:iCs/>
                <w:szCs w:val="20"/>
              </w:rPr>
              <w:t>-</w:t>
            </w:r>
          </w:p>
        </w:tc>
      </w:tr>
    </w:tbl>
    <w:p w14:paraId="393E6D5C" w14:textId="77777777" w:rsidR="00674806" w:rsidRPr="00471CBA" w:rsidRDefault="00674806" w:rsidP="00674806">
      <w:pPr>
        <w:pStyle w:val="GvdeMetniGirintisi"/>
        <w:ind w:right="-88" w:hanging="490"/>
        <w:rPr>
          <w:b/>
          <w:szCs w:val="20"/>
        </w:rPr>
      </w:pPr>
    </w:p>
    <w:p w14:paraId="4F23428F" w14:textId="628A256A" w:rsidR="00385379" w:rsidRPr="00471CBA" w:rsidRDefault="00385379" w:rsidP="00080449">
      <w:pPr>
        <w:pStyle w:val="GvdeMetniGirintisi"/>
        <w:spacing w:after="120"/>
        <w:ind w:left="567" w:right="-88" w:hanging="567"/>
        <w:rPr>
          <w:b/>
          <w:szCs w:val="20"/>
        </w:rPr>
      </w:pPr>
      <w:r w:rsidRPr="00471CBA">
        <w:rPr>
          <w:b/>
          <w:szCs w:val="20"/>
        </w:rPr>
        <w:t>h.5.</w:t>
      </w:r>
      <w:r w:rsidR="00080449" w:rsidRPr="00471CBA">
        <w:rPr>
          <w:b/>
          <w:szCs w:val="20"/>
        </w:rPr>
        <w:tab/>
      </w:r>
      <w:r w:rsidRPr="00471CBA">
        <w:rPr>
          <w:b/>
          <w:szCs w:val="20"/>
        </w:rPr>
        <w:t xml:space="preserve">TFRS 9’a göre beklenen kredi zararı ayıran bankalarca donuk alacaklar için hesaplanan </w:t>
      </w:r>
      <w:r w:rsidR="002E666C" w:rsidRPr="00471CBA">
        <w:rPr>
          <w:b/>
          <w:szCs w:val="20"/>
        </w:rPr>
        <w:t>kâr</w:t>
      </w:r>
      <w:r w:rsidRPr="00471CBA">
        <w:rPr>
          <w:b/>
          <w:szCs w:val="20"/>
        </w:rPr>
        <w:t xml:space="preserve"> payı tahakkukları, reeskontları ve değerleme farkları ile bunların karşılıklarına ilişkin bilgiler: </w:t>
      </w:r>
    </w:p>
    <w:p w14:paraId="006F1D9A" w14:textId="12287C5C" w:rsidR="00420EC8" w:rsidRPr="00471CBA" w:rsidRDefault="00420EC8" w:rsidP="00420EC8">
      <w:pPr>
        <w:widowControl w:val="0"/>
        <w:ind w:left="851"/>
        <w:rPr>
          <w:bCs/>
          <w:szCs w:val="20"/>
        </w:rPr>
      </w:pPr>
      <w:r w:rsidRPr="00471CBA">
        <w:rPr>
          <w:bCs/>
          <w:szCs w:val="20"/>
        </w:rPr>
        <w:t>Bulunmamaktadır.</w:t>
      </w:r>
    </w:p>
    <w:p w14:paraId="1EEED3E2" w14:textId="4B4350DB" w:rsidR="00420EC8" w:rsidRPr="00471CBA" w:rsidRDefault="00420EC8" w:rsidP="00385379">
      <w:pPr>
        <w:pStyle w:val="GvdeMetniGirintisi"/>
        <w:tabs>
          <w:tab w:val="left" w:pos="426"/>
        </w:tabs>
        <w:ind w:hanging="565"/>
        <w:rPr>
          <w:b/>
          <w:szCs w:val="20"/>
        </w:rPr>
      </w:pPr>
    </w:p>
    <w:p w14:paraId="6F72E437" w14:textId="77777777" w:rsidR="00A67FD6" w:rsidRPr="00471CBA" w:rsidRDefault="00A67FD6" w:rsidP="008459A9">
      <w:pPr>
        <w:pStyle w:val="GvdeMetniGirintisi"/>
        <w:widowControl w:val="0"/>
        <w:numPr>
          <w:ilvl w:val="0"/>
          <w:numId w:val="105"/>
        </w:numPr>
        <w:ind w:left="567" w:hanging="567"/>
        <w:rPr>
          <w:b/>
          <w:szCs w:val="20"/>
        </w:rPr>
      </w:pPr>
      <w:bookmarkStart w:id="101" w:name="_Hlk221782116"/>
      <w:bookmarkStart w:id="102" w:name="_Hlk189580702"/>
      <w:bookmarkStart w:id="103" w:name="_Hlk189572425"/>
      <w:r w:rsidRPr="00471CBA">
        <w:rPr>
          <w:b/>
          <w:szCs w:val="20"/>
        </w:rPr>
        <w:t xml:space="preserve">Zarar niteliğindeki krediler için tasfiye politikasının ana hatları: </w:t>
      </w:r>
    </w:p>
    <w:p w14:paraId="25AA1495" w14:textId="77777777" w:rsidR="00A67FD6" w:rsidRPr="00471CBA" w:rsidRDefault="00A67FD6" w:rsidP="00A67FD6">
      <w:pPr>
        <w:pStyle w:val="GvdeMetniGirintisi"/>
        <w:widowControl w:val="0"/>
        <w:ind w:firstLine="0"/>
        <w:rPr>
          <w:szCs w:val="20"/>
        </w:rPr>
      </w:pPr>
    </w:p>
    <w:p w14:paraId="08E462B0" w14:textId="77777777" w:rsidR="00A67FD6" w:rsidRPr="00471CBA" w:rsidRDefault="00A67FD6" w:rsidP="00A67FD6">
      <w:pPr>
        <w:pStyle w:val="GvdeMetniGirintisi"/>
        <w:widowControl w:val="0"/>
        <w:ind w:left="567" w:firstLine="0"/>
        <w:rPr>
          <w:szCs w:val="20"/>
        </w:rPr>
      </w:pPr>
      <w:bookmarkStart w:id="104" w:name="_Hlk189572415"/>
      <w:r w:rsidRPr="00471CBA">
        <w:rPr>
          <w:szCs w:val="20"/>
        </w:rPr>
        <w:t>Zarar niteliğindeki krediler kanuni takip başlatmak suretiyle ve teminatların nakde dönüştürülmesi yollarıyla tahsil edilmeye çalışılmaktadır.</w:t>
      </w:r>
    </w:p>
    <w:bookmarkEnd w:id="104"/>
    <w:p w14:paraId="3CAAA326" w14:textId="77777777" w:rsidR="00A67FD6" w:rsidRPr="00471CBA" w:rsidRDefault="00A67FD6" w:rsidP="00A67FD6"/>
    <w:p w14:paraId="7941BEE5" w14:textId="77777777" w:rsidR="00A67FD6" w:rsidRPr="00471CBA" w:rsidRDefault="00A67FD6" w:rsidP="008459A9">
      <w:pPr>
        <w:pStyle w:val="GvdeMetniGirintisi"/>
        <w:widowControl w:val="0"/>
        <w:numPr>
          <w:ilvl w:val="0"/>
          <w:numId w:val="105"/>
        </w:numPr>
        <w:ind w:left="567" w:hanging="567"/>
        <w:rPr>
          <w:b/>
          <w:szCs w:val="20"/>
        </w:rPr>
      </w:pPr>
      <w:r w:rsidRPr="00471CBA">
        <w:rPr>
          <w:b/>
          <w:szCs w:val="20"/>
        </w:rPr>
        <w:t>Kayıttan düşme politikasına ilişkin açıklamalar:</w:t>
      </w:r>
    </w:p>
    <w:p w14:paraId="6A454C14" w14:textId="77777777" w:rsidR="00A67FD6" w:rsidRPr="00471CBA" w:rsidRDefault="00A67FD6" w:rsidP="00A67FD6">
      <w:pPr>
        <w:pStyle w:val="GvdeMetniGirintisi"/>
        <w:widowControl w:val="0"/>
        <w:ind w:firstLine="0"/>
        <w:rPr>
          <w:szCs w:val="20"/>
        </w:rPr>
      </w:pPr>
    </w:p>
    <w:p w14:paraId="7F8482E3" w14:textId="77777777" w:rsidR="00A67FD6" w:rsidRPr="00471CBA" w:rsidRDefault="00A67FD6" w:rsidP="00A67FD6">
      <w:pPr>
        <w:ind w:left="567"/>
        <w:jc w:val="both"/>
        <w:rPr>
          <w:szCs w:val="20"/>
        </w:rPr>
      </w:pPr>
      <w:r w:rsidRPr="00471CBA">
        <w:rPr>
          <w:szCs w:val="20"/>
        </w:rPr>
        <w:t xml:space="preserve">Takipteki alacakların aktiften silinmesinde Banka’nın genel politikası, hukuki takip sürecinde tahsilinin mümkün olmadığına kanaat getirilen alacakların Banka üst yönetimi tarafından alınan karar doğrultusunda aktiften silinmesi yönündedir. </w:t>
      </w:r>
    </w:p>
    <w:bookmarkEnd w:id="101"/>
    <w:p w14:paraId="199E46B0" w14:textId="77777777" w:rsidR="00A67FD6" w:rsidRPr="00471CBA" w:rsidRDefault="00A67FD6" w:rsidP="00A67FD6">
      <w:pPr>
        <w:jc w:val="both"/>
        <w:rPr>
          <w:b/>
          <w:szCs w:val="20"/>
        </w:rPr>
      </w:pPr>
    </w:p>
    <w:p w14:paraId="7FF140B3" w14:textId="5E38F317" w:rsidR="00080449" w:rsidRPr="00471CBA" w:rsidRDefault="00080449">
      <w:pPr>
        <w:rPr>
          <w:b/>
          <w:szCs w:val="20"/>
        </w:rPr>
      </w:pPr>
      <w:r w:rsidRPr="00471CBA">
        <w:rPr>
          <w:b/>
          <w:szCs w:val="20"/>
        </w:rPr>
        <w:br w:type="page"/>
      </w:r>
    </w:p>
    <w:p w14:paraId="6BDAAAC8" w14:textId="77777777" w:rsidR="00080449" w:rsidRPr="00471CBA" w:rsidRDefault="00080449" w:rsidP="00080449">
      <w:pPr>
        <w:rPr>
          <w:b/>
          <w:szCs w:val="20"/>
        </w:rPr>
      </w:pPr>
      <w:r w:rsidRPr="00471CBA">
        <w:rPr>
          <w:b/>
          <w:szCs w:val="20"/>
        </w:rPr>
        <w:t>KONSOLİDE OLMAYAN FİNANSAL TABLOLARA İLİŞKİN AÇIKLAMA VE DİPNOTLAR (Devamı)</w:t>
      </w:r>
    </w:p>
    <w:p w14:paraId="3ED6B131" w14:textId="77777777" w:rsidR="00080449" w:rsidRPr="00471CBA" w:rsidRDefault="00080449" w:rsidP="00080449">
      <w:pPr>
        <w:pStyle w:val="ListeParagraf"/>
        <w:widowControl w:val="0"/>
        <w:ind w:left="14" w:right="452"/>
        <w:jc w:val="both"/>
        <w:rPr>
          <w:b/>
          <w:szCs w:val="20"/>
        </w:rPr>
      </w:pPr>
    </w:p>
    <w:p w14:paraId="4D588C6D" w14:textId="77777777" w:rsidR="00080449" w:rsidRPr="00471CBA" w:rsidRDefault="00080449" w:rsidP="008459A9">
      <w:pPr>
        <w:pStyle w:val="ListeParagraf"/>
        <w:widowControl w:val="0"/>
        <w:numPr>
          <w:ilvl w:val="0"/>
          <w:numId w:val="90"/>
        </w:numPr>
        <w:ind w:left="567" w:hanging="567"/>
        <w:jc w:val="both"/>
        <w:rPr>
          <w:b/>
          <w:szCs w:val="20"/>
        </w:rPr>
      </w:pPr>
      <w:r w:rsidRPr="00471CBA">
        <w:rPr>
          <w:b/>
          <w:szCs w:val="20"/>
        </w:rPr>
        <w:t>BİLANÇONUN AKTİF HESAPLARINA İLİŞKİN AÇIKLAMA VE DİPNOTLAR (Devamı)</w:t>
      </w:r>
    </w:p>
    <w:p w14:paraId="49D298D0" w14:textId="77777777" w:rsidR="005675CF" w:rsidRPr="00471CBA" w:rsidRDefault="005675CF" w:rsidP="00934795">
      <w:pPr>
        <w:jc w:val="both"/>
        <w:rPr>
          <w:b/>
          <w:szCs w:val="20"/>
        </w:rPr>
      </w:pPr>
    </w:p>
    <w:bookmarkEnd w:id="102"/>
    <w:bookmarkEnd w:id="103"/>
    <w:p w14:paraId="44DE7CD8" w14:textId="533BEA28" w:rsidR="00C70F9C" w:rsidRPr="00471CBA" w:rsidRDefault="00C70F9C" w:rsidP="000C3408">
      <w:pPr>
        <w:pStyle w:val="GvdeMetniGirintisi"/>
        <w:numPr>
          <w:ilvl w:val="0"/>
          <w:numId w:val="43"/>
        </w:numPr>
        <w:tabs>
          <w:tab w:val="clear" w:pos="540"/>
        </w:tabs>
        <w:ind w:left="567" w:hanging="570"/>
        <w:rPr>
          <w:b/>
          <w:szCs w:val="20"/>
          <w:lang w:eastAsia="tr-TR"/>
        </w:rPr>
      </w:pPr>
      <w:r w:rsidRPr="00471CBA">
        <w:rPr>
          <w:b/>
          <w:szCs w:val="20"/>
          <w:lang w:eastAsia="tr-TR"/>
        </w:rPr>
        <w:t xml:space="preserve">Kiralama işlemlerinden alacaklara ilişkin bilgiler (net): </w:t>
      </w:r>
    </w:p>
    <w:p w14:paraId="05553E32" w14:textId="42F49C4F" w:rsidR="00BC729A" w:rsidRPr="00471CBA" w:rsidRDefault="00BC729A" w:rsidP="008459A9">
      <w:pPr>
        <w:pStyle w:val="GvdeMetniGirintisi"/>
        <w:numPr>
          <w:ilvl w:val="0"/>
          <w:numId w:val="79"/>
        </w:numPr>
        <w:spacing w:before="120" w:after="120"/>
        <w:ind w:left="567"/>
        <w:rPr>
          <w:b/>
          <w:bCs/>
          <w:szCs w:val="20"/>
        </w:rPr>
      </w:pPr>
      <w:bookmarkStart w:id="105" w:name="_Hlk179375133"/>
      <w:r w:rsidRPr="00471CBA">
        <w:rPr>
          <w:b/>
          <w:bCs/>
          <w:szCs w:val="20"/>
        </w:rPr>
        <w:t>Finansal kiralama yöntemiyle kullandırılan fonların kalan vadelerine göre gösterimi:</w:t>
      </w:r>
    </w:p>
    <w:p w14:paraId="112CEB93" w14:textId="2B02D441" w:rsidR="00A74C68" w:rsidRPr="00471CBA" w:rsidRDefault="00A74C68" w:rsidP="0029727D"/>
    <w:tbl>
      <w:tblPr>
        <w:tblW w:w="5000" w:type="pct"/>
        <w:tblCellMar>
          <w:left w:w="70" w:type="dxa"/>
          <w:right w:w="70" w:type="dxa"/>
        </w:tblCellMar>
        <w:tblLook w:val="04A0" w:firstRow="1" w:lastRow="0" w:firstColumn="1" w:lastColumn="0" w:noHBand="0" w:noVBand="1"/>
      </w:tblPr>
      <w:tblGrid>
        <w:gridCol w:w="5854"/>
        <w:gridCol w:w="1804"/>
        <w:gridCol w:w="1697"/>
      </w:tblGrid>
      <w:tr w:rsidR="00A74C68" w:rsidRPr="00471CBA" w14:paraId="6C73CB8C" w14:textId="77777777" w:rsidTr="00A74C68">
        <w:trPr>
          <w:divId w:val="1267424904"/>
          <w:trHeight w:val="227"/>
        </w:trPr>
        <w:tc>
          <w:tcPr>
            <w:tcW w:w="2252" w:type="pct"/>
            <w:tcBorders>
              <w:top w:val="nil"/>
              <w:left w:val="nil"/>
              <w:bottom w:val="nil"/>
              <w:right w:val="nil"/>
            </w:tcBorders>
            <w:noWrap/>
            <w:vAlign w:val="bottom"/>
            <w:hideMark/>
          </w:tcPr>
          <w:p w14:paraId="2C900824" w14:textId="2C068519" w:rsidR="00A74C68" w:rsidRPr="00471CBA" w:rsidRDefault="00A74C68" w:rsidP="00A74C68">
            <w:pPr>
              <w:rPr>
                <w:szCs w:val="20"/>
                <w:lang w:eastAsia="tr-TR"/>
              </w:rPr>
            </w:pPr>
          </w:p>
        </w:tc>
        <w:tc>
          <w:tcPr>
            <w:tcW w:w="1347" w:type="pct"/>
            <w:gridSpan w:val="2"/>
            <w:tcBorders>
              <w:top w:val="nil"/>
              <w:left w:val="nil"/>
              <w:bottom w:val="single" w:sz="4" w:space="0" w:color="auto"/>
              <w:right w:val="nil"/>
            </w:tcBorders>
            <w:noWrap/>
            <w:vAlign w:val="center"/>
            <w:hideMark/>
          </w:tcPr>
          <w:p w14:paraId="2C95087F" w14:textId="77777777" w:rsidR="00A74C68" w:rsidRPr="00471CBA" w:rsidRDefault="00A74C68" w:rsidP="00A74C68">
            <w:pPr>
              <w:jc w:val="center"/>
              <w:rPr>
                <w:b/>
                <w:bCs/>
                <w:color w:val="000000"/>
                <w:szCs w:val="20"/>
                <w:lang w:eastAsia="tr-TR"/>
              </w:rPr>
            </w:pPr>
            <w:r w:rsidRPr="00471CBA">
              <w:rPr>
                <w:b/>
                <w:bCs/>
                <w:color w:val="000000"/>
                <w:szCs w:val="20"/>
                <w:lang w:eastAsia="tr-TR"/>
              </w:rPr>
              <w:t>31 Aralık 2025</w:t>
            </w:r>
          </w:p>
        </w:tc>
      </w:tr>
      <w:tr w:rsidR="00A74C68" w:rsidRPr="00471CBA" w14:paraId="66D7DE70" w14:textId="77777777" w:rsidTr="00A74C68">
        <w:trPr>
          <w:divId w:val="1267424904"/>
          <w:trHeight w:val="227"/>
        </w:trPr>
        <w:tc>
          <w:tcPr>
            <w:tcW w:w="2252" w:type="pct"/>
            <w:tcBorders>
              <w:top w:val="nil"/>
              <w:left w:val="nil"/>
              <w:bottom w:val="single" w:sz="4" w:space="0" w:color="auto"/>
              <w:right w:val="nil"/>
            </w:tcBorders>
            <w:noWrap/>
            <w:vAlign w:val="bottom"/>
            <w:hideMark/>
          </w:tcPr>
          <w:p w14:paraId="3154AAC7" w14:textId="77777777" w:rsidR="00A74C68" w:rsidRPr="00471CBA" w:rsidRDefault="00A74C68" w:rsidP="00A74C68">
            <w:pPr>
              <w:jc w:val="both"/>
              <w:rPr>
                <w:b/>
                <w:bCs/>
                <w:color w:val="000000"/>
                <w:szCs w:val="20"/>
                <w:lang w:eastAsia="tr-TR"/>
              </w:rPr>
            </w:pPr>
            <w:r w:rsidRPr="00471CBA">
              <w:rPr>
                <w:b/>
                <w:bCs/>
                <w:color w:val="000000"/>
                <w:szCs w:val="20"/>
                <w:lang w:eastAsia="tr-TR"/>
              </w:rPr>
              <w:t> </w:t>
            </w:r>
          </w:p>
        </w:tc>
        <w:tc>
          <w:tcPr>
            <w:tcW w:w="694" w:type="pct"/>
            <w:tcBorders>
              <w:top w:val="nil"/>
              <w:left w:val="nil"/>
              <w:bottom w:val="single" w:sz="4" w:space="0" w:color="auto"/>
              <w:right w:val="nil"/>
            </w:tcBorders>
            <w:noWrap/>
            <w:vAlign w:val="bottom"/>
            <w:hideMark/>
          </w:tcPr>
          <w:p w14:paraId="182863F2" w14:textId="77777777" w:rsidR="00A74C68" w:rsidRPr="00471CBA" w:rsidRDefault="00A74C68" w:rsidP="00A74C68">
            <w:pPr>
              <w:jc w:val="right"/>
              <w:rPr>
                <w:b/>
                <w:bCs/>
                <w:color w:val="000000"/>
                <w:szCs w:val="20"/>
                <w:lang w:eastAsia="tr-TR"/>
              </w:rPr>
            </w:pPr>
            <w:r w:rsidRPr="00471CBA">
              <w:rPr>
                <w:b/>
                <w:bCs/>
                <w:color w:val="000000"/>
                <w:szCs w:val="20"/>
                <w:lang w:eastAsia="tr-TR"/>
              </w:rPr>
              <w:t>Brüt</w:t>
            </w:r>
          </w:p>
        </w:tc>
        <w:tc>
          <w:tcPr>
            <w:tcW w:w="653" w:type="pct"/>
            <w:tcBorders>
              <w:top w:val="nil"/>
              <w:left w:val="nil"/>
              <w:bottom w:val="single" w:sz="4" w:space="0" w:color="auto"/>
              <w:right w:val="nil"/>
            </w:tcBorders>
            <w:vAlign w:val="bottom"/>
            <w:hideMark/>
          </w:tcPr>
          <w:p w14:paraId="608EF19C" w14:textId="77777777" w:rsidR="00A74C68" w:rsidRPr="00471CBA" w:rsidRDefault="00A74C68" w:rsidP="00A74C68">
            <w:pPr>
              <w:jc w:val="right"/>
              <w:rPr>
                <w:b/>
                <w:bCs/>
                <w:color w:val="000000"/>
                <w:szCs w:val="20"/>
                <w:lang w:eastAsia="tr-TR"/>
              </w:rPr>
            </w:pPr>
            <w:r w:rsidRPr="00471CBA">
              <w:rPr>
                <w:b/>
                <w:bCs/>
                <w:color w:val="000000"/>
                <w:szCs w:val="20"/>
                <w:lang w:eastAsia="tr-TR"/>
              </w:rPr>
              <w:t>Net</w:t>
            </w:r>
          </w:p>
        </w:tc>
      </w:tr>
      <w:tr w:rsidR="00A74C68" w:rsidRPr="00471CBA" w14:paraId="4DE56B90" w14:textId="77777777" w:rsidTr="00A74C68">
        <w:trPr>
          <w:divId w:val="1267424904"/>
          <w:trHeight w:val="227"/>
        </w:trPr>
        <w:tc>
          <w:tcPr>
            <w:tcW w:w="2252" w:type="pct"/>
            <w:tcBorders>
              <w:top w:val="nil"/>
              <w:left w:val="nil"/>
              <w:bottom w:val="nil"/>
              <w:right w:val="nil"/>
            </w:tcBorders>
            <w:noWrap/>
            <w:vAlign w:val="bottom"/>
            <w:hideMark/>
          </w:tcPr>
          <w:p w14:paraId="027D56B1" w14:textId="77777777" w:rsidR="00A74C68" w:rsidRPr="00471CBA" w:rsidRDefault="00A74C68" w:rsidP="00A74C68">
            <w:pPr>
              <w:jc w:val="right"/>
              <w:rPr>
                <w:b/>
                <w:bCs/>
                <w:color w:val="000000"/>
                <w:szCs w:val="20"/>
                <w:lang w:eastAsia="tr-TR"/>
              </w:rPr>
            </w:pPr>
          </w:p>
        </w:tc>
        <w:tc>
          <w:tcPr>
            <w:tcW w:w="694" w:type="pct"/>
            <w:tcBorders>
              <w:top w:val="nil"/>
              <w:left w:val="nil"/>
              <w:bottom w:val="nil"/>
              <w:right w:val="nil"/>
            </w:tcBorders>
            <w:noWrap/>
            <w:vAlign w:val="bottom"/>
            <w:hideMark/>
          </w:tcPr>
          <w:p w14:paraId="1D737C46" w14:textId="77777777" w:rsidR="00A74C68" w:rsidRPr="00471CBA" w:rsidRDefault="00A74C68" w:rsidP="00A74C68">
            <w:pPr>
              <w:jc w:val="both"/>
              <w:rPr>
                <w:szCs w:val="20"/>
                <w:lang w:eastAsia="tr-TR"/>
              </w:rPr>
            </w:pPr>
          </w:p>
        </w:tc>
        <w:tc>
          <w:tcPr>
            <w:tcW w:w="653" w:type="pct"/>
            <w:tcBorders>
              <w:top w:val="nil"/>
              <w:left w:val="nil"/>
              <w:bottom w:val="nil"/>
              <w:right w:val="nil"/>
            </w:tcBorders>
            <w:vAlign w:val="bottom"/>
            <w:hideMark/>
          </w:tcPr>
          <w:p w14:paraId="72735734" w14:textId="77777777" w:rsidR="00A74C68" w:rsidRPr="00471CBA" w:rsidRDefault="00A74C68" w:rsidP="00A74C68">
            <w:pPr>
              <w:jc w:val="right"/>
              <w:rPr>
                <w:szCs w:val="20"/>
                <w:lang w:eastAsia="tr-TR"/>
              </w:rPr>
            </w:pPr>
          </w:p>
        </w:tc>
      </w:tr>
      <w:tr w:rsidR="00A74C68" w:rsidRPr="00471CBA" w14:paraId="77937A0B" w14:textId="77777777" w:rsidTr="00A74C68">
        <w:trPr>
          <w:divId w:val="1267424904"/>
          <w:trHeight w:val="227"/>
        </w:trPr>
        <w:tc>
          <w:tcPr>
            <w:tcW w:w="2252" w:type="pct"/>
            <w:tcBorders>
              <w:top w:val="nil"/>
              <w:left w:val="nil"/>
              <w:bottom w:val="nil"/>
              <w:right w:val="nil"/>
            </w:tcBorders>
            <w:noWrap/>
            <w:vAlign w:val="bottom"/>
            <w:hideMark/>
          </w:tcPr>
          <w:p w14:paraId="755C4EF2" w14:textId="77777777" w:rsidR="00A74C68" w:rsidRPr="00471CBA" w:rsidRDefault="00A74C68" w:rsidP="00A74C68">
            <w:pPr>
              <w:rPr>
                <w:color w:val="000000"/>
                <w:szCs w:val="20"/>
                <w:lang w:eastAsia="tr-TR"/>
              </w:rPr>
            </w:pPr>
            <w:r w:rsidRPr="00471CBA">
              <w:rPr>
                <w:color w:val="000000"/>
                <w:szCs w:val="20"/>
                <w:lang w:eastAsia="tr-TR"/>
              </w:rPr>
              <w:t>1 yıldan az</w:t>
            </w:r>
          </w:p>
        </w:tc>
        <w:tc>
          <w:tcPr>
            <w:tcW w:w="694" w:type="pct"/>
            <w:tcBorders>
              <w:top w:val="nil"/>
              <w:left w:val="nil"/>
              <w:bottom w:val="nil"/>
              <w:right w:val="nil"/>
            </w:tcBorders>
            <w:vAlign w:val="center"/>
            <w:hideMark/>
          </w:tcPr>
          <w:p w14:paraId="714D9FBC" w14:textId="77777777" w:rsidR="00A74C68" w:rsidRPr="00471CBA" w:rsidRDefault="00A74C68" w:rsidP="00A74C68">
            <w:pPr>
              <w:jc w:val="right"/>
              <w:rPr>
                <w:rFonts w:ascii="Arial" w:hAnsi="Arial" w:cs="Arial"/>
                <w:color w:val="000000"/>
                <w:sz w:val="18"/>
                <w:szCs w:val="18"/>
                <w:lang w:eastAsia="tr-TR"/>
              </w:rPr>
            </w:pPr>
            <w:r w:rsidRPr="00471CBA">
              <w:rPr>
                <w:color w:val="000000"/>
                <w:szCs w:val="20"/>
                <w:lang w:eastAsia="tr-TR"/>
              </w:rPr>
              <w:t>443.966</w:t>
            </w:r>
          </w:p>
        </w:tc>
        <w:tc>
          <w:tcPr>
            <w:tcW w:w="653" w:type="pct"/>
            <w:tcBorders>
              <w:top w:val="nil"/>
              <w:left w:val="nil"/>
              <w:bottom w:val="nil"/>
              <w:right w:val="nil"/>
            </w:tcBorders>
            <w:vAlign w:val="center"/>
            <w:hideMark/>
          </w:tcPr>
          <w:p w14:paraId="49F5D905" w14:textId="77777777" w:rsidR="00A74C68" w:rsidRPr="00471CBA" w:rsidRDefault="00A74C68" w:rsidP="00A74C68">
            <w:pPr>
              <w:jc w:val="right"/>
              <w:rPr>
                <w:rFonts w:ascii="Arial" w:hAnsi="Arial" w:cs="Arial"/>
                <w:color w:val="000000"/>
                <w:sz w:val="18"/>
                <w:szCs w:val="18"/>
                <w:lang w:eastAsia="tr-TR"/>
              </w:rPr>
            </w:pPr>
            <w:r w:rsidRPr="00471CBA">
              <w:rPr>
                <w:szCs w:val="20"/>
                <w:lang w:eastAsia="tr-TR"/>
              </w:rPr>
              <w:t>411.860</w:t>
            </w:r>
          </w:p>
        </w:tc>
      </w:tr>
      <w:tr w:rsidR="00A74C68" w:rsidRPr="00471CBA" w14:paraId="4646D198" w14:textId="77777777" w:rsidTr="00A74C68">
        <w:trPr>
          <w:divId w:val="1267424904"/>
          <w:trHeight w:val="227"/>
        </w:trPr>
        <w:tc>
          <w:tcPr>
            <w:tcW w:w="2252" w:type="pct"/>
            <w:tcBorders>
              <w:top w:val="nil"/>
              <w:left w:val="nil"/>
              <w:right w:val="nil"/>
            </w:tcBorders>
            <w:noWrap/>
            <w:vAlign w:val="bottom"/>
            <w:hideMark/>
          </w:tcPr>
          <w:p w14:paraId="6FBDE10B" w14:textId="77777777" w:rsidR="00A74C68" w:rsidRPr="00471CBA" w:rsidRDefault="00A74C68" w:rsidP="00A74C68">
            <w:pPr>
              <w:rPr>
                <w:color w:val="000000"/>
                <w:szCs w:val="20"/>
                <w:lang w:eastAsia="tr-TR"/>
              </w:rPr>
            </w:pPr>
            <w:r w:rsidRPr="00471CBA">
              <w:rPr>
                <w:color w:val="000000"/>
                <w:szCs w:val="20"/>
                <w:lang w:eastAsia="tr-TR"/>
              </w:rPr>
              <w:t>1-4 yıl arası</w:t>
            </w:r>
          </w:p>
        </w:tc>
        <w:tc>
          <w:tcPr>
            <w:tcW w:w="694" w:type="pct"/>
            <w:tcBorders>
              <w:top w:val="nil"/>
              <w:left w:val="nil"/>
              <w:right w:val="nil"/>
            </w:tcBorders>
            <w:vAlign w:val="center"/>
            <w:hideMark/>
          </w:tcPr>
          <w:p w14:paraId="626F564F" w14:textId="77777777" w:rsidR="00A74C68" w:rsidRPr="00471CBA" w:rsidRDefault="00A74C68" w:rsidP="00A74C68">
            <w:pPr>
              <w:jc w:val="right"/>
              <w:rPr>
                <w:rFonts w:ascii="Arial" w:hAnsi="Arial" w:cs="Arial"/>
                <w:color w:val="000000"/>
                <w:sz w:val="18"/>
                <w:szCs w:val="18"/>
                <w:lang w:eastAsia="tr-TR"/>
              </w:rPr>
            </w:pPr>
            <w:r w:rsidRPr="00471CBA">
              <w:rPr>
                <w:color w:val="000000"/>
                <w:szCs w:val="20"/>
                <w:lang w:eastAsia="tr-TR"/>
              </w:rPr>
              <w:t>1.776.397</w:t>
            </w:r>
          </w:p>
        </w:tc>
        <w:tc>
          <w:tcPr>
            <w:tcW w:w="653" w:type="pct"/>
            <w:tcBorders>
              <w:top w:val="nil"/>
              <w:left w:val="nil"/>
              <w:right w:val="nil"/>
            </w:tcBorders>
            <w:vAlign w:val="center"/>
            <w:hideMark/>
          </w:tcPr>
          <w:p w14:paraId="644F0384" w14:textId="77777777" w:rsidR="00A74C68" w:rsidRPr="00471CBA" w:rsidRDefault="00A74C68" w:rsidP="00A74C68">
            <w:pPr>
              <w:jc w:val="right"/>
              <w:rPr>
                <w:rFonts w:ascii="Arial" w:hAnsi="Arial" w:cs="Arial"/>
                <w:color w:val="000000"/>
                <w:sz w:val="18"/>
                <w:szCs w:val="18"/>
                <w:lang w:eastAsia="tr-TR"/>
              </w:rPr>
            </w:pPr>
            <w:r w:rsidRPr="00471CBA">
              <w:rPr>
                <w:szCs w:val="20"/>
                <w:lang w:eastAsia="tr-TR"/>
              </w:rPr>
              <w:t>1.522.274</w:t>
            </w:r>
          </w:p>
        </w:tc>
      </w:tr>
      <w:tr w:rsidR="00A74C68" w:rsidRPr="00471CBA" w14:paraId="0D415092" w14:textId="77777777" w:rsidTr="00A74C68">
        <w:trPr>
          <w:divId w:val="1267424904"/>
          <w:trHeight w:val="227"/>
        </w:trPr>
        <w:tc>
          <w:tcPr>
            <w:tcW w:w="2252" w:type="pct"/>
            <w:tcBorders>
              <w:top w:val="nil"/>
              <w:left w:val="nil"/>
              <w:bottom w:val="single" w:sz="4" w:space="0" w:color="auto"/>
              <w:right w:val="nil"/>
            </w:tcBorders>
            <w:noWrap/>
            <w:vAlign w:val="bottom"/>
            <w:hideMark/>
          </w:tcPr>
          <w:p w14:paraId="25E38A9D" w14:textId="77777777" w:rsidR="00A74C68" w:rsidRPr="00471CBA" w:rsidRDefault="00A74C68" w:rsidP="00A74C68">
            <w:pPr>
              <w:rPr>
                <w:color w:val="000000"/>
                <w:szCs w:val="20"/>
                <w:lang w:eastAsia="tr-TR"/>
              </w:rPr>
            </w:pPr>
            <w:r w:rsidRPr="00471CBA">
              <w:rPr>
                <w:color w:val="000000"/>
                <w:szCs w:val="20"/>
                <w:lang w:eastAsia="tr-TR"/>
              </w:rPr>
              <w:t>4 yıldan fazla</w:t>
            </w:r>
          </w:p>
        </w:tc>
        <w:tc>
          <w:tcPr>
            <w:tcW w:w="694" w:type="pct"/>
            <w:tcBorders>
              <w:top w:val="nil"/>
              <w:left w:val="nil"/>
              <w:bottom w:val="single" w:sz="4" w:space="0" w:color="auto"/>
              <w:right w:val="nil"/>
            </w:tcBorders>
            <w:vAlign w:val="center"/>
            <w:hideMark/>
          </w:tcPr>
          <w:p w14:paraId="25496D12" w14:textId="77777777" w:rsidR="00A74C68" w:rsidRPr="00471CBA" w:rsidRDefault="00A74C68" w:rsidP="00A74C68">
            <w:pPr>
              <w:jc w:val="right"/>
              <w:rPr>
                <w:rFonts w:ascii="Arial" w:hAnsi="Arial" w:cs="Arial"/>
                <w:color w:val="000000"/>
                <w:sz w:val="18"/>
                <w:szCs w:val="18"/>
                <w:lang w:eastAsia="tr-TR"/>
              </w:rPr>
            </w:pPr>
            <w:r w:rsidRPr="00471CBA">
              <w:rPr>
                <w:color w:val="000000"/>
                <w:szCs w:val="20"/>
                <w:lang w:eastAsia="tr-TR"/>
              </w:rPr>
              <w:t>737.690</w:t>
            </w:r>
          </w:p>
        </w:tc>
        <w:tc>
          <w:tcPr>
            <w:tcW w:w="653" w:type="pct"/>
            <w:tcBorders>
              <w:top w:val="nil"/>
              <w:left w:val="nil"/>
              <w:bottom w:val="single" w:sz="4" w:space="0" w:color="auto"/>
              <w:right w:val="nil"/>
            </w:tcBorders>
            <w:vAlign w:val="center"/>
            <w:hideMark/>
          </w:tcPr>
          <w:p w14:paraId="0CEA22AF" w14:textId="77777777" w:rsidR="00A74C68" w:rsidRPr="00471CBA" w:rsidRDefault="00A74C68" w:rsidP="00A74C68">
            <w:pPr>
              <w:jc w:val="right"/>
              <w:rPr>
                <w:rFonts w:ascii="Arial" w:hAnsi="Arial" w:cs="Arial"/>
                <w:color w:val="000000"/>
                <w:sz w:val="18"/>
                <w:szCs w:val="18"/>
                <w:lang w:eastAsia="tr-TR"/>
              </w:rPr>
            </w:pPr>
            <w:r w:rsidRPr="00471CBA">
              <w:rPr>
                <w:szCs w:val="20"/>
                <w:lang w:eastAsia="tr-TR"/>
              </w:rPr>
              <w:t>650.087</w:t>
            </w:r>
          </w:p>
        </w:tc>
      </w:tr>
      <w:tr w:rsidR="00A74C68" w:rsidRPr="00471CBA" w14:paraId="2020632D" w14:textId="77777777" w:rsidTr="00A74C68">
        <w:trPr>
          <w:divId w:val="1267424904"/>
          <w:trHeight w:val="227"/>
        </w:trPr>
        <w:tc>
          <w:tcPr>
            <w:tcW w:w="2252" w:type="pct"/>
            <w:tcBorders>
              <w:top w:val="single" w:sz="4" w:space="0" w:color="auto"/>
              <w:left w:val="nil"/>
              <w:bottom w:val="nil"/>
              <w:right w:val="nil"/>
            </w:tcBorders>
            <w:noWrap/>
            <w:vAlign w:val="bottom"/>
            <w:hideMark/>
          </w:tcPr>
          <w:p w14:paraId="1DBC9EF9" w14:textId="77777777" w:rsidR="00A74C68" w:rsidRPr="00471CBA" w:rsidRDefault="00A74C68" w:rsidP="00A74C68">
            <w:pPr>
              <w:rPr>
                <w:szCs w:val="20"/>
                <w:lang w:eastAsia="tr-TR"/>
              </w:rPr>
            </w:pPr>
          </w:p>
        </w:tc>
        <w:tc>
          <w:tcPr>
            <w:tcW w:w="694" w:type="pct"/>
            <w:tcBorders>
              <w:top w:val="single" w:sz="4" w:space="0" w:color="auto"/>
              <w:left w:val="nil"/>
              <w:bottom w:val="nil"/>
              <w:right w:val="nil"/>
            </w:tcBorders>
            <w:noWrap/>
            <w:vAlign w:val="center"/>
            <w:hideMark/>
          </w:tcPr>
          <w:p w14:paraId="682B7731" w14:textId="77777777" w:rsidR="00A74C68" w:rsidRPr="00471CBA" w:rsidRDefault="00A74C68" w:rsidP="00A74C68">
            <w:pPr>
              <w:jc w:val="right"/>
              <w:rPr>
                <w:b/>
                <w:bCs/>
                <w:szCs w:val="20"/>
                <w:lang w:eastAsia="tr-TR"/>
              </w:rPr>
            </w:pPr>
          </w:p>
        </w:tc>
        <w:tc>
          <w:tcPr>
            <w:tcW w:w="653" w:type="pct"/>
            <w:tcBorders>
              <w:top w:val="single" w:sz="4" w:space="0" w:color="auto"/>
              <w:left w:val="nil"/>
              <w:bottom w:val="nil"/>
              <w:right w:val="nil"/>
            </w:tcBorders>
            <w:vAlign w:val="center"/>
            <w:hideMark/>
          </w:tcPr>
          <w:p w14:paraId="6688909A" w14:textId="77777777" w:rsidR="00A74C68" w:rsidRPr="00471CBA" w:rsidRDefault="00A74C68" w:rsidP="00A74C68">
            <w:pPr>
              <w:jc w:val="right"/>
              <w:rPr>
                <w:b/>
                <w:bCs/>
                <w:szCs w:val="20"/>
                <w:lang w:eastAsia="tr-TR"/>
              </w:rPr>
            </w:pPr>
          </w:p>
        </w:tc>
      </w:tr>
      <w:tr w:rsidR="00A74C68" w:rsidRPr="00471CBA" w14:paraId="34A66BED" w14:textId="77777777" w:rsidTr="00A74C68">
        <w:trPr>
          <w:divId w:val="1267424904"/>
          <w:trHeight w:val="227"/>
        </w:trPr>
        <w:tc>
          <w:tcPr>
            <w:tcW w:w="2252" w:type="pct"/>
            <w:tcBorders>
              <w:top w:val="nil"/>
              <w:left w:val="nil"/>
              <w:bottom w:val="single" w:sz="8" w:space="0" w:color="auto"/>
              <w:right w:val="nil"/>
            </w:tcBorders>
            <w:noWrap/>
            <w:vAlign w:val="bottom"/>
            <w:hideMark/>
          </w:tcPr>
          <w:p w14:paraId="15897929" w14:textId="77777777" w:rsidR="00A74C68" w:rsidRPr="00471CBA" w:rsidRDefault="00A74C68" w:rsidP="00A74C68">
            <w:pPr>
              <w:rPr>
                <w:b/>
                <w:bCs/>
                <w:szCs w:val="20"/>
                <w:lang w:eastAsia="tr-TR"/>
              </w:rPr>
            </w:pPr>
            <w:r w:rsidRPr="00471CBA">
              <w:rPr>
                <w:b/>
                <w:bCs/>
                <w:color w:val="000000"/>
                <w:szCs w:val="20"/>
                <w:lang w:eastAsia="tr-TR"/>
              </w:rPr>
              <w:t>Toplam</w:t>
            </w:r>
          </w:p>
        </w:tc>
        <w:tc>
          <w:tcPr>
            <w:tcW w:w="694" w:type="pct"/>
            <w:tcBorders>
              <w:top w:val="nil"/>
              <w:left w:val="nil"/>
              <w:bottom w:val="single" w:sz="8" w:space="0" w:color="auto"/>
              <w:right w:val="nil"/>
            </w:tcBorders>
            <w:vAlign w:val="center"/>
            <w:hideMark/>
          </w:tcPr>
          <w:p w14:paraId="55F9DC21" w14:textId="77777777" w:rsidR="00A74C68" w:rsidRPr="00471CBA" w:rsidRDefault="00A74C68" w:rsidP="00A74C68">
            <w:pPr>
              <w:jc w:val="right"/>
              <w:rPr>
                <w:b/>
                <w:bCs/>
                <w:color w:val="000000"/>
                <w:szCs w:val="20"/>
                <w:lang w:eastAsia="tr-TR"/>
              </w:rPr>
            </w:pPr>
            <w:r w:rsidRPr="00471CBA">
              <w:rPr>
                <w:b/>
                <w:bCs/>
                <w:color w:val="000000"/>
                <w:szCs w:val="20"/>
                <w:lang w:eastAsia="tr-TR"/>
              </w:rPr>
              <w:t>2.958.053</w:t>
            </w:r>
          </w:p>
        </w:tc>
        <w:tc>
          <w:tcPr>
            <w:tcW w:w="653" w:type="pct"/>
            <w:tcBorders>
              <w:top w:val="nil"/>
              <w:left w:val="nil"/>
              <w:bottom w:val="single" w:sz="8" w:space="0" w:color="auto"/>
              <w:right w:val="nil"/>
            </w:tcBorders>
            <w:vAlign w:val="center"/>
            <w:hideMark/>
          </w:tcPr>
          <w:p w14:paraId="6D7ECDB4" w14:textId="77777777" w:rsidR="00A74C68" w:rsidRPr="00471CBA" w:rsidRDefault="00A74C68" w:rsidP="00A74C68">
            <w:pPr>
              <w:jc w:val="right"/>
              <w:rPr>
                <w:b/>
                <w:bCs/>
                <w:color w:val="000000"/>
                <w:szCs w:val="20"/>
                <w:lang w:eastAsia="tr-TR"/>
              </w:rPr>
            </w:pPr>
            <w:r w:rsidRPr="00471CBA">
              <w:rPr>
                <w:b/>
                <w:bCs/>
                <w:color w:val="000000"/>
                <w:szCs w:val="20"/>
                <w:lang w:eastAsia="tr-TR"/>
              </w:rPr>
              <w:t>2.584.221</w:t>
            </w:r>
          </w:p>
        </w:tc>
      </w:tr>
    </w:tbl>
    <w:p w14:paraId="330CA237" w14:textId="59D066C1" w:rsidR="00725AE1" w:rsidRPr="00471CBA" w:rsidRDefault="00725AE1" w:rsidP="0029727D"/>
    <w:tbl>
      <w:tblPr>
        <w:tblW w:w="5000" w:type="pct"/>
        <w:tblCellMar>
          <w:left w:w="70" w:type="dxa"/>
          <w:right w:w="70" w:type="dxa"/>
        </w:tblCellMar>
        <w:tblLook w:val="04A0" w:firstRow="1" w:lastRow="0" w:firstColumn="1" w:lastColumn="0" w:noHBand="0" w:noVBand="1"/>
      </w:tblPr>
      <w:tblGrid>
        <w:gridCol w:w="5768"/>
        <w:gridCol w:w="1740"/>
        <w:gridCol w:w="1847"/>
      </w:tblGrid>
      <w:tr w:rsidR="00204442" w:rsidRPr="00471CBA" w14:paraId="4D3DC69A" w14:textId="77777777" w:rsidTr="001D0E99">
        <w:trPr>
          <w:trHeight w:val="227"/>
        </w:trPr>
        <w:tc>
          <w:tcPr>
            <w:tcW w:w="3083" w:type="pct"/>
            <w:tcBorders>
              <w:top w:val="nil"/>
              <w:left w:val="nil"/>
              <w:bottom w:val="nil"/>
              <w:right w:val="nil"/>
            </w:tcBorders>
            <w:noWrap/>
            <w:vAlign w:val="bottom"/>
            <w:hideMark/>
          </w:tcPr>
          <w:p w14:paraId="7AABF157" w14:textId="77777777" w:rsidR="00204442" w:rsidRPr="00471CBA" w:rsidRDefault="00204442" w:rsidP="003B2BBE">
            <w:pPr>
              <w:rPr>
                <w:szCs w:val="20"/>
                <w:lang w:eastAsia="tr-TR"/>
              </w:rPr>
            </w:pPr>
          </w:p>
        </w:tc>
        <w:tc>
          <w:tcPr>
            <w:tcW w:w="1917" w:type="pct"/>
            <w:gridSpan w:val="2"/>
            <w:tcBorders>
              <w:top w:val="nil"/>
              <w:left w:val="nil"/>
              <w:bottom w:val="single" w:sz="4" w:space="0" w:color="auto"/>
              <w:right w:val="nil"/>
            </w:tcBorders>
            <w:noWrap/>
            <w:vAlign w:val="center"/>
            <w:hideMark/>
          </w:tcPr>
          <w:p w14:paraId="5E5DBD8E" w14:textId="77777777" w:rsidR="00204442" w:rsidRPr="00471CBA" w:rsidRDefault="00204442" w:rsidP="003B2BBE">
            <w:pPr>
              <w:jc w:val="center"/>
              <w:rPr>
                <w:b/>
                <w:bCs/>
                <w:color w:val="000000"/>
                <w:szCs w:val="20"/>
                <w:lang w:eastAsia="tr-TR"/>
              </w:rPr>
            </w:pPr>
            <w:r w:rsidRPr="00471CBA">
              <w:rPr>
                <w:b/>
                <w:bCs/>
                <w:color w:val="000000"/>
                <w:szCs w:val="20"/>
                <w:lang w:eastAsia="tr-TR"/>
              </w:rPr>
              <w:t>31 Aralık 2024</w:t>
            </w:r>
          </w:p>
        </w:tc>
      </w:tr>
      <w:tr w:rsidR="00204442" w:rsidRPr="00471CBA" w14:paraId="6CD31516" w14:textId="77777777" w:rsidTr="001D0E99">
        <w:trPr>
          <w:trHeight w:val="227"/>
        </w:trPr>
        <w:tc>
          <w:tcPr>
            <w:tcW w:w="3083" w:type="pct"/>
            <w:tcBorders>
              <w:top w:val="nil"/>
              <w:left w:val="nil"/>
              <w:bottom w:val="single" w:sz="4" w:space="0" w:color="auto"/>
              <w:right w:val="nil"/>
            </w:tcBorders>
            <w:noWrap/>
            <w:vAlign w:val="bottom"/>
            <w:hideMark/>
          </w:tcPr>
          <w:p w14:paraId="55F8EFDD" w14:textId="77777777" w:rsidR="00204442" w:rsidRPr="00471CBA" w:rsidRDefault="00204442" w:rsidP="003B2BBE">
            <w:pPr>
              <w:jc w:val="both"/>
              <w:rPr>
                <w:b/>
                <w:bCs/>
                <w:color w:val="000000"/>
                <w:szCs w:val="20"/>
                <w:lang w:eastAsia="tr-TR"/>
              </w:rPr>
            </w:pPr>
            <w:r w:rsidRPr="00471CBA">
              <w:rPr>
                <w:b/>
                <w:bCs/>
                <w:color w:val="000000"/>
                <w:szCs w:val="20"/>
                <w:lang w:eastAsia="tr-TR"/>
              </w:rPr>
              <w:t> </w:t>
            </w:r>
          </w:p>
        </w:tc>
        <w:tc>
          <w:tcPr>
            <w:tcW w:w="930" w:type="pct"/>
            <w:tcBorders>
              <w:top w:val="nil"/>
              <w:left w:val="nil"/>
              <w:bottom w:val="single" w:sz="4" w:space="0" w:color="auto"/>
              <w:right w:val="nil"/>
            </w:tcBorders>
            <w:vAlign w:val="bottom"/>
            <w:hideMark/>
          </w:tcPr>
          <w:p w14:paraId="764D84DD" w14:textId="77777777" w:rsidR="00204442" w:rsidRPr="00471CBA" w:rsidRDefault="00204442" w:rsidP="003B2BBE">
            <w:pPr>
              <w:jc w:val="right"/>
              <w:rPr>
                <w:b/>
                <w:bCs/>
                <w:color w:val="000000"/>
                <w:szCs w:val="20"/>
                <w:lang w:eastAsia="tr-TR"/>
              </w:rPr>
            </w:pPr>
            <w:r w:rsidRPr="00471CBA">
              <w:rPr>
                <w:b/>
                <w:bCs/>
                <w:color w:val="000000"/>
                <w:szCs w:val="20"/>
                <w:lang w:eastAsia="tr-TR"/>
              </w:rPr>
              <w:t>Brüt</w:t>
            </w:r>
          </w:p>
        </w:tc>
        <w:tc>
          <w:tcPr>
            <w:tcW w:w="987" w:type="pct"/>
            <w:tcBorders>
              <w:top w:val="nil"/>
              <w:left w:val="nil"/>
              <w:bottom w:val="single" w:sz="4" w:space="0" w:color="auto"/>
              <w:right w:val="nil"/>
            </w:tcBorders>
            <w:vAlign w:val="bottom"/>
            <w:hideMark/>
          </w:tcPr>
          <w:p w14:paraId="16EF13B0" w14:textId="77777777" w:rsidR="00204442" w:rsidRPr="00471CBA" w:rsidRDefault="00204442" w:rsidP="003B2BBE">
            <w:pPr>
              <w:jc w:val="right"/>
              <w:rPr>
                <w:b/>
                <w:bCs/>
                <w:color w:val="000000"/>
                <w:szCs w:val="20"/>
                <w:lang w:eastAsia="tr-TR"/>
              </w:rPr>
            </w:pPr>
            <w:r w:rsidRPr="00471CBA">
              <w:rPr>
                <w:b/>
                <w:bCs/>
                <w:color w:val="000000"/>
                <w:szCs w:val="20"/>
                <w:lang w:eastAsia="tr-TR"/>
              </w:rPr>
              <w:t>Net</w:t>
            </w:r>
          </w:p>
        </w:tc>
      </w:tr>
      <w:tr w:rsidR="00204442" w:rsidRPr="00471CBA" w14:paraId="025ED287" w14:textId="77777777" w:rsidTr="001D0E99">
        <w:trPr>
          <w:trHeight w:val="227"/>
        </w:trPr>
        <w:tc>
          <w:tcPr>
            <w:tcW w:w="3083" w:type="pct"/>
            <w:tcBorders>
              <w:top w:val="nil"/>
              <w:left w:val="nil"/>
              <w:bottom w:val="nil"/>
              <w:right w:val="nil"/>
            </w:tcBorders>
            <w:noWrap/>
            <w:vAlign w:val="bottom"/>
            <w:hideMark/>
          </w:tcPr>
          <w:p w14:paraId="78DCD823" w14:textId="77777777" w:rsidR="00204442" w:rsidRPr="00471CBA" w:rsidRDefault="00204442" w:rsidP="003B2BBE">
            <w:pPr>
              <w:jc w:val="right"/>
              <w:rPr>
                <w:b/>
                <w:bCs/>
                <w:color w:val="000000"/>
                <w:szCs w:val="20"/>
                <w:lang w:eastAsia="tr-TR"/>
              </w:rPr>
            </w:pPr>
          </w:p>
        </w:tc>
        <w:tc>
          <w:tcPr>
            <w:tcW w:w="930" w:type="pct"/>
            <w:tcBorders>
              <w:top w:val="nil"/>
              <w:left w:val="nil"/>
              <w:bottom w:val="nil"/>
              <w:right w:val="nil"/>
            </w:tcBorders>
            <w:vAlign w:val="bottom"/>
            <w:hideMark/>
          </w:tcPr>
          <w:p w14:paraId="61CE9840" w14:textId="77777777" w:rsidR="00204442" w:rsidRPr="00471CBA" w:rsidRDefault="00204442" w:rsidP="003B2BBE">
            <w:pPr>
              <w:jc w:val="right"/>
              <w:rPr>
                <w:szCs w:val="20"/>
                <w:lang w:eastAsia="tr-TR"/>
              </w:rPr>
            </w:pPr>
          </w:p>
        </w:tc>
        <w:tc>
          <w:tcPr>
            <w:tcW w:w="987" w:type="pct"/>
            <w:tcBorders>
              <w:top w:val="nil"/>
              <w:left w:val="nil"/>
              <w:bottom w:val="nil"/>
              <w:right w:val="nil"/>
            </w:tcBorders>
            <w:noWrap/>
            <w:vAlign w:val="bottom"/>
            <w:hideMark/>
          </w:tcPr>
          <w:p w14:paraId="4DB3B620" w14:textId="77777777" w:rsidR="00204442" w:rsidRPr="00471CBA" w:rsidRDefault="00204442" w:rsidP="003B2BBE">
            <w:pPr>
              <w:jc w:val="right"/>
              <w:rPr>
                <w:szCs w:val="20"/>
                <w:lang w:eastAsia="tr-TR"/>
              </w:rPr>
            </w:pPr>
          </w:p>
        </w:tc>
      </w:tr>
      <w:tr w:rsidR="00204442" w:rsidRPr="00471CBA" w14:paraId="64C2EA6D" w14:textId="77777777" w:rsidTr="001D0E99">
        <w:trPr>
          <w:trHeight w:val="227"/>
        </w:trPr>
        <w:tc>
          <w:tcPr>
            <w:tcW w:w="3083" w:type="pct"/>
            <w:tcBorders>
              <w:top w:val="nil"/>
              <w:left w:val="nil"/>
              <w:bottom w:val="nil"/>
              <w:right w:val="nil"/>
            </w:tcBorders>
            <w:noWrap/>
            <w:vAlign w:val="bottom"/>
            <w:hideMark/>
          </w:tcPr>
          <w:p w14:paraId="0ABF43E9" w14:textId="77777777" w:rsidR="00204442" w:rsidRPr="00471CBA" w:rsidRDefault="00204442" w:rsidP="003B2BBE">
            <w:pPr>
              <w:rPr>
                <w:color w:val="000000"/>
                <w:szCs w:val="20"/>
                <w:lang w:eastAsia="tr-TR"/>
              </w:rPr>
            </w:pPr>
            <w:r w:rsidRPr="00471CBA">
              <w:rPr>
                <w:color w:val="000000"/>
                <w:szCs w:val="20"/>
                <w:lang w:eastAsia="tr-TR"/>
              </w:rPr>
              <w:t>1 yıldan az</w:t>
            </w:r>
          </w:p>
        </w:tc>
        <w:tc>
          <w:tcPr>
            <w:tcW w:w="930" w:type="pct"/>
            <w:tcBorders>
              <w:top w:val="nil"/>
              <w:left w:val="nil"/>
              <w:bottom w:val="nil"/>
              <w:right w:val="nil"/>
            </w:tcBorders>
            <w:vAlign w:val="center"/>
            <w:hideMark/>
          </w:tcPr>
          <w:p w14:paraId="3A71F94E" w14:textId="77777777" w:rsidR="00204442" w:rsidRPr="00471CBA" w:rsidRDefault="00204442" w:rsidP="003B2BBE">
            <w:pPr>
              <w:jc w:val="right"/>
              <w:rPr>
                <w:rFonts w:ascii="Arial" w:hAnsi="Arial" w:cs="Arial"/>
                <w:color w:val="000000"/>
                <w:sz w:val="18"/>
                <w:szCs w:val="18"/>
                <w:lang w:eastAsia="tr-TR"/>
              </w:rPr>
            </w:pPr>
            <w:r w:rsidRPr="00471CBA">
              <w:rPr>
                <w:szCs w:val="20"/>
                <w:lang w:eastAsia="tr-TR"/>
              </w:rPr>
              <w:t>-</w:t>
            </w:r>
          </w:p>
        </w:tc>
        <w:tc>
          <w:tcPr>
            <w:tcW w:w="987" w:type="pct"/>
            <w:tcBorders>
              <w:top w:val="nil"/>
              <w:left w:val="nil"/>
              <w:bottom w:val="nil"/>
              <w:right w:val="nil"/>
            </w:tcBorders>
            <w:vAlign w:val="center"/>
            <w:hideMark/>
          </w:tcPr>
          <w:p w14:paraId="4175F19D" w14:textId="77777777" w:rsidR="00204442" w:rsidRPr="00471CBA" w:rsidRDefault="00204442" w:rsidP="003B2BBE">
            <w:pPr>
              <w:jc w:val="right"/>
              <w:rPr>
                <w:rFonts w:ascii="Arial" w:hAnsi="Arial" w:cs="Arial"/>
                <w:color w:val="000000"/>
                <w:sz w:val="18"/>
                <w:szCs w:val="18"/>
                <w:lang w:eastAsia="tr-TR"/>
              </w:rPr>
            </w:pPr>
            <w:r w:rsidRPr="00471CBA">
              <w:rPr>
                <w:szCs w:val="20"/>
                <w:lang w:eastAsia="tr-TR"/>
              </w:rPr>
              <w:t>-</w:t>
            </w:r>
          </w:p>
        </w:tc>
      </w:tr>
      <w:tr w:rsidR="00204442" w:rsidRPr="00471CBA" w14:paraId="5BC7BC04" w14:textId="77777777" w:rsidTr="001D0E99">
        <w:trPr>
          <w:trHeight w:val="227"/>
        </w:trPr>
        <w:tc>
          <w:tcPr>
            <w:tcW w:w="3083" w:type="pct"/>
            <w:tcBorders>
              <w:top w:val="nil"/>
              <w:left w:val="nil"/>
              <w:right w:val="nil"/>
            </w:tcBorders>
            <w:noWrap/>
            <w:vAlign w:val="bottom"/>
            <w:hideMark/>
          </w:tcPr>
          <w:p w14:paraId="24A841FF" w14:textId="77777777" w:rsidR="00204442" w:rsidRPr="00471CBA" w:rsidRDefault="00204442" w:rsidP="003B2BBE">
            <w:pPr>
              <w:rPr>
                <w:color w:val="000000"/>
                <w:szCs w:val="20"/>
                <w:lang w:eastAsia="tr-TR"/>
              </w:rPr>
            </w:pPr>
            <w:r w:rsidRPr="00471CBA">
              <w:rPr>
                <w:color w:val="000000"/>
                <w:szCs w:val="20"/>
                <w:lang w:eastAsia="tr-TR"/>
              </w:rPr>
              <w:t>1-4 yıl arası</w:t>
            </w:r>
          </w:p>
        </w:tc>
        <w:tc>
          <w:tcPr>
            <w:tcW w:w="930" w:type="pct"/>
            <w:tcBorders>
              <w:top w:val="nil"/>
              <w:left w:val="nil"/>
              <w:right w:val="nil"/>
            </w:tcBorders>
            <w:vAlign w:val="center"/>
            <w:hideMark/>
          </w:tcPr>
          <w:p w14:paraId="4C46EF99" w14:textId="77777777" w:rsidR="00204442" w:rsidRPr="00471CBA" w:rsidRDefault="00204442" w:rsidP="003B2BBE">
            <w:pPr>
              <w:jc w:val="right"/>
              <w:rPr>
                <w:rFonts w:ascii="Arial" w:hAnsi="Arial" w:cs="Arial"/>
                <w:color w:val="000000"/>
                <w:sz w:val="18"/>
                <w:szCs w:val="18"/>
                <w:lang w:eastAsia="tr-TR"/>
              </w:rPr>
            </w:pPr>
            <w:r w:rsidRPr="00471CBA">
              <w:rPr>
                <w:szCs w:val="20"/>
                <w:lang w:eastAsia="tr-TR"/>
              </w:rPr>
              <w:t>5.840</w:t>
            </w:r>
          </w:p>
        </w:tc>
        <w:tc>
          <w:tcPr>
            <w:tcW w:w="987" w:type="pct"/>
            <w:tcBorders>
              <w:top w:val="nil"/>
              <w:left w:val="nil"/>
              <w:right w:val="nil"/>
            </w:tcBorders>
            <w:vAlign w:val="center"/>
            <w:hideMark/>
          </w:tcPr>
          <w:p w14:paraId="5862A7AF" w14:textId="77777777" w:rsidR="00204442" w:rsidRPr="00471CBA" w:rsidRDefault="00204442" w:rsidP="003B2BBE">
            <w:pPr>
              <w:jc w:val="right"/>
              <w:rPr>
                <w:rFonts w:ascii="Arial" w:hAnsi="Arial" w:cs="Arial"/>
                <w:color w:val="000000"/>
                <w:sz w:val="18"/>
                <w:szCs w:val="18"/>
                <w:lang w:eastAsia="tr-TR"/>
              </w:rPr>
            </w:pPr>
            <w:r w:rsidRPr="00471CBA">
              <w:rPr>
                <w:szCs w:val="20"/>
                <w:lang w:eastAsia="tr-TR"/>
              </w:rPr>
              <w:t>4.363</w:t>
            </w:r>
          </w:p>
        </w:tc>
      </w:tr>
      <w:tr w:rsidR="00204442" w:rsidRPr="00471CBA" w14:paraId="6F84BBA7" w14:textId="77777777" w:rsidTr="001D0E99">
        <w:trPr>
          <w:trHeight w:val="227"/>
        </w:trPr>
        <w:tc>
          <w:tcPr>
            <w:tcW w:w="3083" w:type="pct"/>
            <w:tcBorders>
              <w:top w:val="nil"/>
              <w:left w:val="nil"/>
              <w:bottom w:val="single" w:sz="4" w:space="0" w:color="auto"/>
              <w:right w:val="nil"/>
            </w:tcBorders>
            <w:noWrap/>
            <w:vAlign w:val="bottom"/>
            <w:hideMark/>
          </w:tcPr>
          <w:p w14:paraId="1884BE52" w14:textId="77777777" w:rsidR="00204442" w:rsidRPr="00471CBA" w:rsidRDefault="00204442" w:rsidP="003B2BBE">
            <w:pPr>
              <w:rPr>
                <w:color w:val="000000"/>
                <w:szCs w:val="20"/>
                <w:lang w:eastAsia="tr-TR"/>
              </w:rPr>
            </w:pPr>
            <w:r w:rsidRPr="00471CBA">
              <w:rPr>
                <w:color w:val="000000"/>
                <w:szCs w:val="20"/>
                <w:lang w:eastAsia="tr-TR"/>
              </w:rPr>
              <w:t>4 yıldan fazla</w:t>
            </w:r>
          </w:p>
        </w:tc>
        <w:tc>
          <w:tcPr>
            <w:tcW w:w="930" w:type="pct"/>
            <w:tcBorders>
              <w:top w:val="nil"/>
              <w:left w:val="nil"/>
              <w:bottom w:val="single" w:sz="4" w:space="0" w:color="auto"/>
              <w:right w:val="nil"/>
            </w:tcBorders>
            <w:vAlign w:val="center"/>
            <w:hideMark/>
          </w:tcPr>
          <w:p w14:paraId="0A287D6F" w14:textId="77777777" w:rsidR="00204442" w:rsidRPr="00471CBA" w:rsidRDefault="00204442" w:rsidP="003B2BBE">
            <w:pPr>
              <w:jc w:val="right"/>
              <w:rPr>
                <w:rFonts w:ascii="Arial" w:hAnsi="Arial" w:cs="Arial"/>
                <w:color w:val="000000"/>
                <w:sz w:val="18"/>
                <w:szCs w:val="18"/>
                <w:lang w:eastAsia="tr-TR"/>
              </w:rPr>
            </w:pPr>
            <w:r w:rsidRPr="00471CBA">
              <w:rPr>
                <w:szCs w:val="20"/>
                <w:lang w:eastAsia="tr-TR"/>
              </w:rPr>
              <w:t>-</w:t>
            </w:r>
          </w:p>
        </w:tc>
        <w:tc>
          <w:tcPr>
            <w:tcW w:w="987" w:type="pct"/>
            <w:tcBorders>
              <w:top w:val="nil"/>
              <w:left w:val="nil"/>
              <w:bottom w:val="single" w:sz="4" w:space="0" w:color="auto"/>
              <w:right w:val="nil"/>
            </w:tcBorders>
            <w:vAlign w:val="center"/>
            <w:hideMark/>
          </w:tcPr>
          <w:p w14:paraId="4E60B821" w14:textId="77777777" w:rsidR="00204442" w:rsidRPr="00471CBA" w:rsidRDefault="00204442" w:rsidP="003B2BBE">
            <w:pPr>
              <w:jc w:val="right"/>
              <w:rPr>
                <w:rFonts w:ascii="Arial" w:hAnsi="Arial" w:cs="Arial"/>
                <w:color w:val="000000"/>
                <w:sz w:val="18"/>
                <w:szCs w:val="18"/>
                <w:lang w:eastAsia="tr-TR"/>
              </w:rPr>
            </w:pPr>
            <w:r w:rsidRPr="00471CBA">
              <w:rPr>
                <w:szCs w:val="20"/>
                <w:lang w:eastAsia="tr-TR"/>
              </w:rPr>
              <w:t>-</w:t>
            </w:r>
          </w:p>
        </w:tc>
      </w:tr>
      <w:tr w:rsidR="00204442" w:rsidRPr="00471CBA" w14:paraId="45CDF911" w14:textId="77777777" w:rsidTr="001D0E99">
        <w:trPr>
          <w:trHeight w:val="227"/>
        </w:trPr>
        <w:tc>
          <w:tcPr>
            <w:tcW w:w="3083" w:type="pct"/>
            <w:tcBorders>
              <w:top w:val="single" w:sz="4" w:space="0" w:color="auto"/>
              <w:left w:val="nil"/>
              <w:bottom w:val="nil"/>
              <w:right w:val="nil"/>
            </w:tcBorders>
            <w:noWrap/>
            <w:vAlign w:val="bottom"/>
            <w:hideMark/>
          </w:tcPr>
          <w:p w14:paraId="521FE490" w14:textId="77777777" w:rsidR="00204442" w:rsidRPr="00471CBA" w:rsidRDefault="00204442" w:rsidP="003B2BBE">
            <w:pPr>
              <w:rPr>
                <w:szCs w:val="20"/>
                <w:lang w:eastAsia="tr-TR"/>
              </w:rPr>
            </w:pPr>
          </w:p>
        </w:tc>
        <w:tc>
          <w:tcPr>
            <w:tcW w:w="930" w:type="pct"/>
            <w:tcBorders>
              <w:top w:val="single" w:sz="4" w:space="0" w:color="auto"/>
              <w:left w:val="nil"/>
              <w:bottom w:val="nil"/>
              <w:right w:val="nil"/>
            </w:tcBorders>
            <w:vAlign w:val="center"/>
            <w:hideMark/>
          </w:tcPr>
          <w:p w14:paraId="09D3E21F" w14:textId="77777777" w:rsidR="00204442" w:rsidRPr="00471CBA" w:rsidRDefault="00204442" w:rsidP="003B2BBE">
            <w:pPr>
              <w:jc w:val="right"/>
              <w:rPr>
                <w:szCs w:val="20"/>
                <w:lang w:eastAsia="tr-TR"/>
              </w:rPr>
            </w:pPr>
          </w:p>
        </w:tc>
        <w:tc>
          <w:tcPr>
            <w:tcW w:w="987" w:type="pct"/>
            <w:tcBorders>
              <w:top w:val="single" w:sz="4" w:space="0" w:color="auto"/>
              <w:left w:val="nil"/>
              <w:bottom w:val="nil"/>
              <w:right w:val="nil"/>
            </w:tcBorders>
            <w:vAlign w:val="center"/>
            <w:hideMark/>
          </w:tcPr>
          <w:p w14:paraId="20966C85" w14:textId="77777777" w:rsidR="00204442" w:rsidRPr="00471CBA" w:rsidRDefault="00204442" w:rsidP="003B2BBE">
            <w:pPr>
              <w:jc w:val="right"/>
              <w:rPr>
                <w:szCs w:val="20"/>
                <w:lang w:eastAsia="tr-TR"/>
              </w:rPr>
            </w:pPr>
          </w:p>
        </w:tc>
      </w:tr>
      <w:tr w:rsidR="00204442" w:rsidRPr="00471CBA" w14:paraId="411AD94B" w14:textId="77777777" w:rsidTr="001D0E99">
        <w:trPr>
          <w:trHeight w:val="227"/>
        </w:trPr>
        <w:tc>
          <w:tcPr>
            <w:tcW w:w="3083" w:type="pct"/>
            <w:tcBorders>
              <w:top w:val="nil"/>
              <w:left w:val="nil"/>
              <w:bottom w:val="single" w:sz="8" w:space="0" w:color="auto"/>
              <w:right w:val="nil"/>
            </w:tcBorders>
            <w:noWrap/>
            <w:vAlign w:val="bottom"/>
            <w:hideMark/>
          </w:tcPr>
          <w:p w14:paraId="09D8D759" w14:textId="77777777" w:rsidR="00204442" w:rsidRPr="00471CBA" w:rsidRDefault="00204442" w:rsidP="003B2BBE">
            <w:pPr>
              <w:rPr>
                <w:b/>
                <w:bCs/>
                <w:szCs w:val="20"/>
                <w:lang w:eastAsia="tr-TR"/>
              </w:rPr>
            </w:pPr>
            <w:r w:rsidRPr="00471CBA">
              <w:rPr>
                <w:b/>
                <w:bCs/>
                <w:color w:val="000000"/>
                <w:szCs w:val="20"/>
                <w:lang w:eastAsia="tr-TR"/>
              </w:rPr>
              <w:t>Toplam</w:t>
            </w:r>
          </w:p>
        </w:tc>
        <w:tc>
          <w:tcPr>
            <w:tcW w:w="930" w:type="pct"/>
            <w:tcBorders>
              <w:top w:val="nil"/>
              <w:left w:val="nil"/>
              <w:bottom w:val="single" w:sz="8" w:space="0" w:color="auto"/>
              <w:right w:val="nil"/>
            </w:tcBorders>
            <w:vAlign w:val="center"/>
            <w:hideMark/>
          </w:tcPr>
          <w:p w14:paraId="053548BF" w14:textId="77777777" w:rsidR="00204442" w:rsidRPr="00471CBA" w:rsidRDefault="00204442" w:rsidP="003B2BBE">
            <w:pPr>
              <w:jc w:val="right"/>
              <w:rPr>
                <w:b/>
                <w:bCs/>
                <w:color w:val="000000"/>
                <w:szCs w:val="20"/>
                <w:lang w:eastAsia="tr-TR"/>
              </w:rPr>
            </w:pPr>
            <w:r w:rsidRPr="00471CBA">
              <w:rPr>
                <w:b/>
                <w:bCs/>
                <w:color w:val="000000"/>
                <w:szCs w:val="20"/>
                <w:lang w:eastAsia="tr-TR"/>
              </w:rPr>
              <w:t>5.840</w:t>
            </w:r>
          </w:p>
        </w:tc>
        <w:tc>
          <w:tcPr>
            <w:tcW w:w="987" w:type="pct"/>
            <w:tcBorders>
              <w:top w:val="nil"/>
              <w:left w:val="nil"/>
              <w:bottom w:val="single" w:sz="8" w:space="0" w:color="auto"/>
              <w:right w:val="nil"/>
            </w:tcBorders>
            <w:vAlign w:val="center"/>
            <w:hideMark/>
          </w:tcPr>
          <w:p w14:paraId="68347FE1" w14:textId="77777777" w:rsidR="00204442" w:rsidRPr="00471CBA" w:rsidRDefault="00204442" w:rsidP="003B2BBE">
            <w:pPr>
              <w:jc w:val="right"/>
              <w:rPr>
                <w:b/>
                <w:bCs/>
                <w:color w:val="000000"/>
                <w:szCs w:val="20"/>
                <w:lang w:eastAsia="tr-TR"/>
              </w:rPr>
            </w:pPr>
            <w:r w:rsidRPr="00471CBA">
              <w:rPr>
                <w:b/>
                <w:bCs/>
                <w:color w:val="000000"/>
                <w:szCs w:val="20"/>
                <w:lang w:eastAsia="tr-TR"/>
              </w:rPr>
              <w:t>4.363</w:t>
            </w:r>
          </w:p>
        </w:tc>
      </w:tr>
    </w:tbl>
    <w:p w14:paraId="656A009F" w14:textId="77777777" w:rsidR="00204442" w:rsidRPr="00471CBA" w:rsidRDefault="00204442" w:rsidP="0029727D"/>
    <w:p w14:paraId="0EDEB6D7" w14:textId="6698A5B8" w:rsidR="00BC729A" w:rsidRPr="00471CBA" w:rsidRDefault="00BC729A" w:rsidP="008459A9">
      <w:pPr>
        <w:pStyle w:val="GvdeMetniGirintisi"/>
        <w:numPr>
          <w:ilvl w:val="0"/>
          <w:numId w:val="79"/>
        </w:numPr>
        <w:spacing w:before="120" w:after="120"/>
        <w:ind w:left="567"/>
        <w:rPr>
          <w:b/>
          <w:bCs/>
          <w:szCs w:val="20"/>
        </w:rPr>
      </w:pPr>
      <w:r w:rsidRPr="00471CBA">
        <w:rPr>
          <w:b/>
          <w:bCs/>
          <w:szCs w:val="20"/>
        </w:rPr>
        <w:t>Finansal kiralamaya yapılan net yatırımlara ilişkin bilgiler:</w:t>
      </w:r>
    </w:p>
    <w:p w14:paraId="2C568093" w14:textId="1EF9376F" w:rsidR="00A74C68" w:rsidRPr="00471CBA" w:rsidRDefault="00A74C68" w:rsidP="0029727D"/>
    <w:tbl>
      <w:tblPr>
        <w:tblW w:w="5000" w:type="pct"/>
        <w:tblCellMar>
          <w:left w:w="70" w:type="dxa"/>
          <w:right w:w="70" w:type="dxa"/>
        </w:tblCellMar>
        <w:tblLook w:val="04A0" w:firstRow="1" w:lastRow="0" w:firstColumn="1" w:lastColumn="0" w:noHBand="0" w:noVBand="1"/>
      </w:tblPr>
      <w:tblGrid>
        <w:gridCol w:w="6605"/>
        <w:gridCol w:w="2750"/>
      </w:tblGrid>
      <w:tr w:rsidR="00A74C68" w:rsidRPr="00471CBA" w14:paraId="41AF1981" w14:textId="77777777" w:rsidTr="00A74C68">
        <w:trPr>
          <w:divId w:val="630479891"/>
          <w:trHeight w:val="227"/>
        </w:trPr>
        <w:tc>
          <w:tcPr>
            <w:tcW w:w="2751" w:type="pct"/>
            <w:tcBorders>
              <w:top w:val="nil"/>
              <w:left w:val="nil"/>
              <w:bottom w:val="nil"/>
              <w:right w:val="nil"/>
            </w:tcBorders>
            <w:hideMark/>
          </w:tcPr>
          <w:p w14:paraId="5759056A" w14:textId="64B91B3B" w:rsidR="00A74C68" w:rsidRPr="00471CBA" w:rsidRDefault="00A74C68" w:rsidP="00A74C68">
            <w:pPr>
              <w:rPr>
                <w:szCs w:val="20"/>
                <w:lang w:eastAsia="tr-TR"/>
              </w:rPr>
            </w:pPr>
          </w:p>
        </w:tc>
        <w:tc>
          <w:tcPr>
            <w:tcW w:w="1146" w:type="pct"/>
            <w:tcBorders>
              <w:top w:val="nil"/>
              <w:left w:val="nil"/>
              <w:bottom w:val="single" w:sz="4" w:space="0" w:color="auto"/>
              <w:right w:val="nil"/>
            </w:tcBorders>
            <w:noWrap/>
            <w:vAlign w:val="center"/>
            <w:hideMark/>
          </w:tcPr>
          <w:p w14:paraId="0D3191B2" w14:textId="77777777" w:rsidR="00A74C68" w:rsidRPr="00471CBA" w:rsidRDefault="00A74C68" w:rsidP="00A74C68">
            <w:pPr>
              <w:jc w:val="right"/>
              <w:rPr>
                <w:b/>
                <w:bCs/>
                <w:color w:val="000000"/>
                <w:szCs w:val="20"/>
                <w:lang w:eastAsia="tr-TR"/>
              </w:rPr>
            </w:pPr>
            <w:r w:rsidRPr="00471CBA">
              <w:rPr>
                <w:b/>
                <w:bCs/>
                <w:color w:val="000000"/>
                <w:szCs w:val="20"/>
                <w:lang w:eastAsia="tr-TR"/>
              </w:rPr>
              <w:t>31 Aralık 2025</w:t>
            </w:r>
          </w:p>
        </w:tc>
      </w:tr>
      <w:tr w:rsidR="00A74C68" w:rsidRPr="00471CBA" w14:paraId="05B84EEA" w14:textId="77777777" w:rsidTr="00A74C68">
        <w:trPr>
          <w:divId w:val="630479891"/>
          <w:trHeight w:val="227"/>
        </w:trPr>
        <w:tc>
          <w:tcPr>
            <w:tcW w:w="2751" w:type="pct"/>
            <w:tcBorders>
              <w:top w:val="nil"/>
              <w:left w:val="nil"/>
              <w:bottom w:val="nil"/>
              <w:right w:val="nil"/>
            </w:tcBorders>
            <w:hideMark/>
          </w:tcPr>
          <w:p w14:paraId="75723A69" w14:textId="77777777" w:rsidR="00A74C68" w:rsidRPr="00471CBA" w:rsidRDefault="00A74C68" w:rsidP="00A74C68">
            <w:pPr>
              <w:jc w:val="center"/>
              <w:rPr>
                <w:b/>
                <w:bCs/>
                <w:color w:val="000000"/>
                <w:szCs w:val="20"/>
                <w:lang w:eastAsia="tr-TR"/>
              </w:rPr>
            </w:pPr>
          </w:p>
        </w:tc>
        <w:tc>
          <w:tcPr>
            <w:tcW w:w="1146" w:type="pct"/>
            <w:tcBorders>
              <w:top w:val="nil"/>
              <w:left w:val="nil"/>
              <w:bottom w:val="nil"/>
              <w:right w:val="nil"/>
            </w:tcBorders>
            <w:hideMark/>
          </w:tcPr>
          <w:p w14:paraId="3A37B219" w14:textId="77777777" w:rsidR="00A74C68" w:rsidRPr="00471CBA" w:rsidRDefault="00A74C68" w:rsidP="00A74C68">
            <w:pPr>
              <w:jc w:val="right"/>
              <w:rPr>
                <w:szCs w:val="20"/>
                <w:lang w:eastAsia="tr-TR"/>
              </w:rPr>
            </w:pPr>
          </w:p>
        </w:tc>
      </w:tr>
      <w:tr w:rsidR="00A74C68" w:rsidRPr="00471CBA" w14:paraId="2F450AA7" w14:textId="77777777" w:rsidTr="00A74C68">
        <w:trPr>
          <w:divId w:val="630479891"/>
          <w:trHeight w:val="227"/>
        </w:trPr>
        <w:tc>
          <w:tcPr>
            <w:tcW w:w="2751" w:type="pct"/>
            <w:tcBorders>
              <w:top w:val="nil"/>
              <w:left w:val="nil"/>
              <w:bottom w:val="nil"/>
              <w:right w:val="nil"/>
            </w:tcBorders>
            <w:vAlign w:val="bottom"/>
            <w:hideMark/>
          </w:tcPr>
          <w:p w14:paraId="0AB814B8" w14:textId="77777777" w:rsidR="00A74C68" w:rsidRPr="00471CBA" w:rsidRDefault="00A74C68" w:rsidP="00A74C68">
            <w:pPr>
              <w:rPr>
                <w:color w:val="000000"/>
                <w:szCs w:val="20"/>
                <w:lang w:eastAsia="tr-TR"/>
              </w:rPr>
            </w:pPr>
            <w:r w:rsidRPr="00471CBA">
              <w:rPr>
                <w:iCs/>
                <w:color w:val="000000"/>
                <w:szCs w:val="20"/>
                <w:lang w:eastAsia="tr-TR"/>
              </w:rPr>
              <w:t>Finansal kiralama alacakları (brüt)</w:t>
            </w:r>
          </w:p>
        </w:tc>
        <w:tc>
          <w:tcPr>
            <w:tcW w:w="1146" w:type="pct"/>
            <w:tcBorders>
              <w:top w:val="nil"/>
              <w:left w:val="nil"/>
              <w:bottom w:val="nil"/>
              <w:right w:val="nil"/>
            </w:tcBorders>
            <w:vAlign w:val="center"/>
            <w:hideMark/>
          </w:tcPr>
          <w:p w14:paraId="52FF82AD" w14:textId="77777777" w:rsidR="00A74C68" w:rsidRPr="00471CBA" w:rsidRDefault="00A74C68" w:rsidP="00A74C68">
            <w:pPr>
              <w:jc w:val="right"/>
              <w:rPr>
                <w:color w:val="000000"/>
                <w:szCs w:val="20"/>
                <w:lang w:eastAsia="tr-TR"/>
              </w:rPr>
            </w:pPr>
            <w:r w:rsidRPr="00471CBA">
              <w:rPr>
                <w:color w:val="000000"/>
                <w:szCs w:val="20"/>
                <w:lang w:eastAsia="tr-TR"/>
              </w:rPr>
              <w:t>2.958.053</w:t>
            </w:r>
          </w:p>
        </w:tc>
      </w:tr>
      <w:tr w:rsidR="00A74C68" w:rsidRPr="00471CBA" w14:paraId="32C56A02" w14:textId="77777777" w:rsidTr="00A74C68">
        <w:trPr>
          <w:divId w:val="630479891"/>
          <w:trHeight w:val="227"/>
        </w:trPr>
        <w:tc>
          <w:tcPr>
            <w:tcW w:w="2751" w:type="pct"/>
            <w:tcBorders>
              <w:top w:val="nil"/>
              <w:left w:val="nil"/>
              <w:bottom w:val="single" w:sz="4" w:space="0" w:color="auto"/>
              <w:right w:val="nil"/>
            </w:tcBorders>
            <w:vAlign w:val="bottom"/>
            <w:hideMark/>
          </w:tcPr>
          <w:p w14:paraId="06B6806A" w14:textId="77777777" w:rsidR="00A74C68" w:rsidRPr="00471CBA" w:rsidRDefault="00A74C68" w:rsidP="00A74C68">
            <w:pPr>
              <w:rPr>
                <w:color w:val="000000"/>
                <w:szCs w:val="20"/>
                <w:lang w:eastAsia="tr-TR"/>
              </w:rPr>
            </w:pPr>
            <w:r w:rsidRPr="00471CBA">
              <w:rPr>
                <w:color w:val="000000"/>
                <w:szCs w:val="20"/>
                <w:lang w:eastAsia="tr-TR"/>
              </w:rPr>
              <w:t>Kazanılmamış finansal kiralama gelirleri (-)</w:t>
            </w:r>
          </w:p>
        </w:tc>
        <w:tc>
          <w:tcPr>
            <w:tcW w:w="1146" w:type="pct"/>
            <w:tcBorders>
              <w:top w:val="nil"/>
              <w:left w:val="nil"/>
              <w:bottom w:val="single" w:sz="4" w:space="0" w:color="auto"/>
              <w:right w:val="nil"/>
            </w:tcBorders>
            <w:vAlign w:val="center"/>
            <w:hideMark/>
          </w:tcPr>
          <w:p w14:paraId="22690A86" w14:textId="77777777" w:rsidR="00A74C68" w:rsidRPr="00471CBA" w:rsidRDefault="00A74C68" w:rsidP="00A74C68">
            <w:pPr>
              <w:jc w:val="right"/>
              <w:rPr>
                <w:color w:val="000000"/>
                <w:szCs w:val="20"/>
                <w:lang w:eastAsia="tr-TR"/>
              </w:rPr>
            </w:pPr>
            <w:r w:rsidRPr="00471CBA">
              <w:rPr>
                <w:color w:val="000000"/>
                <w:szCs w:val="20"/>
                <w:lang w:eastAsia="tr-TR"/>
              </w:rPr>
              <w:t>373.832</w:t>
            </w:r>
          </w:p>
        </w:tc>
      </w:tr>
      <w:tr w:rsidR="00A74C68" w:rsidRPr="00471CBA" w14:paraId="6756EDF9" w14:textId="77777777" w:rsidTr="00A74C68">
        <w:trPr>
          <w:divId w:val="630479891"/>
          <w:trHeight w:val="227"/>
        </w:trPr>
        <w:tc>
          <w:tcPr>
            <w:tcW w:w="2751" w:type="pct"/>
            <w:tcBorders>
              <w:top w:val="nil"/>
              <w:left w:val="nil"/>
              <w:bottom w:val="nil"/>
              <w:right w:val="nil"/>
            </w:tcBorders>
            <w:vAlign w:val="bottom"/>
            <w:hideMark/>
          </w:tcPr>
          <w:p w14:paraId="5A809276" w14:textId="77777777" w:rsidR="00A74C68" w:rsidRPr="00471CBA" w:rsidRDefault="00A74C68" w:rsidP="00A74C68">
            <w:pPr>
              <w:rPr>
                <w:color w:val="000000"/>
                <w:szCs w:val="20"/>
                <w:lang w:eastAsia="tr-TR"/>
              </w:rPr>
            </w:pPr>
          </w:p>
        </w:tc>
        <w:tc>
          <w:tcPr>
            <w:tcW w:w="1146" w:type="pct"/>
            <w:tcBorders>
              <w:top w:val="nil"/>
              <w:left w:val="nil"/>
              <w:bottom w:val="nil"/>
              <w:right w:val="nil"/>
            </w:tcBorders>
            <w:vAlign w:val="center"/>
            <w:hideMark/>
          </w:tcPr>
          <w:p w14:paraId="117F9A80" w14:textId="77777777" w:rsidR="00A74C68" w:rsidRPr="00471CBA" w:rsidRDefault="00A74C68" w:rsidP="00A74C68">
            <w:pPr>
              <w:jc w:val="right"/>
              <w:rPr>
                <w:szCs w:val="20"/>
                <w:lang w:eastAsia="tr-TR"/>
              </w:rPr>
            </w:pPr>
          </w:p>
        </w:tc>
      </w:tr>
      <w:tr w:rsidR="00A74C68" w:rsidRPr="00471CBA" w14:paraId="17F965D8" w14:textId="77777777" w:rsidTr="00A74C68">
        <w:trPr>
          <w:divId w:val="630479891"/>
          <w:trHeight w:val="227"/>
        </w:trPr>
        <w:tc>
          <w:tcPr>
            <w:tcW w:w="2751" w:type="pct"/>
            <w:tcBorders>
              <w:top w:val="nil"/>
              <w:left w:val="nil"/>
              <w:bottom w:val="single" w:sz="8" w:space="0" w:color="auto"/>
              <w:right w:val="nil"/>
            </w:tcBorders>
            <w:vAlign w:val="bottom"/>
            <w:hideMark/>
          </w:tcPr>
          <w:p w14:paraId="0CF4629F" w14:textId="77777777" w:rsidR="00A74C68" w:rsidRPr="00471CBA" w:rsidRDefault="00A74C68" w:rsidP="00A74C68">
            <w:pPr>
              <w:rPr>
                <w:b/>
                <w:bCs/>
                <w:color w:val="000000"/>
                <w:szCs w:val="20"/>
                <w:lang w:eastAsia="tr-TR"/>
              </w:rPr>
            </w:pPr>
            <w:r w:rsidRPr="00471CBA">
              <w:rPr>
                <w:b/>
                <w:bCs/>
                <w:color w:val="000000"/>
                <w:szCs w:val="20"/>
                <w:lang w:eastAsia="tr-TR"/>
              </w:rPr>
              <w:t>Finansal Kiralama Alacakları (net)</w:t>
            </w:r>
          </w:p>
        </w:tc>
        <w:tc>
          <w:tcPr>
            <w:tcW w:w="1146" w:type="pct"/>
            <w:tcBorders>
              <w:top w:val="nil"/>
              <w:left w:val="nil"/>
              <w:bottom w:val="single" w:sz="8" w:space="0" w:color="auto"/>
              <w:right w:val="nil"/>
            </w:tcBorders>
            <w:vAlign w:val="center"/>
            <w:hideMark/>
          </w:tcPr>
          <w:p w14:paraId="1678163A" w14:textId="77777777" w:rsidR="00A74C68" w:rsidRPr="00471CBA" w:rsidRDefault="00A74C68" w:rsidP="00A74C68">
            <w:pPr>
              <w:jc w:val="right"/>
              <w:rPr>
                <w:b/>
                <w:bCs/>
                <w:color w:val="000000"/>
                <w:szCs w:val="20"/>
                <w:lang w:eastAsia="tr-TR"/>
              </w:rPr>
            </w:pPr>
            <w:r w:rsidRPr="00471CBA">
              <w:rPr>
                <w:b/>
                <w:bCs/>
                <w:color w:val="000000"/>
                <w:szCs w:val="20"/>
                <w:lang w:eastAsia="tr-TR"/>
              </w:rPr>
              <w:t>2.584.221</w:t>
            </w:r>
          </w:p>
        </w:tc>
      </w:tr>
    </w:tbl>
    <w:p w14:paraId="3B33FB12" w14:textId="11485533" w:rsidR="006942EE" w:rsidRPr="00471CBA" w:rsidRDefault="006942EE" w:rsidP="0029727D"/>
    <w:tbl>
      <w:tblPr>
        <w:tblW w:w="5000" w:type="pct"/>
        <w:tblCellMar>
          <w:left w:w="70" w:type="dxa"/>
          <w:right w:w="70" w:type="dxa"/>
        </w:tblCellMar>
        <w:tblLook w:val="04A0" w:firstRow="1" w:lastRow="0" w:firstColumn="1" w:lastColumn="0" w:noHBand="0" w:noVBand="1"/>
      </w:tblPr>
      <w:tblGrid>
        <w:gridCol w:w="6678"/>
        <w:gridCol w:w="2677"/>
      </w:tblGrid>
      <w:tr w:rsidR="00204442" w:rsidRPr="00471CBA" w14:paraId="0DFA5ACF" w14:textId="77777777" w:rsidTr="006F5853">
        <w:trPr>
          <w:trHeight w:val="227"/>
        </w:trPr>
        <w:tc>
          <w:tcPr>
            <w:tcW w:w="3569" w:type="pct"/>
            <w:tcBorders>
              <w:top w:val="nil"/>
              <w:left w:val="nil"/>
              <w:bottom w:val="nil"/>
              <w:right w:val="nil"/>
            </w:tcBorders>
            <w:hideMark/>
          </w:tcPr>
          <w:p w14:paraId="79FB335E" w14:textId="77777777" w:rsidR="00204442" w:rsidRPr="00471CBA" w:rsidRDefault="00204442" w:rsidP="003B2BBE">
            <w:pPr>
              <w:rPr>
                <w:szCs w:val="20"/>
                <w:lang w:eastAsia="tr-TR"/>
              </w:rPr>
            </w:pPr>
          </w:p>
        </w:tc>
        <w:tc>
          <w:tcPr>
            <w:tcW w:w="1431" w:type="pct"/>
            <w:tcBorders>
              <w:top w:val="nil"/>
              <w:left w:val="nil"/>
              <w:bottom w:val="single" w:sz="4" w:space="0" w:color="auto"/>
              <w:right w:val="nil"/>
            </w:tcBorders>
            <w:noWrap/>
            <w:vAlign w:val="center"/>
            <w:hideMark/>
          </w:tcPr>
          <w:p w14:paraId="42172BDB" w14:textId="77777777" w:rsidR="00204442" w:rsidRPr="00471CBA" w:rsidRDefault="00204442" w:rsidP="003B2BBE">
            <w:pPr>
              <w:jc w:val="right"/>
              <w:rPr>
                <w:b/>
                <w:bCs/>
                <w:color w:val="000000"/>
                <w:szCs w:val="20"/>
                <w:lang w:eastAsia="tr-TR"/>
              </w:rPr>
            </w:pPr>
            <w:r w:rsidRPr="00471CBA">
              <w:rPr>
                <w:b/>
                <w:bCs/>
                <w:color w:val="000000"/>
                <w:szCs w:val="20"/>
                <w:lang w:eastAsia="tr-TR"/>
              </w:rPr>
              <w:t>31 Aralık 2024</w:t>
            </w:r>
          </w:p>
        </w:tc>
      </w:tr>
      <w:tr w:rsidR="00204442" w:rsidRPr="00471CBA" w14:paraId="78F253DA" w14:textId="77777777" w:rsidTr="006F5853">
        <w:trPr>
          <w:trHeight w:val="227"/>
        </w:trPr>
        <w:tc>
          <w:tcPr>
            <w:tcW w:w="3569" w:type="pct"/>
            <w:tcBorders>
              <w:top w:val="nil"/>
              <w:left w:val="nil"/>
              <w:bottom w:val="nil"/>
              <w:right w:val="nil"/>
            </w:tcBorders>
            <w:hideMark/>
          </w:tcPr>
          <w:p w14:paraId="587A8067" w14:textId="77777777" w:rsidR="00204442" w:rsidRPr="00471CBA" w:rsidRDefault="00204442" w:rsidP="003B2BBE">
            <w:pPr>
              <w:jc w:val="center"/>
              <w:rPr>
                <w:b/>
                <w:bCs/>
                <w:color w:val="000000"/>
                <w:szCs w:val="20"/>
                <w:lang w:eastAsia="tr-TR"/>
              </w:rPr>
            </w:pPr>
          </w:p>
        </w:tc>
        <w:tc>
          <w:tcPr>
            <w:tcW w:w="1431" w:type="pct"/>
            <w:tcBorders>
              <w:top w:val="nil"/>
              <w:left w:val="nil"/>
              <w:bottom w:val="nil"/>
              <w:right w:val="nil"/>
            </w:tcBorders>
            <w:hideMark/>
          </w:tcPr>
          <w:p w14:paraId="128AFC00" w14:textId="77777777" w:rsidR="00204442" w:rsidRPr="00471CBA" w:rsidRDefault="00204442" w:rsidP="003B2BBE">
            <w:pPr>
              <w:jc w:val="right"/>
              <w:rPr>
                <w:szCs w:val="20"/>
                <w:lang w:eastAsia="tr-TR"/>
              </w:rPr>
            </w:pPr>
          </w:p>
        </w:tc>
      </w:tr>
      <w:tr w:rsidR="00204442" w:rsidRPr="00471CBA" w14:paraId="5955DF72" w14:textId="77777777" w:rsidTr="006F5853">
        <w:trPr>
          <w:trHeight w:val="227"/>
        </w:trPr>
        <w:tc>
          <w:tcPr>
            <w:tcW w:w="3569" w:type="pct"/>
            <w:tcBorders>
              <w:top w:val="nil"/>
              <w:left w:val="nil"/>
              <w:bottom w:val="nil"/>
              <w:right w:val="nil"/>
            </w:tcBorders>
            <w:vAlign w:val="bottom"/>
            <w:hideMark/>
          </w:tcPr>
          <w:p w14:paraId="0387D9D2" w14:textId="77777777" w:rsidR="00204442" w:rsidRPr="00471CBA" w:rsidRDefault="00204442" w:rsidP="003B2BBE">
            <w:pPr>
              <w:rPr>
                <w:color w:val="000000"/>
                <w:szCs w:val="20"/>
                <w:lang w:eastAsia="tr-TR"/>
              </w:rPr>
            </w:pPr>
            <w:r w:rsidRPr="00471CBA">
              <w:rPr>
                <w:iCs/>
                <w:color w:val="000000"/>
                <w:szCs w:val="20"/>
                <w:lang w:eastAsia="tr-TR"/>
              </w:rPr>
              <w:t>Finansal kiralama alacakları (brüt)</w:t>
            </w:r>
          </w:p>
        </w:tc>
        <w:tc>
          <w:tcPr>
            <w:tcW w:w="1431" w:type="pct"/>
            <w:tcBorders>
              <w:top w:val="nil"/>
              <w:left w:val="nil"/>
              <w:bottom w:val="nil"/>
              <w:right w:val="nil"/>
            </w:tcBorders>
            <w:vAlign w:val="center"/>
            <w:hideMark/>
          </w:tcPr>
          <w:p w14:paraId="7F28BFE0" w14:textId="77777777" w:rsidR="00204442" w:rsidRPr="00471CBA" w:rsidRDefault="00204442" w:rsidP="003B2BBE">
            <w:pPr>
              <w:jc w:val="right"/>
              <w:rPr>
                <w:color w:val="000000"/>
                <w:szCs w:val="20"/>
                <w:lang w:eastAsia="tr-TR"/>
              </w:rPr>
            </w:pPr>
            <w:r w:rsidRPr="00471CBA">
              <w:rPr>
                <w:color w:val="000000"/>
                <w:szCs w:val="20"/>
                <w:lang w:eastAsia="tr-TR"/>
              </w:rPr>
              <w:t>5.840</w:t>
            </w:r>
          </w:p>
        </w:tc>
      </w:tr>
      <w:tr w:rsidR="00204442" w:rsidRPr="00471CBA" w14:paraId="178799AD" w14:textId="77777777" w:rsidTr="006F5853">
        <w:trPr>
          <w:trHeight w:val="227"/>
        </w:trPr>
        <w:tc>
          <w:tcPr>
            <w:tcW w:w="3569" w:type="pct"/>
            <w:tcBorders>
              <w:top w:val="nil"/>
              <w:left w:val="nil"/>
              <w:bottom w:val="single" w:sz="4" w:space="0" w:color="auto"/>
              <w:right w:val="nil"/>
            </w:tcBorders>
            <w:vAlign w:val="bottom"/>
            <w:hideMark/>
          </w:tcPr>
          <w:p w14:paraId="4E6A07FB" w14:textId="77777777" w:rsidR="00204442" w:rsidRPr="00471CBA" w:rsidRDefault="00204442" w:rsidP="003B2BBE">
            <w:pPr>
              <w:rPr>
                <w:color w:val="000000"/>
                <w:szCs w:val="20"/>
                <w:lang w:eastAsia="tr-TR"/>
              </w:rPr>
            </w:pPr>
            <w:r w:rsidRPr="00471CBA">
              <w:rPr>
                <w:color w:val="000000"/>
                <w:szCs w:val="20"/>
                <w:lang w:eastAsia="tr-TR"/>
              </w:rPr>
              <w:t>Kazanılmamış finansal kiralama gelirleri (-)</w:t>
            </w:r>
          </w:p>
        </w:tc>
        <w:tc>
          <w:tcPr>
            <w:tcW w:w="1431" w:type="pct"/>
            <w:tcBorders>
              <w:top w:val="nil"/>
              <w:left w:val="nil"/>
              <w:bottom w:val="single" w:sz="4" w:space="0" w:color="auto"/>
              <w:right w:val="nil"/>
            </w:tcBorders>
            <w:vAlign w:val="center"/>
            <w:hideMark/>
          </w:tcPr>
          <w:p w14:paraId="0E20B334" w14:textId="77777777" w:rsidR="00204442" w:rsidRPr="00471CBA" w:rsidRDefault="00204442" w:rsidP="003B2BBE">
            <w:pPr>
              <w:jc w:val="right"/>
              <w:rPr>
                <w:color w:val="000000"/>
                <w:szCs w:val="20"/>
                <w:lang w:eastAsia="tr-TR"/>
              </w:rPr>
            </w:pPr>
            <w:r w:rsidRPr="00471CBA">
              <w:rPr>
                <w:color w:val="000000"/>
                <w:szCs w:val="20"/>
                <w:lang w:eastAsia="tr-TR"/>
              </w:rPr>
              <w:t>1.477</w:t>
            </w:r>
          </w:p>
        </w:tc>
      </w:tr>
      <w:tr w:rsidR="00204442" w:rsidRPr="00471CBA" w14:paraId="0BA4FF84" w14:textId="77777777" w:rsidTr="006F5853">
        <w:trPr>
          <w:trHeight w:val="227"/>
        </w:trPr>
        <w:tc>
          <w:tcPr>
            <w:tcW w:w="3569" w:type="pct"/>
            <w:tcBorders>
              <w:top w:val="nil"/>
              <w:left w:val="nil"/>
              <w:bottom w:val="nil"/>
              <w:right w:val="nil"/>
            </w:tcBorders>
            <w:vAlign w:val="bottom"/>
            <w:hideMark/>
          </w:tcPr>
          <w:p w14:paraId="481F35C6" w14:textId="77777777" w:rsidR="00204442" w:rsidRPr="00471CBA" w:rsidRDefault="00204442" w:rsidP="003B2BBE">
            <w:pPr>
              <w:rPr>
                <w:color w:val="000000"/>
                <w:szCs w:val="20"/>
                <w:lang w:eastAsia="tr-TR"/>
              </w:rPr>
            </w:pPr>
          </w:p>
        </w:tc>
        <w:tc>
          <w:tcPr>
            <w:tcW w:w="1431" w:type="pct"/>
            <w:tcBorders>
              <w:top w:val="nil"/>
              <w:left w:val="nil"/>
              <w:bottom w:val="nil"/>
              <w:right w:val="nil"/>
            </w:tcBorders>
            <w:vAlign w:val="center"/>
            <w:hideMark/>
          </w:tcPr>
          <w:p w14:paraId="7E472D62" w14:textId="77777777" w:rsidR="00204442" w:rsidRPr="00471CBA" w:rsidRDefault="00204442" w:rsidP="003B2BBE">
            <w:pPr>
              <w:jc w:val="right"/>
              <w:rPr>
                <w:szCs w:val="20"/>
                <w:lang w:eastAsia="tr-TR"/>
              </w:rPr>
            </w:pPr>
          </w:p>
        </w:tc>
      </w:tr>
      <w:tr w:rsidR="00204442" w:rsidRPr="00471CBA" w14:paraId="26BF5F67" w14:textId="77777777" w:rsidTr="006F5853">
        <w:trPr>
          <w:trHeight w:val="227"/>
        </w:trPr>
        <w:tc>
          <w:tcPr>
            <w:tcW w:w="3569" w:type="pct"/>
            <w:tcBorders>
              <w:top w:val="nil"/>
              <w:left w:val="nil"/>
              <w:bottom w:val="single" w:sz="8" w:space="0" w:color="auto"/>
              <w:right w:val="nil"/>
            </w:tcBorders>
            <w:vAlign w:val="bottom"/>
            <w:hideMark/>
          </w:tcPr>
          <w:p w14:paraId="53EB289E" w14:textId="77777777" w:rsidR="00204442" w:rsidRPr="00471CBA" w:rsidRDefault="00204442" w:rsidP="003B2BBE">
            <w:pPr>
              <w:rPr>
                <w:b/>
                <w:bCs/>
                <w:color w:val="000000"/>
                <w:szCs w:val="20"/>
                <w:lang w:eastAsia="tr-TR"/>
              </w:rPr>
            </w:pPr>
            <w:r w:rsidRPr="00471CBA">
              <w:rPr>
                <w:b/>
                <w:bCs/>
                <w:color w:val="000000"/>
                <w:szCs w:val="20"/>
                <w:lang w:eastAsia="tr-TR"/>
              </w:rPr>
              <w:t>Finansal Kiralama Alacakları (net)</w:t>
            </w:r>
          </w:p>
        </w:tc>
        <w:tc>
          <w:tcPr>
            <w:tcW w:w="1431" w:type="pct"/>
            <w:tcBorders>
              <w:top w:val="nil"/>
              <w:left w:val="nil"/>
              <w:bottom w:val="single" w:sz="8" w:space="0" w:color="auto"/>
              <w:right w:val="nil"/>
            </w:tcBorders>
            <w:vAlign w:val="center"/>
            <w:hideMark/>
          </w:tcPr>
          <w:p w14:paraId="3E60E85F" w14:textId="77777777" w:rsidR="00204442" w:rsidRPr="00471CBA" w:rsidRDefault="00204442" w:rsidP="003B2BBE">
            <w:pPr>
              <w:jc w:val="right"/>
              <w:rPr>
                <w:b/>
                <w:bCs/>
                <w:color w:val="000000"/>
                <w:szCs w:val="20"/>
                <w:lang w:eastAsia="tr-TR"/>
              </w:rPr>
            </w:pPr>
            <w:r w:rsidRPr="00471CBA">
              <w:rPr>
                <w:b/>
                <w:bCs/>
                <w:color w:val="000000"/>
                <w:szCs w:val="20"/>
                <w:lang w:eastAsia="tr-TR"/>
              </w:rPr>
              <w:t>4.363</w:t>
            </w:r>
          </w:p>
        </w:tc>
      </w:tr>
    </w:tbl>
    <w:p w14:paraId="72DAF75E" w14:textId="77777777" w:rsidR="00204442" w:rsidRPr="00471CBA" w:rsidRDefault="00204442" w:rsidP="0029727D"/>
    <w:p w14:paraId="6240542E" w14:textId="77777777" w:rsidR="00894C14" w:rsidRPr="00471CBA" w:rsidRDefault="00894C14">
      <w:pPr>
        <w:rPr>
          <w:b/>
          <w:szCs w:val="20"/>
        </w:rPr>
      </w:pPr>
      <w:r w:rsidRPr="00471CBA">
        <w:rPr>
          <w:b/>
          <w:szCs w:val="20"/>
        </w:rPr>
        <w:br w:type="page"/>
      </w:r>
    </w:p>
    <w:p w14:paraId="49101F3B" w14:textId="77777777" w:rsidR="00894C14" w:rsidRPr="00471CBA" w:rsidRDefault="00894C14" w:rsidP="00894C14">
      <w:pPr>
        <w:rPr>
          <w:b/>
          <w:szCs w:val="20"/>
        </w:rPr>
      </w:pPr>
      <w:r w:rsidRPr="00471CBA">
        <w:rPr>
          <w:b/>
          <w:szCs w:val="20"/>
        </w:rPr>
        <w:t>KONSOLİDE OLMAYAN FİNANSAL TABLOLARA İLİŞKİN AÇIKLAMA VE DİPNOTLAR (Devamı)</w:t>
      </w:r>
    </w:p>
    <w:p w14:paraId="0A8B0835" w14:textId="77777777" w:rsidR="00894C14" w:rsidRPr="00471CBA" w:rsidRDefault="00894C14" w:rsidP="00894C14">
      <w:pPr>
        <w:pStyle w:val="ListeParagraf"/>
        <w:widowControl w:val="0"/>
        <w:ind w:left="14" w:right="452"/>
        <w:jc w:val="both"/>
        <w:rPr>
          <w:b/>
          <w:szCs w:val="20"/>
        </w:rPr>
      </w:pPr>
    </w:p>
    <w:p w14:paraId="41E1EF51" w14:textId="77777777" w:rsidR="000B0EE6" w:rsidRPr="00471CBA" w:rsidRDefault="000B0EE6" w:rsidP="008459A9">
      <w:pPr>
        <w:pStyle w:val="ListeParagraf"/>
        <w:widowControl w:val="0"/>
        <w:numPr>
          <w:ilvl w:val="0"/>
          <w:numId w:val="54"/>
        </w:numPr>
        <w:ind w:left="567" w:hanging="567"/>
        <w:jc w:val="both"/>
        <w:rPr>
          <w:b/>
          <w:szCs w:val="20"/>
        </w:rPr>
      </w:pPr>
      <w:r w:rsidRPr="00471CBA">
        <w:rPr>
          <w:b/>
          <w:szCs w:val="20"/>
        </w:rPr>
        <w:t>BİLANÇONUN AKTİF HESAPLARINA İLİŞKİN AÇIKLAMA VE DİPNOTLAR (Devamı)</w:t>
      </w:r>
    </w:p>
    <w:p w14:paraId="5A85B239" w14:textId="75073B3B" w:rsidR="00BC729A" w:rsidRPr="00471CBA" w:rsidRDefault="00BC729A" w:rsidP="008459A9">
      <w:pPr>
        <w:pStyle w:val="GvdeMetniGirintisi"/>
        <w:numPr>
          <w:ilvl w:val="0"/>
          <w:numId w:val="79"/>
        </w:numPr>
        <w:spacing w:before="120" w:after="120"/>
        <w:ind w:left="567"/>
        <w:rPr>
          <w:b/>
          <w:bCs/>
          <w:szCs w:val="20"/>
        </w:rPr>
      </w:pPr>
      <w:r w:rsidRPr="00471CBA">
        <w:rPr>
          <w:b/>
          <w:bCs/>
          <w:szCs w:val="20"/>
        </w:rPr>
        <w:t>Yapılan finansal kiralama sözleşmeleri ile ilgili genel açıklamalar:</w:t>
      </w:r>
    </w:p>
    <w:p w14:paraId="56132B51" w14:textId="77777777" w:rsidR="00BC729A" w:rsidRPr="00471CBA" w:rsidRDefault="00BC729A" w:rsidP="005719E4">
      <w:pPr>
        <w:spacing w:before="120" w:after="120"/>
        <w:ind w:left="851"/>
        <w:jc w:val="both"/>
        <w:rPr>
          <w:szCs w:val="20"/>
        </w:rPr>
      </w:pPr>
      <w:r w:rsidRPr="00471CBA">
        <w:rPr>
          <w:szCs w:val="20"/>
        </w:rPr>
        <w:t xml:space="preserve">Finansal kiralama sözleşmeleri 6361 sayılı Finansal Kiralama, </w:t>
      </w:r>
      <w:proofErr w:type="spellStart"/>
      <w:r w:rsidRPr="00471CBA">
        <w:rPr>
          <w:szCs w:val="20"/>
        </w:rPr>
        <w:t>Faktoring</w:t>
      </w:r>
      <w:proofErr w:type="spellEnd"/>
      <w:r w:rsidRPr="00471CBA">
        <w:rPr>
          <w:szCs w:val="20"/>
        </w:rPr>
        <w:t xml:space="preserve"> ve Finansman Şirketleri Kanunu’nun ilgili maddeleri uyarınca yapılmaktadır. Finansal tabloları önemli ölçüde etkileyen yenileme ve kira sözleşmelerinden kaynaklanan kısıtlamalar ile koşullu kira taksitleri bulunmamaktadır. </w:t>
      </w:r>
    </w:p>
    <w:p w14:paraId="68FE7142" w14:textId="4D16860F" w:rsidR="00347402" w:rsidRPr="00471CBA" w:rsidRDefault="00BC729A" w:rsidP="005719E4">
      <w:pPr>
        <w:spacing w:before="120"/>
        <w:ind w:left="851"/>
        <w:jc w:val="both"/>
        <w:rPr>
          <w:szCs w:val="20"/>
        </w:rPr>
      </w:pPr>
      <w:r w:rsidRPr="00471CBA">
        <w:rPr>
          <w:szCs w:val="20"/>
        </w:rPr>
        <w:t>Finansal kiralama alacaklarına ilişkin bilgiler:</w:t>
      </w:r>
    </w:p>
    <w:bookmarkEnd w:id="105"/>
    <w:p w14:paraId="113F7479" w14:textId="02D06F3E" w:rsidR="00A74C68" w:rsidRPr="00471CBA" w:rsidRDefault="00A74C68" w:rsidP="0029727D"/>
    <w:tbl>
      <w:tblPr>
        <w:tblW w:w="5037" w:type="pct"/>
        <w:tblCellMar>
          <w:left w:w="70" w:type="dxa"/>
          <w:right w:w="70" w:type="dxa"/>
        </w:tblCellMar>
        <w:tblLook w:val="04A0" w:firstRow="1" w:lastRow="0" w:firstColumn="1" w:lastColumn="0" w:noHBand="0" w:noVBand="1"/>
      </w:tblPr>
      <w:tblGrid>
        <w:gridCol w:w="3300"/>
        <w:gridCol w:w="1436"/>
        <w:gridCol w:w="1578"/>
        <w:gridCol w:w="1719"/>
        <w:gridCol w:w="1391"/>
      </w:tblGrid>
      <w:tr w:rsidR="00A74C68" w:rsidRPr="00471CBA" w14:paraId="4757B543" w14:textId="77777777" w:rsidTr="00A74C68">
        <w:trPr>
          <w:divId w:val="1699812135"/>
          <w:trHeight w:val="227"/>
        </w:trPr>
        <w:tc>
          <w:tcPr>
            <w:tcW w:w="2513" w:type="pct"/>
            <w:gridSpan w:val="2"/>
            <w:tcBorders>
              <w:top w:val="nil"/>
              <w:left w:val="nil"/>
              <w:bottom w:val="nil"/>
              <w:right w:val="nil"/>
            </w:tcBorders>
            <w:shd w:val="clear" w:color="000000" w:fill="FFFFFF"/>
            <w:vAlign w:val="center"/>
            <w:hideMark/>
          </w:tcPr>
          <w:p w14:paraId="4BD4DEB7" w14:textId="480F626B" w:rsidR="00A74C68" w:rsidRPr="00471CBA" w:rsidRDefault="00A74C68" w:rsidP="00A74C68">
            <w:pPr>
              <w:jc w:val="right"/>
              <w:rPr>
                <w:b/>
                <w:bCs/>
                <w:color w:val="000000"/>
                <w:szCs w:val="20"/>
                <w:lang w:eastAsia="tr-TR"/>
              </w:rPr>
            </w:pPr>
            <w:r w:rsidRPr="00471CBA">
              <w:rPr>
                <w:b/>
                <w:bCs/>
                <w:color w:val="000000"/>
                <w:szCs w:val="20"/>
                <w:lang w:eastAsia="tr-TR"/>
              </w:rPr>
              <w:t> </w:t>
            </w:r>
          </w:p>
        </w:tc>
        <w:tc>
          <w:tcPr>
            <w:tcW w:w="2487" w:type="pct"/>
            <w:gridSpan w:val="3"/>
            <w:tcBorders>
              <w:top w:val="nil"/>
              <w:left w:val="nil"/>
              <w:bottom w:val="single" w:sz="4" w:space="0" w:color="auto"/>
              <w:right w:val="nil"/>
            </w:tcBorders>
            <w:shd w:val="clear" w:color="000000" w:fill="FFFFFF"/>
            <w:vAlign w:val="center"/>
            <w:hideMark/>
          </w:tcPr>
          <w:p w14:paraId="4070ED98" w14:textId="77777777" w:rsidR="00A74C68" w:rsidRPr="00471CBA" w:rsidRDefault="00A74C68" w:rsidP="00A74C68">
            <w:pPr>
              <w:jc w:val="center"/>
              <w:rPr>
                <w:b/>
                <w:bCs/>
                <w:color w:val="000000"/>
                <w:szCs w:val="20"/>
                <w:lang w:eastAsia="tr-TR"/>
              </w:rPr>
            </w:pPr>
            <w:r w:rsidRPr="00471CBA">
              <w:rPr>
                <w:b/>
                <w:bCs/>
                <w:color w:val="000000"/>
                <w:szCs w:val="20"/>
                <w:lang w:eastAsia="tr-TR"/>
              </w:rPr>
              <w:t>Yakın İzlemedeki Krediler</w:t>
            </w:r>
          </w:p>
        </w:tc>
      </w:tr>
      <w:tr w:rsidR="00A74C68" w:rsidRPr="00471CBA" w14:paraId="01D77EF5" w14:textId="77777777" w:rsidTr="00A74C68">
        <w:trPr>
          <w:divId w:val="1699812135"/>
          <w:trHeight w:val="227"/>
        </w:trPr>
        <w:tc>
          <w:tcPr>
            <w:tcW w:w="1751" w:type="pct"/>
            <w:tcBorders>
              <w:top w:val="nil"/>
              <w:left w:val="nil"/>
              <w:bottom w:val="nil"/>
              <w:right w:val="nil"/>
            </w:tcBorders>
            <w:vAlign w:val="center"/>
            <w:hideMark/>
          </w:tcPr>
          <w:p w14:paraId="0AD1AB67" w14:textId="77777777" w:rsidR="00A74C68" w:rsidRPr="00471CBA" w:rsidRDefault="00A74C68" w:rsidP="00A74C68">
            <w:pPr>
              <w:jc w:val="center"/>
              <w:rPr>
                <w:b/>
                <w:bCs/>
                <w:color w:val="000000"/>
                <w:szCs w:val="20"/>
                <w:lang w:eastAsia="tr-TR"/>
              </w:rPr>
            </w:pPr>
          </w:p>
        </w:tc>
        <w:tc>
          <w:tcPr>
            <w:tcW w:w="761" w:type="pct"/>
            <w:vMerge w:val="restart"/>
            <w:tcBorders>
              <w:top w:val="nil"/>
              <w:left w:val="nil"/>
              <w:bottom w:val="single" w:sz="4" w:space="0" w:color="000000"/>
              <w:right w:val="nil"/>
            </w:tcBorders>
            <w:shd w:val="clear" w:color="000000" w:fill="FFFFFF"/>
            <w:vAlign w:val="center"/>
            <w:hideMark/>
          </w:tcPr>
          <w:p w14:paraId="28A93CA7" w14:textId="77777777" w:rsidR="00A74C68" w:rsidRPr="00471CBA" w:rsidRDefault="00A74C68" w:rsidP="00A74C68">
            <w:pPr>
              <w:jc w:val="center"/>
              <w:rPr>
                <w:b/>
                <w:bCs/>
                <w:color w:val="000000"/>
                <w:szCs w:val="20"/>
                <w:lang w:eastAsia="tr-TR"/>
              </w:rPr>
            </w:pPr>
            <w:r w:rsidRPr="00471CBA">
              <w:rPr>
                <w:b/>
                <w:bCs/>
                <w:color w:val="000000"/>
                <w:szCs w:val="20"/>
                <w:lang w:eastAsia="tr-TR"/>
              </w:rPr>
              <w:t>Standart Nitelikli Krediler</w:t>
            </w:r>
          </w:p>
        </w:tc>
        <w:tc>
          <w:tcPr>
            <w:tcW w:w="837" w:type="pct"/>
            <w:vMerge w:val="restart"/>
            <w:tcBorders>
              <w:top w:val="nil"/>
              <w:left w:val="nil"/>
              <w:bottom w:val="single" w:sz="4" w:space="0" w:color="000000"/>
              <w:right w:val="nil"/>
            </w:tcBorders>
            <w:shd w:val="clear" w:color="000000" w:fill="FFFFFF"/>
            <w:vAlign w:val="center"/>
            <w:hideMark/>
          </w:tcPr>
          <w:p w14:paraId="7F8888EA" w14:textId="77777777" w:rsidR="00A74C68" w:rsidRPr="00471CBA" w:rsidRDefault="00A74C68" w:rsidP="00A74C68">
            <w:pPr>
              <w:jc w:val="center"/>
              <w:rPr>
                <w:b/>
                <w:bCs/>
                <w:color w:val="000000"/>
                <w:szCs w:val="20"/>
                <w:lang w:eastAsia="tr-TR"/>
              </w:rPr>
            </w:pPr>
            <w:r w:rsidRPr="00471CBA">
              <w:rPr>
                <w:b/>
                <w:bCs/>
                <w:color w:val="000000"/>
                <w:szCs w:val="20"/>
                <w:lang w:eastAsia="tr-TR"/>
              </w:rPr>
              <w:t>Yeniden Yapılandırma Kapsamında Yer Almayanlar</w:t>
            </w:r>
          </w:p>
        </w:tc>
        <w:tc>
          <w:tcPr>
            <w:tcW w:w="1651" w:type="pct"/>
            <w:gridSpan w:val="2"/>
            <w:tcBorders>
              <w:top w:val="single" w:sz="4" w:space="0" w:color="auto"/>
              <w:left w:val="nil"/>
              <w:bottom w:val="single" w:sz="4" w:space="0" w:color="auto"/>
              <w:right w:val="nil"/>
            </w:tcBorders>
            <w:shd w:val="clear" w:color="000000" w:fill="FFFFFF"/>
            <w:vAlign w:val="center"/>
            <w:hideMark/>
          </w:tcPr>
          <w:p w14:paraId="33F96654" w14:textId="77777777" w:rsidR="00A74C68" w:rsidRPr="00471CBA" w:rsidRDefault="00A74C68" w:rsidP="00A74C68">
            <w:pPr>
              <w:jc w:val="center"/>
              <w:rPr>
                <w:b/>
                <w:bCs/>
                <w:color w:val="000000"/>
                <w:szCs w:val="20"/>
                <w:lang w:eastAsia="tr-TR"/>
              </w:rPr>
            </w:pPr>
            <w:r w:rsidRPr="00471CBA">
              <w:rPr>
                <w:b/>
                <w:bCs/>
                <w:color w:val="000000"/>
                <w:szCs w:val="20"/>
                <w:lang w:eastAsia="tr-TR"/>
              </w:rPr>
              <w:t>Yeniden Yapılandırılanlar</w:t>
            </w:r>
          </w:p>
        </w:tc>
      </w:tr>
      <w:tr w:rsidR="00A74C68" w:rsidRPr="00471CBA" w14:paraId="66F97E9D" w14:textId="77777777" w:rsidTr="00A74C68">
        <w:trPr>
          <w:divId w:val="1699812135"/>
          <w:trHeight w:val="227"/>
        </w:trPr>
        <w:tc>
          <w:tcPr>
            <w:tcW w:w="1751" w:type="pct"/>
            <w:tcBorders>
              <w:top w:val="nil"/>
              <w:left w:val="nil"/>
              <w:bottom w:val="single" w:sz="4" w:space="0" w:color="auto"/>
              <w:right w:val="nil"/>
            </w:tcBorders>
            <w:shd w:val="clear" w:color="000000" w:fill="FFFFFF"/>
            <w:vAlign w:val="center"/>
            <w:hideMark/>
          </w:tcPr>
          <w:p w14:paraId="432E39B2" w14:textId="77777777" w:rsidR="00A74C68" w:rsidRPr="00471CBA" w:rsidRDefault="00A74C68" w:rsidP="00A74C68">
            <w:pPr>
              <w:rPr>
                <w:b/>
                <w:bCs/>
                <w:color w:val="000000"/>
                <w:szCs w:val="20"/>
                <w:lang w:eastAsia="tr-TR"/>
              </w:rPr>
            </w:pPr>
            <w:r w:rsidRPr="00471CBA">
              <w:rPr>
                <w:b/>
                <w:bCs/>
                <w:color w:val="000000"/>
                <w:szCs w:val="20"/>
                <w:lang w:eastAsia="tr-TR"/>
              </w:rPr>
              <w:t> </w:t>
            </w:r>
          </w:p>
        </w:tc>
        <w:tc>
          <w:tcPr>
            <w:tcW w:w="761" w:type="pct"/>
            <w:vMerge/>
            <w:tcBorders>
              <w:top w:val="nil"/>
              <w:left w:val="nil"/>
              <w:bottom w:val="single" w:sz="4" w:space="0" w:color="000000"/>
              <w:right w:val="nil"/>
            </w:tcBorders>
            <w:vAlign w:val="center"/>
            <w:hideMark/>
          </w:tcPr>
          <w:p w14:paraId="5F684073" w14:textId="77777777" w:rsidR="00A74C68" w:rsidRPr="00471CBA" w:rsidRDefault="00A74C68" w:rsidP="00A74C68">
            <w:pPr>
              <w:rPr>
                <w:b/>
                <w:bCs/>
                <w:color w:val="000000"/>
                <w:szCs w:val="20"/>
                <w:lang w:eastAsia="tr-TR"/>
              </w:rPr>
            </w:pPr>
          </w:p>
        </w:tc>
        <w:tc>
          <w:tcPr>
            <w:tcW w:w="837" w:type="pct"/>
            <w:vMerge/>
            <w:tcBorders>
              <w:top w:val="nil"/>
              <w:left w:val="nil"/>
              <w:bottom w:val="single" w:sz="4" w:space="0" w:color="000000"/>
              <w:right w:val="nil"/>
            </w:tcBorders>
            <w:vAlign w:val="center"/>
            <w:hideMark/>
          </w:tcPr>
          <w:p w14:paraId="3D7D6401" w14:textId="77777777" w:rsidR="00A74C68" w:rsidRPr="00471CBA" w:rsidRDefault="00A74C68" w:rsidP="00A74C68">
            <w:pPr>
              <w:rPr>
                <w:b/>
                <w:bCs/>
                <w:color w:val="000000"/>
                <w:szCs w:val="20"/>
                <w:lang w:eastAsia="tr-TR"/>
              </w:rPr>
            </w:pPr>
          </w:p>
        </w:tc>
        <w:tc>
          <w:tcPr>
            <w:tcW w:w="912" w:type="pct"/>
            <w:tcBorders>
              <w:top w:val="nil"/>
              <w:left w:val="nil"/>
              <w:bottom w:val="single" w:sz="4" w:space="0" w:color="auto"/>
              <w:right w:val="nil"/>
            </w:tcBorders>
            <w:shd w:val="clear" w:color="000000" w:fill="FFFFFF"/>
            <w:vAlign w:val="center"/>
            <w:hideMark/>
          </w:tcPr>
          <w:p w14:paraId="0E72473E" w14:textId="77777777" w:rsidR="00A74C68" w:rsidRPr="00471CBA" w:rsidRDefault="00A74C68" w:rsidP="00A74C68">
            <w:pPr>
              <w:jc w:val="center"/>
              <w:rPr>
                <w:b/>
                <w:bCs/>
                <w:color w:val="000000"/>
                <w:szCs w:val="20"/>
                <w:lang w:eastAsia="tr-TR"/>
              </w:rPr>
            </w:pPr>
            <w:r w:rsidRPr="00471CBA">
              <w:rPr>
                <w:b/>
                <w:bCs/>
                <w:color w:val="000000"/>
                <w:szCs w:val="20"/>
                <w:lang w:eastAsia="tr-TR"/>
              </w:rPr>
              <w:t>Sözleşme Koşullarında Değişiklikler</w:t>
            </w:r>
          </w:p>
        </w:tc>
        <w:tc>
          <w:tcPr>
            <w:tcW w:w="739" w:type="pct"/>
            <w:tcBorders>
              <w:top w:val="nil"/>
              <w:left w:val="nil"/>
              <w:bottom w:val="single" w:sz="4" w:space="0" w:color="auto"/>
              <w:right w:val="nil"/>
            </w:tcBorders>
            <w:shd w:val="clear" w:color="000000" w:fill="FFFFFF"/>
            <w:vAlign w:val="center"/>
            <w:hideMark/>
          </w:tcPr>
          <w:p w14:paraId="5123D6EF" w14:textId="77777777" w:rsidR="00A74C68" w:rsidRPr="00471CBA" w:rsidRDefault="00A74C68" w:rsidP="00A74C68">
            <w:pPr>
              <w:jc w:val="center"/>
              <w:rPr>
                <w:b/>
                <w:bCs/>
                <w:color w:val="000000"/>
                <w:szCs w:val="20"/>
                <w:lang w:eastAsia="tr-TR"/>
              </w:rPr>
            </w:pPr>
            <w:r w:rsidRPr="00471CBA">
              <w:rPr>
                <w:b/>
                <w:bCs/>
                <w:color w:val="000000"/>
                <w:szCs w:val="20"/>
                <w:lang w:eastAsia="tr-TR"/>
              </w:rPr>
              <w:t>Yeniden Finansman</w:t>
            </w:r>
          </w:p>
        </w:tc>
      </w:tr>
      <w:tr w:rsidR="00A74C68" w:rsidRPr="00471CBA" w14:paraId="0490B7FF" w14:textId="77777777" w:rsidTr="00A74C68">
        <w:trPr>
          <w:divId w:val="1699812135"/>
          <w:trHeight w:val="227"/>
        </w:trPr>
        <w:tc>
          <w:tcPr>
            <w:tcW w:w="1751" w:type="pct"/>
            <w:tcBorders>
              <w:top w:val="nil"/>
              <w:left w:val="nil"/>
              <w:bottom w:val="nil"/>
              <w:right w:val="nil"/>
            </w:tcBorders>
            <w:noWrap/>
            <w:vAlign w:val="center"/>
            <w:hideMark/>
          </w:tcPr>
          <w:p w14:paraId="0C7B4D8A" w14:textId="77777777" w:rsidR="00A74C68" w:rsidRPr="00471CBA" w:rsidRDefault="00A74C68" w:rsidP="00A74C68">
            <w:pPr>
              <w:rPr>
                <w:b/>
                <w:bCs/>
                <w:color w:val="000000"/>
                <w:szCs w:val="20"/>
                <w:lang w:eastAsia="tr-TR"/>
              </w:rPr>
            </w:pPr>
            <w:r w:rsidRPr="00471CBA">
              <w:rPr>
                <w:b/>
                <w:bCs/>
                <w:color w:val="000000"/>
                <w:szCs w:val="20"/>
                <w:lang w:eastAsia="tr-TR"/>
              </w:rPr>
              <w:t>31 Aralık 2025</w:t>
            </w:r>
          </w:p>
        </w:tc>
        <w:tc>
          <w:tcPr>
            <w:tcW w:w="761" w:type="pct"/>
            <w:tcBorders>
              <w:top w:val="nil"/>
              <w:left w:val="nil"/>
              <w:bottom w:val="nil"/>
              <w:right w:val="nil"/>
            </w:tcBorders>
            <w:vAlign w:val="center"/>
            <w:hideMark/>
          </w:tcPr>
          <w:p w14:paraId="715A6E50" w14:textId="77777777" w:rsidR="00A74C68" w:rsidRPr="00471CBA" w:rsidRDefault="00A74C68" w:rsidP="00A74C68">
            <w:pPr>
              <w:rPr>
                <w:b/>
                <w:bCs/>
                <w:color w:val="000000"/>
                <w:szCs w:val="20"/>
                <w:lang w:eastAsia="tr-TR"/>
              </w:rPr>
            </w:pPr>
          </w:p>
        </w:tc>
        <w:tc>
          <w:tcPr>
            <w:tcW w:w="837" w:type="pct"/>
            <w:tcBorders>
              <w:top w:val="nil"/>
              <w:left w:val="nil"/>
              <w:bottom w:val="nil"/>
              <w:right w:val="nil"/>
            </w:tcBorders>
            <w:vAlign w:val="center"/>
            <w:hideMark/>
          </w:tcPr>
          <w:p w14:paraId="3546E255" w14:textId="77777777" w:rsidR="00A74C68" w:rsidRPr="00471CBA" w:rsidRDefault="00A74C68" w:rsidP="00A74C68">
            <w:pPr>
              <w:jc w:val="center"/>
              <w:rPr>
                <w:szCs w:val="20"/>
                <w:lang w:eastAsia="tr-TR"/>
              </w:rPr>
            </w:pPr>
          </w:p>
        </w:tc>
        <w:tc>
          <w:tcPr>
            <w:tcW w:w="912" w:type="pct"/>
            <w:tcBorders>
              <w:top w:val="nil"/>
              <w:left w:val="nil"/>
              <w:bottom w:val="nil"/>
              <w:right w:val="nil"/>
            </w:tcBorders>
            <w:vAlign w:val="center"/>
            <w:hideMark/>
          </w:tcPr>
          <w:p w14:paraId="7B65A6AD" w14:textId="77777777" w:rsidR="00A74C68" w:rsidRPr="00471CBA" w:rsidRDefault="00A74C68" w:rsidP="00A74C68">
            <w:pPr>
              <w:jc w:val="center"/>
              <w:rPr>
                <w:szCs w:val="20"/>
                <w:lang w:eastAsia="tr-TR"/>
              </w:rPr>
            </w:pPr>
          </w:p>
        </w:tc>
        <w:tc>
          <w:tcPr>
            <w:tcW w:w="739" w:type="pct"/>
            <w:tcBorders>
              <w:top w:val="nil"/>
              <w:left w:val="nil"/>
              <w:bottom w:val="nil"/>
              <w:right w:val="nil"/>
            </w:tcBorders>
            <w:vAlign w:val="center"/>
            <w:hideMark/>
          </w:tcPr>
          <w:p w14:paraId="05B825D9" w14:textId="77777777" w:rsidR="00A74C68" w:rsidRPr="00471CBA" w:rsidRDefault="00A74C68" w:rsidP="00A74C68">
            <w:pPr>
              <w:rPr>
                <w:szCs w:val="20"/>
                <w:lang w:eastAsia="tr-TR"/>
              </w:rPr>
            </w:pPr>
          </w:p>
        </w:tc>
      </w:tr>
      <w:tr w:rsidR="00A74C68" w:rsidRPr="00471CBA" w14:paraId="50E45788" w14:textId="77777777" w:rsidTr="00A74C68">
        <w:trPr>
          <w:divId w:val="1699812135"/>
          <w:trHeight w:val="227"/>
        </w:trPr>
        <w:tc>
          <w:tcPr>
            <w:tcW w:w="1751" w:type="pct"/>
            <w:tcBorders>
              <w:top w:val="nil"/>
              <w:left w:val="nil"/>
              <w:bottom w:val="nil"/>
              <w:right w:val="nil"/>
            </w:tcBorders>
            <w:vAlign w:val="center"/>
            <w:hideMark/>
          </w:tcPr>
          <w:p w14:paraId="3EEF7406" w14:textId="77777777" w:rsidR="00A74C68" w:rsidRPr="00471CBA" w:rsidRDefault="00A74C68" w:rsidP="00A74C68">
            <w:pPr>
              <w:rPr>
                <w:color w:val="000000"/>
                <w:szCs w:val="20"/>
                <w:lang w:eastAsia="tr-TR"/>
              </w:rPr>
            </w:pPr>
            <w:r w:rsidRPr="00471CBA">
              <w:rPr>
                <w:color w:val="000000"/>
                <w:szCs w:val="20"/>
                <w:lang w:eastAsia="tr-TR"/>
              </w:rPr>
              <w:t>Finansal Kiralama Alacakları (Net)</w:t>
            </w:r>
          </w:p>
        </w:tc>
        <w:tc>
          <w:tcPr>
            <w:tcW w:w="761" w:type="pct"/>
            <w:tcBorders>
              <w:top w:val="nil"/>
              <w:left w:val="nil"/>
              <w:bottom w:val="nil"/>
              <w:right w:val="nil"/>
            </w:tcBorders>
            <w:vAlign w:val="center"/>
            <w:hideMark/>
          </w:tcPr>
          <w:p w14:paraId="0342E17A" w14:textId="77777777" w:rsidR="00A74C68" w:rsidRPr="00471CBA" w:rsidRDefault="00A74C68" w:rsidP="00A74C68">
            <w:pPr>
              <w:jc w:val="right"/>
              <w:rPr>
                <w:color w:val="000000"/>
                <w:szCs w:val="20"/>
                <w:lang w:eastAsia="tr-TR"/>
              </w:rPr>
            </w:pPr>
            <w:r w:rsidRPr="00471CBA">
              <w:rPr>
                <w:color w:val="000000"/>
                <w:szCs w:val="20"/>
                <w:lang w:eastAsia="tr-TR"/>
              </w:rPr>
              <w:t>2.538.126</w:t>
            </w:r>
          </w:p>
        </w:tc>
        <w:tc>
          <w:tcPr>
            <w:tcW w:w="837" w:type="pct"/>
            <w:tcBorders>
              <w:top w:val="nil"/>
              <w:left w:val="nil"/>
              <w:bottom w:val="nil"/>
              <w:right w:val="nil"/>
            </w:tcBorders>
            <w:vAlign w:val="center"/>
            <w:hideMark/>
          </w:tcPr>
          <w:p w14:paraId="37D0A9E3" w14:textId="77777777" w:rsidR="00A74C68" w:rsidRPr="00471CBA" w:rsidRDefault="00A74C68" w:rsidP="00A74C68">
            <w:pPr>
              <w:jc w:val="right"/>
              <w:rPr>
                <w:color w:val="000000"/>
                <w:szCs w:val="20"/>
                <w:lang w:eastAsia="tr-TR"/>
              </w:rPr>
            </w:pPr>
            <w:r w:rsidRPr="00471CBA">
              <w:rPr>
                <w:color w:val="000000"/>
                <w:szCs w:val="20"/>
                <w:lang w:eastAsia="tr-TR"/>
              </w:rPr>
              <w:t>46.095</w:t>
            </w:r>
          </w:p>
        </w:tc>
        <w:tc>
          <w:tcPr>
            <w:tcW w:w="912" w:type="pct"/>
            <w:tcBorders>
              <w:top w:val="nil"/>
              <w:left w:val="nil"/>
              <w:bottom w:val="nil"/>
              <w:right w:val="nil"/>
            </w:tcBorders>
            <w:vAlign w:val="center"/>
            <w:hideMark/>
          </w:tcPr>
          <w:p w14:paraId="5B123585" w14:textId="77777777" w:rsidR="00A74C68" w:rsidRPr="00471CBA" w:rsidRDefault="00A74C68" w:rsidP="00A74C68">
            <w:pPr>
              <w:jc w:val="right"/>
              <w:rPr>
                <w:color w:val="000000"/>
                <w:szCs w:val="20"/>
                <w:lang w:eastAsia="tr-TR"/>
              </w:rPr>
            </w:pPr>
            <w:r w:rsidRPr="00471CBA">
              <w:rPr>
                <w:color w:val="000000"/>
                <w:szCs w:val="20"/>
                <w:lang w:eastAsia="tr-TR"/>
              </w:rPr>
              <w:t>-</w:t>
            </w:r>
          </w:p>
        </w:tc>
        <w:tc>
          <w:tcPr>
            <w:tcW w:w="739" w:type="pct"/>
            <w:tcBorders>
              <w:top w:val="nil"/>
              <w:left w:val="nil"/>
              <w:bottom w:val="nil"/>
              <w:right w:val="nil"/>
            </w:tcBorders>
            <w:vAlign w:val="center"/>
            <w:hideMark/>
          </w:tcPr>
          <w:p w14:paraId="649C07CE" w14:textId="77777777" w:rsidR="00A74C68" w:rsidRPr="00471CBA" w:rsidRDefault="00A74C68" w:rsidP="00A74C68">
            <w:pPr>
              <w:jc w:val="right"/>
              <w:rPr>
                <w:color w:val="000000"/>
                <w:szCs w:val="20"/>
                <w:lang w:eastAsia="tr-TR"/>
              </w:rPr>
            </w:pPr>
            <w:r w:rsidRPr="00471CBA">
              <w:rPr>
                <w:color w:val="000000"/>
                <w:szCs w:val="20"/>
                <w:lang w:eastAsia="tr-TR"/>
              </w:rPr>
              <w:t>-</w:t>
            </w:r>
          </w:p>
        </w:tc>
      </w:tr>
      <w:tr w:rsidR="00A74C68" w:rsidRPr="00471CBA" w14:paraId="76761D11" w14:textId="77777777" w:rsidTr="00A74C68">
        <w:trPr>
          <w:divId w:val="1699812135"/>
          <w:trHeight w:val="227"/>
        </w:trPr>
        <w:tc>
          <w:tcPr>
            <w:tcW w:w="1751" w:type="pct"/>
            <w:tcBorders>
              <w:top w:val="nil"/>
              <w:left w:val="nil"/>
              <w:bottom w:val="nil"/>
              <w:right w:val="nil"/>
            </w:tcBorders>
            <w:noWrap/>
            <w:vAlign w:val="bottom"/>
            <w:hideMark/>
          </w:tcPr>
          <w:p w14:paraId="62FED33F" w14:textId="77777777" w:rsidR="00A74C68" w:rsidRPr="00471CBA" w:rsidRDefault="00A74C68" w:rsidP="00A74C68">
            <w:pPr>
              <w:jc w:val="right"/>
              <w:rPr>
                <w:color w:val="000000"/>
                <w:szCs w:val="20"/>
                <w:lang w:eastAsia="tr-TR"/>
              </w:rPr>
            </w:pPr>
          </w:p>
        </w:tc>
        <w:tc>
          <w:tcPr>
            <w:tcW w:w="761" w:type="pct"/>
            <w:tcBorders>
              <w:top w:val="nil"/>
              <w:left w:val="nil"/>
              <w:bottom w:val="nil"/>
              <w:right w:val="nil"/>
            </w:tcBorders>
            <w:vAlign w:val="center"/>
            <w:hideMark/>
          </w:tcPr>
          <w:p w14:paraId="64FB05BB" w14:textId="77777777" w:rsidR="00A74C68" w:rsidRPr="00471CBA" w:rsidRDefault="00A74C68" w:rsidP="00A74C68">
            <w:pPr>
              <w:rPr>
                <w:szCs w:val="20"/>
                <w:lang w:eastAsia="tr-TR"/>
              </w:rPr>
            </w:pPr>
          </w:p>
        </w:tc>
        <w:tc>
          <w:tcPr>
            <w:tcW w:w="837" w:type="pct"/>
            <w:tcBorders>
              <w:top w:val="nil"/>
              <w:left w:val="nil"/>
              <w:bottom w:val="nil"/>
              <w:right w:val="nil"/>
            </w:tcBorders>
            <w:vAlign w:val="center"/>
            <w:hideMark/>
          </w:tcPr>
          <w:p w14:paraId="0D17BBB7" w14:textId="77777777" w:rsidR="00A74C68" w:rsidRPr="00471CBA" w:rsidRDefault="00A74C68" w:rsidP="00A74C68">
            <w:pPr>
              <w:jc w:val="right"/>
              <w:rPr>
                <w:szCs w:val="20"/>
                <w:lang w:eastAsia="tr-TR"/>
              </w:rPr>
            </w:pPr>
          </w:p>
        </w:tc>
        <w:tc>
          <w:tcPr>
            <w:tcW w:w="912" w:type="pct"/>
            <w:tcBorders>
              <w:top w:val="nil"/>
              <w:left w:val="nil"/>
              <w:bottom w:val="nil"/>
              <w:right w:val="nil"/>
            </w:tcBorders>
            <w:vAlign w:val="center"/>
            <w:hideMark/>
          </w:tcPr>
          <w:p w14:paraId="62891AB8" w14:textId="77777777" w:rsidR="00A74C68" w:rsidRPr="00471CBA" w:rsidRDefault="00A74C68" w:rsidP="00A74C68">
            <w:pPr>
              <w:jc w:val="right"/>
              <w:rPr>
                <w:szCs w:val="20"/>
                <w:lang w:eastAsia="tr-TR"/>
              </w:rPr>
            </w:pPr>
          </w:p>
        </w:tc>
        <w:tc>
          <w:tcPr>
            <w:tcW w:w="739" w:type="pct"/>
            <w:tcBorders>
              <w:top w:val="nil"/>
              <w:left w:val="nil"/>
              <w:bottom w:val="nil"/>
              <w:right w:val="nil"/>
            </w:tcBorders>
            <w:vAlign w:val="center"/>
            <w:hideMark/>
          </w:tcPr>
          <w:p w14:paraId="40D2EA5F" w14:textId="77777777" w:rsidR="00A74C68" w:rsidRPr="00471CBA" w:rsidRDefault="00A74C68" w:rsidP="00A74C68">
            <w:pPr>
              <w:jc w:val="right"/>
              <w:rPr>
                <w:szCs w:val="20"/>
                <w:lang w:eastAsia="tr-TR"/>
              </w:rPr>
            </w:pPr>
          </w:p>
        </w:tc>
      </w:tr>
      <w:tr w:rsidR="00A74C68" w:rsidRPr="00471CBA" w14:paraId="60A2AA22" w14:textId="77777777" w:rsidTr="00A74C68">
        <w:trPr>
          <w:divId w:val="1699812135"/>
          <w:trHeight w:val="227"/>
        </w:trPr>
        <w:tc>
          <w:tcPr>
            <w:tcW w:w="1751" w:type="pct"/>
            <w:tcBorders>
              <w:top w:val="nil"/>
              <w:left w:val="nil"/>
              <w:bottom w:val="nil"/>
              <w:right w:val="nil"/>
            </w:tcBorders>
            <w:noWrap/>
            <w:vAlign w:val="center"/>
            <w:hideMark/>
          </w:tcPr>
          <w:p w14:paraId="2C461E39" w14:textId="77777777" w:rsidR="00A74C68" w:rsidRPr="00471CBA" w:rsidRDefault="00A74C68" w:rsidP="00A74C68">
            <w:pPr>
              <w:rPr>
                <w:b/>
                <w:bCs/>
                <w:color w:val="000000"/>
                <w:szCs w:val="20"/>
                <w:lang w:eastAsia="tr-TR"/>
              </w:rPr>
            </w:pPr>
            <w:r w:rsidRPr="00471CBA">
              <w:rPr>
                <w:b/>
                <w:bCs/>
                <w:color w:val="000000"/>
                <w:szCs w:val="20"/>
                <w:lang w:eastAsia="tr-TR"/>
              </w:rPr>
              <w:t>31 Aralık 2024</w:t>
            </w:r>
          </w:p>
        </w:tc>
        <w:tc>
          <w:tcPr>
            <w:tcW w:w="761" w:type="pct"/>
            <w:tcBorders>
              <w:top w:val="nil"/>
              <w:left w:val="nil"/>
              <w:bottom w:val="nil"/>
              <w:right w:val="nil"/>
            </w:tcBorders>
            <w:vAlign w:val="center"/>
            <w:hideMark/>
          </w:tcPr>
          <w:p w14:paraId="19022CBA" w14:textId="77777777" w:rsidR="00A74C68" w:rsidRPr="00471CBA" w:rsidRDefault="00A74C68" w:rsidP="00A74C68">
            <w:pPr>
              <w:rPr>
                <w:b/>
                <w:bCs/>
                <w:color w:val="000000"/>
                <w:szCs w:val="20"/>
                <w:lang w:eastAsia="tr-TR"/>
              </w:rPr>
            </w:pPr>
          </w:p>
        </w:tc>
        <w:tc>
          <w:tcPr>
            <w:tcW w:w="837" w:type="pct"/>
            <w:tcBorders>
              <w:top w:val="nil"/>
              <w:left w:val="nil"/>
              <w:bottom w:val="nil"/>
              <w:right w:val="nil"/>
            </w:tcBorders>
            <w:vAlign w:val="center"/>
            <w:hideMark/>
          </w:tcPr>
          <w:p w14:paraId="037AA202" w14:textId="77777777" w:rsidR="00A74C68" w:rsidRPr="00471CBA" w:rsidRDefault="00A74C68" w:rsidP="00A74C68">
            <w:pPr>
              <w:jc w:val="right"/>
              <w:rPr>
                <w:szCs w:val="20"/>
                <w:lang w:eastAsia="tr-TR"/>
              </w:rPr>
            </w:pPr>
          </w:p>
        </w:tc>
        <w:tc>
          <w:tcPr>
            <w:tcW w:w="912" w:type="pct"/>
            <w:tcBorders>
              <w:top w:val="nil"/>
              <w:left w:val="nil"/>
              <w:bottom w:val="nil"/>
              <w:right w:val="nil"/>
            </w:tcBorders>
            <w:vAlign w:val="center"/>
            <w:hideMark/>
          </w:tcPr>
          <w:p w14:paraId="12A5D051" w14:textId="77777777" w:rsidR="00A74C68" w:rsidRPr="00471CBA" w:rsidRDefault="00A74C68" w:rsidP="00A74C68">
            <w:pPr>
              <w:jc w:val="right"/>
              <w:rPr>
                <w:szCs w:val="20"/>
                <w:lang w:eastAsia="tr-TR"/>
              </w:rPr>
            </w:pPr>
          </w:p>
        </w:tc>
        <w:tc>
          <w:tcPr>
            <w:tcW w:w="739" w:type="pct"/>
            <w:tcBorders>
              <w:top w:val="nil"/>
              <w:left w:val="nil"/>
              <w:bottom w:val="nil"/>
              <w:right w:val="nil"/>
            </w:tcBorders>
            <w:vAlign w:val="center"/>
            <w:hideMark/>
          </w:tcPr>
          <w:p w14:paraId="7E355FA1" w14:textId="77777777" w:rsidR="00A74C68" w:rsidRPr="00471CBA" w:rsidRDefault="00A74C68" w:rsidP="00A74C68">
            <w:pPr>
              <w:jc w:val="right"/>
              <w:rPr>
                <w:szCs w:val="20"/>
                <w:lang w:eastAsia="tr-TR"/>
              </w:rPr>
            </w:pPr>
          </w:p>
        </w:tc>
      </w:tr>
      <w:tr w:rsidR="00A74C68" w:rsidRPr="00471CBA" w14:paraId="7908A4B8" w14:textId="77777777" w:rsidTr="00A74C68">
        <w:trPr>
          <w:divId w:val="1699812135"/>
          <w:trHeight w:val="227"/>
        </w:trPr>
        <w:tc>
          <w:tcPr>
            <w:tcW w:w="1751" w:type="pct"/>
            <w:tcBorders>
              <w:top w:val="nil"/>
              <w:left w:val="nil"/>
              <w:bottom w:val="nil"/>
              <w:right w:val="nil"/>
            </w:tcBorders>
            <w:vAlign w:val="center"/>
            <w:hideMark/>
          </w:tcPr>
          <w:p w14:paraId="5B65C3ED" w14:textId="77777777" w:rsidR="00A74C68" w:rsidRPr="00471CBA" w:rsidRDefault="00A74C68" w:rsidP="00A74C68">
            <w:pPr>
              <w:rPr>
                <w:color w:val="000000"/>
                <w:szCs w:val="20"/>
                <w:lang w:eastAsia="tr-TR"/>
              </w:rPr>
            </w:pPr>
            <w:r w:rsidRPr="00471CBA">
              <w:rPr>
                <w:color w:val="000000"/>
                <w:szCs w:val="20"/>
                <w:lang w:eastAsia="tr-TR"/>
              </w:rPr>
              <w:t>Finansal Kiralama Alacakları (Net)</w:t>
            </w:r>
          </w:p>
        </w:tc>
        <w:tc>
          <w:tcPr>
            <w:tcW w:w="761" w:type="pct"/>
            <w:tcBorders>
              <w:top w:val="nil"/>
              <w:left w:val="nil"/>
              <w:bottom w:val="nil"/>
              <w:right w:val="nil"/>
            </w:tcBorders>
            <w:vAlign w:val="center"/>
            <w:hideMark/>
          </w:tcPr>
          <w:p w14:paraId="6A1A3250" w14:textId="77777777" w:rsidR="00A74C68" w:rsidRPr="00471CBA" w:rsidRDefault="00A74C68" w:rsidP="00A74C68">
            <w:pPr>
              <w:jc w:val="right"/>
              <w:rPr>
                <w:color w:val="000000"/>
                <w:szCs w:val="20"/>
                <w:lang w:eastAsia="tr-TR"/>
              </w:rPr>
            </w:pPr>
            <w:r w:rsidRPr="00471CBA">
              <w:rPr>
                <w:color w:val="000000"/>
                <w:szCs w:val="20"/>
                <w:lang w:eastAsia="tr-TR"/>
              </w:rPr>
              <w:t>4.363</w:t>
            </w:r>
          </w:p>
        </w:tc>
        <w:tc>
          <w:tcPr>
            <w:tcW w:w="837" w:type="pct"/>
            <w:tcBorders>
              <w:top w:val="nil"/>
              <w:left w:val="nil"/>
              <w:bottom w:val="nil"/>
              <w:right w:val="nil"/>
            </w:tcBorders>
            <w:vAlign w:val="center"/>
            <w:hideMark/>
          </w:tcPr>
          <w:p w14:paraId="0A091164" w14:textId="77777777" w:rsidR="00A74C68" w:rsidRPr="00471CBA" w:rsidRDefault="00A74C68" w:rsidP="00A74C68">
            <w:pPr>
              <w:jc w:val="right"/>
              <w:rPr>
                <w:color w:val="000000"/>
                <w:szCs w:val="20"/>
                <w:lang w:eastAsia="tr-TR"/>
              </w:rPr>
            </w:pPr>
            <w:r w:rsidRPr="00471CBA">
              <w:rPr>
                <w:color w:val="000000"/>
                <w:szCs w:val="20"/>
                <w:lang w:eastAsia="tr-TR"/>
              </w:rPr>
              <w:t>-</w:t>
            </w:r>
          </w:p>
        </w:tc>
        <w:tc>
          <w:tcPr>
            <w:tcW w:w="912" w:type="pct"/>
            <w:tcBorders>
              <w:top w:val="nil"/>
              <w:left w:val="nil"/>
              <w:bottom w:val="nil"/>
              <w:right w:val="nil"/>
            </w:tcBorders>
            <w:vAlign w:val="center"/>
            <w:hideMark/>
          </w:tcPr>
          <w:p w14:paraId="18ECD324" w14:textId="77777777" w:rsidR="00A74C68" w:rsidRPr="00471CBA" w:rsidRDefault="00A74C68" w:rsidP="00A74C68">
            <w:pPr>
              <w:jc w:val="right"/>
              <w:rPr>
                <w:color w:val="000000"/>
                <w:szCs w:val="20"/>
                <w:lang w:eastAsia="tr-TR"/>
              </w:rPr>
            </w:pPr>
            <w:r w:rsidRPr="00471CBA">
              <w:rPr>
                <w:color w:val="000000"/>
                <w:szCs w:val="20"/>
                <w:lang w:eastAsia="tr-TR"/>
              </w:rPr>
              <w:t>-</w:t>
            </w:r>
          </w:p>
        </w:tc>
        <w:tc>
          <w:tcPr>
            <w:tcW w:w="739" w:type="pct"/>
            <w:tcBorders>
              <w:top w:val="nil"/>
              <w:left w:val="nil"/>
              <w:bottom w:val="nil"/>
              <w:right w:val="nil"/>
            </w:tcBorders>
            <w:vAlign w:val="center"/>
            <w:hideMark/>
          </w:tcPr>
          <w:p w14:paraId="506CCD31" w14:textId="77777777" w:rsidR="00A74C68" w:rsidRPr="00471CBA" w:rsidRDefault="00A74C68" w:rsidP="00A74C68">
            <w:pPr>
              <w:jc w:val="right"/>
              <w:rPr>
                <w:color w:val="000000"/>
                <w:szCs w:val="20"/>
                <w:lang w:eastAsia="tr-TR"/>
              </w:rPr>
            </w:pPr>
            <w:r w:rsidRPr="00471CBA">
              <w:rPr>
                <w:color w:val="000000"/>
                <w:szCs w:val="20"/>
                <w:lang w:eastAsia="tr-TR"/>
              </w:rPr>
              <w:t>-</w:t>
            </w:r>
          </w:p>
        </w:tc>
      </w:tr>
      <w:tr w:rsidR="00A74C68" w:rsidRPr="00471CBA" w14:paraId="6ABE7D6D" w14:textId="77777777" w:rsidTr="00A74C68">
        <w:trPr>
          <w:divId w:val="1699812135"/>
          <w:trHeight w:val="227"/>
        </w:trPr>
        <w:tc>
          <w:tcPr>
            <w:tcW w:w="1751" w:type="pct"/>
            <w:tcBorders>
              <w:top w:val="nil"/>
              <w:left w:val="nil"/>
              <w:bottom w:val="single" w:sz="4" w:space="0" w:color="auto"/>
              <w:right w:val="nil"/>
            </w:tcBorders>
            <w:noWrap/>
            <w:vAlign w:val="bottom"/>
            <w:hideMark/>
          </w:tcPr>
          <w:p w14:paraId="5BA41177" w14:textId="77777777" w:rsidR="00A74C68" w:rsidRPr="00471CBA" w:rsidRDefault="00A74C68" w:rsidP="00A74C68">
            <w:pPr>
              <w:rPr>
                <w:color w:val="000000"/>
                <w:szCs w:val="20"/>
                <w:lang w:eastAsia="tr-TR"/>
              </w:rPr>
            </w:pPr>
            <w:r w:rsidRPr="00471CBA">
              <w:rPr>
                <w:color w:val="000000"/>
                <w:szCs w:val="20"/>
                <w:lang w:eastAsia="tr-TR"/>
              </w:rPr>
              <w:t> </w:t>
            </w:r>
          </w:p>
        </w:tc>
        <w:tc>
          <w:tcPr>
            <w:tcW w:w="761" w:type="pct"/>
            <w:tcBorders>
              <w:top w:val="nil"/>
              <w:left w:val="nil"/>
              <w:bottom w:val="single" w:sz="4" w:space="0" w:color="auto"/>
              <w:right w:val="nil"/>
            </w:tcBorders>
            <w:noWrap/>
            <w:vAlign w:val="bottom"/>
            <w:hideMark/>
          </w:tcPr>
          <w:p w14:paraId="403EEE5A" w14:textId="77777777" w:rsidR="00A74C68" w:rsidRPr="00471CBA" w:rsidRDefault="00A74C68" w:rsidP="00A74C68">
            <w:pPr>
              <w:rPr>
                <w:color w:val="000000"/>
                <w:szCs w:val="20"/>
                <w:lang w:eastAsia="tr-TR"/>
              </w:rPr>
            </w:pPr>
            <w:r w:rsidRPr="00471CBA">
              <w:rPr>
                <w:color w:val="000000"/>
                <w:szCs w:val="20"/>
                <w:lang w:eastAsia="tr-TR"/>
              </w:rPr>
              <w:t> </w:t>
            </w:r>
          </w:p>
        </w:tc>
        <w:tc>
          <w:tcPr>
            <w:tcW w:w="837" w:type="pct"/>
            <w:tcBorders>
              <w:top w:val="nil"/>
              <w:left w:val="nil"/>
              <w:bottom w:val="single" w:sz="4" w:space="0" w:color="auto"/>
              <w:right w:val="nil"/>
            </w:tcBorders>
            <w:noWrap/>
            <w:vAlign w:val="bottom"/>
            <w:hideMark/>
          </w:tcPr>
          <w:p w14:paraId="494AD0A8" w14:textId="77777777" w:rsidR="00A74C68" w:rsidRPr="00471CBA" w:rsidRDefault="00A74C68" w:rsidP="00A74C68">
            <w:pPr>
              <w:rPr>
                <w:color w:val="000000"/>
                <w:szCs w:val="20"/>
                <w:lang w:eastAsia="tr-TR"/>
              </w:rPr>
            </w:pPr>
            <w:r w:rsidRPr="00471CBA">
              <w:rPr>
                <w:color w:val="000000"/>
                <w:szCs w:val="20"/>
                <w:lang w:eastAsia="tr-TR"/>
              </w:rPr>
              <w:t> </w:t>
            </w:r>
          </w:p>
        </w:tc>
        <w:tc>
          <w:tcPr>
            <w:tcW w:w="912" w:type="pct"/>
            <w:tcBorders>
              <w:top w:val="nil"/>
              <w:left w:val="nil"/>
              <w:bottom w:val="single" w:sz="4" w:space="0" w:color="auto"/>
              <w:right w:val="nil"/>
            </w:tcBorders>
            <w:noWrap/>
            <w:vAlign w:val="bottom"/>
            <w:hideMark/>
          </w:tcPr>
          <w:p w14:paraId="56338E54" w14:textId="77777777" w:rsidR="00A74C68" w:rsidRPr="00471CBA" w:rsidRDefault="00A74C68" w:rsidP="00A74C68">
            <w:pPr>
              <w:rPr>
                <w:color w:val="000000"/>
                <w:szCs w:val="20"/>
                <w:lang w:eastAsia="tr-TR"/>
              </w:rPr>
            </w:pPr>
            <w:r w:rsidRPr="00471CBA">
              <w:rPr>
                <w:color w:val="000000"/>
                <w:szCs w:val="20"/>
                <w:lang w:eastAsia="tr-TR"/>
              </w:rPr>
              <w:t> </w:t>
            </w:r>
          </w:p>
        </w:tc>
        <w:tc>
          <w:tcPr>
            <w:tcW w:w="739" w:type="pct"/>
            <w:tcBorders>
              <w:top w:val="nil"/>
              <w:left w:val="nil"/>
              <w:bottom w:val="single" w:sz="4" w:space="0" w:color="auto"/>
              <w:right w:val="nil"/>
            </w:tcBorders>
            <w:noWrap/>
            <w:vAlign w:val="bottom"/>
            <w:hideMark/>
          </w:tcPr>
          <w:p w14:paraId="12E8096E" w14:textId="77777777" w:rsidR="00A74C68" w:rsidRPr="00471CBA" w:rsidRDefault="00A74C68" w:rsidP="00A74C68">
            <w:pPr>
              <w:rPr>
                <w:color w:val="000000"/>
                <w:szCs w:val="20"/>
                <w:lang w:eastAsia="tr-TR"/>
              </w:rPr>
            </w:pPr>
            <w:r w:rsidRPr="00471CBA">
              <w:rPr>
                <w:color w:val="000000"/>
                <w:szCs w:val="20"/>
                <w:lang w:eastAsia="tr-TR"/>
              </w:rPr>
              <w:t> </w:t>
            </w:r>
          </w:p>
        </w:tc>
      </w:tr>
    </w:tbl>
    <w:p w14:paraId="75D29C1F" w14:textId="30D552A6" w:rsidR="00BC729A" w:rsidRPr="00471CBA" w:rsidRDefault="00BC729A" w:rsidP="0029727D">
      <w:pPr>
        <w:rPr>
          <w:bCs/>
          <w:szCs w:val="20"/>
        </w:rPr>
      </w:pPr>
    </w:p>
    <w:p w14:paraId="5EB006BE" w14:textId="77777777" w:rsidR="00C70F9C" w:rsidRPr="00471CBA" w:rsidRDefault="00C70F9C" w:rsidP="000C3408">
      <w:pPr>
        <w:pStyle w:val="GvdeMetniGirintisi"/>
        <w:widowControl w:val="0"/>
        <w:numPr>
          <w:ilvl w:val="0"/>
          <w:numId w:val="43"/>
        </w:numPr>
        <w:tabs>
          <w:tab w:val="clear" w:pos="540"/>
        </w:tabs>
        <w:ind w:left="567" w:hanging="567"/>
        <w:rPr>
          <w:b/>
          <w:szCs w:val="20"/>
        </w:rPr>
      </w:pPr>
      <w:r w:rsidRPr="00471CBA">
        <w:rPr>
          <w:b/>
          <w:szCs w:val="20"/>
        </w:rPr>
        <w:t>Satış amaçlı elde tutulan ve durdurulan faaliyetlere ilişkin duran varlıklar hakkında açıklamalar:</w:t>
      </w:r>
    </w:p>
    <w:p w14:paraId="5F7846CB" w14:textId="77777777" w:rsidR="001A4B1D" w:rsidRPr="00471CBA" w:rsidRDefault="001A4B1D" w:rsidP="00471069">
      <w:pPr>
        <w:pStyle w:val="GvdeMetniGirintisi"/>
        <w:tabs>
          <w:tab w:val="num" w:pos="966"/>
          <w:tab w:val="left" w:pos="1080"/>
        </w:tabs>
        <w:ind w:left="882" w:hanging="882"/>
        <w:rPr>
          <w:bCs/>
          <w:szCs w:val="20"/>
        </w:rPr>
      </w:pPr>
    </w:p>
    <w:p w14:paraId="15D9691B" w14:textId="17B95163" w:rsidR="0098050E" w:rsidRPr="00471CBA" w:rsidRDefault="001C3412" w:rsidP="00471069">
      <w:pPr>
        <w:pStyle w:val="GvdeMetniGirintisi"/>
        <w:ind w:left="851" w:firstLine="0"/>
        <w:rPr>
          <w:bCs/>
          <w:szCs w:val="20"/>
        </w:rPr>
      </w:pPr>
      <w:r w:rsidRPr="00471CBA">
        <w:rPr>
          <w:bCs/>
          <w:szCs w:val="20"/>
        </w:rPr>
        <w:t>B</w:t>
      </w:r>
      <w:r w:rsidR="00C70F9C" w:rsidRPr="00471CBA">
        <w:rPr>
          <w:bCs/>
          <w:szCs w:val="20"/>
        </w:rPr>
        <w:t>ulunmamaktadır</w:t>
      </w:r>
      <w:r w:rsidR="00AF526A" w:rsidRPr="00471CBA">
        <w:rPr>
          <w:bCs/>
          <w:szCs w:val="20"/>
        </w:rPr>
        <w:t xml:space="preserve"> (</w:t>
      </w:r>
      <w:r w:rsidR="00C005C7" w:rsidRPr="00471CBA">
        <w:rPr>
          <w:bCs/>
          <w:szCs w:val="20"/>
        </w:rPr>
        <w:t>31 Aralık 2024</w:t>
      </w:r>
      <w:r w:rsidR="00AF526A" w:rsidRPr="00471CBA">
        <w:rPr>
          <w:bCs/>
          <w:szCs w:val="20"/>
        </w:rPr>
        <w:t>: Bulunmamaktadır).</w:t>
      </w:r>
    </w:p>
    <w:p w14:paraId="65A89FF3" w14:textId="77777777" w:rsidR="001A4B1D" w:rsidRPr="00471CBA" w:rsidRDefault="001A4B1D" w:rsidP="00471069">
      <w:pPr>
        <w:pStyle w:val="GvdeMetniGirintisi"/>
        <w:tabs>
          <w:tab w:val="num" w:pos="966"/>
          <w:tab w:val="left" w:pos="1080"/>
        </w:tabs>
        <w:ind w:left="882" w:hanging="882"/>
        <w:rPr>
          <w:bCs/>
          <w:szCs w:val="20"/>
        </w:rPr>
      </w:pPr>
    </w:p>
    <w:p w14:paraId="06F58094" w14:textId="5E286F09" w:rsidR="0098050E" w:rsidRPr="00471CBA" w:rsidRDefault="0098050E" w:rsidP="000C3408">
      <w:pPr>
        <w:pStyle w:val="ListeParagraf"/>
        <w:widowControl w:val="0"/>
        <w:numPr>
          <w:ilvl w:val="0"/>
          <w:numId w:val="43"/>
        </w:numPr>
        <w:tabs>
          <w:tab w:val="clear" w:pos="540"/>
        </w:tabs>
        <w:autoSpaceDE w:val="0"/>
        <w:autoSpaceDN w:val="0"/>
        <w:adjustRightInd w:val="0"/>
        <w:ind w:left="567" w:hanging="567"/>
        <w:jc w:val="both"/>
        <w:rPr>
          <w:b/>
          <w:szCs w:val="20"/>
        </w:rPr>
      </w:pPr>
      <w:r w:rsidRPr="00471CBA">
        <w:rPr>
          <w:b/>
          <w:szCs w:val="20"/>
        </w:rPr>
        <w:t>İştiraklere İlişkin Bilgiler:</w:t>
      </w:r>
    </w:p>
    <w:p w14:paraId="135271E1" w14:textId="77777777" w:rsidR="0098050E" w:rsidRPr="00471CBA" w:rsidRDefault="0098050E" w:rsidP="00471069">
      <w:pPr>
        <w:widowControl w:val="0"/>
        <w:ind w:left="851" w:hanging="851"/>
        <w:jc w:val="both"/>
        <w:rPr>
          <w:b/>
          <w:szCs w:val="20"/>
        </w:rPr>
      </w:pPr>
    </w:p>
    <w:p w14:paraId="5CE77C7C" w14:textId="6B60379B" w:rsidR="0098050E" w:rsidRPr="00471CBA" w:rsidRDefault="001C3412" w:rsidP="00471069">
      <w:pPr>
        <w:widowControl w:val="0"/>
        <w:ind w:left="284" w:firstLine="567"/>
        <w:jc w:val="both"/>
        <w:rPr>
          <w:szCs w:val="20"/>
        </w:rPr>
      </w:pPr>
      <w:r w:rsidRPr="00471CBA">
        <w:rPr>
          <w:bCs/>
          <w:szCs w:val="20"/>
        </w:rPr>
        <w:t>B</w:t>
      </w:r>
      <w:r w:rsidR="0098050E" w:rsidRPr="00471CBA">
        <w:rPr>
          <w:bCs/>
          <w:szCs w:val="20"/>
        </w:rPr>
        <w:t>ulunmamaktadır</w:t>
      </w:r>
      <w:r w:rsidR="00AF526A" w:rsidRPr="00471CBA">
        <w:rPr>
          <w:bCs/>
          <w:szCs w:val="20"/>
        </w:rPr>
        <w:t xml:space="preserve"> (</w:t>
      </w:r>
      <w:r w:rsidR="00C005C7" w:rsidRPr="00471CBA">
        <w:rPr>
          <w:bCs/>
          <w:szCs w:val="20"/>
        </w:rPr>
        <w:t>31 Aralık 2024</w:t>
      </w:r>
      <w:r w:rsidR="00AF526A" w:rsidRPr="00471CBA">
        <w:rPr>
          <w:bCs/>
          <w:szCs w:val="20"/>
        </w:rPr>
        <w:t>: Bulunmamaktadır).</w:t>
      </w:r>
    </w:p>
    <w:p w14:paraId="144CC1EF" w14:textId="77777777" w:rsidR="00491B00" w:rsidRPr="00471CBA" w:rsidRDefault="00491B00" w:rsidP="00415DBD">
      <w:pPr>
        <w:widowControl w:val="0"/>
        <w:jc w:val="both"/>
        <w:rPr>
          <w:szCs w:val="20"/>
        </w:rPr>
      </w:pPr>
    </w:p>
    <w:p w14:paraId="089561B8" w14:textId="1BE6204A" w:rsidR="00183A10" w:rsidRPr="00471CBA" w:rsidRDefault="00183A10" w:rsidP="000C3408">
      <w:pPr>
        <w:pStyle w:val="ListeParagraf"/>
        <w:widowControl w:val="0"/>
        <w:numPr>
          <w:ilvl w:val="0"/>
          <w:numId w:val="43"/>
        </w:numPr>
        <w:tabs>
          <w:tab w:val="clear" w:pos="540"/>
        </w:tabs>
        <w:autoSpaceDE w:val="0"/>
        <w:autoSpaceDN w:val="0"/>
        <w:adjustRightInd w:val="0"/>
        <w:ind w:left="567" w:hanging="567"/>
        <w:jc w:val="both"/>
        <w:rPr>
          <w:b/>
          <w:szCs w:val="20"/>
        </w:rPr>
      </w:pPr>
      <w:r w:rsidRPr="00471CBA">
        <w:rPr>
          <w:b/>
          <w:szCs w:val="20"/>
        </w:rPr>
        <w:t>Bağlı ortak</w:t>
      </w:r>
      <w:r w:rsidR="006E4A78" w:rsidRPr="00471CBA">
        <w:rPr>
          <w:b/>
          <w:szCs w:val="20"/>
        </w:rPr>
        <w:t>lıklara ilişkin bilgiler (net):</w:t>
      </w:r>
    </w:p>
    <w:p w14:paraId="6EBA18B3" w14:textId="77777777" w:rsidR="00491B00" w:rsidRPr="00471CBA" w:rsidRDefault="00491B00" w:rsidP="00415DBD">
      <w:pPr>
        <w:widowControl w:val="0"/>
        <w:ind w:left="851" w:hanging="851"/>
        <w:jc w:val="both"/>
        <w:rPr>
          <w:b/>
          <w:szCs w:val="20"/>
        </w:rPr>
      </w:pPr>
    </w:p>
    <w:p w14:paraId="65D27827" w14:textId="0034A72E" w:rsidR="00934678" w:rsidRPr="00471CBA" w:rsidRDefault="00934678" w:rsidP="000C3408">
      <w:pPr>
        <w:pStyle w:val="ListeParagraf"/>
        <w:widowControl w:val="0"/>
        <w:numPr>
          <w:ilvl w:val="1"/>
          <w:numId w:val="2"/>
        </w:numPr>
        <w:tabs>
          <w:tab w:val="clear" w:pos="1440"/>
        </w:tabs>
        <w:ind w:left="567" w:hanging="567"/>
        <w:jc w:val="both"/>
        <w:rPr>
          <w:b/>
          <w:szCs w:val="20"/>
        </w:rPr>
      </w:pPr>
      <w:bookmarkStart w:id="106" w:name="_Hlk196899026"/>
      <w:r w:rsidRPr="00471CBA">
        <w:rPr>
          <w:b/>
          <w:szCs w:val="20"/>
        </w:rPr>
        <w:t xml:space="preserve">Konsolide edilmeyen </w:t>
      </w:r>
      <w:r w:rsidR="00A200EE" w:rsidRPr="00471CBA">
        <w:rPr>
          <w:b/>
          <w:szCs w:val="20"/>
        </w:rPr>
        <w:t>mali olmayan</w:t>
      </w:r>
      <w:r w:rsidR="00AE439B" w:rsidRPr="00471CBA">
        <w:rPr>
          <w:b/>
          <w:szCs w:val="20"/>
        </w:rPr>
        <w:t xml:space="preserve"> bağlı</w:t>
      </w:r>
      <w:r w:rsidR="00A200EE" w:rsidRPr="00471CBA">
        <w:rPr>
          <w:b/>
          <w:szCs w:val="20"/>
        </w:rPr>
        <w:t xml:space="preserve"> </w:t>
      </w:r>
      <w:r w:rsidR="00743F31" w:rsidRPr="00471CBA">
        <w:rPr>
          <w:b/>
          <w:szCs w:val="20"/>
        </w:rPr>
        <w:t>ortaklıklara</w:t>
      </w:r>
      <w:r w:rsidRPr="00471CBA">
        <w:rPr>
          <w:b/>
          <w:szCs w:val="20"/>
        </w:rPr>
        <w:t xml:space="preserve"> ilişkin bilgiler:</w:t>
      </w:r>
    </w:p>
    <w:bookmarkEnd w:id="106"/>
    <w:p w14:paraId="34ECE68D" w14:textId="77777777" w:rsidR="00491B00" w:rsidRPr="00471CBA" w:rsidRDefault="00491B00" w:rsidP="00415DBD">
      <w:pPr>
        <w:widowControl w:val="0"/>
        <w:jc w:val="both"/>
        <w:rPr>
          <w:szCs w:val="20"/>
        </w:rPr>
      </w:pPr>
    </w:p>
    <w:p w14:paraId="7D126115" w14:textId="6B396B82" w:rsidR="008679D6" w:rsidRPr="00471CBA" w:rsidRDefault="00AB2696" w:rsidP="008679D6">
      <w:pPr>
        <w:widowControl w:val="0"/>
        <w:ind w:left="851"/>
        <w:jc w:val="both"/>
        <w:rPr>
          <w:szCs w:val="20"/>
        </w:rPr>
      </w:pPr>
      <w:bookmarkStart w:id="107" w:name="_Hlk213401223"/>
      <w:r w:rsidRPr="00471CBA">
        <w:rPr>
          <w:szCs w:val="20"/>
        </w:rPr>
        <w:t>Techdünya Bilişim Teknoloji ve Ticaret A.Ş., 5.000 TL sermaye ile kurulmuş; 15 Mart 2024 tarihinde Ticaret Sicil Gazetesi’nde tescil edilmiştir. Sermayesinin tamamı ödenmiştir.</w:t>
      </w:r>
    </w:p>
    <w:p w14:paraId="14DE3BF0" w14:textId="77777777" w:rsidR="007E7200" w:rsidRPr="00471CBA" w:rsidRDefault="007E7200" w:rsidP="008679D6">
      <w:pPr>
        <w:widowControl w:val="0"/>
        <w:ind w:left="851"/>
        <w:jc w:val="both"/>
        <w:rPr>
          <w:szCs w:val="20"/>
        </w:rPr>
      </w:pPr>
    </w:p>
    <w:tbl>
      <w:tblPr>
        <w:tblW w:w="5000" w:type="pct"/>
        <w:tblLook w:val="0000" w:firstRow="0" w:lastRow="0" w:firstColumn="0" w:lastColumn="0" w:noHBand="0" w:noVBand="0"/>
      </w:tblPr>
      <w:tblGrid>
        <w:gridCol w:w="2451"/>
        <w:gridCol w:w="1811"/>
        <w:gridCol w:w="2636"/>
        <w:gridCol w:w="2457"/>
      </w:tblGrid>
      <w:tr w:rsidR="00424576" w:rsidRPr="00471CBA" w14:paraId="5FD970C4" w14:textId="77777777" w:rsidTr="00D57DA9">
        <w:trPr>
          <w:trHeight w:val="113"/>
        </w:trPr>
        <w:tc>
          <w:tcPr>
            <w:tcW w:w="1310" w:type="pct"/>
            <w:tcBorders>
              <w:bottom w:val="single" w:sz="4" w:space="0" w:color="auto"/>
            </w:tcBorders>
            <w:vAlign w:val="bottom"/>
          </w:tcPr>
          <w:p w14:paraId="45236C6C" w14:textId="1FA2EADB" w:rsidR="00424576" w:rsidRPr="00471CBA" w:rsidRDefault="00424576" w:rsidP="00424576">
            <w:pPr>
              <w:pStyle w:val="GvdeMetniGirintisi"/>
              <w:tabs>
                <w:tab w:val="left" w:pos="900"/>
              </w:tabs>
              <w:ind w:left="-108" w:firstLine="0"/>
              <w:jc w:val="center"/>
              <w:rPr>
                <w:b/>
                <w:bCs/>
                <w:sz w:val="18"/>
                <w:szCs w:val="18"/>
              </w:rPr>
            </w:pPr>
            <w:bookmarkStart w:id="108" w:name="_Hlk196898990"/>
            <w:bookmarkEnd w:id="107"/>
            <w:r w:rsidRPr="00471CBA">
              <w:rPr>
                <w:b/>
                <w:bCs/>
                <w:sz w:val="18"/>
                <w:szCs w:val="18"/>
              </w:rPr>
              <w:t>Unvanı</w:t>
            </w:r>
          </w:p>
        </w:tc>
        <w:tc>
          <w:tcPr>
            <w:tcW w:w="968" w:type="pct"/>
            <w:tcBorders>
              <w:bottom w:val="single" w:sz="4" w:space="0" w:color="auto"/>
            </w:tcBorders>
            <w:vAlign w:val="bottom"/>
          </w:tcPr>
          <w:p w14:paraId="7B034692" w14:textId="74FD7C85" w:rsidR="00424576" w:rsidRPr="00471CBA" w:rsidRDefault="00424576" w:rsidP="00424576">
            <w:pPr>
              <w:pStyle w:val="GvdeMetniGirintisi"/>
              <w:tabs>
                <w:tab w:val="left" w:pos="900"/>
              </w:tabs>
              <w:ind w:left="-108" w:firstLine="0"/>
              <w:jc w:val="center"/>
              <w:rPr>
                <w:b/>
                <w:bCs/>
                <w:sz w:val="18"/>
                <w:szCs w:val="18"/>
              </w:rPr>
            </w:pPr>
            <w:r w:rsidRPr="00471CBA">
              <w:rPr>
                <w:b/>
                <w:bCs/>
                <w:sz w:val="18"/>
                <w:szCs w:val="18"/>
              </w:rPr>
              <w:t>Adres (Şehir/Ülke)</w:t>
            </w:r>
          </w:p>
        </w:tc>
        <w:tc>
          <w:tcPr>
            <w:tcW w:w="1409" w:type="pct"/>
            <w:tcBorders>
              <w:bottom w:val="single" w:sz="4" w:space="0" w:color="auto"/>
            </w:tcBorders>
            <w:vAlign w:val="bottom"/>
          </w:tcPr>
          <w:p w14:paraId="47B738FD" w14:textId="58ED00E1" w:rsidR="00424576" w:rsidRPr="00471CBA" w:rsidRDefault="00424576" w:rsidP="00424576">
            <w:pPr>
              <w:ind w:left="-93"/>
              <w:jc w:val="center"/>
              <w:rPr>
                <w:b/>
                <w:bCs/>
                <w:sz w:val="18"/>
                <w:szCs w:val="18"/>
              </w:rPr>
            </w:pPr>
            <w:r w:rsidRPr="00471CBA">
              <w:rPr>
                <w:b/>
                <w:bCs/>
                <w:sz w:val="18"/>
                <w:szCs w:val="18"/>
              </w:rPr>
              <w:t xml:space="preserve">Banka’nın Pay Oranı-Farklıysa </w:t>
            </w:r>
            <w:r w:rsidRPr="00471CBA">
              <w:rPr>
                <w:b/>
                <w:bCs/>
                <w:sz w:val="18"/>
                <w:szCs w:val="18"/>
              </w:rPr>
              <w:br/>
              <w:t>Oy Oranı (%)</w:t>
            </w:r>
          </w:p>
        </w:tc>
        <w:tc>
          <w:tcPr>
            <w:tcW w:w="1313" w:type="pct"/>
            <w:tcBorders>
              <w:bottom w:val="single" w:sz="4" w:space="0" w:color="auto"/>
            </w:tcBorders>
            <w:vAlign w:val="bottom"/>
          </w:tcPr>
          <w:p w14:paraId="2FFC08B0" w14:textId="77777777" w:rsidR="00424576" w:rsidRPr="00471CBA" w:rsidRDefault="00424576" w:rsidP="00424576">
            <w:pPr>
              <w:spacing w:line="230" w:lineRule="auto"/>
              <w:ind w:left="-93"/>
              <w:jc w:val="center"/>
              <w:rPr>
                <w:b/>
                <w:bCs/>
                <w:sz w:val="18"/>
                <w:szCs w:val="18"/>
              </w:rPr>
            </w:pPr>
            <w:r w:rsidRPr="00471CBA">
              <w:rPr>
                <w:b/>
                <w:bCs/>
                <w:sz w:val="18"/>
                <w:szCs w:val="18"/>
              </w:rPr>
              <w:t>Banka Risk</w:t>
            </w:r>
          </w:p>
          <w:p w14:paraId="72E61CE7" w14:textId="77777777" w:rsidR="00424576" w:rsidRPr="00471CBA" w:rsidRDefault="00424576" w:rsidP="00424576">
            <w:pPr>
              <w:spacing w:line="230" w:lineRule="auto"/>
              <w:ind w:left="-93"/>
              <w:jc w:val="center"/>
              <w:rPr>
                <w:b/>
                <w:bCs/>
                <w:sz w:val="18"/>
                <w:szCs w:val="18"/>
              </w:rPr>
            </w:pPr>
            <w:r w:rsidRPr="00471CBA">
              <w:rPr>
                <w:b/>
                <w:bCs/>
                <w:sz w:val="18"/>
                <w:szCs w:val="18"/>
              </w:rPr>
              <w:t>Grubunun</w:t>
            </w:r>
          </w:p>
          <w:p w14:paraId="5B1215C1" w14:textId="00EFC960" w:rsidR="00424576" w:rsidRPr="00471CBA" w:rsidRDefault="00424576" w:rsidP="00424576">
            <w:pPr>
              <w:ind w:left="-93"/>
              <w:jc w:val="center"/>
              <w:rPr>
                <w:b/>
                <w:bCs/>
                <w:sz w:val="18"/>
                <w:szCs w:val="18"/>
              </w:rPr>
            </w:pPr>
            <w:r w:rsidRPr="00471CBA">
              <w:rPr>
                <w:b/>
                <w:bCs/>
                <w:sz w:val="18"/>
                <w:szCs w:val="18"/>
              </w:rPr>
              <w:t>Pay Oranı (%)</w:t>
            </w:r>
          </w:p>
        </w:tc>
      </w:tr>
      <w:tr w:rsidR="008679D6" w:rsidRPr="00471CBA" w14:paraId="3B67B1A4" w14:textId="77777777" w:rsidTr="00D57DA9">
        <w:trPr>
          <w:trHeight w:val="113"/>
        </w:trPr>
        <w:tc>
          <w:tcPr>
            <w:tcW w:w="1310" w:type="pct"/>
            <w:tcBorders>
              <w:top w:val="single" w:sz="4" w:space="0" w:color="auto"/>
            </w:tcBorders>
            <w:vAlign w:val="bottom"/>
          </w:tcPr>
          <w:p w14:paraId="33C7FF5F" w14:textId="77777777" w:rsidR="008679D6" w:rsidRPr="00471CBA" w:rsidRDefault="008679D6" w:rsidP="00D57DA9">
            <w:pPr>
              <w:pStyle w:val="GvdeMetniGirintisi"/>
              <w:tabs>
                <w:tab w:val="left" w:pos="900"/>
              </w:tabs>
              <w:ind w:left="-108" w:firstLine="0"/>
              <w:jc w:val="center"/>
              <w:rPr>
                <w:b/>
                <w:bCs/>
                <w:sz w:val="18"/>
                <w:szCs w:val="18"/>
              </w:rPr>
            </w:pPr>
          </w:p>
        </w:tc>
        <w:tc>
          <w:tcPr>
            <w:tcW w:w="968" w:type="pct"/>
            <w:tcBorders>
              <w:top w:val="single" w:sz="4" w:space="0" w:color="auto"/>
            </w:tcBorders>
            <w:vAlign w:val="bottom"/>
          </w:tcPr>
          <w:p w14:paraId="1A9CB622" w14:textId="77777777" w:rsidR="008679D6" w:rsidRPr="00471CBA" w:rsidRDefault="008679D6" w:rsidP="00D57DA9">
            <w:pPr>
              <w:pStyle w:val="GvdeMetniGirintisi"/>
              <w:tabs>
                <w:tab w:val="left" w:pos="900"/>
              </w:tabs>
              <w:ind w:left="-108" w:firstLine="0"/>
              <w:jc w:val="center"/>
              <w:rPr>
                <w:b/>
                <w:bCs/>
                <w:sz w:val="18"/>
                <w:szCs w:val="18"/>
              </w:rPr>
            </w:pPr>
          </w:p>
        </w:tc>
        <w:tc>
          <w:tcPr>
            <w:tcW w:w="1409" w:type="pct"/>
            <w:tcBorders>
              <w:top w:val="single" w:sz="4" w:space="0" w:color="auto"/>
            </w:tcBorders>
            <w:vAlign w:val="bottom"/>
          </w:tcPr>
          <w:p w14:paraId="0903E8EF" w14:textId="77777777" w:rsidR="008679D6" w:rsidRPr="00471CBA" w:rsidRDefault="008679D6" w:rsidP="00D57DA9">
            <w:pPr>
              <w:ind w:left="-93"/>
              <w:jc w:val="center"/>
              <w:rPr>
                <w:b/>
                <w:bCs/>
                <w:sz w:val="18"/>
                <w:szCs w:val="18"/>
              </w:rPr>
            </w:pPr>
          </w:p>
        </w:tc>
        <w:tc>
          <w:tcPr>
            <w:tcW w:w="1313" w:type="pct"/>
            <w:tcBorders>
              <w:top w:val="single" w:sz="4" w:space="0" w:color="auto"/>
            </w:tcBorders>
            <w:vAlign w:val="bottom"/>
          </w:tcPr>
          <w:p w14:paraId="760BBD3D" w14:textId="77777777" w:rsidR="008679D6" w:rsidRPr="00471CBA" w:rsidRDefault="008679D6" w:rsidP="00D57DA9">
            <w:pPr>
              <w:ind w:left="-93"/>
              <w:jc w:val="center"/>
              <w:rPr>
                <w:b/>
                <w:bCs/>
                <w:sz w:val="18"/>
                <w:szCs w:val="18"/>
              </w:rPr>
            </w:pPr>
          </w:p>
        </w:tc>
      </w:tr>
      <w:tr w:rsidR="008679D6" w:rsidRPr="00471CBA" w14:paraId="018B3017" w14:textId="77777777" w:rsidTr="000874B0">
        <w:trPr>
          <w:trHeight w:val="113"/>
        </w:trPr>
        <w:tc>
          <w:tcPr>
            <w:tcW w:w="1310" w:type="pct"/>
            <w:tcBorders>
              <w:bottom w:val="single" w:sz="4" w:space="0" w:color="auto"/>
            </w:tcBorders>
            <w:vAlign w:val="center"/>
          </w:tcPr>
          <w:p w14:paraId="1416AA63" w14:textId="77777777" w:rsidR="008679D6" w:rsidRPr="00471CBA" w:rsidRDefault="008679D6" w:rsidP="000874B0">
            <w:pPr>
              <w:pStyle w:val="GvdeMetniGirintisi"/>
              <w:tabs>
                <w:tab w:val="left" w:pos="900"/>
              </w:tabs>
              <w:ind w:left="-108" w:firstLine="0"/>
              <w:jc w:val="center"/>
              <w:rPr>
                <w:sz w:val="18"/>
                <w:szCs w:val="18"/>
              </w:rPr>
            </w:pPr>
            <w:r w:rsidRPr="00471CBA">
              <w:rPr>
                <w:sz w:val="18"/>
                <w:szCs w:val="18"/>
              </w:rPr>
              <w:t>Techdünya Bilişim Teknoloji ve</w:t>
            </w:r>
          </w:p>
          <w:p w14:paraId="44934838" w14:textId="24AAE3B3" w:rsidR="008679D6" w:rsidRPr="00471CBA" w:rsidRDefault="008679D6" w:rsidP="000874B0">
            <w:pPr>
              <w:pStyle w:val="GvdeMetniGirintisi"/>
              <w:tabs>
                <w:tab w:val="left" w:pos="900"/>
              </w:tabs>
              <w:ind w:left="-108" w:firstLine="0"/>
              <w:jc w:val="center"/>
              <w:rPr>
                <w:sz w:val="18"/>
                <w:szCs w:val="18"/>
              </w:rPr>
            </w:pPr>
            <w:r w:rsidRPr="00471CBA">
              <w:rPr>
                <w:sz w:val="18"/>
                <w:szCs w:val="18"/>
              </w:rPr>
              <w:t>Ticaret A.Ş.</w:t>
            </w:r>
          </w:p>
        </w:tc>
        <w:tc>
          <w:tcPr>
            <w:tcW w:w="968" w:type="pct"/>
            <w:tcBorders>
              <w:bottom w:val="single" w:sz="4" w:space="0" w:color="auto"/>
            </w:tcBorders>
            <w:vAlign w:val="center"/>
          </w:tcPr>
          <w:p w14:paraId="61466548" w14:textId="77777777" w:rsidR="008679D6" w:rsidRPr="00471CBA" w:rsidRDefault="008679D6" w:rsidP="000874B0">
            <w:pPr>
              <w:pStyle w:val="GvdeMetniGirintisi"/>
              <w:tabs>
                <w:tab w:val="left" w:pos="900"/>
              </w:tabs>
              <w:ind w:firstLine="0"/>
              <w:jc w:val="center"/>
              <w:rPr>
                <w:sz w:val="18"/>
                <w:szCs w:val="18"/>
              </w:rPr>
            </w:pPr>
            <w:r w:rsidRPr="00471CBA">
              <w:rPr>
                <w:sz w:val="18"/>
                <w:szCs w:val="18"/>
              </w:rPr>
              <w:t>İstanbul/Türkiye</w:t>
            </w:r>
          </w:p>
        </w:tc>
        <w:tc>
          <w:tcPr>
            <w:tcW w:w="1409" w:type="pct"/>
            <w:tcBorders>
              <w:bottom w:val="single" w:sz="4" w:space="0" w:color="auto"/>
            </w:tcBorders>
            <w:vAlign w:val="center"/>
          </w:tcPr>
          <w:p w14:paraId="64A86C4C" w14:textId="30B8BBC9" w:rsidR="008679D6" w:rsidRPr="00471CBA" w:rsidRDefault="008679D6" w:rsidP="000874B0">
            <w:pPr>
              <w:jc w:val="center"/>
            </w:pPr>
            <w:r w:rsidRPr="00471CBA">
              <w:t>100</w:t>
            </w:r>
          </w:p>
        </w:tc>
        <w:tc>
          <w:tcPr>
            <w:tcW w:w="1313" w:type="pct"/>
            <w:tcBorders>
              <w:bottom w:val="single" w:sz="4" w:space="0" w:color="auto"/>
            </w:tcBorders>
            <w:vAlign w:val="center"/>
          </w:tcPr>
          <w:p w14:paraId="2C4F8417" w14:textId="3A08DEF1" w:rsidR="008679D6" w:rsidRPr="00471CBA" w:rsidRDefault="008679D6" w:rsidP="000874B0">
            <w:pPr>
              <w:jc w:val="center"/>
            </w:pPr>
            <w:r w:rsidRPr="00471CBA">
              <w:t>100</w:t>
            </w:r>
          </w:p>
        </w:tc>
      </w:tr>
      <w:bookmarkEnd w:id="108"/>
    </w:tbl>
    <w:p w14:paraId="53C08BA4" w14:textId="77777777" w:rsidR="008679D6" w:rsidRPr="00471CBA" w:rsidRDefault="008679D6" w:rsidP="008679D6">
      <w:pPr>
        <w:widowControl w:val="0"/>
        <w:ind w:left="851"/>
        <w:jc w:val="both"/>
        <w:rPr>
          <w:szCs w:val="20"/>
        </w:rPr>
      </w:pPr>
    </w:p>
    <w:tbl>
      <w:tblPr>
        <w:tblW w:w="5000" w:type="pct"/>
        <w:tblLayout w:type="fixed"/>
        <w:tblCellMar>
          <w:left w:w="70" w:type="dxa"/>
          <w:right w:w="70" w:type="dxa"/>
        </w:tblCellMar>
        <w:tblLook w:val="04A0" w:firstRow="1" w:lastRow="0" w:firstColumn="1" w:lastColumn="0" w:noHBand="0" w:noVBand="1"/>
      </w:tblPr>
      <w:tblGrid>
        <w:gridCol w:w="1170"/>
        <w:gridCol w:w="1170"/>
        <w:gridCol w:w="1171"/>
        <w:gridCol w:w="1169"/>
        <w:gridCol w:w="1171"/>
        <w:gridCol w:w="1171"/>
        <w:gridCol w:w="1169"/>
        <w:gridCol w:w="1164"/>
      </w:tblGrid>
      <w:tr w:rsidR="00E5344E" w:rsidRPr="00471CBA" w14:paraId="06F4E48E" w14:textId="77777777" w:rsidTr="00424576">
        <w:trPr>
          <w:trHeight w:val="227"/>
        </w:trPr>
        <w:tc>
          <w:tcPr>
            <w:tcW w:w="625" w:type="pct"/>
            <w:tcBorders>
              <w:top w:val="single" w:sz="4" w:space="0" w:color="auto"/>
              <w:bottom w:val="single" w:sz="4" w:space="0" w:color="auto"/>
            </w:tcBorders>
            <w:noWrap/>
            <w:vAlign w:val="bottom"/>
            <w:hideMark/>
          </w:tcPr>
          <w:p w14:paraId="1CB9EFA5" w14:textId="77777777" w:rsidR="00E5344E" w:rsidRPr="00471CBA" w:rsidRDefault="00E5344E" w:rsidP="00E5344E">
            <w:pPr>
              <w:jc w:val="right"/>
              <w:rPr>
                <w:b/>
                <w:bCs/>
                <w:color w:val="000000"/>
                <w:szCs w:val="20"/>
                <w:lang w:eastAsia="tr-TR"/>
              </w:rPr>
            </w:pPr>
            <w:r w:rsidRPr="00471CBA">
              <w:rPr>
                <w:b/>
                <w:bCs/>
                <w:color w:val="000000"/>
                <w:szCs w:val="20"/>
                <w:lang w:eastAsia="tr-TR"/>
              </w:rPr>
              <w:t>Aktif Toplamı</w:t>
            </w:r>
          </w:p>
        </w:tc>
        <w:tc>
          <w:tcPr>
            <w:tcW w:w="625" w:type="pct"/>
            <w:tcBorders>
              <w:top w:val="single" w:sz="4" w:space="0" w:color="auto"/>
              <w:bottom w:val="single" w:sz="4" w:space="0" w:color="auto"/>
            </w:tcBorders>
            <w:noWrap/>
            <w:vAlign w:val="bottom"/>
            <w:hideMark/>
          </w:tcPr>
          <w:p w14:paraId="242B3C73" w14:textId="00F1DB35" w:rsidR="00E5344E" w:rsidRPr="00471CBA" w:rsidRDefault="00E5344E" w:rsidP="00E5344E">
            <w:pPr>
              <w:jc w:val="right"/>
              <w:rPr>
                <w:b/>
                <w:bCs/>
                <w:color w:val="000000"/>
                <w:szCs w:val="20"/>
                <w:lang w:eastAsia="tr-TR"/>
              </w:rPr>
            </w:pPr>
            <w:r w:rsidRPr="00471CBA">
              <w:rPr>
                <w:b/>
                <w:bCs/>
                <w:color w:val="000000"/>
                <w:szCs w:val="20"/>
                <w:lang w:eastAsia="tr-TR"/>
              </w:rPr>
              <w:t>Özkaynak</w:t>
            </w:r>
          </w:p>
        </w:tc>
        <w:tc>
          <w:tcPr>
            <w:tcW w:w="626" w:type="pct"/>
            <w:tcBorders>
              <w:top w:val="single" w:sz="4" w:space="0" w:color="auto"/>
              <w:bottom w:val="single" w:sz="4" w:space="0" w:color="auto"/>
            </w:tcBorders>
            <w:noWrap/>
            <w:vAlign w:val="bottom"/>
            <w:hideMark/>
          </w:tcPr>
          <w:p w14:paraId="29BAC166" w14:textId="3A6C1B2C" w:rsidR="00E5344E" w:rsidRPr="00471CBA" w:rsidRDefault="00E5344E" w:rsidP="00E5344E">
            <w:pPr>
              <w:jc w:val="right"/>
              <w:rPr>
                <w:b/>
                <w:bCs/>
                <w:color w:val="000000"/>
                <w:szCs w:val="20"/>
                <w:lang w:eastAsia="tr-TR"/>
              </w:rPr>
            </w:pPr>
            <w:r w:rsidRPr="00471CBA">
              <w:rPr>
                <w:b/>
                <w:bCs/>
                <w:color w:val="000000"/>
                <w:szCs w:val="20"/>
                <w:lang w:eastAsia="tr-TR"/>
              </w:rPr>
              <w:t>Sabit Varlık Toplamı</w:t>
            </w:r>
          </w:p>
        </w:tc>
        <w:tc>
          <w:tcPr>
            <w:tcW w:w="625" w:type="pct"/>
            <w:tcBorders>
              <w:top w:val="single" w:sz="4" w:space="0" w:color="auto"/>
              <w:bottom w:val="single" w:sz="4" w:space="0" w:color="auto"/>
            </w:tcBorders>
            <w:noWrap/>
            <w:vAlign w:val="bottom"/>
            <w:hideMark/>
          </w:tcPr>
          <w:p w14:paraId="7C9A33AD" w14:textId="5E5B9C7B" w:rsidR="00E5344E" w:rsidRPr="00471CBA" w:rsidRDefault="00E5344E" w:rsidP="00E5344E">
            <w:pPr>
              <w:jc w:val="right"/>
              <w:rPr>
                <w:b/>
                <w:bCs/>
                <w:color w:val="000000"/>
                <w:szCs w:val="20"/>
                <w:lang w:eastAsia="tr-TR"/>
              </w:rPr>
            </w:pPr>
            <w:r w:rsidRPr="00471CBA">
              <w:rPr>
                <w:b/>
                <w:bCs/>
                <w:color w:val="000000"/>
                <w:szCs w:val="20"/>
                <w:lang w:eastAsia="tr-TR"/>
              </w:rPr>
              <w:t>Kar Payı Gelirleri</w:t>
            </w:r>
          </w:p>
        </w:tc>
        <w:tc>
          <w:tcPr>
            <w:tcW w:w="626" w:type="pct"/>
            <w:tcBorders>
              <w:top w:val="single" w:sz="4" w:space="0" w:color="auto"/>
              <w:bottom w:val="single" w:sz="4" w:space="0" w:color="auto"/>
            </w:tcBorders>
            <w:vAlign w:val="bottom"/>
          </w:tcPr>
          <w:p w14:paraId="38D93662" w14:textId="0C01869A" w:rsidR="00E5344E" w:rsidRPr="00471CBA" w:rsidRDefault="00E5344E" w:rsidP="00E5344E">
            <w:pPr>
              <w:jc w:val="right"/>
              <w:rPr>
                <w:b/>
                <w:bCs/>
                <w:color w:val="000000"/>
                <w:szCs w:val="20"/>
                <w:lang w:eastAsia="tr-TR"/>
              </w:rPr>
            </w:pPr>
            <w:r w:rsidRPr="00471CBA">
              <w:rPr>
                <w:b/>
                <w:bCs/>
                <w:color w:val="000000"/>
                <w:szCs w:val="20"/>
                <w:lang w:eastAsia="tr-TR"/>
              </w:rPr>
              <w:t>Menkul Değer Gelirleri</w:t>
            </w:r>
          </w:p>
        </w:tc>
        <w:tc>
          <w:tcPr>
            <w:tcW w:w="626" w:type="pct"/>
            <w:tcBorders>
              <w:top w:val="single" w:sz="4" w:space="0" w:color="auto"/>
              <w:bottom w:val="single" w:sz="4" w:space="0" w:color="auto"/>
            </w:tcBorders>
            <w:noWrap/>
            <w:vAlign w:val="bottom"/>
            <w:hideMark/>
          </w:tcPr>
          <w:p w14:paraId="42BD7AF2" w14:textId="0D560A63" w:rsidR="00E5344E" w:rsidRPr="00471CBA" w:rsidRDefault="00E5344E" w:rsidP="00E5344E">
            <w:pPr>
              <w:jc w:val="right"/>
              <w:rPr>
                <w:b/>
                <w:bCs/>
                <w:color w:val="000000"/>
                <w:szCs w:val="20"/>
                <w:lang w:eastAsia="tr-TR"/>
              </w:rPr>
            </w:pPr>
            <w:r w:rsidRPr="00471CBA">
              <w:rPr>
                <w:b/>
                <w:bCs/>
                <w:color w:val="000000"/>
                <w:szCs w:val="20"/>
                <w:lang w:eastAsia="tr-TR"/>
              </w:rPr>
              <w:t>Cari Dönem Kar/Zararı</w:t>
            </w:r>
          </w:p>
        </w:tc>
        <w:tc>
          <w:tcPr>
            <w:tcW w:w="625" w:type="pct"/>
            <w:tcBorders>
              <w:top w:val="single" w:sz="4" w:space="0" w:color="auto"/>
              <w:bottom w:val="single" w:sz="4" w:space="0" w:color="auto"/>
            </w:tcBorders>
            <w:noWrap/>
            <w:vAlign w:val="bottom"/>
            <w:hideMark/>
          </w:tcPr>
          <w:p w14:paraId="7A225C91" w14:textId="77777777" w:rsidR="00E5344E" w:rsidRPr="00471CBA" w:rsidRDefault="00E5344E" w:rsidP="00E5344E">
            <w:pPr>
              <w:jc w:val="right"/>
              <w:rPr>
                <w:b/>
                <w:bCs/>
                <w:color w:val="000000"/>
                <w:szCs w:val="20"/>
                <w:lang w:eastAsia="tr-TR"/>
              </w:rPr>
            </w:pPr>
            <w:r w:rsidRPr="00471CBA">
              <w:rPr>
                <w:b/>
                <w:bCs/>
                <w:color w:val="000000"/>
                <w:szCs w:val="20"/>
                <w:lang w:eastAsia="tr-TR"/>
              </w:rPr>
              <w:t>Önceki Dönem Kar/Zararı</w:t>
            </w:r>
          </w:p>
        </w:tc>
        <w:tc>
          <w:tcPr>
            <w:tcW w:w="622" w:type="pct"/>
            <w:tcBorders>
              <w:top w:val="single" w:sz="4" w:space="0" w:color="auto"/>
              <w:bottom w:val="single" w:sz="4" w:space="0" w:color="auto"/>
            </w:tcBorders>
            <w:noWrap/>
            <w:vAlign w:val="bottom"/>
            <w:hideMark/>
          </w:tcPr>
          <w:p w14:paraId="134631E5" w14:textId="31956B28" w:rsidR="00E5344E" w:rsidRPr="00471CBA" w:rsidRDefault="00E5344E" w:rsidP="00E5344E">
            <w:pPr>
              <w:jc w:val="right"/>
              <w:rPr>
                <w:b/>
                <w:bCs/>
                <w:color w:val="000000"/>
                <w:szCs w:val="20"/>
                <w:lang w:eastAsia="tr-TR"/>
              </w:rPr>
            </w:pPr>
            <w:r w:rsidRPr="00471CBA">
              <w:rPr>
                <w:b/>
                <w:bCs/>
                <w:color w:val="000000"/>
                <w:szCs w:val="20"/>
                <w:lang w:eastAsia="tr-TR"/>
              </w:rPr>
              <w:t xml:space="preserve">Gerçeğe Uygun Değer </w:t>
            </w:r>
          </w:p>
        </w:tc>
      </w:tr>
      <w:tr w:rsidR="00E5344E" w:rsidRPr="00471CBA" w14:paraId="3C3660ED" w14:textId="77777777" w:rsidTr="00424576">
        <w:trPr>
          <w:trHeight w:val="227"/>
        </w:trPr>
        <w:tc>
          <w:tcPr>
            <w:tcW w:w="625" w:type="pct"/>
            <w:tcBorders>
              <w:top w:val="single" w:sz="4" w:space="0" w:color="auto"/>
            </w:tcBorders>
            <w:noWrap/>
            <w:vAlign w:val="bottom"/>
          </w:tcPr>
          <w:p w14:paraId="7BF0BE33" w14:textId="77777777" w:rsidR="00E5344E" w:rsidRPr="00471CBA" w:rsidRDefault="00E5344E" w:rsidP="001021BE">
            <w:pPr>
              <w:jc w:val="right"/>
              <w:rPr>
                <w:color w:val="000000"/>
                <w:szCs w:val="20"/>
                <w:lang w:eastAsia="tr-TR"/>
              </w:rPr>
            </w:pPr>
          </w:p>
        </w:tc>
        <w:tc>
          <w:tcPr>
            <w:tcW w:w="625" w:type="pct"/>
            <w:tcBorders>
              <w:top w:val="single" w:sz="4" w:space="0" w:color="auto"/>
            </w:tcBorders>
            <w:noWrap/>
            <w:vAlign w:val="bottom"/>
          </w:tcPr>
          <w:p w14:paraId="5DBDA795" w14:textId="77777777" w:rsidR="00E5344E" w:rsidRPr="00471CBA" w:rsidRDefault="00E5344E" w:rsidP="001021BE">
            <w:pPr>
              <w:jc w:val="right"/>
              <w:rPr>
                <w:color w:val="000000"/>
                <w:szCs w:val="20"/>
                <w:lang w:eastAsia="tr-TR"/>
              </w:rPr>
            </w:pPr>
          </w:p>
        </w:tc>
        <w:tc>
          <w:tcPr>
            <w:tcW w:w="626" w:type="pct"/>
            <w:tcBorders>
              <w:top w:val="single" w:sz="4" w:space="0" w:color="auto"/>
            </w:tcBorders>
            <w:noWrap/>
            <w:vAlign w:val="bottom"/>
          </w:tcPr>
          <w:p w14:paraId="4FD2DF1D" w14:textId="77777777" w:rsidR="00E5344E" w:rsidRPr="00471CBA" w:rsidRDefault="00E5344E" w:rsidP="001021BE">
            <w:pPr>
              <w:jc w:val="right"/>
              <w:rPr>
                <w:color w:val="000000"/>
                <w:szCs w:val="20"/>
                <w:lang w:eastAsia="tr-TR"/>
              </w:rPr>
            </w:pPr>
          </w:p>
        </w:tc>
        <w:tc>
          <w:tcPr>
            <w:tcW w:w="625" w:type="pct"/>
            <w:tcBorders>
              <w:top w:val="single" w:sz="4" w:space="0" w:color="auto"/>
            </w:tcBorders>
            <w:noWrap/>
            <w:vAlign w:val="bottom"/>
          </w:tcPr>
          <w:p w14:paraId="67C62929" w14:textId="77777777" w:rsidR="00E5344E" w:rsidRPr="00471CBA" w:rsidRDefault="00E5344E" w:rsidP="001021BE">
            <w:pPr>
              <w:jc w:val="right"/>
              <w:rPr>
                <w:color w:val="000000"/>
                <w:szCs w:val="20"/>
                <w:lang w:eastAsia="tr-TR"/>
              </w:rPr>
            </w:pPr>
          </w:p>
        </w:tc>
        <w:tc>
          <w:tcPr>
            <w:tcW w:w="626" w:type="pct"/>
            <w:tcBorders>
              <w:top w:val="single" w:sz="4" w:space="0" w:color="auto"/>
            </w:tcBorders>
          </w:tcPr>
          <w:p w14:paraId="4FE179A2" w14:textId="77777777" w:rsidR="00E5344E" w:rsidRPr="00471CBA" w:rsidRDefault="00E5344E" w:rsidP="001021BE">
            <w:pPr>
              <w:jc w:val="right"/>
              <w:rPr>
                <w:color w:val="000000"/>
                <w:szCs w:val="20"/>
                <w:lang w:eastAsia="tr-TR"/>
              </w:rPr>
            </w:pPr>
          </w:p>
        </w:tc>
        <w:tc>
          <w:tcPr>
            <w:tcW w:w="626" w:type="pct"/>
            <w:tcBorders>
              <w:top w:val="single" w:sz="4" w:space="0" w:color="auto"/>
            </w:tcBorders>
            <w:noWrap/>
            <w:vAlign w:val="bottom"/>
          </w:tcPr>
          <w:p w14:paraId="3825EAA1" w14:textId="00080CD8" w:rsidR="00E5344E" w:rsidRPr="00471CBA" w:rsidRDefault="00E5344E" w:rsidP="001021BE">
            <w:pPr>
              <w:jc w:val="right"/>
              <w:rPr>
                <w:color w:val="000000"/>
                <w:szCs w:val="20"/>
                <w:lang w:eastAsia="tr-TR"/>
              </w:rPr>
            </w:pPr>
          </w:p>
        </w:tc>
        <w:tc>
          <w:tcPr>
            <w:tcW w:w="625" w:type="pct"/>
            <w:tcBorders>
              <w:top w:val="single" w:sz="4" w:space="0" w:color="auto"/>
            </w:tcBorders>
            <w:noWrap/>
            <w:vAlign w:val="bottom"/>
          </w:tcPr>
          <w:p w14:paraId="21A6E913" w14:textId="77777777" w:rsidR="00E5344E" w:rsidRPr="00471CBA" w:rsidRDefault="00E5344E" w:rsidP="001021BE">
            <w:pPr>
              <w:jc w:val="right"/>
              <w:rPr>
                <w:color w:val="000000"/>
                <w:szCs w:val="20"/>
                <w:lang w:eastAsia="tr-TR"/>
              </w:rPr>
            </w:pPr>
          </w:p>
        </w:tc>
        <w:tc>
          <w:tcPr>
            <w:tcW w:w="622" w:type="pct"/>
            <w:tcBorders>
              <w:top w:val="single" w:sz="4" w:space="0" w:color="auto"/>
            </w:tcBorders>
            <w:noWrap/>
            <w:vAlign w:val="bottom"/>
          </w:tcPr>
          <w:p w14:paraId="1B48356D" w14:textId="77777777" w:rsidR="00E5344E" w:rsidRPr="00471CBA" w:rsidRDefault="00E5344E" w:rsidP="001021BE">
            <w:pPr>
              <w:jc w:val="right"/>
              <w:rPr>
                <w:color w:val="000000"/>
                <w:szCs w:val="20"/>
                <w:lang w:eastAsia="tr-TR"/>
              </w:rPr>
            </w:pPr>
          </w:p>
        </w:tc>
      </w:tr>
      <w:tr w:rsidR="00496DDF" w:rsidRPr="00471CBA" w14:paraId="2EF82ACA" w14:textId="77777777" w:rsidTr="00051D6D">
        <w:trPr>
          <w:trHeight w:val="227"/>
        </w:trPr>
        <w:tc>
          <w:tcPr>
            <w:tcW w:w="625" w:type="pct"/>
            <w:tcBorders>
              <w:bottom w:val="single" w:sz="4" w:space="0" w:color="auto"/>
            </w:tcBorders>
            <w:noWrap/>
            <w:hideMark/>
          </w:tcPr>
          <w:p w14:paraId="0D314522" w14:textId="60490CAC" w:rsidR="00496DDF" w:rsidRPr="00471CBA" w:rsidRDefault="00496DDF" w:rsidP="00496DDF">
            <w:pPr>
              <w:jc w:val="right"/>
              <w:rPr>
                <w:color w:val="000000"/>
                <w:szCs w:val="20"/>
                <w:lang w:eastAsia="tr-TR"/>
              </w:rPr>
            </w:pPr>
            <w:bookmarkStart w:id="109" w:name="_Hlk213401235"/>
            <w:r w:rsidRPr="00471CBA">
              <w:t>23.120</w:t>
            </w:r>
          </w:p>
        </w:tc>
        <w:tc>
          <w:tcPr>
            <w:tcW w:w="625" w:type="pct"/>
            <w:tcBorders>
              <w:bottom w:val="single" w:sz="4" w:space="0" w:color="auto"/>
            </w:tcBorders>
            <w:noWrap/>
            <w:hideMark/>
          </w:tcPr>
          <w:p w14:paraId="3635E572" w14:textId="2EBBD1F7" w:rsidR="00496DDF" w:rsidRPr="00471CBA" w:rsidRDefault="00496DDF" w:rsidP="00496DDF">
            <w:pPr>
              <w:jc w:val="right"/>
              <w:rPr>
                <w:color w:val="000000"/>
                <w:szCs w:val="20"/>
                <w:lang w:eastAsia="tr-TR"/>
              </w:rPr>
            </w:pPr>
            <w:r w:rsidRPr="00471CBA">
              <w:t>8.317</w:t>
            </w:r>
          </w:p>
        </w:tc>
        <w:tc>
          <w:tcPr>
            <w:tcW w:w="626" w:type="pct"/>
            <w:tcBorders>
              <w:bottom w:val="single" w:sz="4" w:space="0" w:color="auto"/>
            </w:tcBorders>
            <w:noWrap/>
            <w:hideMark/>
          </w:tcPr>
          <w:p w14:paraId="4CB013D1" w14:textId="298ABA7A" w:rsidR="00496DDF" w:rsidRPr="00471CBA" w:rsidRDefault="00496DDF" w:rsidP="00496DDF">
            <w:pPr>
              <w:jc w:val="right"/>
              <w:rPr>
                <w:color w:val="000000"/>
                <w:szCs w:val="20"/>
                <w:lang w:eastAsia="tr-TR"/>
              </w:rPr>
            </w:pPr>
            <w:r w:rsidRPr="00471CBA">
              <w:t>205</w:t>
            </w:r>
          </w:p>
        </w:tc>
        <w:tc>
          <w:tcPr>
            <w:tcW w:w="625" w:type="pct"/>
            <w:tcBorders>
              <w:bottom w:val="single" w:sz="4" w:space="0" w:color="auto"/>
            </w:tcBorders>
            <w:noWrap/>
            <w:hideMark/>
          </w:tcPr>
          <w:p w14:paraId="19F504C2" w14:textId="5FFD84FC" w:rsidR="00496DDF" w:rsidRPr="00471CBA" w:rsidRDefault="00496DDF" w:rsidP="00496DDF">
            <w:pPr>
              <w:jc w:val="right"/>
              <w:rPr>
                <w:color w:val="000000"/>
                <w:szCs w:val="20"/>
                <w:lang w:eastAsia="tr-TR"/>
              </w:rPr>
            </w:pPr>
            <w:r w:rsidRPr="00471CBA">
              <w:t>983</w:t>
            </w:r>
          </w:p>
        </w:tc>
        <w:tc>
          <w:tcPr>
            <w:tcW w:w="626" w:type="pct"/>
            <w:tcBorders>
              <w:bottom w:val="single" w:sz="4" w:space="0" w:color="auto"/>
            </w:tcBorders>
          </w:tcPr>
          <w:p w14:paraId="70761E76" w14:textId="4478AC31" w:rsidR="00496DDF" w:rsidRPr="00471CBA" w:rsidRDefault="00496DDF" w:rsidP="00496DDF">
            <w:pPr>
              <w:jc w:val="right"/>
              <w:rPr>
                <w:color w:val="000000"/>
                <w:szCs w:val="20"/>
                <w:lang w:eastAsia="tr-TR"/>
              </w:rPr>
            </w:pPr>
            <w:r w:rsidRPr="00471CBA">
              <w:t>-</w:t>
            </w:r>
          </w:p>
        </w:tc>
        <w:tc>
          <w:tcPr>
            <w:tcW w:w="626" w:type="pct"/>
            <w:tcBorders>
              <w:bottom w:val="single" w:sz="4" w:space="0" w:color="auto"/>
            </w:tcBorders>
            <w:noWrap/>
            <w:hideMark/>
          </w:tcPr>
          <w:p w14:paraId="67C4330F" w14:textId="1BC921A7" w:rsidR="00496DDF" w:rsidRPr="00471CBA" w:rsidRDefault="00496DDF" w:rsidP="00496DDF">
            <w:pPr>
              <w:jc w:val="right"/>
              <w:rPr>
                <w:color w:val="000000"/>
                <w:szCs w:val="20"/>
                <w:lang w:eastAsia="tr-TR"/>
              </w:rPr>
            </w:pPr>
            <w:r w:rsidRPr="00471CBA">
              <w:t>3.073</w:t>
            </w:r>
          </w:p>
        </w:tc>
        <w:tc>
          <w:tcPr>
            <w:tcW w:w="625" w:type="pct"/>
            <w:tcBorders>
              <w:bottom w:val="single" w:sz="4" w:space="0" w:color="auto"/>
            </w:tcBorders>
            <w:noWrap/>
            <w:hideMark/>
          </w:tcPr>
          <w:p w14:paraId="6CE7A335" w14:textId="7FA20CFD" w:rsidR="00496DDF" w:rsidRPr="00471CBA" w:rsidRDefault="00496DDF" w:rsidP="00496DDF">
            <w:pPr>
              <w:jc w:val="right"/>
              <w:rPr>
                <w:color w:val="000000"/>
                <w:szCs w:val="20"/>
                <w:lang w:eastAsia="tr-TR"/>
              </w:rPr>
            </w:pPr>
            <w:r w:rsidRPr="00471CBA">
              <w:t>244</w:t>
            </w:r>
          </w:p>
        </w:tc>
        <w:tc>
          <w:tcPr>
            <w:tcW w:w="622" w:type="pct"/>
            <w:tcBorders>
              <w:bottom w:val="single" w:sz="4" w:space="0" w:color="auto"/>
            </w:tcBorders>
            <w:noWrap/>
            <w:hideMark/>
          </w:tcPr>
          <w:p w14:paraId="0D6D2384" w14:textId="1EAFFBED" w:rsidR="00496DDF" w:rsidRPr="00471CBA" w:rsidRDefault="00496DDF" w:rsidP="00496DDF">
            <w:pPr>
              <w:jc w:val="right"/>
              <w:rPr>
                <w:color w:val="000000"/>
                <w:szCs w:val="20"/>
                <w:lang w:eastAsia="tr-TR"/>
              </w:rPr>
            </w:pPr>
            <w:r w:rsidRPr="00471CBA">
              <w:t>-</w:t>
            </w:r>
          </w:p>
        </w:tc>
      </w:tr>
      <w:bookmarkEnd w:id="109"/>
    </w:tbl>
    <w:p w14:paraId="018E44D4" w14:textId="7542B6FA" w:rsidR="004E6BD3" w:rsidRPr="00471CBA" w:rsidRDefault="004E6BD3" w:rsidP="008679D6"/>
    <w:p w14:paraId="1B7286A4" w14:textId="365359B8" w:rsidR="004E6BD3" w:rsidRPr="00471CBA" w:rsidRDefault="004E6BD3">
      <w:r w:rsidRPr="00471CBA">
        <w:br w:type="page"/>
      </w:r>
    </w:p>
    <w:p w14:paraId="6D219002" w14:textId="77777777" w:rsidR="008472F9" w:rsidRPr="00471CBA" w:rsidRDefault="008472F9" w:rsidP="008472F9">
      <w:pPr>
        <w:rPr>
          <w:b/>
          <w:szCs w:val="20"/>
        </w:rPr>
      </w:pPr>
      <w:bookmarkStart w:id="110" w:name="_Hlk196899033"/>
      <w:r w:rsidRPr="00471CBA">
        <w:rPr>
          <w:b/>
          <w:szCs w:val="20"/>
        </w:rPr>
        <w:t>KONSOLİDE OLMAYAN FİNANSAL TABLOLARA İLİŞKİN AÇIKLAMA VE DİPNOTLAR (Devamı)</w:t>
      </w:r>
    </w:p>
    <w:p w14:paraId="3B9E9C41" w14:textId="77777777" w:rsidR="008472F9" w:rsidRPr="00471CBA" w:rsidRDefault="008472F9" w:rsidP="008472F9">
      <w:pPr>
        <w:pStyle w:val="ListeParagraf"/>
        <w:widowControl w:val="0"/>
        <w:ind w:left="14" w:right="452"/>
        <w:jc w:val="both"/>
        <w:rPr>
          <w:b/>
          <w:szCs w:val="20"/>
        </w:rPr>
      </w:pPr>
    </w:p>
    <w:p w14:paraId="4EDD4972" w14:textId="77777777" w:rsidR="008472F9" w:rsidRPr="00471CBA" w:rsidRDefault="008472F9" w:rsidP="008459A9">
      <w:pPr>
        <w:pStyle w:val="ListeParagraf"/>
        <w:widowControl w:val="0"/>
        <w:numPr>
          <w:ilvl w:val="0"/>
          <w:numId w:val="75"/>
        </w:numPr>
        <w:ind w:left="567" w:hanging="567"/>
        <w:jc w:val="both"/>
        <w:rPr>
          <w:b/>
          <w:szCs w:val="20"/>
        </w:rPr>
      </w:pPr>
      <w:r w:rsidRPr="00471CBA">
        <w:rPr>
          <w:b/>
          <w:szCs w:val="20"/>
        </w:rPr>
        <w:t>BİLANÇONUN AKTİF HESAPLARINA İLİŞKİN AÇIKLAMA VE DİPNOTLAR (Devamı)</w:t>
      </w:r>
    </w:p>
    <w:p w14:paraId="0C247177" w14:textId="77777777" w:rsidR="008472F9" w:rsidRPr="00471CBA" w:rsidRDefault="008472F9" w:rsidP="008472F9">
      <w:pPr>
        <w:pStyle w:val="ListeParagraf"/>
        <w:widowControl w:val="0"/>
        <w:ind w:left="567"/>
        <w:jc w:val="both"/>
        <w:rPr>
          <w:b/>
          <w:szCs w:val="20"/>
        </w:rPr>
      </w:pPr>
    </w:p>
    <w:p w14:paraId="4B7A67EA" w14:textId="719F6CF9" w:rsidR="004E6BD3" w:rsidRPr="00471CBA" w:rsidRDefault="00E96B8E" w:rsidP="000C3408">
      <w:pPr>
        <w:pStyle w:val="ListeParagraf"/>
        <w:widowControl w:val="0"/>
        <w:numPr>
          <w:ilvl w:val="1"/>
          <w:numId w:val="2"/>
        </w:numPr>
        <w:tabs>
          <w:tab w:val="clear" w:pos="1440"/>
        </w:tabs>
        <w:ind w:left="567" w:hanging="567"/>
        <w:jc w:val="both"/>
        <w:rPr>
          <w:b/>
          <w:szCs w:val="20"/>
        </w:rPr>
      </w:pPr>
      <w:r w:rsidRPr="00471CBA">
        <w:rPr>
          <w:b/>
          <w:szCs w:val="20"/>
        </w:rPr>
        <w:t>Bağlı ortaklıklara ilişkin bilgiler:</w:t>
      </w:r>
    </w:p>
    <w:bookmarkEnd w:id="110"/>
    <w:p w14:paraId="0FEF6E0C" w14:textId="3DBF28B6" w:rsidR="004E6BD3" w:rsidRPr="00471CBA" w:rsidRDefault="004E6BD3" w:rsidP="004E6BD3">
      <w:pPr>
        <w:widowControl w:val="0"/>
        <w:jc w:val="both"/>
        <w:rPr>
          <w:b/>
          <w:szCs w:val="20"/>
        </w:rPr>
      </w:pPr>
    </w:p>
    <w:tbl>
      <w:tblPr>
        <w:tblW w:w="5076" w:type="pct"/>
        <w:tblLook w:val="0000" w:firstRow="0" w:lastRow="0" w:firstColumn="0" w:lastColumn="0" w:noHBand="0" w:noVBand="0"/>
      </w:tblPr>
      <w:tblGrid>
        <w:gridCol w:w="568"/>
        <w:gridCol w:w="3831"/>
        <w:gridCol w:w="1702"/>
        <w:gridCol w:w="1981"/>
        <w:gridCol w:w="1415"/>
      </w:tblGrid>
      <w:tr w:rsidR="00D501AD" w:rsidRPr="00471CBA" w14:paraId="6C44A96B" w14:textId="77777777" w:rsidTr="00D501AD">
        <w:trPr>
          <w:trHeight w:val="113"/>
        </w:trPr>
        <w:tc>
          <w:tcPr>
            <w:tcW w:w="299" w:type="pct"/>
            <w:tcBorders>
              <w:bottom w:val="single" w:sz="4" w:space="0" w:color="auto"/>
            </w:tcBorders>
          </w:tcPr>
          <w:p w14:paraId="1F236A17" w14:textId="77777777" w:rsidR="00D501AD" w:rsidRPr="00471CBA" w:rsidRDefault="00D501AD" w:rsidP="00D501AD">
            <w:pPr>
              <w:pStyle w:val="GvdeMetniGirintisi"/>
              <w:tabs>
                <w:tab w:val="left" w:pos="900"/>
              </w:tabs>
              <w:ind w:left="-108" w:firstLine="0"/>
              <w:jc w:val="center"/>
              <w:rPr>
                <w:b/>
                <w:bCs/>
                <w:szCs w:val="20"/>
              </w:rPr>
            </w:pPr>
            <w:bookmarkStart w:id="111" w:name="_Hlk196898976"/>
          </w:p>
        </w:tc>
        <w:tc>
          <w:tcPr>
            <w:tcW w:w="2017" w:type="pct"/>
            <w:tcBorders>
              <w:bottom w:val="single" w:sz="4" w:space="0" w:color="auto"/>
            </w:tcBorders>
            <w:vAlign w:val="bottom"/>
          </w:tcPr>
          <w:p w14:paraId="65F2FE7F" w14:textId="7AA821BE" w:rsidR="00D501AD" w:rsidRPr="00471CBA" w:rsidRDefault="00D501AD" w:rsidP="00D501AD">
            <w:pPr>
              <w:pStyle w:val="GvdeMetniGirintisi"/>
              <w:tabs>
                <w:tab w:val="left" w:pos="900"/>
              </w:tabs>
              <w:ind w:left="-108" w:firstLine="0"/>
              <w:jc w:val="center"/>
              <w:rPr>
                <w:b/>
                <w:bCs/>
                <w:szCs w:val="20"/>
              </w:rPr>
            </w:pPr>
            <w:r w:rsidRPr="00471CBA">
              <w:rPr>
                <w:b/>
                <w:bCs/>
                <w:szCs w:val="20"/>
              </w:rPr>
              <w:t>Unvanı</w:t>
            </w:r>
          </w:p>
        </w:tc>
        <w:tc>
          <w:tcPr>
            <w:tcW w:w="896" w:type="pct"/>
            <w:tcBorders>
              <w:bottom w:val="single" w:sz="4" w:space="0" w:color="auto"/>
            </w:tcBorders>
            <w:vAlign w:val="bottom"/>
          </w:tcPr>
          <w:p w14:paraId="361A3BE8" w14:textId="77777777" w:rsidR="00D501AD" w:rsidRPr="00471CBA" w:rsidRDefault="00D501AD" w:rsidP="00D501AD">
            <w:pPr>
              <w:pStyle w:val="GvdeMetniGirintisi"/>
              <w:tabs>
                <w:tab w:val="left" w:pos="900"/>
              </w:tabs>
              <w:ind w:left="-108" w:firstLine="0"/>
              <w:jc w:val="center"/>
              <w:rPr>
                <w:b/>
                <w:bCs/>
                <w:szCs w:val="20"/>
              </w:rPr>
            </w:pPr>
            <w:r w:rsidRPr="00471CBA">
              <w:rPr>
                <w:b/>
                <w:bCs/>
                <w:szCs w:val="20"/>
              </w:rPr>
              <w:t>Adres (Şehir/Ülke)</w:t>
            </w:r>
          </w:p>
        </w:tc>
        <w:tc>
          <w:tcPr>
            <w:tcW w:w="1043" w:type="pct"/>
            <w:tcBorders>
              <w:bottom w:val="single" w:sz="4" w:space="0" w:color="auto"/>
            </w:tcBorders>
            <w:vAlign w:val="bottom"/>
          </w:tcPr>
          <w:p w14:paraId="27791118" w14:textId="77777777" w:rsidR="00D501AD" w:rsidRPr="00471CBA" w:rsidRDefault="00D501AD" w:rsidP="00D501AD">
            <w:pPr>
              <w:ind w:left="-93"/>
              <w:jc w:val="center"/>
              <w:rPr>
                <w:b/>
                <w:bCs/>
                <w:szCs w:val="20"/>
              </w:rPr>
            </w:pPr>
            <w:r w:rsidRPr="00471CBA">
              <w:rPr>
                <w:b/>
                <w:bCs/>
                <w:szCs w:val="20"/>
              </w:rPr>
              <w:t xml:space="preserve">Banka’nın Pay Oranı-Farklıysa </w:t>
            </w:r>
            <w:r w:rsidRPr="00471CBA">
              <w:rPr>
                <w:b/>
                <w:bCs/>
                <w:szCs w:val="20"/>
              </w:rPr>
              <w:br/>
              <w:t>Oy Oranı (%)</w:t>
            </w:r>
          </w:p>
        </w:tc>
        <w:tc>
          <w:tcPr>
            <w:tcW w:w="745" w:type="pct"/>
            <w:tcBorders>
              <w:bottom w:val="single" w:sz="4" w:space="0" w:color="auto"/>
            </w:tcBorders>
            <w:vAlign w:val="bottom"/>
          </w:tcPr>
          <w:p w14:paraId="3E91FA29" w14:textId="77777777" w:rsidR="00D501AD" w:rsidRPr="00471CBA" w:rsidRDefault="00D501AD" w:rsidP="00D501AD">
            <w:pPr>
              <w:ind w:left="-93"/>
              <w:jc w:val="center"/>
              <w:rPr>
                <w:b/>
                <w:bCs/>
                <w:szCs w:val="20"/>
              </w:rPr>
            </w:pPr>
            <w:r w:rsidRPr="00471CBA">
              <w:rPr>
                <w:b/>
                <w:bCs/>
                <w:szCs w:val="20"/>
              </w:rPr>
              <w:t>Banka Risk</w:t>
            </w:r>
          </w:p>
          <w:p w14:paraId="0136C7AC" w14:textId="77777777" w:rsidR="00D501AD" w:rsidRPr="00471CBA" w:rsidRDefault="00D501AD" w:rsidP="00D501AD">
            <w:pPr>
              <w:ind w:left="-93"/>
              <w:jc w:val="center"/>
              <w:rPr>
                <w:b/>
                <w:bCs/>
                <w:szCs w:val="20"/>
              </w:rPr>
            </w:pPr>
            <w:r w:rsidRPr="00471CBA">
              <w:rPr>
                <w:b/>
                <w:bCs/>
                <w:szCs w:val="20"/>
              </w:rPr>
              <w:t>Grubunun</w:t>
            </w:r>
          </w:p>
          <w:p w14:paraId="6A918914" w14:textId="2D96BD9E" w:rsidR="00D501AD" w:rsidRPr="00471CBA" w:rsidRDefault="00D501AD" w:rsidP="00D501AD">
            <w:pPr>
              <w:ind w:left="-93"/>
              <w:jc w:val="center"/>
              <w:rPr>
                <w:b/>
                <w:bCs/>
                <w:szCs w:val="20"/>
              </w:rPr>
            </w:pPr>
            <w:r w:rsidRPr="00471CBA">
              <w:rPr>
                <w:b/>
                <w:bCs/>
                <w:szCs w:val="20"/>
              </w:rPr>
              <w:t>Pay Oranı (%)</w:t>
            </w:r>
          </w:p>
        </w:tc>
      </w:tr>
      <w:tr w:rsidR="00D501AD" w:rsidRPr="00471CBA" w14:paraId="05F5EF14" w14:textId="77777777" w:rsidTr="00D501AD">
        <w:trPr>
          <w:trHeight w:val="113"/>
        </w:trPr>
        <w:tc>
          <w:tcPr>
            <w:tcW w:w="299" w:type="pct"/>
            <w:tcBorders>
              <w:top w:val="single" w:sz="4" w:space="0" w:color="auto"/>
            </w:tcBorders>
          </w:tcPr>
          <w:p w14:paraId="05AF1000" w14:textId="77777777" w:rsidR="00D501AD" w:rsidRPr="00471CBA" w:rsidRDefault="00D501AD" w:rsidP="00D501AD">
            <w:pPr>
              <w:pStyle w:val="GvdeMetniGirintisi"/>
              <w:tabs>
                <w:tab w:val="left" w:pos="900"/>
              </w:tabs>
              <w:ind w:left="-108" w:firstLine="0"/>
              <w:jc w:val="center"/>
              <w:rPr>
                <w:b/>
                <w:bCs/>
                <w:szCs w:val="20"/>
              </w:rPr>
            </w:pPr>
          </w:p>
        </w:tc>
        <w:tc>
          <w:tcPr>
            <w:tcW w:w="2017" w:type="pct"/>
            <w:tcBorders>
              <w:top w:val="single" w:sz="4" w:space="0" w:color="auto"/>
            </w:tcBorders>
            <w:vAlign w:val="bottom"/>
          </w:tcPr>
          <w:p w14:paraId="21244FF4" w14:textId="2CA9B5C5" w:rsidR="00D501AD" w:rsidRPr="00471CBA" w:rsidRDefault="00D501AD" w:rsidP="00D501AD">
            <w:pPr>
              <w:pStyle w:val="GvdeMetniGirintisi"/>
              <w:tabs>
                <w:tab w:val="left" w:pos="900"/>
              </w:tabs>
              <w:ind w:left="-108" w:firstLine="0"/>
              <w:jc w:val="center"/>
              <w:rPr>
                <w:b/>
                <w:bCs/>
                <w:szCs w:val="20"/>
              </w:rPr>
            </w:pPr>
          </w:p>
        </w:tc>
        <w:tc>
          <w:tcPr>
            <w:tcW w:w="896" w:type="pct"/>
            <w:tcBorders>
              <w:top w:val="single" w:sz="4" w:space="0" w:color="auto"/>
            </w:tcBorders>
            <w:vAlign w:val="bottom"/>
          </w:tcPr>
          <w:p w14:paraId="091C14A4" w14:textId="77777777" w:rsidR="00D501AD" w:rsidRPr="00471CBA" w:rsidRDefault="00D501AD" w:rsidP="00D501AD">
            <w:pPr>
              <w:pStyle w:val="GvdeMetniGirintisi"/>
              <w:tabs>
                <w:tab w:val="left" w:pos="900"/>
              </w:tabs>
              <w:ind w:left="-108" w:firstLine="0"/>
              <w:jc w:val="center"/>
              <w:rPr>
                <w:b/>
                <w:bCs/>
                <w:szCs w:val="20"/>
              </w:rPr>
            </w:pPr>
          </w:p>
        </w:tc>
        <w:tc>
          <w:tcPr>
            <w:tcW w:w="1043" w:type="pct"/>
            <w:tcBorders>
              <w:top w:val="single" w:sz="4" w:space="0" w:color="auto"/>
            </w:tcBorders>
            <w:vAlign w:val="bottom"/>
          </w:tcPr>
          <w:p w14:paraId="1550989E" w14:textId="77777777" w:rsidR="00D501AD" w:rsidRPr="00471CBA" w:rsidRDefault="00D501AD" w:rsidP="00D501AD">
            <w:pPr>
              <w:ind w:left="-93"/>
              <w:jc w:val="center"/>
              <w:rPr>
                <w:b/>
                <w:bCs/>
                <w:szCs w:val="20"/>
              </w:rPr>
            </w:pPr>
          </w:p>
        </w:tc>
        <w:tc>
          <w:tcPr>
            <w:tcW w:w="745" w:type="pct"/>
            <w:tcBorders>
              <w:top w:val="single" w:sz="4" w:space="0" w:color="auto"/>
            </w:tcBorders>
            <w:vAlign w:val="bottom"/>
          </w:tcPr>
          <w:p w14:paraId="4FFBB259" w14:textId="77777777" w:rsidR="00D501AD" w:rsidRPr="00471CBA" w:rsidRDefault="00D501AD" w:rsidP="00D501AD">
            <w:pPr>
              <w:ind w:left="-93"/>
              <w:jc w:val="center"/>
              <w:rPr>
                <w:b/>
                <w:bCs/>
                <w:szCs w:val="20"/>
              </w:rPr>
            </w:pPr>
          </w:p>
        </w:tc>
      </w:tr>
      <w:tr w:rsidR="00D501AD" w:rsidRPr="00471CBA" w14:paraId="0E928D24" w14:textId="77777777" w:rsidTr="00D501AD">
        <w:trPr>
          <w:trHeight w:val="113"/>
        </w:trPr>
        <w:tc>
          <w:tcPr>
            <w:tcW w:w="299" w:type="pct"/>
            <w:vAlign w:val="bottom"/>
          </w:tcPr>
          <w:p w14:paraId="769D3079" w14:textId="5ABE3F97" w:rsidR="00D501AD" w:rsidRPr="00471CBA" w:rsidRDefault="00D501AD" w:rsidP="00D501AD">
            <w:pPr>
              <w:pStyle w:val="GvdeMetniGirintisi"/>
              <w:tabs>
                <w:tab w:val="left" w:pos="900"/>
              </w:tabs>
              <w:ind w:left="-108" w:firstLine="0"/>
              <w:jc w:val="center"/>
              <w:rPr>
                <w:b/>
                <w:bCs/>
                <w:szCs w:val="20"/>
              </w:rPr>
            </w:pPr>
            <w:r w:rsidRPr="00471CBA">
              <w:rPr>
                <w:b/>
                <w:bCs/>
                <w:szCs w:val="20"/>
              </w:rPr>
              <w:t>1</w:t>
            </w:r>
          </w:p>
        </w:tc>
        <w:tc>
          <w:tcPr>
            <w:tcW w:w="2017" w:type="pct"/>
          </w:tcPr>
          <w:p w14:paraId="5780BCEA" w14:textId="280583C7" w:rsidR="00D501AD" w:rsidRPr="00471CBA" w:rsidRDefault="00D501AD" w:rsidP="00D501AD">
            <w:pPr>
              <w:pStyle w:val="GvdeMetniGirintisi"/>
              <w:tabs>
                <w:tab w:val="left" w:pos="900"/>
              </w:tabs>
              <w:ind w:left="-108" w:firstLine="0"/>
              <w:jc w:val="left"/>
              <w:rPr>
                <w:szCs w:val="20"/>
              </w:rPr>
            </w:pPr>
            <w:r w:rsidRPr="00471CBA">
              <w:rPr>
                <w:szCs w:val="20"/>
              </w:rPr>
              <w:t>DK Girişim Sermayesi Yatırım Ortaklığı A.Ş.</w:t>
            </w:r>
          </w:p>
        </w:tc>
        <w:tc>
          <w:tcPr>
            <w:tcW w:w="896" w:type="pct"/>
            <w:vAlign w:val="bottom"/>
          </w:tcPr>
          <w:p w14:paraId="00DC4709" w14:textId="77777777" w:rsidR="00D501AD" w:rsidRPr="00471CBA" w:rsidRDefault="00D501AD" w:rsidP="00D501AD">
            <w:pPr>
              <w:pStyle w:val="GvdeMetniGirintisi"/>
              <w:tabs>
                <w:tab w:val="left" w:pos="900"/>
              </w:tabs>
              <w:ind w:firstLine="0"/>
              <w:jc w:val="center"/>
              <w:rPr>
                <w:szCs w:val="20"/>
              </w:rPr>
            </w:pPr>
            <w:r w:rsidRPr="00471CBA">
              <w:rPr>
                <w:szCs w:val="20"/>
              </w:rPr>
              <w:t>İstanbul/Türkiye</w:t>
            </w:r>
          </w:p>
        </w:tc>
        <w:tc>
          <w:tcPr>
            <w:tcW w:w="1043" w:type="pct"/>
            <w:vAlign w:val="bottom"/>
          </w:tcPr>
          <w:p w14:paraId="1D9DD892" w14:textId="0068CBA0" w:rsidR="00D501AD" w:rsidRPr="00471CBA" w:rsidRDefault="00D501AD" w:rsidP="00D501AD">
            <w:pPr>
              <w:jc w:val="center"/>
              <w:rPr>
                <w:szCs w:val="20"/>
              </w:rPr>
            </w:pPr>
            <w:r w:rsidRPr="00471CBA">
              <w:rPr>
                <w:szCs w:val="20"/>
              </w:rPr>
              <w:t>100</w:t>
            </w:r>
          </w:p>
        </w:tc>
        <w:tc>
          <w:tcPr>
            <w:tcW w:w="745" w:type="pct"/>
            <w:vAlign w:val="bottom"/>
          </w:tcPr>
          <w:p w14:paraId="4B8A2AA3" w14:textId="532BA2DE" w:rsidR="00D501AD" w:rsidRPr="00471CBA" w:rsidRDefault="00D501AD" w:rsidP="00D501AD">
            <w:pPr>
              <w:jc w:val="center"/>
              <w:rPr>
                <w:szCs w:val="20"/>
              </w:rPr>
            </w:pPr>
            <w:r w:rsidRPr="00471CBA">
              <w:rPr>
                <w:szCs w:val="20"/>
              </w:rPr>
              <w:t>100</w:t>
            </w:r>
          </w:p>
        </w:tc>
      </w:tr>
      <w:tr w:rsidR="00D501AD" w:rsidRPr="00471CBA" w14:paraId="2F5F06E8" w14:textId="77777777" w:rsidTr="00D501AD">
        <w:trPr>
          <w:trHeight w:val="113"/>
        </w:trPr>
        <w:tc>
          <w:tcPr>
            <w:tcW w:w="299" w:type="pct"/>
            <w:vAlign w:val="bottom"/>
          </w:tcPr>
          <w:p w14:paraId="0FBF5DDF" w14:textId="4F9A67A9" w:rsidR="00D501AD" w:rsidRPr="00471CBA" w:rsidRDefault="00D501AD" w:rsidP="00D501AD">
            <w:pPr>
              <w:pStyle w:val="GvdeMetniGirintisi"/>
              <w:tabs>
                <w:tab w:val="left" w:pos="900"/>
              </w:tabs>
              <w:ind w:left="-108" w:firstLine="0"/>
              <w:jc w:val="center"/>
              <w:rPr>
                <w:b/>
                <w:bCs/>
                <w:szCs w:val="20"/>
              </w:rPr>
            </w:pPr>
            <w:r w:rsidRPr="00471CBA">
              <w:rPr>
                <w:b/>
                <w:bCs/>
                <w:szCs w:val="20"/>
              </w:rPr>
              <w:t>2</w:t>
            </w:r>
          </w:p>
        </w:tc>
        <w:tc>
          <w:tcPr>
            <w:tcW w:w="2017" w:type="pct"/>
          </w:tcPr>
          <w:p w14:paraId="75E2FCE4" w14:textId="0759813B" w:rsidR="00D501AD" w:rsidRPr="00471CBA" w:rsidRDefault="00D501AD" w:rsidP="00D501AD">
            <w:pPr>
              <w:pStyle w:val="GvdeMetniGirintisi"/>
              <w:tabs>
                <w:tab w:val="left" w:pos="900"/>
              </w:tabs>
              <w:ind w:left="-108" w:firstLine="0"/>
              <w:jc w:val="left"/>
              <w:rPr>
                <w:szCs w:val="20"/>
              </w:rPr>
            </w:pPr>
            <w:r w:rsidRPr="00471CBA">
              <w:rPr>
                <w:szCs w:val="20"/>
              </w:rPr>
              <w:t>DK Portföy Yönetimi A.Ş.</w:t>
            </w:r>
          </w:p>
        </w:tc>
        <w:tc>
          <w:tcPr>
            <w:tcW w:w="896" w:type="pct"/>
          </w:tcPr>
          <w:p w14:paraId="200C9B16" w14:textId="7FA2C36D" w:rsidR="00D501AD" w:rsidRPr="00471CBA" w:rsidRDefault="00D501AD" w:rsidP="00D501AD">
            <w:pPr>
              <w:pStyle w:val="GvdeMetniGirintisi"/>
              <w:tabs>
                <w:tab w:val="left" w:pos="900"/>
              </w:tabs>
              <w:ind w:firstLine="0"/>
              <w:jc w:val="center"/>
              <w:rPr>
                <w:szCs w:val="20"/>
              </w:rPr>
            </w:pPr>
            <w:r w:rsidRPr="00471CBA">
              <w:rPr>
                <w:szCs w:val="20"/>
              </w:rPr>
              <w:t>İstanbul/Türkiye</w:t>
            </w:r>
          </w:p>
        </w:tc>
        <w:tc>
          <w:tcPr>
            <w:tcW w:w="1043" w:type="pct"/>
            <w:vAlign w:val="bottom"/>
          </w:tcPr>
          <w:p w14:paraId="1EA64FF8" w14:textId="4F585AC5" w:rsidR="00D501AD" w:rsidRPr="00471CBA" w:rsidRDefault="00D501AD" w:rsidP="00D501AD">
            <w:pPr>
              <w:jc w:val="center"/>
              <w:rPr>
                <w:szCs w:val="20"/>
              </w:rPr>
            </w:pPr>
            <w:r w:rsidRPr="00471CBA">
              <w:rPr>
                <w:szCs w:val="20"/>
              </w:rPr>
              <w:t>100</w:t>
            </w:r>
          </w:p>
        </w:tc>
        <w:tc>
          <w:tcPr>
            <w:tcW w:w="745" w:type="pct"/>
            <w:vAlign w:val="bottom"/>
          </w:tcPr>
          <w:p w14:paraId="6D56A0AD" w14:textId="4C140D04" w:rsidR="00D501AD" w:rsidRPr="00471CBA" w:rsidRDefault="00D501AD" w:rsidP="00D501AD">
            <w:pPr>
              <w:jc w:val="center"/>
              <w:rPr>
                <w:szCs w:val="20"/>
              </w:rPr>
            </w:pPr>
            <w:r w:rsidRPr="00471CBA">
              <w:rPr>
                <w:szCs w:val="20"/>
              </w:rPr>
              <w:t>100</w:t>
            </w:r>
          </w:p>
        </w:tc>
      </w:tr>
      <w:tr w:rsidR="00D501AD" w:rsidRPr="00471CBA" w14:paraId="6A059086" w14:textId="77777777" w:rsidTr="00D501AD">
        <w:trPr>
          <w:trHeight w:val="113"/>
        </w:trPr>
        <w:tc>
          <w:tcPr>
            <w:tcW w:w="299" w:type="pct"/>
            <w:vAlign w:val="bottom"/>
          </w:tcPr>
          <w:p w14:paraId="5DCFBA77" w14:textId="71879622" w:rsidR="00D501AD" w:rsidRPr="00471CBA" w:rsidRDefault="00D501AD" w:rsidP="00D501AD">
            <w:pPr>
              <w:pStyle w:val="GvdeMetniGirintisi"/>
              <w:tabs>
                <w:tab w:val="left" w:pos="900"/>
              </w:tabs>
              <w:ind w:left="-108" w:firstLine="0"/>
              <w:jc w:val="center"/>
              <w:rPr>
                <w:b/>
                <w:bCs/>
                <w:szCs w:val="20"/>
              </w:rPr>
            </w:pPr>
            <w:r w:rsidRPr="00471CBA">
              <w:rPr>
                <w:b/>
                <w:bCs/>
                <w:szCs w:val="20"/>
              </w:rPr>
              <w:t>3</w:t>
            </w:r>
          </w:p>
        </w:tc>
        <w:tc>
          <w:tcPr>
            <w:tcW w:w="2017" w:type="pct"/>
          </w:tcPr>
          <w:p w14:paraId="616CECE4" w14:textId="3B80F8A6" w:rsidR="00D501AD" w:rsidRPr="00471CBA" w:rsidRDefault="00D501AD" w:rsidP="00D501AD">
            <w:pPr>
              <w:pStyle w:val="GvdeMetniGirintisi"/>
              <w:tabs>
                <w:tab w:val="left" w:pos="900"/>
              </w:tabs>
              <w:ind w:left="-108" w:firstLine="0"/>
              <w:jc w:val="left"/>
              <w:rPr>
                <w:szCs w:val="20"/>
              </w:rPr>
            </w:pPr>
            <w:r w:rsidRPr="00471CBA">
              <w:rPr>
                <w:szCs w:val="20"/>
              </w:rPr>
              <w:t>DK Varlık Kiralama A.Ş.</w:t>
            </w:r>
          </w:p>
        </w:tc>
        <w:tc>
          <w:tcPr>
            <w:tcW w:w="896" w:type="pct"/>
          </w:tcPr>
          <w:p w14:paraId="2AC8BE45" w14:textId="22303A84" w:rsidR="00D501AD" w:rsidRPr="00471CBA" w:rsidRDefault="00D501AD" w:rsidP="00D501AD">
            <w:pPr>
              <w:pStyle w:val="GvdeMetniGirintisi"/>
              <w:tabs>
                <w:tab w:val="left" w:pos="900"/>
              </w:tabs>
              <w:ind w:firstLine="0"/>
              <w:jc w:val="center"/>
              <w:rPr>
                <w:szCs w:val="20"/>
              </w:rPr>
            </w:pPr>
            <w:r w:rsidRPr="00471CBA">
              <w:rPr>
                <w:szCs w:val="20"/>
              </w:rPr>
              <w:t>İstanbul/Türkiye</w:t>
            </w:r>
          </w:p>
        </w:tc>
        <w:tc>
          <w:tcPr>
            <w:tcW w:w="1043" w:type="pct"/>
            <w:vAlign w:val="bottom"/>
          </w:tcPr>
          <w:p w14:paraId="723835EE" w14:textId="0B9F0BE6" w:rsidR="00D501AD" w:rsidRPr="00471CBA" w:rsidRDefault="00D501AD" w:rsidP="00D501AD">
            <w:pPr>
              <w:jc w:val="center"/>
              <w:rPr>
                <w:szCs w:val="20"/>
              </w:rPr>
            </w:pPr>
            <w:r w:rsidRPr="00471CBA">
              <w:rPr>
                <w:szCs w:val="20"/>
              </w:rPr>
              <w:t>100</w:t>
            </w:r>
          </w:p>
        </w:tc>
        <w:tc>
          <w:tcPr>
            <w:tcW w:w="745" w:type="pct"/>
            <w:vAlign w:val="bottom"/>
          </w:tcPr>
          <w:p w14:paraId="7179D5A2" w14:textId="384441A6" w:rsidR="00D501AD" w:rsidRPr="00471CBA" w:rsidRDefault="00D501AD" w:rsidP="00D501AD">
            <w:pPr>
              <w:jc w:val="center"/>
              <w:rPr>
                <w:szCs w:val="20"/>
              </w:rPr>
            </w:pPr>
            <w:r w:rsidRPr="00471CBA">
              <w:rPr>
                <w:szCs w:val="20"/>
              </w:rPr>
              <w:t>100</w:t>
            </w:r>
          </w:p>
        </w:tc>
      </w:tr>
      <w:tr w:rsidR="00D501AD" w:rsidRPr="00471CBA" w14:paraId="198BD2D7" w14:textId="77777777" w:rsidTr="00D501AD">
        <w:trPr>
          <w:trHeight w:val="113"/>
        </w:trPr>
        <w:tc>
          <w:tcPr>
            <w:tcW w:w="299" w:type="pct"/>
            <w:tcBorders>
              <w:bottom w:val="single" w:sz="4" w:space="0" w:color="auto"/>
            </w:tcBorders>
            <w:vAlign w:val="bottom"/>
          </w:tcPr>
          <w:p w14:paraId="4FD62779" w14:textId="1DC0A1AA" w:rsidR="00D501AD" w:rsidRPr="00471CBA" w:rsidRDefault="00D501AD" w:rsidP="00D501AD">
            <w:pPr>
              <w:pStyle w:val="GvdeMetniGirintisi"/>
              <w:tabs>
                <w:tab w:val="left" w:pos="900"/>
              </w:tabs>
              <w:ind w:left="-108" w:firstLine="0"/>
              <w:jc w:val="center"/>
              <w:rPr>
                <w:b/>
                <w:bCs/>
                <w:szCs w:val="20"/>
              </w:rPr>
            </w:pPr>
            <w:r w:rsidRPr="00471CBA">
              <w:rPr>
                <w:b/>
                <w:bCs/>
                <w:szCs w:val="20"/>
              </w:rPr>
              <w:t>4</w:t>
            </w:r>
          </w:p>
        </w:tc>
        <w:tc>
          <w:tcPr>
            <w:tcW w:w="2017" w:type="pct"/>
            <w:tcBorders>
              <w:bottom w:val="single" w:sz="4" w:space="0" w:color="auto"/>
            </w:tcBorders>
          </w:tcPr>
          <w:p w14:paraId="07A5FF16" w14:textId="05314FFC" w:rsidR="00D501AD" w:rsidRPr="00471CBA" w:rsidRDefault="00D501AD" w:rsidP="00D501AD">
            <w:pPr>
              <w:pStyle w:val="GvdeMetniGirintisi"/>
              <w:tabs>
                <w:tab w:val="left" w:pos="900"/>
              </w:tabs>
              <w:ind w:left="-108" w:firstLine="0"/>
              <w:jc w:val="left"/>
              <w:rPr>
                <w:szCs w:val="20"/>
              </w:rPr>
            </w:pPr>
            <w:r w:rsidRPr="00471CBA">
              <w:rPr>
                <w:szCs w:val="20"/>
              </w:rPr>
              <w:t>DK Yatırım Menkul Değerler A.Ş.</w:t>
            </w:r>
          </w:p>
        </w:tc>
        <w:tc>
          <w:tcPr>
            <w:tcW w:w="896" w:type="pct"/>
            <w:tcBorders>
              <w:bottom w:val="single" w:sz="4" w:space="0" w:color="auto"/>
            </w:tcBorders>
          </w:tcPr>
          <w:p w14:paraId="063794C3" w14:textId="2F418EA1" w:rsidR="00D501AD" w:rsidRPr="00471CBA" w:rsidRDefault="00D501AD" w:rsidP="00D501AD">
            <w:pPr>
              <w:pStyle w:val="GvdeMetniGirintisi"/>
              <w:tabs>
                <w:tab w:val="left" w:pos="900"/>
              </w:tabs>
              <w:ind w:firstLine="0"/>
              <w:jc w:val="center"/>
              <w:rPr>
                <w:szCs w:val="20"/>
              </w:rPr>
            </w:pPr>
            <w:r w:rsidRPr="00471CBA">
              <w:rPr>
                <w:szCs w:val="20"/>
              </w:rPr>
              <w:t>İstanbul/Türkiye</w:t>
            </w:r>
          </w:p>
        </w:tc>
        <w:tc>
          <w:tcPr>
            <w:tcW w:w="1043" w:type="pct"/>
            <w:tcBorders>
              <w:bottom w:val="single" w:sz="4" w:space="0" w:color="auto"/>
            </w:tcBorders>
            <w:vAlign w:val="bottom"/>
          </w:tcPr>
          <w:p w14:paraId="1D529EEF" w14:textId="351E33E0" w:rsidR="00D501AD" w:rsidRPr="00471CBA" w:rsidRDefault="00D501AD" w:rsidP="00D501AD">
            <w:pPr>
              <w:jc w:val="center"/>
              <w:rPr>
                <w:szCs w:val="20"/>
              </w:rPr>
            </w:pPr>
            <w:r w:rsidRPr="00471CBA">
              <w:rPr>
                <w:szCs w:val="20"/>
              </w:rPr>
              <w:t>100</w:t>
            </w:r>
          </w:p>
        </w:tc>
        <w:tc>
          <w:tcPr>
            <w:tcW w:w="745" w:type="pct"/>
            <w:tcBorders>
              <w:bottom w:val="single" w:sz="4" w:space="0" w:color="auto"/>
            </w:tcBorders>
            <w:vAlign w:val="bottom"/>
          </w:tcPr>
          <w:p w14:paraId="05A8031B" w14:textId="2D974610" w:rsidR="00D501AD" w:rsidRPr="00471CBA" w:rsidRDefault="00D501AD" w:rsidP="00D501AD">
            <w:pPr>
              <w:jc w:val="center"/>
              <w:rPr>
                <w:szCs w:val="20"/>
              </w:rPr>
            </w:pPr>
            <w:r w:rsidRPr="00471CBA">
              <w:rPr>
                <w:szCs w:val="20"/>
              </w:rPr>
              <w:t>100</w:t>
            </w:r>
          </w:p>
        </w:tc>
      </w:tr>
      <w:bookmarkEnd w:id="111"/>
    </w:tbl>
    <w:p w14:paraId="6989A1F6" w14:textId="73464ED1" w:rsidR="004E6BD3" w:rsidRPr="00471CBA" w:rsidRDefault="004E6BD3" w:rsidP="004E6BD3">
      <w:pPr>
        <w:widowControl w:val="0"/>
        <w:jc w:val="both"/>
        <w:rPr>
          <w:b/>
          <w:szCs w:val="20"/>
        </w:rPr>
      </w:pPr>
    </w:p>
    <w:p w14:paraId="6B4AAA13" w14:textId="17E71D01" w:rsidR="00E96B8E" w:rsidRPr="00471CBA" w:rsidRDefault="00E96B8E" w:rsidP="00E96B8E">
      <w:pPr>
        <w:pStyle w:val="ListeParagraf"/>
        <w:widowControl w:val="0"/>
        <w:numPr>
          <w:ilvl w:val="1"/>
          <w:numId w:val="2"/>
        </w:numPr>
        <w:tabs>
          <w:tab w:val="clear" w:pos="1440"/>
        </w:tabs>
        <w:ind w:left="567" w:hanging="567"/>
        <w:jc w:val="both"/>
        <w:rPr>
          <w:b/>
          <w:szCs w:val="20"/>
        </w:rPr>
      </w:pPr>
      <w:r w:rsidRPr="00471CBA">
        <w:rPr>
          <w:b/>
          <w:szCs w:val="20"/>
        </w:rPr>
        <w:t>Yukarıda yer alan sıraya göre bağlı ortaklıklara ilişkin önemli finansal tablo bilgileri:</w:t>
      </w:r>
    </w:p>
    <w:p w14:paraId="45B2B13D" w14:textId="77777777" w:rsidR="00E96B8E" w:rsidRPr="00471CBA" w:rsidRDefault="00E96B8E" w:rsidP="004E6BD3">
      <w:pPr>
        <w:widowControl w:val="0"/>
        <w:jc w:val="both"/>
        <w:rPr>
          <w:b/>
          <w:szCs w:val="20"/>
        </w:rPr>
      </w:pPr>
    </w:p>
    <w:tbl>
      <w:tblPr>
        <w:tblW w:w="5069" w:type="pct"/>
        <w:tblLayout w:type="fixed"/>
        <w:tblCellMar>
          <w:left w:w="70" w:type="dxa"/>
          <w:right w:w="70" w:type="dxa"/>
        </w:tblCellMar>
        <w:tblLook w:val="04A0" w:firstRow="1" w:lastRow="0" w:firstColumn="1" w:lastColumn="0" w:noHBand="0" w:noVBand="1"/>
      </w:tblPr>
      <w:tblGrid>
        <w:gridCol w:w="543"/>
        <w:gridCol w:w="1171"/>
        <w:gridCol w:w="1223"/>
        <w:gridCol w:w="1079"/>
        <w:gridCol w:w="1077"/>
        <w:gridCol w:w="1079"/>
        <w:gridCol w:w="1110"/>
        <w:gridCol w:w="1132"/>
        <w:gridCol w:w="1070"/>
      </w:tblGrid>
      <w:tr w:rsidR="00E5344E" w:rsidRPr="00471CBA" w14:paraId="5C8770F2" w14:textId="77777777" w:rsidTr="002B26C7">
        <w:trPr>
          <w:trHeight w:val="227"/>
        </w:trPr>
        <w:tc>
          <w:tcPr>
            <w:tcW w:w="286" w:type="pct"/>
            <w:tcBorders>
              <w:top w:val="single" w:sz="4" w:space="0" w:color="auto"/>
              <w:bottom w:val="single" w:sz="4" w:space="0" w:color="auto"/>
            </w:tcBorders>
          </w:tcPr>
          <w:p w14:paraId="5A31F313" w14:textId="77777777" w:rsidR="00E5344E" w:rsidRPr="00471CBA" w:rsidRDefault="00E5344E" w:rsidP="00E70C0B">
            <w:pPr>
              <w:jc w:val="right"/>
              <w:rPr>
                <w:b/>
                <w:bCs/>
                <w:color w:val="000000"/>
                <w:szCs w:val="20"/>
                <w:lang w:eastAsia="tr-TR"/>
              </w:rPr>
            </w:pPr>
          </w:p>
        </w:tc>
        <w:tc>
          <w:tcPr>
            <w:tcW w:w="617" w:type="pct"/>
            <w:tcBorders>
              <w:top w:val="single" w:sz="4" w:space="0" w:color="auto"/>
              <w:bottom w:val="single" w:sz="4" w:space="0" w:color="auto"/>
            </w:tcBorders>
            <w:noWrap/>
            <w:vAlign w:val="bottom"/>
            <w:hideMark/>
          </w:tcPr>
          <w:p w14:paraId="6CC3C4A0" w14:textId="42693C0F" w:rsidR="00E5344E" w:rsidRPr="00471CBA" w:rsidRDefault="00E5344E" w:rsidP="00E70C0B">
            <w:pPr>
              <w:jc w:val="right"/>
              <w:rPr>
                <w:b/>
                <w:bCs/>
                <w:color w:val="000000"/>
                <w:szCs w:val="20"/>
                <w:lang w:eastAsia="tr-TR"/>
              </w:rPr>
            </w:pPr>
            <w:r w:rsidRPr="00471CBA">
              <w:rPr>
                <w:b/>
                <w:bCs/>
                <w:color w:val="000000"/>
                <w:szCs w:val="20"/>
                <w:lang w:eastAsia="tr-TR"/>
              </w:rPr>
              <w:t>Aktif Toplamı</w:t>
            </w:r>
          </w:p>
        </w:tc>
        <w:tc>
          <w:tcPr>
            <w:tcW w:w="645" w:type="pct"/>
            <w:tcBorders>
              <w:top w:val="single" w:sz="4" w:space="0" w:color="auto"/>
              <w:bottom w:val="single" w:sz="4" w:space="0" w:color="auto"/>
            </w:tcBorders>
            <w:noWrap/>
            <w:vAlign w:val="bottom"/>
            <w:hideMark/>
          </w:tcPr>
          <w:p w14:paraId="2D5B2004" w14:textId="77777777" w:rsidR="00E5344E" w:rsidRPr="00471CBA" w:rsidRDefault="00E5344E" w:rsidP="00E70C0B">
            <w:pPr>
              <w:jc w:val="right"/>
              <w:rPr>
                <w:b/>
                <w:bCs/>
                <w:color w:val="000000"/>
                <w:szCs w:val="20"/>
                <w:lang w:eastAsia="tr-TR"/>
              </w:rPr>
            </w:pPr>
            <w:r w:rsidRPr="00471CBA">
              <w:rPr>
                <w:b/>
                <w:bCs/>
                <w:color w:val="000000"/>
                <w:szCs w:val="20"/>
                <w:lang w:eastAsia="tr-TR"/>
              </w:rPr>
              <w:t>Özkaynak</w:t>
            </w:r>
          </w:p>
        </w:tc>
        <w:tc>
          <w:tcPr>
            <w:tcW w:w="569" w:type="pct"/>
            <w:tcBorders>
              <w:top w:val="single" w:sz="4" w:space="0" w:color="auto"/>
              <w:bottom w:val="single" w:sz="4" w:space="0" w:color="auto"/>
            </w:tcBorders>
            <w:noWrap/>
            <w:vAlign w:val="bottom"/>
            <w:hideMark/>
          </w:tcPr>
          <w:p w14:paraId="1BE816E4" w14:textId="77777777" w:rsidR="00E5344E" w:rsidRPr="00471CBA" w:rsidRDefault="00E5344E" w:rsidP="00E70C0B">
            <w:pPr>
              <w:jc w:val="right"/>
              <w:rPr>
                <w:b/>
                <w:bCs/>
                <w:color w:val="000000"/>
                <w:szCs w:val="20"/>
                <w:lang w:eastAsia="tr-TR"/>
              </w:rPr>
            </w:pPr>
            <w:r w:rsidRPr="00471CBA">
              <w:rPr>
                <w:b/>
                <w:bCs/>
                <w:color w:val="000000"/>
                <w:szCs w:val="20"/>
                <w:lang w:eastAsia="tr-TR"/>
              </w:rPr>
              <w:t>Sabit Varlık Toplamı</w:t>
            </w:r>
          </w:p>
        </w:tc>
        <w:tc>
          <w:tcPr>
            <w:tcW w:w="568" w:type="pct"/>
            <w:tcBorders>
              <w:top w:val="single" w:sz="4" w:space="0" w:color="auto"/>
              <w:bottom w:val="single" w:sz="4" w:space="0" w:color="auto"/>
            </w:tcBorders>
            <w:noWrap/>
            <w:vAlign w:val="bottom"/>
            <w:hideMark/>
          </w:tcPr>
          <w:p w14:paraId="31C2EFB6" w14:textId="77777777" w:rsidR="00E5344E" w:rsidRPr="00471CBA" w:rsidRDefault="00E5344E" w:rsidP="00E70C0B">
            <w:pPr>
              <w:jc w:val="right"/>
              <w:rPr>
                <w:b/>
                <w:bCs/>
                <w:color w:val="000000"/>
                <w:szCs w:val="20"/>
                <w:lang w:eastAsia="tr-TR"/>
              </w:rPr>
            </w:pPr>
            <w:r w:rsidRPr="00471CBA">
              <w:rPr>
                <w:b/>
                <w:bCs/>
                <w:color w:val="000000"/>
                <w:szCs w:val="20"/>
                <w:lang w:eastAsia="tr-TR"/>
              </w:rPr>
              <w:t>Kar Payı Gelirleri</w:t>
            </w:r>
          </w:p>
        </w:tc>
        <w:tc>
          <w:tcPr>
            <w:tcW w:w="569" w:type="pct"/>
            <w:tcBorders>
              <w:top w:val="single" w:sz="4" w:space="0" w:color="auto"/>
              <w:bottom w:val="single" w:sz="4" w:space="0" w:color="auto"/>
            </w:tcBorders>
            <w:vAlign w:val="bottom"/>
          </w:tcPr>
          <w:p w14:paraId="14F1C30C" w14:textId="3FA0CA73" w:rsidR="00E5344E" w:rsidRPr="00471CBA" w:rsidRDefault="00E5344E" w:rsidP="00E5344E">
            <w:pPr>
              <w:jc w:val="right"/>
              <w:rPr>
                <w:b/>
                <w:bCs/>
                <w:color w:val="000000"/>
                <w:szCs w:val="20"/>
                <w:lang w:eastAsia="tr-TR"/>
              </w:rPr>
            </w:pPr>
            <w:r w:rsidRPr="00471CBA">
              <w:rPr>
                <w:b/>
                <w:bCs/>
                <w:color w:val="000000"/>
                <w:szCs w:val="20"/>
                <w:lang w:eastAsia="tr-TR"/>
              </w:rPr>
              <w:t>Menkul Değer Gelirleri</w:t>
            </w:r>
          </w:p>
        </w:tc>
        <w:tc>
          <w:tcPr>
            <w:tcW w:w="585" w:type="pct"/>
            <w:tcBorders>
              <w:top w:val="single" w:sz="4" w:space="0" w:color="auto"/>
              <w:bottom w:val="single" w:sz="4" w:space="0" w:color="auto"/>
            </w:tcBorders>
            <w:noWrap/>
            <w:vAlign w:val="bottom"/>
            <w:hideMark/>
          </w:tcPr>
          <w:p w14:paraId="1E72EC84" w14:textId="610B98CC" w:rsidR="00E5344E" w:rsidRPr="00471CBA" w:rsidRDefault="00E5344E" w:rsidP="00E70C0B">
            <w:pPr>
              <w:jc w:val="right"/>
              <w:rPr>
                <w:b/>
                <w:bCs/>
                <w:color w:val="000000"/>
                <w:szCs w:val="20"/>
                <w:lang w:eastAsia="tr-TR"/>
              </w:rPr>
            </w:pPr>
            <w:r w:rsidRPr="00471CBA">
              <w:rPr>
                <w:b/>
                <w:bCs/>
                <w:color w:val="000000"/>
                <w:szCs w:val="20"/>
                <w:lang w:eastAsia="tr-TR"/>
              </w:rPr>
              <w:t>Cari Dönem Kar/Zararı</w:t>
            </w:r>
          </w:p>
        </w:tc>
        <w:tc>
          <w:tcPr>
            <w:tcW w:w="597" w:type="pct"/>
            <w:tcBorders>
              <w:top w:val="single" w:sz="4" w:space="0" w:color="auto"/>
              <w:bottom w:val="single" w:sz="4" w:space="0" w:color="auto"/>
            </w:tcBorders>
            <w:noWrap/>
            <w:vAlign w:val="bottom"/>
            <w:hideMark/>
          </w:tcPr>
          <w:p w14:paraId="39E83DCC" w14:textId="77777777" w:rsidR="00E5344E" w:rsidRPr="00471CBA" w:rsidRDefault="00E5344E" w:rsidP="00E70C0B">
            <w:pPr>
              <w:jc w:val="right"/>
              <w:rPr>
                <w:b/>
                <w:bCs/>
                <w:color w:val="000000"/>
                <w:szCs w:val="20"/>
                <w:lang w:eastAsia="tr-TR"/>
              </w:rPr>
            </w:pPr>
            <w:r w:rsidRPr="00471CBA">
              <w:rPr>
                <w:b/>
                <w:bCs/>
                <w:color w:val="000000"/>
                <w:szCs w:val="20"/>
                <w:lang w:eastAsia="tr-TR"/>
              </w:rPr>
              <w:t>Önceki Dönem Kar/Zararı</w:t>
            </w:r>
          </w:p>
        </w:tc>
        <w:tc>
          <w:tcPr>
            <w:tcW w:w="564" w:type="pct"/>
            <w:tcBorders>
              <w:top w:val="single" w:sz="4" w:space="0" w:color="auto"/>
              <w:bottom w:val="single" w:sz="4" w:space="0" w:color="auto"/>
            </w:tcBorders>
            <w:noWrap/>
            <w:vAlign w:val="bottom"/>
            <w:hideMark/>
          </w:tcPr>
          <w:p w14:paraId="1D979DA4" w14:textId="1683632A" w:rsidR="00E5344E" w:rsidRPr="00471CBA" w:rsidRDefault="00E5344E" w:rsidP="00E70C0B">
            <w:pPr>
              <w:jc w:val="right"/>
              <w:rPr>
                <w:b/>
                <w:bCs/>
                <w:color w:val="000000"/>
                <w:szCs w:val="20"/>
                <w:lang w:eastAsia="tr-TR"/>
              </w:rPr>
            </w:pPr>
            <w:r w:rsidRPr="00471CBA">
              <w:rPr>
                <w:b/>
                <w:bCs/>
                <w:color w:val="000000"/>
                <w:szCs w:val="20"/>
                <w:lang w:eastAsia="tr-TR"/>
              </w:rPr>
              <w:t xml:space="preserve">Gerçeğe Uygun Değer </w:t>
            </w:r>
          </w:p>
        </w:tc>
      </w:tr>
      <w:tr w:rsidR="00E5344E" w:rsidRPr="00471CBA" w14:paraId="1F7CD5D9" w14:textId="77777777" w:rsidTr="002B26C7">
        <w:trPr>
          <w:trHeight w:val="227"/>
        </w:trPr>
        <w:tc>
          <w:tcPr>
            <w:tcW w:w="286" w:type="pct"/>
            <w:tcBorders>
              <w:top w:val="single" w:sz="4" w:space="0" w:color="auto"/>
            </w:tcBorders>
          </w:tcPr>
          <w:p w14:paraId="441B51DC" w14:textId="77777777" w:rsidR="00E5344E" w:rsidRPr="00471CBA" w:rsidRDefault="00E5344E" w:rsidP="00E70C0B">
            <w:pPr>
              <w:jc w:val="right"/>
              <w:rPr>
                <w:color w:val="000000"/>
                <w:szCs w:val="20"/>
                <w:lang w:eastAsia="tr-TR"/>
              </w:rPr>
            </w:pPr>
          </w:p>
        </w:tc>
        <w:tc>
          <w:tcPr>
            <w:tcW w:w="617" w:type="pct"/>
            <w:tcBorders>
              <w:top w:val="single" w:sz="4" w:space="0" w:color="auto"/>
            </w:tcBorders>
            <w:noWrap/>
            <w:vAlign w:val="bottom"/>
          </w:tcPr>
          <w:p w14:paraId="5304E1FC" w14:textId="494701C2" w:rsidR="00E5344E" w:rsidRPr="00471CBA" w:rsidRDefault="00E5344E" w:rsidP="00E70C0B">
            <w:pPr>
              <w:jc w:val="right"/>
              <w:rPr>
                <w:color w:val="000000"/>
                <w:szCs w:val="20"/>
                <w:lang w:eastAsia="tr-TR"/>
              </w:rPr>
            </w:pPr>
          </w:p>
        </w:tc>
        <w:tc>
          <w:tcPr>
            <w:tcW w:w="645" w:type="pct"/>
            <w:tcBorders>
              <w:top w:val="single" w:sz="4" w:space="0" w:color="auto"/>
            </w:tcBorders>
            <w:noWrap/>
            <w:vAlign w:val="bottom"/>
          </w:tcPr>
          <w:p w14:paraId="7D5E53DD" w14:textId="77777777" w:rsidR="00E5344E" w:rsidRPr="00471CBA" w:rsidRDefault="00E5344E" w:rsidP="00E70C0B">
            <w:pPr>
              <w:jc w:val="right"/>
              <w:rPr>
                <w:color w:val="000000"/>
                <w:szCs w:val="20"/>
                <w:lang w:eastAsia="tr-TR"/>
              </w:rPr>
            </w:pPr>
          </w:p>
        </w:tc>
        <w:tc>
          <w:tcPr>
            <w:tcW w:w="569" w:type="pct"/>
            <w:tcBorders>
              <w:top w:val="single" w:sz="4" w:space="0" w:color="auto"/>
            </w:tcBorders>
            <w:noWrap/>
            <w:vAlign w:val="bottom"/>
          </w:tcPr>
          <w:p w14:paraId="26C444E4" w14:textId="77777777" w:rsidR="00E5344E" w:rsidRPr="00471CBA" w:rsidRDefault="00E5344E" w:rsidP="00E70C0B">
            <w:pPr>
              <w:jc w:val="right"/>
              <w:rPr>
                <w:color w:val="000000"/>
                <w:szCs w:val="20"/>
                <w:lang w:eastAsia="tr-TR"/>
              </w:rPr>
            </w:pPr>
          </w:p>
        </w:tc>
        <w:tc>
          <w:tcPr>
            <w:tcW w:w="568" w:type="pct"/>
            <w:tcBorders>
              <w:top w:val="single" w:sz="4" w:space="0" w:color="auto"/>
            </w:tcBorders>
            <w:noWrap/>
            <w:vAlign w:val="bottom"/>
          </w:tcPr>
          <w:p w14:paraId="52939F31" w14:textId="77777777" w:rsidR="00E5344E" w:rsidRPr="00471CBA" w:rsidRDefault="00E5344E" w:rsidP="00E70C0B">
            <w:pPr>
              <w:jc w:val="right"/>
              <w:rPr>
                <w:color w:val="000000"/>
                <w:szCs w:val="20"/>
                <w:lang w:eastAsia="tr-TR"/>
              </w:rPr>
            </w:pPr>
          </w:p>
        </w:tc>
        <w:tc>
          <w:tcPr>
            <w:tcW w:w="569" w:type="pct"/>
            <w:tcBorders>
              <w:top w:val="single" w:sz="4" w:space="0" w:color="auto"/>
            </w:tcBorders>
          </w:tcPr>
          <w:p w14:paraId="030B564C" w14:textId="77777777" w:rsidR="00E5344E" w:rsidRPr="00471CBA" w:rsidRDefault="00E5344E" w:rsidP="00E70C0B">
            <w:pPr>
              <w:jc w:val="right"/>
              <w:rPr>
                <w:color w:val="000000"/>
                <w:szCs w:val="20"/>
                <w:lang w:eastAsia="tr-TR"/>
              </w:rPr>
            </w:pPr>
          </w:p>
        </w:tc>
        <w:tc>
          <w:tcPr>
            <w:tcW w:w="585" w:type="pct"/>
            <w:tcBorders>
              <w:top w:val="single" w:sz="4" w:space="0" w:color="auto"/>
            </w:tcBorders>
            <w:noWrap/>
            <w:vAlign w:val="bottom"/>
          </w:tcPr>
          <w:p w14:paraId="044EF5C5" w14:textId="19D45D48" w:rsidR="00E5344E" w:rsidRPr="00471CBA" w:rsidRDefault="00E5344E" w:rsidP="00E70C0B">
            <w:pPr>
              <w:jc w:val="right"/>
              <w:rPr>
                <w:color w:val="000000"/>
                <w:szCs w:val="20"/>
                <w:lang w:eastAsia="tr-TR"/>
              </w:rPr>
            </w:pPr>
          </w:p>
        </w:tc>
        <w:tc>
          <w:tcPr>
            <w:tcW w:w="597" w:type="pct"/>
            <w:tcBorders>
              <w:top w:val="single" w:sz="4" w:space="0" w:color="auto"/>
            </w:tcBorders>
            <w:noWrap/>
            <w:vAlign w:val="bottom"/>
          </w:tcPr>
          <w:p w14:paraId="6437274F" w14:textId="77777777" w:rsidR="00E5344E" w:rsidRPr="00471CBA" w:rsidRDefault="00E5344E" w:rsidP="00E70C0B">
            <w:pPr>
              <w:jc w:val="right"/>
              <w:rPr>
                <w:color w:val="000000"/>
                <w:szCs w:val="20"/>
                <w:lang w:eastAsia="tr-TR"/>
              </w:rPr>
            </w:pPr>
          </w:p>
        </w:tc>
        <w:tc>
          <w:tcPr>
            <w:tcW w:w="564" w:type="pct"/>
            <w:tcBorders>
              <w:top w:val="single" w:sz="4" w:space="0" w:color="auto"/>
            </w:tcBorders>
            <w:noWrap/>
            <w:vAlign w:val="bottom"/>
          </w:tcPr>
          <w:p w14:paraId="32EBEA00" w14:textId="77777777" w:rsidR="00E5344E" w:rsidRPr="00471CBA" w:rsidRDefault="00E5344E" w:rsidP="00E70C0B">
            <w:pPr>
              <w:jc w:val="right"/>
              <w:rPr>
                <w:color w:val="000000"/>
                <w:szCs w:val="20"/>
                <w:lang w:eastAsia="tr-TR"/>
              </w:rPr>
            </w:pPr>
          </w:p>
        </w:tc>
      </w:tr>
      <w:tr w:rsidR="00496DDF" w:rsidRPr="00471CBA" w14:paraId="6EC59ECF" w14:textId="77777777" w:rsidTr="00CF0DA2">
        <w:trPr>
          <w:trHeight w:val="227"/>
        </w:trPr>
        <w:tc>
          <w:tcPr>
            <w:tcW w:w="286" w:type="pct"/>
          </w:tcPr>
          <w:p w14:paraId="582C1202" w14:textId="2DBBA94D" w:rsidR="00496DDF" w:rsidRPr="00471CBA" w:rsidRDefault="00496DDF" w:rsidP="00496DDF">
            <w:pPr>
              <w:jc w:val="center"/>
              <w:rPr>
                <w:b/>
                <w:bCs/>
                <w:color w:val="000000"/>
                <w:szCs w:val="20"/>
                <w:lang w:eastAsia="tr-TR"/>
              </w:rPr>
            </w:pPr>
            <w:r w:rsidRPr="00471CBA">
              <w:rPr>
                <w:b/>
                <w:bCs/>
                <w:color w:val="000000"/>
                <w:szCs w:val="20"/>
                <w:lang w:eastAsia="tr-TR"/>
              </w:rPr>
              <w:t>1</w:t>
            </w:r>
          </w:p>
        </w:tc>
        <w:tc>
          <w:tcPr>
            <w:tcW w:w="617" w:type="pct"/>
            <w:noWrap/>
            <w:vAlign w:val="center"/>
          </w:tcPr>
          <w:p w14:paraId="1324A320" w14:textId="0D809196" w:rsidR="00496DDF" w:rsidRPr="00471CBA" w:rsidRDefault="00496DDF" w:rsidP="00496DDF">
            <w:pPr>
              <w:jc w:val="right"/>
              <w:rPr>
                <w:color w:val="000000"/>
                <w:szCs w:val="20"/>
                <w:lang w:eastAsia="tr-TR"/>
              </w:rPr>
            </w:pPr>
            <w:r w:rsidRPr="00471CBA">
              <w:rPr>
                <w:color w:val="000000"/>
                <w:szCs w:val="20"/>
              </w:rPr>
              <w:t>303.223</w:t>
            </w:r>
          </w:p>
        </w:tc>
        <w:tc>
          <w:tcPr>
            <w:tcW w:w="645" w:type="pct"/>
            <w:noWrap/>
            <w:vAlign w:val="center"/>
          </w:tcPr>
          <w:p w14:paraId="7F92CC6D" w14:textId="6452A601" w:rsidR="00496DDF" w:rsidRPr="00471CBA" w:rsidRDefault="00496DDF" w:rsidP="00496DDF">
            <w:pPr>
              <w:jc w:val="right"/>
              <w:rPr>
                <w:color w:val="000000"/>
                <w:szCs w:val="20"/>
                <w:lang w:eastAsia="tr-TR"/>
              </w:rPr>
            </w:pPr>
            <w:r w:rsidRPr="00471CBA">
              <w:rPr>
                <w:color w:val="000000"/>
                <w:szCs w:val="20"/>
              </w:rPr>
              <w:t>301.891</w:t>
            </w:r>
          </w:p>
        </w:tc>
        <w:tc>
          <w:tcPr>
            <w:tcW w:w="569" w:type="pct"/>
            <w:noWrap/>
            <w:vAlign w:val="center"/>
          </w:tcPr>
          <w:p w14:paraId="3DB96E94" w14:textId="035F0E9D" w:rsidR="00496DDF" w:rsidRPr="00471CBA" w:rsidRDefault="00496DDF" w:rsidP="00496DDF">
            <w:pPr>
              <w:jc w:val="right"/>
              <w:rPr>
                <w:color w:val="000000"/>
                <w:szCs w:val="20"/>
                <w:lang w:eastAsia="tr-TR"/>
              </w:rPr>
            </w:pPr>
            <w:r w:rsidRPr="00471CBA">
              <w:rPr>
                <w:color w:val="000000"/>
                <w:szCs w:val="20"/>
              </w:rPr>
              <w:t>-</w:t>
            </w:r>
          </w:p>
        </w:tc>
        <w:tc>
          <w:tcPr>
            <w:tcW w:w="568" w:type="pct"/>
            <w:noWrap/>
            <w:vAlign w:val="center"/>
          </w:tcPr>
          <w:p w14:paraId="0DD3FCB5" w14:textId="1D957AFD" w:rsidR="00496DDF" w:rsidRPr="00471CBA" w:rsidRDefault="00496DDF" w:rsidP="00496DDF">
            <w:pPr>
              <w:jc w:val="right"/>
              <w:rPr>
                <w:color w:val="000000"/>
                <w:szCs w:val="20"/>
                <w:lang w:eastAsia="tr-TR"/>
              </w:rPr>
            </w:pPr>
            <w:r w:rsidRPr="00471CBA">
              <w:rPr>
                <w:color w:val="000000"/>
                <w:szCs w:val="20"/>
              </w:rPr>
              <w:t>66.716</w:t>
            </w:r>
          </w:p>
        </w:tc>
        <w:tc>
          <w:tcPr>
            <w:tcW w:w="569" w:type="pct"/>
            <w:vAlign w:val="center"/>
          </w:tcPr>
          <w:p w14:paraId="712F0F38" w14:textId="1BE7F2E1" w:rsidR="00496DDF" w:rsidRPr="00471CBA" w:rsidRDefault="00496DDF" w:rsidP="00496DDF">
            <w:pPr>
              <w:jc w:val="right"/>
              <w:rPr>
                <w:color w:val="000000"/>
                <w:szCs w:val="20"/>
                <w:lang w:eastAsia="tr-TR"/>
              </w:rPr>
            </w:pPr>
            <w:r w:rsidRPr="00471CBA">
              <w:rPr>
                <w:color w:val="000000"/>
                <w:szCs w:val="20"/>
              </w:rPr>
              <w:t>-</w:t>
            </w:r>
          </w:p>
        </w:tc>
        <w:tc>
          <w:tcPr>
            <w:tcW w:w="585" w:type="pct"/>
            <w:noWrap/>
            <w:vAlign w:val="center"/>
          </w:tcPr>
          <w:p w14:paraId="18927689" w14:textId="16BA0CB4" w:rsidR="00496DDF" w:rsidRPr="00471CBA" w:rsidRDefault="00496DDF" w:rsidP="00496DDF">
            <w:pPr>
              <w:jc w:val="right"/>
              <w:rPr>
                <w:color w:val="000000"/>
                <w:szCs w:val="20"/>
                <w:lang w:eastAsia="tr-TR"/>
              </w:rPr>
            </w:pPr>
            <w:r w:rsidRPr="00471CBA">
              <w:rPr>
                <w:color w:val="000000"/>
                <w:szCs w:val="20"/>
              </w:rPr>
              <w:t>101.891</w:t>
            </w:r>
          </w:p>
        </w:tc>
        <w:tc>
          <w:tcPr>
            <w:tcW w:w="597" w:type="pct"/>
            <w:noWrap/>
            <w:vAlign w:val="center"/>
          </w:tcPr>
          <w:p w14:paraId="45DA23E3" w14:textId="03C6F60C" w:rsidR="00496DDF" w:rsidRPr="00471CBA" w:rsidRDefault="00496DDF" w:rsidP="00496DDF">
            <w:pPr>
              <w:jc w:val="right"/>
              <w:rPr>
                <w:color w:val="000000"/>
                <w:szCs w:val="20"/>
                <w:lang w:eastAsia="tr-TR"/>
              </w:rPr>
            </w:pPr>
            <w:r w:rsidRPr="00471CBA">
              <w:rPr>
                <w:color w:val="000000"/>
                <w:szCs w:val="20"/>
              </w:rPr>
              <w:t>-</w:t>
            </w:r>
          </w:p>
        </w:tc>
        <w:tc>
          <w:tcPr>
            <w:tcW w:w="564" w:type="pct"/>
            <w:noWrap/>
            <w:vAlign w:val="center"/>
          </w:tcPr>
          <w:p w14:paraId="5C9F8531" w14:textId="7BCCA4A7" w:rsidR="00496DDF" w:rsidRPr="00471CBA" w:rsidRDefault="00496DDF" w:rsidP="00496DDF">
            <w:pPr>
              <w:jc w:val="right"/>
              <w:rPr>
                <w:color w:val="000000"/>
                <w:szCs w:val="20"/>
                <w:lang w:eastAsia="tr-TR"/>
              </w:rPr>
            </w:pPr>
            <w:r w:rsidRPr="00471CBA">
              <w:rPr>
                <w:color w:val="000000"/>
                <w:szCs w:val="20"/>
              </w:rPr>
              <w:t>-</w:t>
            </w:r>
          </w:p>
        </w:tc>
      </w:tr>
      <w:tr w:rsidR="00496DDF" w:rsidRPr="00471CBA" w14:paraId="42934596" w14:textId="77777777" w:rsidTr="00CF0DA2">
        <w:trPr>
          <w:trHeight w:val="227"/>
        </w:trPr>
        <w:tc>
          <w:tcPr>
            <w:tcW w:w="286" w:type="pct"/>
          </w:tcPr>
          <w:p w14:paraId="131AAC09" w14:textId="26E15419" w:rsidR="00496DDF" w:rsidRPr="00471CBA" w:rsidRDefault="00496DDF" w:rsidP="00496DDF">
            <w:pPr>
              <w:jc w:val="center"/>
              <w:rPr>
                <w:b/>
                <w:bCs/>
                <w:color w:val="000000"/>
                <w:szCs w:val="20"/>
                <w:lang w:eastAsia="tr-TR"/>
              </w:rPr>
            </w:pPr>
            <w:r w:rsidRPr="00471CBA">
              <w:rPr>
                <w:b/>
                <w:bCs/>
                <w:color w:val="000000"/>
                <w:szCs w:val="20"/>
                <w:lang w:eastAsia="tr-TR"/>
              </w:rPr>
              <w:t>2</w:t>
            </w:r>
          </w:p>
        </w:tc>
        <w:tc>
          <w:tcPr>
            <w:tcW w:w="617" w:type="pct"/>
            <w:noWrap/>
            <w:vAlign w:val="center"/>
          </w:tcPr>
          <w:p w14:paraId="014685AD" w14:textId="3F02A3F3" w:rsidR="00496DDF" w:rsidRPr="00471CBA" w:rsidRDefault="00496DDF" w:rsidP="00496DDF">
            <w:pPr>
              <w:jc w:val="right"/>
              <w:rPr>
                <w:color w:val="000000"/>
                <w:szCs w:val="20"/>
                <w:lang w:eastAsia="tr-TR"/>
              </w:rPr>
            </w:pPr>
            <w:r w:rsidRPr="00471CBA">
              <w:rPr>
                <w:color w:val="000000"/>
                <w:szCs w:val="20"/>
              </w:rPr>
              <w:t>132.981</w:t>
            </w:r>
          </w:p>
        </w:tc>
        <w:tc>
          <w:tcPr>
            <w:tcW w:w="645" w:type="pct"/>
            <w:noWrap/>
            <w:vAlign w:val="center"/>
          </w:tcPr>
          <w:p w14:paraId="0982FE5D" w14:textId="53D706D0" w:rsidR="00496DDF" w:rsidRPr="00471CBA" w:rsidRDefault="00496DDF" w:rsidP="00496DDF">
            <w:pPr>
              <w:jc w:val="right"/>
              <w:rPr>
                <w:color w:val="000000"/>
                <w:szCs w:val="20"/>
                <w:lang w:eastAsia="tr-TR"/>
              </w:rPr>
            </w:pPr>
            <w:r w:rsidRPr="00471CBA">
              <w:rPr>
                <w:color w:val="000000"/>
                <w:szCs w:val="20"/>
              </w:rPr>
              <w:t>126.225</w:t>
            </w:r>
          </w:p>
        </w:tc>
        <w:tc>
          <w:tcPr>
            <w:tcW w:w="569" w:type="pct"/>
            <w:noWrap/>
            <w:vAlign w:val="center"/>
          </w:tcPr>
          <w:p w14:paraId="0164F854" w14:textId="101F87D6" w:rsidR="00496DDF" w:rsidRPr="00471CBA" w:rsidRDefault="00496DDF" w:rsidP="00496DDF">
            <w:pPr>
              <w:jc w:val="right"/>
              <w:rPr>
                <w:color w:val="000000"/>
                <w:szCs w:val="20"/>
                <w:lang w:eastAsia="tr-TR"/>
              </w:rPr>
            </w:pPr>
            <w:r w:rsidRPr="00471CBA">
              <w:rPr>
                <w:color w:val="000000"/>
                <w:szCs w:val="20"/>
              </w:rPr>
              <w:t>-</w:t>
            </w:r>
          </w:p>
        </w:tc>
        <w:tc>
          <w:tcPr>
            <w:tcW w:w="568" w:type="pct"/>
            <w:noWrap/>
            <w:vAlign w:val="center"/>
          </w:tcPr>
          <w:p w14:paraId="19975285" w14:textId="46B55504" w:rsidR="00496DDF" w:rsidRPr="00471CBA" w:rsidRDefault="00496DDF" w:rsidP="00496DDF">
            <w:pPr>
              <w:jc w:val="right"/>
              <w:rPr>
                <w:color w:val="000000"/>
                <w:szCs w:val="20"/>
                <w:lang w:eastAsia="tr-TR"/>
              </w:rPr>
            </w:pPr>
            <w:r w:rsidRPr="00471CBA">
              <w:rPr>
                <w:color w:val="000000"/>
                <w:szCs w:val="20"/>
              </w:rPr>
              <w:t>16.838</w:t>
            </w:r>
          </w:p>
        </w:tc>
        <w:tc>
          <w:tcPr>
            <w:tcW w:w="569" w:type="pct"/>
            <w:vAlign w:val="center"/>
          </w:tcPr>
          <w:p w14:paraId="67F6735F" w14:textId="3FC2B52C" w:rsidR="00496DDF" w:rsidRPr="00471CBA" w:rsidRDefault="00496DDF" w:rsidP="00496DDF">
            <w:pPr>
              <w:jc w:val="right"/>
              <w:rPr>
                <w:color w:val="000000"/>
                <w:szCs w:val="20"/>
                <w:lang w:eastAsia="tr-TR"/>
              </w:rPr>
            </w:pPr>
            <w:r w:rsidRPr="00471CBA">
              <w:rPr>
                <w:color w:val="000000"/>
                <w:szCs w:val="20"/>
              </w:rPr>
              <w:t>-</w:t>
            </w:r>
          </w:p>
        </w:tc>
        <w:tc>
          <w:tcPr>
            <w:tcW w:w="585" w:type="pct"/>
            <w:noWrap/>
            <w:vAlign w:val="center"/>
          </w:tcPr>
          <w:p w14:paraId="5D4589A7" w14:textId="302187B4" w:rsidR="00496DDF" w:rsidRPr="00471CBA" w:rsidRDefault="00496DDF" w:rsidP="00496DDF">
            <w:pPr>
              <w:jc w:val="right"/>
              <w:rPr>
                <w:color w:val="000000"/>
                <w:szCs w:val="20"/>
                <w:lang w:eastAsia="tr-TR"/>
              </w:rPr>
            </w:pPr>
            <w:r w:rsidRPr="00471CBA">
              <w:rPr>
                <w:color w:val="000000"/>
                <w:szCs w:val="20"/>
              </w:rPr>
              <w:t>26.225</w:t>
            </w:r>
          </w:p>
        </w:tc>
        <w:tc>
          <w:tcPr>
            <w:tcW w:w="597" w:type="pct"/>
            <w:noWrap/>
            <w:vAlign w:val="center"/>
          </w:tcPr>
          <w:p w14:paraId="4FBEA462" w14:textId="231A2EEC" w:rsidR="00496DDF" w:rsidRPr="00471CBA" w:rsidRDefault="00496DDF" w:rsidP="00496DDF">
            <w:pPr>
              <w:jc w:val="right"/>
              <w:rPr>
                <w:color w:val="000000"/>
                <w:szCs w:val="20"/>
                <w:lang w:eastAsia="tr-TR"/>
              </w:rPr>
            </w:pPr>
            <w:r w:rsidRPr="00471CBA">
              <w:rPr>
                <w:color w:val="000000"/>
                <w:szCs w:val="20"/>
              </w:rPr>
              <w:t>-</w:t>
            </w:r>
          </w:p>
        </w:tc>
        <w:tc>
          <w:tcPr>
            <w:tcW w:w="564" w:type="pct"/>
            <w:noWrap/>
            <w:vAlign w:val="center"/>
          </w:tcPr>
          <w:p w14:paraId="5FB51FD6" w14:textId="55F698DF" w:rsidR="00496DDF" w:rsidRPr="00471CBA" w:rsidRDefault="00496DDF" w:rsidP="00496DDF">
            <w:pPr>
              <w:jc w:val="right"/>
              <w:rPr>
                <w:color w:val="000000"/>
                <w:szCs w:val="20"/>
                <w:lang w:eastAsia="tr-TR"/>
              </w:rPr>
            </w:pPr>
            <w:r w:rsidRPr="00471CBA">
              <w:rPr>
                <w:color w:val="000000"/>
                <w:szCs w:val="20"/>
              </w:rPr>
              <w:t>-</w:t>
            </w:r>
          </w:p>
        </w:tc>
      </w:tr>
      <w:tr w:rsidR="00496DDF" w:rsidRPr="00471CBA" w14:paraId="14CF85C3" w14:textId="77777777" w:rsidTr="00CF0DA2">
        <w:trPr>
          <w:trHeight w:val="227"/>
        </w:trPr>
        <w:tc>
          <w:tcPr>
            <w:tcW w:w="286" w:type="pct"/>
          </w:tcPr>
          <w:p w14:paraId="1F1117BA" w14:textId="784B5032" w:rsidR="00496DDF" w:rsidRPr="00471CBA" w:rsidRDefault="00496DDF" w:rsidP="00496DDF">
            <w:pPr>
              <w:jc w:val="center"/>
              <w:rPr>
                <w:b/>
                <w:bCs/>
                <w:color w:val="000000"/>
                <w:szCs w:val="20"/>
                <w:lang w:eastAsia="tr-TR"/>
              </w:rPr>
            </w:pPr>
            <w:r w:rsidRPr="00471CBA">
              <w:rPr>
                <w:b/>
                <w:bCs/>
                <w:color w:val="000000"/>
                <w:szCs w:val="20"/>
                <w:lang w:eastAsia="tr-TR"/>
              </w:rPr>
              <w:t>3</w:t>
            </w:r>
          </w:p>
        </w:tc>
        <w:tc>
          <w:tcPr>
            <w:tcW w:w="617" w:type="pct"/>
            <w:noWrap/>
            <w:vAlign w:val="center"/>
          </w:tcPr>
          <w:p w14:paraId="6DC7F277" w14:textId="4F25BAA4" w:rsidR="00496DDF" w:rsidRPr="00471CBA" w:rsidRDefault="00496DDF" w:rsidP="00496DDF">
            <w:pPr>
              <w:jc w:val="right"/>
              <w:rPr>
                <w:color w:val="000000"/>
                <w:szCs w:val="20"/>
                <w:lang w:eastAsia="tr-TR"/>
              </w:rPr>
            </w:pPr>
            <w:r w:rsidRPr="00471CBA">
              <w:rPr>
                <w:color w:val="000000"/>
                <w:szCs w:val="20"/>
              </w:rPr>
              <w:t>1.033</w:t>
            </w:r>
          </w:p>
        </w:tc>
        <w:tc>
          <w:tcPr>
            <w:tcW w:w="645" w:type="pct"/>
            <w:noWrap/>
            <w:vAlign w:val="center"/>
          </w:tcPr>
          <w:p w14:paraId="2AADAC67" w14:textId="4BD17229" w:rsidR="00496DDF" w:rsidRPr="00471CBA" w:rsidRDefault="00496DDF" w:rsidP="00496DDF">
            <w:pPr>
              <w:jc w:val="right"/>
              <w:rPr>
                <w:color w:val="000000"/>
                <w:szCs w:val="20"/>
                <w:lang w:eastAsia="tr-TR"/>
              </w:rPr>
            </w:pPr>
            <w:r w:rsidRPr="00471CBA">
              <w:rPr>
                <w:color w:val="000000"/>
                <w:szCs w:val="20"/>
              </w:rPr>
              <w:t>297</w:t>
            </w:r>
          </w:p>
        </w:tc>
        <w:tc>
          <w:tcPr>
            <w:tcW w:w="569" w:type="pct"/>
            <w:noWrap/>
            <w:vAlign w:val="center"/>
          </w:tcPr>
          <w:p w14:paraId="63BBB7EB" w14:textId="7C792245" w:rsidR="00496DDF" w:rsidRPr="00471CBA" w:rsidRDefault="00496DDF" w:rsidP="00496DDF">
            <w:pPr>
              <w:jc w:val="right"/>
              <w:rPr>
                <w:color w:val="000000"/>
                <w:szCs w:val="20"/>
                <w:lang w:eastAsia="tr-TR"/>
              </w:rPr>
            </w:pPr>
            <w:r w:rsidRPr="00471CBA">
              <w:rPr>
                <w:color w:val="000000"/>
                <w:szCs w:val="20"/>
              </w:rPr>
              <w:t>-</w:t>
            </w:r>
          </w:p>
        </w:tc>
        <w:tc>
          <w:tcPr>
            <w:tcW w:w="568" w:type="pct"/>
            <w:noWrap/>
            <w:vAlign w:val="center"/>
          </w:tcPr>
          <w:p w14:paraId="338B9DAB" w14:textId="72A59F4F" w:rsidR="00496DDF" w:rsidRPr="00471CBA" w:rsidRDefault="00496DDF" w:rsidP="00496DDF">
            <w:pPr>
              <w:jc w:val="right"/>
              <w:rPr>
                <w:color w:val="000000"/>
                <w:szCs w:val="20"/>
                <w:lang w:eastAsia="tr-TR"/>
              </w:rPr>
            </w:pPr>
            <w:r w:rsidRPr="00471CBA">
              <w:rPr>
                <w:color w:val="000000"/>
                <w:szCs w:val="20"/>
              </w:rPr>
              <w:t>66</w:t>
            </w:r>
          </w:p>
        </w:tc>
        <w:tc>
          <w:tcPr>
            <w:tcW w:w="569" w:type="pct"/>
            <w:vAlign w:val="center"/>
          </w:tcPr>
          <w:p w14:paraId="5BEF9C98" w14:textId="0B668720" w:rsidR="00496DDF" w:rsidRPr="00471CBA" w:rsidRDefault="00496DDF" w:rsidP="00496DDF">
            <w:pPr>
              <w:jc w:val="right"/>
              <w:rPr>
                <w:color w:val="000000"/>
                <w:szCs w:val="20"/>
                <w:lang w:eastAsia="tr-TR"/>
              </w:rPr>
            </w:pPr>
            <w:r w:rsidRPr="00471CBA">
              <w:rPr>
                <w:color w:val="000000"/>
                <w:szCs w:val="20"/>
              </w:rPr>
              <w:t>-</w:t>
            </w:r>
          </w:p>
        </w:tc>
        <w:tc>
          <w:tcPr>
            <w:tcW w:w="585" w:type="pct"/>
            <w:noWrap/>
            <w:vAlign w:val="center"/>
          </w:tcPr>
          <w:p w14:paraId="0E2C8729" w14:textId="658B0EF9" w:rsidR="00496DDF" w:rsidRPr="00471CBA" w:rsidRDefault="00496DDF" w:rsidP="00496DDF">
            <w:pPr>
              <w:jc w:val="right"/>
              <w:rPr>
                <w:color w:val="000000"/>
                <w:szCs w:val="20"/>
                <w:lang w:eastAsia="tr-TR"/>
              </w:rPr>
            </w:pPr>
            <w:r w:rsidRPr="00471CBA">
              <w:rPr>
                <w:color w:val="000000"/>
                <w:szCs w:val="20"/>
              </w:rPr>
              <w:t>47</w:t>
            </w:r>
          </w:p>
        </w:tc>
        <w:tc>
          <w:tcPr>
            <w:tcW w:w="597" w:type="pct"/>
            <w:noWrap/>
            <w:vAlign w:val="center"/>
          </w:tcPr>
          <w:p w14:paraId="5D49E1CC" w14:textId="44E62BB6" w:rsidR="00496DDF" w:rsidRPr="00471CBA" w:rsidRDefault="00496DDF" w:rsidP="00496DDF">
            <w:pPr>
              <w:jc w:val="right"/>
              <w:rPr>
                <w:color w:val="000000"/>
                <w:szCs w:val="20"/>
                <w:lang w:eastAsia="tr-TR"/>
              </w:rPr>
            </w:pPr>
            <w:r w:rsidRPr="00471CBA">
              <w:rPr>
                <w:color w:val="000000"/>
                <w:szCs w:val="20"/>
              </w:rPr>
              <w:t>-</w:t>
            </w:r>
          </w:p>
        </w:tc>
        <w:tc>
          <w:tcPr>
            <w:tcW w:w="564" w:type="pct"/>
            <w:noWrap/>
            <w:vAlign w:val="center"/>
          </w:tcPr>
          <w:p w14:paraId="766827E5" w14:textId="090F0C18" w:rsidR="00496DDF" w:rsidRPr="00471CBA" w:rsidRDefault="00496DDF" w:rsidP="00496DDF">
            <w:pPr>
              <w:jc w:val="right"/>
              <w:rPr>
                <w:color w:val="000000"/>
                <w:szCs w:val="20"/>
                <w:lang w:eastAsia="tr-TR"/>
              </w:rPr>
            </w:pPr>
            <w:r w:rsidRPr="00471CBA">
              <w:rPr>
                <w:color w:val="000000"/>
                <w:szCs w:val="20"/>
              </w:rPr>
              <w:t>-</w:t>
            </w:r>
          </w:p>
        </w:tc>
      </w:tr>
      <w:tr w:rsidR="00496DDF" w:rsidRPr="00471CBA" w14:paraId="224FAAFC" w14:textId="77777777" w:rsidTr="00CF0DA2">
        <w:trPr>
          <w:trHeight w:val="227"/>
        </w:trPr>
        <w:tc>
          <w:tcPr>
            <w:tcW w:w="286" w:type="pct"/>
            <w:tcBorders>
              <w:bottom w:val="single" w:sz="4" w:space="0" w:color="auto"/>
            </w:tcBorders>
          </w:tcPr>
          <w:p w14:paraId="1D0FBF08" w14:textId="655F3772" w:rsidR="00496DDF" w:rsidRPr="00471CBA" w:rsidRDefault="00496DDF" w:rsidP="00496DDF">
            <w:pPr>
              <w:jc w:val="center"/>
              <w:rPr>
                <w:b/>
                <w:bCs/>
                <w:color w:val="000000"/>
                <w:szCs w:val="20"/>
                <w:lang w:eastAsia="tr-TR"/>
              </w:rPr>
            </w:pPr>
            <w:r w:rsidRPr="00471CBA">
              <w:rPr>
                <w:b/>
                <w:bCs/>
                <w:color w:val="000000"/>
                <w:szCs w:val="20"/>
                <w:lang w:eastAsia="tr-TR"/>
              </w:rPr>
              <w:t>4</w:t>
            </w:r>
          </w:p>
        </w:tc>
        <w:tc>
          <w:tcPr>
            <w:tcW w:w="617" w:type="pct"/>
            <w:tcBorders>
              <w:bottom w:val="single" w:sz="4" w:space="0" w:color="auto"/>
            </w:tcBorders>
            <w:noWrap/>
            <w:vAlign w:val="center"/>
          </w:tcPr>
          <w:p w14:paraId="00206A34" w14:textId="0708A272" w:rsidR="00496DDF" w:rsidRPr="00471CBA" w:rsidRDefault="00496DDF" w:rsidP="00496DDF">
            <w:pPr>
              <w:jc w:val="right"/>
              <w:rPr>
                <w:color w:val="000000"/>
                <w:szCs w:val="20"/>
                <w:lang w:eastAsia="tr-TR"/>
              </w:rPr>
            </w:pPr>
            <w:r w:rsidRPr="00471CBA">
              <w:rPr>
                <w:color w:val="000000"/>
                <w:szCs w:val="20"/>
              </w:rPr>
              <w:t>469.682</w:t>
            </w:r>
          </w:p>
        </w:tc>
        <w:tc>
          <w:tcPr>
            <w:tcW w:w="645" w:type="pct"/>
            <w:tcBorders>
              <w:bottom w:val="single" w:sz="4" w:space="0" w:color="auto"/>
            </w:tcBorders>
            <w:noWrap/>
            <w:vAlign w:val="center"/>
          </w:tcPr>
          <w:p w14:paraId="76970DA0" w14:textId="22E6E3F4" w:rsidR="00496DDF" w:rsidRPr="00471CBA" w:rsidRDefault="00496DDF" w:rsidP="00496DDF">
            <w:pPr>
              <w:jc w:val="right"/>
              <w:rPr>
                <w:color w:val="000000"/>
                <w:szCs w:val="20"/>
                <w:lang w:eastAsia="tr-TR"/>
              </w:rPr>
            </w:pPr>
            <w:r w:rsidRPr="00471CBA">
              <w:rPr>
                <w:color w:val="000000"/>
                <w:szCs w:val="20"/>
              </w:rPr>
              <w:t>447.527</w:t>
            </w:r>
          </w:p>
        </w:tc>
        <w:tc>
          <w:tcPr>
            <w:tcW w:w="569" w:type="pct"/>
            <w:tcBorders>
              <w:bottom w:val="single" w:sz="4" w:space="0" w:color="auto"/>
            </w:tcBorders>
            <w:noWrap/>
            <w:vAlign w:val="center"/>
          </w:tcPr>
          <w:p w14:paraId="1BF2B0EF" w14:textId="06DFB4B6" w:rsidR="00496DDF" w:rsidRPr="00471CBA" w:rsidRDefault="00496DDF" w:rsidP="00496DDF">
            <w:pPr>
              <w:jc w:val="right"/>
              <w:rPr>
                <w:color w:val="000000"/>
                <w:szCs w:val="20"/>
                <w:lang w:eastAsia="tr-TR"/>
              </w:rPr>
            </w:pPr>
            <w:r w:rsidRPr="00471CBA">
              <w:rPr>
                <w:color w:val="000000"/>
                <w:szCs w:val="20"/>
              </w:rPr>
              <w:t>-</w:t>
            </w:r>
          </w:p>
        </w:tc>
        <w:tc>
          <w:tcPr>
            <w:tcW w:w="568" w:type="pct"/>
            <w:tcBorders>
              <w:bottom w:val="single" w:sz="4" w:space="0" w:color="auto"/>
            </w:tcBorders>
            <w:noWrap/>
            <w:vAlign w:val="center"/>
          </w:tcPr>
          <w:p w14:paraId="487A81C9" w14:textId="40F3A438" w:rsidR="00496DDF" w:rsidRPr="00471CBA" w:rsidRDefault="00496DDF" w:rsidP="00496DDF">
            <w:pPr>
              <w:jc w:val="right"/>
              <w:rPr>
                <w:color w:val="000000"/>
                <w:szCs w:val="20"/>
                <w:lang w:eastAsia="tr-TR"/>
              </w:rPr>
            </w:pPr>
            <w:r w:rsidRPr="00471CBA">
              <w:rPr>
                <w:color w:val="000000"/>
                <w:szCs w:val="20"/>
              </w:rPr>
              <w:t>72.659</w:t>
            </w:r>
          </w:p>
        </w:tc>
        <w:tc>
          <w:tcPr>
            <w:tcW w:w="569" w:type="pct"/>
            <w:tcBorders>
              <w:bottom w:val="single" w:sz="4" w:space="0" w:color="auto"/>
            </w:tcBorders>
            <w:vAlign w:val="center"/>
          </w:tcPr>
          <w:p w14:paraId="3E899834" w14:textId="53EC2BEB" w:rsidR="00496DDF" w:rsidRPr="00471CBA" w:rsidRDefault="00496DDF" w:rsidP="00496DDF">
            <w:pPr>
              <w:jc w:val="right"/>
              <w:rPr>
                <w:color w:val="000000"/>
                <w:szCs w:val="20"/>
                <w:lang w:eastAsia="tr-TR"/>
              </w:rPr>
            </w:pPr>
            <w:r w:rsidRPr="00471CBA">
              <w:rPr>
                <w:color w:val="000000"/>
                <w:szCs w:val="20"/>
              </w:rPr>
              <w:t>-</w:t>
            </w:r>
          </w:p>
        </w:tc>
        <w:tc>
          <w:tcPr>
            <w:tcW w:w="585" w:type="pct"/>
            <w:tcBorders>
              <w:bottom w:val="single" w:sz="4" w:space="0" w:color="auto"/>
            </w:tcBorders>
            <w:noWrap/>
            <w:vAlign w:val="center"/>
          </w:tcPr>
          <w:p w14:paraId="1ED1E85E" w14:textId="74E18668" w:rsidR="00496DDF" w:rsidRPr="00471CBA" w:rsidRDefault="00496DDF" w:rsidP="00496DDF">
            <w:pPr>
              <w:jc w:val="right"/>
              <w:rPr>
                <w:color w:val="000000"/>
                <w:szCs w:val="20"/>
                <w:lang w:eastAsia="tr-TR"/>
              </w:rPr>
            </w:pPr>
            <w:r w:rsidRPr="00471CBA">
              <w:rPr>
                <w:color w:val="000000"/>
                <w:szCs w:val="20"/>
              </w:rPr>
              <w:t>97.527</w:t>
            </w:r>
          </w:p>
        </w:tc>
        <w:tc>
          <w:tcPr>
            <w:tcW w:w="597" w:type="pct"/>
            <w:tcBorders>
              <w:bottom w:val="single" w:sz="4" w:space="0" w:color="auto"/>
            </w:tcBorders>
            <w:noWrap/>
            <w:vAlign w:val="center"/>
          </w:tcPr>
          <w:p w14:paraId="75CC2AA6" w14:textId="6DB39A55" w:rsidR="00496DDF" w:rsidRPr="00471CBA" w:rsidRDefault="00496DDF" w:rsidP="00496DDF">
            <w:pPr>
              <w:jc w:val="right"/>
              <w:rPr>
                <w:color w:val="000000"/>
                <w:szCs w:val="20"/>
                <w:lang w:eastAsia="tr-TR"/>
              </w:rPr>
            </w:pPr>
            <w:r w:rsidRPr="00471CBA">
              <w:rPr>
                <w:color w:val="000000"/>
                <w:szCs w:val="20"/>
              </w:rPr>
              <w:t>-</w:t>
            </w:r>
          </w:p>
        </w:tc>
        <w:tc>
          <w:tcPr>
            <w:tcW w:w="564" w:type="pct"/>
            <w:tcBorders>
              <w:bottom w:val="single" w:sz="4" w:space="0" w:color="auto"/>
            </w:tcBorders>
            <w:noWrap/>
            <w:vAlign w:val="center"/>
          </w:tcPr>
          <w:p w14:paraId="348D0D9A" w14:textId="62CC5160" w:rsidR="00496DDF" w:rsidRPr="00471CBA" w:rsidRDefault="00496DDF" w:rsidP="00496DDF">
            <w:pPr>
              <w:jc w:val="right"/>
              <w:rPr>
                <w:color w:val="000000"/>
                <w:szCs w:val="20"/>
                <w:lang w:eastAsia="tr-TR"/>
              </w:rPr>
            </w:pPr>
            <w:r w:rsidRPr="00471CBA">
              <w:rPr>
                <w:color w:val="000000"/>
                <w:szCs w:val="20"/>
              </w:rPr>
              <w:t>-</w:t>
            </w:r>
          </w:p>
        </w:tc>
      </w:tr>
    </w:tbl>
    <w:p w14:paraId="10D94A21" w14:textId="77777777" w:rsidR="004E6BD3" w:rsidRPr="00471CBA" w:rsidRDefault="004E6BD3" w:rsidP="008679D6"/>
    <w:p w14:paraId="0EDCC379" w14:textId="38E97676" w:rsidR="00491B00" w:rsidRPr="00471CBA" w:rsidRDefault="00E87F5D" w:rsidP="00E87F5D">
      <w:pPr>
        <w:pStyle w:val="ListeParagraf"/>
        <w:widowControl w:val="0"/>
        <w:numPr>
          <w:ilvl w:val="1"/>
          <w:numId w:val="2"/>
        </w:numPr>
        <w:tabs>
          <w:tab w:val="clear" w:pos="1440"/>
        </w:tabs>
        <w:ind w:left="567" w:hanging="567"/>
        <w:jc w:val="both"/>
        <w:rPr>
          <w:b/>
          <w:szCs w:val="20"/>
        </w:rPr>
      </w:pPr>
      <w:r w:rsidRPr="00471CBA">
        <w:rPr>
          <w:b/>
          <w:szCs w:val="20"/>
        </w:rPr>
        <w:t>Bağlı ortaklıklara ilişkin hareket tablosu:</w:t>
      </w:r>
    </w:p>
    <w:p w14:paraId="6F725372" w14:textId="25806A62" w:rsidR="00E87F5D" w:rsidRPr="00471CBA" w:rsidRDefault="00E87F5D" w:rsidP="00E87F5D">
      <w:pPr>
        <w:widowControl w:val="0"/>
        <w:jc w:val="both"/>
        <w:rPr>
          <w:b/>
          <w:szCs w:val="20"/>
        </w:rPr>
      </w:pPr>
    </w:p>
    <w:tbl>
      <w:tblPr>
        <w:tblStyle w:val="TabloKlavuzu"/>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09"/>
        <w:gridCol w:w="1581"/>
        <w:gridCol w:w="1686"/>
      </w:tblGrid>
      <w:tr w:rsidR="00E87F5D" w:rsidRPr="00471CBA" w14:paraId="0E87FF8D" w14:textId="77777777" w:rsidTr="000B6430">
        <w:trPr>
          <w:trHeight w:val="227"/>
        </w:trPr>
        <w:tc>
          <w:tcPr>
            <w:tcW w:w="6509" w:type="dxa"/>
            <w:tcBorders>
              <w:top w:val="single" w:sz="4" w:space="0" w:color="auto"/>
              <w:bottom w:val="single" w:sz="4" w:space="0" w:color="auto"/>
            </w:tcBorders>
            <w:vAlign w:val="bottom"/>
          </w:tcPr>
          <w:p w14:paraId="5DC97F68" w14:textId="77777777" w:rsidR="00E87F5D" w:rsidRPr="00471CBA" w:rsidRDefault="00E87F5D" w:rsidP="00261C67">
            <w:pPr>
              <w:rPr>
                <w:b/>
                <w:szCs w:val="20"/>
              </w:rPr>
            </w:pPr>
            <w:bookmarkStart w:id="112" w:name="OLE_LINK6"/>
          </w:p>
        </w:tc>
        <w:tc>
          <w:tcPr>
            <w:tcW w:w="1581" w:type="dxa"/>
            <w:tcBorders>
              <w:top w:val="single" w:sz="4" w:space="0" w:color="auto"/>
              <w:bottom w:val="single" w:sz="4" w:space="0" w:color="auto"/>
            </w:tcBorders>
            <w:vAlign w:val="bottom"/>
          </w:tcPr>
          <w:p w14:paraId="16299E63" w14:textId="77777777" w:rsidR="00E87F5D" w:rsidRPr="00471CBA" w:rsidRDefault="00E87F5D" w:rsidP="00261C67">
            <w:pPr>
              <w:jc w:val="right"/>
              <w:rPr>
                <w:b/>
                <w:szCs w:val="20"/>
              </w:rPr>
            </w:pPr>
            <w:r w:rsidRPr="00471CBA">
              <w:rPr>
                <w:rFonts w:eastAsia="Arial Unicode MS"/>
                <w:b/>
                <w:bCs/>
                <w:color w:val="000000"/>
                <w:szCs w:val="20"/>
              </w:rPr>
              <w:t>Cari Dönem</w:t>
            </w:r>
          </w:p>
        </w:tc>
        <w:tc>
          <w:tcPr>
            <w:tcW w:w="1686" w:type="dxa"/>
            <w:tcBorders>
              <w:top w:val="single" w:sz="4" w:space="0" w:color="auto"/>
              <w:bottom w:val="single" w:sz="4" w:space="0" w:color="auto"/>
            </w:tcBorders>
            <w:vAlign w:val="bottom"/>
          </w:tcPr>
          <w:p w14:paraId="55ADFB21" w14:textId="77777777" w:rsidR="00E87F5D" w:rsidRPr="00471CBA" w:rsidRDefault="00E87F5D" w:rsidP="00261C67">
            <w:pPr>
              <w:jc w:val="right"/>
              <w:rPr>
                <w:b/>
                <w:szCs w:val="20"/>
              </w:rPr>
            </w:pPr>
            <w:r w:rsidRPr="00471CBA">
              <w:rPr>
                <w:rFonts w:eastAsia="Arial Unicode MS"/>
                <w:b/>
                <w:bCs/>
                <w:color w:val="000000"/>
                <w:szCs w:val="20"/>
              </w:rPr>
              <w:t>Önceki Dönem</w:t>
            </w:r>
          </w:p>
        </w:tc>
      </w:tr>
      <w:tr w:rsidR="00E87F5D" w:rsidRPr="00471CBA" w14:paraId="79586205" w14:textId="77777777" w:rsidTr="000B6430">
        <w:trPr>
          <w:trHeight w:val="227"/>
        </w:trPr>
        <w:tc>
          <w:tcPr>
            <w:tcW w:w="6509" w:type="dxa"/>
            <w:tcBorders>
              <w:top w:val="single" w:sz="4" w:space="0" w:color="auto"/>
            </w:tcBorders>
            <w:vAlign w:val="bottom"/>
          </w:tcPr>
          <w:p w14:paraId="1263808B" w14:textId="77777777" w:rsidR="00E87F5D" w:rsidRPr="00471CBA" w:rsidRDefault="00E87F5D" w:rsidP="00261C67">
            <w:pPr>
              <w:rPr>
                <w:b/>
                <w:szCs w:val="20"/>
              </w:rPr>
            </w:pPr>
          </w:p>
        </w:tc>
        <w:tc>
          <w:tcPr>
            <w:tcW w:w="1581" w:type="dxa"/>
            <w:tcBorders>
              <w:top w:val="single" w:sz="4" w:space="0" w:color="auto"/>
            </w:tcBorders>
            <w:vAlign w:val="bottom"/>
          </w:tcPr>
          <w:p w14:paraId="0E471071" w14:textId="77777777" w:rsidR="00E87F5D" w:rsidRPr="00471CBA" w:rsidRDefault="00E87F5D" w:rsidP="00261C67">
            <w:pPr>
              <w:jc w:val="right"/>
              <w:rPr>
                <w:b/>
                <w:szCs w:val="20"/>
              </w:rPr>
            </w:pPr>
          </w:p>
        </w:tc>
        <w:tc>
          <w:tcPr>
            <w:tcW w:w="1686" w:type="dxa"/>
            <w:tcBorders>
              <w:top w:val="single" w:sz="4" w:space="0" w:color="auto"/>
            </w:tcBorders>
            <w:vAlign w:val="bottom"/>
          </w:tcPr>
          <w:p w14:paraId="574E7E84" w14:textId="77777777" w:rsidR="00E87F5D" w:rsidRPr="00471CBA" w:rsidRDefault="00E87F5D" w:rsidP="00261C67">
            <w:pPr>
              <w:jc w:val="right"/>
              <w:rPr>
                <w:b/>
                <w:szCs w:val="20"/>
              </w:rPr>
            </w:pPr>
          </w:p>
        </w:tc>
      </w:tr>
      <w:tr w:rsidR="00700164" w:rsidRPr="00471CBA" w14:paraId="1A095AE9" w14:textId="77777777" w:rsidTr="000B6430">
        <w:trPr>
          <w:trHeight w:val="227"/>
        </w:trPr>
        <w:tc>
          <w:tcPr>
            <w:tcW w:w="6509" w:type="dxa"/>
            <w:vAlign w:val="bottom"/>
          </w:tcPr>
          <w:p w14:paraId="4EB55260" w14:textId="77777777" w:rsidR="00700164" w:rsidRPr="00471CBA" w:rsidRDefault="00700164" w:rsidP="00700164">
            <w:pPr>
              <w:rPr>
                <w:b/>
                <w:szCs w:val="20"/>
              </w:rPr>
            </w:pPr>
            <w:r w:rsidRPr="00471CBA">
              <w:rPr>
                <w:color w:val="000000"/>
                <w:szCs w:val="20"/>
              </w:rPr>
              <w:t>Dönem Başı Değeri</w:t>
            </w:r>
          </w:p>
        </w:tc>
        <w:tc>
          <w:tcPr>
            <w:tcW w:w="1581" w:type="dxa"/>
          </w:tcPr>
          <w:p w14:paraId="1D2610C2" w14:textId="6B36BD7F" w:rsidR="00700164" w:rsidRPr="00471CBA" w:rsidRDefault="00700164" w:rsidP="00700164">
            <w:pPr>
              <w:jc w:val="right"/>
              <w:rPr>
                <w:rFonts w:eastAsia="Arial Unicode MS"/>
                <w:color w:val="000000"/>
                <w:szCs w:val="20"/>
              </w:rPr>
            </w:pPr>
            <w:r w:rsidRPr="00471CBA">
              <w:t>-</w:t>
            </w:r>
          </w:p>
        </w:tc>
        <w:tc>
          <w:tcPr>
            <w:tcW w:w="1686" w:type="dxa"/>
          </w:tcPr>
          <w:p w14:paraId="585D9AD2" w14:textId="4E5F6BBC" w:rsidR="00700164" w:rsidRPr="00471CBA" w:rsidRDefault="00700164" w:rsidP="00700164">
            <w:pPr>
              <w:jc w:val="right"/>
              <w:rPr>
                <w:rFonts w:eastAsia="Arial Unicode MS"/>
                <w:color w:val="000000"/>
                <w:szCs w:val="20"/>
              </w:rPr>
            </w:pPr>
            <w:r w:rsidRPr="00471CBA">
              <w:t>-</w:t>
            </w:r>
          </w:p>
        </w:tc>
      </w:tr>
      <w:tr w:rsidR="00700164" w:rsidRPr="00471CBA" w14:paraId="27F0D4B0" w14:textId="77777777" w:rsidTr="000B6430">
        <w:trPr>
          <w:trHeight w:val="227"/>
        </w:trPr>
        <w:tc>
          <w:tcPr>
            <w:tcW w:w="6509" w:type="dxa"/>
            <w:vAlign w:val="bottom"/>
          </w:tcPr>
          <w:p w14:paraId="73F15058" w14:textId="77777777" w:rsidR="00700164" w:rsidRPr="00471CBA" w:rsidRDefault="00700164" w:rsidP="00700164">
            <w:pPr>
              <w:rPr>
                <w:b/>
                <w:szCs w:val="20"/>
              </w:rPr>
            </w:pPr>
            <w:r w:rsidRPr="00471CBA">
              <w:rPr>
                <w:color w:val="000000"/>
                <w:szCs w:val="20"/>
              </w:rPr>
              <w:t xml:space="preserve">Dönem İçi Hareketler </w:t>
            </w:r>
          </w:p>
        </w:tc>
        <w:tc>
          <w:tcPr>
            <w:tcW w:w="1581" w:type="dxa"/>
          </w:tcPr>
          <w:p w14:paraId="0BA4268D" w14:textId="5DECF6B9" w:rsidR="00700164" w:rsidRPr="00471CBA" w:rsidRDefault="00700164" w:rsidP="00700164">
            <w:pPr>
              <w:jc w:val="right"/>
              <w:rPr>
                <w:rFonts w:eastAsia="Arial Unicode MS"/>
                <w:color w:val="000000"/>
                <w:szCs w:val="20"/>
              </w:rPr>
            </w:pPr>
            <w:r w:rsidRPr="00471CBA">
              <w:t>650.250</w:t>
            </w:r>
          </w:p>
        </w:tc>
        <w:tc>
          <w:tcPr>
            <w:tcW w:w="1686" w:type="dxa"/>
          </w:tcPr>
          <w:p w14:paraId="336795F6" w14:textId="3D625BD4" w:rsidR="00700164" w:rsidRPr="00471CBA" w:rsidRDefault="00700164" w:rsidP="00700164">
            <w:pPr>
              <w:jc w:val="right"/>
              <w:rPr>
                <w:rFonts w:eastAsia="Arial Unicode MS"/>
                <w:color w:val="000000"/>
                <w:szCs w:val="20"/>
              </w:rPr>
            </w:pPr>
            <w:r w:rsidRPr="00471CBA">
              <w:t>-</w:t>
            </w:r>
          </w:p>
        </w:tc>
      </w:tr>
      <w:tr w:rsidR="00700164" w:rsidRPr="00471CBA" w14:paraId="048A9AA1" w14:textId="77777777" w:rsidTr="000B6430">
        <w:trPr>
          <w:trHeight w:val="227"/>
        </w:trPr>
        <w:tc>
          <w:tcPr>
            <w:tcW w:w="6509" w:type="dxa"/>
            <w:vAlign w:val="bottom"/>
          </w:tcPr>
          <w:p w14:paraId="5D1C2101" w14:textId="290D4588" w:rsidR="00700164" w:rsidRPr="00471CBA" w:rsidRDefault="00700164" w:rsidP="00700164">
            <w:pPr>
              <w:ind w:left="307"/>
              <w:rPr>
                <w:b/>
                <w:szCs w:val="20"/>
              </w:rPr>
            </w:pPr>
            <w:r w:rsidRPr="00471CBA">
              <w:rPr>
                <w:color w:val="000000"/>
                <w:szCs w:val="20"/>
              </w:rPr>
              <w:t xml:space="preserve">Alışlar/Yeni Şirket Kurulumu/Sermaye İlaveleri/Sermaye </w:t>
            </w:r>
            <w:proofErr w:type="spellStart"/>
            <w:r w:rsidRPr="00471CBA">
              <w:rPr>
                <w:color w:val="000000"/>
                <w:szCs w:val="20"/>
              </w:rPr>
              <w:t>Azalımları</w:t>
            </w:r>
            <w:proofErr w:type="spellEnd"/>
            <w:r w:rsidR="00610C4D" w:rsidRPr="00471CBA">
              <w:rPr>
                <w:color w:val="000000"/>
                <w:szCs w:val="20"/>
              </w:rPr>
              <w:t xml:space="preserve"> </w:t>
            </w:r>
            <w:r w:rsidRPr="00471CBA">
              <w:rPr>
                <w:color w:val="000000"/>
                <w:szCs w:val="20"/>
              </w:rPr>
              <w:t>(-)</w:t>
            </w:r>
          </w:p>
        </w:tc>
        <w:tc>
          <w:tcPr>
            <w:tcW w:w="1581" w:type="dxa"/>
          </w:tcPr>
          <w:p w14:paraId="1B2AFEA1" w14:textId="4CFAAAD8" w:rsidR="00700164" w:rsidRPr="00471CBA" w:rsidRDefault="00700164" w:rsidP="00700164">
            <w:pPr>
              <w:jc w:val="right"/>
              <w:rPr>
                <w:rFonts w:eastAsia="Arial Unicode MS"/>
                <w:color w:val="000000"/>
                <w:szCs w:val="20"/>
              </w:rPr>
            </w:pPr>
            <w:r w:rsidRPr="00471CBA">
              <w:t>650.250</w:t>
            </w:r>
          </w:p>
        </w:tc>
        <w:tc>
          <w:tcPr>
            <w:tcW w:w="1686" w:type="dxa"/>
          </w:tcPr>
          <w:p w14:paraId="5B77231B" w14:textId="07E25D6F" w:rsidR="00700164" w:rsidRPr="00471CBA" w:rsidRDefault="00700164" w:rsidP="00700164">
            <w:pPr>
              <w:jc w:val="right"/>
              <w:rPr>
                <w:rFonts w:eastAsia="Arial Unicode MS"/>
                <w:color w:val="000000"/>
                <w:szCs w:val="20"/>
              </w:rPr>
            </w:pPr>
            <w:r w:rsidRPr="00471CBA">
              <w:t>-</w:t>
            </w:r>
          </w:p>
        </w:tc>
      </w:tr>
      <w:tr w:rsidR="00700164" w:rsidRPr="00471CBA" w14:paraId="5F4E4542" w14:textId="77777777" w:rsidTr="000B6430">
        <w:trPr>
          <w:trHeight w:val="227"/>
        </w:trPr>
        <w:tc>
          <w:tcPr>
            <w:tcW w:w="6509" w:type="dxa"/>
            <w:vAlign w:val="bottom"/>
          </w:tcPr>
          <w:p w14:paraId="545AC178" w14:textId="77777777" w:rsidR="00700164" w:rsidRPr="00471CBA" w:rsidRDefault="00700164" w:rsidP="00700164">
            <w:pPr>
              <w:ind w:left="307"/>
              <w:rPr>
                <w:b/>
                <w:szCs w:val="20"/>
              </w:rPr>
            </w:pPr>
            <w:r w:rsidRPr="00471CBA">
              <w:rPr>
                <w:color w:val="000000"/>
                <w:szCs w:val="20"/>
              </w:rPr>
              <w:t>Bedelsiz Edinilen Hisse Senetleri</w:t>
            </w:r>
          </w:p>
        </w:tc>
        <w:tc>
          <w:tcPr>
            <w:tcW w:w="1581" w:type="dxa"/>
          </w:tcPr>
          <w:p w14:paraId="38BCEE2A" w14:textId="00AA7D99" w:rsidR="00700164" w:rsidRPr="00471CBA" w:rsidRDefault="00700164" w:rsidP="00700164">
            <w:pPr>
              <w:jc w:val="right"/>
              <w:rPr>
                <w:rFonts w:eastAsia="Arial Unicode MS"/>
                <w:color w:val="000000"/>
                <w:szCs w:val="20"/>
              </w:rPr>
            </w:pPr>
            <w:r w:rsidRPr="00471CBA">
              <w:t>-</w:t>
            </w:r>
          </w:p>
        </w:tc>
        <w:tc>
          <w:tcPr>
            <w:tcW w:w="1686" w:type="dxa"/>
          </w:tcPr>
          <w:p w14:paraId="4309855E" w14:textId="68F76884" w:rsidR="00700164" w:rsidRPr="00471CBA" w:rsidRDefault="00700164" w:rsidP="00700164">
            <w:pPr>
              <w:jc w:val="right"/>
              <w:rPr>
                <w:rFonts w:eastAsia="Arial Unicode MS"/>
                <w:color w:val="000000"/>
                <w:szCs w:val="20"/>
              </w:rPr>
            </w:pPr>
            <w:r w:rsidRPr="00471CBA">
              <w:t>-</w:t>
            </w:r>
          </w:p>
        </w:tc>
      </w:tr>
      <w:tr w:rsidR="00700164" w:rsidRPr="00471CBA" w14:paraId="3B4D1C5B" w14:textId="77777777" w:rsidTr="000B6430">
        <w:trPr>
          <w:trHeight w:val="227"/>
        </w:trPr>
        <w:tc>
          <w:tcPr>
            <w:tcW w:w="6509" w:type="dxa"/>
            <w:vAlign w:val="bottom"/>
          </w:tcPr>
          <w:p w14:paraId="58C3D436" w14:textId="77777777" w:rsidR="00700164" w:rsidRPr="00471CBA" w:rsidRDefault="00700164" w:rsidP="00700164">
            <w:pPr>
              <w:ind w:left="307"/>
              <w:rPr>
                <w:b/>
                <w:szCs w:val="20"/>
              </w:rPr>
            </w:pPr>
            <w:r w:rsidRPr="00471CBA">
              <w:rPr>
                <w:color w:val="000000"/>
                <w:szCs w:val="20"/>
              </w:rPr>
              <w:t>Cari Yıl Payından Alınan Kâr</w:t>
            </w:r>
          </w:p>
        </w:tc>
        <w:tc>
          <w:tcPr>
            <w:tcW w:w="1581" w:type="dxa"/>
          </w:tcPr>
          <w:p w14:paraId="6BB0F049" w14:textId="7AB612B4" w:rsidR="00700164" w:rsidRPr="00471CBA" w:rsidRDefault="00700164" w:rsidP="00700164">
            <w:pPr>
              <w:jc w:val="right"/>
              <w:rPr>
                <w:szCs w:val="20"/>
              </w:rPr>
            </w:pPr>
            <w:r w:rsidRPr="00471CBA">
              <w:t>-</w:t>
            </w:r>
          </w:p>
        </w:tc>
        <w:tc>
          <w:tcPr>
            <w:tcW w:w="1686" w:type="dxa"/>
          </w:tcPr>
          <w:p w14:paraId="7DFF0419" w14:textId="1833C31C" w:rsidR="00700164" w:rsidRPr="00471CBA" w:rsidRDefault="00700164" w:rsidP="00700164">
            <w:pPr>
              <w:jc w:val="right"/>
              <w:rPr>
                <w:rFonts w:eastAsia="Arial Unicode MS"/>
                <w:color w:val="000000"/>
                <w:szCs w:val="20"/>
              </w:rPr>
            </w:pPr>
            <w:r w:rsidRPr="00471CBA">
              <w:t>-</w:t>
            </w:r>
          </w:p>
        </w:tc>
      </w:tr>
      <w:tr w:rsidR="00700164" w:rsidRPr="00471CBA" w14:paraId="16A86D97" w14:textId="77777777" w:rsidTr="000B6430">
        <w:trPr>
          <w:trHeight w:val="227"/>
        </w:trPr>
        <w:tc>
          <w:tcPr>
            <w:tcW w:w="6509" w:type="dxa"/>
            <w:vAlign w:val="bottom"/>
          </w:tcPr>
          <w:p w14:paraId="1845B0D8" w14:textId="77777777" w:rsidR="00700164" w:rsidRPr="00471CBA" w:rsidRDefault="00700164" w:rsidP="00700164">
            <w:pPr>
              <w:ind w:left="307"/>
              <w:rPr>
                <w:b/>
                <w:szCs w:val="20"/>
              </w:rPr>
            </w:pPr>
            <w:r w:rsidRPr="00471CBA">
              <w:rPr>
                <w:color w:val="000000"/>
                <w:szCs w:val="20"/>
              </w:rPr>
              <w:t>Satışlar</w:t>
            </w:r>
          </w:p>
        </w:tc>
        <w:tc>
          <w:tcPr>
            <w:tcW w:w="1581" w:type="dxa"/>
          </w:tcPr>
          <w:p w14:paraId="449E0385" w14:textId="27469974" w:rsidR="00700164" w:rsidRPr="00471CBA" w:rsidRDefault="00700164" w:rsidP="00700164">
            <w:pPr>
              <w:jc w:val="right"/>
              <w:rPr>
                <w:szCs w:val="20"/>
              </w:rPr>
            </w:pPr>
            <w:r w:rsidRPr="00471CBA">
              <w:t>-</w:t>
            </w:r>
          </w:p>
        </w:tc>
        <w:tc>
          <w:tcPr>
            <w:tcW w:w="1686" w:type="dxa"/>
          </w:tcPr>
          <w:p w14:paraId="7CF9CFDE" w14:textId="09E391F1" w:rsidR="00700164" w:rsidRPr="00471CBA" w:rsidRDefault="00700164" w:rsidP="00700164">
            <w:pPr>
              <w:jc w:val="right"/>
              <w:rPr>
                <w:rFonts w:eastAsia="Arial Unicode MS"/>
                <w:color w:val="000000"/>
                <w:szCs w:val="20"/>
              </w:rPr>
            </w:pPr>
            <w:r w:rsidRPr="00471CBA">
              <w:t>-</w:t>
            </w:r>
          </w:p>
        </w:tc>
      </w:tr>
      <w:tr w:rsidR="00700164" w:rsidRPr="00471CBA" w14:paraId="3ADC3C87" w14:textId="77777777" w:rsidTr="000B6430">
        <w:trPr>
          <w:trHeight w:val="227"/>
        </w:trPr>
        <w:tc>
          <w:tcPr>
            <w:tcW w:w="6509" w:type="dxa"/>
            <w:vAlign w:val="bottom"/>
          </w:tcPr>
          <w:p w14:paraId="5680E9BC" w14:textId="77777777" w:rsidR="00700164" w:rsidRPr="00471CBA" w:rsidRDefault="00700164" w:rsidP="00700164">
            <w:pPr>
              <w:ind w:left="307"/>
              <w:rPr>
                <w:b/>
                <w:szCs w:val="20"/>
              </w:rPr>
            </w:pPr>
            <w:r w:rsidRPr="00471CBA">
              <w:rPr>
                <w:color w:val="000000"/>
                <w:szCs w:val="20"/>
              </w:rPr>
              <w:t>Yeniden Değerleme Artışı</w:t>
            </w:r>
          </w:p>
        </w:tc>
        <w:tc>
          <w:tcPr>
            <w:tcW w:w="1581" w:type="dxa"/>
          </w:tcPr>
          <w:p w14:paraId="2A93ADC3" w14:textId="31F3A869" w:rsidR="00700164" w:rsidRPr="00471CBA" w:rsidRDefault="00700164" w:rsidP="00700164">
            <w:pPr>
              <w:jc w:val="right"/>
              <w:rPr>
                <w:szCs w:val="20"/>
              </w:rPr>
            </w:pPr>
            <w:r w:rsidRPr="00471CBA">
              <w:t>-</w:t>
            </w:r>
          </w:p>
        </w:tc>
        <w:tc>
          <w:tcPr>
            <w:tcW w:w="1686" w:type="dxa"/>
          </w:tcPr>
          <w:p w14:paraId="7E7DCADB" w14:textId="256E6534" w:rsidR="00700164" w:rsidRPr="00471CBA" w:rsidRDefault="00700164" w:rsidP="00700164">
            <w:pPr>
              <w:jc w:val="right"/>
              <w:rPr>
                <w:rFonts w:eastAsia="Arial Unicode MS"/>
                <w:color w:val="000000"/>
                <w:szCs w:val="20"/>
              </w:rPr>
            </w:pPr>
            <w:r w:rsidRPr="00471CBA">
              <w:t>-</w:t>
            </w:r>
          </w:p>
        </w:tc>
      </w:tr>
      <w:tr w:rsidR="00700164" w:rsidRPr="00471CBA" w14:paraId="70507424" w14:textId="77777777" w:rsidTr="000B6430">
        <w:trPr>
          <w:trHeight w:val="227"/>
        </w:trPr>
        <w:tc>
          <w:tcPr>
            <w:tcW w:w="6509" w:type="dxa"/>
            <w:vAlign w:val="bottom"/>
          </w:tcPr>
          <w:p w14:paraId="2E0AE262" w14:textId="77777777" w:rsidR="00700164" w:rsidRPr="00471CBA" w:rsidRDefault="00700164" w:rsidP="00700164">
            <w:pPr>
              <w:ind w:left="307"/>
              <w:rPr>
                <w:b/>
                <w:szCs w:val="20"/>
              </w:rPr>
            </w:pPr>
            <w:r w:rsidRPr="00471CBA">
              <w:rPr>
                <w:color w:val="000000"/>
                <w:szCs w:val="20"/>
              </w:rPr>
              <w:t>Değer Azalma Karşılıkları</w:t>
            </w:r>
          </w:p>
        </w:tc>
        <w:tc>
          <w:tcPr>
            <w:tcW w:w="1581" w:type="dxa"/>
          </w:tcPr>
          <w:p w14:paraId="729B8D2F" w14:textId="40084693" w:rsidR="00700164" w:rsidRPr="00471CBA" w:rsidRDefault="00700164" w:rsidP="00700164">
            <w:pPr>
              <w:jc w:val="right"/>
              <w:rPr>
                <w:szCs w:val="20"/>
              </w:rPr>
            </w:pPr>
            <w:r w:rsidRPr="00471CBA">
              <w:t>-</w:t>
            </w:r>
          </w:p>
        </w:tc>
        <w:tc>
          <w:tcPr>
            <w:tcW w:w="1686" w:type="dxa"/>
          </w:tcPr>
          <w:p w14:paraId="54843E22" w14:textId="3DF92A5B" w:rsidR="00700164" w:rsidRPr="00471CBA" w:rsidRDefault="00700164" w:rsidP="00700164">
            <w:pPr>
              <w:jc w:val="right"/>
              <w:rPr>
                <w:rFonts w:eastAsia="Arial Unicode MS"/>
                <w:color w:val="000000"/>
                <w:szCs w:val="20"/>
              </w:rPr>
            </w:pPr>
            <w:r w:rsidRPr="00471CBA">
              <w:t>-</w:t>
            </w:r>
          </w:p>
        </w:tc>
      </w:tr>
      <w:tr w:rsidR="00700164" w:rsidRPr="00471CBA" w14:paraId="01D2C596" w14:textId="77777777" w:rsidTr="000874B0">
        <w:trPr>
          <w:trHeight w:val="227"/>
        </w:trPr>
        <w:tc>
          <w:tcPr>
            <w:tcW w:w="6509" w:type="dxa"/>
            <w:vAlign w:val="bottom"/>
          </w:tcPr>
          <w:p w14:paraId="59848874" w14:textId="77777777" w:rsidR="00700164" w:rsidRPr="00471CBA" w:rsidRDefault="00700164" w:rsidP="00700164">
            <w:pPr>
              <w:rPr>
                <w:b/>
                <w:szCs w:val="20"/>
              </w:rPr>
            </w:pPr>
            <w:r w:rsidRPr="00471CBA">
              <w:rPr>
                <w:color w:val="000000"/>
                <w:szCs w:val="20"/>
              </w:rPr>
              <w:t>Dönem Sonu Değeri</w:t>
            </w:r>
          </w:p>
        </w:tc>
        <w:tc>
          <w:tcPr>
            <w:tcW w:w="1581" w:type="dxa"/>
          </w:tcPr>
          <w:p w14:paraId="4CDB196B" w14:textId="523F6D3B" w:rsidR="00700164" w:rsidRPr="00471CBA" w:rsidRDefault="00700164" w:rsidP="00700164">
            <w:pPr>
              <w:jc w:val="right"/>
              <w:rPr>
                <w:szCs w:val="20"/>
              </w:rPr>
            </w:pPr>
            <w:r w:rsidRPr="00471CBA">
              <w:t>650.250</w:t>
            </w:r>
          </w:p>
        </w:tc>
        <w:tc>
          <w:tcPr>
            <w:tcW w:w="1686" w:type="dxa"/>
          </w:tcPr>
          <w:p w14:paraId="0C6B0CB2" w14:textId="63FFF70C" w:rsidR="00700164" w:rsidRPr="00471CBA" w:rsidRDefault="00700164" w:rsidP="00700164">
            <w:pPr>
              <w:jc w:val="right"/>
              <w:rPr>
                <w:rFonts w:eastAsia="Arial Unicode MS"/>
                <w:color w:val="000000"/>
                <w:szCs w:val="20"/>
              </w:rPr>
            </w:pPr>
            <w:r w:rsidRPr="00471CBA">
              <w:t>-</w:t>
            </w:r>
          </w:p>
        </w:tc>
      </w:tr>
      <w:tr w:rsidR="00700164" w:rsidRPr="00471CBA" w14:paraId="242EDCE2" w14:textId="77777777" w:rsidTr="000874B0">
        <w:trPr>
          <w:trHeight w:val="227"/>
        </w:trPr>
        <w:tc>
          <w:tcPr>
            <w:tcW w:w="6509" w:type="dxa"/>
            <w:tcBorders>
              <w:bottom w:val="single" w:sz="4" w:space="0" w:color="auto"/>
            </w:tcBorders>
            <w:vAlign w:val="bottom"/>
          </w:tcPr>
          <w:p w14:paraId="0DF2B275" w14:textId="77777777" w:rsidR="00700164" w:rsidRPr="00471CBA" w:rsidRDefault="00700164" w:rsidP="00700164">
            <w:pPr>
              <w:rPr>
                <w:b/>
                <w:szCs w:val="20"/>
              </w:rPr>
            </w:pPr>
            <w:r w:rsidRPr="00471CBA">
              <w:rPr>
                <w:color w:val="000000"/>
                <w:szCs w:val="20"/>
              </w:rPr>
              <w:t>Sermaye Taahhütleri</w:t>
            </w:r>
          </w:p>
        </w:tc>
        <w:tc>
          <w:tcPr>
            <w:tcW w:w="1581" w:type="dxa"/>
            <w:tcBorders>
              <w:bottom w:val="single" w:sz="4" w:space="0" w:color="auto"/>
            </w:tcBorders>
          </w:tcPr>
          <w:p w14:paraId="32B4F75E" w14:textId="67B6F5A3" w:rsidR="00700164" w:rsidRPr="00471CBA" w:rsidRDefault="00700164" w:rsidP="00700164">
            <w:pPr>
              <w:jc w:val="right"/>
              <w:rPr>
                <w:szCs w:val="20"/>
              </w:rPr>
            </w:pPr>
            <w:r w:rsidRPr="00471CBA">
              <w:t>-</w:t>
            </w:r>
          </w:p>
        </w:tc>
        <w:tc>
          <w:tcPr>
            <w:tcW w:w="1686" w:type="dxa"/>
            <w:tcBorders>
              <w:bottom w:val="single" w:sz="4" w:space="0" w:color="auto"/>
            </w:tcBorders>
          </w:tcPr>
          <w:p w14:paraId="638298DA" w14:textId="519BD9DB" w:rsidR="00700164" w:rsidRPr="00471CBA" w:rsidRDefault="00700164" w:rsidP="00700164">
            <w:pPr>
              <w:jc w:val="right"/>
              <w:rPr>
                <w:rFonts w:eastAsia="Arial Unicode MS"/>
                <w:color w:val="000000"/>
                <w:szCs w:val="20"/>
              </w:rPr>
            </w:pPr>
            <w:r w:rsidRPr="00471CBA">
              <w:t>-</w:t>
            </w:r>
          </w:p>
        </w:tc>
      </w:tr>
      <w:tr w:rsidR="00700164" w:rsidRPr="00471CBA" w14:paraId="7730CDDE" w14:textId="77777777" w:rsidTr="000874B0">
        <w:trPr>
          <w:trHeight w:val="227"/>
        </w:trPr>
        <w:tc>
          <w:tcPr>
            <w:tcW w:w="6509" w:type="dxa"/>
            <w:tcBorders>
              <w:top w:val="single" w:sz="4" w:space="0" w:color="auto"/>
            </w:tcBorders>
            <w:vAlign w:val="bottom"/>
          </w:tcPr>
          <w:p w14:paraId="34DC7CFB" w14:textId="77777777" w:rsidR="00700164" w:rsidRPr="00471CBA" w:rsidRDefault="00700164" w:rsidP="00700164">
            <w:pPr>
              <w:rPr>
                <w:b/>
                <w:szCs w:val="20"/>
              </w:rPr>
            </w:pPr>
          </w:p>
        </w:tc>
        <w:tc>
          <w:tcPr>
            <w:tcW w:w="1581" w:type="dxa"/>
            <w:tcBorders>
              <w:top w:val="single" w:sz="4" w:space="0" w:color="auto"/>
              <w:left w:val="nil"/>
              <w:right w:val="nil"/>
            </w:tcBorders>
          </w:tcPr>
          <w:p w14:paraId="09B3697A" w14:textId="77777777" w:rsidR="00700164" w:rsidRPr="00471CBA" w:rsidRDefault="00700164" w:rsidP="00700164">
            <w:pPr>
              <w:jc w:val="right"/>
              <w:rPr>
                <w:b/>
                <w:szCs w:val="20"/>
              </w:rPr>
            </w:pPr>
          </w:p>
        </w:tc>
        <w:tc>
          <w:tcPr>
            <w:tcW w:w="1686" w:type="dxa"/>
            <w:tcBorders>
              <w:top w:val="single" w:sz="4" w:space="0" w:color="auto"/>
              <w:left w:val="nil"/>
              <w:right w:val="nil"/>
            </w:tcBorders>
          </w:tcPr>
          <w:p w14:paraId="42E21AF4" w14:textId="77777777" w:rsidR="00700164" w:rsidRPr="00471CBA" w:rsidRDefault="00700164" w:rsidP="00700164">
            <w:pPr>
              <w:jc w:val="right"/>
              <w:rPr>
                <w:rFonts w:eastAsia="Arial Unicode MS"/>
                <w:color w:val="000000"/>
                <w:szCs w:val="20"/>
              </w:rPr>
            </w:pPr>
          </w:p>
        </w:tc>
      </w:tr>
      <w:tr w:rsidR="00700164" w:rsidRPr="00471CBA" w14:paraId="4E90290D" w14:textId="77777777" w:rsidTr="000874B0">
        <w:trPr>
          <w:trHeight w:val="227"/>
        </w:trPr>
        <w:tc>
          <w:tcPr>
            <w:tcW w:w="6509" w:type="dxa"/>
            <w:tcBorders>
              <w:bottom w:val="single" w:sz="4" w:space="0" w:color="auto"/>
            </w:tcBorders>
            <w:vAlign w:val="bottom"/>
          </w:tcPr>
          <w:p w14:paraId="2656A593" w14:textId="77777777" w:rsidR="00700164" w:rsidRPr="00471CBA" w:rsidRDefault="00700164" w:rsidP="00700164">
            <w:pPr>
              <w:rPr>
                <w:b/>
                <w:szCs w:val="20"/>
              </w:rPr>
            </w:pPr>
            <w:r w:rsidRPr="00471CBA">
              <w:rPr>
                <w:b/>
                <w:szCs w:val="20"/>
              </w:rPr>
              <w:t xml:space="preserve">Dönem Sonu Sermaye Katılma Payı (%) </w:t>
            </w:r>
          </w:p>
        </w:tc>
        <w:tc>
          <w:tcPr>
            <w:tcW w:w="1581" w:type="dxa"/>
            <w:tcBorders>
              <w:left w:val="nil"/>
              <w:bottom w:val="single" w:sz="4" w:space="0" w:color="auto"/>
              <w:right w:val="nil"/>
            </w:tcBorders>
          </w:tcPr>
          <w:p w14:paraId="651ACFD7" w14:textId="4A152CD5" w:rsidR="00700164" w:rsidRPr="00471CBA" w:rsidRDefault="00700164" w:rsidP="00700164">
            <w:pPr>
              <w:jc w:val="right"/>
              <w:rPr>
                <w:b/>
                <w:bCs/>
                <w:szCs w:val="20"/>
              </w:rPr>
            </w:pPr>
            <w:r w:rsidRPr="00471CBA">
              <w:rPr>
                <w:b/>
                <w:bCs/>
              </w:rPr>
              <w:t>100</w:t>
            </w:r>
          </w:p>
        </w:tc>
        <w:tc>
          <w:tcPr>
            <w:tcW w:w="1686" w:type="dxa"/>
            <w:tcBorders>
              <w:left w:val="nil"/>
              <w:bottom w:val="single" w:sz="4" w:space="0" w:color="auto"/>
              <w:right w:val="nil"/>
            </w:tcBorders>
          </w:tcPr>
          <w:p w14:paraId="50A46A55" w14:textId="3FDA9135" w:rsidR="00700164" w:rsidRPr="00471CBA" w:rsidRDefault="00700164" w:rsidP="00700164">
            <w:pPr>
              <w:jc w:val="right"/>
              <w:rPr>
                <w:rFonts w:eastAsia="Arial Unicode MS"/>
                <w:b/>
                <w:bCs/>
                <w:color w:val="000000"/>
                <w:szCs w:val="20"/>
              </w:rPr>
            </w:pPr>
            <w:r w:rsidRPr="00471CBA">
              <w:rPr>
                <w:b/>
                <w:bCs/>
              </w:rPr>
              <w:t>-</w:t>
            </w:r>
          </w:p>
        </w:tc>
      </w:tr>
      <w:bookmarkEnd w:id="112"/>
    </w:tbl>
    <w:p w14:paraId="112E1EED" w14:textId="77777777" w:rsidR="00E87F5D" w:rsidRPr="00471CBA" w:rsidRDefault="00E87F5D" w:rsidP="00E87F5D">
      <w:pPr>
        <w:widowControl w:val="0"/>
        <w:jc w:val="both"/>
        <w:rPr>
          <w:b/>
          <w:szCs w:val="20"/>
        </w:rPr>
      </w:pPr>
    </w:p>
    <w:p w14:paraId="27D03E2D" w14:textId="092285D9" w:rsidR="00E87F5D" w:rsidRPr="00471CBA" w:rsidRDefault="00E87F5D" w:rsidP="000C3408">
      <w:pPr>
        <w:pStyle w:val="ListeParagraf"/>
        <w:widowControl w:val="0"/>
        <w:numPr>
          <w:ilvl w:val="1"/>
          <w:numId w:val="2"/>
        </w:numPr>
        <w:tabs>
          <w:tab w:val="clear" w:pos="1440"/>
        </w:tabs>
        <w:ind w:left="567" w:hanging="567"/>
        <w:jc w:val="both"/>
        <w:rPr>
          <w:b/>
          <w:szCs w:val="20"/>
        </w:rPr>
      </w:pPr>
      <w:r w:rsidRPr="00471CBA">
        <w:rPr>
          <w:b/>
          <w:szCs w:val="20"/>
        </w:rPr>
        <w:t>Bağlı ortaklıklara ilişkin sektör bilgileri ve bunlara ilişkin kayıtlı tutarlar:</w:t>
      </w:r>
    </w:p>
    <w:p w14:paraId="42E045FF" w14:textId="77777777" w:rsidR="00E87F5D" w:rsidRPr="00471CBA" w:rsidRDefault="00E87F5D">
      <w:pPr>
        <w:rPr>
          <w:bCs/>
          <w:szCs w:val="20"/>
        </w:rPr>
      </w:pPr>
    </w:p>
    <w:tbl>
      <w:tblPr>
        <w:tblStyle w:val="TabloKlavuzu"/>
        <w:tblW w:w="98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8"/>
        <w:gridCol w:w="1610"/>
        <w:gridCol w:w="1681"/>
      </w:tblGrid>
      <w:tr w:rsidR="00E87F5D" w:rsidRPr="00471CBA" w14:paraId="197F8405" w14:textId="77777777" w:rsidTr="000B6430">
        <w:trPr>
          <w:trHeight w:hRule="exact" w:val="227"/>
        </w:trPr>
        <w:tc>
          <w:tcPr>
            <w:tcW w:w="6528" w:type="dxa"/>
            <w:tcBorders>
              <w:top w:val="single" w:sz="4" w:space="0" w:color="auto"/>
              <w:bottom w:val="single" w:sz="4" w:space="0" w:color="auto"/>
            </w:tcBorders>
          </w:tcPr>
          <w:p w14:paraId="30EA27C5" w14:textId="77777777" w:rsidR="00E87F5D" w:rsidRPr="00471CBA" w:rsidRDefault="00E87F5D" w:rsidP="00261C67">
            <w:pPr>
              <w:rPr>
                <w:b/>
                <w:szCs w:val="20"/>
              </w:rPr>
            </w:pPr>
          </w:p>
        </w:tc>
        <w:tc>
          <w:tcPr>
            <w:tcW w:w="1610" w:type="dxa"/>
            <w:tcBorders>
              <w:top w:val="single" w:sz="4" w:space="0" w:color="auto"/>
              <w:bottom w:val="single" w:sz="4" w:space="0" w:color="auto"/>
            </w:tcBorders>
            <w:vAlign w:val="bottom"/>
          </w:tcPr>
          <w:p w14:paraId="22048C22" w14:textId="77777777" w:rsidR="00E87F5D" w:rsidRPr="00471CBA" w:rsidRDefault="00E87F5D" w:rsidP="00261C67">
            <w:pPr>
              <w:jc w:val="right"/>
              <w:rPr>
                <w:b/>
                <w:szCs w:val="20"/>
              </w:rPr>
            </w:pPr>
            <w:r w:rsidRPr="00471CBA">
              <w:rPr>
                <w:rFonts w:eastAsia="Arial Unicode MS"/>
                <w:b/>
                <w:bCs/>
                <w:color w:val="000000"/>
                <w:szCs w:val="20"/>
              </w:rPr>
              <w:t>Cari Dönem</w:t>
            </w:r>
          </w:p>
        </w:tc>
        <w:tc>
          <w:tcPr>
            <w:tcW w:w="1681" w:type="dxa"/>
            <w:tcBorders>
              <w:top w:val="single" w:sz="4" w:space="0" w:color="auto"/>
              <w:bottom w:val="single" w:sz="4" w:space="0" w:color="auto"/>
            </w:tcBorders>
            <w:vAlign w:val="bottom"/>
          </w:tcPr>
          <w:p w14:paraId="2380A67B" w14:textId="77777777" w:rsidR="00E87F5D" w:rsidRPr="00471CBA" w:rsidRDefault="00E87F5D" w:rsidP="00261C67">
            <w:pPr>
              <w:jc w:val="right"/>
              <w:rPr>
                <w:b/>
                <w:szCs w:val="20"/>
              </w:rPr>
            </w:pPr>
            <w:r w:rsidRPr="00471CBA">
              <w:rPr>
                <w:rFonts w:eastAsia="Arial Unicode MS"/>
                <w:b/>
                <w:bCs/>
                <w:color w:val="000000"/>
                <w:szCs w:val="20"/>
              </w:rPr>
              <w:t>Önceki Dönem</w:t>
            </w:r>
          </w:p>
        </w:tc>
      </w:tr>
      <w:tr w:rsidR="00E87F5D" w:rsidRPr="00471CBA" w14:paraId="059E4FF5" w14:textId="77777777" w:rsidTr="000B6430">
        <w:trPr>
          <w:trHeight w:hRule="exact" w:val="227"/>
        </w:trPr>
        <w:tc>
          <w:tcPr>
            <w:tcW w:w="6528" w:type="dxa"/>
            <w:tcBorders>
              <w:top w:val="single" w:sz="4" w:space="0" w:color="auto"/>
            </w:tcBorders>
          </w:tcPr>
          <w:p w14:paraId="4BF8644B" w14:textId="77777777" w:rsidR="00E87F5D" w:rsidRPr="00471CBA" w:rsidRDefault="00E87F5D" w:rsidP="00261C67">
            <w:pPr>
              <w:rPr>
                <w:b/>
                <w:szCs w:val="20"/>
              </w:rPr>
            </w:pPr>
          </w:p>
        </w:tc>
        <w:tc>
          <w:tcPr>
            <w:tcW w:w="1610" w:type="dxa"/>
            <w:tcBorders>
              <w:top w:val="single" w:sz="4" w:space="0" w:color="auto"/>
            </w:tcBorders>
            <w:vAlign w:val="bottom"/>
          </w:tcPr>
          <w:p w14:paraId="132C7F18" w14:textId="77777777" w:rsidR="00E87F5D" w:rsidRPr="00471CBA" w:rsidRDefault="00E87F5D" w:rsidP="00261C67">
            <w:pPr>
              <w:jc w:val="right"/>
              <w:rPr>
                <w:rFonts w:eastAsia="Arial Unicode MS"/>
                <w:b/>
                <w:bCs/>
                <w:color w:val="000000"/>
                <w:szCs w:val="20"/>
              </w:rPr>
            </w:pPr>
          </w:p>
        </w:tc>
        <w:tc>
          <w:tcPr>
            <w:tcW w:w="1681" w:type="dxa"/>
            <w:tcBorders>
              <w:top w:val="single" w:sz="4" w:space="0" w:color="auto"/>
            </w:tcBorders>
            <w:vAlign w:val="bottom"/>
          </w:tcPr>
          <w:p w14:paraId="2D147A23" w14:textId="77777777" w:rsidR="00E87F5D" w:rsidRPr="00471CBA" w:rsidRDefault="00E87F5D" w:rsidP="00261C67">
            <w:pPr>
              <w:jc w:val="right"/>
              <w:rPr>
                <w:rFonts w:eastAsia="Arial Unicode MS"/>
                <w:b/>
                <w:bCs/>
                <w:color w:val="000000"/>
                <w:szCs w:val="20"/>
              </w:rPr>
            </w:pPr>
          </w:p>
        </w:tc>
      </w:tr>
      <w:tr w:rsidR="00700164" w:rsidRPr="00471CBA" w14:paraId="2B3DC6A3" w14:textId="77777777" w:rsidTr="000B6430">
        <w:trPr>
          <w:trHeight w:hRule="exact" w:val="227"/>
        </w:trPr>
        <w:tc>
          <w:tcPr>
            <w:tcW w:w="6528" w:type="dxa"/>
            <w:vAlign w:val="center"/>
          </w:tcPr>
          <w:p w14:paraId="256E292C" w14:textId="77777777" w:rsidR="00700164" w:rsidRPr="00471CBA" w:rsidRDefault="00700164" w:rsidP="00700164">
            <w:pPr>
              <w:rPr>
                <w:b/>
                <w:szCs w:val="20"/>
              </w:rPr>
            </w:pPr>
            <w:r w:rsidRPr="00471CBA">
              <w:rPr>
                <w:color w:val="000000"/>
                <w:szCs w:val="20"/>
              </w:rPr>
              <w:t xml:space="preserve">Bankalar </w:t>
            </w:r>
          </w:p>
        </w:tc>
        <w:tc>
          <w:tcPr>
            <w:tcW w:w="1610" w:type="dxa"/>
          </w:tcPr>
          <w:p w14:paraId="0E2E352F" w14:textId="1507C741" w:rsidR="00700164" w:rsidRPr="00471CBA" w:rsidRDefault="00700164" w:rsidP="00700164">
            <w:pPr>
              <w:jc w:val="right"/>
              <w:rPr>
                <w:szCs w:val="20"/>
              </w:rPr>
            </w:pPr>
            <w:r w:rsidRPr="00471CBA">
              <w:t>-</w:t>
            </w:r>
          </w:p>
        </w:tc>
        <w:tc>
          <w:tcPr>
            <w:tcW w:w="1681" w:type="dxa"/>
          </w:tcPr>
          <w:p w14:paraId="1DBB0865" w14:textId="03CC6FF5" w:rsidR="00700164" w:rsidRPr="00471CBA" w:rsidRDefault="00700164" w:rsidP="00700164">
            <w:pPr>
              <w:jc w:val="right"/>
              <w:rPr>
                <w:szCs w:val="20"/>
              </w:rPr>
            </w:pPr>
            <w:r w:rsidRPr="00471CBA">
              <w:t>-</w:t>
            </w:r>
          </w:p>
        </w:tc>
      </w:tr>
      <w:tr w:rsidR="00700164" w:rsidRPr="00471CBA" w14:paraId="1524AD3E" w14:textId="77777777" w:rsidTr="000B6430">
        <w:trPr>
          <w:trHeight w:hRule="exact" w:val="227"/>
        </w:trPr>
        <w:tc>
          <w:tcPr>
            <w:tcW w:w="6528" w:type="dxa"/>
            <w:vAlign w:val="center"/>
          </w:tcPr>
          <w:p w14:paraId="7BFA1AAD" w14:textId="77777777" w:rsidR="00700164" w:rsidRPr="00471CBA" w:rsidRDefault="00700164" w:rsidP="00700164">
            <w:pPr>
              <w:rPr>
                <w:b/>
                <w:szCs w:val="20"/>
              </w:rPr>
            </w:pPr>
            <w:r w:rsidRPr="00471CBA">
              <w:rPr>
                <w:color w:val="000000"/>
                <w:szCs w:val="20"/>
              </w:rPr>
              <w:t>Sigorta Şirketleri</w:t>
            </w:r>
          </w:p>
        </w:tc>
        <w:tc>
          <w:tcPr>
            <w:tcW w:w="1610" w:type="dxa"/>
          </w:tcPr>
          <w:p w14:paraId="44DE5948" w14:textId="0E449257" w:rsidR="00700164" w:rsidRPr="00471CBA" w:rsidRDefault="00700164" w:rsidP="00700164">
            <w:pPr>
              <w:jc w:val="right"/>
              <w:rPr>
                <w:szCs w:val="20"/>
              </w:rPr>
            </w:pPr>
            <w:r w:rsidRPr="00471CBA">
              <w:t>-</w:t>
            </w:r>
          </w:p>
        </w:tc>
        <w:tc>
          <w:tcPr>
            <w:tcW w:w="1681" w:type="dxa"/>
          </w:tcPr>
          <w:p w14:paraId="2113F181" w14:textId="0654CB19" w:rsidR="00700164" w:rsidRPr="00471CBA" w:rsidRDefault="00700164" w:rsidP="00700164">
            <w:pPr>
              <w:jc w:val="right"/>
              <w:rPr>
                <w:szCs w:val="20"/>
              </w:rPr>
            </w:pPr>
            <w:r w:rsidRPr="00471CBA">
              <w:t>-</w:t>
            </w:r>
          </w:p>
        </w:tc>
      </w:tr>
      <w:tr w:rsidR="00700164" w:rsidRPr="00471CBA" w14:paraId="5C149A82" w14:textId="77777777" w:rsidTr="000B6430">
        <w:trPr>
          <w:trHeight w:hRule="exact" w:val="227"/>
        </w:trPr>
        <w:tc>
          <w:tcPr>
            <w:tcW w:w="6528" w:type="dxa"/>
            <w:vAlign w:val="center"/>
          </w:tcPr>
          <w:p w14:paraId="3B16F306" w14:textId="77777777" w:rsidR="00700164" w:rsidRPr="00471CBA" w:rsidRDefault="00700164" w:rsidP="00700164">
            <w:pPr>
              <w:rPr>
                <w:b/>
                <w:szCs w:val="20"/>
              </w:rPr>
            </w:pPr>
            <w:proofErr w:type="spellStart"/>
            <w:r w:rsidRPr="00471CBA">
              <w:rPr>
                <w:color w:val="000000"/>
                <w:szCs w:val="20"/>
              </w:rPr>
              <w:t>Faktoring</w:t>
            </w:r>
            <w:proofErr w:type="spellEnd"/>
            <w:r w:rsidRPr="00471CBA">
              <w:rPr>
                <w:color w:val="000000"/>
                <w:szCs w:val="20"/>
              </w:rPr>
              <w:t xml:space="preserve"> Şirketleri</w:t>
            </w:r>
          </w:p>
        </w:tc>
        <w:tc>
          <w:tcPr>
            <w:tcW w:w="1610" w:type="dxa"/>
          </w:tcPr>
          <w:p w14:paraId="7A75FC4D" w14:textId="6A2EF8F6" w:rsidR="00700164" w:rsidRPr="00471CBA" w:rsidRDefault="00700164" w:rsidP="00700164">
            <w:pPr>
              <w:jc w:val="right"/>
              <w:rPr>
                <w:szCs w:val="20"/>
              </w:rPr>
            </w:pPr>
            <w:r w:rsidRPr="00471CBA">
              <w:t>-</w:t>
            </w:r>
          </w:p>
        </w:tc>
        <w:tc>
          <w:tcPr>
            <w:tcW w:w="1681" w:type="dxa"/>
          </w:tcPr>
          <w:p w14:paraId="1B5D0EFC" w14:textId="751849F4" w:rsidR="00700164" w:rsidRPr="00471CBA" w:rsidRDefault="00700164" w:rsidP="00700164">
            <w:pPr>
              <w:jc w:val="right"/>
              <w:rPr>
                <w:szCs w:val="20"/>
              </w:rPr>
            </w:pPr>
            <w:r w:rsidRPr="00471CBA">
              <w:t>-</w:t>
            </w:r>
          </w:p>
        </w:tc>
      </w:tr>
      <w:tr w:rsidR="00700164" w:rsidRPr="00471CBA" w14:paraId="6EB04903" w14:textId="77777777" w:rsidTr="000B6430">
        <w:trPr>
          <w:trHeight w:hRule="exact" w:val="227"/>
        </w:trPr>
        <w:tc>
          <w:tcPr>
            <w:tcW w:w="6528" w:type="dxa"/>
            <w:vAlign w:val="center"/>
          </w:tcPr>
          <w:p w14:paraId="1D785993" w14:textId="77777777" w:rsidR="00700164" w:rsidRPr="00471CBA" w:rsidRDefault="00700164" w:rsidP="00700164">
            <w:pPr>
              <w:rPr>
                <w:b/>
                <w:szCs w:val="20"/>
              </w:rPr>
            </w:pPr>
            <w:r w:rsidRPr="00471CBA">
              <w:rPr>
                <w:color w:val="000000"/>
                <w:szCs w:val="20"/>
              </w:rPr>
              <w:t>Leasing Şirketleri</w:t>
            </w:r>
          </w:p>
        </w:tc>
        <w:tc>
          <w:tcPr>
            <w:tcW w:w="1610" w:type="dxa"/>
          </w:tcPr>
          <w:p w14:paraId="2D1128E8" w14:textId="297134A7" w:rsidR="00700164" w:rsidRPr="00471CBA" w:rsidRDefault="00700164" w:rsidP="00700164">
            <w:pPr>
              <w:jc w:val="right"/>
              <w:rPr>
                <w:szCs w:val="20"/>
              </w:rPr>
            </w:pPr>
            <w:r w:rsidRPr="00471CBA">
              <w:t>-</w:t>
            </w:r>
          </w:p>
        </w:tc>
        <w:tc>
          <w:tcPr>
            <w:tcW w:w="1681" w:type="dxa"/>
          </w:tcPr>
          <w:p w14:paraId="065B1138" w14:textId="7E20FB26" w:rsidR="00700164" w:rsidRPr="00471CBA" w:rsidRDefault="00700164" w:rsidP="00700164">
            <w:pPr>
              <w:jc w:val="right"/>
              <w:rPr>
                <w:szCs w:val="20"/>
              </w:rPr>
            </w:pPr>
            <w:r w:rsidRPr="00471CBA">
              <w:t>-</w:t>
            </w:r>
          </w:p>
        </w:tc>
      </w:tr>
      <w:tr w:rsidR="00700164" w:rsidRPr="00471CBA" w14:paraId="6CEBCC88" w14:textId="77777777" w:rsidTr="000B6430">
        <w:trPr>
          <w:trHeight w:hRule="exact" w:val="227"/>
        </w:trPr>
        <w:tc>
          <w:tcPr>
            <w:tcW w:w="6528" w:type="dxa"/>
            <w:vAlign w:val="center"/>
          </w:tcPr>
          <w:p w14:paraId="7BEDF6B7" w14:textId="77777777" w:rsidR="00700164" w:rsidRPr="00471CBA" w:rsidRDefault="00700164" w:rsidP="00700164">
            <w:pPr>
              <w:rPr>
                <w:b/>
                <w:szCs w:val="20"/>
              </w:rPr>
            </w:pPr>
            <w:r w:rsidRPr="00471CBA">
              <w:rPr>
                <w:color w:val="000000"/>
                <w:szCs w:val="20"/>
              </w:rPr>
              <w:t>Finansman Şirketleri</w:t>
            </w:r>
          </w:p>
        </w:tc>
        <w:tc>
          <w:tcPr>
            <w:tcW w:w="1610" w:type="dxa"/>
          </w:tcPr>
          <w:p w14:paraId="731EC9C8" w14:textId="5C4CE8EC" w:rsidR="00700164" w:rsidRPr="00471CBA" w:rsidRDefault="00700164" w:rsidP="00700164">
            <w:pPr>
              <w:jc w:val="right"/>
              <w:rPr>
                <w:szCs w:val="20"/>
              </w:rPr>
            </w:pPr>
            <w:r w:rsidRPr="00471CBA">
              <w:t>-</w:t>
            </w:r>
          </w:p>
        </w:tc>
        <w:tc>
          <w:tcPr>
            <w:tcW w:w="1681" w:type="dxa"/>
          </w:tcPr>
          <w:p w14:paraId="7F2FEEDF" w14:textId="7D720570" w:rsidR="00700164" w:rsidRPr="00471CBA" w:rsidRDefault="00700164" w:rsidP="00700164">
            <w:pPr>
              <w:jc w:val="right"/>
              <w:rPr>
                <w:szCs w:val="20"/>
              </w:rPr>
            </w:pPr>
            <w:r w:rsidRPr="00471CBA">
              <w:t>-</w:t>
            </w:r>
          </w:p>
        </w:tc>
      </w:tr>
      <w:tr w:rsidR="00700164" w:rsidRPr="00471CBA" w14:paraId="2B0ED5DA" w14:textId="77777777" w:rsidTr="000B6430">
        <w:trPr>
          <w:trHeight w:hRule="exact" w:val="227"/>
        </w:trPr>
        <w:tc>
          <w:tcPr>
            <w:tcW w:w="6528" w:type="dxa"/>
            <w:vAlign w:val="center"/>
          </w:tcPr>
          <w:p w14:paraId="2D12706C" w14:textId="77777777" w:rsidR="00700164" w:rsidRPr="00471CBA" w:rsidRDefault="00700164" w:rsidP="00700164">
            <w:pPr>
              <w:rPr>
                <w:b/>
                <w:szCs w:val="20"/>
              </w:rPr>
            </w:pPr>
            <w:r w:rsidRPr="00471CBA">
              <w:rPr>
                <w:color w:val="000000"/>
                <w:szCs w:val="20"/>
              </w:rPr>
              <w:t xml:space="preserve">Diğer Mali Ortaklıklar </w:t>
            </w:r>
          </w:p>
        </w:tc>
        <w:tc>
          <w:tcPr>
            <w:tcW w:w="1610" w:type="dxa"/>
          </w:tcPr>
          <w:p w14:paraId="376FB22E" w14:textId="48FE64F5" w:rsidR="00700164" w:rsidRPr="00471CBA" w:rsidRDefault="00700164" w:rsidP="00700164">
            <w:pPr>
              <w:jc w:val="right"/>
              <w:rPr>
                <w:szCs w:val="20"/>
              </w:rPr>
            </w:pPr>
            <w:r w:rsidRPr="00471CBA">
              <w:t>650.250</w:t>
            </w:r>
          </w:p>
        </w:tc>
        <w:tc>
          <w:tcPr>
            <w:tcW w:w="1681" w:type="dxa"/>
          </w:tcPr>
          <w:p w14:paraId="53136B79" w14:textId="10A3C0BA" w:rsidR="00700164" w:rsidRPr="00471CBA" w:rsidRDefault="00700164" w:rsidP="00700164">
            <w:pPr>
              <w:jc w:val="right"/>
              <w:rPr>
                <w:szCs w:val="20"/>
              </w:rPr>
            </w:pPr>
            <w:r w:rsidRPr="00471CBA">
              <w:t>-</w:t>
            </w:r>
          </w:p>
        </w:tc>
      </w:tr>
      <w:tr w:rsidR="00E87F5D" w:rsidRPr="00471CBA" w14:paraId="6B885CC2" w14:textId="77777777" w:rsidTr="000B6430">
        <w:trPr>
          <w:trHeight w:hRule="exact" w:val="227"/>
        </w:trPr>
        <w:tc>
          <w:tcPr>
            <w:tcW w:w="6528" w:type="dxa"/>
            <w:tcBorders>
              <w:bottom w:val="single" w:sz="4" w:space="0" w:color="auto"/>
            </w:tcBorders>
          </w:tcPr>
          <w:p w14:paraId="732EDE50" w14:textId="77777777" w:rsidR="00E87F5D" w:rsidRPr="00471CBA" w:rsidRDefault="00E87F5D" w:rsidP="00261C67">
            <w:pPr>
              <w:rPr>
                <w:b/>
                <w:szCs w:val="20"/>
              </w:rPr>
            </w:pPr>
          </w:p>
        </w:tc>
        <w:tc>
          <w:tcPr>
            <w:tcW w:w="1610" w:type="dxa"/>
            <w:tcBorders>
              <w:bottom w:val="single" w:sz="4" w:space="0" w:color="auto"/>
            </w:tcBorders>
            <w:vAlign w:val="bottom"/>
          </w:tcPr>
          <w:p w14:paraId="6813A643" w14:textId="77777777" w:rsidR="00E87F5D" w:rsidRPr="00471CBA" w:rsidRDefault="00E87F5D" w:rsidP="00261C67">
            <w:pPr>
              <w:jc w:val="right"/>
              <w:rPr>
                <w:b/>
                <w:szCs w:val="20"/>
              </w:rPr>
            </w:pPr>
          </w:p>
        </w:tc>
        <w:tc>
          <w:tcPr>
            <w:tcW w:w="1681" w:type="dxa"/>
            <w:tcBorders>
              <w:bottom w:val="single" w:sz="4" w:space="0" w:color="auto"/>
            </w:tcBorders>
            <w:vAlign w:val="bottom"/>
          </w:tcPr>
          <w:p w14:paraId="54DE3447" w14:textId="77777777" w:rsidR="00E87F5D" w:rsidRPr="00471CBA" w:rsidRDefault="00E87F5D" w:rsidP="00261C67">
            <w:pPr>
              <w:jc w:val="right"/>
              <w:rPr>
                <w:b/>
                <w:szCs w:val="20"/>
              </w:rPr>
            </w:pPr>
          </w:p>
        </w:tc>
      </w:tr>
    </w:tbl>
    <w:p w14:paraId="7409D84E" w14:textId="2B7BAE73" w:rsidR="008679D6" w:rsidRPr="00471CBA" w:rsidRDefault="008679D6">
      <w:pPr>
        <w:rPr>
          <w:bCs/>
          <w:szCs w:val="20"/>
        </w:rPr>
      </w:pPr>
      <w:r w:rsidRPr="00471CBA">
        <w:rPr>
          <w:bCs/>
          <w:szCs w:val="20"/>
        </w:rPr>
        <w:br w:type="page"/>
      </w:r>
    </w:p>
    <w:p w14:paraId="208F1E29" w14:textId="77777777" w:rsidR="008679D6" w:rsidRPr="00471CBA" w:rsidRDefault="008679D6" w:rsidP="008679D6">
      <w:pPr>
        <w:widowControl w:val="0"/>
        <w:ind w:left="720" w:hanging="720"/>
        <w:jc w:val="both"/>
        <w:rPr>
          <w:b/>
          <w:szCs w:val="20"/>
        </w:rPr>
      </w:pPr>
      <w:r w:rsidRPr="00471CBA">
        <w:rPr>
          <w:b/>
          <w:szCs w:val="20"/>
        </w:rPr>
        <w:t>KONSOLİDE OLMAYAN FİNANSAL TABLOLARA İLİŞKİN AÇIKLAMA VE DİPNOTLAR (Devamı)</w:t>
      </w:r>
    </w:p>
    <w:p w14:paraId="2D84D3F3" w14:textId="77777777" w:rsidR="008679D6" w:rsidRPr="00471CBA" w:rsidRDefault="008679D6" w:rsidP="008679D6">
      <w:pPr>
        <w:pStyle w:val="ListeParagraf"/>
        <w:widowControl w:val="0"/>
        <w:ind w:left="14" w:right="452"/>
        <w:jc w:val="both"/>
        <w:rPr>
          <w:b/>
          <w:szCs w:val="20"/>
        </w:rPr>
      </w:pPr>
    </w:p>
    <w:p w14:paraId="5BC3EEF0" w14:textId="77777777" w:rsidR="008679D6" w:rsidRPr="00471CBA" w:rsidRDefault="008679D6" w:rsidP="008459A9">
      <w:pPr>
        <w:pStyle w:val="ListeParagraf"/>
        <w:widowControl w:val="0"/>
        <w:numPr>
          <w:ilvl w:val="0"/>
          <w:numId w:val="53"/>
        </w:numPr>
        <w:ind w:left="567" w:hanging="567"/>
        <w:jc w:val="both"/>
        <w:rPr>
          <w:b/>
          <w:szCs w:val="20"/>
        </w:rPr>
      </w:pPr>
      <w:r w:rsidRPr="00471CBA">
        <w:rPr>
          <w:b/>
          <w:szCs w:val="20"/>
        </w:rPr>
        <w:t>BİLANÇONUN AKTİF HESAPLARINA İLİŞKİN AÇIKLAMA VE DİPNOTLAR (Devamı)</w:t>
      </w:r>
    </w:p>
    <w:p w14:paraId="36377DCD" w14:textId="77777777" w:rsidR="00C70F9C" w:rsidRPr="00471CBA" w:rsidRDefault="00C70F9C" w:rsidP="00415DBD">
      <w:pPr>
        <w:widowControl w:val="0"/>
        <w:ind w:left="-14" w:hanging="547"/>
        <w:rPr>
          <w:b/>
          <w:szCs w:val="20"/>
        </w:rPr>
      </w:pPr>
    </w:p>
    <w:p w14:paraId="6FD8DDA8" w14:textId="61418D47" w:rsidR="00B41104" w:rsidRPr="00471CBA" w:rsidRDefault="00B41104" w:rsidP="000C3408">
      <w:pPr>
        <w:pStyle w:val="ListeParagraf"/>
        <w:widowControl w:val="0"/>
        <w:numPr>
          <w:ilvl w:val="0"/>
          <w:numId w:val="43"/>
        </w:numPr>
        <w:tabs>
          <w:tab w:val="clear" w:pos="540"/>
        </w:tabs>
        <w:autoSpaceDE w:val="0"/>
        <w:autoSpaceDN w:val="0"/>
        <w:adjustRightInd w:val="0"/>
        <w:ind w:left="567" w:hanging="567"/>
        <w:jc w:val="both"/>
        <w:rPr>
          <w:b/>
          <w:szCs w:val="20"/>
        </w:rPr>
      </w:pPr>
      <w:r w:rsidRPr="00471CBA">
        <w:rPr>
          <w:b/>
          <w:szCs w:val="20"/>
        </w:rPr>
        <w:t>Birlikte kontrol edilen ortaklıklara (iş ortaklıklarına) ilişkin bilgiler:</w:t>
      </w:r>
    </w:p>
    <w:p w14:paraId="6DBC6CA4" w14:textId="77777777" w:rsidR="00B41104" w:rsidRPr="00471CBA" w:rsidRDefault="00B41104" w:rsidP="00415DBD">
      <w:pPr>
        <w:pStyle w:val="GvdeMetniGirintisi"/>
        <w:widowControl w:val="0"/>
        <w:ind w:left="14" w:hanging="14"/>
        <w:rPr>
          <w:szCs w:val="20"/>
        </w:rPr>
      </w:pPr>
    </w:p>
    <w:p w14:paraId="70A0BE18" w14:textId="18443674" w:rsidR="00B41104" w:rsidRPr="00471CBA" w:rsidRDefault="002D38C1" w:rsidP="00717147">
      <w:pPr>
        <w:pStyle w:val="GvdeMetniGirintisi"/>
        <w:widowControl w:val="0"/>
        <w:ind w:left="567" w:firstLine="0"/>
        <w:rPr>
          <w:szCs w:val="20"/>
        </w:rPr>
      </w:pPr>
      <w:r w:rsidRPr="00471CBA">
        <w:rPr>
          <w:bCs/>
          <w:szCs w:val="20"/>
        </w:rPr>
        <w:t>B</w:t>
      </w:r>
      <w:r w:rsidR="00B41104" w:rsidRPr="00471CBA">
        <w:rPr>
          <w:szCs w:val="20"/>
        </w:rPr>
        <w:t>ulunmamaktadır</w:t>
      </w:r>
      <w:r w:rsidR="00AF526A" w:rsidRPr="00471CBA">
        <w:rPr>
          <w:szCs w:val="20"/>
        </w:rPr>
        <w:t xml:space="preserve"> </w:t>
      </w:r>
      <w:r w:rsidR="00AF526A" w:rsidRPr="00471CBA">
        <w:rPr>
          <w:bCs/>
          <w:szCs w:val="20"/>
        </w:rPr>
        <w:t>(</w:t>
      </w:r>
      <w:r w:rsidR="00C005C7" w:rsidRPr="00471CBA">
        <w:rPr>
          <w:bCs/>
          <w:szCs w:val="20"/>
        </w:rPr>
        <w:t>31 Aralık 2024</w:t>
      </w:r>
      <w:r w:rsidR="00AF526A" w:rsidRPr="00471CBA">
        <w:rPr>
          <w:bCs/>
          <w:szCs w:val="20"/>
        </w:rPr>
        <w:t>: Bulunmamaktadır).</w:t>
      </w:r>
    </w:p>
    <w:p w14:paraId="61A99BEC" w14:textId="77777777" w:rsidR="00B41104" w:rsidRPr="00471CBA" w:rsidRDefault="00B41104" w:rsidP="00415DBD">
      <w:pPr>
        <w:widowControl w:val="0"/>
        <w:rPr>
          <w:b/>
          <w:szCs w:val="20"/>
        </w:rPr>
      </w:pPr>
    </w:p>
    <w:p w14:paraId="74917287" w14:textId="72039DB7" w:rsidR="00A67FD6" w:rsidRPr="00471CBA" w:rsidRDefault="00A67FD6" w:rsidP="00A67FD6">
      <w:pPr>
        <w:pStyle w:val="ListeParagraf"/>
        <w:widowControl w:val="0"/>
        <w:numPr>
          <w:ilvl w:val="0"/>
          <w:numId w:val="43"/>
        </w:numPr>
        <w:tabs>
          <w:tab w:val="clear" w:pos="540"/>
        </w:tabs>
        <w:autoSpaceDE w:val="0"/>
        <w:autoSpaceDN w:val="0"/>
        <w:adjustRightInd w:val="0"/>
        <w:ind w:left="851" w:hanging="851"/>
        <w:jc w:val="both"/>
        <w:rPr>
          <w:b/>
          <w:szCs w:val="20"/>
        </w:rPr>
      </w:pPr>
      <w:bookmarkStart w:id="113" w:name="_Hlk187762405"/>
      <w:bookmarkStart w:id="114" w:name="_Hlk221782162"/>
      <w:r w:rsidRPr="00471CBA">
        <w:rPr>
          <w:b/>
          <w:szCs w:val="20"/>
        </w:rPr>
        <w:t xml:space="preserve">Maddi duran varlıklara ilişkin açıklamalar: </w:t>
      </w:r>
    </w:p>
    <w:p w14:paraId="0F7AD99A" w14:textId="76FA9E71" w:rsidR="000A44B5" w:rsidRPr="00471CBA" w:rsidRDefault="000A44B5" w:rsidP="000A44B5">
      <w:pPr>
        <w:widowControl w:val="0"/>
        <w:autoSpaceDE w:val="0"/>
        <w:autoSpaceDN w:val="0"/>
        <w:adjustRightInd w:val="0"/>
        <w:jc w:val="both"/>
        <w:rPr>
          <w:b/>
          <w:szCs w:val="20"/>
        </w:rPr>
      </w:pPr>
    </w:p>
    <w:tbl>
      <w:tblPr>
        <w:tblW w:w="5000" w:type="pct"/>
        <w:tblCellMar>
          <w:left w:w="0" w:type="dxa"/>
          <w:right w:w="0" w:type="dxa"/>
        </w:tblCellMar>
        <w:tblLook w:val="0000" w:firstRow="0" w:lastRow="0" w:firstColumn="0" w:lastColumn="0" w:noHBand="0" w:noVBand="0"/>
      </w:tblPr>
      <w:tblGrid>
        <w:gridCol w:w="3271"/>
        <w:gridCol w:w="1358"/>
        <w:gridCol w:w="1108"/>
        <w:gridCol w:w="849"/>
        <w:gridCol w:w="823"/>
        <w:gridCol w:w="1005"/>
        <w:gridCol w:w="941"/>
      </w:tblGrid>
      <w:tr w:rsidR="000A44B5" w:rsidRPr="00471CBA" w14:paraId="3C02F237" w14:textId="77777777" w:rsidTr="00D171D5">
        <w:trPr>
          <w:cantSplit/>
          <w:trHeight w:val="24"/>
        </w:trPr>
        <w:tc>
          <w:tcPr>
            <w:tcW w:w="1748" w:type="pct"/>
            <w:tcBorders>
              <w:top w:val="single" w:sz="4" w:space="0" w:color="auto"/>
              <w:bottom w:val="single" w:sz="4" w:space="0" w:color="auto"/>
            </w:tcBorders>
            <w:noWrap/>
            <w:tcMar>
              <w:top w:w="15" w:type="dxa"/>
              <w:left w:w="15" w:type="dxa"/>
              <w:bottom w:w="0" w:type="dxa"/>
              <w:right w:w="15" w:type="dxa"/>
            </w:tcMar>
            <w:vAlign w:val="center"/>
          </w:tcPr>
          <w:p w14:paraId="41C27FE6" w14:textId="3118A07C" w:rsidR="000A44B5" w:rsidRPr="00471CBA" w:rsidRDefault="000A44B5" w:rsidP="00887449">
            <w:pPr>
              <w:jc w:val="center"/>
              <w:rPr>
                <w:rFonts w:eastAsia="Arial Unicode MS"/>
                <w:b/>
                <w:iCs/>
                <w:sz w:val="16"/>
                <w:szCs w:val="16"/>
              </w:rPr>
            </w:pPr>
            <w:r w:rsidRPr="00471CBA">
              <w:rPr>
                <w:rFonts w:eastAsia="Arial Unicode MS"/>
                <w:b/>
                <w:iCs/>
                <w:sz w:val="16"/>
                <w:szCs w:val="16"/>
              </w:rPr>
              <w:t>31 Aralık 2025</w:t>
            </w:r>
          </w:p>
        </w:tc>
        <w:tc>
          <w:tcPr>
            <w:tcW w:w="726" w:type="pct"/>
            <w:tcBorders>
              <w:top w:val="single" w:sz="4" w:space="0" w:color="auto"/>
              <w:bottom w:val="single" w:sz="4" w:space="0" w:color="auto"/>
            </w:tcBorders>
            <w:noWrap/>
            <w:tcMar>
              <w:top w:w="15" w:type="dxa"/>
              <w:left w:w="15" w:type="dxa"/>
              <w:bottom w:w="0" w:type="dxa"/>
              <w:right w:w="15" w:type="dxa"/>
            </w:tcMar>
            <w:vAlign w:val="bottom"/>
          </w:tcPr>
          <w:p w14:paraId="5DB17631" w14:textId="77777777" w:rsidR="000A44B5" w:rsidRPr="00471CBA" w:rsidRDefault="000A44B5" w:rsidP="00F36B82">
            <w:pPr>
              <w:ind w:right="28"/>
              <w:jc w:val="right"/>
              <w:rPr>
                <w:rFonts w:eastAsia="Arial Unicode MS"/>
                <w:b/>
                <w:iCs/>
                <w:sz w:val="16"/>
                <w:szCs w:val="16"/>
              </w:rPr>
            </w:pPr>
            <w:r w:rsidRPr="00471CBA">
              <w:rPr>
                <w:b/>
                <w:iCs/>
                <w:sz w:val="16"/>
                <w:szCs w:val="16"/>
              </w:rPr>
              <w:t xml:space="preserve">Gayrimenkuller </w:t>
            </w:r>
            <w:r w:rsidRPr="00471CBA">
              <w:rPr>
                <w:b/>
                <w:iCs/>
                <w:sz w:val="16"/>
                <w:szCs w:val="16"/>
                <w:vertAlign w:val="superscript"/>
              </w:rPr>
              <w:t>(*)</w:t>
            </w:r>
          </w:p>
        </w:tc>
        <w:tc>
          <w:tcPr>
            <w:tcW w:w="592" w:type="pct"/>
            <w:tcBorders>
              <w:top w:val="single" w:sz="4" w:space="0" w:color="auto"/>
              <w:bottom w:val="single" w:sz="4" w:space="0" w:color="auto"/>
            </w:tcBorders>
            <w:vAlign w:val="bottom"/>
          </w:tcPr>
          <w:p w14:paraId="7C101542" w14:textId="77777777" w:rsidR="000A44B5" w:rsidRPr="00471CBA" w:rsidRDefault="000A44B5" w:rsidP="00F36B82">
            <w:pPr>
              <w:ind w:right="28"/>
              <w:jc w:val="right"/>
              <w:rPr>
                <w:rFonts w:eastAsia="Arial Unicode MS"/>
                <w:b/>
                <w:iCs/>
                <w:sz w:val="16"/>
                <w:szCs w:val="16"/>
              </w:rPr>
            </w:pPr>
            <w:r w:rsidRPr="00471CBA">
              <w:rPr>
                <w:b/>
                <w:iCs/>
                <w:sz w:val="16"/>
                <w:szCs w:val="16"/>
              </w:rPr>
              <w:t>Finansal kiralama ile edinilen MDV</w:t>
            </w:r>
          </w:p>
        </w:tc>
        <w:tc>
          <w:tcPr>
            <w:tcW w:w="454" w:type="pct"/>
            <w:tcBorders>
              <w:top w:val="single" w:sz="4" w:space="0" w:color="auto"/>
              <w:bottom w:val="single" w:sz="4" w:space="0" w:color="auto"/>
            </w:tcBorders>
            <w:noWrap/>
            <w:tcMar>
              <w:top w:w="15" w:type="dxa"/>
              <w:left w:w="15" w:type="dxa"/>
              <w:bottom w:w="0" w:type="dxa"/>
              <w:right w:w="15" w:type="dxa"/>
            </w:tcMar>
            <w:vAlign w:val="bottom"/>
          </w:tcPr>
          <w:p w14:paraId="100C6E8E" w14:textId="77777777" w:rsidR="000A44B5" w:rsidRPr="00471CBA" w:rsidRDefault="000A44B5" w:rsidP="00F36B82">
            <w:pPr>
              <w:ind w:right="28"/>
              <w:jc w:val="right"/>
              <w:rPr>
                <w:rFonts w:eastAsia="Arial Unicode MS"/>
                <w:b/>
                <w:iCs/>
                <w:sz w:val="16"/>
                <w:szCs w:val="16"/>
              </w:rPr>
            </w:pPr>
            <w:r w:rsidRPr="00471CBA">
              <w:rPr>
                <w:rFonts w:eastAsia="Arial Unicode MS"/>
                <w:b/>
                <w:iCs/>
                <w:sz w:val="16"/>
                <w:szCs w:val="16"/>
              </w:rPr>
              <w:t>Araçlar</w:t>
            </w:r>
          </w:p>
        </w:tc>
        <w:tc>
          <w:tcPr>
            <w:tcW w:w="440" w:type="pct"/>
            <w:tcBorders>
              <w:top w:val="single" w:sz="4" w:space="0" w:color="auto"/>
              <w:bottom w:val="single" w:sz="4" w:space="0" w:color="auto"/>
            </w:tcBorders>
            <w:vAlign w:val="bottom"/>
          </w:tcPr>
          <w:p w14:paraId="47F9EE84" w14:textId="77777777" w:rsidR="000A44B5" w:rsidRPr="00471CBA" w:rsidRDefault="000A44B5" w:rsidP="00F36B82">
            <w:pPr>
              <w:ind w:right="28"/>
              <w:jc w:val="right"/>
              <w:rPr>
                <w:b/>
                <w:iCs/>
                <w:sz w:val="16"/>
                <w:szCs w:val="16"/>
              </w:rPr>
            </w:pPr>
            <w:r w:rsidRPr="00471CBA">
              <w:rPr>
                <w:b/>
                <w:iCs/>
                <w:sz w:val="16"/>
                <w:szCs w:val="16"/>
              </w:rPr>
              <w:t xml:space="preserve">Diğer </w:t>
            </w:r>
          </w:p>
          <w:p w14:paraId="5A4008E1" w14:textId="77777777" w:rsidR="000A44B5" w:rsidRPr="00471CBA" w:rsidRDefault="000A44B5" w:rsidP="00F36B82">
            <w:pPr>
              <w:ind w:right="28"/>
              <w:jc w:val="right"/>
              <w:rPr>
                <w:b/>
                <w:iCs/>
                <w:sz w:val="16"/>
                <w:szCs w:val="16"/>
              </w:rPr>
            </w:pPr>
            <w:r w:rsidRPr="00471CBA">
              <w:rPr>
                <w:b/>
                <w:iCs/>
                <w:sz w:val="16"/>
                <w:szCs w:val="16"/>
              </w:rPr>
              <w:t>MDV</w:t>
            </w:r>
          </w:p>
        </w:tc>
        <w:tc>
          <w:tcPr>
            <w:tcW w:w="537" w:type="pct"/>
            <w:tcBorders>
              <w:top w:val="single" w:sz="4" w:space="0" w:color="auto"/>
              <w:bottom w:val="single" w:sz="4" w:space="0" w:color="auto"/>
            </w:tcBorders>
            <w:vAlign w:val="bottom"/>
          </w:tcPr>
          <w:p w14:paraId="65A19227" w14:textId="77777777" w:rsidR="000A44B5" w:rsidRPr="00471CBA" w:rsidRDefault="000A44B5" w:rsidP="00F36B82">
            <w:pPr>
              <w:ind w:right="28"/>
              <w:jc w:val="right"/>
              <w:rPr>
                <w:b/>
                <w:iCs/>
                <w:sz w:val="16"/>
                <w:szCs w:val="16"/>
              </w:rPr>
            </w:pPr>
            <w:r w:rsidRPr="00471CBA">
              <w:rPr>
                <w:b/>
                <w:iCs/>
                <w:sz w:val="16"/>
                <w:szCs w:val="16"/>
              </w:rPr>
              <w:t>Elden çıkarılacak MDV</w:t>
            </w:r>
          </w:p>
        </w:tc>
        <w:tc>
          <w:tcPr>
            <w:tcW w:w="503" w:type="pct"/>
            <w:tcBorders>
              <w:top w:val="single" w:sz="4" w:space="0" w:color="auto"/>
              <w:bottom w:val="single" w:sz="4" w:space="0" w:color="auto"/>
            </w:tcBorders>
            <w:noWrap/>
            <w:tcMar>
              <w:top w:w="15" w:type="dxa"/>
              <w:left w:w="15" w:type="dxa"/>
              <w:bottom w:w="0" w:type="dxa"/>
              <w:right w:w="15" w:type="dxa"/>
            </w:tcMar>
            <w:vAlign w:val="bottom"/>
          </w:tcPr>
          <w:p w14:paraId="0270CA06" w14:textId="77777777" w:rsidR="000A44B5" w:rsidRPr="00471CBA" w:rsidRDefault="000A44B5" w:rsidP="00F36B82">
            <w:pPr>
              <w:ind w:right="28"/>
              <w:jc w:val="right"/>
              <w:rPr>
                <w:rFonts w:eastAsia="Arial Unicode MS"/>
                <w:b/>
                <w:iCs/>
                <w:sz w:val="16"/>
                <w:szCs w:val="16"/>
              </w:rPr>
            </w:pPr>
            <w:r w:rsidRPr="00471CBA">
              <w:rPr>
                <w:b/>
                <w:iCs/>
                <w:sz w:val="16"/>
                <w:szCs w:val="16"/>
              </w:rPr>
              <w:t>Toplam</w:t>
            </w:r>
          </w:p>
        </w:tc>
      </w:tr>
      <w:tr w:rsidR="000A44B5" w:rsidRPr="00471CBA" w14:paraId="2872F558" w14:textId="77777777" w:rsidTr="00D171D5">
        <w:trPr>
          <w:cantSplit/>
          <w:trHeight w:val="24"/>
        </w:trPr>
        <w:tc>
          <w:tcPr>
            <w:tcW w:w="1748" w:type="pct"/>
            <w:tcBorders>
              <w:top w:val="single" w:sz="4" w:space="0" w:color="auto"/>
            </w:tcBorders>
            <w:noWrap/>
            <w:tcMar>
              <w:top w:w="15" w:type="dxa"/>
              <w:left w:w="15" w:type="dxa"/>
              <w:bottom w:w="0" w:type="dxa"/>
              <w:right w:w="15" w:type="dxa"/>
            </w:tcMar>
            <w:vAlign w:val="center"/>
          </w:tcPr>
          <w:p w14:paraId="5812FE00" w14:textId="77777777" w:rsidR="000A44B5" w:rsidRPr="00471CBA" w:rsidRDefault="000A44B5" w:rsidP="00887449">
            <w:pPr>
              <w:jc w:val="both"/>
              <w:rPr>
                <w:b/>
                <w:iCs/>
                <w:sz w:val="16"/>
                <w:szCs w:val="16"/>
              </w:rPr>
            </w:pPr>
            <w:r w:rsidRPr="00471CBA">
              <w:rPr>
                <w:b/>
                <w:iCs/>
                <w:sz w:val="16"/>
                <w:szCs w:val="16"/>
              </w:rPr>
              <w:t>Maliyet</w:t>
            </w:r>
          </w:p>
        </w:tc>
        <w:tc>
          <w:tcPr>
            <w:tcW w:w="726" w:type="pct"/>
            <w:tcBorders>
              <w:top w:val="single" w:sz="4" w:space="0" w:color="auto"/>
            </w:tcBorders>
            <w:noWrap/>
            <w:tcMar>
              <w:top w:w="15" w:type="dxa"/>
              <w:left w:w="15" w:type="dxa"/>
              <w:bottom w:w="0" w:type="dxa"/>
              <w:right w:w="15" w:type="dxa"/>
            </w:tcMar>
            <w:vAlign w:val="bottom"/>
          </w:tcPr>
          <w:p w14:paraId="6BA7248F" w14:textId="77777777" w:rsidR="000A44B5" w:rsidRPr="00471CBA" w:rsidRDefault="000A44B5" w:rsidP="00F36B82">
            <w:pPr>
              <w:ind w:right="28"/>
              <w:jc w:val="right"/>
              <w:rPr>
                <w:rFonts w:eastAsia="Arial Unicode MS"/>
                <w:iCs/>
                <w:sz w:val="16"/>
                <w:szCs w:val="16"/>
              </w:rPr>
            </w:pPr>
          </w:p>
        </w:tc>
        <w:tc>
          <w:tcPr>
            <w:tcW w:w="592" w:type="pct"/>
            <w:tcBorders>
              <w:top w:val="single" w:sz="4" w:space="0" w:color="auto"/>
            </w:tcBorders>
            <w:vAlign w:val="bottom"/>
          </w:tcPr>
          <w:p w14:paraId="063264A2" w14:textId="77777777" w:rsidR="000A44B5" w:rsidRPr="00471CBA" w:rsidRDefault="000A44B5" w:rsidP="00F36B82">
            <w:pPr>
              <w:ind w:right="28"/>
              <w:jc w:val="right"/>
              <w:rPr>
                <w:rFonts w:eastAsia="Arial Unicode MS"/>
                <w:iCs/>
                <w:sz w:val="16"/>
                <w:szCs w:val="16"/>
              </w:rPr>
            </w:pPr>
          </w:p>
        </w:tc>
        <w:tc>
          <w:tcPr>
            <w:tcW w:w="454" w:type="pct"/>
            <w:tcBorders>
              <w:top w:val="single" w:sz="4" w:space="0" w:color="auto"/>
            </w:tcBorders>
            <w:noWrap/>
            <w:tcMar>
              <w:top w:w="15" w:type="dxa"/>
              <w:left w:w="15" w:type="dxa"/>
              <w:bottom w:w="0" w:type="dxa"/>
              <w:right w:w="15" w:type="dxa"/>
            </w:tcMar>
            <w:vAlign w:val="bottom"/>
          </w:tcPr>
          <w:p w14:paraId="564B56DE" w14:textId="77777777" w:rsidR="000A44B5" w:rsidRPr="00471CBA" w:rsidRDefault="000A44B5" w:rsidP="00F36B82">
            <w:pPr>
              <w:ind w:right="28"/>
              <w:jc w:val="right"/>
              <w:rPr>
                <w:rFonts w:eastAsia="Arial Unicode MS"/>
                <w:iCs/>
                <w:sz w:val="16"/>
                <w:szCs w:val="16"/>
              </w:rPr>
            </w:pPr>
          </w:p>
        </w:tc>
        <w:tc>
          <w:tcPr>
            <w:tcW w:w="440" w:type="pct"/>
            <w:tcBorders>
              <w:top w:val="single" w:sz="4" w:space="0" w:color="auto"/>
            </w:tcBorders>
          </w:tcPr>
          <w:p w14:paraId="23506F72" w14:textId="77777777" w:rsidR="000A44B5" w:rsidRPr="00471CBA" w:rsidRDefault="000A44B5" w:rsidP="00F36B82">
            <w:pPr>
              <w:ind w:right="28"/>
              <w:jc w:val="right"/>
              <w:rPr>
                <w:rFonts w:eastAsia="Arial Unicode MS"/>
                <w:iCs/>
                <w:sz w:val="16"/>
                <w:szCs w:val="16"/>
              </w:rPr>
            </w:pPr>
          </w:p>
        </w:tc>
        <w:tc>
          <w:tcPr>
            <w:tcW w:w="537" w:type="pct"/>
            <w:tcBorders>
              <w:top w:val="single" w:sz="4" w:space="0" w:color="auto"/>
            </w:tcBorders>
          </w:tcPr>
          <w:p w14:paraId="5FD0385C" w14:textId="77777777" w:rsidR="000A44B5" w:rsidRPr="00471CBA" w:rsidRDefault="000A44B5" w:rsidP="00F36B82">
            <w:pPr>
              <w:ind w:right="28"/>
              <w:jc w:val="right"/>
              <w:rPr>
                <w:rFonts w:eastAsia="Arial Unicode MS"/>
                <w:iCs/>
                <w:sz w:val="16"/>
                <w:szCs w:val="16"/>
              </w:rPr>
            </w:pPr>
          </w:p>
        </w:tc>
        <w:tc>
          <w:tcPr>
            <w:tcW w:w="503" w:type="pct"/>
            <w:tcBorders>
              <w:top w:val="single" w:sz="4" w:space="0" w:color="auto"/>
            </w:tcBorders>
            <w:noWrap/>
            <w:tcMar>
              <w:top w:w="15" w:type="dxa"/>
              <w:left w:w="15" w:type="dxa"/>
              <w:bottom w:w="0" w:type="dxa"/>
              <w:right w:w="15" w:type="dxa"/>
            </w:tcMar>
            <w:vAlign w:val="bottom"/>
          </w:tcPr>
          <w:p w14:paraId="520F1A5B" w14:textId="77777777" w:rsidR="000A44B5" w:rsidRPr="00471CBA" w:rsidRDefault="000A44B5" w:rsidP="00F36B82">
            <w:pPr>
              <w:ind w:right="28"/>
              <w:jc w:val="right"/>
              <w:rPr>
                <w:rFonts w:eastAsia="Arial Unicode MS"/>
                <w:iCs/>
                <w:sz w:val="16"/>
                <w:szCs w:val="16"/>
              </w:rPr>
            </w:pPr>
          </w:p>
        </w:tc>
      </w:tr>
      <w:tr w:rsidR="00D171D5" w:rsidRPr="003D51AC" w14:paraId="6F1045AF" w14:textId="77777777" w:rsidTr="00D171D5">
        <w:trPr>
          <w:cantSplit/>
          <w:trHeight w:val="24"/>
        </w:trPr>
        <w:tc>
          <w:tcPr>
            <w:tcW w:w="1748" w:type="pct"/>
            <w:noWrap/>
            <w:tcMar>
              <w:top w:w="15" w:type="dxa"/>
              <w:left w:w="15" w:type="dxa"/>
              <w:bottom w:w="0" w:type="dxa"/>
              <w:right w:w="15" w:type="dxa"/>
            </w:tcMar>
            <w:vAlign w:val="center"/>
          </w:tcPr>
          <w:p w14:paraId="5D3AF41A" w14:textId="77777777" w:rsidR="00D171D5" w:rsidRPr="003D51AC" w:rsidRDefault="00D171D5" w:rsidP="00D171D5">
            <w:pPr>
              <w:ind w:left="240"/>
              <w:jc w:val="both"/>
              <w:rPr>
                <w:b/>
                <w:iCs/>
                <w:sz w:val="16"/>
                <w:szCs w:val="16"/>
              </w:rPr>
            </w:pPr>
            <w:r w:rsidRPr="003D51AC">
              <w:rPr>
                <w:b/>
                <w:iCs/>
                <w:sz w:val="16"/>
                <w:szCs w:val="16"/>
              </w:rPr>
              <w:t>Dönem başı bakiyesi: 1 Ocak 2024</w:t>
            </w:r>
          </w:p>
        </w:tc>
        <w:tc>
          <w:tcPr>
            <w:tcW w:w="726" w:type="pct"/>
            <w:noWrap/>
            <w:tcMar>
              <w:top w:w="15" w:type="dxa"/>
              <w:left w:w="15" w:type="dxa"/>
              <w:bottom w:w="0" w:type="dxa"/>
              <w:right w:w="15" w:type="dxa"/>
            </w:tcMar>
            <w:vAlign w:val="bottom"/>
          </w:tcPr>
          <w:p w14:paraId="39B3800F" w14:textId="2FA1C0C9" w:rsidR="00D171D5" w:rsidRPr="003D51AC" w:rsidRDefault="00D171D5" w:rsidP="00F36B82">
            <w:pPr>
              <w:ind w:right="28"/>
              <w:jc w:val="right"/>
              <w:rPr>
                <w:b/>
                <w:sz w:val="16"/>
                <w:szCs w:val="16"/>
              </w:rPr>
            </w:pPr>
            <w:r w:rsidRPr="003D51AC">
              <w:rPr>
                <w:b/>
                <w:sz w:val="16"/>
                <w:szCs w:val="16"/>
              </w:rPr>
              <w:t>128.331</w:t>
            </w:r>
          </w:p>
        </w:tc>
        <w:tc>
          <w:tcPr>
            <w:tcW w:w="592" w:type="pct"/>
            <w:vAlign w:val="bottom"/>
          </w:tcPr>
          <w:p w14:paraId="36448788" w14:textId="690F3BF9" w:rsidR="00D171D5" w:rsidRPr="003D51AC" w:rsidRDefault="00D171D5" w:rsidP="00F36B82">
            <w:pPr>
              <w:ind w:right="28"/>
              <w:jc w:val="right"/>
              <w:rPr>
                <w:b/>
                <w:sz w:val="16"/>
                <w:szCs w:val="16"/>
              </w:rPr>
            </w:pPr>
            <w:r w:rsidRPr="003D51AC">
              <w:rPr>
                <w:b/>
                <w:sz w:val="16"/>
                <w:szCs w:val="16"/>
              </w:rPr>
              <w:t>-</w:t>
            </w:r>
          </w:p>
        </w:tc>
        <w:tc>
          <w:tcPr>
            <w:tcW w:w="454" w:type="pct"/>
            <w:noWrap/>
            <w:tcMar>
              <w:top w:w="15" w:type="dxa"/>
              <w:left w:w="15" w:type="dxa"/>
              <w:bottom w:w="0" w:type="dxa"/>
              <w:right w:w="15" w:type="dxa"/>
            </w:tcMar>
            <w:vAlign w:val="bottom"/>
          </w:tcPr>
          <w:p w14:paraId="7E103C34" w14:textId="34478E46" w:rsidR="00D171D5" w:rsidRPr="003D51AC" w:rsidRDefault="00D171D5" w:rsidP="00F36B82">
            <w:pPr>
              <w:ind w:right="28"/>
              <w:jc w:val="right"/>
              <w:rPr>
                <w:b/>
                <w:sz w:val="16"/>
                <w:szCs w:val="16"/>
              </w:rPr>
            </w:pPr>
            <w:r w:rsidRPr="003D51AC">
              <w:rPr>
                <w:b/>
                <w:sz w:val="16"/>
                <w:szCs w:val="16"/>
              </w:rPr>
              <w:t>-</w:t>
            </w:r>
          </w:p>
        </w:tc>
        <w:tc>
          <w:tcPr>
            <w:tcW w:w="440" w:type="pct"/>
            <w:vAlign w:val="bottom"/>
          </w:tcPr>
          <w:p w14:paraId="4FE281E3" w14:textId="3C54F82B" w:rsidR="00D171D5" w:rsidRPr="003D51AC" w:rsidRDefault="00D171D5" w:rsidP="00F36B82">
            <w:pPr>
              <w:ind w:right="28"/>
              <w:jc w:val="right"/>
              <w:rPr>
                <w:b/>
                <w:sz w:val="16"/>
                <w:szCs w:val="16"/>
              </w:rPr>
            </w:pPr>
            <w:r w:rsidRPr="003D51AC">
              <w:rPr>
                <w:b/>
                <w:sz w:val="16"/>
                <w:szCs w:val="16"/>
              </w:rPr>
              <w:t>438.250</w:t>
            </w:r>
          </w:p>
        </w:tc>
        <w:tc>
          <w:tcPr>
            <w:tcW w:w="537" w:type="pct"/>
            <w:vAlign w:val="bottom"/>
          </w:tcPr>
          <w:p w14:paraId="3F9DC9FD" w14:textId="704AF4F3" w:rsidR="00D171D5" w:rsidRPr="003D51AC" w:rsidRDefault="00D171D5" w:rsidP="00F36B82">
            <w:pPr>
              <w:ind w:right="28"/>
              <w:jc w:val="right"/>
              <w:rPr>
                <w:b/>
                <w:sz w:val="16"/>
                <w:szCs w:val="16"/>
              </w:rPr>
            </w:pPr>
            <w:r w:rsidRPr="003D51AC">
              <w:rPr>
                <w:b/>
                <w:sz w:val="16"/>
                <w:szCs w:val="16"/>
              </w:rPr>
              <w:t>-</w:t>
            </w:r>
          </w:p>
        </w:tc>
        <w:tc>
          <w:tcPr>
            <w:tcW w:w="503" w:type="pct"/>
            <w:noWrap/>
            <w:tcMar>
              <w:top w:w="15" w:type="dxa"/>
              <w:left w:w="15" w:type="dxa"/>
              <w:bottom w:w="0" w:type="dxa"/>
              <w:right w:w="15" w:type="dxa"/>
            </w:tcMar>
            <w:vAlign w:val="bottom"/>
          </w:tcPr>
          <w:p w14:paraId="235AD7A9" w14:textId="5DE0A109" w:rsidR="00D171D5" w:rsidRPr="003D51AC" w:rsidRDefault="00D171D5" w:rsidP="00F36B82">
            <w:pPr>
              <w:ind w:right="28"/>
              <w:jc w:val="right"/>
              <w:rPr>
                <w:b/>
                <w:sz w:val="16"/>
                <w:szCs w:val="16"/>
              </w:rPr>
            </w:pPr>
            <w:r w:rsidRPr="003D51AC">
              <w:rPr>
                <w:b/>
                <w:sz w:val="16"/>
                <w:szCs w:val="16"/>
              </w:rPr>
              <w:t>566.581</w:t>
            </w:r>
          </w:p>
        </w:tc>
      </w:tr>
      <w:tr w:rsidR="00D171D5" w:rsidRPr="003D51AC" w14:paraId="3601FBC5" w14:textId="77777777" w:rsidTr="00D171D5">
        <w:trPr>
          <w:cantSplit/>
          <w:trHeight w:val="24"/>
        </w:trPr>
        <w:tc>
          <w:tcPr>
            <w:tcW w:w="1748" w:type="pct"/>
            <w:noWrap/>
            <w:tcMar>
              <w:top w:w="15" w:type="dxa"/>
              <w:left w:w="15" w:type="dxa"/>
              <w:bottom w:w="0" w:type="dxa"/>
              <w:right w:w="15" w:type="dxa"/>
            </w:tcMar>
            <w:vAlign w:val="center"/>
          </w:tcPr>
          <w:p w14:paraId="5E4E3BDD" w14:textId="77777777" w:rsidR="00D171D5" w:rsidRPr="003D51AC" w:rsidRDefault="00D171D5" w:rsidP="00D171D5">
            <w:pPr>
              <w:ind w:left="240"/>
              <w:jc w:val="both"/>
              <w:rPr>
                <w:rFonts w:eastAsia="Arial Unicode MS"/>
                <w:iCs/>
                <w:sz w:val="16"/>
                <w:szCs w:val="16"/>
              </w:rPr>
            </w:pPr>
            <w:r w:rsidRPr="003D51AC">
              <w:rPr>
                <w:iCs/>
                <w:sz w:val="16"/>
                <w:szCs w:val="16"/>
              </w:rPr>
              <w:t>İktisap edilenler</w:t>
            </w:r>
          </w:p>
        </w:tc>
        <w:tc>
          <w:tcPr>
            <w:tcW w:w="726" w:type="pct"/>
            <w:noWrap/>
            <w:tcMar>
              <w:top w:w="15" w:type="dxa"/>
              <w:left w:w="15" w:type="dxa"/>
              <w:bottom w:w="0" w:type="dxa"/>
              <w:right w:w="15" w:type="dxa"/>
            </w:tcMar>
            <w:vAlign w:val="bottom"/>
          </w:tcPr>
          <w:p w14:paraId="7A5B7FB3" w14:textId="4E5F1B15" w:rsidR="00D171D5" w:rsidRPr="003D51AC" w:rsidRDefault="009B2DFB" w:rsidP="00F36B82">
            <w:pPr>
              <w:ind w:right="28"/>
              <w:jc w:val="right"/>
              <w:rPr>
                <w:sz w:val="16"/>
                <w:szCs w:val="16"/>
              </w:rPr>
            </w:pPr>
            <w:r w:rsidRPr="003D51AC">
              <w:rPr>
                <w:sz w:val="16"/>
                <w:szCs w:val="16"/>
              </w:rPr>
              <w:t>223.613</w:t>
            </w:r>
          </w:p>
        </w:tc>
        <w:tc>
          <w:tcPr>
            <w:tcW w:w="592" w:type="pct"/>
            <w:vAlign w:val="bottom"/>
          </w:tcPr>
          <w:p w14:paraId="233EDDE1" w14:textId="665919EA" w:rsidR="00D171D5" w:rsidRPr="003D51AC" w:rsidRDefault="00D171D5" w:rsidP="00F36B82">
            <w:pPr>
              <w:ind w:right="28"/>
              <w:jc w:val="right"/>
              <w:rPr>
                <w:sz w:val="16"/>
                <w:szCs w:val="16"/>
              </w:rPr>
            </w:pPr>
            <w:r w:rsidRPr="003D51AC">
              <w:rPr>
                <w:sz w:val="16"/>
                <w:szCs w:val="16"/>
              </w:rPr>
              <w:t>-</w:t>
            </w:r>
          </w:p>
        </w:tc>
        <w:tc>
          <w:tcPr>
            <w:tcW w:w="454" w:type="pct"/>
            <w:noWrap/>
            <w:tcMar>
              <w:top w:w="15" w:type="dxa"/>
              <w:left w:w="15" w:type="dxa"/>
              <w:bottom w:w="0" w:type="dxa"/>
              <w:right w:w="15" w:type="dxa"/>
            </w:tcMar>
            <w:vAlign w:val="bottom"/>
          </w:tcPr>
          <w:p w14:paraId="3DD2D149" w14:textId="666CAEF4" w:rsidR="00D171D5" w:rsidRPr="003D51AC" w:rsidRDefault="00D171D5" w:rsidP="00F36B82">
            <w:pPr>
              <w:ind w:right="28"/>
              <w:jc w:val="right"/>
              <w:rPr>
                <w:sz w:val="16"/>
                <w:szCs w:val="16"/>
              </w:rPr>
            </w:pPr>
            <w:r w:rsidRPr="003D51AC">
              <w:rPr>
                <w:sz w:val="16"/>
                <w:szCs w:val="16"/>
              </w:rPr>
              <w:t>-</w:t>
            </w:r>
          </w:p>
        </w:tc>
        <w:tc>
          <w:tcPr>
            <w:tcW w:w="440" w:type="pct"/>
            <w:vAlign w:val="bottom"/>
          </w:tcPr>
          <w:p w14:paraId="5BB3C179" w14:textId="4F50EC8D" w:rsidR="00D171D5" w:rsidRPr="003D51AC" w:rsidRDefault="00D171D5" w:rsidP="00F36B82">
            <w:pPr>
              <w:ind w:right="28"/>
              <w:jc w:val="right"/>
              <w:rPr>
                <w:sz w:val="16"/>
                <w:szCs w:val="16"/>
              </w:rPr>
            </w:pPr>
            <w:r w:rsidRPr="003D51AC">
              <w:rPr>
                <w:sz w:val="16"/>
                <w:szCs w:val="16"/>
              </w:rPr>
              <w:t>360.573</w:t>
            </w:r>
          </w:p>
        </w:tc>
        <w:tc>
          <w:tcPr>
            <w:tcW w:w="537" w:type="pct"/>
            <w:vAlign w:val="bottom"/>
          </w:tcPr>
          <w:p w14:paraId="1A1224A3" w14:textId="1B8E258E" w:rsidR="00D171D5" w:rsidRPr="003D51AC" w:rsidRDefault="00D171D5" w:rsidP="00F36B82">
            <w:pPr>
              <w:ind w:right="28"/>
              <w:jc w:val="right"/>
              <w:rPr>
                <w:sz w:val="16"/>
                <w:szCs w:val="16"/>
              </w:rPr>
            </w:pPr>
            <w:r w:rsidRPr="003D51AC">
              <w:rPr>
                <w:sz w:val="16"/>
                <w:szCs w:val="16"/>
              </w:rPr>
              <w:t>-</w:t>
            </w:r>
          </w:p>
        </w:tc>
        <w:tc>
          <w:tcPr>
            <w:tcW w:w="503" w:type="pct"/>
            <w:noWrap/>
            <w:tcMar>
              <w:top w:w="15" w:type="dxa"/>
              <w:left w:w="15" w:type="dxa"/>
              <w:bottom w:w="0" w:type="dxa"/>
              <w:right w:w="15" w:type="dxa"/>
            </w:tcMar>
            <w:vAlign w:val="bottom"/>
          </w:tcPr>
          <w:p w14:paraId="45144759" w14:textId="6B320E73" w:rsidR="00D171D5" w:rsidRPr="003D51AC" w:rsidRDefault="009B2DFB" w:rsidP="00F36B82">
            <w:pPr>
              <w:ind w:right="28"/>
              <w:jc w:val="right"/>
              <w:rPr>
                <w:sz w:val="16"/>
                <w:szCs w:val="16"/>
              </w:rPr>
            </w:pPr>
            <w:r w:rsidRPr="003D51AC">
              <w:rPr>
                <w:sz w:val="16"/>
                <w:szCs w:val="16"/>
              </w:rPr>
              <w:t>584.186</w:t>
            </w:r>
          </w:p>
        </w:tc>
      </w:tr>
      <w:tr w:rsidR="00D171D5" w:rsidRPr="003D51AC" w14:paraId="7A6CE96C" w14:textId="77777777" w:rsidTr="00D171D5">
        <w:trPr>
          <w:cantSplit/>
          <w:trHeight w:val="24"/>
        </w:trPr>
        <w:tc>
          <w:tcPr>
            <w:tcW w:w="1748" w:type="pct"/>
            <w:noWrap/>
            <w:tcMar>
              <w:top w:w="15" w:type="dxa"/>
              <w:left w:w="15" w:type="dxa"/>
              <w:bottom w:w="0" w:type="dxa"/>
              <w:right w:w="15" w:type="dxa"/>
            </w:tcMar>
            <w:vAlign w:val="center"/>
          </w:tcPr>
          <w:p w14:paraId="052497A0" w14:textId="77777777" w:rsidR="00D171D5" w:rsidRPr="003D51AC" w:rsidRDefault="00D171D5" w:rsidP="00D171D5">
            <w:pPr>
              <w:ind w:left="240"/>
              <w:jc w:val="both"/>
              <w:rPr>
                <w:iCs/>
                <w:sz w:val="16"/>
                <w:szCs w:val="16"/>
              </w:rPr>
            </w:pPr>
            <w:r w:rsidRPr="003D51AC">
              <w:rPr>
                <w:iCs/>
                <w:sz w:val="16"/>
                <w:szCs w:val="16"/>
              </w:rPr>
              <w:t>Yeniden değerleme farkları</w:t>
            </w:r>
          </w:p>
        </w:tc>
        <w:tc>
          <w:tcPr>
            <w:tcW w:w="726" w:type="pct"/>
            <w:noWrap/>
            <w:tcMar>
              <w:top w:w="15" w:type="dxa"/>
              <w:left w:w="15" w:type="dxa"/>
              <w:bottom w:w="0" w:type="dxa"/>
              <w:right w:w="15" w:type="dxa"/>
            </w:tcMar>
            <w:vAlign w:val="bottom"/>
          </w:tcPr>
          <w:p w14:paraId="67D98D8B" w14:textId="0E42F1DF" w:rsidR="00D171D5" w:rsidRPr="003D51AC" w:rsidRDefault="00D171D5" w:rsidP="00F36B82">
            <w:pPr>
              <w:ind w:right="28"/>
              <w:jc w:val="right"/>
              <w:rPr>
                <w:sz w:val="16"/>
                <w:szCs w:val="16"/>
              </w:rPr>
            </w:pPr>
            <w:r w:rsidRPr="003D51AC">
              <w:rPr>
                <w:sz w:val="16"/>
                <w:szCs w:val="16"/>
              </w:rPr>
              <w:t>-</w:t>
            </w:r>
          </w:p>
        </w:tc>
        <w:tc>
          <w:tcPr>
            <w:tcW w:w="592" w:type="pct"/>
            <w:vAlign w:val="bottom"/>
          </w:tcPr>
          <w:p w14:paraId="20180515" w14:textId="402433D8" w:rsidR="00D171D5" w:rsidRPr="003D51AC" w:rsidRDefault="00D171D5" w:rsidP="00F36B82">
            <w:pPr>
              <w:ind w:right="28"/>
              <w:jc w:val="right"/>
              <w:rPr>
                <w:sz w:val="16"/>
                <w:szCs w:val="16"/>
              </w:rPr>
            </w:pPr>
            <w:r w:rsidRPr="003D51AC">
              <w:rPr>
                <w:sz w:val="16"/>
                <w:szCs w:val="16"/>
              </w:rPr>
              <w:t>-</w:t>
            </w:r>
          </w:p>
        </w:tc>
        <w:tc>
          <w:tcPr>
            <w:tcW w:w="454" w:type="pct"/>
            <w:noWrap/>
            <w:tcMar>
              <w:top w:w="15" w:type="dxa"/>
              <w:left w:w="15" w:type="dxa"/>
              <w:bottom w:w="0" w:type="dxa"/>
              <w:right w:w="15" w:type="dxa"/>
            </w:tcMar>
            <w:vAlign w:val="bottom"/>
          </w:tcPr>
          <w:p w14:paraId="5487CC92" w14:textId="50A770E0" w:rsidR="00D171D5" w:rsidRPr="003D51AC" w:rsidRDefault="00D171D5" w:rsidP="00F36B82">
            <w:pPr>
              <w:ind w:right="28"/>
              <w:jc w:val="right"/>
              <w:rPr>
                <w:sz w:val="16"/>
                <w:szCs w:val="16"/>
              </w:rPr>
            </w:pPr>
            <w:r w:rsidRPr="003D51AC">
              <w:rPr>
                <w:sz w:val="16"/>
                <w:szCs w:val="16"/>
              </w:rPr>
              <w:t>-</w:t>
            </w:r>
          </w:p>
        </w:tc>
        <w:tc>
          <w:tcPr>
            <w:tcW w:w="440" w:type="pct"/>
            <w:vAlign w:val="bottom"/>
          </w:tcPr>
          <w:p w14:paraId="78BFE3FD" w14:textId="60C9D557" w:rsidR="00D171D5" w:rsidRPr="003D51AC" w:rsidRDefault="00D171D5" w:rsidP="00F36B82">
            <w:pPr>
              <w:ind w:right="28"/>
              <w:jc w:val="right"/>
              <w:rPr>
                <w:sz w:val="16"/>
                <w:szCs w:val="16"/>
              </w:rPr>
            </w:pPr>
            <w:r w:rsidRPr="003D51AC">
              <w:rPr>
                <w:sz w:val="16"/>
                <w:szCs w:val="16"/>
              </w:rPr>
              <w:t>-</w:t>
            </w:r>
          </w:p>
        </w:tc>
        <w:tc>
          <w:tcPr>
            <w:tcW w:w="537" w:type="pct"/>
            <w:vAlign w:val="bottom"/>
          </w:tcPr>
          <w:p w14:paraId="749A50C6" w14:textId="38664A46" w:rsidR="00D171D5" w:rsidRPr="003D51AC" w:rsidRDefault="00D171D5" w:rsidP="00F36B82">
            <w:pPr>
              <w:ind w:right="28"/>
              <w:jc w:val="right"/>
              <w:rPr>
                <w:sz w:val="16"/>
                <w:szCs w:val="16"/>
              </w:rPr>
            </w:pPr>
            <w:r w:rsidRPr="003D51AC">
              <w:rPr>
                <w:sz w:val="16"/>
                <w:szCs w:val="16"/>
              </w:rPr>
              <w:t>-</w:t>
            </w:r>
          </w:p>
        </w:tc>
        <w:tc>
          <w:tcPr>
            <w:tcW w:w="503" w:type="pct"/>
            <w:noWrap/>
            <w:tcMar>
              <w:top w:w="15" w:type="dxa"/>
              <w:left w:w="15" w:type="dxa"/>
              <w:bottom w:w="0" w:type="dxa"/>
              <w:right w:w="15" w:type="dxa"/>
            </w:tcMar>
            <w:vAlign w:val="bottom"/>
          </w:tcPr>
          <w:p w14:paraId="5F19C379" w14:textId="6C905C2F" w:rsidR="00D171D5" w:rsidRPr="003D51AC" w:rsidRDefault="00D171D5" w:rsidP="00F36B82">
            <w:pPr>
              <w:ind w:right="28"/>
              <w:jc w:val="right"/>
              <w:rPr>
                <w:sz w:val="16"/>
                <w:szCs w:val="16"/>
              </w:rPr>
            </w:pPr>
            <w:r w:rsidRPr="003D51AC">
              <w:rPr>
                <w:sz w:val="16"/>
                <w:szCs w:val="16"/>
              </w:rPr>
              <w:t>-</w:t>
            </w:r>
          </w:p>
        </w:tc>
      </w:tr>
      <w:tr w:rsidR="00D171D5" w:rsidRPr="003D51AC" w14:paraId="7C26DDDD" w14:textId="77777777" w:rsidTr="00D171D5">
        <w:trPr>
          <w:cantSplit/>
          <w:trHeight w:val="24"/>
        </w:trPr>
        <w:tc>
          <w:tcPr>
            <w:tcW w:w="1748" w:type="pct"/>
            <w:noWrap/>
            <w:tcMar>
              <w:top w:w="15" w:type="dxa"/>
              <w:left w:w="15" w:type="dxa"/>
              <w:bottom w:w="0" w:type="dxa"/>
              <w:right w:w="15" w:type="dxa"/>
            </w:tcMar>
            <w:vAlign w:val="center"/>
          </w:tcPr>
          <w:p w14:paraId="3F43C6BA" w14:textId="77777777" w:rsidR="00D171D5" w:rsidRPr="003D51AC" w:rsidRDefault="00D171D5" w:rsidP="00D171D5">
            <w:pPr>
              <w:ind w:left="240"/>
              <w:jc w:val="both"/>
              <w:rPr>
                <w:iCs/>
                <w:sz w:val="16"/>
                <w:szCs w:val="16"/>
              </w:rPr>
            </w:pPr>
            <w:r w:rsidRPr="003D51AC">
              <w:rPr>
                <w:iCs/>
                <w:sz w:val="16"/>
                <w:szCs w:val="16"/>
              </w:rPr>
              <w:t>Elden Çıkarılanlar</w:t>
            </w:r>
          </w:p>
        </w:tc>
        <w:tc>
          <w:tcPr>
            <w:tcW w:w="726" w:type="pct"/>
            <w:noWrap/>
            <w:tcMar>
              <w:top w:w="15" w:type="dxa"/>
              <w:left w:w="15" w:type="dxa"/>
              <w:bottom w:w="0" w:type="dxa"/>
              <w:right w:w="15" w:type="dxa"/>
            </w:tcMar>
            <w:vAlign w:val="bottom"/>
          </w:tcPr>
          <w:p w14:paraId="262B9607" w14:textId="6679BDA8" w:rsidR="00D171D5" w:rsidRPr="003D51AC" w:rsidRDefault="009B2DFB" w:rsidP="00F36B82">
            <w:pPr>
              <w:ind w:right="28"/>
              <w:jc w:val="right"/>
              <w:rPr>
                <w:sz w:val="16"/>
                <w:szCs w:val="16"/>
              </w:rPr>
            </w:pPr>
            <w:r w:rsidRPr="003D51AC">
              <w:rPr>
                <w:sz w:val="16"/>
                <w:szCs w:val="16"/>
              </w:rPr>
              <w:t>-</w:t>
            </w:r>
          </w:p>
        </w:tc>
        <w:tc>
          <w:tcPr>
            <w:tcW w:w="592" w:type="pct"/>
            <w:vAlign w:val="bottom"/>
          </w:tcPr>
          <w:p w14:paraId="712756D1" w14:textId="4F261286" w:rsidR="00D171D5" w:rsidRPr="003D51AC" w:rsidRDefault="00D171D5" w:rsidP="00F36B82">
            <w:pPr>
              <w:ind w:right="28"/>
              <w:jc w:val="right"/>
              <w:rPr>
                <w:sz w:val="16"/>
                <w:szCs w:val="16"/>
              </w:rPr>
            </w:pPr>
            <w:r w:rsidRPr="003D51AC">
              <w:rPr>
                <w:sz w:val="16"/>
                <w:szCs w:val="16"/>
              </w:rPr>
              <w:t>-</w:t>
            </w:r>
          </w:p>
        </w:tc>
        <w:tc>
          <w:tcPr>
            <w:tcW w:w="454" w:type="pct"/>
            <w:noWrap/>
            <w:tcMar>
              <w:top w:w="15" w:type="dxa"/>
              <w:left w:w="15" w:type="dxa"/>
              <w:bottom w:w="0" w:type="dxa"/>
              <w:right w:w="15" w:type="dxa"/>
            </w:tcMar>
            <w:vAlign w:val="bottom"/>
          </w:tcPr>
          <w:p w14:paraId="0D3A8CAF" w14:textId="05B66DB8" w:rsidR="00D171D5" w:rsidRPr="003D51AC" w:rsidRDefault="00D171D5" w:rsidP="00F36B82">
            <w:pPr>
              <w:ind w:right="28"/>
              <w:jc w:val="right"/>
              <w:rPr>
                <w:sz w:val="16"/>
                <w:szCs w:val="16"/>
              </w:rPr>
            </w:pPr>
            <w:r w:rsidRPr="003D51AC">
              <w:rPr>
                <w:sz w:val="16"/>
                <w:szCs w:val="16"/>
              </w:rPr>
              <w:t>-</w:t>
            </w:r>
          </w:p>
        </w:tc>
        <w:tc>
          <w:tcPr>
            <w:tcW w:w="440" w:type="pct"/>
            <w:vAlign w:val="bottom"/>
          </w:tcPr>
          <w:p w14:paraId="1A33D9B0" w14:textId="7106F320" w:rsidR="00D171D5" w:rsidRPr="003D51AC" w:rsidRDefault="00D171D5" w:rsidP="00F36B82">
            <w:pPr>
              <w:ind w:right="28"/>
              <w:jc w:val="right"/>
              <w:rPr>
                <w:sz w:val="16"/>
                <w:szCs w:val="16"/>
              </w:rPr>
            </w:pPr>
            <w:r w:rsidRPr="003D51AC">
              <w:rPr>
                <w:sz w:val="16"/>
                <w:szCs w:val="16"/>
              </w:rPr>
              <w:t>-</w:t>
            </w:r>
          </w:p>
        </w:tc>
        <w:tc>
          <w:tcPr>
            <w:tcW w:w="537" w:type="pct"/>
            <w:vAlign w:val="bottom"/>
          </w:tcPr>
          <w:p w14:paraId="5232ECAF" w14:textId="3E4B673F" w:rsidR="00D171D5" w:rsidRPr="003D51AC" w:rsidRDefault="00D171D5" w:rsidP="00F36B82">
            <w:pPr>
              <w:ind w:right="28"/>
              <w:jc w:val="right"/>
              <w:rPr>
                <w:sz w:val="16"/>
                <w:szCs w:val="16"/>
              </w:rPr>
            </w:pPr>
            <w:r w:rsidRPr="003D51AC">
              <w:rPr>
                <w:sz w:val="16"/>
                <w:szCs w:val="16"/>
              </w:rPr>
              <w:t>-</w:t>
            </w:r>
          </w:p>
        </w:tc>
        <w:tc>
          <w:tcPr>
            <w:tcW w:w="503" w:type="pct"/>
            <w:noWrap/>
            <w:tcMar>
              <w:top w:w="15" w:type="dxa"/>
              <w:left w:w="15" w:type="dxa"/>
              <w:bottom w:w="0" w:type="dxa"/>
              <w:right w:w="15" w:type="dxa"/>
            </w:tcMar>
            <w:vAlign w:val="bottom"/>
          </w:tcPr>
          <w:p w14:paraId="06AED4D0" w14:textId="79F4AFCB" w:rsidR="00D171D5" w:rsidRPr="003D51AC" w:rsidRDefault="009B2DFB" w:rsidP="00F36B82">
            <w:pPr>
              <w:ind w:right="28"/>
              <w:jc w:val="right"/>
              <w:rPr>
                <w:sz w:val="16"/>
                <w:szCs w:val="16"/>
              </w:rPr>
            </w:pPr>
            <w:r w:rsidRPr="003D51AC">
              <w:rPr>
                <w:sz w:val="16"/>
                <w:szCs w:val="16"/>
              </w:rPr>
              <w:t>-</w:t>
            </w:r>
          </w:p>
        </w:tc>
      </w:tr>
      <w:tr w:rsidR="00D171D5" w:rsidRPr="003D51AC" w14:paraId="28FB10BA" w14:textId="77777777" w:rsidTr="00D171D5">
        <w:trPr>
          <w:cantSplit/>
          <w:trHeight w:val="24"/>
        </w:trPr>
        <w:tc>
          <w:tcPr>
            <w:tcW w:w="1748" w:type="pct"/>
            <w:noWrap/>
            <w:tcMar>
              <w:top w:w="15" w:type="dxa"/>
              <w:left w:w="15" w:type="dxa"/>
              <w:bottom w:w="0" w:type="dxa"/>
              <w:right w:w="15" w:type="dxa"/>
            </w:tcMar>
            <w:vAlign w:val="center"/>
          </w:tcPr>
          <w:p w14:paraId="7A1A713A" w14:textId="77777777" w:rsidR="00D171D5" w:rsidRPr="003D51AC" w:rsidRDefault="00D171D5" w:rsidP="00D171D5">
            <w:pPr>
              <w:ind w:left="240"/>
              <w:jc w:val="both"/>
              <w:rPr>
                <w:iCs/>
                <w:sz w:val="16"/>
                <w:szCs w:val="16"/>
              </w:rPr>
            </w:pPr>
            <w:r w:rsidRPr="003D51AC">
              <w:rPr>
                <w:iCs/>
                <w:sz w:val="16"/>
                <w:szCs w:val="16"/>
              </w:rPr>
              <w:t>Değer Düşüklüğü(-)/Değer Düşüklüğü İptali</w:t>
            </w:r>
          </w:p>
        </w:tc>
        <w:tc>
          <w:tcPr>
            <w:tcW w:w="726" w:type="pct"/>
            <w:noWrap/>
            <w:tcMar>
              <w:top w:w="15" w:type="dxa"/>
              <w:left w:w="15" w:type="dxa"/>
              <w:bottom w:w="0" w:type="dxa"/>
              <w:right w:w="15" w:type="dxa"/>
            </w:tcMar>
            <w:vAlign w:val="bottom"/>
          </w:tcPr>
          <w:p w14:paraId="6376A758" w14:textId="595C02AA" w:rsidR="00D171D5" w:rsidRPr="003D51AC" w:rsidRDefault="00D171D5" w:rsidP="00F36B82">
            <w:pPr>
              <w:ind w:right="28"/>
              <w:jc w:val="right"/>
              <w:rPr>
                <w:sz w:val="16"/>
                <w:szCs w:val="16"/>
              </w:rPr>
            </w:pPr>
            <w:r w:rsidRPr="003D51AC">
              <w:rPr>
                <w:sz w:val="16"/>
                <w:szCs w:val="16"/>
              </w:rPr>
              <w:t>-</w:t>
            </w:r>
          </w:p>
        </w:tc>
        <w:tc>
          <w:tcPr>
            <w:tcW w:w="592" w:type="pct"/>
            <w:vAlign w:val="bottom"/>
          </w:tcPr>
          <w:p w14:paraId="59FEBCC0" w14:textId="3FF95726" w:rsidR="00D171D5" w:rsidRPr="003D51AC" w:rsidRDefault="00D171D5" w:rsidP="00F36B82">
            <w:pPr>
              <w:ind w:right="28"/>
              <w:jc w:val="right"/>
              <w:rPr>
                <w:sz w:val="16"/>
                <w:szCs w:val="16"/>
              </w:rPr>
            </w:pPr>
            <w:r w:rsidRPr="003D51AC">
              <w:rPr>
                <w:sz w:val="16"/>
                <w:szCs w:val="16"/>
              </w:rPr>
              <w:t>-</w:t>
            </w:r>
          </w:p>
        </w:tc>
        <w:tc>
          <w:tcPr>
            <w:tcW w:w="454" w:type="pct"/>
            <w:noWrap/>
            <w:tcMar>
              <w:top w:w="15" w:type="dxa"/>
              <w:left w:w="15" w:type="dxa"/>
              <w:bottom w:w="0" w:type="dxa"/>
              <w:right w:w="15" w:type="dxa"/>
            </w:tcMar>
            <w:vAlign w:val="bottom"/>
          </w:tcPr>
          <w:p w14:paraId="1C9BED2A" w14:textId="67933B7F" w:rsidR="00D171D5" w:rsidRPr="003D51AC" w:rsidRDefault="00D171D5" w:rsidP="00F36B82">
            <w:pPr>
              <w:ind w:right="28"/>
              <w:jc w:val="right"/>
              <w:rPr>
                <w:sz w:val="16"/>
                <w:szCs w:val="16"/>
              </w:rPr>
            </w:pPr>
            <w:r w:rsidRPr="003D51AC">
              <w:rPr>
                <w:sz w:val="16"/>
                <w:szCs w:val="16"/>
              </w:rPr>
              <w:t>-</w:t>
            </w:r>
          </w:p>
        </w:tc>
        <w:tc>
          <w:tcPr>
            <w:tcW w:w="440" w:type="pct"/>
            <w:vAlign w:val="bottom"/>
          </w:tcPr>
          <w:p w14:paraId="24E62ED0" w14:textId="3C18CFB3" w:rsidR="00D171D5" w:rsidRPr="003D51AC" w:rsidRDefault="00D171D5" w:rsidP="00F36B82">
            <w:pPr>
              <w:ind w:right="28"/>
              <w:jc w:val="right"/>
              <w:rPr>
                <w:sz w:val="16"/>
                <w:szCs w:val="16"/>
              </w:rPr>
            </w:pPr>
            <w:r w:rsidRPr="003D51AC">
              <w:rPr>
                <w:sz w:val="16"/>
                <w:szCs w:val="16"/>
              </w:rPr>
              <w:t>-</w:t>
            </w:r>
          </w:p>
        </w:tc>
        <w:tc>
          <w:tcPr>
            <w:tcW w:w="537" w:type="pct"/>
            <w:vAlign w:val="bottom"/>
          </w:tcPr>
          <w:p w14:paraId="2D9EB123" w14:textId="4B9B6E45" w:rsidR="00D171D5" w:rsidRPr="003D51AC" w:rsidRDefault="00D171D5" w:rsidP="00F36B82">
            <w:pPr>
              <w:ind w:right="28"/>
              <w:jc w:val="right"/>
              <w:rPr>
                <w:sz w:val="16"/>
                <w:szCs w:val="16"/>
              </w:rPr>
            </w:pPr>
            <w:r w:rsidRPr="003D51AC">
              <w:rPr>
                <w:sz w:val="16"/>
                <w:szCs w:val="16"/>
              </w:rPr>
              <w:t>-</w:t>
            </w:r>
          </w:p>
        </w:tc>
        <w:tc>
          <w:tcPr>
            <w:tcW w:w="503" w:type="pct"/>
            <w:noWrap/>
            <w:tcMar>
              <w:top w:w="15" w:type="dxa"/>
              <w:left w:w="15" w:type="dxa"/>
              <w:bottom w:w="0" w:type="dxa"/>
              <w:right w:w="15" w:type="dxa"/>
            </w:tcMar>
            <w:vAlign w:val="bottom"/>
          </w:tcPr>
          <w:p w14:paraId="3BFE61CF" w14:textId="153A4A17" w:rsidR="00D171D5" w:rsidRPr="003D51AC" w:rsidRDefault="00D171D5" w:rsidP="00F36B82">
            <w:pPr>
              <w:ind w:right="28"/>
              <w:jc w:val="right"/>
              <w:rPr>
                <w:sz w:val="16"/>
                <w:szCs w:val="16"/>
              </w:rPr>
            </w:pPr>
            <w:r w:rsidRPr="003D51AC">
              <w:rPr>
                <w:sz w:val="16"/>
                <w:szCs w:val="16"/>
              </w:rPr>
              <w:t>-</w:t>
            </w:r>
          </w:p>
        </w:tc>
      </w:tr>
      <w:tr w:rsidR="00D171D5" w:rsidRPr="00471CBA" w14:paraId="343B72D0" w14:textId="77777777" w:rsidTr="00D171D5">
        <w:trPr>
          <w:cantSplit/>
          <w:trHeight w:val="24"/>
        </w:trPr>
        <w:tc>
          <w:tcPr>
            <w:tcW w:w="1748" w:type="pct"/>
            <w:noWrap/>
            <w:tcMar>
              <w:top w:w="15" w:type="dxa"/>
              <w:left w:w="15" w:type="dxa"/>
              <w:bottom w:w="0" w:type="dxa"/>
              <w:right w:w="15" w:type="dxa"/>
            </w:tcMar>
            <w:vAlign w:val="center"/>
          </w:tcPr>
          <w:p w14:paraId="42BD70D5" w14:textId="77777777" w:rsidR="00D171D5" w:rsidRPr="003D51AC" w:rsidRDefault="00D171D5" w:rsidP="00D171D5">
            <w:pPr>
              <w:ind w:left="240"/>
              <w:jc w:val="both"/>
              <w:rPr>
                <w:iCs/>
                <w:sz w:val="16"/>
                <w:szCs w:val="16"/>
              </w:rPr>
            </w:pPr>
            <w:r w:rsidRPr="003D51AC">
              <w:rPr>
                <w:iCs/>
                <w:sz w:val="16"/>
                <w:szCs w:val="16"/>
              </w:rPr>
              <w:t>Transferler</w:t>
            </w:r>
          </w:p>
        </w:tc>
        <w:tc>
          <w:tcPr>
            <w:tcW w:w="726" w:type="pct"/>
            <w:noWrap/>
            <w:tcMar>
              <w:top w:w="15" w:type="dxa"/>
              <w:left w:w="15" w:type="dxa"/>
              <w:bottom w:w="0" w:type="dxa"/>
              <w:right w:w="15" w:type="dxa"/>
            </w:tcMar>
            <w:vAlign w:val="bottom"/>
          </w:tcPr>
          <w:p w14:paraId="789E7D3B" w14:textId="41D3E6AF" w:rsidR="00D171D5" w:rsidRPr="003D51AC" w:rsidRDefault="00D171D5" w:rsidP="00F36B82">
            <w:pPr>
              <w:ind w:right="28"/>
              <w:jc w:val="right"/>
              <w:rPr>
                <w:sz w:val="16"/>
                <w:szCs w:val="16"/>
              </w:rPr>
            </w:pPr>
            <w:r w:rsidRPr="003D51AC">
              <w:rPr>
                <w:sz w:val="16"/>
                <w:szCs w:val="16"/>
              </w:rPr>
              <w:t>-</w:t>
            </w:r>
          </w:p>
        </w:tc>
        <w:tc>
          <w:tcPr>
            <w:tcW w:w="592" w:type="pct"/>
            <w:vAlign w:val="bottom"/>
          </w:tcPr>
          <w:p w14:paraId="7337492D" w14:textId="00E09F14" w:rsidR="00D171D5" w:rsidRPr="003D51AC" w:rsidRDefault="00D171D5" w:rsidP="00F36B82">
            <w:pPr>
              <w:ind w:right="28"/>
              <w:jc w:val="right"/>
              <w:rPr>
                <w:sz w:val="16"/>
                <w:szCs w:val="16"/>
              </w:rPr>
            </w:pPr>
            <w:r w:rsidRPr="003D51AC">
              <w:rPr>
                <w:sz w:val="16"/>
                <w:szCs w:val="16"/>
              </w:rPr>
              <w:t>-</w:t>
            </w:r>
          </w:p>
        </w:tc>
        <w:tc>
          <w:tcPr>
            <w:tcW w:w="454" w:type="pct"/>
            <w:noWrap/>
            <w:tcMar>
              <w:top w:w="15" w:type="dxa"/>
              <w:left w:w="15" w:type="dxa"/>
              <w:bottom w:w="0" w:type="dxa"/>
              <w:right w:w="15" w:type="dxa"/>
            </w:tcMar>
            <w:vAlign w:val="bottom"/>
          </w:tcPr>
          <w:p w14:paraId="2AFF3038" w14:textId="6AC3CECC" w:rsidR="00D171D5" w:rsidRPr="003D51AC" w:rsidRDefault="00D171D5" w:rsidP="00F36B82">
            <w:pPr>
              <w:ind w:right="28"/>
              <w:jc w:val="right"/>
              <w:rPr>
                <w:sz w:val="16"/>
                <w:szCs w:val="16"/>
              </w:rPr>
            </w:pPr>
            <w:r w:rsidRPr="003D51AC">
              <w:rPr>
                <w:sz w:val="16"/>
                <w:szCs w:val="16"/>
              </w:rPr>
              <w:t>-</w:t>
            </w:r>
          </w:p>
        </w:tc>
        <w:tc>
          <w:tcPr>
            <w:tcW w:w="440" w:type="pct"/>
            <w:vAlign w:val="bottom"/>
          </w:tcPr>
          <w:p w14:paraId="1AE9AB57" w14:textId="05A53FA9" w:rsidR="00D171D5" w:rsidRPr="003D51AC" w:rsidRDefault="00D171D5" w:rsidP="00F36B82">
            <w:pPr>
              <w:ind w:right="28"/>
              <w:jc w:val="right"/>
              <w:rPr>
                <w:sz w:val="16"/>
                <w:szCs w:val="16"/>
              </w:rPr>
            </w:pPr>
            <w:r w:rsidRPr="003D51AC">
              <w:rPr>
                <w:sz w:val="16"/>
                <w:szCs w:val="16"/>
              </w:rPr>
              <w:t>-</w:t>
            </w:r>
          </w:p>
        </w:tc>
        <w:tc>
          <w:tcPr>
            <w:tcW w:w="537" w:type="pct"/>
            <w:vAlign w:val="bottom"/>
          </w:tcPr>
          <w:p w14:paraId="115ED7AA" w14:textId="0E74070C" w:rsidR="00D171D5" w:rsidRPr="003D51AC" w:rsidRDefault="00D171D5" w:rsidP="00F36B82">
            <w:pPr>
              <w:ind w:right="28"/>
              <w:jc w:val="right"/>
              <w:rPr>
                <w:sz w:val="16"/>
                <w:szCs w:val="16"/>
              </w:rPr>
            </w:pPr>
            <w:r w:rsidRPr="003D51AC">
              <w:rPr>
                <w:sz w:val="16"/>
                <w:szCs w:val="16"/>
              </w:rPr>
              <w:t>-</w:t>
            </w:r>
          </w:p>
        </w:tc>
        <w:tc>
          <w:tcPr>
            <w:tcW w:w="503" w:type="pct"/>
            <w:noWrap/>
            <w:tcMar>
              <w:top w:w="15" w:type="dxa"/>
              <w:left w:w="15" w:type="dxa"/>
              <w:bottom w:w="0" w:type="dxa"/>
              <w:right w:w="15" w:type="dxa"/>
            </w:tcMar>
            <w:vAlign w:val="bottom"/>
          </w:tcPr>
          <w:p w14:paraId="7E844AED" w14:textId="50C08EBA" w:rsidR="00D171D5" w:rsidRPr="00471CBA" w:rsidRDefault="00D171D5" w:rsidP="00F36B82">
            <w:pPr>
              <w:ind w:right="28"/>
              <w:jc w:val="right"/>
              <w:rPr>
                <w:sz w:val="16"/>
                <w:szCs w:val="16"/>
              </w:rPr>
            </w:pPr>
            <w:r w:rsidRPr="003D51AC">
              <w:rPr>
                <w:sz w:val="16"/>
                <w:szCs w:val="16"/>
              </w:rPr>
              <w:t>-</w:t>
            </w:r>
          </w:p>
        </w:tc>
      </w:tr>
      <w:tr w:rsidR="00D171D5" w:rsidRPr="00471CBA" w14:paraId="4AD62C4D" w14:textId="77777777" w:rsidTr="00D171D5">
        <w:trPr>
          <w:cantSplit/>
          <w:trHeight w:val="24"/>
        </w:trPr>
        <w:tc>
          <w:tcPr>
            <w:tcW w:w="1748" w:type="pct"/>
            <w:noWrap/>
            <w:tcMar>
              <w:top w:w="15" w:type="dxa"/>
              <w:left w:w="15" w:type="dxa"/>
              <w:bottom w:w="0" w:type="dxa"/>
              <w:right w:w="15" w:type="dxa"/>
            </w:tcMar>
            <w:vAlign w:val="center"/>
          </w:tcPr>
          <w:p w14:paraId="67B07432" w14:textId="77777777" w:rsidR="00D171D5" w:rsidRPr="00471CBA" w:rsidRDefault="00D171D5" w:rsidP="00D171D5">
            <w:pPr>
              <w:ind w:left="240"/>
              <w:jc w:val="both"/>
              <w:rPr>
                <w:b/>
                <w:iCs/>
                <w:sz w:val="16"/>
                <w:szCs w:val="16"/>
              </w:rPr>
            </w:pPr>
            <w:r w:rsidRPr="00471CBA">
              <w:rPr>
                <w:rFonts w:eastAsia="Arial Unicode MS"/>
                <w:b/>
                <w:iCs/>
                <w:sz w:val="16"/>
                <w:szCs w:val="16"/>
              </w:rPr>
              <w:t xml:space="preserve">Dönem sonu bakiyesi: </w:t>
            </w:r>
            <w:r w:rsidRPr="00471CBA">
              <w:rPr>
                <w:rFonts w:eastAsia="Arial Unicode MS"/>
                <w:b/>
                <w:sz w:val="16"/>
                <w:szCs w:val="16"/>
              </w:rPr>
              <w:t>31 Aralık 2024</w:t>
            </w:r>
          </w:p>
        </w:tc>
        <w:tc>
          <w:tcPr>
            <w:tcW w:w="726" w:type="pct"/>
            <w:noWrap/>
            <w:tcMar>
              <w:top w:w="15" w:type="dxa"/>
              <w:left w:w="15" w:type="dxa"/>
              <w:bottom w:w="0" w:type="dxa"/>
              <w:right w:w="15" w:type="dxa"/>
            </w:tcMar>
            <w:vAlign w:val="bottom"/>
          </w:tcPr>
          <w:p w14:paraId="77668BCF" w14:textId="04CB132F" w:rsidR="00D171D5" w:rsidRPr="00471CBA" w:rsidRDefault="00D171D5" w:rsidP="00F36B82">
            <w:pPr>
              <w:ind w:right="28"/>
              <w:jc w:val="right"/>
              <w:rPr>
                <w:b/>
                <w:sz w:val="16"/>
                <w:szCs w:val="16"/>
              </w:rPr>
            </w:pPr>
            <w:r w:rsidRPr="00471CBA">
              <w:rPr>
                <w:b/>
                <w:sz w:val="16"/>
                <w:szCs w:val="16"/>
              </w:rPr>
              <w:t>351.944</w:t>
            </w:r>
          </w:p>
        </w:tc>
        <w:tc>
          <w:tcPr>
            <w:tcW w:w="592" w:type="pct"/>
            <w:vAlign w:val="bottom"/>
          </w:tcPr>
          <w:p w14:paraId="340E88C0" w14:textId="3E5F53DC" w:rsidR="00D171D5" w:rsidRPr="00471CBA" w:rsidRDefault="00D171D5" w:rsidP="00F36B82">
            <w:pPr>
              <w:ind w:right="28"/>
              <w:jc w:val="right"/>
              <w:rPr>
                <w:b/>
                <w:sz w:val="16"/>
                <w:szCs w:val="16"/>
              </w:rPr>
            </w:pPr>
            <w:r w:rsidRPr="00471CBA">
              <w:rPr>
                <w:b/>
                <w:sz w:val="16"/>
                <w:szCs w:val="16"/>
              </w:rPr>
              <w:t>-</w:t>
            </w:r>
          </w:p>
        </w:tc>
        <w:tc>
          <w:tcPr>
            <w:tcW w:w="454" w:type="pct"/>
            <w:noWrap/>
            <w:tcMar>
              <w:top w:w="15" w:type="dxa"/>
              <w:left w:w="15" w:type="dxa"/>
              <w:bottom w:w="0" w:type="dxa"/>
              <w:right w:w="15" w:type="dxa"/>
            </w:tcMar>
            <w:vAlign w:val="bottom"/>
          </w:tcPr>
          <w:p w14:paraId="2CA0EDAA" w14:textId="0C11383E" w:rsidR="00D171D5" w:rsidRPr="00471CBA" w:rsidRDefault="00D171D5" w:rsidP="00F36B82">
            <w:pPr>
              <w:ind w:right="28"/>
              <w:jc w:val="right"/>
              <w:rPr>
                <w:b/>
                <w:sz w:val="16"/>
                <w:szCs w:val="16"/>
              </w:rPr>
            </w:pPr>
            <w:r w:rsidRPr="00471CBA">
              <w:rPr>
                <w:b/>
                <w:sz w:val="16"/>
                <w:szCs w:val="16"/>
              </w:rPr>
              <w:t>-</w:t>
            </w:r>
          </w:p>
        </w:tc>
        <w:tc>
          <w:tcPr>
            <w:tcW w:w="440" w:type="pct"/>
            <w:vAlign w:val="bottom"/>
          </w:tcPr>
          <w:p w14:paraId="34CA6A46" w14:textId="2DCECD58" w:rsidR="00D171D5" w:rsidRPr="00471CBA" w:rsidRDefault="00D171D5" w:rsidP="00F36B82">
            <w:pPr>
              <w:ind w:right="28"/>
              <w:jc w:val="right"/>
              <w:rPr>
                <w:b/>
                <w:sz w:val="16"/>
                <w:szCs w:val="16"/>
              </w:rPr>
            </w:pPr>
            <w:r w:rsidRPr="00471CBA">
              <w:rPr>
                <w:b/>
                <w:sz w:val="16"/>
                <w:szCs w:val="16"/>
              </w:rPr>
              <w:t>798.823</w:t>
            </w:r>
          </w:p>
        </w:tc>
        <w:tc>
          <w:tcPr>
            <w:tcW w:w="537" w:type="pct"/>
            <w:vAlign w:val="bottom"/>
          </w:tcPr>
          <w:p w14:paraId="545BDF43" w14:textId="68FF8D3F" w:rsidR="00D171D5" w:rsidRPr="00471CBA" w:rsidRDefault="00D171D5" w:rsidP="00F36B82">
            <w:pPr>
              <w:ind w:right="28"/>
              <w:jc w:val="right"/>
              <w:rPr>
                <w:b/>
                <w:sz w:val="16"/>
                <w:szCs w:val="16"/>
              </w:rPr>
            </w:pPr>
            <w:r w:rsidRPr="00471CBA">
              <w:rPr>
                <w:b/>
                <w:sz w:val="16"/>
                <w:szCs w:val="16"/>
              </w:rPr>
              <w:t>-</w:t>
            </w:r>
          </w:p>
        </w:tc>
        <w:tc>
          <w:tcPr>
            <w:tcW w:w="503" w:type="pct"/>
            <w:noWrap/>
            <w:tcMar>
              <w:top w:w="15" w:type="dxa"/>
              <w:left w:w="15" w:type="dxa"/>
              <w:bottom w:w="0" w:type="dxa"/>
              <w:right w:w="15" w:type="dxa"/>
            </w:tcMar>
            <w:vAlign w:val="bottom"/>
          </w:tcPr>
          <w:p w14:paraId="6390F364" w14:textId="15A50711" w:rsidR="00D171D5" w:rsidRPr="00471CBA" w:rsidRDefault="00D171D5" w:rsidP="00F36B82">
            <w:pPr>
              <w:ind w:right="28"/>
              <w:jc w:val="right"/>
              <w:rPr>
                <w:b/>
                <w:sz w:val="16"/>
                <w:szCs w:val="16"/>
              </w:rPr>
            </w:pPr>
            <w:r w:rsidRPr="00471CBA">
              <w:rPr>
                <w:b/>
                <w:sz w:val="16"/>
                <w:szCs w:val="16"/>
              </w:rPr>
              <w:t>1.150.767</w:t>
            </w:r>
          </w:p>
        </w:tc>
      </w:tr>
      <w:tr w:rsidR="00D171D5" w:rsidRPr="00471CBA" w14:paraId="398FB7C7" w14:textId="77777777" w:rsidTr="00D171D5">
        <w:trPr>
          <w:cantSplit/>
          <w:trHeight w:val="24"/>
        </w:trPr>
        <w:tc>
          <w:tcPr>
            <w:tcW w:w="1748" w:type="pct"/>
            <w:noWrap/>
            <w:tcMar>
              <w:top w:w="15" w:type="dxa"/>
              <w:left w:w="15" w:type="dxa"/>
              <w:bottom w:w="0" w:type="dxa"/>
              <w:right w:w="15" w:type="dxa"/>
            </w:tcMar>
            <w:vAlign w:val="center"/>
          </w:tcPr>
          <w:p w14:paraId="156E722C" w14:textId="77777777" w:rsidR="00D171D5" w:rsidRPr="00471CBA" w:rsidRDefault="00D171D5" w:rsidP="00D171D5">
            <w:pPr>
              <w:ind w:left="240"/>
              <w:jc w:val="both"/>
              <w:rPr>
                <w:rFonts w:eastAsia="Arial Unicode MS"/>
                <w:b/>
                <w:iCs/>
                <w:sz w:val="16"/>
                <w:szCs w:val="16"/>
              </w:rPr>
            </w:pPr>
          </w:p>
        </w:tc>
        <w:tc>
          <w:tcPr>
            <w:tcW w:w="726" w:type="pct"/>
            <w:noWrap/>
            <w:tcMar>
              <w:top w:w="15" w:type="dxa"/>
              <w:left w:w="15" w:type="dxa"/>
              <w:bottom w:w="0" w:type="dxa"/>
              <w:right w:w="15" w:type="dxa"/>
            </w:tcMar>
            <w:vAlign w:val="bottom"/>
          </w:tcPr>
          <w:p w14:paraId="491EC08D" w14:textId="77777777" w:rsidR="00D171D5" w:rsidRPr="00471CBA" w:rsidRDefault="00D171D5" w:rsidP="00F36B82">
            <w:pPr>
              <w:ind w:right="28"/>
              <w:jc w:val="right"/>
              <w:rPr>
                <w:sz w:val="16"/>
                <w:szCs w:val="16"/>
              </w:rPr>
            </w:pPr>
          </w:p>
        </w:tc>
        <w:tc>
          <w:tcPr>
            <w:tcW w:w="592" w:type="pct"/>
            <w:vAlign w:val="bottom"/>
          </w:tcPr>
          <w:p w14:paraId="3BCDAE66" w14:textId="77777777" w:rsidR="00D171D5" w:rsidRPr="00471CBA" w:rsidRDefault="00D171D5" w:rsidP="00F36B82">
            <w:pPr>
              <w:ind w:right="28"/>
              <w:jc w:val="right"/>
              <w:rPr>
                <w:sz w:val="16"/>
                <w:szCs w:val="16"/>
              </w:rPr>
            </w:pPr>
          </w:p>
        </w:tc>
        <w:tc>
          <w:tcPr>
            <w:tcW w:w="454" w:type="pct"/>
            <w:noWrap/>
            <w:tcMar>
              <w:top w:w="15" w:type="dxa"/>
              <w:left w:w="15" w:type="dxa"/>
              <w:bottom w:w="0" w:type="dxa"/>
              <w:right w:w="15" w:type="dxa"/>
            </w:tcMar>
            <w:vAlign w:val="bottom"/>
          </w:tcPr>
          <w:p w14:paraId="5CA85C57" w14:textId="77777777" w:rsidR="00D171D5" w:rsidRPr="00471CBA" w:rsidRDefault="00D171D5" w:rsidP="00F36B82">
            <w:pPr>
              <w:ind w:right="28"/>
              <w:jc w:val="right"/>
              <w:rPr>
                <w:sz w:val="16"/>
                <w:szCs w:val="16"/>
              </w:rPr>
            </w:pPr>
          </w:p>
        </w:tc>
        <w:tc>
          <w:tcPr>
            <w:tcW w:w="440" w:type="pct"/>
            <w:vAlign w:val="bottom"/>
          </w:tcPr>
          <w:p w14:paraId="41EB54EA" w14:textId="77777777" w:rsidR="00D171D5" w:rsidRPr="00471CBA" w:rsidRDefault="00D171D5" w:rsidP="00F36B82">
            <w:pPr>
              <w:ind w:right="28"/>
              <w:jc w:val="right"/>
              <w:rPr>
                <w:sz w:val="16"/>
                <w:szCs w:val="16"/>
              </w:rPr>
            </w:pPr>
          </w:p>
        </w:tc>
        <w:tc>
          <w:tcPr>
            <w:tcW w:w="537" w:type="pct"/>
            <w:vAlign w:val="bottom"/>
          </w:tcPr>
          <w:p w14:paraId="7C2570A4" w14:textId="77777777" w:rsidR="00D171D5" w:rsidRPr="00471CBA" w:rsidRDefault="00D171D5" w:rsidP="00F36B82">
            <w:pPr>
              <w:ind w:right="28"/>
              <w:jc w:val="right"/>
              <w:rPr>
                <w:sz w:val="16"/>
                <w:szCs w:val="16"/>
              </w:rPr>
            </w:pPr>
          </w:p>
        </w:tc>
        <w:tc>
          <w:tcPr>
            <w:tcW w:w="503" w:type="pct"/>
            <w:noWrap/>
            <w:tcMar>
              <w:top w:w="15" w:type="dxa"/>
              <w:left w:w="15" w:type="dxa"/>
              <w:bottom w:w="0" w:type="dxa"/>
              <w:right w:w="15" w:type="dxa"/>
            </w:tcMar>
            <w:vAlign w:val="bottom"/>
          </w:tcPr>
          <w:p w14:paraId="435F4966" w14:textId="77777777" w:rsidR="00D171D5" w:rsidRPr="00471CBA" w:rsidRDefault="00D171D5" w:rsidP="00F36B82">
            <w:pPr>
              <w:ind w:right="28"/>
              <w:jc w:val="right"/>
              <w:rPr>
                <w:sz w:val="16"/>
                <w:szCs w:val="16"/>
              </w:rPr>
            </w:pPr>
          </w:p>
        </w:tc>
      </w:tr>
      <w:tr w:rsidR="00D171D5" w:rsidRPr="00471CBA" w14:paraId="1D97E096" w14:textId="77777777" w:rsidTr="00D171D5">
        <w:trPr>
          <w:cantSplit/>
          <w:trHeight w:val="24"/>
        </w:trPr>
        <w:tc>
          <w:tcPr>
            <w:tcW w:w="1748" w:type="pct"/>
            <w:noWrap/>
            <w:tcMar>
              <w:top w:w="15" w:type="dxa"/>
              <w:left w:w="15" w:type="dxa"/>
              <w:bottom w:w="0" w:type="dxa"/>
              <w:right w:w="15" w:type="dxa"/>
            </w:tcMar>
            <w:vAlign w:val="center"/>
          </w:tcPr>
          <w:p w14:paraId="598A3272" w14:textId="77777777" w:rsidR="00D171D5" w:rsidRPr="00471CBA" w:rsidRDefault="00D171D5" w:rsidP="00D171D5">
            <w:pPr>
              <w:jc w:val="both"/>
              <w:rPr>
                <w:iCs/>
                <w:sz w:val="16"/>
                <w:szCs w:val="16"/>
              </w:rPr>
            </w:pPr>
            <w:r w:rsidRPr="00471CBA">
              <w:rPr>
                <w:b/>
                <w:iCs/>
                <w:sz w:val="16"/>
                <w:szCs w:val="16"/>
              </w:rPr>
              <w:t>Birikmiş Amortisman (-)</w:t>
            </w:r>
          </w:p>
        </w:tc>
        <w:tc>
          <w:tcPr>
            <w:tcW w:w="726" w:type="pct"/>
            <w:noWrap/>
            <w:tcMar>
              <w:top w:w="15" w:type="dxa"/>
              <w:left w:w="15" w:type="dxa"/>
              <w:bottom w:w="0" w:type="dxa"/>
              <w:right w:w="15" w:type="dxa"/>
            </w:tcMar>
            <w:vAlign w:val="bottom"/>
          </w:tcPr>
          <w:p w14:paraId="25BE217F" w14:textId="77777777" w:rsidR="00D171D5" w:rsidRPr="00471CBA" w:rsidRDefault="00D171D5" w:rsidP="00F36B82">
            <w:pPr>
              <w:ind w:right="28"/>
              <w:jc w:val="right"/>
              <w:rPr>
                <w:sz w:val="16"/>
                <w:szCs w:val="16"/>
              </w:rPr>
            </w:pPr>
          </w:p>
        </w:tc>
        <w:tc>
          <w:tcPr>
            <w:tcW w:w="592" w:type="pct"/>
            <w:vAlign w:val="bottom"/>
          </w:tcPr>
          <w:p w14:paraId="0A17D610" w14:textId="77777777" w:rsidR="00D171D5" w:rsidRPr="00471CBA" w:rsidRDefault="00D171D5" w:rsidP="00F36B82">
            <w:pPr>
              <w:ind w:right="28"/>
              <w:jc w:val="right"/>
              <w:rPr>
                <w:sz w:val="16"/>
                <w:szCs w:val="16"/>
              </w:rPr>
            </w:pPr>
          </w:p>
        </w:tc>
        <w:tc>
          <w:tcPr>
            <w:tcW w:w="454" w:type="pct"/>
            <w:noWrap/>
            <w:tcMar>
              <w:top w:w="15" w:type="dxa"/>
              <w:left w:w="15" w:type="dxa"/>
              <w:bottom w:w="0" w:type="dxa"/>
              <w:right w:w="15" w:type="dxa"/>
            </w:tcMar>
            <w:vAlign w:val="bottom"/>
          </w:tcPr>
          <w:p w14:paraId="4F7BDDE2" w14:textId="77777777" w:rsidR="00D171D5" w:rsidRPr="00471CBA" w:rsidRDefault="00D171D5" w:rsidP="00F36B82">
            <w:pPr>
              <w:ind w:right="28"/>
              <w:jc w:val="right"/>
              <w:rPr>
                <w:sz w:val="16"/>
                <w:szCs w:val="16"/>
              </w:rPr>
            </w:pPr>
          </w:p>
        </w:tc>
        <w:tc>
          <w:tcPr>
            <w:tcW w:w="440" w:type="pct"/>
            <w:vAlign w:val="bottom"/>
          </w:tcPr>
          <w:p w14:paraId="5DFBF82C" w14:textId="77777777" w:rsidR="00D171D5" w:rsidRPr="00471CBA" w:rsidRDefault="00D171D5" w:rsidP="00F36B82">
            <w:pPr>
              <w:ind w:right="28"/>
              <w:jc w:val="right"/>
              <w:rPr>
                <w:sz w:val="16"/>
                <w:szCs w:val="16"/>
              </w:rPr>
            </w:pPr>
          </w:p>
        </w:tc>
        <w:tc>
          <w:tcPr>
            <w:tcW w:w="537" w:type="pct"/>
            <w:vAlign w:val="bottom"/>
          </w:tcPr>
          <w:p w14:paraId="266C9E5B" w14:textId="77777777" w:rsidR="00D171D5" w:rsidRPr="00471CBA" w:rsidRDefault="00D171D5" w:rsidP="00F36B82">
            <w:pPr>
              <w:ind w:right="28"/>
              <w:jc w:val="right"/>
              <w:rPr>
                <w:sz w:val="16"/>
                <w:szCs w:val="16"/>
              </w:rPr>
            </w:pPr>
          </w:p>
        </w:tc>
        <w:tc>
          <w:tcPr>
            <w:tcW w:w="503" w:type="pct"/>
            <w:noWrap/>
            <w:tcMar>
              <w:top w:w="15" w:type="dxa"/>
              <w:left w:w="15" w:type="dxa"/>
              <w:bottom w:w="0" w:type="dxa"/>
              <w:right w:w="15" w:type="dxa"/>
            </w:tcMar>
            <w:vAlign w:val="bottom"/>
          </w:tcPr>
          <w:p w14:paraId="3003D1E4" w14:textId="77777777" w:rsidR="00D171D5" w:rsidRPr="00471CBA" w:rsidRDefault="00D171D5" w:rsidP="00F36B82">
            <w:pPr>
              <w:ind w:right="28"/>
              <w:jc w:val="right"/>
              <w:rPr>
                <w:sz w:val="16"/>
                <w:szCs w:val="16"/>
              </w:rPr>
            </w:pPr>
          </w:p>
        </w:tc>
      </w:tr>
      <w:tr w:rsidR="00D171D5" w:rsidRPr="00471CBA" w14:paraId="45385F10" w14:textId="77777777" w:rsidTr="00D171D5">
        <w:trPr>
          <w:cantSplit/>
          <w:trHeight w:val="24"/>
        </w:trPr>
        <w:tc>
          <w:tcPr>
            <w:tcW w:w="1748" w:type="pct"/>
            <w:noWrap/>
            <w:tcMar>
              <w:top w:w="15" w:type="dxa"/>
              <w:left w:w="15" w:type="dxa"/>
              <w:bottom w:w="0" w:type="dxa"/>
              <w:right w:w="15" w:type="dxa"/>
            </w:tcMar>
            <w:vAlign w:val="center"/>
          </w:tcPr>
          <w:p w14:paraId="668F9C47" w14:textId="77777777" w:rsidR="00D171D5" w:rsidRPr="00471CBA" w:rsidRDefault="00D171D5" w:rsidP="00D171D5">
            <w:pPr>
              <w:ind w:left="240"/>
              <w:jc w:val="both"/>
              <w:rPr>
                <w:rFonts w:eastAsia="Arial Unicode MS"/>
                <w:b/>
                <w:iCs/>
                <w:sz w:val="16"/>
                <w:szCs w:val="16"/>
              </w:rPr>
            </w:pPr>
            <w:r w:rsidRPr="00471CBA">
              <w:rPr>
                <w:rFonts w:eastAsia="Arial Unicode MS"/>
                <w:b/>
                <w:iCs/>
                <w:sz w:val="16"/>
                <w:szCs w:val="16"/>
              </w:rPr>
              <w:t xml:space="preserve">Dönem başı bakiyesi: </w:t>
            </w:r>
            <w:r w:rsidRPr="00471CBA">
              <w:rPr>
                <w:rFonts w:eastAsia="Arial Unicode MS"/>
                <w:b/>
                <w:sz w:val="16"/>
                <w:szCs w:val="16"/>
              </w:rPr>
              <w:t>1 Ocak 2024</w:t>
            </w:r>
          </w:p>
        </w:tc>
        <w:tc>
          <w:tcPr>
            <w:tcW w:w="726" w:type="pct"/>
            <w:noWrap/>
            <w:tcMar>
              <w:top w:w="15" w:type="dxa"/>
              <w:left w:w="15" w:type="dxa"/>
              <w:bottom w:w="0" w:type="dxa"/>
              <w:right w:w="15" w:type="dxa"/>
            </w:tcMar>
            <w:vAlign w:val="bottom"/>
          </w:tcPr>
          <w:p w14:paraId="2E6B3C11" w14:textId="3FE7046D" w:rsidR="00D171D5" w:rsidRPr="00471CBA" w:rsidRDefault="00D171D5" w:rsidP="00F36B82">
            <w:pPr>
              <w:ind w:right="28"/>
              <w:jc w:val="right"/>
              <w:rPr>
                <w:b/>
                <w:sz w:val="16"/>
                <w:szCs w:val="16"/>
              </w:rPr>
            </w:pPr>
            <w:r w:rsidRPr="00471CBA">
              <w:rPr>
                <w:b/>
                <w:sz w:val="16"/>
                <w:szCs w:val="16"/>
              </w:rPr>
              <w:t>12.681</w:t>
            </w:r>
          </w:p>
        </w:tc>
        <w:tc>
          <w:tcPr>
            <w:tcW w:w="592" w:type="pct"/>
            <w:vAlign w:val="bottom"/>
          </w:tcPr>
          <w:p w14:paraId="62EC1DB5" w14:textId="0224390D" w:rsidR="00D171D5" w:rsidRPr="00471CBA" w:rsidRDefault="00D171D5" w:rsidP="00F36B82">
            <w:pPr>
              <w:ind w:right="28"/>
              <w:jc w:val="right"/>
              <w:rPr>
                <w:b/>
                <w:sz w:val="16"/>
                <w:szCs w:val="16"/>
              </w:rPr>
            </w:pPr>
            <w:r w:rsidRPr="00471CBA">
              <w:rPr>
                <w:b/>
                <w:sz w:val="16"/>
                <w:szCs w:val="16"/>
              </w:rPr>
              <w:t>-</w:t>
            </w:r>
          </w:p>
        </w:tc>
        <w:tc>
          <w:tcPr>
            <w:tcW w:w="454" w:type="pct"/>
            <w:noWrap/>
            <w:tcMar>
              <w:top w:w="15" w:type="dxa"/>
              <w:left w:w="15" w:type="dxa"/>
              <w:bottom w:w="0" w:type="dxa"/>
              <w:right w:w="15" w:type="dxa"/>
            </w:tcMar>
            <w:vAlign w:val="bottom"/>
          </w:tcPr>
          <w:p w14:paraId="173C982D" w14:textId="0E5FD2EA" w:rsidR="00D171D5" w:rsidRPr="00471CBA" w:rsidRDefault="00D171D5" w:rsidP="00F36B82">
            <w:pPr>
              <w:ind w:right="28"/>
              <w:jc w:val="right"/>
              <w:rPr>
                <w:b/>
                <w:sz w:val="16"/>
                <w:szCs w:val="16"/>
              </w:rPr>
            </w:pPr>
            <w:r w:rsidRPr="00471CBA">
              <w:rPr>
                <w:b/>
                <w:sz w:val="16"/>
                <w:szCs w:val="16"/>
              </w:rPr>
              <w:t>-</w:t>
            </w:r>
          </w:p>
        </w:tc>
        <w:tc>
          <w:tcPr>
            <w:tcW w:w="440" w:type="pct"/>
            <w:vAlign w:val="bottom"/>
          </w:tcPr>
          <w:p w14:paraId="0AA6ADA6" w14:textId="47B21E66" w:rsidR="00D171D5" w:rsidRPr="00471CBA" w:rsidRDefault="00D171D5" w:rsidP="00F36B82">
            <w:pPr>
              <w:ind w:right="28"/>
              <w:jc w:val="right"/>
              <w:rPr>
                <w:b/>
                <w:sz w:val="16"/>
                <w:szCs w:val="16"/>
              </w:rPr>
            </w:pPr>
            <w:r w:rsidRPr="00471CBA">
              <w:rPr>
                <w:b/>
                <w:sz w:val="16"/>
                <w:szCs w:val="16"/>
              </w:rPr>
              <w:t>62.993</w:t>
            </w:r>
          </w:p>
        </w:tc>
        <w:tc>
          <w:tcPr>
            <w:tcW w:w="537" w:type="pct"/>
            <w:vAlign w:val="bottom"/>
          </w:tcPr>
          <w:p w14:paraId="37606EBB" w14:textId="50A95163" w:rsidR="00D171D5" w:rsidRPr="00471CBA" w:rsidRDefault="00D171D5" w:rsidP="00F36B82">
            <w:pPr>
              <w:ind w:right="28"/>
              <w:jc w:val="right"/>
              <w:rPr>
                <w:b/>
                <w:sz w:val="16"/>
                <w:szCs w:val="16"/>
              </w:rPr>
            </w:pPr>
            <w:r w:rsidRPr="00471CBA">
              <w:rPr>
                <w:b/>
                <w:sz w:val="16"/>
                <w:szCs w:val="16"/>
              </w:rPr>
              <w:t>-</w:t>
            </w:r>
          </w:p>
        </w:tc>
        <w:tc>
          <w:tcPr>
            <w:tcW w:w="503" w:type="pct"/>
            <w:noWrap/>
            <w:tcMar>
              <w:top w:w="15" w:type="dxa"/>
              <w:left w:w="15" w:type="dxa"/>
              <w:bottom w:w="0" w:type="dxa"/>
              <w:right w:w="15" w:type="dxa"/>
            </w:tcMar>
            <w:vAlign w:val="bottom"/>
          </w:tcPr>
          <w:p w14:paraId="0984C2F8" w14:textId="53F20804" w:rsidR="00D171D5" w:rsidRPr="00471CBA" w:rsidRDefault="00D171D5" w:rsidP="00F36B82">
            <w:pPr>
              <w:ind w:right="28"/>
              <w:jc w:val="right"/>
              <w:rPr>
                <w:b/>
                <w:sz w:val="16"/>
                <w:szCs w:val="16"/>
              </w:rPr>
            </w:pPr>
            <w:r w:rsidRPr="00471CBA">
              <w:rPr>
                <w:b/>
                <w:sz w:val="16"/>
                <w:szCs w:val="16"/>
              </w:rPr>
              <w:t>75.674</w:t>
            </w:r>
          </w:p>
        </w:tc>
      </w:tr>
      <w:tr w:rsidR="00D171D5" w:rsidRPr="00471CBA" w14:paraId="2468CB08" w14:textId="77777777" w:rsidTr="00D171D5">
        <w:trPr>
          <w:cantSplit/>
          <w:trHeight w:val="24"/>
        </w:trPr>
        <w:tc>
          <w:tcPr>
            <w:tcW w:w="1748" w:type="pct"/>
            <w:noWrap/>
            <w:tcMar>
              <w:top w:w="15" w:type="dxa"/>
              <w:left w:w="15" w:type="dxa"/>
              <w:bottom w:w="0" w:type="dxa"/>
              <w:right w:w="15" w:type="dxa"/>
            </w:tcMar>
            <w:vAlign w:val="center"/>
          </w:tcPr>
          <w:p w14:paraId="1EA3C0C8" w14:textId="77777777" w:rsidR="00D171D5" w:rsidRPr="00471CBA" w:rsidRDefault="00D171D5" w:rsidP="00D171D5">
            <w:pPr>
              <w:ind w:left="240"/>
              <w:jc w:val="both"/>
              <w:rPr>
                <w:rFonts w:eastAsia="Arial Unicode MS"/>
                <w:iCs/>
                <w:sz w:val="16"/>
                <w:szCs w:val="16"/>
              </w:rPr>
            </w:pPr>
            <w:r w:rsidRPr="00471CBA">
              <w:rPr>
                <w:iCs/>
                <w:sz w:val="16"/>
                <w:szCs w:val="16"/>
              </w:rPr>
              <w:t>Cari dönem amortisman gideri</w:t>
            </w:r>
          </w:p>
        </w:tc>
        <w:tc>
          <w:tcPr>
            <w:tcW w:w="726" w:type="pct"/>
            <w:noWrap/>
            <w:tcMar>
              <w:top w:w="15" w:type="dxa"/>
              <w:left w:w="15" w:type="dxa"/>
              <w:bottom w:w="0" w:type="dxa"/>
              <w:right w:w="15" w:type="dxa"/>
            </w:tcMar>
            <w:vAlign w:val="bottom"/>
          </w:tcPr>
          <w:p w14:paraId="0B277594" w14:textId="0224D995" w:rsidR="00D171D5" w:rsidRPr="00471CBA" w:rsidRDefault="00D171D5" w:rsidP="00F36B82">
            <w:pPr>
              <w:ind w:right="28"/>
              <w:jc w:val="right"/>
              <w:rPr>
                <w:sz w:val="16"/>
                <w:szCs w:val="16"/>
              </w:rPr>
            </w:pPr>
            <w:r w:rsidRPr="00471CBA">
              <w:rPr>
                <w:sz w:val="16"/>
                <w:szCs w:val="16"/>
              </w:rPr>
              <w:t>28.762</w:t>
            </w:r>
          </w:p>
        </w:tc>
        <w:tc>
          <w:tcPr>
            <w:tcW w:w="592" w:type="pct"/>
            <w:vAlign w:val="bottom"/>
          </w:tcPr>
          <w:p w14:paraId="03D655BB" w14:textId="72E8A50B" w:rsidR="00D171D5" w:rsidRPr="00471CBA" w:rsidRDefault="00D171D5" w:rsidP="00F36B82">
            <w:pPr>
              <w:ind w:right="28"/>
              <w:jc w:val="right"/>
              <w:rPr>
                <w:sz w:val="16"/>
                <w:szCs w:val="16"/>
              </w:rPr>
            </w:pPr>
            <w:r w:rsidRPr="00471CBA">
              <w:rPr>
                <w:sz w:val="16"/>
                <w:szCs w:val="16"/>
              </w:rPr>
              <w:t>-</w:t>
            </w:r>
          </w:p>
        </w:tc>
        <w:tc>
          <w:tcPr>
            <w:tcW w:w="454" w:type="pct"/>
            <w:noWrap/>
            <w:tcMar>
              <w:top w:w="15" w:type="dxa"/>
              <w:left w:w="15" w:type="dxa"/>
              <w:bottom w:w="0" w:type="dxa"/>
              <w:right w:w="15" w:type="dxa"/>
            </w:tcMar>
            <w:vAlign w:val="bottom"/>
          </w:tcPr>
          <w:p w14:paraId="50A3ABCB" w14:textId="2E497685" w:rsidR="00D171D5" w:rsidRPr="00471CBA" w:rsidRDefault="00D171D5" w:rsidP="00F36B82">
            <w:pPr>
              <w:ind w:right="28"/>
              <w:jc w:val="right"/>
              <w:rPr>
                <w:sz w:val="16"/>
                <w:szCs w:val="16"/>
              </w:rPr>
            </w:pPr>
            <w:r w:rsidRPr="00471CBA">
              <w:rPr>
                <w:sz w:val="16"/>
                <w:szCs w:val="16"/>
              </w:rPr>
              <w:t>-</w:t>
            </w:r>
          </w:p>
        </w:tc>
        <w:tc>
          <w:tcPr>
            <w:tcW w:w="440" w:type="pct"/>
            <w:vAlign w:val="bottom"/>
          </w:tcPr>
          <w:p w14:paraId="320261D0" w14:textId="72153716" w:rsidR="00D171D5" w:rsidRPr="00471CBA" w:rsidRDefault="00D171D5" w:rsidP="00F36B82">
            <w:pPr>
              <w:ind w:right="28"/>
              <w:jc w:val="right"/>
              <w:rPr>
                <w:sz w:val="16"/>
                <w:szCs w:val="16"/>
              </w:rPr>
            </w:pPr>
            <w:r w:rsidRPr="00471CBA">
              <w:rPr>
                <w:sz w:val="16"/>
                <w:szCs w:val="16"/>
              </w:rPr>
              <w:t>124.257</w:t>
            </w:r>
          </w:p>
        </w:tc>
        <w:tc>
          <w:tcPr>
            <w:tcW w:w="537" w:type="pct"/>
            <w:vAlign w:val="bottom"/>
          </w:tcPr>
          <w:p w14:paraId="206F44F4" w14:textId="2100F589" w:rsidR="00D171D5" w:rsidRPr="00471CBA" w:rsidRDefault="00D171D5" w:rsidP="00F36B82">
            <w:pPr>
              <w:ind w:right="28"/>
              <w:jc w:val="right"/>
              <w:rPr>
                <w:sz w:val="16"/>
                <w:szCs w:val="16"/>
              </w:rPr>
            </w:pPr>
            <w:r w:rsidRPr="00471CBA">
              <w:rPr>
                <w:sz w:val="16"/>
                <w:szCs w:val="16"/>
              </w:rPr>
              <w:t>-</w:t>
            </w:r>
          </w:p>
        </w:tc>
        <w:tc>
          <w:tcPr>
            <w:tcW w:w="503" w:type="pct"/>
            <w:noWrap/>
            <w:tcMar>
              <w:top w:w="15" w:type="dxa"/>
              <w:left w:w="15" w:type="dxa"/>
              <w:bottom w:w="0" w:type="dxa"/>
              <w:right w:w="15" w:type="dxa"/>
            </w:tcMar>
            <w:vAlign w:val="bottom"/>
          </w:tcPr>
          <w:p w14:paraId="67B4F6B1" w14:textId="51E787E4" w:rsidR="00D171D5" w:rsidRPr="00471CBA" w:rsidRDefault="00D171D5" w:rsidP="00F36B82">
            <w:pPr>
              <w:ind w:right="28"/>
              <w:jc w:val="right"/>
              <w:rPr>
                <w:sz w:val="16"/>
                <w:szCs w:val="16"/>
              </w:rPr>
            </w:pPr>
            <w:r w:rsidRPr="00471CBA">
              <w:rPr>
                <w:sz w:val="16"/>
                <w:szCs w:val="16"/>
              </w:rPr>
              <w:t>153.019</w:t>
            </w:r>
          </w:p>
        </w:tc>
      </w:tr>
      <w:tr w:rsidR="00D171D5" w:rsidRPr="00471CBA" w14:paraId="0C938580" w14:textId="77777777" w:rsidTr="00D171D5">
        <w:trPr>
          <w:cantSplit/>
          <w:trHeight w:val="24"/>
        </w:trPr>
        <w:tc>
          <w:tcPr>
            <w:tcW w:w="1748" w:type="pct"/>
            <w:noWrap/>
            <w:tcMar>
              <w:top w:w="15" w:type="dxa"/>
              <w:left w:w="15" w:type="dxa"/>
              <w:bottom w:w="0" w:type="dxa"/>
              <w:right w:w="15" w:type="dxa"/>
            </w:tcMar>
            <w:vAlign w:val="center"/>
          </w:tcPr>
          <w:p w14:paraId="6341A681" w14:textId="77777777" w:rsidR="00D171D5" w:rsidRPr="00471CBA" w:rsidRDefault="00D171D5" w:rsidP="00D171D5">
            <w:pPr>
              <w:ind w:left="240"/>
              <w:jc w:val="both"/>
              <w:rPr>
                <w:rFonts w:eastAsia="Arial Unicode MS"/>
                <w:iCs/>
                <w:sz w:val="16"/>
                <w:szCs w:val="16"/>
              </w:rPr>
            </w:pPr>
            <w:r w:rsidRPr="00471CBA">
              <w:rPr>
                <w:iCs/>
                <w:sz w:val="16"/>
                <w:szCs w:val="16"/>
              </w:rPr>
              <w:t>Elden çıkarılanlara ait amortisman iptali</w:t>
            </w:r>
          </w:p>
        </w:tc>
        <w:tc>
          <w:tcPr>
            <w:tcW w:w="726" w:type="pct"/>
            <w:noWrap/>
            <w:tcMar>
              <w:top w:w="15" w:type="dxa"/>
              <w:left w:w="15" w:type="dxa"/>
              <w:bottom w:w="0" w:type="dxa"/>
              <w:right w:w="15" w:type="dxa"/>
            </w:tcMar>
            <w:vAlign w:val="bottom"/>
          </w:tcPr>
          <w:p w14:paraId="689D9055" w14:textId="6B864D75" w:rsidR="00D171D5" w:rsidRPr="00471CBA" w:rsidRDefault="00D171D5" w:rsidP="00F36B82">
            <w:pPr>
              <w:ind w:right="28"/>
              <w:jc w:val="right"/>
              <w:rPr>
                <w:sz w:val="16"/>
                <w:szCs w:val="16"/>
              </w:rPr>
            </w:pPr>
            <w:r w:rsidRPr="00471CBA">
              <w:rPr>
                <w:sz w:val="16"/>
                <w:szCs w:val="16"/>
              </w:rPr>
              <w:t>-</w:t>
            </w:r>
          </w:p>
        </w:tc>
        <w:tc>
          <w:tcPr>
            <w:tcW w:w="592" w:type="pct"/>
            <w:vAlign w:val="bottom"/>
          </w:tcPr>
          <w:p w14:paraId="7FB6F52D" w14:textId="7F0C2480" w:rsidR="00D171D5" w:rsidRPr="00471CBA" w:rsidRDefault="00D171D5" w:rsidP="00F36B82">
            <w:pPr>
              <w:ind w:right="28"/>
              <w:jc w:val="right"/>
              <w:rPr>
                <w:sz w:val="16"/>
                <w:szCs w:val="16"/>
              </w:rPr>
            </w:pPr>
            <w:r w:rsidRPr="00471CBA">
              <w:rPr>
                <w:sz w:val="16"/>
                <w:szCs w:val="16"/>
              </w:rPr>
              <w:t>-</w:t>
            </w:r>
          </w:p>
        </w:tc>
        <w:tc>
          <w:tcPr>
            <w:tcW w:w="454" w:type="pct"/>
            <w:noWrap/>
            <w:tcMar>
              <w:top w:w="15" w:type="dxa"/>
              <w:left w:w="15" w:type="dxa"/>
              <w:bottom w:w="0" w:type="dxa"/>
              <w:right w:w="15" w:type="dxa"/>
            </w:tcMar>
            <w:vAlign w:val="bottom"/>
          </w:tcPr>
          <w:p w14:paraId="28E8B98F" w14:textId="50A05B83" w:rsidR="00D171D5" w:rsidRPr="00471CBA" w:rsidRDefault="00D171D5" w:rsidP="00F36B82">
            <w:pPr>
              <w:ind w:right="28"/>
              <w:jc w:val="right"/>
              <w:rPr>
                <w:sz w:val="16"/>
                <w:szCs w:val="16"/>
              </w:rPr>
            </w:pPr>
            <w:r w:rsidRPr="00471CBA">
              <w:rPr>
                <w:sz w:val="16"/>
                <w:szCs w:val="16"/>
              </w:rPr>
              <w:t>-</w:t>
            </w:r>
          </w:p>
        </w:tc>
        <w:tc>
          <w:tcPr>
            <w:tcW w:w="440" w:type="pct"/>
            <w:vAlign w:val="bottom"/>
          </w:tcPr>
          <w:p w14:paraId="03236052" w14:textId="5FF47C1A" w:rsidR="00D171D5" w:rsidRPr="00471CBA" w:rsidRDefault="00D171D5" w:rsidP="00F36B82">
            <w:pPr>
              <w:ind w:right="28"/>
              <w:jc w:val="right"/>
              <w:rPr>
                <w:sz w:val="16"/>
                <w:szCs w:val="16"/>
              </w:rPr>
            </w:pPr>
            <w:r w:rsidRPr="00471CBA">
              <w:rPr>
                <w:sz w:val="16"/>
                <w:szCs w:val="16"/>
              </w:rPr>
              <w:t>-</w:t>
            </w:r>
          </w:p>
        </w:tc>
        <w:tc>
          <w:tcPr>
            <w:tcW w:w="537" w:type="pct"/>
            <w:vAlign w:val="bottom"/>
          </w:tcPr>
          <w:p w14:paraId="7F32D432" w14:textId="4B722E5E" w:rsidR="00D171D5" w:rsidRPr="00471CBA" w:rsidRDefault="00D171D5" w:rsidP="00F36B82">
            <w:pPr>
              <w:ind w:right="28"/>
              <w:jc w:val="right"/>
              <w:rPr>
                <w:sz w:val="16"/>
                <w:szCs w:val="16"/>
              </w:rPr>
            </w:pPr>
            <w:r w:rsidRPr="00471CBA">
              <w:rPr>
                <w:sz w:val="16"/>
                <w:szCs w:val="16"/>
              </w:rPr>
              <w:t>-</w:t>
            </w:r>
          </w:p>
        </w:tc>
        <w:tc>
          <w:tcPr>
            <w:tcW w:w="503" w:type="pct"/>
            <w:noWrap/>
            <w:tcMar>
              <w:top w:w="15" w:type="dxa"/>
              <w:left w:w="15" w:type="dxa"/>
              <w:bottom w:w="0" w:type="dxa"/>
              <w:right w:w="15" w:type="dxa"/>
            </w:tcMar>
            <w:vAlign w:val="bottom"/>
          </w:tcPr>
          <w:p w14:paraId="5C037B06" w14:textId="4CC15BB6" w:rsidR="00D171D5" w:rsidRPr="00471CBA" w:rsidRDefault="00D171D5" w:rsidP="00F36B82">
            <w:pPr>
              <w:ind w:right="28"/>
              <w:jc w:val="right"/>
              <w:rPr>
                <w:sz w:val="16"/>
                <w:szCs w:val="16"/>
              </w:rPr>
            </w:pPr>
            <w:r w:rsidRPr="00471CBA">
              <w:rPr>
                <w:sz w:val="16"/>
                <w:szCs w:val="16"/>
              </w:rPr>
              <w:t>-</w:t>
            </w:r>
          </w:p>
        </w:tc>
      </w:tr>
      <w:tr w:rsidR="00D171D5" w:rsidRPr="00471CBA" w14:paraId="7D0A19EA" w14:textId="77777777" w:rsidTr="00D171D5">
        <w:trPr>
          <w:cantSplit/>
          <w:trHeight w:val="24"/>
        </w:trPr>
        <w:tc>
          <w:tcPr>
            <w:tcW w:w="1748" w:type="pct"/>
            <w:noWrap/>
            <w:tcMar>
              <w:top w:w="15" w:type="dxa"/>
              <w:left w:w="15" w:type="dxa"/>
              <w:bottom w:w="0" w:type="dxa"/>
              <w:right w:w="15" w:type="dxa"/>
            </w:tcMar>
            <w:vAlign w:val="center"/>
          </w:tcPr>
          <w:p w14:paraId="12753DB2" w14:textId="77777777" w:rsidR="00D171D5" w:rsidRPr="00471CBA" w:rsidRDefault="00D171D5" w:rsidP="00D171D5">
            <w:pPr>
              <w:ind w:left="240"/>
              <w:jc w:val="both"/>
              <w:rPr>
                <w:rFonts w:eastAsia="Arial Unicode MS"/>
                <w:iCs/>
                <w:sz w:val="16"/>
                <w:szCs w:val="16"/>
              </w:rPr>
            </w:pPr>
            <w:r w:rsidRPr="00471CBA">
              <w:rPr>
                <w:iCs/>
                <w:sz w:val="16"/>
                <w:szCs w:val="16"/>
              </w:rPr>
              <w:t>Transferler</w:t>
            </w:r>
          </w:p>
        </w:tc>
        <w:tc>
          <w:tcPr>
            <w:tcW w:w="726" w:type="pct"/>
            <w:noWrap/>
            <w:tcMar>
              <w:top w:w="15" w:type="dxa"/>
              <w:left w:w="15" w:type="dxa"/>
              <w:bottom w:w="0" w:type="dxa"/>
              <w:right w:w="15" w:type="dxa"/>
            </w:tcMar>
            <w:vAlign w:val="bottom"/>
          </w:tcPr>
          <w:p w14:paraId="36CC8000" w14:textId="599459B0" w:rsidR="00D171D5" w:rsidRPr="00471CBA" w:rsidRDefault="00D171D5" w:rsidP="00F36B82">
            <w:pPr>
              <w:ind w:right="28"/>
              <w:jc w:val="right"/>
              <w:rPr>
                <w:sz w:val="16"/>
                <w:szCs w:val="16"/>
              </w:rPr>
            </w:pPr>
            <w:r w:rsidRPr="00471CBA">
              <w:rPr>
                <w:sz w:val="16"/>
                <w:szCs w:val="16"/>
              </w:rPr>
              <w:t>-</w:t>
            </w:r>
          </w:p>
        </w:tc>
        <w:tc>
          <w:tcPr>
            <w:tcW w:w="592" w:type="pct"/>
            <w:vAlign w:val="bottom"/>
          </w:tcPr>
          <w:p w14:paraId="5E574B87" w14:textId="0E962861" w:rsidR="00D171D5" w:rsidRPr="00471CBA" w:rsidRDefault="00D171D5" w:rsidP="00F36B82">
            <w:pPr>
              <w:ind w:right="28"/>
              <w:jc w:val="right"/>
              <w:rPr>
                <w:sz w:val="16"/>
                <w:szCs w:val="16"/>
              </w:rPr>
            </w:pPr>
            <w:r w:rsidRPr="00471CBA">
              <w:rPr>
                <w:sz w:val="16"/>
                <w:szCs w:val="16"/>
              </w:rPr>
              <w:t>-</w:t>
            </w:r>
          </w:p>
        </w:tc>
        <w:tc>
          <w:tcPr>
            <w:tcW w:w="454" w:type="pct"/>
            <w:noWrap/>
            <w:tcMar>
              <w:top w:w="15" w:type="dxa"/>
              <w:left w:w="15" w:type="dxa"/>
              <w:bottom w:w="0" w:type="dxa"/>
              <w:right w:w="15" w:type="dxa"/>
            </w:tcMar>
            <w:vAlign w:val="bottom"/>
          </w:tcPr>
          <w:p w14:paraId="55F9577A" w14:textId="28901911" w:rsidR="00D171D5" w:rsidRPr="00471CBA" w:rsidRDefault="00D171D5" w:rsidP="00F36B82">
            <w:pPr>
              <w:ind w:right="28"/>
              <w:jc w:val="right"/>
              <w:rPr>
                <w:sz w:val="16"/>
                <w:szCs w:val="16"/>
              </w:rPr>
            </w:pPr>
            <w:r w:rsidRPr="00471CBA">
              <w:rPr>
                <w:sz w:val="16"/>
                <w:szCs w:val="16"/>
              </w:rPr>
              <w:t>-</w:t>
            </w:r>
          </w:p>
        </w:tc>
        <w:tc>
          <w:tcPr>
            <w:tcW w:w="440" w:type="pct"/>
            <w:vAlign w:val="bottom"/>
          </w:tcPr>
          <w:p w14:paraId="599DD091" w14:textId="167CD284" w:rsidR="00D171D5" w:rsidRPr="00471CBA" w:rsidRDefault="00D171D5" w:rsidP="00F36B82">
            <w:pPr>
              <w:ind w:right="28"/>
              <w:jc w:val="right"/>
              <w:rPr>
                <w:sz w:val="16"/>
                <w:szCs w:val="16"/>
              </w:rPr>
            </w:pPr>
            <w:r w:rsidRPr="00471CBA">
              <w:rPr>
                <w:sz w:val="16"/>
                <w:szCs w:val="16"/>
              </w:rPr>
              <w:t>-</w:t>
            </w:r>
          </w:p>
        </w:tc>
        <w:tc>
          <w:tcPr>
            <w:tcW w:w="537" w:type="pct"/>
            <w:vAlign w:val="bottom"/>
          </w:tcPr>
          <w:p w14:paraId="16571E13" w14:textId="44342A46" w:rsidR="00D171D5" w:rsidRPr="00471CBA" w:rsidRDefault="00D171D5" w:rsidP="00F36B82">
            <w:pPr>
              <w:ind w:right="28"/>
              <w:jc w:val="right"/>
              <w:rPr>
                <w:sz w:val="16"/>
                <w:szCs w:val="16"/>
              </w:rPr>
            </w:pPr>
            <w:r w:rsidRPr="00471CBA">
              <w:rPr>
                <w:sz w:val="16"/>
                <w:szCs w:val="16"/>
              </w:rPr>
              <w:t>-</w:t>
            </w:r>
          </w:p>
        </w:tc>
        <w:tc>
          <w:tcPr>
            <w:tcW w:w="503" w:type="pct"/>
            <w:noWrap/>
            <w:tcMar>
              <w:top w:w="15" w:type="dxa"/>
              <w:left w:w="15" w:type="dxa"/>
              <w:bottom w:w="0" w:type="dxa"/>
              <w:right w:w="15" w:type="dxa"/>
            </w:tcMar>
            <w:vAlign w:val="bottom"/>
          </w:tcPr>
          <w:p w14:paraId="272978C0" w14:textId="4D78D480" w:rsidR="00D171D5" w:rsidRPr="00471CBA" w:rsidRDefault="00D171D5" w:rsidP="00F36B82">
            <w:pPr>
              <w:ind w:right="28"/>
              <w:jc w:val="right"/>
              <w:rPr>
                <w:sz w:val="16"/>
                <w:szCs w:val="16"/>
              </w:rPr>
            </w:pPr>
            <w:r w:rsidRPr="00471CBA">
              <w:rPr>
                <w:sz w:val="16"/>
                <w:szCs w:val="16"/>
              </w:rPr>
              <w:t>-</w:t>
            </w:r>
          </w:p>
        </w:tc>
      </w:tr>
      <w:tr w:rsidR="00D171D5" w:rsidRPr="00471CBA" w14:paraId="13542AC3" w14:textId="77777777" w:rsidTr="00D171D5">
        <w:trPr>
          <w:cantSplit/>
          <w:trHeight w:val="24"/>
        </w:trPr>
        <w:tc>
          <w:tcPr>
            <w:tcW w:w="1748" w:type="pct"/>
            <w:noWrap/>
            <w:tcMar>
              <w:top w:w="15" w:type="dxa"/>
              <w:left w:w="15" w:type="dxa"/>
              <w:bottom w:w="0" w:type="dxa"/>
              <w:right w:w="15" w:type="dxa"/>
            </w:tcMar>
            <w:vAlign w:val="center"/>
          </w:tcPr>
          <w:p w14:paraId="079120BE" w14:textId="77777777" w:rsidR="00D171D5" w:rsidRPr="00471CBA" w:rsidRDefault="00D171D5" w:rsidP="00D171D5">
            <w:pPr>
              <w:ind w:left="240"/>
              <w:jc w:val="both"/>
              <w:rPr>
                <w:b/>
                <w:iCs/>
                <w:sz w:val="16"/>
                <w:szCs w:val="16"/>
              </w:rPr>
            </w:pPr>
            <w:r w:rsidRPr="00471CBA">
              <w:rPr>
                <w:rFonts w:eastAsia="Arial Unicode MS"/>
                <w:b/>
                <w:iCs/>
                <w:sz w:val="16"/>
                <w:szCs w:val="16"/>
              </w:rPr>
              <w:t xml:space="preserve">Dönem sonu bakiyesi: </w:t>
            </w:r>
            <w:r w:rsidRPr="00471CBA">
              <w:rPr>
                <w:rFonts w:eastAsia="Arial Unicode MS"/>
                <w:b/>
                <w:sz w:val="16"/>
                <w:szCs w:val="16"/>
              </w:rPr>
              <w:t>31 Aralık 2024</w:t>
            </w:r>
          </w:p>
        </w:tc>
        <w:tc>
          <w:tcPr>
            <w:tcW w:w="726" w:type="pct"/>
            <w:noWrap/>
            <w:tcMar>
              <w:top w:w="15" w:type="dxa"/>
              <w:left w:w="15" w:type="dxa"/>
              <w:bottom w:w="0" w:type="dxa"/>
              <w:right w:w="15" w:type="dxa"/>
            </w:tcMar>
            <w:vAlign w:val="bottom"/>
          </w:tcPr>
          <w:p w14:paraId="65A1E0E1" w14:textId="6AB3FE42" w:rsidR="00D171D5" w:rsidRPr="00471CBA" w:rsidRDefault="00D171D5" w:rsidP="00F36B82">
            <w:pPr>
              <w:ind w:right="28"/>
              <w:jc w:val="right"/>
              <w:rPr>
                <w:b/>
                <w:sz w:val="16"/>
                <w:szCs w:val="16"/>
              </w:rPr>
            </w:pPr>
            <w:r w:rsidRPr="00471CBA">
              <w:rPr>
                <w:b/>
                <w:sz w:val="16"/>
                <w:szCs w:val="16"/>
              </w:rPr>
              <w:t>41.443</w:t>
            </w:r>
          </w:p>
        </w:tc>
        <w:tc>
          <w:tcPr>
            <w:tcW w:w="592" w:type="pct"/>
            <w:vAlign w:val="bottom"/>
          </w:tcPr>
          <w:p w14:paraId="0E3CF900" w14:textId="02DE865B" w:rsidR="00D171D5" w:rsidRPr="00471CBA" w:rsidRDefault="00D171D5" w:rsidP="00F36B82">
            <w:pPr>
              <w:ind w:right="28"/>
              <w:jc w:val="right"/>
              <w:rPr>
                <w:b/>
                <w:sz w:val="16"/>
                <w:szCs w:val="16"/>
              </w:rPr>
            </w:pPr>
            <w:r w:rsidRPr="00471CBA">
              <w:rPr>
                <w:b/>
                <w:sz w:val="16"/>
                <w:szCs w:val="16"/>
              </w:rPr>
              <w:t>-</w:t>
            </w:r>
          </w:p>
        </w:tc>
        <w:tc>
          <w:tcPr>
            <w:tcW w:w="454" w:type="pct"/>
            <w:noWrap/>
            <w:tcMar>
              <w:top w:w="15" w:type="dxa"/>
              <w:left w:w="15" w:type="dxa"/>
              <w:bottom w:w="0" w:type="dxa"/>
              <w:right w:w="15" w:type="dxa"/>
            </w:tcMar>
            <w:vAlign w:val="bottom"/>
          </w:tcPr>
          <w:p w14:paraId="54291FA2" w14:textId="5DC0289A" w:rsidR="00D171D5" w:rsidRPr="00471CBA" w:rsidRDefault="00D171D5" w:rsidP="00F36B82">
            <w:pPr>
              <w:ind w:right="28"/>
              <w:jc w:val="right"/>
              <w:rPr>
                <w:b/>
                <w:sz w:val="16"/>
                <w:szCs w:val="16"/>
              </w:rPr>
            </w:pPr>
            <w:r w:rsidRPr="00471CBA">
              <w:rPr>
                <w:b/>
                <w:sz w:val="16"/>
                <w:szCs w:val="16"/>
              </w:rPr>
              <w:t>-</w:t>
            </w:r>
          </w:p>
        </w:tc>
        <w:tc>
          <w:tcPr>
            <w:tcW w:w="440" w:type="pct"/>
            <w:vAlign w:val="bottom"/>
          </w:tcPr>
          <w:p w14:paraId="48AF7141" w14:textId="1EA507FF" w:rsidR="00D171D5" w:rsidRPr="00471CBA" w:rsidRDefault="00D171D5" w:rsidP="00F36B82">
            <w:pPr>
              <w:ind w:right="28"/>
              <w:jc w:val="right"/>
              <w:rPr>
                <w:b/>
                <w:sz w:val="16"/>
                <w:szCs w:val="16"/>
              </w:rPr>
            </w:pPr>
            <w:r w:rsidRPr="00471CBA">
              <w:rPr>
                <w:b/>
                <w:sz w:val="16"/>
                <w:szCs w:val="16"/>
              </w:rPr>
              <w:t>187.250</w:t>
            </w:r>
          </w:p>
        </w:tc>
        <w:tc>
          <w:tcPr>
            <w:tcW w:w="537" w:type="pct"/>
            <w:vAlign w:val="bottom"/>
          </w:tcPr>
          <w:p w14:paraId="0D989791" w14:textId="29A50FBC" w:rsidR="00D171D5" w:rsidRPr="00471CBA" w:rsidRDefault="00D171D5" w:rsidP="00F36B82">
            <w:pPr>
              <w:ind w:right="28"/>
              <w:jc w:val="right"/>
              <w:rPr>
                <w:b/>
                <w:sz w:val="16"/>
                <w:szCs w:val="16"/>
              </w:rPr>
            </w:pPr>
            <w:r w:rsidRPr="00471CBA">
              <w:rPr>
                <w:b/>
                <w:sz w:val="16"/>
                <w:szCs w:val="16"/>
              </w:rPr>
              <w:t>-</w:t>
            </w:r>
          </w:p>
        </w:tc>
        <w:tc>
          <w:tcPr>
            <w:tcW w:w="503" w:type="pct"/>
            <w:noWrap/>
            <w:tcMar>
              <w:top w:w="15" w:type="dxa"/>
              <w:left w:w="15" w:type="dxa"/>
              <w:bottom w:w="0" w:type="dxa"/>
              <w:right w:w="15" w:type="dxa"/>
            </w:tcMar>
            <w:vAlign w:val="bottom"/>
          </w:tcPr>
          <w:p w14:paraId="31FB5E0F" w14:textId="4E163612" w:rsidR="00D171D5" w:rsidRPr="00471CBA" w:rsidRDefault="00D171D5" w:rsidP="00F36B82">
            <w:pPr>
              <w:ind w:right="28"/>
              <w:jc w:val="right"/>
              <w:rPr>
                <w:b/>
                <w:sz w:val="16"/>
                <w:szCs w:val="16"/>
              </w:rPr>
            </w:pPr>
            <w:r w:rsidRPr="00471CBA">
              <w:rPr>
                <w:b/>
                <w:sz w:val="16"/>
                <w:szCs w:val="16"/>
              </w:rPr>
              <w:t>228.693</w:t>
            </w:r>
          </w:p>
        </w:tc>
      </w:tr>
      <w:tr w:rsidR="00D171D5" w:rsidRPr="00471CBA" w14:paraId="0EBBED3B" w14:textId="77777777" w:rsidTr="00D171D5">
        <w:trPr>
          <w:cantSplit/>
          <w:trHeight w:val="24"/>
        </w:trPr>
        <w:tc>
          <w:tcPr>
            <w:tcW w:w="1748" w:type="pct"/>
            <w:noWrap/>
            <w:tcMar>
              <w:top w:w="15" w:type="dxa"/>
              <w:left w:w="15" w:type="dxa"/>
              <w:bottom w:w="0" w:type="dxa"/>
              <w:right w:w="15" w:type="dxa"/>
            </w:tcMar>
            <w:vAlign w:val="center"/>
          </w:tcPr>
          <w:p w14:paraId="1EF92EFE" w14:textId="77777777" w:rsidR="00D171D5" w:rsidRPr="00471CBA" w:rsidRDefault="00D171D5" w:rsidP="00D171D5">
            <w:pPr>
              <w:ind w:left="360"/>
              <w:jc w:val="both"/>
              <w:rPr>
                <w:rFonts w:eastAsia="Arial Unicode MS"/>
                <w:iCs/>
                <w:sz w:val="16"/>
                <w:szCs w:val="16"/>
              </w:rPr>
            </w:pPr>
          </w:p>
        </w:tc>
        <w:tc>
          <w:tcPr>
            <w:tcW w:w="726" w:type="pct"/>
            <w:noWrap/>
            <w:tcMar>
              <w:top w:w="15" w:type="dxa"/>
              <w:left w:w="15" w:type="dxa"/>
              <w:bottom w:w="0" w:type="dxa"/>
              <w:right w:w="15" w:type="dxa"/>
            </w:tcMar>
            <w:vAlign w:val="bottom"/>
          </w:tcPr>
          <w:p w14:paraId="588C89EF" w14:textId="77777777" w:rsidR="00D171D5" w:rsidRPr="00471CBA" w:rsidRDefault="00D171D5" w:rsidP="00F36B82">
            <w:pPr>
              <w:ind w:right="28"/>
              <w:jc w:val="right"/>
              <w:rPr>
                <w:sz w:val="16"/>
                <w:szCs w:val="16"/>
              </w:rPr>
            </w:pPr>
          </w:p>
        </w:tc>
        <w:tc>
          <w:tcPr>
            <w:tcW w:w="592" w:type="pct"/>
            <w:vAlign w:val="bottom"/>
          </w:tcPr>
          <w:p w14:paraId="2294707D" w14:textId="77777777" w:rsidR="00D171D5" w:rsidRPr="00471CBA" w:rsidRDefault="00D171D5" w:rsidP="00F36B82">
            <w:pPr>
              <w:ind w:right="28"/>
              <w:jc w:val="right"/>
              <w:rPr>
                <w:sz w:val="16"/>
                <w:szCs w:val="16"/>
              </w:rPr>
            </w:pPr>
          </w:p>
        </w:tc>
        <w:tc>
          <w:tcPr>
            <w:tcW w:w="454" w:type="pct"/>
            <w:noWrap/>
            <w:tcMar>
              <w:top w:w="15" w:type="dxa"/>
              <w:left w:w="15" w:type="dxa"/>
              <w:bottom w:w="0" w:type="dxa"/>
              <w:right w:w="15" w:type="dxa"/>
            </w:tcMar>
            <w:vAlign w:val="bottom"/>
          </w:tcPr>
          <w:p w14:paraId="33AC3D02" w14:textId="77777777" w:rsidR="00D171D5" w:rsidRPr="00471CBA" w:rsidRDefault="00D171D5" w:rsidP="00F36B82">
            <w:pPr>
              <w:ind w:right="28"/>
              <w:jc w:val="right"/>
              <w:rPr>
                <w:sz w:val="16"/>
                <w:szCs w:val="16"/>
              </w:rPr>
            </w:pPr>
          </w:p>
        </w:tc>
        <w:tc>
          <w:tcPr>
            <w:tcW w:w="440" w:type="pct"/>
            <w:vAlign w:val="bottom"/>
          </w:tcPr>
          <w:p w14:paraId="71AD4825" w14:textId="77777777" w:rsidR="00D171D5" w:rsidRPr="00471CBA" w:rsidRDefault="00D171D5" w:rsidP="00F36B82">
            <w:pPr>
              <w:ind w:right="28"/>
              <w:jc w:val="right"/>
              <w:rPr>
                <w:sz w:val="16"/>
                <w:szCs w:val="16"/>
              </w:rPr>
            </w:pPr>
          </w:p>
        </w:tc>
        <w:tc>
          <w:tcPr>
            <w:tcW w:w="537" w:type="pct"/>
            <w:vAlign w:val="bottom"/>
          </w:tcPr>
          <w:p w14:paraId="1FB5AC27" w14:textId="77777777" w:rsidR="00D171D5" w:rsidRPr="00471CBA" w:rsidRDefault="00D171D5" w:rsidP="00F36B82">
            <w:pPr>
              <w:ind w:right="28"/>
              <w:jc w:val="right"/>
              <w:rPr>
                <w:sz w:val="16"/>
                <w:szCs w:val="16"/>
              </w:rPr>
            </w:pPr>
          </w:p>
        </w:tc>
        <w:tc>
          <w:tcPr>
            <w:tcW w:w="503" w:type="pct"/>
            <w:noWrap/>
            <w:tcMar>
              <w:top w:w="15" w:type="dxa"/>
              <w:left w:w="15" w:type="dxa"/>
              <w:bottom w:w="0" w:type="dxa"/>
              <w:right w:w="15" w:type="dxa"/>
            </w:tcMar>
            <w:vAlign w:val="bottom"/>
          </w:tcPr>
          <w:p w14:paraId="179A1FA0" w14:textId="77777777" w:rsidR="00D171D5" w:rsidRPr="00471CBA" w:rsidRDefault="00D171D5" w:rsidP="00F36B82">
            <w:pPr>
              <w:ind w:right="28"/>
              <w:jc w:val="right"/>
              <w:rPr>
                <w:sz w:val="16"/>
                <w:szCs w:val="16"/>
              </w:rPr>
            </w:pPr>
          </w:p>
        </w:tc>
      </w:tr>
      <w:tr w:rsidR="00D171D5" w:rsidRPr="00471CBA" w14:paraId="36BDEA23" w14:textId="77777777" w:rsidTr="00D171D5">
        <w:trPr>
          <w:cantSplit/>
          <w:trHeight w:val="24"/>
        </w:trPr>
        <w:tc>
          <w:tcPr>
            <w:tcW w:w="1748" w:type="pct"/>
            <w:noWrap/>
            <w:tcMar>
              <w:top w:w="15" w:type="dxa"/>
              <w:left w:w="15" w:type="dxa"/>
              <w:bottom w:w="0" w:type="dxa"/>
              <w:right w:w="15" w:type="dxa"/>
            </w:tcMar>
            <w:vAlign w:val="center"/>
          </w:tcPr>
          <w:p w14:paraId="5A88BB6F" w14:textId="77777777" w:rsidR="00D171D5" w:rsidRPr="00471CBA" w:rsidRDefault="00D171D5" w:rsidP="00D171D5">
            <w:pPr>
              <w:ind w:left="240"/>
              <w:jc w:val="both"/>
              <w:rPr>
                <w:b/>
                <w:iCs/>
                <w:sz w:val="16"/>
                <w:szCs w:val="16"/>
              </w:rPr>
            </w:pPr>
            <w:r w:rsidRPr="00471CBA">
              <w:rPr>
                <w:b/>
                <w:iCs/>
                <w:sz w:val="16"/>
                <w:szCs w:val="16"/>
              </w:rPr>
              <w:t>Dönem sonu maliyet</w:t>
            </w:r>
          </w:p>
        </w:tc>
        <w:tc>
          <w:tcPr>
            <w:tcW w:w="726" w:type="pct"/>
            <w:noWrap/>
            <w:tcMar>
              <w:top w:w="15" w:type="dxa"/>
              <w:left w:w="15" w:type="dxa"/>
              <w:bottom w:w="0" w:type="dxa"/>
              <w:right w:w="15" w:type="dxa"/>
            </w:tcMar>
            <w:vAlign w:val="bottom"/>
          </w:tcPr>
          <w:p w14:paraId="4A8B8AB5" w14:textId="3CF48721" w:rsidR="00D171D5" w:rsidRPr="00471CBA" w:rsidRDefault="00D171D5" w:rsidP="00F36B82">
            <w:pPr>
              <w:ind w:right="28"/>
              <w:jc w:val="right"/>
              <w:rPr>
                <w:b/>
                <w:sz w:val="16"/>
                <w:szCs w:val="16"/>
              </w:rPr>
            </w:pPr>
            <w:r w:rsidRPr="00471CBA">
              <w:rPr>
                <w:b/>
                <w:sz w:val="16"/>
                <w:szCs w:val="16"/>
              </w:rPr>
              <w:t>351.944</w:t>
            </w:r>
          </w:p>
        </w:tc>
        <w:tc>
          <w:tcPr>
            <w:tcW w:w="592" w:type="pct"/>
            <w:vAlign w:val="bottom"/>
          </w:tcPr>
          <w:p w14:paraId="6655257B" w14:textId="2E69177A" w:rsidR="00D171D5" w:rsidRPr="00471CBA" w:rsidRDefault="00D171D5" w:rsidP="00F36B82">
            <w:pPr>
              <w:ind w:right="28"/>
              <w:jc w:val="right"/>
              <w:rPr>
                <w:b/>
                <w:sz w:val="16"/>
                <w:szCs w:val="16"/>
              </w:rPr>
            </w:pPr>
            <w:r w:rsidRPr="00471CBA">
              <w:rPr>
                <w:b/>
                <w:sz w:val="16"/>
                <w:szCs w:val="16"/>
              </w:rPr>
              <w:t>-</w:t>
            </w:r>
          </w:p>
        </w:tc>
        <w:tc>
          <w:tcPr>
            <w:tcW w:w="454" w:type="pct"/>
            <w:noWrap/>
            <w:tcMar>
              <w:top w:w="15" w:type="dxa"/>
              <w:left w:w="15" w:type="dxa"/>
              <w:bottom w:w="0" w:type="dxa"/>
              <w:right w:w="15" w:type="dxa"/>
            </w:tcMar>
            <w:vAlign w:val="bottom"/>
          </w:tcPr>
          <w:p w14:paraId="6B8BD6D1" w14:textId="4342C732" w:rsidR="00D171D5" w:rsidRPr="00471CBA" w:rsidRDefault="00D171D5" w:rsidP="00F36B82">
            <w:pPr>
              <w:ind w:right="28"/>
              <w:jc w:val="right"/>
              <w:rPr>
                <w:b/>
                <w:sz w:val="16"/>
                <w:szCs w:val="16"/>
              </w:rPr>
            </w:pPr>
            <w:r w:rsidRPr="00471CBA">
              <w:rPr>
                <w:b/>
                <w:sz w:val="16"/>
                <w:szCs w:val="16"/>
              </w:rPr>
              <w:t>-</w:t>
            </w:r>
          </w:p>
        </w:tc>
        <w:tc>
          <w:tcPr>
            <w:tcW w:w="440" w:type="pct"/>
            <w:vAlign w:val="bottom"/>
          </w:tcPr>
          <w:p w14:paraId="6EBD08C8" w14:textId="0DBA3971" w:rsidR="00D171D5" w:rsidRPr="00471CBA" w:rsidRDefault="00D171D5" w:rsidP="00F36B82">
            <w:pPr>
              <w:ind w:right="28"/>
              <w:jc w:val="right"/>
              <w:rPr>
                <w:b/>
                <w:sz w:val="16"/>
                <w:szCs w:val="16"/>
              </w:rPr>
            </w:pPr>
            <w:r w:rsidRPr="00471CBA">
              <w:rPr>
                <w:b/>
                <w:sz w:val="16"/>
                <w:szCs w:val="16"/>
              </w:rPr>
              <w:t>798.823</w:t>
            </w:r>
          </w:p>
        </w:tc>
        <w:tc>
          <w:tcPr>
            <w:tcW w:w="537" w:type="pct"/>
            <w:vAlign w:val="bottom"/>
          </w:tcPr>
          <w:p w14:paraId="6506E068" w14:textId="2587645B" w:rsidR="00D171D5" w:rsidRPr="00471CBA" w:rsidRDefault="00D171D5" w:rsidP="00F36B82">
            <w:pPr>
              <w:ind w:right="28"/>
              <w:jc w:val="right"/>
              <w:rPr>
                <w:b/>
                <w:sz w:val="16"/>
                <w:szCs w:val="16"/>
              </w:rPr>
            </w:pPr>
            <w:r w:rsidRPr="00471CBA">
              <w:rPr>
                <w:b/>
                <w:sz w:val="16"/>
                <w:szCs w:val="16"/>
              </w:rPr>
              <w:t>-</w:t>
            </w:r>
          </w:p>
        </w:tc>
        <w:tc>
          <w:tcPr>
            <w:tcW w:w="503" w:type="pct"/>
            <w:noWrap/>
            <w:tcMar>
              <w:top w:w="15" w:type="dxa"/>
              <w:left w:w="15" w:type="dxa"/>
              <w:bottom w:w="0" w:type="dxa"/>
              <w:right w:w="15" w:type="dxa"/>
            </w:tcMar>
            <w:vAlign w:val="bottom"/>
          </w:tcPr>
          <w:p w14:paraId="53DBEA72" w14:textId="65B78E82" w:rsidR="00D171D5" w:rsidRPr="00471CBA" w:rsidRDefault="00D171D5" w:rsidP="00F36B82">
            <w:pPr>
              <w:ind w:right="28"/>
              <w:jc w:val="right"/>
              <w:rPr>
                <w:b/>
                <w:sz w:val="16"/>
                <w:szCs w:val="16"/>
              </w:rPr>
            </w:pPr>
            <w:r w:rsidRPr="00471CBA">
              <w:rPr>
                <w:b/>
                <w:sz w:val="16"/>
                <w:szCs w:val="16"/>
              </w:rPr>
              <w:t>1.150.767</w:t>
            </w:r>
          </w:p>
        </w:tc>
      </w:tr>
      <w:tr w:rsidR="00D171D5" w:rsidRPr="00471CBA" w14:paraId="532E0F82" w14:textId="77777777" w:rsidTr="00D171D5">
        <w:trPr>
          <w:cantSplit/>
          <w:trHeight w:val="24"/>
        </w:trPr>
        <w:tc>
          <w:tcPr>
            <w:tcW w:w="1748" w:type="pct"/>
            <w:noWrap/>
            <w:tcMar>
              <w:top w:w="15" w:type="dxa"/>
              <w:left w:w="15" w:type="dxa"/>
              <w:bottom w:w="0" w:type="dxa"/>
              <w:right w:w="15" w:type="dxa"/>
            </w:tcMar>
            <w:vAlign w:val="center"/>
          </w:tcPr>
          <w:p w14:paraId="2ECC0893" w14:textId="77777777" w:rsidR="00D171D5" w:rsidRPr="00471CBA" w:rsidRDefault="00D171D5" w:rsidP="00D171D5">
            <w:pPr>
              <w:ind w:left="240"/>
              <w:jc w:val="both"/>
              <w:rPr>
                <w:b/>
                <w:iCs/>
                <w:sz w:val="16"/>
                <w:szCs w:val="16"/>
              </w:rPr>
            </w:pPr>
            <w:r w:rsidRPr="00471CBA">
              <w:rPr>
                <w:b/>
                <w:iCs/>
                <w:sz w:val="16"/>
                <w:szCs w:val="16"/>
              </w:rPr>
              <w:t>Dönem sonu birikmiş amortisman</w:t>
            </w:r>
          </w:p>
        </w:tc>
        <w:tc>
          <w:tcPr>
            <w:tcW w:w="726" w:type="pct"/>
            <w:noWrap/>
            <w:tcMar>
              <w:top w:w="15" w:type="dxa"/>
              <w:left w:w="15" w:type="dxa"/>
              <w:bottom w:w="0" w:type="dxa"/>
              <w:right w:w="15" w:type="dxa"/>
            </w:tcMar>
            <w:vAlign w:val="bottom"/>
          </w:tcPr>
          <w:p w14:paraId="6471AA4B" w14:textId="16CAEC8E" w:rsidR="00D171D5" w:rsidRPr="00471CBA" w:rsidRDefault="00D171D5" w:rsidP="00F36B82">
            <w:pPr>
              <w:ind w:right="28"/>
              <w:jc w:val="right"/>
              <w:rPr>
                <w:b/>
                <w:sz w:val="16"/>
                <w:szCs w:val="16"/>
              </w:rPr>
            </w:pPr>
            <w:r w:rsidRPr="00471CBA">
              <w:rPr>
                <w:b/>
                <w:sz w:val="16"/>
                <w:szCs w:val="16"/>
              </w:rPr>
              <w:t>(41.443)</w:t>
            </w:r>
          </w:p>
        </w:tc>
        <w:tc>
          <w:tcPr>
            <w:tcW w:w="592" w:type="pct"/>
            <w:vAlign w:val="bottom"/>
          </w:tcPr>
          <w:p w14:paraId="779EF69B" w14:textId="4DD3947B" w:rsidR="00D171D5" w:rsidRPr="00471CBA" w:rsidRDefault="00D171D5" w:rsidP="00F36B82">
            <w:pPr>
              <w:ind w:right="28"/>
              <w:jc w:val="right"/>
              <w:rPr>
                <w:b/>
                <w:sz w:val="16"/>
                <w:szCs w:val="16"/>
              </w:rPr>
            </w:pPr>
            <w:r w:rsidRPr="00471CBA">
              <w:rPr>
                <w:b/>
                <w:sz w:val="16"/>
                <w:szCs w:val="16"/>
              </w:rPr>
              <w:t>-</w:t>
            </w:r>
          </w:p>
        </w:tc>
        <w:tc>
          <w:tcPr>
            <w:tcW w:w="454" w:type="pct"/>
            <w:noWrap/>
            <w:tcMar>
              <w:top w:w="15" w:type="dxa"/>
              <w:left w:w="15" w:type="dxa"/>
              <w:bottom w:w="0" w:type="dxa"/>
              <w:right w:w="15" w:type="dxa"/>
            </w:tcMar>
            <w:vAlign w:val="bottom"/>
          </w:tcPr>
          <w:p w14:paraId="28677FB6" w14:textId="55F314F5" w:rsidR="00D171D5" w:rsidRPr="00471CBA" w:rsidRDefault="00D171D5" w:rsidP="00F36B82">
            <w:pPr>
              <w:ind w:right="28"/>
              <w:jc w:val="right"/>
              <w:rPr>
                <w:b/>
                <w:sz w:val="16"/>
                <w:szCs w:val="16"/>
              </w:rPr>
            </w:pPr>
            <w:r w:rsidRPr="00471CBA">
              <w:rPr>
                <w:b/>
                <w:sz w:val="16"/>
                <w:szCs w:val="16"/>
              </w:rPr>
              <w:t>-</w:t>
            </w:r>
          </w:p>
        </w:tc>
        <w:tc>
          <w:tcPr>
            <w:tcW w:w="440" w:type="pct"/>
            <w:vAlign w:val="bottom"/>
          </w:tcPr>
          <w:p w14:paraId="259B3612" w14:textId="35BFCD8C" w:rsidR="00D171D5" w:rsidRPr="00471CBA" w:rsidRDefault="00D171D5" w:rsidP="00F36B82">
            <w:pPr>
              <w:ind w:right="28"/>
              <w:jc w:val="right"/>
              <w:rPr>
                <w:b/>
                <w:sz w:val="16"/>
                <w:szCs w:val="16"/>
              </w:rPr>
            </w:pPr>
            <w:r w:rsidRPr="00471CBA">
              <w:rPr>
                <w:b/>
                <w:sz w:val="16"/>
                <w:szCs w:val="16"/>
              </w:rPr>
              <w:t>(187.250)</w:t>
            </w:r>
          </w:p>
        </w:tc>
        <w:tc>
          <w:tcPr>
            <w:tcW w:w="537" w:type="pct"/>
            <w:vAlign w:val="bottom"/>
          </w:tcPr>
          <w:p w14:paraId="4E7618EB" w14:textId="3A091E29" w:rsidR="00D171D5" w:rsidRPr="00471CBA" w:rsidRDefault="00D171D5" w:rsidP="00F36B82">
            <w:pPr>
              <w:ind w:right="28"/>
              <w:jc w:val="right"/>
              <w:rPr>
                <w:b/>
                <w:sz w:val="16"/>
                <w:szCs w:val="16"/>
              </w:rPr>
            </w:pPr>
            <w:r w:rsidRPr="00471CBA">
              <w:rPr>
                <w:b/>
                <w:sz w:val="16"/>
                <w:szCs w:val="16"/>
              </w:rPr>
              <w:t>-</w:t>
            </w:r>
          </w:p>
        </w:tc>
        <w:tc>
          <w:tcPr>
            <w:tcW w:w="503" w:type="pct"/>
            <w:noWrap/>
            <w:tcMar>
              <w:top w:w="15" w:type="dxa"/>
              <w:left w:w="15" w:type="dxa"/>
              <w:bottom w:w="0" w:type="dxa"/>
              <w:right w:w="15" w:type="dxa"/>
            </w:tcMar>
            <w:vAlign w:val="bottom"/>
          </w:tcPr>
          <w:p w14:paraId="23A6DB0C" w14:textId="70C9F533" w:rsidR="00D171D5" w:rsidRPr="00471CBA" w:rsidRDefault="00D171D5" w:rsidP="00F36B82">
            <w:pPr>
              <w:ind w:right="28"/>
              <w:jc w:val="right"/>
              <w:rPr>
                <w:b/>
                <w:sz w:val="16"/>
                <w:szCs w:val="16"/>
              </w:rPr>
            </w:pPr>
            <w:r w:rsidRPr="00471CBA">
              <w:rPr>
                <w:b/>
                <w:sz w:val="16"/>
                <w:szCs w:val="16"/>
              </w:rPr>
              <w:t>(228.693)</w:t>
            </w:r>
          </w:p>
        </w:tc>
      </w:tr>
      <w:tr w:rsidR="00D171D5" w:rsidRPr="00471CBA" w14:paraId="0830BD32" w14:textId="77777777" w:rsidTr="00D171D5">
        <w:trPr>
          <w:cantSplit/>
          <w:trHeight w:val="24"/>
        </w:trPr>
        <w:tc>
          <w:tcPr>
            <w:tcW w:w="1748" w:type="pct"/>
            <w:tcBorders>
              <w:bottom w:val="single" w:sz="4" w:space="0" w:color="auto"/>
            </w:tcBorders>
            <w:noWrap/>
            <w:tcMar>
              <w:top w:w="15" w:type="dxa"/>
              <w:left w:w="15" w:type="dxa"/>
              <w:bottom w:w="0" w:type="dxa"/>
              <w:right w:w="15" w:type="dxa"/>
            </w:tcMar>
            <w:vAlign w:val="center"/>
          </w:tcPr>
          <w:p w14:paraId="2915D840" w14:textId="77777777" w:rsidR="00D171D5" w:rsidRPr="00471CBA" w:rsidRDefault="00D171D5" w:rsidP="00D171D5">
            <w:pPr>
              <w:ind w:left="240"/>
              <w:jc w:val="both"/>
              <w:rPr>
                <w:b/>
                <w:iCs/>
                <w:sz w:val="16"/>
                <w:szCs w:val="16"/>
              </w:rPr>
            </w:pPr>
          </w:p>
        </w:tc>
        <w:tc>
          <w:tcPr>
            <w:tcW w:w="726" w:type="pct"/>
            <w:tcBorders>
              <w:bottom w:val="single" w:sz="4" w:space="0" w:color="auto"/>
            </w:tcBorders>
            <w:noWrap/>
            <w:tcMar>
              <w:top w:w="15" w:type="dxa"/>
              <w:left w:w="15" w:type="dxa"/>
              <w:bottom w:w="0" w:type="dxa"/>
              <w:right w:w="15" w:type="dxa"/>
            </w:tcMar>
            <w:vAlign w:val="bottom"/>
          </w:tcPr>
          <w:p w14:paraId="4615E9EA" w14:textId="77777777" w:rsidR="00D171D5" w:rsidRPr="00471CBA" w:rsidRDefault="00D171D5" w:rsidP="00F36B82">
            <w:pPr>
              <w:ind w:right="28"/>
              <w:jc w:val="right"/>
              <w:rPr>
                <w:sz w:val="16"/>
                <w:szCs w:val="16"/>
              </w:rPr>
            </w:pPr>
          </w:p>
        </w:tc>
        <w:tc>
          <w:tcPr>
            <w:tcW w:w="592" w:type="pct"/>
            <w:tcBorders>
              <w:bottom w:val="single" w:sz="4" w:space="0" w:color="auto"/>
            </w:tcBorders>
            <w:vAlign w:val="bottom"/>
          </w:tcPr>
          <w:p w14:paraId="51BB879B" w14:textId="77777777" w:rsidR="00D171D5" w:rsidRPr="00471CBA" w:rsidRDefault="00D171D5" w:rsidP="00F36B82">
            <w:pPr>
              <w:ind w:right="28"/>
              <w:jc w:val="right"/>
              <w:rPr>
                <w:sz w:val="16"/>
                <w:szCs w:val="16"/>
              </w:rPr>
            </w:pPr>
          </w:p>
        </w:tc>
        <w:tc>
          <w:tcPr>
            <w:tcW w:w="454" w:type="pct"/>
            <w:tcBorders>
              <w:bottom w:val="single" w:sz="4" w:space="0" w:color="auto"/>
            </w:tcBorders>
            <w:noWrap/>
            <w:tcMar>
              <w:top w:w="15" w:type="dxa"/>
              <w:left w:w="15" w:type="dxa"/>
              <w:bottom w:w="0" w:type="dxa"/>
              <w:right w:w="15" w:type="dxa"/>
            </w:tcMar>
            <w:vAlign w:val="bottom"/>
          </w:tcPr>
          <w:p w14:paraId="224E17BB" w14:textId="77777777" w:rsidR="00D171D5" w:rsidRPr="00471CBA" w:rsidRDefault="00D171D5" w:rsidP="00F36B82">
            <w:pPr>
              <w:ind w:right="28"/>
              <w:jc w:val="right"/>
              <w:rPr>
                <w:sz w:val="16"/>
                <w:szCs w:val="16"/>
              </w:rPr>
            </w:pPr>
          </w:p>
        </w:tc>
        <w:tc>
          <w:tcPr>
            <w:tcW w:w="440" w:type="pct"/>
            <w:tcBorders>
              <w:bottom w:val="single" w:sz="4" w:space="0" w:color="auto"/>
            </w:tcBorders>
            <w:vAlign w:val="bottom"/>
          </w:tcPr>
          <w:p w14:paraId="28F13348" w14:textId="77777777" w:rsidR="00D171D5" w:rsidRPr="00471CBA" w:rsidRDefault="00D171D5" w:rsidP="00F36B82">
            <w:pPr>
              <w:ind w:right="28"/>
              <w:jc w:val="right"/>
              <w:rPr>
                <w:sz w:val="16"/>
                <w:szCs w:val="16"/>
              </w:rPr>
            </w:pPr>
          </w:p>
        </w:tc>
        <w:tc>
          <w:tcPr>
            <w:tcW w:w="537" w:type="pct"/>
            <w:tcBorders>
              <w:bottom w:val="single" w:sz="4" w:space="0" w:color="auto"/>
            </w:tcBorders>
            <w:vAlign w:val="bottom"/>
          </w:tcPr>
          <w:p w14:paraId="48491C89" w14:textId="77777777" w:rsidR="00D171D5" w:rsidRPr="00471CBA" w:rsidRDefault="00D171D5" w:rsidP="00F36B82">
            <w:pPr>
              <w:ind w:right="28"/>
              <w:jc w:val="right"/>
              <w:rPr>
                <w:sz w:val="16"/>
                <w:szCs w:val="16"/>
              </w:rPr>
            </w:pPr>
          </w:p>
        </w:tc>
        <w:tc>
          <w:tcPr>
            <w:tcW w:w="503" w:type="pct"/>
            <w:tcBorders>
              <w:bottom w:val="single" w:sz="4" w:space="0" w:color="auto"/>
            </w:tcBorders>
            <w:noWrap/>
            <w:tcMar>
              <w:top w:w="15" w:type="dxa"/>
              <w:left w:w="15" w:type="dxa"/>
              <w:bottom w:w="0" w:type="dxa"/>
              <w:right w:w="15" w:type="dxa"/>
            </w:tcMar>
            <w:vAlign w:val="bottom"/>
          </w:tcPr>
          <w:p w14:paraId="37D88345" w14:textId="77777777" w:rsidR="00D171D5" w:rsidRPr="00471CBA" w:rsidRDefault="00D171D5" w:rsidP="00F36B82">
            <w:pPr>
              <w:ind w:right="28"/>
              <w:jc w:val="right"/>
              <w:rPr>
                <w:sz w:val="16"/>
                <w:szCs w:val="16"/>
              </w:rPr>
            </w:pPr>
          </w:p>
        </w:tc>
      </w:tr>
      <w:tr w:rsidR="00D171D5" w:rsidRPr="00471CBA" w14:paraId="276E4A22" w14:textId="77777777" w:rsidTr="00D171D5">
        <w:trPr>
          <w:cantSplit/>
          <w:trHeight w:val="24"/>
        </w:trPr>
        <w:tc>
          <w:tcPr>
            <w:tcW w:w="1748" w:type="pct"/>
            <w:tcBorders>
              <w:top w:val="single" w:sz="4" w:space="0" w:color="auto"/>
              <w:bottom w:val="single" w:sz="12" w:space="0" w:color="auto"/>
            </w:tcBorders>
            <w:noWrap/>
            <w:tcMar>
              <w:top w:w="15" w:type="dxa"/>
              <w:left w:w="15" w:type="dxa"/>
              <w:bottom w:w="0" w:type="dxa"/>
              <w:right w:w="15" w:type="dxa"/>
            </w:tcMar>
            <w:vAlign w:val="center"/>
          </w:tcPr>
          <w:p w14:paraId="50D6D372" w14:textId="77777777" w:rsidR="00D171D5" w:rsidRPr="00471CBA" w:rsidRDefault="00D171D5" w:rsidP="00D171D5">
            <w:pPr>
              <w:ind w:left="240"/>
              <w:jc w:val="both"/>
              <w:rPr>
                <w:b/>
                <w:iCs/>
                <w:sz w:val="16"/>
                <w:szCs w:val="16"/>
              </w:rPr>
            </w:pPr>
            <w:r w:rsidRPr="00471CBA">
              <w:rPr>
                <w:b/>
                <w:iCs/>
                <w:sz w:val="16"/>
                <w:szCs w:val="16"/>
              </w:rPr>
              <w:t>Kapanış Net Defter Değeri</w:t>
            </w:r>
          </w:p>
        </w:tc>
        <w:tc>
          <w:tcPr>
            <w:tcW w:w="726" w:type="pct"/>
            <w:tcBorders>
              <w:top w:val="single" w:sz="4" w:space="0" w:color="auto"/>
              <w:bottom w:val="single" w:sz="12" w:space="0" w:color="auto"/>
            </w:tcBorders>
            <w:noWrap/>
            <w:tcMar>
              <w:top w:w="15" w:type="dxa"/>
              <w:left w:w="15" w:type="dxa"/>
              <w:bottom w:w="0" w:type="dxa"/>
              <w:right w:w="15" w:type="dxa"/>
            </w:tcMar>
            <w:vAlign w:val="bottom"/>
          </w:tcPr>
          <w:p w14:paraId="5C7AA3AA" w14:textId="7392BE33" w:rsidR="00D171D5" w:rsidRPr="00471CBA" w:rsidRDefault="00D171D5" w:rsidP="00F36B82">
            <w:pPr>
              <w:ind w:right="28"/>
              <w:jc w:val="right"/>
              <w:rPr>
                <w:b/>
                <w:sz w:val="16"/>
                <w:szCs w:val="16"/>
              </w:rPr>
            </w:pPr>
            <w:r w:rsidRPr="00471CBA">
              <w:rPr>
                <w:b/>
                <w:sz w:val="16"/>
                <w:szCs w:val="16"/>
              </w:rPr>
              <w:t>310.501</w:t>
            </w:r>
          </w:p>
        </w:tc>
        <w:tc>
          <w:tcPr>
            <w:tcW w:w="592" w:type="pct"/>
            <w:tcBorders>
              <w:top w:val="single" w:sz="4" w:space="0" w:color="auto"/>
              <w:bottom w:val="single" w:sz="12" w:space="0" w:color="auto"/>
            </w:tcBorders>
            <w:vAlign w:val="bottom"/>
          </w:tcPr>
          <w:p w14:paraId="67E59622" w14:textId="58133E8A" w:rsidR="00D171D5" w:rsidRPr="00471CBA" w:rsidRDefault="00D171D5" w:rsidP="00F36B82">
            <w:pPr>
              <w:ind w:right="28"/>
              <w:jc w:val="right"/>
              <w:rPr>
                <w:b/>
                <w:sz w:val="16"/>
                <w:szCs w:val="16"/>
              </w:rPr>
            </w:pPr>
            <w:r w:rsidRPr="00471CBA">
              <w:rPr>
                <w:b/>
                <w:sz w:val="16"/>
                <w:szCs w:val="16"/>
              </w:rPr>
              <w:t>-</w:t>
            </w:r>
          </w:p>
        </w:tc>
        <w:tc>
          <w:tcPr>
            <w:tcW w:w="454" w:type="pct"/>
            <w:tcBorders>
              <w:top w:val="single" w:sz="4" w:space="0" w:color="auto"/>
              <w:bottom w:val="single" w:sz="12" w:space="0" w:color="auto"/>
            </w:tcBorders>
            <w:noWrap/>
            <w:tcMar>
              <w:top w:w="15" w:type="dxa"/>
              <w:left w:w="15" w:type="dxa"/>
              <w:bottom w:w="0" w:type="dxa"/>
              <w:right w:w="15" w:type="dxa"/>
            </w:tcMar>
            <w:vAlign w:val="bottom"/>
          </w:tcPr>
          <w:p w14:paraId="6DBD8D56" w14:textId="102BE589" w:rsidR="00D171D5" w:rsidRPr="00471CBA" w:rsidRDefault="00D171D5" w:rsidP="00F36B82">
            <w:pPr>
              <w:ind w:right="28"/>
              <w:jc w:val="right"/>
              <w:rPr>
                <w:b/>
                <w:sz w:val="16"/>
                <w:szCs w:val="16"/>
              </w:rPr>
            </w:pPr>
            <w:r w:rsidRPr="00471CBA">
              <w:rPr>
                <w:b/>
                <w:sz w:val="16"/>
                <w:szCs w:val="16"/>
              </w:rPr>
              <w:t>-</w:t>
            </w:r>
          </w:p>
        </w:tc>
        <w:tc>
          <w:tcPr>
            <w:tcW w:w="440" w:type="pct"/>
            <w:tcBorders>
              <w:top w:val="single" w:sz="4" w:space="0" w:color="auto"/>
              <w:bottom w:val="single" w:sz="12" w:space="0" w:color="auto"/>
            </w:tcBorders>
            <w:vAlign w:val="bottom"/>
          </w:tcPr>
          <w:p w14:paraId="1BE4072B" w14:textId="5ABD3B32" w:rsidR="00D171D5" w:rsidRPr="00471CBA" w:rsidRDefault="00D171D5" w:rsidP="00F36B82">
            <w:pPr>
              <w:ind w:right="28"/>
              <w:jc w:val="right"/>
              <w:rPr>
                <w:b/>
                <w:sz w:val="16"/>
                <w:szCs w:val="16"/>
              </w:rPr>
            </w:pPr>
            <w:r w:rsidRPr="00471CBA">
              <w:rPr>
                <w:b/>
                <w:sz w:val="16"/>
                <w:szCs w:val="16"/>
              </w:rPr>
              <w:t>611.573</w:t>
            </w:r>
          </w:p>
        </w:tc>
        <w:tc>
          <w:tcPr>
            <w:tcW w:w="537" w:type="pct"/>
            <w:tcBorders>
              <w:top w:val="single" w:sz="4" w:space="0" w:color="auto"/>
              <w:bottom w:val="single" w:sz="12" w:space="0" w:color="auto"/>
            </w:tcBorders>
            <w:vAlign w:val="bottom"/>
          </w:tcPr>
          <w:p w14:paraId="15F3B7E4" w14:textId="6FC2B61A" w:rsidR="00D171D5" w:rsidRPr="00471CBA" w:rsidRDefault="00D171D5" w:rsidP="00F36B82">
            <w:pPr>
              <w:ind w:right="28"/>
              <w:jc w:val="right"/>
              <w:rPr>
                <w:b/>
                <w:sz w:val="16"/>
                <w:szCs w:val="16"/>
              </w:rPr>
            </w:pPr>
            <w:r w:rsidRPr="00471CBA">
              <w:rPr>
                <w:b/>
                <w:sz w:val="16"/>
                <w:szCs w:val="16"/>
              </w:rPr>
              <w:t>-</w:t>
            </w:r>
          </w:p>
        </w:tc>
        <w:tc>
          <w:tcPr>
            <w:tcW w:w="503" w:type="pct"/>
            <w:tcBorders>
              <w:top w:val="single" w:sz="4" w:space="0" w:color="auto"/>
              <w:bottom w:val="single" w:sz="12" w:space="0" w:color="auto"/>
            </w:tcBorders>
            <w:noWrap/>
            <w:tcMar>
              <w:top w:w="15" w:type="dxa"/>
              <w:left w:w="15" w:type="dxa"/>
              <w:bottom w:w="0" w:type="dxa"/>
              <w:right w:w="15" w:type="dxa"/>
            </w:tcMar>
            <w:vAlign w:val="bottom"/>
          </w:tcPr>
          <w:p w14:paraId="41E2734E" w14:textId="38303AF9" w:rsidR="00D171D5" w:rsidRPr="00471CBA" w:rsidRDefault="00D171D5" w:rsidP="00F36B82">
            <w:pPr>
              <w:ind w:right="28"/>
              <w:jc w:val="right"/>
              <w:rPr>
                <w:b/>
                <w:sz w:val="16"/>
                <w:szCs w:val="16"/>
              </w:rPr>
            </w:pPr>
            <w:r w:rsidRPr="00471CBA">
              <w:rPr>
                <w:b/>
                <w:sz w:val="16"/>
                <w:szCs w:val="16"/>
              </w:rPr>
              <w:t>922.074</w:t>
            </w:r>
          </w:p>
        </w:tc>
      </w:tr>
    </w:tbl>
    <w:p w14:paraId="04D81685" w14:textId="77777777" w:rsidR="00375B2D" w:rsidRPr="00471CBA" w:rsidRDefault="00375B2D" w:rsidP="00A67FD6">
      <w:pPr>
        <w:rPr>
          <w:rFonts w:eastAsia="Arial Unicode MS"/>
        </w:rPr>
      </w:pPr>
    </w:p>
    <w:tbl>
      <w:tblPr>
        <w:tblW w:w="5000" w:type="pct"/>
        <w:tblCellMar>
          <w:left w:w="0" w:type="dxa"/>
          <w:right w:w="0" w:type="dxa"/>
        </w:tblCellMar>
        <w:tblLook w:val="0000" w:firstRow="0" w:lastRow="0" w:firstColumn="0" w:lastColumn="0" w:noHBand="0" w:noVBand="0"/>
      </w:tblPr>
      <w:tblGrid>
        <w:gridCol w:w="3271"/>
        <w:gridCol w:w="1344"/>
        <w:gridCol w:w="1109"/>
        <w:gridCol w:w="852"/>
        <w:gridCol w:w="826"/>
        <w:gridCol w:w="1008"/>
        <w:gridCol w:w="945"/>
      </w:tblGrid>
      <w:tr w:rsidR="00A67FD6" w:rsidRPr="00471CBA" w14:paraId="0274ED0C" w14:textId="77777777" w:rsidTr="00B0049C">
        <w:trPr>
          <w:cantSplit/>
          <w:trHeight w:val="24"/>
        </w:trPr>
        <w:tc>
          <w:tcPr>
            <w:tcW w:w="1749" w:type="pct"/>
            <w:tcBorders>
              <w:top w:val="single" w:sz="4" w:space="0" w:color="auto"/>
              <w:bottom w:val="single" w:sz="4" w:space="0" w:color="auto"/>
            </w:tcBorders>
            <w:noWrap/>
            <w:tcMar>
              <w:top w:w="15" w:type="dxa"/>
              <w:left w:w="15" w:type="dxa"/>
              <w:bottom w:w="0" w:type="dxa"/>
              <w:right w:w="15" w:type="dxa"/>
            </w:tcMar>
            <w:vAlign w:val="center"/>
          </w:tcPr>
          <w:p w14:paraId="5B248999" w14:textId="77777777" w:rsidR="00A67FD6" w:rsidRPr="00471CBA" w:rsidRDefault="00A67FD6" w:rsidP="00B0049C">
            <w:pPr>
              <w:jc w:val="center"/>
              <w:rPr>
                <w:rFonts w:eastAsia="Arial Unicode MS"/>
                <w:b/>
                <w:iCs/>
                <w:sz w:val="16"/>
                <w:szCs w:val="16"/>
              </w:rPr>
            </w:pPr>
            <w:r w:rsidRPr="00471CBA">
              <w:rPr>
                <w:rFonts w:eastAsia="Arial Unicode MS"/>
                <w:b/>
                <w:iCs/>
                <w:sz w:val="16"/>
                <w:szCs w:val="16"/>
              </w:rPr>
              <w:t>31 Aralık 2024</w:t>
            </w:r>
          </w:p>
        </w:tc>
        <w:tc>
          <w:tcPr>
            <w:tcW w:w="716" w:type="pct"/>
            <w:tcBorders>
              <w:top w:val="single" w:sz="4" w:space="0" w:color="auto"/>
              <w:bottom w:val="single" w:sz="4" w:space="0" w:color="auto"/>
            </w:tcBorders>
            <w:noWrap/>
            <w:tcMar>
              <w:top w:w="15" w:type="dxa"/>
              <w:left w:w="15" w:type="dxa"/>
              <w:bottom w:w="0" w:type="dxa"/>
              <w:right w:w="15" w:type="dxa"/>
            </w:tcMar>
            <w:vAlign w:val="bottom"/>
          </w:tcPr>
          <w:p w14:paraId="23BFA7EC" w14:textId="77777777" w:rsidR="00A67FD6" w:rsidRPr="00471CBA" w:rsidRDefault="00A67FD6" w:rsidP="00F36B82">
            <w:pPr>
              <w:ind w:right="55"/>
              <w:jc w:val="right"/>
              <w:rPr>
                <w:rFonts w:eastAsia="Arial Unicode MS"/>
                <w:b/>
                <w:iCs/>
                <w:sz w:val="16"/>
                <w:szCs w:val="16"/>
              </w:rPr>
            </w:pPr>
            <w:r w:rsidRPr="00471CBA">
              <w:rPr>
                <w:b/>
                <w:iCs/>
                <w:sz w:val="16"/>
                <w:szCs w:val="16"/>
              </w:rPr>
              <w:t xml:space="preserve">Gayrimenkuller </w:t>
            </w:r>
            <w:r w:rsidRPr="00471CBA">
              <w:rPr>
                <w:b/>
                <w:iCs/>
                <w:sz w:val="16"/>
                <w:szCs w:val="16"/>
                <w:vertAlign w:val="superscript"/>
              </w:rPr>
              <w:t>(*)</w:t>
            </w:r>
          </w:p>
        </w:tc>
        <w:tc>
          <w:tcPr>
            <w:tcW w:w="593" w:type="pct"/>
            <w:tcBorders>
              <w:top w:val="single" w:sz="4" w:space="0" w:color="auto"/>
              <w:bottom w:val="single" w:sz="4" w:space="0" w:color="auto"/>
            </w:tcBorders>
            <w:vAlign w:val="bottom"/>
          </w:tcPr>
          <w:p w14:paraId="0A99CD72" w14:textId="77777777" w:rsidR="00A67FD6" w:rsidRPr="00471CBA" w:rsidRDefault="00A67FD6" w:rsidP="00F36B82">
            <w:pPr>
              <w:ind w:right="55"/>
              <w:jc w:val="right"/>
              <w:rPr>
                <w:rFonts w:eastAsia="Arial Unicode MS"/>
                <w:b/>
                <w:iCs/>
                <w:sz w:val="16"/>
                <w:szCs w:val="16"/>
              </w:rPr>
            </w:pPr>
            <w:r w:rsidRPr="00471CBA">
              <w:rPr>
                <w:b/>
                <w:iCs/>
                <w:sz w:val="16"/>
                <w:szCs w:val="16"/>
              </w:rPr>
              <w:t>Finansal kiralama ile edinilen MDV</w:t>
            </w:r>
          </w:p>
        </w:tc>
        <w:tc>
          <w:tcPr>
            <w:tcW w:w="456" w:type="pct"/>
            <w:tcBorders>
              <w:top w:val="single" w:sz="4" w:space="0" w:color="auto"/>
              <w:bottom w:val="single" w:sz="4" w:space="0" w:color="auto"/>
            </w:tcBorders>
            <w:noWrap/>
            <w:tcMar>
              <w:top w:w="15" w:type="dxa"/>
              <w:left w:w="15" w:type="dxa"/>
              <w:bottom w:w="0" w:type="dxa"/>
              <w:right w:w="15" w:type="dxa"/>
            </w:tcMar>
            <w:vAlign w:val="bottom"/>
          </w:tcPr>
          <w:p w14:paraId="496B578B" w14:textId="77777777" w:rsidR="00A67FD6" w:rsidRPr="00471CBA" w:rsidRDefault="00A67FD6" w:rsidP="00F36B82">
            <w:pPr>
              <w:ind w:right="55"/>
              <w:jc w:val="right"/>
              <w:rPr>
                <w:rFonts w:eastAsia="Arial Unicode MS"/>
                <w:b/>
                <w:iCs/>
                <w:sz w:val="16"/>
                <w:szCs w:val="16"/>
              </w:rPr>
            </w:pPr>
            <w:r w:rsidRPr="00471CBA">
              <w:rPr>
                <w:rFonts w:eastAsia="Arial Unicode MS"/>
                <w:b/>
                <w:iCs/>
                <w:sz w:val="16"/>
                <w:szCs w:val="16"/>
              </w:rPr>
              <w:t>Araçlar</w:t>
            </w:r>
          </w:p>
        </w:tc>
        <w:tc>
          <w:tcPr>
            <w:tcW w:w="442" w:type="pct"/>
            <w:tcBorders>
              <w:top w:val="single" w:sz="4" w:space="0" w:color="auto"/>
              <w:bottom w:val="single" w:sz="4" w:space="0" w:color="auto"/>
            </w:tcBorders>
            <w:vAlign w:val="bottom"/>
          </w:tcPr>
          <w:p w14:paraId="360A5420" w14:textId="77777777" w:rsidR="00A67FD6" w:rsidRPr="00471CBA" w:rsidRDefault="00A67FD6" w:rsidP="00F36B82">
            <w:pPr>
              <w:ind w:right="55"/>
              <w:jc w:val="right"/>
              <w:rPr>
                <w:b/>
                <w:iCs/>
                <w:sz w:val="16"/>
                <w:szCs w:val="16"/>
              </w:rPr>
            </w:pPr>
            <w:r w:rsidRPr="00471CBA">
              <w:rPr>
                <w:b/>
                <w:iCs/>
                <w:sz w:val="16"/>
                <w:szCs w:val="16"/>
              </w:rPr>
              <w:t xml:space="preserve">Diğer </w:t>
            </w:r>
          </w:p>
          <w:p w14:paraId="454A274B" w14:textId="77777777" w:rsidR="00A67FD6" w:rsidRPr="00471CBA" w:rsidRDefault="00A67FD6" w:rsidP="00F36B82">
            <w:pPr>
              <w:ind w:right="55"/>
              <w:jc w:val="right"/>
              <w:rPr>
                <w:b/>
                <w:iCs/>
                <w:sz w:val="16"/>
                <w:szCs w:val="16"/>
              </w:rPr>
            </w:pPr>
            <w:r w:rsidRPr="00471CBA">
              <w:rPr>
                <w:b/>
                <w:iCs/>
                <w:sz w:val="16"/>
                <w:szCs w:val="16"/>
              </w:rPr>
              <w:t>MDV</w:t>
            </w:r>
          </w:p>
        </w:tc>
        <w:tc>
          <w:tcPr>
            <w:tcW w:w="539" w:type="pct"/>
            <w:tcBorders>
              <w:top w:val="single" w:sz="4" w:space="0" w:color="auto"/>
              <w:bottom w:val="single" w:sz="4" w:space="0" w:color="auto"/>
            </w:tcBorders>
            <w:vAlign w:val="bottom"/>
          </w:tcPr>
          <w:p w14:paraId="48D22FA7" w14:textId="77777777" w:rsidR="00A67FD6" w:rsidRPr="00471CBA" w:rsidRDefault="00A67FD6" w:rsidP="00F36B82">
            <w:pPr>
              <w:ind w:right="55"/>
              <w:jc w:val="right"/>
              <w:rPr>
                <w:b/>
                <w:iCs/>
                <w:sz w:val="16"/>
                <w:szCs w:val="16"/>
              </w:rPr>
            </w:pPr>
            <w:r w:rsidRPr="00471CBA">
              <w:rPr>
                <w:b/>
                <w:iCs/>
                <w:sz w:val="16"/>
                <w:szCs w:val="16"/>
              </w:rPr>
              <w:t>Elden çıkarılacak MDV</w:t>
            </w:r>
          </w:p>
        </w:tc>
        <w:tc>
          <w:tcPr>
            <w:tcW w:w="505" w:type="pct"/>
            <w:tcBorders>
              <w:top w:val="single" w:sz="4" w:space="0" w:color="auto"/>
              <w:bottom w:val="single" w:sz="4" w:space="0" w:color="auto"/>
            </w:tcBorders>
            <w:noWrap/>
            <w:tcMar>
              <w:top w:w="15" w:type="dxa"/>
              <w:left w:w="15" w:type="dxa"/>
              <w:bottom w:w="0" w:type="dxa"/>
              <w:right w:w="15" w:type="dxa"/>
            </w:tcMar>
            <w:vAlign w:val="bottom"/>
          </w:tcPr>
          <w:p w14:paraId="427AF77A" w14:textId="77777777" w:rsidR="00A67FD6" w:rsidRPr="00471CBA" w:rsidRDefault="00A67FD6" w:rsidP="00F36B82">
            <w:pPr>
              <w:ind w:right="55"/>
              <w:jc w:val="right"/>
              <w:rPr>
                <w:rFonts w:eastAsia="Arial Unicode MS"/>
                <w:b/>
                <w:iCs/>
                <w:sz w:val="16"/>
                <w:szCs w:val="16"/>
              </w:rPr>
            </w:pPr>
            <w:r w:rsidRPr="00471CBA">
              <w:rPr>
                <w:b/>
                <w:iCs/>
                <w:sz w:val="16"/>
                <w:szCs w:val="16"/>
              </w:rPr>
              <w:t>Toplam</w:t>
            </w:r>
          </w:p>
        </w:tc>
      </w:tr>
      <w:tr w:rsidR="00A67FD6" w:rsidRPr="00471CBA" w14:paraId="6DF5FCA0" w14:textId="77777777" w:rsidTr="00B0049C">
        <w:trPr>
          <w:cantSplit/>
          <w:trHeight w:val="24"/>
        </w:trPr>
        <w:tc>
          <w:tcPr>
            <w:tcW w:w="1749" w:type="pct"/>
            <w:tcBorders>
              <w:top w:val="single" w:sz="4" w:space="0" w:color="auto"/>
            </w:tcBorders>
            <w:noWrap/>
            <w:tcMar>
              <w:top w:w="15" w:type="dxa"/>
              <w:left w:w="15" w:type="dxa"/>
              <w:bottom w:w="0" w:type="dxa"/>
              <w:right w:w="15" w:type="dxa"/>
            </w:tcMar>
            <w:vAlign w:val="center"/>
          </w:tcPr>
          <w:p w14:paraId="5AB6A426" w14:textId="77777777" w:rsidR="00A67FD6" w:rsidRPr="00471CBA" w:rsidRDefault="00A67FD6" w:rsidP="00B0049C">
            <w:pPr>
              <w:jc w:val="both"/>
              <w:rPr>
                <w:b/>
                <w:iCs/>
                <w:sz w:val="16"/>
                <w:szCs w:val="16"/>
              </w:rPr>
            </w:pPr>
            <w:r w:rsidRPr="00471CBA">
              <w:rPr>
                <w:b/>
                <w:iCs/>
                <w:sz w:val="16"/>
                <w:szCs w:val="16"/>
              </w:rPr>
              <w:t>Maliyet</w:t>
            </w:r>
          </w:p>
        </w:tc>
        <w:tc>
          <w:tcPr>
            <w:tcW w:w="716" w:type="pct"/>
            <w:tcBorders>
              <w:top w:val="single" w:sz="4" w:space="0" w:color="auto"/>
            </w:tcBorders>
            <w:noWrap/>
            <w:tcMar>
              <w:top w:w="15" w:type="dxa"/>
              <w:left w:w="15" w:type="dxa"/>
              <w:bottom w:w="0" w:type="dxa"/>
              <w:right w:w="15" w:type="dxa"/>
            </w:tcMar>
            <w:vAlign w:val="bottom"/>
          </w:tcPr>
          <w:p w14:paraId="2BC427E4" w14:textId="77777777" w:rsidR="00A67FD6" w:rsidRPr="00471CBA" w:rsidRDefault="00A67FD6" w:rsidP="00F36B82">
            <w:pPr>
              <w:ind w:right="55"/>
              <w:jc w:val="right"/>
              <w:rPr>
                <w:rFonts w:eastAsia="Arial Unicode MS"/>
                <w:iCs/>
                <w:sz w:val="16"/>
                <w:szCs w:val="16"/>
              </w:rPr>
            </w:pPr>
          </w:p>
        </w:tc>
        <w:tc>
          <w:tcPr>
            <w:tcW w:w="593" w:type="pct"/>
            <w:tcBorders>
              <w:top w:val="single" w:sz="4" w:space="0" w:color="auto"/>
            </w:tcBorders>
            <w:vAlign w:val="bottom"/>
          </w:tcPr>
          <w:p w14:paraId="1F3B1765" w14:textId="77777777" w:rsidR="00A67FD6" w:rsidRPr="00471CBA" w:rsidRDefault="00A67FD6" w:rsidP="00F36B82">
            <w:pPr>
              <w:ind w:right="55"/>
              <w:jc w:val="right"/>
              <w:rPr>
                <w:rFonts w:eastAsia="Arial Unicode MS"/>
                <w:iCs/>
                <w:sz w:val="16"/>
                <w:szCs w:val="16"/>
              </w:rPr>
            </w:pPr>
          </w:p>
        </w:tc>
        <w:tc>
          <w:tcPr>
            <w:tcW w:w="456" w:type="pct"/>
            <w:tcBorders>
              <w:top w:val="single" w:sz="4" w:space="0" w:color="auto"/>
            </w:tcBorders>
            <w:noWrap/>
            <w:tcMar>
              <w:top w:w="15" w:type="dxa"/>
              <w:left w:w="15" w:type="dxa"/>
              <w:bottom w:w="0" w:type="dxa"/>
              <w:right w:w="15" w:type="dxa"/>
            </w:tcMar>
            <w:vAlign w:val="bottom"/>
          </w:tcPr>
          <w:p w14:paraId="38FD2EB2" w14:textId="77777777" w:rsidR="00A67FD6" w:rsidRPr="00471CBA" w:rsidRDefault="00A67FD6" w:rsidP="00F36B82">
            <w:pPr>
              <w:ind w:right="55"/>
              <w:jc w:val="right"/>
              <w:rPr>
                <w:rFonts w:eastAsia="Arial Unicode MS"/>
                <w:iCs/>
                <w:sz w:val="16"/>
                <w:szCs w:val="16"/>
              </w:rPr>
            </w:pPr>
          </w:p>
        </w:tc>
        <w:tc>
          <w:tcPr>
            <w:tcW w:w="442" w:type="pct"/>
            <w:tcBorders>
              <w:top w:val="single" w:sz="4" w:space="0" w:color="auto"/>
            </w:tcBorders>
          </w:tcPr>
          <w:p w14:paraId="63F5348F" w14:textId="77777777" w:rsidR="00A67FD6" w:rsidRPr="00471CBA" w:rsidRDefault="00A67FD6" w:rsidP="00F36B82">
            <w:pPr>
              <w:ind w:right="55"/>
              <w:jc w:val="right"/>
              <w:rPr>
                <w:rFonts w:eastAsia="Arial Unicode MS"/>
                <w:iCs/>
                <w:sz w:val="16"/>
                <w:szCs w:val="16"/>
              </w:rPr>
            </w:pPr>
          </w:p>
        </w:tc>
        <w:tc>
          <w:tcPr>
            <w:tcW w:w="539" w:type="pct"/>
            <w:tcBorders>
              <w:top w:val="single" w:sz="4" w:space="0" w:color="auto"/>
            </w:tcBorders>
          </w:tcPr>
          <w:p w14:paraId="50EE403E" w14:textId="77777777" w:rsidR="00A67FD6" w:rsidRPr="00471CBA" w:rsidRDefault="00A67FD6" w:rsidP="00F36B82">
            <w:pPr>
              <w:ind w:right="55"/>
              <w:jc w:val="right"/>
              <w:rPr>
                <w:rFonts w:eastAsia="Arial Unicode MS"/>
                <w:iCs/>
                <w:sz w:val="16"/>
                <w:szCs w:val="16"/>
              </w:rPr>
            </w:pPr>
          </w:p>
        </w:tc>
        <w:tc>
          <w:tcPr>
            <w:tcW w:w="505" w:type="pct"/>
            <w:tcBorders>
              <w:top w:val="single" w:sz="4" w:space="0" w:color="auto"/>
            </w:tcBorders>
            <w:noWrap/>
            <w:tcMar>
              <w:top w:w="15" w:type="dxa"/>
              <w:left w:w="15" w:type="dxa"/>
              <w:bottom w:w="0" w:type="dxa"/>
              <w:right w:w="15" w:type="dxa"/>
            </w:tcMar>
            <w:vAlign w:val="bottom"/>
          </w:tcPr>
          <w:p w14:paraId="5F2372BF" w14:textId="77777777" w:rsidR="00A67FD6" w:rsidRPr="00471CBA" w:rsidRDefault="00A67FD6" w:rsidP="00F36B82">
            <w:pPr>
              <w:ind w:right="55"/>
              <w:jc w:val="right"/>
              <w:rPr>
                <w:rFonts w:eastAsia="Arial Unicode MS"/>
                <w:iCs/>
                <w:sz w:val="16"/>
                <w:szCs w:val="16"/>
              </w:rPr>
            </w:pPr>
          </w:p>
        </w:tc>
      </w:tr>
      <w:tr w:rsidR="00A67FD6" w:rsidRPr="00471CBA" w14:paraId="423D63C3" w14:textId="77777777" w:rsidTr="00B0049C">
        <w:trPr>
          <w:cantSplit/>
          <w:trHeight w:val="24"/>
        </w:trPr>
        <w:tc>
          <w:tcPr>
            <w:tcW w:w="1749" w:type="pct"/>
            <w:noWrap/>
            <w:tcMar>
              <w:top w:w="15" w:type="dxa"/>
              <w:left w:w="15" w:type="dxa"/>
              <w:bottom w:w="0" w:type="dxa"/>
              <w:right w:w="15" w:type="dxa"/>
            </w:tcMar>
            <w:vAlign w:val="center"/>
          </w:tcPr>
          <w:p w14:paraId="10E96DE7" w14:textId="77777777" w:rsidR="00A67FD6" w:rsidRPr="00471CBA" w:rsidRDefault="00A67FD6" w:rsidP="00B0049C">
            <w:pPr>
              <w:ind w:left="240"/>
              <w:jc w:val="both"/>
              <w:rPr>
                <w:b/>
                <w:iCs/>
                <w:sz w:val="16"/>
                <w:szCs w:val="16"/>
              </w:rPr>
            </w:pPr>
            <w:r w:rsidRPr="00471CBA">
              <w:rPr>
                <w:b/>
                <w:iCs/>
                <w:sz w:val="16"/>
                <w:szCs w:val="16"/>
              </w:rPr>
              <w:t>Dönem başı bakiyesi: 1 Ocak 2024</w:t>
            </w:r>
          </w:p>
        </w:tc>
        <w:tc>
          <w:tcPr>
            <w:tcW w:w="716" w:type="pct"/>
            <w:noWrap/>
            <w:tcMar>
              <w:top w:w="15" w:type="dxa"/>
              <w:left w:w="15" w:type="dxa"/>
              <w:bottom w:w="0" w:type="dxa"/>
              <w:right w:w="15" w:type="dxa"/>
            </w:tcMar>
            <w:vAlign w:val="bottom"/>
          </w:tcPr>
          <w:p w14:paraId="662A006C" w14:textId="77777777" w:rsidR="00A67FD6" w:rsidRPr="00471CBA" w:rsidRDefault="00A67FD6" w:rsidP="00F36B82">
            <w:pPr>
              <w:ind w:right="55"/>
              <w:jc w:val="right"/>
              <w:rPr>
                <w:b/>
                <w:sz w:val="16"/>
                <w:szCs w:val="16"/>
              </w:rPr>
            </w:pPr>
            <w:r w:rsidRPr="00471CBA">
              <w:rPr>
                <w:b/>
                <w:sz w:val="16"/>
                <w:szCs w:val="16"/>
              </w:rPr>
              <w:t>5.752</w:t>
            </w:r>
          </w:p>
        </w:tc>
        <w:tc>
          <w:tcPr>
            <w:tcW w:w="593" w:type="pct"/>
            <w:vAlign w:val="bottom"/>
          </w:tcPr>
          <w:p w14:paraId="745F1057" w14:textId="77777777" w:rsidR="00A67FD6" w:rsidRPr="00471CBA" w:rsidRDefault="00A67FD6" w:rsidP="00F36B82">
            <w:pPr>
              <w:ind w:right="55"/>
              <w:jc w:val="right"/>
              <w:rPr>
                <w:b/>
                <w:sz w:val="16"/>
                <w:szCs w:val="16"/>
              </w:rPr>
            </w:pPr>
            <w:r w:rsidRPr="00471CBA">
              <w:rPr>
                <w:b/>
                <w:sz w:val="16"/>
                <w:szCs w:val="16"/>
              </w:rPr>
              <w:t>-</w:t>
            </w:r>
          </w:p>
        </w:tc>
        <w:tc>
          <w:tcPr>
            <w:tcW w:w="456" w:type="pct"/>
            <w:noWrap/>
            <w:tcMar>
              <w:top w:w="15" w:type="dxa"/>
              <w:left w:w="15" w:type="dxa"/>
              <w:bottom w:w="0" w:type="dxa"/>
              <w:right w:w="15" w:type="dxa"/>
            </w:tcMar>
            <w:vAlign w:val="bottom"/>
          </w:tcPr>
          <w:p w14:paraId="7E02C307" w14:textId="77777777" w:rsidR="00A67FD6" w:rsidRPr="00471CBA" w:rsidRDefault="00A67FD6" w:rsidP="00F36B82">
            <w:pPr>
              <w:ind w:right="55"/>
              <w:jc w:val="right"/>
              <w:rPr>
                <w:b/>
                <w:sz w:val="16"/>
                <w:szCs w:val="16"/>
              </w:rPr>
            </w:pPr>
            <w:r w:rsidRPr="00471CBA">
              <w:rPr>
                <w:b/>
                <w:sz w:val="16"/>
                <w:szCs w:val="16"/>
              </w:rPr>
              <w:t>-</w:t>
            </w:r>
          </w:p>
        </w:tc>
        <w:tc>
          <w:tcPr>
            <w:tcW w:w="442" w:type="pct"/>
            <w:vAlign w:val="bottom"/>
          </w:tcPr>
          <w:p w14:paraId="4B00D343" w14:textId="77777777" w:rsidR="00A67FD6" w:rsidRPr="00471CBA" w:rsidRDefault="00A67FD6" w:rsidP="00F36B82">
            <w:pPr>
              <w:ind w:right="55"/>
              <w:jc w:val="right"/>
              <w:rPr>
                <w:b/>
                <w:sz w:val="16"/>
                <w:szCs w:val="16"/>
              </w:rPr>
            </w:pPr>
            <w:r w:rsidRPr="00471CBA">
              <w:rPr>
                <w:b/>
                <w:sz w:val="16"/>
                <w:szCs w:val="16"/>
              </w:rPr>
              <w:t>86.182</w:t>
            </w:r>
          </w:p>
        </w:tc>
        <w:tc>
          <w:tcPr>
            <w:tcW w:w="539" w:type="pct"/>
            <w:vAlign w:val="bottom"/>
          </w:tcPr>
          <w:p w14:paraId="79B58495" w14:textId="77777777" w:rsidR="00A67FD6" w:rsidRPr="00471CBA" w:rsidRDefault="00A67FD6" w:rsidP="00F36B82">
            <w:pPr>
              <w:ind w:right="55"/>
              <w:jc w:val="right"/>
              <w:rPr>
                <w:b/>
                <w:sz w:val="16"/>
                <w:szCs w:val="16"/>
              </w:rPr>
            </w:pPr>
            <w:r w:rsidRPr="00471CBA">
              <w:rPr>
                <w:b/>
                <w:sz w:val="16"/>
                <w:szCs w:val="16"/>
              </w:rPr>
              <w:t>-</w:t>
            </w:r>
          </w:p>
        </w:tc>
        <w:tc>
          <w:tcPr>
            <w:tcW w:w="505" w:type="pct"/>
            <w:noWrap/>
            <w:tcMar>
              <w:top w:w="15" w:type="dxa"/>
              <w:left w:w="15" w:type="dxa"/>
              <w:bottom w:w="0" w:type="dxa"/>
              <w:right w:w="15" w:type="dxa"/>
            </w:tcMar>
            <w:vAlign w:val="bottom"/>
          </w:tcPr>
          <w:p w14:paraId="43AC40C3" w14:textId="77777777" w:rsidR="00A67FD6" w:rsidRPr="00471CBA" w:rsidRDefault="00A67FD6" w:rsidP="00F36B82">
            <w:pPr>
              <w:ind w:right="55"/>
              <w:jc w:val="right"/>
              <w:rPr>
                <w:b/>
                <w:sz w:val="16"/>
                <w:szCs w:val="16"/>
              </w:rPr>
            </w:pPr>
            <w:r w:rsidRPr="00471CBA">
              <w:rPr>
                <w:b/>
                <w:sz w:val="16"/>
                <w:szCs w:val="16"/>
              </w:rPr>
              <w:t>91.934</w:t>
            </w:r>
          </w:p>
        </w:tc>
      </w:tr>
      <w:tr w:rsidR="00A67FD6" w:rsidRPr="00471CBA" w14:paraId="57993DC2" w14:textId="77777777" w:rsidTr="00B0049C">
        <w:trPr>
          <w:cantSplit/>
          <w:trHeight w:val="24"/>
        </w:trPr>
        <w:tc>
          <w:tcPr>
            <w:tcW w:w="1749" w:type="pct"/>
            <w:noWrap/>
            <w:tcMar>
              <w:top w:w="15" w:type="dxa"/>
              <w:left w:w="15" w:type="dxa"/>
              <w:bottom w:w="0" w:type="dxa"/>
              <w:right w:w="15" w:type="dxa"/>
            </w:tcMar>
            <w:vAlign w:val="center"/>
          </w:tcPr>
          <w:p w14:paraId="48291165" w14:textId="77777777" w:rsidR="00A67FD6" w:rsidRPr="00471CBA" w:rsidRDefault="00A67FD6" w:rsidP="00B0049C">
            <w:pPr>
              <w:ind w:left="240"/>
              <w:jc w:val="both"/>
              <w:rPr>
                <w:rFonts w:eastAsia="Arial Unicode MS"/>
                <w:iCs/>
                <w:sz w:val="16"/>
                <w:szCs w:val="16"/>
              </w:rPr>
            </w:pPr>
            <w:r w:rsidRPr="00471CBA">
              <w:rPr>
                <w:iCs/>
                <w:sz w:val="16"/>
                <w:szCs w:val="16"/>
              </w:rPr>
              <w:t>İktisap edilenler</w:t>
            </w:r>
          </w:p>
        </w:tc>
        <w:tc>
          <w:tcPr>
            <w:tcW w:w="716" w:type="pct"/>
            <w:noWrap/>
            <w:tcMar>
              <w:top w:w="15" w:type="dxa"/>
              <w:left w:w="15" w:type="dxa"/>
              <w:bottom w:w="0" w:type="dxa"/>
              <w:right w:w="15" w:type="dxa"/>
            </w:tcMar>
            <w:vAlign w:val="bottom"/>
          </w:tcPr>
          <w:p w14:paraId="6A8D3C8F" w14:textId="77777777" w:rsidR="00A67FD6" w:rsidRPr="00471CBA" w:rsidRDefault="00A67FD6" w:rsidP="00F36B82">
            <w:pPr>
              <w:ind w:right="55"/>
              <w:jc w:val="right"/>
              <w:rPr>
                <w:sz w:val="16"/>
                <w:szCs w:val="16"/>
              </w:rPr>
            </w:pPr>
            <w:r w:rsidRPr="00471CBA">
              <w:rPr>
                <w:sz w:val="16"/>
                <w:szCs w:val="16"/>
              </w:rPr>
              <w:t>122.579</w:t>
            </w:r>
          </w:p>
        </w:tc>
        <w:tc>
          <w:tcPr>
            <w:tcW w:w="593" w:type="pct"/>
            <w:vAlign w:val="bottom"/>
          </w:tcPr>
          <w:p w14:paraId="4759373B" w14:textId="77777777" w:rsidR="00A67FD6" w:rsidRPr="00471CBA" w:rsidRDefault="00A67FD6" w:rsidP="00F36B82">
            <w:pPr>
              <w:ind w:right="55"/>
              <w:jc w:val="right"/>
              <w:rPr>
                <w:sz w:val="16"/>
                <w:szCs w:val="16"/>
              </w:rPr>
            </w:pPr>
            <w:r w:rsidRPr="00471CBA">
              <w:rPr>
                <w:sz w:val="16"/>
                <w:szCs w:val="16"/>
              </w:rPr>
              <w:t>-</w:t>
            </w:r>
          </w:p>
        </w:tc>
        <w:tc>
          <w:tcPr>
            <w:tcW w:w="456" w:type="pct"/>
            <w:noWrap/>
            <w:tcMar>
              <w:top w:w="15" w:type="dxa"/>
              <w:left w:w="15" w:type="dxa"/>
              <w:bottom w:w="0" w:type="dxa"/>
              <w:right w:w="15" w:type="dxa"/>
            </w:tcMar>
            <w:vAlign w:val="bottom"/>
          </w:tcPr>
          <w:p w14:paraId="44A8A0E2" w14:textId="77777777" w:rsidR="00A67FD6" w:rsidRPr="00471CBA" w:rsidRDefault="00A67FD6" w:rsidP="00F36B82">
            <w:pPr>
              <w:ind w:right="55"/>
              <w:jc w:val="right"/>
              <w:rPr>
                <w:sz w:val="16"/>
                <w:szCs w:val="16"/>
              </w:rPr>
            </w:pPr>
            <w:r w:rsidRPr="00471CBA">
              <w:rPr>
                <w:sz w:val="16"/>
                <w:szCs w:val="16"/>
              </w:rPr>
              <w:t>-</w:t>
            </w:r>
          </w:p>
        </w:tc>
        <w:tc>
          <w:tcPr>
            <w:tcW w:w="442" w:type="pct"/>
            <w:vAlign w:val="bottom"/>
          </w:tcPr>
          <w:p w14:paraId="1430DEC3" w14:textId="77777777" w:rsidR="00A67FD6" w:rsidRPr="00471CBA" w:rsidRDefault="00A67FD6" w:rsidP="00F36B82">
            <w:pPr>
              <w:ind w:right="55"/>
              <w:jc w:val="right"/>
              <w:rPr>
                <w:sz w:val="16"/>
                <w:szCs w:val="16"/>
              </w:rPr>
            </w:pPr>
            <w:r w:rsidRPr="00471CBA">
              <w:rPr>
                <w:sz w:val="16"/>
                <w:szCs w:val="16"/>
              </w:rPr>
              <w:t>353.961</w:t>
            </w:r>
          </w:p>
        </w:tc>
        <w:tc>
          <w:tcPr>
            <w:tcW w:w="539" w:type="pct"/>
            <w:vAlign w:val="bottom"/>
          </w:tcPr>
          <w:p w14:paraId="31DE9E75" w14:textId="77777777" w:rsidR="00A67FD6" w:rsidRPr="00471CBA" w:rsidRDefault="00A67FD6" w:rsidP="00F36B82">
            <w:pPr>
              <w:ind w:right="55"/>
              <w:jc w:val="right"/>
              <w:rPr>
                <w:sz w:val="16"/>
                <w:szCs w:val="16"/>
              </w:rPr>
            </w:pPr>
            <w:r w:rsidRPr="00471CBA">
              <w:rPr>
                <w:sz w:val="16"/>
                <w:szCs w:val="16"/>
              </w:rPr>
              <w:t>-</w:t>
            </w:r>
          </w:p>
        </w:tc>
        <w:tc>
          <w:tcPr>
            <w:tcW w:w="505" w:type="pct"/>
            <w:noWrap/>
            <w:tcMar>
              <w:top w:w="15" w:type="dxa"/>
              <w:left w:w="15" w:type="dxa"/>
              <w:bottom w:w="0" w:type="dxa"/>
              <w:right w:w="15" w:type="dxa"/>
            </w:tcMar>
            <w:vAlign w:val="bottom"/>
          </w:tcPr>
          <w:p w14:paraId="4471AA26" w14:textId="77777777" w:rsidR="00A67FD6" w:rsidRPr="00471CBA" w:rsidRDefault="00A67FD6" w:rsidP="00F36B82">
            <w:pPr>
              <w:ind w:right="55"/>
              <w:jc w:val="right"/>
              <w:rPr>
                <w:sz w:val="16"/>
                <w:szCs w:val="16"/>
              </w:rPr>
            </w:pPr>
            <w:r w:rsidRPr="00471CBA">
              <w:rPr>
                <w:sz w:val="16"/>
                <w:szCs w:val="16"/>
              </w:rPr>
              <w:t>476.540</w:t>
            </w:r>
          </w:p>
        </w:tc>
      </w:tr>
      <w:tr w:rsidR="00A67FD6" w:rsidRPr="00471CBA" w14:paraId="2B66840E" w14:textId="77777777" w:rsidTr="00B0049C">
        <w:trPr>
          <w:cantSplit/>
          <w:trHeight w:val="24"/>
        </w:trPr>
        <w:tc>
          <w:tcPr>
            <w:tcW w:w="1749" w:type="pct"/>
            <w:noWrap/>
            <w:tcMar>
              <w:top w:w="15" w:type="dxa"/>
              <w:left w:w="15" w:type="dxa"/>
              <w:bottom w:w="0" w:type="dxa"/>
              <w:right w:w="15" w:type="dxa"/>
            </w:tcMar>
            <w:vAlign w:val="center"/>
          </w:tcPr>
          <w:p w14:paraId="2CE32008" w14:textId="77777777" w:rsidR="00A67FD6" w:rsidRPr="00471CBA" w:rsidRDefault="00A67FD6" w:rsidP="00B0049C">
            <w:pPr>
              <w:ind w:left="240"/>
              <w:jc w:val="both"/>
              <w:rPr>
                <w:iCs/>
                <w:sz w:val="16"/>
                <w:szCs w:val="16"/>
              </w:rPr>
            </w:pPr>
            <w:r w:rsidRPr="00471CBA">
              <w:rPr>
                <w:iCs/>
                <w:sz w:val="16"/>
                <w:szCs w:val="16"/>
              </w:rPr>
              <w:t>Yeniden değerleme farkları</w:t>
            </w:r>
          </w:p>
        </w:tc>
        <w:tc>
          <w:tcPr>
            <w:tcW w:w="716" w:type="pct"/>
            <w:noWrap/>
            <w:tcMar>
              <w:top w:w="15" w:type="dxa"/>
              <w:left w:w="15" w:type="dxa"/>
              <w:bottom w:w="0" w:type="dxa"/>
              <w:right w:w="15" w:type="dxa"/>
            </w:tcMar>
            <w:vAlign w:val="bottom"/>
          </w:tcPr>
          <w:p w14:paraId="2050A39B" w14:textId="77777777" w:rsidR="00A67FD6" w:rsidRPr="00471CBA" w:rsidRDefault="00A67FD6" w:rsidP="00F36B82">
            <w:pPr>
              <w:ind w:right="55"/>
              <w:jc w:val="right"/>
              <w:rPr>
                <w:sz w:val="16"/>
                <w:szCs w:val="16"/>
              </w:rPr>
            </w:pPr>
            <w:r w:rsidRPr="00471CBA">
              <w:rPr>
                <w:sz w:val="16"/>
                <w:szCs w:val="16"/>
              </w:rPr>
              <w:t>-</w:t>
            </w:r>
          </w:p>
        </w:tc>
        <w:tc>
          <w:tcPr>
            <w:tcW w:w="593" w:type="pct"/>
            <w:vAlign w:val="bottom"/>
          </w:tcPr>
          <w:p w14:paraId="50A13CD6" w14:textId="77777777" w:rsidR="00A67FD6" w:rsidRPr="00471CBA" w:rsidRDefault="00A67FD6" w:rsidP="00F36B82">
            <w:pPr>
              <w:ind w:right="55"/>
              <w:jc w:val="right"/>
              <w:rPr>
                <w:sz w:val="16"/>
                <w:szCs w:val="16"/>
              </w:rPr>
            </w:pPr>
            <w:r w:rsidRPr="00471CBA">
              <w:rPr>
                <w:sz w:val="16"/>
                <w:szCs w:val="16"/>
              </w:rPr>
              <w:t>-</w:t>
            </w:r>
          </w:p>
        </w:tc>
        <w:tc>
          <w:tcPr>
            <w:tcW w:w="456" w:type="pct"/>
            <w:noWrap/>
            <w:tcMar>
              <w:top w:w="15" w:type="dxa"/>
              <w:left w:w="15" w:type="dxa"/>
              <w:bottom w:w="0" w:type="dxa"/>
              <w:right w:w="15" w:type="dxa"/>
            </w:tcMar>
            <w:vAlign w:val="bottom"/>
          </w:tcPr>
          <w:p w14:paraId="54A7BB2D" w14:textId="77777777" w:rsidR="00A67FD6" w:rsidRPr="00471CBA" w:rsidRDefault="00A67FD6" w:rsidP="00F36B82">
            <w:pPr>
              <w:ind w:right="55"/>
              <w:jc w:val="right"/>
              <w:rPr>
                <w:sz w:val="16"/>
                <w:szCs w:val="16"/>
              </w:rPr>
            </w:pPr>
            <w:r w:rsidRPr="00471CBA">
              <w:rPr>
                <w:sz w:val="16"/>
                <w:szCs w:val="16"/>
              </w:rPr>
              <w:t>-</w:t>
            </w:r>
          </w:p>
        </w:tc>
        <w:tc>
          <w:tcPr>
            <w:tcW w:w="442" w:type="pct"/>
            <w:vAlign w:val="bottom"/>
          </w:tcPr>
          <w:p w14:paraId="41C49A98" w14:textId="77777777" w:rsidR="00A67FD6" w:rsidRPr="00471CBA" w:rsidRDefault="00A67FD6" w:rsidP="00F36B82">
            <w:pPr>
              <w:ind w:right="55"/>
              <w:jc w:val="right"/>
              <w:rPr>
                <w:sz w:val="16"/>
                <w:szCs w:val="16"/>
              </w:rPr>
            </w:pPr>
            <w:r w:rsidRPr="00471CBA">
              <w:rPr>
                <w:sz w:val="16"/>
                <w:szCs w:val="16"/>
              </w:rPr>
              <w:t>-</w:t>
            </w:r>
          </w:p>
        </w:tc>
        <w:tc>
          <w:tcPr>
            <w:tcW w:w="539" w:type="pct"/>
            <w:vAlign w:val="bottom"/>
          </w:tcPr>
          <w:p w14:paraId="2E6B8C9E" w14:textId="77777777" w:rsidR="00A67FD6" w:rsidRPr="00471CBA" w:rsidRDefault="00A67FD6" w:rsidP="00F36B82">
            <w:pPr>
              <w:ind w:right="55"/>
              <w:jc w:val="right"/>
              <w:rPr>
                <w:sz w:val="16"/>
                <w:szCs w:val="16"/>
              </w:rPr>
            </w:pPr>
            <w:r w:rsidRPr="00471CBA">
              <w:rPr>
                <w:sz w:val="16"/>
                <w:szCs w:val="16"/>
              </w:rPr>
              <w:t>-</w:t>
            </w:r>
          </w:p>
        </w:tc>
        <w:tc>
          <w:tcPr>
            <w:tcW w:w="505" w:type="pct"/>
            <w:noWrap/>
            <w:tcMar>
              <w:top w:w="15" w:type="dxa"/>
              <w:left w:w="15" w:type="dxa"/>
              <w:bottom w:w="0" w:type="dxa"/>
              <w:right w:w="15" w:type="dxa"/>
            </w:tcMar>
            <w:vAlign w:val="bottom"/>
          </w:tcPr>
          <w:p w14:paraId="6EFE433E" w14:textId="77777777" w:rsidR="00A67FD6" w:rsidRPr="00471CBA" w:rsidRDefault="00A67FD6" w:rsidP="00F36B82">
            <w:pPr>
              <w:ind w:right="55"/>
              <w:jc w:val="right"/>
              <w:rPr>
                <w:sz w:val="16"/>
                <w:szCs w:val="16"/>
              </w:rPr>
            </w:pPr>
            <w:r w:rsidRPr="00471CBA">
              <w:rPr>
                <w:sz w:val="16"/>
                <w:szCs w:val="16"/>
              </w:rPr>
              <w:t>-</w:t>
            </w:r>
          </w:p>
        </w:tc>
      </w:tr>
      <w:tr w:rsidR="00A67FD6" w:rsidRPr="00471CBA" w14:paraId="2D119F76" w14:textId="77777777" w:rsidTr="00B0049C">
        <w:trPr>
          <w:cantSplit/>
          <w:trHeight w:val="24"/>
        </w:trPr>
        <w:tc>
          <w:tcPr>
            <w:tcW w:w="1749" w:type="pct"/>
            <w:noWrap/>
            <w:tcMar>
              <w:top w:w="15" w:type="dxa"/>
              <w:left w:w="15" w:type="dxa"/>
              <w:bottom w:w="0" w:type="dxa"/>
              <w:right w:w="15" w:type="dxa"/>
            </w:tcMar>
            <w:vAlign w:val="center"/>
          </w:tcPr>
          <w:p w14:paraId="16E4E188" w14:textId="77777777" w:rsidR="00A67FD6" w:rsidRPr="00471CBA" w:rsidRDefault="00A67FD6" w:rsidP="00B0049C">
            <w:pPr>
              <w:ind w:left="240"/>
              <w:jc w:val="both"/>
              <w:rPr>
                <w:iCs/>
                <w:sz w:val="16"/>
                <w:szCs w:val="16"/>
              </w:rPr>
            </w:pPr>
            <w:r w:rsidRPr="00471CBA">
              <w:rPr>
                <w:iCs/>
                <w:sz w:val="16"/>
                <w:szCs w:val="16"/>
              </w:rPr>
              <w:t>Elden Çıkarılanlar</w:t>
            </w:r>
          </w:p>
        </w:tc>
        <w:tc>
          <w:tcPr>
            <w:tcW w:w="716" w:type="pct"/>
            <w:noWrap/>
            <w:tcMar>
              <w:top w:w="15" w:type="dxa"/>
              <w:left w:w="15" w:type="dxa"/>
              <w:bottom w:w="0" w:type="dxa"/>
              <w:right w:w="15" w:type="dxa"/>
            </w:tcMar>
            <w:vAlign w:val="bottom"/>
          </w:tcPr>
          <w:p w14:paraId="65ACED14" w14:textId="77777777" w:rsidR="00A67FD6" w:rsidRPr="00471CBA" w:rsidRDefault="00A67FD6" w:rsidP="00F36B82">
            <w:pPr>
              <w:ind w:right="55"/>
              <w:jc w:val="right"/>
              <w:rPr>
                <w:sz w:val="16"/>
                <w:szCs w:val="16"/>
              </w:rPr>
            </w:pPr>
            <w:r w:rsidRPr="00471CBA">
              <w:rPr>
                <w:sz w:val="16"/>
                <w:szCs w:val="16"/>
              </w:rPr>
              <w:t>-</w:t>
            </w:r>
          </w:p>
        </w:tc>
        <w:tc>
          <w:tcPr>
            <w:tcW w:w="593" w:type="pct"/>
            <w:vAlign w:val="bottom"/>
          </w:tcPr>
          <w:p w14:paraId="36100DD4" w14:textId="77777777" w:rsidR="00A67FD6" w:rsidRPr="00471CBA" w:rsidRDefault="00A67FD6" w:rsidP="00F36B82">
            <w:pPr>
              <w:ind w:right="55"/>
              <w:jc w:val="right"/>
              <w:rPr>
                <w:sz w:val="16"/>
                <w:szCs w:val="16"/>
              </w:rPr>
            </w:pPr>
            <w:r w:rsidRPr="00471CBA">
              <w:rPr>
                <w:sz w:val="16"/>
                <w:szCs w:val="16"/>
              </w:rPr>
              <w:t>-</w:t>
            </w:r>
          </w:p>
        </w:tc>
        <w:tc>
          <w:tcPr>
            <w:tcW w:w="456" w:type="pct"/>
            <w:noWrap/>
            <w:tcMar>
              <w:top w:w="15" w:type="dxa"/>
              <w:left w:w="15" w:type="dxa"/>
              <w:bottom w:w="0" w:type="dxa"/>
              <w:right w:w="15" w:type="dxa"/>
            </w:tcMar>
            <w:vAlign w:val="bottom"/>
          </w:tcPr>
          <w:p w14:paraId="20EF57A2" w14:textId="77777777" w:rsidR="00A67FD6" w:rsidRPr="00471CBA" w:rsidRDefault="00A67FD6" w:rsidP="00F36B82">
            <w:pPr>
              <w:ind w:right="55"/>
              <w:jc w:val="right"/>
              <w:rPr>
                <w:sz w:val="16"/>
                <w:szCs w:val="16"/>
              </w:rPr>
            </w:pPr>
            <w:r w:rsidRPr="00471CBA">
              <w:rPr>
                <w:sz w:val="16"/>
                <w:szCs w:val="16"/>
              </w:rPr>
              <w:t>-</w:t>
            </w:r>
          </w:p>
        </w:tc>
        <w:tc>
          <w:tcPr>
            <w:tcW w:w="442" w:type="pct"/>
            <w:vAlign w:val="bottom"/>
          </w:tcPr>
          <w:p w14:paraId="19019E9F" w14:textId="77777777" w:rsidR="00A67FD6" w:rsidRPr="00471CBA" w:rsidRDefault="00A67FD6" w:rsidP="00F36B82">
            <w:pPr>
              <w:ind w:right="55"/>
              <w:jc w:val="right"/>
              <w:rPr>
                <w:sz w:val="16"/>
                <w:szCs w:val="16"/>
              </w:rPr>
            </w:pPr>
            <w:r w:rsidRPr="00471CBA">
              <w:rPr>
                <w:sz w:val="16"/>
                <w:szCs w:val="16"/>
              </w:rPr>
              <w:t>(1.893)</w:t>
            </w:r>
          </w:p>
        </w:tc>
        <w:tc>
          <w:tcPr>
            <w:tcW w:w="539" w:type="pct"/>
            <w:vAlign w:val="bottom"/>
          </w:tcPr>
          <w:p w14:paraId="6E2EF926" w14:textId="77777777" w:rsidR="00A67FD6" w:rsidRPr="00471CBA" w:rsidRDefault="00A67FD6" w:rsidP="00F36B82">
            <w:pPr>
              <w:ind w:right="55"/>
              <w:jc w:val="right"/>
              <w:rPr>
                <w:sz w:val="16"/>
                <w:szCs w:val="16"/>
              </w:rPr>
            </w:pPr>
            <w:r w:rsidRPr="00471CBA">
              <w:rPr>
                <w:sz w:val="16"/>
                <w:szCs w:val="16"/>
              </w:rPr>
              <w:t>-</w:t>
            </w:r>
          </w:p>
        </w:tc>
        <w:tc>
          <w:tcPr>
            <w:tcW w:w="505" w:type="pct"/>
            <w:noWrap/>
            <w:tcMar>
              <w:top w:w="15" w:type="dxa"/>
              <w:left w:w="15" w:type="dxa"/>
              <w:bottom w:w="0" w:type="dxa"/>
              <w:right w:w="15" w:type="dxa"/>
            </w:tcMar>
            <w:vAlign w:val="bottom"/>
          </w:tcPr>
          <w:p w14:paraId="1B191A46" w14:textId="77777777" w:rsidR="00A67FD6" w:rsidRPr="00471CBA" w:rsidRDefault="00A67FD6" w:rsidP="00F36B82">
            <w:pPr>
              <w:ind w:right="55"/>
              <w:jc w:val="right"/>
              <w:rPr>
                <w:sz w:val="16"/>
                <w:szCs w:val="16"/>
              </w:rPr>
            </w:pPr>
            <w:r w:rsidRPr="00471CBA">
              <w:rPr>
                <w:sz w:val="16"/>
                <w:szCs w:val="16"/>
              </w:rPr>
              <w:t>(1.893)</w:t>
            </w:r>
          </w:p>
        </w:tc>
      </w:tr>
      <w:tr w:rsidR="00A67FD6" w:rsidRPr="00471CBA" w14:paraId="0104E2D5" w14:textId="77777777" w:rsidTr="00B0049C">
        <w:trPr>
          <w:cantSplit/>
          <w:trHeight w:val="24"/>
        </w:trPr>
        <w:tc>
          <w:tcPr>
            <w:tcW w:w="1749" w:type="pct"/>
            <w:noWrap/>
            <w:tcMar>
              <w:top w:w="15" w:type="dxa"/>
              <w:left w:w="15" w:type="dxa"/>
              <w:bottom w:w="0" w:type="dxa"/>
              <w:right w:w="15" w:type="dxa"/>
            </w:tcMar>
            <w:vAlign w:val="center"/>
          </w:tcPr>
          <w:p w14:paraId="181F35E8" w14:textId="77777777" w:rsidR="00A67FD6" w:rsidRPr="00471CBA" w:rsidRDefault="00A67FD6" w:rsidP="00B0049C">
            <w:pPr>
              <w:ind w:left="240"/>
              <w:jc w:val="both"/>
              <w:rPr>
                <w:iCs/>
                <w:sz w:val="16"/>
                <w:szCs w:val="16"/>
              </w:rPr>
            </w:pPr>
            <w:r w:rsidRPr="00471CBA">
              <w:rPr>
                <w:iCs/>
                <w:sz w:val="16"/>
                <w:szCs w:val="16"/>
              </w:rPr>
              <w:t>Değer Düşüklüğü(-)/Değer Düşüklüğü İptali</w:t>
            </w:r>
          </w:p>
        </w:tc>
        <w:tc>
          <w:tcPr>
            <w:tcW w:w="716" w:type="pct"/>
            <w:noWrap/>
            <w:tcMar>
              <w:top w:w="15" w:type="dxa"/>
              <w:left w:w="15" w:type="dxa"/>
              <w:bottom w:w="0" w:type="dxa"/>
              <w:right w:w="15" w:type="dxa"/>
            </w:tcMar>
            <w:vAlign w:val="bottom"/>
          </w:tcPr>
          <w:p w14:paraId="0063B610" w14:textId="77777777" w:rsidR="00A67FD6" w:rsidRPr="00471CBA" w:rsidRDefault="00A67FD6" w:rsidP="00F36B82">
            <w:pPr>
              <w:ind w:right="55"/>
              <w:jc w:val="right"/>
              <w:rPr>
                <w:sz w:val="16"/>
                <w:szCs w:val="16"/>
              </w:rPr>
            </w:pPr>
            <w:r w:rsidRPr="00471CBA">
              <w:rPr>
                <w:sz w:val="16"/>
                <w:szCs w:val="16"/>
              </w:rPr>
              <w:t>-</w:t>
            </w:r>
          </w:p>
        </w:tc>
        <w:tc>
          <w:tcPr>
            <w:tcW w:w="593" w:type="pct"/>
            <w:vAlign w:val="bottom"/>
          </w:tcPr>
          <w:p w14:paraId="0C4C40CF" w14:textId="77777777" w:rsidR="00A67FD6" w:rsidRPr="00471CBA" w:rsidRDefault="00A67FD6" w:rsidP="00F36B82">
            <w:pPr>
              <w:ind w:right="55"/>
              <w:jc w:val="right"/>
              <w:rPr>
                <w:sz w:val="16"/>
                <w:szCs w:val="16"/>
              </w:rPr>
            </w:pPr>
            <w:r w:rsidRPr="00471CBA">
              <w:rPr>
                <w:sz w:val="16"/>
                <w:szCs w:val="16"/>
              </w:rPr>
              <w:t>-</w:t>
            </w:r>
          </w:p>
        </w:tc>
        <w:tc>
          <w:tcPr>
            <w:tcW w:w="456" w:type="pct"/>
            <w:noWrap/>
            <w:tcMar>
              <w:top w:w="15" w:type="dxa"/>
              <w:left w:w="15" w:type="dxa"/>
              <w:bottom w:w="0" w:type="dxa"/>
              <w:right w:w="15" w:type="dxa"/>
            </w:tcMar>
            <w:vAlign w:val="bottom"/>
          </w:tcPr>
          <w:p w14:paraId="645EF321" w14:textId="77777777" w:rsidR="00A67FD6" w:rsidRPr="00471CBA" w:rsidRDefault="00A67FD6" w:rsidP="00F36B82">
            <w:pPr>
              <w:ind w:right="55"/>
              <w:jc w:val="right"/>
              <w:rPr>
                <w:sz w:val="16"/>
                <w:szCs w:val="16"/>
              </w:rPr>
            </w:pPr>
            <w:r w:rsidRPr="00471CBA">
              <w:rPr>
                <w:sz w:val="16"/>
                <w:szCs w:val="16"/>
              </w:rPr>
              <w:t>-</w:t>
            </w:r>
          </w:p>
        </w:tc>
        <w:tc>
          <w:tcPr>
            <w:tcW w:w="442" w:type="pct"/>
            <w:vAlign w:val="bottom"/>
          </w:tcPr>
          <w:p w14:paraId="29A22E78" w14:textId="77777777" w:rsidR="00A67FD6" w:rsidRPr="00471CBA" w:rsidRDefault="00A67FD6" w:rsidP="00F36B82">
            <w:pPr>
              <w:ind w:right="55"/>
              <w:jc w:val="right"/>
              <w:rPr>
                <w:sz w:val="16"/>
                <w:szCs w:val="16"/>
              </w:rPr>
            </w:pPr>
            <w:r w:rsidRPr="00471CBA">
              <w:rPr>
                <w:sz w:val="16"/>
                <w:szCs w:val="16"/>
              </w:rPr>
              <w:t>-</w:t>
            </w:r>
          </w:p>
        </w:tc>
        <w:tc>
          <w:tcPr>
            <w:tcW w:w="539" w:type="pct"/>
            <w:vAlign w:val="bottom"/>
          </w:tcPr>
          <w:p w14:paraId="4DDD74F4" w14:textId="77777777" w:rsidR="00A67FD6" w:rsidRPr="00471CBA" w:rsidRDefault="00A67FD6" w:rsidP="00F36B82">
            <w:pPr>
              <w:ind w:right="55"/>
              <w:jc w:val="right"/>
              <w:rPr>
                <w:sz w:val="16"/>
                <w:szCs w:val="16"/>
              </w:rPr>
            </w:pPr>
            <w:r w:rsidRPr="00471CBA">
              <w:rPr>
                <w:sz w:val="16"/>
                <w:szCs w:val="16"/>
              </w:rPr>
              <w:t>-</w:t>
            </w:r>
          </w:p>
        </w:tc>
        <w:tc>
          <w:tcPr>
            <w:tcW w:w="505" w:type="pct"/>
            <w:noWrap/>
            <w:tcMar>
              <w:top w:w="15" w:type="dxa"/>
              <w:left w:w="15" w:type="dxa"/>
              <w:bottom w:w="0" w:type="dxa"/>
              <w:right w:w="15" w:type="dxa"/>
            </w:tcMar>
            <w:vAlign w:val="bottom"/>
          </w:tcPr>
          <w:p w14:paraId="43DC99CB" w14:textId="77777777" w:rsidR="00A67FD6" w:rsidRPr="00471CBA" w:rsidRDefault="00A67FD6" w:rsidP="00F36B82">
            <w:pPr>
              <w:ind w:right="55"/>
              <w:jc w:val="right"/>
              <w:rPr>
                <w:sz w:val="16"/>
                <w:szCs w:val="16"/>
              </w:rPr>
            </w:pPr>
            <w:r w:rsidRPr="00471CBA">
              <w:rPr>
                <w:sz w:val="16"/>
                <w:szCs w:val="16"/>
              </w:rPr>
              <w:t>-</w:t>
            </w:r>
          </w:p>
        </w:tc>
      </w:tr>
      <w:tr w:rsidR="00A67FD6" w:rsidRPr="00471CBA" w14:paraId="521BA4B1" w14:textId="77777777" w:rsidTr="00B0049C">
        <w:trPr>
          <w:cantSplit/>
          <w:trHeight w:val="24"/>
        </w:trPr>
        <w:tc>
          <w:tcPr>
            <w:tcW w:w="1749" w:type="pct"/>
            <w:noWrap/>
            <w:tcMar>
              <w:top w:w="15" w:type="dxa"/>
              <w:left w:w="15" w:type="dxa"/>
              <w:bottom w:w="0" w:type="dxa"/>
              <w:right w:w="15" w:type="dxa"/>
            </w:tcMar>
            <w:vAlign w:val="center"/>
          </w:tcPr>
          <w:p w14:paraId="337EAFF0" w14:textId="77777777" w:rsidR="00A67FD6" w:rsidRPr="00471CBA" w:rsidRDefault="00A67FD6" w:rsidP="00B0049C">
            <w:pPr>
              <w:ind w:left="240"/>
              <w:jc w:val="both"/>
              <w:rPr>
                <w:iCs/>
                <w:sz w:val="16"/>
                <w:szCs w:val="16"/>
              </w:rPr>
            </w:pPr>
            <w:r w:rsidRPr="00471CBA">
              <w:rPr>
                <w:iCs/>
                <w:sz w:val="16"/>
                <w:szCs w:val="16"/>
              </w:rPr>
              <w:t>Transferler</w:t>
            </w:r>
          </w:p>
        </w:tc>
        <w:tc>
          <w:tcPr>
            <w:tcW w:w="716" w:type="pct"/>
            <w:noWrap/>
            <w:tcMar>
              <w:top w:w="15" w:type="dxa"/>
              <w:left w:w="15" w:type="dxa"/>
              <w:bottom w:w="0" w:type="dxa"/>
              <w:right w:w="15" w:type="dxa"/>
            </w:tcMar>
            <w:vAlign w:val="bottom"/>
          </w:tcPr>
          <w:p w14:paraId="1E306AA0" w14:textId="77777777" w:rsidR="00A67FD6" w:rsidRPr="00471CBA" w:rsidRDefault="00A67FD6" w:rsidP="00F36B82">
            <w:pPr>
              <w:ind w:right="55"/>
              <w:jc w:val="right"/>
              <w:rPr>
                <w:sz w:val="16"/>
                <w:szCs w:val="16"/>
              </w:rPr>
            </w:pPr>
            <w:r w:rsidRPr="00471CBA">
              <w:rPr>
                <w:sz w:val="16"/>
                <w:szCs w:val="16"/>
              </w:rPr>
              <w:t>-</w:t>
            </w:r>
          </w:p>
        </w:tc>
        <w:tc>
          <w:tcPr>
            <w:tcW w:w="593" w:type="pct"/>
            <w:vAlign w:val="bottom"/>
          </w:tcPr>
          <w:p w14:paraId="42773256" w14:textId="77777777" w:rsidR="00A67FD6" w:rsidRPr="00471CBA" w:rsidRDefault="00A67FD6" w:rsidP="00F36B82">
            <w:pPr>
              <w:ind w:right="55"/>
              <w:jc w:val="right"/>
              <w:rPr>
                <w:sz w:val="16"/>
                <w:szCs w:val="16"/>
              </w:rPr>
            </w:pPr>
            <w:r w:rsidRPr="00471CBA">
              <w:rPr>
                <w:sz w:val="16"/>
                <w:szCs w:val="16"/>
              </w:rPr>
              <w:t>-</w:t>
            </w:r>
          </w:p>
        </w:tc>
        <w:tc>
          <w:tcPr>
            <w:tcW w:w="456" w:type="pct"/>
            <w:noWrap/>
            <w:tcMar>
              <w:top w:w="15" w:type="dxa"/>
              <w:left w:w="15" w:type="dxa"/>
              <w:bottom w:w="0" w:type="dxa"/>
              <w:right w:w="15" w:type="dxa"/>
            </w:tcMar>
            <w:vAlign w:val="bottom"/>
          </w:tcPr>
          <w:p w14:paraId="71D2E3E5" w14:textId="77777777" w:rsidR="00A67FD6" w:rsidRPr="00471CBA" w:rsidRDefault="00A67FD6" w:rsidP="00F36B82">
            <w:pPr>
              <w:ind w:right="55"/>
              <w:jc w:val="right"/>
              <w:rPr>
                <w:sz w:val="16"/>
                <w:szCs w:val="16"/>
              </w:rPr>
            </w:pPr>
            <w:r w:rsidRPr="00471CBA">
              <w:rPr>
                <w:sz w:val="16"/>
                <w:szCs w:val="16"/>
              </w:rPr>
              <w:t>-</w:t>
            </w:r>
          </w:p>
        </w:tc>
        <w:tc>
          <w:tcPr>
            <w:tcW w:w="442" w:type="pct"/>
            <w:vAlign w:val="bottom"/>
          </w:tcPr>
          <w:p w14:paraId="427DB7D6" w14:textId="77777777" w:rsidR="00A67FD6" w:rsidRPr="00471CBA" w:rsidRDefault="00A67FD6" w:rsidP="00F36B82">
            <w:pPr>
              <w:ind w:right="55"/>
              <w:jc w:val="right"/>
              <w:rPr>
                <w:sz w:val="16"/>
                <w:szCs w:val="16"/>
              </w:rPr>
            </w:pPr>
            <w:r w:rsidRPr="00471CBA">
              <w:rPr>
                <w:sz w:val="16"/>
                <w:szCs w:val="16"/>
              </w:rPr>
              <w:t>-</w:t>
            </w:r>
          </w:p>
        </w:tc>
        <w:tc>
          <w:tcPr>
            <w:tcW w:w="539" w:type="pct"/>
            <w:vAlign w:val="bottom"/>
          </w:tcPr>
          <w:p w14:paraId="6C025917" w14:textId="77777777" w:rsidR="00A67FD6" w:rsidRPr="00471CBA" w:rsidRDefault="00A67FD6" w:rsidP="00F36B82">
            <w:pPr>
              <w:ind w:right="55"/>
              <w:jc w:val="right"/>
              <w:rPr>
                <w:sz w:val="16"/>
                <w:szCs w:val="16"/>
              </w:rPr>
            </w:pPr>
            <w:r w:rsidRPr="00471CBA">
              <w:rPr>
                <w:sz w:val="16"/>
                <w:szCs w:val="16"/>
              </w:rPr>
              <w:t>-</w:t>
            </w:r>
          </w:p>
        </w:tc>
        <w:tc>
          <w:tcPr>
            <w:tcW w:w="505" w:type="pct"/>
            <w:noWrap/>
            <w:tcMar>
              <w:top w:w="15" w:type="dxa"/>
              <w:left w:w="15" w:type="dxa"/>
              <w:bottom w:w="0" w:type="dxa"/>
              <w:right w:w="15" w:type="dxa"/>
            </w:tcMar>
            <w:vAlign w:val="bottom"/>
          </w:tcPr>
          <w:p w14:paraId="3120CB15" w14:textId="77777777" w:rsidR="00A67FD6" w:rsidRPr="00471CBA" w:rsidRDefault="00A67FD6" w:rsidP="00F36B82">
            <w:pPr>
              <w:ind w:right="55"/>
              <w:jc w:val="right"/>
              <w:rPr>
                <w:sz w:val="16"/>
                <w:szCs w:val="16"/>
              </w:rPr>
            </w:pPr>
            <w:r w:rsidRPr="00471CBA">
              <w:rPr>
                <w:sz w:val="16"/>
                <w:szCs w:val="16"/>
              </w:rPr>
              <w:t>-</w:t>
            </w:r>
          </w:p>
        </w:tc>
      </w:tr>
      <w:tr w:rsidR="00A67FD6" w:rsidRPr="00471CBA" w14:paraId="7D160370" w14:textId="77777777" w:rsidTr="00B0049C">
        <w:trPr>
          <w:cantSplit/>
          <w:trHeight w:val="24"/>
        </w:trPr>
        <w:tc>
          <w:tcPr>
            <w:tcW w:w="1749" w:type="pct"/>
            <w:noWrap/>
            <w:tcMar>
              <w:top w:w="15" w:type="dxa"/>
              <w:left w:w="15" w:type="dxa"/>
              <w:bottom w:w="0" w:type="dxa"/>
              <w:right w:w="15" w:type="dxa"/>
            </w:tcMar>
            <w:vAlign w:val="center"/>
          </w:tcPr>
          <w:p w14:paraId="0989FFC2" w14:textId="77777777" w:rsidR="00A67FD6" w:rsidRPr="00471CBA" w:rsidRDefault="00A67FD6" w:rsidP="00B0049C">
            <w:pPr>
              <w:ind w:left="240"/>
              <w:jc w:val="both"/>
              <w:rPr>
                <w:b/>
                <w:iCs/>
                <w:sz w:val="16"/>
                <w:szCs w:val="16"/>
              </w:rPr>
            </w:pPr>
            <w:r w:rsidRPr="00471CBA">
              <w:rPr>
                <w:rFonts w:eastAsia="Arial Unicode MS"/>
                <w:b/>
                <w:iCs/>
                <w:sz w:val="16"/>
                <w:szCs w:val="16"/>
              </w:rPr>
              <w:t xml:space="preserve">Dönem sonu bakiyesi: </w:t>
            </w:r>
            <w:r w:rsidRPr="00471CBA">
              <w:rPr>
                <w:rFonts w:eastAsia="Arial Unicode MS"/>
                <w:b/>
                <w:sz w:val="16"/>
                <w:szCs w:val="16"/>
              </w:rPr>
              <w:t>31 Aralık 2024</w:t>
            </w:r>
          </w:p>
        </w:tc>
        <w:tc>
          <w:tcPr>
            <w:tcW w:w="716" w:type="pct"/>
            <w:noWrap/>
            <w:tcMar>
              <w:top w:w="15" w:type="dxa"/>
              <w:left w:w="15" w:type="dxa"/>
              <w:bottom w:w="0" w:type="dxa"/>
              <w:right w:w="15" w:type="dxa"/>
            </w:tcMar>
            <w:vAlign w:val="bottom"/>
          </w:tcPr>
          <w:p w14:paraId="0E2566B5" w14:textId="77777777" w:rsidR="00A67FD6" w:rsidRPr="00471CBA" w:rsidRDefault="00A67FD6" w:rsidP="00F36B82">
            <w:pPr>
              <w:ind w:right="55"/>
              <w:jc w:val="right"/>
              <w:rPr>
                <w:b/>
                <w:sz w:val="16"/>
                <w:szCs w:val="16"/>
              </w:rPr>
            </w:pPr>
            <w:r w:rsidRPr="00471CBA">
              <w:rPr>
                <w:b/>
                <w:sz w:val="16"/>
                <w:szCs w:val="16"/>
              </w:rPr>
              <w:t>128.331</w:t>
            </w:r>
          </w:p>
        </w:tc>
        <w:tc>
          <w:tcPr>
            <w:tcW w:w="593" w:type="pct"/>
            <w:vAlign w:val="bottom"/>
          </w:tcPr>
          <w:p w14:paraId="4BE1EE31" w14:textId="77777777" w:rsidR="00A67FD6" w:rsidRPr="00471CBA" w:rsidRDefault="00A67FD6" w:rsidP="00F36B82">
            <w:pPr>
              <w:ind w:right="55"/>
              <w:jc w:val="right"/>
              <w:rPr>
                <w:b/>
                <w:sz w:val="16"/>
                <w:szCs w:val="16"/>
              </w:rPr>
            </w:pPr>
            <w:r w:rsidRPr="00471CBA">
              <w:rPr>
                <w:b/>
                <w:sz w:val="16"/>
                <w:szCs w:val="16"/>
              </w:rPr>
              <w:t>-</w:t>
            </w:r>
          </w:p>
        </w:tc>
        <w:tc>
          <w:tcPr>
            <w:tcW w:w="456" w:type="pct"/>
            <w:noWrap/>
            <w:tcMar>
              <w:top w:w="15" w:type="dxa"/>
              <w:left w:w="15" w:type="dxa"/>
              <w:bottom w:w="0" w:type="dxa"/>
              <w:right w:w="15" w:type="dxa"/>
            </w:tcMar>
            <w:vAlign w:val="bottom"/>
          </w:tcPr>
          <w:p w14:paraId="357BAFBC" w14:textId="77777777" w:rsidR="00A67FD6" w:rsidRPr="00471CBA" w:rsidRDefault="00A67FD6" w:rsidP="00F36B82">
            <w:pPr>
              <w:ind w:right="55"/>
              <w:jc w:val="right"/>
              <w:rPr>
                <w:b/>
                <w:sz w:val="16"/>
                <w:szCs w:val="16"/>
              </w:rPr>
            </w:pPr>
            <w:r w:rsidRPr="00471CBA">
              <w:rPr>
                <w:b/>
                <w:sz w:val="16"/>
                <w:szCs w:val="16"/>
              </w:rPr>
              <w:t>-</w:t>
            </w:r>
          </w:p>
        </w:tc>
        <w:tc>
          <w:tcPr>
            <w:tcW w:w="442" w:type="pct"/>
            <w:vAlign w:val="bottom"/>
          </w:tcPr>
          <w:p w14:paraId="65118248" w14:textId="77777777" w:rsidR="00A67FD6" w:rsidRPr="00471CBA" w:rsidRDefault="00A67FD6" w:rsidP="00F36B82">
            <w:pPr>
              <w:ind w:right="55"/>
              <w:jc w:val="right"/>
              <w:rPr>
                <w:b/>
                <w:sz w:val="16"/>
                <w:szCs w:val="16"/>
              </w:rPr>
            </w:pPr>
            <w:r w:rsidRPr="00471CBA">
              <w:rPr>
                <w:b/>
                <w:sz w:val="16"/>
                <w:szCs w:val="16"/>
              </w:rPr>
              <w:t>438.250</w:t>
            </w:r>
          </w:p>
        </w:tc>
        <w:tc>
          <w:tcPr>
            <w:tcW w:w="539" w:type="pct"/>
            <w:vAlign w:val="bottom"/>
          </w:tcPr>
          <w:p w14:paraId="6BBFECD4" w14:textId="77777777" w:rsidR="00A67FD6" w:rsidRPr="00471CBA" w:rsidRDefault="00A67FD6" w:rsidP="00F36B82">
            <w:pPr>
              <w:ind w:right="55"/>
              <w:jc w:val="right"/>
              <w:rPr>
                <w:b/>
                <w:sz w:val="16"/>
                <w:szCs w:val="16"/>
              </w:rPr>
            </w:pPr>
            <w:r w:rsidRPr="00471CBA">
              <w:rPr>
                <w:b/>
                <w:sz w:val="16"/>
                <w:szCs w:val="16"/>
              </w:rPr>
              <w:t>-</w:t>
            </w:r>
          </w:p>
        </w:tc>
        <w:tc>
          <w:tcPr>
            <w:tcW w:w="505" w:type="pct"/>
            <w:noWrap/>
            <w:tcMar>
              <w:top w:w="15" w:type="dxa"/>
              <w:left w:w="15" w:type="dxa"/>
              <w:bottom w:w="0" w:type="dxa"/>
              <w:right w:w="15" w:type="dxa"/>
            </w:tcMar>
            <w:vAlign w:val="bottom"/>
          </w:tcPr>
          <w:p w14:paraId="3CED77B4" w14:textId="77777777" w:rsidR="00A67FD6" w:rsidRPr="00471CBA" w:rsidRDefault="00A67FD6" w:rsidP="00F36B82">
            <w:pPr>
              <w:ind w:right="55"/>
              <w:jc w:val="right"/>
              <w:rPr>
                <w:b/>
                <w:sz w:val="16"/>
                <w:szCs w:val="16"/>
              </w:rPr>
            </w:pPr>
            <w:r w:rsidRPr="00471CBA">
              <w:rPr>
                <w:b/>
                <w:sz w:val="16"/>
                <w:szCs w:val="16"/>
              </w:rPr>
              <w:t>566.581</w:t>
            </w:r>
          </w:p>
        </w:tc>
      </w:tr>
      <w:tr w:rsidR="00A67FD6" w:rsidRPr="00471CBA" w14:paraId="0E56BCF4" w14:textId="77777777" w:rsidTr="00B0049C">
        <w:trPr>
          <w:cantSplit/>
          <w:trHeight w:val="24"/>
        </w:trPr>
        <w:tc>
          <w:tcPr>
            <w:tcW w:w="1749" w:type="pct"/>
            <w:noWrap/>
            <w:tcMar>
              <w:top w:w="15" w:type="dxa"/>
              <w:left w:w="15" w:type="dxa"/>
              <w:bottom w:w="0" w:type="dxa"/>
              <w:right w:w="15" w:type="dxa"/>
            </w:tcMar>
            <w:vAlign w:val="center"/>
          </w:tcPr>
          <w:p w14:paraId="508ED1BA" w14:textId="77777777" w:rsidR="00A67FD6" w:rsidRPr="00471CBA" w:rsidRDefault="00A67FD6" w:rsidP="00B0049C">
            <w:pPr>
              <w:ind w:left="240"/>
              <w:jc w:val="both"/>
              <w:rPr>
                <w:rFonts w:eastAsia="Arial Unicode MS"/>
                <w:b/>
                <w:iCs/>
                <w:sz w:val="16"/>
                <w:szCs w:val="16"/>
              </w:rPr>
            </w:pPr>
          </w:p>
        </w:tc>
        <w:tc>
          <w:tcPr>
            <w:tcW w:w="716" w:type="pct"/>
            <w:noWrap/>
            <w:tcMar>
              <w:top w:w="15" w:type="dxa"/>
              <w:left w:w="15" w:type="dxa"/>
              <w:bottom w:w="0" w:type="dxa"/>
              <w:right w:w="15" w:type="dxa"/>
            </w:tcMar>
            <w:vAlign w:val="bottom"/>
          </w:tcPr>
          <w:p w14:paraId="1210B818" w14:textId="77777777" w:rsidR="00A67FD6" w:rsidRPr="00471CBA" w:rsidRDefault="00A67FD6" w:rsidP="00F36B82">
            <w:pPr>
              <w:ind w:right="55"/>
              <w:jc w:val="right"/>
              <w:rPr>
                <w:sz w:val="16"/>
                <w:szCs w:val="16"/>
              </w:rPr>
            </w:pPr>
          </w:p>
        </w:tc>
        <w:tc>
          <w:tcPr>
            <w:tcW w:w="593" w:type="pct"/>
            <w:vAlign w:val="bottom"/>
          </w:tcPr>
          <w:p w14:paraId="26733D4C" w14:textId="77777777" w:rsidR="00A67FD6" w:rsidRPr="00471CBA" w:rsidRDefault="00A67FD6" w:rsidP="00F36B82">
            <w:pPr>
              <w:ind w:right="55"/>
              <w:jc w:val="right"/>
              <w:rPr>
                <w:sz w:val="16"/>
                <w:szCs w:val="16"/>
              </w:rPr>
            </w:pPr>
          </w:p>
        </w:tc>
        <w:tc>
          <w:tcPr>
            <w:tcW w:w="456" w:type="pct"/>
            <w:noWrap/>
            <w:tcMar>
              <w:top w:w="15" w:type="dxa"/>
              <w:left w:w="15" w:type="dxa"/>
              <w:bottom w:w="0" w:type="dxa"/>
              <w:right w:w="15" w:type="dxa"/>
            </w:tcMar>
            <w:vAlign w:val="bottom"/>
          </w:tcPr>
          <w:p w14:paraId="2E035883" w14:textId="77777777" w:rsidR="00A67FD6" w:rsidRPr="00471CBA" w:rsidRDefault="00A67FD6" w:rsidP="00F36B82">
            <w:pPr>
              <w:ind w:right="55"/>
              <w:jc w:val="right"/>
              <w:rPr>
                <w:sz w:val="16"/>
                <w:szCs w:val="16"/>
              </w:rPr>
            </w:pPr>
          </w:p>
        </w:tc>
        <w:tc>
          <w:tcPr>
            <w:tcW w:w="442" w:type="pct"/>
            <w:vAlign w:val="bottom"/>
          </w:tcPr>
          <w:p w14:paraId="51677381" w14:textId="77777777" w:rsidR="00A67FD6" w:rsidRPr="00471CBA" w:rsidRDefault="00A67FD6" w:rsidP="00F36B82">
            <w:pPr>
              <w:ind w:right="55"/>
              <w:jc w:val="right"/>
              <w:rPr>
                <w:sz w:val="16"/>
                <w:szCs w:val="16"/>
              </w:rPr>
            </w:pPr>
          </w:p>
        </w:tc>
        <w:tc>
          <w:tcPr>
            <w:tcW w:w="539" w:type="pct"/>
            <w:vAlign w:val="bottom"/>
          </w:tcPr>
          <w:p w14:paraId="08C6F482" w14:textId="77777777" w:rsidR="00A67FD6" w:rsidRPr="00471CBA" w:rsidRDefault="00A67FD6" w:rsidP="00F36B82">
            <w:pPr>
              <w:ind w:right="55"/>
              <w:jc w:val="right"/>
              <w:rPr>
                <w:sz w:val="16"/>
                <w:szCs w:val="16"/>
              </w:rPr>
            </w:pPr>
          </w:p>
        </w:tc>
        <w:tc>
          <w:tcPr>
            <w:tcW w:w="505" w:type="pct"/>
            <w:noWrap/>
            <w:tcMar>
              <w:top w:w="15" w:type="dxa"/>
              <w:left w:w="15" w:type="dxa"/>
              <w:bottom w:w="0" w:type="dxa"/>
              <w:right w:w="15" w:type="dxa"/>
            </w:tcMar>
            <w:vAlign w:val="bottom"/>
          </w:tcPr>
          <w:p w14:paraId="539ECE21" w14:textId="77777777" w:rsidR="00A67FD6" w:rsidRPr="00471CBA" w:rsidRDefault="00A67FD6" w:rsidP="00F36B82">
            <w:pPr>
              <w:ind w:right="55"/>
              <w:jc w:val="right"/>
              <w:rPr>
                <w:sz w:val="16"/>
                <w:szCs w:val="16"/>
              </w:rPr>
            </w:pPr>
          </w:p>
        </w:tc>
      </w:tr>
      <w:tr w:rsidR="00A67FD6" w:rsidRPr="00471CBA" w14:paraId="6D253D6F" w14:textId="77777777" w:rsidTr="00B0049C">
        <w:trPr>
          <w:cantSplit/>
          <w:trHeight w:val="24"/>
        </w:trPr>
        <w:tc>
          <w:tcPr>
            <w:tcW w:w="1749" w:type="pct"/>
            <w:noWrap/>
            <w:tcMar>
              <w:top w:w="15" w:type="dxa"/>
              <w:left w:w="15" w:type="dxa"/>
              <w:bottom w:w="0" w:type="dxa"/>
              <w:right w:w="15" w:type="dxa"/>
            </w:tcMar>
            <w:vAlign w:val="center"/>
          </w:tcPr>
          <w:p w14:paraId="309BA4DF" w14:textId="77777777" w:rsidR="00A67FD6" w:rsidRPr="00471CBA" w:rsidRDefault="00A67FD6" w:rsidP="00B0049C">
            <w:pPr>
              <w:jc w:val="both"/>
              <w:rPr>
                <w:iCs/>
                <w:sz w:val="16"/>
                <w:szCs w:val="16"/>
              </w:rPr>
            </w:pPr>
            <w:r w:rsidRPr="00471CBA">
              <w:rPr>
                <w:b/>
                <w:iCs/>
                <w:sz w:val="16"/>
                <w:szCs w:val="16"/>
              </w:rPr>
              <w:t>Birikmiş Amortisman (-)</w:t>
            </w:r>
          </w:p>
        </w:tc>
        <w:tc>
          <w:tcPr>
            <w:tcW w:w="716" w:type="pct"/>
            <w:noWrap/>
            <w:tcMar>
              <w:top w:w="15" w:type="dxa"/>
              <w:left w:w="15" w:type="dxa"/>
              <w:bottom w:w="0" w:type="dxa"/>
              <w:right w:w="15" w:type="dxa"/>
            </w:tcMar>
            <w:vAlign w:val="bottom"/>
          </w:tcPr>
          <w:p w14:paraId="5E10DCBF" w14:textId="77777777" w:rsidR="00A67FD6" w:rsidRPr="00471CBA" w:rsidRDefault="00A67FD6" w:rsidP="00F36B82">
            <w:pPr>
              <w:ind w:right="55"/>
              <w:jc w:val="right"/>
              <w:rPr>
                <w:sz w:val="16"/>
                <w:szCs w:val="16"/>
              </w:rPr>
            </w:pPr>
          </w:p>
        </w:tc>
        <w:tc>
          <w:tcPr>
            <w:tcW w:w="593" w:type="pct"/>
            <w:vAlign w:val="bottom"/>
          </w:tcPr>
          <w:p w14:paraId="47F16E24" w14:textId="77777777" w:rsidR="00A67FD6" w:rsidRPr="00471CBA" w:rsidRDefault="00A67FD6" w:rsidP="00F36B82">
            <w:pPr>
              <w:ind w:right="55"/>
              <w:jc w:val="right"/>
              <w:rPr>
                <w:sz w:val="16"/>
                <w:szCs w:val="16"/>
              </w:rPr>
            </w:pPr>
          </w:p>
        </w:tc>
        <w:tc>
          <w:tcPr>
            <w:tcW w:w="456" w:type="pct"/>
            <w:noWrap/>
            <w:tcMar>
              <w:top w:w="15" w:type="dxa"/>
              <w:left w:w="15" w:type="dxa"/>
              <w:bottom w:w="0" w:type="dxa"/>
              <w:right w:w="15" w:type="dxa"/>
            </w:tcMar>
            <w:vAlign w:val="bottom"/>
          </w:tcPr>
          <w:p w14:paraId="141B445B" w14:textId="77777777" w:rsidR="00A67FD6" w:rsidRPr="00471CBA" w:rsidRDefault="00A67FD6" w:rsidP="00F36B82">
            <w:pPr>
              <w:ind w:right="55"/>
              <w:jc w:val="right"/>
              <w:rPr>
                <w:sz w:val="16"/>
                <w:szCs w:val="16"/>
              </w:rPr>
            </w:pPr>
          </w:p>
        </w:tc>
        <w:tc>
          <w:tcPr>
            <w:tcW w:w="442" w:type="pct"/>
            <w:vAlign w:val="bottom"/>
          </w:tcPr>
          <w:p w14:paraId="751A1266" w14:textId="77777777" w:rsidR="00A67FD6" w:rsidRPr="00471CBA" w:rsidRDefault="00A67FD6" w:rsidP="00F36B82">
            <w:pPr>
              <w:ind w:right="55"/>
              <w:jc w:val="right"/>
              <w:rPr>
                <w:sz w:val="16"/>
                <w:szCs w:val="16"/>
              </w:rPr>
            </w:pPr>
          </w:p>
        </w:tc>
        <w:tc>
          <w:tcPr>
            <w:tcW w:w="539" w:type="pct"/>
            <w:vAlign w:val="bottom"/>
          </w:tcPr>
          <w:p w14:paraId="0440CDDE" w14:textId="77777777" w:rsidR="00A67FD6" w:rsidRPr="00471CBA" w:rsidRDefault="00A67FD6" w:rsidP="00F36B82">
            <w:pPr>
              <w:ind w:right="55"/>
              <w:jc w:val="right"/>
              <w:rPr>
                <w:sz w:val="16"/>
                <w:szCs w:val="16"/>
              </w:rPr>
            </w:pPr>
          </w:p>
        </w:tc>
        <w:tc>
          <w:tcPr>
            <w:tcW w:w="505" w:type="pct"/>
            <w:noWrap/>
            <w:tcMar>
              <w:top w:w="15" w:type="dxa"/>
              <w:left w:w="15" w:type="dxa"/>
              <w:bottom w:w="0" w:type="dxa"/>
              <w:right w:w="15" w:type="dxa"/>
            </w:tcMar>
            <w:vAlign w:val="bottom"/>
          </w:tcPr>
          <w:p w14:paraId="45266609" w14:textId="77777777" w:rsidR="00A67FD6" w:rsidRPr="00471CBA" w:rsidRDefault="00A67FD6" w:rsidP="00F36B82">
            <w:pPr>
              <w:ind w:right="55"/>
              <w:jc w:val="right"/>
              <w:rPr>
                <w:sz w:val="16"/>
                <w:szCs w:val="16"/>
              </w:rPr>
            </w:pPr>
          </w:p>
        </w:tc>
      </w:tr>
      <w:tr w:rsidR="00A67FD6" w:rsidRPr="00471CBA" w14:paraId="5CBD6B4C" w14:textId="77777777" w:rsidTr="00B0049C">
        <w:trPr>
          <w:cantSplit/>
          <w:trHeight w:val="24"/>
        </w:trPr>
        <w:tc>
          <w:tcPr>
            <w:tcW w:w="1749" w:type="pct"/>
            <w:noWrap/>
            <w:tcMar>
              <w:top w:w="15" w:type="dxa"/>
              <w:left w:w="15" w:type="dxa"/>
              <w:bottom w:w="0" w:type="dxa"/>
              <w:right w:w="15" w:type="dxa"/>
            </w:tcMar>
            <w:vAlign w:val="center"/>
          </w:tcPr>
          <w:p w14:paraId="48B2C72E" w14:textId="77777777" w:rsidR="00A67FD6" w:rsidRPr="00471CBA" w:rsidRDefault="00A67FD6" w:rsidP="00B0049C">
            <w:pPr>
              <w:ind w:left="240"/>
              <w:jc w:val="both"/>
              <w:rPr>
                <w:rFonts w:eastAsia="Arial Unicode MS"/>
                <w:b/>
                <w:iCs/>
                <w:sz w:val="16"/>
                <w:szCs w:val="16"/>
              </w:rPr>
            </w:pPr>
            <w:r w:rsidRPr="00471CBA">
              <w:rPr>
                <w:rFonts w:eastAsia="Arial Unicode MS"/>
                <w:b/>
                <w:iCs/>
                <w:sz w:val="16"/>
                <w:szCs w:val="16"/>
              </w:rPr>
              <w:t xml:space="preserve">Dönem başı bakiyesi: </w:t>
            </w:r>
            <w:r w:rsidRPr="00471CBA">
              <w:rPr>
                <w:rFonts w:eastAsia="Arial Unicode MS"/>
                <w:b/>
                <w:sz w:val="16"/>
                <w:szCs w:val="16"/>
              </w:rPr>
              <w:t>1 Ocak 2024</w:t>
            </w:r>
          </w:p>
        </w:tc>
        <w:tc>
          <w:tcPr>
            <w:tcW w:w="716" w:type="pct"/>
            <w:noWrap/>
            <w:tcMar>
              <w:top w:w="15" w:type="dxa"/>
              <w:left w:w="15" w:type="dxa"/>
              <w:bottom w:w="0" w:type="dxa"/>
              <w:right w:w="15" w:type="dxa"/>
            </w:tcMar>
            <w:vAlign w:val="bottom"/>
          </w:tcPr>
          <w:p w14:paraId="0D90134B" w14:textId="77777777" w:rsidR="00A67FD6" w:rsidRPr="00471CBA" w:rsidRDefault="00A67FD6" w:rsidP="00F36B82">
            <w:pPr>
              <w:ind w:right="55"/>
              <w:jc w:val="right"/>
              <w:rPr>
                <w:b/>
                <w:sz w:val="16"/>
                <w:szCs w:val="16"/>
              </w:rPr>
            </w:pPr>
            <w:r w:rsidRPr="00471CBA">
              <w:rPr>
                <w:b/>
                <w:sz w:val="16"/>
                <w:szCs w:val="16"/>
              </w:rPr>
              <w:t>4.266</w:t>
            </w:r>
          </w:p>
        </w:tc>
        <w:tc>
          <w:tcPr>
            <w:tcW w:w="593" w:type="pct"/>
            <w:vAlign w:val="bottom"/>
          </w:tcPr>
          <w:p w14:paraId="6B40E714" w14:textId="77777777" w:rsidR="00A67FD6" w:rsidRPr="00471CBA" w:rsidRDefault="00A67FD6" w:rsidP="00F36B82">
            <w:pPr>
              <w:ind w:right="55"/>
              <w:jc w:val="right"/>
              <w:rPr>
                <w:b/>
                <w:sz w:val="16"/>
                <w:szCs w:val="16"/>
              </w:rPr>
            </w:pPr>
            <w:r w:rsidRPr="00471CBA">
              <w:rPr>
                <w:b/>
                <w:sz w:val="16"/>
                <w:szCs w:val="16"/>
              </w:rPr>
              <w:t>-</w:t>
            </w:r>
          </w:p>
        </w:tc>
        <w:tc>
          <w:tcPr>
            <w:tcW w:w="456" w:type="pct"/>
            <w:noWrap/>
            <w:tcMar>
              <w:top w:w="15" w:type="dxa"/>
              <w:left w:w="15" w:type="dxa"/>
              <w:bottom w:w="0" w:type="dxa"/>
              <w:right w:w="15" w:type="dxa"/>
            </w:tcMar>
            <w:vAlign w:val="bottom"/>
          </w:tcPr>
          <w:p w14:paraId="33EDEB5E" w14:textId="77777777" w:rsidR="00A67FD6" w:rsidRPr="00471CBA" w:rsidRDefault="00A67FD6" w:rsidP="00F36B82">
            <w:pPr>
              <w:ind w:right="55"/>
              <w:jc w:val="right"/>
              <w:rPr>
                <w:b/>
                <w:sz w:val="16"/>
                <w:szCs w:val="16"/>
              </w:rPr>
            </w:pPr>
            <w:r w:rsidRPr="00471CBA">
              <w:rPr>
                <w:b/>
                <w:sz w:val="16"/>
                <w:szCs w:val="16"/>
              </w:rPr>
              <w:t>-</w:t>
            </w:r>
          </w:p>
        </w:tc>
        <w:tc>
          <w:tcPr>
            <w:tcW w:w="442" w:type="pct"/>
            <w:vAlign w:val="bottom"/>
          </w:tcPr>
          <w:p w14:paraId="496B4DCA" w14:textId="77777777" w:rsidR="00A67FD6" w:rsidRPr="00471CBA" w:rsidRDefault="00A67FD6" w:rsidP="00F36B82">
            <w:pPr>
              <w:ind w:right="55"/>
              <w:jc w:val="right"/>
              <w:rPr>
                <w:b/>
                <w:sz w:val="16"/>
                <w:szCs w:val="16"/>
              </w:rPr>
            </w:pPr>
            <w:r w:rsidRPr="00471CBA">
              <w:rPr>
                <w:b/>
                <w:sz w:val="16"/>
                <w:szCs w:val="16"/>
              </w:rPr>
              <w:t>2.867</w:t>
            </w:r>
          </w:p>
        </w:tc>
        <w:tc>
          <w:tcPr>
            <w:tcW w:w="539" w:type="pct"/>
            <w:vAlign w:val="bottom"/>
          </w:tcPr>
          <w:p w14:paraId="349413A7" w14:textId="77777777" w:rsidR="00A67FD6" w:rsidRPr="00471CBA" w:rsidRDefault="00A67FD6" w:rsidP="00F36B82">
            <w:pPr>
              <w:ind w:right="55"/>
              <w:jc w:val="right"/>
              <w:rPr>
                <w:b/>
                <w:sz w:val="16"/>
                <w:szCs w:val="16"/>
              </w:rPr>
            </w:pPr>
            <w:r w:rsidRPr="00471CBA">
              <w:rPr>
                <w:b/>
                <w:sz w:val="16"/>
                <w:szCs w:val="16"/>
              </w:rPr>
              <w:t>-</w:t>
            </w:r>
          </w:p>
        </w:tc>
        <w:tc>
          <w:tcPr>
            <w:tcW w:w="505" w:type="pct"/>
            <w:noWrap/>
            <w:tcMar>
              <w:top w:w="15" w:type="dxa"/>
              <w:left w:w="15" w:type="dxa"/>
              <w:bottom w:w="0" w:type="dxa"/>
              <w:right w:w="15" w:type="dxa"/>
            </w:tcMar>
            <w:vAlign w:val="bottom"/>
          </w:tcPr>
          <w:p w14:paraId="2FC2BC45" w14:textId="77777777" w:rsidR="00A67FD6" w:rsidRPr="00471CBA" w:rsidRDefault="00A67FD6" w:rsidP="00F36B82">
            <w:pPr>
              <w:ind w:right="55"/>
              <w:jc w:val="right"/>
              <w:rPr>
                <w:b/>
                <w:sz w:val="16"/>
                <w:szCs w:val="16"/>
              </w:rPr>
            </w:pPr>
            <w:r w:rsidRPr="00471CBA">
              <w:rPr>
                <w:b/>
                <w:sz w:val="16"/>
                <w:szCs w:val="16"/>
              </w:rPr>
              <w:t>7.133</w:t>
            </w:r>
          </w:p>
        </w:tc>
      </w:tr>
      <w:tr w:rsidR="00A67FD6" w:rsidRPr="00471CBA" w14:paraId="49FB1FEA" w14:textId="77777777" w:rsidTr="00B0049C">
        <w:trPr>
          <w:cantSplit/>
          <w:trHeight w:val="24"/>
        </w:trPr>
        <w:tc>
          <w:tcPr>
            <w:tcW w:w="1749" w:type="pct"/>
            <w:noWrap/>
            <w:tcMar>
              <w:top w:w="15" w:type="dxa"/>
              <w:left w:w="15" w:type="dxa"/>
              <w:bottom w:w="0" w:type="dxa"/>
              <w:right w:w="15" w:type="dxa"/>
            </w:tcMar>
            <w:vAlign w:val="center"/>
          </w:tcPr>
          <w:p w14:paraId="69CA2058" w14:textId="77777777" w:rsidR="00A67FD6" w:rsidRPr="00471CBA" w:rsidRDefault="00A67FD6" w:rsidP="00B0049C">
            <w:pPr>
              <w:ind w:left="240"/>
              <w:jc w:val="both"/>
              <w:rPr>
                <w:rFonts w:eastAsia="Arial Unicode MS"/>
                <w:iCs/>
                <w:sz w:val="16"/>
                <w:szCs w:val="16"/>
              </w:rPr>
            </w:pPr>
            <w:r w:rsidRPr="00471CBA">
              <w:rPr>
                <w:iCs/>
                <w:sz w:val="16"/>
                <w:szCs w:val="16"/>
              </w:rPr>
              <w:t>Cari dönem amortisman gideri</w:t>
            </w:r>
          </w:p>
        </w:tc>
        <w:tc>
          <w:tcPr>
            <w:tcW w:w="716" w:type="pct"/>
            <w:noWrap/>
            <w:tcMar>
              <w:top w:w="15" w:type="dxa"/>
              <w:left w:w="15" w:type="dxa"/>
              <w:bottom w:w="0" w:type="dxa"/>
              <w:right w:w="15" w:type="dxa"/>
            </w:tcMar>
            <w:vAlign w:val="bottom"/>
          </w:tcPr>
          <w:p w14:paraId="0A47B2BA" w14:textId="77777777" w:rsidR="00A67FD6" w:rsidRPr="00471CBA" w:rsidRDefault="00A67FD6" w:rsidP="00F36B82">
            <w:pPr>
              <w:ind w:right="55"/>
              <w:jc w:val="right"/>
              <w:rPr>
                <w:sz w:val="16"/>
                <w:szCs w:val="16"/>
              </w:rPr>
            </w:pPr>
            <w:r w:rsidRPr="00471CBA">
              <w:rPr>
                <w:sz w:val="16"/>
                <w:szCs w:val="16"/>
              </w:rPr>
              <w:t>8.415</w:t>
            </w:r>
          </w:p>
        </w:tc>
        <w:tc>
          <w:tcPr>
            <w:tcW w:w="593" w:type="pct"/>
            <w:vAlign w:val="bottom"/>
          </w:tcPr>
          <w:p w14:paraId="7BA04C7A" w14:textId="77777777" w:rsidR="00A67FD6" w:rsidRPr="00471CBA" w:rsidRDefault="00A67FD6" w:rsidP="00F36B82">
            <w:pPr>
              <w:ind w:right="55"/>
              <w:jc w:val="right"/>
              <w:rPr>
                <w:sz w:val="16"/>
                <w:szCs w:val="16"/>
              </w:rPr>
            </w:pPr>
            <w:r w:rsidRPr="00471CBA">
              <w:rPr>
                <w:sz w:val="16"/>
                <w:szCs w:val="16"/>
              </w:rPr>
              <w:t>-</w:t>
            </w:r>
          </w:p>
        </w:tc>
        <w:tc>
          <w:tcPr>
            <w:tcW w:w="456" w:type="pct"/>
            <w:noWrap/>
            <w:tcMar>
              <w:top w:w="15" w:type="dxa"/>
              <w:left w:w="15" w:type="dxa"/>
              <w:bottom w:w="0" w:type="dxa"/>
              <w:right w:w="15" w:type="dxa"/>
            </w:tcMar>
            <w:vAlign w:val="bottom"/>
          </w:tcPr>
          <w:p w14:paraId="4FA2EC64" w14:textId="77777777" w:rsidR="00A67FD6" w:rsidRPr="00471CBA" w:rsidRDefault="00A67FD6" w:rsidP="00F36B82">
            <w:pPr>
              <w:ind w:right="55"/>
              <w:jc w:val="right"/>
              <w:rPr>
                <w:sz w:val="16"/>
                <w:szCs w:val="16"/>
              </w:rPr>
            </w:pPr>
            <w:r w:rsidRPr="00471CBA">
              <w:rPr>
                <w:sz w:val="16"/>
                <w:szCs w:val="16"/>
              </w:rPr>
              <w:t>-</w:t>
            </w:r>
          </w:p>
        </w:tc>
        <w:tc>
          <w:tcPr>
            <w:tcW w:w="442" w:type="pct"/>
            <w:vAlign w:val="bottom"/>
          </w:tcPr>
          <w:p w14:paraId="38538CC6" w14:textId="77777777" w:rsidR="00A67FD6" w:rsidRPr="00471CBA" w:rsidRDefault="00A67FD6" w:rsidP="00F36B82">
            <w:pPr>
              <w:ind w:right="55"/>
              <w:jc w:val="right"/>
              <w:rPr>
                <w:sz w:val="16"/>
                <w:szCs w:val="16"/>
              </w:rPr>
            </w:pPr>
            <w:r w:rsidRPr="00471CBA">
              <w:rPr>
                <w:sz w:val="16"/>
                <w:szCs w:val="16"/>
              </w:rPr>
              <w:t>60.187</w:t>
            </w:r>
          </w:p>
        </w:tc>
        <w:tc>
          <w:tcPr>
            <w:tcW w:w="539" w:type="pct"/>
            <w:vAlign w:val="bottom"/>
          </w:tcPr>
          <w:p w14:paraId="784C569A" w14:textId="77777777" w:rsidR="00A67FD6" w:rsidRPr="00471CBA" w:rsidRDefault="00A67FD6" w:rsidP="00F36B82">
            <w:pPr>
              <w:ind w:right="55"/>
              <w:jc w:val="right"/>
              <w:rPr>
                <w:sz w:val="16"/>
                <w:szCs w:val="16"/>
              </w:rPr>
            </w:pPr>
            <w:r w:rsidRPr="00471CBA">
              <w:rPr>
                <w:sz w:val="16"/>
                <w:szCs w:val="16"/>
              </w:rPr>
              <w:t>-</w:t>
            </w:r>
          </w:p>
        </w:tc>
        <w:tc>
          <w:tcPr>
            <w:tcW w:w="505" w:type="pct"/>
            <w:noWrap/>
            <w:tcMar>
              <w:top w:w="15" w:type="dxa"/>
              <w:left w:w="15" w:type="dxa"/>
              <w:bottom w:w="0" w:type="dxa"/>
              <w:right w:w="15" w:type="dxa"/>
            </w:tcMar>
            <w:vAlign w:val="bottom"/>
          </w:tcPr>
          <w:p w14:paraId="23A34783" w14:textId="77777777" w:rsidR="00A67FD6" w:rsidRPr="00471CBA" w:rsidRDefault="00A67FD6" w:rsidP="00F36B82">
            <w:pPr>
              <w:ind w:right="55"/>
              <w:jc w:val="right"/>
              <w:rPr>
                <w:sz w:val="16"/>
                <w:szCs w:val="16"/>
              </w:rPr>
            </w:pPr>
            <w:r w:rsidRPr="00471CBA">
              <w:rPr>
                <w:sz w:val="16"/>
                <w:szCs w:val="16"/>
              </w:rPr>
              <w:t>68.602</w:t>
            </w:r>
          </w:p>
        </w:tc>
      </w:tr>
      <w:tr w:rsidR="00A67FD6" w:rsidRPr="00471CBA" w14:paraId="5C377B85" w14:textId="77777777" w:rsidTr="00B0049C">
        <w:trPr>
          <w:cantSplit/>
          <w:trHeight w:val="24"/>
        </w:trPr>
        <w:tc>
          <w:tcPr>
            <w:tcW w:w="1749" w:type="pct"/>
            <w:noWrap/>
            <w:tcMar>
              <w:top w:w="15" w:type="dxa"/>
              <w:left w:w="15" w:type="dxa"/>
              <w:bottom w:w="0" w:type="dxa"/>
              <w:right w:w="15" w:type="dxa"/>
            </w:tcMar>
            <w:vAlign w:val="center"/>
          </w:tcPr>
          <w:p w14:paraId="42043E1B" w14:textId="77777777" w:rsidR="00A67FD6" w:rsidRPr="00471CBA" w:rsidRDefault="00A67FD6" w:rsidP="00B0049C">
            <w:pPr>
              <w:ind w:left="240"/>
              <w:jc w:val="both"/>
              <w:rPr>
                <w:rFonts w:eastAsia="Arial Unicode MS"/>
                <w:iCs/>
                <w:sz w:val="16"/>
                <w:szCs w:val="16"/>
              </w:rPr>
            </w:pPr>
            <w:r w:rsidRPr="00471CBA">
              <w:rPr>
                <w:iCs/>
                <w:sz w:val="16"/>
                <w:szCs w:val="16"/>
              </w:rPr>
              <w:t>Elden çıkarılanlara ait amortisman iptali</w:t>
            </w:r>
          </w:p>
        </w:tc>
        <w:tc>
          <w:tcPr>
            <w:tcW w:w="716" w:type="pct"/>
            <w:noWrap/>
            <w:tcMar>
              <w:top w:w="15" w:type="dxa"/>
              <w:left w:w="15" w:type="dxa"/>
              <w:bottom w:w="0" w:type="dxa"/>
              <w:right w:w="15" w:type="dxa"/>
            </w:tcMar>
            <w:vAlign w:val="bottom"/>
          </w:tcPr>
          <w:p w14:paraId="37CF7371" w14:textId="77777777" w:rsidR="00A67FD6" w:rsidRPr="00471CBA" w:rsidRDefault="00A67FD6" w:rsidP="00F36B82">
            <w:pPr>
              <w:ind w:right="55"/>
              <w:jc w:val="right"/>
              <w:rPr>
                <w:sz w:val="16"/>
                <w:szCs w:val="16"/>
              </w:rPr>
            </w:pPr>
            <w:r w:rsidRPr="00471CBA">
              <w:rPr>
                <w:sz w:val="16"/>
                <w:szCs w:val="16"/>
              </w:rPr>
              <w:t>-</w:t>
            </w:r>
          </w:p>
        </w:tc>
        <w:tc>
          <w:tcPr>
            <w:tcW w:w="593" w:type="pct"/>
            <w:vAlign w:val="bottom"/>
          </w:tcPr>
          <w:p w14:paraId="2C8C8387" w14:textId="77777777" w:rsidR="00A67FD6" w:rsidRPr="00471CBA" w:rsidRDefault="00A67FD6" w:rsidP="00F36B82">
            <w:pPr>
              <w:ind w:right="55"/>
              <w:jc w:val="right"/>
              <w:rPr>
                <w:sz w:val="16"/>
                <w:szCs w:val="16"/>
              </w:rPr>
            </w:pPr>
            <w:r w:rsidRPr="00471CBA">
              <w:rPr>
                <w:sz w:val="16"/>
                <w:szCs w:val="16"/>
              </w:rPr>
              <w:t>-</w:t>
            </w:r>
          </w:p>
        </w:tc>
        <w:tc>
          <w:tcPr>
            <w:tcW w:w="456" w:type="pct"/>
            <w:noWrap/>
            <w:tcMar>
              <w:top w:w="15" w:type="dxa"/>
              <w:left w:w="15" w:type="dxa"/>
              <w:bottom w:w="0" w:type="dxa"/>
              <w:right w:w="15" w:type="dxa"/>
            </w:tcMar>
            <w:vAlign w:val="bottom"/>
          </w:tcPr>
          <w:p w14:paraId="259EA4D7" w14:textId="77777777" w:rsidR="00A67FD6" w:rsidRPr="00471CBA" w:rsidRDefault="00A67FD6" w:rsidP="00F36B82">
            <w:pPr>
              <w:ind w:right="55"/>
              <w:jc w:val="right"/>
              <w:rPr>
                <w:sz w:val="16"/>
                <w:szCs w:val="16"/>
              </w:rPr>
            </w:pPr>
            <w:r w:rsidRPr="00471CBA">
              <w:rPr>
                <w:sz w:val="16"/>
                <w:szCs w:val="16"/>
              </w:rPr>
              <w:t>-</w:t>
            </w:r>
          </w:p>
        </w:tc>
        <w:tc>
          <w:tcPr>
            <w:tcW w:w="442" w:type="pct"/>
            <w:vAlign w:val="bottom"/>
          </w:tcPr>
          <w:p w14:paraId="52269AEE" w14:textId="77777777" w:rsidR="00A67FD6" w:rsidRPr="00471CBA" w:rsidRDefault="00A67FD6" w:rsidP="00F36B82">
            <w:pPr>
              <w:ind w:right="55"/>
              <w:jc w:val="right"/>
              <w:rPr>
                <w:sz w:val="16"/>
                <w:szCs w:val="16"/>
              </w:rPr>
            </w:pPr>
            <w:r w:rsidRPr="00471CBA">
              <w:rPr>
                <w:sz w:val="16"/>
                <w:szCs w:val="16"/>
              </w:rPr>
              <w:t>(61)</w:t>
            </w:r>
          </w:p>
        </w:tc>
        <w:tc>
          <w:tcPr>
            <w:tcW w:w="539" w:type="pct"/>
            <w:vAlign w:val="bottom"/>
          </w:tcPr>
          <w:p w14:paraId="2E127999" w14:textId="77777777" w:rsidR="00A67FD6" w:rsidRPr="00471CBA" w:rsidRDefault="00A67FD6" w:rsidP="00F36B82">
            <w:pPr>
              <w:ind w:right="55"/>
              <w:jc w:val="right"/>
              <w:rPr>
                <w:sz w:val="16"/>
                <w:szCs w:val="16"/>
              </w:rPr>
            </w:pPr>
            <w:r w:rsidRPr="00471CBA">
              <w:rPr>
                <w:sz w:val="16"/>
                <w:szCs w:val="16"/>
              </w:rPr>
              <w:t>-</w:t>
            </w:r>
          </w:p>
        </w:tc>
        <w:tc>
          <w:tcPr>
            <w:tcW w:w="505" w:type="pct"/>
            <w:noWrap/>
            <w:tcMar>
              <w:top w:w="15" w:type="dxa"/>
              <w:left w:w="15" w:type="dxa"/>
              <w:bottom w:w="0" w:type="dxa"/>
              <w:right w:w="15" w:type="dxa"/>
            </w:tcMar>
            <w:vAlign w:val="bottom"/>
          </w:tcPr>
          <w:p w14:paraId="15CFB3F5" w14:textId="77777777" w:rsidR="00A67FD6" w:rsidRPr="00471CBA" w:rsidRDefault="00A67FD6" w:rsidP="00F36B82">
            <w:pPr>
              <w:ind w:right="55"/>
              <w:jc w:val="right"/>
              <w:rPr>
                <w:sz w:val="16"/>
                <w:szCs w:val="16"/>
              </w:rPr>
            </w:pPr>
            <w:r w:rsidRPr="00471CBA">
              <w:rPr>
                <w:sz w:val="16"/>
                <w:szCs w:val="16"/>
              </w:rPr>
              <w:t>(61)</w:t>
            </w:r>
          </w:p>
        </w:tc>
      </w:tr>
      <w:tr w:rsidR="00A67FD6" w:rsidRPr="00471CBA" w14:paraId="5E9A32B4" w14:textId="77777777" w:rsidTr="00B0049C">
        <w:trPr>
          <w:cantSplit/>
          <w:trHeight w:val="24"/>
        </w:trPr>
        <w:tc>
          <w:tcPr>
            <w:tcW w:w="1749" w:type="pct"/>
            <w:noWrap/>
            <w:tcMar>
              <w:top w:w="15" w:type="dxa"/>
              <w:left w:w="15" w:type="dxa"/>
              <w:bottom w:w="0" w:type="dxa"/>
              <w:right w:w="15" w:type="dxa"/>
            </w:tcMar>
            <w:vAlign w:val="center"/>
          </w:tcPr>
          <w:p w14:paraId="578A7C06" w14:textId="77777777" w:rsidR="00A67FD6" w:rsidRPr="00471CBA" w:rsidRDefault="00A67FD6" w:rsidP="00B0049C">
            <w:pPr>
              <w:ind w:left="240"/>
              <w:jc w:val="both"/>
              <w:rPr>
                <w:rFonts w:eastAsia="Arial Unicode MS"/>
                <w:iCs/>
                <w:sz w:val="16"/>
                <w:szCs w:val="16"/>
              </w:rPr>
            </w:pPr>
            <w:r w:rsidRPr="00471CBA">
              <w:rPr>
                <w:iCs/>
                <w:sz w:val="16"/>
                <w:szCs w:val="16"/>
              </w:rPr>
              <w:t>Transferler</w:t>
            </w:r>
          </w:p>
        </w:tc>
        <w:tc>
          <w:tcPr>
            <w:tcW w:w="716" w:type="pct"/>
            <w:noWrap/>
            <w:tcMar>
              <w:top w:w="15" w:type="dxa"/>
              <w:left w:w="15" w:type="dxa"/>
              <w:bottom w:w="0" w:type="dxa"/>
              <w:right w:w="15" w:type="dxa"/>
            </w:tcMar>
            <w:vAlign w:val="bottom"/>
          </w:tcPr>
          <w:p w14:paraId="76C4E2CB" w14:textId="77777777" w:rsidR="00A67FD6" w:rsidRPr="00471CBA" w:rsidRDefault="00A67FD6" w:rsidP="00F36B82">
            <w:pPr>
              <w:ind w:right="55"/>
              <w:jc w:val="right"/>
              <w:rPr>
                <w:sz w:val="16"/>
                <w:szCs w:val="16"/>
              </w:rPr>
            </w:pPr>
            <w:r w:rsidRPr="00471CBA">
              <w:rPr>
                <w:sz w:val="16"/>
                <w:szCs w:val="16"/>
              </w:rPr>
              <w:t>-</w:t>
            </w:r>
          </w:p>
        </w:tc>
        <w:tc>
          <w:tcPr>
            <w:tcW w:w="593" w:type="pct"/>
            <w:vAlign w:val="bottom"/>
          </w:tcPr>
          <w:p w14:paraId="7A3D862C" w14:textId="77777777" w:rsidR="00A67FD6" w:rsidRPr="00471CBA" w:rsidRDefault="00A67FD6" w:rsidP="00F36B82">
            <w:pPr>
              <w:ind w:right="55"/>
              <w:jc w:val="right"/>
              <w:rPr>
                <w:sz w:val="16"/>
                <w:szCs w:val="16"/>
              </w:rPr>
            </w:pPr>
            <w:r w:rsidRPr="00471CBA">
              <w:rPr>
                <w:sz w:val="16"/>
                <w:szCs w:val="16"/>
              </w:rPr>
              <w:t>-</w:t>
            </w:r>
          </w:p>
        </w:tc>
        <w:tc>
          <w:tcPr>
            <w:tcW w:w="456" w:type="pct"/>
            <w:noWrap/>
            <w:tcMar>
              <w:top w:w="15" w:type="dxa"/>
              <w:left w:w="15" w:type="dxa"/>
              <w:bottom w:w="0" w:type="dxa"/>
              <w:right w:w="15" w:type="dxa"/>
            </w:tcMar>
            <w:vAlign w:val="bottom"/>
          </w:tcPr>
          <w:p w14:paraId="25512CB7" w14:textId="77777777" w:rsidR="00A67FD6" w:rsidRPr="00471CBA" w:rsidRDefault="00A67FD6" w:rsidP="00F36B82">
            <w:pPr>
              <w:ind w:right="55"/>
              <w:jc w:val="right"/>
              <w:rPr>
                <w:sz w:val="16"/>
                <w:szCs w:val="16"/>
              </w:rPr>
            </w:pPr>
            <w:r w:rsidRPr="00471CBA">
              <w:rPr>
                <w:sz w:val="16"/>
                <w:szCs w:val="16"/>
              </w:rPr>
              <w:t>-</w:t>
            </w:r>
          </w:p>
        </w:tc>
        <w:tc>
          <w:tcPr>
            <w:tcW w:w="442" w:type="pct"/>
            <w:vAlign w:val="bottom"/>
          </w:tcPr>
          <w:p w14:paraId="362D1D28" w14:textId="77777777" w:rsidR="00A67FD6" w:rsidRPr="00471CBA" w:rsidRDefault="00A67FD6" w:rsidP="00F36B82">
            <w:pPr>
              <w:ind w:right="55"/>
              <w:jc w:val="right"/>
              <w:rPr>
                <w:sz w:val="16"/>
                <w:szCs w:val="16"/>
              </w:rPr>
            </w:pPr>
            <w:r w:rsidRPr="00471CBA">
              <w:rPr>
                <w:sz w:val="16"/>
                <w:szCs w:val="16"/>
              </w:rPr>
              <w:t>-</w:t>
            </w:r>
          </w:p>
        </w:tc>
        <w:tc>
          <w:tcPr>
            <w:tcW w:w="539" w:type="pct"/>
            <w:vAlign w:val="bottom"/>
          </w:tcPr>
          <w:p w14:paraId="7BC4559A" w14:textId="77777777" w:rsidR="00A67FD6" w:rsidRPr="00471CBA" w:rsidRDefault="00A67FD6" w:rsidP="00F36B82">
            <w:pPr>
              <w:ind w:right="55"/>
              <w:jc w:val="right"/>
              <w:rPr>
                <w:sz w:val="16"/>
                <w:szCs w:val="16"/>
              </w:rPr>
            </w:pPr>
            <w:r w:rsidRPr="00471CBA">
              <w:rPr>
                <w:sz w:val="16"/>
                <w:szCs w:val="16"/>
              </w:rPr>
              <w:t>-</w:t>
            </w:r>
          </w:p>
        </w:tc>
        <w:tc>
          <w:tcPr>
            <w:tcW w:w="505" w:type="pct"/>
            <w:noWrap/>
            <w:tcMar>
              <w:top w:w="15" w:type="dxa"/>
              <w:left w:w="15" w:type="dxa"/>
              <w:bottom w:w="0" w:type="dxa"/>
              <w:right w:w="15" w:type="dxa"/>
            </w:tcMar>
            <w:vAlign w:val="bottom"/>
          </w:tcPr>
          <w:p w14:paraId="3614FF7D" w14:textId="77777777" w:rsidR="00A67FD6" w:rsidRPr="00471CBA" w:rsidRDefault="00A67FD6" w:rsidP="00F36B82">
            <w:pPr>
              <w:ind w:right="55"/>
              <w:jc w:val="right"/>
              <w:rPr>
                <w:sz w:val="16"/>
                <w:szCs w:val="16"/>
              </w:rPr>
            </w:pPr>
            <w:r w:rsidRPr="00471CBA">
              <w:rPr>
                <w:sz w:val="16"/>
                <w:szCs w:val="16"/>
              </w:rPr>
              <w:t>-</w:t>
            </w:r>
          </w:p>
        </w:tc>
      </w:tr>
      <w:tr w:rsidR="00A67FD6" w:rsidRPr="00471CBA" w14:paraId="4FE3B7A2" w14:textId="77777777" w:rsidTr="00B0049C">
        <w:trPr>
          <w:cantSplit/>
          <w:trHeight w:val="24"/>
        </w:trPr>
        <w:tc>
          <w:tcPr>
            <w:tcW w:w="1749" w:type="pct"/>
            <w:noWrap/>
            <w:tcMar>
              <w:top w:w="15" w:type="dxa"/>
              <w:left w:w="15" w:type="dxa"/>
              <w:bottom w:w="0" w:type="dxa"/>
              <w:right w:w="15" w:type="dxa"/>
            </w:tcMar>
            <w:vAlign w:val="center"/>
          </w:tcPr>
          <w:p w14:paraId="5C980A7E" w14:textId="77777777" w:rsidR="00A67FD6" w:rsidRPr="00471CBA" w:rsidRDefault="00A67FD6" w:rsidP="00B0049C">
            <w:pPr>
              <w:ind w:left="240"/>
              <w:jc w:val="both"/>
              <w:rPr>
                <w:b/>
                <w:iCs/>
                <w:sz w:val="16"/>
                <w:szCs w:val="16"/>
              </w:rPr>
            </w:pPr>
            <w:r w:rsidRPr="00471CBA">
              <w:rPr>
                <w:rFonts w:eastAsia="Arial Unicode MS"/>
                <w:b/>
                <w:iCs/>
                <w:sz w:val="16"/>
                <w:szCs w:val="16"/>
              </w:rPr>
              <w:t xml:space="preserve">Dönem sonu bakiyesi: </w:t>
            </w:r>
            <w:r w:rsidRPr="00471CBA">
              <w:rPr>
                <w:rFonts w:eastAsia="Arial Unicode MS"/>
                <w:b/>
                <w:sz w:val="16"/>
                <w:szCs w:val="16"/>
              </w:rPr>
              <w:t>31 Aralık 2024</w:t>
            </w:r>
          </w:p>
        </w:tc>
        <w:tc>
          <w:tcPr>
            <w:tcW w:w="716" w:type="pct"/>
            <w:noWrap/>
            <w:tcMar>
              <w:top w:w="15" w:type="dxa"/>
              <w:left w:w="15" w:type="dxa"/>
              <w:bottom w:w="0" w:type="dxa"/>
              <w:right w:w="15" w:type="dxa"/>
            </w:tcMar>
            <w:vAlign w:val="bottom"/>
          </w:tcPr>
          <w:p w14:paraId="4FD75B37" w14:textId="77777777" w:rsidR="00A67FD6" w:rsidRPr="00471CBA" w:rsidRDefault="00A67FD6" w:rsidP="00F36B82">
            <w:pPr>
              <w:ind w:right="55"/>
              <w:jc w:val="right"/>
              <w:rPr>
                <w:b/>
                <w:sz w:val="16"/>
                <w:szCs w:val="16"/>
              </w:rPr>
            </w:pPr>
            <w:r w:rsidRPr="00471CBA">
              <w:rPr>
                <w:b/>
                <w:sz w:val="16"/>
                <w:szCs w:val="16"/>
              </w:rPr>
              <w:t>12.681</w:t>
            </w:r>
          </w:p>
        </w:tc>
        <w:tc>
          <w:tcPr>
            <w:tcW w:w="593" w:type="pct"/>
            <w:vAlign w:val="bottom"/>
          </w:tcPr>
          <w:p w14:paraId="13D325D9" w14:textId="77777777" w:rsidR="00A67FD6" w:rsidRPr="00471CBA" w:rsidRDefault="00A67FD6" w:rsidP="00F36B82">
            <w:pPr>
              <w:ind w:right="55"/>
              <w:jc w:val="right"/>
              <w:rPr>
                <w:b/>
                <w:sz w:val="16"/>
                <w:szCs w:val="16"/>
              </w:rPr>
            </w:pPr>
            <w:r w:rsidRPr="00471CBA">
              <w:rPr>
                <w:b/>
                <w:sz w:val="16"/>
                <w:szCs w:val="16"/>
              </w:rPr>
              <w:t>-</w:t>
            </w:r>
          </w:p>
        </w:tc>
        <w:tc>
          <w:tcPr>
            <w:tcW w:w="456" w:type="pct"/>
            <w:noWrap/>
            <w:tcMar>
              <w:top w:w="15" w:type="dxa"/>
              <w:left w:w="15" w:type="dxa"/>
              <w:bottom w:w="0" w:type="dxa"/>
              <w:right w:w="15" w:type="dxa"/>
            </w:tcMar>
            <w:vAlign w:val="bottom"/>
          </w:tcPr>
          <w:p w14:paraId="265FB9A5" w14:textId="77777777" w:rsidR="00A67FD6" w:rsidRPr="00471CBA" w:rsidRDefault="00A67FD6" w:rsidP="00F36B82">
            <w:pPr>
              <w:ind w:right="55"/>
              <w:jc w:val="right"/>
              <w:rPr>
                <w:b/>
                <w:sz w:val="16"/>
                <w:szCs w:val="16"/>
              </w:rPr>
            </w:pPr>
            <w:r w:rsidRPr="00471CBA">
              <w:rPr>
                <w:b/>
                <w:sz w:val="16"/>
                <w:szCs w:val="16"/>
              </w:rPr>
              <w:t>-</w:t>
            </w:r>
          </w:p>
        </w:tc>
        <w:tc>
          <w:tcPr>
            <w:tcW w:w="442" w:type="pct"/>
            <w:vAlign w:val="bottom"/>
          </w:tcPr>
          <w:p w14:paraId="4161B12E" w14:textId="77777777" w:rsidR="00A67FD6" w:rsidRPr="00471CBA" w:rsidRDefault="00A67FD6" w:rsidP="00F36B82">
            <w:pPr>
              <w:ind w:right="55"/>
              <w:jc w:val="right"/>
              <w:rPr>
                <w:b/>
                <w:sz w:val="16"/>
                <w:szCs w:val="16"/>
              </w:rPr>
            </w:pPr>
            <w:r w:rsidRPr="00471CBA">
              <w:rPr>
                <w:b/>
                <w:sz w:val="16"/>
                <w:szCs w:val="16"/>
              </w:rPr>
              <w:t>62.993</w:t>
            </w:r>
          </w:p>
        </w:tc>
        <w:tc>
          <w:tcPr>
            <w:tcW w:w="539" w:type="pct"/>
            <w:vAlign w:val="bottom"/>
          </w:tcPr>
          <w:p w14:paraId="5BD6FB10" w14:textId="77777777" w:rsidR="00A67FD6" w:rsidRPr="00471CBA" w:rsidRDefault="00A67FD6" w:rsidP="00F36B82">
            <w:pPr>
              <w:ind w:right="55"/>
              <w:jc w:val="right"/>
              <w:rPr>
                <w:b/>
                <w:sz w:val="16"/>
                <w:szCs w:val="16"/>
              </w:rPr>
            </w:pPr>
            <w:r w:rsidRPr="00471CBA">
              <w:rPr>
                <w:b/>
                <w:sz w:val="16"/>
                <w:szCs w:val="16"/>
              </w:rPr>
              <w:t>-</w:t>
            </w:r>
          </w:p>
        </w:tc>
        <w:tc>
          <w:tcPr>
            <w:tcW w:w="505" w:type="pct"/>
            <w:noWrap/>
            <w:tcMar>
              <w:top w:w="15" w:type="dxa"/>
              <w:left w:w="15" w:type="dxa"/>
              <w:bottom w:w="0" w:type="dxa"/>
              <w:right w:w="15" w:type="dxa"/>
            </w:tcMar>
            <w:vAlign w:val="bottom"/>
          </w:tcPr>
          <w:p w14:paraId="616A8E58" w14:textId="77777777" w:rsidR="00A67FD6" w:rsidRPr="00471CBA" w:rsidRDefault="00A67FD6" w:rsidP="00F36B82">
            <w:pPr>
              <w:ind w:right="55"/>
              <w:jc w:val="right"/>
              <w:rPr>
                <w:b/>
                <w:sz w:val="16"/>
                <w:szCs w:val="16"/>
              </w:rPr>
            </w:pPr>
            <w:r w:rsidRPr="00471CBA">
              <w:rPr>
                <w:b/>
                <w:sz w:val="16"/>
                <w:szCs w:val="16"/>
              </w:rPr>
              <w:t>75.674</w:t>
            </w:r>
          </w:p>
        </w:tc>
      </w:tr>
      <w:tr w:rsidR="00A67FD6" w:rsidRPr="00471CBA" w14:paraId="55120E1D" w14:textId="77777777" w:rsidTr="00B0049C">
        <w:trPr>
          <w:cantSplit/>
          <w:trHeight w:val="24"/>
        </w:trPr>
        <w:tc>
          <w:tcPr>
            <w:tcW w:w="1749" w:type="pct"/>
            <w:noWrap/>
            <w:tcMar>
              <w:top w:w="15" w:type="dxa"/>
              <w:left w:w="15" w:type="dxa"/>
              <w:bottom w:w="0" w:type="dxa"/>
              <w:right w:w="15" w:type="dxa"/>
            </w:tcMar>
            <w:vAlign w:val="center"/>
          </w:tcPr>
          <w:p w14:paraId="6E08B0BE" w14:textId="77777777" w:rsidR="00A67FD6" w:rsidRPr="00471CBA" w:rsidRDefault="00A67FD6" w:rsidP="00B0049C">
            <w:pPr>
              <w:ind w:left="360"/>
              <w:jc w:val="both"/>
              <w:rPr>
                <w:rFonts w:eastAsia="Arial Unicode MS"/>
                <w:iCs/>
                <w:sz w:val="16"/>
                <w:szCs w:val="16"/>
              </w:rPr>
            </w:pPr>
          </w:p>
        </w:tc>
        <w:tc>
          <w:tcPr>
            <w:tcW w:w="716" w:type="pct"/>
            <w:noWrap/>
            <w:tcMar>
              <w:top w:w="15" w:type="dxa"/>
              <w:left w:w="15" w:type="dxa"/>
              <w:bottom w:w="0" w:type="dxa"/>
              <w:right w:w="15" w:type="dxa"/>
            </w:tcMar>
            <w:vAlign w:val="bottom"/>
          </w:tcPr>
          <w:p w14:paraId="5E7162A1" w14:textId="77777777" w:rsidR="00A67FD6" w:rsidRPr="00471CBA" w:rsidRDefault="00A67FD6" w:rsidP="00F36B82">
            <w:pPr>
              <w:ind w:right="55"/>
              <w:jc w:val="right"/>
              <w:rPr>
                <w:sz w:val="16"/>
                <w:szCs w:val="16"/>
              </w:rPr>
            </w:pPr>
          </w:p>
        </w:tc>
        <w:tc>
          <w:tcPr>
            <w:tcW w:w="593" w:type="pct"/>
            <w:vAlign w:val="bottom"/>
          </w:tcPr>
          <w:p w14:paraId="3EE1B333" w14:textId="77777777" w:rsidR="00A67FD6" w:rsidRPr="00471CBA" w:rsidRDefault="00A67FD6" w:rsidP="00F36B82">
            <w:pPr>
              <w:ind w:right="55"/>
              <w:jc w:val="right"/>
              <w:rPr>
                <w:sz w:val="16"/>
                <w:szCs w:val="16"/>
              </w:rPr>
            </w:pPr>
          </w:p>
        </w:tc>
        <w:tc>
          <w:tcPr>
            <w:tcW w:w="456" w:type="pct"/>
            <w:noWrap/>
            <w:tcMar>
              <w:top w:w="15" w:type="dxa"/>
              <w:left w:w="15" w:type="dxa"/>
              <w:bottom w:w="0" w:type="dxa"/>
              <w:right w:w="15" w:type="dxa"/>
            </w:tcMar>
            <w:vAlign w:val="bottom"/>
          </w:tcPr>
          <w:p w14:paraId="73A476E7" w14:textId="77777777" w:rsidR="00A67FD6" w:rsidRPr="00471CBA" w:rsidRDefault="00A67FD6" w:rsidP="00F36B82">
            <w:pPr>
              <w:ind w:right="55"/>
              <w:jc w:val="right"/>
              <w:rPr>
                <w:sz w:val="16"/>
                <w:szCs w:val="16"/>
              </w:rPr>
            </w:pPr>
          </w:p>
        </w:tc>
        <w:tc>
          <w:tcPr>
            <w:tcW w:w="442" w:type="pct"/>
            <w:vAlign w:val="bottom"/>
          </w:tcPr>
          <w:p w14:paraId="077271C9" w14:textId="77777777" w:rsidR="00A67FD6" w:rsidRPr="00471CBA" w:rsidRDefault="00A67FD6" w:rsidP="00F36B82">
            <w:pPr>
              <w:ind w:right="55"/>
              <w:jc w:val="right"/>
              <w:rPr>
                <w:sz w:val="16"/>
                <w:szCs w:val="16"/>
              </w:rPr>
            </w:pPr>
          </w:p>
        </w:tc>
        <w:tc>
          <w:tcPr>
            <w:tcW w:w="539" w:type="pct"/>
            <w:vAlign w:val="bottom"/>
          </w:tcPr>
          <w:p w14:paraId="4C83D4DB" w14:textId="77777777" w:rsidR="00A67FD6" w:rsidRPr="00471CBA" w:rsidRDefault="00A67FD6" w:rsidP="00F36B82">
            <w:pPr>
              <w:ind w:right="55"/>
              <w:jc w:val="right"/>
              <w:rPr>
                <w:sz w:val="16"/>
                <w:szCs w:val="16"/>
              </w:rPr>
            </w:pPr>
          </w:p>
        </w:tc>
        <w:tc>
          <w:tcPr>
            <w:tcW w:w="505" w:type="pct"/>
            <w:noWrap/>
            <w:tcMar>
              <w:top w:w="15" w:type="dxa"/>
              <w:left w:w="15" w:type="dxa"/>
              <w:bottom w:w="0" w:type="dxa"/>
              <w:right w:w="15" w:type="dxa"/>
            </w:tcMar>
            <w:vAlign w:val="bottom"/>
          </w:tcPr>
          <w:p w14:paraId="7889AF2B" w14:textId="77777777" w:rsidR="00A67FD6" w:rsidRPr="00471CBA" w:rsidRDefault="00A67FD6" w:rsidP="00F36B82">
            <w:pPr>
              <w:ind w:right="55"/>
              <w:jc w:val="right"/>
              <w:rPr>
                <w:sz w:val="16"/>
                <w:szCs w:val="16"/>
              </w:rPr>
            </w:pPr>
          </w:p>
        </w:tc>
      </w:tr>
      <w:tr w:rsidR="00A67FD6" w:rsidRPr="00471CBA" w14:paraId="74DBD0F9" w14:textId="77777777" w:rsidTr="00B0049C">
        <w:trPr>
          <w:cantSplit/>
          <w:trHeight w:val="24"/>
        </w:trPr>
        <w:tc>
          <w:tcPr>
            <w:tcW w:w="1749" w:type="pct"/>
            <w:noWrap/>
            <w:tcMar>
              <w:top w:w="15" w:type="dxa"/>
              <w:left w:w="15" w:type="dxa"/>
              <w:bottom w:w="0" w:type="dxa"/>
              <w:right w:w="15" w:type="dxa"/>
            </w:tcMar>
            <w:vAlign w:val="center"/>
          </w:tcPr>
          <w:p w14:paraId="30B4545D" w14:textId="77777777" w:rsidR="00A67FD6" w:rsidRPr="00471CBA" w:rsidRDefault="00A67FD6" w:rsidP="00B0049C">
            <w:pPr>
              <w:ind w:left="240"/>
              <w:jc w:val="both"/>
              <w:rPr>
                <w:b/>
                <w:iCs/>
                <w:sz w:val="16"/>
                <w:szCs w:val="16"/>
              </w:rPr>
            </w:pPr>
            <w:r w:rsidRPr="00471CBA">
              <w:rPr>
                <w:b/>
                <w:iCs/>
                <w:sz w:val="16"/>
                <w:szCs w:val="16"/>
              </w:rPr>
              <w:t>Dönem sonu maliyet</w:t>
            </w:r>
          </w:p>
        </w:tc>
        <w:tc>
          <w:tcPr>
            <w:tcW w:w="716" w:type="pct"/>
            <w:noWrap/>
            <w:tcMar>
              <w:top w:w="15" w:type="dxa"/>
              <w:left w:w="15" w:type="dxa"/>
              <w:bottom w:w="0" w:type="dxa"/>
              <w:right w:w="15" w:type="dxa"/>
            </w:tcMar>
            <w:vAlign w:val="bottom"/>
          </w:tcPr>
          <w:p w14:paraId="111547DC" w14:textId="77777777" w:rsidR="00A67FD6" w:rsidRPr="00471CBA" w:rsidRDefault="00A67FD6" w:rsidP="00F36B82">
            <w:pPr>
              <w:ind w:right="55"/>
              <w:jc w:val="right"/>
              <w:rPr>
                <w:b/>
                <w:sz w:val="16"/>
                <w:szCs w:val="16"/>
              </w:rPr>
            </w:pPr>
            <w:r w:rsidRPr="00471CBA">
              <w:rPr>
                <w:b/>
                <w:sz w:val="16"/>
                <w:szCs w:val="16"/>
              </w:rPr>
              <w:t>128.331</w:t>
            </w:r>
          </w:p>
        </w:tc>
        <w:tc>
          <w:tcPr>
            <w:tcW w:w="593" w:type="pct"/>
            <w:vAlign w:val="bottom"/>
          </w:tcPr>
          <w:p w14:paraId="78726EC0" w14:textId="77777777" w:rsidR="00A67FD6" w:rsidRPr="00471CBA" w:rsidRDefault="00A67FD6" w:rsidP="00F36B82">
            <w:pPr>
              <w:ind w:right="55"/>
              <w:jc w:val="right"/>
              <w:rPr>
                <w:b/>
                <w:sz w:val="16"/>
                <w:szCs w:val="16"/>
              </w:rPr>
            </w:pPr>
            <w:r w:rsidRPr="00471CBA">
              <w:rPr>
                <w:b/>
                <w:sz w:val="16"/>
                <w:szCs w:val="16"/>
              </w:rPr>
              <w:t>-</w:t>
            </w:r>
          </w:p>
        </w:tc>
        <w:tc>
          <w:tcPr>
            <w:tcW w:w="456" w:type="pct"/>
            <w:noWrap/>
            <w:tcMar>
              <w:top w:w="15" w:type="dxa"/>
              <w:left w:w="15" w:type="dxa"/>
              <w:bottom w:w="0" w:type="dxa"/>
              <w:right w:w="15" w:type="dxa"/>
            </w:tcMar>
            <w:vAlign w:val="bottom"/>
          </w:tcPr>
          <w:p w14:paraId="590FC5EB" w14:textId="77777777" w:rsidR="00A67FD6" w:rsidRPr="00471CBA" w:rsidRDefault="00A67FD6" w:rsidP="00F36B82">
            <w:pPr>
              <w:ind w:right="55"/>
              <w:jc w:val="right"/>
              <w:rPr>
                <w:b/>
                <w:sz w:val="16"/>
                <w:szCs w:val="16"/>
              </w:rPr>
            </w:pPr>
            <w:r w:rsidRPr="00471CBA">
              <w:rPr>
                <w:b/>
                <w:sz w:val="16"/>
                <w:szCs w:val="16"/>
              </w:rPr>
              <w:t>-</w:t>
            </w:r>
          </w:p>
        </w:tc>
        <w:tc>
          <w:tcPr>
            <w:tcW w:w="442" w:type="pct"/>
            <w:vAlign w:val="bottom"/>
          </w:tcPr>
          <w:p w14:paraId="4D28A01D" w14:textId="77777777" w:rsidR="00A67FD6" w:rsidRPr="00471CBA" w:rsidRDefault="00A67FD6" w:rsidP="00F36B82">
            <w:pPr>
              <w:ind w:right="55"/>
              <w:jc w:val="right"/>
              <w:rPr>
                <w:b/>
                <w:sz w:val="16"/>
                <w:szCs w:val="16"/>
              </w:rPr>
            </w:pPr>
            <w:r w:rsidRPr="00471CBA">
              <w:rPr>
                <w:b/>
                <w:sz w:val="16"/>
                <w:szCs w:val="16"/>
              </w:rPr>
              <w:t>438.250</w:t>
            </w:r>
          </w:p>
        </w:tc>
        <w:tc>
          <w:tcPr>
            <w:tcW w:w="539" w:type="pct"/>
            <w:vAlign w:val="bottom"/>
          </w:tcPr>
          <w:p w14:paraId="2A9346E9" w14:textId="77777777" w:rsidR="00A67FD6" w:rsidRPr="00471CBA" w:rsidRDefault="00A67FD6" w:rsidP="00F36B82">
            <w:pPr>
              <w:ind w:right="55"/>
              <w:jc w:val="right"/>
              <w:rPr>
                <w:b/>
                <w:sz w:val="16"/>
                <w:szCs w:val="16"/>
              </w:rPr>
            </w:pPr>
            <w:r w:rsidRPr="00471CBA">
              <w:rPr>
                <w:b/>
                <w:sz w:val="16"/>
                <w:szCs w:val="16"/>
              </w:rPr>
              <w:t>-</w:t>
            </w:r>
          </w:p>
        </w:tc>
        <w:tc>
          <w:tcPr>
            <w:tcW w:w="505" w:type="pct"/>
            <w:noWrap/>
            <w:tcMar>
              <w:top w:w="15" w:type="dxa"/>
              <w:left w:w="15" w:type="dxa"/>
              <w:bottom w:w="0" w:type="dxa"/>
              <w:right w:w="15" w:type="dxa"/>
            </w:tcMar>
            <w:vAlign w:val="bottom"/>
          </w:tcPr>
          <w:p w14:paraId="6F143255" w14:textId="77777777" w:rsidR="00A67FD6" w:rsidRPr="00471CBA" w:rsidRDefault="00A67FD6" w:rsidP="00F36B82">
            <w:pPr>
              <w:ind w:right="55"/>
              <w:jc w:val="right"/>
              <w:rPr>
                <w:b/>
                <w:sz w:val="16"/>
                <w:szCs w:val="16"/>
              </w:rPr>
            </w:pPr>
            <w:r w:rsidRPr="00471CBA">
              <w:rPr>
                <w:b/>
                <w:sz w:val="16"/>
                <w:szCs w:val="16"/>
              </w:rPr>
              <w:t>566.581</w:t>
            </w:r>
          </w:p>
        </w:tc>
      </w:tr>
      <w:tr w:rsidR="00A67FD6" w:rsidRPr="00471CBA" w14:paraId="40A5C26D" w14:textId="77777777" w:rsidTr="00B0049C">
        <w:trPr>
          <w:cantSplit/>
          <w:trHeight w:val="24"/>
        </w:trPr>
        <w:tc>
          <w:tcPr>
            <w:tcW w:w="1749" w:type="pct"/>
            <w:noWrap/>
            <w:tcMar>
              <w:top w:w="15" w:type="dxa"/>
              <w:left w:w="15" w:type="dxa"/>
              <w:bottom w:w="0" w:type="dxa"/>
              <w:right w:w="15" w:type="dxa"/>
            </w:tcMar>
            <w:vAlign w:val="center"/>
          </w:tcPr>
          <w:p w14:paraId="2FECE874" w14:textId="77777777" w:rsidR="00A67FD6" w:rsidRPr="00471CBA" w:rsidRDefault="00A67FD6" w:rsidP="00B0049C">
            <w:pPr>
              <w:ind w:left="240"/>
              <w:jc w:val="both"/>
              <w:rPr>
                <w:b/>
                <w:iCs/>
                <w:sz w:val="16"/>
                <w:szCs w:val="16"/>
              </w:rPr>
            </w:pPr>
            <w:r w:rsidRPr="00471CBA">
              <w:rPr>
                <w:b/>
                <w:iCs/>
                <w:sz w:val="16"/>
                <w:szCs w:val="16"/>
              </w:rPr>
              <w:t>Dönem sonu birikmiş amortisman</w:t>
            </w:r>
          </w:p>
        </w:tc>
        <w:tc>
          <w:tcPr>
            <w:tcW w:w="716" w:type="pct"/>
            <w:noWrap/>
            <w:tcMar>
              <w:top w:w="15" w:type="dxa"/>
              <w:left w:w="15" w:type="dxa"/>
              <w:bottom w:w="0" w:type="dxa"/>
              <w:right w:w="15" w:type="dxa"/>
            </w:tcMar>
            <w:vAlign w:val="bottom"/>
          </w:tcPr>
          <w:p w14:paraId="2E9E77B1" w14:textId="77777777" w:rsidR="00A67FD6" w:rsidRPr="00471CBA" w:rsidRDefault="00A67FD6" w:rsidP="00F36B82">
            <w:pPr>
              <w:ind w:right="55"/>
              <w:jc w:val="right"/>
              <w:rPr>
                <w:b/>
                <w:sz w:val="16"/>
                <w:szCs w:val="16"/>
              </w:rPr>
            </w:pPr>
            <w:r w:rsidRPr="00471CBA">
              <w:rPr>
                <w:b/>
                <w:sz w:val="16"/>
                <w:szCs w:val="16"/>
              </w:rPr>
              <w:t>(12.681)</w:t>
            </w:r>
          </w:p>
        </w:tc>
        <w:tc>
          <w:tcPr>
            <w:tcW w:w="593" w:type="pct"/>
            <w:vAlign w:val="bottom"/>
          </w:tcPr>
          <w:p w14:paraId="10629B11" w14:textId="77777777" w:rsidR="00A67FD6" w:rsidRPr="00471CBA" w:rsidRDefault="00A67FD6" w:rsidP="00F36B82">
            <w:pPr>
              <w:ind w:right="55"/>
              <w:jc w:val="right"/>
              <w:rPr>
                <w:b/>
                <w:sz w:val="16"/>
                <w:szCs w:val="16"/>
              </w:rPr>
            </w:pPr>
            <w:r w:rsidRPr="00471CBA">
              <w:rPr>
                <w:b/>
                <w:sz w:val="16"/>
                <w:szCs w:val="16"/>
              </w:rPr>
              <w:t>-</w:t>
            </w:r>
          </w:p>
        </w:tc>
        <w:tc>
          <w:tcPr>
            <w:tcW w:w="456" w:type="pct"/>
            <w:noWrap/>
            <w:tcMar>
              <w:top w:w="15" w:type="dxa"/>
              <w:left w:w="15" w:type="dxa"/>
              <w:bottom w:w="0" w:type="dxa"/>
              <w:right w:w="15" w:type="dxa"/>
            </w:tcMar>
            <w:vAlign w:val="bottom"/>
          </w:tcPr>
          <w:p w14:paraId="31E3A5E1" w14:textId="77777777" w:rsidR="00A67FD6" w:rsidRPr="00471CBA" w:rsidRDefault="00A67FD6" w:rsidP="00F36B82">
            <w:pPr>
              <w:ind w:right="55"/>
              <w:jc w:val="right"/>
              <w:rPr>
                <w:b/>
                <w:sz w:val="16"/>
                <w:szCs w:val="16"/>
              </w:rPr>
            </w:pPr>
            <w:r w:rsidRPr="00471CBA">
              <w:rPr>
                <w:b/>
                <w:sz w:val="16"/>
                <w:szCs w:val="16"/>
              </w:rPr>
              <w:t>-</w:t>
            </w:r>
          </w:p>
        </w:tc>
        <w:tc>
          <w:tcPr>
            <w:tcW w:w="442" w:type="pct"/>
            <w:vAlign w:val="bottom"/>
          </w:tcPr>
          <w:p w14:paraId="055F8641" w14:textId="77777777" w:rsidR="00A67FD6" w:rsidRPr="00471CBA" w:rsidRDefault="00A67FD6" w:rsidP="00F36B82">
            <w:pPr>
              <w:ind w:right="55"/>
              <w:jc w:val="right"/>
              <w:rPr>
                <w:b/>
                <w:sz w:val="16"/>
                <w:szCs w:val="16"/>
              </w:rPr>
            </w:pPr>
            <w:r w:rsidRPr="00471CBA">
              <w:rPr>
                <w:b/>
                <w:sz w:val="16"/>
                <w:szCs w:val="16"/>
              </w:rPr>
              <w:t>(62.993)</w:t>
            </w:r>
          </w:p>
        </w:tc>
        <w:tc>
          <w:tcPr>
            <w:tcW w:w="539" w:type="pct"/>
            <w:vAlign w:val="bottom"/>
          </w:tcPr>
          <w:p w14:paraId="3CAE131A" w14:textId="77777777" w:rsidR="00A67FD6" w:rsidRPr="00471CBA" w:rsidRDefault="00A67FD6" w:rsidP="00F36B82">
            <w:pPr>
              <w:ind w:right="55"/>
              <w:jc w:val="right"/>
              <w:rPr>
                <w:b/>
                <w:sz w:val="16"/>
                <w:szCs w:val="16"/>
              </w:rPr>
            </w:pPr>
            <w:r w:rsidRPr="00471CBA">
              <w:rPr>
                <w:b/>
                <w:sz w:val="16"/>
                <w:szCs w:val="16"/>
              </w:rPr>
              <w:t>-</w:t>
            </w:r>
          </w:p>
        </w:tc>
        <w:tc>
          <w:tcPr>
            <w:tcW w:w="505" w:type="pct"/>
            <w:noWrap/>
            <w:tcMar>
              <w:top w:w="15" w:type="dxa"/>
              <w:left w:w="15" w:type="dxa"/>
              <w:bottom w:w="0" w:type="dxa"/>
              <w:right w:w="15" w:type="dxa"/>
            </w:tcMar>
            <w:vAlign w:val="bottom"/>
          </w:tcPr>
          <w:p w14:paraId="7D1F9BB7" w14:textId="77777777" w:rsidR="00A67FD6" w:rsidRPr="00471CBA" w:rsidRDefault="00A67FD6" w:rsidP="00F36B82">
            <w:pPr>
              <w:ind w:right="55"/>
              <w:jc w:val="right"/>
              <w:rPr>
                <w:b/>
                <w:sz w:val="16"/>
                <w:szCs w:val="16"/>
              </w:rPr>
            </w:pPr>
            <w:r w:rsidRPr="00471CBA">
              <w:rPr>
                <w:b/>
                <w:sz w:val="16"/>
                <w:szCs w:val="16"/>
              </w:rPr>
              <w:t>(75.674)</w:t>
            </w:r>
          </w:p>
        </w:tc>
      </w:tr>
      <w:tr w:rsidR="00A67FD6" w:rsidRPr="00471CBA" w14:paraId="3930EC36" w14:textId="77777777" w:rsidTr="00B0049C">
        <w:trPr>
          <w:cantSplit/>
          <w:trHeight w:val="24"/>
        </w:trPr>
        <w:tc>
          <w:tcPr>
            <w:tcW w:w="1749" w:type="pct"/>
            <w:tcBorders>
              <w:bottom w:val="single" w:sz="4" w:space="0" w:color="auto"/>
            </w:tcBorders>
            <w:noWrap/>
            <w:tcMar>
              <w:top w:w="15" w:type="dxa"/>
              <w:left w:w="15" w:type="dxa"/>
              <w:bottom w:w="0" w:type="dxa"/>
              <w:right w:w="15" w:type="dxa"/>
            </w:tcMar>
            <w:vAlign w:val="center"/>
          </w:tcPr>
          <w:p w14:paraId="3220AEAF" w14:textId="77777777" w:rsidR="00A67FD6" w:rsidRPr="00471CBA" w:rsidRDefault="00A67FD6" w:rsidP="00B0049C">
            <w:pPr>
              <w:ind w:left="240"/>
              <w:jc w:val="both"/>
              <w:rPr>
                <w:b/>
                <w:iCs/>
                <w:sz w:val="16"/>
                <w:szCs w:val="16"/>
              </w:rPr>
            </w:pPr>
          </w:p>
        </w:tc>
        <w:tc>
          <w:tcPr>
            <w:tcW w:w="716" w:type="pct"/>
            <w:tcBorders>
              <w:bottom w:val="single" w:sz="4" w:space="0" w:color="auto"/>
            </w:tcBorders>
            <w:noWrap/>
            <w:tcMar>
              <w:top w:w="15" w:type="dxa"/>
              <w:left w:w="15" w:type="dxa"/>
              <w:bottom w:w="0" w:type="dxa"/>
              <w:right w:w="15" w:type="dxa"/>
            </w:tcMar>
            <w:vAlign w:val="bottom"/>
          </w:tcPr>
          <w:p w14:paraId="2ADA364F" w14:textId="77777777" w:rsidR="00A67FD6" w:rsidRPr="00471CBA" w:rsidRDefault="00A67FD6" w:rsidP="00F36B82">
            <w:pPr>
              <w:ind w:right="55"/>
              <w:jc w:val="right"/>
              <w:rPr>
                <w:sz w:val="16"/>
                <w:szCs w:val="16"/>
              </w:rPr>
            </w:pPr>
          </w:p>
        </w:tc>
        <w:tc>
          <w:tcPr>
            <w:tcW w:w="593" w:type="pct"/>
            <w:tcBorders>
              <w:bottom w:val="single" w:sz="4" w:space="0" w:color="auto"/>
            </w:tcBorders>
            <w:vAlign w:val="bottom"/>
          </w:tcPr>
          <w:p w14:paraId="10623A29" w14:textId="77777777" w:rsidR="00A67FD6" w:rsidRPr="00471CBA" w:rsidRDefault="00A67FD6" w:rsidP="00F36B82">
            <w:pPr>
              <w:ind w:right="55"/>
              <w:jc w:val="right"/>
              <w:rPr>
                <w:sz w:val="16"/>
                <w:szCs w:val="16"/>
              </w:rPr>
            </w:pPr>
          </w:p>
        </w:tc>
        <w:tc>
          <w:tcPr>
            <w:tcW w:w="456" w:type="pct"/>
            <w:tcBorders>
              <w:bottom w:val="single" w:sz="4" w:space="0" w:color="auto"/>
            </w:tcBorders>
            <w:noWrap/>
            <w:tcMar>
              <w:top w:w="15" w:type="dxa"/>
              <w:left w:w="15" w:type="dxa"/>
              <w:bottom w:w="0" w:type="dxa"/>
              <w:right w:w="15" w:type="dxa"/>
            </w:tcMar>
            <w:vAlign w:val="bottom"/>
          </w:tcPr>
          <w:p w14:paraId="235DF8FC" w14:textId="77777777" w:rsidR="00A67FD6" w:rsidRPr="00471CBA" w:rsidRDefault="00A67FD6" w:rsidP="00F36B82">
            <w:pPr>
              <w:ind w:right="55"/>
              <w:jc w:val="right"/>
              <w:rPr>
                <w:sz w:val="16"/>
                <w:szCs w:val="16"/>
              </w:rPr>
            </w:pPr>
          </w:p>
        </w:tc>
        <w:tc>
          <w:tcPr>
            <w:tcW w:w="442" w:type="pct"/>
            <w:tcBorders>
              <w:bottom w:val="single" w:sz="4" w:space="0" w:color="auto"/>
            </w:tcBorders>
            <w:vAlign w:val="bottom"/>
          </w:tcPr>
          <w:p w14:paraId="672596F7" w14:textId="77777777" w:rsidR="00A67FD6" w:rsidRPr="00471CBA" w:rsidRDefault="00A67FD6" w:rsidP="00F36B82">
            <w:pPr>
              <w:ind w:right="55"/>
              <w:jc w:val="right"/>
              <w:rPr>
                <w:sz w:val="16"/>
                <w:szCs w:val="16"/>
              </w:rPr>
            </w:pPr>
          </w:p>
        </w:tc>
        <w:tc>
          <w:tcPr>
            <w:tcW w:w="539" w:type="pct"/>
            <w:tcBorders>
              <w:bottom w:val="single" w:sz="4" w:space="0" w:color="auto"/>
            </w:tcBorders>
            <w:vAlign w:val="bottom"/>
          </w:tcPr>
          <w:p w14:paraId="281D5D25" w14:textId="77777777" w:rsidR="00A67FD6" w:rsidRPr="00471CBA" w:rsidRDefault="00A67FD6" w:rsidP="00F36B82">
            <w:pPr>
              <w:ind w:right="55"/>
              <w:jc w:val="right"/>
              <w:rPr>
                <w:sz w:val="16"/>
                <w:szCs w:val="16"/>
              </w:rPr>
            </w:pPr>
          </w:p>
        </w:tc>
        <w:tc>
          <w:tcPr>
            <w:tcW w:w="505" w:type="pct"/>
            <w:tcBorders>
              <w:bottom w:val="single" w:sz="4" w:space="0" w:color="auto"/>
            </w:tcBorders>
            <w:noWrap/>
            <w:tcMar>
              <w:top w:w="15" w:type="dxa"/>
              <w:left w:w="15" w:type="dxa"/>
              <w:bottom w:w="0" w:type="dxa"/>
              <w:right w:w="15" w:type="dxa"/>
            </w:tcMar>
            <w:vAlign w:val="bottom"/>
          </w:tcPr>
          <w:p w14:paraId="098B1F00" w14:textId="77777777" w:rsidR="00A67FD6" w:rsidRPr="00471CBA" w:rsidRDefault="00A67FD6" w:rsidP="00F36B82">
            <w:pPr>
              <w:ind w:right="55"/>
              <w:jc w:val="right"/>
              <w:rPr>
                <w:sz w:val="16"/>
                <w:szCs w:val="16"/>
              </w:rPr>
            </w:pPr>
          </w:p>
        </w:tc>
      </w:tr>
      <w:tr w:rsidR="00A67FD6" w:rsidRPr="00471CBA" w14:paraId="10C626BE" w14:textId="77777777" w:rsidTr="00B0049C">
        <w:trPr>
          <w:cantSplit/>
          <w:trHeight w:val="24"/>
        </w:trPr>
        <w:tc>
          <w:tcPr>
            <w:tcW w:w="1749" w:type="pct"/>
            <w:tcBorders>
              <w:top w:val="single" w:sz="4" w:space="0" w:color="auto"/>
              <w:bottom w:val="single" w:sz="12" w:space="0" w:color="auto"/>
            </w:tcBorders>
            <w:noWrap/>
            <w:tcMar>
              <w:top w:w="15" w:type="dxa"/>
              <w:left w:w="15" w:type="dxa"/>
              <w:bottom w:w="0" w:type="dxa"/>
              <w:right w:w="15" w:type="dxa"/>
            </w:tcMar>
            <w:vAlign w:val="center"/>
          </w:tcPr>
          <w:p w14:paraId="24E2A9B6" w14:textId="77777777" w:rsidR="00A67FD6" w:rsidRPr="00471CBA" w:rsidRDefault="00A67FD6" w:rsidP="00B0049C">
            <w:pPr>
              <w:ind w:left="240"/>
              <w:jc w:val="both"/>
              <w:rPr>
                <w:b/>
                <w:iCs/>
                <w:sz w:val="16"/>
                <w:szCs w:val="16"/>
              </w:rPr>
            </w:pPr>
            <w:r w:rsidRPr="00471CBA">
              <w:rPr>
                <w:b/>
                <w:iCs/>
                <w:sz w:val="16"/>
                <w:szCs w:val="16"/>
              </w:rPr>
              <w:t>Kapanış Net Defter Değeri</w:t>
            </w:r>
          </w:p>
        </w:tc>
        <w:tc>
          <w:tcPr>
            <w:tcW w:w="716" w:type="pct"/>
            <w:tcBorders>
              <w:top w:val="single" w:sz="4" w:space="0" w:color="auto"/>
              <w:bottom w:val="single" w:sz="12" w:space="0" w:color="auto"/>
            </w:tcBorders>
            <w:noWrap/>
            <w:tcMar>
              <w:top w:w="15" w:type="dxa"/>
              <w:left w:w="15" w:type="dxa"/>
              <w:bottom w:w="0" w:type="dxa"/>
              <w:right w:w="15" w:type="dxa"/>
            </w:tcMar>
            <w:vAlign w:val="bottom"/>
          </w:tcPr>
          <w:p w14:paraId="269579A5" w14:textId="77777777" w:rsidR="00A67FD6" w:rsidRPr="00471CBA" w:rsidRDefault="00A67FD6" w:rsidP="00F36B82">
            <w:pPr>
              <w:ind w:right="55"/>
              <w:jc w:val="right"/>
              <w:rPr>
                <w:b/>
                <w:sz w:val="16"/>
                <w:szCs w:val="16"/>
              </w:rPr>
            </w:pPr>
            <w:r w:rsidRPr="00471CBA">
              <w:rPr>
                <w:b/>
                <w:sz w:val="16"/>
                <w:szCs w:val="16"/>
              </w:rPr>
              <w:t>115.650</w:t>
            </w:r>
          </w:p>
        </w:tc>
        <w:tc>
          <w:tcPr>
            <w:tcW w:w="593" w:type="pct"/>
            <w:tcBorders>
              <w:top w:val="single" w:sz="4" w:space="0" w:color="auto"/>
              <w:bottom w:val="single" w:sz="12" w:space="0" w:color="auto"/>
            </w:tcBorders>
            <w:vAlign w:val="bottom"/>
          </w:tcPr>
          <w:p w14:paraId="4F687034" w14:textId="77777777" w:rsidR="00A67FD6" w:rsidRPr="00471CBA" w:rsidRDefault="00A67FD6" w:rsidP="00F36B82">
            <w:pPr>
              <w:ind w:right="55"/>
              <w:jc w:val="right"/>
              <w:rPr>
                <w:b/>
                <w:sz w:val="16"/>
                <w:szCs w:val="16"/>
              </w:rPr>
            </w:pPr>
            <w:r w:rsidRPr="00471CBA">
              <w:rPr>
                <w:b/>
                <w:sz w:val="16"/>
                <w:szCs w:val="16"/>
              </w:rPr>
              <w:t>-</w:t>
            </w:r>
          </w:p>
        </w:tc>
        <w:tc>
          <w:tcPr>
            <w:tcW w:w="456" w:type="pct"/>
            <w:tcBorders>
              <w:top w:val="single" w:sz="4" w:space="0" w:color="auto"/>
              <w:bottom w:val="single" w:sz="12" w:space="0" w:color="auto"/>
            </w:tcBorders>
            <w:noWrap/>
            <w:tcMar>
              <w:top w:w="15" w:type="dxa"/>
              <w:left w:w="15" w:type="dxa"/>
              <w:bottom w:w="0" w:type="dxa"/>
              <w:right w:w="15" w:type="dxa"/>
            </w:tcMar>
            <w:vAlign w:val="bottom"/>
          </w:tcPr>
          <w:p w14:paraId="74A55CBE" w14:textId="77777777" w:rsidR="00A67FD6" w:rsidRPr="00471CBA" w:rsidRDefault="00A67FD6" w:rsidP="00F36B82">
            <w:pPr>
              <w:ind w:right="55"/>
              <w:jc w:val="right"/>
              <w:rPr>
                <w:b/>
                <w:sz w:val="16"/>
                <w:szCs w:val="16"/>
              </w:rPr>
            </w:pPr>
            <w:r w:rsidRPr="00471CBA">
              <w:rPr>
                <w:b/>
                <w:sz w:val="16"/>
                <w:szCs w:val="16"/>
              </w:rPr>
              <w:t>-</w:t>
            </w:r>
          </w:p>
        </w:tc>
        <w:tc>
          <w:tcPr>
            <w:tcW w:w="442" w:type="pct"/>
            <w:tcBorders>
              <w:top w:val="single" w:sz="4" w:space="0" w:color="auto"/>
              <w:bottom w:val="single" w:sz="12" w:space="0" w:color="auto"/>
            </w:tcBorders>
            <w:vAlign w:val="bottom"/>
          </w:tcPr>
          <w:p w14:paraId="06E3EDC5" w14:textId="77777777" w:rsidR="00A67FD6" w:rsidRPr="00471CBA" w:rsidRDefault="00A67FD6" w:rsidP="00F36B82">
            <w:pPr>
              <w:ind w:right="55"/>
              <w:jc w:val="right"/>
              <w:rPr>
                <w:b/>
                <w:sz w:val="16"/>
                <w:szCs w:val="16"/>
              </w:rPr>
            </w:pPr>
            <w:r w:rsidRPr="00471CBA">
              <w:rPr>
                <w:b/>
                <w:sz w:val="16"/>
                <w:szCs w:val="16"/>
              </w:rPr>
              <w:t>375.257</w:t>
            </w:r>
          </w:p>
        </w:tc>
        <w:tc>
          <w:tcPr>
            <w:tcW w:w="539" w:type="pct"/>
            <w:tcBorders>
              <w:top w:val="single" w:sz="4" w:space="0" w:color="auto"/>
              <w:bottom w:val="single" w:sz="12" w:space="0" w:color="auto"/>
            </w:tcBorders>
            <w:vAlign w:val="bottom"/>
          </w:tcPr>
          <w:p w14:paraId="71256512" w14:textId="77777777" w:rsidR="00A67FD6" w:rsidRPr="00471CBA" w:rsidRDefault="00A67FD6" w:rsidP="00F36B82">
            <w:pPr>
              <w:ind w:right="55"/>
              <w:jc w:val="right"/>
              <w:rPr>
                <w:b/>
                <w:sz w:val="16"/>
                <w:szCs w:val="16"/>
              </w:rPr>
            </w:pPr>
            <w:r w:rsidRPr="00471CBA">
              <w:rPr>
                <w:b/>
                <w:sz w:val="16"/>
                <w:szCs w:val="16"/>
              </w:rPr>
              <w:t>-</w:t>
            </w:r>
          </w:p>
        </w:tc>
        <w:tc>
          <w:tcPr>
            <w:tcW w:w="505" w:type="pct"/>
            <w:tcBorders>
              <w:top w:val="single" w:sz="4" w:space="0" w:color="auto"/>
              <w:bottom w:val="single" w:sz="12" w:space="0" w:color="auto"/>
            </w:tcBorders>
            <w:noWrap/>
            <w:tcMar>
              <w:top w:w="15" w:type="dxa"/>
              <w:left w:w="15" w:type="dxa"/>
              <w:bottom w:w="0" w:type="dxa"/>
              <w:right w:w="15" w:type="dxa"/>
            </w:tcMar>
            <w:vAlign w:val="bottom"/>
          </w:tcPr>
          <w:p w14:paraId="42A360D2" w14:textId="77777777" w:rsidR="00A67FD6" w:rsidRPr="00471CBA" w:rsidRDefault="00A67FD6" w:rsidP="00F36B82">
            <w:pPr>
              <w:ind w:right="55"/>
              <w:jc w:val="right"/>
              <w:rPr>
                <w:b/>
                <w:sz w:val="16"/>
                <w:szCs w:val="16"/>
              </w:rPr>
            </w:pPr>
            <w:r w:rsidRPr="00471CBA">
              <w:rPr>
                <w:b/>
                <w:sz w:val="16"/>
                <w:szCs w:val="16"/>
              </w:rPr>
              <w:t>490.907</w:t>
            </w:r>
          </w:p>
        </w:tc>
      </w:tr>
    </w:tbl>
    <w:p w14:paraId="0D6EA28E" w14:textId="4A4CE8F9" w:rsidR="00A67FD6" w:rsidRPr="00471CBA" w:rsidRDefault="00A67FD6" w:rsidP="000A44B5">
      <w:pPr>
        <w:spacing w:before="120"/>
        <w:ind w:right="45"/>
        <w:jc w:val="both"/>
        <w:rPr>
          <w:rFonts w:eastAsia="Arial Unicode MS"/>
        </w:rPr>
      </w:pPr>
      <w:bookmarkStart w:id="115" w:name="_Hlk158639261"/>
      <w:bookmarkStart w:id="116" w:name="_Hlk187762505"/>
      <w:bookmarkStart w:id="117" w:name="_Hlk223185439"/>
      <w:bookmarkEnd w:id="113"/>
      <w:r w:rsidRPr="00471CBA">
        <w:rPr>
          <w:sz w:val="18"/>
          <w:szCs w:val="18"/>
          <w:vertAlign w:val="superscript"/>
        </w:rPr>
        <w:t>(*)</w:t>
      </w:r>
      <w:bookmarkStart w:id="118" w:name="_Hlk158645447"/>
      <w:bookmarkEnd w:id="115"/>
      <w:r w:rsidR="00375B2D" w:rsidRPr="00471CBA">
        <w:rPr>
          <w:sz w:val="18"/>
          <w:szCs w:val="18"/>
        </w:rPr>
        <w:t xml:space="preserve"> </w:t>
      </w:r>
      <w:r w:rsidRPr="00471CBA">
        <w:rPr>
          <w:sz w:val="18"/>
          <w:szCs w:val="18"/>
        </w:rPr>
        <w:t xml:space="preserve">Banka bilançosunda maddi duran varlıklar altında “TFRS 16 Kiralamalar “standardı gereğince kullanım hakkı varlığı olarak muhasebeleştirilen gayrimenkullerin maliyeti bedeli </w:t>
      </w:r>
      <w:r w:rsidR="00E4689E" w:rsidRPr="00471CBA">
        <w:rPr>
          <w:sz w:val="18"/>
          <w:szCs w:val="18"/>
        </w:rPr>
        <w:t xml:space="preserve">257.902 TL (31 Aralık 2024: </w:t>
      </w:r>
      <w:r w:rsidRPr="00471CBA">
        <w:rPr>
          <w:sz w:val="18"/>
          <w:szCs w:val="18"/>
        </w:rPr>
        <w:t>112.754 TL</w:t>
      </w:r>
      <w:r w:rsidR="00E4689E" w:rsidRPr="00471CBA">
        <w:rPr>
          <w:sz w:val="18"/>
          <w:szCs w:val="18"/>
        </w:rPr>
        <w:t>)</w:t>
      </w:r>
      <w:r w:rsidRPr="00471CBA">
        <w:rPr>
          <w:sz w:val="18"/>
          <w:szCs w:val="18"/>
        </w:rPr>
        <w:t xml:space="preserve">, amortisman tutarı </w:t>
      </w:r>
      <w:r w:rsidR="00E4689E" w:rsidRPr="00471CBA">
        <w:rPr>
          <w:sz w:val="18"/>
          <w:szCs w:val="18"/>
        </w:rPr>
        <w:t xml:space="preserve">35.346 TL (31 Aralık 2024: </w:t>
      </w:r>
      <w:r w:rsidRPr="00471CBA">
        <w:rPr>
          <w:sz w:val="18"/>
          <w:szCs w:val="18"/>
        </w:rPr>
        <w:t>7.519 TL</w:t>
      </w:r>
      <w:r w:rsidR="00E4689E" w:rsidRPr="00471CBA">
        <w:rPr>
          <w:sz w:val="18"/>
          <w:szCs w:val="18"/>
        </w:rPr>
        <w:t>)</w:t>
      </w:r>
      <w:r w:rsidRPr="00471CBA">
        <w:rPr>
          <w:sz w:val="18"/>
          <w:szCs w:val="18"/>
        </w:rPr>
        <w:t xml:space="preserve">, net defter değeri ise </w:t>
      </w:r>
      <w:r w:rsidR="00E4689E" w:rsidRPr="00471CBA">
        <w:rPr>
          <w:sz w:val="18"/>
          <w:szCs w:val="18"/>
        </w:rPr>
        <w:t xml:space="preserve">222.556 TL (31 Aralık 2024: </w:t>
      </w:r>
      <w:r w:rsidRPr="00471CBA">
        <w:rPr>
          <w:sz w:val="18"/>
          <w:szCs w:val="18"/>
        </w:rPr>
        <w:t>105.235 TL</w:t>
      </w:r>
      <w:r w:rsidR="00E4689E" w:rsidRPr="00471CBA">
        <w:rPr>
          <w:sz w:val="18"/>
          <w:szCs w:val="18"/>
        </w:rPr>
        <w:t>)</w:t>
      </w:r>
      <w:r w:rsidRPr="00471CBA">
        <w:rPr>
          <w:sz w:val="18"/>
          <w:szCs w:val="18"/>
        </w:rPr>
        <w:t>’</w:t>
      </w:r>
      <w:proofErr w:type="spellStart"/>
      <w:r w:rsidRPr="00471CBA">
        <w:rPr>
          <w:sz w:val="18"/>
          <w:szCs w:val="18"/>
        </w:rPr>
        <w:t>dir</w:t>
      </w:r>
      <w:proofErr w:type="spellEnd"/>
      <w:r w:rsidRPr="00471CBA">
        <w:rPr>
          <w:sz w:val="18"/>
          <w:szCs w:val="18"/>
        </w:rPr>
        <w:t>.</w:t>
      </w:r>
      <w:bookmarkEnd w:id="116"/>
      <w:bookmarkEnd w:id="118"/>
    </w:p>
    <w:bookmarkEnd w:id="117"/>
    <w:p w14:paraId="685EDFC6" w14:textId="77777777" w:rsidR="00A67FD6" w:rsidRPr="00471CBA" w:rsidRDefault="00A67FD6" w:rsidP="00A67FD6">
      <w:pPr>
        <w:rPr>
          <w:b/>
          <w:szCs w:val="20"/>
        </w:rPr>
      </w:pPr>
      <w:r w:rsidRPr="00471CBA">
        <w:rPr>
          <w:b/>
          <w:szCs w:val="20"/>
        </w:rPr>
        <w:br w:type="page"/>
      </w:r>
    </w:p>
    <w:p w14:paraId="1ABBA5FE" w14:textId="77777777" w:rsidR="00A67FD6" w:rsidRPr="00471CBA" w:rsidRDefault="00A67FD6" w:rsidP="00F36B82">
      <w:pPr>
        <w:widowControl w:val="0"/>
        <w:spacing w:line="228" w:lineRule="auto"/>
        <w:ind w:left="720" w:hanging="720"/>
        <w:jc w:val="both"/>
        <w:rPr>
          <w:b/>
          <w:szCs w:val="20"/>
        </w:rPr>
      </w:pPr>
      <w:r w:rsidRPr="00471CBA">
        <w:rPr>
          <w:b/>
          <w:szCs w:val="20"/>
        </w:rPr>
        <w:t>KONSOLİDE OLMAYAN FİNANSAL TABLOLARA İLİŞKİN AÇIKLAMA VE DİPNOTLAR (Devamı)</w:t>
      </w:r>
    </w:p>
    <w:p w14:paraId="2BDBCCCD" w14:textId="77777777" w:rsidR="00A67FD6" w:rsidRPr="00F36B82" w:rsidRDefault="00A67FD6" w:rsidP="00F36B82">
      <w:pPr>
        <w:pStyle w:val="ListeParagraf"/>
        <w:widowControl w:val="0"/>
        <w:spacing w:line="228" w:lineRule="auto"/>
        <w:ind w:left="14" w:right="452"/>
        <w:jc w:val="both"/>
        <w:rPr>
          <w:b/>
          <w:sz w:val="16"/>
          <w:szCs w:val="16"/>
        </w:rPr>
      </w:pPr>
    </w:p>
    <w:p w14:paraId="2A4CB1E9" w14:textId="77777777" w:rsidR="00A67FD6" w:rsidRPr="00471CBA" w:rsidRDefault="00A67FD6" w:rsidP="008459A9">
      <w:pPr>
        <w:pStyle w:val="ListeParagraf"/>
        <w:widowControl w:val="0"/>
        <w:numPr>
          <w:ilvl w:val="0"/>
          <w:numId w:val="97"/>
        </w:numPr>
        <w:spacing w:line="228" w:lineRule="auto"/>
        <w:ind w:left="709"/>
        <w:jc w:val="both"/>
        <w:rPr>
          <w:b/>
          <w:szCs w:val="20"/>
        </w:rPr>
      </w:pPr>
      <w:r w:rsidRPr="00471CBA">
        <w:rPr>
          <w:b/>
          <w:szCs w:val="20"/>
        </w:rPr>
        <w:t>BİLANÇONUN AKTİF HESAPLARINA İLİŞKİN AÇIKLAMA VE DİPNOTLAR (Devamı)</w:t>
      </w:r>
    </w:p>
    <w:p w14:paraId="5B51FE86" w14:textId="77777777" w:rsidR="00A67FD6" w:rsidRPr="00F36B82" w:rsidRDefault="00A67FD6" w:rsidP="00F36B82">
      <w:pPr>
        <w:spacing w:line="228" w:lineRule="auto"/>
        <w:rPr>
          <w:rFonts w:eastAsia="Arial Unicode MS"/>
          <w:sz w:val="16"/>
          <w:szCs w:val="16"/>
        </w:rPr>
      </w:pPr>
    </w:p>
    <w:p w14:paraId="739E546F" w14:textId="77777777" w:rsidR="00A67FD6" w:rsidRDefault="00A67FD6" w:rsidP="00F36B82">
      <w:pPr>
        <w:pStyle w:val="ListeParagraf"/>
        <w:widowControl w:val="0"/>
        <w:numPr>
          <w:ilvl w:val="0"/>
          <w:numId w:val="43"/>
        </w:numPr>
        <w:tabs>
          <w:tab w:val="clear" w:pos="540"/>
        </w:tabs>
        <w:autoSpaceDE w:val="0"/>
        <w:autoSpaceDN w:val="0"/>
        <w:adjustRightInd w:val="0"/>
        <w:spacing w:line="228" w:lineRule="auto"/>
        <w:ind w:left="851" w:hanging="851"/>
        <w:jc w:val="both"/>
        <w:rPr>
          <w:b/>
          <w:szCs w:val="20"/>
        </w:rPr>
      </w:pPr>
      <w:r w:rsidRPr="00471CBA">
        <w:rPr>
          <w:b/>
          <w:szCs w:val="20"/>
        </w:rPr>
        <w:t>Maddi olmayan duran varlıklara ilişkin açıklamalar:</w:t>
      </w:r>
    </w:p>
    <w:p w14:paraId="7740C2FE" w14:textId="77777777" w:rsidR="00F36B82" w:rsidRPr="00471CBA" w:rsidRDefault="00F36B82" w:rsidP="00F36B82">
      <w:pPr>
        <w:pStyle w:val="ListeParagraf"/>
        <w:widowControl w:val="0"/>
        <w:autoSpaceDE w:val="0"/>
        <w:autoSpaceDN w:val="0"/>
        <w:adjustRightInd w:val="0"/>
        <w:spacing w:line="228" w:lineRule="auto"/>
        <w:ind w:left="851"/>
        <w:jc w:val="both"/>
        <w:rPr>
          <w:b/>
          <w:szCs w:val="20"/>
        </w:rPr>
      </w:pPr>
    </w:p>
    <w:p w14:paraId="1C1A2CE6" w14:textId="77777777" w:rsidR="00A67FD6" w:rsidRDefault="00A67FD6" w:rsidP="008459A9">
      <w:pPr>
        <w:numPr>
          <w:ilvl w:val="0"/>
          <w:numId w:val="96"/>
        </w:numPr>
        <w:tabs>
          <w:tab w:val="right" w:pos="5760"/>
          <w:tab w:val="right" w:pos="7320"/>
          <w:tab w:val="left" w:pos="7560"/>
          <w:tab w:val="right" w:pos="8863"/>
        </w:tabs>
        <w:spacing w:line="228" w:lineRule="auto"/>
        <w:ind w:left="851" w:hanging="851"/>
        <w:jc w:val="both"/>
        <w:rPr>
          <w:szCs w:val="20"/>
        </w:rPr>
      </w:pPr>
      <w:r w:rsidRPr="00471CBA">
        <w:rPr>
          <w:szCs w:val="20"/>
        </w:rPr>
        <w:t>Dönem başı ve dönem sonundaki brüt defter değeri ile birikmiş amortisman tutarları:</w:t>
      </w:r>
    </w:p>
    <w:p w14:paraId="4D26F9BC" w14:textId="77777777" w:rsidR="00F36B82" w:rsidRPr="00471CBA" w:rsidRDefault="00F36B82" w:rsidP="00F36B82">
      <w:pPr>
        <w:tabs>
          <w:tab w:val="right" w:pos="5760"/>
          <w:tab w:val="right" w:pos="7320"/>
          <w:tab w:val="left" w:pos="7560"/>
          <w:tab w:val="right" w:pos="8863"/>
        </w:tabs>
        <w:spacing w:line="228" w:lineRule="auto"/>
        <w:ind w:left="851"/>
        <w:jc w:val="both"/>
        <w:rPr>
          <w:szCs w:val="20"/>
        </w:rPr>
      </w:pPr>
    </w:p>
    <w:tbl>
      <w:tblPr>
        <w:tblW w:w="5000" w:type="pct"/>
        <w:tblLook w:val="0000" w:firstRow="0" w:lastRow="0" w:firstColumn="0" w:lastColumn="0" w:noHBand="0" w:noVBand="0"/>
      </w:tblPr>
      <w:tblGrid>
        <w:gridCol w:w="5631"/>
        <w:gridCol w:w="1877"/>
        <w:gridCol w:w="1847"/>
      </w:tblGrid>
      <w:tr w:rsidR="00A67FD6" w:rsidRPr="00471CBA" w14:paraId="06F59648" w14:textId="77777777" w:rsidTr="00B0049C">
        <w:trPr>
          <w:trHeight w:val="163"/>
        </w:trPr>
        <w:tc>
          <w:tcPr>
            <w:tcW w:w="3010" w:type="pct"/>
          </w:tcPr>
          <w:p w14:paraId="33392FB9" w14:textId="77777777" w:rsidR="00A67FD6" w:rsidRPr="00471CBA" w:rsidRDefault="00A67FD6" w:rsidP="00F36B82">
            <w:pPr>
              <w:autoSpaceDE w:val="0"/>
              <w:autoSpaceDN w:val="0"/>
              <w:adjustRightInd w:val="0"/>
              <w:spacing w:line="228" w:lineRule="auto"/>
              <w:rPr>
                <w:rFonts w:eastAsia="Arial Unicode MS"/>
                <w:b/>
                <w:sz w:val="18"/>
                <w:szCs w:val="20"/>
              </w:rPr>
            </w:pPr>
          </w:p>
        </w:tc>
        <w:tc>
          <w:tcPr>
            <w:tcW w:w="1003" w:type="pct"/>
            <w:tcBorders>
              <w:bottom w:val="single" w:sz="2" w:space="0" w:color="auto"/>
            </w:tcBorders>
            <w:vAlign w:val="center"/>
          </w:tcPr>
          <w:p w14:paraId="33E8A094" w14:textId="25376CD5" w:rsidR="00A67FD6" w:rsidRPr="00471CBA" w:rsidRDefault="00A67FD6" w:rsidP="00F36B82">
            <w:pPr>
              <w:spacing w:line="228" w:lineRule="auto"/>
              <w:ind w:firstLine="151"/>
              <w:jc w:val="right"/>
              <w:rPr>
                <w:rFonts w:eastAsia="Arial Unicode MS"/>
                <w:b/>
                <w:sz w:val="18"/>
                <w:szCs w:val="20"/>
              </w:rPr>
            </w:pPr>
            <w:r w:rsidRPr="00471CBA">
              <w:rPr>
                <w:b/>
                <w:sz w:val="18"/>
                <w:szCs w:val="20"/>
              </w:rPr>
              <w:t>31 Aralık 202</w:t>
            </w:r>
            <w:r w:rsidR="006E5AC0" w:rsidRPr="00471CBA">
              <w:rPr>
                <w:b/>
                <w:sz w:val="18"/>
                <w:szCs w:val="20"/>
              </w:rPr>
              <w:t>5</w:t>
            </w:r>
          </w:p>
        </w:tc>
        <w:tc>
          <w:tcPr>
            <w:tcW w:w="987" w:type="pct"/>
            <w:tcBorders>
              <w:bottom w:val="single" w:sz="2" w:space="0" w:color="auto"/>
            </w:tcBorders>
            <w:vAlign w:val="center"/>
          </w:tcPr>
          <w:p w14:paraId="7E651578" w14:textId="65DA5B46" w:rsidR="00A67FD6" w:rsidRPr="00471CBA" w:rsidRDefault="006E5AC0" w:rsidP="00F36B82">
            <w:pPr>
              <w:spacing w:line="228" w:lineRule="auto"/>
              <w:ind w:firstLine="151"/>
              <w:jc w:val="right"/>
              <w:rPr>
                <w:b/>
                <w:sz w:val="18"/>
                <w:szCs w:val="20"/>
              </w:rPr>
            </w:pPr>
            <w:r w:rsidRPr="00471CBA">
              <w:rPr>
                <w:b/>
                <w:sz w:val="18"/>
                <w:szCs w:val="20"/>
              </w:rPr>
              <w:t>31 Aralık 2024</w:t>
            </w:r>
          </w:p>
        </w:tc>
      </w:tr>
      <w:tr w:rsidR="00A67FD6" w:rsidRPr="00471CBA" w14:paraId="7FC63423" w14:textId="77777777" w:rsidTr="00B0049C">
        <w:trPr>
          <w:trHeight w:val="149"/>
        </w:trPr>
        <w:tc>
          <w:tcPr>
            <w:tcW w:w="3010" w:type="pct"/>
          </w:tcPr>
          <w:p w14:paraId="1692FB09" w14:textId="77777777" w:rsidR="00A67FD6" w:rsidRPr="00471CBA" w:rsidRDefault="00A67FD6" w:rsidP="00F36B82">
            <w:pPr>
              <w:autoSpaceDE w:val="0"/>
              <w:autoSpaceDN w:val="0"/>
              <w:adjustRightInd w:val="0"/>
              <w:spacing w:line="228" w:lineRule="auto"/>
              <w:rPr>
                <w:rFonts w:eastAsia="Arial Unicode MS"/>
                <w:sz w:val="18"/>
                <w:szCs w:val="20"/>
              </w:rPr>
            </w:pPr>
          </w:p>
        </w:tc>
        <w:tc>
          <w:tcPr>
            <w:tcW w:w="1003" w:type="pct"/>
            <w:tcBorders>
              <w:top w:val="single" w:sz="2" w:space="0" w:color="auto"/>
            </w:tcBorders>
          </w:tcPr>
          <w:p w14:paraId="1FB5488F" w14:textId="77777777" w:rsidR="00A67FD6" w:rsidRPr="00471CBA" w:rsidRDefault="00A67FD6" w:rsidP="00F36B82">
            <w:pPr>
              <w:autoSpaceDE w:val="0"/>
              <w:autoSpaceDN w:val="0"/>
              <w:adjustRightInd w:val="0"/>
              <w:spacing w:line="228" w:lineRule="auto"/>
              <w:jc w:val="right"/>
              <w:rPr>
                <w:rFonts w:eastAsia="Arial Unicode MS"/>
                <w:sz w:val="18"/>
                <w:szCs w:val="20"/>
              </w:rPr>
            </w:pPr>
          </w:p>
        </w:tc>
        <w:tc>
          <w:tcPr>
            <w:tcW w:w="987" w:type="pct"/>
            <w:tcBorders>
              <w:top w:val="single" w:sz="2" w:space="0" w:color="auto"/>
            </w:tcBorders>
          </w:tcPr>
          <w:p w14:paraId="08AD69F3" w14:textId="77777777" w:rsidR="00A67FD6" w:rsidRPr="00471CBA" w:rsidRDefault="00A67FD6" w:rsidP="00F36B82">
            <w:pPr>
              <w:autoSpaceDE w:val="0"/>
              <w:autoSpaceDN w:val="0"/>
              <w:adjustRightInd w:val="0"/>
              <w:spacing w:line="228" w:lineRule="auto"/>
              <w:jc w:val="right"/>
              <w:rPr>
                <w:rFonts w:eastAsia="Arial Unicode MS"/>
                <w:sz w:val="18"/>
                <w:szCs w:val="20"/>
              </w:rPr>
            </w:pPr>
          </w:p>
        </w:tc>
      </w:tr>
      <w:tr w:rsidR="006E5AC0" w:rsidRPr="00471CBA" w14:paraId="6871B212" w14:textId="77777777" w:rsidTr="00B0049C">
        <w:trPr>
          <w:trHeight w:val="149"/>
        </w:trPr>
        <w:tc>
          <w:tcPr>
            <w:tcW w:w="3010" w:type="pct"/>
          </w:tcPr>
          <w:p w14:paraId="71CB3100" w14:textId="77777777" w:rsidR="006E5AC0" w:rsidRPr="00471CBA" w:rsidRDefault="006E5AC0" w:rsidP="00F36B82">
            <w:pPr>
              <w:autoSpaceDE w:val="0"/>
              <w:autoSpaceDN w:val="0"/>
              <w:adjustRightInd w:val="0"/>
              <w:spacing w:line="228" w:lineRule="auto"/>
              <w:ind w:hanging="108"/>
              <w:rPr>
                <w:rFonts w:eastAsia="Arial Unicode MS"/>
                <w:sz w:val="18"/>
                <w:szCs w:val="20"/>
              </w:rPr>
            </w:pPr>
            <w:r w:rsidRPr="00471CBA">
              <w:rPr>
                <w:rFonts w:eastAsia="Arial Unicode MS"/>
                <w:sz w:val="18"/>
                <w:szCs w:val="20"/>
              </w:rPr>
              <w:t>Brüt defter değeri</w:t>
            </w:r>
          </w:p>
        </w:tc>
        <w:tc>
          <w:tcPr>
            <w:tcW w:w="1003" w:type="pct"/>
          </w:tcPr>
          <w:p w14:paraId="1B23CACF" w14:textId="282E4F86" w:rsidR="006E5AC0" w:rsidRPr="00471CBA" w:rsidRDefault="006E5AC0" w:rsidP="00F36B82">
            <w:pPr>
              <w:spacing w:line="228" w:lineRule="auto"/>
              <w:ind w:right="-13"/>
              <w:jc w:val="right"/>
              <w:rPr>
                <w:sz w:val="18"/>
                <w:szCs w:val="20"/>
              </w:rPr>
            </w:pPr>
            <w:r w:rsidRPr="00471CBA">
              <w:t>623.671</w:t>
            </w:r>
          </w:p>
        </w:tc>
        <w:tc>
          <w:tcPr>
            <w:tcW w:w="987" w:type="pct"/>
          </w:tcPr>
          <w:p w14:paraId="472819C7" w14:textId="03D8A27F" w:rsidR="006E5AC0" w:rsidRPr="00471CBA" w:rsidRDefault="006E5AC0" w:rsidP="00F36B82">
            <w:pPr>
              <w:spacing w:line="228" w:lineRule="auto"/>
              <w:ind w:right="-13"/>
              <w:jc w:val="right"/>
              <w:rPr>
                <w:sz w:val="18"/>
                <w:szCs w:val="20"/>
              </w:rPr>
            </w:pPr>
            <w:r w:rsidRPr="00471CBA">
              <w:t>245.527</w:t>
            </w:r>
          </w:p>
        </w:tc>
      </w:tr>
      <w:tr w:rsidR="006E5AC0" w:rsidRPr="00471CBA" w14:paraId="5ADE905C" w14:textId="77777777" w:rsidTr="00B0049C">
        <w:trPr>
          <w:trHeight w:val="149"/>
        </w:trPr>
        <w:tc>
          <w:tcPr>
            <w:tcW w:w="3010" w:type="pct"/>
          </w:tcPr>
          <w:p w14:paraId="6CC94104" w14:textId="77777777" w:rsidR="006E5AC0" w:rsidRPr="00471CBA" w:rsidRDefault="006E5AC0" w:rsidP="00F36B82">
            <w:pPr>
              <w:autoSpaceDE w:val="0"/>
              <w:autoSpaceDN w:val="0"/>
              <w:adjustRightInd w:val="0"/>
              <w:spacing w:line="228" w:lineRule="auto"/>
              <w:ind w:hanging="108"/>
              <w:rPr>
                <w:rFonts w:eastAsia="Arial Unicode MS"/>
                <w:sz w:val="18"/>
                <w:szCs w:val="20"/>
              </w:rPr>
            </w:pPr>
            <w:r w:rsidRPr="00471CBA">
              <w:rPr>
                <w:rFonts w:eastAsia="Arial Unicode MS"/>
                <w:sz w:val="18"/>
                <w:szCs w:val="20"/>
              </w:rPr>
              <w:t>Birikmiş amortisman (-)</w:t>
            </w:r>
          </w:p>
        </w:tc>
        <w:tc>
          <w:tcPr>
            <w:tcW w:w="1003" w:type="pct"/>
          </w:tcPr>
          <w:p w14:paraId="7FD0268B" w14:textId="7EED7064" w:rsidR="006E5AC0" w:rsidRPr="00471CBA" w:rsidRDefault="006E5AC0" w:rsidP="00F36B82">
            <w:pPr>
              <w:spacing w:line="228" w:lineRule="auto"/>
              <w:ind w:right="-13"/>
              <w:jc w:val="right"/>
              <w:rPr>
                <w:sz w:val="18"/>
                <w:szCs w:val="20"/>
              </w:rPr>
            </w:pPr>
            <w:r w:rsidRPr="00471CBA">
              <w:t>165.681</w:t>
            </w:r>
          </w:p>
        </w:tc>
        <w:tc>
          <w:tcPr>
            <w:tcW w:w="987" w:type="pct"/>
          </w:tcPr>
          <w:p w14:paraId="6F639881" w14:textId="21465E58" w:rsidR="006E5AC0" w:rsidRPr="00471CBA" w:rsidRDefault="006E5AC0" w:rsidP="00F36B82">
            <w:pPr>
              <w:spacing w:line="228" w:lineRule="auto"/>
              <w:ind w:right="-13"/>
              <w:jc w:val="right"/>
              <w:rPr>
                <w:sz w:val="18"/>
                <w:szCs w:val="20"/>
              </w:rPr>
            </w:pPr>
            <w:r w:rsidRPr="00471CBA">
              <w:t>32.969</w:t>
            </w:r>
          </w:p>
        </w:tc>
      </w:tr>
      <w:tr w:rsidR="006E5AC0" w:rsidRPr="00471CBA" w14:paraId="4458A504" w14:textId="77777777" w:rsidTr="00B0049C">
        <w:trPr>
          <w:trHeight w:val="149"/>
        </w:trPr>
        <w:tc>
          <w:tcPr>
            <w:tcW w:w="3010" w:type="pct"/>
            <w:tcBorders>
              <w:bottom w:val="single" w:sz="4" w:space="0" w:color="auto"/>
            </w:tcBorders>
          </w:tcPr>
          <w:p w14:paraId="2755113C" w14:textId="77777777" w:rsidR="006E5AC0" w:rsidRPr="00471CBA" w:rsidRDefault="006E5AC0" w:rsidP="00F36B82">
            <w:pPr>
              <w:autoSpaceDE w:val="0"/>
              <w:autoSpaceDN w:val="0"/>
              <w:adjustRightInd w:val="0"/>
              <w:spacing w:line="228" w:lineRule="auto"/>
              <w:rPr>
                <w:rFonts w:eastAsia="Arial Unicode MS"/>
                <w:sz w:val="18"/>
                <w:szCs w:val="20"/>
              </w:rPr>
            </w:pPr>
          </w:p>
        </w:tc>
        <w:tc>
          <w:tcPr>
            <w:tcW w:w="1003" w:type="pct"/>
            <w:tcBorders>
              <w:bottom w:val="single" w:sz="4" w:space="0" w:color="auto"/>
            </w:tcBorders>
          </w:tcPr>
          <w:p w14:paraId="0582EF49" w14:textId="77777777" w:rsidR="006E5AC0" w:rsidRPr="00471CBA" w:rsidRDefault="006E5AC0" w:rsidP="00F36B82">
            <w:pPr>
              <w:spacing w:line="228" w:lineRule="auto"/>
              <w:ind w:right="-13"/>
              <w:jc w:val="right"/>
              <w:rPr>
                <w:sz w:val="18"/>
                <w:szCs w:val="20"/>
              </w:rPr>
            </w:pPr>
          </w:p>
        </w:tc>
        <w:tc>
          <w:tcPr>
            <w:tcW w:w="987" w:type="pct"/>
            <w:tcBorders>
              <w:bottom w:val="single" w:sz="4" w:space="0" w:color="auto"/>
            </w:tcBorders>
          </w:tcPr>
          <w:p w14:paraId="0B2277C0" w14:textId="77777777" w:rsidR="006E5AC0" w:rsidRPr="00471CBA" w:rsidRDefault="006E5AC0" w:rsidP="00F36B82">
            <w:pPr>
              <w:spacing w:line="228" w:lineRule="auto"/>
              <w:ind w:right="-13"/>
              <w:jc w:val="right"/>
              <w:rPr>
                <w:sz w:val="18"/>
                <w:szCs w:val="20"/>
              </w:rPr>
            </w:pPr>
          </w:p>
        </w:tc>
      </w:tr>
      <w:tr w:rsidR="006E5AC0" w:rsidRPr="00471CBA" w14:paraId="6FF80024" w14:textId="77777777" w:rsidTr="00B0049C">
        <w:trPr>
          <w:trHeight w:val="149"/>
        </w:trPr>
        <w:tc>
          <w:tcPr>
            <w:tcW w:w="3010" w:type="pct"/>
            <w:tcBorders>
              <w:top w:val="single" w:sz="4" w:space="0" w:color="auto"/>
              <w:bottom w:val="single" w:sz="8" w:space="0" w:color="auto"/>
            </w:tcBorders>
          </w:tcPr>
          <w:p w14:paraId="17BF6100" w14:textId="77777777" w:rsidR="006E5AC0" w:rsidRPr="00471CBA" w:rsidRDefault="006E5AC0" w:rsidP="00F36B82">
            <w:pPr>
              <w:autoSpaceDE w:val="0"/>
              <w:autoSpaceDN w:val="0"/>
              <w:adjustRightInd w:val="0"/>
              <w:spacing w:line="228" w:lineRule="auto"/>
              <w:ind w:hanging="94"/>
              <w:rPr>
                <w:rFonts w:eastAsia="Arial Unicode MS"/>
                <w:b/>
                <w:sz w:val="18"/>
                <w:szCs w:val="20"/>
              </w:rPr>
            </w:pPr>
            <w:r w:rsidRPr="00471CBA">
              <w:rPr>
                <w:rFonts w:eastAsia="Arial Unicode MS"/>
                <w:b/>
                <w:sz w:val="18"/>
                <w:szCs w:val="20"/>
              </w:rPr>
              <w:t>Toplam (net)</w:t>
            </w:r>
          </w:p>
        </w:tc>
        <w:tc>
          <w:tcPr>
            <w:tcW w:w="1003" w:type="pct"/>
            <w:tcBorders>
              <w:top w:val="single" w:sz="4" w:space="0" w:color="auto"/>
              <w:bottom w:val="single" w:sz="8" w:space="0" w:color="auto"/>
            </w:tcBorders>
          </w:tcPr>
          <w:p w14:paraId="23F8E89C" w14:textId="020DDE62" w:rsidR="006E5AC0" w:rsidRPr="00471CBA" w:rsidRDefault="006E5AC0" w:rsidP="00F36B82">
            <w:pPr>
              <w:spacing w:line="228" w:lineRule="auto"/>
              <w:ind w:right="-13"/>
              <w:jc w:val="right"/>
              <w:rPr>
                <w:b/>
                <w:sz w:val="18"/>
                <w:szCs w:val="20"/>
              </w:rPr>
            </w:pPr>
            <w:r w:rsidRPr="00471CBA">
              <w:rPr>
                <w:b/>
              </w:rPr>
              <w:t>457.990</w:t>
            </w:r>
          </w:p>
        </w:tc>
        <w:tc>
          <w:tcPr>
            <w:tcW w:w="987" w:type="pct"/>
            <w:tcBorders>
              <w:top w:val="single" w:sz="4" w:space="0" w:color="auto"/>
              <w:bottom w:val="single" w:sz="8" w:space="0" w:color="auto"/>
            </w:tcBorders>
          </w:tcPr>
          <w:p w14:paraId="1F007793" w14:textId="7E33B052" w:rsidR="006E5AC0" w:rsidRPr="00471CBA" w:rsidRDefault="006E5AC0" w:rsidP="00F36B82">
            <w:pPr>
              <w:spacing w:line="228" w:lineRule="auto"/>
              <w:ind w:right="-13"/>
              <w:jc w:val="right"/>
              <w:rPr>
                <w:b/>
                <w:sz w:val="18"/>
                <w:szCs w:val="20"/>
              </w:rPr>
            </w:pPr>
            <w:r w:rsidRPr="00471CBA">
              <w:rPr>
                <w:b/>
              </w:rPr>
              <w:t>212.558</w:t>
            </w:r>
          </w:p>
        </w:tc>
      </w:tr>
    </w:tbl>
    <w:p w14:paraId="2E9F72A8" w14:textId="77777777" w:rsidR="00F36B82" w:rsidRDefault="00F36B82" w:rsidP="00F36B82">
      <w:pPr>
        <w:spacing w:line="228" w:lineRule="auto"/>
        <w:ind w:left="851"/>
        <w:jc w:val="both"/>
        <w:rPr>
          <w:szCs w:val="20"/>
        </w:rPr>
      </w:pPr>
    </w:p>
    <w:p w14:paraId="182A58B2" w14:textId="6B476FF8" w:rsidR="00A67FD6" w:rsidRDefault="00A67FD6" w:rsidP="008459A9">
      <w:pPr>
        <w:numPr>
          <w:ilvl w:val="0"/>
          <w:numId w:val="96"/>
        </w:numPr>
        <w:spacing w:line="228" w:lineRule="auto"/>
        <w:ind w:left="851" w:hanging="851"/>
        <w:jc w:val="both"/>
        <w:rPr>
          <w:szCs w:val="20"/>
        </w:rPr>
      </w:pPr>
      <w:r w:rsidRPr="00471CBA">
        <w:rPr>
          <w:szCs w:val="20"/>
        </w:rPr>
        <w:t>Dönem başı ve dönem sonu arasındaki hareket tablosu:</w:t>
      </w:r>
    </w:p>
    <w:p w14:paraId="06FD94C2" w14:textId="77777777" w:rsidR="00F36B82" w:rsidRPr="00471CBA" w:rsidRDefault="00F36B82" w:rsidP="00F36B82">
      <w:pPr>
        <w:spacing w:line="228" w:lineRule="auto"/>
        <w:ind w:left="851"/>
        <w:jc w:val="both"/>
        <w:rPr>
          <w:szCs w:val="20"/>
        </w:rPr>
      </w:pPr>
    </w:p>
    <w:tbl>
      <w:tblPr>
        <w:tblW w:w="5000" w:type="pct"/>
        <w:tblCellMar>
          <w:left w:w="54" w:type="dxa"/>
          <w:right w:w="54" w:type="dxa"/>
        </w:tblCellMar>
        <w:tblLook w:val="0000" w:firstRow="0" w:lastRow="0" w:firstColumn="0" w:lastColumn="0" w:noHBand="0" w:noVBand="0"/>
      </w:tblPr>
      <w:tblGrid>
        <w:gridCol w:w="5609"/>
        <w:gridCol w:w="1873"/>
        <w:gridCol w:w="1873"/>
      </w:tblGrid>
      <w:tr w:rsidR="006E5AC0" w:rsidRPr="00471CBA" w14:paraId="0CAB3DD6" w14:textId="605869CA" w:rsidTr="001219B9">
        <w:trPr>
          <w:trHeight w:val="138"/>
        </w:trPr>
        <w:tc>
          <w:tcPr>
            <w:tcW w:w="2998" w:type="pct"/>
          </w:tcPr>
          <w:p w14:paraId="2B9962A2" w14:textId="77777777" w:rsidR="006E5AC0" w:rsidRPr="00471CBA" w:rsidRDefault="006E5AC0" w:rsidP="00F36B82">
            <w:pPr>
              <w:autoSpaceDE w:val="0"/>
              <w:autoSpaceDN w:val="0"/>
              <w:adjustRightInd w:val="0"/>
              <w:spacing w:line="228" w:lineRule="auto"/>
              <w:ind w:left="-54"/>
              <w:rPr>
                <w:rFonts w:eastAsia="Arial Unicode MS"/>
                <w:b/>
                <w:szCs w:val="20"/>
              </w:rPr>
            </w:pPr>
          </w:p>
        </w:tc>
        <w:tc>
          <w:tcPr>
            <w:tcW w:w="1001" w:type="pct"/>
            <w:tcBorders>
              <w:bottom w:val="single" w:sz="6" w:space="0" w:color="000000"/>
            </w:tcBorders>
            <w:vAlign w:val="center"/>
          </w:tcPr>
          <w:p w14:paraId="36699CA5" w14:textId="5E12FBF2" w:rsidR="006E5AC0" w:rsidRPr="00471CBA" w:rsidRDefault="006E5AC0" w:rsidP="00F36B82">
            <w:pPr>
              <w:spacing w:line="228" w:lineRule="auto"/>
              <w:ind w:right="103" w:firstLine="102"/>
              <w:jc w:val="right"/>
              <w:rPr>
                <w:rFonts w:eastAsia="Arial Unicode MS"/>
                <w:b/>
                <w:szCs w:val="20"/>
              </w:rPr>
            </w:pPr>
            <w:r w:rsidRPr="00471CBA">
              <w:rPr>
                <w:b/>
                <w:sz w:val="18"/>
                <w:szCs w:val="20"/>
              </w:rPr>
              <w:t>31 Aralık 2025</w:t>
            </w:r>
          </w:p>
        </w:tc>
        <w:tc>
          <w:tcPr>
            <w:tcW w:w="1001" w:type="pct"/>
            <w:tcBorders>
              <w:bottom w:val="single" w:sz="6" w:space="0" w:color="000000"/>
            </w:tcBorders>
            <w:vAlign w:val="center"/>
          </w:tcPr>
          <w:p w14:paraId="3ADF4951" w14:textId="19586C60" w:rsidR="006E5AC0" w:rsidRPr="00471CBA" w:rsidRDefault="006E5AC0" w:rsidP="00F36B82">
            <w:pPr>
              <w:spacing w:line="228" w:lineRule="auto"/>
              <w:ind w:right="103" w:firstLine="102"/>
              <w:jc w:val="right"/>
              <w:rPr>
                <w:b/>
                <w:szCs w:val="20"/>
              </w:rPr>
            </w:pPr>
            <w:r w:rsidRPr="00471CBA">
              <w:rPr>
                <w:b/>
                <w:sz w:val="18"/>
                <w:szCs w:val="20"/>
              </w:rPr>
              <w:t>31 Aralık 2024</w:t>
            </w:r>
          </w:p>
        </w:tc>
      </w:tr>
      <w:tr w:rsidR="006E5AC0" w:rsidRPr="00471CBA" w14:paraId="7B71953B" w14:textId="230C8796" w:rsidTr="006E5AC0">
        <w:trPr>
          <w:trHeight w:val="138"/>
        </w:trPr>
        <w:tc>
          <w:tcPr>
            <w:tcW w:w="2998" w:type="pct"/>
          </w:tcPr>
          <w:p w14:paraId="206FF0B1" w14:textId="77777777" w:rsidR="006E5AC0" w:rsidRPr="00471CBA" w:rsidRDefault="006E5AC0" w:rsidP="00F36B82">
            <w:pPr>
              <w:autoSpaceDE w:val="0"/>
              <w:autoSpaceDN w:val="0"/>
              <w:adjustRightInd w:val="0"/>
              <w:spacing w:line="228" w:lineRule="auto"/>
              <w:ind w:left="-54"/>
              <w:rPr>
                <w:rFonts w:eastAsia="Arial Unicode MS"/>
                <w:b/>
                <w:szCs w:val="20"/>
              </w:rPr>
            </w:pPr>
          </w:p>
        </w:tc>
        <w:tc>
          <w:tcPr>
            <w:tcW w:w="1001" w:type="pct"/>
            <w:tcBorders>
              <w:top w:val="single" w:sz="6" w:space="0" w:color="000000"/>
            </w:tcBorders>
            <w:vAlign w:val="center"/>
          </w:tcPr>
          <w:p w14:paraId="017187C1" w14:textId="77777777" w:rsidR="006E5AC0" w:rsidRPr="00471CBA" w:rsidRDefault="006E5AC0" w:rsidP="00F36B82">
            <w:pPr>
              <w:spacing w:line="228" w:lineRule="auto"/>
              <w:ind w:right="103"/>
              <w:jc w:val="right"/>
              <w:rPr>
                <w:b/>
                <w:szCs w:val="20"/>
              </w:rPr>
            </w:pPr>
          </w:p>
        </w:tc>
        <w:tc>
          <w:tcPr>
            <w:tcW w:w="1001" w:type="pct"/>
            <w:tcBorders>
              <w:top w:val="single" w:sz="6" w:space="0" w:color="000000"/>
            </w:tcBorders>
          </w:tcPr>
          <w:p w14:paraId="32BA5332" w14:textId="77777777" w:rsidR="006E5AC0" w:rsidRPr="00471CBA" w:rsidRDefault="006E5AC0" w:rsidP="00F36B82">
            <w:pPr>
              <w:spacing w:line="228" w:lineRule="auto"/>
              <w:ind w:right="103"/>
              <w:jc w:val="right"/>
              <w:rPr>
                <w:b/>
                <w:szCs w:val="20"/>
              </w:rPr>
            </w:pPr>
          </w:p>
        </w:tc>
      </w:tr>
      <w:tr w:rsidR="00D171D5" w:rsidRPr="00471CBA" w14:paraId="10E8CAB8" w14:textId="31166681" w:rsidTr="006E5AC0">
        <w:trPr>
          <w:trHeight w:val="138"/>
        </w:trPr>
        <w:tc>
          <w:tcPr>
            <w:tcW w:w="2998" w:type="pct"/>
          </w:tcPr>
          <w:p w14:paraId="4F76F963" w14:textId="77777777" w:rsidR="00D171D5" w:rsidRPr="00471CBA" w:rsidRDefault="00D171D5" w:rsidP="00F36B82">
            <w:pPr>
              <w:autoSpaceDE w:val="0"/>
              <w:autoSpaceDN w:val="0"/>
              <w:adjustRightInd w:val="0"/>
              <w:spacing w:line="228" w:lineRule="auto"/>
              <w:ind w:left="-54"/>
              <w:rPr>
                <w:rFonts w:eastAsia="Arial Unicode MS"/>
                <w:szCs w:val="20"/>
              </w:rPr>
            </w:pPr>
            <w:r w:rsidRPr="00471CBA">
              <w:rPr>
                <w:rFonts w:eastAsia="Arial Unicode MS"/>
                <w:szCs w:val="20"/>
              </w:rPr>
              <w:t>Açılış bakiyesi</w:t>
            </w:r>
          </w:p>
        </w:tc>
        <w:tc>
          <w:tcPr>
            <w:tcW w:w="1001" w:type="pct"/>
          </w:tcPr>
          <w:p w14:paraId="224A2136" w14:textId="0C8F1567" w:rsidR="00D171D5" w:rsidRPr="00C11B1E" w:rsidRDefault="00D171D5" w:rsidP="00F36B82">
            <w:pPr>
              <w:spacing w:line="228" w:lineRule="auto"/>
              <w:ind w:right="103"/>
              <w:jc w:val="right"/>
              <w:rPr>
                <w:szCs w:val="20"/>
              </w:rPr>
            </w:pPr>
            <w:r w:rsidRPr="00C11B1E">
              <w:rPr>
                <w:szCs w:val="20"/>
              </w:rPr>
              <w:t>212.558</w:t>
            </w:r>
          </w:p>
        </w:tc>
        <w:tc>
          <w:tcPr>
            <w:tcW w:w="1001" w:type="pct"/>
          </w:tcPr>
          <w:p w14:paraId="43672553" w14:textId="2DF3C357" w:rsidR="00D171D5" w:rsidRPr="00471CBA" w:rsidRDefault="00D171D5" w:rsidP="00F36B82">
            <w:pPr>
              <w:spacing w:line="228" w:lineRule="auto"/>
              <w:ind w:right="103"/>
              <w:jc w:val="right"/>
              <w:rPr>
                <w:szCs w:val="20"/>
              </w:rPr>
            </w:pPr>
            <w:r w:rsidRPr="00471CBA">
              <w:rPr>
                <w:szCs w:val="20"/>
              </w:rPr>
              <w:t>5.575</w:t>
            </w:r>
          </w:p>
        </w:tc>
      </w:tr>
      <w:tr w:rsidR="00C67C1A" w:rsidRPr="00471CBA" w14:paraId="0642DB2B" w14:textId="670FBF69" w:rsidTr="006E5AC0">
        <w:trPr>
          <w:trHeight w:val="138"/>
        </w:trPr>
        <w:tc>
          <w:tcPr>
            <w:tcW w:w="2998" w:type="pct"/>
          </w:tcPr>
          <w:p w14:paraId="4DB5ADDD" w14:textId="77777777" w:rsidR="00C67C1A" w:rsidRPr="00471CBA" w:rsidRDefault="00C67C1A" w:rsidP="00F36B82">
            <w:pPr>
              <w:autoSpaceDE w:val="0"/>
              <w:autoSpaceDN w:val="0"/>
              <w:adjustRightInd w:val="0"/>
              <w:spacing w:line="228" w:lineRule="auto"/>
              <w:ind w:left="-54"/>
              <w:rPr>
                <w:rFonts w:eastAsia="Arial Unicode MS"/>
                <w:szCs w:val="20"/>
              </w:rPr>
            </w:pPr>
            <w:r w:rsidRPr="00471CBA">
              <w:rPr>
                <w:rFonts w:eastAsia="Arial Unicode MS"/>
                <w:szCs w:val="20"/>
              </w:rPr>
              <w:t>İktisap edilenler</w:t>
            </w:r>
          </w:p>
        </w:tc>
        <w:tc>
          <w:tcPr>
            <w:tcW w:w="1001" w:type="pct"/>
          </w:tcPr>
          <w:p w14:paraId="4DDBD9E4" w14:textId="48684F6E" w:rsidR="00C67C1A" w:rsidRPr="00C11B1E" w:rsidRDefault="00C67C1A" w:rsidP="00F36B82">
            <w:pPr>
              <w:spacing w:line="228" w:lineRule="auto"/>
              <w:ind w:right="103"/>
              <w:jc w:val="right"/>
              <w:rPr>
                <w:szCs w:val="20"/>
              </w:rPr>
            </w:pPr>
            <w:r w:rsidRPr="00C11B1E">
              <w:t>379.069</w:t>
            </w:r>
          </w:p>
        </w:tc>
        <w:tc>
          <w:tcPr>
            <w:tcW w:w="1001" w:type="pct"/>
          </w:tcPr>
          <w:p w14:paraId="622F0C50" w14:textId="7B99B87E" w:rsidR="00C67C1A" w:rsidRPr="00471CBA" w:rsidRDefault="00C67C1A" w:rsidP="00F36B82">
            <w:pPr>
              <w:spacing w:line="228" w:lineRule="auto"/>
              <w:ind w:right="103"/>
              <w:jc w:val="right"/>
              <w:rPr>
                <w:szCs w:val="20"/>
              </w:rPr>
            </w:pPr>
            <w:r w:rsidRPr="00471CBA">
              <w:rPr>
                <w:szCs w:val="20"/>
              </w:rPr>
              <w:t>239.733</w:t>
            </w:r>
          </w:p>
        </w:tc>
      </w:tr>
      <w:tr w:rsidR="00C67C1A" w:rsidRPr="00471CBA" w14:paraId="5D7057FE" w14:textId="41F84BDA" w:rsidTr="006E5AC0">
        <w:trPr>
          <w:trHeight w:val="138"/>
        </w:trPr>
        <w:tc>
          <w:tcPr>
            <w:tcW w:w="2998" w:type="pct"/>
          </w:tcPr>
          <w:p w14:paraId="4DDEC435" w14:textId="77777777" w:rsidR="00C67C1A" w:rsidRPr="00471CBA" w:rsidRDefault="00C67C1A" w:rsidP="00F36B82">
            <w:pPr>
              <w:autoSpaceDE w:val="0"/>
              <w:autoSpaceDN w:val="0"/>
              <w:adjustRightInd w:val="0"/>
              <w:spacing w:line="228" w:lineRule="auto"/>
              <w:ind w:left="-54"/>
              <w:rPr>
                <w:rFonts w:eastAsia="Arial Unicode MS"/>
                <w:szCs w:val="20"/>
              </w:rPr>
            </w:pPr>
            <w:r w:rsidRPr="00471CBA">
              <w:rPr>
                <w:rFonts w:eastAsia="Arial Unicode MS"/>
                <w:szCs w:val="20"/>
              </w:rPr>
              <w:t>Elden çıkarılanlar (-) (net)</w:t>
            </w:r>
          </w:p>
        </w:tc>
        <w:tc>
          <w:tcPr>
            <w:tcW w:w="1001" w:type="pct"/>
          </w:tcPr>
          <w:p w14:paraId="7619F8F2" w14:textId="1E18F1B2" w:rsidR="00C67C1A" w:rsidRPr="00C11B1E" w:rsidRDefault="00C67C1A" w:rsidP="00F36B82">
            <w:pPr>
              <w:spacing w:line="228" w:lineRule="auto"/>
              <w:ind w:right="103"/>
              <w:jc w:val="right"/>
              <w:rPr>
                <w:szCs w:val="20"/>
              </w:rPr>
            </w:pPr>
            <w:r w:rsidRPr="00C11B1E">
              <w:t>-</w:t>
            </w:r>
          </w:p>
        </w:tc>
        <w:tc>
          <w:tcPr>
            <w:tcW w:w="1001" w:type="pct"/>
          </w:tcPr>
          <w:p w14:paraId="6D82CE86" w14:textId="5347BC73" w:rsidR="00C67C1A" w:rsidRPr="00471CBA" w:rsidRDefault="00C67C1A" w:rsidP="00F36B82">
            <w:pPr>
              <w:spacing w:line="228" w:lineRule="auto"/>
              <w:ind w:right="103"/>
              <w:jc w:val="right"/>
              <w:rPr>
                <w:szCs w:val="20"/>
              </w:rPr>
            </w:pPr>
            <w:r w:rsidRPr="00471CBA">
              <w:rPr>
                <w:szCs w:val="20"/>
              </w:rPr>
              <w:t>-</w:t>
            </w:r>
          </w:p>
        </w:tc>
      </w:tr>
      <w:tr w:rsidR="00C67C1A" w:rsidRPr="00471CBA" w14:paraId="10AB3D0A" w14:textId="4E39CCD6" w:rsidTr="006E5AC0">
        <w:trPr>
          <w:trHeight w:val="138"/>
        </w:trPr>
        <w:tc>
          <w:tcPr>
            <w:tcW w:w="2998" w:type="pct"/>
          </w:tcPr>
          <w:p w14:paraId="39ECA3AF" w14:textId="77777777" w:rsidR="00C67C1A" w:rsidRPr="00471CBA" w:rsidRDefault="00C67C1A" w:rsidP="00F36B82">
            <w:pPr>
              <w:autoSpaceDE w:val="0"/>
              <w:autoSpaceDN w:val="0"/>
              <w:adjustRightInd w:val="0"/>
              <w:spacing w:line="228" w:lineRule="auto"/>
              <w:ind w:left="-54"/>
              <w:rPr>
                <w:rFonts w:eastAsia="Arial Unicode MS"/>
                <w:szCs w:val="20"/>
              </w:rPr>
            </w:pPr>
            <w:r w:rsidRPr="00471CBA">
              <w:rPr>
                <w:rFonts w:eastAsia="Arial Unicode MS"/>
                <w:szCs w:val="20"/>
              </w:rPr>
              <w:t>Amortisman bedeli (-)</w:t>
            </w:r>
          </w:p>
        </w:tc>
        <w:tc>
          <w:tcPr>
            <w:tcW w:w="1001" w:type="pct"/>
          </w:tcPr>
          <w:p w14:paraId="46504671" w14:textId="2D55B667" w:rsidR="00C67C1A" w:rsidRPr="00C11B1E" w:rsidRDefault="00C67C1A" w:rsidP="00F36B82">
            <w:pPr>
              <w:spacing w:line="228" w:lineRule="auto"/>
              <w:ind w:right="103"/>
              <w:jc w:val="right"/>
              <w:rPr>
                <w:szCs w:val="20"/>
              </w:rPr>
            </w:pPr>
            <w:r w:rsidRPr="00C11B1E">
              <w:t>133.637</w:t>
            </w:r>
          </w:p>
        </w:tc>
        <w:tc>
          <w:tcPr>
            <w:tcW w:w="1001" w:type="pct"/>
          </w:tcPr>
          <w:p w14:paraId="1A7405C9" w14:textId="0215593A" w:rsidR="00C67C1A" w:rsidRPr="00471CBA" w:rsidRDefault="00C67C1A" w:rsidP="00F36B82">
            <w:pPr>
              <w:spacing w:line="228" w:lineRule="auto"/>
              <w:ind w:right="103"/>
              <w:jc w:val="right"/>
              <w:rPr>
                <w:szCs w:val="20"/>
              </w:rPr>
            </w:pPr>
            <w:r w:rsidRPr="00471CBA">
              <w:rPr>
                <w:szCs w:val="20"/>
              </w:rPr>
              <w:t>32.750</w:t>
            </w:r>
          </w:p>
        </w:tc>
      </w:tr>
      <w:tr w:rsidR="00D171D5" w:rsidRPr="00471CBA" w14:paraId="68C51EAE" w14:textId="700EB3E7" w:rsidTr="006E5AC0">
        <w:trPr>
          <w:trHeight w:val="138"/>
        </w:trPr>
        <w:tc>
          <w:tcPr>
            <w:tcW w:w="2998" w:type="pct"/>
            <w:tcBorders>
              <w:bottom w:val="single" w:sz="6" w:space="0" w:color="000000"/>
            </w:tcBorders>
          </w:tcPr>
          <w:p w14:paraId="14514FE6" w14:textId="77777777" w:rsidR="00D171D5" w:rsidRPr="00471CBA" w:rsidRDefault="00D171D5" w:rsidP="00F36B82">
            <w:pPr>
              <w:autoSpaceDE w:val="0"/>
              <w:autoSpaceDN w:val="0"/>
              <w:adjustRightInd w:val="0"/>
              <w:spacing w:line="228" w:lineRule="auto"/>
              <w:ind w:left="-54"/>
              <w:rPr>
                <w:rFonts w:eastAsia="Arial Unicode MS"/>
                <w:b/>
                <w:szCs w:val="20"/>
              </w:rPr>
            </w:pPr>
          </w:p>
        </w:tc>
        <w:tc>
          <w:tcPr>
            <w:tcW w:w="1001" w:type="pct"/>
            <w:tcBorders>
              <w:bottom w:val="single" w:sz="6" w:space="0" w:color="000000"/>
            </w:tcBorders>
          </w:tcPr>
          <w:p w14:paraId="0E72E4ED" w14:textId="77777777" w:rsidR="00D171D5" w:rsidRPr="00C11B1E" w:rsidRDefault="00D171D5" w:rsidP="00F36B82">
            <w:pPr>
              <w:spacing w:line="228" w:lineRule="auto"/>
              <w:ind w:right="103"/>
              <w:jc w:val="right"/>
              <w:rPr>
                <w:szCs w:val="20"/>
              </w:rPr>
            </w:pPr>
          </w:p>
        </w:tc>
        <w:tc>
          <w:tcPr>
            <w:tcW w:w="1001" w:type="pct"/>
            <w:tcBorders>
              <w:bottom w:val="single" w:sz="6" w:space="0" w:color="000000"/>
            </w:tcBorders>
          </w:tcPr>
          <w:p w14:paraId="7F18947C" w14:textId="77777777" w:rsidR="00D171D5" w:rsidRPr="00471CBA" w:rsidRDefault="00D171D5" w:rsidP="00F36B82">
            <w:pPr>
              <w:spacing w:line="228" w:lineRule="auto"/>
              <w:ind w:right="103"/>
              <w:jc w:val="right"/>
              <w:rPr>
                <w:szCs w:val="20"/>
              </w:rPr>
            </w:pPr>
          </w:p>
        </w:tc>
      </w:tr>
      <w:tr w:rsidR="00D171D5" w:rsidRPr="00C11B1E" w14:paraId="0A3E312E" w14:textId="6D0544B7" w:rsidTr="006E5AC0">
        <w:trPr>
          <w:trHeight w:val="138"/>
        </w:trPr>
        <w:tc>
          <w:tcPr>
            <w:tcW w:w="2998" w:type="pct"/>
            <w:tcBorders>
              <w:top w:val="single" w:sz="6" w:space="0" w:color="000000"/>
              <w:bottom w:val="single" w:sz="8" w:space="0" w:color="auto"/>
            </w:tcBorders>
          </w:tcPr>
          <w:p w14:paraId="6D36D718" w14:textId="77777777" w:rsidR="00D171D5" w:rsidRPr="00C11B1E" w:rsidRDefault="00D171D5" w:rsidP="00F36B82">
            <w:pPr>
              <w:autoSpaceDE w:val="0"/>
              <w:autoSpaceDN w:val="0"/>
              <w:adjustRightInd w:val="0"/>
              <w:spacing w:line="228" w:lineRule="auto"/>
              <w:ind w:left="-54"/>
              <w:rPr>
                <w:rFonts w:eastAsia="Arial Unicode MS"/>
                <w:b/>
                <w:szCs w:val="20"/>
              </w:rPr>
            </w:pPr>
            <w:r w:rsidRPr="00C11B1E">
              <w:rPr>
                <w:rFonts w:eastAsia="Arial Unicode MS"/>
                <w:b/>
                <w:szCs w:val="20"/>
              </w:rPr>
              <w:t xml:space="preserve">Kapanış net defter değeri </w:t>
            </w:r>
          </w:p>
        </w:tc>
        <w:tc>
          <w:tcPr>
            <w:tcW w:w="1001" w:type="pct"/>
            <w:tcBorders>
              <w:top w:val="single" w:sz="6" w:space="0" w:color="000000"/>
              <w:bottom w:val="single" w:sz="8" w:space="0" w:color="auto"/>
            </w:tcBorders>
          </w:tcPr>
          <w:p w14:paraId="6BE6A469" w14:textId="6E23C745" w:rsidR="00D171D5" w:rsidRPr="00C11B1E" w:rsidRDefault="00D171D5" w:rsidP="00F36B82">
            <w:pPr>
              <w:spacing w:line="228" w:lineRule="auto"/>
              <w:ind w:right="103"/>
              <w:jc w:val="right"/>
              <w:rPr>
                <w:b/>
                <w:szCs w:val="20"/>
              </w:rPr>
            </w:pPr>
            <w:r w:rsidRPr="00C11B1E">
              <w:rPr>
                <w:b/>
                <w:szCs w:val="20"/>
              </w:rPr>
              <w:t>457.990</w:t>
            </w:r>
          </w:p>
        </w:tc>
        <w:tc>
          <w:tcPr>
            <w:tcW w:w="1001" w:type="pct"/>
            <w:tcBorders>
              <w:top w:val="single" w:sz="6" w:space="0" w:color="000000"/>
              <w:bottom w:val="single" w:sz="8" w:space="0" w:color="auto"/>
            </w:tcBorders>
          </w:tcPr>
          <w:p w14:paraId="7E2A216E" w14:textId="080CCA8F" w:rsidR="00D171D5" w:rsidRPr="00C11B1E" w:rsidRDefault="00D171D5" w:rsidP="00F36B82">
            <w:pPr>
              <w:spacing w:line="228" w:lineRule="auto"/>
              <w:ind w:right="103"/>
              <w:jc w:val="right"/>
              <w:rPr>
                <w:b/>
                <w:szCs w:val="20"/>
              </w:rPr>
            </w:pPr>
            <w:r w:rsidRPr="00C11B1E">
              <w:rPr>
                <w:b/>
                <w:szCs w:val="20"/>
              </w:rPr>
              <w:t>212.558</w:t>
            </w:r>
          </w:p>
        </w:tc>
      </w:tr>
    </w:tbl>
    <w:p w14:paraId="35AD9904" w14:textId="77777777" w:rsidR="005E33B1" w:rsidRPr="00F36B82" w:rsidRDefault="005E33B1" w:rsidP="00F36B82">
      <w:pPr>
        <w:widowControl w:val="0"/>
        <w:spacing w:line="228" w:lineRule="auto"/>
        <w:ind w:left="851"/>
        <w:jc w:val="both"/>
        <w:rPr>
          <w:rFonts w:eastAsia="Arial Unicode MS"/>
          <w:iCs/>
          <w:sz w:val="16"/>
          <w:szCs w:val="16"/>
        </w:rPr>
      </w:pPr>
    </w:p>
    <w:p w14:paraId="4027A564" w14:textId="77777777" w:rsidR="00B41104" w:rsidRPr="00471CBA" w:rsidRDefault="00B41104" w:rsidP="00F36B82">
      <w:pPr>
        <w:pStyle w:val="ListeParagraf"/>
        <w:widowControl w:val="0"/>
        <w:numPr>
          <w:ilvl w:val="0"/>
          <w:numId w:val="43"/>
        </w:numPr>
        <w:tabs>
          <w:tab w:val="clear" w:pos="540"/>
        </w:tabs>
        <w:autoSpaceDE w:val="0"/>
        <w:autoSpaceDN w:val="0"/>
        <w:adjustRightInd w:val="0"/>
        <w:spacing w:line="228" w:lineRule="auto"/>
        <w:ind w:left="567" w:hanging="567"/>
        <w:jc w:val="both"/>
        <w:rPr>
          <w:b/>
          <w:szCs w:val="20"/>
        </w:rPr>
      </w:pPr>
      <w:bookmarkStart w:id="119" w:name="_Hlk196475249"/>
      <w:bookmarkEnd w:id="114"/>
      <w:r w:rsidRPr="00471CBA">
        <w:rPr>
          <w:b/>
          <w:szCs w:val="20"/>
        </w:rPr>
        <w:t>Yatırım amaçlı gayrimenkullere ilişkin açıklamalar:</w:t>
      </w:r>
    </w:p>
    <w:p w14:paraId="4C00BD81" w14:textId="77777777" w:rsidR="00B41104" w:rsidRPr="00F36B82" w:rsidRDefault="00B41104" w:rsidP="00F36B82">
      <w:pPr>
        <w:widowControl w:val="0"/>
        <w:spacing w:line="228" w:lineRule="auto"/>
        <w:ind w:left="14" w:right="-158"/>
        <w:jc w:val="both"/>
        <w:rPr>
          <w:sz w:val="16"/>
          <w:szCs w:val="16"/>
        </w:rPr>
      </w:pPr>
    </w:p>
    <w:p w14:paraId="07BA53AC" w14:textId="61E0A017" w:rsidR="00205FC9" w:rsidRPr="00471CBA" w:rsidRDefault="00205FC9" w:rsidP="00F36B82">
      <w:pPr>
        <w:widowControl w:val="0"/>
        <w:spacing w:line="228" w:lineRule="auto"/>
        <w:ind w:right="-158"/>
        <w:jc w:val="both"/>
        <w:rPr>
          <w:bCs/>
          <w:szCs w:val="20"/>
        </w:rPr>
      </w:pPr>
      <w:r w:rsidRPr="00471CBA">
        <w:rPr>
          <w:bCs/>
          <w:szCs w:val="20"/>
        </w:rPr>
        <w:t xml:space="preserve">Banka’nın </w:t>
      </w:r>
      <w:r w:rsidR="00AC4814" w:rsidRPr="00471CBA">
        <w:rPr>
          <w:bCs/>
          <w:szCs w:val="20"/>
        </w:rPr>
        <w:t>31 Aralık</w:t>
      </w:r>
      <w:r w:rsidR="00932390" w:rsidRPr="00471CBA">
        <w:rPr>
          <w:bCs/>
          <w:szCs w:val="20"/>
        </w:rPr>
        <w:t xml:space="preserve"> 2025</w:t>
      </w:r>
      <w:r w:rsidRPr="00471CBA">
        <w:rPr>
          <w:bCs/>
          <w:szCs w:val="20"/>
        </w:rPr>
        <w:t xml:space="preserve"> tarihi itibarıyla yatırım amaçlı gayrimenkulü b</w:t>
      </w:r>
      <w:r w:rsidRPr="00471CBA">
        <w:rPr>
          <w:szCs w:val="20"/>
        </w:rPr>
        <w:t xml:space="preserve">ulunmamaktadır </w:t>
      </w:r>
      <w:r w:rsidRPr="00471CBA">
        <w:rPr>
          <w:bCs/>
          <w:szCs w:val="20"/>
        </w:rPr>
        <w:t>(</w:t>
      </w:r>
      <w:r w:rsidR="00184C3E" w:rsidRPr="00471CBA">
        <w:rPr>
          <w:bCs/>
          <w:szCs w:val="20"/>
        </w:rPr>
        <w:t>31 Aralık 2024</w:t>
      </w:r>
      <w:r w:rsidRPr="00471CBA">
        <w:rPr>
          <w:bCs/>
          <w:szCs w:val="20"/>
        </w:rPr>
        <w:t xml:space="preserve">: </w:t>
      </w:r>
      <w:r w:rsidR="00184C3E" w:rsidRPr="00471CBA">
        <w:rPr>
          <w:bCs/>
          <w:szCs w:val="20"/>
        </w:rPr>
        <w:t>B</w:t>
      </w:r>
      <w:r w:rsidR="00184C3E" w:rsidRPr="00471CBA">
        <w:rPr>
          <w:szCs w:val="20"/>
        </w:rPr>
        <w:t>ulunmamaktadır</w:t>
      </w:r>
      <w:r w:rsidRPr="00471CBA">
        <w:rPr>
          <w:bCs/>
          <w:szCs w:val="20"/>
        </w:rPr>
        <w:t>).</w:t>
      </w:r>
    </w:p>
    <w:p w14:paraId="4C5F7541" w14:textId="77777777" w:rsidR="00205FC9" w:rsidRPr="00F36B82" w:rsidRDefault="00205FC9" w:rsidP="00F36B82">
      <w:pPr>
        <w:widowControl w:val="0"/>
        <w:spacing w:line="228" w:lineRule="auto"/>
        <w:ind w:left="851" w:right="-158"/>
        <w:jc w:val="both"/>
        <w:rPr>
          <w:bCs/>
          <w:sz w:val="16"/>
          <w:szCs w:val="16"/>
        </w:rPr>
      </w:pPr>
    </w:p>
    <w:tbl>
      <w:tblPr>
        <w:tblW w:w="5000" w:type="pct"/>
        <w:tblLook w:val="0000" w:firstRow="0" w:lastRow="0" w:firstColumn="0" w:lastColumn="0" w:noHBand="0" w:noVBand="0"/>
      </w:tblPr>
      <w:tblGrid>
        <w:gridCol w:w="4677"/>
        <w:gridCol w:w="4678"/>
      </w:tblGrid>
      <w:tr w:rsidR="00080449" w:rsidRPr="00471CBA" w14:paraId="36F61028" w14:textId="77777777" w:rsidTr="00080449">
        <w:trPr>
          <w:trHeight w:val="125"/>
        </w:trPr>
        <w:tc>
          <w:tcPr>
            <w:tcW w:w="2500" w:type="pct"/>
            <w:vAlign w:val="bottom"/>
          </w:tcPr>
          <w:p w14:paraId="3DD501A3" w14:textId="67306FAB" w:rsidR="00080449" w:rsidRPr="00471CBA" w:rsidRDefault="00080449" w:rsidP="00F36B82">
            <w:pPr>
              <w:pStyle w:val="GvdeMetniGirintisi"/>
              <w:tabs>
                <w:tab w:val="left" w:pos="900"/>
              </w:tabs>
              <w:spacing w:line="228" w:lineRule="auto"/>
              <w:ind w:left="-108" w:firstLine="0"/>
              <w:jc w:val="left"/>
              <w:rPr>
                <w:b/>
                <w:bCs/>
                <w:szCs w:val="20"/>
              </w:rPr>
            </w:pPr>
          </w:p>
        </w:tc>
        <w:tc>
          <w:tcPr>
            <w:tcW w:w="2500" w:type="pct"/>
            <w:tcBorders>
              <w:bottom w:val="single" w:sz="4" w:space="0" w:color="auto"/>
            </w:tcBorders>
            <w:vAlign w:val="bottom"/>
          </w:tcPr>
          <w:p w14:paraId="2FAC98E4" w14:textId="7C261704" w:rsidR="00080449" w:rsidRPr="00471CBA" w:rsidRDefault="00AC4814" w:rsidP="00F36B82">
            <w:pPr>
              <w:spacing w:line="228" w:lineRule="auto"/>
              <w:ind w:left="-93"/>
              <w:jc w:val="right"/>
              <w:rPr>
                <w:b/>
                <w:bCs/>
                <w:szCs w:val="20"/>
              </w:rPr>
            </w:pPr>
            <w:r w:rsidRPr="00471CBA">
              <w:rPr>
                <w:b/>
                <w:bCs/>
                <w:szCs w:val="20"/>
              </w:rPr>
              <w:t>31 Aralık 2025</w:t>
            </w:r>
          </w:p>
        </w:tc>
      </w:tr>
      <w:tr w:rsidR="00080449" w:rsidRPr="00471CBA" w14:paraId="03A8BFA6" w14:textId="77777777" w:rsidTr="00080449">
        <w:trPr>
          <w:trHeight w:val="125"/>
        </w:trPr>
        <w:tc>
          <w:tcPr>
            <w:tcW w:w="2500" w:type="pct"/>
            <w:vAlign w:val="bottom"/>
          </w:tcPr>
          <w:p w14:paraId="586C0CE7" w14:textId="77777777" w:rsidR="00080449" w:rsidRPr="00471CBA" w:rsidRDefault="00080449" w:rsidP="00F36B82">
            <w:pPr>
              <w:pStyle w:val="GvdeMetniGirintisi"/>
              <w:tabs>
                <w:tab w:val="left" w:pos="900"/>
              </w:tabs>
              <w:spacing w:line="228" w:lineRule="auto"/>
              <w:ind w:left="-108" w:firstLine="0"/>
              <w:jc w:val="left"/>
              <w:rPr>
                <w:b/>
                <w:bCs/>
                <w:szCs w:val="20"/>
              </w:rPr>
            </w:pPr>
          </w:p>
        </w:tc>
        <w:tc>
          <w:tcPr>
            <w:tcW w:w="2500" w:type="pct"/>
            <w:tcBorders>
              <w:top w:val="single" w:sz="4" w:space="0" w:color="auto"/>
            </w:tcBorders>
            <w:vAlign w:val="bottom"/>
          </w:tcPr>
          <w:p w14:paraId="4437EB6F" w14:textId="77777777" w:rsidR="00080449" w:rsidRPr="00471CBA" w:rsidRDefault="00080449" w:rsidP="00F36B82">
            <w:pPr>
              <w:spacing w:line="228" w:lineRule="auto"/>
              <w:ind w:left="-93"/>
              <w:jc w:val="right"/>
              <w:rPr>
                <w:b/>
                <w:bCs/>
                <w:szCs w:val="20"/>
              </w:rPr>
            </w:pPr>
          </w:p>
        </w:tc>
      </w:tr>
      <w:tr w:rsidR="00080449" w:rsidRPr="00471CBA" w14:paraId="592C96AC" w14:textId="77777777" w:rsidTr="00080449">
        <w:trPr>
          <w:trHeight w:val="125"/>
        </w:trPr>
        <w:tc>
          <w:tcPr>
            <w:tcW w:w="2500" w:type="pct"/>
            <w:vAlign w:val="center"/>
          </w:tcPr>
          <w:p w14:paraId="18D6B1AA" w14:textId="77777777" w:rsidR="00080449" w:rsidRPr="00471CBA" w:rsidRDefault="00080449" w:rsidP="00F36B82">
            <w:pPr>
              <w:pStyle w:val="GvdeMetniGirintisi"/>
              <w:tabs>
                <w:tab w:val="left" w:pos="900"/>
              </w:tabs>
              <w:spacing w:line="228" w:lineRule="auto"/>
              <w:ind w:left="-108" w:firstLine="0"/>
              <w:jc w:val="left"/>
              <w:rPr>
                <w:szCs w:val="20"/>
              </w:rPr>
            </w:pPr>
            <w:r w:rsidRPr="00471CBA">
              <w:rPr>
                <w:b/>
                <w:bCs/>
                <w:szCs w:val="20"/>
                <w:lang w:eastAsia="tr-TR"/>
              </w:rPr>
              <w:t>Açılış</w:t>
            </w:r>
          </w:p>
        </w:tc>
        <w:tc>
          <w:tcPr>
            <w:tcW w:w="2500" w:type="pct"/>
            <w:vAlign w:val="bottom"/>
          </w:tcPr>
          <w:p w14:paraId="7F6A8625" w14:textId="04F775A8" w:rsidR="00080449" w:rsidRPr="00471CBA" w:rsidRDefault="00080449" w:rsidP="00F36B82">
            <w:pPr>
              <w:pStyle w:val="GvdeMetniGirintisi"/>
              <w:tabs>
                <w:tab w:val="left" w:pos="1166"/>
              </w:tabs>
              <w:spacing w:line="228" w:lineRule="auto"/>
              <w:ind w:firstLine="716"/>
              <w:jc w:val="right"/>
              <w:rPr>
                <w:b/>
                <w:bCs/>
                <w:szCs w:val="20"/>
              </w:rPr>
            </w:pPr>
            <w:r w:rsidRPr="00471CBA">
              <w:rPr>
                <w:b/>
                <w:bCs/>
                <w:szCs w:val="20"/>
              </w:rPr>
              <w:t>-</w:t>
            </w:r>
          </w:p>
        </w:tc>
      </w:tr>
      <w:tr w:rsidR="00080449" w:rsidRPr="00471CBA" w14:paraId="6A39E808" w14:textId="77777777" w:rsidTr="00080449">
        <w:trPr>
          <w:trHeight w:val="125"/>
        </w:trPr>
        <w:tc>
          <w:tcPr>
            <w:tcW w:w="2500" w:type="pct"/>
            <w:vAlign w:val="center"/>
          </w:tcPr>
          <w:p w14:paraId="1E9D2EE3" w14:textId="77777777" w:rsidR="00080449" w:rsidRPr="00471CBA" w:rsidRDefault="00080449" w:rsidP="00F36B82">
            <w:pPr>
              <w:pStyle w:val="GvdeMetniGirintisi"/>
              <w:tabs>
                <w:tab w:val="left" w:pos="900"/>
              </w:tabs>
              <w:spacing w:line="228" w:lineRule="auto"/>
              <w:ind w:left="-108" w:firstLine="0"/>
              <w:jc w:val="left"/>
              <w:rPr>
                <w:szCs w:val="20"/>
              </w:rPr>
            </w:pPr>
            <w:r w:rsidRPr="00471CBA">
              <w:rPr>
                <w:szCs w:val="20"/>
                <w:lang w:eastAsia="tr-TR"/>
              </w:rPr>
              <w:t>Girişler</w:t>
            </w:r>
          </w:p>
        </w:tc>
        <w:tc>
          <w:tcPr>
            <w:tcW w:w="2500" w:type="pct"/>
            <w:vAlign w:val="bottom"/>
          </w:tcPr>
          <w:p w14:paraId="0F1C6B3F" w14:textId="0A758120" w:rsidR="00080449" w:rsidRPr="00471CBA" w:rsidRDefault="00080449" w:rsidP="00F36B82">
            <w:pPr>
              <w:pStyle w:val="GvdeMetniGirintisi"/>
              <w:tabs>
                <w:tab w:val="left" w:pos="1166"/>
              </w:tabs>
              <w:spacing w:line="228" w:lineRule="auto"/>
              <w:ind w:firstLine="716"/>
              <w:jc w:val="right"/>
              <w:rPr>
                <w:szCs w:val="20"/>
              </w:rPr>
            </w:pPr>
            <w:r w:rsidRPr="00471CBA">
              <w:rPr>
                <w:szCs w:val="20"/>
              </w:rPr>
              <w:t>-</w:t>
            </w:r>
          </w:p>
        </w:tc>
      </w:tr>
      <w:tr w:rsidR="00080449" w:rsidRPr="00471CBA" w14:paraId="1A378F39" w14:textId="77777777" w:rsidTr="00080449">
        <w:trPr>
          <w:trHeight w:val="125"/>
        </w:trPr>
        <w:tc>
          <w:tcPr>
            <w:tcW w:w="2500" w:type="pct"/>
            <w:vAlign w:val="center"/>
          </w:tcPr>
          <w:p w14:paraId="4A876202" w14:textId="77777777" w:rsidR="00080449" w:rsidRPr="00471CBA" w:rsidRDefault="00080449" w:rsidP="00F36B82">
            <w:pPr>
              <w:pStyle w:val="GvdeMetniGirintisi"/>
              <w:tabs>
                <w:tab w:val="left" w:pos="900"/>
              </w:tabs>
              <w:spacing w:line="228" w:lineRule="auto"/>
              <w:ind w:left="-108" w:firstLine="0"/>
              <w:jc w:val="left"/>
              <w:rPr>
                <w:szCs w:val="20"/>
              </w:rPr>
            </w:pPr>
            <w:r w:rsidRPr="00471CBA">
              <w:rPr>
                <w:szCs w:val="20"/>
                <w:lang w:eastAsia="tr-TR"/>
              </w:rPr>
              <w:t>Satışlar (-)</w:t>
            </w:r>
          </w:p>
        </w:tc>
        <w:tc>
          <w:tcPr>
            <w:tcW w:w="2500" w:type="pct"/>
            <w:vAlign w:val="bottom"/>
          </w:tcPr>
          <w:p w14:paraId="46C7BE2B" w14:textId="29BBF103" w:rsidR="00080449" w:rsidRPr="00471CBA" w:rsidRDefault="00080449" w:rsidP="00F36B82">
            <w:pPr>
              <w:pStyle w:val="GvdeMetniGirintisi"/>
              <w:tabs>
                <w:tab w:val="left" w:pos="1166"/>
              </w:tabs>
              <w:spacing w:line="228" w:lineRule="auto"/>
              <w:ind w:firstLine="716"/>
              <w:jc w:val="right"/>
              <w:rPr>
                <w:szCs w:val="20"/>
              </w:rPr>
            </w:pPr>
            <w:r w:rsidRPr="00471CBA">
              <w:rPr>
                <w:szCs w:val="20"/>
              </w:rPr>
              <w:t>-</w:t>
            </w:r>
          </w:p>
        </w:tc>
      </w:tr>
      <w:tr w:rsidR="00080449" w:rsidRPr="00471CBA" w14:paraId="19D3F1AB" w14:textId="77777777" w:rsidTr="00080449">
        <w:trPr>
          <w:trHeight w:val="125"/>
        </w:trPr>
        <w:tc>
          <w:tcPr>
            <w:tcW w:w="2500" w:type="pct"/>
            <w:vAlign w:val="center"/>
          </w:tcPr>
          <w:p w14:paraId="607E4004" w14:textId="77777777" w:rsidR="00080449" w:rsidRPr="00471CBA" w:rsidRDefault="00080449" w:rsidP="00F36B82">
            <w:pPr>
              <w:pStyle w:val="GvdeMetniGirintisi"/>
              <w:tabs>
                <w:tab w:val="left" w:pos="900"/>
              </w:tabs>
              <w:spacing w:line="228" w:lineRule="auto"/>
              <w:ind w:left="-108" w:firstLine="0"/>
              <w:jc w:val="left"/>
              <w:rPr>
                <w:szCs w:val="20"/>
              </w:rPr>
            </w:pPr>
            <w:r w:rsidRPr="00471CBA">
              <w:rPr>
                <w:szCs w:val="20"/>
                <w:lang w:eastAsia="tr-TR"/>
              </w:rPr>
              <w:t xml:space="preserve">Transferler </w:t>
            </w:r>
            <w:r w:rsidRPr="00471CBA">
              <w:rPr>
                <w:szCs w:val="20"/>
                <w:vertAlign w:val="superscript"/>
                <w:lang w:eastAsia="tr-TR"/>
              </w:rPr>
              <w:t>(*)</w:t>
            </w:r>
          </w:p>
        </w:tc>
        <w:tc>
          <w:tcPr>
            <w:tcW w:w="2500" w:type="pct"/>
            <w:vAlign w:val="bottom"/>
          </w:tcPr>
          <w:p w14:paraId="666AD023" w14:textId="7C3E4DD5" w:rsidR="00080449" w:rsidRPr="00471CBA" w:rsidRDefault="00080449" w:rsidP="00F36B82">
            <w:pPr>
              <w:pStyle w:val="GvdeMetniGirintisi"/>
              <w:tabs>
                <w:tab w:val="left" w:pos="1166"/>
              </w:tabs>
              <w:spacing w:line="228" w:lineRule="auto"/>
              <w:ind w:firstLine="716"/>
              <w:jc w:val="right"/>
              <w:rPr>
                <w:szCs w:val="20"/>
              </w:rPr>
            </w:pPr>
            <w:r w:rsidRPr="00471CBA">
              <w:rPr>
                <w:szCs w:val="20"/>
              </w:rPr>
              <w:t>-</w:t>
            </w:r>
          </w:p>
        </w:tc>
      </w:tr>
      <w:tr w:rsidR="00080449" w:rsidRPr="00471CBA" w14:paraId="62177609" w14:textId="77777777" w:rsidTr="00080449">
        <w:trPr>
          <w:trHeight w:val="125"/>
        </w:trPr>
        <w:tc>
          <w:tcPr>
            <w:tcW w:w="2500" w:type="pct"/>
            <w:tcBorders>
              <w:bottom w:val="single" w:sz="4" w:space="0" w:color="auto"/>
            </w:tcBorders>
            <w:vAlign w:val="bottom"/>
          </w:tcPr>
          <w:p w14:paraId="72EAF221" w14:textId="57B1509F" w:rsidR="00080449" w:rsidRPr="00471CBA" w:rsidRDefault="00080449" w:rsidP="00F36B82">
            <w:pPr>
              <w:pStyle w:val="GvdeMetniGirintisi"/>
              <w:tabs>
                <w:tab w:val="left" w:pos="900"/>
              </w:tabs>
              <w:spacing w:line="228" w:lineRule="auto"/>
              <w:ind w:left="-108" w:firstLine="0"/>
              <w:jc w:val="left"/>
              <w:rPr>
                <w:szCs w:val="20"/>
              </w:rPr>
            </w:pPr>
            <w:r w:rsidRPr="00471CBA">
              <w:rPr>
                <w:szCs w:val="20"/>
                <w:lang w:eastAsia="tr-TR"/>
              </w:rPr>
              <w:t>Yeniden değerleme tutarı</w:t>
            </w:r>
          </w:p>
        </w:tc>
        <w:tc>
          <w:tcPr>
            <w:tcW w:w="2500" w:type="pct"/>
            <w:tcBorders>
              <w:bottom w:val="single" w:sz="4" w:space="0" w:color="auto"/>
            </w:tcBorders>
            <w:vAlign w:val="bottom"/>
          </w:tcPr>
          <w:p w14:paraId="3A57C0FE" w14:textId="2A6801C6" w:rsidR="00080449" w:rsidRPr="00471CBA" w:rsidRDefault="00080449" w:rsidP="00F36B82">
            <w:pPr>
              <w:pStyle w:val="GvdeMetniGirintisi"/>
              <w:tabs>
                <w:tab w:val="left" w:pos="1166"/>
              </w:tabs>
              <w:spacing w:line="228" w:lineRule="auto"/>
              <w:ind w:firstLine="716"/>
              <w:jc w:val="right"/>
              <w:rPr>
                <w:szCs w:val="20"/>
              </w:rPr>
            </w:pPr>
            <w:r w:rsidRPr="00471CBA">
              <w:rPr>
                <w:szCs w:val="20"/>
              </w:rPr>
              <w:t>-</w:t>
            </w:r>
          </w:p>
        </w:tc>
      </w:tr>
      <w:tr w:rsidR="00080449" w:rsidRPr="00471CBA" w14:paraId="0D2F7835" w14:textId="77777777" w:rsidTr="00080449">
        <w:trPr>
          <w:trHeight w:val="125"/>
        </w:trPr>
        <w:tc>
          <w:tcPr>
            <w:tcW w:w="2500" w:type="pct"/>
            <w:tcBorders>
              <w:top w:val="single" w:sz="4" w:space="0" w:color="auto"/>
            </w:tcBorders>
            <w:vAlign w:val="bottom"/>
          </w:tcPr>
          <w:p w14:paraId="3ABE66F2" w14:textId="77777777" w:rsidR="00080449" w:rsidRPr="00471CBA" w:rsidRDefault="00080449" w:rsidP="00F36B82">
            <w:pPr>
              <w:pStyle w:val="GvdeMetniGirintisi"/>
              <w:tabs>
                <w:tab w:val="left" w:pos="900"/>
              </w:tabs>
              <w:spacing w:line="228" w:lineRule="auto"/>
              <w:ind w:left="-108" w:firstLine="0"/>
              <w:jc w:val="left"/>
              <w:rPr>
                <w:szCs w:val="20"/>
                <w:lang w:eastAsia="tr-TR"/>
              </w:rPr>
            </w:pPr>
          </w:p>
        </w:tc>
        <w:tc>
          <w:tcPr>
            <w:tcW w:w="2500" w:type="pct"/>
            <w:tcBorders>
              <w:top w:val="single" w:sz="4" w:space="0" w:color="auto"/>
            </w:tcBorders>
            <w:vAlign w:val="bottom"/>
          </w:tcPr>
          <w:p w14:paraId="358027C8" w14:textId="77777777" w:rsidR="00080449" w:rsidRPr="00471CBA" w:rsidRDefault="00080449" w:rsidP="00F36B82">
            <w:pPr>
              <w:pStyle w:val="GvdeMetniGirintisi"/>
              <w:tabs>
                <w:tab w:val="left" w:pos="1166"/>
              </w:tabs>
              <w:spacing w:line="228" w:lineRule="auto"/>
              <w:ind w:firstLine="716"/>
              <w:jc w:val="right"/>
              <w:rPr>
                <w:szCs w:val="20"/>
              </w:rPr>
            </w:pPr>
          </w:p>
        </w:tc>
      </w:tr>
      <w:tr w:rsidR="00080449" w:rsidRPr="00471CBA" w14:paraId="2C57E10A" w14:textId="77777777" w:rsidTr="00080449">
        <w:trPr>
          <w:trHeight w:val="125"/>
        </w:trPr>
        <w:tc>
          <w:tcPr>
            <w:tcW w:w="2500" w:type="pct"/>
            <w:tcBorders>
              <w:bottom w:val="single" w:sz="8" w:space="0" w:color="auto"/>
            </w:tcBorders>
            <w:vAlign w:val="bottom"/>
          </w:tcPr>
          <w:p w14:paraId="391816F4" w14:textId="77777777" w:rsidR="00080449" w:rsidRPr="00471CBA" w:rsidRDefault="00080449" w:rsidP="00F36B82">
            <w:pPr>
              <w:pStyle w:val="GvdeMetniGirintisi"/>
              <w:tabs>
                <w:tab w:val="left" w:pos="900"/>
              </w:tabs>
              <w:spacing w:line="228" w:lineRule="auto"/>
              <w:ind w:left="-108" w:firstLine="0"/>
              <w:jc w:val="left"/>
              <w:rPr>
                <w:b/>
                <w:bCs/>
                <w:szCs w:val="20"/>
                <w:lang w:eastAsia="tr-TR"/>
              </w:rPr>
            </w:pPr>
            <w:r w:rsidRPr="00471CBA">
              <w:rPr>
                <w:b/>
                <w:bCs/>
                <w:szCs w:val="20"/>
                <w:lang w:eastAsia="tr-TR"/>
              </w:rPr>
              <w:t>Toplam</w:t>
            </w:r>
          </w:p>
        </w:tc>
        <w:tc>
          <w:tcPr>
            <w:tcW w:w="2500" w:type="pct"/>
            <w:tcBorders>
              <w:bottom w:val="single" w:sz="8" w:space="0" w:color="auto"/>
            </w:tcBorders>
            <w:vAlign w:val="bottom"/>
          </w:tcPr>
          <w:p w14:paraId="6C3566C1" w14:textId="0E6ECD03" w:rsidR="00080449" w:rsidRPr="00471CBA" w:rsidRDefault="00080449" w:rsidP="00F36B82">
            <w:pPr>
              <w:pStyle w:val="GvdeMetniGirintisi"/>
              <w:tabs>
                <w:tab w:val="left" w:pos="1166"/>
              </w:tabs>
              <w:spacing w:line="228" w:lineRule="auto"/>
              <w:ind w:firstLine="716"/>
              <w:jc w:val="right"/>
              <w:rPr>
                <w:b/>
                <w:bCs/>
                <w:szCs w:val="20"/>
              </w:rPr>
            </w:pPr>
            <w:r w:rsidRPr="00471CBA">
              <w:rPr>
                <w:b/>
                <w:bCs/>
                <w:szCs w:val="20"/>
              </w:rPr>
              <w:t>-</w:t>
            </w:r>
          </w:p>
        </w:tc>
      </w:tr>
    </w:tbl>
    <w:p w14:paraId="23202C82" w14:textId="43379F3E" w:rsidR="00080449" w:rsidRPr="00471CBA" w:rsidRDefault="00080449" w:rsidP="00F36B82">
      <w:pPr>
        <w:widowControl w:val="0"/>
        <w:spacing w:line="228" w:lineRule="auto"/>
        <w:ind w:right="-1"/>
        <w:jc w:val="both"/>
        <w:rPr>
          <w:sz w:val="18"/>
          <w:szCs w:val="18"/>
          <w:vertAlign w:val="superscript"/>
        </w:rPr>
      </w:pPr>
    </w:p>
    <w:tbl>
      <w:tblPr>
        <w:tblW w:w="5000" w:type="pct"/>
        <w:tblLook w:val="0000" w:firstRow="0" w:lastRow="0" w:firstColumn="0" w:lastColumn="0" w:noHBand="0" w:noVBand="0"/>
      </w:tblPr>
      <w:tblGrid>
        <w:gridCol w:w="4674"/>
        <w:gridCol w:w="4681"/>
      </w:tblGrid>
      <w:tr w:rsidR="00080449" w:rsidRPr="00471CBA" w14:paraId="47DFA597" w14:textId="77777777" w:rsidTr="00080449">
        <w:trPr>
          <w:trHeight w:val="125"/>
        </w:trPr>
        <w:tc>
          <w:tcPr>
            <w:tcW w:w="2498" w:type="pct"/>
            <w:vAlign w:val="bottom"/>
          </w:tcPr>
          <w:p w14:paraId="35F3D0C8" w14:textId="77777777" w:rsidR="00080449" w:rsidRPr="00471CBA" w:rsidRDefault="00080449" w:rsidP="00F36B82">
            <w:pPr>
              <w:pStyle w:val="GvdeMetniGirintisi"/>
              <w:tabs>
                <w:tab w:val="left" w:pos="900"/>
              </w:tabs>
              <w:spacing w:line="228" w:lineRule="auto"/>
              <w:ind w:left="-108" w:firstLine="0"/>
              <w:jc w:val="left"/>
              <w:rPr>
                <w:b/>
                <w:bCs/>
                <w:szCs w:val="20"/>
              </w:rPr>
            </w:pPr>
          </w:p>
        </w:tc>
        <w:tc>
          <w:tcPr>
            <w:tcW w:w="2502" w:type="pct"/>
            <w:tcBorders>
              <w:bottom w:val="single" w:sz="4" w:space="0" w:color="auto"/>
            </w:tcBorders>
            <w:vAlign w:val="bottom"/>
          </w:tcPr>
          <w:p w14:paraId="61D873CF" w14:textId="77777777" w:rsidR="00080449" w:rsidRPr="00471CBA" w:rsidRDefault="00080449" w:rsidP="00F36B82">
            <w:pPr>
              <w:spacing w:line="228" w:lineRule="auto"/>
              <w:ind w:left="-93"/>
              <w:jc w:val="right"/>
              <w:rPr>
                <w:b/>
                <w:bCs/>
                <w:szCs w:val="20"/>
              </w:rPr>
            </w:pPr>
            <w:r w:rsidRPr="00471CBA">
              <w:rPr>
                <w:b/>
                <w:bCs/>
                <w:szCs w:val="20"/>
              </w:rPr>
              <w:t>31 Aralık 2024</w:t>
            </w:r>
          </w:p>
        </w:tc>
      </w:tr>
      <w:tr w:rsidR="00080449" w:rsidRPr="00471CBA" w14:paraId="5833D6A6" w14:textId="77777777" w:rsidTr="00080449">
        <w:trPr>
          <w:trHeight w:val="125"/>
        </w:trPr>
        <w:tc>
          <w:tcPr>
            <w:tcW w:w="2498" w:type="pct"/>
            <w:vAlign w:val="bottom"/>
          </w:tcPr>
          <w:p w14:paraId="69E06014" w14:textId="77777777" w:rsidR="00080449" w:rsidRPr="00471CBA" w:rsidRDefault="00080449" w:rsidP="00F36B82">
            <w:pPr>
              <w:pStyle w:val="GvdeMetniGirintisi"/>
              <w:tabs>
                <w:tab w:val="left" w:pos="900"/>
              </w:tabs>
              <w:spacing w:line="228" w:lineRule="auto"/>
              <w:ind w:left="-108" w:firstLine="0"/>
              <w:jc w:val="left"/>
              <w:rPr>
                <w:b/>
                <w:bCs/>
                <w:szCs w:val="20"/>
              </w:rPr>
            </w:pPr>
          </w:p>
        </w:tc>
        <w:tc>
          <w:tcPr>
            <w:tcW w:w="2502" w:type="pct"/>
            <w:tcBorders>
              <w:top w:val="single" w:sz="4" w:space="0" w:color="auto"/>
            </w:tcBorders>
            <w:vAlign w:val="bottom"/>
          </w:tcPr>
          <w:p w14:paraId="35B76894" w14:textId="77777777" w:rsidR="00080449" w:rsidRPr="00471CBA" w:rsidRDefault="00080449" w:rsidP="00F36B82">
            <w:pPr>
              <w:spacing w:line="228" w:lineRule="auto"/>
              <w:ind w:left="-93"/>
              <w:jc w:val="right"/>
              <w:rPr>
                <w:b/>
                <w:bCs/>
                <w:szCs w:val="20"/>
              </w:rPr>
            </w:pPr>
          </w:p>
        </w:tc>
      </w:tr>
      <w:tr w:rsidR="00080449" w:rsidRPr="00471CBA" w14:paraId="33173DED" w14:textId="77777777" w:rsidTr="00080449">
        <w:trPr>
          <w:trHeight w:val="125"/>
        </w:trPr>
        <w:tc>
          <w:tcPr>
            <w:tcW w:w="2498" w:type="pct"/>
            <w:vAlign w:val="center"/>
          </w:tcPr>
          <w:p w14:paraId="57BE72D3" w14:textId="77777777" w:rsidR="00080449" w:rsidRPr="00471CBA" w:rsidRDefault="00080449" w:rsidP="00F36B82">
            <w:pPr>
              <w:pStyle w:val="GvdeMetniGirintisi"/>
              <w:tabs>
                <w:tab w:val="left" w:pos="900"/>
              </w:tabs>
              <w:spacing w:line="228" w:lineRule="auto"/>
              <w:ind w:left="-108" w:firstLine="0"/>
              <w:jc w:val="left"/>
              <w:rPr>
                <w:szCs w:val="20"/>
              </w:rPr>
            </w:pPr>
            <w:r w:rsidRPr="00471CBA">
              <w:rPr>
                <w:b/>
                <w:bCs/>
                <w:szCs w:val="20"/>
                <w:lang w:eastAsia="tr-TR"/>
              </w:rPr>
              <w:t>Açılış</w:t>
            </w:r>
          </w:p>
        </w:tc>
        <w:tc>
          <w:tcPr>
            <w:tcW w:w="2502" w:type="pct"/>
            <w:vAlign w:val="bottom"/>
          </w:tcPr>
          <w:p w14:paraId="2027D4B1" w14:textId="77777777" w:rsidR="00080449" w:rsidRPr="00471CBA" w:rsidRDefault="00080449" w:rsidP="00F36B82">
            <w:pPr>
              <w:pStyle w:val="GvdeMetniGirintisi"/>
              <w:tabs>
                <w:tab w:val="left" w:pos="900"/>
              </w:tabs>
              <w:spacing w:line="228" w:lineRule="auto"/>
              <w:ind w:left="805" w:hanging="229"/>
              <w:jc w:val="right"/>
              <w:rPr>
                <w:b/>
                <w:bCs/>
                <w:szCs w:val="20"/>
              </w:rPr>
            </w:pPr>
            <w:r w:rsidRPr="00471CBA">
              <w:rPr>
                <w:b/>
                <w:bCs/>
                <w:szCs w:val="20"/>
              </w:rPr>
              <w:t>1.486</w:t>
            </w:r>
          </w:p>
        </w:tc>
      </w:tr>
      <w:tr w:rsidR="00080449" w:rsidRPr="00471CBA" w14:paraId="01CA7E0E" w14:textId="77777777" w:rsidTr="00080449">
        <w:trPr>
          <w:trHeight w:val="125"/>
        </w:trPr>
        <w:tc>
          <w:tcPr>
            <w:tcW w:w="2498" w:type="pct"/>
            <w:vAlign w:val="center"/>
          </w:tcPr>
          <w:p w14:paraId="1DAF8CB5" w14:textId="77777777" w:rsidR="00080449" w:rsidRPr="00471CBA" w:rsidRDefault="00080449" w:rsidP="00F36B82">
            <w:pPr>
              <w:pStyle w:val="GvdeMetniGirintisi"/>
              <w:tabs>
                <w:tab w:val="left" w:pos="900"/>
              </w:tabs>
              <w:spacing w:line="228" w:lineRule="auto"/>
              <w:ind w:left="-108" w:firstLine="0"/>
              <w:jc w:val="left"/>
              <w:rPr>
                <w:szCs w:val="20"/>
              </w:rPr>
            </w:pPr>
            <w:r w:rsidRPr="00471CBA">
              <w:rPr>
                <w:szCs w:val="20"/>
                <w:lang w:eastAsia="tr-TR"/>
              </w:rPr>
              <w:t>Girişler</w:t>
            </w:r>
          </w:p>
        </w:tc>
        <w:tc>
          <w:tcPr>
            <w:tcW w:w="2502" w:type="pct"/>
            <w:vAlign w:val="bottom"/>
          </w:tcPr>
          <w:p w14:paraId="438288E4" w14:textId="77777777" w:rsidR="00080449" w:rsidRPr="00471CBA" w:rsidRDefault="00080449" w:rsidP="00F36B82">
            <w:pPr>
              <w:pStyle w:val="GvdeMetniGirintisi"/>
              <w:tabs>
                <w:tab w:val="left" w:pos="900"/>
              </w:tabs>
              <w:spacing w:line="228" w:lineRule="auto"/>
              <w:ind w:left="805" w:hanging="229"/>
              <w:jc w:val="right"/>
              <w:rPr>
                <w:szCs w:val="20"/>
              </w:rPr>
            </w:pPr>
            <w:r w:rsidRPr="00471CBA">
              <w:rPr>
                <w:szCs w:val="20"/>
              </w:rPr>
              <w:t>-</w:t>
            </w:r>
          </w:p>
        </w:tc>
      </w:tr>
      <w:tr w:rsidR="00080449" w:rsidRPr="00471CBA" w14:paraId="00657936" w14:textId="77777777" w:rsidTr="00080449">
        <w:trPr>
          <w:trHeight w:val="125"/>
        </w:trPr>
        <w:tc>
          <w:tcPr>
            <w:tcW w:w="2498" w:type="pct"/>
            <w:vAlign w:val="center"/>
          </w:tcPr>
          <w:p w14:paraId="50528FCA" w14:textId="77777777" w:rsidR="00080449" w:rsidRPr="00471CBA" w:rsidRDefault="00080449" w:rsidP="00F36B82">
            <w:pPr>
              <w:pStyle w:val="GvdeMetniGirintisi"/>
              <w:tabs>
                <w:tab w:val="left" w:pos="900"/>
              </w:tabs>
              <w:spacing w:line="228" w:lineRule="auto"/>
              <w:ind w:left="-108" w:firstLine="0"/>
              <w:jc w:val="left"/>
              <w:rPr>
                <w:szCs w:val="20"/>
              </w:rPr>
            </w:pPr>
            <w:r w:rsidRPr="00471CBA">
              <w:rPr>
                <w:szCs w:val="20"/>
                <w:lang w:eastAsia="tr-TR"/>
              </w:rPr>
              <w:t>Satışlar (-)</w:t>
            </w:r>
          </w:p>
        </w:tc>
        <w:tc>
          <w:tcPr>
            <w:tcW w:w="2502" w:type="pct"/>
            <w:vAlign w:val="bottom"/>
          </w:tcPr>
          <w:p w14:paraId="1620B8FD" w14:textId="77777777" w:rsidR="00080449" w:rsidRPr="00471CBA" w:rsidRDefault="00080449" w:rsidP="00F36B82">
            <w:pPr>
              <w:pStyle w:val="GvdeMetniGirintisi"/>
              <w:tabs>
                <w:tab w:val="left" w:pos="900"/>
              </w:tabs>
              <w:spacing w:line="228" w:lineRule="auto"/>
              <w:ind w:left="805" w:hanging="229"/>
              <w:jc w:val="right"/>
              <w:rPr>
                <w:szCs w:val="20"/>
              </w:rPr>
            </w:pPr>
            <w:r w:rsidRPr="00471CBA">
              <w:rPr>
                <w:szCs w:val="20"/>
              </w:rPr>
              <w:t>-</w:t>
            </w:r>
          </w:p>
        </w:tc>
      </w:tr>
      <w:tr w:rsidR="00080449" w:rsidRPr="00471CBA" w14:paraId="3F76C883" w14:textId="77777777" w:rsidTr="00080449">
        <w:trPr>
          <w:trHeight w:val="125"/>
        </w:trPr>
        <w:tc>
          <w:tcPr>
            <w:tcW w:w="2498" w:type="pct"/>
            <w:vAlign w:val="center"/>
          </w:tcPr>
          <w:p w14:paraId="4FE7C20A" w14:textId="77777777" w:rsidR="00080449" w:rsidRPr="00471CBA" w:rsidRDefault="00080449" w:rsidP="00F36B82">
            <w:pPr>
              <w:pStyle w:val="GvdeMetniGirintisi"/>
              <w:tabs>
                <w:tab w:val="left" w:pos="900"/>
              </w:tabs>
              <w:spacing w:line="228" w:lineRule="auto"/>
              <w:ind w:left="-108" w:firstLine="0"/>
              <w:jc w:val="left"/>
              <w:rPr>
                <w:szCs w:val="20"/>
              </w:rPr>
            </w:pPr>
            <w:r w:rsidRPr="00471CBA">
              <w:rPr>
                <w:szCs w:val="20"/>
                <w:lang w:eastAsia="tr-TR"/>
              </w:rPr>
              <w:t xml:space="preserve">Transferler </w:t>
            </w:r>
            <w:r w:rsidRPr="00471CBA">
              <w:rPr>
                <w:szCs w:val="20"/>
                <w:vertAlign w:val="superscript"/>
                <w:lang w:eastAsia="tr-TR"/>
              </w:rPr>
              <w:t>(*)</w:t>
            </w:r>
          </w:p>
        </w:tc>
        <w:tc>
          <w:tcPr>
            <w:tcW w:w="2502" w:type="pct"/>
            <w:vAlign w:val="bottom"/>
          </w:tcPr>
          <w:p w14:paraId="28AAE743" w14:textId="77777777" w:rsidR="00080449" w:rsidRPr="00471CBA" w:rsidRDefault="00080449" w:rsidP="00F36B82">
            <w:pPr>
              <w:pStyle w:val="GvdeMetniGirintisi"/>
              <w:tabs>
                <w:tab w:val="left" w:pos="900"/>
              </w:tabs>
              <w:spacing w:line="228" w:lineRule="auto"/>
              <w:ind w:left="805" w:hanging="229"/>
              <w:jc w:val="right"/>
              <w:rPr>
                <w:szCs w:val="20"/>
              </w:rPr>
            </w:pPr>
            <w:r w:rsidRPr="00471CBA">
              <w:rPr>
                <w:szCs w:val="20"/>
              </w:rPr>
              <w:t>(1.486)</w:t>
            </w:r>
          </w:p>
        </w:tc>
      </w:tr>
      <w:tr w:rsidR="00080449" w:rsidRPr="00471CBA" w14:paraId="3C84156A" w14:textId="77777777" w:rsidTr="00080449">
        <w:trPr>
          <w:trHeight w:val="125"/>
        </w:trPr>
        <w:tc>
          <w:tcPr>
            <w:tcW w:w="2498" w:type="pct"/>
            <w:tcBorders>
              <w:bottom w:val="single" w:sz="4" w:space="0" w:color="auto"/>
            </w:tcBorders>
            <w:vAlign w:val="bottom"/>
          </w:tcPr>
          <w:p w14:paraId="4AF714E4" w14:textId="77777777" w:rsidR="00080449" w:rsidRPr="00471CBA" w:rsidRDefault="00080449" w:rsidP="00F36B82">
            <w:pPr>
              <w:pStyle w:val="GvdeMetniGirintisi"/>
              <w:tabs>
                <w:tab w:val="left" w:pos="900"/>
              </w:tabs>
              <w:spacing w:line="228" w:lineRule="auto"/>
              <w:ind w:left="-108" w:firstLine="0"/>
              <w:jc w:val="left"/>
              <w:rPr>
                <w:szCs w:val="20"/>
              </w:rPr>
            </w:pPr>
            <w:r w:rsidRPr="00471CBA">
              <w:rPr>
                <w:szCs w:val="20"/>
                <w:lang w:eastAsia="tr-TR"/>
              </w:rPr>
              <w:t>Yeniden değerleme tutarı</w:t>
            </w:r>
          </w:p>
        </w:tc>
        <w:tc>
          <w:tcPr>
            <w:tcW w:w="2502" w:type="pct"/>
            <w:tcBorders>
              <w:bottom w:val="single" w:sz="4" w:space="0" w:color="auto"/>
            </w:tcBorders>
            <w:vAlign w:val="bottom"/>
          </w:tcPr>
          <w:p w14:paraId="2ABD5574" w14:textId="77777777" w:rsidR="00080449" w:rsidRPr="00471CBA" w:rsidRDefault="00080449" w:rsidP="00F36B82">
            <w:pPr>
              <w:pStyle w:val="GvdeMetniGirintisi"/>
              <w:tabs>
                <w:tab w:val="left" w:pos="900"/>
              </w:tabs>
              <w:spacing w:line="228" w:lineRule="auto"/>
              <w:ind w:left="805" w:hanging="229"/>
              <w:jc w:val="right"/>
              <w:rPr>
                <w:szCs w:val="20"/>
              </w:rPr>
            </w:pPr>
            <w:r w:rsidRPr="00471CBA">
              <w:rPr>
                <w:szCs w:val="20"/>
              </w:rPr>
              <w:t>-</w:t>
            </w:r>
          </w:p>
        </w:tc>
      </w:tr>
      <w:tr w:rsidR="00080449" w:rsidRPr="00471CBA" w14:paraId="3743FC59" w14:textId="77777777" w:rsidTr="00080449">
        <w:trPr>
          <w:trHeight w:val="125"/>
        </w:trPr>
        <w:tc>
          <w:tcPr>
            <w:tcW w:w="2498" w:type="pct"/>
            <w:tcBorders>
              <w:top w:val="single" w:sz="4" w:space="0" w:color="auto"/>
            </w:tcBorders>
            <w:vAlign w:val="bottom"/>
          </w:tcPr>
          <w:p w14:paraId="323647EB" w14:textId="77777777" w:rsidR="00080449" w:rsidRPr="00471CBA" w:rsidRDefault="00080449" w:rsidP="00F36B82">
            <w:pPr>
              <w:pStyle w:val="GvdeMetniGirintisi"/>
              <w:tabs>
                <w:tab w:val="left" w:pos="900"/>
              </w:tabs>
              <w:spacing w:line="228" w:lineRule="auto"/>
              <w:ind w:left="-108" w:firstLine="0"/>
              <w:jc w:val="left"/>
              <w:rPr>
                <w:szCs w:val="20"/>
                <w:lang w:eastAsia="tr-TR"/>
              </w:rPr>
            </w:pPr>
          </w:p>
        </w:tc>
        <w:tc>
          <w:tcPr>
            <w:tcW w:w="2502" w:type="pct"/>
            <w:tcBorders>
              <w:top w:val="single" w:sz="4" w:space="0" w:color="auto"/>
            </w:tcBorders>
            <w:vAlign w:val="bottom"/>
          </w:tcPr>
          <w:p w14:paraId="152B4007" w14:textId="77777777" w:rsidR="00080449" w:rsidRPr="00471CBA" w:rsidRDefault="00080449" w:rsidP="00F36B82">
            <w:pPr>
              <w:pStyle w:val="GvdeMetniGirintisi"/>
              <w:tabs>
                <w:tab w:val="left" w:pos="900"/>
              </w:tabs>
              <w:spacing w:line="228" w:lineRule="auto"/>
              <w:ind w:left="805" w:hanging="229"/>
              <w:jc w:val="right"/>
              <w:rPr>
                <w:szCs w:val="20"/>
              </w:rPr>
            </w:pPr>
          </w:p>
        </w:tc>
      </w:tr>
      <w:tr w:rsidR="00080449" w:rsidRPr="00471CBA" w14:paraId="51311CC6" w14:textId="77777777" w:rsidTr="00080449">
        <w:trPr>
          <w:trHeight w:val="125"/>
        </w:trPr>
        <w:tc>
          <w:tcPr>
            <w:tcW w:w="2498" w:type="pct"/>
            <w:tcBorders>
              <w:bottom w:val="single" w:sz="8" w:space="0" w:color="auto"/>
            </w:tcBorders>
            <w:vAlign w:val="bottom"/>
          </w:tcPr>
          <w:p w14:paraId="4634B7D3" w14:textId="77777777" w:rsidR="00080449" w:rsidRPr="00471CBA" w:rsidRDefault="00080449" w:rsidP="00F36B82">
            <w:pPr>
              <w:pStyle w:val="GvdeMetniGirintisi"/>
              <w:tabs>
                <w:tab w:val="left" w:pos="900"/>
              </w:tabs>
              <w:spacing w:line="228" w:lineRule="auto"/>
              <w:ind w:left="-108" w:firstLine="0"/>
              <w:jc w:val="left"/>
              <w:rPr>
                <w:b/>
                <w:bCs/>
                <w:szCs w:val="20"/>
                <w:lang w:eastAsia="tr-TR"/>
              </w:rPr>
            </w:pPr>
            <w:r w:rsidRPr="00471CBA">
              <w:rPr>
                <w:b/>
                <w:bCs/>
                <w:szCs w:val="20"/>
                <w:lang w:eastAsia="tr-TR"/>
              </w:rPr>
              <w:t>Toplam</w:t>
            </w:r>
          </w:p>
        </w:tc>
        <w:tc>
          <w:tcPr>
            <w:tcW w:w="2502" w:type="pct"/>
            <w:tcBorders>
              <w:bottom w:val="single" w:sz="8" w:space="0" w:color="auto"/>
            </w:tcBorders>
            <w:vAlign w:val="bottom"/>
          </w:tcPr>
          <w:p w14:paraId="2908C9C4" w14:textId="77777777" w:rsidR="00080449" w:rsidRPr="00471CBA" w:rsidRDefault="00080449" w:rsidP="00F36B82">
            <w:pPr>
              <w:pStyle w:val="GvdeMetniGirintisi"/>
              <w:tabs>
                <w:tab w:val="left" w:pos="900"/>
              </w:tabs>
              <w:spacing w:line="228" w:lineRule="auto"/>
              <w:ind w:left="805" w:hanging="229"/>
              <w:jc w:val="right"/>
              <w:rPr>
                <w:b/>
                <w:bCs/>
                <w:szCs w:val="20"/>
              </w:rPr>
            </w:pPr>
            <w:r w:rsidRPr="00471CBA">
              <w:rPr>
                <w:b/>
                <w:bCs/>
                <w:szCs w:val="20"/>
              </w:rPr>
              <w:t>-</w:t>
            </w:r>
          </w:p>
        </w:tc>
      </w:tr>
    </w:tbl>
    <w:p w14:paraId="41280E08" w14:textId="77777777" w:rsidR="00F36B82" w:rsidRDefault="00205FC9" w:rsidP="00F36B82">
      <w:pPr>
        <w:widowControl w:val="0"/>
        <w:spacing w:line="228" w:lineRule="auto"/>
        <w:ind w:left="567" w:right="-1" w:hanging="567"/>
        <w:jc w:val="both"/>
        <w:rPr>
          <w:sz w:val="18"/>
          <w:szCs w:val="18"/>
        </w:rPr>
      </w:pPr>
      <w:r w:rsidRPr="00471CBA">
        <w:rPr>
          <w:sz w:val="18"/>
          <w:szCs w:val="18"/>
          <w:vertAlign w:val="superscript"/>
        </w:rPr>
        <w:t>(*)</w:t>
      </w:r>
      <w:r w:rsidR="00A8086E" w:rsidRPr="00471CBA">
        <w:rPr>
          <w:sz w:val="18"/>
          <w:szCs w:val="18"/>
        </w:rPr>
        <w:tab/>
      </w:r>
      <w:r w:rsidRPr="00471CBA">
        <w:rPr>
          <w:sz w:val="18"/>
          <w:szCs w:val="18"/>
        </w:rPr>
        <w:t>Bankanın İstanbul, İzmir ve Mersin’de bulunan gayrimenkulleri yatırım amaçlı duran varlıklardan maddi duran varlıklara transfer olmuştur.</w:t>
      </w:r>
    </w:p>
    <w:p w14:paraId="6C5A5D30" w14:textId="38AF2572" w:rsidR="00F61513" w:rsidRPr="00F36B82" w:rsidRDefault="00F61513" w:rsidP="00F36B82">
      <w:pPr>
        <w:widowControl w:val="0"/>
        <w:spacing w:line="228" w:lineRule="auto"/>
        <w:ind w:left="567" w:right="-1" w:hanging="567"/>
        <w:jc w:val="both"/>
        <w:rPr>
          <w:sz w:val="16"/>
          <w:szCs w:val="16"/>
        </w:rPr>
      </w:pPr>
    </w:p>
    <w:bookmarkEnd w:id="119"/>
    <w:p w14:paraId="6E92A84F" w14:textId="77777777" w:rsidR="0098050E" w:rsidRPr="00471CBA" w:rsidRDefault="0098050E" w:rsidP="00F36B82">
      <w:pPr>
        <w:pStyle w:val="ListeParagraf"/>
        <w:widowControl w:val="0"/>
        <w:numPr>
          <w:ilvl w:val="0"/>
          <w:numId w:val="43"/>
        </w:numPr>
        <w:tabs>
          <w:tab w:val="clear" w:pos="540"/>
        </w:tabs>
        <w:autoSpaceDE w:val="0"/>
        <w:autoSpaceDN w:val="0"/>
        <w:adjustRightInd w:val="0"/>
        <w:spacing w:line="228" w:lineRule="auto"/>
        <w:ind w:left="567" w:hanging="567"/>
        <w:jc w:val="both"/>
        <w:rPr>
          <w:b/>
          <w:szCs w:val="20"/>
        </w:rPr>
      </w:pPr>
      <w:r w:rsidRPr="00471CBA">
        <w:rPr>
          <w:b/>
          <w:szCs w:val="20"/>
        </w:rPr>
        <w:t>Ertelenmiş vergi varlığına ilişkin açıklamalar:</w:t>
      </w:r>
    </w:p>
    <w:p w14:paraId="23AB8668" w14:textId="77777777" w:rsidR="00CD5DF5" w:rsidRPr="00F36B82" w:rsidRDefault="00CD5DF5" w:rsidP="00F36B82">
      <w:pPr>
        <w:autoSpaceDE w:val="0"/>
        <w:autoSpaceDN w:val="0"/>
        <w:adjustRightInd w:val="0"/>
        <w:spacing w:line="228" w:lineRule="auto"/>
        <w:ind w:left="854" w:right="329"/>
        <w:jc w:val="both"/>
        <w:rPr>
          <w:rFonts w:eastAsia="Arial Unicode MS"/>
          <w:iCs/>
          <w:sz w:val="16"/>
          <w:szCs w:val="16"/>
        </w:rPr>
      </w:pPr>
    </w:p>
    <w:p w14:paraId="62654EDA" w14:textId="31C8DDC8" w:rsidR="00204442" w:rsidRDefault="001160DD" w:rsidP="00F36B82">
      <w:pPr>
        <w:widowControl w:val="0"/>
        <w:spacing w:line="228" w:lineRule="auto"/>
        <w:ind w:left="966" w:hanging="910"/>
        <w:jc w:val="both"/>
        <w:rPr>
          <w:rFonts w:eastAsia="Arial Unicode MS"/>
          <w:iCs/>
          <w:szCs w:val="20"/>
        </w:rPr>
      </w:pPr>
      <w:r>
        <w:rPr>
          <w:rFonts w:eastAsia="Arial Unicode MS"/>
          <w:iCs/>
          <w:szCs w:val="20"/>
        </w:rPr>
        <w:t>Bulunmamaktadır.</w:t>
      </w:r>
    </w:p>
    <w:p w14:paraId="63048AF0" w14:textId="77777777" w:rsidR="00AB77A8" w:rsidRPr="00F36B82" w:rsidRDefault="00AB77A8" w:rsidP="00F36B82">
      <w:pPr>
        <w:widowControl w:val="0"/>
        <w:spacing w:line="228" w:lineRule="auto"/>
        <w:ind w:left="966" w:hanging="910"/>
        <w:jc w:val="both"/>
        <w:rPr>
          <w:rFonts w:eastAsia="Arial Unicode MS"/>
          <w:iCs/>
          <w:sz w:val="16"/>
          <w:szCs w:val="16"/>
        </w:rPr>
      </w:pPr>
    </w:p>
    <w:p w14:paraId="7EEEA700" w14:textId="20AAD0A5" w:rsidR="00176DC0" w:rsidRPr="00471CBA" w:rsidRDefault="00176DC0" w:rsidP="00F36B82">
      <w:pPr>
        <w:pStyle w:val="ListeParagraf"/>
        <w:widowControl w:val="0"/>
        <w:numPr>
          <w:ilvl w:val="0"/>
          <w:numId w:val="43"/>
        </w:numPr>
        <w:tabs>
          <w:tab w:val="clear" w:pos="540"/>
        </w:tabs>
        <w:autoSpaceDE w:val="0"/>
        <w:autoSpaceDN w:val="0"/>
        <w:adjustRightInd w:val="0"/>
        <w:spacing w:line="228" w:lineRule="auto"/>
        <w:ind w:left="567" w:hanging="567"/>
        <w:jc w:val="both"/>
        <w:rPr>
          <w:b/>
          <w:szCs w:val="20"/>
        </w:rPr>
      </w:pPr>
      <w:r w:rsidRPr="00471CBA">
        <w:rPr>
          <w:b/>
          <w:szCs w:val="20"/>
        </w:rPr>
        <w:t>Bilançonun diğer aktifler kalemi, nazım hesaplarda yer alan taahhütler hariç bilanço toplamının %10’unu aşıyor ise bunların en az %20’sini oluşturan alt hesapların isim ve tutarları</w:t>
      </w:r>
    </w:p>
    <w:p w14:paraId="24899B18" w14:textId="77777777" w:rsidR="00176DC0" w:rsidRPr="00F36B82" w:rsidRDefault="00176DC0" w:rsidP="00F36B82">
      <w:pPr>
        <w:widowControl w:val="0"/>
        <w:spacing w:line="228" w:lineRule="auto"/>
        <w:ind w:right="329"/>
        <w:jc w:val="both"/>
        <w:rPr>
          <w:bCs/>
          <w:sz w:val="16"/>
          <w:szCs w:val="16"/>
        </w:rPr>
      </w:pPr>
    </w:p>
    <w:p w14:paraId="3BC97FC5" w14:textId="16FFAB78" w:rsidR="005B3DE3" w:rsidRPr="00471CBA" w:rsidRDefault="00176DC0" w:rsidP="00F36B82">
      <w:pPr>
        <w:widowControl w:val="0"/>
        <w:spacing w:line="228" w:lineRule="auto"/>
        <w:ind w:left="851"/>
        <w:rPr>
          <w:bCs/>
          <w:szCs w:val="20"/>
        </w:rPr>
      </w:pPr>
      <w:bookmarkStart w:id="120" w:name="_Hlk197332153"/>
      <w:r w:rsidRPr="00471CBA">
        <w:rPr>
          <w:bCs/>
          <w:szCs w:val="20"/>
        </w:rPr>
        <w:t>Bilanço tarihi itibarıyla, Banka’nın diğer aktifler toplamı bilanço toplamının %10’unu aşmamaktadır.</w:t>
      </w:r>
      <w:r w:rsidR="005B3DE3" w:rsidRPr="00471CBA">
        <w:rPr>
          <w:szCs w:val="20"/>
        </w:rPr>
        <w:br w:type="page"/>
      </w:r>
    </w:p>
    <w:bookmarkEnd w:id="120"/>
    <w:p w14:paraId="53E5732A" w14:textId="7382E7D2" w:rsidR="00D10962" w:rsidRPr="00471CBA" w:rsidRDefault="005B3DE3" w:rsidP="009B0E8B">
      <w:pPr>
        <w:widowControl w:val="0"/>
        <w:spacing w:after="120" w:line="235" w:lineRule="auto"/>
        <w:ind w:left="720" w:hanging="720"/>
        <w:jc w:val="both"/>
        <w:rPr>
          <w:b/>
          <w:szCs w:val="20"/>
        </w:rPr>
      </w:pPr>
      <w:r w:rsidRPr="00471CBA">
        <w:rPr>
          <w:b/>
          <w:szCs w:val="20"/>
        </w:rPr>
        <w:t xml:space="preserve">KONSOLİDE OLMAYAN FİNANSAL TABLOLARA İLİŞKİN AÇIKLAMA VE DİPNOTLAR </w:t>
      </w:r>
      <w:r w:rsidR="00D10962" w:rsidRPr="00471CBA">
        <w:rPr>
          <w:b/>
          <w:szCs w:val="20"/>
        </w:rPr>
        <w:t>(Devamı)</w:t>
      </w:r>
    </w:p>
    <w:p w14:paraId="4D62D59D" w14:textId="2901390B" w:rsidR="00136C29" w:rsidRPr="00471CBA" w:rsidRDefault="00A445BA" w:rsidP="008459A9">
      <w:pPr>
        <w:pStyle w:val="ListeParagraf"/>
        <w:widowControl w:val="0"/>
        <w:numPr>
          <w:ilvl w:val="0"/>
          <w:numId w:val="54"/>
        </w:numPr>
        <w:spacing w:after="120" w:line="235" w:lineRule="auto"/>
        <w:ind w:left="567" w:hanging="567"/>
        <w:jc w:val="both"/>
        <w:rPr>
          <w:b/>
          <w:szCs w:val="20"/>
        </w:rPr>
      </w:pPr>
      <w:r w:rsidRPr="00471CBA">
        <w:rPr>
          <w:b/>
          <w:szCs w:val="20"/>
        </w:rPr>
        <w:t xml:space="preserve">BİLANÇONUN PASİF HESAPLARINA İLİŞKİN AÇIKLAMA VE DİPNOTLAR </w:t>
      </w:r>
    </w:p>
    <w:p w14:paraId="54173975" w14:textId="43AEE968" w:rsidR="00D10962" w:rsidRPr="00471CBA" w:rsidRDefault="00136C29" w:rsidP="005F3500">
      <w:pPr>
        <w:pStyle w:val="GvdeMetniGirintisi"/>
        <w:widowControl w:val="0"/>
        <w:numPr>
          <w:ilvl w:val="0"/>
          <w:numId w:val="37"/>
        </w:numPr>
        <w:spacing w:after="120" w:line="235" w:lineRule="auto"/>
        <w:ind w:left="567" w:hanging="567"/>
        <w:rPr>
          <w:b/>
          <w:szCs w:val="20"/>
        </w:rPr>
      </w:pPr>
      <w:r w:rsidRPr="00471CBA">
        <w:rPr>
          <w:b/>
          <w:szCs w:val="20"/>
        </w:rPr>
        <w:t>Toplanan fonlara ilişkin bilgiler:</w:t>
      </w:r>
    </w:p>
    <w:p w14:paraId="039093C4" w14:textId="77777777" w:rsidR="00136C29" w:rsidRPr="00471CBA" w:rsidRDefault="00136C29" w:rsidP="005F3500">
      <w:pPr>
        <w:pStyle w:val="GvdeMetniGirintisi"/>
        <w:widowControl w:val="0"/>
        <w:numPr>
          <w:ilvl w:val="0"/>
          <w:numId w:val="5"/>
        </w:numPr>
        <w:tabs>
          <w:tab w:val="clear" w:pos="540"/>
        </w:tabs>
        <w:spacing w:line="235" w:lineRule="auto"/>
        <w:ind w:left="567" w:hanging="567"/>
        <w:rPr>
          <w:b/>
          <w:szCs w:val="20"/>
        </w:rPr>
      </w:pPr>
      <w:r w:rsidRPr="00471CBA">
        <w:rPr>
          <w:b/>
          <w:szCs w:val="20"/>
        </w:rPr>
        <w:t xml:space="preserve">Toplanan fonların vade yapısına ilişkin bilgiler: </w:t>
      </w:r>
    </w:p>
    <w:p w14:paraId="52869F75" w14:textId="30A5F422" w:rsidR="00A74C68" w:rsidRPr="00471CBA" w:rsidRDefault="00A74C68" w:rsidP="009B0E8B">
      <w:pPr>
        <w:widowControl w:val="0"/>
        <w:spacing w:line="235" w:lineRule="auto"/>
        <w:ind w:right="-182"/>
        <w:jc w:val="both"/>
        <w:rPr>
          <w:szCs w:val="20"/>
        </w:rPr>
      </w:pPr>
    </w:p>
    <w:tbl>
      <w:tblPr>
        <w:tblW w:w="9488" w:type="dxa"/>
        <w:tblCellMar>
          <w:left w:w="70" w:type="dxa"/>
          <w:right w:w="70" w:type="dxa"/>
        </w:tblCellMar>
        <w:tblLook w:val="04A0" w:firstRow="1" w:lastRow="0" w:firstColumn="1" w:lastColumn="0" w:noHBand="0" w:noVBand="1"/>
      </w:tblPr>
      <w:tblGrid>
        <w:gridCol w:w="2212"/>
        <w:gridCol w:w="970"/>
        <w:gridCol w:w="860"/>
        <w:gridCol w:w="860"/>
        <w:gridCol w:w="780"/>
        <w:gridCol w:w="694"/>
        <w:gridCol w:w="693"/>
        <w:gridCol w:w="832"/>
        <w:gridCol w:w="763"/>
        <w:gridCol w:w="860"/>
      </w:tblGrid>
      <w:tr w:rsidR="00A74C68" w:rsidRPr="00471CBA" w14:paraId="029A0355" w14:textId="77777777" w:rsidTr="00A74C68">
        <w:trPr>
          <w:divId w:val="1004547450"/>
          <w:trHeight w:val="113"/>
        </w:trPr>
        <w:tc>
          <w:tcPr>
            <w:tcW w:w="2212" w:type="dxa"/>
            <w:tcBorders>
              <w:top w:val="nil"/>
              <w:left w:val="nil"/>
              <w:bottom w:val="single" w:sz="4" w:space="0" w:color="auto"/>
              <w:right w:val="nil"/>
            </w:tcBorders>
            <w:noWrap/>
            <w:vAlign w:val="bottom"/>
            <w:hideMark/>
          </w:tcPr>
          <w:p w14:paraId="258F509B" w14:textId="7F49EFEF" w:rsidR="00A74C68" w:rsidRPr="00471CBA" w:rsidRDefault="00A74C68" w:rsidP="00A74C68">
            <w:pPr>
              <w:rPr>
                <w:b/>
                <w:bCs/>
                <w:sz w:val="16"/>
                <w:szCs w:val="16"/>
              </w:rPr>
            </w:pPr>
            <w:r w:rsidRPr="00471CBA">
              <w:rPr>
                <w:b/>
                <w:bCs/>
                <w:sz w:val="16"/>
                <w:szCs w:val="16"/>
              </w:rPr>
              <w:t>31 Aralık 2025</w:t>
            </w:r>
          </w:p>
        </w:tc>
        <w:tc>
          <w:tcPr>
            <w:tcW w:w="970" w:type="dxa"/>
            <w:tcBorders>
              <w:top w:val="nil"/>
              <w:left w:val="nil"/>
              <w:bottom w:val="single" w:sz="4" w:space="0" w:color="auto"/>
              <w:right w:val="nil"/>
            </w:tcBorders>
            <w:vAlign w:val="bottom"/>
            <w:hideMark/>
          </w:tcPr>
          <w:p w14:paraId="061401D6" w14:textId="77777777" w:rsidR="00A74C68" w:rsidRPr="00471CBA" w:rsidRDefault="00A74C68" w:rsidP="00F36B82">
            <w:pPr>
              <w:ind w:right="-45"/>
              <w:jc w:val="right"/>
              <w:rPr>
                <w:b/>
                <w:bCs/>
                <w:sz w:val="16"/>
                <w:szCs w:val="16"/>
              </w:rPr>
            </w:pPr>
            <w:r w:rsidRPr="00471CBA">
              <w:rPr>
                <w:b/>
                <w:bCs/>
                <w:sz w:val="16"/>
                <w:szCs w:val="16"/>
              </w:rPr>
              <w:t>Vadesiz</w:t>
            </w:r>
          </w:p>
        </w:tc>
        <w:tc>
          <w:tcPr>
            <w:tcW w:w="763" w:type="dxa"/>
            <w:tcBorders>
              <w:top w:val="nil"/>
              <w:left w:val="nil"/>
              <w:bottom w:val="single" w:sz="4" w:space="0" w:color="auto"/>
              <w:right w:val="nil"/>
            </w:tcBorders>
            <w:vAlign w:val="bottom"/>
            <w:hideMark/>
          </w:tcPr>
          <w:p w14:paraId="489712B5" w14:textId="77777777" w:rsidR="00A74C68" w:rsidRPr="00471CBA" w:rsidRDefault="00A74C68" w:rsidP="00F36B82">
            <w:pPr>
              <w:ind w:right="-45"/>
              <w:jc w:val="right"/>
              <w:rPr>
                <w:b/>
                <w:bCs/>
                <w:sz w:val="16"/>
                <w:szCs w:val="16"/>
              </w:rPr>
            </w:pPr>
            <w:r w:rsidRPr="00471CBA">
              <w:rPr>
                <w:b/>
                <w:bCs/>
                <w:sz w:val="16"/>
                <w:szCs w:val="16"/>
              </w:rPr>
              <w:t>1 Aya Kadar</w:t>
            </w:r>
          </w:p>
        </w:tc>
        <w:tc>
          <w:tcPr>
            <w:tcW w:w="841" w:type="dxa"/>
            <w:tcBorders>
              <w:top w:val="nil"/>
              <w:left w:val="nil"/>
              <w:bottom w:val="single" w:sz="4" w:space="0" w:color="auto"/>
              <w:right w:val="nil"/>
            </w:tcBorders>
            <w:vAlign w:val="bottom"/>
            <w:hideMark/>
          </w:tcPr>
          <w:p w14:paraId="66B58AC9" w14:textId="77777777" w:rsidR="00A74C68" w:rsidRPr="00471CBA" w:rsidRDefault="00A74C68" w:rsidP="00F36B82">
            <w:pPr>
              <w:ind w:right="-45"/>
              <w:jc w:val="right"/>
              <w:rPr>
                <w:b/>
                <w:bCs/>
                <w:sz w:val="16"/>
                <w:szCs w:val="16"/>
              </w:rPr>
            </w:pPr>
            <w:r w:rsidRPr="00471CBA">
              <w:rPr>
                <w:b/>
                <w:bCs/>
                <w:sz w:val="16"/>
                <w:szCs w:val="16"/>
              </w:rPr>
              <w:t>3 Aya Kadar</w:t>
            </w:r>
          </w:p>
        </w:tc>
        <w:tc>
          <w:tcPr>
            <w:tcW w:w="763" w:type="dxa"/>
            <w:tcBorders>
              <w:top w:val="nil"/>
              <w:left w:val="nil"/>
              <w:bottom w:val="single" w:sz="4" w:space="0" w:color="auto"/>
              <w:right w:val="nil"/>
            </w:tcBorders>
            <w:vAlign w:val="bottom"/>
            <w:hideMark/>
          </w:tcPr>
          <w:p w14:paraId="5D9A2379" w14:textId="77777777" w:rsidR="00A74C68" w:rsidRPr="00471CBA" w:rsidRDefault="00A74C68" w:rsidP="00F36B82">
            <w:pPr>
              <w:ind w:right="-45"/>
              <w:jc w:val="right"/>
              <w:rPr>
                <w:b/>
                <w:bCs/>
                <w:sz w:val="16"/>
                <w:szCs w:val="16"/>
              </w:rPr>
            </w:pPr>
            <w:r w:rsidRPr="00471CBA">
              <w:rPr>
                <w:b/>
                <w:bCs/>
                <w:sz w:val="16"/>
                <w:szCs w:val="16"/>
              </w:rPr>
              <w:t>6 Aya Kadar</w:t>
            </w:r>
          </w:p>
        </w:tc>
        <w:tc>
          <w:tcPr>
            <w:tcW w:w="694" w:type="dxa"/>
            <w:tcBorders>
              <w:top w:val="nil"/>
              <w:left w:val="nil"/>
              <w:bottom w:val="single" w:sz="4" w:space="0" w:color="auto"/>
              <w:right w:val="nil"/>
            </w:tcBorders>
            <w:vAlign w:val="bottom"/>
            <w:hideMark/>
          </w:tcPr>
          <w:p w14:paraId="7D4FCCB8" w14:textId="77777777" w:rsidR="00A74C68" w:rsidRPr="00471CBA" w:rsidRDefault="00A74C68" w:rsidP="00F36B82">
            <w:pPr>
              <w:ind w:right="-45"/>
              <w:jc w:val="right"/>
              <w:rPr>
                <w:b/>
                <w:bCs/>
                <w:sz w:val="16"/>
                <w:szCs w:val="16"/>
              </w:rPr>
            </w:pPr>
            <w:r w:rsidRPr="00471CBA">
              <w:rPr>
                <w:b/>
                <w:bCs/>
                <w:sz w:val="16"/>
                <w:szCs w:val="16"/>
              </w:rPr>
              <w:t>9 Aya Kadar</w:t>
            </w:r>
          </w:p>
        </w:tc>
        <w:tc>
          <w:tcPr>
            <w:tcW w:w="693" w:type="dxa"/>
            <w:tcBorders>
              <w:top w:val="nil"/>
              <w:left w:val="nil"/>
              <w:bottom w:val="single" w:sz="4" w:space="0" w:color="auto"/>
              <w:right w:val="nil"/>
            </w:tcBorders>
            <w:vAlign w:val="bottom"/>
            <w:hideMark/>
          </w:tcPr>
          <w:p w14:paraId="796DA108" w14:textId="77777777" w:rsidR="00A74C68" w:rsidRPr="00471CBA" w:rsidRDefault="00A74C68" w:rsidP="00F36B82">
            <w:pPr>
              <w:ind w:right="-45"/>
              <w:jc w:val="right"/>
              <w:rPr>
                <w:b/>
                <w:bCs/>
                <w:sz w:val="16"/>
                <w:szCs w:val="16"/>
              </w:rPr>
            </w:pPr>
            <w:r w:rsidRPr="00471CBA">
              <w:rPr>
                <w:b/>
                <w:bCs/>
                <w:sz w:val="16"/>
                <w:szCs w:val="16"/>
              </w:rPr>
              <w:t>1 Yıla Kadar</w:t>
            </w:r>
          </w:p>
        </w:tc>
        <w:tc>
          <w:tcPr>
            <w:tcW w:w="832" w:type="dxa"/>
            <w:tcBorders>
              <w:top w:val="nil"/>
              <w:left w:val="nil"/>
              <w:bottom w:val="single" w:sz="4" w:space="0" w:color="auto"/>
              <w:right w:val="nil"/>
            </w:tcBorders>
            <w:vAlign w:val="bottom"/>
            <w:hideMark/>
          </w:tcPr>
          <w:p w14:paraId="7DC7A936" w14:textId="77777777" w:rsidR="00A74C68" w:rsidRPr="00471CBA" w:rsidRDefault="00A74C68" w:rsidP="00F36B82">
            <w:pPr>
              <w:ind w:right="-45"/>
              <w:jc w:val="right"/>
              <w:rPr>
                <w:b/>
                <w:bCs/>
                <w:sz w:val="16"/>
                <w:szCs w:val="16"/>
              </w:rPr>
            </w:pPr>
            <w:r w:rsidRPr="00471CBA">
              <w:rPr>
                <w:b/>
                <w:bCs/>
                <w:sz w:val="16"/>
                <w:szCs w:val="16"/>
              </w:rPr>
              <w:t>1 Yıl ve Üstü</w:t>
            </w:r>
          </w:p>
        </w:tc>
        <w:tc>
          <w:tcPr>
            <w:tcW w:w="879" w:type="dxa"/>
            <w:tcBorders>
              <w:top w:val="nil"/>
              <w:left w:val="nil"/>
              <w:bottom w:val="single" w:sz="4" w:space="0" w:color="auto"/>
              <w:right w:val="nil"/>
            </w:tcBorders>
            <w:vAlign w:val="bottom"/>
            <w:hideMark/>
          </w:tcPr>
          <w:p w14:paraId="6FB37FD0" w14:textId="77777777" w:rsidR="00A74C68" w:rsidRPr="00471CBA" w:rsidRDefault="00A74C68" w:rsidP="00F36B82">
            <w:pPr>
              <w:ind w:right="-45"/>
              <w:jc w:val="right"/>
              <w:rPr>
                <w:b/>
                <w:bCs/>
                <w:sz w:val="16"/>
                <w:szCs w:val="16"/>
              </w:rPr>
            </w:pPr>
            <w:r w:rsidRPr="00471CBA">
              <w:rPr>
                <w:b/>
                <w:bCs/>
                <w:sz w:val="16"/>
                <w:szCs w:val="16"/>
              </w:rPr>
              <w:t>Birikimli Katılma Hesabı</w:t>
            </w:r>
          </w:p>
        </w:tc>
        <w:tc>
          <w:tcPr>
            <w:tcW w:w="841" w:type="dxa"/>
            <w:tcBorders>
              <w:top w:val="nil"/>
              <w:left w:val="nil"/>
              <w:bottom w:val="single" w:sz="4" w:space="0" w:color="auto"/>
              <w:right w:val="nil"/>
            </w:tcBorders>
            <w:vAlign w:val="bottom"/>
            <w:hideMark/>
          </w:tcPr>
          <w:p w14:paraId="543B50DD" w14:textId="77777777" w:rsidR="00A74C68" w:rsidRPr="00471CBA" w:rsidRDefault="00A74C68" w:rsidP="00F36B82">
            <w:pPr>
              <w:ind w:right="-45"/>
              <w:jc w:val="right"/>
              <w:rPr>
                <w:b/>
                <w:bCs/>
                <w:sz w:val="16"/>
                <w:szCs w:val="16"/>
              </w:rPr>
            </w:pPr>
            <w:r w:rsidRPr="00471CBA">
              <w:rPr>
                <w:b/>
                <w:bCs/>
                <w:sz w:val="16"/>
                <w:szCs w:val="16"/>
              </w:rPr>
              <w:t>Toplam</w:t>
            </w:r>
          </w:p>
        </w:tc>
      </w:tr>
      <w:tr w:rsidR="00A74C68" w:rsidRPr="00471CBA" w14:paraId="05AF3992" w14:textId="77777777" w:rsidTr="00A74C68">
        <w:trPr>
          <w:divId w:val="1004547450"/>
          <w:trHeight w:val="113"/>
        </w:trPr>
        <w:tc>
          <w:tcPr>
            <w:tcW w:w="2212" w:type="dxa"/>
            <w:tcBorders>
              <w:top w:val="nil"/>
              <w:left w:val="nil"/>
              <w:bottom w:val="nil"/>
              <w:right w:val="nil"/>
            </w:tcBorders>
            <w:noWrap/>
            <w:vAlign w:val="bottom"/>
            <w:hideMark/>
          </w:tcPr>
          <w:p w14:paraId="697E8D92" w14:textId="77777777" w:rsidR="00A74C68" w:rsidRPr="00471CBA" w:rsidRDefault="00A74C68" w:rsidP="00A74C68">
            <w:pPr>
              <w:jc w:val="right"/>
              <w:rPr>
                <w:b/>
                <w:bCs/>
                <w:sz w:val="16"/>
                <w:szCs w:val="16"/>
              </w:rPr>
            </w:pPr>
          </w:p>
        </w:tc>
        <w:tc>
          <w:tcPr>
            <w:tcW w:w="970" w:type="dxa"/>
            <w:tcBorders>
              <w:top w:val="nil"/>
              <w:left w:val="nil"/>
              <w:bottom w:val="nil"/>
              <w:right w:val="nil"/>
            </w:tcBorders>
            <w:vAlign w:val="center"/>
            <w:hideMark/>
          </w:tcPr>
          <w:p w14:paraId="370A1500" w14:textId="77777777" w:rsidR="00A74C68" w:rsidRPr="00471CBA" w:rsidRDefault="00A74C68" w:rsidP="00F36B82">
            <w:pPr>
              <w:ind w:right="-45"/>
              <w:jc w:val="right"/>
              <w:rPr>
                <w:sz w:val="16"/>
                <w:szCs w:val="16"/>
              </w:rPr>
            </w:pPr>
          </w:p>
        </w:tc>
        <w:tc>
          <w:tcPr>
            <w:tcW w:w="763" w:type="dxa"/>
            <w:tcBorders>
              <w:top w:val="nil"/>
              <w:left w:val="nil"/>
              <w:bottom w:val="nil"/>
              <w:right w:val="nil"/>
            </w:tcBorders>
            <w:vAlign w:val="center"/>
            <w:hideMark/>
          </w:tcPr>
          <w:p w14:paraId="18D46E41" w14:textId="77777777" w:rsidR="00A74C68" w:rsidRPr="00471CBA" w:rsidRDefault="00A74C68" w:rsidP="00F36B82">
            <w:pPr>
              <w:ind w:right="-45"/>
              <w:jc w:val="right"/>
              <w:rPr>
                <w:sz w:val="16"/>
                <w:szCs w:val="16"/>
              </w:rPr>
            </w:pPr>
          </w:p>
        </w:tc>
        <w:tc>
          <w:tcPr>
            <w:tcW w:w="841" w:type="dxa"/>
            <w:tcBorders>
              <w:top w:val="nil"/>
              <w:left w:val="nil"/>
              <w:bottom w:val="nil"/>
              <w:right w:val="nil"/>
            </w:tcBorders>
            <w:vAlign w:val="center"/>
            <w:hideMark/>
          </w:tcPr>
          <w:p w14:paraId="28967181" w14:textId="77777777" w:rsidR="00A74C68" w:rsidRPr="00471CBA" w:rsidRDefault="00A74C68" w:rsidP="00F36B82">
            <w:pPr>
              <w:ind w:right="-45"/>
              <w:jc w:val="right"/>
              <w:rPr>
                <w:sz w:val="16"/>
                <w:szCs w:val="16"/>
              </w:rPr>
            </w:pPr>
          </w:p>
        </w:tc>
        <w:tc>
          <w:tcPr>
            <w:tcW w:w="763" w:type="dxa"/>
            <w:tcBorders>
              <w:top w:val="nil"/>
              <w:left w:val="nil"/>
              <w:bottom w:val="nil"/>
              <w:right w:val="nil"/>
            </w:tcBorders>
            <w:vAlign w:val="center"/>
            <w:hideMark/>
          </w:tcPr>
          <w:p w14:paraId="2E8D3D0D" w14:textId="77777777" w:rsidR="00A74C68" w:rsidRPr="00471CBA" w:rsidRDefault="00A74C68" w:rsidP="00F36B82">
            <w:pPr>
              <w:ind w:right="-45"/>
              <w:jc w:val="right"/>
              <w:rPr>
                <w:sz w:val="16"/>
                <w:szCs w:val="16"/>
              </w:rPr>
            </w:pPr>
          </w:p>
        </w:tc>
        <w:tc>
          <w:tcPr>
            <w:tcW w:w="694" w:type="dxa"/>
            <w:tcBorders>
              <w:top w:val="nil"/>
              <w:left w:val="nil"/>
              <w:bottom w:val="nil"/>
              <w:right w:val="nil"/>
            </w:tcBorders>
            <w:vAlign w:val="center"/>
            <w:hideMark/>
          </w:tcPr>
          <w:p w14:paraId="7B6BF7BB" w14:textId="77777777" w:rsidR="00A74C68" w:rsidRPr="00471CBA" w:rsidRDefault="00A74C68" w:rsidP="00F36B82">
            <w:pPr>
              <w:ind w:right="-45"/>
              <w:jc w:val="right"/>
              <w:rPr>
                <w:sz w:val="16"/>
                <w:szCs w:val="16"/>
              </w:rPr>
            </w:pPr>
          </w:p>
        </w:tc>
        <w:tc>
          <w:tcPr>
            <w:tcW w:w="693" w:type="dxa"/>
            <w:tcBorders>
              <w:top w:val="nil"/>
              <w:left w:val="nil"/>
              <w:bottom w:val="nil"/>
              <w:right w:val="nil"/>
            </w:tcBorders>
            <w:vAlign w:val="center"/>
            <w:hideMark/>
          </w:tcPr>
          <w:p w14:paraId="780BC33B" w14:textId="77777777" w:rsidR="00A74C68" w:rsidRPr="00471CBA" w:rsidRDefault="00A74C68" w:rsidP="00F36B82">
            <w:pPr>
              <w:ind w:right="-45"/>
              <w:jc w:val="right"/>
              <w:rPr>
                <w:sz w:val="16"/>
                <w:szCs w:val="16"/>
              </w:rPr>
            </w:pPr>
          </w:p>
        </w:tc>
        <w:tc>
          <w:tcPr>
            <w:tcW w:w="832" w:type="dxa"/>
            <w:tcBorders>
              <w:top w:val="nil"/>
              <w:left w:val="nil"/>
              <w:bottom w:val="nil"/>
              <w:right w:val="nil"/>
            </w:tcBorders>
            <w:vAlign w:val="center"/>
            <w:hideMark/>
          </w:tcPr>
          <w:p w14:paraId="764DA9D6" w14:textId="77777777" w:rsidR="00A74C68" w:rsidRPr="00471CBA" w:rsidRDefault="00A74C68" w:rsidP="00F36B82">
            <w:pPr>
              <w:ind w:right="-45"/>
              <w:jc w:val="right"/>
              <w:rPr>
                <w:sz w:val="16"/>
                <w:szCs w:val="16"/>
              </w:rPr>
            </w:pPr>
          </w:p>
        </w:tc>
        <w:tc>
          <w:tcPr>
            <w:tcW w:w="879" w:type="dxa"/>
            <w:tcBorders>
              <w:top w:val="nil"/>
              <w:left w:val="nil"/>
              <w:bottom w:val="nil"/>
              <w:right w:val="nil"/>
            </w:tcBorders>
            <w:vAlign w:val="center"/>
            <w:hideMark/>
          </w:tcPr>
          <w:p w14:paraId="1C797D3E" w14:textId="77777777" w:rsidR="00A74C68" w:rsidRPr="00471CBA" w:rsidRDefault="00A74C68" w:rsidP="00F36B82">
            <w:pPr>
              <w:ind w:right="-45"/>
              <w:jc w:val="right"/>
              <w:rPr>
                <w:sz w:val="16"/>
                <w:szCs w:val="16"/>
              </w:rPr>
            </w:pPr>
          </w:p>
        </w:tc>
        <w:tc>
          <w:tcPr>
            <w:tcW w:w="841" w:type="dxa"/>
            <w:tcBorders>
              <w:top w:val="nil"/>
              <w:left w:val="nil"/>
              <w:bottom w:val="nil"/>
              <w:right w:val="nil"/>
            </w:tcBorders>
            <w:vAlign w:val="center"/>
            <w:hideMark/>
          </w:tcPr>
          <w:p w14:paraId="7BC668CB" w14:textId="77777777" w:rsidR="00A74C68" w:rsidRPr="00471CBA" w:rsidRDefault="00A74C68" w:rsidP="00F36B82">
            <w:pPr>
              <w:ind w:right="-45"/>
              <w:jc w:val="right"/>
              <w:rPr>
                <w:sz w:val="16"/>
                <w:szCs w:val="16"/>
              </w:rPr>
            </w:pPr>
          </w:p>
        </w:tc>
      </w:tr>
      <w:tr w:rsidR="00A74C68" w:rsidRPr="00471CBA" w14:paraId="1EBF2034" w14:textId="77777777" w:rsidTr="00A74C68">
        <w:trPr>
          <w:divId w:val="1004547450"/>
          <w:trHeight w:val="113"/>
        </w:trPr>
        <w:tc>
          <w:tcPr>
            <w:tcW w:w="2212" w:type="dxa"/>
            <w:tcBorders>
              <w:top w:val="nil"/>
              <w:left w:val="nil"/>
              <w:bottom w:val="nil"/>
              <w:right w:val="nil"/>
            </w:tcBorders>
            <w:vAlign w:val="bottom"/>
            <w:hideMark/>
          </w:tcPr>
          <w:p w14:paraId="2E405967" w14:textId="77777777" w:rsidR="00A74C68" w:rsidRPr="00471CBA" w:rsidRDefault="00A74C68" w:rsidP="00A74C68">
            <w:pPr>
              <w:rPr>
                <w:b/>
                <w:bCs/>
                <w:sz w:val="16"/>
                <w:szCs w:val="16"/>
              </w:rPr>
            </w:pPr>
            <w:r w:rsidRPr="00471CBA">
              <w:rPr>
                <w:b/>
                <w:bCs/>
                <w:sz w:val="16"/>
                <w:szCs w:val="16"/>
              </w:rPr>
              <w:t>I. Özel Cari Hesaplar Gerçek Kişi Ticari Olmayan-TP</w:t>
            </w:r>
          </w:p>
        </w:tc>
        <w:tc>
          <w:tcPr>
            <w:tcW w:w="970" w:type="dxa"/>
            <w:tcBorders>
              <w:top w:val="nil"/>
              <w:left w:val="nil"/>
              <w:bottom w:val="nil"/>
              <w:right w:val="nil"/>
            </w:tcBorders>
            <w:vAlign w:val="bottom"/>
            <w:hideMark/>
          </w:tcPr>
          <w:p w14:paraId="75B28334" w14:textId="77777777" w:rsidR="00A74C68" w:rsidRPr="00471CBA" w:rsidRDefault="00A74C68" w:rsidP="00F36B82">
            <w:pPr>
              <w:ind w:right="-45"/>
              <w:jc w:val="right"/>
              <w:rPr>
                <w:b/>
                <w:bCs/>
                <w:sz w:val="16"/>
                <w:szCs w:val="16"/>
              </w:rPr>
            </w:pPr>
            <w:r w:rsidRPr="00471CBA">
              <w:rPr>
                <w:b/>
                <w:bCs/>
                <w:sz w:val="16"/>
                <w:szCs w:val="16"/>
              </w:rPr>
              <w:t>533.326</w:t>
            </w:r>
          </w:p>
        </w:tc>
        <w:tc>
          <w:tcPr>
            <w:tcW w:w="763" w:type="dxa"/>
            <w:tcBorders>
              <w:top w:val="nil"/>
              <w:left w:val="nil"/>
              <w:bottom w:val="nil"/>
              <w:right w:val="nil"/>
            </w:tcBorders>
            <w:vAlign w:val="bottom"/>
            <w:hideMark/>
          </w:tcPr>
          <w:p w14:paraId="5C606A55" w14:textId="77777777" w:rsidR="00A74C68" w:rsidRPr="00471CBA" w:rsidRDefault="00A74C68" w:rsidP="00F36B82">
            <w:pPr>
              <w:ind w:right="-45"/>
              <w:jc w:val="right"/>
              <w:rPr>
                <w:b/>
                <w:bCs/>
                <w:sz w:val="16"/>
                <w:szCs w:val="16"/>
              </w:rPr>
            </w:pPr>
            <w:r w:rsidRPr="00471CBA">
              <w:rPr>
                <w:b/>
                <w:bCs/>
                <w:sz w:val="16"/>
                <w:szCs w:val="16"/>
              </w:rPr>
              <w:t>-</w:t>
            </w:r>
          </w:p>
        </w:tc>
        <w:tc>
          <w:tcPr>
            <w:tcW w:w="841" w:type="dxa"/>
            <w:tcBorders>
              <w:top w:val="nil"/>
              <w:left w:val="nil"/>
              <w:bottom w:val="nil"/>
              <w:right w:val="nil"/>
            </w:tcBorders>
            <w:vAlign w:val="bottom"/>
            <w:hideMark/>
          </w:tcPr>
          <w:p w14:paraId="79DC363D" w14:textId="77777777" w:rsidR="00A74C68" w:rsidRPr="00471CBA" w:rsidRDefault="00A74C68" w:rsidP="00F36B82">
            <w:pPr>
              <w:ind w:right="-45"/>
              <w:jc w:val="right"/>
              <w:rPr>
                <w:b/>
                <w:bCs/>
                <w:sz w:val="16"/>
                <w:szCs w:val="16"/>
              </w:rPr>
            </w:pPr>
            <w:r w:rsidRPr="00471CBA">
              <w:rPr>
                <w:b/>
                <w:bCs/>
                <w:sz w:val="16"/>
                <w:szCs w:val="16"/>
              </w:rPr>
              <w:t>-</w:t>
            </w:r>
          </w:p>
        </w:tc>
        <w:tc>
          <w:tcPr>
            <w:tcW w:w="763" w:type="dxa"/>
            <w:tcBorders>
              <w:top w:val="nil"/>
              <w:left w:val="nil"/>
              <w:bottom w:val="nil"/>
              <w:right w:val="nil"/>
            </w:tcBorders>
            <w:vAlign w:val="bottom"/>
            <w:hideMark/>
          </w:tcPr>
          <w:p w14:paraId="1019A990" w14:textId="77777777" w:rsidR="00A74C68" w:rsidRPr="00471CBA" w:rsidRDefault="00A74C68" w:rsidP="00F36B82">
            <w:pPr>
              <w:ind w:right="-45"/>
              <w:jc w:val="right"/>
              <w:rPr>
                <w:b/>
                <w:bCs/>
                <w:sz w:val="16"/>
                <w:szCs w:val="16"/>
              </w:rPr>
            </w:pPr>
            <w:r w:rsidRPr="00471CBA">
              <w:rPr>
                <w:b/>
                <w:bCs/>
                <w:sz w:val="16"/>
                <w:szCs w:val="16"/>
              </w:rPr>
              <w:t>-</w:t>
            </w:r>
          </w:p>
        </w:tc>
        <w:tc>
          <w:tcPr>
            <w:tcW w:w="694" w:type="dxa"/>
            <w:tcBorders>
              <w:top w:val="nil"/>
              <w:left w:val="nil"/>
              <w:bottom w:val="nil"/>
              <w:right w:val="nil"/>
            </w:tcBorders>
            <w:vAlign w:val="bottom"/>
            <w:hideMark/>
          </w:tcPr>
          <w:p w14:paraId="438AC644" w14:textId="77777777" w:rsidR="00A74C68" w:rsidRPr="00471CBA" w:rsidRDefault="00A74C68" w:rsidP="00F36B82">
            <w:pPr>
              <w:ind w:right="-45"/>
              <w:jc w:val="right"/>
              <w:rPr>
                <w:b/>
                <w:bCs/>
                <w:sz w:val="16"/>
                <w:szCs w:val="16"/>
              </w:rPr>
            </w:pPr>
            <w:r w:rsidRPr="00471CBA">
              <w:rPr>
                <w:b/>
                <w:bCs/>
                <w:sz w:val="16"/>
                <w:szCs w:val="16"/>
              </w:rPr>
              <w:t>-</w:t>
            </w:r>
          </w:p>
        </w:tc>
        <w:tc>
          <w:tcPr>
            <w:tcW w:w="693" w:type="dxa"/>
            <w:tcBorders>
              <w:top w:val="nil"/>
              <w:left w:val="nil"/>
              <w:bottom w:val="nil"/>
              <w:right w:val="nil"/>
            </w:tcBorders>
            <w:vAlign w:val="bottom"/>
            <w:hideMark/>
          </w:tcPr>
          <w:p w14:paraId="3DE4E716" w14:textId="77777777" w:rsidR="00A74C68" w:rsidRPr="00471CBA" w:rsidRDefault="00A74C68" w:rsidP="00F36B82">
            <w:pPr>
              <w:ind w:right="-45"/>
              <w:jc w:val="right"/>
              <w:rPr>
                <w:b/>
                <w:bCs/>
                <w:sz w:val="16"/>
                <w:szCs w:val="16"/>
              </w:rPr>
            </w:pPr>
            <w:r w:rsidRPr="00471CBA">
              <w:rPr>
                <w:b/>
                <w:bCs/>
                <w:sz w:val="16"/>
                <w:szCs w:val="16"/>
              </w:rPr>
              <w:t>-</w:t>
            </w:r>
          </w:p>
        </w:tc>
        <w:tc>
          <w:tcPr>
            <w:tcW w:w="832" w:type="dxa"/>
            <w:tcBorders>
              <w:top w:val="nil"/>
              <w:left w:val="nil"/>
              <w:bottom w:val="nil"/>
              <w:right w:val="nil"/>
            </w:tcBorders>
            <w:vAlign w:val="bottom"/>
            <w:hideMark/>
          </w:tcPr>
          <w:p w14:paraId="1181FC4E" w14:textId="77777777" w:rsidR="00A74C68" w:rsidRPr="00471CBA" w:rsidRDefault="00A74C68" w:rsidP="00F36B82">
            <w:pPr>
              <w:ind w:right="-45"/>
              <w:jc w:val="right"/>
              <w:rPr>
                <w:b/>
                <w:bCs/>
                <w:sz w:val="16"/>
                <w:szCs w:val="16"/>
              </w:rPr>
            </w:pPr>
            <w:r w:rsidRPr="00471CBA">
              <w:rPr>
                <w:b/>
                <w:bCs/>
                <w:sz w:val="16"/>
                <w:szCs w:val="16"/>
              </w:rPr>
              <w:t>-</w:t>
            </w:r>
          </w:p>
        </w:tc>
        <w:tc>
          <w:tcPr>
            <w:tcW w:w="879" w:type="dxa"/>
            <w:tcBorders>
              <w:top w:val="nil"/>
              <w:left w:val="nil"/>
              <w:bottom w:val="nil"/>
              <w:right w:val="nil"/>
            </w:tcBorders>
            <w:vAlign w:val="bottom"/>
            <w:hideMark/>
          </w:tcPr>
          <w:p w14:paraId="42B8F07C" w14:textId="77777777" w:rsidR="00A74C68" w:rsidRPr="00471CBA" w:rsidRDefault="00A74C68" w:rsidP="00F36B82">
            <w:pPr>
              <w:ind w:right="-45"/>
              <w:jc w:val="right"/>
              <w:rPr>
                <w:b/>
                <w:bCs/>
                <w:sz w:val="16"/>
                <w:szCs w:val="16"/>
              </w:rPr>
            </w:pPr>
            <w:r w:rsidRPr="00471CBA">
              <w:rPr>
                <w:b/>
                <w:bCs/>
                <w:sz w:val="16"/>
                <w:szCs w:val="16"/>
              </w:rPr>
              <w:t>-</w:t>
            </w:r>
          </w:p>
        </w:tc>
        <w:tc>
          <w:tcPr>
            <w:tcW w:w="841" w:type="dxa"/>
            <w:tcBorders>
              <w:top w:val="nil"/>
              <w:left w:val="nil"/>
              <w:bottom w:val="nil"/>
              <w:right w:val="nil"/>
            </w:tcBorders>
            <w:vAlign w:val="bottom"/>
            <w:hideMark/>
          </w:tcPr>
          <w:p w14:paraId="4BEEAF12" w14:textId="77777777" w:rsidR="00A74C68" w:rsidRPr="00471CBA" w:rsidRDefault="00A74C68" w:rsidP="00F36B82">
            <w:pPr>
              <w:ind w:right="-45"/>
              <w:jc w:val="right"/>
              <w:rPr>
                <w:b/>
                <w:bCs/>
                <w:sz w:val="16"/>
                <w:szCs w:val="16"/>
              </w:rPr>
            </w:pPr>
            <w:r w:rsidRPr="00471CBA">
              <w:rPr>
                <w:b/>
                <w:bCs/>
                <w:sz w:val="16"/>
                <w:szCs w:val="16"/>
              </w:rPr>
              <w:t>533.326</w:t>
            </w:r>
          </w:p>
        </w:tc>
      </w:tr>
      <w:tr w:rsidR="00A74C68" w:rsidRPr="00471CBA" w14:paraId="236FBDDD" w14:textId="77777777" w:rsidTr="00A74C68">
        <w:trPr>
          <w:divId w:val="1004547450"/>
          <w:trHeight w:val="113"/>
        </w:trPr>
        <w:tc>
          <w:tcPr>
            <w:tcW w:w="2212" w:type="dxa"/>
            <w:tcBorders>
              <w:top w:val="nil"/>
              <w:left w:val="nil"/>
              <w:bottom w:val="nil"/>
              <w:right w:val="nil"/>
            </w:tcBorders>
            <w:vAlign w:val="bottom"/>
            <w:hideMark/>
          </w:tcPr>
          <w:p w14:paraId="25433C7D" w14:textId="77777777" w:rsidR="00A74C68" w:rsidRPr="00471CBA" w:rsidRDefault="00A74C68" w:rsidP="00A74C68">
            <w:pPr>
              <w:rPr>
                <w:b/>
                <w:bCs/>
                <w:sz w:val="16"/>
                <w:szCs w:val="16"/>
              </w:rPr>
            </w:pPr>
            <w:r w:rsidRPr="00471CBA">
              <w:rPr>
                <w:b/>
                <w:bCs/>
                <w:sz w:val="16"/>
                <w:szCs w:val="16"/>
              </w:rPr>
              <w:t>II. Katılma Hesapları Gerçek Kişi Ticari Olmayan-TP</w:t>
            </w:r>
          </w:p>
        </w:tc>
        <w:tc>
          <w:tcPr>
            <w:tcW w:w="970" w:type="dxa"/>
            <w:tcBorders>
              <w:top w:val="nil"/>
              <w:left w:val="nil"/>
              <w:bottom w:val="nil"/>
              <w:right w:val="nil"/>
            </w:tcBorders>
            <w:vAlign w:val="bottom"/>
            <w:hideMark/>
          </w:tcPr>
          <w:p w14:paraId="1F7459D5" w14:textId="77777777" w:rsidR="00A74C68" w:rsidRPr="00471CBA" w:rsidRDefault="00A74C68" w:rsidP="00F36B82">
            <w:pPr>
              <w:ind w:right="-45"/>
              <w:jc w:val="right"/>
              <w:rPr>
                <w:b/>
                <w:bCs/>
                <w:sz w:val="16"/>
                <w:szCs w:val="16"/>
              </w:rPr>
            </w:pPr>
            <w:r w:rsidRPr="00471CBA">
              <w:rPr>
                <w:b/>
                <w:bCs/>
                <w:sz w:val="16"/>
                <w:szCs w:val="16"/>
              </w:rPr>
              <w:t>-</w:t>
            </w:r>
          </w:p>
        </w:tc>
        <w:tc>
          <w:tcPr>
            <w:tcW w:w="763" w:type="dxa"/>
            <w:tcBorders>
              <w:top w:val="nil"/>
              <w:left w:val="nil"/>
              <w:bottom w:val="nil"/>
              <w:right w:val="nil"/>
            </w:tcBorders>
            <w:vAlign w:val="bottom"/>
            <w:hideMark/>
          </w:tcPr>
          <w:p w14:paraId="4DA712B9" w14:textId="77777777" w:rsidR="00A74C68" w:rsidRPr="00471CBA" w:rsidRDefault="00A74C68" w:rsidP="00F36B82">
            <w:pPr>
              <w:ind w:right="-45"/>
              <w:jc w:val="right"/>
              <w:rPr>
                <w:b/>
                <w:bCs/>
                <w:sz w:val="16"/>
                <w:szCs w:val="16"/>
              </w:rPr>
            </w:pPr>
            <w:r w:rsidRPr="00471CBA">
              <w:rPr>
                <w:b/>
                <w:bCs/>
                <w:sz w:val="16"/>
                <w:szCs w:val="16"/>
              </w:rPr>
              <w:t>1.015.694</w:t>
            </w:r>
          </w:p>
        </w:tc>
        <w:tc>
          <w:tcPr>
            <w:tcW w:w="841" w:type="dxa"/>
            <w:tcBorders>
              <w:top w:val="nil"/>
              <w:left w:val="nil"/>
              <w:bottom w:val="nil"/>
              <w:right w:val="nil"/>
            </w:tcBorders>
            <w:vAlign w:val="bottom"/>
            <w:hideMark/>
          </w:tcPr>
          <w:p w14:paraId="1D8634F3" w14:textId="77777777" w:rsidR="00A74C68" w:rsidRPr="00471CBA" w:rsidRDefault="00A74C68" w:rsidP="00F36B82">
            <w:pPr>
              <w:ind w:right="-45"/>
              <w:jc w:val="right"/>
              <w:rPr>
                <w:b/>
                <w:bCs/>
                <w:sz w:val="16"/>
                <w:szCs w:val="16"/>
              </w:rPr>
            </w:pPr>
            <w:r w:rsidRPr="00471CBA">
              <w:rPr>
                <w:b/>
                <w:bCs/>
                <w:sz w:val="16"/>
                <w:szCs w:val="16"/>
              </w:rPr>
              <w:t>253.978</w:t>
            </w:r>
          </w:p>
        </w:tc>
        <w:tc>
          <w:tcPr>
            <w:tcW w:w="763" w:type="dxa"/>
            <w:tcBorders>
              <w:top w:val="nil"/>
              <w:left w:val="nil"/>
              <w:bottom w:val="nil"/>
              <w:right w:val="nil"/>
            </w:tcBorders>
            <w:vAlign w:val="bottom"/>
            <w:hideMark/>
          </w:tcPr>
          <w:p w14:paraId="40AA1DC7" w14:textId="77777777" w:rsidR="00A74C68" w:rsidRPr="00471CBA" w:rsidRDefault="00A74C68" w:rsidP="00F36B82">
            <w:pPr>
              <w:ind w:right="-45"/>
              <w:jc w:val="right"/>
              <w:rPr>
                <w:b/>
                <w:bCs/>
                <w:sz w:val="16"/>
                <w:szCs w:val="16"/>
              </w:rPr>
            </w:pPr>
            <w:r w:rsidRPr="00471CBA">
              <w:rPr>
                <w:b/>
                <w:bCs/>
                <w:sz w:val="16"/>
                <w:szCs w:val="16"/>
              </w:rPr>
              <w:t>581</w:t>
            </w:r>
          </w:p>
        </w:tc>
        <w:tc>
          <w:tcPr>
            <w:tcW w:w="694" w:type="dxa"/>
            <w:tcBorders>
              <w:top w:val="nil"/>
              <w:left w:val="nil"/>
              <w:bottom w:val="nil"/>
              <w:right w:val="nil"/>
            </w:tcBorders>
            <w:vAlign w:val="bottom"/>
            <w:hideMark/>
          </w:tcPr>
          <w:p w14:paraId="59452A6B" w14:textId="77777777" w:rsidR="00A74C68" w:rsidRPr="00471CBA" w:rsidRDefault="00A74C68" w:rsidP="00F36B82">
            <w:pPr>
              <w:ind w:right="-45"/>
              <w:jc w:val="right"/>
              <w:rPr>
                <w:b/>
                <w:bCs/>
                <w:sz w:val="16"/>
                <w:szCs w:val="16"/>
              </w:rPr>
            </w:pPr>
            <w:r w:rsidRPr="00471CBA">
              <w:rPr>
                <w:b/>
                <w:bCs/>
                <w:sz w:val="16"/>
                <w:szCs w:val="16"/>
              </w:rPr>
              <w:t>-</w:t>
            </w:r>
          </w:p>
        </w:tc>
        <w:tc>
          <w:tcPr>
            <w:tcW w:w="693" w:type="dxa"/>
            <w:tcBorders>
              <w:top w:val="nil"/>
              <w:left w:val="nil"/>
              <w:bottom w:val="nil"/>
              <w:right w:val="nil"/>
            </w:tcBorders>
            <w:vAlign w:val="bottom"/>
            <w:hideMark/>
          </w:tcPr>
          <w:p w14:paraId="4D791D84" w14:textId="77777777" w:rsidR="00A74C68" w:rsidRPr="00471CBA" w:rsidRDefault="00A74C68" w:rsidP="00F36B82">
            <w:pPr>
              <w:ind w:right="-45"/>
              <w:jc w:val="right"/>
              <w:rPr>
                <w:b/>
                <w:bCs/>
                <w:sz w:val="16"/>
                <w:szCs w:val="16"/>
              </w:rPr>
            </w:pPr>
            <w:r w:rsidRPr="00471CBA">
              <w:rPr>
                <w:b/>
                <w:bCs/>
                <w:sz w:val="16"/>
                <w:szCs w:val="16"/>
              </w:rPr>
              <w:t>7.882</w:t>
            </w:r>
          </w:p>
        </w:tc>
        <w:tc>
          <w:tcPr>
            <w:tcW w:w="832" w:type="dxa"/>
            <w:tcBorders>
              <w:top w:val="nil"/>
              <w:left w:val="nil"/>
              <w:bottom w:val="nil"/>
              <w:right w:val="nil"/>
            </w:tcBorders>
            <w:vAlign w:val="bottom"/>
            <w:hideMark/>
          </w:tcPr>
          <w:p w14:paraId="3A6E3834" w14:textId="77777777" w:rsidR="00A74C68" w:rsidRPr="00471CBA" w:rsidRDefault="00A74C68" w:rsidP="00F36B82">
            <w:pPr>
              <w:ind w:right="-45"/>
              <w:jc w:val="right"/>
              <w:rPr>
                <w:b/>
                <w:bCs/>
                <w:sz w:val="16"/>
                <w:szCs w:val="16"/>
              </w:rPr>
            </w:pPr>
            <w:r w:rsidRPr="00471CBA">
              <w:rPr>
                <w:b/>
                <w:bCs/>
                <w:sz w:val="16"/>
                <w:szCs w:val="16"/>
              </w:rPr>
              <w:t>80.398</w:t>
            </w:r>
          </w:p>
        </w:tc>
        <w:tc>
          <w:tcPr>
            <w:tcW w:w="879" w:type="dxa"/>
            <w:tcBorders>
              <w:top w:val="nil"/>
              <w:left w:val="nil"/>
              <w:bottom w:val="nil"/>
              <w:right w:val="nil"/>
            </w:tcBorders>
            <w:vAlign w:val="bottom"/>
            <w:hideMark/>
          </w:tcPr>
          <w:p w14:paraId="316F0845" w14:textId="77777777" w:rsidR="00A74C68" w:rsidRPr="00471CBA" w:rsidRDefault="00A74C68" w:rsidP="00F36B82">
            <w:pPr>
              <w:ind w:right="-45"/>
              <w:jc w:val="right"/>
              <w:rPr>
                <w:b/>
                <w:bCs/>
                <w:sz w:val="16"/>
                <w:szCs w:val="16"/>
              </w:rPr>
            </w:pPr>
            <w:r w:rsidRPr="00471CBA">
              <w:rPr>
                <w:b/>
                <w:bCs/>
                <w:sz w:val="16"/>
                <w:szCs w:val="16"/>
              </w:rPr>
              <w:t>-</w:t>
            </w:r>
          </w:p>
        </w:tc>
        <w:tc>
          <w:tcPr>
            <w:tcW w:w="841" w:type="dxa"/>
            <w:tcBorders>
              <w:top w:val="nil"/>
              <w:left w:val="nil"/>
              <w:bottom w:val="nil"/>
              <w:right w:val="nil"/>
            </w:tcBorders>
            <w:vAlign w:val="bottom"/>
            <w:hideMark/>
          </w:tcPr>
          <w:p w14:paraId="0B9D0FB1" w14:textId="77777777" w:rsidR="00A74C68" w:rsidRPr="00471CBA" w:rsidRDefault="00A74C68" w:rsidP="00F36B82">
            <w:pPr>
              <w:ind w:right="-45"/>
              <w:jc w:val="right"/>
              <w:rPr>
                <w:b/>
                <w:bCs/>
                <w:sz w:val="16"/>
                <w:szCs w:val="16"/>
              </w:rPr>
            </w:pPr>
            <w:r w:rsidRPr="00471CBA">
              <w:rPr>
                <w:b/>
                <w:bCs/>
                <w:sz w:val="16"/>
                <w:szCs w:val="16"/>
              </w:rPr>
              <w:t>1.358.533</w:t>
            </w:r>
          </w:p>
        </w:tc>
      </w:tr>
      <w:tr w:rsidR="00A74C68" w:rsidRPr="00471CBA" w14:paraId="0A6D4D9C" w14:textId="77777777" w:rsidTr="00A74C68">
        <w:trPr>
          <w:divId w:val="1004547450"/>
          <w:trHeight w:val="113"/>
        </w:trPr>
        <w:tc>
          <w:tcPr>
            <w:tcW w:w="2212" w:type="dxa"/>
            <w:tcBorders>
              <w:top w:val="nil"/>
              <w:left w:val="nil"/>
              <w:bottom w:val="nil"/>
              <w:right w:val="nil"/>
            </w:tcBorders>
            <w:vAlign w:val="bottom"/>
            <w:hideMark/>
          </w:tcPr>
          <w:p w14:paraId="10D3827B" w14:textId="77777777" w:rsidR="00A74C68" w:rsidRPr="00471CBA" w:rsidRDefault="00A74C68" w:rsidP="00A74C68">
            <w:pPr>
              <w:rPr>
                <w:b/>
                <w:bCs/>
                <w:sz w:val="16"/>
                <w:szCs w:val="16"/>
              </w:rPr>
            </w:pPr>
            <w:r w:rsidRPr="00471CBA">
              <w:rPr>
                <w:b/>
                <w:bCs/>
                <w:sz w:val="16"/>
                <w:szCs w:val="16"/>
              </w:rPr>
              <w:t>III. Özel Cari Hesaplar Diğer-TP</w:t>
            </w:r>
          </w:p>
        </w:tc>
        <w:tc>
          <w:tcPr>
            <w:tcW w:w="970" w:type="dxa"/>
            <w:tcBorders>
              <w:top w:val="nil"/>
              <w:left w:val="nil"/>
              <w:bottom w:val="nil"/>
              <w:right w:val="nil"/>
            </w:tcBorders>
            <w:vAlign w:val="bottom"/>
            <w:hideMark/>
          </w:tcPr>
          <w:p w14:paraId="1D416F32" w14:textId="77777777" w:rsidR="00A74C68" w:rsidRPr="00471CBA" w:rsidRDefault="00A74C68" w:rsidP="00F36B82">
            <w:pPr>
              <w:ind w:right="-45"/>
              <w:jc w:val="right"/>
              <w:rPr>
                <w:b/>
                <w:bCs/>
                <w:sz w:val="16"/>
                <w:szCs w:val="16"/>
              </w:rPr>
            </w:pPr>
            <w:r w:rsidRPr="00471CBA">
              <w:rPr>
                <w:b/>
                <w:bCs/>
                <w:sz w:val="16"/>
                <w:szCs w:val="16"/>
              </w:rPr>
              <w:t>816.197</w:t>
            </w:r>
          </w:p>
        </w:tc>
        <w:tc>
          <w:tcPr>
            <w:tcW w:w="763" w:type="dxa"/>
            <w:tcBorders>
              <w:top w:val="nil"/>
              <w:left w:val="nil"/>
              <w:bottom w:val="nil"/>
              <w:right w:val="nil"/>
            </w:tcBorders>
            <w:vAlign w:val="bottom"/>
            <w:hideMark/>
          </w:tcPr>
          <w:p w14:paraId="725381B7" w14:textId="77777777" w:rsidR="00A74C68" w:rsidRPr="00471CBA" w:rsidRDefault="00A74C68" w:rsidP="00F36B82">
            <w:pPr>
              <w:ind w:right="-45"/>
              <w:jc w:val="right"/>
              <w:rPr>
                <w:b/>
                <w:bCs/>
                <w:sz w:val="16"/>
                <w:szCs w:val="16"/>
              </w:rPr>
            </w:pPr>
            <w:r w:rsidRPr="00471CBA">
              <w:rPr>
                <w:b/>
                <w:bCs/>
                <w:sz w:val="16"/>
                <w:szCs w:val="16"/>
              </w:rPr>
              <w:t>-</w:t>
            </w:r>
          </w:p>
        </w:tc>
        <w:tc>
          <w:tcPr>
            <w:tcW w:w="841" w:type="dxa"/>
            <w:tcBorders>
              <w:top w:val="nil"/>
              <w:left w:val="nil"/>
              <w:bottom w:val="nil"/>
              <w:right w:val="nil"/>
            </w:tcBorders>
            <w:vAlign w:val="bottom"/>
            <w:hideMark/>
          </w:tcPr>
          <w:p w14:paraId="08A43E4C" w14:textId="77777777" w:rsidR="00A74C68" w:rsidRPr="00471CBA" w:rsidRDefault="00A74C68" w:rsidP="00F36B82">
            <w:pPr>
              <w:ind w:right="-45"/>
              <w:jc w:val="right"/>
              <w:rPr>
                <w:b/>
                <w:bCs/>
                <w:sz w:val="16"/>
                <w:szCs w:val="16"/>
              </w:rPr>
            </w:pPr>
            <w:r w:rsidRPr="00471CBA">
              <w:rPr>
                <w:b/>
                <w:bCs/>
                <w:sz w:val="16"/>
                <w:szCs w:val="16"/>
              </w:rPr>
              <w:t>-</w:t>
            </w:r>
          </w:p>
        </w:tc>
        <w:tc>
          <w:tcPr>
            <w:tcW w:w="763" w:type="dxa"/>
            <w:tcBorders>
              <w:top w:val="nil"/>
              <w:left w:val="nil"/>
              <w:bottom w:val="nil"/>
              <w:right w:val="nil"/>
            </w:tcBorders>
            <w:vAlign w:val="bottom"/>
            <w:hideMark/>
          </w:tcPr>
          <w:p w14:paraId="1FF6A3FB" w14:textId="77777777" w:rsidR="00A74C68" w:rsidRPr="00471CBA" w:rsidRDefault="00A74C68" w:rsidP="00F36B82">
            <w:pPr>
              <w:ind w:right="-45"/>
              <w:jc w:val="right"/>
              <w:rPr>
                <w:b/>
                <w:bCs/>
                <w:sz w:val="16"/>
                <w:szCs w:val="16"/>
              </w:rPr>
            </w:pPr>
            <w:r w:rsidRPr="00471CBA">
              <w:rPr>
                <w:b/>
                <w:bCs/>
                <w:sz w:val="16"/>
                <w:szCs w:val="16"/>
              </w:rPr>
              <w:t>-</w:t>
            </w:r>
          </w:p>
        </w:tc>
        <w:tc>
          <w:tcPr>
            <w:tcW w:w="694" w:type="dxa"/>
            <w:tcBorders>
              <w:top w:val="nil"/>
              <w:left w:val="nil"/>
              <w:bottom w:val="nil"/>
              <w:right w:val="nil"/>
            </w:tcBorders>
            <w:vAlign w:val="bottom"/>
            <w:hideMark/>
          </w:tcPr>
          <w:p w14:paraId="53FD9AC4" w14:textId="77777777" w:rsidR="00A74C68" w:rsidRPr="00471CBA" w:rsidRDefault="00A74C68" w:rsidP="00F36B82">
            <w:pPr>
              <w:ind w:right="-45"/>
              <w:jc w:val="right"/>
              <w:rPr>
                <w:b/>
                <w:bCs/>
                <w:sz w:val="16"/>
                <w:szCs w:val="16"/>
              </w:rPr>
            </w:pPr>
            <w:r w:rsidRPr="00471CBA">
              <w:rPr>
                <w:b/>
                <w:bCs/>
                <w:sz w:val="16"/>
                <w:szCs w:val="16"/>
              </w:rPr>
              <w:t>-</w:t>
            </w:r>
          </w:p>
        </w:tc>
        <w:tc>
          <w:tcPr>
            <w:tcW w:w="693" w:type="dxa"/>
            <w:tcBorders>
              <w:top w:val="nil"/>
              <w:left w:val="nil"/>
              <w:bottom w:val="nil"/>
              <w:right w:val="nil"/>
            </w:tcBorders>
            <w:vAlign w:val="bottom"/>
            <w:hideMark/>
          </w:tcPr>
          <w:p w14:paraId="43272F17" w14:textId="77777777" w:rsidR="00A74C68" w:rsidRPr="00471CBA" w:rsidRDefault="00A74C68" w:rsidP="00F36B82">
            <w:pPr>
              <w:ind w:right="-45"/>
              <w:jc w:val="right"/>
              <w:rPr>
                <w:b/>
                <w:bCs/>
                <w:sz w:val="16"/>
                <w:szCs w:val="16"/>
              </w:rPr>
            </w:pPr>
            <w:r w:rsidRPr="00471CBA">
              <w:rPr>
                <w:b/>
                <w:bCs/>
                <w:sz w:val="16"/>
                <w:szCs w:val="16"/>
              </w:rPr>
              <w:t>-</w:t>
            </w:r>
          </w:p>
        </w:tc>
        <w:tc>
          <w:tcPr>
            <w:tcW w:w="832" w:type="dxa"/>
            <w:tcBorders>
              <w:top w:val="nil"/>
              <w:left w:val="nil"/>
              <w:bottom w:val="nil"/>
              <w:right w:val="nil"/>
            </w:tcBorders>
            <w:vAlign w:val="bottom"/>
            <w:hideMark/>
          </w:tcPr>
          <w:p w14:paraId="51464FAF" w14:textId="77777777" w:rsidR="00A74C68" w:rsidRPr="00471CBA" w:rsidRDefault="00A74C68" w:rsidP="00F36B82">
            <w:pPr>
              <w:ind w:right="-45"/>
              <w:jc w:val="right"/>
              <w:rPr>
                <w:b/>
                <w:bCs/>
                <w:sz w:val="16"/>
                <w:szCs w:val="16"/>
              </w:rPr>
            </w:pPr>
            <w:r w:rsidRPr="00471CBA">
              <w:rPr>
                <w:b/>
                <w:bCs/>
                <w:sz w:val="16"/>
                <w:szCs w:val="16"/>
              </w:rPr>
              <w:t>-</w:t>
            </w:r>
          </w:p>
        </w:tc>
        <w:tc>
          <w:tcPr>
            <w:tcW w:w="879" w:type="dxa"/>
            <w:tcBorders>
              <w:top w:val="nil"/>
              <w:left w:val="nil"/>
              <w:bottom w:val="nil"/>
              <w:right w:val="nil"/>
            </w:tcBorders>
            <w:vAlign w:val="bottom"/>
            <w:hideMark/>
          </w:tcPr>
          <w:p w14:paraId="116BCD9C" w14:textId="77777777" w:rsidR="00A74C68" w:rsidRPr="00471CBA" w:rsidRDefault="00A74C68" w:rsidP="00F36B82">
            <w:pPr>
              <w:ind w:right="-45"/>
              <w:jc w:val="right"/>
              <w:rPr>
                <w:b/>
                <w:bCs/>
                <w:sz w:val="16"/>
                <w:szCs w:val="16"/>
              </w:rPr>
            </w:pPr>
            <w:r w:rsidRPr="00471CBA">
              <w:rPr>
                <w:b/>
                <w:bCs/>
                <w:sz w:val="16"/>
                <w:szCs w:val="16"/>
              </w:rPr>
              <w:t>-</w:t>
            </w:r>
          </w:p>
        </w:tc>
        <w:tc>
          <w:tcPr>
            <w:tcW w:w="841" w:type="dxa"/>
            <w:tcBorders>
              <w:top w:val="nil"/>
              <w:left w:val="nil"/>
              <w:bottom w:val="nil"/>
              <w:right w:val="nil"/>
            </w:tcBorders>
            <w:vAlign w:val="bottom"/>
            <w:hideMark/>
          </w:tcPr>
          <w:p w14:paraId="6FBB95C3" w14:textId="77777777" w:rsidR="00A74C68" w:rsidRPr="00471CBA" w:rsidRDefault="00A74C68" w:rsidP="00F36B82">
            <w:pPr>
              <w:ind w:right="-45"/>
              <w:jc w:val="right"/>
              <w:rPr>
                <w:b/>
                <w:bCs/>
                <w:sz w:val="16"/>
                <w:szCs w:val="16"/>
              </w:rPr>
            </w:pPr>
            <w:r w:rsidRPr="00471CBA">
              <w:rPr>
                <w:b/>
                <w:bCs/>
                <w:sz w:val="16"/>
                <w:szCs w:val="16"/>
              </w:rPr>
              <w:t>816.197</w:t>
            </w:r>
          </w:p>
        </w:tc>
      </w:tr>
      <w:tr w:rsidR="00A74C68" w:rsidRPr="00471CBA" w14:paraId="2CAD96BE" w14:textId="77777777" w:rsidTr="00A74C68">
        <w:trPr>
          <w:divId w:val="1004547450"/>
          <w:trHeight w:val="113"/>
        </w:trPr>
        <w:tc>
          <w:tcPr>
            <w:tcW w:w="2212" w:type="dxa"/>
            <w:tcBorders>
              <w:top w:val="nil"/>
              <w:left w:val="nil"/>
              <w:bottom w:val="nil"/>
              <w:right w:val="nil"/>
            </w:tcBorders>
            <w:vAlign w:val="bottom"/>
            <w:hideMark/>
          </w:tcPr>
          <w:p w14:paraId="1E46FF37" w14:textId="77777777" w:rsidR="00A74C68" w:rsidRPr="00471CBA" w:rsidRDefault="00A74C68" w:rsidP="00A74C68">
            <w:pPr>
              <w:rPr>
                <w:sz w:val="16"/>
                <w:szCs w:val="16"/>
              </w:rPr>
            </w:pPr>
            <w:r w:rsidRPr="00471CBA">
              <w:rPr>
                <w:sz w:val="16"/>
                <w:szCs w:val="16"/>
              </w:rPr>
              <w:t>Resmi Kuruluşlar</w:t>
            </w:r>
          </w:p>
        </w:tc>
        <w:tc>
          <w:tcPr>
            <w:tcW w:w="970" w:type="dxa"/>
            <w:tcBorders>
              <w:top w:val="nil"/>
              <w:left w:val="nil"/>
              <w:bottom w:val="nil"/>
              <w:right w:val="nil"/>
            </w:tcBorders>
            <w:vAlign w:val="bottom"/>
            <w:hideMark/>
          </w:tcPr>
          <w:p w14:paraId="24B99488"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7E83FE0B"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28B5E7A1"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6583DA3C" w14:textId="77777777" w:rsidR="00A74C68" w:rsidRPr="00471CBA" w:rsidRDefault="00A74C68" w:rsidP="00F36B82">
            <w:pPr>
              <w:ind w:right="-45"/>
              <w:jc w:val="right"/>
              <w:rPr>
                <w:sz w:val="16"/>
                <w:szCs w:val="16"/>
              </w:rPr>
            </w:pPr>
            <w:r w:rsidRPr="00471CBA">
              <w:rPr>
                <w:sz w:val="16"/>
                <w:szCs w:val="16"/>
              </w:rPr>
              <w:t>-</w:t>
            </w:r>
          </w:p>
        </w:tc>
        <w:tc>
          <w:tcPr>
            <w:tcW w:w="694" w:type="dxa"/>
            <w:tcBorders>
              <w:top w:val="nil"/>
              <w:left w:val="nil"/>
              <w:bottom w:val="nil"/>
              <w:right w:val="nil"/>
            </w:tcBorders>
            <w:vAlign w:val="bottom"/>
            <w:hideMark/>
          </w:tcPr>
          <w:p w14:paraId="0E582C55" w14:textId="77777777" w:rsidR="00A74C68" w:rsidRPr="00471CBA" w:rsidRDefault="00A74C68" w:rsidP="00F36B82">
            <w:pPr>
              <w:ind w:right="-45"/>
              <w:jc w:val="right"/>
              <w:rPr>
                <w:sz w:val="16"/>
                <w:szCs w:val="16"/>
              </w:rPr>
            </w:pPr>
            <w:r w:rsidRPr="00471CBA">
              <w:rPr>
                <w:sz w:val="16"/>
                <w:szCs w:val="16"/>
              </w:rPr>
              <w:t>-</w:t>
            </w:r>
          </w:p>
        </w:tc>
        <w:tc>
          <w:tcPr>
            <w:tcW w:w="693" w:type="dxa"/>
            <w:tcBorders>
              <w:top w:val="nil"/>
              <w:left w:val="nil"/>
              <w:bottom w:val="nil"/>
              <w:right w:val="nil"/>
            </w:tcBorders>
            <w:vAlign w:val="bottom"/>
            <w:hideMark/>
          </w:tcPr>
          <w:p w14:paraId="67A96802" w14:textId="77777777" w:rsidR="00A74C68" w:rsidRPr="00471CBA" w:rsidRDefault="00A74C68" w:rsidP="00F36B82">
            <w:pPr>
              <w:ind w:right="-45"/>
              <w:jc w:val="right"/>
              <w:rPr>
                <w:sz w:val="16"/>
                <w:szCs w:val="16"/>
              </w:rPr>
            </w:pPr>
            <w:r w:rsidRPr="00471CBA">
              <w:rPr>
                <w:sz w:val="16"/>
                <w:szCs w:val="16"/>
              </w:rPr>
              <w:t>-</w:t>
            </w:r>
          </w:p>
        </w:tc>
        <w:tc>
          <w:tcPr>
            <w:tcW w:w="832" w:type="dxa"/>
            <w:tcBorders>
              <w:top w:val="nil"/>
              <w:left w:val="nil"/>
              <w:bottom w:val="nil"/>
              <w:right w:val="nil"/>
            </w:tcBorders>
            <w:vAlign w:val="bottom"/>
            <w:hideMark/>
          </w:tcPr>
          <w:p w14:paraId="6907F83B" w14:textId="77777777" w:rsidR="00A74C68" w:rsidRPr="00471CBA" w:rsidRDefault="00A74C68" w:rsidP="00F36B82">
            <w:pPr>
              <w:ind w:right="-45"/>
              <w:jc w:val="right"/>
              <w:rPr>
                <w:sz w:val="16"/>
                <w:szCs w:val="16"/>
              </w:rPr>
            </w:pPr>
            <w:r w:rsidRPr="00471CBA">
              <w:rPr>
                <w:sz w:val="16"/>
                <w:szCs w:val="16"/>
              </w:rPr>
              <w:t>-</w:t>
            </w:r>
          </w:p>
        </w:tc>
        <w:tc>
          <w:tcPr>
            <w:tcW w:w="879" w:type="dxa"/>
            <w:tcBorders>
              <w:top w:val="nil"/>
              <w:left w:val="nil"/>
              <w:bottom w:val="nil"/>
              <w:right w:val="nil"/>
            </w:tcBorders>
            <w:vAlign w:val="bottom"/>
            <w:hideMark/>
          </w:tcPr>
          <w:p w14:paraId="71CAD1A9"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0CDA459F" w14:textId="77777777" w:rsidR="00A74C68" w:rsidRPr="00471CBA" w:rsidRDefault="00A74C68" w:rsidP="00F36B82">
            <w:pPr>
              <w:ind w:right="-45"/>
              <w:jc w:val="right"/>
              <w:rPr>
                <w:sz w:val="16"/>
                <w:szCs w:val="16"/>
              </w:rPr>
            </w:pPr>
            <w:r w:rsidRPr="00471CBA">
              <w:rPr>
                <w:sz w:val="16"/>
                <w:szCs w:val="16"/>
              </w:rPr>
              <w:t>-</w:t>
            </w:r>
          </w:p>
        </w:tc>
      </w:tr>
      <w:tr w:rsidR="00A74C68" w:rsidRPr="00471CBA" w14:paraId="647530D2" w14:textId="77777777" w:rsidTr="00A74C68">
        <w:trPr>
          <w:divId w:val="1004547450"/>
          <w:trHeight w:val="113"/>
        </w:trPr>
        <w:tc>
          <w:tcPr>
            <w:tcW w:w="2212" w:type="dxa"/>
            <w:tcBorders>
              <w:top w:val="nil"/>
              <w:left w:val="nil"/>
              <w:bottom w:val="nil"/>
              <w:right w:val="nil"/>
            </w:tcBorders>
            <w:vAlign w:val="bottom"/>
            <w:hideMark/>
          </w:tcPr>
          <w:p w14:paraId="1A7CB06C" w14:textId="77777777" w:rsidR="00A74C68" w:rsidRPr="00471CBA" w:rsidRDefault="00A74C68" w:rsidP="00A74C68">
            <w:pPr>
              <w:rPr>
                <w:sz w:val="16"/>
                <w:szCs w:val="16"/>
              </w:rPr>
            </w:pPr>
            <w:r w:rsidRPr="00471CBA">
              <w:rPr>
                <w:sz w:val="16"/>
                <w:szCs w:val="16"/>
              </w:rPr>
              <w:t>Ticari Kuruluşlar</w:t>
            </w:r>
          </w:p>
        </w:tc>
        <w:tc>
          <w:tcPr>
            <w:tcW w:w="970" w:type="dxa"/>
            <w:tcBorders>
              <w:top w:val="nil"/>
              <w:left w:val="nil"/>
              <w:bottom w:val="nil"/>
              <w:right w:val="nil"/>
            </w:tcBorders>
            <w:vAlign w:val="bottom"/>
            <w:hideMark/>
          </w:tcPr>
          <w:p w14:paraId="3C88D7F5" w14:textId="77777777" w:rsidR="00A74C68" w:rsidRPr="00471CBA" w:rsidRDefault="00A74C68" w:rsidP="00F36B82">
            <w:pPr>
              <w:ind w:right="-45"/>
              <w:jc w:val="right"/>
              <w:rPr>
                <w:sz w:val="16"/>
                <w:szCs w:val="16"/>
              </w:rPr>
            </w:pPr>
            <w:r w:rsidRPr="00471CBA">
              <w:rPr>
                <w:sz w:val="16"/>
                <w:szCs w:val="16"/>
              </w:rPr>
              <w:t>810.267</w:t>
            </w:r>
          </w:p>
        </w:tc>
        <w:tc>
          <w:tcPr>
            <w:tcW w:w="763" w:type="dxa"/>
            <w:tcBorders>
              <w:top w:val="nil"/>
              <w:left w:val="nil"/>
              <w:bottom w:val="nil"/>
              <w:right w:val="nil"/>
            </w:tcBorders>
            <w:vAlign w:val="bottom"/>
            <w:hideMark/>
          </w:tcPr>
          <w:p w14:paraId="68D198BC"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4BDD501E"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0457775A" w14:textId="77777777" w:rsidR="00A74C68" w:rsidRPr="00471CBA" w:rsidRDefault="00A74C68" w:rsidP="00F36B82">
            <w:pPr>
              <w:ind w:right="-45"/>
              <w:jc w:val="right"/>
              <w:rPr>
                <w:sz w:val="16"/>
                <w:szCs w:val="16"/>
              </w:rPr>
            </w:pPr>
            <w:r w:rsidRPr="00471CBA">
              <w:rPr>
                <w:sz w:val="16"/>
                <w:szCs w:val="16"/>
              </w:rPr>
              <w:t>-</w:t>
            </w:r>
          </w:p>
        </w:tc>
        <w:tc>
          <w:tcPr>
            <w:tcW w:w="694" w:type="dxa"/>
            <w:tcBorders>
              <w:top w:val="nil"/>
              <w:left w:val="nil"/>
              <w:bottom w:val="nil"/>
              <w:right w:val="nil"/>
            </w:tcBorders>
            <w:vAlign w:val="bottom"/>
            <w:hideMark/>
          </w:tcPr>
          <w:p w14:paraId="2A8A731D" w14:textId="77777777" w:rsidR="00A74C68" w:rsidRPr="00471CBA" w:rsidRDefault="00A74C68" w:rsidP="00F36B82">
            <w:pPr>
              <w:ind w:right="-45"/>
              <w:jc w:val="right"/>
              <w:rPr>
                <w:sz w:val="16"/>
                <w:szCs w:val="16"/>
              </w:rPr>
            </w:pPr>
            <w:r w:rsidRPr="00471CBA">
              <w:rPr>
                <w:sz w:val="16"/>
                <w:szCs w:val="16"/>
              </w:rPr>
              <w:t>-</w:t>
            </w:r>
          </w:p>
        </w:tc>
        <w:tc>
          <w:tcPr>
            <w:tcW w:w="693" w:type="dxa"/>
            <w:tcBorders>
              <w:top w:val="nil"/>
              <w:left w:val="nil"/>
              <w:bottom w:val="nil"/>
              <w:right w:val="nil"/>
            </w:tcBorders>
            <w:vAlign w:val="bottom"/>
            <w:hideMark/>
          </w:tcPr>
          <w:p w14:paraId="1C6EFAF3" w14:textId="77777777" w:rsidR="00A74C68" w:rsidRPr="00471CBA" w:rsidRDefault="00A74C68" w:rsidP="00F36B82">
            <w:pPr>
              <w:ind w:right="-45"/>
              <w:jc w:val="right"/>
              <w:rPr>
                <w:sz w:val="16"/>
                <w:szCs w:val="16"/>
              </w:rPr>
            </w:pPr>
            <w:r w:rsidRPr="00471CBA">
              <w:rPr>
                <w:sz w:val="16"/>
                <w:szCs w:val="16"/>
              </w:rPr>
              <w:t>-</w:t>
            </w:r>
          </w:p>
        </w:tc>
        <w:tc>
          <w:tcPr>
            <w:tcW w:w="832" w:type="dxa"/>
            <w:tcBorders>
              <w:top w:val="nil"/>
              <w:left w:val="nil"/>
              <w:bottom w:val="nil"/>
              <w:right w:val="nil"/>
            </w:tcBorders>
            <w:vAlign w:val="bottom"/>
            <w:hideMark/>
          </w:tcPr>
          <w:p w14:paraId="689E06D4" w14:textId="77777777" w:rsidR="00A74C68" w:rsidRPr="00471CBA" w:rsidRDefault="00A74C68" w:rsidP="00F36B82">
            <w:pPr>
              <w:ind w:right="-45"/>
              <w:jc w:val="right"/>
              <w:rPr>
                <w:sz w:val="16"/>
                <w:szCs w:val="16"/>
              </w:rPr>
            </w:pPr>
            <w:r w:rsidRPr="00471CBA">
              <w:rPr>
                <w:sz w:val="16"/>
                <w:szCs w:val="16"/>
              </w:rPr>
              <w:t>-</w:t>
            </w:r>
          </w:p>
        </w:tc>
        <w:tc>
          <w:tcPr>
            <w:tcW w:w="879" w:type="dxa"/>
            <w:tcBorders>
              <w:top w:val="nil"/>
              <w:left w:val="nil"/>
              <w:bottom w:val="nil"/>
              <w:right w:val="nil"/>
            </w:tcBorders>
            <w:vAlign w:val="bottom"/>
            <w:hideMark/>
          </w:tcPr>
          <w:p w14:paraId="1178E8F5"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668DAEBB" w14:textId="77777777" w:rsidR="00A74C68" w:rsidRPr="00471CBA" w:rsidRDefault="00A74C68" w:rsidP="00F36B82">
            <w:pPr>
              <w:ind w:right="-45"/>
              <w:jc w:val="right"/>
              <w:rPr>
                <w:sz w:val="16"/>
                <w:szCs w:val="16"/>
              </w:rPr>
            </w:pPr>
            <w:r w:rsidRPr="00471CBA">
              <w:rPr>
                <w:sz w:val="16"/>
                <w:szCs w:val="16"/>
              </w:rPr>
              <w:t>810.267</w:t>
            </w:r>
          </w:p>
        </w:tc>
      </w:tr>
      <w:tr w:rsidR="00A74C68" w:rsidRPr="00471CBA" w14:paraId="1080021A" w14:textId="77777777" w:rsidTr="00A74C68">
        <w:trPr>
          <w:divId w:val="1004547450"/>
          <w:trHeight w:val="113"/>
        </w:trPr>
        <w:tc>
          <w:tcPr>
            <w:tcW w:w="2212" w:type="dxa"/>
            <w:tcBorders>
              <w:top w:val="nil"/>
              <w:left w:val="nil"/>
              <w:bottom w:val="nil"/>
              <w:right w:val="nil"/>
            </w:tcBorders>
            <w:vAlign w:val="bottom"/>
            <w:hideMark/>
          </w:tcPr>
          <w:p w14:paraId="7EDECFE9" w14:textId="77777777" w:rsidR="00A74C68" w:rsidRPr="00471CBA" w:rsidRDefault="00A74C68" w:rsidP="00A74C68">
            <w:pPr>
              <w:rPr>
                <w:sz w:val="16"/>
                <w:szCs w:val="16"/>
              </w:rPr>
            </w:pPr>
            <w:r w:rsidRPr="00471CBA">
              <w:rPr>
                <w:sz w:val="16"/>
                <w:szCs w:val="16"/>
              </w:rPr>
              <w:t>Diğer Kuruluşlar</w:t>
            </w:r>
          </w:p>
        </w:tc>
        <w:tc>
          <w:tcPr>
            <w:tcW w:w="970" w:type="dxa"/>
            <w:tcBorders>
              <w:top w:val="nil"/>
              <w:left w:val="nil"/>
              <w:bottom w:val="nil"/>
              <w:right w:val="nil"/>
            </w:tcBorders>
            <w:vAlign w:val="bottom"/>
            <w:hideMark/>
          </w:tcPr>
          <w:p w14:paraId="44DB25DD" w14:textId="77777777" w:rsidR="00A74C68" w:rsidRPr="00471CBA" w:rsidRDefault="00A74C68" w:rsidP="00F36B82">
            <w:pPr>
              <w:ind w:right="-45"/>
              <w:jc w:val="right"/>
              <w:rPr>
                <w:sz w:val="16"/>
                <w:szCs w:val="16"/>
              </w:rPr>
            </w:pPr>
            <w:r w:rsidRPr="00471CBA">
              <w:rPr>
                <w:sz w:val="16"/>
                <w:szCs w:val="16"/>
              </w:rPr>
              <w:t>5.554</w:t>
            </w:r>
          </w:p>
        </w:tc>
        <w:tc>
          <w:tcPr>
            <w:tcW w:w="763" w:type="dxa"/>
            <w:tcBorders>
              <w:top w:val="nil"/>
              <w:left w:val="nil"/>
              <w:bottom w:val="nil"/>
              <w:right w:val="nil"/>
            </w:tcBorders>
            <w:vAlign w:val="bottom"/>
            <w:hideMark/>
          </w:tcPr>
          <w:p w14:paraId="264871D1"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4443334C"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6113B250" w14:textId="77777777" w:rsidR="00A74C68" w:rsidRPr="00471CBA" w:rsidRDefault="00A74C68" w:rsidP="00F36B82">
            <w:pPr>
              <w:ind w:right="-45"/>
              <w:jc w:val="right"/>
              <w:rPr>
                <w:sz w:val="16"/>
                <w:szCs w:val="16"/>
              </w:rPr>
            </w:pPr>
            <w:r w:rsidRPr="00471CBA">
              <w:rPr>
                <w:sz w:val="16"/>
                <w:szCs w:val="16"/>
              </w:rPr>
              <w:t>-</w:t>
            </w:r>
          </w:p>
        </w:tc>
        <w:tc>
          <w:tcPr>
            <w:tcW w:w="694" w:type="dxa"/>
            <w:tcBorders>
              <w:top w:val="nil"/>
              <w:left w:val="nil"/>
              <w:bottom w:val="nil"/>
              <w:right w:val="nil"/>
            </w:tcBorders>
            <w:vAlign w:val="bottom"/>
            <w:hideMark/>
          </w:tcPr>
          <w:p w14:paraId="4BACA0BF" w14:textId="77777777" w:rsidR="00A74C68" w:rsidRPr="00471CBA" w:rsidRDefault="00A74C68" w:rsidP="00F36B82">
            <w:pPr>
              <w:ind w:right="-45"/>
              <w:jc w:val="right"/>
              <w:rPr>
                <w:sz w:val="16"/>
                <w:szCs w:val="16"/>
              </w:rPr>
            </w:pPr>
            <w:r w:rsidRPr="00471CBA">
              <w:rPr>
                <w:sz w:val="16"/>
                <w:szCs w:val="16"/>
              </w:rPr>
              <w:t>-</w:t>
            </w:r>
          </w:p>
        </w:tc>
        <w:tc>
          <w:tcPr>
            <w:tcW w:w="693" w:type="dxa"/>
            <w:tcBorders>
              <w:top w:val="nil"/>
              <w:left w:val="nil"/>
              <w:bottom w:val="nil"/>
              <w:right w:val="nil"/>
            </w:tcBorders>
            <w:vAlign w:val="bottom"/>
            <w:hideMark/>
          </w:tcPr>
          <w:p w14:paraId="389F98A1" w14:textId="77777777" w:rsidR="00A74C68" w:rsidRPr="00471CBA" w:rsidRDefault="00A74C68" w:rsidP="00F36B82">
            <w:pPr>
              <w:ind w:right="-45"/>
              <w:jc w:val="right"/>
              <w:rPr>
                <w:sz w:val="16"/>
                <w:szCs w:val="16"/>
              </w:rPr>
            </w:pPr>
            <w:r w:rsidRPr="00471CBA">
              <w:rPr>
                <w:sz w:val="16"/>
                <w:szCs w:val="16"/>
              </w:rPr>
              <w:t>-</w:t>
            </w:r>
          </w:p>
        </w:tc>
        <w:tc>
          <w:tcPr>
            <w:tcW w:w="832" w:type="dxa"/>
            <w:tcBorders>
              <w:top w:val="nil"/>
              <w:left w:val="nil"/>
              <w:bottom w:val="nil"/>
              <w:right w:val="nil"/>
            </w:tcBorders>
            <w:vAlign w:val="bottom"/>
            <w:hideMark/>
          </w:tcPr>
          <w:p w14:paraId="5DAF18C6" w14:textId="77777777" w:rsidR="00A74C68" w:rsidRPr="00471CBA" w:rsidRDefault="00A74C68" w:rsidP="00F36B82">
            <w:pPr>
              <w:ind w:right="-45"/>
              <w:jc w:val="right"/>
              <w:rPr>
                <w:sz w:val="16"/>
                <w:szCs w:val="16"/>
              </w:rPr>
            </w:pPr>
            <w:r w:rsidRPr="00471CBA">
              <w:rPr>
                <w:sz w:val="16"/>
                <w:szCs w:val="16"/>
              </w:rPr>
              <w:t>-</w:t>
            </w:r>
          </w:p>
        </w:tc>
        <w:tc>
          <w:tcPr>
            <w:tcW w:w="879" w:type="dxa"/>
            <w:tcBorders>
              <w:top w:val="nil"/>
              <w:left w:val="nil"/>
              <w:bottom w:val="nil"/>
              <w:right w:val="nil"/>
            </w:tcBorders>
            <w:vAlign w:val="bottom"/>
            <w:hideMark/>
          </w:tcPr>
          <w:p w14:paraId="21565E4A"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096C081D" w14:textId="77777777" w:rsidR="00A74C68" w:rsidRPr="00471CBA" w:rsidRDefault="00A74C68" w:rsidP="00F36B82">
            <w:pPr>
              <w:ind w:right="-45"/>
              <w:jc w:val="right"/>
              <w:rPr>
                <w:sz w:val="16"/>
                <w:szCs w:val="16"/>
              </w:rPr>
            </w:pPr>
            <w:r w:rsidRPr="00471CBA">
              <w:rPr>
                <w:sz w:val="16"/>
                <w:szCs w:val="16"/>
              </w:rPr>
              <w:t>5.554</w:t>
            </w:r>
          </w:p>
        </w:tc>
      </w:tr>
      <w:tr w:rsidR="00A74C68" w:rsidRPr="00471CBA" w14:paraId="70A1D86E" w14:textId="77777777" w:rsidTr="00A74C68">
        <w:trPr>
          <w:divId w:val="1004547450"/>
          <w:trHeight w:val="113"/>
        </w:trPr>
        <w:tc>
          <w:tcPr>
            <w:tcW w:w="2212" w:type="dxa"/>
            <w:tcBorders>
              <w:top w:val="nil"/>
              <w:left w:val="nil"/>
              <w:bottom w:val="nil"/>
              <w:right w:val="nil"/>
            </w:tcBorders>
            <w:vAlign w:val="bottom"/>
            <w:hideMark/>
          </w:tcPr>
          <w:p w14:paraId="19DD5073" w14:textId="77777777" w:rsidR="00A74C68" w:rsidRPr="00471CBA" w:rsidRDefault="00A74C68" w:rsidP="00A74C68">
            <w:pPr>
              <w:rPr>
                <w:sz w:val="16"/>
                <w:szCs w:val="16"/>
              </w:rPr>
            </w:pPr>
            <w:r w:rsidRPr="00471CBA">
              <w:rPr>
                <w:sz w:val="16"/>
                <w:szCs w:val="16"/>
              </w:rPr>
              <w:t xml:space="preserve">Ticari ve </w:t>
            </w:r>
            <w:proofErr w:type="gramStart"/>
            <w:r w:rsidRPr="00471CBA">
              <w:rPr>
                <w:sz w:val="16"/>
                <w:szCs w:val="16"/>
              </w:rPr>
              <w:t>Diğer</w:t>
            </w:r>
            <w:proofErr w:type="gramEnd"/>
            <w:r w:rsidRPr="00471CBA">
              <w:rPr>
                <w:sz w:val="16"/>
                <w:szCs w:val="16"/>
              </w:rPr>
              <w:t xml:space="preserve"> Kur.</w:t>
            </w:r>
          </w:p>
        </w:tc>
        <w:tc>
          <w:tcPr>
            <w:tcW w:w="970" w:type="dxa"/>
            <w:tcBorders>
              <w:top w:val="nil"/>
              <w:left w:val="nil"/>
              <w:bottom w:val="nil"/>
              <w:right w:val="nil"/>
            </w:tcBorders>
            <w:vAlign w:val="bottom"/>
            <w:hideMark/>
          </w:tcPr>
          <w:p w14:paraId="5A641DAC" w14:textId="77777777" w:rsidR="00A74C68" w:rsidRPr="00471CBA" w:rsidRDefault="00A74C68" w:rsidP="00F36B82">
            <w:pPr>
              <w:ind w:right="-45"/>
              <w:jc w:val="right"/>
              <w:rPr>
                <w:sz w:val="16"/>
                <w:szCs w:val="16"/>
              </w:rPr>
            </w:pPr>
            <w:r w:rsidRPr="00471CBA">
              <w:rPr>
                <w:sz w:val="16"/>
                <w:szCs w:val="16"/>
              </w:rPr>
              <w:t>376</w:t>
            </w:r>
          </w:p>
        </w:tc>
        <w:tc>
          <w:tcPr>
            <w:tcW w:w="763" w:type="dxa"/>
            <w:tcBorders>
              <w:top w:val="nil"/>
              <w:left w:val="nil"/>
              <w:bottom w:val="nil"/>
              <w:right w:val="nil"/>
            </w:tcBorders>
            <w:vAlign w:val="bottom"/>
            <w:hideMark/>
          </w:tcPr>
          <w:p w14:paraId="4DD33DC7"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3BF5E385"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63263231" w14:textId="77777777" w:rsidR="00A74C68" w:rsidRPr="00471CBA" w:rsidRDefault="00A74C68" w:rsidP="00F36B82">
            <w:pPr>
              <w:ind w:right="-45"/>
              <w:jc w:val="right"/>
              <w:rPr>
                <w:sz w:val="16"/>
                <w:szCs w:val="16"/>
              </w:rPr>
            </w:pPr>
            <w:r w:rsidRPr="00471CBA">
              <w:rPr>
                <w:sz w:val="16"/>
                <w:szCs w:val="16"/>
              </w:rPr>
              <w:t>-</w:t>
            </w:r>
          </w:p>
        </w:tc>
        <w:tc>
          <w:tcPr>
            <w:tcW w:w="694" w:type="dxa"/>
            <w:tcBorders>
              <w:top w:val="nil"/>
              <w:left w:val="nil"/>
              <w:bottom w:val="nil"/>
              <w:right w:val="nil"/>
            </w:tcBorders>
            <w:vAlign w:val="bottom"/>
            <w:hideMark/>
          </w:tcPr>
          <w:p w14:paraId="4B606993" w14:textId="77777777" w:rsidR="00A74C68" w:rsidRPr="00471CBA" w:rsidRDefault="00A74C68" w:rsidP="00F36B82">
            <w:pPr>
              <w:ind w:right="-45"/>
              <w:jc w:val="right"/>
              <w:rPr>
                <w:sz w:val="16"/>
                <w:szCs w:val="16"/>
              </w:rPr>
            </w:pPr>
            <w:r w:rsidRPr="00471CBA">
              <w:rPr>
                <w:sz w:val="16"/>
                <w:szCs w:val="16"/>
              </w:rPr>
              <w:t>-</w:t>
            </w:r>
          </w:p>
        </w:tc>
        <w:tc>
          <w:tcPr>
            <w:tcW w:w="693" w:type="dxa"/>
            <w:tcBorders>
              <w:top w:val="nil"/>
              <w:left w:val="nil"/>
              <w:bottom w:val="nil"/>
              <w:right w:val="nil"/>
            </w:tcBorders>
            <w:vAlign w:val="bottom"/>
            <w:hideMark/>
          </w:tcPr>
          <w:p w14:paraId="4CBF1C32" w14:textId="77777777" w:rsidR="00A74C68" w:rsidRPr="00471CBA" w:rsidRDefault="00A74C68" w:rsidP="00F36B82">
            <w:pPr>
              <w:ind w:right="-45"/>
              <w:jc w:val="right"/>
              <w:rPr>
                <w:sz w:val="16"/>
                <w:szCs w:val="16"/>
              </w:rPr>
            </w:pPr>
            <w:r w:rsidRPr="00471CBA">
              <w:rPr>
                <w:sz w:val="16"/>
                <w:szCs w:val="16"/>
              </w:rPr>
              <w:t>-</w:t>
            </w:r>
          </w:p>
        </w:tc>
        <w:tc>
          <w:tcPr>
            <w:tcW w:w="832" w:type="dxa"/>
            <w:tcBorders>
              <w:top w:val="nil"/>
              <w:left w:val="nil"/>
              <w:bottom w:val="nil"/>
              <w:right w:val="nil"/>
            </w:tcBorders>
            <w:vAlign w:val="bottom"/>
            <w:hideMark/>
          </w:tcPr>
          <w:p w14:paraId="5AA9844D" w14:textId="77777777" w:rsidR="00A74C68" w:rsidRPr="00471CBA" w:rsidRDefault="00A74C68" w:rsidP="00F36B82">
            <w:pPr>
              <w:ind w:right="-45"/>
              <w:jc w:val="right"/>
              <w:rPr>
                <w:sz w:val="16"/>
                <w:szCs w:val="16"/>
              </w:rPr>
            </w:pPr>
            <w:r w:rsidRPr="00471CBA">
              <w:rPr>
                <w:sz w:val="16"/>
                <w:szCs w:val="16"/>
              </w:rPr>
              <w:t>-</w:t>
            </w:r>
          </w:p>
        </w:tc>
        <w:tc>
          <w:tcPr>
            <w:tcW w:w="879" w:type="dxa"/>
            <w:tcBorders>
              <w:top w:val="nil"/>
              <w:left w:val="nil"/>
              <w:bottom w:val="nil"/>
              <w:right w:val="nil"/>
            </w:tcBorders>
            <w:vAlign w:val="bottom"/>
            <w:hideMark/>
          </w:tcPr>
          <w:p w14:paraId="34456B85"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663A9638" w14:textId="77777777" w:rsidR="00A74C68" w:rsidRPr="00471CBA" w:rsidRDefault="00A74C68" w:rsidP="00F36B82">
            <w:pPr>
              <w:ind w:right="-45"/>
              <w:jc w:val="right"/>
              <w:rPr>
                <w:sz w:val="16"/>
                <w:szCs w:val="16"/>
              </w:rPr>
            </w:pPr>
            <w:r w:rsidRPr="00471CBA">
              <w:rPr>
                <w:sz w:val="16"/>
                <w:szCs w:val="16"/>
              </w:rPr>
              <w:t>376</w:t>
            </w:r>
          </w:p>
        </w:tc>
      </w:tr>
      <w:tr w:rsidR="00A74C68" w:rsidRPr="00471CBA" w14:paraId="132ACA1F" w14:textId="77777777" w:rsidTr="00A74C68">
        <w:trPr>
          <w:divId w:val="1004547450"/>
          <w:trHeight w:val="113"/>
        </w:trPr>
        <w:tc>
          <w:tcPr>
            <w:tcW w:w="2212" w:type="dxa"/>
            <w:tcBorders>
              <w:top w:val="nil"/>
              <w:left w:val="nil"/>
              <w:bottom w:val="nil"/>
              <w:right w:val="nil"/>
            </w:tcBorders>
            <w:vAlign w:val="bottom"/>
            <w:hideMark/>
          </w:tcPr>
          <w:p w14:paraId="0BF8D7FE" w14:textId="77777777" w:rsidR="00A74C68" w:rsidRPr="00471CBA" w:rsidRDefault="00A74C68" w:rsidP="00A74C68">
            <w:pPr>
              <w:rPr>
                <w:sz w:val="16"/>
                <w:szCs w:val="16"/>
              </w:rPr>
            </w:pPr>
            <w:r w:rsidRPr="00471CBA">
              <w:rPr>
                <w:sz w:val="16"/>
                <w:szCs w:val="16"/>
              </w:rPr>
              <w:t>Bankalar ve Katılım Bankaları</w:t>
            </w:r>
          </w:p>
        </w:tc>
        <w:tc>
          <w:tcPr>
            <w:tcW w:w="970" w:type="dxa"/>
            <w:tcBorders>
              <w:top w:val="nil"/>
              <w:left w:val="nil"/>
              <w:bottom w:val="nil"/>
              <w:right w:val="nil"/>
            </w:tcBorders>
            <w:vAlign w:val="bottom"/>
            <w:hideMark/>
          </w:tcPr>
          <w:p w14:paraId="6482F1A1"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0E7C9CD6"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5D996E12"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62208872" w14:textId="77777777" w:rsidR="00A74C68" w:rsidRPr="00471CBA" w:rsidRDefault="00A74C68" w:rsidP="00F36B82">
            <w:pPr>
              <w:ind w:right="-45"/>
              <w:jc w:val="right"/>
              <w:rPr>
                <w:sz w:val="16"/>
                <w:szCs w:val="16"/>
              </w:rPr>
            </w:pPr>
            <w:r w:rsidRPr="00471CBA">
              <w:rPr>
                <w:sz w:val="16"/>
                <w:szCs w:val="16"/>
              </w:rPr>
              <w:t>-</w:t>
            </w:r>
          </w:p>
        </w:tc>
        <w:tc>
          <w:tcPr>
            <w:tcW w:w="694" w:type="dxa"/>
            <w:tcBorders>
              <w:top w:val="nil"/>
              <w:left w:val="nil"/>
              <w:bottom w:val="nil"/>
              <w:right w:val="nil"/>
            </w:tcBorders>
            <w:vAlign w:val="bottom"/>
            <w:hideMark/>
          </w:tcPr>
          <w:p w14:paraId="151F6A70" w14:textId="77777777" w:rsidR="00A74C68" w:rsidRPr="00471CBA" w:rsidRDefault="00A74C68" w:rsidP="00F36B82">
            <w:pPr>
              <w:ind w:right="-45"/>
              <w:jc w:val="right"/>
              <w:rPr>
                <w:sz w:val="16"/>
                <w:szCs w:val="16"/>
              </w:rPr>
            </w:pPr>
            <w:r w:rsidRPr="00471CBA">
              <w:rPr>
                <w:sz w:val="16"/>
                <w:szCs w:val="16"/>
              </w:rPr>
              <w:t>-</w:t>
            </w:r>
          </w:p>
        </w:tc>
        <w:tc>
          <w:tcPr>
            <w:tcW w:w="693" w:type="dxa"/>
            <w:tcBorders>
              <w:top w:val="nil"/>
              <w:left w:val="nil"/>
              <w:bottom w:val="nil"/>
              <w:right w:val="nil"/>
            </w:tcBorders>
            <w:vAlign w:val="bottom"/>
            <w:hideMark/>
          </w:tcPr>
          <w:p w14:paraId="7143092D" w14:textId="77777777" w:rsidR="00A74C68" w:rsidRPr="00471CBA" w:rsidRDefault="00A74C68" w:rsidP="00F36B82">
            <w:pPr>
              <w:ind w:right="-45"/>
              <w:jc w:val="right"/>
              <w:rPr>
                <w:sz w:val="16"/>
                <w:szCs w:val="16"/>
              </w:rPr>
            </w:pPr>
            <w:r w:rsidRPr="00471CBA">
              <w:rPr>
                <w:sz w:val="16"/>
                <w:szCs w:val="16"/>
              </w:rPr>
              <w:t>-</w:t>
            </w:r>
          </w:p>
        </w:tc>
        <w:tc>
          <w:tcPr>
            <w:tcW w:w="832" w:type="dxa"/>
            <w:tcBorders>
              <w:top w:val="nil"/>
              <w:left w:val="nil"/>
              <w:bottom w:val="nil"/>
              <w:right w:val="nil"/>
            </w:tcBorders>
            <w:vAlign w:val="bottom"/>
            <w:hideMark/>
          </w:tcPr>
          <w:p w14:paraId="33C3EFEB" w14:textId="77777777" w:rsidR="00A74C68" w:rsidRPr="00471CBA" w:rsidRDefault="00A74C68" w:rsidP="00F36B82">
            <w:pPr>
              <w:ind w:right="-45"/>
              <w:jc w:val="right"/>
              <w:rPr>
                <w:sz w:val="16"/>
                <w:szCs w:val="16"/>
              </w:rPr>
            </w:pPr>
            <w:r w:rsidRPr="00471CBA">
              <w:rPr>
                <w:sz w:val="16"/>
                <w:szCs w:val="16"/>
              </w:rPr>
              <w:t>-</w:t>
            </w:r>
          </w:p>
        </w:tc>
        <w:tc>
          <w:tcPr>
            <w:tcW w:w="879" w:type="dxa"/>
            <w:tcBorders>
              <w:top w:val="nil"/>
              <w:left w:val="nil"/>
              <w:bottom w:val="nil"/>
              <w:right w:val="nil"/>
            </w:tcBorders>
            <w:vAlign w:val="bottom"/>
            <w:hideMark/>
          </w:tcPr>
          <w:p w14:paraId="7ED7EBD9"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3C7FF019" w14:textId="77777777" w:rsidR="00A74C68" w:rsidRPr="00471CBA" w:rsidRDefault="00A74C68" w:rsidP="00F36B82">
            <w:pPr>
              <w:ind w:right="-45"/>
              <w:jc w:val="right"/>
              <w:rPr>
                <w:sz w:val="16"/>
                <w:szCs w:val="16"/>
              </w:rPr>
            </w:pPr>
            <w:r w:rsidRPr="00471CBA">
              <w:rPr>
                <w:sz w:val="16"/>
                <w:szCs w:val="16"/>
              </w:rPr>
              <w:t>-</w:t>
            </w:r>
          </w:p>
        </w:tc>
      </w:tr>
      <w:tr w:rsidR="00A74C68" w:rsidRPr="00471CBA" w14:paraId="43E20042" w14:textId="77777777" w:rsidTr="00A74C68">
        <w:trPr>
          <w:divId w:val="1004547450"/>
          <w:trHeight w:val="113"/>
        </w:trPr>
        <w:tc>
          <w:tcPr>
            <w:tcW w:w="2212" w:type="dxa"/>
            <w:tcBorders>
              <w:top w:val="nil"/>
              <w:left w:val="nil"/>
              <w:bottom w:val="nil"/>
              <w:right w:val="nil"/>
            </w:tcBorders>
            <w:vAlign w:val="bottom"/>
            <w:hideMark/>
          </w:tcPr>
          <w:p w14:paraId="6B98D556" w14:textId="77777777" w:rsidR="00A74C68" w:rsidRPr="00471CBA" w:rsidRDefault="00A74C68" w:rsidP="00A74C68">
            <w:pPr>
              <w:rPr>
                <w:sz w:val="16"/>
                <w:szCs w:val="16"/>
              </w:rPr>
            </w:pPr>
            <w:r w:rsidRPr="00471CBA">
              <w:rPr>
                <w:sz w:val="16"/>
                <w:szCs w:val="16"/>
              </w:rPr>
              <w:t>TCMB</w:t>
            </w:r>
          </w:p>
        </w:tc>
        <w:tc>
          <w:tcPr>
            <w:tcW w:w="970" w:type="dxa"/>
            <w:tcBorders>
              <w:top w:val="nil"/>
              <w:left w:val="nil"/>
              <w:bottom w:val="nil"/>
              <w:right w:val="nil"/>
            </w:tcBorders>
            <w:vAlign w:val="bottom"/>
            <w:hideMark/>
          </w:tcPr>
          <w:p w14:paraId="613D286B"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02448B88"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1AA9A126"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7897DFE2" w14:textId="77777777" w:rsidR="00A74C68" w:rsidRPr="00471CBA" w:rsidRDefault="00A74C68" w:rsidP="00F36B82">
            <w:pPr>
              <w:ind w:right="-45"/>
              <w:jc w:val="right"/>
              <w:rPr>
                <w:sz w:val="16"/>
                <w:szCs w:val="16"/>
              </w:rPr>
            </w:pPr>
            <w:r w:rsidRPr="00471CBA">
              <w:rPr>
                <w:sz w:val="16"/>
                <w:szCs w:val="16"/>
              </w:rPr>
              <w:t>-</w:t>
            </w:r>
          </w:p>
        </w:tc>
        <w:tc>
          <w:tcPr>
            <w:tcW w:w="694" w:type="dxa"/>
            <w:tcBorders>
              <w:top w:val="nil"/>
              <w:left w:val="nil"/>
              <w:bottom w:val="nil"/>
              <w:right w:val="nil"/>
            </w:tcBorders>
            <w:vAlign w:val="bottom"/>
            <w:hideMark/>
          </w:tcPr>
          <w:p w14:paraId="7574D0F7" w14:textId="77777777" w:rsidR="00A74C68" w:rsidRPr="00471CBA" w:rsidRDefault="00A74C68" w:rsidP="00F36B82">
            <w:pPr>
              <w:ind w:right="-45"/>
              <w:jc w:val="right"/>
              <w:rPr>
                <w:sz w:val="16"/>
                <w:szCs w:val="16"/>
              </w:rPr>
            </w:pPr>
            <w:r w:rsidRPr="00471CBA">
              <w:rPr>
                <w:sz w:val="16"/>
                <w:szCs w:val="16"/>
              </w:rPr>
              <w:t>-</w:t>
            </w:r>
          </w:p>
        </w:tc>
        <w:tc>
          <w:tcPr>
            <w:tcW w:w="693" w:type="dxa"/>
            <w:tcBorders>
              <w:top w:val="nil"/>
              <w:left w:val="nil"/>
              <w:bottom w:val="nil"/>
              <w:right w:val="nil"/>
            </w:tcBorders>
            <w:vAlign w:val="bottom"/>
            <w:hideMark/>
          </w:tcPr>
          <w:p w14:paraId="1D819B47" w14:textId="77777777" w:rsidR="00A74C68" w:rsidRPr="00471CBA" w:rsidRDefault="00A74C68" w:rsidP="00F36B82">
            <w:pPr>
              <w:ind w:right="-45"/>
              <w:jc w:val="right"/>
              <w:rPr>
                <w:sz w:val="16"/>
                <w:szCs w:val="16"/>
              </w:rPr>
            </w:pPr>
            <w:r w:rsidRPr="00471CBA">
              <w:rPr>
                <w:sz w:val="16"/>
                <w:szCs w:val="16"/>
              </w:rPr>
              <w:t>-</w:t>
            </w:r>
          </w:p>
        </w:tc>
        <w:tc>
          <w:tcPr>
            <w:tcW w:w="832" w:type="dxa"/>
            <w:tcBorders>
              <w:top w:val="nil"/>
              <w:left w:val="nil"/>
              <w:bottom w:val="nil"/>
              <w:right w:val="nil"/>
            </w:tcBorders>
            <w:vAlign w:val="bottom"/>
            <w:hideMark/>
          </w:tcPr>
          <w:p w14:paraId="102EBCE6" w14:textId="77777777" w:rsidR="00A74C68" w:rsidRPr="00471CBA" w:rsidRDefault="00A74C68" w:rsidP="00F36B82">
            <w:pPr>
              <w:ind w:right="-45"/>
              <w:jc w:val="right"/>
              <w:rPr>
                <w:sz w:val="16"/>
                <w:szCs w:val="16"/>
              </w:rPr>
            </w:pPr>
            <w:r w:rsidRPr="00471CBA">
              <w:rPr>
                <w:sz w:val="16"/>
                <w:szCs w:val="16"/>
              </w:rPr>
              <w:t>-</w:t>
            </w:r>
          </w:p>
        </w:tc>
        <w:tc>
          <w:tcPr>
            <w:tcW w:w="879" w:type="dxa"/>
            <w:tcBorders>
              <w:top w:val="nil"/>
              <w:left w:val="nil"/>
              <w:bottom w:val="nil"/>
              <w:right w:val="nil"/>
            </w:tcBorders>
            <w:vAlign w:val="bottom"/>
            <w:hideMark/>
          </w:tcPr>
          <w:p w14:paraId="6C118FAE"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78C1F507" w14:textId="77777777" w:rsidR="00A74C68" w:rsidRPr="00471CBA" w:rsidRDefault="00A74C68" w:rsidP="00F36B82">
            <w:pPr>
              <w:ind w:right="-45"/>
              <w:jc w:val="right"/>
              <w:rPr>
                <w:sz w:val="16"/>
                <w:szCs w:val="16"/>
              </w:rPr>
            </w:pPr>
            <w:r w:rsidRPr="00471CBA">
              <w:rPr>
                <w:sz w:val="16"/>
                <w:szCs w:val="16"/>
              </w:rPr>
              <w:t>-</w:t>
            </w:r>
          </w:p>
        </w:tc>
      </w:tr>
      <w:tr w:rsidR="00A74C68" w:rsidRPr="00471CBA" w14:paraId="4B3545EC" w14:textId="77777777" w:rsidTr="00A74C68">
        <w:trPr>
          <w:divId w:val="1004547450"/>
          <w:trHeight w:val="113"/>
        </w:trPr>
        <w:tc>
          <w:tcPr>
            <w:tcW w:w="2212" w:type="dxa"/>
            <w:tcBorders>
              <w:top w:val="nil"/>
              <w:left w:val="nil"/>
              <w:bottom w:val="nil"/>
              <w:right w:val="nil"/>
            </w:tcBorders>
            <w:vAlign w:val="bottom"/>
            <w:hideMark/>
          </w:tcPr>
          <w:p w14:paraId="5030C169" w14:textId="77777777" w:rsidR="00A74C68" w:rsidRPr="00471CBA" w:rsidRDefault="00A74C68" w:rsidP="00A74C68">
            <w:pPr>
              <w:rPr>
                <w:sz w:val="16"/>
                <w:szCs w:val="16"/>
              </w:rPr>
            </w:pPr>
            <w:r w:rsidRPr="00471CBA">
              <w:rPr>
                <w:sz w:val="16"/>
                <w:szCs w:val="16"/>
              </w:rPr>
              <w:t>Yurtiçi Bankalar</w:t>
            </w:r>
          </w:p>
        </w:tc>
        <w:tc>
          <w:tcPr>
            <w:tcW w:w="970" w:type="dxa"/>
            <w:tcBorders>
              <w:top w:val="nil"/>
              <w:left w:val="nil"/>
              <w:bottom w:val="nil"/>
              <w:right w:val="nil"/>
            </w:tcBorders>
            <w:vAlign w:val="bottom"/>
            <w:hideMark/>
          </w:tcPr>
          <w:p w14:paraId="7978C663"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295FBDBA"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58FE427D"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2D499EE9" w14:textId="77777777" w:rsidR="00A74C68" w:rsidRPr="00471CBA" w:rsidRDefault="00A74C68" w:rsidP="00F36B82">
            <w:pPr>
              <w:ind w:right="-45"/>
              <w:jc w:val="right"/>
              <w:rPr>
                <w:sz w:val="16"/>
                <w:szCs w:val="16"/>
              </w:rPr>
            </w:pPr>
            <w:r w:rsidRPr="00471CBA">
              <w:rPr>
                <w:sz w:val="16"/>
                <w:szCs w:val="16"/>
              </w:rPr>
              <w:t>-</w:t>
            </w:r>
          </w:p>
        </w:tc>
        <w:tc>
          <w:tcPr>
            <w:tcW w:w="694" w:type="dxa"/>
            <w:tcBorders>
              <w:top w:val="nil"/>
              <w:left w:val="nil"/>
              <w:bottom w:val="nil"/>
              <w:right w:val="nil"/>
            </w:tcBorders>
            <w:vAlign w:val="bottom"/>
            <w:hideMark/>
          </w:tcPr>
          <w:p w14:paraId="7C6220E4" w14:textId="77777777" w:rsidR="00A74C68" w:rsidRPr="00471CBA" w:rsidRDefault="00A74C68" w:rsidP="00F36B82">
            <w:pPr>
              <w:ind w:right="-45"/>
              <w:jc w:val="right"/>
              <w:rPr>
                <w:sz w:val="16"/>
                <w:szCs w:val="16"/>
              </w:rPr>
            </w:pPr>
            <w:r w:rsidRPr="00471CBA">
              <w:rPr>
                <w:sz w:val="16"/>
                <w:szCs w:val="16"/>
              </w:rPr>
              <w:t>-</w:t>
            </w:r>
          </w:p>
        </w:tc>
        <w:tc>
          <w:tcPr>
            <w:tcW w:w="693" w:type="dxa"/>
            <w:tcBorders>
              <w:top w:val="nil"/>
              <w:left w:val="nil"/>
              <w:bottom w:val="nil"/>
              <w:right w:val="nil"/>
            </w:tcBorders>
            <w:vAlign w:val="bottom"/>
            <w:hideMark/>
          </w:tcPr>
          <w:p w14:paraId="5B94B945" w14:textId="77777777" w:rsidR="00A74C68" w:rsidRPr="00471CBA" w:rsidRDefault="00A74C68" w:rsidP="00F36B82">
            <w:pPr>
              <w:ind w:right="-45"/>
              <w:jc w:val="right"/>
              <w:rPr>
                <w:sz w:val="16"/>
                <w:szCs w:val="16"/>
              </w:rPr>
            </w:pPr>
            <w:r w:rsidRPr="00471CBA">
              <w:rPr>
                <w:sz w:val="16"/>
                <w:szCs w:val="16"/>
              </w:rPr>
              <w:t>-</w:t>
            </w:r>
          </w:p>
        </w:tc>
        <w:tc>
          <w:tcPr>
            <w:tcW w:w="832" w:type="dxa"/>
            <w:tcBorders>
              <w:top w:val="nil"/>
              <w:left w:val="nil"/>
              <w:bottom w:val="nil"/>
              <w:right w:val="nil"/>
            </w:tcBorders>
            <w:vAlign w:val="bottom"/>
            <w:hideMark/>
          </w:tcPr>
          <w:p w14:paraId="73948260" w14:textId="77777777" w:rsidR="00A74C68" w:rsidRPr="00471CBA" w:rsidRDefault="00A74C68" w:rsidP="00F36B82">
            <w:pPr>
              <w:ind w:right="-45"/>
              <w:jc w:val="right"/>
              <w:rPr>
                <w:sz w:val="16"/>
                <w:szCs w:val="16"/>
              </w:rPr>
            </w:pPr>
            <w:r w:rsidRPr="00471CBA">
              <w:rPr>
                <w:sz w:val="16"/>
                <w:szCs w:val="16"/>
              </w:rPr>
              <w:t>-</w:t>
            </w:r>
          </w:p>
        </w:tc>
        <w:tc>
          <w:tcPr>
            <w:tcW w:w="879" w:type="dxa"/>
            <w:tcBorders>
              <w:top w:val="nil"/>
              <w:left w:val="nil"/>
              <w:bottom w:val="nil"/>
              <w:right w:val="nil"/>
            </w:tcBorders>
            <w:vAlign w:val="bottom"/>
            <w:hideMark/>
          </w:tcPr>
          <w:p w14:paraId="235A95D0"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653206A1" w14:textId="77777777" w:rsidR="00A74C68" w:rsidRPr="00471CBA" w:rsidRDefault="00A74C68" w:rsidP="00F36B82">
            <w:pPr>
              <w:ind w:right="-45"/>
              <w:jc w:val="right"/>
              <w:rPr>
                <w:sz w:val="16"/>
                <w:szCs w:val="16"/>
              </w:rPr>
            </w:pPr>
            <w:r w:rsidRPr="00471CBA">
              <w:rPr>
                <w:sz w:val="16"/>
                <w:szCs w:val="16"/>
              </w:rPr>
              <w:t>-</w:t>
            </w:r>
          </w:p>
        </w:tc>
      </w:tr>
      <w:tr w:rsidR="00A74C68" w:rsidRPr="00471CBA" w14:paraId="6A6D2299" w14:textId="77777777" w:rsidTr="00A74C68">
        <w:trPr>
          <w:divId w:val="1004547450"/>
          <w:trHeight w:val="113"/>
        </w:trPr>
        <w:tc>
          <w:tcPr>
            <w:tcW w:w="2212" w:type="dxa"/>
            <w:tcBorders>
              <w:top w:val="nil"/>
              <w:left w:val="nil"/>
              <w:bottom w:val="nil"/>
              <w:right w:val="nil"/>
            </w:tcBorders>
            <w:vAlign w:val="bottom"/>
            <w:hideMark/>
          </w:tcPr>
          <w:p w14:paraId="55C85D1A" w14:textId="77777777" w:rsidR="00A74C68" w:rsidRPr="00471CBA" w:rsidRDefault="00A74C68" w:rsidP="00A74C68">
            <w:pPr>
              <w:rPr>
                <w:sz w:val="16"/>
                <w:szCs w:val="16"/>
              </w:rPr>
            </w:pPr>
            <w:r w:rsidRPr="00471CBA">
              <w:rPr>
                <w:sz w:val="16"/>
                <w:szCs w:val="16"/>
              </w:rPr>
              <w:t>Yurtdışı Bankalar</w:t>
            </w:r>
          </w:p>
        </w:tc>
        <w:tc>
          <w:tcPr>
            <w:tcW w:w="970" w:type="dxa"/>
            <w:tcBorders>
              <w:top w:val="nil"/>
              <w:left w:val="nil"/>
              <w:bottom w:val="nil"/>
              <w:right w:val="nil"/>
            </w:tcBorders>
            <w:vAlign w:val="bottom"/>
            <w:hideMark/>
          </w:tcPr>
          <w:p w14:paraId="02A89DA5"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19B46556"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38A05608"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7A114DD0" w14:textId="77777777" w:rsidR="00A74C68" w:rsidRPr="00471CBA" w:rsidRDefault="00A74C68" w:rsidP="00F36B82">
            <w:pPr>
              <w:ind w:right="-45"/>
              <w:jc w:val="right"/>
              <w:rPr>
                <w:sz w:val="16"/>
                <w:szCs w:val="16"/>
              </w:rPr>
            </w:pPr>
            <w:r w:rsidRPr="00471CBA">
              <w:rPr>
                <w:sz w:val="16"/>
                <w:szCs w:val="16"/>
              </w:rPr>
              <w:t>-</w:t>
            </w:r>
          </w:p>
        </w:tc>
        <w:tc>
          <w:tcPr>
            <w:tcW w:w="694" w:type="dxa"/>
            <w:tcBorders>
              <w:top w:val="nil"/>
              <w:left w:val="nil"/>
              <w:bottom w:val="nil"/>
              <w:right w:val="nil"/>
            </w:tcBorders>
            <w:vAlign w:val="bottom"/>
            <w:hideMark/>
          </w:tcPr>
          <w:p w14:paraId="04E32DC3" w14:textId="77777777" w:rsidR="00A74C68" w:rsidRPr="00471CBA" w:rsidRDefault="00A74C68" w:rsidP="00F36B82">
            <w:pPr>
              <w:ind w:right="-45"/>
              <w:jc w:val="right"/>
              <w:rPr>
                <w:sz w:val="16"/>
                <w:szCs w:val="16"/>
              </w:rPr>
            </w:pPr>
            <w:r w:rsidRPr="00471CBA">
              <w:rPr>
                <w:sz w:val="16"/>
                <w:szCs w:val="16"/>
              </w:rPr>
              <w:t>-</w:t>
            </w:r>
          </w:p>
        </w:tc>
        <w:tc>
          <w:tcPr>
            <w:tcW w:w="693" w:type="dxa"/>
            <w:tcBorders>
              <w:top w:val="nil"/>
              <w:left w:val="nil"/>
              <w:bottom w:val="nil"/>
              <w:right w:val="nil"/>
            </w:tcBorders>
            <w:vAlign w:val="bottom"/>
            <w:hideMark/>
          </w:tcPr>
          <w:p w14:paraId="1A5F356F" w14:textId="77777777" w:rsidR="00A74C68" w:rsidRPr="00471CBA" w:rsidRDefault="00A74C68" w:rsidP="00F36B82">
            <w:pPr>
              <w:ind w:right="-45"/>
              <w:jc w:val="right"/>
              <w:rPr>
                <w:sz w:val="16"/>
                <w:szCs w:val="16"/>
              </w:rPr>
            </w:pPr>
            <w:r w:rsidRPr="00471CBA">
              <w:rPr>
                <w:sz w:val="16"/>
                <w:szCs w:val="16"/>
              </w:rPr>
              <w:t>-</w:t>
            </w:r>
          </w:p>
        </w:tc>
        <w:tc>
          <w:tcPr>
            <w:tcW w:w="832" w:type="dxa"/>
            <w:tcBorders>
              <w:top w:val="nil"/>
              <w:left w:val="nil"/>
              <w:bottom w:val="nil"/>
              <w:right w:val="nil"/>
            </w:tcBorders>
            <w:vAlign w:val="bottom"/>
            <w:hideMark/>
          </w:tcPr>
          <w:p w14:paraId="5191A184" w14:textId="77777777" w:rsidR="00A74C68" w:rsidRPr="00471CBA" w:rsidRDefault="00A74C68" w:rsidP="00F36B82">
            <w:pPr>
              <w:ind w:right="-45"/>
              <w:jc w:val="right"/>
              <w:rPr>
                <w:sz w:val="16"/>
                <w:szCs w:val="16"/>
              </w:rPr>
            </w:pPr>
            <w:r w:rsidRPr="00471CBA">
              <w:rPr>
                <w:sz w:val="16"/>
                <w:szCs w:val="16"/>
              </w:rPr>
              <w:t>-</w:t>
            </w:r>
          </w:p>
        </w:tc>
        <w:tc>
          <w:tcPr>
            <w:tcW w:w="879" w:type="dxa"/>
            <w:tcBorders>
              <w:top w:val="nil"/>
              <w:left w:val="nil"/>
              <w:bottom w:val="nil"/>
              <w:right w:val="nil"/>
            </w:tcBorders>
            <w:vAlign w:val="bottom"/>
            <w:hideMark/>
          </w:tcPr>
          <w:p w14:paraId="5AEE15A6"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7AC17331" w14:textId="77777777" w:rsidR="00A74C68" w:rsidRPr="00471CBA" w:rsidRDefault="00A74C68" w:rsidP="00F36B82">
            <w:pPr>
              <w:ind w:right="-45"/>
              <w:jc w:val="right"/>
              <w:rPr>
                <w:sz w:val="16"/>
                <w:szCs w:val="16"/>
              </w:rPr>
            </w:pPr>
            <w:r w:rsidRPr="00471CBA">
              <w:rPr>
                <w:sz w:val="16"/>
                <w:szCs w:val="16"/>
              </w:rPr>
              <w:t>-</w:t>
            </w:r>
          </w:p>
        </w:tc>
      </w:tr>
      <w:tr w:rsidR="00A74C68" w:rsidRPr="00471CBA" w14:paraId="5EC7B553" w14:textId="77777777" w:rsidTr="00A74C68">
        <w:trPr>
          <w:divId w:val="1004547450"/>
          <w:trHeight w:val="113"/>
        </w:trPr>
        <w:tc>
          <w:tcPr>
            <w:tcW w:w="2212" w:type="dxa"/>
            <w:tcBorders>
              <w:top w:val="nil"/>
              <w:left w:val="nil"/>
              <w:bottom w:val="nil"/>
              <w:right w:val="nil"/>
            </w:tcBorders>
            <w:vAlign w:val="bottom"/>
            <w:hideMark/>
          </w:tcPr>
          <w:p w14:paraId="77D534E6" w14:textId="77777777" w:rsidR="00A74C68" w:rsidRPr="00471CBA" w:rsidRDefault="00A74C68" w:rsidP="00A74C68">
            <w:pPr>
              <w:rPr>
                <w:sz w:val="16"/>
                <w:szCs w:val="16"/>
              </w:rPr>
            </w:pPr>
            <w:r w:rsidRPr="00471CBA">
              <w:rPr>
                <w:sz w:val="16"/>
                <w:szCs w:val="16"/>
              </w:rPr>
              <w:t>Katılım Bankası</w:t>
            </w:r>
          </w:p>
        </w:tc>
        <w:tc>
          <w:tcPr>
            <w:tcW w:w="970" w:type="dxa"/>
            <w:tcBorders>
              <w:top w:val="nil"/>
              <w:left w:val="nil"/>
              <w:bottom w:val="nil"/>
              <w:right w:val="nil"/>
            </w:tcBorders>
            <w:vAlign w:val="bottom"/>
            <w:hideMark/>
          </w:tcPr>
          <w:p w14:paraId="495B5C48"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50F01264"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24FE772C"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512E9B97" w14:textId="77777777" w:rsidR="00A74C68" w:rsidRPr="00471CBA" w:rsidRDefault="00A74C68" w:rsidP="00F36B82">
            <w:pPr>
              <w:ind w:right="-45"/>
              <w:jc w:val="right"/>
              <w:rPr>
                <w:sz w:val="16"/>
                <w:szCs w:val="16"/>
              </w:rPr>
            </w:pPr>
            <w:r w:rsidRPr="00471CBA">
              <w:rPr>
                <w:sz w:val="16"/>
                <w:szCs w:val="16"/>
              </w:rPr>
              <w:t>-</w:t>
            </w:r>
          </w:p>
        </w:tc>
        <w:tc>
          <w:tcPr>
            <w:tcW w:w="694" w:type="dxa"/>
            <w:tcBorders>
              <w:top w:val="nil"/>
              <w:left w:val="nil"/>
              <w:bottom w:val="nil"/>
              <w:right w:val="nil"/>
            </w:tcBorders>
            <w:vAlign w:val="bottom"/>
            <w:hideMark/>
          </w:tcPr>
          <w:p w14:paraId="0413CA13" w14:textId="77777777" w:rsidR="00A74C68" w:rsidRPr="00471CBA" w:rsidRDefault="00A74C68" w:rsidP="00F36B82">
            <w:pPr>
              <w:ind w:right="-45"/>
              <w:jc w:val="right"/>
              <w:rPr>
                <w:sz w:val="16"/>
                <w:szCs w:val="16"/>
              </w:rPr>
            </w:pPr>
            <w:r w:rsidRPr="00471CBA">
              <w:rPr>
                <w:sz w:val="16"/>
                <w:szCs w:val="16"/>
              </w:rPr>
              <w:t>-</w:t>
            </w:r>
          </w:p>
        </w:tc>
        <w:tc>
          <w:tcPr>
            <w:tcW w:w="693" w:type="dxa"/>
            <w:tcBorders>
              <w:top w:val="nil"/>
              <w:left w:val="nil"/>
              <w:bottom w:val="nil"/>
              <w:right w:val="nil"/>
            </w:tcBorders>
            <w:vAlign w:val="bottom"/>
            <w:hideMark/>
          </w:tcPr>
          <w:p w14:paraId="063BE2B1" w14:textId="77777777" w:rsidR="00A74C68" w:rsidRPr="00471CBA" w:rsidRDefault="00A74C68" w:rsidP="00F36B82">
            <w:pPr>
              <w:ind w:right="-45"/>
              <w:jc w:val="right"/>
              <w:rPr>
                <w:sz w:val="16"/>
                <w:szCs w:val="16"/>
              </w:rPr>
            </w:pPr>
            <w:r w:rsidRPr="00471CBA">
              <w:rPr>
                <w:sz w:val="16"/>
                <w:szCs w:val="16"/>
              </w:rPr>
              <w:t>-</w:t>
            </w:r>
          </w:p>
        </w:tc>
        <w:tc>
          <w:tcPr>
            <w:tcW w:w="832" w:type="dxa"/>
            <w:tcBorders>
              <w:top w:val="nil"/>
              <w:left w:val="nil"/>
              <w:bottom w:val="nil"/>
              <w:right w:val="nil"/>
            </w:tcBorders>
            <w:vAlign w:val="bottom"/>
            <w:hideMark/>
          </w:tcPr>
          <w:p w14:paraId="42746516" w14:textId="77777777" w:rsidR="00A74C68" w:rsidRPr="00471CBA" w:rsidRDefault="00A74C68" w:rsidP="00F36B82">
            <w:pPr>
              <w:ind w:right="-45"/>
              <w:jc w:val="right"/>
              <w:rPr>
                <w:sz w:val="16"/>
                <w:szCs w:val="16"/>
              </w:rPr>
            </w:pPr>
            <w:r w:rsidRPr="00471CBA">
              <w:rPr>
                <w:sz w:val="16"/>
                <w:szCs w:val="16"/>
              </w:rPr>
              <w:t>-</w:t>
            </w:r>
          </w:p>
        </w:tc>
        <w:tc>
          <w:tcPr>
            <w:tcW w:w="879" w:type="dxa"/>
            <w:tcBorders>
              <w:top w:val="nil"/>
              <w:left w:val="nil"/>
              <w:bottom w:val="nil"/>
              <w:right w:val="nil"/>
            </w:tcBorders>
            <w:vAlign w:val="bottom"/>
            <w:hideMark/>
          </w:tcPr>
          <w:p w14:paraId="0656CD18"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4B06CBDD" w14:textId="77777777" w:rsidR="00A74C68" w:rsidRPr="00471CBA" w:rsidRDefault="00A74C68" w:rsidP="00F36B82">
            <w:pPr>
              <w:ind w:right="-45"/>
              <w:jc w:val="right"/>
              <w:rPr>
                <w:sz w:val="16"/>
                <w:szCs w:val="16"/>
              </w:rPr>
            </w:pPr>
            <w:r w:rsidRPr="00471CBA">
              <w:rPr>
                <w:sz w:val="16"/>
                <w:szCs w:val="16"/>
              </w:rPr>
              <w:t>-</w:t>
            </w:r>
          </w:p>
        </w:tc>
      </w:tr>
      <w:tr w:rsidR="00A74C68" w:rsidRPr="00471CBA" w14:paraId="68F80B5C" w14:textId="77777777" w:rsidTr="00A74C68">
        <w:trPr>
          <w:divId w:val="1004547450"/>
          <w:trHeight w:val="113"/>
        </w:trPr>
        <w:tc>
          <w:tcPr>
            <w:tcW w:w="2212" w:type="dxa"/>
            <w:tcBorders>
              <w:top w:val="nil"/>
              <w:left w:val="nil"/>
              <w:bottom w:val="nil"/>
              <w:right w:val="nil"/>
            </w:tcBorders>
            <w:vAlign w:val="bottom"/>
            <w:hideMark/>
          </w:tcPr>
          <w:p w14:paraId="2E841B67" w14:textId="77777777" w:rsidR="00A74C68" w:rsidRPr="00471CBA" w:rsidRDefault="00A74C68" w:rsidP="00A74C68">
            <w:pPr>
              <w:rPr>
                <w:sz w:val="16"/>
                <w:szCs w:val="16"/>
              </w:rPr>
            </w:pPr>
            <w:r w:rsidRPr="00471CBA">
              <w:rPr>
                <w:sz w:val="16"/>
                <w:szCs w:val="16"/>
              </w:rPr>
              <w:t>Diğer</w:t>
            </w:r>
          </w:p>
        </w:tc>
        <w:tc>
          <w:tcPr>
            <w:tcW w:w="970" w:type="dxa"/>
            <w:tcBorders>
              <w:top w:val="nil"/>
              <w:left w:val="nil"/>
              <w:bottom w:val="nil"/>
              <w:right w:val="nil"/>
            </w:tcBorders>
            <w:vAlign w:val="bottom"/>
            <w:hideMark/>
          </w:tcPr>
          <w:p w14:paraId="1D1C07A0"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575D4A5C"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30FA7EF8"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14E5B7E1" w14:textId="77777777" w:rsidR="00A74C68" w:rsidRPr="00471CBA" w:rsidRDefault="00A74C68" w:rsidP="00F36B82">
            <w:pPr>
              <w:ind w:right="-45"/>
              <w:jc w:val="right"/>
              <w:rPr>
                <w:sz w:val="16"/>
                <w:szCs w:val="16"/>
              </w:rPr>
            </w:pPr>
            <w:r w:rsidRPr="00471CBA">
              <w:rPr>
                <w:sz w:val="16"/>
                <w:szCs w:val="16"/>
              </w:rPr>
              <w:t>-</w:t>
            </w:r>
          </w:p>
        </w:tc>
        <w:tc>
          <w:tcPr>
            <w:tcW w:w="694" w:type="dxa"/>
            <w:tcBorders>
              <w:top w:val="nil"/>
              <w:left w:val="nil"/>
              <w:bottom w:val="nil"/>
              <w:right w:val="nil"/>
            </w:tcBorders>
            <w:vAlign w:val="bottom"/>
            <w:hideMark/>
          </w:tcPr>
          <w:p w14:paraId="4BCBE6AA" w14:textId="77777777" w:rsidR="00A74C68" w:rsidRPr="00471CBA" w:rsidRDefault="00A74C68" w:rsidP="00F36B82">
            <w:pPr>
              <w:ind w:right="-45"/>
              <w:jc w:val="right"/>
              <w:rPr>
                <w:sz w:val="16"/>
                <w:szCs w:val="16"/>
              </w:rPr>
            </w:pPr>
            <w:r w:rsidRPr="00471CBA">
              <w:rPr>
                <w:sz w:val="16"/>
                <w:szCs w:val="16"/>
              </w:rPr>
              <w:t>-</w:t>
            </w:r>
          </w:p>
        </w:tc>
        <w:tc>
          <w:tcPr>
            <w:tcW w:w="693" w:type="dxa"/>
            <w:tcBorders>
              <w:top w:val="nil"/>
              <w:left w:val="nil"/>
              <w:bottom w:val="nil"/>
              <w:right w:val="nil"/>
            </w:tcBorders>
            <w:vAlign w:val="bottom"/>
            <w:hideMark/>
          </w:tcPr>
          <w:p w14:paraId="685CDCE0" w14:textId="77777777" w:rsidR="00A74C68" w:rsidRPr="00471CBA" w:rsidRDefault="00A74C68" w:rsidP="00F36B82">
            <w:pPr>
              <w:ind w:right="-45"/>
              <w:jc w:val="right"/>
              <w:rPr>
                <w:sz w:val="16"/>
                <w:szCs w:val="16"/>
              </w:rPr>
            </w:pPr>
            <w:r w:rsidRPr="00471CBA">
              <w:rPr>
                <w:sz w:val="16"/>
                <w:szCs w:val="16"/>
              </w:rPr>
              <w:t>-</w:t>
            </w:r>
          </w:p>
        </w:tc>
        <w:tc>
          <w:tcPr>
            <w:tcW w:w="832" w:type="dxa"/>
            <w:tcBorders>
              <w:top w:val="nil"/>
              <w:left w:val="nil"/>
              <w:bottom w:val="nil"/>
              <w:right w:val="nil"/>
            </w:tcBorders>
            <w:vAlign w:val="bottom"/>
            <w:hideMark/>
          </w:tcPr>
          <w:p w14:paraId="4D926467" w14:textId="77777777" w:rsidR="00A74C68" w:rsidRPr="00471CBA" w:rsidRDefault="00A74C68" w:rsidP="00F36B82">
            <w:pPr>
              <w:ind w:right="-45"/>
              <w:jc w:val="right"/>
              <w:rPr>
                <w:sz w:val="16"/>
                <w:szCs w:val="16"/>
              </w:rPr>
            </w:pPr>
            <w:r w:rsidRPr="00471CBA">
              <w:rPr>
                <w:sz w:val="16"/>
                <w:szCs w:val="16"/>
              </w:rPr>
              <w:t>-</w:t>
            </w:r>
          </w:p>
        </w:tc>
        <w:tc>
          <w:tcPr>
            <w:tcW w:w="879" w:type="dxa"/>
            <w:tcBorders>
              <w:top w:val="nil"/>
              <w:left w:val="nil"/>
              <w:bottom w:val="nil"/>
              <w:right w:val="nil"/>
            </w:tcBorders>
            <w:vAlign w:val="bottom"/>
            <w:hideMark/>
          </w:tcPr>
          <w:p w14:paraId="042293E5"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3D906ED1" w14:textId="77777777" w:rsidR="00A74C68" w:rsidRPr="00471CBA" w:rsidRDefault="00A74C68" w:rsidP="00F36B82">
            <w:pPr>
              <w:ind w:right="-45"/>
              <w:jc w:val="right"/>
              <w:rPr>
                <w:sz w:val="16"/>
                <w:szCs w:val="16"/>
              </w:rPr>
            </w:pPr>
            <w:r w:rsidRPr="00471CBA">
              <w:rPr>
                <w:sz w:val="16"/>
                <w:szCs w:val="16"/>
              </w:rPr>
              <w:t>-</w:t>
            </w:r>
          </w:p>
        </w:tc>
      </w:tr>
      <w:tr w:rsidR="00A74C68" w:rsidRPr="00471CBA" w14:paraId="5BB7E3B4" w14:textId="77777777" w:rsidTr="00A74C68">
        <w:trPr>
          <w:divId w:val="1004547450"/>
          <w:trHeight w:val="113"/>
        </w:trPr>
        <w:tc>
          <w:tcPr>
            <w:tcW w:w="2212" w:type="dxa"/>
            <w:tcBorders>
              <w:top w:val="nil"/>
              <w:left w:val="nil"/>
              <w:bottom w:val="nil"/>
              <w:right w:val="nil"/>
            </w:tcBorders>
            <w:vAlign w:val="bottom"/>
            <w:hideMark/>
          </w:tcPr>
          <w:p w14:paraId="0ED8B48C" w14:textId="77777777" w:rsidR="00A74C68" w:rsidRPr="00471CBA" w:rsidRDefault="00A74C68" w:rsidP="00A74C68">
            <w:pPr>
              <w:rPr>
                <w:b/>
                <w:bCs/>
                <w:sz w:val="16"/>
                <w:szCs w:val="16"/>
              </w:rPr>
            </w:pPr>
            <w:r w:rsidRPr="00471CBA">
              <w:rPr>
                <w:b/>
                <w:bCs/>
                <w:sz w:val="16"/>
                <w:szCs w:val="16"/>
              </w:rPr>
              <w:t>IV. Katılma Hesapları-TP</w:t>
            </w:r>
          </w:p>
        </w:tc>
        <w:tc>
          <w:tcPr>
            <w:tcW w:w="970" w:type="dxa"/>
            <w:tcBorders>
              <w:top w:val="nil"/>
              <w:left w:val="nil"/>
              <w:bottom w:val="nil"/>
              <w:right w:val="nil"/>
            </w:tcBorders>
            <w:vAlign w:val="bottom"/>
            <w:hideMark/>
          </w:tcPr>
          <w:p w14:paraId="2A931675" w14:textId="77777777" w:rsidR="00A74C68" w:rsidRPr="00471CBA" w:rsidRDefault="00A74C68" w:rsidP="00F36B82">
            <w:pPr>
              <w:ind w:right="-45"/>
              <w:jc w:val="right"/>
              <w:rPr>
                <w:b/>
                <w:bCs/>
                <w:sz w:val="16"/>
                <w:szCs w:val="16"/>
              </w:rPr>
            </w:pPr>
            <w:r w:rsidRPr="00471CBA">
              <w:rPr>
                <w:b/>
                <w:bCs/>
                <w:sz w:val="16"/>
                <w:szCs w:val="16"/>
              </w:rPr>
              <w:t>-</w:t>
            </w:r>
          </w:p>
        </w:tc>
        <w:tc>
          <w:tcPr>
            <w:tcW w:w="763" w:type="dxa"/>
            <w:tcBorders>
              <w:top w:val="nil"/>
              <w:left w:val="nil"/>
              <w:bottom w:val="nil"/>
              <w:right w:val="nil"/>
            </w:tcBorders>
            <w:vAlign w:val="bottom"/>
            <w:hideMark/>
          </w:tcPr>
          <w:p w14:paraId="67D157CD" w14:textId="77777777" w:rsidR="00A74C68" w:rsidRPr="00471CBA" w:rsidRDefault="00A74C68" w:rsidP="00F36B82">
            <w:pPr>
              <w:ind w:right="-45"/>
              <w:jc w:val="right"/>
              <w:rPr>
                <w:b/>
                <w:bCs/>
                <w:sz w:val="16"/>
                <w:szCs w:val="16"/>
              </w:rPr>
            </w:pPr>
            <w:r w:rsidRPr="00471CBA">
              <w:rPr>
                <w:b/>
                <w:bCs/>
                <w:sz w:val="16"/>
                <w:szCs w:val="16"/>
              </w:rPr>
              <w:t>6.867.175</w:t>
            </w:r>
          </w:p>
        </w:tc>
        <w:tc>
          <w:tcPr>
            <w:tcW w:w="841" w:type="dxa"/>
            <w:tcBorders>
              <w:top w:val="nil"/>
              <w:left w:val="nil"/>
              <w:bottom w:val="nil"/>
              <w:right w:val="nil"/>
            </w:tcBorders>
            <w:vAlign w:val="bottom"/>
            <w:hideMark/>
          </w:tcPr>
          <w:p w14:paraId="65223062" w14:textId="77777777" w:rsidR="00A74C68" w:rsidRPr="00471CBA" w:rsidRDefault="00A74C68" w:rsidP="00F36B82">
            <w:pPr>
              <w:ind w:right="-45"/>
              <w:jc w:val="right"/>
              <w:rPr>
                <w:b/>
                <w:bCs/>
                <w:sz w:val="16"/>
                <w:szCs w:val="16"/>
              </w:rPr>
            </w:pPr>
            <w:r w:rsidRPr="00471CBA">
              <w:rPr>
                <w:b/>
                <w:bCs/>
                <w:sz w:val="16"/>
                <w:szCs w:val="16"/>
              </w:rPr>
              <w:t>6.514.998</w:t>
            </w:r>
          </w:p>
        </w:tc>
        <w:tc>
          <w:tcPr>
            <w:tcW w:w="763" w:type="dxa"/>
            <w:tcBorders>
              <w:top w:val="nil"/>
              <w:left w:val="nil"/>
              <w:bottom w:val="nil"/>
              <w:right w:val="nil"/>
            </w:tcBorders>
            <w:vAlign w:val="bottom"/>
            <w:hideMark/>
          </w:tcPr>
          <w:p w14:paraId="6BA7026E" w14:textId="77777777" w:rsidR="00A74C68" w:rsidRPr="00471CBA" w:rsidRDefault="00A74C68" w:rsidP="00F36B82">
            <w:pPr>
              <w:ind w:right="-45"/>
              <w:jc w:val="right"/>
              <w:rPr>
                <w:b/>
                <w:bCs/>
                <w:sz w:val="16"/>
                <w:szCs w:val="16"/>
              </w:rPr>
            </w:pPr>
            <w:r w:rsidRPr="00471CBA">
              <w:rPr>
                <w:b/>
                <w:bCs/>
                <w:sz w:val="16"/>
                <w:szCs w:val="16"/>
              </w:rPr>
              <w:t>4.692.004</w:t>
            </w:r>
          </w:p>
        </w:tc>
        <w:tc>
          <w:tcPr>
            <w:tcW w:w="694" w:type="dxa"/>
            <w:tcBorders>
              <w:top w:val="nil"/>
              <w:left w:val="nil"/>
              <w:bottom w:val="nil"/>
              <w:right w:val="nil"/>
            </w:tcBorders>
            <w:vAlign w:val="bottom"/>
            <w:hideMark/>
          </w:tcPr>
          <w:p w14:paraId="01152635" w14:textId="77777777" w:rsidR="00A74C68" w:rsidRPr="00471CBA" w:rsidRDefault="00A74C68" w:rsidP="00F36B82">
            <w:pPr>
              <w:ind w:right="-45"/>
              <w:jc w:val="right"/>
              <w:rPr>
                <w:b/>
                <w:bCs/>
                <w:sz w:val="16"/>
                <w:szCs w:val="16"/>
              </w:rPr>
            </w:pPr>
            <w:r w:rsidRPr="00471CBA">
              <w:rPr>
                <w:b/>
                <w:bCs/>
                <w:sz w:val="16"/>
                <w:szCs w:val="16"/>
              </w:rPr>
              <w:t>-</w:t>
            </w:r>
          </w:p>
        </w:tc>
        <w:tc>
          <w:tcPr>
            <w:tcW w:w="693" w:type="dxa"/>
            <w:tcBorders>
              <w:top w:val="nil"/>
              <w:left w:val="nil"/>
              <w:bottom w:val="nil"/>
              <w:right w:val="nil"/>
            </w:tcBorders>
            <w:vAlign w:val="bottom"/>
            <w:hideMark/>
          </w:tcPr>
          <w:p w14:paraId="236776A1" w14:textId="77777777" w:rsidR="00A74C68" w:rsidRPr="00471CBA" w:rsidRDefault="00A74C68" w:rsidP="00F36B82">
            <w:pPr>
              <w:ind w:right="-45"/>
              <w:jc w:val="right"/>
              <w:rPr>
                <w:b/>
                <w:bCs/>
                <w:sz w:val="16"/>
                <w:szCs w:val="16"/>
              </w:rPr>
            </w:pPr>
            <w:r w:rsidRPr="00471CBA">
              <w:rPr>
                <w:b/>
                <w:bCs/>
                <w:sz w:val="16"/>
                <w:szCs w:val="16"/>
              </w:rPr>
              <w:t>-</w:t>
            </w:r>
          </w:p>
        </w:tc>
        <w:tc>
          <w:tcPr>
            <w:tcW w:w="832" w:type="dxa"/>
            <w:tcBorders>
              <w:top w:val="nil"/>
              <w:left w:val="nil"/>
              <w:bottom w:val="nil"/>
              <w:right w:val="nil"/>
            </w:tcBorders>
            <w:vAlign w:val="bottom"/>
            <w:hideMark/>
          </w:tcPr>
          <w:p w14:paraId="533EBAE1" w14:textId="77777777" w:rsidR="00A74C68" w:rsidRPr="00471CBA" w:rsidRDefault="00A74C68" w:rsidP="00F36B82">
            <w:pPr>
              <w:ind w:right="-45"/>
              <w:jc w:val="right"/>
              <w:rPr>
                <w:b/>
                <w:bCs/>
                <w:sz w:val="16"/>
                <w:szCs w:val="16"/>
              </w:rPr>
            </w:pPr>
            <w:r w:rsidRPr="00471CBA">
              <w:rPr>
                <w:b/>
                <w:bCs/>
                <w:sz w:val="16"/>
                <w:szCs w:val="16"/>
              </w:rPr>
              <w:t>1.112.847</w:t>
            </w:r>
          </w:p>
        </w:tc>
        <w:tc>
          <w:tcPr>
            <w:tcW w:w="879" w:type="dxa"/>
            <w:tcBorders>
              <w:top w:val="nil"/>
              <w:left w:val="nil"/>
              <w:bottom w:val="nil"/>
              <w:right w:val="nil"/>
            </w:tcBorders>
            <w:vAlign w:val="bottom"/>
            <w:hideMark/>
          </w:tcPr>
          <w:p w14:paraId="28943E84" w14:textId="77777777" w:rsidR="00A74C68" w:rsidRPr="00471CBA" w:rsidRDefault="00A74C68" w:rsidP="00F36B82">
            <w:pPr>
              <w:ind w:right="-45"/>
              <w:jc w:val="right"/>
              <w:rPr>
                <w:b/>
                <w:bCs/>
                <w:sz w:val="16"/>
                <w:szCs w:val="16"/>
              </w:rPr>
            </w:pPr>
            <w:r w:rsidRPr="00471CBA">
              <w:rPr>
                <w:b/>
                <w:bCs/>
                <w:sz w:val="16"/>
                <w:szCs w:val="16"/>
              </w:rPr>
              <w:t>-</w:t>
            </w:r>
          </w:p>
        </w:tc>
        <w:tc>
          <w:tcPr>
            <w:tcW w:w="841" w:type="dxa"/>
            <w:tcBorders>
              <w:top w:val="nil"/>
              <w:left w:val="nil"/>
              <w:bottom w:val="nil"/>
              <w:right w:val="nil"/>
            </w:tcBorders>
            <w:vAlign w:val="bottom"/>
            <w:hideMark/>
          </w:tcPr>
          <w:p w14:paraId="5A2F17FB" w14:textId="77777777" w:rsidR="00A74C68" w:rsidRPr="00471CBA" w:rsidRDefault="00A74C68" w:rsidP="00F36B82">
            <w:pPr>
              <w:ind w:right="-45"/>
              <w:jc w:val="right"/>
              <w:rPr>
                <w:b/>
                <w:bCs/>
                <w:sz w:val="16"/>
                <w:szCs w:val="16"/>
              </w:rPr>
            </w:pPr>
            <w:r w:rsidRPr="00471CBA">
              <w:rPr>
                <w:b/>
                <w:bCs/>
                <w:sz w:val="16"/>
                <w:szCs w:val="16"/>
              </w:rPr>
              <w:t>19.187.024</w:t>
            </w:r>
          </w:p>
        </w:tc>
      </w:tr>
      <w:tr w:rsidR="00A74C68" w:rsidRPr="00471CBA" w14:paraId="70F03717" w14:textId="77777777" w:rsidTr="00A74C68">
        <w:trPr>
          <w:divId w:val="1004547450"/>
          <w:trHeight w:val="113"/>
        </w:trPr>
        <w:tc>
          <w:tcPr>
            <w:tcW w:w="2212" w:type="dxa"/>
            <w:tcBorders>
              <w:top w:val="nil"/>
              <w:left w:val="nil"/>
              <w:bottom w:val="nil"/>
              <w:right w:val="nil"/>
            </w:tcBorders>
            <w:vAlign w:val="bottom"/>
            <w:hideMark/>
          </w:tcPr>
          <w:p w14:paraId="38A76355" w14:textId="77777777" w:rsidR="00A74C68" w:rsidRPr="00471CBA" w:rsidRDefault="00A74C68" w:rsidP="00A74C68">
            <w:pPr>
              <w:rPr>
                <w:sz w:val="16"/>
                <w:szCs w:val="16"/>
              </w:rPr>
            </w:pPr>
            <w:r w:rsidRPr="00471CBA">
              <w:rPr>
                <w:sz w:val="16"/>
                <w:szCs w:val="16"/>
              </w:rPr>
              <w:t>Resmi Kuruluşlar</w:t>
            </w:r>
          </w:p>
        </w:tc>
        <w:tc>
          <w:tcPr>
            <w:tcW w:w="970" w:type="dxa"/>
            <w:tcBorders>
              <w:top w:val="nil"/>
              <w:left w:val="nil"/>
              <w:bottom w:val="nil"/>
              <w:right w:val="nil"/>
            </w:tcBorders>
            <w:vAlign w:val="bottom"/>
            <w:hideMark/>
          </w:tcPr>
          <w:p w14:paraId="089A7FC9"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2A24F592"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66EDBAAD"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491F7A7B" w14:textId="77777777" w:rsidR="00A74C68" w:rsidRPr="00471CBA" w:rsidRDefault="00A74C68" w:rsidP="00F36B82">
            <w:pPr>
              <w:ind w:right="-45"/>
              <w:jc w:val="right"/>
              <w:rPr>
                <w:sz w:val="16"/>
                <w:szCs w:val="16"/>
              </w:rPr>
            </w:pPr>
            <w:r w:rsidRPr="00471CBA">
              <w:rPr>
                <w:sz w:val="16"/>
                <w:szCs w:val="16"/>
              </w:rPr>
              <w:t>-</w:t>
            </w:r>
          </w:p>
        </w:tc>
        <w:tc>
          <w:tcPr>
            <w:tcW w:w="694" w:type="dxa"/>
            <w:tcBorders>
              <w:top w:val="nil"/>
              <w:left w:val="nil"/>
              <w:bottom w:val="nil"/>
              <w:right w:val="nil"/>
            </w:tcBorders>
            <w:vAlign w:val="bottom"/>
            <w:hideMark/>
          </w:tcPr>
          <w:p w14:paraId="57AA8F48" w14:textId="77777777" w:rsidR="00A74C68" w:rsidRPr="00471CBA" w:rsidRDefault="00A74C68" w:rsidP="00F36B82">
            <w:pPr>
              <w:ind w:right="-45"/>
              <w:jc w:val="right"/>
              <w:rPr>
                <w:sz w:val="16"/>
                <w:szCs w:val="16"/>
              </w:rPr>
            </w:pPr>
            <w:r w:rsidRPr="00471CBA">
              <w:rPr>
                <w:sz w:val="16"/>
                <w:szCs w:val="16"/>
              </w:rPr>
              <w:t>-</w:t>
            </w:r>
          </w:p>
        </w:tc>
        <w:tc>
          <w:tcPr>
            <w:tcW w:w="693" w:type="dxa"/>
            <w:tcBorders>
              <w:top w:val="nil"/>
              <w:left w:val="nil"/>
              <w:bottom w:val="nil"/>
              <w:right w:val="nil"/>
            </w:tcBorders>
            <w:vAlign w:val="bottom"/>
            <w:hideMark/>
          </w:tcPr>
          <w:p w14:paraId="4547ABC0" w14:textId="77777777" w:rsidR="00A74C68" w:rsidRPr="00471CBA" w:rsidRDefault="00A74C68" w:rsidP="00F36B82">
            <w:pPr>
              <w:ind w:right="-45"/>
              <w:jc w:val="right"/>
              <w:rPr>
                <w:sz w:val="16"/>
                <w:szCs w:val="16"/>
              </w:rPr>
            </w:pPr>
            <w:r w:rsidRPr="00471CBA">
              <w:rPr>
                <w:sz w:val="16"/>
                <w:szCs w:val="16"/>
              </w:rPr>
              <w:t>-</w:t>
            </w:r>
          </w:p>
        </w:tc>
        <w:tc>
          <w:tcPr>
            <w:tcW w:w="832" w:type="dxa"/>
            <w:tcBorders>
              <w:top w:val="nil"/>
              <w:left w:val="nil"/>
              <w:bottom w:val="nil"/>
              <w:right w:val="nil"/>
            </w:tcBorders>
            <w:vAlign w:val="bottom"/>
            <w:hideMark/>
          </w:tcPr>
          <w:p w14:paraId="6994C27C" w14:textId="77777777" w:rsidR="00A74C68" w:rsidRPr="00471CBA" w:rsidRDefault="00A74C68" w:rsidP="00F36B82">
            <w:pPr>
              <w:ind w:right="-45"/>
              <w:jc w:val="right"/>
              <w:rPr>
                <w:sz w:val="16"/>
                <w:szCs w:val="16"/>
              </w:rPr>
            </w:pPr>
            <w:r w:rsidRPr="00471CBA">
              <w:rPr>
                <w:sz w:val="16"/>
                <w:szCs w:val="16"/>
              </w:rPr>
              <w:t>-</w:t>
            </w:r>
          </w:p>
        </w:tc>
        <w:tc>
          <w:tcPr>
            <w:tcW w:w="879" w:type="dxa"/>
            <w:tcBorders>
              <w:top w:val="nil"/>
              <w:left w:val="nil"/>
              <w:bottom w:val="nil"/>
              <w:right w:val="nil"/>
            </w:tcBorders>
            <w:vAlign w:val="bottom"/>
            <w:hideMark/>
          </w:tcPr>
          <w:p w14:paraId="0AF5F1CE"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184A2EC0" w14:textId="77777777" w:rsidR="00A74C68" w:rsidRPr="00471CBA" w:rsidRDefault="00A74C68" w:rsidP="00F36B82">
            <w:pPr>
              <w:ind w:right="-45"/>
              <w:jc w:val="right"/>
              <w:rPr>
                <w:sz w:val="16"/>
                <w:szCs w:val="16"/>
              </w:rPr>
            </w:pPr>
            <w:r w:rsidRPr="00471CBA">
              <w:rPr>
                <w:sz w:val="16"/>
                <w:szCs w:val="16"/>
              </w:rPr>
              <w:t>-</w:t>
            </w:r>
          </w:p>
        </w:tc>
      </w:tr>
      <w:tr w:rsidR="00A74C68" w:rsidRPr="00471CBA" w14:paraId="65EF155E" w14:textId="77777777" w:rsidTr="00A74C68">
        <w:trPr>
          <w:divId w:val="1004547450"/>
          <w:trHeight w:val="113"/>
        </w:trPr>
        <w:tc>
          <w:tcPr>
            <w:tcW w:w="2212" w:type="dxa"/>
            <w:tcBorders>
              <w:top w:val="nil"/>
              <w:left w:val="nil"/>
              <w:bottom w:val="nil"/>
              <w:right w:val="nil"/>
            </w:tcBorders>
            <w:vAlign w:val="bottom"/>
            <w:hideMark/>
          </w:tcPr>
          <w:p w14:paraId="4A7E682A" w14:textId="77777777" w:rsidR="00A74C68" w:rsidRPr="00471CBA" w:rsidRDefault="00A74C68" w:rsidP="00A74C68">
            <w:pPr>
              <w:rPr>
                <w:sz w:val="16"/>
                <w:szCs w:val="16"/>
              </w:rPr>
            </w:pPr>
            <w:r w:rsidRPr="00471CBA">
              <w:rPr>
                <w:sz w:val="16"/>
                <w:szCs w:val="16"/>
              </w:rPr>
              <w:t>Ticari Kuruluşlar</w:t>
            </w:r>
          </w:p>
        </w:tc>
        <w:tc>
          <w:tcPr>
            <w:tcW w:w="970" w:type="dxa"/>
            <w:tcBorders>
              <w:top w:val="nil"/>
              <w:left w:val="nil"/>
              <w:bottom w:val="nil"/>
              <w:right w:val="nil"/>
            </w:tcBorders>
            <w:vAlign w:val="bottom"/>
            <w:hideMark/>
          </w:tcPr>
          <w:p w14:paraId="6E6EE201"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2EE13CE5" w14:textId="77777777" w:rsidR="00A74C68" w:rsidRPr="00471CBA" w:rsidRDefault="00A74C68" w:rsidP="00F36B82">
            <w:pPr>
              <w:ind w:right="-45"/>
              <w:jc w:val="right"/>
              <w:rPr>
                <w:sz w:val="16"/>
                <w:szCs w:val="16"/>
              </w:rPr>
            </w:pPr>
            <w:r w:rsidRPr="00471CBA">
              <w:rPr>
                <w:sz w:val="16"/>
                <w:szCs w:val="16"/>
              </w:rPr>
              <w:t>6.867.053</w:t>
            </w:r>
          </w:p>
        </w:tc>
        <w:tc>
          <w:tcPr>
            <w:tcW w:w="841" w:type="dxa"/>
            <w:tcBorders>
              <w:top w:val="nil"/>
              <w:left w:val="nil"/>
              <w:bottom w:val="nil"/>
              <w:right w:val="nil"/>
            </w:tcBorders>
            <w:vAlign w:val="bottom"/>
            <w:hideMark/>
          </w:tcPr>
          <w:p w14:paraId="11E9F2D6" w14:textId="77777777" w:rsidR="00A74C68" w:rsidRPr="00471CBA" w:rsidRDefault="00A74C68" w:rsidP="00F36B82">
            <w:pPr>
              <w:ind w:right="-45"/>
              <w:jc w:val="right"/>
              <w:rPr>
                <w:sz w:val="16"/>
                <w:szCs w:val="16"/>
              </w:rPr>
            </w:pPr>
            <w:r w:rsidRPr="00471CBA">
              <w:rPr>
                <w:sz w:val="16"/>
                <w:szCs w:val="16"/>
              </w:rPr>
              <w:t>5.948.235</w:t>
            </w:r>
          </w:p>
        </w:tc>
        <w:tc>
          <w:tcPr>
            <w:tcW w:w="763" w:type="dxa"/>
            <w:tcBorders>
              <w:top w:val="nil"/>
              <w:left w:val="nil"/>
              <w:bottom w:val="nil"/>
              <w:right w:val="nil"/>
            </w:tcBorders>
            <w:vAlign w:val="bottom"/>
            <w:hideMark/>
          </w:tcPr>
          <w:p w14:paraId="5715C6D2" w14:textId="77777777" w:rsidR="00A74C68" w:rsidRPr="00471CBA" w:rsidRDefault="00A74C68" w:rsidP="00F36B82">
            <w:pPr>
              <w:ind w:right="-45"/>
              <w:jc w:val="right"/>
              <w:rPr>
                <w:sz w:val="16"/>
                <w:szCs w:val="16"/>
              </w:rPr>
            </w:pPr>
            <w:r w:rsidRPr="00471CBA">
              <w:rPr>
                <w:sz w:val="16"/>
                <w:szCs w:val="16"/>
              </w:rPr>
              <w:t>4.692.004</w:t>
            </w:r>
          </w:p>
        </w:tc>
        <w:tc>
          <w:tcPr>
            <w:tcW w:w="694" w:type="dxa"/>
            <w:tcBorders>
              <w:top w:val="nil"/>
              <w:left w:val="nil"/>
              <w:bottom w:val="nil"/>
              <w:right w:val="nil"/>
            </w:tcBorders>
            <w:vAlign w:val="bottom"/>
            <w:hideMark/>
          </w:tcPr>
          <w:p w14:paraId="79794046" w14:textId="77777777" w:rsidR="00A74C68" w:rsidRPr="00471CBA" w:rsidRDefault="00A74C68" w:rsidP="00F36B82">
            <w:pPr>
              <w:ind w:right="-45"/>
              <w:jc w:val="right"/>
              <w:rPr>
                <w:sz w:val="16"/>
                <w:szCs w:val="16"/>
              </w:rPr>
            </w:pPr>
            <w:r w:rsidRPr="00471CBA">
              <w:rPr>
                <w:sz w:val="16"/>
                <w:szCs w:val="16"/>
              </w:rPr>
              <w:t>-</w:t>
            </w:r>
          </w:p>
        </w:tc>
        <w:tc>
          <w:tcPr>
            <w:tcW w:w="693" w:type="dxa"/>
            <w:tcBorders>
              <w:top w:val="nil"/>
              <w:left w:val="nil"/>
              <w:bottom w:val="nil"/>
              <w:right w:val="nil"/>
            </w:tcBorders>
            <w:vAlign w:val="bottom"/>
            <w:hideMark/>
          </w:tcPr>
          <w:p w14:paraId="3BA3C367" w14:textId="77777777" w:rsidR="00A74C68" w:rsidRPr="00471CBA" w:rsidRDefault="00A74C68" w:rsidP="00F36B82">
            <w:pPr>
              <w:ind w:right="-45"/>
              <w:jc w:val="right"/>
              <w:rPr>
                <w:sz w:val="16"/>
                <w:szCs w:val="16"/>
              </w:rPr>
            </w:pPr>
            <w:r w:rsidRPr="00471CBA">
              <w:rPr>
                <w:sz w:val="16"/>
                <w:szCs w:val="16"/>
              </w:rPr>
              <w:t>-</w:t>
            </w:r>
          </w:p>
        </w:tc>
        <w:tc>
          <w:tcPr>
            <w:tcW w:w="832" w:type="dxa"/>
            <w:tcBorders>
              <w:top w:val="nil"/>
              <w:left w:val="nil"/>
              <w:bottom w:val="nil"/>
              <w:right w:val="nil"/>
            </w:tcBorders>
            <w:vAlign w:val="bottom"/>
            <w:hideMark/>
          </w:tcPr>
          <w:p w14:paraId="148C1791" w14:textId="77777777" w:rsidR="00A74C68" w:rsidRPr="00471CBA" w:rsidRDefault="00A74C68" w:rsidP="00F36B82">
            <w:pPr>
              <w:ind w:right="-45"/>
              <w:jc w:val="right"/>
              <w:rPr>
                <w:sz w:val="16"/>
                <w:szCs w:val="16"/>
              </w:rPr>
            </w:pPr>
            <w:r w:rsidRPr="00471CBA">
              <w:rPr>
                <w:sz w:val="16"/>
                <w:szCs w:val="16"/>
              </w:rPr>
              <w:t>1.112.847</w:t>
            </w:r>
          </w:p>
        </w:tc>
        <w:tc>
          <w:tcPr>
            <w:tcW w:w="879" w:type="dxa"/>
            <w:tcBorders>
              <w:top w:val="nil"/>
              <w:left w:val="nil"/>
              <w:bottom w:val="nil"/>
              <w:right w:val="nil"/>
            </w:tcBorders>
            <w:vAlign w:val="bottom"/>
            <w:hideMark/>
          </w:tcPr>
          <w:p w14:paraId="5D70E4A6"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4F009F60" w14:textId="77777777" w:rsidR="00A74C68" w:rsidRPr="00471CBA" w:rsidRDefault="00A74C68" w:rsidP="00F36B82">
            <w:pPr>
              <w:ind w:right="-45"/>
              <w:jc w:val="right"/>
              <w:rPr>
                <w:sz w:val="16"/>
                <w:szCs w:val="16"/>
              </w:rPr>
            </w:pPr>
            <w:r w:rsidRPr="00471CBA">
              <w:rPr>
                <w:sz w:val="16"/>
                <w:szCs w:val="16"/>
              </w:rPr>
              <w:t>18.620.139</w:t>
            </w:r>
          </w:p>
        </w:tc>
      </w:tr>
      <w:tr w:rsidR="00A74C68" w:rsidRPr="00471CBA" w14:paraId="6462DDCD" w14:textId="77777777" w:rsidTr="00A74C68">
        <w:trPr>
          <w:divId w:val="1004547450"/>
          <w:trHeight w:val="113"/>
        </w:trPr>
        <w:tc>
          <w:tcPr>
            <w:tcW w:w="2212" w:type="dxa"/>
            <w:tcBorders>
              <w:top w:val="nil"/>
              <w:left w:val="nil"/>
              <w:bottom w:val="nil"/>
              <w:right w:val="nil"/>
            </w:tcBorders>
            <w:vAlign w:val="bottom"/>
            <w:hideMark/>
          </w:tcPr>
          <w:p w14:paraId="20139BC8" w14:textId="77777777" w:rsidR="00A74C68" w:rsidRPr="00471CBA" w:rsidRDefault="00A74C68" w:rsidP="00A74C68">
            <w:pPr>
              <w:rPr>
                <w:sz w:val="16"/>
                <w:szCs w:val="16"/>
              </w:rPr>
            </w:pPr>
            <w:r w:rsidRPr="00471CBA">
              <w:rPr>
                <w:sz w:val="16"/>
                <w:szCs w:val="16"/>
              </w:rPr>
              <w:t>Diğer Kuruluşlar</w:t>
            </w:r>
          </w:p>
        </w:tc>
        <w:tc>
          <w:tcPr>
            <w:tcW w:w="970" w:type="dxa"/>
            <w:tcBorders>
              <w:top w:val="nil"/>
              <w:left w:val="nil"/>
              <w:bottom w:val="nil"/>
              <w:right w:val="nil"/>
            </w:tcBorders>
            <w:vAlign w:val="bottom"/>
            <w:hideMark/>
          </w:tcPr>
          <w:p w14:paraId="2B4BF8F6"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1C9ABCC7" w14:textId="77777777" w:rsidR="00A74C68" w:rsidRPr="00471CBA" w:rsidRDefault="00A74C68" w:rsidP="00F36B82">
            <w:pPr>
              <w:ind w:right="-45"/>
              <w:jc w:val="right"/>
              <w:rPr>
                <w:sz w:val="16"/>
                <w:szCs w:val="16"/>
              </w:rPr>
            </w:pPr>
            <w:r w:rsidRPr="00471CBA">
              <w:rPr>
                <w:sz w:val="16"/>
                <w:szCs w:val="16"/>
              </w:rPr>
              <w:t>122</w:t>
            </w:r>
          </w:p>
        </w:tc>
        <w:tc>
          <w:tcPr>
            <w:tcW w:w="841" w:type="dxa"/>
            <w:tcBorders>
              <w:top w:val="nil"/>
              <w:left w:val="nil"/>
              <w:bottom w:val="nil"/>
              <w:right w:val="nil"/>
            </w:tcBorders>
            <w:vAlign w:val="bottom"/>
            <w:hideMark/>
          </w:tcPr>
          <w:p w14:paraId="7748D5BD" w14:textId="77777777" w:rsidR="00A74C68" w:rsidRPr="00471CBA" w:rsidRDefault="00A74C68" w:rsidP="00F36B82">
            <w:pPr>
              <w:ind w:right="-45"/>
              <w:jc w:val="right"/>
              <w:rPr>
                <w:sz w:val="16"/>
                <w:szCs w:val="16"/>
              </w:rPr>
            </w:pPr>
            <w:r w:rsidRPr="00471CBA">
              <w:rPr>
                <w:sz w:val="16"/>
                <w:szCs w:val="16"/>
              </w:rPr>
              <w:t>566.763</w:t>
            </w:r>
          </w:p>
        </w:tc>
        <w:tc>
          <w:tcPr>
            <w:tcW w:w="763" w:type="dxa"/>
            <w:tcBorders>
              <w:top w:val="nil"/>
              <w:left w:val="nil"/>
              <w:bottom w:val="nil"/>
              <w:right w:val="nil"/>
            </w:tcBorders>
            <w:vAlign w:val="bottom"/>
            <w:hideMark/>
          </w:tcPr>
          <w:p w14:paraId="403C9D62" w14:textId="77777777" w:rsidR="00A74C68" w:rsidRPr="00471CBA" w:rsidRDefault="00A74C68" w:rsidP="00F36B82">
            <w:pPr>
              <w:ind w:right="-45"/>
              <w:jc w:val="right"/>
              <w:rPr>
                <w:sz w:val="16"/>
                <w:szCs w:val="16"/>
              </w:rPr>
            </w:pPr>
            <w:r w:rsidRPr="00471CBA">
              <w:rPr>
                <w:sz w:val="16"/>
                <w:szCs w:val="16"/>
              </w:rPr>
              <w:t>-</w:t>
            </w:r>
          </w:p>
        </w:tc>
        <w:tc>
          <w:tcPr>
            <w:tcW w:w="694" w:type="dxa"/>
            <w:tcBorders>
              <w:top w:val="nil"/>
              <w:left w:val="nil"/>
              <w:bottom w:val="nil"/>
              <w:right w:val="nil"/>
            </w:tcBorders>
            <w:vAlign w:val="bottom"/>
            <w:hideMark/>
          </w:tcPr>
          <w:p w14:paraId="706E9DD4" w14:textId="77777777" w:rsidR="00A74C68" w:rsidRPr="00471CBA" w:rsidRDefault="00A74C68" w:rsidP="00F36B82">
            <w:pPr>
              <w:ind w:right="-45"/>
              <w:jc w:val="right"/>
              <w:rPr>
                <w:sz w:val="16"/>
                <w:szCs w:val="16"/>
              </w:rPr>
            </w:pPr>
            <w:r w:rsidRPr="00471CBA">
              <w:rPr>
                <w:sz w:val="16"/>
                <w:szCs w:val="16"/>
              </w:rPr>
              <w:t>-</w:t>
            </w:r>
          </w:p>
        </w:tc>
        <w:tc>
          <w:tcPr>
            <w:tcW w:w="693" w:type="dxa"/>
            <w:tcBorders>
              <w:top w:val="nil"/>
              <w:left w:val="nil"/>
              <w:bottom w:val="nil"/>
              <w:right w:val="nil"/>
            </w:tcBorders>
            <w:vAlign w:val="bottom"/>
            <w:hideMark/>
          </w:tcPr>
          <w:p w14:paraId="5EA9B710" w14:textId="77777777" w:rsidR="00A74C68" w:rsidRPr="00471CBA" w:rsidRDefault="00A74C68" w:rsidP="00F36B82">
            <w:pPr>
              <w:ind w:right="-45"/>
              <w:jc w:val="right"/>
              <w:rPr>
                <w:sz w:val="16"/>
                <w:szCs w:val="16"/>
              </w:rPr>
            </w:pPr>
            <w:r w:rsidRPr="00471CBA">
              <w:rPr>
                <w:sz w:val="16"/>
                <w:szCs w:val="16"/>
              </w:rPr>
              <w:t>-</w:t>
            </w:r>
          </w:p>
        </w:tc>
        <w:tc>
          <w:tcPr>
            <w:tcW w:w="832" w:type="dxa"/>
            <w:tcBorders>
              <w:top w:val="nil"/>
              <w:left w:val="nil"/>
              <w:bottom w:val="nil"/>
              <w:right w:val="nil"/>
            </w:tcBorders>
            <w:vAlign w:val="bottom"/>
            <w:hideMark/>
          </w:tcPr>
          <w:p w14:paraId="2FE0D421" w14:textId="77777777" w:rsidR="00A74C68" w:rsidRPr="00471CBA" w:rsidRDefault="00A74C68" w:rsidP="00F36B82">
            <w:pPr>
              <w:ind w:right="-45"/>
              <w:jc w:val="right"/>
              <w:rPr>
                <w:sz w:val="16"/>
                <w:szCs w:val="16"/>
              </w:rPr>
            </w:pPr>
            <w:r w:rsidRPr="00471CBA">
              <w:rPr>
                <w:sz w:val="16"/>
                <w:szCs w:val="16"/>
              </w:rPr>
              <w:t>-</w:t>
            </w:r>
          </w:p>
        </w:tc>
        <w:tc>
          <w:tcPr>
            <w:tcW w:w="879" w:type="dxa"/>
            <w:tcBorders>
              <w:top w:val="nil"/>
              <w:left w:val="nil"/>
              <w:bottom w:val="nil"/>
              <w:right w:val="nil"/>
            </w:tcBorders>
            <w:vAlign w:val="bottom"/>
            <w:hideMark/>
          </w:tcPr>
          <w:p w14:paraId="5F36BE5E"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523207D2" w14:textId="77777777" w:rsidR="00A74C68" w:rsidRPr="00471CBA" w:rsidRDefault="00A74C68" w:rsidP="00F36B82">
            <w:pPr>
              <w:ind w:right="-45"/>
              <w:jc w:val="right"/>
              <w:rPr>
                <w:sz w:val="16"/>
                <w:szCs w:val="16"/>
              </w:rPr>
            </w:pPr>
            <w:r w:rsidRPr="00471CBA">
              <w:rPr>
                <w:sz w:val="16"/>
                <w:szCs w:val="16"/>
              </w:rPr>
              <w:t>566.885</w:t>
            </w:r>
          </w:p>
        </w:tc>
      </w:tr>
      <w:tr w:rsidR="00A74C68" w:rsidRPr="00471CBA" w14:paraId="551847FA" w14:textId="77777777" w:rsidTr="00A74C68">
        <w:trPr>
          <w:divId w:val="1004547450"/>
          <w:trHeight w:val="113"/>
        </w:trPr>
        <w:tc>
          <w:tcPr>
            <w:tcW w:w="2212" w:type="dxa"/>
            <w:tcBorders>
              <w:top w:val="nil"/>
              <w:left w:val="nil"/>
              <w:bottom w:val="nil"/>
              <w:right w:val="nil"/>
            </w:tcBorders>
            <w:vAlign w:val="bottom"/>
            <w:hideMark/>
          </w:tcPr>
          <w:p w14:paraId="3FE3EB7F" w14:textId="77777777" w:rsidR="00A74C68" w:rsidRPr="00471CBA" w:rsidRDefault="00A74C68" w:rsidP="00A74C68">
            <w:pPr>
              <w:rPr>
                <w:sz w:val="16"/>
                <w:szCs w:val="16"/>
              </w:rPr>
            </w:pPr>
            <w:r w:rsidRPr="00471CBA">
              <w:rPr>
                <w:sz w:val="16"/>
                <w:szCs w:val="16"/>
              </w:rPr>
              <w:t xml:space="preserve">Ticari ve </w:t>
            </w:r>
            <w:proofErr w:type="gramStart"/>
            <w:r w:rsidRPr="00471CBA">
              <w:rPr>
                <w:sz w:val="16"/>
                <w:szCs w:val="16"/>
              </w:rPr>
              <w:t>Diğer</w:t>
            </w:r>
            <w:proofErr w:type="gramEnd"/>
            <w:r w:rsidRPr="00471CBA">
              <w:rPr>
                <w:sz w:val="16"/>
                <w:szCs w:val="16"/>
              </w:rPr>
              <w:t xml:space="preserve"> Kur.</w:t>
            </w:r>
          </w:p>
        </w:tc>
        <w:tc>
          <w:tcPr>
            <w:tcW w:w="970" w:type="dxa"/>
            <w:tcBorders>
              <w:top w:val="nil"/>
              <w:left w:val="nil"/>
              <w:bottom w:val="nil"/>
              <w:right w:val="nil"/>
            </w:tcBorders>
            <w:vAlign w:val="bottom"/>
            <w:hideMark/>
          </w:tcPr>
          <w:p w14:paraId="25CE41CD"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74BF2711"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644AAFF5"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204D42B7" w14:textId="77777777" w:rsidR="00A74C68" w:rsidRPr="00471CBA" w:rsidRDefault="00A74C68" w:rsidP="00F36B82">
            <w:pPr>
              <w:ind w:right="-45"/>
              <w:jc w:val="right"/>
              <w:rPr>
                <w:sz w:val="16"/>
                <w:szCs w:val="16"/>
              </w:rPr>
            </w:pPr>
            <w:r w:rsidRPr="00471CBA">
              <w:rPr>
                <w:sz w:val="16"/>
                <w:szCs w:val="16"/>
              </w:rPr>
              <w:t>-</w:t>
            </w:r>
          </w:p>
        </w:tc>
        <w:tc>
          <w:tcPr>
            <w:tcW w:w="694" w:type="dxa"/>
            <w:tcBorders>
              <w:top w:val="nil"/>
              <w:left w:val="nil"/>
              <w:bottom w:val="nil"/>
              <w:right w:val="nil"/>
            </w:tcBorders>
            <w:vAlign w:val="bottom"/>
            <w:hideMark/>
          </w:tcPr>
          <w:p w14:paraId="4F0531DC" w14:textId="77777777" w:rsidR="00A74C68" w:rsidRPr="00471CBA" w:rsidRDefault="00A74C68" w:rsidP="00F36B82">
            <w:pPr>
              <w:ind w:right="-45"/>
              <w:jc w:val="right"/>
              <w:rPr>
                <w:sz w:val="16"/>
                <w:szCs w:val="16"/>
              </w:rPr>
            </w:pPr>
            <w:r w:rsidRPr="00471CBA">
              <w:rPr>
                <w:sz w:val="16"/>
                <w:szCs w:val="16"/>
              </w:rPr>
              <w:t>-</w:t>
            </w:r>
          </w:p>
        </w:tc>
        <w:tc>
          <w:tcPr>
            <w:tcW w:w="693" w:type="dxa"/>
            <w:tcBorders>
              <w:top w:val="nil"/>
              <w:left w:val="nil"/>
              <w:bottom w:val="nil"/>
              <w:right w:val="nil"/>
            </w:tcBorders>
            <w:vAlign w:val="bottom"/>
            <w:hideMark/>
          </w:tcPr>
          <w:p w14:paraId="1556946C" w14:textId="77777777" w:rsidR="00A74C68" w:rsidRPr="00471CBA" w:rsidRDefault="00A74C68" w:rsidP="00F36B82">
            <w:pPr>
              <w:ind w:right="-45"/>
              <w:jc w:val="right"/>
              <w:rPr>
                <w:sz w:val="16"/>
                <w:szCs w:val="16"/>
              </w:rPr>
            </w:pPr>
            <w:r w:rsidRPr="00471CBA">
              <w:rPr>
                <w:sz w:val="16"/>
                <w:szCs w:val="16"/>
              </w:rPr>
              <w:t>-</w:t>
            </w:r>
          </w:p>
        </w:tc>
        <w:tc>
          <w:tcPr>
            <w:tcW w:w="832" w:type="dxa"/>
            <w:tcBorders>
              <w:top w:val="nil"/>
              <w:left w:val="nil"/>
              <w:bottom w:val="nil"/>
              <w:right w:val="nil"/>
            </w:tcBorders>
            <w:vAlign w:val="bottom"/>
            <w:hideMark/>
          </w:tcPr>
          <w:p w14:paraId="3588C25C" w14:textId="77777777" w:rsidR="00A74C68" w:rsidRPr="00471CBA" w:rsidRDefault="00A74C68" w:rsidP="00F36B82">
            <w:pPr>
              <w:ind w:right="-45"/>
              <w:jc w:val="right"/>
              <w:rPr>
                <w:sz w:val="16"/>
                <w:szCs w:val="16"/>
              </w:rPr>
            </w:pPr>
            <w:r w:rsidRPr="00471CBA">
              <w:rPr>
                <w:sz w:val="16"/>
                <w:szCs w:val="16"/>
              </w:rPr>
              <w:t>-</w:t>
            </w:r>
          </w:p>
        </w:tc>
        <w:tc>
          <w:tcPr>
            <w:tcW w:w="879" w:type="dxa"/>
            <w:tcBorders>
              <w:top w:val="nil"/>
              <w:left w:val="nil"/>
              <w:bottom w:val="nil"/>
              <w:right w:val="nil"/>
            </w:tcBorders>
            <w:vAlign w:val="bottom"/>
            <w:hideMark/>
          </w:tcPr>
          <w:p w14:paraId="5A951611"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247C716E" w14:textId="77777777" w:rsidR="00A74C68" w:rsidRPr="00471CBA" w:rsidRDefault="00A74C68" w:rsidP="00F36B82">
            <w:pPr>
              <w:ind w:right="-45"/>
              <w:jc w:val="right"/>
              <w:rPr>
                <w:sz w:val="16"/>
                <w:szCs w:val="16"/>
              </w:rPr>
            </w:pPr>
            <w:r w:rsidRPr="00471CBA">
              <w:rPr>
                <w:sz w:val="16"/>
                <w:szCs w:val="16"/>
              </w:rPr>
              <w:t>-</w:t>
            </w:r>
          </w:p>
        </w:tc>
      </w:tr>
      <w:tr w:rsidR="00A74C68" w:rsidRPr="00471CBA" w14:paraId="077338CE" w14:textId="77777777" w:rsidTr="00A74C68">
        <w:trPr>
          <w:divId w:val="1004547450"/>
          <w:trHeight w:val="113"/>
        </w:trPr>
        <w:tc>
          <w:tcPr>
            <w:tcW w:w="2212" w:type="dxa"/>
            <w:tcBorders>
              <w:top w:val="nil"/>
              <w:left w:val="nil"/>
              <w:bottom w:val="nil"/>
              <w:right w:val="nil"/>
            </w:tcBorders>
            <w:vAlign w:val="bottom"/>
            <w:hideMark/>
          </w:tcPr>
          <w:p w14:paraId="1F8E1272" w14:textId="77777777" w:rsidR="00A74C68" w:rsidRPr="00471CBA" w:rsidRDefault="00A74C68" w:rsidP="00A74C68">
            <w:pPr>
              <w:rPr>
                <w:sz w:val="16"/>
                <w:szCs w:val="16"/>
              </w:rPr>
            </w:pPr>
            <w:r w:rsidRPr="00471CBA">
              <w:rPr>
                <w:sz w:val="16"/>
                <w:szCs w:val="16"/>
              </w:rPr>
              <w:t>Bankalar ve Katılım Bankası</w:t>
            </w:r>
          </w:p>
        </w:tc>
        <w:tc>
          <w:tcPr>
            <w:tcW w:w="970" w:type="dxa"/>
            <w:tcBorders>
              <w:top w:val="nil"/>
              <w:left w:val="nil"/>
              <w:bottom w:val="nil"/>
              <w:right w:val="nil"/>
            </w:tcBorders>
            <w:vAlign w:val="bottom"/>
            <w:hideMark/>
          </w:tcPr>
          <w:p w14:paraId="286663FA"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7B162903"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1C3044F7"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02D2685D" w14:textId="77777777" w:rsidR="00A74C68" w:rsidRPr="00471CBA" w:rsidRDefault="00A74C68" w:rsidP="00F36B82">
            <w:pPr>
              <w:ind w:right="-45"/>
              <w:jc w:val="right"/>
              <w:rPr>
                <w:sz w:val="16"/>
                <w:szCs w:val="16"/>
              </w:rPr>
            </w:pPr>
            <w:r w:rsidRPr="00471CBA">
              <w:rPr>
                <w:sz w:val="16"/>
                <w:szCs w:val="16"/>
              </w:rPr>
              <w:t>-</w:t>
            </w:r>
          </w:p>
        </w:tc>
        <w:tc>
          <w:tcPr>
            <w:tcW w:w="694" w:type="dxa"/>
            <w:tcBorders>
              <w:top w:val="nil"/>
              <w:left w:val="nil"/>
              <w:bottom w:val="nil"/>
              <w:right w:val="nil"/>
            </w:tcBorders>
            <w:vAlign w:val="bottom"/>
            <w:hideMark/>
          </w:tcPr>
          <w:p w14:paraId="5CFA66D7" w14:textId="77777777" w:rsidR="00A74C68" w:rsidRPr="00471CBA" w:rsidRDefault="00A74C68" w:rsidP="00F36B82">
            <w:pPr>
              <w:ind w:right="-45"/>
              <w:jc w:val="right"/>
              <w:rPr>
                <w:sz w:val="16"/>
                <w:szCs w:val="16"/>
              </w:rPr>
            </w:pPr>
            <w:r w:rsidRPr="00471CBA">
              <w:rPr>
                <w:sz w:val="16"/>
                <w:szCs w:val="16"/>
              </w:rPr>
              <w:t>-</w:t>
            </w:r>
          </w:p>
        </w:tc>
        <w:tc>
          <w:tcPr>
            <w:tcW w:w="693" w:type="dxa"/>
            <w:tcBorders>
              <w:top w:val="nil"/>
              <w:left w:val="nil"/>
              <w:bottom w:val="nil"/>
              <w:right w:val="nil"/>
            </w:tcBorders>
            <w:vAlign w:val="bottom"/>
            <w:hideMark/>
          </w:tcPr>
          <w:p w14:paraId="0D4822A6" w14:textId="77777777" w:rsidR="00A74C68" w:rsidRPr="00471CBA" w:rsidRDefault="00A74C68" w:rsidP="00F36B82">
            <w:pPr>
              <w:ind w:right="-45"/>
              <w:jc w:val="right"/>
              <w:rPr>
                <w:sz w:val="16"/>
                <w:szCs w:val="16"/>
              </w:rPr>
            </w:pPr>
            <w:r w:rsidRPr="00471CBA">
              <w:rPr>
                <w:sz w:val="16"/>
                <w:szCs w:val="16"/>
              </w:rPr>
              <w:t>-</w:t>
            </w:r>
          </w:p>
        </w:tc>
        <w:tc>
          <w:tcPr>
            <w:tcW w:w="832" w:type="dxa"/>
            <w:tcBorders>
              <w:top w:val="nil"/>
              <w:left w:val="nil"/>
              <w:bottom w:val="nil"/>
              <w:right w:val="nil"/>
            </w:tcBorders>
            <w:vAlign w:val="bottom"/>
            <w:hideMark/>
          </w:tcPr>
          <w:p w14:paraId="2365EAEF" w14:textId="77777777" w:rsidR="00A74C68" w:rsidRPr="00471CBA" w:rsidRDefault="00A74C68" w:rsidP="00F36B82">
            <w:pPr>
              <w:ind w:right="-45"/>
              <w:jc w:val="right"/>
              <w:rPr>
                <w:sz w:val="16"/>
                <w:szCs w:val="16"/>
              </w:rPr>
            </w:pPr>
            <w:r w:rsidRPr="00471CBA">
              <w:rPr>
                <w:sz w:val="16"/>
                <w:szCs w:val="16"/>
              </w:rPr>
              <w:t>-</w:t>
            </w:r>
          </w:p>
        </w:tc>
        <w:tc>
          <w:tcPr>
            <w:tcW w:w="879" w:type="dxa"/>
            <w:tcBorders>
              <w:top w:val="nil"/>
              <w:left w:val="nil"/>
              <w:bottom w:val="nil"/>
              <w:right w:val="nil"/>
            </w:tcBorders>
            <w:vAlign w:val="bottom"/>
            <w:hideMark/>
          </w:tcPr>
          <w:p w14:paraId="17F2A83F"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532D2F0F" w14:textId="77777777" w:rsidR="00A74C68" w:rsidRPr="00471CBA" w:rsidRDefault="00A74C68" w:rsidP="00F36B82">
            <w:pPr>
              <w:ind w:right="-45"/>
              <w:jc w:val="right"/>
              <w:rPr>
                <w:sz w:val="16"/>
                <w:szCs w:val="16"/>
              </w:rPr>
            </w:pPr>
            <w:r w:rsidRPr="00471CBA">
              <w:rPr>
                <w:sz w:val="16"/>
                <w:szCs w:val="16"/>
              </w:rPr>
              <w:t>-</w:t>
            </w:r>
          </w:p>
        </w:tc>
      </w:tr>
      <w:tr w:rsidR="00A74C68" w:rsidRPr="00471CBA" w14:paraId="17ACDE2E" w14:textId="77777777" w:rsidTr="00A74C68">
        <w:trPr>
          <w:divId w:val="1004547450"/>
          <w:trHeight w:val="113"/>
        </w:trPr>
        <w:tc>
          <w:tcPr>
            <w:tcW w:w="2212" w:type="dxa"/>
            <w:tcBorders>
              <w:top w:val="nil"/>
              <w:left w:val="nil"/>
              <w:bottom w:val="nil"/>
              <w:right w:val="nil"/>
            </w:tcBorders>
            <w:vAlign w:val="bottom"/>
            <w:hideMark/>
          </w:tcPr>
          <w:p w14:paraId="6A56EEF4" w14:textId="77777777" w:rsidR="00A74C68" w:rsidRPr="00471CBA" w:rsidRDefault="00A74C68" w:rsidP="00A74C68">
            <w:pPr>
              <w:rPr>
                <w:b/>
                <w:bCs/>
                <w:sz w:val="16"/>
                <w:szCs w:val="16"/>
              </w:rPr>
            </w:pPr>
            <w:r w:rsidRPr="00471CBA">
              <w:rPr>
                <w:b/>
                <w:bCs/>
                <w:sz w:val="16"/>
                <w:szCs w:val="16"/>
              </w:rPr>
              <w:t>V. Özel Cari Hesaplar Gerçek Kişi Ticari Olmayan-YP</w:t>
            </w:r>
          </w:p>
        </w:tc>
        <w:tc>
          <w:tcPr>
            <w:tcW w:w="970" w:type="dxa"/>
            <w:tcBorders>
              <w:top w:val="nil"/>
              <w:left w:val="nil"/>
              <w:bottom w:val="nil"/>
              <w:right w:val="nil"/>
            </w:tcBorders>
            <w:vAlign w:val="bottom"/>
            <w:hideMark/>
          </w:tcPr>
          <w:p w14:paraId="241A08B8" w14:textId="77777777" w:rsidR="00A74C68" w:rsidRPr="00471CBA" w:rsidRDefault="00A74C68" w:rsidP="00F36B82">
            <w:pPr>
              <w:ind w:right="-45"/>
              <w:jc w:val="right"/>
              <w:rPr>
                <w:b/>
                <w:bCs/>
                <w:sz w:val="16"/>
                <w:szCs w:val="16"/>
              </w:rPr>
            </w:pPr>
            <w:r w:rsidRPr="00471CBA">
              <w:rPr>
                <w:b/>
                <w:bCs/>
                <w:sz w:val="16"/>
                <w:szCs w:val="16"/>
              </w:rPr>
              <w:t>739.018</w:t>
            </w:r>
          </w:p>
        </w:tc>
        <w:tc>
          <w:tcPr>
            <w:tcW w:w="763" w:type="dxa"/>
            <w:tcBorders>
              <w:top w:val="nil"/>
              <w:left w:val="nil"/>
              <w:bottom w:val="nil"/>
              <w:right w:val="nil"/>
            </w:tcBorders>
            <w:vAlign w:val="bottom"/>
            <w:hideMark/>
          </w:tcPr>
          <w:p w14:paraId="15CD3AE9" w14:textId="77777777" w:rsidR="00A74C68" w:rsidRPr="00471CBA" w:rsidRDefault="00A74C68" w:rsidP="00F36B82">
            <w:pPr>
              <w:ind w:right="-45"/>
              <w:jc w:val="right"/>
              <w:rPr>
                <w:b/>
                <w:bCs/>
                <w:sz w:val="16"/>
                <w:szCs w:val="16"/>
              </w:rPr>
            </w:pPr>
            <w:r w:rsidRPr="00471CBA">
              <w:rPr>
                <w:b/>
                <w:bCs/>
                <w:sz w:val="16"/>
                <w:szCs w:val="16"/>
              </w:rPr>
              <w:t>-</w:t>
            </w:r>
          </w:p>
        </w:tc>
        <w:tc>
          <w:tcPr>
            <w:tcW w:w="841" w:type="dxa"/>
            <w:tcBorders>
              <w:top w:val="nil"/>
              <w:left w:val="nil"/>
              <w:bottom w:val="nil"/>
              <w:right w:val="nil"/>
            </w:tcBorders>
            <w:vAlign w:val="bottom"/>
            <w:hideMark/>
          </w:tcPr>
          <w:p w14:paraId="7D59BBBB" w14:textId="77777777" w:rsidR="00A74C68" w:rsidRPr="00471CBA" w:rsidRDefault="00A74C68" w:rsidP="00F36B82">
            <w:pPr>
              <w:ind w:right="-45"/>
              <w:jc w:val="right"/>
              <w:rPr>
                <w:b/>
                <w:bCs/>
                <w:sz w:val="16"/>
                <w:szCs w:val="16"/>
              </w:rPr>
            </w:pPr>
            <w:r w:rsidRPr="00471CBA">
              <w:rPr>
                <w:b/>
                <w:bCs/>
                <w:sz w:val="16"/>
                <w:szCs w:val="16"/>
              </w:rPr>
              <w:t>-</w:t>
            </w:r>
          </w:p>
        </w:tc>
        <w:tc>
          <w:tcPr>
            <w:tcW w:w="763" w:type="dxa"/>
            <w:tcBorders>
              <w:top w:val="nil"/>
              <w:left w:val="nil"/>
              <w:bottom w:val="nil"/>
              <w:right w:val="nil"/>
            </w:tcBorders>
            <w:vAlign w:val="bottom"/>
            <w:hideMark/>
          </w:tcPr>
          <w:p w14:paraId="7683F2E3" w14:textId="77777777" w:rsidR="00A74C68" w:rsidRPr="00471CBA" w:rsidRDefault="00A74C68" w:rsidP="00F36B82">
            <w:pPr>
              <w:ind w:right="-45"/>
              <w:jc w:val="right"/>
              <w:rPr>
                <w:b/>
                <w:bCs/>
                <w:sz w:val="16"/>
                <w:szCs w:val="16"/>
              </w:rPr>
            </w:pPr>
            <w:r w:rsidRPr="00471CBA">
              <w:rPr>
                <w:b/>
                <w:bCs/>
                <w:sz w:val="16"/>
                <w:szCs w:val="16"/>
              </w:rPr>
              <w:t>-</w:t>
            </w:r>
          </w:p>
        </w:tc>
        <w:tc>
          <w:tcPr>
            <w:tcW w:w="694" w:type="dxa"/>
            <w:tcBorders>
              <w:top w:val="nil"/>
              <w:left w:val="nil"/>
              <w:bottom w:val="nil"/>
              <w:right w:val="nil"/>
            </w:tcBorders>
            <w:vAlign w:val="bottom"/>
            <w:hideMark/>
          </w:tcPr>
          <w:p w14:paraId="3F09D557" w14:textId="77777777" w:rsidR="00A74C68" w:rsidRPr="00471CBA" w:rsidRDefault="00A74C68" w:rsidP="00F36B82">
            <w:pPr>
              <w:ind w:right="-45"/>
              <w:jc w:val="right"/>
              <w:rPr>
                <w:b/>
                <w:bCs/>
                <w:sz w:val="16"/>
                <w:szCs w:val="16"/>
              </w:rPr>
            </w:pPr>
            <w:r w:rsidRPr="00471CBA">
              <w:rPr>
                <w:b/>
                <w:bCs/>
                <w:sz w:val="16"/>
                <w:szCs w:val="16"/>
              </w:rPr>
              <w:t>-</w:t>
            </w:r>
          </w:p>
        </w:tc>
        <w:tc>
          <w:tcPr>
            <w:tcW w:w="693" w:type="dxa"/>
            <w:tcBorders>
              <w:top w:val="nil"/>
              <w:left w:val="nil"/>
              <w:bottom w:val="nil"/>
              <w:right w:val="nil"/>
            </w:tcBorders>
            <w:vAlign w:val="bottom"/>
            <w:hideMark/>
          </w:tcPr>
          <w:p w14:paraId="774A5394" w14:textId="77777777" w:rsidR="00A74C68" w:rsidRPr="00471CBA" w:rsidRDefault="00A74C68" w:rsidP="00F36B82">
            <w:pPr>
              <w:ind w:right="-45"/>
              <w:jc w:val="right"/>
              <w:rPr>
                <w:b/>
                <w:bCs/>
                <w:sz w:val="16"/>
                <w:szCs w:val="16"/>
              </w:rPr>
            </w:pPr>
            <w:r w:rsidRPr="00471CBA">
              <w:rPr>
                <w:b/>
                <w:bCs/>
                <w:sz w:val="16"/>
                <w:szCs w:val="16"/>
              </w:rPr>
              <w:t>-</w:t>
            </w:r>
          </w:p>
        </w:tc>
        <w:tc>
          <w:tcPr>
            <w:tcW w:w="832" w:type="dxa"/>
            <w:tcBorders>
              <w:top w:val="nil"/>
              <w:left w:val="nil"/>
              <w:bottom w:val="nil"/>
              <w:right w:val="nil"/>
            </w:tcBorders>
            <w:vAlign w:val="bottom"/>
            <w:hideMark/>
          </w:tcPr>
          <w:p w14:paraId="797540F5" w14:textId="77777777" w:rsidR="00A74C68" w:rsidRPr="00471CBA" w:rsidRDefault="00A74C68" w:rsidP="00F36B82">
            <w:pPr>
              <w:ind w:right="-45"/>
              <w:jc w:val="right"/>
              <w:rPr>
                <w:b/>
                <w:bCs/>
                <w:sz w:val="16"/>
                <w:szCs w:val="16"/>
              </w:rPr>
            </w:pPr>
            <w:r w:rsidRPr="00471CBA">
              <w:rPr>
                <w:b/>
                <w:bCs/>
                <w:sz w:val="16"/>
                <w:szCs w:val="16"/>
              </w:rPr>
              <w:t>-</w:t>
            </w:r>
          </w:p>
        </w:tc>
        <w:tc>
          <w:tcPr>
            <w:tcW w:w="879" w:type="dxa"/>
            <w:tcBorders>
              <w:top w:val="nil"/>
              <w:left w:val="nil"/>
              <w:bottom w:val="nil"/>
              <w:right w:val="nil"/>
            </w:tcBorders>
            <w:vAlign w:val="bottom"/>
            <w:hideMark/>
          </w:tcPr>
          <w:p w14:paraId="224A024C" w14:textId="77777777" w:rsidR="00A74C68" w:rsidRPr="00471CBA" w:rsidRDefault="00A74C68" w:rsidP="00F36B82">
            <w:pPr>
              <w:ind w:right="-45"/>
              <w:jc w:val="right"/>
              <w:rPr>
                <w:b/>
                <w:bCs/>
                <w:sz w:val="16"/>
                <w:szCs w:val="16"/>
              </w:rPr>
            </w:pPr>
            <w:r w:rsidRPr="00471CBA">
              <w:rPr>
                <w:b/>
                <w:bCs/>
                <w:sz w:val="16"/>
                <w:szCs w:val="16"/>
              </w:rPr>
              <w:t>-</w:t>
            </w:r>
          </w:p>
        </w:tc>
        <w:tc>
          <w:tcPr>
            <w:tcW w:w="841" w:type="dxa"/>
            <w:tcBorders>
              <w:top w:val="nil"/>
              <w:left w:val="nil"/>
              <w:bottom w:val="nil"/>
              <w:right w:val="nil"/>
            </w:tcBorders>
            <w:vAlign w:val="bottom"/>
            <w:hideMark/>
          </w:tcPr>
          <w:p w14:paraId="0C46EADD" w14:textId="77777777" w:rsidR="00A74C68" w:rsidRPr="00471CBA" w:rsidRDefault="00A74C68" w:rsidP="00F36B82">
            <w:pPr>
              <w:ind w:right="-45"/>
              <w:jc w:val="right"/>
              <w:rPr>
                <w:b/>
                <w:bCs/>
                <w:sz w:val="16"/>
                <w:szCs w:val="16"/>
              </w:rPr>
            </w:pPr>
            <w:r w:rsidRPr="00471CBA">
              <w:rPr>
                <w:b/>
                <w:bCs/>
                <w:sz w:val="16"/>
                <w:szCs w:val="16"/>
              </w:rPr>
              <w:t>739.018</w:t>
            </w:r>
          </w:p>
        </w:tc>
      </w:tr>
      <w:tr w:rsidR="00A74C68" w:rsidRPr="00471CBA" w14:paraId="2A61726B" w14:textId="77777777" w:rsidTr="00A74C68">
        <w:trPr>
          <w:divId w:val="1004547450"/>
          <w:trHeight w:val="113"/>
        </w:trPr>
        <w:tc>
          <w:tcPr>
            <w:tcW w:w="2212" w:type="dxa"/>
            <w:tcBorders>
              <w:top w:val="nil"/>
              <w:left w:val="nil"/>
              <w:bottom w:val="nil"/>
              <w:right w:val="nil"/>
            </w:tcBorders>
            <w:vAlign w:val="bottom"/>
            <w:hideMark/>
          </w:tcPr>
          <w:p w14:paraId="5DD43F89" w14:textId="77777777" w:rsidR="00A74C68" w:rsidRPr="00471CBA" w:rsidRDefault="00A74C68" w:rsidP="00A74C68">
            <w:pPr>
              <w:rPr>
                <w:b/>
                <w:bCs/>
                <w:sz w:val="16"/>
                <w:szCs w:val="16"/>
              </w:rPr>
            </w:pPr>
            <w:r w:rsidRPr="00471CBA">
              <w:rPr>
                <w:b/>
                <w:bCs/>
                <w:sz w:val="16"/>
                <w:szCs w:val="16"/>
              </w:rPr>
              <w:t>VI. Katılma Hesapları Gerçek Kişi Ticari Olmayan-YP</w:t>
            </w:r>
          </w:p>
        </w:tc>
        <w:tc>
          <w:tcPr>
            <w:tcW w:w="970" w:type="dxa"/>
            <w:tcBorders>
              <w:top w:val="nil"/>
              <w:left w:val="nil"/>
              <w:bottom w:val="nil"/>
              <w:right w:val="nil"/>
            </w:tcBorders>
            <w:vAlign w:val="bottom"/>
            <w:hideMark/>
          </w:tcPr>
          <w:p w14:paraId="329646C8" w14:textId="77777777" w:rsidR="00A74C68" w:rsidRPr="00471CBA" w:rsidRDefault="00A74C68" w:rsidP="00F36B82">
            <w:pPr>
              <w:ind w:right="-45"/>
              <w:jc w:val="right"/>
              <w:rPr>
                <w:b/>
                <w:bCs/>
                <w:sz w:val="16"/>
                <w:szCs w:val="16"/>
              </w:rPr>
            </w:pPr>
            <w:r w:rsidRPr="00471CBA">
              <w:rPr>
                <w:b/>
                <w:bCs/>
                <w:sz w:val="16"/>
                <w:szCs w:val="16"/>
              </w:rPr>
              <w:t>-</w:t>
            </w:r>
          </w:p>
        </w:tc>
        <w:tc>
          <w:tcPr>
            <w:tcW w:w="763" w:type="dxa"/>
            <w:tcBorders>
              <w:top w:val="nil"/>
              <w:left w:val="nil"/>
              <w:bottom w:val="nil"/>
              <w:right w:val="nil"/>
            </w:tcBorders>
            <w:vAlign w:val="bottom"/>
            <w:hideMark/>
          </w:tcPr>
          <w:p w14:paraId="4A264298" w14:textId="77777777" w:rsidR="00A74C68" w:rsidRPr="00471CBA" w:rsidRDefault="00A74C68" w:rsidP="00F36B82">
            <w:pPr>
              <w:ind w:right="-45"/>
              <w:jc w:val="right"/>
              <w:rPr>
                <w:b/>
                <w:bCs/>
                <w:sz w:val="16"/>
                <w:szCs w:val="16"/>
              </w:rPr>
            </w:pPr>
            <w:r w:rsidRPr="00471CBA">
              <w:rPr>
                <w:b/>
                <w:bCs/>
                <w:sz w:val="16"/>
                <w:szCs w:val="16"/>
              </w:rPr>
              <w:t>71.038</w:t>
            </w:r>
          </w:p>
        </w:tc>
        <w:tc>
          <w:tcPr>
            <w:tcW w:w="841" w:type="dxa"/>
            <w:tcBorders>
              <w:top w:val="nil"/>
              <w:left w:val="nil"/>
              <w:bottom w:val="nil"/>
              <w:right w:val="nil"/>
            </w:tcBorders>
            <w:vAlign w:val="bottom"/>
            <w:hideMark/>
          </w:tcPr>
          <w:p w14:paraId="38D59630" w14:textId="77777777" w:rsidR="00A74C68" w:rsidRPr="00471CBA" w:rsidRDefault="00A74C68" w:rsidP="00F36B82">
            <w:pPr>
              <w:ind w:right="-45"/>
              <w:jc w:val="right"/>
              <w:rPr>
                <w:b/>
                <w:bCs/>
                <w:sz w:val="16"/>
                <w:szCs w:val="16"/>
              </w:rPr>
            </w:pPr>
            <w:r w:rsidRPr="00471CBA">
              <w:rPr>
                <w:b/>
                <w:bCs/>
                <w:sz w:val="16"/>
                <w:szCs w:val="16"/>
              </w:rPr>
              <w:t>809.218</w:t>
            </w:r>
          </w:p>
        </w:tc>
        <w:tc>
          <w:tcPr>
            <w:tcW w:w="763" w:type="dxa"/>
            <w:tcBorders>
              <w:top w:val="nil"/>
              <w:left w:val="nil"/>
              <w:bottom w:val="nil"/>
              <w:right w:val="nil"/>
            </w:tcBorders>
            <w:vAlign w:val="bottom"/>
            <w:hideMark/>
          </w:tcPr>
          <w:p w14:paraId="74EF8886" w14:textId="77777777" w:rsidR="00A74C68" w:rsidRPr="00471CBA" w:rsidRDefault="00A74C68" w:rsidP="00F36B82">
            <w:pPr>
              <w:ind w:right="-45"/>
              <w:jc w:val="right"/>
              <w:rPr>
                <w:b/>
                <w:bCs/>
                <w:sz w:val="16"/>
                <w:szCs w:val="16"/>
              </w:rPr>
            </w:pPr>
            <w:r w:rsidRPr="00471CBA">
              <w:rPr>
                <w:b/>
                <w:bCs/>
                <w:sz w:val="16"/>
                <w:szCs w:val="16"/>
              </w:rPr>
              <w:t>609</w:t>
            </w:r>
          </w:p>
        </w:tc>
        <w:tc>
          <w:tcPr>
            <w:tcW w:w="694" w:type="dxa"/>
            <w:tcBorders>
              <w:top w:val="nil"/>
              <w:left w:val="nil"/>
              <w:bottom w:val="nil"/>
              <w:right w:val="nil"/>
            </w:tcBorders>
            <w:vAlign w:val="bottom"/>
            <w:hideMark/>
          </w:tcPr>
          <w:p w14:paraId="24557BC3" w14:textId="77777777" w:rsidR="00A74C68" w:rsidRPr="00471CBA" w:rsidRDefault="00A74C68" w:rsidP="00F36B82">
            <w:pPr>
              <w:ind w:right="-45"/>
              <w:jc w:val="right"/>
              <w:rPr>
                <w:b/>
                <w:bCs/>
                <w:sz w:val="16"/>
                <w:szCs w:val="16"/>
              </w:rPr>
            </w:pPr>
            <w:r w:rsidRPr="00471CBA">
              <w:rPr>
                <w:b/>
                <w:bCs/>
                <w:sz w:val="16"/>
                <w:szCs w:val="16"/>
              </w:rPr>
              <w:t>-</w:t>
            </w:r>
          </w:p>
        </w:tc>
        <w:tc>
          <w:tcPr>
            <w:tcW w:w="693" w:type="dxa"/>
            <w:tcBorders>
              <w:top w:val="nil"/>
              <w:left w:val="nil"/>
              <w:bottom w:val="nil"/>
              <w:right w:val="nil"/>
            </w:tcBorders>
            <w:vAlign w:val="bottom"/>
            <w:hideMark/>
          </w:tcPr>
          <w:p w14:paraId="7E799DB6" w14:textId="77777777" w:rsidR="00A74C68" w:rsidRPr="00471CBA" w:rsidRDefault="00A74C68" w:rsidP="00F36B82">
            <w:pPr>
              <w:ind w:right="-45"/>
              <w:jc w:val="right"/>
              <w:rPr>
                <w:b/>
                <w:bCs/>
                <w:sz w:val="16"/>
                <w:szCs w:val="16"/>
              </w:rPr>
            </w:pPr>
            <w:r w:rsidRPr="00471CBA">
              <w:rPr>
                <w:b/>
                <w:bCs/>
                <w:sz w:val="16"/>
                <w:szCs w:val="16"/>
              </w:rPr>
              <w:t>1.358</w:t>
            </w:r>
          </w:p>
        </w:tc>
        <w:tc>
          <w:tcPr>
            <w:tcW w:w="832" w:type="dxa"/>
            <w:tcBorders>
              <w:top w:val="nil"/>
              <w:left w:val="nil"/>
              <w:bottom w:val="nil"/>
              <w:right w:val="nil"/>
            </w:tcBorders>
            <w:vAlign w:val="bottom"/>
            <w:hideMark/>
          </w:tcPr>
          <w:p w14:paraId="1AA43FF6" w14:textId="77777777" w:rsidR="00A74C68" w:rsidRPr="00471CBA" w:rsidRDefault="00A74C68" w:rsidP="00F36B82">
            <w:pPr>
              <w:ind w:right="-45"/>
              <w:jc w:val="right"/>
              <w:rPr>
                <w:b/>
                <w:bCs/>
                <w:sz w:val="16"/>
                <w:szCs w:val="16"/>
              </w:rPr>
            </w:pPr>
            <w:r w:rsidRPr="00471CBA">
              <w:rPr>
                <w:b/>
                <w:bCs/>
                <w:sz w:val="16"/>
                <w:szCs w:val="16"/>
              </w:rPr>
              <w:t>349</w:t>
            </w:r>
          </w:p>
        </w:tc>
        <w:tc>
          <w:tcPr>
            <w:tcW w:w="879" w:type="dxa"/>
            <w:tcBorders>
              <w:top w:val="nil"/>
              <w:left w:val="nil"/>
              <w:bottom w:val="nil"/>
              <w:right w:val="nil"/>
            </w:tcBorders>
            <w:vAlign w:val="bottom"/>
            <w:hideMark/>
          </w:tcPr>
          <w:p w14:paraId="2A368920" w14:textId="77777777" w:rsidR="00A74C68" w:rsidRPr="00471CBA" w:rsidRDefault="00A74C68" w:rsidP="00F36B82">
            <w:pPr>
              <w:ind w:right="-45"/>
              <w:jc w:val="right"/>
              <w:rPr>
                <w:b/>
                <w:bCs/>
                <w:sz w:val="16"/>
                <w:szCs w:val="16"/>
              </w:rPr>
            </w:pPr>
            <w:r w:rsidRPr="00471CBA">
              <w:rPr>
                <w:b/>
                <w:bCs/>
                <w:sz w:val="16"/>
                <w:szCs w:val="16"/>
              </w:rPr>
              <w:t>-</w:t>
            </w:r>
          </w:p>
        </w:tc>
        <w:tc>
          <w:tcPr>
            <w:tcW w:w="841" w:type="dxa"/>
            <w:tcBorders>
              <w:top w:val="nil"/>
              <w:left w:val="nil"/>
              <w:bottom w:val="nil"/>
              <w:right w:val="nil"/>
            </w:tcBorders>
            <w:vAlign w:val="bottom"/>
            <w:hideMark/>
          </w:tcPr>
          <w:p w14:paraId="0937526A" w14:textId="77777777" w:rsidR="00A74C68" w:rsidRPr="00471CBA" w:rsidRDefault="00A74C68" w:rsidP="00F36B82">
            <w:pPr>
              <w:ind w:right="-45"/>
              <w:jc w:val="right"/>
              <w:rPr>
                <w:b/>
                <w:bCs/>
                <w:sz w:val="16"/>
                <w:szCs w:val="16"/>
              </w:rPr>
            </w:pPr>
            <w:r w:rsidRPr="00471CBA">
              <w:rPr>
                <w:b/>
                <w:bCs/>
                <w:sz w:val="16"/>
                <w:szCs w:val="16"/>
              </w:rPr>
              <w:t>882.572</w:t>
            </w:r>
          </w:p>
        </w:tc>
      </w:tr>
      <w:tr w:rsidR="00A74C68" w:rsidRPr="00471CBA" w14:paraId="4D930840" w14:textId="77777777" w:rsidTr="00A74C68">
        <w:trPr>
          <w:divId w:val="1004547450"/>
          <w:trHeight w:val="113"/>
        </w:trPr>
        <w:tc>
          <w:tcPr>
            <w:tcW w:w="2212" w:type="dxa"/>
            <w:tcBorders>
              <w:top w:val="nil"/>
              <w:left w:val="nil"/>
              <w:bottom w:val="nil"/>
              <w:right w:val="nil"/>
            </w:tcBorders>
            <w:vAlign w:val="bottom"/>
            <w:hideMark/>
          </w:tcPr>
          <w:p w14:paraId="776F3867" w14:textId="77777777" w:rsidR="00A74C68" w:rsidRPr="00471CBA" w:rsidRDefault="00A74C68" w:rsidP="00A74C68">
            <w:pPr>
              <w:rPr>
                <w:b/>
                <w:bCs/>
                <w:sz w:val="16"/>
                <w:szCs w:val="16"/>
              </w:rPr>
            </w:pPr>
            <w:r w:rsidRPr="00471CBA">
              <w:rPr>
                <w:b/>
                <w:bCs/>
                <w:sz w:val="16"/>
                <w:szCs w:val="16"/>
              </w:rPr>
              <w:t>VII. Özel Cari Hesaplar Diğer-YP</w:t>
            </w:r>
          </w:p>
        </w:tc>
        <w:tc>
          <w:tcPr>
            <w:tcW w:w="970" w:type="dxa"/>
            <w:tcBorders>
              <w:top w:val="nil"/>
              <w:left w:val="nil"/>
              <w:bottom w:val="nil"/>
              <w:right w:val="nil"/>
            </w:tcBorders>
            <w:vAlign w:val="bottom"/>
            <w:hideMark/>
          </w:tcPr>
          <w:p w14:paraId="00D3B6D7" w14:textId="77777777" w:rsidR="00A74C68" w:rsidRPr="00471CBA" w:rsidRDefault="00A74C68" w:rsidP="00F36B82">
            <w:pPr>
              <w:ind w:right="-45"/>
              <w:jc w:val="right"/>
              <w:rPr>
                <w:b/>
                <w:bCs/>
                <w:sz w:val="16"/>
                <w:szCs w:val="16"/>
              </w:rPr>
            </w:pPr>
            <w:r w:rsidRPr="00471CBA">
              <w:rPr>
                <w:b/>
                <w:bCs/>
                <w:sz w:val="16"/>
                <w:szCs w:val="16"/>
              </w:rPr>
              <w:t>5.771.878</w:t>
            </w:r>
          </w:p>
        </w:tc>
        <w:tc>
          <w:tcPr>
            <w:tcW w:w="763" w:type="dxa"/>
            <w:tcBorders>
              <w:top w:val="nil"/>
              <w:left w:val="nil"/>
              <w:bottom w:val="nil"/>
              <w:right w:val="nil"/>
            </w:tcBorders>
            <w:vAlign w:val="bottom"/>
            <w:hideMark/>
          </w:tcPr>
          <w:p w14:paraId="551A0D7A" w14:textId="77777777" w:rsidR="00A74C68" w:rsidRPr="00471CBA" w:rsidRDefault="00A74C68" w:rsidP="00F36B82">
            <w:pPr>
              <w:ind w:right="-45"/>
              <w:jc w:val="right"/>
              <w:rPr>
                <w:b/>
                <w:bCs/>
                <w:sz w:val="16"/>
                <w:szCs w:val="16"/>
              </w:rPr>
            </w:pPr>
            <w:r w:rsidRPr="00471CBA">
              <w:rPr>
                <w:b/>
                <w:bCs/>
                <w:sz w:val="16"/>
                <w:szCs w:val="16"/>
              </w:rPr>
              <w:t>-</w:t>
            </w:r>
          </w:p>
        </w:tc>
        <w:tc>
          <w:tcPr>
            <w:tcW w:w="841" w:type="dxa"/>
            <w:tcBorders>
              <w:top w:val="nil"/>
              <w:left w:val="nil"/>
              <w:bottom w:val="nil"/>
              <w:right w:val="nil"/>
            </w:tcBorders>
            <w:vAlign w:val="bottom"/>
            <w:hideMark/>
          </w:tcPr>
          <w:p w14:paraId="6383E413" w14:textId="77777777" w:rsidR="00A74C68" w:rsidRPr="00471CBA" w:rsidRDefault="00A74C68" w:rsidP="00F36B82">
            <w:pPr>
              <w:ind w:right="-45"/>
              <w:jc w:val="right"/>
              <w:rPr>
                <w:b/>
                <w:bCs/>
                <w:sz w:val="16"/>
                <w:szCs w:val="16"/>
              </w:rPr>
            </w:pPr>
            <w:r w:rsidRPr="00471CBA">
              <w:rPr>
                <w:b/>
                <w:bCs/>
                <w:sz w:val="16"/>
                <w:szCs w:val="16"/>
              </w:rPr>
              <w:t>-</w:t>
            </w:r>
          </w:p>
        </w:tc>
        <w:tc>
          <w:tcPr>
            <w:tcW w:w="763" w:type="dxa"/>
            <w:tcBorders>
              <w:top w:val="nil"/>
              <w:left w:val="nil"/>
              <w:bottom w:val="nil"/>
              <w:right w:val="nil"/>
            </w:tcBorders>
            <w:vAlign w:val="bottom"/>
            <w:hideMark/>
          </w:tcPr>
          <w:p w14:paraId="55D1A1A4" w14:textId="77777777" w:rsidR="00A74C68" w:rsidRPr="00471CBA" w:rsidRDefault="00A74C68" w:rsidP="00F36B82">
            <w:pPr>
              <w:ind w:right="-45"/>
              <w:jc w:val="right"/>
              <w:rPr>
                <w:b/>
                <w:bCs/>
                <w:sz w:val="16"/>
                <w:szCs w:val="16"/>
              </w:rPr>
            </w:pPr>
            <w:r w:rsidRPr="00471CBA">
              <w:rPr>
                <w:b/>
                <w:bCs/>
                <w:sz w:val="16"/>
                <w:szCs w:val="16"/>
              </w:rPr>
              <w:t>-</w:t>
            </w:r>
          </w:p>
        </w:tc>
        <w:tc>
          <w:tcPr>
            <w:tcW w:w="694" w:type="dxa"/>
            <w:tcBorders>
              <w:top w:val="nil"/>
              <w:left w:val="nil"/>
              <w:bottom w:val="nil"/>
              <w:right w:val="nil"/>
            </w:tcBorders>
            <w:vAlign w:val="bottom"/>
            <w:hideMark/>
          </w:tcPr>
          <w:p w14:paraId="6632EA44" w14:textId="77777777" w:rsidR="00A74C68" w:rsidRPr="00471CBA" w:rsidRDefault="00A74C68" w:rsidP="00F36B82">
            <w:pPr>
              <w:ind w:right="-45"/>
              <w:jc w:val="right"/>
              <w:rPr>
                <w:b/>
                <w:bCs/>
                <w:sz w:val="16"/>
                <w:szCs w:val="16"/>
              </w:rPr>
            </w:pPr>
            <w:r w:rsidRPr="00471CBA">
              <w:rPr>
                <w:b/>
                <w:bCs/>
                <w:sz w:val="16"/>
                <w:szCs w:val="16"/>
              </w:rPr>
              <w:t>-</w:t>
            </w:r>
          </w:p>
        </w:tc>
        <w:tc>
          <w:tcPr>
            <w:tcW w:w="693" w:type="dxa"/>
            <w:tcBorders>
              <w:top w:val="nil"/>
              <w:left w:val="nil"/>
              <w:bottom w:val="nil"/>
              <w:right w:val="nil"/>
            </w:tcBorders>
            <w:vAlign w:val="bottom"/>
            <w:hideMark/>
          </w:tcPr>
          <w:p w14:paraId="4A521CCD" w14:textId="77777777" w:rsidR="00A74C68" w:rsidRPr="00471CBA" w:rsidRDefault="00A74C68" w:rsidP="00F36B82">
            <w:pPr>
              <w:ind w:right="-45"/>
              <w:jc w:val="right"/>
              <w:rPr>
                <w:b/>
                <w:bCs/>
                <w:sz w:val="16"/>
                <w:szCs w:val="16"/>
              </w:rPr>
            </w:pPr>
            <w:r w:rsidRPr="00471CBA">
              <w:rPr>
                <w:b/>
                <w:bCs/>
                <w:sz w:val="16"/>
                <w:szCs w:val="16"/>
              </w:rPr>
              <w:t>-</w:t>
            </w:r>
          </w:p>
        </w:tc>
        <w:tc>
          <w:tcPr>
            <w:tcW w:w="832" w:type="dxa"/>
            <w:tcBorders>
              <w:top w:val="nil"/>
              <w:left w:val="nil"/>
              <w:bottom w:val="nil"/>
              <w:right w:val="nil"/>
            </w:tcBorders>
            <w:vAlign w:val="bottom"/>
            <w:hideMark/>
          </w:tcPr>
          <w:p w14:paraId="4B27C61B" w14:textId="77777777" w:rsidR="00A74C68" w:rsidRPr="00471CBA" w:rsidRDefault="00A74C68" w:rsidP="00F36B82">
            <w:pPr>
              <w:ind w:right="-45"/>
              <w:jc w:val="right"/>
              <w:rPr>
                <w:b/>
                <w:bCs/>
                <w:sz w:val="16"/>
                <w:szCs w:val="16"/>
              </w:rPr>
            </w:pPr>
            <w:r w:rsidRPr="00471CBA">
              <w:rPr>
                <w:b/>
                <w:bCs/>
                <w:sz w:val="16"/>
                <w:szCs w:val="16"/>
              </w:rPr>
              <w:t>-</w:t>
            </w:r>
          </w:p>
        </w:tc>
        <w:tc>
          <w:tcPr>
            <w:tcW w:w="879" w:type="dxa"/>
            <w:tcBorders>
              <w:top w:val="nil"/>
              <w:left w:val="nil"/>
              <w:bottom w:val="nil"/>
              <w:right w:val="nil"/>
            </w:tcBorders>
            <w:vAlign w:val="bottom"/>
            <w:hideMark/>
          </w:tcPr>
          <w:p w14:paraId="4FE7C749" w14:textId="77777777" w:rsidR="00A74C68" w:rsidRPr="00471CBA" w:rsidRDefault="00A74C68" w:rsidP="00F36B82">
            <w:pPr>
              <w:ind w:right="-45"/>
              <w:jc w:val="right"/>
              <w:rPr>
                <w:b/>
                <w:bCs/>
                <w:sz w:val="16"/>
                <w:szCs w:val="16"/>
              </w:rPr>
            </w:pPr>
            <w:r w:rsidRPr="00471CBA">
              <w:rPr>
                <w:b/>
                <w:bCs/>
                <w:sz w:val="16"/>
                <w:szCs w:val="16"/>
              </w:rPr>
              <w:t>-</w:t>
            </w:r>
          </w:p>
        </w:tc>
        <w:tc>
          <w:tcPr>
            <w:tcW w:w="841" w:type="dxa"/>
            <w:tcBorders>
              <w:top w:val="nil"/>
              <w:left w:val="nil"/>
              <w:bottom w:val="nil"/>
              <w:right w:val="nil"/>
            </w:tcBorders>
            <w:vAlign w:val="bottom"/>
            <w:hideMark/>
          </w:tcPr>
          <w:p w14:paraId="09D50E52" w14:textId="77777777" w:rsidR="00A74C68" w:rsidRPr="00471CBA" w:rsidRDefault="00A74C68" w:rsidP="00F36B82">
            <w:pPr>
              <w:ind w:right="-45"/>
              <w:jc w:val="right"/>
              <w:rPr>
                <w:b/>
                <w:bCs/>
                <w:sz w:val="16"/>
                <w:szCs w:val="16"/>
              </w:rPr>
            </w:pPr>
            <w:r w:rsidRPr="00471CBA">
              <w:rPr>
                <w:b/>
                <w:bCs/>
                <w:sz w:val="16"/>
                <w:szCs w:val="16"/>
              </w:rPr>
              <w:t>5.771.878</w:t>
            </w:r>
          </w:p>
        </w:tc>
      </w:tr>
      <w:tr w:rsidR="00A74C68" w:rsidRPr="00471CBA" w14:paraId="2645A548" w14:textId="77777777" w:rsidTr="00A74C68">
        <w:trPr>
          <w:divId w:val="1004547450"/>
          <w:trHeight w:val="113"/>
        </w:trPr>
        <w:tc>
          <w:tcPr>
            <w:tcW w:w="2212" w:type="dxa"/>
            <w:tcBorders>
              <w:top w:val="nil"/>
              <w:left w:val="nil"/>
              <w:bottom w:val="nil"/>
              <w:right w:val="nil"/>
            </w:tcBorders>
            <w:vAlign w:val="bottom"/>
            <w:hideMark/>
          </w:tcPr>
          <w:p w14:paraId="1CB05C63" w14:textId="77777777" w:rsidR="00A74C68" w:rsidRPr="00471CBA" w:rsidRDefault="00A74C68" w:rsidP="00A74C68">
            <w:pPr>
              <w:rPr>
                <w:sz w:val="16"/>
                <w:szCs w:val="16"/>
              </w:rPr>
            </w:pPr>
            <w:r w:rsidRPr="00471CBA">
              <w:rPr>
                <w:sz w:val="16"/>
                <w:szCs w:val="16"/>
              </w:rPr>
              <w:t xml:space="preserve">Yurtiçinde Yer. </w:t>
            </w:r>
            <w:proofErr w:type="spellStart"/>
            <w:r w:rsidRPr="00471CBA">
              <w:rPr>
                <w:sz w:val="16"/>
                <w:szCs w:val="16"/>
              </w:rPr>
              <w:t>Tüz</w:t>
            </w:r>
            <w:proofErr w:type="spellEnd"/>
            <w:r w:rsidRPr="00471CBA">
              <w:rPr>
                <w:sz w:val="16"/>
                <w:szCs w:val="16"/>
              </w:rPr>
              <w:t>. K</w:t>
            </w:r>
          </w:p>
        </w:tc>
        <w:tc>
          <w:tcPr>
            <w:tcW w:w="970" w:type="dxa"/>
            <w:tcBorders>
              <w:top w:val="nil"/>
              <w:left w:val="nil"/>
              <w:bottom w:val="nil"/>
              <w:right w:val="nil"/>
            </w:tcBorders>
            <w:vAlign w:val="bottom"/>
            <w:hideMark/>
          </w:tcPr>
          <w:p w14:paraId="34D51357" w14:textId="77777777" w:rsidR="00A74C68" w:rsidRPr="00471CBA" w:rsidRDefault="00A74C68" w:rsidP="00F36B82">
            <w:pPr>
              <w:ind w:right="-45"/>
              <w:jc w:val="right"/>
              <w:rPr>
                <w:sz w:val="16"/>
                <w:szCs w:val="16"/>
              </w:rPr>
            </w:pPr>
            <w:r w:rsidRPr="00471CBA">
              <w:rPr>
                <w:sz w:val="16"/>
                <w:szCs w:val="16"/>
              </w:rPr>
              <w:t>5.651.910</w:t>
            </w:r>
          </w:p>
        </w:tc>
        <w:tc>
          <w:tcPr>
            <w:tcW w:w="763" w:type="dxa"/>
            <w:tcBorders>
              <w:top w:val="nil"/>
              <w:left w:val="nil"/>
              <w:bottom w:val="nil"/>
              <w:right w:val="nil"/>
            </w:tcBorders>
            <w:vAlign w:val="bottom"/>
            <w:hideMark/>
          </w:tcPr>
          <w:p w14:paraId="6D53AE1F"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3E4BB9F9"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7A2A4FB5" w14:textId="77777777" w:rsidR="00A74C68" w:rsidRPr="00471CBA" w:rsidRDefault="00A74C68" w:rsidP="00F36B82">
            <w:pPr>
              <w:ind w:right="-45"/>
              <w:jc w:val="right"/>
              <w:rPr>
                <w:sz w:val="16"/>
                <w:szCs w:val="16"/>
              </w:rPr>
            </w:pPr>
            <w:r w:rsidRPr="00471CBA">
              <w:rPr>
                <w:sz w:val="16"/>
                <w:szCs w:val="16"/>
              </w:rPr>
              <w:t>-</w:t>
            </w:r>
          </w:p>
        </w:tc>
        <w:tc>
          <w:tcPr>
            <w:tcW w:w="694" w:type="dxa"/>
            <w:tcBorders>
              <w:top w:val="nil"/>
              <w:left w:val="nil"/>
              <w:bottom w:val="nil"/>
              <w:right w:val="nil"/>
            </w:tcBorders>
            <w:vAlign w:val="bottom"/>
            <w:hideMark/>
          </w:tcPr>
          <w:p w14:paraId="4440D32E" w14:textId="77777777" w:rsidR="00A74C68" w:rsidRPr="00471CBA" w:rsidRDefault="00A74C68" w:rsidP="00F36B82">
            <w:pPr>
              <w:ind w:right="-45"/>
              <w:jc w:val="right"/>
              <w:rPr>
                <w:sz w:val="16"/>
                <w:szCs w:val="16"/>
              </w:rPr>
            </w:pPr>
            <w:r w:rsidRPr="00471CBA">
              <w:rPr>
                <w:sz w:val="16"/>
                <w:szCs w:val="16"/>
              </w:rPr>
              <w:t>-</w:t>
            </w:r>
          </w:p>
        </w:tc>
        <w:tc>
          <w:tcPr>
            <w:tcW w:w="693" w:type="dxa"/>
            <w:tcBorders>
              <w:top w:val="nil"/>
              <w:left w:val="nil"/>
              <w:bottom w:val="nil"/>
              <w:right w:val="nil"/>
            </w:tcBorders>
            <w:vAlign w:val="bottom"/>
            <w:hideMark/>
          </w:tcPr>
          <w:p w14:paraId="05F27271" w14:textId="77777777" w:rsidR="00A74C68" w:rsidRPr="00471CBA" w:rsidRDefault="00A74C68" w:rsidP="00F36B82">
            <w:pPr>
              <w:ind w:right="-45"/>
              <w:jc w:val="right"/>
              <w:rPr>
                <w:sz w:val="16"/>
                <w:szCs w:val="16"/>
              </w:rPr>
            </w:pPr>
            <w:r w:rsidRPr="00471CBA">
              <w:rPr>
                <w:sz w:val="16"/>
                <w:szCs w:val="16"/>
              </w:rPr>
              <w:t>-</w:t>
            </w:r>
          </w:p>
        </w:tc>
        <w:tc>
          <w:tcPr>
            <w:tcW w:w="832" w:type="dxa"/>
            <w:tcBorders>
              <w:top w:val="nil"/>
              <w:left w:val="nil"/>
              <w:bottom w:val="nil"/>
              <w:right w:val="nil"/>
            </w:tcBorders>
            <w:vAlign w:val="bottom"/>
            <w:hideMark/>
          </w:tcPr>
          <w:p w14:paraId="411D0DA7" w14:textId="77777777" w:rsidR="00A74C68" w:rsidRPr="00471CBA" w:rsidRDefault="00A74C68" w:rsidP="00F36B82">
            <w:pPr>
              <w:ind w:right="-45"/>
              <w:jc w:val="right"/>
              <w:rPr>
                <w:sz w:val="16"/>
                <w:szCs w:val="16"/>
              </w:rPr>
            </w:pPr>
            <w:r w:rsidRPr="00471CBA">
              <w:rPr>
                <w:sz w:val="16"/>
                <w:szCs w:val="16"/>
              </w:rPr>
              <w:t>-</w:t>
            </w:r>
          </w:p>
        </w:tc>
        <w:tc>
          <w:tcPr>
            <w:tcW w:w="879" w:type="dxa"/>
            <w:tcBorders>
              <w:top w:val="nil"/>
              <w:left w:val="nil"/>
              <w:bottom w:val="nil"/>
              <w:right w:val="nil"/>
            </w:tcBorders>
            <w:vAlign w:val="bottom"/>
            <w:hideMark/>
          </w:tcPr>
          <w:p w14:paraId="12A186C7"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59BC423B" w14:textId="77777777" w:rsidR="00A74C68" w:rsidRPr="00471CBA" w:rsidRDefault="00A74C68" w:rsidP="00F36B82">
            <w:pPr>
              <w:ind w:right="-45"/>
              <w:jc w:val="right"/>
              <w:rPr>
                <w:sz w:val="16"/>
                <w:szCs w:val="16"/>
              </w:rPr>
            </w:pPr>
            <w:r w:rsidRPr="00471CBA">
              <w:rPr>
                <w:sz w:val="16"/>
                <w:szCs w:val="16"/>
              </w:rPr>
              <w:t>5.651.910</w:t>
            </w:r>
          </w:p>
        </w:tc>
      </w:tr>
      <w:tr w:rsidR="00A74C68" w:rsidRPr="00471CBA" w14:paraId="3045AF6A" w14:textId="77777777" w:rsidTr="00A74C68">
        <w:trPr>
          <w:divId w:val="1004547450"/>
          <w:trHeight w:val="113"/>
        </w:trPr>
        <w:tc>
          <w:tcPr>
            <w:tcW w:w="2212" w:type="dxa"/>
            <w:tcBorders>
              <w:top w:val="nil"/>
              <w:left w:val="nil"/>
              <w:bottom w:val="nil"/>
              <w:right w:val="nil"/>
            </w:tcBorders>
            <w:vAlign w:val="bottom"/>
            <w:hideMark/>
          </w:tcPr>
          <w:p w14:paraId="58E27872" w14:textId="77777777" w:rsidR="00A74C68" w:rsidRPr="00471CBA" w:rsidRDefault="00A74C68" w:rsidP="00A74C68">
            <w:pPr>
              <w:rPr>
                <w:sz w:val="16"/>
                <w:szCs w:val="16"/>
              </w:rPr>
            </w:pPr>
            <w:r w:rsidRPr="00471CBA">
              <w:rPr>
                <w:sz w:val="16"/>
                <w:szCs w:val="16"/>
              </w:rPr>
              <w:t xml:space="preserve">Yurtdışında Yer. </w:t>
            </w:r>
            <w:proofErr w:type="spellStart"/>
            <w:r w:rsidRPr="00471CBA">
              <w:rPr>
                <w:sz w:val="16"/>
                <w:szCs w:val="16"/>
              </w:rPr>
              <w:t>Tüz</w:t>
            </w:r>
            <w:proofErr w:type="spellEnd"/>
            <w:r w:rsidRPr="00471CBA">
              <w:rPr>
                <w:sz w:val="16"/>
                <w:szCs w:val="16"/>
              </w:rPr>
              <w:t>. K.</w:t>
            </w:r>
          </w:p>
        </w:tc>
        <w:tc>
          <w:tcPr>
            <w:tcW w:w="970" w:type="dxa"/>
            <w:tcBorders>
              <w:top w:val="nil"/>
              <w:left w:val="nil"/>
              <w:bottom w:val="nil"/>
              <w:right w:val="nil"/>
            </w:tcBorders>
            <w:vAlign w:val="bottom"/>
            <w:hideMark/>
          </w:tcPr>
          <w:p w14:paraId="03339D96" w14:textId="77777777" w:rsidR="00A74C68" w:rsidRPr="00471CBA" w:rsidRDefault="00A74C68" w:rsidP="00F36B82">
            <w:pPr>
              <w:ind w:right="-45"/>
              <w:jc w:val="right"/>
              <w:rPr>
                <w:sz w:val="16"/>
                <w:szCs w:val="16"/>
              </w:rPr>
            </w:pPr>
            <w:r w:rsidRPr="00471CBA">
              <w:rPr>
                <w:sz w:val="16"/>
                <w:szCs w:val="16"/>
              </w:rPr>
              <w:t>119.968</w:t>
            </w:r>
          </w:p>
        </w:tc>
        <w:tc>
          <w:tcPr>
            <w:tcW w:w="763" w:type="dxa"/>
            <w:tcBorders>
              <w:top w:val="nil"/>
              <w:left w:val="nil"/>
              <w:bottom w:val="nil"/>
              <w:right w:val="nil"/>
            </w:tcBorders>
            <w:vAlign w:val="bottom"/>
            <w:hideMark/>
          </w:tcPr>
          <w:p w14:paraId="6E3133BE"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709AFF54"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05421B4D" w14:textId="77777777" w:rsidR="00A74C68" w:rsidRPr="00471CBA" w:rsidRDefault="00A74C68" w:rsidP="00F36B82">
            <w:pPr>
              <w:ind w:right="-45"/>
              <w:jc w:val="right"/>
              <w:rPr>
                <w:sz w:val="16"/>
                <w:szCs w:val="16"/>
              </w:rPr>
            </w:pPr>
            <w:r w:rsidRPr="00471CBA">
              <w:rPr>
                <w:sz w:val="16"/>
                <w:szCs w:val="16"/>
              </w:rPr>
              <w:t>-</w:t>
            </w:r>
          </w:p>
        </w:tc>
        <w:tc>
          <w:tcPr>
            <w:tcW w:w="694" w:type="dxa"/>
            <w:tcBorders>
              <w:top w:val="nil"/>
              <w:left w:val="nil"/>
              <w:bottom w:val="nil"/>
              <w:right w:val="nil"/>
            </w:tcBorders>
            <w:vAlign w:val="bottom"/>
            <w:hideMark/>
          </w:tcPr>
          <w:p w14:paraId="541E0E19" w14:textId="77777777" w:rsidR="00A74C68" w:rsidRPr="00471CBA" w:rsidRDefault="00A74C68" w:rsidP="00F36B82">
            <w:pPr>
              <w:ind w:right="-45"/>
              <w:jc w:val="right"/>
              <w:rPr>
                <w:sz w:val="16"/>
                <w:szCs w:val="16"/>
              </w:rPr>
            </w:pPr>
            <w:r w:rsidRPr="00471CBA">
              <w:rPr>
                <w:sz w:val="16"/>
                <w:szCs w:val="16"/>
              </w:rPr>
              <w:t>-</w:t>
            </w:r>
          </w:p>
        </w:tc>
        <w:tc>
          <w:tcPr>
            <w:tcW w:w="693" w:type="dxa"/>
            <w:tcBorders>
              <w:top w:val="nil"/>
              <w:left w:val="nil"/>
              <w:bottom w:val="nil"/>
              <w:right w:val="nil"/>
            </w:tcBorders>
            <w:vAlign w:val="bottom"/>
            <w:hideMark/>
          </w:tcPr>
          <w:p w14:paraId="200FA69B" w14:textId="77777777" w:rsidR="00A74C68" w:rsidRPr="00471CBA" w:rsidRDefault="00A74C68" w:rsidP="00F36B82">
            <w:pPr>
              <w:ind w:right="-45"/>
              <w:jc w:val="right"/>
              <w:rPr>
                <w:sz w:val="16"/>
                <w:szCs w:val="16"/>
              </w:rPr>
            </w:pPr>
            <w:r w:rsidRPr="00471CBA">
              <w:rPr>
                <w:sz w:val="16"/>
                <w:szCs w:val="16"/>
              </w:rPr>
              <w:t>-</w:t>
            </w:r>
          </w:p>
        </w:tc>
        <w:tc>
          <w:tcPr>
            <w:tcW w:w="832" w:type="dxa"/>
            <w:tcBorders>
              <w:top w:val="nil"/>
              <w:left w:val="nil"/>
              <w:bottom w:val="nil"/>
              <w:right w:val="nil"/>
            </w:tcBorders>
            <w:vAlign w:val="bottom"/>
            <w:hideMark/>
          </w:tcPr>
          <w:p w14:paraId="137753C4" w14:textId="77777777" w:rsidR="00A74C68" w:rsidRPr="00471CBA" w:rsidRDefault="00A74C68" w:rsidP="00F36B82">
            <w:pPr>
              <w:ind w:right="-45"/>
              <w:jc w:val="right"/>
              <w:rPr>
                <w:sz w:val="16"/>
                <w:szCs w:val="16"/>
              </w:rPr>
            </w:pPr>
            <w:r w:rsidRPr="00471CBA">
              <w:rPr>
                <w:sz w:val="16"/>
                <w:szCs w:val="16"/>
              </w:rPr>
              <w:t>-</w:t>
            </w:r>
          </w:p>
        </w:tc>
        <w:tc>
          <w:tcPr>
            <w:tcW w:w="879" w:type="dxa"/>
            <w:tcBorders>
              <w:top w:val="nil"/>
              <w:left w:val="nil"/>
              <w:bottom w:val="nil"/>
              <w:right w:val="nil"/>
            </w:tcBorders>
            <w:vAlign w:val="bottom"/>
            <w:hideMark/>
          </w:tcPr>
          <w:p w14:paraId="63D5364E"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05913FB5" w14:textId="77777777" w:rsidR="00A74C68" w:rsidRPr="00471CBA" w:rsidRDefault="00A74C68" w:rsidP="00F36B82">
            <w:pPr>
              <w:ind w:right="-45"/>
              <w:jc w:val="right"/>
              <w:rPr>
                <w:sz w:val="16"/>
                <w:szCs w:val="16"/>
              </w:rPr>
            </w:pPr>
            <w:r w:rsidRPr="00471CBA">
              <w:rPr>
                <w:sz w:val="16"/>
                <w:szCs w:val="16"/>
              </w:rPr>
              <w:t>119.968</w:t>
            </w:r>
          </w:p>
        </w:tc>
      </w:tr>
      <w:tr w:rsidR="00A74C68" w:rsidRPr="00471CBA" w14:paraId="32FA65CF" w14:textId="77777777" w:rsidTr="00A74C68">
        <w:trPr>
          <w:divId w:val="1004547450"/>
          <w:trHeight w:val="113"/>
        </w:trPr>
        <w:tc>
          <w:tcPr>
            <w:tcW w:w="2212" w:type="dxa"/>
            <w:tcBorders>
              <w:top w:val="nil"/>
              <w:left w:val="nil"/>
              <w:bottom w:val="nil"/>
              <w:right w:val="nil"/>
            </w:tcBorders>
            <w:vAlign w:val="bottom"/>
            <w:hideMark/>
          </w:tcPr>
          <w:p w14:paraId="7C6732DF" w14:textId="77777777" w:rsidR="00A74C68" w:rsidRPr="00471CBA" w:rsidRDefault="00A74C68" w:rsidP="00A74C68">
            <w:pPr>
              <w:rPr>
                <w:sz w:val="16"/>
                <w:szCs w:val="16"/>
              </w:rPr>
            </w:pPr>
            <w:r w:rsidRPr="00471CBA">
              <w:rPr>
                <w:sz w:val="16"/>
                <w:szCs w:val="16"/>
              </w:rPr>
              <w:t>Bankalar ve Katılım Bankaları</w:t>
            </w:r>
          </w:p>
        </w:tc>
        <w:tc>
          <w:tcPr>
            <w:tcW w:w="970" w:type="dxa"/>
            <w:tcBorders>
              <w:top w:val="nil"/>
              <w:left w:val="nil"/>
              <w:bottom w:val="nil"/>
              <w:right w:val="nil"/>
            </w:tcBorders>
            <w:vAlign w:val="bottom"/>
            <w:hideMark/>
          </w:tcPr>
          <w:p w14:paraId="1E178C26"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08686074"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27490308"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370608EC" w14:textId="77777777" w:rsidR="00A74C68" w:rsidRPr="00471CBA" w:rsidRDefault="00A74C68" w:rsidP="00F36B82">
            <w:pPr>
              <w:ind w:right="-45"/>
              <w:jc w:val="right"/>
              <w:rPr>
                <w:sz w:val="16"/>
                <w:szCs w:val="16"/>
              </w:rPr>
            </w:pPr>
            <w:r w:rsidRPr="00471CBA">
              <w:rPr>
                <w:sz w:val="16"/>
                <w:szCs w:val="16"/>
              </w:rPr>
              <w:t>-</w:t>
            </w:r>
          </w:p>
        </w:tc>
        <w:tc>
          <w:tcPr>
            <w:tcW w:w="694" w:type="dxa"/>
            <w:tcBorders>
              <w:top w:val="nil"/>
              <w:left w:val="nil"/>
              <w:bottom w:val="nil"/>
              <w:right w:val="nil"/>
            </w:tcBorders>
            <w:vAlign w:val="bottom"/>
            <w:hideMark/>
          </w:tcPr>
          <w:p w14:paraId="7D91165B" w14:textId="77777777" w:rsidR="00A74C68" w:rsidRPr="00471CBA" w:rsidRDefault="00A74C68" w:rsidP="00F36B82">
            <w:pPr>
              <w:ind w:right="-45"/>
              <w:jc w:val="right"/>
              <w:rPr>
                <w:sz w:val="16"/>
                <w:szCs w:val="16"/>
              </w:rPr>
            </w:pPr>
            <w:r w:rsidRPr="00471CBA">
              <w:rPr>
                <w:sz w:val="16"/>
                <w:szCs w:val="16"/>
              </w:rPr>
              <w:t>-</w:t>
            </w:r>
          </w:p>
        </w:tc>
        <w:tc>
          <w:tcPr>
            <w:tcW w:w="693" w:type="dxa"/>
            <w:tcBorders>
              <w:top w:val="nil"/>
              <w:left w:val="nil"/>
              <w:bottom w:val="nil"/>
              <w:right w:val="nil"/>
            </w:tcBorders>
            <w:vAlign w:val="bottom"/>
            <w:hideMark/>
          </w:tcPr>
          <w:p w14:paraId="42138BFB" w14:textId="77777777" w:rsidR="00A74C68" w:rsidRPr="00471CBA" w:rsidRDefault="00A74C68" w:rsidP="00F36B82">
            <w:pPr>
              <w:ind w:right="-45"/>
              <w:jc w:val="right"/>
              <w:rPr>
                <w:sz w:val="16"/>
                <w:szCs w:val="16"/>
              </w:rPr>
            </w:pPr>
            <w:r w:rsidRPr="00471CBA">
              <w:rPr>
                <w:sz w:val="16"/>
                <w:szCs w:val="16"/>
              </w:rPr>
              <w:t>-</w:t>
            </w:r>
          </w:p>
        </w:tc>
        <w:tc>
          <w:tcPr>
            <w:tcW w:w="832" w:type="dxa"/>
            <w:tcBorders>
              <w:top w:val="nil"/>
              <w:left w:val="nil"/>
              <w:bottom w:val="nil"/>
              <w:right w:val="nil"/>
            </w:tcBorders>
            <w:vAlign w:val="bottom"/>
            <w:hideMark/>
          </w:tcPr>
          <w:p w14:paraId="02EDFDD2" w14:textId="77777777" w:rsidR="00A74C68" w:rsidRPr="00471CBA" w:rsidRDefault="00A74C68" w:rsidP="00F36B82">
            <w:pPr>
              <w:ind w:right="-45"/>
              <w:jc w:val="right"/>
              <w:rPr>
                <w:sz w:val="16"/>
                <w:szCs w:val="16"/>
              </w:rPr>
            </w:pPr>
            <w:r w:rsidRPr="00471CBA">
              <w:rPr>
                <w:sz w:val="16"/>
                <w:szCs w:val="16"/>
              </w:rPr>
              <w:t>-</w:t>
            </w:r>
          </w:p>
        </w:tc>
        <w:tc>
          <w:tcPr>
            <w:tcW w:w="879" w:type="dxa"/>
            <w:tcBorders>
              <w:top w:val="nil"/>
              <w:left w:val="nil"/>
              <w:bottom w:val="nil"/>
              <w:right w:val="nil"/>
            </w:tcBorders>
            <w:vAlign w:val="bottom"/>
            <w:hideMark/>
          </w:tcPr>
          <w:p w14:paraId="7F2F0866"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4A622A37" w14:textId="77777777" w:rsidR="00A74C68" w:rsidRPr="00471CBA" w:rsidRDefault="00A74C68" w:rsidP="00F36B82">
            <w:pPr>
              <w:ind w:right="-45"/>
              <w:jc w:val="right"/>
              <w:rPr>
                <w:sz w:val="16"/>
                <w:szCs w:val="16"/>
              </w:rPr>
            </w:pPr>
            <w:r w:rsidRPr="00471CBA">
              <w:rPr>
                <w:sz w:val="16"/>
                <w:szCs w:val="16"/>
              </w:rPr>
              <w:t>-</w:t>
            </w:r>
          </w:p>
        </w:tc>
      </w:tr>
      <w:tr w:rsidR="00A74C68" w:rsidRPr="00471CBA" w14:paraId="0EA0FD6E" w14:textId="77777777" w:rsidTr="00A74C68">
        <w:trPr>
          <w:divId w:val="1004547450"/>
          <w:trHeight w:val="113"/>
        </w:trPr>
        <w:tc>
          <w:tcPr>
            <w:tcW w:w="2212" w:type="dxa"/>
            <w:tcBorders>
              <w:top w:val="nil"/>
              <w:left w:val="nil"/>
              <w:bottom w:val="nil"/>
              <w:right w:val="nil"/>
            </w:tcBorders>
            <w:vAlign w:val="bottom"/>
            <w:hideMark/>
          </w:tcPr>
          <w:p w14:paraId="4B208A45" w14:textId="77777777" w:rsidR="00A74C68" w:rsidRPr="00471CBA" w:rsidRDefault="00A74C68" w:rsidP="00A74C68">
            <w:pPr>
              <w:rPr>
                <w:sz w:val="16"/>
                <w:szCs w:val="16"/>
              </w:rPr>
            </w:pPr>
            <w:r w:rsidRPr="00471CBA">
              <w:rPr>
                <w:sz w:val="16"/>
                <w:szCs w:val="16"/>
              </w:rPr>
              <w:t>TCMB</w:t>
            </w:r>
          </w:p>
        </w:tc>
        <w:tc>
          <w:tcPr>
            <w:tcW w:w="970" w:type="dxa"/>
            <w:tcBorders>
              <w:top w:val="nil"/>
              <w:left w:val="nil"/>
              <w:bottom w:val="nil"/>
              <w:right w:val="nil"/>
            </w:tcBorders>
            <w:vAlign w:val="bottom"/>
            <w:hideMark/>
          </w:tcPr>
          <w:p w14:paraId="3A654B43"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5B052D25"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70A1BC2E"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07BD2574" w14:textId="77777777" w:rsidR="00A74C68" w:rsidRPr="00471CBA" w:rsidRDefault="00A74C68" w:rsidP="00F36B82">
            <w:pPr>
              <w:ind w:right="-45"/>
              <w:jc w:val="right"/>
              <w:rPr>
                <w:sz w:val="16"/>
                <w:szCs w:val="16"/>
              </w:rPr>
            </w:pPr>
            <w:r w:rsidRPr="00471CBA">
              <w:rPr>
                <w:sz w:val="16"/>
                <w:szCs w:val="16"/>
              </w:rPr>
              <w:t>-</w:t>
            </w:r>
          </w:p>
        </w:tc>
        <w:tc>
          <w:tcPr>
            <w:tcW w:w="694" w:type="dxa"/>
            <w:tcBorders>
              <w:top w:val="nil"/>
              <w:left w:val="nil"/>
              <w:bottom w:val="nil"/>
              <w:right w:val="nil"/>
            </w:tcBorders>
            <w:vAlign w:val="bottom"/>
            <w:hideMark/>
          </w:tcPr>
          <w:p w14:paraId="7E52869D" w14:textId="77777777" w:rsidR="00A74C68" w:rsidRPr="00471CBA" w:rsidRDefault="00A74C68" w:rsidP="00F36B82">
            <w:pPr>
              <w:ind w:right="-45"/>
              <w:jc w:val="right"/>
              <w:rPr>
                <w:sz w:val="16"/>
                <w:szCs w:val="16"/>
              </w:rPr>
            </w:pPr>
            <w:r w:rsidRPr="00471CBA">
              <w:rPr>
                <w:sz w:val="16"/>
                <w:szCs w:val="16"/>
              </w:rPr>
              <w:t>-</w:t>
            </w:r>
          </w:p>
        </w:tc>
        <w:tc>
          <w:tcPr>
            <w:tcW w:w="693" w:type="dxa"/>
            <w:tcBorders>
              <w:top w:val="nil"/>
              <w:left w:val="nil"/>
              <w:bottom w:val="nil"/>
              <w:right w:val="nil"/>
            </w:tcBorders>
            <w:vAlign w:val="bottom"/>
            <w:hideMark/>
          </w:tcPr>
          <w:p w14:paraId="3F032D12" w14:textId="77777777" w:rsidR="00A74C68" w:rsidRPr="00471CBA" w:rsidRDefault="00A74C68" w:rsidP="00F36B82">
            <w:pPr>
              <w:ind w:right="-45"/>
              <w:jc w:val="right"/>
              <w:rPr>
                <w:sz w:val="16"/>
                <w:szCs w:val="16"/>
              </w:rPr>
            </w:pPr>
            <w:r w:rsidRPr="00471CBA">
              <w:rPr>
                <w:sz w:val="16"/>
                <w:szCs w:val="16"/>
              </w:rPr>
              <w:t>-</w:t>
            </w:r>
          </w:p>
        </w:tc>
        <w:tc>
          <w:tcPr>
            <w:tcW w:w="832" w:type="dxa"/>
            <w:tcBorders>
              <w:top w:val="nil"/>
              <w:left w:val="nil"/>
              <w:bottom w:val="nil"/>
              <w:right w:val="nil"/>
            </w:tcBorders>
            <w:vAlign w:val="bottom"/>
            <w:hideMark/>
          </w:tcPr>
          <w:p w14:paraId="77E4E513" w14:textId="77777777" w:rsidR="00A74C68" w:rsidRPr="00471CBA" w:rsidRDefault="00A74C68" w:rsidP="00F36B82">
            <w:pPr>
              <w:ind w:right="-45"/>
              <w:jc w:val="right"/>
              <w:rPr>
                <w:sz w:val="16"/>
                <w:szCs w:val="16"/>
              </w:rPr>
            </w:pPr>
            <w:r w:rsidRPr="00471CBA">
              <w:rPr>
                <w:sz w:val="16"/>
                <w:szCs w:val="16"/>
              </w:rPr>
              <w:t>-</w:t>
            </w:r>
          </w:p>
        </w:tc>
        <w:tc>
          <w:tcPr>
            <w:tcW w:w="879" w:type="dxa"/>
            <w:tcBorders>
              <w:top w:val="nil"/>
              <w:left w:val="nil"/>
              <w:bottom w:val="nil"/>
              <w:right w:val="nil"/>
            </w:tcBorders>
            <w:vAlign w:val="bottom"/>
            <w:hideMark/>
          </w:tcPr>
          <w:p w14:paraId="23350C6E"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452A9B9F" w14:textId="77777777" w:rsidR="00A74C68" w:rsidRPr="00471CBA" w:rsidRDefault="00A74C68" w:rsidP="00F36B82">
            <w:pPr>
              <w:ind w:right="-45"/>
              <w:jc w:val="right"/>
              <w:rPr>
                <w:sz w:val="16"/>
                <w:szCs w:val="16"/>
              </w:rPr>
            </w:pPr>
            <w:r w:rsidRPr="00471CBA">
              <w:rPr>
                <w:sz w:val="16"/>
                <w:szCs w:val="16"/>
              </w:rPr>
              <w:t>-</w:t>
            </w:r>
          </w:p>
        </w:tc>
      </w:tr>
      <w:tr w:rsidR="00A74C68" w:rsidRPr="00471CBA" w14:paraId="3ADE2550" w14:textId="77777777" w:rsidTr="00A74C68">
        <w:trPr>
          <w:divId w:val="1004547450"/>
          <w:trHeight w:val="113"/>
        </w:trPr>
        <w:tc>
          <w:tcPr>
            <w:tcW w:w="2212" w:type="dxa"/>
            <w:tcBorders>
              <w:top w:val="nil"/>
              <w:left w:val="nil"/>
              <w:bottom w:val="nil"/>
              <w:right w:val="nil"/>
            </w:tcBorders>
            <w:vAlign w:val="bottom"/>
            <w:hideMark/>
          </w:tcPr>
          <w:p w14:paraId="51271032" w14:textId="77777777" w:rsidR="00A74C68" w:rsidRPr="00471CBA" w:rsidRDefault="00A74C68" w:rsidP="00A74C68">
            <w:pPr>
              <w:rPr>
                <w:sz w:val="16"/>
                <w:szCs w:val="16"/>
              </w:rPr>
            </w:pPr>
            <w:r w:rsidRPr="00471CBA">
              <w:rPr>
                <w:sz w:val="16"/>
                <w:szCs w:val="16"/>
              </w:rPr>
              <w:t>Yurtiçi Bankalar</w:t>
            </w:r>
          </w:p>
        </w:tc>
        <w:tc>
          <w:tcPr>
            <w:tcW w:w="970" w:type="dxa"/>
            <w:tcBorders>
              <w:top w:val="nil"/>
              <w:left w:val="nil"/>
              <w:bottom w:val="nil"/>
              <w:right w:val="nil"/>
            </w:tcBorders>
            <w:vAlign w:val="bottom"/>
            <w:hideMark/>
          </w:tcPr>
          <w:p w14:paraId="62A52095"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73DFECD6"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708DBF7B"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08F7C7B3" w14:textId="77777777" w:rsidR="00A74C68" w:rsidRPr="00471CBA" w:rsidRDefault="00A74C68" w:rsidP="00F36B82">
            <w:pPr>
              <w:ind w:right="-45"/>
              <w:jc w:val="right"/>
              <w:rPr>
                <w:sz w:val="16"/>
                <w:szCs w:val="16"/>
              </w:rPr>
            </w:pPr>
            <w:r w:rsidRPr="00471CBA">
              <w:rPr>
                <w:sz w:val="16"/>
                <w:szCs w:val="16"/>
              </w:rPr>
              <w:t>-</w:t>
            </w:r>
          </w:p>
        </w:tc>
        <w:tc>
          <w:tcPr>
            <w:tcW w:w="694" w:type="dxa"/>
            <w:tcBorders>
              <w:top w:val="nil"/>
              <w:left w:val="nil"/>
              <w:bottom w:val="nil"/>
              <w:right w:val="nil"/>
            </w:tcBorders>
            <w:vAlign w:val="bottom"/>
            <w:hideMark/>
          </w:tcPr>
          <w:p w14:paraId="24B4D4CD" w14:textId="77777777" w:rsidR="00A74C68" w:rsidRPr="00471CBA" w:rsidRDefault="00A74C68" w:rsidP="00F36B82">
            <w:pPr>
              <w:ind w:right="-45"/>
              <w:jc w:val="right"/>
              <w:rPr>
                <w:sz w:val="16"/>
                <w:szCs w:val="16"/>
              </w:rPr>
            </w:pPr>
            <w:r w:rsidRPr="00471CBA">
              <w:rPr>
                <w:sz w:val="16"/>
                <w:szCs w:val="16"/>
              </w:rPr>
              <w:t>-</w:t>
            </w:r>
          </w:p>
        </w:tc>
        <w:tc>
          <w:tcPr>
            <w:tcW w:w="693" w:type="dxa"/>
            <w:tcBorders>
              <w:top w:val="nil"/>
              <w:left w:val="nil"/>
              <w:bottom w:val="nil"/>
              <w:right w:val="nil"/>
            </w:tcBorders>
            <w:vAlign w:val="bottom"/>
            <w:hideMark/>
          </w:tcPr>
          <w:p w14:paraId="48548DD8" w14:textId="77777777" w:rsidR="00A74C68" w:rsidRPr="00471CBA" w:rsidRDefault="00A74C68" w:rsidP="00F36B82">
            <w:pPr>
              <w:ind w:right="-45"/>
              <w:jc w:val="right"/>
              <w:rPr>
                <w:sz w:val="16"/>
                <w:szCs w:val="16"/>
              </w:rPr>
            </w:pPr>
            <w:r w:rsidRPr="00471CBA">
              <w:rPr>
                <w:sz w:val="16"/>
                <w:szCs w:val="16"/>
              </w:rPr>
              <w:t>-</w:t>
            </w:r>
          </w:p>
        </w:tc>
        <w:tc>
          <w:tcPr>
            <w:tcW w:w="832" w:type="dxa"/>
            <w:tcBorders>
              <w:top w:val="nil"/>
              <w:left w:val="nil"/>
              <w:bottom w:val="nil"/>
              <w:right w:val="nil"/>
            </w:tcBorders>
            <w:vAlign w:val="bottom"/>
            <w:hideMark/>
          </w:tcPr>
          <w:p w14:paraId="6ED27B58" w14:textId="77777777" w:rsidR="00A74C68" w:rsidRPr="00471CBA" w:rsidRDefault="00A74C68" w:rsidP="00F36B82">
            <w:pPr>
              <w:ind w:right="-45"/>
              <w:jc w:val="right"/>
              <w:rPr>
                <w:sz w:val="16"/>
                <w:szCs w:val="16"/>
              </w:rPr>
            </w:pPr>
            <w:r w:rsidRPr="00471CBA">
              <w:rPr>
                <w:sz w:val="16"/>
                <w:szCs w:val="16"/>
              </w:rPr>
              <w:t>-</w:t>
            </w:r>
          </w:p>
        </w:tc>
        <w:tc>
          <w:tcPr>
            <w:tcW w:w="879" w:type="dxa"/>
            <w:tcBorders>
              <w:top w:val="nil"/>
              <w:left w:val="nil"/>
              <w:bottom w:val="nil"/>
              <w:right w:val="nil"/>
            </w:tcBorders>
            <w:vAlign w:val="bottom"/>
            <w:hideMark/>
          </w:tcPr>
          <w:p w14:paraId="1BD2E40B"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04834441" w14:textId="77777777" w:rsidR="00A74C68" w:rsidRPr="00471CBA" w:rsidRDefault="00A74C68" w:rsidP="00F36B82">
            <w:pPr>
              <w:ind w:right="-45"/>
              <w:jc w:val="right"/>
              <w:rPr>
                <w:sz w:val="16"/>
                <w:szCs w:val="16"/>
              </w:rPr>
            </w:pPr>
            <w:r w:rsidRPr="00471CBA">
              <w:rPr>
                <w:sz w:val="16"/>
                <w:szCs w:val="16"/>
              </w:rPr>
              <w:t>-</w:t>
            </w:r>
          </w:p>
        </w:tc>
      </w:tr>
      <w:tr w:rsidR="00A74C68" w:rsidRPr="00471CBA" w14:paraId="02785B5E" w14:textId="77777777" w:rsidTr="00A74C68">
        <w:trPr>
          <w:divId w:val="1004547450"/>
          <w:trHeight w:val="113"/>
        </w:trPr>
        <w:tc>
          <w:tcPr>
            <w:tcW w:w="2212" w:type="dxa"/>
            <w:tcBorders>
              <w:top w:val="nil"/>
              <w:left w:val="nil"/>
              <w:bottom w:val="nil"/>
              <w:right w:val="nil"/>
            </w:tcBorders>
            <w:vAlign w:val="bottom"/>
            <w:hideMark/>
          </w:tcPr>
          <w:p w14:paraId="774A54A3" w14:textId="77777777" w:rsidR="00A74C68" w:rsidRPr="00471CBA" w:rsidRDefault="00A74C68" w:rsidP="00A74C68">
            <w:pPr>
              <w:rPr>
                <w:sz w:val="16"/>
                <w:szCs w:val="16"/>
              </w:rPr>
            </w:pPr>
            <w:r w:rsidRPr="00471CBA">
              <w:rPr>
                <w:sz w:val="16"/>
                <w:szCs w:val="16"/>
              </w:rPr>
              <w:t>Yurtdışı Bankalar</w:t>
            </w:r>
          </w:p>
        </w:tc>
        <w:tc>
          <w:tcPr>
            <w:tcW w:w="970" w:type="dxa"/>
            <w:tcBorders>
              <w:top w:val="nil"/>
              <w:left w:val="nil"/>
              <w:bottom w:val="nil"/>
              <w:right w:val="nil"/>
            </w:tcBorders>
            <w:vAlign w:val="bottom"/>
            <w:hideMark/>
          </w:tcPr>
          <w:p w14:paraId="799DE49A"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3957DDA9"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7ADF5DA7"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6618D7E3" w14:textId="77777777" w:rsidR="00A74C68" w:rsidRPr="00471CBA" w:rsidRDefault="00A74C68" w:rsidP="00F36B82">
            <w:pPr>
              <w:ind w:right="-45"/>
              <w:jc w:val="right"/>
              <w:rPr>
                <w:sz w:val="16"/>
                <w:szCs w:val="16"/>
              </w:rPr>
            </w:pPr>
            <w:r w:rsidRPr="00471CBA">
              <w:rPr>
                <w:sz w:val="16"/>
                <w:szCs w:val="16"/>
              </w:rPr>
              <w:t>-</w:t>
            </w:r>
          </w:p>
        </w:tc>
        <w:tc>
          <w:tcPr>
            <w:tcW w:w="694" w:type="dxa"/>
            <w:tcBorders>
              <w:top w:val="nil"/>
              <w:left w:val="nil"/>
              <w:bottom w:val="nil"/>
              <w:right w:val="nil"/>
            </w:tcBorders>
            <w:vAlign w:val="bottom"/>
            <w:hideMark/>
          </w:tcPr>
          <w:p w14:paraId="621F01FE" w14:textId="77777777" w:rsidR="00A74C68" w:rsidRPr="00471CBA" w:rsidRDefault="00A74C68" w:rsidP="00F36B82">
            <w:pPr>
              <w:ind w:right="-45"/>
              <w:jc w:val="right"/>
              <w:rPr>
                <w:sz w:val="16"/>
                <w:szCs w:val="16"/>
              </w:rPr>
            </w:pPr>
            <w:r w:rsidRPr="00471CBA">
              <w:rPr>
                <w:sz w:val="16"/>
                <w:szCs w:val="16"/>
              </w:rPr>
              <w:t>-</w:t>
            </w:r>
          </w:p>
        </w:tc>
        <w:tc>
          <w:tcPr>
            <w:tcW w:w="693" w:type="dxa"/>
            <w:tcBorders>
              <w:top w:val="nil"/>
              <w:left w:val="nil"/>
              <w:bottom w:val="nil"/>
              <w:right w:val="nil"/>
            </w:tcBorders>
            <w:vAlign w:val="bottom"/>
            <w:hideMark/>
          </w:tcPr>
          <w:p w14:paraId="5A9C6801" w14:textId="77777777" w:rsidR="00A74C68" w:rsidRPr="00471CBA" w:rsidRDefault="00A74C68" w:rsidP="00F36B82">
            <w:pPr>
              <w:ind w:right="-45"/>
              <w:jc w:val="right"/>
              <w:rPr>
                <w:sz w:val="16"/>
                <w:szCs w:val="16"/>
              </w:rPr>
            </w:pPr>
            <w:r w:rsidRPr="00471CBA">
              <w:rPr>
                <w:sz w:val="16"/>
                <w:szCs w:val="16"/>
              </w:rPr>
              <w:t>-</w:t>
            </w:r>
          </w:p>
        </w:tc>
        <w:tc>
          <w:tcPr>
            <w:tcW w:w="832" w:type="dxa"/>
            <w:tcBorders>
              <w:top w:val="nil"/>
              <w:left w:val="nil"/>
              <w:bottom w:val="nil"/>
              <w:right w:val="nil"/>
            </w:tcBorders>
            <w:vAlign w:val="bottom"/>
            <w:hideMark/>
          </w:tcPr>
          <w:p w14:paraId="3D4EDC6F" w14:textId="77777777" w:rsidR="00A74C68" w:rsidRPr="00471CBA" w:rsidRDefault="00A74C68" w:rsidP="00F36B82">
            <w:pPr>
              <w:ind w:right="-45"/>
              <w:jc w:val="right"/>
              <w:rPr>
                <w:sz w:val="16"/>
                <w:szCs w:val="16"/>
              </w:rPr>
            </w:pPr>
            <w:r w:rsidRPr="00471CBA">
              <w:rPr>
                <w:sz w:val="16"/>
                <w:szCs w:val="16"/>
              </w:rPr>
              <w:t>-</w:t>
            </w:r>
          </w:p>
        </w:tc>
        <w:tc>
          <w:tcPr>
            <w:tcW w:w="879" w:type="dxa"/>
            <w:tcBorders>
              <w:top w:val="nil"/>
              <w:left w:val="nil"/>
              <w:bottom w:val="nil"/>
              <w:right w:val="nil"/>
            </w:tcBorders>
            <w:vAlign w:val="bottom"/>
            <w:hideMark/>
          </w:tcPr>
          <w:p w14:paraId="156B61A6"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538DD02E" w14:textId="77777777" w:rsidR="00A74C68" w:rsidRPr="00471CBA" w:rsidRDefault="00A74C68" w:rsidP="00F36B82">
            <w:pPr>
              <w:ind w:right="-45"/>
              <w:jc w:val="right"/>
              <w:rPr>
                <w:sz w:val="16"/>
                <w:szCs w:val="16"/>
              </w:rPr>
            </w:pPr>
            <w:r w:rsidRPr="00471CBA">
              <w:rPr>
                <w:sz w:val="16"/>
                <w:szCs w:val="16"/>
              </w:rPr>
              <w:t>-</w:t>
            </w:r>
          </w:p>
        </w:tc>
      </w:tr>
      <w:tr w:rsidR="00A74C68" w:rsidRPr="00471CBA" w14:paraId="4BF6246B" w14:textId="77777777" w:rsidTr="00A74C68">
        <w:trPr>
          <w:divId w:val="1004547450"/>
          <w:trHeight w:val="113"/>
        </w:trPr>
        <w:tc>
          <w:tcPr>
            <w:tcW w:w="2212" w:type="dxa"/>
            <w:tcBorders>
              <w:top w:val="nil"/>
              <w:left w:val="nil"/>
              <w:bottom w:val="nil"/>
              <w:right w:val="nil"/>
            </w:tcBorders>
            <w:vAlign w:val="bottom"/>
            <w:hideMark/>
          </w:tcPr>
          <w:p w14:paraId="5E55D2C7" w14:textId="77777777" w:rsidR="00A74C68" w:rsidRPr="00471CBA" w:rsidRDefault="00A74C68" w:rsidP="00A74C68">
            <w:pPr>
              <w:rPr>
                <w:sz w:val="16"/>
                <w:szCs w:val="16"/>
              </w:rPr>
            </w:pPr>
            <w:r w:rsidRPr="00471CBA">
              <w:rPr>
                <w:sz w:val="16"/>
                <w:szCs w:val="16"/>
              </w:rPr>
              <w:t>Katılım Bankası</w:t>
            </w:r>
          </w:p>
        </w:tc>
        <w:tc>
          <w:tcPr>
            <w:tcW w:w="970" w:type="dxa"/>
            <w:tcBorders>
              <w:top w:val="nil"/>
              <w:left w:val="nil"/>
              <w:bottom w:val="nil"/>
              <w:right w:val="nil"/>
            </w:tcBorders>
            <w:vAlign w:val="bottom"/>
            <w:hideMark/>
          </w:tcPr>
          <w:p w14:paraId="1D840DE4"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6E159607"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4D297F35"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4C01E70D" w14:textId="77777777" w:rsidR="00A74C68" w:rsidRPr="00471CBA" w:rsidRDefault="00A74C68" w:rsidP="00F36B82">
            <w:pPr>
              <w:ind w:right="-45"/>
              <w:jc w:val="right"/>
              <w:rPr>
                <w:sz w:val="16"/>
                <w:szCs w:val="16"/>
              </w:rPr>
            </w:pPr>
            <w:r w:rsidRPr="00471CBA">
              <w:rPr>
                <w:sz w:val="16"/>
                <w:szCs w:val="16"/>
              </w:rPr>
              <w:t>-</w:t>
            </w:r>
          </w:p>
        </w:tc>
        <w:tc>
          <w:tcPr>
            <w:tcW w:w="694" w:type="dxa"/>
            <w:tcBorders>
              <w:top w:val="nil"/>
              <w:left w:val="nil"/>
              <w:bottom w:val="nil"/>
              <w:right w:val="nil"/>
            </w:tcBorders>
            <w:vAlign w:val="bottom"/>
            <w:hideMark/>
          </w:tcPr>
          <w:p w14:paraId="0009AC8D" w14:textId="77777777" w:rsidR="00A74C68" w:rsidRPr="00471CBA" w:rsidRDefault="00A74C68" w:rsidP="00F36B82">
            <w:pPr>
              <w:ind w:right="-45"/>
              <w:jc w:val="right"/>
              <w:rPr>
                <w:sz w:val="16"/>
                <w:szCs w:val="16"/>
              </w:rPr>
            </w:pPr>
            <w:r w:rsidRPr="00471CBA">
              <w:rPr>
                <w:sz w:val="16"/>
                <w:szCs w:val="16"/>
              </w:rPr>
              <w:t>-</w:t>
            </w:r>
          </w:p>
        </w:tc>
        <w:tc>
          <w:tcPr>
            <w:tcW w:w="693" w:type="dxa"/>
            <w:tcBorders>
              <w:top w:val="nil"/>
              <w:left w:val="nil"/>
              <w:bottom w:val="nil"/>
              <w:right w:val="nil"/>
            </w:tcBorders>
            <w:vAlign w:val="bottom"/>
            <w:hideMark/>
          </w:tcPr>
          <w:p w14:paraId="0E2D5400" w14:textId="77777777" w:rsidR="00A74C68" w:rsidRPr="00471CBA" w:rsidRDefault="00A74C68" w:rsidP="00F36B82">
            <w:pPr>
              <w:ind w:right="-45"/>
              <w:jc w:val="right"/>
              <w:rPr>
                <w:sz w:val="16"/>
                <w:szCs w:val="16"/>
              </w:rPr>
            </w:pPr>
            <w:r w:rsidRPr="00471CBA">
              <w:rPr>
                <w:sz w:val="16"/>
                <w:szCs w:val="16"/>
              </w:rPr>
              <w:t>-</w:t>
            </w:r>
          </w:p>
        </w:tc>
        <w:tc>
          <w:tcPr>
            <w:tcW w:w="832" w:type="dxa"/>
            <w:tcBorders>
              <w:top w:val="nil"/>
              <w:left w:val="nil"/>
              <w:bottom w:val="nil"/>
              <w:right w:val="nil"/>
            </w:tcBorders>
            <w:vAlign w:val="bottom"/>
            <w:hideMark/>
          </w:tcPr>
          <w:p w14:paraId="7BFC2F02" w14:textId="77777777" w:rsidR="00A74C68" w:rsidRPr="00471CBA" w:rsidRDefault="00A74C68" w:rsidP="00F36B82">
            <w:pPr>
              <w:ind w:right="-45"/>
              <w:jc w:val="right"/>
              <w:rPr>
                <w:sz w:val="16"/>
                <w:szCs w:val="16"/>
              </w:rPr>
            </w:pPr>
            <w:r w:rsidRPr="00471CBA">
              <w:rPr>
                <w:sz w:val="16"/>
                <w:szCs w:val="16"/>
              </w:rPr>
              <w:t>-</w:t>
            </w:r>
          </w:p>
        </w:tc>
        <w:tc>
          <w:tcPr>
            <w:tcW w:w="879" w:type="dxa"/>
            <w:tcBorders>
              <w:top w:val="nil"/>
              <w:left w:val="nil"/>
              <w:bottom w:val="nil"/>
              <w:right w:val="nil"/>
            </w:tcBorders>
            <w:vAlign w:val="bottom"/>
            <w:hideMark/>
          </w:tcPr>
          <w:p w14:paraId="14A45144"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7ECE5093" w14:textId="77777777" w:rsidR="00A74C68" w:rsidRPr="00471CBA" w:rsidRDefault="00A74C68" w:rsidP="00F36B82">
            <w:pPr>
              <w:ind w:right="-45"/>
              <w:jc w:val="right"/>
              <w:rPr>
                <w:sz w:val="16"/>
                <w:szCs w:val="16"/>
              </w:rPr>
            </w:pPr>
            <w:r w:rsidRPr="00471CBA">
              <w:rPr>
                <w:sz w:val="16"/>
                <w:szCs w:val="16"/>
              </w:rPr>
              <w:t>-</w:t>
            </w:r>
          </w:p>
        </w:tc>
      </w:tr>
      <w:tr w:rsidR="00A74C68" w:rsidRPr="00471CBA" w14:paraId="298F7DF1" w14:textId="77777777" w:rsidTr="00A74C68">
        <w:trPr>
          <w:divId w:val="1004547450"/>
          <w:trHeight w:val="113"/>
        </w:trPr>
        <w:tc>
          <w:tcPr>
            <w:tcW w:w="2212" w:type="dxa"/>
            <w:tcBorders>
              <w:top w:val="nil"/>
              <w:left w:val="nil"/>
              <w:bottom w:val="nil"/>
              <w:right w:val="nil"/>
            </w:tcBorders>
            <w:vAlign w:val="bottom"/>
            <w:hideMark/>
          </w:tcPr>
          <w:p w14:paraId="3CDFF104" w14:textId="77777777" w:rsidR="00A74C68" w:rsidRPr="00471CBA" w:rsidRDefault="00A74C68" w:rsidP="00A74C68">
            <w:pPr>
              <w:rPr>
                <w:sz w:val="16"/>
                <w:szCs w:val="16"/>
              </w:rPr>
            </w:pPr>
            <w:r w:rsidRPr="00471CBA">
              <w:rPr>
                <w:sz w:val="16"/>
                <w:szCs w:val="16"/>
              </w:rPr>
              <w:t>Diğer</w:t>
            </w:r>
          </w:p>
        </w:tc>
        <w:tc>
          <w:tcPr>
            <w:tcW w:w="970" w:type="dxa"/>
            <w:tcBorders>
              <w:top w:val="nil"/>
              <w:left w:val="nil"/>
              <w:bottom w:val="nil"/>
              <w:right w:val="nil"/>
            </w:tcBorders>
            <w:vAlign w:val="bottom"/>
            <w:hideMark/>
          </w:tcPr>
          <w:p w14:paraId="762DFF9D"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5DB43015"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64A56DD1"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3972E31D" w14:textId="77777777" w:rsidR="00A74C68" w:rsidRPr="00471CBA" w:rsidRDefault="00A74C68" w:rsidP="00F36B82">
            <w:pPr>
              <w:ind w:right="-45"/>
              <w:jc w:val="right"/>
              <w:rPr>
                <w:sz w:val="16"/>
                <w:szCs w:val="16"/>
              </w:rPr>
            </w:pPr>
            <w:r w:rsidRPr="00471CBA">
              <w:rPr>
                <w:sz w:val="16"/>
                <w:szCs w:val="16"/>
              </w:rPr>
              <w:t>-</w:t>
            </w:r>
          </w:p>
        </w:tc>
        <w:tc>
          <w:tcPr>
            <w:tcW w:w="694" w:type="dxa"/>
            <w:tcBorders>
              <w:top w:val="nil"/>
              <w:left w:val="nil"/>
              <w:bottom w:val="nil"/>
              <w:right w:val="nil"/>
            </w:tcBorders>
            <w:vAlign w:val="bottom"/>
            <w:hideMark/>
          </w:tcPr>
          <w:p w14:paraId="077F9080" w14:textId="77777777" w:rsidR="00A74C68" w:rsidRPr="00471CBA" w:rsidRDefault="00A74C68" w:rsidP="00F36B82">
            <w:pPr>
              <w:ind w:right="-45"/>
              <w:jc w:val="right"/>
              <w:rPr>
                <w:sz w:val="16"/>
                <w:szCs w:val="16"/>
              </w:rPr>
            </w:pPr>
            <w:r w:rsidRPr="00471CBA">
              <w:rPr>
                <w:sz w:val="16"/>
                <w:szCs w:val="16"/>
              </w:rPr>
              <w:t>-</w:t>
            </w:r>
          </w:p>
        </w:tc>
        <w:tc>
          <w:tcPr>
            <w:tcW w:w="693" w:type="dxa"/>
            <w:tcBorders>
              <w:top w:val="nil"/>
              <w:left w:val="nil"/>
              <w:bottom w:val="nil"/>
              <w:right w:val="nil"/>
            </w:tcBorders>
            <w:vAlign w:val="bottom"/>
            <w:hideMark/>
          </w:tcPr>
          <w:p w14:paraId="43D7447C" w14:textId="77777777" w:rsidR="00A74C68" w:rsidRPr="00471CBA" w:rsidRDefault="00A74C68" w:rsidP="00F36B82">
            <w:pPr>
              <w:ind w:right="-45"/>
              <w:jc w:val="right"/>
              <w:rPr>
                <w:sz w:val="16"/>
                <w:szCs w:val="16"/>
              </w:rPr>
            </w:pPr>
            <w:r w:rsidRPr="00471CBA">
              <w:rPr>
                <w:sz w:val="16"/>
                <w:szCs w:val="16"/>
              </w:rPr>
              <w:t>-</w:t>
            </w:r>
          </w:p>
        </w:tc>
        <w:tc>
          <w:tcPr>
            <w:tcW w:w="832" w:type="dxa"/>
            <w:tcBorders>
              <w:top w:val="nil"/>
              <w:left w:val="nil"/>
              <w:bottom w:val="nil"/>
              <w:right w:val="nil"/>
            </w:tcBorders>
            <w:vAlign w:val="bottom"/>
            <w:hideMark/>
          </w:tcPr>
          <w:p w14:paraId="346B158D" w14:textId="77777777" w:rsidR="00A74C68" w:rsidRPr="00471CBA" w:rsidRDefault="00A74C68" w:rsidP="00F36B82">
            <w:pPr>
              <w:ind w:right="-45"/>
              <w:jc w:val="right"/>
              <w:rPr>
                <w:sz w:val="16"/>
                <w:szCs w:val="16"/>
              </w:rPr>
            </w:pPr>
            <w:r w:rsidRPr="00471CBA">
              <w:rPr>
                <w:sz w:val="16"/>
                <w:szCs w:val="16"/>
              </w:rPr>
              <w:t>-</w:t>
            </w:r>
          </w:p>
        </w:tc>
        <w:tc>
          <w:tcPr>
            <w:tcW w:w="879" w:type="dxa"/>
            <w:tcBorders>
              <w:top w:val="nil"/>
              <w:left w:val="nil"/>
              <w:bottom w:val="nil"/>
              <w:right w:val="nil"/>
            </w:tcBorders>
            <w:vAlign w:val="bottom"/>
            <w:hideMark/>
          </w:tcPr>
          <w:p w14:paraId="0B268729"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601BE791" w14:textId="77777777" w:rsidR="00A74C68" w:rsidRPr="00471CBA" w:rsidRDefault="00A74C68" w:rsidP="00F36B82">
            <w:pPr>
              <w:ind w:right="-45"/>
              <w:jc w:val="right"/>
              <w:rPr>
                <w:sz w:val="16"/>
                <w:szCs w:val="16"/>
              </w:rPr>
            </w:pPr>
            <w:r w:rsidRPr="00471CBA">
              <w:rPr>
                <w:sz w:val="16"/>
                <w:szCs w:val="16"/>
              </w:rPr>
              <w:t>-</w:t>
            </w:r>
          </w:p>
        </w:tc>
      </w:tr>
      <w:tr w:rsidR="00A74C68" w:rsidRPr="00471CBA" w14:paraId="5E4E88C1" w14:textId="77777777" w:rsidTr="00A74C68">
        <w:trPr>
          <w:divId w:val="1004547450"/>
          <w:trHeight w:val="113"/>
        </w:trPr>
        <w:tc>
          <w:tcPr>
            <w:tcW w:w="2212" w:type="dxa"/>
            <w:tcBorders>
              <w:top w:val="nil"/>
              <w:left w:val="nil"/>
              <w:bottom w:val="nil"/>
              <w:right w:val="nil"/>
            </w:tcBorders>
            <w:vAlign w:val="bottom"/>
            <w:hideMark/>
          </w:tcPr>
          <w:p w14:paraId="00DF5F58" w14:textId="77777777" w:rsidR="00A74C68" w:rsidRPr="00471CBA" w:rsidRDefault="00A74C68" w:rsidP="00A74C68">
            <w:pPr>
              <w:rPr>
                <w:b/>
                <w:bCs/>
                <w:sz w:val="16"/>
                <w:szCs w:val="16"/>
              </w:rPr>
            </w:pPr>
            <w:r w:rsidRPr="00471CBA">
              <w:rPr>
                <w:b/>
                <w:bCs/>
                <w:sz w:val="16"/>
                <w:szCs w:val="16"/>
              </w:rPr>
              <w:t>VIII. Katılma Hesapları Diğer-YP</w:t>
            </w:r>
          </w:p>
        </w:tc>
        <w:tc>
          <w:tcPr>
            <w:tcW w:w="970" w:type="dxa"/>
            <w:tcBorders>
              <w:top w:val="nil"/>
              <w:left w:val="nil"/>
              <w:bottom w:val="nil"/>
              <w:right w:val="nil"/>
            </w:tcBorders>
            <w:vAlign w:val="bottom"/>
            <w:hideMark/>
          </w:tcPr>
          <w:p w14:paraId="14596FD0" w14:textId="77777777" w:rsidR="00A74C68" w:rsidRPr="00471CBA" w:rsidRDefault="00A74C68" w:rsidP="00F36B82">
            <w:pPr>
              <w:ind w:right="-45"/>
              <w:jc w:val="right"/>
              <w:rPr>
                <w:b/>
                <w:bCs/>
                <w:sz w:val="16"/>
                <w:szCs w:val="16"/>
              </w:rPr>
            </w:pPr>
            <w:r w:rsidRPr="00471CBA">
              <w:rPr>
                <w:b/>
                <w:bCs/>
                <w:sz w:val="16"/>
                <w:szCs w:val="16"/>
              </w:rPr>
              <w:t>-</w:t>
            </w:r>
          </w:p>
        </w:tc>
        <w:tc>
          <w:tcPr>
            <w:tcW w:w="763" w:type="dxa"/>
            <w:tcBorders>
              <w:top w:val="nil"/>
              <w:left w:val="nil"/>
              <w:bottom w:val="nil"/>
              <w:right w:val="nil"/>
            </w:tcBorders>
            <w:vAlign w:val="bottom"/>
            <w:hideMark/>
          </w:tcPr>
          <w:p w14:paraId="462344EC" w14:textId="77777777" w:rsidR="00A74C68" w:rsidRPr="00471CBA" w:rsidRDefault="00A74C68" w:rsidP="00F36B82">
            <w:pPr>
              <w:ind w:right="-45"/>
              <w:jc w:val="right"/>
              <w:rPr>
                <w:b/>
                <w:bCs/>
                <w:sz w:val="16"/>
                <w:szCs w:val="16"/>
              </w:rPr>
            </w:pPr>
            <w:r w:rsidRPr="00471CBA">
              <w:rPr>
                <w:b/>
                <w:bCs/>
                <w:sz w:val="16"/>
                <w:szCs w:val="16"/>
              </w:rPr>
              <w:t>615.898</w:t>
            </w:r>
          </w:p>
        </w:tc>
        <w:tc>
          <w:tcPr>
            <w:tcW w:w="841" w:type="dxa"/>
            <w:tcBorders>
              <w:top w:val="nil"/>
              <w:left w:val="nil"/>
              <w:bottom w:val="nil"/>
              <w:right w:val="nil"/>
            </w:tcBorders>
            <w:vAlign w:val="bottom"/>
            <w:hideMark/>
          </w:tcPr>
          <w:p w14:paraId="5217E637" w14:textId="77777777" w:rsidR="00A74C68" w:rsidRPr="00471CBA" w:rsidRDefault="00A74C68" w:rsidP="00F36B82">
            <w:pPr>
              <w:ind w:right="-45"/>
              <w:jc w:val="right"/>
              <w:rPr>
                <w:b/>
                <w:bCs/>
                <w:sz w:val="16"/>
                <w:szCs w:val="16"/>
              </w:rPr>
            </w:pPr>
            <w:r w:rsidRPr="00471CBA">
              <w:rPr>
                <w:b/>
                <w:bCs/>
                <w:sz w:val="16"/>
                <w:szCs w:val="16"/>
              </w:rPr>
              <w:t>7.782.131</w:t>
            </w:r>
          </w:p>
        </w:tc>
        <w:tc>
          <w:tcPr>
            <w:tcW w:w="763" w:type="dxa"/>
            <w:tcBorders>
              <w:top w:val="nil"/>
              <w:left w:val="nil"/>
              <w:bottom w:val="nil"/>
              <w:right w:val="nil"/>
            </w:tcBorders>
            <w:vAlign w:val="bottom"/>
            <w:hideMark/>
          </w:tcPr>
          <w:p w14:paraId="79E7B148" w14:textId="77777777" w:rsidR="00A74C68" w:rsidRPr="00471CBA" w:rsidRDefault="00A74C68" w:rsidP="00F36B82">
            <w:pPr>
              <w:ind w:right="-45"/>
              <w:jc w:val="right"/>
              <w:rPr>
                <w:b/>
                <w:bCs/>
                <w:sz w:val="16"/>
                <w:szCs w:val="16"/>
              </w:rPr>
            </w:pPr>
            <w:r w:rsidRPr="00471CBA">
              <w:rPr>
                <w:b/>
                <w:bCs/>
                <w:sz w:val="16"/>
                <w:szCs w:val="16"/>
              </w:rPr>
              <w:t>2.570.631</w:t>
            </w:r>
          </w:p>
        </w:tc>
        <w:tc>
          <w:tcPr>
            <w:tcW w:w="694" w:type="dxa"/>
            <w:tcBorders>
              <w:top w:val="nil"/>
              <w:left w:val="nil"/>
              <w:bottom w:val="nil"/>
              <w:right w:val="nil"/>
            </w:tcBorders>
            <w:vAlign w:val="bottom"/>
            <w:hideMark/>
          </w:tcPr>
          <w:p w14:paraId="4889072D" w14:textId="77777777" w:rsidR="00A74C68" w:rsidRPr="00471CBA" w:rsidRDefault="00A74C68" w:rsidP="00F36B82">
            <w:pPr>
              <w:ind w:right="-45"/>
              <w:jc w:val="right"/>
              <w:rPr>
                <w:b/>
                <w:bCs/>
                <w:sz w:val="16"/>
                <w:szCs w:val="16"/>
              </w:rPr>
            </w:pPr>
            <w:r w:rsidRPr="00471CBA">
              <w:rPr>
                <w:b/>
                <w:bCs/>
                <w:sz w:val="16"/>
                <w:szCs w:val="16"/>
              </w:rPr>
              <w:t>-</w:t>
            </w:r>
          </w:p>
        </w:tc>
        <w:tc>
          <w:tcPr>
            <w:tcW w:w="693" w:type="dxa"/>
            <w:tcBorders>
              <w:top w:val="nil"/>
              <w:left w:val="nil"/>
              <w:bottom w:val="nil"/>
              <w:right w:val="nil"/>
            </w:tcBorders>
            <w:vAlign w:val="bottom"/>
            <w:hideMark/>
          </w:tcPr>
          <w:p w14:paraId="4BE5121A" w14:textId="77777777" w:rsidR="00A74C68" w:rsidRPr="00471CBA" w:rsidRDefault="00A74C68" w:rsidP="00F36B82">
            <w:pPr>
              <w:ind w:right="-45"/>
              <w:jc w:val="right"/>
              <w:rPr>
                <w:b/>
                <w:bCs/>
                <w:sz w:val="16"/>
                <w:szCs w:val="16"/>
              </w:rPr>
            </w:pPr>
            <w:r w:rsidRPr="00471CBA">
              <w:rPr>
                <w:b/>
                <w:bCs/>
                <w:sz w:val="16"/>
                <w:szCs w:val="16"/>
              </w:rPr>
              <w:t>4.029</w:t>
            </w:r>
          </w:p>
        </w:tc>
        <w:tc>
          <w:tcPr>
            <w:tcW w:w="832" w:type="dxa"/>
            <w:tcBorders>
              <w:top w:val="nil"/>
              <w:left w:val="nil"/>
              <w:bottom w:val="nil"/>
              <w:right w:val="nil"/>
            </w:tcBorders>
            <w:vAlign w:val="bottom"/>
            <w:hideMark/>
          </w:tcPr>
          <w:p w14:paraId="2DF45799" w14:textId="77777777" w:rsidR="00A74C68" w:rsidRPr="00471CBA" w:rsidRDefault="00A74C68" w:rsidP="00F36B82">
            <w:pPr>
              <w:ind w:right="-45"/>
              <w:jc w:val="right"/>
              <w:rPr>
                <w:b/>
                <w:bCs/>
                <w:sz w:val="16"/>
                <w:szCs w:val="16"/>
              </w:rPr>
            </w:pPr>
            <w:r w:rsidRPr="00471CBA">
              <w:rPr>
                <w:b/>
                <w:bCs/>
                <w:sz w:val="16"/>
                <w:szCs w:val="16"/>
              </w:rPr>
              <w:t>55.803</w:t>
            </w:r>
          </w:p>
        </w:tc>
        <w:tc>
          <w:tcPr>
            <w:tcW w:w="879" w:type="dxa"/>
            <w:tcBorders>
              <w:top w:val="nil"/>
              <w:left w:val="nil"/>
              <w:bottom w:val="nil"/>
              <w:right w:val="nil"/>
            </w:tcBorders>
            <w:vAlign w:val="bottom"/>
            <w:hideMark/>
          </w:tcPr>
          <w:p w14:paraId="11D14E7E" w14:textId="77777777" w:rsidR="00A74C68" w:rsidRPr="00471CBA" w:rsidRDefault="00A74C68" w:rsidP="00F36B82">
            <w:pPr>
              <w:ind w:right="-45"/>
              <w:jc w:val="right"/>
              <w:rPr>
                <w:b/>
                <w:bCs/>
                <w:sz w:val="16"/>
                <w:szCs w:val="16"/>
              </w:rPr>
            </w:pPr>
            <w:r w:rsidRPr="00471CBA">
              <w:rPr>
                <w:b/>
                <w:bCs/>
                <w:sz w:val="16"/>
                <w:szCs w:val="16"/>
              </w:rPr>
              <w:t>-</w:t>
            </w:r>
          </w:p>
        </w:tc>
        <w:tc>
          <w:tcPr>
            <w:tcW w:w="841" w:type="dxa"/>
            <w:tcBorders>
              <w:top w:val="nil"/>
              <w:left w:val="nil"/>
              <w:bottom w:val="nil"/>
              <w:right w:val="nil"/>
            </w:tcBorders>
            <w:vAlign w:val="bottom"/>
            <w:hideMark/>
          </w:tcPr>
          <w:p w14:paraId="25BCFD4F" w14:textId="77777777" w:rsidR="00A74C68" w:rsidRPr="00471CBA" w:rsidRDefault="00A74C68" w:rsidP="00F36B82">
            <w:pPr>
              <w:ind w:right="-45"/>
              <w:jc w:val="right"/>
              <w:rPr>
                <w:b/>
                <w:bCs/>
                <w:sz w:val="16"/>
                <w:szCs w:val="16"/>
              </w:rPr>
            </w:pPr>
            <w:r w:rsidRPr="00471CBA">
              <w:rPr>
                <w:b/>
                <w:bCs/>
                <w:sz w:val="16"/>
                <w:szCs w:val="16"/>
              </w:rPr>
              <w:t>11.028.492</w:t>
            </w:r>
          </w:p>
        </w:tc>
      </w:tr>
      <w:tr w:rsidR="00A74C68" w:rsidRPr="00471CBA" w14:paraId="0F5952C0" w14:textId="77777777" w:rsidTr="00A74C68">
        <w:trPr>
          <w:divId w:val="1004547450"/>
          <w:trHeight w:val="113"/>
        </w:trPr>
        <w:tc>
          <w:tcPr>
            <w:tcW w:w="2212" w:type="dxa"/>
            <w:tcBorders>
              <w:top w:val="nil"/>
              <w:left w:val="nil"/>
              <w:bottom w:val="nil"/>
              <w:right w:val="nil"/>
            </w:tcBorders>
            <w:vAlign w:val="bottom"/>
            <w:hideMark/>
          </w:tcPr>
          <w:p w14:paraId="05E131C7" w14:textId="77777777" w:rsidR="00A74C68" w:rsidRPr="00471CBA" w:rsidRDefault="00A74C68" w:rsidP="00A74C68">
            <w:pPr>
              <w:rPr>
                <w:sz w:val="16"/>
                <w:szCs w:val="16"/>
              </w:rPr>
            </w:pPr>
            <w:r w:rsidRPr="00471CBA">
              <w:rPr>
                <w:sz w:val="16"/>
                <w:szCs w:val="16"/>
              </w:rPr>
              <w:t>Resmi Kuruluşlar</w:t>
            </w:r>
          </w:p>
        </w:tc>
        <w:tc>
          <w:tcPr>
            <w:tcW w:w="970" w:type="dxa"/>
            <w:tcBorders>
              <w:top w:val="nil"/>
              <w:left w:val="nil"/>
              <w:bottom w:val="nil"/>
              <w:right w:val="nil"/>
            </w:tcBorders>
            <w:vAlign w:val="bottom"/>
            <w:hideMark/>
          </w:tcPr>
          <w:p w14:paraId="2B3F54B8"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37A1DDE0"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57C9BBB5"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7132E6B8" w14:textId="77777777" w:rsidR="00A74C68" w:rsidRPr="00471CBA" w:rsidRDefault="00A74C68" w:rsidP="00F36B82">
            <w:pPr>
              <w:ind w:right="-45"/>
              <w:jc w:val="right"/>
              <w:rPr>
                <w:sz w:val="16"/>
                <w:szCs w:val="16"/>
              </w:rPr>
            </w:pPr>
            <w:r w:rsidRPr="00471CBA">
              <w:rPr>
                <w:sz w:val="16"/>
                <w:szCs w:val="16"/>
              </w:rPr>
              <w:t>-</w:t>
            </w:r>
          </w:p>
        </w:tc>
        <w:tc>
          <w:tcPr>
            <w:tcW w:w="694" w:type="dxa"/>
            <w:tcBorders>
              <w:top w:val="nil"/>
              <w:left w:val="nil"/>
              <w:bottom w:val="nil"/>
              <w:right w:val="nil"/>
            </w:tcBorders>
            <w:vAlign w:val="bottom"/>
            <w:hideMark/>
          </w:tcPr>
          <w:p w14:paraId="48CA0420" w14:textId="77777777" w:rsidR="00A74C68" w:rsidRPr="00471CBA" w:rsidRDefault="00A74C68" w:rsidP="00F36B82">
            <w:pPr>
              <w:ind w:right="-45"/>
              <w:jc w:val="right"/>
              <w:rPr>
                <w:sz w:val="16"/>
                <w:szCs w:val="16"/>
              </w:rPr>
            </w:pPr>
            <w:r w:rsidRPr="00471CBA">
              <w:rPr>
                <w:sz w:val="16"/>
                <w:szCs w:val="16"/>
              </w:rPr>
              <w:t>-</w:t>
            </w:r>
          </w:p>
        </w:tc>
        <w:tc>
          <w:tcPr>
            <w:tcW w:w="693" w:type="dxa"/>
            <w:tcBorders>
              <w:top w:val="nil"/>
              <w:left w:val="nil"/>
              <w:bottom w:val="nil"/>
              <w:right w:val="nil"/>
            </w:tcBorders>
            <w:vAlign w:val="bottom"/>
            <w:hideMark/>
          </w:tcPr>
          <w:p w14:paraId="090D0D08" w14:textId="77777777" w:rsidR="00A74C68" w:rsidRPr="00471CBA" w:rsidRDefault="00A74C68" w:rsidP="00F36B82">
            <w:pPr>
              <w:ind w:right="-45"/>
              <w:jc w:val="right"/>
              <w:rPr>
                <w:sz w:val="16"/>
                <w:szCs w:val="16"/>
              </w:rPr>
            </w:pPr>
            <w:r w:rsidRPr="00471CBA">
              <w:rPr>
                <w:sz w:val="16"/>
                <w:szCs w:val="16"/>
              </w:rPr>
              <w:t>-</w:t>
            </w:r>
          </w:p>
        </w:tc>
        <w:tc>
          <w:tcPr>
            <w:tcW w:w="832" w:type="dxa"/>
            <w:tcBorders>
              <w:top w:val="nil"/>
              <w:left w:val="nil"/>
              <w:bottom w:val="nil"/>
              <w:right w:val="nil"/>
            </w:tcBorders>
            <w:vAlign w:val="bottom"/>
            <w:hideMark/>
          </w:tcPr>
          <w:p w14:paraId="54B9915F" w14:textId="77777777" w:rsidR="00A74C68" w:rsidRPr="00471CBA" w:rsidRDefault="00A74C68" w:rsidP="00F36B82">
            <w:pPr>
              <w:ind w:right="-45"/>
              <w:jc w:val="right"/>
              <w:rPr>
                <w:sz w:val="16"/>
                <w:szCs w:val="16"/>
              </w:rPr>
            </w:pPr>
            <w:r w:rsidRPr="00471CBA">
              <w:rPr>
                <w:sz w:val="16"/>
                <w:szCs w:val="16"/>
              </w:rPr>
              <w:t>-</w:t>
            </w:r>
          </w:p>
        </w:tc>
        <w:tc>
          <w:tcPr>
            <w:tcW w:w="879" w:type="dxa"/>
            <w:tcBorders>
              <w:top w:val="nil"/>
              <w:left w:val="nil"/>
              <w:bottom w:val="nil"/>
              <w:right w:val="nil"/>
            </w:tcBorders>
            <w:vAlign w:val="bottom"/>
            <w:hideMark/>
          </w:tcPr>
          <w:p w14:paraId="6E0ABC74"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2CECB144" w14:textId="77777777" w:rsidR="00A74C68" w:rsidRPr="00471CBA" w:rsidRDefault="00A74C68" w:rsidP="00F36B82">
            <w:pPr>
              <w:ind w:right="-45"/>
              <w:jc w:val="right"/>
              <w:rPr>
                <w:sz w:val="16"/>
                <w:szCs w:val="16"/>
              </w:rPr>
            </w:pPr>
            <w:r w:rsidRPr="00471CBA">
              <w:rPr>
                <w:sz w:val="16"/>
                <w:szCs w:val="16"/>
              </w:rPr>
              <w:t>-</w:t>
            </w:r>
          </w:p>
        </w:tc>
      </w:tr>
      <w:tr w:rsidR="00A74C68" w:rsidRPr="00471CBA" w14:paraId="650C8CCD" w14:textId="77777777" w:rsidTr="00A74C68">
        <w:trPr>
          <w:divId w:val="1004547450"/>
          <w:trHeight w:val="113"/>
        </w:trPr>
        <w:tc>
          <w:tcPr>
            <w:tcW w:w="2212" w:type="dxa"/>
            <w:tcBorders>
              <w:top w:val="nil"/>
              <w:left w:val="nil"/>
              <w:bottom w:val="nil"/>
              <w:right w:val="nil"/>
            </w:tcBorders>
            <w:vAlign w:val="bottom"/>
            <w:hideMark/>
          </w:tcPr>
          <w:p w14:paraId="70C84971" w14:textId="77777777" w:rsidR="00A74C68" w:rsidRPr="00471CBA" w:rsidRDefault="00A74C68" w:rsidP="00A74C68">
            <w:pPr>
              <w:rPr>
                <w:sz w:val="16"/>
                <w:szCs w:val="16"/>
              </w:rPr>
            </w:pPr>
            <w:r w:rsidRPr="00471CBA">
              <w:rPr>
                <w:sz w:val="16"/>
                <w:szCs w:val="16"/>
              </w:rPr>
              <w:t>Ticari Kuruluşlar</w:t>
            </w:r>
          </w:p>
        </w:tc>
        <w:tc>
          <w:tcPr>
            <w:tcW w:w="970" w:type="dxa"/>
            <w:tcBorders>
              <w:top w:val="nil"/>
              <w:left w:val="nil"/>
              <w:bottom w:val="nil"/>
              <w:right w:val="nil"/>
            </w:tcBorders>
            <w:vAlign w:val="bottom"/>
            <w:hideMark/>
          </w:tcPr>
          <w:p w14:paraId="4EB66F02"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47CD7C6A" w14:textId="77777777" w:rsidR="00A74C68" w:rsidRPr="00471CBA" w:rsidRDefault="00A74C68" w:rsidP="00F36B82">
            <w:pPr>
              <w:ind w:right="-45"/>
              <w:jc w:val="right"/>
              <w:rPr>
                <w:sz w:val="16"/>
                <w:szCs w:val="16"/>
              </w:rPr>
            </w:pPr>
            <w:r w:rsidRPr="00471CBA">
              <w:rPr>
                <w:sz w:val="16"/>
                <w:szCs w:val="16"/>
              </w:rPr>
              <w:t>611.598</w:t>
            </w:r>
          </w:p>
        </w:tc>
        <w:tc>
          <w:tcPr>
            <w:tcW w:w="841" w:type="dxa"/>
            <w:tcBorders>
              <w:top w:val="nil"/>
              <w:left w:val="nil"/>
              <w:bottom w:val="nil"/>
              <w:right w:val="nil"/>
            </w:tcBorders>
            <w:vAlign w:val="bottom"/>
            <w:hideMark/>
          </w:tcPr>
          <w:p w14:paraId="312ABC6F" w14:textId="77777777" w:rsidR="00A74C68" w:rsidRPr="00471CBA" w:rsidRDefault="00A74C68" w:rsidP="00F36B82">
            <w:pPr>
              <w:ind w:right="-45"/>
              <w:jc w:val="right"/>
              <w:rPr>
                <w:sz w:val="16"/>
                <w:szCs w:val="16"/>
              </w:rPr>
            </w:pPr>
            <w:r w:rsidRPr="00471CBA">
              <w:rPr>
                <w:sz w:val="16"/>
                <w:szCs w:val="16"/>
              </w:rPr>
              <w:t>6.338.558</w:t>
            </w:r>
          </w:p>
        </w:tc>
        <w:tc>
          <w:tcPr>
            <w:tcW w:w="763" w:type="dxa"/>
            <w:tcBorders>
              <w:top w:val="nil"/>
              <w:left w:val="nil"/>
              <w:bottom w:val="nil"/>
              <w:right w:val="nil"/>
            </w:tcBorders>
            <w:vAlign w:val="bottom"/>
            <w:hideMark/>
          </w:tcPr>
          <w:p w14:paraId="4F8BC491" w14:textId="77777777" w:rsidR="00A74C68" w:rsidRPr="00471CBA" w:rsidRDefault="00A74C68" w:rsidP="00F36B82">
            <w:pPr>
              <w:ind w:right="-45"/>
              <w:jc w:val="right"/>
              <w:rPr>
                <w:sz w:val="16"/>
                <w:szCs w:val="16"/>
              </w:rPr>
            </w:pPr>
            <w:r w:rsidRPr="00471CBA">
              <w:rPr>
                <w:sz w:val="16"/>
                <w:szCs w:val="16"/>
              </w:rPr>
              <w:t>2.570.631</w:t>
            </w:r>
          </w:p>
        </w:tc>
        <w:tc>
          <w:tcPr>
            <w:tcW w:w="694" w:type="dxa"/>
            <w:tcBorders>
              <w:top w:val="nil"/>
              <w:left w:val="nil"/>
              <w:bottom w:val="nil"/>
              <w:right w:val="nil"/>
            </w:tcBorders>
            <w:vAlign w:val="bottom"/>
            <w:hideMark/>
          </w:tcPr>
          <w:p w14:paraId="4000CB23" w14:textId="77777777" w:rsidR="00A74C68" w:rsidRPr="00471CBA" w:rsidRDefault="00A74C68" w:rsidP="00F36B82">
            <w:pPr>
              <w:ind w:right="-45"/>
              <w:jc w:val="right"/>
              <w:rPr>
                <w:sz w:val="16"/>
                <w:szCs w:val="16"/>
              </w:rPr>
            </w:pPr>
            <w:r w:rsidRPr="00471CBA">
              <w:rPr>
                <w:sz w:val="16"/>
                <w:szCs w:val="16"/>
              </w:rPr>
              <w:t>-</w:t>
            </w:r>
          </w:p>
        </w:tc>
        <w:tc>
          <w:tcPr>
            <w:tcW w:w="693" w:type="dxa"/>
            <w:tcBorders>
              <w:top w:val="nil"/>
              <w:left w:val="nil"/>
              <w:bottom w:val="nil"/>
              <w:right w:val="nil"/>
            </w:tcBorders>
            <w:vAlign w:val="bottom"/>
            <w:hideMark/>
          </w:tcPr>
          <w:p w14:paraId="797DDD18" w14:textId="77777777" w:rsidR="00A74C68" w:rsidRPr="00471CBA" w:rsidRDefault="00A74C68" w:rsidP="00F36B82">
            <w:pPr>
              <w:ind w:right="-45"/>
              <w:jc w:val="right"/>
              <w:rPr>
                <w:sz w:val="16"/>
                <w:szCs w:val="16"/>
              </w:rPr>
            </w:pPr>
            <w:r w:rsidRPr="00471CBA">
              <w:rPr>
                <w:sz w:val="16"/>
                <w:szCs w:val="16"/>
              </w:rPr>
              <w:t>4.029</w:t>
            </w:r>
          </w:p>
        </w:tc>
        <w:tc>
          <w:tcPr>
            <w:tcW w:w="832" w:type="dxa"/>
            <w:tcBorders>
              <w:top w:val="nil"/>
              <w:left w:val="nil"/>
              <w:bottom w:val="nil"/>
              <w:right w:val="nil"/>
            </w:tcBorders>
            <w:vAlign w:val="bottom"/>
            <w:hideMark/>
          </w:tcPr>
          <w:p w14:paraId="6C97EAAF" w14:textId="77777777" w:rsidR="00A74C68" w:rsidRPr="00471CBA" w:rsidRDefault="00A74C68" w:rsidP="00F36B82">
            <w:pPr>
              <w:ind w:right="-45"/>
              <w:jc w:val="right"/>
              <w:rPr>
                <w:sz w:val="16"/>
                <w:szCs w:val="16"/>
              </w:rPr>
            </w:pPr>
            <w:r w:rsidRPr="00471CBA">
              <w:rPr>
                <w:sz w:val="16"/>
                <w:szCs w:val="16"/>
              </w:rPr>
              <w:t>55.803</w:t>
            </w:r>
          </w:p>
        </w:tc>
        <w:tc>
          <w:tcPr>
            <w:tcW w:w="879" w:type="dxa"/>
            <w:tcBorders>
              <w:top w:val="nil"/>
              <w:left w:val="nil"/>
              <w:bottom w:val="nil"/>
              <w:right w:val="nil"/>
            </w:tcBorders>
            <w:vAlign w:val="bottom"/>
            <w:hideMark/>
          </w:tcPr>
          <w:p w14:paraId="1B133D47"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4C229074" w14:textId="77777777" w:rsidR="00A74C68" w:rsidRPr="00471CBA" w:rsidRDefault="00A74C68" w:rsidP="00F36B82">
            <w:pPr>
              <w:ind w:right="-45"/>
              <w:jc w:val="right"/>
              <w:rPr>
                <w:sz w:val="16"/>
                <w:szCs w:val="16"/>
              </w:rPr>
            </w:pPr>
            <w:r w:rsidRPr="00471CBA">
              <w:rPr>
                <w:sz w:val="16"/>
                <w:szCs w:val="16"/>
              </w:rPr>
              <w:t>9.580.619</w:t>
            </w:r>
          </w:p>
        </w:tc>
      </w:tr>
      <w:tr w:rsidR="00A74C68" w:rsidRPr="00471CBA" w14:paraId="4AA6EAEA" w14:textId="77777777" w:rsidTr="00A74C68">
        <w:trPr>
          <w:divId w:val="1004547450"/>
          <w:trHeight w:val="113"/>
        </w:trPr>
        <w:tc>
          <w:tcPr>
            <w:tcW w:w="2212" w:type="dxa"/>
            <w:tcBorders>
              <w:top w:val="nil"/>
              <w:left w:val="nil"/>
              <w:bottom w:val="nil"/>
              <w:right w:val="nil"/>
            </w:tcBorders>
            <w:vAlign w:val="bottom"/>
            <w:hideMark/>
          </w:tcPr>
          <w:p w14:paraId="2D828C6F" w14:textId="77777777" w:rsidR="00A74C68" w:rsidRPr="00471CBA" w:rsidRDefault="00A74C68" w:rsidP="00A74C68">
            <w:pPr>
              <w:rPr>
                <w:sz w:val="16"/>
                <w:szCs w:val="16"/>
              </w:rPr>
            </w:pPr>
            <w:r w:rsidRPr="00471CBA">
              <w:rPr>
                <w:sz w:val="16"/>
                <w:szCs w:val="16"/>
              </w:rPr>
              <w:t>Diğer Kuruluşlar</w:t>
            </w:r>
          </w:p>
        </w:tc>
        <w:tc>
          <w:tcPr>
            <w:tcW w:w="970" w:type="dxa"/>
            <w:tcBorders>
              <w:top w:val="nil"/>
              <w:left w:val="nil"/>
              <w:bottom w:val="nil"/>
              <w:right w:val="nil"/>
            </w:tcBorders>
            <w:vAlign w:val="bottom"/>
            <w:hideMark/>
          </w:tcPr>
          <w:p w14:paraId="045250C0"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64F081BB" w14:textId="77777777" w:rsidR="00A74C68" w:rsidRPr="00471CBA" w:rsidRDefault="00A74C68" w:rsidP="00F36B82">
            <w:pPr>
              <w:ind w:right="-45"/>
              <w:jc w:val="right"/>
              <w:rPr>
                <w:sz w:val="16"/>
                <w:szCs w:val="16"/>
              </w:rPr>
            </w:pPr>
            <w:r w:rsidRPr="00471CBA">
              <w:rPr>
                <w:sz w:val="16"/>
                <w:szCs w:val="16"/>
              </w:rPr>
              <w:t>4.300</w:t>
            </w:r>
          </w:p>
        </w:tc>
        <w:tc>
          <w:tcPr>
            <w:tcW w:w="841" w:type="dxa"/>
            <w:tcBorders>
              <w:top w:val="nil"/>
              <w:left w:val="nil"/>
              <w:bottom w:val="nil"/>
              <w:right w:val="nil"/>
            </w:tcBorders>
            <w:vAlign w:val="bottom"/>
            <w:hideMark/>
          </w:tcPr>
          <w:p w14:paraId="79ADD4AC" w14:textId="77777777" w:rsidR="00A74C68" w:rsidRPr="00471CBA" w:rsidRDefault="00A74C68" w:rsidP="00F36B82">
            <w:pPr>
              <w:ind w:right="-45"/>
              <w:jc w:val="right"/>
              <w:rPr>
                <w:sz w:val="16"/>
                <w:szCs w:val="16"/>
              </w:rPr>
            </w:pPr>
            <w:r w:rsidRPr="00471CBA">
              <w:rPr>
                <w:sz w:val="16"/>
                <w:szCs w:val="16"/>
              </w:rPr>
              <w:t>1.443.573</w:t>
            </w:r>
          </w:p>
        </w:tc>
        <w:tc>
          <w:tcPr>
            <w:tcW w:w="763" w:type="dxa"/>
            <w:tcBorders>
              <w:top w:val="nil"/>
              <w:left w:val="nil"/>
              <w:bottom w:val="nil"/>
              <w:right w:val="nil"/>
            </w:tcBorders>
            <w:vAlign w:val="bottom"/>
            <w:hideMark/>
          </w:tcPr>
          <w:p w14:paraId="1CC4C059" w14:textId="77777777" w:rsidR="00A74C68" w:rsidRPr="00471CBA" w:rsidRDefault="00A74C68" w:rsidP="00F36B82">
            <w:pPr>
              <w:ind w:right="-45"/>
              <w:jc w:val="right"/>
              <w:rPr>
                <w:sz w:val="16"/>
                <w:szCs w:val="16"/>
              </w:rPr>
            </w:pPr>
            <w:r w:rsidRPr="00471CBA">
              <w:rPr>
                <w:sz w:val="16"/>
                <w:szCs w:val="16"/>
              </w:rPr>
              <w:t>-</w:t>
            </w:r>
          </w:p>
        </w:tc>
        <w:tc>
          <w:tcPr>
            <w:tcW w:w="694" w:type="dxa"/>
            <w:tcBorders>
              <w:top w:val="nil"/>
              <w:left w:val="nil"/>
              <w:bottom w:val="nil"/>
              <w:right w:val="nil"/>
            </w:tcBorders>
            <w:vAlign w:val="bottom"/>
            <w:hideMark/>
          </w:tcPr>
          <w:p w14:paraId="4313E588" w14:textId="77777777" w:rsidR="00A74C68" w:rsidRPr="00471CBA" w:rsidRDefault="00A74C68" w:rsidP="00F36B82">
            <w:pPr>
              <w:ind w:right="-45"/>
              <w:jc w:val="right"/>
              <w:rPr>
                <w:sz w:val="16"/>
                <w:szCs w:val="16"/>
              </w:rPr>
            </w:pPr>
            <w:r w:rsidRPr="00471CBA">
              <w:rPr>
                <w:sz w:val="16"/>
                <w:szCs w:val="16"/>
              </w:rPr>
              <w:t>-</w:t>
            </w:r>
          </w:p>
        </w:tc>
        <w:tc>
          <w:tcPr>
            <w:tcW w:w="693" w:type="dxa"/>
            <w:tcBorders>
              <w:top w:val="nil"/>
              <w:left w:val="nil"/>
              <w:bottom w:val="nil"/>
              <w:right w:val="nil"/>
            </w:tcBorders>
            <w:vAlign w:val="bottom"/>
            <w:hideMark/>
          </w:tcPr>
          <w:p w14:paraId="6D596C05" w14:textId="77777777" w:rsidR="00A74C68" w:rsidRPr="00471CBA" w:rsidRDefault="00A74C68" w:rsidP="00F36B82">
            <w:pPr>
              <w:ind w:right="-45"/>
              <w:jc w:val="right"/>
              <w:rPr>
                <w:sz w:val="16"/>
                <w:szCs w:val="16"/>
              </w:rPr>
            </w:pPr>
            <w:r w:rsidRPr="00471CBA">
              <w:rPr>
                <w:sz w:val="16"/>
                <w:szCs w:val="16"/>
              </w:rPr>
              <w:t>-</w:t>
            </w:r>
          </w:p>
        </w:tc>
        <w:tc>
          <w:tcPr>
            <w:tcW w:w="832" w:type="dxa"/>
            <w:tcBorders>
              <w:top w:val="nil"/>
              <w:left w:val="nil"/>
              <w:bottom w:val="nil"/>
              <w:right w:val="nil"/>
            </w:tcBorders>
            <w:vAlign w:val="bottom"/>
            <w:hideMark/>
          </w:tcPr>
          <w:p w14:paraId="1A91DEF3" w14:textId="77777777" w:rsidR="00A74C68" w:rsidRPr="00471CBA" w:rsidRDefault="00A74C68" w:rsidP="00F36B82">
            <w:pPr>
              <w:ind w:right="-45"/>
              <w:jc w:val="right"/>
              <w:rPr>
                <w:sz w:val="16"/>
                <w:szCs w:val="16"/>
              </w:rPr>
            </w:pPr>
            <w:r w:rsidRPr="00471CBA">
              <w:rPr>
                <w:sz w:val="16"/>
                <w:szCs w:val="16"/>
              </w:rPr>
              <w:t>-</w:t>
            </w:r>
          </w:p>
        </w:tc>
        <w:tc>
          <w:tcPr>
            <w:tcW w:w="879" w:type="dxa"/>
            <w:tcBorders>
              <w:top w:val="nil"/>
              <w:left w:val="nil"/>
              <w:bottom w:val="nil"/>
              <w:right w:val="nil"/>
            </w:tcBorders>
            <w:vAlign w:val="bottom"/>
            <w:hideMark/>
          </w:tcPr>
          <w:p w14:paraId="6922CFBD"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77888017" w14:textId="77777777" w:rsidR="00A74C68" w:rsidRPr="00471CBA" w:rsidRDefault="00A74C68" w:rsidP="00F36B82">
            <w:pPr>
              <w:ind w:right="-45"/>
              <w:jc w:val="right"/>
              <w:rPr>
                <w:sz w:val="16"/>
                <w:szCs w:val="16"/>
              </w:rPr>
            </w:pPr>
            <w:r w:rsidRPr="00471CBA">
              <w:rPr>
                <w:sz w:val="16"/>
                <w:szCs w:val="16"/>
              </w:rPr>
              <w:t>1.447.873</w:t>
            </w:r>
          </w:p>
        </w:tc>
      </w:tr>
      <w:tr w:rsidR="00A74C68" w:rsidRPr="00471CBA" w14:paraId="0989E1A5" w14:textId="77777777" w:rsidTr="00A74C68">
        <w:trPr>
          <w:divId w:val="1004547450"/>
          <w:trHeight w:val="113"/>
        </w:trPr>
        <w:tc>
          <w:tcPr>
            <w:tcW w:w="2212" w:type="dxa"/>
            <w:tcBorders>
              <w:top w:val="nil"/>
              <w:left w:val="nil"/>
              <w:bottom w:val="nil"/>
              <w:right w:val="nil"/>
            </w:tcBorders>
            <w:vAlign w:val="bottom"/>
            <w:hideMark/>
          </w:tcPr>
          <w:p w14:paraId="008EF6E4" w14:textId="77777777" w:rsidR="00A74C68" w:rsidRPr="00471CBA" w:rsidRDefault="00A74C68" w:rsidP="00A74C68">
            <w:pPr>
              <w:rPr>
                <w:sz w:val="16"/>
                <w:szCs w:val="16"/>
              </w:rPr>
            </w:pPr>
            <w:r w:rsidRPr="00471CBA">
              <w:rPr>
                <w:sz w:val="16"/>
                <w:szCs w:val="16"/>
              </w:rPr>
              <w:t xml:space="preserve">Ticari ve </w:t>
            </w:r>
            <w:proofErr w:type="gramStart"/>
            <w:r w:rsidRPr="00471CBA">
              <w:rPr>
                <w:sz w:val="16"/>
                <w:szCs w:val="16"/>
              </w:rPr>
              <w:t>Diğer</w:t>
            </w:r>
            <w:proofErr w:type="gramEnd"/>
            <w:r w:rsidRPr="00471CBA">
              <w:rPr>
                <w:sz w:val="16"/>
                <w:szCs w:val="16"/>
              </w:rPr>
              <w:t xml:space="preserve"> Kur.</w:t>
            </w:r>
          </w:p>
        </w:tc>
        <w:tc>
          <w:tcPr>
            <w:tcW w:w="970" w:type="dxa"/>
            <w:tcBorders>
              <w:top w:val="nil"/>
              <w:left w:val="nil"/>
              <w:bottom w:val="nil"/>
              <w:right w:val="nil"/>
            </w:tcBorders>
            <w:vAlign w:val="bottom"/>
            <w:hideMark/>
          </w:tcPr>
          <w:p w14:paraId="07A2412E"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76AB259A"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1ECE6A83"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6FD8F27D" w14:textId="77777777" w:rsidR="00A74C68" w:rsidRPr="00471CBA" w:rsidRDefault="00A74C68" w:rsidP="00F36B82">
            <w:pPr>
              <w:ind w:right="-45"/>
              <w:jc w:val="right"/>
              <w:rPr>
                <w:sz w:val="16"/>
                <w:szCs w:val="16"/>
              </w:rPr>
            </w:pPr>
            <w:r w:rsidRPr="00471CBA">
              <w:rPr>
                <w:sz w:val="16"/>
                <w:szCs w:val="16"/>
              </w:rPr>
              <w:t>-</w:t>
            </w:r>
          </w:p>
        </w:tc>
        <w:tc>
          <w:tcPr>
            <w:tcW w:w="694" w:type="dxa"/>
            <w:tcBorders>
              <w:top w:val="nil"/>
              <w:left w:val="nil"/>
              <w:bottom w:val="nil"/>
              <w:right w:val="nil"/>
            </w:tcBorders>
            <w:vAlign w:val="bottom"/>
            <w:hideMark/>
          </w:tcPr>
          <w:p w14:paraId="70DB8983" w14:textId="77777777" w:rsidR="00A74C68" w:rsidRPr="00471CBA" w:rsidRDefault="00A74C68" w:rsidP="00F36B82">
            <w:pPr>
              <w:ind w:right="-45"/>
              <w:jc w:val="right"/>
              <w:rPr>
                <w:sz w:val="16"/>
                <w:szCs w:val="16"/>
              </w:rPr>
            </w:pPr>
            <w:r w:rsidRPr="00471CBA">
              <w:rPr>
                <w:sz w:val="16"/>
                <w:szCs w:val="16"/>
              </w:rPr>
              <w:t>-</w:t>
            </w:r>
          </w:p>
        </w:tc>
        <w:tc>
          <w:tcPr>
            <w:tcW w:w="693" w:type="dxa"/>
            <w:tcBorders>
              <w:top w:val="nil"/>
              <w:left w:val="nil"/>
              <w:bottom w:val="nil"/>
              <w:right w:val="nil"/>
            </w:tcBorders>
            <w:vAlign w:val="bottom"/>
            <w:hideMark/>
          </w:tcPr>
          <w:p w14:paraId="31375A35" w14:textId="77777777" w:rsidR="00A74C68" w:rsidRPr="00471CBA" w:rsidRDefault="00A74C68" w:rsidP="00F36B82">
            <w:pPr>
              <w:ind w:right="-45"/>
              <w:jc w:val="right"/>
              <w:rPr>
                <w:sz w:val="16"/>
                <w:szCs w:val="16"/>
              </w:rPr>
            </w:pPr>
            <w:r w:rsidRPr="00471CBA">
              <w:rPr>
                <w:sz w:val="16"/>
                <w:szCs w:val="16"/>
              </w:rPr>
              <w:t>-</w:t>
            </w:r>
          </w:p>
        </w:tc>
        <w:tc>
          <w:tcPr>
            <w:tcW w:w="832" w:type="dxa"/>
            <w:tcBorders>
              <w:top w:val="nil"/>
              <w:left w:val="nil"/>
              <w:bottom w:val="nil"/>
              <w:right w:val="nil"/>
            </w:tcBorders>
            <w:vAlign w:val="bottom"/>
            <w:hideMark/>
          </w:tcPr>
          <w:p w14:paraId="338C6138" w14:textId="77777777" w:rsidR="00A74C68" w:rsidRPr="00471CBA" w:rsidRDefault="00A74C68" w:rsidP="00F36B82">
            <w:pPr>
              <w:ind w:right="-45"/>
              <w:jc w:val="right"/>
              <w:rPr>
                <w:sz w:val="16"/>
                <w:szCs w:val="16"/>
              </w:rPr>
            </w:pPr>
            <w:r w:rsidRPr="00471CBA">
              <w:rPr>
                <w:sz w:val="16"/>
                <w:szCs w:val="16"/>
              </w:rPr>
              <w:t>-</w:t>
            </w:r>
          </w:p>
        </w:tc>
        <w:tc>
          <w:tcPr>
            <w:tcW w:w="879" w:type="dxa"/>
            <w:tcBorders>
              <w:top w:val="nil"/>
              <w:left w:val="nil"/>
              <w:bottom w:val="nil"/>
              <w:right w:val="nil"/>
            </w:tcBorders>
            <w:vAlign w:val="bottom"/>
            <w:hideMark/>
          </w:tcPr>
          <w:p w14:paraId="2B7A8380"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16139D65" w14:textId="77777777" w:rsidR="00A74C68" w:rsidRPr="00471CBA" w:rsidRDefault="00A74C68" w:rsidP="00F36B82">
            <w:pPr>
              <w:ind w:right="-45"/>
              <w:jc w:val="right"/>
              <w:rPr>
                <w:sz w:val="16"/>
                <w:szCs w:val="16"/>
              </w:rPr>
            </w:pPr>
            <w:r w:rsidRPr="00471CBA">
              <w:rPr>
                <w:sz w:val="16"/>
                <w:szCs w:val="16"/>
              </w:rPr>
              <w:t>-</w:t>
            </w:r>
          </w:p>
        </w:tc>
      </w:tr>
      <w:tr w:rsidR="00A74C68" w:rsidRPr="00471CBA" w14:paraId="447B5109" w14:textId="77777777" w:rsidTr="00A74C68">
        <w:trPr>
          <w:divId w:val="1004547450"/>
          <w:trHeight w:val="113"/>
        </w:trPr>
        <w:tc>
          <w:tcPr>
            <w:tcW w:w="2212" w:type="dxa"/>
            <w:tcBorders>
              <w:top w:val="nil"/>
              <w:left w:val="nil"/>
              <w:bottom w:val="nil"/>
              <w:right w:val="nil"/>
            </w:tcBorders>
            <w:vAlign w:val="bottom"/>
            <w:hideMark/>
          </w:tcPr>
          <w:p w14:paraId="09A22207" w14:textId="77777777" w:rsidR="00A74C68" w:rsidRPr="00471CBA" w:rsidRDefault="00A74C68" w:rsidP="00A74C68">
            <w:pPr>
              <w:rPr>
                <w:sz w:val="16"/>
                <w:szCs w:val="16"/>
              </w:rPr>
            </w:pPr>
            <w:r w:rsidRPr="00471CBA">
              <w:rPr>
                <w:sz w:val="16"/>
                <w:szCs w:val="16"/>
              </w:rPr>
              <w:t>Bankalar ve Katılım Bankaları</w:t>
            </w:r>
          </w:p>
        </w:tc>
        <w:tc>
          <w:tcPr>
            <w:tcW w:w="970" w:type="dxa"/>
            <w:tcBorders>
              <w:top w:val="nil"/>
              <w:left w:val="nil"/>
              <w:bottom w:val="nil"/>
              <w:right w:val="nil"/>
            </w:tcBorders>
            <w:vAlign w:val="bottom"/>
            <w:hideMark/>
          </w:tcPr>
          <w:p w14:paraId="2C002B07"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1D7F8622"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404990FB"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614BC3B9" w14:textId="77777777" w:rsidR="00A74C68" w:rsidRPr="00471CBA" w:rsidRDefault="00A74C68" w:rsidP="00F36B82">
            <w:pPr>
              <w:ind w:right="-45"/>
              <w:jc w:val="right"/>
              <w:rPr>
                <w:sz w:val="16"/>
                <w:szCs w:val="16"/>
              </w:rPr>
            </w:pPr>
            <w:r w:rsidRPr="00471CBA">
              <w:rPr>
                <w:sz w:val="16"/>
                <w:szCs w:val="16"/>
              </w:rPr>
              <w:t>-</w:t>
            </w:r>
          </w:p>
        </w:tc>
        <w:tc>
          <w:tcPr>
            <w:tcW w:w="694" w:type="dxa"/>
            <w:tcBorders>
              <w:top w:val="nil"/>
              <w:left w:val="nil"/>
              <w:bottom w:val="nil"/>
              <w:right w:val="nil"/>
            </w:tcBorders>
            <w:vAlign w:val="bottom"/>
            <w:hideMark/>
          </w:tcPr>
          <w:p w14:paraId="32A0888B" w14:textId="77777777" w:rsidR="00A74C68" w:rsidRPr="00471CBA" w:rsidRDefault="00A74C68" w:rsidP="00F36B82">
            <w:pPr>
              <w:ind w:right="-45"/>
              <w:jc w:val="right"/>
              <w:rPr>
                <w:sz w:val="16"/>
                <w:szCs w:val="16"/>
              </w:rPr>
            </w:pPr>
            <w:r w:rsidRPr="00471CBA">
              <w:rPr>
                <w:sz w:val="16"/>
                <w:szCs w:val="16"/>
              </w:rPr>
              <w:t>-</w:t>
            </w:r>
          </w:p>
        </w:tc>
        <w:tc>
          <w:tcPr>
            <w:tcW w:w="693" w:type="dxa"/>
            <w:tcBorders>
              <w:top w:val="nil"/>
              <w:left w:val="nil"/>
              <w:bottom w:val="nil"/>
              <w:right w:val="nil"/>
            </w:tcBorders>
            <w:vAlign w:val="bottom"/>
            <w:hideMark/>
          </w:tcPr>
          <w:p w14:paraId="53A30B65" w14:textId="77777777" w:rsidR="00A74C68" w:rsidRPr="00471CBA" w:rsidRDefault="00A74C68" w:rsidP="00F36B82">
            <w:pPr>
              <w:ind w:right="-45"/>
              <w:jc w:val="right"/>
              <w:rPr>
                <w:sz w:val="16"/>
                <w:szCs w:val="16"/>
              </w:rPr>
            </w:pPr>
            <w:r w:rsidRPr="00471CBA">
              <w:rPr>
                <w:sz w:val="16"/>
                <w:szCs w:val="16"/>
              </w:rPr>
              <w:t>-</w:t>
            </w:r>
          </w:p>
        </w:tc>
        <w:tc>
          <w:tcPr>
            <w:tcW w:w="832" w:type="dxa"/>
            <w:tcBorders>
              <w:top w:val="nil"/>
              <w:left w:val="nil"/>
              <w:bottom w:val="nil"/>
              <w:right w:val="nil"/>
            </w:tcBorders>
            <w:vAlign w:val="bottom"/>
            <w:hideMark/>
          </w:tcPr>
          <w:p w14:paraId="30F905CC" w14:textId="77777777" w:rsidR="00A74C68" w:rsidRPr="00471CBA" w:rsidRDefault="00A74C68" w:rsidP="00F36B82">
            <w:pPr>
              <w:ind w:right="-45"/>
              <w:jc w:val="right"/>
              <w:rPr>
                <w:sz w:val="16"/>
                <w:szCs w:val="16"/>
              </w:rPr>
            </w:pPr>
            <w:r w:rsidRPr="00471CBA">
              <w:rPr>
                <w:sz w:val="16"/>
                <w:szCs w:val="16"/>
              </w:rPr>
              <w:t>-</w:t>
            </w:r>
          </w:p>
        </w:tc>
        <w:tc>
          <w:tcPr>
            <w:tcW w:w="879" w:type="dxa"/>
            <w:tcBorders>
              <w:top w:val="nil"/>
              <w:left w:val="nil"/>
              <w:bottom w:val="nil"/>
              <w:right w:val="nil"/>
            </w:tcBorders>
            <w:vAlign w:val="bottom"/>
            <w:hideMark/>
          </w:tcPr>
          <w:p w14:paraId="5C60305C"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712C1DAC" w14:textId="77777777" w:rsidR="00A74C68" w:rsidRPr="00471CBA" w:rsidRDefault="00A74C68" w:rsidP="00F36B82">
            <w:pPr>
              <w:ind w:right="-45"/>
              <w:jc w:val="right"/>
              <w:rPr>
                <w:sz w:val="16"/>
                <w:szCs w:val="16"/>
              </w:rPr>
            </w:pPr>
            <w:r w:rsidRPr="00471CBA">
              <w:rPr>
                <w:sz w:val="16"/>
                <w:szCs w:val="16"/>
              </w:rPr>
              <w:t>-</w:t>
            </w:r>
          </w:p>
        </w:tc>
      </w:tr>
      <w:tr w:rsidR="00A74C68" w:rsidRPr="00471CBA" w14:paraId="56CFFB27" w14:textId="77777777" w:rsidTr="00A74C68">
        <w:trPr>
          <w:divId w:val="1004547450"/>
          <w:trHeight w:val="113"/>
        </w:trPr>
        <w:tc>
          <w:tcPr>
            <w:tcW w:w="2212" w:type="dxa"/>
            <w:tcBorders>
              <w:top w:val="nil"/>
              <w:left w:val="nil"/>
              <w:bottom w:val="nil"/>
              <w:right w:val="nil"/>
            </w:tcBorders>
            <w:vAlign w:val="bottom"/>
            <w:hideMark/>
          </w:tcPr>
          <w:p w14:paraId="49E0A25B" w14:textId="77777777" w:rsidR="00A74C68" w:rsidRPr="00471CBA" w:rsidRDefault="00A74C68" w:rsidP="00A74C68">
            <w:pPr>
              <w:rPr>
                <w:b/>
                <w:bCs/>
                <w:sz w:val="16"/>
                <w:szCs w:val="16"/>
              </w:rPr>
            </w:pPr>
            <w:proofErr w:type="spellStart"/>
            <w:r w:rsidRPr="00471CBA">
              <w:rPr>
                <w:b/>
                <w:bCs/>
                <w:sz w:val="16"/>
                <w:szCs w:val="16"/>
              </w:rPr>
              <w:t>IX.Kıymetli</w:t>
            </w:r>
            <w:proofErr w:type="spellEnd"/>
            <w:r w:rsidRPr="00471CBA">
              <w:rPr>
                <w:b/>
                <w:bCs/>
                <w:sz w:val="16"/>
                <w:szCs w:val="16"/>
              </w:rPr>
              <w:t xml:space="preserve"> Maden DH</w:t>
            </w:r>
          </w:p>
        </w:tc>
        <w:tc>
          <w:tcPr>
            <w:tcW w:w="970" w:type="dxa"/>
            <w:tcBorders>
              <w:top w:val="nil"/>
              <w:left w:val="nil"/>
              <w:bottom w:val="nil"/>
              <w:right w:val="nil"/>
            </w:tcBorders>
            <w:vAlign w:val="bottom"/>
            <w:hideMark/>
          </w:tcPr>
          <w:p w14:paraId="49C15FF7" w14:textId="77777777" w:rsidR="00A74C68" w:rsidRPr="00471CBA" w:rsidRDefault="00A74C68" w:rsidP="00F36B82">
            <w:pPr>
              <w:ind w:right="-45"/>
              <w:jc w:val="right"/>
              <w:rPr>
                <w:b/>
                <w:bCs/>
                <w:sz w:val="16"/>
                <w:szCs w:val="16"/>
              </w:rPr>
            </w:pPr>
            <w:r w:rsidRPr="00471CBA">
              <w:rPr>
                <w:b/>
                <w:bCs/>
                <w:sz w:val="16"/>
                <w:szCs w:val="16"/>
              </w:rPr>
              <w:t>23.721.438</w:t>
            </w:r>
          </w:p>
        </w:tc>
        <w:tc>
          <w:tcPr>
            <w:tcW w:w="763" w:type="dxa"/>
            <w:tcBorders>
              <w:top w:val="nil"/>
              <w:left w:val="nil"/>
              <w:bottom w:val="nil"/>
              <w:right w:val="nil"/>
            </w:tcBorders>
            <w:vAlign w:val="bottom"/>
            <w:hideMark/>
          </w:tcPr>
          <w:p w14:paraId="1A8B5795" w14:textId="77777777" w:rsidR="00A74C68" w:rsidRPr="00471CBA" w:rsidRDefault="00A74C68" w:rsidP="00F36B82">
            <w:pPr>
              <w:ind w:right="-45"/>
              <w:jc w:val="right"/>
              <w:rPr>
                <w:b/>
                <w:bCs/>
                <w:sz w:val="16"/>
                <w:szCs w:val="16"/>
              </w:rPr>
            </w:pPr>
            <w:r w:rsidRPr="00471CBA">
              <w:rPr>
                <w:b/>
                <w:bCs/>
                <w:sz w:val="16"/>
                <w:szCs w:val="16"/>
              </w:rPr>
              <w:t>2.157.352</w:t>
            </w:r>
          </w:p>
        </w:tc>
        <w:tc>
          <w:tcPr>
            <w:tcW w:w="841" w:type="dxa"/>
            <w:tcBorders>
              <w:top w:val="nil"/>
              <w:left w:val="nil"/>
              <w:bottom w:val="nil"/>
              <w:right w:val="nil"/>
            </w:tcBorders>
            <w:vAlign w:val="bottom"/>
            <w:hideMark/>
          </w:tcPr>
          <w:p w14:paraId="6EABA23A" w14:textId="77777777" w:rsidR="00A74C68" w:rsidRPr="00471CBA" w:rsidRDefault="00A74C68" w:rsidP="00F36B82">
            <w:pPr>
              <w:ind w:right="-45"/>
              <w:jc w:val="right"/>
              <w:rPr>
                <w:b/>
                <w:bCs/>
                <w:sz w:val="16"/>
                <w:szCs w:val="16"/>
              </w:rPr>
            </w:pPr>
            <w:r w:rsidRPr="00471CBA">
              <w:rPr>
                <w:b/>
                <w:bCs/>
                <w:sz w:val="16"/>
                <w:szCs w:val="16"/>
              </w:rPr>
              <w:t>7.651.697</w:t>
            </w:r>
          </w:p>
        </w:tc>
        <w:tc>
          <w:tcPr>
            <w:tcW w:w="763" w:type="dxa"/>
            <w:tcBorders>
              <w:top w:val="nil"/>
              <w:left w:val="nil"/>
              <w:bottom w:val="nil"/>
              <w:right w:val="nil"/>
            </w:tcBorders>
            <w:vAlign w:val="bottom"/>
            <w:hideMark/>
          </w:tcPr>
          <w:p w14:paraId="497B86A0" w14:textId="77777777" w:rsidR="00A74C68" w:rsidRPr="00471CBA" w:rsidRDefault="00A74C68" w:rsidP="00F36B82">
            <w:pPr>
              <w:ind w:right="-45"/>
              <w:jc w:val="right"/>
              <w:rPr>
                <w:b/>
                <w:bCs/>
                <w:sz w:val="16"/>
                <w:szCs w:val="16"/>
              </w:rPr>
            </w:pPr>
            <w:r w:rsidRPr="00471CBA">
              <w:rPr>
                <w:b/>
                <w:bCs/>
                <w:sz w:val="16"/>
                <w:szCs w:val="16"/>
              </w:rPr>
              <w:t>1.851.850</w:t>
            </w:r>
          </w:p>
        </w:tc>
        <w:tc>
          <w:tcPr>
            <w:tcW w:w="694" w:type="dxa"/>
            <w:tcBorders>
              <w:top w:val="nil"/>
              <w:left w:val="nil"/>
              <w:bottom w:val="nil"/>
              <w:right w:val="nil"/>
            </w:tcBorders>
            <w:vAlign w:val="bottom"/>
            <w:hideMark/>
          </w:tcPr>
          <w:p w14:paraId="22E89632" w14:textId="77777777" w:rsidR="00A74C68" w:rsidRPr="00471CBA" w:rsidRDefault="00A74C68" w:rsidP="00F36B82">
            <w:pPr>
              <w:ind w:right="-45"/>
              <w:jc w:val="right"/>
              <w:rPr>
                <w:b/>
                <w:bCs/>
                <w:sz w:val="16"/>
                <w:szCs w:val="16"/>
              </w:rPr>
            </w:pPr>
            <w:r w:rsidRPr="00471CBA">
              <w:rPr>
                <w:b/>
                <w:bCs/>
                <w:sz w:val="16"/>
                <w:szCs w:val="16"/>
              </w:rPr>
              <w:t>-</w:t>
            </w:r>
          </w:p>
        </w:tc>
        <w:tc>
          <w:tcPr>
            <w:tcW w:w="693" w:type="dxa"/>
            <w:tcBorders>
              <w:top w:val="nil"/>
              <w:left w:val="nil"/>
              <w:bottom w:val="nil"/>
              <w:right w:val="nil"/>
            </w:tcBorders>
            <w:vAlign w:val="bottom"/>
            <w:hideMark/>
          </w:tcPr>
          <w:p w14:paraId="4FD6CF7C" w14:textId="77777777" w:rsidR="00A74C68" w:rsidRPr="00471CBA" w:rsidRDefault="00A74C68" w:rsidP="00F36B82">
            <w:pPr>
              <w:ind w:right="-45"/>
              <w:jc w:val="right"/>
              <w:rPr>
                <w:b/>
                <w:bCs/>
                <w:sz w:val="16"/>
                <w:szCs w:val="16"/>
              </w:rPr>
            </w:pPr>
            <w:r w:rsidRPr="00471CBA">
              <w:rPr>
                <w:b/>
                <w:bCs/>
                <w:sz w:val="16"/>
                <w:szCs w:val="16"/>
              </w:rPr>
              <w:t>192.094</w:t>
            </w:r>
          </w:p>
        </w:tc>
        <w:tc>
          <w:tcPr>
            <w:tcW w:w="832" w:type="dxa"/>
            <w:tcBorders>
              <w:top w:val="nil"/>
              <w:left w:val="nil"/>
              <w:bottom w:val="nil"/>
              <w:right w:val="nil"/>
            </w:tcBorders>
            <w:vAlign w:val="bottom"/>
            <w:hideMark/>
          </w:tcPr>
          <w:p w14:paraId="7EE2A148" w14:textId="77777777" w:rsidR="00A74C68" w:rsidRPr="00471CBA" w:rsidRDefault="00A74C68" w:rsidP="00F36B82">
            <w:pPr>
              <w:ind w:right="-45"/>
              <w:jc w:val="right"/>
              <w:rPr>
                <w:b/>
                <w:bCs/>
                <w:sz w:val="16"/>
                <w:szCs w:val="16"/>
              </w:rPr>
            </w:pPr>
            <w:r w:rsidRPr="00471CBA">
              <w:rPr>
                <w:b/>
                <w:bCs/>
                <w:sz w:val="16"/>
                <w:szCs w:val="16"/>
              </w:rPr>
              <w:t>575.303</w:t>
            </w:r>
          </w:p>
        </w:tc>
        <w:tc>
          <w:tcPr>
            <w:tcW w:w="879" w:type="dxa"/>
            <w:tcBorders>
              <w:top w:val="nil"/>
              <w:left w:val="nil"/>
              <w:bottom w:val="nil"/>
              <w:right w:val="nil"/>
            </w:tcBorders>
            <w:vAlign w:val="bottom"/>
            <w:hideMark/>
          </w:tcPr>
          <w:p w14:paraId="5752542C" w14:textId="77777777" w:rsidR="00A74C68" w:rsidRPr="00471CBA" w:rsidRDefault="00A74C68" w:rsidP="00F36B82">
            <w:pPr>
              <w:ind w:right="-45"/>
              <w:jc w:val="right"/>
              <w:rPr>
                <w:b/>
                <w:bCs/>
                <w:sz w:val="16"/>
                <w:szCs w:val="16"/>
              </w:rPr>
            </w:pPr>
            <w:r w:rsidRPr="00471CBA">
              <w:rPr>
                <w:b/>
                <w:bCs/>
                <w:sz w:val="16"/>
                <w:szCs w:val="16"/>
              </w:rPr>
              <w:t>-</w:t>
            </w:r>
          </w:p>
        </w:tc>
        <w:tc>
          <w:tcPr>
            <w:tcW w:w="841" w:type="dxa"/>
            <w:tcBorders>
              <w:top w:val="nil"/>
              <w:left w:val="nil"/>
              <w:bottom w:val="nil"/>
              <w:right w:val="nil"/>
            </w:tcBorders>
            <w:vAlign w:val="bottom"/>
            <w:hideMark/>
          </w:tcPr>
          <w:p w14:paraId="0C73F022" w14:textId="77777777" w:rsidR="00A74C68" w:rsidRPr="00471CBA" w:rsidRDefault="00A74C68" w:rsidP="00F36B82">
            <w:pPr>
              <w:ind w:right="-45"/>
              <w:jc w:val="right"/>
              <w:rPr>
                <w:b/>
                <w:bCs/>
                <w:sz w:val="16"/>
                <w:szCs w:val="16"/>
              </w:rPr>
            </w:pPr>
            <w:r w:rsidRPr="00471CBA">
              <w:rPr>
                <w:b/>
                <w:bCs/>
                <w:sz w:val="16"/>
                <w:szCs w:val="16"/>
              </w:rPr>
              <w:t>36.149.734</w:t>
            </w:r>
          </w:p>
        </w:tc>
      </w:tr>
      <w:tr w:rsidR="00A74C68" w:rsidRPr="00471CBA" w14:paraId="491B9923" w14:textId="77777777" w:rsidTr="00A74C68">
        <w:trPr>
          <w:divId w:val="1004547450"/>
          <w:trHeight w:val="113"/>
        </w:trPr>
        <w:tc>
          <w:tcPr>
            <w:tcW w:w="2212" w:type="dxa"/>
            <w:tcBorders>
              <w:top w:val="nil"/>
              <w:left w:val="nil"/>
              <w:bottom w:val="nil"/>
              <w:right w:val="nil"/>
            </w:tcBorders>
            <w:vAlign w:val="bottom"/>
            <w:hideMark/>
          </w:tcPr>
          <w:p w14:paraId="03E2E6DB" w14:textId="77777777" w:rsidR="00A74C68" w:rsidRPr="00471CBA" w:rsidRDefault="00A74C68" w:rsidP="00A74C68">
            <w:pPr>
              <w:rPr>
                <w:b/>
                <w:bCs/>
                <w:sz w:val="16"/>
                <w:szCs w:val="16"/>
              </w:rPr>
            </w:pPr>
            <w:r w:rsidRPr="00471CBA">
              <w:rPr>
                <w:b/>
                <w:bCs/>
                <w:sz w:val="16"/>
                <w:szCs w:val="16"/>
              </w:rPr>
              <w:t>X. Katılma Hesapları Özel Fon Havuzları-TP</w:t>
            </w:r>
          </w:p>
        </w:tc>
        <w:tc>
          <w:tcPr>
            <w:tcW w:w="970" w:type="dxa"/>
            <w:tcBorders>
              <w:top w:val="nil"/>
              <w:left w:val="nil"/>
              <w:bottom w:val="nil"/>
              <w:right w:val="nil"/>
            </w:tcBorders>
            <w:vAlign w:val="bottom"/>
            <w:hideMark/>
          </w:tcPr>
          <w:p w14:paraId="32BF1150" w14:textId="77777777" w:rsidR="00A74C68" w:rsidRPr="00471CBA" w:rsidRDefault="00A74C68" w:rsidP="00F36B82">
            <w:pPr>
              <w:ind w:right="-45"/>
              <w:jc w:val="right"/>
              <w:rPr>
                <w:b/>
                <w:bCs/>
                <w:sz w:val="16"/>
                <w:szCs w:val="16"/>
              </w:rPr>
            </w:pPr>
            <w:r w:rsidRPr="00471CBA">
              <w:rPr>
                <w:b/>
                <w:bCs/>
                <w:sz w:val="16"/>
                <w:szCs w:val="16"/>
              </w:rPr>
              <w:t>-</w:t>
            </w:r>
          </w:p>
        </w:tc>
        <w:tc>
          <w:tcPr>
            <w:tcW w:w="763" w:type="dxa"/>
            <w:tcBorders>
              <w:top w:val="nil"/>
              <w:left w:val="nil"/>
              <w:bottom w:val="nil"/>
              <w:right w:val="nil"/>
            </w:tcBorders>
            <w:vAlign w:val="bottom"/>
            <w:hideMark/>
          </w:tcPr>
          <w:p w14:paraId="6707F4EA" w14:textId="77777777" w:rsidR="00A74C68" w:rsidRPr="00471CBA" w:rsidRDefault="00A74C68" w:rsidP="00F36B82">
            <w:pPr>
              <w:ind w:right="-45"/>
              <w:jc w:val="right"/>
              <w:rPr>
                <w:b/>
                <w:bCs/>
                <w:sz w:val="16"/>
                <w:szCs w:val="16"/>
              </w:rPr>
            </w:pPr>
            <w:r w:rsidRPr="00471CBA">
              <w:rPr>
                <w:b/>
                <w:bCs/>
                <w:sz w:val="16"/>
                <w:szCs w:val="16"/>
              </w:rPr>
              <w:t>-</w:t>
            </w:r>
          </w:p>
        </w:tc>
        <w:tc>
          <w:tcPr>
            <w:tcW w:w="841" w:type="dxa"/>
            <w:tcBorders>
              <w:top w:val="nil"/>
              <w:left w:val="nil"/>
              <w:bottom w:val="nil"/>
              <w:right w:val="nil"/>
            </w:tcBorders>
            <w:vAlign w:val="bottom"/>
            <w:hideMark/>
          </w:tcPr>
          <w:p w14:paraId="374BA075" w14:textId="77777777" w:rsidR="00A74C68" w:rsidRPr="00471CBA" w:rsidRDefault="00A74C68" w:rsidP="00F36B82">
            <w:pPr>
              <w:ind w:right="-45"/>
              <w:jc w:val="right"/>
              <w:rPr>
                <w:b/>
                <w:bCs/>
                <w:sz w:val="16"/>
                <w:szCs w:val="16"/>
              </w:rPr>
            </w:pPr>
            <w:r w:rsidRPr="00471CBA">
              <w:rPr>
                <w:b/>
                <w:bCs/>
                <w:sz w:val="16"/>
                <w:szCs w:val="16"/>
              </w:rPr>
              <w:t>-</w:t>
            </w:r>
          </w:p>
        </w:tc>
        <w:tc>
          <w:tcPr>
            <w:tcW w:w="763" w:type="dxa"/>
            <w:tcBorders>
              <w:top w:val="nil"/>
              <w:left w:val="nil"/>
              <w:bottom w:val="nil"/>
              <w:right w:val="nil"/>
            </w:tcBorders>
            <w:vAlign w:val="bottom"/>
            <w:hideMark/>
          </w:tcPr>
          <w:p w14:paraId="6B576E1C" w14:textId="77777777" w:rsidR="00A74C68" w:rsidRPr="00471CBA" w:rsidRDefault="00A74C68" w:rsidP="00F36B82">
            <w:pPr>
              <w:ind w:right="-45"/>
              <w:jc w:val="right"/>
              <w:rPr>
                <w:b/>
                <w:bCs/>
                <w:sz w:val="16"/>
                <w:szCs w:val="16"/>
              </w:rPr>
            </w:pPr>
            <w:r w:rsidRPr="00471CBA">
              <w:rPr>
                <w:b/>
                <w:bCs/>
                <w:sz w:val="16"/>
                <w:szCs w:val="16"/>
              </w:rPr>
              <w:t>-</w:t>
            </w:r>
          </w:p>
        </w:tc>
        <w:tc>
          <w:tcPr>
            <w:tcW w:w="694" w:type="dxa"/>
            <w:tcBorders>
              <w:top w:val="nil"/>
              <w:left w:val="nil"/>
              <w:bottom w:val="nil"/>
              <w:right w:val="nil"/>
            </w:tcBorders>
            <w:vAlign w:val="bottom"/>
            <w:hideMark/>
          </w:tcPr>
          <w:p w14:paraId="14281E90" w14:textId="77777777" w:rsidR="00A74C68" w:rsidRPr="00471CBA" w:rsidRDefault="00A74C68" w:rsidP="00F36B82">
            <w:pPr>
              <w:ind w:right="-45"/>
              <w:jc w:val="right"/>
              <w:rPr>
                <w:b/>
                <w:bCs/>
                <w:sz w:val="16"/>
                <w:szCs w:val="16"/>
              </w:rPr>
            </w:pPr>
            <w:r w:rsidRPr="00471CBA">
              <w:rPr>
                <w:b/>
                <w:bCs/>
                <w:sz w:val="16"/>
                <w:szCs w:val="16"/>
              </w:rPr>
              <w:t>-</w:t>
            </w:r>
          </w:p>
        </w:tc>
        <w:tc>
          <w:tcPr>
            <w:tcW w:w="693" w:type="dxa"/>
            <w:tcBorders>
              <w:top w:val="nil"/>
              <w:left w:val="nil"/>
              <w:bottom w:val="nil"/>
              <w:right w:val="nil"/>
            </w:tcBorders>
            <w:vAlign w:val="bottom"/>
            <w:hideMark/>
          </w:tcPr>
          <w:p w14:paraId="62292D7D" w14:textId="77777777" w:rsidR="00A74C68" w:rsidRPr="00471CBA" w:rsidRDefault="00A74C68" w:rsidP="00F36B82">
            <w:pPr>
              <w:ind w:right="-45"/>
              <w:jc w:val="right"/>
              <w:rPr>
                <w:b/>
                <w:bCs/>
                <w:sz w:val="16"/>
                <w:szCs w:val="16"/>
              </w:rPr>
            </w:pPr>
            <w:r w:rsidRPr="00471CBA">
              <w:rPr>
                <w:b/>
                <w:bCs/>
                <w:sz w:val="16"/>
                <w:szCs w:val="16"/>
              </w:rPr>
              <w:t>-</w:t>
            </w:r>
          </w:p>
        </w:tc>
        <w:tc>
          <w:tcPr>
            <w:tcW w:w="832" w:type="dxa"/>
            <w:tcBorders>
              <w:top w:val="nil"/>
              <w:left w:val="nil"/>
              <w:bottom w:val="nil"/>
              <w:right w:val="nil"/>
            </w:tcBorders>
            <w:vAlign w:val="bottom"/>
            <w:hideMark/>
          </w:tcPr>
          <w:p w14:paraId="60C2F092" w14:textId="77777777" w:rsidR="00A74C68" w:rsidRPr="00471CBA" w:rsidRDefault="00A74C68" w:rsidP="00F36B82">
            <w:pPr>
              <w:ind w:right="-45"/>
              <w:jc w:val="right"/>
              <w:rPr>
                <w:b/>
                <w:bCs/>
                <w:sz w:val="16"/>
                <w:szCs w:val="16"/>
              </w:rPr>
            </w:pPr>
            <w:r w:rsidRPr="00471CBA">
              <w:rPr>
                <w:b/>
                <w:bCs/>
                <w:sz w:val="16"/>
                <w:szCs w:val="16"/>
              </w:rPr>
              <w:t>-</w:t>
            </w:r>
          </w:p>
        </w:tc>
        <w:tc>
          <w:tcPr>
            <w:tcW w:w="879" w:type="dxa"/>
            <w:tcBorders>
              <w:top w:val="nil"/>
              <w:left w:val="nil"/>
              <w:bottom w:val="nil"/>
              <w:right w:val="nil"/>
            </w:tcBorders>
            <w:vAlign w:val="bottom"/>
            <w:hideMark/>
          </w:tcPr>
          <w:p w14:paraId="3193FAEA" w14:textId="77777777" w:rsidR="00A74C68" w:rsidRPr="00471CBA" w:rsidRDefault="00A74C68" w:rsidP="00F36B82">
            <w:pPr>
              <w:ind w:right="-45"/>
              <w:jc w:val="right"/>
              <w:rPr>
                <w:b/>
                <w:bCs/>
                <w:sz w:val="16"/>
                <w:szCs w:val="16"/>
              </w:rPr>
            </w:pPr>
            <w:r w:rsidRPr="00471CBA">
              <w:rPr>
                <w:b/>
                <w:bCs/>
                <w:sz w:val="16"/>
                <w:szCs w:val="16"/>
              </w:rPr>
              <w:t>-</w:t>
            </w:r>
          </w:p>
        </w:tc>
        <w:tc>
          <w:tcPr>
            <w:tcW w:w="841" w:type="dxa"/>
            <w:tcBorders>
              <w:top w:val="nil"/>
              <w:left w:val="nil"/>
              <w:bottom w:val="nil"/>
              <w:right w:val="nil"/>
            </w:tcBorders>
            <w:vAlign w:val="bottom"/>
            <w:hideMark/>
          </w:tcPr>
          <w:p w14:paraId="150DAFBD" w14:textId="77777777" w:rsidR="00A74C68" w:rsidRPr="00471CBA" w:rsidRDefault="00A74C68" w:rsidP="00F36B82">
            <w:pPr>
              <w:ind w:right="-45"/>
              <w:jc w:val="right"/>
              <w:rPr>
                <w:b/>
                <w:bCs/>
                <w:sz w:val="16"/>
                <w:szCs w:val="16"/>
              </w:rPr>
            </w:pPr>
            <w:r w:rsidRPr="00471CBA">
              <w:rPr>
                <w:b/>
                <w:bCs/>
                <w:sz w:val="16"/>
                <w:szCs w:val="16"/>
              </w:rPr>
              <w:t>-</w:t>
            </w:r>
          </w:p>
        </w:tc>
      </w:tr>
      <w:tr w:rsidR="00A74C68" w:rsidRPr="00471CBA" w14:paraId="4F995E7C" w14:textId="77777777" w:rsidTr="00A74C68">
        <w:trPr>
          <w:divId w:val="1004547450"/>
          <w:trHeight w:val="113"/>
        </w:trPr>
        <w:tc>
          <w:tcPr>
            <w:tcW w:w="2212" w:type="dxa"/>
            <w:tcBorders>
              <w:top w:val="nil"/>
              <w:left w:val="nil"/>
              <w:bottom w:val="nil"/>
              <w:right w:val="nil"/>
            </w:tcBorders>
            <w:vAlign w:val="bottom"/>
            <w:hideMark/>
          </w:tcPr>
          <w:p w14:paraId="42CEA563" w14:textId="77777777" w:rsidR="00A74C68" w:rsidRPr="00471CBA" w:rsidRDefault="00A74C68" w:rsidP="00A74C68">
            <w:pPr>
              <w:rPr>
                <w:sz w:val="16"/>
                <w:szCs w:val="16"/>
              </w:rPr>
            </w:pPr>
            <w:r w:rsidRPr="00471CBA">
              <w:rPr>
                <w:sz w:val="16"/>
                <w:szCs w:val="16"/>
              </w:rPr>
              <w:t>Yurtiçinde Yer. K.</w:t>
            </w:r>
          </w:p>
        </w:tc>
        <w:tc>
          <w:tcPr>
            <w:tcW w:w="970" w:type="dxa"/>
            <w:tcBorders>
              <w:top w:val="nil"/>
              <w:left w:val="nil"/>
              <w:bottom w:val="nil"/>
              <w:right w:val="nil"/>
            </w:tcBorders>
            <w:vAlign w:val="bottom"/>
            <w:hideMark/>
          </w:tcPr>
          <w:p w14:paraId="0CABA05C"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2F339149"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68596945"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49286E68" w14:textId="77777777" w:rsidR="00A74C68" w:rsidRPr="00471CBA" w:rsidRDefault="00A74C68" w:rsidP="00F36B82">
            <w:pPr>
              <w:ind w:right="-45"/>
              <w:jc w:val="right"/>
              <w:rPr>
                <w:sz w:val="16"/>
                <w:szCs w:val="16"/>
              </w:rPr>
            </w:pPr>
            <w:r w:rsidRPr="00471CBA">
              <w:rPr>
                <w:sz w:val="16"/>
                <w:szCs w:val="16"/>
              </w:rPr>
              <w:t>-</w:t>
            </w:r>
          </w:p>
        </w:tc>
        <w:tc>
          <w:tcPr>
            <w:tcW w:w="694" w:type="dxa"/>
            <w:tcBorders>
              <w:top w:val="nil"/>
              <w:left w:val="nil"/>
              <w:bottom w:val="nil"/>
              <w:right w:val="nil"/>
            </w:tcBorders>
            <w:vAlign w:val="bottom"/>
            <w:hideMark/>
          </w:tcPr>
          <w:p w14:paraId="2F206CAA" w14:textId="77777777" w:rsidR="00A74C68" w:rsidRPr="00471CBA" w:rsidRDefault="00A74C68" w:rsidP="00F36B82">
            <w:pPr>
              <w:ind w:right="-45"/>
              <w:jc w:val="right"/>
              <w:rPr>
                <w:sz w:val="16"/>
                <w:szCs w:val="16"/>
              </w:rPr>
            </w:pPr>
            <w:r w:rsidRPr="00471CBA">
              <w:rPr>
                <w:sz w:val="16"/>
                <w:szCs w:val="16"/>
              </w:rPr>
              <w:t>-</w:t>
            </w:r>
          </w:p>
        </w:tc>
        <w:tc>
          <w:tcPr>
            <w:tcW w:w="693" w:type="dxa"/>
            <w:tcBorders>
              <w:top w:val="nil"/>
              <w:left w:val="nil"/>
              <w:bottom w:val="nil"/>
              <w:right w:val="nil"/>
            </w:tcBorders>
            <w:vAlign w:val="bottom"/>
            <w:hideMark/>
          </w:tcPr>
          <w:p w14:paraId="09F58A48" w14:textId="77777777" w:rsidR="00A74C68" w:rsidRPr="00471CBA" w:rsidRDefault="00A74C68" w:rsidP="00F36B82">
            <w:pPr>
              <w:ind w:right="-45"/>
              <w:jc w:val="right"/>
              <w:rPr>
                <w:sz w:val="16"/>
                <w:szCs w:val="16"/>
              </w:rPr>
            </w:pPr>
            <w:r w:rsidRPr="00471CBA">
              <w:rPr>
                <w:sz w:val="16"/>
                <w:szCs w:val="16"/>
              </w:rPr>
              <w:t>-</w:t>
            </w:r>
          </w:p>
        </w:tc>
        <w:tc>
          <w:tcPr>
            <w:tcW w:w="832" w:type="dxa"/>
            <w:tcBorders>
              <w:top w:val="nil"/>
              <w:left w:val="nil"/>
              <w:bottom w:val="nil"/>
              <w:right w:val="nil"/>
            </w:tcBorders>
            <w:vAlign w:val="bottom"/>
            <w:hideMark/>
          </w:tcPr>
          <w:p w14:paraId="2BC69B70" w14:textId="77777777" w:rsidR="00A74C68" w:rsidRPr="00471CBA" w:rsidRDefault="00A74C68" w:rsidP="00F36B82">
            <w:pPr>
              <w:ind w:right="-45"/>
              <w:jc w:val="right"/>
              <w:rPr>
                <w:sz w:val="16"/>
                <w:szCs w:val="16"/>
              </w:rPr>
            </w:pPr>
            <w:r w:rsidRPr="00471CBA">
              <w:rPr>
                <w:sz w:val="16"/>
                <w:szCs w:val="16"/>
              </w:rPr>
              <w:t>-</w:t>
            </w:r>
          </w:p>
        </w:tc>
        <w:tc>
          <w:tcPr>
            <w:tcW w:w="879" w:type="dxa"/>
            <w:tcBorders>
              <w:top w:val="nil"/>
              <w:left w:val="nil"/>
              <w:bottom w:val="nil"/>
              <w:right w:val="nil"/>
            </w:tcBorders>
            <w:vAlign w:val="bottom"/>
            <w:hideMark/>
          </w:tcPr>
          <w:p w14:paraId="7D45E2C3"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7D195330" w14:textId="77777777" w:rsidR="00A74C68" w:rsidRPr="00471CBA" w:rsidRDefault="00A74C68" w:rsidP="00F36B82">
            <w:pPr>
              <w:ind w:right="-45"/>
              <w:jc w:val="right"/>
              <w:rPr>
                <w:sz w:val="16"/>
                <w:szCs w:val="16"/>
              </w:rPr>
            </w:pPr>
            <w:r w:rsidRPr="00471CBA">
              <w:rPr>
                <w:sz w:val="16"/>
                <w:szCs w:val="16"/>
              </w:rPr>
              <w:t>-</w:t>
            </w:r>
          </w:p>
        </w:tc>
      </w:tr>
      <w:tr w:rsidR="00A74C68" w:rsidRPr="00471CBA" w14:paraId="047BDBBC" w14:textId="77777777" w:rsidTr="00A74C68">
        <w:trPr>
          <w:divId w:val="1004547450"/>
          <w:trHeight w:val="113"/>
        </w:trPr>
        <w:tc>
          <w:tcPr>
            <w:tcW w:w="2212" w:type="dxa"/>
            <w:tcBorders>
              <w:top w:val="nil"/>
              <w:left w:val="nil"/>
              <w:bottom w:val="nil"/>
              <w:right w:val="nil"/>
            </w:tcBorders>
            <w:vAlign w:val="bottom"/>
            <w:hideMark/>
          </w:tcPr>
          <w:p w14:paraId="49CA933D" w14:textId="77777777" w:rsidR="00A74C68" w:rsidRPr="00471CBA" w:rsidRDefault="00A74C68" w:rsidP="00A74C68">
            <w:pPr>
              <w:rPr>
                <w:sz w:val="16"/>
                <w:szCs w:val="16"/>
              </w:rPr>
            </w:pPr>
            <w:r w:rsidRPr="00471CBA">
              <w:rPr>
                <w:sz w:val="16"/>
                <w:szCs w:val="16"/>
              </w:rPr>
              <w:t>Yurtdışında Yer. K.</w:t>
            </w:r>
          </w:p>
        </w:tc>
        <w:tc>
          <w:tcPr>
            <w:tcW w:w="970" w:type="dxa"/>
            <w:tcBorders>
              <w:top w:val="nil"/>
              <w:left w:val="nil"/>
              <w:bottom w:val="nil"/>
              <w:right w:val="nil"/>
            </w:tcBorders>
            <w:vAlign w:val="bottom"/>
            <w:hideMark/>
          </w:tcPr>
          <w:p w14:paraId="7B7F5CFB"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601EF082"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1DFD97A6"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24AF8EC7" w14:textId="77777777" w:rsidR="00A74C68" w:rsidRPr="00471CBA" w:rsidRDefault="00A74C68" w:rsidP="00F36B82">
            <w:pPr>
              <w:ind w:right="-45"/>
              <w:jc w:val="right"/>
              <w:rPr>
                <w:sz w:val="16"/>
                <w:szCs w:val="16"/>
              </w:rPr>
            </w:pPr>
            <w:r w:rsidRPr="00471CBA">
              <w:rPr>
                <w:sz w:val="16"/>
                <w:szCs w:val="16"/>
              </w:rPr>
              <w:t>-</w:t>
            </w:r>
          </w:p>
        </w:tc>
        <w:tc>
          <w:tcPr>
            <w:tcW w:w="694" w:type="dxa"/>
            <w:tcBorders>
              <w:top w:val="nil"/>
              <w:left w:val="nil"/>
              <w:bottom w:val="nil"/>
              <w:right w:val="nil"/>
            </w:tcBorders>
            <w:vAlign w:val="bottom"/>
            <w:hideMark/>
          </w:tcPr>
          <w:p w14:paraId="7E05291A" w14:textId="77777777" w:rsidR="00A74C68" w:rsidRPr="00471CBA" w:rsidRDefault="00A74C68" w:rsidP="00F36B82">
            <w:pPr>
              <w:ind w:right="-45"/>
              <w:jc w:val="right"/>
              <w:rPr>
                <w:sz w:val="16"/>
                <w:szCs w:val="16"/>
              </w:rPr>
            </w:pPr>
            <w:r w:rsidRPr="00471CBA">
              <w:rPr>
                <w:sz w:val="16"/>
                <w:szCs w:val="16"/>
              </w:rPr>
              <w:t>-</w:t>
            </w:r>
          </w:p>
        </w:tc>
        <w:tc>
          <w:tcPr>
            <w:tcW w:w="693" w:type="dxa"/>
            <w:tcBorders>
              <w:top w:val="nil"/>
              <w:left w:val="nil"/>
              <w:bottom w:val="nil"/>
              <w:right w:val="nil"/>
            </w:tcBorders>
            <w:vAlign w:val="bottom"/>
            <w:hideMark/>
          </w:tcPr>
          <w:p w14:paraId="2706CF38" w14:textId="77777777" w:rsidR="00A74C68" w:rsidRPr="00471CBA" w:rsidRDefault="00A74C68" w:rsidP="00F36B82">
            <w:pPr>
              <w:ind w:right="-45"/>
              <w:jc w:val="right"/>
              <w:rPr>
                <w:sz w:val="16"/>
                <w:szCs w:val="16"/>
              </w:rPr>
            </w:pPr>
            <w:r w:rsidRPr="00471CBA">
              <w:rPr>
                <w:sz w:val="16"/>
                <w:szCs w:val="16"/>
              </w:rPr>
              <w:t>-</w:t>
            </w:r>
          </w:p>
        </w:tc>
        <w:tc>
          <w:tcPr>
            <w:tcW w:w="832" w:type="dxa"/>
            <w:tcBorders>
              <w:top w:val="nil"/>
              <w:left w:val="nil"/>
              <w:bottom w:val="nil"/>
              <w:right w:val="nil"/>
            </w:tcBorders>
            <w:vAlign w:val="bottom"/>
            <w:hideMark/>
          </w:tcPr>
          <w:p w14:paraId="4B486C16" w14:textId="77777777" w:rsidR="00A74C68" w:rsidRPr="00471CBA" w:rsidRDefault="00A74C68" w:rsidP="00F36B82">
            <w:pPr>
              <w:ind w:right="-45"/>
              <w:jc w:val="right"/>
              <w:rPr>
                <w:sz w:val="16"/>
                <w:szCs w:val="16"/>
              </w:rPr>
            </w:pPr>
            <w:r w:rsidRPr="00471CBA">
              <w:rPr>
                <w:sz w:val="16"/>
                <w:szCs w:val="16"/>
              </w:rPr>
              <w:t>-</w:t>
            </w:r>
          </w:p>
        </w:tc>
        <w:tc>
          <w:tcPr>
            <w:tcW w:w="879" w:type="dxa"/>
            <w:tcBorders>
              <w:top w:val="nil"/>
              <w:left w:val="nil"/>
              <w:bottom w:val="nil"/>
              <w:right w:val="nil"/>
            </w:tcBorders>
            <w:vAlign w:val="bottom"/>
            <w:hideMark/>
          </w:tcPr>
          <w:p w14:paraId="3467728B"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7FA1FD35" w14:textId="77777777" w:rsidR="00A74C68" w:rsidRPr="00471CBA" w:rsidRDefault="00A74C68" w:rsidP="00F36B82">
            <w:pPr>
              <w:ind w:right="-45"/>
              <w:jc w:val="right"/>
              <w:rPr>
                <w:sz w:val="16"/>
                <w:szCs w:val="16"/>
              </w:rPr>
            </w:pPr>
            <w:r w:rsidRPr="00471CBA">
              <w:rPr>
                <w:sz w:val="16"/>
                <w:szCs w:val="16"/>
              </w:rPr>
              <w:t>-</w:t>
            </w:r>
          </w:p>
        </w:tc>
      </w:tr>
      <w:tr w:rsidR="00A74C68" w:rsidRPr="00471CBA" w14:paraId="5445FA56" w14:textId="77777777" w:rsidTr="00A74C68">
        <w:trPr>
          <w:divId w:val="1004547450"/>
          <w:trHeight w:val="113"/>
        </w:trPr>
        <w:tc>
          <w:tcPr>
            <w:tcW w:w="2212" w:type="dxa"/>
            <w:tcBorders>
              <w:top w:val="nil"/>
              <w:left w:val="nil"/>
              <w:bottom w:val="nil"/>
              <w:right w:val="nil"/>
            </w:tcBorders>
            <w:vAlign w:val="bottom"/>
            <w:hideMark/>
          </w:tcPr>
          <w:p w14:paraId="1EA969FB" w14:textId="77777777" w:rsidR="00A74C68" w:rsidRPr="00471CBA" w:rsidRDefault="00A74C68" w:rsidP="00A74C68">
            <w:pPr>
              <w:rPr>
                <w:b/>
                <w:bCs/>
                <w:sz w:val="16"/>
                <w:szCs w:val="16"/>
              </w:rPr>
            </w:pPr>
            <w:r w:rsidRPr="00471CBA">
              <w:rPr>
                <w:rFonts w:eastAsia="Arial Unicode MS"/>
                <w:b/>
                <w:bCs/>
                <w:sz w:val="16"/>
                <w:szCs w:val="16"/>
              </w:rPr>
              <w:t>XI. Katılma Hesapları Özel Fon Havuzları-YP</w:t>
            </w:r>
          </w:p>
        </w:tc>
        <w:tc>
          <w:tcPr>
            <w:tcW w:w="970" w:type="dxa"/>
            <w:tcBorders>
              <w:top w:val="nil"/>
              <w:left w:val="nil"/>
              <w:bottom w:val="nil"/>
              <w:right w:val="nil"/>
            </w:tcBorders>
            <w:vAlign w:val="bottom"/>
            <w:hideMark/>
          </w:tcPr>
          <w:p w14:paraId="64537BE0" w14:textId="77777777" w:rsidR="00A74C68" w:rsidRPr="00471CBA" w:rsidRDefault="00A74C68" w:rsidP="00F36B82">
            <w:pPr>
              <w:ind w:right="-45"/>
              <w:jc w:val="right"/>
              <w:rPr>
                <w:b/>
                <w:bCs/>
                <w:sz w:val="16"/>
                <w:szCs w:val="16"/>
              </w:rPr>
            </w:pPr>
            <w:r w:rsidRPr="00471CBA">
              <w:rPr>
                <w:b/>
                <w:bCs/>
                <w:sz w:val="16"/>
                <w:szCs w:val="16"/>
              </w:rPr>
              <w:t>-</w:t>
            </w:r>
          </w:p>
        </w:tc>
        <w:tc>
          <w:tcPr>
            <w:tcW w:w="763" w:type="dxa"/>
            <w:tcBorders>
              <w:top w:val="nil"/>
              <w:left w:val="nil"/>
              <w:bottom w:val="nil"/>
              <w:right w:val="nil"/>
            </w:tcBorders>
            <w:vAlign w:val="bottom"/>
            <w:hideMark/>
          </w:tcPr>
          <w:p w14:paraId="71C43B54" w14:textId="77777777" w:rsidR="00A74C68" w:rsidRPr="00471CBA" w:rsidRDefault="00A74C68" w:rsidP="00F36B82">
            <w:pPr>
              <w:ind w:right="-45"/>
              <w:jc w:val="right"/>
              <w:rPr>
                <w:b/>
                <w:bCs/>
                <w:sz w:val="16"/>
                <w:szCs w:val="16"/>
              </w:rPr>
            </w:pPr>
            <w:r w:rsidRPr="00471CBA">
              <w:rPr>
                <w:b/>
                <w:bCs/>
                <w:sz w:val="16"/>
                <w:szCs w:val="16"/>
              </w:rPr>
              <w:t>-</w:t>
            </w:r>
          </w:p>
        </w:tc>
        <w:tc>
          <w:tcPr>
            <w:tcW w:w="841" w:type="dxa"/>
            <w:tcBorders>
              <w:top w:val="nil"/>
              <w:left w:val="nil"/>
              <w:bottom w:val="nil"/>
              <w:right w:val="nil"/>
            </w:tcBorders>
            <w:vAlign w:val="bottom"/>
            <w:hideMark/>
          </w:tcPr>
          <w:p w14:paraId="1025087E" w14:textId="77777777" w:rsidR="00A74C68" w:rsidRPr="00471CBA" w:rsidRDefault="00A74C68" w:rsidP="00F36B82">
            <w:pPr>
              <w:ind w:right="-45"/>
              <w:jc w:val="right"/>
              <w:rPr>
                <w:b/>
                <w:bCs/>
                <w:sz w:val="16"/>
                <w:szCs w:val="16"/>
              </w:rPr>
            </w:pPr>
            <w:r w:rsidRPr="00471CBA">
              <w:rPr>
                <w:b/>
                <w:bCs/>
                <w:sz w:val="16"/>
                <w:szCs w:val="16"/>
              </w:rPr>
              <w:t>-</w:t>
            </w:r>
          </w:p>
        </w:tc>
        <w:tc>
          <w:tcPr>
            <w:tcW w:w="763" w:type="dxa"/>
            <w:tcBorders>
              <w:top w:val="nil"/>
              <w:left w:val="nil"/>
              <w:bottom w:val="nil"/>
              <w:right w:val="nil"/>
            </w:tcBorders>
            <w:vAlign w:val="bottom"/>
            <w:hideMark/>
          </w:tcPr>
          <w:p w14:paraId="77C390BA" w14:textId="77777777" w:rsidR="00A74C68" w:rsidRPr="00471CBA" w:rsidRDefault="00A74C68" w:rsidP="00F36B82">
            <w:pPr>
              <w:ind w:right="-45"/>
              <w:jc w:val="right"/>
              <w:rPr>
                <w:b/>
                <w:bCs/>
                <w:sz w:val="16"/>
                <w:szCs w:val="16"/>
              </w:rPr>
            </w:pPr>
            <w:r w:rsidRPr="00471CBA">
              <w:rPr>
                <w:b/>
                <w:bCs/>
                <w:sz w:val="16"/>
                <w:szCs w:val="16"/>
              </w:rPr>
              <w:t>-</w:t>
            </w:r>
          </w:p>
        </w:tc>
        <w:tc>
          <w:tcPr>
            <w:tcW w:w="694" w:type="dxa"/>
            <w:tcBorders>
              <w:top w:val="nil"/>
              <w:left w:val="nil"/>
              <w:bottom w:val="nil"/>
              <w:right w:val="nil"/>
            </w:tcBorders>
            <w:vAlign w:val="bottom"/>
            <w:hideMark/>
          </w:tcPr>
          <w:p w14:paraId="2494304D" w14:textId="77777777" w:rsidR="00A74C68" w:rsidRPr="00471CBA" w:rsidRDefault="00A74C68" w:rsidP="00F36B82">
            <w:pPr>
              <w:ind w:right="-45"/>
              <w:jc w:val="right"/>
              <w:rPr>
                <w:b/>
                <w:bCs/>
                <w:sz w:val="16"/>
                <w:szCs w:val="16"/>
              </w:rPr>
            </w:pPr>
            <w:r w:rsidRPr="00471CBA">
              <w:rPr>
                <w:b/>
                <w:bCs/>
                <w:sz w:val="16"/>
                <w:szCs w:val="16"/>
              </w:rPr>
              <w:t>-</w:t>
            </w:r>
          </w:p>
        </w:tc>
        <w:tc>
          <w:tcPr>
            <w:tcW w:w="693" w:type="dxa"/>
            <w:tcBorders>
              <w:top w:val="nil"/>
              <w:left w:val="nil"/>
              <w:bottom w:val="nil"/>
              <w:right w:val="nil"/>
            </w:tcBorders>
            <w:vAlign w:val="bottom"/>
            <w:hideMark/>
          </w:tcPr>
          <w:p w14:paraId="640DAFD8" w14:textId="77777777" w:rsidR="00A74C68" w:rsidRPr="00471CBA" w:rsidRDefault="00A74C68" w:rsidP="00F36B82">
            <w:pPr>
              <w:ind w:right="-45"/>
              <w:jc w:val="right"/>
              <w:rPr>
                <w:b/>
                <w:bCs/>
                <w:sz w:val="16"/>
                <w:szCs w:val="16"/>
              </w:rPr>
            </w:pPr>
            <w:r w:rsidRPr="00471CBA">
              <w:rPr>
                <w:b/>
                <w:bCs/>
                <w:sz w:val="16"/>
                <w:szCs w:val="16"/>
              </w:rPr>
              <w:t>-</w:t>
            </w:r>
          </w:p>
        </w:tc>
        <w:tc>
          <w:tcPr>
            <w:tcW w:w="832" w:type="dxa"/>
            <w:tcBorders>
              <w:top w:val="nil"/>
              <w:left w:val="nil"/>
              <w:bottom w:val="nil"/>
              <w:right w:val="nil"/>
            </w:tcBorders>
            <w:vAlign w:val="bottom"/>
            <w:hideMark/>
          </w:tcPr>
          <w:p w14:paraId="7C1FE24F" w14:textId="77777777" w:rsidR="00A74C68" w:rsidRPr="00471CBA" w:rsidRDefault="00A74C68" w:rsidP="00F36B82">
            <w:pPr>
              <w:ind w:right="-45"/>
              <w:jc w:val="right"/>
              <w:rPr>
                <w:b/>
                <w:bCs/>
                <w:sz w:val="16"/>
                <w:szCs w:val="16"/>
              </w:rPr>
            </w:pPr>
            <w:r w:rsidRPr="00471CBA">
              <w:rPr>
                <w:b/>
                <w:bCs/>
                <w:sz w:val="16"/>
                <w:szCs w:val="16"/>
              </w:rPr>
              <w:t>-</w:t>
            </w:r>
          </w:p>
        </w:tc>
        <w:tc>
          <w:tcPr>
            <w:tcW w:w="879" w:type="dxa"/>
            <w:tcBorders>
              <w:top w:val="nil"/>
              <w:left w:val="nil"/>
              <w:bottom w:val="nil"/>
              <w:right w:val="nil"/>
            </w:tcBorders>
            <w:vAlign w:val="bottom"/>
            <w:hideMark/>
          </w:tcPr>
          <w:p w14:paraId="6E39DFAA" w14:textId="77777777" w:rsidR="00A74C68" w:rsidRPr="00471CBA" w:rsidRDefault="00A74C68" w:rsidP="00F36B82">
            <w:pPr>
              <w:ind w:right="-45"/>
              <w:jc w:val="right"/>
              <w:rPr>
                <w:b/>
                <w:bCs/>
                <w:sz w:val="16"/>
                <w:szCs w:val="16"/>
              </w:rPr>
            </w:pPr>
            <w:r w:rsidRPr="00471CBA">
              <w:rPr>
                <w:b/>
                <w:bCs/>
                <w:sz w:val="16"/>
                <w:szCs w:val="16"/>
              </w:rPr>
              <w:t>-</w:t>
            </w:r>
          </w:p>
        </w:tc>
        <w:tc>
          <w:tcPr>
            <w:tcW w:w="841" w:type="dxa"/>
            <w:tcBorders>
              <w:top w:val="nil"/>
              <w:left w:val="nil"/>
              <w:bottom w:val="nil"/>
              <w:right w:val="nil"/>
            </w:tcBorders>
            <w:vAlign w:val="bottom"/>
            <w:hideMark/>
          </w:tcPr>
          <w:p w14:paraId="3D467D69" w14:textId="77777777" w:rsidR="00A74C68" w:rsidRPr="00471CBA" w:rsidRDefault="00A74C68" w:rsidP="00F36B82">
            <w:pPr>
              <w:ind w:right="-45"/>
              <w:jc w:val="right"/>
              <w:rPr>
                <w:b/>
                <w:bCs/>
                <w:sz w:val="16"/>
                <w:szCs w:val="16"/>
              </w:rPr>
            </w:pPr>
            <w:r w:rsidRPr="00471CBA">
              <w:rPr>
                <w:b/>
                <w:bCs/>
                <w:sz w:val="16"/>
                <w:szCs w:val="16"/>
              </w:rPr>
              <w:t>-</w:t>
            </w:r>
          </w:p>
        </w:tc>
      </w:tr>
      <w:tr w:rsidR="00A74C68" w:rsidRPr="00471CBA" w14:paraId="3524701B" w14:textId="77777777" w:rsidTr="00A74C68">
        <w:trPr>
          <w:divId w:val="1004547450"/>
          <w:trHeight w:val="113"/>
        </w:trPr>
        <w:tc>
          <w:tcPr>
            <w:tcW w:w="2212" w:type="dxa"/>
            <w:tcBorders>
              <w:top w:val="nil"/>
              <w:left w:val="nil"/>
              <w:bottom w:val="nil"/>
              <w:right w:val="nil"/>
            </w:tcBorders>
            <w:vAlign w:val="bottom"/>
            <w:hideMark/>
          </w:tcPr>
          <w:p w14:paraId="1BA1A33D" w14:textId="77777777" w:rsidR="00A74C68" w:rsidRPr="00471CBA" w:rsidRDefault="00A74C68" w:rsidP="00A74C68">
            <w:pPr>
              <w:rPr>
                <w:sz w:val="16"/>
                <w:szCs w:val="16"/>
              </w:rPr>
            </w:pPr>
            <w:r w:rsidRPr="00471CBA">
              <w:rPr>
                <w:sz w:val="16"/>
                <w:szCs w:val="16"/>
              </w:rPr>
              <w:t>Yurtiçinde Yer. K.</w:t>
            </w:r>
          </w:p>
        </w:tc>
        <w:tc>
          <w:tcPr>
            <w:tcW w:w="970" w:type="dxa"/>
            <w:tcBorders>
              <w:top w:val="nil"/>
              <w:left w:val="nil"/>
              <w:bottom w:val="nil"/>
              <w:right w:val="nil"/>
            </w:tcBorders>
            <w:vAlign w:val="bottom"/>
            <w:hideMark/>
          </w:tcPr>
          <w:p w14:paraId="23002784"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57F8A9F3"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799CB58D"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nil"/>
              <w:right w:val="nil"/>
            </w:tcBorders>
            <w:vAlign w:val="bottom"/>
            <w:hideMark/>
          </w:tcPr>
          <w:p w14:paraId="0BEDE01B" w14:textId="77777777" w:rsidR="00A74C68" w:rsidRPr="00471CBA" w:rsidRDefault="00A74C68" w:rsidP="00F36B82">
            <w:pPr>
              <w:ind w:right="-45"/>
              <w:jc w:val="right"/>
              <w:rPr>
                <w:sz w:val="16"/>
                <w:szCs w:val="16"/>
              </w:rPr>
            </w:pPr>
            <w:r w:rsidRPr="00471CBA">
              <w:rPr>
                <w:sz w:val="16"/>
                <w:szCs w:val="16"/>
              </w:rPr>
              <w:t>-</w:t>
            </w:r>
          </w:p>
        </w:tc>
        <w:tc>
          <w:tcPr>
            <w:tcW w:w="694" w:type="dxa"/>
            <w:tcBorders>
              <w:top w:val="nil"/>
              <w:left w:val="nil"/>
              <w:bottom w:val="nil"/>
              <w:right w:val="nil"/>
            </w:tcBorders>
            <w:vAlign w:val="bottom"/>
            <w:hideMark/>
          </w:tcPr>
          <w:p w14:paraId="3FBB2547" w14:textId="77777777" w:rsidR="00A74C68" w:rsidRPr="00471CBA" w:rsidRDefault="00A74C68" w:rsidP="00F36B82">
            <w:pPr>
              <w:ind w:right="-45"/>
              <w:jc w:val="right"/>
              <w:rPr>
                <w:sz w:val="16"/>
                <w:szCs w:val="16"/>
              </w:rPr>
            </w:pPr>
            <w:r w:rsidRPr="00471CBA">
              <w:rPr>
                <w:sz w:val="16"/>
                <w:szCs w:val="16"/>
              </w:rPr>
              <w:t>-</w:t>
            </w:r>
          </w:p>
        </w:tc>
        <w:tc>
          <w:tcPr>
            <w:tcW w:w="693" w:type="dxa"/>
            <w:tcBorders>
              <w:top w:val="nil"/>
              <w:left w:val="nil"/>
              <w:bottom w:val="nil"/>
              <w:right w:val="nil"/>
            </w:tcBorders>
            <w:vAlign w:val="bottom"/>
            <w:hideMark/>
          </w:tcPr>
          <w:p w14:paraId="0991FAD9" w14:textId="77777777" w:rsidR="00A74C68" w:rsidRPr="00471CBA" w:rsidRDefault="00A74C68" w:rsidP="00F36B82">
            <w:pPr>
              <w:ind w:right="-45"/>
              <w:jc w:val="right"/>
              <w:rPr>
                <w:sz w:val="16"/>
                <w:szCs w:val="16"/>
              </w:rPr>
            </w:pPr>
            <w:r w:rsidRPr="00471CBA">
              <w:rPr>
                <w:sz w:val="16"/>
                <w:szCs w:val="16"/>
              </w:rPr>
              <w:t>-</w:t>
            </w:r>
          </w:p>
        </w:tc>
        <w:tc>
          <w:tcPr>
            <w:tcW w:w="832" w:type="dxa"/>
            <w:tcBorders>
              <w:top w:val="nil"/>
              <w:left w:val="nil"/>
              <w:bottom w:val="nil"/>
              <w:right w:val="nil"/>
            </w:tcBorders>
            <w:vAlign w:val="bottom"/>
            <w:hideMark/>
          </w:tcPr>
          <w:p w14:paraId="40511972" w14:textId="77777777" w:rsidR="00A74C68" w:rsidRPr="00471CBA" w:rsidRDefault="00A74C68" w:rsidP="00F36B82">
            <w:pPr>
              <w:ind w:right="-45"/>
              <w:jc w:val="right"/>
              <w:rPr>
                <w:sz w:val="16"/>
                <w:szCs w:val="16"/>
              </w:rPr>
            </w:pPr>
            <w:r w:rsidRPr="00471CBA">
              <w:rPr>
                <w:sz w:val="16"/>
                <w:szCs w:val="16"/>
              </w:rPr>
              <w:t>-</w:t>
            </w:r>
          </w:p>
        </w:tc>
        <w:tc>
          <w:tcPr>
            <w:tcW w:w="879" w:type="dxa"/>
            <w:tcBorders>
              <w:top w:val="nil"/>
              <w:left w:val="nil"/>
              <w:bottom w:val="nil"/>
              <w:right w:val="nil"/>
            </w:tcBorders>
            <w:vAlign w:val="bottom"/>
            <w:hideMark/>
          </w:tcPr>
          <w:p w14:paraId="0249F040"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nil"/>
              <w:right w:val="nil"/>
            </w:tcBorders>
            <w:vAlign w:val="bottom"/>
            <w:hideMark/>
          </w:tcPr>
          <w:p w14:paraId="699285D0" w14:textId="77777777" w:rsidR="00A74C68" w:rsidRPr="00471CBA" w:rsidRDefault="00A74C68" w:rsidP="00F36B82">
            <w:pPr>
              <w:ind w:right="-45"/>
              <w:jc w:val="right"/>
              <w:rPr>
                <w:sz w:val="16"/>
                <w:szCs w:val="16"/>
              </w:rPr>
            </w:pPr>
            <w:r w:rsidRPr="00471CBA">
              <w:rPr>
                <w:sz w:val="16"/>
                <w:szCs w:val="16"/>
              </w:rPr>
              <w:t>-</w:t>
            </w:r>
          </w:p>
        </w:tc>
      </w:tr>
      <w:tr w:rsidR="00A74C68" w:rsidRPr="00471CBA" w14:paraId="22E2B61A" w14:textId="77777777" w:rsidTr="00A74C68">
        <w:trPr>
          <w:divId w:val="1004547450"/>
          <w:trHeight w:val="113"/>
        </w:trPr>
        <w:tc>
          <w:tcPr>
            <w:tcW w:w="2212" w:type="dxa"/>
            <w:tcBorders>
              <w:top w:val="nil"/>
              <w:left w:val="nil"/>
              <w:bottom w:val="single" w:sz="4" w:space="0" w:color="auto"/>
              <w:right w:val="nil"/>
            </w:tcBorders>
            <w:vAlign w:val="bottom"/>
            <w:hideMark/>
          </w:tcPr>
          <w:p w14:paraId="51ED89BC" w14:textId="77777777" w:rsidR="00A74C68" w:rsidRPr="00471CBA" w:rsidRDefault="00A74C68" w:rsidP="00A74C68">
            <w:pPr>
              <w:rPr>
                <w:sz w:val="16"/>
                <w:szCs w:val="16"/>
              </w:rPr>
            </w:pPr>
            <w:r w:rsidRPr="00471CBA">
              <w:rPr>
                <w:sz w:val="16"/>
                <w:szCs w:val="16"/>
              </w:rPr>
              <w:t>Yurtdışında Yer. K.</w:t>
            </w:r>
          </w:p>
        </w:tc>
        <w:tc>
          <w:tcPr>
            <w:tcW w:w="970" w:type="dxa"/>
            <w:tcBorders>
              <w:top w:val="nil"/>
              <w:left w:val="nil"/>
              <w:bottom w:val="single" w:sz="4" w:space="0" w:color="auto"/>
              <w:right w:val="nil"/>
            </w:tcBorders>
            <w:vAlign w:val="bottom"/>
            <w:hideMark/>
          </w:tcPr>
          <w:p w14:paraId="20C9C78B"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single" w:sz="4" w:space="0" w:color="auto"/>
              <w:right w:val="nil"/>
            </w:tcBorders>
            <w:vAlign w:val="bottom"/>
            <w:hideMark/>
          </w:tcPr>
          <w:p w14:paraId="77F8D597"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single" w:sz="4" w:space="0" w:color="auto"/>
              <w:right w:val="nil"/>
            </w:tcBorders>
            <w:vAlign w:val="bottom"/>
            <w:hideMark/>
          </w:tcPr>
          <w:p w14:paraId="2027079B" w14:textId="77777777" w:rsidR="00A74C68" w:rsidRPr="00471CBA" w:rsidRDefault="00A74C68" w:rsidP="00F36B82">
            <w:pPr>
              <w:ind w:right="-45"/>
              <w:jc w:val="right"/>
              <w:rPr>
                <w:sz w:val="16"/>
                <w:szCs w:val="16"/>
              </w:rPr>
            </w:pPr>
            <w:r w:rsidRPr="00471CBA">
              <w:rPr>
                <w:sz w:val="16"/>
                <w:szCs w:val="16"/>
              </w:rPr>
              <w:t>-</w:t>
            </w:r>
          </w:p>
        </w:tc>
        <w:tc>
          <w:tcPr>
            <w:tcW w:w="763" w:type="dxa"/>
            <w:tcBorders>
              <w:top w:val="nil"/>
              <w:left w:val="nil"/>
              <w:bottom w:val="single" w:sz="4" w:space="0" w:color="auto"/>
              <w:right w:val="nil"/>
            </w:tcBorders>
            <w:vAlign w:val="bottom"/>
            <w:hideMark/>
          </w:tcPr>
          <w:p w14:paraId="145B81A1" w14:textId="77777777" w:rsidR="00A74C68" w:rsidRPr="00471CBA" w:rsidRDefault="00A74C68" w:rsidP="00F36B82">
            <w:pPr>
              <w:ind w:right="-45"/>
              <w:jc w:val="right"/>
              <w:rPr>
                <w:sz w:val="16"/>
                <w:szCs w:val="16"/>
              </w:rPr>
            </w:pPr>
            <w:r w:rsidRPr="00471CBA">
              <w:rPr>
                <w:sz w:val="16"/>
                <w:szCs w:val="16"/>
              </w:rPr>
              <w:t>-</w:t>
            </w:r>
          </w:p>
        </w:tc>
        <w:tc>
          <w:tcPr>
            <w:tcW w:w="694" w:type="dxa"/>
            <w:tcBorders>
              <w:top w:val="nil"/>
              <w:left w:val="nil"/>
              <w:bottom w:val="single" w:sz="4" w:space="0" w:color="auto"/>
              <w:right w:val="nil"/>
            </w:tcBorders>
            <w:vAlign w:val="bottom"/>
            <w:hideMark/>
          </w:tcPr>
          <w:p w14:paraId="1588B96F" w14:textId="77777777" w:rsidR="00A74C68" w:rsidRPr="00471CBA" w:rsidRDefault="00A74C68" w:rsidP="00F36B82">
            <w:pPr>
              <w:ind w:right="-45"/>
              <w:jc w:val="right"/>
              <w:rPr>
                <w:sz w:val="16"/>
                <w:szCs w:val="16"/>
              </w:rPr>
            </w:pPr>
            <w:r w:rsidRPr="00471CBA">
              <w:rPr>
                <w:sz w:val="16"/>
                <w:szCs w:val="16"/>
              </w:rPr>
              <w:t>-</w:t>
            </w:r>
          </w:p>
        </w:tc>
        <w:tc>
          <w:tcPr>
            <w:tcW w:w="693" w:type="dxa"/>
            <w:tcBorders>
              <w:top w:val="nil"/>
              <w:left w:val="nil"/>
              <w:bottom w:val="single" w:sz="4" w:space="0" w:color="auto"/>
              <w:right w:val="nil"/>
            </w:tcBorders>
            <w:vAlign w:val="bottom"/>
            <w:hideMark/>
          </w:tcPr>
          <w:p w14:paraId="393E96CA" w14:textId="77777777" w:rsidR="00A74C68" w:rsidRPr="00471CBA" w:rsidRDefault="00A74C68" w:rsidP="00F36B82">
            <w:pPr>
              <w:ind w:right="-45"/>
              <w:jc w:val="right"/>
              <w:rPr>
                <w:sz w:val="16"/>
                <w:szCs w:val="16"/>
              </w:rPr>
            </w:pPr>
            <w:r w:rsidRPr="00471CBA">
              <w:rPr>
                <w:sz w:val="16"/>
                <w:szCs w:val="16"/>
              </w:rPr>
              <w:t>-</w:t>
            </w:r>
          </w:p>
        </w:tc>
        <w:tc>
          <w:tcPr>
            <w:tcW w:w="832" w:type="dxa"/>
            <w:tcBorders>
              <w:top w:val="nil"/>
              <w:left w:val="nil"/>
              <w:bottom w:val="single" w:sz="4" w:space="0" w:color="auto"/>
              <w:right w:val="nil"/>
            </w:tcBorders>
            <w:vAlign w:val="bottom"/>
            <w:hideMark/>
          </w:tcPr>
          <w:p w14:paraId="312B9774" w14:textId="77777777" w:rsidR="00A74C68" w:rsidRPr="00471CBA" w:rsidRDefault="00A74C68" w:rsidP="00F36B82">
            <w:pPr>
              <w:ind w:right="-45"/>
              <w:jc w:val="right"/>
              <w:rPr>
                <w:sz w:val="16"/>
                <w:szCs w:val="16"/>
              </w:rPr>
            </w:pPr>
            <w:r w:rsidRPr="00471CBA">
              <w:rPr>
                <w:sz w:val="16"/>
                <w:szCs w:val="16"/>
              </w:rPr>
              <w:t>-</w:t>
            </w:r>
          </w:p>
        </w:tc>
        <w:tc>
          <w:tcPr>
            <w:tcW w:w="879" w:type="dxa"/>
            <w:tcBorders>
              <w:top w:val="nil"/>
              <w:left w:val="nil"/>
              <w:bottom w:val="single" w:sz="4" w:space="0" w:color="auto"/>
              <w:right w:val="nil"/>
            </w:tcBorders>
            <w:vAlign w:val="bottom"/>
            <w:hideMark/>
          </w:tcPr>
          <w:p w14:paraId="705E0F56" w14:textId="77777777" w:rsidR="00A74C68" w:rsidRPr="00471CBA" w:rsidRDefault="00A74C68" w:rsidP="00F36B82">
            <w:pPr>
              <w:ind w:right="-45"/>
              <w:jc w:val="right"/>
              <w:rPr>
                <w:sz w:val="16"/>
                <w:szCs w:val="16"/>
              </w:rPr>
            </w:pPr>
            <w:r w:rsidRPr="00471CBA">
              <w:rPr>
                <w:sz w:val="16"/>
                <w:szCs w:val="16"/>
              </w:rPr>
              <w:t>-</w:t>
            </w:r>
          </w:p>
        </w:tc>
        <w:tc>
          <w:tcPr>
            <w:tcW w:w="841" w:type="dxa"/>
            <w:tcBorders>
              <w:top w:val="nil"/>
              <w:left w:val="nil"/>
              <w:bottom w:val="single" w:sz="4" w:space="0" w:color="auto"/>
              <w:right w:val="nil"/>
            </w:tcBorders>
            <w:vAlign w:val="bottom"/>
            <w:hideMark/>
          </w:tcPr>
          <w:p w14:paraId="637F3A0B" w14:textId="77777777" w:rsidR="00A74C68" w:rsidRPr="00471CBA" w:rsidRDefault="00A74C68" w:rsidP="00F36B82">
            <w:pPr>
              <w:ind w:right="-45"/>
              <w:jc w:val="right"/>
              <w:rPr>
                <w:sz w:val="16"/>
                <w:szCs w:val="16"/>
              </w:rPr>
            </w:pPr>
            <w:r w:rsidRPr="00471CBA">
              <w:rPr>
                <w:sz w:val="16"/>
                <w:szCs w:val="16"/>
              </w:rPr>
              <w:t>-</w:t>
            </w:r>
          </w:p>
        </w:tc>
      </w:tr>
      <w:tr w:rsidR="00A74C68" w:rsidRPr="00471CBA" w14:paraId="4105BFFF" w14:textId="77777777" w:rsidTr="00A74C68">
        <w:trPr>
          <w:divId w:val="1004547450"/>
          <w:trHeight w:val="113"/>
        </w:trPr>
        <w:tc>
          <w:tcPr>
            <w:tcW w:w="2212" w:type="dxa"/>
            <w:tcBorders>
              <w:top w:val="nil"/>
              <w:left w:val="nil"/>
              <w:right w:val="nil"/>
            </w:tcBorders>
            <w:vAlign w:val="bottom"/>
            <w:hideMark/>
          </w:tcPr>
          <w:p w14:paraId="6E70D1D1" w14:textId="77777777" w:rsidR="00A74C68" w:rsidRPr="00471CBA" w:rsidRDefault="00A74C68" w:rsidP="00A74C68">
            <w:pPr>
              <w:rPr>
                <w:sz w:val="16"/>
                <w:szCs w:val="16"/>
              </w:rPr>
            </w:pPr>
          </w:p>
        </w:tc>
        <w:tc>
          <w:tcPr>
            <w:tcW w:w="970" w:type="dxa"/>
            <w:tcBorders>
              <w:top w:val="nil"/>
              <w:left w:val="nil"/>
              <w:right w:val="nil"/>
            </w:tcBorders>
            <w:noWrap/>
            <w:vAlign w:val="bottom"/>
            <w:hideMark/>
          </w:tcPr>
          <w:p w14:paraId="792E3EFA" w14:textId="77777777" w:rsidR="00A74C68" w:rsidRPr="00471CBA" w:rsidRDefault="00A74C68" w:rsidP="00F36B82">
            <w:pPr>
              <w:ind w:right="-45"/>
              <w:jc w:val="right"/>
              <w:rPr>
                <w:sz w:val="16"/>
                <w:szCs w:val="16"/>
              </w:rPr>
            </w:pPr>
          </w:p>
        </w:tc>
        <w:tc>
          <w:tcPr>
            <w:tcW w:w="763" w:type="dxa"/>
            <w:tcBorders>
              <w:top w:val="nil"/>
              <w:left w:val="nil"/>
              <w:right w:val="nil"/>
            </w:tcBorders>
            <w:noWrap/>
            <w:vAlign w:val="bottom"/>
            <w:hideMark/>
          </w:tcPr>
          <w:p w14:paraId="7E32E6FE" w14:textId="77777777" w:rsidR="00A74C68" w:rsidRPr="00471CBA" w:rsidRDefault="00A74C68" w:rsidP="00F36B82">
            <w:pPr>
              <w:ind w:right="-45"/>
              <w:jc w:val="right"/>
              <w:rPr>
                <w:sz w:val="16"/>
                <w:szCs w:val="16"/>
              </w:rPr>
            </w:pPr>
          </w:p>
        </w:tc>
        <w:tc>
          <w:tcPr>
            <w:tcW w:w="841" w:type="dxa"/>
            <w:tcBorders>
              <w:top w:val="nil"/>
              <w:left w:val="nil"/>
              <w:right w:val="nil"/>
            </w:tcBorders>
            <w:noWrap/>
            <w:vAlign w:val="bottom"/>
            <w:hideMark/>
          </w:tcPr>
          <w:p w14:paraId="01D486F4" w14:textId="77777777" w:rsidR="00A74C68" w:rsidRPr="00471CBA" w:rsidRDefault="00A74C68" w:rsidP="00F36B82">
            <w:pPr>
              <w:ind w:right="-45"/>
              <w:jc w:val="right"/>
              <w:rPr>
                <w:sz w:val="16"/>
                <w:szCs w:val="16"/>
              </w:rPr>
            </w:pPr>
          </w:p>
        </w:tc>
        <w:tc>
          <w:tcPr>
            <w:tcW w:w="763" w:type="dxa"/>
            <w:tcBorders>
              <w:top w:val="nil"/>
              <w:left w:val="nil"/>
              <w:right w:val="nil"/>
            </w:tcBorders>
            <w:noWrap/>
            <w:vAlign w:val="bottom"/>
            <w:hideMark/>
          </w:tcPr>
          <w:p w14:paraId="5149E8AD" w14:textId="77777777" w:rsidR="00A74C68" w:rsidRPr="00471CBA" w:rsidRDefault="00A74C68" w:rsidP="00F36B82">
            <w:pPr>
              <w:ind w:right="-45"/>
              <w:jc w:val="right"/>
              <w:rPr>
                <w:sz w:val="16"/>
                <w:szCs w:val="16"/>
              </w:rPr>
            </w:pPr>
          </w:p>
        </w:tc>
        <w:tc>
          <w:tcPr>
            <w:tcW w:w="694" w:type="dxa"/>
            <w:tcBorders>
              <w:top w:val="nil"/>
              <w:left w:val="nil"/>
              <w:right w:val="nil"/>
            </w:tcBorders>
            <w:noWrap/>
            <w:vAlign w:val="bottom"/>
            <w:hideMark/>
          </w:tcPr>
          <w:p w14:paraId="1B700ADF" w14:textId="77777777" w:rsidR="00A74C68" w:rsidRPr="00471CBA" w:rsidRDefault="00A74C68" w:rsidP="00F36B82">
            <w:pPr>
              <w:ind w:right="-45"/>
              <w:jc w:val="right"/>
              <w:rPr>
                <w:sz w:val="16"/>
                <w:szCs w:val="16"/>
              </w:rPr>
            </w:pPr>
          </w:p>
        </w:tc>
        <w:tc>
          <w:tcPr>
            <w:tcW w:w="693" w:type="dxa"/>
            <w:tcBorders>
              <w:top w:val="nil"/>
              <w:left w:val="nil"/>
              <w:right w:val="nil"/>
            </w:tcBorders>
            <w:noWrap/>
            <w:vAlign w:val="bottom"/>
            <w:hideMark/>
          </w:tcPr>
          <w:p w14:paraId="345DC535" w14:textId="77777777" w:rsidR="00A74C68" w:rsidRPr="00471CBA" w:rsidRDefault="00A74C68" w:rsidP="00F36B82">
            <w:pPr>
              <w:ind w:right="-45"/>
              <w:jc w:val="right"/>
              <w:rPr>
                <w:sz w:val="16"/>
                <w:szCs w:val="16"/>
              </w:rPr>
            </w:pPr>
          </w:p>
        </w:tc>
        <w:tc>
          <w:tcPr>
            <w:tcW w:w="832" w:type="dxa"/>
            <w:tcBorders>
              <w:top w:val="nil"/>
              <w:left w:val="nil"/>
              <w:right w:val="nil"/>
            </w:tcBorders>
            <w:noWrap/>
            <w:vAlign w:val="bottom"/>
            <w:hideMark/>
          </w:tcPr>
          <w:p w14:paraId="0C6364F0" w14:textId="77777777" w:rsidR="00A74C68" w:rsidRPr="00471CBA" w:rsidRDefault="00A74C68" w:rsidP="00F36B82">
            <w:pPr>
              <w:ind w:right="-45"/>
              <w:jc w:val="right"/>
              <w:rPr>
                <w:sz w:val="16"/>
                <w:szCs w:val="16"/>
              </w:rPr>
            </w:pPr>
          </w:p>
        </w:tc>
        <w:tc>
          <w:tcPr>
            <w:tcW w:w="879" w:type="dxa"/>
            <w:tcBorders>
              <w:top w:val="nil"/>
              <w:left w:val="nil"/>
              <w:right w:val="nil"/>
            </w:tcBorders>
            <w:vAlign w:val="bottom"/>
            <w:hideMark/>
          </w:tcPr>
          <w:p w14:paraId="5C240721" w14:textId="77777777" w:rsidR="00A74C68" w:rsidRPr="00471CBA" w:rsidRDefault="00A74C68" w:rsidP="00F36B82">
            <w:pPr>
              <w:ind w:right="-45"/>
              <w:jc w:val="right"/>
              <w:rPr>
                <w:sz w:val="16"/>
                <w:szCs w:val="16"/>
              </w:rPr>
            </w:pPr>
          </w:p>
        </w:tc>
        <w:tc>
          <w:tcPr>
            <w:tcW w:w="841" w:type="dxa"/>
            <w:tcBorders>
              <w:top w:val="nil"/>
              <w:left w:val="nil"/>
              <w:right w:val="nil"/>
            </w:tcBorders>
            <w:vAlign w:val="bottom"/>
            <w:hideMark/>
          </w:tcPr>
          <w:p w14:paraId="6D3262D0" w14:textId="77777777" w:rsidR="00A74C68" w:rsidRPr="00471CBA" w:rsidRDefault="00A74C68" w:rsidP="00F36B82">
            <w:pPr>
              <w:ind w:right="-45"/>
              <w:jc w:val="right"/>
              <w:rPr>
                <w:sz w:val="16"/>
                <w:szCs w:val="16"/>
              </w:rPr>
            </w:pPr>
          </w:p>
        </w:tc>
      </w:tr>
      <w:tr w:rsidR="00A74C68" w:rsidRPr="00471CBA" w14:paraId="70AE9121" w14:textId="77777777" w:rsidTr="00A74C68">
        <w:trPr>
          <w:divId w:val="1004547450"/>
          <w:trHeight w:val="113"/>
        </w:trPr>
        <w:tc>
          <w:tcPr>
            <w:tcW w:w="2212" w:type="dxa"/>
            <w:tcBorders>
              <w:top w:val="nil"/>
              <w:left w:val="nil"/>
              <w:bottom w:val="single" w:sz="12" w:space="0" w:color="auto"/>
              <w:right w:val="nil"/>
            </w:tcBorders>
            <w:vAlign w:val="bottom"/>
            <w:hideMark/>
          </w:tcPr>
          <w:p w14:paraId="14A36BFC" w14:textId="77777777" w:rsidR="00A74C68" w:rsidRPr="00471CBA" w:rsidRDefault="00A74C68" w:rsidP="00A74C68">
            <w:pPr>
              <w:rPr>
                <w:b/>
                <w:bCs/>
                <w:sz w:val="16"/>
                <w:szCs w:val="16"/>
              </w:rPr>
            </w:pPr>
            <w:r w:rsidRPr="00471CBA">
              <w:rPr>
                <w:rFonts w:eastAsia="Arial Unicode MS"/>
                <w:b/>
                <w:bCs/>
                <w:sz w:val="16"/>
                <w:szCs w:val="16"/>
              </w:rPr>
              <w:t>Toplam (I+II</w:t>
            </w:r>
            <w:proofErr w:type="gramStart"/>
            <w:r w:rsidRPr="00471CBA">
              <w:rPr>
                <w:rFonts w:eastAsia="Arial Unicode MS"/>
                <w:b/>
                <w:bCs/>
                <w:sz w:val="16"/>
                <w:szCs w:val="16"/>
              </w:rPr>
              <w:t>+..</w:t>
            </w:r>
            <w:proofErr w:type="gramEnd"/>
            <w:r w:rsidRPr="00471CBA">
              <w:rPr>
                <w:rFonts w:eastAsia="Arial Unicode MS"/>
                <w:b/>
                <w:bCs/>
                <w:sz w:val="16"/>
                <w:szCs w:val="16"/>
              </w:rPr>
              <w:t>+IX+X+XI)</w:t>
            </w:r>
          </w:p>
        </w:tc>
        <w:tc>
          <w:tcPr>
            <w:tcW w:w="970" w:type="dxa"/>
            <w:tcBorders>
              <w:top w:val="nil"/>
              <w:left w:val="nil"/>
              <w:bottom w:val="single" w:sz="12" w:space="0" w:color="auto"/>
              <w:right w:val="nil"/>
            </w:tcBorders>
            <w:vAlign w:val="bottom"/>
            <w:hideMark/>
          </w:tcPr>
          <w:p w14:paraId="5C726DEC" w14:textId="77777777" w:rsidR="00A74C68" w:rsidRPr="00471CBA" w:rsidRDefault="00A74C68" w:rsidP="00F36B82">
            <w:pPr>
              <w:ind w:right="-45"/>
              <w:jc w:val="right"/>
              <w:rPr>
                <w:b/>
                <w:bCs/>
                <w:sz w:val="16"/>
                <w:szCs w:val="16"/>
              </w:rPr>
            </w:pPr>
            <w:r w:rsidRPr="00471CBA">
              <w:rPr>
                <w:b/>
                <w:bCs/>
                <w:sz w:val="16"/>
                <w:szCs w:val="16"/>
              </w:rPr>
              <w:t>31.581.857</w:t>
            </w:r>
          </w:p>
        </w:tc>
        <w:tc>
          <w:tcPr>
            <w:tcW w:w="763" w:type="dxa"/>
            <w:tcBorders>
              <w:top w:val="nil"/>
              <w:left w:val="nil"/>
              <w:bottom w:val="single" w:sz="12" w:space="0" w:color="auto"/>
              <w:right w:val="nil"/>
            </w:tcBorders>
            <w:vAlign w:val="bottom"/>
            <w:hideMark/>
          </w:tcPr>
          <w:p w14:paraId="2CEFEC99" w14:textId="77777777" w:rsidR="00A74C68" w:rsidRPr="00471CBA" w:rsidRDefault="00A74C68" w:rsidP="00F36B82">
            <w:pPr>
              <w:ind w:right="-45"/>
              <w:jc w:val="right"/>
              <w:rPr>
                <w:b/>
                <w:bCs/>
                <w:sz w:val="16"/>
                <w:szCs w:val="16"/>
              </w:rPr>
            </w:pPr>
            <w:r w:rsidRPr="00471CBA">
              <w:rPr>
                <w:b/>
                <w:bCs/>
                <w:sz w:val="16"/>
                <w:szCs w:val="16"/>
              </w:rPr>
              <w:t>10.727.157</w:t>
            </w:r>
          </w:p>
        </w:tc>
        <w:tc>
          <w:tcPr>
            <w:tcW w:w="841" w:type="dxa"/>
            <w:tcBorders>
              <w:top w:val="nil"/>
              <w:left w:val="nil"/>
              <w:bottom w:val="single" w:sz="12" w:space="0" w:color="auto"/>
              <w:right w:val="nil"/>
            </w:tcBorders>
            <w:vAlign w:val="bottom"/>
            <w:hideMark/>
          </w:tcPr>
          <w:p w14:paraId="0B5478B6" w14:textId="77777777" w:rsidR="00A74C68" w:rsidRPr="00471CBA" w:rsidRDefault="00A74C68" w:rsidP="00F36B82">
            <w:pPr>
              <w:ind w:right="-45"/>
              <w:jc w:val="right"/>
              <w:rPr>
                <w:b/>
                <w:bCs/>
                <w:sz w:val="16"/>
                <w:szCs w:val="16"/>
              </w:rPr>
            </w:pPr>
            <w:r w:rsidRPr="00471CBA">
              <w:rPr>
                <w:b/>
                <w:bCs/>
                <w:sz w:val="16"/>
                <w:szCs w:val="16"/>
              </w:rPr>
              <w:t>23.012.022</w:t>
            </w:r>
          </w:p>
        </w:tc>
        <w:tc>
          <w:tcPr>
            <w:tcW w:w="763" w:type="dxa"/>
            <w:tcBorders>
              <w:top w:val="nil"/>
              <w:left w:val="nil"/>
              <w:bottom w:val="single" w:sz="12" w:space="0" w:color="auto"/>
              <w:right w:val="nil"/>
            </w:tcBorders>
            <w:vAlign w:val="bottom"/>
            <w:hideMark/>
          </w:tcPr>
          <w:p w14:paraId="42A78A66" w14:textId="77777777" w:rsidR="00A74C68" w:rsidRPr="00471CBA" w:rsidRDefault="00A74C68" w:rsidP="00F36B82">
            <w:pPr>
              <w:ind w:right="-45"/>
              <w:jc w:val="right"/>
              <w:rPr>
                <w:b/>
                <w:bCs/>
                <w:sz w:val="16"/>
                <w:szCs w:val="16"/>
              </w:rPr>
            </w:pPr>
            <w:r w:rsidRPr="00471CBA">
              <w:rPr>
                <w:b/>
                <w:bCs/>
                <w:sz w:val="16"/>
                <w:szCs w:val="16"/>
              </w:rPr>
              <w:t>9.115.675</w:t>
            </w:r>
          </w:p>
        </w:tc>
        <w:tc>
          <w:tcPr>
            <w:tcW w:w="694" w:type="dxa"/>
            <w:tcBorders>
              <w:top w:val="nil"/>
              <w:left w:val="nil"/>
              <w:bottom w:val="single" w:sz="12" w:space="0" w:color="auto"/>
              <w:right w:val="nil"/>
            </w:tcBorders>
            <w:vAlign w:val="bottom"/>
            <w:hideMark/>
          </w:tcPr>
          <w:p w14:paraId="3075524F" w14:textId="77777777" w:rsidR="00A74C68" w:rsidRPr="00471CBA" w:rsidRDefault="00A74C68" w:rsidP="00F36B82">
            <w:pPr>
              <w:ind w:right="-45"/>
              <w:jc w:val="right"/>
              <w:rPr>
                <w:b/>
                <w:bCs/>
                <w:sz w:val="16"/>
                <w:szCs w:val="16"/>
              </w:rPr>
            </w:pPr>
            <w:r w:rsidRPr="00471CBA">
              <w:rPr>
                <w:b/>
                <w:bCs/>
                <w:sz w:val="16"/>
                <w:szCs w:val="16"/>
              </w:rPr>
              <w:t>-</w:t>
            </w:r>
          </w:p>
        </w:tc>
        <w:tc>
          <w:tcPr>
            <w:tcW w:w="693" w:type="dxa"/>
            <w:tcBorders>
              <w:top w:val="nil"/>
              <w:left w:val="nil"/>
              <w:bottom w:val="single" w:sz="12" w:space="0" w:color="auto"/>
              <w:right w:val="nil"/>
            </w:tcBorders>
            <w:vAlign w:val="bottom"/>
            <w:hideMark/>
          </w:tcPr>
          <w:p w14:paraId="1FE35FB7" w14:textId="77777777" w:rsidR="00A74C68" w:rsidRPr="00471CBA" w:rsidRDefault="00A74C68" w:rsidP="00F36B82">
            <w:pPr>
              <w:ind w:right="-45"/>
              <w:jc w:val="right"/>
              <w:rPr>
                <w:b/>
                <w:bCs/>
                <w:sz w:val="16"/>
                <w:szCs w:val="16"/>
              </w:rPr>
            </w:pPr>
            <w:r w:rsidRPr="00471CBA">
              <w:rPr>
                <w:b/>
                <w:bCs/>
                <w:sz w:val="16"/>
                <w:szCs w:val="16"/>
              </w:rPr>
              <w:t>205.363</w:t>
            </w:r>
          </w:p>
        </w:tc>
        <w:tc>
          <w:tcPr>
            <w:tcW w:w="832" w:type="dxa"/>
            <w:tcBorders>
              <w:top w:val="nil"/>
              <w:left w:val="nil"/>
              <w:bottom w:val="single" w:sz="12" w:space="0" w:color="auto"/>
              <w:right w:val="nil"/>
            </w:tcBorders>
            <w:vAlign w:val="bottom"/>
            <w:hideMark/>
          </w:tcPr>
          <w:p w14:paraId="70DBC01A" w14:textId="77777777" w:rsidR="00A74C68" w:rsidRPr="00471CBA" w:rsidRDefault="00A74C68" w:rsidP="00F36B82">
            <w:pPr>
              <w:ind w:right="-45"/>
              <w:jc w:val="right"/>
              <w:rPr>
                <w:b/>
                <w:bCs/>
                <w:sz w:val="16"/>
                <w:szCs w:val="16"/>
              </w:rPr>
            </w:pPr>
            <w:r w:rsidRPr="00471CBA">
              <w:rPr>
                <w:b/>
                <w:bCs/>
                <w:sz w:val="16"/>
                <w:szCs w:val="16"/>
              </w:rPr>
              <w:t>1.824.700</w:t>
            </w:r>
          </w:p>
        </w:tc>
        <w:tc>
          <w:tcPr>
            <w:tcW w:w="879" w:type="dxa"/>
            <w:tcBorders>
              <w:top w:val="nil"/>
              <w:left w:val="nil"/>
              <w:bottom w:val="single" w:sz="12" w:space="0" w:color="auto"/>
              <w:right w:val="nil"/>
            </w:tcBorders>
            <w:vAlign w:val="bottom"/>
            <w:hideMark/>
          </w:tcPr>
          <w:p w14:paraId="3965905E" w14:textId="77777777" w:rsidR="00A74C68" w:rsidRPr="00471CBA" w:rsidRDefault="00A74C68" w:rsidP="00F36B82">
            <w:pPr>
              <w:ind w:right="-45"/>
              <w:jc w:val="right"/>
              <w:rPr>
                <w:b/>
                <w:bCs/>
                <w:sz w:val="16"/>
                <w:szCs w:val="16"/>
              </w:rPr>
            </w:pPr>
            <w:r w:rsidRPr="00471CBA">
              <w:rPr>
                <w:b/>
                <w:bCs/>
                <w:sz w:val="16"/>
                <w:szCs w:val="16"/>
              </w:rPr>
              <w:t>-</w:t>
            </w:r>
          </w:p>
        </w:tc>
        <w:tc>
          <w:tcPr>
            <w:tcW w:w="841" w:type="dxa"/>
            <w:tcBorders>
              <w:top w:val="nil"/>
              <w:left w:val="nil"/>
              <w:bottom w:val="single" w:sz="12" w:space="0" w:color="auto"/>
              <w:right w:val="nil"/>
            </w:tcBorders>
            <w:vAlign w:val="bottom"/>
            <w:hideMark/>
          </w:tcPr>
          <w:p w14:paraId="086047C9" w14:textId="77777777" w:rsidR="00A74C68" w:rsidRPr="00471CBA" w:rsidRDefault="00A74C68" w:rsidP="00F36B82">
            <w:pPr>
              <w:ind w:right="-45"/>
              <w:jc w:val="right"/>
              <w:rPr>
                <w:b/>
                <w:bCs/>
                <w:sz w:val="16"/>
                <w:szCs w:val="16"/>
              </w:rPr>
            </w:pPr>
            <w:r w:rsidRPr="00471CBA">
              <w:rPr>
                <w:b/>
                <w:bCs/>
                <w:sz w:val="16"/>
                <w:szCs w:val="16"/>
              </w:rPr>
              <w:t>76.466.774</w:t>
            </w:r>
          </w:p>
        </w:tc>
      </w:tr>
    </w:tbl>
    <w:p w14:paraId="0064A434" w14:textId="7F7117AB" w:rsidR="001025EC" w:rsidRPr="00471CBA" w:rsidRDefault="001025EC" w:rsidP="009B0E8B">
      <w:pPr>
        <w:widowControl w:val="0"/>
        <w:spacing w:line="235" w:lineRule="auto"/>
        <w:ind w:right="-182"/>
        <w:jc w:val="both"/>
        <w:rPr>
          <w:szCs w:val="20"/>
        </w:rPr>
      </w:pPr>
    </w:p>
    <w:p w14:paraId="3FB63F88" w14:textId="77777777" w:rsidR="00A52751" w:rsidRPr="00471CBA" w:rsidRDefault="00A52751">
      <w:pPr>
        <w:rPr>
          <w:b/>
          <w:szCs w:val="20"/>
        </w:rPr>
      </w:pPr>
      <w:r w:rsidRPr="00471CBA">
        <w:rPr>
          <w:b/>
          <w:szCs w:val="20"/>
        </w:rPr>
        <w:br w:type="page"/>
      </w:r>
    </w:p>
    <w:p w14:paraId="5922895C" w14:textId="5C86F01C" w:rsidR="00DB761E" w:rsidRPr="00471CBA" w:rsidRDefault="00DB761E" w:rsidP="009B0E8B">
      <w:pPr>
        <w:widowControl w:val="0"/>
        <w:spacing w:line="235" w:lineRule="auto"/>
        <w:ind w:right="-182"/>
        <w:jc w:val="both"/>
        <w:rPr>
          <w:b/>
          <w:szCs w:val="20"/>
        </w:rPr>
      </w:pPr>
      <w:r w:rsidRPr="00471CBA">
        <w:rPr>
          <w:b/>
          <w:szCs w:val="20"/>
        </w:rPr>
        <w:t>KONSOLİDE OLMAYAN FİNANSAL TABLOLARA İLİŞKİN AÇIKLAMA VE DİPNOTLAR (Devamı)</w:t>
      </w:r>
    </w:p>
    <w:p w14:paraId="1CFC7261" w14:textId="77777777" w:rsidR="00DB761E" w:rsidRPr="00471CBA" w:rsidRDefault="00DB761E" w:rsidP="00DB761E">
      <w:pPr>
        <w:widowControl w:val="0"/>
        <w:spacing w:line="235" w:lineRule="auto"/>
        <w:ind w:left="851" w:hanging="851"/>
        <w:jc w:val="both"/>
        <w:rPr>
          <w:b/>
          <w:szCs w:val="20"/>
        </w:rPr>
      </w:pPr>
    </w:p>
    <w:p w14:paraId="03FA2089" w14:textId="2F2D2A29" w:rsidR="00A445BA" w:rsidRPr="00471CBA" w:rsidRDefault="00A445BA" w:rsidP="008459A9">
      <w:pPr>
        <w:pStyle w:val="ListeParagraf"/>
        <w:widowControl w:val="0"/>
        <w:numPr>
          <w:ilvl w:val="0"/>
          <w:numId w:val="64"/>
        </w:numPr>
        <w:spacing w:line="235" w:lineRule="auto"/>
        <w:ind w:left="567" w:hanging="567"/>
        <w:jc w:val="both"/>
        <w:rPr>
          <w:b/>
          <w:szCs w:val="20"/>
        </w:rPr>
      </w:pPr>
      <w:r w:rsidRPr="00471CBA">
        <w:rPr>
          <w:b/>
          <w:szCs w:val="20"/>
        </w:rPr>
        <w:t>BİLANÇONUN PASİF HESAPLARINA İLİŞKİN AÇIKLAMA VE DİPNOTLAR (Devamı)</w:t>
      </w:r>
    </w:p>
    <w:p w14:paraId="311AB7B8" w14:textId="77777777" w:rsidR="00DB761E" w:rsidRPr="00471CBA" w:rsidRDefault="00DB761E" w:rsidP="00DB761E">
      <w:pPr>
        <w:pStyle w:val="GvdeMetniGirintisi"/>
        <w:widowControl w:val="0"/>
        <w:spacing w:line="235" w:lineRule="auto"/>
        <w:ind w:left="14" w:hanging="440"/>
        <w:rPr>
          <w:b/>
          <w:szCs w:val="20"/>
        </w:rPr>
      </w:pPr>
    </w:p>
    <w:p w14:paraId="6906E848" w14:textId="34B234AE" w:rsidR="00DB761E" w:rsidRPr="00471CBA" w:rsidRDefault="00DB761E" w:rsidP="008459A9">
      <w:pPr>
        <w:pStyle w:val="GvdeMetniGirintisi"/>
        <w:widowControl w:val="0"/>
        <w:numPr>
          <w:ilvl w:val="0"/>
          <w:numId w:val="48"/>
        </w:numPr>
        <w:spacing w:line="235" w:lineRule="auto"/>
        <w:ind w:left="567" w:hanging="567"/>
        <w:rPr>
          <w:b/>
          <w:szCs w:val="20"/>
        </w:rPr>
      </w:pPr>
      <w:r w:rsidRPr="00471CBA">
        <w:rPr>
          <w:b/>
          <w:szCs w:val="20"/>
        </w:rPr>
        <w:t>Toplanan fonlara ilişkin bilgiler: (Devamı)</w:t>
      </w:r>
    </w:p>
    <w:p w14:paraId="4909F536" w14:textId="77777777" w:rsidR="00DB761E" w:rsidRPr="00471CBA" w:rsidRDefault="00DB761E" w:rsidP="00DB761E">
      <w:pPr>
        <w:pStyle w:val="GvdeMetniGirintisi"/>
        <w:widowControl w:val="0"/>
        <w:spacing w:line="235" w:lineRule="auto"/>
        <w:ind w:left="851" w:firstLine="0"/>
        <w:rPr>
          <w:b/>
          <w:szCs w:val="20"/>
        </w:rPr>
      </w:pPr>
    </w:p>
    <w:p w14:paraId="42B07CDB" w14:textId="53B2FEF7" w:rsidR="00F575A6" w:rsidRPr="00471CBA" w:rsidRDefault="00F575A6" w:rsidP="008459A9">
      <w:pPr>
        <w:pStyle w:val="GvdeMetniGirintisi"/>
        <w:widowControl w:val="0"/>
        <w:numPr>
          <w:ilvl w:val="0"/>
          <w:numId w:val="49"/>
        </w:numPr>
        <w:tabs>
          <w:tab w:val="clear" w:pos="540"/>
        </w:tabs>
        <w:spacing w:line="235" w:lineRule="auto"/>
        <w:ind w:left="567" w:hanging="567"/>
        <w:rPr>
          <w:b/>
          <w:szCs w:val="20"/>
        </w:rPr>
      </w:pPr>
      <w:r w:rsidRPr="00471CBA">
        <w:rPr>
          <w:b/>
          <w:szCs w:val="20"/>
        </w:rPr>
        <w:t>Toplanan fonların vade yapısına ilişkin bilgiler:</w:t>
      </w:r>
      <w:r w:rsidR="0098597B" w:rsidRPr="00471CBA">
        <w:rPr>
          <w:b/>
          <w:szCs w:val="20"/>
        </w:rPr>
        <w:t xml:space="preserve"> </w:t>
      </w:r>
      <w:r w:rsidRPr="00471CBA">
        <w:rPr>
          <w:b/>
          <w:szCs w:val="20"/>
        </w:rPr>
        <w:t>(Devamı)</w:t>
      </w:r>
    </w:p>
    <w:p w14:paraId="2F470ADE" w14:textId="4DA649FC" w:rsidR="00A74C68" w:rsidRPr="00471CBA" w:rsidRDefault="00A74C68" w:rsidP="00154DA9">
      <w:pPr>
        <w:widowControl w:val="0"/>
        <w:spacing w:line="235" w:lineRule="auto"/>
        <w:ind w:right="-182"/>
        <w:jc w:val="both"/>
        <w:rPr>
          <w:szCs w:val="20"/>
        </w:rPr>
      </w:pPr>
    </w:p>
    <w:tbl>
      <w:tblPr>
        <w:tblW w:w="5000" w:type="pct"/>
        <w:tblCellMar>
          <w:left w:w="70" w:type="dxa"/>
          <w:right w:w="70" w:type="dxa"/>
        </w:tblCellMar>
        <w:tblLook w:val="04A0" w:firstRow="1" w:lastRow="0" w:firstColumn="1" w:lastColumn="0" w:noHBand="0" w:noVBand="1"/>
      </w:tblPr>
      <w:tblGrid>
        <w:gridCol w:w="2411"/>
        <w:gridCol w:w="780"/>
        <w:gridCol w:w="780"/>
        <w:gridCol w:w="780"/>
        <w:gridCol w:w="780"/>
        <w:gridCol w:w="594"/>
        <w:gridCol w:w="660"/>
        <w:gridCol w:w="818"/>
        <w:gridCol w:w="892"/>
        <w:gridCol w:w="860"/>
      </w:tblGrid>
      <w:tr w:rsidR="00A74C68" w:rsidRPr="00471CBA" w14:paraId="49FE4A60" w14:textId="77777777" w:rsidTr="00A74C68">
        <w:trPr>
          <w:divId w:val="485443198"/>
          <w:trHeight w:val="113"/>
        </w:trPr>
        <w:tc>
          <w:tcPr>
            <w:tcW w:w="1344" w:type="pct"/>
            <w:tcBorders>
              <w:top w:val="nil"/>
              <w:left w:val="nil"/>
              <w:bottom w:val="single" w:sz="4" w:space="0" w:color="auto"/>
              <w:right w:val="nil"/>
            </w:tcBorders>
            <w:vAlign w:val="bottom"/>
            <w:hideMark/>
          </w:tcPr>
          <w:p w14:paraId="7BB0D372" w14:textId="3D34D7C9" w:rsidR="00A74C68" w:rsidRPr="00471CBA" w:rsidRDefault="00A74C68" w:rsidP="00A74C68">
            <w:pPr>
              <w:rPr>
                <w:b/>
                <w:bCs/>
                <w:sz w:val="16"/>
                <w:szCs w:val="16"/>
              </w:rPr>
            </w:pPr>
            <w:r w:rsidRPr="00471CBA">
              <w:rPr>
                <w:b/>
                <w:bCs/>
                <w:sz w:val="16"/>
                <w:szCs w:val="16"/>
              </w:rPr>
              <w:t>31 Aralık 2024</w:t>
            </w:r>
          </w:p>
        </w:tc>
        <w:tc>
          <w:tcPr>
            <w:tcW w:w="373" w:type="pct"/>
            <w:tcBorders>
              <w:top w:val="nil"/>
              <w:left w:val="nil"/>
              <w:bottom w:val="single" w:sz="4" w:space="0" w:color="auto"/>
              <w:right w:val="nil"/>
            </w:tcBorders>
            <w:vAlign w:val="bottom"/>
            <w:hideMark/>
          </w:tcPr>
          <w:p w14:paraId="49ACB0C7" w14:textId="77777777" w:rsidR="00A74C68" w:rsidRPr="00471CBA" w:rsidRDefault="00A74C68" w:rsidP="00F36B82">
            <w:pPr>
              <w:ind w:right="-16"/>
              <w:jc w:val="right"/>
              <w:rPr>
                <w:b/>
                <w:bCs/>
                <w:sz w:val="16"/>
                <w:szCs w:val="16"/>
              </w:rPr>
            </w:pPr>
            <w:r w:rsidRPr="00471CBA">
              <w:rPr>
                <w:b/>
                <w:bCs/>
                <w:sz w:val="16"/>
                <w:szCs w:val="16"/>
              </w:rPr>
              <w:t>Vadesiz</w:t>
            </w:r>
          </w:p>
        </w:tc>
        <w:tc>
          <w:tcPr>
            <w:tcW w:w="374" w:type="pct"/>
            <w:tcBorders>
              <w:top w:val="nil"/>
              <w:left w:val="nil"/>
              <w:bottom w:val="single" w:sz="4" w:space="0" w:color="auto"/>
              <w:right w:val="nil"/>
            </w:tcBorders>
            <w:vAlign w:val="bottom"/>
            <w:hideMark/>
          </w:tcPr>
          <w:p w14:paraId="01069F95" w14:textId="77777777" w:rsidR="00A74C68" w:rsidRPr="00471CBA" w:rsidRDefault="00A74C68" w:rsidP="00F36B82">
            <w:pPr>
              <w:ind w:right="-16"/>
              <w:jc w:val="right"/>
              <w:rPr>
                <w:b/>
                <w:bCs/>
                <w:sz w:val="16"/>
                <w:szCs w:val="16"/>
              </w:rPr>
            </w:pPr>
            <w:r w:rsidRPr="00471CBA">
              <w:rPr>
                <w:b/>
                <w:bCs/>
                <w:sz w:val="16"/>
                <w:szCs w:val="16"/>
              </w:rPr>
              <w:t>1 Aya Kadar</w:t>
            </w:r>
          </w:p>
        </w:tc>
        <w:tc>
          <w:tcPr>
            <w:tcW w:w="374" w:type="pct"/>
            <w:tcBorders>
              <w:top w:val="nil"/>
              <w:left w:val="nil"/>
              <w:bottom w:val="single" w:sz="4" w:space="0" w:color="auto"/>
              <w:right w:val="nil"/>
            </w:tcBorders>
            <w:vAlign w:val="bottom"/>
            <w:hideMark/>
          </w:tcPr>
          <w:p w14:paraId="7624D012" w14:textId="77777777" w:rsidR="00A74C68" w:rsidRPr="00471CBA" w:rsidRDefault="00A74C68" w:rsidP="00F36B82">
            <w:pPr>
              <w:ind w:right="-16"/>
              <w:jc w:val="right"/>
              <w:rPr>
                <w:b/>
                <w:bCs/>
                <w:sz w:val="16"/>
                <w:szCs w:val="16"/>
              </w:rPr>
            </w:pPr>
            <w:r w:rsidRPr="00471CBA">
              <w:rPr>
                <w:b/>
                <w:bCs/>
                <w:sz w:val="16"/>
                <w:szCs w:val="16"/>
              </w:rPr>
              <w:t>3 Aya Kadar</w:t>
            </w:r>
          </w:p>
        </w:tc>
        <w:tc>
          <w:tcPr>
            <w:tcW w:w="374" w:type="pct"/>
            <w:tcBorders>
              <w:top w:val="nil"/>
              <w:left w:val="nil"/>
              <w:bottom w:val="single" w:sz="4" w:space="0" w:color="auto"/>
              <w:right w:val="nil"/>
            </w:tcBorders>
            <w:vAlign w:val="bottom"/>
            <w:hideMark/>
          </w:tcPr>
          <w:p w14:paraId="7D4F448A" w14:textId="77777777" w:rsidR="00A74C68" w:rsidRPr="00471CBA" w:rsidRDefault="00A74C68" w:rsidP="00F36B82">
            <w:pPr>
              <w:ind w:right="-16"/>
              <w:jc w:val="right"/>
              <w:rPr>
                <w:b/>
                <w:bCs/>
                <w:sz w:val="16"/>
                <w:szCs w:val="16"/>
              </w:rPr>
            </w:pPr>
            <w:r w:rsidRPr="00471CBA">
              <w:rPr>
                <w:b/>
                <w:bCs/>
                <w:sz w:val="16"/>
                <w:szCs w:val="16"/>
              </w:rPr>
              <w:t>6 Aya Kadar</w:t>
            </w:r>
          </w:p>
        </w:tc>
        <w:tc>
          <w:tcPr>
            <w:tcW w:w="373" w:type="pct"/>
            <w:tcBorders>
              <w:top w:val="nil"/>
              <w:left w:val="nil"/>
              <w:bottom w:val="single" w:sz="4" w:space="0" w:color="auto"/>
              <w:right w:val="nil"/>
            </w:tcBorders>
            <w:vAlign w:val="bottom"/>
            <w:hideMark/>
          </w:tcPr>
          <w:p w14:paraId="65054D34" w14:textId="77777777" w:rsidR="00A74C68" w:rsidRPr="00471CBA" w:rsidRDefault="00A74C68" w:rsidP="00F36B82">
            <w:pPr>
              <w:ind w:right="-16"/>
              <w:jc w:val="right"/>
              <w:rPr>
                <w:b/>
                <w:bCs/>
                <w:sz w:val="16"/>
                <w:szCs w:val="16"/>
              </w:rPr>
            </w:pPr>
            <w:r w:rsidRPr="00471CBA">
              <w:rPr>
                <w:b/>
                <w:bCs/>
                <w:sz w:val="16"/>
                <w:szCs w:val="16"/>
              </w:rPr>
              <w:t>9 Aya Kadar</w:t>
            </w:r>
          </w:p>
        </w:tc>
        <w:tc>
          <w:tcPr>
            <w:tcW w:w="374" w:type="pct"/>
            <w:tcBorders>
              <w:top w:val="nil"/>
              <w:left w:val="nil"/>
              <w:bottom w:val="single" w:sz="4" w:space="0" w:color="auto"/>
              <w:right w:val="nil"/>
            </w:tcBorders>
            <w:vAlign w:val="bottom"/>
            <w:hideMark/>
          </w:tcPr>
          <w:p w14:paraId="176FB376" w14:textId="77777777" w:rsidR="00A74C68" w:rsidRPr="00471CBA" w:rsidRDefault="00A74C68" w:rsidP="00F36B82">
            <w:pPr>
              <w:ind w:right="-16"/>
              <w:jc w:val="right"/>
              <w:rPr>
                <w:b/>
                <w:bCs/>
                <w:sz w:val="16"/>
                <w:szCs w:val="16"/>
              </w:rPr>
            </w:pPr>
            <w:r w:rsidRPr="00471CBA">
              <w:rPr>
                <w:b/>
                <w:bCs/>
                <w:sz w:val="16"/>
                <w:szCs w:val="16"/>
              </w:rPr>
              <w:t>1 Yıla Kadar</w:t>
            </w:r>
          </w:p>
        </w:tc>
        <w:tc>
          <w:tcPr>
            <w:tcW w:w="527" w:type="pct"/>
            <w:tcBorders>
              <w:top w:val="nil"/>
              <w:left w:val="nil"/>
              <w:bottom w:val="single" w:sz="4" w:space="0" w:color="auto"/>
              <w:right w:val="nil"/>
            </w:tcBorders>
            <w:vAlign w:val="bottom"/>
            <w:hideMark/>
          </w:tcPr>
          <w:p w14:paraId="33447B1A" w14:textId="77777777" w:rsidR="00A74C68" w:rsidRPr="00471CBA" w:rsidRDefault="00A74C68" w:rsidP="00F36B82">
            <w:pPr>
              <w:ind w:right="-16"/>
              <w:jc w:val="right"/>
              <w:rPr>
                <w:b/>
                <w:bCs/>
                <w:sz w:val="16"/>
                <w:szCs w:val="16"/>
              </w:rPr>
            </w:pPr>
            <w:r w:rsidRPr="00471CBA">
              <w:rPr>
                <w:b/>
                <w:bCs/>
                <w:sz w:val="16"/>
                <w:szCs w:val="16"/>
              </w:rPr>
              <w:t>1 Yıl ve Üstü</w:t>
            </w:r>
          </w:p>
        </w:tc>
        <w:tc>
          <w:tcPr>
            <w:tcW w:w="532" w:type="pct"/>
            <w:tcBorders>
              <w:top w:val="nil"/>
              <w:left w:val="nil"/>
              <w:bottom w:val="single" w:sz="4" w:space="0" w:color="auto"/>
              <w:right w:val="nil"/>
            </w:tcBorders>
            <w:vAlign w:val="bottom"/>
            <w:hideMark/>
          </w:tcPr>
          <w:p w14:paraId="653367FD" w14:textId="77777777" w:rsidR="00A74C68" w:rsidRPr="00471CBA" w:rsidRDefault="00A74C68" w:rsidP="00F36B82">
            <w:pPr>
              <w:ind w:right="-16"/>
              <w:jc w:val="right"/>
              <w:rPr>
                <w:b/>
                <w:bCs/>
                <w:sz w:val="16"/>
                <w:szCs w:val="16"/>
              </w:rPr>
            </w:pPr>
            <w:r w:rsidRPr="00471CBA">
              <w:rPr>
                <w:rFonts w:eastAsia="Arial Unicode MS"/>
                <w:b/>
                <w:bCs/>
                <w:sz w:val="16"/>
                <w:szCs w:val="16"/>
              </w:rPr>
              <w:t>Birikimli Katılma Hesabı</w:t>
            </w:r>
          </w:p>
        </w:tc>
        <w:tc>
          <w:tcPr>
            <w:tcW w:w="356" w:type="pct"/>
            <w:tcBorders>
              <w:top w:val="nil"/>
              <w:left w:val="nil"/>
              <w:bottom w:val="single" w:sz="4" w:space="0" w:color="auto"/>
              <w:right w:val="nil"/>
            </w:tcBorders>
            <w:vAlign w:val="bottom"/>
            <w:hideMark/>
          </w:tcPr>
          <w:p w14:paraId="0029430F" w14:textId="77777777" w:rsidR="00A74C68" w:rsidRPr="00471CBA" w:rsidRDefault="00A74C68" w:rsidP="00F36B82">
            <w:pPr>
              <w:ind w:right="-16"/>
              <w:jc w:val="right"/>
              <w:rPr>
                <w:b/>
                <w:bCs/>
                <w:sz w:val="16"/>
                <w:szCs w:val="16"/>
              </w:rPr>
            </w:pPr>
            <w:r w:rsidRPr="00471CBA">
              <w:rPr>
                <w:b/>
                <w:bCs/>
                <w:sz w:val="16"/>
                <w:szCs w:val="16"/>
              </w:rPr>
              <w:t>Toplam</w:t>
            </w:r>
          </w:p>
        </w:tc>
      </w:tr>
      <w:tr w:rsidR="00A74C68" w:rsidRPr="00471CBA" w14:paraId="12EE0CCA" w14:textId="77777777" w:rsidTr="00A74C68">
        <w:trPr>
          <w:divId w:val="485443198"/>
          <w:trHeight w:val="113"/>
        </w:trPr>
        <w:tc>
          <w:tcPr>
            <w:tcW w:w="1344" w:type="pct"/>
            <w:tcBorders>
              <w:top w:val="nil"/>
              <w:left w:val="nil"/>
              <w:bottom w:val="nil"/>
              <w:right w:val="nil"/>
            </w:tcBorders>
            <w:noWrap/>
            <w:vAlign w:val="bottom"/>
            <w:hideMark/>
          </w:tcPr>
          <w:p w14:paraId="3B7819FF" w14:textId="77777777" w:rsidR="00A74C68" w:rsidRPr="00471CBA" w:rsidRDefault="00A74C68" w:rsidP="00A74C68">
            <w:pPr>
              <w:jc w:val="right"/>
              <w:rPr>
                <w:b/>
                <w:bCs/>
                <w:sz w:val="16"/>
                <w:szCs w:val="16"/>
              </w:rPr>
            </w:pPr>
          </w:p>
        </w:tc>
        <w:tc>
          <w:tcPr>
            <w:tcW w:w="373" w:type="pct"/>
            <w:tcBorders>
              <w:top w:val="nil"/>
              <w:left w:val="nil"/>
              <w:bottom w:val="nil"/>
              <w:right w:val="nil"/>
            </w:tcBorders>
            <w:vAlign w:val="center"/>
            <w:hideMark/>
          </w:tcPr>
          <w:p w14:paraId="098A1AB1" w14:textId="77777777" w:rsidR="00A74C68" w:rsidRPr="00471CBA" w:rsidRDefault="00A74C68" w:rsidP="00F36B82">
            <w:pPr>
              <w:ind w:right="-16"/>
              <w:jc w:val="right"/>
              <w:rPr>
                <w:sz w:val="16"/>
                <w:szCs w:val="16"/>
              </w:rPr>
            </w:pPr>
          </w:p>
        </w:tc>
        <w:tc>
          <w:tcPr>
            <w:tcW w:w="374" w:type="pct"/>
            <w:tcBorders>
              <w:top w:val="nil"/>
              <w:left w:val="nil"/>
              <w:bottom w:val="nil"/>
              <w:right w:val="nil"/>
            </w:tcBorders>
            <w:vAlign w:val="center"/>
            <w:hideMark/>
          </w:tcPr>
          <w:p w14:paraId="122E9D9E" w14:textId="77777777" w:rsidR="00A74C68" w:rsidRPr="00471CBA" w:rsidRDefault="00A74C68" w:rsidP="00F36B82">
            <w:pPr>
              <w:ind w:right="-16"/>
              <w:jc w:val="right"/>
              <w:rPr>
                <w:sz w:val="16"/>
                <w:szCs w:val="16"/>
              </w:rPr>
            </w:pPr>
          </w:p>
        </w:tc>
        <w:tc>
          <w:tcPr>
            <w:tcW w:w="374" w:type="pct"/>
            <w:tcBorders>
              <w:top w:val="nil"/>
              <w:left w:val="nil"/>
              <w:bottom w:val="nil"/>
              <w:right w:val="nil"/>
            </w:tcBorders>
            <w:vAlign w:val="center"/>
            <w:hideMark/>
          </w:tcPr>
          <w:p w14:paraId="21617B69" w14:textId="77777777" w:rsidR="00A74C68" w:rsidRPr="00471CBA" w:rsidRDefault="00A74C68" w:rsidP="00F36B82">
            <w:pPr>
              <w:ind w:right="-16"/>
              <w:jc w:val="right"/>
              <w:rPr>
                <w:sz w:val="16"/>
                <w:szCs w:val="16"/>
              </w:rPr>
            </w:pPr>
          </w:p>
        </w:tc>
        <w:tc>
          <w:tcPr>
            <w:tcW w:w="374" w:type="pct"/>
            <w:tcBorders>
              <w:top w:val="nil"/>
              <w:left w:val="nil"/>
              <w:bottom w:val="nil"/>
              <w:right w:val="nil"/>
            </w:tcBorders>
            <w:vAlign w:val="center"/>
            <w:hideMark/>
          </w:tcPr>
          <w:p w14:paraId="33C829C9" w14:textId="77777777" w:rsidR="00A74C68" w:rsidRPr="00471CBA" w:rsidRDefault="00A74C68" w:rsidP="00F36B82">
            <w:pPr>
              <w:ind w:right="-16"/>
              <w:jc w:val="right"/>
              <w:rPr>
                <w:sz w:val="16"/>
                <w:szCs w:val="16"/>
              </w:rPr>
            </w:pPr>
          </w:p>
        </w:tc>
        <w:tc>
          <w:tcPr>
            <w:tcW w:w="373" w:type="pct"/>
            <w:tcBorders>
              <w:top w:val="nil"/>
              <w:left w:val="nil"/>
              <w:bottom w:val="nil"/>
              <w:right w:val="nil"/>
            </w:tcBorders>
            <w:vAlign w:val="center"/>
            <w:hideMark/>
          </w:tcPr>
          <w:p w14:paraId="20F7D82B" w14:textId="77777777" w:rsidR="00A74C68" w:rsidRPr="00471CBA" w:rsidRDefault="00A74C68" w:rsidP="00F36B82">
            <w:pPr>
              <w:ind w:right="-16"/>
              <w:jc w:val="right"/>
              <w:rPr>
                <w:sz w:val="16"/>
                <w:szCs w:val="16"/>
              </w:rPr>
            </w:pPr>
          </w:p>
        </w:tc>
        <w:tc>
          <w:tcPr>
            <w:tcW w:w="374" w:type="pct"/>
            <w:tcBorders>
              <w:top w:val="nil"/>
              <w:left w:val="nil"/>
              <w:bottom w:val="nil"/>
              <w:right w:val="nil"/>
            </w:tcBorders>
            <w:vAlign w:val="center"/>
            <w:hideMark/>
          </w:tcPr>
          <w:p w14:paraId="5F2C9C6C" w14:textId="77777777" w:rsidR="00A74C68" w:rsidRPr="00471CBA" w:rsidRDefault="00A74C68" w:rsidP="00F36B82">
            <w:pPr>
              <w:ind w:right="-16"/>
              <w:jc w:val="right"/>
              <w:rPr>
                <w:sz w:val="16"/>
                <w:szCs w:val="16"/>
              </w:rPr>
            </w:pPr>
          </w:p>
        </w:tc>
        <w:tc>
          <w:tcPr>
            <w:tcW w:w="527" w:type="pct"/>
            <w:tcBorders>
              <w:top w:val="nil"/>
              <w:left w:val="nil"/>
              <w:bottom w:val="nil"/>
              <w:right w:val="nil"/>
            </w:tcBorders>
            <w:vAlign w:val="center"/>
            <w:hideMark/>
          </w:tcPr>
          <w:p w14:paraId="4D79BAEB" w14:textId="77777777" w:rsidR="00A74C68" w:rsidRPr="00471CBA" w:rsidRDefault="00A74C68" w:rsidP="00F36B82">
            <w:pPr>
              <w:ind w:right="-16"/>
              <w:jc w:val="right"/>
              <w:rPr>
                <w:sz w:val="16"/>
                <w:szCs w:val="16"/>
              </w:rPr>
            </w:pPr>
          </w:p>
        </w:tc>
        <w:tc>
          <w:tcPr>
            <w:tcW w:w="532" w:type="pct"/>
            <w:tcBorders>
              <w:top w:val="nil"/>
              <w:left w:val="nil"/>
              <w:bottom w:val="nil"/>
              <w:right w:val="nil"/>
            </w:tcBorders>
            <w:vAlign w:val="center"/>
            <w:hideMark/>
          </w:tcPr>
          <w:p w14:paraId="5204A17C" w14:textId="77777777" w:rsidR="00A74C68" w:rsidRPr="00471CBA" w:rsidRDefault="00A74C68" w:rsidP="00F36B82">
            <w:pPr>
              <w:ind w:right="-16"/>
              <w:jc w:val="right"/>
              <w:rPr>
                <w:sz w:val="16"/>
                <w:szCs w:val="16"/>
              </w:rPr>
            </w:pPr>
          </w:p>
        </w:tc>
        <w:tc>
          <w:tcPr>
            <w:tcW w:w="356" w:type="pct"/>
            <w:tcBorders>
              <w:top w:val="nil"/>
              <w:left w:val="nil"/>
              <w:bottom w:val="nil"/>
              <w:right w:val="nil"/>
            </w:tcBorders>
            <w:vAlign w:val="center"/>
            <w:hideMark/>
          </w:tcPr>
          <w:p w14:paraId="16B40344" w14:textId="77777777" w:rsidR="00A74C68" w:rsidRPr="00471CBA" w:rsidRDefault="00A74C68" w:rsidP="00F36B82">
            <w:pPr>
              <w:ind w:right="-16"/>
              <w:jc w:val="right"/>
              <w:rPr>
                <w:sz w:val="16"/>
                <w:szCs w:val="16"/>
              </w:rPr>
            </w:pPr>
          </w:p>
        </w:tc>
      </w:tr>
      <w:tr w:rsidR="00A74C68" w:rsidRPr="00471CBA" w14:paraId="0A41BD7C" w14:textId="77777777" w:rsidTr="00A74C68">
        <w:trPr>
          <w:divId w:val="485443198"/>
          <w:trHeight w:val="113"/>
        </w:trPr>
        <w:tc>
          <w:tcPr>
            <w:tcW w:w="1344" w:type="pct"/>
            <w:tcBorders>
              <w:top w:val="nil"/>
              <w:left w:val="nil"/>
              <w:bottom w:val="nil"/>
              <w:right w:val="nil"/>
            </w:tcBorders>
            <w:vAlign w:val="bottom"/>
            <w:hideMark/>
          </w:tcPr>
          <w:p w14:paraId="516D66FE" w14:textId="77777777" w:rsidR="00A74C68" w:rsidRPr="00471CBA" w:rsidRDefault="00A74C68" w:rsidP="00A74C68">
            <w:pPr>
              <w:rPr>
                <w:b/>
                <w:bCs/>
                <w:sz w:val="16"/>
                <w:szCs w:val="16"/>
              </w:rPr>
            </w:pPr>
            <w:r w:rsidRPr="00471CBA">
              <w:rPr>
                <w:b/>
                <w:bCs/>
                <w:sz w:val="16"/>
                <w:szCs w:val="16"/>
              </w:rPr>
              <w:t>I. Özel Cari Hesaplar Gerçek Kişi Ticari Olmayan-TP</w:t>
            </w:r>
          </w:p>
        </w:tc>
        <w:tc>
          <w:tcPr>
            <w:tcW w:w="373" w:type="pct"/>
            <w:tcBorders>
              <w:top w:val="nil"/>
              <w:left w:val="nil"/>
              <w:bottom w:val="nil"/>
              <w:right w:val="nil"/>
            </w:tcBorders>
            <w:vAlign w:val="bottom"/>
            <w:hideMark/>
          </w:tcPr>
          <w:p w14:paraId="6D14EE4B" w14:textId="77777777" w:rsidR="00A74C68" w:rsidRPr="00471CBA" w:rsidRDefault="00A74C68" w:rsidP="00F36B82">
            <w:pPr>
              <w:ind w:right="-16"/>
              <w:jc w:val="right"/>
              <w:rPr>
                <w:b/>
                <w:bCs/>
                <w:sz w:val="16"/>
                <w:szCs w:val="16"/>
              </w:rPr>
            </w:pPr>
            <w:r w:rsidRPr="00471CBA">
              <w:rPr>
                <w:b/>
                <w:bCs/>
                <w:sz w:val="16"/>
                <w:szCs w:val="16"/>
              </w:rPr>
              <w:t>11.138</w:t>
            </w:r>
          </w:p>
        </w:tc>
        <w:tc>
          <w:tcPr>
            <w:tcW w:w="374" w:type="pct"/>
            <w:tcBorders>
              <w:top w:val="nil"/>
              <w:left w:val="nil"/>
              <w:bottom w:val="nil"/>
              <w:right w:val="nil"/>
            </w:tcBorders>
            <w:vAlign w:val="bottom"/>
            <w:hideMark/>
          </w:tcPr>
          <w:p w14:paraId="5706B326" w14:textId="77777777" w:rsidR="00A74C68" w:rsidRPr="00471CBA" w:rsidRDefault="00A74C68" w:rsidP="00F36B82">
            <w:pPr>
              <w:ind w:right="-16"/>
              <w:jc w:val="right"/>
              <w:rPr>
                <w:b/>
                <w:bCs/>
                <w:sz w:val="16"/>
                <w:szCs w:val="16"/>
              </w:rPr>
            </w:pPr>
            <w:r w:rsidRPr="00471CBA">
              <w:rPr>
                <w:b/>
                <w:bCs/>
                <w:sz w:val="16"/>
                <w:szCs w:val="16"/>
              </w:rPr>
              <w:t>-</w:t>
            </w:r>
          </w:p>
        </w:tc>
        <w:tc>
          <w:tcPr>
            <w:tcW w:w="374" w:type="pct"/>
            <w:tcBorders>
              <w:top w:val="nil"/>
              <w:left w:val="nil"/>
              <w:bottom w:val="nil"/>
              <w:right w:val="nil"/>
            </w:tcBorders>
            <w:vAlign w:val="bottom"/>
            <w:hideMark/>
          </w:tcPr>
          <w:p w14:paraId="3713950B" w14:textId="77777777" w:rsidR="00A74C68" w:rsidRPr="00471CBA" w:rsidRDefault="00A74C68" w:rsidP="00F36B82">
            <w:pPr>
              <w:ind w:right="-16"/>
              <w:jc w:val="right"/>
              <w:rPr>
                <w:b/>
                <w:bCs/>
                <w:sz w:val="16"/>
                <w:szCs w:val="16"/>
              </w:rPr>
            </w:pPr>
            <w:r w:rsidRPr="00471CBA">
              <w:rPr>
                <w:b/>
                <w:bCs/>
                <w:sz w:val="16"/>
                <w:szCs w:val="16"/>
              </w:rPr>
              <w:t>-</w:t>
            </w:r>
          </w:p>
        </w:tc>
        <w:tc>
          <w:tcPr>
            <w:tcW w:w="374" w:type="pct"/>
            <w:tcBorders>
              <w:top w:val="nil"/>
              <w:left w:val="nil"/>
              <w:bottom w:val="nil"/>
              <w:right w:val="nil"/>
            </w:tcBorders>
            <w:vAlign w:val="bottom"/>
            <w:hideMark/>
          </w:tcPr>
          <w:p w14:paraId="0549917B" w14:textId="77777777" w:rsidR="00A74C68" w:rsidRPr="00471CBA" w:rsidRDefault="00A74C68" w:rsidP="00F36B82">
            <w:pPr>
              <w:ind w:right="-16"/>
              <w:jc w:val="right"/>
              <w:rPr>
                <w:b/>
                <w:bCs/>
                <w:sz w:val="16"/>
                <w:szCs w:val="16"/>
              </w:rPr>
            </w:pPr>
            <w:r w:rsidRPr="00471CBA">
              <w:rPr>
                <w:b/>
                <w:bCs/>
                <w:sz w:val="16"/>
                <w:szCs w:val="16"/>
              </w:rPr>
              <w:t>-</w:t>
            </w:r>
          </w:p>
        </w:tc>
        <w:tc>
          <w:tcPr>
            <w:tcW w:w="373" w:type="pct"/>
            <w:tcBorders>
              <w:top w:val="nil"/>
              <w:left w:val="nil"/>
              <w:bottom w:val="nil"/>
              <w:right w:val="nil"/>
            </w:tcBorders>
            <w:vAlign w:val="bottom"/>
            <w:hideMark/>
          </w:tcPr>
          <w:p w14:paraId="725EBDEC" w14:textId="77777777" w:rsidR="00A74C68" w:rsidRPr="00471CBA" w:rsidRDefault="00A74C68" w:rsidP="00F36B82">
            <w:pPr>
              <w:ind w:right="-16"/>
              <w:jc w:val="right"/>
              <w:rPr>
                <w:b/>
                <w:bCs/>
                <w:sz w:val="16"/>
                <w:szCs w:val="16"/>
              </w:rPr>
            </w:pPr>
            <w:r w:rsidRPr="00471CBA">
              <w:rPr>
                <w:b/>
                <w:bCs/>
                <w:sz w:val="16"/>
                <w:szCs w:val="16"/>
              </w:rPr>
              <w:t>-</w:t>
            </w:r>
          </w:p>
        </w:tc>
        <w:tc>
          <w:tcPr>
            <w:tcW w:w="374" w:type="pct"/>
            <w:tcBorders>
              <w:top w:val="nil"/>
              <w:left w:val="nil"/>
              <w:bottom w:val="nil"/>
              <w:right w:val="nil"/>
            </w:tcBorders>
            <w:vAlign w:val="bottom"/>
            <w:hideMark/>
          </w:tcPr>
          <w:p w14:paraId="37A90750" w14:textId="77777777" w:rsidR="00A74C68" w:rsidRPr="00471CBA" w:rsidRDefault="00A74C68" w:rsidP="00F36B82">
            <w:pPr>
              <w:ind w:right="-16"/>
              <w:jc w:val="right"/>
              <w:rPr>
                <w:b/>
                <w:bCs/>
                <w:sz w:val="16"/>
                <w:szCs w:val="16"/>
              </w:rPr>
            </w:pPr>
            <w:r w:rsidRPr="00471CBA">
              <w:rPr>
                <w:b/>
                <w:bCs/>
                <w:sz w:val="16"/>
                <w:szCs w:val="16"/>
              </w:rPr>
              <w:t>-</w:t>
            </w:r>
          </w:p>
        </w:tc>
        <w:tc>
          <w:tcPr>
            <w:tcW w:w="527" w:type="pct"/>
            <w:tcBorders>
              <w:top w:val="nil"/>
              <w:left w:val="nil"/>
              <w:bottom w:val="nil"/>
              <w:right w:val="nil"/>
            </w:tcBorders>
            <w:vAlign w:val="bottom"/>
            <w:hideMark/>
          </w:tcPr>
          <w:p w14:paraId="6A8A5636" w14:textId="77777777" w:rsidR="00A74C68" w:rsidRPr="00471CBA" w:rsidRDefault="00A74C68" w:rsidP="00F36B82">
            <w:pPr>
              <w:ind w:right="-16"/>
              <w:jc w:val="right"/>
              <w:rPr>
                <w:b/>
                <w:bCs/>
                <w:sz w:val="16"/>
                <w:szCs w:val="16"/>
              </w:rPr>
            </w:pPr>
            <w:r w:rsidRPr="00471CBA">
              <w:rPr>
                <w:b/>
                <w:bCs/>
                <w:sz w:val="16"/>
                <w:szCs w:val="16"/>
              </w:rPr>
              <w:t>-</w:t>
            </w:r>
          </w:p>
        </w:tc>
        <w:tc>
          <w:tcPr>
            <w:tcW w:w="532" w:type="pct"/>
            <w:tcBorders>
              <w:top w:val="nil"/>
              <w:left w:val="nil"/>
              <w:bottom w:val="nil"/>
              <w:right w:val="nil"/>
            </w:tcBorders>
            <w:vAlign w:val="bottom"/>
            <w:hideMark/>
          </w:tcPr>
          <w:p w14:paraId="581A40C3" w14:textId="77777777" w:rsidR="00A74C68" w:rsidRPr="00471CBA" w:rsidRDefault="00A74C68" w:rsidP="00F36B82">
            <w:pPr>
              <w:ind w:right="-16"/>
              <w:jc w:val="right"/>
              <w:rPr>
                <w:b/>
                <w:bCs/>
                <w:sz w:val="16"/>
                <w:szCs w:val="16"/>
              </w:rPr>
            </w:pPr>
            <w:r w:rsidRPr="00471CBA">
              <w:rPr>
                <w:rFonts w:eastAsia="Arial Unicode MS"/>
                <w:b/>
                <w:bCs/>
                <w:sz w:val="16"/>
                <w:szCs w:val="16"/>
              </w:rPr>
              <w:t>-</w:t>
            </w:r>
          </w:p>
        </w:tc>
        <w:tc>
          <w:tcPr>
            <w:tcW w:w="356" w:type="pct"/>
            <w:tcBorders>
              <w:top w:val="nil"/>
              <w:left w:val="nil"/>
              <w:bottom w:val="nil"/>
              <w:right w:val="nil"/>
            </w:tcBorders>
            <w:vAlign w:val="bottom"/>
            <w:hideMark/>
          </w:tcPr>
          <w:p w14:paraId="02336F4E" w14:textId="77777777" w:rsidR="00A74C68" w:rsidRPr="00471CBA" w:rsidRDefault="00A74C68" w:rsidP="00F36B82">
            <w:pPr>
              <w:ind w:right="-16"/>
              <w:jc w:val="right"/>
              <w:rPr>
                <w:b/>
                <w:bCs/>
                <w:sz w:val="16"/>
                <w:szCs w:val="16"/>
              </w:rPr>
            </w:pPr>
            <w:r w:rsidRPr="00471CBA">
              <w:rPr>
                <w:b/>
                <w:bCs/>
                <w:sz w:val="16"/>
                <w:szCs w:val="16"/>
              </w:rPr>
              <w:t>11.138</w:t>
            </w:r>
          </w:p>
        </w:tc>
      </w:tr>
      <w:tr w:rsidR="00A74C68" w:rsidRPr="00471CBA" w14:paraId="75C33E0B" w14:textId="77777777" w:rsidTr="00A74C68">
        <w:trPr>
          <w:divId w:val="485443198"/>
          <w:trHeight w:val="113"/>
        </w:trPr>
        <w:tc>
          <w:tcPr>
            <w:tcW w:w="1344" w:type="pct"/>
            <w:tcBorders>
              <w:top w:val="nil"/>
              <w:left w:val="nil"/>
              <w:bottom w:val="nil"/>
              <w:right w:val="nil"/>
            </w:tcBorders>
            <w:vAlign w:val="bottom"/>
            <w:hideMark/>
          </w:tcPr>
          <w:p w14:paraId="170EEFBB" w14:textId="77777777" w:rsidR="00A74C68" w:rsidRPr="00471CBA" w:rsidRDefault="00A74C68" w:rsidP="00A74C68">
            <w:pPr>
              <w:rPr>
                <w:b/>
                <w:bCs/>
                <w:sz w:val="16"/>
                <w:szCs w:val="16"/>
              </w:rPr>
            </w:pPr>
            <w:r w:rsidRPr="00471CBA">
              <w:rPr>
                <w:b/>
                <w:bCs/>
                <w:sz w:val="16"/>
                <w:szCs w:val="16"/>
              </w:rPr>
              <w:t>II. Katılma Hesapları Gerçek Kişi Ticari Olmayan-TP</w:t>
            </w:r>
          </w:p>
        </w:tc>
        <w:tc>
          <w:tcPr>
            <w:tcW w:w="373" w:type="pct"/>
            <w:tcBorders>
              <w:top w:val="nil"/>
              <w:left w:val="nil"/>
              <w:bottom w:val="nil"/>
              <w:right w:val="nil"/>
            </w:tcBorders>
            <w:vAlign w:val="bottom"/>
            <w:hideMark/>
          </w:tcPr>
          <w:p w14:paraId="330F8D73" w14:textId="77777777" w:rsidR="00A74C68" w:rsidRPr="00471CBA" w:rsidRDefault="00A74C68" w:rsidP="00F36B82">
            <w:pPr>
              <w:ind w:right="-16"/>
              <w:jc w:val="right"/>
              <w:rPr>
                <w:b/>
                <w:bCs/>
                <w:sz w:val="16"/>
                <w:szCs w:val="16"/>
              </w:rPr>
            </w:pPr>
            <w:r w:rsidRPr="00471CBA">
              <w:rPr>
                <w:b/>
                <w:bCs/>
                <w:sz w:val="16"/>
                <w:szCs w:val="16"/>
              </w:rPr>
              <w:t>-</w:t>
            </w:r>
          </w:p>
        </w:tc>
        <w:tc>
          <w:tcPr>
            <w:tcW w:w="374" w:type="pct"/>
            <w:tcBorders>
              <w:top w:val="nil"/>
              <w:left w:val="nil"/>
              <w:bottom w:val="nil"/>
              <w:right w:val="nil"/>
            </w:tcBorders>
            <w:vAlign w:val="bottom"/>
            <w:hideMark/>
          </w:tcPr>
          <w:p w14:paraId="76B24C07" w14:textId="77777777" w:rsidR="00A74C68" w:rsidRPr="00471CBA" w:rsidRDefault="00A74C68" w:rsidP="00F36B82">
            <w:pPr>
              <w:ind w:right="-16"/>
              <w:jc w:val="right"/>
              <w:rPr>
                <w:b/>
                <w:bCs/>
                <w:sz w:val="16"/>
                <w:szCs w:val="16"/>
              </w:rPr>
            </w:pPr>
            <w:r w:rsidRPr="00471CBA">
              <w:rPr>
                <w:b/>
                <w:bCs/>
                <w:sz w:val="16"/>
                <w:szCs w:val="16"/>
              </w:rPr>
              <w:t>118.901</w:t>
            </w:r>
          </w:p>
        </w:tc>
        <w:tc>
          <w:tcPr>
            <w:tcW w:w="374" w:type="pct"/>
            <w:tcBorders>
              <w:top w:val="nil"/>
              <w:left w:val="nil"/>
              <w:bottom w:val="nil"/>
              <w:right w:val="nil"/>
            </w:tcBorders>
            <w:vAlign w:val="bottom"/>
            <w:hideMark/>
          </w:tcPr>
          <w:p w14:paraId="311BA989" w14:textId="77777777" w:rsidR="00A74C68" w:rsidRPr="00471CBA" w:rsidRDefault="00A74C68" w:rsidP="00F36B82">
            <w:pPr>
              <w:ind w:right="-16"/>
              <w:jc w:val="right"/>
              <w:rPr>
                <w:b/>
                <w:bCs/>
                <w:sz w:val="16"/>
                <w:szCs w:val="16"/>
              </w:rPr>
            </w:pPr>
            <w:r w:rsidRPr="00471CBA">
              <w:rPr>
                <w:b/>
                <w:bCs/>
                <w:sz w:val="16"/>
                <w:szCs w:val="16"/>
              </w:rPr>
              <w:t>236.847</w:t>
            </w:r>
          </w:p>
        </w:tc>
        <w:tc>
          <w:tcPr>
            <w:tcW w:w="374" w:type="pct"/>
            <w:tcBorders>
              <w:top w:val="nil"/>
              <w:left w:val="nil"/>
              <w:bottom w:val="nil"/>
              <w:right w:val="nil"/>
            </w:tcBorders>
            <w:vAlign w:val="bottom"/>
            <w:hideMark/>
          </w:tcPr>
          <w:p w14:paraId="0D43A7BE" w14:textId="77777777" w:rsidR="00A74C68" w:rsidRPr="00471CBA" w:rsidRDefault="00A74C68" w:rsidP="00F36B82">
            <w:pPr>
              <w:ind w:right="-16"/>
              <w:jc w:val="right"/>
              <w:rPr>
                <w:b/>
                <w:bCs/>
                <w:sz w:val="16"/>
                <w:szCs w:val="16"/>
              </w:rPr>
            </w:pPr>
            <w:r w:rsidRPr="00471CBA">
              <w:rPr>
                <w:b/>
                <w:bCs/>
                <w:sz w:val="16"/>
                <w:szCs w:val="16"/>
              </w:rPr>
              <w:t>18.317</w:t>
            </w:r>
          </w:p>
        </w:tc>
        <w:tc>
          <w:tcPr>
            <w:tcW w:w="373" w:type="pct"/>
            <w:tcBorders>
              <w:top w:val="nil"/>
              <w:left w:val="nil"/>
              <w:bottom w:val="nil"/>
              <w:right w:val="nil"/>
            </w:tcBorders>
            <w:vAlign w:val="bottom"/>
            <w:hideMark/>
          </w:tcPr>
          <w:p w14:paraId="7786D59F" w14:textId="77777777" w:rsidR="00A74C68" w:rsidRPr="00471CBA" w:rsidRDefault="00A74C68" w:rsidP="00F36B82">
            <w:pPr>
              <w:ind w:right="-16"/>
              <w:jc w:val="right"/>
              <w:rPr>
                <w:b/>
                <w:bCs/>
                <w:sz w:val="16"/>
                <w:szCs w:val="16"/>
              </w:rPr>
            </w:pPr>
            <w:r w:rsidRPr="00471CBA">
              <w:rPr>
                <w:b/>
                <w:bCs/>
                <w:sz w:val="16"/>
                <w:szCs w:val="16"/>
              </w:rPr>
              <w:t>-</w:t>
            </w:r>
          </w:p>
        </w:tc>
        <w:tc>
          <w:tcPr>
            <w:tcW w:w="374" w:type="pct"/>
            <w:tcBorders>
              <w:top w:val="nil"/>
              <w:left w:val="nil"/>
              <w:bottom w:val="nil"/>
              <w:right w:val="nil"/>
            </w:tcBorders>
            <w:vAlign w:val="bottom"/>
            <w:hideMark/>
          </w:tcPr>
          <w:p w14:paraId="0ABE3E69" w14:textId="77777777" w:rsidR="00A74C68" w:rsidRPr="00471CBA" w:rsidRDefault="00A74C68" w:rsidP="00F36B82">
            <w:pPr>
              <w:ind w:right="-16"/>
              <w:jc w:val="right"/>
              <w:rPr>
                <w:b/>
                <w:bCs/>
                <w:sz w:val="16"/>
                <w:szCs w:val="16"/>
              </w:rPr>
            </w:pPr>
            <w:r w:rsidRPr="00471CBA">
              <w:rPr>
                <w:b/>
                <w:bCs/>
                <w:sz w:val="16"/>
                <w:szCs w:val="16"/>
              </w:rPr>
              <w:t>16.869</w:t>
            </w:r>
          </w:p>
        </w:tc>
        <w:tc>
          <w:tcPr>
            <w:tcW w:w="527" w:type="pct"/>
            <w:tcBorders>
              <w:top w:val="nil"/>
              <w:left w:val="nil"/>
              <w:bottom w:val="nil"/>
              <w:right w:val="nil"/>
            </w:tcBorders>
            <w:vAlign w:val="bottom"/>
            <w:hideMark/>
          </w:tcPr>
          <w:p w14:paraId="3F6CE92F" w14:textId="77777777" w:rsidR="00A74C68" w:rsidRPr="00471CBA" w:rsidRDefault="00A74C68" w:rsidP="00F36B82">
            <w:pPr>
              <w:ind w:right="-16"/>
              <w:jc w:val="right"/>
              <w:rPr>
                <w:b/>
                <w:bCs/>
                <w:sz w:val="16"/>
                <w:szCs w:val="16"/>
              </w:rPr>
            </w:pPr>
            <w:r w:rsidRPr="00471CBA">
              <w:rPr>
                <w:b/>
                <w:bCs/>
                <w:sz w:val="16"/>
                <w:szCs w:val="16"/>
              </w:rPr>
              <w:t>2.762.266</w:t>
            </w:r>
          </w:p>
        </w:tc>
        <w:tc>
          <w:tcPr>
            <w:tcW w:w="532" w:type="pct"/>
            <w:tcBorders>
              <w:top w:val="nil"/>
              <w:left w:val="nil"/>
              <w:bottom w:val="nil"/>
              <w:right w:val="nil"/>
            </w:tcBorders>
            <w:vAlign w:val="bottom"/>
            <w:hideMark/>
          </w:tcPr>
          <w:p w14:paraId="503A7BE7" w14:textId="77777777" w:rsidR="00A74C68" w:rsidRPr="00471CBA" w:rsidRDefault="00A74C68" w:rsidP="00F36B82">
            <w:pPr>
              <w:ind w:right="-16"/>
              <w:jc w:val="right"/>
              <w:rPr>
                <w:b/>
                <w:bCs/>
                <w:sz w:val="16"/>
                <w:szCs w:val="16"/>
              </w:rPr>
            </w:pPr>
            <w:r w:rsidRPr="00471CBA">
              <w:rPr>
                <w:b/>
                <w:bCs/>
                <w:sz w:val="16"/>
                <w:szCs w:val="16"/>
              </w:rPr>
              <w:t>-</w:t>
            </w:r>
          </w:p>
        </w:tc>
        <w:tc>
          <w:tcPr>
            <w:tcW w:w="356" w:type="pct"/>
            <w:tcBorders>
              <w:top w:val="nil"/>
              <w:left w:val="nil"/>
              <w:bottom w:val="nil"/>
              <w:right w:val="nil"/>
            </w:tcBorders>
            <w:vAlign w:val="bottom"/>
            <w:hideMark/>
          </w:tcPr>
          <w:p w14:paraId="6EB01FDC" w14:textId="77777777" w:rsidR="00A74C68" w:rsidRPr="00471CBA" w:rsidRDefault="00A74C68" w:rsidP="00F36B82">
            <w:pPr>
              <w:ind w:right="-16"/>
              <w:jc w:val="right"/>
              <w:rPr>
                <w:b/>
                <w:bCs/>
                <w:sz w:val="16"/>
                <w:szCs w:val="16"/>
              </w:rPr>
            </w:pPr>
            <w:r w:rsidRPr="00471CBA">
              <w:rPr>
                <w:b/>
                <w:bCs/>
                <w:sz w:val="16"/>
                <w:szCs w:val="16"/>
              </w:rPr>
              <w:t>3.153.200</w:t>
            </w:r>
          </w:p>
        </w:tc>
      </w:tr>
      <w:tr w:rsidR="00A74C68" w:rsidRPr="00471CBA" w14:paraId="58CC7A6C" w14:textId="77777777" w:rsidTr="00A74C68">
        <w:trPr>
          <w:divId w:val="485443198"/>
          <w:trHeight w:val="113"/>
        </w:trPr>
        <w:tc>
          <w:tcPr>
            <w:tcW w:w="1344" w:type="pct"/>
            <w:tcBorders>
              <w:top w:val="nil"/>
              <w:left w:val="nil"/>
              <w:bottom w:val="nil"/>
              <w:right w:val="nil"/>
            </w:tcBorders>
            <w:vAlign w:val="bottom"/>
            <w:hideMark/>
          </w:tcPr>
          <w:p w14:paraId="5E302767" w14:textId="77777777" w:rsidR="00A74C68" w:rsidRPr="00471CBA" w:rsidRDefault="00A74C68" w:rsidP="00A74C68">
            <w:pPr>
              <w:rPr>
                <w:b/>
                <w:bCs/>
                <w:sz w:val="16"/>
                <w:szCs w:val="16"/>
              </w:rPr>
            </w:pPr>
            <w:r w:rsidRPr="00471CBA">
              <w:rPr>
                <w:b/>
                <w:bCs/>
                <w:sz w:val="16"/>
                <w:szCs w:val="16"/>
              </w:rPr>
              <w:t>III. Özel Cari Hesaplar Diğer-TP</w:t>
            </w:r>
          </w:p>
        </w:tc>
        <w:tc>
          <w:tcPr>
            <w:tcW w:w="373" w:type="pct"/>
            <w:tcBorders>
              <w:top w:val="nil"/>
              <w:left w:val="nil"/>
              <w:bottom w:val="nil"/>
              <w:right w:val="nil"/>
            </w:tcBorders>
            <w:vAlign w:val="bottom"/>
            <w:hideMark/>
          </w:tcPr>
          <w:p w14:paraId="78647A8C" w14:textId="77777777" w:rsidR="00A74C68" w:rsidRPr="00471CBA" w:rsidRDefault="00A74C68" w:rsidP="00F36B82">
            <w:pPr>
              <w:ind w:right="-16"/>
              <w:jc w:val="right"/>
              <w:rPr>
                <w:b/>
                <w:bCs/>
                <w:sz w:val="16"/>
                <w:szCs w:val="16"/>
              </w:rPr>
            </w:pPr>
            <w:r w:rsidRPr="00471CBA">
              <w:rPr>
                <w:b/>
                <w:bCs/>
                <w:sz w:val="16"/>
                <w:szCs w:val="16"/>
              </w:rPr>
              <w:t>225.273</w:t>
            </w:r>
          </w:p>
        </w:tc>
        <w:tc>
          <w:tcPr>
            <w:tcW w:w="374" w:type="pct"/>
            <w:tcBorders>
              <w:top w:val="nil"/>
              <w:left w:val="nil"/>
              <w:bottom w:val="nil"/>
              <w:right w:val="nil"/>
            </w:tcBorders>
            <w:vAlign w:val="bottom"/>
            <w:hideMark/>
          </w:tcPr>
          <w:p w14:paraId="41BE4EC9" w14:textId="77777777" w:rsidR="00A74C68" w:rsidRPr="00471CBA" w:rsidRDefault="00A74C68" w:rsidP="00F36B82">
            <w:pPr>
              <w:ind w:right="-16"/>
              <w:jc w:val="right"/>
              <w:rPr>
                <w:b/>
                <w:bCs/>
                <w:sz w:val="16"/>
                <w:szCs w:val="16"/>
              </w:rPr>
            </w:pPr>
            <w:r w:rsidRPr="00471CBA">
              <w:rPr>
                <w:b/>
                <w:bCs/>
                <w:sz w:val="16"/>
                <w:szCs w:val="16"/>
              </w:rPr>
              <w:t>-</w:t>
            </w:r>
          </w:p>
        </w:tc>
        <w:tc>
          <w:tcPr>
            <w:tcW w:w="374" w:type="pct"/>
            <w:tcBorders>
              <w:top w:val="nil"/>
              <w:left w:val="nil"/>
              <w:bottom w:val="nil"/>
              <w:right w:val="nil"/>
            </w:tcBorders>
            <w:vAlign w:val="bottom"/>
            <w:hideMark/>
          </w:tcPr>
          <w:p w14:paraId="3CE14DA9" w14:textId="77777777" w:rsidR="00A74C68" w:rsidRPr="00471CBA" w:rsidRDefault="00A74C68" w:rsidP="00F36B82">
            <w:pPr>
              <w:ind w:right="-16"/>
              <w:jc w:val="right"/>
              <w:rPr>
                <w:b/>
                <w:bCs/>
                <w:sz w:val="16"/>
                <w:szCs w:val="16"/>
              </w:rPr>
            </w:pPr>
            <w:r w:rsidRPr="00471CBA">
              <w:rPr>
                <w:b/>
                <w:bCs/>
                <w:sz w:val="16"/>
                <w:szCs w:val="16"/>
              </w:rPr>
              <w:t>-</w:t>
            </w:r>
          </w:p>
        </w:tc>
        <w:tc>
          <w:tcPr>
            <w:tcW w:w="374" w:type="pct"/>
            <w:tcBorders>
              <w:top w:val="nil"/>
              <w:left w:val="nil"/>
              <w:bottom w:val="nil"/>
              <w:right w:val="nil"/>
            </w:tcBorders>
            <w:vAlign w:val="bottom"/>
            <w:hideMark/>
          </w:tcPr>
          <w:p w14:paraId="2A6D21AA" w14:textId="77777777" w:rsidR="00A74C68" w:rsidRPr="00471CBA" w:rsidRDefault="00A74C68" w:rsidP="00F36B82">
            <w:pPr>
              <w:ind w:right="-16"/>
              <w:jc w:val="right"/>
              <w:rPr>
                <w:b/>
                <w:bCs/>
                <w:sz w:val="16"/>
                <w:szCs w:val="16"/>
              </w:rPr>
            </w:pPr>
            <w:r w:rsidRPr="00471CBA">
              <w:rPr>
                <w:b/>
                <w:bCs/>
                <w:sz w:val="16"/>
                <w:szCs w:val="16"/>
              </w:rPr>
              <w:t>-</w:t>
            </w:r>
          </w:p>
        </w:tc>
        <w:tc>
          <w:tcPr>
            <w:tcW w:w="373" w:type="pct"/>
            <w:tcBorders>
              <w:top w:val="nil"/>
              <w:left w:val="nil"/>
              <w:bottom w:val="nil"/>
              <w:right w:val="nil"/>
            </w:tcBorders>
            <w:vAlign w:val="bottom"/>
            <w:hideMark/>
          </w:tcPr>
          <w:p w14:paraId="37B1455C" w14:textId="77777777" w:rsidR="00A74C68" w:rsidRPr="00471CBA" w:rsidRDefault="00A74C68" w:rsidP="00F36B82">
            <w:pPr>
              <w:ind w:right="-16"/>
              <w:jc w:val="right"/>
              <w:rPr>
                <w:b/>
                <w:bCs/>
                <w:sz w:val="16"/>
                <w:szCs w:val="16"/>
              </w:rPr>
            </w:pPr>
            <w:r w:rsidRPr="00471CBA">
              <w:rPr>
                <w:b/>
                <w:bCs/>
                <w:sz w:val="16"/>
                <w:szCs w:val="16"/>
              </w:rPr>
              <w:t>-</w:t>
            </w:r>
          </w:p>
        </w:tc>
        <w:tc>
          <w:tcPr>
            <w:tcW w:w="374" w:type="pct"/>
            <w:tcBorders>
              <w:top w:val="nil"/>
              <w:left w:val="nil"/>
              <w:bottom w:val="nil"/>
              <w:right w:val="nil"/>
            </w:tcBorders>
            <w:vAlign w:val="bottom"/>
            <w:hideMark/>
          </w:tcPr>
          <w:p w14:paraId="26BEA2A8" w14:textId="77777777" w:rsidR="00A74C68" w:rsidRPr="00471CBA" w:rsidRDefault="00A74C68" w:rsidP="00F36B82">
            <w:pPr>
              <w:ind w:right="-16"/>
              <w:jc w:val="right"/>
              <w:rPr>
                <w:b/>
                <w:bCs/>
                <w:sz w:val="16"/>
                <w:szCs w:val="16"/>
              </w:rPr>
            </w:pPr>
            <w:r w:rsidRPr="00471CBA">
              <w:rPr>
                <w:b/>
                <w:bCs/>
                <w:sz w:val="16"/>
                <w:szCs w:val="16"/>
              </w:rPr>
              <w:t>-</w:t>
            </w:r>
          </w:p>
        </w:tc>
        <w:tc>
          <w:tcPr>
            <w:tcW w:w="527" w:type="pct"/>
            <w:tcBorders>
              <w:top w:val="nil"/>
              <w:left w:val="nil"/>
              <w:bottom w:val="nil"/>
              <w:right w:val="nil"/>
            </w:tcBorders>
            <w:vAlign w:val="bottom"/>
            <w:hideMark/>
          </w:tcPr>
          <w:p w14:paraId="7A72BE66" w14:textId="77777777" w:rsidR="00A74C68" w:rsidRPr="00471CBA" w:rsidRDefault="00A74C68" w:rsidP="00F36B82">
            <w:pPr>
              <w:ind w:right="-16"/>
              <w:jc w:val="right"/>
              <w:rPr>
                <w:b/>
                <w:bCs/>
                <w:sz w:val="16"/>
                <w:szCs w:val="16"/>
              </w:rPr>
            </w:pPr>
            <w:r w:rsidRPr="00471CBA">
              <w:rPr>
                <w:b/>
                <w:bCs/>
                <w:sz w:val="16"/>
                <w:szCs w:val="16"/>
              </w:rPr>
              <w:t>-</w:t>
            </w:r>
          </w:p>
        </w:tc>
        <w:tc>
          <w:tcPr>
            <w:tcW w:w="532" w:type="pct"/>
            <w:tcBorders>
              <w:top w:val="nil"/>
              <w:left w:val="nil"/>
              <w:bottom w:val="nil"/>
              <w:right w:val="nil"/>
            </w:tcBorders>
            <w:vAlign w:val="bottom"/>
            <w:hideMark/>
          </w:tcPr>
          <w:p w14:paraId="1EFF582D" w14:textId="77777777" w:rsidR="00A74C68" w:rsidRPr="00471CBA" w:rsidRDefault="00A74C68" w:rsidP="00F36B82">
            <w:pPr>
              <w:ind w:right="-16"/>
              <w:jc w:val="right"/>
              <w:rPr>
                <w:b/>
                <w:bCs/>
                <w:sz w:val="16"/>
                <w:szCs w:val="16"/>
              </w:rPr>
            </w:pPr>
            <w:r w:rsidRPr="00471CBA">
              <w:rPr>
                <w:b/>
                <w:bCs/>
                <w:sz w:val="16"/>
                <w:szCs w:val="16"/>
              </w:rPr>
              <w:t>-</w:t>
            </w:r>
          </w:p>
        </w:tc>
        <w:tc>
          <w:tcPr>
            <w:tcW w:w="356" w:type="pct"/>
            <w:tcBorders>
              <w:top w:val="nil"/>
              <w:left w:val="nil"/>
              <w:bottom w:val="nil"/>
              <w:right w:val="nil"/>
            </w:tcBorders>
            <w:vAlign w:val="bottom"/>
            <w:hideMark/>
          </w:tcPr>
          <w:p w14:paraId="44E67969" w14:textId="77777777" w:rsidR="00A74C68" w:rsidRPr="00471CBA" w:rsidRDefault="00A74C68" w:rsidP="00F36B82">
            <w:pPr>
              <w:ind w:right="-16"/>
              <w:jc w:val="right"/>
              <w:rPr>
                <w:b/>
                <w:bCs/>
                <w:sz w:val="16"/>
                <w:szCs w:val="16"/>
              </w:rPr>
            </w:pPr>
            <w:r w:rsidRPr="00471CBA">
              <w:rPr>
                <w:b/>
                <w:bCs/>
                <w:sz w:val="16"/>
                <w:szCs w:val="16"/>
              </w:rPr>
              <w:t>225.273</w:t>
            </w:r>
          </w:p>
        </w:tc>
      </w:tr>
      <w:tr w:rsidR="00A74C68" w:rsidRPr="00471CBA" w14:paraId="65AD1794" w14:textId="77777777" w:rsidTr="00A74C68">
        <w:trPr>
          <w:divId w:val="485443198"/>
          <w:trHeight w:val="113"/>
        </w:trPr>
        <w:tc>
          <w:tcPr>
            <w:tcW w:w="1344" w:type="pct"/>
            <w:tcBorders>
              <w:top w:val="nil"/>
              <w:left w:val="nil"/>
              <w:bottom w:val="nil"/>
              <w:right w:val="nil"/>
            </w:tcBorders>
            <w:vAlign w:val="bottom"/>
            <w:hideMark/>
          </w:tcPr>
          <w:p w14:paraId="378173CD" w14:textId="77777777" w:rsidR="00A74C68" w:rsidRPr="00471CBA" w:rsidRDefault="00A74C68" w:rsidP="00A74C68">
            <w:pPr>
              <w:rPr>
                <w:sz w:val="16"/>
                <w:szCs w:val="16"/>
              </w:rPr>
            </w:pPr>
            <w:r w:rsidRPr="00471CBA">
              <w:rPr>
                <w:sz w:val="16"/>
                <w:szCs w:val="16"/>
              </w:rPr>
              <w:t>Resmi Kuruluşlar</w:t>
            </w:r>
          </w:p>
        </w:tc>
        <w:tc>
          <w:tcPr>
            <w:tcW w:w="373" w:type="pct"/>
            <w:tcBorders>
              <w:top w:val="nil"/>
              <w:left w:val="nil"/>
              <w:bottom w:val="nil"/>
              <w:right w:val="nil"/>
            </w:tcBorders>
            <w:vAlign w:val="bottom"/>
            <w:hideMark/>
          </w:tcPr>
          <w:p w14:paraId="7C444EE5"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639395B5"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2FE33DF6"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3BCCCDD9" w14:textId="77777777" w:rsidR="00A74C68" w:rsidRPr="00471CBA" w:rsidRDefault="00A74C68" w:rsidP="00F36B82">
            <w:pPr>
              <w:ind w:right="-16"/>
              <w:jc w:val="right"/>
              <w:rPr>
                <w:sz w:val="16"/>
                <w:szCs w:val="16"/>
              </w:rPr>
            </w:pPr>
            <w:r w:rsidRPr="00471CBA">
              <w:rPr>
                <w:sz w:val="16"/>
                <w:szCs w:val="16"/>
              </w:rPr>
              <w:t>-</w:t>
            </w:r>
          </w:p>
        </w:tc>
        <w:tc>
          <w:tcPr>
            <w:tcW w:w="373" w:type="pct"/>
            <w:tcBorders>
              <w:top w:val="nil"/>
              <w:left w:val="nil"/>
              <w:bottom w:val="nil"/>
              <w:right w:val="nil"/>
            </w:tcBorders>
            <w:vAlign w:val="bottom"/>
            <w:hideMark/>
          </w:tcPr>
          <w:p w14:paraId="3B01E29C"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525F6046" w14:textId="77777777" w:rsidR="00A74C68" w:rsidRPr="00471CBA" w:rsidRDefault="00A74C68" w:rsidP="00F36B82">
            <w:pPr>
              <w:ind w:right="-16"/>
              <w:jc w:val="right"/>
              <w:rPr>
                <w:sz w:val="16"/>
                <w:szCs w:val="16"/>
              </w:rPr>
            </w:pPr>
            <w:r w:rsidRPr="00471CBA">
              <w:rPr>
                <w:sz w:val="16"/>
                <w:szCs w:val="16"/>
              </w:rPr>
              <w:t>-</w:t>
            </w:r>
          </w:p>
        </w:tc>
        <w:tc>
          <w:tcPr>
            <w:tcW w:w="527" w:type="pct"/>
            <w:tcBorders>
              <w:top w:val="nil"/>
              <w:left w:val="nil"/>
              <w:bottom w:val="nil"/>
              <w:right w:val="nil"/>
            </w:tcBorders>
            <w:vAlign w:val="bottom"/>
            <w:hideMark/>
          </w:tcPr>
          <w:p w14:paraId="2FFD42F5" w14:textId="77777777" w:rsidR="00A74C68" w:rsidRPr="00471CBA" w:rsidRDefault="00A74C68" w:rsidP="00F36B82">
            <w:pPr>
              <w:ind w:right="-16"/>
              <w:jc w:val="right"/>
              <w:rPr>
                <w:sz w:val="16"/>
                <w:szCs w:val="16"/>
              </w:rPr>
            </w:pPr>
            <w:r w:rsidRPr="00471CBA">
              <w:rPr>
                <w:sz w:val="16"/>
                <w:szCs w:val="16"/>
              </w:rPr>
              <w:t>-</w:t>
            </w:r>
          </w:p>
        </w:tc>
        <w:tc>
          <w:tcPr>
            <w:tcW w:w="532" w:type="pct"/>
            <w:tcBorders>
              <w:top w:val="nil"/>
              <w:left w:val="nil"/>
              <w:bottom w:val="nil"/>
              <w:right w:val="nil"/>
            </w:tcBorders>
            <w:vAlign w:val="bottom"/>
            <w:hideMark/>
          </w:tcPr>
          <w:p w14:paraId="21FE8F91" w14:textId="77777777" w:rsidR="00A74C68" w:rsidRPr="00471CBA" w:rsidRDefault="00A74C68" w:rsidP="00F36B82">
            <w:pPr>
              <w:ind w:right="-16"/>
              <w:jc w:val="right"/>
              <w:rPr>
                <w:sz w:val="16"/>
                <w:szCs w:val="16"/>
              </w:rPr>
            </w:pPr>
            <w:r w:rsidRPr="00471CBA">
              <w:rPr>
                <w:sz w:val="16"/>
                <w:szCs w:val="16"/>
              </w:rPr>
              <w:t>-</w:t>
            </w:r>
          </w:p>
        </w:tc>
        <w:tc>
          <w:tcPr>
            <w:tcW w:w="356" w:type="pct"/>
            <w:tcBorders>
              <w:top w:val="nil"/>
              <w:left w:val="nil"/>
              <w:bottom w:val="nil"/>
              <w:right w:val="nil"/>
            </w:tcBorders>
            <w:vAlign w:val="bottom"/>
            <w:hideMark/>
          </w:tcPr>
          <w:p w14:paraId="3DD669FE" w14:textId="77777777" w:rsidR="00A74C68" w:rsidRPr="00471CBA" w:rsidRDefault="00A74C68" w:rsidP="00F36B82">
            <w:pPr>
              <w:ind w:right="-16"/>
              <w:jc w:val="right"/>
              <w:rPr>
                <w:sz w:val="16"/>
                <w:szCs w:val="16"/>
              </w:rPr>
            </w:pPr>
            <w:r w:rsidRPr="00471CBA">
              <w:rPr>
                <w:sz w:val="16"/>
                <w:szCs w:val="16"/>
              </w:rPr>
              <w:t>-</w:t>
            </w:r>
          </w:p>
        </w:tc>
      </w:tr>
      <w:tr w:rsidR="00A74C68" w:rsidRPr="00471CBA" w14:paraId="0694157D" w14:textId="77777777" w:rsidTr="00A74C68">
        <w:trPr>
          <w:divId w:val="485443198"/>
          <w:trHeight w:val="113"/>
        </w:trPr>
        <w:tc>
          <w:tcPr>
            <w:tcW w:w="1344" w:type="pct"/>
            <w:tcBorders>
              <w:top w:val="nil"/>
              <w:left w:val="nil"/>
              <w:bottom w:val="nil"/>
              <w:right w:val="nil"/>
            </w:tcBorders>
            <w:vAlign w:val="bottom"/>
            <w:hideMark/>
          </w:tcPr>
          <w:p w14:paraId="3C6E6E98" w14:textId="77777777" w:rsidR="00A74C68" w:rsidRPr="00471CBA" w:rsidRDefault="00A74C68" w:rsidP="00A74C68">
            <w:pPr>
              <w:rPr>
                <w:sz w:val="16"/>
                <w:szCs w:val="16"/>
              </w:rPr>
            </w:pPr>
            <w:r w:rsidRPr="00471CBA">
              <w:rPr>
                <w:sz w:val="16"/>
                <w:szCs w:val="16"/>
              </w:rPr>
              <w:t>Ticari Kuruluşlar</w:t>
            </w:r>
          </w:p>
        </w:tc>
        <w:tc>
          <w:tcPr>
            <w:tcW w:w="373" w:type="pct"/>
            <w:tcBorders>
              <w:top w:val="nil"/>
              <w:left w:val="nil"/>
              <w:bottom w:val="nil"/>
              <w:right w:val="nil"/>
            </w:tcBorders>
            <w:vAlign w:val="bottom"/>
            <w:hideMark/>
          </w:tcPr>
          <w:p w14:paraId="73959149" w14:textId="77777777" w:rsidR="00A74C68" w:rsidRPr="00471CBA" w:rsidRDefault="00A74C68" w:rsidP="00F36B82">
            <w:pPr>
              <w:ind w:right="-16"/>
              <w:jc w:val="right"/>
              <w:rPr>
                <w:sz w:val="16"/>
                <w:szCs w:val="16"/>
              </w:rPr>
            </w:pPr>
            <w:r w:rsidRPr="00471CBA">
              <w:rPr>
                <w:sz w:val="16"/>
                <w:szCs w:val="16"/>
              </w:rPr>
              <w:t>225.140</w:t>
            </w:r>
          </w:p>
        </w:tc>
        <w:tc>
          <w:tcPr>
            <w:tcW w:w="374" w:type="pct"/>
            <w:tcBorders>
              <w:top w:val="nil"/>
              <w:left w:val="nil"/>
              <w:bottom w:val="nil"/>
              <w:right w:val="nil"/>
            </w:tcBorders>
            <w:vAlign w:val="bottom"/>
            <w:hideMark/>
          </w:tcPr>
          <w:p w14:paraId="4BF39614"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5AD16125"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2D88A727" w14:textId="77777777" w:rsidR="00A74C68" w:rsidRPr="00471CBA" w:rsidRDefault="00A74C68" w:rsidP="00F36B82">
            <w:pPr>
              <w:ind w:right="-16"/>
              <w:jc w:val="right"/>
              <w:rPr>
                <w:sz w:val="16"/>
                <w:szCs w:val="16"/>
              </w:rPr>
            </w:pPr>
            <w:r w:rsidRPr="00471CBA">
              <w:rPr>
                <w:sz w:val="16"/>
                <w:szCs w:val="16"/>
              </w:rPr>
              <w:t>-</w:t>
            </w:r>
          </w:p>
        </w:tc>
        <w:tc>
          <w:tcPr>
            <w:tcW w:w="373" w:type="pct"/>
            <w:tcBorders>
              <w:top w:val="nil"/>
              <w:left w:val="nil"/>
              <w:bottom w:val="nil"/>
              <w:right w:val="nil"/>
            </w:tcBorders>
            <w:vAlign w:val="bottom"/>
            <w:hideMark/>
          </w:tcPr>
          <w:p w14:paraId="6E814D6B"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7184024C" w14:textId="77777777" w:rsidR="00A74C68" w:rsidRPr="00471CBA" w:rsidRDefault="00A74C68" w:rsidP="00F36B82">
            <w:pPr>
              <w:ind w:right="-16"/>
              <w:jc w:val="right"/>
              <w:rPr>
                <w:sz w:val="16"/>
                <w:szCs w:val="16"/>
              </w:rPr>
            </w:pPr>
            <w:r w:rsidRPr="00471CBA">
              <w:rPr>
                <w:sz w:val="16"/>
                <w:szCs w:val="16"/>
              </w:rPr>
              <w:t>-</w:t>
            </w:r>
          </w:p>
        </w:tc>
        <w:tc>
          <w:tcPr>
            <w:tcW w:w="527" w:type="pct"/>
            <w:tcBorders>
              <w:top w:val="nil"/>
              <w:left w:val="nil"/>
              <w:bottom w:val="nil"/>
              <w:right w:val="nil"/>
            </w:tcBorders>
            <w:vAlign w:val="bottom"/>
            <w:hideMark/>
          </w:tcPr>
          <w:p w14:paraId="70590455" w14:textId="77777777" w:rsidR="00A74C68" w:rsidRPr="00471CBA" w:rsidRDefault="00A74C68" w:rsidP="00F36B82">
            <w:pPr>
              <w:ind w:right="-16"/>
              <w:jc w:val="right"/>
              <w:rPr>
                <w:sz w:val="16"/>
                <w:szCs w:val="16"/>
              </w:rPr>
            </w:pPr>
            <w:r w:rsidRPr="00471CBA">
              <w:rPr>
                <w:sz w:val="16"/>
                <w:szCs w:val="16"/>
              </w:rPr>
              <w:t>-</w:t>
            </w:r>
          </w:p>
        </w:tc>
        <w:tc>
          <w:tcPr>
            <w:tcW w:w="532" w:type="pct"/>
            <w:tcBorders>
              <w:top w:val="nil"/>
              <w:left w:val="nil"/>
              <w:bottom w:val="nil"/>
              <w:right w:val="nil"/>
            </w:tcBorders>
            <w:vAlign w:val="bottom"/>
            <w:hideMark/>
          </w:tcPr>
          <w:p w14:paraId="22083248" w14:textId="77777777" w:rsidR="00A74C68" w:rsidRPr="00471CBA" w:rsidRDefault="00A74C68" w:rsidP="00F36B82">
            <w:pPr>
              <w:ind w:right="-16"/>
              <w:jc w:val="right"/>
              <w:rPr>
                <w:sz w:val="16"/>
                <w:szCs w:val="16"/>
              </w:rPr>
            </w:pPr>
            <w:r w:rsidRPr="00471CBA">
              <w:rPr>
                <w:sz w:val="16"/>
                <w:szCs w:val="16"/>
              </w:rPr>
              <w:t>-</w:t>
            </w:r>
          </w:p>
        </w:tc>
        <w:tc>
          <w:tcPr>
            <w:tcW w:w="356" w:type="pct"/>
            <w:tcBorders>
              <w:top w:val="nil"/>
              <w:left w:val="nil"/>
              <w:bottom w:val="nil"/>
              <w:right w:val="nil"/>
            </w:tcBorders>
            <w:vAlign w:val="bottom"/>
            <w:hideMark/>
          </w:tcPr>
          <w:p w14:paraId="2F7DC24F" w14:textId="77777777" w:rsidR="00A74C68" w:rsidRPr="00471CBA" w:rsidRDefault="00A74C68" w:rsidP="00F36B82">
            <w:pPr>
              <w:ind w:right="-16"/>
              <w:jc w:val="right"/>
              <w:rPr>
                <w:sz w:val="16"/>
                <w:szCs w:val="16"/>
              </w:rPr>
            </w:pPr>
            <w:r w:rsidRPr="00471CBA">
              <w:rPr>
                <w:sz w:val="16"/>
                <w:szCs w:val="16"/>
              </w:rPr>
              <w:t>225.140</w:t>
            </w:r>
          </w:p>
        </w:tc>
      </w:tr>
      <w:tr w:rsidR="00A74C68" w:rsidRPr="00471CBA" w14:paraId="50241525" w14:textId="77777777" w:rsidTr="00A74C68">
        <w:trPr>
          <w:divId w:val="485443198"/>
          <w:trHeight w:val="113"/>
        </w:trPr>
        <w:tc>
          <w:tcPr>
            <w:tcW w:w="1344" w:type="pct"/>
            <w:tcBorders>
              <w:top w:val="nil"/>
              <w:left w:val="nil"/>
              <w:bottom w:val="nil"/>
              <w:right w:val="nil"/>
            </w:tcBorders>
            <w:vAlign w:val="bottom"/>
            <w:hideMark/>
          </w:tcPr>
          <w:p w14:paraId="7A090624" w14:textId="77777777" w:rsidR="00A74C68" w:rsidRPr="00471CBA" w:rsidRDefault="00A74C68" w:rsidP="00A74C68">
            <w:pPr>
              <w:rPr>
                <w:sz w:val="16"/>
                <w:szCs w:val="16"/>
              </w:rPr>
            </w:pPr>
            <w:r w:rsidRPr="00471CBA">
              <w:rPr>
                <w:sz w:val="16"/>
                <w:szCs w:val="16"/>
              </w:rPr>
              <w:t>Diğer Kuruluşlar</w:t>
            </w:r>
          </w:p>
        </w:tc>
        <w:tc>
          <w:tcPr>
            <w:tcW w:w="373" w:type="pct"/>
            <w:tcBorders>
              <w:top w:val="nil"/>
              <w:left w:val="nil"/>
              <w:bottom w:val="nil"/>
              <w:right w:val="nil"/>
            </w:tcBorders>
            <w:vAlign w:val="bottom"/>
            <w:hideMark/>
          </w:tcPr>
          <w:p w14:paraId="473D99F3" w14:textId="77777777" w:rsidR="00A74C68" w:rsidRPr="00471CBA" w:rsidRDefault="00A74C68" w:rsidP="00F36B82">
            <w:pPr>
              <w:ind w:right="-16"/>
              <w:jc w:val="right"/>
              <w:rPr>
                <w:sz w:val="16"/>
                <w:szCs w:val="16"/>
              </w:rPr>
            </w:pPr>
            <w:r w:rsidRPr="00471CBA">
              <w:rPr>
                <w:sz w:val="16"/>
                <w:szCs w:val="16"/>
              </w:rPr>
              <w:t>84</w:t>
            </w:r>
          </w:p>
        </w:tc>
        <w:tc>
          <w:tcPr>
            <w:tcW w:w="374" w:type="pct"/>
            <w:tcBorders>
              <w:top w:val="nil"/>
              <w:left w:val="nil"/>
              <w:bottom w:val="nil"/>
              <w:right w:val="nil"/>
            </w:tcBorders>
            <w:vAlign w:val="bottom"/>
            <w:hideMark/>
          </w:tcPr>
          <w:p w14:paraId="2147D752"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5C1C28AC"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3F513E0E" w14:textId="77777777" w:rsidR="00A74C68" w:rsidRPr="00471CBA" w:rsidRDefault="00A74C68" w:rsidP="00F36B82">
            <w:pPr>
              <w:ind w:right="-16"/>
              <w:jc w:val="right"/>
              <w:rPr>
                <w:sz w:val="16"/>
                <w:szCs w:val="16"/>
              </w:rPr>
            </w:pPr>
            <w:r w:rsidRPr="00471CBA">
              <w:rPr>
                <w:sz w:val="16"/>
                <w:szCs w:val="16"/>
              </w:rPr>
              <w:t>-</w:t>
            </w:r>
          </w:p>
        </w:tc>
        <w:tc>
          <w:tcPr>
            <w:tcW w:w="373" w:type="pct"/>
            <w:tcBorders>
              <w:top w:val="nil"/>
              <w:left w:val="nil"/>
              <w:bottom w:val="nil"/>
              <w:right w:val="nil"/>
            </w:tcBorders>
            <w:vAlign w:val="bottom"/>
            <w:hideMark/>
          </w:tcPr>
          <w:p w14:paraId="2AC66452"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18037156" w14:textId="77777777" w:rsidR="00A74C68" w:rsidRPr="00471CBA" w:rsidRDefault="00A74C68" w:rsidP="00F36B82">
            <w:pPr>
              <w:ind w:right="-16"/>
              <w:jc w:val="right"/>
              <w:rPr>
                <w:sz w:val="16"/>
                <w:szCs w:val="16"/>
              </w:rPr>
            </w:pPr>
            <w:r w:rsidRPr="00471CBA">
              <w:rPr>
                <w:sz w:val="16"/>
                <w:szCs w:val="16"/>
              </w:rPr>
              <w:t>-</w:t>
            </w:r>
          </w:p>
        </w:tc>
        <w:tc>
          <w:tcPr>
            <w:tcW w:w="527" w:type="pct"/>
            <w:tcBorders>
              <w:top w:val="nil"/>
              <w:left w:val="nil"/>
              <w:bottom w:val="nil"/>
              <w:right w:val="nil"/>
            </w:tcBorders>
            <w:vAlign w:val="bottom"/>
            <w:hideMark/>
          </w:tcPr>
          <w:p w14:paraId="571FB806" w14:textId="77777777" w:rsidR="00A74C68" w:rsidRPr="00471CBA" w:rsidRDefault="00A74C68" w:rsidP="00F36B82">
            <w:pPr>
              <w:ind w:right="-16"/>
              <w:jc w:val="right"/>
              <w:rPr>
                <w:sz w:val="16"/>
                <w:szCs w:val="16"/>
              </w:rPr>
            </w:pPr>
            <w:r w:rsidRPr="00471CBA">
              <w:rPr>
                <w:sz w:val="16"/>
                <w:szCs w:val="16"/>
              </w:rPr>
              <w:t>-</w:t>
            </w:r>
          </w:p>
        </w:tc>
        <w:tc>
          <w:tcPr>
            <w:tcW w:w="532" w:type="pct"/>
            <w:tcBorders>
              <w:top w:val="nil"/>
              <w:left w:val="nil"/>
              <w:bottom w:val="nil"/>
              <w:right w:val="nil"/>
            </w:tcBorders>
            <w:vAlign w:val="bottom"/>
            <w:hideMark/>
          </w:tcPr>
          <w:p w14:paraId="76E39877" w14:textId="77777777" w:rsidR="00A74C68" w:rsidRPr="00471CBA" w:rsidRDefault="00A74C68" w:rsidP="00F36B82">
            <w:pPr>
              <w:ind w:right="-16"/>
              <w:jc w:val="right"/>
              <w:rPr>
                <w:sz w:val="16"/>
                <w:szCs w:val="16"/>
              </w:rPr>
            </w:pPr>
            <w:r w:rsidRPr="00471CBA">
              <w:rPr>
                <w:sz w:val="16"/>
                <w:szCs w:val="16"/>
              </w:rPr>
              <w:t>-</w:t>
            </w:r>
          </w:p>
        </w:tc>
        <w:tc>
          <w:tcPr>
            <w:tcW w:w="356" w:type="pct"/>
            <w:tcBorders>
              <w:top w:val="nil"/>
              <w:left w:val="nil"/>
              <w:bottom w:val="nil"/>
              <w:right w:val="nil"/>
            </w:tcBorders>
            <w:vAlign w:val="bottom"/>
            <w:hideMark/>
          </w:tcPr>
          <w:p w14:paraId="145D08B7" w14:textId="77777777" w:rsidR="00A74C68" w:rsidRPr="00471CBA" w:rsidRDefault="00A74C68" w:rsidP="00F36B82">
            <w:pPr>
              <w:ind w:right="-16"/>
              <w:jc w:val="right"/>
              <w:rPr>
                <w:sz w:val="16"/>
                <w:szCs w:val="16"/>
              </w:rPr>
            </w:pPr>
            <w:r w:rsidRPr="00471CBA">
              <w:rPr>
                <w:sz w:val="16"/>
                <w:szCs w:val="16"/>
              </w:rPr>
              <w:t>84</w:t>
            </w:r>
          </w:p>
        </w:tc>
      </w:tr>
      <w:tr w:rsidR="00A74C68" w:rsidRPr="00471CBA" w14:paraId="7F75C099" w14:textId="77777777" w:rsidTr="00A74C68">
        <w:trPr>
          <w:divId w:val="485443198"/>
          <w:trHeight w:val="113"/>
        </w:trPr>
        <w:tc>
          <w:tcPr>
            <w:tcW w:w="1344" w:type="pct"/>
            <w:tcBorders>
              <w:top w:val="nil"/>
              <w:left w:val="nil"/>
              <w:bottom w:val="nil"/>
              <w:right w:val="nil"/>
            </w:tcBorders>
            <w:vAlign w:val="bottom"/>
            <w:hideMark/>
          </w:tcPr>
          <w:p w14:paraId="134BFCEB" w14:textId="77777777" w:rsidR="00A74C68" w:rsidRPr="00471CBA" w:rsidRDefault="00A74C68" w:rsidP="00A74C68">
            <w:pPr>
              <w:rPr>
                <w:sz w:val="16"/>
                <w:szCs w:val="16"/>
              </w:rPr>
            </w:pPr>
            <w:r w:rsidRPr="00471CBA">
              <w:rPr>
                <w:sz w:val="16"/>
                <w:szCs w:val="16"/>
              </w:rPr>
              <w:t xml:space="preserve">Ticari ve </w:t>
            </w:r>
            <w:proofErr w:type="gramStart"/>
            <w:r w:rsidRPr="00471CBA">
              <w:rPr>
                <w:sz w:val="16"/>
                <w:szCs w:val="16"/>
              </w:rPr>
              <w:t>Diğer</w:t>
            </w:r>
            <w:proofErr w:type="gramEnd"/>
            <w:r w:rsidRPr="00471CBA">
              <w:rPr>
                <w:sz w:val="16"/>
                <w:szCs w:val="16"/>
              </w:rPr>
              <w:t xml:space="preserve"> Kur.</w:t>
            </w:r>
          </w:p>
        </w:tc>
        <w:tc>
          <w:tcPr>
            <w:tcW w:w="373" w:type="pct"/>
            <w:tcBorders>
              <w:top w:val="nil"/>
              <w:left w:val="nil"/>
              <w:bottom w:val="nil"/>
              <w:right w:val="nil"/>
            </w:tcBorders>
            <w:vAlign w:val="bottom"/>
            <w:hideMark/>
          </w:tcPr>
          <w:p w14:paraId="653279FE" w14:textId="77777777" w:rsidR="00A74C68" w:rsidRPr="00471CBA" w:rsidRDefault="00A74C68" w:rsidP="00F36B82">
            <w:pPr>
              <w:ind w:right="-16"/>
              <w:jc w:val="right"/>
              <w:rPr>
                <w:sz w:val="16"/>
                <w:szCs w:val="16"/>
              </w:rPr>
            </w:pPr>
            <w:r w:rsidRPr="00471CBA">
              <w:rPr>
                <w:sz w:val="16"/>
                <w:szCs w:val="16"/>
              </w:rPr>
              <w:t>49</w:t>
            </w:r>
          </w:p>
        </w:tc>
        <w:tc>
          <w:tcPr>
            <w:tcW w:w="374" w:type="pct"/>
            <w:tcBorders>
              <w:top w:val="nil"/>
              <w:left w:val="nil"/>
              <w:bottom w:val="nil"/>
              <w:right w:val="nil"/>
            </w:tcBorders>
            <w:vAlign w:val="bottom"/>
            <w:hideMark/>
          </w:tcPr>
          <w:p w14:paraId="5C7EEF12"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0CA671AA"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68633E5A" w14:textId="77777777" w:rsidR="00A74C68" w:rsidRPr="00471CBA" w:rsidRDefault="00A74C68" w:rsidP="00F36B82">
            <w:pPr>
              <w:ind w:right="-16"/>
              <w:jc w:val="right"/>
              <w:rPr>
                <w:sz w:val="16"/>
                <w:szCs w:val="16"/>
              </w:rPr>
            </w:pPr>
            <w:r w:rsidRPr="00471CBA">
              <w:rPr>
                <w:sz w:val="16"/>
                <w:szCs w:val="16"/>
              </w:rPr>
              <w:t>-</w:t>
            </w:r>
          </w:p>
        </w:tc>
        <w:tc>
          <w:tcPr>
            <w:tcW w:w="373" w:type="pct"/>
            <w:tcBorders>
              <w:top w:val="nil"/>
              <w:left w:val="nil"/>
              <w:bottom w:val="nil"/>
              <w:right w:val="nil"/>
            </w:tcBorders>
            <w:vAlign w:val="bottom"/>
            <w:hideMark/>
          </w:tcPr>
          <w:p w14:paraId="425BFA5B"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5DA051F8" w14:textId="77777777" w:rsidR="00A74C68" w:rsidRPr="00471CBA" w:rsidRDefault="00A74C68" w:rsidP="00F36B82">
            <w:pPr>
              <w:ind w:right="-16"/>
              <w:jc w:val="right"/>
              <w:rPr>
                <w:sz w:val="16"/>
                <w:szCs w:val="16"/>
              </w:rPr>
            </w:pPr>
            <w:r w:rsidRPr="00471CBA">
              <w:rPr>
                <w:sz w:val="16"/>
                <w:szCs w:val="16"/>
              </w:rPr>
              <w:t>-</w:t>
            </w:r>
          </w:p>
        </w:tc>
        <w:tc>
          <w:tcPr>
            <w:tcW w:w="527" w:type="pct"/>
            <w:tcBorders>
              <w:top w:val="nil"/>
              <w:left w:val="nil"/>
              <w:bottom w:val="nil"/>
              <w:right w:val="nil"/>
            </w:tcBorders>
            <w:vAlign w:val="bottom"/>
            <w:hideMark/>
          </w:tcPr>
          <w:p w14:paraId="6A7579EC" w14:textId="77777777" w:rsidR="00A74C68" w:rsidRPr="00471CBA" w:rsidRDefault="00A74C68" w:rsidP="00F36B82">
            <w:pPr>
              <w:ind w:right="-16"/>
              <w:jc w:val="right"/>
              <w:rPr>
                <w:sz w:val="16"/>
                <w:szCs w:val="16"/>
              </w:rPr>
            </w:pPr>
            <w:r w:rsidRPr="00471CBA">
              <w:rPr>
                <w:sz w:val="16"/>
                <w:szCs w:val="16"/>
              </w:rPr>
              <w:t>-</w:t>
            </w:r>
          </w:p>
        </w:tc>
        <w:tc>
          <w:tcPr>
            <w:tcW w:w="532" w:type="pct"/>
            <w:tcBorders>
              <w:top w:val="nil"/>
              <w:left w:val="nil"/>
              <w:bottom w:val="nil"/>
              <w:right w:val="nil"/>
            </w:tcBorders>
            <w:vAlign w:val="bottom"/>
            <w:hideMark/>
          </w:tcPr>
          <w:p w14:paraId="37D342FA" w14:textId="77777777" w:rsidR="00A74C68" w:rsidRPr="00471CBA" w:rsidRDefault="00A74C68" w:rsidP="00F36B82">
            <w:pPr>
              <w:ind w:right="-16"/>
              <w:jc w:val="right"/>
              <w:rPr>
                <w:sz w:val="16"/>
                <w:szCs w:val="16"/>
              </w:rPr>
            </w:pPr>
            <w:r w:rsidRPr="00471CBA">
              <w:rPr>
                <w:sz w:val="16"/>
                <w:szCs w:val="16"/>
              </w:rPr>
              <w:t>-</w:t>
            </w:r>
          </w:p>
        </w:tc>
        <w:tc>
          <w:tcPr>
            <w:tcW w:w="356" w:type="pct"/>
            <w:tcBorders>
              <w:top w:val="nil"/>
              <w:left w:val="nil"/>
              <w:bottom w:val="nil"/>
              <w:right w:val="nil"/>
            </w:tcBorders>
            <w:vAlign w:val="bottom"/>
            <w:hideMark/>
          </w:tcPr>
          <w:p w14:paraId="3EBD4E68" w14:textId="77777777" w:rsidR="00A74C68" w:rsidRPr="00471CBA" w:rsidRDefault="00A74C68" w:rsidP="00F36B82">
            <w:pPr>
              <w:ind w:right="-16"/>
              <w:jc w:val="right"/>
              <w:rPr>
                <w:sz w:val="16"/>
                <w:szCs w:val="16"/>
              </w:rPr>
            </w:pPr>
            <w:r w:rsidRPr="00471CBA">
              <w:rPr>
                <w:sz w:val="16"/>
                <w:szCs w:val="16"/>
              </w:rPr>
              <w:t>49</w:t>
            </w:r>
          </w:p>
        </w:tc>
      </w:tr>
      <w:tr w:rsidR="00A74C68" w:rsidRPr="00471CBA" w14:paraId="6BD6A4F4" w14:textId="77777777" w:rsidTr="00A74C68">
        <w:trPr>
          <w:divId w:val="485443198"/>
          <w:trHeight w:val="113"/>
        </w:trPr>
        <w:tc>
          <w:tcPr>
            <w:tcW w:w="1344" w:type="pct"/>
            <w:tcBorders>
              <w:top w:val="nil"/>
              <w:left w:val="nil"/>
              <w:bottom w:val="nil"/>
              <w:right w:val="nil"/>
            </w:tcBorders>
            <w:vAlign w:val="bottom"/>
            <w:hideMark/>
          </w:tcPr>
          <w:p w14:paraId="636A9F19" w14:textId="77777777" w:rsidR="00A74C68" w:rsidRPr="00471CBA" w:rsidRDefault="00A74C68" w:rsidP="00A74C68">
            <w:pPr>
              <w:rPr>
                <w:sz w:val="16"/>
                <w:szCs w:val="16"/>
              </w:rPr>
            </w:pPr>
            <w:r w:rsidRPr="00471CBA">
              <w:rPr>
                <w:sz w:val="16"/>
                <w:szCs w:val="16"/>
              </w:rPr>
              <w:t>Bankalar ve Katılım Bankaları</w:t>
            </w:r>
          </w:p>
        </w:tc>
        <w:tc>
          <w:tcPr>
            <w:tcW w:w="373" w:type="pct"/>
            <w:tcBorders>
              <w:top w:val="nil"/>
              <w:left w:val="nil"/>
              <w:bottom w:val="nil"/>
              <w:right w:val="nil"/>
            </w:tcBorders>
            <w:vAlign w:val="bottom"/>
            <w:hideMark/>
          </w:tcPr>
          <w:p w14:paraId="0C66631E"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4EF531FE"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2F8BAAAD"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1C1F7AAD" w14:textId="77777777" w:rsidR="00A74C68" w:rsidRPr="00471CBA" w:rsidRDefault="00A74C68" w:rsidP="00F36B82">
            <w:pPr>
              <w:ind w:right="-16"/>
              <w:jc w:val="right"/>
              <w:rPr>
                <w:sz w:val="16"/>
                <w:szCs w:val="16"/>
              </w:rPr>
            </w:pPr>
            <w:r w:rsidRPr="00471CBA">
              <w:rPr>
                <w:sz w:val="16"/>
                <w:szCs w:val="16"/>
              </w:rPr>
              <w:t>-</w:t>
            </w:r>
          </w:p>
        </w:tc>
        <w:tc>
          <w:tcPr>
            <w:tcW w:w="373" w:type="pct"/>
            <w:tcBorders>
              <w:top w:val="nil"/>
              <w:left w:val="nil"/>
              <w:bottom w:val="nil"/>
              <w:right w:val="nil"/>
            </w:tcBorders>
            <w:vAlign w:val="bottom"/>
            <w:hideMark/>
          </w:tcPr>
          <w:p w14:paraId="7EB211CA"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10617583" w14:textId="77777777" w:rsidR="00A74C68" w:rsidRPr="00471CBA" w:rsidRDefault="00A74C68" w:rsidP="00F36B82">
            <w:pPr>
              <w:ind w:right="-16"/>
              <w:jc w:val="right"/>
              <w:rPr>
                <w:sz w:val="16"/>
                <w:szCs w:val="16"/>
              </w:rPr>
            </w:pPr>
            <w:r w:rsidRPr="00471CBA">
              <w:rPr>
                <w:sz w:val="16"/>
                <w:szCs w:val="16"/>
              </w:rPr>
              <w:t>-</w:t>
            </w:r>
          </w:p>
        </w:tc>
        <w:tc>
          <w:tcPr>
            <w:tcW w:w="527" w:type="pct"/>
            <w:tcBorders>
              <w:top w:val="nil"/>
              <w:left w:val="nil"/>
              <w:bottom w:val="nil"/>
              <w:right w:val="nil"/>
            </w:tcBorders>
            <w:vAlign w:val="bottom"/>
            <w:hideMark/>
          </w:tcPr>
          <w:p w14:paraId="05E5D146" w14:textId="77777777" w:rsidR="00A74C68" w:rsidRPr="00471CBA" w:rsidRDefault="00A74C68" w:rsidP="00F36B82">
            <w:pPr>
              <w:ind w:right="-16"/>
              <w:jc w:val="right"/>
              <w:rPr>
                <w:sz w:val="16"/>
                <w:szCs w:val="16"/>
              </w:rPr>
            </w:pPr>
            <w:r w:rsidRPr="00471CBA">
              <w:rPr>
                <w:sz w:val="16"/>
                <w:szCs w:val="16"/>
              </w:rPr>
              <w:t>-</w:t>
            </w:r>
          </w:p>
        </w:tc>
        <w:tc>
          <w:tcPr>
            <w:tcW w:w="532" w:type="pct"/>
            <w:tcBorders>
              <w:top w:val="nil"/>
              <w:left w:val="nil"/>
              <w:bottom w:val="nil"/>
              <w:right w:val="nil"/>
            </w:tcBorders>
            <w:vAlign w:val="bottom"/>
            <w:hideMark/>
          </w:tcPr>
          <w:p w14:paraId="5C9A2420" w14:textId="77777777" w:rsidR="00A74C68" w:rsidRPr="00471CBA" w:rsidRDefault="00A74C68" w:rsidP="00F36B82">
            <w:pPr>
              <w:ind w:right="-16"/>
              <w:jc w:val="right"/>
              <w:rPr>
                <w:sz w:val="16"/>
                <w:szCs w:val="16"/>
              </w:rPr>
            </w:pPr>
            <w:r w:rsidRPr="00471CBA">
              <w:rPr>
                <w:sz w:val="16"/>
                <w:szCs w:val="16"/>
              </w:rPr>
              <w:t>-</w:t>
            </w:r>
          </w:p>
        </w:tc>
        <w:tc>
          <w:tcPr>
            <w:tcW w:w="356" w:type="pct"/>
            <w:tcBorders>
              <w:top w:val="nil"/>
              <w:left w:val="nil"/>
              <w:bottom w:val="nil"/>
              <w:right w:val="nil"/>
            </w:tcBorders>
            <w:vAlign w:val="bottom"/>
            <w:hideMark/>
          </w:tcPr>
          <w:p w14:paraId="2068B439" w14:textId="77777777" w:rsidR="00A74C68" w:rsidRPr="00471CBA" w:rsidRDefault="00A74C68" w:rsidP="00F36B82">
            <w:pPr>
              <w:ind w:right="-16"/>
              <w:jc w:val="right"/>
              <w:rPr>
                <w:sz w:val="16"/>
                <w:szCs w:val="16"/>
              </w:rPr>
            </w:pPr>
            <w:r w:rsidRPr="00471CBA">
              <w:rPr>
                <w:sz w:val="16"/>
                <w:szCs w:val="16"/>
              </w:rPr>
              <w:t>-</w:t>
            </w:r>
          </w:p>
        </w:tc>
      </w:tr>
      <w:tr w:rsidR="00A74C68" w:rsidRPr="00471CBA" w14:paraId="230E3E63" w14:textId="77777777" w:rsidTr="00A74C68">
        <w:trPr>
          <w:divId w:val="485443198"/>
          <w:trHeight w:val="113"/>
        </w:trPr>
        <w:tc>
          <w:tcPr>
            <w:tcW w:w="1344" w:type="pct"/>
            <w:tcBorders>
              <w:top w:val="nil"/>
              <w:left w:val="nil"/>
              <w:bottom w:val="nil"/>
              <w:right w:val="nil"/>
            </w:tcBorders>
            <w:vAlign w:val="bottom"/>
            <w:hideMark/>
          </w:tcPr>
          <w:p w14:paraId="248311F7" w14:textId="77777777" w:rsidR="00A74C68" w:rsidRPr="00471CBA" w:rsidRDefault="00A74C68" w:rsidP="00A74C68">
            <w:pPr>
              <w:rPr>
                <w:sz w:val="16"/>
                <w:szCs w:val="16"/>
              </w:rPr>
            </w:pPr>
            <w:r w:rsidRPr="00471CBA">
              <w:rPr>
                <w:sz w:val="16"/>
                <w:szCs w:val="16"/>
              </w:rPr>
              <w:t>TCMB</w:t>
            </w:r>
          </w:p>
        </w:tc>
        <w:tc>
          <w:tcPr>
            <w:tcW w:w="373" w:type="pct"/>
            <w:tcBorders>
              <w:top w:val="nil"/>
              <w:left w:val="nil"/>
              <w:bottom w:val="nil"/>
              <w:right w:val="nil"/>
            </w:tcBorders>
            <w:vAlign w:val="bottom"/>
            <w:hideMark/>
          </w:tcPr>
          <w:p w14:paraId="5354E4CE"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7ADA95E3"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2EB52A9D"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77309A54" w14:textId="77777777" w:rsidR="00A74C68" w:rsidRPr="00471CBA" w:rsidRDefault="00A74C68" w:rsidP="00F36B82">
            <w:pPr>
              <w:ind w:right="-16"/>
              <w:jc w:val="right"/>
              <w:rPr>
                <w:sz w:val="16"/>
                <w:szCs w:val="16"/>
              </w:rPr>
            </w:pPr>
            <w:r w:rsidRPr="00471CBA">
              <w:rPr>
                <w:sz w:val="16"/>
                <w:szCs w:val="16"/>
              </w:rPr>
              <w:t>-</w:t>
            </w:r>
          </w:p>
        </w:tc>
        <w:tc>
          <w:tcPr>
            <w:tcW w:w="373" w:type="pct"/>
            <w:tcBorders>
              <w:top w:val="nil"/>
              <w:left w:val="nil"/>
              <w:bottom w:val="nil"/>
              <w:right w:val="nil"/>
            </w:tcBorders>
            <w:vAlign w:val="bottom"/>
            <w:hideMark/>
          </w:tcPr>
          <w:p w14:paraId="1E9D8BCB"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1D08A737" w14:textId="77777777" w:rsidR="00A74C68" w:rsidRPr="00471CBA" w:rsidRDefault="00A74C68" w:rsidP="00F36B82">
            <w:pPr>
              <w:ind w:right="-16"/>
              <w:jc w:val="right"/>
              <w:rPr>
                <w:sz w:val="16"/>
                <w:szCs w:val="16"/>
              </w:rPr>
            </w:pPr>
            <w:r w:rsidRPr="00471CBA">
              <w:rPr>
                <w:sz w:val="16"/>
                <w:szCs w:val="16"/>
              </w:rPr>
              <w:t>-</w:t>
            </w:r>
          </w:p>
        </w:tc>
        <w:tc>
          <w:tcPr>
            <w:tcW w:w="527" w:type="pct"/>
            <w:tcBorders>
              <w:top w:val="nil"/>
              <w:left w:val="nil"/>
              <w:bottom w:val="nil"/>
              <w:right w:val="nil"/>
            </w:tcBorders>
            <w:vAlign w:val="bottom"/>
            <w:hideMark/>
          </w:tcPr>
          <w:p w14:paraId="7003B2DB" w14:textId="77777777" w:rsidR="00A74C68" w:rsidRPr="00471CBA" w:rsidRDefault="00A74C68" w:rsidP="00F36B82">
            <w:pPr>
              <w:ind w:right="-16"/>
              <w:jc w:val="right"/>
              <w:rPr>
                <w:sz w:val="16"/>
                <w:szCs w:val="16"/>
              </w:rPr>
            </w:pPr>
            <w:r w:rsidRPr="00471CBA">
              <w:rPr>
                <w:sz w:val="16"/>
                <w:szCs w:val="16"/>
              </w:rPr>
              <w:t>-</w:t>
            </w:r>
          </w:p>
        </w:tc>
        <w:tc>
          <w:tcPr>
            <w:tcW w:w="532" w:type="pct"/>
            <w:tcBorders>
              <w:top w:val="nil"/>
              <w:left w:val="nil"/>
              <w:bottom w:val="nil"/>
              <w:right w:val="nil"/>
            </w:tcBorders>
            <w:vAlign w:val="bottom"/>
            <w:hideMark/>
          </w:tcPr>
          <w:p w14:paraId="58F17F82" w14:textId="77777777" w:rsidR="00A74C68" w:rsidRPr="00471CBA" w:rsidRDefault="00A74C68" w:rsidP="00F36B82">
            <w:pPr>
              <w:ind w:right="-16"/>
              <w:jc w:val="right"/>
              <w:rPr>
                <w:sz w:val="16"/>
                <w:szCs w:val="16"/>
              </w:rPr>
            </w:pPr>
            <w:r w:rsidRPr="00471CBA">
              <w:rPr>
                <w:sz w:val="16"/>
                <w:szCs w:val="16"/>
              </w:rPr>
              <w:t>-</w:t>
            </w:r>
          </w:p>
        </w:tc>
        <w:tc>
          <w:tcPr>
            <w:tcW w:w="356" w:type="pct"/>
            <w:tcBorders>
              <w:top w:val="nil"/>
              <w:left w:val="nil"/>
              <w:bottom w:val="nil"/>
              <w:right w:val="nil"/>
            </w:tcBorders>
            <w:vAlign w:val="bottom"/>
            <w:hideMark/>
          </w:tcPr>
          <w:p w14:paraId="43B5731F" w14:textId="77777777" w:rsidR="00A74C68" w:rsidRPr="00471CBA" w:rsidRDefault="00A74C68" w:rsidP="00F36B82">
            <w:pPr>
              <w:ind w:right="-16"/>
              <w:jc w:val="right"/>
              <w:rPr>
                <w:sz w:val="16"/>
                <w:szCs w:val="16"/>
              </w:rPr>
            </w:pPr>
            <w:r w:rsidRPr="00471CBA">
              <w:rPr>
                <w:sz w:val="16"/>
                <w:szCs w:val="16"/>
              </w:rPr>
              <w:t>-</w:t>
            </w:r>
          </w:p>
        </w:tc>
      </w:tr>
      <w:tr w:rsidR="00A74C68" w:rsidRPr="00471CBA" w14:paraId="29059707" w14:textId="77777777" w:rsidTr="00A74C68">
        <w:trPr>
          <w:divId w:val="485443198"/>
          <w:trHeight w:val="113"/>
        </w:trPr>
        <w:tc>
          <w:tcPr>
            <w:tcW w:w="1344" w:type="pct"/>
            <w:tcBorders>
              <w:top w:val="nil"/>
              <w:left w:val="nil"/>
              <w:bottom w:val="nil"/>
              <w:right w:val="nil"/>
            </w:tcBorders>
            <w:vAlign w:val="bottom"/>
            <w:hideMark/>
          </w:tcPr>
          <w:p w14:paraId="747C126F" w14:textId="77777777" w:rsidR="00A74C68" w:rsidRPr="00471CBA" w:rsidRDefault="00A74C68" w:rsidP="00A74C68">
            <w:pPr>
              <w:rPr>
                <w:sz w:val="16"/>
                <w:szCs w:val="16"/>
              </w:rPr>
            </w:pPr>
            <w:r w:rsidRPr="00471CBA">
              <w:rPr>
                <w:sz w:val="16"/>
                <w:szCs w:val="16"/>
              </w:rPr>
              <w:t>Yurtiçi Bankalar</w:t>
            </w:r>
          </w:p>
        </w:tc>
        <w:tc>
          <w:tcPr>
            <w:tcW w:w="373" w:type="pct"/>
            <w:tcBorders>
              <w:top w:val="nil"/>
              <w:left w:val="nil"/>
              <w:bottom w:val="nil"/>
              <w:right w:val="nil"/>
            </w:tcBorders>
            <w:vAlign w:val="bottom"/>
            <w:hideMark/>
          </w:tcPr>
          <w:p w14:paraId="56DC2E8C"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57F2A55F"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12BF18AA"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4821DB7E" w14:textId="77777777" w:rsidR="00A74C68" w:rsidRPr="00471CBA" w:rsidRDefault="00A74C68" w:rsidP="00F36B82">
            <w:pPr>
              <w:ind w:right="-16"/>
              <w:jc w:val="right"/>
              <w:rPr>
                <w:sz w:val="16"/>
                <w:szCs w:val="16"/>
              </w:rPr>
            </w:pPr>
            <w:r w:rsidRPr="00471CBA">
              <w:rPr>
                <w:sz w:val="16"/>
                <w:szCs w:val="16"/>
              </w:rPr>
              <w:t>-</w:t>
            </w:r>
          </w:p>
        </w:tc>
        <w:tc>
          <w:tcPr>
            <w:tcW w:w="373" w:type="pct"/>
            <w:tcBorders>
              <w:top w:val="nil"/>
              <w:left w:val="nil"/>
              <w:bottom w:val="nil"/>
              <w:right w:val="nil"/>
            </w:tcBorders>
            <w:vAlign w:val="bottom"/>
            <w:hideMark/>
          </w:tcPr>
          <w:p w14:paraId="55EE5148"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32B10F33" w14:textId="77777777" w:rsidR="00A74C68" w:rsidRPr="00471CBA" w:rsidRDefault="00A74C68" w:rsidP="00F36B82">
            <w:pPr>
              <w:ind w:right="-16"/>
              <w:jc w:val="right"/>
              <w:rPr>
                <w:sz w:val="16"/>
                <w:szCs w:val="16"/>
              </w:rPr>
            </w:pPr>
            <w:r w:rsidRPr="00471CBA">
              <w:rPr>
                <w:sz w:val="16"/>
                <w:szCs w:val="16"/>
              </w:rPr>
              <w:t>-</w:t>
            </w:r>
          </w:p>
        </w:tc>
        <w:tc>
          <w:tcPr>
            <w:tcW w:w="527" w:type="pct"/>
            <w:tcBorders>
              <w:top w:val="nil"/>
              <w:left w:val="nil"/>
              <w:bottom w:val="nil"/>
              <w:right w:val="nil"/>
            </w:tcBorders>
            <w:vAlign w:val="bottom"/>
            <w:hideMark/>
          </w:tcPr>
          <w:p w14:paraId="4DA0DB69" w14:textId="77777777" w:rsidR="00A74C68" w:rsidRPr="00471CBA" w:rsidRDefault="00A74C68" w:rsidP="00F36B82">
            <w:pPr>
              <w:ind w:right="-16"/>
              <w:jc w:val="right"/>
              <w:rPr>
                <w:sz w:val="16"/>
                <w:szCs w:val="16"/>
              </w:rPr>
            </w:pPr>
            <w:r w:rsidRPr="00471CBA">
              <w:rPr>
                <w:sz w:val="16"/>
                <w:szCs w:val="16"/>
              </w:rPr>
              <w:t>-</w:t>
            </w:r>
          </w:p>
        </w:tc>
        <w:tc>
          <w:tcPr>
            <w:tcW w:w="532" w:type="pct"/>
            <w:tcBorders>
              <w:top w:val="nil"/>
              <w:left w:val="nil"/>
              <w:bottom w:val="nil"/>
              <w:right w:val="nil"/>
            </w:tcBorders>
            <w:vAlign w:val="bottom"/>
            <w:hideMark/>
          </w:tcPr>
          <w:p w14:paraId="2F0E3AB7" w14:textId="77777777" w:rsidR="00A74C68" w:rsidRPr="00471CBA" w:rsidRDefault="00A74C68" w:rsidP="00F36B82">
            <w:pPr>
              <w:ind w:right="-16"/>
              <w:jc w:val="right"/>
              <w:rPr>
                <w:sz w:val="16"/>
                <w:szCs w:val="16"/>
              </w:rPr>
            </w:pPr>
            <w:r w:rsidRPr="00471CBA">
              <w:rPr>
                <w:sz w:val="16"/>
                <w:szCs w:val="16"/>
              </w:rPr>
              <w:t>-</w:t>
            </w:r>
          </w:p>
        </w:tc>
        <w:tc>
          <w:tcPr>
            <w:tcW w:w="356" w:type="pct"/>
            <w:tcBorders>
              <w:top w:val="nil"/>
              <w:left w:val="nil"/>
              <w:bottom w:val="nil"/>
              <w:right w:val="nil"/>
            </w:tcBorders>
            <w:vAlign w:val="bottom"/>
            <w:hideMark/>
          </w:tcPr>
          <w:p w14:paraId="4FEF43B7" w14:textId="77777777" w:rsidR="00A74C68" w:rsidRPr="00471CBA" w:rsidRDefault="00A74C68" w:rsidP="00F36B82">
            <w:pPr>
              <w:ind w:right="-16"/>
              <w:jc w:val="right"/>
              <w:rPr>
                <w:sz w:val="16"/>
                <w:szCs w:val="16"/>
              </w:rPr>
            </w:pPr>
            <w:r w:rsidRPr="00471CBA">
              <w:rPr>
                <w:sz w:val="16"/>
                <w:szCs w:val="16"/>
              </w:rPr>
              <w:t>-</w:t>
            </w:r>
          </w:p>
        </w:tc>
      </w:tr>
      <w:tr w:rsidR="00A74C68" w:rsidRPr="00471CBA" w14:paraId="201596A6" w14:textId="77777777" w:rsidTr="00A74C68">
        <w:trPr>
          <w:divId w:val="485443198"/>
          <w:trHeight w:val="113"/>
        </w:trPr>
        <w:tc>
          <w:tcPr>
            <w:tcW w:w="1344" w:type="pct"/>
            <w:tcBorders>
              <w:top w:val="nil"/>
              <w:left w:val="nil"/>
              <w:bottom w:val="nil"/>
              <w:right w:val="nil"/>
            </w:tcBorders>
            <w:vAlign w:val="bottom"/>
            <w:hideMark/>
          </w:tcPr>
          <w:p w14:paraId="567FAF53" w14:textId="77777777" w:rsidR="00A74C68" w:rsidRPr="00471CBA" w:rsidRDefault="00A74C68" w:rsidP="00A74C68">
            <w:pPr>
              <w:rPr>
                <w:sz w:val="16"/>
                <w:szCs w:val="16"/>
              </w:rPr>
            </w:pPr>
            <w:r w:rsidRPr="00471CBA">
              <w:rPr>
                <w:sz w:val="16"/>
                <w:szCs w:val="16"/>
              </w:rPr>
              <w:t>Yurtdışı Bankalar</w:t>
            </w:r>
          </w:p>
        </w:tc>
        <w:tc>
          <w:tcPr>
            <w:tcW w:w="373" w:type="pct"/>
            <w:tcBorders>
              <w:top w:val="nil"/>
              <w:left w:val="nil"/>
              <w:bottom w:val="nil"/>
              <w:right w:val="nil"/>
            </w:tcBorders>
            <w:vAlign w:val="bottom"/>
            <w:hideMark/>
          </w:tcPr>
          <w:p w14:paraId="7B75DD70"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73BD0D2B"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36AF11A6"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7544DDDA" w14:textId="77777777" w:rsidR="00A74C68" w:rsidRPr="00471CBA" w:rsidRDefault="00A74C68" w:rsidP="00F36B82">
            <w:pPr>
              <w:ind w:right="-16"/>
              <w:jc w:val="right"/>
              <w:rPr>
                <w:sz w:val="16"/>
                <w:szCs w:val="16"/>
              </w:rPr>
            </w:pPr>
            <w:r w:rsidRPr="00471CBA">
              <w:rPr>
                <w:sz w:val="16"/>
                <w:szCs w:val="16"/>
              </w:rPr>
              <w:t>-</w:t>
            </w:r>
          </w:p>
        </w:tc>
        <w:tc>
          <w:tcPr>
            <w:tcW w:w="373" w:type="pct"/>
            <w:tcBorders>
              <w:top w:val="nil"/>
              <w:left w:val="nil"/>
              <w:bottom w:val="nil"/>
              <w:right w:val="nil"/>
            </w:tcBorders>
            <w:vAlign w:val="bottom"/>
            <w:hideMark/>
          </w:tcPr>
          <w:p w14:paraId="6DFFD826"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0B140FA3" w14:textId="77777777" w:rsidR="00A74C68" w:rsidRPr="00471CBA" w:rsidRDefault="00A74C68" w:rsidP="00F36B82">
            <w:pPr>
              <w:ind w:right="-16"/>
              <w:jc w:val="right"/>
              <w:rPr>
                <w:sz w:val="16"/>
                <w:szCs w:val="16"/>
              </w:rPr>
            </w:pPr>
            <w:r w:rsidRPr="00471CBA">
              <w:rPr>
                <w:sz w:val="16"/>
                <w:szCs w:val="16"/>
              </w:rPr>
              <w:t>-</w:t>
            </w:r>
          </w:p>
        </w:tc>
        <w:tc>
          <w:tcPr>
            <w:tcW w:w="527" w:type="pct"/>
            <w:tcBorders>
              <w:top w:val="nil"/>
              <w:left w:val="nil"/>
              <w:bottom w:val="nil"/>
              <w:right w:val="nil"/>
            </w:tcBorders>
            <w:vAlign w:val="bottom"/>
            <w:hideMark/>
          </w:tcPr>
          <w:p w14:paraId="1BA88E00" w14:textId="77777777" w:rsidR="00A74C68" w:rsidRPr="00471CBA" w:rsidRDefault="00A74C68" w:rsidP="00F36B82">
            <w:pPr>
              <w:ind w:right="-16"/>
              <w:jc w:val="right"/>
              <w:rPr>
                <w:sz w:val="16"/>
                <w:szCs w:val="16"/>
              </w:rPr>
            </w:pPr>
            <w:r w:rsidRPr="00471CBA">
              <w:rPr>
                <w:sz w:val="16"/>
                <w:szCs w:val="16"/>
              </w:rPr>
              <w:t>-</w:t>
            </w:r>
          </w:p>
        </w:tc>
        <w:tc>
          <w:tcPr>
            <w:tcW w:w="532" w:type="pct"/>
            <w:tcBorders>
              <w:top w:val="nil"/>
              <w:left w:val="nil"/>
              <w:bottom w:val="nil"/>
              <w:right w:val="nil"/>
            </w:tcBorders>
            <w:vAlign w:val="bottom"/>
            <w:hideMark/>
          </w:tcPr>
          <w:p w14:paraId="2C5C48CE" w14:textId="77777777" w:rsidR="00A74C68" w:rsidRPr="00471CBA" w:rsidRDefault="00A74C68" w:rsidP="00F36B82">
            <w:pPr>
              <w:ind w:right="-16"/>
              <w:jc w:val="right"/>
              <w:rPr>
                <w:sz w:val="16"/>
                <w:szCs w:val="16"/>
              </w:rPr>
            </w:pPr>
            <w:r w:rsidRPr="00471CBA">
              <w:rPr>
                <w:sz w:val="16"/>
                <w:szCs w:val="16"/>
              </w:rPr>
              <w:t>-</w:t>
            </w:r>
          </w:p>
        </w:tc>
        <w:tc>
          <w:tcPr>
            <w:tcW w:w="356" w:type="pct"/>
            <w:tcBorders>
              <w:top w:val="nil"/>
              <w:left w:val="nil"/>
              <w:bottom w:val="nil"/>
              <w:right w:val="nil"/>
            </w:tcBorders>
            <w:vAlign w:val="bottom"/>
            <w:hideMark/>
          </w:tcPr>
          <w:p w14:paraId="6B61C027" w14:textId="77777777" w:rsidR="00A74C68" w:rsidRPr="00471CBA" w:rsidRDefault="00A74C68" w:rsidP="00F36B82">
            <w:pPr>
              <w:ind w:right="-16"/>
              <w:jc w:val="right"/>
              <w:rPr>
                <w:sz w:val="16"/>
                <w:szCs w:val="16"/>
              </w:rPr>
            </w:pPr>
            <w:r w:rsidRPr="00471CBA">
              <w:rPr>
                <w:sz w:val="16"/>
                <w:szCs w:val="16"/>
              </w:rPr>
              <w:t>-</w:t>
            </w:r>
          </w:p>
        </w:tc>
      </w:tr>
      <w:tr w:rsidR="00A74C68" w:rsidRPr="00471CBA" w14:paraId="0842B362" w14:textId="77777777" w:rsidTr="00A74C68">
        <w:trPr>
          <w:divId w:val="485443198"/>
          <w:trHeight w:val="113"/>
        </w:trPr>
        <w:tc>
          <w:tcPr>
            <w:tcW w:w="1344" w:type="pct"/>
            <w:tcBorders>
              <w:top w:val="nil"/>
              <w:left w:val="nil"/>
              <w:bottom w:val="nil"/>
              <w:right w:val="nil"/>
            </w:tcBorders>
            <w:vAlign w:val="bottom"/>
            <w:hideMark/>
          </w:tcPr>
          <w:p w14:paraId="77412928" w14:textId="77777777" w:rsidR="00A74C68" w:rsidRPr="00471CBA" w:rsidRDefault="00A74C68" w:rsidP="00A74C68">
            <w:pPr>
              <w:rPr>
                <w:sz w:val="16"/>
                <w:szCs w:val="16"/>
              </w:rPr>
            </w:pPr>
            <w:r w:rsidRPr="00471CBA">
              <w:rPr>
                <w:sz w:val="16"/>
                <w:szCs w:val="16"/>
              </w:rPr>
              <w:t>Katılım Bankası</w:t>
            </w:r>
          </w:p>
        </w:tc>
        <w:tc>
          <w:tcPr>
            <w:tcW w:w="373" w:type="pct"/>
            <w:tcBorders>
              <w:top w:val="nil"/>
              <w:left w:val="nil"/>
              <w:bottom w:val="nil"/>
              <w:right w:val="nil"/>
            </w:tcBorders>
            <w:vAlign w:val="bottom"/>
            <w:hideMark/>
          </w:tcPr>
          <w:p w14:paraId="19D4CEFB"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141538F2"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0D365384"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782E99E2" w14:textId="77777777" w:rsidR="00A74C68" w:rsidRPr="00471CBA" w:rsidRDefault="00A74C68" w:rsidP="00F36B82">
            <w:pPr>
              <w:ind w:right="-16"/>
              <w:jc w:val="right"/>
              <w:rPr>
                <w:sz w:val="16"/>
                <w:szCs w:val="16"/>
              </w:rPr>
            </w:pPr>
            <w:r w:rsidRPr="00471CBA">
              <w:rPr>
                <w:sz w:val="16"/>
                <w:szCs w:val="16"/>
              </w:rPr>
              <w:t>-</w:t>
            </w:r>
          </w:p>
        </w:tc>
        <w:tc>
          <w:tcPr>
            <w:tcW w:w="373" w:type="pct"/>
            <w:tcBorders>
              <w:top w:val="nil"/>
              <w:left w:val="nil"/>
              <w:bottom w:val="nil"/>
              <w:right w:val="nil"/>
            </w:tcBorders>
            <w:vAlign w:val="bottom"/>
            <w:hideMark/>
          </w:tcPr>
          <w:p w14:paraId="2ED27661"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5B1423B4" w14:textId="77777777" w:rsidR="00A74C68" w:rsidRPr="00471CBA" w:rsidRDefault="00A74C68" w:rsidP="00F36B82">
            <w:pPr>
              <w:ind w:right="-16"/>
              <w:jc w:val="right"/>
              <w:rPr>
                <w:sz w:val="16"/>
                <w:szCs w:val="16"/>
              </w:rPr>
            </w:pPr>
            <w:r w:rsidRPr="00471CBA">
              <w:rPr>
                <w:sz w:val="16"/>
                <w:szCs w:val="16"/>
              </w:rPr>
              <w:t>-</w:t>
            </w:r>
          </w:p>
        </w:tc>
        <w:tc>
          <w:tcPr>
            <w:tcW w:w="527" w:type="pct"/>
            <w:tcBorders>
              <w:top w:val="nil"/>
              <w:left w:val="nil"/>
              <w:bottom w:val="nil"/>
              <w:right w:val="nil"/>
            </w:tcBorders>
            <w:vAlign w:val="bottom"/>
            <w:hideMark/>
          </w:tcPr>
          <w:p w14:paraId="2EAAA0A2" w14:textId="77777777" w:rsidR="00A74C68" w:rsidRPr="00471CBA" w:rsidRDefault="00A74C68" w:rsidP="00F36B82">
            <w:pPr>
              <w:ind w:right="-16"/>
              <w:jc w:val="right"/>
              <w:rPr>
                <w:sz w:val="16"/>
                <w:szCs w:val="16"/>
              </w:rPr>
            </w:pPr>
            <w:r w:rsidRPr="00471CBA">
              <w:rPr>
                <w:sz w:val="16"/>
                <w:szCs w:val="16"/>
              </w:rPr>
              <w:t>-</w:t>
            </w:r>
          </w:p>
        </w:tc>
        <w:tc>
          <w:tcPr>
            <w:tcW w:w="532" w:type="pct"/>
            <w:tcBorders>
              <w:top w:val="nil"/>
              <w:left w:val="nil"/>
              <w:bottom w:val="nil"/>
              <w:right w:val="nil"/>
            </w:tcBorders>
            <w:vAlign w:val="bottom"/>
            <w:hideMark/>
          </w:tcPr>
          <w:p w14:paraId="62E1446F" w14:textId="77777777" w:rsidR="00A74C68" w:rsidRPr="00471CBA" w:rsidRDefault="00A74C68" w:rsidP="00F36B82">
            <w:pPr>
              <w:ind w:right="-16"/>
              <w:jc w:val="right"/>
              <w:rPr>
                <w:sz w:val="16"/>
                <w:szCs w:val="16"/>
              </w:rPr>
            </w:pPr>
            <w:r w:rsidRPr="00471CBA">
              <w:rPr>
                <w:sz w:val="16"/>
                <w:szCs w:val="16"/>
              </w:rPr>
              <w:t>-</w:t>
            </w:r>
          </w:p>
        </w:tc>
        <w:tc>
          <w:tcPr>
            <w:tcW w:w="356" w:type="pct"/>
            <w:tcBorders>
              <w:top w:val="nil"/>
              <w:left w:val="nil"/>
              <w:bottom w:val="nil"/>
              <w:right w:val="nil"/>
            </w:tcBorders>
            <w:vAlign w:val="bottom"/>
            <w:hideMark/>
          </w:tcPr>
          <w:p w14:paraId="770B5181" w14:textId="77777777" w:rsidR="00A74C68" w:rsidRPr="00471CBA" w:rsidRDefault="00A74C68" w:rsidP="00F36B82">
            <w:pPr>
              <w:ind w:right="-16"/>
              <w:jc w:val="right"/>
              <w:rPr>
                <w:sz w:val="16"/>
                <w:szCs w:val="16"/>
              </w:rPr>
            </w:pPr>
            <w:r w:rsidRPr="00471CBA">
              <w:rPr>
                <w:sz w:val="16"/>
                <w:szCs w:val="16"/>
              </w:rPr>
              <w:t>-</w:t>
            </w:r>
          </w:p>
        </w:tc>
      </w:tr>
      <w:tr w:rsidR="00A74C68" w:rsidRPr="00471CBA" w14:paraId="40958919" w14:textId="77777777" w:rsidTr="00A74C68">
        <w:trPr>
          <w:divId w:val="485443198"/>
          <w:trHeight w:val="113"/>
        </w:trPr>
        <w:tc>
          <w:tcPr>
            <w:tcW w:w="1344" w:type="pct"/>
            <w:tcBorders>
              <w:top w:val="nil"/>
              <w:left w:val="nil"/>
              <w:bottom w:val="nil"/>
              <w:right w:val="nil"/>
            </w:tcBorders>
            <w:vAlign w:val="bottom"/>
            <w:hideMark/>
          </w:tcPr>
          <w:p w14:paraId="01E87146" w14:textId="77777777" w:rsidR="00A74C68" w:rsidRPr="00471CBA" w:rsidRDefault="00A74C68" w:rsidP="00A74C68">
            <w:pPr>
              <w:rPr>
                <w:sz w:val="16"/>
                <w:szCs w:val="16"/>
              </w:rPr>
            </w:pPr>
            <w:r w:rsidRPr="00471CBA">
              <w:rPr>
                <w:sz w:val="16"/>
                <w:szCs w:val="16"/>
              </w:rPr>
              <w:t>Diğer</w:t>
            </w:r>
          </w:p>
        </w:tc>
        <w:tc>
          <w:tcPr>
            <w:tcW w:w="373" w:type="pct"/>
            <w:tcBorders>
              <w:top w:val="nil"/>
              <w:left w:val="nil"/>
              <w:bottom w:val="nil"/>
              <w:right w:val="nil"/>
            </w:tcBorders>
            <w:vAlign w:val="bottom"/>
            <w:hideMark/>
          </w:tcPr>
          <w:p w14:paraId="4D4E4686"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4EF45015"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0DB11876"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5E0430BF" w14:textId="77777777" w:rsidR="00A74C68" w:rsidRPr="00471CBA" w:rsidRDefault="00A74C68" w:rsidP="00F36B82">
            <w:pPr>
              <w:ind w:right="-16"/>
              <w:jc w:val="right"/>
              <w:rPr>
                <w:sz w:val="16"/>
                <w:szCs w:val="16"/>
              </w:rPr>
            </w:pPr>
            <w:r w:rsidRPr="00471CBA">
              <w:rPr>
                <w:sz w:val="16"/>
                <w:szCs w:val="16"/>
              </w:rPr>
              <w:t>-</w:t>
            </w:r>
          </w:p>
        </w:tc>
        <w:tc>
          <w:tcPr>
            <w:tcW w:w="373" w:type="pct"/>
            <w:tcBorders>
              <w:top w:val="nil"/>
              <w:left w:val="nil"/>
              <w:bottom w:val="nil"/>
              <w:right w:val="nil"/>
            </w:tcBorders>
            <w:vAlign w:val="bottom"/>
            <w:hideMark/>
          </w:tcPr>
          <w:p w14:paraId="61CEECF8"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5A65E146" w14:textId="77777777" w:rsidR="00A74C68" w:rsidRPr="00471CBA" w:rsidRDefault="00A74C68" w:rsidP="00F36B82">
            <w:pPr>
              <w:ind w:right="-16"/>
              <w:jc w:val="right"/>
              <w:rPr>
                <w:sz w:val="16"/>
                <w:szCs w:val="16"/>
              </w:rPr>
            </w:pPr>
            <w:r w:rsidRPr="00471CBA">
              <w:rPr>
                <w:sz w:val="16"/>
                <w:szCs w:val="16"/>
              </w:rPr>
              <w:t>-</w:t>
            </w:r>
          </w:p>
        </w:tc>
        <w:tc>
          <w:tcPr>
            <w:tcW w:w="527" w:type="pct"/>
            <w:tcBorders>
              <w:top w:val="nil"/>
              <w:left w:val="nil"/>
              <w:bottom w:val="nil"/>
              <w:right w:val="nil"/>
            </w:tcBorders>
            <w:vAlign w:val="bottom"/>
            <w:hideMark/>
          </w:tcPr>
          <w:p w14:paraId="11802BF3" w14:textId="77777777" w:rsidR="00A74C68" w:rsidRPr="00471CBA" w:rsidRDefault="00A74C68" w:rsidP="00F36B82">
            <w:pPr>
              <w:ind w:right="-16"/>
              <w:jc w:val="right"/>
              <w:rPr>
                <w:sz w:val="16"/>
                <w:szCs w:val="16"/>
              </w:rPr>
            </w:pPr>
            <w:r w:rsidRPr="00471CBA">
              <w:rPr>
                <w:sz w:val="16"/>
                <w:szCs w:val="16"/>
              </w:rPr>
              <w:t>-</w:t>
            </w:r>
          </w:p>
        </w:tc>
        <w:tc>
          <w:tcPr>
            <w:tcW w:w="532" w:type="pct"/>
            <w:tcBorders>
              <w:top w:val="nil"/>
              <w:left w:val="nil"/>
              <w:bottom w:val="nil"/>
              <w:right w:val="nil"/>
            </w:tcBorders>
            <w:vAlign w:val="bottom"/>
            <w:hideMark/>
          </w:tcPr>
          <w:p w14:paraId="7D22C3DE" w14:textId="77777777" w:rsidR="00A74C68" w:rsidRPr="00471CBA" w:rsidRDefault="00A74C68" w:rsidP="00F36B82">
            <w:pPr>
              <w:ind w:right="-16"/>
              <w:jc w:val="right"/>
              <w:rPr>
                <w:sz w:val="16"/>
                <w:szCs w:val="16"/>
              </w:rPr>
            </w:pPr>
            <w:r w:rsidRPr="00471CBA">
              <w:rPr>
                <w:sz w:val="16"/>
                <w:szCs w:val="16"/>
              </w:rPr>
              <w:t>-</w:t>
            </w:r>
          </w:p>
        </w:tc>
        <w:tc>
          <w:tcPr>
            <w:tcW w:w="356" w:type="pct"/>
            <w:tcBorders>
              <w:top w:val="nil"/>
              <w:left w:val="nil"/>
              <w:bottom w:val="nil"/>
              <w:right w:val="nil"/>
            </w:tcBorders>
            <w:vAlign w:val="bottom"/>
            <w:hideMark/>
          </w:tcPr>
          <w:p w14:paraId="39C11D80" w14:textId="77777777" w:rsidR="00A74C68" w:rsidRPr="00471CBA" w:rsidRDefault="00A74C68" w:rsidP="00F36B82">
            <w:pPr>
              <w:ind w:right="-16"/>
              <w:jc w:val="right"/>
              <w:rPr>
                <w:sz w:val="16"/>
                <w:szCs w:val="16"/>
              </w:rPr>
            </w:pPr>
            <w:r w:rsidRPr="00471CBA">
              <w:rPr>
                <w:sz w:val="16"/>
                <w:szCs w:val="16"/>
              </w:rPr>
              <w:t>-</w:t>
            </w:r>
          </w:p>
        </w:tc>
      </w:tr>
      <w:tr w:rsidR="00A74C68" w:rsidRPr="00471CBA" w14:paraId="6DAF096E" w14:textId="77777777" w:rsidTr="00A74C68">
        <w:trPr>
          <w:divId w:val="485443198"/>
          <w:trHeight w:val="113"/>
        </w:trPr>
        <w:tc>
          <w:tcPr>
            <w:tcW w:w="1344" w:type="pct"/>
            <w:tcBorders>
              <w:top w:val="nil"/>
              <w:left w:val="nil"/>
              <w:bottom w:val="nil"/>
              <w:right w:val="nil"/>
            </w:tcBorders>
            <w:vAlign w:val="bottom"/>
            <w:hideMark/>
          </w:tcPr>
          <w:p w14:paraId="43B95681" w14:textId="77777777" w:rsidR="00A74C68" w:rsidRPr="00471CBA" w:rsidRDefault="00A74C68" w:rsidP="00A74C68">
            <w:pPr>
              <w:rPr>
                <w:b/>
                <w:bCs/>
                <w:sz w:val="16"/>
                <w:szCs w:val="16"/>
              </w:rPr>
            </w:pPr>
            <w:r w:rsidRPr="00471CBA">
              <w:rPr>
                <w:b/>
                <w:bCs/>
                <w:sz w:val="16"/>
                <w:szCs w:val="16"/>
              </w:rPr>
              <w:t>IV. Katılma Hesapları-TP</w:t>
            </w:r>
          </w:p>
        </w:tc>
        <w:tc>
          <w:tcPr>
            <w:tcW w:w="373" w:type="pct"/>
            <w:tcBorders>
              <w:top w:val="nil"/>
              <w:left w:val="nil"/>
              <w:bottom w:val="nil"/>
              <w:right w:val="nil"/>
            </w:tcBorders>
            <w:vAlign w:val="bottom"/>
            <w:hideMark/>
          </w:tcPr>
          <w:p w14:paraId="38386536" w14:textId="77777777" w:rsidR="00A74C68" w:rsidRPr="00471CBA" w:rsidRDefault="00A74C68" w:rsidP="00F36B82">
            <w:pPr>
              <w:ind w:right="-16"/>
              <w:jc w:val="right"/>
              <w:rPr>
                <w:b/>
                <w:bCs/>
                <w:sz w:val="16"/>
                <w:szCs w:val="16"/>
              </w:rPr>
            </w:pPr>
            <w:r w:rsidRPr="00471CBA">
              <w:rPr>
                <w:b/>
                <w:bCs/>
                <w:sz w:val="16"/>
                <w:szCs w:val="16"/>
              </w:rPr>
              <w:t>-</w:t>
            </w:r>
          </w:p>
        </w:tc>
        <w:tc>
          <w:tcPr>
            <w:tcW w:w="374" w:type="pct"/>
            <w:tcBorders>
              <w:top w:val="nil"/>
              <w:left w:val="nil"/>
              <w:bottom w:val="nil"/>
              <w:right w:val="nil"/>
            </w:tcBorders>
            <w:vAlign w:val="bottom"/>
            <w:hideMark/>
          </w:tcPr>
          <w:p w14:paraId="668F93FE" w14:textId="77777777" w:rsidR="00A74C68" w:rsidRPr="00471CBA" w:rsidRDefault="00A74C68" w:rsidP="00F36B82">
            <w:pPr>
              <w:ind w:right="-16"/>
              <w:jc w:val="right"/>
              <w:rPr>
                <w:b/>
                <w:bCs/>
                <w:sz w:val="16"/>
                <w:szCs w:val="16"/>
              </w:rPr>
            </w:pPr>
            <w:r w:rsidRPr="00471CBA">
              <w:rPr>
                <w:b/>
                <w:bCs/>
                <w:sz w:val="16"/>
                <w:szCs w:val="16"/>
              </w:rPr>
              <w:t>4.828.611</w:t>
            </w:r>
          </w:p>
        </w:tc>
        <w:tc>
          <w:tcPr>
            <w:tcW w:w="374" w:type="pct"/>
            <w:tcBorders>
              <w:top w:val="nil"/>
              <w:left w:val="nil"/>
              <w:bottom w:val="nil"/>
              <w:right w:val="nil"/>
            </w:tcBorders>
            <w:vAlign w:val="bottom"/>
            <w:hideMark/>
          </w:tcPr>
          <w:p w14:paraId="2D2D6D23" w14:textId="77777777" w:rsidR="00A74C68" w:rsidRPr="00471CBA" w:rsidRDefault="00A74C68" w:rsidP="00F36B82">
            <w:pPr>
              <w:ind w:right="-16"/>
              <w:jc w:val="right"/>
              <w:rPr>
                <w:b/>
                <w:bCs/>
                <w:sz w:val="16"/>
                <w:szCs w:val="16"/>
              </w:rPr>
            </w:pPr>
            <w:r w:rsidRPr="00471CBA">
              <w:rPr>
                <w:b/>
                <w:bCs/>
                <w:sz w:val="16"/>
                <w:szCs w:val="16"/>
              </w:rPr>
              <w:t>2.326.280</w:t>
            </w:r>
          </w:p>
        </w:tc>
        <w:tc>
          <w:tcPr>
            <w:tcW w:w="374" w:type="pct"/>
            <w:tcBorders>
              <w:top w:val="nil"/>
              <w:left w:val="nil"/>
              <w:bottom w:val="nil"/>
              <w:right w:val="nil"/>
            </w:tcBorders>
            <w:vAlign w:val="bottom"/>
            <w:hideMark/>
          </w:tcPr>
          <w:p w14:paraId="42C0A6D7" w14:textId="77777777" w:rsidR="00A74C68" w:rsidRPr="00471CBA" w:rsidRDefault="00A74C68" w:rsidP="00F36B82">
            <w:pPr>
              <w:ind w:right="-16"/>
              <w:jc w:val="right"/>
              <w:rPr>
                <w:b/>
                <w:bCs/>
                <w:sz w:val="16"/>
                <w:szCs w:val="16"/>
              </w:rPr>
            </w:pPr>
            <w:r w:rsidRPr="00471CBA">
              <w:rPr>
                <w:b/>
                <w:bCs/>
                <w:sz w:val="16"/>
                <w:szCs w:val="16"/>
              </w:rPr>
              <w:t>2.877.650</w:t>
            </w:r>
          </w:p>
        </w:tc>
        <w:tc>
          <w:tcPr>
            <w:tcW w:w="373" w:type="pct"/>
            <w:tcBorders>
              <w:top w:val="nil"/>
              <w:left w:val="nil"/>
              <w:bottom w:val="nil"/>
              <w:right w:val="nil"/>
            </w:tcBorders>
            <w:vAlign w:val="bottom"/>
            <w:hideMark/>
          </w:tcPr>
          <w:p w14:paraId="73CD58C0" w14:textId="77777777" w:rsidR="00A74C68" w:rsidRPr="00471CBA" w:rsidRDefault="00A74C68" w:rsidP="00F36B82">
            <w:pPr>
              <w:ind w:right="-16"/>
              <w:jc w:val="right"/>
              <w:rPr>
                <w:b/>
                <w:bCs/>
                <w:sz w:val="16"/>
                <w:szCs w:val="16"/>
              </w:rPr>
            </w:pPr>
            <w:r w:rsidRPr="00471CBA">
              <w:rPr>
                <w:b/>
                <w:bCs/>
                <w:sz w:val="16"/>
                <w:szCs w:val="16"/>
              </w:rPr>
              <w:t>-</w:t>
            </w:r>
          </w:p>
        </w:tc>
        <w:tc>
          <w:tcPr>
            <w:tcW w:w="374" w:type="pct"/>
            <w:tcBorders>
              <w:top w:val="nil"/>
              <w:left w:val="nil"/>
              <w:bottom w:val="nil"/>
              <w:right w:val="nil"/>
            </w:tcBorders>
            <w:vAlign w:val="bottom"/>
            <w:hideMark/>
          </w:tcPr>
          <w:p w14:paraId="27D2A501" w14:textId="77777777" w:rsidR="00A74C68" w:rsidRPr="00471CBA" w:rsidRDefault="00A74C68" w:rsidP="00F36B82">
            <w:pPr>
              <w:ind w:right="-16"/>
              <w:jc w:val="right"/>
              <w:rPr>
                <w:b/>
                <w:bCs/>
                <w:sz w:val="16"/>
                <w:szCs w:val="16"/>
              </w:rPr>
            </w:pPr>
            <w:r w:rsidRPr="00471CBA">
              <w:rPr>
                <w:b/>
                <w:bCs/>
                <w:sz w:val="16"/>
                <w:szCs w:val="16"/>
              </w:rPr>
              <w:t>-</w:t>
            </w:r>
          </w:p>
        </w:tc>
        <w:tc>
          <w:tcPr>
            <w:tcW w:w="527" w:type="pct"/>
            <w:tcBorders>
              <w:top w:val="nil"/>
              <w:left w:val="nil"/>
              <w:bottom w:val="nil"/>
              <w:right w:val="nil"/>
            </w:tcBorders>
            <w:vAlign w:val="bottom"/>
            <w:hideMark/>
          </w:tcPr>
          <w:p w14:paraId="5710D687" w14:textId="77777777" w:rsidR="00A74C68" w:rsidRPr="00471CBA" w:rsidRDefault="00A74C68" w:rsidP="00F36B82">
            <w:pPr>
              <w:ind w:right="-16"/>
              <w:jc w:val="right"/>
              <w:rPr>
                <w:b/>
                <w:bCs/>
                <w:sz w:val="16"/>
                <w:szCs w:val="16"/>
              </w:rPr>
            </w:pPr>
            <w:r w:rsidRPr="00471CBA">
              <w:rPr>
                <w:b/>
                <w:bCs/>
                <w:sz w:val="16"/>
                <w:szCs w:val="16"/>
              </w:rPr>
              <w:t>-</w:t>
            </w:r>
          </w:p>
        </w:tc>
        <w:tc>
          <w:tcPr>
            <w:tcW w:w="532" w:type="pct"/>
            <w:tcBorders>
              <w:top w:val="nil"/>
              <w:left w:val="nil"/>
              <w:bottom w:val="nil"/>
              <w:right w:val="nil"/>
            </w:tcBorders>
            <w:vAlign w:val="bottom"/>
            <w:hideMark/>
          </w:tcPr>
          <w:p w14:paraId="3C02D79A" w14:textId="77777777" w:rsidR="00A74C68" w:rsidRPr="00471CBA" w:rsidRDefault="00A74C68" w:rsidP="00F36B82">
            <w:pPr>
              <w:ind w:right="-16"/>
              <w:jc w:val="right"/>
              <w:rPr>
                <w:b/>
                <w:bCs/>
                <w:sz w:val="16"/>
                <w:szCs w:val="16"/>
              </w:rPr>
            </w:pPr>
            <w:r w:rsidRPr="00471CBA">
              <w:rPr>
                <w:b/>
                <w:bCs/>
                <w:sz w:val="16"/>
                <w:szCs w:val="16"/>
              </w:rPr>
              <w:t>-</w:t>
            </w:r>
          </w:p>
        </w:tc>
        <w:tc>
          <w:tcPr>
            <w:tcW w:w="356" w:type="pct"/>
            <w:tcBorders>
              <w:top w:val="nil"/>
              <w:left w:val="nil"/>
              <w:bottom w:val="nil"/>
              <w:right w:val="nil"/>
            </w:tcBorders>
            <w:vAlign w:val="bottom"/>
            <w:hideMark/>
          </w:tcPr>
          <w:p w14:paraId="541611A0" w14:textId="77777777" w:rsidR="00A74C68" w:rsidRPr="00471CBA" w:rsidRDefault="00A74C68" w:rsidP="00F36B82">
            <w:pPr>
              <w:ind w:right="-16"/>
              <w:jc w:val="right"/>
              <w:rPr>
                <w:b/>
                <w:bCs/>
                <w:sz w:val="16"/>
                <w:szCs w:val="16"/>
              </w:rPr>
            </w:pPr>
            <w:r w:rsidRPr="00471CBA">
              <w:rPr>
                <w:b/>
                <w:bCs/>
                <w:sz w:val="16"/>
                <w:szCs w:val="16"/>
              </w:rPr>
              <w:t>10.032.541</w:t>
            </w:r>
          </w:p>
        </w:tc>
      </w:tr>
      <w:tr w:rsidR="00A74C68" w:rsidRPr="00471CBA" w14:paraId="368CB32D" w14:textId="77777777" w:rsidTr="00A74C68">
        <w:trPr>
          <w:divId w:val="485443198"/>
          <w:trHeight w:val="113"/>
        </w:trPr>
        <w:tc>
          <w:tcPr>
            <w:tcW w:w="1344" w:type="pct"/>
            <w:tcBorders>
              <w:top w:val="nil"/>
              <w:left w:val="nil"/>
              <w:bottom w:val="nil"/>
              <w:right w:val="nil"/>
            </w:tcBorders>
            <w:vAlign w:val="bottom"/>
            <w:hideMark/>
          </w:tcPr>
          <w:p w14:paraId="6F09A6C9" w14:textId="77777777" w:rsidR="00A74C68" w:rsidRPr="00471CBA" w:rsidRDefault="00A74C68" w:rsidP="00A74C68">
            <w:pPr>
              <w:rPr>
                <w:sz w:val="16"/>
                <w:szCs w:val="16"/>
              </w:rPr>
            </w:pPr>
            <w:r w:rsidRPr="00471CBA">
              <w:rPr>
                <w:sz w:val="16"/>
                <w:szCs w:val="16"/>
              </w:rPr>
              <w:t>Resmi Kuruluşlar</w:t>
            </w:r>
          </w:p>
        </w:tc>
        <w:tc>
          <w:tcPr>
            <w:tcW w:w="373" w:type="pct"/>
            <w:tcBorders>
              <w:top w:val="nil"/>
              <w:left w:val="nil"/>
              <w:bottom w:val="nil"/>
              <w:right w:val="nil"/>
            </w:tcBorders>
            <w:vAlign w:val="bottom"/>
            <w:hideMark/>
          </w:tcPr>
          <w:p w14:paraId="60506787"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07A07F49"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333FD3CF"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32AD8032" w14:textId="77777777" w:rsidR="00A74C68" w:rsidRPr="00471CBA" w:rsidRDefault="00A74C68" w:rsidP="00F36B82">
            <w:pPr>
              <w:ind w:right="-16"/>
              <w:jc w:val="right"/>
              <w:rPr>
                <w:sz w:val="16"/>
                <w:szCs w:val="16"/>
              </w:rPr>
            </w:pPr>
            <w:r w:rsidRPr="00471CBA">
              <w:rPr>
                <w:sz w:val="16"/>
                <w:szCs w:val="16"/>
              </w:rPr>
              <w:t>-</w:t>
            </w:r>
          </w:p>
        </w:tc>
        <w:tc>
          <w:tcPr>
            <w:tcW w:w="373" w:type="pct"/>
            <w:tcBorders>
              <w:top w:val="nil"/>
              <w:left w:val="nil"/>
              <w:bottom w:val="nil"/>
              <w:right w:val="nil"/>
            </w:tcBorders>
            <w:vAlign w:val="bottom"/>
            <w:hideMark/>
          </w:tcPr>
          <w:p w14:paraId="451BC964"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5609E941" w14:textId="77777777" w:rsidR="00A74C68" w:rsidRPr="00471CBA" w:rsidRDefault="00A74C68" w:rsidP="00F36B82">
            <w:pPr>
              <w:ind w:right="-16"/>
              <w:jc w:val="right"/>
              <w:rPr>
                <w:sz w:val="16"/>
                <w:szCs w:val="16"/>
              </w:rPr>
            </w:pPr>
            <w:r w:rsidRPr="00471CBA">
              <w:rPr>
                <w:sz w:val="16"/>
                <w:szCs w:val="16"/>
              </w:rPr>
              <w:t>-</w:t>
            </w:r>
          </w:p>
        </w:tc>
        <w:tc>
          <w:tcPr>
            <w:tcW w:w="527" w:type="pct"/>
            <w:tcBorders>
              <w:top w:val="nil"/>
              <w:left w:val="nil"/>
              <w:bottom w:val="nil"/>
              <w:right w:val="nil"/>
            </w:tcBorders>
            <w:vAlign w:val="bottom"/>
            <w:hideMark/>
          </w:tcPr>
          <w:p w14:paraId="554639FB" w14:textId="77777777" w:rsidR="00A74C68" w:rsidRPr="00471CBA" w:rsidRDefault="00A74C68" w:rsidP="00F36B82">
            <w:pPr>
              <w:ind w:right="-16"/>
              <w:jc w:val="right"/>
              <w:rPr>
                <w:sz w:val="16"/>
                <w:szCs w:val="16"/>
              </w:rPr>
            </w:pPr>
            <w:r w:rsidRPr="00471CBA">
              <w:rPr>
                <w:sz w:val="16"/>
                <w:szCs w:val="16"/>
              </w:rPr>
              <w:t>-</w:t>
            </w:r>
          </w:p>
        </w:tc>
        <w:tc>
          <w:tcPr>
            <w:tcW w:w="532" w:type="pct"/>
            <w:tcBorders>
              <w:top w:val="nil"/>
              <w:left w:val="nil"/>
              <w:bottom w:val="nil"/>
              <w:right w:val="nil"/>
            </w:tcBorders>
            <w:vAlign w:val="bottom"/>
            <w:hideMark/>
          </w:tcPr>
          <w:p w14:paraId="022B2416" w14:textId="77777777" w:rsidR="00A74C68" w:rsidRPr="00471CBA" w:rsidRDefault="00A74C68" w:rsidP="00F36B82">
            <w:pPr>
              <w:ind w:right="-16"/>
              <w:jc w:val="right"/>
              <w:rPr>
                <w:sz w:val="16"/>
                <w:szCs w:val="16"/>
              </w:rPr>
            </w:pPr>
            <w:r w:rsidRPr="00471CBA">
              <w:rPr>
                <w:sz w:val="16"/>
                <w:szCs w:val="16"/>
              </w:rPr>
              <w:t>-</w:t>
            </w:r>
          </w:p>
        </w:tc>
        <w:tc>
          <w:tcPr>
            <w:tcW w:w="356" w:type="pct"/>
            <w:tcBorders>
              <w:top w:val="nil"/>
              <w:left w:val="nil"/>
              <w:bottom w:val="nil"/>
              <w:right w:val="nil"/>
            </w:tcBorders>
            <w:vAlign w:val="bottom"/>
            <w:hideMark/>
          </w:tcPr>
          <w:p w14:paraId="4C14018F" w14:textId="77777777" w:rsidR="00A74C68" w:rsidRPr="00471CBA" w:rsidRDefault="00A74C68" w:rsidP="00F36B82">
            <w:pPr>
              <w:ind w:right="-16"/>
              <w:jc w:val="right"/>
              <w:rPr>
                <w:sz w:val="16"/>
                <w:szCs w:val="16"/>
              </w:rPr>
            </w:pPr>
            <w:r w:rsidRPr="00471CBA">
              <w:rPr>
                <w:sz w:val="16"/>
                <w:szCs w:val="16"/>
              </w:rPr>
              <w:t>-</w:t>
            </w:r>
          </w:p>
        </w:tc>
      </w:tr>
      <w:tr w:rsidR="00A74C68" w:rsidRPr="00471CBA" w14:paraId="4443CC4B" w14:textId="77777777" w:rsidTr="00A74C68">
        <w:trPr>
          <w:divId w:val="485443198"/>
          <w:trHeight w:val="113"/>
        </w:trPr>
        <w:tc>
          <w:tcPr>
            <w:tcW w:w="1344" w:type="pct"/>
            <w:tcBorders>
              <w:top w:val="nil"/>
              <w:left w:val="nil"/>
              <w:bottom w:val="nil"/>
              <w:right w:val="nil"/>
            </w:tcBorders>
            <w:vAlign w:val="bottom"/>
            <w:hideMark/>
          </w:tcPr>
          <w:p w14:paraId="4EC2A93A" w14:textId="77777777" w:rsidR="00A74C68" w:rsidRPr="00471CBA" w:rsidRDefault="00A74C68" w:rsidP="00A74C68">
            <w:pPr>
              <w:rPr>
                <w:sz w:val="16"/>
                <w:szCs w:val="16"/>
              </w:rPr>
            </w:pPr>
            <w:r w:rsidRPr="00471CBA">
              <w:rPr>
                <w:sz w:val="16"/>
                <w:szCs w:val="16"/>
              </w:rPr>
              <w:t>Ticari Kuruluşlar</w:t>
            </w:r>
          </w:p>
        </w:tc>
        <w:tc>
          <w:tcPr>
            <w:tcW w:w="373" w:type="pct"/>
            <w:tcBorders>
              <w:top w:val="nil"/>
              <w:left w:val="nil"/>
              <w:bottom w:val="nil"/>
              <w:right w:val="nil"/>
            </w:tcBorders>
            <w:vAlign w:val="bottom"/>
            <w:hideMark/>
          </w:tcPr>
          <w:p w14:paraId="1CE2F4C8"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49D566E9" w14:textId="77777777" w:rsidR="00A74C68" w:rsidRPr="00471CBA" w:rsidRDefault="00A74C68" w:rsidP="00F36B82">
            <w:pPr>
              <w:ind w:right="-16"/>
              <w:jc w:val="right"/>
              <w:rPr>
                <w:sz w:val="16"/>
                <w:szCs w:val="16"/>
              </w:rPr>
            </w:pPr>
            <w:r w:rsidRPr="00471CBA">
              <w:rPr>
                <w:sz w:val="16"/>
                <w:szCs w:val="16"/>
              </w:rPr>
              <w:t>4.828.611</w:t>
            </w:r>
          </w:p>
        </w:tc>
        <w:tc>
          <w:tcPr>
            <w:tcW w:w="374" w:type="pct"/>
            <w:tcBorders>
              <w:top w:val="nil"/>
              <w:left w:val="nil"/>
              <w:bottom w:val="nil"/>
              <w:right w:val="nil"/>
            </w:tcBorders>
            <w:vAlign w:val="bottom"/>
            <w:hideMark/>
          </w:tcPr>
          <w:p w14:paraId="1AD9D2B6" w14:textId="77777777" w:rsidR="00A74C68" w:rsidRPr="00471CBA" w:rsidRDefault="00A74C68" w:rsidP="00F36B82">
            <w:pPr>
              <w:ind w:right="-16"/>
              <w:jc w:val="right"/>
              <w:rPr>
                <w:sz w:val="16"/>
                <w:szCs w:val="16"/>
              </w:rPr>
            </w:pPr>
            <w:r w:rsidRPr="00471CBA">
              <w:rPr>
                <w:sz w:val="16"/>
                <w:szCs w:val="16"/>
              </w:rPr>
              <w:t>1.952.257</w:t>
            </w:r>
          </w:p>
        </w:tc>
        <w:tc>
          <w:tcPr>
            <w:tcW w:w="374" w:type="pct"/>
            <w:tcBorders>
              <w:top w:val="nil"/>
              <w:left w:val="nil"/>
              <w:bottom w:val="nil"/>
              <w:right w:val="nil"/>
            </w:tcBorders>
            <w:vAlign w:val="bottom"/>
            <w:hideMark/>
          </w:tcPr>
          <w:p w14:paraId="31755055" w14:textId="77777777" w:rsidR="00A74C68" w:rsidRPr="00471CBA" w:rsidRDefault="00A74C68" w:rsidP="00F36B82">
            <w:pPr>
              <w:ind w:right="-16"/>
              <w:jc w:val="right"/>
              <w:rPr>
                <w:sz w:val="16"/>
                <w:szCs w:val="16"/>
              </w:rPr>
            </w:pPr>
            <w:r w:rsidRPr="00471CBA">
              <w:rPr>
                <w:sz w:val="16"/>
                <w:szCs w:val="16"/>
              </w:rPr>
              <w:t>2.877.650</w:t>
            </w:r>
          </w:p>
        </w:tc>
        <w:tc>
          <w:tcPr>
            <w:tcW w:w="373" w:type="pct"/>
            <w:tcBorders>
              <w:top w:val="nil"/>
              <w:left w:val="nil"/>
              <w:bottom w:val="nil"/>
              <w:right w:val="nil"/>
            </w:tcBorders>
            <w:vAlign w:val="bottom"/>
            <w:hideMark/>
          </w:tcPr>
          <w:p w14:paraId="7C9799E7"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5EF828A1" w14:textId="77777777" w:rsidR="00A74C68" w:rsidRPr="00471CBA" w:rsidRDefault="00A74C68" w:rsidP="00F36B82">
            <w:pPr>
              <w:ind w:right="-16"/>
              <w:jc w:val="right"/>
              <w:rPr>
                <w:sz w:val="16"/>
                <w:szCs w:val="16"/>
              </w:rPr>
            </w:pPr>
            <w:r w:rsidRPr="00471CBA">
              <w:rPr>
                <w:sz w:val="16"/>
                <w:szCs w:val="16"/>
              </w:rPr>
              <w:t>-</w:t>
            </w:r>
          </w:p>
        </w:tc>
        <w:tc>
          <w:tcPr>
            <w:tcW w:w="527" w:type="pct"/>
            <w:tcBorders>
              <w:top w:val="nil"/>
              <w:left w:val="nil"/>
              <w:bottom w:val="nil"/>
              <w:right w:val="nil"/>
            </w:tcBorders>
            <w:vAlign w:val="bottom"/>
            <w:hideMark/>
          </w:tcPr>
          <w:p w14:paraId="713B901D" w14:textId="77777777" w:rsidR="00A74C68" w:rsidRPr="00471CBA" w:rsidRDefault="00A74C68" w:rsidP="00F36B82">
            <w:pPr>
              <w:ind w:right="-16"/>
              <w:jc w:val="right"/>
              <w:rPr>
                <w:sz w:val="16"/>
                <w:szCs w:val="16"/>
              </w:rPr>
            </w:pPr>
            <w:r w:rsidRPr="00471CBA">
              <w:rPr>
                <w:sz w:val="16"/>
                <w:szCs w:val="16"/>
              </w:rPr>
              <w:t>-</w:t>
            </w:r>
          </w:p>
        </w:tc>
        <w:tc>
          <w:tcPr>
            <w:tcW w:w="532" w:type="pct"/>
            <w:tcBorders>
              <w:top w:val="nil"/>
              <w:left w:val="nil"/>
              <w:bottom w:val="nil"/>
              <w:right w:val="nil"/>
            </w:tcBorders>
            <w:vAlign w:val="bottom"/>
            <w:hideMark/>
          </w:tcPr>
          <w:p w14:paraId="15148A65" w14:textId="77777777" w:rsidR="00A74C68" w:rsidRPr="00471CBA" w:rsidRDefault="00A74C68" w:rsidP="00F36B82">
            <w:pPr>
              <w:ind w:right="-16"/>
              <w:jc w:val="right"/>
              <w:rPr>
                <w:sz w:val="16"/>
                <w:szCs w:val="16"/>
              </w:rPr>
            </w:pPr>
            <w:r w:rsidRPr="00471CBA">
              <w:rPr>
                <w:sz w:val="16"/>
                <w:szCs w:val="16"/>
              </w:rPr>
              <w:t>-</w:t>
            </w:r>
          </w:p>
        </w:tc>
        <w:tc>
          <w:tcPr>
            <w:tcW w:w="356" w:type="pct"/>
            <w:tcBorders>
              <w:top w:val="nil"/>
              <w:left w:val="nil"/>
              <w:bottom w:val="nil"/>
              <w:right w:val="nil"/>
            </w:tcBorders>
            <w:vAlign w:val="bottom"/>
            <w:hideMark/>
          </w:tcPr>
          <w:p w14:paraId="500E00DC" w14:textId="77777777" w:rsidR="00A74C68" w:rsidRPr="00471CBA" w:rsidRDefault="00A74C68" w:rsidP="00F36B82">
            <w:pPr>
              <w:ind w:right="-16"/>
              <w:jc w:val="right"/>
              <w:rPr>
                <w:sz w:val="16"/>
                <w:szCs w:val="16"/>
              </w:rPr>
            </w:pPr>
            <w:r w:rsidRPr="00471CBA">
              <w:rPr>
                <w:sz w:val="16"/>
                <w:szCs w:val="16"/>
              </w:rPr>
              <w:t>9.658.518</w:t>
            </w:r>
          </w:p>
        </w:tc>
      </w:tr>
      <w:tr w:rsidR="00A74C68" w:rsidRPr="00471CBA" w14:paraId="3924FD60" w14:textId="77777777" w:rsidTr="00A74C68">
        <w:trPr>
          <w:divId w:val="485443198"/>
          <w:trHeight w:val="113"/>
        </w:trPr>
        <w:tc>
          <w:tcPr>
            <w:tcW w:w="1344" w:type="pct"/>
            <w:tcBorders>
              <w:top w:val="nil"/>
              <w:left w:val="nil"/>
              <w:bottom w:val="nil"/>
              <w:right w:val="nil"/>
            </w:tcBorders>
            <w:vAlign w:val="bottom"/>
            <w:hideMark/>
          </w:tcPr>
          <w:p w14:paraId="780120F3" w14:textId="77777777" w:rsidR="00A74C68" w:rsidRPr="00471CBA" w:rsidRDefault="00A74C68" w:rsidP="00A74C68">
            <w:pPr>
              <w:rPr>
                <w:sz w:val="16"/>
                <w:szCs w:val="16"/>
              </w:rPr>
            </w:pPr>
            <w:r w:rsidRPr="00471CBA">
              <w:rPr>
                <w:sz w:val="16"/>
                <w:szCs w:val="16"/>
              </w:rPr>
              <w:t>Diğer Kuruluşlar</w:t>
            </w:r>
          </w:p>
        </w:tc>
        <w:tc>
          <w:tcPr>
            <w:tcW w:w="373" w:type="pct"/>
            <w:tcBorders>
              <w:top w:val="nil"/>
              <w:left w:val="nil"/>
              <w:bottom w:val="nil"/>
              <w:right w:val="nil"/>
            </w:tcBorders>
            <w:vAlign w:val="bottom"/>
            <w:hideMark/>
          </w:tcPr>
          <w:p w14:paraId="5E5A03F6"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3E56CD9B"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231A99F6" w14:textId="77777777" w:rsidR="00A74C68" w:rsidRPr="00471CBA" w:rsidRDefault="00A74C68" w:rsidP="00F36B82">
            <w:pPr>
              <w:ind w:right="-16"/>
              <w:jc w:val="right"/>
              <w:rPr>
                <w:sz w:val="16"/>
                <w:szCs w:val="16"/>
              </w:rPr>
            </w:pPr>
            <w:r w:rsidRPr="00471CBA">
              <w:rPr>
                <w:sz w:val="16"/>
                <w:szCs w:val="16"/>
              </w:rPr>
              <w:t>374.023</w:t>
            </w:r>
          </w:p>
        </w:tc>
        <w:tc>
          <w:tcPr>
            <w:tcW w:w="374" w:type="pct"/>
            <w:tcBorders>
              <w:top w:val="nil"/>
              <w:left w:val="nil"/>
              <w:bottom w:val="nil"/>
              <w:right w:val="nil"/>
            </w:tcBorders>
            <w:vAlign w:val="bottom"/>
            <w:hideMark/>
          </w:tcPr>
          <w:p w14:paraId="4E91465C" w14:textId="77777777" w:rsidR="00A74C68" w:rsidRPr="00471CBA" w:rsidRDefault="00A74C68" w:rsidP="00F36B82">
            <w:pPr>
              <w:ind w:right="-16"/>
              <w:jc w:val="right"/>
              <w:rPr>
                <w:sz w:val="16"/>
                <w:szCs w:val="16"/>
              </w:rPr>
            </w:pPr>
            <w:r w:rsidRPr="00471CBA">
              <w:rPr>
                <w:sz w:val="16"/>
                <w:szCs w:val="16"/>
              </w:rPr>
              <w:t>-</w:t>
            </w:r>
          </w:p>
        </w:tc>
        <w:tc>
          <w:tcPr>
            <w:tcW w:w="373" w:type="pct"/>
            <w:tcBorders>
              <w:top w:val="nil"/>
              <w:left w:val="nil"/>
              <w:bottom w:val="nil"/>
              <w:right w:val="nil"/>
            </w:tcBorders>
            <w:vAlign w:val="bottom"/>
            <w:hideMark/>
          </w:tcPr>
          <w:p w14:paraId="36452904"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16434005" w14:textId="77777777" w:rsidR="00A74C68" w:rsidRPr="00471CBA" w:rsidRDefault="00A74C68" w:rsidP="00F36B82">
            <w:pPr>
              <w:ind w:right="-16"/>
              <w:jc w:val="right"/>
              <w:rPr>
                <w:sz w:val="16"/>
                <w:szCs w:val="16"/>
              </w:rPr>
            </w:pPr>
            <w:r w:rsidRPr="00471CBA">
              <w:rPr>
                <w:sz w:val="16"/>
                <w:szCs w:val="16"/>
              </w:rPr>
              <w:t>-</w:t>
            </w:r>
          </w:p>
        </w:tc>
        <w:tc>
          <w:tcPr>
            <w:tcW w:w="527" w:type="pct"/>
            <w:tcBorders>
              <w:top w:val="nil"/>
              <w:left w:val="nil"/>
              <w:bottom w:val="nil"/>
              <w:right w:val="nil"/>
            </w:tcBorders>
            <w:vAlign w:val="bottom"/>
            <w:hideMark/>
          </w:tcPr>
          <w:p w14:paraId="2CFBB0D2" w14:textId="77777777" w:rsidR="00A74C68" w:rsidRPr="00471CBA" w:rsidRDefault="00A74C68" w:rsidP="00F36B82">
            <w:pPr>
              <w:ind w:right="-16"/>
              <w:jc w:val="right"/>
              <w:rPr>
                <w:sz w:val="16"/>
                <w:szCs w:val="16"/>
              </w:rPr>
            </w:pPr>
            <w:r w:rsidRPr="00471CBA">
              <w:rPr>
                <w:sz w:val="16"/>
                <w:szCs w:val="16"/>
              </w:rPr>
              <w:t>-</w:t>
            </w:r>
          </w:p>
        </w:tc>
        <w:tc>
          <w:tcPr>
            <w:tcW w:w="532" w:type="pct"/>
            <w:tcBorders>
              <w:top w:val="nil"/>
              <w:left w:val="nil"/>
              <w:bottom w:val="nil"/>
              <w:right w:val="nil"/>
            </w:tcBorders>
            <w:vAlign w:val="bottom"/>
            <w:hideMark/>
          </w:tcPr>
          <w:p w14:paraId="4EBB3A2F" w14:textId="77777777" w:rsidR="00A74C68" w:rsidRPr="00471CBA" w:rsidRDefault="00A74C68" w:rsidP="00F36B82">
            <w:pPr>
              <w:ind w:right="-16"/>
              <w:jc w:val="right"/>
              <w:rPr>
                <w:sz w:val="16"/>
                <w:szCs w:val="16"/>
              </w:rPr>
            </w:pPr>
            <w:r w:rsidRPr="00471CBA">
              <w:rPr>
                <w:sz w:val="16"/>
                <w:szCs w:val="16"/>
              </w:rPr>
              <w:t>-</w:t>
            </w:r>
          </w:p>
        </w:tc>
        <w:tc>
          <w:tcPr>
            <w:tcW w:w="356" w:type="pct"/>
            <w:tcBorders>
              <w:top w:val="nil"/>
              <w:left w:val="nil"/>
              <w:bottom w:val="nil"/>
              <w:right w:val="nil"/>
            </w:tcBorders>
            <w:vAlign w:val="bottom"/>
            <w:hideMark/>
          </w:tcPr>
          <w:p w14:paraId="7FB40B5D" w14:textId="77777777" w:rsidR="00A74C68" w:rsidRPr="00471CBA" w:rsidRDefault="00A74C68" w:rsidP="00F36B82">
            <w:pPr>
              <w:ind w:right="-16"/>
              <w:jc w:val="right"/>
              <w:rPr>
                <w:sz w:val="16"/>
                <w:szCs w:val="16"/>
              </w:rPr>
            </w:pPr>
            <w:r w:rsidRPr="00471CBA">
              <w:rPr>
                <w:sz w:val="16"/>
                <w:szCs w:val="16"/>
              </w:rPr>
              <w:t>374.023</w:t>
            </w:r>
          </w:p>
        </w:tc>
      </w:tr>
      <w:tr w:rsidR="00A74C68" w:rsidRPr="00471CBA" w14:paraId="42F857C3" w14:textId="77777777" w:rsidTr="00A74C68">
        <w:trPr>
          <w:divId w:val="485443198"/>
          <w:trHeight w:val="113"/>
        </w:trPr>
        <w:tc>
          <w:tcPr>
            <w:tcW w:w="1344" w:type="pct"/>
            <w:tcBorders>
              <w:top w:val="nil"/>
              <w:left w:val="nil"/>
              <w:bottom w:val="nil"/>
              <w:right w:val="nil"/>
            </w:tcBorders>
            <w:vAlign w:val="bottom"/>
            <w:hideMark/>
          </w:tcPr>
          <w:p w14:paraId="5B1918D3" w14:textId="77777777" w:rsidR="00A74C68" w:rsidRPr="00471CBA" w:rsidRDefault="00A74C68" w:rsidP="00A74C68">
            <w:pPr>
              <w:rPr>
                <w:sz w:val="16"/>
                <w:szCs w:val="16"/>
              </w:rPr>
            </w:pPr>
            <w:r w:rsidRPr="00471CBA">
              <w:rPr>
                <w:sz w:val="16"/>
                <w:szCs w:val="16"/>
              </w:rPr>
              <w:t xml:space="preserve">Ticari ve </w:t>
            </w:r>
            <w:proofErr w:type="gramStart"/>
            <w:r w:rsidRPr="00471CBA">
              <w:rPr>
                <w:sz w:val="16"/>
                <w:szCs w:val="16"/>
              </w:rPr>
              <w:t>Diğer</w:t>
            </w:r>
            <w:proofErr w:type="gramEnd"/>
            <w:r w:rsidRPr="00471CBA">
              <w:rPr>
                <w:sz w:val="16"/>
                <w:szCs w:val="16"/>
              </w:rPr>
              <w:t xml:space="preserve"> Kur.</w:t>
            </w:r>
          </w:p>
        </w:tc>
        <w:tc>
          <w:tcPr>
            <w:tcW w:w="373" w:type="pct"/>
            <w:tcBorders>
              <w:top w:val="nil"/>
              <w:left w:val="nil"/>
              <w:bottom w:val="nil"/>
              <w:right w:val="nil"/>
            </w:tcBorders>
            <w:vAlign w:val="bottom"/>
            <w:hideMark/>
          </w:tcPr>
          <w:p w14:paraId="6CDA4565"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0CA51F5E"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35B10D60"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645AE680" w14:textId="77777777" w:rsidR="00A74C68" w:rsidRPr="00471CBA" w:rsidRDefault="00A74C68" w:rsidP="00F36B82">
            <w:pPr>
              <w:ind w:right="-16"/>
              <w:jc w:val="right"/>
              <w:rPr>
                <w:sz w:val="16"/>
                <w:szCs w:val="16"/>
              </w:rPr>
            </w:pPr>
            <w:r w:rsidRPr="00471CBA">
              <w:rPr>
                <w:sz w:val="16"/>
                <w:szCs w:val="16"/>
              </w:rPr>
              <w:t>-</w:t>
            </w:r>
          </w:p>
        </w:tc>
        <w:tc>
          <w:tcPr>
            <w:tcW w:w="373" w:type="pct"/>
            <w:tcBorders>
              <w:top w:val="nil"/>
              <w:left w:val="nil"/>
              <w:bottom w:val="nil"/>
              <w:right w:val="nil"/>
            </w:tcBorders>
            <w:vAlign w:val="bottom"/>
            <w:hideMark/>
          </w:tcPr>
          <w:p w14:paraId="0E49B969"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3D5A9CC1" w14:textId="77777777" w:rsidR="00A74C68" w:rsidRPr="00471CBA" w:rsidRDefault="00A74C68" w:rsidP="00F36B82">
            <w:pPr>
              <w:ind w:right="-16"/>
              <w:jc w:val="right"/>
              <w:rPr>
                <w:sz w:val="16"/>
                <w:szCs w:val="16"/>
              </w:rPr>
            </w:pPr>
            <w:r w:rsidRPr="00471CBA">
              <w:rPr>
                <w:sz w:val="16"/>
                <w:szCs w:val="16"/>
              </w:rPr>
              <w:t>-</w:t>
            </w:r>
          </w:p>
        </w:tc>
        <w:tc>
          <w:tcPr>
            <w:tcW w:w="527" w:type="pct"/>
            <w:tcBorders>
              <w:top w:val="nil"/>
              <w:left w:val="nil"/>
              <w:bottom w:val="nil"/>
              <w:right w:val="nil"/>
            </w:tcBorders>
            <w:vAlign w:val="bottom"/>
            <w:hideMark/>
          </w:tcPr>
          <w:p w14:paraId="583C6703" w14:textId="77777777" w:rsidR="00A74C68" w:rsidRPr="00471CBA" w:rsidRDefault="00A74C68" w:rsidP="00F36B82">
            <w:pPr>
              <w:ind w:right="-16"/>
              <w:jc w:val="right"/>
              <w:rPr>
                <w:sz w:val="16"/>
                <w:szCs w:val="16"/>
              </w:rPr>
            </w:pPr>
            <w:r w:rsidRPr="00471CBA">
              <w:rPr>
                <w:sz w:val="16"/>
                <w:szCs w:val="16"/>
              </w:rPr>
              <w:t>-</w:t>
            </w:r>
          </w:p>
        </w:tc>
        <w:tc>
          <w:tcPr>
            <w:tcW w:w="532" w:type="pct"/>
            <w:tcBorders>
              <w:top w:val="nil"/>
              <w:left w:val="nil"/>
              <w:bottom w:val="nil"/>
              <w:right w:val="nil"/>
            </w:tcBorders>
            <w:vAlign w:val="bottom"/>
            <w:hideMark/>
          </w:tcPr>
          <w:p w14:paraId="2048C232" w14:textId="77777777" w:rsidR="00A74C68" w:rsidRPr="00471CBA" w:rsidRDefault="00A74C68" w:rsidP="00F36B82">
            <w:pPr>
              <w:ind w:right="-16"/>
              <w:jc w:val="right"/>
              <w:rPr>
                <w:sz w:val="16"/>
                <w:szCs w:val="16"/>
              </w:rPr>
            </w:pPr>
            <w:r w:rsidRPr="00471CBA">
              <w:rPr>
                <w:sz w:val="16"/>
                <w:szCs w:val="16"/>
              </w:rPr>
              <w:t>-</w:t>
            </w:r>
          </w:p>
        </w:tc>
        <w:tc>
          <w:tcPr>
            <w:tcW w:w="356" w:type="pct"/>
            <w:tcBorders>
              <w:top w:val="nil"/>
              <w:left w:val="nil"/>
              <w:bottom w:val="nil"/>
              <w:right w:val="nil"/>
            </w:tcBorders>
            <w:vAlign w:val="bottom"/>
            <w:hideMark/>
          </w:tcPr>
          <w:p w14:paraId="224EC56B" w14:textId="77777777" w:rsidR="00A74C68" w:rsidRPr="00471CBA" w:rsidRDefault="00A74C68" w:rsidP="00F36B82">
            <w:pPr>
              <w:ind w:right="-16"/>
              <w:jc w:val="right"/>
              <w:rPr>
                <w:sz w:val="16"/>
                <w:szCs w:val="16"/>
              </w:rPr>
            </w:pPr>
            <w:r w:rsidRPr="00471CBA">
              <w:rPr>
                <w:sz w:val="16"/>
                <w:szCs w:val="16"/>
              </w:rPr>
              <w:t>-</w:t>
            </w:r>
          </w:p>
        </w:tc>
      </w:tr>
      <w:tr w:rsidR="00A74C68" w:rsidRPr="00471CBA" w14:paraId="08DC364D" w14:textId="77777777" w:rsidTr="00A74C68">
        <w:trPr>
          <w:divId w:val="485443198"/>
          <w:trHeight w:val="113"/>
        </w:trPr>
        <w:tc>
          <w:tcPr>
            <w:tcW w:w="1344" w:type="pct"/>
            <w:tcBorders>
              <w:top w:val="nil"/>
              <w:left w:val="nil"/>
              <w:bottom w:val="nil"/>
              <w:right w:val="nil"/>
            </w:tcBorders>
            <w:vAlign w:val="bottom"/>
            <w:hideMark/>
          </w:tcPr>
          <w:p w14:paraId="4C4BAF07" w14:textId="77777777" w:rsidR="00A74C68" w:rsidRPr="00471CBA" w:rsidRDefault="00A74C68" w:rsidP="00A74C68">
            <w:pPr>
              <w:rPr>
                <w:sz w:val="16"/>
                <w:szCs w:val="16"/>
              </w:rPr>
            </w:pPr>
            <w:r w:rsidRPr="00471CBA">
              <w:rPr>
                <w:sz w:val="16"/>
                <w:szCs w:val="16"/>
              </w:rPr>
              <w:t>Bankalar ve Katılım Bankası</w:t>
            </w:r>
          </w:p>
        </w:tc>
        <w:tc>
          <w:tcPr>
            <w:tcW w:w="373" w:type="pct"/>
            <w:tcBorders>
              <w:top w:val="nil"/>
              <w:left w:val="nil"/>
              <w:bottom w:val="nil"/>
              <w:right w:val="nil"/>
            </w:tcBorders>
            <w:vAlign w:val="bottom"/>
            <w:hideMark/>
          </w:tcPr>
          <w:p w14:paraId="0E867B8F"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583ED286"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7D1F33A5"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310D4065" w14:textId="77777777" w:rsidR="00A74C68" w:rsidRPr="00471CBA" w:rsidRDefault="00A74C68" w:rsidP="00F36B82">
            <w:pPr>
              <w:ind w:right="-16"/>
              <w:jc w:val="right"/>
              <w:rPr>
                <w:sz w:val="16"/>
                <w:szCs w:val="16"/>
              </w:rPr>
            </w:pPr>
            <w:r w:rsidRPr="00471CBA">
              <w:rPr>
                <w:sz w:val="16"/>
                <w:szCs w:val="16"/>
              </w:rPr>
              <w:t>-</w:t>
            </w:r>
          </w:p>
        </w:tc>
        <w:tc>
          <w:tcPr>
            <w:tcW w:w="373" w:type="pct"/>
            <w:tcBorders>
              <w:top w:val="nil"/>
              <w:left w:val="nil"/>
              <w:bottom w:val="nil"/>
              <w:right w:val="nil"/>
            </w:tcBorders>
            <w:vAlign w:val="bottom"/>
            <w:hideMark/>
          </w:tcPr>
          <w:p w14:paraId="646C3B7B"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2732C0E4" w14:textId="77777777" w:rsidR="00A74C68" w:rsidRPr="00471CBA" w:rsidRDefault="00A74C68" w:rsidP="00F36B82">
            <w:pPr>
              <w:ind w:right="-16"/>
              <w:jc w:val="right"/>
              <w:rPr>
                <w:sz w:val="16"/>
                <w:szCs w:val="16"/>
              </w:rPr>
            </w:pPr>
            <w:r w:rsidRPr="00471CBA">
              <w:rPr>
                <w:sz w:val="16"/>
                <w:szCs w:val="16"/>
              </w:rPr>
              <w:t>-</w:t>
            </w:r>
          </w:p>
        </w:tc>
        <w:tc>
          <w:tcPr>
            <w:tcW w:w="527" w:type="pct"/>
            <w:tcBorders>
              <w:top w:val="nil"/>
              <w:left w:val="nil"/>
              <w:bottom w:val="nil"/>
              <w:right w:val="nil"/>
            </w:tcBorders>
            <w:vAlign w:val="bottom"/>
            <w:hideMark/>
          </w:tcPr>
          <w:p w14:paraId="611EB12F" w14:textId="77777777" w:rsidR="00A74C68" w:rsidRPr="00471CBA" w:rsidRDefault="00A74C68" w:rsidP="00F36B82">
            <w:pPr>
              <w:ind w:right="-16"/>
              <w:jc w:val="right"/>
              <w:rPr>
                <w:sz w:val="16"/>
                <w:szCs w:val="16"/>
              </w:rPr>
            </w:pPr>
            <w:r w:rsidRPr="00471CBA">
              <w:rPr>
                <w:sz w:val="16"/>
                <w:szCs w:val="16"/>
              </w:rPr>
              <w:t>-</w:t>
            </w:r>
          </w:p>
        </w:tc>
        <w:tc>
          <w:tcPr>
            <w:tcW w:w="532" w:type="pct"/>
            <w:tcBorders>
              <w:top w:val="nil"/>
              <w:left w:val="nil"/>
              <w:bottom w:val="nil"/>
              <w:right w:val="nil"/>
            </w:tcBorders>
            <w:vAlign w:val="bottom"/>
            <w:hideMark/>
          </w:tcPr>
          <w:p w14:paraId="7180476A" w14:textId="77777777" w:rsidR="00A74C68" w:rsidRPr="00471CBA" w:rsidRDefault="00A74C68" w:rsidP="00F36B82">
            <w:pPr>
              <w:ind w:right="-16"/>
              <w:jc w:val="right"/>
              <w:rPr>
                <w:sz w:val="16"/>
                <w:szCs w:val="16"/>
              </w:rPr>
            </w:pPr>
            <w:r w:rsidRPr="00471CBA">
              <w:rPr>
                <w:sz w:val="16"/>
                <w:szCs w:val="16"/>
              </w:rPr>
              <w:t>-</w:t>
            </w:r>
          </w:p>
        </w:tc>
        <w:tc>
          <w:tcPr>
            <w:tcW w:w="356" w:type="pct"/>
            <w:tcBorders>
              <w:top w:val="nil"/>
              <w:left w:val="nil"/>
              <w:bottom w:val="nil"/>
              <w:right w:val="nil"/>
            </w:tcBorders>
            <w:vAlign w:val="bottom"/>
            <w:hideMark/>
          </w:tcPr>
          <w:p w14:paraId="6140AA90" w14:textId="77777777" w:rsidR="00A74C68" w:rsidRPr="00471CBA" w:rsidRDefault="00A74C68" w:rsidP="00F36B82">
            <w:pPr>
              <w:ind w:right="-16"/>
              <w:jc w:val="right"/>
              <w:rPr>
                <w:sz w:val="16"/>
                <w:szCs w:val="16"/>
              </w:rPr>
            </w:pPr>
            <w:r w:rsidRPr="00471CBA">
              <w:rPr>
                <w:sz w:val="16"/>
                <w:szCs w:val="16"/>
              </w:rPr>
              <w:t>-</w:t>
            </w:r>
          </w:p>
        </w:tc>
      </w:tr>
      <w:tr w:rsidR="00A74C68" w:rsidRPr="00471CBA" w14:paraId="23C137C9" w14:textId="77777777" w:rsidTr="00A74C68">
        <w:trPr>
          <w:divId w:val="485443198"/>
          <w:trHeight w:val="113"/>
        </w:trPr>
        <w:tc>
          <w:tcPr>
            <w:tcW w:w="1344" w:type="pct"/>
            <w:tcBorders>
              <w:top w:val="nil"/>
              <w:left w:val="nil"/>
              <w:bottom w:val="nil"/>
              <w:right w:val="nil"/>
            </w:tcBorders>
            <w:vAlign w:val="bottom"/>
            <w:hideMark/>
          </w:tcPr>
          <w:p w14:paraId="031BCF3D" w14:textId="77777777" w:rsidR="00A74C68" w:rsidRPr="00471CBA" w:rsidRDefault="00A74C68" w:rsidP="00A74C68">
            <w:pPr>
              <w:rPr>
                <w:b/>
                <w:bCs/>
                <w:sz w:val="16"/>
                <w:szCs w:val="16"/>
              </w:rPr>
            </w:pPr>
            <w:r w:rsidRPr="00471CBA">
              <w:rPr>
                <w:b/>
                <w:bCs/>
                <w:sz w:val="16"/>
                <w:szCs w:val="16"/>
              </w:rPr>
              <w:t>V. Özel Cari Hesaplar Gerçek Kişi Ticari Olmayan-YP</w:t>
            </w:r>
          </w:p>
        </w:tc>
        <w:tc>
          <w:tcPr>
            <w:tcW w:w="373" w:type="pct"/>
            <w:tcBorders>
              <w:top w:val="nil"/>
              <w:left w:val="nil"/>
              <w:bottom w:val="nil"/>
              <w:right w:val="nil"/>
            </w:tcBorders>
            <w:vAlign w:val="bottom"/>
            <w:hideMark/>
          </w:tcPr>
          <w:p w14:paraId="5CEA1187" w14:textId="77777777" w:rsidR="00A74C68" w:rsidRPr="00471CBA" w:rsidRDefault="00A74C68" w:rsidP="00F36B82">
            <w:pPr>
              <w:ind w:right="-16"/>
              <w:jc w:val="right"/>
              <w:rPr>
                <w:b/>
                <w:bCs/>
                <w:sz w:val="16"/>
                <w:szCs w:val="16"/>
              </w:rPr>
            </w:pPr>
            <w:r w:rsidRPr="00471CBA">
              <w:rPr>
                <w:b/>
                <w:bCs/>
                <w:sz w:val="16"/>
                <w:szCs w:val="16"/>
              </w:rPr>
              <w:t>124.081</w:t>
            </w:r>
          </w:p>
        </w:tc>
        <w:tc>
          <w:tcPr>
            <w:tcW w:w="374" w:type="pct"/>
            <w:tcBorders>
              <w:top w:val="nil"/>
              <w:left w:val="nil"/>
              <w:bottom w:val="nil"/>
              <w:right w:val="nil"/>
            </w:tcBorders>
            <w:vAlign w:val="bottom"/>
            <w:hideMark/>
          </w:tcPr>
          <w:p w14:paraId="1AAF54FE" w14:textId="77777777" w:rsidR="00A74C68" w:rsidRPr="00471CBA" w:rsidRDefault="00A74C68" w:rsidP="00F36B82">
            <w:pPr>
              <w:ind w:right="-16"/>
              <w:jc w:val="right"/>
              <w:rPr>
                <w:b/>
                <w:bCs/>
                <w:sz w:val="16"/>
                <w:szCs w:val="16"/>
              </w:rPr>
            </w:pPr>
            <w:r w:rsidRPr="00471CBA">
              <w:rPr>
                <w:b/>
                <w:bCs/>
                <w:sz w:val="16"/>
                <w:szCs w:val="16"/>
              </w:rPr>
              <w:t>-</w:t>
            </w:r>
          </w:p>
        </w:tc>
        <w:tc>
          <w:tcPr>
            <w:tcW w:w="374" w:type="pct"/>
            <w:tcBorders>
              <w:top w:val="nil"/>
              <w:left w:val="nil"/>
              <w:bottom w:val="nil"/>
              <w:right w:val="nil"/>
            </w:tcBorders>
            <w:vAlign w:val="bottom"/>
            <w:hideMark/>
          </w:tcPr>
          <w:p w14:paraId="535C62CC" w14:textId="77777777" w:rsidR="00A74C68" w:rsidRPr="00471CBA" w:rsidRDefault="00A74C68" w:rsidP="00F36B82">
            <w:pPr>
              <w:ind w:right="-16"/>
              <w:jc w:val="right"/>
              <w:rPr>
                <w:b/>
                <w:bCs/>
                <w:sz w:val="16"/>
                <w:szCs w:val="16"/>
              </w:rPr>
            </w:pPr>
            <w:r w:rsidRPr="00471CBA">
              <w:rPr>
                <w:b/>
                <w:bCs/>
                <w:sz w:val="16"/>
                <w:szCs w:val="16"/>
              </w:rPr>
              <w:t>-</w:t>
            </w:r>
          </w:p>
        </w:tc>
        <w:tc>
          <w:tcPr>
            <w:tcW w:w="374" w:type="pct"/>
            <w:tcBorders>
              <w:top w:val="nil"/>
              <w:left w:val="nil"/>
              <w:bottom w:val="nil"/>
              <w:right w:val="nil"/>
            </w:tcBorders>
            <w:vAlign w:val="bottom"/>
            <w:hideMark/>
          </w:tcPr>
          <w:p w14:paraId="1A4713BD" w14:textId="77777777" w:rsidR="00A74C68" w:rsidRPr="00471CBA" w:rsidRDefault="00A74C68" w:rsidP="00F36B82">
            <w:pPr>
              <w:ind w:right="-16"/>
              <w:jc w:val="right"/>
              <w:rPr>
                <w:b/>
                <w:bCs/>
                <w:sz w:val="16"/>
                <w:szCs w:val="16"/>
              </w:rPr>
            </w:pPr>
            <w:r w:rsidRPr="00471CBA">
              <w:rPr>
                <w:b/>
                <w:bCs/>
                <w:sz w:val="16"/>
                <w:szCs w:val="16"/>
              </w:rPr>
              <w:t>-</w:t>
            </w:r>
          </w:p>
        </w:tc>
        <w:tc>
          <w:tcPr>
            <w:tcW w:w="373" w:type="pct"/>
            <w:tcBorders>
              <w:top w:val="nil"/>
              <w:left w:val="nil"/>
              <w:bottom w:val="nil"/>
              <w:right w:val="nil"/>
            </w:tcBorders>
            <w:vAlign w:val="bottom"/>
            <w:hideMark/>
          </w:tcPr>
          <w:p w14:paraId="33CCF527" w14:textId="77777777" w:rsidR="00A74C68" w:rsidRPr="00471CBA" w:rsidRDefault="00A74C68" w:rsidP="00F36B82">
            <w:pPr>
              <w:ind w:right="-16"/>
              <w:jc w:val="right"/>
              <w:rPr>
                <w:b/>
                <w:bCs/>
                <w:sz w:val="16"/>
                <w:szCs w:val="16"/>
              </w:rPr>
            </w:pPr>
            <w:r w:rsidRPr="00471CBA">
              <w:rPr>
                <w:b/>
                <w:bCs/>
                <w:sz w:val="16"/>
                <w:szCs w:val="16"/>
              </w:rPr>
              <w:t>-</w:t>
            </w:r>
          </w:p>
        </w:tc>
        <w:tc>
          <w:tcPr>
            <w:tcW w:w="374" w:type="pct"/>
            <w:tcBorders>
              <w:top w:val="nil"/>
              <w:left w:val="nil"/>
              <w:bottom w:val="nil"/>
              <w:right w:val="nil"/>
            </w:tcBorders>
            <w:vAlign w:val="bottom"/>
            <w:hideMark/>
          </w:tcPr>
          <w:p w14:paraId="58E5BB8C" w14:textId="77777777" w:rsidR="00A74C68" w:rsidRPr="00471CBA" w:rsidRDefault="00A74C68" w:rsidP="00F36B82">
            <w:pPr>
              <w:ind w:right="-16"/>
              <w:jc w:val="right"/>
              <w:rPr>
                <w:b/>
                <w:bCs/>
                <w:sz w:val="16"/>
                <w:szCs w:val="16"/>
              </w:rPr>
            </w:pPr>
            <w:r w:rsidRPr="00471CBA">
              <w:rPr>
                <w:b/>
                <w:bCs/>
                <w:sz w:val="16"/>
                <w:szCs w:val="16"/>
              </w:rPr>
              <w:t>-</w:t>
            </w:r>
          </w:p>
        </w:tc>
        <w:tc>
          <w:tcPr>
            <w:tcW w:w="527" w:type="pct"/>
            <w:tcBorders>
              <w:top w:val="nil"/>
              <w:left w:val="nil"/>
              <w:bottom w:val="nil"/>
              <w:right w:val="nil"/>
            </w:tcBorders>
            <w:vAlign w:val="bottom"/>
            <w:hideMark/>
          </w:tcPr>
          <w:p w14:paraId="0058D6A9" w14:textId="77777777" w:rsidR="00A74C68" w:rsidRPr="00471CBA" w:rsidRDefault="00A74C68" w:rsidP="00F36B82">
            <w:pPr>
              <w:ind w:right="-16"/>
              <w:jc w:val="right"/>
              <w:rPr>
                <w:b/>
                <w:bCs/>
                <w:sz w:val="16"/>
                <w:szCs w:val="16"/>
              </w:rPr>
            </w:pPr>
            <w:r w:rsidRPr="00471CBA">
              <w:rPr>
                <w:b/>
                <w:bCs/>
                <w:sz w:val="16"/>
                <w:szCs w:val="16"/>
              </w:rPr>
              <w:t>-</w:t>
            </w:r>
          </w:p>
        </w:tc>
        <w:tc>
          <w:tcPr>
            <w:tcW w:w="532" w:type="pct"/>
            <w:tcBorders>
              <w:top w:val="nil"/>
              <w:left w:val="nil"/>
              <w:bottom w:val="nil"/>
              <w:right w:val="nil"/>
            </w:tcBorders>
            <w:vAlign w:val="bottom"/>
            <w:hideMark/>
          </w:tcPr>
          <w:p w14:paraId="6B2FBAFA" w14:textId="77777777" w:rsidR="00A74C68" w:rsidRPr="00471CBA" w:rsidRDefault="00A74C68" w:rsidP="00F36B82">
            <w:pPr>
              <w:ind w:right="-16"/>
              <w:jc w:val="right"/>
              <w:rPr>
                <w:b/>
                <w:bCs/>
                <w:sz w:val="16"/>
                <w:szCs w:val="16"/>
              </w:rPr>
            </w:pPr>
            <w:r w:rsidRPr="00471CBA">
              <w:rPr>
                <w:b/>
                <w:bCs/>
                <w:sz w:val="16"/>
                <w:szCs w:val="16"/>
              </w:rPr>
              <w:t>-</w:t>
            </w:r>
          </w:p>
        </w:tc>
        <w:tc>
          <w:tcPr>
            <w:tcW w:w="356" w:type="pct"/>
            <w:tcBorders>
              <w:top w:val="nil"/>
              <w:left w:val="nil"/>
              <w:bottom w:val="nil"/>
              <w:right w:val="nil"/>
            </w:tcBorders>
            <w:vAlign w:val="bottom"/>
            <w:hideMark/>
          </w:tcPr>
          <w:p w14:paraId="212501C2" w14:textId="77777777" w:rsidR="00A74C68" w:rsidRPr="00471CBA" w:rsidRDefault="00A74C68" w:rsidP="00F36B82">
            <w:pPr>
              <w:ind w:right="-16"/>
              <w:jc w:val="right"/>
              <w:rPr>
                <w:b/>
                <w:bCs/>
                <w:sz w:val="16"/>
                <w:szCs w:val="16"/>
              </w:rPr>
            </w:pPr>
            <w:r w:rsidRPr="00471CBA">
              <w:rPr>
                <w:b/>
                <w:bCs/>
                <w:sz w:val="16"/>
                <w:szCs w:val="16"/>
              </w:rPr>
              <w:t>124.081</w:t>
            </w:r>
          </w:p>
        </w:tc>
      </w:tr>
      <w:tr w:rsidR="00A74C68" w:rsidRPr="00471CBA" w14:paraId="3A57F4B5" w14:textId="77777777" w:rsidTr="00A74C68">
        <w:trPr>
          <w:divId w:val="485443198"/>
          <w:trHeight w:val="113"/>
        </w:trPr>
        <w:tc>
          <w:tcPr>
            <w:tcW w:w="1344" w:type="pct"/>
            <w:tcBorders>
              <w:top w:val="nil"/>
              <w:left w:val="nil"/>
              <w:bottom w:val="nil"/>
              <w:right w:val="nil"/>
            </w:tcBorders>
            <w:vAlign w:val="bottom"/>
            <w:hideMark/>
          </w:tcPr>
          <w:p w14:paraId="4685D85C" w14:textId="77777777" w:rsidR="00A74C68" w:rsidRPr="00471CBA" w:rsidRDefault="00A74C68" w:rsidP="00A74C68">
            <w:pPr>
              <w:rPr>
                <w:b/>
                <w:bCs/>
                <w:sz w:val="16"/>
                <w:szCs w:val="16"/>
              </w:rPr>
            </w:pPr>
            <w:r w:rsidRPr="00471CBA">
              <w:rPr>
                <w:b/>
                <w:bCs/>
                <w:sz w:val="16"/>
                <w:szCs w:val="16"/>
              </w:rPr>
              <w:t>VI. Katılma Hesapları Gerçek Kişi Ticari Olmayan-YP</w:t>
            </w:r>
          </w:p>
        </w:tc>
        <w:tc>
          <w:tcPr>
            <w:tcW w:w="373" w:type="pct"/>
            <w:tcBorders>
              <w:top w:val="nil"/>
              <w:left w:val="nil"/>
              <w:bottom w:val="nil"/>
              <w:right w:val="nil"/>
            </w:tcBorders>
            <w:vAlign w:val="bottom"/>
            <w:hideMark/>
          </w:tcPr>
          <w:p w14:paraId="17CA200F" w14:textId="77777777" w:rsidR="00A74C68" w:rsidRPr="00471CBA" w:rsidRDefault="00A74C68" w:rsidP="00F36B82">
            <w:pPr>
              <w:ind w:right="-16"/>
              <w:jc w:val="right"/>
              <w:rPr>
                <w:b/>
                <w:bCs/>
                <w:sz w:val="16"/>
                <w:szCs w:val="16"/>
              </w:rPr>
            </w:pPr>
            <w:r w:rsidRPr="00471CBA">
              <w:rPr>
                <w:b/>
                <w:bCs/>
                <w:sz w:val="16"/>
                <w:szCs w:val="16"/>
              </w:rPr>
              <w:t>-</w:t>
            </w:r>
          </w:p>
        </w:tc>
        <w:tc>
          <w:tcPr>
            <w:tcW w:w="374" w:type="pct"/>
            <w:tcBorders>
              <w:top w:val="nil"/>
              <w:left w:val="nil"/>
              <w:bottom w:val="nil"/>
              <w:right w:val="nil"/>
            </w:tcBorders>
            <w:vAlign w:val="bottom"/>
            <w:hideMark/>
          </w:tcPr>
          <w:p w14:paraId="403CA2BC" w14:textId="77777777" w:rsidR="00A74C68" w:rsidRPr="00471CBA" w:rsidRDefault="00A74C68" w:rsidP="00F36B82">
            <w:pPr>
              <w:ind w:right="-16"/>
              <w:jc w:val="right"/>
              <w:rPr>
                <w:b/>
                <w:bCs/>
                <w:sz w:val="16"/>
                <w:szCs w:val="16"/>
              </w:rPr>
            </w:pPr>
            <w:r w:rsidRPr="00471CBA">
              <w:rPr>
                <w:b/>
                <w:bCs/>
                <w:sz w:val="16"/>
                <w:szCs w:val="16"/>
              </w:rPr>
              <w:t>38.111</w:t>
            </w:r>
          </w:p>
        </w:tc>
        <w:tc>
          <w:tcPr>
            <w:tcW w:w="374" w:type="pct"/>
            <w:tcBorders>
              <w:top w:val="nil"/>
              <w:left w:val="nil"/>
              <w:bottom w:val="nil"/>
              <w:right w:val="nil"/>
            </w:tcBorders>
            <w:vAlign w:val="bottom"/>
            <w:hideMark/>
          </w:tcPr>
          <w:p w14:paraId="713BE47B" w14:textId="77777777" w:rsidR="00A74C68" w:rsidRPr="00471CBA" w:rsidRDefault="00A74C68" w:rsidP="00F36B82">
            <w:pPr>
              <w:ind w:right="-16"/>
              <w:jc w:val="right"/>
              <w:rPr>
                <w:b/>
                <w:bCs/>
                <w:sz w:val="16"/>
                <w:szCs w:val="16"/>
              </w:rPr>
            </w:pPr>
            <w:r w:rsidRPr="00471CBA">
              <w:rPr>
                <w:b/>
                <w:bCs/>
                <w:sz w:val="16"/>
                <w:szCs w:val="16"/>
              </w:rPr>
              <w:t>175.434</w:t>
            </w:r>
          </w:p>
        </w:tc>
        <w:tc>
          <w:tcPr>
            <w:tcW w:w="374" w:type="pct"/>
            <w:tcBorders>
              <w:top w:val="nil"/>
              <w:left w:val="nil"/>
              <w:bottom w:val="nil"/>
              <w:right w:val="nil"/>
            </w:tcBorders>
            <w:vAlign w:val="bottom"/>
            <w:hideMark/>
          </w:tcPr>
          <w:p w14:paraId="21B928E3" w14:textId="77777777" w:rsidR="00A74C68" w:rsidRPr="00471CBA" w:rsidRDefault="00A74C68" w:rsidP="00F36B82">
            <w:pPr>
              <w:ind w:right="-16"/>
              <w:jc w:val="right"/>
              <w:rPr>
                <w:b/>
                <w:bCs/>
                <w:sz w:val="16"/>
                <w:szCs w:val="16"/>
              </w:rPr>
            </w:pPr>
            <w:r w:rsidRPr="00471CBA">
              <w:rPr>
                <w:b/>
                <w:bCs/>
                <w:sz w:val="16"/>
                <w:szCs w:val="16"/>
              </w:rPr>
              <w:t>39.077</w:t>
            </w:r>
          </w:p>
        </w:tc>
        <w:tc>
          <w:tcPr>
            <w:tcW w:w="373" w:type="pct"/>
            <w:tcBorders>
              <w:top w:val="nil"/>
              <w:left w:val="nil"/>
              <w:bottom w:val="nil"/>
              <w:right w:val="nil"/>
            </w:tcBorders>
            <w:vAlign w:val="bottom"/>
            <w:hideMark/>
          </w:tcPr>
          <w:p w14:paraId="57625D03" w14:textId="77777777" w:rsidR="00A74C68" w:rsidRPr="00471CBA" w:rsidRDefault="00A74C68" w:rsidP="00F36B82">
            <w:pPr>
              <w:ind w:right="-16"/>
              <w:jc w:val="right"/>
              <w:rPr>
                <w:b/>
                <w:bCs/>
                <w:sz w:val="16"/>
                <w:szCs w:val="16"/>
              </w:rPr>
            </w:pPr>
            <w:r w:rsidRPr="00471CBA">
              <w:rPr>
                <w:b/>
                <w:bCs/>
                <w:sz w:val="16"/>
                <w:szCs w:val="16"/>
              </w:rPr>
              <w:t>-</w:t>
            </w:r>
          </w:p>
        </w:tc>
        <w:tc>
          <w:tcPr>
            <w:tcW w:w="374" w:type="pct"/>
            <w:tcBorders>
              <w:top w:val="nil"/>
              <w:left w:val="nil"/>
              <w:bottom w:val="nil"/>
              <w:right w:val="nil"/>
            </w:tcBorders>
            <w:vAlign w:val="bottom"/>
            <w:hideMark/>
          </w:tcPr>
          <w:p w14:paraId="7397200B" w14:textId="77777777" w:rsidR="00A74C68" w:rsidRPr="00471CBA" w:rsidRDefault="00A74C68" w:rsidP="00F36B82">
            <w:pPr>
              <w:ind w:right="-16"/>
              <w:jc w:val="right"/>
              <w:rPr>
                <w:b/>
                <w:bCs/>
                <w:sz w:val="16"/>
                <w:szCs w:val="16"/>
              </w:rPr>
            </w:pPr>
            <w:r w:rsidRPr="00471CBA">
              <w:rPr>
                <w:b/>
                <w:bCs/>
                <w:sz w:val="16"/>
                <w:szCs w:val="16"/>
              </w:rPr>
              <w:t>-</w:t>
            </w:r>
          </w:p>
        </w:tc>
        <w:tc>
          <w:tcPr>
            <w:tcW w:w="527" w:type="pct"/>
            <w:tcBorders>
              <w:top w:val="nil"/>
              <w:left w:val="nil"/>
              <w:bottom w:val="nil"/>
              <w:right w:val="nil"/>
            </w:tcBorders>
            <w:vAlign w:val="bottom"/>
            <w:hideMark/>
          </w:tcPr>
          <w:p w14:paraId="07B52BAD" w14:textId="77777777" w:rsidR="00A74C68" w:rsidRPr="00471CBA" w:rsidRDefault="00A74C68" w:rsidP="00F36B82">
            <w:pPr>
              <w:ind w:right="-16"/>
              <w:jc w:val="right"/>
              <w:rPr>
                <w:b/>
                <w:bCs/>
                <w:sz w:val="16"/>
                <w:szCs w:val="16"/>
              </w:rPr>
            </w:pPr>
            <w:r w:rsidRPr="00471CBA">
              <w:rPr>
                <w:b/>
                <w:bCs/>
                <w:sz w:val="16"/>
                <w:szCs w:val="16"/>
              </w:rPr>
              <w:t>-</w:t>
            </w:r>
          </w:p>
        </w:tc>
        <w:tc>
          <w:tcPr>
            <w:tcW w:w="532" w:type="pct"/>
            <w:tcBorders>
              <w:top w:val="nil"/>
              <w:left w:val="nil"/>
              <w:bottom w:val="nil"/>
              <w:right w:val="nil"/>
            </w:tcBorders>
            <w:vAlign w:val="bottom"/>
            <w:hideMark/>
          </w:tcPr>
          <w:p w14:paraId="4C59520E" w14:textId="77777777" w:rsidR="00A74C68" w:rsidRPr="00471CBA" w:rsidRDefault="00A74C68" w:rsidP="00F36B82">
            <w:pPr>
              <w:ind w:right="-16"/>
              <w:jc w:val="right"/>
              <w:rPr>
                <w:b/>
                <w:bCs/>
                <w:sz w:val="16"/>
                <w:szCs w:val="16"/>
              </w:rPr>
            </w:pPr>
            <w:r w:rsidRPr="00471CBA">
              <w:rPr>
                <w:b/>
                <w:bCs/>
                <w:sz w:val="16"/>
                <w:szCs w:val="16"/>
              </w:rPr>
              <w:t>-</w:t>
            </w:r>
          </w:p>
        </w:tc>
        <w:tc>
          <w:tcPr>
            <w:tcW w:w="356" w:type="pct"/>
            <w:tcBorders>
              <w:top w:val="nil"/>
              <w:left w:val="nil"/>
              <w:bottom w:val="nil"/>
              <w:right w:val="nil"/>
            </w:tcBorders>
            <w:vAlign w:val="bottom"/>
            <w:hideMark/>
          </w:tcPr>
          <w:p w14:paraId="19ADC47F" w14:textId="77777777" w:rsidR="00A74C68" w:rsidRPr="00471CBA" w:rsidRDefault="00A74C68" w:rsidP="00F36B82">
            <w:pPr>
              <w:ind w:right="-16"/>
              <w:jc w:val="right"/>
              <w:rPr>
                <w:b/>
                <w:bCs/>
                <w:sz w:val="16"/>
                <w:szCs w:val="16"/>
              </w:rPr>
            </w:pPr>
            <w:r w:rsidRPr="00471CBA">
              <w:rPr>
                <w:b/>
                <w:bCs/>
                <w:sz w:val="16"/>
                <w:szCs w:val="16"/>
              </w:rPr>
              <w:t>252.622</w:t>
            </w:r>
          </w:p>
        </w:tc>
      </w:tr>
      <w:tr w:rsidR="00A74C68" w:rsidRPr="00471CBA" w14:paraId="4A03E59E" w14:textId="77777777" w:rsidTr="00A74C68">
        <w:trPr>
          <w:divId w:val="485443198"/>
          <w:trHeight w:val="113"/>
        </w:trPr>
        <w:tc>
          <w:tcPr>
            <w:tcW w:w="1344" w:type="pct"/>
            <w:tcBorders>
              <w:top w:val="nil"/>
              <w:left w:val="nil"/>
              <w:bottom w:val="nil"/>
              <w:right w:val="nil"/>
            </w:tcBorders>
            <w:vAlign w:val="bottom"/>
            <w:hideMark/>
          </w:tcPr>
          <w:p w14:paraId="5B53A2E9" w14:textId="77777777" w:rsidR="00A74C68" w:rsidRPr="00471CBA" w:rsidRDefault="00A74C68" w:rsidP="00A74C68">
            <w:pPr>
              <w:rPr>
                <w:b/>
                <w:bCs/>
                <w:sz w:val="16"/>
                <w:szCs w:val="16"/>
              </w:rPr>
            </w:pPr>
            <w:r w:rsidRPr="00471CBA">
              <w:rPr>
                <w:b/>
                <w:bCs/>
                <w:sz w:val="16"/>
                <w:szCs w:val="16"/>
              </w:rPr>
              <w:t>VII. Özel Cari Hesaplar Diğer-YP</w:t>
            </w:r>
          </w:p>
        </w:tc>
        <w:tc>
          <w:tcPr>
            <w:tcW w:w="373" w:type="pct"/>
            <w:tcBorders>
              <w:top w:val="nil"/>
              <w:left w:val="nil"/>
              <w:bottom w:val="nil"/>
              <w:right w:val="nil"/>
            </w:tcBorders>
            <w:vAlign w:val="bottom"/>
            <w:hideMark/>
          </w:tcPr>
          <w:p w14:paraId="329DB8B6" w14:textId="77777777" w:rsidR="00A74C68" w:rsidRPr="00471CBA" w:rsidRDefault="00A74C68" w:rsidP="00F36B82">
            <w:pPr>
              <w:ind w:right="-16"/>
              <w:jc w:val="right"/>
              <w:rPr>
                <w:b/>
                <w:bCs/>
                <w:sz w:val="16"/>
                <w:szCs w:val="16"/>
              </w:rPr>
            </w:pPr>
            <w:r w:rsidRPr="00471CBA">
              <w:rPr>
                <w:b/>
                <w:bCs/>
                <w:sz w:val="16"/>
                <w:szCs w:val="16"/>
              </w:rPr>
              <w:t>1.097.986</w:t>
            </w:r>
          </w:p>
        </w:tc>
        <w:tc>
          <w:tcPr>
            <w:tcW w:w="374" w:type="pct"/>
            <w:tcBorders>
              <w:top w:val="nil"/>
              <w:left w:val="nil"/>
              <w:bottom w:val="nil"/>
              <w:right w:val="nil"/>
            </w:tcBorders>
            <w:vAlign w:val="bottom"/>
            <w:hideMark/>
          </w:tcPr>
          <w:p w14:paraId="67C3DF74" w14:textId="77777777" w:rsidR="00A74C68" w:rsidRPr="00471CBA" w:rsidRDefault="00A74C68" w:rsidP="00F36B82">
            <w:pPr>
              <w:ind w:right="-16"/>
              <w:jc w:val="right"/>
              <w:rPr>
                <w:b/>
                <w:bCs/>
                <w:sz w:val="16"/>
                <w:szCs w:val="16"/>
              </w:rPr>
            </w:pPr>
            <w:r w:rsidRPr="00471CBA">
              <w:rPr>
                <w:b/>
                <w:bCs/>
                <w:sz w:val="16"/>
                <w:szCs w:val="16"/>
              </w:rPr>
              <w:t>-</w:t>
            </w:r>
          </w:p>
        </w:tc>
        <w:tc>
          <w:tcPr>
            <w:tcW w:w="374" w:type="pct"/>
            <w:tcBorders>
              <w:top w:val="nil"/>
              <w:left w:val="nil"/>
              <w:bottom w:val="nil"/>
              <w:right w:val="nil"/>
            </w:tcBorders>
            <w:vAlign w:val="bottom"/>
            <w:hideMark/>
          </w:tcPr>
          <w:p w14:paraId="60604DF7" w14:textId="77777777" w:rsidR="00A74C68" w:rsidRPr="00471CBA" w:rsidRDefault="00A74C68" w:rsidP="00F36B82">
            <w:pPr>
              <w:ind w:right="-16"/>
              <w:jc w:val="right"/>
              <w:rPr>
                <w:b/>
                <w:bCs/>
                <w:sz w:val="16"/>
                <w:szCs w:val="16"/>
              </w:rPr>
            </w:pPr>
            <w:r w:rsidRPr="00471CBA">
              <w:rPr>
                <w:b/>
                <w:bCs/>
                <w:sz w:val="16"/>
                <w:szCs w:val="16"/>
              </w:rPr>
              <w:t>-</w:t>
            </w:r>
          </w:p>
        </w:tc>
        <w:tc>
          <w:tcPr>
            <w:tcW w:w="374" w:type="pct"/>
            <w:tcBorders>
              <w:top w:val="nil"/>
              <w:left w:val="nil"/>
              <w:bottom w:val="nil"/>
              <w:right w:val="nil"/>
            </w:tcBorders>
            <w:vAlign w:val="bottom"/>
            <w:hideMark/>
          </w:tcPr>
          <w:p w14:paraId="699BDAFD" w14:textId="77777777" w:rsidR="00A74C68" w:rsidRPr="00471CBA" w:rsidRDefault="00A74C68" w:rsidP="00F36B82">
            <w:pPr>
              <w:ind w:right="-16"/>
              <w:jc w:val="right"/>
              <w:rPr>
                <w:b/>
                <w:bCs/>
                <w:sz w:val="16"/>
                <w:szCs w:val="16"/>
              </w:rPr>
            </w:pPr>
            <w:r w:rsidRPr="00471CBA">
              <w:rPr>
                <w:b/>
                <w:bCs/>
                <w:sz w:val="16"/>
                <w:szCs w:val="16"/>
              </w:rPr>
              <w:t>-</w:t>
            </w:r>
          </w:p>
        </w:tc>
        <w:tc>
          <w:tcPr>
            <w:tcW w:w="373" w:type="pct"/>
            <w:tcBorders>
              <w:top w:val="nil"/>
              <w:left w:val="nil"/>
              <w:bottom w:val="nil"/>
              <w:right w:val="nil"/>
            </w:tcBorders>
            <w:vAlign w:val="bottom"/>
            <w:hideMark/>
          </w:tcPr>
          <w:p w14:paraId="1B2D0915" w14:textId="77777777" w:rsidR="00A74C68" w:rsidRPr="00471CBA" w:rsidRDefault="00A74C68" w:rsidP="00F36B82">
            <w:pPr>
              <w:ind w:right="-16"/>
              <w:jc w:val="right"/>
              <w:rPr>
                <w:b/>
                <w:bCs/>
                <w:sz w:val="16"/>
                <w:szCs w:val="16"/>
              </w:rPr>
            </w:pPr>
            <w:r w:rsidRPr="00471CBA">
              <w:rPr>
                <w:b/>
                <w:bCs/>
                <w:sz w:val="16"/>
                <w:szCs w:val="16"/>
              </w:rPr>
              <w:t>-</w:t>
            </w:r>
          </w:p>
        </w:tc>
        <w:tc>
          <w:tcPr>
            <w:tcW w:w="374" w:type="pct"/>
            <w:tcBorders>
              <w:top w:val="nil"/>
              <w:left w:val="nil"/>
              <w:bottom w:val="nil"/>
              <w:right w:val="nil"/>
            </w:tcBorders>
            <w:vAlign w:val="bottom"/>
            <w:hideMark/>
          </w:tcPr>
          <w:p w14:paraId="29C2370F" w14:textId="77777777" w:rsidR="00A74C68" w:rsidRPr="00471CBA" w:rsidRDefault="00A74C68" w:rsidP="00F36B82">
            <w:pPr>
              <w:ind w:right="-16"/>
              <w:jc w:val="right"/>
              <w:rPr>
                <w:b/>
                <w:bCs/>
                <w:sz w:val="16"/>
                <w:szCs w:val="16"/>
              </w:rPr>
            </w:pPr>
            <w:r w:rsidRPr="00471CBA">
              <w:rPr>
                <w:b/>
                <w:bCs/>
                <w:sz w:val="16"/>
                <w:szCs w:val="16"/>
              </w:rPr>
              <w:t>-</w:t>
            </w:r>
          </w:p>
        </w:tc>
        <w:tc>
          <w:tcPr>
            <w:tcW w:w="527" w:type="pct"/>
            <w:tcBorders>
              <w:top w:val="nil"/>
              <w:left w:val="nil"/>
              <w:bottom w:val="nil"/>
              <w:right w:val="nil"/>
            </w:tcBorders>
            <w:vAlign w:val="bottom"/>
            <w:hideMark/>
          </w:tcPr>
          <w:p w14:paraId="1AC6F86B" w14:textId="77777777" w:rsidR="00A74C68" w:rsidRPr="00471CBA" w:rsidRDefault="00A74C68" w:rsidP="00F36B82">
            <w:pPr>
              <w:ind w:right="-16"/>
              <w:jc w:val="right"/>
              <w:rPr>
                <w:b/>
                <w:bCs/>
                <w:sz w:val="16"/>
                <w:szCs w:val="16"/>
              </w:rPr>
            </w:pPr>
            <w:r w:rsidRPr="00471CBA">
              <w:rPr>
                <w:b/>
                <w:bCs/>
                <w:sz w:val="16"/>
                <w:szCs w:val="16"/>
              </w:rPr>
              <w:t>-</w:t>
            </w:r>
          </w:p>
        </w:tc>
        <w:tc>
          <w:tcPr>
            <w:tcW w:w="532" w:type="pct"/>
            <w:tcBorders>
              <w:top w:val="nil"/>
              <w:left w:val="nil"/>
              <w:bottom w:val="nil"/>
              <w:right w:val="nil"/>
            </w:tcBorders>
            <w:vAlign w:val="bottom"/>
            <w:hideMark/>
          </w:tcPr>
          <w:p w14:paraId="5E34DCAA" w14:textId="77777777" w:rsidR="00A74C68" w:rsidRPr="00471CBA" w:rsidRDefault="00A74C68" w:rsidP="00F36B82">
            <w:pPr>
              <w:ind w:right="-16"/>
              <w:jc w:val="right"/>
              <w:rPr>
                <w:b/>
                <w:bCs/>
                <w:sz w:val="16"/>
                <w:szCs w:val="16"/>
              </w:rPr>
            </w:pPr>
            <w:r w:rsidRPr="00471CBA">
              <w:rPr>
                <w:b/>
                <w:bCs/>
                <w:sz w:val="16"/>
                <w:szCs w:val="16"/>
              </w:rPr>
              <w:t>-</w:t>
            </w:r>
          </w:p>
        </w:tc>
        <w:tc>
          <w:tcPr>
            <w:tcW w:w="356" w:type="pct"/>
            <w:tcBorders>
              <w:top w:val="nil"/>
              <w:left w:val="nil"/>
              <w:bottom w:val="nil"/>
              <w:right w:val="nil"/>
            </w:tcBorders>
            <w:vAlign w:val="bottom"/>
            <w:hideMark/>
          </w:tcPr>
          <w:p w14:paraId="2D023DA6" w14:textId="77777777" w:rsidR="00A74C68" w:rsidRPr="00471CBA" w:rsidRDefault="00A74C68" w:rsidP="00F36B82">
            <w:pPr>
              <w:ind w:right="-16"/>
              <w:jc w:val="right"/>
              <w:rPr>
                <w:b/>
                <w:bCs/>
                <w:sz w:val="16"/>
                <w:szCs w:val="16"/>
              </w:rPr>
            </w:pPr>
            <w:r w:rsidRPr="00471CBA">
              <w:rPr>
                <w:b/>
                <w:bCs/>
                <w:sz w:val="16"/>
                <w:szCs w:val="16"/>
              </w:rPr>
              <w:t>1.097.986</w:t>
            </w:r>
          </w:p>
        </w:tc>
      </w:tr>
      <w:tr w:rsidR="00A74C68" w:rsidRPr="00471CBA" w14:paraId="63FDD22B" w14:textId="77777777" w:rsidTr="00A74C68">
        <w:trPr>
          <w:divId w:val="485443198"/>
          <w:trHeight w:val="113"/>
        </w:trPr>
        <w:tc>
          <w:tcPr>
            <w:tcW w:w="1344" w:type="pct"/>
            <w:tcBorders>
              <w:top w:val="nil"/>
              <w:left w:val="nil"/>
              <w:bottom w:val="nil"/>
              <w:right w:val="nil"/>
            </w:tcBorders>
            <w:vAlign w:val="bottom"/>
            <w:hideMark/>
          </w:tcPr>
          <w:p w14:paraId="128CAFD9" w14:textId="77777777" w:rsidR="00A74C68" w:rsidRPr="00471CBA" w:rsidRDefault="00A74C68" w:rsidP="00A74C68">
            <w:pPr>
              <w:rPr>
                <w:sz w:val="16"/>
                <w:szCs w:val="16"/>
              </w:rPr>
            </w:pPr>
            <w:r w:rsidRPr="00471CBA">
              <w:rPr>
                <w:sz w:val="16"/>
                <w:szCs w:val="16"/>
              </w:rPr>
              <w:t xml:space="preserve">Yurtiçinde Yer. </w:t>
            </w:r>
            <w:proofErr w:type="spellStart"/>
            <w:r w:rsidRPr="00471CBA">
              <w:rPr>
                <w:sz w:val="16"/>
                <w:szCs w:val="16"/>
              </w:rPr>
              <w:t>Tüz</w:t>
            </w:r>
            <w:proofErr w:type="spellEnd"/>
            <w:r w:rsidRPr="00471CBA">
              <w:rPr>
                <w:sz w:val="16"/>
                <w:szCs w:val="16"/>
              </w:rPr>
              <w:t>. K</w:t>
            </w:r>
          </w:p>
        </w:tc>
        <w:tc>
          <w:tcPr>
            <w:tcW w:w="373" w:type="pct"/>
            <w:tcBorders>
              <w:top w:val="nil"/>
              <w:left w:val="nil"/>
              <w:bottom w:val="nil"/>
              <w:right w:val="nil"/>
            </w:tcBorders>
            <w:vAlign w:val="bottom"/>
            <w:hideMark/>
          </w:tcPr>
          <w:p w14:paraId="3A42DC51" w14:textId="77777777" w:rsidR="00A74C68" w:rsidRPr="00471CBA" w:rsidRDefault="00A74C68" w:rsidP="00F36B82">
            <w:pPr>
              <w:ind w:right="-16"/>
              <w:jc w:val="right"/>
              <w:rPr>
                <w:sz w:val="16"/>
                <w:szCs w:val="16"/>
              </w:rPr>
            </w:pPr>
            <w:r w:rsidRPr="00471CBA">
              <w:rPr>
                <w:sz w:val="16"/>
                <w:szCs w:val="16"/>
              </w:rPr>
              <w:t>1.097.192</w:t>
            </w:r>
          </w:p>
        </w:tc>
        <w:tc>
          <w:tcPr>
            <w:tcW w:w="374" w:type="pct"/>
            <w:tcBorders>
              <w:top w:val="nil"/>
              <w:left w:val="nil"/>
              <w:bottom w:val="nil"/>
              <w:right w:val="nil"/>
            </w:tcBorders>
            <w:vAlign w:val="bottom"/>
            <w:hideMark/>
          </w:tcPr>
          <w:p w14:paraId="320AEA04"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67C06614"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5B190A2B" w14:textId="77777777" w:rsidR="00A74C68" w:rsidRPr="00471CBA" w:rsidRDefault="00A74C68" w:rsidP="00F36B82">
            <w:pPr>
              <w:ind w:right="-16"/>
              <w:jc w:val="right"/>
              <w:rPr>
                <w:sz w:val="16"/>
                <w:szCs w:val="16"/>
              </w:rPr>
            </w:pPr>
            <w:r w:rsidRPr="00471CBA">
              <w:rPr>
                <w:sz w:val="16"/>
                <w:szCs w:val="16"/>
              </w:rPr>
              <w:t>-</w:t>
            </w:r>
          </w:p>
        </w:tc>
        <w:tc>
          <w:tcPr>
            <w:tcW w:w="373" w:type="pct"/>
            <w:tcBorders>
              <w:top w:val="nil"/>
              <w:left w:val="nil"/>
              <w:bottom w:val="nil"/>
              <w:right w:val="nil"/>
            </w:tcBorders>
            <w:vAlign w:val="bottom"/>
            <w:hideMark/>
          </w:tcPr>
          <w:p w14:paraId="6AA80BF4"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4BDF84E7" w14:textId="77777777" w:rsidR="00A74C68" w:rsidRPr="00471CBA" w:rsidRDefault="00A74C68" w:rsidP="00F36B82">
            <w:pPr>
              <w:ind w:right="-16"/>
              <w:jc w:val="right"/>
              <w:rPr>
                <w:sz w:val="16"/>
                <w:szCs w:val="16"/>
              </w:rPr>
            </w:pPr>
            <w:r w:rsidRPr="00471CBA">
              <w:rPr>
                <w:sz w:val="16"/>
                <w:szCs w:val="16"/>
              </w:rPr>
              <w:t>-</w:t>
            </w:r>
          </w:p>
        </w:tc>
        <w:tc>
          <w:tcPr>
            <w:tcW w:w="527" w:type="pct"/>
            <w:tcBorders>
              <w:top w:val="nil"/>
              <w:left w:val="nil"/>
              <w:bottom w:val="nil"/>
              <w:right w:val="nil"/>
            </w:tcBorders>
            <w:vAlign w:val="bottom"/>
            <w:hideMark/>
          </w:tcPr>
          <w:p w14:paraId="58FA7605" w14:textId="77777777" w:rsidR="00A74C68" w:rsidRPr="00471CBA" w:rsidRDefault="00A74C68" w:rsidP="00F36B82">
            <w:pPr>
              <w:ind w:right="-16"/>
              <w:jc w:val="right"/>
              <w:rPr>
                <w:sz w:val="16"/>
                <w:szCs w:val="16"/>
              </w:rPr>
            </w:pPr>
            <w:r w:rsidRPr="00471CBA">
              <w:rPr>
                <w:sz w:val="16"/>
                <w:szCs w:val="16"/>
              </w:rPr>
              <w:t>-</w:t>
            </w:r>
          </w:p>
        </w:tc>
        <w:tc>
          <w:tcPr>
            <w:tcW w:w="532" w:type="pct"/>
            <w:tcBorders>
              <w:top w:val="nil"/>
              <w:left w:val="nil"/>
              <w:bottom w:val="nil"/>
              <w:right w:val="nil"/>
            </w:tcBorders>
            <w:vAlign w:val="bottom"/>
            <w:hideMark/>
          </w:tcPr>
          <w:p w14:paraId="1B8E916F" w14:textId="77777777" w:rsidR="00A74C68" w:rsidRPr="00471CBA" w:rsidRDefault="00A74C68" w:rsidP="00F36B82">
            <w:pPr>
              <w:ind w:right="-16"/>
              <w:jc w:val="right"/>
              <w:rPr>
                <w:sz w:val="16"/>
                <w:szCs w:val="16"/>
              </w:rPr>
            </w:pPr>
            <w:r w:rsidRPr="00471CBA">
              <w:rPr>
                <w:sz w:val="16"/>
                <w:szCs w:val="16"/>
              </w:rPr>
              <w:t>-</w:t>
            </w:r>
          </w:p>
        </w:tc>
        <w:tc>
          <w:tcPr>
            <w:tcW w:w="356" w:type="pct"/>
            <w:tcBorders>
              <w:top w:val="nil"/>
              <w:left w:val="nil"/>
              <w:bottom w:val="nil"/>
              <w:right w:val="nil"/>
            </w:tcBorders>
            <w:vAlign w:val="bottom"/>
            <w:hideMark/>
          </w:tcPr>
          <w:p w14:paraId="476E0D37" w14:textId="77777777" w:rsidR="00A74C68" w:rsidRPr="00471CBA" w:rsidRDefault="00A74C68" w:rsidP="00F36B82">
            <w:pPr>
              <w:ind w:right="-16"/>
              <w:jc w:val="right"/>
              <w:rPr>
                <w:sz w:val="16"/>
                <w:szCs w:val="16"/>
              </w:rPr>
            </w:pPr>
            <w:r w:rsidRPr="00471CBA">
              <w:rPr>
                <w:sz w:val="16"/>
                <w:szCs w:val="16"/>
              </w:rPr>
              <w:t>1.097.192</w:t>
            </w:r>
          </w:p>
        </w:tc>
      </w:tr>
      <w:tr w:rsidR="00A74C68" w:rsidRPr="00471CBA" w14:paraId="5234AF6A" w14:textId="77777777" w:rsidTr="00A74C68">
        <w:trPr>
          <w:divId w:val="485443198"/>
          <w:trHeight w:val="113"/>
        </w:trPr>
        <w:tc>
          <w:tcPr>
            <w:tcW w:w="1344" w:type="pct"/>
            <w:tcBorders>
              <w:top w:val="nil"/>
              <w:left w:val="nil"/>
              <w:bottom w:val="nil"/>
              <w:right w:val="nil"/>
            </w:tcBorders>
            <w:vAlign w:val="bottom"/>
            <w:hideMark/>
          </w:tcPr>
          <w:p w14:paraId="1B7497A3" w14:textId="77777777" w:rsidR="00A74C68" w:rsidRPr="00471CBA" w:rsidRDefault="00A74C68" w:rsidP="00A74C68">
            <w:pPr>
              <w:rPr>
                <w:sz w:val="16"/>
                <w:szCs w:val="16"/>
              </w:rPr>
            </w:pPr>
            <w:r w:rsidRPr="00471CBA">
              <w:rPr>
                <w:sz w:val="16"/>
                <w:szCs w:val="16"/>
              </w:rPr>
              <w:t xml:space="preserve">Yurtdışında Yer. </w:t>
            </w:r>
            <w:proofErr w:type="spellStart"/>
            <w:r w:rsidRPr="00471CBA">
              <w:rPr>
                <w:sz w:val="16"/>
                <w:szCs w:val="16"/>
              </w:rPr>
              <w:t>Tüz</w:t>
            </w:r>
            <w:proofErr w:type="spellEnd"/>
            <w:r w:rsidRPr="00471CBA">
              <w:rPr>
                <w:sz w:val="16"/>
                <w:szCs w:val="16"/>
              </w:rPr>
              <w:t>. K.</w:t>
            </w:r>
          </w:p>
        </w:tc>
        <w:tc>
          <w:tcPr>
            <w:tcW w:w="373" w:type="pct"/>
            <w:tcBorders>
              <w:top w:val="nil"/>
              <w:left w:val="nil"/>
              <w:bottom w:val="nil"/>
              <w:right w:val="nil"/>
            </w:tcBorders>
            <w:vAlign w:val="bottom"/>
            <w:hideMark/>
          </w:tcPr>
          <w:p w14:paraId="62E9FDC9" w14:textId="77777777" w:rsidR="00A74C68" w:rsidRPr="00471CBA" w:rsidRDefault="00A74C68" w:rsidP="00F36B82">
            <w:pPr>
              <w:ind w:right="-16"/>
              <w:jc w:val="right"/>
              <w:rPr>
                <w:sz w:val="16"/>
                <w:szCs w:val="16"/>
              </w:rPr>
            </w:pPr>
            <w:r w:rsidRPr="00471CBA">
              <w:rPr>
                <w:sz w:val="16"/>
                <w:szCs w:val="16"/>
              </w:rPr>
              <w:t>794</w:t>
            </w:r>
          </w:p>
        </w:tc>
        <w:tc>
          <w:tcPr>
            <w:tcW w:w="374" w:type="pct"/>
            <w:tcBorders>
              <w:top w:val="nil"/>
              <w:left w:val="nil"/>
              <w:bottom w:val="nil"/>
              <w:right w:val="nil"/>
            </w:tcBorders>
            <w:vAlign w:val="bottom"/>
            <w:hideMark/>
          </w:tcPr>
          <w:p w14:paraId="45BA035A"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0C1F6CCA"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2C9D33BC" w14:textId="77777777" w:rsidR="00A74C68" w:rsidRPr="00471CBA" w:rsidRDefault="00A74C68" w:rsidP="00F36B82">
            <w:pPr>
              <w:ind w:right="-16"/>
              <w:jc w:val="right"/>
              <w:rPr>
                <w:sz w:val="16"/>
                <w:szCs w:val="16"/>
              </w:rPr>
            </w:pPr>
            <w:r w:rsidRPr="00471CBA">
              <w:rPr>
                <w:sz w:val="16"/>
                <w:szCs w:val="16"/>
              </w:rPr>
              <w:t>-</w:t>
            </w:r>
          </w:p>
        </w:tc>
        <w:tc>
          <w:tcPr>
            <w:tcW w:w="373" w:type="pct"/>
            <w:tcBorders>
              <w:top w:val="nil"/>
              <w:left w:val="nil"/>
              <w:bottom w:val="nil"/>
              <w:right w:val="nil"/>
            </w:tcBorders>
            <w:vAlign w:val="bottom"/>
            <w:hideMark/>
          </w:tcPr>
          <w:p w14:paraId="25D68F89"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334D4540" w14:textId="77777777" w:rsidR="00A74C68" w:rsidRPr="00471CBA" w:rsidRDefault="00A74C68" w:rsidP="00F36B82">
            <w:pPr>
              <w:ind w:right="-16"/>
              <w:jc w:val="right"/>
              <w:rPr>
                <w:sz w:val="16"/>
                <w:szCs w:val="16"/>
              </w:rPr>
            </w:pPr>
            <w:r w:rsidRPr="00471CBA">
              <w:rPr>
                <w:sz w:val="16"/>
                <w:szCs w:val="16"/>
              </w:rPr>
              <w:t>-</w:t>
            </w:r>
          </w:p>
        </w:tc>
        <w:tc>
          <w:tcPr>
            <w:tcW w:w="527" w:type="pct"/>
            <w:tcBorders>
              <w:top w:val="nil"/>
              <w:left w:val="nil"/>
              <w:bottom w:val="nil"/>
              <w:right w:val="nil"/>
            </w:tcBorders>
            <w:vAlign w:val="bottom"/>
            <w:hideMark/>
          </w:tcPr>
          <w:p w14:paraId="366670DB" w14:textId="77777777" w:rsidR="00A74C68" w:rsidRPr="00471CBA" w:rsidRDefault="00A74C68" w:rsidP="00F36B82">
            <w:pPr>
              <w:ind w:right="-16"/>
              <w:jc w:val="right"/>
              <w:rPr>
                <w:sz w:val="16"/>
                <w:szCs w:val="16"/>
              </w:rPr>
            </w:pPr>
            <w:r w:rsidRPr="00471CBA">
              <w:rPr>
                <w:sz w:val="16"/>
                <w:szCs w:val="16"/>
              </w:rPr>
              <w:t>-</w:t>
            </w:r>
          </w:p>
        </w:tc>
        <w:tc>
          <w:tcPr>
            <w:tcW w:w="532" w:type="pct"/>
            <w:tcBorders>
              <w:top w:val="nil"/>
              <w:left w:val="nil"/>
              <w:bottom w:val="nil"/>
              <w:right w:val="nil"/>
            </w:tcBorders>
            <w:vAlign w:val="bottom"/>
            <w:hideMark/>
          </w:tcPr>
          <w:p w14:paraId="13045BC6" w14:textId="77777777" w:rsidR="00A74C68" w:rsidRPr="00471CBA" w:rsidRDefault="00A74C68" w:rsidP="00F36B82">
            <w:pPr>
              <w:ind w:right="-16"/>
              <w:jc w:val="right"/>
              <w:rPr>
                <w:sz w:val="16"/>
                <w:szCs w:val="16"/>
              </w:rPr>
            </w:pPr>
            <w:r w:rsidRPr="00471CBA">
              <w:rPr>
                <w:sz w:val="16"/>
                <w:szCs w:val="16"/>
              </w:rPr>
              <w:t>-</w:t>
            </w:r>
          </w:p>
        </w:tc>
        <w:tc>
          <w:tcPr>
            <w:tcW w:w="356" w:type="pct"/>
            <w:tcBorders>
              <w:top w:val="nil"/>
              <w:left w:val="nil"/>
              <w:bottom w:val="nil"/>
              <w:right w:val="nil"/>
            </w:tcBorders>
            <w:vAlign w:val="bottom"/>
            <w:hideMark/>
          </w:tcPr>
          <w:p w14:paraId="29418915" w14:textId="77777777" w:rsidR="00A74C68" w:rsidRPr="00471CBA" w:rsidRDefault="00A74C68" w:rsidP="00F36B82">
            <w:pPr>
              <w:ind w:right="-16"/>
              <w:jc w:val="right"/>
              <w:rPr>
                <w:sz w:val="16"/>
                <w:szCs w:val="16"/>
              </w:rPr>
            </w:pPr>
            <w:r w:rsidRPr="00471CBA">
              <w:rPr>
                <w:sz w:val="16"/>
                <w:szCs w:val="16"/>
              </w:rPr>
              <w:t>794</w:t>
            </w:r>
          </w:p>
        </w:tc>
      </w:tr>
      <w:tr w:rsidR="00A74C68" w:rsidRPr="00471CBA" w14:paraId="5830F252" w14:textId="77777777" w:rsidTr="00A74C68">
        <w:trPr>
          <w:divId w:val="485443198"/>
          <w:trHeight w:val="113"/>
        </w:trPr>
        <w:tc>
          <w:tcPr>
            <w:tcW w:w="1344" w:type="pct"/>
            <w:tcBorders>
              <w:top w:val="nil"/>
              <w:left w:val="nil"/>
              <w:bottom w:val="nil"/>
              <w:right w:val="nil"/>
            </w:tcBorders>
            <w:vAlign w:val="bottom"/>
            <w:hideMark/>
          </w:tcPr>
          <w:p w14:paraId="4A3A459B" w14:textId="77777777" w:rsidR="00A74C68" w:rsidRPr="00471CBA" w:rsidRDefault="00A74C68" w:rsidP="00A74C68">
            <w:pPr>
              <w:rPr>
                <w:sz w:val="16"/>
                <w:szCs w:val="16"/>
              </w:rPr>
            </w:pPr>
            <w:r w:rsidRPr="00471CBA">
              <w:rPr>
                <w:sz w:val="16"/>
                <w:szCs w:val="16"/>
              </w:rPr>
              <w:t>Bankalar ve Katılım Bankaları</w:t>
            </w:r>
          </w:p>
        </w:tc>
        <w:tc>
          <w:tcPr>
            <w:tcW w:w="373" w:type="pct"/>
            <w:tcBorders>
              <w:top w:val="nil"/>
              <w:left w:val="nil"/>
              <w:bottom w:val="nil"/>
              <w:right w:val="nil"/>
            </w:tcBorders>
            <w:vAlign w:val="bottom"/>
            <w:hideMark/>
          </w:tcPr>
          <w:p w14:paraId="388D2BD1"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1AD6C8F8"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3CE895FB"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41CE8764" w14:textId="77777777" w:rsidR="00A74C68" w:rsidRPr="00471CBA" w:rsidRDefault="00A74C68" w:rsidP="00F36B82">
            <w:pPr>
              <w:ind w:right="-16"/>
              <w:jc w:val="right"/>
              <w:rPr>
                <w:sz w:val="16"/>
                <w:szCs w:val="16"/>
              </w:rPr>
            </w:pPr>
            <w:r w:rsidRPr="00471CBA">
              <w:rPr>
                <w:sz w:val="16"/>
                <w:szCs w:val="16"/>
              </w:rPr>
              <w:t>-</w:t>
            </w:r>
          </w:p>
        </w:tc>
        <w:tc>
          <w:tcPr>
            <w:tcW w:w="373" w:type="pct"/>
            <w:tcBorders>
              <w:top w:val="nil"/>
              <w:left w:val="nil"/>
              <w:bottom w:val="nil"/>
              <w:right w:val="nil"/>
            </w:tcBorders>
            <w:vAlign w:val="bottom"/>
            <w:hideMark/>
          </w:tcPr>
          <w:p w14:paraId="2B2CCC90"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70B083DB" w14:textId="77777777" w:rsidR="00A74C68" w:rsidRPr="00471CBA" w:rsidRDefault="00A74C68" w:rsidP="00F36B82">
            <w:pPr>
              <w:ind w:right="-16"/>
              <w:jc w:val="right"/>
              <w:rPr>
                <w:sz w:val="16"/>
                <w:szCs w:val="16"/>
              </w:rPr>
            </w:pPr>
            <w:r w:rsidRPr="00471CBA">
              <w:rPr>
                <w:sz w:val="16"/>
                <w:szCs w:val="16"/>
              </w:rPr>
              <w:t>-</w:t>
            </w:r>
          </w:p>
        </w:tc>
        <w:tc>
          <w:tcPr>
            <w:tcW w:w="527" w:type="pct"/>
            <w:tcBorders>
              <w:top w:val="nil"/>
              <w:left w:val="nil"/>
              <w:bottom w:val="nil"/>
              <w:right w:val="nil"/>
            </w:tcBorders>
            <w:vAlign w:val="bottom"/>
            <w:hideMark/>
          </w:tcPr>
          <w:p w14:paraId="3EBF56B4" w14:textId="77777777" w:rsidR="00A74C68" w:rsidRPr="00471CBA" w:rsidRDefault="00A74C68" w:rsidP="00F36B82">
            <w:pPr>
              <w:ind w:right="-16"/>
              <w:jc w:val="right"/>
              <w:rPr>
                <w:sz w:val="16"/>
                <w:szCs w:val="16"/>
              </w:rPr>
            </w:pPr>
            <w:r w:rsidRPr="00471CBA">
              <w:rPr>
                <w:sz w:val="16"/>
                <w:szCs w:val="16"/>
              </w:rPr>
              <w:t>-</w:t>
            </w:r>
          </w:p>
        </w:tc>
        <w:tc>
          <w:tcPr>
            <w:tcW w:w="532" w:type="pct"/>
            <w:tcBorders>
              <w:top w:val="nil"/>
              <w:left w:val="nil"/>
              <w:bottom w:val="nil"/>
              <w:right w:val="nil"/>
            </w:tcBorders>
            <w:vAlign w:val="bottom"/>
            <w:hideMark/>
          </w:tcPr>
          <w:p w14:paraId="4D6E11D4" w14:textId="77777777" w:rsidR="00A74C68" w:rsidRPr="00471CBA" w:rsidRDefault="00A74C68" w:rsidP="00F36B82">
            <w:pPr>
              <w:ind w:right="-16"/>
              <w:jc w:val="right"/>
              <w:rPr>
                <w:sz w:val="16"/>
                <w:szCs w:val="16"/>
              </w:rPr>
            </w:pPr>
            <w:r w:rsidRPr="00471CBA">
              <w:rPr>
                <w:sz w:val="16"/>
                <w:szCs w:val="16"/>
              </w:rPr>
              <w:t>-</w:t>
            </w:r>
          </w:p>
        </w:tc>
        <w:tc>
          <w:tcPr>
            <w:tcW w:w="356" w:type="pct"/>
            <w:tcBorders>
              <w:top w:val="nil"/>
              <w:left w:val="nil"/>
              <w:bottom w:val="nil"/>
              <w:right w:val="nil"/>
            </w:tcBorders>
            <w:vAlign w:val="bottom"/>
            <w:hideMark/>
          </w:tcPr>
          <w:p w14:paraId="12AED513" w14:textId="77777777" w:rsidR="00A74C68" w:rsidRPr="00471CBA" w:rsidRDefault="00A74C68" w:rsidP="00F36B82">
            <w:pPr>
              <w:ind w:right="-16"/>
              <w:jc w:val="right"/>
              <w:rPr>
                <w:sz w:val="16"/>
                <w:szCs w:val="16"/>
              </w:rPr>
            </w:pPr>
            <w:r w:rsidRPr="00471CBA">
              <w:rPr>
                <w:sz w:val="16"/>
                <w:szCs w:val="16"/>
              </w:rPr>
              <w:t>-</w:t>
            </w:r>
          </w:p>
        </w:tc>
      </w:tr>
      <w:tr w:rsidR="00A74C68" w:rsidRPr="00471CBA" w14:paraId="75E6BC4F" w14:textId="77777777" w:rsidTr="00A74C68">
        <w:trPr>
          <w:divId w:val="485443198"/>
          <w:trHeight w:val="113"/>
        </w:trPr>
        <w:tc>
          <w:tcPr>
            <w:tcW w:w="1344" w:type="pct"/>
            <w:tcBorders>
              <w:top w:val="nil"/>
              <w:left w:val="nil"/>
              <w:bottom w:val="nil"/>
              <w:right w:val="nil"/>
            </w:tcBorders>
            <w:vAlign w:val="bottom"/>
            <w:hideMark/>
          </w:tcPr>
          <w:p w14:paraId="68CD2B5F" w14:textId="77777777" w:rsidR="00A74C68" w:rsidRPr="00471CBA" w:rsidRDefault="00A74C68" w:rsidP="00A74C68">
            <w:pPr>
              <w:rPr>
                <w:sz w:val="16"/>
                <w:szCs w:val="16"/>
              </w:rPr>
            </w:pPr>
            <w:r w:rsidRPr="00471CBA">
              <w:rPr>
                <w:sz w:val="16"/>
                <w:szCs w:val="16"/>
              </w:rPr>
              <w:t>TCMB</w:t>
            </w:r>
          </w:p>
        </w:tc>
        <w:tc>
          <w:tcPr>
            <w:tcW w:w="373" w:type="pct"/>
            <w:tcBorders>
              <w:top w:val="nil"/>
              <w:left w:val="nil"/>
              <w:bottom w:val="nil"/>
              <w:right w:val="nil"/>
            </w:tcBorders>
            <w:vAlign w:val="bottom"/>
            <w:hideMark/>
          </w:tcPr>
          <w:p w14:paraId="2205D7D2"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553553E0"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79DFA83D"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144633A2" w14:textId="77777777" w:rsidR="00A74C68" w:rsidRPr="00471CBA" w:rsidRDefault="00A74C68" w:rsidP="00F36B82">
            <w:pPr>
              <w:ind w:right="-16"/>
              <w:jc w:val="right"/>
              <w:rPr>
                <w:sz w:val="16"/>
                <w:szCs w:val="16"/>
              </w:rPr>
            </w:pPr>
            <w:r w:rsidRPr="00471CBA">
              <w:rPr>
                <w:sz w:val="16"/>
                <w:szCs w:val="16"/>
              </w:rPr>
              <w:t>-</w:t>
            </w:r>
          </w:p>
        </w:tc>
        <w:tc>
          <w:tcPr>
            <w:tcW w:w="373" w:type="pct"/>
            <w:tcBorders>
              <w:top w:val="nil"/>
              <w:left w:val="nil"/>
              <w:bottom w:val="nil"/>
              <w:right w:val="nil"/>
            </w:tcBorders>
            <w:vAlign w:val="bottom"/>
            <w:hideMark/>
          </w:tcPr>
          <w:p w14:paraId="643790E9"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42BF2A4A" w14:textId="77777777" w:rsidR="00A74C68" w:rsidRPr="00471CBA" w:rsidRDefault="00A74C68" w:rsidP="00F36B82">
            <w:pPr>
              <w:ind w:right="-16"/>
              <w:jc w:val="right"/>
              <w:rPr>
                <w:sz w:val="16"/>
                <w:szCs w:val="16"/>
              </w:rPr>
            </w:pPr>
            <w:r w:rsidRPr="00471CBA">
              <w:rPr>
                <w:sz w:val="16"/>
                <w:szCs w:val="16"/>
              </w:rPr>
              <w:t>-</w:t>
            </w:r>
          </w:p>
        </w:tc>
        <w:tc>
          <w:tcPr>
            <w:tcW w:w="527" w:type="pct"/>
            <w:tcBorders>
              <w:top w:val="nil"/>
              <w:left w:val="nil"/>
              <w:bottom w:val="nil"/>
              <w:right w:val="nil"/>
            </w:tcBorders>
            <w:vAlign w:val="bottom"/>
            <w:hideMark/>
          </w:tcPr>
          <w:p w14:paraId="3AC62516" w14:textId="77777777" w:rsidR="00A74C68" w:rsidRPr="00471CBA" w:rsidRDefault="00A74C68" w:rsidP="00F36B82">
            <w:pPr>
              <w:ind w:right="-16"/>
              <w:jc w:val="right"/>
              <w:rPr>
                <w:sz w:val="16"/>
                <w:szCs w:val="16"/>
              </w:rPr>
            </w:pPr>
            <w:r w:rsidRPr="00471CBA">
              <w:rPr>
                <w:sz w:val="16"/>
                <w:szCs w:val="16"/>
              </w:rPr>
              <w:t>-</w:t>
            </w:r>
          </w:p>
        </w:tc>
        <w:tc>
          <w:tcPr>
            <w:tcW w:w="532" w:type="pct"/>
            <w:tcBorders>
              <w:top w:val="nil"/>
              <w:left w:val="nil"/>
              <w:bottom w:val="nil"/>
              <w:right w:val="nil"/>
            </w:tcBorders>
            <w:vAlign w:val="bottom"/>
            <w:hideMark/>
          </w:tcPr>
          <w:p w14:paraId="5E898C6A" w14:textId="77777777" w:rsidR="00A74C68" w:rsidRPr="00471CBA" w:rsidRDefault="00A74C68" w:rsidP="00F36B82">
            <w:pPr>
              <w:ind w:right="-16"/>
              <w:jc w:val="right"/>
              <w:rPr>
                <w:sz w:val="16"/>
                <w:szCs w:val="16"/>
              </w:rPr>
            </w:pPr>
            <w:r w:rsidRPr="00471CBA">
              <w:rPr>
                <w:sz w:val="16"/>
                <w:szCs w:val="16"/>
              </w:rPr>
              <w:t>-</w:t>
            </w:r>
          </w:p>
        </w:tc>
        <w:tc>
          <w:tcPr>
            <w:tcW w:w="356" w:type="pct"/>
            <w:tcBorders>
              <w:top w:val="nil"/>
              <w:left w:val="nil"/>
              <w:bottom w:val="nil"/>
              <w:right w:val="nil"/>
            </w:tcBorders>
            <w:vAlign w:val="bottom"/>
            <w:hideMark/>
          </w:tcPr>
          <w:p w14:paraId="5DDCAD07" w14:textId="77777777" w:rsidR="00A74C68" w:rsidRPr="00471CBA" w:rsidRDefault="00A74C68" w:rsidP="00F36B82">
            <w:pPr>
              <w:ind w:right="-16"/>
              <w:jc w:val="right"/>
              <w:rPr>
                <w:sz w:val="16"/>
                <w:szCs w:val="16"/>
              </w:rPr>
            </w:pPr>
            <w:r w:rsidRPr="00471CBA">
              <w:rPr>
                <w:sz w:val="16"/>
                <w:szCs w:val="16"/>
              </w:rPr>
              <w:t>-</w:t>
            </w:r>
          </w:p>
        </w:tc>
      </w:tr>
      <w:tr w:rsidR="00A74C68" w:rsidRPr="00471CBA" w14:paraId="08AB7242" w14:textId="77777777" w:rsidTr="00A74C68">
        <w:trPr>
          <w:divId w:val="485443198"/>
          <w:trHeight w:val="113"/>
        </w:trPr>
        <w:tc>
          <w:tcPr>
            <w:tcW w:w="1344" w:type="pct"/>
            <w:tcBorders>
              <w:top w:val="nil"/>
              <w:left w:val="nil"/>
              <w:bottom w:val="nil"/>
              <w:right w:val="nil"/>
            </w:tcBorders>
            <w:vAlign w:val="bottom"/>
            <w:hideMark/>
          </w:tcPr>
          <w:p w14:paraId="2FD30994" w14:textId="77777777" w:rsidR="00A74C68" w:rsidRPr="00471CBA" w:rsidRDefault="00A74C68" w:rsidP="00A74C68">
            <w:pPr>
              <w:rPr>
                <w:sz w:val="16"/>
                <w:szCs w:val="16"/>
              </w:rPr>
            </w:pPr>
            <w:r w:rsidRPr="00471CBA">
              <w:rPr>
                <w:sz w:val="16"/>
                <w:szCs w:val="16"/>
              </w:rPr>
              <w:t>Yurtiçi Bankalar</w:t>
            </w:r>
          </w:p>
        </w:tc>
        <w:tc>
          <w:tcPr>
            <w:tcW w:w="373" w:type="pct"/>
            <w:tcBorders>
              <w:top w:val="nil"/>
              <w:left w:val="nil"/>
              <w:bottom w:val="nil"/>
              <w:right w:val="nil"/>
            </w:tcBorders>
            <w:vAlign w:val="bottom"/>
            <w:hideMark/>
          </w:tcPr>
          <w:p w14:paraId="4E233560"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37C39013"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647AE777"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5A0EB3C5" w14:textId="77777777" w:rsidR="00A74C68" w:rsidRPr="00471CBA" w:rsidRDefault="00A74C68" w:rsidP="00F36B82">
            <w:pPr>
              <w:ind w:right="-16"/>
              <w:jc w:val="right"/>
              <w:rPr>
                <w:sz w:val="16"/>
                <w:szCs w:val="16"/>
              </w:rPr>
            </w:pPr>
            <w:r w:rsidRPr="00471CBA">
              <w:rPr>
                <w:sz w:val="16"/>
                <w:szCs w:val="16"/>
              </w:rPr>
              <w:t>-</w:t>
            </w:r>
          </w:p>
        </w:tc>
        <w:tc>
          <w:tcPr>
            <w:tcW w:w="373" w:type="pct"/>
            <w:tcBorders>
              <w:top w:val="nil"/>
              <w:left w:val="nil"/>
              <w:bottom w:val="nil"/>
              <w:right w:val="nil"/>
            </w:tcBorders>
            <w:vAlign w:val="bottom"/>
            <w:hideMark/>
          </w:tcPr>
          <w:p w14:paraId="011369DB"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60D0AF81" w14:textId="77777777" w:rsidR="00A74C68" w:rsidRPr="00471CBA" w:rsidRDefault="00A74C68" w:rsidP="00F36B82">
            <w:pPr>
              <w:ind w:right="-16"/>
              <w:jc w:val="right"/>
              <w:rPr>
                <w:sz w:val="16"/>
                <w:szCs w:val="16"/>
              </w:rPr>
            </w:pPr>
            <w:r w:rsidRPr="00471CBA">
              <w:rPr>
                <w:sz w:val="16"/>
                <w:szCs w:val="16"/>
              </w:rPr>
              <w:t>-</w:t>
            </w:r>
          </w:p>
        </w:tc>
        <w:tc>
          <w:tcPr>
            <w:tcW w:w="527" w:type="pct"/>
            <w:tcBorders>
              <w:top w:val="nil"/>
              <w:left w:val="nil"/>
              <w:bottom w:val="nil"/>
              <w:right w:val="nil"/>
            </w:tcBorders>
            <w:vAlign w:val="bottom"/>
            <w:hideMark/>
          </w:tcPr>
          <w:p w14:paraId="40E9C381" w14:textId="77777777" w:rsidR="00A74C68" w:rsidRPr="00471CBA" w:rsidRDefault="00A74C68" w:rsidP="00F36B82">
            <w:pPr>
              <w:ind w:right="-16"/>
              <w:jc w:val="right"/>
              <w:rPr>
                <w:sz w:val="16"/>
                <w:szCs w:val="16"/>
              </w:rPr>
            </w:pPr>
            <w:r w:rsidRPr="00471CBA">
              <w:rPr>
                <w:sz w:val="16"/>
                <w:szCs w:val="16"/>
              </w:rPr>
              <w:t>-</w:t>
            </w:r>
          </w:p>
        </w:tc>
        <w:tc>
          <w:tcPr>
            <w:tcW w:w="532" w:type="pct"/>
            <w:tcBorders>
              <w:top w:val="nil"/>
              <w:left w:val="nil"/>
              <w:bottom w:val="nil"/>
              <w:right w:val="nil"/>
            </w:tcBorders>
            <w:vAlign w:val="bottom"/>
            <w:hideMark/>
          </w:tcPr>
          <w:p w14:paraId="62FDF06C" w14:textId="77777777" w:rsidR="00A74C68" w:rsidRPr="00471CBA" w:rsidRDefault="00A74C68" w:rsidP="00F36B82">
            <w:pPr>
              <w:ind w:right="-16"/>
              <w:jc w:val="right"/>
              <w:rPr>
                <w:sz w:val="16"/>
                <w:szCs w:val="16"/>
              </w:rPr>
            </w:pPr>
            <w:r w:rsidRPr="00471CBA">
              <w:rPr>
                <w:sz w:val="16"/>
                <w:szCs w:val="16"/>
              </w:rPr>
              <w:t>-</w:t>
            </w:r>
          </w:p>
        </w:tc>
        <w:tc>
          <w:tcPr>
            <w:tcW w:w="356" w:type="pct"/>
            <w:tcBorders>
              <w:top w:val="nil"/>
              <w:left w:val="nil"/>
              <w:bottom w:val="nil"/>
              <w:right w:val="nil"/>
            </w:tcBorders>
            <w:vAlign w:val="bottom"/>
            <w:hideMark/>
          </w:tcPr>
          <w:p w14:paraId="42FD40CB" w14:textId="77777777" w:rsidR="00A74C68" w:rsidRPr="00471CBA" w:rsidRDefault="00A74C68" w:rsidP="00F36B82">
            <w:pPr>
              <w:ind w:right="-16"/>
              <w:jc w:val="right"/>
              <w:rPr>
                <w:sz w:val="16"/>
                <w:szCs w:val="16"/>
              </w:rPr>
            </w:pPr>
            <w:r w:rsidRPr="00471CBA">
              <w:rPr>
                <w:sz w:val="16"/>
                <w:szCs w:val="16"/>
              </w:rPr>
              <w:t>-</w:t>
            </w:r>
          </w:p>
        </w:tc>
      </w:tr>
      <w:tr w:rsidR="00A74C68" w:rsidRPr="00471CBA" w14:paraId="51D57040" w14:textId="77777777" w:rsidTr="00A74C68">
        <w:trPr>
          <w:divId w:val="485443198"/>
          <w:trHeight w:val="113"/>
        </w:trPr>
        <w:tc>
          <w:tcPr>
            <w:tcW w:w="1344" w:type="pct"/>
            <w:tcBorders>
              <w:top w:val="nil"/>
              <w:left w:val="nil"/>
              <w:bottom w:val="nil"/>
              <w:right w:val="nil"/>
            </w:tcBorders>
            <w:vAlign w:val="bottom"/>
            <w:hideMark/>
          </w:tcPr>
          <w:p w14:paraId="344AFE88" w14:textId="77777777" w:rsidR="00A74C68" w:rsidRPr="00471CBA" w:rsidRDefault="00A74C68" w:rsidP="00A74C68">
            <w:pPr>
              <w:rPr>
                <w:sz w:val="16"/>
                <w:szCs w:val="16"/>
              </w:rPr>
            </w:pPr>
            <w:r w:rsidRPr="00471CBA">
              <w:rPr>
                <w:sz w:val="16"/>
                <w:szCs w:val="16"/>
              </w:rPr>
              <w:t>Yurtdışı Bankalar</w:t>
            </w:r>
          </w:p>
        </w:tc>
        <w:tc>
          <w:tcPr>
            <w:tcW w:w="373" w:type="pct"/>
            <w:tcBorders>
              <w:top w:val="nil"/>
              <w:left w:val="nil"/>
              <w:bottom w:val="nil"/>
              <w:right w:val="nil"/>
            </w:tcBorders>
            <w:vAlign w:val="bottom"/>
            <w:hideMark/>
          </w:tcPr>
          <w:p w14:paraId="3C1375DB"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519D3337"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16C2AAF6"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45255B03" w14:textId="77777777" w:rsidR="00A74C68" w:rsidRPr="00471CBA" w:rsidRDefault="00A74C68" w:rsidP="00F36B82">
            <w:pPr>
              <w:ind w:right="-16"/>
              <w:jc w:val="right"/>
              <w:rPr>
                <w:sz w:val="16"/>
                <w:szCs w:val="16"/>
              </w:rPr>
            </w:pPr>
            <w:r w:rsidRPr="00471CBA">
              <w:rPr>
                <w:sz w:val="16"/>
                <w:szCs w:val="16"/>
              </w:rPr>
              <w:t>-</w:t>
            </w:r>
          </w:p>
        </w:tc>
        <w:tc>
          <w:tcPr>
            <w:tcW w:w="373" w:type="pct"/>
            <w:tcBorders>
              <w:top w:val="nil"/>
              <w:left w:val="nil"/>
              <w:bottom w:val="nil"/>
              <w:right w:val="nil"/>
            </w:tcBorders>
            <w:vAlign w:val="bottom"/>
            <w:hideMark/>
          </w:tcPr>
          <w:p w14:paraId="45214C0B"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296F268D" w14:textId="77777777" w:rsidR="00A74C68" w:rsidRPr="00471CBA" w:rsidRDefault="00A74C68" w:rsidP="00F36B82">
            <w:pPr>
              <w:ind w:right="-16"/>
              <w:jc w:val="right"/>
              <w:rPr>
                <w:sz w:val="16"/>
                <w:szCs w:val="16"/>
              </w:rPr>
            </w:pPr>
            <w:r w:rsidRPr="00471CBA">
              <w:rPr>
                <w:sz w:val="16"/>
                <w:szCs w:val="16"/>
              </w:rPr>
              <w:t>-</w:t>
            </w:r>
          </w:p>
        </w:tc>
        <w:tc>
          <w:tcPr>
            <w:tcW w:w="527" w:type="pct"/>
            <w:tcBorders>
              <w:top w:val="nil"/>
              <w:left w:val="nil"/>
              <w:bottom w:val="nil"/>
              <w:right w:val="nil"/>
            </w:tcBorders>
            <w:vAlign w:val="bottom"/>
            <w:hideMark/>
          </w:tcPr>
          <w:p w14:paraId="2826BFEC" w14:textId="77777777" w:rsidR="00A74C68" w:rsidRPr="00471CBA" w:rsidRDefault="00A74C68" w:rsidP="00F36B82">
            <w:pPr>
              <w:ind w:right="-16"/>
              <w:jc w:val="right"/>
              <w:rPr>
                <w:sz w:val="16"/>
                <w:szCs w:val="16"/>
              </w:rPr>
            </w:pPr>
            <w:r w:rsidRPr="00471CBA">
              <w:rPr>
                <w:sz w:val="16"/>
                <w:szCs w:val="16"/>
              </w:rPr>
              <w:t>-</w:t>
            </w:r>
          </w:p>
        </w:tc>
        <w:tc>
          <w:tcPr>
            <w:tcW w:w="532" w:type="pct"/>
            <w:tcBorders>
              <w:top w:val="nil"/>
              <w:left w:val="nil"/>
              <w:bottom w:val="nil"/>
              <w:right w:val="nil"/>
            </w:tcBorders>
            <w:vAlign w:val="bottom"/>
            <w:hideMark/>
          </w:tcPr>
          <w:p w14:paraId="719D8C42" w14:textId="77777777" w:rsidR="00A74C68" w:rsidRPr="00471CBA" w:rsidRDefault="00A74C68" w:rsidP="00F36B82">
            <w:pPr>
              <w:ind w:right="-16"/>
              <w:jc w:val="right"/>
              <w:rPr>
                <w:sz w:val="16"/>
                <w:szCs w:val="16"/>
              </w:rPr>
            </w:pPr>
            <w:r w:rsidRPr="00471CBA">
              <w:rPr>
                <w:sz w:val="16"/>
                <w:szCs w:val="16"/>
              </w:rPr>
              <w:t>-</w:t>
            </w:r>
          </w:p>
        </w:tc>
        <w:tc>
          <w:tcPr>
            <w:tcW w:w="356" w:type="pct"/>
            <w:tcBorders>
              <w:top w:val="nil"/>
              <w:left w:val="nil"/>
              <w:bottom w:val="nil"/>
              <w:right w:val="nil"/>
            </w:tcBorders>
            <w:vAlign w:val="bottom"/>
            <w:hideMark/>
          </w:tcPr>
          <w:p w14:paraId="441AC3C7" w14:textId="77777777" w:rsidR="00A74C68" w:rsidRPr="00471CBA" w:rsidRDefault="00A74C68" w:rsidP="00F36B82">
            <w:pPr>
              <w:ind w:right="-16"/>
              <w:jc w:val="right"/>
              <w:rPr>
                <w:sz w:val="16"/>
                <w:szCs w:val="16"/>
              </w:rPr>
            </w:pPr>
            <w:r w:rsidRPr="00471CBA">
              <w:rPr>
                <w:sz w:val="16"/>
                <w:szCs w:val="16"/>
              </w:rPr>
              <w:t>-</w:t>
            </w:r>
          </w:p>
        </w:tc>
      </w:tr>
      <w:tr w:rsidR="00A74C68" w:rsidRPr="00471CBA" w14:paraId="3AD67E7F" w14:textId="77777777" w:rsidTr="00A74C68">
        <w:trPr>
          <w:divId w:val="485443198"/>
          <w:trHeight w:val="113"/>
        </w:trPr>
        <w:tc>
          <w:tcPr>
            <w:tcW w:w="1344" w:type="pct"/>
            <w:tcBorders>
              <w:top w:val="nil"/>
              <w:left w:val="nil"/>
              <w:bottom w:val="nil"/>
              <w:right w:val="nil"/>
            </w:tcBorders>
            <w:vAlign w:val="bottom"/>
            <w:hideMark/>
          </w:tcPr>
          <w:p w14:paraId="0440219E" w14:textId="77777777" w:rsidR="00A74C68" w:rsidRPr="00471CBA" w:rsidRDefault="00A74C68" w:rsidP="00A74C68">
            <w:pPr>
              <w:rPr>
                <w:sz w:val="16"/>
                <w:szCs w:val="16"/>
              </w:rPr>
            </w:pPr>
            <w:r w:rsidRPr="00471CBA">
              <w:rPr>
                <w:sz w:val="16"/>
                <w:szCs w:val="16"/>
              </w:rPr>
              <w:t>Katılım Bankası</w:t>
            </w:r>
          </w:p>
        </w:tc>
        <w:tc>
          <w:tcPr>
            <w:tcW w:w="373" w:type="pct"/>
            <w:tcBorders>
              <w:top w:val="nil"/>
              <w:left w:val="nil"/>
              <w:bottom w:val="nil"/>
              <w:right w:val="nil"/>
            </w:tcBorders>
            <w:vAlign w:val="bottom"/>
            <w:hideMark/>
          </w:tcPr>
          <w:p w14:paraId="2B566020"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2BB2682B"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76530A77"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6AC5770E" w14:textId="77777777" w:rsidR="00A74C68" w:rsidRPr="00471CBA" w:rsidRDefault="00A74C68" w:rsidP="00F36B82">
            <w:pPr>
              <w:ind w:right="-16"/>
              <w:jc w:val="right"/>
              <w:rPr>
                <w:sz w:val="16"/>
                <w:szCs w:val="16"/>
              </w:rPr>
            </w:pPr>
            <w:r w:rsidRPr="00471CBA">
              <w:rPr>
                <w:sz w:val="16"/>
                <w:szCs w:val="16"/>
              </w:rPr>
              <w:t>-</w:t>
            </w:r>
          </w:p>
        </w:tc>
        <w:tc>
          <w:tcPr>
            <w:tcW w:w="373" w:type="pct"/>
            <w:tcBorders>
              <w:top w:val="nil"/>
              <w:left w:val="nil"/>
              <w:bottom w:val="nil"/>
              <w:right w:val="nil"/>
            </w:tcBorders>
            <w:vAlign w:val="bottom"/>
            <w:hideMark/>
          </w:tcPr>
          <w:p w14:paraId="34754FCB"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1382F464" w14:textId="77777777" w:rsidR="00A74C68" w:rsidRPr="00471CBA" w:rsidRDefault="00A74C68" w:rsidP="00F36B82">
            <w:pPr>
              <w:ind w:right="-16"/>
              <w:jc w:val="right"/>
              <w:rPr>
                <w:sz w:val="16"/>
                <w:szCs w:val="16"/>
              </w:rPr>
            </w:pPr>
            <w:r w:rsidRPr="00471CBA">
              <w:rPr>
                <w:sz w:val="16"/>
                <w:szCs w:val="16"/>
              </w:rPr>
              <w:t>-</w:t>
            </w:r>
          </w:p>
        </w:tc>
        <w:tc>
          <w:tcPr>
            <w:tcW w:w="527" w:type="pct"/>
            <w:tcBorders>
              <w:top w:val="nil"/>
              <w:left w:val="nil"/>
              <w:bottom w:val="nil"/>
              <w:right w:val="nil"/>
            </w:tcBorders>
            <w:vAlign w:val="bottom"/>
            <w:hideMark/>
          </w:tcPr>
          <w:p w14:paraId="21E66B69" w14:textId="77777777" w:rsidR="00A74C68" w:rsidRPr="00471CBA" w:rsidRDefault="00A74C68" w:rsidP="00F36B82">
            <w:pPr>
              <w:ind w:right="-16"/>
              <w:jc w:val="right"/>
              <w:rPr>
                <w:sz w:val="16"/>
                <w:szCs w:val="16"/>
              </w:rPr>
            </w:pPr>
            <w:r w:rsidRPr="00471CBA">
              <w:rPr>
                <w:sz w:val="16"/>
                <w:szCs w:val="16"/>
              </w:rPr>
              <w:t>-</w:t>
            </w:r>
          </w:p>
        </w:tc>
        <w:tc>
          <w:tcPr>
            <w:tcW w:w="532" w:type="pct"/>
            <w:tcBorders>
              <w:top w:val="nil"/>
              <w:left w:val="nil"/>
              <w:bottom w:val="nil"/>
              <w:right w:val="nil"/>
            </w:tcBorders>
            <w:vAlign w:val="bottom"/>
            <w:hideMark/>
          </w:tcPr>
          <w:p w14:paraId="1FB34EC6" w14:textId="77777777" w:rsidR="00A74C68" w:rsidRPr="00471CBA" w:rsidRDefault="00A74C68" w:rsidP="00F36B82">
            <w:pPr>
              <w:ind w:right="-16"/>
              <w:jc w:val="right"/>
              <w:rPr>
                <w:sz w:val="16"/>
                <w:szCs w:val="16"/>
              </w:rPr>
            </w:pPr>
            <w:r w:rsidRPr="00471CBA">
              <w:rPr>
                <w:sz w:val="16"/>
                <w:szCs w:val="16"/>
              </w:rPr>
              <w:t>-</w:t>
            </w:r>
          </w:p>
        </w:tc>
        <w:tc>
          <w:tcPr>
            <w:tcW w:w="356" w:type="pct"/>
            <w:tcBorders>
              <w:top w:val="nil"/>
              <w:left w:val="nil"/>
              <w:bottom w:val="nil"/>
              <w:right w:val="nil"/>
            </w:tcBorders>
            <w:vAlign w:val="bottom"/>
            <w:hideMark/>
          </w:tcPr>
          <w:p w14:paraId="3CE1BB2D" w14:textId="77777777" w:rsidR="00A74C68" w:rsidRPr="00471CBA" w:rsidRDefault="00A74C68" w:rsidP="00F36B82">
            <w:pPr>
              <w:ind w:right="-16"/>
              <w:jc w:val="right"/>
              <w:rPr>
                <w:sz w:val="16"/>
                <w:szCs w:val="16"/>
              </w:rPr>
            </w:pPr>
            <w:r w:rsidRPr="00471CBA">
              <w:rPr>
                <w:sz w:val="16"/>
                <w:szCs w:val="16"/>
              </w:rPr>
              <w:t>-</w:t>
            </w:r>
          </w:p>
        </w:tc>
      </w:tr>
      <w:tr w:rsidR="00A74C68" w:rsidRPr="00471CBA" w14:paraId="26713AC8" w14:textId="77777777" w:rsidTr="00A74C68">
        <w:trPr>
          <w:divId w:val="485443198"/>
          <w:trHeight w:val="113"/>
        </w:trPr>
        <w:tc>
          <w:tcPr>
            <w:tcW w:w="1344" w:type="pct"/>
            <w:tcBorders>
              <w:top w:val="nil"/>
              <w:left w:val="nil"/>
              <w:bottom w:val="nil"/>
              <w:right w:val="nil"/>
            </w:tcBorders>
            <w:vAlign w:val="bottom"/>
            <w:hideMark/>
          </w:tcPr>
          <w:p w14:paraId="51BF9D1C" w14:textId="77777777" w:rsidR="00A74C68" w:rsidRPr="00471CBA" w:rsidRDefault="00A74C68" w:rsidP="00A74C68">
            <w:pPr>
              <w:rPr>
                <w:sz w:val="16"/>
                <w:szCs w:val="16"/>
              </w:rPr>
            </w:pPr>
            <w:r w:rsidRPr="00471CBA">
              <w:rPr>
                <w:sz w:val="16"/>
                <w:szCs w:val="16"/>
              </w:rPr>
              <w:t>Diğer</w:t>
            </w:r>
          </w:p>
        </w:tc>
        <w:tc>
          <w:tcPr>
            <w:tcW w:w="373" w:type="pct"/>
            <w:tcBorders>
              <w:top w:val="nil"/>
              <w:left w:val="nil"/>
              <w:bottom w:val="nil"/>
              <w:right w:val="nil"/>
            </w:tcBorders>
            <w:vAlign w:val="bottom"/>
            <w:hideMark/>
          </w:tcPr>
          <w:p w14:paraId="3EFB263F"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43F70804"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76FB6614"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25880B4C" w14:textId="77777777" w:rsidR="00A74C68" w:rsidRPr="00471CBA" w:rsidRDefault="00A74C68" w:rsidP="00F36B82">
            <w:pPr>
              <w:ind w:right="-16"/>
              <w:jc w:val="right"/>
              <w:rPr>
                <w:sz w:val="16"/>
                <w:szCs w:val="16"/>
              </w:rPr>
            </w:pPr>
            <w:r w:rsidRPr="00471CBA">
              <w:rPr>
                <w:sz w:val="16"/>
                <w:szCs w:val="16"/>
              </w:rPr>
              <w:t>-</w:t>
            </w:r>
          </w:p>
        </w:tc>
        <w:tc>
          <w:tcPr>
            <w:tcW w:w="373" w:type="pct"/>
            <w:tcBorders>
              <w:top w:val="nil"/>
              <w:left w:val="nil"/>
              <w:bottom w:val="nil"/>
              <w:right w:val="nil"/>
            </w:tcBorders>
            <w:vAlign w:val="bottom"/>
            <w:hideMark/>
          </w:tcPr>
          <w:p w14:paraId="6F262A2A"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262C7902" w14:textId="77777777" w:rsidR="00A74C68" w:rsidRPr="00471CBA" w:rsidRDefault="00A74C68" w:rsidP="00F36B82">
            <w:pPr>
              <w:ind w:right="-16"/>
              <w:jc w:val="right"/>
              <w:rPr>
                <w:sz w:val="16"/>
                <w:szCs w:val="16"/>
              </w:rPr>
            </w:pPr>
            <w:r w:rsidRPr="00471CBA">
              <w:rPr>
                <w:sz w:val="16"/>
                <w:szCs w:val="16"/>
              </w:rPr>
              <w:t>-</w:t>
            </w:r>
          </w:p>
        </w:tc>
        <w:tc>
          <w:tcPr>
            <w:tcW w:w="527" w:type="pct"/>
            <w:tcBorders>
              <w:top w:val="nil"/>
              <w:left w:val="nil"/>
              <w:bottom w:val="nil"/>
              <w:right w:val="nil"/>
            </w:tcBorders>
            <w:vAlign w:val="bottom"/>
            <w:hideMark/>
          </w:tcPr>
          <w:p w14:paraId="132AFCFF" w14:textId="77777777" w:rsidR="00A74C68" w:rsidRPr="00471CBA" w:rsidRDefault="00A74C68" w:rsidP="00F36B82">
            <w:pPr>
              <w:ind w:right="-16"/>
              <w:jc w:val="right"/>
              <w:rPr>
                <w:sz w:val="16"/>
                <w:szCs w:val="16"/>
              </w:rPr>
            </w:pPr>
            <w:r w:rsidRPr="00471CBA">
              <w:rPr>
                <w:sz w:val="16"/>
                <w:szCs w:val="16"/>
              </w:rPr>
              <w:t>-</w:t>
            </w:r>
          </w:p>
        </w:tc>
        <w:tc>
          <w:tcPr>
            <w:tcW w:w="532" w:type="pct"/>
            <w:tcBorders>
              <w:top w:val="nil"/>
              <w:left w:val="nil"/>
              <w:bottom w:val="nil"/>
              <w:right w:val="nil"/>
            </w:tcBorders>
            <w:vAlign w:val="bottom"/>
            <w:hideMark/>
          </w:tcPr>
          <w:p w14:paraId="7338901C" w14:textId="77777777" w:rsidR="00A74C68" w:rsidRPr="00471CBA" w:rsidRDefault="00A74C68" w:rsidP="00F36B82">
            <w:pPr>
              <w:ind w:right="-16"/>
              <w:jc w:val="right"/>
              <w:rPr>
                <w:sz w:val="16"/>
                <w:szCs w:val="16"/>
              </w:rPr>
            </w:pPr>
            <w:r w:rsidRPr="00471CBA">
              <w:rPr>
                <w:sz w:val="16"/>
                <w:szCs w:val="16"/>
              </w:rPr>
              <w:t>-</w:t>
            </w:r>
          </w:p>
        </w:tc>
        <w:tc>
          <w:tcPr>
            <w:tcW w:w="356" w:type="pct"/>
            <w:tcBorders>
              <w:top w:val="nil"/>
              <w:left w:val="nil"/>
              <w:bottom w:val="nil"/>
              <w:right w:val="nil"/>
            </w:tcBorders>
            <w:vAlign w:val="bottom"/>
            <w:hideMark/>
          </w:tcPr>
          <w:p w14:paraId="5BFD7B54" w14:textId="77777777" w:rsidR="00A74C68" w:rsidRPr="00471CBA" w:rsidRDefault="00A74C68" w:rsidP="00F36B82">
            <w:pPr>
              <w:ind w:right="-16"/>
              <w:jc w:val="right"/>
              <w:rPr>
                <w:sz w:val="16"/>
                <w:szCs w:val="16"/>
              </w:rPr>
            </w:pPr>
            <w:r w:rsidRPr="00471CBA">
              <w:rPr>
                <w:sz w:val="16"/>
                <w:szCs w:val="16"/>
              </w:rPr>
              <w:t>-</w:t>
            </w:r>
          </w:p>
        </w:tc>
      </w:tr>
      <w:tr w:rsidR="00A74C68" w:rsidRPr="00471CBA" w14:paraId="186BD9ED" w14:textId="77777777" w:rsidTr="00A74C68">
        <w:trPr>
          <w:divId w:val="485443198"/>
          <w:trHeight w:val="113"/>
        </w:trPr>
        <w:tc>
          <w:tcPr>
            <w:tcW w:w="1344" w:type="pct"/>
            <w:tcBorders>
              <w:top w:val="nil"/>
              <w:left w:val="nil"/>
              <w:bottom w:val="nil"/>
              <w:right w:val="nil"/>
            </w:tcBorders>
            <w:vAlign w:val="bottom"/>
            <w:hideMark/>
          </w:tcPr>
          <w:p w14:paraId="60E8C865" w14:textId="77777777" w:rsidR="00A74C68" w:rsidRPr="00471CBA" w:rsidRDefault="00A74C68" w:rsidP="00A74C68">
            <w:pPr>
              <w:rPr>
                <w:b/>
                <w:bCs/>
                <w:sz w:val="16"/>
                <w:szCs w:val="16"/>
              </w:rPr>
            </w:pPr>
            <w:r w:rsidRPr="00471CBA">
              <w:rPr>
                <w:b/>
                <w:bCs/>
                <w:sz w:val="16"/>
                <w:szCs w:val="16"/>
              </w:rPr>
              <w:t>VIII. Katılma Hesapları Diğer-YP</w:t>
            </w:r>
          </w:p>
        </w:tc>
        <w:tc>
          <w:tcPr>
            <w:tcW w:w="373" w:type="pct"/>
            <w:tcBorders>
              <w:top w:val="nil"/>
              <w:left w:val="nil"/>
              <w:bottom w:val="nil"/>
              <w:right w:val="nil"/>
            </w:tcBorders>
            <w:vAlign w:val="bottom"/>
            <w:hideMark/>
          </w:tcPr>
          <w:p w14:paraId="5D5CBE4E" w14:textId="77777777" w:rsidR="00A74C68" w:rsidRPr="00471CBA" w:rsidRDefault="00A74C68" w:rsidP="00F36B82">
            <w:pPr>
              <w:ind w:right="-16"/>
              <w:jc w:val="right"/>
              <w:rPr>
                <w:b/>
                <w:bCs/>
                <w:sz w:val="16"/>
                <w:szCs w:val="16"/>
              </w:rPr>
            </w:pPr>
            <w:r w:rsidRPr="00471CBA">
              <w:rPr>
                <w:b/>
                <w:bCs/>
                <w:sz w:val="16"/>
                <w:szCs w:val="16"/>
              </w:rPr>
              <w:t>-</w:t>
            </w:r>
          </w:p>
        </w:tc>
        <w:tc>
          <w:tcPr>
            <w:tcW w:w="374" w:type="pct"/>
            <w:tcBorders>
              <w:top w:val="nil"/>
              <w:left w:val="nil"/>
              <w:bottom w:val="nil"/>
              <w:right w:val="nil"/>
            </w:tcBorders>
            <w:vAlign w:val="bottom"/>
            <w:hideMark/>
          </w:tcPr>
          <w:p w14:paraId="49FD9A97" w14:textId="77777777" w:rsidR="00A74C68" w:rsidRPr="00471CBA" w:rsidRDefault="00A74C68" w:rsidP="00F36B82">
            <w:pPr>
              <w:ind w:right="-16"/>
              <w:jc w:val="right"/>
              <w:rPr>
                <w:b/>
                <w:bCs/>
                <w:sz w:val="16"/>
                <w:szCs w:val="16"/>
              </w:rPr>
            </w:pPr>
            <w:r w:rsidRPr="00471CBA">
              <w:rPr>
                <w:b/>
                <w:bCs/>
                <w:sz w:val="16"/>
                <w:szCs w:val="16"/>
              </w:rPr>
              <w:t>2.298.163</w:t>
            </w:r>
          </w:p>
        </w:tc>
        <w:tc>
          <w:tcPr>
            <w:tcW w:w="374" w:type="pct"/>
            <w:tcBorders>
              <w:top w:val="nil"/>
              <w:left w:val="nil"/>
              <w:bottom w:val="nil"/>
              <w:right w:val="nil"/>
            </w:tcBorders>
            <w:vAlign w:val="bottom"/>
            <w:hideMark/>
          </w:tcPr>
          <w:p w14:paraId="21206E0C" w14:textId="77777777" w:rsidR="00A74C68" w:rsidRPr="00471CBA" w:rsidRDefault="00A74C68" w:rsidP="00F36B82">
            <w:pPr>
              <w:ind w:right="-16"/>
              <w:jc w:val="right"/>
              <w:rPr>
                <w:b/>
                <w:bCs/>
                <w:sz w:val="16"/>
                <w:szCs w:val="16"/>
              </w:rPr>
            </w:pPr>
            <w:r w:rsidRPr="00471CBA">
              <w:rPr>
                <w:b/>
                <w:bCs/>
                <w:sz w:val="16"/>
                <w:szCs w:val="16"/>
              </w:rPr>
              <w:t>2.997.850</w:t>
            </w:r>
          </w:p>
        </w:tc>
        <w:tc>
          <w:tcPr>
            <w:tcW w:w="374" w:type="pct"/>
            <w:tcBorders>
              <w:top w:val="nil"/>
              <w:left w:val="nil"/>
              <w:bottom w:val="nil"/>
              <w:right w:val="nil"/>
            </w:tcBorders>
            <w:vAlign w:val="bottom"/>
            <w:hideMark/>
          </w:tcPr>
          <w:p w14:paraId="742A7801" w14:textId="77777777" w:rsidR="00A74C68" w:rsidRPr="00471CBA" w:rsidRDefault="00A74C68" w:rsidP="00F36B82">
            <w:pPr>
              <w:ind w:right="-16"/>
              <w:jc w:val="right"/>
              <w:rPr>
                <w:b/>
                <w:bCs/>
                <w:sz w:val="16"/>
                <w:szCs w:val="16"/>
              </w:rPr>
            </w:pPr>
            <w:r w:rsidRPr="00471CBA">
              <w:rPr>
                <w:b/>
                <w:bCs/>
                <w:sz w:val="16"/>
                <w:szCs w:val="16"/>
              </w:rPr>
              <w:t>1.169.771</w:t>
            </w:r>
          </w:p>
        </w:tc>
        <w:tc>
          <w:tcPr>
            <w:tcW w:w="373" w:type="pct"/>
            <w:tcBorders>
              <w:top w:val="nil"/>
              <w:left w:val="nil"/>
              <w:bottom w:val="nil"/>
              <w:right w:val="nil"/>
            </w:tcBorders>
            <w:vAlign w:val="bottom"/>
            <w:hideMark/>
          </w:tcPr>
          <w:p w14:paraId="1C4AC0AB" w14:textId="77777777" w:rsidR="00A74C68" w:rsidRPr="00471CBA" w:rsidRDefault="00A74C68" w:rsidP="00F36B82">
            <w:pPr>
              <w:ind w:right="-16"/>
              <w:jc w:val="right"/>
              <w:rPr>
                <w:b/>
                <w:bCs/>
                <w:sz w:val="16"/>
                <w:szCs w:val="16"/>
              </w:rPr>
            </w:pPr>
            <w:r w:rsidRPr="00471CBA">
              <w:rPr>
                <w:b/>
                <w:bCs/>
                <w:sz w:val="16"/>
                <w:szCs w:val="16"/>
              </w:rPr>
              <w:t>-</w:t>
            </w:r>
          </w:p>
        </w:tc>
        <w:tc>
          <w:tcPr>
            <w:tcW w:w="374" w:type="pct"/>
            <w:tcBorders>
              <w:top w:val="nil"/>
              <w:left w:val="nil"/>
              <w:bottom w:val="nil"/>
              <w:right w:val="nil"/>
            </w:tcBorders>
            <w:vAlign w:val="bottom"/>
            <w:hideMark/>
          </w:tcPr>
          <w:p w14:paraId="7ACE0ECC" w14:textId="77777777" w:rsidR="00A74C68" w:rsidRPr="00471CBA" w:rsidRDefault="00A74C68" w:rsidP="00F36B82">
            <w:pPr>
              <w:ind w:right="-16"/>
              <w:jc w:val="right"/>
              <w:rPr>
                <w:b/>
                <w:bCs/>
                <w:sz w:val="16"/>
                <w:szCs w:val="16"/>
              </w:rPr>
            </w:pPr>
            <w:r w:rsidRPr="00471CBA">
              <w:rPr>
                <w:b/>
                <w:bCs/>
                <w:sz w:val="16"/>
                <w:szCs w:val="16"/>
              </w:rPr>
              <w:t>125.633</w:t>
            </w:r>
          </w:p>
        </w:tc>
        <w:tc>
          <w:tcPr>
            <w:tcW w:w="527" w:type="pct"/>
            <w:tcBorders>
              <w:top w:val="nil"/>
              <w:left w:val="nil"/>
              <w:bottom w:val="nil"/>
              <w:right w:val="nil"/>
            </w:tcBorders>
            <w:vAlign w:val="bottom"/>
            <w:hideMark/>
          </w:tcPr>
          <w:p w14:paraId="4E1AAE88" w14:textId="77777777" w:rsidR="00A74C68" w:rsidRPr="00471CBA" w:rsidRDefault="00A74C68" w:rsidP="00F36B82">
            <w:pPr>
              <w:ind w:right="-16"/>
              <w:jc w:val="right"/>
              <w:rPr>
                <w:b/>
                <w:bCs/>
                <w:sz w:val="16"/>
                <w:szCs w:val="16"/>
              </w:rPr>
            </w:pPr>
            <w:r w:rsidRPr="00471CBA">
              <w:rPr>
                <w:b/>
                <w:bCs/>
                <w:sz w:val="16"/>
                <w:szCs w:val="16"/>
              </w:rPr>
              <w:t>706.416</w:t>
            </w:r>
          </w:p>
        </w:tc>
        <w:tc>
          <w:tcPr>
            <w:tcW w:w="532" w:type="pct"/>
            <w:tcBorders>
              <w:top w:val="nil"/>
              <w:left w:val="nil"/>
              <w:bottom w:val="nil"/>
              <w:right w:val="nil"/>
            </w:tcBorders>
            <w:vAlign w:val="bottom"/>
            <w:hideMark/>
          </w:tcPr>
          <w:p w14:paraId="70A66C26" w14:textId="77777777" w:rsidR="00A74C68" w:rsidRPr="00471CBA" w:rsidRDefault="00A74C68" w:rsidP="00F36B82">
            <w:pPr>
              <w:ind w:right="-16"/>
              <w:jc w:val="right"/>
              <w:rPr>
                <w:b/>
                <w:bCs/>
                <w:sz w:val="16"/>
                <w:szCs w:val="16"/>
              </w:rPr>
            </w:pPr>
            <w:r w:rsidRPr="00471CBA">
              <w:rPr>
                <w:b/>
                <w:bCs/>
                <w:sz w:val="16"/>
                <w:szCs w:val="16"/>
              </w:rPr>
              <w:t>-</w:t>
            </w:r>
          </w:p>
        </w:tc>
        <w:tc>
          <w:tcPr>
            <w:tcW w:w="356" w:type="pct"/>
            <w:tcBorders>
              <w:top w:val="nil"/>
              <w:left w:val="nil"/>
              <w:bottom w:val="nil"/>
              <w:right w:val="nil"/>
            </w:tcBorders>
            <w:vAlign w:val="bottom"/>
            <w:hideMark/>
          </w:tcPr>
          <w:p w14:paraId="3B8FD85A" w14:textId="77777777" w:rsidR="00A74C68" w:rsidRPr="00471CBA" w:rsidRDefault="00A74C68" w:rsidP="00F36B82">
            <w:pPr>
              <w:ind w:right="-16"/>
              <w:jc w:val="right"/>
              <w:rPr>
                <w:b/>
                <w:bCs/>
                <w:sz w:val="16"/>
                <w:szCs w:val="16"/>
              </w:rPr>
            </w:pPr>
            <w:r w:rsidRPr="00471CBA">
              <w:rPr>
                <w:b/>
                <w:bCs/>
                <w:sz w:val="16"/>
                <w:szCs w:val="16"/>
              </w:rPr>
              <w:t>7.297.833</w:t>
            </w:r>
          </w:p>
        </w:tc>
      </w:tr>
      <w:tr w:rsidR="00A74C68" w:rsidRPr="00471CBA" w14:paraId="37A8762D" w14:textId="77777777" w:rsidTr="00A74C68">
        <w:trPr>
          <w:divId w:val="485443198"/>
          <w:trHeight w:val="113"/>
        </w:trPr>
        <w:tc>
          <w:tcPr>
            <w:tcW w:w="1344" w:type="pct"/>
            <w:tcBorders>
              <w:top w:val="nil"/>
              <w:left w:val="nil"/>
              <w:bottom w:val="nil"/>
              <w:right w:val="nil"/>
            </w:tcBorders>
            <w:vAlign w:val="bottom"/>
            <w:hideMark/>
          </w:tcPr>
          <w:p w14:paraId="7C941BC8" w14:textId="77777777" w:rsidR="00A74C68" w:rsidRPr="00471CBA" w:rsidRDefault="00A74C68" w:rsidP="00A74C68">
            <w:pPr>
              <w:rPr>
                <w:sz w:val="16"/>
                <w:szCs w:val="16"/>
              </w:rPr>
            </w:pPr>
            <w:r w:rsidRPr="00471CBA">
              <w:rPr>
                <w:sz w:val="16"/>
                <w:szCs w:val="16"/>
              </w:rPr>
              <w:t>Resmi Kuruluşlar</w:t>
            </w:r>
          </w:p>
        </w:tc>
        <w:tc>
          <w:tcPr>
            <w:tcW w:w="373" w:type="pct"/>
            <w:tcBorders>
              <w:top w:val="nil"/>
              <w:left w:val="nil"/>
              <w:bottom w:val="nil"/>
              <w:right w:val="nil"/>
            </w:tcBorders>
            <w:vAlign w:val="bottom"/>
            <w:hideMark/>
          </w:tcPr>
          <w:p w14:paraId="58FABAD2"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25DDEB2C"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4D93CB81"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39F2E982" w14:textId="77777777" w:rsidR="00A74C68" w:rsidRPr="00471CBA" w:rsidRDefault="00A74C68" w:rsidP="00F36B82">
            <w:pPr>
              <w:ind w:right="-16"/>
              <w:jc w:val="right"/>
              <w:rPr>
                <w:sz w:val="16"/>
                <w:szCs w:val="16"/>
              </w:rPr>
            </w:pPr>
            <w:r w:rsidRPr="00471CBA">
              <w:rPr>
                <w:sz w:val="16"/>
                <w:szCs w:val="16"/>
              </w:rPr>
              <w:t>-</w:t>
            </w:r>
          </w:p>
        </w:tc>
        <w:tc>
          <w:tcPr>
            <w:tcW w:w="373" w:type="pct"/>
            <w:tcBorders>
              <w:top w:val="nil"/>
              <w:left w:val="nil"/>
              <w:bottom w:val="nil"/>
              <w:right w:val="nil"/>
            </w:tcBorders>
            <w:vAlign w:val="bottom"/>
            <w:hideMark/>
          </w:tcPr>
          <w:p w14:paraId="36F4EB4E"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6CF3E953" w14:textId="77777777" w:rsidR="00A74C68" w:rsidRPr="00471CBA" w:rsidRDefault="00A74C68" w:rsidP="00F36B82">
            <w:pPr>
              <w:ind w:right="-16"/>
              <w:jc w:val="right"/>
              <w:rPr>
                <w:sz w:val="16"/>
                <w:szCs w:val="16"/>
              </w:rPr>
            </w:pPr>
            <w:r w:rsidRPr="00471CBA">
              <w:rPr>
                <w:sz w:val="16"/>
                <w:szCs w:val="16"/>
              </w:rPr>
              <w:t>-</w:t>
            </w:r>
          </w:p>
        </w:tc>
        <w:tc>
          <w:tcPr>
            <w:tcW w:w="527" w:type="pct"/>
            <w:tcBorders>
              <w:top w:val="nil"/>
              <w:left w:val="nil"/>
              <w:bottom w:val="nil"/>
              <w:right w:val="nil"/>
            </w:tcBorders>
            <w:vAlign w:val="bottom"/>
            <w:hideMark/>
          </w:tcPr>
          <w:p w14:paraId="644AF4C2" w14:textId="77777777" w:rsidR="00A74C68" w:rsidRPr="00471CBA" w:rsidRDefault="00A74C68" w:rsidP="00F36B82">
            <w:pPr>
              <w:ind w:right="-16"/>
              <w:jc w:val="right"/>
              <w:rPr>
                <w:sz w:val="16"/>
                <w:szCs w:val="16"/>
              </w:rPr>
            </w:pPr>
            <w:r w:rsidRPr="00471CBA">
              <w:rPr>
                <w:sz w:val="16"/>
                <w:szCs w:val="16"/>
              </w:rPr>
              <w:t>-</w:t>
            </w:r>
          </w:p>
        </w:tc>
        <w:tc>
          <w:tcPr>
            <w:tcW w:w="532" w:type="pct"/>
            <w:tcBorders>
              <w:top w:val="nil"/>
              <w:left w:val="nil"/>
              <w:bottom w:val="nil"/>
              <w:right w:val="nil"/>
            </w:tcBorders>
            <w:vAlign w:val="bottom"/>
            <w:hideMark/>
          </w:tcPr>
          <w:p w14:paraId="2A9CADFD" w14:textId="77777777" w:rsidR="00A74C68" w:rsidRPr="00471CBA" w:rsidRDefault="00A74C68" w:rsidP="00F36B82">
            <w:pPr>
              <w:ind w:right="-16"/>
              <w:jc w:val="right"/>
              <w:rPr>
                <w:sz w:val="16"/>
                <w:szCs w:val="16"/>
              </w:rPr>
            </w:pPr>
            <w:r w:rsidRPr="00471CBA">
              <w:rPr>
                <w:sz w:val="16"/>
                <w:szCs w:val="16"/>
              </w:rPr>
              <w:t>-</w:t>
            </w:r>
          </w:p>
        </w:tc>
        <w:tc>
          <w:tcPr>
            <w:tcW w:w="356" w:type="pct"/>
            <w:tcBorders>
              <w:top w:val="nil"/>
              <w:left w:val="nil"/>
              <w:bottom w:val="nil"/>
              <w:right w:val="nil"/>
            </w:tcBorders>
            <w:vAlign w:val="bottom"/>
            <w:hideMark/>
          </w:tcPr>
          <w:p w14:paraId="57CB91E2" w14:textId="77777777" w:rsidR="00A74C68" w:rsidRPr="00471CBA" w:rsidRDefault="00A74C68" w:rsidP="00F36B82">
            <w:pPr>
              <w:ind w:right="-16"/>
              <w:jc w:val="right"/>
              <w:rPr>
                <w:sz w:val="16"/>
                <w:szCs w:val="16"/>
              </w:rPr>
            </w:pPr>
            <w:r w:rsidRPr="00471CBA">
              <w:rPr>
                <w:sz w:val="16"/>
                <w:szCs w:val="16"/>
              </w:rPr>
              <w:t>-</w:t>
            </w:r>
          </w:p>
        </w:tc>
      </w:tr>
      <w:tr w:rsidR="00A74C68" w:rsidRPr="00471CBA" w14:paraId="023D2911" w14:textId="77777777" w:rsidTr="00A74C68">
        <w:trPr>
          <w:divId w:val="485443198"/>
          <w:trHeight w:val="113"/>
        </w:trPr>
        <w:tc>
          <w:tcPr>
            <w:tcW w:w="1344" w:type="pct"/>
            <w:tcBorders>
              <w:top w:val="nil"/>
              <w:left w:val="nil"/>
              <w:bottom w:val="nil"/>
              <w:right w:val="nil"/>
            </w:tcBorders>
            <w:vAlign w:val="bottom"/>
            <w:hideMark/>
          </w:tcPr>
          <w:p w14:paraId="54CA657A" w14:textId="77777777" w:rsidR="00A74C68" w:rsidRPr="00471CBA" w:rsidRDefault="00A74C68" w:rsidP="00A74C68">
            <w:pPr>
              <w:rPr>
                <w:sz w:val="16"/>
                <w:szCs w:val="16"/>
              </w:rPr>
            </w:pPr>
            <w:r w:rsidRPr="00471CBA">
              <w:rPr>
                <w:sz w:val="16"/>
                <w:szCs w:val="16"/>
              </w:rPr>
              <w:t>Ticari Kuruluşlar</w:t>
            </w:r>
          </w:p>
        </w:tc>
        <w:tc>
          <w:tcPr>
            <w:tcW w:w="373" w:type="pct"/>
            <w:tcBorders>
              <w:top w:val="nil"/>
              <w:left w:val="nil"/>
              <w:bottom w:val="nil"/>
              <w:right w:val="nil"/>
            </w:tcBorders>
            <w:vAlign w:val="bottom"/>
            <w:hideMark/>
          </w:tcPr>
          <w:p w14:paraId="73A3DDF2"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70868AF1" w14:textId="77777777" w:rsidR="00A74C68" w:rsidRPr="00471CBA" w:rsidRDefault="00A74C68" w:rsidP="00F36B82">
            <w:pPr>
              <w:ind w:right="-16"/>
              <w:jc w:val="right"/>
              <w:rPr>
                <w:sz w:val="16"/>
                <w:szCs w:val="16"/>
              </w:rPr>
            </w:pPr>
            <w:r w:rsidRPr="00471CBA">
              <w:rPr>
                <w:sz w:val="16"/>
                <w:szCs w:val="16"/>
              </w:rPr>
              <w:t>2.297.437</w:t>
            </w:r>
          </w:p>
        </w:tc>
        <w:tc>
          <w:tcPr>
            <w:tcW w:w="374" w:type="pct"/>
            <w:tcBorders>
              <w:top w:val="nil"/>
              <w:left w:val="nil"/>
              <w:bottom w:val="nil"/>
              <w:right w:val="nil"/>
            </w:tcBorders>
            <w:vAlign w:val="bottom"/>
            <w:hideMark/>
          </w:tcPr>
          <w:p w14:paraId="748D2D78" w14:textId="77777777" w:rsidR="00A74C68" w:rsidRPr="00471CBA" w:rsidRDefault="00A74C68" w:rsidP="00F36B82">
            <w:pPr>
              <w:ind w:right="-16"/>
              <w:jc w:val="right"/>
              <w:rPr>
                <w:sz w:val="16"/>
                <w:szCs w:val="16"/>
              </w:rPr>
            </w:pPr>
            <w:r w:rsidRPr="00471CBA">
              <w:rPr>
                <w:sz w:val="16"/>
                <w:szCs w:val="16"/>
              </w:rPr>
              <w:t>2.750.908</w:t>
            </w:r>
          </w:p>
        </w:tc>
        <w:tc>
          <w:tcPr>
            <w:tcW w:w="374" w:type="pct"/>
            <w:tcBorders>
              <w:top w:val="nil"/>
              <w:left w:val="nil"/>
              <w:bottom w:val="nil"/>
              <w:right w:val="nil"/>
            </w:tcBorders>
            <w:vAlign w:val="bottom"/>
            <w:hideMark/>
          </w:tcPr>
          <w:p w14:paraId="6716406A" w14:textId="77777777" w:rsidR="00A74C68" w:rsidRPr="00471CBA" w:rsidRDefault="00A74C68" w:rsidP="00F36B82">
            <w:pPr>
              <w:ind w:right="-16"/>
              <w:jc w:val="right"/>
              <w:rPr>
                <w:sz w:val="16"/>
                <w:szCs w:val="16"/>
              </w:rPr>
            </w:pPr>
            <w:r w:rsidRPr="00471CBA">
              <w:rPr>
                <w:sz w:val="16"/>
                <w:szCs w:val="16"/>
              </w:rPr>
              <w:t>1.165.613</w:t>
            </w:r>
          </w:p>
        </w:tc>
        <w:tc>
          <w:tcPr>
            <w:tcW w:w="373" w:type="pct"/>
            <w:tcBorders>
              <w:top w:val="nil"/>
              <w:left w:val="nil"/>
              <w:bottom w:val="nil"/>
              <w:right w:val="nil"/>
            </w:tcBorders>
            <w:vAlign w:val="bottom"/>
            <w:hideMark/>
          </w:tcPr>
          <w:p w14:paraId="5BB20B08"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585E1AA8" w14:textId="77777777" w:rsidR="00A74C68" w:rsidRPr="00471CBA" w:rsidRDefault="00A74C68" w:rsidP="00F36B82">
            <w:pPr>
              <w:ind w:right="-16"/>
              <w:jc w:val="right"/>
              <w:rPr>
                <w:sz w:val="16"/>
                <w:szCs w:val="16"/>
              </w:rPr>
            </w:pPr>
            <w:r w:rsidRPr="00471CBA">
              <w:rPr>
                <w:sz w:val="16"/>
                <w:szCs w:val="16"/>
              </w:rPr>
              <w:t>125.633</w:t>
            </w:r>
          </w:p>
        </w:tc>
        <w:tc>
          <w:tcPr>
            <w:tcW w:w="527" w:type="pct"/>
            <w:tcBorders>
              <w:top w:val="nil"/>
              <w:left w:val="nil"/>
              <w:bottom w:val="nil"/>
              <w:right w:val="nil"/>
            </w:tcBorders>
            <w:vAlign w:val="bottom"/>
            <w:hideMark/>
          </w:tcPr>
          <w:p w14:paraId="2D317653" w14:textId="77777777" w:rsidR="00A74C68" w:rsidRPr="00471CBA" w:rsidRDefault="00A74C68" w:rsidP="00F36B82">
            <w:pPr>
              <w:ind w:right="-16"/>
              <w:jc w:val="right"/>
              <w:rPr>
                <w:sz w:val="16"/>
                <w:szCs w:val="16"/>
              </w:rPr>
            </w:pPr>
            <w:r w:rsidRPr="00471CBA">
              <w:rPr>
                <w:sz w:val="16"/>
                <w:szCs w:val="16"/>
              </w:rPr>
              <w:t>706.416</w:t>
            </w:r>
          </w:p>
        </w:tc>
        <w:tc>
          <w:tcPr>
            <w:tcW w:w="532" w:type="pct"/>
            <w:tcBorders>
              <w:top w:val="nil"/>
              <w:left w:val="nil"/>
              <w:bottom w:val="nil"/>
              <w:right w:val="nil"/>
            </w:tcBorders>
            <w:vAlign w:val="bottom"/>
            <w:hideMark/>
          </w:tcPr>
          <w:p w14:paraId="5D951914" w14:textId="77777777" w:rsidR="00A74C68" w:rsidRPr="00471CBA" w:rsidRDefault="00A74C68" w:rsidP="00F36B82">
            <w:pPr>
              <w:ind w:right="-16"/>
              <w:jc w:val="right"/>
              <w:rPr>
                <w:sz w:val="16"/>
                <w:szCs w:val="16"/>
              </w:rPr>
            </w:pPr>
            <w:r w:rsidRPr="00471CBA">
              <w:rPr>
                <w:sz w:val="16"/>
                <w:szCs w:val="16"/>
              </w:rPr>
              <w:t>-</w:t>
            </w:r>
          </w:p>
        </w:tc>
        <w:tc>
          <w:tcPr>
            <w:tcW w:w="356" w:type="pct"/>
            <w:tcBorders>
              <w:top w:val="nil"/>
              <w:left w:val="nil"/>
              <w:bottom w:val="nil"/>
              <w:right w:val="nil"/>
            </w:tcBorders>
            <w:vAlign w:val="bottom"/>
            <w:hideMark/>
          </w:tcPr>
          <w:p w14:paraId="3BF006AF" w14:textId="77777777" w:rsidR="00A74C68" w:rsidRPr="00471CBA" w:rsidRDefault="00A74C68" w:rsidP="00F36B82">
            <w:pPr>
              <w:ind w:right="-16"/>
              <w:jc w:val="right"/>
              <w:rPr>
                <w:sz w:val="16"/>
                <w:szCs w:val="16"/>
              </w:rPr>
            </w:pPr>
            <w:r w:rsidRPr="00471CBA">
              <w:rPr>
                <w:sz w:val="16"/>
                <w:szCs w:val="16"/>
              </w:rPr>
              <w:t>7.046.007</w:t>
            </w:r>
          </w:p>
        </w:tc>
      </w:tr>
      <w:tr w:rsidR="00A74C68" w:rsidRPr="00471CBA" w14:paraId="2272039A" w14:textId="77777777" w:rsidTr="00A74C68">
        <w:trPr>
          <w:divId w:val="485443198"/>
          <w:trHeight w:val="113"/>
        </w:trPr>
        <w:tc>
          <w:tcPr>
            <w:tcW w:w="1344" w:type="pct"/>
            <w:tcBorders>
              <w:top w:val="nil"/>
              <w:left w:val="nil"/>
              <w:bottom w:val="nil"/>
              <w:right w:val="nil"/>
            </w:tcBorders>
            <w:vAlign w:val="bottom"/>
            <w:hideMark/>
          </w:tcPr>
          <w:p w14:paraId="7F5D1B35" w14:textId="77777777" w:rsidR="00A74C68" w:rsidRPr="00471CBA" w:rsidRDefault="00A74C68" w:rsidP="00A74C68">
            <w:pPr>
              <w:rPr>
                <w:sz w:val="16"/>
                <w:szCs w:val="16"/>
              </w:rPr>
            </w:pPr>
            <w:r w:rsidRPr="00471CBA">
              <w:rPr>
                <w:sz w:val="16"/>
                <w:szCs w:val="16"/>
              </w:rPr>
              <w:t>Diğer Kuruluşlar</w:t>
            </w:r>
          </w:p>
        </w:tc>
        <w:tc>
          <w:tcPr>
            <w:tcW w:w="373" w:type="pct"/>
            <w:tcBorders>
              <w:top w:val="nil"/>
              <w:left w:val="nil"/>
              <w:bottom w:val="nil"/>
              <w:right w:val="nil"/>
            </w:tcBorders>
            <w:vAlign w:val="bottom"/>
            <w:hideMark/>
          </w:tcPr>
          <w:p w14:paraId="31E9BCA3"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6EF697D9" w14:textId="77777777" w:rsidR="00A74C68" w:rsidRPr="00471CBA" w:rsidRDefault="00A74C68" w:rsidP="00F36B82">
            <w:pPr>
              <w:ind w:right="-16"/>
              <w:jc w:val="right"/>
              <w:rPr>
                <w:sz w:val="16"/>
                <w:szCs w:val="16"/>
              </w:rPr>
            </w:pPr>
            <w:r w:rsidRPr="00471CBA">
              <w:rPr>
                <w:sz w:val="16"/>
                <w:szCs w:val="16"/>
              </w:rPr>
              <w:t>726</w:t>
            </w:r>
          </w:p>
        </w:tc>
        <w:tc>
          <w:tcPr>
            <w:tcW w:w="374" w:type="pct"/>
            <w:tcBorders>
              <w:top w:val="nil"/>
              <w:left w:val="nil"/>
              <w:bottom w:val="nil"/>
              <w:right w:val="nil"/>
            </w:tcBorders>
            <w:vAlign w:val="bottom"/>
            <w:hideMark/>
          </w:tcPr>
          <w:p w14:paraId="052C497C" w14:textId="77777777" w:rsidR="00A74C68" w:rsidRPr="00471CBA" w:rsidRDefault="00A74C68" w:rsidP="00F36B82">
            <w:pPr>
              <w:ind w:right="-16"/>
              <w:jc w:val="right"/>
              <w:rPr>
                <w:sz w:val="16"/>
                <w:szCs w:val="16"/>
              </w:rPr>
            </w:pPr>
            <w:r w:rsidRPr="00471CBA">
              <w:rPr>
                <w:sz w:val="16"/>
                <w:szCs w:val="16"/>
              </w:rPr>
              <w:t>246.942</w:t>
            </w:r>
          </w:p>
        </w:tc>
        <w:tc>
          <w:tcPr>
            <w:tcW w:w="374" w:type="pct"/>
            <w:tcBorders>
              <w:top w:val="nil"/>
              <w:left w:val="nil"/>
              <w:bottom w:val="nil"/>
              <w:right w:val="nil"/>
            </w:tcBorders>
            <w:vAlign w:val="bottom"/>
            <w:hideMark/>
          </w:tcPr>
          <w:p w14:paraId="0F0BD206" w14:textId="77777777" w:rsidR="00A74C68" w:rsidRPr="00471CBA" w:rsidRDefault="00A74C68" w:rsidP="00F36B82">
            <w:pPr>
              <w:ind w:right="-16"/>
              <w:jc w:val="right"/>
              <w:rPr>
                <w:sz w:val="16"/>
                <w:szCs w:val="16"/>
              </w:rPr>
            </w:pPr>
            <w:r w:rsidRPr="00471CBA">
              <w:rPr>
                <w:sz w:val="16"/>
                <w:szCs w:val="16"/>
              </w:rPr>
              <w:t>4.158</w:t>
            </w:r>
          </w:p>
        </w:tc>
        <w:tc>
          <w:tcPr>
            <w:tcW w:w="373" w:type="pct"/>
            <w:tcBorders>
              <w:top w:val="nil"/>
              <w:left w:val="nil"/>
              <w:bottom w:val="nil"/>
              <w:right w:val="nil"/>
            </w:tcBorders>
            <w:vAlign w:val="bottom"/>
            <w:hideMark/>
          </w:tcPr>
          <w:p w14:paraId="5384D797"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2A4FAA87" w14:textId="77777777" w:rsidR="00A74C68" w:rsidRPr="00471CBA" w:rsidRDefault="00A74C68" w:rsidP="00F36B82">
            <w:pPr>
              <w:ind w:right="-16"/>
              <w:jc w:val="right"/>
              <w:rPr>
                <w:sz w:val="16"/>
                <w:szCs w:val="16"/>
              </w:rPr>
            </w:pPr>
            <w:r w:rsidRPr="00471CBA">
              <w:rPr>
                <w:sz w:val="16"/>
                <w:szCs w:val="16"/>
              </w:rPr>
              <w:t>-</w:t>
            </w:r>
          </w:p>
        </w:tc>
        <w:tc>
          <w:tcPr>
            <w:tcW w:w="527" w:type="pct"/>
            <w:tcBorders>
              <w:top w:val="nil"/>
              <w:left w:val="nil"/>
              <w:bottom w:val="nil"/>
              <w:right w:val="nil"/>
            </w:tcBorders>
            <w:vAlign w:val="bottom"/>
            <w:hideMark/>
          </w:tcPr>
          <w:p w14:paraId="4D4DBB62" w14:textId="77777777" w:rsidR="00A74C68" w:rsidRPr="00471CBA" w:rsidRDefault="00A74C68" w:rsidP="00F36B82">
            <w:pPr>
              <w:ind w:right="-16"/>
              <w:jc w:val="right"/>
              <w:rPr>
                <w:sz w:val="16"/>
                <w:szCs w:val="16"/>
              </w:rPr>
            </w:pPr>
            <w:r w:rsidRPr="00471CBA">
              <w:rPr>
                <w:sz w:val="16"/>
                <w:szCs w:val="16"/>
              </w:rPr>
              <w:t>-</w:t>
            </w:r>
          </w:p>
        </w:tc>
        <w:tc>
          <w:tcPr>
            <w:tcW w:w="532" w:type="pct"/>
            <w:tcBorders>
              <w:top w:val="nil"/>
              <w:left w:val="nil"/>
              <w:bottom w:val="nil"/>
              <w:right w:val="nil"/>
            </w:tcBorders>
            <w:vAlign w:val="bottom"/>
            <w:hideMark/>
          </w:tcPr>
          <w:p w14:paraId="3A1A7D3D" w14:textId="77777777" w:rsidR="00A74C68" w:rsidRPr="00471CBA" w:rsidRDefault="00A74C68" w:rsidP="00F36B82">
            <w:pPr>
              <w:ind w:right="-16"/>
              <w:jc w:val="right"/>
              <w:rPr>
                <w:sz w:val="16"/>
                <w:szCs w:val="16"/>
              </w:rPr>
            </w:pPr>
            <w:r w:rsidRPr="00471CBA">
              <w:rPr>
                <w:sz w:val="16"/>
                <w:szCs w:val="16"/>
              </w:rPr>
              <w:t>-</w:t>
            </w:r>
          </w:p>
        </w:tc>
        <w:tc>
          <w:tcPr>
            <w:tcW w:w="356" w:type="pct"/>
            <w:tcBorders>
              <w:top w:val="nil"/>
              <w:left w:val="nil"/>
              <w:bottom w:val="nil"/>
              <w:right w:val="nil"/>
            </w:tcBorders>
            <w:vAlign w:val="bottom"/>
            <w:hideMark/>
          </w:tcPr>
          <w:p w14:paraId="25435073" w14:textId="77777777" w:rsidR="00A74C68" w:rsidRPr="00471CBA" w:rsidRDefault="00A74C68" w:rsidP="00F36B82">
            <w:pPr>
              <w:ind w:right="-16"/>
              <w:jc w:val="right"/>
              <w:rPr>
                <w:sz w:val="16"/>
                <w:szCs w:val="16"/>
              </w:rPr>
            </w:pPr>
            <w:r w:rsidRPr="00471CBA">
              <w:rPr>
                <w:sz w:val="16"/>
                <w:szCs w:val="16"/>
              </w:rPr>
              <w:t>251.826</w:t>
            </w:r>
          </w:p>
        </w:tc>
      </w:tr>
      <w:tr w:rsidR="00A74C68" w:rsidRPr="00471CBA" w14:paraId="41F0078D" w14:textId="77777777" w:rsidTr="00A74C68">
        <w:trPr>
          <w:divId w:val="485443198"/>
          <w:trHeight w:val="113"/>
        </w:trPr>
        <w:tc>
          <w:tcPr>
            <w:tcW w:w="1344" w:type="pct"/>
            <w:tcBorders>
              <w:top w:val="nil"/>
              <w:left w:val="nil"/>
              <w:bottom w:val="nil"/>
              <w:right w:val="nil"/>
            </w:tcBorders>
            <w:vAlign w:val="bottom"/>
            <w:hideMark/>
          </w:tcPr>
          <w:p w14:paraId="0B00EACA" w14:textId="77777777" w:rsidR="00A74C68" w:rsidRPr="00471CBA" w:rsidRDefault="00A74C68" w:rsidP="00A74C68">
            <w:pPr>
              <w:rPr>
                <w:sz w:val="16"/>
                <w:szCs w:val="16"/>
              </w:rPr>
            </w:pPr>
            <w:r w:rsidRPr="00471CBA">
              <w:rPr>
                <w:sz w:val="16"/>
                <w:szCs w:val="16"/>
              </w:rPr>
              <w:t xml:space="preserve">Ticari ve </w:t>
            </w:r>
            <w:proofErr w:type="gramStart"/>
            <w:r w:rsidRPr="00471CBA">
              <w:rPr>
                <w:sz w:val="16"/>
                <w:szCs w:val="16"/>
              </w:rPr>
              <w:t>Diğer</w:t>
            </w:r>
            <w:proofErr w:type="gramEnd"/>
            <w:r w:rsidRPr="00471CBA">
              <w:rPr>
                <w:sz w:val="16"/>
                <w:szCs w:val="16"/>
              </w:rPr>
              <w:t xml:space="preserve"> Kur.</w:t>
            </w:r>
          </w:p>
        </w:tc>
        <w:tc>
          <w:tcPr>
            <w:tcW w:w="373" w:type="pct"/>
            <w:tcBorders>
              <w:top w:val="nil"/>
              <w:left w:val="nil"/>
              <w:bottom w:val="nil"/>
              <w:right w:val="nil"/>
            </w:tcBorders>
            <w:vAlign w:val="bottom"/>
            <w:hideMark/>
          </w:tcPr>
          <w:p w14:paraId="3D3BF191"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3FAF2BA1"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3E29A52B"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5EB228C1" w14:textId="77777777" w:rsidR="00A74C68" w:rsidRPr="00471CBA" w:rsidRDefault="00A74C68" w:rsidP="00F36B82">
            <w:pPr>
              <w:ind w:right="-16"/>
              <w:jc w:val="right"/>
              <w:rPr>
                <w:sz w:val="16"/>
                <w:szCs w:val="16"/>
              </w:rPr>
            </w:pPr>
            <w:r w:rsidRPr="00471CBA">
              <w:rPr>
                <w:sz w:val="16"/>
                <w:szCs w:val="16"/>
              </w:rPr>
              <w:t>-</w:t>
            </w:r>
          </w:p>
        </w:tc>
        <w:tc>
          <w:tcPr>
            <w:tcW w:w="373" w:type="pct"/>
            <w:tcBorders>
              <w:top w:val="nil"/>
              <w:left w:val="nil"/>
              <w:bottom w:val="nil"/>
              <w:right w:val="nil"/>
            </w:tcBorders>
            <w:vAlign w:val="bottom"/>
            <w:hideMark/>
          </w:tcPr>
          <w:p w14:paraId="73D24E8D"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661C5A47" w14:textId="77777777" w:rsidR="00A74C68" w:rsidRPr="00471CBA" w:rsidRDefault="00A74C68" w:rsidP="00F36B82">
            <w:pPr>
              <w:ind w:right="-16"/>
              <w:jc w:val="right"/>
              <w:rPr>
                <w:sz w:val="16"/>
                <w:szCs w:val="16"/>
              </w:rPr>
            </w:pPr>
            <w:r w:rsidRPr="00471CBA">
              <w:rPr>
                <w:sz w:val="16"/>
                <w:szCs w:val="16"/>
              </w:rPr>
              <w:t>-</w:t>
            </w:r>
          </w:p>
        </w:tc>
        <w:tc>
          <w:tcPr>
            <w:tcW w:w="527" w:type="pct"/>
            <w:tcBorders>
              <w:top w:val="nil"/>
              <w:left w:val="nil"/>
              <w:bottom w:val="nil"/>
              <w:right w:val="nil"/>
            </w:tcBorders>
            <w:vAlign w:val="bottom"/>
            <w:hideMark/>
          </w:tcPr>
          <w:p w14:paraId="68C034BA" w14:textId="77777777" w:rsidR="00A74C68" w:rsidRPr="00471CBA" w:rsidRDefault="00A74C68" w:rsidP="00F36B82">
            <w:pPr>
              <w:ind w:right="-16"/>
              <w:jc w:val="right"/>
              <w:rPr>
                <w:sz w:val="16"/>
                <w:szCs w:val="16"/>
              </w:rPr>
            </w:pPr>
            <w:r w:rsidRPr="00471CBA">
              <w:rPr>
                <w:sz w:val="16"/>
                <w:szCs w:val="16"/>
              </w:rPr>
              <w:t>-</w:t>
            </w:r>
          </w:p>
        </w:tc>
        <w:tc>
          <w:tcPr>
            <w:tcW w:w="532" w:type="pct"/>
            <w:tcBorders>
              <w:top w:val="nil"/>
              <w:left w:val="nil"/>
              <w:bottom w:val="nil"/>
              <w:right w:val="nil"/>
            </w:tcBorders>
            <w:vAlign w:val="bottom"/>
            <w:hideMark/>
          </w:tcPr>
          <w:p w14:paraId="30B3A2BB" w14:textId="77777777" w:rsidR="00A74C68" w:rsidRPr="00471CBA" w:rsidRDefault="00A74C68" w:rsidP="00F36B82">
            <w:pPr>
              <w:ind w:right="-16"/>
              <w:jc w:val="right"/>
              <w:rPr>
                <w:sz w:val="16"/>
                <w:szCs w:val="16"/>
              </w:rPr>
            </w:pPr>
            <w:r w:rsidRPr="00471CBA">
              <w:rPr>
                <w:sz w:val="16"/>
                <w:szCs w:val="16"/>
              </w:rPr>
              <w:t>-</w:t>
            </w:r>
          </w:p>
        </w:tc>
        <w:tc>
          <w:tcPr>
            <w:tcW w:w="356" w:type="pct"/>
            <w:tcBorders>
              <w:top w:val="nil"/>
              <w:left w:val="nil"/>
              <w:bottom w:val="nil"/>
              <w:right w:val="nil"/>
            </w:tcBorders>
            <w:vAlign w:val="bottom"/>
            <w:hideMark/>
          </w:tcPr>
          <w:p w14:paraId="7676ADA2" w14:textId="77777777" w:rsidR="00A74C68" w:rsidRPr="00471CBA" w:rsidRDefault="00A74C68" w:rsidP="00F36B82">
            <w:pPr>
              <w:ind w:right="-16"/>
              <w:jc w:val="right"/>
              <w:rPr>
                <w:sz w:val="16"/>
                <w:szCs w:val="16"/>
              </w:rPr>
            </w:pPr>
            <w:r w:rsidRPr="00471CBA">
              <w:rPr>
                <w:sz w:val="16"/>
                <w:szCs w:val="16"/>
              </w:rPr>
              <w:t>-</w:t>
            </w:r>
          </w:p>
        </w:tc>
      </w:tr>
      <w:tr w:rsidR="00A74C68" w:rsidRPr="00471CBA" w14:paraId="5EAD4388" w14:textId="77777777" w:rsidTr="00A74C68">
        <w:trPr>
          <w:divId w:val="485443198"/>
          <w:trHeight w:val="113"/>
        </w:trPr>
        <w:tc>
          <w:tcPr>
            <w:tcW w:w="1344" w:type="pct"/>
            <w:tcBorders>
              <w:top w:val="nil"/>
              <w:left w:val="nil"/>
              <w:bottom w:val="nil"/>
              <w:right w:val="nil"/>
            </w:tcBorders>
            <w:vAlign w:val="bottom"/>
            <w:hideMark/>
          </w:tcPr>
          <w:p w14:paraId="305E950C" w14:textId="77777777" w:rsidR="00A74C68" w:rsidRPr="00471CBA" w:rsidRDefault="00A74C68" w:rsidP="00A74C68">
            <w:pPr>
              <w:rPr>
                <w:sz w:val="16"/>
                <w:szCs w:val="16"/>
              </w:rPr>
            </w:pPr>
            <w:r w:rsidRPr="00471CBA">
              <w:rPr>
                <w:sz w:val="16"/>
                <w:szCs w:val="16"/>
              </w:rPr>
              <w:t>Bankalar ve Katılım Bankaları</w:t>
            </w:r>
          </w:p>
        </w:tc>
        <w:tc>
          <w:tcPr>
            <w:tcW w:w="373" w:type="pct"/>
            <w:tcBorders>
              <w:top w:val="nil"/>
              <w:left w:val="nil"/>
              <w:bottom w:val="nil"/>
              <w:right w:val="nil"/>
            </w:tcBorders>
            <w:vAlign w:val="bottom"/>
            <w:hideMark/>
          </w:tcPr>
          <w:p w14:paraId="3788CB9F"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15F85992"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73910277"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1D187390" w14:textId="77777777" w:rsidR="00A74C68" w:rsidRPr="00471CBA" w:rsidRDefault="00A74C68" w:rsidP="00F36B82">
            <w:pPr>
              <w:ind w:right="-16"/>
              <w:jc w:val="right"/>
              <w:rPr>
                <w:sz w:val="16"/>
                <w:szCs w:val="16"/>
              </w:rPr>
            </w:pPr>
            <w:r w:rsidRPr="00471CBA">
              <w:rPr>
                <w:sz w:val="16"/>
                <w:szCs w:val="16"/>
              </w:rPr>
              <w:t>-</w:t>
            </w:r>
          </w:p>
        </w:tc>
        <w:tc>
          <w:tcPr>
            <w:tcW w:w="373" w:type="pct"/>
            <w:tcBorders>
              <w:top w:val="nil"/>
              <w:left w:val="nil"/>
              <w:bottom w:val="nil"/>
              <w:right w:val="nil"/>
            </w:tcBorders>
            <w:vAlign w:val="bottom"/>
            <w:hideMark/>
          </w:tcPr>
          <w:p w14:paraId="4E16172E"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40841E92" w14:textId="77777777" w:rsidR="00A74C68" w:rsidRPr="00471CBA" w:rsidRDefault="00A74C68" w:rsidP="00F36B82">
            <w:pPr>
              <w:ind w:right="-16"/>
              <w:jc w:val="right"/>
              <w:rPr>
                <w:sz w:val="16"/>
                <w:szCs w:val="16"/>
              </w:rPr>
            </w:pPr>
            <w:r w:rsidRPr="00471CBA">
              <w:rPr>
                <w:sz w:val="16"/>
                <w:szCs w:val="16"/>
              </w:rPr>
              <w:t>-</w:t>
            </w:r>
          </w:p>
        </w:tc>
        <w:tc>
          <w:tcPr>
            <w:tcW w:w="527" w:type="pct"/>
            <w:tcBorders>
              <w:top w:val="nil"/>
              <w:left w:val="nil"/>
              <w:bottom w:val="nil"/>
              <w:right w:val="nil"/>
            </w:tcBorders>
            <w:vAlign w:val="bottom"/>
            <w:hideMark/>
          </w:tcPr>
          <w:p w14:paraId="27959F3B" w14:textId="77777777" w:rsidR="00A74C68" w:rsidRPr="00471CBA" w:rsidRDefault="00A74C68" w:rsidP="00F36B82">
            <w:pPr>
              <w:ind w:right="-16"/>
              <w:jc w:val="right"/>
              <w:rPr>
                <w:sz w:val="16"/>
                <w:szCs w:val="16"/>
              </w:rPr>
            </w:pPr>
            <w:r w:rsidRPr="00471CBA">
              <w:rPr>
                <w:sz w:val="16"/>
                <w:szCs w:val="16"/>
              </w:rPr>
              <w:t>-</w:t>
            </w:r>
          </w:p>
        </w:tc>
        <w:tc>
          <w:tcPr>
            <w:tcW w:w="532" w:type="pct"/>
            <w:tcBorders>
              <w:top w:val="nil"/>
              <w:left w:val="nil"/>
              <w:bottom w:val="nil"/>
              <w:right w:val="nil"/>
            </w:tcBorders>
            <w:vAlign w:val="bottom"/>
            <w:hideMark/>
          </w:tcPr>
          <w:p w14:paraId="320A6C42" w14:textId="77777777" w:rsidR="00A74C68" w:rsidRPr="00471CBA" w:rsidRDefault="00A74C68" w:rsidP="00F36B82">
            <w:pPr>
              <w:ind w:right="-16"/>
              <w:jc w:val="right"/>
              <w:rPr>
                <w:sz w:val="16"/>
                <w:szCs w:val="16"/>
              </w:rPr>
            </w:pPr>
            <w:r w:rsidRPr="00471CBA">
              <w:rPr>
                <w:sz w:val="16"/>
                <w:szCs w:val="16"/>
              </w:rPr>
              <w:t>-</w:t>
            </w:r>
          </w:p>
        </w:tc>
        <w:tc>
          <w:tcPr>
            <w:tcW w:w="356" w:type="pct"/>
            <w:tcBorders>
              <w:top w:val="nil"/>
              <w:left w:val="nil"/>
              <w:bottom w:val="nil"/>
              <w:right w:val="nil"/>
            </w:tcBorders>
            <w:vAlign w:val="bottom"/>
            <w:hideMark/>
          </w:tcPr>
          <w:p w14:paraId="54E7E0F0" w14:textId="77777777" w:rsidR="00A74C68" w:rsidRPr="00471CBA" w:rsidRDefault="00A74C68" w:rsidP="00F36B82">
            <w:pPr>
              <w:ind w:right="-16"/>
              <w:jc w:val="right"/>
              <w:rPr>
                <w:sz w:val="16"/>
                <w:szCs w:val="16"/>
              </w:rPr>
            </w:pPr>
            <w:r w:rsidRPr="00471CBA">
              <w:rPr>
                <w:sz w:val="16"/>
                <w:szCs w:val="16"/>
              </w:rPr>
              <w:t>-</w:t>
            </w:r>
          </w:p>
        </w:tc>
      </w:tr>
      <w:tr w:rsidR="00A74C68" w:rsidRPr="00471CBA" w14:paraId="34079251" w14:textId="77777777" w:rsidTr="00A74C68">
        <w:trPr>
          <w:divId w:val="485443198"/>
          <w:trHeight w:val="113"/>
        </w:trPr>
        <w:tc>
          <w:tcPr>
            <w:tcW w:w="1344" w:type="pct"/>
            <w:tcBorders>
              <w:top w:val="nil"/>
              <w:left w:val="nil"/>
              <w:bottom w:val="nil"/>
              <w:right w:val="nil"/>
            </w:tcBorders>
            <w:vAlign w:val="bottom"/>
            <w:hideMark/>
          </w:tcPr>
          <w:p w14:paraId="3804AB46" w14:textId="77777777" w:rsidR="00A74C68" w:rsidRPr="00471CBA" w:rsidRDefault="00A74C68" w:rsidP="00A74C68">
            <w:pPr>
              <w:rPr>
                <w:b/>
                <w:bCs/>
                <w:sz w:val="16"/>
                <w:szCs w:val="16"/>
              </w:rPr>
            </w:pPr>
            <w:proofErr w:type="spellStart"/>
            <w:r w:rsidRPr="00471CBA">
              <w:rPr>
                <w:b/>
                <w:bCs/>
                <w:sz w:val="16"/>
                <w:szCs w:val="16"/>
              </w:rPr>
              <w:t>IX.Kıymetli</w:t>
            </w:r>
            <w:proofErr w:type="spellEnd"/>
            <w:r w:rsidRPr="00471CBA">
              <w:rPr>
                <w:b/>
                <w:bCs/>
                <w:sz w:val="16"/>
                <w:szCs w:val="16"/>
              </w:rPr>
              <w:t xml:space="preserve"> Maden DH</w:t>
            </w:r>
          </w:p>
        </w:tc>
        <w:tc>
          <w:tcPr>
            <w:tcW w:w="373" w:type="pct"/>
            <w:tcBorders>
              <w:top w:val="nil"/>
              <w:left w:val="nil"/>
              <w:bottom w:val="nil"/>
              <w:right w:val="nil"/>
            </w:tcBorders>
            <w:vAlign w:val="bottom"/>
            <w:hideMark/>
          </w:tcPr>
          <w:p w14:paraId="262B615E" w14:textId="77777777" w:rsidR="00A74C68" w:rsidRPr="00471CBA" w:rsidRDefault="00A74C68" w:rsidP="00F36B82">
            <w:pPr>
              <w:ind w:right="-16"/>
              <w:jc w:val="right"/>
              <w:rPr>
                <w:b/>
                <w:bCs/>
                <w:sz w:val="16"/>
                <w:szCs w:val="16"/>
              </w:rPr>
            </w:pPr>
            <w:r w:rsidRPr="00471CBA">
              <w:rPr>
                <w:b/>
                <w:bCs/>
                <w:sz w:val="16"/>
                <w:szCs w:val="16"/>
              </w:rPr>
              <w:t>952.083</w:t>
            </w:r>
          </w:p>
        </w:tc>
        <w:tc>
          <w:tcPr>
            <w:tcW w:w="374" w:type="pct"/>
            <w:tcBorders>
              <w:top w:val="nil"/>
              <w:left w:val="nil"/>
              <w:bottom w:val="nil"/>
              <w:right w:val="nil"/>
            </w:tcBorders>
            <w:vAlign w:val="bottom"/>
            <w:hideMark/>
          </w:tcPr>
          <w:p w14:paraId="69430AD1" w14:textId="77777777" w:rsidR="00A74C68" w:rsidRPr="00471CBA" w:rsidRDefault="00A74C68" w:rsidP="00F36B82">
            <w:pPr>
              <w:ind w:right="-16"/>
              <w:jc w:val="right"/>
              <w:rPr>
                <w:b/>
                <w:bCs/>
                <w:sz w:val="16"/>
                <w:szCs w:val="16"/>
              </w:rPr>
            </w:pPr>
            <w:r w:rsidRPr="00471CBA">
              <w:rPr>
                <w:b/>
                <w:bCs/>
                <w:sz w:val="16"/>
                <w:szCs w:val="16"/>
              </w:rPr>
              <w:t>1.549</w:t>
            </w:r>
          </w:p>
        </w:tc>
        <w:tc>
          <w:tcPr>
            <w:tcW w:w="374" w:type="pct"/>
            <w:tcBorders>
              <w:top w:val="nil"/>
              <w:left w:val="nil"/>
              <w:bottom w:val="nil"/>
              <w:right w:val="nil"/>
            </w:tcBorders>
            <w:vAlign w:val="bottom"/>
            <w:hideMark/>
          </w:tcPr>
          <w:p w14:paraId="4C02F28E" w14:textId="77777777" w:rsidR="00A74C68" w:rsidRPr="00471CBA" w:rsidRDefault="00A74C68" w:rsidP="00F36B82">
            <w:pPr>
              <w:ind w:right="-16"/>
              <w:jc w:val="right"/>
              <w:rPr>
                <w:b/>
                <w:bCs/>
                <w:sz w:val="16"/>
                <w:szCs w:val="16"/>
              </w:rPr>
            </w:pPr>
            <w:r w:rsidRPr="00471CBA">
              <w:rPr>
                <w:b/>
                <w:bCs/>
                <w:sz w:val="16"/>
                <w:szCs w:val="16"/>
              </w:rPr>
              <w:t>354.787</w:t>
            </w:r>
          </w:p>
        </w:tc>
        <w:tc>
          <w:tcPr>
            <w:tcW w:w="374" w:type="pct"/>
            <w:tcBorders>
              <w:top w:val="nil"/>
              <w:left w:val="nil"/>
              <w:bottom w:val="nil"/>
              <w:right w:val="nil"/>
            </w:tcBorders>
            <w:vAlign w:val="bottom"/>
            <w:hideMark/>
          </w:tcPr>
          <w:p w14:paraId="28200A61" w14:textId="77777777" w:rsidR="00A74C68" w:rsidRPr="00471CBA" w:rsidRDefault="00A74C68" w:rsidP="00F36B82">
            <w:pPr>
              <w:ind w:right="-16"/>
              <w:jc w:val="right"/>
              <w:rPr>
                <w:b/>
                <w:bCs/>
                <w:sz w:val="16"/>
                <w:szCs w:val="16"/>
              </w:rPr>
            </w:pPr>
            <w:r w:rsidRPr="00471CBA">
              <w:rPr>
                <w:b/>
                <w:bCs/>
                <w:sz w:val="16"/>
                <w:szCs w:val="16"/>
              </w:rPr>
              <w:t>307.405</w:t>
            </w:r>
          </w:p>
        </w:tc>
        <w:tc>
          <w:tcPr>
            <w:tcW w:w="373" w:type="pct"/>
            <w:tcBorders>
              <w:top w:val="nil"/>
              <w:left w:val="nil"/>
              <w:bottom w:val="nil"/>
              <w:right w:val="nil"/>
            </w:tcBorders>
            <w:vAlign w:val="bottom"/>
            <w:hideMark/>
          </w:tcPr>
          <w:p w14:paraId="703AE814" w14:textId="77777777" w:rsidR="00A74C68" w:rsidRPr="00471CBA" w:rsidRDefault="00A74C68" w:rsidP="00F36B82">
            <w:pPr>
              <w:ind w:right="-16"/>
              <w:jc w:val="right"/>
              <w:rPr>
                <w:b/>
                <w:bCs/>
                <w:sz w:val="16"/>
                <w:szCs w:val="16"/>
              </w:rPr>
            </w:pPr>
            <w:r w:rsidRPr="00471CBA">
              <w:rPr>
                <w:b/>
                <w:bCs/>
                <w:sz w:val="16"/>
                <w:szCs w:val="16"/>
              </w:rPr>
              <w:t>-</w:t>
            </w:r>
          </w:p>
        </w:tc>
        <w:tc>
          <w:tcPr>
            <w:tcW w:w="374" w:type="pct"/>
            <w:tcBorders>
              <w:top w:val="nil"/>
              <w:left w:val="nil"/>
              <w:bottom w:val="nil"/>
              <w:right w:val="nil"/>
            </w:tcBorders>
            <w:vAlign w:val="bottom"/>
            <w:hideMark/>
          </w:tcPr>
          <w:p w14:paraId="1EE633FD" w14:textId="77777777" w:rsidR="00A74C68" w:rsidRPr="00471CBA" w:rsidRDefault="00A74C68" w:rsidP="00F36B82">
            <w:pPr>
              <w:ind w:right="-16"/>
              <w:jc w:val="right"/>
              <w:rPr>
                <w:b/>
                <w:bCs/>
                <w:sz w:val="16"/>
                <w:szCs w:val="16"/>
              </w:rPr>
            </w:pPr>
            <w:r w:rsidRPr="00471CBA">
              <w:rPr>
                <w:b/>
                <w:bCs/>
                <w:sz w:val="16"/>
                <w:szCs w:val="16"/>
              </w:rPr>
              <w:t>11.783</w:t>
            </w:r>
          </w:p>
        </w:tc>
        <w:tc>
          <w:tcPr>
            <w:tcW w:w="527" w:type="pct"/>
            <w:tcBorders>
              <w:top w:val="nil"/>
              <w:left w:val="nil"/>
              <w:bottom w:val="nil"/>
              <w:right w:val="nil"/>
            </w:tcBorders>
            <w:vAlign w:val="bottom"/>
            <w:hideMark/>
          </w:tcPr>
          <w:p w14:paraId="006539F8" w14:textId="77777777" w:rsidR="00A74C68" w:rsidRPr="00471CBA" w:rsidRDefault="00A74C68" w:rsidP="00F36B82">
            <w:pPr>
              <w:ind w:right="-16"/>
              <w:jc w:val="right"/>
              <w:rPr>
                <w:b/>
                <w:bCs/>
                <w:sz w:val="16"/>
                <w:szCs w:val="16"/>
              </w:rPr>
            </w:pPr>
            <w:r w:rsidRPr="00471CBA">
              <w:rPr>
                <w:b/>
                <w:bCs/>
                <w:sz w:val="16"/>
                <w:szCs w:val="16"/>
              </w:rPr>
              <w:t>2.428</w:t>
            </w:r>
          </w:p>
        </w:tc>
        <w:tc>
          <w:tcPr>
            <w:tcW w:w="532" w:type="pct"/>
            <w:tcBorders>
              <w:top w:val="nil"/>
              <w:left w:val="nil"/>
              <w:bottom w:val="nil"/>
              <w:right w:val="nil"/>
            </w:tcBorders>
            <w:vAlign w:val="bottom"/>
            <w:hideMark/>
          </w:tcPr>
          <w:p w14:paraId="466D9664" w14:textId="77777777" w:rsidR="00A74C68" w:rsidRPr="00471CBA" w:rsidRDefault="00A74C68" w:rsidP="00F36B82">
            <w:pPr>
              <w:ind w:right="-16"/>
              <w:jc w:val="right"/>
              <w:rPr>
                <w:b/>
                <w:bCs/>
                <w:sz w:val="16"/>
                <w:szCs w:val="16"/>
              </w:rPr>
            </w:pPr>
            <w:r w:rsidRPr="00471CBA">
              <w:rPr>
                <w:b/>
                <w:bCs/>
                <w:sz w:val="16"/>
                <w:szCs w:val="16"/>
              </w:rPr>
              <w:t>-</w:t>
            </w:r>
          </w:p>
        </w:tc>
        <w:tc>
          <w:tcPr>
            <w:tcW w:w="356" w:type="pct"/>
            <w:tcBorders>
              <w:top w:val="nil"/>
              <w:left w:val="nil"/>
              <w:bottom w:val="nil"/>
              <w:right w:val="nil"/>
            </w:tcBorders>
            <w:vAlign w:val="bottom"/>
            <w:hideMark/>
          </w:tcPr>
          <w:p w14:paraId="752F561D" w14:textId="77777777" w:rsidR="00A74C68" w:rsidRPr="00471CBA" w:rsidRDefault="00A74C68" w:rsidP="00F36B82">
            <w:pPr>
              <w:ind w:right="-16"/>
              <w:jc w:val="right"/>
              <w:rPr>
                <w:b/>
                <w:bCs/>
                <w:sz w:val="16"/>
                <w:szCs w:val="16"/>
              </w:rPr>
            </w:pPr>
            <w:r w:rsidRPr="00471CBA">
              <w:rPr>
                <w:b/>
                <w:bCs/>
                <w:sz w:val="16"/>
                <w:szCs w:val="16"/>
              </w:rPr>
              <w:t>1.630.035</w:t>
            </w:r>
          </w:p>
        </w:tc>
      </w:tr>
      <w:tr w:rsidR="00A74C68" w:rsidRPr="00471CBA" w14:paraId="54FDA63A" w14:textId="77777777" w:rsidTr="00A74C68">
        <w:trPr>
          <w:divId w:val="485443198"/>
          <w:trHeight w:val="113"/>
        </w:trPr>
        <w:tc>
          <w:tcPr>
            <w:tcW w:w="1344" w:type="pct"/>
            <w:tcBorders>
              <w:top w:val="nil"/>
              <w:left w:val="nil"/>
              <w:bottom w:val="nil"/>
              <w:right w:val="nil"/>
            </w:tcBorders>
            <w:vAlign w:val="bottom"/>
            <w:hideMark/>
          </w:tcPr>
          <w:p w14:paraId="218509F7" w14:textId="77777777" w:rsidR="00A74C68" w:rsidRPr="00471CBA" w:rsidRDefault="00A74C68" w:rsidP="00A74C68">
            <w:pPr>
              <w:rPr>
                <w:b/>
                <w:bCs/>
                <w:sz w:val="16"/>
                <w:szCs w:val="16"/>
              </w:rPr>
            </w:pPr>
            <w:r w:rsidRPr="00471CBA">
              <w:rPr>
                <w:b/>
                <w:bCs/>
                <w:sz w:val="16"/>
                <w:szCs w:val="16"/>
              </w:rPr>
              <w:t>X. Katılma Hesapları Özel Fon Havuzları-TP</w:t>
            </w:r>
          </w:p>
        </w:tc>
        <w:tc>
          <w:tcPr>
            <w:tcW w:w="373" w:type="pct"/>
            <w:tcBorders>
              <w:top w:val="nil"/>
              <w:left w:val="nil"/>
              <w:bottom w:val="nil"/>
              <w:right w:val="nil"/>
            </w:tcBorders>
            <w:vAlign w:val="bottom"/>
            <w:hideMark/>
          </w:tcPr>
          <w:p w14:paraId="07DC08B9" w14:textId="77777777" w:rsidR="00A74C68" w:rsidRPr="00471CBA" w:rsidRDefault="00A74C68" w:rsidP="00F36B82">
            <w:pPr>
              <w:ind w:right="-16"/>
              <w:jc w:val="right"/>
              <w:rPr>
                <w:b/>
                <w:bCs/>
                <w:sz w:val="16"/>
                <w:szCs w:val="16"/>
              </w:rPr>
            </w:pPr>
            <w:r w:rsidRPr="00471CBA">
              <w:rPr>
                <w:b/>
                <w:bCs/>
                <w:sz w:val="16"/>
                <w:szCs w:val="16"/>
              </w:rPr>
              <w:t>-</w:t>
            </w:r>
          </w:p>
        </w:tc>
        <w:tc>
          <w:tcPr>
            <w:tcW w:w="374" w:type="pct"/>
            <w:tcBorders>
              <w:top w:val="nil"/>
              <w:left w:val="nil"/>
              <w:bottom w:val="nil"/>
              <w:right w:val="nil"/>
            </w:tcBorders>
            <w:vAlign w:val="bottom"/>
            <w:hideMark/>
          </w:tcPr>
          <w:p w14:paraId="1F475955" w14:textId="77777777" w:rsidR="00A74C68" w:rsidRPr="00471CBA" w:rsidRDefault="00A74C68" w:rsidP="00F36B82">
            <w:pPr>
              <w:ind w:right="-16"/>
              <w:jc w:val="right"/>
              <w:rPr>
                <w:b/>
                <w:bCs/>
                <w:sz w:val="16"/>
                <w:szCs w:val="16"/>
              </w:rPr>
            </w:pPr>
            <w:r w:rsidRPr="00471CBA">
              <w:rPr>
                <w:b/>
                <w:bCs/>
                <w:sz w:val="16"/>
                <w:szCs w:val="16"/>
              </w:rPr>
              <w:t>-</w:t>
            </w:r>
          </w:p>
        </w:tc>
        <w:tc>
          <w:tcPr>
            <w:tcW w:w="374" w:type="pct"/>
            <w:tcBorders>
              <w:top w:val="nil"/>
              <w:left w:val="nil"/>
              <w:bottom w:val="nil"/>
              <w:right w:val="nil"/>
            </w:tcBorders>
            <w:vAlign w:val="bottom"/>
            <w:hideMark/>
          </w:tcPr>
          <w:p w14:paraId="0F3AC73B" w14:textId="77777777" w:rsidR="00A74C68" w:rsidRPr="00471CBA" w:rsidRDefault="00A74C68" w:rsidP="00F36B82">
            <w:pPr>
              <w:ind w:right="-16"/>
              <w:jc w:val="right"/>
              <w:rPr>
                <w:b/>
                <w:bCs/>
                <w:sz w:val="16"/>
                <w:szCs w:val="16"/>
              </w:rPr>
            </w:pPr>
            <w:r w:rsidRPr="00471CBA">
              <w:rPr>
                <w:b/>
                <w:bCs/>
                <w:sz w:val="16"/>
                <w:szCs w:val="16"/>
              </w:rPr>
              <w:t>-</w:t>
            </w:r>
          </w:p>
        </w:tc>
        <w:tc>
          <w:tcPr>
            <w:tcW w:w="374" w:type="pct"/>
            <w:tcBorders>
              <w:top w:val="nil"/>
              <w:left w:val="nil"/>
              <w:bottom w:val="nil"/>
              <w:right w:val="nil"/>
            </w:tcBorders>
            <w:vAlign w:val="bottom"/>
            <w:hideMark/>
          </w:tcPr>
          <w:p w14:paraId="5CF9E27F" w14:textId="77777777" w:rsidR="00A74C68" w:rsidRPr="00471CBA" w:rsidRDefault="00A74C68" w:rsidP="00F36B82">
            <w:pPr>
              <w:ind w:right="-16"/>
              <w:jc w:val="right"/>
              <w:rPr>
                <w:b/>
                <w:bCs/>
                <w:sz w:val="16"/>
                <w:szCs w:val="16"/>
              </w:rPr>
            </w:pPr>
            <w:r w:rsidRPr="00471CBA">
              <w:rPr>
                <w:b/>
                <w:bCs/>
                <w:sz w:val="16"/>
                <w:szCs w:val="16"/>
              </w:rPr>
              <w:t>-</w:t>
            </w:r>
          </w:p>
        </w:tc>
        <w:tc>
          <w:tcPr>
            <w:tcW w:w="373" w:type="pct"/>
            <w:tcBorders>
              <w:top w:val="nil"/>
              <w:left w:val="nil"/>
              <w:bottom w:val="nil"/>
              <w:right w:val="nil"/>
            </w:tcBorders>
            <w:vAlign w:val="bottom"/>
            <w:hideMark/>
          </w:tcPr>
          <w:p w14:paraId="79730796" w14:textId="77777777" w:rsidR="00A74C68" w:rsidRPr="00471CBA" w:rsidRDefault="00A74C68" w:rsidP="00F36B82">
            <w:pPr>
              <w:ind w:right="-16"/>
              <w:jc w:val="right"/>
              <w:rPr>
                <w:b/>
                <w:bCs/>
                <w:sz w:val="16"/>
                <w:szCs w:val="16"/>
              </w:rPr>
            </w:pPr>
            <w:r w:rsidRPr="00471CBA">
              <w:rPr>
                <w:b/>
                <w:bCs/>
                <w:sz w:val="16"/>
                <w:szCs w:val="16"/>
              </w:rPr>
              <w:t>-</w:t>
            </w:r>
          </w:p>
        </w:tc>
        <w:tc>
          <w:tcPr>
            <w:tcW w:w="374" w:type="pct"/>
            <w:tcBorders>
              <w:top w:val="nil"/>
              <w:left w:val="nil"/>
              <w:bottom w:val="nil"/>
              <w:right w:val="nil"/>
            </w:tcBorders>
            <w:vAlign w:val="bottom"/>
            <w:hideMark/>
          </w:tcPr>
          <w:p w14:paraId="4CF70372" w14:textId="77777777" w:rsidR="00A74C68" w:rsidRPr="00471CBA" w:rsidRDefault="00A74C68" w:rsidP="00F36B82">
            <w:pPr>
              <w:ind w:right="-16"/>
              <w:jc w:val="right"/>
              <w:rPr>
                <w:b/>
                <w:bCs/>
                <w:sz w:val="16"/>
                <w:szCs w:val="16"/>
              </w:rPr>
            </w:pPr>
            <w:r w:rsidRPr="00471CBA">
              <w:rPr>
                <w:b/>
                <w:bCs/>
                <w:sz w:val="16"/>
                <w:szCs w:val="16"/>
              </w:rPr>
              <w:t>-</w:t>
            </w:r>
          </w:p>
        </w:tc>
        <w:tc>
          <w:tcPr>
            <w:tcW w:w="527" w:type="pct"/>
            <w:tcBorders>
              <w:top w:val="nil"/>
              <w:left w:val="nil"/>
              <w:bottom w:val="nil"/>
              <w:right w:val="nil"/>
            </w:tcBorders>
            <w:vAlign w:val="bottom"/>
            <w:hideMark/>
          </w:tcPr>
          <w:p w14:paraId="3B4C134B" w14:textId="77777777" w:rsidR="00A74C68" w:rsidRPr="00471CBA" w:rsidRDefault="00A74C68" w:rsidP="00F36B82">
            <w:pPr>
              <w:ind w:right="-16"/>
              <w:jc w:val="right"/>
              <w:rPr>
                <w:b/>
                <w:bCs/>
                <w:sz w:val="16"/>
                <w:szCs w:val="16"/>
              </w:rPr>
            </w:pPr>
            <w:r w:rsidRPr="00471CBA">
              <w:rPr>
                <w:b/>
                <w:bCs/>
                <w:sz w:val="16"/>
                <w:szCs w:val="16"/>
              </w:rPr>
              <w:t>-</w:t>
            </w:r>
          </w:p>
        </w:tc>
        <w:tc>
          <w:tcPr>
            <w:tcW w:w="532" w:type="pct"/>
            <w:tcBorders>
              <w:top w:val="nil"/>
              <w:left w:val="nil"/>
              <w:bottom w:val="nil"/>
              <w:right w:val="nil"/>
            </w:tcBorders>
            <w:vAlign w:val="bottom"/>
            <w:hideMark/>
          </w:tcPr>
          <w:p w14:paraId="708CE6C8" w14:textId="77777777" w:rsidR="00A74C68" w:rsidRPr="00471CBA" w:rsidRDefault="00A74C68" w:rsidP="00F36B82">
            <w:pPr>
              <w:ind w:right="-16"/>
              <w:jc w:val="right"/>
              <w:rPr>
                <w:b/>
                <w:bCs/>
                <w:sz w:val="16"/>
                <w:szCs w:val="16"/>
              </w:rPr>
            </w:pPr>
            <w:r w:rsidRPr="00471CBA">
              <w:rPr>
                <w:b/>
                <w:bCs/>
                <w:sz w:val="16"/>
                <w:szCs w:val="16"/>
              </w:rPr>
              <w:t>-</w:t>
            </w:r>
          </w:p>
        </w:tc>
        <w:tc>
          <w:tcPr>
            <w:tcW w:w="356" w:type="pct"/>
            <w:tcBorders>
              <w:top w:val="nil"/>
              <w:left w:val="nil"/>
              <w:bottom w:val="nil"/>
              <w:right w:val="nil"/>
            </w:tcBorders>
            <w:vAlign w:val="bottom"/>
            <w:hideMark/>
          </w:tcPr>
          <w:p w14:paraId="687E6BE2" w14:textId="77777777" w:rsidR="00A74C68" w:rsidRPr="00471CBA" w:rsidRDefault="00A74C68" w:rsidP="00F36B82">
            <w:pPr>
              <w:ind w:right="-16"/>
              <w:jc w:val="right"/>
              <w:rPr>
                <w:b/>
                <w:bCs/>
                <w:sz w:val="16"/>
                <w:szCs w:val="16"/>
              </w:rPr>
            </w:pPr>
            <w:r w:rsidRPr="00471CBA">
              <w:rPr>
                <w:b/>
                <w:bCs/>
                <w:sz w:val="16"/>
                <w:szCs w:val="16"/>
              </w:rPr>
              <w:t>-</w:t>
            </w:r>
          </w:p>
        </w:tc>
      </w:tr>
      <w:tr w:rsidR="00A74C68" w:rsidRPr="00471CBA" w14:paraId="361FE3EE" w14:textId="77777777" w:rsidTr="00A74C68">
        <w:trPr>
          <w:divId w:val="485443198"/>
          <w:trHeight w:val="113"/>
        </w:trPr>
        <w:tc>
          <w:tcPr>
            <w:tcW w:w="1344" w:type="pct"/>
            <w:tcBorders>
              <w:top w:val="nil"/>
              <w:left w:val="nil"/>
              <w:bottom w:val="nil"/>
              <w:right w:val="nil"/>
            </w:tcBorders>
            <w:vAlign w:val="bottom"/>
            <w:hideMark/>
          </w:tcPr>
          <w:p w14:paraId="21DED2D8" w14:textId="77777777" w:rsidR="00A74C68" w:rsidRPr="00471CBA" w:rsidRDefault="00A74C68" w:rsidP="00A74C68">
            <w:pPr>
              <w:rPr>
                <w:sz w:val="16"/>
                <w:szCs w:val="16"/>
              </w:rPr>
            </w:pPr>
            <w:r w:rsidRPr="00471CBA">
              <w:rPr>
                <w:sz w:val="16"/>
                <w:szCs w:val="16"/>
              </w:rPr>
              <w:t>Yurtiçinde Yer. K.</w:t>
            </w:r>
          </w:p>
        </w:tc>
        <w:tc>
          <w:tcPr>
            <w:tcW w:w="373" w:type="pct"/>
            <w:tcBorders>
              <w:top w:val="nil"/>
              <w:left w:val="nil"/>
              <w:bottom w:val="nil"/>
              <w:right w:val="nil"/>
            </w:tcBorders>
            <w:vAlign w:val="bottom"/>
            <w:hideMark/>
          </w:tcPr>
          <w:p w14:paraId="7C4B5ECA"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72805FAB"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41E31FBA"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4144FF1B" w14:textId="77777777" w:rsidR="00A74C68" w:rsidRPr="00471CBA" w:rsidRDefault="00A74C68" w:rsidP="00F36B82">
            <w:pPr>
              <w:ind w:right="-16"/>
              <w:jc w:val="right"/>
              <w:rPr>
                <w:sz w:val="16"/>
                <w:szCs w:val="16"/>
              </w:rPr>
            </w:pPr>
            <w:r w:rsidRPr="00471CBA">
              <w:rPr>
                <w:sz w:val="16"/>
                <w:szCs w:val="16"/>
              </w:rPr>
              <w:t>-</w:t>
            </w:r>
          </w:p>
        </w:tc>
        <w:tc>
          <w:tcPr>
            <w:tcW w:w="373" w:type="pct"/>
            <w:tcBorders>
              <w:top w:val="nil"/>
              <w:left w:val="nil"/>
              <w:bottom w:val="nil"/>
              <w:right w:val="nil"/>
            </w:tcBorders>
            <w:vAlign w:val="bottom"/>
            <w:hideMark/>
          </w:tcPr>
          <w:p w14:paraId="0EFB952A"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64962461" w14:textId="77777777" w:rsidR="00A74C68" w:rsidRPr="00471CBA" w:rsidRDefault="00A74C68" w:rsidP="00F36B82">
            <w:pPr>
              <w:ind w:right="-16"/>
              <w:jc w:val="right"/>
              <w:rPr>
                <w:sz w:val="16"/>
                <w:szCs w:val="16"/>
              </w:rPr>
            </w:pPr>
            <w:r w:rsidRPr="00471CBA">
              <w:rPr>
                <w:sz w:val="16"/>
                <w:szCs w:val="16"/>
              </w:rPr>
              <w:t>-</w:t>
            </w:r>
          </w:p>
        </w:tc>
        <w:tc>
          <w:tcPr>
            <w:tcW w:w="527" w:type="pct"/>
            <w:tcBorders>
              <w:top w:val="nil"/>
              <w:left w:val="nil"/>
              <w:bottom w:val="nil"/>
              <w:right w:val="nil"/>
            </w:tcBorders>
            <w:vAlign w:val="bottom"/>
            <w:hideMark/>
          </w:tcPr>
          <w:p w14:paraId="6EFE78F3" w14:textId="77777777" w:rsidR="00A74C68" w:rsidRPr="00471CBA" w:rsidRDefault="00A74C68" w:rsidP="00F36B82">
            <w:pPr>
              <w:ind w:right="-16"/>
              <w:jc w:val="right"/>
              <w:rPr>
                <w:sz w:val="16"/>
                <w:szCs w:val="16"/>
              </w:rPr>
            </w:pPr>
            <w:r w:rsidRPr="00471CBA">
              <w:rPr>
                <w:sz w:val="16"/>
                <w:szCs w:val="16"/>
              </w:rPr>
              <w:t>-</w:t>
            </w:r>
          </w:p>
        </w:tc>
        <w:tc>
          <w:tcPr>
            <w:tcW w:w="532" w:type="pct"/>
            <w:tcBorders>
              <w:top w:val="nil"/>
              <w:left w:val="nil"/>
              <w:bottom w:val="nil"/>
              <w:right w:val="nil"/>
            </w:tcBorders>
            <w:vAlign w:val="bottom"/>
            <w:hideMark/>
          </w:tcPr>
          <w:p w14:paraId="3372E8B5" w14:textId="77777777" w:rsidR="00A74C68" w:rsidRPr="00471CBA" w:rsidRDefault="00A74C68" w:rsidP="00F36B82">
            <w:pPr>
              <w:ind w:right="-16"/>
              <w:jc w:val="right"/>
              <w:rPr>
                <w:sz w:val="16"/>
                <w:szCs w:val="16"/>
              </w:rPr>
            </w:pPr>
            <w:r w:rsidRPr="00471CBA">
              <w:rPr>
                <w:sz w:val="16"/>
                <w:szCs w:val="16"/>
              </w:rPr>
              <w:t>-</w:t>
            </w:r>
          </w:p>
        </w:tc>
        <w:tc>
          <w:tcPr>
            <w:tcW w:w="356" w:type="pct"/>
            <w:tcBorders>
              <w:top w:val="nil"/>
              <w:left w:val="nil"/>
              <w:bottom w:val="nil"/>
              <w:right w:val="nil"/>
            </w:tcBorders>
            <w:vAlign w:val="bottom"/>
            <w:hideMark/>
          </w:tcPr>
          <w:p w14:paraId="5A5626EB" w14:textId="77777777" w:rsidR="00A74C68" w:rsidRPr="00471CBA" w:rsidRDefault="00A74C68" w:rsidP="00F36B82">
            <w:pPr>
              <w:ind w:right="-16"/>
              <w:jc w:val="right"/>
              <w:rPr>
                <w:sz w:val="16"/>
                <w:szCs w:val="16"/>
              </w:rPr>
            </w:pPr>
            <w:r w:rsidRPr="00471CBA">
              <w:rPr>
                <w:sz w:val="16"/>
                <w:szCs w:val="16"/>
              </w:rPr>
              <w:t>-</w:t>
            </w:r>
          </w:p>
        </w:tc>
      </w:tr>
      <w:tr w:rsidR="00A74C68" w:rsidRPr="00471CBA" w14:paraId="29DFCC4B" w14:textId="77777777" w:rsidTr="00A74C68">
        <w:trPr>
          <w:divId w:val="485443198"/>
          <w:trHeight w:val="113"/>
        </w:trPr>
        <w:tc>
          <w:tcPr>
            <w:tcW w:w="1344" w:type="pct"/>
            <w:tcBorders>
              <w:top w:val="nil"/>
              <w:left w:val="nil"/>
              <w:bottom w:val="nil"/>
              <w:right w:val="nil"/>
            </w:tcBorders>
            <w:vAlign w:val="bottom"/>
            <w:hideMark/>
          </w:tcPr>
          <w:p w14:paraId="00780425" w14:textId="77777777" w:rsidR="00A74C68" w:rsidRPr="00471CBA" w:rsidRDefault="00A74C68" w:rsidP="00A74C68">
            <w:pPr>
              <w:rPr>
                <w:sz w:val="16"/>
                <w:szCs w:val="16"/>
              </w:rPr>
            </w:pPr>
            <w:r w:rsidRPr="00471CBA">
              <w:rPr>
                <w:sz w:val="16"/>
                <w:szCs w:val="16"/>
              </w:rPr>
              <w:t>Yurtdışında Yer. K.</w:t>
            </w:r>
          </w:p>
        </w:tc>
        <w:tc>
          <w:tcPr>
            <w:tcW w:w="373" w:type="pct"/>
            <w:tcBorders>
              <w:top w:val="nil"/>
              <w:left w:val="nil"/>
              <w:bottom w:val="nil"/>
              <w:right w:val="nil"/>
            </w:tcBorders>
            <w:vAlign w:val="bottom"/>
            <w:hideMark/>
          </w:tcPr>
          <w:p w14:paraId="1743BB63"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1C78846F"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567D4F88"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2060F541" w14:textId="77777777" w:rsidR="00A74C68" w:rsidRPr="00471CBA" w:rsidRDefault="00A74C68" w:rsidP="00F36B82">
            <w:pPr>
              <w:ind w:right="-16"/>
              <w:jc w:val="right"/>
              <w:rPr>
                <w:sz w:val="16"/>
                <w:szCs w:val="16"/>
              </w:rPr>
            </w:pPr>
            <w:r w:rsidRPr="00471CBA">
              <w:rPr>
                <w:sz w:val="16"/>
                <w:szCs w:val="16"/>
              </w:rPr>
              <w:t>-</w:t>
            </w:r>
          </w:p>
        </w:tc>
        <w:tc>
          <w:tcPr>
            <w:tcW w:w="373" w:type="pct"/>
            <w:tcBorders>
              <w:top w:val="nil"/>
              <w:left w:val="nil"/>
              <w:bottom w:val="nil"/>
              <w:right w:val="nil"/>
            </w:tcBorders>
            <w:vAlign w:val="bottom"/>
            <w:hideMark/>
          </w:tcPr>
          <w:p w14:paraId="42AD7C81"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148E3C0E" w14:textId="77777777" w:rsidR="00A74C68" w:rsidRPr="00471CBA" w:rsidRDefault="00A74C68" w:rsidP="00F36B82">
            <w:pPr>
              <w:ind w:right="-16"/>
              <w:jc w:val="right"/>
              <w:rPr>
                <w:sz w:val="16"/>
                <w:szCs w:val="16"/>
              </w:rPr>
            </w:pPr>
            <w:r w:rsidRPr="00471CBA">
              <w:rPr>
                <w:sz w:val="16"/>
                <w:szCs w:val="16"/>
              </w:rPr>
              <w:t>-</w:t>
            </w:r>
          </w:p>
        </w:tc>
        <w:tc>
          <w:tcPr>
            <w:tcW w:w="527" w:type="pct"/>
            <w:tcBorders>
              <w:top w:val="nil"/>
              <w:left w:val="nil"/>
              <w:bottom w:val="nil"/>
              <w:right w:val="nil"/>
            </w:tcBorders>
            <w:vAlign w:val="bottom"/>
            <w:hideMark/>
          </w:tcPr>
          <w:p w14:paraId="2FA29ABC" w14:textId="77777777" w:rsidR="00A74C68" w:rsidRPr="00471CBA" w:rsidRDefault="00A74C68" w:rsidP="00F36B82">
            <w:pPr>
              <w:ind w:right="-16"/>
              <w:jc w:val="right"/>
              <w:rPr>
                <w:sz w:val="16"/>
                <w:szCs w:val="16"/>
              </w:rPr>
            </w:pPr>
            <w:r w:rsidRPr="00471CBA">
              <w:rPr>
                <w:sz w:val="16"/>
                <w:szCs w:val="16"/>
              </w:rPr>
              <w:t>-</w:t>
            </w:r>
          </w:p>
        </w:tc>
        <w:tc>
          <w:tcPr>
            <w:tcW w:w="532" w:type="pct"/>
            <w:tcBorders>
              <w:top w:val="nil"/>
              <w:left w:val="nil"/>
              <w:bottom w:val="nil"/>
              <w:right w:val="nil"/>
            </w:tcBorders>
            <w:vAlign w:val="bottom"/>
            <w:hideMark/>
          </w:tcPr>
          <w:p w14:paraId="0C16FA3D" w14:textId="77777777" w:rsidR="00A74C68" w:rsidRPr="00471CBA" w:rsidRDefault="00A74C68" w:rsidP="00F36B82">
            <w:pPr>
              <w:ind w:right="-16"/>
              <w:jc w:val="right"/>
              <w:rPr>
                <w:sz w:val="16"/>
                <w:szCs w:val="16"/>
              </w:rPr>
            </w:pPr>
            <w:r w:rsidRPr="00471CBA">
              <w:rPr>
                <w:sz w:val="16"/>
                <w:szCs w:val="16"/>
              </w:rPr>
              <w:t>-</w:t>
            </w:r>
          </w:p>
        </w:tc>
        <w:tc>
          <w:tcPr>
            <w:tcW w:w="356" w:type="pct"/>
            <w:tcBorders>
              <w:top w:val="nil"/>
              <w:left w:val="nil"/>
              <w:bottom w:val="nil"/>
              <w:right w:val="nil"/>
            </w:tcBorders>
            <w:vAlign w:val="bottom"/>
            <w:hideMark/>
          </w:tcPr>
          <w:p w14:paraId="688AA4C3" w14:textId="77777777" w:rsidR="00A74C68" w:rsidRPr="00471CBA" w:rsidRDefault="00A74C68" w:rsidP="00F36B82">
            <w:pPr>
              <w:ind w:right="-16"/>
              <w:jc w:val="right"/>
              <w:rPr>
                <w:sz w:val="16"/>
                <w:szCs w:val="16"/>
              </w:rPr>
            </w:pPr>
            <w:r w:rsidRPr="00471CBA">
              <w:rPr>
                <w:sz w:val="16"/>
                <w:szCs w:val="16"/>
              </w:rPr>
              <w:t>-</w:t>
            </w:r>
          </w:p>
        </w:tc>
      </w:tr>
      <w:tr w:rsidR="00A74C68" w:rsidRPr="00471CBA" w14:paraId="7F38E9C4" w14:textId="77777777" w:rsidTr="00A74C68">
        <w:trPr>
          <w:divId w:val="485443198"/>
          <w:trHeight w:val="113"/>
        </w:trPr>
        <w:tc>
          <w:tcPr>
            <w:tcW w:w="1344" w:type="pct"/>
            <w:tcBorders>
              <w:top w:val="nil"/>
              <w:left w:val="nil"/>
              <w:bottom w:val="nil"/>
              <w:right w:val="nil"/>
            </w:tcBorders>
            <w:vAlign w:val="bottom"/>
            <w:hideMark/>
          </w:tcPr>
          <w:p w14:paraId="09AD31F7" w14:textId="77777777" w:rsidR="00A74C68" w:rsidRPr="00471CBA" w:rsidRDefault="00A74C68" w:rsidP="00A74C68">
            <w:pPr>
              <w:rPr>
                <w:b/>
                <w:bCs/>
                <w:sz w:val="16"/>
                <w:szCs w:val="16"/>
              </w:rPr>
            </w:pPr>
            <w:r w:rsidRPr="00471CBA">
              <w:rPr>
                <w:rFonts w:eastAsia="Arial Unicode MS"/>
                <w:b/>
                <w:bCs/>
                <w:sz w:val="16"/>
                <w:szCs w:val="16"/>
              </w:rPr>
              <w:t>XI. Katılma Hesapları Özel Fon Havuzları-YP</w:t>
            </w:r>
          </w:p>
        </w:tc>
        <w:tc>
          <w:tcPr>
            <w:tcW w:w="373" w:type="pct"/>
            <w:tcBorders>
              <w:top w:val="nil"/>
              <w:left w:val="nil"/>
              <w:bottom w:val="nil"/>
              <w:right w:val="nil"/>
            </w:tcBorders>
            <w:vAlign w:val="bottom"/>
            <w:hideMark/>
          </w:tcPr>
          <w:p w14:paraId="5462869A" w14:textId="77777777" w:rsidR="00A74C68" w:rsidRPr="00471CBA" w:rsidRDefault="00A74C68" w:rsidP="00F36B82">
            <w:pPr>
              <w:ind w:right="-16"/>
              <w:jc w:val="right"/>
              <w:rPr>
                <w:b/>
                <w:bCs/>
                <w:sz w:val="16"/>
                <w:szCs w:val="16"/>
              </w:rPr>
            </w:pPr>
            <w:r w:rsidRPr="00471CBA">
              <w:rPr>
                <w:b/>
                <w:bCs/>
                <w:sz w:val="16"/>
                <w:szCs w:val="16"/>
              </w:rPr>
              <w:t>-</w:t>
            </w:r>
          </w:p>
        </w:tc>
        <w:tc>
          <w:tcPr>
            <w:tcW w:w="374" w:type="pct"/>
            <w:tcBorders>
              <w:top w:val="nil"/>
              <w:left w:val="nil"/>
              <w:bottom w:val="nil"/>
              <w:right w:val="nil"/>
            </w:tcBorders>
            <w:vAlign w:val="bottom"/>
            <w:hideMark/>
          </w:tcPr>
          <w:p w14:paraId="62D2B2C9" w14:textId="77777777" w:rsidR="00A74C68" w:rsidRPr="00471CBA" w:rsidRDefault="00A74C68" w:rsidP="00F36B82">
            <w:pPr>
              <w:ind w:right="-16"/>
              <w:jc w:val="right"/>
              <w:rPr>
                <w:b/>
                <w:bCs/>
                <w:sz w:val="16"/>
                <w:szCs w:val="16"/>
              </w:rPr>
            </w:pPr>
            <w:r w:rsidRPr="00471CBA">
              <w:rPr>
                <w:b/>
                <w:bCs/>
                <w:sz w:val="16"/>
                <w:szCs w:val="16"/>
              </w:rPr>
              <w:t>-</w:t>
            </w:r>
          </w:p>
        </w:tc>
        <w:tc>
          <w:tcPr>
            <w:tcW w:w="374" w:type="pct"/>
            <w:tcBorders>
              <w:top w:val="nil"/>
              <w:left w:val="nil"/>
              <w:bottom w:val="nil"/>
              <w:right w:val="nil"/>
            </w:tcBorders>
            <w:vAlign w:val="bottom"/>
            <w:hideMark/>
          </w:tcPr>
          <w:p w14:paraId="4821B7FD" w14:textId="77777777" w:rsidR="00A74C68" w:rsidRPr="00471CBA" w:rsidRDefault="00A74C68" w:rsidP="00F36B82">
            <w:pPr>
              <w:ind w:right="-16"/>
              <w:jc w:val="right"/>
              <w:rPr>
                <w:b/>
                <w:bCs/>
                <w:sz w:val="16"/>
                <w:szCs w:val="16"/>
              </w:rPr>
            </w:pPr>
            <w:r w:rsidRPr="00471CBA">
              <w:rPr>
                <w:b/>
                <w:bCs/>
                <w:sz w:val="16"/>
                <w:szCs w:val="16"/>
              </w:rPr>
              <w:t>-</w:t>
            </w:r>
          </w:p>
        </w:tc>
        <w:tc>
          <w:tcPr>
            <w:tcW w:w="374" w:type="pct"/>
            <w:tcBorders>
              <w:top w:val="nil"/>
              <w:left w:val="nil"/>
              <w:bottom w:val="nil"/>
              <w:right w:val="nil"/>
            </w:tcBorders>
            <w:vAlign w:val="bottom"/>
            <w:hideMark/>
          </w:tcPr>
          <w:p w14:paraId="509C3F20" w14:textId="77777777" w:rsidR="00A74C68" w:rsidRPr="00471CBA" w:rsidRDefault="00A74C68" w:rsidP="00F36B82">
            <w:pPr>
              <w:ind w:right="-16"/>
              <w:jc w:val="right"/>
              <w:rPr>
                <w:b/>
                <w:bCs/>
                <w:sz w:val="16"/>
                <w:szCs w:val="16"/>
              </w:rPr>
            </w:pPr>
            <w:r w:rsidRPr="00471CBA">
              <w:rPr>
                <w:b/>
                <w:bCs/>
                <w:sz w:val="16"/>
                <w:szCs w:val="16"/>
              </w:rPr>
              <w:t>-</w:t>
            </w:r>
          </w:p>
        </w:tc>
        <w:tc>
          <w:tcPr>
            <w:tcW w:w="373" w:type="pct"/>
            <w:tcBorders>
              <w:top w:val="nil"/>
              <w:left w:val="nil"/>
              <w:bottom w:val="nil"/>
              <w:right w:val="nil"/>
            </w:tcBorders>
            <w:vAlign w:val="bottom"/>
            <w:hideMark/>
          </w:tcPr>
          <w:p w14:paraId="152E7CC7" w14:textId="77777777" w:rsidR="00A74C68" w:rsidRPr="00471CBA" w:rsidRDefault="00A74C68" w:rsidP="00F36B82">
            <w:pPr>
              <w:ind w:right="-16"/>
              <w:jc w:val="right"/>
              <w:rPr>
                <w:b/>
                <w:bCs/>
                <w:sz w:val="16"/>
                <w:szCs w:val="16"/>
              </w:rPr>
            </w:pPr>
            <w:r w:rsidRPr="00471CBA">
              <w:rPr>
                <w:b/>
                <w:bCs/>
                <w:sz w:val="16"/>
                <w:szCs w:val="16"/>
              </w:rPr>
              <w:t>-</w:t>
            </w:r>
          </w:p>
        </w:tc>
        <w:tc>
          <w:tcPr>
            <w:tcW w:w="374" w:type="pct"/>
            <w:tcBorders>
              <w:top w:val="nil"/>
              <w:left w:val="nil"/>
              <w:bottom w:val="nil"/>
              <w:right w:val="nil"/>
            </w:tcBorders>
            <w:vAlign w:val="bottom"/>
            <w:hideMark/>
          </w:tcPr>
          <w:p w14:paraId="3375A314" w14:textId="77777777" w:rsidR="00A74C68" w:rsidRPr="00471CBA" w:rsidRDefault="00A74C68" w:rsidP="00F36B82">
            <w:pPr>
              <w:ind w:right="-16"/>
              <w:jc w:val="right"/>
              <w:rPr>
                <w:b/>
                <w:bCs/>
                <w:sz w:val="16"/>
                <w:szCs w:val="16"/>
              </w:rPr>
            </w:pPr>
            <w:r w:rsidRPr="00471CBA">
              <w:rPr>
                <w:b/>
                <w:bCs/>
                <w:sz w:val="16"/>
                <w:szCs w:val="16"/>
              </w:rPr>
              <w:t>-</w:t>
            </w:r>
          </w:p>
        </w:tc>
        <w:tc>
          <w:tcPr>
            <w:tcW w:w="527" w:type="pct"/>
            <w:tcBorders>
              <w:top w:val="nil"/>
              <w:left w:val="nil"/>
              <w:bottom w:val="nil"/>
              <w:right w:val="nil"/>
            </w:tcBorders>
            <w:vAlign w:val="bottom"/>
            <w:hideMark/>
          </w:tcPr>
          <w:p w14:paraId="42FE065D" w14:textId="77777777" w:rsidR="00A74C68" w:rsidRPr="00471CBA" w:rsidRDefault="00A74C68" w:rsidP="00F36B82">
            <w:pPr>
              <w:ind w:right="-16"/>
              <w:jc w:val="right"/>
              <w:rPr>
                <w:b/>
                <w:bCs/>
                <w:sz w:val="16"/>
                <w:szCs w:val="16"/>
              </w:rPr>
            </w:pPr>
            <w:r w:rsidRPr="00471CBA">
              <w:rPr>
                <w:b/>
                <w:bCs/>
                <w:sz w:val="16"/>
                <w:szCs w:val="16"/>
              </w:rPr>
              <w:t>-</w:t>
            </w:r>
          </w:p>
        </w:tc>
        <w:tc>
          <w:tcPr>
            <w:tcW w:w="532" w:type="pct"/>
            <w:tcBorders>
              <w:top w:val="nil"/>
              <w:left w:val="nil"/>
              <w:bottom w:val="nil"/>
              <w:right w:val="nil"/>
            </w:tcBorders>
            <w:vAlign w:val="bottom"/>
            <w:hideMark/>
          </w:tcPr>
          <w:p w14:paraId="2646FE4B" w14:textId="77777777" w:rsidR="00A74C68" w:rsidRPr="00471CBA" w:rsidRDefault="00A74C68" w:rsidP="00F36B82">
            <w:pPr>
              <w:ind w:right="-16"/>
              <w:jc w:val="right"/>
              <w:rPr>
                <w:b/>
                <w:bCs/>
                <w:sz w:val="16"/>
                <w:szCs w:val="16"/>
              </w:rPr>
            </w:pPr>
            <w:r w:rsidRPr="00471CBA">
              <w:rPr>
                <w:b/>
                <w:bCs/>
                <w:sz w:val="16"/>
                <w:szCs w:val="16"/>
              </w:rPr>
              <w:t>-</w:t>
            </w:r>
          </w:p>
        </w:tc>
        <w:tc>
          <w:tcPr>
            <w:tcW w:w="356" w:type="pct"/>
            <w:tcBorders>
              <w:top w:val="nil"/>
              <w:left w:val="nil"/>
              <w:bottom w:val="nil"/>
              <w:right w:val="nil"/>
            </w:tcBorders>
            <w:vAlign w:val="bottom"/>
            <w:hideMark/>
          </w:tcPr>
          <w:p w14:paraId="0C965B4A" w14:textId="77777777" w:rsidR="00A74C68" w:rsidRPr="00471CBA" w:rsidRDefault="00A74C68" w:rsidP="00F36B82">
            <w:pPr>
              <w:ind w:right="-16"/>
              <w:jc w:val="right"/>
              <w:rPr>
                <w:b/>
                <w:bCs/>
                <w:sz w:val="16"/>
                <w:szCs w:val="16"/>
              </w:rPr>
            </w:pPr>
            <w:r w:rsidRPr="00471CBA">
              <w:rPr>
                <w:b/>
                <w:bCs/>
                <w:sz w:val="16"/>
                <w:szCs w:val="16"/>
              </w:rPr>
              <w:t>-</w:t>
            </w:r>
          </w:p>
        </w:tc>
      </w:tr>
      <w:tr w:rsidR="00A74C68" w:rsidRPr="00471CBA" w14:paraId="040ACBCA" w14:textId="77777777" w:rsidTr="00A74C68">
        <w:trPr>
          <w:divId w:val="485443198"/>
          <w:trHeight w:val="113"/>
        </w:trPr>
        <w:tc>
          <w:tcPr>
            <w:tcW w:w="1344" w:type="pct"/>
            <w:tcBorders>
              <w:top w:val="nil"/>
              <w:left w:val="nil"/>
              <w:bottom w:val="nil"/>
              <w:right w:val="nil"/>
            </w:tcBorders>
            <w:vAlign w:val="bottom"/>
            <w:hideMark/>
          </w:tcPr>
          <w:p w14:paraId="456CF3C5" w14:textId="77777777" w:rsidR="00A74C68" w:rsidRPr="00471CBA" w:rsidRDefault="00A74C68" w:rsidP="00A74C68">
            <w:pPr>
              <w:rPr>
                <w:sz w:val="16"/>
                <w:szCs w:val="16"/>
              </w:rPr>
            </w:pPr>
            <w:r w:rsidRPr="00471CBA">
              <w:rPr>
                <w:sz w:val="16"/>
                <w:szCs w:val="16"/>
              </w:rPr>
              <w:t>Yurtiçinde Yer. K.</w:t>
            </w:r>
          </w:p>
        </w:tc>
        <w:tc>
          <w:tcPr>
            <w:tcW w:w="373" w:type="pct"/>
            <w:tcBorders>
              <w:top w:val="nil"/>
              <w:left w:val="nil"/>
              <w:bottom w:val="nil"/>
              <w:right w:val="nil"/>
            </w:tcBorders>
            <w:vAlign w:val="bottom"/>
            <w:hideMark/>
          </w:tcPr>
          <w:p w14:paraId="7FD0B83C"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0538D6AD"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70906E81"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6FEC4BE3" w14:textId="77777777" w:rsidR="00A74C68" w:rsidRPr="00471CBA" w:rsidRDefault="00A74C68" w:rsidP="00F36B82">
            <w:pPr>
              <w:ind w:right="-16"/>
              <w:jc w:val="right"/>
              <w:rPr>
                <w:sz w:val="16"/>
                <w:szCs w:val="16"/>
              </w:rPr>
            </w:pPr>
            <w:r w:rsidRPr="00471CBA">
              <w:rPr>
                <w:sz w:val="16"/>
                <w:szCs w:val="16"/>
              </w:rPr>
              <w:t>-</w:t>
            </w:r>
          </w:p>
        </w:tc>
        <w:tc>
          <w:tcPr>
            <w:tcW w:w="373" w:type="pct"/>
            <w:tcBorders>
              <w:top w:val="nil"/>
              <w:left w:val="nil"/>
              <w:bottom w:val="nil"/>
              <w:right w:val="nil"/>
            </w:tcBorders>
            <w:vAlign w:val="bottom"/>
            <w:hideMark/>
          </w:tcPr>
          <w:p w14:paraId="57283B93"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nil"/>
              <w:right w:val="nil"/>
            </w:tcBorders>
            <w:vAlign w:val="bottom"/>
            <w:hideMark/>
          </w:tcPr>
          <w:p w14:paraId="3D8256D6" w14:textId="77777777" w:rsidR="00A74C68" w:rsidRPr="00471CBA" w:rsidRDefault="00A74C68" w:rsidP="00F36B82">
            <w:pPr>
              <w:ind w:right="-16"/>
              <w:jc w:val="right"/>
              <w:rPr>
                <w:sz w:val="16"/>
                <w:szCs w:val="16"/>
              </w:rPr>
            </w:pPr>
            <w:r w:rsidRPr="00471CBA">
              <w:rPr>
                <w:sz w:val="16"/>
                <w:szCs w:val="16"/>
              </w:rPr>
              <w:t>-</w:t>
            </w:r>
          </w:p>
        </w:tc>
        <w:tc>
          <w:tcPr>
            <w:tcW w:w="527" w:type="pct"/>
            <w:tcBorders>
              <w:top w:val="nil"/>
              <w:left w:val="nil"/>
              <w:bottom w:val="nil"/>
              <w:right w:val="nil"/>
            </w:tcBorders>
            <w:vAlign w:val="bottom"/>
            <w:hideMark/>
          </w:tcPr>
          <w:p w14:paraId="4C4A20D0" w14:textId="77777777" w:rsidR="00A74C68" w:rsidRPr="00471CBA" w:rsidRDefault="00A74C68" w:rsidP="00F36B82">
            <w:pPr>
              <w:ind w:right="-16"/>
              <w:jc w:val="right"/>
              <w:rPr>
                <w:sz w:val="16"/>
                <w:szCs w:val="16"/>
              </w:rPr>
            </w:pPr>
            <w:r w:rsidRPr="00471CBA">
              <w:rPr>
                <w:sz w:val="16"/>
                <w:szCs w:val="16"/>
              </w:rPr>
              <w:t>-</w:t>
            </w:r>
          </w:p>
        </w:tc>
        <w:tc>
          <w:tcPr>
            <w:tcW w:w="532" w:type="pct"/>
            <w:tcBorders>
              <w:top w:val="nil"/>
              <w:left w:val="nil"/>
              <w:bottom w:val="nil"/>
              <w:right w:val="nil"/>
            </w:tcBorders>
            <w:vAlign w:val="bottom"/>
            <w:hideMark/>
          </w:tcPr>
          <w:p w14:paraId="52D9B9EE" w14:textId="77777777" w:rsidR="00A74C68" w:rsidRPr="00471CBA" w:rsidRDefault="00A74C68" w:rsidP="00F36B82">
            <w:pPr>
              <w:ind w:right="-16"/>
              <w:jc w:val="right"/>
              <w:rPr>
                <w:sz w:val="16"/>
                <w:szCs w:val="16"/>
              </w:rPr>
            </w:pPr>
            <w:r w:rsidRPr="00471CBA">
              <w:rPr>
                <w:sz w:val="16"/>
                <w:szCs w:val="16"/>
              </w:rPr>
              <w:t>-</w:t>
            </w:r>
          </w:p>
        </w:tc>
        <w:tc>
          <w:tcPr>
            <w:tcW w:w="356" w:type="pct"/>
            <w:tcBorders>
              <w:top w:val="nil"/>
              <w:left w:val="nil"/>
              <w:bottom w:val="nil"/>
              <w:right w:val="nil"/>
            </w:tcBorders>
            <w:vAlign w:val="bottom"/>
            <w:hideMark/>
          </w:tcPr>
          <w:p w14:paraId="05BECEA9" w14:textId="77777777" w:rsidR="00A74C68" w:rsidRPr="00471CBA" w:rsidRDefault="00A74C68" w:rsidP="00F36B82">
            <w:pPr>
              <w:ind w:right="-16"/>
              <w:jc w:val="right"/>
              <w:rPr>
                <w:sz w:val="16"/>
                <w:szCs w:val="16"/>
              </w:rPr>
            </w:pPr>
            <w:r w:rsidRPr="00471CBA">
              <w:rPr>
                <w:sz w:val="16"/>
                <w:szCs w:val="16"/>
              </w:rPr>
              <w:t>-</w:t>
            </w:r>
          </w:p>
        </w:tc>
      </w:tr>
      <w:tr w:rsidR="00A74C68" w:rsidRPr="00471CBA" w14:paraId="6870B08C" w14:textId="77777777" w:rsidTr="00A74C68">
        <w:trPr>
          <w:divId w:val="485443198"/>
          <w:trHeight w:val="113"/>
        </w:trPr>
        <w:tc>
          <w:tcPr>
            <w:tcW w:w="1344" w:type="pct"/>
            <w:tcBorders>
              <w:top w:val="nil"/>
              <w:left w:val="nil"/>
              <w:bottom w:val="single" w:sz="4" w:space="0" w:color="auto"/>
              <w:right w:val="nil"/>
            </w:tcBorders>
            <w:vAlign w:val="bottom"/>
            <w:hideMark/>
          </w:tcPr>
          <w:p w14:paraId="2D38C62C" w14:textId="77777777" w:rsidR="00A74C68" w:rsidRPr="00471CBA" w:rsidRDefault="00A74C68" w:rsidP="00A74C68">
            <w:pPr>
              <w:rPr>
                <w:sz w:val="16"/>
                <w:szCs w:val="16"/>
              </w:rPr>
            </w:pPr>
            <w:r w:rsidRPr="00471CBA">
              <w:rPr>
                <w:sz w:val="16"/>
                <w:szCs w:val="16"/>
              </w:rPr>
              <w:t>Yurtdışında Yer. K.</w:t>
            </w:r>
          </w:p>
        </w:tc>
        <w:tc>
          <w:tcPr>
            <w:tcW w:w="373" w:type="pct"/>
            <w:tcBorders>
              <w:top w:val="nil"/>
              <w:left w:val="nil"/>
              <w:bottom w:val="single" w:sz="4" w:space="0" w:color="auto"/>
              <w:right w:val="nil"/>
            </w:tcBorders>
            <w:vAlign w:val="bottom"/>
            <w:hideMark/>
          </w:tcPr>
          <w:p w14:paraId="76174BE4"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single" w:sz="4" w:space="0" w:color="auto"/>
              <w:right w:val="nil"/>
            </w:tcBorders>
            <w:vAlign w:val="bottom"/>
            <w:hideMark/>
          </w:tcPr>
          <w:p w14:paraId="76C755B9"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single" w:sz="4" w:space="0" w:color="auto"/>
              <w:right w:val="nil"/>
            </w:tcBorders>
            <w:vAlign w:val="bottom"/>
            <w:hideMark/>
          </w:tcPr>
          <w:p w14:paraId="583089A0"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single" w:sz="4" w:space="0" w:color="auto"/>
              <w:right w:val="nil"/>
            </w:tcBorders>
            <w:vAlign w:val="bottom"/>
            <w:hideMark/>
          </w:tcPr>
          <w:p w14:paraId="591C9CDC" w14:textId="77777777" w:rsidR="00A74C68" w:rsidRPr="00471CBA" w:rsidRDefault="00A74C68" w:rsidP="00F36B82">
            <w:pPr>
              <w:ind w:right="-16"/>
              <w:jc w:val="right"/>
              <w:rPr>
                <w:sz w:val="16"/>
                <w:szCs w:val="16"/>
              </w:rPr>
            </w:pPr>
            <w:r w:rsidRPr="00471CBA">
              <w:rPr>
                <w:sz w:val="16"/>
                <w:szCs w:val="16"/>
              </w:rPr>
              <w:t>-</w:t>
            </w:r>
          </w:p>
        </w:tc>
        <w:tc>
          <w:tcPr>
            <w:tcW w:w="373" w:type="pct"/>
            <w:tcBorders>
              <w:top w:val="nil"/>
              <w:left w:val="nil"/>
              <w:bottom w:val="single" w:sz="4" w:space="0" w:color="auto"/>
              <w:right w:val="nil"/>
            </w:tcBorders>
            <w:vAlign w:val="bottom"/>
            <w:hideMark/>
          </w:tcPr>
          <w:p w14:paraId="39BA86AE" w14:textId="77777777" w:rsidR="00A74C68" w:rsidRPr="00471CBA" w:rsidRDefault="00A74C68" w:rsidP="00F36B82">
            <w:pPr>
              <w:ind w:right="-16"/>
              <w:jc w:val="right"/>
              <w:rPr>
                <w:sz w:val="16"/>
                <w:szCs w:val="16"/>
              </w:rPr>
            </w:pPr>
            <w:r w:rsidRPr="00471CBA">
              <w:rPr>
                <w:sz w:val="16"/>
                <w:szCs w:val="16"/>
              </w:rPr>
              <w:t>-</w:t>
            </w:r>
          </w:p>
        </w:tc>
        <w:tc>
          <w:tcPr>
            <w:tcW w:w="374" w:type="pct"/>
            <w:tcBorders>
              <w:top w:val="nil"/>
              <w:left w:val="nil"/>
              <w:bottom w:val="single" w:sz="4" w:space="0" w:color="auto"/>
              <w:right w:val="nil"/>
            </w:tcBorders>
            <w:vAlign w:val="bottom"/>
            <w:hideMark/>
          </w:tcPr>
          <w:p w14:paraId="43CD841F" w14:textId="77777777" w:rsidR="00A74C68" w:rsidRPr="00471CBA" w:rsidRDefault="00A74C68" w:rsidP="00F36B82">
            <w:pPr>
              <w:ind w:right="-16"/>
              <w:jc w:val="right"/>
              <w:rPr>
                <w:sz w:val="16"/>
                <w:szCs w:val="16"/>
              </w:rPr>
            </w:pPr>
            <w:r w:rsidRPr="00471CBA">
              <w:rPr>
                <w:sz w:val="16"/>
                <w:szCs w:val="16"/>
              </w:rPr>
              <w:t>-</w:t>
            </w:r>
          </w:p>
        </w:tc>
        <w:tc>
          <w:tcPr>
            <w:tcW w:w="527" w:type="pct"/>
            <w:tcBorders>
              <w:top w:val="nil"/>
              <w:left w:val="nil"/>
              <w:bottom w:val="single" w:sz="4" w:space="0" w:color="auto"/>
              <w:right w:val="nil"/>
            </w:tcBorders>
            <w:vAlign w:val="bottom"/>
            <w:hideMark/>
          </w:tcPr>
          <w:p w14:paraId="3E527AF8" w14:textId="77777777" w:rsidR="00A74C68" w:rsidRPr="00471CBA" w:rsidRDefault="00A74C68" w:rsidP="00F36B82">
            <w:pPr>
              <w:ind w:right="-16"/>
              <w:jc w:val="right"/>
              <w:rPr>
                <w:sz w:val="16"/>
                <w:szCs w:val="16"/>
              </w:rPr>
            </w:pPr>
            <w:r w:rsidRPr="00471CBA">
              <w:rPr>
                <w:sz w:val="16"/>
                <w:szCs w:val="16"/>
              </w:rPr>
              <w:t>-</w:t>
            </w:r>
          </w:p>
        </w:tc>
        <w:tc>
          <w:tcPr>
            <w:tcW w:w="532" w:type="pct"/>
            <w:tcBorders>
              <w:top w:val="nil"/>
              <w:left w:val="nil"/>
              <w:bottom w:val="single" w:sz="4" w:space="0" w:color="auto"/>
              <w:right w:val="nil"/>
            </w:tcBorders>
            <w:vAlign w:val="bottom"/>
            <w:hideMark/>
          </w:tcPr>
          <w:p w14:paraId="7D445089" w14:textId="77777777" w:rsidR="00A74C68" w:rsidRPr="00471CBA" w:rsidRDefault="00A74C68" w:rsidP="00F36B82">
            <w:pPr>
              <w:ind w:right="-16"/>
              <w:jc w:val="right"/>
              <w:rPr>
                <w:sz w:val="16"/>
                <w:szCs w:val="16"/>
              </w:rPr>
            </w:pPr>
            <w:r w:rsidRPr="00471CBA">
              <w:rPr>
                <w:sz w:val="16"/>
                <w:szCs w:val="16"/>
              </w:rPr>
              <w:t>-</w:t>
            </w:r>
          </w:p>
        </w:tc>
        <w:tc>
          <w:tcPr>
            <w:tcW w:w="356" w:type="pct"/>
            <w:tcBorders>
              <w:top w:val="nil"/>
              <w:left w:val="nil"/>
              <w:bottom w:val="single" w:sz="4" w:space="0" w:color="auto"/>
              <w:right w:val="nil"/>
            </w:tcBorders>
            <w:vAlign w:val="bottom"/>
            <w:hideMark/>
          </w:tcPr>
          <w:p w14:paraId="40D28CCF" w14:textId="77777777" w:rsidR="00A74C68" w:rsidRPr="00471CBA" w:rsidRDefault="00A74C68" w:rsidP="00F36B82">
            <w:pPr>
              <w:ind w:right="-16"/>
              <w:jc w:val="right"/>
              <w:rPr>
                <w:sz w:val="16"/>
                <w:szCs w:val="16"/>
              </w:rPr>
            </w:pPr>
            <w:r w:rsidRPr="00471CBA">
              <w:rPr>
                <w:sz w:val="16"/>
                <w:szCs w:val="16"/>
              </w:rPr>
              <w:t>-</w:t>
            </w:r>
          </w:p>
        </w:tc>
      </w:tr>
      <w:tr w:rsidR="00A74C68" w:rsidRPr="00471CBA" w14:paraId="78656E9B" w14:textId="77777777" w:rsidTr="00A74C68">
        <w:trPr>
          <w:divId w:val="485443198"/>
          <w:trHeight w:val="113"/>
        </w:trPr>
        <w:tc>
          <w:tcPr>
            <w:tcW w:w="1344" w:type="pct"/>
            <w:tcBorders>
              <w:top w:val="nil"/>
              <w:left w:val="nil"/>
              <w:right w:val="nil"/>
            </w:tcBorders>
            <w:vAlign w:val="bottom"/>
            <w:hideMark/>
          </w:tcPr>
          <w:p w14:paraId="4631D269" w14:textId="77777777" w:rsidR="00A74C68" w:rsidRPr="00471CBA" w:rsidRDefault="00A74C68" w:rsidP="00A74C68">
            <w:pPr>
              <w:rPr>
                <w:sz w:val="16"/>
                <w:szCs w:val="16"/>
              </w:rPr>
            </w:pPr>
          </w:p>
        </w:tc>
        <w:tc>
          <w:tcPr>
            <w:tcW w:w="373" w:type="pct"/>
            <w:tcBorders>
              <w:top w:val="nil"/>
              <w:left w:val="nil"/>
              <w:right w:val="nil"/>
            </w:tcBorders>
            <w:noWrap/>
            <w:vAlign w:val="bottom"/>
            <w:hideMark/>
          </w:tcPr>
          <w:p w14:paraId="0061E109" w14:textId="77777777" w:rsidR="00A74C68" w:rsidRPr="00471CBA" w:rsidRDefault="00A74C68" w:rsidP="00F36B82">
            <w:pPr>
              <w:ind w:right="-16"/>
              <w:jc w:val="right"/>
              <w:rPr>
                <w:sz w:val="16"/>
                <w:szCs w:val="16"/>
              </w:rPr>
            </w:pPr>
          </w:p>
        </w:tc>
        <w:tc>
          <w:tcPr>
            <w:tcW w:w="374" w:type="pct"/>
            <w:tcBorders>
              <w:top w:val="nil"/>
              <w:left w:val="nil"/>
              <w:right w:val="nil"/>
            </w:tcBorders>
            <w:noWrap/>
            <w:vAlign w:val="bottom"/>
            <w:hideMark/>
          </w:tcPr>
          <w:p w14:paraId="4602D668" w14:textId="77777777" w:rsidR="00A74C68" w:rsidRPr="00471CBA" w:rsidRDefault="00A74C68" w:rsidP="00F36B82">
            <w:pPr>
              <w:ind w:right="-16"/>
              <w:jc w:val="right"/>
              <w:rPr>
                <w:sz w:val="16"/>
                <w:szCs w:val="16"/>
              </w:rPr>
            </w:pPr>
          </w:p>
        </w:tc>
        <w:tc>
          <w:tcPr>
            <w:tcW w:w="374" w:type="pct"/>
            <w:tcBorders>
              <w:top w:val="nil"/>
              <w:left w:val="nil"/>
              <w:right w:val="nil"/>
            </w:tcBorders>
            <w:noWrap/>
            <w:vAlign w:val="bottom"/>
            <w:hideMark/>
          </w:tcPr>
          <w:p w14:paraId="75E84033" w14:textId="77777777" w:rsidR="00A74C68" w:rsidRPr="00471CBA" w:rsidRDefault="00A74C68" w:rsidP="00F36B82">
            <w:pPr>
              <w:ind w:right="-16"/>
              <w:jc w:val="right"/>
              <w:rPr>
                <w:sz w:val="16"/>
                <w:szCs w:val="16"/>
              </w:rPr>
            </w:pPr>
          </w:p>
        </w:tc>
        <w:tc>
          <w:tcPr>
            <w:tcW w:w="374" w:type="pct"/>
            <w:tcBorders>
              <w:top w:val="nil"/>
              <w:left w:val="nil"/>
              <w:right w:val="nil"/>
            </w:tcBorders>
            <w:noWrap/>
            <w:vAlign w:val="bottom"/>
            <w:hideMark/>
          </w:tcPr>
          <w:p w14:paraId="69F3ECBF" w14:textId="77777777" w:rsidR="00A74C68" w:rsidRPr="00471CBA" w:rsidRDefault="00A74C68" w:rsidP="00F36B82">
            <w:pPr>
              <w:ind w:right="-16"/>
              <w:jc w:val="right"/>
              <w:rPr>
                <w:sz w:val="16"/>
                <w:szCs w:val="16"/>
              </w:rPr>
            </w:pPr>
          </w:p>
        </w:tc>
        <w:tc>
          <w:tcPr>
            <w:tcW w:w="373" w:type="pct"/>
            <w:tcBorders>
              <w:top w:val="nil"/>
              <w:left w:val="nil"/>
              <w:right w:val="nil"/>
            </w:tcBorders>
            <w:noWrap/>
            <w:vAlign w:val="bottom"/>
            <w:hideMark/>
          </w:tcPr>
          <w:p w14:paraId="4DCE3DEB" w14:textId="77777777" w:rsidR="00A74C68" w:rsidRPr="00471CBA" w:rsidRDefault="00A74C68" w:rsidP="00F36B82">
            <w:pPr>
              <w:ind w:right="-16"/>
              <w:jc w:val="right"/>
              <w:rPr>
                <w:sz w:val="16"/>
                <w:szCs w:val="16"/>
              </w:rPr>
            </w:pPr>
          </w:p>
        </w:tc>
        <w:tc>
          <w:tcPr>
            <w:tcW w:w="374" w:type="pct"/>
            <w:tcBorders>
              <w:top w:val="nil"/>
              <w:left w:val="nil"/>
              <w:right w:val="nil"/>
            </w:tcBorders>
            <w:noWrap/>
            <w:vAlign w:val="bottom"/>
            <w:hideMark/>
          </w:tcPr>
          <w:p w14:paraId="7C2A34BD" w14:textId="77777777" w:rsidR="00A74C68" w:rsidRPr="00471CBA" w:rsidRDefault="00A74C68" w:rsidP="00F36B82">
            <w:pPr>
              <w:ind w:right="-16"/>
              <w:jc w:val="right"/>
              <w:rPr>
                <w:sz w:val="16"/>
                <w:szCs w:val="16"/>
              </w:rPr>
            </w:pPr>
          </w:p>
        </w:tc>
        <w:tc>
          <w:tcPr>
            <w:tcW w:w="527" w:type="pct"/>
            <w:tcBorders>
              <w:top w:val="nil"/>
              <w:left w:val="nil"/>
              <w:right w:val="nil"/>
            </w:tcBorders>
            <w:noWrap/>
            <w:vAlign w:val="bottom"/>
            <w:hideMark/>
          </w:tcPr>
          <w:p w14:paraId="7A3624BA" w14:textId="77777777" w:rsidR="00A74C68" w:rsidRPr="00471CBA" w:rsidRDefault="00A74C68" w:rsidP="00F36B82">
            <w:pPr>
              <w:ind w:right="-16"/>
              <w:jc w:val="right"/>
              <w:rPr>
                <w:sz w:val="16"/>
                <w:szCs w:val="16"/>
              </w:rPr>
            </w:pPr>
          </w:p>
        </w:tc>
        <w:tc>
          <w:tcPr>
            <w:tcW w:w="532" w:type="pct"/>
            <w:tcBorders>
              <w:top w:val="nil"/>
              <w:left w:val="nil"/>
              <w:right w:val="nil"/>
            </w:tcBorders>
            <w:vAlign w:val="bottom"/>
            <w:hideMark/>
          </w:tcPr>
          <w:p w14:paraId="0A2BED55" w14:textId="77777777" w:rsidR="00A74C68" w:rsidRPr="00471CBA" w:rsidRDefault="00A74C68" w:rsidP="00F36B82">
            <w:pPr>
              <w:ind w:right="-16"/>
              <w:jc w:val="right"/>
              <w:rPr>
                <w:sz w:val="16"/>
                <w:szCs w:val="16"/>
              </w:rPr>
            </w:pPr>
          </w:p>
        </w:tc>
        <w:tc>
          <w:tcPr>
            <w:tcW w:w="356" w:type="pct"/>
            <w:tcBorders>
              <w:top w:val="nil"/>
              <w:left w:val="nil"/>
              <w:right w:val="nil"/>
            </w:tcBorders>
            <w:vAlign w:val="bottom"/>
            <w:hideMark/>
          </w:tcPr>
          <w:p w14:paraId="523C8FCC" w14:textId="77777777" w:rsidR="00A74C68" w:rsidRPr="00471CBA" w:rsidRDefault="00A74C68" w:rsidP="00F36B82">
            <w:pPr>
              <w:ind w:right="-16"/>
              <w:jc w:val="right"/>
              <w:rPr>
                <w:sz w:val="16"/>
                <w:szCs w:val="16"/>
              </w:rPr>
            </w:pPr>
          </w:p>
        </w:tc>
      </w:tr>
      <w:tr w:rsidR="00A74C68" w:rsidRPr="00471CBA" w14:paraId="503D1F04" w14:textId="77777777" w:rsidTr="00A74C68">
        <w:trPr>
          <w:divId w:val="485443198"/>
          <w:trHeight w:val="113"/>
        </w:trPr>
        <w:tc>
          <w:tcPr>
            <w:tcW w:w="1344" w:type="pct"/>
            <w:tcBorders>
              <w:top w:val="nil"/>
              <w:left w:val="nil"/>
              <w:bottom w:val="single" w:sz="12" w:space="0" w:color="auto"/>
              <w:right w:val="nil"/>
            </w:tcBorders>
            <w:vAlign w:val="bottom"/>
            <w:hideMark/>
          </w:tcPr>
          <w:p w14:paraId="665126EB" w14:textId="77777777" w:rsidR="00A74C68" w:rsidRPr="00471CBA" w:rsidRDefault="00A74C68" w:rsidP="00A74C68">
            <w:pPr>
              <w:rPr>
                <w:b/>
                <w:bCs/>
                <w:sz w:val="16"/>
                <w:szCs w:val="16"/>
              </w:rPr>
            </w:pPr>
            <w:r w:rsidRPr="00471CBA">
              <w:rPr>
                <w:rFonts w:eastAsia="Arial Unicode MS"/>
                <w:b/>
                <w:bCs/>
                <w:sz w:val="16"/>
                <w:szCs w:val="16"/>
              </w:rPr>
              <w:t>Toplam (I+II</w:t>
            </w:r>
            <w:proofErr w:type="gramStart"/>
            <w:r w:rsidRPr="00471CBA">
              <w:rPr>
                <w:rFonts w:eastAsia="Arial Unicode MS"/>
                <w:b/>
                <w:bCs/>
                <w:sz w:val="16"/>
                <w:szCs w:val="16"/>
              </w:rPr>
              <w:t>+..</w:t>
            </w:r>
            <w:proofErr w:type="gramEnd"/>
            <w:r w:rsidRPr="00471CBA">
              <w:rPr>
                <w:rFonts w:eastAsia="Arial Unicode MS"/>
                <w:b/>
                <w:bCs/>
                <w:sz w:val="16"/>
                <w:szCs w:val="16"/>
              </w:rPr>
              <w:t>+IX+X+XI)</w:t>
            </w:r>
          </w:p>
        </w:tc>
        <w:tc>
          <w:tcPr>
            <w:tcW w:w="373" w:type="pct"/>
            <w:tcBorders>
              <w:top w:val="nil"/>
              <w:left w:val="nil"/>
              <w:bottom w:val="single" w:sz="12" w:space="0" w:color="auto"/>
              <w:right w:val="nil"/>
            </w:tcBorders>
            <w:vAlign w:val="bottom"/>
            <w:hideMark/>
          </w:tcPr>
          <w:p w14:paraId="524EF3E4" w14:textId="77777777" w:rsidR="00A74C68" w:rsidRPr="00471CBA" w:rsidRDefault="00A74C68" w:rsidP="00F36B82">
            <w:pPr>
              <w:ind w:right="-16"/>
              <w:jc w:val="right"/>
              <w:rPr>
                <w:b/>
                <w:bCs/>
                <w:sz w:val="16"/>
                <w:szCs w:val="16"/>
              </w:rPr>
            </w:pPr>
            <w:r w:rsidRPr="00471CBA">
              <w:rPr>
                <w:b/>
                <w:bCs/>
                <w:sz w:val="16"/>
                <w:szCs w:val="16"/>
              </w:rPr>
              <w:t>2.410.561</w:t>
            </w:r>
          </w:p>
        </w:tc>
        <w:tc>
          <w:tcPr>
            <w:tcW w:w="374" w:type="pct"/>
            <w:tcBorders>
              <w:top w:val="nil"/>
              <w:left w:val="nil"/>
              <w:bottom w:val="single" w:sz="12" w:space="0" w:color="auto"/>
              <w:right w:val="nil"/>
            </w:tcBorders>
            <w:vAlign w:val="bottom"/>
            <w:hideMark/>
          </w:tcPr>
          <w:p w14:paraId="39EF4899" w14:textId="77777777" w:rsidR="00A74C68" w:rsidRPr="00471CBA" w:rsidRDefault="00A74C68" w:rsidP="00F36B82">
            <w:pPr>
              <w:ind w:right="-16"/>
              <w:jc w:val="right"/>
              <w:rPr>
                <w:b/>
                <w:bCs/>
                <w:sz w:val="16"/>
                <w:szCs w:val="16"/>
              </w:rPr>
            </w:pPr>
            <w:r w:rsidRPr="00471CBA">
              <w:rPr>
                <w:b/>
                <w:bCs/>
                <w:sz w:val="16"/>
                <w:szCs w:val="16"/>
              </w:rPr>
              <w:t>7.285.335</w:t>
            </w:r>
          </w:p>
        </w:tc>
        <w:tc>
          <w:tcPr>
            <w:tcW w:w="374" w:type="pct"/>
            <w:tcBorders>
              <w:top w:val="nil"/>
              <w:left w:val="nil"/>
              <w:bottom w:val="single" w:sz="12" w:space="0" w:color="auto"/>
              <w:right w:val="nil"/>
            </w:tcBorders>
            <w:vAlign w:val="bottom"/>
            <w:hideMark/>
          </w:tcPr>
          <w:p w14:paraId="2BC0D619" w14:textId="77777777" w:rsidR="00A74C68" w:rsidRPr="00471CBA" w:rsidRDefault="00A74C68" w:rsidP="00F36B82">
            <w:pPr>
              <w:ind w:right="-16"/>
              <w:jc w:val="right"/>
              <w:rPr>
                <w:b/>
                <w:bCs/>
                <w:sz w:val="16"/>
                <w:szCs w:val="16"/>
              </w:rPr>
            </w:pPr>
            <w:r w:rsidRPr="00471CBA">
              <w:rPr>
                <w:b/>
                <w:bCs/>
                <w:sz w:val="16"/>
                <w:szCs w:val="16"/>
              </w:rPr>
              <w:t>6.091.198</w:t>
            </w:r>
          </w:p>
        </w:tc>
        <w:tc>
          <w:tcPr>
            <w:tcW w:w="374" w:type="pct"/>
            <w:tcBorders>
              <w:top w:val="nil"/>
              <w:left w:val="nil"/>
              <w:bottom w:val="single" w:sz="12" w:space="0" w:color="auto"/>
              <w:right w:val="nil"/>
            </w:tcBorders>
            <w:vAlign w:val="bottom"/>
            <w:hideMark/>
          </w:tcPr>
          <w:p w14:paraId="1FE23F9F" w14:textId="77777777" w:rsidR="00A74C68" w:rsidRPr="00471CBA" w:rsidRDefault="00A74C68" w:rsidP="00F36B82">
            <w:pPr>
              <w:ind w:right="-16"/>
              <w:jc w:val="right"/>
              <w:rPr>
                <w:b/>
                <w:bCs/>
                <w:sz w:val="16"/>
                <w:szCs w:val="16"/>
              </w:rPr>
            </w:pPr>
            <w:r w:rsidRPr="00471CBA">
              <w:rPr>
                <w:b/>
                <w:bCs/>
                <w:sz w:val="16"/>
                <w:szCs w:val="16"/>
              </w:rPr>
              <w:t>4.412.220</w:t>
            </w:r>
          </w:p>
        </w:tc>
        <w:tc>
          <w:tcPr>
            <w:tcW w:w="373" w:type="pct"/>
            <w:tcBorders>
              <w:top w:val="nil"/>
              <w:left w:val="nil"/>
              <w:bottom w:val="single" w:sz="12" w:space="0" w:color="auto"/>
              <w:right w:val="nil"/>
            </w:tcBorders>
            <w:vAlign w:val="bottom"/>
            <w:hideMark/>
          </w:tcPr>
          <w:p w14:paraId="45AF75A0" w14:textId="77777777" w:rsidR="00A74C68" w:rsidRPr="00471CBA" w:rsidRDefault="00A74C68" w:rsidP="00F36B82">
            <w:pPr>
              <w:ind w:right="-16"/>
              <w:jc w:val="right"/>
              <w:rPr>
                <w:b/>
                <w:bCs/>
                <w:sz w:val="16"/>
                <w:szCs w:val="16"/>
              </w:rPr>
            </w:pPr>
            <w:r w:rsidRPr="00471CBA">
              <w:rPr>
                <w:b/>
                <w:bCs/>
                <w:sz w:val="16"/>
                <w:szCs w:val="16"/>
              </w:rPr>
              <w:t>-</w:t>
            </w:r>
          </w:p>
        </w:tc>
        <w:tc>
          <w:tcPr>
            <w:tcW w:w="374" w:type="pct"/>
            <w:tcBorders>
              <w:top w:val="nil"/>
              <w:left w:val="nil"/>
              <w:bottom w:val="single" w:sz="12" w:space="0" w:color="auto"/>
              <w:right w:val="nil"/>
            </w:tcBorders>
            <w:vAlign w:val="bottom"/>
            <w:hideMark/>
          </w:tcPr>
          <w:p w14:paraId="7740642C" w14:textId="77777777" w:rsidR="00A74C68" w:rsidRPr="00471CBA" w:rsidRDefault="00A74C68" w:rsidP="00F36B82">
            <w:pPr>
              <w:ind w:right="-16"/>
              <w:jc w:val="right"/>
              <w:rPr>
                <w:b/>
                <w:bCs/>
                <w:sz w:val="16"/>
                <w:szCs w:val="16"/>
              </w:rPr>
            </w:pPr>
            <w:r w:rsidRPr="00471CBA">
              <w:rPr>
                <w:b/>
                <w:bCs/>
                <w:sz w:val="16"/>
                <w:szCs w:val="16"/>
              </w:rPr>
              <w:t>154.285</w:t>
            </w:r>
          </w:p>
        </w:tc>
        <w:tc>
          <w:tcPr>
            <w:tcW w:w="527" w:type="pct"/>
            <w:tcBorders>
              <w:top w:val="nil"/>
              <w:left w:val="nil"/>
              <w:bottom w:val="single" w:sz="12" w:space="0" w:color="auto"/>
              <w:right w:val="nil"/>
            </w:tcBorders>
            <w:vAlign w:val="bottom"/>
            <w:hideMark/>
          </w:tcPr>
          <w:p w14:paraId="7C4FDF25" w14:textId="77777777" w:rsidR="00A74C68" w:rsidRPr="00471CBA" w:rsidRDefault="00A74C68" w:rsidP="00F36B82">
            <w:pPr>
              <w:ind w:right="-16"/>
              <w:jc w:val="right"/>
              <w:rPr>
                <w:b/>
                <w:bCs/>
                <w:sz w:val="16"/>
                <w:szCs w:val="16"/>
              </w:rPr>
            </w:pPr>
            <w:r w:rsidRPr="00471CBA">
              <w:rPr>
                <w:b/>
                <w:bCs/>
                <w:sz w:val="16"/>
                <w:szCs w:val="16"/>
              </w:rPr>
              <w:t>3.471.110</w:t>
            </w:r>
          </w:p>
        </w:tc>
        <w:tc>
          <w:tcPr>
            <w:tcW w:w="532" w:type="pct"/>
            <w:tcBorders>
              <w:top w:val="nil"/>
              <w:left w:val="nil"/>
              <w:bottom w:val="single" w:sz="12" w:space="0" w:color="auto"/>
              <w:right w:val="nil"/>
            </w:tcBorders>
            <w:vAlign w:val="bottom"/>
            <w:hideMark/>
          </w:tcPr>
          <w:p w14:paraId="1F3095B0" w14:textId="77777777" w:rsidR="00A74C68" w:rsidRPr="00471CBA" w:rsidRDefault="00A74C68" w:rsidP="00F36B82">
            <w:pPr>
              <w:ind w:right="-16"/>
              <w:jc w:val="right"/>
              <w:rPr>
                <w:b/>
                <w:bCs/>
                <w:sz w:val="16"/>
                <w:szCs w:val="16"/>
              </w:rPr>
            </w:pPr>
            <w:r w:rsidRPr="00471CBA">
              <w:rPr>
                <w:b/>
                <w:bCs/>
                <w:sz w:val="16"/>
                <w:szCs w:val="16"/>
              </w:rPr>
              <w:t>-</w:t>
            </w:r>
          </w:p>
        </w:tc>
        <w:tc>
          <w:tcPr>
            <w:tcW w:w="356" w:type="pct"/>
            <w:tcBorders>
              <w:top w:val="nil"/>
              <w:left w:val="nil"/>
              <w:bottom w:val="single" w:sz="12" w:space="0" w:color="auto"/>
              <w:right w:val="nil"/>
            </w:tcBorders>
            <w:vAlign w:val="bottom"/>
            <w:hideMark/>
          </w:tcPr>
          <w:p w14:paraId="25EB5589" w14:textId="77777777" w:rsidR="00A74C68" w:rsidRPr="00471CBA" w:rsidRDefault="00A74C68" w:rsidP="00F36B82">
            <w:pPr>
              <w:ind w:right="-16"/>
              <w:jc w:val="right"/>
              <w:rPr>
                <w:b/>
                <w:bCs/>
                <w:sz w:val="16"/>
                <w:szCs w:val="16"/>
              </w:rPr>
            </w:pPr>
            <w:r w:rsidRPr="00471CBA">
              <w:rPr>
                <w:b/>
                <w:bCs/>
                <w:sz w:val="16"/>
                <w:szCs w:val="16"/>
              </w:rPr>
              <w:t>23.824.709</w:t>
            </w:r>
          </w:p>
        </w:tc>
      </w:tr>
    </w:tbl>
    <w:p w14:paraId="7F82CA73" w14:textId="469B44AC" w:rsidR="00AF526A" w:rsidRPr="00471CBA" w:rsidRDefault="00AF526A" w:rsidP="00154DA9">
      <w:pPr>
        <w:widowControl w:val="0"/>
        <w:spacing w:line="235" w:lineRule="auto"/>
        <w:ind w:right="-182"/>
        <w:jc w:val="both"/>
        <w:rPr>
          <w:sz w:val="14"/>
          <w:szCs w:val="14"/>
        </w:rPr>
      </w:pPr>
    </w:p>
    <w:p w14:paraId="1E96C406" w14:textId="77777777" w:rsidR="00081D71" w:rsidRPr="00471CBA" w:rsidRDefault="00081D71">
      <w:pPr>
        <w:rPr>
          <w:b/>
          <w:szCs w:val="20"/>
        </w:rPr>
      </w:pPr>
      <w:r w:rsidRPr="00471CBA">
        <w:rPr>
          <w:b/>
          <w:szCs w:val="20"/>
        </w:rPr>
        <w:br w:type="page"/>
      </w:r>
    </w:p>
    <w:p w14:paraId="6F264A5B" w14:textId="77777777" w:rsidR="0098597B" w:rsidRPr="00471CBA" w:rsidRDefault="0098597B" w:rsidP="0098597B">
      <w:pPr>
        <w:widowControl w:val="0"/>
        <w:spacing w:line="235" w:lineRule="auto"/>
        <w:ind w:left="720" w:hanging="720"/>
        <w:jc w:val="both"/>
        <w:rPr>
          <w:b/>
          <w:szCs w:val="20"/>
        </w:rPr>
      </w:pPr>
      <w:r w:rsidRPr="00471CBA">
        <w:rPr>
          <w:b/>
          <w:szCs w:val="20"/>
        </w:rPr>
        <w:t>KONSOLİDE OLMAYAN FİNANSAL TABLOLARA İLİŞKİN AÇIKLAMA VE DİPNOTLAR (Devamı)</w:t>
      </w:r>
    </w:p>
    <w:p w14:paraId="2AFF8483" w14:textId="77777777" w:rsidR="0098597B" w:rsidRPr="00471CBA" w:rsidRDefault="0098597B" w:rsidP="0098597B">
      <w:pPr>
        <w:widowControl w:val="0"/>
        <w:spacing w:line="235" w:lineRule="auto"/>
        <w:ind w:left="851" w:hanging="851"/>
        <w:jc w:val="both"/>
        <w:rPr>
          <w:b/>
          <w:szCs w:val="20"/>
        </w:rPr>
      </w:pPr>
      <w:bookmarkStart w:id="121" w:name="_Hlk196476602"/>
    </w:p>
    <w:p w14:paraId="239C2653" w14:textId="77777777" w:rsidR="00726901" w:rsidRPr="00471CBA" w:rsidRDefault="00726901" w:rsidP="008459A9">
      <w:pPr>
        <w:pStyle w:val="ListeParagraf"/>
        <w:widowControl w:val="0"/>
        <w:numPr>
          <w:ilvl w:val="0"/>
          <w:numId w:val="65"/>
        </w:numPr>
        <w:spacing w:line="235" w:lineRule="auto"/>
        <w:ind w:left="567" w:hanging="567"/>
        <w:jc w:val="both"/>
        <w:rPr>
          <w:b/>
          <w:szCs w:val="20"/>
        </w:rPr>
      </w:pPr>
      <w:r w:rsidRPr="00471CBA">
        <w:rPr>
          <w:b/>
          <w:szCs w:val="20"/>
        </w:rPr>
        <w:t>BİLANÇONUN PASİF HESAPLARINA İLİŞKİN AÇIKLAMA VE DİPNOTLAR (Devamı)</w:t>
      </w:r>
    </w:p>
    <w:p w14:paraId="2B166272" w14:textId="77777777" w:rsidR="0098597B" w:rsidRPr="00471CBA" w:rsidRDefault="0098597B" w:rsidP="00A52751">
      <w:pPr>
        <w:pStyle w:val="GvdeMetniGirintisi"/>
        <w:widowControl w:val="0"/>
        <w:spacing w:line="235" w:lineRule="auto"/>
        <w:ind w:left="567" w:hanging="567"/>
        <w:rPr>
          <w:b/>
          <w:szCs w:val="20"/>
        </w:rPr>
      </w:pPr>
    </w:p>
    <w:p w14:paraId="14CB75C6" w14:textId="449E6CDF" w:rsidR="0098597B" w:rsidRPr="00471CBA" w:rsidRDefault="0098597B" w:rsidP="008459A9">
      <w:pPr>
        <w:pStyle w:val="GvdeMetniGirintisi"/>
        <w:widowControl w:val="0"/>
        <w:numPr>
          <w:ilvl w:val="0"/>
          <w:numId w:val="59"/>
        </w:numPr>
        <w:spacing w:line="235" w:lineRule="auto"/>
        <w:ind w:left="567" w:hanging="567"/>
        <w:rPr>
          <w:b/>
          <w:szCs w:val="20"/>
        </w:rPr>
      </w:pPr>
      <w:bookmarkStart w:id="122" w:name="_Hlk188878141"/>
      <w:r w:rsidRPr="00471CBA">
        <w:rPr>
          <w:b/>
          <w:szCs w:val="20"/>
        </w:rPr>
        <w:t>Toplanan fonlara ilişkin bilgiler: (Devamı)</w:t>
      </w:r>
    </w:p>
    <w:p w14:paraId="5C71F5E9" w14:textId="77777777" w:rsidR="0098597B" w:rsidRPr="00471CBA" w:rsidRDefault="0098597B" w:rsidP="00A52751">
      <w:pPr>
        <w:pStyle w:val="GvdeMetniGirintisi"/>
        <w:widowControl w:val="0"/>
        <w:spacing w:line="235" w:lineRule="auto"/>
        <w:ind w:left="567" w:hanging="567"/>
        <w:rPr>
          <w:b/>
          <w:szCs w:val="20"/>
        </w:rPr>
      </w:pPr>
    </w:p>
    <w:p w14:paraId="282F0331" w14:textId="2FF5F78C" w:rsidR="00F575A6" w:rsidRPr="00471CBA" w:rsidRDefault="00F575A6" w:rsidP="008459A9">
      <w:pPr>
        <w:pStyle w:val="GvdeMetniGirintisi"/>
        <w:widowControl w:val="0"/>
        <w:numPr>
          <w:ilvl w:val="0"/>
          <w:numId w:val="49"/>
        </w:numPr>
        <w:tabs>
          <w:tab w:val="clear" w:pos="540"/>
        </w:tabs>
        <w:spacing w:line="235" w:lineRule="auto"/>
        <w:ind w:left="567" w:hanging="567"/>
        <w:rPr>
          <w:b/>
          <w:szCs w:val="20"/>
        </w:rPr>
      </w:pPr>
      <w:bookmarkStart w:id="123" w:name="_Hlk188878093"/>
      <w:r w:rsidRPr="00471CBA">
        <w:rPr>
          <w:b/>
          <w:szCs w:val="20"/>
        </w:rPr>
        <w:t>Sigorta kapsamında bulunan katılım fonuna ilişkin bilgiler:</w:t>
      </w:r>
    </w:p>
    <w:p w14:paraId="562670E6" w14:textId="77777777" w:rsidR="001F0473" w:rsidRPr="00471CBA" w:rsidRDefault="001F0473" w:rsidP="001F0473"/>
    <w:p w14:paraId="6F8261C4" w14:textId="50FB4B55" w:rsidR="001F0473" w:rsidRPr="00471CBA" w:rsidRDefault="001F0473" w:rsidP="008679D6">
      <w:pPr>
        <w:ind w:left="851"/>
      </w:pPr>
      <w:r w:rsidRPr="00471CBA">
        <w:t>Sigorta kapsamında bulunan ve sigorta limitini aşan katılım fonuna ilişkin bilgiler:</w:t>
      </w:r>
    </w:p>
    <w:bookmarkEnd w:id="123"/>
    <w:p w14:paraId="315FEA97" w14:textId="76D0E2D7" w:rsidR="00A74C68" w:rsidRPr="00471CBA" w:rsidRDefault="00A74C68" w:rsidP="007E589C"/>
    <w:tbl>
      <w:tblPr>
        <w:tblW w:w="5000" w:type="pct"/>
        <w:tblCellMar>
          <w:left w:w="70" w:type="dxa"/>
          <w:right w:w="70" w:type="dxa"/>
        </w:tblCellMar>
        <w:tblLook w:val="04A0" w:firstRow="1" w:lastRow="0" w:firstColumn="1" w:lastColumn="0" w:noHBand="0" w:noVBand="1"/>
      </w:tblPr>
      <w:tblGrid>
        <w:gridCol w:w="3607"/>
        <w:gridCol w:w="1370"/>
        <w:gridCol w:w="1405"/>
        <w:gridCol w:w="1386"/>
        <w:gridCol w:w="1587"/>
      </w:tblGrid>
      <w:tr w:rsidR="00A74C68" w:rsidRPr="00471CBA" w14:paraId="742AAF86" w14:textId="77777777" w:rsidTr="00A74C68">
        <w:trPr>
          <w:divId w:val="360784957"/>
          <w:trHeight w:val="227"/>
        </w:trPr>
        <w:tc>
          <w:tcPr>
            <w:tcW w:w="1928" w:type="pct"/>
            <w:tcBorders>
              <w:top w:val="nil"/>
              <w:left w:val="nil"/>
              <w:bottom w:val="nil"/>
              <w:right w:val="nil"/>
            </w:tcBorders>
            <w:vAlign w:val="bottom"/>
            <w:hideMark/>
          </w:tcPr>
          <w:p w14:paraId="4EC01095" w14:textId="537B0447" w:rsidR="00A74C68" w:rsidRPr="00471CBA" w:rsidRDefault="00A74C68" w:rsidP="00A74C68">
            <w:pPr>
              <w:rPr>
                <w:sz w:val="18"/>
                <w:szCs w:val="18"/>
                <w:lang w:eastAsia="tr-TR"/>
              </w:rPr>
            </w:pPr>
          </w:p>
        </w:tc>
        <w:tc>
          <w:tcPr>
            <w:tcW w:w="1483" w:type="pct"/>
            <w:gridSpan w:val="2"/>
            <w:tcBorders>
              <w:top w:val="nil"/>
              <w:left w:val="nil"/>
              <w:bottom w:val="single" w:sz="4" w:space="0" w:color="auto"/>
              <w:right w:val="nil"/>
            </w:tcBorders>
            <w:vAlign w:val="bottom"/>
            <w:hideMark/>
          </w:tcPr>
          <w:p w14:paraId="3948F67A" w14:textId="77777777" w:rsidR="00A74C68" w:rsidRPr="00471CBA" w:rsidRDefault="00A74C68" w:rsidP="00A74C68">
            <w:pPr>
              <w:jc w:val="center"/>
              <w:rPr>
                <w:b/>
                <w:bCs/>
                <w:color w:val="000000"/>
                <w:sz w:val="18"/>
                <w:szCs w:val="18"/>
                <w:lang w:eastAsia="tr-TR"/>
              </w:rPr>
            </w:pPr>
            <w:r w:rsidRPr="00471CBA">
              <w:rPr>
                <w:b/>
                <w:bCs/>
                <w:color w:val="000000"/>
                <w:sz w:val="18"/>
                <w:szCs w:val="18"/>
                <w:lang w:eastAsia="tr-TR"/>
              </w:rPr>
              <w:t>Sigorta Kapsamında Bulunan</w:t>
            </w:r>
          </w:p>
        </w:tc>
        <w:tc>
          <w:tcPr>
            <w:tcW w:w="1589" w:type="pct"/>
            <w:gridSpan w:val="2"/>
            <w:tcBorders>
              <w:top w:val="nil"/>
              <w:left w:val="nil"/>
              <w:bottom w:val="single" w:sz="4" w:space="0" w:color="auto"/>
              <w:right w:val="nil"/>
            </w:tcBorders>
            <w:vAlign w:val="bottom"/>
            <w:hideMark/>
          </w:tcPr>
          <w:p w14:paraId="3F2471B3" w14:textId="77777777" w:rsidR="00A74C68" w:rsidRPr="00471CBA" w:rsidRDefault="00A74C68" w:rsidP="00A74C68">
            <w:pPr>
              <w:jc w:val="center"/>
              <w:rPr>
                <w:b/>
                <w:bCs/>
                <w:color w:val="000000"/>
                <w:sz w:val="18"/>
                <w:szCs w:val="18"/>
                <w:lang w:eastAsia="tr-TR"/>
              </w:rPr>
            </w:pPr>
            <w:r w:rsidRPr="00471CBA">
              <w:rPr>
                <w:b/>
                <w:bCs/>
                <w:color w:val="000000"/>
                <w:sz w:val="18"/>
                <w:szCs w:val="18"/>
                <w:lang w:eastAsia="tr-TR"/>
              </w:rPr>
              <w:t>Sigorta Limitini Aşan</w:t>
            </w:r>
          </w:p>
        </w:tc>
      </w:tr>
      <w:tr w:rsidR="00A74C68" w:rsidRPr="00471CBA" w14:paraId="5A29F99C" w14:textId="77777777" w:rsidTr="00A74C68">
        <w:trPr>
          <w:divId w:val="360784957"/>
          <w:trHeight w:val="227"/>
        </w:trPr>
        <w:tc>
          <w:tcPr>
            <w:tcW w:w="1928" w:type="pct"/>
            <w:tcBorders>
              <w:top w:val="nil"/>
              <w:left w:val="nil"/>
              <w:bottom w:val="single" w:sz="4" w:space="0" w:color="auto"/>
              <w:right w:val="nil"/>
            </w:tcBorders>
            <w:vAlign w:val="bottom"/>
            <w:hideMark/>
          </w:tcPr>
          <w:p w14:paraId="249C9D2B" w14:textId="77777777" w:rsidR="00A74C68" w:rsidRPr="00471CBA" w:rsidRDefault="00A74C68" w:rsidP="00A74C68">
            <w:pPr>
              <w:jc w:val="both"/>
              <w:rPr>
                <w:b/>
                <w:bCs/>
                <w:color w:val="000000"/>
                <w:sz w:val="18"/>
                <w:szCs w:val="18"/>
                <w:lang w:eastAsia="tr-TR"/>
              </w:rPr>
            </w:pPr>
            <w:r w:rsidRPr="00471CBA">
              <w:rPr>
                <w:b/>
                <w:bCs/>
                <w:color w:val="000000"/>
                <w:sz w:val="18"/>
                <w:szCs w:val="18"/>
                <w:lang w:eastAsia="tr-TR"/>
              </w:rPr>
              <w:t> </w:t>
            </w:r>
          </w:p>
        </w:tc>
        <w:tc>
          <w:tcPr>
            <w:tcW w:w="732" w:type="pct"/>
            <w:tcBorders>
              <w:top w:val="nil"/>
              <w:left w:val="nil"/>
              <w:bottom w:val="single" w:sz="4" w:space="0" w:color="auto"/>
              <w:right w:val="nil"/>
            </w:tcBorders>
            <w:vAlign w:val="bottom"/>
            <w:hideMark/>
          </w:tcPr>
          <w:p w14:paraId="27464D45" w14:textId="77777777" w:rsidR="00A74C68" w:rsidRPr="00471CBA" w:rsidRDefault="00A74C68" w:rsidP="00A74C68">
            <w:pPr>
              <w:jc w:val="center"/>
              <w:rPr>
                <w:b/>
                <w:bCs/>
                <w:color w:val="000000"/>
                <w:sz w:val="18"/>
                <w:szCs w:val="18"/>
                <w:lang w:eastAsia="tr-TR"/>
              </w:rPr>
            </w:pPr>
            <w:r w:rsidRPr="00471CBA">
              <w:rPr>
                <w:b/>
                <w:bCs/>
                <w:color w:val="000000"/>
                <w:sz w:val="18"/>
                <w:szCs w:val="18"/>
                <w:lang w:eastAsia="tr-TR"/>
              </w:rPr>
              <w:t>31 Aralık 2025</w:t>
            </w:r>
          </w:p>
        </w:tc>
        <w:tc>
          <w:tcPr>
            <w:tcW w:w="751" w:type="pct"/>
            <w:tcBorders>
              <w:top w:val="nil"/>
              <w:left w:val="nil"/>
              <w:bottom w:val="single" w:sz="4" w:space="0" w:color="auto"/>
              <w:right w:val="nil"/>
            </w:tcBorders>
            <w:vAlign w:val="bottom"/>
            <w:hideMark/>
          </w:tcPr>
          <w:p w14:paraId="4F0F10F4" w14:textId="77777777" w:rsidR="00A74C68" w:rsidRPr="00471CBA" w:rsidRDefault="00A74C68" w:rsidP="00A74C68">
            <w:pPr>
              <w:jc w:val="center"/>
              <w:rPr>
                <w:b/>
                <w:bCs/>
                <w:color w:val="000000"/>
                <w:sz w:val="18"/>
                <w:szCs w:val="18"/>
                <w:lang w:eastAsia="tr-TR"/>
              </w:rPr>
            </w:pPr>
            <w:r w:rsidRPr="00471CBA">
              <w:rPr>
                <w:b/>
                <w:bCs/>
                <w:color w:val="000000"/>
                <w:sz w:val="18"/>
                <w:szCs w:val="18"/>
                <w:lang w:eastAsia="tr-TR"/>
              </w:rPr>
              <w:t>31 Aralık 2024</w:t>
            </w:r>
          </w:p>
        </w:tc>
        <w:tc>
          <w:tcPr>
            <w:tcW w:w="741" w:type="pct"/>
            <w:tcBorders>
              <w:top w:val="nil"/>
              <w:left w:val="nil"/>
              <w:bottom w:val="single" w:sz="4" w:space="0" w:color="auto"/>
              <w:right w:val="nil"/>
            </w:tcBorders>
            <w:vAlign w:val="bottom"/>
            <w:hideMark/>
          </w:tcPr>
          <w:p w14:paraId="100A4606" w14:textId="77777777" w:rsidR="00A74C68" w:rsidRPr="00471CBA" w:rsidRDefault="00A74C68" w:rsidP="00A74C68">
            <w:pPr>
              <w:jc w:val="center"/>
              <w:rPr>
                <w:b/>
                <w:bCs/>
                <w:color w:val="000000"/>
                <w:sz w:val="18"/>
                <w:szCs w:val="18"/>
                <w:lang w:eastAsia="tr-TR"/>
              </w:rPr>
            </w:pPr>
            <w:r w:rsidRPr="00471CBA">
              <w:rPr>
                <w:b/>
                <w:bCs/>
                <w:color w:val="000000"/>
                <w:sz w:val="18"/>
                <w:szCs w:val="18"/>
                <w:lang w:eastAsia="tr-TR"/>
              </w:rPr>
              <w:t>31 Aralık 2025</w:t>
            </w:r>
          </w:p>
        </w:tc>
        <w:tc>
          <w:tcPr>
            <w:tcW w:w="848" w:type="pct"/>
            <w:tcBorders>
              <w:top w:val="nil"/>
              <w:left w:val="nil"/>
              <w:bottom w:val="single" w:sz="4" w:space="0" w:color="auto"/>
              <w:right w:val="nil"/>
            </w:tcBorders>
            <w:vAlign w:val="bottom"/>
            <w:hideMark/>
          </w:tcPr>
          <w:p w14:paraId="752CFE70" w14:textId="77777777" w:rsidR="00A74C68" w:rsidRPr="00471CBA" w:rsidRDefault="00A74C68" w:rsidP="00A74C68">
            <w:pPr>
              <w:jc w:val="center"/>
              <w:rPr>
                <w:b/>
                <w:bCs/>
                <w:color w:val="000000"/>
                <w:sz w:val="18"/>
                <w:szCs w:val="18"/>
                <w:lang w:eastAsia="tr-TR"/>
              </w:rPr>
            </w:pPr>
            <w:r w:rsidRPr="00471CBA">
              <w:rPr>
                <w:b/>
                <w:bCs/>
                <w:color w:val="000000"/>
                <w:sz w:val="18"/>
                <w:szCs w:val="18"/>
                <w:lang w:eastAsia="tr-TR"/>
              </w:rPr>
              <w:t>31 Aralık 2024</w:t>
            </w:r>
          </w:p>
        </w:tc>
      </w:tr>
      <w:tr w:rsidR="00A74C68" w:rsidRPr="00471CBA" w14:paraId="4FDCD38D" w14:textId="77777777" w:rsidTr="00A74C68">
        <w:trPr>
          <w:divId w:val="360784957"/>
          <w:trHeight w:val="227"/>
        </w:trPr>
        <w:tc>
          <w:tcPr>
            <w:tcW w:w="1928" w:type="pct"/>
            <w:tcBorders>
              <w:top w:val="nil"/>
              <w:left w:val="nil"/>
              <w:bottom w:val="nil"/>
              <w:right w:val="nil"/>
            </w:tcBorders>
            <w:vAlign w:val="bottom"/>
            <w:hideMark/>
          </w:tcPr>
          <w:p w14:paraId="1759B74E" w14:textId="77777777" w:rsidR="00A74C68" w:rsidRPr="00471CBA" w:rsidRDefault="00A74C68" w:rsidP="00A74C68">
            <w:pPr>
              <w:jc w:val="center"/>
              <w:rPr>
                <w:b/>
                <w:bCs/>
                <w:color w:val="000000"/>
                <w:sz w:val="18"/>
                <w:szCs w:val="18"/>
                <w:lang w:eastAsia="tr-TR"/>
              </w:rPr>
            </w:pPr>
          </w:p>
        </w:tc>
        <w:tc>
          <w:tcPr>
            <w:tcW w:w="732" w:type="pct"/>
            <w:tcBorders>
              <w:top w:val="nil"/>
              <w:left w:val="nil"/>
              <w:bottom w:val="nil"/>
              <w:right w:val="nil"/>
            </w:tcBorders>
            <w:vAlign w:val="bottom"/>
            <w:hideMark/>
          </w:tcPr>
          <w:p w14:paraId="67D9F8CF" w14:textId="77777777" w:rsidR="00A74C68" w:rsidRPr="00471CBA" w:rsidRDefault="00A74C68" w:rsidP="00A74C68">
            <w:pPr>
              <w:jc w:val="both"/>
              <w:rPr>
                <w:sz w:val="18"/>
                <w:szCs w:val="18"/>
                <w:lang w:eastAsia="tr-TR"/>
              </w:rPr>
            </w:pPr>
          </w:p>
        </w:tc>
        <w:tc>
          <w:tcPr>
            <w:tcW w:w="751" w:type="pct"/>
            <w:tcBorders>
              <w:top w:val="nil"/>
              <w:left w:val="nil"/>
              <w:bottom w:val="nil"/>
              <w:right w:val="nil"/>
            </w:tcBorders>
            <w:vAlign w:val="bottom"/>
            <w:hideMark/>
          </w:tcPr>
          <w:p w14:paraId="302B165C" w14:textId="77777777" w:rsidR="00A74C68" w:rsidRPr="00471CBA" w:rsidRDefault="00A74C68" w:rsidP="00A74C68">
            <w:pPr>
              <w:jc w:val="right"/>
              <w:rPr>
                <w:sz w:val="18"/>
                <w:szCs w:val="18"/>
                <w:lang w:eastAsia="tr-TR"/>
              </w:rPr>
            </w:pPr>
          </w:p>
        </w:tc>
        <w:tc>
          <w:tcPr>
            <w:tcW w:w="741" w:type="pct"/>
            <w:tcBorders>
              <w:top w:val="nil"/>
              <w:left w:val="nil"/>
              <w:bottom w:val="nil"/>
              <w:right w:val="nil"/>
            </w:tcBorders>
            <w:hideMark/>
          </w:tcPr>
          <w:p w14:paraId="00059640" w14:textId="77777777" w:rsidR="00A74C68" w:rsidRPr="00471CBA" w:rsidRDefault="00A74C68" w:rsidP="00A74C68">
            <w:pPr>
              <w:jc w:val="right"/>
              <w:rPr>
                <w:sz w:val="18"/>
                <w:szCs w:val="18"/>
                <w:lang w:eastAsia="tr-TR"/>
              </w:rPr>
            </w:pPr>
          </w:p>
        </w:tc>
        <w:tc>
          <w:tcPr>
            <w:tcW w:w="848" w:type="pct"/>
            <w:tcBorders>
              <w:top w:val="nil"/>
              <w:left w:val="nil"/>
              <w:bottom w:val="nil"/>
              <w:right w:val="nil"/>
            </w:tcBorders>
            <w:vAlign w:val="bottom"/>
            <w:hideMark/>
          </w:tcPr>
          <w:p w14:paraId="7161CC05" w14:textId="77777777" w:rsidR="00A74C68" w:rsidRPr="00471CBA" w:rsidRDefault="00A74C68" w:rsidP="00A74C68">
            <w:pPr>
              <w:jc w:val="right"/>
              <w:rPr>
                <w:sz w:val="18"/>
                <w:szCs w:val="18"/>
                <w:lang w:eastAsia="tr-TR"/>
              </w:rPr>
            </w:pPr>
          </w:p>
        </w:tc>
      </w:tr>
      <w:tr w:rsidR="00A74C68" w:rsidRPr="00471CBA" w14:paraId="7BE55FE0" w14:textId="77777777" w:rsidTr="00A74C68">
        <w:trPr>
          <w:divId w:val="360784957"/>
          <w:trHeight w:val="227"/>
        </w:trPr>
        <w:tc>
          <w:tcPr>
            <w:tcW w:w="1928" w:type="pct"/>
            <w:tcBorders>
              <w:top w:val="nil"/>
              <w:left w:val="nil"/>
              <w:bottom w:val="nil"/>
              <w:right w:val="nil"/>
            </w:tcBorders>
            <w:vAlign w:val="center"/>
            <w:hideMark/>
          </w:tcPr>
          <w:p w14:paraId="65ACBA09" w14:textId="77777777" w:rsidR="00A74C68" w:rsidRPr="00471CBA" w:rsidRDefault="00A74C68" w:rsidP="00A74C68">
            <w:pPr>
              <w:rPr>
                <w:b/>
                <w:bCs/>
                <w:color w:val="000000"/>
                <w:sz w:val="18"/>
                <w:szCs w:val="18"/>
                <w:lang w:eastAsia="tr-TR"/>
              </w:rPr>
            </w:pPr>
            <w:r w:rsidRPr="00471CBA">
              <w:rPr>
                <w:b/>
                <w:bCs/>
                <w:color w:val="000000"/>
                <w:sz w:val="18"/>
                <w:szCs w:val="18"/>
                <w:lang w:eastAsia="tr-TR"/>
              </w:rPr>
              <w:t>Gerçek Kişilerin Özel Cari ve Katılma Hesapları</w:t>
            </w:r>
          </w:p>
        </w:tc>
        <w:tc>
          <w:tcPr>
            <w:tcW w:w="732" w:type="pct"/>
            <w:tcBorders>
              <w:top w:val="nil"/>
              <w:left w:val="nil"/>
              <w:bottom w:val="nil"/>
              <w:right w:val="nil"/>
            </w:tcBorders>
            <w:noWrap/>
            <w:vAlign w:val="bottom"/>
            <w:hideMark/>
          </w:tcPr>
          <w:p w14:paraId="2E69E81A" w14:textId="77777777" w:rsidR="00A74C68" w:rsidRPr="00471CBA" w:rsidRDefault="00A74C68" w:rsidP="00A74C68">
            <w:pPr>
              <w:jc w:val="right"/>
              <w:rPr>
                <w:b/>
                <w:bCs/>
                <w:color w:val="000000"/>
                <w:sz w:val="18"/>
                <w:szCs w:val="18"/>
                <w:lang w:eastAsia="tr-TR"/>
              </w:rPr>
            </w:pPr>
            <w:r w:rsidRPr="00471CBA">
              <w:rPr>
                <w:b/>
                <w:bCs/>
                <w:color w:val="000000"/>
                <w:sz w:val="18"/>
                <w:szCs w:val="18"/>
                <w:lang w:eastAsia="tr-TR"/>
              </w:rPr>
              <w:t>6.653.823</w:t>
            </w:r>
          </w:p>
        </w:tc>
        <w:tc>
          <w:tcPr>
            <w:tcW w:w="751" w:type="pct"/>
            <w:tcBorders>
              <w:top w:val="nil"/>
              <w:left w:val="nil"/>
              <w:bottom w:val="nil"/>
              <w:right w:val="nil"/>
            </w:tcBorders>
            <w:noWrap/>
            <w:vAlign w:val="bottom"/>
            <w:hideMark/>
          </w:tcPr>
          <w:p w14:paraId="2FF9F873" w14:textId="77777777" w:rsidR="00A74C68" w:rsidRPr="00471CBA" w:rsidRDefault="00A74C68" w:rsidP="00A74C68">
            <w:pPr>
              <w:jc w:val="right"/>
              <w:rPr>
                <w:rFonts w:ascii="Arial" w:hAnsi="Arial" w:cs="Arial"/>
                <w:color w:val="000000"/>
                <w:sz w:val="18"/>
                <w:szCs w:val="18"/>
                <w:lang w:eastAsia="tr-TR"/>
              </w:rPr>
            </w:pPr>
            <w:r w:rsidRPr="00471CBA">
              <w:rPr>
                <w:b/>
                <w:bCs/>
                <w:color w:val="000000"/>
                <w:sz w:val="18"/>
                <w:szCs w:val="18"/>
                <w:lang w:eastAsia="tr-TR"/>
              </w:rPr>
              <w:t>221.416</w:t>
            </w:r>
          </w:p>
        </w:tc>
        <w:tc>
          <w:tcPr>
            <w:tcW w:w="741" w:type="pct"/>
            <w:tcBorders>
              <w:top w:val="nil"/>
              <w:left w:val="nil"/>
              <w:bottom w:val="nil"/>
              <w:right w:val="nil"/>
            </w:tcBorders>
            <w:noWrap/>
            <w:vAlign w:val="bottom"/>
            <w:hideMark/>
          </w:tcPr>
          <w:p w14:paraId="23BD26CD" w14:textId="77777777" w:rsidR="00A74C68" w:rsidRPr="00471CBA" w:rsidRDefault="00A74C68" w:rsidP="00A74C68">
            <w:pPr>
              <w:jc w:val="right"/>
              <w:rPr>
                <w:b/>
                <w:bCs/>
                <w:color w:val="000000"/>
                <w:sz w:val="18"/>
                <w:szCs w:val="18"/>
                <w:lang w:eastAsia="tr-TR"/>
              </w:rPr>
            </w:pPr>
            <w:r w:rsidRPr="00471CBA">
              <w:rPr>
                <w:b/>
                <w:bCs/>
                <w:color w:val="000000"/>
                <w:sz w:val="18"/>
                <w:szCs w:val="18"/>
                <w:lang w:eastAsia="tr-TR"/>
              </w:rPr>
              <w:t>17.098.690</w:t>
            </w:r>
          </w:p>
        </w:tc>
        <w:tc>
          <w:tcPr>
            <w:tcW w:w="848" w:type="pct"/>
            <w:tcBorders>
              <w:top w:val="nil"/>
              <w:left w:val="nil"/>
              <w:bottom w:val="nil"/>
              <w:right w:val="nil"/>
            </w:tcBorders>
            <w:noWrap/>
            <w:vAlign w:val="bottom"/>
            <w:hideMark/>
          </w:tcPr>
          <w:p w14:paraId="2A8643D7" w14:textId="77777777" w:rsidR="00A74C68" w:rsidRPr="00471CBA" w:rsidRDefault="00A74C68" w:rsidP="00A74C68">
            <w:pPr>
              <w:jc w:val="right"/>
              <w:rPr>
                <w:rFonts w:ascii="Arial" w:hAnsi="Arial" w:cs="Arial"/>
                <w:color w:val="000000"/>
                <w:sz w:val="18"/>
                <w:szCs w:val="18"/>
                <w:lang w:eastAsia="tr-TR"/>
              </w:rPr>
            </w:pPr>
            <w:r w:rsidRPr="00471CBA">
              <w:rPr>
                <w:b/>
                <w:bCs/>
                <w:color w:val="000000"/>
                <w:sz w:val="18"/>
                <w:szCs w:val="18"/>
                <w:lang w:eastAsia="tr-TR"/>
              </w:rPr>
              <w:t>4.147.973</w:t>
            </w:r>
          </w:p>
        </w:tc>
      </w:tr>
      <w:tr w:rsidR="00A74C68" w:rsidRPr="00471CBA" w14:paraId="620AEC8E" w14:textId="77777777" w:rsidTr="00A74C68">
        <w:trPr>
          <w:divId w:val="360784957"/>
          <w:trHeight w:val="227"/>
        </w:trPr>
        <w:tc>
          <w:tcPr>
            <w:tcW w:w="1928" w:type="pct"/>
            <w:tcBorders>
              <w:top w:val="nil"/>
              <w:left w:val="nil"/>
              <w:bottom w:val="nil"/>
              <w:right w:val="nil"/>
            </w:tcBorders>
            <w:vAlign w:val="center"/>
            <w:hideMark/>
          </w:tcPr>
          <w:p w14:paraId="299C0D3C" w14:textId="77777777" w:rsidR="00A74C68" w:rsidRPr="00471CBA" w:rsidRDefault="00A74C68" w:rsidP="00A74C68">
            <w:pPr>
              <w:ind w:left="215"/>
              <w:rPr>
                <w:color w:val="000000"/>
                <w:sz w:val="18"/>
                <w:szCs w:val="18"/>
                <w:lang w:eastAsia="tr-TR"/>
              </w:rPr>
            </w:pPr>
            <w:r w:rsidRPr="00471CBA">
              <w:rPr>
                <w:color w:val="000000"/>
                <w:sz w:val="18"/>
                <w:szCs w:val="18"/>
                <w:lang w:eastAsia="tr-TR"/>
              </w:rPr>
              <w:t>Türk Parası Cinsinden Hesaplar</w:t>
            </w:r>
          </w:p>
        </w:tc>
        <w:tc>
          <w:tcPr>
            <w:tcW w:w="732" w:type="pct"/>
            <w:tcBorders>
              <w:top w:val="nil"/>
              <w:left w:val="nil"/>
              <w:bottom w:val="nil"/>
              <w:right w:val="nil"/>
            </w:tcBorders>
            <w:noWrap/>
            <w:vAlign w:val="bottom"/>
            <w:hideMark/>
          </w:tcPr>
          <w:p w14:paraId="62B4902F" w14:textId="77777777" w:rsidR="00A74C68" w:rsidRPr="00471CBA" w:rsidRDefault="00A74C68" w:rsidP="00A74C68">
            <w:pPr>
              <w:jc w:val="right"/>
              <w:rPr>
                <w:color w:val="000000"/>
                <w:sz w:val="18"/>
                <w:szCs w:val="18"/>
                <w:lang w:eastAsia="tr-TR"/>
              </w:rPr>
            </w:pPr>
            <w:r w:rsidRPr="00471CBA">
              <w:rPr>
                <w:color w:val="000000"/>
                <w:sz w:val="18"/>
                <w:szCs w:val="18"/>
                <w:lang w:eastAsia="tr-TR"/>
              </w:rPr>
              <w:t>821.353</w:t>
            </w:r>
          </w:p>
        </w:tc>
        <w:tc>
          <w:tcPr>
            <w:tcW w:w="751" w:type="pct"/>
            <w:tcBorders>
              <w:top w:val="nil"/>
              <w:left w:val="nil"/>
              <w:bottom w:val="nil"/>
              <w:right w:val="nil"/>
            </w:tcBorders>
            <w:noWrap/>
            <w:vAlign w:val="bottom"/>
            <w:hideMark/>
          </w:tcPr>
          <w:p w14:paraId="440C4FAA" w14:textId="77777777" w:rsidR="00A74C68" w:rsidRPr="00471CBA" w:rsidRDefault="00A74C68" w:rsidP="00A74C68">
            <w:pPr>
              <w:jc w:val="right"/>
              <w:rPr>
                <w:rFonts w:ascii="Arial" w:hAnsi="Arial" w:cs="Arial"/>
                <w:color w:val="000000"/>
                <w:sz w:val="18"/>
                <w:szCs w:val="18"/>
                <w:lang w:eastAsia="tr-TR"/>
              </w:rPr>
            </w:pPr>
            <w:r w:rsidRPr="00471CBA">
              <w:rPr>
                <w:color w:val="000000"/>
                <w:sz w:val="18"/>
                <w:szCs w:val="18"/>
                <w:lang w:eastAsia="tr-TR"/>
              </w:rPr>
              <w:t>110.646</w:t>
            </w:r>
          </w:p>
        </w:tc>
        <w:tc>
          <w:tcPr>
            <w:tcW w:w="741" w:type="pct"/>
            <w:tcBorders>
              <w:top w:val="nil"/>
              <w:left w:val="nil"/>
              <w:bottom w:val="nil"/>
              <w:right w:val="nil"/>
            </w:tcBorders>
            <w:noWrap/>
            <w:vAlign w:val="bottom"/>
            <w:hideMark/>
          </w:tcPr>
          <w:p w14:paraId="2758F883" w14:textId="77777777" w:rsidR="00A74C68" w:rsidRPr="00471CBA" w:rsidRDefault="00A74C68" w:rsidP="00A74C68">
            <w:pPr>
              <w:jc w:val="right"/>
              <w:rPr>
                <w:color w:val="000000"/>
                <w:sz w:val="18"/>
                <w:szCs w:val="18"/>
                <w:lang w:eastAsia="tr-TR"/>
              </w:rPr>
            </w:pPr>
            <w:r w:rsidRPr="00471CBA">
              <w:rPr>
                <w:color w:val="000000"/>
                <w:sz w:val="18"/>
                <w:szCs w:val="18"/>
                <w:lang w:eastAsia="tr-TR"/>
              </w:rPr>
              <w:t>1.070.506</w:t>
            </w:r>
          </w:p>
        </w:tc>
        <w:tc>
          <w:tcPr>
            <w:tcW w:w="848" w:type="pct"/>
            <w:tcBorders>
              <w:top w:val="nil"/>
              <w:left w:val="nil"/>
              <w:bottom w:val="nil"/>
              <w:right w:val="nil"/>
            </w:tcBorders>
            <w:noWrap/>
            <w:vAlign w:val="bottom"/>
            <w:hideMark/>
          </w:tcPr>
          <w:p w14:paraId="1B428592" w14:textId="77777777" w:rsidR="00A74C68" w:rsidRPr="00471CBA" w:rsidRDefault="00A74C68" w:rsidP="00A74C68">
            <w:pPr>
              <w:jc w:val="right"/>
              <w:rPr>
                <w:rFonts w:ascii="Arial" w:hAnsi="Arial" w:cs="Arial"/>
                <w:color w:val="000000"/>
                <w:sz w:val="18"/>
                <w:szCs w:val="18"/>
                <w:lang w:eastAsia="tr-TR"/>
              </w:rPr>
            </w:pPr>
            <w:r w:rsidRPr="00471CBA">
              <w:rPr>
                <w:color w:val="000000"/>
                <w:sz w:val="18"/>
                <w:szCs w:val="18"/>
                <w:lang w:eastAsia="tr-TR"/>
              </w:rPr>
              <w:t>3.053.689</w:t>
            </w:r>
          </w:p>
        </w:tc>
      </w:tr>
      <w:tr w:rsidR="00A74C68" w:rsidRPr="00471CBA" w14:paraId="389140A8" w14:textId="77777777" w:rsidTr="00A74C68">
        <w:trPr>
          <w:divId w:val="360784957"/>
          <w:trHeight w:val="227"/>
        </w:trPr>
        <w:tc>
          <w:tcPr>
            <w:tcW w:w="1928" w:type="pct"/>
            <w:tcBorders>
              <w:top w:val="nil"/>
              <w:left w:val="nil"/>
              <w:bottom w:val="nil"/>
              <w:right w:val="nil"/>
            </w:tcBorders>
            <w:vAlign w:val="center"/>
            <w:hideMark/>
          </w:tcPr>
          <w:p w14:paraId="5821FE78" w14:textId="77777777" w:rsidR="00A74C68" w:rsidRPr="00471CBA" w:rsidRDefault="00A74C68" w:rsidP="00A74C68">
            <w:pPr>
              <w:ind w:left="215"/>
              <w:rPr>
                <w:color w:val="000000"/>
                <w:sz w:val="18"/>
                <w:szCs w:val="18"/>
                <w:lang w:eastAsia="tr-TR"/>
              </w:rPr>
            </w:pPr>
            <w:r w:rsidRPr="00471CBA">
              <w:rPr>
                <w:color w:val="000000"/>
                <w:sz w:val="18"/>
                <w:szCs w:val="18"/>
                <w:lang w:eastAsia="tr-TR"/>
              </w:rPr>
              <w:t>Yabancı Para Cinsinden Hesaplar</w:t>
            </w:r>
          </w:p>
        </w:tc>
        <w:tc>
          <w:tcPr>
            <w:tcW w:w="732" w:type="pct"/>
            <w:tcBorders>
              <w:top w:val="nil"/>
              <w:left w:val="nil"/>
              <w:bottom w:val="nil"/>
              <w:right w:val="nil"/>
            </w:tcBorders>
            <w:noWrap/>
            <w:vAlign w:val="bottom"/>
            <w:hideMark/>
          </w:tcPr>
          <w:p w14:paraId="2B2C173D" w14:textId="77777777" w:rsidR="00A74C68" w:rsidRPr="00471CBA" w:rsidRDefault="00A74C68" w:rsidP="00A74C68">
            <w:pPr>
              <w:jc w:val="right"/>
              <w:rPr>
                <w:color w:val="000000"/>
                <w:sz w:val="18"/>
                <w:szCs w:val="18"/>
                <w:lang w:eastAsia="tr-TR"/>
              </w:rPr>
            </w:pPr>
            <w:r w:rsidRPr="00471CBA">
              <w:rPr>
                <w:color w:val="000000"/>
                <w:sz w:val="18"/>
                <w:szCs w:val="18"/>
                <w:lang w:eastAsia="tr-TR"/>
              </w:rPr>
              <w:t>5.832.470</w:t>
            </w:r>
          </w:p>
        </w:tc>
        <w:tc>
          <w:tcPr>
            <w:tcW w:w="751" w:type="pct"/>
            <w:tcBorders>
              <w:top w:val="nil"/>
              <w:left w:val="nil"/>
              <w:bottom w:val="nil"/>
              <w:right w:val="nil"/>
            </w:tcBorders>
            <w:noWrap/>
            <w:vAlign w:val="bottom"/>
            <w:hideMark/>
          </w:tcPr>
          <w:p w14:paraId="55844A3D" w14:textId="77777777" w:rsidR="00A74C68" w:rsidRPr="00471CBA" w:rsidRDefault="00A74C68" w:rsidP="00A74C68">
            <w:pPr>
              <w:jc w:val="right"/>
              <w:rPr>
                <w:rFonts w:ascii="Arial" w:hAnsi="Arial" w:cs="Arial"/>
                <w:color w:val="000000"/>
                <w:sz w:val="18"/>
                <w:szCs w:val="18"/>
                <w:lang w:eastAsia="tr-TR"/>
              </w:rPr>
            </w:pPr>
            <w:r w:rsidRPr="00471CBA">
              <w:rPr>
                <w:color w:val="000000"/>
                <w:sz w:val="18"/>
                <w:szCs w:val="18"/>
                <w:lang w:eastAsia="tr-TR"/>
              </w:rPr>
              <w:t>110.770</w:t>
            </w:r>
          </w:p>
        </w:tc>
        <w:tc>
          <w:tcPr>
            <w:tcW w:w="741" w:type="pct"/>
            <w:tcBorders>
              <w:top w:val="nil"/>
              <w:left w:val="nil"/>
              <w:bottom w:val="nil"/>
              <w:right w:val="nil"/>
            </w:tcBorders>
            <w:noWrap/>
            <w:vAlign w:val="bottom"/>
            <w:hideMark/>
          </w:tcPr>
          <w:p w14:paraId="4F20E026" w14:textId="77777777" w:rsidR="00A74C68" w:rsidRPr="00471CBA" w:rsidRDefault="00A74C68" w:rsidP="00A74C68">
            <w:pPr>
              <w:jc w:val="right"/>
              <w:rPr>
                <w:color w:val="000000"/>
                <w:sz w:val="18"/>
                <w:szCs w:val="18"/>
                <w:lang w:eastAsia="tr-TR"/>
              </w:rPr>
            </w:pPr>
            <w:r w:rsidRPr="00471CBA">
              <w:rPr>
                <w:color w:val="000000"/>
                <w:sz w:val="18"/>
                <w:szCs w:val="18"/>
                <w:lang w:eastAsia="tr-TR"/>
              </w:rPr>
              <w:t>16.028.184</w:t>
            </w:r>
          </w:p>
        </w:tc>
        <w:tc>
          <w:tcPr>
            <w:tcW w:w="848" w:type="pct"/>
            <w:tcBorders>
              <w:top w:val="nil"/>
              <w:left w:val="nil"/>
              <w:bottom w:val="nil"/>
              <w:right w:val="nil"/>
            </w:tcBorders>
            <w:noWrap/>
            <w:vAlign w:val="bottom"/>
            <w:hideMark/>
          </w:tcPr>
          <w:p w14:paraId="3B43F16A" w14:textId="77777777" w:rsidR="00A74C68" w:rsidRPr="00471CBA" w:rsidRDefault="00A74C68" w:rsidP="00A74C68">
            <w:pPr>
              <w:jc w:val="right"/>
              <w:rPr>
                <w:rFonts w:ascii="Arial" w:hAnsi="Arial" w:cs="Arial"/>
                <w:color w:val="000000"/>
                <w:sz w:val="18"/>
                <w:szCs w:val="18"/>
                <w:lang w:eastAsia="tr-TR"/>
              </w:rPr>
            </w:pPr>
            <w:r w:rsidRPr="00471CBA">
              <w:rPr>
                <w:color w:val="000000"/>
                <w:sz w:val="18"/>
                <w:szCs w:val="18"/>
                <w:lang w:eastAsia="tr-TR"/>
              </w:rPr>
              <w:t>1.094.284</w:t>
            </w:r>
          </w:p>
        </w:tc>
      </w:tr>
      <w:tr w:rsidR="00A74C68" w:rsidRPr="00471CBA" w14:paraId="012AAC36" w14:textId="77777777" w:rsidTr="00A74C68">
        <w:trPr>
          <w:divId w:val="360784957"/>
          <w:trHeight w:val="227"/>
        </w:trPr>
        <w:tc>
          <w:tcPr>
            <w:tcW w:w="1928" w:type="pct"/>
            <w:tcBorders>
              <w:top w:val="nil"/>
              <w:left w:val="nil"/>
              <w:bottom w:val="nil"/>
              <w:right w:val="nil"/>
            </w:tcBorders>
            <w:vAlign w:val="center"/>
            <w:hideMark/>
          </w:tcPr>
          <w:p w14:paraId="376A3C02" w14:textId="77777777" w:rsidR="00A74C68" w:rsidRPr="00471CBA" w:rsidRDefault="00A74C68" w:rsidP="00A74C68">
            <w:pPr>
              <w:ind w:left="215"/>
              <w:rPr>
                <w:color w:val="000000"/>
                <w:sz w:val="18"/>
                <w:szCs w:val="18"/>
                <w:lang w:eastAsia="tr-TR"/>
              </w:rPr>
            </w:pPr>
            <w:r w:rsidRPr="00471CBA">
              <w:rPr>
                <w:color w:val="000000"/>
                <w:sz w:val="18"/>
                <w:szCs w:val="18"/>
                <w:lang w:eastAsia="tr-TR"/>
              </w:rPr>
              <w:t>Yurtdışı Şubelerde Bulunan Yabancı Mercilerin Sigortasına Tabi Hesaplar</w:t>
            </w:r>
          </w:p>
        </w:tc>
        <w:tc>
          <w:tcPr>
            <w:tcW w:w="732" w:type="pct"/>
            <w:tcBorders>
              <w:top w:val="nil"/>
              <w:left w:val="nil"/>
              <w:bottom w:val="nil"/>
              <w:right w:val="nil"/>
            </w:tcBorders>
            <w:noWrap/>
            <w:vAlign w:val="bottom"/>
            <w:hideMark/>
          </w:tcPr>
          <w:p w14:paraId="018CDD71"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751" w:type="pct"/>
            <w:tcBorders>
              <w:top w:val="nil"/>
              <w:left w:val="nil"/>
              <w:bottom w:val="nil"/>
              <w:right w:val="nil"/>
            </w:tcBorders>
            <w:noWrap/>
            <w:vAlign w:val="bottom"/>
            <w:hideMark/>
          </w:tcPr>
          <w:p w14:paraId="1417DAD2" w14:textId="77777777" w:rsidR="00A74C68" w:rsidRPr="00471CBA" w:rsidRDefault="00A74C68" w:rsidP="00A74C68">
            <w:pPr>
              <w:jc w:val="right"/>
              <w:rPr>
                <w:rFonts w:ascii="Arial" w:hAnsi="Arial" w:cs="Arial"/>
                <w:color w:val="000000"/>
                <w:sz w:val="18"/>
                <w:szCs w:val="18"/>
                <w:lang w:eastAsia="tr-TR"/>
              </w:rPr>
            </w:pPr>
            <w:r w:rsidRPr="00471CBA">
              <w:rPr>
                <w:color w:val="000000"/>
                <w:sz w:val="18"/>
                <w:szCs w:val="18"/>
                <w:lang w:eastAsia="tr-TR"/>
              </w:rPr>
              <w:t>-</w:t>
            </w:r>
          </w:p>
        </w:tc>
        <w:tc>
          <w:tcPr>
            <w:tcW w:w="741" w:type="pct"/>
            <w:tcBorders>
              <w:top w:val="nil"/>
              <w:left w:val="nil"/>
              <w:bottom w:val="nil"/>
              <w:right w:val="nil"/>
            </w:tcBorders>
            <w:noWrap/>
            <w:vAlign w:val="bottom"/>
            <w:hideMark/>
          </w:tcPr>
          <w:p w14:paraId="7232688E"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848" w:type="pct"/>
            <w:tcBorders>
              <w:top w:val="nil"/>
              <w:left w:val="nil"/>
              <w:bottom w:val="nil"/>
              <w:right w:val="nil"/>
            </w:tcBorders>
            <w:noWrap/>
            <w:vAlign w:val="bottom"/>
            <w:hideMark/>
          </w:tcPr>
          <w:p w14:paraId="12E1F2C2" w14:textId="77777777" w:rsidR="00A74C68" w:rsidRPr="00471CBA" w:rsidRDefault="00A74C68" w:rsidP="00A74C68">
            <w:pPr>
              <w:jc w:val="right"/>
              <w:rPr>
                <w:rFonts w:ascii="Arial" w:hAnsi="Arial" w:cs="Arial"/>
                <w:color w:val="000000"/>
                <w:sz w:val="18"/>
                <w:szCs w:val="18"/>
                <w:lang w:eastAsia="tr-TR"/>
              </w:rPr>
            </w:pPr>
            <w:r w:rsidRPr="00471CBA">
              <w:rPr>
                <w:color w:val="000000"/>
                <w:sz w:val="18"/>
                <w:szCs w:val="18"/>
                <w:lang w:eastAsia="tr-TR"/>
              </w:rPr>
              <w:t>-</w:t>
            </w:r>
          </w:p>
        </w:tc>
      </w:tr>
      <w:tr w:rsidR="00A74C68" w:rsidRPr="00471CBA" w14:paraId="4046DE60" w14:textId="77777777" w:rsidTr="00A74C68">
        <w:trPr>
          <w:divId w:val="360784957"/>
          <w:trHeight w:val="227"/>
        </w:trPr>
        <w:tc>
          <w:tcPr>
            <w:tcW w:w="1928" w:type="pct"/>
            <w:tcBorders>
              <w:top w:val="nil"/>
              <w:left w:val="nil"/>
              <w:bottom w:val="single" w:sz="4" w:space="0" w:color="auto"/>
              <w:right w:val="nil"/>
            </w:tcBorders>
            <w:vAlign w:val="center"/>
            <w:hideMark/>
          </w:tcPr>
          <w:p w14:paraId="5D1D3BC7" w14:textId="77777777" w:rsidR="00A74C68" w:rsidRPr="00471CBA" w:rsidRDefault="00A74C68" w:rsidP="00A74C68">
            <w:pPr>
              <w:ind w:left="215"/>
              <w:rPr>
                <w:color w:val="000000"/>
                <w:sz w:val="18"/>
                <w:szCs w:val="18"/>
                <w:lang w:eastAsia="tr-TR"/>
              </w:rPr>
            </w:pPr>
            <w:r w:rsidRPr="00471CBA">
              <w:rPr>
                <w:color w:val="000000"/>
                <w:sz w:val="18"/>
                <w:szCs w:val="18"/>
                <w:lang w:eastAsia="tr-TR"/>
              </w:rPr>
              <w:t xml:space="preserve">Kıyı Bnk. </w:t>
            </w:r>
            <w:proofErr w:type="spellStart"/>
            <w:r w:rsidRPr="00471CBA">
              <w:rPr>
                <w:color w:val="000000"/>
                <w:sz w:val="18"/>
                <w:szCs w:val="18"/>
                <w:lang w:eastAsia="tr-TR"/>
              </w:rPr>
              <w:t>Blg</w:t>
            </w:r>
            <w:proofErr w:type="spellEnd"/>
            <w:r w:rsidRPr="00471CBA">
              <w:rPr>
                <w:color w:val="000000"/>
                <w:sz w:val="18"/>
                <w:szCs w:val="18"/>
                <w:lang w:eastAsia="tr-TR"/>
              </w:rPr>
              <w:t>. Şubelerde Bulunan Yabancı Merci. Sigorta Tabi Hesap</w:t>
            </w:r>
          </w:p>
        </w:tc>
        <w:tc>
          <w:tcPr>
            <w:tcW w:w="732" w:type="pct"/>
            <w:tcBorders>
              <w:top w:val="nil"/>
              <w:left w:val="nil"/>
              <w:bottom w:val="single" w:sz="4" w:space="0" w:color="auto"/>
              <w:right w:val="nil"/>
            </w:tcBorders>
            <w:noWrap/>
            <w:vAlign w:val="bottom"/>
            <w:hideMark/>
          </w:tcPr>
          <w:p w14:paraId="458B28EC"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751" w:type="pct"/>
            <w:tcBorders>
              <w:top w:val="nil"/>
              <w:left w:val="nil"/>
              <w:bottom w:val="single" w:sz="4" w:space="0" w:color="auto"/>
              <w:right w:val="nil"/>
            </w:tcBorders>
            <w:noWrap/>
            <w:vAlign w:val="bottom"/>
            <w:hideMark/>
          </w:tcPr>
          <w:p w14:paraId="06ADACB2"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741" w:type="pct"/>
            <w:tcBorders>
              <w:top w:val="nil"/>
              <w:left w:val="nil"/>
              <w:bottom w:val="single" w:sz="4" w:space="0" w:color="auto"/>
              <w:right w:val="nil"/>
            </w:tcBorders>
            <w:noWrap/>
            <w:vAlign w:val="bottom"/>
            <w:hideMark/>
          </w:tcPr>
          <w:p w14:paraId="4FC6DCAA"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848" w:type="pct"/>
            <w:tcBorders>
              <w:top w:val="nil"/>
              <w:left w:val="nil"/>
              <w:bottom w:val="single" w:sz="4" w:space="0" w:color="auto"/>
              <w:right w:val="nil"/>
            </w:tcBorders>
            <w:noWrap/>
            <w:vAlign w:val="bottom"/>
            <w:hideMark/>
          </w:tcPr>
          <w:p w14:paraId="1B0C41D9"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r>
    </w:tbl>
    <w:p w14:paraId="1D2371AA" w14:textId="444DC6D0" w:rsidR="00A74C68" w:rsidRPr="00471CBA" w:rsidRDefault="00A74C68" w:rsidP="007E589C"/>
    <w:tbl>
      <w:tblPr>
        <w:tblW w:w="5000" w:type="pct"/>
        <w:tblCellMar>
          <w:left w:w="70" w:type="dxa"/>
          <w:right w:w="70" w:type="dxa"/>
        </w:tblCellMar>
        <w:tblLook w:val="04A0" w:firstRow="1" w:lastRow="0" w:firstColumn="1" w:lastColumn="0" w:noHBand="0" w:noVBand="1"/>
      </w:tblPr>
      <w:tblGrid>
        <w:gridCol w:w="3595"/>
        <w:gridCol w:w="1298"/>
        <w:gridCol w:w="1489"/>
        <w:gridCol w:w="1379"/>
        <w:gridCol w:w="1594"/>
      </w:tblGrid>
      <w:tr w:rsidR="00A74C68" w:rsidRPr="00471CBA" w14:paraId="0C77D37A" w14:textId="77777777" w:rsidTr="00A74C68">
        <w:trPr>
          <w:divId w:val="571625743"/>
          <w:trHeight w:val="227"/>
        </w:trPr>
        <w:tc>
          <w:tcPr>
            <w:tcW w:w="1921" w:type="pct"/>
            <w:tcBorders>
              <w:top w:val="nil"/>
              <w:left w:val="nil"/>
              <w:bottom w:val="nil"/>
              <w:right w:val="nil"/>
            </w:tcBorders>
            <w:vAlign w:val="center"/>
            <w:hideMark/>
          </w:tcPr>
          <w:p w14:paraId="56B8030D" w14:textId="5D659574" w:rsidR="00A74C68" w:rsidRPr="00471CBA" w:rsidRDefault="00A74C68" w:rsidP="00A74C68">
            <w:pPr>
              <w:rPr>
                <w:sz w:val="18"/>
                <w:szCs w:val="18"/>
                <w:lang w:eastAsia="tr-TR"/>
              </w:rPr>
            </w:pPr>
          </w:p>
        </w:tc>
        <w:tc>
          <w:tcPr>
            <w:tcW w:w="1490" w:type="pct"/>
            <w:gridSpan w:val="2"/>
            <w:tcBorders>
              <w:top w:val="nil"/>
              <w:left w:val="nil"/>
              <w:bottom w:val="single" w:sz="4" w:space="0" w:color="auto"/>
              <w:right w:val="nil"/>
            </w:tcBorders>
            <w:vAlign w:val="bottom"/>
            <w:hideMark/>
          </w:tcPr>
          <w:p w14:paraId="6C59FD56" w14:textId="77777777" w:rsidR="00A74C68" w:rsidRPr="00471CBA" w:rsidRDefault="00A74C68" w:rsidP="00A74C68">
            <w:pPr>
              <w:jc w:val="center"/>
              <w:rPr>
                <w:b/>
                <w:bCs/>
                <w:color w:val="000000"/>
                <w:sz w:val="18"/>
                <w:szCs w:val="18"/>
                <w:lang w:eastAsia="tr-TR"/>
              </w:rPr>
            </w:pPr>
            <w:r w:rsidRPr="00471CBA">
              <w:rPr>
                <w:b/>
                <w:bCs/>
                <w:color w:val="000000"/>
                <w:sz w:val="18"/>
                <w:szCs w:val="18"/>
                <w:lang w:eastAsia="tr-TR"/>
              </w:rPr>
              <w:t>Sigorta Kapsamında Bulunan</w:t>
            </w:r>
          </w:p>
        </w:tc>
        <w:tc>
          <w:tcPr>
            <w:tcW w:w="1589" w:type="pct"/>
            <w:gridSpan w:val="2"/>
            <w:tcBorders>
              <w:top w:val="nil"/>
              <w:left w:val="nil"/>
              <w:bottom w:val="single" w:sz="4" w:space="0" w:color="auto"/>
              <w:right w:val="nil"/>
            </w:tcBorders>
            <w:vAlign w:val="bottom"/>
            <w:hideMark/>
          </w:tcPr>
          <w:p w14:paraId="5358B07F" w14:textId="77777777" w:rsidR="00A74C68" w:rsidRPr="00471CBA" w:rsidRDefault="00A74C68" w:rsidP="00A74C68">
            <w:pPr>
              <w:jc w:val="center"/>
              <w:rPr>
                <w:b/>
                <w:bCs/>
                <w:color w:val="000000"/>
                <w:sz w:val="18"/>
                <w:szCs w:val="18"/>
                <w:lang w:eastAsia="tr-TR"/>
              </w:rPr>
            </w:pPr>
            <w:r w:rsidRPr="00471CBA">
              <w:rPr>
                <w:b/>
                <w:bCs/>
                <w:color w:val="000000"/>
                <w:sz w:val="18"/>
                <w:szCs w:val="18"/>
                <w:lang w:eastAsia="tr-TR"/>
              </w:rPr>
              <w:t>Sigorta Limitini Aşan</w:t>
            </w:r>
          </w:p>
        </w:tc>
      </w:tr>
      <w:tr w:rsidR="00A74C68" w:rsidRPr="00471CBA" w14:paraId="2DEEFCF4" w14:textId="77777777" w:rsidTr="00A74C68">
        <w:trPr>
          <w:divId w:val="571625743"/>
          <w:trHeight w:val="227"/>
        </w:trPr>
        <w:tc>
          <w:tcPr>
            <w:tcW w:w="1921" w:type="pct"/>
            <w:tcBorders>
              <w:top w:val="nil"/>
              <w:left w:val="nil"/>
              <w:bottom w:val="single" w:sz="4" w:space="0" w:color="auto"/>
              <w:right w:val="nil"/>
            </w:tcBorders>
            <w:vAlign w:val="center"/>
            <w:hideMark/>
          </w:tcPr>
          <w:p w14:paraId="6BF8B2E7" w14:textId="77777777" w:rsidR="00A74C68" w:rsidRPr="00471CBA" w:rsidRDefault="00A74C68" w:rsidP="00A74C68">
            <w:pPr>
              <w:rPr>
                <w:color w:val="000000"/>
                <w:sz w:val="18"/>
                <w:szCs w:val="18"/>
                <w:lang w:eastAsia="tr-TR"/>
              </w:rPr>
            </w:pPr>
            <w:r w:rsidRPr="00471CBA">
              <w:rPr>
                <w:color w:val="000000"/>
                <w:sz w:val="18"/>
                <w:szCs w:val="18"/>
                <w:lang w:eastAsia="tr-TR"/>
              </w:rPr>
              <w:t> </w:t>
            </w:r>
          </w:p>
        </w:tc>
        <w:tc>
          <w:tcPr>
            <w:tcW w:w="694" w:type="pct"/>
            <w:tcBorders>
              <w:top w:val="nil"/>
              <w:left w:val="nil"/>
              <w:bottom w:val="single" w:sz="4" w:space="0" w:color="auto"/>
              <w:right w:val="nil"/>
            </w:tcBorders>
            <w:vAlign w:val="bottom"/>
            <w:hideMark/>
          </w:tcPr>
          <w:p w14:paraId="3EF441FA" w14:textId="77777777" w:rsidR="00A74C68" w:rsidRPr="00471CBA" w:rsidRDefault="00A74C68" w:rsidP="00A74C68">
            <w:pPr>
              <w:jc w:val="center"/>
              <w:rPr>
                <w:b/>
                <w:bCs/>
                <w:color w:val="000000"/>
                <w:sz w:val="18"/>
                <w:szCs w:val="18"/>
                <w:lang w:eastAsia="tr-TR"/>
              </w:rPr>
            </w:pPr>
            <w:r w:rsidRPr="00471CBA">
              <w:rPr>
                <w:b/>
                <w:bCs/>
                <w:color w:val="000000"/>
                <w:sz w:val="18"/>
                <w:szCs w:val="18"/>
                <w:lang w:eastAsia="tr-TR"/>
              </w:rPr>
              <w:t>31 Aralık 2025</w:t>
            </w:r>
          </w:p>
        </w:tc>
        <w:tc>
          <w:tcPr>
            <w:tcW w:w="796" w:type="pct"/>
            <w:tcBorders>
              <w:top w:val="nil"/>
              <w:left w:val="nil"/>
              <w:bottom w:val="single" w:sz="4" w:space="0" w:color="auto"/>
              <w:right w:val="nil"/>
            </w:tcBorders>
            <w:vAlign w:val="bottom"/>
            <w:hideMark/>
          </w:tcPr>
          <w:p w14:paraId="3B93E99D" w14:textId="77777777" w:rsidR="00A74C68" w:rsidRPr="00471CBA" w:rsidRDefault="00A74C68" w:rsidP="00A74C68">
            <w:pPr>
              <w:jc w:val="center"/>
              <w:rPr>
                <w:b/>
                <w:bCs/>
                <w:color w:val="000000"/>
                <w:sz w:val="18"/>
                <w:szCs w:val="18"/>
                <w:lang w:eastAsia="tr-TR"/>
              </w:rPr>
            </w:pPr>
            <w:r w:rsidRPr="00471CBA">
              <w:rPr>
                <w:b/>
                <w:bCs/>
                <w:color w:val="000000"/>
                <w:sz w:val="18"/>
                <w:szCs w:val="18"/>
                <w:lang w:eastAsia="tr-TR"/>
              </w:rPr>
              <w:t>31 Aralık 2024</w:t>
            </w:r>
          </w:p>
        </w:tc>
        <w:tc>
          <w:tcPr>
            <w:tcW w:w="737" w:type="pct"/>
            <w:tcBorders>
              <w:top w:val="nil"/>
              <w:left w:val="nil"/>
              <w:bottom w:val="single" w:sz="4" w:space="0" w:color="auto"/>
              <w:right w:val="nil"/>
            </w:tcBorders>
            <w:vAlign w:val="bottom"/>
            <w:hideMark/>
          </w:tcPr>
          <w:p w14:paraId="3476050D" w14:textId="77777777" w:rsidR="00A74C68" w:rsidRPr="00471CBA" w:rsidRDefault="00A74C68" w:rsidP="00A74C68">
            <w:pPr>
              <w:jc w:val="center"/>
              <w:rPr>
                <w:b/>
                <w:bCs/>
                <w:color w:val="000000"/>
                <w:sz w:val="18"/>
                <w:szCs w:val="18"/>
                <w:lang w:eastAsia="tr-TR"/>
              </w:rPr>
            </w:pPr>
            <w:r w:rsidRPr="00471CBA">
              <w:rPr>
                <w:b/>
                <w:bCs/>
                <w:color w:val="000000"/>
                <w:sz w:val="18"/>
                <w:szCs w:val="18"/>
                <w:lang w:eastAsia="tr-TR"/>
              </w:rPr>
              <w:t>31 Aralık 2025</w:t>
            </w:r>
          </w:p>
        </w:tc>
        <w:tc>
          <w:tcPr>
            <w:tcW w:w="851" w:type="pct"/>
            <w:tcBorders>
              <w:top w:val="nil"/>
              <w:left w:val="nil"/>
              <w:bottom w:val="single" w:sz="4" w:space="0" w:color="auto"/>
              <w:right w:val="nil"/>
            </w:tcBorders>
            <w:vAlign w:val="bottom"/>
            <w:hideMark/>
          </w:tcPr>
          <w:p w14:paraId="2EAC9579" w14:textId="77777777" w:rsidR="00A74C68" w:rsidRPr="00471CBA" w:rsidRDefault="00A74C68" w:rsidP="00A74C68">
            <w:pPr>
              <w:jc w:val="center"/>
              <w:rPr>
                <w:b/>
                <w:bCs/>
                <w:color w:val="000000"/>
                <w:sz w:val="18"/>
                <w:szCs w:val="18"/>
                <w:lang w:eastAsia="tr-TR"/>
              </w:rPr>
            </w:pPr>
            <w:r w:rsidRPr="00471CBA">
              <w:rPr>
                <w:b/>
                <w:bCs/>
                <w:color w:val="000000"/>
                <w:sz w:val="18"/>
                <w:szCs w:val="18"/>
                <w:lang w:eastAsia="tr-TR"/>
              </w:rPr>
              <w:t>31 Aralık 2024</w:t>
            </w:r>
          </w:p>
        </w:tc>
      </w:tr>
      <w:tr w:rsidR="00A74C68" w:rsidRPr="00471CBA" w14:paraId="201B969A" w14:textId="77777777" w:rsidTr="00A74C68">
        <w:trPr>
          <w:divId w:val="571625743"/>
          <w:trHeight w:val="227"/>
        </w:trPr>
        <w:tc>
          <w:tcPr>
            <w:tcW w:w="1921" w:type="pct"/>
            <w:tcBorders>
              <w:top w:val="nil"/>
              <w:left w:val="nil"/>
              <w:bottom w:val="nil"/>
              <w:right w:val="nil"/>
            </w:tcBorders>
            <w:vAlign w:val="center"/>
            <w:hideMark/>
          </w:tcPr>
          <w:p w14:paraId="446AE6BF" w14:textId="77777777" w:rsidR="00A74C68" w:rsidRPr="00471CBA" w:rsidRDefault="00A74C68" w:rsidP="00A74C68">
            <w:pPr>
              <w:jc w:val="center"/>
              <w:rPr>
                <w:b/>
                <w:bCs/>
                <w:color w:val="000000"/>
                <w:sz w:val="18"/>
                <w:szCs w:val="18"/>
                <w:lang w:eastAsia="tr-TR"/>
              </w:rPr>
            </w:pPr>
          </w:p>
        </w:tc>
        <w:tc>
          <w:tcPr>
            <w:tcW w:w="694" w:type="pct"/>
            <w:tcBorders>
              <w:top w:val="nil"/>
              <w:left w:val="nil"/>
              <w:bottom w:val="nil"/>
              <w:right w:val="nil"/>
            </w:tcBorders>
            <w:vAlign w:val="center"/>
            <w:hideMark/>
          </w:tcPr>
          <w:p w14:paraId="5422F983" w14:textId="77777777" w:rsidR="00A74C68" w:rsidRPr="00471CBA" w:rsidRDefault="00A74C68" w:rsidP="00A74C68">
            <w:pPr>
              <w:rPr>
                <w:sz w:val="18"/>
                <w:szCs w:val="18"/>
                <w:lang w:eastAsia="tr-TR"/>
              </w:rPr>
            </w:pPr>
          </w:p>
        </w:tc>
        <w:tc>
          <w:tcPr>
            <w:tcW w:w="796" w:type="pct"/>
            <w:tcBorders>
              <w:top w:val="nil"/>
              <w:left w:val="nil"/>
              <w:bottom w:val="nil"/>
              <w:right w:val="nil"/>
            </w:tcBorders>
            <w:vAlign w:val="center"/>
            <w:hideMark/>
          </w:tcPr>
          <w:p w14:paraId="5CCB0568" w14:textId="77777777" w:rsidR="00A74C68" w:rsidRPr="00471CBA" w:rsidRDefault="00A74C68" w:rsidP="00A74C68">
            <w:pPr>
              <w:rPr>
                <w:sz w:val="18"/>
                <w:szCs w:val="18"/>
                <w:lang w:eastAsia="tr-TR"/>
              </w:rPr>
            </w:pPr>
          </w:p>
        </w:tc>
        <w:tc>
          <w:tcPr>
            <w:tcW w:w="737" w:type="pct"/>
            <w:tcBorders>
              <w:top w:val="nil"/>
              <w:left w:val="nil"/>
              <w:bottom w:val="nil"/>
              <w:right w:val="nil"/>
            </w:tcBorders>
            <w:vAlign w:val="center"/>
            <w:hideMark/>
          </w:tcPr>
          <w:p w14:paraId="739B596B" w14:textId="77777777" w:rsidR="00A74C68" w:rsidRPr="00471CBA" w:rsidRDefault="00A74C68" w:rsidP="00A74C68">
            <w:pPr>
              <w:rPr>
                <w:sz w:val="18"/>
                <w:szCs w:val="18"/>
                <w:lang w:eastAsia="tr-TR"/>
              </w:rPr>
            </w:pPr>
          </w:p>
        </w:tc>
        <w:tc>
          <w:tcPr>
            <w:tcW w:w="851" w:type="pct"/>
            <w:tcBorders>
              <w:top w:val="nil"/>
              <w:left w:val="nil"/>
              <w:bottom w:val="nil"/>
              <w:right w:val="nil"/>
            </w:tcBorders>
            <w:vAlign w:val="center"/>
            <w:hideMark/>
          </w:tcPr>
          <w:p w14:paraId="29C25AA1" w14:textId="77777777" w:rsidR="00A74C68" w:rsidRPr="00471CBA" w:rsidRDefault="00A74C68" w:rsidP="00A74C68">
            <w:pPr>
              <w:jc w:val="center"/>
              <w:rPr>
                <w:sz w:val="18"/>
                <w:szCs w:val="18"/>
                <w:lang w:eastAsia="tr-TR"/>
              </w:rPr>
            </w:pPr>
          </w:p>
        </w:tc>
      </w:tr>
      <w:tr w:rsidR="00A74C68" w:rsidRPr="00471CBA" w14:paraId="54AD6FA8" w14:textId="77777777" w:rsidTr="00A74C68">
        <w:trPr>
          <w:divId w:val="571625743"/>
          <w:trHeight w:val="227"/>
        </w:trPr>
        <w:tc>
          <w:tcPr>
            <w:tcW w:w="1921" w:type="pct"/>
            <w:tcBorders>
              <w:top w:val="nil"/>
              <w:left w:val="nil"/>
              <w:bottom w:val="nil"/>
              <w:right w:val="nil"/>
            </w:tcBorders>
            <w:vAlign w:val="center"/>
            <w:hideMark/>
          </w:tcPr>
          <w:p w14:paraId="5D6D49B1" w14:textId="77777777" w:rsidR="00A74C68" w:rsidRPr="00471CBA" w:rsidRDefault="00A74C68" w:rsidP="00A74C68">
            <w:pPr>
              <w:rPr>
                <w:b/>
                <w:bCs/>
                <w:color w:val="000000"/>
                <w:sz w:val="18"/>
                <w:szCs w:val="18"/>
                <w:lang w:eastAsia="tr-TR"/>
              </w:rPr>
            </w:pPr>
            <w:r w:rsidRPr="00471CBA">
              <w:rPr>
                <w:b/>
                <w:bCs/>
                <w:color w:val="000000"/>
                <w:sz w:val="18"/>
                <w:szCs w:val="18"/>
                <w:lang w:eastAsia="tr-TR"/>
              </w:rPr>
              <w:t>Tüzel Kişilerin Özel Cari ve Katılma Hesapları</w:t>
            </w:r>
          </w:p>
        </w:tc>
        <w:tc>
          <w:tcPr>
            <w:tcW w:w="694" w:type="pct"/>
            <w:tcBorders>
              <w:top w:val="nil"/>
              <w:left w:val="nil"/>
              <w:bottom w:val="nil"/>
              <w:right w:val="nil"/>
            </w:tcBorders>
            <w:noWrap/>
            <w:vAlign w:val="bottom"/>
            <w:hideMark/>
          </w:tcPr>
          <w:p w14:paraId="44B0EA89" w14:textId="77777777" w:rsidR="00A74C68" w:rsidRPr="00471CBA" w:rsidRDefault="00A74C68" w:rsidP="00A74C68">
            <w:pPr>
              <w:jc w:val="right"/>
              <w:rPr>
                <w:b/>
                <w:bCs/>
                <w:color w:val="000000"/>
                <w:sz w:val="18"/>
                <w:szCs w:val="18"/>
                <w:lang w:eastAsia="tr-TR"/>
              </w:rPr>
            </w:pPr>
            <w:r w:rsidRPr="00471CBA">
              <w:rPr>
                <w:b/>
                <w:bCs/>
                <w:color w:val="000000"/>
                <w:sz w:val="18"/>
                <w:szCs w:val="18"/>
                <w:lang w:eastAsia="tr-TR"/>
              </w:rPr>
              <w:t>579.446</w:t>
            </w:r>
          </w:p>
        </w:tc>
        <w:tc>
          <w:tcPr>
            <w:tcW w:w="796" w:type="pct"/>
            <w:tcBorders>
              <w:top w:val="nil"/>
              <w:left w:val="nil"/>
              <w:bottom w:val="nil"/>
              <w:right w:val="nil"/>
            </w:tcBorders>
            <w:noWrap/>
            <w:vAlign w:val="bottom"/>
            <w:hideMark/>
          </w:tcPr>
          <w:p w14:paraId="52225E70" w14:textId="77777777" w:rsidR="00A74C68" w:rsidRPr="00471CBA" w:rsidRDefault="00A74C68" w:rsidP="00A74C68">
            <w:pPr>
              <w:jc w:val="right"/>
              <w:rPr>
                <w:rFonts w:ascii="Arial" w:hAnsi="Arial" w:cs="Arial"/>
                <w:color w:val="000000"/>
                <w:sz w:val="18"/>
                <w:szCs w:val="18"/>
                <w:lang w:eastAsia="tr-TR"/>
              </w:rPr>
            </w:pPr>
            <w:r w:rsidRPr="00471CBA">
              <w:rPr>
                <w:b/>
                <w:bCs/>
                <w:color w:val="000000"/>
                <w:sz w:val="18"/>
                <w:szCs w:val="18"/>
                <w:lang w:eastAsia="tr-TR"/>
              </w:rPr>
              <w:t>202.577</w:t>
            </w:r>
          </w:p>
        </w:tc>
        <w:tc>
          <w:tcPr>
            <w:tcW w:w="737" w:type="pct"/>
            <w:tcBorders>
              <w:top w:val="nil"/>
              <w:left w:val="nil"/>
              <w:bottom w:val="nil"/>
              <w:right w:val="nil"/>
            </w:tcBorders>
            <w:noWrap/>
            <w:vAlign w:val="bottom"/>
            <w:hideMark/>
          </w:tcPr>
          <w:p w14:paraId="0B8DD245" w14:textId="77777777" w:rsidR="00A74C68" w:rsidRPr="00471CBA" w:rsidRDefault="00A74C68" w:rsidP="00A74C68">
            <w:pPr>
              <w:jc w:val="right"/>
              <w:rPr>
                <w:b/>
                <w:bCs/>
                <w:color w:val="000000"/>
                <w:sz w:val="18"/>
                <w:szCs w:val="18"/>
                <w:lang w:eastAsia="tr-TR"/>
              </w:rPr>
            </w:pPr>
            <w:r w:rsidRPr="00471CBA">
              <w:rPr>
                <w:b/>
                <w:bCs/>
                <w:color w:val="000000"/>
                <w:sz w:val="18"/>
                <w:szCs w:val="18"/>
                <w:lang w:eastAsia="tr-TR"/>
              </w:rPr>
              <w:t>52.322.597</w:t>
            </w:r>
          </w:p>
        </w:tc>
        <w:tc>
          <w:tcPr>
            <w:tcW w:w="851" w:type="pct"/>
            <w:tcBorders>
              <w:top w:val="nil"/>
              <w:left w:val="nil"/>
              <w:bottom w:val="nil"/>
              <w:right w:val="nil"/>
            </w:tcBorders>
            <w:noWrap/>
            <w:vAlign w:val="bottom"/>
            <w:hideMark/>
          </w:tcPr>
          <w:p w14:paraId="5AC863E7" w14:textId="77777777" w:rsidR="00A74C68" w:rsidRPr="00471CBA" w:rsidRDefault="00A74C68" w:rsidP="00A74C68">
            <w:pPr>
              <w:jc w:val="right"/>
              <w:rPr>
                <w:rFonts w:ascii="Arial" w:hAnsi="Arial" w:cs="Arial"/>
                <w:color w:val="000000"/>
                <w:sz w:val="18"/>
                <w:szCs w:val="18"/>
                <w:lang w:eastAsia="tr-TR"/>
              </w:rPr>
            </w:pPr>
            <w:r w:rsidRPr="00471CBA">
              <w:rPr>
                <w:b/>
                <w:bCs/>
                <w:color w:val="000000"/>
                <w:sz w:val="18"/>
                <w:szCs w:val="18"/>
                <w:lang w:eastAsia="tr-TR"/>
              </w:rPr>
              <w:t>19.239.577</w:t>
            </w:r>
          </w:p>
        </w:tc>
      </w:tr>
      <w:tr w:rsidR="00A74C68" w:rsidRPr="00471CBA" w14:paraId="42837B0B" w14:textId="77777777" w:rsidTr="00A74C68">
        <w:trPr>
          <w:divId w:val="571625743"/>
          <w:trHeight w:val="227"/>
        </w:trPr>
        <w:tc>
          <w:tcPr>
            <w:tcW w:w="1921" w:type="pct"/>
            <w:tcBorders>
              <w:top w:val="nil"/>
              <w:left w:val="nil"/>
              <w:bottom w:val="nil"/>
              <w:right w:val="nil"/>
            </w:tcBorders>
            <w:vAlign w:val="center"/>
            <w:hideMark/>
          </w:tcPr>
          <w:p w14:paraId="1CA15899" w14:textId="77777777" w:rsidR="00A74C68" w:rsidRPr="00471CBA" w:rsidRDefault="00A74C68" w:rsidP="00A74C68">
            <w:pPr>
              <w:ind w:left="215"/>
              <w:rPr>
                <w:color w:val="000000"/>
                <w:sz w:val="18"/>
                <w:szCs w:val="18"/>
                <w:lang w:eastAsia="tr-TR"/>
              </w:rPr>
            </w:pPr>
            <w:r w:rsidRPr="00471CBA">
              <w:rPr>
                <w:color w:val="000000"/>
                <w:sz w:val="18"/>
                <w:szCs w:val="18"/>
                <w:lang w:eastAsia="tr-TR"/>
              </w:rPr>
              <w:t>Türk Parası Cinsinden Hesaplar</w:t>
            </w:r>
          </w:p>
        </w:tc>
        <w:tc>
          <w:tcPr>
            <w:tcW w:w="694" w:type="pct"/>
            <w:tcBorders>
              <w:top w:val="nil"/>
              <w:left w:val="nil"/>
              <w:bottom w:val="nil"/>
              <w:right w:val="nil"/>
            </w:tcBorders>
            <w:noWrap/>
            <w:vAlign w:val="bottom"/>
            <w:hideMark/>
          </w:tcPr>
          <w:p w14:paraId="74D0B3E1" w14:textId="77777777" w:rsidR="00A74C68" w:rsidRPr="00471CBA" w:rsidRDefault="00A74C68" w:rsidP="00A74C68">
            <w:pPr>
              <w:jc w:val="right"/>
              <w:rPr>
                <w:color w:val="000000"/>
                <w:sz w:val="18"/>
                <w:szCs w:val="18"/>
                <w:lang w:eastAsia="tr-TR"/>
              </w:rPr>
            </w:pPr>
            <w:r w:rsidRPr="00471CBA">
              <w:rPr>
                <w:color w:val="000000"/>
                <w:sz w:val="18"/>
                <w:szCs w:val="18"/>
                <w:lang w:eastAsia="tr-TR"/>
              </w:rPr>
              <w:t>336.808</w:t>
            </w:r>
          </w:p>
        </w:tc>
        <w:tc>
          <w:tcPr>
            <w:tcW w:w="796" w:type="pct"/>
            <w:tcBorders>
              <w:top w:val="nil"/>
              <w:left w:val="nil"/>
              <w:bottom w:val="nil"/>
              <w:right w:val="nil"/>
            </w:tcBorders>
            <w:noWrap/>
            <w:vAlign w:val="bottom"/>
            <w:hideMark/>
          </w:tcPr>
          <w:p w14:paraId="0591B7D4" w14:textId="77777777" w:rsidR="00A74C68" w:rsidRPr="00471CBA" w:rsidRDefault="00A74C68" w:rsidP="00A74C68">
            <w:pPr>
              <w:jc w:val="right"/>
              <w:rPr>
                <w:rFonts w:ascii="Arial" w:hAnsi="Arial" w:cs="Arial"/>
                <w:color w:val="000000"/>
                <w:sz w:val="18"/>
                <w:szCs w:val="18"/>
                <w:lang w:eastAsia="tr-TR"/>
              </w:rPr>
            </w:pPr>
            <w:r w:rsidRPr="00471CBA">
              <w:rPr>
                <w:color w:val="000000"/>
                <w:sz w:val="18"/>
                <w:szCs w:val="18"/>
                <w:lang w:eastAsia="tr-TR"/>
              </w:rPr>
              <w:t>144.693</w:t>
            </w:r>
          </w:p>
        </w:tc>
        <w:tc>
          <w:tcPr>
            <w:tcW w:w="737" w:type="pct"/>
            <w:tcBorders>
              <w:top w:val="nil"/>
              <w:left w:val="nil"/>
              <w:bottom w:val="nil"/>
              <w:right w:val="nil"/>
            </w:tcBorders>
            <w:noWrap/>
            <w:vAlign w:val="bottom"/>
            <w:hideMark/>
          </w:tcPr>
          <w:p w14:paraId="4245E182" w14:textId="77777777" w:rsidR="00A74C68" w:rsidRPr="00471CBA" w:rsidRDefault="00A74C68" w:rsidP="00A74C68">
            <w:pPr>
              <w:jc w:val="right"/>
              <w:rPr>
                <w:color w:val="000000"/>
                <w:sz w:val="18"/>
                <w:szCs w:val="18"/>
                <w:lang w:eastAsia="tr-TR"/>
              </w:rPr>
            </w:pPr>
            <w:r w:rsidRPr="00471CBA">
              <w:rPr>
                <w:color w:val="000000"/>
                <w:sz w:val="18"/>
                <w:szCs w:val="18"/>
                <w:lang w:eastAsia="tr-TR"/>
              </w:rPr>
              <w:t>19.666.411</w:t>
            </w:r>
          </w:p>
        </w:tc>
        <w:tc>
          <w:tcPr>
            <w:tcW w:w="851" w:type="pct"/>
            <w:tcBorders>
              <w:top w:val="nil"/>
              <w:left w:val="nil"/>
              <w:bottom w:val="nil"/>
              <w:right w:val="nil"/>
            </w:tcBorders>
            <w:noWrap/>
            <w:vAlign w:val="bottom"/>
            <w:hideMark/>
          </w:tcPr>
          <w:p w14:paraId="0DE9197D" w14:textId="77777777" w:rsidR="00A74C68" w:rsidRPr="00471CBA" w:rsidRDefault="00A74C68" w:rsidP="00A74C68">
            <w:pPr>
              <w:jc w:val="right"/>
              <w:rPr>
                <w:rFonts w:ascii="Arial" w:hAnsi="Arial" w:cs="Arial"/>
                <w:color w:val="000000"/>
                <w:sz w:val="18"/>
                <w:szCs w:val="18"/>
                <w:lang w:eastAsia="tr-TR"/>
              </w:rPr>
            </w:pPr>
            <w:r w:rsidRPr="00471CBA">
              <w:rPr>
                <w:color w:val="000000"/>
                <w:sz w:val="18"/>
                <w:szCs w:val="18"/>
                <w:lang w:eastAsia="tr-TR"/>
              </w:rPr>
              <w:t>10.113.122</w:t>
            </w:r>
          </w:p>
        </w:tc>
      </w:tr>
      <w:tr w:rsidR="00A74C68" w:rsidRPr="00471CBA" w14:paraId="3331C730" w14:textId="77777777" w:rsidTr="00A74C68">
        <w:trPr>
          <w:divId w:val="571625743"/>
          <w:trHeight w:val="227"/>
        </w:trPr>
        <w:tc>
          <w:tcPr>
            <w:tcW w:w="1921" w:type="pct"/>
            <w:tcBorders>
              <w:top w:val="nil"/>
              <w:left w:val="nil"/>
              <w:bottom w:val="nil"/>
              <w:right w:val="nil"/>
            </w:tcBorders>
            <w:vAlign w:val="center"/>
            <w:hideMark/>
          </w:tcPr>
          <w:p w14:paraId="49143C66" w14:textId="77777777" w:rsidR="00A74C68" w:rsidRPr="00471CBA" w:rsidRDefault="00A74C68" w:rsidP="00A74C68">
            <w:pPr>
              <w:ind w:left="215"/>
              <w:rPr>
                <w:color w:val="000000"/>
                <w:sz w:val="18"/>
                <w:szCs w:val="18"/>
                <w:lang w:eastAsia="tr-TR"/>
              </w:rPr>
            </w:pPr>
            <w:r w:rsidRPr="00471CBA">
              <w:rPr>
                <w:color w:val="000000"/>
                <w:sz w:val="18"/>
                <w:szCs w:val="18"/>
                <w:lang w:eastAsia="tr-TR"/>
              </w:rPr>
              <w:t>Yabancı Para Cinsinden Hesaplar</w:t>
            </w:r>
          </w:p>
        </w:tc>
        <w:tc>
          <w:tcPr>
            <w:tcW w:w="694" w:type="pct"/>
            <w:tcBorders>
              <w:top w:val="nil"/>
              <w:left w:val="nil"/>
              <w:bottom w:val="nil"/>
              <w:right w:val="nil"/>
            </w:tcBorders>
            <w:noWrap/>
            <w:vAlign w:val="bottom"/>
            <w:hideMark/>
          </w:tcPr>
          <w:p w14:paraId="285DE202" w14:textId="77777777" w:rsidR="00A74C68" w:rsidRPr="00471CBA" w:rsidRDefault="00A74C68" w:rsidP="00A74C68">
            <w:pPr>
              <w:jc w:val="right"/>
              <w:rPr>
                <w:color w:val="000000"/>
                <w:sz w:val="18"/>
                <w:szCs w:val="18"/>
                <w:lang w:eastAsia="tr-TR"/>
              </w:rPr>
            </w:pPr>
            <w:r w:rsidRPr="00471CBA">
              <w:rPr>
                <w:color w:val="000000"/>
                <w:sz w:val="18"/>
                <w:szCs w:val="18"/>
                <w:lang w:eastAsia="tr-TR"/>
              </w:rPr>
              <w:t>242.638</w:t>
            </w:r>
          </w:p>
        </w:tc>
        <w:tc>
          <w:tcPr>
            <w:tcW w:w="796" w:type="pct"/>
            <w:tcBorders>
              <w:top w:val="nil"/>
              <w:left w:val="nil"/>
              <w:bottom w:val="nil"/>
              <w:right w:val="nil"/>
            </w:tcBorders>
            <w:noWrap/>
            <w:vAlign w:val="bottom"/>
            <w:hideMark/>
          </w:tcPr>
          <w:p w14:paraId="34B42F1C" w14:textId="77777777" w:rsidR="00A74C68" w:rsidRPr="00471CBA" w:rsidRDefault="00A74C68" w:rsidP="00A74C68">
            <w:pPr>
              <w:jc w:val="right"/>
              <w:rPr>
                <w:rFonts w:ascii="Arial" w:hAnsi="Arial" w:cs="Arial"/>
                <w:color w:val="000000"/>
                <w:sz w:val="18"/>
                <w:szCs w:val="18"/>
                <w:lang w:eastAsia="tr-TR"/>
              </w:rPr>
            </w:pPr>
            <w:r w:rsidRPr="00471CBA">
              <w:rPr>
                <w:color w:val="000000"/>
                <w:sz w:val="18"/>
                <w:szCs w:val="18"/>
                <w:lang w:eastAsia="tr-TR"/>
              </w:rPr>
              <w:t>57.884</w:t>
            </w:r>
          </w:p>
        </w:tc>
        <w:tc>
          <w:tcPr>
            <w:tcW w:w="737" w:type="pct"/>
            <w:tcBorders>
              <w:top w:val="nil"/>
              <w:left w:val="nil"/>
              <w:bottom w:val="nil"/>
              <w:right w:val="nil"/>
            </w:tcBorders>
            <w:noWrap/>
            <w:vAlign w:val="bottom"/>
            <w:hideMark/>
          </w:tcPr>
          <w:p w14:paraId="7F800A7A" w14:textId="77777777" w:rsidR="00A74C68" w:rsidRPr="00471CBA" w:rsidRDefault="00A74C68" w:rsidP="00A74C68">
            <w:pPr>
              <w:jc w:val="right"/>
              <w:rPr>
                <w:color w:val="000000"/>
                <w:sz w:val="18"/>
                <w:szCs w:val="18"/>
                <w:lang w:eastAsia="tr-TR"/>
              </w:rPr>
            </w:pPr>
            <w:r w:rsidRPr="00471CBA">
              <w:rPr>
                <w:color w:val="000000"/>
                <w:sz w:val="18"/>
                <w:szCs w:val="18"/>
                <w:lang w:eastAsia="tr-TR"/>
              </w:rPr>
              <w:t>32.656.186</w:t>
            </w:r>
          </w:p>
        </w:tc>
        <w:tc>
          <w:tcPr>
            <w:tcW w:w="851" w:type="pct"/>
            <w:tcBorders>
              <w:top w:val="nil"/>
              <w:left w:val="nil"/>
              <w:bottom w:val="nil"/>
              <w:right w:val="nil"/>
            </w:tcBorders>
            <w:noWrap/>
            <w:vAlign w:val="bottom"/>
            <w:hideMark/>
          </w:tcPr>
          <w:p w14:paraId="6E1EEB32" w14:textId="77777777" w:rsidR="00A74C68" w:rsidRPr="00471CBA" w:rsidRDefault="00A74C68" w:rsidP="00A74C68">
            <w:pPr>
              <w:jc w:val="right"/>
              <w:rPr>
                <w:rFonts w:ascii="Arial" w:hAnsi="Arial" w:cs="Arial"/>
                <w:color w:val="000000"/>
                <w:sz w:val="18"/>
                <w:szCs w:val="18"/>
                <w:lang w:eastAsia="tr-TR"/>
              </w:rPr>
            </w:pPr>
            <w:r w:rsidRPr="00471CBA">
              <w:rPr>
                <w:color w:val="000000"/>
                <w:sz w:val="18"/>
                <w:szCs w:val="18"/>
                <w:lang w:eastAsia="tr-TR"/>
              </w:rPr>
              <w:t>9.126.455</w:t>
            </w:r>
          </w:p>
        </w:tc>
      </w:tr>
      <w:tr w:rsidR="00A74C68" w:rsidRPr="00471CBA" w14:paraId="11CC1B9E" w14:textId="77777777" w:rsidTr="00A74C68">
        <w:trPr>
          <w:divId w:val="571625743"/>
          <w:trHeight w:val="227"/>
        </w:trPr>
        <w:tc>
          <w:tcPr>
            <w:tcW w:w="1921" w:type="pct"/>
            <w:tcBorders>
              <w:top w:val="nil"/>
              <w:left w:val="nil"/>
              <w:bottom w:val="nil"/>
              <w:right w:val="nil"/>
            </w:tcBorders>
            <w:vAlign w:val="center"/>
            <w:hideMark/>
          </w:tcPr>
          <w:p w14:paraId="17B3572E" w14:textId="77777777" w:rsidR="00A74C68" w:rsidRPr="00471CBA" w:rsidRDefault="00A74C68" w:rsidP="00A74C68">
            <w:pPr>
              <w:ind w:left="215"/>
              <w:rPr>
                <w:color w:val="000000"/>
                <w:sz w:val="18"/>
                <w:szCs w:val="18"/>
                <w:lang w:eastAsia="tr-TR"/>
              </w:rPr>
            </w:pPr>
            <w:r w:rsidRPr="00471CBA">
              <w:rPr>
                <w:color w:val="000000"/>
                <w:sz w:val="18"/>
                <w:szCs w:val="18"/>
                <w:lang w:eastAsia="tr-TR"/>
              </w:rPr>
              <w:t>Yurtdışı Şubelerde Bulunan Yabancı Mercilerin Sigortasına Tabi Hesaplar</w:t>
            </w:r>
          </w:p>
        </w:tc>
        <w:tc>
          <w:tcPr>
            <w:tcW w:w="694" w:type="pct"/>
            <w:tcBorders>
              <w:top w:val="nil"/>
              <w:left w:val="nil"/>
              <w:bottom w:val="nil"/>
              <w:right w:val="nil"/>
            </w:tcBorders>
            <w:noWrap/>
            <w:vAlign w:val="bottom"/>
            <w:hideMark/>
          </w:tcPr>
          <w:p w14:paraId="562431E9"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796" w:type="pct"/>
            <w:tcBorders>
              <w:top w:val="nil"/>
              <w:left w:val="nil"/>
              <w:bottom w:val="nil"/>
              <w:right w:val="nil"/>
            </w:tcBorders>
            <w:noWrap/>
            <w:vAlign w:val="bottom"/>
            <w:hideMark/>
          </w:tcPr>
          <w:p w14:paraId="459BAC4F" w14:textId="77777777" w:rsidR="00A74C68" w:rsidRPr="00471CBA" w:rsidRDefault="00A74C68" w:rsidP="00A74C68">
            <w:pPr>
              <w:jc w:val="right"/>
              <w:rPr>
                <w:rFonts w:ascii="Arial" w:hAnsi="Arial" w:cs="Arial"/>
                <w:color w:val="000000"/>
                <w:sz w:val="18"/>
                <w:szCs w:val="18"/>
                <w:lang w:eastAsia="tr-TR"/>
              </w:rPr>
            </w:pPr>
            <w:r w:rsidRPr="00471CBA">
              <w:rPr>
                <w:color w:val="000000"/>
                <w:sz w:val="18"/>
                <w:szCs w:val="18"/>
                <w:lang w:eastAsia="tr-TR"/>
              </w:rPr>
              <w:t>-</w:t>
            </w:r>
          </w:p>
        </w:tc>
        <w:tc>
          <w:tcPr>
            <w:tcW w:w="737" w:type="pct"/>
            <w:tcBorders>
              <w:top w:val="nil"/>
              <w:left w:val="nil"/>
              <w:bottom w:val="nil"/>
              <w:right w:val="nil"/>
            </w:tcBorders>
            <w:noWrap/>
            <w:vAlign w:val="bottom"/>
            <w:hideMark/>
          </w:tcPr>
          <w:p w14:paraId="002E256D"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851" w:type="pct"/>
            <w:tcBorders>
              <w:top w:val="nil"/>
              <w:left w:val="nil"/>
              <w:bottom w:val="nil"/>
              <w:right w:val="nil"/>
            </w:tcBorders>
            <w:noWrap/>
            <w:vAlign w:val="bottom"/>
            <w:hideMark/>
          </w:tcPr>
          <w:p w14:paraId="055E6818" w14:textId="77777777" w:rsidR="00A74C68" w:rsidRPr="00471CBA" w:rsidRDefault="00A74C68" w:rsidP="00A74C68">
            <w:pPr>
              <w:jc w:val="right"/>
              <w:rPr>
                <w:rFonts w:ascii="Arial" w:hAnsi="Arial" w:cs="Arial"/>
                <w:color w:val="000000"/>
                <w:sz w:val="18"/>
                <w:szCs w:val="18"/>
                <w:lang w:eastAsia="tr-TR"/>
              </w:rPr>
            </w:pPr>
            <w:r w:rsidRPr="00471CBA">
              <w:rPr>
                <w:color w:val="000000"/>
                <w:sz w:val="18"/>
                <w:szCs w:val="18"/>
                <w:lang w:eastAsia="tr-TR"/>
              </w:rPr>
              <w:t>-</w:t>
            </w:r>
          </w:p>
        </w:tc>
      </w:tr>
      <w:tr w:rsidR="00A74C68" w:rsidRPr="00471CBA" w14:paraId="0885238F" w14:textId="77777777" w:rsidTr="00A74C68">
        <w:trPr>
          <w:divId w:val="571625743"/>
          <w:trHeight w:val="227"/>
        </w:trPr>
        <w:tc>
          <w:tcPr>
            <w:tcW w:w="1921" w:type="pct"/>
            <w:tcBorders>
              <w:top w:val="nil"/>
              <w:left w:val="nil"/>
              <w:bottom w:val="single" w:sz="4" w:space="0" w:color="auto"/>
              <w:right w:val="nil"/>
            </w:tcBorders>
            <w:vAlign w:val="center"/>
            <w:hideMark/>
          </w:tcPr>
          <w:p w14:paraId="5E4C3567" w14:textId="77777777" w:rsidR="00A74C68" w:rsidRPr="00471CBA" w:rsidRDefault="00A74C68" w:rsidP="00A74C68">
            <w:pPr>
              <w:ind w:left="215"/>
              <w:rPr>
                <w:color w:val="000000"/>
                <w:sz w:val="18"/>
                <w:szCs w:val="18"/>
                <w:lang w:eastAsia="tr-TR"/>
              </w:rPr>
            </w:pPr>
            <w:r w:rsidRPr="00471CBA">
              <w:rPr>
                <w:color w:val="000000"/>
                <w:sz w:val="18"/>
                <w:szCs w:val="18"/>
                <w:lang w:eastAsia="tr-TR"/>
              </w:rPr>
              <w:t xml:space="preserve">Kıyı Bnk. </w:t>
            </w:r>
            <w:proofErr w:type="spellStart"/>
            <w:r w:rsidRPr="00471CBA">
              <w:rPr>
                <w:color w:val="000000"/>
                <w:sz w:val="18"/>
                <w:szCs w:val="18"/>
                <w:lang w:eastAsia="tr-TR"/>
              </w:rPr>
              <w:t>Blg</w:t>
            </w:r>
            <w:proofErr w:type="spellEnd"/>
            <w:r w:rsidRPr="00471CBA">
              <w:rPr>
                <w:color w:val="000000"/>
                <w:sz w:val="18"/>
                <w:szCs w:val="18"/>
                <w:lang w:eastAsia="tr-TR"/>
              </w:rPr>
              <w:t>. Şubelerde Bulunan Yabancı Merci. Sigorta Tabi Hesap</w:t>
            </w:r>
          </w:p>
        </w:tc>
        <w:tc>
          <w:tcPr>
            <w:tcW w:w="694" w:type="pct"/>
            <w:tcBorders>
              <w:top w:val="nil"/>
              <w:left w:val="nil"/>
              <w:bottom w:val="single" w:sz="4" w:space="0" w:color="auto"/>
              <w:right w:val="nil"/>
            </w:tcBorders>
            <w:noWrap/>
            <w:vAlign w:val="bottom"/>
            <w:hideMark/>
          </w:tcPr>
          <w:p w14:paraId="2CA9A27F"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796" w:type="pct"/>
            <w:tcBorders>
              <w:top w:val="nil"/>
              <w:left w:val="nil"/>
              <w:bottom w:val="single" w:sz="4" w:space="0" w:color="auto"/>
              <w:right w:val="nil"/>
            </w:tcBorders>
            <w:noWrap/>
            <w:vAlign w:val="bottom"/>
            <w:hideMark/>
          </w:tcPr>
          <w:p w14:paraId="02CBBDDA"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737" w:type="pct"/>
            <w:tcBorders>
              <w:top w:val="nil"/>
              <w:left w:val="nil"/>
              <w:bottom w:val="single" w:sz="4" w:space="0" w:color="auto"/>
              <w:right w:val="nil"/>
            </w:tcBorders>
            <w:noWrap/>
            <w:vAlign w:val="bottom"/>
            <w:hideMark/>
          </w:tcPr>
          <w:p w14:paraId="5D3F1442"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851" w:type="pct"/>
            <w:tcBorders>
              <w:top w:val="nil"/>
              <w:left w:val="nil"/>
              <w:bottom w:val="single" w:sz="4" w:space="0" w:color="auto"/>
              <w:right w:val="nil"/>
            </w:tcBorders>
            <w:noWrap/>
            <w:vAlign w:val="bottom"/>
            <w:hideMark/>
          </w:tcPr>
          <w:p w14:paraId="57F90D6E"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r>
    </w:tbl>
    <w:p w14:paraId="00AC30C6" w14:textId="216B29F5" w:rsidR="00727BB6" w:rsidRPr="00471CBA" w:rsidRDefault="00727BB6" w:rsidP="007E589C"/>
    <w:p w14:paraId="1049C72C" w14:textId="2F7A4C14" w:rsidR="00B256E7" w:rsidRPr="00471CBA" w:rsidRDefault="003251DF" w:rsidP="008459A9">
      <w:pPr>
        <w:pStyle w:val="GvdeMetniGirintisi"/>
        <w:widowControl w:val="0"/>
        <w:numPr>
          <w:ilvl w:val="0"/>
          <w:numId w:val="49"/>
        </w:numPr>
        <w:tabs>
          <w:tab w:val="clear" w:pos="540"/>
        </w:tabs>
        <w:spacing w:line="235" w:lineRule="auto"/>
        <w:ind w:left="567" w:hanging="567"/>
        <w:rPr>
          <w:b/>
          <w:szCs w:val="20"/>
        </w:rPr>
      </w:pPr>
      <w:bookmarkStart w:id="124" w:name="_Hlk188878125"/>
      <w:r w:rsidRPr="00471CBA">
        <w:rPr>
          <w:b/>
          <w:szCs w:val="20"/>
        </w:rPr>
        <w:t>S</w:t>
      </w:r>
      <w:r w:rsidR="00B256E7" w:rsidRPr="00471CBA">
        <w:rPr>
          <w:b/>
          <w:szCs w:val="20"/>
        </w:rPr>
        <w:t>igorta kapsamında bulunmayan gerçek kişilerin katılım fonları</w:t>
      </w:r>
      <w:r w:rsidRPr="00471CBA">
        <w:rPr>
          <w:b/>
          <w:szCs w:val="20"/>
        </w:rPr>
        <w:t>:</w:t>
      </w:r>
    </w:p>
    <w:p w14:paraId="09F8CB58" w14:textId="1FA8950F" w:rsidR="00A74C68" w:rsidRPr="00471CBA" w:rsidRDefault="00A74C68" w:rsidP="00505589"/>
    <w:tbl>
      <w:tblPr>
        <w:tblW w:w="5000" w:type="pct"/>
        <w:tblCellMar>
          <w:left w:w="70" w:type="dxa"/>
          <w:right w:w="70" w:type="dxa"/>
        </w:tblCellMar>
        <w:tblLook w:val="04A0" w:firstRow="1" w:lastRow="0" w:firstColumn="1" w:lastColumn="0" w:noHBand="0" w:noVBand="1"/>
      </w:tblPr>
      <w:tblGrid>
        <w:gridCol w:w="6075"/>
        <w:gridCol w:w="1590"/>
        <w:gridCol w:w="1690"/>
      </w:tblGrid>
      <w:tr w:rsidR="00A74C68" w:rsidRPr="00471CBA" w14:paraId="393EF067" w14:textId="77777777" w:rsidTr="00A74C68">
        <w:trPr>
          <w:divId w:val="852261929"/>
          <w:trHeight w:val="227"/>
        </w:trPr>
        <w:tc>
          <w:tcPr>
            <w:tcW w:w="3247" w:type="pct"/>
            <w:tcBorders>
              <w:top w:val="nil"/>
              <w:left w:val="nil"/>
              <w:bottom w:val="nil"/>
              <w:right w:val="nil"/>
            </w:tcBorders>
            <w:noWrap/>
            <w:vAlign w:val="bottom"/>
            <w:hideMark/>
          </w:tcPr>
          <w:p w14:paraId="5C6B5E7C" w14:textId="68C934BB" w:rsidR="00A74C68" w:rsidRPr="00471CBA" w:rsidRDefault="00A74C68" w:rsidP="00A74C68">
            <w:pPr>
              <w:rPr>
                <w:sz w:val="18"/>
                <w:szCs w:val="18"/>
                <w:lang w:eastAsia="tr-TR"/>
              </w:rPr>
            </w:pPr>
          </w:p>
        </w:tc>
        <w:tc>
          <w:tcPr>
            <w:tcW w:w="850" w:type="pct"/>
            <w:tcBorders>
              <w:top w:val="nil"/>
              <w:left w:val="nil"/>
              <w:bottom w:val="single" w:sz="4" w:space="0" w:color="auto"/>
              <w:right w:val="nil"/>
            </w:tcBorders>
            <w:vAlign w:val="center"/>
            <w:hideMark/>
          </w:tcPr>
          <w:p w14:paraId="1E14B435" w14:textId="77777777" w:rsidR="00A74C68" w:rsidRPr="00471CBA" w:rsidRDefault="00A74C68" w:rsidP="00A74C68">
            <w:pPr>
              <w:jc w:val="center"/>
              <w:rPr>
                <w:b/>
                <w:bCs/>
                <w:color w:val="000000"/>
                <w:sz w:val="18"/>
                <w:szCs w:val="18"/>
                <w:lang w:eastAsia="tr-TR"/>
              </w:rPr>
            </w:pPr>
            <w:r w:rsidRPr="00471CBA">
              <w:rPr>
                <w:b/>
                <w:bCs/>
                <w:color w:val="000000"/>
                <w:sz w:val="18"/>
                <w:szCs w:val="18"/>
                <w:lang w:eastAsia="tr-TR"/>
              </w:rPr>
              <w:t>31 Aralık 2025</w:t>
            </w:r>
          </w:p>
        </w:tc>
        <w:tc>
          <w:tcPr>
            <w:tcW w:w="903" w:type="pct"/>
            <w:tcBorders>
              <w:top w:val="nil"/>
              <w:left w:val="nil"/>
              <w:bottom w:val="single" w:sz="4" w:space="0" w:color="auto"/>
              <w:right w:val="nil"/>
            </w:tcBorders>
            <w:vAlign w:val="center"/>
            <w:hideMark/>
          </w:tcPr>
          <w:p w14:paraId="1B522415" w14:textId="77777777" w:rsidR="00A74C68" w:rsidRPr="00471CBA" w:rsidRDefault="00A74C68" w:rsidP="00A74C68">
            <w:pPr>
              <w:jc w:val="center"/>
              <w:rPr>
                <w:b/>
                <w:bCs/>
                <w:color w:val="000000"/>
                <w:sz w:val="18"/>
                <w:szCs w:val="18"/>
                <w:lang w:eastAsia="tr-TR"/>
              </w:rPr>
            </w:pPr>
            <w:r w:rsidRPr="00471CBA">
              <w:rPr>
                <w:b/>
                <w:bCs/>
                <w:color w:val="000000"/>
                <w:sz w:val="18"/>
                <w:szCs w:val="18"/>
                <w:lang w:eastAsia="tr-TR"/>
              </w:rPr>
              <w:t>31 Aralık 2024</w:t>
            </w:r>
          </w:p>
        </w:tc>
      </w:tr>
      <w:tr w:rsidR="00A74C68" w:rsidRPr="00471CBA" w14:paraId="0A9EC2FB" w14:textId="77777777" w:rsidTr="00A74C68">
        <w:trPr>
          <w:divId w:val="852261929"/>
          <w:trHeight w:val="227"/>
        </w:trPr>
        <w:tc>
          <w:tcPr>
            <w:tcW w:w="3247" w:type="pct"/>
            <w:tcBorders>
              <w:top w:val="nil"/>
              <w:left w:val="nil"/>
              <w:bottom w:val="nil"/>
              <w:right w:val="nil"/>
            </w:tcBorders>
            <w:noWrap/>
            <w:vAlign w:val="bottom"/>
            <w:hideMark/>
          </w:tcPr>
          <w:p w14:paraId="3E9970CA" w14:textId="77777777" w:rsidR="00A74C68" w:rsidRPr="00471CBA" w:rsidRDefault="00A74C68" w:rsidP="00A74C68">
            <w:pPr>
              <w:jc w:val="center"/>
              <w:rPr>
                <w:b/>
                <w:bCs/>
                <w:color w:val="000000"/>
                <w:sz w:val="18"/>
                <w:szCs w:val="18"/>
                <w:lang w:eastAsia="tr-TR"/>
              </w:rPr>
            </w:pPr>
          </w:p>
        </w:tc>
        <w:tc>
          <w:tcPr>
            <w:tcW w:w="850" w:type="pct"/>
            <w:tcBorders>
              <w:top w:val="nil"/>
              <w:left w:val="nil"/>
              <w:bottom w:val="nil"/>
              <w:right w:val="nil"/>
            </w:tcBorders>
            <w:noWrap/>
            <w:vAlign w:val="bottom"/>
            <w:hideMark/>
          </w:tcPr>
          <w:p w14:paraId="1F88D944" w14:textId="77777777" w:rsidR="00A74C68" w:rsidRPr="00471CBA" w:rsidRDefault="00A74C68" w:rsidP="00A74C68">
            <w:pPr>
              <w:jc w:val="both"/>
              <w:rPr>
                <w:sz w:val="18"/>
                <w:szCs w:val="18"/>
                <w:lang w:eastAsia="tr-TR"/>
              </w:rPr>
            </w:pPr>
          </w:p>
        </w:tc>
        <w:tc>
          <w:tcPr>
            <w:tcW w:w="903" w:type="pct"/>
            <w:tcBorders>
              <w:top w:val="nil"/>
              <w:left w:val="nil"/>
              <w:bottom w:val="nil"/>
              <w:right w:val="nil"/>
            </w:tcBorders>
            <w:noWrap/>
            <w:vAlign w:val="bottom"/>
            <w:hideMark/>
          </w:tcPr>
          <w:p w14:paraId="6003BE0C" w14:textId="77777777" w:rsidR="00A74C68" w:rsidRPr="00471CBA" w:rsidRDefault="00A74C68" w:rsidP="00A74C68">
            <w:pPr>
              <w:jc w:val="both"/>
              <w:rPr>
                <w:sz w:val="18"/>
                <w:szCs w:val="18"/>
                <w:lang w:eastAsia="tr-TR"/>
              </w:rPr>
            </w:pPr>
          </w:p>
        </w:tc>
      </w:tr>
      <w:tr w:rsidR="00A74C68" w:rsidRPr="00471CBA" w14:paraId="6A072982" w14:textId="77777777" w:rsidTr="00A74C68">
        <w:trPr>
          <w:divId w:val="852261929"/>
          <w:trHeight w:val="227"/>
        </w:trPr>
        <w:tc>
          <w:tcPr>
            <w:tcW w:w="3247" w:type="pct"/>
            <w:tcBorders>
              <w:top w:val="nil"/>
              <w:left w:val="nil"/>
              <w:bottom w:val="nil"/>
              <w:right w:val="nil"/>
            </w:tcBorders>
            <w:hideMark/>
          </w:tcPr>
          <w:p w14:paraId="07AACAE3" w14:textId="77777777" w:rsidR="00A74C68" w:rsidRPr="00471CBA" w:rsidRDefault="00A74C68" w:rsidP="00A74C68">
            <w:pPr>
              <w:ind w:leftChars="37" w:left="357" w:hangingChars="157" w:hanging="283"/>
              <w:rPr>
                <w:color w:val="000000"/>
                <w:sz w:val="18"/>
                <w:szCs w:val="18"/>
                <w:lang w:eastAsia="tr-TR"/>
              </w:rPr>
            </w:pPr>
            <w:r w:rsidRPr="00471CBA">
              <w:rPr>
                <w:color w:val="000000"/>
                <w:sz w:val="18"/>
                <w:szCs w:val="18"/>
                <w:lang w:eastAsia="tr-TR"/>
              </w:rPr>
              <w:t>Yurtdışı Şubelerde Bulunan Katılım Fonu ile Diğer Hesaplar</w:t>
            </w:r>
          </w:p>
        </w:tc>
        <w:tc>
          <w:tcPr>
            <w:tcW w:w="850" w:type="pct"/>
            <w:tcBorders>
              <w:top w:val="nil"/>
              <w:left w:val="nil"/>
              <w:bottom w:val="nil"/>
              <w:right w:val="nil"/>
            </w:tcBorders>
            <w:noWrap/>
            <w:vAlign w:val="bottom"/>
            <w:hideMark/>
          </w:tcPr>
          <w:p w14:paraId="3E3626AE"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903" w:type="pct"/>
            <w:tcBorders>
              <w:top w:val="nil"/>
              <w:left w:val="nil"/>
              <w:bottom w:val="nil"/>
              <w:right w:val="nil"/>
            </w:tcBorders>
            <w:noWrap/>
            <w:vAlign w:val="bottom"/>
            <w:hideMark/>
          </w:tcPr>
          <w:p w14:paraId="3E76AE3D"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r>
      <w:tr w:rsidR="00A74C68" w:rsidRPr="00471CBA" w14:paraId="762BFB09" w14:textId="77777777" w:rsidTr="00A74C68">
        <w:trPr>
          <w:divId w:val="852261929"/>
          <w:trHeight w:val="227"/>
        </w:trPr>
        <w:tc>
          <w:tcPr>
            <w:tcW w:w="3247" w:type="pct"/>
            <w:tcBorders>
              <w:top w:val="nil"/>
              <w:left w:val="nil"/>
              <w:bottom w:val="nil"/>
              <w:right w:val="nil"/>
            </w:tcBorders>
            <w:hideMark/>
          </w:tcPr>
          <w:p w14:paraId="2FD047C7" w14:textId="77777777" w:rsidR="00A74C68" w:rsidRPr="00471CBA" w:rsidRDefault="00A74C68" w:rsidP="00A74C68">
            <w:pPr>
              <w:ind w:leftChars="37" w:left="357" w:hangingChars="157" w:hanging="283"/>
              <w:rPr>
                <w:color w:val="000000"/>
                <w:sz w:val="18"/>
                <w:szCs w:val="18"/>
                <w:lang w:eastAsia="tr-TR"/>
              </w:rPr>
            </w:pPr>
            <w:r w:rsidRPr="00471CBA">
              <w:rPr>
                <w:color w:val="000000"/>
                <w:sz w:val="18"/>
                <w:szCs w:val="18"/>
                <w:lang w:eastAsia="tr-TR"/>
              </w:rPr>
              <w:t>Hâkim Ortaklar ile Bunların Ana, Baba, Eş ve Velayet Altındaki Çocuklarına Ait Katılım Fonu ile Diğer Hesaplar</w:t>
            </w:r>
          </w:p>
        </w:tc>
        <w:tc>
          <w:tcPr>
            <w:tcW w:w="850" w:type="pct"/>
            <w:tcBorders>
              <w:top w:val="nil"/>
              <w:left w:val="nil"/>
              <w:bottom w:val="nil"/>
              <w:right w:val="nil"/>
            </w:tcBorders>
            <w:noWrap/>
            <w:vAlign w:val="bottom"/>
            <w:hideMark/>
          </w:tcPr>
          <w:p w14:paraId="645E782E"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903" w:type="pct"/>
            <w:tcBorders>
              <w:top w:val="nil"/>
              <w:left w:val="nil"/>
              <w:bottom w:val="nil"/>
              <w:right w:val="nil"/>
            </w:tcBorders>
            <w:noWrap/>
            <w:vAlign w:val="bottom"/>
            <w:hideMark/>
          </w:tcPr>
          <w:p w14:paraId="17356337"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r>
      <w:tr w:rsidR="00A74C68" w:rsidRPr="00471CBA" w14:paraId="4E31A082" w14:textId="77777777" w:rsidTr="00A74C68">
        <w:trPr>
          <w:divId w:val="852261929"/>
          <w:trHeight w:val="227"/>
        </w:trPr>
        <w:tc>
          <w:tcPr>
            <w:tcW w:w="3247" w:type="pct"/>
            <w:tcBorders>
              <w:top w:val="nil"/>
              <w:left w:val="nil"/>
              <w:bottom w:val="nil"/>
              <w:right w:val="nil"/>
            </w:tcBorders>
            <w:hideMark/>
          </w:tcPr>
          <w:p w14:paraId="104A821B" w14:textId="77777777" w:rsidR="00A74C68" w:rsidRPr="00471CBA" w:rsidRDefault="00A74C68" w:rsidP="00A74C68">
            <w:pPr>
              <w:ind w:leftChars="37" w:left="357" w:hangingChars="157" w:hanging="283"/>
              <w:rPr>
                <w:color w:val="000000"/>
                <w:sz w:val="18"/>
                <w:szCs w:val="18"/>
                <w:lang w:eastAsia="tr-TR"/>
              </w:rPr>
            </w:pPr>
            <w:r w:rsidRPr="00471CBA">
              <w:rPr>
                <w:color w:val="000000"/>
                <w:sz w:val="18"/>
                <w:szCs w:val="18"/>
                <w:lang w:eastAsia="tr-TR"/>
              </w:rPr>
              <w:t>Yönetim veya Müdürler Kurulu Başkan ve Üyeler, Genel Müdür ve Yardımcıları ile Bunların Ana, Baba, Eş ve Velayet Altındaki Çocuklarına Ait Katılım Fonu ile Diğer Hesaplar</w:t>
            </w:r>
          </w:p>
        </w:tc>
        <w:tc>
          <w:tcPr>
            <w:tcW w:w="850" w:type="pct"/>
            <w:tcBorders>
              <w:top w:val="nil"/>
              <w:left w:val="nil"/>
              <w:bottom w:val="nil"/>
              <w:right w:val="nil"/>
            </w:tcBorders>
            <w:noWrap/>
            <w:vAlign w:val="bottom"/>
            <w:hideMark/>
          </w:tcPr>
          <w:p w14:paraId="156E06C6" w14:textId="77777777" w:rsidR="00A74C68" w:rsidRPr="00471CBA" w:rsidRDefault="00A74C68" w:rsidP="00A74C68">
            <w:pPr>
              <w:jc w:val="right"/>
              <w:rPr>
                <w:color w:val="000000"/>
                <w:sz w:val="18"/>
                <w:szCs w:val="18"/>
                <w:lang w:eastAsia="tr-TR"/>
              </w:rPr>
            </w:pPr>
            <w:r w:rsidRPr="00471CBA">
              <w:rPr>
                <w:color w:val="000000"/>
                <w:sz w:val="18"/>
                <w:szCs w:val="18"/>
                <w:lang w:eastAsia="tr-TR"/>
              </w:rPr>
              <w:t>65.295</w:t>
            </w:r>
          </w:p>
        </w:tc>
        <w:tc>
          <w:tcPr>
            <w:tcW w:w="903" w:type="pct"/>
            <w:tcBorders>
              <w:top w:val="nil"/>
              <w:left w:val="nil"/>
              <w:bottom w:val="nil"/>
              <w:right w:val="nil"/>
            </w:tcBorders>
            <w:noWrap/>
            <w:vAlign w:val="bottom"/>
            <w:hideMark/>
          </w:tcPr>
          <w:p w14:paraId="39069FEA" w14:textId="77777777" w:rsidR="00A74C68" w:rsidRPr="00471CBA" w:rsidRDefault="00A74C68" w:rsidP="00A74C68">
            <w:pPr>
              <w:jc w:val="right"/>
              <w:rPr>
                <w:color w:val="000000"/>
                <w:sz w:val="18"/>
                <w:szCs w:val="18"/>
                <w:lang w:eastAsia="tr-TR"/>
              </w:rPr>
            </w:pPr>
            <w:r w:rsidRPr="00471CBA">
              <w:rPr>
                <w:color w:val="000000"/>
                <w:sz w:val="18"/>
                <w:szCs w:val="18"/>
                <w:lang w:eastAsia="tr-TR"/>
              </w:rPr>
              <w:t>169.615</w:t>
            </w:r>
          </w:p>
        </w:tc>
      </w:tr>
      <w:tr w:rsidR="00A74C68" w:rsidRPr="00471CBA" w14:paraId="579FCC2D" w14:textId="77777777" w:rsidTr="00A74C68">
        <w:trPr>
          <w:divId w:val="852261929"/>
          <w:trHeight w:val="227"/>
        </w:trPr>
        <w:tc>
          <w:tcPr>
            <w:tcW w:w="3247" w:type="pct"/>
            <w:tcBorders>
              <w:top w:val="nil"/>
              <w:left w:val="nil"/>
              <w:bottom w:val="nil"/>
              <w:right w:val="nil"/>
            </w:tcBorders>
            <w:hideMark/>
          </w:tcPr>
          <w:p w14:paraId="60E78686" w14:textId="77777777" w:rsidR="00A74C68" w:rsidRPr="00471CBA" w:rsidRDefault="00A74C68" w:rsidP="00A74C68">
            <w:pPr>
              <w:ind w:leftChars="37" w:left="357" w:hangingChars="157" w:hanging="283"/>
              <w:rPr>
                <w:color w:val="000000"/>
                <w:sz w:val="18"/>
                <w:szCs w:val="18"/>
                <w:lang w:eastAsia="tr-TR"/>
              </w:rPr>
            </w:pPr>
            <w:r w:rsidRPr="00471CBA">
              <w:rPr>
                <w:color w:val="000000"/>
                <w:sz w:val="18"/>
                <w:szCs w:val="18"/>
                <w:lang w:eastAsia="tr-TR"/>
              </w:rPr>
              <w:t xml:space="preserve">26/9/2004 Tarihli ve 5237 Sayılı TCK’nın </w:t>
            </w:r>
            <w:proofErr w:type="gramStart"/>
            <w:r w:rsidRPr="00471CBA">
              <w:rPr>
                <w:color w:val="000000"/>
                <w:sz w:val="18"/>
                <w:szCs w:val="18"/>
                <w:lang w:eastAsia="tr-TR"/>
              </w:rPr>
              <w:t>282 nci</w:t>
            </w:r>
            <w:proofErr w:type="gramEnd"/>
            <w:r w:rsidRPr="00471CBA">
              <w:rPr>
                <w:color w:val="000000"/>
                <w:sz w:val="18"/>
                <w:szCs w:val="18"/>
                <w:lang w:eastAsia="tr-TR"/>
              </w:rPr>
              <w:t xml:space="preserve"> Maddesindeki Suçtan Kaynaklanan Mal Varlığı Değerleri Kapsamına Giren Katılım Fonu ile Diğer Hesaplar</w:t>
            </w:r>
          </w:p>
        </w:tc>
        <w:tc>
          <w:tcPr>
            <w:tcW w:w="850" w:type="pct"/>
            <w:tcBorders>
              <w:top w:val="nil"/>
              <w:left w:val="nil"/>
              <w:bottom w:val="nil"/>
              <w:right w:val="nil"/>
            </w:tcBorders>
            <w:noWrap/>
            <w:vAlign w:val="bottom"/>
            <w:hideMark/>
          </w:tcPr>
          <w:p w14:paraId="2D20A0B7"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903" w:type="pct"/>
            <w:tcBorders>
              <w:top w:val="nil"/>
              <w:left w:val="nil"/>
              <w:bottom w:val="nil"/>
              <w:right w:val="nil"/>
            </w:tcBorders>
            <w:noWrap/>
            <w:vAlign w:val="bottom"/>
            <w:hideMark/>
          </w:tcPr>
          <w:p w14:paraId="57C264BF"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r>
      <w:tr w:rsidR="00A74C68" w:rsidRPr="00471CBA" w14:paraId="4CD169E2" w14:textId="77777777" w:rsidTr="00A74C68">
        <w:trPr>
          <w:divId w:val="852261929"/>
          <w:trHeight w:val="227"/>
        </w:trPr>
        <w:tc>
          <w:tcPr>
            <w:tcW w:w="3247" w:type="pct"/>
            <w:tcBorders>
              <w:top w:val="nil"/>
              <w:left w:val="nil"/>
              <w:bottom w:val="single" w:sz="4" w:space="0" w:color="auto"/>
              <w:right w:val="nil"/>
            </w:tcBorders>
            <w:hideMark/>
          </w:tcPr>
          <w:p w14:paraId="2868BD8E" w14:textId="77777777" w:rsidR="00A74C68" w:rsidRPr="00471CBA" w:rsidRDefault="00A74C68" w:rsidP="00A74C68">
            <w:pPr>
              <w:ind w:leftChars="37" w:left="357" w:hangingChars="157" w:hanging="283"/>
              <w:rPr>
                <w:color w:val="000000"/>
                <w:sz w:val="18"/>
                <w:szCs w:val="18"/>
                <w:lang w:eastAsia="tr-TR"/>
              </w:rPr>
            </w:pPr>
            <w:r w:rsidRPr="00471CBA">
              <w:rPr>
                <w:color w:val="000000"/>
                <w:sz w:val="18"/>
                <w:szCs w:val="18"/>
                <w:lang w:eastAsia="tr-TR"/>
              </w:rPr>
              <w:t>Türkiye’de Münhasıran Kıyı Bankacılığı Faaliyeti Göstermek Üzere Kurulan Katılım Bankalarında Bulunan Katılım Fonları</w:t>
            </w:r>
          </w:p>
        </w:tc>
        <w:tc>
          <w:tcPr>
            <w:tcW w:w="850" w:type="pct"/>
            <w:tcBorders>
              <w:top w:val="nil"/>
              <w:left w:val="nil"/>
              <w:bottom w:val="single" w:sz="4" w:space="0" w:color="auto"/>
              <w:right w:val="nil"/>
            </w:tcBorders>
            <w:noWrap/>
            <w:vAlign w:val="bottom"/>
            <w:hideMark/>
          </w:tcPr>
          <w:p w14:paraId="553CB6F1"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903" w:type="pct"/>
            <w:tcBorders>
              <w:top w:val="nil"/>
              <w:left w:val="nil"/>
              <w:bottom w:val="single" w:sz="4" w:space="0" w:color="auto"/>
              <w:right w:val="nil"/>
            </w:tcBorders>
            <w:noWrap/>
            <w:vAlign w:val="bottom"/>
            <w:hideMark/>
          </w:tcPr>
          <w:p w14:paraId="15432AE6"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r>
    </w:tbl>
    <w:p w14:paraId="657B5350" w14:textId="1505EED8" w:rsidR="008679D6" w:rsidRPr="00471CBA" w:rsidRDefault="008679D6" w:rsidP="00505589"/>
    <w:bookmarkEnd w:id="121"/>
    <w:bookmarkEnd w:id="122"/>
    <w:bookmarkEnd w:id="124"/>
    <w:p w14:paraId="4A44CFDF" w14:textId="353EFE85" w:rsidR="00E815F0" w:rsidRPr="00471CBA" w:rsidRDefault="00E815F0" w:rsidP="00E815F0">
      <w:pPr>
        <w:ind w:left="851"/>
        <w:jc w:val="both"/>
      </w:pPr>
      <w:r w:rsidRPr="00471CBA">
        <w:t xml:space="preserve">Katılım Bankalarının yurtiçi şubelerinde resmi kuruluşlar, kredi kuruluşları ve finansal kuruluşlara ait olanlar haricinde Türk Lirası veya döviz üzerinden açılan özel cari hesaplarda ve katılma hesaplarında toplanan fonlar, bir gerçek veya tüzel kişiye ait hesapların anapara ve kar payları toplamının </w:t>
      </w:r>
      <w:bookmarkStart w:id="125" w:name="_Hlk195021618"/>
      <w:r w:rsidRPr="00471CBA">
        <w:t>950</w:t>
      </w:r>
      <w:bookmarkEnd w:id="125"/>
      <w:r w:rsidRPr="00471CBA">
        <w:t xml:space="preserve"> TL </w:t>
      </w:r>
      <w:r w:rsidRPr="00471CBA">
        <w:br/>
        <w:t>(31 Aralık 2024: 650 TL)’</w:t>
      </w:r>
      <w:proofErr w:type="spellStart"/>
      <w:r w:rsidRPr="00471CBA">
        <w:t>yi</w:t>
      </w:r>
      <w:proofErr w:type="spellEnd"/>
      <w:r w:rsidRPr="00471CBA">
        <w:t xml:space="preserve"> geçmemesi şartıyla, 5411 sayılı Bankacılık Kanunu kapsamında Tasarruf Mevduat Sigorta Fonu güvencesi altındadır.</w:t>
      </w:r>
      <w:r w:rsidRPr="00471CBA">
        <w:br w:type="page"/>
      </w:r>
    </w:p>
    <w:p w14:paraId="769F8352" w14:textId="77777777" w:rsidR="00CA151E" w:rsidRPr="00471CBA" w:rsidRDefault="00CA151E" w:rsidP="00CA151E">
      <w:pPr>
        <w:widowControl w:val="0"/>
        <w:spacing w:line="235" w:lineRule="auto"/>
        <w:ind w:left="720" w:hanging="720"/>
        <w:jc w:val="both"/>
        <w:rPr>
          <w:b/>
          <w:szCs w:val="20"/>
        </w:rPr>
      </w:pPr>
      <w:r w:rsidRPr="00471CBA">
        <w:rPr>
          <w:b/>
          <w:szCs w:val="20"/>
        </w:rPr>
        <w:t>KONSOLİDE OLMAYAN FİNANSAL TABLOLARA İLİŞKİN AÇIKLAMA VE DİPNOTLAR (Devamı)</w:t>
      </w:r>
    </w:p>
    <w:p w14:paraId="607DDA2C" w14:textId="77777777" w:rsidR="00CA151E" w:rsidRPr="00471CBA" w:rsidRDefault="00CA151E" w:rsidP="00CA151E">
      <w:pPr>
        <w:widowControl w:val="0"/>
        <w:spacing w:line="235" w:lineRule="auto"/>
        <w:ind w:left="851" w:hanging="851"/>
        <w:jc w:val="both"/>
        <w:rPr>
          <w:b/>
          <w:szCs w:val="20"/>
        </w:rPr>
      </w:pPr>
    </w:p>
    <w:p w14:paraId="486099AE" w14:textId="77777777" w:rsidR="00A445BA" w:rsidRPr="00471CBA" w:rsidRDefault="00A445BA" w:rsidP="00A52751">
      <w:pPr>
        <w:widowControl w:val="0"/>
        <w:spacing w:line="235" w:lineRule="auto"/>
        <w:ind w:left="567" w:hanging="567"/>
        <w:jc w:val="both"/>
        <w:rPr>
          <w:b/>
          <w:szCs w:val="20"/>
        </w:rPr>
      </w:pPr>
      <w:r w:rsidRPr="00471CBA">
        <w:rPr>
          <w:b/>
          <w:szCs w:val="20"/>
        </w:rPr>
        <w:t>II.</w:t>
      </w:r>
      <w:r w:rsidRPr="00471CBA">
        <w:rPr>
          <w:b/>
          <w:szCs w:val="20"/>
        </w:rPr>
        <w:tab/>
        <w:t>BİLANÇONUN PASİF HESAPLARINA İLİŞKİN AÇIKLAMA VE DİPNOTLAR (Devamı)</w:t>
      </w:r>
    </w:p>
    <w:p w14:paraId="37FB006D" w14:textId="77777777" w:rsidR="00765D08" w:rsidRPr="00471CBA" w:rsidRDefault="00765D08" w:rsidP="00A52751">
      <w:pPr>
        <w:widowControl w:val="0"/>
        <w:spacing w:line="235" w:lineRule="auto"/>
        <w:ind w:left="567" w:right="-182" w:hanging="567"/>
        <w:jc w:val="both"/>
        <w:rPr>
          <w:szCs w:val="20"/>
        </w:rPr>
      </w:pPr>
    </w:p>
    <w:p w14:paraId="026ED78D" w14:textId="15722C7B" w:rsidR="005B3DE3" w:rsidRPr="00471CBA" w:rsidRDefault="005B3DE3" w:rsidP="008459A9">
      <w:pPr>
        <w:pStyle w:val="ListeParagraf"/>
        <w:widowControl w:val="0"/>
        <w:numPr>
          <w:ilvl w:val="0"/>
          <w:numId w:val="48"/>
        </w:numPr>
        <w:ind w:left="567" w:hanging="567"/>
        <w:jc w:val="both"/>
        <w:rPr>
          <w:b/>
          <w:szCs w:val="20"/>
        </w:rPr>
      </w:pPr>
      <w:r w:rsidRPr="00471CBA">
        <w:rPr>
          <w:b/>
          <w:szCs w:val="20"/>
        </w:rPr>
        <w:t>Alınan kredilere ilişkin bilgiler:</w:t>
      </w:r>
    </w:p>
    <w:p w14:paraId="714FF517" w14:textId="77777777" w:rsidR="005B3DE3" w:rsidRPr="00471CBA" w:rsidRDefault="005B3DE3" w:rsidP="00A52751">
      <w:pPr>
        <w:pStyle w:val="GvdeMetniGirintisi"/>
        <w:widowControl w:val="0"/>
        <w:ind w:left="567" w:right="-110" w:hanging="567"/>
        <w:rPr>
          <w:bCs/>
          <w:szCs w:val="20"/>
        </w:rPr>
      </w:pPr>
    </w:p>
    <w:p w14:paraId="2AE9C6A0" w14:textId="3E99D0C6" w:rsidR="005B3DE3" w:rsidRPr="00471CBA" w:rsidRDefault="00CF39AE" w:rsidP="008459A9">
      <w:pPr>
        <w:pStyle w:val="GvdeMetniGirintisi"/>
        <w:widowControl w:val="0"/>
        <w:numPr>
          <w:ilvl w:val="1"/>
          <w:numId w:val="60"/>
        </w:numPr>
        <w:ind w:left="567" w:right="-110" w:hanging="567"/>
        <w:rPr>
          <w:b/>
          <w:szCs w:val="20"/>
        </w:rPr>
      </w:pPr>
      <w:r w:rsidRPr="00471CBA">
        <w:rPr>
          <w:b/>
          <w:szCs w:val="20"/>
        </w:rPr>
        <w:t>Bankalar ve diğer mali kuruluşlara ilişkin bilgiler:</w:t>
      </w:r>
    </w:p>
    <w:p w14:paraId="21CE7811" w14:textId="3A09621E" w:rsidR="00A74C68" w:rsidRPr="00471CBA" w:rsidRDefault="00A74C68" w:rsidP="005B3DE3">
      <w:pPr>
        <w:pStyle w:val="GvdeMetniGirintisi"/>
        <w:widowControl w:val="0"/>
        <w:ind w:left="1702" w:right="-110" w:hanging="851"/>
        <w:rPr>
          <w:szCs w:val="20"/>
        </w:rPr>
      </w:pPr>
    </w:p>
    <w:tbl>
      <w:tblPr>
        <w:tblW w:w="5000" w:type="pct"/>
        <w:tblCellMar>
          <w:left w:w="70" w:type="dxa"/>
          <w:right w:w="70" w:type="dxa"/>
        </w:tblCellMar>
        <w:tblLook w:val="04A0" w:firstRow="1" w:lastRow="0" w:firstColumn="1" w:lastColumn="0" w:noHBand="0" w:noVBand="1"/>
      </w:tblPr>
      <w:tblGrid>
        <w:gridCol w:w="4854"/>
        <w:gridCol w:w="2028"/>
        <w:gridCol w:w="2473"/>
      </w:tblGrid>
      <w:tr w:rsidR="00A74C68" w:rsidRPr="00471CBA" w14:paraId="5542C3A7" w14:textId="77777777" w:rsidTr="00A74C68">
        <w:trPr>
          <w:divId w:val="322271944"/>
          <w:trHeight w:val="227"/>
        </w:trPr>
        <w:tc>
          <w:tcPr>
            <w:tcW w:w="2594" w:type="pct"/>
            <w:tcBorders>
              <w:top w:val="nil"/>
              <w:left w:val="nil"/>
              <w:bottom w:val="nil"/>
              <w:right w:val="nil"/>
            </w:tcBorders>
            <w:noWrap/>
            <w:vAlign w:val="bottom"/>
            <w:hideMark/>
          </w:tcPr>
          <w:p w14:paraId="02A3619A" w14:textId="3CF5190A" w:rsidR="00A74C68" w:rsidRPr="00471CBA" w:rsidRDefault="00A74C68" w:rsidP="00A74C68">
            <w:pPr>
              <w:rPr>
                <w:szCs w:val="20"/>
              </w:rPr>
            </w:pPr>
          </w:p>
        </w:tc>
        <w:tc>
          <w:tcPr>
            <w:tcW w:w="2406" w:type="pct"/>
            <w:gridSpan w:val="2"/>
            <w:tcBorders>
              <w:top w:val="nil"/>
              <w:left w:val="nil"/>
              <w:bottom w:val="single" w:sz="4" w:space="0" w:color="auto"/>
              <w:right w:val="nil"/>
            </w:tcBorders>
            <w:noWrap/>
            <w:vAlign w:val="bottom"/>
            <w:hideMark/>
          </w:tcPr>
          <w:p w14:paraId="50E3FBE1" w14:textId="77777777" w:rsidR="00A74C68" w:rsidRPr="00471CBA" w:rsidRDefault="00A74C68" w:rsidP="00A74C68">
            <w:pPr>
              <w:jc w:val="center"/>
              <w:rPr>
                <w:b/>
                <w:bCs/>
                <w:color w:val="000000"/>
                <w:szCs w:val="20"/>
              </w:rPr>
            </w:pPr>
            <w:r w:rsidRPr="00471CBA">
              <w:rPr>
                <w:b/>
                <w:bCs/>
                <w:color w:val="000000"/>
                <w:szCs w:val="20"/>
              </w:rPr>
              <w:t>31 Aralık 2025</w:t>
            </w:r>
          </w:p>
        </w:tc>
      </w:tr>
      <w:tr w:rsidR="00A74C68" w:rsidRPr="00471CBA" w14:paraId="58189FC6" w14:textId="77777777" w:rsidTr="00A74C68">
        <w:trPr>
          <w:divId w:val="322271944"/>
          <w:trHeight w:val="227"/>
        </w:trPr>
        <w:tc>
          <w:tcPr>
            <w:tcW w:w="2594" w:type="pct"/>
            <w:tcBorders>
              <w:top w:val="nil"/>
              <w:left w:val="nil"/>
              <w:bottom w:val="nil"/>
              <w:right w:val="nil"/>
            </w:tcBorders>
            <w:noWrap/>
            <w:vAlign w:val="bottom"/>
            <w:hideMark/>
          </w:tcPr>
          <w:p w14:paraId="7D58B122" w14:textId="77777777" w:rsidR="00A74C68" w:rsidRPr="00471CBA" w:rsidRDefault="00A74C68" w:rsidP="00A74C68">
            <w:pPr>
              <w:jc w:val="center"/>
              <w:rPr>
                <w:b/>
                <w:bCs/>
                <w:color w:val="000000"/>
                <w:szCs w:val="20"/>
              </w:rPr>
            </w:pPr>
          </w:p>
        </w:tc>
        <w:tc>
          <w:tcPr>
            <w:tcW w:w="1084" w:type="pct"/>
            <w:tcBorders>
              <w:top w:val="nil"/>
              <w:left w:val="nil"/>
              <w:bottom w:val="single" w:sz="4" w:space="0" w:color="auto"/>
              <w:right w:val="nil"/>
            </w:tcBorders>
            <w:vAlign w:val="bottom"/>
            <w:hideMark/>
          </w:tcPr>
          <w:p w14:paraId="4E9072E4" w14:textId="77777777" w:rsidR="00A74C68" w:rsidRPr="00471CBA" w:rsidRDefault="00A74C68" w:rsidP="00A74C68">
            <w:pPr>
              <w:jc w:val="center"/>
              <w:rPr>
                <w:b/>
                <w:bCs/>
                <w:color w:val="000000"/>
                <w:szCs w:val="20"/>
              </w:rPr>
            </w:pPr>
            <w:r w:rsidRPr="00471CBA">
              <w:rPr>
                <w:b/>
                <w:bCs/>
                <w:color w:val="000000"/>
                <w:szCs w:val="20"/>
              </w:rPr>
              <w:t>TP</w:t>
            </w:r>
          </w:p>
        </w:tc>
        <w:tc>
          <w:tcPr>
            <w:tcW w:w="1322" w:type="pct"/>
            <w:tcBorders>
              <w:top w:val="nil"/>
              <w:left w:val="nil"/>
              <w:bottom w:val="single" w:sz="4" w:space="0" w:color="auto"/>
              <w:right w:val="nil"/>
            </w:tcBorders>
            <w:noWrap/>
            <w:vAlign w:val="bottom"/>
            <w:hideMark/>
          </w:tcPr>
          <w:p w14:paraId="16947351" w14:textId="77777777" w:rsidR="00A74C68" w:rsidRPr="00471CBA" w:rsidRDefault="00A74C68" w:rsidP="00A74C68">
            <w:pPr>
              <w:jc w:val="center"/>
              <w:rPr>
                <w:b/>
                <w:bCs/>
                <w:color w:val="000000"/>
                <w:szCs w:val="20"/>
              </w:rPr>
            </w:pPr>
            <w:r w:rsidRPr="00471CBA">
              <w:rPr>
                <w:b/>
                <w:bCs/>
                <w:color w:val="000000"/>
                <w:szCs w:val="20"/>
              </w:rPr>
              <w:t>YP</w:t>
            </w:r>
          </w:p>
        </w:tc>
      </w:tr>
      <w:tr w:rsidR="00A74C68" w:rsidRPr="00471CBA" w14:paraId="720A3183" w14:textId="77777777" w:rsidTr="00A74C68">
        <w:trPr>
          <w:divId w:val="322271944"/>
          <w:trHeight w:val="227"/>
        </w:trPr>
        <w:tc>
          <w:tcPr>
            <w:tcW w:w="2594" w:type="pct"/>
            <w:tcBorders>
              <w:top w:val="nil"/>
              <w:left w:val="nil"/>
              <w:bottom w:val="nil"/>
              <w:right w:val="nil"/>
            </w:tcBorders>
            <w:noWrap/>
            <w:vAlign w:val="bottom"/>
            <w:hideMark/>
          </w:tcPr>
          <w:p w14:paraId="43B6555B" w14:textId="77777777" w:rsidR="00A74C68" w:rsidRPr="00471CBA" w:rsidRDefault="00A74C68" w:rsidP="00A74C68">
            <w:pPr>
              <w:jc w:val="center"/>
              <w:rPr>
                <w:b/>
                <w:bCs/>
                <w:color w:val="000000"/>
                <w:szCs w:val="20"/>
              </w:rPr>
            </w:pPr>
          </w:p>
        </w:tc>
        <w:tc>
          <w:tcPr>
            <w:tcW w:w="1084" w:type="pct"/>
            <w:tcBorders>
              <w:top w:val="nil"/>
              <w:left w:val="nil"/>
              <w:bottom w:val="nil"/>
              <w:right w:val="nil"/>
            </w:tcBorders>
            <w:noWrap/>
            <w:vAlign w:val="bottom"/>
            <w:hideMark/>
          </w:tcPr>
          <w:p w14:paraId="44F56983" w14:textId="77777777" w:rsidR="00A74C68" w:rsidRPr="00471CBA" w:rsidRDefault="00A74C68" w:rsidP="00A74C68">
            <w:pPr>
              <w:rPr>
                <w:szCs w:val="20"/>
              </w:rPr>
            </w:pPr>
          </w:p>
        </w:tc>
        <w:tc>
          <w:tcPr>
            <w:tcW w:w="1322" w:type="pct"/>
            <w:tcBorders>
              <w:top w:val="nil"/>
              <w:left w:val="nil"/>
              <w:bottom w:val="nil"/>
              <w:right w:val="nil"/>
            </w:tcBorders>
            <w:noWrap/>
            <w:vAlign w:val="bottom"/>
            <w:hideMark/>
          </w:tcPr>
          <w:p w14:paraId="15DD9E2F" w14:textId="77777777" w:rsidR="00A74C68" w:rsidRPr="00471CBA" w:rsidRDefault="00A74C68" w:rsidP="00A74C68">
            <w:pPr>
              <w:rPr>
                <w:szCs w:val="20"/>
              </w:rPr>
            </w:pPr>
          </w:p>
        </w:tc>
      </w:tr>
      <w:tr w:rsidR="00A74C68" w:rsidRPr="00471CBA" w14:paraId="4868D58A" w14:textId="77777777" w:rsidTr="00A74C68">
        <w:trPr>
          <w:divId w:val="322271944"/>
          <w:trHeight w:val="227"/>
        </w:trPr>
        <w:tc>
          <w:tcPr>
            <w:tcW w:w="2594" w:type="pct"/>
            <w:tcBorders>
              <w:top w:val="nil"/>
              <w:left w:val="nil"/>
              <w:bottom w:val="nil"/>
              <w:right w:val="nil"/>
            </w:tcBorders>
            <w:noWrap/>
            <w:vAlign w:val="bottom"/>
            <w:hideMark/>
          </w:tcPr>
          <w:p w14:paraId="0C1A5086" w14:textId="77777777" w:rsidR="00A74C68" w:rsidRPr="00471CBA" w:rsidRDefault="00A74C68" w:rsidP="00A74C68">
            <w:pPr>
              <w:rPr>
                <w:color w:val="000000"/>
                <w:szCs w:val="20"/>
              </w:rPr>
            </w:pPr>
            <w:r w:rsidRPr="00471CBA">
              <w:rPr>
                <w:color w:val="000000"/>
                <w:szCs w:val="20"/>
              </w:rPr>
              <w:t>T.C. Merkez Bankası Kredileri</w:t>
            </w:r>
          </w:p>
        </w:tc>
        <w:tc>
          <w:tcPr>
            <w:tcW w:w="1084" w:type="pct"/>
            <w:tcBorders>
              <w:top w:val="nil"/>
              <w:left w:val="nil"/>
              <w:bottom w:val="nil"/>
              <w:right w:val="nil"/>
            </w:tcBorders>
            <w:vAlign w:val="center"/>
            <w:hideMark/>
          </w:tcPr>
          <w:p w14:paraId="688FE7BD" w14:textId="77777777" w:rsidR="00A74C68" w:rsidRPr="00471CBA" w:rsidRDefault="00A74C68" w:rsidP="00A74C68">
            <w:pPr>
              <w:jc w:val="right"/>
              <w:rPr>
                <w:color w:val="000000"/>
                <w:szCs w:val="20"/>
              </w:rPr>
            </w:pPr>
            <w:r w:rsidRPr="00471CBA">
              <w:rPr>
                <w:color w:val="000000"/>
                <w:szCs w:val="20"/>
              </w:rPr>
              <w:t>-</w:t>
            </w:r>
          </w:p>
        </w:tc>
        <w:tc>
          <w:tcPr>
            <w:tcW w:w="1322" w:type="pct"/>
            <w:tcBorders>
              <w:top w:val="nil"/>
              <w:left w:val="nil"/>
              <w:bottom w:val="nil"/>
              <w:right w:val="nil"/>
            </w:tcBorders>
            <w:vAlign w:val="center"/>
            <w:hideMark/>
          </w:tcPr>
          <w:p w14:paraId="73BA2D4D" w14:textId="77777777" w:rsidR="00A74C68" w:rsidRPr="00471CBA" w:rsidRDefault="00A74C68" w:rsidP="00A74C68">
            <w:pPr>
              <w:jc w:val="right"/>
              <w:rPr>
                <w:color w:val="000000"/>
                <w:szCs w:val="20"/>
              </w:rPr>
            </w:pPr>
            <w:r w:rsidRPr="00471CBA">
              <w:rPr>
                <w:color w:val="000000"/>
                <w:szCs w:val="20"/>
              </w:rPr>
              <w:t>-</w:t>
            </w:r>
          </w:p>
        </w:tc>
      </w:tr>
      <w:tr w:rsidR="00A74C68" w:rsidRPr="00471CBA" w14:paraId="7270147B" w14:textId="77777777" w:rsidTr="00A74C68">
        <w:trPr>
          <w:divId w:val="322271944"/>
          <w:trHeight w:val="227"/>
        </w:trPr>
        <w:tc>
          <w:tcPr>
            <w:tcW w:w="2594" w:type="pct"/>
            <w:tcBorders>
              <w:top w:val="nil"/>
              <w:left w:val="nil"/>
              <w:bottom w:val="nil"/>
              <w:right w:val="nil"/>
            </w:tcBorders>
            <w:noWrap/>
            <w:vAlign w:val="bottom"/>
            <w:hideMark/>
          </w:tcPr>
          <w:p w14:paraId="78D4DEA1" w14:textId="77777777" w:rsidR="00A74C68" w:rsidRPr="00471CBA" w:rsidRDefault="00A74C68" w:rsidP="00A74C68">
            <w:pPr>
              <w:rPr>
                <w:color w:val="000000"/>
                <w:szCs w:val="20"/>
              </w:rPr>
            </w:pPr>
            <w:r w:rsidRPr="00471CBA">
              <w:rPr>
                <w:color w:val="000000"/>
                <w:szCs w:val="20"/>
              </w:rPr>
              <w:t>Yurt içi Banka ve Kuruluşlardan</w:t>
            </w:r>
          </w:p>
        </w:tc>
        <w:tc>
          <w:tcPr>
            <w:tcW w:w="1084" w:type="pct"/>
            <w:tcBorders>
              <w:top w:val="nil"/>
              <w:left w:val="nil"/>
              <w:bottom w:val="nil"/>
              <w:right w:val="nil"/>
            </w:tcBorders>
            <w:vAlign w:val="center"/>
            <w:hideMark/>
          </w:tcPr>
          <w:p w14:paraId="196DBBFB" w14:textId="77777777" w:rsidR="00A74C68" w:rsidRPr="00471CBA" w:rsidRDefault="00A74C68" w:rsidP="00A74C68">
            <w:pPr>
              <w:jc w:val="right"/>
              <w:rPr>
                <w:color w:val="000000"/>
                <w:szCs w:val="20"/>
              </w:rPr>
            </w:pPr>
            <w:r w:rsidRPr="00471CBA">
              <w:rPr>
                <w:color w:val="000000"/>
                <w:szCs w:val="20"/>
              </w:rPr>
              <w:t>5.185.314</w:t>
            </w:r>
          </w:p>
        </w:tc>
        <w:tc>
          <w:tcPr>
            <w:tcW w:w="1322" w:type="pct"/>
            <w:tcBorders>
              <w:top w:val="nil"/>
              <w:left w:val="nil"/>
              <w:bottom w:val="nil"/>
              <w:right w:val="nil"/>
            </w:tcBorders>
            <w:vAlign w:val="center"/>
            <w:hideMark/>
          </w:tcPr>
          <w:p w14:paraId="21D13878" w14:textId="77777777" w:rsidR="00A74C68" w:rsidRPr="00471CBA" w:rsidRDefault="00A74C68" w:rsidP="00A74C68">
            <w:pPr>
              <w:jc w:val="right"/>
              <w:rPr>
                <w:color w:val="000000"/>
                <w:szCs w:val="20"/>
              </w:rPr>
            </w:pPr>
            <w:r w:rsidRPr="00471CBA">
              <w:rPr>
                <w:color w:val="000000"/>
                <w:szCs w:val="20"/>
              </w:rPr>
              <w:t>-</w:t>
            </w:r>
          </w:p>
        </w:tc>
      </w:tr>
      <w:tr w:rsidR="00A74C68" w:rsidRPr="00471CBA" w14:paraId="4C9F5355" w14:textId="77777777" w:rsidTr="00A74C68">
        <w:trPr>
          <w:divId w:val="322271944"/>
          <w:trHeight w:val="227"/>
        </w:trPr>
        <w:tc>
          <w:tcPr>
            <w:tcW w:w="2594" w:type="pct"/>
            <w:tcBorders>
              <w:top w:val="nil"/>
              <w:left w:val="nil"/>
              <w:bottom w:val="single" w:sz="4" w:space="0" w:color="auto"/>
              <w:right w:val="nil"/>
            </w:tcBorders>
            <w:noWrap/>
            <w:vAlign w:val="bottom"/>
            <w:hideMark/>
          </w:tcPr>
          <w:p w14:paraId="50CE9810" w14:textId="77777777" w:rsidR="00A74C68" w:rsidRPr="00471CBA" w:rsidRDefault="00A74C68" w:rsidP="00A74C68">
            <w:pPr>
              <w:rPr>
                <w:color w:val="000000"/>
                <w:szCs w:val="20"/>
              </w:rPr>
            </w:pPr>
            <w:r w:rsidRPr="00471CBA">
              <w:rPr>
                <w:color w:val="000000"/>
                <w:szCs w:val="20"/>
              </w:rPr>
              <w:t>Yurt dışı Banka, Kuruluş ve Fonlardan</w:t>
            </w:r>
          </w:p>
        </w:tc>
        <w:tc>
          <w:tcPr>
            <w:tcW w:w="1084" w:type="pct"/>
            <w:tcBorders>
              <w:top w:val="nil"/>
              <w:left w:val="nil"/>
              <w:bottom w:val="single" w:sz="4" w:space="0" w:color="auto"/>
              <w:right w:val="nil"/>
            </w:tcBorders>
            <w:vAlign w:val="center"/>
            <w:hideMark/>
          </w:tcPr>
          <w:p w14:paraId="20AC6E83" w14:textId="77777777" w:rsidR="00A74C68" w:rsidRPr="00471CBA" w:rsidRDefault="00A74C68" w:rsidP="00A74C68">
            <w:pPr>
              <w:jc w:val="right"/>
              <w:rPr>
                <w:color w:val="000000"/>
                <w:szCs w:val="20"/>
              </w:rPr>
            </w:pPr>
            <w:r w:rsidRPr="00471CBA">
              <w:rPr>
                <w:color w:val="000000"/>
                <w:szCs w:val="20"/>
              </w:rPr>
              <w:t>-</w:t>
            </w:r>
          </w:p>
        </w:tc>
        <w:tc>
          <w:tcPr>
            <w:tcW w:w="1322" w:type="pct"/>
            <w:tcBorders>
              <w:top w:val="nil"/>
              <w:left w:val="nil"/>
              <w:bottom w:val="single" w:sz="4" w:space="0" w:color="auto"/>
              <w:right w:val="nil"/>
            </w:tcBorders>
            <w:vAlign w:val="center"/>
            <w:hideMark/>
          </w:tcPr>
          <w:p w14:paraId="1218631F" w14:textId="77777777" w:rsidR="00A74C68" w:rsidRPr="00471CBA" w:rsidRDefault="00A74C68" w:rsidP="00A74C68">
            <w:pPr>
              <w:jc w:val="right"/>
              <w:rPr>
                <w:color w:val="000000"/>
                <w:szCs w:val="20"/>
              </w:rPr>
            </w:pPr>
            <w:r w:rsidRPr="00471CBA">
              <w:rPr>
                <w:color w:val="000000"/>
                <w:szCs w:val="20"/>
              </w:rPr>
              <w:t>587.753</w:t>
            </w:r>
          </w:p>
        </w:tc>
      </w:tr>
      <w:tr w:rsidR="00A74C68" w:rsidRPr="00471CBA" w14:paraId="13C1D4B7" w14:textId="77777777" w:rsidTr="00A74C68">
        <w:trPr>
          <w:divId w:val="322271944"/>
          <w:trHeight w:val="227"/>
        </w:trPr>
        <w:tc>
          <w:tcPr>
            <w:tcW w:w="2594" w:type="pct"/>
            <w:tcBorders>
              <w:top w:val="nil"/>
              <w:left w:val="nil"/>
              <w:right w:val="nil"/>
            </w:tcBorders>
            <w:noWrap/>
            <w:vAlign w:val="bottom"/>
            <w:hideMark/>
          </w:tcPr>
          <w:p w14:paraId="174CD121" w14:textId="77777777" w:rsidR="00A74C68" w:rsidRPr="00471CBA" w:rsidRDefault="00A74C68" w:rsidP="00A74C68">
            <w:pPr>
              <w:jc w:val="right"/>
              <w:rPr>
                <w:color w:val="000000"/>
                <w:szCs w:val="20"/>
              </w:rPr>
            </w:pPr>
          </w:p>
        </w:tc>
        <w:tc>
          <w:tcPr>
            <w:tcW w:w="1084" w:type="pct"/>
            <w:tcBorders>
              <w:top w:val="nil"/>
              <w:left w:val="nil"/>
              <w:right w:val="nil"/>
            </w:tcBorders>
            <w:vAlign w:val="center"/>
            <w:hideMark/>
          </w:tcPr>
          <w:p w14:paraId="78FF8C04" w14:textId="77777777" w:rsidR="00A74C68" w:rsidRPr="00471CBA" w:rsidRDefault="00A74C68" w:rsidP="00A74C68">
            <w:pPr>
              <w:jc w:val="right"/>
              <w:rPr>
                <w:szCs w:val="20"/>
              </w:rPr>
            </w:pPr>
          </w:p>
        </w:tc>
        <w:tc>
          <w:tcPr>
            <w:tcW w:w="1322" w:type="pct"/>
            <w:tcBorders>
              <w:top w:val="nil"/>
              <w:left w:val="nil"/>
              <w:right w:val="nil"/>
            </w:tcBorders>
            <w:noWrap/>
            <w:vAlign w:val="center"/>
            <w:hideMark/>
          </w:tcPr>
          <w:p w14:paraId="7EAB7C05" w14:textId="77777777" w:rsidR="00A74C68" w:rsidRPr="00471CBA" w:rsidRDefault="00A74C68" w:rsidP="00A74C68">
            <w:pPr>
              <w:jc w:val="right"/>
              <w:rPr>
                <w:szCs w:val="20"/>
              </w:rPr>
            </w:pPr>
          </w:p>
        </w:tc>
      </w:tr>
      <w:tr w:rsidR="00A74C68" w:rsidRPr="00471CBA" w14:paraId="39EFC8C9" w14:textId="77777777" w:rsidTr="00A74C68">
        <w:trPr>
          <w:divId w:val="322271944"/>
          <w:trHeight w:val="227"/>
        </w:trPr>
        <w:tc>
          <w:tcPr>
            <w:tcW w:w="2594" w:type="pct"/>
            <w:tcBorders>
              <w:top w:val="nil"/>
              <w:left w:val="nil"/>
              <w:bottom w:val="single" w:sz="12" w:space="0" w:color="auto"/>
              <w:right w:val="nil"/>
            </w:tcBorders>
            <w:noWrap/>
            <w:vAlign w:val="bottom"/>
            <w:hideMark/>
          </w:tcPr>
          <w:p w14:paraId="0E0A1E91" w14:textId="77777777" w:rsidR="00A74C68" w:rsidRPr="00471CBA" w:rsidRDefault="00A74C68" w:rsidP="00A74C68">
            <w:pPr>
              <w:rPr>
                <w:b/>
                <w:bCs/>
                <w:color w:val="000000"/>
                <w:szCs w:val="20"/>
              </w:rPr>
            </w:pPr>
            <w:r w:rsidRPr="00471CBA">
              <w:rPr>
                <w:b/>
                <w:bCs/>
                <w:color w:val="000000"/>
                <w:szCs w:val="20"/>
              </w:rPr>
              <w:t>Toplam</w:t>
            </w:r>
          </w:p>
        </w:tc>
        <w:tc>
          <w:tcPr>
            <w:tcW w:w="1084" w:type="pct"/>
            <w:tcBorders>
              <w:top w:val="nil"/>
              <w:left w:val="nil"/>
              <w:bottom w:val="single" w:sz="12" w:space="0" w:color="auto"/>
              <w:right w:val="nil"/>
            </w:tcBorders>
            <w:vAlign w:val="center"/>
            <w:hideMark/>
          </w:tcPr>
          <w:p w14:paraId="354348FD" w14:textId="77777777" w:rsidR="00A74C68" w:rsidRPr="00471CBA" w:rsidRDefault="00A74C68" w:rsidP="00A74C68">
            <w:pPr>
              <w:jc w:val="right"/>
              <w:rPr>
                <w:b/>
                <w:bCs/>
                <w:color w:val="000000"/>
                <w:szCs w:val="20"/>
              </w:rPr>
            </w:pPr>
            <w:r w:rsidRPr="00471CBA">
              <w:rPr>
                <w:b/>
                <w:bCs/>
                <w:color w:val="000000"/>
                <w:szCs w:val="20"/>
              </w:rPr>
              <w:t>5.185.314</w:t>
            </w:r>
          </w:p>
        </w:tc>
        <w:tc>
          <w:tcPr>
            <w:tcW w:w="1322" w:type="pct"/>
            <w:tcBorders>
              <w:top w:val="nil"/>
              <w:left w:val="nil"/>
              <w:bottom w:val="single" w:sz="12" w:space="0" w:color="auto"/>
              <w:right w:val="nil"/>
            </w:tcBorders>
            <w:vAlign w:val="center"/>
            <w:hideMark/>
          </w:tcPr>
          <w:p w14:paraId="7153E11B" w14:textId="77777777" w:rsidR="00A74C68" w:rsidRPr="00471CBA" w:rsidRDefault="00A74C68" w:rsidP="00A74C68">
            <w:pPr>
              <w:jc w:val="right"/>
              <w:rPr>
                <w:b/>
                <w:bCs/>
                <w:color w:val="000000"/>
                <w:szCs w:val="20"/>
              </w:rPr>
            </w:pPr>
            <w:r w:rsidRPr="00471CBA">
              <w:rPr>
                <w:b/>
                <w:bCs/>
                <w:color w:val="000000"/>
                <w:szCs w:val="20"/>
              </w:rPr>
              <w:t>587.753</w:t>
            </w:r>
          </w:p>
        </w:tc>
      </w:tr>
    </w:tbl>
    <w:p w14:paraId="7ECB7BAE" w14:textId="49115C29" w:rsidR="00CF39AE" w:rsidRPr="00471CBA" w:rsidRDefault="00CF39AE" w:rsidP="005B3DE3">
      <w:pPr>
        <w:pStyle w:val="GvdeMetniGirintisi"/>
        <w:widowControl w:val="0"/>
        <w:ind w:left="1702" w:right="-110" w:hanging="851"/>
        <w:rPr>
          <w:bCs/>
          <w:szCs w:val="20"/>
        </w:rPr>
      </w:pPr>
    </w:p>
    <w:tbl>
      <w:tblPr>
        <w:tblW w:w="4989" w:type="pct"/>
        <w:tblCellMar>
          <w:left w:w="70" w:type="dxa"/>
          <w:right w:w="70" w:type="dxa"/>
        </w:tblCellMar>
        <w:tblLook w:val="04A0" w:firstRow="1" w:lastRow="0" w:firstColumn="1" w:lastColumn="0" w:noHBand="0" w:noVBand="1"/>
      </w:tblPr>
      <w:tblGrid>
        <w:gridCol w:w="4865"/>
        <w:gridCol w:w="2009"/>
        <w:gridCol w:w="2460"/>
      </w:tblGrid>
      <w:tr w:rsidR="000511E0" w:rsidRPr="00471CBA" w14:paraId="4B6C7223" w14:textId="77777777" w:rsidTr="00FB13FB">
        <w:trPr>
          <w:trHeight w:val="227"/>
        </w:trPr>
        <w:tc>
          <w:tcPr>
            <w:tcW w:w="2606" w:type="pct"/>
            <w:tcBorders>
              <w:top w:val="nil"/>
              <w:left w:val="nil"/>
              <w:bottom w:val="nil"/>
              <w:right w:val="nil"/>
            </w:tcBorders>
            <w:noWrap/>
            <w:vAlign w:val="bottom"/>
            <w:hideMark/>
          </w:tcPr>
          <w:p w14:paraId="73A2E155" w14:textId="77777777" w:rsidR="000511E0" w:rsidRPr="00471CBA" w:rsidRDefault="000511E0" w:rsidP="003D1625">
            <w:pPr>
              <w:rPr>
                <w:szCs w:val="20"/>
              </w:rPr>
            </w:pPr>
          </w:p>
        </w:tc>
        <w:tc>
          <w:tcPr>
            <w:tcW w:w="2394" w:type="pct"/>
            <w:gridSpan w:val="2"/>
            <w:tcBorders>
              <w:top w:val="nil"/>
              <w:left w:val="nil"/>
              <w:bottom w:val="single" w:sz="4" w:space="0" w:color="auto"/>
              <w:right w:val="nil"/>
            </w:tcBorders>
            <w:noWrap/>
            <w:vAlign w:val="bottom"/>
            <w:hideMark/>
          </w:tcPr>
          <w:p w14:paraId="2EDC105C" w14:textId="77777777" w:rsidR="000511E0" w:rsidRPr="00471CBA" w:rsidRDefault="000511E0" w:rsidP="003D1625">
            <w:pPr>
              <w:jc w:val="center"/>
              <w:rPr>
                <w:b/>
                <w:bCs/>
                <w:color w:val="000000"/>
                <w:szCs w:val="20"/>
              </w:rPr>
            </w:pPr>
            <w:r w:rsidRPr="00471CBA">
              <w:rPr>
                <w:b/>
                <w:bCs/>
                <w:color w:val="000000"/>
                <w:szCs w:val="20"/>
              </w:rPr>
              <w:t>31 Aralık 2024</w:t>
            </w:r>
          </w:p>
        </w:tc>
      </w:tr>
      <w:tr w:rsidR="000511E0" w:rsidRPr="00471CBA" w14:paraId="24F1C13C" w14:textId="77777777" w:rsidTr="00FB13FB">
        <w:trPr>
          <w:trHeight w:val="227"/>
        </w:trPr>
        <w:tc>
          <w:tcPr>
            <w:tcW w:w="2606" w:type="pct"/>
            <w:tcBorders>
              <w:top w:val="nil"/>
              <w:left w:val="nil"/>
              <w:bottom w:val="nil"/>
              <w:right w:val="nil"/>
            </w:tcBorders>
            <w:noWrap/>
            <w:vAlign w:val="bottom"/>
            <w:hideMark/>
          </w:tcPr>
          <w:p w14:paraId="1A6384F4" w14:textId="77777777" w:rsidR="000511E0" w:rsidRPr="00471CBA" w:rsidRDefault="000511E0" w:rsidP="003D1625">
            <w:pPr>
              <w:jc w:val="center"/>
              <w:rPr>
                <w:b/>
                <w:bCs/>
                <w:color w:val="000000"/>
                <w:szCs w:val="20"/>
              </w:rPr>
            </w:pPr>
          </w:p>
        </w:tc>
        <w:tc>
          <w:tcPr>
            <w:tcW w:w="1076" w:type="pct"/>
            <w:tcBorders>
              <w:top w:val="nil"/>
              <w:left w:val="nil"/>
              <w:bottom w:val="single" w:sz="4" w:space="0" w:color="auto"/>
              <w:right w:val="nil"/>
            </w:tcBorders>
            <w:vAlign w:val="bottom"/>
            <w:hideMark/>
          </w:tcPr>
          <w:p w14:paraId="44B1BEF0" w14:textId="77777777" w:rsidR="000511E0" w:rsidRPr="00471CBA" w:rsidRDefault="000511E0" w:rsidP="003D1625">
            <w:pPr>
              <w:jc w:val="center"/>
              <w:rPr>
                <w:b/>
                <w:bCs/>
                <w:color w:val="000000"/>
                <w:szCs w:val="20"/>
              </w:rPr>
            </w:pPr>
            <w:r w:rsidRPr="00471CBA">
              <w:rPr>
                <w:b/>
                <w:bCs/>
                <w:color w:val="000000"/>
                <w:szCs w:val="20"/>
              </w:rPr>
              <w:t>TP</w:t>
            </w:r>
          </w:p>
        </w:tc>
        <w:tc>
          <w:tcPr>
            <w:tcW w:w="1318" w:type="pct"/>
            <w:tcBorders>
              <w:top w:val="nil"/>
              <w:left w:val="nil"/>
              <w:bottom w:val="single" w:sz="4" w:space="0" w:color="auto"/>
              <w:right w:val="nil"/>
            </w:tcBorders>
            <w:noWrap/>
            <w:vAlign w:val="bottom"/>
            <w:hideMark/>
          </w:tcPr>
          <w:p w14:paraId="71F6D261" w14:textId="77777777" w:rsidR="000511E0" w:rsidRPr="00471CBA" w:rsidRDefault="000511E0" w:rsidP="003D1625">
            <w:pPr>
              <w:jc w:val="center"/>
              <w:rPr>
                <w:b/>
                <w:bCs/>
                <w:color w:val="000000"/>
                <w:szCs w:val="20"/>
              </w:rPr>
            </w:pPr>
            <w:r w:rsidRPr="00471CBA">
              <w:rPr>
                <w:b/>
                <w:bCs/>
                <w:color w:val="000000"/>
                <w:szCs w:val="20"/>
              </w:rPr>
              <w:t>YP</w:t>
            </w:r>
          </w:p>
        </w:tc>
      </w:tr>
      <w:tr w:rsidR="000511E0" w:rsidRPr="00471CBA" w14:paraId="543F18BF" w14:textId="77777777" w:rsidTr="00FB13FB">
        <w:trPr>
          <w:trHeight w:val="227"/>
        </w:trPr>
        <w:tc>
          <w:tcPr>
            <w:tcW w:w="2606" w:type="pct"/>
            <w:tcBorders>
              <w:top w:val="nil"/>
              <w:left w:val="nil"/>
              <w:bottom w:val="nil"/>
              <w:right w:val="nil"/>
            </w:tcBorders>
            <w:noWrap/>
            <w:vAlign w:val="bottom"/>
            <w:hideMark/>
          </w:tcPr>
          <w:p w14:paraId="698EE726" w14:textId="77777777" w:rsidR="000511E0" w:rsidRPr="00471CBA" w:rsidRDefault="000511E0" w:rsidP="003D1625">
            <w:pPr>
              <w:jc w:val="center"/>
              <w:rPr>
                <w:b/>
                <w:bCs/>
                <w:color w:val="000000"/>
                <w:szCs w:val="20"/>
              </w:rPr>
            </w:pPr>
          </w:p>
        </w:tc>
        <w:tc>
          <w:tcPr>
            <w:tcW w:w="1076" w:type="pct"/>
            <w:tcBorders>
              <w:top w:val="nil"/>
              <w:left w:val="nil"/>
              <w:bottom w:val="nil"/>
              <w:right w:val="nil"/>
            </w:tcBorders>
            <w:noWrap/>
            <w:vAlign w:val="bottom"/>
            <w:hideMark/>
          </w:tcPr>
          <w:p w14:paraId="09C7F64A" w14:textId="77777777" w:rsidR="000511E0" w:rsidRPr="00471CBA" w:rsidRDefault="000511E0" w:rsidP="003D1625">
            <w:pPr>
              <w:rPr>
                <w:szCs w:val="20"/>
              </w:rPr>
            </w:pPr>
          </w:p>
        </w:tc>
        <w:tc>
          <w:tcPr>
            <w:tcW w:w="1318" w:type="pct"/>
            <w:tcBorders>
              <w:top w:val="nil"/>
              <w:left w:val="nil"/>
              <w:bottom w:val="nil"/>
              <w:right w:val="nil"/>
            </w:tcBorders>
            <w:noWrap/>
            <w:vAlign w:val="bottom"/>
            <w:hideMark/>
          </w:tcPr>
          <w:p w14:paraId="57402E5A" w14:textId="77777777" w:rsidR="000511E0" w:rsidRPr="00471CBA" w:rsidRDefault="000511E0" w:rsidP="003D1625">
            <w:pPr>
              <w:rPr>
                <w:szCs w:val="20"/>
              </w:rPr>
            </w:pPr>
          </w:p>
        </w:tc>
      </w:tr>
      <w:tr w:rsidR="000511E0" w:rsidRPr="00471CBA" w14:paraId="2D8DEACD" w14:textId="77777777" w:rsidTr="00FB13FB">
        <w:trPr>
          <w:trHeight w:val="227"/>
        </w:trPr>
        <w:tc>
          <w:tcPr>
            <w:tcW w:w="2606" w:type="pct"/>
            <w:tcBorders>
              <w:top w:val="nil"/>
              <w:left w:val="nil"/>
              <w:bottom w:val="nil"/>
              <w:right w:val="nil"/>
            </w:tcBorders>
            <w:noWrap/>
            <w:vAlign w:val="bottom"/>
            <w:hideMark/>
          </w:tcPr>
          <w:p w14:paraId="13A5405D" w14:textId="77777777" w:rsidR="000511E0" w:rsidRPr="00471CBA" w:rsidRDefault="000511E0" w:rsidP="003D1625">
            <w:pPr>
              <w:rPr>
                <w:color w:val="000000"/>
                <w:szCs w:val="20"/>
              </w:rPr>
            </w:pPr>
            <w:r w:rsidRPr="00471CBA">
              <w:rPr>
                <w:color w:val="000000"/>
                <w:szCs w:val="20"/>
              </w:rPr>
              <w:t>T.C. Merkez Bankası Kredileri</w:t>
            </w:r>
          </w:p>
        </w:tc>
        <w:tc>
          <w:tcPr>
            <w:tcW w:w="1076" w:type="pct"/>
            <w:tcBorders>
              <w:top w:val="nil"/>
              <w:left w:val="nil"/>
              <w:bottom w:val="nil"/>
              <w:right w:val="nil"/>
            </w:tcBorders>
            <w:vAlign w:val="center"/>
            <w:hideMark/>
          </w:tcPr>
          <w:p w14:paraId="2BE1CAB1" w14:textId="77777777" w:rsidR="000511E0" w:rsidRPr="00471CBA" w:rsidRDefault="000511E0" w:rsidP="003D1625">
            <w:pPr>
              <w:jc w:val="right"/>
              <w:rPr>
                <w:color w:val="000000"/>
                <w:szCs w:val="20"/>
              </w:rPr>
            </w:pPr>
            <w:r w:rsidRPr="00471CBA">
              <w:rPr>
                <w:color w:val="000000"/>
                <w:szCs w:val="20"/>
              </w:rPr>
              <w:t>-</w:t>
            </w:r>
          </w:p>
        </w:tc>
        <w:tc>
          <w:tcPr>
            <w:tcW w:w="1318" w:type="pct"/>
            <w:tcBorders>
              <w:top w:val="nil"/>
              <w:left w:val="nil"/>
              <w:bottom w:val="nil"/>
              <w:right w:val="nil"/>
            </w:tcBorders>
            <w:vAlign w:val="center"/>
            <w:hideMark/>
          </w:tcPr>
          <w:p w14:paraId="1029C597" w14:textId="77777777" w:rsidR="000511E0" w:rsidRPr="00471CBA" w:rsidRDefault="000511E0" w:rsidP="003D1625">
            <w:pPr>
              <w:jc w:val="right"/>
              <w:rPr>
                <w:color w:val="000000"/>
                <w:szCs w:val="20"/>
              </w:rPr>
            </w:pPr>
            <w:r w:rsidRPr="00471CBA">
              <w:rPr>
                <w:color w:val="000000"/>
                <w:szCs w:val="20"/>
              </w:rPr>
              <w:t>-</w:t>
            </w:r>
          </w:p>
        </w:tc>
      </w:tr>
      <w:tr w:rsidR="000511E0" w:rsidRPr="00471CBA" w14:paraId="631748D2" w14:textId="77777777" w:rsidTr="00FB13FB">
        <w:trPr>
          <w:trHeight w:val="227"/>
        </w:trPr>
        <w:tc>
          <w:tcPr>
            <w:tcW w:w="2606" w:type="pct"/>
            <w:tcBorders>
              <w:top w:val="nil"/>
              <w:left w:val="nil"/>
              <w:bottom w:val="nil"/>
              <w:right w:val="nil"/>
            </w:tcBorders>
            <w:noWrap/>
            <w:vAlign w:val="bottom"/>
            <w:hideMark/>
          </w:tcPr>
          <w:p w14:paraId="3875961C" w14:textId="77777777" w:rsidR="000511E0" w:rsidRPr="00471CBA" w:rsidRDefault="000511E0" w:rsidP="003D1625">
            <w:pPr>
              <w:rPr>
                <w:color w:val="000000"/>
                <w:szCs w:val="20"/>
              </w:rPr>
            </w:pPr>
            <w:r w:rsidRPr="00471CBA">
              <w:rPr>
                <w:color w:val="000000"/>
                <w:szCs w:val="20"/>
              </w:rPr>
              <w:t>Yurt içi Banka ve Kuruluşlardan</w:t>
            </w:r>
          </w:p>
        </w:tc>
        <w:tc>
          <w:tcPr>
            <w:tcW w:w="1076" w:type="pct"/>
            <w:tcBorders>
              <w:top w:val="nil"/>
              <w:left w:val="nil"/>
              <w:bottom w:val="nil"/>
              <w:right w:val="nil"/>
            </w:tcBorders>
            <w:vAlign w:val="center"/>
            <w:hideMark/>
          </w:tcPr>
          <w:p w14:paraId="196F2608" w14:textId="77777777" w:rsidR="000511E0" w:rsidRPr="00471CBA" w:rsidRDefault="000511E0" w:rsidP="003D1625">
            <w:pPr>
              <w:jc w:val="right"/>
              <w:rPr>
                <w:color w:val="000000"/>
                <w:szCs w:val="20"/>
              </w:rPr>
            </w:pPr>
            <w:r w:rsidRPr="00471CBA">
              <w:rPr>
                <w:color w:val="000000"/>
                <w:szCs w:val="20"/>
              </w:rPr>
              <w:t>85.110</w:t>
            </w:r>
          </w:p>
        </w:tc>
        <w:tc>
          <w:tcPr>
            <w:tcW w:w="1318" w:type="pct"/>
            <w:tcBorders>
              <w:top w:val="nil"/>
              <w:left w:val="nil"/>
              <w:bottom w:val="nil"/>
              <w:right w:val="nil"/>
            </w:tcBorders>
            <w:vAlign w:val="center"/>
            <w:hideMark/>
          </w:tcPr>
          <w:p w14:paraId="5812C4DD" w14:textId="77777777" w:rsidR="000511E0" w:rsidRPr="00471CBA" w:rsidRDefault="000511E0" w:rsidP="003D1625">
            <w:pPr>
              <w:jc w:val="right"/>
              <w:rPr>
                <w:color w:val="000000"/>
                <w:szCs w:val="20"/>
              </w:rPr>
            </w:pPr>
            <w:r w:rsidRPr="00471CBA">
              <w:rPr>
                <w:color w:val="000000"/>
                <w:szCs w:val="20"/>
              </w:rPr>
              <w:t>1.837.130</w:t>
            </w:r>
          </w:p>
        </w:tc>
      </w:tr>
      <w:tr w:rsidR="000511E0" w:rsidRPr="00471CBA" w14:paraId="3D9BD287" w14:textId="77777777" w:rsidTr="00FB13FB">
        <w:trPr>
          <w:trHeight w:val="227"/>
        </w:trPr>
        <w:tc>
          <w:tcPr>
            <w:tcW w:w="2606" w:type="pct"/>
            <w:tcBorders>
              <w:top w:val="nil"/>
              <w:left w:val="nil"/>
              <w:bottom w:val="single" w:sz="4" w:space="0" w:color="auto"/>
              <w:right w:val="nil"/>
            </w:tcBorders>
            <w:noWrap/>
            <w:vAlign w:val="bottom"/>
            <w:hideMark/>
          </w:tcPr>
          <w:p w14:paraId="0F5187C5" w14:textId="77777777" w:rsidR="000511E0" w:rsidRPr="00471CBA" w:rsidRDefault="000511E0" w:rsidP="003D1625">
            <w:pPr>
              <w:rPr>
                <w:color w:val="000000"/>
                <w:szCs w:val="20"/>
              </w:rPr>
            </w:pPr>
            <w:r w:rsidRPr="00471CBA">
              <w:rPr>
                <w:color w:val="000000"/>
                <w:szCs w:val="20"/>
              </w:rPr>
              <w:t>Yurt dışı Banka, Kuruluş ve Fonlardan</w:t>
            </w:r>
          </w:p>
        </w:tc>
        <w:tc>
          <w:tcPr>
            <w:tcW w:w="1076" w:type="pct"/>
            <w:tcBorders>
              <w:top w:val="nil"/>
              <w:left w:val="nil"/>
              <w:bottom w:val="single" w:sz="4" w:space="0" w:color="auto"/>
              <w:right w:val="nil"/>
            </w:tcBorders>
            <w:vAlign w:val="center"/>
            <w:hideMark/>
          </w:tcPr>
          <w:p w14:paraId="57A26B26" w14:textId="77777777" w:rsidR="000511E0" w:rsidRPr="00471CBA" w:rsidRDefault="000511E0" w:rsidP="003D1625">
            <w:pPr>
              <w:jc w:val="right"/>
              <w:rPr>
                <w:color w:val="000000"/>
                <w:szCs w:val="20"/>
              </w:rPr>
            </w:pPr>
            <w:r w:rsidRPr="00471CBA">
              <w:rPr>
                <w:color w:val="000000"/>
                <w:szCs w:val="20"/>
              </w:rPr>
              <w:t>-</w:t>
            </w:r>
          </w:p>
        </w:tc>
        <w:tc>
          <w:tcPr>
            <w:tcW w:w="1318" w:type="pct"/>
            <w:tcBorders>
              <w:top w:val="nil"/>
              <w:left w:val="nil"/>
              <w:bottom w:val="single" w:sz="4" w:space="0" w:color="auto"/>
              <w:right w:val="nil"/>
            </w:tcBorders>
            <w:vAlign w:val="center"/>
            <w:hideMark/>
          </w:tcPr>
          <w:p w14:paraId="0CF567CD" w14:textId="77777777" w:rsidR="000511E0" w:rsidRPr="00471CBA" w:rsidRDefault="000511E0" w:rsidP="003D1625">
            <w:pPr>
              <w:jc w:val="right"/>
              <w:rPr>
                <w:color w:val="000000"/>
                <w:szCs w:val="20"/>
              </w:rPr>
            </w:pPr>
            <w:r w:rsidRPr="00471CBA">
              <w:rPr>
                <w:color w:val="000000"/>
                <w:szCs w:val="20"/>
              </w:rPr>
              <w:t>-</w:t>
            </w:r>
          </w:p>
        </w:tc>
      </w:tr>
      <w:tr w:rsidR="000511E0" w:rsidRPr="00471CBA" w14:paraId="2F6D96C1" w14:textId="77777777" w:rsidTr="00FB13FB">
        <w:trPr>
          <w:trHeight w:val="227"/>
        </w:trPr>
        <w:tc>
          <w:tcPr>
            <w:tcW w:w="2606" w:type="pct"/>
            <w:tcBorders>
              <w:top w:val="nil"/>
              <w:left w:val="nil"/>
              <w:right w:val="nil"/>
            </w:tcBorders>
            <w:noWrap/>
            <w:vAlign w:val="bottom"/>
            <w:hideMark/>
          </w:tcPr>
          <w:p w14:paraId="1DE86195" w14:textId="77777777" w:rsidR="000511E0" w:rsidRPr="00471CBA" w:rsidRDefault="000511E0" w:rsidP="003D1625">
            <w:pPr>
              <w:jc w:val="right"/>
              <w:rPr>
                <w:color w:val="000000"/>
                <w:szCs w:val="20"/>
              </w:rPr>
            </w:pPr>
          </w:p>
        </w:tc>
        <w:tc>
          <w:tcPr>
            <w:tcW w:w="1076" w:type="pct"/>
            <w:tcBorders>
              <w:top w:val="nil"/>
              <w:left w:val="nil"/>
              <w:right w:val="nil"/>
            </w:tcBorders>
            <w:vAlign w:val="center"/>
            <w:hideMark/>
          </w:tcPr>
          <w:p w14:paraId="38D8ED64" w14:textId="77777777" w:rsidR="000511E0" w:rsidRPr="00471CBA" w:rsidRDefault="000511E0" w:rsidP="003D1625">
            <w:pPr>
              <w:jc w:val="right"/>
              <w:rPr>
                <w:szCs w:val="20"/>
              </w:rPr>
            </w:pPr>
          </w:p>
        </w:tc>
        <w:tc>
          <w:tcPr>
            <w:tcW w:w="1318" w:type="pct"/>
            <w:tcBorders>
              <w:top w:val="nil"/>
              <w:left w:val="nil"/>
              <w:right w:val="nil"/>
            </w:tcBorders>
            <w:noWrap/>
            <w:vAlign w:val="center"/>
            <w:hideMark/>
          </w:tcPr>
          <w:p w14:paraId="7517DC5B" w14:textId="77777777" w:rsidR="000511E0" w:rsidRPr="00471CBA" w:rsidRDefault="000511E0" w:rsidP="003D1625">
            <w:pPr>
              <w:jc w:val="right"/>
              <w:rPr>
                <w:szCs w:val="20"/>
              </w:rPr>
            </w:pPr>
          </w:p>
        </w:tc>
      </w:tr>
      <w:tr w:rsidR="000511E0" w:rsidRPr="00471CBA" w14:paraId="003CC825" w14:textId="77777777" w:rsidTr="00FB13FB">
        <w:trPr>
          <w:trHeight w:val="227"/>
        </w:trPr>
        <w:tc>
          <w:tcPr>
            <w:tcW w:w="2606" w:type="pct"/>
            <w:tcBorders>
              <w:top w:val="nil"/>
              <w:left w:val="nil"/>
              <w:bottom w:val="single" w:sz="12" w:space="0" w:color="auto"/>
              <w:right w:val="nil"/>
            </w:tcBorders>
            <w:noWrap/>
            <w:vAlign w:val="bottom"/>
            <w:hideMark/>
          </w:tcPr>
          <w:p w14:paraId="1A3D4228" w14:textId="77777777" w:rsidR="000511E0" w:rsidRPr="00471CBA" w:rsidRDefault="000511E0" w:rsidP="003D1625">
            <w:pPr>
              <w:rPr>
                <w:b/>
                <w:bCs/>
                <w:color w:val="000000"/>
                <w:szCs w:val="20"/>
              </w:rPr>
            </w:pPr>
            <w:r w:rsidRPr="00471CBA">
              <w:rPr>
                <w:b/>
                <w:bCs/>
                <w:color w:val="000000"/>
                <w:szCs w:val="20"/>
              </w:rPr>
              <w:t>Toplam</w:t>
            </w:r>
          </w:p>
        </w:tc>
        <w:tc>
          <w:tcPr>
            <w:tcW w:w="1076" w:type="pct"/>
            <w:tcBorders>
              <w:top w:val="nil"/>
              <w:left w:val="nil"/>
              <w:bottom w:val="single" w:sz="12" w:space="0" w:color="auto"/>
              <w:right w:val="nil"/>
            </w:tcBorders>
            <w:vAlign w:val="center"/>
            <w:hideMark/>
          </w:tcPr>
          <w:p w14:paraId="596AAA80" w14:textId="77777777" w:rsidR="000511E0" w:rsidRPr="00471CBA" w:rsidRDefault="000511E0" w:rsidP="003D1625">
            <w:pPr>
              <w:jc w:val="right"/>
              <w:rPr>
                <w:b/>
                <w:bCs/>
                <w:color w:val="000000"/>
                <w:szCs w:val="20"/>
              </w:rPr>
            </w:pPr>
            <w:r w:rsidRPr="00471CBA">
              <w:rPr>
                <w:b/>
                <w:bCs/>
                <w:color w:val="000000"/>
                <w:szCs w:val="20"/>
              </w:rPr>
              <w:t>85.110</w:t>
            </w:r>
          </w:p>
        </w:tc>
        <w:tc>
          <w:tcPr>
            <w:tcW w:w="1318" w:type="pct"/>
            <w:tcBorders>
              <w:top w:val="nil"/>
              <w:left w:val="nil"/>
              <w:bottom w:val="single" w:sz="12" w:space="0" w:color="auto"/>
              <w:right w:val="nil"/>
            </w:tcBorders>
            <w:vAlign w:val="center"/>
            <w:hideMark/>
          </w:tcPr>
          <w:p w14:paraId="6C1BC40B" w14:textId="77777777" w:rsidR="000511E0" w:rsidRPr="00471CBA" w:rsidRDefault="000511E0" w:rsidP="003D1625">
            <w:pPr>
              <w:jc w:val="right"/>
              <w:rPr>
                <w:b/>
                <w:bCs/>
                <w:color w:val="000000"/>
                <w:szCs w:val="20"/>
              </w:rPr>
            </w:pPr>
            <w:r w:rsidRPr="00471CBA">
              <w:rPr>
                <w:b/>
                <w:bCs/>
                <w:color w:val="000000"/>
                <w:szCs w:val="20"/>
              </w:rPr>
              <w:t>1.837.130</w:t>
            </w:r>
          </w:p>
        </w:tc>
      </w:tr>
    </w:tbl>
    <w:p w14:paraId="44AC5AEE" w14:textId="77777777" w:rsidR="000511E0" w:rsidRPr="00471CBA" w:rsidRDefault="000511E0" w:rsidP="005B3DE3">
      <w:pPr>
        <w:pStyle w:val="GvdeMetniGirintisi"/>
        <w:widowControl w:val="0"/>
        <w:ind w:left="1702" w:right="-110" w:hanging="851"/>
        <w:rPr>
          <w:bCs/>
          <w:szCs w:val="20"/>
        </w:rPr>
      </w:pPr>
    </w:p>
    <w:p w14:paraId="31B3B073" w14:textId="41CE8369" w:rsidR="00CF39AE" w:rsidRPr="00471CBA" w:rsidRDefault="00CF39AE" w:rsidP="008459A9">
      <w:pPr>
        <w:pStyle w:val="GvdeMetniGirintisi"/>
        <w:widowControl w:val="0"/>
        <w:numPr>
          <w:ilvl w:val="1"/>
          <w:numId w:val="60"/>
        </w:numPr>
        <w:ind w:left="567" w:right="-110" w:hanging="567"/>
        <w:rPr>
          <w:b/>
          <w:szCs w:val="20"/>
        </w:rPr>
      </w:pPr>
      <w:r w:rsidRPr="00471CBA">
        <w:rPr>
          <w:b/>
          <w:szCs w:val="20"/>
        </w:rPr>
        <w:t>Alınan kredilerin vade ayrımına göre gösterilmesi:</w:t>
      </w:r>
    </w:p>
    <w:p w14:paraId="086C0999" w14:textId="3BE7DCE0" w:rsidR="00A74C68" w:rsidRPr="00471CBA" w:rsidRDefault="00A74C68" w:rsidP="005B3DE3">
      <w:pPr>
        <w:pStyle w:val="GvdeMetniGirintisi"/>
        <w:widowControl w:val="0"/>
        <w:ind w:left="1702" w:right="-110" w:hanging="851"/>
        <w:rPr>
          <w:szCs w:val="20"/>
        </w:rPr>
      </w:pPr>
    </w:p>
    <w:tbl>
      <w:tblPr>
        <w:tblW w:w="5000" w:type="pct"/>
        <w:tblCellMar>
          <w:left w:w="70" w:type="dxa"/>
          <w:right w:w="70" w:type="dxa"/>
        </w:tblCellMar>
        <w:tblLook w:val="04A0" w:firstRow="1" w:lastRow="0" w:firstColumn="1" w:lastColumn="0" w:noHBand="0" w:noVBand="1"/>
      </w:tblPr>
      <w:tblGrid>
        <w:gridCol w:w="4800"/>
        <w:gridCol w:w="2052"/>
        <w:gridCol w:w="2503"/>
      </w:tblGrid>
      <w:tr w:rsidR="00A74C68" w:rsidRPr="00471CBA" w14:paraId="0D59A24C" w14:textId="77777777" w:rsidTr="00A74C68">
        <w:trPr>
          <w:divId w:val="900404083"/>
          <w:trHeight w:val="227"/>
        </w:trPr>
        <w:tc>
          <w:tcPr>
            <w:tcW w:w="2565" w:type="pct"/>
            <w:tcBorders>
              <w:top w:val="nil"/>
              <w:left w:val="nil"/>
              <w:bottom w:val="nil"/>
              <w:right w:val="nil"/>
            </w:tcBorders>
            <w:noWrap/>
            <w:vAlign w:val="bottom"/>
            <w:hideMark/>
          </w:tcPr>
          <w:p w14:paraId="38AD237C" w14:textId="193103D0" w:rsidR="00A74C68" w:rsidRPr="00471CBA" w:rsidRDefault="00A74C68" w:rsidP="00A74C68">
            <w:pPr>
              <w:rPr>
                <w:color w:val="000000"/>
                <w:szCs w:val="20"/>
              </w:rPr>
            </w:pPr>
            <w:r w:rsidRPr="00471CBA">
              <w:rPr>
                <w:color w:val="000000"/>
                <w:szCs w:val="20"/>
              </w:rPr>
              <w:t xml:space="preserve">   </w:t>
            </w:r>
          </w:p>
        </w:tc>
        <w:tc>
          <w:tcPr>
            <w:tcW w:w="2435" w:type="pct"/>
            <w:gridSpan w:val="2"/>
            <w:tcBorders>
              <w:top w:val="nil"/>
              <w:left w:val="nil"/>
              <w:bottom w:val="single" w:sz="4" w:space="0" w:color="auto"/>
              <w:right w:val="nil"/>
            </w:tcBorders>
            <w:noWrap/>
            <w:vAlign w:val="bottom"/>
            <w:hideMark/>
          </w:tcPr>
          <w:p w14:paraId="65371626" w14:textId="77777777" w:rsidR="00A74C68" w:rsidRPr="00471CBA" w:rsidRDefault="00A74C68" w:rsidP="00A74C68">
            <w:pPr>
              <w:jc w:val="center"/>
              <w:rPr>
                <w:b/>
                <w:bCs/>
                <w:color w:val="000000"/>
                <w:szCs w:val="20"/>
              </w:rPr>
            </w:pPr>
            <w:r w:rsidRPr="00471CBA">
              <w:rPr>
                <w:b/>
                <w:bCs/>
                <w:color w:val="000000"/>
                <w:szCs w:val="20"/>
              </w:rPr>
              <w:t>31 Aralık 2025</w:t>
            </w:r>
          </w:p>
        </w:tc>
      </w:tr>
      <w:tr w:rsidR="00A74C68" w:rsidRPr="00471CBA" w14:paraId="10A3D9CF" w14:textId="77777777" w:rsidTr="00A74C68">
        <w:trPr>
          <w:divId w:val="900404083"/>
          <w:trHeight w:val="227"/>
        </w:trPr>
        <w:tc>
          <w:tcPr>
            <w:tcW w:w="2565" w:type="pct"/>
            <w:tcBorders>
              <w:top w:val="nil"/>
              <w:left w:val="nil"/>
              <w:bottom w:val="nil"/>
              <w:right w:val="nil"/>
            </w:tcBorders>
            <w:noWrap/>
            <w:vAlign w:val="bottom"/>
            <w:hideMark/>
          </w:tcPr>
          <w:p w14:paraId="42B40611" w14:textId="77777777" w:rsidR="00A74C68" w:rsidRPr="00471CBA" w:rsidRDefault="00A74C68" w:rsidP="00A74C68">
            <w:pPr>
              <w:jc w:val="center"/>
              <w:rPr>
                <w:b/>
                <w:bCs/>
                <w:color w:val="000000"/>
                <w:szCs w:val="20"/>
              </w:rPr>
            </w:pPr>
          </w:p>
        </w:tc>
        <w:tc>
          <w:tcPr>
            <w:tcW w:w="1097" w:type="pct"/>
            <w:tcBorders>
              <w:top w:val="nil"/>
              <w:left w:val="nil"/>
              <w:bottom w:val="single" w:sz="4" w:space="0" w:color="auto"/>
              <w:right w:val="nil"/>
            </w:tcBorders>
            <w:vAlign w:val="bottom"/>
            <w:hideMark/>
          </w:tcPr>
          <w:p w14:paraId="0F598675" w14:textId="77777777" w:rsidR="00A74C68" w:rsidRPr="00471CBA" w:rsidRDefault="00A74C68" w:rsidP="00A74C68">
            <w:pPr>
              <w:jc w:val="center"/>
              <w:rPr>
                <w:b/>
                <w:bCs/>
                <w:color w:val="000000"/>
                <w:szCs w:val="20"/>
              </w:rPr>
            </w:pPr>
            <w:r w:rsidRPr="00471CBA">
              <w:rPr>
                <w:b/>
                <w:bCs/>
                <w:color w:val="000000"/>
                <w:szCs w:val="20"/>
              </w:rPr>
              <w:t>TP</w:t>
            </w:r>
          </w:p>
        </w:tc>
        <w:tc>
          <w:tcPr>
            <w:tcW w:w="1338" w:type="pct"/>
            <w:tcBorders>
              <w:top w:val="nil"/>
              <w:left w:val="nil"/>
              <w:bottom w:val="single" w:sz="4" w:space="0" w:color="auto"/>
              <w:right w:val="nil"/>
            </w:tcBorders>
            <w:noWrap/>
            <w:vAlign w:val="bottom"/>
            <w:hideMark/>
          </w:tcPr>
          <w:p w14:paraId="7887E688" w14:textId="77777777" w:rsidR="00A74C68" w:rsidRPr="00471CBA" w:rsidRDefault="00A74C68" w:rsidP="00A74C68">
            <w:pPr>
              <w:jc w:val="center"/>
              <w:rPr>
                <w:b/>
                <w:bCs/>
                <w:color w:val="000000"/>
                <w:szCs w:val="20"/>
              </w:rPr>
            </w:pPr>
            <w:r w:rsidRPr="00471CBA">
              <w:rPr>
                <w:b/>
                <w:bCs/>
                <w:color w:val="000000"/>
                <w:szCs w:val="20"/>
              </w:rPr>
              <w:t>YP</w:t>
            </w:r>
          </w:p>
        </w:tc>
      </w:tr>
      <w:tr w:rsidR="00A74C68" w:rsidRPr="00471CBA" w14:paraId="0443A06D" w14:textId="77777777" w:rsidTr="00A74C68">
        <w:trPr>
          <w:divId w:val="900404083"/>
          <w:trHeight w:val="227"/>
        </w:trPr>
        <w:tc>
          <w:tcPr>
            <w:tcW w:w="2565" w:type="pct"/>
            <w:tcBorders>
              <w:top w:val="nil"/>
              <w:left w:val="nil"/>
              <w:bottom w:val="nil"/>
              <w:right w:val="nil"/>
            </w:tcBorders>
            <w:hideMark/>
          </w:tcPr>
          <w:p w14:paraId="78E78AF9" w14:textId="77777777" w:rsidR="00A74C68" w:rsidRPr="00471CBA" w:rsidRDefault="00A74C68" w:rsidP="00A74C68">
            <w:pPr>
              <w:jc w:val="center"/>
              <w:rPr>
                <w:b/>
                <w:bCs/>
                <w:color w:val="000000"/>
                <w:szCs w:val="20"/>
              </w:rPr>
            </w:pPr>
          </w:p>
        </w:tc>
        <w:tc>
          <w:tcPr>
            <w:tcW w:w="1097" w:type="pct"/>
            <w:tcBorders>
              <w:top w:val="nil"/>
              <w:left w:val="nil"/>
              <w:bottom w:val="nil"/>
              <w:right w:val="nil"/>
            </w:tcBorders>
            <w:vAlign w:val="bottom"/>
            <w:hideMark/>
          </w:tcPr>
          <w:p w14:paraId="65CB7C2C" w14:textId="77777777" w:rsidR="00A74C68" w:rsidRPr="00471CBA" w:rsidRDefault="00A74C68" w:rsidP="00A74C68">
            <w:pPr>
              <w:rPr>
                <w:szCs w:val="20"/>
              </w:rPr>
            </w:pPr>
          </w:p>
        </w:tc>
        <w:tc>
          <w:tcPr>
            <w:tcW w:w="1338" w:type="pct"/>
            <w:tcBorders>
              <w:top w:val="nil"/>
              <w:left w:val="nil"/>
              <w:bottom w:val="nil"/>
              <w:right w:val="nil"/>
            </w:tcBorders>
            <w:vAlign w:val="bottom"/>
            <w:hideMark/>
          </w:tcPr>
          <w:p w14:paraId="4A679ECB" w14:textId="77777777" w:rsidR="00A74C68" w:rsidRPr="00471CBA" w:rsidRDefault="00A74C68" w:rsidP="00A74C68">
            <w:pPr>
              <w:jc w:val="center"/>
              <w:rPr>
                <w:szCs w:val="20"/>
              </w:rPr>
            </w:pPr>
          </w:p>
        </w:tc>
      </w:tr>
      <w:tr w:rsidR="00A74C68" w:rsidRPr="00471CBA" w14:paraId="47BF642E" w14:textId="77777777" w:rsidTr="00A74C68">
        <w:trPr>
          <w:divId w:val="900404083"/>
          <w:trHeight w:val="227"/>
        </w:trPr>
        <w:tc>
          <w:tcPr>
            <w:tcW w:w="2565" w:type="pct"/>
            <w:tcBorders>
              <w:top w:val="nil"/>
              <w:left w:val="nil"/>
              <w:bottom w:val="nil"/>
              <w:right w:val="nil"/>
            </w:tcBorders>
            <w:vAlign w:val="bottom"/>
            <w:hideMark/>
          </w:tcPr>
          <w:p w14:paraId="316E1E6F" w14:textId="77777777" w:rsidR="00A74C68" w:rsidRPr="00471CBA" w:rsidRDefault="00A74C68" w:rsidP="00A74C68">
            <w:pPr>
              <w:rPr>
                <w:color w:val="000000"/>
                <w:szCs w:val="20"/>
              </w:rPr>
            </w:pPr>
            <w:r w:rsidRPr="00471CBA">
              <w:rPr>
                <w:color w:val="000000"/>
                <w:szCs w:val="20"/>
              </w:rPr>
              <w:t>Kısa Vadeli</w:t>
            </w:r>
          </w:p>
        </w:tc>
        <w:tc>
          <w:tcPr>
            <w:tcW w:w="1097" w:type="pct"/>
            <w:tcBorders>
              <w:top w:val="nil"/>
              <w:left w:val="nil"/>
              <w:bottom w:val="nil"/>
              <w:right w:val="nil"/>
            </w:tcBorders>
            <w:vAlign w:val="center"/>
            <w:hideMark/>
          </w:tcPr>
          <w:p w14:paraId="689261F0" w14:textId="77777777" w:rsidR="00A74C68" w:rsidRPr="00471CBA" w:rsidRDefault="00A74C68" w:rsidP="00A74C68">
            <w:pPr>
              <w:jc w:val="right"/>
              <w:rPr>
                <w:color w:val="000000"/>
                <w:szCs w:val="20"/>
              </w:rPr>
            </w:pPr>
            <w:r w:rsidRPr="00471CBA">
              <w:rPr>
                <w:color w:val="000000"/>
                <w:szCs w:val="20"/>
              </w:rPr>
              <w:t>5.185.314</w:t>
            </w:r>
          </w:p>
        </w:tc>
        <w:tc>
          <w:tcPr>
            <w:tcW w:w="1338" w:type="pct"/>
            <w:tcBorders>
              <w:top w:val="nil"/>
              <w:left w:val="nil"/>
              <w:bottom w:val="nil"/>
              <w:right w:val="nil"/>
            </w:tcBorders>
            <w:vAlign w:val="center"/>
            <w:hideMark/>
          </w:tcPr>
          <w:p w14:paraId="52C41751" w14:textId="77777777" w:rsidR="00A74C68" w:rsidRPr="00471CBA" w:rsidRDefault="00A74C68" w:rsidP="00A74C68">
            <w:pPr>
              <w:jc w:val="right"/>
              <w:rPr>
                <w:color w:val="000000"/>
                <w:szCs w:val="20"/>
              </w:rPr>
            </w:pPr>
            <w:r w:rsidRPr="00471CBA">
              <w:rPr>
                <w:color w:val="000000"/>
                <w:szCs w:val="20"/>
              </w:rPr>
              <w:t>-</w:t>
            </w:r>
          </w:p>
        </w:tc>
      </w:tr>
      <w:tr w:rsidR="00A74C68" w:rsidRPr="00471CBA" w14:paraId="58747DE2" w14:textId="77777777" w:rsidTr="00A74C68">
        <w:trPr>
          <w:divId w:val="900404083"/>
          <w:trHeight w:val="227"/>
        </w:trPr>
        <w:tc>
          <w:tcPr>
            <w:tcW w:w="2565" w:type="pct"/>
            <w:tcBorders>
              <w:top w:val="nil"/>
              <w:left w:val="nil"/>
              <w:bottom w:val="single" w:sz="4" w:space="0" w:color="auto"/>
              <w:right w:val="nil"/>
            </w:tcBorders>
            <w:vAlign w:val="bottom"/>
            <w:hideMark/>
          </w:tcPr>
          <w:p w14:paraId="147305D1" w14:textId="77777777" w:rsidR="00A74C68" w:rsidRPr="00471CBA" w:rsidRDefault="00A74C68" w:rsidP="00A74C68">
            <w:pPr>
              <w:rPr>
                <w:color w:val="000000"/>
                <w:szCs w:val="20"/>
              </w:rPr>
            </w:pPr>
            <w:r w:rsidRPr="00471CBA">
              <w:rPr>
                <w:color w:val="000000"/>
                <w:szCs w:val="20"/>
              </w:rPr>
              <w:t>Orta ve Uzun Vadeli</w:t>
            </w:r>
          </w:p>
        </w:tc>
        <w:tc>
          <w:tcPr>
            <w:tcW w:w="1097" w:type="pct"/>
            <w:tcBorders>
              <w:top w:val="nil"/>
              <w:left w:val="nil"/>
              <w:bottom w:val="single" w:sz="4" w:space="0" w:color="auto"/>
              <w:right w:val="nil"/>
            </w:tcBorders>
            <w:vAlign w:val="center"/>
            <w:hideMark/>
          </w:tcPr>
          <w:p w14:paraId="1BB2D2E2" w14:textId="77777777" w:rsidR="00A74C68" w:rsidRPr="00471CBA" w:rsidRDefault="00A74C68" w:rsidP="00A74C68">
            <w:pPr>
              <w:jc w:val="right"/>
              <w:rPr>
                <w:color w:val="000000"/>
                <w:szCs w:val="20"/>
              </w:rPr>
            </w:pPr>
            <w:r w:rsidRPr="00471CBA">
              <w:rPr>
                <w:color w:val="000000"/>
                <w:szCs w:val="20"/>
              </w:rPr>
              <w:t>-</w:t>
            </w:r>
          </w:p>
        </w:tc>
        <w:tc>
          <w:tcPr>
            <w:tcW w:w="1338" w:type="pct"/>
            <w:tcBorders>
              <w:top w:val="nil"/>
              <w:left w:val="nil"/>
              <w:bottom w:val="single" w:sz="4" w:space="0" w:color="auto"/>
              <w:right w:val="nil"/>
            </w:tcBorders>
            <w:vAlign w:val="center"/>
            <w:hideMark/>
          </w:tcPr>
          <w:p w14:paraId="3650E52B" w14:textId="77777777" w:rsidR="00A74C68" w:rsidRPr="00471CBA" w:rsidRDefault="00A74C68" w:rsidP="00A74C68">
            <w:pPr>
              <w:jc w:val="right"/>
              <w:rPr>
                <w:color w:val="000000"/>
                <w:szCs w:val="20"/>
              </w:rPr>
            </w:pPr>
            <w:r w:rsidRPr="00471CBA">
              <w:rPr>
                <w:color w:val="000000"/>
                <w:szCs w:val="20"/>
              </w:rPr>
              <w:t>587.753</w:t>
            </w:r>
          </w:p>
        </w:tc>
      </w:tr>
      <w:tr w:rsidR="00A74C68" w:rsidRPr="00471CBA" w14:paraId="0D31610C" w14:textId="77777777" w:rsidTr="00A74C68">
        <w:trPr>
          <w:divId w:val="900404083"/>
          <w:trHeight w:val="227"/>
        </w:trPr>
        <w:tc>
          <w:tcPr>
            <w:tcW w:w="2565" w:type="pct"/>
            <w:tcBorders>
              <w:top w:val="nil"/>
              <w:left w:val="nil"/>
              <w:right w:val="nil"/>
            </w:tcBorders>
            <w:vAlign w:val="bottom"/>
            <w:hideMark/>
          </w:tcPr>
          <w:p w14:paraId="080E2A16" w14:textId="77777777" w:rsidR="00A74C68" w:rsidRPr="00471CBA" w:rsidRDefault="00A74C68" w:rsidP="00A74C68">
            <w:pPr>
              <w:jc w:val="right"/>
              <w:rPr>
                <w:color w:val="000000"/>
                <w:szCs w:val="20"/>
              </w:rPr>
            </w:pPr>
          </w:p>
        </w:tc>
        <w:tc>
          <w:tcPr>
            <w:tcW w:w="1097" w:type="pct"/>
            <w:tcBorders>
              <w:top w:val="nil"/>
              <w:left w:val="nil"/>
              <w:right w:val="nil"/>
            </w:tcBorders>
            <w:noWrap/>
            <w:vAlign w:val="bottom"/>
            <w:hideMark/>
          </w:tcPr>
          <w:p w14:paraId="22713F72" w14:textId="77777777" w:rsidR="00A74C68" w:rsidRPr="00471CBA" w:rsidRDefault="00A74C68" w:rsidP="00A74C68">
            <w:pPr>
              <w:jc w:val="right"/>
              <w:rPr>
                <w:szCs w:val="20"/>
              </w:rPr>
            </w:pPr>
          </w:p>
        </w:tc>
        <w:tc>
          <w:tcPr>
            <w:tcW w:w="1338" w:type="pct"/>
            <w:tcBorders>
              <w:top w:val="nil"/>
              <w:left w:val="nil"/>
              <w:right w:val="nil"/>
            </w:tcBorders>
            <w:noWrap/>
            <w:vAlign w:val="bottom"/>
            <w:hideMark/>
          </w:tcPr>
          <w:p w14:paraId="6D9BCDC1" w14:textId="77777777" w:rsidR="00A74C68" w:rsidRPr="00471CBA" w:rsidRDefault="00A74C68" w:rsidP="00A74C68">
            <w:pPr>
              <w:jc w:val="right"/>
              <w:rPr>
                <w:szCs w:val="20"/>
              </w:rPr>
            </w:pPr>
          </w:p>
        </w:tc>
      </w:tr>
      <w:tr w:rsidR="00A74C68" w:rsidRPr="00471CBA" w14:paraId="3CD44933" w14:textId="77777777" w:rsidTr="00A74C68">
        <w:trPr>
          <w:divId w:val="900404083"/>
          <w:trHeight w:val="227"/>
        </w:trPr>
        <w:tc>
          <w:tcPr>
            <w:tcW w:w="2565" w:type="pct"/>
            <w:tcBorders>
              <w:top w:val="nil"/>
              <w:left w:val="nil"/>
              <w:bottom w:val="single" w:sz="12" w:space="0" w:color="auto"/>
              <w:right w:val="nil"/>
            </w:tcBorders>
            <w:noWrap/>
            <w:vAlign w:val="bottom"/>
            <w:hideMark/>
          </w:tcPr>
          <w:p w14:paraId="3A64CD9F" w14:textId="77777777" w:rsidR="00A74C68" w:rsidRPr="00471CBA" w:rsidRDefault="00A74C68" w:rsidP="00A74C68">
            <w:pPr>
              <w:rPr>
                <w:b/>
                <w:bCs/>
                <w:color w:val="000000"/>
                <w:szCs w:val="20"/>
              </w:rPr>
            </w:pPr>
            <w:r w:rsidRPr="00471CBA">
              <w:rPr>
                <w:b/>
                <w:bCs/>
                <w:color w:val="000000"/>
                <w:szCs w:val="20"/>
              </w:rPr>
              <w:t xml:space="preserve">Toplam </w:t>
            </w:r>
          </w:p>
        </w:tc>
        <w:tc>
          <w:tcPr>
            <w:tcW w:w="1097" w:type="pct"/>
            <w:tcBorders>
              <w:top w:val="nil"/>
              <w:left w:val="nil"/>
              <w:bottom w:val="single" w:sz="12" w:space="0" w:color="auto"/>
              <w:right w:val="nil"/>
            </w:tcBorders>
            <w:vAlign w:val="center"/>
            <w:hideMark/>
          </w:tcPr>
          <w:p w14:paraId="48311272" w14:textId="77777777" w:rsidR="00A74C68" w:rsidRPr="00471CBA" w:rsidRDefault="00A74C68" w:rsidP="00A74C68">
            <w:pPr>
              <w:jc w:val="right"/>
              <w:rPr>
                <w:b/>
                <w:bCs/>
                <w:color w:val="000000"/>
                <w:szCs w:val="20"/>
              </w:rPr>
            </w:pPr>
            <w:r w:rsidRPr="00471CBA">
              <w:rPr>
                <w:b/>
                <w:bCs/>
                <w:color w:val="000000"/>
                <w:szCs w:val="20"/>
              </w:rPr>
              <w:t>5.185.314</w:t>
            </w:r>
          </w:p>
        </w:tc>
        <w:tc>
          <w:tcPr>
            <w:tcW w:w="1338" w:type="pct"/>
            <w:tcBorders>
              <w:top w:val="nil"/>
              <w:left w:val="nil"/>
              <w:bottom w:val="single" w:sz="12" w:space="0" w:color="auto"/>
              <w:right w:val="nil"/>
            </w:tcBorders>
            <w:vAlign w:val="center"/>
            <w:hideMark/>
          </w:tcPr>
          <w:p w14:paraId="1D9D7669" w14:textId="77777777" w:rsidR="00A74C68" w:rsidRPr="00471CBA" w:rsidRDefault="00A74C68" w:rsidP="00A74C68">
            <w:pPr>
              <w:jc w:val="right"/>
              <w:rPr>
                <w:b/>
                <w:bCs/>
                <w:color w:val="000000"/>
                <w:szCs w:val="20"/>
              </w:rPr>
            </w:pPr>
            <w:r w:rsidRPr="00471CBA">
              <w:rPr>
                <w:b/>
                <w:bCs/>
                <w:color w:val="000000"/>
                <w:szCs w:val="20"/>
              </w:rPr>
              <w:t>587.753</w:t>
            </w:r>
          </w:p>
        </w:tc>
      </w:tr>
    </w:tbl>
    <w:p w14:paraId="5DFF448C" w14:textId="7FA36F0A" w:rsidR="00CF39AE" w:rsidRPr="00471CBA" w:rsidRDefault="00CF39AE" w:rsidP="005B3DE3">
      <w:pPr>
        <w:pStyle w:val="GvdeMetniGirintisi"/>
        <w:widowControl w:val="0"/>
        <w:ind w:left="1702" w:right="-110" w:hanging="851"/>
        <w:rPr>
          <w:bCs/>
          <w:szCs w:val="20"/>
        </w:rPr>
      </w:pPr>
    </w:p>
    <w:tbl>
      <w:tblPr>
        <w:tblW w:w="5000" w:type="pct"/>
        <w:tblCellMar>
          <w:left w:w="70" w:type="dxa"/>
          <w:right w:w="70" w:type="dxa"/>
        </w:tblCellMar>
        <w:tblLook w:val="04A0" w:firstRow="1" w:lastRow="0" w:firstColumn="1" w:lastColumn="0" w:noHBand="0" w:noVBand="1"/>
      </w:tblPr>
      <w:tblGrid>
        <w:gridCol w:w="4800"/>
        <w:gridCol w:w="2271"/>
        <w:gridCol w:w="2284"/>
      </w:tblGrid>
      <w:tr w:rsidR="000511E0" w:rsidRPr="00471CBA" w14:paraId="08401E60" w14:textId="77777777" w:rsidTr="00E311BD">
        <w:trPr>
          <w:trHeight w:val="227"/>
        </w:trPr>
        <w:tc>
          <w:tcPr>
            <w:tcW w:w="2565" w:type="pct"/>
            <w:tcBorders>
              <w:top w:val="nil"/>
              <w:left w:val="nil"/>
              <w:bottom w:val="nil"/>
              <w:right w:val="nil"/>
            </w:tcBorders>
            <w:noWrap/>
            <w:vAlign w:val="bottom"/>
            <w:hideMark/>
          </w:tcPr>
          <w:p w14:paraId="0957B717" w14:textId="77777777" w:rsidR="000511E0" w:rsidRPr="00471CBA" w:rsidRDefault="000511E0" w:rsidP="003D1625">
            <w:pPr>
              <w:rPr>
                <w:color w:val="000000"/>
                <w:szCs w:val="20"/>
              </w:rPr>
            </w:pPr>
            <w:r w:rsidRPr="00471CBA">
              <w:rPr>
                <w:color w:val="000000"/>
                <w:szCs w:val="20"/>
              </w:rPr>
              <w:t xml:space="preserve">   </w:t>
            </w:r>
          </w:p>
        </w:tc>
        <w:tc>
          <w:tcPr>
            <w:tcW w:w="2435" w:type="pct"/>
            <w:gridSpan w:val="2"/>
            <w:tcBorders>
              <w:top w:val="nil"/>
              <w:left w:val="nil"/>
              <w:bottom w:val="single" w:sz="4" w:space="0" w:color="auto"/>
              <w:right w:val="nil"/>
            </w:tcBorders>
            <w:noWrap/>
            <w:vAlign w:val="bottom"/>
            <w:hideMark/>
          </w:tcPr>
          <w:p w14:paraId="78D7C226" w14:textId="77777777" w:rsidR="000511E0" w:rsidRPr="00471CBA" w:rsidRDefault="000511E0" w:rsidP="003D1625">
            <w:pPr>
              <w:jc w:val="center"/>
              <w:rPr>
                <w:b/>
                <w:bCs/>
                <w:color w:val="000000"/>
                <w:szCs w:val="20"/>
              </w:rPr>
            </w:pPr>
            <w:r w:rsidRPr="00471CBA">
              <w:rPr>
                <w:b/>
                <w:bCs/>
                <w:color w:val="000000"/>
                <w:szCs w:val="20"/>
              </w:rPr>
              <w:t>31 Aralık 2024</w:t>
            </w:r>
          </w:p>
        </w:tc>
      </w:tr>
      <w:tr w:rsidR="000511E0" w:rsidRPr="00471CBA" w14:paraId="5A889B3C" w14:textId="77777777" w:rsidTr="00E311BD">
        <w:trPr>
          <w:trHeight w:val="227"/>
        </w:trPr>
        <w:tc>
          <w:tcPr>
            <w:tcW w:w="2565" w:type="pct"/>
            <w:tcBorders>
              <w:top w:val="nil"/>
              <w:left w:val="nil"/>
              <w:bottom w:val="nil"/>
              <w:right w:val="nil"/>
            </w:tcBorders>
            <w:noWrap/>
            <w:vAlign w:val="bottom"/>
            <w:hideMark/>
          </w:tcPr>
          <w:p w14:paraId="1ED9F203" w14:textId="77777777" w:rsidR="000511E0" w:rsidRPr="00471CBA" w:rsidRDefault="000511E0" w:rsidP="003D1625">
            <w:pPr>
              <w:jc w:val="center"/>
              <w:rPr>
                <w:b/>
                <w:bCs/>
                <w:color w:val="000000"/>
                <w:szCs w:val="20"/>
              </w:rPr>
            </w:pPr>
          </w:p>
        </w:tc>
        <w:tc>
          <w:tcPr>
            <w:tcW w:w="1214" w:type="pct"/>
            <w:tcBorders>
              <w:top w:val="nil"/>
              <w:left w:val="nil"/>
              <w:bottom w:val="single" w:sz="4" w:space="0" w:color="auto"/>
              <w:right w:val="nil"/>
            </w:tcBorders>
            <w:vAlign w:val="bottom"/>
            <w:hideMark/>
          </w:tcPr>
          <w:p w14:paraId="2CA03D61" w14:textId="77777777" w:rsidR="000511E0" w:rsidRPr="00471CBA" w:rsidRDefault="000511E0" w:rsidP="003D1625">
            <w:pPr>
              <w:jc w:val="center"/>
              <w:rPr>
                <w:b/>
                <w:bCs/>
                <w:color w:val="000000"/>
                <w:szCs w:val="20"/>
              </w:rPr>
            </w:pPr>
            <w:r w:rsidRPr="00471CBA">
              <w:rPr>
                <w:b/>
                <w:bCs/>
                <w:color w:val="000000"/>
                <w:szCs w:val="20"/>
              </w:rPr>
              <w:t>TP</w:t>
            </w:r>
          </w:p>
        </w:tc>
        <w:tc>
          <w:tcPr>
            <w:tcW w:w="1221" w:type="pct"/>
            <w:tcBorders>
              <w:top w:val="nil"/>
              <w:left w:val="nil"/>
              <w:bottom w:val="single" w:sz="4" w:space="0" w:color="auto"/>
              <w:right w:val="nil"/>
            </w:tcBorders>
            <w:noWrap/>
            <w:vAlign w:val="bottom"/>
            <w:hideMark/>
          </w:tcPr>
          <w:p w14:paraId="1A5F7141" w14:textId="77777777" w:rsidR="000511E0" w:rsidRPr="00471CBA" w:rsidRDefault="000511E0" w:rsidP="003D1625">
            <w:pPr>
              <w:jc w:val="center"/>
              <w:rPr>
                <w:b/>
                <w:bCs/>
                <w:color w:val="000000"/>
                <w:szCs w:val="20"/>
              </w:rPr>
            </w:pPr>
            <w:r w:rsidRPr="00471CBA">
              <w:rPr>
                <w:b/>
                <w:bCs/>
                <w:color w:val="000000"/>
                <w:szCs w:val="20"/>
              </w:rPr>
              <w:t>YP</w:t>
            </w:r>
          </w:p>
        </w:tc>
      </w:tr>
      <w:tr w:rsidR="000511E0" w:rsidRPr="00471CBA" w14:paraId="461504A6" w14:textId="77777777" w:rsidTr="00E311BD">
        <w:trPr>
          <w:trHeight w:val="227"/>
        </w:trPr>
        <w:tc>
          <w:tcPr>
            <w:tcW w:w="2565" w:type="pct"/>
            <w:tcBorders>
              <w:top w:val="nil"/>
              <w:left w:val="nil"/>
              <w:bottom w:val="nil"/>
              <w:right w:val="nil"/>
            </w:tcBorders>
            <w:hideMark/>
          </w:tcPr>
          <w:p w14:paraId="45B837B8" w14:textId="77777777" w:rsidR="000511E0" w:rsidRPr="00471CBA" w:rsidRDefault="000511E0" w:rsidP="003D1625">
            <w:pPr>
              <w:jc w:val="center"/>
              <w:rPr>
                <w:b/>
                <w:bCs/>
                <w:color w:val="000000"/>
                <w:szCs w:val="20"/>
              </w:rPr>
            </w:pPr>
          </w:p>
        </w:tc>
        <w:tc>
          <w:tcPr>
            <w:tcW w:w="1214" w:type="pct"/>
            <w:tcBorders>
              <w:top w:val="nil"/>
              <w:left w:val="nil"/>
              <w:bottom w:val="nil"/>
              <w:right w:val="nil"/>
            </w:tcBorders>
            <w:vAlign w:val="bottom"/>
            <w:hideMark/>
          </w:tcPr>
          <w:p w14:paraId="7D45C303" w14:textId="77777777" w:rsidR="000511E0" w:rsidRPr="00471CBA" w:rsidRDefault="000511E0" w:rsidP="003D1625">
            <w:pPr>
              <w:jc w:val="center"/>
              <w:rPr>
                <w:szCs w:val="20"/>
              </w:rPr>
            </w:pPr>
          </w:p>
        </w:tc>
        <w:tc>
          <w:tcPr>
            <w:tcW w:w="1221" w:type="pct"/>
            <w:tcBorders>
              <w:top w:val="nil"/>
              <w:left w:val="nil"/>
              <w:bottom w:val="nil"/>
              <w:right w:val="nil"/>
            </w:tcBorders>
            <w:vAlign w:val="bottom"/>
            <w:hideMark/>
          </w:tcPr>
          <w:p w14:paraId="78573EE6" w14:textId="77777777" w:rsidR="000511E0" w:rsidRPr="00471CBA" w:rsidRDefault="000511E0" w:rsidP="003D1625">
            <w:pPr>
              <w:jc w:val="center"/>
              <w:rPr>
                <w:szCs w:val="20"/>
              </w:rPr>
            </w:pPr>
          </w:p>
        </w:tc>
      </w:tr>
      <w:tr w:rsidR="000511E0" w:rsidRPr="00471CBA" w14:paraId="03B2C163" w14:textId="77777777" w:rsidTr="00E311BD">
        <w:trPr>
          <w:trHeight w:val="227"/>
        </w:trPr>
        <w:tc>
          <w:tcPr>
            <w:tcW w:w="2565" w:type="pct"/>
            <w:tcBorders>
              <w:top w:val="nil"/>
              <w:left w:val="nil"/>
              <w:bottom w:val="nil"/>
              <w:right w:val="nil"/>
            </w:tcBorders>
            <w:vAlign w:val="bottom"/>
            <w:hideMark/>
          </w:tcPr>
          <w:p w14:paraId="2F604154" w14:textId="77777777" w:rsidR="000511E0" w:rsidRPr="00471CBA" w:rsidRDefault="000511E0" w:rsidP="003D1625">
            <w:pPr>
              <w:rPr>
                <w:color w:val="000000"/>
                <w:szCs w:val="20"/>
              </w:rPr>
            </w:pPr>
            <w:r w:rsidRPr="00471CBA">
              <w:rPr>
                <w:color w:val="000000"/>
                <w:szCs w:val="20"/>
              </w:rPr>
              <w:t>Kısa Vadeli</w:t>
            </w:r>
          </w:p>
        </w:tc>
        <w:tc>
          <w:tcPr>
            <w:tcW w:w="1214" w:type="pct"/>
            <w:tcBorders>
              <w:top w:val="nil"/>
              <w:left w:val="nil"/>
              <w:bottom w:val="nil"/>
              <w:right w:val="nil"/>
            </w:tcBorders>
            <w:vAlign w:val="center"/>
            <w:hideMark/>
          </w:tcPr>
          <w:p w14:paraId="77EA3E3A" w14:textId="77777777" w:rsidR="000511E0" w:rsidRPr="00471CBA" w:rsidRDefault="000511E0" w:rsidP="003D1625">
            <w:pPr>
              <w:jc w:val="right"/>
              <w:rPr>
                <w:color w:val="000000"/>
                <w:szCs w:val="20"/>
              </w:rPr>
            </w:pPr>
            <w:r w:rsidRPr="00471CBA">
              <w:rPr>
                <w:color w:val="000000"/>
                <w:szCs w:val="20"/>
              </w:rPr>
              <w:t>85.110</w:t>
            </w:r>
          </w:p>
        </w:tc>
        <w:tc>
          <w:tcPr>
            <w:tcW w:w="1221" w:type="pct"/>
            <w:tcBorders>
              <w:top w:val="nil"/>
              <w:left w:val="nil"/>
              <w:bottom w:val="nil"/>
              <w:right w:val="nil"/>
            </w:tcBorders>
            <w:vAlign w:val="center"/>
            <w:hideMark/>
          </w:tcPr>
          <w:p w14:paraId="70623C5D" w14:textId="77777777" w:rsidR="000511E0" w:rsidRPr="00471CBA" w:rsidRDefault="000511E0" w:rsidP="003D1625">
            <w:pPr>
              <w:jc w:val="right"/>
              <w:rPr>
                <w:color w:val="000000"/>
                <w:szCs w:val="20"/>
              </w:rPr>
            </w:pPr>
            <w:r w:rsidRPr="00471CBA">
              <w:rPr>
                <w:color w:val="000000"/>
                <w:szCs w:val="20"/>
              </w:rPr>
              <w:t>1.837.130</w:t>
            </w:r>
          </w:p>
        </w:tc>
      </w:tr>
      <w:tr w:rsidR="000511E0" w:rsidRPr="00471CBA" w14:paraId="744AE262" w14:textId="77777777" w:rsidTr="00E311BD">
        <w:trPr>
          <w:trHeight w:val="227"/>
        </w:trPr>
        <w:tc>
          <w:tcPr>
            <w:tcW w:w="2565" w:type="pct"/>
            <w:tcBorders>
              <w:top w:val="nil"/>
              <w:left w:val="nil"/>
              <w:bottom w:val="single" w:sz="4" w:space="0" w:color="auto"/>
              <w:right w:val="nil"/>
            </w:tcBorders>
            <w:vAlign w:val="bottom"/>
            <w:hideMark/>
          </w:tcPr>
          <w:p w14:paraId="7BB1A158" w14:textId="77777777" w:rsidR="000511E0" w:rsidRPr="00471CBA" w:rsidRDefault="000511E0" w:rsidP="003D1625">
            <w:pPr>
              <w:rPr>
                <w:color w:val="000000"/>
                <w:szCs w:val="20"/>
              </w:rPr>
            </w:pPr>
            <w:r w:rsidRPr="00471CBA">
              <w:rPr>
                <w:color w:val="000000"/>
                <w:szCs w:val="20"/>
              </w:rPr>
              <w:t>Orta ve Uzun Vadeli</w:t>
            </w:r>
          </w:p>
        </w:tc>
        <w:tc>
          <w:tcPr>
            <w:tcW w:w="1214" w:type="pct"/>
            <w:tcBorders>
              <w:top w:val="nil"/>
              <w:left w:val="nil"/>
              <w:bottom w:val="single" w:sz="4" w:space="0" w:color="auto"/>
              <w:right w:val="nil"/>
            </w:tcBorders>
            <w:vAlign w:val="center"/>
            <w:hideMark/>
          </w:tcPr>
          <w:p w14:paraId="259135C3" w14:textId="77777777" w:rsidR="000511E0" w:rsidRPr="00471CBA" w:rsidRDefault="000511E0" w:rsidP="003D1625">
            <w:pPr>
              <w:jc w:val="right"/>
              <w:rPr>
                <w:color w:val="000000"/>
                <w:szCs w:val="20"/>
              </w:rPr>
            </w:pPr>
            <w:r w:rsidRPr="00471CBA">
              <w:rPr>
                <w:color w:val="000000"/>
                <w:szCs w:val="20"/>
              </w:rPr>
              <w:t>-</w:t>
            </w:r>
          </w:p>
        </w:tc>
        <w:tc>
          <w:tcPr>
            <w:tcW w:w="1221" w:type="pct"/>
            <w:tcBorders>
              <w:top w:val="nil"/>
              <w:left w:val="nil"/>
              <w:bottom w:val="single" w:sz="4" w:space="0" w:color="auto"/>
              <w:right w:val="nil"/>
            </w:tcBorders>
            <w:vAlign w:val="center"/>
            <w:hideMark/>
          </w:tcPr>
          <w:p w14:paraId="4EC846A4" w14:textId="77777777" w:rsidR="000511E0" w:rsidRPr="00471CBA" w:rsidRDefault="000511E0" w:rsidP="003D1625">
            <w:pPr>
              <w:jc w:val="right"/>
              <w:rPr>
                <w:color w:val="000000"/>
                <w:szCs w:val="20"/>
              </w:rPr>
            </w:pPr>
            <w:r w:rsidRPr="00471CBA">
              <w:rPr>
                <w:color w:val="000000"/>
                <w:szCs w:val="20"/>
              </w:rPr>
              <w:t>-</w:t>
            </w:r>
          </w:p>
        </w:tc>
      </w:tr>
      <w:tr w:rsidR="000511E0" w:rsidRPr="00471CBA" w14:paraId="5C775BA1" w14:textId="77777777" w:rsidTr="00E311BD">
        <w:trPr>
          <w:trHeight w:val="227"/>
        </w:trPr>
        <w:tc>
          <w:tcPr>
            <w:tcW w:w="2565" w:type="pct"/>
            <w:tcBorders>
              <w:top w:val="nil"/>
              <w:left w:val="nil"/>
              <w:right w:val="nil"/>
            </w:tcBorders>
            <w:vAlign w:val="bottom"/>
            <w:hideMark/>
          </w:tcPr>
          <w:p w14:paraId="77DBBD83" w14:textId="77777777" w:rsidR="000511E0" w:rsidRPr="00471CBA" w:rsidRDefault="000511E0" w:rsidP="003D1625">
            <w:pPr>
              <w:jc w:val="right"/>
              <w:rPr>
                <w:color w:val="000000"/>
                <w:szCs w:val="20"/>
              </w:rPr>
            </w:pPr>
          </w:p>
        </w:tc>
        <w:tc>
          <w:tcPr>
            <w:tcW w:w="1214" w:type="pct"/>
            <w:tcBorders>
              <w:top w:val="nil"/>
              <w:left w:val="nil"/>
              <w:right w:val="nil"/>
            </w:tcBorders>
            <w:noWrap/>
            <w:vAlign w:val="bottom"/>
            <w:hideMark/>
          </w:tcPr>
          <w:p w14:paraId="31510522" w14:textId="77777777" w:rsidR="000511E0" w:rsidRPr="00471CBA" w:rsidRDefault="000511E0" w:rsidP="003D1625">
            <w:pPr>
              <w:jc w:val="right"/>
              <w:rPr>
                <w:szCs w:val="20"/>
              </w:rPr>
            </w:pPr>
          </w:p>
        </w:tc>
        <w:tc>
          <w:tcPr>
            <w:tcW w:w="1221" w:type="pct"/>
            <w:tcBorders>
              <w:top w:val="nil"/>
              <w:left w:val="nil"/>
              <w:right w:val="nil"/>
            </w:tcBorders>
            <w:noWrap/>
            <w:vAlign w:val="bottom"/>
            <w:hideMark/>
          </w:tcPr>
          <w:p w14:paraId="0C3EB376" w14:textId="77777777" w:rsidR="000511E0" w:rsidRPr="00471CBA" w:rsidRDefault="000511E0" w:rsidP="003D1625">
            <w:pPr>
              <w:jc w:val="right"/>
              <w:rPr>
                <w:szCs w:val="20"/>
              </w:rPr>
            </w:pPr>
          </w:p>
        </w:tc>
      </w:tr>
      <w:tr w:rsidR="000511E0" w:rsidRPr="00471CBA" w14:paraId="17F67594" w14:textId="77777777" w:rsidTr="00E311BD">
        <w:trPr>
          <w:trHeight w:val="227"/>
        </w:trPr>
        <w:tc>
          <w:tcPr>
            <w:tcW w:w="2565" w:type="pct"/>
            <w:tcBorders>
              <w:top w:val="nil"/>
              <w:left w:val="nil"/>
              <w:bottom w:val="single" w:sz="12" w:space="0" w:color="auto"/>
              <w:right w:val="nil"/>
            </w:tcBorders>
            <w:noWrap/>
            <w:vAlign w:val="bottom"/>
            <w:hideMark/>
          </w:tcPr>
          <w:p w14:paraId="6A031E4E" w14:textId="77777777" w:rsidR="000511E0" w:rsidRPr="00471CBA" w:rsidRDefault="000511E0" w:rsidP="003D1625">
            <w:pPr>
              <w:rPr>
                <w:b/>
                <w:bCs/>
                <w:color w:val="000000"/>
                <w:szCs w:val="20"/>
              </w:rPr>
            </w:pPr>
            <w:r w:rsidRPr="00471CBA">
              <w:rPr>
                <w:b/>
                <w:bCs/>
                <w:color w:val="000000"/>
                <w:szCs w:val="20"/>
              </w:rPr>
              <w:t xml:space="preserve">Toplam </w:t>
            </w:r>
          </w:p>
        </w:tc>
        <w:tc>
          <w:tcPr>
            <w:tcW w:w="1214" w:type="pct"/>
            <w:tcBorders>
              <w:top w:val="nil"/>
              <w:left w:val="nil"/>
              <w:bottom w:val="single" w:sz="12" w:space="0" w:color="auto"/>
              <w:right w:val="nil"/>
            </w:tcBorders>
            <w:vAlign w:val="center"/>
            <w:hideMark/>
          </w:tcPr>
          <w:p w14:paraId="0339C305" w14:textId="77777777" w:rsidR="000511E0" w:rsidRPr="00471CBA" w:rsidRDefault="000511E0" w:rsidP="003D1625">
            <w:pPr>
              <w:jc w:val="right"/>
              <w:rPr>
                <w:b/>
                <w:bCs/>
                <w:color w:val="000000"/>
                <w:szCs w:val="20"/>
              </w:rPr>
            </w:pPr>
            <w:r w:rsidRPr="00471CBA">
              <w:rPr>
                <w:b/>
                <w:bCs/>
                <w:color w:val="000000"/>
                <w:szCs w:val="20"/>
              </w:rPr>
              <w:t>85.110</w:t>
            </w:r>
          </w:p>
        </w:tc>
        <w:tc>
          <w:tcPr>
            <w:tcW w:w="1221" w:type="pct"/>
            <w:tcBorders>
              <w:top w:val="nil"/>
              <w:left w:val="nil"/>
              <w:bottom w:val="single" w:sz="12" w:space="0" w:color="auto"/>
              <w:right w:val="nil"/>
            </w:tcBorders>
            <w:vAlign w:val="center"/>
            <w:hideMark/>
          </w:tcPr>
          <w:p w14:paraId="59FB4798" w14:textId="77777777" w:rsidR="000511E0" w:rsidRPr="00471CBA" w:rsidRDefault="000511E0" w:rsidP="003D1625">
            <w:pPr>
              <w:jc w:val="right"/>
              <w:rPr>
                <w:b/>
                <w:bCs/>
                <w:color w:val="000000"/>
                <w:szCs w:val="20"/>
              </w:rPr>
            </w:pPr>
            <w:r w:rsidRPr="00471CBA">
              <w:rPr>
                <w:b/>
                <w:bCs/>
                <w:color w:val="000000"/>
                <w:szCs w:val="20"/>
              </w:rPr>
              <w:t>1.837.130</w:t>
            </w:r>
          </w:p>
        </w:tc>
      </w:tr>
    </w:tbl>
    <w:p w14:paraId="2B14DED0" w14:textId="1C8E522E" w:rsidR="000511E0" w:rsidRPr="00471CBA" w:rsidRDefault="000511E0" w:rsidP="005B3DE3">
      <w:pPr>
        <w:pStyle w:val="GvdeMetniGirintisi"/>
        <w:widowControl w:val="0"/>
        <w:ind w:left="1702" w:right="-110" w:hanging="851"/>
        <w:rPr>
          <w:bCs/>
          <w:szCs w:val="20"/>
        </w:rPr>
      </w:pPr>
    </w:p>
    <w:p w14:paraId="1AF37838" w14:textId="3CBC4405" w:rsidR="00E311BD" w:rsidRPr="00471CBA" w:rsidRDefault="00E311BD">
      <w:pPr>
        <w:rPr>
          <w:bCs/>
          <w:szCs w:val="20"/>
        </w:rPr>
      </w:pPr>
      <w:r w:rsidRPr="00471CBA">
        <w:rPr>
          <w:bCs/>
          <w:szCs w:val="20"/>
        </w:rPr>
        <w:br w:type="page"/>
      </w:r>
    </w:p>
    <w:p w14:paraId="4E5B8B61" w14:textId="77777777" w:rsidR="00080449" w:rsidRPr="00471CBA" w:rsidRDefault="00080449" w:rsidP="00080449">
      <w:pPr>
        <w:widowControl w:val="0"/>
        <w:spacing w:line="235" w:lineRule="auto"/>
        <w:ind w:left="720" w:hanging="720"/>
        <w:jc w:val="both"/>
        <w:rPr>
          <w:b/>
          <w:szCs w:val="20"/>
        </w:rPr>
      </w:pPr>
      <w:r w:rsidRPr="00471CBA">
        <w:rPr>
          <w:b/>
          <w:szCs w:val="20"/>
        </w:rPr>
        <w:t>KONSOLİDE OLMAYAN FİNANSAL TABLOLARA İLİŞKİN AÇIKLAMA VE DİPNOTLAR (Devamı)</w:t>
      </w:r>
    </w:p>
    <w:p w14:paraId="28FEF303" w14:textId="77777777" w:rsidR="00080449" w:rsidRPr="00471CBA" w:rsidRDefault="00080449" w:rsidP="00080449">
      <w:pPr>
        <w:widowControl w:val="0"/>
        <w:spacing w:line="235" w:lineRule="auto"/>
        <w:ind w:left="851" w:hanging="851"/>
        <w:jc w:val="both"/>
        <w:rPr>
          <w:b/>
          <w:szCs w:val="20"/>
        </w:rPr>
      </w:pPr>
    </w:p>
    <w:p w14:paraId="57BD8DB5" w14:textId="77777777" w:rsidR="00080449" w:rsidRPr="00471CBA" w:rsidRDefault="00080449" w:rsidP="00080449">
      <w:pPr>
        <w:widowControl w:val="0"/>
        <w:spacing w:line="235" w:lineRule="auto"/>
        <w:ind w:left="567" w:hanging="567"/>
        <w:jc w:val="both"/>
        <w:rPr>
          <w:b/>
          <w:szCs w:val="20"/>
        </w:rPr>
      </w:pPr>
      <w:r w:rsidRPr="00471CBA">
        <w:rPr>
          <w:b/>
          <w:szCs w:val="20"/>
        </w:rPr>
        <w:t>II.</w:t>
      </w:r>
      <w:r w:rsidRPr="00471CBA">
        <w:rPr>
          <w:b/>
          <w:szCs w:val="20"/>
        </w:rPr>
        <w:tab/>
        <w:t>BİLANÇONUN PASİF HESAPLARINA İLİŞKİN AÇIKLAMA VE DİPNOTLAR (Devamı)</w:t>
      </w:r>
    </w:p>
    <w:p w14:paraId="1D8A487D" w14:textId="77777777" w:rsidR="000511E0" w:rsidRPr="00471CBA" w:rsidRDefault="000511E0" w:rsidP="005B3DE3">
      <w:pPr>
        <w:pStyle w:val="GvdeMetniGirintisi"/>
        <w:widowControl w:val="0"/>
        <w:ind w:left="1702" w:right="-110" w:hanging="851"/>
        <w:rPr>
          <w:bCs/>
          <w:szCs w:val="20"/>
        </w:rPr>
      </w:pPr>
    </w:p>
    <w:p w14:paraId="6575A8DC" w14:textId="77777777" w:rsidR="005B3DE3" w:rsidRPr="00471CBA" w:rsidRDefault="005B3DE3" w:rsidP="008459A9">
      <w:pPr>
        <w:pStyle w:val="ListeParagraf"/>
        <w:widowControl w:val="0"/>
        <w:numPr>
          <w:ilvl w:val="0"/>
          <w:numId w:val="60"/>
        </w:numPr>
        <w:ind w:left="567" w:hanging="567"/>
        <w:jc w:val="both"/>
        <w:rPr>
          <w:b/>
          <w:szCs w:val="20"/>
        </w:rPr>
      </w:pPr>
      <w:r w:rsidRPr="00471CBA">
        <w:rPr>
          <w:b/>
          <w:szCs w:val="20"/>
        </w:rPr>
        <w:t>Türev finansal borçlara ilişkin bilgiler:</w:t>
      </w:r>
    </w:p>
    <w:p w14:paraId="21AA2FE9" w14:textId="226E619C" w:rsidR="00A74C68" w:rsidRPr="00471CBA" w:rsidRDefault="00A74C68" w:rsidP="00926E19">
      <w:pPr>
        <w:pStyle w:val="GvdeMetniGirintisi"/>
        <w:widowControl w:val="0"/>
        <w:ind w:left="851" w:right="-110" w:hanging="1"/>
      </w:pPr>
    </w:p>
    <w:tbl>
      <w:tblPr>
        <w:tblW w:w="5000" w:type="pct"/>
        <w:tblCellMar>
          <w:left w:w="70" w:type="dxa"/>
          <w:right w:w="70" w:type="dxa"/>
        </w:tblCellMar>
        <w:tblLook w:val="04A0" w:firstRow="1" w:lastRow="0" w:firstColumn="1" w:lastColumn="0" w:noHBand="0" w:noVBand="1"/>
      </w:tblPr>
      <w:tblGrid>
        <w:gridCol w:w="4278"/>
        <w:gridCol w:w="2546"/>
        <w:gridCol w:w="2531"/>
      </w:tblGrid>
      <w:tr w:rsidR="00A74C68" w:rsidRPr="00471CBA" w14:paraId="0B456BC7" w14:textId="77777777" w:rsidTr="00A74C68">
        <w:trPr>
          <w:divId w:val="83386483"/>
          <w:trHeight w:val="227"/>
        </w:trPr>
        <w:tc>
          <w:tcPr>
            <w:tcW w:w="2286" w:type="pct"/>
            <w:tcBorders>
              <w:top w:val="nil"/>
              <w:left w:val="nil"/>
              <w:bottom w:val="nil"/>
              <w:right w:val="nil"/>
            </w:tcBorders>
            <w:noWrap/>
            <w:vAlign w:val="bottom"/>
            <w:hideMark/>
          </w:tcPr>
          <w:p w14:paraId="3A773C00" w14:textId="2AEEAE87" w:rsidR="00A74C68" w:rsidRPr="00471CBA" w:rsidRDefault="00A74C68" w:rsidP="00A74C68">
            <w:pPr>
              <w:rPr>
                <w:szCs w:val="20"/>
                <w:lang w:eastAsia="tr-TR"/>
              </w:rPr>
            </w:pPr>
          </w:p>
        </w:tc>
        <w:tc>
          <w:tcPr>
            <w:tcW w:w="2714" w:type="pct"/>
            <w:gridSpan w:val="2"/>
            <w:tcBorders>
              <w:top w:val="nil"/>
              <w:left w:val="nil"/>
              <w:bottom w:val="single" w:sz="4" w:space="0" w:color="auto"/>
              <w:right w:val="nil"/>
            </w:tcBorders>
            <w:noWrap/>
            <w:vAlign w:val="bottom"/>
            <w:hideMark/>
          </w:tcPr>
          <w:p w14:paraId="0B45AE89" w14:textId="77777777" w:rsidR="00A74C68" w:rsidRPr="00471CBA" w:rsidRDefault="00A74C68" w:rsidP="00A74C68">
            <w:pPr>
              <w:jc w:val="center"/>
              <w:rPr>
                <w:b/>
                <w:bCs/>
                <w:color w:val="000000"/>
                <w:szCs w:val="20"/>
                <w:lang w:eastAsia="tr-TR"/>
              </w:rPr>
            </w:pPr>
            <w:r w:rsidRPr="00471CBA">
              <w:rPr>
                <w:b/>
                <w:bCs/>
                <w:color w:val="000000"/>
                <w:szCs w:val="20"/>
                <w:lang w:eastAsia="tr-TR"/>
              </w:rPr>
              <w:t>31 Aralık 2025</w:t>
            </w:r>
          </w:p>
        </w:tc>
      </w:tr>
      <w:tr w:rsidR="00A74C68" w:rsidRPr="00471CBA" w14:paraId="1018BDA9" w14:textId="77777777" w:rsidTr="00A74C68">
        <w:trPr>
          <w:divId w:val="83386483"/>
          <w:trHeight w:val="227"/>
        </w:trPr>
        <w:tc>
          <w:tcPr>
            <w:tcW w:w="2286" w:type="pct"/>
            <w:tcBorders>
              <w:top w:val="nil"/>
              <w:left w:val="nil"/>
              <w:bottom w:val="nil"/>
              <w:right w:val="nil"/>
            </w:tcBorders>
            <w:noWrap/>
            <w:vAlign w:val="bottom"/>
            <w:hideMark/>
          </w:tcPr>
          <w:p w14:paraId="01447901" w14:textId="77777777" w:rsidR="00A74C68" w:rsidRPr="00471CBA" w:rsidRDefault="00A74C68" w:rsidP="00A74C68">
            <w:pPr>
              <w:jc w:val="center"/>
              <w:rPr>
                <w:b/>
                <w:bCs/>
                <w:color w:val="000000"/>
                <w:szCs w:val="20"/>
                <w:lang w:eastAsia="tr-TR"/>
              </w:rPr>
            </w:pPr>
          </w:p>
        </w:tc>
        <w:tc>
          <w:tcPr>
            <w:tcW w:w="1361" w:type="pct"/>
            <w:tcBorders>
              <w:top w:val="nil"/>
              <w:left w:val="nil"/>
              <w:bottom w:val="single" w:sz="4" w:space="0" w:color="auto"/>
              <w:right w:val="nil"/>
            </w:tcBorders>
            <w:vAlign w:val="center"/>
            <w:hideMark/>
          </w:tcPr>
          <w:p w14:paraId="3AE2C852" w14:textId="77777777" w:rsidR="00A74C68" w:rsidRPr="00471CBA" w:rsidRDefault="00A74C68" w:rsidP="00A74C68">
            <w:pPr>
              <w:jc w:val="right"/>
              <w:rPr>
                <w:b/>
                <w:bCs/>
                <w:color w:val="000000"/>
                <w:szCs w:val="20"/>
                <w:lang w:eastAsia="tr-TR"/>
              </w:rPr>
            </w:pPr>
            <w:r w:rsidRPr="00471CBA">
              <w:rPr>
                <w:b/>
                <w:bCs/>
                <w:color w:val="000000"/>
                <w:szCs w:val="20"/>
                <w:lang w:eastAsia="tr-TR"/>
              </w:rPr>
              <w:t>TP</w:t>
            </w:r>
          </w:p>
        </w:tc>
        <w:tc>
          <w:tcPr>
            <w:tcW w:w="1353" w:type="pct"/>
            <w:tcBorders>
              <w:top w:val="nil"/>
              <w:left w:val="nil"/>
              <w:bottom w:val="single" w:sz="4" w:space="0" w:color="auto"/>
              <w:right w:val="nil"/>
            </w:tcBorders>
            <w:noWrap/>
            <w:vAlign w:val="center"/>
            <w:hideMark/>
          </w:tcPr>
          <w:p w14:paraId="292BCB08" w14:textId="77777777" w:rsidR="00A74C68" w:rsidRPr="00471CBA" w:rsidRDefault="00A74C68" w:rsidP="00A74C68">
            <w:pPr>
              <w:jc w:val="right"/>
              <w:rPr>
                <w:b/>
                <w:bCs/>
                <w:color w:val="000000"/>
                <w:szCs w:val="20"/>
                <w:lang w:eastAsia="tr-TR"/>
              </w:rPr>
            </w:pPr>
            <w:r w:rsidRPr="00471CBA">
              <w:rPr>
                <w:b/>
                <w:bCs/>
                <w:color w:val="000000"/>
                <w:szCs w:val="20"/>
                <w:lang w:eastAsia="tr-TR"/>
              </w:rPr>
              <w:t>YP</w:t>
            </w:r>
          </w:p>
        </w:tc>
      </w:tr>
      <w:tr w:rsidR="00A74C68" w:rsidRPr="00471CBA" w14:paraId="1FCE5543" w14:textId="77777777" w:rsidTr="00A74C68">
        <w:trPr>
          <w:divId w:val="83386483"/>
          <w:trHeight w:val="227"/>
        </w:trPr>
        <w:tc>
          <w:tcPr>
            <w:tcW w:w="2286" w:type="pct"/>
            <w:tcBorders>
              <w:top w:val="nil"/>
              <w:left w:val="nil"/>
              <w:bottom w:val="nil"/>
              <w:right w:val="nil"/>
            </w:tcBorders>
            <w:noWrap/>
            <w:vAlign w:val="center"/>
            <w:hideMark/>
          </w:tcPr>
          <w:p w14:paraId="2030C860" w14:textId="77777777" w:rsidR="00A74C68" w:rsidRPr="00471CBA" w:rsidRDefault="00A74C68" w:rsidP="00A74C68">
            <w:pPr>
              <w:jc w:val="right"/>
              <w:rPr>
                <w:b/>
                <w:bCs/>
                <w:color w:val="000000"/>
                <w:szCs w:val="20"/>
                <w:lang w:eastAsia="tr-TR"/>
              </w:rPr>
            </w:pPr>
          </w:p>
        </w:tc>
        <w:tc>
          <w:tcPr>
            <w:tcW w:w="1361" w:type="pct"/>
            <w:tcBorders>
              <w:top w:val="nil"/>
              <w:left w:val="nil"/>
              <w:bottom w:val="nil"/>
              <w:right w:val="nil"/>
            </w:tcBorders>
            <w:vAlign w:val="center"/>
            <w:hideMark/>
          </w:tcPr>
          <w:p w14:paraId="0A83C566" w14:textId="77777777" w:rsidR="00A74C68" w:rsidRPr="00471CBA" w:rsidRDefault="00A74C68" w:rsidP="00A74C68">
            <w:pPr>
              <w:rPr>
                <w:szCs w:val="20"/>
                <w:lang w:eastAsia="tr-TR"/>
              </w:rPr>
            </w:pPr>
          </w:p>
        </w:tc>
        <w:tc>
          <w:tcPr>
            <w:tcW w:w="1353" w:type="pct"/>
            <w:tcBorders>
              <w:top w:val="nil"/>
              <w:left w:val="nil"/>
              <w:bottom w:val="nil"/>
              <w:right w:val="nil"/>
            </w:tcBorders>
            <w:noWrap/>
            <w:vAlign w:val="center"/>
            <w:hideMark/>
          </w:tcPr>
          <w:p w14:paraId="7C388835" w14:textId="77777777" w:rsidR="00A74C68" w:rsidRPr="00471CBA" w:rsidRDefault="00A74C68" w:rsidP="00A74C68">
            <w:pPr>
              <w:jc w:val="right"/>
              <w:rPr>
                <w:szCs w:val="20"/>
                <w:lang w:eastAsia="tr-TR"/>
              </w:rPr>
            </w:pPr>
          </w:p>
        </w:tc>
      </w:tr>
      <w:tr w:rsidR="00A74C68" w:rsidRPr="00471CBA" w14:paraId="0F069DC2" w14:textId="77777777" w:rsidTr="00A74C68">
        <w:trPr>
          <w:divId w:val="83386483"/>
          <w:trHeight w:val="227"/>
        </w:trPr>
        <w:tc>
          <w:tcPr>
            <w:tcW w:w="2286" w:type="pct"/>
            <w:tcBorders>
              <w:top w:val="nil"/>
              <w:left w:val="nil"/>
              <w:bottom w:val="nil"/>
              <w:right w:val="nil"/>
            </w:tcBorders>
            <w:noWrap/>
            <w:vAlign w:val="center"/>
            <w:hideMark/>
          </w:tcPr>
          <w:p w14:paraId="49A9B67E" w14:textId="77777777" w:rsidR="00A74C68" w:rsidRPr="00471CBA" w:rsidRDefault="00A74C68" w:rsidP="00A74C68">
            <w:pPr>
              <w:rPr>
                <w:color w:val="000000"/>
                <w:szCs w:val="20"/>
                <w:lang w:eastAsia="tr-TR"/>
              </w:rPr>
            </w:pPr>
            <w:r w:rsidRPr="00471CBA">
              <w:rPr>
                <w:color w:val="000000"/>
                <w:szCs w:val="20"/>
                <w:lang w:eastAsia="tr-TR"/>
              </w:rPr>
              <w:t>Vadeli İşlemler</w:t>
            </w:r>
          </w:p>
        </w:tc>
        <w:tc>
          <w:tcPr>
            <w:tcW w:w="1361" w:type="pct"/>
            <w:tcBorders>
              <w:top w:val="nil"/>
              <w:left w:val="nil"/>
              <w:bottom w:val="nil"/>
              <w:right w:val="nil"/>
            </w:tcBorders>
            <w:vAlign w:val="center"/>
            <w:hideMark/>
          </w:tcPr>
          <w:p w14:paraId="0ECAE0BC" w14:textId="77777777" w:rsidR="00A74C68" w:rsidRPr="00471CBA" w:rsidRDefault="00A74C68" w:rsidP="00A74C68">
            <w:pPr>
              <w:jc w:val="right"/>
              <w:rPr>
                <w:color w:val="000000"/>
                <w:szCs w:val="20"/>
                <w:lang w:eastAsia="tr-TR"/>
              </w:rPr>
            </w:pPr>
            <w:r w:rsidRPr="00471CBA">
              <w:rPr>
                <w:color w:val="000000"/>
                <w:szCs w:val="20"/>
                <w:lang w:eastAsia="tr-TR"/>
              </w:rPr>
              <w:t>49.294</w:t>
            </w:r>
          </w:p>
        </w:tc>
        <w:tc>
          <w:tcPr>
            <w:tcW w:w="1353" w:type="pct"/>
            <w:tcBorders>
              <w:top w:val="nil"/>
              <w:left w:val="nil"/>
              <w:bottom w:val="nil"/>
              <w:right w:val="nil"/>
            </w:tcBorders>
            <w:vAlign w:val="center"/>
            <w:hideMark/>
          </w:tcPr>
          <w:p w14:paraId="181C416C" w14:textId="77777777" w:rsidR="00A74C68" w:rsidRPr="00471CBA" w:rsidRDefault="00A74C68" w:rsidP="00A74C68">
            <w:pPr>
              <w:jc w:val="right"/>
              <w:rPr>
                <w:color w:val="000000"/>
                <w:szCs w:val="20"/>
                <w:lang w:eastAsia="tr-TR"/>
              </w:rPr>
            </w:pPr>
            <w:r w:rsidRPr="00471CBA">
              <w:rPr>
                <w:color w:val="000000"/>
                <w:szCs w:val="20"/>
                <w:lang w:eastAsia="tr-TR"/>
              </w:rPr>
              <w:t>608.849</w:t>
            </w:r>
          </w:p>
        </w:tc>
      </w:tr>
      <w:tr w:rsidR="00A74C68" w:rsidRPr="00471CBA" w14:paraId="45B62741" w14:textId="77777777" w:rsidTr="00A74C68">
        <w:trPr>
          <w:divId w:val="83386483"/>
          <w:trHeight w:val="227"/>
        </w:trPr>
        <w:tc>
          <w:tcPr>
            <w:tcW w:w="2286" w:type="pct"/>
            <w:tcBorders>
              <w:top w:val="nil"/>
              <w:left w:val="nil"/>
              <w:bottom w:val="nil"/>
              <w:right w:val="nil"/>
            </w:tcBorders>
            <w:noWrap/>
            <w:vAlign w:val="center"/>
            <w:hideMark/>
          </w:tcPr>
          <w:p w14:paraId="0BDEE6EF" w14:textId="77777777" w:rsidR="00A74C68" w:rsidRPr="00471CBA" w:rsidRDefault="00A74C68" w:rsidP="00A74C68">
            <w:pPr>
              <w:rPr>
                <w:color w:val="000000"/>
                <w:szCs w:val="20"/>
                <w:lang w:eastAsia="tr-TR"/>
              </w:rPr>
            </w:pPr>
            <w:r w:rsidRPr="00471CBA">
              <w:rPr>
                <w:color w:val="000000"/>
                <w:szCs w:val="20"/>
                <w:lang w:eastAsia="tr-TR"/>
              </w:rPr>
              <w:t>Swap İşlemleri</w:t>
            </w:r>
          </w:p>
        </w:tc>
        <w:tc>
          <w:tcPr>
            <w:tcW w:w="1361" w:type="pct"/>
            <w:tcBorders>
              <w:top w:val="nil"/>
              <w:left w:val="nil"/>
              <w:bottom w:val="nil"/>
              <w:right w:val="nil"/>
            </w:tcBorders>
            <w:vAlign w:val="center"/>
            <w:hideMark/>
          </w:tcPr>
          <w:p w14:paraId="014E0EEF" w14:textId="77777777" w:rsidR="00A74C68" w:rsidRPr="00471CBA" w:rsidRDefault="00A74C68" w:rsidP="00A74C68">
            <w:pPr>
              <w:jc w:val="right"/>
              <w:rPr>
                <w:color w:val="000000"/>
                <w:szCs w:val="20"/>
                <w:lang w:eastAsia="tr-TR"/>
              </w:rPr>
            </w:pPr>
            <w:r w:rsidRPr="00471CBA">
              <w:rPr>
                <w:color w:val="000000"/>
                <w:szCs w:val="20"/>
                <w:lang w:eastAsia="tr-TR"/>
              </w:rPr>
              <w:t>-</w:t>
            </w:r>
          </w:p>
        </w:tc>
        <w:tc>
          <w:tcPr>
            <w:tcW w:w="1353" w:type="pct"/>
            <w:tcBorders>
              <w:top w:val="nil"/>
              <w:left w:val="nil"/>
              <w:bottom w:val="nil"/>
              <w:right w:val="nil"/>
            </w:tcBorders>
            <w:vAlign w:val="center"/>
            <w:hideMark/>
          </w:tcPr>
          <w:p w14:paraId="2A9F8B77" w14:textId="77777777" w:rsidR="00A74C68" w:rsidRPr="00471CBA" w:rsidRDefault="00A74C68" w:rsidP="00A74C68">
            <w:pPr>
              <w:jc w:val="right"/>
              <w:rPr>
                <w:color w:val="000000"/>
                <w:szCs w:val="20"/>
                <w:lang w:eastAsia="tr-TR"/>
              </w:rPr>
            </w:pPr>
            <w:r w:rsidRPr="00471CBA">
              <w:rPr>
                <w:color w:val="000000"/>
                <w:szCs w:val="20"/>
                <w:lang w:eastAsia="tr-TR"/>
              </w:rPr>
              <w:t>392.544</w:t>
            </w:r>
          </w:p>
        </w:tc>
      </w:tr>
      <w:tr w:rsidR="00A74C68" w:rsidRPr="00471CBA" w14:paraId="6817A6A0" w14:textId="77777777" w:rsidTr="00A74C68">
        <w:trPr>
          <w:divId w:val="83386483"/>
          <w:trHeight w:val="227"/>
        </w:trPr>
        <w:tc>
          <w:tcPr>
            <w:tcW w:w="2286" w:type="pct"/>
            <w:tcBorders>
              <w:top w:val="nil"/>
              <w:left w:val="nil"/>
              <w:bottom w:val="nil"/>
              <w:right w:val="nil"/>
            </w:tcBorders>
            <w:noWrap/>
            <w:vAlign w:val="center"/>
            <w:hideMark/>
          </w:tcPr>
          <w:p w14:paraId="780CB17A" w14:textId="77777777" w:rsidR="00A74C68" w:rsidRPr="00471CBA" w:rsidRDefault="00A74C68" w:rsidP="00A74C68">
            <w:pPr>
              <w:rPr>
                <w:color w:val="000000"/>
                <w:szCs w:val="20"/>
                <w:lang w:eastAsia="tr-TR"/>
              </w:rPr>
            </w:pPr>
            <w:r w:rsidRPr="00471CBA">
              <w:rPr>
                <w:color w:val="000000"/>
                <w:szCs w:val="20"/>
                <w:lang w:eastAsia="tr-TR"/>
              </w:rPr>
              <w:t>Futures İşlemleri</w:t>
            </w:r>
          </w:p>
        </w:tc>
        <w:tc>
          <w:tcPr>
            <w:tcW w:w="1361" w:type="pct"/>
            <w:tcBorders>
              <w:top w:val="nil"/>
              <w:left w:val="nil"/>
              <w:bottom w:val="nil"/>
              <w:right w:val="nil"/>
            </w:tcBorders>
            <w:vAlign w:val="center"/>
            <w:hideMark/>
          </w:tcPr>
          <w:p w14:paraId="1A019B25" w14:textId="77777777" w:rsidR="00A74C68" w:rsidRPr="00471CBA" w:rsidRDefault="00A74C68" w:rsidP="00A74C68">
            <w:pPr>
              <w:jc w:val="right"/>
              <w:rPr>
                <w:color w:val="000000"/>
                <w:szCs w:val="20"/>
                <w:lang w:eastAsia="tr-TR"/>
              </w:rPr>
            </w:pPr>
            <w:r w:rsidRPr="00471CBA">
              <w:rPr>
                <w:color w:val="000000"/>
                <w:szCs w:val="20"/>
                <w:lang w:eastAsia="tr-TR"/>
              </w:rPr>
              <w:t>-</w:t>
            </w:r>
          </w:p>
        </w:tc>
        <w:tc>
          <w:tcPr>
            <w:tcW w:w="1353" w:type="pct"/>
            <w:tcBorders>
              <w:top w:val="nil"/>
              <w:left w:val="nil"/>
              <w:bottom w:val="nil"/>
              <w:right w:val="nil"/>
            </w:tcBorders>
            <w:vAlign w:val="center"/>
            <w:hideMark/>
          </w:tcPr>
          <w:p w14:paraId="4AA99DCD" w14:textId="77777777" w:rsidR="00A74C68" w:rsidRPr="00471CBA" w:rsidRDefault="00A74C68" w:rsidP="00A74C68">
            <w:pPr>
              <w:jc w:val="right"/>
              <w:rPr>
                <w:color w:val="000000"/>
                <w:szCs w:val="20"/>
                <w:lang w:eastAsia="tr-TR"/>
              </w:rPr>
            </w:pPr>
            <w:r w:rsidRPr="00471CBA">
              <w:rPr>
                <w:color w:val="000000"/>
                <w:szCs w:val="20"/>
                <w:lang w:eastAsia="tr-TR"/>
              </w:rPr>
              <w:t>-</w:t>
            </w:r>
          </w:p>
        </w:tc>
      </w:tr>
      <w:tr w:rsidR="00A74C68" w:rsidRPr="00471CBA" w14:paraId="15F653CE" w14:textId="77777777" w:rsidTr="00A74C68">
        <w:trPr>
          <w:divId w:val="83386483"/>
          <w:trHeight w:val="227"/>
        </w:trPr>
        <w:tc>
          <w:tcPr>
            <w:tcW w:w="2286" w:type="pct"/>
            <w:tcBorders>
              <w:top w:val="nil"/>
              <w:left w:val="nil"/>
              <w:bottom w:val="nil"/>
              <w:right w:val="nil"/>
            </w:tcBorders>
            <w:noWrap/>
            <w:vAlign w:val="center"/>
            <w:hideMark/>
          </w:tcPr>
          <w:p w14:paraId="6E602A34" w14:textId="77777777" w:rsidR="00A74C68" w:rsidRPr="00471CBA" w:rsidRDefault="00A74C68" w:rsidP="00A74C68">
            <w:pPr>
              <w:rPr>
                <w:color w:val="000000"/>
                <w:szCs w:val="20"/>
                <w:lang w:eastAsia="tr-TR"/>
              </w:rPr>
            </w:pPr>
            <w:r w:rsidRPr="00471CBA">
              <w:rPr>
                <w:color w:val="000000"/>
                <w:szCs w:val="20"/>
                <w:lang w:eastAsia="tr-TR"/>
              </w:rPr>
              <w:t>Opsiyonlar</w:t>
            </w:r>
          </w:p>
        </w:tc>
        <w:tc>
          <w:tcPr>
            <w:tcW w:w="1361" w:type="pct"/>
            <w:tcBorders>
              <w:top w:val="nil"/>
              <w:left w:val="nil"/>
              <w:bottom w:val="nil"/>
              <w:right w:val="nil"/>
            </w:tcBorders>
            <w:vAlign w:val="center"/>
            <w:hideMark/>
          </w:tcPr>
          <w:p w14:paraId="7A40042C" w14:textId="77777777" w:rsidR="00A74C68" w:rsidRPr="00471CBA" w:rsidRDefault="00A74C68" w:rsidP="00A74C68">
            <w:pPr>
              <w:jc w:val="right"/>
              <w:rPr>
                <w:color w:val="000000"/>
                <w:szCs w:val="20"/>
                <w:lang w:eastAsia="tr-TR"/>
              </w:rPr>
            </w:pPr>
            <w:r w:rsidRPr="00471CBA">
              <w:rPr>
                <w:color w:val="000000"/>
                <w:szCs w:val="20"/>
                <w:lang w:eastAsia="tr-TR"/>
              </w:rPr>
              <w:t>-</w:t>
            </w:r>
          </w:p>
        </w:tc>
        <w:tc>
          <w:tcPr>
            <w:tcW w:w="1353" w:type="pct"/>
            <w:tcBorders>
              <w:top w:val="nil"/>
              <w:left w:val="nil"/>
              <w:bottom w:val="nil"/>
              <w:right w:val="nil"/>
            </w:tcBorders>
            <w:vAlign w:val="center"/>
            <w:hideMark/>
          </w:tcPr>
          <w:p w14:paraId="04ED12C9" w14:textId="77777777" w:rsidR="00A74C68" w:rsidRPr="00471CBA" w:rsidRDefault="00A74C68" w:rsidP="00A74C68">
            <w:pPr>
              <w:jc w:val="right"/>
              <w:rPr>
                <w:color w:val="000000"/>
                <w:szCs w:val="20"/>
                <w:lang w:eastAsia="tr-TR"/>
              </w:rPr>
            </w:pPr>
            <w:r w:rsidRPr="00471CBA">
              <w:rPr>
                <w:color w:val="000000"/>
                <w:szCs w:val="20"/>
                <w:lang w:eastAsia="tr-TR"/>
              </w:rPr>
              <w:t>-</w:t>
            </w:r>
          </w:p>
        </w:tc>
      </w:tr>
      <w:tr w:rsidR="00A74C68" w:rsidRPr="00471CBA" w14:paraId="642B5493" w14:textId="77777777" w:rsidTr="00A74C68">
        <w:trPr>
          <w:divId w:val="83386483"/>
          <w:trHeight w:val="227"/>
        </w:trPr>
        <w:tc>
          <w:tcPr>
            <w:tcW w:w="2286" w:type="pct"/>
            <w:tcBorders>
              <w:top w:val="nil"/>
              <w:left w:val="nil"/>
              <w:bottom w:val="single" w:sz="4" w:space="0" w:color="auto"/>
              <w:right w:val="nil"/>
            </w:tcBorders>
            <w:noWrap/>
            <w:vAlign w:val="center"/>
            <w:hideMark/>
          </w:tcPr>
          <w:p w14:paraId="25F9D4D0" w14:textId="77777777" w:rsidR="00A74C68" w:rsidRPr="00471CBA" w:rsidRDefault="00A74C68" w:rsidP="00A74C68">
            <w:pPr>
              <w:rPr>
                <w:color w:val="000000"/>
                <w:szCs w:val="20"/>
                <w:lang w:eastAsia="tr-TR"/>
              </w:rPr>
            </w:pPr>
            <w:r w:rsidRPr="00471CBA">
              <w:rPr>
                <w:color w:val="000000"/>
                <w:szCs w:val="20"/>
                <w:lang w:eastAsia="tr-TR"/>
              </w:rPr>
              <w:t>Diğer</w:t>
            </w:r>
          </w:p>
        </w:tc>
        <w:tc>
          <w:tcPr>
            <w:tcW w:w="1361" w:type="pct"/>
            <w:tcBorders>
              <w:top w:val="nil"/>
              <w:left w:val="nil"/>
              <w:bottom w:val="single" w:sz="4" w:space="0" w:color="auto"/>
              <w:right w:val="nil"/>
            </w:tcBorders>
            <w:vAlign w:val="center"/>
            <w:hideMark/>
          </w:tcPr>
          <w:p w14:paraId="7C65F445" w14:textId="77777777" w:rsidR="00A74C68" w:rsidRPr="00471CBA" w:rsidRDefault="00A74C68" w:rsidP="00A74C68">
            <w:pPr>
              <w:jc w:val="right"/>
              <w:rPr>
                <w:color w:val="000000"/>
                <w:szCs w:val="20"/>
                <w:lang w:eastAsia="tr-TR"/>
              </w:rPr>
            </w:pPr>
            <w:r w:rsidRPr="00471CBA">
              <w:rPr>
                <w:color w:val="000000"/>
                <w:szCs w:val="20"/>
                <w:lang w:eastAsia="tr-TR"/>
              </w:rPr>
              <w:t>-</w:t>
            </w:r>
          </w:p>
        </w:tc>
        <w:tc>
          <w:tcPr>
            <w:tcW w:w="1353" w:type="pct"/>
            <w:tcBorders>
              <w:top w:val="nil"/>
              <w:left w:val="nil"/>
              <w:bottom w:val="single" w:sz="4" w:space="0" w:color="auto"/>
              <w:right w:val="nil"/>
            </w:tcBorders>
            <w:vAlign w:val="center"/>
            <w:hideMark/>
          </w:tcPr>
          <w:p w14:paraId="6E58EA8F" w14:textId="77777777" w:rsidR="00A74C68" w:rsidRPr="00471CBA" w:rsidRDefault="00A74C68" w:rsidP="00A74C68">
            <w:pPr>
              <w:jc w:val="right"/>
              <w:rPr>
                <w:color w:val="000000"/>
                <w:szCs w:val="20"/>
                <w:lang w:eastAsia="tr-TR"/>
              </w:rPr>
            </w:pPr>
            <w:r w:rsidRPr="00471CBA">
              <w:rPr>
                <w:color w:val="000000"/>
                <w:szCs w:val="20"/>
                <w:lang w:eastAsia="tr-TR"/>
              </w:rPr>
              <w:t>-</w:t>
            </w:r>
          </w:p>
        </w:tc>
      </w:tr>
      <w:tr w:rsidR="00A74C68" w:rsidRPr="00471CBA" w14:paraId="1E6707C5" w14:textId="77777777" w:rsidTr="00A74C68">
        <w:trPr>
          <w:divId w:val="83386483"/>
          <w:trHeight w:val="227"/>
        </w:trPr>
        <w:tc>
          <w:tcPr>
            <w:tcW w:w="2286" w:type="pct"/>
            <w:tcBorders>
              <w:top w:val="nil"/>
              <w:left w:val="nil"/>
              <w:right w:val="nil"/>
            </w:tcBorders>
            <w:noWrap/>
            <w:vAlign w:val="center"/>
            <w:hideMark/>
          </w:tcPr>
          <w:p w14:paraId="6D588981" w14:textId="77777777" w:rsidR="00A74C68" w:rsidRPr="00471CBA" w:rsidRDefault="00A74C68" w:rsidP="00A74C68">
            <w:pPr>
              <w:rPr>
                <w:color w:val="000000"/>
                <w:szCs w:val="20"/>
                <w:lang w:eastAsia="tr-TR"/>
              </w:rPr>
            </w:pPr>
          </w:p>
        </w:tc>
        <w:tc>
          <w:tcPr>
            <w:tcW w:w="1361" w:type="pct"/>
            <w:tcBorders>
              <w:top w:val="nil"/>
              <w:left w:val="nil"/>
              <w:right w:val="nil"/>
            </w:tcBorders>
            <w:vAlign w:val="center"/>
            <w:hideMark/>
          </w:tcPr>
          <w:p w14:paraId="78A00E99" w14:textId="77777777" w:rsidR="00A74C68" w:rsidRPr="00471CBA" w:rsidRDefault="00A74C68" w:rsidP="00A74C68">
            <w:pPr>
              <w:ind w:firstLineChars="200" w:firstLine="400"/>
              <w:rPr>
                <w:szCs w:val="20"/>
                <w:lang w:eastAsia="tr-TR"/>
              </w:rPr>
            </w:pPr>
          </w:p>
        </w:tc>
        <w:tc>
          <w:tcPr>
            <w:tcW w:w="1353" w:type="pct"/>
            <w:tcBorders>
              <w:top w:val="nil"/>
              <w:left w:val="nil"/>
              <w:right w:val="nil"/>
            </w:tcBorders>
            <w:noWrap/>
            <w:vAlign w:val="center"/>
            <w:hideMark/>
          </w:tcPr>
          <w:p w14:paraId="2F5D03C9" w14:textId="77777777" w:rsidR="00A74C68" w:rsidRPr="00471CBA" w:rsidRDefault="00A74C68" w:rsidP="00A74C68">
            <w:pPr>
              <w:jc w:val="right"/>
              <w:rPr>
                <w:szCs w:val="20"/>
                <w:lang w:eastAsia="tr-TR"/>
              </w:rPr>
            </w:pPr>
          </w:p>
        </w:tc>
      </w:tr>
      <w:tr w:rsidR="00A74C68" w:rsidRPr="00471CBA" w14:paraId="2781C954" w14:textId="77777777" w:rsidTr="00A74C68">
        <w:trPr>
          <w:divId w:val="83386483"/>
          <w:trHeight w:val="227"/>
        </w:trPr>
        <w:tc>
          <w:tcPr>
            <w:tcW w:w="2286" w:type="pct"/>
            <w:tcBorders>
              <w:top w:val="nil"/>
              <w:left w:val="nil"/>
              <w:bottom w:val="single" w:sz="8" w:space="0" w:color="auto"/>
              <w:right w:val="nil"/>
            </w:tcBorders>
            <w:noWrap/>
            <w:vAlign w:val="center"/>
            <w:hideMark/>
          </w:tcPr>
          <w:p w14:paraId="71A1CA8F" w14:textId="77777777" w:rsidR="00A74C68" w:rsidRPr="00471CBA" w:rsidRDefault="00A74C68" w:rsidP="00A74C68">
            <w:pPr>
              <w:rPr>
                <w:b/>
                <w:bCs/>
                <w:color w:val="000000"/>
                <w:szCs w:val="20"/>
                <w:lang w:eastAsia="tr-TR"/>
              </w:rPr>
            </w:pPr>
            <w:r w:rsidRPr="00471CBA">
              <w:rPr>
                <w:b/>
                <w:bCs/>
                <w:color w:val="000000"/>
                <w:szCs w:val="20"/>
                <w:lang w:eastAsia="tr-TR"/>
              </w:rPr>
              <w:t>Toplam</w:t>
            </w:r>
          </w:p>
        </w:tc>
        <w:tc>
          <w:tcPr>
            <w:tcW w:w="1361" w:type="pct"/>
            <w:tcBorders>
              <w:top w:val="nil"/>
              <w:left w:val="nil"/>
              <w:bottom w:val="single" w:sz="8" w:space="0" w:color="auto"/>
              <w:right w:val="nil"/>
            </w:tcBorders>
            <w:vAlign w:val="center"/>
            <w:hideMark/>
          </w:tcPr>
          <w:p w14:paraId="66E4C06A" w14:textId="77777777" w:rsidR="00A74C68" w:rsidRPr="00471CBA" w:rsidRDefault="00A74C68" w:rsidP="00A74C68">
            <w:pPr>
              <w:jc w:val="right"/>
              <w:rPr>
                <w:b/>
                <w:bCs/>
                <w:color w:val="000000"/>
                <w:szCs w:val="20"/>
                <w:lang w:eastAsia="tr-TR"/>
              </w:rPr>
            </w:pPr>
            <w:r w:rsidRPr="00471CBA">
              <w:rPr>
                <w:b/>
                <w:bCs/>
                <w:color w:val="000000"/>
                <w:szCs w:val="20"/>
                <w:lang w:eastAsia="tr-TR"/>
              </w:rPr>
              <w:t>49.294</w:t>
            </w:r>
          </w:p>
        </w:tc>
        <w:tc>
          <w:tcPr>
            <w:tcW w:w="1353" w:type="pct"/>
            <w:tcBorders>
              <w:top w:val="nil"/>
              <w:left w:val="nil"/>
              <w:bottom w:val="single" w:sz="8" w:space="0" w:color="auto"/>
              <w:right w:val="nil"/>
            </w:tcBorders>
            <w:vAlign w:val="center"/>
            <w:hideMark/>
          </w:tcPr>
          <w:p w14:paraId="70B69512" w14:textId="77777777" w:rsidR="00A74C68" w:rsidRPr="00471CBA" w:rsidRDefault="00A74C68" w:rsidP="00A74C68">
            <w:pPr>
              <w:jc w:val="right"/>
              <w:rPr>
                <w:b/>
                <w:bCs/>
                <w:color w:val="000000"/>
                <w:szCs w:val="20"/>
                <w:lang w:eastAsia="tr-TR"/>
              </w:rPr>
            </w:pPr>
            <w:r w:rsidRPr="00471CBA">
              <w:rPr>
                <w:b/>
                <w:bCs/>
                <w:color w:val="000000"/>
                <w:szCs w:val="20"/>
                <w:lang w:eastAsia="tr-TR"/>
              </w:rPr>
              <w:t>1.001.393</w:t>
            </w:r>
          </w:p>
        </w:tc>
      </w:tr>
    </w:tbl>
    <w:p w14:paraId="22D82A95" w14:textId="69093CCD" w:rsidR="00615209" w:rsidRPr="00471CBA" w:rsidRDefault="00615209" w:rsidP="00926E19">
      <w:pPr>
        <w:pStyle w:val="GvdeMetniGirintisi"/>
        <w:widowControl w:val="0"/>
        <w:ind w:left="851" w:right="-110" w:hanging="1"/>
        <w:rPr>
          <w:bCs/>
          <w:szCs w:val="20"/>
        </w:rPr>
      </w:pPr>
    </w:p>
    <w:tbl>
      <w:tblPr>
        <w:tblW w:w="5000" w:type="pct"/>
        <w:tblCellMar>
          <w:left w:w="70" w:type="dxa"/>
          <w:right w:w="70" w:type="dxa"/>
        </w:tblCellMar>
        <w:tblLook w:val="04A0" w:firstRow="1" w:lastRow="0" w:firstColumn="1" w:lastColumn="0" w:noHBand="0" w:noVBand="1"/>
      </w:tblPr>
      <w:tblGrid>
        <w:gridCol w:w="4245"/>
        <w:gridCol w:w="2543"/>
        <w:gridCol w:w="2567"/>
      </w:tblGrid>
      <w:tr w:rsidR="000511E0" w:rsidRPr="00471CBA" w14:paraId="240D9A9C" w14:textId="77777777" w:rsidTr="00E311BD">
        <w:trPr>
          <w:trHeight w:val="227"/>
        </w:trPr>
        <w:tc>
          <w:tcPr>
            <w:tcW w:w="2269" w:type="pct"/>
            <w:tcBorders>
              <w:top w:val="nil"/>
              <w:left w:val="nil"/>
              <w:bottom w:val="nil"/>
              <w:right w:val="nil"/>
            </w:tcBorders>
            <w:noWrap/>
            <w:vAlign w:val="bottom"/>
            <w:hideMark/>
          </w:tcPr>
          <w:p w14:paraId="57FDF5B0" w14:textId="77777777" w:rsidR="000511E0" w:rsidRPr="00471CBA" w:rsidRDefault="000511E0" w:rsidP="003D1625">
            <w:pPr>
              <w:rPr>
                <w:szCs w:val="20"/>
                <w:lang w:eastAsia="tr-TR"/>
              </w:rPr>
            </w:pPr>
          </w:p>
        </w:tc>
        <w:tc>
          <w:tcPr>
            <w:tcW w:w="2731" w:type="pct"/>
            <w:gridSpan w:val="2"/>
            <w:tcBorders>
              <w:top w:val="nil"/>
              <w:left w:val="nil"/>
              <w:bottom w:val="single" w:sz="4" w:space="0" w:color="auto"/>
              <w:right w:val="nil"/>
            </w:tcBorders>
            <w:noWrap/>
            <w:vAlign w:val="bottom"/>
            <w:hideMark/>
          </w:tcPr>
          <w:p w14:paraId="2B20CAB7" w14:textId="77777777" w:rsidR="000511E0" w:rsidRPr="00471CBA" w:rsidRDefault="000511E0" w:rsidP="003D1625">
            <w:pPr>
              <w:jc w:val="center"/>
              <w:rPr>
                <w:b/>
                <w:bCs/>
                <w:color w:val="000000"/>
                <w:szCs w:val="20"/>
                <w:lang w:eastAsia="tr-TR"/>
              </w:rPr>
            </w:pPr>
            <w:r w:rsidRPr="00471CBA">
              <w:rPr>
                <w:b/>
                <w:bCs/>
                <w:color w:val="000000"/>
                <w:szCs w:val="20"/>
                <w:lang w:eastAsia="tr-TR"/>
              </w:rPr>
              <w:t>31 Aralık 2024</w:t>
            </w:r>
          </w:p>
        </w:tc>
      </w:tr>
      <w:tr w:rsidR="000511E0" w:rsidRPr="00471CBA" w14:paraId="18AFBBFE" w14:textId="77777777" w:rsidTr="00E311BD">
        <w:trPr>
          <w:trHeight w:val="227"/>
        </w:trPr>
        <w:tc>
          <w:tcPr>
            <w:tcW w:w="2269" w:type="pct"/>
            <w:tcBorders>
              <w:top w:val="nil"/>
              <w:left w:val="nil"/>
              <w:bottom w:val="nil"/>
              <w:right w:val="nil"/>
            </w:tcBorders>
            <w:noWrap/>
            <w:vAlign w:val="bottom"/>
            <w:hideMark/>
          </w:tcPr>
          <w:p w14:paraId="38F11B21" w14:textId="77777777" w:rsidR="000511E0" w:rsidRPr="00471CBA" w:rsidRDefault="000511E0" w:rsidP="003D1625">
            <w:pPr>
              <w:jc w:val="center"/>
              <w:rPr>
                <w:b/>
                <w:bCs/>
                <w:color w:val="000000"/>
                <w:szCs w:val="20"/>
                <w:lang w:eastAsia="tr-TR"/>
              </w:rPr>
            </w:pPr>
          </w:p>
        </w:tc>
        <w:tc>
          <w:tcPr>
            <w:tcW w:w="1359" w:type="pct"/>
            <w:tcBorders>
              <w:top w:val="nil"/>
              <w:left w:val="nil"/>
              <w:bottom w:val="single" w:sz="4" w:space="0" w:color="auto"/>
              <w:right w:val="nil"/>
            </w:tcBorders>
            <w:vAlign w:val="center"/>
            <w:hideMark/>
          </w:tcPr>
          <w:p w14:paraId="3479C31E" w14:textId="77777777" w:rsidR="000511E0" w:rsidRPr="00471CBA" w:rsidRDefault="000511E0" w:rsidP="003D1625">
            <w:pPr>
              <w:jc w:val="right"/>
              <w:rPr>
                <w:b/>
                <w:bCs/>
                <w:color w:val="000000"/>
                <w:szCs w:val="20"/>
                <w:lang w:eastAsia="tr-TR"/>
              </w:rPr>
            </w:pPr>
            <w:r w:rsidRPr="00471CBA">
              <w:rPr>
                <w:b/>
                <w:bCs/>
                <w:color w:val="000000"/>
                <w:szCs w:val="20"/>
                <w:lang w:eastAsia="tr-TR"/>
              </w:rPr>
              <w:t>TP</w:t>
            </w:r>
          </w:p>
        </w:tc>
        <w:tc>
          <w:tcPr>
            <w:tcW w:w="1372" w:type="pct"/>
            <w:tcBorders>
              <w:top w:val="nil"/>
              <w:left w:val="nil"/>
              <w:bottom w:val="single" w:sz="4" w:space="0" w:color="auto"/>
              <w:right w:val="nil"/>
            </w:tcBorders>
            <w:noWrap/>
            <w:vAlign w:val="center"/>
            <w:hideMark/>
          </w:tcPr>
          <w:p w14:paraId="3E3F2D0A" w14:textId="77777777" w:rsidR="000511E0" w:rsidRPr="00471CBA" w:rsidRDefault="000511E0" w:rsidP="003D1625">
            <w:pPr>
              <w:jc w:val="right"/>
              <w:rPr>
                <w:b/>
                <w:bCs/>
                <w:color w:val="000000"/>
                <w:szCs w:val="20"/>
                <w:lang w:eastAsia="tr-TR"/>
              </w:rPr>
            </w:pPr>
            <w:r w:rsidRPr="00471CBA">
              <w:rPr>
                <w:b/>
                <w:bCs/>
                <w:color w:val="000000"/>
                <w:szCs w:val="20"/>
                <w:lang w:eastAsia="tr-TR"/>
              </w:rPr>
              <w:t>YP</w:t>
            </w:r>
          </w:p>
        </w:tc>
      </w:tr>
      <w:tr w:rsidR="000511E0" w:rsidRPr="00471CBA" w14:paraId="0A2BD96C" w14:textId="77777777" w:rsidTr="00E311BD">
        <w:trPr>
          <w:trHeight w:val="227"/>
        </w:trPr>
        <w:tc>
          <w:tcPr>
            <w:tcW w:w="2269" w:type="pct"/>
            <w:tcBorders>
              <w:top w:val="nil"/>
              <w:left w:val="nil"/>
              <w:bottom w:val="nil"/>
              <w:right w:val="nil"/>
            </w:tcBorders>
            <w:noWrap/>
            <w:vAlign w:val="center"/>
            <w:hideMark/>
          </w:tcPr>
          <w:p w14:paraId="28CBAD35" w14:textId="77777777" w:rsidR="000511E0" w:rsidRPr="00471CBA" w:rsidRDefault="000511E0" w:rsidP="003D1625">
            <w:pPr>
              <w:jc w:val="right"/>
              <w:rPr>
                <w:b/>
                <w:bCs/>
                <w:color w:val="000000"/>
                <w:szCs w:val="20"/>
                <w:lang w:eastAsia="tr-TR"/>
              </w:rPr>
            </w:pPr>
          </w:p>
        </w:tc>
        <w:tc>
          <w:tcPr>
            <w:tcW w:w="1359" w:type="pct"/>
            <w:tcBorders>
              <w:top w:val="nil"/>
              <w:left w:val="nil"/>
              <w:bottom w:val="nil"/>
              <w:right w:val="nil"/>
            </w:tcBorders>
            <w:vAlign w:val="center"/>
            <w:hideMark/>
          </w:tcPr>
          <w:p w14:paraId="25FE8A59" w14:textId="77777777" w:rsidR="000511E0" w:rsidRPr="00471CBA" w:rsidRDefault="000511E0" w:rsidP="003D1625">
            <w:pPr>
              <w:jc w:val="right"/>
              <w:rPr>
                <w:szCs w:val="20"/>
                <w:lang w:eastAsia="tr-TR"/>
              </w:rPr>
            </w:pPr>
          </w:p>
        </w:tc>
        <w:tc>
          <w:tcPr>
            <w:tcW w:w="1372" w:type="pct"/>
            <w:tcBorders>
              <w:top w:val="nil"/>
              <w:left w:val="nil"/>
              <w:bottom w:val="nil"/>
              <w:right w:val="nil"/>
            </w:tcBorders>
            <w:noWrap/>
            <w:vAlign w:val="center"/>
            <w:hideMark/>
          </w:tcPr>
          <w:p w14:paraId="310E3C4B" w14:textId="77777777" w:rsidR="000511E0" w:rsidRPr="00471CBA" w:rsidRDefault="000511E0" w:rsidP="003D1625">
            <w:pPr>
              <w:jc w:val="right"/>
              <w:rPr>
                <w:szCs w:val="20"/>
                <w:lang w:eastAsia="tr-TR"/>
              </w:rPr>
            </w:pPr>
          </w:p>
        </w:tc>
      </w:tr>
      <w:tr w:rsidR="000511E0" w:rsidRPr="00471CBA" w14:paraId="5309B9C4" w14:textId="77777777" w:rsidTr="00E311BD">
        <w:trPr>
          <w:trHeight w:val="227"/>
        </w:trPr>
        <w:tc>
          <w:tcPr>
            <w:tcW w:w="2269" w:type="pct"/>
            <w:tcBorders>
              <w:top w:val="nil"/>
              <w:left w:val="nil"/>
              <w:bottom w:val="nil"/>
              <w:right w:val="nil"/>
            </w:tcBorders>
            <w:noWrap/>
            <w:vAlign w:val="center"/>
            <w:hideMark/>
          </w:tcPr>
          <w:p w14:paraId="4F40C559" w14:textId="77777777" w:rsidR="000511E0" w:rsidRPr="00471CBA" w:rsidRDefault="000511E0" w:rsidP="003D1625">
            <w:pPr>
              <w:rPr>
                <w:color w:val="000000"/>
                <w:szCs w:val="20"/>
                <w:lang w:eastAsia="tr-TR"/>
              </w:rPr>
            </w:pPr>
            <w:r w:rsidRPr="00471CBA">
              <w:rPr>
                <w:color w:val="000000"/>
                <w:szCs w:val="20"/>
                <w:lang w:eastAsia="tr-TR"/>
              </w:rPr>
              <w:t>Vadeli İşlemler</w:t>
            </w:r>
          </w:p>
        </w:tc>
        <w:tc>
          <w:tcPr>
            <w:tcW w:w="1359" w:type="pct"/>
            <w:tcBorders>
              <w:top w:val="nil"/>
              <w:left w:val="nil"/>
              <w:bottom w:val="nil"/>
              <w:right w:val="nil"/>
            </w:tcBorders>
            <w:vAlign w:val="center"/>
            <w:hideMark/>
          </w:tcPr>
          <w:p w14:paraId="3D3A0710" w14:textId="77777777" w:rsidR="000511E0" w:rsidRPr="00471CBA" w:rsidRDefault="000511E0" w:rsidP="003D1625">
            <w:pPr>
              <w:jc w:val="right"/>
              <w:rPr>
                <w:color w:val="000000"/>
                <w:szCs w:val="20"/>
                <w:lang w:eastAsia="tr-TR"/>
              </w:rPr>
            </w:pPr>
            <w:r w:rsidRPr="00471CBA">
              <w:rPr>
                <w:color w:val="000000"/>
                <w:szCs w:val="20"/>
                <w:lang w:eastAsia="tr-TR"/>
              </w:rPr>
              <w:t>72</w:t>
            </w:r>
          </w:p>
        </w:tc>
        <w:tc>
          <w:tcPr>
            <w:tcW w:w="1372" w:type="pct"/>
            <w:tcBorders>
              <w:top w:val="nil"/>
              <w:left w:val="nil"/>
              <w:bottom w:val="nil"/>
              <w:right w:val="nil"/>
            </w:tcBorders>
            <w:vAlign w:val="center"/>
            <w:hideMark/>
          </w:tcPr>
          <w:p w14:paraId="762DB871" w14:textId="77777777" w:rsidR="000511E0" w:rsidRPr="00471CBA" w:rsidRDefault="000511E0" w:rsidP="003D1625">
            <w:pPr>
              <w:jc w:val="right"/>
              <w:rPr>
                <w:color w:val="000000"/>
                <w:szCs w:val="20"/>
                <w:lang w:eastAsia="tr-TR"/>
              </w:rPr>
            </w:pPr>
            <w:r w:rsidRPr="00471CBA">
              <w:rPr>
                <w:color w:val="000000"/>
                <w:szCs w:val="20"/>
                <w:lang w:eastAsia="tr-TR"/>
              </w:rPr>
              <w:t>25.797</w:t>
            </w:r>
          </w:p>
        </w:tc>
      </w:tr>
      <w:tr w:rsidR="000511E0" w:rsidRPr="00471CBA" w14:paraId="484074B2" w14:textId="77777777" w:rsidTr="00E311BD">
        <w:trPr>
          <w:trHeight w:val="227"/>
        </w:trPr>
        <w:tc>
          <w:tcPr>
            <w:tcW w:w="2269" w:type="pct"/>
            <w:tcBorders>
              <w:top w:val="nil"/>
              <w:left w:val="nil"/>
              <w:bottom w:val="nil"/>
              <w:right w:val="nil"/>
            </w:tcBorders>
            <w:noWrap/>
            <w:vAlign w:val="center"/>
            <w:hideMark/>
          </w:tcPr>
          <w:p w14:paraId="372871A4" w14:textId="77777777" w:rsidR="000511E0" w:rsidRPr="00471CBA" w:rsidRDefault="000511E0" w:rsidP="003D1625">
            <w:pPr>
              <w:rPr>
                <w:color w:val="000000"/>
                <w:szCs w:val="20"/>
                <w:lang w:eastAsia="tr-TR"/>
              </w:rPr>
            </w:pPr>
            <w:r w:rsidRPr="00471CBA">
              <w:rPr>
                <w:color w:val="000000"/>
                <w:szCs w:val="20"/>
                <w:lang w:eastAsia="tr-TR"/>
              </w:rPr>
              <w:t>Swap İşlemleri</w:t>
            </w:r>
          </w:p>
        </w:tc>
        <w:tc>
          <w:tcPr>
            <w:tcW w:w="1359" w:type="pct"/>
            <w:tcBorders>
              <w:top w:val="nil"/>
              <w:left w:val="nil"/>
              <w:bottom w:val="nil"/>
              <w:right w:val="nil"/>
            </w:tcBorders>
            <w:vAlign w:val="center"/>
            <w:hideMark/>
          </w:tcPr>
          <w:p w14:paraId="5550038C" w14:textId="77777777" w:rsidR="000511E0" w:rsidRPr="00471CBA" w:rsidRDefault="000511E0" w:rsidP="003D1625">
            <w:pPr>
              <w:jc w:val="right"/>
              <w:rPr>
                <w:color w:val="000000"/>
                <w:szCs w:val="20"/>
                <w:lang w:eastAsia="tr-TR"/>
              </w:rPr>
            </w:pPr>
            <w:r w:rsidRPr="00471CBA">
              <w:rPr>
                <w:color w:val="000000"/>
                <w:szCs w:val="20"/>
                <w:lang w:eastAsia="tr-TR"/>
              </w:rPr>
              <w:t>-</w:t>
            </w:r>
          </w:p>
        </w:tc>
        <w:tc>
          <w:tcPr>
            <w:tcW w:w="1372" w:type="pct"/>
            <w:tcBorders>
              <w:top w:val="nil"/>
              <w:left w:val="nil"/>
              <w:bottom w:val="nil"/>
              <w:right w:val="nil"/>
            </w:tcBorders>
            <w:vAlign w:val="center"/>
            <w:hideMark/>
          </w:tcPr>
          <w:p w14:paraId="79A4F463" w14:textId="77777777" w:rsidR="000511E0" w:rsidRPr="00471CBA" w:rsidRDefault="000511E0" w:rsidP="003D1625">
            <w:pPr>
              <w:jc w:val="right"/>
              <w:rPr>
                <w:color w:val="000000"/>
                <w:szCs w:val="20"/>
                <w:lang w:eastAsia="tr-TR"/>
              </w:rPr>
            </w:pPr>
            <w:r w:rsidRPr="00471CBA">
              <w:rPr>
                <w:color w:val="000000"/>
                <w:szCs w:val="20"/>
                <w:lang w:eastAsia="tr-TR"/>
              </w:rPr>
              <w:t>277</w:t>
            </w:r>
          </w:p>
        </w:tc>
      </w:tr>
      <w:tr w:rsidR="000511E0" w:rsidRPr="00471CBA" w14:paraId="58334163" w14:textId="77777777" w:rsidTr="00E311BD">
        <w:trPr>
          <w:trHeight w:val="227"/>
        </w:trPr>
        <w:tc>
          <w:tcPr>
            <w:tcW w:w="2269" w:type="pct"/>
            <w:tcBorders>
              <w:top w:val="nil"/>
              <w:left w:val="nil"/>
              <w:bottom w:val="nil"/>
              <w:right w:val="nil"/>
            </w:tcBorders>
            <w:noWrap/>
            <w:vAlign w:val="center"/>
            <w:hideMark/>
          </w:tcPr>
          <w:p w14:paraId="6BC9BEE2" w14:textId="77777777" w:rsidR="000511E0" w:rsidRPr="00471CBA" w:rsidRDefault="000511E0" w:rsidP="003D1625">
            <w:pPr>
              <w:rPr>
                <w:color w:val="000000"/>
                <w:szCs w:val="20"/>
                <w:lang w:eastAsia="tr-TR"/>
              </w:rPr>
            </w:pPr>
            <w:r w:rsidRPr="00471CBA">
              <w:rPr>
                <w:color w:val="000000"/>
                <w:szCs w:val="20"/>
                <w:lang w:eastAsia="tr-TR"/>
              </w:rPr>
              <w:t>Futures İşlemleri</w:t>
            </w:r>
          </w:p>
        </w:tc>
        <w:tc>
          <w:tcPr>
            <w:tcW w:w="1359" w:type="pct"/>
            <w:tcBorders>
              <w:top w:val="nil"/>
              <w:left w:val="nil"/>
              <w:bottom w:val="nil"/>
              <w:right w:val="nil"/>
            </w:tcBorders>
            <w:vAlign w:val="center"/>
            <w:hideMark/>
          </w:tcPr>
          <w:p w14:paraId="13C04F04" w14:textId="77777777" w:rsidR="000511E0" w:rsidRPr="00471CBA" w:rsidRDefault="000511E0" w:rsidP="003D1625">
            <w:pPr>
              <w:jc w:val="right"/>
              <w:rPr>
                <w:color w:val="000000"/>
                <w:szCs w:val="20"/>
                <w:lang w:eastAsia="tr-TR"/>
              </w:rPr>
            </w:pPr>
            <w:r w:rsidRPr="00471CBA">
              <w:rPr>
                <w:color w:val="000000"/>
                <w:szCs w:val="20"/>
                <w:lang w:eastAsia="tr-TR"/>
              </w:rPr>
              <w:t>-</w:t>
            </w:r>
          </w:p>
        </w:tc>
        <w:tc>
          <w:tcPr>
            <w:tcW w:w="1372" w:type="pct"/>
            <w:tcBorders>
              <w:top w:val="nil"/>
              <w:left w:val="nil"/>
              <w:bottom w:val="nil"/>
              <w:right w:val="nil"/>
            </w:tcBorders>
            <w:vAlign w:val="center"/>
            <w:hideMark/>
          </w:tcPr>
          <w:p w14:paraId="53A41129" w14:textId="77777777" w:rsidR="000511E0" w:rsidRPr="00471CBA" w:rsidRDefault="000511E0" w:rsidP="003D1625">
            <w:pPr>
              <w:jc w:val="right"/>
              <w:rPr>
                <w:color w:val="000000"/>
                <w:szCs w:val="20"/>
                <w:lang w:eastAsia="tr-TR"/>
              </w:rPr>
            </w:pPr>
            <w:r w:rsidRPr="00471CBA">
              <w:rPr>
                <w:color w:val="000000"/>
                <w:szCs w:val="20"/>
                <w:lang w:eastAsia="tr-TR"/>
              </w:rPr>
              <w:t>-</w:t>
            </w:r>
          </w:p>
        </w:tc>
      </w:tr>
      <w:tr w:rsidR="000511E0" w:rsidRPr="00471CBA" w14:paraId="5773FA3E" w14:textId="77777777" w:rsidTr="00E311BD">
        <w:trPr>
          <w:trHeight w:val="227"/>
        </w:trPr>
        <w:tc>
          <w:tcPr>
            <w:tcW w:w="2269" w:type="pct"/>
            <w:tcBorders>
              <w:top w:val="nil"/>
              <w:left w:val="nil"/>
              <w:bottom w:val="nil"/>
              <w:right w:val="nil"/>
            </w:tcBorders>
            <w:noWrap/>
            <w:vAlign w:val="center"/>
            <w:hideMark/>
          </w:tcPr>
          <w:p w14:paraId="41605798" w14:textId="77777777" w:rsidR="000511E0" w:rsidRPr="00471CBA" w:rsidRDefault="000511E0" w:rsidP="003D1625">
            <w:pPr>
              <w:rPr>
                <w:color w:val="000000"/>
                <w:szCs w:val="20"/>
                <w:lang w:eastAsia="tr-TR"/>
              </w:rPr>
            </w:pPr>
            <w:r w:rsidRPr="00471CBA">
              <w:rPr>
                <w:color w:val="000000"/>
                <w:szCs w:val="20"/>
                <w:lang w:eastAsia="tr-TR"/>
              </w:rPr>
              <w:t>Opsiyonlar</w:t>
            </w:r>
          </w:p>
        </w:tc>
        <w:tc>
          <w:tcPr>
            <w:tcW w:w="1359" w:type="pct"/>
            <w:tcBorders>
              <w:top w:val="nil"/>
              <w:left w:val="nil"/>
              <w:bottom w:val="nil"/>
              <w:right w:val="nil"/>
            </w:tcBorders>
            <w:vAlign w:val="center"/>
            <w:hideMark/>
          </w:tcPr>
          <w:p w14:paraId="29C6C8D3" w14:textId="77777777" w:rsidR="000511E0" w:rsidRPr="00471CBA" w:rsidRDefault="000511E0" w:rsidP="003D1625">
            <w:pPr>
              <w:jc w:val="right"/>
              <w:rPr>
                <w:color w:val="000000"/>
                <w:szCs w:val="20"/>
                <w:lang w:eastAsia="tr-TR"/>
              </w:rPr>
            </w:pPr>
            <w:r w:rsidRPr="00471CBA">
              <w:rPr>
                <w:color w:val="000000"/>
                <w:szCs w:val="20"/>
                <w:lang w:eastAsia="tr-TR"/>
              </w:rPr>
              <w:t>-</w:t>
            </w:r>
          </w:p>
        </w:tc>
        <w:tc>
          <w:tcPr>
            <w:tcW w:w="1372" w:type="pct"/>
            <w:tcBorders>
              <w:top w:val="nil"/>
              <w:left w:val="nil"/>
              <w:bottom w:val="nil"/>
              <w:right w:val="nil"/>
            </w:tcBorders>
            <w:vAlign w:val="center"/>
            <w:hideMark/>
          </w:tcPr>
          <w:p w14:paraId="4A130A03" w14:textId="77777777" w:rsidR="000511E0" w:rsidRPr="00471CBA" w:rsidRDefault="000511E0" w:rsidP="003D1625">
            <w:pPr>
              <w:jc w:val="right"/>
              <w:rPr>
                <w:color w:val="000000"/>
                <w:szCs w:val="20"/>
                <w:lang w:eastAsia="tr-TR"/>
              </w:rPr>
            </w:pPr>
            <w:r w:rsidRPr="00471CBA">
              <w:rPr>
                <w:color w:val="000000"/>
                <w:szCs w:val="20"/>
                <w:lang w:eastAsia="tr-TR"/>
              </w:rPr>
              <w:t>-</w:t>
            </w:r>
          </w:p>
        </w:tc>
      </w:tr>
      <w:tr w:rsidR="000511E0" w:rsidRPr="00471CBA" w14:paraId="4B2A14CF" w14:textId="77777777" w:rsidTr="00E311BD">
        <w:trPr>
          <w:trHeight w:val="227"/>
        </w:trPr>
        <w:tc>
          <w:tcPr>
            <w:tcW w:w="2269" w:type="pct"/>
            <w:tcBorders>
              <w:top w:val="nil"/>
              <w:left w:val="nil"/>
              <w:bottom w:val="single" w:sz="4" w:space="0" w:color="auto"/>
              <w:right w:val="nil"/>
            </w:tcBorders>
            <w:noWrap/>
            <w:vAlign w:val="center"/>
            <w:hideMark/>
          </w:tcPr>
          <w:p w14:paraId="1753FE9B" w14:textId="77777777" w:rsidR="000511E0" w:rsidRPr="00471CBA" w:rsidRDefault="000511E0" w:rsidP="003D1625">
            <w:pPr>
              <w:rPr>
                <w:color w:val="000000"/>
                <w:szCs w:val="20"/>
                <w:lang w:eastAsia="tr-TR"/>
              </w:rPr>
            </w:pPr>
            <w:r w:rsidRPr="00471CBA">
              <w:rPr>
                <w:color w:val="000000"/>
                <w:szCs w:val="20"/>
                <w:lang w:eastAsia="tr-TR"/>
              </w:rPr>
              <w:t>Diğer</w:t>
            </w:r>
          </w:p>
        </w:tc>
        <w:tc>
          <w:tcPr>
            <w:tcW w:w="1359" w:type="pct"/>
            <w:tcBorders>
              <w:top w:val="nil"/>
              <w:left w:val="nil"/>
              <w:bottom w:val="single" w:sz="4" w:space="0" w:color="auto"/>
              <w:right w:val="nil"/>
            </w:tcBorders>
            <w:vAlign w:val="center"/>
            <w:hideMark/>
          </w:tcPr>
          <w:p w14:paraId="38BB29B9" w14:textId="77777777" w:rsidR="000511E0" w:rsidRPr="00471CBA" w:rsidRDefault="000511E0" w:rsidP="003D1625">
            <w:pPr>
              <w:jc w:val="right"/>
              <w:rPr>
                <w:color w:val="000000"/>
                <w:szCs w:val="20"/>
                <w:lang w:eastAsia="tr-TR"/>
              </w:rPr>
            </w:pPr>
            <w:r w:rsidRPr="00471CBA">
              <w:rPr>
                <w:color w:val="000000"/>
                <w:szCs w:val="20"/>
                <w:lang w:eastAsia="tr-TR"/>
              </w:rPr>
              <w:t>-</w:t>
            </w:r>
          </w:p>
        </w:tc>
        <w:tc>
          <w:tcPr>
            <w:tcW w:w="1372" w:type="pct"/>
            <w:tcBorders>
              <w:top w:val="nil"/>
              <w:left w:val="nil"/>
              <w:bottom w:val="single" w:sz="4" w:space="0" w:color="auto"/>
              <w:right w:val="nil"/>
            </w:tcBorders>
            <w:vAlign w:val="center"/>
            <w:hideMark/>
          </w:tcPr>
          <w:p w14:paraId="7F3C6636" w14:textId="77777777" w:rsidR="000511E0" w:rsidRPr="00471CBA" w:rsidRDefault="000511E0" w:rsidP="003D1625">
            <w:pPr>
              <w:jc w:val="right"/>
              <w:rPr>
                <w:color w:val="000000"/>
                <w:szCs w:val="20"/>
                <w:lang w:eastAsia="tr-TR"/>
              </w:rPr>
            </w:pPr>
            <w:r w:rsidRPr="00471CBA">
              <w:rPr>
                <w:color w:val="000000"/>
                <w:szCs w:val="20"/>
                <w:lang w:eastAsia="tr-TR"/>
              </w:rPr>
              <w:t>-</w:t>
            </w:r>
          </w:p>
        </w:tc>
      </w:tr>
      <w:tr w:rsidR="000511E0" w:rsidRPr="00471CBA" w14:paraId="1E16C2E8" w14:textId="77777777" w:rsidTr="00E311BD">
        <w:trPr>
          <w:trHeight w:val="227"/>
        </w:trPr>
        <w:tc>
          <w:tcPr>
            <w:tcW w:w="2269" w:type="pct"/>
            <w:tcBorders>
              <w:top w:val="nil"/>
              <w:left w:val="nil"/>
              <w:right w:val="nil"/>
            </w:tcBorders>
            <w:noWrap/>
            <w:vAlign w:val="center"/>
            <w:hideMark/>
          </w:tcPr>
          <w:p w14:paraId="286D3852" w14:textId="77777777" w:rsidR="000511E0" w:rsidRPr="00471CBA" w:rsidRDefault="000511E0" w:rsidP="003D1625">
            <w:pPr>
              <w:rPr>
                <w:color w:val="000000"/>
                <w:szCs w:val="20"/>
                <w:lang w:eastAsia="tr-TR"/>
              </w:rPr>
            </w:pPr>
          </w:p>
        </w:tc>
        <w:tc>
          <w:tcPr>
            <w:tcW w:w="1359" w:type="pct"/>
            <w:tcBorders>
              <w:top w:val="nil"/>
              <w:left w:val="nil"/>
              <w:right w:val="nil"/>
            </w:tcBorders>
            <w:vAlign w:val="center"/>
            <w:hideMark/>
          </w:tcPr>
          <w:p w14:paraId="6595B461" w14:textId="77777777" w:rsidR="000511E0" w:rsidRPr="00471CBA" w:rsidRDefault="000511E0" w:rsidP="003D1625">
            <w:pPr>
              <w:jc w:val="right"/>
              <w:rPr>
                <w:szCs w:val="20"/>
                <w:lang w:eastAsia="tr-TR"/>
              </w:rPr>
            </w:pPr>
          </w:p>
        </w:tc>
        <w:tc>
          <w:tcPr>
            <w:tcW w:w="1372" w:type="pct"/>
            <w:tcBorders>
              <w:top w:val="nil"/>
              <w:left w:val="nil"/>
              <w:right w:val="nil"/>
            </w:tcBorders>
            <w:noWrap/>
            <w:vAlign w:val="center"/>
            <w:hideMark/>
          </w:tcPr>
          <w:p w14:paraId="3B35E81F" w14:textId="77777777" w:rsidR="000511E0" w:rsidRPr="00471CBA" w:rsidRDefault="000511E0" w:rsidP="003D1625">
            <w:pPr>
              <w:jc w:val="right"/>
              <w:rPr>
                <w:szCs w:val="20"/>
                <w:lang w:eastAsia="tr-TR"/>
              </w:rPr>
            </w:pPr>
          </w:p>
        </w:tc>
      </w:tr>
      <w:tr w:rsidR="000511E0" w:rsidRPr="00471CBA" w14:paraId="59C99122" w14:textId="77777777" w:rsidTr="00E311BD">
        <w:trPr>
          <w:trHeight w:val="227"/>
        </w:trPr>
        <w:tc>
          <w:tcPr>
            <w:tcW w:w="2269" w:type="pct"/>
            <w:tcBorders>
              <w:top w:val="nil"/>
              <w:left w:val="nil"/>
              <w:bottom w:val="single" w:sz="8" w:space="0" w:color="auto"/>
              <w:right w:val="nil"/>
            </w:tcBorders>
            <w:noWrap/>
            <w:vAlign w:val="center"/>
            <w:hideMark/>
          </w:tcPr>
          <w:p w14:paraId="6A40095B" w14:textId="77777777" w:rsidR="000511E0" w:rsidRPr="00471CBA" w:rsidRDefault="000511E0" w:rsidP="003D1625">
            <w:pPr>
              <w:rPr>
                <w:b/>
                <w:bCs/>
                <w:color w:val="000000"/>
                <w:szCs w:val="20"/>
                <w:lang w:eastAsia="tr-TR"/>
              </w:rPr>
            </w:pPr>
            <w:r w:rsidRPr="00471CBA">
              <w:rPr>
                <w:b/>
                <w:bCs/>
                <w:color w:val="000000"/>
                <w:szCs w:val="20"/>
                <w:lang w:eastAsia="tr-TR"/>
              </w:rPr>
              <w:t>Toplam</w:t>
            </w:r>
          </w:p>
        </w:tc>
        <w:tc>
          <w:tcPr>
            <w:tcW w:w="1359" w:type="pct"/>
            <w:tcBorders>
              <w:top w:val="nil"/>
              <w:left w:val="nil"/>
              <w:bottom w:val="single" w:sz="8" w:space="0" w:color="auto"/>
              <w:right w:val="nil"/>
            </w:tcBorders>
            <w:vAlign w:val="center"/>
            <w:hideMark/>
          </w:tcPr>
          <w:p w14:paraId="48193443" w14:textId="77777777" w:rsidR="000511E0" w:rsidRPr="00471CBA" w:rsidRDefault="000511E0" w:rsidP="003D1625">
            <w:pPr>
              <w:jc w:val="right"/>
              <w:rPr>
                <w:b/>
                <w:bCs/>
                <w:color w:val="000000"/>
                <w:szCs w:val="20"/>
                <w:lang w:eastAsia="tr-TR"/>
              </w:rPr>
            </w:pPr>
            <w:r w:rsidRPr="00471CBA">
              <w:rPr>
                <w:b/>
                <w:bCs/>
                <w:color w:val="000000"/>
                <w:szCs w:val="20"/>
                <w:lang w:eastAsia="tr-TR"/>
              </w:rPr>
              <w:t>72</w:t>
            </w:r>
          </w:p>
        </w:tc>
        <w:tc>
          <w:tcPr>
            <w:tcW w:w="1372" w:type="pct"/>
            <w:tcBorders>
              <w:top w:val="nil"/>
              <w:left w:val="nil"/>
              <w:bottom w:val="single" w:sz="8" w:space="0" w:color="auto"/>
              <w:right w:val="nil"/>
            </w:tcBorders>
            <w:vAlign w:val="center"/>
            <w:hideMark/>
          </w:tcPr>
          <w:p w14:paraId="09F6BD51" w14:textId="77777777" w:rsidR="000511E0" w:rsidRPr="00471CBA" w:rsidRDefault="000511E0" w:rsidP="003D1625">
            <w:pPr>
              <w:jc w:val="right"/>
              <w:rPr>
                <w:b/>
                <w:bCs/>
                <w:color w:val="000000"/>
                <w:szCs w:val="20"/>
                <w:lang w:eastAsia="tr-TR"/>
              </w:rPr>
            </w:pPr>
            <w:r w:rsidRPr="00471CBA">
              <w:rPr>
                <w:b/>
                <w:bCs/>
                <w:color w:val="000000"/>
                <w:szCs w:val="20"/>
                <w:lang w:eastAsia="tr-TR"/>
              </w:rPr>
              <w:t>26.074</w:t>
            </w:r>
          </w:p>
        </w:tc>
      </w:tr>
    </w:tbl>
    <w:p w14:paraId="6CA5D59F" w14:textId="77777777" w:rsidR="000511E0" w:rsidRPr="00471CBA" w:rsidRDefault="000511E0" w:rsidP="00926E19">
      <w:pPr>
        <w:pStyle w:val="GvdeMetniGirintisi"/>
        <w:widowControl w:val="0"/>
        <w:ind w:left="851" w:right="-110" w:hanging="1"/>
        <w:rPr>
          <w:bCs/>
          <w:szCs w:val="20"/>
        </w:rPr>
      </w:pPr>
    </w:p>
    <w:p w14:paraId="120FAA2B" w14:textId="77777777" w:rsidR="00CE3509" w:rsidRPr="00471CBA" w:rsidRDefault="00CE3509" w:rsidP="008459A9">
      <w:pPr>
        <w:pStyle w:val="ListeParagraf"/>
        <w:widowControl w:val="0"/>
        <w:numPr>
          <w:ilvl w:val="0"/>
          <w:numId w:val="60"/>
        </w:numPr>
        <w:ind w:left="567" w:hanging="567"/>
        <w:jc w:val="both"/>
        <w:rPr>
          <w:b/>
          <w:szCs w:val="20"/>
        </w:rPr>
      </w:pPr>
      <w:r w:rsidRPr="00471CBA">
        <w:rPr>
          <w:b/>
          <w:szCs w:val="20"/>
        </w:rPr>
        <w:t>Kiralama işlemlerinden yükümlülüklere ilişkin bilgiler (Net):</w:t>
      </w:r>
    </w:p>
    <w:p w14:paraId="2EE7015F" w14:textId="44401242" w:rsidR="00A74C68" w:rsidRPr="00471CBA" w:rsidRDefault="00A74C68" w:rsidP="00FF6583">
      <w:pPr>
        <w:widowControl w:val="0"/>
        <w:ind w:left="180"/>
        <w:jc w:val="both"/>
        <w:rPr>
          <w:szCs w:val="20"/>
        </w:rPr>
      </w:pPr>
    </w:p>
    <w:tbl>
      <w:tblPr>
        <w:tblW w:w="5000" w:type="pct"/>
        <w:tblCellMar>
          <w:left w:w="70" w:type="dxa"/>
          <w:right w:w="70" w:type="dxa"/>
        </w:tblCellMar>
        <w:tblLook w:val="04A0" w:firstRow="1" w:lastRow="0" w:firstColumn="1" w:lastColumn="0" w:noHBand="0" w:noVBand="1"/>
      </w:tblPr>
      <w:tblGrid>
        <w:gridCol w:w="5027"/>
        <w:gridCol w:w="2545"/>
        <w:gridCol w:w="1783"/>
      </w:tblGrid>
      <w:tr w:rsidR="00A74C68" w:rsidRPr="00471CBA" w14:paraId="04F5561A" w14:textId="77777777" w:rsidTr="00A74C68">
        <w:trPr>
          <w:divId w:val="999045048"/>
          <w:trHeight w:val="227"/>
        </w:trPr>
        <w:tc>
          <w:tcPr>
            <w:tcW w:w="1861" w:type="pct"/>
            <w:tcBorders>
              <w:top w:val="nil"/>
              <w:left w:val="nil"/>
              <w:bottom w:val="nil"/>
              <w:right w:val="nil"/>
            </w:tcBorders>
            <w:vAlign w:val="center"/>
            <w:hideMark/>
          </w:tcPr>
          <w:p w14:paraId="393B3B59" w14:textId="6844B52A" w:rsidR="00A74C68" w:rsidRPr="00471CBA" w:rsidRDefault="00A74C68" w:rsidP="00A74C68">
            <w:pPr>
              <w:rPr>
                <w:szCs w:val="20"/>
              </w:rPr>
            </w:pPr>
          </w:p>
        </w:tc>
        <w:tc>
          <w:tcPr>
            <w:tcW w:w="1601" w:type="pct"/>
            <w:gridSpan w:val="2"/>
            <w:tcBorders>
              <w:top w:val="nil"/>
              <w:left w:val="nil"/>
              <w:bottom w:val="single" w:sz="4" w:space="0" w:color="auto"/>
              <w:right w:val="nil"/>
            </w:tcBorders>
            <w:noWrap/>
            <w:vAlign w:val="bottom"/>
            <w:hideMark/>
          </w:tcPr>
          <w:p w14:paraId="306099B4" w14:textId="77777777" w:rsidR="00A74C68" w:rsidRPr="00471CBA" w:rsidRDefault="00A74C68" w:rsidP="00A74C68">
            <w:pPr>
              <w:jc w:val="center"/>
              <w:rPr>
                <w:b/>
                <w:bCs/>
                <w:szCs w:val="20"/>
              </w:rPr>
            </w:pPr>
            <w:r w:rsidRPr="00471CBA">
              <w:rPr>
                <w:b/>
                <w:bCs/>
                <w:szCs w:val="20"/>
              </w:rPr>
              <w:t>31 Aralık 2025</w:t>
            </w:r>
          </w:p>
        </w:tc>
      </w:tr>
      <w:tr w:rsidR="00A74C68" w:rsidRPr="00471CBA" w14:paraId="52728C91" w14:textId="77777777" w:rsidTr="00A74C68">
        <w:trPr>
          <w:divId w:val="999045048"/>
          <w:trHeight w:val="227"/>
        </w:trPr>
        <w:tc>
          <w:tcPr>
            <w:tcW w:w="1861" w:type="pct"/>
            <w:tcBorders>
              <w:top w:val="nil"/>
              <w:left w:val="nil"/>
              <w:bottom w:val="nil"/>
              <w:right w:val="nil"/>
            </w:tcBorders>
            <w:vAlign w:val="center"/>
            <w:hideMark/>
          </w:tcPr>
          <w:p w14:paraId="52F4D067" w14:textId="77777777" w:rsidR="00A74C68" w:rsidRPr="00471CBA" w:rsidRDefault="00A74C68" w:rsidP="00A74C68">
            <w:pPr>
              <w:rPr>
                <w:szCs w:val="20"/>
              </w:rPr>
            </w:pPr>
          </w:p>
        </w:tc>
        <w:tc>
          <w:tcPr>
            <w:tcW w:w="942" w:type="pct"/>
            <w:tcBorders>
              <w:top w:val="nil"/>
              <w:left w:val="nil"/>
              <w:bottom w:val="single" w:sz="4" w:space="0" w:color="auto"/>
              <w:right w:val="nil"/>
            </w:tcBorders>
            <w:noWrap/>
            <w:vAlign w:val="center"/>
            <w:hideMark/>
          </w:tcPr>
          <w:p w14:paraId="14EBD8A9" w14:textId="77777777" w:rsidR="00A74C68" w:rsidRPr="00471CBA" w:rsidRDefault="00A74C68" w:rsidP="00A74C68">
            <w:pPr>
              <w:jc w:val="center"/>
              <w:rPr>
                <w:b/>
                <w:bCs/>
                <w:szCs w:val="20"/>
              </w:rPr>
            </w:pPr>
            <w:r w:rsidRPr="00471CBA">
              <w:rPr>
                <w:b/>
                <w:bCs/>
                <w:szCs w:val="20"/>
              </w:rPr>
              <w:t>TP</w:t>
            </w:r>
          </w:p>
        </w:tc>
        <w:tc>
          <w:tcPr>
            <w:tcW w:w="660" w:type="pct"/>
            <w:tcBorders>
              <w:top w:val="nil"/>
              <w:left w:val="nil"/>
              <w:bottom w:val="single" w:sz="4" w:space="0" w:color="auto"/>
              <w:right w:val="nil"/>
            </w:tcBorders>
            <w:noWrap/>
            <w:vAlign w:val="center"/>
            <w:hideMark/>
          </w:tcPr>
          <w:p w14:paraId="36E38BAF" w14:textId="77777777" w:rsidR="00A74C68" w:rsidRPr="00471CBA" w:rsidRDefault="00A74C68" w:rsidP="00A74C68">
            <w:pPr>
              <w:jc w:val="center"/>
              <w:rPr>
                <w:b/>
                <w:bCs/>
                <w:szCs w:val="20"/>
              </w:rPr>
            </w:pPr>
            <w:r w:rsidRPr="00471CBA">
              <w:rPr>
                <w:b/>
                <w:bCs/>
                <w:szCs w:val="20"/>
              </w:rPr>
              <w:t>YP</w:t>
            </w:r>
          </w:p>
        </w:tc>
      </w:tr>
      <w:tr w:rsidR="00A74C68" w:rsidRPr="00471CBA" w14:paraId="7604DE74" w14:textId="77777777" w:rsidTr="00A74C68">
        <w:trPr>
          <w:divId w:val="999045048"/>
          <w:trHeight w:val="227"/>
        </w:trPr>
        <w:tc>
          <w:tcPr>
            <w:tcW w:w="1861" w:type="pct"/>
            <w:tcBorders>
              <w:top w:val="nil"/>
              <w:left w:val="nil"/>
              <w:bottom w:val="nil"/>
              <w:right w:val="nil"/>
            </w:tcBorders>
            <w:vAlign w:val="center"/>
            <w:hideMark/>
          </w:tcPr>
          <w:p w14:paraId="0F878845" w14:textId="77777777" w:rsidR="00A74C68" w:rsidRPr="00471CBA" w:rsidRDefault="00A74C68" w:rsidP="00A74C68">
            <w:pPr>
              <w:rPr>
                <w:szCs w:val="20"/>
              </w:rPr>
            </w:pPr>
          </w:p>
        </w:tc>
        <w:tc>
          <w:tcPr>
            <w:tcW w:w="942" w:type="pct"/>
            <w:tcBorders>
              <w:top w:val="nil"/>
              <w:left w:val="nil"/>
              <w:bottom w:val="nil"/>
              <w:right w:val="nil"/>
            </w:tcBorders>
            <w:vAlign w:val="center"/>
            <w:hideMark/>
          </w:tcPr>
          <w:p w14:paraId="5D8380A1" w14:textId="77777777" w:rsidR="00A74C68" w:rsidRPr="00471CBA" w:rsidRDefault="00A74C68" w:rsidP="00A74C68">
            <w:pPr>
              <w:rPr>
                <w:szCs w:val="20"/>
              </w:rPr>
            </w:pPr>
          </w:p>
        </w:tc>
        <w:tc>
          <w:tcPr>
            <w:tcW w:w="660" w:type="pct"/>
            <w:tcBorders>
              <w:top w:val="nil"/>
              <w:left w:val="nil"/>
              <w:bottom w:val="nil"/>
              <w:right w:val="nil"/>
            </w:tcBorders>
            <w:vAlign w:val="center"/>
            <w:hideMark/>
          </w:tcPr>
          <w:p w14:paraId="18EA77DB" w14:textId="77777777" w:rsidR="00A74C68" w:rsidRPr="00471CBA" w:rsidRDefault="00A74C68" w:rsidP="00A74C68">
            <w:pPr>
              <w:rPr>
                <w:szCs w:val="20"/>
              </w:rPr>
            </w:pPr>
          </w:p>
        </w:tc>
      </w:tr>
      <w:tr w:rsidR="00A74C68" w:rsidRPr="00471CBA" w14:paraId="442E44DC" w14:textId="77777777" w:rsidTr="00A74C68">
        <w:trPr>
          <w:divId w:val="999045048"/>
          <w:trHeight w:val="227"/>
        </w:trPr>
        <w:tc>
          <w:tcPr>
            <w:tcW w:w="1861" w:type="pct"/>
            <w:tcBorders>
              <w:top w:val="nil"/>
              <w:left w:val="nil"/>
              <w:bottom w:val="nil"/>
              <w:right w:val="nil"/>
            </w:tcBorders>
            <w:vAlign w:val="center"/>
            <w:hideMark/>
          </w:tcPr>
          <w:p w14:paraId="33D6F670" w14:textId="77777777" w:rsidR="00A74C68" w:rsidRPr="00471CBA" w:rsidRDefault="00A74C68" w:rsidP="00A74C68">
            <w:pPr>
              <w:rPr>
                <w:szCs w:val="20"/>
              </w:rPr>
            </w:pPr>
            <w:r w:rsidRPr="00471CBA">
              <w:rPr>
                <w:szCs w:val="20"/>
              </w:rPr>
              <w:t>1 yıldan az</w:t>
            </w:r>
          </w:p>
        </w:tc>
        <w:tc>
          <w:tcPr>
            <w:tcW w:w="942" w:type="pct"/>
            <w:tcBorders>
              <w:top w:val="nil"/>
              <w:left w:val="nil"/>
              <w:bottom w:val="nil"/>
              <w:right w:val="nil"/>
            </w:tcBorders>
            <w:noWrap/>
            <w:vAlign w:val="center"/>
            <w:hideMark/>
          </w:tcPr>
          <w:p w14:paraId="58B8E88C" w14:textId="77777777" w:rsidR="00A74C68" w:rsidRPr="00471CBA" w:rsidRDefault="00A74C68" w:rsidP="00A74C68">
            <w:pPr>
              <w:jc w:val="right"/>
              <w:rPr>
                <w:szCs w:val="20"/>
              </w:rPr>
            </w:pPr>
            <w:r w:rsidRPr="00471CBA">
              <w:rPr>
                <w:szCs w:val="20"/>
              </w:rPr>
              <w:t>14.304</w:t>
            </w:r>
          </w:p>
        </w:tc>
        <w:tc>
          <w:tcPr>
            <w:tcW w:w="660" w:type="pct"/>
            <w:tcBorders>
              <w:top w:val="nil"/>
              <w:left w:val="nil"/>
              <w:bottom w:val="nil"/>
              <w:right w:val="nil"/>
            </w:tcBorders>
            <w:noWrap/>
            <w:vAlign w:val="center"/>
            <w:hideMark/>
          </w:tcPr>
          <w:p w14:paraId="48BE3619" w14:textId="77777777" w:rsidR="00A74C68" w:rsidRPr="00471CBA" w:rsidRDefault="00A74C68" w:rsidP="00A74C68">
            <w:pPr>
              <w:jc w:val="right"/>
              <w:rPr>
                <w:szCs w:val="20"/>
              </w:rPr>
            </w:pPr>
            <w:r w:rsidRPr="00471CBA">
              <w:rPr>
                <w:szCs w:val="20"/>
              </w:rPr>
              <w:t>-</w:t>
            </w:r>
          </w:p>
        </w:tc>
      </w:tr>
      <w:tr w:rsidR="00A74C68" w:rsidRPr="00471CBA" w14:paraId="26849401" w14:textId="77777777" w:rsidTr="00A74C68">
        <w:trPr>
          <w:divId w:val="999045048"/>
          <w:trHeight w:val="227"/>
        </w:trPr>
        <w:tc>
          <w:tcPr>
            <w:tcW w:w="1861" w:type="pct"/>
            <w:tcBorders>
              <w:top w:val="nil"/>
              <w:left w:val="nil"/>
              <w:bottom w:val="nil"/>
              <w:right w:val="nil"/>
            </w:tcBorders>
            <w:vAlign w:val="center"/>
            <w:hideMark/>
          </w:tcPr>
          <w:p w14:paraId="3E14755A" w14:textId="77777777" w:rsidR="00A74C68" w:rsidRPr="00471CBA" w:rsidRDefault="00A74C68" w:rsidP="00A74C68">
            <w:pPr>
              <w:rPr>
                <w:szCs w:val="20"/>
              </w:rPr>
            </w:pPr>
            <w:r w:rsidRPr="00471CBA">
              <w:rPr>
                <w:szCs w:val="20"/>
              </w:rPr>
              <w:t>1-4 yıl arası</w:t>
            </w:r>
          </w:p>
        </w:tc>
        <w:tc>
          <w:tcPr>
            <w:tcW w:w="942" w:type="pct"/>
            <w:tcBorders>
              <w:top w:val="nil"/>
              <w:left w:val="nil"/>
              <w:bottom w:val="nil"/>
              <w:right w:val="nil"/>
            </w:tcBorders>
            <w:noWrap/>
            <w:vAlign w:val="center"/>
            <w:hideMark/>
          </w:tcPr>
          <w:p w14:paraId="31E6D7D6" w14:textId="77777777" w:rsidR="00A74C68" w:rsidRPr="00471CBA" w:rsidRDefault="00A74C68" w:rsidP="00A74C68">
            <w:pPr>
              <w:jc w:val="right"/>
              <w:rPr>
                <w:szCs w:val="20"/>
              </w:rPr>
            </w:pPr>
            <w:r w:rsidRPr="00471CBA">
              <w:rPr>
                <w:szCs w:val="20"/>
              </w:rPr>
              <w:t>104.955</w:t>
            </w:r>
          </w:p>
        </w:tc>
        <w:tc>
          <w:tcPr>
            <w:tcW w:w="660" w:type="pct"/>
            <w:tcBorders>
              <w:top w:val="nil"/>
              <w:left w:val="nil"/>
              <w:bottom w:val="nil"/>
              <w:right w:val="nil"/>
            </w:tcBorders>
            <w:noWrap/>
            <w:vAlign w:val="center"/>
            <w:hideMark/>
          </w:tcPr>
          <w:p w14:paraId="7FF2F3EC" w14:textId="77777777" w:rsidR="00A74C68" w:rsidRPr="00471CBA" w:rsidRDefault="00A74C68" w:rsidP="00A74C68">
            <w:pPr>
              <w:jc w:val="right"/>
              <w:rPr>
                <w:szCs w:val="20"/>
              </w:rPr>
            </w:pPr>
            <w:r w:rsidRPr="00471CBA">
              <w:rPr>
                <w:szCs w:val="20"/>
              </w:rPr>
              <w:t>-</w:t>
            </w:r>
          </w:p>
        </w:tc>
      </w:tr>
      <w:tr w:rsidR="00A74C68" w:rsidRPr="00471CBA" w14:paraId="3049B572" w14:textId="77777777" w:rsidTr="00A74C68">
        <w:trPr>
          <w:divId w:val="999045048"/>
          <w:trHeight w:val="227"/>
        </w:trPr>
        <w:tc>
          <w:tcPr>
            <w:tcW w:w="1861" w:type="pct"/>
            <w:tcBorders>
              <w:top w:val="nil"/>
              <w:left w:val="nil"/>
              <w:bottom w:val="single" w:sz="4" w:space="0" w:color="auto"/>
              <w:right w:val="nil"/>
            </w:tcBorders>
            <w:vAlign w:val="center"/>
            <w:hideMark/>
          </w:tcPr>
          <w:p w14:paraId="472EBA29" w14:textId="77777777" w:rsidR="00A74C68" w:rsidRPr="00471CBA" w:rsidRDefault="00A74C68" w:rsidP="00A74C68">
            <w:pPr>
              <w:rPr>
                <w:szCs w:val="20"/>
              </w:rPr>
            </w:pPr>
            <w:r w:rsidRPr="00471CBA">
              <w:rPr>
                <w:szCs w:val="20"/>
              </w:rPr>
              <w:t>4 yıldan fazla</w:t>
            </w:r>
          </w:p>
        </w:tc>
        <w:tc>
          <w:tcPr>
            <w:tcW w:w="942" w:type="pct"/>
            <w:tcBorders>
              <w:top w:val="nil"/>
              <w:left w:val="nil"/>
              <w:bottom w:val="single" w:sz="4" w:space="0" w:color="auto"/>
              <w:right w:val="nil"/>
            </w:tcBorders>
            <w:noWrap/>
            <w:vAlign w:val="center"/>
            <w:hideMark/>
          </w:tcPr>
          <w:p w14:paraId="66A8A1E4" w14:textId="77777777" w:rsidR="00A74C68" w:rsidRPr="00471CBA" w:rsidRDefault="00A74C68" w:rsidP="00A74C68">
            <w:pPr>
              <w:jc w:val="right"/>
              <w:rPr>
                <w:szCs w:val="20"/>
              </w:rPr>
            </w:pPr>
            <w:r w:rsidRPr="00471CBA">
              <w:rPr>
                <w:szCs w:val="20"/>
              </w:rPr>
              <w:t>100.709</w:t>
            </w:r>
          </w:p>
        </w:tc>
        <w:tc>
          <w:tcPr>
            <w:tcW w:w="660" w:type="pct"/>
            <w:tcBorders>
              <w:top w:val="nil"/>
              <w:left w:val="nil"/>
              <w:bottom w:val="single" w:sz="4" w:space="0" w:color="auto"/>
              <w:right w:val="nil"/>
            </w:tcBorders>
            <w:noWrap/>
            <w:vAlign w:val="center"/>
            <w:hideMark/>
          </w:tcPr>
          <w:p w14:paraId="6E57905A" w14:textId="77777777" w:rsidR="00A74C68" w:rsidRPr="00471CBA" w:rsidRDefault="00A74C68" w:rsidP="00A74C68">
            <w:pPr>
              <w:jc w:val="right"/>
              <w:rPr>
                <w:szCs w:val="20"/>
              </w:rPr>
            </w:pPr>
            <w:r w:rsidRPr="00471CBA">
              <w:rPr>
                <w:szCs w:val="20"/>
              </w:rPr>
              <w:t>-</w:t>
            </w:r>
          </w:p>
        </w:tc>
      </w:tr>
      <w:tr w:rsidR="00A74C68" w:rsidRPr="00471CBA" w14:paraId="49B66E62" w14:textId="77777777" w:rsidTr="00A74C68">
        <w:trPr>
          <w:divId w:val="999045048"/>
          <w:trHeight w:val="227"/>
        </w:trPr>
        <w:tc>
          <w:tcPr>
            <w:tcW w:w="1861" w:type="pct"/>
            <w:tcBorders>
              <w:top w:val="nil"/>
              <w:left w:val="nil"/>
              <w:right w:val="nil"/>
            </w:tcBorders>
            <w:vAlign w:val="center"/>
            <w:hideMark/>
          </w:tcPr>
          <w:p w14:paraId="16C2ADDC" w14:textId="77777777" w:rsidR="00A74C68" w:rsidRPr="00471CBA" w:rsidRDefault="00A74C68" w:rsidP="00A74C68">
            <w:pPr>
              <w:rPr>
                <w:szCs w:val="20"/>
              </w:rPr>
            </w:pPr>
          </w:p>
        </w:tc>
        <w:tc>
          <w:tcPr>
            <w:tcW w:w="942" w:type="pct"/>
            <w:tcBorders>
              <w:top w:val="nil"/>
              <w:left w:val="nil"/>
              <w:right w:val="nil"/>
            </w:tcBorders>
            <w:vAlign w:val="center"/>
            <w:hideMark/>
          </w:tcPr>
          <w:p w14:paraId="4594836C" w14:textId="77777777" w:rsidR="00A74C68" w:rsidRPr="00471CBA" w:rsidRDefault="00A74C68" w:rsidP="00A74C68">
            <w:pPr>
              <w:jc w:val="right"/>
              <w:rPr>
                <w:szCs w:val="20"/>
              </w:rPr>
            </w:pPr>
          </w:p>
        </w:tc>
        <w:tc>
          <w:tcPr>
            <w:tcW w:w="660" w:type="pct"/>
            <w:tcBorders>
              <w:top w:val="nil"/>
              <w:left w:val="nil"/>
              <w:right w:val="nil"/>
            </w:tcBorders>
            <w:vAlign w:val="center"/>
            <w:hideMark/>
          </w:tcPr>
          <w:p w14:paraId="6D82B068" w14:textId="77777777" w:rsidR="00A74C68" w:rsidRPr="00471CBA" w:rsidRDefault="00A74C68" w:rsidP="00A74C68">
            <w:pPr>
              <w:jc w:val="right"/>
              <w:rPr>
                <w:szCs w:val="20"/>
              </w:rPr>
            </w:pPr>
          </w:p>
        </w:tc>
      </w:tr>
      <w:tr w:rsidR="00A74C68" w:rsidRPr="00471CBA" w14:paraId="73DCD3F0" w14:textId="77777777" w:rsidTr="00A74C68">
        <w:trPr>
          <w:divId w:val="999045048"/>
          <w:trHeight w:val="227"/>
        </w:trPr>
        <w:tc>
          <w:tcPr>
            <w:tcW w:w="1861" w:type="pct"/>
            <w:tcBorders>
              <w:top w:val="nil"/>
              <w:left w:val="nil"/>
              <w:bottom w:val="single" w:sz="12" w:space="0" w:color="auto"/>
              <w:right w:val="nil"/>
            </w:tcBorders>
            <w:vAlign w:val="center"/>
            <w:hideMark/>
          </w:tcPr>
          <w:p w14:paraId="76B56EF4" w14:textId="77777777" w:rsidR="00A74C68" w:rsidRPr="00471CBA" w:rsidRDefault="00A74C68" w:rsidP="00A74C68">
            <w:pPr>
              <w:rPr>
                <w:b/>
                <w:bCs/>
                <w:szCs w:val="20"/>
              </w:rPr>
            </w:pPr>
            <w:r w:rsidRPr="00471CBA">
              <w:rPr>
                <w:b/>
                <w:bCs/>
                <w:szCs w:val="20"/>
              </w:rPr>
              <w:t>Toplam</w:t>
            </w:r>
          </w:p>
        </w:tc>
        <w:tc>
          <w:tcPr>
            <w:tcW w:w="942" w:type="pct"/>
            <w:tcBorders>
              <w:top w:val="nil"/>
              <w:left w:val="nil"/>
              <w:bottom w:val="single" w:sz="12" w:space="0" w:color="auto"/>
              <w:right w:val="nil"/>
            </w:tcBorders>
            <w:noWrap/>
            <w:vAlign w:val="center"/>
            <w:hideMark/>
          </w:tcPr>
          <w:p w14:paraId="296E802D" w14:textId="77777777" w:rsidR="00A74C68" w:rsidRPr="00471CBA" w:rsidRDefault="00A74C68" w:rsidP="00A74C68">
            <w:pPr>
              <w:jc w:val="right"/>
              <w:rPr>
                <w:b/>
                <w:bCs/>
                <w:szCs w:val="20"/>
              </w:rPr>
            </w:pPr>
            <w:r w:rsidRPr="00471CBA">
              <w:rPr>
                <w:b/>
                <w:bCs/>
                <w:szCs w:val="20"/>
              </w:rPr>
              <w:t>219.968</w:t>
            </w:r>
          </w:p>
        </w:tc>
        <w:tc>
          <w:tcPr>
            <w:tcW w:w="660" w:type="pct"/>
            <w:tcBorders>
              <w:top w:val="nil"/>
              <w:left w:val="nil"/>
              <w:bottom w:val="single" w:sz="12" w:space="0" w:color="auto"/>
              <w:right w:val="nil"/>
            </w:tcBorders>
            <w:noWrap/>
            <w:vAlign w:val="center"/>
            <w:hideMark/>
          </w:tcPr>
          <w:p w14:paraId="0F3809CE" w14:textId="77777777" w:rsidR="00A74C68" w:rsidRPr="00471CBA" w:rsidRDefault="00A74C68" w:rsidP="00A74C68">
            <w:pPr>
              <w:jc w:val="right"/>
              <w:rPr>
                <w:b/>
                <w:bCs/>
                <w:szCs w:val="20"/>
              </w:rPr>
            </w:pPr>
            <w:r w:rsidRPr="00471CBA">
              <w:rPr>
                <w:b/>
                <w:bCs/>
                <w:szCs w:val="20"/>
              </w:rPr>
              <w:t>-</w:t>
            </w:r>
          </w:p>
        </w:tc>
      </w:tr>
    </w:tbl>
    <w:p w14:paraId="41AFD874" w14:textId="348A99EE" w:rsidR="00CE3509" w:rsidRPr="00471CBA" w:rsidRDefault="00CE3509" w:rsidP="00FF6583">
      <w:pPr>
        <w:widowControl w:val="0"/>
        <w:ind w:left="180"/>
        <w:jc w:val="both"/>
        <w:rPr>
          <w:b/>
          <w:szCs w:val="20"/>
        </w:rPr>
      </w:pPr>
    </w:p>
    <w:tbl>
      <w:tblPr>
        <w:tblW w:w="5000" w:type="pct"/>
        <w:tblCellMar>
          <w:left w:w="70" w:type="dxa"/>
          <w:right w:w="70" w:type="dxa"/>
        </w:tblCellMar>
        <w:tblLook w:val="04A0" w:firstRow="1" w:lastRow="0" w:firstColumn="1" w:lastColumn="0" w:noHBand="0" w:noVBand="1"/>
      </w:tblPr>
      <w:tblGrid>
        <w:gridCol w:w="5125"/>
        <w:gridCol w:w="2004"/>
        <w:gridCol w:w="2226"/>
      </w:tblGrid>
      <w:tr w:rsidR="000511E0" w:rsidRPr="00471CBA" w14:paraId="21C86C33" w14:textId="77777777" w:rsidTr="009209BF">
        <w:trPr>
          <w:trHeight w:val="227"/>
        </w:trPr>
        <w:tc>
          <w:tcPr>
            <w:tcW w:w="2739" w:type="pct"/>
            <w:tcBorders>
              <w:top w:val="nil"/>
              <w:left w:val="nil"/>
              <w:bottom w:val="nil"/>
              <w:right w:val="nil"/>
            </w:tcBorders>
            <w:vAlign w:val="center"/>
            <w:hideMark/>
          </w:tcPr>
          <w:p w14:paraId="1E576453" w14:textId="77777777" w:rsidR="000511E0" w:rsidRPr="00471CBA" w:rsidRDefault="000511E0" w:rsidP="003D1625">
            <w:pPr>
              <w:rPr>
                <w:szCs w:val="20"/>
              </w:rPr>
            </w:pPr>
          </w:p>
        </w:tc>
        <w:tc>
          <w:tcPr>
            <w:tcW w:w="2261" w:type="pct"/>
            <w:gridSpan w:val="2"/>
            <w:tcBorders>
              <w:top w:val="nil"/>
              <w:left w:val="nil"/>
              <w:bottom w:val="single" w:sz="4" w:space="0" w:color="auto"/>
              <w:right w:val="nil"/>
            </w:tcBorders>
            <w:noWrap/>
            <w:vAlign w:val="bottom"/>
            <w:hideMark/>
          </w:tcPr>
          <w:p w14:paraId="2376DB51" w14:textId="77777777" w:rsidR="000511E0" w:rsidRPr="00471CBA" w:rsidRDefault="000511E0" w:rsidP="003D1625">
            <w:pPr>
              <w:jc w:val="center"/>
              <w:rPr>
                <w:b/>
                <w:bCs/>
                <w:szCs w:val="20"/>
              </w:rPr>
            </w:pPr>
            <w:r w:rsidRPr="00471CBA">
              <w:rPr>
                <w:b/>
                <w:bCs/>
                <w:szCs w:val="20"/>
              </w:rPr>
              <w:t>31 Aralık 2024</w:t>
            </w:r>
          </w:p>
        </w:tc>
      </w:tr>
      <w:tr w:rsidR="000511E0" w:rsidRPr="00471CBA" w14:paraId="330598A6" w14:textId="77777777" w:rsidTr="009209BF">
        <w:trPr>
          <w:trHeight w:val="227"/>
        </w:trPr>
        <w:tc>
          <w:tcPr>
            <w:tcW w:w="2739" w:type="pct"/>
            <w:tcBorders>
              <w:top w:val="nil"/>
              <w:left w:val="nil"/>
              <w:bottom w:val="nil"/>
              <w:right w:val="nil"/>
            </w:tcBorders>
            <w:vAlign w:val="center"/>
            <w:hideMark/>
          </w:tcPr>
          <w:p w14:paraId="20EB95BB" w14:textId="77777777" w:rsidR="000511E0" w:rsidRPr="00471CBA" w:rsidRDefault="000511E0" w:rsidP="003D1625">
            <w:pPr>
              <w:rPr>
                <w:szCs w:val="20"/>
              </w:rPr>
            </w:pPr>
          </w:p>
        </w:tc>
        <w:tc>
          <w:tcPr>
            <w:tcW w:w="1071" w:type="pct"/>
            <w:tcBorders>
              <w:top w:val="nil"/>
              <w:left w:val="nil"/>
              <w:bottom w:val="single" w:sz="4" w:space="0" w:color="auto"/>
              <w:right w:val="nil"/>
            </w:tcBorders>
            <w:vAlign w:val="center"/>
            <w:hideMark/>
          </w:tcPr>
          <w:p w14:paraId="5B161C48" w14:textId="77777777" w:rsidR="000511E0" w:rsidRPr="00471CBA" w:rsidRDefault="000511E0" w:rsidP="003D1625">
            <w:pPr>
              <w:jc w:val="center"/>
              <w:rPr>
                <w:b/>
                <w:bCs/>
                <w:szCs w:val="20"/>
              </w:rPr>
            </w:pPr>
            <w:r w:rsidRPr="00471CBA">
              <w:rPr>
                <w:b/>
                <w:bCs/>
                <w:szCs w:val="20"/>
              </w:rPr>
              <w:t>TP</w:t>
            </w:r>
          </w:p>
        </w:tc>
        <w:tc>
          <w:tcPr>
            <w:tcW w:w="1190" w:type="pct"/>
            <w:tcBorders>
              <w:top w:val="nil"/>
              <w:left w:val="nil"/>
              <w:bottom w:val="single" w:sz="4" w:space="0" w:color="auto"/>
              <w:right w:val="nil"/>
            </w:tcBorders>
            <w:vAlign w:val="center"/>
            <w:hideMark/>
          </w:tcPr>
          <w:p w14:paraId="7A47E413" w14:textId="77777777" w:rsidR="000511E0" w:rsidRPr="00471CBA" w:rsidRDefault="000511E0" w:rsidP="003D1625">
            <w:pPr>
              <w:jc w:val="center"/>
              <w:rPr>
                <w:b/>
                <w:bCs/>
                <w:szCs w:val="20"/>
              </w:rPr>
            </w:pPr>
            <w:r w:rsidRPr="00471CBA">
              <w:rPr>
                <w:b/>
                <w:bCs/>
                <w:szCs w:val="20"/>
              </w:rPr>
              <w:t>YP</w:t>
            </w:r>
          </w:p>
        </w:tc>
      </w:tr>
      <w:tr w:rsidR="000511E0" w:rsidRPr="00471CBA" w14:paraId="0D521BF0" w14:textId="77777777" w:rsidTr="009209BF">
        <w:trPr>
          <w:trHeight w:val="227"/>
        </w:trPr>
        <w:tc>
          <w:tcPr>
            <w:tcW w:w="2739" w:type="pct"/>
            <w:tcBorders>
              <w:top w:val="nil"/>
              <w:left w:val="nil"/>
              <w:bottom w:val="nil"/>
              <w:right w:val="nil"/>
            </w:tcBorders>
            <w:vAlign w:val="center"/>
            <w:hideMark/>
          </w:tcPr>
          <w:p w14:paraId="78BDF9EF" w14:textId="77777777" w:rsidR="000511E0" w:rsidRPr="00471CBA" w:rsidRDefault="000511E0" w:rsidP="003D1625">
            <w:pPr>
              <w:rPr>
                <w:szCs w:val="20"/>
              </w:rPr>
            </w:pPr>
          </w:p>
        </w:tc>
        <w:tc>
          <w:tcPr>
            <w:tcW w:w="1071" w:type="pct"/>
            <w:tcBorders>
              <w:top w:val="nil"/>
              <w:left w:val="nil"/>
              <w:bottom w:val="nil"/>
              <w:right w:val="nil"/>
            </w:tcBorders>
            <w:vAlign w:val="center"/>
            <w:hideMark/>
          </w:tcPr>
          <w:p w14:paraId="3E953327" w14:textId="77777777" w:rsidR="000511E0" w:rsidRPr="00471CBA" w:rsidRDefault="000511E0" w:rsidP="003D1625">
            <w:pPr>
              <w:rPr>
                <w:szCs w:val="20"/>
              </w:rPr>
            </w:pPr>
          </w:p>
        </w:tc>
        <w:tc>
          <w:tcPr>
            <w:tcW w:w="1190" w:type="pct"/>
            <w:tcBorders>
              <w:top w:val="nil"/>
              <w:left w:val="nil"/>
              <w:bottom w:val="nil"/>
              <w:right w:val="nil"/>
            </w:tcBorders>
            <w:vAlign w:val="center"/>
            <w:hideMark/>
          </w:tcPr>
          <w:p w14:paraId="7CD8340F" w14:textId="77777777" w:rsidR="000511E0" w:rsidRPr="00471CBA" w:rsidRDefault="000511E0" w:rsidP="003D1625">
            <w:pPr>
              <w:rPr>
                <w:szCs w:val="20"/>
              </w:rPr>
            </w:pPr>
          </w:p>
        </w:tc>
      </w:tr>
      <w:tr w:rsidR="000511E0" w:rsidRPr="00471CBA" w14:paraId="38804D89" w14:textId="77777777" w:rsidTr="009209BF">
        <w:trPr>
          <w:trHeight w:val="227"/>
        </w:trPr>
        <w:tc>
          <w:tcPr>
            <w:tcW w:w="2739" w:type="pct"/>
            <w:tcBorders>
              <w:top w:val="nil"/>
              <w:left w:val="nil"/>
              <w:bottom w:val="nil"/>
              <w:right w:val="nil"/>
            </w:tcBorders>
            <w:vAlign w:val="center"/>
            <w:hideMark/>
          </w:tcPr>
          <w:p w14:paraId="22067CAA" w14:textId="77777777" w:rsidR="000511E0" w:rsidRPr="00471CBA" w:rsidRDefault="000511E0" w:rsidP="003D1625">
            <w:pPr>
              <w:rPr>
                <w:szCs w:val="20"/>
              </w:rPr>
            </w:pPr>
            <w:r w:rsidRPr="00471CBA">
              <w:rPr>
                <w:szCs w:val="20"/>
              </w:rPr>
              <w:t>1 yıldan az</w:t>
            </w:r>
          </w:p>
        </w:tc>
        <w:tc>
          <w:tcPr>
            <w:tcW w:w="1071" w:type="pct"/>
            <w:tcBorders>
              <w:top w:val="nil"/>
              <w:left w:val="nil"/>
              <w:bottom w:val="nil"/>
              <w:right w:val="nil"/>
            </w:tcBorders>
            <w:noWrap/>
            <w:vAlign w:val="center"/>
            <w:hideMark/>
          </w:tcPr>
          <w:p w14:paraId="5264F41B" w14:textId="77777777" w:rsidR="000511E0" w:rsidRPr="00471CBA" w:rsidRDefault="000511E0" w:rsidP="003D1625">
            <w:pPr>
              <w:jc w:val="right"/>
              <w:rPr>
                <w:szCs w:val="20"/>
              </w:rPr>
            </w:pPr>
            <w:r w:rsidRPr="00471CBA">
              <w:rPr>
                <w:szCs w:val="20"/>
              </w:rPr>
              <w:t>6.515</w:t>
            </w:r>
          </w:p>
        </w:tc>
        <w:tc>
          <w:tcPr>
            <w:tcW w:w="1190" w:type="pct"/>
            <w:tcBorders>
              <w:top w:val="nil"/>
              <w:left w:val="nil"/>
              <w:bottom w:val="nil"/>
              <w:right w:val="nil"/>
            </w:tcBorders>
            <w:noWrap/>
            <w:vAlign w:val="center"/>
            <w:hideMark/>
          </w:tcPr>
          <w:p w14:paraId="05F58F1F" w14:textId="77777777" w:rsidR="000511E0" w:rsidRPr="00471CBA" w:rsidRDefault="000511E0" w:rsidP="003D1625">
            <w:pPr>
              <w:jc w:val="right"/>
              <w:rPr>
                <w:szCs w:val="20"/>
              </w:rPr>
            </w:pPr>
            <w:r w:rsidRPr="00471CBA">
              <w:rPr>
                <w:szCs w:val="20"/>
              </w:rPr>
              <w:t>-</w:t>
            </w:r>
          </w:p>
        </w:tc>
      </w:tr>
      <w:tr w:rsidR="000511E0" w:rsidRPr="00471CBA" w14:paraId="6D070168" w14:textId="77777777" w:rsidTr="009209BF">
        <w:trPr>
          <w:trHeight w:val="227"/>
        </w:trPr>
        <w:tc>
          <w:tcPr>
            <w:tcW w:w="2739" w:type="pct"/>
            <w:tcBorders>
              <w:top w:val="nil"/>
              <w:left w:val="nil"/>
              <w:bottom w:val="nil"/>
              <w:right w:val="nil"/>
            </w:tcBorders>
            <w:vAlign w:val="center"/>
            <w:hideMark/>
          </w:tcPr>
          <w:p w14:paraId="2D2B603B" w14:textId="77777777" w:rsidR="000511E0" w:rsidRPr="00471CBA" w:rsidRDefault="000511E0" w:rsidP="003D1625">
            <w:pPr>
              <w:rPr>
                <w:szCs w:val="20"/>
              </w:rPr>
            </w:pPr>
            <w:r w:rsidRPr="00471CBA">
              <w:rPr>
                <w:szCs w:val="20"/>
              </w:rPr>
              <w:t>1-4 yıl arası</w:t>
            </w:r>
          </w:p>
        </w:tc>
        <w:tc>
          <w:tcPr>
            <w:tcW w:w="1071" w:type="pct"/>
            <w:tcBorders>
              <w:top w:val="nil"/>
              <w:left w:val="nil"/>
              <w:bottom w:val="nil"/>
              <w:right w:val="nil"/>
            </w:tcBorders>
            <w:noWrap/>
            <w:vAlign w:val="center"/>
            <w:hideMark/>
          </w:tcPr>
          <w:p w14:paraId="0CBF5FDC" w14:textId="77777777" w:rsidR="000511E0" w:rsidRPr="00471CBA" w:rsidRDefault="000511E0" w:rsidP="003D1625">
            <w:pPr>
              <w:jc w:val="right"/>
              <w:rPr>
                <w:szCs w:val="20"/>
              </w:rPr>
            </w:pPr>
            <w:r w:rsidRPr="00471CBA">
              <w:rPr>
                <w:szCs w:val="20"/>
              </w:rPr>
              <w:t>50.423</w:t>
            </w:r>
          </w:p>
        </w:tc>
        <w:tc>
          <w:tcPr>
            <w:tcW w:w="1190" w:type="pct"/>
            <w:tcBorders>
              <w:top w:val="nil"/>
              <w:left w:val="nil"/>
              <w:bottom w:val="nil"/>
              <w:right w:val="nil"/>
            </w:tcBorders>
            <w:noWrap/>
            <w:vAlign w:val="center"/>
            <w:hideMark/>
          </w:tcPr>
          <w:p w14:paraId="24CD24BC" w14:textId="77777777" w:rsidR="000511E0" w:rsidRPr="00471CBA" w:rsidRDefault="000511E0" w:rsidP="003D1625">
            <w:pPr>
              <w:jc w:val="right"/>
              <w:rPr>
                <w:szCs w:val="20"/>
              </w:rPr>
            </w:pPr>
            <w:r w:rsidRPr="00471CBA">
              <w:rPr>
                <w:szCs w:val="20"/>
              </w:rPr>
              <w:t>-</w:t>
            </w:r>
          </w:p>
        </w:tc>
      </w:tr>
      <w:tr w:rsidR="000511E0" w:rsidRPr="00471CBA" w14:paraId="66333290" w14:textId="77777777" w:rsidTr="009209BF">
        <w:trPr>
          <w:trHeight w:val="227"/>
        </w:trPr>
        <w:tc>
          <w:tcPr>
            <w:tcW w:w="2739" w:type="pct"/>
            <w:tcBorders>
              <w:top w:val="nil"/>
              <w:left w:val="nil"/>
              <w:bottom w:val="single" w:sz="4" w:space="0" w:color="auto"/>
              <w:right w:val="nil"/>
            </w:tcBorders>
            <w:vAlign w:val="center"/>
            <w:hideMark/>
          </w:tcPr>
          <w:p w14:paraId="40CDED11" w14:textId="77777777" w:rsidR="000511E0" w:rsidRPr="00471CBA" w:rsidRDefault="000511E0" w:rsidP="003D1625">
            <w:pPr>
              <w:rPr>
                <w:szCs w:val="20"/>
              </w:rPr>
            </w:pPr>
            <w:r w:rsidRPr="00471CBA">
              <w:rPr>
                <w:szCs w:val="20"/>
              </w:rPr>
              <w:t>4 yıldan fazla</w:t>
            </w:r>
          </w:p>
        </w:tc>
        <w:tc>
          <w:tcPr>
            <w:tcW w:w="1071" w:type="pct"/>
            <w:tcBorders>
              <w:top w:val="nil"/>
              <w:left w:val="nil"/>
              <w:bottom w:val="single" w:sz="4" w:space="0" w:color="auto"/>
              <w:right w:val="nil"/>
            </w:tcBorders>
            <w:noWrap/>
            <w:vAlign w:val="center"/>
            <w:hideMark/>
          </w:tcPr>
          <w:p w14:paraId="112F1A82" w14:textId="77777777" w:rsidR="000511E0" w:rsidRPr="00471CBA" w:rsidRDefault="000511E0" w:rsidP="003D1625">
            <w:pPr>
              <w:jc w:val="right"/>
              <w:rPr>
                <w:szCs w:val="20"/>
              </w:rPr>
            </w:pPr>
            <w:r w:rsidRPr="00471CBA">
              <w:rPr>
                <w:szCs w:val="20"/>
              </w:rPr>
              <w:t>61.166</w:t>
            </w:r>
          </w:p>
        </w:tc>
        <w:tc>
          <w:tcPr>
            <w:tcW w:w="1190" w:type="pct"/>
            <w:tcBorders>
              <w:top w:val="nil"/>
              <w:left w:val="nil"/>
              <w:bottom w:val="single" w:sz="4" w:space="0" w:color="auto"/>
              <w:right w:val="nil"/>
            </w:tcBorders>
            <w:noWrap/>
            <w:vAlign w:val="center"/>
            <w:hideMark/>
          </w:tcPr>
          <w:p w14:paraId="57189C5B" w14:textId="77777777" w:rsidR="000511E0" w:rsidRPr="00471CBA" w:rsidRDefault="000511E0" w:rsidP="003D1625">
            <w:pPr>
              <w:jc w:val="right"/>
              <w:rPr>
                <w:szCs w:val="20"/>
              </w:rPr>
            </w:pPr>
            <w:r w:rsidRPr="00471CBA">
              <w:rPr>
                <w:szCs w:val="20"/>
              </w:rPr>
              <w:t>-</w:t>
            </w:r>
          </w:p>
        </w:tc>
      </w:tr>
      <w:tr w:rsidR="000511E0" w:rsidRPr="00471CBA" w14:paraId="33490465" w14:textId="77777777" w:rsidTr="009209BF">
        <w:trPr>
          <w:trHeight w:val="227"/>
        </w:trPr>
        <w:tc>
          <w:tcPr>
            <w:tcW w:w="2739" w:type="pct"/>
            <w:tcBorders>
              <w:top w:val="nil"/>
              <w:left w:val="nil"/>
              <w:right w:val="nil"/>
            </w:tcBorders>
            <w:vAlign w:val="center"/>
            <w:hideMark/>
          </w:tcPr>
          <w:p w14:paraId="5527A08B" w14:textId="77777777" w:rsidR="000511E0" w:rsidRPr="00471CBA" w:rsidRDefault="000511E0" w:rsidP="003D1625">
            <w:pPr>
              <w:rPr>
                <w:szCs w:val="20"/>
              </w:rPr>
            </w:pPr>
          </w:p>
        </w:tc>
        <w:tc>
          <w:tcPr>
            <w:tcW w:w="1071" w:type="pct"/>
            <w:tcBorders>
              <w:top w:val="nil"/>
              <w:left w:val="nil"/>
              <w:right w:val="nil"/>
            </w:tcBorders>
            <w:vAlign w:val="center"/>
            <w:hideMark/>
          </w:tcPr>
          <w:p w14:paraId="1C59C326" w14:textId="77777777" w:rsidR="000511E0" w:rsidRPr="00471CBA" w:rsidRDefault="000511E0" w:rsidP="003D1625">
            <w:pPr>
              <w:jc w:val="right"/>
              <w:rPr>
                <w:szCs w:val="20"/>
              </w:rPr>
            </w:pPr>
          </w:p>
        </w:tc>
        <w:tc>
          <w:tcPr>
            <w:tcW w:w="1190" w:type="pct"/>
            <w:tcBorders>
              <w:top w:val="nil"/>
              <w:left w:val="nil"/>
              <w:right w:val="nil"/>
            </w:tcBorders>
            <w:vAlign w:val="center"/>
            <w:hideMark/>
          </w:tcPr>
          <w:p w14:paraId="3AA050D0" w14:textId="77777777" w:rsidR="000511E0" w:rsidRPr="00471CBA" w:rsidRDefault="000511E0" w:rsidP="003D1625">
            <w:pPr>
              <w:jc w:val="right"/>
              <w:rPr>
                <w:szCs w:val="20"/>
              </w:rPr>
            </w:pPr>
          </w:p>
        </w:tc>
      </w:tr>
      <w:tr w:rsidR="000511E0" w:rsidRPr="00471CBA" w14:paraId="1E766C3F" w14:textId="77777777" w:rsidTr="009209BF">
        <w:trPr>
          <w:trHeight w:val="227"/>
        </w:trPr>
        <w:tc>
          <w:tcPr>
            <w:tcW w:w="2739" w:type="pct"/>
            <w:tcBorders>
              <w:top w:val="nil"/>
              <w:left w:val="nil"/>
              <w:bottom w:val="single" w:sz="12" w:space="0" w:color="auto"/>
              <w:right w:val="nil"/>
            </w:tcBorders>
            <w:vAlign w:val="center"/>
            <w:hideMark/>
          </w:tcPr>
          <w:p w14:paraId="133A5F73" w14:textId="77777777" w:rsidR="000511E0" w:rsidRPr="00471CBA" w:rsidRDefault="000511E0" w:rsidP="003D1625">
            <w:pPr>
              <w:rPr>
                <w:b/>
                <w:bCs/>
                <w:szCs w:val="20"/>
              </w:rPr>
            </w:pPr>
            <w:r w:rsidRPr="00471CBA">
              <w:rPr>
                <w:b/>
                <w:bCs/>
                <w:szCs w:val="20"/>
              </w:rPr>
              <w:t>Toplam</w:t>
            </w:r>
          </w:p>
        </w:tc>
        <w:tc>
          <w:tcPr>
            <w:tcW w:w="1071" w:type="pct"/>
            <w:tcBorders>
              <w:top w:val="nil"/>
              <w:left w:val="nil"/>
              <w:bottom w:val="single" w:sz="12" w:space="0" w:color="auto"/>
              <w:right w:val="nil"/>
            </w:tcBorders>
            <w:noWrap/>
            <w:vAlign w:val="center"/>
            <w:hideMark/>
          </w:tcPr>
          <w:p w14:paraId="0E5C4007" w14:textId="77777777" w:rsidR="000511E0" w:rsidRPr="00471CBA" w:rsidRDefault="000511E0" w:rsidP="003D1625">
            <w:pPr>
              <w:jc w:val="right"/>
              <w:rPr>
                <w:b/>
                <w:bCs/>
                <w:szCs w:val="20"/>
              </w:rPr>
            </w:pPr>
            <w:r w:rsidRPr="00471CBA">
              <w:rPr>
                <w:b/>
                <w:bCs/>
                <w:szCs w:val="20"/>
              </w:rPr>
              <w:t>118.104</w:t>
            </w:r>
          </w:p>
        </w:tc>
        <w:tc>
          <w:tcPr>
            <w:tcW w:w="1190" w:type="pct"/>
            <w:tcBorders>
              <w:top w:val="nil"/>
              <w:left w:val="nil"/>
              <w:bottom w:val="single" w:sz="12" w:space="0" w:color="auto"/>
              <w:right w:val="nil"/>
            </w:tcBorders>
            <w:noWrap/>
            <w:vAlign w:val="center"/>
            <w:hideMark/>
          </w:tcPr>
          <w:p w14:paraId="0411159A" w14:textId="77777777" w:rsidR="000511E0" w:rsidRPr="00471CBA" w:rsidRDefault="000511E0" w:rsidP="003D1625">
            <w:pPr>
              <w:jc w:val="right"/>
              <w:rPr>
                <w:b/>
                <w:bCs/>
                <w:szCs w:val="20"/>
              </w:rPr>
            </w:pPr>
            <w:r w:rsidRPr="00471CBA">
              <w:rPr>
                <w:b/>
                <w:bCs/>
                <w:szCs w:val="20"/>
              </w:rPr>
              <w:t>-</w:t>
            </w:r>
          </w:p>
        </w:tc>
      </w:tr>
    </w:tbl>
    <w:p w14:paraId="21897AC1" w14:textId="77777777" w:rsidR="000511E0" w:rsidRPr="00471CBA" w:rsidRDefault="000511E0" w:rsidP="00FF6583">
      <w:pPr>
        <w:widowControl w:val="0"/>
        <w:ind w:left="180"/>
        <w:jc w:val="both"/>
        <w:rPr>
          <w:bCs/>
          <w:szCs w:val="20"/>
        </w:rPr>
      </w:pPr>
    </w:p>
    <w:p w14:paraId="7592988E" w14:textId="5D92EBD5" w:rsidR="007127C0" w:rsidRPr="00471CBA" w:rsidRDefault="007127C0" w:rsidP="008459A9">
      <w:pPr>
        <w:pStyle w:val="xl79"/>
        <w:widowControl w:val="0"/>
        <w:numPr>
          <w:ilvl w:val="0"/>
          <w:numId w:val="60"/>
        </w:numPr>
        <w:pBdr>
          <w:left w:val="none" w:sz="0" w:space="0" w:color="auto"/>
          <w:bottom w:val="none" w:sz="0" w:space="0" w:color="auto"/>
          <w:right w:val="none" w:sz="0" w:space="0" w:color="auto"/>
        </w:pBdr>
        <w:tabs>
          <w:tab w:val="left" w:pos="-1800"/>
        </w:tabs>
        <w:spacing w:before="0" w:beforeAutospacing="0" w:after="0" w:afterAutospacing="0"/>
        <w:ind w:left="567" w:hanging="567"/>
        <w:jc w:val="both"/>
        <w:rPr>
          <w:b/>
          <w:noProof w:val="0"/>
          <w:sz w:val="20"/>
          <w:szCs w:val="20"/>
        </w:rPr>
      </w:pPr>
      <w:r w:rsidRPr="00471CBA">
        <w:rPr>
          <w:b/>
          <w:noProof w:val="0"/>
          <w:sz w:val="20"/>
          <w:szCs w:val="20"/>
        </w:rPr>
        <w:t>Riskten korunma amaçlı türev finansal borçlara ilişkin bilgiler</w:t>
      </w:r>
    </w:p>
    <w:p w14:paraId="054501A9" w14:textId="77777777" w:rsidR="007127C0" w:rsidRPr="00471CBA" w:rsidRDefault="007127C0" w:rsidP="007127C0">
      <w:pPr>
        <w:pStyle w:val="xl79"/>
        <w:widowControl w:val="0"/>
        <w:pBdr>
          <w:left w:val="none" w:sz="0" w:space="0" w:color="auto"/>
          <w:bottom w:val="none" w:sz="0" w:space="0" w:color="auto"/>
          <w:right w:val="none" w:sz="0" w:space="0" w:color="auto"/>
        </w:pBdr>
        <w:tabs>
          <w:tab w:val="left" w:pos="-1800"/>
        </w:tabs>
        <w:spacing w:before="0" w:beforeAutospacing="0" w:after="0" w:afterAutospacing="0"/>
        <w:jc w:val="both"/>
        <w:rPr>
          <w:b/>
          <w:noProof w:val="0"/>
          <w:sz w:val="20"/>
          <w:szCs w:val="20"/>
        </w:rPr>
      </w:pPr>
    </w:p>
    <w:p w14:paraId="6F88624B" w14:textId="2B943057" w:rsidR="00827BED" w:rsidRPr="00471CBA" w:rsidRDefault="005B3DE3" w:rsidP="007127C0">
      <w:pPr>
        <w:pStyle w:val="xl79"/>
        <w:widowControl w:val="0"/>
        <w:pBdr>
          <w:left w:val="none" w:sz="0" w:space="0" w:color="auto"/>
          <w:bottom w:val="none" w:sz="0" w:space="0" w:color="auto"/>
          <w:right w:val="none" w:sz="0" w:space="0" w:color="auto"/>
        </w:pBdr>
        <w:tabs>
          <w:tab w:val="left" w:pos="-1800"/>
        </w:tabs>
        <w:spacing w:before="0" w:beforeAutospacing="0" w:after="0" w:afterAutospacing="0"/>
        <w:ind w:left="851"/>
        <w:jc w:val="both"/>
        <w:rPr>
          <w:bCs/>
          <w:noProof w:val="0"/>
          <w:sz w:val="20"/>
          <w:szCs w:val="20"/>
        </w:rPr>
      </w:pPr>
      <w:r w:rsidRPr="00471CBA">
        <w:rPr>
          <w:bCs/>
          <w:noProof w:val="0"/>
          <w:sz w:val="20"/>
          <w:szCs w:val="20"/>
        </w:rPr>
        <w:t>B</w:t>
      </w:r>
      <w:r w:rsidR="007127C0" w:rsidRPr="00471CBA">
        <w:rPr>
          <w:bCs/>
          <w:noProof w:val="0"/>
          <w:sz w:val="20"/>
          <w:szCs w:val="20"/>
        </w:rPr>
        <w:t>ulunmamaktadır</w:t>
      </w:r>
      <w:r w:rsidR="00AF526A" w:rsidRPr="00471CBA">
        <w:rPr>
          <w:bCs/>
          <w:noProof w:val="0"/>
          <w:sz w:val="20"/>
          <w:szCs w:val="20"/>
        </w:rPr>
        <w:t xml:space="preserve"> (</w:t>
      </w:r>
      <w:r w:rsidR="00EB1812" w:rsidRPr="00471CBA">
        <w:rPr>
          <w:bCs/>
          <w:noProof w:val="0"/>
          <w:sz w:val="20"/>
          <w:szCs w:val="20"/>
        </w:rPr>
        <w:t>31 Aralık 2024</w:t>
      </w:r>
      <w:r w:rsidR="00AF526A" w:rsidRPr="00471CBA">
        <w:rPr>
          <w:bCs/>
          <w:noProof w:val="0"/>
          <w:sz w:val="20"/>
          <w:szCs w:val="20"/>
        </w:rPr>
        <w:t>: Bulunmamaktadır)</w:t>
      </w:r>
      <w:r w:rsidR="007127C0" w:rsidRPr="00471CBA">
        <w:rPr>
          <w:bCs/>
          <w:noProof w:val="0"/>
          <w:sz w:val="20"/>
          <w:szCs w:val="20"/>
        </w:rPr>
        <w:t>.</w:t>
      </w:r>
    </w:p>
    <w:p w14:paraId="4555F042" w14:textId="77777777" w:rsidR="00827BED" w:rsidRPr="00471CBA" w:rsidRDefault="00827BED">
      <w:pPr>
        <w:rPr>
          <w:rFonts w:eastAsia="Arial Unicode MS"/>
          <w:bCs/>
          <w:szCs w:val="20"/>
        </w:rPr>
      </w:pPr>
      <w:r w:rsidRPr="00471CBA">
        <w:rPr>
          <w:bCs/>
          <w:szCs w:val="20"/>
        </w:rPr>
        <w:br w:type="page"/>
      </w:r>
    </w:p>
    <w:p w14:paraId="136C05D5" w14:textId="3C750F83" w:rsidR="00460C38" w:rsidRPr="00471CBA" w:rsidRDefault="00460C38" w:rsidP="00460C38">
      <w:pPr>
        <w:widowControl w:val="0"/>
        <w:spacing w:line="235" w:lineRule="auto"/>
        <w:ind w:left="720" w:hanging="720"/>
        <w:jc w:val="both"/>
        <w:rPr>
          <w:b/>
          <w:szCs w:val="20"/>
        </w:rPr>
      </w:pPr>
      <w:r w:rsidRPr="00471CBA">
        <w:rPr>
          <w:b/>
          <w:szCs w:val="20"/>
        </w:rPr>
        <w:t>KONSOLİDE OLMAYAN FİNANSAL TABLOLARA İLİŞKİN AÇIKLAMA VE DİPNOTLAR (Devamı)</w:t>
      </w:r>
    </w:p>
    <w:p w14:paraId="32286C42" w14:textId="77777777" w:rsidR="00460C38" w:rsidRPr="00471CBA" w:rsidRDefault="00460C38" w:rsidP="00460C38">
      <w:pPr>
        <w:widowControl w:val="0"/>
        <w:spacing w:line="235" w:lineRule="auto"/>
        <w:ind w:left="851" w:hanging="851"/>
        <w:jc w:val="both"/>
        <w:rPr>
          <w:b/>
          <w:szCs w:val="20"/>
        </w:rPr>
      </w:pPr>
    </w:p>
    <w:p w14:paraId="53CDFC70" w14:textId="77777777" w:rsidR="00460C38" w:rsidRPr="00471CBA" w:rsidRDefault="00460C38" w:rsidP="00A52751">
      <w:pPr>
        <w:widowControl w:val="0"/>
        <w:spacing w:line="235" w:lineRule="auto"/>
        <w:ind w:left="567" w:hanging="567"/>
        <w:jc w:val="both"/>
        <w:rPr>
          <w:b/>
          <w:szCs w:val="20"/>
        </w:rPr>
      </w:pPr>
      <w:r w:rsidRPr="00471CBA">
        <w:rPr>
          <w:b/>
          <w:szCs w:val="20"/>
        </w:rPr>
        <w:t>II.</w:t>
      </w:r>
      <w:r w:rsidRPr="00471CBA">
        <w:rPr>
          <w:b/>
          <w:szCs w:val="20"/>
        </w:rPr>
        <w:tab/>
        <w:t>BİLANÇONUN PASİF HESAPLARINA İLİŞKİN AÇIKLAMA VE DİPNOTLAR (Devamı)</w:t>
      </w:r>
    </w:p>
    <w:p w14:paraId="6D69EB12" w14:textId="77777777" w:rsidR="00460C38" w:rsidRPr="00471CBA" w:rsidRDefault="00460C38">
      <w:pPr>
        <w:rPr>
          <w:rFonts w:eastAsia="Arial Unicode MS"/>
          <w:b/>
          <w:szCs w:val="20"/>
        </w:rPr>
      </w:pPr>
    </w:p>
    <w:p w14:paraId="0D9A3E43" w14:textId="639C9174" w:rsidR="001C459E" w:rsidRPr="00471CBA" w:rsidRDefault="001C459E" w:rsidP="008459A9">
      <w:pPr>
        <w:pStyle w:val="xl79"/>
        <w:widowControl w:val="0"/>
        <w:numPr>
          <w:ilvl w:val="0"/>
          <w:numId w:val="60"/>
        </w:numPr>
        <w:pBdr>
          <w:left w:val="none" w:sz="0" w:space="0" w:color="auto"/>
          <w:bottom w:val="none" w:sz="0" w:space="0" w:color="auto"/>
          <w:right w:val="none" w:sz="0" w:space="0" w:color="auto"/>
        </w:pBdr>
        <w:tabs>
          <w:tab w:val="left" w:pos="-1800"/>
        </w:tabs>
        <w:spacing w:before="0" w:beforeAutospacing="0" w:after="0" w:afterAutospacing="0"/>
        <w:ind w:left="567" w:hanging="567"/>
        <w:jc w:val="both"/>
        <w:rPr>
          <w:b/>
          <w:noProof w:val="0"/>
          <w:sz w:val="20"/>
          <w:szCs w:val="20"/>
        </w:rPr>
      </w:pPr>
      <w:r w:rsidRPr="00471CBA">
        <w:rPr>
          <w:b/>
          <w:noProof w:val="0"/>
          <w:sz w:val="20"/>
          <w:szCs w:val="20"/>
        </w:rPr>
        <w:t>Karşılıklara ilişkin açıklamalar</w:t>
      </w:r>
    </w:p>
    <w:p w14:paraId="10D0372D" w14:textId="4A501C65" w:rsidR="001C459E" w:rsidRPr="00471CBA" w:rsidRDefault="001C459E" w:rsidP="001C459E">
      <w:pPr>
        <w:pStyle w:val="xl79"/>
        <w:widowControl w:val="0"/>
        <w:pBdr>
          <w:left w:val="none" w:sz="0" w:space="0" w:color="auto"/>
          <w:bottom w:val="none" w:sz="0" w:space="0" w:color="auto"/>
          <w:right w:val="none" w:sz="0" w:space="0" w:color="auto"/>
        </w:pBdr>
        <w:tabs>
          <w:tab w:val="left" w:pos="-1800"/>
        </w:tabs>
        <w:spacing w:before="0" w:beforeAutospacing="0" w:after="0" w:afterAutospacing="0"/>
        <w:jc w:val="both"/>
        <w:rPr>
          <w:b/>
          <w:noProof w:val="0"/>
          <w:sz w:val="20"/>
          <w:szCs w:val="20"/>
        </w:rPr>
      </w:pPr>
    </w:p>
    <w:p w14:paraId="152C6C78" w14:textId="1DE2CD17" w:rsidR="001C459E" w:rsidRPr="00471CBA" w:rsidRDefault="001C459E" w:rsidP="00A52751">
      <w:pPr>
        <w:pStyle w:val="BASLIK2"/>
        <w:numPr>
          <w:ilvl w:val="1"/>
          <w:numId w:val="40"/>
        </w:numPr>
        <w:spacing w:before="0" w:after="0" w:line="240" w:lineRule="auto"/>
        <w:ind w:left="567" w:hanging="567"/>
        <w:rPr>
          <w:sz w:val="20"/>
          <w:szCs w:val="20"/>
        </w:rPr>
      </w:pPr>
      <w:r w:rsidRPr="00471CBA">
        <w:rPr>
          <w:sz w:val="20"/>
          <w:szCs w:val="20"/>
        </w:rPr>
        <w:t xml:space="preserve">Genel karşılıklara ilişkin bilgiler </w:t>
      </w:r>
    </w:p>
    <w:p w14:paraId="0BA8A1AA" w14:textId="5FE96CE2" w:rsidR="00FF2C6B" w:rsidRPr="00471CBA" w:rsidRDefault="00FF2C6B" w:rsidP="00EB13B2"/>
    <w:tbl>
      <w:tblPr>
        <w:tblW w:w="5000" w:type="pct"/>
        <w:tblCellMar>
          <w:left w:w="70" w:type="dxa"/>
          <w:right w:w="70" w:type="dxa"/>
        </w:tblCellMar>
        <w:tblLook w:val="04A0" w:firstRow="1" w:lastRow="0" w:firstColumn="1" w:lastColumn="0" w:noHBand="0" w:noVBand="1"/>
      </w:tblPr>
      <w:tblGrid>
        <w:gridCol w:w="5645"/>
        <w:gridCol w:w="1744"/>
        <w:gridCol w:w="1966"/>
      </w:tblGrid>
      <w:tr w:rsidR="000161F6" w:rsidRPr="00471CBA" w14:paraId="275A702A" w14:textId="77777777" w:rsidTr="000161F6">
        <w:trPr>
          <w:divId w:val="374045024"/>
          <w:trHeight w:val="227"/>
        </w:trPr>
        <w:tc>
          <w:tcPr>
            <w:tcW w:w="3017" w:type="pct"/>
            <w:tcBorders>
              <w:top w:val="nil"/>
              <w:left w:val="nil"/>
              <w:bottom w:val="nil"/>
              <w:right w:val="nil"/>
            </w:tcBorders>
            <w:hideMark/>
          </w:tcPr>
          <w:p w14:paraId="71116230" w14:textId="78DE8531" w:rsidR="000161F6" w:rsidRPr="00471CBA" w:rsidRDefault="000161F6" w:rsidP="00FF2C6B">
            <w:pPr>
              <w:rPr>
                <w:szCs w:val="20"/>
                <w:lang w:eastAsia="tr-TR"/>
              </w:rPr>
            </w:pPr>
          </w:p>
        </w:tc>
        <w:tc>
          <w:tcPr>
            <w:tcW w:w="1983" w:type="pct"/>
            <w:gridSpan w:val="2"/>
            <w:tcBorders>
              <w:top w:val="nil"/>
              <w:left w:val="nil"/>
              <w:bottom w:val="single" w:sz="4" w:space="0" w:color="auto"/>
              <w:right w:val="nil"/>
            </w:tcBorders>
            <w:noWrap/>
            <w:vAlign w:val="bottom"/>
            <w:hideMark/>
          </w:tcPr>
          <w:p w14:paraId="29F7ED61" w14:textId="77777777" w:rsidR="000161F6" w:rsidRPr="00471CBA" w:rsidRDefault="000161F6" w:rsidP="00FF2C6B">
            <w:pPr>
              <w:jc w:val="center"/>
              <w:rPr>
                <w:b/>
                <w:bCs/>
                <w:color w:val="000000"/>
                <w:szCs w:val="20"/>
                <w:lang w:eastAsia="tr-TR"/>
              </w:rPr>
            </w:pPr>
            <w:r w:rsidRPr="00471CBA">
              <w:rPr>
                <w:b/>
                <w:bCs/>
                <w:color w:val="000000"/>
                <w:szCs w:val="20"/>
                <w:lang w:eastAsia="tr-TR"/>
              </w:rPr>
              <w:t>31 Aralık 2024</w:t>
            </w:r>
          </w:p>
        </w:tc>
      </w:tr>
      <w:tr w:rsidR="000161F6" w:rsidRPr="00471CBA" w14:paraId="006F65E3" w14:textId="77777777" w:rsidTr="000161F6">
        <w:trPr>
          <w:divId w:val="374045024"/>
          <w:trHeight w:val="227"/>
        </w:trPr>
        <w:tc>
          <w:tcPr>
            <w:tcW w:w="3017" w:type="pct"/>
            <w:tcBorders>
              <w:top w:val="nil"/>
              <w:left w:val="nil"/>
              <w:bottom w:val="single" w:sz="4" w:space="0" w:color="auto"/>
              <w:right w:val="nil"/>
            </w:tcBorders>
            <w:vAlign w:val="center"/>
            <w:hideMark/>
          </w:tcPr>
          <w:p w14:paraId="538DD180" w14:textId="77777777" w:rsidR="000161F6" w:rsidRPr="00471CBA" w:rsidRDefault="000161F6" w:rsidP="00FF2C6B">
            <w:pPr>
              <w:rPr>
                <w:color w:val="000000"/>
                <w:szCs w:val="20"/>
                <w:lang w:eastAsia="tr-TR"/>
              </w:rPr>
            </w:pPr>
            <w:r w:rsidRPr="00471CBA">
              <w:rPr>
                <w:color w:val="000000"/>
                <w:szCs w:val="20"/>
                <w:lang w:eastAsia="tr-TR"/>
              </w:rPr>
              <w:t> </w:t>
            </w:r>
          </w:p>
        </w:tc>
        <w:tc>
          <w:tcPr>
            <w:tcW w:w="932" w:type="pct"/>
            <w:tcBorders>
              <w:top w:val="single" w:sz="4" w:space="0" w:color="auto"/>
              <w:left w:val="nil"/>
              <w:bottom w:val="single" w:sz="4" w:space="0" w:color="auto"/>
              <w:right w:val="nil"/>
            </w:tcBorders>
            <w:vAlign w:val="center"/>
            <w:hideMark/>
          </w:tcPr>
          <w:p w14:paraId="77B9E35B" w14:textId="77777777" w:rsidR="000161F6" w:rsidRPr="00471CBA" w:rsidRDefault="000161F6" w:rsidP="00FF2C6B">
            <w:pPr>
              <w:jc w:val="right"/>
              <w:rPr>
                <w:b/>
                <w:bCs/>
                <w:color w:val="000000"/>
                <w:szCs w:val="20"/>
                <w:lang w:eastAsia="tr-TR"/>
              </w:rPr>
            </w:pPr>
            <w:r w:rsidRPr="00471CBA">
              <w:rPr>
                <w:b/>
                <w:bCs/>
                <w:color w:val="000000"/>
                <w:szCs w:val="20"/>
                <w:lang w:eastAsia="tr-TR"/>
              </w:rPr>
              <w:t>TP</w:t>
            </w:r>
          </w:p>
        </w:tc>
        <w:tc>
          <w:tcPr>
            <w:tcW w:w="1051" w:type="pct"/>
            <w:tcBorders>
              <w:top w:val="single" w:sz="4" w:space="0" w:color="auto"/>
              <w:left w:val="nil"/>
              <w:bottom w:val="single" w:sz="4" w:space="0" w:color="auto"/>
              <w:right w:val="nil"/>
            </w:tcBorders>
            <w:vAlign w:val="center"/>
            <w:hideMark/>
          </w:tcPr>
          <w:p w14:paraId="31540C7A" w14:textId="77777777" w:rsidR="000161F6" w:rsidRPr="00471CBA" w:rsidRDefault="000161F6" w:rsidP="00FF2C6B">
            <w:pPr>
              <w:jc w:val="right"/>
              <w:rPr>
                <w:b/>
                <w:bCs/>
                <w:color w:val="000000"/>
                <w:szCs w:val="20"/>
                <w:lang w:eastAsia="tr-TR"/>
              </w:rPr>
            </w:pPr>
            <w:r w:rsidRPr="00471CBA">
              <w:rPr>
                <w:b/>
                <w:bCs/>
                <w:color w:val="000000"/>
                <w:szCs w:val="20"/>
                <w:lang w:eastAsia="tr-TR"/>
              </w:rPr>
              <w:t>YP</w:t>
            </w:r>
          </w:p>
        </w:tc>
      </w:tr>
      <w:tr w:rsidR="000161F6" w:rsidRPr="00471CBA" w14:paraId="36DD673B" w14:textId="77777777" w:rsidTr="000161F6">
        <w:trPr>
          <w:divId w:val="374045024"/>
          <w:trHeight w:val="227"/>
        </w:trPr>
        <w:tc>
          <w:tcPr>
            <w:tcW w:w="3017" w:type="pct"/>
            <w:tcBorders>
              <w:top w:val="nil"/>
              <w:left w:val="nil"/>
              <w:bottom w:val="nil"/>
              <w:right w:val="nil"/>
            </w:tcBorders>
            <w:vAlign w:val="center"/>
            <w:hideMark/>
          </w:tcPr>
          <w:p w14:paraId="4CA46678" w14:textId="77777777" w:rsidR="000161F6" w:rsidRPr="00471CBA" w:rsidRDefault="000161F6" w:rsidP="00FF2C6B">
            <w:pPr>
              <w:jc w:val="right"/>
              <w:rPr>
                <w:b/>
                <w:bCs/>
                <w:color w:val="000000"/>
                <w:szCs w:val="20"/>
                <w:lang w:eastAsia="tr-TR"/>
              </w:rPr>
            </w:pPr>
          </w:p>
        </w:tc>
        <w:tc>
          <w:tcPr>
            <w:tcW w:w="932" w:type="pct"/>
            <w:tcBorders>
              <w:top w:val="nil"/>
              <w:left w:val="nil"/>
              <w:bottom w:val="nil"/>
              <w:right w:val="nil"/>
            </w:tcBorders>
            <w:vAlign w:val="center"/>
            <w:hideMark/>
          </w:tcPr>
          <w:p w14:paraId="26E405D5" w14:textId="77777777" w:rsidR="000161F6" w:rsidRPr="00471CBA" w:rsidRDefault="000161F6" w:rsidP="00FF2C6B">
            <w:pPr>
              <w:jc w:val="right"/>
              <w:rPr>
                <w:szCs w:val="20"/>
                <w:lang w:eastAsia="tr-TR"/>
              </w:rPr>
            </w:pPr>
          </w:p>
        </w:tc>
        <w:tc>
          <w:tcPr>
            <w:tcW w:w="1051" w:type="pct"/>
            <w:tcBorders>
              <w:top w:val="nil"/>
              <w:left w:val="nil"/>
              <w:bottom w:val="nil"/>
              <w:right w:val="nil"/>
            </w:tcBorders>
            <w:vAlign w:val="center"/>
            <w:hideMark/>
          </w:tcPr>
          <w:p w14:paraId="14C0788D" w14:textId="77777777" w:rsidR="000161F6" w:rsidRPr="00471CBA" w:rsidRDefault="000161F6" w:rsidP="00FF2C6B">
            <w:pPr>
              <w:jc w:val="right"/>
              <w:rPr>
                <w:szCs w:val="20"/>
                <w:lang w:eastAsia="tr-TR"/>
              </w:rPr>
            </w:pPr>
          </w:p>
        </w:tc>
      </w:tr>
      <w:tr w:rsidR="000161F6" w:rsidRPr="00471CBA" w14:paraId="73DE0A30" w14:textId="77777777" w:rsidTr="000161F6">
        <w:trPr>
          <w:divId w:val="374045024"/>
          <w:trHeight w:val="227"/>
        </w:trPr>
        <w:tc>
          <w:tcPr>
            <w:tcW w:w="3017" w:type="pct"/>
            <w:tcBorders>
              <w:top w:val="nil"/>
              <w:left w:val="nil"/>
              <w:bottom w:val="nil"/>
              <w:right w:val="nil"/>
            </w:tcBorders>
            <w:vAlign w:val="center"/>
            <w:hideMark/>
          </w:tcPr>
          <w:p w14:paraId="66CE0A23" w14:textId="77777777" w:rsidR="000161F6" w:rsidRPr="00471CBA" w:rsidRDefault="000161F6" w:rsidP="00FF2C6B">
            <w:r w:rsidRPr="00471CBA">
              <w:t>I. Grup Kredi ve Alacaklar İçin Ayrılanlar</w:t>
            </w:r>
          </w:p>
        </w:tc>
        <w:tc>
          <w:tcPr>
            <w:tcW w:w="932" w:type="pct"/>
            <w:tcBorders>
              <w:top w:val="nil"/>
              <w:left w:val="nil"/>
              <w:bottom w:val="nil"/>
              <w:right w:val="nil"/>
            </w:tcBorders>
            <w:vAlign w:val="center"/>
            <w:hideMark/>
          </w:tcPr>
          <w:p w14:paraId="55D8A7E6" w14:textId="77777777" w:rsidR="000161F6" w:rsidRPr="00471CBA" w:rsidRDefault="000161F6" w:rsidP="00FF2C6B">
            <w:pPr>
              <w:jc w:val="right"/>
              <w:rPr>
                <w:color w:val="000000"/>
                <w:szCs w:val="20"/>
                <w:lang w:eastAsia="tr-TR"/>
              </w:rPr>
            </w:pPr>
            <w:r w:rsidRPr="00471CBA">
              <w:rPr>
                <w:color w:val="000000"/>
                <w:szCs w:val="20"/>
                <w:lang w:eastAsia="tr-TR"/>
              </w:rPr>
              <w:t>214.646</w:t>
            </w:r>
          </w:p>
        </w:tc>
        <w:tc>
          <w:tcPr>
            <w:tcW w:w="1051" w:type="pct"/>
            <w:tcBorders>
              <w:top w:val="nil"/>
              <w:left w:val="nil"/>
              <w:bottom w:val="nil"/>
              <w:right w:val="nil"/>
            </w:tcBorders>
            <w:vAlign w:val="center"/>
            <w:hideMark/>
          </w:tcPr>
          <w:p w14:paraId="73ADF6B2" w14:textId="77777777" w:rsidR="000161F6" w:rsidRPr="00471CBA" w:rsidRDefault="000161F6" w:rsidP="00FF2C6B">
            <w:pPr>
              <w:jc w:val="right"/>
              <w:rPr>
                <w:color w:val="000000"/>
                <w:szCs w:val="20"/>
                <w:lang w:eastAsia="tr-TR"/>
              </w:rPr>
            </w:pPr>
            <w:r w:rsidRPr="00471CBA">
              <w:rPr>
                <w:color w:val="000000"/>
                <w:szCs w:val="20"/>
                <w:lang w:eastAsia="tr-TR"/>
              </w:rPr>
              <w:t>100.615</w:t>
            </w:r>
          </w:p>
        </w:tc>
      </w:tr>
      <w:tr w:rsidR="000161F6" w:rsidRPr="00471CBA" w14:paraId="365F13B8" w14:textId="77777777" w:rsidTr="000161F6">
        <w:trPr>
          <w:divId w:val="374045024"/>
          <w:trHeight w:val="227"/>
        </w:trPr>
        <w:tc>
          <w:tcPr>
            <w:tcW w:w="3017" w:type="pct"/>
            <w:tcBorders>
              <w:top w:val="nil"/>
              <w:left w:val="nil"/>
              <w:bottom w:val="nil"/>
              <w:right w:val="nil"/>
            </w:tcBorders>
            <w:vAlign w:val="center"/>
            <w:hideMark/>
          </w:tcPr>
          <w:p w14:paraId="2839D9A3" w14:textId="77777777" w:rsidR="000161F6" w:rsidRPr="00471CBA" w:rsidRDefault="000161F6" w:rsidP="00FF2C6B">
            <w:r w:rsidRPr="00471CBA">
              <w:t>II. Grup Kredi ve Alacaklar İçin Ayrılanlar</w:t>
            </w:r>
          </w:p>
        </w:tc>
        <w:tc>
          <w:tcPr>
            <w:tcW w:w="932" w:type="pct"/>
            <w:tcBorders>
              <w:top w:val="nil"/>
              <w:left w:val="nil"/>
              <w:bottom w:val="nil"/>
              <w:right w:val="nil"/>
            </w:tcBorders>
            <w:vAlign w:val="center"/>
            <w:hideMark/>
          </w:tcPr>
          <w:p w14:paraId="62F1F7EA" w14:textId="77777777" w:rsidR="000161F6" w:rsidRPr="00471CBA" w:rsidRDefault="000161F6" w:rsidP="00FF2C6B">
            <w:pPr>
              <w:jc w:val="right"/>
              <w:rPr>
                <w:color w:val="000000"/>
                <w:szCs w:val="20"/>
                <w:lang w:eastAsia="tr-TR"/>
              </w:rPr>
            </w:pPr>
            <w:r w:rsidRPr="00471CBA">
              <w:rPr>
                <w:color w:val="000000"/>
                <w:szCs w:val="20"/>
                <w:lang w:eastAsia="tr-TR"/>
              </w:rPr>
              <w:t>-</w:t>
            </w:r>
          </w:p>
        </w:tc>
        <w:tc>
          <w:tcPr>
            <w:tcW w:w="1051" w:type="pct"/>
            <w:tcBorders>
              <w:top w:val="nil"/>
              <w:left w:val="nil"/>
              <w:bottom w:val="nil"/>
              <w:right w:val="nil"/>
            </w:tcBorders>
            <w:vAlign w:val="center"/>
            <w:hideMark/>
          </w:tcPr>
          <w:p w14:paraId="77C0B14F" w14:textId="77777777" w:rsidR="000161F6" w:rsidRPr="00471CBA" w:rsidRDefault="000161F6" w:rsidP="00FF2C6B">
            <w:pPr>
              <w:jc w:val="right"/>
              <w:rPr>
                <w:color w:val="000000"/>
                <w:szCs w:val="20"/>
                <w:lang w:eastAsia="tr-TR"/>
              </w:rPr>
            </w:pPr>
            <w:r w:rsidRPr="00471CBA">
              <w:rPr>
                <w:color w:val="000000"/>
                <w:szCs w:val="20"/>
                <w:lang w:eastAsia="tr-TR"/>
              </w:rPr>
              <w:t>-</w:t>
            </w:r>
          </w:p>
        </w:tc>
      </w:tr>
      <w:tr w:rsidR="000161F6" w:rsidRPr="00471CBA" w14:paraId="78C8FBC0" w14:textId="77777777" w:rsidTr="000161F6">
        <w:trPr>
          <w:divId w:val="374045024"/>
          <w:trHeight w:val="227"/>
        </w:trPr>
        <w:tc>
          <w:tcPr>
            <w:tcW w:w="3017" w:type="pct"/>
            <w:tcBorders>
              <w:top w:val="nil"/>
              <w:left w:val="nil"/>
              <w:bottom w:val="single" w:sz="4" w:space="0" w:color="auto"/>
              <w:right w:val="nil"/>
            </w:tcBorders>
            <w:vAlign w:val="center"/>
            <w:hideMark/>
          </w:tcPr>
          <w:p w14:paraId="78844299" w14:textId="77777777" w:rsidR="000161F6" w:rsidRPr="00471CBA" w:rsidRDefault="000161F6" w:rsidP="00FF2C6B">
            <w:proofErr w:type="spellStart"/>
            <w:r w:rsidRPr="00471CBA">
              <w:t>Gayrinakdi</w:t>
            </w:r>
            <w:proofErr w:type="spellEnd"/>
            <w:r w:rsidRPr="00471CBA">
              <w:t xml:space="preserve"> Krediler İçin Ayrılanlar</w:t>
            </w:r>
          </w:p>
        </w:tc>
        <w:tc>
          <w:tcPr>
            <w:tcW w:w="932" w:type="pct"/>
            <w:tcBorders>
              <w:top w:val="nil"/>
              <w:left w:val="nil"/>
              <w:bottom w:val="single" w:sz="4" w:space="0" w:color="auto"/>
              <w:right w:val="nil"/>
            </w:tcBorders>
            <w:vAlign w:val="center"/>
            <w:hideMark/>
          </w:tcPr>
          <w:p w14:paraId="4F6EE787" w14:textId="77777777" w:rsidR="000161F6" w:rsidRPr="00471CBA" w:rsidRDefault="000161F6" w:rsidP="00FF2C6B">
            <w:pPr>
              <w:jc w:val="right"/>
              <w:rPr>
                <w:color w:val="000000"/>
                <w:szCs w:val="20"/>
                <w:lang w:eastAsia="tr-TR"/>
              </w:rPr>
            </w:pPr>
            <w:r w:rsidRPr="00471CBA">
              <w:rPr>
                <w:color w:val="000000"/>
                <w:szCs w:val="20"/>
                <w:lang w:eastAsia="tr-TR"/>
              </w:rPr>
              <w:t>39.277</w:t>
            </w:r>
          </w:p>
        </w:tc>
        <w:tc>
          <w:tcPr>
            <w:tcW w:w="1051" w:type="pct"/>
            <w:tcBorders>
              <w:top w:val="nil"/>
              <w:left w:val="nil"/>
              <w:bottom w:val="single" w:sz="4" w:space="0" w:color="auto"/>
              <w:right w:val="nil"/>
            </w:tcBorders>
            <w:vAlign w:val="center"/>
            <w:hideMark/>
          </w:tcPr>
          <w:p w14:paraId="6CB50D38" w14:textId="77777777" w:rsidR="000161F6" w:rsidRPr="00471CBA" w:rsidRDefault="000161F6" w:rsidP="00FF2C6B">
            <w:pPr>
              <w:jc w:val="right"/>
              <w:rPr>
                <w:color w:val="000000"/>
                <w:szCs w:val="20"/>
                <w:lang w:eastAsia="tr-TR"/>
              </w:rPr>
            </w:pPr>
            <w:r w:rsidRPr="00471CBA">
              <w:rPr>
                <w:color w:val="000000"/>
                <w:szCs w:val="20"/>
                <w:lang w:eastAsia="tr-TR"/>
              </w:rPr>
              <w:t>15.397</w:t>
            </w:r>
          </w:p>
        </w:tc>
      </w:tr>
      <w:tr w:rsidR="000161F6" w:rsidRPr="00471CBA" w14:paraId="7A49DC92" w14:textId="77777777" w:rsidTr="000161F6">
        <w:trPr>
          <w:divId w:val="374045024"/>
          <w:trHeight w:val="227"/>
        </w:trPr>
        <w:tc>
          <w:tcPr>
            <w:tcW w:w="3017" w:type="pct"/>
            <w:tcBorders>
              <w:top w:val="nil"/>
              <w:left w:val="nil"/>
              <w:bottom w:val="nil"/>
              <w:right w:val="nil"/>
            </w:tcBorders>
            <w:vAlign w:val="center"/>
            <w:hideMark/>
          </w:tcPr>
          <w:p w14:paraId="516EEFDB" w14:textId="77777777" w:rsidR="000161F6" w:rsidRPr="00471CBA" w:rsidRDefault="000161F6" w:rsidP="00FF2C6B">
            <w:pPr>
              <w:rPr>
                <w:color w:val="000000"/>
                <w:szCs w:val="20"/>
                <w:lang w:eastAsia="tr-TR"/>
              </w:rPr>
            </w:pPr>
          </w:p>
        </w:tc>
        <w:tc>
          <w:tcPr>
            <w:tcW w:w="932" w:type="pct"/>
            <w:tcBorders>
              <w:top w:val="nil"/>
              <w:left w:val="nil"/>
              <w:bottom w:val="nil"/>
              <w:right w:val="nil"/>
            </w:tcBorders>
            <w:vAlign w:val="center"/>
            <w:hideMark/>
          </w:tcPr>
          <w:p w14:paraId="7FD3C077" w14:textId="77777777" w:rsidR="000161F6" w:rsidRPr="00471CBA" w:rsidRDefault="000161F6" w:rsidP="00FF2C6B">
            <w:pPr>
              <w:jc w:val="right"/>
              <w:rPr>
                <w:szCs w:val="20"/>
                <w:lang w:eastAsia="tr-TR"/>
              </w:rPr>
            </w:pPr>
          </w:p>
        </w:tc>
        <w:tc>
          <w:tcPr>
            <w:tcW w:w="1051" w:type="pct"/>
            <w:tcBorders>
              <w:top w:val="nil"/>
              <w:left w:val="nil"/>
              <w:bottom w:val="nil"/>
              <w:right w:val="nil"/>
            </w:tcBorders>
            <w:vAlign w:val="center"/>
            <w:hideMark/>
          </w:tcPr>
          <w:p w14:paraId="798B9115" w14:textId="77777777" w:rsidR="000161F6" w:rsidRPr="00471CBA" w:rsidRDefault="000161F6" w:rsidP="00FF2C6B">
            <w:pPr>
              <w:jc w:val="right"/>
              <w:rPr>
                <w:szCs w:val="20"/>
                <w:lang w:eastAsia="tr-TR"/>
              </w:rPr>
            </w:pPr>
          </w:p>
        </w:tc>
      </w:tr>
      <w:tr w:rsidR="000161F6" w:rsidRPr="00471CBA" w14:paraId="2FDBAD9B" w14:textId="77777777" w:rsidTr="000161F6">
        <w:trPr>
          <w:divId w:val="374045024"/>
          <w:trHeight w:val="227"/>
        </w:trPr>
        <w:tc>
          <w:tcPr>
            <w:tcW w:w="3017" w:type="pct"/>
            <w:tcBorders>
              <w:top w:val="nil"/>
              <w:left w:val="nil"/>
              <w:bottom w:val="single" w:sz="12" w:space="0" w:color="auto"/>
              <w:right w:val="nil"/>
            </w:tcBorders>
            <w:vAlign w:val="center"/>
            <w:hideMark/>
          </w:tcPr>
          <w:p w14:paraId="7E9FB64F" w14:textId="77777777" w:rsidR="000161F6" w:rsidRPr="00471CBA" w:rsidRDefault="000161F6" w:rsidP="00FF2C6B">
            <w:pPr>
              <w:rPr>
                <w:b/>
                <w:bCs/>
                <w:color w:val="000000"/>
                <w:szCs w:val="20"/>
                <w:lang w:eastAsia="tr-TR"/>
              </w:rPr>
            </w:pPr>
            <w:r w:rsidRPr="00471CBA">
              <w:rPr>
                <w:b/>
                <w:bCs/>
                <w:color w:val="000000"/>
                <w:szCs w:val="20"/>
                <w:lang w:eastAsia="tr-TR"/>
              </w:rPr>
              <w:t>Toplam</w:t>
            </w:r>
          </w:p>
        </w:tc>
        <w:tc>
          <w:tcPr>
            <w:tcW w:w="932" w:type="pct"/>
            <w:tcBorders>
              <w:top w:val="nil"/>
              <w:left w:val="nil"/>
              <w:bottom w:val="single" w:sz="12" w:space="0" w:color="auto"/>
              <w:right w:val="nil"/>
            </w:tcBorders>
            <w:vAlign w:val="center"/>
            <w:hideMark/>
          </w:tcPr>
          <w:p w14:paraId="36D01987" w14:textId="77777777" w:rsidR="000161F6" w:rsidRPr="00471CBA" w:rsidRDefault="000161F6" w:rsidP="00FF2C6B">
            <w:pPr>
              <w:jc w:val="right"/>
              <w:rPr>
                <w:b/>
                <w:bCs/>
                <w:color w:val="000000"/>
                <w:szCs w:val="20"/>
                <w:lang w:eastAsia="tr-TR"/>
              </w:rPr>
            </w:pPr>
            <w:r w:rsidRPr="00471CBA">
              <w:rPr>
                <w:b/>
                <w:bCs/>
                <w:color w:val="000000"/>
                <w:szCs w:val="20"/>
                <w:lang w:eastAsia="tr-TR"/>
              </w:rPr>
              <w:t>253.923</w:t>
            </w:r>
          </w:p>
        </w:tc>
        <w:tc>
          <w:tcPr>
            <w:tcW w:w="1051" w:type="pct"/>
            <w:tcBorders>
              <w:top w:val="nil"/>
              <w:left w:val="nil"/>
              <w:bottom w:val="single" w:sz="12" w:space="0" w:color="auto"/>
              <w:right w:val="nil"/>
            </w:tcBorders>
            <w:vAlign w:val="center"/>
            <w:hideMark/>
          </w:tcPr>
          <w:p w14:paraId="68701B7E" w14:textId="77777777" w:rsidR="000161F6" w:rsidRPr="00471CBA" w:rsidRDefault="000161F6" w:rsidP="00FF2C6B">
            <w:pPr>
              <w:jc w:val="right"/>
              <w:rPr>
                <w:b/>
                <w:bCs/>
                <w:color w:val="000000"/>
                <w:szCs w:val="20"/>
                <w:lang w:eastAsia="tr-TR"/>
              </w:rPr>
            </w:pPr>
            <w:r w:rsidRPr="00471CBA">
              <w:rPr>
                <w:b/>
                <w:bCs/>
                <w:color w:val="000000"/>
                <w:szCs w:val="20"/>
                <w:lang w:eastAsia="tr-TR"/>
              </w:rPr>
              <w:t>116.012</w:t>
            </w:r>
          </w:p>
        </w:tc>
      </w:tr>
    </w:tbl>
    <w:p w14:paraId="10C179C0" w14:textId="5224915D" w:rsidR="00EB13B2" w:rsidRPr="00471CBA" w:rsidRDefault="00EB13B2" w:rsidP="00EB13B2"/>
    <w:p w14:paraId="23004A13" w14:textId="42419027" w:rsidR="00D10962" w:rsidRPr="00471CBA" w:rsidRDefault="007127C0" w:rsidP="00A52751">
      <w:pPr>
        <w:pStyle w:val="GvdeMetniGirintisi"/>
        <w:widowControl w:val="0"/>
        <w:numPr>
          <w:ilvl w:val="1"/>
          <w:numId w:val="40"/>
        </w:numPr>
        <w:ind w:left="567" w:right="-12" w:hanging="567"/>
        <w:rPr>
          <w:b/>
          <w:bCs/>
          <w:szCs w:val="20"/>
        </w:rPr>
      </w:pPr>
      <w:bookmarkStart w:id="126" w:name="_Hlk189497301"/>
      <w:r w:rsidRPr="00471CBA">
        <w:rPr>
          <w:b/>
          <w:bCs/>
          <w:szCs w:val="20"/>
        </w:rPr>
        <w:t>Çalışan hakları karşılığına ilişkin bilgiler</w:t>
      </w:r>
    </w:p>
    <w:p w14:paraId="68440214" w14:textId="5CDE2CC5" w:rsidR="008679D6" w:rsidRPr="00471CBA" w:rsidRDefault="008679D6" w:rsidP="008679D6">
      <w:pPr>
        <w:pStyle w:val="GvdeMetniGirintisi"/>
        <w:widowControl w:val="0"/>
        <w:ind w:right="-12"/>
        <w:rPr>
          <w:b/>
          <w:bCs/>
          <w:szCs w:val="20"/>
        </w:rPr>
      </w:pPr>
    </w:p>
    <w:p w14:paraId="31909D6D" w14:textId="11FCF669" w:rsidR="00220A18" w:rsidRPr="00471CBA" w:rsidRDefault="00220A18" w:rsidP="00220A18">
      <w:pPr>
        <w:widowControl w:val="0"/>
        <w:tabs>
          <w:tab w:val="left" w:pos="1134"/>
        </w:tabs>
        <w:ind w:left="851"/>
        <w:jc w:val="both"/>
        <w:rPr>
          <w:szCs w:val="20"/>
        </w:rPr>
      </w:pPr>
      <w:r w:rsidRPr="00471CBA">
        <w:rPr>
          <w:szCs w:val="20"/>
        </w:rPr>
        <w:t xml:space="preserve">Banka, kıdem tazminatı ve izin haklarına ilişkin yükümlülüklerini TMS 19 “Çalışanlara Sağlanan Faydalara İlişkin Türkiye Muhasebe Standardı” hükümlerine göre muhasebeleştirmekte olup, gelecekteki kıdem ve ihbar tazminatlarından doğan yükümlülüklerini net bugünkü değeri üzerinden hesaplamış ve finansal tablolara yansıtmıştır. </w:t>
      </w:r>
      <w:r w:rsidR="00932390" w:rsidRPr="00471CBA">
        <w:rPr>
          <w:szCs w:val="20"/>
        </w:rPr>
        <w:t>3</w:t>
      </w:r>
      <w:r w:rsidR="00B72B94" w:rsidRPr="00471CBA">
        <w:rPr>
          <w:szCs w:val="20"/>
        </w:rPr>
        <w:t>1</w:t>
      </w:r>
      <w:r w:rsidR="00932390" w:rsidRPr="00471CBA">
        <w:rPr>
          <w:szCs w:val="20"/>
        </w:rPr>
        <w:t xml:space="preserve"> </w:t>
      </w:r>
      <w:r w:rsidR="00B72B94" w:rsidRPr="00471CBA">
        <w:rPr>
          <w:szCs w:val="20"/>
        </w:rPr>
        <w:t>Aralık</w:t>
      </w:r>
      <w:r w:rsidR="00932390" w:rsidRPr="00471CBA">
        <w:rPr>
          <w:szCs w:val="20"/>
        </w:rPr>
        <w:t xml:space="preserve"> 2025</w:t>
      </w:r>
      <w:r w:rsidRPr="00471CBA">
        <w:rPr>
          <w:szCs w:val="20"/>
        </w:rPr>
        <w:t xml:space="preserve"> tarihi itibarıyla </w:t>
      </w:r>
      <w:r w:rsidR="0076682F" w:rsidRPr="00471CBA">
        <w:rPr>
          <w:szCs w:val="20"/>
        </w:rPr>
        <w:t>36.846</w:t>
      </w:r>
      <w:r w:rsidRPr="00471CBA">
        <w:rPr>
          <w:szCs w:val="20"/>
        </w:rPr>
        <w:t xml:space="preserve"> TL (31 Aralık 2024: 15.383 TL) tutarındaki izin karşılığı</w:t>
      </w:r>
      <w:r w:rsidR="004347CD" w:rsidRPr="00471CBA">
        <w:rPr>
          <w:szCs w:val="20"/>
        </w:rPr>
        <w:t>,</w:t>
      </w:r>
      <w:r w:rsidRPr="00471CBA">
        <w:rPr>
          <w:szCs w:val="20"/>
        </w:rPr>
        <w:t xml:space="preserve"> </w:t>
      </w:r>
      <w:r w:rsidR="0076682F" w:rsidRPr="00471CBA">
        <w:rPr>
          <w:szCs w:val="20"/>
        </w:rPr>
        <w:t>28.237</w:t>
      </w:r>
      <w:r w:rsidRPr="00471CBA">
        <w:rPr>
          <w:szCs w:val="20"/>
        </w:rPr>
        <w:t xml:space="preserve"> TL </w:t>
      </w:r>
      <w:bookmarkStart w:id="127" w:name="_Hlk192765844"/>
      <w:r w:rsidRPr="00471CBA">
        <w:rPr>
          <w:szCs w:val="20"/>
        </w:rPr>
        <w:t>(31 Aralık 2024</w:t>
      </w:r>
      <w:bookmarkEnd w:id="127"/>
      <w:r w:rsidRPr="00471CBA">
        <w:rPr>
          <w:szCs w:val="20"/>
        </w:rPr>
        <w:t>: 13.702 TL) kıdem tazminatı karşılığı</w:t>
      </w:r>
      <w:r w:rsidR="004347CD" w:rsidRPr="00471CBA">
        <w:rPr>
          <w:szCs w:val="20"/>
        </w:rPr>
        <w:t xml:space="preserve"> ve </w:t>
      </w:r>
      <w:bookmarkStart w:id="128" w:name="_Hlk222835467"/>
      <w:r w:rsidR="004347CD" w:rsidRPr="00471CBA">
        <w:rPr>
          <w:szCs w:val="20"/>
        </w:rPr>
        <w:t>250.000 TL prim karşılığı</w:t>
      </w:r>
      <w:bookmarkEnd w:id="128"/>
      <w:r w:rsidRPr="00471CBA">
        <w:rPr>
          <w:szCs w:val="20"/>
        </w:rPr>
        <w:t xml:space="preserve"> finansal tablolarda Çalışan Hakları Karşılığı hesabına kaydedilmiştir.</w:t>
      </w:r>
    </w:p>
    <w:p w14:paraId="6002E414" w14:textId="77777777" w:rsidR="008679D6" w:rsidRPr="00471CBA" w:rsidRDefault="008679D6" w:rsidP="008679D6">
      <w:pPr>
        <w:widowControl w:val="0"/>
        <w:tabs>
          <w:tab w:val="left" w:pos="1134"/>
        </w:tabs>
        <w:ind w:left="851"/>
        <w:jc w:val="both"/>
        <w:rPr>
          <w:szCs w:val="20"/>
        </w:rPr>
      </w:pPr>
    </w:p>
    <w:p w14:paraId="69F4BFAF" w14:textId="77777777" w:rsidR="008679D6" w:rsidRPr="00471CBA" w:rsidRDefault="008679D6" w:rsidP="008679D6">
      <w:pPr>
        <w:widowControl w:val="0"/>
        <w:tabs>
          <w:tab w:val="left" w:pos="1134"/>
        </w:tabs>
        <w:spacing w:after="120"/>
        <w:ind w:left="851"/>
        <w:jc w:val="both"/>
        <w:rPr>
          <w:szCs w:val="20"/>
        </w:rPr>
      </w:pPr>
      <w:r w:rsidRPr="00471CBA">
        <w:rPr>
          <w:szCs w:val="20"/>
        </w:rPr>
        <w:t xml:space="preserve">Banka kıdem tazminatı karşılığını, TMS 19’da belirtilen </w:t>
      </w:r>
      <w:proofErr w:type="spellStart"/>
      <w:r w:rsidRPr="00471CBA">
        <w:rPr>
          <w:szCs w:val="20"/>
        </w:rPr>
        <w:t>aktüeryal</w:t>
      </w:r>
      <w:proofErr w:type="spellEnd"/>
      <w:r w:rsidRPr="00471CBA">
        <w:rPr>
          <w:szCs w:val="20"/>
        </w:rPr>
        <w:t xml:space="preserve"> değerleme yöntemini kullanarak finansal tablolara yansıtmıştır. Bu bağlamda toplam yükümlülüklerin hesaplanmasında aşağıdaki </w:t>
      </w:r>
      <w:proofErr w:type="spellStart"/>
      <w:r w:rsidRPr="00471CBA">
        <w:rPr>
          <w:szCs w:val="20"/>
        </w:rPr>
        <w:t>aktüeryal</w:t>
      </w:r>
      <w:proofErr w:type="spellEnd"/>
      <w:r w:rsidRPr="00471CBA">
        <w:rPr>
          <w:szCs w:val="20"/>
        </w:rPr>
        <w:t xml:space="preserve"> varsayımlar kullanılmıştır.</w:t>
      </w:r>
    </w:p>
    <w:tbl>
      <w:tblPr>
        <w:tblW w:w="5000" w:type="pct"/>
        <w:tblCellMar>
          <w:left w:w="0" w:type="dxa"/>
          <w:right w:w="0" w:type="dxa"/>
        </w:tblCellMar>
        <w:tblLook w:val="0000" w:firstRow="0" w:lastRow="0" w:firstColumn="0" w:lastColumn="0" w:noHBand="0" w:noVBand="0"/>
      </w:tblPr>
      <w:tblGrid>
        <w:gridCol w:w="7574"/>
        <w:gridCol w:w="1781"/>
      </w:tblGrid>
      <w:tr w:rsidR="000161F6" w:rsidRPr="00471CBA" w14:paraId="3260677D" w14:textId="6F32774D" w:rsidTr="000161F6">
        <w:trPr>
          <w:trHeight w:val="155"/>
        </w:trPr>
        <w:tc>
          <w:tcPr>
            <w:tcW w:w="4048" w:type="pct"/>
            <w:shd w:val="clear" w:color="auto" w:fill="FFFFFF"/>
            <w:vAlign w:val="bottom"/>
          </w:tcPr>
          <w:p w14:paraId="6D6A9668" w14:textId="77777777" w:rsidR="000161F6" w:rsidRPr="00471CBA" w:rsidRDefault="000161F6" w:rsidP="001021BE">
            <w:pPr>
              <w:tabs>
                <w:tab w:val="left" w:pos="540"/>
              </w:tabs>
              <w:jc w:val="both"/>
              <w:rPr>
                <w:b/>
                <w:bCs/>
                <w:szCs w:val="20"/>
              </w:rPr>
            </w:pPr>
          </w:p>
        </w:tc>
        <w:tc>
          <w:tcPr>
            <w:tcW w:w="952" w:type="pct"/>
            <w:shd w:val="clear" w:color="auto" w:fill="FFFFFF"/>
            <w:vAlign w:val="center"/>
          </w:tcPr>
          <w:p w14:paraId="2D18FAF6" w14:textId="12C9A7C4" w:rsidR="000161F6" w:rsidRPr="00471CBA" w:rsidRDefault="007F3792" w:rsidP="001021BE">
            <w:pPr>
              <w:tabs>
                <w:tab w:val="left" w:pos="180"/>
              </w:tabs>
              <w:ind w:right="77"/>
              <w:jc w:val="right"/>
              <w:rPr>
                <w:b/>
                <w:szCs w:val="20"/>
              </w:rPr>
            </w:pPr>
            <w:r w:rsidRPr="00471CBA">
              <w:rPr>
                <w:b/>
                <w:szCs w:val="20"/>
              </w:rPr>
              <w:t>31 Aralık 2025</w:t>
            </w:r>
          </w:p>
        </w:tc>
      </w:tr>
      <w:tr w:rsidR="000161F6" w:rsidRPr="00471CBA" w14:paraId="03CB5665" w14:textId="6F7E71E7" w:rsidTr="000161F6">
        <w:trPr>
          <w:trHeight w:val="155"/>
        </w:trPr>
        <w:tc>
          <w:tcPr>
            <w:tcW w:w="4048" w:type="pct"/>
            <w:shd w:val="clear" w:color="auto" w:fill="FFFFFF"/>
            <w:vAlign w:val="bottom"/>
          </w:tcPr>
          <w:p w14:paraId="376F0220" w14:textId="77777777" w:rsidR="000161F6" w:rsidRPr="00471CBA" w:rsidRDefault="000161F6" w:rsidP="001021BE">
            <w:pPr>
              <w:tabs>
                <w:tab w:val="left" w:pos="540"/>
              </w:tabs>
              <w:jc w:val="both"/>
              <w:rPr>
                <w:bCs/>
                <w:szCs w:val="20"/>
              </w:rPr>
            </w:pPr>
          </w:p>
        </w:tc>
        <w:tc>
          <w:tcPr>
            <w:tcW w:w="952" w:type="pct"/>
            <w:vAlign w:val="bottom"/>
          </w:tcPr>
          <w:p w14:paraId="38B145B1" w14:textId="77777777" w:rsidR="000161F6" w:rsidRPr="00471CBA" w:rsidRDefault="000161F6" w:rsidP="001021BE">
            <w:pPr>
              <w:ind w:right="77"/>
              <w:jc w:val="right"/>
              <w:rPr>
                <w:bCs/>
                <w:szCs w:val="20"/>
              </w:rPr>
            </w:pPr>
          </w:p>
        </w:tc>
      </w:tr>
      <w:tr w:rsidR="007F3792" w:rsidRPr="00471CBA" w14:paraId="30CAB8EB" w14:textId="404ECCF5" w:rsidTr="000161F6">
        <w:trPr>
          <w:trHeight w:val="155"/>
        </w:trPr>
        <w:tc>
          <w:tcPr>
            <w:tcW w:w="4048" w:type="pct"/>
            <w:vAlign w:val="bottom"/>
          </w:tcPr>
          <w:p w14:paraId="2ABE11EC" w14:textId="77777777" w:rsidR="007F3792" w:rsidRPr="00471CBA" w:rsidRDefault="007F3792" w:rsidP="007F3792">
            <w:pPr>
              <w:tabs>
                <w:tab w:val="left" w:pos="540"/>
              </w:tabs>
              <w:jc w:val="both"/>
              <w:rPr>
                <w:bCs/>
                <w:szCs w:val="20"/>
              </w:rPr>
            </w:pPr>
            <w:r w:rsidRPr="00471CBA">
              <w:rPr>
                <w:bCs/>
                <w:szCs w:val="20"/>
              </w:rPr>
              <w:t>İskonto oranı (%)</w:t>
            </w:r>
          </w:p>
        </w:tc>
        <w:tc>
          <w:tcPr>
            <w:tcW w:w="952" w:type="pct"/>
          </w:tcPr>
          <w:p w14:paraId="58C24B2C" w14:textId="57BE826D" w:rsidR="007F3792" w:rsidRPr="00471CBA" w:rsidRDefault="007F3792" w:rsidP="007F3792">
            <w:pPr>
              <w:ind w:right="77"/>
              <w:jc w:val="right"/>
              <w:rPr>
                <w:bCs/>
                <w:szCs w:val="20"/>
              </w:rPr>
            </w:pPr>
            <w:r w:rsidRPr="00471CBA">
              <w:t>29,00</w:t>
            </w:r>
          </w:p>
        </w:tc>
      </w:tr>
      <w:tr w:rsidR="007F3792" w:rsidRPr="00471CBA" w14:paraId="2A625DB2" w14:textId="3406234A" w:rsidTr="000161F6">
        <w:trPr>
          <w:trHeight w:val="155"/>
        </w:trPr>
        <w:tc>
          <w:tcPr>
            <w:tcW w:w="4048" w:type="pct"/>
            <w:tcBorders>
              <w:bottom w:val="single" w:sz="4" w:space="0" w:color="auto"/>
            </w:tcBorders>
            <w:vAlign w:val="bottom"/>
          </w:tcPr>
          <w:p w14:paraId="6C24D25B" w14:textId="77777777" w:rsidR="007F3792" w:rsidRPr="00471CBA" w:rsidRDefault="007F3792" w:rsidP="007F3792">
            <w:pPr>
              <w:tabs>
                <w:tab w:val="left" w:pos="540"/>
              </w:tabs>
              <w:jc w:val="both"/>
              <w:rPr>
                <w:bCs/>
                <w:szCs w:val="20"/>
              </w:rPr>
            </w:pPr>
            <w:r w:rsidRPr="00471CBA">
              <w:rPr>
                <w:bCs/>
                <w:szCs w:val="20"/>
              </w:rPr>
              <w:t>Tahmin edilen maaş tavanı artış oranı (%)</w:t>
            </w:r>
          </w:p>
        </w:tc>
        <w:tc>
          <w:tcPr>
            <w:tcW w:w="952" w:type="pct"/>
            <w:tcBorders>
              <w:bottom w:val="single" w:sz="4" w:space="0" w:color="auto"/>
            </w:tcBorders>
          </w:tcPr>
          <w:p w14:paraId="5BA6D5BB" w14:textId="55397D16" w:rsidR="007F3792" w:rsidRPr="00471CBA" w:rsidRDefault="007F3792" w:rsidP="007F3792">
            <w:pPr>
              <w:ind w:right="77"/>
              <w:jc w:val="right"/>
              <w:rPr>
                <w:bCs/>
                <w:szCs w:val="20"/>
              </w:rPr>
            </w:pPr>
            <w:r w:rsidRPr="00471CBA">
              <w:t>24,00</w:t>
            </w:r>
          </w:p>
        </w:tc>
      </w:tr>
    </w:tbl>
    <w:p w14:paraId="7FF6FE24" w14:textId="71A4C789" w:rsidR="000161F6" w:rsidRPr="00471CBA" w:rsidRDefault="000161F6" w:rsidP="00080449">
      <w:bookmarkStart w:id="129" w:name="_Hlk190677628"/>
    </w:p>
    <w:tbl>
      <w:tblPr>
        <w:tblW w:w="5000" w:type="pct"/>
        <w:tblCellMar>
          <w:left w:w="0" w:type="dxa"/>
          <w:right w:w="0" w:type="dxa"/>
        </w:tblCellMar>
        <w:tblLook w:val="0000" w:firstRow="0" w:lastRow="0" w:firstColumn="0" w:lastColumn="0" w:noHBand="0" w:noVBand="0"/>
      </w:tblPr>
      <w:tblGrid>
        <w:gridCol w:w="7576"/>
        <w:gridCol w:w="1779"/>
      </w:tblGrid>
      <w:tr w:rsidR="000161F6" w:rsidRPr="00471CBA" w14:paraId="3E782F17" w14:textId="77777777" w:rsidTr="000161F6">
        <w:trPr>
          <w:trHeight w:val="155"/>
        </w:trPr>
        <w:tc>
          <w:tcPr>
            <w:tcW w:w="4049" w:type="pct"/>
            <w:shd w:val="clear" w:color="auto" w:fill="FFFFFF"/>
            <w:vAlign w:val="bottom"/>
          </w:tcPr>
          <w:p w14:paraId="4BA4018B" w14:textId="77777777" w:rsidR="000161F6" w:rsidRPr="00471CBA" w:rsidRDefault="000161F6" w:rsidP="00671CCE">
            <w:pPr>
              <w:tabs>
                <w:tab w:val="left" w:pos="540"/>
              </w:tabs>
              <w:jc w:val="both"/>
              <w:rPr>
                <w:b/>
                <w:bCs/>
                <w:szCs w:val="20"/>
              </w:rPr>
            </w:pPr>
          </w:p>
        </w:tc>
        <w:tc>
          <w:tcPr>
            <w:tcW w:w="951" w:type="pct"/>
            <w:shd w:val="clear" w:color="auto" w:fill="FFFFFF"/>
          </w:tcPr>
          <w:p w14:paraId="302CB713" w14:textId="77777777" w:rsidR="000161F6" w:rsidRPr="00471CBA" w:rsidRDefault="000161F6" w:rsidP="00671CCE">
            <w:pPr>
              <w:tabs>
                <w:tab w:val="left" w:pos="180"/>
              </w:tabs>
              <w:ind w:right="77"/>
              <w:jc w:val="right"/>
              <w:rPr>
                <w:b/>
                <w:szCs w:val="20"/>
              </w:rPr>
            </w:pPr>
            <w:r w:rsidRPr="00471CBA">
              <w:rPr>
                <w:b/>
                <w:szCs w:val="20"/>
              </w:rPr>
              <w:t>31 Aralık 2024</w:t>
            </w:r>
          </w:p>
        </w:tc>
      </w:tr>
      <w:tr w:rsidR="000161F6" w:rsidRPr="00471CBA" w14:paraId="58E83D75" w14:textId="77777777" w:rsidTr="000161F6">
        <w:trPr>
          <w:trHeight w:val="155"/>
        </w:trPr>
        <w:tc>
          <w:tcPr>
            <w:tcW w:w="4049" w:type="pct"/>
            <w:shd w:val="clear" w:color="auto" w:fill="FFFFFF"/>
            <w:vAlign w:val="bottom"/>
          </w:tcPr>
          <w:p w14:paraId="23B3615F" w14:textId="77777777" w:rsidR="000161F6" w:rsidRPr="00471CBA" w:rsidRDefault="000161F6" w:rsidP="00671CCE">
            <w:pPr>
              <w:tabs>
                <w:tab w:val="left" w:pos="540"/>
              </w:tabs>
              <w:jc w:val="both"/>
              <w:rPr>
                <w:bCs/>
                <w:szCs w:val="20"/>
              </w:rPr>
            </w:pPr>
          </w:p>
        </w:tc>
        <w:tc>
          <w:tcPr>
            <w:tcW w:w="951" w:type="pct"/>
          </w:tcPr>
          <w:p w14:paraId="493A33F6" w14:textId="77777777" w:rsidR="000161F6" w:rsidRPr="00471CBA" w:rsidRDefault="000161F6" w:rsidP="00671CCE">
            <w:pPr>
              <w:ind w:right="77"/>
              <w:jc w:val="right"/>
              <w:rPr>
                <w:bCs/>
                <w:szCs w:val="20"/>
              </w:rPr>
            </w:pPr>
          </w:p>
        </w:tc>
      </w:tr>
      <w:tr w:rsidR="000161F6" w:rsidRPr="00471CBA" w14:paraId="3DCE0147" w14:textId="77777777" w:rsidTr="000161F6">
        <w:trPr>
          <w:trHeight w:val="155"/>
        </w:trPr>
        <w:tc>
          <w:tcPr>
            <w:tcW w:w="4049" w:type="pct"/>
            <w:vAlign w:val="bottom"/>
          </w:tcPr>
          <w:p w14:paraId="608A8A38" w14:textId="77777777" w:rsidR="000161F6" w:rsidRPr="00471CBA" w:rsidRDefault="000161F6" w:rsidP="00671CCE">
            <w:pPr>
              <w:tabs>
                <w:tab w:val="left" w:pos="540"/>
              </w:tabs>
              <w:jc w:val="both"/>
              <w:rPr>
                <w:bCs/>
                <w:szCs w:val="20"/>
              </w:rPr>
            </w:pPr>
            <w:r w:rsidRPr="00471CBA">
              <w:rPr>
                <w:bCs/>
                <w:szCs w:val="20"/>
              </w:rPr>
              <w:t>İskonto oranı (%)</w:t>
            </w:r>
          </w:p>
        </w:tc>
        <w:tc>
          <w:tcPr>
            <w:tcW w:w="951" w:type="pct"/>
          </w:tcPr>
          <w:p w14:paraId="2403B89C" w14:textId="77777777" w:rsidR="000161F6" w:rsidRPr="00471CBA" w:rsidRDefault="000161F6" w:rsidP="00671CCE">
            <w:pPr>
              <w:ind w:right="77"/>
              <w:jc w:val="right"/>
            </w:pPr>
            <w:r w:rsidRPr="00471CBA">
              <w:t>29,32</w:t>
            </w:r>
          </w:p>
        </w:tc>
      </w:tr>
      <w:tr w:rsidR="000161F6" w:rsidRPr="00471CBA" w14:paraId="6462A1C7" w14:textId="77777777" w:rsidTr="000161F6">
        <w:trPr>
          <w:trHeight w:val="155"/>
        </w:trPr>
        <w:tc>
          <w:tcPr>
            <w:tcW w:w="4049" w:type="pct"/>
            <w:tcBorders>
              <w:bottom w:val="single" w:sz="4" w:space="0" w:color="auto"/>
            </w:tcBorders>
            <w:vAlign w:val="bottom"/>
          </w:tcPr>
          <w:p w14:paraId="2313DB02" w14:textId="77777777" w:rsidR="000161F6" w:rsidRPr="00471CBA" w:rsidRDefault="000161F6" w:rsidP="00671CCE">
            <w:pPr>
              <w:tabs>
                <w:tab w:val="left" w:pos="540"/>
              </w:tabs>
              <w:jc w:val="both"/>
              <w:rPr>
                <w:bCs/>
                <w:szCs w:val="20"/>
              </w:rPr>
            </w:pPr>
            <w:r w:rsidRPr="00471CBA">
              <w:rPr>
                <w:bCs/>
                <w:szCs w:val="20"/>
              </w:rPr>
              <w:t>Tahmin edilen maaş tavanı artış oranı (%)</w:t>
            </w:r>
          </w:p>
        </w:tc>
        <w:tc>
          <w:tcPr>
            <w:tcW w:w="951" w:type="pct"/>
            <w:tcBorders>
              <w:bottom w:val="single" w:sz="4" w:space="0" w:color="auto"/>
            </w:tcBorders>
          </w:tcPr>
          <w:p w14:paraId="7912E185" w14:textId="77777777" w:rsidR="000161F6" w:rsidRPr="00471CBA" w:rsidRDefault="000161F6" w:rsidP="00671CCE">
            <w:pPr>
              <w:ind w:right="77"/>
              <w:jc w:val="right"/>
            </w:pPr>
            <w:r w:rsidRPr="00471CBA">
              <w:t>35,00</w:t>
            </w:r>
          </w:p>
        </w:tc>
      </w:tr>
    </w:tbl>
    <w:p w14:paraId="143DCFD4" w14:textId="77777777" w:rsidR="00080449" w:rsidRPr="00471CBA" w:rsidRDefault="00080449" w:rsidP="008679D6">
      <w:pPr>
        <w:spacing w:before="120" w:after="120"/>
      </w:pPr>
    </w:p>
    <w:p w14:paraId="0B1E7633" w14:textId="77777777" w:rsidR="00080449" w:rsidRPr="00471CBA" w:rsidRDefault="00080449">
      <w:r w:rsidRPr="00471CBA">
        <w:br w:type="page"/>
      </w:r>
    </w:p>
    <w:p w14:paraId="65E19CDD" w14:textId="77777777" w:rsidR="00080449" w:rsidRPr="00471CBA" w:rsidRDefault="00080449" w:rsidP="00080449">
      <w:pPr>
        <w:widowControl w:val="0"/>
        <w:spacing w:line="235" w:lineRule="auto"/>
        <w:ind w:left="720" w:hanging="720"/>
        <w:jc w:val="both"/>
        <w:rPr>
          <w:b/>
          <w:szCs w:val="20"/>
        </w:rPr>
      </w:pPr>
      <w:r w:rsidRPr="00471CBA">
        <w:rPr>
          <w:b/>
          <w:szCs w:val="20"/>
        </w:rPr>
        <w:t>KONSOLİDE OLMAYAN FİNANSAL TABLOLARA İLİŞKİN AÇIKLAMA VE DİPNOTLAR (Devamı)</w:t>
      </w:r>
    </w:p>
    <w:p w14:paraId="1B4BAC5E" w14:textId="77777777" w:rsidR="00080449" w:rsidRPr="00471CBA" w:rsidRDefault="00080449" w:rsidP="00080449">
      <w:pPr>
        <w:widowControl w:val="0"/>
        <w:spacing w:line="235" w:lineRule="auto"/>
        <w:ind w:left="851" w:hanging="851"/>
        <w:jc w:val="both"/>
        <w:rPr>
          <w:b/>
          <w:szCs w:val="20"/>
        </w:rPr>
      </w:pPr>
    </w:p>
    <w:p w14:paraId="41206312" w14:textId="77777777" w:rsidR="00080449" w:rsidRPr="00471CBA" w:rsidRDefault="00080449" w:rsidP="00080449">
      <w:pPr>
        <w:widowControl w:val="0"/>
        <w:spacing w:line="235" w:lineRule="auto"/>
        <w:ind w:left="567" w:hanging="567"/>
        <w:jc w:val="both"/>
        <w:rPr>
          <w:b/>
          <w:szCs w:val="20"/>
        </w:rPr>
      </w:pPr>
      <w:r w:rsidRPr="00471CBA">
        <w:rPr>
          <w:b/>
          <w:szCs w:val="20"/>
        </w:rPr>
        <w:t>II.</w:t>
      </w:r>
      <w:r w:rsidRPr="00471CBA">
        <w:rPr>
          <w:b/>
          <w:szCs w:val="20"/>
        </w:rPr>
        <w:tab/>
        <w:t>BİLANÇONUN PASİF HESAPLARINA İLİŞKİN AÇIKLAMA VE DİPNOTLAR (Devamı)</w:t>
      </w:r>
    </w:p>
    <w:p w14:paraId="1AB14BAF" w14:textId="2AA939FA" w:rsidR="008679D6" w:rsidRPr="00471CBA" w:rsidRDefault="008679D6" w:rsidP="008679D6">
      <w:pPr>
        <w:spacing w:before="120" w:after="120"/>
      </w:pPr>
      <w:r w:rsidRPr="00471CBA">
        <w:t>Kıdem tazminatı yükümlülüğü karşılığının bilançodaki hareketi:</w:t>
      </w:r>
      <w:r w:rsidR="00F23629" w:rsidRPr="00471CBA">
        <w:tab/>
      </w:r>
    </w:p>
    <w:tbl>
      <w:tblPr>
        <w:tblW w:w="5000" w:type="pct"/>
        <w:tblCellMar>
          <w:left w:w="0" w:type="dxa"/>
          <w:right w:w="0" w:type="dxa"/>
        </w:tblCellMar>
        <w:tblLook w:val="0000" w:firstRow="0" w:lastRow="0" w:firstColumn="0" w:lastColumn="0" w:noHBand="0" w:noVBand="0"/>
      </w:tblPr>
      <w:tblGrid>
        <w:gridCol w:w="7574"/>
        <w:gridCol w:w="1781"/>
      </w:tblGrid>
      <w:tr w:rsidR="000161F6" w:rsidRPr="00471CBA" w14:paraId="4CDF96C7" w14:textId="77777777" w:rsidTr="000161F6">
        <w:trPr>
          <w:trHeight w:val="158"/>
        </w:trPr>
        <w:tc>
          <w:tcPr>
            <w:tcW w:w="4048" w:type="pct"/>
            <w:shd w:val="clear" w:color="auto" w:fill="FFFFFF"/>
            <w:vAlign w:val="bottom"/>
          </w:tcPr>
          <w:p w14:paraId="1EB14022" w14:textId="77777777" w:rsidR="000161F6" w:rsidRPr="00471CBA" w:rsidRDefault="000161F6" w:rsidP="001021BE">
            <w:pPr>
              <w:tabs>
                <w:tab w:val="left" w:pos="540"/>
                <w:tab w:val="num" w:pos="720"/>
              </w:tabs>
              <w:jc w:val="both"/>
              <w:rPr>
                <w:b/>
                <w:bCs/>
                <w:szCs w:val="20"/>
              </w:rPr>
            </w:pPr>
          </w:p>
        </w:tc>
        <w:tc>
          <w:tcPr>
            <w:tcW w:w="952" w:type="pct"/>
            <w:shd w:val="clear" w:color="auto" w:fill="FFFFFF"/>
          </w:tcPr>
          <w:p w14:paraId="0C87CEC3" w14:textId="0A82F67F" w:rsidR="000161F6" w:rsidRPr="00471CBA" w:rsidRDefault="00125871" w:rsidP="001021BE">
            <w:pPr>
              <w:tabs>
                <w:tab w:val="left" w:pos="180"/>
              </w:tabs>
              <w:ind w:right="68"/>
              <w:jc w:val="right"/>
              <w:rPr>
                <w:b/>
                <w:szCs w:val="20"/>
              </w:rPr>
            </w:pPr>
            <w:r w:rsidRPr="00471CBA">
              <w:rPr>
                <w:b/>
                <w:szCs w:val="20"/>
              </w:rPr>
              <w:t xml:space="preserve">31 </w:t>
            </w:r>
            <w:r w:rsidR="005E368D" w:rsidRPr="00471CBA">
              <w:rPr>
                <w:b/>
                <w:szCs w:val="20"/>
              </w:rPr>
              <w:t>Aralık</w:t>
            </w:r>
            <w:r w:rsidRPr="00471CBA">
              <w:rPr>
                <w:b/>
                <w:szCs w:val="20"/>
              </w:rPr>
              <w:t xml:space="preserve"> 2025</w:t>
            </w:r>
          </w:p>
        </w:tc>
      </w:tr>
      <w:tr w:rsidR="000161F6" w:rsidRPr="00471CBA" w14:paraId="6C9F53F7" w14:textId="77777777" w:rsidTr="000161F6">
        <w:trPr>
          <w:trHeight w:val="158"/>
        </w:trPr>
        <w:tc>
          <w:tcPr>
            <w:tcW w:w="4048" w:type="pct"/>
            <w:shd w:val="clear" w:color="auto" w:fill="FFFFFF"/>
            <w:vAlign w:val="bottom"/>
          </w:tcPr>
          <w:p w14:paraId="38A83632" w14:textId="77777777" w:rsidR="000161F6" w:rsidRPr="00471CBA" w:rsidRDefault="000161F6" w:rsidP="001021BE">
            <w:pPr>
              <w:tabs>
                <w:tab w:val="left" w:pos="540"/>
                <w:tab w:val="num" w:pos="720"/>
              </w:tabs>
              <w:jc w:val="both"/>
              <w:rPr>
                <w:b/>
                <w:bCs/>
                <w:szCs w:val="20"/>
              </w:rPr>
            </w:pPr>
          </w:p>
        </w:tc>
        <w:tc>
          <w:tcPr>
            <w:tcW w:w="952" w:type="pct"/>
            <w:shd w:val="clear" w:color="auto" w:fill="FFFFFF"/>
          </w:tcPr>
          <w:p w14:paraId="7C94204B" w14:textId="77777777" w:rsidR="000161F6" w:rsidRPr="00471CBA" w:rsidRDefault="000161F6" w:rsidP="001021BE">
            <w:pPr>
              <w:tabs>
                <w:tab w:val="left" w:pos="180"/>
              </w:tabs>
              <w:ind w:right="68"/>
              <w:jc w:val="right"/>
              <w:rPr>
                <w:b/>
                <w:szCs w:val="20"/>
              </w:rPr>
            </w:pPr>
          </w:p>
        </w:tc>
      </w:tr>
      <w:tr w:rsidR="001D7220" w:rsidRPr="00471CBA" w14:paraId="1D6AE24B" w14:textId="77777777" w:rsidTr="00844462">
        <w:trPr>
          <w:trHeight w:val="158"/>
        </w:trPr>
        <w:tc>
          <w:tcPr>
            <w:tcW w:w="4048" w:type="pct"/>
            <w:vAlign w:val="bottom"/>
          </w:tcPr>
          <w:p w14:paraId="37650EE9" w14:textId="77777777" w:rsidR="001D7220" w:rsidRPr="00471CBA" w:rsidRDefault="001D7220" w:rsidP="001D7220">
            <w:pPr>
              <w:tabs>
                <w:tab w:val="left" w:pos="540"/>
                <w:tab w:val="num" w:pos="720"/>
              </w:tabs>
              <w:jc w:val="both"/>
              <w:rPr>
                <w:bCs/>
                <w:szCs w:val="20"/>
              </w:rPr>
            </w:pPr>
            <w:r w:rsidRPr="00471CBA">
              <w:rPr>
                <w:bCs/>
                <w:szCs w:val="20"/>
              </w:rPr>
              <w:t>Önceki dönem sonu bakiyesi</w:t>
            </w:r>
          </w:p>
        </w:tc>
        <w:tc>
          <w:tcPr>
            <w:tcW w:w="952" w:type="pct"/>
            <w:vAlign w:val="center"/>
          </w:tcPr>
          <w:p w14:paraId="197CA438" w14:textId="2190D109" w:rsidR="001D7220" w:rsidRPr="005659E5" w:rsidRDefault="001D7220" w:rsidP="001D7220">
            <w:pPr>
              <w:ind w:right="80"/>
              <w:jc w:val="right"/>
            </w:pPr>
            <w:r w:rsidRPr="005659E5">
              <w:rPr>
                <w:color w:val="000000"/>
                <w:szCs w:val="20"/>
              </w:rPr>
              <w:t>13.702</w:t>
            </w:r>
          </w:p>
        </w:tc>
      </w:tr>
      <w:tr w:rsidR="001D7220" w:rsidRPr="00471CBA" w14:paraId="103950A1" w14:textId="77777777" w:rsidTr="00844462">
        <w:trPr>
          <w:trHeight w:val="158"/>
        </w:trPr>
        <w:tc>
          <w:tcPr>
            <w:tcW w:w="4048" w:type="pct"/>
            <w:vAlign w:val="bottom"/>
          </w:tcPr>
          <w:p w14:paraId="28780853" w14:textId="77777777" w:rsidR="001D7220" w:rsidRPr="00471CBA" w:rsidRDefault="001D7220" w:rsidP="001D7220">
            <w:pPr>
              <w:tabs>
                <w:tab w:val="left" w:pos="540"/>
                <w:tab w:val="num" w:pos="720"/>
              </w:tabs>
              <w:jc w:val="both"/>
              <w:rPr>
                <w:bCs/>
                <w:szCs w:val="20"/>
              </w:rPr>
            </w:pPr>
            <w:r w:rsidRPr="00471CBA">
              <w:rPr>
                <w:bCs/>
                <w:szCs w:val="20"/>
              </w:rPr>
              <w:t>Dönem içinde ayrılan karşılık tutarı</w:t>
            </w:r>
          </w:p>
        </w:tc>
        <w:tc>
          <w:tcPr>
            <w:tcW w:w="952" w:type="pct"/>
            <w:vAlign w:val="center"/>
          </w:tcPr>
          <w:p w14:paraId="7647936F" w14:textId="3C851E19" w:rsidR="001D7220" w:rsidRPr="005659E5" w:rsidRDefault="001D7220" w:rsidP="001D7220">
            <w:pPr>
              <w:ind w:right="80"/>
              <w:jc w:val="right"/>
            </w:pPr>
            <w:r w:rsidRPr="005659E5">
              <w:rPr>
                <w:color w:val="000000"/>
                <w:szCs w:val="20"/>
              </w:rPr>
              <w:t>13.081</w:t>
            </w:r>
          </w:p>
        </w:tc>
      </w:tr>
      <w:tr w:rsidR="001D7220" w:rsidRPr="00471CBA" w14:paraId="32536146" w14:textId="77777777" w:rsidTr="00844462">
        <w:trPr>
          <w:trHeight w:val="158"/>
        </w:trPr>
        <w:tc>
          <w:tcPr>
            <w:tcW w:w="4048" w:type="pct"/>
            <w:vAlign w:val="bottom"/>
          </w:tcPr>
          <w:p w14:paraId="01D6F2BB" w14:textId="77777777" w:rsidR="001D7220" w:rsidRPr="00471CBA" w:rsidRDefault="001D7220" w:rsidP="001D7220">
            <w:pPr>
              <w:tabs>
                <w:tab w:val="left" w:pos="540"/>
                <w:tab w:val="num" w:pos="720"/>
              </w:tabs>
              <w:jc w:val="both"/>
              <w:rPr>
                <w:bCs/>
                <w:szCs w:val="20"/>
              </w:rPr>
            </w:pPr>
            <w:r w:rsidRPr="00471CBA">
              <w:rPr>
                <w:bCs/>
                <w:szCs w:val="20"/>
              </w:rPr>
              <w:t>İptal edilen karşılık</w:t>
            </w:r>
          </w:p>
        </w:tc>
        <w:tc>
          <w:tcPr>
            <w:tcW w:w="952" w:type="pct"/>
            <w:vAlign w:val="center"/>
          </w:tcPr>
          <w:p w14:paraId="3BE14647" w14:textId="79177DD6" w:rsidR="001D7220" w:rsidRPr="005659E5" w:rsidRDefault="001D7220" w:rsidP="001D7220">
            <w:pPr>
              <w:ind w:right="80"/>
              <w:jc w:val="right"/>
            </w:pPr>
            <w:r w:rsidRPr="005659E5">
              <w:rPr>
                <w:color w:val="000000"/>
                <w:szCs w:val="20"/>
              </w:rPr>
              <w:t>-</w:t>
            </w:r>
          </w:p>
        </w:tc>
      </w:tr>
      <w:tr w:rsidR="001D7220" w:rsidRPr="00471CBA" w14:paraId="7EBADDAC" w14:textId="77777777" w:rsidTr="00844462">
        <w:trPr>
          <w:trHeight w:val="158"/>
        </w:trPr>
        <w:tc>
          <w:tcPr>
            <w:tcW w:w="4048" w:type="pct"/>
            <w:tcBorders>
              <w:bottom w:val="single" w:sz="4" w:space="0" w:color="auto"/>
            </w:tcBorders>
            <w:vAlign w:val="bottom"/>
          </w:tcPr>
          <w:p w14:paraId="43C7765F" w14:textId="77777777" w:rsidR="001D7220" w:rsidRPr="00471CBA" w:rsidRDefault="001D7220" w:rsidP="001D7220">
            <w:pPr>
              <w:tabs>
                <w:tab w:val="left" w:pos="540"/>
                <w:tab w:val="num" w:pos="720"/>
              </w:tabs>
              <w:jc w:val="both"/>
              <w:rPr>
                <w:bCs/>
                <w:szCs w:val="20"/>
              </w:rPr>
            </w:pPr>
            <w:proofErr w:type="spellStart"/>
            <w:r w:rsidRPr="00471CBA">
              <w:rPr>
                <w:bCs/>
                <w:szCs w:val="20"/>
              </w:rPr>
              <w:t>Aktüeryal</w:t>
            </w:r>
            <w:proofErr w:type="spellEnd"/>
            <w:r w:rsidRPr="00471CBA">
              <w:rPr>
                <w:bCs/>
                <w:szCs w:val="20"/>
              </w:rPr>
              <w:t xml:space="preserve"> (kazanç)/kayıp</w:t>
            </w:r>
          </w:p>
        </w:tc>
        <w:tc>
          <w:tcPr>
            <w:tcW w:w="952" w:type="pct"/>
            <w:tcBorders>
              <w:bottom w:val="single" w:sz="4" w:space="0" w:color="auto"/>
            </w:tcBorders>
            <w:vAlign w:val="center"/>
          </w:tcPr>
          <w:p w14:paraId="7E2E12FE" w14:textId="4CEF30EB" w:rsidR="001D7220" w:rsidRPr="005659E5" w:rsidRDefault="001D7220" w:rsidP="001D7220">
            <w:pPr>
              <w:ind w:right="80"/>
              <w:jc w:val="right"/>
            </w:pPr>
            <w:r w:rsidRPr="005659E5">
              <w:rPr>
                <w:color w:val="000000"/>
                <w:szCs w:val="20"/>
              </w:rPr>
              <w:t>1.454</w:t>
            </w:r>
          </w:p>
        </w:tc>
      </w:tr>
      <w:tr w:rsidR="001D7220" w:rsidRPr="00471CBA" w14:paraId="22897D16" w14:textId="77777777" w:rsidTr="00844462">
        <w:trPr>
          <w:trHeight w:val="74"/>
        </w:trPr>
        <w:tc>
          <w:tcPr>
            <w:tcW w:w="4048" w:type="pct"/>
            <w:tcBorders>
              <w:top w:val="single" w:sz="4" w:space="0" w:color="auto"/>
            </w:tcBorders>
            <w:vAlign w:val="bottom"/>
          </w:tcPr>
          <w:p w14:paraId="61D7080B" w14:textId="77777777" w:rsidR="001D7220" w:rsidRPr="00471CBA" w:rsidRDefault="001D7220" w:rsidP="001D7220">
            <w:pPr>
              <w:tabs>
                <w:tab w:val="left" w:pos="540"/>
                <w:tab w:val="num" w:pos="720"/>
              </w:tabs>
              <w:jc w:val="both"/>
              <w:rPr>
                <w:b/>
                <w:bCs/>
                <w:szCs w:val="20"/>
              </w:rPr>
            </w:pPr>
          </w:p>
        </w:tc>
        <w:tc>
          <w:tcPr>
            <w:tcW w:w="952" w:type="pct"/>
            <w:tcBorders>
              <w:top w:val="single" w:sz="4" w:space="0" w:color="auto"/>
            </w:tcBorders>
            <w:vAlign w:val="center"/>
          </w:tcPr>
          <w:p w14:paraId="15D25CDD" w14:textId="77777777" w:rsidR="001D7220" w:rsidRPr="005659E5" w:rsidRDefault="001D7220" w:rsidP="001D7220">
            <w:pPr>
              <w:ind w:right="80"/>
              <w:jc w:val="right"/>
              <w:rPr>
                <w:bCs/>
                <w:szCs w:val="20"/>
              </w:rPr>
            </w:pPr>
          </w:p>
        </w:tc>
      </w:tr>
      <w:tr w:rsidR="001D7220" w:rsidRPr="00471CBA" w14:paraId="687CE9DA" w14:textId="77777777" w:rsidTr="00844462">
        <w:trPr>
          <w:trHeight w:val="158"/>
        </w:trPr>
        <w:tc>
          <w:tcPr>
            <w:tcW w:w="4048" w:type="pct"/>
            <w:tcBorders>
              <w:bottom w:val="single" w:sz="12" w:space="0" w:color="auto"/>
            </w:tcBorders>
            <w:vAlign w:val="bottom"/>
          </w:tcPr>
          <w:p w14:paraId="0F907F40" w14:textId="77777777" w:rsidR="001D7220" w:rsidRPr="00471CBA" w:rsidRDefault="001D7220" w:rsidP="001D7220">
            <w:pPr>
              <w:tabs>
                <w:tab w:val="left" w:pos="540"/>
                <w:tab w:val="num" w:pos="720"/>
              </w:tabs>
              <w:jc w:val="both"/>
              <w:rPr>
                <w:b/>
                <w:bCs/>
                <w:szCs w:val="20"/>
              </w:rPr>
            </w:pPr>
            <w:r w:rsidRPr="00471CBA">
              <w:rPr>
                <w:b/>
                <w:bCs/>
                <w:szCs w:val="20"/>
              </w:rPr>
              <w:t>Dönem sonu bakiyesi</w:t>
            </w:r>
          </w:p>
        </w:tc>
        <w:tc>
          <w:tcPr>
            <w:tcW w:w="952" w:type="pct"/>
            <w:tcBorders>
              <w:bottom w:val="single" w:sz="12" w:space="0" w:color="auto"/>
            </w:tcBorders>
            <w:vAlign w:val="center"/>
          </w:tcPr>
          <w:p w14:paraId="5E5537B5" w14:textId="6DDD544F" w:rsidR="001D7220" w:rsidRPr="005659E5" w:rsidRDefault="001D7220" w:rsidP="001D7220">
            <w:pPr>
              <w:ind w:right="80"/>
              <w:jc w:val="right"/>
              <w:rPr>
                <w:b/>
                <w:bCs/>
              </w:rPr>
            </w:pPr>
            <w:r w:rsidRPr="005659E5">
              <w:rPr>
                <w:b/>
                <w:bCs/>
                <w:color w:val="000000"/>
                <w:szCs w:val="20"/>
              </w:rPr>
              <w:t>28.237</w:t>
            </w:r>
          </w:p>
        </w:tc>
      </w:tr>
      <w:bookmarkEnd w:id="129"/>
    </w:tbl>
    <w:p w14:paraId="53774D2B" w14:textId="77777777" w:rsidR="008679D6" w:rsidRPr="00471CBA" w:rsidRDefault="008679D6" w:rsidP="00125871"/>
    <w:tbl>
      <w:tblPr>
        <w:tblW w:w="5000" w:type="pct"/>
        <w:tblCellMar>
          <w:left w:w="0" w:type="dxa"/>
          <w:right w:w="0" w:type="dxa"/>
        </w:tblCellMar>
        <w:tblLook w:val="0000" w:firstRow="0" w:lastRow="0" w:firstColumn="0" w:lastColumn="0" w:noHBand="0" w:noVBand="0"/>
      </w:tblPr>
      <w:tblGrid>
        <w:gridCol w:w="7574"/>
        <w:gridCol w:w="1781"/>
      </w:tblGrid>
      <w:tr w:rsidR="000161F6" w:rsidRPr="00471CBA" w14:paraId="3A9D1695" w14:textId="77777777" w:rsidTr="000161F6">
        <w:trPr>
          <w:trHeight w:val="158"/>
        </w:trPr>
        <w:tc>
          <w:tcPr>
            <w:tcW w:w="4048" w:type="pct"/>
            <w:shd w:val="clear" w:color="auto" w:fill="FFFFFF"/>
            <w:vAlign w:val="bottom"/>
          </w:tcPr>
          <w:p w14:paraId="586BE07B" w14:textId="77777777" w:rsidR="000161F6" w:rsidRPr="00471CBA" w:rsidRDefault="000161F6" w:rsidP="00671CCE">
            <w:pPr>
              <w:tabs>
                <w:tab w:val="left" w:pos="540"/>
                <w:tab w:val="num" w:pos="720"/>
              </w:tabs>
              <w:jc w:val="both"/>
              <w:rPr>
                <w:b/>
                <w:bCs/>
                <w:szCs w:val="20"/>
              </w:rPr>
            </w:pPr>
          </w:p>
        </w:tc>
        <w:tc>
          <w:tcPr>
            <w:tcW w:w="952" w:type="pct"/>
            <w:shd w:val="clear" w:color="auto" w:fill="FFFFFF"/>
            <w:vAlign w:val="bottom"/>
          </w:tcPr>
          <w:p w14:paraId="4A2CFAC4" w14:textId="77777777" w:rsidR="000161F6" w:rsidRPr="00471CBA" w:rsidRDefault="000161F6" w:rsidP="00671CCE">
            <w:pPr>
              <w:tabs>
                <w:tab w:val="left" w:pos="180"/>
              </w:tabs>
              <w:ind w:right="68"/>
              <w:jc w:val="right"/>
              <w:rPr>
                <w:b/>
                <w:szCs w:val="20"/>
              </w:rPr>
            </w:pPr>
            <w:r w:rsidRPr="00471CBA">
              <w:rPr>
                <w:b/>
                <w:szCs w:val="20"/>
              </w:rPr>
              <w:t>31 Aralık 2024</w:t>
            </w:r>
          </w:p>
        </w:tc>
      </w:tr>
      <w:tr w:rsidR="000161F6" w:rsidRPr="00471CBA" w14:paraId="159D4E82" w14:textId="77777777" w:rsidTr="000161F6">
        <w:trPr>
          <w:trHeight w:val="158"/>
        </w:trPr>
        <w:tc>
          <w:tcPr>
            <w:tcW w:w="4048" w:type="pct"/>
            <w:shd w:val="clear" w:color="auto" w:fill="FFFFFF"/>
            <w:vAlign w:val="bottom"/>
          </w:tcPr>
          <w:p w14:paraId="377822C1" w14:textId="77777777" w:rsidR="000161F6" w:rsidRPr="00471CBA" w:rsidRDefault="000161F6" w:rsidP="00671CCE">
            <w:pPr>
              <w:tabs>
                <w:tab w:val="left" w:pos="540"/>
                <w:tab w:val="num" w:pos="720"/>
              </w:tabs>
              <w:jc w:val="both"/>
              <w:rPr>
                <w:b/>
                <w:bCs/>
                <w:szCs w:val="20"/>
              </w:rPr>
            </w:pPr>
          </w:p>
        </w:tc>
        <w:tc>
          <w:tcPr>
            <w:tcW w:w="952" w:type="pct"/>
            <w:shd w:val="clear" w:color="auto" w:fill="FFFFFF"/>
            <w:vAlign w:val="center"/>
          </w:tcPr>
          <w:p w14:paraId="45D84A0A" w14:textId="77777777" w:rsidR="000161F6" w:rsidRPr="00471CBA" w:rsidRDefault="000161F6" w:rsidP="00671CCE">
            <w:pPr>
              <w:tabs>
                <w:tab w:val="left" w:pos="180"/>
              </w:tabs>
              <w:ind w:right="68"/>
              <w:jc w:val="right"/>
              <w:rPr>
                <w:b/>
                <w:szCs w:val="20"/>
              </w:rPr>
            </w:pPr>
          </w:p>
        </w:tc>
      </w:tr>
      <w:tr w:rsidR="000161F6" w:rsidRPr="00471CBA" w14:paraId="1FD53B36" w14:textId="77777777" w:rsidTr="000161F6">
        <w:trPr>
          <w:trHeight w:val="158"/>
        </w:trPr>
        <w:tc>
          <w:tcPr>
            <w:tcW w:w="4048" w:type="pct"/>
            <w:vAlign w:val="bottom"/>
          </w:tcPr>
          <w:p w14:paraId="4ED981C8" w14:textId="77777777" w:rsidR="000161F6" w:rsidRPr="00471CBA" w:rsidRDefault="000161F6" w:rsidP="00671CCE">
            <w:pPr>
              <w:tabs>
                <w:tab w:val="left" w:pos="540"/>
                <w:tab w:val="num" w:pos="720"/>
              </w:tabs>
              <w:jc w:val="both"/>
              <w:rPr>
                <w:bCs/>
                <w:szCs w:val="20"/>
              </w:rPr>
            </w:pPr>
            <w:r w:rsidRPr="00471CBA">
              <w:rPr>
                <w:bCs/>
                <w:szCs w:val="20"/>
              </w:rPr>
              <w:t>Önceki dönem sonu bakiyesi</w:t>
            </w:r>
          </w:p>
        </w:tc>
        <w:tc>
          <w:tcPr>
            <w:tcW w:w="952" w:type="pct"/>
          </w:tcPr>
          <w:p w14:paraId="0F288078" w14:textId="77777777" w:rsidR="000161F6" w:rsidRPr="00471CBA" w:rsidRDefault="000161F6" w:rsidP="00671CCE">
            <w:pPr>
              <w:ind w:right="80"/>
              <w:jc w:val="right"/>
              <w:rPr>
                <w:bCs/>
                <w:szCs w:val="20"/>
              </w:rPr>
            </w:pPr>
            <w:r w:rsidRPr="00471CBA">
              <w:t>10.731</w:t>
            </w:r>
          </w:p>
        </w:tc>
      </w:tr>
      <w:tr w:rsidR="000161F6" w:rsidRPr="00471CBA" w14:paraId="30584452" w14:textId="77777777" w:rsidTr="000161F6">
        <w:trPr>
          <w:trHeight w:val="158"/>
        </w:trPr>
        <w:tc>
          <w:tcPr>
            <w:tcW w:w="4048" w:type="pct"/>
            <w:vAlign w:val="bottom"/>
          </w:tcPr>
          <w:p w14:paraId="524D4242" w14:textId="77777777" w:rsidR="000161F6" w:rsidRPr="00471CBA" w:rsidRDefault="000161F6" w:rsidP="00671CCE">
            <w:pPr>
              <w:tabs>
                <w:tab w:val="left" w:pos="540"/>
                <w:tab w:val="num" w:pos="720"/>
              </w:tabs>
              <w:jc w:val="both"/>
              <w:rPr>
                <w:bCs/>
                <w:szCs w:val="20"/>
              </w:rPr>
            </w:pPr>
            <w:r w:rsidRPr="00471CBA">
              <w:rPr>
                <w:bCs/>
                <w:szCs w:val="20"/>
              </w:rPr>
              <w:t>Dönem içinde ayrılan karşılık tutarı</w:t>
            </w:r>
          </w:p>
        </w:tc>
        <w:tc>
          <w:tcPr>
            <w:tcW w:w="952" w:type="pct"/>
          </w:tcPr>
          <w:p w14:paraId="3C3DF7CD" w14:textId="77777777" w:rsidR="000161F6" w:rsidRPr="00471CBA" w:rsidRDefault="000161F6" w:rsidP="00671CCE">
            <w:pPr>
              <w:ind w:right="80"/>
              <w:jc w:val="right"/>
            </w:pPr>
            <w:r w:rsidRPr="00471CBA">
              <w:t>-</w:t>
            </w:r>
          </w:p>
        </w:tc>
      </w:tr>
      <w:tr w:rsidR="000161F6" w:rsidRPr="00471CBA" w14:paraId="5621A8BB" w14:textId="77777777" w:rsidTr="000161F6">
        <w:trPr>
          <w:trHeight w:val="158"/>
        </w:trPr>
        <w:tc>
          <w:tcPr>
            <w:tcW w:w="4048" w:type="pct"/>
            <w:vAlign w:val="bottom"/>
          </w:tcPr>
          <w:p w14:paraId="4541D741" w14:textId="77777777" w:rsidR="000161F6" w:rsidRPr="00471CBA" w:rsidRDefault="000161F6" w:rsidP="00671CCE">
            <w:pPr>
              <w:tabs>
                <w:tab w:val="left" w:pos="540"/>
                <w:tab w:val="num" w:pos="720"/>
              </w:tabs>
              <w:jc w:val="both"/>
              <w:rPr>
                <w:bCs/>
                <w:szCs w:val="20"/>
              </w:rPr>
            </w:pPr>
            <w:r w:rsidRPr="00471CBA">
              <w:rPr>
                <w:bCs/>
                <w:szCs w:val="20"/>
              </w:rPr>
              <w:t>İptal edilen karşılık</w:t>
            </w:r>
          </w:p>
        </w:tc>
        <w:tc>
          <w:tcPr>
            <w:tcW w:w="952" w:type="pct"/>
          </w:tcPr>
          <w:p w14:paraId="3177A5D5" w14:textId="77777777" w:rsidR="000161F6" w:rsidRPr="00471CBA" w:rsidRDefault="000161F6" w:rsidP="00671CCE">
            <w:pPr>
              <w:ind w:right="80"/>
              <w:jc w:val="right"/>
              <w:rPr>
                <w:bCs/>
                <w:szCs w:val="20"/>
              </w:rPr>
            </w:pPr>
            <w:r w:rsidRPr="00471CBA">
              <w:t>(3.560)</w:t>
            </w:r>
          </w:p>
        </w:tc>
      </w:tr>
      <w:tr w:rsidR="000161F6" w:rsidRPr="00471CBA" w14:paraId="7C132BFE" w14:textId="77777777" w:rsidTr="000161F6">
        <w:trPr>
          <w:trHeight w:val="158"/>
        </w:trPr>
        <w:tc>
          <w:tcPr>
            <w:tcW w:w="4048" w:type="pct"/>
            <w:tcBorders>
              <w:bottom w:val="single" w:sz="4" w:space="0" w:color="auto"/>
            </w:tcBorders>
            <w:vAlign w:val="bottom"/>
          </w:tcPr>
          <w:p w14:paraId="6452EB4B" w14:textId="77777777" w:rsidR="000161F6" w:rsidRPr="00471CBA" w:rsidRDefault="000161F6" w:rsidP="00671CCE">
            <w:pPr>
              <w:tabs>
                <w:tab w:val="left" w:pos="540"/>
                <w:tab w:val="num" w:pos="720"/>
              </w:tabs>
              <w:jc w:val="both"/>
              <w:rPr>
                <w:bCs/>
                <w:szCs w:val="20"/>
              </w:rPr>
            </w:pPr>
            <w:proofErr w:type="spellStart"/>
            <w:r w:rsidRPr="00471CBA">
              <w:rPr>
                <w:bCs/>
                <w:szCs w:val="20"/>
              </w:rPr>
              <w:t>Aktüeryal</w:t>
            </w:r>
            <w:proofErr w:type="spellEnd"/>
            <w:r w:rsidRPr="00471CBA">
              <w:rPr>
                <w:bCs/>
                <w:szCs w:val="20"/>
              </w:rPr>
              <w:t xml:space="preserve"> (kazanç)/kayıp</w:t>
            </w:r>
          </w:p>
        </w:tc>
        <w:tc>
          <w:tcPr>
            <w:tcW w:w="952" w:type="pct"/>
            <w:tcBorders>
              <w:bottom w:val="single" w:sz="4" w:space="0" w:color="auto"/>
            </w:tcBorders>
          </w:tcPr>
          <w:p w14:paraId="59B12632" w14:textId="77777777" w:rsidR="000161F6" w:rsidRPr="00471CBA" w:rsidRDefault="000161F6" w:rsidP="00671CCE">
            <w:pPr>
              <w:ind w:right="80"/>
              <w:jc w:val="right"/>
              <w:rPr>
                <w:bCs/>
                <w:szCs w:val="20"/>
              </w:rPr>
            </w:pPr>
            <w:r w:rsidRPr="00471CBA">
              <w:t>6.531</w:t>
            </w:r>
          </w:p>
        </w:tc>
      </w:tr>
      <w:tr w:rsidR="000161F6" w:rsidRPr="00471CBA" w14:paraId="67B0DDD0" w14:textId="77777777" w:rsidTr="000161F6">
        <w:trPr>
          <w:trHeight w:val="74"/>
        </w:trPr>
        <w:tc>
          <w:tcPr>
            <w:tcW w:w="4048" w:type="pct"/>
            <w:tcBorders>
              <w:top w:val="single" w:sz="4" w:space="0" w:color="auto"/>
            </w:tcBorders>
            <w:vAlign w:val="bottom"/>
          </w:tcPr>
          <w:p w14:paraId="068BBBB1" w14:textId="77777777" w:rsidR="000161F6" w:rsidRPr="00471CBA" w:rsidRDefault="000161F6" w:rsidP="00671CCE">
            <w:pPr>
              <w:tabs>
                <w:tab w:val="left" w:pos="540"/>
                <w:tab w:val="num" w:pos="720"/>
              </w:tabs>
              <w:jc w:val="both"/>
              <w:rPr>
                <w:b/>
                <w:bCs/>
                <w:szCs w:val="20"/>
              </w:rPr>
            </w:pPr>
          </w:p>
        </w:tc>
        <w:tc>
          <w:tcPr>
            <w:tcW w:w="952" w:type="pct"/>
            <w:tcBorders>
              <w:top w:val="single" w:sz="4" w:space="0" w:color="auto"/>
            </w:tcBorders>
          </w:tcPr>
          <w:p w14:paraId="1EEF9196" w14:textId="77777777" w:rsidR="000161F6" w:rsidRPr="00471CBA" w:rsidRDefault="000161F6" w:rsidP="00671CCE">
            <w:pPr>
              <w:ind w:right="80"/>
              <w:jc w:val="right"/>
              <w:rPr>
                <w:bCs/>
                <w:szCs w:val="20"/>
              </w:rPr>
            </w:pPr>
          </w:p>
        </w:tc>
      </w:tr>
      <w:tr w:rsidR="000161F6" w:rsidRPr="00471CBA" w14:paraId="06B0D331" w14:textId="77777777" w:rsidTr="000161F6">
        <w:trPr>
          <w:trHeight w:val="158"/>
        </w:trPr>
        <w:tc>
          <w:tcPr>
            <w:tcW w:w="4048" w:type="pct"/>
            <w:tcBorders>
              <w:bottom w:val="single" w:sz="12" w:space="0" w:color="auto"/>
            </w:tcBorders>
            <w:vAlign w:val="bottom"/>
          </w:tcPr>
          <w:p w14:paraId="073A68DB" w14:textId="77777777" w:rsidR="000161F6" w:rsidRPr="00471CBA" w:rsidRDefault="000161F6" w:rsidP="00671CCE">
            <w:pPr>
              <w:tabs>
                <w:tab w:val="left" w:pos="540"/>
                <w:tab w:val="num" w:pos="720"/>
              </w:tabs>
              <w:jc w:val="both"/>
              <w:rPr>
                <w:b/>
                <w:bCs/>
                <w:szCs w:val="20"/>
              </w:rPr>
            </w:pPr>
            <w:r w:rsidRPr="00471CBA">
              <w:rPr>
                <w:b/>
                <w:bCs/>
                <w:szCs w:val="20"/>
              </w:rPr>
              <w:t>Dönem sonu bakiyesi</w:t>
            </w:r>
          </w:p>
        </w:tc>
        <w:tc>
          <w:tcPr>
            <w:tcW w:w="952" w:type="pct"/>
            <w:tcBorders>
              <w:bottom w:val="single" w:sz="12" w:space="0" w:color="auto"/>
            </w:tcBorders>
          </w:tcPr>
          <w:p w14:paraId="1F6F2A27" w14:textId="77777777" w:rsidR="000161F6" w:rsidRPr="00471CBA" w:rsidRDefault="000161F6" w:rsidP="00671CCE">
            <w:pPr>
              <w:ind w:right="80"/>
              <w:jc w:val="right"/>
              <w:rPr>
                <w:b/>
                <w:bCs/>
                <w:szCs w:val="20"/>
              </w:rPr>
            </w:pPr>
            <w:r w:rsidRPr="00471CBA">
              <w:rPr>
                <w:b/>
                <w:bCs/>
              </w:rPr>
              <w:t>13.702</w:t>
            </w:r>
          </w:p>
        </w:tc>
      </w:tr>
    </w:tbl>
    <w:p w14:paraId="490090E2" w14:textId="67A842E4" w:rsidR="000161F6" w:rsidRPr="00471CBA" w:rsidRDefault="000161F6" w:rsidP="008679D6">
      <w:pPr>
        <w:widowControl w:val="0"/>
        <w:tabs>
          <w:tab w:val="left" w:pos="1134"/>
        </w:tabs>
        <w:ind w:left="851"/>
        <w:jc w:val="both"/>
        <w:rPr>
          <w:sz w:val="16"/>
          <w:szCs w:val="16"/>
        </w:rPr>
      </w:pPr>
    </w:p>
    <w:p w14:paraId="3D1B1D8A" w14:textId="77777777" w:rsidR="000161F6" w:rsidRPr="00471CBA" w:rsidRDefault="000161F6" w:rsidP="008679D6">
      <w:pPr>
        <w:widowControl w:val="0"/>
        <w:tabs>
          <w:tab w:val="left" w:pos="1134"/>
        </w:tabs>
        <w:ind w:left="851"/>
        <w:jc w:val="both"/>
        <w:rPr>
          <w:sz w:val="16"/>
          <w:szCs w:val="16"/>
        </w:rPr>
      </w:pPr>
    </w:p>
    <w:p w14:paraId="09C5A691" w14:textId="60731A4F" w:rsidR="00203A33" w:rsidRPr="00471CBA" w:rsidRDefault="00203A33" w:rsidP="00A52751">
      <w:pPr>
        <w:pStyle w:val="Head3"/>
        <w:keepNext w:val="0"/>
        <w:keepLines w:val="0"/>
        <w:widowControl w:val="0"/>
        <w:numPr>
          <w:ilvl w:val="1"/>
          <w:numId w:val="40"/>
        </w:numPr>
        <w:spacing w:before="0" w:after="0" w:line="240" w:lineRule="auto"/>
        <w:ind w:left="567" w:right="0" w:hanging="567"/>
        <w:rPr>
          <w:rStyle w:val="Absatz-Standardschriftart1"/>
          <w:b w:val="0"/>
          <w:bCs w:val="0"/>
          <w:i w:val="0"/>
          <w:iCs w:val="0"/>
          <w:sz w:val="20"/>
          <w:szCs w:val="20"/>
          <w:lang w:eastAsia="tr-TR"/>
        </w:rPr>
      </w:pPr>
      <w:bookmarkStart w:id="130" w:name="_Hlk205802817"/>
      <w:bookmarkEnd w:id="126"/>
      <w:r w:rsidRPr="00471CBA">
        <w:rPr>
          <w:rStyle w:val="Absatz-Standardschriftart1"/>
          <w:bCs w:val="0"/>
          <w:i w:val="0"/>
          <w:iCs w:val="0"/>
          <w:sz w:val="20"/>
          <w:szCs w:val="20"/>
        </w:rPr>
        <w:t>Diğer karşılıkların karşılıklar toplamının %10’unu aşması halinde aşıma sebep olan kalemler ve tutarlarına ilişkin bilgiler</w:t>
      </w:r>
    </w:p>
    <w:p w14:paraId="47B3E1A1" w14:textId="489A2DDF" w:rsidR="00332075" w:rsidRPr="00471CBA" w:rsidRDefault="00332075" w:rsidP="00332075">
      <w:pPr>
        <w:pStyle w:val="Head3"/>
        <w:keepNext w:val="0"/>
        <w:keepLines w:val="0"/>
        <w:widowControl w:val="0"/>
        <w:spacing w:before="0" w:after="0" w:line="240" w:lineRule="auto"/>
        <w:ind w:left="1276" w:right="0" w:firstLine="0"/>
        <w:rPr>
          <w:rStyle w:val="Absatz-Standardschriftart1"/>
          <w:b w:val="0"/>
          <w:bCs w:val="0"/>
          <w:i w:val="0"/>
          <w:iCs w:val="0"/>
          <w:sz w:val="16"/>
          <w:szCs w:val="16"/>
          <w:lang w:eastAsia="tr-TR"/>
        </w:rPr>
      </w:pPr>
    </w:p>
    <w:bookmarkEnd w:id="130"/>
    <w:tbl>
      <w:tblPr>
        <w:tblW w:w="5000" w:type="pct"/>
        <w:tblCellMar>
          <w:left w:w="70" w:type="dxa"/>
          <w:right w:w="70" w:type="dxa"/>
        </w:tblCellMar>
        <w:tblLook w:val="04A0" w:firstRow="1" w:lastRow="0" w:firstColumn="1" w:lastColumn="0" w:noHBand="0" w:noVBand="1"/>
      </w:tblPr>
      <w:tblGrid>
        <w:gridCol w:w="6517"/>
        <w:gridCol w:w="1334"/>
        <w:gridCol w:w="1504"/>
      </w:tblGrid>
      <w:tr w:rsidR="00B137F8" w:rsidRPr="00471CBA" w14:paraId="62742342" w14:textId="77777777" w:rsidTr="00B137F8">
        <w:trPr>
          <w:trHeight w:val="170"/>
        </w:trPr>
        <w:tc>
          <w:tcPr>
            <w:tcW w:w="3483" w:type="pct"/>
            <w:tcBorders>
              <w:top w:val="nil"/>
              <w:left w:val="nil"/>
              <w:bottom w:val="nil"/>
              <w:right w:val="nil"/>
            </w:tcBorders>
            <w:noWrap/>
            <w:vAlign w:val="bottom"/>
            <w:hideMark/>
          </w:tcPr>
          <w:p w14:paraId="68142CAF" w14:textId="77777777" w:rsidR="00B137F8" w:rsidRPr="00471CBA" w:rsidRDefault="00B137F8" w:rsidP="00B137F8">
            <w:pPr>
              <w:rPr>
                <w:sz w:val="18"/>
                <w:szCs w:val="18"/>
                <w:lang w:eastAsia="tr-TR"/>
              </w:rPr>
            </w:pPr>
          </w:p>
        </w:tc>
        <w:tc>
          <w:tcPr>
            <w:tcW w:w="713" w:type="pct"/>
            <w:tcBorders>
              <w:top w:val="nil"/>
              <w:left w:val="nil"/>
              <w:bottom w:val="single" w:sz="4" w:space="0" w:color="auto"/>
              <w:right w:val="nil"/>
            </w:tcBorders>
            <w:noWrap/>
            <w:vAlign w:val="bottom"/>
            <w:hideMark/>
          </w:tcPr>
          <w:p w14:paraId="69031628" w14:textId="1AD5B145" w:rsidR="00B137F8" w:rsidRPr="00471CBA" w:rsidRDefault="005E368D" w:rsidP="00B137F8">
            <w:pPr>
              <w:jc w:val="right"/>
              <w:rPr>
                <w:b/>
                <w:bCs/>
                <w:color w:val="000000"/>
                <w:sz w:val="18"/>
                <w:szCs w:val="18"/>
                <w:lang w:eastAsia="tr-TR"/>
              </w:rPr>
            </w:pPr>
            <w:r w:rsidRPr="00471CBA">
              <w:rPr>
                <w:b/>
                <w:bCs/>
                <w:color w:val="000000"/>
                <w:sz w:val="18"/>
                <w:szCs w:val="18"/>
                <w:lang w:eastAsia="tr-TR"/>
              </w:rPr>
              <w:t>31 Aralık 2025</w:t>
            </w:r>
          </w:p>
        </w:tc>
        <w:tc>
          <w:tcPr>
            <w:tcW w:w="804" w:type="pct"/>
            <w:tcBorders>
              <w:top w:val="nil"/>
              <w:left w:val="nil"/>
              <w:bottom w:val="single" w:sz="4" w:space="0" w:color="auto"/>
              <w:right w:val="nil"/>
            </w:tcBorders>
            <w:noWrap/>
            <w:vAlign w:val="bottom"/>
            <w:hideMark/>
          </w:tcPr>
          <w:p w14:paraId="3675DB8B" w14:textId="77777777" w:rsidR="00B137F8" w:rsidRPr="00471CBA" w:rsidRDefault="00B137F8" w:rsidP="00B137F8">
            <w:pPr>
              <w:jc w:val="right"/>
              <w:rPr>
                <w:b/>
                <w:bCs/>
                <w:color w:val="000000"/>
                <w:sz w:val="18"/>
                <w:szCs w:val="18"/>
                <w:lang w:eastAsia="tr-TR"/>
              </w:rPr>
            </w:pPr>
            <w:r w:rsidRPr="00471CBA">
              <w:rPr>
                <w:b/>
                <w:bCs/>
                <w:color w:val="000000"/>
                <w:sz w:val="18"/>
                <w:szCs w:val="18"/>
                <w:lang w:eastAsia="tr-TR"/>
              </w:rPr>
              <w:t>31 Aralık 2024</w:t>
            </w:r>
          </w:p>
        </w:tc>
      </w:tr>
      <w:tr w:rsidR="00B137F8" w:rsidRPr="00471CBA" w14:paraId="29033780" w14:textId="77777777" w:rsidTr="00B137F8">
        <w:trPr>
          <w:trHeight w:val="170"/>
        </w:trPr>
        <w:tc>
          <w:tcPr>
            <w:tcW w:w="3483" w:type="pct"/>
            <w:tcBorders>
              <w:top w:val="nil"/>
              <w:left w:val="nil"/>
              <w:bottom w:val="nil"/>
              <w:right w:val="nil"/>
            </w:tcBorders>
            <w:noWrap/>
            <w:vAlign w:val="bottom"/>
            <w:hideMark/>
          </w:tcPr>
          <w:p w14:paraId="1C798AEC" w14:textId="77777777" w:rsidR="00B137F8" w:rsidRPr="00471CBA" w:rsidRDefault="00B137F8" w:rsidP="00B137F8">
            <w:pPr>
              <w:rPr>
                <w:b/>
                <w:bCs/>
                <w:color w:val="000000"/>
                <w:sz w:val="18"/>
                <w:szCs w:val="18"/>
                <w:lang w:eastAsia="tr-TR"/>
              </w:rPr>
            </w:pPr>
          </w:p>
        </w:tc>
        <w:tc>
          <w:tcPr>
            <w:tcW w:w="713" w:type="pct"/>
            <w:tcBorders>
              <w:top w:val="nil"/>
              <w:left w:val="nil"/>
              <w:bottom w:val="nil"/>
              <w:right w:val="nil"/>
            </w:tcBorders>
            <w:noWrap/>
            <w:vAlign w:val="bottom"/>
            <w:hideMark/>
          </w:tcPr>
          <w:p w14:paraId="7DD34171" w14:textId="77777777" w:rsidR="00B137F8" w:rsidRPr="00471CBA" w:rsidRDefault="00B137F8" w:rsidP="00B137F8">
            <w:pPr>
              <w:jc w:val="right"/>
              <w:rPr>
                <w:sz w:val="18"/>
                <w:szCs w:val="18"/>
                <w:lang w:eastAsia="tr-TR"/>
              </w:rPr>
            </w:pPr>
          </w:p>
        </w:tc>
        <w:tc>
          <w:tcPr>
            <w:tcW w:w="804" w:type="pct"/>
            <w:tcBorders>
              <w:top w:val="nil"/>
              <w:left w:val="nil"/>
              <w:bottom w:val="nil"/>
              <w:right w:val="nil"/>
            </w:tcBorders>
            <w:noWrap/>
            <w:vAlign w:val="bottom"/>
            <w:hideMark/>
          </w:tcPr>
          <w:p w14:paraId="2C8297B8" w14:textId="77777777" w:rsidR="00B137F8" w:rsidRPr="00471CBA" w:rsidRDefault="00B137F8" w:rsidP="00B137F8">
            <w:pPr>
              <w:jc w:val="right"/>
              <w:rPr>
                <w:sz w:val="18"/>
                <w:szCs w:val="18"/>
                <w:lang w:eastAsia="tr-TR"/>
              </w:rPr>
            </w:pPr>
          </w:p>
        </w:tc>
      </w:tr>
      <w:tr w:rsidR="005E368D" w:rsidRPr="00471CBA" w14:paraId="0B8665BD" w14:textId="77777777" w:rsidTr="00C20BB9">
        <w:trPr>
          <w:trHeight w:val="170"/>
        </w:trPr>
        <w:tc>
          <w:tcPr>
            <w:tcW w:w="3483" w:type="pct"/>
            <w:tcBorders>
              <w:top w:val="nil"/>
              <w:left w:val="nil"/>
              <w:bottom w:val="nil"/>
              <w:right w:val="nil"/>
            </w:tcBorders>
            <w:noWrap/>
            <w:vAlign w:val="bottom"/>
            <w:hideMark/>
          </w:tcPr>
          <w:p w14:paraId="7B74F22D" w14:textId="77777777" w:rsidR="005E368D" w:rsidRPr="00471CBA" w:rsidRDefault="005E368D" w:rsidP="005E368D">
            <w:pPr>
              <w:rPr>
                <w:color w:val="000000"/>
                <w:sz w:val="18"/>
                <w:szCs w:val="18"/>
                <w:lang w:eastAsia="tr-TR"/>
              </w:rPr>
            </w:pPr>
            <w:proofErr w:type="spellStart"/>
            <w:r w:rsidRPr="00471CBA">
              <w:rPr>
                <w:color w:val="000000"/>
                <w:sz w:val="18"/>
                <w:szCs w:val="18"/>
                <w:lang w:eastAsia="tr-TR"/>
              </w:rPr>
              <w:t>Gayrinakdi</w:t>
            </w:r>
            <w:proofErr w:type="spellEnd"/>
            <w:r w:rsidRPr="00471CBA">
              <w:rPr>
                <w:color w:val="000000"/>
                <w:sz w:val="18"/>
                <w:szCs w:val="18"/>
                <w:lang w:eastAsia="tr-TR"/>
              </w:rPr>
              <w:t xml:space="preserve"> krediler birinci ve ikinci aşama beklenen zarar karşılıkları</w:t>
            </w:r>
          </w:p>
        </w:tc>
        <w:tc>
          <w:tcPr>
            <w:tcW w:w="713" w:type="pct"/>
            <w:tcBorders>
              <w:top w:val="nil"/>
              <w:left w:val="nil"/>
              <w:bottom w:val="nil"/>
              <w:right w:val="nil"/>
            </w:tcBorders>
            <w:noWrap/>
            <w:hideMark/>
          </w:tcPr>
          <w:p w14:paraId="507BAFE4" w14:textId="4607D98D" w:rsidR="005E368D" w:rsidRPr="00471CBA" w:rsidRDefault="005E368D" w:rsidP="005E368D">
            <w:pPr>
              <w:jc w:val="right"/>
              <w:rPr>
                <w:color w:val="000000"/>
                <w:sz w:val="18"/>
                <w:szCs w:val="18"/>
                <w:lang w:eastAsia="tr-TR"/>
              </w:rPr>
            </w:pPr>
            <w:r w:rsidRPr="00471CBA">
              <w:rPr>
                <w:sz w:val="18"/>
                <w:szCs w:val="18"/>
              </w:rPr>
              <w:t>62.000</w:t>
            </w:r>
          </w:p>
        </w:tc>
        <w:tc>
          <w:tcPr>
            <w:tcW w:w="804" w:type="pct"/>
            <w:tcBorders>
              <w:top w:val="nil"/>
              <w:left w:val="nil"/>
              <w:bottom w:val="nil"/>
              <w:right w:val="nil"/>
            </w:tcBorders>
            <w:noWrap/>
            <w:vAlign w:val="bottom"/>
            <w:hideMark/>
          </w:tcPr>
          <w:p w14:paraId="3417AE4C" w14:textId="77777777" w:rsidR="005E368D" w:rsidRPr="00471CBA" w:rsidRDefault="005E368D" w:rsidP="005E368D">
            <w:pPr>
              <w:jc w:val="right"/>
              <w:rPr>
                <w:color w:val="000000"/>
                <w:sz w:val="18"/>
                <w:szCs w:val="18"/>
                <w:lang w:eastAsia="tr-TR"/>
              </w:rPr>
            </w:pPr>
            <w:r w:rsidRPr="00471CBA">
              <w:rPr>
                <w:color w:val="000000"/>
                <w:sz w:val="18"/>
                <w:szCs w:val="18"/>
                <w:lang w:eastAsia="tr-TR"/>
              </w:rPr>
              <w:t>-</w:t>
            </w:r>
          </w:p>
        </w:tc>
      </w:tr>
      <w:tr w:rsidR="005E368D" w:rsidRPr="00471CBA" w14:paraId="5471E00F" w14:textId="77777777" w:rsidTr="00C20BB9">
        <w:trPr>
          <w:trHeight w:val="170"/>
        </w:trPr>
        <w:tc>
          <w:tcPr>
            <w:tcW w:w="3483" w:type="pct"/>
            <w:tcBorders>
              <w:top w:val="nil"/>
              <w:left w:val="nil"/>
              <w:bottom w:val="nil"/>
              <w:right w:val="nil"/>
            </w:tcBorders>
            <w:noWrap/>
            <w:vAlign w:val="bottom"/>
            <w:hideMark/>
          </w:tcPr>
          <w:p w14:paraId="3DF9CC1E" w14:textId="77777777" w:rsidR="005E368D" w:rsidRPr="00471CBA" w:rsidRDefault="005E368D" w:rsidP="005E368D">
            <w:pPr>
              <w:rPr>
                <w:color w:val="000000"/>
                <w:sz w:val="18"/>
                <w:szCs w:val="18"/>
                <w:lang w:eastAsia="tr-TR"/>
              </w:rPr>
            </w:pPr>
            <w:r w:rsidRPr="00471CBA">
              <w:rPr>
                <w:color w:val="000000"/>
                <w:sz w:val="18"/>
                <w:szCs w:val="18"/>
                <w:lang w:eastAsia="tr-TR"/>
              </w:rPr>
              <w:t>Katılma hesabına dağıtılacak karlardan ayrılan karşılıklar</w:t>
            </w:r>
          </w:p>
        </w:tc>
        <w:tc>
          <w:tcPr>
            <w:tcW w:w="713" w:type="pct"/>
            <w:tcBorders>
              <w:top w:val="nil"/>
              <w:left w:val="nil"/>
              <w:bottom w:val="nil"/>
              <w:right w:val="nil"/>
            </w:tcBorders>
            <w:noWrap/>
            <w:hideMark/>
          </w:tcPr>
          <w:p w14:paraId="3318672D" w14:textId="2EDFB4CE" w:rsidR="005E368D" w:rsidRPr="00471CBA" w:rsidRDefault="005E368D" w:rsidP="005E368D">
            <w:pPr>
              <w:jc w:val="right"/>
              <w:rPr>
                <w:color w:val="000000"/>
                <w:sz w:val="18"/>
                <w:szCs w:val="18"/>
                <w:lang w:eastAsia="tr-TR"/>
              </w:rPr>
            </w:pPr>
            <w:r w:rsidRPr="00471CBA">
              <w:rPr>
                <w:sz w:val="18"/>
                <w:szCs w:val="18"/>
              </w:rPr>
              <w:t>206.799</w:t>
            </w:r>
          </w:p>
        </w:tc>
        <w:tc>
          <w:tcPr>
            <w:tcW w:w="804" w:type="pct"/>
            <w:tcBorders>
              <w:top w:val="nil"/>
              <w:left w:val="nil"/>
              <w:bottom w:val="nil"/>
              <w:right w:val="nil"/>
            </w:tcBorders>
            <w:noWrap/>
            <w:vAlign w:val="bottom"/>
            <w:hideMark/>
          </w:tcPr>
          <w:p w14:paraId="4A3AFFBD" w14:textId="77777777" w:rsidR="005E368D" w:rsidRPr="00471CBA" w:rsidRDefault="005E368D" w:rsidP="005E368D">
            <w:pPr>
              <w:jc w:val="right"/>
              <w:rPr>
                <w:color w:val="000000"/>
                <w:sz w:val="18"/>
                <w:szCs w:val="18"/>
                <w:lang w:eastAsia="tr-TR"/>
              </w:rPr>
            </w:pPr>
            <w:r w:rsidRPr="00471CBA">
              <w:rPr>
                <w:color w:val="000000"/>
                <w:sz w:val="18"/>
                <w:szCs w:val="18"/>
                <w:lang w:eastAsia="tr-TR"/>
              </w:rPr>
              <w:t>-</w:t>
            </w:r>
          </w:p>
        </w:tc>
      </w:tr>
      <w:tr w:rsidR="005E368D" w:rsidRPr="00471CBA" w14:paraId="449522BF" w14:textId="77777777" w:rsidTr="00C20BB9">
        <w:trPr>
          <w:trHeight w:val="170"/>
        </w:trPr>
        <w:tc>
          <w:tcPr>
            <w:tcW w:w="3483" w:type="pct"/>
            <w:tcBorders>
              <w:top w:val="nil"/>
              <w:left w:val="nil"/>
              <w:bottom w:val="single" w:sz="4" w:space="0" w:color="auto"/>
              <w:right w:val="nil"/>
            </w:tcBorders>
            <w:noWrap/>
            <w:vAlign w:val="bottom"/>
            <w:hideMark/>
          </w:tcPr>
          <w:p w14:paraId="2FAD7698" w14:textId="77777777" w:rsidR="005E368D" w:rsidRPr="00471CBA" w:rsidRDefault="005E368D" w:rsidP="005E368D">
            <w:pPr>
              <w:rPr>
                <w:color w:val="000000"/>
                <w:sz w:val="18"/>
                <w:szCs w:val="18"/>
                <w:lang w:eastAsia="tr-TR"/>
              </w:rPr>
            </w:pPr>
            <w:r w:rsidRPr="00471CBA">
              <w:rPr>
                <w:color w:val="000000"/>
                <w:sz w:val="18"/>
                <w:szCs w:val="18"/>
                <w:lang w:eastAsia="tr-TR"/>
              </w:rPr>
              <w:t>Diğer</w:t>
            </w:r>
          </w:p>
        </w:tc>
        <w:tc>
          <w:tcPr>
            <w:tcW w:w="713" w:type="pct"/>
            <w:tcBorders>
              <w:top w:val="nil"/>
              <w:left w:val="nil"/>
              <w:bottom w:val="single" w:sz="4" w:space="0" w:color="auto"/>
              <w:right w:val="nil"/>
            </w:tcBorders>
            <w:noWrap/>
            <w:hideMark/>
          </w:tcPr>
          <w:p w14:paraId="2CAB6236" w14:textId="392E8707" w:rsidR="005E368D" w:rsidRPr="00471CBA" w:rsidRDefault="005E368D" w:rsidP="005E368D">
            <w:pPr>
              <w:jc w:val="right"/>
              <w:rPr>
                <w:color w:val="000000"/>
                <w:sz w:val="18"/>
                <w:szCs w:val="18"/>
                <w:lang w:eastAsia="tr-TR"/>
              </w:rPr>
            </w:pPr>
            <w:r w:rsidRPr="00471CBA">
              <w:rPr>
                <w:sz w:val="18"/>
                <w:szCs w:val="18"/>
              </w:rPr>
              <w:t>51</w:t>
            </w:r>
          </w:p>
        </w:tc>
        <w:tc>
          <w:tcPr>
            <w:tcW w:w="804" w:type="pct"/>
            <w:tcBorders>
              <w:top w:val="nil"/>
              <w:left w:val="nil"/>
              <w:bottom w:val="single" w:sz="4" w:space="0" w:color="auto"/>
              <w:right w:val="nil"/>
            </w:tcBorders>
            <w:noWrap/>
            <w:vAlign w:val="bottom"/>
            <w:hideMark/>
          </w:tcPr>
          <w:p w14:paraId="45E385E9" w14:textId="6B32A437" w:rsidR="005E368D" w:rsidRPr="00471CBA" w:rsidRDefault="005E368D" w:rsidP="005E368D">
            <w:pPr>
              <w:jc w:val="right"/>
              <w:rPr>
                <w:color w:val="000000"/>
                <w:sz w:val="18"/>
                <w:szCs w:val="18"/>
                <w:lang w:eastAsia="tr-TR"/>
              </w:rPr>
            </w:pPr>
            <w:r w:rsidRPr="00471CBA">
              <w:rPr>
                <w:color w:val="000000"/>
                <w:sz w:val="18"/>
                <w:szCs w:val="18"/>
                <w:lang w:eastAsia="tr-TR"/>
              </w:rPr>
              <w:t>51</w:t>
            </w:r>
          </w:p>
        </w:tc>
      </w:tr>
      <w:tr w:rsidR="005E368D" w:rsidRPr="00471CBA" w14:paraId="3C64A552" w14:textId="77777777" w:rsidTr="00C20BB9">
        <w:trPr>
          <w:trHeight w:val="170"/>
        </w:trPr>
        <w:tc>
          <w:tcPr>
            <w:tcW w:w="3483" w:type="pct"/>
            <w:tcBorders>
              <w:top w:val="nil"/>
              <w:left w:val="nil"/>
              <w:bottom w:val="nil"/>
              <w:right w:val="nil"/>
            </w:tcBorders>
            <w:noWrap/>
            <w:vAlign w:val="bottom"/>
            <w:hideMark/>
          </w:tcPr>
          <w:p w14:paraId="2862D0D4" w14:textId="77777777" w:rsidR="005E368D" w:rsidRPr="00471CBA" w:rsidRDefault="005E368D" w:rsidP="005E368D">
            <w:pPr>
              <w:jc w:val="right"/>
              <w:rPr>
                <w:color w:val="000000"/>
                <w:sz w:val="18"/>
                <w:szCs w:val="18"/>
                <w:lang w:eastAsia="tr-TR"/>
              </w:rPr>
            </w:pPr>
          </w:p>
        </w:tc>
        <w:tc>
          <w:tcPr>
            <w:tcW w:w="713" w:type="pct"/>
            <w:tcBorders>
              <w:top w:val="nil"/>
              <w:left w:val="nil"/>
              <w:bottom w:val="nil"/>
              <w:right w:val="nil"/>
            </w:tcBorders>
            <w:noWrap/>
            <w:hideMark/>
          </w:tcPr>
          <w:p w14:paraId="71F22DE1" w14:textId="77777777" w:rsidR="005E368D" w:rsidRPr="00471CBA" w:rsidRDefault="005E368D" w:rsidP="005E368D">
            <w:pPr>
              <w:jc w:val="right"/>
              <w:rPr>
                <w:sz w:val="18"/>
                <w:szCs w:val="18"/>
                <w:lang w:eastAsia="tr-TR"/>
              </w:rPr>
            </w:pPr>
          </w:p>
        </w:tc>
        <w:tc>
          <w:tcPr>
            <w:tcW w:w="804" w:type="pct"/>
            <w:tcBorders>
              <w:top w:val="nil"/>
              <w:left w:val="nil"/>
              <w:bottom w:val="nil"/>
              <w:right w:val="nil"/>
            </w:tcBorders>
            <w:noWrap/>
            <w:vAlign w:val="bottom"/>
            <w:hideMark/>
          </w:tcPr>
          <w:p w14:paraId="72D6FAE9" w14:textId="77777777" w:rsidR="005E368D" w:rsidRPr="00471CBA" w:rsidRDefault="005E368D" w:rsidP="005E368D">
            <w:pPr>
              <w:jc w:val="right"/>
              <w:rPr>
                <w:sz w:val="18"/>
                <w:szCs w:val="18"/>
                <w:lang w:eastAsia="tr-TR"/>
              </w:rPr>
            </w:pPr>
          </w:p>
        </w:tc>
      </w:tr>
      <w:tr w:rsidR="005E368D" w:rsidRPr="00471CBA" w14:paraId="3831F133" w14:textId="77777777" w:rsidTr="00C20BB9">
        <w:trPr>
          <w:trHeight w:val="170"/>
        </w:trPr>
        <w:tc>
          <w:tcPr>
            <w:tcW w:w="3483" w:type="pct"/>
            <w:tcBorders>
              <w:top w:val="nil"/>
              <w:left w:val="nil"/>
              <w:bottom w:val="single" w:sz="8" w:space="0" w:color="auto"/>
              <w:right w:val="nil"/>
            </w:tcBorders>
            <w:hideMark/>
          </w:tcPr>
          <w:p w14:paraId="7C270B2F" w14:textId="77777777" w:rsidR="005E368D" w:rsidRPr="00471CBA" w:rsidRDefault="005E368D" w:rsidP="005E368D">
            <w:pPr>
              <w:jc w:val="both"/>
              <w:rPr>
                <w:b/>
                <w:bCs/>
                <w:color w:val="000000"/>
                <w:sz w:val="18"/>
                <w:szCs w:val="18"/>
                <w:lang w:eastAsia="tr-TR"/>
              </w:rPr>
            </w:pPr>
            <w:r w:rsidRPr="00471CBA">
              <w:rPr>
                <w:b/>
                <w:bCs/>
                <w:color w:val="000000"/>
                <w:sz w:val="18"/>
                <w:szCs w:val="18"/>
                <w:lang w:eastAsia="tr-TR"/>
              </w:rPr>
              <w:t>Toplam</w:t>
            </w:r>
          </w:p>
        </w:tc>
        <w:tc>
          <w:tcPr>
            <w:tcW w:w="713" w:type="pct"/>
            <w:tcBorders>
              <w:top w:val="nil"/>
              <w:left w:val="nil"/>
              <w:bottom w:val="single" w:sz="8" w:space="0" w:color="auto"/>
              <w:right w:val="nil"/>
            </w:tcBorders>
            <w:noWrap/>
            <w:hideMark/>
          </w:tcPr>
          <w:p w14:paraId="00E50676" w14:textId="78006873" w:rsidR="005E368D" w:rsidRPr="00471CBA" w:rsidRDefault="005E368D" w:rsidP="005E368D">
            <w:pPr>
              <w:jc w:val="right"/>
              <w:rPr>
                <w:b/>
                <w:bCs/>
                <w:color w:val="000000"/>
                <w:sz w:val="18"/>
                <w:szCs w:val="18"/>
                <w:lang w:eastAsia="tr-TR"/>
              </w:rPr>
            </w:pPr>
            <w:r w:rsidRPr="00471CBA">
              <w:rPr>
                <w:sz w:val="18"/>
                <w:szCs w:val="18"/>
              </w:rPr>
              <w:t>268.850</w:t>
            </w:r>
          </w:p>
        </w:tc>
        <w:tc>
          <w:tcPr>
            <w:tcW w:w="804" w:type="pct"/>
            <w:tcBorders>
              <w:top w:val="nil"/>
              <w:left w:val="nil"/>
              <w:bottom w:val="single" w:sz="8" w:space="0" w:color="auto"/>
              <w:right w:val="nil"/>
            </w:tcBorders>
            <w:noWrap/>
            <w:vAlign w:val="bottom"/>
            <w:hideMark/>
          </w:tcPr>
          <w:p w14:paraId="6D357E0F" w14:textId="77777777" w:rsidR="005E368D" w:rsidRPr="00471CBA" w:rsidRDefault="005E368D" w:rsidP="005E368D">
            <w:pPr>
              <w:jc w:val="right"/>
              <w:rPr>
                <w:b/>
                <w:bCs/>
                <w:color w:val="000000"/>
                <w:sz w:val="18"/>
                <w:szCs w:val="18"/>
                <w:lang w:eastAsia="tr-TR"/>
              </w:rPr>
            </w:pPr>
            <w:r w:rsidRPr="00471CBA">
              <w:rPr>
                <w:b/>
                <w:bCs/>
                <w:color w:val="000000"/>
                <w:sz w:val="18"/>
                <w:szCs w:val="18"/>
                <w:lang w:eastAsia="tr-TR"/>
              </w:rPr>
              <w:t>51</w:t>
            </w:r>
          </w:p>
        </w:tc>
      </w:tr>
    </w:tbl>
    <w:p w14:paraId="3470C80E" w14:textId="77777777" w:rsidR="006C2429" w:rsidRPr="00471CBA" w:rsidRDefault="006C2429" w:rsidP="003908F8">
      <w:pPr>
        <w:widowControl w:val="0"/>
        <w:spacing w:line="235" w:lineRule="auto"/>
        <w:ind w:left="720" w:hanging="720"/>
        <w:jc w:val="both"/>
        <w:rPr>
          <w:b/>
          <w:szCs w:val="20"/>
        </w:rPr>
      </w:pPr>
    </w:p>
    <w:p w14:paraId="3384AB9C" w14:textId="4900B7C5" w:rsidR="00203A33" w:rsidRPr="00471CBA" w:rsidRDefault="00203A33" w:rsidP="008459A9">
      <w:pPr>
        <w:pStyle w:val="xl79"/>
        <w:widowControl w:val="0"/>
        <w:numPr>
          <w:ilvl w:val="0"/>
          <w:numId w:val="60"/>
        </w:numPr>
        <w:pBdr>
          <w:left w:val="none" w:sz="0" w:space="0" w:color="auto"/>
          <w:bottom w:val="none" w:sz="0" w:space="0" w:color="auto"/>
          <w:right w:val="none" w:sz="0" w:space="0" w:color="auto"/>
        </w:pBdr>
        <w:tabs>
          <w:tab w:val="left" w:pos="-1800"/>
        </w:tabs>
        <w:spacing w:before="0" w:beforeAutospacing="0" w:after="0" w:afterAutospacing="0"/>
        <w:ind w:left="851" w:hanging="851"/>
        <w:jc w:val="both"/>
        <w:rPr>
          <w:b/>
          <w:noProof w:val="0"/>
          <w:sz w:val="20"/>
          <w:szCs w:val="20"/>
        </w:rPr>
      </w:pPr>
      <w:r w:rsidRPr="00471CBA">
        <w:rPr>
          <w:b/>
          <w:noProof w:val="0"/>
          <w:sz w:val="20"/>
          <w:szCs w:val="20"/>
        </w:rPr>
        <w:t>Vergi borcuna ilişkin açıklamalar</w:t>
      </w:r>
    </w:p>
    <w:p w14:paraId="03B84CDA" w14:textId="77777777" w:rsidR="00203A33" w:rsidRPr="00471CBA" w:rsidRDefault="00203A33" w:rsidP="00203A33">
      <w:pPr>
        <w:widowControl w:val="0"/>
        <w:ind w:left="851" w:hanging="851"/>
        <w:jc w:val="both"/>
        <w:rPr>
          <w:b/>
          <w:bCs/>
          <w:szCs w:val="20"/>
        </w:rPr>
      </w:pPr>
    </w:p>
    <w:p w14:paraId="5068FE1E" w14:textId="3B96DAA1" w:rsidR="00203A33" w:rsidRPr="00471CBA" w:rsidRDefault="00203A33" w:rsidP="00281456">
      <w:pPr>
        <w:widowControl w:val="0"/>
        <w:ind w:left="1276" w:hanging="425"/>
        <w:jc w:val="both"/>
        <w:rPr>
          <w:b/>
          <w:bCs/>
          <w:szCs w:val="20"/>
        </w:rPr>
      </w:pPr>
      <w:r w:rsidRPr="00471CBA">
        <w:rPr>
          <w:b/>
          <w:bCs/>
          <w:szCs w:val="20"/>
        </w:rPr>
        <w:t>a.</w:t>
      </w:r>
      <w:r w:rsidRPr="00471CBA">
        <w:rPr>
          <w:b/>
          <w:bCs/>
          <w:szCs w:val="20"/>
        </w:rPr>
        <w:tab/>
        <w:t>Cari vergi borcuna ilişkin açıklamalar</w:t>
      </w:r>
    </w:p>
    <w:p w14:paraId="66E9A435" w14:textId="77777777" w:rsidR="00203A33" w:rsidRPr="00471CBA" w:rsidRDefault="00203A33" w:rsidP="00203A33">
      <w:pPr>
        <w:widowControl w:val="0"/>
        <w:ind w:left="851" w:hanging="851"/>
        <w:jc w:val="both"/>
        <w:rPr>
          <w:b/>
          <w:bCs/>
          <w:szCs w:val="20"/>
        </w:rPr>
      </w:pPr>
    </w:p>
    <w:p w14:paraId="3AD5CA26" w14:textId="1C98D187" w:rsidR="00203A33" w:rsidRPr="00471CBA" w:rsidRDefault="00203A33" w:rsidP="00281456">
      <w:pPr>
        <w:widowControl w:val="0"/>
        <w:ind w:left="1276" w:hanging="425"/>
        <w:jc w:val="both"/>
        <w:rPr>
          <w:b/>
          <w:szCs w:val="20"/>
        </w:rPr>
      </w:pPr>
      <w:r w:rsidRPr="00471CBA">
        <w:rPr>
          <w:b/>
          <w:szCs w:val="20"/>
        </w:rPr>
        <w:t>a.</w:t>
      </w:r>
      <w:r w:rsidR="003E0081" w:rsidRPr="00471CBA">
        <w:rPr>
          <w:b/>
          <w:szCs w:val="20"/>
        </w:rPr>
        <w:t>1</w:t>
      </w:r>
      <w:r w:rsidRPr="00471CBA">
        <w:rPr>
          <w:b/>
          <w:szCs w:val="20"/>
        </w:rPr>
        <w:t>.</w:t>
      </w:r>
      <w:r w:rsidRPr="00471CBA">
        <w:rPr>
          <w:b/>
          <w:szCs w:val="20"/>
        </w:rPr>
        <w:tab/>
      </w:r>
      <w:r w:rsidRPr="00471CBA">
        <w:rPr>
          <w:b/>
          <w:bCs/>
          <w:szCs w:val="20"/>
        </w:rPr>
        <w:t>Ödenecek v</w:t>
      </w:r>
      <w:r w:rsidRPr="00471CBA">
        <w:rPr>
          <w:b/>
          <w:szCs w:val="20"/>
        </w:rPr>
        <w:t>ergilere ilişkin bilgiler:</w:t>
      </w:r>
    </w:p>
    <w:p w14:paraId="18BA8876" w14:textId="4CD8CF04" w:rsidR="00A74C68" w:rsidRPr="00471CBA" w:rsidRDefault="00A74C68" w:rsidP="00203A33">
      <w:pPr>
        <w:widowControl w:val="0"/>
        <w:ind w:left="-567"/>
        <w:jc w:val="both"/>
        <w:rPr>
          <w:szCs w:val="20"/>
        </w:rPr>
      </w:pPr>
    </w:p>
    <w:tbl>
      <w:tblPr>
        <w:tblW w:w="5000" w:type="pct"/>
        <w:tblCellMar>
          <w:left w:w="70" w:type="dxa"/>
          <w:right w:w="70" w:type="dxa"/>
        </w:tblCellMar>
        <w:tblLook w:val="04A0" w:firstRow="1" w:lastRow="0" w:firstColumn="1" w:lastColumn="0" w:noHBand="0" w:noVBand="1"/>
      </w:tblPr>
      <w:tblGrid>
        <w:gridCol w:w="7372"/>
        <w:gridCol w:w="1983"/>
      </w:tblGrid>
      <w:tr w:rsidR="00A74C68" w:rsidRPr="00471CBA" w14:paraId="2FEED73E" w14:textId="77777777" w:rsidTr="00A74C68">
        <w:trPr>
          <w:divId w:val="658385877"/>
          <w:trHeight w:val="227"/>
        </w:trPr>
        <w:tc>
          <w:tcPr>
            <w:tcW w:w="3940" w:type="pct"/>
            <w:tcBorders>
              <w:top w:val="nil"/>
              <w:left w:val="nil"/>
              <w:bottom w:val="nil"/>
              <w:right w:val="nil"/>
            </w:tcBorders>
            <w:shd w:val="clear" w:color="000000" w:fill="FFFFFF"/>
            <w:vAlign w:val="bottom"/>
            <w:hideMark/>
          </w:tcPr>
          <w:p w14:paraId="30959DA1" w14:textId="342208DB" w:rsidR="00A74C68" w:rsidRPr="00471CBA" w:rsidRDefault="00A74C68" w:rsidP="00A74C68">
            <w:pPr>
              <w:jc w:val="center"/>
              <w:rPr>
                <w:b/>
                <w:bCs/>
                <w:color w:val="000000"/>
                <w:szCs w:val="20"/>
                <w:lang w:eastAsia="tr-TR"/>
              </w:rPr>
            </w:pPr>
            <w:r w:rsidRPr="00471CBA">
              <w:rPr>
                <w:b/>
                <w:bCs/>
                <w:color w:val="000000"/>
                <w:szCs w:val="20"/>
              </w:rPr>
              <w:t> </w:t>
            </w:r>
          </w:p>
        </w:tc>
        <w:tc>
          <w:tcPr>
            <w:tcW w:w="1060" w:type="pct"/>
            <w:tcBorders>
              <w:top w:val="nil"/>
              <w:left w:val="nil"/>
              <w:bottom w:val="single" w:sz="4" w:space="0" w:color="auto"/>
              <w:right w:val="nil"/>
            </w:tcBorders>
            <w:noWrap/>
            <w:vAlign w:val="bottom"/>
            <w:hideMark/>
          </w:tcPr>
          <w:p w14:paraId="76CCF563" w14:textId="77777777" w:rsidR="00A74C68" w:rsidRPr="00471CBA" w:rsidRDefault="00A74C68" w:rsidP="00A74C68">
            <w:pPr>
              <w:jc w:val="center"/>
              <w:rPr>
                <w:b/>
                <w:bCs/>
                <w:color w:val="000000"/>
                <w:szCs w:val="20"/>
              </w:rPr>
            </w:pPr>
            <w:r w:rsidRPr="00471CBA">
              <w:rPr>
                <w:b/>
                <w:bCs/>
                <w:color w:val="000000"/>
                <w:szCs w:val="20"/>
              </w:rPr>
              <w:t>31 Aralık 2025</w:t>
            </w:r>
          </w:p>
        </w:tc>
      </w:tr>
      <w:tr w:rsidR="00A74C68" w:rsidRPr="00471CBA" w14:paraId="3DAE57CB" w14:textId="77777777" w:rsidTr="00A74C68">
        <w:trPr>
          <w:divId w:val="658385877"/>
          <w:trHeight w:val="227"/>
        </w:trPr>
        <w:tc>
          <w:tcPr>
            <w:tcW w:w="3940" w:type="pct"/>
            <w:tcBorders>
              <w:top w:val="nil"/>
              <w:left w:val="nil"/>
              <w:bottom w:val="nil"/>
              <w:right w:val="nil"/>
            </w:tcBorders>
            <w:vAlign w:val="bottom"/>
            <w:hideMark/>
          </w:tcPr>
          <w:p w14:paraId="78C43E29" w14:textId="77777777" w:rsidR="00A74C68" w:rsidRPr="00471CBA" w:rsidRDefault="00A74C68" w:rsidP="00A74C68">
            <w:pPr>
              <w:rPr>
                <w:b/>
                <w:bCs/>
                <w:color w:val="000000"/>
                <w:szCs w:val="20"/>
              </w:rPr>
            </w:pPr>
          </w:p>
        </w:tc>
        <w:tc>
          <w:tcPr>
            <w:tcW w:w="1060" w:type="pct"/>
            <w:tcBorders>
              <w:top w:val="nil"/>
              <w:left w:val="nil"/>
              <w:bottom w:val="nil"/>
              <w:right w:val="nil"/>
            </w:tcBorders>
            <w:noWrap/>
            <w:vAlign w:val="bottom"/>
            <w:hideMark/>
          </w:tcPr>
          <w:p w14:paraId="1B91A687" w14:textId="77777777" w:rsidR="00A74C68" w:rsidRPr="00471CBA" w:rsidRDefault="00A74C68" w:rsidP="00A74C68">
            <w:pPr>
              <w:jc w:val="both"/>
              <w:rPr>
                <w:szCs w:val="20"/>
              </w:rPr>
            </w:pPr>
          </w:p>
        </w:tc>
      </w:tr>
      <w:tr w:rsidR="00A74C68" w:rsidRPr="00471CBA" w14:paraId="77FD5C00" w14:textId="77777777" w:rsidTr="00A74C68">
        <w:trPr>
          <w:divId w:val="658385877"/>
          <w:trHeight w:val="227"/>
        </w:trPr>
        <w:tc>
          <w:tcPr>
            <w:tcW w:w="3940" w:type="pct"/>
            <w:tcBorders>
              <w:top w:val="nil"/>
              <w:left w:val="nil"/>
              <w:bottom w:val="nil"/>
              <w:right w:val="nil"/>
            </w:tcBorders>
            <w:vAlign w:val="center"/>
            <w:hideMark/>
          </w:tcPr>
          <w:p w14:paraId="646ADCE9" w14:textId="77777777" w:rsidR="00A74C68" w:rsidRPr="00471CBA" w:rsidRDefault="00A74C68" w:rsidP="00A74C68">
            <w:pPr>
              <w:rPr>
                <w:color w:val="000000"/>
                <w:szCs w:val="20"/>
              </w:rPr>
            </w:pPr>
            <w:r w:rsidRPr="00471CBA">
              <w:rPr>
                <w:color w:val="000000"/>
                <w:szCs w:val="20"/>
              </w:rPr>
              <w:t>Ödenecek Kurumlar Vergisi</w:t>
            </w:r>
          </w:p>
        </w:tc>
        <w:tc>
          <w:tcPr>
            <w:tcW w:w="1060" w:type="pct"/>
            <w:tcBorders>
              <w:top w:val="nil"/>
              <w:left w:val="nil"/>
              <w:bottom w:val="nil"/>
              <w:right w:val="nil"/>
            </w:tcBorders>
            <w:noWrap/>
            <w:vAlign w:val="center"/>
            <w:hideMark/>
          </w:tcPr>
          <w:p w14:paraId="72A9D280" w14:textId="77777777" w:rsidR="00A74C68" w:rsidRPr="00471CBA" w:rsidRDefault="00A74C68" w:rsidP="00A74C68">
            <w:pPr>
              <w:jc w:val="right"/>
              <w:rPr>
                <w:color w:val="000000"/>
                <w:szCs w:val="20"/>
              </w:rPr>
            </w:pPr>
            <w:r w:rsidRPr="00471CBA">
              <w:rPr>
                <w:color w:val="000000"/>
                <w:szCs w:val="20"/>
              </w:rPr>
              <w:t>166.420</w:t>
            </w:r>
          </w:p>
        </w:tc>
      </w:tr>
      <w:tr w:rsidR="00A74C68" w:rsidRPr="00471CBA" w14:paraId="31A01954" w14:textId="77777777" w:rsidTr="00A74C68">
        <w:trPr>
          <w:divId w:val="658385877"/>
          <w:trHeight w:val="227"/>
        </w:trPr>
        <w:tc>
          <w:tcPr>
            <w:tcW w:w="3940" w:type="pct"/>
            <w:tcBorders>
              <w:top w:val="nil"/>
              <w:left w:val="nil"/>
              <w:bottom w:val="nil"/>
              <w:right w:val="nil"/>
            </w:tcBorders>
            <w:vAlign w:val="center"/>
            <w:hideMark/>
          </w:tcPr>
          <w:p w14:paraId="4DBF7498" w14:textId="77777777" w:rsidR="00A74C68" w:rsidRPr="00471CBA" w:rsidRDefault="00A74C68" w:rsidP="00A74C68">
            <w:pPr>
              <w:rPr>
                <w:color w:val="000000"/>
                <w:szCs w:val="20"/>
              </w:rPr>
            </w:pPr>
            <w:r w:rsidRPr="00471CBA">
              <w:rPr>
                <w:color w:val="000000"/>
                <w:szCs w:val="20"/>
              </w:rPr>
              <w:t>BSMV</w:t>
            </w:r>
          </w:p>
        </w:tc>
        <w:tc>
          <w:tcPr>
            <w:tcW w:w="1060" w:type="pct"/>
            <w:tcBorders>
              <w:top w:val="nil"/>
              <w:left w:val="nil"/>
              <w:bottom w:val="nil"/>
              <w:right w:val="nil"/>
            </w:tcBorders>
            <w:noWrap/>
            <w:vAlign w:val="center"/>
            <w:hideMark/>
          </w:tcPr>
          <w:p w14:paraId="44E8CA27" w14:textId="77777777" w:rsidR="00A74C68" w:rsidRPr="00471CBA" w:rsidRDefault="00A74C68" w:rsidP="00A74C68">
            <w:pPr>
              <w:jc w:val="right"/>
              <w:rPr>
                <w:color w:val="000000"/>
                <w:szCs w:val="20"/>
              </w:rPr>
            </w:pPr>
            <w:r w:rsidRPr="00471CBA">
              <w:rPr>
                <w:color w:val="000000"/>
                <w:szCs w:val="20"/>
              </w:rPr>
              <w:t>66.896</w:t>
            </w:r>
          </w:p>
        </w:tc>
      </w:tr>
      <w:tr w:rsidR="00A74C68" w:rsidRPr="00471CBA" w14:paraId="5DBF6E09" w14:textId="77777777" w:rsidTr="00A74C68">
        <w:trPr>
          <w:divId w:val="658385877"/>
          <w:trHeight w:val="227"/>
        </w:trPr>
        <w:tc>
          <w:tcPr>
            <w:tcW w:w="3940" w:type="pct"/>
            <w:tcBorders>
              <w:top w:val="nil"/>
              <w:left w:val="nil"/>
              <w:bottom w:val="nil"/>
              <w:right w:val="nil"/>
            </w:tcBorders>
            <w:vAlign w:val="center"/>
            <w:hideMark/>
          </w:tcPr>
          <w:p w14:paraId="65F87937" w14:textId="77777777" w:rsidR="00A74C68" w:rsidRPr="00471CBA" w:rsidRDefault="00A74C68" w:rsidP="00A74C68">
            <w:pPr>
              <w:rPr>
                <w:color w:val="000000"/>
                <w:szCs w:val="20"/>
              </w:rPr>
            </w:pPr>
            <w:r w:rsidRPr="00471CBA">
              <w:rPr>
                <w:iCs/>
                <w:color w:val="000000"/>
                <w:szCs w:val="20"/>
              </w:rPr>
              <w:t>Menkul Sermaye İradı Vergisi</w:t>
            </w:r>
          </w:p>
        </w:tc>
        <w:tc>
          <w:tcPr>
            <w:tcW w:w="1060" w:type="pct"/>
            <w:tcBorders>
              <w:top w:val="nil"/>
              <w:left w:val="nil"/>
              <w:bottom w:val="nil"/>
              <w:right w:val="nil"/>
            </w:tcBorders>
            <w:noWrap/>
            <w:vAlign w:val="center"/>
            <w:hideMark/>
          </w:tcPr>
          <w:p w14:paraId="084F1AAF" w14:textId="77777777" w:rsidR="00A74C68" w:rsidRPr="00471CBA" w:rsidRDefault="00A74C68" w:rsidP="00A74C68">
            <w:pPr>
              <w:jc w:val="right"/>
              <w:rPr>
                <w:color w:val="000000"/>
                <w:szCs w:val="20"/>
              </w:rPr>
            </w:pPr>
            <w:r w:rsidRPr="00471CBA">
              <w:rPr>
                <w:color w:val="000000"/>
                <w:szCs w:val="20"/>
              </w:rPr>
              <w:t>59.412</w:t>
            </w:r>
          </w:p>
        </w:tc>
      </w:tr>
      <w:tr w:rsidR="00A74C68" w:rsidRPr="00471CBA" w14:paraId="3481E769" w14:textId="77777777" w:rsidTr="00A74C68">
        <w:trPr>
          <w:divId w:val="658385877"/>
          <w:trHeight w:val="227"/>
        </w:trPr>
        <w:tc>
          <w:tcPr>
            <w:tcW w:w="3940" w:type="pct"/>
            <w:tcBorders>
              <w:top w:val="nil"/>
              <w:left w:val="nil"/>
              <w:bottom w:val="nil"/>
              <w:right w:val="nil"/>
            </w:tcBorders>
            <w:vAlign w:val="center"/>
            <w:hideMark/>
          </w:tcPr>
          <w:p w14:paraId="13ED2D88" w14:textId="77777777" w:rsidR="00A74C68" w:rsidRPr="00471CBA" w:rsidRDefault="00A74C68" w:rsidP="00A74C68">
            <w:pPr>
              <w:rPr>
                <w:color w:val="000000"/>
                <w:szCs w:val="20"/>
              </w:rPr>
            </w:pPr>
            <w:r w:rsidRPr="00471CBA">
              <w:rPr>
                <w:color w:val="000000"/>
                <w:szCs w:val="20"/>
              </w:rPr>
              <w:t>Ödenecek Katma Değer Vergisi</w:t>
            </w:r>
          </w:p>
        </w:tc>
        <w:tc>
          <w:tcPr>
            <w:tcW w:w="1060" w:type="pct"/>
            <w:tcBorders>
              <w:top w:val="nil"/>
              <w:left w:val="nil"/>
              <w:bottom w:val="nil"/>
              <w:right w:val="nil"/>
            </w:tcBorders>
            <w:noWrap/>
            <w:vAlign w:val="center"/>
            <w:hideMark/>
          </w:tcPr>
          <w:p w14:paraId="0CF88138" w14:textId="77777777" w:rsidR="00A74C68" w:rsidRPr="00471CBA" w:rsidRDefault="00A74C68" w:rsidP="00A74C68">
            <w:pPr>
              <w:jc w:val="right"/>
              <w:rPr>
                <w:color w:val="000000"/>
                <w:szCs w:val="20"/>
              </w:rPr>
            </w:pPr>
            <w:r w:rsidRPr="00471CBA">
              <w:rPr>
                <w:color w:val="000000"/>
                <w:szCs w:val="20"/>
              </w:rPr>
              <w:t>14.305</w:t>
            </w:r>
          </w:p>
        </w:tc>
      </w:tr>
      <w:tr w:rsidR="00A74C68" w:rsidRPr="00471CBA" w14:paraId="36B4FF8F" w14:textId="77777777" w:rsidTr="00A74C68">
        <w:trPr>
          <w:divId w:val="658385877"/>
          <w:trHeight w:val="227"/>
        </w:trPr>
        <w:tc>
          <w:tcPr>
            <w:tcW w:w="3940" w:type="pct"/>
            <w:tcBorders>
              <w:top w:val="nil"/>
              <w:left w:val="nil"/>
              <w:bottom w:val="nil"/>
              <w:right w:val="nil"/>
            </w:tcBorders>
            <w:vAlign w:val="center"/>
            <w:hideMark/>
          </w:tcPr>
          <w:p w14:paraId="7697651B" w14:textId="77777777" w:rsidR="00A74C68" w:rsidRPr="00471CBA" w:rsidRDefault="00A74C68" w:rsidP="00A74C68">
            <w:pPr>
              <w:rPr>
                <w:color w:val="000000"/>
                <w:szCs w:val="20"/>
              </w:rPr>
            </w:pPr>
            <w:r w:rsidRPr="00471CBA">
              <w:rPr>
                <w:iCs/>
                <w:color w:val="000000"/>
                <w:szCs w:val="20"/>
              </w:rPr>
              <w:t>Gayrimenkul Sermaye İradı Vergisi</w:t>
            </w:r>
          </w:p>
        </w:tc>
        <w:tc>
          <w:tcPr>
            <w:tcW w:w="1060" w:type="pct"/>
            <w:tcBorders>
              <w:top w:val="nil"/>
              <w:left w:val="nil"/>
              <w:bottom w:val="nil"/>
              <w:right w:val="nil"/>
            </w:tcBorders>
            <w:noWrap/>
            <w:vAlign w:val="center"/>
            <w:hideMark/>
          </w:tcPr>
          <w:p w14:paraId="290EC554" w14:textId="77777777" w:rsidR="00A74C68" w:rsidRPr="00471CBA" w:rsidRDefault="00A74C68" w:rsidP="00A74C68">
            <w:pPr>
              <w:jc w:val="right"/>
              <w:rPr>
                <w:color w:val="000000"/>
                <w:szCs w:val="20"/>
              </w:rPr>
            </w:pPr>
            <w:r w:rsidRPr="00471CBA">
              <w:rPr>
                <w:color w:val="000000"/>
                <w:szCs w:val="20"/>
              </w:rPr>
              <w:t>614</w:t>
            </w:r>
          </w:p>
        </w:tc>
      </w:tr>
      <w:tr w:rsidR="00A74C68" w:rsidRPr="00471CBA" w14:paraId="639ED582" w14:textId="77777777" w:rsidTr="00A74C68">
        <w:trPr>
          <w:divId w:val="658385877"/>
          <w:trHeight w:val="227"/>
        </w:trPr>
        <w:tc>
          <w:tcPr>
            <w:tcW w:w="3940" w:type="pct"/>
            <w:tcBorders>
              <w:top w:val="nil"/>
              <w:left w:val="nil"/>
              <w:bottom w:val="nil"/>
              <w:right w:val="nil"/>
            </w:tcBorders>
            <w:vAlign w:val="center"/>
            <w:hideMark/>
          </w:tcPr>
          <w:p w14:paraId="58BCD4D5" w14:textId="77777777" w:rsidR="00A74C68" w:rsidRPr="00471CBA" w:rsidRDefault="00A74C68" w:rsidP="00A74C68">
            <w:pPr>
              <w:rPr>
                <w:color w:val="000000"/>
                <w:szCs w:val="20"/>
              </w:rPr>
            </w:pPr>
            <w:r w:rsidRPr="00471CBA">
              <w:rPr>
                <w:color w:val="000000"/>
                <w:szCs w:val="20"/>
              </w:rPr>
              <w:t>Kambiyo Muameleleri Vergisi</w:t>
            </w:r>
          </w:p>
        </w:tc>
        <w:tc>
          <w:tcPr>
            <w:tcW w:w="1060" w:type="pct"/>
            <w:tcBorders>
              <w:top w:val="nil"/>
              <w:left w:val="nil"/>
              <w:bottom w:val="nil"/>
              <w:right w:val="nil"/>
            </w:tcBorders>
            <w:noWrap/>
            <w:vAlign w:val="center"/>
            <w:hideMark/>
          </w:tcPr>
          <w:p w14:paraId="5F3DDEF2" w14:textId="77777777" w:rsidR="00A74C68" w:rsidRPr="00471CBA" w:rsidRDefault="00A74C68" w:rsidP="00A74C68">
            <w:pPr>
              <w:jc w:val="right"/>
              <w:rPr>
                <w:color w:val="000000"/>
                <w:szCs w:val="20"/>
              </w:rPr>
            </w:pPr>
            <w:r w:rsidRPr="00471CBA">
              <w:rPr>
                <w:color w:val="000000"/>
                <w:szCs w:val="20"/>
              </w:rPr>
              <w:t>32.156</w:t>
            </w:r>
          </w:p>
        </w:tc>
      </w:tr>
      <w:tr w:rsidR="00A74C68" w:rsidRPr="00471CBA" w14:paraId="42EF166D" w14:textId="77777777" w:rsidTr="00A74C68">
        <w:trPr>
          <w:divId w:val="658385877"/>
          <w:trHeight w:val="227"/>
        </w:trPr>
        <w:tc>
          <w:tcPr>
            <w:tcW w:w="3940" w:type="pct"/>
            <w:tcBorders>
              <w:top w:val="nil"/>
              <w:left w:val="nil"/>
              <w:bottom w:val="nil"/>
              <w:right w:val="nil"/>
            </w:tcBorders>
            <w:vAlign w:val="center"/>
            <w:hideMark/>
          </w:tcPr>
          <w:p w14:paraId="5F71D622" w14:textId="77777777" w:rsidR="00A74C68" w:rsidRPr="00471CBA" w:rsidRDefault="00A74C68" w:rsidP="00A74C68">
            <w:pPr>
              <w:rPr>
                <w:color w:val="000000"/>
                <w:szCs w:val="20"/>
              </w:rPr>
            </w:pPr>
            <w:r w:rsidRPr="00471CBA">
              <w:rPr>
                <w:color w:val="000000"/>
                <w:szCs w:val="20"/>
              </w:rPr>
              <w:t>Ücretlerden Kesilen Gelir Vergisi</w:t>
            </w:r>
          </w:p>
        </w:tc>
        <w:tc>
          <w:tcPr>
            <w:tcW w:w="1060" w:type="pct"/>
            <w:tcBorders>
              <w:top w:val="nil"/>
              <w:left w:val="nil"/>
              <w:bottom w:val="nil"/>
              <w:right w:val="nil"/>
            </w:tcBorders>
            <w:noWrap/>
            <w:vAlign w:val="center"/>
            <w:hideMark/>
          </w:tcPr>
          <w:p w14:paraId="2D30C47F" w14:textId="77777777" w:rsidR="00A74C68" w:rsidRPr="00471CBA" w:rsidRDefault="00A74C68" w:rsidP="00A74C68">
            <w:pPr>
              <w:jc w:val="right"/>
              <w:rPr>
                <w:color w:val="000000"/>
                <w:szCs w:val="20"/>
              </w:rPr>
            </w:pPr>
            <w:r w:rsidRPr="00471CBA">
              <w:rPr>
                <w:color w:val="000000"/>
                <w:szCs w:val="20"/>
              </w:rPr>
              <w:t>33.505</w:t>
            </w:r>
          </w:p>
        </w:tc>
      </w:tr>
      <w:tr w:rsidR="00A74C68" w:rsidRPr="00471CBA" w14:paraId="56DBDAB3" w14:textId="77777777" w:rsidTr="00A74C68">
        <w:trPr>
          <w:divId w:val="658385877"/>
          <w:trHeight w:val="227"/>
        </w:trPr>
        <w:tc>
          <w:tcPr>
            <w:tcW w:w="3940" w:type="pct"/>
            <w:tcBorders>
              <w:top w:val="nil"/>
              <w:left w:val="nil"/>
              <w:bottom w:val="single" w:sz="4" w:space="0" w:color="auto"/>
              <w:right w:val="nil"/>
            </w:tcBorders>
            <w:vAlign w:val="center"/>
            <w:hideMark/>
          </w:tcPr>
          <w:p w14:paraId="693C28B7" w14:textId="77777777" w:rsidR="00A74C68" w:rsidRPr="00471CBA" w:rsidRDefault="00A74C68" w:rsidP="00A74C68">
            <w:pPr>
              <w:rPr>
                <w:color w:val="000000"/>
                <w:szCs w:val="20"/>
              </w:rPr>
            </w:pPr>
            <w:r w:rsidRPr="00471CBA">
              <w:rPr>
                <w:color w:val="000000"/>
                <w:szCs w:val="20"/>
              </w:rPr>
              <w:t>Diğer</w:t>
            </w:r>
          </w:p>
        </w:tc>
        <w:tc>
          <w:tcPr>
            <w:tcW w:w="1060" w:type="pct"/>
            <w:tcBorders>
              <w:top w:val="nil"/>
              <w:left w:val="nil"/>
              <w:bottom w:val="single" w:sz="4" w:space="0" w:color="auto"/>
              <w:right w:val="nil"/>
            </w:tcBorders>
            <w:noWrap/>
            <w:vAlign w:val="center"/>
            <w:hideMark/>
          </w:tcPr>
          <w:p w14:paraId="43F2DB82" w14:textId="77777777" w:rsidR="00A74C68" w:rsidRPr="00471CBA" w:rsidRDefault="00A74C68" w:rsidP="00A74C68">
            <w:pPr>
              <w:jc w:val="right"/>
              <w:rPr>
                <w:color w:val="000000"/>
                <w:szCs w:val="20"/>
              </w:rPr>
            </w:pPr>
            <w:r w:rsidRPr="00471CBA">
              <w:rPr>
                <w:color w:val="000000"/>
                <w:szCs w:val="20"/>
              </w:rPr>
              <w:t>1.350</w:t>
            </w:r>
          </w:p>
        </w:tc>
      </w:tr>
      <w:tr w:rsidR="00A74C68" w:rsidRPr="00471CBA" w14:paraId="7C65CE95" w14:textId="77777777" w:rsidTr="00A74C68">
        <w:trPr>
          <w:divId w:val="658385877"/>
          <w:trHeight w:val="227"/>
        </w:trPr>
        <w:tc>
          <w:tcPr>
            <w:tcW w:w="3940" w:type="pct"/>
            <w:tcBorders>
              <w:top w:val="nil"/>
              <w:left w:val="nil"/>
              <w:right w:val="nil"/>
            </w:tcBorders>
            <w:vAlign w:val="center"/>
            <w:hideMark/>
          </w:tcPr>
          <w:p w14:paraId="4B61E203" w14:textId="77777777" w:rsidR="00A74C68" w:rsidRPr="00471CBA" w:rsidRDefault="00A74C68" w:rsidP="00A74C68">
            <w:pPr>
              <w:jc w:val="right"/>
              <w:rPr>
                <w:color w:val="000000"/>
                <w:szCs w:val="20"/>
              </w:rPr>
            </w:pPr>
          </w:p>
        </w:tc>
        <w:tc>
          <w:tcPr>
            <w:tcW w:w="1060" w:type="pct"/>
            <w:tcBorders>
              <w:top w:val="nil"/>
              <w:left w:val="nil"/>
              <w:right w:val="nil"/>
            </w:tcBorders>
            <w:vAlign w:val="center"/>
            <w:hideMark/>
          </w:tcPr>
          <w:p w14:paraId="052876E4" w14:textId="77777777" w:rsidR="00A74C68" w:rsidRPr="00471CBA" w:rsidRDefault="00A74C68" w:rsidP="00A74C68">
            <w:pPr>
              <w:rPr>
                <w:szCs w:val="20"/>
              </w:rPr>
            </w:pPr>
          </w:p>
        </w:tc>
      </w:tr>
      <w:tr w:rsidR="00A74C68" w:rsidRPr="00471CBA" w14:paraId="40530A57" w14:textId="77777777" w:rsidTr="00A74C68">
        <w:trPr>
          <w:divId w:val="658385877"/>
          <w:trHeight w:val="227"/>
        </w:trPr>
        <w:tc>
          <w:tcPr>
            <w:tcW w:w="3940" w:type="pct"/>
            <w:tcBorders>
              <w:top w:val="nil"/>
              <w:left w:val="nil"/>
              <w:bottom w:val="single" w:sz="8" w:space="0" w:color="auto"/>
              <w:right w:val="nil"/>
            </w:tcBorders>
            <w:vAlign w:val="center"/>
            <w:hideMark/>
          </w:tcPr>
          <w:p w14:paraId="68B32E73" w14:textId="77777777" w:rsidR="00A74C68" w:rsidRPr="00471CBA" w:rsidRDefault="00A74C68" w:rsidP="00A74C68">
            <w:pPr>
              <w:jc w:val="both"/>
              <w:rPr>
                <w:b/>
                <w:bCs/>
                <w:color w:val="000000"/>
                <w:szCs w:val="20"/>
              </w:rPr>
            </w:pPr>
            <w:r w:rsidRPr="00471CBA">
              <w:rPr>
                <w:b/>
                <w:bCs/>
                <w:color w:val="000000"/>
                <w:szCs w:val="20"/>
              </w:rPr>
              <w:t xml:space="preserve">Toplam </w:t>
            </w:r>
          </w:p>
        </w:tc>
        <w:tc>
          <w:tcPr>
            <w:tcW w:w="1060" w:type="pct"/>
            <w:tcBorders>
              <w:top w:val="nil"/>
              <w:left w:val="nil"/>
              <w:bottom w:val="single" w:sz="8" w:space="0" w:color="auto"/>
              <w:right w:val="nil"/>
            </w:tcBorders>
            <w:noWrap/>
            <w:vAlign w:val="center"/>
            <w:hideMark/>
          </w:tcPr>
          <w:p w14:paraId="3D09E997" w14:textId="77777777" w:rsidR="00A74C68" w:rsidRPr="00471CBA" w:rsidRDefault="00A74C68" w:rsidP="00A74C68">
            <w:pPr>
              <w:jc w:val="right"/>
              <w:rPr>
                <w:b/>
                <w:bCs/>
                <w:color w:val="000000"/>
                <w:szCs w:val="20"/>
              </w:rPr>
            </w:pPr>
            <w:r w:rsidRPr="00471CBA">
              <w:rPr>
                <w:b/>
                <w:bCs/>
                <w:color w:val="000000"/>
                <w:szCs w:val="20"/>
              </w:rPr>
              <w:t>374.658</w:t>
            </w:r>
          </w:p>
        </w:tc>
      </w:tr>
    </w:tbl>
    <w:p w14:paraId="37B0BD02" w14:textId="0803372B" w:rsidR="00F36B82" w:rsidRDefault="00203A33" w:rsidP="00203A33">
      <w:pPr>
        <w:widowControl w:val="0"/>
        <w:ind w:left="-567"/>
        <w:jc w:val="both"/>
        <w:rPr>
          <w:szCs w:val="20"/>
        </w:rPr>
      </w:pPr>
      <w:r w:rsidRPr="00471CBA">
        <w:rPr>
          <w:szCs w:val="20"/>
        </w:rPr>
        <w:tab/>
      </w:r>
    </w:p>
    <w:p w14:paraId="7E6819CD" w14:textId="77777777" w:rsidR="00F36B82" w:rsidRDefault="00F36B82">
      <w:pPr>
        <w:rPr>
          <w:szCs w:val="20"/>
        </w:rPr>
      </w:pPr>
      <w:r>
        <w:rPr>
          <w:szCs w:val="20"/>
        </w:rPr>
        <w:br w:type="page"/>
      </w:r>
    </w:p>
    <w:p w14:paraId="7AB2BB9D" w14:textId="77777777" w:rsidR="00F36B82" w:rsidRPr="00471CBA" w:rsidRDefault="00F36B82" w:rsidP="00F36B82">
      <w:pPr>
        <w:widowControl w:val="0"/>
        <w:spacing w:line="235" w:lineRule="auto"/>
        <w:ind w:left="720" w:hanging="720"/>
        <w:jc w:val="both"/>
        <w:rPr>
          <w:b/>
          <w:szCs w:val="20"/>
        </w:rPr>
      </w:pPr>
      <w:r w:rsidRPr="00471CBA">
        <w:rPr>
          <w:b/>
          <w:szCs w:val="20"/>
        </w:rPr>
        <w:t>KONSOLİDE OLMAYAN FİNANSAL TABLOLARA İLİŞKİN AÇIKLAMA VE DİPNOTLAR (Devamı)</w:t>
      </w:r>
    </w:p>
    <w:p w14:paraId="35D476D6" w14:textId="77777777" w:rsidR="00F36B82" w:rsidRPr="00471CBA" w:rsidRDefault="00F36B82" w:rsidP="00F36B82">
      <w:pPr>
        <w:pStyle w:val="GvdeMetniGirintisi"/>
        <w:widowControl w:val="0"/>
        <w:ind w:left="851" w:firstLine="0"/>
        <w:rPr>
          <w:b/>
          <w:szCs w:val="20"/>
        </w:rPr>
      </w:pPr>
    </w:p>
    <w:p w14:paraId="32DFD2E0" w14:textId="77777777" w:rsidR="00F36B82" w:rsidRPr="00471CBA" w:rsidRDefault="00F36B82" w:rsidP="00F36B82">
      <w:pPr>
        <w:widowControl w:val="0"/>
        <w:spacing w:line="235" w:lineRule="auto"/>
        <w:ind w:left="851" w:hanging="851"/>
        <w:jc w:val="both"/>
        <w:rPr>
          <w:b/>
          <w:szCs w:val="20"/>
        </w:rPr>
      </w:pPr>
      <w:r w:rsidRPr="00471CBA">
        <w:rPr>
          <w:b/>
          <w:szCs w:val="20"/>
        </w:rPr>
        <w:t>II.</w:t>
      </w:r>
      <w:r w:rsidRPr="00471CBA">
        <w:rPr>
          <w:b/>
          <w:szCs w:val="20"/>
        </w:rPr>
        <w:tab/>
        <w:t>BİLANÇONUN PASİF HESAPLARINA İLİŞKİN AÇIKLAMA VE DİPNOTLAR (Devamı)</w:t>
      </w:r>
    </w:p>
    <w:p w14:paraId="54637EC5" w14:textId="77777777" w:rsidR="00203A33" w:rsidRDefault="00203A33" w:rsidP="00203A33">
      <w:pPr>
        <w:widowControl w:val="0"/>
        <w:ind w:left="-567"/>
        <w:jc w:val="both"/>
        <w:rPr>
          <w:szCs w:val="20"/>
        </w:rPr>
      </w:pPr>
    </w:p>
    <w:p w14:paraId="5E2B2619" w14:textId="41C699FD" w:rsidR="00F36B82" w:rsidRPr="00471CBA" w:rsidRDefault="00F36B82" w:rsidP="008459A9">
      <w:pPr>
        <w:pStyle w:val="xl79"/>
        <w:widowControl w:val="0"/>
        <w:numPr>
          <w:ilvl w:val="0"/>
          <w:numId w:val="99"/>
        </w:numPr>
        <w:pBdr>
          <w:left w:val="none" w:sz="0" w:space="0" w:color="auto"/>
          <w:bottom w:val="none" w:sz="0" w:space="0" w:color="auto"/>
          <w:right w:val="none" w:sz="0" w:space="0" w:color="auto"/>
        </w:pBdr>
        <w:tabs>
          <w:tab w:val="left" w:pos="-1800"/>
        </w:tabs>
        <w:spacing w:before="0" w:beforeAutospacing="0" w:after="0" w:afterAutospacing="0"/>
        <w:ind w:left="851" w:hanging="851"/>
        <w:jc w:val="both"/>
        <w:rPr>
          <w:b/>
          <w:noProof w:val="0"/>
          <w:sz w:val="20"/>
          <w:szCs w:val="20"/>
        </w:rPr>
      </w:pPr>
      <w:r w:rsidRPr="00471CBA">
        <w:rPr>
          <w:b/>
          <w:noProof w:val="0"/>
          <w:sz w:val="20"/>
          <w:szCs w:val="20"/>
        </w:rPr>
        <w:t>Vergi borcuna ilişkin açıklamalar</w:t>
      </w:r>
      <w:r>
        <w:rPr>
          <w:b/>
          <w:noProof w:val="0"/>
          <w:sz w:val="20"/>
          <w:szCs w:val="20"/>
        </w:rPr>
        <w:t xml:space="preserve"> (Devamı)</w:t>
      </w:r>
    </w:p>
    <w:p w14:paraId="64CE6CA7" w14:textId="77777777" w:rsidR="00F36B82" w:rsidRPr="00471CBA" w:rsidRDefault="00F36B82" w:rsidP="00203A33">
      <w:pPr>
        <w:widowControl w:val="0"/>
        <w:ind w:left="-567"/>
        <w:jc w:val="both"/>
        <w:rPr>
          <w:szCs w:val="20"/>
        </w:rPr>
      </w:pPr>
    </w:p>
    <w:tbl>
      <w:tblPr>
        <w:tblW w:w="5000" w:type="pct"/>
        <w:tblCellMar>
          <w:left w:w="70" w:type="dxa"/>
          <w:right w:w="70" w:type="dxa"/>
        </w:tblCellMar>
        <w:tblLook w:val="04A0" w:firstRow="1" w:lastRow="0" w:firstColumn="1" w:lastColumn="0" w:noHBand="0" w:noVBand="1"/>
      </w:tblPr>
      <w:tblGrid>
        <w:gridCol w:w="7432"/>
        <w:gridCol w:w="1923"/>
      </w:tblGrid>
      <w:tr w:rsidR="000511E0" w:rsidRPr="00471CBA" w14:paraId="7C62A1B2" w14:textId="77777777" w:rsidTr="00DA230C">
        <w:trPr>
          <w:trHeight w:val="227"/>
        </w:trPr>
        <w:tc>
          <w:tcPr>
            <w:tcW w:w="3972" w:type="pct"/>
            <w:tcBorders>
              <w:top w:val="nil"/>
              <w:left w:val="nil"/>
              <w:bottom w:val="nil"/>
              <w:right w:val="nil"/>
            </w:tcBorders>
            <w:shd w:val="clear" w:color="000000" w:fill="FFFFFF"/>
            <w:vAlign w:val="bottom"/>
            <w:hideMark/>
          </w:tcPr>
          <w:p w14:paraId="7C3CE38A" w14:textId="77777777" w:rsidR="000511E0" w:rsidRPr="00471CBA" w:rsidRDefault="000511E0" w:rsidP="003D1625">
            <w:pPr>
              <w:jc w:val="center"/>
              <w:rPr>
                <w:b/>
                <w:bCs/>
                <w:color w:val="000000"/>
                <w:szCs w:val="20"/>
                <w:lang w:eastAsia="tr-TR"/>
              </w:rPr>
            </w:pPr>
            <w:r w:rsidRPr="00471CBA">
              <w:rPr>
                <w:b/>
                <w:bCs/>
                <w:color w:val="000000"/>
                <w:szCs w:val="20"/>
              </w:rPr>
              <w:t> </w:t>
            </w:r>
          </w:p>
        </w:tc>
        <w:tc>
          <w:tcPr>
            <w:tcW w:w="1028" w:type="pct"/>
            <w:tcBorders>
              <w:top w:val="nil"/>
              <w:left w:val="nil"/>
              <w:bottom w:val="single" w:sz="4" w:space="0" w:color="auto"/>
              <w:right w:val="nil"/>
            </w:tcBorders>
            <w:noWrap/>
            <w:vAlign w:val="bottom"/>
            <w:hideMark/>
          </w:tcPr>
          <w:p w14:paraId="5113B70F" w14:textId="77777777" w:rsidR="000511E0" w:rsidRPr="00471CBA" w:rsidRDefault="000511E0" w:rsidP="003D1625">
            <w:pPr>
              <w:jc w:val="center"/>
              <w:rPr>
                <w:b/>
                <w:bCs/>
                <w:color w:val="000000"/>
                <w:szCs w:val="20"/>
              </w:rPr>
            </w:pPr>
            <w:r w:rsidRPr="00471CBA">
              <w:rPr>
                <w:b/>
                <w:bCs/>
                <w:color w:val="000000"/>
                <w:szCs w:val="20"/>
              </w:rPr>
              <w:t>31 Aralık 2024</w:t>
            </w:r>
          </w:p>
        </w:tc>
      </w:tr>
      <w:tr w:rsidR="000511E0" w:rsidRPr="00471CBA" w14:paraId="05790601" w14:textId="77777777" w:rsidTr="00DA230C">
        <w:trPr>
          <w:trHeight w:val="227"/>
        </w:trPr>
        <w:tc>
          <w:tcPr>
            <w:tcW w:w="3972" w:type="pct"/>
            <w:tcBorders>
              <w:top w:val="nil"/>
              <w:left w:val="nil"/>
              <w:bottom w:val="nil"/>
              <w:right w:val="nil"/>
            </w:tcBorders>
            <w:vAlign w:val="bottom"/>
            <w:hideMark/>
          </w:tcPr>
          <w:p w14:paraId="6EE23567" w14:textId="77777777" w:rsidR="000511E0" w:rsidRPr="00471CBA" w:rsidRDefault="000511E0" w:rsidP="003D1625">
            <w:pPr>
              <w:rPr>
                <w:b/>
                <w:bCs/>
                <w:color w:val="000000"/>
                <w:szCs w:val="20"/>
              </w:rPr>
            </w:pPr>
          </w:p>
        </w:tc>
        <w:tc>
          <w:tcPr>
            <w:tcW w:w="1028" w:type="pct"/>
            <w:tcBorders>
              <w:top w:val="nil"/>
              <w:left w:val="nil"/>
              <w:bottom w:val="nil"/>
              <w:right w:val="nil"/>
            </w:tcBorders>
            <w:noWrap/>
            <w:vAlign w:val="bottom"/>
            <w:hideMark/>
          </w:tcPr>
          <w:p w14:paraId="4750E549" w14:textId="77777777" w:rsidR="000511E0" w:rsidRPr="00471CBA" w:rsidRDefault="000511E0" w:rsidP="003D1625">
            <w:pPr>
              <w:rPr>
                <w:szCs w:val="20"/>
              </w:rPr>
            </w:pPr>
          </w:p>
        </w:tc>
      </w:tr>
      <w:tr w:rsidR="000511E0" w:rsidRPr="00471CBA" w14:paraId="2BF2FF5B" w14:textId="77777777" w:rsidTr="00DA230C">
        <w:trPr>
          <w:trHeight w:val="227"/>
        </w:trPr>
        <w:tc>
          <w:tcPr>
            <w:tcW w:w="3972" w:type="pct"/>
            <w:tcBorders>
              <w:top w:val="nil"/>
              <w:left w:val="nil"/>
              <w:bottom w:val="nil"/>
              <w:right w:val="nil"/>
            </w:tcBorders>
            <w:vAlign w:val="center"/>
            <w:hideMark/>
          </w:tcPr>
          <w:p w14:paraId="0EE7F7BC" w14:textId="77777777" w:rsidR="000511E0" w:rsidRPr="00471CBA" w:rsidRDefault="000511E0" w:rsidP="003D1625">
            <w:pPr>
              <w:rPr>
                <w:color w:val="000000"/>
                <w:szCs w:val="20"/>
              </w:rPr>
            </w:pPr>
            <w:r w:rsidRPr="00471CBA">
              <w:rPr>
                <w:color w:val="000000"/>
                <w:szCs w:val="20"/>
              </w:rPr>
              <w:t>Ödenecek Kurumlar Vergisi</w:t>
            </w:r>
          </w:p>
        </w:tc>
        <w:tc>
          <w:tcPr>
            <w:tcW w:w="1028" w:type="pct"/>
            <w:tcBorders>
              <w:top w:val="nil"/>
              <w:left w:val="nil"/>
              <w:bottom w:val="nil"/>
              <w:right w:val="nil"/>
            </w:tcBorders>
            <w:noWrap/>
            <w:vAlign w:val="center"/>
            <w:hideMark/>
          </w:tcPr>
          <w:p w14:paraId="47128131" w14:textId="77777777" w:rsidR="000511E0" w:rsidRPr="00471CBA" w:rsidRDefault="000511E0" w:rsidP="003D1625">
            <w:pPr>
              <w:jc w:val="right"/>
              <w:rPr>
                <w:color w:val="000000"/>
                <w:szCs w:val="20"/>
              </w:rPr>
            </w:pPr>
            <w:r w:rsidRPr="00471CBA">
              <w:rPr>
                <w:color w:val="000000"/>
                <w:szCs w:val="20"/>
              </w:rPr>
              <w:t>179.467</w:t>
            </w:r>
          </w:p>
        </w:tc>
      </w:tr>
      <w:tr w:rsidR="000511E0" w:rsidRPr="00471CBA" w14:paraId="0AFB9F51" w14:textId="77777777" w:rsidTr="00DA230C">
        <w:trPr>
          <w:trHeight w:val="227"/>
        </w:trPr>
        <w:tc>
          <w:tcPr>
            <w:tcW w:w="3972" w:type="pct"/>
            <w:tcBorders>
              <w:top w:val="nil"/>
              <w:left w:val="nil"/>
              <w:bottom w:val="nil"/>
              <w:right w:val="nil"/>
            </w:tcBorders>
            <w:vAlign w:val="center"/>
            <w:hideMark/>
          </w:tcPr>
          <w:p w14:paraId="243B15A2" w14:textId="77777777" w:rsidR="000511E0" w:rsidRPr="00471CBA" w:rsidRDefault="000511E0" w:rsidP="003D1625">
            <w:pPr>
              <w:rPr>
                <w:color w:val="000000"/>
                <w:szCs w:val="20"/>
              </w:rPr>
            </w:pPr>
            <w:r w:rsidRPr="00471CBA">
              <w:rPr>
                <w:color w:val="000000"/>
                <w:szCs w:val="20"/>
              </w:rPr>
              <w:t>BSMV</w:t>
            </w:r>
          </w:p>
        </w:tc>
        <w:tc>
          <w:tcPr>
            <w:tcW w:w="1028" w:type="pct"/>
            <w:tcBorders>
              <w:top w:val="nil"/>
              <w:left w:val="nil"/>
              <w:bottom w:val="nil"/>
              <w:right w:val="nil"/>
            </w:tcBorders>
            <w:noWrap/>
            <w:vAlign w:val="center"/>
            <w:hideMark/>
          </w:tcPr>
          <w:p w14:paraId="35B8BB71" w14:textId="77777777" w:rsidR="000511E0" w:rsidRPr="00471CBA" w:rsidRDefault="000511E0" w:rsidP="003D1625">
            <w:pPr>
              <w:jc w:val="right"/>
              <w:rPr>
                <w:color w:val="000000"/>
                <w:szCs w:val="20"/>
              </w:rPr>
            </w:pPr>
            <w:r w:rsidRPr="00471CBA">
              <w:rPr>
                <w:color w:val="000000"/>
                <w:szCs w:val="20"/>
              </w:rPr>
              <w:t>41.235</w:t>
            </w:r>
          </w:p>
        </w:tc>
      </w:tr>
      <w:tr w:rsidR="000511E0" w:rsidRPr="00471CBA" w14:paraId="2F411AAE" w14:textId="77777777" w:rsidTr="00DA230C">
        <w:trPr>
          <w:trHeight w:val="227"/>
        </w:trPr>
        <w:tc>
          <w:tcPr>
            <w:tcW w:w="3972" w:type="pct"/>
            <w:tcBorders>
              <w:top w:val="nil"/>
              <w:left w:val="nil"/>
              <w:bottom w:val="nil"/>
              <w:right w:val="nil"/>
            </w:tcBorders>
            <w:vAlign w:val="center"/>
            <w:hideMark/>
          </w:tcPr>
          <w:p w14:paraId="721BA1EB" w14:textId="77777777" w:rsidR="000511E0" w:rsidRPr="00471CBA" w:rsidRDefault="000511E0" w:rsidP="003D1625">
            <w:pPr>
              <w:rPr>
                <w:color w:val="000000"/>
                <w:szCs w:val="20"/>
              </w:rPr>
            </w:pPr>
            <w:r w:rsidRPr="00471CBA">
              <w:rPr>
                <w:iCs/>
                <w:color w:val="000000"/>
                <w:szCs w:val="20"/>
              </w:rPr>
              <w:t>Menkul Sermaye İradı Vergisi</w:t>
            </w:r>
          </w:p>
        </w:tc>
        <w:tc>
          <w:tcPr>
            <w:tcW w:w="1028" w:type="pct"/>
            <w:tcBorders>
              <w:top w:val="nil"/>
              <w:left w:val="nil"/>
              <w:bottom w:val="nil"/>
              <w:right w:val="nil"/>
            </w:tcBorders>
            <w:noWrap/>
            <w:vAlign w:val="center"/>
            <w:hideMark/>
          </w:tcPr>
          <w:p w14:paraId="3BE7309F" w14:textId="77777777" w:rsidR="000511E0" w:rsidRPr="00471CBA" w:rsidRDefault="000511E0" w:rsidP="003D1625">
            <w:pPr>
              <w:jc w:val="right"/>
              <w:rPr>
                <w:color w:val="000000"/>
                <w:szCs w:val="20"/>
              </w:rPr>
            </w:pPr>
            <w:r w:rsidRPr="00471CBA">
              <w:rPr>
                <w:color w:val="000000"/>
                <w:szCs w:val="20"/>
              </w:rPr>
              <w:t>26.003</w:t>
            </w:r>
          </w:p>
        </w:tc>
      </w:tr>
      <w:tr w:rsidR="000511E0" w:rsidRPr="00471CBA" w14:paraId="552B5FC6" w14:textId="77777777" w:rsidTr="00DA230C">
        <w:trPr>
          <w:trHeight w:val="227"/>
        </w:trPr>
        <w:tc>
          <w:tcPr>
            <w:tcW w:w="3972" w:type="pct"/>
            <w:tcBorders>
              <w:top w:val="nil"/>
              <w:left w:val="nil"/>
              <w:bottom w:val="nil"/>
              <w:right w:val="nil"/>
            </w:tcBorders>
            <w:vAlign w:val="center"/>
            <w:hideMark/>
          </w:tcPr>
          <w:p w14:paraId="6FA953A9" w14:textId="77777777" w:rsidR="000511E0" w:rsidRPr="00471CBA" w:rsidRDefault="000511E0" w:rsidP="003D1625">
            <w:pPr>
              <w:rPr>
                <w:color w:val="000000"/>
                <w:szCs w:val="20"/>
              </w:rPr>
            </w:pPr>
            <w:r w:rsidRPr="00471CBA">
              <w:rPr>
                <w:color w:val="000000"/>
                <w:szCs w:val="20"/>
              </w:rPr>
              <w:t>Ödenecek Katma Değer Vergisi</w:t>
            </w:r>
          </w:p>
        </w:tc>
        <w:tc>
          <w:tcPr>
            <w:tcW w:w="1028" w:type="pct"/>
            <w:tcBorders>
              <w:top w:val="nil"/>
              <w:left w:val="nil"/>
              <w:bottom w:val="nil"/>
              <w:right w:val="nil"/>
            </w:tcBorders>
            <w:noWrap/>
            <w:vAlign w:val="center"/>
            <w:hideMark/>
          </w:tcPr>
          <w:p w14:paraId="3EE0E7DA" w14:textId="77777777" w:rsidR="000511E0" w:rsidRPr="00471CBA" w:rsidRDefault="000511E0" w:rsidP="003D1625">
            <w:pPr>
              <w:jc w:val="right"/>
              <w:rPr>
                <w:color w:val="000000"/>
                <w:szCs w:val="20"/>
              </w:rPr>
            </w:pPr>
            <w:r w:rsidRPr="00471CBA">
              <w:rPr>
                <w:color w:val="000000"/>
                <w:szCs w:val="20"/>
              </w:rPr>
              <w:t>9.941</w:t>
            </w:r>
          </w:p>
        </w:tc>
      </w:tr>
      <w:tr w:rsidR="000511E0" w:rsidRPr="00471CBA" w14:paraId="6227D5F9" w14:textId="77777777" w:rsidTr="00DA230C">
        <w:trPr>
          <w:trHeight w:val="227"/>
        </w:trPr>
        <w:tc>
          <w:tcPr>
            <w:tcW w:w="3972" w:type="pct"/>
            <w:tcBorders>
              <w:top w:val="nil"/>
              <w:left w:val="nil"/>
              <w:bottom w:val="nil"/>
              <w:right w:val="nil"/>
            </w:tcBorders>
            <w:vAlign w:val="center"/>
            <w:hideMark/>
          </w:tcPr>
          <w:p w14:paraId="7C061700" w14:textId="77777777" w:rsidR="000511E0" w:rsidRPr="00471CBA" w:rsidRDefault="000511E0" w:rsidP="003D1625">
            <w:pPr>
              <w:rPr>
                <w:color w:val="000000"/>
                <w:szCs w:val="20"/>
              </w:rPr>
            </w:pPr>
            <w:r w:rsidRPr="00471CBA">
              <w:rPr>
                <w:iCs/>
                <w:color w:val="000000"/>
                <w:szCs w:val="20"/>
              </w:rPr>
              <w:t>Gayrimenkul Sermaye İradı Vergisi</w:t>
            </w:r>
          </w:p>
        </w:tc>
        <w:tc>
          <w:tcPr>
            <w:tcW w:w="1028" w:type="pct"/>
            <w:tcBorders>
              <w:top w:val="nil"/>
              <w:left w:val="nil"/>
              <w:bottom w:val="nil"/>
              <w:right w:val="nil"/>
            </w:tcBorders>
            <w:noWrap/>
            <w:vAlign w:val="center"/>
            <w:hideMark/>
          </w:tcPr>
          <w:p w14:paraId="674877C6" w14:textId="77777777" w:rsidR="000511E0" w:rsidRPr="00471CBA" w:rsidRDefault="000511E0" w:rsidP="003D1625">
            <w:pPr>
              <w:jc w:val="right"/>
              <w:rPr>
                <w:color w:val="000000"/>
                <w:szCs w:val="20"/>
              </w:rPr>
            </w:pPr>
            <w:r w:rsidRPr="00471CBA">
              <w:rPr>
                <w:color w:val="000000"/>
                <w:szCs w:val="20"/>
              </w:rPr>
              <w:t>339</w:t>
            </w:r>
          </w:p>
        </w:tc>
      </w:tr>
      <w:tr w:rsidR="000511E0" w:rsidRPr="00471CBA" w14:paraId="084607F6" w14:textId="77777777" w:rsidTr="00DA230C">
        <w:trPr>
          <w:trHeight w:val="227"/>
        </w:trPr>
        <w:tc>
          <w:tcPr>
            <w:tcW w:w="3972" w:type="pct"/>
            <w:tcBorders>
              <w:top w:val="nil"/>
              <w:left w:val="nil"/>
              <w:bottom w:val="nil"/>
              <w:right w:val="nil"/>
            </w:tcBorders>
            <w:vAlign w:val="center"/>
            <w:hideMark/>
          </w:tcPr>
          <w:p w14:paraId="2D4892A4" w14:textId="77777777" w:rsidR="000511E0" w:rsidRPr="00471CBA" w:rsidRDefault="000511E0" w:rsidP="003D1625">
            <w:pPr>
              <w:rPr>
                <w:color w:val="000000"/>
                <w:szCs w:val="20"/>
              </w:rPr>
            </w:pPr>
            <w:r w:rsidRPr="00471CBA">
              <w:rPr>
                <w:color w:val="000000"/>
                <w:szCs w:val="20"/>
              </w:rPr>
              <w:t>Kambiyo Muameleleri Vergisi</w:t>
            </w:r>
          </w:p>
        </w:tc>
        <w:tc>
          <w:tcPr>
            <w:tcW w:w="1028" w:type="pct"/>
            <w:tcBorders>
              <w:top w:val="nil"/>
              <w:left w:val="nil"/>
              <w:bottom w:val="nil"/>
              <w:right w:val="nil"/>
            </w:tcBorders>
            <w:noWrap/>
            <w:vAlign w:val="center"/>
            <w:hideMark/>
          </w:tcPr>
          <w:p w14:paraId="134990D5" w14:textId="77777777" w:rsidR="000511E0" w:rsidRPr="00471CBA" w:rsidRDefault="000511E0" w:rsidP="003D1625">
            <w:pPr>
              <w:jc w:val="right"/>
              <w:rPr>
                <w:color w:val="000000"/>
                <w:szCs w:val="20"/>
              </w:rPr>
            </w:pPr>
            <w:r w:rsidRPr="00471CBA">
              <w:rPr>
                <w:color w:val="000000"/>
                <w:szCs w:val="20"/>
              </w:rPr>
              <w:t>204</w:t>
            </w:r>
          </w:p>
        </w:tc>
      </w:tr>
      <w:tr w:rsidR="000511E0" w:rsidRPr="00471CBA" w14:paraId="01E0581D" w14:textId="77777777" w:rsidTr="00DA230C">
        <w:trPr>
          <w:trHeight w:val="227"/>
        </w:trPr>
        <w:tc>
          <w:tcPr>
            <w:tcW w:w="3972" w:type="pct"/>
            <w:tcBorders>
              <w:top w:val="nil"/>
              <w:left w:val="nil"/>
              <w:bottom w:val="nil"/>
              <w:right w:val="nil"/>
            </w:tcBorders>
            <w:vAlign w:val="center"/>
            <w:hideMark/>
          </w:tcPr>
          <w:p w14:paraId="01AC0DE9" w14:textId="77777777" w:rsidR="000511E0" w:rsidRPr="00471CBA" w:rsidRDefault="000511E0" w:rsidP="003D1625">
            <w:pPr>
              <w:rPr>
                <w:color w:val="000000"/>
                <w:szCs w:val="20"/>
              </w:rPr>
            </w:pPr>
            <w:r w:rsidRPr="00471CBA">
              <w:rPr>
                <w:color w:val="000000"/>
                <w:szCs w:val="20"/>
              </w:rPr>
              <w:t>Ücretlerden Kesilen Gelir Vergisi</w:t>
            </w:r>
          </w:p>
        </w:tc>
        <w:tc>
          <w:tcPr>
            <w:tcW w:w="1028" w:type="pct"/>
            <w:tcBorders>
              <w:top w:val="nil"/>
              <w:left w:val="nil"/>
              <w:bottom w:val="nil"/>
              <w:right w:val="nil"/>
            </w:tcBorders>
            <w:noWrap/>
            <w:vAlign w:val="center"/>
            <w:hideMark/>
          </w:tcPr>
          <w:p w14:paraId="1583F1CF" w14:textId="77777777" w:rsidR="000511E0" w:rsidRPr="00471CBA" w:rsidRDefault="000511E0" w:rsidP="003D1625">
            <w:pPr>
              <w:jc w:val="right"/>
              <w:rPr>
                <w:color w:val="000000"/>
                <w:szCs w:val="20"/>
              </w:rPr>
            </w:pPr>
            <w:r w:rsidRPr="00471CBA">
              <w:rPr>
                <w:color w:val="000000"/>
                <w:szCs w:val="20"/>
              </w:rPr>
              <w:t>23.543</w:t>
            </w:r>
          </w:p>
        </w:tc>
      </w:tr>
      <w:tr w:rsidR="000511E0" w:rsidRPr="00471CBA" w14:paraId="0A973902" w14:textId="77777777" w:rsidTr="00DA230C">
        <w:trPr>
          <w:trHeight w:val="227"/>
        </w:trPr>
        <w:tc>
          <w:tcPr>
            <w:tcW w:w="3972" w:type="pct"/>
            <w:tcBorders>
              <w:top w:val="nil"/>
              <w:left w:val="nil"/>
              <w:bottom w:val="single" w:sz="4" w:space="0" w:color="auto"/>
              <w:right w:val="nil"/>
            </w:tcBorders>
            <w:vAlign w:val="center"/>
            <w:hideMark/>
          </w:tcPr>
          <w:p w14:paraId="16A0EFB5" w14:textId="77777777" w:rsidR="000511E0" w:rsidRPr="00471CBA" w:rsidRDefault="000511E0" w:rsidP="003D1625">
            <w:pPr>
              <w:rPr>
                <w:color w:val="000000"/>
                <w:szCs w:val="20"/>
              </w:rPr>
            </w:pPr>
            <w:r w:rsidRPr="00471CBA">
              <w:rPr>
                <w:color w:val="000000"/>
                <w:szCs w:val="20"/>
              </w:rPr>
              <w:t>Diğer</w:t>
            </w:r>
          </w:p>
        </w:tc>
        <w:tc>
          <w:tcPr>
            <w:tcW w:w="1028" w:type="pct"/>
            <w:tcBorders>
              <w:top w:val="nil"/>
              <w:left w:val="nil"/>
              <w:bottom w:val="single" w:sz="4" w:space="0" w:color="auto"/>
              <w:right w:val="nil"/>
            </w:tcBorders>
            <w:noWrap/>
            <w:vAlign w:val="center"/>
            <w:hideMark/>
          </w:tcPr>
          <w:p w14:paraId="4AE9E8DD" w14:textId="77777777" w:rsidR="000511E0" w:rsidRPr="00471CBA" w:rsidRDefault="000511E0" w:rsidP="003D1625">
            <w:pPr>
              <w:jc w:val="right"/>
              <w:rPr>
                <w:color w:val="000000"/>
                <w:szCs w:val="20"/>
              </w:rPr>
            </w:pPr>
            <w:r w:rsidRPr="00471CBA">
              <w:rPr>
                <w:color w:val="000000"/>
                <w:szCs w:val="20"/>
              </w:rPr>
              <w:t>1.277</w:t>
            </w:r>
          </w:p>
        </w:tc>
      </w:tr>
      <w:tr w:rsidR="000511E0" w:rsidRPr="00471CBA" w14:paraId="3EEC9CC5" w14:textId="77777777" w:rsidTr="00DA230C">
        <w:trPr>
          <w:trHeight w:val="227"/>
        </w:trPr>
        <w:tc>
          <w:tcPr>
            <w:tcW w:w="3972" w:type="pct"/>
            <w:tcBorders>
              <w:top w:val="nil"/>
              <w:left w:val="nil"/>
              <w:right w:val="nil"/>
            </w:tcBorders>
            <w:vAlign w:val="center"/>
            <w:hideMark/>
          </w:tcPr>
          <w:p w14:paraId="6672C995" w14:textId="77777777" w:rsidR="000511E0" w:rsidRPr="00471CBA" w:rsidRDefault="000511E0" w:rsidP="003D1625">
            <w:pPr>
              <w:jc w:val="right"/>
              <w:rPr>
                <w:color w:val="000000"/>
                <w:szCs w:val="20"/>
              </w:rPr>
            </w:pPr>
          </w:p>
        </w:tc>
        <w:tc>
          <w:tcPr>
            <w:tcW w:w="1028" w:type="pct"/>
            <w:tcBorders>
              <w:top w:val="nil"/>
              <w:left w:val="nil"/>
              <w:right w:val="nil"/>
            </w:tcBorders>
            <w:vAlign w:val="center"/>
            <w:hideMark/>
          </w:tcPr>
          <w:p w14:paraId="5648B8F6" w14:textId="77777777" w:rsidR="000511E0" w:rsidRPr="00471CBA" w:rsidRDefault="000511E0" w:rsidP="003D1625">
            <w:pPr>
              <w:jc w:val="right"/>
              <w:rPr>
                <w:szCs w:val="20"/>
              </w:rPr>
            </w:pPr>
          </w:p>
        </w:tc>
      </w:tr>
      <w:tr w:rsidR="000511E0" w:rsidRPr="00471CBA" w14:paraId="55EBD1C1" w14:textId="77777777" w:rsidTr="00DA230C">
        <w:trPr>
          <w:trHeight w:val="227"/>
        </w:trPr>
        <w:tc>
          <w:tcPr>
            <w:tcW w:w="3972" w:type="pct"/>
            <w:tcBorders>
              <w:top w:val="nil"/>
              <w:left w:val="nil"/>
              <w:bottom w:val="single" w:sz="8" w:space="0" w:color="auto"/>
              <w:right w:val="nil"/>
            </w:tcBorders>
            <w:vAlign w:val="center"/>
            <w:hideMark/>
          </w:tcPr>
          <w:p w14:paraId="1646FE85" w14:textId="77777777" w:rsidR="000511E0" w:rsidRPr="00471CBA" w:rsidRDefault="000511E0" w:rsidP="003D1625">
            <w:pPr>
              <w:jc w:val="both"/>
              <w:rPr>
                <w:b/>
                <w:bCs/>
                <w:color w:val="000000"/>
                <w:szCs w:val="20"/>
              </w:rPr>
            </w:pPr>
            <w:r w:rsidRPr="00471CBA">
              <w:rPr>
                <w:b/>
                <w:bCs/>
                <w:color w:val="000000"/>
                <w:szCs w:val="20"/>
              </w:rPr>
              <w:t xml:space="preserve">Toplam </w:t>
            </w:r>
          </w:p>
        </w:tc>
        <w:tc>
          <w:tcPr>
            <w:tcW w:w="1028" w:type="pct"/>
            <w:tcBorders>
              <w:top w:val="nil"/>
              <w:left w:val="nil"/>
              <w:bottom w:val="single" w:sz="8" w:space="0" w:color="auto"/>
              <w:right w:val="nil"/>
            </w:tcBorders>
            <w:noWrap/>
            <w:vAlign w:val="center"/>
            <w:hideMark/>
          </w:tcPr>
          <w:p w14:paraId="3A512456" w14:textId="77777777" w:rsidR="000511E0" w:rsidRPr="00471CBA" w:rsidRDefault="000511E0" w:rsidP="003D1625">
            <w:pPr>
              <w:jc w:val="right"/>
              <w:rPr>
                <w:b/>
                <w:bCs/>
                <w:color w:val="000000"/>
                <w:szCs w:val="20"/>
              </w:rPr>
            </w:pPr>
            <w:r w:rsidRPr="00471CBA">
              <w:rPr>
                <w:b/>
                <w:bCs/>
                <w:color w:val="000000"/>
                <w:szCs w:val="20"/>
              </w:rPr>
              <w:t>282.009</w:t>
            </w:r>
          </w:p>
        </w:tc>
      </w:tr>
    </w:tbl>
    <w:p w14:paraId="3BBFAD40" w14:textId="77777777" w:rsidR="000511E0" w:rsidRPr="00471CBA" w:rsidRDefault="000511E0" w:rsidP="00203A33">
      <w:pPr>
        <w:widowControl w:val="0"/>
        <w:ind w:left="-567"/>
        <w:jc w:val="both"/>
        <w:rPr>
          <w:szCs w:val="20"/>
        </w:rPr>
      </w:pPr>
    </w:p>
    <w:p w14:paraId="124FD6D6" w14:textId="0F74E654" w:rsidR="00203A33" w:rsidRPr="00471CBA" w:rsidRDefault="00203A33" w:rsidP="00281456">
      <w:pPr>
        <w:widowControl w:val="0"/>
        <w:ind w:left="1276" w:hanging="425"/>
        <w:jc w:val="both"/>
        <w:rPr>
          <w:b/>
          <w:szCs w:val="20"/>
        </w:rPr>
      </w:pPr>
      <w:r w:rsidRPr="00471CBA">
        <w:rPr>
          <w:b/>
          <w:szCs w:val="20"/>
        </w:rPr>
        <w:t>a.</w:t>
      </w:r>
      <w:r w:rsidR="003E0081" w:rsidRPr="00471CBA">
        <w:rPr>
          <w:b/>
          <w:szCs w:val="20"/>
        </w:rPr>
        <w:t>2</w:t>
      </w:r>
      <w:r w:rsidRPr="00471CBA">
        <w:rPr>
          <w:b/>
          <w:szCs w:val="20"/>
        </w:rPr>
        <w:t>.</w:t>
      </w:r>
      <w:r w:rsidRPr="00471CBA">
        <w:rPr>
          <w:b/>
          <w:bCs/>
          <w:szCs w:val="20"/>
        </w:rPr>
        <w:tab/>
      </w:r>
      <w:r w:rsidRPr="00471CBA">
        <w:rPr>
          <w:b/>
          <w:szCs w:val="20"/>
        </w:rPr>
        <w:t>Primlere ilişkin bilgiler:</w:t>
      </w:r>
    </w:p>
    <w:p w14:paraId="0815F3E3" w14:textId="6DC0EC65" w:rsidR="00A74C68" w:rsidRPr="00471CBA" w:rsidRDefault="00A74C68" w:rsidP="004A7BCB">
      <w:pPr>
        <w:pStyle w:val="xl79"/>
        <w:widowControl w:val="0"/>
        <w:pBdr>
          <w:left w:val="none" w:sz="0" w:space="0" w:color="auto"/>
          <w:bottom w:val="none" w:sz="0" w:space="0" w:color="auto"/>
          <w:right w:val="none" w:sz="0" w:space="0" w:color="auto"/>
        </w:pBdr>
        <w:tabs>
          <w:tab w:val="left" w:pos="-1800"/>
        </w:tabs>
        <w:spacing w:before="0" w:beforeAutospacing="0" w:after="0" w:afterAutospacing="0"/>
        <w:ind w:left="851"/>
        <w:jc w:val="both"/>
        <w:rPr>
          <w:rFonts w:eastAsia="Times New Roman"/>
          <w:noProof w:val="0"/>
          <w:sz w:val="20"/>
          <w:szCs w:val="20"/>
        </w:rPr>
      </w:pPr>
    </w:p>
    <w:tbl>
      <w:tblPr>
        <w:tblW w:w="4989" w:type="pct"/>
        <w:tblCellMar>
          <w:left w:w="70" w:type="dxa"/>
          <w:right w:w="70" w:type="dxa"/>
        </w:tblCellMar>
        <w:tblLook w:val="04A0" w:firstRow="1" w:lastRow="0" w:firstColumn="1" w:lastColumn="0" w:noHBand="0" w:noVBand="1"/>
      </w:tblPr>
      <w:tblGrid>
        <w:gridCol w:w="7374"/>
        <w:gridCol w:w="1960"/>
      </w:tblGrid>
      <w:tr w:rsidR="00A74C68" w:rsidRPr="00471CBA" w14:paraId="6BB02F35" w14:textId="77777777" w:rsidTr="00A74C68">
        <w:trPr>
          <w:divId w:val="889733431"/>
          <w:trHeight w:val="227"/>
        </w:trPr>
        <w:tc>
          <w:tcPr>
            <w:tcW w:w="3283" w:type="pct"/>
            <w:tcBorders>
              <w:top w:val="nil"/>
              <w:left w:val="nil"/>
              <w:bottom w:val="nil"/>
              <w:right w:val="nil"/>
            </w:tcBorders>
            <w:shd w:val="clear" w:color="000000" w:fill="FFFFFF"/>
            <w:vAlign w:val="bottom"/>
            <w:hideMark/>
          </w:tcPr>
          <w:p w14:paraId="6FDF9BF5" w14:textId="393A2E7B" w:rsidR="00A74C68" w:rsidRPr="00471CBA" w:rsidRDefault="00A74C68" w:rsidP="00A74C68">
            <w:pPr>
              <w:jc w:val="center"/>
              <w:rPr>
                <w:b/>
                <w:bCs/>
                <w:color w:val="000000"/>
                <w:szCs w:val="20"/>
                <w:lang w:eastAsia="tr-TR"/>
              </w:rPr>
            </w:pPr>
            <w:r w:rsidRPr="00471CBA">
              <w:rPr>
                <w:b/>
                <w:bCs/>
                <w:color w:val="000000"/>
                <w:szCs w:val="20"/>
                <w:lang w:eastAsia="tr-TR"/>
              </w:rPr>
              <w:t> </w:t>
            </w:r>
          </w:p>
        </w:tc>
        <w:tc>
          <w:tcPr>
            <w:tcW w:w="873" w:type="pct"/>
            <w:tcBorders>
              <w:top w:val="nil"/>
              <w:left w:val="nil"/>
              <w:bottom w:val="single" w:sz="4" w:space="0" w:color="auto"/>
              <w:right w:val="nil"/>
            </w:tcBorders>
            <w:noWrap/>
            <w:vAlign w:val="bottom"/>
            <w:hideMark/>
          </w:tcPr>
          <w:p w14:paraId="706EF4BF" w14:textId="77777777" w:rsidR="00A74C68" w:rsidRPr="00471CBA" w:rsidRDefault="00A74C68" w:rsidP="00A74C68">
            <w:pPr>
              <w:jc w:val="center"/>
              <w:rPr>
                <w:b/>
                <w:bCs/>
                <w:color w:val="000000"/>
                <w:szCs w:val="20"/>
                <w:lang w:eastAsia="tr-TR"/>
              </w:rPr>
            </w:pPr>
            <w:r w:rsidRPr="00471CBA">
              <w:rPr>
                <w:b/>
                <w:bCs/>
                <w:color w:val="000000"/>
                <w:szCs w:val="20"/>
                <w:lang w:eastAsia="tr-TR"/>
              </w:rPr>
              <w:t>31 Aralık 2025</w:t>
            </w:r>
          </w:p>
        </w:tc>
      </w:tr>
      <w:tr w:rsidR="00A74C68" w:rsidRPr="00471CBA" w14:paraId="5C159828" w14:textId="77777777" w:rsidTr="00A74C68">
        <w:trPr>
          <w:divId w:val="889733431"/>
          <w:trHeight w:val="227"/>
        </w:trPr>
        <w:tc>
          <w:tcPr>
            <w:tcW w:w="3283" w:type="pct"/>
            <w:tcBorders>
              <w:top w:val="nil"/>
              <w:left w:val="nil"/>
              <w:bottom w:val="nil"/>
              <w:right w:val="nil"/>
            </w:tcBorders>
            <w:vAlign w:val="bottom"/>
            <w:hideMark/>
          </w:tcPr>
          <w:p w14:paraId="610FECC7" w14:textId="77777777" w:rsidR="00A74C68" w:rsidRPr="00471CBA" w:rsidRDefault="00A74C68" w:rsidP="00A74C68">
            <w:pPr>
              <w:rPr>
                <w:b/>
                <w:bCs/>
                <w:color w:val="000000"/>
                <w:szCs w:val="20"/>
                <w:lang w:eastAsia="tr-TR"/>
              </w:rPr>
            </w:pPr>
          </w:p>
        </w:tc>
        <w:tc>
          <w:tcPr>
            <w:tcW w:w="873" w:type="pct"/>
            <w:tcBorders>
              <w:top w:val="nil"/>
              <w:left w:val="nil"/>
              <w:bottom w:val="nil"/>
              <w:right w:val="nil"/>
            </w:tcBorders>
            <w:vAlign w:val="bottom"/>
            <w:hideMark/>
          </w:tcPr>
          <w:p w14:paraId="3AFB771E" w14:textId="77777777" w:rsidR="00A74C68" w:rsidRPr="00471CBA" w:rsidRDefault="00A74C68" w:rsidP="00A74C68">
            <w:pPr>
              <w:jc w:val="both"/>
              <w:rPr>
                <w:b/>
                <w:bCs/>
                <w:color w:val="000000"/>
                <w:szCs w:val="20"/>
                <w:lang w:eastAsia="tr-TR"/>
              </w:rPr>
            </w:pPr>
          </w:p>
        </w:tc>
      </w:tr>
      <w:tr w:rsidR="00A74C68" w:rsidRPr="00471CBA" w14:paraId="61624241" w14:textId="77777777" w:rsidTr="00A74C68">
        <w:trPr>
          <w:divId w:val="889733431"/>
          <w:trHeight w:val="227"/>
        </w:trPr>
        <w:tc>
          <w:tcPr>
            <w:tcW w:w="3283" w:type="pct"/>
            <w:tcBorders>
              <w:top w:val="nil"/>
              <w:left w:val="nil"/>
              <w:bottom w:val="nil"/>
              <w:right w:val="nil"/>
            </w:tcBorders>
            <w:vAlign w:val="bottom"/>
            <w:hideMark/>
          </w:tcPr>
          <w:p w14:paraId="437B23B4" w14:textId="77777777" w:rsidR="00A74C68" w:rsidRPr="00471CBA" w:rsidRDefault="00A74C68" w:rsidP="00A74C68">
            <w:pPr>
              <w:rPr>
                <w:color w:val="000000"/>
                <w:szCs w:val="20"/>
                <w:lang w:eastAsia="tr-TR"/>
              </w:rPr>
            </w:pPr>
            <w:r w:rsidRPr="00471CBA">
              <w:rPr>
                <w:color w:val="000000"/>
                <w:szCs w:val="20"/>
              </w:rPr>
              <w:t>Sosyal</w:t>
            </w:r>
            <w:r w:rsidRPr="00471CBA">
              <w:rPr>
                <w:color w:val="000000"/>
                <w:szCs w:val="20"/>
                <w:lang w:eastAsia="tr-TR"/>
              </w:rPr>
              <w:t xml:space="preserve"> Sigorta Primleri-Personel</w:t>
            </w:r>
          </w:p>
        </w:tc>
        <w:tc>
          <w:tcPr>
            <w:tcW w:w="873" w:type="pct"/>
            <w:tcBorders>
              <w:top w:val="nil"/>
              <w:left w:val="nil"/>
              <w:bottom w:val="nil"/>
              <w:right w:val="nil"/>
            </w:tcBorders>
            <w:noWrap/>
            <w:vAlign w:val="center"/>
            <w:hideMark/>
          </w:tcPr>
          <w:p w14:paraId="66157CD1" w14:textId="77777777" w:rsidR="00A74C68" w:rsidRPr="00471CBA" w:rsidRDefault="00A74C68" w:rsidP="00A74C68">
            <w:pPr>
              <w:jc w:val="right"/>
              <w:rPr>
                <w:color w:val="000000"/>
                <w:szCs w:val="20"/>
                <w:lang w:eastAsia="tr-TR"/>
              </w:rPr>
            </w:pPr>
            <w:r w:rsidRPr="00471CBA">
              <w:rPr>
                <w:color w:val="000000"/>
                <w:szCs w:val="20"/>
              </w:rPr>
              <w:t>11.400</w:t>
            </w:r>
          </w:p>
        </w:tc>
      </w:tr>
      <w:tr w:rsidR="00A74C68" w:rsidRPr="00471CBA" w14:paraId="6CF14ED0" w14:textId="77777777" w:rsidTr="00A74C68">
        <w:trPr>
          <w:divId w:val="889733431"/>
          <w:trHeight w:val="227"/>
        </w:trPr>
        <w:tc>
          <w:tcPr>
            <w:tcW w:w="3283" w:type="pct"/>
            <w:tcBorders>
              <w:top w:val="nil"/>
              <w:left w:val="nil"/>
              <w:bottom w:val="nil"/>
              <w:right w:val="nil"/>
            </w:tcBorders>
            <w:vAlign w:val="bottom"/>
            <w:hideMark/>
          </w:tcPr>
          <w:p w14:paraId="119499C6" w14:textId="77777777" w:rsidR="00A74C68" w:rsidRPr="00471CBA" w:rsidRDefault="00A74C68" w:rsidP="00A74C68">
            <w:pPr>
              <w:rPr>
                <w:color w:val="000000"/>
                <w:szCs w:val="20"/>
                <w:lang w:eastAsia="tr-TR"/>
              </w:rPr>
            </w:pPr>
            <w:r w:rsidRPr="00471CBA">
              <w:rPr>
                <w:color w:val="000000"/>
                <w:szCs w:val="20"/>
                <w:lang w:eastAsia="tr-TR"/>
              </w:rPr>
              <w:t>Sosyal</w:t>
            </w:r>
            <w:r w:rsidRPr="00471CBA">
              <w:rPr>
                <w:color w:val="000000"/>
                <w:szCs w:val="20"/>
              </w:rPr>
              <w:t xml:space="preserve"> </w:t>
            </w:r>
            <w:r w:rsidRPr="00471CBA">
              <w:rPr>
                <w:color w:val="000000"/>
                <w:szCs w:val="20"/>
                <w:lang w:eastAsia="tr-TR"/>
              </w:rPr>
              <w:t>Sigorta Primleri-İşveren</w:t>
            </w:r>
          </w:p>
        </w:tc>
        <w:tc>
          <w:tcPr>
            <w:tcW w:w="873" w:type="pct"/>
            <w:tcBorders>
              <w:top w:val="nil"/>
              <w:left w:val="nil"/>
              <w:bottom w:val="nil"/>
              <w:right w:val="nil"/>
            </w:tcBorders>
            <w:noWrap/>
            <w:vAlign w:val="center"/>
            <w:hideMark/>
          </w:tcPr>
          <w:p w14:paraId="0CDBF276" w14:textId="77777777" w:rsidR="00A74C68" w:rsidRPr="00471CBA" w:rsidRDefault="00A74C68" w:rsidP="00A74C68">
            <w:pPr>
              <w:jc w:val="right"/>
              <w:rPr>
                <w:color w:val="000000"/>
                <w:szCs w:val="20"/>
              </w:rPr>
            </w:pPr>
            <w:r w:rsidRPr="00471CBA">
              <w:rPr>
                <w:color w:val="000000"/>
                <w:szCs w:val="20"/>
                <w:lang w:eastAsia="tr-TR"/>
              </w:rPr>
              <w:t>14.471</w:t>
            </w:r>
          </w:p>
        </w:tc>
      </w:tr>
      <w:tr w:rsidR="00A74C68" w:rsidRPr="00471CBA" w14:paraId="73E9AFE1" w14:textId="77777777" w:rsidTr="00A74C68">
        <w:trPr>
          <w:divId w:val="889733431"/>
          <w:trHeight w:val="227"/>
        </w:trPr>
        <w:tc>
          <w:tcPr>
            <w:tcW w:w="3283" w:type="pct"/>
            <w:tcBorders>
              <w:top w:val="nil"/>
              <w:left w:val="nil"/>
              <w:bottom w:val="nil"/>
              <w:right w:val="nil"/>
            </w:tcBorders>
            <w:vAlign w:val="bottom"/>
            <w:hideMark/>
          </w:tcPr>
          <w:p w14:paraId="00697961" w14:textId="77777777" w:rsidR="00A74C68" w:rsidRPr="00471CBA" w:rsidRDefault="00A74C68" w:rsidP="00A74C68">
            <w:pPr>
              <w:rPr>
                <w:color w:val="000000"/>
                <w:szCs w:val="20"/>
                <w:lang w:eastAsia="tr-TR"/>
              </w:rPr>
            </w:pPr>
            <w:r w:rsidRPr="00471CBA">
              <w:rPr>
                <w:color w:val="000000"/>
                <w:szCs w:val="20"/>
                <w:lang w:eastAsia="tr-TR"/>
              </w:rPr>
              <w:t>Banka</w:t>
            </w:r>
            <w:r w:rsidRPr="00471CBA">
              <w:rPr>
                <w:color w:val="000000"/>
                <w:szCs w:val="20"/>
              </w:rPr>
              <w:t xml:space="preserve"> </w:t>
            </w:r>
            <w:r w:rsidRPr="00471CBA">
              <w:rPr>
                <w:color w:val="000000"/>
                <w:szCs w:val="20"/>
                <w:lang w:eastAsia="tr-TR"/>
              </w:rPr>
              <w:t>Sosyal Yardım Sandığı Primleri-Personel</w:t>
            </w:r>
          </w:p>
        </w:tc>
        <w:tc>
          <w:tcPr>
            <w:tcW w:w="873" w:type="pct"/>
            <w:tcBorders>
              <w:top w:val="nil"/>
              <w:left w:val="nil"/>
              <w:bottom w:val="nil"/>
              <w:right w:val="nil"/>
            </w:tcBorders>
            <w:noWrap/>
            <w:vAlign w:val="center"/>
            <w:hideMark/>
          </w:tcPr>
          <w:p w14:paraId="69621C6F" w14:textId="77777777" w:rsidR="00A74C68" w:rsidRPr="00471CBA" w:rsidRDefault="00A74C68" w:rsidP="00A74C68">
            <w:pPr>
              <w:jc w:val="right"/>
              <w:rPr>
                <w:color w:val="000000"/>
                <w:szCs w:val="20"/>
              </w:rPr>
            </w:pPr>
            <w:r w:rsidRPr="00471CBA">
              <w:rPr>
                <w:color w:val="000000"/>
                <w:szCs w:val="20"/>
                <w:lang w:eastAsia="tr-TR"/>
              </w:rPr>
              <w:t>-</w:t>
            </w:r>
          </w:p>
        </w:tc>
      </w:tr>
      <w:tr w:rsidR="00A74C68" w:rsidRPr="00471CBA" w14:paraId="4042E42F" w14:textId="77777777" w:rsidTr="00A74C68">
        <w:trPr>
          <w:divId w:val="889733431"/>
          <w:trHeight w:val="227"/>
        </w:trPr>
        <w:tc>
          <w:tcPr>
            <w:tcW w:w="3283" w:type="pct"/>
            <w:tcBorders>
              <w:top w:val="nil"/>
              <w:left w:val="nil"/>
              <w:bottom w:val="nil"/>
              <w:right w:val="nil"/>
            </w:tcBorders>
            <w:vAlign w:val="bottom"/>
            <w:hideMark/>
          </w:tcPr>
          <w:p w14:paraId="670D45FE" w14:textId="77777777" w:rsidR="00A74C68" w:rsidRPr="00471CBA" w:rsidRDefault="00A74C68" w:rsidP="00A74C68">
            <w:pPr>
              <w:rPr>
                <w:color w:val="000000"/>
                <w:szCs w:val="20"/>
                <w:lang w:eastAsia="tr-TR"/>
              </w:rPr>
            </w:pPr>
            <w:r w:rsidRPr="00471CBA">
              <w:rPr>
                <w:color w:val="000000"/>
                <w:szCs w:val="20"/>
                <w:lang w:eastAsia="tr-TR"/>
              </w:rPr>
              <w:t>Banka</w:t>
            </w:r>
            <w:r w:rsidRPr="00471CBA">
              <w:rPr>
                <w:color w:val="000000"/>
                <w:szCs w:val="20"/>
              </w:rPr>
              <w:t xml:space="preserve"> </w:t>
            </w:r>
            <w:r w:rsidRPr="00471CBA">
              <w:rPr>
                <w:color w:val="000000"/>
                <w:szCs w:val="20"/>
                <w:lang w:eastAsia="tr-TR"/>
              </w:rPr>
              <w:t>Sosyal Yardım Sandığı Primleri-İşveren</w:t>
            </w:r>
          </w:p>
        </w:tc>
        <w:tc>
          <w:tcPr>
            <w:tcW w:w="873" w:type="pct"/>
            <w:tcBorders>
              <w:top w:val="nil"/>
              <w:left w:val="nil"/>
              <w:bottom w:val="nil"/>
              <w:right w:val="nil"/>
            </w:tcBorders>
            <w:noWrap/>
            <w:vAlign w:val="center"/>
            <w:hideMark/>
          </w:tcPr>
          <w:p w14:paraId="034319D6" w14:textId="77777777" w:rsidR="00A74C68" w:rsidRPr="00471CBA" w:rsidRDefault="00A74C68" w:rsidP="00A74C68">
            <w:pPr>
              <w:jc w:val="right"/>
              <w:rPr>
                <w:color w:val="000000"/>
                <w:szCs w:val="20"/>
              </w:rPr>
            </w:pPr>
            <w:r w:rsidRPr="00471CBA">
              <w:rPr>
                <w:color w:val="000000"/>
                <w:szCs w:val="20"/>
                <w:lang w:eastAsia="tr-TR"/>
              </w:rPr>
              <w:t>-</w:t>
            </w:r>
          </w:p>
        </w:tc>
      </w:tr>
      <w:tr w:rsidR="00A74C68" w:rsidRPr="00471CBA" w14:paraId="083761F6" w14:textId="77777777" w:rsidTr="00A74C68">
        <w:trPr>
          <w:divId w:val="889733431"/>
          <w:trHeight w:val="227"/>
        </w:trPr>
        <w:tc>
          <w:tcPr>
            <w:tcW w:w="3283" w:type="pct"/>
            <w:tcBorders>
              <w:top w:val="nil"/>
              <w:left w:val="nil"/>
              <w:bottom w:val="nil"/>
              <w:right w:val="nil"/>
            </w:tcBorders>
            <w:vAlign w:val="bottom"/>
            <w:hideMark/>
          </w:tcPr>
          <w:p w14:paraId="6138B6D1" w14:textId="77777777" w:rsidR="00A74C68" w:rsidRPr="00471CBA" w:rsidRDefault="00A74C68" w:rsidP="00A74C68">
            <w:pPr>
              <w:rPr>
                <w:color w:val="000000"/>
                <w:szCs w:val="20"/>
                <w:lang w:eastAsia="tr-TR"/>
              </w:rPr>
            </w:pPr>
            <w:r w:rsidRPr="00471CBA">
              <w:rPr>
                <w:color w:val="000000"/>
                <w:szCs w:val="20"/>
                <w:lang w:eastAsia="tr-TR"/>
              </w:rPr>
              <w:t>Emekli</w:t>
            </w:r>
            <w:r w:rsidRPr="00471CBA">
              <w:rPr>
                <w:color w:val="000000"/>
                <w:szCs w:val="20"/>
              </w:rPr>
              <w:t xml:space="preserve"> </w:t>
            </w:r>
            <w:r w:rsidRPr="00471CBA">
              <w:rPr>
                <w:color w:val="000000"/>
                <w:szCs w:val="20"/>
                <w:lang w:eastAsia="tr-TR"/>
              </w:rPr>
              <w:t>Sandığı Aidatı ve Karşılıkları-Personel</w:t>
            </w:r>
          </w:p>
        </w:tc>
        <w:tc>
          <w:tcPr>
            <w:tcW w:w="873" w:type="pct"/>
            <w:tcBorders>
              <w:top w:val="nil"/>
              <w:left w:val="nil"/>
              <w:bottom w:val="nil"/>
              <w:right w:val="nil"/>
            </w:tcBorders>
            <w:noWrap/>
            <w:vAlign w:val="center"/>
            <w:hideMark/>
          </w:tcPr>
          <w:p w14:paraId="57CA554D" w14:textId="77777777" w:rsidR="00A74C68" w:rsidRPr="00471CBA" w:rsidRDefault="00A74C68" w:rsidP="00A74C68">
            <w:pPr>
              <w:jc w:val="right"/>
              <w:rPr>
                <w:color w:val="000000"/>
                <w:szCs w:val="20"/>
              </w:rPr>
            </w:pPr>
            <w:r w:rsidRPr="00471CBA">
              <w:rPr>
                <w:color w:val="000000"/>
                <w:szCs w:val="20"/>
                <w:lang w:eastAsia="tr-TR"/>
              </w:rPr>
              <w:t>-</w:t>
            </w:r>
          </w:p>
        </w:tc>
      </w:tr>
      <w:tr w:rsidR="00A74C68" w:rsidRPr="00471CBA" w14:paraId="2769F28A" w14:textId="77777777" w:rsidTr="00A74C68">
        <w:trPr>
          <w:divId w:val="889733431"/>
          <w:trHeight w:val="227"/>
        </w:trPr>
        <w:tc>
          <w:tcPr>
            <w:tcW w:w="3283" w:type="pct"/>
            <w:tcBorders>
              <w:top w:val="nil"/>
              <w:left w:val="nil"/>
              <w:bottom w:val="nil"/>
              <w:right w:val="nil"/>
            </w:tcBorders>
            <w:vAlign w:val="bottom"/>
            <w:hideMark/>
          </w:tcPr>
          <w:p w14:paraId="4FB5DEED" w14:textId="77777777" w:rsidR="00A74C68" w:rsidRPr="00471CBA" w:rsidRDefault="00A74C68" w:rsidP="00A74C68">
            <w:pPr>
              <w:rPr>
                <w:color w:val="000000"/>
                <w:szCs w:val="20"/>
                <w:lang w:eastAsia="tr-TR"/>
              </w:rPr>
            </w:pPr>
            <w:r w:rsidRPr="00471CBA">
              <w:rPr>
                <w:color w:val="000000"/>
                <w:szCs w:val="20"/>
              </w:rPr>
              <w:t>Emekli</w:t>
            </w:r>
            <w:r w:rsidRPr="00471CBA">
              <w:rPr>
                <w:color w:val="000000"/>
                <w:szCs w:val="20"/>
                <w:lang w:eastAsia="tr-TR"/>
              </w:rPr>
              <w:t xml:space="preserve"> Sandığı Aidatı ve Karşılıkları-İşveren</w:t>
            </w:r>
          </w:p>
        </w:tc>
        <w:tc>
          <w:tcPr>
            <w:tcW w:w="873" w:type="pct"/>
            <w:tcBorders>
              <w:top w:val="nil"/>
              <w:left w:val="nil"/>
              <w:bottom w:val="nil"/>
              <w:right w:val="nil"/>
            </w:tcBorders>
            <w:noWrap/>
            <w:vAlign w:val="center"/>
            <w:hideMark/>
          </w:tcPr>
          <w:p w14:paraId="0F360BA8" w14:textId="77777777" w:rsidR="00A74C68" w:rsidRPr="00471CBA" w:rsidRDefault="00A74C68" w:rsidP="00A74C68">
            <w:pPr>
              <w:jc w:val="right"/>
              <w:rPr>
                <w:color w:val="000000"/>
                <w:szCs w:val="20"/>
                <w:lang w:eastAsia="tr-TR"/>
              </w:rPr>
            </w:pPr>
            <w:r w:rsidRPr="00471CBA">
              <w:rPr>
                <w:color w:val="000000"/>
                <w:szCs w:val="20"/>
              </w:rPr>
              <w:t>-</w:t>
            </w:r>
          </w:p>
        </w:tc>
      </w:tr>
      <w:tr w:rsidR="00A74C68" w:rsidRPr="00471CBA" w14:paraId="67B9BCA4" w14:textId="77777777" w:rsidTr="00A74C68">
        <w:trPr>
          <w:divId w:val="889733431"/>
          <w:trHeight w:val="227"/>
        </w:trPr>
        <w:tc>
          <w:tcPr>
            <w:tcW w:w="3283" w:type="pct"/>
            <w:tcBorders>
              <w:top w:val="nil"/>
              <w:left w:val="nil"/>
              <w:bottom w:val="nil"/>
              <w:right w:val="nil"/>
            </w:tcBorders>
            <w:vAlign w:val="bottom"/>
            <w:hideMark/>
          </w:tcPr>
          <w:p w14:paraId="268A6F0D" w14:textId="77777777" w:rsidR="00A74C68" w:rsidRPr="00471CBA" w:rsidRDefault="00A74C68" w:rsidP="00A74C68">
            <w:pPr>
              <w:rPr>
                <w:color w:val="000000"/>
                <w:szCs w:val="20"/>
                <w:lang w:eastAsia="tr-TR"/>
              </w:rPr>
            </w:pPr>
            <w:r w:rsidRPr="00471CBA">
              <w:rPr>
                <w:color w:val="000000"/>
                <w:szCs w:val="20"/>
                <w:lang w:eastAsia="tr-TR"/>
              </w:rPr>
              <w:t>İşsizlik</w:t>
            </w:r>
            <w:r w:rsidRPr="00471CBA">
              <w:rPr>
                <w:color w:val="000000"/>
                <w:szCs w:val="20"/>
              </w:rPr>
              <w:t xml:space="preserve"> </w:t>
            </w:r>
            <w:r w:rsidRPr="00471CBA">
              <w:rPr>
                <w:color w:val="000000"/>
                <w:szCs w:val="20"/>
                <w:lang w:eastAsia="tr-TR"/>
              </w:rPr>
              <w:t>Sigortası-Personel</w:t>
            </w:r>
          </w:p>
        </w:tc>
        <w:tc>
          <w:tcPr>
            <w:tcW w:w="873" w:type="pct"/>
            <w:tcBorders>
              <w:top w:val="nil"/>
              <w:left w:val="nil"/>
              <w:bottom w:val="nil"/>
              <w:right w:val="nil"/>
            </w:tcBorders>
            <w:noWrap/>
            <w:vAlign w:val="center"/>
            <w:hideMark/>
          </w:tcPr>
          <w:p w14:paraId="27D3142D" w14:textId="77777777" w:rsidR="00A74C68" w:rsidRPr="00471CBA" w:rsidRDefault="00A74C68" w:rsidP="00A74C68">
            <w:pPr>
              <w:jc w:val="right"/>
              <w:rPr>
                <w:color w:val="000000"/>
                <w:szCs w:val="20"/>
              </w:rPr>
            </w:pPr>
            <w:r w:rsidRPr="00471CBA">
              <w:rPr>
                <w:color w:val="000000"/>
                <w:szCs w:val="20"/>
                <w:lang w:eastAsia="tr-TR"/>
              </w:rPr>
              <w:t>781</w:t>
            </w:r>
          </w:p>
        </w:tc>
      </w:tr>
      <w:tr w:rsidR="00A74C68" w:rsidRPr="00471CBA" w14:paraId="5FE4232C" w14:textId="77777777" w:rsidTr="00A74C68">
        <w:trPr>
          <w:divId w:val="889733431"/>
          <w:trHeight w:val="227"/>
        </w:trPr>
        <w:tc>
          <w:tcPr>
            <w:tcW w:w="3283" w:type="pct"/>
            <w:tcBorders>
              <w:top w:val="nil"/>
              <w:left w:val="nil"/>
              <w:bottom w:val="nil"/>
              <w:right w:val="nil"/>
            </w:tcBorders>
            <w:vAlign w:val="bottom"/>
            <w:hideMark/>
          </w:tcPr>
          <w:p w14:paraId="5B86C58E" w14:textId="77777777" w:rsidR="00A74C68" w:rsidRPr="00471CBA" w:rsidRDefault="00A74C68" w:rsidP="00A74C68">
            <w:pPr>
              <w:rPr>
                <w:color w:val="000000"/>
                <w:szCs w:val="20"/>
                <w:lang w:eastAsia="tr-TR"/>
              </w:rPr>
            </w:pPr>
            <w:r w:rsidRPr="00471CBA">
              <w:rPr>
                <w:color w:val="000000"/>
                <w:szCs w:val="20"/>
                <w:lang w:eastAsia="tr-TR"/>
              </w:rPr>
              <w:t>İşsizlik Sigortası-İşveren</w:t>
            </w:r>
          </w:p>
        </w:tc>
        <w:tc>
          <w:tcPr>
            <w:tcW w:w="873" w:type="pct"/>
            <w:tcBorders>
              <w:top w:val="nil"/>
              <w:left w:val="nil"/>
              <w:bottom w:val="nil"/>
              <w:right w:val="nil"/>
            </w:tcBorders>
            <w:noWrap/>
            <w:vAlign w:val="center"/>
            <w:hideMark/>
          </w:tcPr>
          <w:p w14:paraId="5C55BA97" w14:textId="77777777" w:rsidR="00A74C68" w:rsidRPr="00471CBA" w:rsidRDefault="00A74C68" w:rsidP="00A74C68">
            <w:pPr>
              <w:jc w:val="right"/>
              <w:rPr>
                <w:color w:val="000000"/>
                <w:szCs w:val="20"/>
                <w:lang w:eastAsia="tr-TR"/>
              </w:rPr>
            </w:pPr>
            <w:r w:rsidRPr="00471CBA">
              <w:rPr>
                <w:color w:val="000000"/>
                <w:szCs w:val="20"/>
                <w:lang w:eastAsia="tr-TR"/>
              </w:rPr>
              <w:t>1.562</w:t>
            </w:r>
          </w:p>
        </w:tc>
      </w:tr>
      <w:tr w:rsidR="00A74C68" w:rsidRPr="00471CBA" w14:paraId="0BB087E9" w14:textId="77777777" w:rsidTr="00A74C68">
        <w:trPr>
          <w:divId w:val="889733431"/>
          <w:trHeight w:val="227"/>
        </w:trPr>
        <w:tc>
          <w:tcPr>
            <w:tcW w:w="3283" w:type="pct"/>
            <w:tcBorders>
              <w:top w:val="nil"/>
              <w:left w:val="nil"/>
              <w:bottom w:val="single" w:sz="4" w:space="0" w:color="auto"/>
              <w:right w:val="nil"/>
            </w:tcBorders>
            <w:vAlign w:val="bottom"/>
            <w:hideMark/>
          </w:tcPr>
          <w:p w14:paraId="4E26338A" w14:textId="77777777" w:rsidR="00A74C68" w:rsidRPr="00471CBA" w:rsidRDefault="00A74C68" w:rsidP="00A74C68">
            <w:pPr>
              <w:rPr>
                <w:color w:val="000000"/>
                <w:szCs w:val="20"/>
              </w:rPr>
            </w:pPr>
            <w:r w:rsidRPr="00471CBA">
              <w:rPr>
                <w:color w:val="000000"/>
                <w:szCs w:val="20"/>
                <w:lang w:eastAsia="tr-TR"/>
              </w:rPr>
              <w:t>Diğer</w:t>
            </w:r>
          </w:p>
        </w:tc>
        <w:tc>
          <w:tcPr>
            <w:tcW w:w="873" w:type="pct"/>
            <w:tcBorders>
              <w:top w:val="nil"/>
              <w:left w:val="nil"/>
              <w:bottom w:val="single" w:sz="4" w:space="0" w:color="auto"/>
              <w:right w:val="nil"/>
            </w:tcBorders>
            <w:noWrap/>
            <w:vAlign w:val="center"/>
            <w:hideMark/>
          </w:tcPr>
          <w:p w14:paraId="2A9405D5" w14:textId="77777777" w:rsidR="00A74C68" w:rsidRPr="00471CBA" w:rsidRDefault="00A74C68" w:rsidP="00A74C68">
            <w:pPr>
              <w:jc w:val="right"/>
              <w:rPr>
                <w:color w:val="000000"/>
                <w:szCs w:val="20"/>
              </w:rPr>
            </w:pPr>
            <w:r w:rsidRPr="00471CBA">
              <w:rPr>
                <w:color w:val="000000"/>
                <w:szCs w:val="20"/>
                <w:lang w:eastAsia="tr-TR"/>
              </w:rPr>
              <w:t>-</w:t>
            </w:r>
          </w:p>
        </w:tc>
      </w:tr>
      <w:tr w:rsidR="00A74C68" w:rsidRPr="00471CBA" w14:paraId="003413F8" w14:textId="77777777" w:rsidTr="00A74C68">
        <w:trPr>
          <w:divId w:val="889733431"/>
          <w:trHeight w:val="227"/>
        </w:trPr>
        <w:tc>
          <w:tcPr>
            <w:tcW w:w="3283" w:type="pct"/>
            <w:tcBorders>
              <w:top w:val="nil"/>
              <w:left w:val="nil"/>
              <w:right w:val="nil"/>
            </w:tcBorders>
            <w:vAlign w:val="bottom"/>
            <w:hideMark/>
          </w:tcPr>
          <w:p w14:paraId="0E5AACB8" w14:textId="77777777" w:rsidR="00A74C68" w:rsidRPr="00471CBA" w:rsidRDefault="00A74C68" w:rsidP="00A74C68">
            <w:pPr>
              <w:jc w:val="right"/>
              <w:rPr>
                <w:color w:val="000000"/>
                <w:szCs w:val="20"/>
              </w:rPr>
            </w:pPr>
          </w:p>
        </w:tc>
        <w:tc>
          <w:tcPr>
            <w:tcW w:w="873" w:type="pct"/>
            <w:tcBorders>
              <w:top w:val="nil"/>
              <w:left w:val="nil"/>
              <w:right w:val="nil"/>
            </w:tcBorders>
            <w:vAlign w:val="center"/>
            <w:hideMark/>
          </w:tcPr>
          <w:p w14:paraId="47A0D5BA" w14:textId="77777777" w:rsidR="00A74C68" w:rsidRPr="00471CBA" w:rsidRDefault="00A74C68" w:rsidP="00A74C68">
            <w:pPr>
              <w:jc w:val="both"/>
              <w:rPr>
                <w:szCs w:val="20"/>
              </w:rPr>
            </w:pPr>
          </w:p>
        </w:tc>
      </w:tr>
      <w:tr w:rsidR="00A74C68" w:rsidRPr="00471CBA" w14:paraId="20BBE49A" w14:textId="77777777" w:rsidTr="00A74C68">
        <w:trPr>
          <w:divId w:val="889733431"/>
          <w:trHeight w:val="227"/>
        </w:trPr>
        <w:tc>
          <w:tcPr>
            <w:tcW w:w="3283" w:type="pct"/>
            <w:tcBorders>
              <w:top w:val="nil"/>
              <w:left w:val="nil"/>
              <w:bottom w:val="single" w:sz="12" w:space="0" w:color="auto"/>
              <w:right w:val="nil"/>
            </w:tcBorders>
            <w:vAlign w:val="bottom"/>
            <w:hideMark/>
          </w:tcPr>
          <w:p w14:paraId="68EECAF0" w14:textId="77777777" w:rsidR="00A74C68" w:rsidRPr="00471CBA" w:rsidRDefault="00A74C68" w:rsidP="00A74C68">
            <w:pPr>
              <w:jc w:val="both"/>
              <w:rPr>
                <w:b/>
                <w:bCs/>
                <w:color w:val="000000"/>
                <w:szCs w:val="20"/>
              </w:rPr>
            </w:pPr>
            <w:r w:rsidRPr="00471CBA">
              <w:rPr>
                <w:b/>
                <w:bCs/>
                <w:color w:val="000000"/>
                <w:szCs w:val="20"/>
                <w:lang w:eastAsia="tr-TR"/>
              </w:rPr>
              <w:t>Toplam</w:t>
            </w:r>
          </w:p>
        </w:tc>
        <w:tc>
          <w:tcPr>
            <w:tcW w:w="873" w:type="pct"/>
            <w:tcBorders>
              <w:top w:val="nil"/>
              <w:left w:val="nil"/>
              <w:bottom w:val="single" w:sz="12" w:space="0" w:color="auto"/>
              <w:right w:val="nil"/>
            </w:tcBorders>
            <w:noWrap/>
            <w:vAlign w:val="center"/>
            <w:hideMark/>
          </w:tcPr>
          <w:p w14:paraId="2BEC3BB9" w14:textId="77777777" w:rsidR="00A74C68" w:rsidRPr="00471CBA" w:rsidRDefault="00A74C68" w:rsidP="00A74C68">
            <w:pPr>
              <w:jc w:val="right"/>
              <w:rPr>
                <w:b/>
                <w:bCs/>
                <w:color w:val="000000"/>
                <w:szCs w:val="20"/>
              </w:rPr>
            </w:pPr>
            <w:r w:rsidRPr="00471CBA">
              <w:rPr>
                <w:b/>
                <w:bCs/>
                <w:color w:val="000000"/>
                <w:szCs w:val="20"/>
                <w:lang w:eastAsia="tr-TR"/>
              </w:rPr>
              <w:t>28.214</w:t>
            </w:r>
          </w:p>
        </w:tc>
      </w:tr>
    </w:tbl>
    <w:p w14:paraId="4C9B9F52" w14:textId="3A912839" w:rsidR="00080449" w:rsidRPr="00471CBA" w:rsidRDefault="00080449" w:rsidP="004A7BCB">
      <w:pPr>
        <w:pStyle w:val="xl79"/>
        <w:widowControl w:val="0"/>
        <w:pBdr>
          <w:left w:val="none" w:sz="0" w:space="0" w:color="auto"/>
          <w:bottom w:val="none" w:sz="0" w:space="0" w:color="auto"/>
          <w:right w:val="none" w:sz="0" w:space="0" w:color="auto"/>
        </w:pBdr>
        <w:tabs>
          <w:tab w:val="left" w:pos="-1800"/>
        </w:tabs>
        <w:spacing w:before="0" w:beforeAutospacing="0" w:after="0" w:afterAutospacing="0"/>
        <w:ind w:left="851"/>
        <w:jc w:val="both"/>
        <w:rPr>
          <w:b/>
          <w:noProof w:val="0"/>
          <w:sz w:val="20"/>
          <w:szCs w:val="20"/>
        </w:rPr>
      </w:pPr>
    </w:p>
    <w:tbl>
      <w:tblPr>
        <w:tblW w:w="5000" w:type="pct"/>
        <w:tblCellMar>
          <w:left w:w="70" w:type="dxa"/>
          <w:right w:w="70" w:type="dxa"/>
        </w:tblCellMar>
        <w:tblLook w:val="04A0" w:firstRow="1" w:lastRow="0" w:firstColumn="1" w:lastColumn="0" w:noHBand="0" w:noVBand="1"/>
      </w:tblPr>
      <w:tblGrid>
        <w:gridCol w:w="7441"/>
        <w:gridCol w:w="1914"/>
      </w:tblGrid>
      <w:tr w:rsidR="000511E0" w:rsidRPr="00471CBA" w14:paraId="24405D73" w14:textId="77777777" w:rsidTr="00DA230C">
        <w:trPr>
          <w:trHeight w:val="227"/>
        </w:trPr>
        <w:tc>
          <w:tcPr>
            <w:tcW w:w="3977" w:type="pct"/>
            <w:tcBorders>
              <w:top w:val="nil"/>
              <w:left w:val="nil"/>
              <w:bottom w:val="nil"/>
              <w:right w:val="nil"/>
            </w:tcBorders>
            <w:shd w:val="clear" w:color="000000" w:fill="FFFFFF"/>
            <w:vAlign w:val="bottom"/>
            <w:hideMark/>
          </w:tcPr>
          <w:p w14:paraId="18A9C1E9" w14:textId="77777777" w:rsidR="000511E0" w:rsidRPr="00471CBA" w:rsidRDefault="000511E0" w:rsidP="003D1625">
            <w:pPr>
              <w:jc w:val="center"/>
              <w:rPr>
                <w:b/>
                <w:bCs/>
                <w:color w:val="000000"/>
                <w:szCs w:val="20"/>
                <w:lang w:eastAsia="tr-TR"/>
              </w:rPr>
            </w:pPr>
            <w:r w:rsidRPr="00471CBA">
              <w:rPr>
                <w:b/>
                <w:bCs/>
                <w:color w:val="000000"/>
                <w:szCs w:val="20"/>
                <w:lang w:eastAsia="tr-TR"/>
              </w:rPr>
              <w:t> </w:t>
            </w:r>
          </w:p>
        </w:tc>
        <w:tc>
          <w:tcPr>
            <w:tcW w:w="1023" w:type="pct"/>
            <w:tcBorders>
              <w:top w:val="nil"/>
              <w:left w:val="nil"/>
              <w:bottom w:val="single" w:sz="4" w:space="0" w:color="auto"/>
              <w:right w:val="nil"/>
            </w:tcBorders>
            <w:noWrap/>
            <w:vAlign w:val="bottom"/>
            <w:hideMark/>
          </w:tcPr>
          <w:p w14:paraId="40E17488" w14:textId="77777777" w:rsidR="000511E0" w:rsidRPr="00471CBA" w:rsidRDefault="000511E0" w:rsidP="003D1625">
            <w:pPr>
              <w:jc w:val="center"/>
              <w:rPr>
                <w:b/>
                <w:bCs/>
                <w:color w:val="000000"/>
                <w:szCs w:val="20"/>
                <w:lang w:eastAsia="tr-TR"/>
              </w:rPr>
            </w:pPr>
            <w:r w:rsidRPr="00471CBA">
              <w:rPr>
                <w:b/>
                <w:bCs/>
                <w:color w:val="000000"/>
                <w:szCs w:val="20"/>
                <w:lang w:eastAsia="tr-TR"/>
              </w:rPr>
              <w:t>31 Aralık 2024</w:t>
            </w:r>
          </w:p>
        </w:tc>
      </w:tr>
      <w:tr w:rsidR="000511E0" w:rsidRPr="00471CBA" w14:paraId="6F803946" w14:textId="77777777" w:rsidTr="00DA230C">
        <w:trPr>
          <w:trHeight w:val="227"/>
        </w:trPr>
        <w:tc>
          <w:tcPr>
            <w:tcW w:w="3977" w:type="pct"/>
            <w:tcBorders>
              <w:top w:val="nil"/>
              <w:left w:val="nil"/>
              <w:bottom w:val="nil"/>
              <w:right w:val="nil"/>
            </w:tcBorders>
            <w:vAlign w:val="bottom"/>
            <w:hideMark/>
          </w:tcPr>
          <w:p w14:paraId="544DC8A9" w14:textId="77777777" w:rsidR="000511E0" w:rsidRPr="00471CBA" w:rsidRDefault="000511E0" w:rsidP="003D1625">
            <w:pPr>
              <w:rPr>
                <w:b/>
                <w:bCs/>
                <w:color w:val="000000"/>
                <w:szCs w:val="20"/>
                <w:lang w:eastAsia="tr-TR"/>
              </w:rPr>
            </w:pPr>
          </w:p>
        </w:tc>
        <w:tc>
          <w:tcPr>
            <w:tcW w:w="1023" w:type="pct"/>
            <w:tcBorders>
              <w:top w:val="nil"/>
              <w:left w:val="nil"/>
              <w:bottom w:val="nil"/>
              <w:right w:val="nil"/>
            </w:tcBorders>
            <w:vAlign w:val="bottom"/>
            <w:hideMark/>
          </w:tcPr>
          <w:p w14:paraId="7B9DCAF6" w14:textId="77777777" w:rsidR="000511E0" w:rsidRPr="00471CBA" w:rsidRDefault="000511E0" w:rsidP="003D1625">
            <w:pPr>
              <w:jc w:val="right"/>
              <w:rPr>
                <w:b/>
                <w:bCs/>
                <w:color w:val="000000"/>
                <w:szCs w:val="20"/>
                <w:lang w:eastAsia="tr-TR"/>
              </w:rPr>
            </w:pPr>
          </w:p>
        </w:tc>
      </w:tr>
      <w:tr w:rsidR="000511E0" w:rsidRPr="00471CBA" w14:paraId="71A801FD" w14:textId="77777777" w:rsidTr="00DA230C">
        <w:trPr>
          <w:trHeight w:val="227"/>
        </w:trPr>
        <w:tc>
          <w:tcPr>
            <w:tcW w:w="3977" w:type="pct"/>
            <w:tcBorders>
              <w:top w:val="nil"/>
              <w:left w:val="nil"/>
              <w:bottom w:val="nil"/>
              <w:right w:val="nil"/>
            </w:tcBorders>
            <w:vAlign w:val="bottom"/>
            <w:hideMark/>
          </w:tcPr>
          <w:p w14:paraId="252220A7" w14:textId="77777777" w:rsidR="000511E0" w:rsidRPr="00471CBA" w:rsidRDefault="000511E0" w:rsidP="003D1625">
            <w:pPr>
              <w:rPr>
                <w:color w:val="000000"/>
                <w:szCs w:val="20"/>
                <w:lang w:eastAsia="tr-TR"/>
              </w:rPr>
            </w:pPr>
            <w:r w:rsidRPr="00471CBA">
              <w:rPr>
                <w:color w:val="000000"/>
                <w:szCs w:val="20"/>
              </w:rPr>
              <w:t>Sosyal</w:t>
            </w:r>
            <w:r w:rsidRPr="00471CBA">
              <w:rPr>
                <w:color w:val="000000"/>
                <w:szCs w:val="20"/>
                <w:lang w:eastAsia="tr-TR"/>
              </w:rPr>
              <w:t xml:space="preserve"> Sigorta Primleri-Personel</w:t>
            </w:r>
          </w:p>
        </w:tc>
        <w:tc>
          <w:tcPr>
            <w:tcW w:w="1023" w:type="pct"/>
            <w:tcBorders>
              <w:top w:val="nil"/>
              <w:left w:val="nil"/>
              <w:bottom w:val="nil"/>
              <w:right w:val="nil"/>
            </w:tcBorders>
            <w:noWrap/>
            <w:vAlign w:val="center"/>
            <w:hideMark/>
          </w:tcPr>
          <w:p w14:paraId="4BED822E" w14:textId="77777777" w:rsidR="000511E0" w:rsidRPr="00471CBA" w:rsidRDefault="000511E0" w:rsidP="003D1625">
            <w:pPr>
              <w:jc w:val="right"/>
              <w:rPr>
                <w:color w:val="000000"/>
                <w:szCs w:val="20"/>
                <w:lang w:eastAsia="tr-TR"/>
              </w:rPr>
            </w:pPr>
            <w:r w:rsidRPr="00471CBA">
              <w:rPr>
                <w:color w:val="000000"/>
                <w:szCs w:val="20"/>
              </w:rPr>
              <w:t>7.266</w:t>
            </w:r>
          </w:p>
        </w:tc>
      </w:tr>
      <w:tr w:rsidR="000511E0" w:rsidRPr="00471CBA" w14:paraId="52C0F54E" w14:textId="77777777" w:rsidTr="00DA230C">
        <w:trPr>
          <w:trHeight w:val="227"/>
        </w:trPr>
        <w:tc>
          <w:tcPr>
            <w:tcW w:w="3977" w:type="pct"/>
            <w:tcBorders>
              <w:top w:val="nil"/>
              <w:left w:val="nil"/>
              <w:bottom w:val="nil"/>
              <w:right w:val="nil"/>
            </w:tcBorders>
            <w:vAlign w:val="bottom"/>
            <w:hideMark/>
          </w:tcPr>
          <w:p w14:paraId="55613A99" w14:textId="77777777" w:rsidR="000511E0" w:rsidRPr="00471CBA" w:rsidRDefault="000511E0" w:rsidP="003D1625">
            <w:pPr>
              <w:rPr>
                <w:color w:val="000000"/>
                <w:szCs w:val="20"/>
                <w:lang w:eastAsia="tr-TR"/>
              </w:rPr>
            </w:pPr>
            <w:r w:rsidRPr="00471CBA">
              <w:rPr>
                <w:color w:val="000000"/>
                <w:szCs w:val="20"/>
                <w:lang w:eastAsia="tr-TR"/>
              </w:rPr>
              <w:t>Sosyal</w:t>
            </w:r>
            <w:r w:rsidRPr="00471CBA">
              <w:rPr>
                <w:color w:val="000000"/>
                <w:szCs w:val="20"/>
              </w:rPr>
              <w:t xml:space="preserve"> </w:t>
            </w:r>
            <w:r w:rsidRPr="00471CBA">
              <w:rPr>
                <w:color w:val="000000"/>
                <w:szCs w:val="20"/>
                <w:lang w:eastAsia="tr-TR"/>
              </w:rPr>
              <w:t>Sigorta Primleri-İşveren</w:t>
            </w:r>
          </w:p>
        </w:tc>
        <w:tc>
          <w:tcPr>
            <w:tcW w:w="1023" w:type="pct"/>
            <w:tcBorders>
              <w:top w:val="nil"/>
              <w:left w:val="nil"/>
              <w:bottom w:val="nil"/>
              <w:right w:val="nil"/>
            </w:tcBorders>
            <w:noWrap/>
            <w:vAlign w:val="center"/>
            <w:hideMark/>
          </w:tcPr>
          <w:p w14:paraId="6069B7E7" w14:textId="77777777" w:rsidR="000511E0" w:rsidRPr="00471CBA" w:rsidRDefault="000511E0" w:rsidP="003D1625">
            <w:pPr>
              <w:jc w:val="right"/>
              <w:rPr>
                <w:color w:val="000000"/>
                <w:szCs w:val="20"/>
              </w:rPr>
            </w:pPr>
            <w:r w:rsidRPr="00471CBA">
              <w:rPr>
                <w:color w:val="000000"/>
                <w:szCs w:val="20"/>
                <w:lang w:eastAsia="tr-TR"/>
              </w:rPr>
              <w:t>8.758</w:t>
            </w:r>
          </w:p>
        </w:tc>
      </w:tr>
      <w:tr w:rsidR="000511E0" w:rsidRPr="00471CBA" w14:paraId="1C2327A1" w14:textId="77777777" w:rsidTr="00DA230C">
        <w:trPr>
          <w:trHeight w:val="227"/>
        </w:trPr>
        <w:tc>
          <w:tcPr>
            <w:tcW w:w="3977" w:type="pct"/>
            <w:tcBorders>
              <w:top w:val="nil"/>
              <w:left w:val="nil"/>
              <w:bottom w:val="nil"/>
              <w:right w:val="nil"/>
            </w:tcBorders>
            <w:vAlign w:val="bottom"/>
            <w:hideMark/>
          </w:tcPr>
          <w:p w14:paraId="4F8F89C0" w14:textId="77777777" w:rsidR="000511E0" w:rsidRPr="00471CBA" w:rsidRDefault="000511E0" w:rsidP="003D1625">
            <w:pPr>
              <w:rPr>
                <w:color w:val="000000"/>
                <w:szCs w:val="20"/>
                <w:lang w:eastAsia="tr-TR"/>
              </w:rPr>
            </w:pPr>
            <w:r w:rsidRPr="00471CBA">
              <w:rPr>
                <w:color w:val="000000"/>
                <w:szCs w:val="20"/>
                <w:lang w:eastAsia="tr-TR"/>
              </w:rPr>
              <w:t>Banka</w:t>
            </w:r>
            <w:r w:rsidRPr="00471CBA">
              <w:rPr>
                <w:color w:val="000000"/>
                <w:szCs w:val="20"/>
              </w:rPr>
              <w:t xml:space="preserve"> </w:t>
            </w:r>
            <w:r w:rsidRPr="00471CBA">
              <w:rPr>
                <w:color w:val="000000"/>
                <w:szCs w:val="20"/>
                <w:lang w:eastAsia="tr-TR"/>
              </w:rPr>
              <w:t>Sosyal Yardım Sandığı Primleri-Personel</w:t>
            </w:r>
          </w:p>
        </w:tc>
        <w:tc>
          <w:tcPr>
            <w:tcW w:w="1023" w:type="pct"/>
            <w:tcBorders>
              <w:top w:val="nil"/>
              <w:left w:val="nil"/>
              <w:bottom w:val="nil"/>
              <w:right w:val="nil"/>
            </w:tcBorders>
            <w:noWrap/>
            <w:vAlign w:val="center"/>
            <w:hideMark/>
          </w:tcPr>
          <w:p w14:paraId="4FA23048" w14:textId="77777777" w:rsidR="000511E0" w:rsidRPr="00471CBA" w:rsidRDefault="000511E0" w:rsidP="003D1625">
            <w:pPr>
              <w:jc w:val="right"/>
              <w:rPr>
                <w:color w:val="000000"/>
                <w:szCs w:val="20"/>
              </w:rPr>
            </w:pPr>
            <w:r w:rsidRPr="00471CBA">
              <w:rPr>
                <w:color w:val="000000"/>
                <w:szCs w:val="20"/>
                <w:lang w:eastAsia="tr-TR"/>
              </w:rPr>
              <w:t>-</w:t>
            </w:r>
          </w:p>
        </w:tc>
      </w:tr>
      <w:tr w:rsidR="000511E0" w:rsidRPr="00471CBA" w14:paraId="65FFA58E" w14:textId="77777777" w:rsidTr="00DA230C">
        <w:trPr>
          <w:trHeight w:val="227"/>
        </w:trPr>
        <w:tc>
          <w:tcPr>
            <w:tcW w:w="3977" w:type="pct"/>
            <w:tcBorders>
              <w:top w:val="nil"/>
              <w:left w:val="nil"/>
              <w:bottom w:val="nil"/>
              <w:right w:val="nil"/>
            </w:tcBorders>
            <w:vAlign w:val="bottom"/>
            <w:hideMark/>
          </w:tcPr>
          <w:p w14:paraId="0BB40D6E" w14:textId="77777777" w:rsidR="000511E0" w:rsidRPr="00471CBA" w:rsidRDefault="000511E0" w:rsidP="003D1625">
            <w:pPr>
              <w:rPr>
                <w:color w:val="000000"/>
                <w:szCs w:val="20"/>
                <w:lang w:eastAsia="tr-TR"/>
              </w:rPr>
            </w:pPr>
            <w:r w:rsidRPr="00471CBA">
              <w:rPr>
                <w:color w:val="000000"/>
                <w:szCs w:val="20"/>
                <w:lang w:eastAsia="tr-TR"/>
              </w:rPr>
              <w:t>Banka</w:t>
            </w:r>
            <w:r w:rsidRPr="00471CBA">
              <w:rPr>
                <w:color w:val="000000"/>
                <w:szCs w:val="20"/>
              </w:rPr>
              <w:t xml:space="preserve"> </w:t>
            </w:r>
            <w:r w:rsidRPr="00471CBA">
              <w:rPr>
                <w:color w:val="000000"/>
                <w:szCs w:val="20"/>
                <w:lang w:eastAsia="tr-TR"/>
              </w:rPr>
              <w:t>Sosyal Yardım Sandığı Primleri-İşveren</w:t>
            </w:r>
          </w:p>
        </w:tc>
        <w:tc>
          <w:tcPr>
            <w:tcW w:w="1023" w:type="pct"/>
            <w:tcBorders>
              <w:top w:val="nil"/>
              <w:left w:val="nil"/>
              <w:bottom w:val="nil"/>
              <w:right w:val="nil"/>
            </w:tcBorders>
            <w:noWrap/>
            <w:vAlign w:val="center"/>
            <w:hideMark/>
          </w:tcPr>
          <w:p w14:paraId="19C2ECB5" w14:textId="77777777" w:rsidR="000511E0" w:rsidRPr="00471CBA" w:rsidRDefault="000511E0" w:rsidP="003D1625">
            <w:pPr>
              <w:jc w:val="right"/>
              <w:rPr>
                <w:color w:val="000000"/>
                <w:szCs w:val="20"/>
              </w:rPr>
            </w:pPr>
            <w:r w:rsidRPr="00471CBA">
              <w:rPr>
                <w:color w:val="000000"/>
                <w:szCs w:val="20"/>
                <w:lang w:eastAsia="tr-TR"/>
              </w:rPr>
              <w:t>-</w:t>
            </w:r>
          </w:p>
        </w:tc>
      </w:tr>
      <w:tr w:rsidR="000511E0" w:rsidRPr="00471CBA" w14:paraId="7CB3AEF9" w14:textId="77777777" w:rsidTr="00DA230C">
        <w:trPr>
          <w:trHeight w:val="227"/>
        </w:trPr>
        <w:tc>
          <w:tcPr>
            <w:tcW w:w="3977" w:type="pct"/>
            <w:tcBorders>
              <w:top w:val="nil"/>
              <w:left w:val="nil"/>
              <w:bottom w:val="nil"/>
              <w:right w:val="nil"/>
            </w:tcBorders>
            <w:vAlign w:val="bottom"/>
            <w:hideMark/>
          </w:tcPr>
          <w:p w14:paraId="1B7F3592" w14:textId="77777777" w:rsidR="000511E0" w:rsidRPr="00471CBA" w:rsidRDefault="000511E0" w:rsidP="003D1625">
            <w:pPr>
              <w:rPr>
                <w:color w:val="000000"/>
                <w:szCs w:val="20"/>
                <w:lang w:eastAsia="tr-TR"/>
              </w:rPr>
            </w:pPr>
            <w:r w:rsidRPr="00471CBA">
              <w:rPr>
                <w:color w:val="000000"/>
                <w:szCs w:val="20"/>
                <w:lang w:eastAsia="tr-TR"/>
              </w:rPr>
              <w:t>Emekli</w:t>
            </w:r>
            <w:r w:rsidRPr="00471CBA">
              <w:rPr>
                <w:color w:val="000000"/>
                <w:szCs w:val="20"/>
              </w:rPr>
              <w:t xml:space="preserve"> </w:t>
            </w:r>
            <w:r w:rsidRPr="00471CBA">
              <w:rPr>
                <w:color w:val="000000"/>
                <w:szCs w:val="20"/>
                <w:lang w:eastAsia="tr-TR"/>
              </w:rPr>
              <w:t>Sandığı Aidatı ve Karşılıkları-Personel</w:t>
            </w:r>
          </w:p>
        </w:tc>
        <w:tc>
          <w:tcPr>
            <w:tcW w:w="1023" w:type="pct"/>
            <w:tcBorders>
              <w:top w:val="nil"/>
              <w:left w:val="nil"/>
              <w:bottom w:val="nil"/>
              <w:right w:val="nil"/>
            </w:tcBorders>
            <w:noWrap/>
            <w:vAlign w:val="center"/>
            <w:hideMark/>
          </w:tcPr>
          <w:p w14:paraId="24877C2E" w14:textId="77777777" w:rsidR="000511E0" w:rsidRPr="00471CBA" w:rsidRDefault="000511E0" w:rsidP="003D1625">
            <w:pPr>
              <w:jc w:val="right"/>
              <w:rPr>
                <w:color w:val="000000"/>
                <w:szCs w:val="20"/>
              </w:rPr>
            </w:pPr>
            <w:r w:rsidRPr="00471CBA">
              <w:rPr>
                <w:color w:val="000000"/>
                <w:szCs w:val="20"/>
                <w:lang w:eastAsia="tr-TR"/>
              </w:rPr>
              <w:t>-</w:t>
            </w:r>
          </w:p>
        </w:tc>
      </w:tr>
      <w:tr w:rsidR="000511E0" w:rsidRPr="00471CBA" w14:paraId="6B12A2CD" w14:textId="77777777" w:rsidTr="00DA230C">
        <w:trPr>
          <w:trHeight w:val="227"/>
        </w:trPr>
        <w:tc>
          <w:tcPr>
            <w:tcW w:w="3977" w:type="pct"/>
            <w:tcBorders>
              <w:top w:val="nil"/>
              <w:left w:val="nil"/>
              <w:bottom w:val="nil"/>
              <w:right w:val="nil"/>
            </w:tcBorders>
            <w:vAlign w:val="bottom"/>
            <w:hideMark/>
          </w:tcPr>
          <w:p w14:paraId="144C847D" w14:textId="77777777" w:rsidR="000511E0" w:rsidRPr="00471CBA" w:rsidRDefault="000511E0" w:rsidP="003D1625">
            <w:pPr>
              <w:rPr>
                <w:color w:val="000000"/>
                <w:szCs w:val="20"/>
                <w:lang w:eastAsia="tr-TR"/>
              </w:rPr>
            </w:pPr>
            <w:r w:rsidRPr="00471CBA">
              <w:rPr>
                <w:color w:val="000000"/>
                <w:szCs w:val="20"/>
              </w:rPr>
              <w:t>Emekli</w:t>
            </w:r>
            <w:r w:rsidRPr="00471CBA">
              <w:rPr>
                <w:color w:val="000000"/>
                <w:szCs w:val="20"/>
                <w:lang w:eastAsia="tr-TR"/>
              </w:rPr>
              <w:t xml:space="preserve"> Sandığı Aidatı ve Karşılıkları-İşveren</w:t>
            </w:r>
          </w:p>
        </w:tc>
        <w:tc>
          <w:tcPr>
            <w:tcW w:w="1023" w:type="pct"/>
            <w:tcBorders>
              <w:top w:val="nil"/>
              <w:left w:val="nil"/>
              <w:bottom w:val="nil"/>
              <w:right w:val="nil"/>
            </w:tcBorders>
            <w:noWrap/>
            <w:vAlign w:val="center"/>
            <w:hideMark/>
          </w:tcPr>
          <w:p w14:paraId="0C77CD7B" w14:textId="77777777" w:rsidR="000511E0" w:rsidRPr="00471CBA" w:rsidRDefault="000511E0" w:rsidP="003D1625">
            <w:pPr>
              <w:jc w:val="right"/>
              <w:rPr>
                <w:color w:val="000000"/>
                <w:szCs w:val="20"/>
                <w:lang w:eastAsia="tr-TR"/>
              </w:rPr>
            </w:pPr>
            <w:r w:rsidRPr="00471CBA">
              <w:rPr>
                <w:color w:val="000000"/>
                <w:szCs w:val="20"/>
              </w:rPr>
              <w:t>-</w:t>
            </w:r>
          </w:p>
        </w:tc>
      </w:tr>
      <w:tr w:rsidR="000511E0" w:rsidRPr="00471CBA" w14:paraId="7CA849CE" w14:textId="77777777" w:rsidTr="00DA230C">
        <w:trPr>
          <w:trHeight w:val="227"/>
        </w:trPr>
        <w:tc>
          <w:tcPr>
            <w:tcW w:w="3977" w:type="pct"/>
            <w:tcBorders>
              <w:top w:val="nil"/>
              <w:left w:val="nil"/>
              <w:bottom w:val="nil"/>
              <w:right w:val="nil"/>
            </w:tcBorders>
            <w:vAlign w:val="bottom"/>
            <w:hideMark/>
          </w:tcPr>
          <w:p w14:paraId="44FC7860" w14:textId="77777777" w:rsidR="000511E0" w:rsidRPr="00471CBA" w:rsidRDefault="000511E0" w:rsidP="003D1625">
            <w:pPr>
              <w:rPr>
                <w:color w:val="000000"/>
                <w:szCs w:val="20"/>
                <w:lang w:eastAsia="tr-TR"/>
              </w:rPr>
            </w:pPr>
            <w:r w:rsidRPr="00471CBA">
              <w:rPr>
                <w:color w:val="000000"/>
                <w:szCs w:val="20"/>
                <w:lang w:eastAsia="tr-TR"/>
              </w:rPr>
              <w:t>İşsizlik</w:t>
            </w:r>
            <w:r w:rsidRPr="00471CBA">
              <w:rPr>
                <w:color w:val="000000"/>
                <w:szCs w:val="20"/>
              </w:rPr>
              <w:t xml:space="preserve"> </w:t>
            </w:r>
            <w:r w:rsidRPr="00471CBA">
              <w:rPr>
                <w:color w:val="000000"/>
                <w:szCs w:val="20"/>
                <w:lang w:eastAsia="tr-TR"/>
              </w:rPr>
              <w:t>Sigortası-Personel</w:t>
            </w:r>
          </w:p>
        </w:tc>
        <w:tc>
          <w:tcPr>
            <w:tcW w:w="1023" w:type="pct"/>
            <w:tcBorders>
              <w:top w:val="nil"/>
              <w:left w:val="nil"/>
              <w:bottom w:val="nil"/>
              <w:right w:val="nil"/>
            </w:tcBorders>
            <w:noWrap/>
            <w:vAlign w:val="center"/>
            <w:hideMark/>
          </w:tcPr>
          <w:p w14:paraId="15F54016" w14:textId="77777777" w:rsidR="000511E0" w:rsidRPr="00471CBA" w:rsidRDefault="000511E0" w:rsidP="003D1625">
            <w:pPr>
              <w:jc w:val="right"/>
              <w:rPr>
                <w:color w:val="000000"/>
                <w:szCs w:val="20"/>
              </w:rPr>
            </w:pPr>
            <w:r w:rsidRPr="00471CBA">
              <w:rPr>
                <w:color w:val="000000"/>
                <w:szCs w:val="20"/>
                <w:lang w:eastAsia="tr-TR"/>
              </w:rPr>
              <w:t>498</w:t>
            </w:r>
          </w:p>
        </w:tc>
      </w:tr>
      <w:tr w:rsidR="000511E0" w:rsidRPr="00471CBA" w14:paraId="14ED8097" w14:textId="77777777" w:rsidTr="00DA230C">
        <w:trPr>
          <w:trHeight w:val="227"/>
        </w:trPr>
        <w:tc>
          <w:tcPr>
            <w:tcW w:w="3977" w:type="pct"/>
            <w:tcBorders>
              <w:top w:val="nil"/>
              <w:left w:val="nil"/>
              <w:bottom w:val="nil"/>
              <w:right w:val="nil"/>
            </w:tcBorders>
            <w:vAlign w:val="bottom"/>
            <w:hideMark/>
          </w:tcPr>
          <w:p w14:paraId="5F245E6B" w14:textId="77777777" w:rsidR="000511E0" w:rsidRPr="00471CBA" w:rsidRDefault="000511E0" w:rsidP="003D1625">
            <w:pPr>
              <w:rPr>
                <w:color w:val="000000"/>
                <w:szCs w:val="20"/>
                <w:lang w:eastAsia="tr-TR"/>
              </w:rPr>
            </w:pPr>
            <w:r w:rsidRPr="00471CBA">
              <w:rPr>
                <w:color w:val="000000"/>
                <w:szCs w:val="20"/>
                <w:lang w:eastAsia="tr-TR"/>
              </w:rPr>
              <w:t>İşsizlik Sigortası-İşveren</w:t>
            </w:r>
          </w:p>
        </w:tc>
        <w:tc>
          <w:tcPr>
            <w:tcW w:w="1023" w:type="pct"/>
            <w:tcBorders>
              <w:top w:val="nil"/>
              <w:left w:val="nil"/>
              <w:bottom w:val="nil"/>
              <w:right w:val="nil"/>
            </w:tcBorders>
            <w:noWrap/>
            <w:vAlign w:val="center"/>
            <w:hideMark/>
          </w:tcPr>
          <w:p w14:paraId="6E1774EC" w14:textId="77777777" w:rsidR="000511E0" w:rsidRPr="00471CBA" w:rsidRDefault="000511E0" w:rsidP="003D1625">
            <w:pPr>
              <w:jc w:val="right"/>
              <w:rPr>
                <w:color w:val="000000"/>
                <w:szCs w:val="20"/>
                <w:lang w:eastAsia="tr-TR"/>
              </w:rPr>
            </w:pPr>
            <w:r w:rsidRPr="00471CBA">
              <w:rPr>
                <w:color w:val="000000"/>
                <w:szCs w:val="20"/>
                <w:lang w:eastAsia="tr-TR"/>
              </w:rPr>
              <w:t>996</w:t>
            </w:r>
          </w:p>
        </w:tc>
      </w:tr>
      <w:tr w:rsidR="000511E0" w:rsidRPr="00471CBA" w14:paraId="07801F46" w14:textId="77777777" w:rsidTr="00DA230C">
        <w:trPr>
          <w:trHeight w:val="227"/>
        </w:trPr>
        <w:tc>
          <w:tcPr>
            <w:tcW w:w="3977" w:type="pct"/>
            <w:tcBorders>
              <w:top w:val="nil"/>
              <w:left w:val="nil"/>
              <w:bottom w:val="single" w:sz="4" w:space="0" w:color="auto"/>
              <w:right w:val="nil"/>
            </w:tcBorders>
            <w:vAlign w:val="bottom"/>
            <w:hideMark/>
          </w:tcPr>
          <w:p w14:paraId="766AE842" w14:textId="77777777" w:rsidR="000511E0" w:rsidRPr="00471CBA" w:rsidRDefault="000511E0" w:rsidP="003D1625">
            <w:pPr>
              <w:rPr>
                <w:color w:val="000000"/>
                <w:szCs w:val="20"/>
              </w:rPr>
            </w:pPr>
            <w:r w:rsidRPr="00471CBA">
              <w:rPr>
                <w:color w:val="000000"/>
                <w:szCs w:val="20"/>
                <w:lang w:eastAsia="tr-TR"/>
              </w:rPr>
              <w:t>Diğer</w:t>
            </w:r>
          </w:p>
        </w:tc>
        <w:tc>
          <w:tcPr>
            <w:tcW w:w="1023" w:type="pct"/>
            <w:tcBorders>
              <w:top w:val="nil"/>
              <w:left w:val="nil"/>
              <w:bottom w:val="single" w:sz="4" w:space="0" w:color="auto"/>
              <w:right w:val="nil"/>
            </w:tcBorders>
            <w:noWrap/>
            <w:vAlign w:val="center"/>
            <w:hideMark/>
          </w:tcPr>
          <w:p w14:paraId="580D0B87" w14:textId="77777777" w:rsidR="000511E0" w:rsidRPr="00471CBA" w:rsidRDefault="000511E0" w:rsidP="003D1625">
            <w:pPr>
              <w:jc w:val="right"/>
              <w:rPr>
                <w:color w:val="000000"/>
                <w:szCs w:val="20"/>
              </w:rPr>
            </w:pPr>
            <w:r w:rsidRPr="00471CBA">
              <w:rPr>
                <w:color w:val="000000"/>
                <w:szCs w:val="20"/>
                <w:lang w:eastAsia="tr-TR"/>
              </w:rPr>
              <w:t>-</w:t>
            </w:r>
          </w:p>
        </w:tc>
      </w:tr>
      <w:tr w:rsidR="000511E0" w:rsidRPr="00471CBA" w14:paraId="54A4584B" w14:textId="77777777" w:rsidTr="00DA230C">
        <w:trPr>
          <w:trHeight w:val="227"/>
        </w:trPr>
        <w:tc>
          <w:tcPr>
            <w:tcW w:w="3977" w:type="pct"/>
            <w:tcBorders>
              <w:top w:val="nil"/>
              <w:left w:val="nil"/>
              <w:right w:val="nil"/>
            </w:tcBorders>
            <w:vAlign w:val="bottom"/>
            <w:hideMark/>
          </w:tcPr>
          <w:p w14:paraId="593C831D" w14:textId="77777777" w:rsidR="000511E0" w:rsidRPr="00471CBA" w:rsidRDefault="000511E0" w:rsidP="003D1625">
            <w:pPr>
              <w:jc w:val="right"/>
              <w:rPr>
                <w:color w:val="000000"/>
                <w:szCs w:val="20"/>
              </w:rPr>
            </w:pPr>
          </w:p>
        </w:tc>
        <w:tc>
          <w:tcPr>
            <w:tcW w:w="1023" w:type="pct"/>
            <w:tcBorders>
              <w:top w:val="nil"/>
              <w:left w:val="nil"/>
              <w:right w:val="nil"/>
            </w:tcBorders>
            <w:vAlign w:val="center"/>
            <w:hideMark/>
          </w:tcPr>
          <w:p w14:paraId="7BCBCDD5" w14:textId="77777777" w:rsidR="000511E0" w:rsidRPr="00471CBA" w:rsidRDefault="000511E0" w:rsidP="003D1625">
            <w:pPr>
              <w:jc w:val="right"/>
              <w:rPr>
                <w:szCs w:val="20"/>
              </w:rPr>
            </w:pPr>
          </w:p>
        </w:tc>
      </w:tr>
      <w:tr w:rsidR="000511E0" w:rsidRPr="00471CBA" w14:paraId="744CF654" w14:textId="77777777" w:rsidTr="00DA230C">
        <w:trPr>
          <w:trHeight w:val="227"/>
        </w:trPr>
        <w:tc>
          <w:tcPr>
            <w:tcW w:w="3977" w:type="pct"/>
            <w:tcBorders>
              <w:top w:val="nil"/>
              <w:left w:val="nil"/>
              <w:bottom w:val="single" w:sz="12" w:space="0" w:color="auto"/>
              <w:right w:val="nil"/>
            </w:tcBorders>
            <w:vAlign w:val="bottom"/>
            <w:hideMark/>
          </w:tcPr>
          <w:p w14:paraId="3FDC1AA0" w14:textId="77777777" w:rsidR="000511E0" w:rsidRPr="00471CBA" w:rsidRDefault="000511E0" w:rsidP="003D1625">
            <w:pPr>
              <w:jc w:val="both"/>
              <w:rPr>
                <w:b/>
                <w:bCs/>
                <w:color w:val="000000"/>
                <w:szCs w:val="20"/>
              </w:rPr>
            </w:pPr>
            <w:r w:rsidRPr="00471CBA">
              <w:rPr>
                <w:b/>
                <w:bCs/>
                <w:color w:val="000000"/>
                <w:szCs w:val="20"/>
                <w:lang w:eastAsia="tr-TR"/>
              </w:rPr>
              <w:t>Toplam</w:t>
            </w:r>
          </w:p>
        </w:tc>
        <w:tc>
          <w:tcPr>
            <w:tcW w:w="1023" w:type="pct"/>
            <w:tcBorders>
              <w:top w:val="nil"/>
              <w:left w:val="nil"/>
              <w:bottom w:val="single" w:sz="12" w:space="0" w:color="auto"/>
              <w:right w:val="nil"/>
            </w:tcBorders>
            <w:noWrap/>
            <w:vAlign w:val="center"/>
            <w:hideMark/>
          </w:tcPr>
          <w:p w14:paraId="7685564E" w14:textId="77777777" w:rsidR="000511E0" w:rsidRPr="00471CBA" w:rsidRDefault="000511E0" w:rsidP="003D1625">
            <w:pPr>
              <w:jc w:val="right"/>
              <w:rPr>
                <w:b/>
                <w:bCs/>
                <w:color w:val="000000"/>
                <w:szCs w:val="20"/>
              </w:rPr>
            </w:pPr>
            <w:r w:rsidRPr="00471CBA">
              <w:rPr>
                <w:b/>
                <w:bCs/>
                <w:color w:val="000000"/>
                <w:szCs w:val="20"/>
                <w:lang w:eastAsia="tr-TR"/>
              </w:rPr>
              <w:t>17.518</w:t>
            </w:r>
          </w:p>
        </w:tc>
      </w:tr>
    </w:tbl>
    <w:p w14:paraId="58A97118" w14:textId="75F77E87" w:rsidR="006025D3" w:rsidRDefault="006025D3" w:rsidP="004A7BCB">
      <w:pPr>
        <w:pStyle w:val="xl79"/>
        <w:widowControl w:val="0"/>
        <w:pBdr>
          <w:left w:val="none" w:sz="0" w:space="0" w:color="auto"/>
          <w:bottom w:val="none" w:sz="0" w:space="0" w:color="auto"/>
          <w:right w:val="none" w:sz="0" w:space="0" w:color="auto"/>
        </w:pBdr>
        <w:tabs>
          <w:tab w:val="left" w:pos="-1800"/>
        </w:tabs>
        <w:spacing w:before="0" w:beforeAutospacing="0" w:after="0" w:afterAutospacing="0"/>
        <w:ind w:left="851"/>
        <w:jc w:val="both"/>
        <w:rPr>
          <w:b/>
          <w:noProof w:val="0"/>
          <w:sz w:val="20"/>
          <w:szCs w:val="20"/>
        </w:rPr>
      </w:pPr>
    </w:p>
    <w:p w14:paraId="32BE0598" w14:textId="77777777" w:rsidR="006025D3" w:rsidRDefault="006025D3">
      <w:pPr>
        <w:rPr>
          <w:rFonts w:eastAsia="Arial Unicode MS"/>
          <w:b/>
          <w:szCs w:val="20"/>
        </w:rPr>
      </w:pPr>
      <w:r>
        <w:rPr>
          <w:b/>
          <w:szCs w:val="20"/>
        </w:rPr>
        <w:br w:type="page"/>
      </w:r>
    </w:p>
    <w:p w14:paraId="3EE95822" w14:textId="77777777" w:rsidR="006025D3" w:rsidRPr="00471CBA" w:rsidRDefault="006025D3" w:rsidP="006025D3">
      <w:pPr>
        <w:widowControl w:val="0"/>
        <w:spacing w:line="235" w:lineRule="auto"/>
        <w:ind w:left="720" w:hanging="720"/>
        <w:jc w:val="both"/>
        <w:rPr>
          <w:b/>
          <w:szCs w:val="20"/>
        </w:rPr>
      </w:pPr>
      <w:r w:rsidRPr="00471CBA">
        <w:rPr>
          <w:b/>
          <w:szCs w:val="20"/>
        </w:rPr>
        <w:t>KONSOLİDE OLMAYAN FİNANSAL TABLOLARA İLİŞKİN AÇIKLAMA VE DİPNOTLAR (Devamı)</w:t>
      </w:r>
    </w:p>
    <w:p w14:paraId="18E6E7DF" w14:textId="77777777" w:rsidR="006025D3" w:rsidRPr="00471CBA" w:rsidRDefault="006025D3" w:rsidP="006025D3">
      <w:pPr>
        <w:widowControl w:val="0"/>
        <w:spacing w:line="235" w:lineRule="auto"/>
        <w:ind w:left="851" w:hanging="851"/>
        <w:jc w:val="both"/>
        <w:rPr>
          <w:b/>
          <w:szCs w:val="20"/>
        </w:rPr>
      </w:pPr>
    </w:p>
    <w:p w14:paraId="6D5A0F7B" w14:textId="77777777" w:rsidR="006025D3" w:rsidRPr="00471CBA" w:rsidRDefault="006025D3" w:rsidP="006025D3">
      <w:pPr>
        <w:widowControl w:val="0"/>
        <w:spacing w:line="235" w:lineRule="auto"/>
        <w:ind w:left="567" w:hanging="567"/>
        <w:jc w:val="both"/>
        <w:rPr>
          <w:b/>
          <w:szCs w:val="20"/>
        </w:rPr>
      </w:pPr>
      <w:r w:rsidRPr="00471CBA">
        <w:rPr>
          <w:b/>
          <w:szCs w:val="20"/>
        </w:rPr>
        <w:t>II.</w:t>
      </w:r>
      <w:r w:rsidRPr="00471CBA">
        <w:rPr>
          <w:b/>
          <w:szCs w:val="20"/>
        </w:rPr>
        <w:tab/>
        <w:t>BİLANÇONUN PASİF HESAPLARINA İLİŞKİN AÇIKLAMA VE DİPNOTLAR (Devamı)</w:t>
      </w:r>
    </w:p>
    <w:p w14:paraId="25A9964B" w14:textId="77777777" w:rsidR="000511E0" w:rsidRDefault="000511E0" w:rsidP="004A7BCB">
      <w:pPr>
        <w:pStyle w:val="xl79"/>
        <w:widowControl w:val="0"/>
        <w:pBdr>
          <w:left w:val="none" w:sz="0" w:space="0" w:color="auto"/>
          <w:bottom w:val="none" w:sz="0" w:space="0" w:color="auto"/>
          <w:right w:val="none" w:sz="0" w:space="0" w:color="auto"/>
        </w:pBdr>
        <w:tabs>
          <w:tab w:val="left" w:pos="-1800"/>
        </w:tabs>
        <w:spacing w:before="0" w:beforeAutospacing="0" w:after="0" w:afterAutospacing="0"/>
        <w:ind w:left="851"/>
        <w:jc w:val="both"/>
        <w:rPr>
          <w:b/>
          <w:noProof w:val="0"/>
          <w:sz w:val="20"/>
          <w:szCs w:val="20"/>
        </w:rPr>
      </w:pPr>
    </w:p>
    <w:p w14:paraId="5770A7DF" w14:textId="52E2F56F" w:rsidR="00AB77A8" w:rsidRPr="00471CBA" w:rsidRDefault="00AB77A8" w:rsidP="008459A9">
      <w:pPr>
        <w:pStyle w:val="xl79"/>
        <w:widowControl w:val="0"/>
        <w:numPr>
          <w:ilvl w:val="0"/>
          <w:numId w:val="99"/>
        </w:numPr>
        <w:pBdr>
          <w:left w:val="none" w:sz="0" w:space="0" w:color="auto"/>
          <w:bottom w:val="none" w:sz="0" w:space="0" w:color="auto"/>
          <w:right w:val="none" w:sz="0" w:space="0" w:color="auto"/>
        </w:pBdr>
        <w:tabs>
          <w:tab w:val="left" w:pos="-1800"/>
        </w:tabs>
        <w:spacing w:before="0" w:beforeAutospacing="0" w:after="0" w:afterAutospacing="0"/>
        <w:ind w:left="851" w:hanging="851"/>
        <w:jc w:val="both"/>
        <w:rPr>
          <w:b/>
          <w:noProof w:val="0"/>
          <w:sz w:val="20"/>
          <w:szCs w:val="20"/>
        </w:rPr>
      </w:pPr>
      <w:r>
        <w:rPr>
          <w:b/>
          <w:noProof w:val="0"/>
          <w:sz w:val="20"/>
          <w:szCs w:val="20"/>
        </w:rPr>
        <w:t>Ertelenmiş v</w:t>
      </w:r>
      <w:r w:rsidRPr="00471CBA">
        <w:rPr>
          <w:b/>
          <w:noProof w:val="0"/>
          <w:sz w:val="20"/>
          <w:szCs w:val="20"/>
        </w:rPr>
        <w:t>ergi borcuna ilişkin açıklamalar</w:t>
      </w:r>
    </w:p>
    <w:p w14:paraId="370FD4D2" w14:textId="756454A0" w:rsidR="00AB77A8" w:rsidRDefault="00AB77A8" w:rsidP="004A7BCB">
      <w:pPr>
        <w:pStyle w:val="xl79"/>
        <w:widowControl w:val="0"/>
        <w:pBdr>
          <w:left w:val="none" w:sz="0" w:space="0" w:color="auto"/>
          <w:bottom w:val="none" w:sz="0" w:space="0" w:color="auto"/>
          <w:right w:val="none" w:sz="0" w:space="0" w:color="auto"/>
        </w:pBdr>
        <w:tabs>
          <w:tab w:val="left" w:pos="-1800"/>
        </w:tabs>
        <w:spacing w:before="0" w:beforeAutospacing="0" w:after="0" w:afterAutospacing="0"/>
        <w:ind w:left="851"/>
        <w:jc w:val="both"/>
        <w:rPr>
          <w:b/>
          <w:noProof w:val="0"/>
          <w:sz w:val="20"/>
          <w:szCs w:val="20"/>
        </w:rPr>
      </w:pPr>
    </w:p>
    <w:p w14:paraId="6A315387" w14:textId="3316687E" w:rsidR="00AB77A8" w:rsidRPr="00471CBA" w:rsidRDefault="00AB77A8" w:rsidP="00AB77A8">
      <w:pPr>
        <w:autoSpaceDE w:val="0"/>
        <w:autoSpaceDN w:val="0"/>
        <w:adjustRightInd w:val="0"/>
        <w:ind w:left="854"/>
        <w:jc w:val="both"/>
        <w:rPr>
          <w:rFonts w:eastAsia="Arial Unicode MS"/>
          <w:iCs/>
          <w:szCs w:val="20"/>
        </w:rPr>
      </w:pPr>
      <w:r w:rsidRPr="00471CBA">
        <w:rPr>
          <w:rFonts w:eastAsia="Arial Unicode MS"/>
          <w:iCs/>
          <w:szCs w:val="20"/>
        </w:rPr>
        <w:t xml:space="preserve">Banka, 31 Aralık 2025 tarihi itibarıyla bilançosunda yer alan varlık ve yükümlülüklerin defter değeri ile vergi mevzuatı uyarınca belirlenen vergiye esas değeri arasında ortaya çıkan ve sonraki dönemlerde mali kar/zararın hesabında dikkate alınacak tutarlar üzerinden hesapladığı </w:t>
      </w:r>
      <w:bookmarkStart w:id="131" w:name="_Hlk165387686"/>
      <w:r w:rsidRPr="00471CBA">
        <w:rPr>
          <w:rFonts w:eastAsia="Arial Unicode MS"/>
          <w:iCs/>
          <w:szCs w:val="20"/>
        </w:rPr>
        <w:t xml:space="preserve">186.543 </w:t>
      </w:r>
      <w:bookmarkEnd w:id="131"/>
      <w:r w:rsidRPr="00471CBA">
        <w:rPr>
          <w:rFonts w:eastAsia="Arial Unicode MS"/>
          <w:iCs/>
          <w:szCs w:val="20"/>
        </w:rPr>
        <w:t xml:space="preserve">TL tutarındaki ertelenmiş vergi varlığı ile 266.028 TL tutarındaki ertelenmiş vergi yükümlülüğünü netleştirerek </w:t>
      </w:r>
      <w:bookmarkStart w:id="132" w:name="_Hlk165387705"/>
      <w:r w:rsidRPr="00471CBA">
        <w:rPr>
          <w:rFonts w:eastAsia="Arial Unicode MS"/>
          <w:iCs/>
          <w:szCs w:val="20"/>
        </w:rPr>
        <w:t xml:space="preserve">(79.485) </w:t>
      </w:r>
      <w:bookmarkEnd w:id="132"/>
      <w:r w:rsidRPr="00471CBA">
        <w:rPr>
          <w:rFonts w:eastAsia="Arial Unicode MS"/>
          <w:iCs/>
          <w:szCs w:val="20"/>
        </w:rPr>
        <w:t xml:space="preserve">TL </w:t>
      </w:r>
      <w:r w:rsidR="00655FD0">
        <w:rPr>
          <w:rFonts w:eastAsia="Arial Unicode MS"/>
          <w:iCs/>
          <w:szCs w:val="20"/>
        </w:rPr>
        <w:t xml:space="preserve">ertelenmiş </w:t>
      </w:r>
      <w:r w:rsidRPr="00471CBA">
        <w:rPr>
          <w:rFonts w:eastAsia="Arial Unicode MS"/>
          <w:iCs/>
          <w:szCs w:val="20"/>
        </w:rPr>
        <w:t xml:space="preserve">vergi </w:t>
      </w:r>
      <w:r w:rsidR="00655FD0">
        <w:rPr>
          <w:rFonts w:eastAsia="Arial Unicode MS"/>
          <w:iCs/>
          <w:szCs w:val="20"/>
        </w:rPr>
        <w:t>borcunu</w:t>
      </w:r>
      <w:r w:rsidRPr="00471CBA">
        <w:rPr>
          <w:rFonts w:eastAsia="Arial Unicode MS"/>
          <w:iCs/>
          <w:szCs w:val="20"/>
        </w:rPr>
        <w:t xml:space="preserve"> kayıtlarına yansıtmıştır.</w:t>
      </w:r>
    </w:p>
    <w:p w14:paraId="015E5B35" w14:textId="77777777" w:rsidR="00AB77A8" w:rsidRPr="00471CBA" w:rsidRDefault="00AB77A8" w:rsidP="00AB77A8">
      <w:pPr>
        <w:widowControl w:val="0"/>
        <w:ind w:left="966" w:hanging="910"/>
        <w:jc w:val="both"/>
        <w:rPr>
          <w:szCs w:val="20"/>
        </w:rPr>
      </w:pPr>
    </w:p>
    <w:tbl>
      <w:tblPr>
        <w:tblW w:w="4996" w:type="pct"/>
        <w:tblCellMar>
          <w:left w:w="70" w:type="dxa"/>
          <w:right w:w="70" w:type="dxa"/>
        </w:tblCellMar>
        <w:tblLook w:val="04A0" w:firstRow="1" w:lastRow="0" w:firstColumn="1" w:lastColumn="0" w:noHBand="0" w:noVBand="1"/>
      </w:tblPr>
      <w:tblGrid>
        <w:gridCol w:w="7935"/>
        <w:gridCol w:w="1413"/>
      </w:tblGrid>
      <w:tr w:rsidR="00AB77A8" w:rsidRPr="00471CBA" w14:paraId="51ADF745" w14:textId="77777777" w:rsidTr="002E7E1E">
        <w:trPr>
          <w:trHeight w:val="170"/>
        </w:trPr>
        <w:tc>
          <w:tcPr>
            <w:tcW w:w="4244" w:type="pct"/>
            <w:hideMark/>
          </w:tcPr>
          <w:p w14:paraId="1BDDA8B8" w14:textId="77777777" w:rsidR="00AB77A8" w:rsidRPr="00471CBA" w:rsidRDefault="00AB77A8" w:rsidP="002E7E1E">
            <w:pPr>
              <w:rPr>
                <w:b/>
                <w:bCs/>
                <w:sz w:val="18"/>
                <w:szCs w:val="18"/>
              </w:rPr>
            </w:pPr>
          </w:p>
        </w:tc>
        <w:tc>
          <w:tcPr>
            <w:tcW w:w="756" w:type="pct"/>
            <w:tcBorders>
              <w:bottom w:val="single" w:sz="4" w:space="0" w:color="auto"/>
            </w:tcBorders>
            <w:noWrap/>
            <w:vAlign w:val="center"/>
            <w:hideMark/>
          </w:tcPr>
          <w:p w14:paraId="219E519F" w14:textId="77777777" w:rsidR="00AB77A8" w:rsidRPr="00471CBA" w:rsidRDefault="00AB77A8" w:rsidP="002E7E1E">
            <w:pPr>
              <w:jc w:val="right"/>
              <w:rPr>
                <w:b/>
                <w:bCs/>
                <w:color w:val="000000"/>
                <w:sz w:val="18"/>
                <w:szCs w:val="18"/>
              </w:rPr>
            </w:pPr>
            <w:r w:rsidRPr="00471CBA">
              <w:rPr>
                <w:b/>
                <w:bCs/>
                <w:color w:val="000000"/>
                <w:sz w:val="18"/>
                <w:szCs w:val="18"/>
              </w:rPr>
              <w:t>31 Aralık 2025</w:t>
            </w:r>
          </w:p>
        </w:tc>
      </w:tr>
      <w:tr w:rsidR="00AB77A8" w:rsidRPr="00471CBA" w14:paraId="453DC8F0" w14:textId="77777777" w:rsidTr="002E7E1E">
        <w:trPr>
          <w:trHeight w:val="170"/>
        </w:trPr>
        <w:tc>
          <w:tcPr>
            <w:tcW w:w="4244" w:type="pct"/>
            <w:vAlign w:val="bottom"/>
            <w:hideMark/>
          </w:tcPr>
          <w:p w14:paraId="19F40499" w14:textId="77777777" w:rsidR="00AB77A8" w:rsidRPr="00471CBA" w:rsidRDefault="00AB77A8" w:rsidP="002E7E1E">
            <w:pPr>
              <w:rPr>
                <w:b/>
                <w:bCs/>
                <w:color w:val="000000"/>
                <w:sz w:val="18"/>
                <w:szCs w:val="18"/>
              </w:rPr>
            </w:pPr>
          </w:p>
        </w:tc>
        <w:tc>
          <w:tcPr>
            <w:tcW w:w="756" w:type="pct"/>
            <w:tcBorders>
              <w:top w:val="single" w:sz="4" w:space="0" w:color="auto"/>
            </w:tcBorders>
            <w:vAlign w:val="bottom"/>
            <w:hideMark/>
          </w:tcPr>
          <w:p w14:paraId="41611A61" w14:textId="77777777" w:rsidR="00AB77A8" w:rsidRPr="00471CBA" w:rsidRDefault="00AB77A8" w:rsidP="002E7E1E">
            <w:pPr>
              <w:jc w:val="right"/>
              <w:rPr>
                <w:b/>
                <w:bCs/>
                <w:sz w:val="18"/>
                <w:szCs w:val="18"/>
              </w:rPr>
            </w:pPr>
          </w:p>
        </w:tc>
      </w:tr>
      <w:tr w:rsidR="00AB77A8" w:rsidRPr="00471CBA" w14:paraId="780B4437" w14:textId="77777777" w:rsidTr="002E7E1E">
        <w:trPr>
          <w:trHeight w:val="170"/>
        </w:trPr>
        <w:tc>
          <w:tcPr>
            <w:tcW w:w="4244" w:type="pct"/>
            <w:noWrap/>
            <w:vAlign w:val="center"/>
            <w:hideMark/>
          </w:tcPr>
          <w:p w14:paraId="6E5286E3" w14:textId="77777777" w:rsidR="00AB77A8" w:rsidRPr="00471CBA" w:rsidRDefault="00AB77A8" w:rsidP="002E7E1E">
            <w:pPr>
              <w:rPr>
                <w:color w:val="000000"/>
                <w:sz w:val="18"/>
                <w:szCs w:val="18"/>
              </w:rPr>
            </w:pPr>
            <w:r w:rsidRPr="00471CBA">
              <w:rPr>
                <w:color w:val="000000"/>
                <w:sz w:val="18"/>
                <w:szCs w:val="18"/>
              </w:rPr>
              <w:t>Kar Payı Reeskontları ve Peşin Tahsil Edilen Ücret ve Komisyonlar Kazanılmamış Gelirleri</w:t>
            </w:r>
          </w:p>
        </w:tc>
        <w:tc>
          <w:tcPr>
            <w:tcW w:w="756" w:type="pct"/>
            <w:vAlign w:val="center"/>
            <w:hideMark/>
          </w:tcPr>
          <w:p w14:paraId="6F0D9B49" w14:textId="77777777" w:rsidR="00AB77A8" w:rsidRPr="00471CBA" w:rsidRDefault="00AB77A8" w:rsidP="002E7E1E">
            <w:pPr>
              <w:jc w:val="right"/>
              <w:rPr>
                <w:color w:val="000000"/>
                <w:sz w:val="18"/>
                <w:szCs w:val="18"/>
              </w:rPr>
            </w:pPr>
            <w:r w:rsidRPr="00471CBA">
              <w:rPr>
                <w:color w:val="000000"/>
                <w:sz w:val="18"/>
                <w:szCs w:val="18"/>
              </w:rPr>
              <w:t>35.074</w:t>
            </w:r>
          </w:p>
        </w:tc>
      </w:tr>
      <w:tr w:rsidR="00AB77A8" w:rsidRPr="00471CBA" w14:paraId="5DD51824" w14:textId="77777777" w:rsidTr="002E7E1E">
        <w:trPr>
          <w:trHeight w:val="170"/>
        </w:trPr>
        <w:tc>
          <w:tcPr>
            <w:tcW w:w="4244" w:type="pct"/>
            <w:noWrap/>
            <w:vAlign w:val="center"/>
            <w:hideMark/>
          </w:tcPr>
          <w:p w14:paraId="6344E631" w14:textId="77777777" w:rsidR="00AB77A8" w:rsidRPr="00471CBA" w:rsidRDefault="00AB77A8" w:rsidP="002E7E1E">
            <w:pPr>
              <w:rPr>
                <w:color w:val="000000"/>
                <w:sz w:val="18"/>
                <w:szCs w:val="18"/>
              </w:rPr>
            </w:pPr>
            <w:r w:rsidRPr="00471CBA">
              <w:rPr>
                <w:color w:val="000000"/>
                <w:sz w:val="18"/>
                <w:szCs w:val="18"/>
              </w:rPr>
              <w:t>Kıdem Tazminatı ve İzin Ücreti Karşılıkları</w:t>
            </w:r>
          </w:p>
        </w:tc>
        <w:tc>
          <w:tcPr>
            <w:tcW w:w="756" w:type="pct"/>
            <w:vAlign w:val="center"/>
            <w:hideMark/>
          </w:tcPr>
          <w:p w14:paraId="653FDB83" w14:textId="77777777" w:rsidR="00AB77A8" w:rsidRPr="00471CBA" w:rsidRDefault="00AB77A8" w:rsidP="002E7E1E">
            <w:pPr>
              <w:jc w:val="right"/>
              <w:rPr>
                <w:color w:val="000000"/>
                <w:sz w:val="18"/>
                <w:szCs w:val="18"/>
              </w:rPr>
            </w:pPr>
            <w:r w:rsidRPr="00471CBA">
              <w:rPr>
                <w:color w:val="000000"/>
                <w:sz w:val="18"/>
                <w:szCs w:val="18"/>
              </w:rPr>
              <w:t>21.722</w:t>
            </w:r>
          </w:p>
        </w:tc>
      </w:tr>
      <w:tr w:rsidR="00AB77A8" w:rsidRPr="00471CBA" w14:paraId="37B3B4DB" w14:textId="77777777" w:rsidTr="002E7E1E">
        <w:trPr>
          <w:trHeight w:val="170"/>
        </w:trPr>
        <w:tc>
          <w:tcPr>
            <w:tcW w:w="4244" w:type="pct"/>
            <w:noWrap/>
            <w:vAlign w:val="center"/>
            <w:hideMark/>
          </w:tcPr>
          <w:p w14:paraId="530BF7F7" w14:textId="77777777" w:rsidR="00AB77A8" w:rsidRPr="00471CBA" w:rsidRDefault="00AB77A8" w:rsidP="002E7E1E">
            <w:pPr>
              <w:rPr>
                <w:color w:val="000000"/>
                <w:sz w:val="18"/>
                <w:szCs w:val="18"/>
              </w:rPr>
            </w:pPr>
            <w:r w:rsidRPr="00471CBA">
              <w:rPr>
                <w:color w:val="000000"/>
                <w:sz w:val="18"/>
                <w:szCs w:val="18"/>
              </w:rPr>
              <w:t>Karşılıklar</w:t>
            </w:r>
          </w:p>
        </w:tc>
        <w:tc>
          <w:tcPr>
            <w:tcW w:w="756" w:type="pct"/>
            <w:vAlign w:val="center"/>
            <w:hideMark/>
          </w:tcPr>
          <w:p w14:paraId="0D34A53C" w14:textId="77777777" w:rsidR="00AB77A8" w:rsidRPr="00471CBA" w:rsidRDefault="00AB77A8" w:rsidP="002E7E1E">
            <w:pPr>
              <w:jc w:val="right"/>
              <w:rPr>
                <w:color w:val="000000"/>
                <w:sz w:val="18"/>
                <w:szCs w:val="18"/>
              </w:rPr>
            </w:pPr>
            <w:r w:rsidRPr="00471CBA">
              <w:rPr>
                <w:color w:val="000000"/>
                <w:sz w:val="18"/>
                <w:szCs w:val="18"/>
              </w:rPr>
              <w:t>84.195</w:t>
            </w:r>
          </w:p>
        </w:tc>
      </w:tr>
      <w:tr w:rsidR="00AB77A8" w:rsidRPr="00471CBA" w14:paraId="7D15C940" w14:textId="77777777" w:rsidTr="002E7E1E">
        <w:trPr>
          <w:trHeight w:val="170"/>
        </w:trPr>
        <w:tc>
          <w:tcPr>
            <w:tcW w:w="4244" w:type="pct"/>
            <w:noWrap/>
            <w:vAlign w:val="center"/>
            <w:hideMark/>
          </w:tcPr>
          <w:p w14:paraId="042E0908" w14:textId="77777777" w:rsidR="00AB77A8" w:rsidRPr="00471CBA" w:rsidRDefault="00AB77A8" w:rsidP="002E7E1E">
            <w:pPr>
              <w:rPr>
                <w:color w:val="000000"/>
                <w:sz w:val="18"/>
                <w:szCs w:val="18"/>
                <w:lang w:eastAsia="tr-TR"/>
              </w:rPr>
            </w:pPr>
            <w:r w:rsidRPr="00471CBA">
              <w:rPr>
                <w:color w:val="000000"/>
                <w:sz w:val="18"/>
                <w:szCs w:val="18"/>
              </w:rPr>
              <w:t xml:space="preserve">TFRS </w:t>
            </w:r>
            <w:r w:rsidRPr="00471CBA">
              <w:rPr>
                <w:color w:val="000000"/>
                <w:sz w:val="18"/>
                <w:szCs w:val="18"/>
                <w:lang w:eastAsia="tr-TR"/>
              </w:rPr>
              <w:t xml:space="preserve">16 Kiralama İşlemleri Kar Payı Giderleri </w:t>
            </w:r>
          </w:p>
        </w:tc>
        <w:tc>
          <w:tcPr>
            <w:tcW w:w="756" w:type="pct"/>
            <w:vAlign w:val="center"/>
            <w:hideMark/>
          </w:tcPr>
          <w:p w14:paraId="751D38B7" w14:textId="77777777" w:rsidR="00AB77A8" w:rsidRPr="00471CBA" w:rsidRDefault="00AB77A8" w:rsidP="002E7E1E">
            <w:pPr>
              <w:jc w:val="right"/>
              <w:rPr>
                <w:color w:val="000000"/>
                <w:sz w:val="18"/>
                <w:szCs w:val="18"/>
              </w:rPr>
            </w:pPr>
            <w:r w:rsidRPr="00471CBA">
              <w:rPr>
                <w:color w:val="000000"/>
                <w:sz w:val="18"/>
                <w:szCs w:val="18"/>
              </w:rPr>
              <w:t>11.809</w:t>
            </w:r>
          </w:p>
        </w:tc>
      </w:tr>
      <w:tr w:rsidR="00AB77A8" w:rsidRPr="00471CBA" w14:paraId="62B1C741" w14:textId="77777777" w:rsidTr="002E7E1E">
        <w:trPr>
          <w:trHeight w:val="170"/>
        </w:trPr>
        <w:tc>
          <w:tcPr>
            <w:tcW w:w="4244" w:type="pct"/>
            <w:noWrap/>
            <w:vAlign w:val="center"/>
            <w:hideMark/>
          </w:tcPr>
          <w:p w14:paraId="47D6975B" w14:textId="77777777" w:rsidR="00AB77A8" w:rsidRPr="00471CBA" w:rsidRDefault="00AB77A8" w:rsidP="002E7E1E">
            <w:pPr>
              <w:rPr>
                <w:color w:val="000000"/>
                <w:sz w:val="18"/>
                <w:szCs w:val="18"/>
                <w:lang w:eastAsia="tr-TR"/>
              </w:rPr>
            </w:pPr>
            <w:r w:rsidRPr="00471CBA">
              <w:rPr>
                <w:color w:val="000000"/>
                <w:sz w:val="18"/>
                <w:szCs w:val="18"/>
              </w:rPr>
              <w:t xml:space="preserve">Menkul </w:t>
            </w:r>
            <w:r w:rsidRPr="00471CBA">
              <w:rPr>
                <w:color w:val="000000"/>
                <w:sz w:val="18"/>
                <w:szCs w:val="18"/>
                <w:lang w:eastAsia="tr-TR"/>
              </w:rPr>
              <w:t>Değerler Değerleme Farkı</w:t>
            </w:r>
          </w:p>
        </w:tc>
        <w:tc>
          <w:tcPr>
            <w:tcW w:w="756" w:type="pct"/>
            <w:vAlign w:val="center"/>
            <w:hideMark/>
          </w:tcPr>
          <w:p w14:paraId="0E7968AF" w14:textId="77777777" w:rsidR="00AB77A8" w:rsidRPr="00471CBA" w:rsidRDefault="00AB77A8" w:rsidP="002E7E1E">
            <w:pPr>
              <w:jc w:val="right"/>
              <w:rPr>
                <w:color w:val="000000"/>
                <w:sz w:val="18"/>
                <w:szCs w:val="18"/>
              </w:rPr>
            </w:pPr>
            <w:r w:rsidRPr="00471CBA">
              <w:rPr>
                <w:color w:val="000000"/>
                <w:sz w:val="18"/>
                <w:szCs w:val="18"/>
              </w:rPr>
              <w:t>17.538</w:t>
            </w:r>
          </w:p>
        </w:tc>
      </w:tr>
      <w:tr w:rsidR="00AB77A8" w:rsidRPr="00471CBA" w14:paraId="103F0E21" w14:textId="77777777" w:rsidTr="002E7E1E">
        <w:trPr>
          <w:trHeight w:val="170"/>
        </w:trPr>
        <w:tc>
          <w:tcPr>
            <w:tcW w:w="4244" w:type="pct"/>
            <w:noWrap/>
            <w:vAlign w:val="center"/>
            <w:hideMark/>
          </w:tcPr>
          <w:p w14:paraId="593605F8" w14:textId="77777777" w:rsidR="00AB77A8" w:rsidRPr="00471CBA" w:rsidRDefault="00AB77A8" w:rsidP="002E7E1E">
            <w:pPr>
              <w:rPr>
                <w:color w:val="000000"/>
                <w:sz w:val="18"/>
                <w:szCs w:val="18"/>
                <w:lang w:eastAsia="tr-TR"/>
              </w:rPr>
            </w:pPr>
            <w:r w:rsidRPr="00471CBA">
              <w:rPr>
                <w:color w:val="000000"/>
                <w:sz w:val="18"/>
                <w:szCs w:val="18"/>
              </w:rPr>
              <w:t>Spot</w:t>
            </w:r>
            <w:r w:rsidRPr="00471CBA">
              <w:rPr>
                <w:color w:val="000000"/>
                <w:sz w:val="18"/>
                <w:szCs w:val="18"/>
                <w:lang w:eastAsia="tr-TR"/>
              </w:rPr>
              <w:t xml:space="preserve"> işlemler değerleme farkı</w:t>
            </w:r>
          </w:p>
        </w:tc>
        <w:tc>
          <w:tcPr>
            <w:tcW w:w="756" w:type="pct"/>
            <w:vAlign w:val="center"/>
            <w:hideMark/>
          </w:tcPr>
          <w:p w14:paraId="088FD084" w14:textId="77777777" w:rsidR="00AB77A8" w:rsidRPr="00471CBA" w:rsidRDefault="00AB77A8" w:rsidP="002E7E1E">
            <w:pPr>
              <w:jc w:val="right"/>
              <w:rPr>
                <w:color w:val="000000"/>
                <w:sz w:val="18"/>
                <w:szCs w:val="18"/>
                <w:lang w:eastAsia="tr-TR"/>
              </w:rPr>
            </w:pPr>
            <w:r w:rsidRPr="00471CBA">
              <w:rPr>
                <w:color w:val="000000"/>
                <w:sz w:val="18"/>
                <w:szCs w:val="18"/>
              </w:rPr>
              <w:t>12.058</w:t>
            </w:r>
          </w:p>
        </w:tc>
      </w:tr>
      <w:tr w:rsidR="00AB77A8" w:rsidRPr="00471CBA" w14:paraId="72BBAC0C" w14:textId="77777777" w:rsidTr="002E7E1E">
        <w:trPr>
          <w:trHeight w:val="170"/>
        </w:trPr>
        <w:tc>
          <w:tcPr>
            <w:tcW w:w="4244" w:type="pct"/>
            <w:tcBorders>
              <w:bottom w:val="single" w:sz="4" w:space="0" w:color="auto"/>
            </w:tcBorders>
            <w:noWrap/>
            <w:vAlign w:val="center"/>
            <w:hideMark/>
          </w:tcPr>
          <w:p w14:paraId="5E0DC7FA" w14:textId="77777777" w:rsidR="00AB77A8" w:rsidRPr="00471CBA" w:rsidRDefault="00AB77A8" w:rsidP="002E7E1E">
            <w:pPr>
              <w:rPr>
                <w:color w:val="000000"/>
                <w:sz w:val="18"/>
                <w:szCs w:val="18"/>
                <w:lang w:eastAsia="tr-TR"/>
              </w:rPr>
            </w:pPr>
            <w:r w:rsidRPr="00471CBA">
              <w:rPr>
                <w:color w:val="000000"/>
                <w:sz w:val="18"/>
                <w:szCs w:val="18"/>
              </w:rPr>
              <w:t>Diğer</w:t>
            </w:r>
          </w:p>
        </w:tc>
        <w:tc>
          <w:tcPr>
            <w:tcW w:w="756" w:type="pct"/>
            <w:tcBorders>
              <w:bottom w:val="single" w:sz="4" w:space="0" w:color="auto"/>
            </w:tcBorders>
            <w:vAlign w:val="center"/>
            <w:hideMark/>
          </w:tcPr>
          <w:p w14:paraId="51BDA04E" w14:textId="77777777" w:rsidR="00AB77A8" w:rsidRPr="00471CBA" w:rsidRDefault="00AB77A8" w:rsidP="002E7E1E">
            <w:pPr>
              <w:jc w:val="right"/>
              <w:rPr>
                <w:color w:val="000000"/>
                <w:sz w:val="18"/>
                <w:szCs w:val="18"/>
                <w:lang w:eastAsia="tr-TR"/>
              </w:rPr>
            </w:pPr>
            <w:r w:rsidRPr="00471CBA">
              <w:rPr>
                <w:sz w:val="18"/>
                <w:szCs w:val="18"/>
              </w:rPr>
              <w:t>4.147</w:t>
            </w:r>
          </w:p>
        </w:tc>
      </w:tr>
      <w:tr w:rsidR="00AB77A8" w:rsidRPr="00471CBA" w14:paraId="62586B6B" w14:textId="77777777" w:rsidTr="002E7E1E">
        <w:trPr>
          <w:trHeight w:val="170"/>
        </w:trPr>
        <w:tc>
          <w:tcPr>
            <w:tcW w:w="4244" w:type="pct"/>
            <w:tcBorders>
              <w:top w:val="single" w:sz="4" w:space="0" w:color="auto"/>
            </w:tcBorders>
            <w:noWrap/>
            <w:vAlign w:val="bottom"/>
            <w:hideMark/>
          </w:tcPr>
          <w:p w14:paraId="24C42ECA" w14:textId="77777777" w:rsidR="00AB77A8" w:rsidRPr="00471CBA" w:rsidRDefault="00AB77A8" w:rsidP="002E7E1E">
            <w:pPr>
              <w:rPr>
                <w:color w:val="000000"/>
                <w:sz w:val="18"/>
                <w:szCs w:val="18"/>
              </w:rPr>
            </w:pPr>
          </w:p>
        </w:tc>
        <w:tc>
          <w:tcPr>
            <w:tcW w:w="756" w:type="pct"/>
            <w:tcBorders>
              <w:top w:val="single" w:sz="4" w:space="0" w:color="auto"/>
            </w:tcBorders>
            <w:vAlign w:val="center"/>
            <w:hideMark/>
          </w:tcPr>
          <w:p w14:paraId="1543BA8D" w14:textId="77777777" w:rsidR="00AB77A8" w:rsidRPr="00471CBA" w:rsidRDefault="00AB77A8" w:rsidP="002E7E1E">
            <w:pPr>
              <w:jc w:val="right"/>
              <w:rPr>
                <w:color w:val="000000"/>
                <w:sz w:val="18"/>
                <w:szCs w:val="18"/>
              </w:rPr>
            </w:pPr>
          </w:p>
        </w:tc>
      </w:tr>
      <w:tr w:rsidR="00AB77A8" w:rsidRPr="00471CBA" w14:paraId="2B73D1DF" w14:textId="77777777" w:rsidTr="002E7E1E">
        <w:trPr>
          <w:trHeight w:val="170"/>
        </w:trPr>
        <w:tc>
          <w:tcPr>
            <w:tcW w:w="4244" w:type="pct"/>
            <w:tcBorders>
              <w:bottom w:val="single" w:sz="4" w:space="0" w:color="auto"/>
            </w:tcBorders>
            <w:vAlign w:val="bottom"/>
            <w:hideMark/>
          </w:tcPr>
          <w:p w14:paraId="751DCA8C" w14:textId="77777777" w:rsidR="00AB77A8" w:rsidRPr="00471CBA" w:rsidRDefault="00AB77A8" w:rsidP="002E7E1E">
            <w:pPr>
              <w:rPr>
                <w:b/>
                <w:bCs/>
                <w:color w:val="000000"/>
                <w:sz w:val="18"/>
                <w:szCs w:val="18"/>
                <w:lang w:eastAsia="tr-TR"/>
              </w:rPr>
            </w:pPr>
            <w:r w:rsidRPr="00471CBA">
              <w:rPr>
                <w:b/>
                <w:bCs/>
                <w:color w:val="000000"/>
                <w:sz w:val="18"/>
                <w:szCs w:val="18"/>
              </w:rPr>
              <w:t>Ertelenmiş</w:t>
            </w:r>
            <w:r w:rsidRPr="00471CBA">
              <w:rPr>
                <w:b/>
                <w:bCs/>
                <w:color w:val="000000"/>
                <w:sz w:val="18"/>
                <w:szCs w:val="18"/>
                <w:lang w:eastAsia="tr-TR"/>
              </w:rPr>
              <w:t xml:space="preserve"> Vergi Varlığı</w:t>
            </w:r>
          </w:p>
        </w:tc>
        <w:tc>
          <w:tcPr>
            <w:tcW w:w="756" w:type="pct"/>
            <w:tcBorders>
              <w:bottom w:val="single" w:sz="4" w:space="0" w:color="auto"/>
            </w:tcBorders>
            <w:vAlign w:val="center"/>
            <w:hideMark/>
          </w:tcPr>
          <w:p w14:paraId="12F06588" w14:textId="77777777" w:rsidR="00AB77A8" w:rsidRPr="00471CBA" w:rsidRDefault="00AB77A8" w:rsidP="002E7E1E">
            <w:pPr>
              <w:jc w:val="right"/>
              <w:rPr>
                <w:b/>
                <w:bCs/>
                <w:color w:val="000000"/>
                <w:sz w:val="18"/>
                <w:szCs w:val="18"/>
                <w:lang w:eastAsia="tr-TR"/>
              </w:rPr>
            </w:pPr>
            <w:r w:rsidRPr="00471CBA">
              <w:rPr>
                <w:b/>
                <w:bCs/>
                <w:sz w:val="18"/>
                <w:szCs w:val="18"/>
              </w:rPr>
              <w:t>186.543</w:t>
            </w:r>
          </w:p>
        </w:tc>
      </w:tr>
      <w:tr w:rsidR="00AB77A8" w:rsidRPr="00471CBA" w14:paraId="6300C974" w14:textId="77777777" w:rsidTr="002E7E1E">
        <w:trPr>
          <w:trHeight w:val="170"/>
        </w:trPr>
        <w:tc>
          <w:tcPr>
            <w:tcW w:w="4244" w:type="pct"/>
            <w:tcBorders>
              <w:top w:val="single" w:sz="4" w:space="0" w:color="auto"/>
            </w:tcBorders>
            <w:vAlign w:val="bottom"/>
            <w:hideMark/>
          </w:tcPr>
          <w:p w14:paraId="15472C16" w14:textId="77777777" w:rsidR="00AB77A8" w:rsidRPr="00471CBA" w:rsidRDefault="00AB77A8" w:rsidP="002E7E1E">
            <w:pPr>
              <w:rPr>
                <w:color w:val="000000"/>
                <w:sz w:val="18"/>
                <w:szCs w:val="18"/>
              </w:rPr>
            </w:pPr>
          </w:p>
        </w:tc>
        <w:tc>
          <w:tcPr>
            <w:tcW w:w="756" w:type="pct"/>
            <w:tcBorders>
              <w:top w:val="single" w:sz="4" w:space="0" w:color="auto"/>
            </w:tcBorders>
            <w:vAlign w:val="center"/>
            <w:hideMark/>
          </w:tcPr>
          <w:p w14:paraId="6672F3D3" w14:textId="77777777" w:rsidR="00AB77A8" w:rsidRPr="00471CBA" w:rsidRDefault="00AB77A8" w:rsidP="002E7E1E">
            <w:pPr>
              <w:jc w:val="right"/>
              <w:rPr>
                <w:color w:val="000000"/>
                <w:sz w:val="18"/>
                <w:szCs w:val="18"/>
              </w:rPr>
            </w:pPr>
          </w:p>
        </w:tc>
      </w:tr>
      <w:tr w:rsidR="00AB77A8" w:rsidRPr="00471CBA" w14:paraId="4E4B1407" w14:textId="77777777" w:rsidTr="002E7E1E">
        <w:trPr>
          <w:trHeight w:val="170"/>
        </w:trPr>
        <w:tc>
          <w:tcPr>
            <w:tcW w:w="4244" w:type="pct"/>
            <w:noWrap/>
            <w:vAlign w:val="bottom"/>
            <w:hideMark/>
          </w:tcPr>
          <w:p w14:paraId="303D653F" w14:textId="77777777" w:rsidR="00AB77A8" w:rsidRPr="00471CBA" w:rsidRDefault="00AB77A8" w:rsidP="002E7E1E">
            <w:pPr>
              <w:rPr>
                <w:color w:val="000000"/>
                <w:sz w:val="18"/>
                <w:szCs w:val="18"/>
                <w:lang w:eastAsia="tr-TR"/>
              </w:rPr>
            </w:pPr>
            <w:r w:rsidRPr="00471CBA">
              <w:rPr>
                <w:color w:val="000000"/>
                <w:sz w:val="18"/>
                <w:szCs w:val="18"/>
              </w:rPr>
              <w:t>Duran</w:t>
            </w:r>
            <w:r w:rsidRPr="00471CBA">
              <w:rPr>
                <w:color w:val="000000"/>
                <w:sz w:val="18"/>
                <w:szCs w:val="18"/>
                <w:lang w:eastAsia="tr-TR"/>
              </w:rPr>
              <w:t xml:space="preserve"> Varlıkların Kayıtlı Değeri ile Vergi Değeri Arasındaki Fark (Amortisman Farkları) </w:t>
            </w:r>
          </w:p>
        </w:tc>
        <w:tc>
          <w:tcPr>
            <w:tcW w:w="756" w:type="pct"/>
            <w:vAlign w:val="center"/>
            <w:hideMark/>
          </w:tcPr>
          <w:p w14:paraId="3E61F043" w14:textId="77777777" w:rsidR="00AB77A8" w:rsidRPr="00471CBA" w:rsidRDefault="00AB77A8" w:rsidP="002E7E1E">
            <w:pPr>
              <w:jc w:val="right"/>
              <w:rPr>
                <w:color w:val="000000"/>
                <w:sz w:val="18"/>
                <w:szCs w:val="18"/>
                <w:lang w:eastAsia="tr-TR"/>
              </w:rPr>
            </w:pPr>
            <w:r w:rsidRPr="00471CBA">
              <w:rPr>
                <w:color w:val="000000"/>
                <w:sz w:val="18"/>
                <w:szCs w:val="18"/>
              </w:rPr>
              <w:t>52.024</w:t>
            </w:r>
          </w:p>
        </w:tc>
      </w:tr>
      <w:tr w:rsidR="00AB77A8" w:rsidRPr="00471CBA" w14:paraId="48B9F018" w14:textId="77777777" w:rsidTr="002E7E1E">
        <w:trPr>
          <w:trHeight w:val="170"/>
        </w:trPr>
        <w:tc>
          <w:tcPr>
            <w:tcW w:w="4244" w:type="pct"/>
            <w:noWrap/>
            <w:vAlign w:val="bottom"/>
            <w:hideMark/>
          </w:tcPr>
          <w:p w14:paraId="314C3AA5" w14:textId="77777777" w:rsidR="00AB77A8" w:rsidRPr="00471CBA" w:rsidRDefault="00AB77A8" w:rsidP="002E7E1E">
            <w:pPr>
              <w:rPr>
                <w:color w:val="000000"/>
                <w:sz w:val="18"/>
                <w:szCs w:val="18"/>
                <w:lang w:eastAsia="tr-TR"/>
              </w:rPr>
            </w:pPr>
            <w:r w:rsidRPr="00471CBA">
              <w:rPr>
                <w:color w:val="000000"/>
                <w:sz w:val="18"/>
                <w:szCs w:val="18"/>
              </w:rPr>
              <w:t>Türev</w:t>
            </w:r>
            <w:r w:rsidRPr="00471CBA">
              <w:rPr>
                <w:color w:val="000000"/>
                <w:sz w:val="18"/>
                <w:szCs w:val="18"/>
                <w:lang w:eastAsia="tr-TR"/>
              </w:rPr>
              <w:t xml:space="preserve"> Finansal Yükümlülükler</w:t>
            </w:r>
          </w:p>
        </w:tc>
        <w:tc>
          <w:tcPr>
            <w:tcW w:w="756" w:type="pct"/>
            <w:vAlign w:val="center"/>
            <w:hideMark/>
          </w:tcPr>
          <w:p w14:paraId="54728735" w14:textId="77777777" w:rsidR="00AB77A8" w:rsidRPr="00471CBA" w:rsidRDefault="00AB77A8" w:rsidP="002E7E1E">
            <w:pPr>
              <w:jc w:val="right"/>
              <w:rPr>
                <w:color w:val="000000"/>
                <w:sz w:val="18"/>
                <w:szCs w:val="18"/>
                <w:lang w:eastAsia="tr-TR"/>
              </w:rPr>
            </w:pPr>
            <w:r w:rsidRPr="00471CBA">
              <w:rPr>
                <w:sz w:val="18"/>
                <w:szCs w:val="18"/>
              </w:rPr>
              <w:t>29.063</w:t>
            </w:r>
          </w:p>
        </w:tc>
      </w:tr>
      <w:tr w:rsidR="00AB77A8" w:rsidRPr="00471CBA" w14:paraId="7F49E06D" w14:textId="77777777" w:rsidTr="002E7E1E">
        <w:trPr>
          <w:trHeight w:val="170"/>
        </w:trPr>
        <w:tc>
          <w:tcPr>
            <w:tcW w:w="4244" w:type="pct"/>
            <w:noWrap/>
            <w:vAlign w:val="bottom"/>
            <w:hideMark/>
          </w:tcPr>
          <w:p w14:paraId="203C9B84" w14:textId="77777777" w:rsidR="00AB77A8" w:rsidRPr="00471CBA" w:rsidRDefault="00AB77A8" w:rsidP="002E7E1E">
            <w:pPr>
              <w:rPr>
                <w:color w:val="000000"/>
                <w:sz w:val="18"/>
                <w:szCs w:val="18"/>
                <w:lang w:eastAsia="tr-TR"/>
              </w:rPr>
            </w:pPr>
            <w:r w:rsidRPr="00471CBA">
              <w:rPr>
                <w:color w:val="000000"/>
                <w:sz w:val="18"/>
                <w:szCs w:val="18"/>
              </w:rPr>
              <w:t xml:space="preserve">Menkul </w:t>
            </w:r>
            <w:r w:rsidRPr="00471CBA">
              <w:rPr>
                <w:color w:val="000000"/>
                <w:sz w:val="18"/>
                <w:szCs w:val="18"/>
                <w:lang w:eastAsia="tr-TR"/>
              </w:rPr>
              <w:t>Değerler Değerleme Farkı</w:t>
            </w:r>
          </w:p>
        </w:tc>
        <w:tc>
          <w:tcPr>
            <w:tcW w:w="756" w:type="pct"/>
            <w:vAlign w:val="center"/>
            <w:hideMark/>
          </w:tcPr>
          <w:p w14:paraId="5026E5C7" w14:textId="77777777" w:rsidR="00AB77A8" w:rsidRPr="00471CBA" w:rsidRDefault="00AB77A8" w:rsidP="002E7E1E">
            <w:pPr>
              <w:jc w:val="right"/>
              <w:rPr>
                <w:color w:val="000000"/>
                <w:sz w:val="18"/>
                <w:szCs w:val="18"/>
              </w:rPr>
            </w:pPr>
            <w:r w:rsidRPr="00471CBA">
              <w:rPr>
                <w:color w:val="000000"/>
                <w:sz w:val="18"/>
                <w:szCs w:val="18"/>
              </w:rPr>
              <w:t>25.842</w:t>
            </w:r>
          </w:p>
        </w:tc>
      </w:tr>
      <w:tr w:rsidR="00AB77A8" w:rsidRPr="00471CBA" w14:paraId="738AA5ED" w14:textId="77777777" w:rsidTr="002E7E1E">
        <w:trPr>
          <w:trHeight w:val="170"/>
        </w:trPr>
        <w:tc>
          <w:tcPr>
            <w:tcW w:w="4244" w:type="pct"/>
            <w:noWrap/>
            <w:vAlign w:val="bottom"/>
            <w:hideMark/>
          </w:tcPr>
          <w:p w14:paraId="5033AD55" w14:textId="77777777" w:rsidR="00AB77A8" w:rsidRPr="00471CBA" w:rsidRDefault="00AB77A8" w:rsidP="002E7E1E">
            <w:pPr>
              <w:rPr>
                <w:color w:val="000000"/>
                <w:sz w:val="18"/>
                <w:szCs w:val="18"/>
                <w:lang w:eastAsia="tr-TR"/>
              </w:rPr>
            </w:pPr>
            <w:r w:rsidRPr="00471CBA">
              <w:rPr>
                <w:color w:val="000000"/>
                <w:sz w:val="18"/>
                <w:szCs w:val="18"/>
              </w:rPr>
              <w:t>Spot</w:t>
            </w:r>
            <w:r w:rsidRPr="00471CBA">
              <w:rPr>
                <w:color w:val="000000"/>
                <w:sz w:val="18"/>
                <w:szCs w:val="18"/>
                <w:lang w:eastAsia="tr-TR"/>
              </w:rPr>
              <w:t xml:space="preserve"> işlemler değerleme farkı</w:t>
            </w:r>
          </w:p>
        </w:tc>
        <w:tc>
          <w:tcPr>
            <w:tcW w:w="756" w:type="pct"/>
            <w:vAlign w:val="center"/>
            <w:hideMark/>
          </w:tcPr>
          <w:p w14:paraId="698D79E8" w14:textId="77777777" w:rsidR="00AB77A8" w:rsidRPr="00471CBA" w:rsidRDefault="00AB77A8" w:rsidP="002E7E1E">
            <w:pPr>
              <w:jc w:val="right"/>
              <w:rPr>
                <w:color w:val="000000"/>
                <w:sz w:val="18"/>
                <w:szCs w:val="18"/>
                <w:lang w:eastAsia="tr-TR"/>
              </w:rPr>
            </w:pPr>
            <w:r w:rsidRPr="00471CBA">
              <w:rPr>
                <w:sz w:val="18"/>
                <w:szCs w:val="18"/>
              </w:rPr>
              <w:t>159.011</w:t>
            </w:r>
          </w:p>
        </w:tc>
      </w:tr>
      <w:tr w:rsidR="00AB77A8" w:rsidRPr="00471CBA" w14:paraId="4D34D5F8" w14:textId="77777777" w:rsidTr="002E7E1E">
        <w:trPr>
          <w:trHeight w:val="170"/>
        </w:trPr>
        <w:tc>
          <w:tcPr>
            <w:tcW w:w="4244" w:type="pct"/>
            <w:tcBorders>
              <w:bottom w:val="single" w:sz="4" w:space="0" w:color="auto"/>
            </w:tcBorders>
            <w:noWrap/>
            <w:vAlign w:val="bottom"/>
            <w:hideMark/>
          </w:tcPr>
          <w:p w14:paraId="290C5D79" w14:textId="77777777" w:rsidR="00AB77A8" w:rsidRPr="00471CBA" w:rsidRDefault="00AB77A8" w:rsidP="002E7E1E">
            <w:pPr>
              <w:rPr>
                <w:color w:val="000000"/>
                <w:sz w:val="18"/>
                <w:szCs w:val="18"/>
              </w:rPr>
            </w:pPr>
            <w:r w:rsidRPr="00471CBA">
              <w:rPr>
                <w:color w:val="000000"/>
                <w:sz w:val="18"/>
                <w:szCs w:val="18"/>
              </w:rPr>
              <w:t>Diğer</w:t>
            </w:r>
          </w:p>
        </w:tc>
        <w:tc>
          <w:tcPr>
            <w:tcW w:w="756" w:type="pct"/>
            <w:tcBorders>
              <w:bottom w:val="single" w:sz="4" w:space="0" w:color="auto"/>
            </w:tcBorders>
            <w:vAlign w:val="center"/>
            <w:hideMark/>
          </w:tcPr>
          <w:p w14:paraId="5A6AC5D8" w14:textId="77777777" w:rsidR="00AB77A8" w:rsidRPr="00471CBA" w:rsidRDefault="00AB77A8" w:rsidP="002E7E1E">
            <w:pPr>
              <w:jc w:val="right"/>
              <w:rPr>
                <w:color w:val="000000"/>
                <w:sz w:val="18"/>
                <w:szCs w:val="18"/>
              </w:rPr>
            </w:pPr>
            <w:r w:rsidRPr="00471CBA">
              <w:rPr>
                <w:color w:val="000000"/>
                <w:sz w:val="18"/>
                <w:szCs w:val="18"/>
              </w:rPr>
              <w:t>88</w:t>
            </w:r>
          </w:p>
        </w:tc>
      </w:tr>
      <w:tr w:rsidR="00AB77A8" w:rsidRPr="00471CBA" w14:paraId="62F8D48F" w14:textId="77777777" w:rsidTr="002E7E1E">
        <w:trPr>
          <w:trHeight w:val="170"/>
        </w:trPr>
        <w:tc>
          <w:tcPr>
            <w:tcW w:w="4244" w:type="pct"/>
            <w:tcBorders>
              <w:top w:val="single" w:sz="4" w:space="0" w:color="auto"/>
            </w:tcBorders>
            <w:noWrap/>
            <w:vAlign w:val="bottom"/>
            <w:hideMark/>
          </w:tcPr>
          <w:p w14:paraId="7F017783" w14:textId="77777777" w:rsidR="00AB77A8" w:rsidRPr="00471CBA" w:rsidRDefault="00AB77A8" w:rsidP="002E7E1E">
            <w:pPr>
              <w:rPr>
                <w:color w:val="000000"/>
                <w:sz w:val="18"/>
                <w:szCs w:val="18"/>
                <w:lang w:eastAsia="tr-TR"/>
              </w:rPr>
            </w:pPr>
          </w:p>
        </w:tc>
        <w:tc>
          <w:tcPr>
            <w:tcW w:w="756" w:type="pct"/>
            <w:tcBorders>
              <w:top w:val="single" w:sz="4" w:space="0" w:color="auto"/>
            </w:tcBorders>
            <w:vAlign w:val="center"/>
            <w:hideMark/>
          </w:tcPr>
          <w:p w14:paraId="7652D66C" w14:textId="77777777" w:rsidR="00AB77A8" w:rsidRPr="00471CBA" w:rsidRDefault="00AB77A8" w:rsidP="002E7E1E">
            <w:pPr>
              <w:jc w:val="right"/>
              <w:rPr>
                <w:sz w:val="18"/>
                <w:szCs w:val="18"/>
                <w:lang w:eastAsia="tr-TR"/>
              </w:rPr>
            </w:pPr>
          </w:p>
        </w:tc>
      </w:tr>
      <w:tr w:rsidR="00AB77A8" w:rsidRPr="00471CBA" w14:paraId="5927C582" w14:textId="77777777" w:rsidTr="002E7E1E">
        <w:trPr>
          <w:trHeight w:val="170"/>
        </w:trPr>
        <w:tc>
          <w:tcPr>
            <w:tcW w:w="4244" w:type="pct"/>
            <w:tcBorders>
              <w:bottom w:val="single" w:sz="4" w:space="0" w:color="auto"/>
            </w:tcBorders>
            <w:noWrap/>
            <w:vAlign w:val="bottom"/>
            <w:hideMark/>
          </w:tcPr>
          <w:p w14:paraId="7EFF5E5E" w14:textId="77777777" w:rsidR="00AB77A8" w:rsidRPr="00471CBA" w:rsidRDefault="00AB77A8" w:rsidP="002E7E1E">
            <w:pPr>
              <w:rPr>
                <w:b/>
                <w:bCs/>
                <w:color w:val="000000"/>
                <w:sz w:val="18"/>
                <w:szCs w:val="18"/>
                <w:lang w:eastAsia="tr-TR"/>
              </w:rPr>
            </w:pPr>
            <w:r w:rsidRPr="00471CBA">
              <w:rPr>
                <w:b/>
                <w:bCs/>
                <w:color w:val="000000"/>
                <w:sz w:val="18"/>
                <w:szCs w:val="18"/>
                <w:lang w:eastAsia="tr-TR"/>
              </w:rPr>
              <w:t>Ertelenmiş Vergi Yükümlülüğü</w:t>
            </w:r>
          </w:p>
        </w:tc>
        <w:tc>
          <w:tcPr>
            <w:tcW w:w="756" w:type="pct"/>
            <w:tcBorders>
              <w:bottom w:val="single" w:sz="4" w:space="0" w:color="auto"/>
            </w:tcBorders>
            <w:vAlign w:val="center"/>
            <w:hideMark/>
          </w:tcPr>
          <w:p w14:paraId="25D435FC" w14:textId="77777777" w:rsidR="00AB77A8" w:rsidRPr="00471CBA" w:rsidRDefault="00AB77A8" w:rsidP="002E7E1E">
            <w:pPr>
              <w:jc w:val="right"/>
              <w:rPr>
                <w:b/>
                <w:bCs/>
                <w:color w:val="000000"/>
                <w:sz w:val="18"/>
                <w:szCs w:val="18"/>
                <w:lang w:eastAsia="tr-TR"/>
              </w:rPr>
            </w:pPr>
            <w:r w:rsidRPr="00471CBA">
              <w:rPr>
                <w:b/>
                <w:bCs/>
                <w:color w:val="000000"/>
                <w:sz w:val="18"/>
                <w:szCs w:val="18"/>
                <w:lang w:eastAsia="tr-TR"/>
              </w:rPr>
              <w:t>266.028</w:t>
            </w:r>
          </w:p>
        </w:tc>
      </w:tr>
      <w:tr w:rsidR="00AB77A8" w:rsidRPr="00471CBA" w14:paraId="6252E837" w14:textId="77777777" w:rsidTr="002E7E1E">
        <w:trPr>
          <w:trHeight w:val="170"/>
        </w:trPr>
        <w:tc>
          <w:tcPr>
            <w:tcW w:w="4244" w:type="pct"/>
            <w:tcBorders>
              <w:top w:val="single" w:sz="4" w:space="0" w:color="auto"/>
            </w:tcBorders>
            <w:vAlign w:val="bottom"/>
            <w:hideMark/>
          </w:tcPr>
          <w:p w14:paraId="65D0F892" w14:textId="77777777" w:rsidR="00AB77A8" w:rsidRPr="00471CBA" w:rsidRDefault="00AB77A8" w:rsidP="002E7E1E">
            <w:pPr>
              <w:rPr>
                <w:color w:val="000000"/>
                <w:sz w:val="18"/>
                <w:szCs w:val="18"/>
                <w:lang w:eastAsia="tr-TR"/>
              </w:rPr>
            </w:pPr>
          </w:p>
        </w:tc>
        <w:tc>
          <w:tcPr>
            <w:tcW w:w="756" w:type="pct"/>
            <w:tcBorders>
              <w:top w:val="single" w:sz="4" w:space="0" w:color="auto"/>
            </w:tcBorders>
            <w:vAlign w:val="center"/>
            <w:hideMark/>
          </w:tcPr>
          <w:p w14:paraId="1CDCEBE8" w14:textId="77777777" w:rsidR="00AB77A8" w:rsidRPr="00471CBA" w:rsidRDefault="00AB77A8" w:rsidP="002E7E1E">
            <w:pPr>
              <w:jc w:val="right"/>
              <w:rPr>
                <w:color w:val="000000"/>
                <w:sz w:val="18"/>
                <w:szCs w:val="18"/>
                <w:lang w:eastAsia="tr-TR"/>
              </w:rPr>
            </w:pPr>
          </w:p>
        </w:tc>
      </w:tr>
      <w:tr w:rsidR="00AB77A8" w:rsidRPr="00471CBA" w14:paraId="13EDFCA3" w14:textId="77777777" w:rsidTr="002E7E1E">
        <w:trPr>
          <w:trHeight w:val="170"/>
        </w:trPr>
        <w:tc>
          <w:tcPr>
            <w:tcW w:w="4244" w:type="pct"/>
            <w:tcBorders>
              <w:bottom w:val="single" w:sz="4" w:space="0" w:color="auto"/>
            </w:tcBorders>
            <w:noWrap/>
            <w:vAlign w:val="bottom"/>
            <w:hideMark/>
          </w:tcPr>
          <w:p w14:paraId="21A36405" w14:textId="77777777" w:rsidR="00AB77A8" w:rsidRPr="00471CBA" w:rsidRDefault="00AB77A8" w:rsidP="002E7E1E">
            <w:pPr>
              <w:rPr>
                <w:b/>
                <w:bCs/>
                <w:color w:val="000000"/>
                <w:sz w:val="18"/>
                <w:szCs w:val="18"/>
                <w:lang w:eastAsia="tr-TR"/>
              </w:rPr>
            </w:pPr>
            <w:r w:rsidRPr="00471CBA">
              <w:rPr>
                <w:b/>
                <w:bCs/>
                <w:color w:val="000000"/>
                <w:sz w:val="18"/>
                <w:szCs w:val="18"/>
                <w:lang w:eastAsia="tr-TR"/>
              </w:rPr>
              <w:t>Ertelenmiş Vergi Varlığı/(Yükümlülüğü) (Net)</w:t>
            </w:r>
          </w:p>
        </w:tc>
        <w:tc>
          <w:tcPr>
            <w:tcW w:w="756" w:type="pct"/>
            <w:tcBorders>
              <w:bottom w:val="single" w:sz="4" w:space="0" w:color="auto"/>
            </w:tcBorders>
            <w:vAlign w:val="center"/>
            <w:hideMark/>
          </w:tcPr>
          <w:p w14:paraId="1440C5B9" w14:textId="77777777" w:rsidR="00AB77A8" w:rsidRPr="00471CBA" w:rsidRDefault="00AB77A8" w:rsidP="002E7E1E">
            <w:pPr>
              <w:jc w:val="right"/>
              <w:rPr>
                <w:b/>
                <w:bCs/>
                <w:color w:val="000000"/>
                <w:sz w:val="18"/>
                <w:szCs w:val="18"/>
                <w:lang w:eastAsia="tr-TR"/>
              </w:rPr>
            </w:pPr>
            <w:r w:rsidRPr="00471CBA">
              <w:rPr>
                <w:b/>
                <w:bCs/>
                <w:sz w:val="18"/>
                <w:szCs w:val="18"/>
                <w:lang w:eastAsia="tr-TR"/>
              </w:rPr>
              <w:t>(</w:t>
            </w:r>
            <w:r w:rsidRPr="00471CBA">
              <w:rPr>
                <w:b/>
                <w:bCs/>
                <w:color w:val="000000"/>
                <w:sz w:val="18"/>
                <w:szCs w:val="18"/>
                <w:lang w:eastAsia="tr-TR"/>
              </w:rPr>
              <w:t>79.485)</w:t>
            </w:r>
          </w:p>
        </w:tc>
      </w:tr>
    </w:tbl>
    <w:p w14:paraId="2C01B60F" w14:textId="78CB9CF9" w:rsidR="00D067C4" w:rsidRDefault="00D067C4" w:rsidP="00AB77A8">
      <w:pPr>
        <w:widowControl w:val="0"/>
        <w:ind w:left="966" w:hanging="910"/>
        <w:jc w:val="both"/>
        <w:rPr>
          <w:rFonts w:eastAsia="Arial Unicode MS"/>
          <w:iCs/>
          <w:szCs w:val="20"/>
        </w:rPr>
      </w:pPr>
    </w:p>
    <w:tbl>
      <w:tblPr>
        <w:tblW w:w="5000" w:type="pct"/>
        <w:tblCellMar>
          <w:left w:w="70" w:type="dxa"/>
          <w:right w:w="70" w:type="dxa"/>
        </w:tblCellMar>
        <w:tblLook w:val="04A0" w:firstRow="1" w:lastRow="0" w:firstColumn="1" w:lastColumn="0" w:noHBand="0" w:noVBand="1"/>
      </w:tblPr>
      <w:tblGrid>
        <w:gridCol w:w="7950"/>
        <w:gridCol w:w="1405"/>
      </w:tblGrid>
      <w:tr w:rsidR="00AB77A8" w:rsidRPr="00471CBA" w14:paraId="3F460C67" w14:textId="77777777" w:rsidTr="002E7E1E">
        <w:trPr>
          <w:trHeight w:val="170"/>
        </w:trPr>
        <w:tc>
          <w:tcPr>
            <w:tcW w:w="4249" w:type="pct"/>
            <w:hideMark/>
          </w:tcPr>
          <w:p w14:paraId="58B223CE" w14:textId="77777777" w:rsidR="00AB77A8" w:rsidRPr="00471CBA" w:rsidRDefault="00AB77A8" w:rsidP="002E7E1E">
            <w:pPr>
              <w:rPr>
                <w:b/>
                <w:bCs/>
                <w:sz w:val="18"/>
                <w:szCs w:val="18"/>
              </w:rPr>
            </w:pPr>
          </w:p>
        </w:tc>
        <w:tc>
          <w:tcPr>
            <w:tcW w:w="751" w:type="pct"/>
            <w:tcBorders>
              <w:bottom w:val="single" w:sz="4" w:space="0" w:color="auto"/>
            </w:tcBorders>
            <w:noWrap/>
            <w:vAlign w:val="center"/>
            <w:hideMark/>
          </w:tcPr>
          <w:p w14:paraId="4514852E" w14:textId="77777777" w:rsidR="00AB77A8" w:rsidRPr="00471CBA" w:rsidRDefault="00AB77A8" w:rsidP="002E7E1E">
            <w:pPr>
              <w:jc w:val="right"/>
              <w:rPr>
                <w:b/>
                <w:bCs/>
                <w:color w:val="000000"/>
                <w:sz w:val="18"/>
                <w:szCs w:val="18"/>
              </w:rPr>
            </w:pPr>
            <w:r w:rsidRPr="00471CBA">
              <w:rPr>
                <w:b/>
                <w:bCs/>
                <w:color w:val="000000"/>
                <w:sz w:val="18"/>
                <w:szCs w:val="18"/>
              </w:rPr>
              <w:t>31 Aralık 2024</w:t>
            </w:r>
          </w:p>
        </w:tc>
      </w:tr>
      <w:tr w:rsidR="00AB77A8" w:rsidRPr="00471CBA" w14:paraId="316388EA" w14:textId="77777777" w:rsidTr="002E7E1E">
        <w:trPr>
          <w:trHeight w:val="170"/>
        </w:trPr>
        <w:tc>
          <w:tcPr>
            <w:tcW w:w="4249" w:type="pct"/>
            <w:vAlign w:val="bottom"/>
            <w:hideMark/>
          </w:tcPr>
          <w:p w14:paraId="7D56AB53" w14:textId="77777777" w:rsidR="00AB77A8" w:rsidRPr="00471CBA" w:rsidRDefault="00AB77A8" w:rsidP="002E7E1E">
            <w:pPr>
              <w:rPr>
                <w:b/>
                <w:bCs/>
                <w:color w:val="000000"/>
                <w:sz w:val="18"/>
                <w:szCs w:val="18"/>
              </w:rPr>
            </w:pPr>
          </w:p>
        </w:tc>
        <w:tc>
          <w:tcPr>
            <w:tcW w:w="751" w:type="pct"/>
            <w:tcBorders>
              <w:top w:val="single" w:sz="4" w:space="0" w:color="auto"/>
            </w:tcBorders>
            <w:vAlign w:val="bottom"/>
            <w:hideMark/>
          </w:tcPr>
          <w:p w14:paraId="00F77C2D" w14:textId="77777777" w:rsidR="00AB77A8" w:rsidRPr="00471CBA" w:rsidRDefault="00AB77A8" w:rsidP="002E7E1E">
            <w:pPr>
              <w:jc w:val="right"/>
              <w:rPr>
                <w:b/>
                <w:bCs/>
                <w:sz w:val="18"/>
                <w:szCs w:val="18"/>
              </w:rPr>
            </w:pPr>
          </w:p>
        </w:tc>
      </w:tr>
      <w:tr w:rsidR="00AB77A8" w:rsidRPr="00471CBA" w14:paraId="0A2C22EC" w14:textId="77777777" w:rsidTr="002E7E1E">
        <w:trPr>
          <w:trHeight w:val="170"/>
        </w:trPr>
        <w:tc>
          <w:tcPr>
            <w:tcW w:w="4249" w:type="pct"/>
            <w:noWrap/>
            <w:vAlign w:val="center"/>
            <w:hideMark/>
          </w:tcPr>
          <w:p w14:paraId="5288462F" w14:textId="77777777" w:rsidR="00AB77A8" w:rsidRPr="00471CBA" w:rsidRDefault="00AB77A8" w:rsidP="002E7E1E">
            <w:pPr>
              <w:rPr>
                <w:color w:val="000000"/>
                <w:sz w:val="18"/>
                <w:szCs w:val="18"/>
              </w:rPr>
            </w:pPr>
            <w:r w:rsidRPr="00471CBA">
              <w:rPr>
                <w:color w:val="000000"/>
                <w:sz w:val="18"/>
                <w:szCs w:val="18"/>
              </w:rPr>
              <w:t>Kar Payı Reeskontları ve Peşin Tahsil Edilen Ücret ve Komisyonlar Kazanılmamış Gelirleri</w:t>
            </w:r>
          </w:p>
        </w:tc>
        <w:tc>
          <w:tcPr>
            <w:tcW w:w="751" w:type="pct"/>
            <w:vAlign w:val="center"/>
            <w:hideMark/>
          </w:tcPr>
          <w:p w14:paraId="50F961DC" w14:textId="77777777" w:rsidR="00AB77A8" w:rsidRPr="00471CBA" w:rsidRDefault="00AB77A8" w:rsidP="002E7E1E">
            <w:pPr>
              <w:jc w:val="right"/>
              <w:rPr>
                <w:color w:val="000000"/>
                <w:sz w:val="18"/>
                <w:szCs w:val="18"/>
              </w:rPr>
            </w:pPr>
            <w:r w:rsidRPr="00471CBA">
              <w:rPr>
                <w:color w:val="000000"/>
                <w:sz w:val="18"/>
                <w:szCs w:val="18"/>
              </w:rPr>
              <w:t>23.178</w:t>
            </w:r>
          </w:p>
        </w:tc>
      </w:tr>
      <w:tr w:rsidR="00AB77A8" w:rsidRPr="00471CBA" w14:paraId="3A7B23F4" w14:textId="77777777" w:rsidTr="002E7E1E">
        <w:trPr>
          <w:trHeight w:val="170"/>
        </w:trPr>
        <w:tc>
          <w:tcPr>
            <w:tcW w:w="4249" w:type="pct"/>
            <w:noWrap/>
            <w:vAlign w:val="center"/>
            <w:hideMark/>
          </w:tcPr>
          <w:p w14:paraId="5A445DB9" w14:textId="77777777" w:rsidR="00AB77A8" w:rsidRPr="00471CBA" w:rsidRDefault="00AB77A8" w:rsidP="002E7E1E">
            <w:pPr>
              <w:rPr>
                <w:color w:val="000000"/>
                <w:sz w:val="18"/>
                <w:szCs w:val="18"/>
              </w:rPr>
            </w:pPr>
            <w:r w:rsidRPr="00471CBA">
              <w:rPr>
                <w:color w:val="000000"/>
                <w:sz w:val="18"/>
                <w:szCs w:val="18"/>
              </w:rPr>
              <w:t>Kıdem Tazminatı ve İzin Ücreti Karşılıkları</w:t>
            </w:r>
          </w:p>
        </w:tc>
        <w:tc>
          <w:tcPr>
            <w:tcW w:w="751" w:type="pct"/>
            <w:vAlign w:val="center"/>
            <w:hideMark/>
          </w:tcPr>
          <w:p w14:paraId="0BCC5F92" w14:textId="77777777" w:rsidR="00AB77A8" w:rsidRPr="00471CBA" w:rsidRDefault="00AB77A8" w:rsidP="002E7E1E">
            <w:pPr>
              <w:jc w:val="right"/>
              <w:rPr>
                <w:color w:val="000000"/>
                <w:sz w:val="18"/>
                <w:szCs w:val="18"/>
              </w:rPr>
            </w:pPr>
            <w:r w:rsidRPr="00471CBA">
              <w:rPr>
                <w:color w:val="000000"/>
                <w:sz w:val="18"/>
                <w:szCs w:val="18"/>
              </w:rPr>
              <w:t>11.359</w:t>
            </w:r>
          </w:p>
        </w:tc>
      </w:tr>
      <w:tr w:rsidR="00AB77A8" w:rsidRPr="00471CBA" w14:paraId="5A3BD2D6" w14:textId="77777777" w:rsidTr="002E7E1E">
        <w:trPr>
          <w:trHeight w:val="170"/>
        </w:trPr>
        <w:tc>
          <w:tcPr>
            <w:tcW w:w="4249" w:type="pct"/>
            <w:noWrap/>
            <w:vAlign w:val="center"/>
            <w:hideMark/>
          </w:tcPr>
          <w:p w14:paraId="211F1F29" w14:textId="77777777" w:rsidR="00AB77A8" w:rsidRPr="00471CBA" w:rsidRDefault="00AB77A8" w:rsidP="002E7E1E">
            <w:pPr>
              <w:rPr>
                <w:color w:val="000000"/>
                <w:sz w:val="18"/>
                <w:szCs w:val="18"/>
              </w:rPr>
            </w:pPr>
            <w:r w:rsidRPr="00471CBA">
              <w:rPr>
                <w:color w:val="000000"/>
                <w:sz w:val="18"/>
                <w:szCs w:val="18"/>
              </w:rPr>
              <w:t>Karşılıklar</w:t>
            </w:r>
          </w:p>
        </w:tc>
        <w:tc>
          <w:tcPr>
            <w:tcW w:w="751" w:type="pct"/>
            <w:vAlign w:val="center"/>
            <w:hideMark/>
          </w:tcPr>
          <w:p w14:paraId="41FB215D" w14:textId="77777777" w:rsidR="00AB77A8" w:rsidRPr="00471CBA" w:rsidRDefault="00AB77A8" w:rsidP="002E7E1E">
            <w:pPr>
              <w:jc w:val="right"/>
              <w:rPr>
                <w:color w:val="000000"/>
                <w:sz w:val="18"/>
                <w:szCs w:val="18"/>
              </w:rPr>
            </w:pPr>
            <w:r w:rsidRPr="00471CBA">
              <w:rPr>
                <w:color w:val="000000"/>
                <w:sz w:val="18"/>
                <w:szCs w:val="18"/>
              </w:rPr>
              <w:t>89.419</w:t>
            </w:r>
          </w:p>
        </w:tc>
      </w:tr>
      <w:tr w:rsidR="00AB77A8" w:rsidRPr="00471CBA" w14:paraId="1BFC2DC7" w14:textId="77777777" w:rsidTr="002E7E1E">
        <w:trPr>
          <w:trHeight w:val="170"/>
        </w:trPr>
        <w:tc>
          <w:tcPr>
            <w:tcW w:w="4249" w:type="pct"/>
            <w:noWrap/>
            <w:vAlign w:val="center"/>
            <w:hideMark/>
          </w:tcPr>
          <w:p w14:paraId="441444B8" w14:textId="77777777" w:rsidR="00AB77A8" w:rsidRPr="00471CBA" w:rsidRDefault="00AB77A8" w:rsidP="002E7E1E">
            <w:pPr>
              <w:rPr>
                <w:color w:val="000000"/>
                <w:sz w:val="18"/>
                <w:szCs w:val="18"/>
                <w:lang w:eastAsia="tr-TR"/>
              </w:rPr>
            </w:pPr>
            <w:r w:rsidRPr="00471CBA">
              <w:rPr>
                <w:color w:val="000000"/>
                <w:sz w:val="18"/>
                <w:szCs w:val="18"/>
              </w:rPr>
              <w:t xml:space="preserve">TFRS </w:t>
            </w:r>
            <w:r w:rsidRPr="00471CBA">
              <w:rPr>
                <w:color w:val="000000"/>
                <w:sz w:val="18"/>
                <w:szCs w:val="18"/>
                <w:lang w:eastAsia="tr-TR"/>
              </w:rPr>
              <w:t xml:space="preserve">16 Kiralama İşlemleri Kar Payı Giderleri </w:t>
            </w:r>
          </w:p>
        </w:tc>
        <w:tc>
          <w:tcPr>
            <w:tcW w:w="751" w:type="pct"/>
            <w:vAlign w:val="center"/>
            <w:hideMark/>
          </w:tcPr>
          <w:p w14:paraId="589D0CAD" w14:textId="77777777" w:rsidR="00AB77A8" w:rsidRPr="00471CBA" w:rsidRDefault="00AB77A8" w:rsidP="002E7E1E">
            <w:pPr>
              <w:jc w:val="right"/>
              <w:rPr>
                <w:color w:val="000000"/>
                <w:sz w:val="18"/>
                <w:szCs w:val="18"/>
              </w:rPr>
            </w:pPr>
            <w:r w:rsidRPr="00471CBA">
              <w:rPr>
                <w:color w:val="000000"/>
                <w:sz w:val="18"/>
                <w:szCs w:val="18"/>
              </w:rPr>
              <w:t>4.147</w:t>
            </w:r>
          </w:p>
        </w:tc>
      </w:tr>
      <w:tr w:rsidR="00AB77A8" w:rsidRPr="00471CBA" w14:paraId="1C61C70D" w14:textId="77777777" w:rsidTr="002E7E1E">
        <w:trPr>
          <w:trHeight w:val="170"/>
        </w:trPr>
        <w:tc>
          <w:tcPr>
            <w:tcW w:w="4249" w:type="pct"/>
            <w:noWrap/>
            <w:vAlign w:val="center"/>
            <w:hideMark/>
          </w:tcPr>
          <w:p w14:paraId="3474F878" w14:textId="77777777" w:rsidR="00AB77A8" w:rsidRPr="00471CBA" w:rsidRDefault="00AB77A8" w:rsidP="002E7E1E">
            <w:pPr>
              <w:rPr>
                <w:color w:val="000000"/>
                <w:sz w:val="18"/>
                <w:szCs w:val="18"/>
                <w:lang w:eastAsia="tr-TR"/>
              </w:rPr>
            </w:pPr>
            <w:r w:rsidRPr="00471CBA">
              <w:rPr>
                <w:color w:val="000000"/>
                <w:sz w:val="18"/>
                <w:szCs w:val="18"/>
              </w:rPr>
              <w:t xml:space="preserve">Maddi </w:t>
            </w:r>
            <w:r w:rsidRPr="00471CBA">
              <w:rPr>
                <w:color w:val="000000"/>
                <w:sz w:val="18"/>
                <w:szCs w:val="18"/>
                <w:lang w:eastAsia="tr-TR"/>
              </w:rPr>
              <w:t xml:space="preserve">Duran Varlıkların Kayıtlı Değeri ile Vergi Değeri Arasındaki Fark (Amortisman Farkları) </w:t>
            </w:r>
          </w:p>
        </w:tc>
        <w:tc>
          <w:tcPr>
            <w:tcW w:w="751" w:type="pct"/>
            <w:vAlign w:val="center"/>
            <w:hideMark/>
          </w:tcPr>
          <w:p w14:paraId="066CF0E2" w14:textId="77777777" w:rsidR="00AB77A8" w:rsidRPr="00471CBA" w:rsidRDefault="00AB77A8" w:rsidP="002E7E1E">
            <w:pPr>
              <w:jc w:val="right"/>
              <w:rPr>
                <w:color w:val="000000"/>
                <w:sz w:val="18"/>
                <w:szCs w:val="18"/>
              </w:rPr>
            </w:pPr>
            <w:r w:rsidRPr="00471CBA">
              <w:rPr>
                <w:color w:val="000000"/>
                <w:sz w:val="18"/>
                <w:szCs w:val="18"/>
              </w:rPr>
              <w:t>-</w:t>
            </w:r>
          </w:p>
        </w:tc>
      </w:tr>
      <w:tr w:rsidR="00AB77A8" w:rsidRPr="00471CBA" w14:paraId="31108272" w14:textId="77777777" w:rsidTr="002E7E1E">
        <w:trPr>
          <w:trHeight w:val="170"/>
        </w:trPr>
        <w:tc>
          <w:tcPr>
            <w:tcW w:w="4249" w:type="pct"/>
            <w:noWrap/>
            <w:vAlign w:val="center"/>
            <w:hideMark/>
          </w:tcPr>
          <w:p w14:paraId="6E1DF2FF" w14:textId="77777777" w:rsidR="00AB77A8" w:rsidRPr="00471CBA" w:rsidRDefault="00AB77A8" w:rsidP="002E7E1E">
            <w:pPr>
              <w:rPr>
                <w:color w:val="000000"/>
                <w:sz w:val="18"/>
                <w:szCs w:val="18"/>
                <w:lang w:eastAsia="tr-TR"/>
              </w:rPr>
            </w:pPr>
            <w:r w:rsidRPr="00471CBA">
              <w:rPr>
                <w:color w:val="000000"/>
                <w:sz w:val="18"/>
                <w:szCs w:val="18"/>
              </w:rPr>
              <w:t>Spot</w:t>
            </w:r>
            <w:r w:rsidRPr="00471CBA">
              <w:rPr>
                <w:color w:val="000000"/>
                <w:sz w:val="18"/>
                <w:szCs w:val="18"/>
                <w:lang w:eastAsia="tr-TR"/>
              </w:rPr>
              <w:t xml:space="preserve"> işlemler değerleme farkı</w:t>
            </w:r>
          </w:p>
        </w:tc>
        <w:tc>
          <w:tcPr>
            <w:tcW w:w="751" w:type="pct"/>
            <w:vAlign w:val="center"/>
            <w:hideMark/>
          </w:tcPr>
          <w:p w14:paraId="0E000019" w14:textId="77777777" w:rsidR="00AB77A8" w:rsidRPr="00471CBA" w:rsidRDefault="00AB77A8" w:rsidP="002E7E1E">
            <w:pPr>
              <w:jc w:val="right"/>
              <w:rPr>
                <w:color w:val="000000"/>
                <w:sz w:val="18"/>
                <w:szCs w:val="18"/>
                <w:lang w:eastAsia="tr-TR"/>
              </w:rPr>
            </w:pPr>
            <w:r w:rsidRPr="00471CBA">
              <w:rPr>
                <w:color w:val="000000"/>
                <w:sz w:val="18"/>
                <w:szCs w:val="18"/>
              </w:rPr>
              <w:t>2.019</w:t>
            </w:r>
          </w:p>
        </w:tc>
      </w:tr>
      <w:tr w:rsidR="00AB77A8" w:rsidRPr="00471CBA" w14:paraId="000E9B62" w14:textId="77777777" w:rsidTr="002E7E1E">
        <w:trPr>
          <w:trHeight w:val="170"/>
        </w:trPr>
        <w:tc>
          <w:tcPr>
            <w:tcW w:w="4249" w:type="pct"/>
            <w:tcBorders>
              <w:bottom w:val="single" w:sz="4" w:space="0" w:color="auto"/>
            </w:tcBorders>
            <w:noWrap/>
            <w:vAlign w:val="center"/>
            <w:hideMark/>
          </w:tcPr>
          <w:p w14:paraId="61690E34" w14:textId="77777777" w:rsidR="00AB77A8" w:rsidRPr="00471CBA" w:rsidRDefault="00AB77A8" w:rsidP="002E7E1E">
            <w:pPr>
              <w:rPr>
                <w:color w:val="000000"/>
                <w:sz w:val="18"/>
                <w:szCs w:val="18"/>
                <w:lang w:eastAsia="tr-TR"/>
              </w:rPr>
            </w:pPr>
            <w:r w:rsidRPr="00471CBA">
              <w:rPr>
                <w:color w:val="000000"/>
                <w:sz w:val="18"/>
                <w:szCs w:val="18"/>
              </w:rPr>
              <w:t>Diğer</w:t>
            </w:r>
          </w:p>
        </w:tc>
        <w:tc>
          <w:tcPr>
            <w:tcW w:w="751" w:type="pct"/>
            <w:tcBorders>
              <w:bottom w:val="single" w:sz="4" w:space="0" w:color="auto"/>
            </w:tcBorders>
            <w:vAlign w:val="center"/>
            <w:hideMark/>
          </w:tcPr>
          <w:p w14:paraId="1652C2FA" w14:textId="77777777" w:rsidR="00AB77A8" w:rsidRPr="00471CBA" w:rsidRDefault="00AB77A8" w:rsidP="002E7E1E">
            <w:pPr>
              <w:jc w:val="right"/>
              <w:rPr>
                <w:color w:val="000000"/>
                <w:sz w:val="18"/>
                <w:szCs w:val="18"/>
                <w:lang w:eastAsia="tr-TR"/>
              </w:rPr>
            </w:pPr>
            <w:r w:rsidRPr="00471CBA">
              <w:rPr>
                <w:sz w:val="18"/>
                <w:szCs w:val="18"/>
              </w:rPr>
              <w:t>1.162</w:t>
            </w:r>
          </w:p>
        </w:tc>
      </w:tr>
      <w:tr w:rsidR="00AB77A8" w:rsidRPr="00471CBA" w14:paraId="38FC9698" w14:textId="77777777" w:rsidTr="002E7E1E">
        <w:trPr>
          <w:trHeight w:val="170"/>
        </w:trPr>
        <w:tc>
          <w:tcPr>
            <w:tcW w:w="4249" w:type="pct"/>
            <w:tcBorders>
              <w:top w:val="single" w:sz="4" w:space="0" w:color="auto"/>
            </w:tcBorders>
            <w:noWrap/>
            <w:vAlign w:val="bottom"/>
            <w:hideMark/>
          </w:tcPr>
          <w:p w14:paraId="4B6BB8AC" w14:textId="77777777" w:rsidR="00AB77A8" w:rsidRPr="00471CBA" w:rsidRDefault="00AB77A8" w:rsidP="002E7E1E">
            <w:pPr>
              <w:rPr>
                <w:color w:val="000000"/>
                <w:sz w:val="18"/>
                <w:szCs w:val="18"/>
              </w:rPr>
            </w:pPr>
          </w:p>
        </w:tc>
        <w:tc>
          <w:tcPr>
            <w:tcW w:w="751" w:type="pct"/>
            <w:tcBorders>
              <w:top w:val="single" w:sz="4" w:space="0" w:color="auto"/>
            </w:tcBorders>
            <w:vAlign w:val="center"/>
            <w:hideMark/>
          </w:tcPr>
          <w:p w14:paraId="7E986F8E" w14:textId="77777777" w:rsidR="00AB77A8" w:rsidRPr="00471CBA" w:rsidRDefault="00AB77A8" w:rsidP="002E7E1E">
            <w:pPr>
              <w:jc w:val="right"/>
              <w:rPr>
                <w:color w:val="000000"/>
                <w:sz w:val="18"/>
                <w:szCs w:val="18"/>
              </w:rPr>
            </w:pPr>
          </w:p>
        </w:tc>
      </w:tr>
      <w:tr w:rsidR="00AB77A8" w:rsidRPr="00471CBA" w14:paraId="0E1CF016" w14:textId="77777777" w:rsidTr="002E7E1E">
        <w:trPr>
          <w:trHeight w:val="170"/>
        </w:trPr>
        <w:tc>
          <w:tcPr>
            <w:tcW w:w="4249" w:type="pct"/>
            <w:tcBorders>
              <w:bottom w:val="single" w:sz="4" w:space="0" w:color="auto"/>
            </w:tcBorders>
            <w:vAlign w:val="bottom"/>
            <w:hideMark/>
          </w:tcPr>
          <w:p w14:paraId="4D2A105F" w14:textId="77777777" w:rsidR="00AB77A8" w:rsidRPr="00471CBA" w:rsidRDefault="00AB77A8" w:rsidP="002E7E1E">
            <w:pPr>
              <w:rPr>
                <w:b/>
                <w:bCs/>
                <w:color w:val="000000"/>
                <w:sz w:val="18"/>
                <w:szCs w:val="18"/>
                <w:lang w:eastAsia="tr-TR"/>
              </w:rPr>
            </w:pPr>
            <w:r w:rsidRPr="00471CBA">
              <w:rPr>
                <w:b/>
                <w:bCs/>
                <w:color w:val="000000"/>
                <w:sz w:val="18"/>
                <w:szCs w:val="18"/>
              </w:rPr>
              <w:t>Ertelenmiş</w:t>
            </w:r>
            <w:r w:rsidRPr="00471CBA">
              <w:rPr>
                <w:b/>
                <w:bCs/>
                <w:color w:val="000000"/>
                <w:sz w:val="18"/>
                <w:szCs w:val="18"/>
                <w:lang w:eastAsia="tr-TR"/>
              </w:rPr>
              <w:t xml:space="preserve"> Vergi Varlığı</w:t>
            </w:r>
          </w:p>
        </w:tc>
        <w:tc>
          <w:tcPr>
            <w:tcW w:w="751" w:type="pct"/>
            <w:tcBorders>
              <w:bottom w:val="single" w:sz="4" w:space="0" w:color="auto"/>
            </w:tcBorders>
            <w:vAlign w:val="center"/>
            <w:hideMark/>
          </w:tcPr>
          <w:p w14:paraId="61C2ED78" w14:textId="77777777" w:rsidR="00AB77A8" w:rsidRPr="00471CBA" w:rsidRDefault="00AB77A8" w:rsidP="002E7E1E">
            <w:pPr>
              <w:jc w:val="right"/>
              <w:rPr>
                <w:b/>
                <w:bCs/>
                <w:color w:val="000000"/>
                <w:sz w:val="18"/>
                <w:szCs w:val="18"/>
                <w:lang w:eastAsia="tr-TR"/>
              </w:rPr>
            </w:pPr>
            <w:r w:rsidRPr="00471CBA">
              <w:rPr>
                <w:b/>
                <w:bCs/>
                <w:sz w:val="18"/>
                <w:szCs w:val="18"/>
              </w:rPr>
              <w:t>131.284</w:t>
            </w:r>
          </w:p>
        </w:tc>
      </w:tr>
      <w:tr w:rsidR="00AB77A8" w:rsidRPr="00471CBA" w14:paraId="3910803B" w14:textId="77777777" w:rsidTr="002E7E1E">
        <w:trPr>
          <w:trHeight w:val="170"/>
        </w:trPr>
        <w:tc>
          <w:tcPr>
            <w:tcW w:w="4249" w:type="pct"/>
            <w:tcBorders>
              <w:top w:val="single" w:sz="4" w:space="0" w:color="auto"/>
            </w:tcBorders>
            <w:vAlign w:val="bottom"/>
            <w:hideMark/>
          </w:tcPr>
          <w:p w14:paraId="07332728" w14:textId="77777777" w:rsidR="00AB77A8" w:rsidRPr="00471CBA" w:rsidRDefault="00AB77A8" w:rsidP="002E7E1E">
            <w:pPr>
              <w:rPr>
                <w:color w:val="000000"/>
                <w:sz w:val="18"/>
                <w:szCs w:val="18"/>
              </w:rPr>
            </w:pPr>
          </w:p>
        </w:tc>
        <w:tc>
          <w:tcPr>
            <w:tcW w:w="751" w:type="pct"/>
            <w:tcBorders>
              <w:top w:val="single" w:sz="4" w:space="0" w:color="auto"/>
            </w:tcBorders>
            <w:vAlign w:val="center"/>
            <w:hideMark/>
          </w:tcPr>
          <w:p w14:paraId="5071CE9F" w14:textId="77777777" w:rsidR="00AB77A8" w:rsidRPr="00471CBA" w:rsidRDefault="00AB77A8" w:rsidP="002E7E1E">
            <w:pPr>
              <w:jc w:val="right"/>
              <w:rPr>
                <w:color w:val="000000"/>
                <w:sz w:val="18"/>
                <w:szCs w:val="18"/>
              </w:rPr>
            </w:pPr>
          </w:p>
        </w:tc>
      </w:tr>
      <w:tr w:rsidR="00AB77A8" w:rsidRPr="00471CBA" w14:paraId="75D4047B" w14:textId="77777777" w:rsidTr="002E7E1E">
        <w:trPr>
          <w:trHeight w:val="170"/>
        </w:trPr>
        <w:tc>
          <w:tcPr>
            <w:tcW w:w="4249" w:type="pct"/>
            <w:noWrap/>
            <w:vAlign w:val="bottom"/>
            <w:hideMark/>
          </w:tcPr>
          <w:p w14:paraId="49142270" w14:textId="77777777" w:rsidR="00AB77A8" w:rsidRPr="00471CBA" w:rsidRDefault="00AB77A8" w:rsidP="002E7E1E">
            <w:pPr>
              <w:rPr>
                <w:color w:val="000000"/>
                <w:sz w:val="18"/>
                <w:szCs w:val="18"/>
                <w:lang w:eastAsia="tr-TR"/>
              </w:rPr>
            </w:pPr>
            <w:r w:rsidRPr="00471CBA">
              <w:rPr>
                <w:color w:val="000000"/>
                <w:sz w:val="18"/>
                <w:szCs w:val="18"/>
              </w:rPr>
              <w:t>TFRS</w:t>
            </w:r>
            <w:r w:rsidRPr="00471CBA">
              <w:rPr>
                <w:color w:val="000000"/>
                <w:sz w:val="18"/>
                <w:szCs w:val="18"/>
                <w:lang w:eastAsia="tr-TR"/>
              </w:rPr>
              <w:t xml:space="preserve"> 16 Kiralama İşlemleri Amortismanı</w:t>
            </w:r>
          </w:p>
        </w:tc>
        <w:tc>
          <w:tcPr>
            <w:tcW w:w="751" w:type="pct"/>
            <w:vAlign w:val="center"/>
            <w:hideMark/>
          </w:tcPr>
          <w:p w14:paraId="2479F5B6" w14:textId="77777777" w:rsidR="00AB77A8" w:rsidRPr="00471CBA" w:rsidRDefault="00AB77A8" w:rsidP="002E7E1E">
            <w:pPr>
              <w:jc w:val="right"/>
              <w:rPr>
                <w:color w:val="000000"/>
                <w:sz w:val="18"/>
                <w:szCs w:val="18"/>
                <w:lang w:eastAsia="tr-TR"/>
              </w:rPr>
            </w:pPr>
            <w:r w:rsidRPr="00471CBA">
              <w:rPr>
                <w:color w:val="000000"/>
                <w:sz w:val="18"/>
                <w:szCs w:val="18"/>
              </w:rPr>
              <w:t>13.108</w:t>
            </w:r>
          </w:p>
        </w:tc>
      </w:tr>
      <w:tr w:rsidR="00AB77A8" w:rsidRPr="00471CBA" w14:paraId="1DBEFB14" w14:textId="77777777" w:rsidTr="002E7E1E">
        <w:trPr>
          <w:trHeight w:val="170"/>
        </w:trPr>
        <w:tc>
          <w:tcPr>
            <w:tcW w:w="4249" w:type="pct"/>
            <w:noWrap/>
            <w:vAlign w:val="bottom"/>
            <w:hideMark/>
          </w:tcPr>
          <w:p w14:paraId="61BCD9D1" w14:textId="77777777" w:rsidR="00AB77A8" w:rsidRPr="00471CBA" w:rsidRDefault="00AB77A8" w:rsidP="002E7E1E">
            <w:pPr>
              <w:rPr>
                <w:color w:val="000000"/>
                <w:sz w:val="18"/>
                <w:szCs w:val="18"/>
                <w:lang w:eastAsia="tr-TR"/>
              </w:rPr>
            </w:pPr>
            <w:r w:rsidRPr="00471CBA">
              <w:rPr>
                <w:color w:val="000000"/>
                <w:sz w:val="18"/>
                <w:szCs w:val="18"/>
              </w:rPr>
              <w:t>Türev</w:t>
            </w:r>
            <w:r w:rsidRPr="00471CBA">
              <w:rPr>
                <w:color w:val="000000"/>
                <w:sz w:val="18"/>
                <w:szCs w:val="18"/>
                <w:lang w:eastAsia="tr-TR"/>
              </w:rPr>
              <w:t xml:space="preserve"> Finansal Yükümlülükler</w:t>
            </w:r>
          </w:p>
        </w:tc>
        <w:tc>
          <w:tcPr>
            <w:tcW w:w="751" w:type="pct"/>
            <w:vAlign w:val="center"/>
            <w:hideMark/>
          </w:tcPr>
          <w:p w14:paraId="24FD1FF0" w14:textId="77777777" w:rsidR="00AB77A8" w:rsidRPr="00471CBA" w:rsidRDefault="00AB77A8" w:rsidP="002E7E1E">
            <w:pPr>
              <w:jc w:val="right"/>
              <w:rPr>
                <w:color w:val="000000"/>
                <w:sz w:val="18"/>
                <w:szCs w:val="18"/>
                <w:lang w:eastAsia="tr-TR"/>
              </w:rPr>
            </w:pPr>
            <w:r w:rsidRPr="00471CBA">
              <w:rPr>
                <w:sz w:val="18"/>
                <w:szCs w:val="18"/>
              </w:rPr>
              <w:t>26.144</w:t>
            </w:r>
          </w:p>
        </w:tc>
      </w:tr>
      <w:tr w:rsidR="00AB77A8" w:rsidRPr="00471CBA" w14:paraId="3E0EC437" w14:textId="77777777" w:rsidTr="002E7E1E">
        <w:trPr>
          <w:trHeight w:val="170"/>
        </w:trPr>
        <w:tc>
          <w:tcPr>
            <w:tcW w:w="4249" w:type="pct"/>
            <w:noWrap/>
            <w:vAlign w:val="bottom"/>
            <w:hideMark/>
          </w:tcPr>
          <w:p w14:paraId="42B2ED48" w14:textId="77777777" w:rsidR="00AB77A8" w:rsidRPr="00471CBA" w:rsidRDefault="00AB77A8" w:rsidP="002E7E1E">
            <w:pPr>
              <w:rPr>
                <w:color w:val="000000"/>
                <w:sz w:val="18"/>
                <w:szCs w:val="18"/>
                <w:lang w:eastAsia="tr-TR"/>
              </w:rPr>
            </w:pPr>
            <w:r w:rsidRPr="00471CBA">
              <w:rPr>
                <w:color w:val="000000"/>
                <w:sz w:val="18"/>
                <w:szCs w:val="18"/>
              </w:rPr>
              <w:t xml:space="preserve">Menkul </w:t>
            </w:r>
            <w:r w:rsidRPr="00471CBA">
              <w:rPr>
                <w:color w:val="000000"/>
                <w:sz w:val="18"/>
                <w:szCs w:val="18"/>
                <w:lang w:eastAsia="tr-TR"/>
              </w:rPr>
              <w:t>Değerler Değerleme Farkı</w:t>
            </w:r>
          </w:p>
        </w:tc>
        <w:tc>
          <w:tcPr>
            <w:tcW w:w="751" w:type="pct"/>
            <w:vAlign w:val="center"/>
            <w:hideMark/>
          </w:tcPr>
          <w:p w14:paraId="6545B3C7" w14:textId="77777777" w:rsidR="00AB77A8" w:rsidRPr="00471CBA" w:rsidRDefault="00AB77A8" w:rsidP="002E7E1E">
            <w:pPr>
              <w:jc w:val="right"/>
              <w:rPr>
                <w:color w:val="000000"/>
                <w:sz w:val="18"/>
                <w:szCs w:val="18"/>
              </w:rPr>
            </w:pPr>
            <w:r w:rsidRPr="00471CBA">
              <w:rPr>
                <w:color w:val="000000"/>
                <w:sz w:val="18"/>
                <w:szCs w:val="18"/>
              </w:rPr>
              <w:t>3.558</w:t>
            </w:r>
          </w:p>
        </w:tc>
      </w:tr>
      <w:tr w:rsidR="00AB77A8" w:rsidRPr="00471CBA" w14:paraId="3566B97F" w14:textId="77777777" w:rsidTr="002E7E1E">
        <w:trPr>
          <w:trHeight w:val="170"/>
        </w:trPr>
        <w:tc>
          <w:tcPr>
            <w:tcW w:w="4249" w:type="pct"/>
            <w:noWrap/>
            <w:vAlign w:val="bottom"/>
            <w:hideMark/>
          </w:tcPr>
          <w:p w14:paraId="578A5389" w14:textId="77777777" w:rsidR="00AB77A8" w:rsidRPr="00471CBA" w:rsidRDefault="00AB77A8" w:rsidP="002E7E1E">
            <w:pPr>
              <w:rPr>
                <w:color w:val="000000"/>
                <w:sz w:val="18"/>
                <w:szCs w:val="18"/>
                <w:lang w:eastAsia="tr-TR"/>
              </w:rPr>
            </w:pPr>
            <w:r w:rsidRPr="00471CBA">
              <w:rPr>
                <w:color w:val="000000"/>
                <w:sz w:val="18"/>
                <w:szCs w:val="18"/>
              </w:rPr>
              <w:t>Spot</w:t>
            </w:r>
            <w:r w:rsidRPr="00471CBA">
              <w:rPr>
                <w:color w:val="000000"/>
                <w:sz w:val="18"/>
                <w:szCs w:val="18"/>
                <w:lang w:eastAsia="tr-TR"/>
              </w:rPr>
              <w:t xml:space="preserve"> işlemler değerleme farkı</w:t>
            </w:r>
          </w:p>
        </w:tc>
        <w:tc>
          <w:tcPr>
            <w:tcW w:w="751" w:type="pct"/>
            <w:vAlign w:val="center"/>
            <w:hideMark/>
          </w:tcPr>
          <w:p w14:paraId="70B39BA3" w14:textId="77777777" w:rsidR="00AB77A8" w:rsidRPr="00471CBA" w:rsidRDefault="00AB77A8" w:rsidP="002E7E1E">
            <w:pPr>
              <w:jc w:val="right"/>
              <w:rPr>
                <w:color w:val="000000"/>
                <w:sz w:val="18"/>
                <w:szCs w:val="18"/>
                <w:lang w:eastAsia="tr-TR"/>
              </w:rPr>
            </w:pPr>
            <w:r w:rsidRPr="00471CBA">
              <w:rPr>
                <w:sz w:val="18"/>
                <w:szCs w:val="18"/>
              </w:rPr>
              <w:t>10.636</w:t>
            </w:r>
          </w:p>
        </w:tc>
      </w:tr>
      <w:tr w:rsidR="00AB77A8" w:rsidRPr="00471CBA" w14:paraId="73F349C7" w14:textId="77777777" w:rsidTr="002E7E1E">
        <w:trPr>
          <w:trHeight w:val="170"/>
        </w:trPr>
        <w:tc>
          <w:tcPr>
            <w:tcW w:w="4249" w:type="pct"/>
            <w:tcBorders>
              <w:bottom w:val="single" w:sz="4" w:space="0" w:color="auto"/>
            </w:tcBorders>
            <w:noWrap/>
            <w:vAlign w:val="bottom"/>
            <w:hideMark/>
          </w:tcPr>
          <w:p w14:paraId="40E70B96" w14:textId="77777777" w:rsidR="00AB77A8" w:rsidRPr="00471CBA" w:rsidRDefault="00AB77A8" w:rsidP="002E7E1E">
            <w:pPr>
              <w:rPr>
                <w:color w:val="000000"/>
                <w:sz w:val="18"/>
                <w:szCs w:val="18"/>
              </w:rPr>
            </w:pPr>
            <w:r w:rsidRPr="00471CBA">
              <w:rPr>
                <w:color w:val="000000"/>
                <w:sz w:val="18"/>
                <w:szCs w:val="18"/>
              </w:rPr>
              <w:t>Diğer</w:t>
            </w:r>
          </w:p>
        </w:tc>
        <w:tc>
          <w:tcPr>
            <w:tcW w:w="751" w:type="pct"/>
            <w:tcBorders>
              <w:bottom w:val="single" w:sz="4" w:space="0" w:color="auto"/>
            </w:tcBorders>
            <w:vAlign w:val="center"/>
            <w:hideMark/>
          </w:tcPr>
          <w:p w14:paraId="7AB45A25" w14:textId="77777777" w:rsidR="00AB77A8" w:rsidRPr="00471CBA" w:rsidRDefault="00AB77A8" w:rsidP="002E7E1E">
            <w:pPr>
              <w:jc w:val="right"/>
              <w:rPr>
                <w:color w:val="000000"/>
                <w:sz w:val="18"/>
                <w:szCs w:val="18"/>
              </w:rPr>
            </w:pPr>
            <w:r w:rsidRPr="00471CBA">
              <w:rPr>
                <w:color w:val="000000"/>
                <w:sz w:val="18"/>
                <w:szCs w:val="18"/>
              </w:rPr>
              <w:t>-</w:t>
            </w:r>
          </w:p>
        </w:tc>
      </w:tr>
      <w:tr w:rsidR="00AB77A8" w:rsidRPr="00471CBA" w14:paraId="31A9626F" w14:textId="77777777" w:rsidTr="002E7E1E">
        <w:trPr>
          <w:trHeight w:val="170"/>
        </w:trPr>
        <w:tc>
          <w:tcPr>
            <w:tcW w:w="4249" w:type="pct"/>
            <w:tcBorders>
              <w:top w:val="single" w:sz="4" w:space="0" w:color="auto"/>
            </w:tcBorders>
            <w:noWrap/>
            <w:vAlign w:val="bottom"/>
            <w:hideMark/>
          </w:tcPr>
          <w:p w14:paraId="57625FBC" w14:textId="77777777" w:rsidR="00AB77A8" w:rsidRPr="00471CBA" w:rsidRDefault="00AB77A8" w:rsidP="002E7E1E">
            <w:pPr>
              <w:rPr>
                <w:color w:val="000000"/>
                <w:sz w:val="18"/>
                <w:szCs w:val="18"/>
                <w:lang w:eastAsia="tr-TR"/>
              </w:rPr>
            </w:pPr>
          </w:p>
        </w:tc>
        <w:tc>
          <w:tcPr>
            <w:tcW w:w="751" w:type="pct"/>
            <w:tcBorders>
              <w:top w:val="single" w:sz="4" w:space="0" w:color="auto"/>
            </w:tcBorders>
            <w:noWrap/>
            <w:vAlign w:val="center"/>
            <w:hideMark/>
          </w:tcPr>
          <w:p w14:paraId="73FFA6A8" w14:textId="77777777" w:rsidR="00AB77A8" w:rsidRPr="00471CBA" w:rsidRDefault="00AB77A8" w:rsidP="002E7E1E">
            <w:pPr>
              <w:jc w:val="right"/>
              <w:rPr>
                <w:sz w:val="18"/>
                <w:szCs w:val="18"/>
                <w:lang w:eastAsia="tr-TR"/>
              </w:rPr>
            </w:pPr>
          </w:p>
        </w:tc>
      </w:tr>
      <w:tr w:rsidR="00AB77A8" w:rsidRPr="00471CBA" w14:paraId="558BD0A8" w14:textId="77777777" w:rsidTr="002E7E1E">
        <w:trPr>
          <w:trHeight w:val="170"/>
        </w:trPr>
        <w:tc>
          <w:tcPr>
            <w:tcW w:w="4249" w:type="pct"/>
            <w:tcBorders>
              <w:bottom w:val="single" w:sz="4" w:space="0" w:color="auto"/>
            </w:tcBorders>
            <w:noWrap/>
            <w:vAlign w:val="bottom"/>
            <w:hideMark/>
          </w:tcPr>
          <w:p w14:paraId="4A320946" w14:textId="77777777" w:rsidR="00AB77A8" w:rsidRPr="00471CBA" w:rsidRDefault="00AB77A8" w:rsidP="002E7E1E">
            <w:pPr>
              <w:rPr>
                <w:b/>
                <w:bCs/>
                <w:color w:val="000000"/>
                <w:sz w:val="18"/>
                <w:szCs w:val="18"/>
                <w:lang w:eastAsia="tr-TR"/>
              </w:rPr>
            </w:pPr>
            <w:r w:rsidRPr="00471CBA">
              <w:rPr>
                <w:b/>
                <w:bCs/>
                <w:color w:val="000000"/>
                <w:sz w:val="18"/>
                <w:szCs w:val="18"/>
                <w:lang w:eastAsia="tr-TR"/>
              </w:rPr>
              <w:t>Ertelenmiş Vergi Yükümlülüğü</w:t>
            </w:r>
          </w:p>
        </w:tc>
        <w:tc>
          <w:tcPr>
            <w:tcW w:w="751" w:type="pct"/>
            <w:tcBorders>
              <w:bottom w:val="single" w:sz="4" w:space="0" w:color="auto"/>
            </w:tcBorders>
            <w:vAlign w:val="center"/>
            <w:hideMark/>
          </w:tcPr>
          <w:p w14:paraId="7C9AB12C" w14:textId="77777777" w:rsidR="00AB77A8" w:rsidRPr="00471CBA" w:rsidRDefault="00AB77A8" w:rsidP="002E7E1E">
            <w:pPr>
              <w:jc w:val="right"/>
              <w:rPr>
                <w:b/>
                <w:bCs/>
                <w:color w:val="000000"/>
                <w:sz w:val="18"/>
                <w:szCs w:val="18"/>
                <w:lang w:eastAsia="tr-TR"/>
              </w:rPr>
            </w:pPr>
            <w:r w:rsidRPr="00471CBA">
              <w:rPr>
                <w:b/>
                <w:bCs/>
                <w:color w:val="000000"/>
                <w:sz w:val="18"/>
                <w:szCs w:val="18"/>
                <w:lang w:eastAsia="tr-TR"/>
              </w:rPr>
              <w:t>53.446</w:t>
            </w:r>
          </w:p>
        </w:tc>
      </w:tr>
      <w:tr w:rsidR="00AB77A8" w:rsidRPr="00471CBA" w14:paraId="5A1EC7DE" w14:textId="77777777" w:rsidTr="002E7E1E">
        <w:trPr>
          <w:trHeight w:val="170"/>
        </w:trPr>
        <w:tc>
          <w:tcPr>
            <w:tcW w:w="4249" w:type="pct"/>
            <w:tcBorders>
              <w:top w:val="single" w:sz="4" w:space="0" w:color="auto"/>
            </w:tcBorders>
            <w:vAlign w:val="bottom"/>
            <w:hideMark/>
          </w:tcPr>
          <w:p w14:paraId="6FD0979E" w14:textId="77777777" w:rsidR="00AB77A8" w:rsidRPr="00471CBA" w:rsidRDefault="00AB77A8" w:rsidP="002E7E1E">
            <w:pPr>
              <w:rPr>
                <w:color w:val="000000"/>
                <w:sz w:val="18"/>
                <w:szCs w:val="18"/>
                <w:lang w:eastAsia="tr-TR"/>
              </w:rPr>
            </w:pPr>
          </w:p>
        </w:tc>
        <w:tc>
          <w:tcPr>
            <w:tcW w:w="751" w:type="pct"/>
            <w:tcBorders>
              <w:top w:val="single" w:sz="4" w:space="0" w:color="auto"/>
            </w:tcBorders>
            <w:vAlign w:val="center"/>
            <w:hideMark/>
          </w:tcPr>
          <w:p w14:paraId="30557964" w14:textId="77777777" w:rsidR="00AB77A8" w:rsidRPr="00471CBA" w:rsidRDefault="00AB77A8" w:rsidP="002E7E1E">
            <w:pPr>
              <w:jc w:val="right"/>
              <w:rPr>
                <w:color w:val="000000"/>
                <w:sz w:val="18"/>
                <w:szCs w:val="18"/>
                <w:lang w:eastAsia="tr-TR"/>
              </w:rPr>
            </w:pPr>
          </w:p>
        </w:tc>
      </w:tr>
      <w:tr w:rsidR="00AB77A8" w:rsidRPr="00471CBA" w14:paraId="0ED40286" w14:textId="77777777" w:rsidTr="002E7E1E">
        <w:trPr>
          <w:trHeight w:val="170"/>
        </w:trPr>
        <w:tc>
          <w:tcPr>
            <w:tcW w:w="4249" w:type="pct"/>
            <w:tcBorders>
              <w:bottom w:val="single" w:sz="4" w:space="0" w:color="auto"/>
            </w:tcBorders>
            <w:noWrap/>
            <w:vAlign w:val="bottom"/>
            <w:hideMark/>
          </w:tcPr>
          <w:p w14:paraId="69E687FB" w14:textId="77777777" w:rsidR="00AB77A8" w:rsidRPr="00471CBA" w:rsidRDefault="00AB77A8" w:rsidP="002E7E1E">
            <w:pPr>
              <w:rPr>
                <w:b/>
                <w:bCs/>
                <w:color w:val="000000"/>
                <w:sz w:val="18"/>
                <w:szCs w:val="18"/>
                <w:lang w:eastAsia="tr-TR"/>
              </w:rPr>
            </w:pPr>
            <w:r w:rsidRPr="00471CBA">
              <w:rPr>
                <w:b/>
                <w:bCs/>
                <w:color w:val="000000"/>
                <w:sz w:val="18"/>
                <w:szCs w:val="18"/>
                <w:lang w:eastAsia="tr-TR"/>
              </w:rPr>
              <w:t>Ertelenmiş Vergi Varlığı (Net)</w:t>
            </w:r>
          </w:p>
        </w:tc>
        <w:tc>
          <w:tcPr>
            <w:tcW w:w="751" w:type="pct"/>
            <w:tcBorders>
              <w:bottom w:val="single" w:sz="4" w:space="0" w:color="auto"/>
            </w:tcBorders>
            <w:vAlign w:val="center"/>
            <w:hideMark/>
          </w:tcPr>
          <w:p w14:paraId="4BFB9D72" w14:textId="77777777" w:rsidR="00AB77A8" w:rsidRPr="00471CBA" w:rsidRDefault="00AB77A8" w:rsidP="002E7E1E">
            <w:pPr>
              <w:jc w:val="right"/>
              <w:rPr>
                <w:b/>
                <w:bCs/>
                <w:color w:val="000000"/>
                <w:sz w:val="18"/>
                <w:szCs w:val="18"/>
                <w:lang w:eastAsia="tr-TR"/>
              </w:rPr>
            </w:pPr>
            <w:r w:rsidRPr="00471CBA">
              <w:rPr>
                <w:b/>
                <w:bCs/>
                <w:sz w:val="18"/>
                <w:szCs w:val="18"/>
                <w:lang w:eastAsia="tr-TR"/>
              </w:rPr>
              <w:t>77.838</w:t>
            </w:r>
          </w:p>
        </w:tc>
      </w:tr>
    </w:tbl>
    <w:p w14:paraId="250F8440" w14:textId="5F51441E" w:rsidR="00AB77A8" w:rsidRDefault="00AB77A8" w:rsidP="004A7BCB">
      <w:pPr>
        <w:pStyle w:val="xl79"/>
        <w:widowControl w:val="0"/>
        <w:pBdr>
          <w:left w:val="none" w:sz="0" w:space="0" w:color="auto"/>
          <w:bottom w:val="none" w:sz="0" w:space="0" w:color="auto"/>
          <w:right w:val="none" w:sz="0" w:space="0" w:color="auto"/>
        </w:pBdr>
        <w:tabs>
          <w:tab w:val="left" w:pos="-1800"/>
        </w:tabs>
        <w:spacing w:before="0" w:beforeAutospacing="0" w:after="0" w:afterAutospacing="0"/>
        <w:ind w:left="851"/>
        <w:jc w:val="both"/>
        <w:rPr>
          <w:b/>
          <w:noProof w:val="0"/>
          <w:sz w:val="20"/>
          <w:szCs w:val="20"/>
        </w:rPr>
      </w:pPr>
    </w:p>
    <w:p w14:paraId="2958699E" w14:textId="404FB33A" w:rsidR="006744EE" w:rsidRPr="00471CBA" w:rsidRDefault="006744EE" w:rsidP="008459A9">
      <w:pPr>
        <w:pStyle w:val="xl79"/>
        <w:widowControl w:val="0"/>
        <w:numPr>
          <w:ilvl w:val="0"/>
          <w:numId w:val="99"/>
        </w:numPr>
        <w:pBdr>
          <w:left w:val="none" w:sz="0" w:space="0" w:color="auto"/>
          <w:bottom w:val="none" w:sz="0" w:space="0" w:color="auto"/>
          <w:right w:val="none" w:sz="0" w:space="0" w:color="auto"/>
        </w:pBdr>
        <w:tabs>
          <w:tab w:val="left" w:pos="-1800"/>
        </w:tabs>
        <w:spacing w:before="0" w:beforeAutospacing="0" w:after="0" w:afterAutospacing="0"/>
        <w:ind w:left="851" w:hanging="851"/>
        <w:jc w:val="both"/>
        <w:rPr>
          <w:b/>
          <w:noProof w:val="0"/>
          <w:sz w:val="20"/>
          <w:szCs w:val="20"/>
        </w:rPr>
      </w:pPr>
      <w:r w:rsidRPr="00471CBA">
        <w:rPr>
          <w:b/>
          <w:noProof w:val="0"/>
          <w:sz w:val="20"/>
          <w:szCs w:val="20"/>
        </w:rPr>
        <w:t>Satış amaçlı elde tutulan ve durdurulan faaliyetlere ilişkin duran varlık borçları hakkında bilgiler:</w:t>
      </w:r>
    </w:p>
    <w:p w14:paraId="6B9E2B6A" w14:textId="77777777" w:rsidR="004A7BCB" w:rsidRPr="00471CBA" w:rsidRDefault="004A7BCB" w:rsidP="004A7BCB">
      <w:pPr>
        <w:pStyle w:val="xl79"/>
        <w:widowControl w:val="0"/>
        <w:pBdr>
          <w:left w:val="none" w:sz="0" w:space="0" w:color="auto"/>
          <w:bottom w:val="none" w:sz="0" w:space="0" w:color="auto"/>
          <w:right w:val="none" w:sz="0" w:space="0" w:color="auto"/>
        </w:pBdr>
        <w:tabs>
          <w:tab w:val="left" w:pos="-1800"/>
        </w:tabs>
        <w:spacing w:before="0" w:beforeAutospacing="0" w:after="0" w:afterAutospacing="0"/>
        <w:ind w:left="851"/>
        <w:jc w:val="both"/>
        <w:rPr>
          <w:b/>
          <w:noProof w:val="0"/>
          <w:sz w:val="20"/>
          <w:szCs w:val="20"/>
        </w:rPr>
      </w:pPr>
    </w:p>
    <w:p w14:paraId="126182A7" w14:textId="34A47A1B" w:rsidR="009E15BF" w:rsidRPr="00471CBA" w:rsidRDefault="00107BF3" w:rsidP="004A7BCB">
      <w:pPr>
        <w:widowControl w:val="0"/>
        <w:autoSpaceDE w:val="0"/>
        <w:autoSpaceDN w:val="0"/>
        <w:adjustRightInd w:val="0"/>
        <w:ind w:left="851"/>
        <w:jc w:val="both"/>
        <w:rPr>
          <w:szCs w:val="20"/>
        </w:rPr>
      </w:pPr>
      <w:r w:rsidRPr="00471CBA">
        <w:rPr>
          <w:szCs w:val="20"/>
        </w:rPr>
        <w:t>Bulunmamaktadır (</w:t>
      </w:r>
      <w:r w:rsidR="00EB1812" w:rsidRPr="00471CBA">
        <w:rPr>
          <w:szCs w:val="20"/>
        </w:rPr>
        <w:t>31 Aralık 2024</w:t>
      </w:r>
      <w:r w:rsidRPr="00471CBA">
        <w:rPr>
          <w:szCs w:val="20"/>
        </w:rPr>
        <w:t>: Bulunmamaktadır).</w:t>
      </w:r>
    </w:p>
    <w:p w14:paraId="71431692" w14:textId="75296F5E" w:rsidR="001F7F98" w:rsidRPr="00471CBA" w:rsidRDefault="001F7F98" w:rsidP="004A7BCB">
      <w:pPr>
        <w:widowControl w:val="0"/>
        <w:autoSpaceDE w:val="0"/>
        <w:autoSpaceDN w:val="0"/>
        <w:adjustRightInd w:val="0"/>
        <w:ind w:left="851"/>
        <w:jc w:val="both"/>
        <w:rPr>
          <w:szCs w:val="20"/>
        </w:rPr>
      </w:pPr>
      <w:r w:rsidRPr="00471CBA">
        <w:rPr>
          <w:szCs w:val="20"/>
        </w:rPr>
        <w:br w:type="page"/>
      </w:r>
    </w:p>
    <w:p w14:paraId="1C6FA1F8" w14:textId="77777777" w:rsidR="001F7F98" w:rsidRPr="00471CBA" w:rsidRDefault="001F7F98" w:rsidP="0048490E">
      <w:pPr>
        <w:widowControl w:val="0"/>
        <w:spacing w:after="120" w:line="235" w:lineRule="auto"/>
        <w:ind w:left="720" w:hanging="720"/>
        <w:jc w:val="both"/>
        <w:rPr>
          <w:b/>
          <w:szCs w:val="20"/>
        </w:rPr>
      </w:pPr>
      <w:r w:rsidRPr="00471CBA">
        <w:rPr>
          <w:b/>
          <w:szCs w:val="20"/>
        </w:rPr>
        <w:t>KONSOLİDE OLMAYAN FİNANSAL TABLOLARA İLİŞKİN AÇIKLAMA VE DİPNOTLAR (Devamı)</w:t>
      </w:r>
    </w:p>
    <w:p w14:paraId="41CF4AD9" w14:textId="77777777" w:rsidR="001F7F98" w:rsidRPr="00471CBA" w:rsidRDefault="001F7F98" w:rsidP="0048490E">
      <w:pPr>
        <w:widowControl w:val="0"/>
        <w:spacing w:after="120" w:line="235" w:lineRule="auto"/>
        <w:ind w:left="851" w:hanging="851"/>
        <w:jc w:val="both"/>
        <w:rPr>
          <w:b/>
          <w:szCs w:val="20"/>
        </w:rPr>
      </w:pPr>
      <w:r w:rsidRPr="00471CBA">
        <w:rPr>
          <w:b/>
          <w:szCs w:val="20"/>
        </w:rPr>
        <w:t>II.</w:t>
      </w:r>
      <w:r w:rsidRPr="00471CBA">
        <w:rPr>
          <w:b/>
          <w:szCs w:val="20"/>
        </w:rPr>
        <w:tab/>
        <w:t>BİLANÇONUN PASİF HESAPLARINA İLİŞKİN AÇIKLAMA VE DİPNOTLAR (Devamı)</w:t>
      </w:r>
    </w:p>
    <w:p w14:paraId="3D917063" w14:textId="68AF3B17" w:rsidR="006744EE" w:rsidRPr="00471CBA" w:rsidRDefault="009E15BF" w:rsidP="008459A9">
      <w:pPr>
        <w:pStyle w:val="xl79"/>
        <w:widowControl w:val="0"/>
        <w:numPr>
          <w:ilvl w:val="0"/>
          <w:numId w:val="99"/>
        </w:numPr>
        <w:pBdr>
          <w:left w:val="none" w:sz="0" w:space="0" w:color="auto"/>
          <w:bottom w:val="none" w:sz="0" w:space="0" w:color="auto"/>
          <w:right w:val="none" w:sz="0" w:space="0" w:color="auto"/>
        </w:pBdr>
        <w:tabs>
          <w:tab w:val="left" w:pos="-1800"/>
        </w:tabs>
        <w:spacing w:before="0" w:beforeAutospacing="0" w:after="120" w:afterAutospacing="0"/>
        <w:ind w:left="851" w:hanging="851"/>
        <w:jc w:val="both"/>
        <w:rPr>
          <w:b/>
          <w:noProof w:val="0"/>
          <w:sz w:val="20"/>
          <w:szCs w:val="20"/>
        </w:rPr>
      </w:pPr>
      <w:r w:rsidRPr="00471CBA">
        <w:rPr>
          <w:b/>
          <w:noProof w:val="0"/>
          <w:sz w:val="20"/>
          <w:szCs w:val="20"/>
        </w:rPr>
        <w:t xml:space="preserve">Banka’nın sermaye benzeri borçlanma araçlarının sayısı, vadesi, </w:t>
      </w:r>
      <w:r w:rsidR="00C47568" w:rsidRPr="00471CBA">
        <w:rPr>
          <w:b/>
          <w:noProof w:val="0"/>
          <w:sz w:val="20"/>
          <w:szCs w:val="20"/>
        </w:rPr>
        <w:t>kâr</w:t>
      </w:r>
      <w:r w:rsidRPr="00471CBA">
        <w:rPr>
          <w:b/>
          <w:noProof w:val="0"/>
          <w:sz w:val="20"/>
          <w:szCs w:val="20"/>
        </w:rPr>
        <w:t xml:space="preserve"> payı oranı; borçlanma aracının alacaklısı olan kuruluş ve varsa, hisse senedine dönüştürme opsiyonuna ilişkin detaylı açıklamalar:</w:t>
      </w:r>
    </w:p>
    <w:p w14:paraId="2D4108B5" w14:textId="3C9F8183" w:rsidR="00CB4601" w:rsidRPr="00471CBA" w:rsidRDefault="00A67FD6" w:rsidP="00CB4601">
      <w:pPr>
        <w:pStyle w:val="xl79"/>
        <w:widowControl w:val="0"/>
        <w:pBdr>
          <w:left w:val="none" w:sz="0" w:space="0" w:color="auto"/>
          <w:bottom w:val="none" w:sz="0" w:space="0" w:color="auto"/>
          <w:right w:val="none" w:sz="0" w:space="0" w:color="auto"/>
        </w:pBdr>
        <w:tabs>
          <w:tab w:val="left" w:pos="-1800"/>
        </w:tabs>
        <w:spacing w:before="0" w:beforeAutospacing="0" w:after="0" w:afterAutospacing="0"/>
        <w:ind w:left="851"/>
        <w:jc w:val="both"/>
        <w:rPr>
          <w:bCs/>
          <w:noProof w:val="0"/>
        </w:rPr>
      </w:pPr>
      <w:bookmarkStart w:id="133" w:name="_Hlk221782230"/>
      <w:r w:rsidRPr="00471CBA">
        <w:rPr>
          <w:b/>
          <w:noProof w:val="0"/>
          <w:sz w:val="20"/>
          <w:szCs w:val="20"/>
        </w:rPr>
        <w:t>Sermaye benzeri kredilere ilişkin bilgiler:</w:t>
      </w:r>
      <w:r w:rsidR="00CB4601" w:rsidRPr="00471CBA">
        <w:rPr>
          <w:bCs/>
          <w:noProof w:val="0"/>
        </w:rPr>
        <w:t xml:space="preserve"> </w:t>
      </w:r>
    </w:p>
    <w:p w14:paraId="375530B4" w14:textId="48C0AD14" w:rsidR="009E15BF" w:rsidRPr="00471CBA" w:rsidRDefault="009E15BF" w:rsidP="001F7F98">
      <w:pPr>
        <w:pStyle w:val="xl79"/>
        <w:widowControl w:val="0"/>
        <w:pBdr>
          <w:left w:val="none" w:sz="0" w:space="0" w:color="auto"/>
          <w:bottom w:val="none" w:sz="0" w:space="0" w:color="auto"/>
          <w:right w:val="none" w:sz="0" w:space="0" w:color="auto"/>
        </w:pBdr>
        <w:tabs>
          <w:tab w:val="left" w:pos="-1800"/>
        </w:tabs>
        <w:spacing w:before="0" w:beforeAutospacing="0" w:after="0" w:afterAutospacing="0"/>
        <w:ind w:left="1276" w:hanging="425"/>
        <w:jc w:val="both"/>
        <w:rPr>
          <w:b/>
          <w:noProof w:val="0"/>
          <w:sz w:val="20"/>
          <w:szCs w:val="20"/>
        </w:rPr>
      </w:pPr>
    </w:p>
    <w:p w14:paraId="22BCA9F1" w14:textId="678331C3" w:rsidR="00CB4601" w:rsidRPr="00471CBA" w:rsidRDefault="00CB4601" w:rsidP="001F7F98">
      <w:pPr>
        <w:pStyle w:val="xl79"/>
        <w:widowControl w:val="0"/>
        <w:pBdr>
          <w:left w:val="none" w:sz="0" w:space="0" w:color="auto"/>
          <w:bottom w:val="none" w:sz="0" w:space="0" w:color="auto"/>
          <w:right w:val="none" w:sz="0" w:space="0" w:color="auto"/>
        </w:pBdr>
        <w:tabs>
          <w:tab w:val="left" w:pos="-1800"/>
        </w:tabs>
        <w:spacing w:before="0" w:beforeAutospacing="0" w:after="0" w:afterAutospacing="0"/>
        <w:ind w:left="1276" w:hanging="425"/>
        <w:jc w:val="both"/>
        <w:rPr>
          <w:bCs/>
          <w:noProof w:val="0"/>
          <w:sz w:val="20"/>
          <w:szCs w:val="20"/>
        </w:rPr>
      </w:pPr>
      <w:bookmarkStart w:id="134" w:name="_Hlk222835735"/>
      <w:r w:rsidRPr="00471CBA">
        <w:rPr>
          <w:bCs/>
          <w:noProof w:val="0"/>
          <w:sz w:val="20"/>
          <w:szCs w:val="20"/>
        </w:rPr>
        <w:t>Bulunmamaktadır (31 Aralık 2024: Bulunmamaktadır).</w:t>
      </w:r>
    </w:p>
    <w:bookmarkEnd w:id="134"/>
    <w:p w14:paraId="6E6EE085" w14:textId="77777777" w:rsidR="00CB4601" w:rsidRPr="00471CBA" w:rsidRDefault="00CB4601" w:rsidP="001F7F98">
      <w:pPr>
        <w:pStyle w:val="xl79"/>
        <w:widowControl w:val="0"/>
        <w:pBdr>
          <w:left w:val="none" w:sz="0" w:space="0" w:color="auto"/>
          <w:bottom w:val="none" w:sz="0" w:space="0" w:color="auto"/>
          <w:right w:val="none" w:sz="0" w:space="0" w:color="auto"/>
        </w:pBdr>
        <w:tabs>
          <w:tab w:val="left" w:pos="-1800"/>
        </w:tabs>
        <w:spacing w:before="0" w:beforeAutospacing="0" w:after="0" w:afterAutospacing="0"/>
        <w:ind w:left="1276" w:hanging="425"/>
        <w:jc w:val="both"/>
        <w:rPr>
          <w:b/>
          <w:noProof w:val="0"/>
          <w:sz w:val="20"/>
          <w:szCs w:val="20"/>
        </w:rPr>
      </w:pPr>
    </w:p>
    <w:bookmarkEnd w:id="133"/>
    <w:p w14:paraId="37FAB95E" w14:textId="1542FFFF" w:rsidR="009E15BF" w:rsidRPr="00471CBA" w:rsidRDefault="009E15BF" w:rsidP="008459A9">
      <w:pPr>
        <w:pStyle w:val="xl79"/>
        <w:widowControl w:val="0"/>
        <w:numPr>
          <w:ilvl w:val="0"/>
          <w:numId w:val="99"/>
        </w:numPr>
        <w:pBdr>
          <w:left w:val="none" w:sz="0" w:space="0" w:color="auto"/>
          <w:bottom w:val="none" w:sz="0" w:space="0" w:color="auto"/>
          <w:right w:val="none" w:sz="0" w:space="0" w:color="auto"/>
        </w:pBdr>
        <w:tabs>
          <w:tab w:val="left" w:pos="-1800"/>
        </w:tabs>
        <w:spacing w:before="0" w:beforeAutospacing="0" w:after="120" w:afterAutospacing="0"/>
        <w:ind w:left="851" w:hanging="851"/>
        <w:jc w:val="both"/>
        <w:rPr>
          <w:b/>
          <w:noProof w:val="0"/>
          <w:sz w:val="20"/>
          <w:szCs w:val="20"/>
        </w:rPr>
      </w:pPr>
      <w:r w:rsidRPr="00471CBA">
        <w:rPr>
          <w:b/>
          <w:noProof w:val="0"/>
          <w:sz w:val="20"/>
          <w:szCs w:val="20"/>
        </w:rPr>
        <w:t>Bilançonun diğer yükümlülükler kalemi, bilanço toplamının %10’unu aşıyorsa, bunların en az %20’sini oluşturan alt hesapların isim ve tutarlarına ilişkin bilgiler:</w:t>
      </w:r>
    </w:p>
    <w:p w14:paraId="28156006" w14:textId="5A28EE02" w:rsidR="00D83E6D" w:rsidRPr="00471CBA" w:rsidRDefault="006744EE" w:rsidP="004A7BCB">
      <w:pPr>
        <w:pStyle w:val="BodybyBD"/>
        <w:keepLines w:val="0"/>
        <w:widowControl w:val="0"/>
        <w:spacing w:before="0" w:after="0" w:line="240" w:lineRule="auto"/>
        <w:ind w:left="851"/>
        <w:rPr>
          <w:sz w:val="20"/>
        </w:rPr>
      </w:pPr>
      <w:r w:rsidRPr="00471CBA">
        <w:rPr>
          <w:sz w:val="20"/>
        </w:rPr>
        <w:t xml:space="preserve">Bilançonun diğer </w:t>
      </w:r>
      <w:r w:rsidR="00025E54" w:rsidRPr="00471CBA">
        <w:rPr>
          <w:sz w:val="20"/>
        </w:rPr>
        <w:t>yükümlülükler</w:t>
      </w:r>
      <w:r w:rsidRPr="00471CBA">
        <w:rPr>
          <w:sz w:val="20"/>
        </w:rPr>
        <w:t xml:space="preserve"> kalemi, bilanço toplamının %10’unu aşmamaktadır.</w:t>
      </w:r>
    </w:p>
    <w:p w14:paraId="7138A093" w14:textId="77777777" w:rsidR="006744EE" w:rsidRPr="00471CBA" w:rsidRDefault="006744EE">
      <w:pPr>
        <w:rPr>
          <w:b/>
          <w:szCs w:val="20"/>
        </w:rPr>
      </w:pPr>
    </w:p>
    <w:p w14:paraId="2DA103A5" w14:textId="77777777" w:rsidR="006744EE" w:rsidRPr="00471CBA" w:rsidRDefault="006744EE" w:rsidP="008459A9">
      <w:pPr>
        <w:pStyle w:val="xl79"/>
        <w:widowControl w:val="0"/>
        <w:numPr>
          <w:ilvl w:val="0"/>
          <w:numId w:val="99"/>
        </w:numPr>
        <w:pBdr>
          <w:left w:val="none" w:sz="0" w:space="0" w:color="auto"/>
          <w:bottom w:val="none" w:sz="0" w:space="0" w:color="auto"/>
          <w:right w:val="none" w:sz="0" w:space="0" w:color="auto"/>
        </w:pBdr>
        <w:tabs>
          <w:tab w:val="left" w:pos="-1800"/>
        </w:tabs>
        <w:spacing w:before="0" w:beforeAutospacing="0" w:after="120" w:afterAutospacing="0"/>
        <w:ind w:left="851" w:hanging="851"/>
        <w:jc w:val="both"/>
        <w:rPr>
          <w:b/>
          <w:noProof w:val="0"/>
          <w:sz w:val="20"/>
          <w:szCs w:val="20"/>
        </w:rPr>
      </w:pPr>
      <w:r w:rsidRPr="00471CBA">
        <w:rPr>
          <w:b/>
          <w:noProof w:val="0"/>
          <w:sz w:val="20"/>
          <w:szCs w:val="20"/>
        </w:rPr>
        <w:t>Özkaynaklara ilişkin bilgiler:</w:t>
      </w:r>
    </w:p>
    <w:p w14:paraId="7A3FF818" w14:textId="77777777" w:rsidR="006744EE" w:rsidRPr="00471CBA" w:rsidRDefault="006744EE" w:rsidP="00AA0BC7">
      <w:pPr>
        <w:widowControl w:val="0"/>
        <w:numPr>
          <w:ilvl w:val="0"/>
          <w:numId w:val="7"/>
        </w:numPr>
        <w:tabs>
          <w:tab w:val="clear" w:pos="547"/>
        </w:tabs>
        <w:ind w:left="851" w:hanging="425"/>
        <w:jc w:val="both"/>
        <w:rPr>
          <w:b/>
          <w:szCs w:val="20"/>
        </w:rPr>
      </w:pPr>
      <w:r w:rsidRPr="00471CBA">
        <w:rPr>
          <w:b/>
          <w:szCs w:val="20"/>
        </w:rPr>
        <w:t>Ödenmiş sermayenin gösterimi:</w:t>
      </w:r>
    </w:p>
    <w:p w14:paraId="031DA7DC" w14:textId="77777777" w:rsidR="006744EE" w:rsidRPr="00471CBA" w:rsidRDefault="006744EE" w:rsidP="006744EE">
      <w:pPr>
        <w:widowControl w:val="0"/>
        <w:jc w:val="both"/>
        <w:rPr>
          <w:b/>
          <w:szCs w:val="20"/>
        </w:rPr>
      </w:pPr>
    </w:p>
    <w:tbl>
      <w:tblPr>
        <w:tblW w:w="5000" w:type="pct"/>
        <w:tblCellMar>
          <w:left w:w="0" w:type="dxa"/>
          <w:right w:w="0" w:type="dxa"/>
        </w:tblCellMar>
        <w:tblLook w:val="0000" w:firstRow="0" w:lastRow="0" w:firstColumn="0" w:lastColumn="0" w:noHBand="0" w:noVBand="0"/>
      </w:tblPr>
      <w:tblGrid>
        <w:gridCol w:w="6131"/>
        <w:gridCol w:w="3224"/>
      </w:tblGrid>
      <w:tr w:rsidR="00DA230C" w:rsidRPr="00471CBA" w14:paraId="47F91275" w14:textId="34C8429E" w:rsidTr="00DA230C">
        <w:trPr>
          <w:trHeight w:val="71"/>
        </w:trPr>
        <w:tc>
          <w:tcPr>
            <w:tcW w:w="3277" w:type="pct"/>
            <w:shd w:val="clear" w:color="auto" w:fill="FFFFFF"/>
            <w:vAlign w:val="bottom"/>
          </w:tcPr>
          <w:p w14:paraId="23BD4F35" w14:textId="77777777" w:rsidR="00DA230C" w:rsidRPr="00471CBA" w:rsidRDefault="00DA230C" w:rsidP="00212034">
            <w:pPr>
              <w:widowControl w:val="0"/>
              <w:jc w:val="both"/>
              <w:rPr>
                <w:rFonts w:eastAsia="Arial Unicode MS"/>
                <w:szCs w:val="20"/>
              </w:rPr>
            </w:pPr>
            <w:r w:rsidRPr="00471CBA">
              <w:rPr>
                <w:szCs w:val="20"/>
              </w:rPr>
              <w:t> </w:t>
            </w:r>
          </w:p>
        </w:tc>
        <w:tc>
          <w:tcPr>
            <w:tcW w:w="1723" w:type="pct"/>
            <w:tcBorders>
              <w:bottom w:val="single" w:sz="4" w:space="0" w:color="auto"/>
            </w:tcBorders>
            <w:shd w:val="clear" w:color="auto" w:fill="FFFFFF"/>
            <w:vAlign w:val="bottom"/>
          </w:tcPr>
          <w:p w14:paraId="30946525" w14:textId="65CC28FF" w:rsidR="00DA230C" w:rsidRPr="00471CBA" w:rsidRDefault="0075691A" w:rsidP="009E4880">
            <w:pPr>
              <w:widowControl w:val="0"/>
              <w:ind w:left="180" w:right="83"/>
              <w:jc w:val="right"/>
              <w:rPr>
                <w:b/>
                <w:szCs w:val="20"/>
              </w:rPr>
            </w:pPr>
            <w:r w:rsidRPr="00471CBA">
              <w:rPr>
                <w:b/>
                <w:szCs w:val="20"/>
              </w:rPr>
              <w:t xml:space="preserve">31 Aralık </w:t>
            </w:r>
            <w:r w:rsidR="00DA230C" w:rsidRPr="00471CBA">
              <w:rPr>
                <w:b/>
                <w:szCs w:val="20"/>
              </w:rPr>
              <w:t>2025</w:t>
            </w:r>
          </w:p>
        </w:tc>
      </w:tr>
      <w:tr w:rsidR="00DA230C" w:rsidRPr="00471CBA" w14:paraId="6C96F0AA" w14:textId="6C188A4B" w:rsidTr="00DA230C">
        <w:trPr>
          <w:trHeight w:val="71"/>
        </w:trPr>
        <w:tc>
          <w:tcPr>
            <w:tcW w:w="3277" w:type="pct"/>
            <w:shd w:val="clear" w:color="auto" w:fill="FFFFFF"/>
            <w:vAlign w:val="bottom"/>
          </w:tcPr>
          <w:p w14:paraId="3946006D" w14:textId="77777777" w:rsidR="00DA230C" w:rsidRPr="00471CBA" w:rsidRDefault="00DA230C" w:rsidP="00212034">
            <w:pPr>
              <w:widowControl w:val="0"/>
              <w:jc w:val="both"/>
              <w:rPr>
                <w:szCs w:val="20"/>
              </w:rPr>
            </w:pPr>
          </w:p>
        </w:tc>
        <w:tc>
          <w:tcPr>
            <w:tcW w:w="1723" w:type="pct"/>
            <w:tcBorders>
              <w:top w:val="single" w:sz="4" w:space="0" w:color="auto"/>
            </w:tcBorders>
            <w:vAlign w:val="bottom"/>
          </w:tcPr>
          <w:p w14:paraId="4D8B1AFB" w14:textId="77777777" w:rsidR="00DA230C" w:rsidRPr="00471CBA" w:rsidRDefault="00DA230C" w:rsidP="00212034">
            <w:pPr>
              <w:widowControl w:val="0"/>
              <w:tabs>
                <w:tab w:val="decimal" w:pos="1440"/>
              </w:tabs>
              <w:ind w:left="180" w:right="83"/>
              <w:jc w:val="right"/>
              <w:rPr>
                <w:szCs w:val="20"/>
              </w:rPr>
            </w:pPr>
          </w:p>
        </w:tc>
      </w:tr>
      <w:tr w:rsidR="00DA230C" w:rsidRPr="00471CBA" w14:paraId="03866D7A" w14:textId="7E8B2E2C" w:rsidTr="00DA230C">
        <w:trPr>
          <w:trHeight w:val="71"/>
        </w:trPr>
        <w:tc>
          <w:tcPr>
            <w:tcW w:w="3277" w:type="pct"/>
            <w:shd w:val="clear" w:color="auto" w:fill="FFFFFF"/>
            <w:vAlign w:val="bottom"/>
          </w:tcPr>
          <w:p w14:paraId="759B8FA8" w14:textId="77777777" w:rsidR="00DA230C" w:rsidRPr="00471CBA" w:rsidRDefault="00DA230C" w:rsidP="00212034">
            <w:pPr>
              <w:widowControl w:val="0"/>
              <w:jc w:val="both"/>
              <w:rPr>
                <w:rFonts w:eastAsia="Arial Unicode MS"/>
                <w:szCs w:val="20"/>
              </w:rPr>
            </w:pPr>
            <w:r w:rsidRPr="00471CBA">
              <w:rPr>
                <w:szCs w:val="20"/>
              </w:rPr>
              <w:t>Hisse senedi karşılığı</w:t>
            </w:r>
          </w:p>
        </w:tc>
        <w:tc>
          <w:tcPr>
            <w:tcW w:w="1723" w:type="pct"/>
            <w:vAlign w:val="bottom"/>
          </w:tcPr>
          <w:p w14:paraId="6BE3216E" w14:textId="218806B9" w:rsidR="00DA230C" w:rsidRPr="00471CBA" w:rsidRDefault="00DA230C" w:rsidP="00212034">
            <w:pPr>
              <w:widowControl w:val="0"/>
              <w:ind w:left="180" w:right="83"/>
              <w:jc w:val="right"/>
              <w:rPr>
                <w:szCs w:val="20"/>
              </w:rPr>
            </w:pPr>
            <w:r w:rsidRPr="00471CBA">
              <w:rPr>
                <w:szCs w:val="20"/>
              </w:rPr>
              <w:t>7.272.337</w:t>
            </w:r>
          </w:p>
        </w:tc>
      </w:tr>
      <w:tr w:rsidR="00DA230C" w:rsidRPr="00471CBA" w14:paraId="37D9F3AE" w14:textId="49F0A2BC" w:rsidTr="00DA230C">
        <w:trPr>
          <w:trHeight w:val="71"/>
        </w:trPr>
        <w:tc>
          <w:tcPr>
            <w:tcW w:w="3277" w:type="pct"/>
            <w:tcBorders>
              <w:bottom w:val="single" w:sz="4" w:space="0" w:color="auto"/>
            </w:tcBorders>
            <w:shd w:val="clear" w:color="auto" w:fill="FFFFFF"/>
            <w:vAlign w:val="bottom"/>
          </w:tcPr>
          <w:p w14:paraId="5722A62E" w14:textId="77777777" w:rsidR="00DA230C" w:rsidRPr="00471CBA" w:rsidRDefault="00DA230C" w:rsidP="00212034">
            <w:pPr>
              <w:widowControl w:val="0"/>
              <w:jc w:val="both"/>
              <w:rPr>
                <w:rFonts w:eastAsia="Arial Unicode MS"/>
                <w:szCs w:val="20"/>
              </w:rPr>
            </w:pPr>
            <w:r w:rsidRPr="00471CBA">
              <w:rPr>
                <w:szCs w:val="20"/>
              </w:rPr>
              <w:t>İmtiyazlı hisse senedi karşılığı</w:t>
            </w:r>
          </w:p>
        </w:tc>
        <w:tc>
          <w:tcPr>
            <w:tcW w:w="1723" w:type="pct"/>
            <w:tcBorders>
              <w:bottom w:val="single" w:sz="4" w:space="0" w:color="auto"/>
            </w:tcBorders>
            <w:vAlign w:val="bottom"/>
          </w:tcPr>
          <w:p w14:paraId="674E09C7" w14:textId="2F297DA6" w:rsidR="00DA230C" w:rsidRPr="00471CBA" w:rsidRDefault="00DA230C" w:rsidP="00212034">
            <w:pPr>
              <w:widowControl w:val="0"/>
              <w:tabs>
                <w:tab w:val="decimal" w:pos="0"/>
              </w:tabs>
              <w:ind w:left="180" w:right="83"/>
              <w:jc w:val="right"/>
              <w:rPr>
                <w:rFonts w:eastAsia="Arial Unicode MS"/>
                <w:szCs w:val="20"/>
              </w:rPr>
            </w:pPr>
            <w:r w:rsidRPr="00471CBA">
              <w:rPr>
                <w:rFonts w:eastAsia="Arial Unicode MS"/>
                <w:szCs w:val="20"/>
              </w:rPr>
              <w:t>-</w:t>
            </w:r>
          </w:p>
        </w:tc>
      </w:tr>
    </w:tbl>
    <w:p w14:paraId="761B703D" w14:textId="1F18D0FA" w:rsidR="006744EE" w:rsidRPr="00471CBA" w:rsidRDefault="006744EE">
      <w:pPr>
        <w:rPr>
          <w:b/>
          <w:szCs w:val="20"/>
        </w:rPr>
      </w:pPr>
    </w:p>
    <w:tbl>
      <w:tblPr>
        <w:tblW w:w="5000" w:type="pct"/>
        <w:tblCellMar>
          <w:left w:w="0" w:type="dxa"/>
          <w:right w:w="0" w:type="dxa"/>
        </w:tblCellMar>
        <w:tblLook w:val="0000" w:firstRow="0" w:lastRow="0" w:firstColumn="0" w:lastColumn="0" w:noHBand="0" w:noVBand="0"/>
      </w:tblPr>
      <w:tblGrid>
        <w:gridCol w:w="6131"/>
        <w:gridCol w:w="3224"/>
      </w:tblGrid>
      <w:tr w:rsidR="000511E0" w:rsidRPr="00471CBA" w14:paraId="1E9D692B" w14:textId="77777777" w:rsidTr="00DA230C">
        <w:trPr>
          <w:trHeight w:val="71"/>
        </w:trPr>
        <w:tc>
          <w:tcPr>
            <w:tcW w:w="3277" w:type="pct"/>
            <w:shd w:val="clear" w:color="auto" w:fill="FFFFFF"/>
            <w:vAlign w:val="bottom"/>
          </w:tcPr>
          <w:p w14:paraId="5C9E3000" w14:textId="77777777" w:rsidR="000511E0" w:rsidRPr="00471CBA" w:rsidRDefault="000511E0" w:rsidP="003D1625">
            <w:pPr>
              <w:widowControl w:val="0"/>
              <w:jc w:val="both"/>
              <w:rPr>
                <w:rFonts w:eastAsia="Arial Unicode MS"/>
                <w:szCs w:val="20"/>
              </w:rPr>
            </w:pPr>
            <w:r w:rsidRPr="00471CBA">
              <w:rPr>
                <w:szCs w:val="20"/>
              </w:rPr>
              <w:t> </w:t>
            </w:r>
          </w:p>
        </w:tc>
        <w:tc>
          <w:tcPr>
            <w:tcW w:w="1723" w:type="pct"/>
            <w:tcBorders>
              <w:bottom w:val="single" w:sz="4" w:space="0" w:color="auto"/>
            </w:tcBorders>
            <w:shd w:val="clear" w:color="auto" w:fill="FFFFFF"/>
            <w:vAlign w:val="bottom"/>
          </w:tcPr>
          <w:p w14:paraId="2C71A396" w14:textId="77777777" w:rsidR="000511E0" w:rsidRPr="00471CBA" w:rsidRDefault="000511E0" w:rsidP="003D1625">
            <w:pPr>
              <w:widowControl w:val="0"/>
              <w:ind w:left="180" w:right="83"/>
              <w:jc w:val="right"/>
              <w:rPr>
                <w:b/>
                <w:szCs w:val="20"/>
              </w:rPr>
            </w:pPr>
            <w:r w:rsidRPr="00471CBA">
              <w:rPr>
                <w:b/>
                <w:szCs w:val="20"/>
              </w:rPr>
              <w:t>31 Aralık 2024</w:t>
            </w:r>
          </w:p>
        </w:tc>
      </w:tr>
      <w:tr w:rsidR="000511E0" w:rsidRPr="00471CBA" w14:paraId="40A2A1D5" w14:textId="77777777" w:rsidTr="00DA230C">
        <w:trPr>
          <w:trHeight w:val="71"/>
        </w:trPr>
        <w:tc>
          <w:tcPr>
            <w:tcW w:w="3277" w:type="pct"/>
            <w:shd w:val="clear" w:color="auto" w:fill="FFFFFF"/>
            <w:vAlign w:val="bottom"/>
          </w:tcPr>
          <w:p w14:paraId="17D84887" w14:textId="77777777" w:rsidR="000511E0" w:rsidRPr="00471CBA" w:rsidRDefault="000511E0" w:rsidP="003D1625">
            <w:pPr>
              <w:widowControl w:val="0"/>
              <w:jc w:val="both"/>
              <w:rPr>
                <w:szCs w:val="20"/>
              </w:rPr>
            </w:pPr>
          </w:p>
        </w:tc>
        <w:tc>
          <w:tcPr>
            <w:tcW w:w="1723" w:type="pct"/>
            <w:tcBorders>
              <w:top w:val="single" w:sz="4" w:space="0" w:color="auto"/>
            </w:tcBorders>
            <w:vAlign w:val="bottom"/>
          </w:tcPr>
          <w:p w14:paraId="773B7FCC" w14:textId="77777777" w:rsidR="000511E0" w:rsidRPr="00471CBA" w:rsidRDefault="000511E0" w:rsidP="003D1625">
            <w:pPr>
              <w:widowControl w:val="0"/>
              <w:tabs>
                <w:tab w:val="decimal" w:pos="1440"/>
              </w:tabs>
              <w:ind w:left="180" w:right="83"/>
              <w:jc w:val="right"/>
              <w:rPr>
                <w:szCs w:val="20"/>
              </w:rPr>
            </w:pPr>
          </w:p>
        </w:tc>
      </w:tr>
      <w:tr w:rsidR="000511E0" w:rsidRPr="00471CBA" w14:paraId="760F1945" w14:textId="77777777" w:rsidTr="00DA230C">
        <w:trPr>
          <w:trHeight w:val="71"/>
        </w:trPr>
        <w:tc>
          <w:tcPr>
            <w:tcW w:w="3277" w:type="pct"/>
            <w:shd w:val="clear" w:color="auto" w:fill="FFFFFF"/>
            <w:vAlign w:val="bottom"/>
          </w:tcPr>
          <w:p w14:paraId="3A27316F" w14:textId="77777777" w:rsidR="000511E0" w:rsidRPr="00471CBA" w:rsidRDefault="000511E0" w:rsidP="003D1625">
            <w:pPr>
              <w:widowControl w:val="0"/>
              <w:jc w:val="both"/>
              <w:rPr>
                <w:rFonts w:eastAsia="Arial Unicode MS"/>
                <w:szCs w:val="20"/>
              </w:rPr>
            </w:pPr>
            <w:r w:rsidRPr="00471CBA">
              <w:rPr>
                <w:szCs w:val="20"/>
              </w:rPr>
              <w:t>Hisse senedi karşılığı</w:t>
            </w:r>
          </w:p>
        </w:tc>
        <w:tc>
          <w:tcPr>
            <w:tcW w:w="1723" w:type="pct"/>
            <w:vAlign w:val="bottom"/>
          </w:tcPr>
          <w:p w14:paraId="7CB63B55" w14:textId="77777777" w:rsidR="000511E0" w:rsidRPr="00471CBA" w:rsidRDefault="000511E0" w:rsidP="003D1625">
            <w:pPr>
              <w:widowControl w:val="0"/>
              <w:ind w:left="180" w:right="83"/>
              <w:jc w:val="right"/>
              <w:rPr>
                <w:szCs w:val="20"/>
              </w:rPr>
            </w:pPr>
            <w:r w:rsidRPr="00471CBA">
              <w:rPr>
                <w:szCs w:val="20"/>
              </w:rPr>
              <w:t>5.999.337</w:t>
            </w:r>
          </w:p>
        </w:tc>
      </w:tr>
      <w:tr w:rsidR="000511E0" w:rsidRPr="00471CBA" w14:paraId="1126FF1E" w14:textId="77777777" w:rsidTr="00DA230C">
        <w:trPr>
          <w:trHeight w:val="71"/>
        </w:trPr>
        <w:tc>
          <w:tcPr>
            <w:tcW w:w="3277" w:type="pct"/>
            <w:tcBorders>
              <w:bottom w:val="single" w:sz="4" w:space="0" w:color="auto"/>
            </w:tcBorders>
            <w:shd w:val="clear" w:color="auto" w:fill="FFFFFF"/>
            <w:vAlign w:val="bottom"/>
          </w:tcPr>
          <w:p w14:paraId="3C4973C3" w14:textId="77777777" w:rsidR="000511E0" w:rsidRPr="00471CBA" w:rsidRDefault="000511E0" w:rsidP="003D1625">
            <w:pPr>
              <w:widowControl w:val="0"/>
              <w:jc w:val="both"/>
              <w:rPr>
                <w:rFonts w:eastAsia="Arial Unicode MS"/>
                <w:szCs w:val="20"/>
              </w:rPr>
            </w:pPr>
            <w:r w:rsidRPr="00471CBA">
              <w:rPr>
                <w:szCs w:val="20"/>
              </w:rPr>
              <w:t>İmtiyazlı hisse senedi karşılığı</w:t>
            </w:r>
          </w:p>
        </w:tc>
        <w:tc>
          <w:tcPr>
            <w:tcW w:w="1723" w:type="pct"/>
            <w:tcBorders>
              <w:bottom w:val="single" w:sz="4" w:space="0" w:color="auto"/>
            </w:tcBorders>
            <w:vAlign w:val="bottom"/>
          </w:tcPr>
          <w:p w14:paraId="1468BCFD" w14:textId="77777777" w:rsidR="000511E0" w:rsidRPr="00471CBA" w:rsidRDefault="000511E0" w:rsidP="003D1625">
            <w:pPr>
              <w:widowControl w:val="0"/>
              <w:tabs>
                <w:tab w:val="decimal" w:pos="0"/>
              </w:tabs>
              <w:ind w:left="180" w:right="83"/>
              <w:jc w:val="right"/>
              <w:rPr>
                <w:rFonts w:eastAsia="Arial Unicode MS"/>
                <w:szCs w:val="20"/>
              </w:rPr>
            </w:pPr>
            <w:r w:rsidRPr="00471CBA">
              <w:rPr>
                <w:rFonts w:eastAsia="Arial Unicode MS"/>
                <w:szCs w:val="20"/>
              </w:rPr>
              <w:t>-</w:t>
            </w:r>
          </w:p>
        </w:tc>
      </w:tr>
    </w:tbl>
    <w:p w14:paraId="1615C7C9" w14:textId="77777777" w:rsidR="000511E0" w:rsidRPr="00471CBA" w:rsidRDefault="000511E0">
      <w:pPr>
        <w:rPr>
          <w:b/>
          <w:szCs w:val="20"/>
        </w:rPr>
      </w:pPr>
    </w:p>
    <w:p w14:paraId="38FC8AFE" w14:textId="727E9066" w:rsidR="006744EE" w:rsidRPr="00471CBA" w:rsidRDefault="006744EE" w:rsidP="00AA0BC7">
      <w:pPr>
        <w:pStyle w:val="ListeParagraf"/>
        <w:numPr>
          <w:ilvl w:val="0"/>
          <w:numId w:val="7"/>
        </w:numPr>
        <w:tabs>
          <w:tab w:val="clear" w:pos="547"/>
        </w:tabs>
        <w:spacing w:after="120"/>
        <w:ind w:left="851" w:hanging="425"/>
        <w:jc w:val="both"/>
        <w:rPr>
          <w:b/>
          <w:szCs w:val="20"/>
        </w:rPr>
      </w:pPr>
      <w:r w:rsidRPr="00471CBA">
        <w:rPr>
          <w:b/>
          <w:szCs w:val="20"/>
        </w:rPr>
        <w:t>Ödenmiş sermaye tutarı, Banka’da kayıtlı sermaye sisteminin uygulanıp uygulanmadığı hususunun açıklanması ve bu sistem uygulanıyor ise kayıtlı sermaye tavanına ilişkin bilgiler</w:t>
      </w:r>
      <w:r w:rsidR="00C47568" w:rsidRPr="00471CBA">
        <w:rPr>
          <w:b/>
          <w:szCs w:val="20"/>
        </w:rPr>
        <w:t>:</w:t>
      </w:r>
    </w:p>
    <w:p w14:paraId="1697DE42" w14:textId="02552648" w:rsidR="006744EE" w:rsidRPr="00471CBA" w:rsidRDefault="005B3DE3" w:rsidP="00AA0BC7">
      <w:pPr>
        <w:ind w:left="851"/>
        <w:jc w:val="both"/>
        <w:rPr>
          <w:bCs/>
          <w:szCs w:val="20"/>
        </w:rPr>
      </w:pPr>
      <w:r w:rsidRPr="00471CBA">
        <w:rPr>
          <w:bCs/>
          <w:szCs w:val="20"/>
        </w:rPr>
        <w:t>B</w:t>
      </w:r>
      <w:r w:rsidR="006744EE" w:rsidRPr="00471CBA">
        <w:rPr>
          <w:bCs/>
          <w:szCs w:val="20"/>
        </w:rPr>
        <w:t>ankada kay</w:t>
      </w:r>
      <w:r w:rsidR="00FD35BF" w:rsidRPr="00471CBA">
        <w:rPr>
          <w:bCs/>
          <w:szCs w:val="20"/>
        </w:rPr>
        <w:t>ı</w:t>
      </w:r>
      <w:r w:rsidR="00640868" w:rsidRPr="00471CBA">
        <w:rPr>
          <w:bCs/>
          <w:szCs w:val="20"/>
        </w:rPr>
        <w:t>t</w:t>
      </w:r>
      <w:r w:rsidR="006744EE" w:rsidRPr="00471CBA">
        <w:rPr>
          <w:bCs/>
          <w:szCs w:val="20"/>
        </w:rPr>
        <w:t>lı sermaye sistemi uygulanmamaktadır.</w:t>
      </w:r>
    </w:p>
    <w:p w14:paraId="2381940E" w14:textId="77777777" w:rsidR="00795F5E" w:rsidRPr="00471CBA" w:rsidRDefault="00795F5E" w:rsidP="00AA0BC7">
      <w:pPr>
        <w:widowControl w:val="0"/>
        <w:ind w:left="851" w:right="329"/>
        <w:jc w:val="both"/>
        <w:rPr>
          <w:b/>
          <w:szCs w:val="20"/>
        </w:rPr>
      </w:pPr>
    </w:p>
    <w:p w14:paraId="51E4B82E" w14:textId="22477C3E" w:rsidR="00136C29" w:rsidRPr="00471CBA" w:rsidRDefault="00136C29" w:rsidP="00AA0BC7">
      <w:pPr>
        <w:widowControl w:val="0"/>
        <w:numPr>
          <w:ilvl w:val="0"/>
          <w:numId w:val="7"/>
        </w:numPr>
        <w:tabs>
          <w:tab w:val="clear" w:pos="547"/>
        </w:tabs>
        <w:spacing w:after="120"/>
        <w:ind w:left="851" w:hanging="425"/>
        <w:jc w:val="both"/>
        <w:rPr>
          <w:b/>
          <w:szCs w:val="20"/>
        </w:rPr>
      </w:pPr>
      <w:r w:rsidRPr="00471CBA">
        <w:rPr>
          <w:b/>
          <w:szCs w:val="20"/>
        </w:rPr>
        <w:t>Cari dönem içinde yapılan sermaye artırımları ve kaynakları ile arttırılan sermaye payına ilişkin diğer bilgiler:</w:t>
      </w:r>
    </w:p>
    <w:p w14:paraId="0881E820" w14:textId="5167B480" w:rsidR="00555B56" w:rsidRPr="00471CBA" w:rsidRDefault="00555B56" w:rsidP="00555B56">
      <w:pPr>
        <w:ind w:left="851"/>
        <w:jc w:val="both"/>
      </w:pPr>
      <w:bookmarkStart w:id="135" w:name="_Hlk196731383"/>
      <w:bookmarkStart w:id="136" w:name="_Hlk106119638"/>
      <w:bookmarkStart w:id="137" w:name="_Hlk68092827"/>
      <w:r w:rsidRPr="00471CBA">
        <w:t>Banka Yönetim Kurulu'nun 11.03.2025 tarihli toplantısında 6.000.000 TL olan Banka sermayemizin 1.273.000 TL artırılarak 7.273.000 TL'ye çıkarılmasına, artırılacak tutarın tamamının iç kaynaklardan karşılanmasına karar verilmiştir olup BDDK'nın 16.04.2025 tarihli izin yazısı ile Banka’nın ödenmiş sermayesi 7.273.000 TL’ye artırılmıştır.</w:t>
      </w:r>
      <w:bookmarkEnd w:id="135"/>
    </w:p>
    <w:p w14:paraId="78D2216A" w14:textId="77777777" w:rsidR="00555B56" w:rsidRPr="00471CBA" w:rsidRDefault="00555B56" w:rsidP="00555B56">
      <w:pPr>
        <w:ind w:left="851"/>
        <w:jc w:val="both"/>
        <w:rPr>
          <w:szCs w:val="20"/>
        </w:rPr>
      </w:pPr>
    </w:p>
    <w:bookmarkEnd w:id="136"/>
    <w:bookmarkEnd w:id="137"/>
    <w:p w14:paraId="1E1C1CD0" w14:textId="3B0664F4" w:rsidR="00B37980" w:rsidRPr="00471CBA" w:rsidRDefault="00B37980" w:rsidP="00AA0BC7">
      <w:pPr>
        <w:widowControl w:val="0"/>
        <w:numPr>
          <w:ilvl w:val="0"/>
          <w:numId w:val="7"/>
        </w:numPr>
        <w:tabs>
          <w:tab w:val="clear" w:pos="547"/>
        </w:tabs>
        <w:ind w:left="851" w:right="329" w:hanging="425"/>
        <w:jc w:val="both"/>
        <w:rPr>
          <w:b/>
          <w:szCs w:val="20"/>
        </w:rPr>
      </w:pPr>
      <w:r w:rsidRPr="00471CBA">
        <w:rPr>
          <w:b/>
          <w:szCs w:val="20"/>
        </w:rPr>
        <w:t>Cari dönem içinde sermaye yedeklerinden sermayeye ilave edilen kısma ilişkin bilgiler:</w:t>
      </w:r>
    </w:p>
    <w:p w14:paraId="0D4182FA" w14:textId="77777777" w:rsidR="00795F5E" w:rsidRPr="00471CBA" w:rsidRDefault="00795F5E" w:rsidP="00AA0BC7">
      <w:pPr>
        <w:widowControl w:val="0"/>
        <w:ind w:left="851" w:right="329" w:firstLine="14"/>
        <w:jc w:val="both"/>
        <w:rPr>
          <w:szCs w:val="20"/>
        </w:rPr>
      </w:pPr>
      <w:bookmarkStart w:id="138" w:name="_Hlk68092884"/>
    </w:p>
    <w:p w14:paraId="103F7965" w14:textId="77777777" w:rsidR="008679D6" w:rsidRPr="00471CBA" w:rsidRDefault="008679D6" w:rsidP="008679D6">
      <w:pPr>
        <w:widowControl w:val="0"/>
        <w:ind w:left="851" w:right="329"/>
        <w:jc w:val="both"/>
        <w:rPr>
          <w:color w:val="0000FF"/>
          <w:szCs w:val="20"/>
        </w:rPr>
      </w:pPr>
      <w:r w:rsidRPr="00471CBA">
        <w:rPr>
          <w:szCs w:val="20"/>
        </w:rPr>
        <w:t>Cari dönem içinde sermaye yedeklerinden sermayeye ilave edilen kısım bulunmamaktadır</w:t>
      </w:r>
      <w:r w:rsidRPr="00471CBA">
        <w:rPr>
          <w:color w:val="0000FF"/>
          <w:szCs w:val="20"/>
        </w:rPr>
        <w:t xml:space="preserve">. </w:t>
      </w:r>
      <w:r w:rsidRPr="00471CBA">
        <w:rPr>
          <w:color w:val="0000FF"/>
          <w:szCs w:val="20"/>
        </w:rPr>
        <w:br w:type="page"/>
      </w:r>
    </w:p>
    <w:p w14:paraId="201996FC" w14:textId="77777777" w:rsidR="009E5A86" w:rsidRPr="00471CBA" w:rsidRDefault="009E5A86" w:rsidP="009E5A86">
      <w:pPr>
        <w:widowControl w:val="0"/>
        <w:spacing w:line="235" w:lineRule="auto"/>
        <w:ind w:left="720" w:hanging="720"/>
        <w:jc w:val="both"/>
        <w:rPr>
          <w:b/>
          <w:szCs w:val="20"/>
        </w:rPr>
      </w:pPr>
      <w:r w:rsidRPr="00471CBA">
        <w:rPr>
          <w:b/>
          <w:szCs w:val="20"/>
        </w:rPr>
        <w:t>KONSOLİDE OLMAYAN FİNANSAL TABLOLARA İLİŞKİN AÇIKLAMA VE DİPNOTLAR (Devamı)</w:t>
      </w:r>
    </w:p>
    <w:p w14:paraId="10C1F926" w14:textId="77777777" w:rsidR="009E5A86" w:rsidRPr="00471CBA" w:rsidRDefault="009E5A86" w:rsidP="009E5A86">
      <w:pPr>
        <w:pStyle w:val="GvdeMetniGirintisi"/>
        <w:widowControl w:val="0"/>
        <w:ind w:left="851" w:firstLine="0"/>
        <w:rPr>
          <w:b/>
          <w:szCs w:val="20"/>
        </w:rPr>
      </w:pPr>
    </w:p>
    <w:p w14:paraId="7C7FD1BC" w14:textId="77777777" w:rsidR="009E5A86" w:rsidRPr="00471CBA" w:rsidRDefault="009E5A86" w:rsidP="009E5A86">
      <w:pPr>
        <w:widowControl w:val="0"/>
        <w:spacing w:line="235" w:lineRule="auto"/>
        <w:ind w:left="851" w:hanging="851"/>
        <w:jc w:val="both"/>
        <w:rPr>
          <w:b/>
          <w:szCs w:val="20"/>
        </w:rPr>
      </w:pPr>
      <w:r w:rsidRPr="00471CBA">
        <w:rPr>
          <w:b/>
          <w:szCs w:val="20"/>
        </w:rPr>
        <w:t>II.</w:t>
      </w:r>
      <w:r w:rsidRPr="00471CBA">
        <w:rPr>
          <w:b/>
          <w:szCs w:val="20"/>
        </w:rPr>
        <w:tab/>
        <w:t>BİLANÇONUN PASİF HESAPLARINA İLİŞKİN AÇIKLAMA VE DİPNOTLAR (Devamı)</w:t>
      </w:r>
    </w:p>
    <w:p w14:paraId="39F32BD7" w14:textId="77777777" w:rsidR="007255B3" w:rsidRPr="00471CBA" w:rsidRDefault="007255B3" w:rsidP="00795F5E">
      <w:pPr>
        <w:widowControl w:val="0"/>
        <w:ind w:left="851" w:right="329"/>
        <w:jc w:val="both"/>
        <w:rPr>
          <w:color w:val="0000FF"/>
          <w:szCs w:val="20"/>
        </w:rPr>
      </w:pPr>
    </w:p>
    <w:p w14:paraId="6EE89369" w14:textId="18E6BCB7" w:rsidR="009E5A86" w:rsidRPr="00471CBA" w:rsidRDefault="009E5A86" w:rsidP="008459A9">
      <w:pPr>
        <w:pStyle w:val="xl79"/>
        <w:widowControl w:val="0"/>
        <w:numPr>
          <w:ilvl w:val="0"/>
          <w:numId w:val="55"/>
        </w:numPr>
        <w:pBdr>
          <w:left w:val="none" w:sz="0" w:space="0" w:color="auto"/>
          <w:bottom w:val="none" w:sz="0" w:space="0" w:color="auto"/>
          <w:right w:val="none" w:sz="0" w:space="0" w:color="auto"/>
        </w:pBdr>
        <w:tabs>
          <w:tab w:val="left" w:pos="-1800"/>
        </w:tabs>
        <w:spacing w:before="0" w:beforeAutospacing="0" w:after="0" w:afterAutospacing="0"/>
        <w:ind w:left="851" w:hanging="851"/>
        <w:jc w:val="both"/>
        <w:rPr>
          <w:b/>
          <w:noProof w:val="0"/>
          <w:sz w:val="20"/>
          <w:szCs w:val="20"/>
        </w:rPr>
      </w:pPr>
      <w:r w:rsidRPr="00471CBA">
        <w:rPr>
          <w:b/>
          <w:noProof w:val="0"/>
          <w:sz w:val="20"/>
          <w:szCs w:val="20"/>
        </w:rPr>
        <w:t>Özkaynaklara ilişkin bilgiler: (Devamı)</w:t>
      </w:r>
    </w:p>
    <w:p w14:paraId="52F70600" w14:textId="77777777" w:rsidR="00795F5E" w:rsidRPr="00471CBA" w:rsidRDefault="00795F5E" w:rsidP="00795F5E">
      <w:pPr>
        <w:widowControl w:val="0"/>
        <w:ind w:left="-709" w:right="329" w:firstLine="14"/>
        <w:jc w:val="both"/>
        <w:rPr>
          <w:color w:val="0000FF"/>
          <w:szCs w:val="20"/>
        </w:rPr>
      </w:pPr>
    </w:p>
    <w:bookmarkEnd w:id="138"/>
    <w:p w14:paraId="317FAA38" w14:textId="04D2E035" w:rsidR="00136C29" w:rsidRPr="00471CBA" w:rsidRDefault="00136C29" w:rsidP="00287A92">
      <w:pPr>
        <w:widowControl w:val="0"/>
        <w:numPr>
          <w:ilvl w:val="0"/>
          <w:numId w:val="7"/>
        </w:numPr>
        <w:tabs>
          <w:tab w:val="clear" w:pos="547"/>
        </w:tabs>
        <w:ind w:left="1276" w:hanging="425"/>
        <w:jc w:val="both"/>
        <w:rPr>
          <w:b/>
          <w:szCs w:val="20"/>
        </w:rPr>
      </w:pPr>
      <w:r w:rsidRPr="00471CBA">
        <w:rPr>
          <w:b/>
          <w:szCs w:val="20"/>
        </w:rPr>
        <w:t xml:space="preserve">Son mali yılın ve onu takip eden ara dönemin sonuna kadar olan sermaye taahhütleri, bu taahhütlerin genel amacı ve bu taahhütler için gerekli tahmini kaynaklara ilişkin bilgiler: </w:t>
      </w:r>
    </w:p>
    <w:p w14:paraId="1097573B" w14:textId="77777777" w:rsidR="00795F5E" w:rsidRPr="00471CBA" w:rsidRDefault="00795F5E" w:rsidP="00795F5E">
      <w:pPr>
        <w:widowControl w:val="0"/>
        <w:ind w:left="42" w:right="329" w:hanging="14"/>
        <w:jc w:val="both"/>
        <w:rPr>
          <w:szCs w:val="20"/>
        </w:rPr>
      </w:pPr>
    </w:p>
    <w:p w14:paraId="2FCFB55C" w14:textId="77777777" w:rsidR="008679D6" w:rsidRPr="00471CBA" w:rsidRDefault="008679D6" w:rsidP="008679D6">
      <w:pPr>
        <w:widowControl w:val="0"/>
        <w:ind w:left="851"/>
        <w:jc w:val="both"/>
        <w:rPr>
          <w:szCs w:val="20"/>
        </w:rPr>
      </w:pPr>
      <w:r w:rsidRPr="00471CBA">
        <w:rPr>
          <w:szCs w:val="20"/>
        </w:rPr>
        <w:t>Banka’nın son mali yılın ve onu takip eden ara dönemin sonuna kadar sermaye taahhüdü bulunmamaktadır.</w:t>
      </w:r>
    </w:p>
    <w:p w14:paraId="32960080" w14:textId="6D320493" w:rsidR="0018239A" w:rsidRPr="00471CBA" w:rsidRDefault="0018239A" w:rsidP="009F6E11">
      <w:pPr>
        <w:widowControl w:val="0"/>
        <w:ind w:right="329"/>
        <w:rPr>
          <w:szCs w:val="20"/>
        </w:rPr>
      </w:pPr>
    </w:p>
    <w:p w14:paraId="084B8FF6" w14:textId="03E65E11" w:rsidR="00136C29" w:rsidRPr="00471CBA" w:rsidRDefault="00136C29" w:rsidP="00287A92">
      <w:pPr>
        <w:widowControl w:val="0"/>
        <w:numPr>
          <w:ilvl w:val="0"/>
          <w:numId w:val="7"/>
        </w:numPr>
        <w:tabs>
          <w:tab w:val="clear" w:pos="547"/>
        </w:tabs>
        <w:ind w:left="1276" w:hanging="425"/>
        <w:jc w:val="both"/>
        <w:rPr>
          <w:b/>
          <w:szCs w:val="20"/>
        </w:rPr>
      </w:pPr>
      <w:r w:rsidRPr="00471CBA">
        <w:rPr>
          <w:b/>
          <w:szCs w:val="20"/>
        </w:rPr>
        <w:t>Banka’nın gelirleri, karlılığı ve likiditesine ilişkin geçmiş dönem göstergeleri ile bu göstergelerdeki belirsizlikler dikkate alınarak yapılacak öngörülerin, Banka’nın özkaynakları üzerindeki tahmini etkileri:</w:t>
      </w:r>
    </w:p>
    <w:p w14:paraId="15C32786" w14:textId="77777777" w:rsidR="00795F5E" w:rsidRPr="00471CBA" w:rsidRDefault="00795F5E" w:rsidP="00795F5E">
      <w:pPr>
        <w:widowControl w:val="0"/>
        <w:autoSpaceDE w:val="0"/>
        <w:autoSpaceDN w:val="0"/>
        <w:adjustRightInd w:val="0"/>
        <w:ind w:left="42"/>
        <w:jc w:val="both"/>
        <w:rPr>
          <w:szCs w:val="20"/>
        </w:rPr>
      </w:pPr>
    </w:p>
    <w:p w14:paraId="55DE9813" w14:textId="66563F31" w:rsidR="00136C29" w:rsidRPr="00471CBA" w:rsidRDefault="00136C29" w:rsidP="00795F5E">
      <w:pPr>
        <w:widowControl w:val="0"/>
        <w:autoSpaceDE w:val="0"/>
        <w:autoSpaceDN w:val="0"/>
        <w:adjustRightInd w:val="0"/>
        <w:ind w:left="851"/>
        <w:jc w:val="both"/>
        <w:rPr>
          <w:szCs w:val="20"/>
        </w:rPr>
      </w:pPr>
      <w:r w:rsidRPr="00471CBA">
        <w:rPr>
          <w:szCs w:val="20"/>
        </w:rPr>
        <w:t>Banka, faaliyetlerini karlılıkla sürdürmekte ve dönem karlarının büyük bölümünü yedeklere aktarım şeklinde özkaynaklar içinde muhafaza etmektedir. Öte yandan Banka’nın özkaynakları likit ve getirili aktiflerde değerlendirilmektedir.</w:t>
      </w:r>
    </w:p>
    <w:p w14:paraId="19E91217" w14:textId="77777777" w:rsidR="00795F5E" w:rsidRPr="00471CBA" w:rsidRDefault="00795F5E" w:rsidP="00795F5E">
      <w:pPr>
        <w:widowControl w:val="0"/>
        <w:autoSpaceDE w:val="0"/>
        <w:autoSpaceDN w:val="0"/>
        <w:adjustRightInd w:val="0"/>
        <w:ind w:left="42"/>
        <w:jc w:val="both"/>
        <w:rPr>
          <w:szCs w:val="20"/>
        </w:rPr>
      </w:pPr>
    </w:p>
    <w:p w14:paraId="577CE439" w14:textId="2C2AEB8A" w:rsidR="00136C29" w:rsidRPr="00471CBA" w:rsidRDefault="00136C29" w:rsidP="00287A92">
      <w:pPr>
        <w:widowControl w:val="0"/>
        <w:numPr>
          <w:ilvl w:val="0"/>
          <w:numId w:val="7"/>
        </w:numPr>
        <w:tabs>
          <w:tab w:val="clear" w:pos="547"/>
        </w:tabs>
        <w:ind w:left="1276" w:right="329" w:hanging="425"/>
        <w:jc w:val="both"/>
        <w:rPr>
          <w:b/>
          <w:szCs w:val="20"/>
        </w:rPr>
      </w:pPr>
      <w:r w:rsidRPr="00471CBA">
        <w:rPr>
          <w:b/>
          <w:szCs w:val="20"/>
        </w:rPr>
        <w:t xml:space="preserve">Sermayeyi temsil eden hisse senetlerine tanınan imtiyazlara ilişkin özet bilgiler: </w:t>
      </w:r>
    </w:p>
    <w:p w14:paraId="2EBD0573" w14:textId="77777777" w:rsidR="00795F5E" w:rsidRPr="00471CBA" w:rsidRDefault="00795F5E" w:rsidP="00795F5E">
      <w:pPr>
        <w:widowControl w:val="0"/>
        <w:ind w:left="42"/>
        <w:jc w:val="both"/>
        <w:rPr>
          <w:szCs w:val="20"/>
        </w:rPr>
      </w:pPr>
    </w:p>
    <w:p w14:paraId="66A3866B" w14:textId="77777777" w:rsidR="008679D6" w:rsidRPr="00471CBA" w:rsidRDefault="008679D6" w:rsidP="008679D6">
      <w:pPr>
        <w:widowControl w:val="0"/>
        <w:ind w:left="851"/>
        <w:jc w:val="both"/>
        <w:rPr>
          <w:szCs w:val="20"/>
        </w:rPr>
      </w:pPr>
      <w:r w:rsidRPr="00471CBA">
        <w:rPr>
          <w:szCs w:val="20"/>
        </w:rPr>
        <w:t>Sermayeyi temsil eden hisse senetlerine tanınan imtiyazlar bulunmamaktadır.</w:t>
      </w:r>
    </w:p>
    <w:p w14:paraId="6192C363" w14:textId="77777777" w:rsidR="00795F5E" w:rsidRPr="00471CBA" w:rsidRDefault="00795F5E" w:rsidP="00795F5E">
      <w:pPr>
        <w:widowControl w:val="0"/>
        <w:ind w:left="42"/>
        <w:jc w:val="both"/>
        <w:rPr>
          <w:szCs w:val="20"/>
        </w:rPr>
      </w:pPr>
    </w:p>
    <w:p w14:paraId="200B2591" w14:textId="21182B22" w:rsidR="00136C29" w:rsidRPr="00471CBA" w:rsidRDefault="00136C29" w:rsidP="00287A92">
      <w:pPr>
        <w:widowControl w:val="0"/>
        <w:numPr>
          <w:ilvl w:val="0"/>
          <w:numId w:val="7"/>
        </w:numPr>
        <w:tabs>
          <w:tab w:val="clear" w:pos="547"/>
        </w:tabs>
        <w:ind w:left="1276" w:right="329" w:hanging="425"/>
        <w:jc w:val="both"/>
        <w:rPr>
          <w:b/>
          <w:szCs w:val="20"/>
        </w:rPr>
      </w:pPr>
      <w:r w:rsidRPr="00471CBA">
        <w:rPr>
          <w:b/>
          <w:szCs w:val="20"/>
        </w:rPr>
        <w:t xml:space="preserve">Menkul değerler değer artış fonuna ilişkin bilgiler: </w:t>
      </w:r>
    </w:p>
    <w:p w14:paraId="5C70DFC7" w14:textId="3DF351AD" w:rsidR="00A74C68" w:rsidRPr="00471CBA" w:rsidRDefault="00A74C68" w:rsidP="00640868">
      <w:pPr>
        <w:widowControl w:val="0"/>
        <w:ind w:left="851"/>
        <w:jc w:val="both"/>
        <w:rPr>
          <w:szCs w:val="20"/>
        </w:rPr>
      </w:pPr>
    </w:p>
    <w:tbl>
      <w:tblPr>
        <w:tblW w:w="5000" w:type="pct"/>
        <w:tblCellMar>
          <w:left w:w="70" w:type="dxa"/>
          <w:right w:w="70" w:type="dxa"/>
        </w:tblCellMar>
        <w:tblLook w:val="04A0" w:firstRow="1" w:lastRow="0" w:firstColumn="1" w:lastColumn="0" w:noHBand="0" w:noVBand="1"/>
      </w:tblPr>
      <w:tblGrid>
        <w:gridCol w:w="5732"/>
        <w:gridCol w:w="1980"/>
        <w:gridCol w:w="1643"/>
      </w:tblGrid>
      <w:tr w:rsidR="00A74C68" w:rsidRPr="00471CBA" w14:paraId="1B4A8FD3" w14:textId="77777777" w:rsidTr="00A74C68">
        <w:trPr>
          <w:divId w:val="422803280"/>
          <w:trHeight w:val="227"/>
        </w:trPr>
        <w:tc>
          <w:tcPr>
            <w:tcW w:w="2108" w:type="pct"/>
            <w:tcBorders>
              <w:top w:val="nil"/>
              <w:left w:val="nil"/>
              <w:bottom w:val="nil"/>
              <w:right w:val="nil"/>
            </w:tcBorders>
            <w:noWrap/>
            <w:vAlign w:val="bottom"/>
            <w:hideMark/>
          </w:tcPr>
          <w:p w14:paraId="60AE73BD" w14:textId="58A210F1" w:rsidR="00A74C68" w:rsidRPr="00471CBA" w:rsidRDefault="00A74C68" w:rsidP="00A74C68">
            <w:pPr>
              <w:rPr>
                <w:szCs w:val="20"/>
              </w:rPr>
            </w:pPr>
          </w:p>
        </w:tc>
        <w:tc>
          <w:tcPr>
            <w:tcW w:w="1332" w:type="pct"/>
            <w:gridSpan w:val="2"/>
            <w:tcBorders>
              <w:top w:val="nil"/>
              <w:left w:val="nil"/>
              <w:bottom w:val="single" w:sz="4" w:space="0" w:color="auto"/>
              <w:right w:val="nil"/>
            </w:tcBorders>
            <w:noWrap/>
            <w:vAlign w:val="bottom"/>
            <w:hideMark/>
          </w:tcPr>
          <w:p w14:paraId="1F9B1392" w14:textId="77777777" w:rsidR="00A74C68" w:rsidRPr="00471CBA" w:rsidRDefault="00A74C68" w:rsidP="00A74C68">
            <w:pPr>
              <w:jc w:val="center"/>
              <w:rPr>
                <w:b/>
                <w:bCs/>
                <w:color w:val="000000"/>
                <w:szCs w:val="20"/>
              </w:rPr>
            </w:pPr>
            <w:r w:rsidRPr="00471CBA">
              <w:rPr>
                <w:b/>
                <w:bCs/>
                <w:color w:val="000000"/>
                <w:szCs w:val="20"/>
              </w:rPr>
              <w:t>31 Aralık 2025</w:t>
            </w:r>
          </w:p>
        </w:tc>
      </w:tr>
      <w:tr w:rsidR="00A74C68" w:rsidRPr="00471CBA" w14:paraId="76993E75" w14:textId="77777777" w:rsidTr="00A74C68">
        <w:trPr>
          <w:divId w:val="422803280"/>
          <w:trHeight w:val="227"/>
        </w:trPr>
        <w:tc>
          <w:tcPr>
            <w:tcW w:w="2108" w:type="pct"/>
            <w:tcBorders>
              <w:top w:val="nil"/>
              <w:left w:val="nil"/>
              <w:bottom w:val="nil"/>
              <w:right w:val="nil"/>
            </w:tcBorders>
            <w:noWrap/>
            <w:vAlign w:val="bottom"/>
            <w:hideMark/>
          </w:tcPr>
          <w:p w14:paraId="167C4595" w14:textId="77777777" w:rsidR="00A74C68" w:rsidRPr="00471CBA" w:rsidRDefault="00A74C68" w:rsidP="00A74C68">
            <w:pPr>
              <w:jc w:val="center"/>
              <w:rPr>
                <w:b/>
                <w:bCs/>
                <w:color w:val="000000"/>
                <w:szCs w:val="20"/>
              </w:rPr>
            </w:pPr>
          </w:p>
        </w:tc>
        <w:tc>
          <w:tcPr>
            <w:tcW w:w="728" w:type="pct"/>
            <w:tcBorders>
              <w:top w:val="nil"/>
              <w:left w:val="nil"/>
              <w:bottom w:val="single" w:sz="4" w:space="0" w:color="auto"/>
              <w:right w:val="nil"/>
            </w:tcBorders>
            <w:noWrap/>
            <w:hideMark/>
          </w:tcPr>
          <w:p w14:paraId="388613E3" w14:textId="77777777" w:rsidR="00A74C68" w:rsidRPr="00471CBA" w:rsidRDefault="00A74C68" w:rsidP="00A74C68">
            <w:pPr>
              <w:jc w:val="center"/>
              <w:rPr>
                <w:b/>
                <w:bCs/>
                <w:color w:val="000000"/>
                <w:szCs w:val="20"/>
              </w:rPr>
            </w:pPr>
            <w:r w:rsidRPr="00471CBA">
              <w:rPr>
                <w:b/>
                <w:bCs/>
                <w:color w:val="000000"/>
                <w:szCs w:val="20"/>
              </w:rPr>
              <w:t>TP</w:t>
            </w:r>
          </w:p>
        </w:tc>
        <w:tc>
          <w:tcPr>
            <w:tcW w:w="604" w:type="pct"/>
            <w:tcBorders>
              <w:top w:val="nil"/>
              <w:left w:val="nil"/>
              <w:bottom w:val="single" w:sz="4" w:space="0" w:color="auto"/>
              <w:right w:val="nil"/>
            </w:tcBorders>
            <w:noWrap/>
            <w:hideMark/>
          </w:tcPr>
          <w:p w14:paraId="0AB5AC22" w14:textId="77777777" w:rsidR="00A74C68" w:rsidRPr="00471CBA" w:rsidRDefault="00A74C68" w:rsidP="00A74C68">
            <w:pPr>
              <w:jc w:val="center"/>
              <w:rPr>
                <w:b/>
                <w:bCs/>
                <w:color w:val="000000"/>
                <w:szCs w:val="20"/>
              </w:rPr>
            </w:pPr>
            <w:r w:rsidRPr="00471CBA">
              <w:rPr>
                <w:b/>
                <w:bCs/>
                <w:color w:val="000000"/>
                <w:szCs w:val="20"/>
              </w:rPr>
              <w:t>YP</w:t>
            </w:r>
          </w:p>
        </w:tc>
      </w:tr>
      <w:tr w:rsidR="00A74C68" w:rsidRPr="00471CBA" w14:paraId="159E5F6B" w14:textId="77777777" w:rsidTr="00A74C68">
        <w:trPr>
          <w:divId w:val="422803280"/>
          <w:trHeight w:val="227"/>
        </w:trPr>
        <w:tc>
          <w:tcPr>
            <w:tcW w:w="2108" w:type="pct"/>
            <w:tcBorders>
              <w:top w:val="nil"/>
              <w:left w:val="nil"/>
              <w:bottom w:val="nil"/>
              <w:right w:val="nil"/>
            </w:tcBorders>
            <w:noWrap/>
            <w:vAlign w:val="bottom"/>
            <w:hideMark/>
          </w:tcPr>
          <w:p w14:paraId="6FFE11DA" w14:textId="77777777" w:rsidR="00A74C68" w:rsidRPr="00471CBA" w:rsidRDefault="00A74C68" w:rsidP="00A74C68">
            <w:pPr>
              <w:jc w:val="right"/>
              <w:rPr>
                <w:b/>
                <w:bCs/>
                <w:color w:val="000000"/>
                <w:szCs w:val="20"/>
              </w:rPr>
            </w:pPr>
          </w:p>
        </w:tc>
        <w:tc>
          <w:tcPr>
            <w:tcW w:w="728" w:type="pct"/>
            <w:tcBorders>
              <w:top w:val="nil"/>
              <w:left w:val="nil"/>
              <w:bottom w:val="nil"/>
              <w:right w:val="nil"/>
            </w:tcBorders>
            <w:noWrap/>
            <w:hideMark/>
          </w:tcPr>
          <w:p w14:paraId="00FFC213" w14:textId="77777777" w:rsidR="00A74C68" w:rsidRPr="00471CBA" w:rsidRDefault="00A74C68" w:rsidP="00A74C68">
            <w:pPr>
              <w:jc w:val="both"/>
              <w:rPr>
                <w:szCs w:val="20"/>
              </w:rPr>
            </w:pPr>
          </w:p>
        </w:tc>
        <w:tc>
          <w:tcPr>
            <w:tcW w:w="604" w:type="pct"/>
            <w:tcBorders>
              <w:top w:val="nil"/>
              <w:left w:val="nil"/>
              <w:bottom w:val="nil"/>
              <w:right w:val="nil"/>
            </w:tcBorders>
            <w:noWrap/>
            <w:hideMark/>
          </w:tcPr>
          <w:p w14:paraId="6EC4F957" w14:textId="77777777" w:rsidR="00A74C68" w:rsidRPr="00471CBA" w:rsidRDefault="00A74C68" w:rsidP="00A74C68">
            <w:pPr>
              <w:jc w:val="right"/>
              <w:rPr>
                <w:szCs w:val="20"/>
              </w:rPr>
            </w:pPr>
          </w:p>
        </w:tc>
      </w:tr>
      <w:tr w:rsidR="00A74C68" w:rsidRPr="00471CBA" w14:paraId="57C6DE62" w14:textId="77777777" w:rsidTr="00A74C68">
        <w:trPr>
          <w:divId w:val="422803280"/>
          <w:trHeight w:val="227"/>
        </w:trPr>
        <w:tc>
          <w:tcPr>
            <w:tcW w:w="2108" w:type="pct"/>
            <w:tcBorders>
              <w:top w:val="nil"/>
              <w:left w:val="nil"/>
              <w:bottom w:val="nil"/>
              <w:right w:val="nil"/>
            </w:tcBorders>
            <w:vAlign w:val="bottom"/>
            <w:hideMark/>
          </w:tcPr>
          <w:p w14:paraId="77BF3E98" w14:textId="77777777" w:rsidR="00A74C68" w:rsidRPr="00471CBA" w:rsidRDefault="00A74C68" w:rsidP="00A74C68">
            <w:pPr>
              <w:rPr>
                <w:color w:val="000000"/>
                <w:szCs w:val="20"/>
              </w:rPr>
            </w:pPr>
            <w:r w:rsidRPr="00471CBA">
              <w:rPr>
                <w:color w:val="000000"/>
                <w:szCs w:val="20"/>
              </w:rPr>
              <w:t>İştirakler, Bağlı Ortaklıklar ve Birlikte Kontrol Edilen Ortaklıklardan (İş Ortaklıklarından)</w:t>
            </w:r>
          </w:p>
        </w:tc>
        <w:tc>
          <w:tcPr>
            <w:tcW w:w="728" w:type="pct"/>
            <w:tcBorders>
              <w:top w:val="nil"/>
              <w:left w:val="nil"/>
              <w:bottom w:val="nil"/>
              <w:right w:val="nil"/>
            </w:tcBorders>
            <w:noWrap/>
            <w:vAlign w:val="center"/>
            <w:hideMark/>
          </w:tcPr>
          <w:p w14:paraId="7ED14C4B" w14:textId="77777777" w:rsidR="00A74C68" w:rsidRPr="00471CBA" w:rsidRDefault="00A74C68" w:rsidP="00A74C68">
            <w:pPr>
              <w:jc w:val="right"/>
              <w:rPr>
                <w:color w:val="000000"/>
                <w:szCs w:val="20"/>
              </w:rPr>
            </w:pPr>
            <w:r w:rsidRPr="00471CBA">
              <w:rPr>
                <w:color w:val="000000"/>
                <w:szCs w:val="20"/>
              </w:rPr>
              <w:t>-</w:t>
            </w:r>
          </w:p>
        </w:tc>
        <w:tc>
          <w:tcPr>
            <w:tcW w:w="604" w:type="pct"/>
            <w:tcBorders>
              <w:top w:val="nil"/>
              <w:left w:val="nil"/>
              <w:bottom w:val="nil"/>
              <w:right w:val="nil"/>
            </w:tcBorders>
            <w:noWrap/>
            <w:vAlign w:val="center"/>
            <w:hideMark/>
          </w:tcPr>
          <w:p w14:paraId="3E68DBD9" w14:textId="77777777" w:rsidR="00A74C68" w:rsidRPr="00471CBA" w:rsidRDefault="00A74C68" w:rsidP="00A74C68">
            <w:pPr>
              <w:jc w:val="right"/>
              <w:rPr>
                <w:color w:val="000000"/>
                <w:szCs w:val="20"/>
              </w:rPr>
            </w:pPr>
            <w:r w:rsidRPr="00471CBA">
              <w:rPr>
                <w:color w:val="000000"/>
                <w:szCs w:val="20"/>
              </w:rPr>
              <w:t>-</w:t>
            </w:r>
          </w:p>
        </w:tc>
      </w:tr>
      <w:tr w:rsidR="00A74C68" w:rsidRPr="00471CBA" w14:paraId="36B103EC" w14:textId="77777777" w:rsidTr="00A74C68">
        <w:trPr>
          <w:divId w:val="422803280"/>
          <w:trHeight w:val="227"/>
        </w:trPr>
        <w:tc>
          <w:tcPr>
            <w:tcW w:w="2108" w:type="pct"/>
            <w:tcBorders>
              <w:top w:val="nil"/>
              <w:left w:val="nil"/>
              <w:bottom w:val="nil"/>
              <w:right w:val="nil"/>
            </w:tcBorders>
            <w:noWrap/>
            <w:vAlign w:val="bottom"/>
            <w:hideMark/>
          </w:tcPr>
          <w:p w14:paraId="034E4B8B" w14:textId="77777777" w:rsidR="00A74C68" w:rsidRPr="00471CBA" w:rsidRDefault="00A74C68" w:rsidP="00A74C68">
            <w:pPr>
              <w:jc w:val="both"/>
              <w:rPr>
                <w:color w:val="000000"/>
                <w:szCs w:val="20"/>
              </w:rPr>
            </w:pPr>
            <w:r w:rsidRPr="00471CBA">
              <w:rPr>
                <w:color w:val="000000"/>
                <w:szCs w:val="20"/>
              </w:rPr>
              <w:t>Değerleme Farkı</w:t>
            </w:r>
          </w:p>
        </w:tc>
        <w:tc>
          <w:tcPr>
            <w:tcW w:w="728" w:type="pct"/>
            <w:tcBorders>
              <w:top w:val="nil"/>
              <w:left w:val="nil"/>
              <w:bottom w:val="nil"/>
              <w:right w:val="nil"/>
            </w:tcBorders>
            <w:noWrap/>
            <w:vAlign w:val="center"/>
            <w:hideMark/>
          </w:tcPr>
          <w:p w14:paraId="6DB4C339" w14:textId="77777777" w:rsidR="00A74C68" w:rsidRPr="00471CBA" w:rsidRDefault="00A74C68" w:rsidP="00A74C68">
            <w:pPr>
              <w:jc w:val="right"/>
              <w:rPr>
                <w:color w:val="000000"/>
                <w:szCs w:val="20"/>
              </w:rPr>
            </w:pPr>
            <w:r w:rsidRPr="00471CBA">
              <w:rPr>
                <w:color w:val="000000"/>
                <w:szCs w:val="20"/>
              </w:rPr>
              <w:t>42.824</w:t>
            </w:r>
          </w:p>
        </w:tc>
        <w:tc>
          <w:tcPr>
            <w:tcW w:w="604" w:type="pct"/>
            <w:tcBorders>
              <w:top w:val="nil"/>
              <w:left w:val="nil"/>
              <w:bottom w:val="nil"/>
              <w:right w:val="nil"/>
            </w:tcBorders>
            <w:noWrap/>
            <w:vAlign w:val="center"/>
            <w:hideMark/>
          </w:tcPr>
          <w:p w14:paraId="4AB25699" w14:textId="77777777" w:rsidR="00A74C68" w:rsidRPr="00471CBA" w:rsidRDefault="00A74C68" w:rsidP="00A74C68">
            <w:pPr>
              <w:jc w:val="right"/>
              <w:rPr>
                <w:color w:val="000000"/>
                <w:szCs w:val="20"/>
              </w:rPr>
            </w:pPr>
            <w:r w:rsidRPr="00471CBA">
              <w:rPr>
                <w:color w:val="000000"/>
                <w:szCs w:val="20"/>
              </w:rPr>
              <w:t>17.473</w:t>
            </w:r>
          </w:p>
        </w:tc>
      </w:tr>
      <w:tr w:rsidR="00A74C68" w:rsidRPr="00471CBA" w14:paraId="7EF75C7D" w14:textId="77777777" w:rsidTr="00A74C68">
        <w:trPr>
          <w:divId w:val="422803280"/>
          <w:trHeight w:val="227"/>
        </w:trPr>
        <w:tc>
          <w:tcPr>
            <w:tcW w:w="2108" w:type="pct"/>
            <w:tcBorders>
              <w:top w:val="nil"/>
              <w:left w:val="nil"/>
              <w:bottom w:val="single" w:sz="4" w:space="0" w:color="auto"/>
              <w:right w:val="nil"/>
            </w:tcBorders>
            <w:noWrap/>
            <w:vAlign w:val="bottom"/>
            <w:hideMark/>
          </w:tcPr>
          <w:p w14:paraId="3FF0547E" w14:textId="77777777" w:rsidR="00A74C68" w:rsidRPr="00471CBA" w:rsidRDefault="00A74C68" w:rsidP="00A74C68">
            <w:pPr>
              <w:jc w:val="both"/>
              <w:rPr>
                <w:color w:val="000000"/>
                <w:szCs w:val="20"/>
              </w:rPr>
            </w:pPr>
            <w:r w:rsidRPr="00471CBA">
              <w:rPr>
                <w:color w:val="000000"/>
                <w:szCs w:val="20"/>
              </w:rPr>
              <w:t>Kur Farkı</w:t>
            </w:r>
          </w:p>
        </w:tc>
        <w:tc>
          <w:tcPr>
            <w:tcW w:w="728" w:type="pct"/>
            <w:tcBorders>
              <w:top w:val="nil"/>
              <w:left w:val="nil"/>
              <w:bottom w:val="single" w:sz="4" w:space="0" w:color="auto"/>
              <w:right w:val="nil"/>
            </w:tcBorders>
            <w:noWrap/>
            <w:vAlign w:val="center"/>
            <w:hideMark/>
          </w:tcPr>
          <w:p w14:paraId="01E644DD" w14:textId="77777777" w:rsidR="00A74C68" w:rsidRPr="00471CBA" w:rsidRDefault="00A74C68" w:rsidP="00A74C68">
            <w:pPr>
              <w:jc w:val="right"/>
              <w:rPr>
                <w:color w:val="000000"/>
                <w:szCs w:val="20"/>
              </w:rPr>
            </w:pPr>
            <w:r w:rsidRPr="00471CBA">
              <w:rPr>
                <w:color w:val="000000"/>
                <w:szCs w:val="20"/>
              </w:rPr>
              <w:t>-</w:t>
            </w:r>
          </w:p>
        </w:tc>
        <w:tc>
          <w:tcPr>
            <w:tcW w:w="604" w:type="pct"/>
            <w:tcBorders>
              <w:top w:val="nil"/>
              <w:left w:val="nil"/>
              <w:bottom w:val="single" w:sz="4" w:space="0" w:color="auto"/>
              <w:right w:val="nil"/>
            </w:tcBorders>
            <w:noWrap/>
            <w:vAlign w:val="center"/>
            <w:hideMark/>
          </w:tcPr>
          <w:p w14:paraId="79EC72A7" w14:textId="77777777" w:rsidR="00A74C68" w:rsidRPr="00471CBA" w:rsidRDefault="00A74C68" w:rsidP="00A74C68">
            <w:pPr>
              <w:jc w:val="right"/>
              <w:rPr>
                <w:color w:val="000000"/>
                <w:szCs w:val="20"/>
              </w:rPr>
            </w:pPr>
            <w:r w:rsidRPr="00471CBA">
              <w:rPr>
                <w:color w:val="000000"/>
                <w:szCs w:val="20"/>
              </w:rPr>
              <w:t>-</w:t>
            </w:r>
          </w:p>
        </w:tc>
      </w:tr>
      <w:tr w:rsidR="00A74C68" w:rsidRPr="00471CBA" w14:paraId="2209D167" w14:textId="77777777" w:rsidTr="00A74C68">
        <w:trPr>
          <w:divId w:val="422803280"/>
          <w:trHeight w:val="227"/>
        </w:trPr>
        <w:tc>
          <w:tcPr>
            <w:tcW w:w="2108" w:type="pct"/>
            <w:tcBorders>
              <w:top w:val="nil"/>
              <w:left w:val="nil"/>
              <w:right w:val="nil"/>
            </w:tcBorders>
            <w:noWrap/>
            <w:vAlign w:val="bottom"/>
            <w:hideMark/>
          </w:tcPr>
          <w:p w14:paraId="72A426DC" w14:textId="77777777" w:rsidR="00A74C68" w:rsidRPr="00471CBA" w:rsidRDefault="00A74C68" w:rsidP="00A74C68">
            <w:pPr>
              <w:jc w:val="right"/>
              <w:rPr>
                <w:color w:val="000000"/>
                <w:szCs w:val="20"/>
              </w:rPr>
            </w:pPr>
          </w:p>
        </w:tc>
        <w:tc>
          <w:tcPr>
            <w:tcW w:w="728" w:type="pct"/>
            <w:tcBorders>
              <w:top w:val="nil"/>
              <w:left w:val="nil"/>
              <w:right w:val="nil"/>
            </w:tcBorders>
            <w:noWrap/>
            <w:vAlign w:val="center"/>
            <w:hideMark/>
          </w:tcPr>
          <w:p w14:paraId="1E73C514" w14:textId="77777777" w:rsidR="00A74C68" w:rsidRPr="00471CBA" w:rsidRDefault="00A74C68" w:rsidP="00A74C68">
            <w:pPr>
              <w:jc w:val="right"/>
              <w:rPr>
                <w:szCs w:val="20"/>
              </w:rPr>
            </w:pPr>
          </w:p>
        </w:tc>
        <w:tc>
          <w:tcPr>
            <w:tcW w:w="604" w:type="pct"/>
            <w:tcBorders>
              <w:top w:val="nil"/>
              <w:left w:val="nil"/>
              <w:right w:val="nil"/>
            </w:tcBorders>
            <w:noWrap/>
            <w:vAlign w:val="center"/>
            <w:hideMark/>
          </w:tcPr>
          <w:p w14:paraId="5A5C4D2E" w14:textId="77777777" w:rsidR="00A74C68" w:rsidRPr="00471CBA" w:rsidRDefault="00A74C68" w:rsidP="00A74C68">
            <w:pPr>
              <w:jc w:val="right"/>
              <w:rPr>
                <w:szCs w:val="20"/>
              </w:rPr>
            </w:pPr>
          </w:p>
        </w:tc>
      </w:tr>
      <w:tr w:rsidR="00A74C68" w:rsidRPr="00471CBA" w14:paraId="3204E1DB" w14:textId="77777777" w:rsidTr="00A74C68">
        <w:trPr>
          <w:divId w:val="422803280"/>
          <w:trHeight w:val="227"/>
        </w:trPr>
        <w:tc>
          <w:tcPr>
            <w:tcW w:w="2108" w:type="pct"/>
            <w:tcBorders>
              <w:top w:val="nil"/>
              <w:left w:val="nil"/>
              <w:bottom w:val="single" w:sz="12" w:space="0" w:color="auto"/>
              <w:right w:val="nil"/>
            </w:tcBorders>
            <w:noWrap/>
            <w:vAlign w:val="bottom"/>
            <w:hideMark/>
          </w:tcPr>
          <w:p w14:paraId="6DB32146" w14:textId="77777777" w:rsidR="00A74C68" w:rsidRPr="00471CBA" w:rsidRDefault="00A74C68" w:rsidP="00A74C68">
            <w:pPr>
              <w:jc w:val="both"/>
              <w:rPr>
                <w:b/>
                <w:bCs/>
                <w:color w:val="000000"/>
                <w:szCs w:val="20"/>
              </w:rPr>
            </w:pPr>
            <w:r w:rsidRPr="00471CBA">
              <w:rPr>
                <w:b/>
                <w:bCs/>
                <w:color w:val="000000"/>
                <w:szCs w:val="20"/>
              </w:rPr>
              <w:t>Toplam</w:t>
            </w:r>
          </w:p>
        </w:tc>
        <w:tc>
          <w:tcPr>
            <w:tcW w:w="728" w:type="pct"/>
            <w:tcBorders>
              <w:top w:val="nil"/>
              <w:left w:val="nil"/>
              <w:bottom w:val="single" w:sz="12" w:space="0" w:color="auto"/>
              <w:right w:val="nil"/>
            </w:tcBorders>
            <w:noWrap/>
            <w:vAlign w:val="center"/>
            <w:hideMark/>
          </w:tcPr>
          <w:p w14:paraId="0C1077DD" w14:textId="77777777" w:rsidR="00A74C68" w:rsidRPr="00471CBA" w:rsidRDefault="00A74C68" w:rsidP="00A74C68">
            <w:pPr>
              <w:jc w:val="right"/>
              <w:rPr>
                <w:b/>
                <w:bCs/>
                <w:color w:val="000000"/>
                <w:szCs w:val="20"/>
              </w:rPr>
            </w:pPr>
            <w:r w:rsidRPr="00471CBA">
              <w:rPr>
                <w:b/>
                <w:bCs/>
                <w:color w:val="000000"/>
                <w:szCs w:val="20"/>
              </w:rPr>
              <w:t>42.824</w:t>
            </w:r>
          </w:p>
        </w:tc>
        <w:tc>
          <w:tcPr>
            <w:tcW w:w="604" w:type="pct"/>
            <w:tcBorders>
              <w:top w:val="nil"/>
              <w:left w:val="nil"/>
              <w:bottom w:val="single" w:sz="12" w:space="0" w:color="auto"/>
              <w:right w:val="nil"/>
            </w:tcBorders>
            <w:noWrap/>
            <w:vAlign w:val="center"/>
            <w:hideMark/>
          </w:tcPr>
          <w:p w14:paraId="6ED30F75" w14:textId="77777777" w:rsidR="00A74C68" w:rsidRPr="00471CBA" w:rsidRDefault="00A74C68" w:rsidP="00A74C68">
            <w:pPr>
              <w:jc w:val="right"/>
              <w:rPr>
                <w:b/>
                <w:bCs/>
                <w:color w:val="000000"/>
                <w:szCs w:val="20"/>
              </w:rPr>
            </w:pPr>
            <w:r w:rsidRPr="00471CBA">
              <w:rPr>
                <w:b/>
                <w:bCs/>
                <w:color w:val="000000"/>
                <w:szCs w:val="20"/>
              </w:rPr>
              <w:t>17.473</w:t>
            </w:r>
          </w:p>
        </w:tc>
      </w:tr>
    </w:tbl>
    <w:p w14:paraId="5539B892" w14:textId="05E504BC" w:rsidR="00795F5E" w:rsidRPr="00471CBA" w:rsidRDefault="00795F5E" w:rsidP="00640868">
      <w:pPr>
        <w:widowControl w:val="0"/>
        <w:ind w:left="851"/>
        <w:jc w:val="both"/>
        <w:rPr>
          <w:szCs w:val="20"/>
        </w:rPr>
      </w:pPr>
    </w:p>
    <w:tbl>
      <w:tblPr>
        <w:tblW w:w="5000" w:type="pct"/>
        <w:tblCellMar>
          <w:left w:w="70" w:type="dxa"/>
          <w:right w:w="70" w:type="dxa"/>
        </w:tblCellMar>
        <w:tblLook w:val="04A0" w:firstRow="1" w:lastRow="0" w:firstColumn="1" w:lastColumn="0" w:noHBand="0" w:noVBand="1"/>
      </w:tblPr>
      <w:tblGrid>
        <w:gridCol w:w="5719"/>
        <w:gridCol w:w="1673"/>
        <w:gridCol w:w="1963"/>
      </w:tblGrid>
      <w:tr w:rsidR="001C13B0" w:rsidRPr="00471CBA" w14:paraId="3CAE7C40" w14:textId="77777777" w:rsidTr="003C662F">
        <w:trPr>
          <w:trHeight w:val="227"/>
        </w:trPr>
        <w:tc>
          <w:tcPr>
            <w:tcW w:w="3057" w:type="pct"/>
            <w:tcBorders>
              <w:top w:val="nil"/>
              <w:left w:val="nil"/>
              <w:bottom w:val="nil"/>
              <w:right w:val="nil"/>
            </w:tcBorders>
            <w:noWrap/>
            <w:vAlign w:val="bottom"/>
            <w:hideMark/>
          </w:tcPr>
          <w:p w14:paraId="12B635B3" w14:textId="77777777" w:rsidR="001C13B0" w:rsidRPr="00471CBA" w:rsidRDefault="001C13B0" w:rsidP="003D1625">
            <w:pPr>
              <w:rPr>
                <w:szCs w:val="20"/>
              </w:rPr>
            </w:pPr>
          </w:p>
        </w:tc>
        <w:tc>
          <w:tcPr>
            <w:tcW w:w="1943" w:type="pct"/>
            <w:gridSpan w:val="2"/>
            <w:tcBorders>
              <w:top w:val="nil"/>
              <w:left w:val="nil"/>
              <w:bottom w:val="single" w:sz="4" w:space="0" w:color="auto"/>
              <w:right w:val="nil"/>
            </w:tcBorders>
            <w:noWrap/>
            <w:vAlign w:val="bottom"/>
            <w:hideMark/>
          </w:tcPr>
          <w:p w14:paraId="1898E5A4" w14:textId="77777777" w:rsidR="001C13B0" w:rsidRPr="00471CBA" w:rsidRDefault="001C13B0" w:rsidP="003D1625">
            <w:pPr>
              <w:jc w:val="center"/>
              <w:rPr>
                <w:b/>
                <w:bCs/>
                <w:color w:val="000000"/>
                <w:szCs w:val="20"/>
              </w:rPr>
            </w:pPr>
            <w:r w:rsidRPr="00471CBA">
              <w:rPr>
                <w:b/>
                <w:bCs/>
                <w:color w:val="000000"/>
                <w:szCs w:val="20"/>
              </w:rPr>
              <w:t>31 Aralık 2024</w:t>
            </w:r>
          </w:p>
        </w:tc>
      </w:tr>
      <w:tr w:rsidR="001C13B0" w:rsidRPr="00471CBA" w14:paraId="4E382A43" w14:textId="77777777" w:rsidTr="003C662F">
        <w:trPr>
          <w:trHeight w:val="227"/>
        </w:trPr>
        <w:tc>
          <w:tcPr>
            <w:tcW w:w="3057" w:type="pct"/>
            <w:tcBorders>
              <w:top w:val="nil"/>
              <w:left w:val="nil"/>
              <w:bottom w:val="nil"/>
              <w:right w:val="nil"/>
            </w:tcBorders>
            <w:noWrap/>
            <w:vAlign w:val="bottom"/>
            <w:hideMark/>
          </w:tcPr>
          <w:p w14:paraId="0CE17B85" w14:textId="77777777" w:rsidR="001C13B0" w:rsidRPr="00471CBA" w:rsidRDefault="001C13B0" w:rsidP="003D1625">
            <w:pPr>
              <w:jc w:val="center"/>
              <w:rPr>
                <w:b/>
                <w:bCs/>
                <w:color w:val="000000"/>
                <w:szCs w:val="20"/>
              </w:rPr>
            </w:pPr>
          </w:p>
        </w:tc>
        <w:tc>
          <w:tcPr>
            <w:tcW w:w="894" w:type="pct"/>
            <w:tcBorders>
              <w:top w:val="nil"/>
              <w:left w:val="nil"/>
              <w:bottom w:val="single" w:sz="4" w:space="0" w:color="auto"/>
              <w:right w:val="nil"/>
            </w:tcBorders>
            <w:noWrap/>
            <w:hideMark/>
          </w:tcPr>
          <w:p w14:paraId="290110CB" w14:textId="77777777" w:rsidR="001C13B0" w:rsidRPr="00471CBA" w:rsidRDefault="001C13B0" w:rsidP="003D1625">
            <w:pPr>
              <w:jc w:val="center"/>
              <w:rPr>
                <w:b/>
                <w:bCs/>
                <w:color w:val="000000"/>
                <w:szCs w:val="20"/>
              </w:rPr>
            </w:pPr>
            <w:r w:rsidRPr="00471CBA">
              <w:rPr>
                <w:b/>
                <w:bCs/>
                <w:color w:val="000000"/>
                <w:szCs w:val="20"/>
              </w:rPr>
              <w:t>TP</w:t>
            </w:r>
          </w:p>
        </w:tc>
        <w:tc>
          <w:tcPr>
            <w:tcW w:w="1049" w:type="pct"/>
            <w:tcBorders>
              <w:top w:val="nil"/>
              <w:left w:val="nil"/>
              <w:bottom w:val="single" w:sz="4" w:space="0" w:color="auto"/>
              <w:right w:val="nil"/>
            </w:tcBorders>
            <w:noWrap/>
            <w:hideMark/>
          </w:tcPr>
          <w:p w14:paraId="28EE04BA" w14:textId="77777777" w:rsidR="001C13B0" w:rsidRPr="00471CBA" w:rsidRDefault="001C13B0" w:rsidP="003D1625">
            <w:pPr>
              <w:jc w:val="center"/>
              <w:rPr>
                <w:b/>
                <w:bCs/>
                <w:color w:val="000000"/>
                <w:szCs w:val="20"/>
              </w:rPr>
            </w:pPr>
            <w:r w:rsidRPr="00471CBA">
              <w:rPr>
                <w:b/>
                <w:bCs/>
                <w:color w:val="000000"/>
                <w:szCs w:val="20"/>
              </w:rPr>
              <w:t>YP</w:t>
            </w:r>
          </w:p>
        </w:tc>
      </w:tr>
      <w:tr w:rsidR="001C13B0" w:rsidRPr="00471CBA" w14:paraId="065A4104" w14:textId="77777777" w:rsidTr="003C662F">
        <w:trPr>
          <w:trHeight w:val="227"/>
        </w:trPr>
        <w:tc>
          <w:tcPr>
            <w:tcW w:w="3057" w:type="pct"/>
            <w:tcBorders>
              <w:top w:val="nil"/>
              <w:left w:val="nil"/>
              <w:bottom w:val="nil"/>
              <w:right w:val="nil"/>
            </w:tcBorders>
            <w:noWrap/>
            <w:vAlign w:val="bottom"/>
            <w:hideMark/>
          </w:tcPr>
          <w:p w14:paraId="5BBA2C3F" w14:textId="77777777" w:rsidR="001C13B0" w:rsidRPr="00471CBA" w:rsidRDefault="001C13B0" w:rsidP="003D1625">
            <w:pPr>
              <w:jc w:val="right"/>
              <w:rPr>
                <w:b/>
                <w:bCs/>
                <w:color w:val="000000"/>
                <w:szCs w:val="20"/>
              </w:rPr>
            </w:pPr>
          </w:p>
        </w:tc>
        <w:tc>
          <w:tcPr>
            <w:tcW w:w="894" w:type="pct"/>
            <w:tcBorders>
              <w:top w:val="nil"/>
              <w:left w:val="nil"/>
              <w:bottom w:val="nil"/>
              <w:right w:val="nil"/>
            </w:tcBorders>
            <w:noWrap/>
            <w:hideMark/>
          </w:tcPr>
          <w:p w14:paraId="39B34AEC" w14:textId="77777777" w:rsidR="001C13B0" w:rsidRPr="00471CBA" w:rsidRDefault="001C13B0" w:rsidP="003D1625">
            <w:pPr>
              <w:jc w:val="right"/>
              <w:rPr>
                <w:szCs w:val="20"/>
              </w:rPr>
            </w:pPr>
          </w:p>
        </w:tc>
        <w:tc>
          <w:tcPr>
            <w:tcW w:w="1049" w:type="pct"/>
            <w:tcBorders>
              <w:top w:val="nil"/>
              <w:left w:val="nil"/>
              <w:bottom w:val="nil"/>
              <w:right w:val="nil"/>
            </w:tcBorders>
            <w:noWrap/>
            <w:hideMark/>
          </w:tcPr>
          <w:p w14:paraId="2E4E2124" w14:textId="77777777" w:rsidR="001C13B0" w:rsidRPr="00471CBA" w:rsidRDefault="001C13B0" w:rsidP="003D1625">
            <w:pPr>
              <w:jc w:val="right"/>
              <w:rPr>
                <w:szCs w:val="20"/>
              </w:rPr>
            </w:pPr>
          </w:p>
        </w:tc>
      </w:tr>
      <w:tr w:rsidR="001C13B0" w:rsidRPr="00471CBA" w14:paraId="31EBDCB3" w14:textId="77777777" w:rsidTr="00873DBD">
        <w:trPr>
          <w:trHeight w:val="227"/>
        </w:trPr>
        <w:tc>
          <w:tcPr>
            <w:tcW w:w="3057" w:type="pct"/>
            <w:tcBorders>
              <w:top w:val="nil"/>
              <w:left w:val="nil"/>
              <w:bottom w:val="nil"/>
              <w:right w:val="nil"/>
            </w:tcBorders>
            <w:vAlign w:val="bottom"/>
            <w:hideMark/>
          </w:tcPr>
          <w:p w14:paraId="4F7CEF40" w14:textId="77777777" w:rsidR="001C13B0" w:rsidRPr="00471CBA" w:rsidRDefault="001C13B0" w:rsidP="003D1625">
            <w:pPr>
              <w:rPr>
                <w:color w:val="000000"/>
                <w:szCs w:val="20"/>
              </w:rPr>
            </w:pPr>
            <w:r w:rsidRPr="00471CBA">
              <w:rPr>
                <w:color w:val="000000"/>
                <w:szCs w:val="20"/>
              </w:rPr>
              <w:t>İştirakler, Bağlı Ortaklıklar ve Birlikte Kontrol Edilen Ortaklıklardan (İş Ortaklıklarından)</w:t>
            </w:r>
          </w:p>
        </w:tc>
        <w:tc>
          <w:tcPr>
            <w:tcW w:w="894" w:type="pct"/>
            <w:tcBorders>
              <w:top w:val="nil"/>
              <w:left w:val="nil"/>
              <w:bottom w:val="nil"/>
              <w:right w:val="nil"/>
            </w:tcBorders>
            <w:noWrap/>
            <w:vAlign w:val="bottom"/>
            <w:hideMark/>
          </w:tcPr>
          <w:p w14:paraId="5BB3FBA5" w14:textId="77777777" w:rsidR="001C13B0" w:rsidRPr="00471CBA" w:rsidRDefault="001C13B0" w:rsidP="00873DBD">
            <w:pPr>
              <w:jc w:val="right"/>
              <w:rPr>
                <w:color w:val="000000"/>
                <w:szCs w:val="20"/>
              </w:rPr>
            </w:pPr>
            <w:r w:rsidRPr="00471CBA">
              <w:rPr>
                <w:color w:val="000000"/>
                <w:szCs w:val="20"/>
              </w:rPr>
              <w:t>-</w:t>
            </w:r>
          </w:p>
        </w:tc>
        <w:tc>
          <w:tcPr>
            <w:tcW w:w="1049" w:type="pct"/>
            <w:tcBorders>
              <w:top w:val="nil"/>
              <w:left w:val="nil"/>
              <w:bottom w:val="nil"/>
              <w:right w:val="nil"/>
            </w:tcBorders>
            <w:noWrap/>
            <w:vAlign w:val="bottom"/>
            <w:hideMark/>
          </w:tcPr>
          <w:p w14:paraId="22C9C734" w14:textId="77777777" w:rsidR="001C13B0" w:rsidRPr="00471CBA" w:rsidRDefault="001C13B0" w:rsidP="00873DBD">
            <w:pPr>
              <w:jc w:val="right"/>
              <w:rPr>
                <w:color w:val="000000"/>
                <w:szCs w:val="20"/>
              </w:rPr>
            </w:pPr>
            <w:r w:rsidRPr="00471CBA">
              <w:rPr>
                <w:color w:val="000000"/>
                <w:szCs w:val="20"/>
              </w:rPr>
              <w:t>-</w:t>
            </w:r>
          </w:p>
        </w:tc>
      </w:tr>
      <w:tr w:rsidR="001C13B0" w:rsidRPr="00471CBA" w14:paraId="3035BA47" w14:textId="77777777" w:rsidTr="00873DBD">
        <w:trPr>
          <w:trHeight w:val="227"/>
        </w:trPr>
        <w:tc>
          <w:tcPr>
            <w:tcW w:w="3057" w:type="pct"/>
            <w:tcBorders>
              <w:top w:val="nil"/>
              <w:left w:val="nil"/>
              <w:bottom w:val="nil"/>
              <w:right w:val="nil"/>
            </w:tcBorders>
            <w:noWrap/>
            <w:vAlign w:val="bottom"/>
            <w:hideMark/>
          </w:tcPr>
          <w:p w14:paraId="407E8B74" w14:textId="77777777" w:rsidR="001C13B0" w:rsidRPr="00471CBA" w:rsidRDefault="001C13B0" w:rsidP="003D1625">
            <w:pPr>
              <w:jc w:val="both"/>
              <w:rPr>
                <w:color w:val="000000"/>
                <w:szCs w:val="20"/>
              </w:rPr>
            </w:pPr>
            <w:r w:rsidRPr="00471CBA">
              <w:rPr>
                <w:color w:val="000000"/>
                <w:szCs w:val="20"/>
              </w:rPr>
              <w:t>Değerleme Farkı</w:t>
            </w:r>
          </w:p>
        </w:tc>
        <w:tc>
          <w:tcPr>
            <w:tcW w:w="894" w:type="pct"/>
            <w:tcBorders>
              <w:top w:val="nil"/>
              <w:left w:val="nil"/>
              <w:bottom w:val="nil"/>
              <w:right w:val="nil"/>
            </w:tcBorders>
            <w:noWrap/>
            <w:vAlign w:val="bottom"/>
            <w:hideMark/>
          </w:tcPr>
          <w:p w14:paraId="18B193A5" w14:textId="77777777" w:rsidR="001C13B0" w:rsidRPr="00471CBA" w:rsidRDefault="001C13B0" w:rsidP="00873DBD">
            <w:pPr>
              <w:jc w:val="right"/>
              <w:rPr>
                <w:color w:val="000000"/>
                <w:szCs w:val="20"/>
              </w:rPr>
            </w:pPr>
            <w:r w:rsidRPr="00471CBA">
              <w:rPr>
                <w:color w:val="000000"/>
                <w:szCs w:val="20"/>
              </w:rPr>
              <w:t>8.303</w:t>
            </w:r>
          </w:p>
        </w:tc>
        <w:tc>
          <w:tcPr>
            <w:tcW w:w="1049" w:type="pct"/>
            <w:tcBorders>
              <w:top w:val="nil"/>
              <w:left w:val="nil"/>
              <w:bottom w:val="nil"/>
              <w:right w:val="nil"/>
            </w:tcBorders>
            <w:noWrap/>
            <w:vAlign w:val="bottom"/>
            <w:hideMark/>
          </w:tcPr>
          <w:p w14:paraId="6F79D6E3" w14:textId="77777777" w:rsidR="001C13B0" w:rsidRPr="00471CBA" w:rsidRDefault="001C13B0" w:rsidP="00873DBD">
            <w:pPr>
              <w:jc w:val="right"/>
              <w:rPr>
                <w:color w:val="000000"/>
                <w:szCs w:val="20"/>
              </w:rPr>
            </w:pPr>
            <w:r w:rsidRPr="00471CBA">
              <w:rPr>
                <w:color w:val="000000"/>
                <w:szCs w:val="20"/>
              </w:rPr>
              <w:t>-</w:t>
            </w:r>
          </w:p>
        </w:tc>
      </w:tr>
      <w:tr w:rsidR="001C13B0" w:rsidRPr="00471CBA" w14:paraId="65672CA0" w14:textId="77777777" w:rsidTr="00873DBD">
        <w:trPr>
          <w:trHeight w:val="227"/>
        </w:trPr>
        <w:tc>
          <w:tcPr>
            <w:tcW w:w="3057" w:type="pct"/>
            <w:tcBorders>
              <w:top w:val="nil"/>
              <w:left w:val="nil"/>
              <w:bottom w:val="single" w:sz="4" w:space="0" w:color="auto"/>
              <w:right w:val="nil"/>
            </w:tcBorders>
            <w:noWrap/>
            <w:vAlign w:val="bottom"/>
            <w:hideMark/>
          </w:tcPr>
          <w:p w14:paraId="1837FA5B" w14:textId="77777777" w:rsidR="001C13B0" w:rsidRPr="00471CBA" w:rsidRDefault="001C13B0" w:rsidP="003D1625">
            <w:pPr>
              <w:jc w:val="both"/>
              <w:rPr>
                <w:color w:val="000000"/>
                <w:szCs w:val="20"/>
              </w:rPr>
            </w:pPr>
            <w:r w:rsidRPr="00471CBA">
              <w:rPr>
                <w:color w:val="000000"/>
                <w:szCs w:val="20"/>
              </w:rPr>
              <w:t>Kur Farkı</w:t>
            </w:r>
          </w:p>
        </w:tc>
        <w:tc>
          <w:tcPr>
            <w:tcW w:w="894" w:type="pct"/>
            <w:tcBorders>
              <w:top w:val="nil"/>
              <w:left w:val="nil"/>
              <w:bottom w:val="single" w:sz="4" w:space="0" w:color="auto"/>
              <w:right w:val="nil"/>
            </w:tcBorders>
            <w:noWrap/>
            <w:vAlign w:val="bottom"/>
            <w:hideMark/>
          </w:tcPr>
          <w:p w14:paraId="6D59202D" w14:textId="77777777" w:rsidR="001C13B0" w:rsidRPr="00471CBA" w:rsidRDefault="001C13B0" w:rsidP="00873DBD">
            <w:pPr>
              <w:jc w:val="right"/>
              <w:rPr>
                <w:color w:val="000000"/>
                <w:szCs w:val="20"/>
              </w:rPr>
            </w:pPr>
            <w:r w:rsidRPr="00471CBA">
              <w:rPr>
                <w:color w:val="000000"/>
                <w:szCs w:val="20"/>
              </w:rPr>
              <w:t>-</w:t>
            </w:r>
          </w:p>
        </w:tc>
        <w:tc>
          <w:tcPr>
            <w:tcW w:w="1049" w:type="pct"/>
            <w:tcBorders>
              <w:top w:val="nil"/>
              <w:left w:val="nil"/>
              <w:bottom w:val="single" w:sz="4" w:space="0" w:color="auto"/>
              <w:right w:val="nil"/>
            </w:tcBorders>
            <w:noWrap/>
            <w:vAlign w:val="bottom"/>
            <w:hideMark/>
          </w:tcPr>
          <w:p w14:paraId="0F34532A" w14:textId="77777777" w:rsidR="001C13B0" w:rsidRPr="00471CBA" w:rsidRDefault="001C13B0" w:rsidP="00873DBD">
            <w:pPr>
              <w:jc w:val="right"/>
              <w:rPr>
                <w:color w:val="000000"/>
                <w:szCs w:val="20"/>
              </w:rPr>
            </w:pPr>
            <w:r w:rsidRPr="00471CBA">
              <w:rPr>
                <w:color w:val="000000"/>
                <w:szCs w:val="20"/>
              </w:rPr>
              <w:t>-</w:t>
            </w:r>
          </w:p>
        </w:tc>
      </w:tr>
      <w:tr w:rsidR="001C13B0" w:rsidRPr="00471CBA" w14:paraId="07AF9379" w14:textId="77777777" w:rsidTr="00873DBD">
        <w:trPr>
          <w:trHeight w:val="227"/>
        </w:trPr>
        <w:tc>
          <w:tcPr>
            <w:tcW w:w="3057" w:type="pct"/>
            <w:tcBorders>
              <w:top w:val="nil"/>
              <w:left w:val="nil"/>
              <w:right w:val="nil"/>
            </w:tcBorders>
            <w:noWrap/>
            <w:vAlign w:val="bottom"/>
            <w:hideMark/>
          </w:tcPr>
          <w:p w14:paraId="4227E312" w14:textId="77777777" w:rsidR="001C13B0" w:rsidRPr="00471CBA" w:rsidRDefault="001C13B0" w:rsidP="003D1625">
            <w:pPr>
              <w:jc w:val="right"/>
              <w:rPr>
                <w:color w:val="000000"/>
                <w:szCs w:val="20"/>
              </w:rPr>
            </w:pPr>
          </w:p>
        </w:tc>
        <w:tc>
          <w:tcPr>
            <w:tcW w:w="894" w:type="pct"/>
            <w:tcBorders>
              <w:top w:val="nil"/>
              <w:left w:val="nil"/>
              <w:right w:val="nil"/>
            </w:tcBorders>
            <w:noWrap/>
            <w:vAlign w:val="bottom"/>
            <w:hideMark/>
          </w:tcPr>
          <w:p w14:paraId="01062722" w14:textId="77777777" w:rsidR="001C13B0" w:rsidRPr="00471CBA" w:rsidRDefault="001C13B0" w:rsidP="00873DBD">
            <w:pPr>
              <w:jc w:val="right"/>
              <w:rPr>
                <w:color w:val="000000"/>
                <w:szCs w:val="20"/>
                <w:lang w:eastAsia="tr-TR"/>
              </w:rPr>
            </w:pPr>
            <w:r w:rsidRPr="00471CBA">
              <w:rPr>
                <w:szCs w:val="20"/>
              </w:rPr>
              <w:t> </w:t>
            </w:r>
          </w:p>
        </w:tc>
        <w:tc>
          <w:tcPr>
            <w:tcW w:w="1049" w:type="pct"/>
            <w:tcBorders>
              <w:top w:val="nil"/>
              <w:left w:val="nil"/>
              <w:right w:val="nil"/>
            </w:tcBorders>
            <w:noWrap/>
            <w:vAlign w:val="bottom"/>
            <w:hideMark/>
          </w:tcPr>
          <w:p w14:paraId="6417FF72" w14:textId="77777777" w:rsidR="001C13B0" w:rsidRPr="00471CBA" w:rsidRDefault="001C13B0" w:rsidP="00873DBD">
            <w:pPr>
              <w:jc w:val="right"/>
              <w:rPr>
                <w:color w:val="000000"/>
                <w:szCs w:val="20"/>
                <w:lang w:eastAsia="tr-TR"/>
              </w:rPr>
            </w:pPr>
            <w:r w:rsidRPr="00471CBA">
              <w:rPr>
                <w:szCs w:val="20"/>
              </w:rPr>
              <w:t> </w:t>
            </w:r>
          </w:p>
        </w:tc>
      </w:tr>
      <w:tr w:rsidR="001C13B0" w:rsidRPr="00471CBA" w14:paraId="16B815E6" w14:textId="77777777" w:rsidTr="00873DBD">
        <w:trPr>
          <w:trHeight w:val="227"/>
        </w:trPr>
        <w:tc>
          <w:tcPr>
            <w:tcW w:w="3057" w:type="pct"/>
            <w:tcBorders>
              <w:top w:val="nil"/>
              <w:left w:val="nil"/>
              <w:bottom w:val="single" w:sz="12" w:space="0" w:color="auto"/>
              <w:right w:val="nil"/>
            </w:tcBorders>
            <w:noWrap/>
            <w:vAlign w:val="bottom"/>
            <w:hideMark/>
          </w:tcPr>
          <w:p w14:paraId="75B943B3" w14:textId="77777777" w:rsidR="001C13B0" w:rsidRPr="00471CBA" w:rsidRDefault="001C13B0" w:rsidP="003D1625">
            <w:pPr>
              <w:jc w:val="both"/>
              <w:rPr>
                <w:b/>
                <w:bCs/>
                <w:color w:val="000000"/>
                <w:szCs w:val="20"/>
              </w:rPr>
            </w:pPr>
            <w:r w:rsidRPr="00471CBA">
              <w:rPr>
                <w:b/>
                <w:bCs/>
                <w:color w:val="000000"/>
                <w:szCs w:val="20"/>
              </w:rPr>
              <w:t>Toplam</w:t>
            </w:r>
          </w:p>
        </w:tc>
        <w:tc>
          <w:tcPr>
            <w:tcW w:w="894" w:type="pct"/>
            <w:tcBorders>
              <w:top w:val="nil"/>
              <w:left w:val="nil"/>
              <w:bottom w:val="single" w:sz="12" w:space="0" w:color="auto"/>
              <w:right w:val="nil"/>
            </w:tcBorders>
            <w:noWrap/>
            <w:vAlign w:val="bottom"/>
            <w:hideMark/>
          </w:tcPr>
          <w:p w14:paraId="1D6C654F" w14:textId="77777777" w:rsidR="001C13B0" w:rsidRPr="00471CBA" w:rsidRDefault="001C13B0" w:rsidP="00873DBD">
            <w:pPr>
              <w:jc w:val="right"/>
              <w:rPr>
                <w:b/>
                <w:bCs/>
                <w:color w:val="000000"/>
                <w:szCs w:val="20"/>
              </w:rPr>
            </w:pPr>
            <w:r w:rsidRPr="00471CBA">
              <w:rPr>
                <w:b/>
                <w:bCs/>
                <w:color w:val="000000"/>
                <w:szCs w:val="20"/>
              </w:rPr>
              <w:t>8.303</w:t>
            </w:r>
          </w:p>
        </w:tc>
        <w:tc>
          <w:tcPr>
            <w:tcW w:w="1049" w:type="pct"/>
            <w:tcBorders>
              <w:top w:val="nil"/>
              <w:left w:val="nil"/>
              <w:bottom w:val="single" w:sz="12" w:space="0" w:color="auto"/>
              <w:right w:val="nil"/>
            </w:tcBorders>
            <w:noWrap/>
            <w:vAlign w:val="bottom"/>
            <w:hideMark/>
          </w:tcPr>
          <w:p w14:paraId="62775300" w14:textId="77777777" w:rsidR="001C13B0" w:rsidRPr="00471CBA" w:rsidRDefault="001C13B0" w:rsidP="00873DBD">
            <w:pPr>
              <w:jc w:val="right"/>
              <w:rPr>
                <w:b/>
                <w:bCs/>
                <w:color w:val="000000"/>
                <w:szCs w:val="20"/>
              </w:rPr>
            </w:pPr>
            <w:r w:rsidRPr="00471CBA">
              <w:rPr>
                <w:b/>
                <w:bCs/>
                <w:color w:val="000000"/>
                <w:szCs w:val="20"/>
              </w:rPr>
              <w:t>-</w:t>
            </w:r>
          </w:p>
        </w:tc>
      </w:tr>
    </w:tbl>
    <w:p w14:paraId="0D5CAF94" w14:textId="77777777" w:rsidR="001C13B0" w:rsidRPr="00471CBA" w:rsidRDefault="001C13B0" w:rsidP="00640868">
      <w:pPr>
        <w:widowControl w:val="0"/>
        <w:ind w:left="851"/>
        <w:jc w:val="both"/>
        <w:rPr>
          <w:szCs w:val="20"/>
        </w:rPr>
      </w:pPr>
    </w:p>
    <w:p w14:paraId="646039F2" w14:textId="15B05ED1" w:rsidR="00DB0C58" w:rsidRPr="00471CBA" w:rsidRDefault="00DB0C58" w:rsidP="00287A92">
      <w:pPr>
        <w:widowControl w:val="0"/>
        <w:numPr>
          <w:ilvl w:val="0"/>
          <w:numId w:val="7"/>
        </w:numPr>
        <w:tabs>
          <w:tab w:val="clear" w:pos="547"/>
        </w:tabs>
        <w:ind w:left="1276" w:right="329" w:hanging="425"/>
        <w:jc w:val="both"/>
        <w:rPr>
          <w:b/>
          <w:szCs w:val="20"/>
        </w:rPr>
      </w:pPr>
      <w:r w:rsidRPr="00471CBA">
        <w:rPr>
          <w:b/>
          <w:szCs w:val="20"/>
        </w:rPr>
        <w:t xml:space="preserve">Diğer sermaye yedeklerine ilişkin bilgiler: </w:t>
      </w:r>
    </w:p>
    <w:p w14:paraId="0FFC1AB5" w14:textId="77777777" w:rsidR="00795F5E" w:rsidRPr="00471CBA" w:rsidRDefault="00795F5E" w:rsidP="00795F5E">
      <w:pPr>
        <w:widowControl w:val="0"/>
        <w:jc w:val="both"/>
        <w:rPr>
          <w:szCs w:val="20"/>
        </w:rPr>
      </w:pPr>
    </w:p>
    <w:p w14:paraId="651AE20C" w14:textId="77777777" w:rsidR="008679D6" w:rsidRPr="00471CBA" w:rsidRDefault="008679D6" w:rsidP="008679D6">
      <w:pPr>
        <w:widowControl w:val="0"/>
        <w:ind w:left="851"/>
        <w:jc w:val="both"/>
        <w:rPr>
          <w:szCs w:val="20"/>
        </w:rPr>
      </w:pPr>
      <w:bookmarkStart w:id="139" w:name="_Hlk194935520"/>
      <w:r w:rsidRPr="00471CBA">
        <w:rPr>
          <w:szCs w:val="20"/>
        </w:rPr>
        <w:t>Bulunmamaktadır.</w:t>
      </w:r>
    </w:p>
    <w:bookmarkEnd w:id="139"/>
    <w:p w14:paraId="00FCAAA9" w14:textId="77777777" w:rsidR="000F1F01" w:rsidRPr="00471CBA" w:rsidRDefault="000F1F01" w:rsidP="000F1F01"/>
    <w:p w14:paraId="782BB3D0" w14:textId="77777777" w:rsidR="000F1F01" w:rsidRPr="00471CBA" w:rsidRDefault="000F1F01" w:rsidP="000F1F01">
      <w:pPr>
        <w:widowControl w:val="0"/>
        <w:numPr>
          <w:ilvl w:val="0"/>
          <w:numId w:val="7"/>
        </w:numPr>
        <w:tabs>
          <w:tab w:val="clear" w:pos="547"/>
        </w:tabs>
        <w:ind w:left="1276" w:right="329" w:hanging="425"/>
        <w:jc w:val="both"/>
        <w:rPr>
          <w:b/>
          <w:szCs w:val="20"/>
        </w:rPr>
      </w:pPr>
      <w:r w:rsidRPr="00471CBA">
        <w:rPr>
          <w:b/>
          <w:szCs w:val="20"/>
        </w:rPr>
        <w:t>Genel kurul ve kar dağıtımına ilişkin bilgiler:</w:t>
      </w:r>
    </w:p>
    <w:p w14:paraId="3F9E2907" w14:textId="77777777" w:rsidR="000F1F01" w:rsidRPr="00471CBA" w:rsidRDefault="000F1F01" w:rsidP="008051F6"/>
    <w:p w14:paraId="3198B74D" w14:textId="0F02408D" w:rsidR="006025D3" w:rsidRDefault="000F1F01" w:rsidP="000F1F01">
      <w:pPr>
        <w:widowControl w:val="0"/>
        <w:ind w:left="851" w:right="329"/>
        <w:jc w:val="both"/>
        <w:rPr>
          <w:szCs w:val="20"/>
        </w:rPr>
      </w:pPr>
      <w:r w:rsidRPr="00471CBA">
        <w:rPr>
          <w:szCs w:val="20"/>
        </w:rPr>
        <w:t>Banka’nın 7 Nisan 2025 tarihinde yapılan 2024 yılı olağan genel kurul toplantısında, Bankanın 2024 yılı hesap dönemi net karı olan 1.353.642 TL’den geçmiş yıl zararı olan 13.048 TL’nin mahsup edilmesi birinci tertip yasal yedek olarak 67.030 TL’nin ayrılmasına dağıtılabilir net dönem karı olan 1.273.565 TL’nin olağanüstü yedeklere aktarılarak bu tutarın 1.273.000 TL’sinin sermayeye eklenmesine ve k</w:t>
      </w:r>
      <w:r w:rsidR="001A75DA" w:rsidRPr="00471CBA">
        <w:rPr>
          <w:szCs w:val="20"/>
        </w:rPr>
        <w:t>â</w:t>
      </w:r>
      <w:r w:rsidRPr="00471CBA">
        <w:rPr>
          <w:szCs w:val="20"/>
        </w:rPr>
        <w:t>r</w:t>
      </w:r>
      <w:r w:rsidR="001A75DA" w:rsidRPr="00471CBA">
        <w:rPr>
          <w:szCs w:val="20"/>
        </w:rPr>
        <w:t xml:space="preserve"> </w:t>
      </w:r>
      <w:r w:rsidRPr="00471CBA">
        <w:rPr>
          <w:szCs w:val="20"/>
        </w:rPr>
        <w:t>dağıtılmamasına karar verilmiştir.</w:t>
      </w:r>
      <w:r w:rsidR="006025D3">
        <w:rPr>
          <w:szCs w:val="20"/>
        </w:rPr>
        <w:br w:type="page"/>
      </w:r>
    </w:p>
    <w:p w14:paraId="723A99BD" w14:textId="77777777" w:rsidR="00264203" w:rsidRPr="00471CBA" w:rsidRDefault="00264203" w:rsidP="00264203">
      <w:pPr>
        <w:widowControl w:val="0"/>
        <w:spacing w:line="228" w:lineRule="auto"/>
        <w:jc w:val="both"/>
        <w:rPr>
          <w:b/>
          <w:szCs w:val="20"/>
        </w:rPr>
      </w:pPr>
      <w:r w:rsidRPr="00471CBA">
        <w:rPr>
          <w:b/>
          <w:szCs w:val="20"/>
        </w:rPr>
        <w:t>KONSOLİDE OLMAYAN FİNANSAL TABLOLARA İLİŞKİN AÇIKLAMA VE DİPNOTLAR (Devamı)</w:t>
      </w:r>
    </w:p>
    <w:p w14:paraId="31B7C62E" w14:textId="77777777" w:rsidR="00264203" w:rsidRPr="00471CBA" w:rsidRDefault="00264203" w:rsidP="009F6E11">
      <w:pPr>
        <w:widowControl w:val="0"/>
        <w:spacing w:line="228" w:lineRule="auto"/>
        <w:ind w:left="851" w:hanging="851"/>
        <w:jc w:val="both"/>
        <w:rPr>
          <w:b/>
          <w:szCs w:val="20"/>
        </w:rPr>
      </w:pPr>
    </w:p>
    <w:p w14:paraId="7F049EFD" w14:textId="2BCEA5B4" w:rsidR="00136C29" w:rsidRPr="00471CBA" w:rsidRDefault="001D6A38" w:rsidP="009F6E11">
      <w:pPr>
        <w:widowControl w:val="0"/>
        <w:spacing w:line="228" w:lineRule="auto"/>
        <w:ind w:left="851" w:hanging="851"/>
        <w:jc w:val="both"/>
        <w:rPr>
          <w:b/>
          <w:szCs w:val="20"/>
        </w:rPr>
      </w:pPr>
      <w:r w:rsidRPr="00471CBA">
        <w:rPr>
          <w:b/>
          <w:szCs w:val="20"/>
        </w:rPr>
        <w:t xml:space="preserve">III. </w:t>
      </w:r>
      <w:r w:rsidRPr="00471CBA">
        <w:rPr>
          <w:b/>
          <w:szCs w:val="20"/>
        </w:rPr>
        <w:tab/>
        <w:t>NAZIM HESAPLARA İLİŞKİN AÇIKLAMA VE DİPNOTLAR</w:t>
      </w:r>
    </w:p>
    <w:p w14:paraId="43AE6EF9" w14:textId="77777777" w:rsidR="00392FA9" w:rsidRPr="00471CBA" w:rsidRDefault="00392FA9" w:rsidP="00CD770B">
      <w:pPr>
        <w:widowControl w:val="0"/>
        <w:spacing w:line="228" w:lineRule="auto"/>
        <w:ind w:left="-14" w:hanging="504"/>
        <w:jc w:val="both"/>
        <w:rPr>
          <w:b/>
          <w:szCs w:val="20"/>
        </w:rPr>
      </w:pPr>
    </w:p>
    <w:p w14:paraId="6F544F5C" w14:textId="72EA6E94" w:rsidR="00136C29" w:rsidRPr="00471CBA" w:rsidRDefault="00136C29" w:rsidP="00212E4A">
      <w:pPr>
        <w:pStyle w:val="ListeParagraf"/>
        <w:widowControl w:val="0"/>
        <w:numPr>
          <w:ilvl w:val="0"/>
          <w:numId w:val="38"/>
        </w:numPr>
        <w:spacing w:line="228" w:lineRule="auto"/>
        <w:ind w:left="851" w:hanging="851"/>
        <w:jc w:val="both"/>
        <w:rPr>
          <w:b/>
          <w:szCs w:val="20"/>
        </w:rPr>
      </w:pPr>
      <w:r w:rsidRPr="00471CBA">
        <w:rPr>
          <w:b/>
          <w:szCs w:val="20"/>
        </w:rPr>
        <w:t>Nazım hesaplarda yer alan yükümlülüklere ilişkin açıklam</w:t>
      </w:r>
      <w:r w:rsidR="00D776E6" w:rsidRPr="00471CBA">
        <w:rPr>
          <w:b/>
          <w:szCs w:val="20"/>
        </w:rPr>
        <w:t>a</w:t>
      </w:r>
      <w:r w:rsidR="00E925B4" w:rsidRPr="00471CBA">
        <w:rPr>
          <w:b/>
          <w:szCs w:val="20"/>
        </w:rPr>
        <w:t>:</w:t>
      </w:r>
    </w:p>
    <w:p w14:paraId="6A702406" w14:textId="77777777" w:rsidR="00392FA9" w:rsidRPr="00471CBA" w:rsidRDefault="00392FA9" w:rsidP="00CD770B">
      <w:pPr>
        <w:widowControl w:val="0"/>
        <w:spacing w:line="228" w:lineRule="auto"/>
        <w:ind w:left="-14" w:hanging="518"/>
        <w:jc w:val="both"/>
        <w:rPr>
          <w:b/>
          <w:szCs w:val="20"/>
        </w:rPr>
      </w:pPr>
    </w:p>
    <w:p w14:paraId="10757B94" w14:textId="0D1AD6EA" w:rsidR="00136C29" w:rsidRPr="00471CBA" w:rsidRDefault="00136C29" w:rsidP="00212E4A">
      <w:pPr>
        <w:pStyle w:val="ListeParagraf"/>
        <w:widowControl w:val="0"/>
        <w:numPr>
          <w:ilvl w:val="2"/>
          <w:numId w:val="24"/>
        </w:numPr>
        <w:spacing w:line="228" w:lineRule="auto"/>
        <w:ind w:left="1276" w:hanging="425"/>
        <w:jc w:val="both"/>
        <w:rPr>
          <w:b/>
          <w:szCs w:val="20"/>
        </w:rPr>
      </w:pPr>
      <w:r w:rsidRPr="00471CBA">
        <w:rPr>
          <w:b/>
          <w:szCs w:val="20"/>
        </w:rPr>
        <w:t>Gayri kabili rücu nitelikteki kredi taahhütlerinin türü ve miktarı:</w:t>
      </w:r>
    </w:p>
    <w:p w14:paraId="45053D81" w14:textId="1C911BD2" w:rsidR="00A74C68" w:rsidRPr="00471CBA" w:rsidRDefault="00A74C68" w:rsidP="00CD770B">
      <w:pPr>
        <w:widowControl w:val="0"/>
        <w:spacing w:line="228" w:lineRule="auto"/>
        <w:ind w:left="-14" w:hanging="504"/>
        <w:jc w:val="both"/>
        <w:rPr>
          <w:szCs w:val="20"/>
        </w:rPr>
      </w:pPr>
    </w:p>
    <w:tbl>
      <w:tblPr>
        <w:tblW w:w="5000" w:type="pct"/>
        <w:tblCellMar>
          <w:left w:w="70" w:type="dxa"/>
          <w:right w:w="70" w:type="dxa"/>
        </w:tblCellMar>
        <w:tblLook w:val="04A0" w:firstRow="1" w:lastRow="0" w:firstColumn="1" w:lastColumn="0" w:noHBand="0" w:noVBand="1"/>
      </w:tblPr>
      <w:tblGrid>
        <w:gridCol w:w="7151"/>
        <w:gridCol w:w="2204"/>
      </w:tblGrid>
      <w:tr w:rsidR="00A74C68" w:rsidRPr="00471CBA" w14:paraId="43F5499F" w14:textId="77777777" w:rsidTr="00A74C68">
        <w:trPr>
          <w:divId w:val="1351252707"/>
          <w:trHeight w:val="227"/>
        </w:trPr>
        <w:tc>
          <w:tcPr>
            <w:tcW w:w="3239" w:type="pct"/>
            <w:tcBorders>
              <w:top w:val="nil"/>
              <w:left w:val="nil"/>
              <w:bottom w:val="nil"/>
              <w:right w:val="nil"/>
            </w:tcBorders>
            <w:noWrap/>
            <w:vAlign w:val="bottom"/>
            <w:hideMark/>
          </w:tcPr>
          <w:p w14:paraId="020ADB56" w14:textId="2D8AE879" w:rsidR="00A74C68" w:rsidRPr="00471CBA" w:rsidRDefault="00A74C68" w:rsidP="00A74C68">
            <w:pPr>
              <w:rPr>
                <w:szCs w:val="20"/>
              </w:rPr>
            </w:pPr>
          </w:p>
        </w:tc>
        <w:tc>
          <w:tcPr>
            <w:tcW w:w="998" w:type="pct"/>
            <w:tcBorders>
              <w:top w:val="nil"/>
              <w:left w:val="nil"/>
              <w:bottom w:val="single" w:sz="4" w:space="0" w:color="auto"/>
              <w:right w:val="nil"/>
            </w:tcBorders>
            <w:noWrap/>
            <w:vAlign w:val="center"/>
            <w:hideMark/>
          </w:tcPr>
          <w:p w14:paraId="758D2C9C" w14:textId="77777777" w:rsidR="00A74C68" w:rsidRPr="00471CBA" w:rsidRDefault="00A74C68" w:rsidP="00A74C68">
            <w:pPr>
              <w:jc w:val="center"/>
              <w:rPr>
                <w:b/>
                <w:bCs/>
                <w:color w:val="000000"/>
                <w:szCs w:val="20"/>
              </w:rPr>
            </w:pPr>
            <w:r w:rsidRPr="00471CBA">
              <w:rPr>
                <w:b/>
                <w:bCs/>
                <w:color w:val="000000"/>
                <w:szCs w:val="20"/>
              </w:rPr>
              <w:t>31 Aralık 2025</w:t>
            </w:r>
          </w:p>
        </w:tc>
      </w:tr>
      <w:tr w:rsidR="00A74C68" w:rsidRPr="00471CBA" w14:paraId="4441EE30" w14:textId="77777777" w:rsidTr="00A74C68">
        <w:trPr>
          <w:divId w:val="1351252707"/>
          <w:trHeight w:val="227"/>
        </w:trPr>
        <w:tc>
          <w:tcPr>
            <w:tcW w:w="3239" w:type="pct"/>
            <w:tcBorders>
              <w:top w:val="nil"/>
              <w:left w:val="nil"/>
              <w:bottom w:val="nil"/>
              <w:right w:val="nil"/>
            </w:tcBorders>
            <w:noWrap/>
            <w:vAlign w:val="bottom"/>
            <w:hideMark/>
          </w:tcPr>
          <w:p w14:paraId="3416275D" w14:textId="77777777" w:rsidR="00A74C68" w:rsidRPr="00471CBA" w:rsidRDefault="00A74C68" w:rsidP="00A74C68">
            <w:pPr>
              <w:jc w:val="center"/>
              <w:rPr>
                <w:b/>
                <w:bCs/>
                <w:color w:val="000000"/>
                <w:szCs w:val="20"/>
              </w:rPr>
            </w:pPr>
          </w:p>
        </w:tc>
        <w:tc>
          <w:tcPr>
            <w:tcW w:w="998" w:type="pct"/>
            <w:tcBorders>
              <w:top w:val="single" w:sz="4" w:space="0" w:color="auto"/>
              <w:left w:val="nil"/>
              <w:bottom w:val="nil"/>
              <w:right w:val="nil"/>
            </w:tcBorders>
            <w:noWrap/>
            <w:vAlign w:val="bottom"/>
            <w:hideMark/>
          </w:tcPr>
          <w:p w14:paraId="50F0E304" w14:textId="77777777" w:rsidR="00A74C68" w:rsidRPr="00471CBA" w:rsidRDefault="00A74C68" w:rsidP="00A74C68">
            <w:pPr>
              <w:rPr>
                <w:szCs w:val="20"/>
              </w:rPr>
            </w:pPr>
          </w:p>
        </w:tc>
      </w:tr>
      <w:tr w:rsidR="00A74C68" w:rsidRPr="00471CBA" w14:paraId="75D2B19B" w14:textId="77777777" w:rsidTr="00A74C68">
        <w:trPr>
          <w:divId w:val="1351252707"/>
          <w:trHeight w:val="227"/>
        </w:trPr>
        <w:tc>
          <w:tcPr>
            <w:tcW w:w="3239" w:type="pct"/>
            <w:tcBorders>
              <w:top w:val="nil"/>
              <w:left w:val="nil"/>
              <w:bottom w:val="nil"/>
              <w:right w:val="nil"/>
            </w:tcBorders>
            <w:noWrap/>
            <w:vAlign w:val="center"/>
            <w:hideMark/>
          </w:tcPr>
          <w:p w14:paraId="305B8A32" w14:textId="77777777" w:rsidR="00A74C68" w:rsidRPr="00471CBA" w:rsidRDefault="00A74C68" w:rsidP="00A74C68">
            <w:pPr>
              <w:rPr>
                <w:color w:val="000000"/>
                <w:szCs w:val="20"/>
              </w:rPr>
            </w:pPr>
            <w:r w:rsidRPr="00471CBA">
              <w:rPr>
                <w:color w:val="000000"/>
                <w:szCs w:val="20"/>
              </w:rPr>
              <w:t>Kredi Kartları Harcama Limiti Taahhütleri</w:t>
            </w:r>
          </w:p>
        </w:tc>
        <w:tc>
          <w:tcPr>
            <w:tcW w:w="998" w:type="pct"/>
            <w:tcBorders>
              <w:top w:val="nil"/>
              <w:left w:val="nil"/>
              <w:bottom w:val="nil"/>
              <w:right w:val="nil"/>
            </w:tcBorders>
            <w:noWrap/>
            <w:vAlign w:val="center"/>
            <w:hideMark/>
          </w:tcPr>
          <w:p w14:paraId="42D16313" w14:textId="77777777" w:rsidR="00A74C68" w:rsidRPr="00471CBA" w:rsidRDefault="00A74C68" w:rsidP="00A74C68">
            <w:pPr>
              <w:jc w:val="right"/>
              <w:rPr>
                <w:color w:val="000000"/>
                <w:szCs w:val="20"/>
              </w:rPr>
            </w:pPr>
            <w:r w:rsidRPr="00471CBA">
              <w:rPr>
                <w:color w:val="000000"/>
                <w:szCs w:val="20"/>
              </w:rPr>
              <w:t>288.007</w:t>
            </w:r>
          </w:p>
        </w:tc>
      </w:tr>
      <w:tr w:rsidR="00A74C68" w:rsidRPr="00471CBA" w14:paraId="61D0C178" w14:textId="77777777" w:rsidTr="00A74C68">
        <w:trPr>
          <w:divId w:val="1351252707"/>
          <w:trHeight w:val="227"/>
        </w:trPr>
        <w:tc>
          <w:tcPr>
            <w:tcW w:w="3239" w:type="pct"/>
            <w:tcBorders>
              <w:top w:val="nil"/>
              <w:left w:val="nil"/>
              <w:bottom w:val="nil"/>
              <w:right w:val="nil"/>
            </w:tcBorders>
            <w:noWrap/>
            <w:vAlign w:val="center"/>
            <w:hideMark/>
          </w:tcPr>
          <w:p w14:paraId="2EF4821E" w14:textId="77777777" w:rsidR="00A74C68" w:rsidRPr="00471CBA" w:rsidRDefault="00A74C68" w:rsidP="00A74C68">
            <w:pPr>
              <w:rPr>
                <w:color w:val="000000"/>
                <w:szCs w:val="20"/>
              </w:rPr>
            </w:pPr>
            <w:r w:rsidRPr="00471CBA">
              <w:rPr>
                <w:color w:val="000000"/>
                <w:szCs w:val="20"/>
              </w:rPr>
              <w:t>Çekler İçin Ödeme Taahhütleri</w:t>
            </w:r>
          </w:p>
        </w:tc>
        <w:tc>
          <w:tcPr>
            <w:tcW w:w="998" w:type="pct"/>
            <w:tcBorders>
              <w:top w:val="nil"/>
              <w:left w:val="nil"/>
              <w:bottom w:val="nil"/>
              <w:right w:val="nil"/>
            </w:tcBorders>
            <w:noWrap/>
            <w:vAlign w:val="center"/>
            <w:hideMark/>
          </w:tcPr>
          <w:p w14:paraId="753087A5" w14:textId="77777777" w:rsidR="00A74C68" w:rsidRPr="00471CBA" w:rsidRDefault="00A74C68" w:rsidP="00A74C68">
            <w:pPr>
              <w:jc w:val="right"/>
              <w:rPr>
                <w:color w:val="000000"/>
                <w:szCs w:val="20"/>
              </w:rPr>
            </w:pPr>
            <w:r w:rsidRPr="00471CBA">
              <w:rPr>
                <w:color w:val="000000"/>
                <w:szCs w:val="20"/>
              </w:rPr>
              <w:t>39.923</w:t>
            </w:r>
          </w:p>
        </w:tc>
      </w:tr>
      <w:tr w:rsidR="00A74C68" w:rsidRPr="00471CBA" w14:paraId="4DB6772B" w14:textId="77777777" w:rsidTr="00A74C68">
        <w:trPr>
          <w:divId w:val="1351252707"/>
          <w:trHeight w:val="227"/>
        </w:trPr>
        <w:tc>
          <w:tcPr>
            <w:tcW w:w="3239" w:type="pct"/>
            <w:tcBorders>
              <w:top w:val="nil"/>
              <w:left w:val="nil"/>
              <w:bottom w:val="nil"/>
              <w:right w:val="nil"/>
            </w:tcBorders>
            <w:noWrap/>
            <w:vAlign w:val="center"/>
            <w:hideMark/>
          </w:tcPr>
          <w:p w14:paraId="209B149A" w14:textId="77777777" w:rsidR="00A74C68" w:rsidRPr="00471CBA" w:rsidRDefault="00A74C68" w:rsidP="00A74C68">
            <w:pPr>
              <w:rPr>
                <w:color w:val="000000"/>
                <w:szCs w:val="20"/>
              </w:rPr>
            </w:pPr>
            <w:r w:rsidRPr="00471CBA">
              <w:rPr>
                <w:color w:val="000000"/>
                <w:szCs w:val="20"/>
              </w:rPr>
              <w:t>Vadeli Aktif Değerler Alım Satım Taahhütleri</w:t>
            </w:r>
          </w:p>
        </w:tc>
        <w:tc>
          <w:tcPr>
            <w:tcW w:w="998" w:type="pct"/>
            <w:tcBorders>
              <w:top w:val="nil"/>
              <w:left w:val="nil"/>
              <w:bottom w:val="nil"/>
              <w:right w:val="nil"/>
            </w:tcBorders>
            <w:noWrap/>
            <w:vAlign w:val="center"/>
            <w:hideMark/>
          </w:tcPr>
          <w:p w14:paraId="78722305" w14:textId="77777777" w:rsidR="00A74C68" w:rsidRPr="00471CBA" w:rsidRDefault="00A74C68" w:rsidP="00A74C68">
            <w:pPr>
              <w:jc w:val="right"/>
              <w:rPr>
                <w:color w:val="000000"/>
                <w:szCs w:val="20"/>
              </w:rPr>
            </w:pPr>
            <w:r w:rsidRPr="00471CBA">
              <w:rPr>
                <w:color w:val="000000"/>
                <w:szCs w:val="20"/>
              </w:rPr>
              <w:t>58.810.394</w:t>
            </w:r>
          </w:p>
        </w:tc>
      </w:tr>
      <w:tr w:rsidR="00A74C68" w:rsidRPr="00471CBA" w14:paraId="31B780FF" w14:textId="77777777" w:rsidTr="00A74C68">
        <w:trPr>
          <w:divId w:val="1351252707"/>
          <w:trHeight w:val="227"/>
        </w:trPr>
        <w:tc>
          <w:tcPr>
            <w:tcW w:w="3239" w:type="pct"/>
            <w:tcBorders>
              <w:top w:val="nil"/>
              <w:left w:val="nil"/>
              <w:bottom w:val="nil"/>
              <w:right w:val="nil"/>
            </w:tcBorders>
            <w:noWrap/>
            <w:vAlign w:val="center"/>
            <w:hideMark/>
          </w:tcPr>
          <w:p w14:paraId="6C068C4D" w14:textId="77777777" w:rsidR="00A74C68" w:rsidRPr="00471CBA" w:rsidRDefault="00A74C68" w:rsidP="00A74C68">
            <w:pPr>
              <w:rPr>
                <w:color w:val="000000"/>
                <w:szCs w:val="20"/>
              </w:rPr>
            </w:pPr>
            <w:r w:rsidRPr="00471CBA">
              <w:rPr>
                <w:color w:val="000000"/>
                <w:szCs w:val="20"/>
              </w:rPr>
              <w:t>Kullandırma Garantili Kredi Tahsis Taahhütleri</w:t>
            </w:r>
          </w:p>
        </w:tc>
        <w:tc>
          <w:tcPr>
            <w:tcW w:w="998" w:type="pct"/>
            <w:tcBorders>
              <w:top w:val="nil"/>
              <w:left w:val="nil"/>
              <w:bottom w:val="nil"/>
              <w:right w:val="nil"/>
            </w:tcBorders>
            <w:noWrap/>
            <w:vAlign w:val="center"/>
            <w:hideMark/>
          </w:tcPr>
          <w:p w14:paraId="52416473" w14:textId="77777777" w:rsidR="00A74C68" w:rsidRPr="00471CBA" w:rsidRDefault="00A74C68" w:rsidP="00A74C68">
            <w:pPr>
              <w:jc w:val="right"/>
              <w:rPr>
                <w:color w:val="000000"/>
                <w:szCs w:val="20"/>
              </w:rPr>
            </w:pPr>
            <w:r w:rsidRPr="00471CBA">
              <w:rPr>
                <w:color w:val="000000"/>
                <w:szCs w:val="20"/>
              </w:rPr>
              <w:t>-</w:t>
            </w:r>
          </w:p>
        </w:tc>
      </w:tr>
      <w:tr w:rsidR="00A74C68" w:rsidRPr="00471CBA" w14:paraId="13817AF4" w14:textId="77777777" w:rsidTr="00A74C68">
        <w:trPr>
          <w:divId w:val="1351252707"/>
          <w:trHeight w:val="227"/>
        </w:trPr>
        <w:tc>
          <w:tcPr>
            <w:tcW w:w="3239" w:type="pct"/>
            <w:tcBorders>
              <w:top w:val="nil"/>
              <w:left w:val="nil"/>
              <w:bottom w:val="nil"/>
              <w:right w:val="nil"/>
            </w:tcBorders>
            <w:noWrap/>
            <w:vAlign w:val="center"/>
            <w:hideMark/>
          </w:tcPr>
          <w:p w14:paraId="67DC7BB8" w14:textId="77777777" w:rsidR="00A74C68" w:rsidRPr="00471CBA" w:rsidRDefault="00A74C68" w:rsidP="00A74C68">
            <w:pPr>
              <w:rPr>
                <w:color w:val="000000"/>
                <w:szCs w:val="20"/>
              </w:rPr>
            </w:pPr>
            <w:r w:rsidRPr="00471CBA">
              <w:rPr>
                <w:color w:val="000000"/>
                <w:szCs w:val="20"/>
              </w:rPr>
              <w:t>İhracat Taahhütlerinden Kaynaklanan Vergi ve Fon Yükümlülükleri</w:t>
            </w:r>
          </w:p>
        </w:tc>
        <w:tc>
          <w:tcPr>
            <w:tcW w:w="998" w:type="pct"/>
            <w:tcBorders>
              <w:top w:val="nil"/>
              <w:left w:val="nil"/>
              <w:bottom w:val="nil"/>
              <w:right w:val="nil"/>
            </w:tcBorders>
            <w:noWrap/>
            <w:vAlign w:val="center"/>
            <w:hideMark/>
          </w:tcPr>
          <w:p w14:paraId="10832DD2" w14:textId="77777777" w:rsidR="00A74C68" w:rsidRPr="00471CBA" w:rsidRDefault="00A74C68" w:rsidP="00A74C68">
            <w:pPr>
              <w:jc w:val="right"/>
              <w:rPr>
                <w:color w:val="000000"/>
                <w:szCs w:val="20"/>
              </w:rPr>
            </w:pPr>
            <w:r w:rsidRPr="00471CBA">
              <w:rPr>
                <w:color w:val="000000"/>
                <w:szCs w:val="20"/>
              </w:rPr>
              <w:t>-</w:t>
            </w:r>
          </w:p>
        </w:tc>
      </w:tr>
      <w:tr w:rsidR="00A74C68" w:rsidRPr="00471CBA" w14:paraId="54ECE8DD" w14:textId="77777777" w:rsidTr="00A74C68">
        <w:trPr>
          <w:divId w:val="1351252707"/>
          <w:trHeight w:val="227"/>
        </w:trPr>
        <w:tc>
          <w:tcPr>
            <w:tcW w:w="3239" w:type="pct"/>
            <w:tcBorders>
              <w:top w:val="nil"/>
              <w:left w:val="nil"/>
              <w:bottom w:val="nil"/>
              <w:right w:val="nil"/>
            </w:tcBorders>
            <w:noWrap/>
            <w:vAlign w:val="center"/>
            <w:hideMark/>
          </w:tcPr>
          <w:p w14:paraId="695695D1" w14:textId="77777777" w:rsidR="00A74C68" w:rsidRPr="00471CBA" w:rsidRDefault="00A74C68" w:rsidP="00A74C68">
            <w:pPr>
              <w:rPr>
                <w:color w:val="000000"/>
                <w:szCs w:val="20"/>
              </w:rPr>
            </w:pPr>
            <w:r w:rsidRPr="00471CBA">
              <w:rPr>
                <w:color w:val="000000"/>
                <w:szCs w:val="20"/>
              </w:rPr>
              <w:t xml:space="preserve">Kredi Kartı ve Bankacılık </w:t>
            </w:r>
            <w:proofErr w:type="spellStart"/>
            <w:r w:rsidRPr="00471CBA">
              <w:rPr>
                <w:color w:val="000000"/>
                <w:szCs w:val="20"/>
              </w:rPr>
              <w:t>Hizm</w:t>
            </w:r>
            <w:proofErr w:type="spellEnd"/>
            <w:r w:rsidRPr="00471CBA">
              <w:rPr>
                <w:color w:val="000000"/>
                <w:szCs w:val="20"/>
              </w:rPr>
              <w:t xml:space="preserve">. İlişkin Promosyon </w:t>
            </w:r>
            <w:proofErr w:type="spellStart"/>
            <w:r w:rsidRPr="00471CBA">
              <w:rPr>
                <w:color w:val="000000"/>
                <w:szCs w:val="20"/>
              </w:rPr>
              <w:t>Uyg</w:t>
            </w:r>
            <w:proofErr w:type="spellEnd"/>
            <w:r w:rsidRPr="00471CBA">
              <w:rPr>
                <w:color w:val="000000"/>
                <w:szCs w:val="20"/>
              </w:rPr>
              <w:t xml:space="preserve">. </w:t>
            </w:r>
            <w:proofErr w:type="spellStart"/>
            <w:r w:rsidRPr="00471CBA">
              <w:rPr>
                <w:color w:val="000000"/>
                <w:szCs w:val="20"/>
              </w:rPr>
              <w:t>Taah</w:t>
            </w:r>
            <w:proofErr w:type="spellEnd"/>
            <w:r w:rsidRPr="00471CBA">
              <w:rPr>
                <w:color w:val="000000"/>
                <w:szCs w:val="20"/>
              </w:rPr>
              <w:t xml:space="preserve">. </w:t>
            </w:r>
          </w:p>
        </w:tc>
        <w:tc>
          <w:tcPr>
            <w:tcW w:w="998" w:type="pct"/>
            <w:tcBorders>
              <w:top w:val="nil"/>
              <w:left w:val="nil"/>
              <w:bottom w:val="nil"/>
              <w:right w:val="nil"/>
            </w:tcBorders>
            <w:noWrap/>
            <w:vAlign w:val="center"/>
            <w:hideMark/>
          </w:tcPr>
          <w:p w14:paraId="39BE4F17" w14:textId="77777777" w:rsidR="00A74C68" w:rsidRPr="00471CBA" w:rsidRDefault="00A74C68" w:rsidP="00A74C68">
            <w:pPr>
              <w:jc w:val="right"/>
              <w:rPr>
                <w:color w:val="000000"/>
                <w:szCs w:val="20"/>
              </w:rPr>
            </w:pPr>
            <w:r w:rsidRPr="00471CBA">
              <w:rPr>
                <w:color w:val="000000"/>
                <w:szCs w:val="20"/>
              </w:rPr>
              <w:t>-</w:t>
            </w:r>
          </w:p>
        </w:tc>
      </w:tr>
      <w:tr w:rsidR="00A74C68" w:rsidRPr="00471CBA" w14:paraId="7D8DEB26" w14:textId="77777777" w:rsidTr="00A74C68">
        <w:trPr>
          <w:divId w:val="1351252707"/>
          <w:trHeight w:val="227"/>
        </w:trPr>
        <w:tc>
          <w:tcPr>
            <w:tcW w:w="3239" w:type="pct"/>
            <w:tcBorders>
              <w:top w:val="nil"/>
              <w:left w:val="nil"/>
              <w:bottom w:val="nil"/>
              <w:right w:val="nil"/>
            </w:tcBorders>
            <w:noWrap/>
            <w:vAlign w:val="center"/>
            <w:hideMark/>
          </w:tcPr>
          <w:p w14:paraId="1FAE5961" w14:textId="77777777" w:rsidR="00A74C68" w:rsidRPr="00471CBA" w:rsidRDefault="00A74C68" w:rsidP="00A74C68">
            <w:pPr>
              <w:rPr>
                <w:color w:val="000000"/>
                <w:szCs w:val="20"/>
              </w:rPr>
            </w:pPr>
            <w:r w:rsidRPr="00471CBA">
              <w:rPr>
                <w:color w:val="000000"/>
                <w:szCs w:val="20"/>
              </w:rPr>
              <w:t>Diğer Cayılamaz Taahhütler</w:t>
            </w:r>
          </w:p>
        </w:tc>
        <w:tc>
          <w:tcPr>
            <w:tcW w:w="998" w:type="pct"/>
            <w:tcBorders>
              <w:top w:val="nil"/>
              <w:left w:val="nil"/>
              <w:bottom w:val="nil"/>
              <w:right w:val="nil"/>
            </w:tcBorders>
            <w:noWrap/>
            <w:vAlign w:val="center"/>
            <w:hideMark/>
          </w:tcPr>
          <w:p w14:paraId="7EA791B6" w14:textId="77777777" w:rsidR="00A74C68" w:rsidRPr="00471CBA" w:rsidRDefault="00A74C68" w:rsidP="00A74C68">
            <w:pPr>
              <w:jc w:val="right"/>
              <w:rPr>
                <w:color w:val="000000"/>
                <w:szCs w:val="20"/>
              </w:rPr>
            </w:pPr>
            <w:r w:rsidRPr="00471CBA">
              <w:rPr>
                <w:color w:val="000000"/>
                <w:szCs w:val="20"/>
              </w:rPr>
              <w:t>-</w:t>
            </w:r>
          </w:p>
        </w:tc>
      </w:tr>
      <w:tr w:rsidR="00A74C68" w:rsidRPr="00471CBA" w14:paraId="09B299C1" w14:textId="77777777" w:rsidTr="00A74C68">
        <w:trPr>
          <w:divId w:val="1351252707"/>
          <w:trHeight w:val="227"/>
        </w:trPr>
        <w:tc>
          <w:tcPr>
            <w:tcW w:w="3239" w:type="pct"/>
            <w:tcBorders>
              <w:top w:val="nil"/>
              <w:left w:val="nil"/>
              <w:bottom w:val="single" w:sz="4" w:space="0" w:color="auto"/>
              <w:right w:val="nil"/>
            </w:tcBorders>
            <w:noWrap/>
            <w:vAlign w:val="center"/>
            <w:hideMark/>
          </w:tcPr>
          <w:p w14:paraId="488310B5" w14:textId="77777777" w:rsidR="00A74C68" w:rsidRPr="00471CBA" w:rsidRDefault="00A74C68" w:rsidP="00A74C68">
            <w:pPr>
              <w:rPr>
                <w:color w:val="000000"/>
                <w:szCs w:val="20"/>
              </w:rPr>
            </w:pPr>
            <w:r w:rsidRPr="00471CBA">
              <w:rPr>
                <w:color w:val="000000"/>
                <w:szCs w:val="20"/>
              </w:rPr>
              <w:t>Diğer Cayılabilir Taahhütler</w:t>
            </w:r>
          </w:p>
        </w:tc>
        <w:tc>
          <w:tcPr>
            <w:tcW w:w="998" w:type="pct"/>
            <w:tcBorders>
              <w:top w:val="nil"/>
              <w:left w:val="nil"/>
              <w:bottom w:val="single" w:sz="4" w:space="0" w:color="auto"/>
              <w:right w:val="nil"/>
            </w:tcBorders>
            <w:noWrap/>
            <w:vAlign w:val="center"/>
            <w:hideMark/>
          </w:tcPr>
          <w:p w14:paraId="6724CBFD" w14:textId="77777777" w:rsidR="00A74C68" w:rsidRPr="00471CBA" w:rsidRDefault="00A74C68" w:rsidP="00A74C68">
            <w:pPr>
              <w:jc w:val="right"/>
              <w:rPr>
                <w:color w:val="000000"/>
                <w:szCs w:val="20"/>
              </w:rPr>
            </w:pPr>
            <w:r w:rsidRPr="00471CBA">
              <w:rPr>
                <w:color w:val="000000"/>
                <w:szCs w:val="20"/>
              </w:rPr>
              <w:t>-</w:t>
            </w:r>
          </w:p>
        </w:tc>
      </w:tr>
      <w:tr w:rsidR="00A74C68" w:rsidRPr="00471CBA" w14:paraId="3593F79A" w14:textId="77777777" w:rsidTr="00A74C68">
        <w:trPr>
          <w:divId w:val="1351252707"/>
          <w:trHeight w:val="227"/>
        </w:trPr>
        <w:tc>
          <w:tcPr>
            <w:tcW w:w="3239" w:type="pct"/>
            <w:tcBorders>
              <w:top w:val="nil"/>
              <w:left w:val="nil"/>
              <w:bottom w:val="nil"/>
              <w:right w:val="nil"/>
            </w:tcBorders>
            <w:noWrap/>
            <w:vAlign w:val="center"/>
            <w:hideMark/>
          </w:tcPr>
          <w:p w14:paraId="23C149B9" w14:textId="77777777" w:rsidR="00A74C68" w:rsidRPr="00471CBA" w:rsidRDefault="00A74C68" w:rsidP="00A74C68">
            <w:pPr>
              <w:jc w:val="right"/>
              <w:rPr>
                <w:color w:val="000000"/>
                <w:szCs w:val="20"/>
              </w:rPr>
            </w:pPr>
          </w:p>
        </w:tc>
        <w:tc>
          <w:tcPr>
            <w:tcW w:w="998" w:type="pct"/>
            <w:tcBorders>
              <w:top w:val="nil"/>
              <w:left w:val="nil"/>
              <w:bottom w:val="nil"/>
              <w:right w:val="nil"/>
            </w:tcBorders>
            <w:noWrap/>
            <w:vAlign w:val="center"/>
            <w:hideMark/>
          </w:tcPr>
          <w:p w14:paraId="4935F20F" w14:textId="77777777" w:rsidR="00A74C68" w:rsidRPr="00471CBA" w:rsidRDefault="00A74C68" w:rsidP="00A74C68">
            <w:pPr>
              <w:jc w:val="right"/>
              <w:rPr>
                <w:szCs w:val="20"/>
              </w:rPr>
            </w:pPr>
          </w:p>
        </w:tc>
      </w:tr>
      <w:tr w:rsidR="00A74C68" w:rsidRPr="00471CBA" w14:paraId="30203C6A" w14:textId="77777777" w:rsidTr="00A74C68">
        <w:trPr>
          <w:divId w:val="1351252707"/>
          <w:trHeight w:val="227"/>
        </w:trPr>
        <w:tc>
          <w:tcPr>
            <w:tcW w:w="3239" w:type="pct"/>
            <w:tcBorders>
              <w:top w:val="nil"/>
              <w:left w:val="nil"/>
              <w:bottom w:val="single" w:sz="12" w:space="0" w:color="auto"/>
              <w:right w:val="nil"/>
            </w:tcBorders>
            <w:noWrap/>
            <w:vAlign w:val="bottom"/>
            <w:hideMark/>
          </w:tcPr>
          <w:p w14:paraId="088E93BC" w14:textId="77777777" w:rsidR="00A74C68" w:rsidRPr="00471CBA" w:rsidRDefault="00A74C68" w:rsidP="00A74C68">
            <w:pPr>
              <w:jc w:val="both"/>
              <w:rPr>
                <w:b/>
                <w:bCs/>
                <w:color w:val="000000"/>
                <w:szCs w:val="20"/>
              </w:rPr>
            </w:pPr>
            <w:r w:rsidRPr="00471CBA">
              <w:rPr>
                <w:b/>
                <w:bCs/>
                <w:color w:val="000000"/>
                <w:szCs w:val="20"/>
              </w:rPr>
              <w:t>Toplam</w:t>
            </w:r>
          </w:p>
        </w:tc>
        <w:tc>
          <w:tcPr>
            <w:tcW w:w="998" w:type="pct"/>
            <w:tcBorders>
              <w:top w:val="nil"/>
              <w:left w:val="nil"/>
              <w:bottom w:val="single" w:sz="12" w:space="0" w:color="auto"/>
              <w:right w:val="nil"/>
            </w:tcBorders>
            <w:noWrap/>
            <w:vAlign w:val="center"/>
            <w:hideMark/>
          </w:tcPr>
          <w:p w14:paraId="60C63D08" w14:textId="77777777" w:rsidR="00A74C68" w:rsidRPr="00471CBA" w:rsidRDefault="00A74C68" w:rsidP="00A74C68">
            <w:pPr>
              <w:jc w:val="right"/>
              <w:rPr>
                <w:b/>
                <w:bCs/>
                <w:color w:val="000000"/>
                <w:szCs w:val="20"/>
              </w:rPr>
            </w:pPr>
            <w:r w:rsidRPr="00471CBA">
              <w:rPr>
                <w:b/>
                <w:bCs/>
                <w:color w:val="000000"/>
                <w:szCs w:val="20"/>
              </w:rPr>
              <w:t>59.138.324</w:t>
            </w:r>
          </w:p>
        </w:tc>
      </w:tr>
    </w:tbl>
    <w:p w14:paraId="766249F4" w14:textId="68E7B82A" w:rsidR="00392FA9" w:rsidRPr="00471CBA" w:rsidRDefault="00392FA9" w:rsidP="00CD770B">
      <w:pPr>
        <w:widowControl w:val="0"/>
        <w:spacing w:line="228" w:lineRule="auto"/>
        <w:ind w:left="-14" w:hanging="504"/>
        <w:jc w:val="both"/>
        <w:rPr>
          <w:b/>
          <w:szCs w:val="20"/>
        </w:rPr>
      </w:pPr>
    </w:p>
    <w:tbl>
      <w:tblPr>
        <w:tblW w:w="5000" w:type="pct"/>
        <w:tblCellMar>
          <w:left w:w="70" w:type="dxa"/>
          <w:right w:w="70" w:type="dxa"/>
        </w:tblCellMar>
        <w:tblLook w:val="04A0" w:firstRow="1" w:lastRow="0" w:firstColumn="1" w:lastColumn="0" w:noHBand="0" w:noVBand="1"/>
      </w:tblPr>
      <w:tblGrid>
        <w:gridCol w:w="7572"/>
        <w:gridCol w:w="1783"/>
      </w:tblGrid>
      <w:tr w:rsidR="001C13B0" w:rsidRPr="00471CBA" w14:paraId="3FC3DB99" w14:textId="77777777" w:rsidTr="00DA230C">
        <w:trPr>
          <w:trHeight w:val="227"/>
        </w:trPr>
        <w:tc>
          <w:tcPr>
            <w:tcW w:w="4047" w:type="pct"/>
            <w:tcBorders>
              <w:top w:val="nil"/>
              <w:left w:val="nil"/>
              <w:bottom w:val="nil"/>
              <w:right w:val="nil"/>
            </w:tcBorders>
            <w:noWrap/>
            <w:vAlign w:val="bottom"/>
            <w:hideMark/>
          </w:tcPr>
          <w:p w14:paraId="72B5C121" w14:textId="77777777" w:rsidR="001C13B0" w:rsidRPr="00471CBA" w:rsidRDefault="001C13B0" w:rsidP="003D1625">
            <w:pPr>
              <w:rPr>
                <w:szCs w:val="20"/>
              </w:rPr>
            </w:pPr>
          </w:p>
        </w:tc>
        <w:tc>
          <w:tcPr>
            <w:tcW w:w="953" w:type="pct"/>
            <w:tcBorders>
              <w:top w:val="nil"/>
              <w:left w:val="nil"/>
              <w:bottom w:val="single" w:sz="4" w:space="0" w:color="auto"/>
              <w:right w:val="nil"/>
            </w:tcBorders>
            <w:noWrap/>
            <w:vAlign w:val="center"/>
            <w:hideMark/>
          </w:tcPr>
          <w:p w14:paraId="58AB540A" w14:textId="77777777" w:rsidR="001C13B0" w:rsidRPr="00471CBA" w:rsidRDefault="001C13B0" w:rsidP="003D1625">
            <w:pPr>
              <w:jc w:val="center"/>
              <w:rPr>
                <w:b/>
                <w:bCs/>
                <w:color w:val="000000"/>
                <w:szCs w:val="20"/>
              </w:rPr>
            </w:pPr>
            <w:r w:rsidRPr="00471CBA">
              <w:rPr>
                <w:b/>
                <w:bCs/>
                <w:color w:val="000000"/>
                <w:szCs w:val="20"/>
              </w:rPr>
              <w:t>31 Aralık 2024</w:t>
            </w:r>
          </w:p>
        </w:tc>
      </w:tr>
      <w:tr w:rsidR="001C13B0" w:rsidRPr="00471CBA" w14:paraId="1B42C543" w14:textId="77777777" w:rsidTr="00DA230C">
        <w:trPr>
          <w:trHeight w:val="227"/>
        </w:trPr>
        <w:tc>
          <w:tcPr>
            <w:tcW w:w="4047" w:type="pct"/>
            <w:tcBorders>
              <w:top w:val="nil"/>
              <w:left w:val="nil"/>
              <w:bottom w:val="nil"/>
              <w:right w:val="nil"/>
            </w:tcBorders>
            <w:noWrap/>
            <w:vAlign w:val="bottom"/>
            <w:hideMark/>
          </w:tcPr>
          <w:p w14:paraId="57CC5FDC" w14:textId="77777777" w:rsidR="001C13B0" w:rsidRPr="00471CBA" w:rsidRDefault="001C13B0" w:rsidP="003D1625">
            <w:pPr>
              <w:jc w:val="center"/>
              <w:rPr>
                <w:b/>
                <w:bCs/>
                <w:color w:val="000000"/>
                <w:szCs w:val="20"/>
              </w:rPr>
            </w:pPr>
          </w:p>
        </w:tc>
        <w:tc>
          <w:tcPr>
            <w:tcW w:w="953" w:type="pct"/>
            <w:tcBorders>
              <w:top w:val="single" w:sz="4" w:space="0" w:color="auto"/>
              <w:left w:val="nil"/>
              <w:bottom w:val="nil"/>
              <w:right w:val="nil"/>
            </w:tcBorders>
            <w:noWrap/>
            <w:vAlign w:val="bottom"/>
            <w:hideMark/>
          </w:tcPr>
          <w:p w14:paraId="7E4E41E4" w14:textId="77777777" w:rsidR="001C13B0" w:rsidRPr="00471CBA" w:rsidRDefault="001C13B0" w:rsidP="003D1625">
            <w:pPr>
              <w:jc w:val="center"/>
              <w:rPr>
                <w:szCs w:val="20"/>
              </w:rPr>
            </w:pPr>
          </w:p>
        </w:tc>
      </w:tr>
      <w:tr w:rsidR="001C13B0" w:rsidRPr="00471CBA" w14:paraId="16B414BA" w14:textId="77777777" w:rsidTr="00DA230C">
        <w:trPr>
          <w:trHeight w:val="227"/>
        </w:trPr>
        <w:tc>
          <w:tcPr>
            <w:tcW w:w="4047" w:type="pct"/>
            <w:tcBorders>
              <w:top w:val="nil"/>
              <w:left w:val="nil"/>
              <w:bottom w:val="nil"/>
              <w:right w:val="nil"/>
            </w:tcBorders>
            <w:noWrap/>
            <w:vAlign w:val="center"/>
            <w:hideMark/>
          </w:tcPr>
          <w:p w14:paraId="6B965183" w14:textId="77777777" w:rsidR="001C13B0" w:rsidRPr="00471CBA" w:rsidRDefault="001C13B0" w:rsidP="003D1625">
            <w:pPr>
              <w:rPr>
                <w:color w:val="000000"/>
                <w:szCs w:val="20"/>
              </w:rPr>
            </w:pPr>
            <w:r w:rsidRPr="00471CBA">
              <w:rPr>
                <w:color w:val="000000"/>
                <w:szCs w:val="20"/>
              </w:rPr>
              <w:t>Kredi Kartları Harcama Limiti Taahhütleri</w:t>
            </w:r>
          </w:p>
        </w:tc>
        <w:tc>
          <w:tcPr>
            <w:tcW w:w="953" w:type="pct"/>
            <w:tcBorders>
              <w:top w:val="nil"/>
              <w:left w:val="nil"/>
              <w:bottom w:val="nil"/>
              <w:right w:val="nil"/>
            </w:tcBorders>
            <w:noWrap/>
            <w:vAlign w:val="center"/>
            <w:hideMark/>
          </w:tcPr>
          <w:p w14:paraId="2BDEA030" w14:textId="77777777" w:rsidR="001C13B0" w:rsidRPr="00471CBA" w:rsidRDefault="001C13B0" w:rsidP="003D1625">
            <w:pPr>
              <w:jc w:val="right"/>
              <w:rPr>
                <w:color w:val="000000"/>
                <w:szCs w:val="20"/>
              </w:rPr>
            </w:pPr>
            <w:r w:rsidRPr="00471CBA">
              <w:rPr>
                <w:color w:val="000000"/>
                <w:szCs w:val="20"/>
              </w:rPr>
              <w:t>-</w:t>
            </w:r>
          </w:p>
        </w:tc>
      </w:tr>
      <w:tr w:rsidR="001C13B0" w:rsidRPr="00471CBA" w14:paraId="4A5A11B8" w14:textId="77777777" w:rsidTr="00DA230C">
        <w:trPr>
          <w:trHeight w:val="227"/>
        </w:trPr>
        <w:tc>
          <w:tcPr>
            <w:tcW w:w="4047" w:type="pct"/>
            <w:tcBorders>
              <w:top w:val="nil"/>
              <w:left w:val="nil"/>
              <w:bottom w:val="nil"/>
              <w:right w:val="nil"/>
            </w:tcBorders>
            <w:noWrap/>
            <w:vAlign w:val="center"/>
            <w:hideMark/>
          </w:tcPr>
          <w:p w14:paraId="158BE6E5" w14:textId="77777777" w:rsidR="001C13B0" w:rsidRPr="00471CBA" w:rsidRDefault="001C13B0" w:rsidP="003D1625">
            <w:pPr>
              <w:rPr>
                <w:color w:val="000000"/>
                <w:szCs w:val="20"/>
              </w:rPr>
            </w:pPr>
            <w:r w:rsidRPr="00471CBA">
              <w:rPr>
                <w:color w:val="000000"/>
                <w:szCs w:val="20"/>
              </w:rPr>
              <w:t>Çekler İçin Ödeme Taahhütleri</w:t>
            </w:r>
          </w:p>
        </w:tc>
        <w:tc>
          <w:tcPr>
            <w:tcW w:w="953" w:type="pct"/>
            <w:tcBorders>
              <w:top w:val="nil"/>
              <w:left w:val="nil"/>
              <w:bottom w:val="nil"/>
              <w:right w:val="nil"/>
            </w:tcBorders>
            <w:noWrap/>
            <w:vAlign w:val="center"/>
            <w:hideMark/>
          </w:tcPr>
          <w:p w14:paraId="4784BD2C" w14:textId="77777777" w:rsidR="001C13B0" w:rsidRPr="00471CBA" w:rsidRDefault="001C13B0" w:rsidP="003D1625">
            <w:pPr>
              <w:jc w:val="right"/>
              <w:rPr>
                <w:color w:val="000000"/>
                <w:szCs w:val="20"/>
              </w:rPr>
            </w:pPr>
            <w:r w:rsidRPr="00471CBA">
              <w:rPr>
                <w:color w:val="000000"/>
                <w:szCs w:val="20"/>
              </w:rPr>
              <w:t>-</w:t>
            </w:r>
          </w:p>
        </w:tc>
      </w:tr>
      <w:tr w:rsidR="001C13B0" w:rsidRPr="00471CBA" w14:paraId="39959A66" w14:textId="77777777" w:rsidTr="00DA230C">
        <w:trPr>
          <w:trHeight w:val="227"/>
        </w:trPr>
        <w:tc>
          <w:tcPr>
            <w:tcW w:w="4047" w:type="pct"/>
            <w:tcBorders>
              <w:top w:val="nil"/>
              <w:left w:val="nil"/>
              <w:bottom w:val="nil"/>
              <w:right w:val="nil"/>
            </w:tcBorders>
            <w:noWrap/>
            <w:vAlign w:val="center"/>
            <w:hideMark/>
          </w:tcPr>
          <w:p w14:paraId="7C66A1FF" w14:textId="77777777" w:rsidR="001C13B0" w:rsidRPr="00471CBA" w:rsidRDefault="001C13B0" w:rsidP="003D1625">
            <w:pPr>
              <w:rPr>
                <w:color w:val="000000"/>
                <w:szCs w:val="20"/>
              </w:rPr>
            </w:pPr>
            <w:r w:rsidRPr="00471CBA">
              <w:rPr>
                <w:color w:val="000000"/>
                <w:szCs w:val="20"/>
              </w:rPr>
              <w:t>Vadeli Aktif Değerler Alım Satım Taahhütleri</w:t>
            </w:r>
          </w:p>
        </w:tc>
        <w:tc>
          <w:tcPr>
            <w:tcW w:w="953" w:type="pct"/>
            <w:tcBorders>
              <w:top w:val="nil"/>
              <w:left w:val="nil"/>
              <w:bottom w:val="nil"/>
              <w:right w:val="nil"/>
            </w:tcBorders>
            <w:noWrap/>
            <w:vAlign w:val="center"/>
            <w:hideMark/>
          </w:tcPr>
          <w:p w14:paraId="26F25437" w14:textId="77777777" w:rsidR="001C13B0" w:rsidRPr="00471CBA" w:rsidRDefault="001C13B0" w:rsidP="003D1625">
            <w:pPr>
              <w:jc w:val="right"/>
              <w:rPr>
                <w:color w:val="000000"/>
                <w:szCs w:val="20"/>
              </w:rPr>
            </w:pPr>
            <w:r w:rsidRPr="00471CBA">
              <w:rPr>
                <w:color w:val="000000"/>
                <w:szCs w:val="20"/>
              </w:rPr>
              <w:t>11.939.283</w:t>
            </w:r>
          </w:p>
        </w:tc>
      </w:tr>
      <w:tr w:rsidR="001C13B0" w:rsidRPr="00471CBA" w14:paraId="6A7A0721" w14:textId="77777777" w:rsidTr="00DA230C">
        <w:trPr>
          <w:trHeight w:val="227"/>
        </w:trPr>
        <w:tc>
          <w:tcPr>
            <w:tcW w:w="4047" w:type="pct"/>
            <w:tcBorders>
              <w:top w:val="nil"/>
              <w:left w:val="nil"/>
              <w:bottom w:val="nil"/>
              <w:right w:val="nil"/>
            </w:tcBorders>
            <w:noWrap/>
            <w:vAlign w:val="center"/>
            <w:hideMark/>
          </w:tcPr>
          <w:p w14:paraId="3B50FB6B" w14:textId="77777777" w:rsidR="001C13B0" w:rsidRPr="00471CBA" w:rsidRDefault="001C13B0" w:rsidP="003D1625">
            <w:pPr>
              <w:rPr>
                <w:color w:val="000000"/>
                <w:szCs w:val="20"/>
              </w:rPr>
            </w:pPr>
            <w:r w:rsidRPr="00471CBA">
              <w:rPr>
                <w:color w:val="000000"/>
                <w:szCs w:val="20"/>
              </w:rPr>
              <w:t>Kullandırma Garantili Kredi Tahsis Taahhütleri</w:t>
            </w:r>
          </w:p>
        </w:tc>
        <w:tc>
          <w:tcPr>
            <w:tcW w:w="953" w:type="pct"/>
            <w:tcBorders>
              <w:top w:val="nil"/>
              <w:left w:val="nil"/>
              <w:bottom w:val="nil"/>
              <w:right w:val="nil"/>
            </w:tcBorders>
            <w:noWrap/>
            <w:vAlign w:val="center"/>
            <w:hideMark/>
          </w:tcPr>
          <w:p w14:paraId="5F4162D9" w14:textId="77777777" w:rsidR="001C13B0" w:rsidRPr="00471CBA" w:rsidRDefault="001C13B0" w:rsidP="003D1625">
            <w:pPr>
              <w:jc w:val="right"/>
              <w:rPr>
                <w:color w:val="000000"/>
                <w:szCs w:val="20"/>
              </w:rPr>
            </w:pPr>
            <w:r w:rsidRPr="00471CBA">
              <w:rPr>
                <w:color w:val="000000"/>
                <w:szCs w:val="20"/>
              </w:rPr>
              <w:t>-</w:t>
            </w:r>
          </w:p>
        </w:tc>
      </w:tr>
      <w:tr w:rsidR="001C13B0" w:rsidRPr="00471CBA" w14:paraId="2BB7E556" w14:textId="77777777" w:rsidTr="00DA230C">
        <w:trPr>
          <w:trHeight w:val="227"/>
        </w:trPr>
        <w:tc>
          <w:tcPr>
            <w:tcW w:w="4047" w:type="pct"/>
            <w:tcBorders>
              <w:top w:val="nil"/>
              <w:left w:val="nil"/>
              <w:bottom w:val="nil"/>
              <w:right w:val="nil"/>
            </w:tcBorders>
            <w:noWrap/>
            <w:vAlign w:val="center"/>
            <w:hideMark/>
          </w:tcPr>
          <w:p w14:paraId="66707732" w14:textId="77777777" w:rsidR="001C13B0" w:rsidRPr="00471CBA" w:rsidRDefault="001C13B0" w:rsidP="003D1625">
            <w:pPr>
              <w:rPr>
                <w:color w:val="000000"/>
                <w:szCs w:val="20"/>
              </w:rPr>
            </w:pPr>
            <w:r w:rsidRPr="00471CBA">
              <w:rPr>
                <w:color w:val="000000"/>
                <w:szCs w:val="20"/>
              </w:rPr>
              <w:t>İhracat Taahhütlerinden Kaynaklanan Vergi ve Fon Yükümlülükleri</w:t>
            </w:r>
          </w:p>
        </w:tc>
        <w:tc>
          <w:tcPr>
            <w:tcW w:w="953" w:type="pct"/>
            <w:tcBorders>
              <w:top w:val="nil"/>
              <w:left w:val="nil"/>
              <w:bottom w:val="nil"/>
              <w:right w:val="nil"/>
            </w:tcBorders>
            <w:noWrap/>
            <w:vAlign w:val="center"/>
            <w:hideMark/>
          </w:tcPr>
          <w:p w14:paraId="3721EE18" w14:textId="77777777" w:rsidR="001C13B0" w:rsidRPr="00471CBA" w:rsidRDefault="001C13B0" w:rsidP="003D1625">
            <w:pPr>
              <w:jc w:val="right"/>
              <w:rPr>
                <w:color w:val="000000"/>
                <w:szCs w:val="20"/>
              </w:rPr>
            </w:pPr>
            <w:r w:rsidRPr="00471CBA">
              <w:rPr>
                <w:color w:val="000000"/>
                <w:szCs w:val="20"/>
              </w:rPr>
              <w:t>-</w:t>
            </w:r>
          </w:p>
        </w:tc>
      </w:tr>
      <w:tr w:rsidR="001C13B0" w:rsidRPr="00471CBA" w14:paraId="74668793" w14:textId="77777777" w:rsidTr="00DA230C">
        <w:trPr>
          <w:trHeight w:val="227"/>
        </w:trPr>
        <w:tc>
          <w:tcPr>
            <w:tcW w:w="4047" w:type="pct"/>
            <w:tcBorders>
              <w:top w:val="nil"/>
              <w:left w:val="nil"/>
              <w:bottom w:val="nil"/>
              <w:right w:val="nil"/>
            </w:tcBorders>
            <w:noWrap/>
            <w:vAlign w:val="center"/>
            <w:hideMark/>
          </w:tcPr>
          <w:p w14:paraId="48E5ED2F" w14:textId="77777777" w:rsidR="001C13B0" w:rsidRPr="00471CBA" w:rsidRDefault="001C13B0" w:rsidP="003D1625">
            <w:pPr>
              <w:rPr>
                <w:color w:val="000000"/>
                <w:szCs w:val="20"/>
              </w:rPr>
            </w:pPr>
            <w:r w:rsidRPr="00471CBA">
              <w:rPr>
                <w:color w:val="000000"/>
                <w:szCs w:val="20"/>
              </w:rPr>
              <w:t xml:space="preserve">Kredi Kartı ve Bankacılık </w:t>
            </w:r>
            <w:proofErr w:type="spellStart"/>
            <w:r w:rsidRPr="00471CBA">
              <w:rPr>
                <w:color w:val="000000"/>
                <w:szCs w:val="20"/>
              </w:rPr>
              <w:t>Hizm</w:t>
            </w:r>
            <w:proofErr w:type="spellEnd"/>
            <w:r w:rsidRPr="00471CBA">
              <w:rPr>
                <w:color w:val="000000"/>
                <w:szCs w:val="20"/>
              </w:rPr>
              <w:t xml:space="preserve">. İlişkin Promosyon </w:t>
            </w:r>
            <w:proofErr w:type="spellStart"/>
            <w:r w:rsidRPr="00471CBA">
              <w:rPr>
                <w:color w:val="000000"/>
                <w:szCs w:val="20"/>
              </w:rPr>
              <w:t>Uyg</w:t>
            </w:r>
            <w:proofErr w:type="spellEnd"/>
            <w:r w:rsidRPr="00471CBA">
              <w:rPr>
                <w:color w:val="000000"/>
                <w:szCs w:val="20"/>
              </w:rPr>
              <w:t xml:space="preserve">. </w:t>
            </w:r>
            <w:proofErr w:type="spellStart"/>
            <w:r w:rsidRPr="00471CBA">
              <w:rPr>
                <w:color w:val="000000"/>
                <w:szCs w:val="20"/>
              </w:rPr>
              <w:t>Taah</w:t>
            </w:r>
            <w:proofErr w:type="spellEnd"/>
            <w:r w:rsidRPr="00471CBA">
              <w:rPr>
                <w:color w:val="000000"/>
                <w:szCs w:val="20"/>
              </w:rPr>
              <w:t xml:space="preserve">. </w:t>
            </w:r>
          </w:p>
        </w:tc>
        <w:tc>
          <w:tcPr>
            <w:tcW w:w="953" w:type="pct"/>
            <w:tcBorders>
              <w:top w:val="nil"/>
              <w:left w:val="nil"/>
              <w:bottom w:val="nil"/>
              <w:right w:val="nil"/>
            </w:tcBorders>
            <w:noWrap/>
            <w:vAlign w:val="center"/>
            <w:hideMark/>
          </w:tcPr>
          <w:p w14:paraId="328005AD" w14:textId="77777777" w:rsidR="001C13B0" w:rsidRPr="00471CBA" w:rsidRDefault="001C13B0" w:rsidP="003D1625">
            <w:pPr>
              <w:jc w:val="right"/>
              <w:rPr>
                <w:color w:val="000000"/>
                <w:szCs w:val="20"/>
              </w:rPr>
            </w:pPr>
            <w:r w:rsidRPr="00471CBA">
              <w:rPr>
                <w:color w:val="000000"/>
                <w:szCs w:val="20"/>
              </w:rPr>
              <w:t>-</w:t>
            </w:r>
          </w:p>
        </w:tc>
      </w:tr>
      <w:tr w:rsidR="001C13B0" w:rsidRPr="00471CBA" w14:paraId="1A4F7F18" w14:textId="77777777" w:rsidTr="00DA230C">
        <w:trPr>
          <w:trHeight w:val="227"/>
        </w:trPr>
        <w:tc>
          <w:tcPr>
            <w:tcW w:w="4047" w:type="pct"/>
            <w:tcBorders>
              <w:top w:val="nil"/>
              <w:left w:val="nil"/>
              <w:bottom w:val="nil"/>
              <w:right w:val="nil"/>
            </w:tcBorders>
            <w:noWrap/>
            <w:vAlign w:val="center"/>
            <w:hideMark/>
          </w:tcPr>
          <w:p w14:paraId="1C6C086B" w14:textId="77777777" w:rsidR="001C13B0" w:rsidRPr="00471CBA" w:rsidRDefault="001C13B0" w:rsidP="003D1625">
            <w:pPr>
              <w:rPr>
                <w:color w:val="000000"/>
                <w:szCs w:val="20"/>
              </w:rPr>
            </w:pPr>
            <w:r w:rsidRPr="00471CBA">
              <w:rPr>
                <w:color w:val="000000"/>
                <w:szCs w:val="20"/>
              </w:rPr>
              <w:t>Diğer Cayılamaz Taahhütler</w:t>
            </w:r>
          </w:p>
        </w:tc>
        <w:tc>
          <w:tcPr>
            <w:tcW w:w="953" w:type="pct"/>
            <w:tcBorders>
              <w:top w:val="nil"/>
              <w:left w:val="nil"/>
              <w:bottom w:val="nil"/>
              <w:right w:val="nil"/>
            </w:tcBorders>
            <w:noWrap/>
            <w:vAlign w:val="center"/>
            <w:hideMark/>
          </w:tcPr>
          <w:p w14:paraId="43AB3650" w14:textId="77777777" w:rsidR="001C13B0" w:rsidRPr="00471CBA" w:rsidRDefault="001C13B0" w:rsidP="003D1625">
            <w:pPr>
              <w:jc w:val="right"/>
              <w:rPr>
                <w:color w:val="000000"/>
                <w:szCs w:val="20"/>
              </w:rPr>
            </w:pPr>
            <w:r w:rsidRPr="00471CBA">
              <w:rPr>
                <w:color w:val="000000"/>
                <w:szCs w:val="20"/>
              </w:rPr>
              <w:t>-</w:t>
            </w:r>
          </w:p>
        </w:tc>
      </w:tr>
      <w:tr w:rsidR="001C13B0" w:rsidRPr="00471CBA" w14:paraId="5110FA6A" w14:textId="77777777" w:rsidTr="00DA230C">
        <w:trPr>
          <w:trHeight w:val="227"/>
        </w:trPr>
        <w:tc>
          <w:tcPr>
            <w:tcW w:w="4047" w:type="pct"/>
            <w:tcBorders>
              <w:top w:val="nil"/>
              <w:left w:val="nil"/>
              <w:bottom w:val="single" w:sz="4" w:space="0" w:color="auto"/>
              <w:right w:val="nil"/>
            </w:tcBorders>
            <w:noWrap/>
            <w:vAlign w:val="center"/>
            <w:hideMark/>
          </w:tcPr>
          <w:p w14:paraId="76CB8200" w14:textId="77777777" w:rsidR="001C13B0" w:rsidRPr="00471CBA" w:rsidRDefault="001C13B0" w:rsidP="003D1625">
            <w:pPr>
              <w:rPr>
                <w:color w:val="000000"/>
                <w:szCs w:val="20"/>
              </w:rPr>
            </w:pPr>
            <w:r w:rsidRPr="00471CBA">
              <w:rPr>
                <w:color w:val="000000"/>
                <w:szCs w:val="20"/>
              </w:rPr>
              <w:t>Diğer Cayılabilir Taahhütler</w:t>
            </w:r>
          </w:p>
        </w:tc>
        <w:tc>
          <w:tcPr>
            <w:tcW w:w="953" w:type="pct"/>
            <w:tcBorders>
              <w:top w:val="nil"/>
              <w:left w:val="nil"/>
              <w:bottom w:val="single" w:sz="4" w:space="0" w:color="auto"/>
              <w:right w:val="nil"/>
            </w:tcBorders>
            <w:noWrap/>
            <w:vAlign w:val="center"/>
            <w:hideMark/>
          </w:tcPr>
          <w:p w14:paraId="5BFE97C3" w14:textId="77777777" w:rsidR="001C13B0" w:rsidRPr="00471CBA" w:rsidRDefault="001C13B0" w:rsidP="003D1625">
            <w:pPr>
              <w:jc w:val="right"/>
              <w:rPr>
                <w:color w:val="000000"/>
                <w:szCs w:val="20"/>
              </w:rPr>
            </w:pPr>
            <w:r w:rsidRPr="00471CBA">
              <w:rPr>
                <w:color w:val="000000"/>
                <w:szCs w:val="20"/>
              </w:rPr>
              <w:t>-</w:t>
            </w:r>
          </w:p>
        </w:tc>
      </w:tr>
      <w:tr w:rsidR="001C13B0" w:rsidRPr="00471CBA" w14:paraId="625660A1" w14:textId="77777777" w:rsidTr="00DA230C">
        <w:trPr>
          <w:trHeight w:val="227"/>
        </w:trPr>
        <w:tc>
          <w:tcPr>
            <w:tcW w:w="4047" w:type="pct"/>
            <w:tcBorders>
              <w:top w:val="nil"/>
              <w:left w:val="nil"/>
              <w:bottom w:val="nil"/>
              <w:right w:val="nil"/>
            </w:tcBorders>
            <w:noWrap/>
            <w:vAlign w:val="center"/>
            <w:hideMark/>
          </w:tcPr>
          <w:p w14:paraId="1363A7E7" w14:textId="77777777" w:rsidR="001C13B0" w:rsidRPr="00471CBA" w:rsidRDefault="001C13B0" w:rsidP="003D1625">
            <w:pPr>
              <w:jc w:val="right"/>
              <w:rPr>
                <w:color w:val="000000"/>
                <w:szCs w:val="20"/>
              </w:rPr>
            </w:pPr>
          </w:p>
        </w:tc>
        <w:tc>
          <w:tcPr>
            <w:tcW w:w="953" w:type="pct"/>
            <w:tcBorders>
              <w:top w:val="nil"/>
              <w:left w:val="nil"/>
              <w:bottom w:val="nil"/>
              <w:right w:val="nil"/>
            </w:tcBorders>
            <w:noWrap/>
            <w:vAlign w:val="center"/>
            <w:hideMark/>
          </w:tcPr>
          <w:p w14:paraId="64491278" w14:textId="77777777" w:rsidR="001C13B0" w:rsidRPr="00471CBA" w:rsidRDefault="001C13B0" w:rsidP="003D1625">
            <w:pPr>
              <w:jc w:val="right"/>
              <w:rPr>
                <w:color w:val="000000"/>
                <w:szCs w:val="20"/>
                <w:lang w:eastAsia="tr-TR"/>
              </w:rPr>
            </w:pPr>
            <w:r w:rsidRPr="00471CBA">
              <w:rPr>
                <w:szCs w:val="20"/>
              </w:rPr>
              <w:t> </w:t>
            </w:r>
          </w:p>
        </w:tc>
      </w:tr>
      <w:tr w:rsidR="001C13B0" w:rsidRPr="00471CBA" w14:paraId="20AB573A" w14:textId="77777777" w:rsidTr="00DA230C">
        <w:trPr>
          <w:trHeight w:val="227"/>
        </w:trPr>
        <w:tc>
          <w:tcPr>
            <w:tcW w:w="4047" w:type="pct"/>
            <w:tcBorders>
              <w:top w:val="nil"/>
              <w:left w:val="nil"/>
              <w:bottom w:val="single" w:sz="12" w:space="0" w:color="auto"/>
              <w:right w:val="nil"/>
            </w:tcBorders>
            <w:noWrap/>
            <w:vAlign w:val="bottom"/>
            <w:hideMark/>
          </w:tcPr>
          <w:p w14:paraId="26C5F4EE" w14:textId="77777777" w:rsidR="001C13B0" w:rsidRPr="00471CBA" w:rsidRDefault="001C13B0" w:rsidP="003D1625">
            <w:pPr>
              <w:jc w:val="both"/>
              <w:rPr>
                <w:b/>
                <w:bCs/>
                <w:color w:val="000000"/>
                <w:szCs w:val="20"/>
              </w:rPr>
            </w:pPr>
            <w:r w:rsidRPr="00471CBA">
              <w:rPr>
                <w:b/>
                <w:bCs/>
                <w:color w:val="000000"/>
                <w:szCs w:val="20"/>
              </w:rPr>
              <w:t>Toplam</w:t>
            </w:r>
          </w:p>
        </w:tc>
        <w:tc>
          <w:tcPr>
            <w:tcW w:w="953" w:type="pct"/>
            <w:tcBorders>
              <w:top w:val="nil"/>
              <w:left w:val="nil"/>
              <w:bottom w:val="single" w:sz="12" w:space="0" w:color="auto"/>
              <w:right w:val="nil"/>
            </w:tcBorders>
            <w:noWrap/>
            <w:vAlign w:val="center"/>
            <w:hideMark/>
          </w:tcPr>
          <w:p w14:paraId="4DADD403" w14:textId="77777777" w:rsidR="001C13B0" w:rsidRPr="00471CBA" w:rsidRDefault="001C13B0" w:rsidP="003D1625">
            <w:pPr>
              <w:jc w:val="right"/>
              <w:rPr>
                <w:b/>
                <w:bCs/>
                <w:color w:val="000000"/>
                <w:szCs w:val="20"/>
              </w:rPr>
            </w:pPr>
            <w:r w:rsidRPr="00471CBA">
              <w:rPr>
                <w:b/>
                <w:bCs/>
                <w:color w:val="000000"/>
                <w:szCs w:val="20"/>
              </w:rPr>
              <w:t>11.939.283</w:t>
            </w:r>
          </w:p>
        </w:tc>
      </w:tr>
    </w:tbl>
    <w:p w14:paraId="5E579ED5" w14:textId="77777777" w:rsidR="001C13B0" w:rsidRPr="006025D3" w:rsidRDefault="001C13B0" w:rsidP="00CD770B">
      <w:pPr>
        <w:widowControl w:val="0"/>
        <w:spacing w:line="228" w:lineRule="auto"/>
        <w:ind w:left="-14" w:hanging="504"/>
        <w:jc w:val="both"/>
        <w:rPr>
          <w:b/>
          <w:sz w:val="16"/>
          <w:szCs w:val="16"/>
        </w:rPr>
      </w:pPr>
    </w:p>
    <w:p w14:paraId="29C550DE" w14:textId="5030ACCE" w:rsidR="00136C29" w:rsidRPr="00471CBA" w:rsidRDefault="001B0D35" w:rsidP="00850F3C">
      <w:pPr>
        <w:widowControl w:val="0"/>
        <w:spacing w:line="228" w:lineRule="auto"/>
        <w:ind w:left="1276" w:hanging="425"/>
        <w:jc w:val="both"/>
        <w:rPr>
          <w:b/>
          <w:szCs w:val="20"/>
        </w:rPr>
      </w:pPr>
      <w:r w:rsidRPr="00471CBA">
        <w:rPr>
          <w:b/>
          <w:szCs w:val="20"/>
        </w:rPr>
        <w:t>b.</w:t>
      </w:r>
      <w:r w:rsidR="00136C29" w:rsidRPr="00471CBA">
        <w:rPr>
          <w:b/>
          <w:szCs w:val="20"/>
        </w:rPr>
        <w:tab/>
        <w:t>Nazım hesap kalemlerinden kaynaklanan muhtemel zararların ve taahhütlerin yapısı ve tutarı:</w:t>
      </w:r>
    </w:p>
    <w:p w14:paraId="4E041ACE" w14:textId="77777777" w:rsidR="00392FA9" w:rsidRPr="006025D3" w:rsidRDefault="00392FA9" w:rsidP="00CD770B">
      <w:pPr>
        <w:widowControl w:val="0"/>
        <w:spacing w:line="228" w:lineRule="auto"/>
        <w:ind w:left="-14" w:right="100" w:hanging="504"/>
        <w:jc w:val="both"/>
        <w:rPr>
          <w:b/>
          <w:sz w:val="14"/>
          <w:szCs w:val="14"/>
        </w:rPr>
      </w:pPr>
    </w:p>
    <w:p w14:paraId="11BC2F04" w14:textId="33BBFDCB" w:rsidR="00136C29" w:rsidRPr="00471CBA" w:rsidRDefault="001B0D35" w:rsidP="00850F3C">
      <w:pPr>
        <w:widowControl w:val="0"/>
        <w:spacing w:line="228" w:lineRule="auto"/>
        <w:ind w:left="1276" w:right="100" w:hanging="425"/>
        <w:jc w:val="both"/>
        <w:rPr>
          <w:b/>
          <w:szCs w:val="20"/>
        </w:rPr>
      </w:pPr>
      <w:r w:rsidRPr="00471CBA">
        <w:rPr>
          <w:b/>
          <w:szCs w:val="20"/>
        </w:rPr>
        <w:t>b.1.</w:t>
      </w:r>
      <w:r w:rsidR="00136C29" w:rsidRPr="00471CBA">
        <w:rPr>
          <w:b/>
          <w:szCs w:val="20"/>
        </w:rPr>
        <w:tab/>
        <w:t xml:space="preserve">Garantiler, banka aval ve kabulleri ve mali garanti yerine geçen teminatlar ve diğer akreditifler dahil </w:t>
      </w:r>
      <w:proofErr w:type="spellStart"/>
      <w:r w:rsidR="00136C29" w:rsidRPr="00471CBA">
        <w:rPr>
          <w:b/>
          <w:szCs w:val="20"/>
        </w:rPr>
        <w:t>gayrinakdi</w:t>
      </w:r>
      <w:proofErr w:type="spellEnd"/>
      <w:r w:rsidR="00136C29" w:rsidRPr="00471CBA">
        <w:rPr>
          <w:b/>
          <w:szCs w:val="20"/>
        </w:rPr>
        <w:t xml:space="preserve"> krediler:</w:t>
      </w:r>
    </w:p>
    <w:p w14:paraId="5D9C3E00" w14:textId="6B63A617" w:rsidR="00A74C68" w:rsidRPr="006025D3" w:rsidRDefault="00A74C68" w:rsidP="00CD770B">
      <w:pPr>
        <w:widowControl w:val="0"/>
        <w:spacing w:line="228" w:lineRule="auto"/>
        <w:ind w:left="-28" w:hanging="462"/>
        <w:jc w:val="both"/>
        <w:rPr>
          <w:sz w:val="16"/>
          <w:szCs w:val="16"/>
        </w:rPr>
      </w:pPr>
    </w:p>
    <w:tbl>
      <w:tblPr>
        <w:tblW w:w="5000" w:type="pct"/>
        <w:tblCellMar>
          <w:left w:w="70" w:type="dxa"/>
          <w:right w:w="70" w:type="dxa"/>
        </w:tblCellMar>
        <w:tblLook w:val="04A0" w:firstRow="1" w:lastRow="0" w:firstColumn="1" w:lastColumn="0" w:noHBand="0" w:noVBand="1"/>
      </w:tblPr>
      <w:tblGrid>
        <w:gridCol w:w="6741"/>
        <w:gridCol w:w="2614"/>
      </w:tblGrid>
      <w:tr w:rsidR="00A74C68" w:rsidRPr="00471CBA" w14:paraId="2B914F90" w14:textId="77777777" w:rsidTr="00A74C68">
        <w:trPr>
          <w:divId w:val="132061171"/>
          <w:trHeight w:val="227"/>
        </w:trPr>
        <w:tc>
          <w:tcPr>
            <w:tcW w:w="3603" w:type="pct"/>
            <w:tcBorders>
              <w:top w:val="nil"/>
              <w:left w:val="nil"/>
              <w:bottom w:val="nil"/>
              <w:right w:val="nil"/>
            </w:tcBorders>
            <w:noWrap/>
            <w:vAlign w:val="bottom"/>
            <w:hideMark/>
          </w:tcPr>
          <w:p w14:paraId="453C86EC" w14:textId="363D02AC" w:rsidR="00A74C68" w:rsidRPr="00471CBA" w:rsidRDefault="00A74C68" w:rsidP="00A74C68">
            <w:pPr>
              <w:rPr>
                <w:szCs w:val="20"/>
              </w:rPr>
            </w:pPr>
          </w:p>
        </w:tc>
        <w:tc>
          <w:tcPr>
            <w:tcW w:w="1397" w:type="pct"/>
            <w:tcBorders>
              <w:top w:val="nil"/>
              <w:left w:val="nil"/>
              <w:bottom w:val="single" w:sz="4" w:space="0" w:color="auto"/>
              <w:right w:val="nil"/>
            </w:tcBorders>
            <w:noWrap/>
            <w:vAlign w:val="center"/>
            <w:hideMark/>
          </w:tcPr>
          <w:p w14:paraId="3E10F4EF" w14:textId="77777777" w:rsidR="00A74C68" w:rsidRPr="00471CBA" w:rsidRDefault="00A74C68" w:rsidP="00A74C68">
            <w:pPr>
              <w:jc w:val="center"/>
              <w:rPr>
                <w:b/>
                <w:bCs/>
                <w:color w:val="000000"/>
                <w:szCs w:val="20"/>
              </w:rPr>
            </w:pPr>
            <w:r w:rsidRPr="00471CBA">
              <w:rPr>
                <w:b/>
                <w:bCs/>
                <w:color w:val="000000"/>
                <w:szCs w:val="20"/>
              </w:rPr>
              <w:t>31 Aralık 2025</w:t>
            </w:r>
          </w:p>
        </w:tc>
      </w:tr>
      <w:tr w:rsidR="00A74C68" w:rsidRPr="00471CBA" w14:paraId="2B2A575B" w14:textId="77777777" w:rsidTr="00A74C68">
        <w:trPr>
          <w:divId w:val="132061171"/>
          <w:trHeight w:val="227"/>
        </w:trPr>
        <w:tc>
          <w:tcPr>
            <w:tcW w:w="3603" w:type="pct"/>
            <w:tcBorders>
              <w:top w:val="nil"/>
              <w:left w:val="nil"/>
              <w:bottom w:val="nil"/>
              <w:right w:val="nil"/>
            </w:tcBorders>
            <w:shd w:val="clear" w:color="000000" w:fill="FFFFFF"/>
            <w:noWrap/>
            <w:vAlign w:val="bottom"/>
            <w:hideMark/>
          </w:tcPr>
          <w:p w14:paraId="00A61FE2" w14:textId="77777777" w:rsidR="00A74C68" w:rsidRPr="00471CBA" w:rsidRDefault="00A74C68" w:rsidP="00A74C68">
            <w:pPr>
              <w:rPr>
                <w:color w:val="000000"/>
                <w:szCs w:val="20"/>
              </w:rPr>
            </w:pPr>
            <w:r w:rsidRPr="00471CBA">
              <w:rPr>
                <w:color w:val="000000"/>
                <w:szCs w:val="20"/>
              </w:rPr>
              <w:t> </w:t>
            </w:r>
          </w:p>
        </w:tc>
        <w:tc>
          <w:tcPr>
            <w:tcW w:w="1397" w:type="pct"/>
            <w:tcBorders>
              <w:top w:val="single" w:sz="4" w:space="0" w:color="auto"/>
              <w:left w:val="nil"/>
              <w:bottom w:val="nil"/>
              <w:right w:val="nil"/>
            </w:tcBorders>
            <w:shd w:val="clear" w:color="000000" w:fill="FFFFFF"/>
            <w:noWrap/>
            <w:vAlign w:val="bottom"/>
            <w:hideMark/>
          </w:tcPr>
          <w:p w14:paraId="0021C90B" w14:textId="77777777" w:rsidR="00A74C68" w:rsidRPr="00471CBA" w:rsidRDefault="00A74C68" w:rsidP="00A74C68">
            <w:pPr>
              <w:jc w:val="center"/>
              <w:rPr>
                <w:b/>
                <w:bCs/>
                <w:color w:val="000000"/>
                <w:szCs w:val="20"/>
              </w:rPr>
            </w:pPr>
            <w:r w:rsidRPr="00471CBA">
              <w:rPr>
                <w:b/>
                <w:bCs/>
                <w:color w:val="000000"/>
                <w:szCs w:val="20"/>
              </w:rPr>
              <w:t> </w:t>
            </w:r>
          </w:p>
        </w:tc>
      </w:tr>
      <w:tr w:rsidR="00A74C68" w:rsidRPr="00471CBA" w14:paraId="346D89A4" w14:textId="77777777" w:rsidTr="00A74C68">
        <w:trPr>
          <w:divId w:val="132061171"/>
          <w:trHeight w:val="227"/>
        </w:trPr>
        <w:tc>
          <w:tcPr>
            <w:tcW w:w="3603" w:type="pct"/>
            <w:tcBorders>
              <w:top w:val="nil"/>
              <w:left w:val="nil"/>
              <w:bottom w:val="nil"/>
              <w:right w:val="nil"/>
            </w:tcBorders>
            <w:noWrap/>
            <w:vAlign w:val="bottom"/>
            <w:hideMark/>
          </w:tcPr>
          <w:p w14:paraId="1266116B" w14:textId="77777777" w:rsidR="00A74C68" w:rsidRPr="00471CBA" w:rsidRDefault="00A74C68" w:rsidP="00A74C68">
            <w:pPr>
              <w:rPr>
                <w:color w:val="000000"/>
                <w:szCs w:val="20"/>
              </w:rPr>
            </w:pPr>
            <w:r w:rsidRPr="00471CBA">
              <w:rPr>
                <w:color w:val="000000"/>
                <w:szCs w:val="20"/>
              </w:rPr>
              <w:t>Teminat Mektupları</w:t>
            </w:r>
          </w:p>
        </w:tc>
        <w:tc>
          <w:tcPr>
            <w:tcW w:w="1397" w:type="pct"/>
            <w:tcBorders>
              <w:top w:val="nil"/>
              <w:left w:val="nil"/>
              <w:bottom w:val="nil"/>
              <w:right w:val="nil"/>
            </w:tcBorders>
            <w:noWrap/>
            <w:vAlign w:val="center"/>
            <w:hideMark/>
          </w:tcPr>
          <w:p w14:paraId="70B6EB4B" w14:textId="77777777" w:rsidR="00A74C68" w:rsidRPr="00471CBA" w:rsidRDefault="00A74C68" w:rsidP="00A74C68">
            <w:pPr>
              <w:jc w:val="right"/>
              <w:rPr>
                <w:color w:val="000000"/>
                <w:szCs w:val="20"/>
              </w:rPr>
            </w:pPr>
            <w:r w:rsidRPr="00471CBA">
              <w:rPr>
                <w:color w:val="000000"/>
                <w:szCs w:val="20"/>
              </w:rPr>
              <w:t>25.049.421</w:t>
            </w:r>
          </w:p>
        </w:tc>
      </w:tr>
      <w:tr w:rsidR="00A74C68" w:rsidRPr="00471CBA" w14:paraId="19817EF4" w14:textId="77777777" w:rsidTr="00A74C68">
        <w:trPr>
          <w:divId w:val="132061171"/>
          <w:trHeight w:val="227"/>
        </w:trPr>
        <w:tc>
          <w:tcPr>
            <w:tcW w:w="3603" w:type="pct"/>
            <w:tcBorders>
              <w:top w:val="nil"/>
              <w:left w:val="nil"/>
              <w:bottom w:val="nil"/>
              <w:right w:val="nil"/>
            </w:tcBorders>
            <w:shd w:val="clear" w:color="000000" w:fill="FFFFFF"/>
            <w:noWrap/>
            <w:vAlign w:val="bottom"/>
            <w:hideMark/>
          </w:tcPr>
          <w:p w14:paraId="694639E8" w14:textId="77777777" w:rsidR="00A74C68" w:rsidRPr="00471CBA" w:rsidRDefault="00A74C68" w:rsidP="00A74C68">
            <w:pPr>
              <w:rPr>
                <w:color w:val="000000"/>
                <w:szCs w:val="20"/>
              </w:rPr>
            </w:pPr>
            <w:r w:rsidRPr="00471CBA">
              <w:rPr>
                <w:color w:val="000000"/>
                <w:szCs w:val="20"/>
              </w:rPr>
              <w:t>Banka Aval ve Kabulleri</w:t>
            </w:r>
          </w:p>
        </w:tc>
        <w:tc>
          <w:tcPr>
            <w:tcW w:w="1397" w:type="pct"/>
            <w:tcBorders>
              <w:top w:val="nil"/>
              <w:left w:val="nil"/>
              <w:bottom w:val="nil"/>
              <w:right w:val="nil"/>
            </w:tcBorders>
            <w:noWrap/>
            <w:vAlign w:val="center"/>
            <w:hideMark/>
          </w:tcPr>
          <w:p w14:paraId="4628779C" w14:textId="77777777" w:rsidR="00A74C68" w:rsidRPr="00471CBA" w:rsidRDefault="00A74C68" w:rsidP="00A74C68">
            <w:pPr>
              <w:jc w:val="right"/>
              <w:rPr>
                <w:color w:val="000000"/>
                <w:szCs w:val="20"/>
              </w:rPr>
            </w:pPr>
            <w:r w:rsidRPr="00471CBA">
              <w:rPr>
                <w:color w:val="000000"/>
                <w:szCs w:val="20"/>
              </w:rPr>
              <w:t>41.029</w:t>
            </w:r>
          </w:p>
        </w:tc>
      </w:tr>
      <w:tr w:rsidR="00A74C68" w:rsidRPr="00471CBA" w14:paraId="180B58B6" w14:textId="77777777" w:rsidTr="00A74C68">
        <w:trPr>
          <w:divId w:val="132061171"/>
          <w:trHeight w:val="227"/>
        </w:trPr>
        <w:tc>
          <w:tcPr>
            <w:tcW w:w="3603" w:type="pct"/>
            <w:tcBorders>
              <w:top w:val="nil"/>
              <w:left w:val="nil"/>
              <w:bottom w:val="nil"/>
              <w:right w:val="nil"/>
            </w:tcBorders>
            <w:shd w:val="clear" w:color="000000" w:fill="FFFFFF"/>
            <w:noWrap/>
            <w:vAlign w:val="bottom"/>
            <w:hideMark/>
          </w:tcPr>
          <w:p w14:paraId="17F023F8" w14:textId="77777777" w:rsidR="00A74C68" w:rsidRPr="00471CBA" w:rsidRDefault="00A74C68" w:rsidP="00A74C68">
            <w:pPr>
              <w:rPr>
                <w:color w:val="000000"/>
                <w:szCs w:val="20"/>
              </w:rPr>
            </w:pPr>
            <w:r w:rsidRPr="00471CBA">
              <w:rPr>
                <w:color w:val="000000"/>
                <w:szCs w:val="20"/>
              </w:rPr>
              <w:t>Akreditifler</w:t>
            </w:r>
          </w:p>
        </w:tc>
        <w:tc>
          <w:tcPr>
            <w:tcW w:w="1397" w:type="pct"/>
            <w:tcBorders>
              <w:top w:val="nil"/>
              <w:left w:val="nil"/>
              <w:bottom w:val="nil"/>
              <w:right w:val="nil"/>
            </w:tcBorders>
            <w:noWrap/>
            <w:vAlign w:val="center"/>
            <w:hideMark/>
          </w:tcPr>
          <w:p w14:paraId="72A0A5F3" w14:textId="77777777" w:rsidR="00A74C68" w:rsidRPr="00471CBA" w:rsidRDefault="00A74C68" w:rsidP="00A74C68">
            <w:pPr>
              <w:jc w:val="right"/>
              <w:rPr>
                <w:color w:val="000000"/>
                <w:szCs w:val="20"/>
              </w:rPr>
            </w:pPr>
            <w:r w:rsidRPr="00471CBA">
              <w:rPr>
                <w:color w:val="000000"/>
                <w:szCs w:val="20"/>
              </w:rPr>
              <w:t>590.233</w:t>
            </w:r>
          </w:p>
        </w:tc>
      </w:tr>
      <w:tr w:rsidR="00A74C68" w:rsidRPr="00471CBA" w14:paraId="3AC45948" w14:textId="77777777" w:rsidTr="00A74C68">
        <w:trPr>
          <w:divId w:val="132061171"/>
          <w:trHeight w:val="227"/>
        </w:trPr>
        <w:tc>
          <w:tcPr>
            <w:tcW w:w="3603" w:type="pct"/>
            <w:tcBorders>
              <w:top w:val="nil"/>
              <w:left w:val="nil"/>
              <w:bottom w:val="single" w:sz="4" w:space="0" w:color="auto"/>
              <w:right w:val="nil"/>
            </w:tcBorders>
            <w:shd w:val="clear" w:color="000000" w:fill="FFFFFF"/>
            <w:noWrap/>
            <w:vAlign w:val="bottom"/>
            <w:hideMark/>
          </w:tcPr>
          <w:p w14:paraId="0656F44B" w14:textId="77777777" w:rsidR="00A74C68" w:rsidRPr="00471CBA" w:rsidRDefault="00A74C68" w:rsidP="00A74C68">
            <w:pPr>
              <w:rPr>
                <w:color w:val="000000"/>
                <w:szCs w:val="20"/>
              </w:rPr>
            </w:pPr>
            <w:r w:rsidRPr="00471CBA">
              <w:rPr>
                <w:color w:val="000000"/>
                <w:szCs w:val="20"/>
              </w:rPr>
              <w:t>Diğer Garanti ve Kefaletler</w:t>
            </w:r>
          </w:p>
        </w:tc>
        <w:tc>
          <w:tcPr>
            <w:tcW w:w="1397" w:type="pct"/>
            <w:tcBorders>
              <w:top w:val="nil"/>
              <w:left w:val="nil"/>
              <w:bottom w:val="single" w:sz="4" w:space="0" w:color="auto"/>
              <w:right w:val="nil"/>
            </w:tcBorders>
            <w:noWrap/>
            <w:vAlign w:val="center"/>
            <w:hideMark/>
          </w:tcPr>
          <w:p w14:paraId="50E6A13C" w14:textId="77777777" w:rsidR="00A74C68" w:rsidRPr="00471CBA" w:rsidRDefault="00A74C68" w:rsidP="00A74C68">
            <w:pPr>
              <w:jc w:val="right"/>
              <w:rPr>
                <w:color w:val="000000"/>
                <w:szCs w:val="20"/>
              </w:rPr>
            </w:pPr>
            <w:r w:rsidRPr="00471CBA">
              <w:rPr>
                <w:color w:val="000000"/>
                <w:szCs w:val="20"/>
              </w:rPr>
              <w:t>-</w:t>
            </w:r>
          </w:p>
        </w:tc>
      </w:tr>
      <w:tr w:rsidR="00A74C68" w:rsidRPr="00471CBA" w14:paraId="10F6A75C" w14:textId="77777777" w:rsidTr="00A74C68">
        <w:trPr>
          <w:divId w:val="132061171"/>
          <w:trHeight w:val="227"/>
        </w:trPr>
        <w:tc>
          <w:tcPr>
            <w:tcW w:w="3603" w:type="pct"/>
            <w:tcBorders>
              <w:top w:val="nil"/>
              <w:left w:val="nil"/>
              <w:bottom w:val="nil"/>
              <w:right w:val="nil"/>
            </w:tcBorders>
            <w:shd w:val="clear" w:color="000000" w:fill="FFFFFF"/>
            <w:noWrap/>
            <w:vAlign w:val="bottom"/>
            <w:hideMark/>
          </w:tcPr>
          <w:p w14:paraId="19A1FADF" w14:textId="77777777" w:rsidR="00A74C68" w:rsidRPr="00471CBA" w:rsidRDefault="00A74C68" w:rsidP="00A74C68">
            <w:pPr>
              <w:rPr>
                <w:color w:val="000000"/>
                <w:szCs w:val="20"/>
              </w:rPr>
            </w:pPr>
            <w:r w:rsidRPr="00471CBA">
              <w:rPr>
                <w:color w:val="000000"/>
                <w:szCs w:val="20"/>
              </w:rPr>
              <w:t> </w:t>
            </w:r>
          </w:p>
        </w:tc>
        <w:tc>
          <w:tcPr>
            <w:tcW w:w="1397" w:type="pct"/>
            <w:tcBorders>
              <w:top w:val="nil"/>
              <w:left w:val="nil"/>
              <w:bottom w:val="nil"/>
              <w:right w:val="nil"/>
            </w:tcBorders>
            <w:shd w:val="clear" w:color="000000" w:fill="FFFFFF"/>
            <w:noWrap/>
            <w:vAlign w:val="center"/>
            <w:hideMark/>
          </w:tcPr>
          <w:p w14:paraId="7621FD13" w14:textId="77777777" w:rsidR="00A74C68" w:rsidRPr="00471CBA" w:rsidRDefault="00A74C68" w:rsidP="00A74C68">
            <w:pPr>
              <w:jc w:val="right"/>
              <w:rPr>
                <w:color w:val="000000"/>
                <w:szCs w:val="20"/>
              </w:rPr>
            </w:pPr>
            <w:r w:rsidRPr="00471CBA">
              <w:rPr>
                <w:color w:val="000000"/>
                <w:szCs w:val="20"/>
              </w:rPr>
              <w:t> </w:t>
            </w:r>
          </w:p>
        </w:tc>
      </w:tr>
      <w:tr w:rsidR="00A74C68" w:rsidRPr="00471CBA" w14:paraId="76061985" w14:textId="77777777" w:rsidTr="00A74C68">
        <w:trPr>
          <w:divId w:val="132061171"/>
          <w:trHeight w:val="227"/>
        </w:trPr>
        <w:tc>
          <w:tcPr>
            <w:tcW w:w="3603" w:type="pct"/>
            <w:tcBorders>
              <w:top w:val="nil"/>
              <w:left w:val="nil"/>
              <w:bottom w:val="single" w:sz="12" w:space="0" w:color="auto"/>
              <w:right w:val="nil"/>
            </w:tcBorders>
            <w:shd w:val="clear" w:color="000000" w:fill="FFFFFF"/>
            <w:noWrap/>
            <w:vAlign w:val="bottom"/>
            <w:hideMark/>
          </w:tcPr>
          <w:p w14:paraId="617F25CC" w14:textId="77777777" w:rsidR="00A74C68" w:rsidRPr="00471CBA" w:rsidRDefault="00A74C68" w:rsidP="00A74C68">
            <w:pPr>
              <w:rPr>
                <w:b/>
                <w:bCs/>
                <w:color w:val="000000"/>
                <w:szCs w:val="20"/>
              </w:rPr>
            </w:pPr>
            <w:r w:rsidRPr="00471CBA">
              <w:rPr>
                <w:b/>
                <w:bCs/>
                <w:szCs w:val="20"/>
              </w:rPr>
              <w:t>Toplam</w:t>
            </w:r>
          </w:p>
        </w:tc>
        <w:tc>
          <w:tcPr>
            <w:tcW w:w="1397" w:type="pct"/>
            <w:tcBorders>
              <w:top w:val="nil"/>
              <w:left w:val="nil"/>
              <w:bottom w:val="single" w:sz="12" w:space="0" w:color="auto"/>
              <w:right w:val="nil"/>
            </w:tcBorders>
            <w:noWrap/>
            <w:vAlign w:val="center"/>
            <w:hideMark/>
          </w:tcPr>
          <w:p w14:paraId="65D9F7D8" w14:textId="77777777" w:rsidR="00A74C68" w:rsidRPr="00471CBA" w:rsidRDefault="00A74C68" w:rsidP="00A74C68">
            <w:pPr>
              <w:jc w:val="right"/>
              <w:rPr>
                <w:b/>
                <w:bCs/>
                <w:color w:val="000000"/>
                <w:szCs w:val="20"/>
              </w:rPr>
            </w:pPr>
            <w:r w:rsidRPr="00471CBA">
              <w:rPr>
                <w:b/>
                <w:bCs/>
                <w:color w:val="000000"/>
                <w:szCs w:val="20"/>
              </w:rPr>
              <w:t>25.680.683</w:t>
            </w:r>
          </w:p>
        </w:tc>
      </w:tr>
    </w:tbl>
    <w:p w14:paraId="585E97BE" w14:textId="0008C469" w:rsidR="00392FA9" w:rsidRPr="006025D3" w:rsidRDefault="00392FA9" w:rsidP="00CD770B">
      <w:pPr>
        <w:widowControl w:val="0"/>
        <w:spacing w:line="228" w:lineRule="auto"/>
        <w:ind w:left="-28" w:hanging="462"/>
        <w:jc w:val="both"/>
        <w:rPr>
          <w:b/>
          <w:sz w:val="16"/>
          <w:szCs w:val="16"/>
        </w:rPr>
      </w:pPr>
    </w:p>
    <w:tbl>
      <w:tblPr>
        <w:tblW w:w="5000" w:type="pct"/>
        <w:tblCellMar>
          <w:left w:w="70" w:type="dxa"/>
          <w:right w:w="70" w:type="dxa"/>
        </w:tblCellMar>
        <w:tblLook w:val="04A0" w:firstRow="1" w:lastRow="0" w:firstColumn="1" w:lastColumn="0" w:noHBand="0" w:noVBand="1"/>
      </w:tblPr>
      <w:tblGrid>
        <w:gridCol w:w="6771"/>
        <w:gridCol w:w="2584"/>
      </w:tblGrid>
      <w:tr w:rsidR="001C13B0" w:rsidRPr="00471CBA" w14:paraId="78C8A97C" w14:textId="77777777" w:rsidTr="00DA230C">
        <w:trPr>
          <w:trHeight w:val="227"/>
        </w:trPr>
        <w:tc>
          <w:tcPr>
            <w:tcW w:w="3619" w:type="pct"/>
            <w:tcBorders>
              <w:top w:val="nil"/>
              <w:left w:val="nil"/>
              <w:bottom w:val="nil"/>
              <w:right w:val="nil"/>
            </w:tcBorders>
            <w:noWrap/>
            <w:vAlign w:val="bottom"/>
            <w:hideMark/>
          </w:tcPr>
          <w:p w14:paraId="21FCF687" w14:textId="77777777" w:rsidR="001C13B0" w:rsidRPr="00471CBA" w:rsidRDefault="001C13B0" w:rsidP="003D1625">
            <w:pPr>
              <w:rPr>
                <w:szCs w:val="20"/>
              </w:rPr>
            </w:pPr>
          </w:p>
        </w:tc>
        <w:tc>
          <w:tcPr>
            <w:tcW w:w="1381" w:type="pct"/>
            <w:tcBorders>
              <w:top w:val="nil"/>
              <w:left w:val="nil"/>
              <w:bottom w:val="single" w:sz="4" w:space="0" w:color="auto"/>
              <w:right w:val="nil"/>
            </w:tcBorders>
            <w:noWrap/>
            <w:vAlign w:val="center"/>
            <w:hideMark/>
          </w:tcPr>
          <w:p w14:paraId="58A2CE14" w14:textId="77777777" w:rsidR="001C13B0" w:rsidRPr="00471CBA" w:rsidRDefault="001C13B0" w:rsidP="003D1625">
            <w:pPr>
              <w:jc w:val="center"/>
              <w:rPr>
                <w:b/>
                <w:bCs/>
                <w:color w:val="000000"/>
                <w:szCs w:val="20"/>
              </w:rPr>
            </w:pPr>
            <w:r w:rsidRPr="00471CBA">
              <w:rPr>
                <w:b/>
                <w:bCs/>
                <w:color w:val="000000"/>
                <w:szCs w:val="20"/>
              </w:rPr>
              <w:t>31 Aralık 2024</w:t>
            </w:r>
          </w:p>
        </w:tc>
      </w:tr>
      <w:tr w:rsidR="001C13B0" w:rsidRPr="00471CBA" w14:paraId="7AFBF716" w14:textId="77777777" w:rsidTr="00DA230C">
        <w:trPr>
          <w:trHeight w:val="227"/>
        </w:trPr>
        <w:tc>
          <w:tcPr>
            <w:tcW w:w="3619" w:type="pct"/>
            <w:tcBorders>
              <w:top w:val="nil"/>
              <w:left w:val="nil"/>
              <w:bottom w:val="nil"/>
              <w:right w:val="nil"/>
            </w:tcBorders>
            <w:shd w:val="clear" w:color="000000" w:fill="FFFFFF"/>
            <w:noWrap/>
            <w:vAlign w:val="bottom"/>
            <w:hideMark/>
          </w:tcPr>
          <w:p w14:paraId="451AE5A5" w14:textId="77777777" w:rsidR="001C13B0" w:rsidRPr="00471CBA" w:rsidRDefault="001C13B0" w:rsidP="003D1625">
            <w:pPr>
              <w:rPr>
                <w:color w:val="000000"/>
                <w:szCs w:val="20"/>
              </w:rPr>
            </w:pPr>
            <w:r w:rsidRPr="00471CBA">
              <w:rPr>
                <w:color w:val="000000"/>
                <w:szCs w:val="20"/>
              </w:rPr>
              <w:t> </w:t>
            </w:r>
          </w:p>
        </w:tc>
        <w:tc>
          <w:tcPr>
            <w:tcW w:w="1381" w:type="pct"/>
            <w:tcBorders>
              <w:top w:val="single" w:sz="4" w:space="0" w:color="auto"/>
              <w:left w:val="nil"/>
              <w:bottom w:val="nil"/>
              <w:right w:val="nil"/>
            </w:tcBorders>
            <w:shd w:val="clear" w:color="000000" w:fill="FFFFFF"/>
            <w:noWrap/>
            <w:vAlign w:val="bottom"/>
            <w:hideMark/>
          </w:tcPr>
          <w:p w14:paraId="02E08932" w14:textId="77777777" w:rsidR="001C13B0" w:rsidRPr="00471CBA" w:rsidRDefault="001C13B0" w:rsidP="003D1625">
            <w:pPr>
              <w:jc w:val="center"/>
              <w:rPr>
                <w:b/>
                <w:bCs/>
                <w:color w:val="000000"/>
                <w:szCs w:val="20"/>
              </w:rPr>
            </w:pPr>
            <w:r w:rsidRPr="00471CBA">
              <w:rPr>
                <w:b/>
                <w:bCs/>
                <w:color w:val="000000"/>
                <w:szCs w:val="20"/>
              </w:rPr>
              <w:t> </w:t>
            </w:r>
          </w:p>
        </w:tc>
      </w:tr>
      <w:tr w:rsidR="001C13B0" w:rsidRPr="00471CBA" w14:paraId="43411920" w14:textId="77777777" w:rsidTr="00DA230C">
        <w:trPr>
          <w:trHeight w:val="227"/>
        </w:trPr>
        <w:tc>
          <w:tcPr>
            <w:tcW w:w="3619" w:type="pct"/>
            <w:tcBorders>
              <w:top w:val="nil"/>
              <w:left w:val="nil"/>
              <w:bottom w:val="nil"/>
              <w:right w:val="nil"/>
            </w:tcBorders>
            <w:noWrap/>
            <w:vAlign w:val="bottom"/>
            <w:hideMark/>
          </w:tcPr>
          <w:p w14:paraId="2F43027A" w14:textId="77777777" w:rsidR="001C13B0" w:rsidRPr="00471CBA" w:rsidRDefault="001C13B0" w:rsidP="003D1625">
            <w:pPr>
              <w:rPr>
                <w:color w:val="000000"/>
                <w:szCs w:val="20"/>
              </w:rPr>
            </w:pPr>
            <w:r w:rsidRPr="00471CBA">
              <w:rPr>
                <w:color w:val="000000"/>
                <w:szCs w:val="20"/>
              </w:rPr>
              <w:t>Teminat Mektupları</w:t>
            </w:r>
          </w:p>
        </w:tc>
        <w:tc>
          <w:tcPr>
            <w:tcW w:w="1381" w:type="pct"/>
            <w:tcBorders>
              <w:top w:val="nil"/>
              <w:left w:val="nil"/>
              <w:bottom w:val="nil"/>
              <w:right w:val="nil"/>
            </w:tcBorders>
            <w:noWrap/>
            <w:vAlign w:val="center"/>
            <w:hideMark/>
          </w:tcPr>
          <w:p w14:paraId="26346630" w14:textId="77777777" w:rsidR="001C13B0" w:rsidRPr="00471CBA" w:rsidRDefault="001C13B0" w:rsidP="003D1625">
            <w:pPr>
              <w:jc w:val="right"/>
              <w:rPr>
                <w:color w:val="000000"/>
                <w:szCs w:val="20"/>
              </w:rPr>
            </w:pPr>
            <w:r w:rsidRPr="00471CBA">
              <w:rPr>
                <w:color w:val="000000"/>
                <w:szCs w:val="20"/>
              </w:rPr>
              <w:t>7.335.714</w:t>
            </w:r>
          </w:p>
        </w:tc>
      </w:tr>
      <w:tr w:rsidR="001C13B0" w:rsidRPr="00471CBA" w14:paraId="20C3D3ED" w14:textId="77777777" w:rsidTr="00DA230C">
        <w:trPr>
          <w:trHeight w:val="227"/>
        </w:trPr>
        <w:tc>
          <w:tcPr>
            <w:tcW w:w="3619" w:type="pct"/>
            <w:tcBorders>
              <w:top w:val="nil"/>
              <w:left w:val="nil"/>
              <w:bottom w:val="nil"/>
              <w:right w:val="nil"/>
            </w:tcBorders>
            <w:shd w:val="clear" w:color="000000" w:fill="FFFFFF"/>
            <w:noWrap/>
            <w:vAlign w:val="bottom"/>
            <w:hideMark/>
          </w:tcPr>
          <w:p w14:paraId="336DCAB9" w14:textId="77777777" w:rsidR="001C13B0" w:rsidRPr="00471CBA" w:rsidRDefault="001C13B0" w:rsidP="003D1625">
            <w:pPr>
              <w:rPr>
                <w:color w:val="000000"/>
                <w:szCs w:val="20"/>
              </w:rPr>
            </w:pPr>
            <w:r w:rsidRPr="00471CBA">
              <w:rPr>
                <w:color w:val="000000"/>
                <w:szCs w:val="20"/>
              </w:rPr>
              <w:t>Banka Aval ve Kabulleri</w:t>
            </w:r>
          </w:p>
        </w:tc>
        <w:tc>
          <w:tcPr>
            <w:tcW w:w="1381" w:type="pct"/>
            <w:tcBorders>
              <w:top w:val="nil"/>
              <w:left w:val="nil"/>
              <w:bottom w:val="nil"/>
              <w:right w:val="nil"/>
            </w:tcBorders>
            <w:noWrap/>
            <w:vAlign w:val="center"/>
            <w:hideMark/>
          </w:tcPr>
          <w:p w14:paraId="251E9195" w14:textId="77777777" w:rsidR="001C13B0" w:rsidRPr="00471CBA" w:rsidRDefault="001C13B0" w:rsidP="003D1625">
            <w:pPr>
              <w:jc w:val="right"/>
              <w:rPr>
                <w:color w:val="000000"/>
                <w:szCs w:val="20"/>
              </w:rPr>
            </w:pPr>
            <w:r w:rsidRPr="00471CBA">
              <w:rPr>
                <w:szCs w:val="20"/>
              </w:rPr>
              <w:t>-</w:t>
            </w:r>
          </w:p>
        </w:tc>
      </w:tr>
      <w:tr w:rsidR="001C13B0" w:rsidRPr="00471CBA" w14:paraId="5944C67B" w14:textId="77777777" w:rsidTr="00DA230C">
        <w:trPr>
          <w:trHeight w:val="227"/>
        </w:trPr>
        <w:tc>
          <w:tcPr>
            <w:tcW w:w="3619" w:type="pct"/>
            <w:tcBorders>
              <w:top w:val="nil"/>
              <w:left w:val="nil"/>
              <w:bottom w:val="nil"/>
              <w:right w:val="nil"/>
            </w:tcBorders>
            <w:shd w:val="clear" w:color="000000" w:fill="FFFFFF"/>
            <w:noWrap/>
            <w:vAlign w:val="bottom"/>
            <w:hideMark/>
          </w:tcPr>
          <w:p w14:paraId="13A5F9ED" w14:textId="77777777" w:rsidR="001C13B0" w:rsidRPr="00471CBA" w:rsidRDefault="001C13B0" w:rsidP="003D1625">
            <w:pPr>
              <w:rPr>
                <w:color w:val="000000"/>
                <w:szCs w:val="20"/>
              </w:rPr>
            </w:pPr>
            <w:r w:rsidRPr="00471CBA">
              <w:rPr>
                <w:color w:val="000000"/>
                <w:szCs w:val="20"/>
              </w:rPr>
              <w:t>Akreditifler</w:t>
            </w:r>
          </w:p>
        </w:tc>
        <w:tc>
          <w:tcPr>
            <w:tcW w:w="1381" w:type="pct"/>
            <w:tcBorders>
              <w:top w:val="nil"/>
              <w:left w:val="nil"/>
              <w:bottom w:val="nil"/>
              <w:right w:val="nil"/>
            </w:tcBorders>
            <w:noWrap/>
            <w:vAlign w:val="center"/>
            <w:hideMark/>
          </w:tcPr>
          <w:p w14:paraId="6174CF62" w14:textId="77777777" w:rsidR="001C13B0" w:rsidRPr="00471CBA" w:rsidRDefault="001C13B0" w:rsidP="003D1625">
            <w:pPr>
              <w:jc w:val="right"/>
              <w:rPr>
                <w:color w:val="000000"/>
                <w:szCs w:val="20"/>
              </w:rPr>
            </w:pPr>
            <w:r w:rsidRPr="00471CBA">
              <w:rPr>
                <w:szCs w:val="20"/>
              </w:rPr>
              <w:t>-</w:t>
            </w:r>
          </w:p>
        </w:tc>
      </w:tr>
      <w:tr w:rsidR="001C13B0" w:rsidRPr="00471CBA" w14:paraId="00145967" w14:textId="77777777" w:rsidTr="00DA230C">
        <w:trPr>
          <w:trHeight w:val="227"/>
        </w:trPr>
        <w:tc>
          <w:tcPr>
            <w:tcW w:w="3619" w:type="pct"/>
            <w:tcBorders>
              <w:top w:val="nil"/>
              <w:left w:val="nil"/>
              <w:bottom w:val="single" w:sz="4" w:space="0" w:color="auto"/>
              <w:right w:val="nil"/>
            </w:tcBorders>
            <w:shd w:val="clear" w:color="000000" w:fill="FFFFFF"/>
            <w:noWrap/>
            <w:vAlign w:val="bottom"/>
            <w:hideMark/>
          </w:tcPr>
          <w:p w14:paraId="3E7F3B65" w14:textId="77777777" w:rsidR="001C13B0" w:rsidRPr="00471CBA" w:rsidRDefault="001C13B0" w:rsidP="003D1625">
            <w:pPr>
              <w:rPr>
                <w:color w:val="000000"/>
                <w:szCs w:val="20"/>
              </w:rPr>
            </w:pPr>
            <w:r w:rsidRPr="00471CBA">
              <w:rPr>
                <w:color w:val="000000"/>
                <w:szCs w:val="20"/>
              </w:rPr>
              <w:t>Diğer Garanti ve Kefaletler</w:t>
            </w:r>
          </w:p>
        </w:tc>
        <w:tc>
          <w:tcPr>
            <w:tcW w:w="1381" w:type="pct"/>
            <w:tcBorders>
              <w:top w:val="nil"/>
              <w:left w:val="nil"/>
              <w:bottom w:val="single" w:sz="4" w:space="0" w:color="auto"/>
              <w:right w:val="nil"/>
            </w:tcBorders>
            <w:noWrap/>
            <w:vAlign w:val="center"/>
            <w:hideMark/>
          </w:tcPr>
          <w:p w14:paraId="1ED22CFB" w14:textId="77777777" w:rsidR="001C13B0" w:rsidRPr="00471CBA" w:rsidRDefault="001C13B0" w:rsidP="003D1625">
            <w:pPr>
              <w:jc w:val="right"/>
              <w:rPr>
                <w:color w:val="000000"/>
                <w:szCs w:val="20"/>
              </w:rPr>
            </w:pPr>
            <w:r w:rsidRPr="00471CBA">
              <w:rPr>
                <w:szCs w:val="20"/>
              </w:rPr>
              <w:t>-</w:t>
            </w:r>
          </w:p>
        </w:tc>
      </w:tr>
      <w:tr w:rsidR="001C13B0" w:rsidRPr="00471CBA" w14:paraId="063910DE" w14:textId="77777777" w:rsidTr="00DA230C">
        <w:trPr>
          <w:trHeight w:val="227"/>
        </w:trPr>
        <w:tc>
          <w:tcPr>
            <w:tcW w:w="3619" w:type="pct"/>
            <w:tcBorders>
              <w:top w:val="nil"/>
              <w:left w:val="nil"/>
              <w:bottom w:val="nil"/>
              <w:right w:val="nil"/>
            </w:tcBorders>
            <w:shd w:val="clear" w:color="000000" w:fill="FFFFFF"/>
            <w:noWrap/>
            <w:vAlign w:val="bottom"/>
            <w:hideMark/>
          </w:tcPr>
          <w:p w14:paraId="27B66B15" w14:textId="77777777" w:rsidR="001C13B0" w:rsidRPr="00471CBA" w:rsidRDefault="001C13B0" w:rsidP="003D1625">
            <w:pPr>
              <w:rPr>
                <w:color w:val="000000"/>
                <w:szCs w:val="20"/>
              </w:rPr>
            </w:pPr>
            <w:r w:rsidRPr="00471CBA">
              <w:rPr>
                <w:color w:val="000000"/>
                <w:szCs w:val="20"/>
              </w:rPr>
              <w:t> </w:t>
            </w:r>
          </w:p>
        </w:tc>
        <w:tc>
          <w:tcPr>
            <w:tcW w:w="1381" w:type="pct"/>
            <w:tcBorders>
              <w:top w:val="nil"/>
              <w:left w:val="nil"/>
              <w:bottom w:val="nil"/>
              <w:right w:val="nil"/>
            </w:tcBorders>
            <w:shd w:val="clear" w:color="000000" w:fill="FFFFFF"/>
            <w:noWrap/>
            <w:vAlign w:val="center"/>
            <w:hideMark/>
          </w:tcPr>
          <w:p w14:paraId="7E6F1301" w14:textId="77777777" w:rsidR="001C13B0" w:rsidRPr="00471CBA" w:rsidRDefault="001C13B0" w:rsidP="003D1625">
            <w:pPr>
              <w:jc w:val="right"/>
              <w:rPr>
                <w:color w:val="000000"/>
                <w:szCs w:val="20"/>
              </w:rPr>
            </w:pPr>
            <w:r w:rsidRPr="00471CBA">
              <w:rPr>
                <w:color w:val="000000"/>
                <w:szCs w:val="20"/>
              </w:rPr>
              <w:t> </w:t>
            </w:r>
          </w:p>
        </w:tc>
      </w:tr>
      <w:tr w:rsidR="001C13B0" w:rsidRPr="00471CBA" w14:paraId="62EF0D83" w14:textId="77777777" w:rsidTr="00DA230C">
        <w:trPr>
          <w:trHeight w:val="227"/>
        </w:trPr>
        <w:tc>
          <w:tcPr>
            <w:tcW w:w="3619" w:type="pct"/>
            <w:tcBorders>
              <w:top w:val="nil"/>
              <w:left w:val="nil"/>
              <w:bottom w:val="single" w:sz="12" w:space="0" w:color="auto"/>
              <w:right w:val="nil"/>
            </w:tcBorders>
            <w:shd w:val="clear" w:color="000000" w:fill="FFFFFF"/>
            <w:noWrap/>
            <w:vAlign w:val="bottom"/>
            <w:hideMark/>
          </w:tcPr>
          <w:p w14:paraId="5648BFBB" w14:textId="77777777" w:rsidR="001C13B0" w:rsidRPr="00471CBA" w:rsidRDefault="001C13B0" w:rsidP="003D1625">
            <w:pPr>
              <w:rPr>
                <w:b/>
                <w:bCs/>
                <w:color w:val="000000"/>
                <w:szCs w:val="20"/>
              </w:rPr>
            </w:pPr>
            <w:r w:rsidRPr="00471CBA">
              <w:rPr>
                <w:b/>
                <w:bCs/>
                <w:szCs w:val="20"/>
              </w:rPr>
              <w:t>Toplam</w:t>
            </w:r>
          </w:p>
        </w:tc>
        <w:tc>
          <w:tcPr>
            <w:tcW w:w="1381" w:type="pct"/>
            <w:tcBorders>
              <w:top w:val="nil"/>
              <w:left w:val="nil"/>
              <w:bottom w:val="single" w:sz="12" w:space="0" w:color="auto"/>
              <w:right w:val="nil"/>
            </w:tcBorders>
            <w:noWrap/>
            <w:vAlign w:val="center"/>
            <w:hideMark/>
          </w:tcPr>
          <w:p w14:paraId="01CAFA40" w14:textId="77777777" w:rsidR="001C13B0" w:rsidRPr="00471CBA" w:rsidRDefault="001C13B0" w:rsidP="003D1625">
            <w:pPr>
              <w:jc w:val="right"/>
              <w:rPr>
                <w:b/>
                <w:bCs/>
                <w:color w:val="000000"/>
                <w:szCs w:val="20"/>
              </w:rPr>
            </w:pPr>
            <w:r w:rsidRPr="00471CBA">
              <w:rPr>
                <w:b/>
                <w:bCs/>
                <w:szCs w:val="20"/>
              </w:rPr>
              <w:t>7.335.714</w:t>
            </w:r>
          </w:p>
        </w:tc>
      </w:tr>
    </w:tbl>
    <w:p w14:paraId="4CC925DA" w14:textId="2EA56E97" w:rsidR="006025D3" w:rsidRDefault="006025D3" w:rsidP="00080449">
      <w:pPr>
        <w:widowControl w:val="0"/>
        <w:spacing w:line="228" w:lineRule="auto"/>
        <w:jc w:val="both"/>
        <w:rPr>
          <w:b/>
          <w:szCs w:val="20"/>
        </w:rPr>
      </w:pPr>
      <w:r>
        <w:rPr>
          <w:b/>
          <w:szCs w:val="20"/>
        </w:rPr>
        <w:br w:type="page"/>
      </w:r>
    </w:p>
    <w:p w14:paraId="675E9F7F" w14:textId="5BBDFB6E" w:rsidR="00080449" w:rsidRPr="00471CBA" w:rsidRDefault="00080449" w:rsidP="00080449">
      <w:pPr>
        <w:widowControl w:val="0"/>
        <w:spacing w:line="228" w:lineRule="auto"/>
        <w:jc w:val="both"/>
        <w:rPr>
          <w:b/>
          <w:szCs w:val="20"/>
        </w:rPr>
      </w:pPr>
      <w:r w:rsidRPr="00471CBA">
        <w:rPr>
          <w:b/>
          <w:szCs w:val="20"/>
        </w:rPr>
        <w:t>KONSOLİDE OLMAYAN FİNANSAL TABLOLARA İLİŞKİN AÇIKLAMA VE DİPNOTLAR (Devamı)</w:t>
      </w:r>
    </w:p>
    <w:p w14:paraId="7D8D6DF7" w14:textId="77777777" w:rsidR="006025D3" w:rsidRDefault="006025D3" w:rsidP="00080449">
      <w:pPr>
        <w:widowControl w:val="0"/>
        <w:spacing w:line="228" w:lineRule="auto"/>
        <w:ind w:left="851" w:hanging="851"/>
        <w:jc w:val="both"/>
        <w:rPr>
          <w:b/>
          <w:szCs w:val="20"/>
        </w:rPr>
      </w:pPr>
    </w:p>
    <w:p w14:paraId="58702A42" w14:textId="32E10519" w:rsidR="00080449" w:rsidRPr="00471CBA" w:rsidRDefault="00080449" w:rsidP="00080449">
      <w:pPr>
        <w:widowControl w:val="0"/>
        <w:spacing w:line="228" w:lineRule="auto"/>
        <w:ind w:left="851" w:hanging="851"/>
        <w:jc w:val="both"/>
        <w:rPr>
          <w:b/>
          <w:szCs w:val="20"/>
        </w:rPr>
      </w:pPr>
      <w:r w:rsidRPr="00471CBA">
        <w:rPr>
          <w:b/>
          <w:szCs w:val="20"/>
        </w:rPr>
        <w:t xml:space="preserve">III. </w:t>
      </w:r>
      <w:r w:rsidRPr="00471CBA">
        <w:rPr>
          <w:b/>
          <w:szCs w:val="20"/>
        </w:rPr>
        <w:tab/>
        <w:t>NAZIM HESAPLARA İLİŞKİN AÇIKLAMA VE DİPNOTLAR (Devamı)</w:t>
      </w:r>
    </w:p>
    <w:p w14:paraId="59FE4122" w14:textId="77777777" w:rsidR="001C13B0" w:rsidRPr="00471CBA" w:rsidRDefault="001C13B0" w:rsidP="00CD770B">
      <w:pPr>
        <w:widowControl w:val="0"/>
        <w:spacing w:line="228" w:lineRule="auto"/>
        <w:ind w:left="-28" w:hanging="462"/>
        <w:jc w:val="both"/>
        <w:rPr>
          <w:b/>
          <w:szCs w:val="20"/>
        </w:rPr>
      </w:pPr>
    </w:p>
    <w:p w14:paraId="2C315255" w14:textId="27969F00" w:rsidR="00136C29" w:rsidRPr="00471CBA" w:rsidRDefault="001B0D35" w:rsidP="00A225E1">
      <w:pPr>
        <w:widowControl w:val="0"/>
        <w:spacing w:line="228" w:lineRule="auto"/>
        <w:ind w:left="1276" w:hanging="425"/>
        <w:jc w:val="both"/>
        <w:rPr>
          <w:b/>
          <w:szCs w:val="20"/>
        </w:rPr>
      </w:pPr>
      <w:r w:rsidRPr="00471CBA">
        <w:rPr>
          <w:b/>
          <w:szCs w:val="20"/>
        </w:rPr>
        <w:t>b.2.</w:t>
      </w:r>
      <w:r w:rsidR="00136C29" w:rsidRPr="00471CBA">
        <w:rPr>
          <w:b/>
          <w:szCs w:val="20"/>
        </w:rPr>
        <w:tab/>
        <w:t>Kesin teminatlar, geçici teminatlar, kefaletler ve benzeri işlemler:</w:t>
      </w:r>
    </w:p>
    <w:p w14:paraId="20966E90" w14:textId="4C4B4E54" w:rsidR="00A74C68" w:rsidRPr="00471CBA" w:rsidRDefault="00A74C68" w:rsidP="00CD770B">
      <w:pPr>
        <w:widowControl w:val="0"/>
        <w:tabs>
          <w:tab w:val="left" w:pos="1290"/>
        </w:tabs>
        <w:spacing w:line="228" w:lineRule="auto"/>
        <w:ind w:left="-567" w:firstLine="91"/>
        <w:jc w:val="both"/>
        <w:rPr>
          <w:szCs w:val="20"/>
        </w:rPr>
      </w:pPr>
    </w:p>
    <w:tbl>
      <w:tblPr>
        <w:tblW w:w="5010" w:type="pct"/>
        <w:tblCellMar>
          <w:left w:w="70" w:type="dxa"/>
          <w:right w:w="70" w:type="dxa"/>
        </w:tblCellMar>
        <w:tblLook w:val="04A0" w:firstRow="1" w:lastRow="0" w:firstColumn="1" w:lastColumn="0" w:noHBand="0" w:noVBand="1"/>
      </w:tblPr>
      <w:tblGrid>
        <w:gridCol w:w="6742"/>
        <w:gridCol w:w="2632"/>
      </w:tblGrid>
      <w:tr w:rsidR="00A74C68" w:rsidRPr="00471CBA" w14:paraId="322AEB90" w14:textId="77777777" w:rsidTr="00A74C68">
        <w:trPr>
          <w:divId w:val="1375277147"/>
          <w:trHeight w:val="227"/>
        </w:trPr>
        <w:tc>
          <w:tcPr>
            <w:tcW w:w="3596" w:type="pct"/>
            <w:tcBorders>
              <w:top w:val="nil"/>
              <w:left w:val="nil"/>
              <w:bottom w:val="nil"/>
              <w:right w:val="nil"/>
            </w:tcBorders>
            <w:noWrap/>
            <w:vAlign w:val="bottom"/>
            <w:hideMark/>
          </w:tcPr>
          <w:p w14:paraId="79C4D916" w14:textId="5BCB4802" w:rsidR="00A74C68" w:rsidRPr="00471CBA" w:rsidRDefault="00A74C68" w:rsidP="00A74C68">
            <w:pPr>
              <w:rPr>
                <w:szCs w:val="20"/>
              </w:rPr>
            </w:pPr>
          </w:p>
        </w:tc>
        <w:tc>
          <w:tcPr>
            <w:tcW w:w="1404" w:type="pct"/>
            <w:tcBorders>
              <w:top w:val="nil"/>
              <w:left w:val="nil"/>
              <w:bottom w:val="single" w:sz="4" w:space="0" w:color="auto"/>
              <w:right w:val="nil"/>
            </w:tcBorders>
            <w:noWrap/>
            <w:vAlign w:val="center"/>
            <w:hideMark/>
          </w:tcPr>
          <w:p w14:paraId="0FC92206" w14:textId="77777777" w:rsidR="00A74C68" w:rsidRPr="00471CBA" w:rsidRDefault="00A74C68" w:rsidP="00A74C68">
            <w:pPr>
              <w:jc w:val="center"/>
              <w:rPr>
                <w:b/>
                <w:bCs/>
                <w:color w:val="000000"/>
                <w:szCs w:val="20"/>
              </w:rPr>
            </w:pPr>
            <w:r w:rsidRPr="00471CBA">
              <w:rPr>
                <w:b/>
                <w:bCs/>
                <w:color w:val="000000"/>
                <w:szCs w:val="20"/>
              </w:rPr>
              <w:t>31 Aralık 2025</w:t>
            </w:r>
          </w:p>
        </w:tc>
      </w:tr>
      <w:tr w:rsidR="00A74C68" w:rsidRPr="00471CBA" w14:paraId="2EA567FC" w14:textId="77777777" w:rsidTr="00A74C68">
        <w:trPr>
          <w:divId w:val="1375277147"/>
          <w:trHeight w:val="227"/>
        </w:trPr>
        <w:tc>
          <w:tcPr>
            <w:tcW w:w="3596" w:type="pct"/>
            <w:tcBorders>
              <w:top w:val="nil"/>
              <w:left w:val="nil"/>
              <w:bottom w:val="nil"/>
              <w:right w:val="nil"/>
            </w:tcBorders>
            <w:shd w:val="clear" w:color="000000" w:fill="FFFFFF"/>
            <w:noWrap/>
            <w:vAlign w:val="bottom"/>
            <w:hideMark/>
          </w:tcPr>
          <w:p w14:paraId="339BD3AC" w14:textId="77777777" w:rsidR="00A74C68" w:rsidRPr="00471CBA" w:rsidRDefault="00A74C68" w:rsidP="00A74C68">
            <w:pPr>
              <w:rPr>
                <w:color w:val="000000"/>
                <w:szCs w:val="20"/>
              </w:rPr>
            </w:pPr>
            <w:r w:rsidRPr="00471CBA">
              <w:rPr>
                <w:color w:val="000000"/>
                <w:szCs w:val="20"/>
              </w:rPr>
              <w:t> </w:t>
            </w:r>
          </w:p>
        </w:tc>
        <w:tc>
          <w:tcPr>
            <w:tcW w:w="1404" w:type="pct"/>
            <w:tcBorders>
              <w:top w:val="single" w:sz="4" w:space="0" w:color="auto"/>
              <w:left w:val="nil"/>
              <w:bottom w:val="nil"/>
              <w:right w:val="nil"/>
            </w:tcBorders>
            <w:shd w:val="clear" w:color="000000" w:fill="FFFFFF"/>
            <w:noWrap/>
            <w:vAlign w:val="bottom"/>
            <w:hideMark/>
          </w:tcPr>
          <w:p w14:paraId="7C143796" w14:textId="77777777" w:rsidR="00A74C68" w:rsidRPr="00471CBA" w:rsidRDefault="00A74C68" w:rsidP="00A74C68">
            <w:pPr>
              <w:rPr>
                <w:color w:val="000000"/>
                <w:szCs w:val="20"/>
              </w:rPr>
            </w:pPr>
            <w:r w:rsidRPr="00471CBA">
              <w:rPr>
                <w:color w:val="000000"/>
                <w:szCs w:val="20"/>
              </w:rPr>
              <w:t> </w:t>
            </w:r>
          </w:p>
        </w:tc>
      </w:tr>
      <w:tr w:rsidR="00A74C68" w:rsidRPr="00471CBA" w14:paraId="018442F9" w14:textId="77777777" w:rsidTr="00A74C68">
        <w:trPr>
          <w:divId w:val="1375277147"/>
          <w:trHeight w:val="227"/>
        </w:trPr>
        <w:tc>
          <w:tcPr>
            <w:tcW w:w="3596" w:type="pct"/>
            <w:tcBorders>
              <w:top w:val="nil"/>
              <w:left w:val="nil"/>
              <w:bottom w:val="nil"/>
              <w:right w:val="nil"/>
            </w:tcBorders>
            <w:noWrap/>
            <w:vAlign w:val="bottom"/>
            <w:hideMark/>
          </w:tcPr>
          <w:p w14:paraId="1A92F701" w14:textId="77777777" w:rsidR="00A74C68" w:rsidRPr="00471CBA" w:rsidRDefault="00A74C68" w:rsidP="00A74C68">
            <w:pPr>
              <w:rPr>
                <w:color w:val="000000"/>
                <w:szCs w:val="20"/>
              </w:rPr>
            </w:pPr>
            <w:r w:rsidRPr="00471CBA">
              <w:rPr>
                <w:color w:val="000000"/>
                <w:szCs w:val="20"/>
              </w:rPr>
              <w:t>Teminat Mektupları</w:t>
            </w:r>
          </w:p>
        </w:tc>
        <w:tc>
          <w:tcPr>
            <w:tcW w:w="1404" w:type="pct"/>
            <w:tcBorders>
              <w:top w:val="nil"/>
              <w:left w:val="nil"/>
              <w:bottom w:val="nil"/>
              <w:right w:val="nil"/>
            </w:tcBorders>
            <w:noWrap/>
            <w:vAlign w:val="center"/>
            <w:hideMark/>
          </w:tcPr>
          <w:p w14:paraId="131AADA5" w14:textId="77777777" w:rsidR="00A74C68" w:rsidRPr="00471CBA" w:rsidRDefault="00A74C68" w:rsidP="00A74C68">
            <w:pPr>
              <w:jc w:val="right"/>
              <w:rPr>
                <w:color w:val="000000"/>
                <w:szCs w:val="20"/>
              </w:rPr>
            </w:pPr>
            <w:r w:rsidRPr="00471CBA">
              <w:rPr>
                <w:color w:val="000000"/>
                <w:szCs w:val="20"/>
              </w:rPr>
              <w:t>25.049.421</w:t>
            </w:r>
          </w:p>
        </w:tc>
      </w:tr>
      <w:tr w:rsidR="00A74C68" w:rsidRPr="00471CBA" w14:paraId="2B40D5D4" w14:textId="77777777" w:rsidTr="00A74C68">
        <w:trPr>
          <w:divId w:val="1375277147"/>
          <w:trHeight w:val="227"/>
        </w:trPr>
        <w:tc>
          <w:tcPr>
            <w:tcW w:w="3596" w:type="pct"/>
            <w:tcBorders>
              <w:top w:val="nil"/>
              <w:left w:val="nil"/>
              <w:bottom w:val="nil"/>
              <w:right w:val="nil"/>
            </w:tcBorders>
            <w:noWrap/>
            <w:vAlign w:val="bottom"/>
            <w:hideMark/>
          </w:tcPr>
          <w:p w14:paraId="4A0A0E7E" w14:textId="77777777" w:rsidR="00A74C68" w:rsidRPr="00471CBA" w:rsidRDefault="00A74C68" w:rsidP="00A74C68">
            <w:pPr>
              <w:ind w:firstLineChars="200" w:firstLine="400"/>
              <w:rPr>
                <w:color w:val="000000"/>
                <w:szCs w:val="20"/>
              </w:rPr>
            </w:pPr>
            <w:r w:rsidRPr="00471CBA">
              <w:rPr>
                <w:szCs w:val="20"/>
              </w:rPr>
              <w:t>Kesin teminat mektupları</w:t>
            </w:r>
          </w:p>
        </w:tc>
        <w:tc>
          <w:tcPr>
            <w:tcW w:w="1404" w:type="pct"/>
            <w:tcBorders>
              <w:top w:val="nil"/>
              <w:left w:val="nil"/>
              <w:bottom w:val="nil"/>
              <w:right w:val="nil"/>
            </w:tcBorders>
            <w:noWrap/>
            <w:vAlign w:val="center"/>
            <w:hideMark/>
          </w:tcPr>
          <w:p w14:paraId="7EDACEEA" w14:textId="77777777" w:rsidR="00A74C68" w:rsidRPr="00471CBA" w:rsidRDefault="00A74C68" w:rsidP="00A74C68">
            <w:pPr>
              <w:jc w:val="right"/>
              <w:rPr>
                <w:color w:val="000000"/>
                <w:szCs w:val="20"/>
              </w:rPr>
            </w:pPr>
            <w:r w:rsidRPr="00471CBA">
              <w:rPr>
                <w:color w:val="000000"/>
                <w:szCs w:val="20"/>
              </w:rPr>
              <w:t>21.589.747</w:t>
            </w:r>
          </w:p>
        </w:tc>
      </w:tr>
      <w:tr w:rsidR="00A74C68" w:rsidRPr="00471CBA" w14:paraId="6DB3AAA7" w14:textId="77777777" w:rsidTr="00A74C68">
        <w:trPr>
          <w:divId w:val="1375277147"/>
          <w:trHeight w:val="227"/>
        </w:trPr>
        <w:tc>
          <w:tcPr>
            <w:tcW w:w="3596" w:type="pct"/>
            <w:tcBorders>
              <w:top w:val="nil"/>
              <w:left w:val="nil"/>
              <w:bottom w:val="nil"/>
              <w:right w:val="nil"/>
            </w:tcBorders>
            <w:noWrap/>
            <w:vAlign w:val="bottom"/>
            <w:hideMark/>
          </w:tcPr>
          <w:p w14:paraId="7157F25D" w14:textId="77777777" w:rsidR="00A74C68" w:rsidRPr="00471CBA" w:rsidRDefault="00A74C68" w:rsidP="00A74C68">
            <w:pPr>
              <w:ind w:firstLineChars="200" w:firstLine="400"/>
              <w:rPr>
                <w:color w:val="000000"/>
                <w:szCs w:val="20"/>
              </w:rPr>
            </w:pPr>
            <w:r w:rsidRPr="00471CBA">
              <w:rPr>
                <w:szCs w:val="20"/>
              </w:rPr>
              <w:t>Geçici teminat mektupları</w:t>
            </w:r>
          </w:p>
        </w:tc>
        <w:tc>
          <w:tcPr>
            <w:tcW w:w="1404" w:type="pct"/>
            <w:tcBorders>
              <w:top w:val="nil"/>
              <w:left w:val="nil"/>
              <w:bottom w:val="nil"/>
              <w:right w:val="nil"/>
            </w:tcBorders>
            <w:noWrap/>
            <w:vAlign w:val="center"/>
            <w:hideMark/>
          </w:tcPr>
          <w:p w14:paraId="55F9DD82" w14:textId="77777777" w:rsidR="00A74C68" w:rsidRPr="00471CBA" w:rsidRDefault="00A74C68" w:rsidP="00A74C68">
            <w:pPr>
              <w:jc w:val="right"/>
              <w:rPr>
                <w:color w:val="000000"/>
                <w:szCs w:val="20"/>
              </w:rPr>
            </w:pPr>
            <w:r w:rsidRPr="00471CBA">
              <w:rPr>
                <w:color w:val="000000"/>
                <w:szCs w:val="20"/>
              </w:rPr>
              <w:t>1.232.406</w:t>
            </w:r>
          </w:p>
        </w:tc>
      </w:tr>
      <w:tr w:rsidR="00A74C68" w:rsidRPr="00471CBA" w14:paraId="0C49FBBE" w14:textId="77777777" w:rsidTr="00A74C68">
        <w:trPr>
          <w:divId w:val="1375277147"/>
          <w:trHeight w:val="227"/>
        </w:trPr>
        <w:tc>
          <w:tcPr>
            <w:tcW w:w="3596" w:type="pct"/>
            <w:tcBorders>
              <w:top w:val="nil"/>
              <w:left w:val="nil"/>
              <w:bottom w:val="nil"/>
              <w:right w:val="nil"/>
            </w:tcBorders>
            <w:noWrap/>
            <w:vAlign w:val="bottom"/>
            <w:hideMark/>
          </w:tcPr>
          <w:p w14:paraId="20A6AE20" w14:textId="77777777" w:rsidR="00A74C68" w:rsidRPr="00471CBA" w:rsidRDefault="00A74C68" w:rsidP="00A74C68">
            <w:pPr>
              <w:ind w:firstLineChars="200" w:firstLine="400"/>
              <w:rPr>
                <w:color w:val="000000"/>
                <w:szCs w:val="20"/>
              </w:rPr>
            </w:pPr>
            <w:r w:rsidRPr="00471CBA">
              <w:rPr>
                <w:szCs w:val="20"/>
              </w:rPr>
              <w:t xml:space="preserve">Avans teminat mektupları </w:t>
            </w:r>
          </w:p>
        </w:tc>
        <w:tc>
          <w:tcPr>
            <w:tcW w:w="1404" w:type="pct"/>
            <w:tcBorders>
              <w:top w:val="nil"/>
              <w:left w:val="nil"/>
              <w:bottom w:val="nil"/>
              <w:right w:val="nil"/>
            </w:tcBorders>
            <w:noWrap/>
            <w:vAlign w:val="center"/>
            <w:hideMark/>
          </w:tcPr>
          <w:p w14:paraId="3572B301" w14:textId="77777777" w:rsidR="00A74C68" w:rsidRPr="00471CBA" w:rsidRDefault="00A74C68" w:rsidP="00A74C68">
            <w:pPr>
              <w:jc w:val="right"/>
              <w:rPr>
                <w:color w:val="000000"/>
                <w:szCs w:val="20"/>
              </w:rPr>
            </w:pPr>
            <w:r w:rsidRPr="00471CBA">
              <w:rPr>
                <w:color w:val="000000"/>
                <w:szCs w:val="20"/>
              </w:rPr>
              <w:t>2.227.267</w:t>
            </w:r>
          </w:p>
        </w:tc>
      </w:tr>
      <w:tr w:rsidR="00A74C68" w:rsidRPr="00471CBA" w14:paraId="50801098" w14:textId="77777777" w:rsidTr="00A74C68">
        <w:trPr>
          <w:divId w:val="1375277147"/>
          <w:trHeight w:val="227"/>
        </w:trPr>
        <w:tc>
          <w:tcPr>
            <w:tcW w:w="3596" w:type="pct"/>
            <w:tcBorders>
              <w:top w:val="nil"/>
              <w:left w:val="nil"/>
              <w:bottom w:val="nil"/>
              <w:right w:val="nil"/>
            </w:tcBorders>
            <w:noWrap/>
            <w:vAlign w:val="bottom"/>
            <w:hideMark/>
          </w:tcPr>
          <w:p w14:paraId="0D4B5B5A" w14:textId="77777777" w:rsidR="00A74C68" w:rsidRPr="00471CBA" w:rsidRDefault="00A74C68" w:rsidP="00A74C68">
            <w:pPr>
              <w:ind w:firstLineChars="200" w:firstLine="400"/>
              <w:rPr>
                <w:color w:val="000000"/>
                <w:szCs w:val="20"/>
              </w:rPr>
            </w:pPr>
            <w:r w:rsidRPr="00471CBA">
              <w:rPr>
                <w:szCs w:val="20"/>
              </w:rPr>
              <w:t>Gümrüklere verilen teminat mektupları</w:t>
            </w:r>
          </w:p>
        </w:tc>
        <w:tc>
          <w:tcPr>
            <w:tcW w:w="1404" w:type="pct"/>
            <w:tcBorders>
              <w:top w:val="nil"/>
              <w:left w:val="nil"/>
              <w:bottom w:val="nil"/>
              <w:right w:val="nil"/>
            </w:tcBorders>
            <w:noWrap/>
            <w:vAlign w:val="center"/>
            <w:hideMark/>
          </w:tcPr>
          <w:p w14:paraId="1EFC4F6F" w14:textId="77777777" w:rsidR="00A74C68" w:rsidRPr="00471CBA" w:rsidRDefault="00A74C68" w:rsidP="00A74C68">
            <w:pPr>
              <w:jc w:val="right"/>
              <w:rPr>
                <w:color w:val="000000"/>
                <w:szCs w:val="20"/>
              </w:rPr>
            </w:pPr>
            <w:r w:rsidRPr="00471CBA">
              <w:rPr>
                <w:color w:val="000000"/>
                <w:szCs w:val="20"/>
              </w:rPr>
              <w:t>1</w:t>
            </w:r>
          </w:p>
        </w:tc>
      </w:tr>
      <w:tr w:rsidR="00A74C68" w:rsidRPr="00471CBA" w14:paraId="238524B2" w14:textId="77777777" w:rsidTr="00A74C68">
        <w:trPr>
          <w:divId w:val="1375277147"/>
          <w:trHeight w:val="227"/>
        </w:trPr>
        <w:tc>
          <w:tcPr>
            <w:tcW w:w="3596" w:type="pct"/>
            <w:tcBorders>
              <w:top w:val="nil"/>
              <w:left w:val="nil"/>
              <w:bottom w:val="single" w:sz="4" w:space="0" w:color="auto"/>
              <w:right w:val="nil"/>
            </w:tcBorders>
            <w:noWrap/>
            <w:vAlign w:val="bottom"/>
            <w:hideMark/>
          </w:tcPr>
          <w:p w14:paraId="5C0964B1" w14:textId="77777777" w:rsidR="00A74C68" w:rsidRPr="00471CBA" w:rsidRDefault="00A74C68" w:rsidP="00A74C68">
            <w:pPr>
              <w:rPr>
                <w:color w:val="000000"/>
                <w:szCs w:val="20"/>
              </w:rPr>
            </w:pPr>
            <w:r w:rsidRPr="00471CBA">
              <w:rPr>
                <w:szCs w:val="20"/>
              </w:rPr>
              <w:t>Kefalet ve Benzeri İşlemler</w:t>
            </w:r>
          </w:p>
        </w:tc>
        <w:tc>
          <w:tcPr>
            <w:tcW w:w="1404" w:type="pct"/>
            <w:tcBorders>
              <w:top w:val="nil"/>
              <w:left w:val="nil"/>
              <w:bottom w:val="single" w:sz="4" w:space="0" w:color="auto"/>
              <w:right w:val="nil"/>
            </w:tcBorders>
            <w:noWrap/>
            <w:vAlign w:val="center"/>
            <w:hideMark/>
          </w:tcPr>
          <w:p w14:paraId="6F68D375" w14:textId="77777777" w:rsidR="00A74C68" w:rsidRPr="00471CBA" w:rsidRDefault="00A74C68" w:rsidP="00A74C68">
            <w:pPr>
              <w:jc w:val="right"/>
              <w:rPr>
                <w:color w:val="000000"/>
                <w:szCs w:val="20"/>
              </w:rPr>
            </w:pPr>
            <w:r w:rsidRPr="00471CBA">
              <w:rPr>
                <w:color w:val="000000"/>
                <w:szCs w:val="20"/>
              </w:rPr>
              <w:t>-</w:t>
            </w:r>
          </w:p>
        </w:tc>
      </w:tr>
      <w:tr w:rsidR="00A74C68" w:rsidRPr="00471CBA" w14:paraId="7E698453" w14:textId="77777777" w:rsidTr="00A74C68">
        <w:trPr>
          <w:divId w:val="1375277147"/>
          <w:trHeight w:val="227"/>
        </w:trPr>
        <w:tc>
          <w:tcPr>
            <w:tcW w:w="3596" w:type="pct"/>
            <w:tcBorders>
              <w:top w:val="nil"/>
              <w:left w:val="nil"/>
              <w:right w:val="nil"/>
            </w:tcBorders>
            <w:shd w:val="clear" w:color="000000" w:fill="FFFFFF"/>
            <w:noWrap/>
            <w:vAlign w:val="bottom"/>
            <w:hideMark/>
          </w:tcPr>
          <w:p w14:paraId="45DD7770" w14:textId="77777777" w:rsidR="00A74C68" w:rsidRPr="00471CBA" w:rsidRDefault="00A74C68" w:rsidP="00A74C68">
            <w:pPr>
              <w:rPr>
                <w:b/>
                <w:bCs/>
                <w:color w:val="000000"/>
                <w:szCs w:val="20"/>
              </w:rPr>
            </w:pPr>
            <w:r w:rsidRPr="00471CBA">
              <w:rPr>
                <w:b/>
                <w:bCs/>
                <w:color w:val="000000"/>
                <w:szCs w:val="20"/>
              </w:rPr>
              <w:t> </w:t>
            </w:r>
          </w:p>
        </w:tc>
        <w:tc>
          <w:tcPr>
            <w:tcW w:w="1404" w:type="pct"/>
            <w:tcBorders>
              <w:top w:val="nil"/>
              <w:left w:val="nil"/>
              <w:right w:val="nil"/>
            </w:tcBorders>
            <w:shd w:val="clear" w:color="000000" w:fill="FFFFFF"/>
            <w:noWrap/>
            <w:vAlign w:val="center"/>
            <w:hideMark/>
          </w:tcPr>
          <w:p w14:paraId="5C3BD50F" w14:textId="77777777" w:rsidR="00A74C68" w:rsidRPr="00471CBA" w:rsidRDefault="00A74C68" w:rsidP="00A74C68">
            <w:pPr>
              <w:jc w:val="right"/>
              <w:rPr>
                <w:color w:val="000000"/>
                <w:szCs w:val="20"/>
              </w:rPr>
            </w:pPr>
            <w:r w:rsidRPr="00471CBA">
              <w:rPr>
                <w:color w:val="000000"/>
                <w:szCs w:val="20"/>
              </w:rPr>
              <w:t> </w:t>
            </w:r>
          </w:p>
        </w:tc>
      </w:tr>
      <w:tr w:rsidR="00A74C68" w:rsidRPr="00471CBA" w14:paraId="32B66A38" w14:textId="77777777" w:rsidTr="00A74C68">
        <w:trPr>
          <w:divId w:val="1375277147"/>
          <w:trHeight w:val="227"/>
        </w:trPr>
        <w:tc>
          <w:tcPr>
            <w:tcW w:w="3596" w:type="pct"/>
            <w:tcBorders>
              <w:top w:val="nil"/>
              <w:left w:val="nil"/>
              <w:bottom w:val="single" w:sz="12" w:space="0" w:color="auto"/>
              <w:right w:val="nil"/>
            </w:tcBorders>
            <w:shd w:val="clear" w:color="000000" w:fill="FFFFFF"/>
            <w:noWrap/>
            <w:vAlign w:val="bottom"/>
            <w:hideMark/>
          </w:tcPr>
          <w:p w14:paraId="3106693A" w14:textId="77777777" w:rsidR="00A74C68" w:rsidRPr="00471CBA" w:rsidRDefault="00A74C68" w:rsidP="00A74C68">
            <w:pPr>
              <w:rPr>
                <w:b/>
                <w:bCs/>
                <w:color w:val="000000"/>
                <w:szCs w:val="20"/>
              </w:rPr>
            </w:pPr>
            <w:r w:rsidRPr="00471CBA">
              <w:rPr>
                <w:b/>
                <w:bCs/>
                <w:szCs w:val="20"/>
              </w:rPr>
              <w:t>Toplam</w:t>
            </w:r>
          </w:p>
        </w:tc>
        <w:tc>
          <w:tcPr>
            <w:tcW w:w="1404" w:type="pct"/>
            <w:tcBorders>
              <w:top w:val="nil"/>
              <w:left w:val="nil"/>
              <w:bottom w:val="single" w:sz="12" w:space="0" w:color="auto"/>
              <w:right w:val="nil"/>
            </w:tcBorders>
            <w:noWrap/>
            <w:vAlign w:val="center"/>
            <w:hideMark/>
          </w:tcPr>
          <w:p w14:paraId="5DFFA053" w14:textId="77777777" w:rsidR="00A74C68" w:rsidRPr="00471CBA" w:rsidRDefault="00A74C68" w:rsidP="00A74C68">
            <w:pPr>
              <w:jc w:val="right"/>
              <w:rPr>
                <w:b/>
                <w:bCs/>
                <w:color w:val="000000"/>
                <w:szCs w:val="20"/>
              </w:rPr>
            </w:pPr>
            <w:r w:rsidRPr="00471CBA">
              <w:rPr>
                <w:b/>
                <w:bCs/>
                <w:color w:val="000000"/>
                <w:szCs w:val="20"/>
              </w:rPr>
              <w:t>25.049.421</w:t>
            </w:r>
          </w:p>
        </w:tc>
      </w:tr>
    </w:tbl>
    <w:p w14:paraId="4253A622" w14:textId="5ACB821C" w:rsidR="00584460" w:rsidRPr="00471CBA" w:rsidRDefault="00584460" w:rsidP="00CD770B">
      <w:pPr>
        <w:widowControl w:val="0"/>
        <w:tabs>
          <w:tab w:val="left" w:pos="1290"/>
        </w:tabs>
        <w:spacing w:line="228" w:lineRule="auto"/>
        <w:ind w:left="-567" w:firstLine="91"/>
        <w:jc w:val="both"/>
        <w:rPr>
          <w:b/>
          <w:szCs w:val="20"/>
        </w:rPr>
      </w:pPr>
    </w:p>
    <w:tbl>
      <w:tblPr>
        <w:tblW w:w="5000" w:type="pct"/>
        <w:tblCellMar>
          <w:left w:w="70" w:type="dxa"/>
          <w:right w:w="70" w:type="dxa"/>
        </w:tblCellMar>
        <w:tblLook w:val="04A0" w:firstRow="1" w:lastRow="0" w:firstColumn="1" w:lastColumn="0" w:noHBand="0" w:noVBand="1"/>
      </w:tblPr>
      <w:tblGrid>
        <w:gridCol w:w="6771"/>
        <w:gridCol w:w="2584"/>
      </w:tblGrid>
      <w:tr w:rsidR="001C13B0" w:rsidRPr="00471CBA" w14:paraId="361B82C7" w14:textId="77777777" w:rsidTr="00DA230C">
        <w:trPr>
          <w:trHeight w:val="227"/>
        </w:trPr>
        <w:tc>
          <w:tcPr>
            <w:tcW w:w="3619" w:type="pct"/>
            <w:tcBorders>
              <w:top w:val="nil"/>
              <w:left w:val="nil"/>
              <w:bottom w:val="nil"/>
              <w:right w:val="nil"/>
            </w:tcBorders>
            <w:noWrap/>
            <w:vAlign w:val="bottom"/>
            <w:hideMark/>
          </w:tcPr>
          <w:p w14:paraId="532CD9F3" w14:textId="77777777" w:rsidR="001C13B0" w:rsidRPr="00471CBA" w:rsidRDefault="001C13B0" w:rsidP="003D1625">
            <w:pPr>
              <w:rPr>
                <w:szCs w:val="20"/>
              </w:rPr>
            </w:pPr>
          </w:p>
        </w:tc>
        <w:tc>
          <w:tcPr>
            <w:tcW w:w="1381" w:type="pct"/>
            <w:tcBorders>
              <w:top w:val="nil"/>
              <w:left w:val="nil"/>
              <w:bottom w:val="single" w:sz="4" w:space="0" w:color="auto"/>
              <w:right w:val="nil"/>
            </w:tcBorders>
            <w:noWrap/>
            <w:vAlign w:val="center"/>
            <w:hideMark/>
          </w:tcPr>
          <w:p w14:paraId="20D8BEC6" w14:textId="77777777" w:rsidR="001C13B0" w:rsidRPr="00471CBA" w:rsidRDefault="001C13B0" w:rsidP="003D1625">
            <w:pPr>
              <w:jc w:val="center"/>
              <w:rPr>
                <w:b/>
                <w:bCs/>
                <w:color w:val="000000"/>
                <w:szCs w:val="20"/>
              </w:rPr>
            </w:pPr>
            <w:r w:rsidRPr="00471CBA">
              <w:rPr>
                <w:b/>
                <w:bCs/>
                <w:color w:val="000000"/>
                <w:szCs w:val="20"/>
              </w:rPr>
              <w:t>31 Aralık 2024</w:t>
            </w:r>
          </w:p>
        </w:tc>
      </w:tr>
      <w:tr w:rsidR="001C13B0" w:rsidRPr="00471CBA" w14:paraId="19C8B941" w14:textId="77777777" w:rsidTr="00DA230C">
        <w:trPr>
          <w:trHeight w:val="227"/>
        </w:trPr>
        <w:tc>
          <w:tcPr>
            <w:tcW w:w="3619" w:type="pct"/>
            <w:tcBorders>
              <w:top w:val="nil"/>
              <w:left w:val="nil"/>
              <w:bottom w:val="nil"/>
              <w:right w:val="nil"/>
            </w:tcBorders>
            <w:shd w:val="clear" w:color="000000" w:fill="FFFFFF"/>
            <w:noWrap/>
            <w:vAlign w:val="bottom"/>
            <w:hideMark/>
          </w:tcPr>
          <w:p w14:paraId="5874E5C2" w14:textId="77777777" w:rsidR="001C13B0" w:rsidRPr="00471CBA" w:rsidRDefault="001C13B0" w:rsidP="003D1625">
            <w:pPr>
              <w:rPr>
                <w:color w:val="000000"/>
                <w:szCs w:val="20"/>
              </w:rPr>
            </w:pPr>
            <w:r w:rsidRPr="00471CBA">
              <w:rPr>
                <w:color w:val="000000"/>
                <w:szCs w:val="20"/>
              </w:rPr>
              <w:t> </w:t>
            </w:r>
          </w:p>
        </w:tc>
        <w:tc>
          <w:tcPr>
            <w:tcW w:w="1381" w:type="pct"/>
            <w:tcBorders>
              <w:top w:val="single" w:sz="4" w:space="0" w:color="auto"/>
              <w:left w:val="nil"/>
              <w:bottom w:val="nil"/>
              <w:right w:val="nil"/>
            </w:tcBorders>
            <w:shd w:val="clear" w:color="000000" w:fill="FFFFFF"/>
            <w:noWrap/>
            <w:vAlign w:val="bottom"/>
            <w:hideMark/>
          </w:tcPr>
          <w:p w14:paraId="4D82461E" w14:textId="77777777" w:rsidR="001C13B0" w:rsidRPr="00471CBA" w:rsidRDefault="001C13B0" w:rsidP="003D1625">
            <w:pPr>
              <w:rPr>
                <w:color w:val="000000"/>
                <w:szCs w:val="20"/>
              </w:rPr>
            </w:pPr>
            <w:r w:rsidRPr="00471CBA">
              <w:rPr>
                <w:color w:val="000000"/>
                <w:szCs w:val="20"/>
              </w:rPr>
              <w:t> </w:t>
            </w:r>
          </w:p>
        </w:tc>
      </w:tr>
      <w:tr w:rsidR="001C13B0" w:rsidRPr="00471CBA" w14:paraId="3A3D2B94" w14:textId="77777777" w:rsidTr="00DA230C">
        <w:trPr>
          <w:trHeight w:val="227"/>
        </w:trPr>
        <w:tc>
          <w:tcPr>
            <w:tcW w:w="3619" w:type="pct"/>
            <w:tcBorders>
              <w:top w:val="nil"/>
              <w:left w:val="nil"/>
              <w:bottom w:val="nil"/>
              <w:right w:val="nil"/>
            </w:tcBorders>
            <w:noWrap/>
            <w:vAlign w:val="bottom"/>
            <w:hideMark/>
          </w:tcPr>
          <w:p w14:paraId="4477A99C" w14:textId="77777777" w:rsidR="001C13B0" w:rsidRPr="00471CBA" w:rsidRDefault="001C13B0" w:rsidP="003D1625">
            <w:pPr>
              <w:rPr>
                <w:color w:val="000000"/>
                <w:szCs w:val="20"/>
              </w:rPr>
            </w:pPr>
            <w:r w:rsidRPr="00471CBA">
              <w:rPr>
                <w:color w:val="000000"/>
                <w:szCs w:val="20"/>
              </w:rPr>
              <w:t>Teminat Mektupları</w:t>
            </w:r>
          </w:p>
        </w:tc>
        <w:tc>
          <w:tcPr>
            <w:tcW w:w="1381" w:type="pct"/>
            <w:tcBorders>
              <w:top w:val="nil"/>
              <w:left w:val="nil"/>
              <w:bottom w:val="nil"/>
              <w:right w:val="nil"/>
            </w:tcBorders>
            <w:noWrap/>
            <w:vAlign w:val="center"/>
            <w:hideMark/>
          </w:tcPr>
          <w:p w14:paraId="0A7B60CC" w14:textId="77777777" w:rsidR="001C13B0" w:rsidRPr="00471CBA" w:rsidRDefault="001C13B0" w:rsidP="003D1625">
            <w:pPr>
              <w:jc w:val="right"/>
              <w:rPr>
                <w:color w:val="000000"/>
                <w:szCs w:val="20"/>
              </w:rPr>
            </w:pPr>
            <w:r w:rsidRPr="00471CBA">
              <w:rPr>
                <w:color w:val="000000"/>
                <w:szCs w:val="20"/>
              </w:rPr>
              <w:t>7.335.714</w:t>
            </w:r>
          </w:p>
        </w:tc>
      </w:tr>
      <w:tr w:rsidR="001C13B0" w:rsidRPr="00471CBA" w14:paraId="6662A5AD" w14:textId="77777777" w:rsidTr="00DA230C">
        <w:trPr>
          <w:trHeight w:val="227"/>
        </w:trPr>
        <w:tc>
          <w:tcPr>
            <w:tcW w:w="3619" w:type="pct"/>
            <w:tcBorders>
              <w:top w:val="nil"/>
              <w:left w:val="nil"/>
              <w:bottom w:val="nil"/>
              <w:right w:val="nil"/>
            </w:tcBorders>
            <w:noWrap/>
            <w:vAlign w:val="bottom"/>
            <w:hideMark/>
          </w:tcPr>
          <w:p w14:paraId="57BDB2D1" w14:textId="77777777" w:rsidR="001C13B0" w:rsidRPr="00471CBA" w:rsidRDefault="001C13B0" w:rsidP="003D1625">
            <w:pPr>
              <w:ind w:firstLineChars="200" w:firstLine="400"/>
              <w:rPr>
                <w:color w:val="000000"/>
                <w:szCs w:val="20"/>
              </w:rPr>
            </w:pPr>
            <w:r w:rsidRPr="00471CBA">
              <w:rPr>
                <w:szCs w:val="20"/>
              </w:rPr>
              <w:t>Kesin teminat mektupları</w:t>
            </w:r>
          </w:p>
        </w:tc>
        <w:tc>
          <w:tcPr>
            <w:tcW w:w="1381" w:type="pct"/>
            <w:tcBorders>
              <w:top w:val="nil"/>
              <w:left w:val="nil"/>
              <w:bottom w:val="nil"/>
              <w:right w:val="nil"/>
            </w:tcBorders>
            <w:noWrap/>
            <w:vAlign w:val="center"/>
            <w:hideMark/>
          </w:tcPr>
          <w:p w14:paraId="493737C0" w14:textId="77777777" w:rsidR="001C13B0" w:rsidRPr="00471CBA" w:rsidRDefault="001C13B0" w:rsidP="003D1625">
            <w:pPr>
              <w:jc w:val="right"/>
              <w:rPr>
                <w:color w:val="000000"/>
                <w:szCs w:val="20"/>
              </w:rPr>
            </w:pPr>
            <w:r w:rsidRPr="00471CBA">
              <w:rPr>
                <w:szCs w:val="20"/>
              </w:rPr>
              <w:t>4.861.004</w:t>
            </w:r>
          </w:p>
        </w:tc>
      </w:tr>
      <w:tr w:rsidR="001C13B0" w:rsidRPr="00471CBA" w14:paraId="7E66A774" w14:textId="77777777" w:rsidTr="00DA230C">
        <w:trPr>
          <w:trHeight w:val="227"/>
        </w:trPr>
        <w:tc>
          <w:tcPr>
            <w:tcW w:w="3619" w:type="pct"/>
            <w:tcBorders>
              <w:top w:val="nil"/>
              <w:left w:val="nil"/>
              <w:bottom w:val="nil"/>
              <w:right w:val="nil"/>
            </w:tcBorders>
            <w:noWrap/>
            <w:vAlign w:val="bottom"/>
            <w:hideMark/>
          </w:tcPr>
          <w:p w14:paraId="717AD162" w14:textId="77777777" w:rsidR="001C13B0" w:rsidRPr="00471CBA" w:rsidRDefault="001C13B0" w:rsidP="003D1625">
            <w:pPr>
              <w:ind w:firstLineChars="200" w:firstLine="400"/>
              <w:rPr>
                <w:color w:val="000000"/>
                <w:szCs w:val="20"/>
              </w:rPr>
            </w:pPr>
            <w:r w:rsidRPr="00471CBA">
              <w:rPr>
                <w:szCs w:val="20"/>
              </w:rPr>
              <w:t>Geçici teminat mektupları</w:t>
            </w:r>
          </w:p>
        </w:tc>
        <w:tc>
          <w:tcPr>
            <w:tcW w:w="1381" w:type="pct"/>
            <w:tcBorders>
              <w:top w:val="nil"/>
              <w:left w:val="nil"/>
              <w:bottom w:val="nil"/>
              <w:right w:val="nil"/>
            </w:tcBorders>
            <w:noWrap/>
            <w:vAlign w:val="center"/>
            <w:hideMark/>
          </w:tcPr>
          <w:p w14:paraId="457396A2" w14:textId="77777777" w:rsidR="001C13B0" w:rsidRPr="00471CBA" w:rsidRDefault="001C13B0" w:rsidP="003D1625">
            <w:pPr>
              <w:jc w:val="right"/>
              <w:rPr>
                <w:color w:val="000000"/>
                <w:szCs w:val="20"/>
              </w:rPr>
            </w:pPr>
            <w:r w:rsidRPr="00471CBA">
              <w:rPr>
                <w:szCs w:val="20"/>
              </w:rPr>
              <w:t>1.631.122</w:t>
            </w:r>
          </w:p>
        </w:tc>
      </w:tr>
      <w:tr w:rsidR="001C13B0" w:rsidRPr="00471CBA" w14:paraId="585DEC44" w14:textId="77777777" w:rsidTr="00DA230C">
        <w:trPr>
          <w:trHeight w:val="227"/>
        </w:trPr>
        <w:tc>
          <w:tcPr>
            <w:tcW w:w="3619" w:type="pct"/>
            <w:tcBorders>
              <w:top w:val="nil"/>
              <w:left w:val="nil"/>
              <w:bottom w:val="nil"/>
              <w:right w:val="nil"/>
            </w:tcBorders>
            <w:noWrap/>
            <w:vAlign w:val="bottom"/>
            <w:hideMark/>
          </w:tcPr>
          <w:p w14:paraId="43330ED7" w14:textId="77777777" w:rsidR="001C13B0" w:rsidRPr="00471CBA" w:rsidRDefault="001C13B0" w:rsidP="003D1625">
            <w:pPr>
              <w:ind w:firstLineChars="200" w:firstLine="400"/>
              <w:rPr>
                <w:color w:val="000000"/>
                <w:szCs w:val="20"/>
              </w:rPr>
            </w:pPr>
            <w:r w:rsidRPr="00471CBA">
              <w:rPr>
                <w:szCs w:val="20"/>
              </w:rPr>
              <w:t xml:space="preserve">Avans teminat mektupları </w:t>
            </w:r>
          </w:p>
        </w:tc>
        <w:tc>
          <w:tcPr>
            <w:tcW w:w="1381" w:type="pct"/>
            <w:tcBorders>
              <w:top w:val="nil"/>
              <w:left w:val="nil"/>
              <w:bottom w:val="nil"/>
              <w:right w:val="nil"/>
            </w:tcBorders>
            <w:noWrap/>
            <w:vAlign w:val="center"/>
            <w:hideMark/>
          </w:tcPr>
          <w:p w14:paraId="13EF24A8" w14:textId="77777777" w:rsidR="001C13B0" w:rsidRPr="00471CBA" w:rsidRDefault="001C13B0" w:rsidP="003D1625">
            <w:pPr>
              <w:jc w:val="right"/>
              <w:rPr>
                <w:color w:val="000000"/>
                <w:szCs w:val="20"/>
              </w:rPr>
            </w:pPr>
            <w:r w:rsidRPr="00471CBA">
              <w:rPr>
                <w:szCs w:val="20"/>
              </w:rPr>
              <w:t>843.587</w:t>
            </w:r>
          </w:p>
        </w:tc>
      </w:tr>
      <w:tr w:rsidR="001C13B0" w:rsidRPr="00471CBA" w14:paraId="3A8CB03E" w14:textId="77777777" w:rsidTr="00DA230C">
        <w:trPr>
          <w:trHeight w:val="227"/>
        </w:trPr>
        <w:tc>
          <w:tcPr>
            <w:tcW w:w="3619" w:type="pct"/>
            <w:tcBorders>
              <w:top w:val="nil"/>
              <w:left w:val="nil"/>
              <w:bottom w:val="nil"/>
              <w:right w:val="nil"/>
            </w:tcBorders>
            <w:noWrap/>
            <w:vAlign w:val="bottom"/>
            <w:hideMark/>
          </w:tcPr>
          <w:p w14:paraId="263DBF20" w14:textId="77777777" w:rsidR="001C13B0" w:rsidRPr="00471CBA" w:rsidRDefault="001C13B0" w:rsidP="003D1625">
            <w:pPr>
              <w:ind w:firstLineChars="200" w:firstLine="400"/>
              <w:rPr>
                <w:color w:val="000000"/>
                <w:szCs w:val="20"/>
              </w:rPr>
            </w:pPr>
            <w:r w:rsidRPr="00471CBA">
              <w:rPr>
                <w:szCs w:val="20"/>
              </w:rPr>
              <w:t>Gümrüklere verilen teminat mektupları</w:t>
            </w:r>
          </w:p>
        </w:tc>
        <w:tc>
          <w:tcPr>
            <w:tcW w:w="1381" w:type="pct"/>
            <w:tcBorders>
              <w:top w:val="nil"/>
              <w:left w:val="nil"/>
              <w:bottom w:val="nil"/>
              <w:right w:val="nil"/>
            </w:tcBorders>
            <w:noWrap/>
            <w:vAlign w:val="center"/>
            <w:hideMark/>
          </w:tcPr>
          <w:p w14:paraId="2B641BD6" w14:textId="77777777" w:rsidR="001C13B0" w:rsidRPr="00471CBA" w:rsidRDefault="001C13B0" w:rsidP="003D1625">
            <w:pPr>
              <w:jc w:val="right"/>
              <w:rPr>
                <w:color w:val="000000"/>
                <w:szCs w:val="20"/>
              </w:rPr>
            </w:pPr>
            <w:r w:rsidRPr="00471CBA">
              <w:rPr>
                <w:szCs w:val="20"/>
              </w:rPr>
              <w:t>1</w:t>
            </w:r>
          </w:p>
        </w:tc>
      </w:tr>
      <w:tr w:rsidR="001C13B0" w:rsidRPr="00471CBA" w14:paraId="0EB67C6D" w14:textId="77777777" w:rsidTr="00DA230C">
        <w:trPr>
          <w:trHeight w:val="227"/>
        </w:trPr>
        <w:tc>
          <w:tcPr>
            <w:tcW w:w="3619" w:type="pct"/>
            <w:tcBorders>
              <w:top w:val="nil"/>
              <w:left w:val="nil"/>
              <w:bottom w:val="single" w:sz="4" w:space="0" w:color="auto"/>
              <w:right w:val="nil"/>
            </w:tcBorders>
            <w:noWrap/>
            <w:vAlign w:val="bottom"/>
            <w:hideMark/>
          </w:tcPr>
          <w:p w14:paraId="425209A6" w14:textId="77777777" w:rsidR="001C13B0" w:rsidRPr="00471CBA" w:rsidRDefault="001C13B0" w:rsidP="003D1625">
            <w:pPr>
              <w:rPr>
                <w:color w:val="000000"/>
                <w:szCs w:val="20"/>
              </w:rPr>
            </w:pPr>
            <w:r w:rsidRPr="00471CBA">
              <w:rPr>
                <w:szCs w:val="20"/>
              </w:rPr>
              <w:t>Kefalet ve Benzeri İşlemler</w:t>
            </w:r>
          </w:p>
        </w:tc>
        <w:tc>
          <w:tcPr>
            <w:tcW w:w="1381" w:type="pct"/>
            <w:tcBorders>
              <w:top w:val="nil"/>
              <w:left w:val="nil"/>
              <w:bottom w:val="single" w:sz="4" w:space="0" w:color="auto"/>
              <w:right w:val="nil"/>
            </w:tcBorders>
            <w:noWrap/>
            <w:vAlign w:val="center"/>
            <w:hideMark/>
          </w:tcPr>
          <w:p w14:paraId="6A5D0C87" w14:textId="77777777" w:rsidR="001C13B0" w:rsidRPr="00471CBA" w:rsidRDefault="001C13B0" w:rsidP="003D1625">
            <w:pPr>
              <w:jc w:val="right"/>
              <w:rPr>
                <w:color w:val="000000"/>
                <w:szCs w:val="20"/>
              </w:rPr>
            </w:pPr>
            <w:r w:rsidRPr="00471CBA">
              <w:rPr>
                <w:color w:val="000000"/>
                <w:szCs w:val="20"/>
              </w:rPr>
              <w:t>-</w:t>
            </w:r>
          </w:p>
        </w:tc>
      </w:tr>
      <w:tr w:rsidR="001C13B0" w:rsidRPr="00471CBA" w14:paraId="44B2F408" w14:textId="77777777" w:rsidTr="00DA230C">
        <w:trPr>
          <w:trHeight w:val="227"/>
        </w:trPr>
        <w:tc>
          <w:tcPr>
            <w:tcW w:w="3619" w:type="pct"/>
            <w:tcBorders>
              <w:top w:val="nil"/>
              <w:left w:val="nil"/>
              <w:right w:val="nil"/>
            </w:tcBorders>
            <w:shd w:val="clear" w:color="000000" w:fill="FFFFFF"/>
            <w:noWrap/>
            <w:vAlign w:val="bottom"/>
            <w:hideMark/>
          </w:tcPr>
          <w:p w14:paraId="09D00BDC" w14:textId="77777777" w:rsidR="001C13B0" w:rsidRPr="00471CBA" w:rsidRDefault="001C13B0" w:rsidP="003D1625">
            <w:pPr>
              <w:rPr>
                <w:b/>
                <w:bCs/>
                <w:color w:val="000000"/>
                <w:szCs w:val="20"/>
              </w:rPr>
            </w:pPr>
            <w:r w:rsidRPr="00471CBA">
              <w:rPr>
                <w:b/>
                <w:bCs/>
                <w:color w:val="000000"/>
                <w:szCs w:val="20"/>
              </w:rPr>
              <w:t> </w:t>
            </w:r>
          </w:p>
        </w:tc>
        <w:tc>
          <w:tcPr>
            <w:tcW w:w="1381" w:type="pct"/>
            <w:tcBorders>
              <w:top w:val="nil"/>
              <w:left w:val="nil"/>
              <w:right w:val="nil"/>
            </w:tcBorders>
            <w:shd w:val="clear" w:color="000000" w:fill="FFFFFF"/>
            <w:noWrap/>
            <w:vAlign w:val="center"/>
            <w:hideMark/>
          </w:tcPr>
          <w:p w14:paraId="461C3F3D" w14:textId="77777777" w:rsidR="001C13B0" w:rsidRPr="00471CBA" w:rsidRDefault="001C13B0" w:rsidP="003D1625">
            <w:pPr>
              <w:jc w:val="right"/>
              <w:rPr>
                <w:color w:val="000000"/>
                <w:szCs w:val="20"/>
              </w:rPr>
            </w:pPr>
            <w:r w:rsidRPr="00471CBA">
              <w:rPr>
                <w:color w:val="000000"/>
                <w:szCs w:val="20"/>
              </w:rPr>
              <w:t> </w:t>
            </w:r>
          </w:p>
        </w:tc>
      </w:tr>
      <w:tr w:rsidR="001C13B0" w:rsidRPr="00471CBA" w14:paraId="627AAF6C" w14:textId="77777777" w:rsidTr="00DA230C">
        <w:trPr>
          <w:trHeight w:val="227"/>
        </w:trPr>
        <w:tc>
          <w:tcPr>
            <w:tcW w:w="3619" w:type="pct"/>
            <w:tcBorders>
              <w:top w:val="nil"/>
              <w:left w:val="nil"/>
              <w:bottom w:val="single" w:sz="12" w:space="0" w:color="auto"/>
              <w:right w:val="nil"/>
            </w:tcBorders>
            <w:shd w:val="clear" w:color="000000" w:fill="FFFFFF"/>
            <w:noWrap/>
            <w:vAlign w:val="bottom"/>
            <w:hideMark/>
          </w:tcPr>
          <w:p w14:paraId="2048ADD3" w14:textId="77777777" w:rsidR="001C13B0" w:rsidRPr="00471CBA" w:rsidRDefault="001C13B0" w:rsidP="003D1625">
            <w:pPr>
              <w:rPr>
                <w:b/>
                <w:bCs/>
                <w:color w:val="000000"/>
                <w:szCs w:val="20"/>
              </w:rPr>
            </w:pPr>
            <w:r w:rsidRPr="00471CBA">
              <w:rPr>
                <w:b/>
                <w:bCs/>
                <w:szCs w:val="20"/>
              </w:rPr>
              <w:t>Toplam</w:t>
            </w:r>
          </w:p>
        </w:tc>
        <w:tc>
          <w:tcPr>
            <w:tcW w:w="1381" w:type="pct"/>
            <w:tcBorders>
              <w:top w:val="nil"/>
              <w:left w:val="nil"/>
              <w:bottom w:val="single" w:sz="12" w:space="0" w:color="auto"/>
              <w:right w:val="nil"/>
            </w:tcBorders>
            <w:noWrap/>
            <w:vAlign w:val="center"/>
            <w:hideMark/>
          </w:tcPr>
          <w:p w14:paraId="262B341B" w14:textId="77777777" w:rsidR="001C13B0" w:rsidRPr="00471CBA" w:rsidRDefault="001C13B0" w:rsidP="003D1625">
            <w:pPr>
              <w:jc w:val="right"/>
              <w:rPr>
                <w:b/>
                <w:bCs/>
                <w:color w:val="000000"/>
                <w:szCs w:val="20"/>
              </w:rPr>
            </w:pPr>
            <w:r w:rsidRPr="00471CBA">
              <w:rPr>
                <w:b/>
                <w:bCs/>
                <w:color w:val="000000"/>
                <w:szCs w:val="20"/>
              </w:rPr>
              <w:t>7.335.714</w:t>
            </w:r>
          </w:p>
        </w:tc>
      </w:tr>
    </w:tbl>
    <w:p w14:paraId="52DE95B3" w14:textId="544D9828" w:rsidR="00584460" w:rsidRPr="00471CBA" w:rsidRDefault="00584460">
      <w:pPr>
        <w:rPr>
          <w:b/>
          <w:szCs w:val="20"/>
        </w:rPr>
      </w:pPr>
    </w:p>
    <w:p w14:paraId="17596A96" w14:textId="24B5DF2A" w:rsidR="003C75C9" w:rsidRPr="00471CBA" w:rsidRDefault="003C75C9" w:rsidP="00212E4A">
      <w:pPr>
        <w:pStyle w:val="ListeParagraf"/>
        <w:widowControl w:val="0"/>
        <w:numPr>
          <w:ilvl w:val="0"/>
          <w:numId w:val="33"/>
        </w:numPr>
        <w:spacing w:line="228" w:lineRule="auto"/>
        <w:ind w:left="1276" w:hanging="425"/>
        <w:jc w:val="both"/>
        <w:rPr>
          <w:b/>
          <w:szCs w:val="20"/>
        </w:rPr>
      </w:pPr>
      <w:proofErr w:type="spellStart"/>
      <w:r w:rsidRPr="00471CBA">
        <w:rPr>
          <w:b/>
          <w:szCs w:val="20"/>
        </w:rPr>
        <w:t>Gayrinakdi</w:t>
      </w:r>
      <w:proofErr w:type="spellEnd"/>
      <w:r w:rsidRPr="00471CBA">
        <w:rPr>
          <w:b/>
          <w:szCs w:val="20"/>
        </w:rPr>
        <w:t xml:space="preserve"> Krediler Kapsamında:</w:t>
      </w:r>
    </w:p>
    <w:p w14:paraId="4AB1DE9C" w14:textId="77777777" w:rsidR="00392FA9" w:rsidRPr="00471CBA" w:rsidRDefault="00392FA9" w:rsidP="00CD770B">
      <w:pPr>
        <w:widowControl w:val="0"/>
        <w:tabs>
          <w:tab w:val="left" w:pos="1290"/>
        </w:tabs>
        <w:spacing w:line="228" w:lineRule="auto"/>
        <w:ind w:left="2700"/>
        <w:jc w:val="both"/>
        <w:rPr>
          <w:b/>
          <w:szCs w:val="20"/>
        </w:rPr>
      </w:pPr>
    </w:p>
    <w:p w14:paraId="208ADB2F" w14:textId="00E1549B" w:rsidR="00392FA9" w:rsidRPr="00471CBA" w:rsidRDefault="00BC67EF" w:rsidP="00752344">
      <w:pPr>
        <w:widowControl w:val="0"/>
        <w:spacing w:line="228" w:lineRule="auto"/>
        <w:ind w:left="1276" w:hanging="425"/>
        <w:jc w:val="both"/>
        <w:rPr>
          <w:b/>
          <w:szCs w:val="20"/>
        </w:rPr>
      </w:pPr>
      <w:r w:rsidRPr="00471CBA">
        <w:rPr>
          <w:b/>
          <w:szCs w:val="20"/>
        </w:rPr>
        <w:t>c.1.</w:t>
      </w:r>
      <w:r w:rsidR="00875144" w:rsidRPr="00471CBA">
        <w:rPr>
          <w:b/>
          <w:szCs w:val="20"/>
        </w:rPr>
        <w:tab/>
      </w:r>
      <w:proofErr w:type="spellStart"/>
      <w:r w:rsidR="00136C29" w:rsidRPr="00471CBA">
        <w:rPr>
          <w:b/>
          <w:szCs w:val="20"/>
        </w:rPr>
        <w:t>Gayrinakdi</w:t>
      </w:r>
      <w:proofErr w:type="spellEnd"/>
      <w:r w:rsidR="00136C29" w:rsidRPr="00471CBA">
        <w:rPr>
          <w:b/>
          <w:szCs w:val="20"/>
        </w:rPr>
        <w:t xml:space="preserve"> kredilerin toplam tutarı:</w:t>
      </w:r>
    </w:p>
    <w:p w14:paraId="07C4B305" w14:textId="146AA869" w:rsidR="00A74C68" w:rsidRPr="00471CBA" w:rsidRDefault="00A74C68" w:rsidP="009F6E11">
      <w:pPr>
        <w:widowControl w:val="0"/>
        <w:spacing w:line="228" w:lineRule="auto"/>
        <w:rPr>
          <w:szCs w:val="20"/>
        </w:rPr>
      </w:pPr>
    </w:p>
    <w:tbl>
      <w:tblPr>
        <w:tblW w:w="5000" w:type="pct"/>
        <w:tblCellMar>
          <w:left w:w="70" w:type="dxa"/>
          <w:right w:w="70" w:type="dxa"/>
        </w:tblCellMar>
        <w:tblLook w:val="04A0" w:firstRow="1" w:lastRow="0" w:firstColumn="1" w:lastColumn="0" w:noHBand="0" w:noVBand="1"/>
      </w:tblPr>
      <w:tblGrid>
        <w:gridCol w:w="6747"/>
        <w:gridCol w:w="2608"/>
      </w:tblGrid>
      <w:tr w:rsidR="00A74C68" w:rsidRPr="00471CBA" w14:paraId="60D33AF3" w14:textId="77777777" w:rsidTr="00A74C68">
        <w:trPr>
          <w:divId w:val="1414160441"/>
          <w:trHeight w:val="227"/>
        </w:trPr>
        <w:tc>
          <w:tcPr>
            <w:tcW w:w="2821" w:type="pct"/>
            <w:tcBorders>
              <w:top w:val="nil"/>
              <w:left w:val="nil"/>
              <w:bottom w:val="nil"/>
              <w:right w:val="nil"/>
            </w:tcBorders>
            <w:hideMark/>
          </w:tcPr>
          <w:p w14:paraId="141C7784" w14:textId="5F6D8643" w:rsidR="00A74C68" w:rsidRPr="00471CBA" w:rsidRDefault="00A74C68" w:rsidP="00A74C68">
            <w:pPr>
              <w:rPr>
                <w:szCs w:val="20"/>
              </w:rPr>
            </w:pPr>
          </w:p>
        </w:tc>
        <w:tc>
          <w:tcPr>
            <w:tcW w:w="1090" w:type="pct"/>
            <w:tcBorders>
              <w:top w:val="nil"/>
              <w:left w:val="nil"/>
              <w:bottom w:val="single" w:sz="4" w:space="0" w:color="auto"/>
              <w:right w:val="nil"/>
            </w:tcBorders>
            <w:noWrap/>
            <w:vAlign w:val="center"/>
            <w:hideMark/>
          </w:tcPr>
          <w:p w14:paraId="2321C019" w14:textId="77777777" w:rsidR="00A74C68" w:rsidRPr="00471CBA" w:rsidRDefault="00A74C68" w:rsidP="00A74C68">
            <w:pPr>
              <w:jc w:val="center"/>
              <w:rPr>
                <w:b/>
                <w:bCs/>
                <w:color w:val="000000"/>
                <w:szCs w:val="20"/>
              </w:rPr>
            </w:pPr>
            <w:r w:rsidRPr="00471CBA">
              <w:rPr>
                <w:b/>
                <w:bCs/>
                <w:color w:val="000000"/>
                <w:szCs w:val="20"/>
              </w:rPr>
              <w:t>31 Aralık 2025</w:t>
            </w:r>
          </w:p>
        </w:tc>
      </w:tr>
      <w:tr w:rsidR="00A74C68" w:rsidRPr="00471CBA" w14:paraId="0B0D071B" w14:textId="77777777" w:rsidTr="00A74C68">
        <w:trPr>
          <w:divId w:val="1414160441"/>
          <w:trHeight w:val="227"/>
        </w:trPr>
        <w:tc>
          <w:tcPr>
            <w:tcW w:w="2821" w:type="pct"/>
            <w:tcBorders>
              <w:top w:val="nil"/>
              <w:left w:val="nil"/>
              <w:bottom w:val="nil"/>
              <w:right w:val="nil"/>
            </w:tcBorders>
            <w:vAlign w:val="bottom"/>
            <w:hideMark/>
          </w:tcPr>
          <w:p w14:paraId="22895B24" w14:textId="77777777" w:rsidR="00A74C68" w:rsidRPr="00471CBA" w:rsidRDefault="00A74C68" w:rsidP="00A74C68">
            <w:pPr>
              <w:jc w:val="center"/>
              <w:rPr>
                <w:b/>
                <w:bCs/>
                <w:color w:val="000000"/>
                <w:szCs w:val="20"/>
              </w:rPr>
            </w:pPr>
          </w:p>
        </w:tc>
        <w:tc>
          <w:tcPr>
            <w:tcW w:w="1090" w:type="pct"/>
            <w:tcBorders>
              <w:top w:val="single" w:sz="4" w:space="0" w:color="auto"/>
              <w:left w:val="nil"/>
              <w:bottom w:val="nil"/>
              <w:right w:val="nil"/>
            </w:tcBorders>
            <w:vAlign w:val="bottom"/>
            <w:hideMark/>
          </w:tcPr>
          <w:p w14:paraId="0A7A25E9" w14:textId="77777777" w:rsidR="00A74C68" w:rsidRPr="00471CBA" w:rsidRDefault="00A74C68" w:rsidP="00A74C68">
            <w:pPr>
              <w:jc w:val="both"/>
              <w:rPr>
                <w:szCs w:val="20"/>
              </w:rPr>
            </w:pPr>
          </w:p>
        </w:tc>
      </w:tr>
      <w:tr w:rsidR="00A74C68" w:rsidRPr="00471CBA" w14:paraId="4AE63982" w14:textId="77777777" w:rsidTr="00A74C68">
        <w:trPr>
          <w:divId w:val="1414160441"/>
          <w:trHeight w:val="227"/>
        </w:trPr>
        <w:tc>
          <w:tcPr>
            <w:tcW w:w="2821" w:type="pct"/>
            <w:tcBorders>
              <w:top w:val="nil"/>
              <w:left w:val="nil"/>
              <w:bottom w:val="nil"/>
              <w:right w:val="nil"/>
            </w:tcBorders>
            <w:vAlign w:val="bottom"/>
            <w:hideMark/>
          </w:tcPr>
          <w:p w14:paraId="0DD657C6" w14:textId="77777777" w:rsidR="00A74C68" w:rsidRPr="00471CBA" w:rsidRDefault="00A74C68" w:rsidP="00A74C68">
            <w:pPr>
              <w:jc w:val="both"/>
              <w:rPr>
                <w:color w:val="000000"/>
                <w:szCs w:val="20"/>
              </w:rPr>
            </w:pPr>
            <w:r w:rsidRPr="00471CBA">
              <w:rPr>
                <w:color w:val="000000"/>
                <w:szCs w:val="20"/>
              </w:rPr>
              <w:t xml:space="preserve">Nakit kredi teminine yönelik olarak açılan </w:t>
            </w:r>
            <w:proofErr w:type="spellStart"/>
            <w:r w:rsidRPr="00471CBA">
              <w:rPr>
                <w:color w:val="000000"/>
                <w:szCs w:val="20"/>
              </w:rPr>
              <w:t>gayrinakdi</w:t>
            </w:r>
            <w:proofErr w:type="spellEnd"/>
            <w:r w:rsidRPr="00471CBA">
              <w:rPr>
                <w:color w:val="000000"/>
                <w:szCs w:val="20"/>
              </w:rPr>
              <w:t xml:space="preserve"> krediler</w:t>
            </w:r>
          </w:p>
        </w:tc>
        <w:tc>
          <w:tcPr>
            <w:tcW w:w="1090" w:type="pct"/>
            <w:tcBorders>
              <w:top w:val="nil"/>
              <w:left w:val="nil"/>
              <w:bottom w:val="nil"/>
              <w:right w:val="nil"/>
            </w:tcBorders>
            <w:noWrap/>
            <w:vAlign w:val="center"/>
            <w:hideMark/>
          </w:tcPr>
          <w:p w14:paraId="72F20CE9" w14:textId="77777777" w:rsidR="00A74C68" w:rsidRPr="00471CBA" w:rsidRDefault="00A74C68" w:rsidP="00A74C68">
            <w:pPr>
              <w:jc w:val="right"/>
              <w:rPr>
                <w:color w:val="000000"/>
                <w:szCs w:val="20"/>
              </w:rPr>
            </w:pPr>
            <w:r w:rsidRPr="00471CBA">
              <w:rPr>
                <w:color w:val="000000"/>
                <w:szCs w:val="20"/>
              </w:rPr>
              <w:t>-</w:t>
            </w:r>
          </w:p>
        </w:tc>
      </w:tr>
      <w:tr w:rsidR="00A74C68" w:rsidRPr="00471CBA" w14:paraId="6817CBA2" w14:textId="77777777" w:rsidTr="00A74C68">
        <w:trPr>
          <w:divId w:val="1414160441"/>
          <w:trHeight w:val="227"/>
        </w:trPr>
        <w:tc>
          <w:tcPr>
            <w:tcW w:w="2821" w:type="pct"/>
            <w:tcBorders>
              <w:top w:val="nil"/>
              <w:left w:val="nil"/>
              <w:bottom w:val="nil"/>
              <w:right w:val="nil"/>
            </w:tcBorders>
            <w:vAlign w:val="bottom"/>
            <w:hideMark/>
          </w:tcPr>
          <w:p w14:paraId="7D391B98" w14:textId="77777777" w:rsidR="00A74C68" w:rsidRPr="00471CBA" w:rsidRDefault="00A74C68" w:rsidP="00A74C68">
            <w:pPr>
              <w:ind w:firstLineChars="300" w:firstLine="600"/>
              <w:rPr>
                <w:color w:val="000000"/>
                <w:szCs w:val="20"/>
              </w:rPr>
            </w:pPr>
            <w:r w:rsidRPr="00471CBA">
              <w:rPr>
                <w:color w:val="000000"/>
                <w:szCs w:val="20"/>
              </w:rPr>
              <w:t>Bir yıl veya daha az süreli asıl vadeli</w:t>
            </w:r>
          </w:p>
        </w:tc>
        <w:tc>
          <w:tcPr>
            <w:tcW w:w="1090" w:type="pct"/>
            <w:tcBorders>
              <w:top w:val="nil"/>
              <w:left w:val="nil"/>
              <w:bottom w:val="nil"/>
              <w:right w:val="nil"/>
            </w:tcBorders>
            <w:noWrap/>
            <w:vAlign w:val="center"/>
            <w:hideMark/>
          </w:tcPr>
          <w:p w14:paraId="12E4A197" w14:textId="77777777" w:rsidR="00A74C68" w:rsidRPr="00471CBA" w:rsidRDefault="00A74C68" w:rsidP="00A74C68">
            <w:pPr>
              <w:jc w:val="right"/>
              <w:rPr>
                <w:color w:val="000000"/>
                <w:szCs w:val="20"/>
              </w:rPr>
            </w:pPr>
            <w:r w:rsidRPr="00471CBA">
              <w:rPr>
                <w:color w:val="000000"/>
                <w:szCs w:val="20"/>
              </w:rPr>
              <w:t>-</w:t>
            </w:r>
          </w:p>
        </w:tc>
      </w:tr>
      <w:tr w:rsidR="00A74C68" w:rsidRPr="00471CBA" w14:paraId="0495EAEE" w14:textId="77777777" w:rsidTr="00A74C68">
        <w:trPr>
          <w:divId w:val="1414160441"/>
          <w:trHeight w:val="227"/>
        </w:trPr>
        <w:tc>
          <w:tcPr>
            <w:tcW w:w="2821" w:type="pct"/>
            <w:tcBorders>
              <w:top w:val="nil"/>
              <w:left w:val="nil"/>
              <w:bottom w:val="nil"/>
              <w:right w:val="nil"/>
            </w:tcBorders>
            <w:vAlign w:val="bottom"/>
            <w:hideMark/>
          </w:tcPr>
          <w:p w14:paraId="73EC0560" w14:textId="77777777" w:rsidR="00A74C68" w:rsidRPr="00471CBA" w:rsidRDefault="00A74C68" w:rsidP="00A74C68">
            <w:pPr>
              <w:ind w:firstLineChars="300" w:firstLine="600"/>
              <w:rPr>
                <w:color w:val="000000"/>
                <w:szCs w:val="20"/>
              </w:rPr>
            </w:pPr>
            <w:r w:rsidRPr="00471CBA">
              <w:rPr>
                <w:color w:val="000000"/>
                <w:szCs w:val="20"/>
              </w:rPr>
              <w:t xml:space="preserve">Bir yıldan daha uzun süreli asıl vadeli </w:t>
            </w:r>
          </w:p>
        </w:tc>
        <w:tc>
          <w:tcPr>
            <w:tcW w:w="1090" w:type="pct"/>
            <w:tcBorders>
              <w:top w:val="nil"/>
              <w:left w:val="nil"/>
              <w:bottom w:val="nil"/>
              <w:right w:val="nil"/>
            </w:tcBorders>
            <w:noWrap/>
            <w:vAlign w:val="center"/>
            <w:hideMark/>
          </w:tcPr>
          <w:p w14:paraId="409739EC" w14:textId="77777777" w:rsidR="00A74C68" w:rsidRPr="00471CBA" w:rsidRDefault="00A74C68" w:rsidP="00A74C68">
            <w:pPr>
              <w:jc w:val="right"/>
              <w:rPr>
                <w:color w:val="000000"/>
                <w:szCs w:val="20"/>
              </w:rPr>
            </w:pPr>
            <w:r w:rsidRPr="00471CBA">
              <w:rPr>
                <w:color w:val="000000"/>
                <w:szCs w:val="20"/>
              </w:rPr>
              <w:t>-</w:t>
            </w:r>
          </w:p>
        </w:tc>
      </w:tr>
      <w:tr w:rsidR="00A74C68" w:rsidRPr="00471CBA" w14:paraId="2687CE03" w14:textId="77777777" w:rsidTr="00A74C68">
        <w:trPr>
          <w:divId w:val="1414160441"/>
          <w:trHeight w:val="227"/>
        </w:trPr>
        <w:tc>
          <w:tcPr>
            <w:tcW w:w="2821" w:type="pct"/>
            <w:tcBorders>
              <w:top w:val="nil"/>
              <w:left w:val="nil"/>
              <w:bottom w:val="single" w:sz="4" w:space="0" w:color="auto"/>
              <w:right w:val="nil"/>
            </w:tcBorders>
            <w:vAlign w:val="bottom"/>
            <w:hideMark/>
          </w:tcPr>
          <w:p w14:paraId="066257EC" w14:textId="77777777" w:rsidR="00A74C68" w:rsidRPr="00471CBA" w:rsidRDefault="00A74C68" w:rsidP="00A74C68">
            <w:pPr>
              <w:jc w:val="both"/>
              <w:rPr>
                <w:color w:val="000000"/>
                <w:szCs w:val="20"/>
              </w:rPr>
            </w:pPr>
            <w:r w:rsidRPr="00471CBA">
              <w:rPr>
                <w:color w:val="000000"/>
                <w:szCs w:val="20"/>
              </w:rPr>
              <w:t xml:space="preserve">Diğer </w:t>
            </w:r>
            <w:proofErr w:type="spellStart"/>
            <w:r w:rsidRPr="00471CBA">
              <w:rPr>
                <w:color w:val="000000"/>
                <w:szCs w:val="20"/>
              </w:rPr>
              <w:t>gayrinakdi</w:t>
            </w:r>
            <w:proofErr w:type="spellEnd"/>
            <w:r w:rsidRPr="00471CBA">
              <w:rPr>
                <w:color w:val="000000"/>
                <w:szCs w:val="20"/>
              </w:rPr>
              <w:t xml:space="preserve"> krediler</w:t>
            </w:r>
          </w:p>
        </w:tc>
        <w:tc>
          <w:tcPr>
            <w:tcW w:w="1090" w:type="pct"/>
            <w:tcBorders>
              <w:top w:val="nil"/>
              <w:left w:val="nil"/>
              <w:bottom w:val="single" w:sz="4" w:space="0" w:color="auto"/>
              <w:right w:val="nil"/>
            </w:tcBorders>
            <w:noWrap/>
            <w:vAlign w:val="center"/>
            <w:hideMark/>
          </w:tcPr>
          <w:p w14:paraId="05D3B9B3" w14:textId="77777777" w:rsidR="00A74C68" w:rsidRPr="00471CBA" w:rsidRDefault="00A74C68" w:rsidP="00A74C68">
            <w:pPr>
              <w:jc w:val="right"/>
              <w:rPr>
                <w:color w:val="000000"/>
                <w:szCs w:val="20"/>
              </w:rPr>
            </w:pPr>
            <w:r w:rsidRPr="00471CBA">
              <w:rPr>
                <w:color w:val="000000"/>
                <w:szCs w:val="20"/>
              </w:rPr>
              <w:t>25.680.683</w:t>
            </w:r>
          </w:p>
        </w:tc>
      </w:tr>
      <w:tr w:rsidR="00A74C68" w:rsidRPr="00471CBA" w14:paraId="67450F33" w14:textId="77777777" w:rsidTr="00A74C68">
        <w:trPr>
          <w:divId w:val="1414160441"/>
          <w:trHeight w:val="227"/>
        </w:trPr>
        <w:tc>
          <w:tcPr>
            <w:tcW w:w="2821" w:type="pct"/>
            <w:tcBorders>
              <w:top w:val="nil"/>
              <w:left w:val="nil"/>
              <w:bottom w:val="nil"/>
              <w:right w:val="nil"/>
            </w:tcBorders>
            <w:vAlign w:val="bottom"/>
            <w:hideMark/>
          </w:tcPr>
          <w:p w14:paraId="42F71597" w14:textId="77777777" w:rsidR="00A74C68" w:rsidRPr="00471CBA" w:rsidRDefault="00A74C68" w:rsidP="00A74C68">
            <w:pPr>
              <w:jc w:val="right"/>
              <w:rPr>
                <w:color w:val="000000"/>
                <w:szCs w:val="20"/>
              </w:rPr>
            </w:pPr>
          </w:p>
        </w:tc>
        <w:tc>
          <w:tcPr>
            <w:tcW w:w="1090" w:type="pct"/>
            <w:tcBorders>
              <w:top w:val="nil"/>
              <w:left w:val="nil"/>
              <w:bottom w:val="nil"/>
              <w:right w:val="nil"/>
            </w:tcBorders>
            <w:vAlign w:val="center"/>
            <w:hideMark/>
          </w:tcPr>
          <w:p w14:paraId="1C042D28" w14:textId="77777777" w:rsidR="00A74C68" w:rsidRPr="00471CBA" w:rsidRDefault="00A74C68" w:rsidP="00A74C68">
            <w:pPr>
              <w:jc w:val="right"/>
              <w:rPr>
                <w:szCs w:val="20"/>
              </w:rPr>
            </w:pPr>
          </w:p>
        </w:tc>
      </w:tr>
      <w:tr w:rsidR="00A74C68" w:rsidRPr="00471CBA" w14:paraId="2E778DFF" w14:textId="77777777" w:rsidTr="00A74C68">
        <w:trPr>
          <w:divId w:val="1414160441"/>
          <w:trHeight w:val="227"/>
        </w:trPr>
        <w:tc>
          <w:tcPr>
            <w:tcW w:w="2821" w:type="pct"/>
            <w:tcBorders>
              <w:top w:val="nil"/>
              <w:left w:val="nil"/>
              <w:bottom w:val="single" w:sz="12" w:space="0" w:color="auto"/>
              <w:right w:val="nil"/>
            </w:tcBorders>
            <w:vAlign w:val="bottom"/>
            <w:hideMark/>
          </w:tcPr>
          <w:p w14:paraId="5F651628" w14:textId="77777777" w:rsidR="00A74C68" w:rsidRPr="00471CBA" w:rsidRDefault="00A74C68" w:rsidP="00A74C68">
            <w:pPr>
              <w:jc w:val="both"/>
              <w:rPr>
                <w:b/>
                <w:bCs/>
                <w:color w:val="000000"/>
                <w:szCs w:val="20"/>
              </w:rPr>
            </w:pPr>
            <w:r w:rsidRPr="00471CBA">
              <w:rPr>
                <w:b/>
                <w:bCs/>
                <w:color w:val="000000"/>
                <w:szCs w:val="20"/>
              </w:rPr>
              <w:t>Toplam</w:t>
            </w:r>
          </w:p>
        </w:tc>
        <w:tc>
          <w:tcPr>
            <w:tcW w:w="1090" w:type="pct"/>
            <w:tcBorders>
              <w:top w:val="nil"/>
              <w:left w:val="nil"/>
              <w:bottom w:val="single" w:sz="12" w:space="0" w:color="auto"/>
              <w:right w:val="nil"/>
            </w:tcBorders>
            <w:noWrap/>
            <w:vAlign w:val="center"/>
            <w:hideMark/>
          </w:tcPr>
          <w:p w14:paraId="440FD552" w14:textId="77777777" w:rsidR="00A74C68" w:rsidRPr="00471CBA" w:rsidRDefault="00A74C68" w:rsidP="00A74C68">
            <w:pPr>
              <w:jc w:val="right"/>
              <w:rPr>
                <w:b/>
                <w:bCs/>
                <w:color w:val="000000"/>
                <w:szCs w:val="20"/>
              </w:rPr>
            </w:pPr>
            <w:r w:rsidRPr="00471CBA">
              <w:rPr>
                <w:b/>
                <w:bCs/>
                <w:color w:val="000000"/>
                <w:szCs w:val="20"/>
              </w:rPr>
              <w:t>25.680.683</w:t>
            </w:r>
          </w:p>
        </w:tc>
      </w:tr>
    </w:tbl>
    <w:p w14:paraId="7A03500F" w14:textId="66563636" w:rsidR="004916D6" w:rsidRPr="00471CBA" w:rsidRDefault="004916D6" w:rsidP="009F6E11">
      <w:pPr>
        <w:widowControl w:val="0"/>
        <w:spacing w:line="228" w:lineRule="auto"/>
        <w:rPr>
          <w:b/>
          <w:iCs/>
          <w:szCs w:val="20"/>
        </w:rPr>
      </w:pPr>
    </w:p>
    <w:tbl>
      <w:tblPr>
        <w:tblW w:w="5000" w:type="pct"/>
        <w:tblCellMar>
          <w:left w:w="70" w:type="dxa"/>
          <w:right w:w="70" w:type="dxa"/>
        </w:tblCellMar>
        <w:tblLook w:val="04A0" w:firstRow="1" w:lastRow="0" w:firstColumn="1" w:lastColumn="0" w:noHBand="0" w:noVBand="1"/>
      </w:tblPr>
      <w:tblGrid>
        <w:gridCol w:w="6751"/>
        <w:gridCol w:w="2604"/>
      </w:tblGrid>
      <w:tr w:rsidR="001C13B0" w:rsidRPr="00471CBA" w14:paraId="618C741D" w14:textId="77777777" w:rsidTr="00DA230C">
        <w:trPr>
          <w:trHeight w:val="227"/>
        </w:trPr>
        <w:tc>
          <w:tcPr>
            <w:tcW w:w="3608" w:type="pct"/>
            <w:tcBorders>
              <w:top w:val="nil"/>
              <w:left w:val="nil"/>
              <w:bottom w:val="nil"/>
              <w:right w:val="nil"/>
            </w:tcBorders>
            <w:hideMark/>
          </w:tcPr>
          <w:p w14:paraId="04E7F556" w14:textId="77777777" w:rsidR="001C13B0" w:rsidRPr="00471CBA" w:rsidRDefault="001C13B0" w:rsidP="003D1625">
            <w:pPr>
              <w:rPr>
                <w:szCs w:val="20"/>
              </w:rPr>
            </w:pPr>
          </w:p>
        </w:tc>
        <w:tc>
          <w:tcPr>
            <w:tcW w:w="1392" w:type="pct"/>
            <w:tcBorders>
              <w:top w:val="nil"/>
              <w:left w:val="nil"/>
              <w:bottom w:val="single" w:sz="4" w:space="0" w:color="auto"/>
              <w:right w:val="nil"/>
            </w:tcBorders>
            <w:noWrap/>
            <w:vAlign w:val="center"/>
            <w:hideMark/>
          </w:tcPr>
          <w:p w14:paraId="21DE205E" w14:textId="77777777" w:rsidR="001C13B0" w:rsidRPr="00471CBA" w:rsidRDefault="001C13B0" w:rsidP="003D1625">
            <w:pPr>
              <w:jc w:val="center"/>
              <w:rPr>
                <w:b/>
                <w:bCs/>
                <w:color w:val="000000"/>
                <w:szCs w:val="20"/>
              </w:rPr>
            </w:pPr>
            <w:r w:rsidRPr="00471CBA">
              <w:rPr>
                <w:b/>
                <w:bCs/>
                <w:color w:val="000000"/>
                <w:szCs w:val="20"/>
              </w:rPr>
              <w:t>31 Aralık 2024</w:t>
            </w:r>
          </w:p>
        </w:tc>
      </w:tr>
      <w:tr w:rsidR="001C13B0" w:rsidRPr="00471CBA" w14:paraId="666BB1FB" w14:textId="77777777" w:rsidTr="00DA230C">
        <w:trPr>
          <w:trHeight w:val="227"/>
        </w:trPr>
        <w:tc>
          <w:tcPr>
            <w:tcW w:w="3608" w:type="pct"/>
            <w:tcBorders>
              <w:top w:val="nil"/>
              <w:left w:val="nil"/>
              <w:bottom w:val="nil"/>
              <w:right w:val="nil"/>
            </w:tcBorders>
            <w:vAlign w:val="bottom"/>
            <w:hideMark/>
          </w:tcPr>
          <w:p w14:paraId="644F5EB0" w14:textId="77777777" w:rsidR="001C13B0" w:rsidRPr="00471CBA" w:rsidRDefault="001C13B0" w:rsidP="003D1625">
            <w:pPr>
              <w:jc w:val="center"/>
              <w:rPr>
                <w:b/>
                <w:bCs/>
                <w:color w:val="000000"/>
                <w:szCs w:val="20"/>
              </w:rPr>
            </w:pPr>
          </w:p>
        </w:tc>
        <w:tc>
          <w:tcPr>
            <w:tcW w:w="1392" w:type="pct"/>
            <w:tcBorders>
              <w:top w:val="single" w:sz="4" w:space="0" w:color="auto"/>
              <w:left w:val="nil"/>
              <w:bottom w:val="nil"/>
              <w:right w:val="nil"/>
            </w:tcBorders>
            <w:vAlign w:val="bottom"/>
            <w:hideMark/>
          </w:tcPr>
          <w:p w14:paraId="4D0C281D" w14:textId="77777777" w:rsidR="001C13B0" w:rsidRPr="00471CBA" w:rsidRDefault="001C13B0" w:rsidP="003D1625">
            <w:pPr>
              <w:jc w:val="right"/>
              <w:rPr>
                <w:szCs w:val="20"/>
              </w:rPr>
            </w:pPr>
          </w:p>
        </w:tc>
      </w:tr>
      <w:tr w:rsidR="001C13B0" w:rsidRPr="00471CBA" w14:paraId="2BE5DDBF" w14:textId="77777777" w:rsidTr="00DA230C">
        <w:trPr>
          <w:trHeight w:val="227"/>
        </w:trPr>
        <w:tc>
          <w:tcPr>
            <w:tcW w:w="3608" w:type="pct"/>
            <w:tcBorders>
              <w:top w:val="nil"/>
              <w:left w:val="nil"/>
              <w:bottom w:val="nil"/>
              <w:right w:val="nil"/>
            </w:tcBorders>
            <w:vAlign w:val="bottom"/>
            <w:hideMark/>
          </w:tcPr>
          <w:p w14:paraId="4C97D508" w14:textId="77777777" w:rsidR="001C13B0" w:rsidRPr="00471CBA" w:rsidRDefault="001C13B0" w:rsidP="003D1625">
            <w:pPr>
              <w:jc w:val="both"/>
              <w:rPr>
                <w:color w:val="000000"/>
                <w:szCs w:val="20"/>
              </w:rPr>
            </w:pPr>
            <w:r w:rsidRPr="00471CBA">
              <w:rPr>
                <w:color w:val="000000"/>
                <w:szCs w:val="20"/>
              </w:rPr>
              <w:t xml:space="preserve">Nakit kredi teminine yönelik olarak açılan </w:t>
            </w:r>
            <w:proofErr w:type="spellStart"/>
            <w:r w:rsidRPr="00471CBA">
              <w:rPr>
                <w:color w:val="000000"/>
                <w:szCs w:val="20"/>
              </w:rPr>
              <w:t>gayrinakdi</w:t>
            </w:r>
            <w:proofErr w:type="spellEnd"/>
            <w:r w:rsidRPr="00471CBA">
              <w:rPr>
                <w:color w:val="000000"/>
                <w:szCs w:val="20"/>
              </w:rPr>
              <w:t xml:space="preserve"> krediler</w:t>
            </w:r>
          </w:p>
        </w:tc>
        <w:tc>
          <w:tcPr>
            <w:tcW w:w="1392" w:type="pct"/>
            <w:tcBorders>
              <w:top w:val="nil"/>
              <w:left w:val="nil"/>
              <w:bottom w:val="nil"/>
              <w:right w:val="nil"/>
            </w:tcBorders>
            <w:noWrap/>
            <w:vAlign w:val="center"/>
            <w:hideMark/>
          </w:tcPr>
          <w:p w14:paraId="2B9FC8C4" w14:textId="77777777" w:rsidR="001C13B0" w:rsidRPr="00471CBA" w:rsidRDefault="001C13B0" w:rsidP="003D1625">
            <w:pPr>
              <w:jc w:val="right"/>
              <w:rPr>
                <w:color w:val="000000"/>
                <w:szCs w:val="20"/>
              </w:rPr>
            </w:pPr>
            <w:r w:rsidRPr="00471CBA">
              <w:rPr>
                <w:color w:val="000000"/>
                <w:szCs w:val="20"/>
              </w:rPr>
              <w:t>-</w:t>
            </w:r>
          </w:p>
        </w:tc>
      </w:tr>
      <w:tr w:rsidR="001C13B0" w:rsidRPr="00471CBA" w14:paraId="7FC77170" w14:textId="77777777" w:rsidTr="00DA230C">
        <w:trPr>
          <w:trHeight w:val="227"/>
        </w:trPr>
        <w:tc>
          <w:tcPr>
            <w:tcW w:w="3608" w:type="pct"/>
            <w:tcBorders>
              <w:top w:val="nil"/>
              <w:left w:val="nil"/>
              <w:bottom w:val="nil"/>
              <w:right w:val="nil"/>
            </w:tcBorders>
            <w:vAlign w:val="bottom"/>
            <w:hideMark/>
          </w:tcPr>
          <w:p w14:paraId="2C78BA5C" w14:textId="77777777" w:rsidR="001C13B0" w:rsidRPr="00471CBA" w:rsidRDefault="001C13B0" w:rsidP="003D1625">
            <w:pPr>
              <w:ind w:firstLineChars="300" w:firstLine="600"/>
              <w:rPr>
                <w:color w:val="000000"/>
                <w:szCs w:val="20"/>
              </w:rPr>
            </w:pPr>
            <w:r w:rsidRPr="00471CBA">
              <w:rPr>
                <w:color w:val="000000"/>
                <w:szCs w:val="20"/>
              </w:rPr>
              <w:t>Bir yıl veya daha az süreli asıl vadeli</w:t>
            </w:r>
          </w:p>
        </w:tc>
        <w:tc>
          <w:tcPr>
            <w:tcW w:w="1392" w:type="pct"/>
            <w:tcBorders>
              <w:top w:val="nil"/>
              <w:left w:val="nil"/>
              <w:bottom w:val="nil"/>
              <w:right w:val="nil"/>
            </w:tcBorders>
            <w:noWrap/>
            <w:vAlign w:val="center"/>
            <w:hideMark/>
          </w:tcPr>
          <w:p w14:paraId="386E6FE5" w14:textId="77777777" w:rsidR="001C13B0" w:rsidRPr="00471CBA" w:rsidRDefault="001C13B0" w:rsidP="003D1625">
            <w:pPr>
              <w:jc w:val="right"/>
              <w:rPr>
                <w:color w:val="000000"/>
                <w:szCs w:val="20"/>
              </w:rPr>
            </w:pPr>
            <w:r w:rsidRPr="00471CBA">
              <w:rPr>
                <w:color w:val="000000"/>
                <w:szCs w:val="20"/>
              </w:rPr>
              <w:t>-</w:t>
            </w:r>
          </w:p>
        </w:tc>
      </w:tr>
      <w:tr w:rsidR="001C13B0" w:rsidRPr="00471CBA" w14:paraId="3DE6E905" w14:textId="77777777" w:rsidTr="00DA230C">
        <w:trPr>
          <w:trHeight w:val="227"/>
        </w:trPr>
        <w:tc>
          <w:tcPr>
            <w:tcW w:w="3608" w:type="pct"/>
            <w:tcBorders>
              <w:top w:val="nil"/>
              <w:left w:val="nil"/>
              <w:bottom w:val="nil"/>
              <w:right w:val="nil"/>
            </w:tcBorders>
            <w:vAlign w:val="bottom"/>
            <w:hideMark/>
          </w:tcPr>
          <w:p w14:paraId="2157E04F" w14:textId="77777777" w:rsidR="001C13B0" w:rsidRPr="00471CBA" w:rsidRDefault="001C13B0" w:rsidP="003D1625">
            <w:pPr>
              <w:ind w:firstLineChars="300" w:firstLine="600"/>
              <w:rPr>
                <w:color w:val="000000"/>
                <w:szCs w:val="20"/>
              </w:rPr>
            </w:pPr>
            <w:r w:rsidRPr="00471CBA">
              <w:rPr>
                <w:color w:val="000000"/>
                <w:szCs w:val="20"/>
              </w:rPr>
              <w:t xml:space="preserve">Bir yıldan daha uzun süreli asıl vadeli </w:t>
            </w:r>
          </w:p>
        </w:tc>
        <w:tc>
          <w:tcPr>
            <w:tcW w:w="1392" w:type="pct"/>
            <w:tcBorders>
              <w:top w:val="nil"/>
              <w:left w:val="nil"/>
              <w:bottom w:val="nil"/>
              <w:right w:val="nil"/>
            </w:tcBorders>
            <w:noWrap/>
            <w:vAlign w:val="center"/>
            <w:hideMark/>
          </w:tcPr>
          <w:p w14:paraId="46120F6F" w14:textId="77777777" w:rsidR="001C13B0" w:rsidRPr="00471CBA" w:rsidRDefault="001C13B0" w:rsidP="003D1625">
            <w:pPr>
              <w:jc w:val="right"/>
              <w:rPr>
                <w:color w:val="000000"/>
                <w:szCs w:val="20"/>
              </w:rPr>
            </w:pPr>
            <w:r w:rsidRPr="00471CBA">
              <w:rPr>
                <w:color w:val="000000"/>
                <w:szCs w:val="20"/>
              </w:rPr>
              <w:t>-</w:t>
            </w:r>
          </w:p>
        </w:tc>
      </w:tr>
      <w:tr w:rsidR="001C13B0" w:rsidRPr="00471CBA" w14:paraId="5ED279BA" w14:textId="77777777" w:rsidTr="00DA230C">
        <w:trPr>
          <w:trHeight w:val="227"/>
        </w:trPr>
        <w:tc>
          <w:tcPr>
            <w:tcW w:w="3608" w:type="pct"/>
            <w:tcBorders>
              <w:top w:val="nil"/>
              <w:left w:val="nil"/>
              <w:bottom w:val="single" w:sz="4" w:space="0" w:color="auto"/>
              <w:right w:val="nil"/>
            </w:tcBorders>
            <w:vAlign w:val="bottom"/>
            <w:hideMark/>
          </w:tcPr>
          <w:p w14:paraId="5E863A88" w14:textId="77777777" w:rsidR="001C13B0" w:rsidRPr="00471CBA" w:rsidRDefault="001C13B0" w:rsidP="003D1625">
            <w:pPr>
              <w:jc w:val="both"/>
              <w:rPr>
                <w:color w:val="000000"/>
                <w:szCs w:val="20"/>
              </w:rPr>
            </w:pPr>
            <w:r w:rsidRPr="00471CBA">
              <w:rPr>
                <w:color w:val="000000"/>
                <w:szCs w:val="20"/>
              </w:rPr>
              <w:t xml:space="preserve">Diğer </w:t>
            </w:r>
            <w:proofErr w:type="spellStart"/>
            <w:r w:rsidRPr="00471CBA">
              <w:rPr>
                <w:color w:val="000000"/>
                <w:szCs w:val="20"/>
              </w:rPr>
              <w:t>gayrinakdi</w:t>
            </w:r>
            <w:proofErr w:type="spellEnd"/>
            <w:r w:rsidRPr="00471CBA">
              <w:rPr>
                <w:color w:val="000000"/>
                <w:szCs w:val="20"/>
              </w:rPr>
              <w:t xml:space="preserve"> krediler</w:t>
            </w:r>
          </w:p>
        </w:tc>
        <w:tc>
          <w:tcPr>
            <w:tcW w:w="1392" w:type="pct"/>
            <w:tcBorders>
              <w:top w:val="nil"/>
              <w:left w:val="nil"/>
              <w:bottom w:val="single" w:sz="4" w:space="0" w:color="auto"/>
              <w:right w:val="nil"/>
            </w:tcBorders>
            <w:noWrap/>
            <w:vAlign w:val="center"/>
            <w:hideMark/>
          </w:tcPr>
          <w:p w14:paraId="7FB506CA" w14:textId="77777777" w:rsidR="001C13B0" w:rsidRPr="00471CBA" w:rsidRDefault="001C13B0" w:rsidP="003D1625">
            <w:pPr>
              <w:jc w:val="right"/>
              <w:rPr>
                <w:color w:val="000000"/>
                <w:szCs w:val="20"/>
              </w:rPr>
            </w:pPr>
            <w:r w:rsidRPr="00471CBA">
              <w:rPr>
                <w:color w:val="000000"/>
                <w:szCs w:val="20"/>
              </w:rPr>
              <w:t>7.335.714</w:t>
            </w:r>
          </w:p>
        </w:tc>
      </w:tr>
      <w:tr w:rsidR="001C13B0" w:rsidRPr="00471CBA" w14:paraId="2737529F" w14:textId="77777777" w:rsidTr="00DA230C">
        <w:trPr>
          <w:trHeight w:val="227"/>
        </w:trPr>
        <w:tc>
          <w:tcPr>
            <w:tcW w:w="3608" w:type="pct"/>
            <w:tcBorders>
              <w:top w:val="nil"/>
              <w:left w:val="nil"/>
              <w:bottom w:val="nil"/>
              <w:right w:val="nil"/>
            </w:tcBorders>
            <w:vAlign w:val="bottom"/>
            <w:hideMark/>
          </w:tcPr>
          <w:p w14:paraId="4B94C8A2" w14:textId="77777777" w:rsidR="001C13B0" w:rsidRPr="00471CBA" w:rsidRDefault="001C13B0" w:rsidP="003D1625">
            <w:pPr>
              <w:jc w:val="right"/>
              <w:rPr>
                <w:color w:val="000000"/>
                <w:szCs w:val="20"/>
              </w:rPr>
            </w:pPr>
          </w:p>
        </w:tc>
        <w:tc>
          <w:tcPr>
            <w:tcW w:w="1392" w:type="pct"/>
            <w:tcBorders>
              <w:top w:val="nil"/>
              <w:left w:val="nil"/>
              <w:bottom w:val="nil"/>
              <w:right w:val="nil"/>
            </w:tcBorders>
            <w:vAlign w:val="center"/>
            <w:hideMark/>
          </w:tcPr>
          <w:p w14:paraId="63F0C80C" w14:textId="77777777" w:rsidR="001C13B0" w:rsidRPr="00471CBA" w:rsidRDefault="001C13B0" w:rsidP="003D1625">
            <w:pPr>
              <w:jc w:val="right"/>
              <w:rPr>
                <w:color w:val="000000"/>
                <w:szCs w:val="20"/>
                <w:lang w:eastAsia="tr-TR"/>
              </w:rPr>
            </w:pPr>
            <w:r w:rsidRPr="00471CBA">
              <w:rPr>
                <w:szCs w:val="20"/>
              </w:rPr>
              <w:t> </w:t>
            </w:r>
          </w:p>
        </w:tc>
      </w:tr>
      <w:tr w:rsidR="001C13B0" w:rsidRPr="00471CBA" w14:paraId="13E34E1C" w14:textId="77777777" w:rsidTr="00DA230C">
        <w:trPr>
          <w:trHeight w:val="227"/>
        </w:trPr>
        <w:tc>
          <w:tcPr>
            <w:tcW w:w="3608" w:type="pct"/>
            <w:tcBorders>
              <w:top w:val="nil"/>
              <w:left w:val="nil"/>
              <w:bottom w:val="single" w:sz="12" w:space="0" w:color="auto"/>
              <w:right w:val="nil"/>
            </w:tcBorders>
            <w:vAlign w:val="bottom"/>
            <w:hideMark/>
          </w:tcPr>
          <w:p w14:paraId="10696492" w14:textId="77777777" w:rsidR="001C13B0" w:rsidRPr="00471CBA" w:rsidRDefault="001C13B0" w:rsidP="003D1625">
            <w:pPr>
              <w:jc w:val="both"/>
              <w:rPr>
                <w:b/>
                <w:bCs/>
                <w:color w:val="000000"/>
                <w:szCs w:val="20"/>
              </w:rPr>
            </w:pPr>
            <w:r w:rsidRPr="00471CBA">
              <w:rPr>
                <w:b/>
                <w:bCs/>
                <w:color w:val="000000"/>
                <w:szCs w:val="20"/>
              </w:rPr>
              <w:t>Toplam</w:t>
            </w:r>
          </w:p>
        </w:tc>
        <w:tc>
          <w:tcPr>
            <w:tcW w:w="1392" w:type="pct"/>
            <w:tcBorders>
              <w:top w:val="nil"/>
              <w:left w:val="nil"/>
              <w:bottom w:val="single" w:sz="12" w:space="0" w:color="auto"/>
              <w:right w:val="nil"/>
            </w:tcBorders>
            <w:noWrap/>
            <w:vAlign w:val="center"/>
            <w:hideMark/>
          </w:tcPr>
          <w:p w14:paraId="69F9168F" w14:textId="77777777" w:rsidR="001C13B0" w:rsidRPr="00471CBA" w:rsidRDefault="001C13B0" w:rsidP="003D1625">
            <w:pPr>
              <w:jc w:val="right"/>
              <w:rPr>
                <w:b/>
                <w:bCs/>
                <w:color w:val="000000"/>
                <w:szCs w:val="20"/>
              </w:rPr>
            </w:pPr>
            <w:r w:rsidRPr="00471CBA">
              <w:rPr>
                <w:b/>
                <w:bCs/>
                <w:color w:val="000000"/>
                <w:szCs w:val="20"/>
              </w:rPr>
              <w:t>7.335.714</w:t>
            </w:r>
          </w:p>
        </w:tc>
      </w:tr>
    </w:tbl>
    <w:p w14:paraId="62BEB2E8" w14:textId="60220F86" w:rsidR="006025D3" w:rsidRDefault="006025D3" w:rsidP="009F6E11">
      <w:pPr>
        <w:widowControl w:val="0"/>
        <w:spacing w:line="228" w:lineRule="auto"/>
        <w:rPr>
          <w:b/>
          <w:iCs/>
          <w:szCs w:val="20"/>
        </w:rPr>
      </w:pPr>
    </w:p>
    <w:p w14:paraId="15BA6E09" w14:textId="77777777" w:rsidR="006025D3" w:rsidRDefault="006025D3">
      <w:pPr>
        <w:rPr>
          <w:b/>
          <w:iCs/>
          <w:szCs w:val="20"/>
        </w:rPr>
      </w:pPr>
      <w:r>
        <w:rPr>
          <w:b/>
          <w:iCs/>
          <w:szCs w:val="20"/>
        </w:rPr>
        <w:br w:type="page"/>
      </w:r>
    </w:p>
    <w:p w14:paraId="2C1C0764" w14:textId="77777777" w:rsidR="006025D3" w:rsidRPr="00471CBA" w:rsidRDefault="006025D3" w:rsidP="006025D3">
      <w:pPr>
        <w:widowControl w:val="0"/>
        <w:spacing w:line="228" w:lineRule="auto"/>
        <w:jc w:val="both"/>
        <w:rPr>
          <w:b/>
          <w:szCs w:val="20"/>
        </w:rPr>
      </w:pPr>
      <w:r w:rsidRPr="00471CBA">
        <w:rPr>
          <w:b/>
          <w:szCs w:val="20"/>
        </w:rPr>
        <w:t>KONSOLİDE OLMAYAN FİNANSAL TABLOLARA İLİŞKİN AÇIKLAMA VE DİPNOTLAR (Devamı)</w:t>
      </w:r>
    </w:p>
    <w:p w14:paraId="4A54630A" w14:textId="77777777" w:rsidR="006025D3" w:rsidRPr="00471CBA" w:rsidRDefault="006025D3" w:rsidP="006025D3">
      <w:pPr>
        <w:widowControl w:val="0"/>
        <w:spacing w:line="228" w:lineRule="auto"/>
        <w:ind w:left="-14" w:hanging="504"/>
        <w:jc w:val="both"/>
        <w:rPr>
          <w:b/>
          <w:szCs w:val="20"/>
        </w:rPr>
      </w:pPr>
    </w:p>
    <w:p w14:paraId="22685D10" w14:textId="77777777" w:rsidR="006025D3" w:rsidRPr="00471CBA" w:rsidRDefault="006025D3" w:rsidP="006025D3">
      <w:pPr>
        <w:widowControl w:val="0"/>
        <w:spacing w:line="228" w:lineRule="auto"/>
        <w:ind w:left="851" w:hanging="851"/>
        <w:jc w:val="both"/>
        <w:rPr>
          <w:b/>
          <w:szCs w:val="20"/>
        </w:rPr>
      </w:pPr>
      <w:r w:rsidRPr="00471CBA">
        <w:rPr>
          <w:b/>
          <w:szCs w:val="20"/>
        </w:rPr>
        <w:t xml:space="preserve">III. </w:t>
      </w:r>
      <w:r w:rsidRPr="00471CBA">
        <w:rPr>
          <w:b/>
          <w:szCs w:val="20"/>
        </w:rPr>
        <w:tab/>
        <w:t>NAZIM HESAPLARA İLİŞKİN AÇIKLAMA VE DİPNOTLAR (Devamı)</w:t>
      </w:r>
    </w:p>
    <w:p w14:paraId="18C6EDE8" w14:textId="77777777" w:rsidR="006025D3" w:rsidRPr="00471CBA" w:rsidRDefault="006025D3" w:rsidP="006025D3">
      <w:pPr>
        <w:widowControl w:val="0"/>
        <w:spacing w:line="228" w:lineRule="auto"/>
        <w:ind w:left="-14" w:hanging="504"/>
        <w:jc w:val="both"/>
        <w:rPr>
          <w:b/>
          <w:szCs w:val="20"/>
        </w:rPr>
      </w:pPr>
    </w:p>
    <w:p w14:paraId="22A18E83" w14:textId="77777777" w:rsidR="006025D3" w:rsidRPr="00471CBA" w:rsidRDefault="006025D3" w:rsidP="008459A9">
      <w:pPr>
        <w:pStyle w:val="ListeParagraf"/>
        <w:widowControl w:val="0"/>
        <w:numPr>
          <w:ilvl w:val="0"/>
          <w:numId w:val="56"/>
        </w:numPr>
        <w:spacing w:line="228" w:lineRule="auto"/>
        <w:ind w:left="851" w:hanging="851"/>
        <w:jc w:val="both"/>
        <w:rPr>
          <w:b/>
          <w:szCs w:val="20"/>
        </w:rPr>
      </w:pPr>
      <w:r w:rsidRPr="00471CBA">
        <w:rPr>
          <w:b/>
          <w:szCs w:val="20"/>
        </w:rPr>
        <w:t>Nazım hesaplarda yer alan yükümlülüklere ilişkin açıklama: (Devamı)</w:t>
      </w:r>
    </w:p>
    <w:p w14:paraId="41AB3521" w14:textId="77777777" w:rsidR="001C13B0" w:rsidRPr="00471CBA" w:rsidRDefault="001C13B0" w:rsidP="009F6E11">
      <w:pPr>
        <w:widowControl w:val="0"/>
        <w:spacing w:line="228" w:lineRule="auto"/>
        <w:rPr>
          <w:b/>
          <w:iCs/>
          <w:szCs w:val="20"/>
        </w:rPr>
      </w:pPr>
    </w:p>
    <w:p w14:paraId="0D02C380" w14:textId="77777777" w:rsidR="002432BC" w:rsidRPr="00471CBA" w:rsidRDefault="002432BC" w:rsidP="002432BC">
      <w:pPr>
        <w:pStyle w:val="GvdeMetniGirintisi"/>
        <w:widowControl w:val="0"/>
        <w:spacing w:after="120"/>
        <w:ind w:left="1276" w:right="206" w:hanging="425"/>
        <w:rPr>
          <w:b/>
          <w:iCs/>
          <w:szCs w:val="20"/>
        </w:rPr>
      </w:pPr>
      <w:bookmarkStart w:id="140" w:name="_Hlk221782301"/>
      <w:bookmarkStart w:id="141" w:name="_Hlk190090640"/>
      <w:r w:rsidRPr="00471CBA">
        <w:rPr>
          <w:b/>
          <w:iCs/>
          <w:szCs w:val="20"/>
        </w:rPr>
        <w:t>c.2.</w:t>
      </w:r>
      <w:r w:rsidRPr="00471CBA">
        <w:rPr>
          <w:b/>
          <w:iCs/>
          <w:szCs w:val="20"/>
        </w:rPr>
        <w:tab/>
      </w:r>
      <w:proofErr w:type="spellStart"/>
      <w:r w:rsidRPr="00471CBA">
        <w:rPr>
          <w:b/>
          <w:iCs/>
          <w:szCs w:val="20"/>
        </w:rPr>
        <w:t>Gayrinakdi</w:t>
      </w:r>
      <w:proofErr w:type="spellEnd"/>
      <w:r w:rsidRPr="00471CBA">
        <w:rPr>
          <w:b/>
          <w:iCs/>
          <w:szCs w:val="20"/>
        </w:rPr>
        <w:t xml:space="preserve"> krediler hesabı içinde sektör bazında risk yoğunlaşması hakkında bilgi:</w:t>
      </w:r>
    </w:p>
    <w:tbl>
      <w:tblPr>
        <w:tblW w:w="9470" w:type="dxa"/>
        <w:tblInd w:w="28" w:type="dxa"/>
        <w:tblLayout w:type="fixed"/>
        <w:tblCellMar>
          <w:left w:w="30" w:type="dxa"/>
          <w:right w:w="30" w:type="dxa"/>
        </w:tblCellMar>
        <w:tblLook w:val="0000" w:firstRow="0" w:lastRow="0" w:firstColumn="0" w:lastColumn="0" w:noHBand="0" w:noVBand="0"/>
      </w:tblPr>
      <w:tblGrid>
        <w:gridCol w:w="5795"/>
        <w:gridCol w:w="941"/>
        <w:gridCol w:w="942"/>
        <w:gridCol w:w="941"/>
        <w:gridCol w:w="851"/>
      </w:tblGrid>
      <w:tr w:rsidR="002432BC" w:rsidRPr="00471CBA" w14:paraId="6CF26A46" w14:textId="77777777" w:rsidTr="00B0049C">
        <w:trPr>
          <w:trHeight w:val="20"/>
        </w:trPr>
        <w:tc>
          <w:tcPr>
            <w:tcW w:w="5795" w:type="dxa"/>
            <w:vMerge w:val="restart"/>
            <w:tcBorders>
              <w:top w:val="single" w:sz="4" w:space="0" w:color="auto"/>
              <w:bottom w:val="single" w:sz="4" w:space="0" w:color="auto"/>
            </w:tcBorders>
            <w:vAlign w:val="center"/>
          </w:tcPr>
          <w:p w14:paraId="3E12BDB2" w14:textId="77777777" w:rsidR="002432BC" w:rsidRPr="00471CBA" w:rsidRDefault="002432BC" w:rsidP="00B0049C">
            <w:pPr>
              <w:pStyle w:val="SonNotMetni"/>
              <w:jc w:val="center"/>
              <w:rPr>
                <w:b/>
                <w:snapToGrid w:val="0"/>
                <w:sz w:val="18"/>
                <w:szCs w:val="18"/>
              </w:rPr>
            </w:pPr>
          </w:p>
        </w:tc>
        <w:tc>
          <w:tcPr>
            <w:tcW w:w="3675" w:type="dxa"/>
            <w:gridSpan w:val="4"/>
            <w:tcBorders>
              <w:top w:val="single" w:sz="4" w:space="0" w:color="auto"/>
              <w:bottom w:val="single" w:sz="4" w:space="0" w:color="auto"/>
            </w:tcBorders>
            <w:vAlign w:val="bottom"/>
          </w:tcPr>
          <w:p w14:paraId="70043858" w14:textId="4AE3C963" w:rsidR="002432BC" w:rsidRPr="00471CBA" w:rsidRDefault="002432BC" w:rsidP="00B0049C">
            <w:pPr>
              <w:jc w:val="center"/>
              <w:rPr>
                <w:b/>
                <w:snapToGrid w:val="0"/>
                <w:sz w:val="18"/>
                <w:szCs w:val="18"/>
              </w:rPr>
            </w:pPr>
            <w:r w:rsidRPr="00471CBA">
              <w:rPr>
                <w:b/>
                <w:bCs/>
                <w:color w:val="000000"/>
                <w:sz w:val="18"/>
                <w:szCs w:val="18"/>
              </w:rPr>
              <w:t>31 Aralık 202</w:t>
            </w:r>
            <w:r w:rsidR="0052668F" w:rsidRPr="00471CBA">
              <w:rPr>
                <w:b/>
                <w:bCs/>
                <w:color w:val="000000"/>
                <w:sz w:val="18"/>
                <w:szCs w:val="18"/>
              </w:rPr>
              <w:t>5</w:t>
            </w:r>
          </w:p>
        </w:tc>
      </w:tr>
      <w:tr w:rsidR="002432BC" w:rsidRPr="00471CBA" w14:paraId="5E4B6E48" w14:textId="77777777" w:rsidTr="00B0049C">
        <w:trPr>
          <w:trHeight w:val="20"/>
        </w:trPr>
        <w:tc>
          <w:tcPr>
            <w:tcW w:w="5795" w:type="dxa"/>
            <w:vMerge/>
            <w:tcBorders>
              <w:top w:val="single" w:sz="4" w:space="0" w:color="auto"/>
              <w:bottom w:val="single" w:sz="4" w:space="0" w:color="auto"/>
            </w:tcBorders>
            <w:vAlign w:val="center"/>
          </w:tcPr>
          <w:p w14:paraId="2AE3E542" w14:textId="77777777" w:rsidR="002432BC" w:rsidRPr="00471CBA" w:rsidRDefault="002432BC" w:rsidP="00B0049C">
            <w:pPr>
              <w:rPr>
                <w:b/>
                <w:snapToGrid w:val="0"/>
                <w:sz w:val="18"/>
                <w:szCs w:val="18"/>
              </w:rPr>
            </w:pPr>
          </w:p>
        </w:tc>
        <w:tc>
          <w:tcPr>
            <w:tcW w:w="941" w:type="dxa"/>
            <w:tcBorders>
              <w:top w:val="single" w:sz="4" w:space="0" w:color="auto"/>
              <w:bottom w:val="single" w:sz="4" w:space="0" w:color="auto"/>
            </w:tcBorders>
            <w:vAlign w:val="bottom"/>
          </w:tcPr>
          <w:p w14:paraId="03DEE920" w14:textId="77777777" w:rsidR="002432BC" w:rsidRPr="00471CBA" w:rsidRDefault="002432BC" w:rsidP="00B0049C">
            <w:pPr>
              <w:ind w:right="33"/>
              <w:jc w:val="right"/>
              <w:rPr>
                <w:b/>
                <w:snapToGrid w:val="0"/>
                <w:sz w:val="18"/>
                <w:szCs w:val="18"/>
              </w:rPr>
            </w:pPr>
            <w:r w:rsidRPr="00471CBA">
              <w:rPr>
                <w:b/>
                <w:snapToGrid w:val="0"/>
                <w:sz w:val="18"/>
                <w:szCs w:val="18"/>
              </w:rPr>
              <w:t>TP</w:t>
            </w:r>
          </w:p>
        </w:tc>
        <w:tc>
          <w:tcPr>
            <w:tcW w:w="942" w:type="dxa"/>
            <w:tcBorders>
              <w:top w:val="single" w:sz="4" w:space="0" w:color="auto"/>
              <w:bottom w:val="single" w:sz="4" w:space="0" w:color="auto"/>
            </w:tcBorders>
            <w:vAlign w:val="bottom"/>
          </w:tcPr>
          <w:p w14:paraId="19A2236E" w14:textId="77777777" w:rsidR="002432BC" w:rsidRPr="00471CBA" w:rsidRDefault="002432BC" w:rsidP="00B0049C">
            <w:pPr>
              <w:ind w:right="33"/>
              <w:jc w:val="right"/>
              <w:rPr>
                <w:b/>
                <w:snapToGrid w:val="0"/>
                <w:sz w:val="18"/>
                <w:szCs w:val="18"/>
              </w:rPr>
            </w:pPr>
            <w:r w:rsidRPr="00471CBA">
              <w:rPr>
                <w:b/>
                <w:snapToGrid w:val="0"/>
                <w:sz w:val="18"/>
                <w:szCs w:val="18"/>
              </w:rPr>
              <w:t>(%)</w:t>
            </w:r>
          </w:p>
        </w:tc>
        <w:tc>
          <w:tcPr>
            <w:tcW w:w="941" w:type="dxa"/>
            <w:tcBorders>
              <w:top w:val="single" w:sz="4" w:space="0" w:color="auto"/>
              <w:bottom w:val="single" w:sz="4" w:space="0" w:color="auto"/>
            </w:tcBorders>
            <w:vAlign w:val="bottom"/>
          </w:tcPr>
          <w:p w14:paraId="7C35EC47" w14:textId="77777777" w:rsidR="002432BC" w:rsidRPr="00471CBA" w:rsidRDefault="002432BC" w:rsidP="00B0049C">
            <w:pPr>
              <w:ind w:right="33"/>
              <w:jc w:val="right"/>
              <w:rPr>
                <w:b/>
                <w:snapToGrid w:val="0"/>
                <w:sz w:val="18"/>
                <w:szCs w:val="18"/>
              </w:rPr>
            </w:pPr>
            <w:r w:rsidRPr="00471CBA">
              <w:rPr>
                <w:b/>
                <w:snapToGrid w:val="0"/>
                <w:sz w:val="18"/>
                <w:szCs w:val="18"/>
              </w:rPr>
              <w:t>YP</w:t>
            </w:r>
          </w:p>
        </w:tc>
        <w:tc>
          <w:tcPr>
            <w:tcW w:w="851" w:type="dxa"/>
            <w:tcBorders>
              <w:top w:val="single" w:sz="4" w:space="0" w:color="auto"/>
              <w:bottom w:val="single" w:sz="4" w:space="0" w:color="auto"/>
            </w:tcBorders>
            <w:vAlign w:val="bottom"/>
          </w:tcPr>
          <w:p w14:paraId="3BB65E46" w14:textId="77777777" w:rsidR="002432BC" w:rsidRPr="00471CBA" w:rsidRDefault="002432BC" w:rsidP="00B0049C">
            <w:pPr>
              <w:ind w:right="33"/>
              <w:jc w:val="right"/>
              <w:rPr>
                <w:b/>
                <w:snapToGrid w:val="0"/>
                <w:sz w:val="18"/>
                <w:szCs w:val="18"/>
              </w:rPr>
            </w:pPr>
            <w:r w:rsidRPr="00471CBA">
              <w:rPr>
                <w:b/>
                <w:snapToGrid w:val="0"/>
                <w:sz w:val="18"/>
                <w:szCs w:val="18"/>
              </w:rPr>
              <w:t>(%)</w:t>
            </w:r>
          </w:p>
        </w:tc>
      </w:tr>
      <w:tr w:rsidR="002432BC" w:rsidRPr="00471CBA" w14:paraId="1F9D3518" w14:textId="77777777" w:rsidTr="00B0049C">
        <w:trPr>
          <w:trHeight w:val="20"/>
        </w:trPr>
        <w:tc>
          <w:tcPr>
            <w:tcW w:w="5795" w:type="dxa"/>
            <w:tcBorders>
              <w:top w:val="single" w:sz="4" w:space="0" w:color="auto"/>
            </w:tcBorders>
            <w:vAlign w:val="center"/>
          </w:tcPr>
          <w:p w14:paraId="0ED2AB9B" w14:textId="77777777" w:rsidR="002432BC" w:rsidRPr="00471CBA" w:rsidRDefault="002432BC" w:rsidP="00B0049C">
            <w:pPr>
              <w:rPr>
                <w:snapToGrid w:val="0"/>
                <w:sz w:val="18"/>
                <w:szCs w:val="18"/>
              </w:rPr>
            </w:pPr>
          </w:p>
        </w:tc>
        <w:tc>
          <w:tcPr>
            <w:tcW w:w="941" w:type="dxa"/>
            <w:tcBorders>
              <w:top w:val="single" w:sz="4" w:space="0" w:color="auto"/>
            </w:tcBorders>
            <w:vAlign w:val="bottom"/>
          </w:tcPr>
          <w:p w14:paraId="430E1EEB" w14:textId="77777777" w:rsidR="002432BC" w:rsidRPr="00471CBA" w:rsidRDefault="002432BC" w:rsidP="00B0049C">
            <w:pPr>
              <w:ind w:right="33"/>
              <w:jc w:val="right"/>
              <w:rPr>
                <w:snapToGrid w:val="0"/>
                <w:sz w:val="18"/>
                <w:szCs w:val="18"/>
              </w:rPr>
            </w:pPr>
          </w:p>
        </w:tc>
        <w:tc>
          <w:tcPr>
            <w:tcW w:w="942" w:type="dxa"/>
            <w:tcBorders>
              <w:top w:val="single" w:sz="4" w:space="0" w:color="auto"/>
            </w:tcBorders>
            <w:vAlign w:val="bottom"/>
          </w:tcPr>
          <w:p w14:paraId="0FC4ED66" w14:textId="77777777" w:rsidR="002432BC" w:rsidRPr="00471CBA" w:rsidRDefault="002432BC" w:rsidP="00B0049C">
            <w:pPr>
              <w:ind w:right="33"/>
              <w:jc w:val="right"/>
              <w:rPr>
                <w:snapToGrid w:val="0"/>
                <w:sz w:val="18"/>
                <w:szCs w:val="18"/>
              </w:rPr>
            </w:pPr>
          </w:p>
        </w:tc>
        <w:tc>
          <w:tcPr>
            <w:tcW w:w="941" w:type="dxa"/>
            <w:tcBorders>
              <w:top w:val="single" w:sz="4" w:space="0" w:color="auto"/>
            </w:tcBorders>
            <w:vAlign w:val="bottom"/>
          </w:tcPr>
          <w:p w14:paraId="10D4153C" w14:textId="77777777" w:rsidR="002432BC" w:rsidRPr="00471CBA" w:rsidRDefault="002432BC" w:rsidP="00B0049C">
            <w:pPr>
              <w:ind w:right="33"/>
              <w:jc w:val="right"/>
              <w:rPr>
                <w:snapToGrid w:val="0"/>
                <w:sz w:val="18"/>
                <w:szCs w:val="18"/>
              </w:rPr>
            </w:pPr>
          </w:p>
        </w:tc>
        <w:tc>
          <w:tcPr>
            <w:tcW w:w="851" w:type="dxa"/>
            <w:tcBorders>
              <w:top w:val="single" w:sz="4" w:space="0" w:color="auto"/>
            </w:tcBorders>
            <w:vAlign w:val="bottom"/>
          </w:tcPr>
          <w:p w14:paraId="333F5499" w14:textId="77777777" w:rsidR="002432BC" w:rsidRPr="00471CBA" w:rsidRDefault="002432BC" w:rsidP="00B0049C">
            <w:pPr>
              <w:ind w:right="33"/>
              <w:jc w:val="right"/>
              <w:rPr>
                <w:snapToGrid w:val="0"/>
                <w:sz w:val="18"/>
                <w:szCs w:val="18"/>
              </w:rPr>
            </w:pPr>
          </w:p>
        </w:tc>
      </w:tr>
      <w:tr w:rsidR="00732624" w:rsidRPr="00471CBA" w14:paraId="0BB7C7F8" w14:textId="77777777" w:rsidTr="00B0049C">
        <w:trPr>
          <w:trHeight w:val="20"/>
        </w:trPr>
        <w:tc>
          <w:tcPr>
            <w:tcW w:w="5795" w:type="dxa"/>
            <w:vAlign w:val="center"/>
          </w:tcPr>
          <w:p w14:paraId="6D0AA671" w14:textId="77777777" w:rsidR="00732624" w:rsidRPr="00471CBA" w:rsidRDefault="00732624" w:rsidP="00732624">
            <w:pPr>
              <w:rPr>
                <w:b/>
                <w:snapToGrid w:val="0"/>
                <w:sz w:val="18"/>
                <w:szCs w:val="18"/>
              </w:rPr>
            </w:pPr>
            <w:r w:rsidRPr="00471CBA">
              <w:rPr>
                <w:b/>
                <w:snapToGrid w:val="0"/>
                <w:sz w:val="18"/>
                <w:szCs w:val="18"/>
              </w:rPr>
              <w:t>Tarım</w:t>
            </w:r>
          </w:p>
        </w:tc>
        <w:tc>
          <w:tcPr>
            <w:tcW w:w="941" w:type="dxa"/>
          </w:tcPr>
          <w:p w14:paraId="4CA03D41" w14:textId="2C6DA528" w:rsidR="00732624" w:rsidRPr="00471CBA" w:rsidRDefault="00732624" w:rsidP="00732624">
            <w:pPr>
              <w:ind w:right="40"/>
              <w:jc w:val="right"/>
              <w:rPr>
                <w:b/>
                <w:sz w:val="18"/>
                <w:szCs w:val="18"/>
              </w:rPr>
            </w:pPr>
            <w:r w:rsidRPr="00471CBA">
              <w:rPr>
                <w:b/>
                <w:sz w:val="18"/>
                <w:szCs w:val="18"/>
              </w:rPr>
              <w:t>55.358</w:t>
            </w:r>
          </w:p>
        </w:tc>
        <w:tc>
          <w:tcPr>
            <w:tcW w:w="942" w:type="dxa"/>
          </w:tcPr>
          <w:p w14:paraId="3A5AB85C" w14:textId="2CD13459" w:rsidR="00732624" w:rsidRPr="00471CBA" w:rsidRDefault="00732624" w:rsidP="00732624">
            <w:pPr>
              <w:ind w:right="40"/>
              <w:jc w:val="right"/>
              <w:rPr>
                <w:b/>
                <w:sz w:val="18"/>
                <w:szCs w:val="18"/>
              </w:rPr>
            </w:pPr>
            <w:r w:rsidRPr="00471CBA">
              <w:rPr>
                <w:b/>
                <w:sz w:val="18"/>
                <w:szCs w:val="18"/>
              </w:rPr>
              <w:t>0,32</w:t>
            </w:r>
          </w:p>
        </w:tc>
        <w:tc>
          <w:tcPr>
            <w:tcW w:w="941" w:type="dxa"/>
          </w:tcPr>
          <w:p w14:paraId="455F81C8" w14:textId="461A90A1" w:rsidR="00732624" w:rsidRPr="00471CBA" w:rsidRDefault="00732624" w:rsidP="00732624">
            <w:pPr>
              <w:ind w:right="40"/>
              <w:jc w:val="right"/>
              <w:rPr>
                <w:b/>
                <w:sz w:val="18"/>
                <w:szCs w:val="18"/>
              </w:rPr>
            </w:pPr>
            <w:r w:rsidRPr="00471CBA">
              <w:rPr>
                <w:b/>
                <w:sz w:val="18"/>
                <w:szCs w:val="18"/>
              </w:rPr>
              <w:t>7.781</w:t>
            </w:r>
          </w:p>
        </w:tc>
        <w:tc>
          <w:tcPr>
            <w:tcW w:w="851" w:type="dxa"/>
          </w:tcPr>
          <w:p w14:paraId="7C029FC2" w14:textId="0E75ABAB" w:rsidR="00732624" w:rsidRPr="00471CBA" w:rsidRDefault="00732624" w:rsidP="00732624">
            <w:pPr>
              <w:ind w:right="40"/>
              <w:jc w:val="right"/>
              <w:rPr>
                <w:b/>
                <w:sz w:val="18"/>
                <w:szCs w:val="18"/>
              </w:rPr>
            </w:pPr>
            <w:r w:rsidRPr="00471CBA">
              <w:rPr>
                <w:b/>
                <w:sz w:val="18"/>
                <w:szCs w:val="18"/>
              </w:rPr>
              <w:t>0,09</w:t>
            </w:r>
          </w:p>
        </w:tc>
      </w:tr>
      <w:tr w:rsidR="00732624" w:rsidRPr="00471CBA" w14:paraId="5DF4E9F8" w14:textId="77777777" w:rsidTr="00B0049C">
        <w:trPr>
          <w:trHeight w:val="20"/>
        </w:trPr>
        <w:tc>
          <w:tcPr>
            <w:tcW w:w="5795" w:type="dxa"/>
            <w:vAlign w:val="center"/>
          </w:tcPr>
          <w:p w14:paraId="247F3D8D" w14:textId="77777777" w:rsidR="00732624" w:rsidRPr="00471CBA" w:rsidRDefault="00732624" w:rsidP="00732624">
            <w:pPr>
              <w:ind w:firstLine="220"/>
              <w:rPr>
                <w:snapToGrid w:val="0"/>
                <w:sz w:val="18"/>
                <w:szCs w:val="18"/>
              </w:rPr>
            </w:pPr>
            <w:r w:rsidRPr="00471CBA">
              <w:rPr>
                <w:snapToGrid w:val="0"/>
                <w:sz w:val="18"/>
                <w:szCs w:val="18"/>
              </w:rPr>
              <w:t xml:space="preserve">Çiftçilik ve Hayvancılık </w:t>
            </w:r>
          </w:p>
        </w:tc>
        <w:tc>
          <w:tcPr>
            <w:tcW w:w="941" w:type="dxa"/>
          </w:tcPr>
          <w:p w14:paraId="40691680" w14:textId="7AAD3F17" w:rsidR="00732624" w:rsidRPr="00471CBA" w:rsidRDefault="00732624" w:rsidP="00732624">
            <w:pPr>
              <w:ind w:right="40"/>
              <w:jc w:val="right"/>
              <w:rPr>
                <w:bCs/>
                <w:sz w:val="18"/>
                <w:szCs w:val="18"/>
              </w:rPr>
            </w:pPr>
            <w:r w:rsidRPr="00471CBA">
              <w:rPr>
                <w:sz w:val="18"/>
                <w:szCs w:val="18"/>
              </w:rPr>
              <w:t>55.358</w:t>
            </w:r>
          </w:p>
        </w:tc>
        <w:tc>
          <w:tcPr>
            <w:tcW w:w="942" w:type="dxa"/>
          </w:tcPr>
          <w:p w14:paraId="1A9102E5" w14:textId="1B6322C5" w:rsidR="00732624" w:rsidRPr="00471CBA" w:rsidRDefault="00732624" w:rsidP="00732624">
            <w:pPr>
              <w:ind w:right="40"/>
              <w:jc w:val="right"/>
              <w:rPr>
                <w:bCs/>
                <w:sz w:val="18"/>
                <w:szCs w:val="18"/>
              </w:rPr>
            </w:pPr>
            <w:r w:rsidRPr="00471CBA">
              <w:rPr>
                <w:sz w:val="18"/>
                <w:szCs w:val="18"/>
              </w:rPr>
              <w:t>0,32</w:t>
            </w:r>
          </w:p>
        </w:tc>
        <w:tc>
          <w:tcPr>
            <w:tcW w:w="941" w:type="dxa"/>
          </w:tcPr>
          <w:p w14:paraId="4828CF3A" w14:textId="4C27060A" w:rsidR="00732624" w:rsidRPr="00471CBA" w:rsidRDefault="00732624" w:rsidP="00732624">
            <w:pPr>
              <w:ind w:right="40"/>
              <w:jc w:val="right"/>
              <w:rPr>
                <w:bCs/>
                <w:sz w:val="18"/>
                <w:szCs w:val="18"/>
              </w:rPr>
            </w:pPr>
            <w:r w:rsidRPr="00471CBA">
              <w:rPr>
                <w:sz w:val="18"/>
                <w:szCs w:val="18"/>
              </w:rPr>
              <w:t>7.781</w:t>
            </w:r>
          </w:p>
        </w:tc>
        <w:tc>
          <w:tcPr>
            <w:tcW w:w="851" w:type="dxa"/>
          </w:tcPr>
          <w:p w14:paraId="60A2BB36" w14:textId="2540D742" w:rsidR="00732624" w:rsidRPr="00471CBA" w:rsidRDefault="00732624" w:rsidP="00732624">
            <w:pPr>
              <w:ind w:right="40"/>
              <w:jc w:val="right"/>
              <w:rPr>
                <w:bCs/>
                <w:sz w:val="18"/>
                <w:szCs w:val="18"/>
              </w:rPr>
            </w:pPr>
            <w:r w:rsidRPr="00471CBA">
              <w:rPr>
                <w:sz w:val="18"/>
                <w:szCs w:val="18"/>
              </w:rPr>
              <w:t>0,09</w:t>
            </w:r>
          </w:p>
        </w:tc>
      </w:tr>
      <w:tr w:rsidR="00732624" w:rsidRPr="00471CBA" w14:paraId="3730574A" w14:textId="77777777" w:rsidTr="00B0049C">
        <w:trPr>
          <w:trHeight w:val="20"/>
        </w:trPr>
        <w:tc>
          <w:tcPr>
            <w:tcW w:w="5795" w:type="dxa"/>
            <w:vAlign w:val="center"/>
          </w:tcPr>
          <w:p w14:paraId="17C0C9C1" w14:textId="77777777" w:rsidR="00732624" w:rsidRPr="00471CBA" w:rsidRDefault="00732624" w:rsidP="00732624">
            <w:pPr>
              <w:ind w:firstLine="220"/>
              <w:rPr>
                <w:snapToGrid w:val="0"/>
                <w:sz w:val="18"/>
                <w:szCs w:val="18"/>
              </w:rPr>
            </w:pPr>
            <w:r w:rsidRPr="00471CBA">
              <w:rPr>
                <w:snapToGrid w:val="0"/>
                <w:sz w:val="18"/>
                <w:szCs w:val="18"/>
              </w:rPr>
              <w:t>Ormancılık</w:t>
            </w:r>
          </w:p>
        </w:tc>
        <w:tc>
          <w:tcPr>
            <w:tcW w:w="941" w:type="dxa"/>
          </w:tcPr>
          <w:p w14:paraId="5A08B1DA" w14:textId="595A4485" w:rsidR="00732624" w:rsidRPr="00471CBA" w:rsidRDefault="00732624" w:rsidP="00732624">
            <w:pPr>
              <w:ind w:right="40"/>
              <w:jc w:val="right"/>
              <w:rPr>
                <w:bCs/>
                <w:sz w:val="18"/>
                <w:szCs w:val="18"/>
              </w:rPr>
            </w:pPr>
            <w:r w:rsidRPr="00471CBA">
              <w:rPr>
                <w:sz w:val="18"/>
                <w:szCs w:val="18"/>
              </w:rPr>
              <w:t>-</w:t>
            </w:r>
          </w:p>
        </w:tc>
        <w:tc>
          <w:tcPr>
            <w:tcW w:w="942" w:type="dxa"/>
          </w:tcPr>
          <w:p w14:paraId="1A9BCFA4" w14:textId="5E0C21B1" w:rsidR="00732624" w:rsidRPr="00471CBA" w:rsidRDefault="00732624" w:rsidP="00732624">
            <w:pPr>
              <w:ind w:right="40"/>
              <w:jc w:val="right"/>
              <w:rPr>
                <w:bCs/>
                <w:sz w:val="18"/>
                <w:szCs w:val="18"/>
              </w:rPr>
            </w:pPr>
            <w:r w:rsidRPr="00471CBA">
              <w:rPr>
                <w:sz w:val="18"/>
                <w:szCs w:val="18"/>
              </w:rPr>
              <w:t>0,00</w:t>
            </w:r>
          </w:p>
        </w:tc>
        <w:tc>
          <w:tcPr>
            <w:tcW w:w="941" w:type="dxa"/>
          </w:tcPr>
          <w:p w14:paraId="66797914" w14:textId="3B5501D2" w:rsidR="00732624" w:rsidRPr="00471CBA" w:rsidRDefault="00732624" w:rsidP="00732624">
            <w:pPr>
              <w:ind w:right="40"/>
              <w:jc w:val="right"/>
              <w:rPr>
                <w:bCs/>
                <w:sz w:val="18"/>
                <w:szCs w:val="18"/>
              </w:rPr>
            </w:pPr>
            <w:r w:rsidRPr="00471CBA">
              <w:rPr>
                <w:sz w:val="18"/>
                <w:szCs w:val="18"/>
              </w:rPr>
              <w:t>-</w:t>
            </w:r>
          </w:p>
        </w:tc>
        <w:tc>
          <w:tcPr>
            <w:tcW w:w="851" w:type="dxa"/>
          </w:tcPr>
          <w:p w14:paraId="5D26DE70" w14:textId="23232A10" w:rsidR="00732624" w:rsidRPr="00471CBA" w:rsidRDefault="00732624" w:rsidP="00732624">
            <w:pPr>
              <w:ind w:right="40"/>
              <w:jc w:val="right"/>
              <w:rPr>
                <w:bCs/>
                <w:sz w:val="18"/>
                <w:szCs w:val="18"/>
              </w:rPr>
            </w:pPr>
            <w:r w:rsidRPr="00471CBA">
              <w:rPr>
                <w:sz w:val="18"/>
                <w:szCs w:val="18"/>
              </w:rPr>
              <w:t>0,00</w:t>
            </w:r>
          </w:p>
        </w:tc>
      </w:tr>
      <w:tr w:rsidR="00732624" w:rsidRPr="00471CBA" w14:paraId="31D915C0" w14:textId="77777777" w:rsidTr="00B0049C">
        <w:trPr>
          <w:trHeight w:val="20"/>
        </w:trPr>
        <w:tc>
          <w:tcPr>
            <w:tcW w:w="5795" w:type="dxa"/>
            <w:vAlign w:val="center"/>
          </w:tcPr>
          <w:p w14:paraId="54917B3D" w14:textId="77777777" w:rsidR="00732624" w:rsidRPr="00471CBA" w:rsidRDefault="00732624" w:rsidP="00732624">
            <w:pPr>
              <w:ind w:firstLine="220"/>
              <w:rPr>
                <w:snapToGrid w:val="0"/>
                <w:sz w:val="18"/>
                <w:szCs w:val="18"/>
              </w:rPr>
            </w:pPr>
            <w:r w:rsidRPr="00471CBA">
              <w:rPr>
                <w:snapToGrid w:val="0"/>
                <w:sz w:val="18"/>
                <w:szCs w:val="18"/>
              </w:rPr>
              <w:t>Balıkçılık</w:t>
            </w:r>
          </w:p>
        </w:tc>
        <w:tc>
          <w:tcPr>
            <w:tcW w:w="941" w:type="dxa"/>
          </w:tcPr>
          <w:p w14:paraId="6C31A654" w14:textId="107D70D5" w:rsidR="00732624" w:rsidRPr="00471CBA" w:rsidRDefault="00732624" w:rsidP="00732624">
            <w:pPr>
              <w:ind w:right="40"/>
              <w:jc w:val="right"/>
              <w:rPr>
                <w:bCs/>
                <w:sz w:val="18"/>
                <w:szCs w:val="18"/>
              </w:rPr>
            </w:pPr>
            <w:r w:rsidRPr="00471CBA">
              <w:rPr>
                <w:sz w:val="18"/>
                <w:szCs w:val="18"/>
              </w:rPr>
              <w:t>-</w:t>
            </w:r>
          </w:p>
        </w:tc>
        <w:tc>
          <w:tcPr>
            <w:tcW w:w="942" w:type="dxa"/>
          </w:tcPr>
          <w:p w14:paraId="47C6D62F" w14:textId="3A541E97" w:rsidR="00732624" w:rsidRPr="00471CBA" w:rsidRDefault="00732624" w:rsidP="00732624">
            <w:pPr>
              <w:ind w:right="40"/>
              <w:jc w:val="right"/>
              <w:rPr>
                <w:bCs/>
                <w:sz w:val="18"/>
                <w:szCs w:val="18"/>
              </w:rPr>
            </w:pPr>
            <w:r w:rsidRPr="00471CBA">
              <w:rPr>
                <w:sz w:val="18"/>
                <w:szCs w:val="18"/>
              </w:rPr>
              <w:t>0,00</w:t>
            </w:r>
          </w:p>
        </w:tc>
        <w:tc>
          <w:tcPr>
            <w:tcW w:w="941" w:type="dxa"/>
          </w:tcPr>
          <w:p w14:paraId="321391AE" w14:textId="028967A7" w:rsidR="00732624" w:rsidRPr="00471CBA" w:rsidRDefault="00732624" w:rsidP="00732624">
            <w:pPr>
              <w:ind w:right="40"/>
              <w:jc w:val="right"/>
              <w:rPr>
                <w:bCs/>
                <w:sz w:val="18"/>
                <w:szCs w:val="18"/>
              </w:rPr>
            </w:pPr>
            <w:r w:rsidRPr="00471CBA">
              <w:rPr>
                <w:sz w:val="18"/>
                <w:szCs w:val="18"/>
              </w:rPr>
              <w:t>-</w:t>
            </w:r>
          </w:p>
        </w:tc>
        <w:tc>
          <w:tcPr>
            <w:tcW w:w="851" w:type="dxa"/>
          </w:tcPr>
          <w:p w14:paraId="33C89A6D" w14:textId="57B7A07B" w:rsidR="00732624" w:rsidRPr="00471CBA" w:rsidRDefault="00732624" w:rsidP="00732624">
            <w:pPr>
              <w:ind w:right="40"/>
              <w:jc w:val="right"/>
              <w:rPr>
                <w:bCs/>
                <w:sz w:val="18"/>
                <w:szCs w:val="18"/>
              </w:rPr>
            </w:pPr>
            <w:r w:rsidRPr="00471CBA">
              <w:rPr>
                <w:sz w:val="18"/>
                <w:szCs w:val="18"/>
              </w:rPr>
              <w:t>0,00</w:t>
            </w:r>
          </w:p>
        </w:tc>
      </w:tr>
      <w:tr w:rsidR="00732624" w:rsidRPr="00471CBA" w14:paraId="1709844B" w14:textId="77777777" w:rsidTr="00B0049C">
        <w:trPr>
          <w:trHeight w:val="20"/>
        </w:trPr>
        <w:tc>
          <w:tcPr>
            <w:tcW w:w="5795" w:type="dxa"/>
            <w:vAlign w:val="center"/>
          </w:tcPr>
          <w:p w14:paraId="70242B88" w14:textId="77777777" w:rsidR="00732624" w:rsidRPr="00471CBA" w:rsidRDefault="00732624" w:rsidP="00732624">
            <w:pPr>
              <w:rPr>
                <w:b/>
                <w:snapToGrid w:val="0"/>
                <w:sz w:val="18"/>
                <w:szCs w:val="18"/>
              </w:rPr>
            </w:pPr>
            <w:r w:rsidRPr="00471CBA">
              <w:rPr>
                <w:b/>
                <w:snapToGrid w:val="0"/>
                <w:sz w:val="18"/>
                <w:szCs w:val="18"/>
              </w:rPr>
              <w:t>Sanayi</w:t>
            </w:r>
          </w:p>
        </w:tc>
        <w:tc>
          <w:tcPr>
            <w:tcW w:w="941" w:type="dxa"/>
          </w:tcPr>
          <w:p w14:paraId="36A6F6DE" w14:textId="6994B8B2" w:rsidR="00732624" w:rsidRPr="00471CBA" w:rsidRDefault="00732624" w:rsidP="00732624">
            <w:pPr>
              <w:ind w:right="40"/>
              <w:jc w:val="right"/>
              <w:rPr>
                <w:b/>
                <w:sz w:val="18"/>
                <w:szCs w:val="18"/>
              </w:rPr>
            </w:pPr>
            <w:r w:rsidRPr="00471CBA">
              <w:rPr>
                <w:b/>
                <w:sz w:val="18"/>
                <w:szCs w:val="18"/>
              </w:rPr>
              <w:t>4.932.829</w:t>
            </w:r>
          </w:p>
        </w:tc>
        <w:tc>
          <w:tcPr>
            <w:tcW w:w="942" w:type="dxa"/>
          </w:tcPr>
          <w:p w14:paraId="3E59833B" w14:textId="5354E5FF" w:rsidR="00732624" w:rsidRPr="00471CBA" w:rsidRDefault="00732624" w:rsidP="00732624">
            <w:pPr>
              <w:ind w:right="40"/>
              <w:jc w:val="right"/>
              <w:rPr>
                <w:b/>
                <w:sz w:val="18"/>
                <w:szCs w:val="18"/>
              </w:rPr>
            </w:pPr>
            <w:r w:rsidRPr="00471CBA">
              <w:rPr>
                <w:b/>
                <w:sz w:val="18"/>
                <w:szCs w:val="18"/>
              </w:rPr>
              <w:t>28,23</w:t>
            </w:r>
          </w:p>
        </w:tc>
        <w:tc>
          <w:tcPr>
            <w:tcW w:w="941" w:type="dxa"/>
          </w:tcPr>
          <w:p w14:paraId="0B0C4D72" w14:textId="06A2388C" w:rsidR="00732624" w:rsidRPr="00471CBA" w:rsidRDefault="00732624" w:rsidP="00732624">
            <w:pPr>
              <w:ind w:right="40"/>
              <w:jc w:val="right"/>
              <w:rPr>
                <w:b/>
                <w:sz w:val="18"/>
                <w:szCs w:val="18"/>
              </w:rPr>
            </w:pPr>
            <w:r w:rsidRPr="00471CBA">
              <w:rPr>
                <w:b/>
                <w:sz w:val="18"/>
                <w:szCs w:val="18"/>
              </w:rPr>
              <w:t>4.509.184</w:t>
            </w:r>
          </w:p>
        </w:tc>
        <w:tc>
          <w:tcPr>
            <w:tcW w:w="851" w:type="dxa"/>
          </w:tcPr>
          <w:p w14:paraId="7203CE2D" w14:textId="387DD04B" w:rsidR="00732624" w:rsidRPr="00471CBA" w:rsidRDefault="00732624" w:rsidP="00732624">
            <w:pPr>
              <w:ind w:right="40"/>
              <w:jc w:val="right"/>
              <w:rPr>
                <w:b/>
                <w:sz w:val="18"/>
                <w:szCs w:val="18"/>
              </w:rPr>
            </w:pPr>
            <w:r w:rsidRPr="00471CBA">
              <w:rPr>
                <w:b/>
                <w:sz w:val="18"/>
                <w:szCs w:val="18"/>
              </w:rPr>
              <w:t>54,95</w:t>
            </w:r>
          </w:p>
        </w:tc>
      </w:tr>
      <w:tr w:rsidR="00732624" w:rsidRPr="00471CBA" w14:paraId="79EBBE4F" w14:textId="77777777" w:rsidTr="00B0049C">
        <w:trPr>
          <w:trHeight w:val="20"/>
        </w:trPr>
        <w:tc>
          <w:tcPr>
            <w:tcW w:w="5795" w:type="dxa"/>
            <w:vAlign w:val="center"/>
          </w:tcPr>
          <w:p w14:paraId="6324F31B" w14:textId="77777777" w:rsidR="00732624" w:rsidRPr="00471CBA" w:rsidRDefault="00732624" w:rsidP="00732624">
            <w:pPr>
              <w:ind w:firstLine="220"/>
              <w:rPr>
                <w:snapToGrid w:val="0"/>
                <w:sz w:val="18"/>
                <w:szCs w:val="18"/>
              </w:rPr>
            </w:pPr>
            <w:r w:rsidRPr="00471CBA">
              <w:rPr>
                <w:snapToGrid w:val="0"/>
                <w:sz w:val="18"/>
                <w:szCs w:val="18"/>
              </w:rPr>
              <w:t xml:space="preserve">Madencilik ve Taş ocakçılığı </w:t>
            </w:r>
          </w:p>
        </w:tc>
        <w:tc>
          <w:tcPr>
            <w:tcW w:w="941" w:type="dxa"/>
          </w:tcPr>
          <w:p w14:paraId="1B8F460D" w14:textId="70CFA87A" w:rsidR="00732624" w:rsidRPr="00471CBA" w:rsidRDefault="00732624" w:rsidP="00732624">
            <w:pPr>
              <w:ind w:right="40"/>
              <w:jc w:val="right"/>
              <w:rPr>
                <w:bCs/>
                <w:sz w:val="18"/>
                <w:szCs w:val="18"/>
              </w:rPr>
            </w:pPr>
            <w:r w:rsidRPr="00471CBA">
              <w:rPr>
                <w:sz w:val="18"/>
                <w:szCs w:val="18"/>
              </w:rPr>
              <w:t>40.921</w:t>
            </w:r>
          </w:p>
        </w:tc>
        <w:tc>
          <w:tcPr>
            <w:tcW w:w="942" w:type="dxa"/>
          </w:tcPr>
          <w:p w14:paraId="627F2222" w14:textId="50E29D39" w:rsidR="00732624" w:rsidRPr="00471CBA" w:rsidRDefault="00732624" w:rsidP="00732624">
            <w:pPr>
              <w:ind w:right="40"/>
              <w:jc w:val="right"/>
              <w:rPr>
                <w:bCs/>
                <w:sz w:val="18"/>
                <w:szCs w:val="18"/>
              </w:rPr>
            </w:pPr>
            <w:r w:rsidRPr="00471CBA">
              <w:rPr>
                <w:sz w:val="18"/>
                <w:szCs w:val="18"/>
              </w:rPr>
              <w:t>0,23</w:t>
            </w:r>
          </w:p>
        </w:tc>
        <w:tc>
          <w:tcPr>
            <w:tcW w:w="941" w:type="dxa"/>
          </w:tcPr>
          <w:p w14:paraId="424D6225" w14:textId="13DCEB48" w:rsidR="00732624" w:rsidRPr="00471CBA" w:rsidRDefault="00732624" w:rsidP="00732624">
            <w:pPr>
              <w:ind w:right="40"/>
              <w:jc w:val="right"/>
              <w:rPr>
                <w:bCs/>
                <w:sz w:val="18"/>
                <w:szCs w:val="18"/>
              </w:rPr>
            </w:pPr>
            <w:r w:rsidRPr="00471CBA">
              <w:rPr>
                <w:sz w:val="18"/>
                <w:szCs w:val="18"/>
              </w:rPr>
              <w:t>4.285</w:t>
            </w:r>
          </w:p>
        </w:tc>
        <w:tc>
          <w:tcPr>
            <w:tcW w:w="851" w:type="dxa"/>
          </w:tcPr>
          <w:p w14:paraId="2DBAFF95" w14:textId="773A587E" w:rsidR="00732624" w:rsidRPr="00471CBA" w:rsidRDefault="00732624" w:rsidP="00732624">
            <w:pPr>
              <w:ind w:right="40"/>
              <w:jc w:val="right"/>
              <w:rPr>
                <w:bCs/>
                <w:sz w:val="18"/>
                <w:szCs w:val="18"/>
              </w:rPr>
            </w:pPr>
            <w:r w:rsidRPr="00471CBA">
              <w:rPr>
                <w:sz w:val="18"/>
                <w:szCs w:val="18"/>
              </w:rPr>
              <w:t>0,05</w:t>
            </w:r>
          </w:p>
        </w:tc>
      </w:tr>
      <w:tr w:rsidR="00732624" w:rsidRPr="00471CBA" w14:paraId="2DEDE160" w14:textId="77777777" w:rsidTr="00B0049C">
        <w:trPr>
          <w:trHeight w:val="20"/>
        </w:trPr>
        <w:tc>
          <w:tcPr>
            <w:tcW w:w="5795" w:type="dxa"/>
            <w:vAlign w:val="center"/>
          </w:tcPr>
          <w:p w14:paraId="63F0CBF7" w14:textId="77777777" w:rsidR="00732624" w:rsidRPr="00471CBA" w:rsidRDefault="00732624" w:rsidP="00732624">
            <w:pPr>
              <w:ind w:firstLine="220"/>
              <w:rPr>
                <w:snapToGrid w:val="0"/>
                <w:sz w:val="18"/>
                <w:szCs w:val="18"/>
              </w:rPr>
            </w:pPr>
            <w:r w:rsidRPr="00471CBA">
              <w:rPr>
                <w:snapToGrid w:val="0"/>
                <w:sz w:val="18"/>
                <w:szCs w:val="18"/>
              </w:rPr>
              <w:t>İmalat Sanayi</w:t>
            </w:r>
          </w:p>
        </w:tc>
        <w:tc>
          <w:tcPr>
            <w:tcW w:w="941" w:type="dxa"/>
          </w:tcPr>
          <w:p w14:paraId="27CDB8E5" w14:textId="08F13DC6" w:rsidR="00732624" w:rsidRPr="00471CBA" w:rsidRDefault="00732624" w:rsidP="00732624">
            <w:pPr>
              <w:ind w:right="40"/>
              <w:jc w:val="right"/>
              <w:rPr>
                <w:bCs/>
                <w:sz w:val="18"/>
                <w:szCs w:val="18"/>
              </w:rPr>
            </w:pPr>
            <w:r w:rsidRPr="00471CBA">
              <w:rPr>
                <w:sz w:val="18"/>
                <w:szCs w:val="18"/>
              </w:rPr>
              <w:t>3.476.648</w:t>
            </w:r>
          </w:p>
        </w:tc>
        <w:tc>
          <w:tcPr>
            <w:tcW w:w="942" w:type="dxa"/>
          </w:tcPr>
          <w:p w14:paraId="1A3AEDD4" w14:textId="68B0510F" w:rsidR="00732624" w:rsidRPr="00471CBA" w:rsidRDefault="00732624" w:rsidP="00732624">
            <w:pPr>
              <w:ind w:right="40"/>
              <w:jc w:val="right"/>
              <w:rPr>
                <w:bCs/>
                <w:sz w:val="18"/>
                <w:szCs w:val="18"/>
              </w:rPr>
            </w:pPr>
            <w:r w:rsidRPr="00471CBA">
              <w:rPr>
                <w:sz w:val="18"/>
                <w:szCs w:val="18"/>
              </w:rPr>
              <w:t>19,90</w:t>
            </w:r>
          </w:p>
        </w:tc>
        <w:tc>
          <w:tcPr>
            <w:tcW w:w="941" w:type="dxa"/>
          </w:tcPr>
          <w:p w14:paraId="61C2A02D" w14:textId="7ECDC547" w:rsidR="00732624" w:rsidRPr="00471CBA" w:rsidRDefault="00732624" w:rsidP="00732624">
            <w:pPr>
              <w:ind w:right="40"/>
              <w:jc w:val="right"/>
              <w:rPr>
                <w:bCs/>
                <w:sz w:val="18"/>
                <w:szCs w:val="18"/>
              </w:rPr>
            </w:pPr>
            <w:r w:rsidRPr="00471CBA">
              <w:rPr>
                <w:sz w:val="18"/>
                <w:szCs w:val="18"/>
              </w:rPr>
              <w:t>4.392.177</w:t>
            </w:r>
          </w:p>
        </w:tc>
        <w:tc>
          <w:tcPr>
            <w:tcW w:w="851" w:type="dxa"/>
          </w:tcPr>
          <w:p w14:paraId="0287C71A" w14:textId="6A550872" w:rsidR="00732624" w:rsidRPr="00471CBA" w:rsidRDefault="00732624" w:rsidP="00732624">
            <w:pPr>
              <w:ind w:right="40"/>
              <w:jc w:val="right"/>
              <w:rPr>
                <w:bCs/>
                <w:sz w:val="18"/>
                <w:szCs w:val="18"/>
              </w:rPr>
            </w:pPr>
            <w:r w:rsidRPr="00471CBA">
              <w:rPr>
                <w:sz w:val="18"/>
                <w:szCs w:val="18"/>
              </w:rPr>
              <w:t>53,52</w:t>
            </w:r>
          </w:p>
        </w:tc>
      </w:tr>
      <w:tr w:rsidR="00732624" w:rsidRPr="00471CBA" w14:paraId="04FACB54" w14:textId="77777777" w:rsidTr="00B0049C">
        <w:trPr>
          <w:trHeight w:val="20"/>
        </w:trPr>
        <w:tc>
          <w:tcPr>
            <w:tcW w:w="5795" w:type="dxa"/>
            <w:vAlign w:val="center"/>
          </w:tcPr>
          <w:p w14:paraId="19EBEACF" w14:textId="77777777" w:rsidR="00732624" w:rsidRPr="00471CBA" w:rsidRDefault="00732624" w:rsidP="00732624">
            <w:pPr>
              <w:ind w:firstLine="220"/>
              <w:rPr>
                <w:snapToGrid w:val="0"/>
                <w:sz w:val="18"/>
                <w:szCs w:val="18"/>
              </w:rPr>
            </w:pPr>
            <w:r w:rsidRPr="00471CBA">
              <w:rPr>
                <w:snapToGrid w:val="0"/>
                <w:sz w:val="18"/>
                <w:szCs w:val="18"/>
              </w:rPr>
              <w:t>Elektrik, Gaz, Su</w:t>
            </w:r>
          </w:p>
        </w:tc>
        <w:tc>
          <w:tcPr>
            <w:tcW w:w="941" w:type="dxa"/>
          </w:tcPr>
          <w:p w14:paraId="0A9BC3E5" w14:textId="27FB06A6" w:rsidR="00732624" w:rsidRPr="00471CBA" w:rsidRDefault="00732624" w:rsidP="00732624">
            <w:pPr>
              <w:ind w:right="40"/>
              <w:jc w:val="right"/>
              <w:rPr>
                <w:bCs/>
                <w:sz w:val="18"/>
                <w:szCs w:val="18"/>
              </w:rPr>
            </w:pPr>
            <w:r w:rsidRPr="00471CBA">
              <w:rPr>
                <w:sz w:val="18"/>
                <w:szCs w:val="18"/>
              </w:rPr>
              <w:t>1.415.260</w:t>
            </w:r>
          </w:p>
        </w:tc>
        <w:tc>
          <w:tcPr>
            <w:tcW w:w="942" w:type="dxa"/>
          </w:tcPr>
          <w:p w14:paraId="14B6E09E" w14:textId="41CC11EB" w:rsidR="00732624" w:rsidRPr="00471CBA" w:rsidRDefault="00732624" w:rsidP="00732624">
            <w:pPr>
              <w:ind w:right="40"/>
              <w:jc w:val="right"/>
              <w:rPr>
                <w:bCs/>
                <w:sz w:val="18"/>
                <w:szCs w:val="18"/>
              </w:rPr>
            </w:pPr>
            <w:r w:rsidRPr="00471CBA">
              <w:rPr>
                <w:sz w:val="18"/>
                <w:szCs w:val="18"/>
              </w:rPr>
              <w:t>8,10</w:t>
            </w:r>
          </w:p>
        </w:tc>
        <w:tc>
          <w:tcPr>
            <w:tcW w:w="941" w:type="dxa"/>
          </w:tcPr>
          <w:p w14:paraId="46D3B842" w14:textId="1CACA840" w:rsidR="00732624" w:rsidRPr="00471CBA" w:rsidRDefault="00732624" w:rsidP="00732624">
            <w:pPr>
              <w:ind w:right="40"/>
              <w:jc w:val="right"/>
              <w:rPr>
                <w:bCs/>
                <w:sz w:val="18"/>
                <w:szCs w:val="18"/>
              </w:rPr>
            </w:pPr>
            <w:r w:rsidRPr="00471CBA">
              <w:rPr>
                <w:sz w:val="18"/>
                <w:szCs w:val="18"/>
              </w:rPr>
              <w:t>112.722</w:t>
            </w:r>
          </w:p>
        </w:tc>
        <w:tc>
          <w:tcPr>
            <w:tcW w:w="851" w:type="dxa"/>
          </w:tcPr>
          <w:p w14:paraId="435091EB" w14:textId="18FA2B86" w:rsidR="00732624" w:rsidRPr="00471CBA" w:rsidRDefault="00732624" w:rsidP="00732624">
            <w:pPr>
              <w:ind w:right="40"/>
              <w:jc w:val="right"/>
              <w:rPr>
                <w:bCs/>
                <w:sz w:val="18"/>
                <w:szCs w:val="18"/>
              </w:rPr>
            </w:pPr>
            <w:r w:rsidRPr="00471CBA">
              <w:rPr>
                <w:sz w:val="18"/>
                <w:szCs w:val="18"/>
              </w:rPr>
              <w:t>1,37</w:t>
            </w:r>
          </w:p>
        </w:tc>
      </w:tr>
      <w:tr w:rsidR="00732624" w:rsidRPr="00471CBA" w14:paraId="6018D68C" w14:textId="77777777" w:rsidTr="00B0049C">
        <w:trPr>
          <w:trHeight w:val="20"/>
        </w:trPr>
        <w:tc>
          <w:tcPr>
            <w:tcW w:w="5795" w:type="dxa"/>
            <w:vAlign w:val="center"/>
          </w:tcPr>
          <w:p w14:paraId="2456F8A9" w14:textId="77777777" w:rsidR="00732624" w:rsidRPr="00471CBA" w:rsidRDefault="00732624" w:rsidP="00732624">
            <w:pPr>
              <w:rPr>
                <w:b/>
                <w:snapToGrid w:val="0"/>
                <w:sz w:val="18"/>
                <w:szCs w:val="18"/>
              </w:rPr>
            </w:pPr>
            <w:r w:rsidRPr="00471CBA">
              <w:rPr>
                <w:b/>
                <w:snapToGrid w:val="0"/>
                <w:sz w:val="18"/>
                <w:szCs w:val="18"/>
              </w:rPr>
              <w:t>İnşaat</w:t>
            </w:r>
          </w:p>
        </w:tc>
        <w:tc>
          <w:tcPr>
            <w:tcW w:w="941" w:type="dxa"/>
          </w:tcPr>
          <w:p w14:paraId="378E2624" w14:textId="38D8C40E" w:rsidR="00732624" w:rsidRPr="00471CBA" w:rsidRDefault="00732624" w:rsidP="00732624">
            <w:pPr>
              <w:ind w:right="40"/>
              <w:jc w:val="right"/>
              <w:rPr>
                <w:b/>
                <w:sz w:val="18"/>
                <w:szCs w:val="18"/>
              </w:rPr>
            </w:pPr>
            <w:r w:rsidRPr="00471CBA">
              <w:rPr>
                <w:b/>
                <w:sz w:val="18"/>
                <w:szCs w:val="18"/>
              </w:rPr>
              <w:t>6.441.158</w:t>
            </w:r>
          </w:p>
        </w:tc>
        <w:tc>
          <w:tcPr>
            <w:tcW w:w="942" w:type="dxa"/>
          </w:tcPr>
          <w:p w14:paraId="6359F623" w14:textId="0D0E93AE" w:rsidR="00732624" w:rsidRPr="00471CBA" w:rsidRDefault="00732624" w:rsidP="00732624">
            <w:pPr>
              <w:ind w:right="40"/>
              <w:jc w:val="right"/>
              <w:rPr>
                <w:b/>
                <w:sz w:val="18"/>
                <w:szCs w:val="18"/>
              </w:rPr>
            </w:pPr>
            <w:r w:rsidRPr="00471CBA">
              <w:rPr>
                <w:b/>
                <w:sz w:val="18"/>
                <w:szCs w:val="18"/>
              </w:rPr>
              <w:t>36,86</w:t>
            </w:r>
          </w:p>
        </w:tc>
        <w:tc>
          <w:tcPr>
            <w:tcW w:w="941" w:type="dxa"/>
          </w:tcPr>
          <w:p w14:paraId="0D448C5D" w14:textId="6AC47D28" w:rsidR="00732624" w:rsidRPr="00471CBA" w:rsidRDefault="00732624" w:rsidP="00732624">
            <w:pPr>
              <w:ind w:right="40"/>
              <w:jc w:val="right"/>
              <w:rPr>
                <w:b/>
                <w:sz w:val="18"/>
                <w:szCs w:val="18"/>
              </w:rPr>
            </w:pPr>
            <w:r w:rsidRPr="00471CBA">
              <w:rPr>
                <w:b/>
                <w:sz w:val="18"/>
                <w:szCs w:val="18"/>
              </w:rPr>
              <w:t>1.040.488</w:t>
            </w:r>
          </w:p>
        </w:tc>
        <w:tc>
          <w:tcPr>
            <w:tcW w:w="851" w:type="dxa"/>
          </w:tcPr>
          <w:p w14:paraId="19C971A0" w14:textId="69444C20" w:rsidR="00732624" w:rsidRPr="00471CBA" w:rsidRDefault="00732624" w:rsidP="00732624">
            <w:pPr>
              <w:ind w:right="40"/>
              <w:jc w:val="right"/>
              <w:rPr>
                <w:b/>
                <w:sz w:val="18"/>
                <w:szCs w:val="18"/>
              </w:rPr>
            </w:pPr>
            <w:r w:rsidRPr="00471CBA">
              <w:rPr>
                <w:b/>
                <w:sz w:val="18"/>
                <w:szCs w:val="18"/>
              </w:rPr>
              <w:t>12,68</w:t>
            </w:r>
          </w:p>
        </w:tc>
      </w:tr>
      <w:tr w:rsidR="00732624" w:rsidRPr="00471CBA" w14:paraId="135EC4CA" w14:textId="77777777" w:rsidTr="00B0049C">
        <w:trPr>
          <w:trHeight w:val="20"/>
        </w:trPr>
        <w:tc>
          <w:tcPr>
            <w:tcW w:w="5795" w:type="dxa"/>
            <w:vAlign w:val="center"/>
          </w:tcPr>
          <w:p w14:paraId="33EBA761" w14:textId="77777777" w:rsidR="00732624" w:rsidRPr="00471CBA" w:rsidRDefault="00732624" w:rsidP="00732624">
            <w:pPr>
              <w:rPr>
                <w:b/>
                <w:snapToGrid w:val="0"/>
                <w:sz w:val="18"/>
                <w:szCs w:val="18"/>
              </w:rPr>
            </w:pPr>
            <w:r w:rsidRPr="00471CBA">
              <w:rPr>
                <w:b/>
                <w:snapToGrid w:val="0"/>
                <w:sz w:val="18"/>
                <w:szCs w:val="18"/>
              </w:rPr>
              <w:t>Hizmetler</w:t>
            </w:r>
          </w:p>
        </w:tc>
        <w:tc>
          <w:tcPr>
            <w:tcW w:w="941" w:type="dxa"/>
          </w:tcPr>
          <w:p w14:paraId="72810B01" w14:textId="5AA3ABA5" w:rsidR="00732624" w:rsidRPr="00471CBA" w:rsidRDefault="00732624" w:rsidP="00732624">
            <w:pPr>
              <w:ind w:right="40"/>
              <w:jc w:val="right"/>
              <w:rPr>
                <w:b/>
                <w:sz w:val="18"/>
                <w:szCs w:val="18"/>
              </w:rPr>
            </w:pPr>
            <w:r w:rsidRPr="00471CBA">
              <w:rPr>
                <w:b/>
                <w:sz w:val="18"/>
                <w:szCs w:val="18"/>
              </w:rPr>
              <w:t>5.924.706</w:t>
            </w:r>
          </w:p>
        </w:tc>
        <w:tc>
          <w:tcPr>
            <w:tcW w:w="942" w:type="dxa"/>
          </w:tcPr>
          <w:p w14:paraId="5B900C3D" w14:textId="21E4A300" w:rsidR="00732624" w:rsidRPr="00471CBA" w:rsidRDefault="00732624" w:rsidP="00732624">
            <w:pPr>
              <w:ind w:right="40"/>
              <w:jc w:val="right"/>
              <w:rPr>
                <w:b/>
                <w:sz w:val="18"/>
                <w:szCs w:val="18"/>
              </w:rPr>
            </w:pPr>
            <w:r w:rsidRPr="00471CBA">
              <w:rPr>
                <w:b/>
                <w:sz w:val="18"/>
                <w:szCs w:val="18"/>
              </w:rPr>
              <w:t>33,90</w:t>
            </w:r>
          </w:p>
        </w:tc>
        <w:tc>
          <w:tcPr>
            <w:tcW w:w="941" w:type="dxa"/>
          </w:tcPr>
          <w:p w14:paraId="40326923" w14:textId="5A92F4AD" w:rsidR="00732624" w:rsidRPr="00471CBA" w:rsidRDefault="00732624" w:rsidP="00732624">
            <w:pPr>
              <w:ind w:right="40"/>
              <w:jc w:val="right"/>
              <w:rPr>
                <w:b/>
                <w:sz w:val="18"/>
                <w:szCs w:val="18"/>
              </w:rPr>
            </w:pPr>
            <w:r w:rsidRPr="00471CBA">
              <w:rPr>
                <w:b/>
                <w:sz w:val="18"/>
                <w:szCs w:val="18"/>
              </w:rPr>
              <w:t>2.647.516</w:t>
            </w:r>
          </w:p>
        </w:tc>
        <w:tc>
          <w:tcPr>
            <w:tcW w:w="851" w:type="dxa"/>
          </w:tcPr>
          <w:p w14:paraId="68F8298C" w14:textId="630F5D9F" w:rsidR="00732624" w:rsidRPr="00471CBA" w:rsidRDefault="00732624" w:rsidP="00732624">
            <w:pPr>
              <w:ind w:right="40"/>
              <w:jc w:val="right"/>
              <w:rPr>
                <w:b/>
                <w:sz w:val="18"/>
                <w:szCs w:val="18"/>
              </w:rPr>
            </w:pPr>
            <w:r w:rsidRPr="00471CBA">
              <w:rPr>
                <w:b/>
                <w:sz w:val="18"/>
                <w:szCs w:val="18"/>
              </w:rPr>
              <w:t>32,26</w:t>
            </w:r>
          </w:p>
        </w:tc>
      </w:tr>
      <w:tr w:rsidR="00732624" w:rsidRPr="00471CBA" w14:paraId="4CF2B196" w14:textId="77777777" w:rsidTr="00B0049C">
        <w:trPr>
          <w:trHeight w:val="20"/>
        </w:trPr>
        <w:tc>
          <w:tcPr>
            <w:tcW w:w="5795" w:type="dxa"/>
            <w:vAlign w:val="center"/>
          </w:tcPr>
          <w:p w14:paraId="35B0468F" w14:textId="77777777" w:rsidR="00732624" w:rsidRPr="00471CBA" w:rsidRDefault="00732624" w:rsidP="00732624">
            <w:pPr>
              <w:ind w:firstLine="220"/>
              <w:rPr>
                <w:snapToGrid w:val="0"/>
                <w:sz w:val="18"/>
                <w:szCs w:val="18"/>
              </w:rPr>
            </w:pPr>
            <w:r w:rsidRPr="00471CBA">
              <w:rPr>
                <w:snapToGrid w:val="0"/>
                <w:sz w:val="18"/>
                <w:szCs w:val="18"/>
              </w:rPr>
              <w:t>Toptan ve Perakende Ticaret</w:t>
            </w:r>
          </w:p>
        </w:tc>
        <w:tc>
          <w:tcPr>
            <w:tcW w:w="941" w:type="dxa"/>
          </w:tcPr>
          <w:p w14:paraId="468FB93C" w14:textId="6F0B1381" w:rsidR="00732624" w:rsidRPr="00471CBA" w:rsidRDefault="00732624" w:rsidP="00732624">
            <w:pPr>
              <w:ind w:right="40"/>
              <w:jc w:val="right"/>
              <w:rPr>
                <w:bCs/>
                <w:sz w:val="18"/>
                <w:szCs w:val="18"/>
              </w:rPr>
            </w:pPr>
            <w:r w:rsidRPr="00471CBA">
              <w:rPr>
                <w:sz w:val="18"/>
                <w:szCs w:val="18"/>
              </w:rPr>
              <w:t>3.377.320</w:t>
            </w:r>
          </w:p>
        </w:tc>
        <w:tc>
          <w:tcPr>
            <w:tcW w:w="942" w:type="dxa"/>
          </w:tcPr>
          <w:p w14:paraId="12C2121C" w14:textId="4C4D681D" w:rsidR="00732624" w:rsidRPr="00471CBA" w:rsidRDefault="00732624" w:rsidP="00732624">
            <w:pPr>
              <w:ind w:right="40"/>
              <w:jc w:val="right"/>
              <w:rPr>
                <w:bCs/>
                <w:sz w:val="18"/>
                <w:szCs w:val="18"/>
              </w:rPr>
            </w:pPr>
            <w:r w:rsidRPr="00471CBA">
              <w:rPr>
                <w:sz w:val="18"/>
                <w:szCs w:val="18"/>
              </w:rPr>
              <w:t>19,33</w:t>
            </w:r>
          </w:p>
        </w:tc>
        <w:tc>
          <w:tcPr>
            <w:tcW w:w="941" w:type="dxa"/>
          </w:tcPr>
          <w:p w14:paraId="3A3D7172" w14:textId="22697CAA" w:rsidR="00732624" w:rsidRPr="00471CBA" w:rsidRDefault="00732624" w:rsidP="00732624">
            <w:pPr>
              <w:ind w:right="40"/>
              <w:jc w:val="right"/>
              <w:rPr>
                <w:bCs/>
                <w:sz w:val="18"/>
                <w:szCs w:val="18"/>
              </w:rPr>
            </w:pPr>
            <w:r w:rsidRPr="00471CBA">
              <w:rPr>
                <w:sz w:val="18"/>
                <w:szCs w:val="18"/>
              </w:rPr>
              <w:t>1.553.458</w:t>
            </w:r>
          </w:p>
        </w:tc>
        <w:tc>
          <w:tcPr>
            <w:tcW w:w="851" w:type="dxa"/>
          </w:tcPr>
          <w:p w14:paraId="623601DF" w14:textId="0E0E8CCE" w:rsidR="00732624" w:rsidRPr="00471CBA" w:rsidRDefault="00732624" w:rsidP="00732624">
            <w:pPr>
              <w:ind w:right="40"/>
              <w:jc w:val="right"/>
              <w:rPr>
                <w:bCs/>
                <w:sz w:val="18"/>
                <w:szCs w:val="18"/>
              </w:rPr>
            </w:pPr>
            <w:r w:rsidRPr="00471CBA">
              <w:rPr>
                <w:sz w:val="18"/>
                <w:szCs w:val="18"/>
              </w:rPr>
              <w:t>18,93</w:t>
            </w:r>
          </w:p>
        </w:tc>
      </w:tr>
      <w:tr w:rsidR="00732624" w:rsidRPr="00471CBA" w14:paraId="184D96F9" w14:textId="77777777" w:rsidTr="00B0049C">
        <w:trPr>
          <w:trHeight w:val="20"/>
        </w:trPr>
        <w:tc>
          <w:tcPr>
            <w:tcW w:w="5795" w:type="dxa"/>
            <w:vAlign w:val="center"/>
          </w:tcPr>
          <w:p w14:paraId="15939EB6" w14:textId="77777777" w:rsidR="00732624" w:rsidRPr="00471CBA" w:rsidRDefault="00732624" w:rsidP="00732624">
            <w:pPr>
              <w:ind w:firstLine="220"/>
              <w:rPr>
                <w:snapToGrid w:val="0"/>
                <w:sz w:val="18"/>
                <w:szCs w:val="18"/>
              </w:rPr>
            </w:pPr>
            <w:r w:rsidRPr="00471CBA">
              <w:rPr>
                <w:snapToGrid w:val="0"/>
                <w:sz w:val="18"/>
                <w:szCs w:val="18"/>
              </w:rPr>
              <w:t>Otel ve Lokanta Hizmetleri</w:t>
            </w:r>
          </w:p>
        </w:tc>
        <w:tc>
          <w:tcPr>
            <w:tcW w:w="941" w:type="dxa"/>
          </w:tcPr>
          <w:p w14:paraId="5B3C7013" w14:textId="2E468EE1" w:rsidR="00732624" w:rsidRPr="00471CBA" w:rsidRDefault="00732624" w:rsidP="00732624">
            <w:pPr>
              <w:ind w:right="40"/>
              <w:jc w:val="right"/>
              <w:rPr>
                <w:bCs/>
                <w:sz w:val="18"/>
                <w:szCs w:val="18"/>
              </w:rPr>
            </w:pPr>
            <w:r w:rsidRPr="00471CBA">
              <w:rPr>
                <w:sz w:val="18"/>
                <w:szCs w:val="18"/>
              </w:rPr>
              <w:t>143.157</w:t>
            </w:r>
          </w:p>
        </w:tc>
        <w:tc>
          <w:tcPr>
            <w:tcW w:w="942" w:type="dxa"/>
          </w:tcPr>
          <w:p w14:paraId="38A47F71" w14:textId="41DAD56E" w:rsidR="00732624" w:rsidRPr="00471CBA" w:rsidRDefault="00732624" w:rsidP="00732624">
            <w:pPr>
              <w:ind w:right="40"/>
              <w:jc w:val="right"/>
              <w:rPr>
                <w:bCs/>
                <w:sz w:val="18"/>
                <w:szCs w:val="18"/>
              </w:rPr>
            </w:pPr>
            <w:r w:rsidRPr="00471CBA">
              <w:rPr>
                <w:sz w:val="18"/>
                <w:szCs w:val="18"/>
              </w:rPr>
              <w:t>0,82</w:t>
            </w:r>
          </w:p>
        </w:tc>
        <w:tc>
          <w:tcPr>
            <w:tcW w:w="941" w:type="dxa"/>
          </w:tcPr>
          <w:p w14:paraId="19B9D32B" w14:textId="7F330041" w:rsidR="00732624" w:rsidRPr="00471CBA" w:rsidRDefault="00732624" w:rsidP="00732624">
            <w:pPr>
              <w:ind w:right="40"/>
              <w:jc w:val="right"/>
              <w:rPr>
                <w:bCs/>
                <w:sz w:val="18"/>
                <w:szCs w:val="18"/>
              </w:rPr>
            </w:pPr>
            <w:r w:rsidRPr="00471CBA">
              <w:rPr>
                <w:sz w:val="18"/>
                <w:szCs w:val="18"/>
              </w:rPr>
              <w:t>50.286</w:t>
            </w:r>
          </w:p>
        </w:tc>
        <w:tc>
          <w:tcPr>
            <w:tcW w:w="851" w:type="dxa"/>
          </w:tcPr>
          <w:p w14:paraId="08E6C62E" w14:textId="5549290D" w:rsidR="00732624" w:rsidRPr="00471CBA" w:rsidRDefault="00732624" w:rsidP="00732624">
            <w:pPr>
              <w:ind w:right="40"/>
              <w:jc w:val="right"/>
              <w:rPr>
                <w:bCs/>
                <w:sz w:val="18"/>
                <w:szCs w:val="18"/>
              </w:rPr>
            </w:pPr>
            <w:r w:rsidRPr="00471CBA">
              <w:rPr>
                <w:sz w:val="18"/>
                <w:szCs w:val="18"/>
              </w:rPr>
              <w:t>0,61</w:t>
            </w:r>
          </w:p>
        </w:tc>
      </w:tr>
      <w:tr w:rsidR="00732624" w:rsidRPr="00471CBA" w14:paraId="34D095BC" w14:textId="77777777" w:rsidTr="00B0049C">
        <w:trPr>
          <w:trHeight w:val="20"/>
        </w:trPr>
        <w:tc>
          <w:tcPr>
            <w:tcW w:w="5795" w:type="dxa"/>
            <w:vAlign w:val="center"/>
          </w:tcPr>
          <w:p w14:paraId="73A59423" w14:textId="77777777" w:rsidR="00732624" w:rsidRPr="00471CBA" w:rsidRDefault="00732624" w:rsidP="00732624">
            <w:pPr>
              <w:ind w:firstLine="220"/>
              <w:rPr>
                <w:snapToGrid w:val="0"/>
                <w:sz w:val="18"/>
                <w:szCs w:val="18"/>
              </w:rPr>
            </w:pPr>
            <w:r w:rsidRPr="00471CBA">
              <w:rPr>
                <w:snapToGrid w:val="0"/>
                <w:sz w:val="18"/>
                <w:szCs w:val="18"/>
              </w:rPr>
              <w:t>Ulaştırma ve Haberleşme</w:t>
            </w:r>
          </w:p>
        </w:tc>
        <w:tc>
          <w:tcPr>
            <w:tcW w:w="941" w:type="dxa"/>
          </w:tcPr>
          <w:p w14:paraId="32310012" w14:textId="32611468" w:rsidR="00732624" w:rsidRPr="00471CBA" w:rsidRDefault="00732624" w:rsidP="00732624">
            <w:pPr>
              <w:ind w:right="40"/>
              <w:jc w:val="right"/>
              <w:rPr>
                <w:bCs/>
                <w:sz w:val="18"/>
                <w:szCs w:val="18"/>
              </w:rPr>
            </w:pPr>
            <w:r w:rsidRPr="00471CBA">
              <w:rPr>
                <w:sz w:val="18"/>
                <w:szCs w:val="18"/>
              </w:rPr>
              <w:t>665.555</w:t>
            </w:r>
          </w:p>
        </w:tc>
        <w:tc>
          <w:tcPr>
            <w:tcW w:w="942" w:type="dxa"/>
          </w:tcPr>
          <w:p w14:paraId="1CDC8809" w14:textId="53ECA10D" w:rsidR="00732624" w:rsidRPr="00471CBA" w:rsidRDefault="00732624" w:rsidP="00732624">
            <w:pPr>
              <w:ind w:right="40"/>
              <w:jc w:val="right"/>
              <w:rPr>
                <w:bCs/>
                <w:sz w:val="18"/>
                <w:szCs w:val="18"/>
              </w:rPr>
            </w:pPr>
            <w:r w:rsidRPr="00471CBA">
              <w:rPr>
                <w:sz w:val="18"/>
                <w:szCs w:val="18"/>
              </w:rPr>
              <w:t>3,81</w:t>
            </w:r>
          </w:p>
        </w:tc>
        <w:tc>
          <w:tcPr>
            <w:tcW w:w="941" w:type="dxa"/>
          </w:tcPr>
          <w:p w14:paraId="535B7E69" w14:textId="5B85878C" w:rsidR="00732624" w:rsidRPr="00471CBA" w:rsidRDefault="00732624" w:rsidP="00732624">
            <w:pPr>
              <w:ind w:right="40"/>
              <w:jc w:val="right"/>
              <w:rPr>
                <w:bCs/>
                <w:sz w:val="18"/>
                <w:szCs w:val="18"/>
              </w:rPr>
            </w:pPr>
            <w:r w:rsidRPr="00471CBA">
              <w:rPr>
                <w:sz w:val="18"/>
                <w:szCs w:val="18"/>
              </w:rPr>
              <w:t>714.253</w:t>
            </w:r>
          </w:p>
        </w:tc>
        <w:tc>
          <w:tcPr>
            <w:tcW w:w="851" w:type="dxa"/>
          </w:tcPr>
          <w:p w14:paraId="780D645F" w14:textId="289C02F9" w:rsidR="00732624" w:rsidRPr="00471CBA" w:rsidRDefault="00732624" w:rsidP="00732624">
            <w:pPr>
              <w:ind w:right="40"/>
              <w:jc w:val="right"/>
              <w:rPr>
                <w:bCs/>
                <w:sz w:val="18"/>
                <w:szCs w:val="18"/>
              </w:rPr>
            </w:pPr>
            <w:r w:rsidRPr="00471CBA">
              <w:rPr>
                <w:sz w:val="18"/>
                <w:szCs w:val="18"/>
              </w:rPr>
              <w:t>8,70</w:t>
            </w:r>
          </w:p>
        </w:tc>
      </w:tr>
      <w:tr w:rsidR="00732624" w:rsidRPr="00471CBA" w14:paraId="1413AA48" w14:textId="77777777" w:rsidTr="00B0049C">
        <w:trPr>
          <w:trHeight w:val="20"/>
        </w:trPr>
        <w:tc>
          <w:tcPr>
            <w:tcW w:w="5795" w:type="dxa"/>
            <w:vAlign w:val="center"/>
          </w:tcPr>
          <w:p w14:paraId="410D25A3" w14:textId="77777777" w:rsidR="00732624" w:rsidRPr="00471CBA" w:rsidRDefault="00732624" w:rsidP="00732624">
            <w:pPr>
              <w:ind w:firstLine="220"/>
              <w:rPr>
                <w:iCs/>
                <w:snapToGrid w:val="0"/>
                <w:sz w:val="18"/>
                <w:szCs w:val="18"/>
              </w:rPr>
            </w:pPr>
            <w:r w:rsidRPr="00471CBA">
              <w:rPr>
                <w:iCs/>
                <w:snapToGrid w:val="0"/>
                <w:sz w:val="18"/>
                <w:szCs w:val="18"/>
              </w:rPr>
              <w:t>Mali Kuruluşlar</w:t>
            </w:r>
          </w:p>
        </w:tc>
        <w:tc>
          <w:tcPr>
            <w:tcW w:w="941" w:type="dxa"/>
          </w:tcPr>
          <w:p w14:paraId="3069BDF9" w14:textId="79886BAE" w:rsidR="00732624" w:rsidRPr="00471CBA" w:rsidRDefault="00732624" w:rsidP="00732624">
            <w:pPr>
              <w:ind w:right="40"/>
              <w:jc w:val="right"/>
              <w:rPr>
                <w:bCs/>
                <w:sz w:val="18"/>
                <w:szCs w:val="18"/>
              </w:rPr>
            </w:pPr>
            <w:r w:rsidRPr="00471CBA">
              <w:rPr>
                <w:sz w:val="18"/>
                <w:szCs w:val="18"/>
              </w:rPr>
              <w:t>114.807</w:t>
            </w:r>
          </w:p>
        </w:tc>
        <w:tc>
          <w:tcPr>
            <w:tcW w:w="942" w:type="dxa"/>
          </w:tcPr>
          <w:p w14:paraId="63A9D88A" w14:textId="3AB7BB39" w:rsidR="00732624" w:rsidRPr="00471CBA" w:rsidRDefault="00732624" w:rsidP="00732624">
            <w:pPr>
              <w:ind w:right="40"/>
              <w:jc w:val="right"/>
              <w:rPr>
                <w:bCs/>
                <w:sz w:val="18"/>
                <w:szCs w:val="18"/>
              </w:rPr>
            </w:pPr>
            <w:r w:rsidRPr="00471CBA">
              <w:rPr>
                <w:sz w:val="18"/>
                <w:szCs w:val="18"/>
              </w:rPr>
              <w:t>0,66</w:t>
            </w:r>
          </w:p>
        </w:tc>
        <w:tc>
          <w:tcPr>
            <w:tcW w:w="941" w:type="dxa"/>
          </w:tcPr>
          <w:p w14:paraId="05E5133B" w14:textId="64660F9B" w:rsidR="00732624" w:rsidRPr="00471CBA" w:rsidRDefault="00732624" w:rsidP="00732624">
            <w:pPr>
              <w:ind w:right="40"/>
              <w:jc w:val="right"/>
              <w:rPr>
                <w:bCs/>
                <w:sz w:val="18"/>
                <w:szCs w:val="18"/>
              </w:rPr>
            </w:pPr>
            <w:r w:rsidRPr="00471CBA">
              <w:rPr>
                <w:sz w:val="18"/>
                <w:szCs w:val="18"/>
              </w:rPr>
              <w:t>-</w:t>
            </w:r>
          </w:p>
        </w:tc>
        <w:tc>
          <w:tcPr>
            <w:tcW w:w="851" w:type="dxa"/>
          </w:tcPr>
          <w:p w14:paraId="401F83E4" w14:textId="3054CEBD" w:rsidR="00732624" w:rsidRPr="00471CBA" w:rsidRDefault="00732624" w:rsidP="00732624">
            <w:pPr>
              <w:ind w:right="40"/>
              <w:jc w:val="right"/>
              <w:rPr>
                <w:bCs/>
                <w:sz w:val="18"/>
                <w:szCs w:val="18"/>
              </w:rPr>
            </w:pPr>
            <w:r w:rsidRPr="00471CBA">
              <w:rPr>
                <w:sz w:val="18"/>
                <w:szCs w:val="18"/>
              </w:rPr>
              <w:t>0,00</w:t>
            </w:r>
          </w:p>
        </w:tc>
      </w:tr>
      <w:tr w:rsidR="00732624" w:rsidRPr="00471CBA" w14:paraId="74DD8A10" w14:textId="77777777" w:rsidTr="00B0049C">
        <w:trPr>
          <w:trHeight w:val="20"/>
        </w:trPr>
        <w:tc>
          <w:tcPr>
            <w:tcW w:w="5795" w:type="dxa"/>
            <w:vAlign w:val="bottom"/>
          </w:tcPr>
          <w:p w14:paraId="51784793" w14:textId="77777777" w:rsidR="00732624" w:rsidRPr="00471CBA" w:rsidRDefault="00732624" w:rsidP="00732624">
            <w:pPr>
              <w:ind w:firstLine="220"/>
              <w:rPr>
                <w:rFonts w:eastAsia="Arial Unicode MS"/>
                <w:sz w:val="18"/>
                <w:szCs w:val="18"/>
              </w:rPr>
            </w:pPr>
            <w:r w:rsidRPr="00471CBA">
              <w:rPr>
                <w:rFonts w:eastAsia="Arial Unicode MS"/>
                <w:sz w:val="18"/>
                <w:szCs w:val="18"/>
              </w:rPr>
              <w:t xml:space="preserve">Gayrimenkul ve Kiralama Hizmetleri  </w:t>
            </w:r>
          </w:p>
        </w:tc>
        <w:tc>
          <w:tcPr>
            <w:tcW w:w="941" w:type="dxa"/>
          </w:tcPr>
          <w:p w14:paraId="0E5EADD1" w14:textId="51B3EEF0" w:rsidR="00732624" w:rsidRPr="00471CBA" w:rsidRDefault="00732624" w:rsidP="00732624">
            <w:pPr>
              <w:ind w:right="40"/>
              <w:jc w:val="right"/>
              <w:rPr>
                <w:bCs/>
                <w:sz w:val="18"/>
                <w:szCs w:val="18"/>
              </w:rPr>
            </w:pPr>
            <w:r w:rsidRPr="00471CBA">
              <w:rPr>
                <w:sz w:val="18"/>
                <w:szCs w:val="18"/>
              </w:rPr>
              <w:t>1.337.439</w:t>
            </w:r>
          </w:p>
        </w:tc>
        <w:tc>
          <w:tcPr>
            <w:tcW w:w="942" w:type="dxa"/>
          </w:tcPr>
          <w:p w14:paraId="613EF57A" w14:textId="48BD755F" w:rsidR="00732624" w:rsidRPr="00471CBA" w:rsidRDefault="00732624" w:rsidP="00732624">
            <w:pPr>
              <w:ind w:right="40"/>
              <w:jc w:val="right"/>
              <w:rPr>
                <w:bCs/>
                <w:sz w:val="18"/>
                <w:szCs w:val="18"/>
              </w:rPr>
            </w:pPr>
            <w:r w:rsidRPr="00471CBA">
              <w:rPr>
                <w:sz w:val="18"/>
                <w:szCs w:val="18"/>
              </w:rPr>
              <w:t>7,65</w:t>
            </w:r>
          </w:p>
        </w:tc>
        <w:tc>
          <w:tcPr>
            <w:tcW w:w="941" w:type="dxa"/>
          </w:tcPr>
          <w:p w14:paraId="475C3F42" w14:textId="40D5A3AD" w:rsidR="00732624" w:rsidRPr="00471CBA" w:rsidRDefault="00732624" w:rsidP="00732624">
            <w:pPr>
              <w:ind w:right="40"/>
              <w:jc w:val="right"/>
              <w:rPr>
                <w:bCs/>
                <w:sz w:val="18"/>
                <w:szCs w:val="18"/>
              </w:rPr>
            </w:pPr>
            <w:r w:rsidRPr="00471CBA">
              <w:rPr>
                <w:sz w:val="18"/>
                <w:szCs w:val="18"/>
              </w:rPr>
              <w:t>286.673</w:t>
            </w:r>
          </w:p>
        </w:tc>
        <w:tc>
          <w:tcPr>
            <w:tcW w:w="851" w:type="dxa"/>
          </w:tcPr>
          <w:p w14:paraId="38F39D12" w14:textId="79364947" w:rsidR="00732624" w:rsidRPr="00471CBA" w:rsidRDefault="00732624" w:rsidP="00732624">
            <w:pPr>
              <w:ind w:right="40"/>
              <w:jc w:val="right"/>
              <w:rPr>
                <w:bCs/>
                <w:sz w:val="18"/>
                <w:szCs w:val="18"/>
              </w:rPr>
            </w:pPr>
            <w:r w:rsidRPr="00471CBA">
              <w:rPr>
                <w:sz w:val="18"/>
                <w:szCs w:val="18"/>
              </w:rPr>
              <w:t>3,49</w:t>
            </w:r>
          </w:p>
        </w:tc>
      </w:tr>
      <w:tr w:rsidR="00732624" w:rsidRPr="00471CBA" w14:paraId="653388BA" w14:textId="77777777" w:rsidTr="00B0049C">
        <w:trPr>
          <w:trHeight w:val="20"/>
        </w:trPr>
        <w:tc>
          <w:tcPr>
            <w:tcW w:w="5795" w:type="dxa"/>
            <w:vAlign w:val="bottom"/>
          </w:tcPr>
          <w:p w14:paraId="72066F70" w14:textId="77777777" w:rsidR="00732624" w:rsidRPr="00471CBA" w:rsidRDefault="00732624" w:rsidP="00732624">
            <w:pPr>
              <w:ind w:firstLine="220"/>
              <w:rPr>
                <w:rFonts w:eastAsia="Arial Unicode MS"/>
                <w:sz w:val="18"/>
                <w:szCs w:val="18"/>
              </w:rPr>
            </w:pPr>
            <w:r w:rsidRPr="00471CBA">
              <w:rPr>
                <w:rFonts w:eastAsia="Arial Unicode MS"/>
                <w:sz w:val="18"/>
                <w:szCs w:val="18"/>
              </w:rPr>
              <w:t>Serbest Meslek Hizmetleri</w:t>
            </w:r>
          </w:p>
        </w:tc>
        <w:tc>
          <w:tcPr>
            <w:tcW w:w="941" w:type="dxa"/>
          </w:tcPr>
          <w:p w14:paraId="7BEDFD9E" w14:textId="2929AB49" w:rsidR="00732624" w:rsidRPr="00471CBA" w:rsidRDefault="00732624" w:rsidP="00732624">
            <w:pPr>
              <w:ind w:right="40"/>
              <w:jc w:val="right"/>
              <w:rPr>
                <w:bCs/>
                <w:sz w:val="18"/>
                <w:szCs w:val="18"/>
              </w:rPr>
            </w:pPr>
            <w:r w:rsidRPr="00471CBA">
              <w:rPr>
                <w:sz w:val="18"/>
                <w:szCs w:val="18"/>
              </w:rPr>
              <w:t>103.657</w:t>
            </w:r>
          </w:p>
        </w:tc>
        <w:tc>
          <w:tcPr>
            <w:tcW w:w="942" w:type="dxa"/>
          </w:tcPr>
          <w:p w14:paraId="74277FD2" w14:textId="21E5804C" w:rsidR="00732624" w:rsidRPr="00471CBA" w:rsidRDefault="00732624" w:rsidP="00732624">
            <w:pPr>
              <w:ind w:right="40"/>
              <w:jc w:val="right"/>
              <w:rPr>
                <w:bCs/>
                <w:sz w:val="18"/>
                <w:szCs w:val="18"/>
              </w:rPr>
            </w:pPr>
            <w:r w:rsidRPr="00471CBA">
              <w:rPr>
                <w:sz w:val="18"/>
                <w:szCs w:val="18"/>
              </w:rPr>
              <w:t>0,59</w:t>
            </w:r>
          </w:p>
        </w:tc>
        <w:tc>
          <w:tcPr>
            <w:tcW w:w="941" w:type="dxa"/>
          </w:tcPr>
          <w:p w14:paraId="2A5F8B02" w14:textId="1727A7E9" w:rsidR="00732624" w:rsidRPr="00471CBA" w:rsidRDefault="00732624" w:rsidP="00732624">
            <w:pPr>
              <w:ind w:right="40"/>
              <w:jc w:val="right"/>
              <w:rPr>
                <w:bCs/>
                <w:sz w:val="18"/>
                <w:szCs w:val="18"/>
              </w:rPr>
            </w:pPr>
            <w:r w:rsidRPr="00471CBA">
              <w:rPr>
                <w:sz w:val="18"/>
                <w:szCs w:val="18"/>
              </w:rPr>
              <w:t>42.846</w:t>
            </w:r>
          </w:p>
        </w:tc>
        <w:tc>
          <w:tcPr>
            <w:tcW w:w="851" w:type="dxa"/>
          </w:tcPr>
          <w:p w14:paraId="2E649EF9" w14:textId="1D135B59" w:rsidR="00732624" w:rsidRPr="00471CBA" w:rsidRDefault="00732624" w:rsidP="00732624">
            <w:pPr>
              <w:ind w:right="40"/>
              <w:jc w:val="right"/>
              <w:rPr>
                <w:bCs/>
                <w:sz w:val="18"/>
                <w:szCs w:val="18"/>
              </w:rPr>
            </w:pPr>
            <w:r w:rsidRPr="00471CBA">
              <w:rPr>
                <w:sz w:val="18"/>
                <w:szCs w:val="18"/>
              </w:rPr>
              <w:t>0,52</w:t>
            </w:r>
          </w:p>
        </w:tc>
      </w:tr>
      <w:tr w:rsidR="00732624" w:rsidRPr="00471CBA" w14:paraId="59AC79F5" w14:textId="77777777" w:rsidTr="00B0049C">
        <w:trPr>
          <w:trHeight w:val="20"/>
        </w:trPr>
        <w:tc>
          <w:tcPr>
            <w:tcW w:w="5795" w:type="dxa"/>
            <w:vAlign w:val="bottom"/>
          </w:tcPr>
          <w:p w14:paraId="05113259" w14:textId="77777777" w:rsidR="00732624" w:rsidRPr="00471CBA" w:rsidRDefault="00732624" w:rsidP="00732624">
            <w:pPr>
              <w:ind w:firstLine="220"/>
              <w:rPr>
                <w:rFonts w:eastAsia="Arial Unicode MS"/>
                <w:sz w:val="18"/>
                <w:szCs w:val="18"/>
              </w:rPr>
            </w:pPr>
            <w:r w:rsidRPr="00471CBA">
              <w:rPr>
                <w:rFonts w:eastAsia="Arial Unicode MS"/>
                <w:sz w:val="18"/>
                <w:szCs w:val="18"/>
              </w:rPr>
              <w:t>Eğitim Hizmetleri</w:t>
            </w:r>
          </w:p>
        </w:tc>
        <w:tc>
          <w:tcPr>
            <w:tcW w:w="941" w:type="dxa"/>
          </w:tcPr>
          <w:p w14:paraId="7FC52D96" w14:textId="53DFD44D" w:rsidR="00732624" w:rsidRPr="00471CBA" w:rsidRDefault="00732624" w:rsidP="00732624">
            <w:pPr>
              <w:ind w:right="40"/>
              <w:jc w:val="right"/>
              <w:rPr>
                <w:bCs/>
                <w:sz w:val="18"/>
                <w:szCs w:val="18"/>
              </w:rPr>
            </w:pPr>
            <w:r w:rsidRPr="00471CBA">
              <w:rPr>
                <w:sz w:val="18"/>
                <w:szCs w:val="18"/>
              </w:rPr>
              <w:t>-</w:t>
            </w:r>
          </w:p>
        </w:tc>
        <w:tc>
          <w:tcPr>
            <w:tcW w:w="942" w:type="dxa"/>
          </w:tcPr>
          <w:p w14:paraId="4A72C89B" w14:textId="5ADB4720" w:rsidR="00732624" w:rsidRPr="00471CBA" w:rsidRDefault="00732624" w:rsidP="00732624">
            <w:pPr>
              <w:ind w:right="40"/>
              <w:jc w:val="right"/>
              <w:rPr>
                <w:bCs/>
                <w:sz w:val="18"/>
                <w:szCs w:val="18"/>
              </w:rPr>
            </w:pPr>
            <w:r w:rsidRPr="00471CBA">
              <w:rPr>
                <w:sz w:val="18"/>
                <w:szCs w:val="18"/>
              </w:rPr>
              <w:t>0,00</w:t>
            </w:r>
          </w:p>
        </w:tc>
        <w:tc>
          <w:tcPr>
            <w:tcW w:w="941" w:type="dxa"/>
          </w:tcPr>
          <w:p w14:paraId="3086B88D" w14:textId="4469F692" w:rsidR="00732624" w:rsidRPr="00471CBA" w:rsidRDefault="00732624" w:rsidP="00732624">
            <w:pPr>
              <w:ind w:right="40"/>
              <w:jc w:val="right"/>
              <w:rPr>
                <w:bCs/>
                <w:sz w:val="18"/>
                <w:szCs w:val="18"/>
              </w:rPr>
            </w:pPr>
            <w:r w:rsidRPr="00471CBA">
              <w:rPr>
                <w:sz w:val="18"/>
                <w:szCs w:val="18"/>
              </w:rPr>
              <w:t>-</w:t>
            </w:r>
          </w:p>
        </w:tc>
        <w:tc>
          <w:tcPr>
            <w:tcW w:w="851" w:type="dxa"/>
          </w:tcPr>
          <w:p w14:paraId="3B62D5AF" w14:textId="1AFBB89E" w:rsidR="00732624" w:rsidRPr="00471CBA" w:rsidRDefault="00732624" w:rsidP="00732624">
            <w:pPr>
              <w:ind w:right="40"/>
              <w:jc w:val="right"/>
              <w:rPr>
                <w:bCs/>
                <w:sz w:val="18"/>
                <w:szCs w:val="18"/>
              </w:rPr>
            </w:pPr>
            <w:r w:rsidRPr="00471CBA">
              <w:rPr>
                <w:sz w:val="18"/>
                <w:szCs w:val="18"/>
              </w:rPr>
              <w:t>0,00</w:t>
            </w:r>
          </w:p>
        </w:tc>
      </w:tr>
      <w:tr w:rsidR="00732624" w:rsidRPr="00471CBA" w14:paraId="13521208" w14:textId="77777777" w:rsidTr="00B0049C">
        <w:trPr>
          <w:trHeight w:val="20"/>
        </w:trPr>
        <w:tc>
          <w:tcPr>
            <w:tcW w:w="5795" w:type="dxa"/>
            <w:vAlign w:val="bottom"/>
          </w:tcPr>
          <w:p w14:paraId="48CF8E9C" w14:textId="77777777" w:rsidR="00732624" w:rsidRPr="00471CBA" w:rsidRDefault="00732624" w:rsidP="00732624">
            <w:pPr>
              <w:ind w:firstLine="220"/>
              <w:rPr>
                <w:sz w:val="18"/>
                <w:szCs w:val="18"/>
              </w:rPr>
            </w:pPr>
            <w:r w:rsidRPr="00471CBA">
              <w:rPr>
                <w:sz w:val="18"/>
                <w:szCs w:val="18"/>
              </w:rPr>
              <w:t>Sağlık ve Sosyal Hizmetler</w:t>
            </w:r>
          </w:p>
        </w:tc>
        <w:tc>
          <w:tcPr>
            <w:tcW w:w="941" w:type="dxa"/>
          </w:tcPr>
          <w:p w14:paraId="5D9ED202" w14:textId="300ECDC9" w:rsidR="00732624" w:rsidRPr="00471CBA" w:rsidRDefault="00732624" w:rsidP="00732624">
            <w:pPr>
              <w:ind w:right="40"/>
              <w:jc w:val="right"/>
              <w:rPr>
                <w:bCs/>
                <w:sz w:val="18"/>
                <w:szCs w:val="18"/>
              </w:rPr>
            </w:pPr>
            <w:r w:rsidRPr="00471CBA">
              <w:rPr>
                <w:sz w:val="18"/>
                <w:szCs w:val="18"/>
              </w:rPr>
              <w:t>182.771</w:t>
            </w:r>
          </w:p>
        </w:tc>
        <w:tc>
          <w:tcPr>
            <w:tcW w:w="942" w:type="dxa"/>
          </w:tcPr>
          <w:p w14:paraId="30EB80AD" w14:textId="7310FEF1" w:rsidR="00732624" w:rsidRPr="00471CBA" w:rsidRDefault="00732624" w:rsidP="00732624">
            <w:pPr>
              <w:ind w:right="40"/>
              <w:jc w:val="right"/>
              <w:rPr>
                <w:bCs/>
                <w:sz w:val="18"/>
                <w:szCs w:val="18"/>
              </w:rPr>
            </w:pPr>
            <w:r w:rsidRPr="00471CBA">
              <w:rPr>
                <w:sz w:val="18"/>
                <w:szCs w:val="18"/>
              </w:rPr>
              <w:t>1,05</w:t>
            </w:r>
          </w:p>
        </w:tc>
        <w:tc>
          <w:tcPr>
            <w:tcW w:w="941" w:type="dxa"/>
          </w:tcPr>
          <w:p w14:paraId="55B4408B" w14:textId="295295B6" w:rsidR="00732624" w:rsidRPr="00471CBA" w:rsidRDefault="00732624" w:rsidP="00732624">
            <w:pPr>
              <w:ind w:right="40"/>
              <w:jc w:val="right"/>
              <w:rPr>
                <w:bCs/>
                <w:sz w:val="18"/>
                <w:szCs w:val="18"/>
              </w:rPr>
            </w:pPr>
            <w:r w:rsidRPr="00471CBA">
              <w:rPr>
                <w:sz w:val="18"/>
                <w:szCs w:val="18"/>
              </w:rPr>
              <w:t>-</w:t>
            </w:r>
          </w:p>
        </w:tc>
        <w:tc>
          <w:tcPr>
            <w:tcW w:w="851" w:type="dxa"/>
          </w:tcPr>
          <w:p w14:paraId="7F1CEA36" w14:textId="7F17ACA0" w:rsidR="00732624" w:rsidRPr="00471CBA" w:rsidRDefault="00732624" w:rsidP="00732624">
            <w:pPr>
              <w:ind w:right="40"/>
              <w:jc w:val="right"/>
              <w:rPr>
                <w:bCs/>
                <w:sz w:val="18"/>
                <w:szCs w:val="18"/>
              </w:rPr>
            </w:pPr>
            <w:r w:rsidRPr="00471CBA">
              <w:rPr>
                <w:sz w:val="18"/>
                <w:szCs w:val="18"/>
              </w:rPr>
              <w:t>0,00</w:t>
            </w:r>
          </w:p>
        </w:tc>
      </w:tr>
      <w:tr w:rsidR="00732624" w:rsidRPr="00471CBA" w14:paraId="4DE46099" w14:textId="77777777" w:rsidTr="00B0049C">
        <w:trPr>
          <w:trHeight w:val="106"/>
        </w:trPr>
        <w:tc>
          <w:tcPr>
            <w:tcW w:w="5795" w:type="dxa"/>
            <w:vAlign w:val="center"/>
          </w:tcPr>
          <w:p w14:paraId="4E8A6C7C" w14:textId="77777777" w:rsidR="00732624" w:rsidRPr="00471CBA" w:rsidRDefault="00732624" w:rsidP="00732624">
            <w:pPr>
              <w:rPr>
                <w:b/>
                <w:iCs/>
                <w:snapToGrid w:val="0"/>
                <w:sz w:val="18"/>
                <w:szCs w:val="18"/>
              </w:rPr>
            </w:pPr>
            <w:r w:rsidRPr="00471CBA">
              <w:rPr>
                <w:b/>
                <w:iCs/>
                <w:snapToGrid w:val="0"/>
                <w:sz w:val="18"/>
                <w:szCs w:val="18"/>
              </w:rPr>
              <w:t>Diğer</w:t>
            </w:r>
          </w:p>
        </w:tc>
        <w:tc>
          <w:tcPr>
            <w:tcW w:w="941" w:type="dxa"/>
          </w:tcPr>
          <w:p w14:paraId="2F70B800" w14:textId="0B5BD018" w:rsidR="00732624" w:rsidRPr="00471CBA" w:rsidRDefault="00732624" w:rsidP="00732624">
            <w:pPr>
              <w:ind w:right="40"/>
              <w:jc w:val="right"/>
              <w:rPr>
                <w:b/>
                <w:sz w:val="18"/>
                <w:szCs w:val="18"/>
              </w:rPr>
            </w:pPr>
            <w:r w:rsidRPr="00471CBA">
              <w:rPr>
                <w:b/>
                <w:sz w:val="18"/>
                <w:szCs w:val="18"/>
              </w:rPr>
              <w:t>120.737</w:t>
            </w:r>
          </w:p>
        </w:tc>
        <w:tc>
          <w:tcPr>
            <w:tcW w:w="942" w:type="dxa"/>
          </w:tcPr>
          <w:p w14:paraId="124FA182" w14:textId="40D9C5B9" w:rsidR="00732624" w:rsidRPr="00471CBA" w:rsidRDefault="00732624" w:rsidP="00732624">
            <w:pPr>
              <w:ind w:right="40"/>
              <w:jc w:val="right"/>
              <w:rPr>
                <w:b/>
                <w:sz w:val="18"/>
                <w:szCs w:val="18"/>
              </w:rPr>
            </w:pPr>
            <w:r w:rsidRPr="00471CBA">
              <w:rPr>
                <w:b/>
                <w:sz w:val="18"/>
                <w:szCs w:val="18"/>
              </w:rPr>
              <w:t>0,69</w:t>
            </w:r>
          </w:p>
        </w:tc>
        <w:tc>
          <w:tcPr>
            <w:tcW w:w="941" w:type="dxa"/>
          </w:tcPr>
          <w:p w14:paraId="13F3B2F9" w14:textId="28DA2B40" w:rsidR="00732624" w:rsidRPr="00471CBA" w:rsidRDefault="00732624" w:rsidP="00732624">
            <w:pPr>
              <w:ind w:right="40"/>
              <w:jc w:val="right"/>
              <w:rPr>
                <w:b/>
                <w:sz w:val="18"/>
                <w:szCs w:val="18"/>
              </w:rPr>
            </w:pPr>
            <w:r w:rsidRPr="00471CBA">
              <w:rPr>
                <w:b/>
                <w:sz w:val="18"/>
                <w:szCs w:val="18"/>
              </w:rPr>
              <w:t>926</w:t>
            </w:r>
          </w:p>
        </w:tc>
        <w:tc>
          <w:tcPr>
            <w:tcW w:w="851" w:type="dxa"/>
          </w:tcPr>
          <w:p w14:paraId="0725BD86" w14:textId="00AC182C" w:rsidR="00732624" w:rsidRPr="00471CBA" w:rsidRDefault="00732624" w:rsidP="00732624">
            <w:pPr>
              <w:ind w:right="40"/>
              <w:jc w:val="right"/>
              <w:rPr>
                <w:b/>
                <w:sz w:val="18"/>
                <w:szCs w:val="18"/>
              </w:rPr>
            </w:pPr>
            <w:r w:rsidRPr="00471CBA">
              <w:rPr>
                <w:b/>
                <w:sz w:val="18"/>
                <w:szCs w:val="18"/>
              </w:rPr>
              <w:t>0,01</w:t>
            </w:r>
          </w:p>
        </w:tc>
      </w:tr>
      <w:tr w:rsidR="00732624" w:rsidRPr="00471CBA" w14:paraId="4BF0B304" w14:textId="77777777" w:rsidTr="00B0049C">
        <w:trPr>
          <w:trHeight w:val="20"/>
        </w:trPr>
        <w:tc>
          <w:tcPr>
            <w:tcW w:w="5795" w:type="dxa"/>
            <w:tcBorders>
              <w:bottom w:val="single" w:sz="4" w:space="0" w:color="auto"/>
            </w:tcBorders>
            <w:vAlign w:val="center"/>
          </w:tcPr>
          <w:p w14:paraId="4D5A99C9" w14:textId="77777777" w:rsidR="00732624" w:rsidRPr="00471CBA" w:rsidRDefault="00732624" w:rsidP="00732624">
            <w:pPr>
              <w:rPr>
                <w:iCs/>
                <w:snapToGrid w:val="0"/>
                <w:sz w:val="18"/>
                <w:szCs w:val="18"/>
              </w:rPr>
            </w:pPr>
          </w:p>
        </w:tc>
        <w:tc>
          <w:tcPr>
            <w:tcW w:w="941" w:type="dxa"/>
            <w:tcBorders>
              <w:bottom w:val="single" w:sz="4" w:space="0" w:color="auto"/>
            </w:tcBorders>
          </w:tcPr>
          <w:p w14:paraId="27CA8372" w14:textId="77777777" w:rsidR="00732624" w:rsidRPr="00471CBA" w:rsidRDefault="00732624" w:rsidP="00732624">
            <w:pPr>
              <w:ind w:right="40"/>
              <w:jc w:val="right"/>
              <w:rPr>
                <w:b/>
                <w:bCs/>
                <w:sz w:val="18"/>
                <w:szCs w:val="18"/>
              </w:rPr>
            </w:pPr>
          </w:p>
        </w:tc>
        <w:tc>
          <w:tcPr>
            <w:tcW w:w="942" w:type="dxa"/>
            <w:tcBorders>
              <w:bottom w:val="single" w:sz="4" w:space="0" w:color="auto"/>
            </w:tcBorders>
          </w:tcPr>
          <w:p w14:paraId="1F217493" w14:textId="77777777" w:rsidR="00732624" w:rsidRPr="00471CBA" w:rsidRDefault="00732624" w:rsidP="00732624">
            <w:pPr>
              <w:ind w:right="40"/>
              <w:jc w:val="right"/>
              <w:rPr>
                <w:b/>
                <w:bCs/>
                <w:sz w:val="18"/>
                <w:szCs w:val="18"/>
              </w:rPr>
            </w:pPr>
          </w:p>
        </w:tc>
        <w:tc>
          <w:tcPr>
            <w:tcW w:w="941" w:type="dxa"/>
            <w:tcBorders>
              <w:bottom w:val="single" w:sz="4" w:space="0" w:color="auto"/>
            </w:tcBorders>
          </w:tcPr>
          <w:p w14:paraId="6181DBCE" w14:textId="77777777" w:rsidR="00732624" w:rsidRPr="00471CBA" w:rsidRDefault="00732624" w:rsidP="00732624">
            <w:pPr>
              <w:ind w:right="40"/>
              <w:jc w:val="right"/>
              <w:rPr>
                <w:b/>
                <w:bCs/>
                <w:sz w:val="18"/>
                <w:szCs w:val="18"/>
              </w:rPr>
            </w:pPr>
          </w:p>
        </w:tc>
        <w:tc>
          <w:tcPr>
            <w:tcW w:w="851" w:type="dxa"/>
            <w:tcBorders>
              <w:bottom w:val="single" w:sz="4" w:space="0" w:color="auto"/>
            </w:tcBorders>
          </w:tcPr>
          <w:p w14:paraId="4DDA54B6" w14:textId="77777777" w:rsidR="00732624" w:rsidRPr="00471CBA" w:rsidRDefault="00732624" w:rsidP="00732624">
            <w:pPr>
              <w:ind w:right="40"/>
              <w:jc w:val="right"/>
              <w:rPr>
                <w:b/>
                <w:bCs/>
                <w:sz w:val="18"/>
                <w:szCs w:val="18"/>
              </w:rPr>
            </w:pPr>
          </w:p>
        </w:tc>
      </w:tr>
      <w:tr w:rsidR="00732624" w:rsidRPr="00471CBA" w14:paraId="2FB69AA0" w14:textId="77777777" w:rsidTr="00B0049C">
        <w:trPr>
          <w:trHeight w:val="20"/>
        </w:trPr>
        <w:tc>
          <w:tcPr>
            <w:tcW w:w="5795" w:type="dxa"/>
            <w:tcBorders>
              <w:top w:val="single" w:sz="4" w:space="0" w:color="auto"/>
              <w:bottom w:val="single" w:sz="12" w:space="0" w:color="auto"/>
            </w:tcBorders>
            <w:vAlign w:val="bottom"/>
          </w:tcPr>
          <w:p w14:paraId="6C1085AE" w14:textId="77777777" w:rsidR="00732624" w:rsidRPr="00471CBA" w:rsidRDefault="00732624" w:rsidP="00732624">
            <w:pPr>
              <w:rPr>
                <w:b/>
                <w:iCs/>
                <w:snapToGrid w:val="0"/>
                <w:sz w:val="18"/>
                <w:szCs w:val="18"/>
              </w:rPr>
            </w:pPr>
            <w:r w:rsidRPr="00471CBA">
              <w:rPr>
                <w:b/>
                <w:iCs/>
                <w:snapToGrid w:val="0"/>
                <w:sz w:val="18"/>
                <w:szCs w:val="18"/>
              </w:rPr>
              <w:t>Toplam</w:t>
            </w:r>
          </w:p>
        </w:tc>
        <w:tc>
          <w:tcPr>
            <w:tcW w:w="941" w:type="dxa"/>
            <w:tcBorders>
              <w:top w:val="single" w:sz="4" w:space="0" w:color="auto"/>
              <w:bottom w:val="single" w:sz="12" w:space="0" w:color="auto"/>
            </w:tcBorders>
          </w:tcPr>
          <w:p w14:paraId="50E54D42" w14:textId="47CC7D90" w:rsidR="00732624" w:rsidRPr="00471CBA" w:rsidRDefault="00732624" w:rsidP="00732624">
            <w:pPr>
              <w:ind w:right="40"/>
              <w:jc w:val="right"/>
              <w:rPr>
                <w:b/>
                <w:sz w:val="18"/>
                <w:szCs w:val="18"/>
              </w:rPr>
            </w:pPr>
            <w:r w:rsidRPr="00471CBA">
              <w:rPr>
                <w:b/>
                <w:sz w:val="18"/>
                <w:szCs w:val="18"/>
              </w:rPr>
              <w:t>17.474.788</w:t>
            </w:r>
          </w:p>
        </w:tc>
        <w:tc>
          <w:tcPr>
            <w:tcW w:w="942" w:type="dxa"/>
            <w:tcBorders>
              <w:top w:val="single" w:sz="4" w:space="0" w:color="auto"/>
              <w:bottom w:val="single" w:sz="12" w:space="0" w:color="auto"/>
            </w:tcBorders>
          </w:tcPr>
          <w:p w14:paraId="07D1D04C" w14:textId="2CFF2D82" w:rsidR="00732624" w:rsidRPr="00471CBA" w:rsidRDefault="00732624" w:rsidP="00732624">
            <w:pPr>
              <w:ind w:right="40"/>
              <w:jc w:val="right"/>
              <w:rPr>
                <w:b/>
                <w:sz w:val="18"/>
                <w:szCs w:val="18"/>
              </w:rPr>
            </w:pPr>
            <w:r w:rsidRPr="00471CBA">
              <w:rPr>
                <w:b/>
                <w:sz w:val="18"/>
                <w:szCs w:val="18"/>
              </w:rPr>
              <w:t>100,00</w:t>
            </w:r>
          </w:p>
        </w:tc>
        <w:tc>
          <w:tcPr>
            <w:tcW w:w="941" w:type="dxa"/>
            <w:tcBorders>
              <w:top w:val="single" w:sz="4" w:space="0" w:color="auto"/>
              <w:bottom w:val="single" w:sz="12" w:space="0" w:color="auto"/>
            </w:tcBorders>
          </w:tcPr>
          <w:p w14:paraId="173095A1" w14:textId="0950E9C8" w:rsidR="00732624" w:rsidRPr="00471CBA" w:rsidRDefault="00732624" w:rsidP="00732624">
            <w:pPr>
              <w:ind w:right="40"/>
              <w:jc w:val="right"/>
              <w:rPr>
                <w:b/>
                <w:sz w:val="18"/>
                <w:szCs w:val="18"/>
              </w:rPr>
            </w:pPr>
            <w:r w:rsidRPr="00471CBA">
              <w:rPr>
                <w:b/>
                <w:sz w:val="18"/>
                <w:szCs w:val="18"/>
              </w:rPr>
              <w:t>8.205.895</w:t>
            </w:r>
          </w:p>
        </w:tc>
        <w:tc>
          <w:tcPr>
            <w:tcW w:w="851" w:type="dxa"/>
            <w:tcBorders>
              <w:top w:val="single" w:sz="4" w:space="0" w:color="auto"/>
              <w:bottom w:val="single" w:sz="12" w:space="0" w:color="auto"/>
            </w:tcBorders>
          </w:tcPr>
          <w:p w14:paraId="3DE906CC" w14:textId="31674561" w:rsidR="00732624" w:rsidRPr="00471CBA" w:rsidRDefault="00732624" w:rsidP="00732624">
            <w:pPr>
              <w:ind w:right="40"/>
              <w:jc w:val="right"/>
              <w:rPr>
                <w:b/>
                <w:sz w:val="18"/>
                <w:szCs w:val="18"/>
              </w:rPr>
            </w:pPr>
            <w:r w:rsidRPr="00471CBA">
              <w:rPr>
                <w:b/>
                <w:sz w:val="18"/>
                <w:szCs w:val="18"/>
              </w:rPr>
              <w:t>100,00</w:t>
            </w:r>
          </w:p>
        </w:tc>
      </w:tr>
    </w:tbl>
    <w:p w14:paraId="571AF89B" w14:textId="4D093D24" w:rsidR="002432BC" w:rsidRPr="00471CBA" w:rsidRDefault="002432BC" w:rsidP="002432BC">
      <w:pPr>
        <w:pStyle w:val="GvdeMetniGirintisi"/>
        <w:widowControl w:val="0"/>
        <w:spacing w:after="120"/>
        <w:ind w:left="1276" w:right="206" w:hanging="425"/>
      </w:pPr>
    </w:p>
    <w:tbl>
      <w:tblPr>
        <w:tblW w:w="9470" w:type="dxa"/>
        <w:tblInd w:w="28" w:type="dxa"/>
        <w:tblLayout w:type="fixed"/>
        <w:tblCellMar>
          <w:left w:w="30" w:type="dxa"/>
          <w:right w:w="30" w:type="dxa"/>
        </w:tblCellMar>
        <w:tblLook w:val="0000" w:firstRow="0" w:lastRow="0" w:firstColumn="0" w:lastColumn="0" w:noHBand="0" w:noVBand="0"/>
      </w:tblPr>
      <w:tblGrid>
        <w:gridCol w:w="5795"/>
        <w:gridCol w:w="931"/>
        <w:gridCol w:w="932"/>
        <w:gridCol w:w="932"/>
        <w:gridCol w:w="880"/>
      </w:tblGrid>
      <w:tr w:rsidR="002432BC" w:rsidRPr="00471CBA" w14:paraId="56E54F23" w14:textId="77777777" w:rsidTr="00B0049C">
        <w:trPr>
          <w:trHeight w:val="77"/>
        </w:trPr>
        <w:tc>
          <w:tcPr>
            <w:tcW w:w="5795" w:type="dxa"/>
            <w:vMerge w:val="restart"/>
            <w:tcBorders>
              <w:top w:val="single" w:sz="4" w:space="0" w:color="auto"/>
              <w:bottom w:val="single" w:sz="4" w:space="0" w:color="auto"/>
            </w:tcBorders>
            <w:vAlign w:val="center"/>
          </w:tcPr>
          <w:p w14:paraId="40C0398F" w14:textId="77777777" w:rsidR="002432BC" w:rsidRPr="00471CBA" w:rsidRDefault="002432BC" w:rsidP="00B0049C">
            <w:pPr>
              <w:pStyle w:val="SonNotMetni"/>
              <w:jc w:val="center"/>
              <w:rPr>
                <w:b/>
                <w:snapToGrid w:val="0"/>
                <w:sz w:val="18"/>
                <w:szCs w:val="18"/>
              </w:rPr>
            </w:pPr>
          </w:p>
        </w:tc>
        <w:tc>
          <w:tcPr>
            <w:tcW w:w="3675" w:type="dxa"/>
            <w:gridSpan w:val="4"/>
            <w:tcBorders>
              <w:top w:val="single" w:sz="4" w:space="0" w:color="auto"/>
              <w:bottom w:val="single" w:sz="4" w:space="0" w:color="auto"/>
            </w:tcBorders>
            <w:vAlign w:val="bottom"/>
          </w:tcPr>
          <w:p w14:paraId="296D0854" w14:textId="4708507B" w:rsidR="002432BC" w:rsidRPr="00471CBA" w:rsidRDefault="0052668F" w:rsidP="00B0049C">
            <w:pPr>
              <w:jc w:val="center"/>
              <w:rPr>
                <w:b/>
                <w:snapToGrid w:val="0"/>
                <w:sz w:val="18"/>
                <w:szCs w:val="18"/>
              </w:rPr>
            </w:pPr>
            <w:r w:rsidRPr="00471CBA">
              <w:rPr>
                <w:b/>
                <w:bCs/>
                <w:color w:val="000000"/>
                <w:sz w:val="18"/>
                <w:szCs w:val="18"/>
              </w:rPr>
              <w:t>31 Aralık 2024</w:t>
            </w:r>
          </w:p>
        </w:tc>
      </w:tr>
      <w:tr w:rsidR="002432BC" w:rsidRPr="00471CBA" w14:paraId="48514622" w14:textId="77777777" w:rsidTr="00B0049C">
        <w:trPr>
          <w:trHeight w:val="20"/>
        </w:trPr>
        <w:tc>
          <w:tcPr>
            <w:tcW w:w="5795" w:type="dxa"/>
            <w:vMerge/>
            <w:tcBorders>
              <w:top w:val="single" w:sz="4" w:space="0" w:color="auto"/>
              <w:bottom w:val="single" w:sz="4" w:space="0" w:color="auto"/>
            </w:tcBorders>
            <w:vAlign w:val="center"/>
          </w:tcPr>
          <w:p w14:paraId="3619DCA3" w14:textId="77777777" w:rsidR="002432BC" w:rsidRPr="00471CBA" w:rsidRDefault="002432BC" w:rsidP="00B0049C">
            <w:pPr>
              <w:rPr>
                <w:b/>
                <w:snapToGrid w:val="0"/>
                <w:sz w:val="18"/>
                <w:szCs w:val="18"/>
              </w:rPr>
            </w:pPr>
          </w:p>
        </w:tc>
        <w:tc>
          <w:tcPr>
            <w:tcW w:w="931" w:type="dxa"/>
            <w:tcBorders>
              <w:top w:val="single" w:sz="4" w:space="0" w:color="auto"/>
              <w:bottom w:val="single" w:sz="4" w:space="0" w:color="auto"/>
            </w:tcBorders>
            <w:vAlign w:val="bottom"/>
          </w:tcPr>
          <w:p w14:paraId="19323AC6" w14:textId="77777777" w:rsidR="002432BC" w:rsidRPr="00471CBA" w:rsidRDefault="002432BC" w:rsidP="00B0049C">
            <w:pPr>
              <w:ind w:right="40"/>
              <w:jc w:val="right"/>
              <w:rPr>
                <w:b/>
                <w:snapToGrid w:val="0"/>
                <w:sz w:val="18"/>
                <w:szCs w:val="18"/>
              </w:rPr>
            </w:pPr>
            <w:r w:rsidRPr="00471CBA">
              <w:rPr>
                <w:b/>
                <w:snapToGrid w:val="0"/>
                <w:sz w:val="18"/>
                <w:szCs w:val="18"/>
              </w:rPr>
              <w:t>TP</w:t>
            </w:r>
          </w:p>
        </w:tc>
        <w:tc>
          <w:tcPr>
            <w:tcW w:w="932" w:type="dxa"/>
            <w:tcBorders>
              <w:top w:val="single" w:sz="4" w:space="0" w:color="auto"/>
              <w:bottom w:val="single" w:sz="4" w:space="0" w:color="auto"/>
            </w:tcBorders>
            <w:vAlign w:val="bottom"/>
          </w:tcPr>
          <w:p w14:paraId="37058470" w14:textId="77777777" w:rsidR="002432BC" w:rsidRPr="00471CBA" w:rsidRDefault="002432BC" w:rsidP="00B0049C">
            <w:pPr>
              <w:ind w:right="40"/>
              <w:jc w:val="right"/>
              <w:rPr>
                <w:b/>
                <w:snapToGrid w:val="0"/>
                <w:sz w:val="18"/>
                <w:szCs w:val="18"/>
              </w:rPr>
            </w:pPr>
            <w:r w:rsidRPr="00471CBA">
              <w:rPr>
                <w:b/>
                <w:snapToGrid w:val="0"/>
                <w:sz w:val="18"/>
                <w:szCs w:val="18"/>
              </w:rPr>
              <w:t>(%)</w:t>
            </w:r>
          </w:p>
        </w:tc>
        <w:tc>
          <w:tcPr>
            <w:tcW w:w="932" w:type="dxa"/>
            <w:tcBorders>
              <w:top w:val="single" w:sz="4" w:space="0" w:color="auto"/>
              <w:bottom w:val="single" w:sz="4" w:space="0" w:color="auto"/>
            </w:tcBorders>
            <w:vAlign w:val="bottom"/>
          </w:tcPr>
          <w:p w14:paraId="69B6939A" w14:textId="77777777" w:rsidR="002432BC" w:rsidRPr="00471CBA" w:rsidRDefault="002432BC" w:rsidP="00B0049C">
            <w:pPr>
              <w:ind w:right="40"/>
              <w:jc w:val="right"/>
              <w:rPr>
                <w:b/>
                <w:snapToGrid w:val="0"/>
                <w:sz w:val="18"/>
                <w:szCs w:val="18"/>
              </w:rPr>
            </w:pPr>
            <w:r w:rsidRPr="00471CBA">
              <w:rPr>
                <w:b/>
                <w:snapToGrid w:val="0"/>
                <w:sz w:val="18"/>
                <w:szCs w:val="18"/>
              </w:rPr>
              <w:t>YP</w:t>
            </w:r>
          </w:p>
        </w:tc>
        <w:tc>
          <w:tcPr>
            <w:tcW w:w="880" w:type="dxa"/>
            <w:tcBorders>
              <w:top w:val="single" w:sz="4" w:space="0" w:color="auto"/>
              <w:bottom w:val="single" w:sz="4" w:space="0" w:color="auto"/>
            </w:tcBorders>
            <w:vAlign w:val="bottom"/>
          </w:tcPr>
          <w:p w14:paraId="1C496FC3" w14:textId="77777777" w:rsidR="002432BC" w:rsidRPr="00471CBA" w:rsidRDefault="002432BC" w:rsidP="00B0049C">
            <w:pPr>
              <w:ind w:right="40"/>
              <w:jc w:val="right"/>
              <w:rPr>
                <w:b/>
                <w:snapToGrid w:val="0"/>
                <w:sz w:val="18"/>
                <w:szCs w:val="18"/>
              </w:rPr>
            </w:pPr>
            <w:r w:rsidRPr="00471CBA">
              <w:rPr>
                <w:b/>
                <w:snapToGrid w:val="0"/>
                <w:sz w:val="18"/>
                <w:szCs w:val="18"/>
              </w:rPr>
              <w:t>(%)</w:t>
            </w:r>
          </w:p>
        </w:tc>
      </w:tr>
      <w:tr w:rsidR="002432BC" w:rsidRPr="00471CBA" w14:paraId="70A95535" w14:textId="77777777" w:rsidTr="00B0049C">
        <w:trPr>
          <w:trHeight w:val="20"/>
        </w:trPr>
        <w:tc>
          <w:tcPr>
            <w:tcW w:w="5795" w:type="dxa"/>
            <w:tcBorders>
              <w:top w:val="single" w:sz="4" w:space="0" w:color="auto"/>
            </w:tcBorders>
            <w:vAlign w:val="center"/>
          </w:tcPr>
          <w:p w14:paraId="70FC6C54" w14:textId="77777777" w:rsidR="002432BC" w:rsidRPr="00471CBA" w:rsidRDefault="002432BC" w:rsidP="00B0049C">
            <w:pPr>
              <w:rPr>
                <w:snapToGrid w:val="0"/>
                <w:sz w:val="18"/>
                <w:szCs w:val="18"/>
              </w:rPr>
            </w:pPr>
          </w:p>
        </w:tc>
        <w:tc>
          <w:tcPr>
            <w:tcW w:w="931" w:type="dxa"/>
            <w:tcBorders>
              <w:top w:val="single" w:sz="4" w:space="0" w:color="auto"/>
            </w:tcBorders>
            <w:vAlign w:val="bottom"/>
          </w:tcPr>
          <w:p w14:paraId="1ED4B486" w14:textId="77777777" w:rsidR="002432BC" w:rsidRPr="00471CBA" w:rsidRDefault="002432BC" w:rsidP="00B0049C">
            <w:pPr>
              <w:ind w:right="40"/>
              <w:jc w:val="right"/>
              <w:rPr>
                <w:snapToGrid w:val="0"/>
                <w:sz w:val="18"/>
                <w:szCs w:val="18"/>
              </w:rPr>
            </w:pPr>
          </w:p>
        </w:tc>
        <w:tc>
          <w:tcPr>
            <w:tcW w:w="932" w:type="dxa"/>
            <w:tcBorders>
              <w:top w:val="single" w:sz="4" w:space="0" w:color="auto"/>
            </w:tcBorders>
            <w:vAlign w:val="bottom"/>
          </w:tcPr>
          <w:p w14:paraId="611E42A2" w14:textId="77777777" w:rsidR="002432BC" w:rsidRPr="00471CBA" w:rsidRDefault="002432BC" w:rsidP="00B0049C">
            <w:pPr>
              <w:ind w:right="40"/>
              <w:jc w:val="right"/>
              <w:rPr>
                <w:snapToGrid w:val="0"/>
                <w:sz w:val="18"/>
                <w:szCs w:val="18"/>
              </w:rPr>
            </w:pPr>
          </w:p>
        </w:tc>
        <w:tc>
          <w:tcPr>
            <w:tcW w:w="932" w:type="dxa"/>
            <w:tcBorders>
              <w:top w:val="single" w:sz="4" w:space="0" w:color="auto"/>
            </w:tcBorders>
            <w:vAlign w:val="bottom"/>
          </w:tcPr>
          <w:p w14:paraId="60EF2567" w14:textId="77777777" w:rsidR="002432BC" w:rsidRPr="00471CBA" w:rsidRDefault="002432BC" w:rsidP="00B0049C">
            <w:pPr>
              <w:ind w:right="40"/>
              <w:jc w:val="right"/>
              <w:rPr>
                <w:snapToGrid w:val="0"/>
                <w:sz w:val="18"/>
                <w:szCs w:val="18"/>
              </w:rPr>
            </w:pPr>
          </w:p>
        </w:tc>
        <w:tc>
          <w:tcPr>
            <w:tcW w:w="880" w:type="dxa"/>
            <w:tcBorders>
              <w:top w:val="single" w:sz="4" w:space="0" w:color="auto"/>
            </w:tcBorders>
            <w:vAlign w:val="bottom"/>
          </w:tcPr>
          <w:p w14:paraId="517AD77A" w14:textId="77777777" w:rsidR="002432BC" w:rsidRPr="00471CBA" w:rsidRDefault="002432BC" w:rsidP="00B0049C">
            <w:pPr>
              <w:ind w:right="40"/>
              <w:jc w:val="right"/>
              <w:rPr>
                <w:snapToGrid w:val="0"/>
                <w:sz w:val="18"/>
                <w:szCs w:val="18"/>
              </w:rPr>
            </w:pPr>
          </w:p>
        </w:tc>
      </w:tr>
      <w:tr w:rsidR="0052668F" w:rsidRPr="00471CBA" w14:paraId="588AEDFB" w14:textId="77777777" w:rsidTr="00F56860">
        <w:trPr>
          <w:trHeight w:val="20"/>
        </w:trPr>
        <w:tc>
          <w:tcPr>
            <w:tcW w:w="5795" w:type="dxa"/>
            <w:vAlign w:val="center"/>
          </w:tcPr>
          <w:p w14:paraId="2B36D60E" w14:textId="77777777" w:rsidR="0052668F" w:rsidRPr="00471CBA" w:rsidRDefault="0052668F" w:rsidP="0052668F">
            <w:pPr>
              <w:rPr>
                <w:b/>
                <w:snapToGrid w:val="0"/>
                <w:sz w:val="18"/>
                <w:szCs w:val="18"/>
              </w:rPr>
            </w:pPr>
            <w:r w:rsidRPr="00471CBA">
              <w:rPr>
                <w:b/>
                <w:snapToGrid w:val="0"/>
                <w:sz w:val="18"/>
                <w:szCs w:val="18"/>
              </w:rPr>
              <w:t>Tarım</w:t>
            </w:r>
          </w:p>
        </w:tc>
        <w:tc>
          <w:tcPr>
            <w:tcW w:w="931" w:type="dxa"/>
          </w:tcPr>
          <w:p w14:paraId="71BE9E0A" w14:textId="0129F704" w:rsidR="0052668F" w:rsidRPr="00471CBA" w:rsidRDefault="0052668F" w:rsidP="0052668F">
            <w:pPr>
              <w:ind w:right="40"/>
              <w:jc w:val="right"/>
              <w:rPr>
                <w:b/>
                <w:bCs/>
                <w:sz w:val="18"/>
                <w:szCs w:val="18"/>
              </w:rPr>
            </w:pPr>
            <w:r w:rsidRPr="00471CBA">
              <w:rPr>
                <w:b/>
                <w:sz w:val="18"/>
                <w:szCs w:val="18"/>
              </w:rPr>
              <w:t>107</w:t>
            </w:r>
          </w:p>
        </w:tc>
        <w:tc>
          <w:tcPr>
            <w:tcW w:w="932" w:type="dxa"/>
          </w:tcPr>
          <w:p w14:paraId="38C1E65C" w14:textId="1780FCCA" w:rsidR="0052668F" w:rsidRPr="00471CBA" w:rsidRDefault="0052668F" w:rsidP="0052668F">
            <w:pPr>
              <w:ind w:right="40"/>
              <w:jc w:val="right"/>
              <w:rPr>
                <w:b/>
                <w:bCs/>
                <w:sz w:val="18"/>
                <w:szCs w:val="18"/>
              </w:rPr>
            </w:pPr>
            <w:r w:rsidRPr="00471CBA">
              <w:rPr>
                <w:b/>
                <w:sz w:val="18"/>
                <w:szCs w:val="18"/>
              </w:rPr>
              <w:t>0,00</w:t>
            </w:r>
          </w:p>
        </w:tc>
        <w:tc>
          <w:tcPr>
            <w:tcW w:w="932" w:type="dxa"/>
          </w:tcPr>
          <w:p w14:paraId="01AF33AA" w14:textId="10E82FB0" w:rsidR="0052668F" w:rsidRPr="00471CBA" w:rsidRDefault="0052668F" w:rsidP="0052668F">
            <w:pPr>
              <w:ind w:right="40"/>
              <w:jc w:val="right"/>
              <w:rPr>
                <w:b/>
                <w:bCs/>
                <w:sz w:val="18"/>
                <w:szCs w:val="18"/>
              </w:rPr>
            </w:pPr>
            <w:r w:rsidRPr="00471CBA">
              <w:rPr>
                <w:b/>
                <w:sz w:val="18"/>
                <w:szCs w:val="18"/>
              </w:rPr>
              <w:t>6.407</w:t>
            </w:r>
          </w:p>
        </w:tc>
        <w:tc>
          <w:tcPr>
            <w:tcW w:w="880" w:type="dxa"/>
          </w:tcPr>
          <w:p w14:paraId="395DA4E0" w14:textId="0648EBE2" w:rsidR="0052668F" w:rsidRPr="00471CBA" w:rsidRDefault="0052668F" w:rsidP="0052668F">
            <w:pPr>
              <w:ind w:right="40"/>
              <w:jc w:val="right"/>
              <w:rPr>
                <w:b/>
                <w:bCs/>
                <w:sz w:val="18"/>
                <w:szCs w:val="18"/>
              </w:rPr>
            </w:pPr>
            <w:r w:rsidRPr="00471CBA">
              <w:rPr>
                <w:b/>
                <w:sz w:val="18"/>
                <w:szCs w:val="18"/>
              </w:rPr>
              <w:t>0,31</w:t>
            </w:r>
          </w:p>
        </w:tc>
      </w:tr>
      <w:tr w:rsidR="0052668F" w:rsidRPr="00471CBA" w14:paraId="6A533D5E" w14:textId="77777777" w:rsidTr="00F56860">
        <w:trPr>
          <w:trHeight w:val="20"/>
        </w:trPr>
        <w:tc>
          <w:tcPr>
            <w:tcW w:w="5795" w:type="dxa"/>
            <w:vAlign w:val="center"/>
          </w:tcPr>
          <w:p w14:paraId="64D8A766" w14:textId="77777777" w:rsidR="0052668F" w:rsidRPr="00471CBA" w:rsidRDefault="0052668F" w:rsidP="0052668F">
            <w:pPr>
              <w:ind w:firstLine="220"/>
              <w:rPr>
                <w:snapToGrid w:val="0"/>
                <w:sz w:val="18"/>
                <w:szCs w:val="18"/>
              </w:rPr>
            </w:pPr>
            <w:r w:rsidRPr="00471CBA">
              <w:rPr>
                <w:snapToGrid w:val="0"/>
                <w:sz w:val="18"/>
                <w:szCs w:val="18"/>
              </w:rPr>
              <w:t xml:space="preserve">Çiftçilik ve Hayvancılık </w:t>
            </w:r>
          </w:p>
        </w:tc>
        <w:tc>
          <w:tcPr>
            <w:tcW w:w="931" w:type="dxa"/>
          </w:tcPr>
          <w:p w14:paraId="669ADF80" w14:textId="7E954C76" w:rsidR="0052668F" w:rsidRPr="00471CBA" w:rsidRDefault="0052668F" w:rsidP="0052668F">
            <w:pPr>
              <w:ind w:right="40"/>
              <w:jc w:val="right"/>
              <w:rPr>
                <w:bCs/>
                <w:sz w:val="18"/>
                <w:szCs w:val="18"/>
              </w:rPr>
            </w:pPr>
            <w:r w:rsidRPr="00471CBA">
              <w:rPr>
                <w:sz w:val="18"/>
                <w:szCs w:val="18"/>
              </w:rPr>
              <w:t>107</w:t>
            </w:r>
          </w:p>
        </w:tc>
        <w:tc>
          <w:tcPr>
            <w:tcW w:w="932" w:type="dxa"/>
          </w:tcPr>
          <w:p w14:paraId="5E7D1D78" w14:textId="50BDC327" w:rsidR="0052668F" w:rsidRPr="00471CBA" w:rsidRDefault="0052668F" w:rsidP="0052668F">
            <w:pPr>
              <w:ind w:right="40"/>
              <w:jc w:val="right"/>
              <w:rPr>
                <w:bCs/>
                <w:sz w:val="18"/>
                <w:szCs w:val="18"/>
              </w:rPr>
            </w:pPr>
            <w:r w:rsidRPr="00471CBA">
              <w:rPr>
                <w:sz w:val="18"/>
                <w:szCs w:val="18"/>
              </w:rPr>
              <w:t>0,00</w:t>
            </w:r>
          </w:p>
        </w:tc>
        <w:tc>
          <w:tcPr>
            <w:tcW w:w="932" w:type="dxa"/>
          </w:tcPr>
          <w:p w14:paraId="00E07AFC" w14:textId="353860DF" w:rsidR="0052668F" w:rsidRPr="00471CBA" w:rsidRDefault="0052668F" w:rsidP="0052668F">
            <w:pPr>
              <w:ind w:right="40"/>
              <w:jc w:val="right"/>
              <w:rPr>
                <w:bCs/>
                <w:sz w:val="18"/>
                <w:szCs w:val="18"/>
              </w:rPr>
            </w:pPr>
            <w:r w:rsidRPr="00471CBA">
              <w:rPr>
                <w:sz w:val="18"/>
                <w:szCs w:val="18"/>
              </w:rPr>
              <w:t>6.407</w:t>
            </w:r>
          </w:p>
        </w:tc>
        <w:tc>
          <w:tcPr>
            <w:tcW w:w="880" w:type="dxa"/>
          </w:tcPr>
          <w:p w14:paraId="3EDAC8B9" w14:textId="5D3B1EC7" w:rsidR="0052668F" w:rsidRPr="00471CBA" w:rsidRDefault="0052668F" w:rsidP="0052668F">
            <w:pPr>
              <w:ind w:right="40"/>
              <w:jc w:val="right"/>
              <w:rPr>
                <w:bCs/>
                <w:sz w:val="18"/>
                <w:szCs w:val="18"/>
              </w:rPr>
            </w:pPr>
            <w:r w:rsidRPr="00471CBA">
              <w:rPr>
                <w:sz w:val="18"/>
                <w:szCs w:val="18"/>
              </w:rPr>
              <w:t>0,31</w:t>
            </w:r>
          </w:p>
        </w:tc>
      </w:tr>
      <w:tr w:rsidR="0052668F" w:rsidRPr="00471CBA" w14:paraId="17CDADC4" w14:textId="77777777" w:rsidTr="00F56860">
        <w:trPr>
          <w:trHeight w:val="20"/>
        </w:trPr>
        <w:tc>
          <w:tcPr>
            <w:tcW w:w="5795" w:type="dxa"/>
            <w:vAlign w:val="center"/>
          </w:tcPr>
          <w:p w14:paraId="1666347D" w14:textId="77777777" w:rsidR="0052668F" w:rsidRPr="00471CBA" w:rsidRDefault="0052668F" w:rsidP="0052668F">
            <w:pPr>
              <w:ind w:firstLine="220"/>
              <w:rPr>
                <w:snapToGrid w:val="0"/>
                <w:sz w:val="18"/>
                <w:szCs w:val="18"/>
              </w:rPr>
            </w:pPr>
            <w:r w:rsidRPr="00471CBA">
              <w:rPr>
                <w:snapToGrid w:val="0"/>
                <w:sz w:val="18"/>
                <w:szCs w:val="18"/>
              </w:rPr>
              <w:t>Ormancılık</w:t>
            </w:r>
          </w:p>
        </w:tc>
        <w:tc>
          <w:tcPr>
            <w:tcW w:w="931" w:type="dxa"/>
          </w:tcPr>
          <w:p w14:paraId="69F8641E" w14:textId="0A600BE1" w:rsidR="0052668F" w:rsidRPr="00471CBA" w:rsidRDefault="0052668F" w:rsidP="0052668F">
            <w:pPr>
              <w:ind w:right="40"/>
              <w:jc w:val="right"/>
              <w:rPr>
                <w:bCs/>
                <w:sz w:val="18"/>
                <w:szCs w:val="18"/>
              </w:rPr>
            </w:pPr>
            <w:r w:rsidRPr="00471CBA">
              <w:rPr>
                <w:sz w:val="18"/>
                <w:szCs w:val="18"/>
              </w:rPr>
              <w:t>-</w:t>
            </w:r>
          </w:p>
        </w:tc>
        <w:tc>
          <w:tcPr>
            <w:tcW w:w="932" w:type="dxa"/>
          </w:tcPr>
          <w:p w14:paraId="7925C263" w14:textId="22A0630A" w:rsidR="0052668F" w:rsidRPr="00471CBA" w:rsidRDefault="0052668F" w:rsidP="0052668F">
            <w:pPr>
              <w:ind w:right="40"/>
              <w:jc w:val="right"/>
              <w:rPr>
                <w:bCs/>
                <w:sz w:val="18"/>
                <w:szCs w:val="18"/>
              </w:rPr>
            </w:pPr>
            <w:r w:rsidRPr="00471CBA">
              <w:rPr>
                <w:sz w:val="18"/>
                <w:szCs w:val="18"/>
              </w:rPr>
              <w:t>-</w:t>
            </w:r>
          </w:p>
        </w:tc>
        <w:tc>
          <w:tcPr>
            <w:tcW w:w="932" w:type="dxa"/>
          </w:tcPr>
          <w:p w14:paraId="389F5AF5" w14:textId="05B2AD97" w:rsidR="0052668F" w:rsidRPr="00471CBA" w:rsidRDefault="0052668F" w:rsidP="0052668F">
            <w:pPr>
              <w:ind w:right="40"/>
              <w:jc w:val="right"/>
              <w:rPr>
                <w:bCs/>
                <w:sz w:val="18"/>
                <w:szCs w:val="18"/>
              </w:rPr>
            </w:pPr>
            <w:r w:rsidRPr="00471CBA">
              <w:rPr>
                <w:sz w:val="18"/>
                <w:szCs w:val="18"/>
              </w:rPr>
              <w:t>-</w:t>
            </w:r>
          </w:p>
        </w:tc>
        <w:tc>
          <w:tcPr>
            <w:tcW w:w="880" w:type="dxa"/>
          </w:tcPr>
          <w:p w14:paraId="547140BE" w14:textId="2CEB1639" w:rsidR="0052668F" w:rsidRPr="00471CBA" w:rsidRDefault="0052668F" w:rsidP="0052668F">
            <w:pPr>
              <w:ind w:right="40"/>
              <w:jc w:val="right"/>
              <w:rPr>
                <w:bCs/>
                <w:sz w:val="18"/>
                <w:szCs w:val="18"/>
              </w:rPr>
            </w:pPr>
            <w:r w:rsidRPr="00471CBA">
              <w:rPr>
                <w:sz w:val="18"/>
                <w:szCs w:val="18"/>
              </w:rPr>
              <w:t>-</w:t>
            </w:r>
          </w:p>
        </w:tc>
      </w:tr>
      <w:tr w:rsidR="0052668F" w:rsidRPr="00471CBA" w14:paraId="092A2706" w14:textId="77777777" w:rsidTr="00F56860">
        <w:trPr>
          <w:trHeight w:val="20"/>
        </w:trPr>
        <w:tc>
          <w:tcPr>
            <w:tcW w:w="5795" w:type="dxa"/>
            <w:vAlign w:val="center"/>
          </w:tcPr>
          <w:p w14:paraId="488FEB87" w14:textId="77777777" w:rsidR="0052668F" w:rsidRPr="00471CBA" w:rsidRDefault="0052668F" w:rsidP="0052668F">
            <w:pPr>
              <w:ind w:firstLine="220"/>
              <w:rPr>
                <w:snapToGrid w:val="0"/>
                <w:sz w:val="18"/>
                <w:szCs w:val="18"/>
              </w:rPr>
            </w:pPr>
            <w:r w:rsidRPr="00471CBA">
              <w:rPr>
                <w:snapToGrid w:val="0"/>
                <w:sz w:val="18"/>
                <w:szCs w:val="18"/>
              </w:rPr>
              <w:t>Balıkçılık</w:t>
            </w:r>
          </w:p>
        </w:tc>
        <w:tc>
          <w:tcPr>
            <w:tcW w:w="931" w:type="dxa"/>
          </w:tcPr>
          <w:p w14:paraId="544B8424" w14:textId="5A3B816E" w:rsidR="0052668F" w:rsidRPr="00471CBA" w:rsidRDefault="0052668F" w:rsidP="0052668F">
            <w:pPr>
              <w:ind w:right="40"/>
              <w:jc w:val="right"/>
              <w:rPr>
                <w:bCs/>
                <w:sz w:val="18"/>
                <w:szCs w:val="18"/>
              </w:rPr>
            </w:pPr>
            <w:r w:rsidRPr="00471CBA">
              <w:rPr>
                <w:sz w:val="18"/>
                <w:szCs w:val="18"/>
              </w:rPr>
              <w:t>-</w:t>
            </w:r>
          </w:p>
        </w:tc>
        <w:tc>
          <w:tcPr>
            <w:tcW w:w="932" w:type="dxa"/>
          </w:tcPr>
          <w:p w14:paraId="70193AB5" w14:textId="574F5E28" w:rsidR="0052668F" w:rsidRPr="00471CBA" w:rsidRDefault="0052668F" w:rsidP="0052668F">
            <w:pPr>
              <w:ind w:right="40"/>
              <w:jc w:val="right"/>
              <w:rPr>
                <w:bCs/>
                <w:sz w:val="18"/>
                <w:szCs w:val="18"/>
              </w:rPr>
            </w:pPr>
            <w:r w:rsidRPr="00471CBA">
              <w:rPr>
                <w:sz w:val="18"/>
                <w:szCs w:val="18"/>
              </w:rPr>
              <w:t>-</w:t>
            </w:r>
          </w:p>
        </w:tc>
        <w:tc>
          <w:tcPr>
            <w:tcW w:w="932" w:type="dxa"/>
          </w:tcPr>
          <w:p w14:paraId="12EE2599" w14:textId="08E7A414" w:rsidR="0052668F" w:rsidRPr="00471CBA" w:rsidRDefault="0052668F" w:rsidP="0052668F">
            <w:pPr>
              <w:ind w:right="40"/>
              <w:jc w:val="right"/>
              <w:rPr>
                <w:bCs/>
                <w:sz w:val="18"/>
                <w:szCs w:val="18"/>
              </w:rPr>
            </w:pPr>
            <w:r w:rsidRPr="00471CBA">
              <w:rPr>
                <w:sz w:val="18"/>
                <w:szCs w:val="18"/>
              </w:rPr>
              <w:t>-</w:t>
            </w:r>
          </w:p>
        </w:tc>
        <w:tc>
          <w:tcPr>
            <w:tcW w:w="880" w:type="dxa"/>
          </w:tcPr>
          <w:p w14:paraId="55250B2A" w14:textId="2264F6E3" w:rsidR="0052668F" w:rsidRPr="00471CBA" w:rsidRDefault="0052668F" w:rsidP="0052668F">
            <w:pPr>
              <w:ind w:right="40"/>
              <w:jc w:val="right"/>
              <w:rPr>
                <w:bCs/>
                <w:sz w:val="18"/>
                <w:szCs w:val="18"/>
              </w:rPr>
            </w:pPr>
            <w:r w:rsidRPr="00471CBA">
              <w:rPr>
                <w:sz w:val="18"/>
                <w:szCs w:val="18"/>
              </w:rPr>
              <w:t>-</w:t>
            </w:r>
          </w:p>
        </w:tc>
      </w:tr>
      <w:tr w:rsidR="0052668F" w:rsidRPr="00471CBA" w14:paraId="3B6B24C9" w14:textId="77777777" w:rsidTr="00F56860">
        <w:trPr>
          <w:trHeight w:val="20"/>
        </w:trPr>
        <w:tc>
          <w:tcPr>
            <w:tcW w:w="5795" w:type="dxa"/>
            <w:vAlign w:val="center"/>
          </w:tcPr>
          <w:p w14:paraId="3127BFB6" w14:textId="77777777" w:rsidR="0052668F" w:rsidRPr="00471CBA" w:rsidRDefault="0052668F" w:rsidP="0052668F">
            <w:pPr>
              <w:rPr>
                <w:b/>
                <w:snapToGrid w:val="0"/>
                <w:sz w:val="18"/>
                <w:szCs w:val="18"/>
              </w:rPr>
            </w:pPr>
            <w:r w:rsidRPr="00471CBA">
              <w:rPr>
                <w:b/>
                <w:snapToGrid w:val="0"/>
                <w:sz w:val="18"/>
                <w:szCs w:val="18"/>
              </w:rPr>
              <w:t>Sanayi</w:t>
            </w:r>
          </w:p>
        </w:tc>
        <w:tc>
          <w:tcPr>
            <w:tcW w:w="931" w:type="dxa"/>
          </w:tcPr>
          <w:p w14:paraId="5CF27B3D" w14:textId="01FF7027" w:rsidR="0052668F" w:rsidRPr="00471CBA" w:rsidRDefault="0052668F" w:rsidP="0052668F">
            <w:pPr>
              <w:ind w:right="40"/>
              <w:jc w:val="right"/>
              <w:rPr>
                <w:b/>
                <w:bCs/>
                <w:sz w:val="18"/>
                <w:szCs w:val="18"/>
              </w:rPr>
            </w:pPr>
            <w:r w:rsidRPr="00471CBA">
              <w:rPr>
                <w:b/>
                <w:sz w:val="18"/>
                <w:szCs w:val="18"/>
              </w:rPr>
              <w:t>603.259</w:t>
            </w:r>
          </w:p>
        </w:tc>
        <w:tc>
          <w:tcPr>
            <w:tcW w:w="932" w:type="dxa"/>
          </w:tcPr>
          <w:p w14:paraId="5D6EAFFF" w14:textId="6AC2A398" w:rsidR="0052668F" w:rsidRPr="00471CBA" w:rsidRDefault="0052668F" w:rsidP="0052668F">
            <w:pPr>
              <w:ind w:right="40"/>
              <w:jc w:val="right"/>
              <w:rPr>
                <w:b/>
                <w:bCs/>
                <w:sz w:val="18"/>
                <w:szCs w:val="18"/>
              </w:rPr>
            </w:pPr>
            <w:r w:rsidRPr="00471CBA">
              <w:rPr>
                <w:b/>
                <w:sz w:val="18"/>
                <w:szCs w:val="18"/>
              </w:rPr>
              <w:t>11,43</w:t>
            </w:r>
          </w:p>
        </w:tc>
        <w:tc>
          <w:tcPr>
            <w:tcW w:w="932" w:type="dxa"/>
          </w:tcPr>
          <w:p w14:paraId="7A62A57F" w14:textId="65BE8A36" w:rsidR="0052668F" w:rsidRPr="00471CBA" w:rsidRDefault="0052668F" w:rsidP="0052668F">
            <w:pPr>
              <w:ind w:right="40"/>
              <w:jc w:val="right"/>
              <w:rPr>
                <w:b/>
                <w:bCs/>
                <w:sz w:val="18"/>
                <w:szCs w:val="18"/>
              </w:rPr>
            </w:pPr>
            <w:r w:rsidRPr="00471CBA">
              <w:rPr>
                <w:b/>
                <w:sz w:val="18"/>
                <w:szCs w:val="18"/>
              </w:rPr>
              <w:t>606.216</w:t>
            </w:r>
          </w:p>
        </w:tc>
        <w:tc>
          <w:tcPr>
            <w:tcW w:w="880" w:type="dxa"/>
          </w:tcPr>
          <w:p w14:paraId="3573ED80" w14:textId="13CB0C5B" w:rsidR="0052668F" w:rsidRPr="00471CBA" w:rsidRDefault="0052668F" w:rsidP="0052668F">
            <w:pPr>
              <w:ind w:right="40"/>
              <w:jc w:val="right"/>
              <w:rPr>
                <w:b/>
                <w:bCs/>
                <w:sz w:val="18"/>
                <w:szCs w:val="18"/>
              </w:rPr>
            </w:pPr>
            <w:r w:rsidRPr="00471CBA">
              <w:rPr>
                <w:b/>
                <w:sz w:val="18"/>
                <w:szCs w:val="18"/>
              </w:rPr>
              <w:t>29,49</w:t>
            </w:r>
          </w:p>
        </w:tc>
      </w:tr>
      <w:tr w:rsidR="0052668F" w:rsidRPr="00471CBA" w14:paraId="24DA54C8" w14:textId="77777777" w:rsidTr="00F56860">
        <w:trPr>
          <w:trHeight w:val="20"/>
        </w:trPr>
        <w:tc>
          <w:tcPr>
            <w:tcW w:w="5795" w:type="dxa"/>
            <w:vAlign w:val="center"/>
          </w:tcPr>
          <w:p w14:paraId="186F1255" w14:textId="77777777" w:rsidR="0052668F" w:rsidRPr="00471CBA" w:rsidRDefault="0052668F" w:rsidP="0052668F">
            <w:pPr>
              <w:ind w:firstLine="220"/>
              <w:rPr>
                <w:snapToGrid w:val="0"/>
                <w:sz w:val="18"/>
                <w:szCs w:val="18"/>
              </w:rPr>
            </w:pPr>
            <w:r w:rsidRPr="00471CBA">
              <w:rPr>
                <w:snapToGrid w:val="0"/>
                <w:sz w:val="18"/>
                <w:szCs w:val="18"/>
              </w:rPr>
              <w:t xml:space="preserve">Madencilik ve Taş ocakçılığı </w:t>
            </w:r>
          </w:p>
        </w:tc>
        <w:tc>
          <w:tcPr>
            <w:tcW w:w="931" w:type="dxa"/>
          </w:tcPr>
          <w:p w14:paraId="781EFC26" w14:textId="46BB7588" w:rsidR="0052668F" w:rsidRPr="00471CBA" w:rsidRDefault="0052668F" w:rsidP="0052668F">
            <w:pPr>
              <w:ind w:right="40"/>
              <w:jc w:val="right"/>
              <w:rPr>
                <w:bCs/>
                <w:sz w:val="18"/>
                <w:szCs w:val="18"/>
              </w:rPr>
            </w:pPr>
            <w:r w:rsidRPr="00471CBA">
              <w:rPr>
                <w:sz w:val="18"/>
                <w:szCs w:val="18"/>
              </w:rPr>
              <w:t>1</w:t>
            </w:r>
          </w:p>
        </w:tc>
        <w:tc>
          <w:tcPr>
            <w:tcW w:w="932" w:type="dxa"/>
          </w:tcPr>
          <w:p w14:paraId="57BC43A0" w14:textId="1DA5D822" w:rsidR="0052668F" w:rsidRPr="00471CBA" w:rsidRDefault="0052668F" w:rsidP="0052668F">
            <w:pPr>
              <w:ind w:right="40"/>
              <w:jc w:val="right"/>
              <w:rPr>
                <w:bCs/>
                <w:sz w:val="18"/>
                <w:szCs w:val="18"/>
              </w:rPr>
            </w:pPr>
            <w:r w:rsidRPr="00471CBA">
              <w:rPr>
                <w:sz w:val="18"/>
                <w:szCs w:val="18"/>
              </w:rPr>
              <w:t>0,00</w:t>
            </w:r>
          </w:p>
        </w:tc>
        <w:tc>
          <w:tcPr>
            <w:tcW w:w="932" w:type="dxa"/>
          </w:tcPr>
          <w:p w14:paraId="6C7B3AD9" w14:textId="7417F1D3" w:rsidR="0052668F" w:rsidRPr="00471CBA" w:rsidRDefault="0052668F" w:rsidP="0052668F">
            <w:pPr>
              <w:ind w:right="40"/>
              <w:jc w:val="right"/>
              <w:rPr>
                <w:bCs/>
                <w:sz w:val="18"/>
                <w:szCs w:val="18"/>
              </w:rPr>
            </w:pPr>
            <w:r w:rsidRPr="00471CBA">
              <w:rPr>
                <w:sz w:val="18"/>
                <w:szCs w:val="18"/>
              </w:rPr>
              <w:t>-</w:t>
            </w:r>
          </w:p>
        </w:tc>
        <w:tc>
          <w:tcPr>
            <w:tcW w:w="880" w:type="dxa"/>
          </w:tcPr>
          <w:p w14:paraId="4E8D7BFC" w14:textId="3948E812" w:rsidR="0052668F" w:rsidRPr="00471CBA" w:rsidRDefault="0052668F" w:rsidP="0052668F">
            <w:pPr>
              <w:ind w:right="40"/>
              <w:jc w:val="right"/>
              <w:rPr>
                <w:bCs/>
                <w:sz w:val="18"/>
                <w:szCs w:val="18"/>
              </w:rPr>
            </w:pPr>
            <w:r w:rsidRPr="00471CBA">
              <w:rPr>
                <w:sz w:val="18"/>
                <w:szCs w:val="18"/>
              </w:rPr>
              <w:t>-</w:t>
            </w:r>
          </w:p>
        </w:tc>
      </w:tr>
      <w:tr w:rsidR="0052668F" w:rsidRPr="00471CBA" w14:paraId="0FB7FF5E" w14:textId="77777777" w:rsidTr="00F56860">
        <w:trPr>
          <w:trHeight w:val="20"/>
        </w:trPr>
        <w:tc>
          <w:tcPr>
            <w:tcW w:w="5795" w:type="dxa"/>
            <w:vAlign w:val="center"/>
          </w:tcPr>
          <w:p w14:paraId="66F33526" w14:textId="77777777" w:rsidR="0052668F" w:rsidRPr="00471CBA" w:rsidRDefault="0052668F" w:rsidP="0052668F">
            <w:pPr>
              <w:ind w:firstLine="220"/>
              <w:rPr>
                <w:snapToGrid w:val="0"/>
                <w:sz w:val="18"/>
                <w:szCs w:val="18"/>
              </w:rPr>
            </w:pPr>
            <w:r w:rsidRPr="00471CBA">
              <w:rPr>
                <w:snapToGrid w:val="0"/>
                <w:sz w:val="18"/>
                <w:szCs w:val="18"/>
              </w:rPr>
              <w:t>İmalat Sanayi</w:t>
            </w:r>
          </w:p>
        </w:tc>
        <w:tc>
          <w:tcPr>
            <w:tcW w:w="931" w:type="dxa"/>
          </w:tcPr>
          <w:p w14:paraId="1B4AF15C" w14:textId="21661D90" w:rsidR="0052668F" w:rsidRPr="00471CBA" w:rsidRDefault="0052668F" w:rsidP="0052668F">
            <w:pPr>
              <w:ind w:right="40"/>
              <w:jc w:val="right"/>
              <w:rPr>
                <w:bCs/>
                <w:sz w:val="18"/>
                <w:szCs w:val="18"/>
              </w:rPr>
            </w:pPr>
            <w:r w:rsidRPr="00471CBA">
              <w:rPr>
                <w:sz w:val="18"/>
                <w:szCs w:val="18"/>
              </w:rPr>
              <w:t>462.527</w:t>
            </w:r>
          </w:p>
        </w:tc>
        <w:tc>
          <w:tcPr>
            <w:tcW w:w="932" w:type="dxa"/>
          </w:tcPr>
          <w:p w14:paraId="251A283F" w14:textId="4F50E970" w:rsidR="0052668F" w:rsidRPr="00471CBA" w:rsidRDefault="0052668F" w:rsidP="0052668F">
            <w:pPr>
              <w:ind w:right="40"/>
              <w:jc w:val="right"/>
              <w:rPr>
                <w:bCs/>
                <w:sz w:val="18"/>
                <w:szCs w:val="18"/>
              </w:rPr>
            </w:pPr>
            <w:r w:rsidRPr="00471CBA">
              <w:rPr>
                <w:sz w:val="18"/>
                <w:szCs w:val="18"/>
              </w:rPr>
              <w:t>8,76</w:t>
            </w:r>
          </w:p>
        </w:tc>
        <w:tc>
          <w:tcPr>
            <w:tcW w:w="932" w:type="dxa"/>
          </w:tcPr>
          <w:p w14:paraId="7786B9D9" w14:textId="36B8DDFB" w:rsidR="0052668F" w:rsidRPr="00471CBA" w:rsidRDefault="0052668F" w:rsidP="0052668F">
            <w:pPr>
              <w:ind w:right="40"/>
              <w:jc w:val="right"/>
              <w:rPr>
                <w:bCs/>
                <w:sz w:val="18"/>
                <w:szCs w:val="18"/>
              </w:rPr>
            </w:pPr>
            <w:r w:rsidRPr="00471CBA">
              <w:rPr>
                <w:sz w:val="18"/>
                <w:szCs w:val="18"/>
              </w:rPr>
              <w:t>606.216</w:t>
            </w:r>
          </w:p>
        </w:tc>
        <w:tc>
          <w:tcPr>
            <w:tcW w:w="880" w:type="dxa"/>
          </w:tcPr>
          <w:p w14:paraId="0694A62F" w14:textId="4D225175" w:rsidR="0052668F" w:rsidRPr="00471CBA" w:rsidRDefault="0052668F" w:rsidP="0052668F">
            <w:pPr>
              <w:ind w:right="40"/>
              <w:jc w:val="right"/>
              <w:rPr>
                <w:bCs/>
                <w:sz w:val="18"/>
                <w:szCs w:val="18"/>
              </w:rPr>
            </w:pPr>
            <w:r w:rsidRPr="00471CBA">
              <w:rPr>
                <w:sz w:val="18"/>
                <w:szCs w:val="18"/>
              </w:rPr>
              <w:t>29,49</w:t>
            </w:r>
          </w:p>
        </w:tc>
      </w:tr>
      <w:tr w:rsidR="0052668F" w:rsidRPr="00471CBA" w14:paraId="01FBB6D6" w14:textId="77777777" w:rsidTr="00F56860">
        <w:trPr>
          <w:trHeight w:val="20"/>
        </w:trPr>
        <w:tc>
          <w:tcPr>
            <w:tcW w:w="5795" w:type="dxa"/>
            <w:vAlign w:val="center"/>
          </w:tcPr>
          <w:p w14:paraId="20CC65A8" w14:textId="77777777" w:rsidR="0052668F" w:rsidRPr="00471CBA" w:rsidRDefault="0052668F" w:rsidP="0052668F">
            <w:pPr>
              <w:ind w:firstLine="220"/>
              <w:rPr>
                <w:snapToGrid w:val="0"/>
                <w:sz w:val="18"/>
                <w:szCs w:val="18"/>
              </w:rPr>
            </w:pPr>
            <w:r w:rsidRPr="00471CBA">
              <w:rPr>
                <w:snapToGrid w:val="0"/>
                <w:sz w:val="18"/>
                <w:szCs w:val="18"/>
              </w:rPr>
              <w:t>Elektrik, Gaz, Su</w:t>
            </w:r>
          </w:p>
        </w:tc>
        <w:tc>
          <w:tcPr>
            <w:tcW w:w="931" w:type="dxa"/>
          </w:tcPr>
          <w:p w14:paraId="5C64B3D3" w14:textId="4DE9A392" w:rsidR="0052668F" w:rsidRPr="00471CBA" w:rsidRDefault="0052668F" w:rsidP="0052668F">
            <w:pPr>
              <w:ind w:right="40"/>
              <w:jc w:val="right"/>
              <w:rPr>
                <w:bCs/>
                <w:sz w:val="18"/>
                <w:szCs w:val="18"/>
              </w:rPr>
            </w:pPr>
            <w:r w:rsidRPr="00471CBA">
              <w:rPr>
                <w:sz w:val="18"/>
                <w:szCs w:val="18"/>
              </w:rPr>
              <w:t>140.731</w:t>
            </w:r>
          </w:p>
        </w:tc>
        <w:tc>
          <w:tcPr>
            <w:tcW w:w="932" w:type="dxa"/>
          </w:tcPr>
          <w:p w14:paraId="1E537EAB" w14:textId="64166315" w:rsidR="0052668F" w:rsidRPr="00471CBA" w:rsidRDefault="0052668F" w:rsidP="0052668F">
            <w:pPr>
              <w:ind w:right="40"/>
              <w:jc w:val="right"/>
              <w:rPr>
                <w:bCs/>
                <w:sz w:val="18"/>
                <w:szCs w:val="18"/>
              </w:rPr>
            </w:pPr>
            <w:r w:rsidRPr="00471CBA">
              <w:rPr>
                <w:sz w:val="18"/>
                <w:szCs w:val="18"/>
              </w:rPr>
              <w:t>2,67</w:t>
            </w:r>
          </w:p>
        </w:tc>
        <w:tc>
          <w:tcPr>
            <w:tcW w:w="932" w:type="dxa"/>
          </w:tcPr>
          <w:p w14:paraId="042F37DF" w14:textId="4C6A0920" w:rsidR="0052668F" w:rsidRPr="00471CBA" w:rsidRDefault="0052668F" w:rsidP="0052668F">
            <w:pPr>
              <w:ind w:right="40"/>
              <w:jc w:val="right"/>
              <w:rPr>
                <w:bCs/>
                <w:sz w:val="18"/>
                <w:szCs w:val="18"/>
              </w:rPr>
            </w:pPr>
            <w:r w:rsidRPr="00471CBA">
              <w:rPr>
                <w:sz w:val="18"/>
                <w:szCs w:val="18"/>
              </w:rPr>
              <w:t>-</w:t>
            </w:r>
          </w:p>
        </w:tc>
        <w:tc>
          <w:tcPr>
            <w:tcW w:w="880" w:type="dxa"/>
          </w:tcPr>
          <w:p w14:paraId="227F2002" w14:textId="0BC9817A" w:rsidR="0052668F" w:rsidRPr="00471CBA" w:rsidRDefault="0052668F" w:rsidP="0052668F">
            <w:pPr>
              <w:ind w:right="40"/>
              <w:jc w:val="right"/>
              <w:rPr>
                <w:bCs/>
                <w:sz w:val="18"/>
                <w:szCs w:val="18"/>
              </w:rPr>
            </w:pPr>
            <w:r w:rsidRPr="00471CBA">
              <w:rPr>
                <w:sz w:val="18"/>
                <w:szCs w:val="18"/>
              </w:rPr>
              <w:t>-</w:t>
            </w:r>
          </w:p>
        </w:tc>
      </w:tr>
      <w:tr w:rsidR="0052668F" w:rsidRPr="00471CBA" w14:paraId="2192CA39" w14:textId="77777777" w:rsidTr="00F56860">
        <w:trPr>
          <w:trHeight w:val="20"/>
        </w:trPr>
        <w:tc>
          <w:tcPr>
            <w:tcW w:w="5795" w:type="dxa"/>
            <w:vAlign w:val="center"/>
          </w:tcPr>
          <w:p w14:paraId="30A1D582" w14:textId="77777777" w:rsidR="0052668F" w:rsidRPr="00471CBA" w:rsidRDefault="0052668F" w:rsidP="0052668F">
            <w:pPr>
              <w:rPr>
                <w:b/>
                <w:snapToGrid w:val="0"/>
                <w:sz w:val="18"/>
                <w:szCs w:val="18"/>
              </w:rPr>
            </w:pPr>
            <w:r w:rsidRPr="00471CBA">
              <w:rPr>
                <w:b/>
                <w:snapToGrid w:val="0"/>
                <w:sz w:val="18"/>
                <w:szCs w:val="18"/>
              </w:rPr>
              <w:t>İnşaat</w:t>
            </w:r>
          </w:p>
        </w:tc>
        <w:tc>
          <w:tcPr>
            <w:tcW w:w="931" w:type="dxa"/>
          </w:tcPr>
          <w:p w14:paraId="4B88A4AF" w14:textId="556C4166" w:rsidR="0052668F" w:rsidRPr="00471CBA" w:rsidRDefault="0052668F" w:rsidP="0052668F">
            <w:pPr>
              <w:ind w:right="40"/>
              <w:jc w:val="right"/>
              <w:rPr>
                <w:b/>
                <w:bCs/>
                <w:sz w:val="18"/>
                <w:szCs w:val="18"/>
              </w:rPr>
            </w:pPr>
            <w:r w:rsidRPr="00471CBA">
              <w:rPr>
                <w:b/>
                <w:sz w:val="18"/>
                <w:szCs w:val="18"/>
              </w:rPr>
              <w:t>2.485.216</w:t>
            </w:r>
          </w:p>
        </w:tc>
        <w:tc>
          <w:tcPr>
            <w:tcW w:w="932" w:type="dxa"/>
          </w:tcPr>
          <w:p w14:paraId="5422B0DA" w14:textId="1EDCC0F4" w:rsidR="0052668F" w:rsidRPr="00471CBA" w:rsidRDefault="0052668F" w:rsidP="0052668F">
            <w:pPr>
              <w:ind w:right="40"/>
              <w:jc w:val="right"/>
              <w:rPr>
                <w:b/>
                <w:bCs/>
                <w:sz w:val="18"/>
                <w:szCs w:val="18"/>
              </w:rPr>
            </w:pPr>
            <w:r w:rsidRPr="00471CBA">
              <w:rPr>
                <w:b/>
                <w:sz w:val="18"/>
                <w:szCs w:val="18"/>
              </w:rPr>
              <w:t>47,07</w:t>
            </w:r>
          </w:p>
        </w:tc>
        <w:tc>
          <w:tcPr>
            <w:tcW w:w="932" w:type="dxa"/>
          </w:tcPr>
          <w:p w14:paraId="51E78EE2" w14:textId="4097CAC7" w:rsidR="0052668F" w:rsidRPr="00471CBA" w:rsidRDefault="0052668F" w:rsidP="0052668F">
            <w:pPr>
              <w:ind w:right="40"/>
              <w:jc w:val="right"/>
              <w:rPr>
                <w:b/>
                <w:bCs/>
                <w:sz w:val="18"/>
                <w:szCs w:val="18"/>
              </w:rPr>
            </w:pPr>
            <w:r w:rsidRPr="00471CBA">
              <w:rPr>
                <w:b/>
                <w:sz w:val="18"/>
                <w:szCs w:val="18"/>
              </w:rPr>
              <w:t>269.198</w:t>
            </w:r>
          </w:p>
        </w:tc>
        <w:tc>
          <w:tcPr>
            <w:tcW w:w="880" w:type="dxa"/>
          </w:tcPr>
          <w:p w14:paraId="3B615F53" w14:textId="4D3EB674" w:rsidR="0052668F" w:rsidRPr="00471CBA" w:rsidRDefault="0052668F" w:rsidP="0052668F">
            <w:pPr>
              <w:ind w:right="40"/>
              <w:jc w:val="right"/>
              <w:rPr>
                <w:b/>
                <w:bCs/>
                <w:sz w:val="18"/>
                <w:szCs w:val="18"/>
              </w:rPr>
            </w:pPr>
            <w:r w:rsidRPr="00471CBA">
              <w:rPr>
                <w:b/>
                <w:sz w:val="18"/>
                <w:szCs w:val="18"/>
              </w:rPr>
              <w:t>13,09</w:t>
            </w:r>
          </w:p>
        </w:tc>
      </w:tr>
      <w:tr w:rsidR="0052668F" w:rsidRPr="00471CBA" w14:paraId="57ADA756" w14:textId="77777777" w:rsidTr="00F56860">
        <w:trPr>
          <w:trHeight w:val="20"/>
        </w:trPr>
        <w:tc>
          <w:tcPr>
            <w:tcW w:w="5795" w:type="dxa"/>
            <w:vAlign w:val="center"/>
          </w:tcPr>
          <w:p w14:paraId="1764A2BC" w14:textId="77777777" w:rsidR="0052668F" w:rsidRPr="00471CBA" w:rsidRDefault="0052668F" w:rsidP="0052668F">
            <w:pPr>
              <w:rPr>
                <w:b/>
                <w:snapToGrid w:val="0"/>
                <w:sz w:val="18"/>
                <w:szCs w:val="18"/>
              </w:rPr>
            </w:pPr>
            <w:r w:rsidRPr="00471CBA">
              <w:rPr>
                <w:b/>
                <w:snapToGrid w:val="0"/>
                <w:sz w:val="18"/>
                <w:szCs w:val="18"/>
              </w:rPr>
              <w:t>Hizmetler</w:t>
            </w:r>
          </w:p>
        </w:tc>
        <w:tc>
          <w:tcPr>
            <w:tcW w:w="931" w:type="dxa"/>
          </w:tcPr>
          <w:p w14:paraId="0AC3B85A" w14:textId="2EC44145" w:rsidR="0052668F" w:rsidRPr="00471CBA" w:rsidRDefault="0052668F" w:rsidP="0052668F">
            <w:pPr>
              <w:ind w:right="40"/>
              <w:jc w:val="right"/>
              <w:rPr>
                <w:b/>
                <w:bCs/>
                <w:sz w:val="18"/>
                <w:szCs w:val="18"/>
              </w:rPr>
            </w:pPr>
            <w:r w:rsidRPr="00471CBA">
              <w:rPr>
                <w:b/>
                <w:sz w:val="18"/>
                <w:szCs w:val="18"/>
              </w:rPr>
              <w:t>2.191.148</w:t>
            </w:r>
          </w:p>
        </w:tc>
        <w:tc>
          <w:tcPr>
            <w:tcW w:w="932" w:type="dxa"/>
          </w:tcPr>
          <w:p w14:paraId="11841510" w14:textId="7DEA194C" w:rsidR="0052668F" w:rsidRPr="00471CBA" w:rsidRDefault="0052668F" w:rsidP="0052668F">
            <w:pPr>
              <w:ind w:right="40"/>
              <w:jc w:val="right"/>
              <w:rPr>
                <w:b/>
                <w:bCs/>
                <w:sz w:val="18"/>
                <w:szCs w:val="18"/>
              </w:rPr>
            </w:pPr>
            <w:r w:rsidRPr="00471CBA">
              <w:rPr>
                <w:b/>
                <w:sz w:val="18"/>
                <w:szCs w:val="18"/>
              </w:rPr>
              <w:t>41,50</w:t>
            </w:r>
          </w:p>
        </w:tc>
        <w:tc>
          <w:tcPr>
            <w:tcW w:w="932" w:type="dxa"/>
          </w:tcPr>
          <w:p w14:paraId="1328BB6A" w14:textId="679570FC" w:rsidR="0052668F" w:rsidRPr="00471CBA" w:rsidRDefault="0052668F" w:rsidP="0052668F">
            <w:pPr>
              <w:ind w:right="40"/>
              <w:jc w:val="right"/>
              <w:rPr>
                <w:b/>
                <w:bCs/>
                <w:sz w:val="18"/>
                <w:szCs w:val="18"/>
              </w:rPr>
            </w:pPr>
            <w:r w:rsidRPr="00471CBA">
              <w:rPr>
                <w:b/>
                <w:sz w:val="18"/>
                <w:szCs w:val="18"/>
              </w:rPr>
              <w:t>1.174.163</w:t>
            </w:r>
          </w:p>
        </w:tc>
        <w:tc>
          <w:tcPr>
            <w:tcW w:w="880" w:type="dxa"/>
          </w:tcPr>
          <w:p w14:paraId="1CAA989E" w14:textId="38BA7629" w:rsidR="0052668F" w:rsidRPr="00471CBA" w:rsidRDefault="0052668F" w:rsidP="0052668F">
            <w:pPr>
              <w:ind w:right="40"/>
              <w:jc w:val="right"/>
              <w:rPr>
                <w:b/>
                <w:bCs/>
                <w:sz w:val="18"/>
                <w:szCs w:val="18"/>
              </w:rPr>
            </w:pPr>
            <w:r w:rsidRPr="00471CBA">
              <w:rPr>
                <w:b/>
                <w:sz w:val="18"/>
                <w:szCs w:val="18"/>
              </w:rPr>
              <w:t>57,11</w:t>
            </w:r>
          </w:p>
        </w:tc>
      </w:tr>
      <w:tr w:rsidR="0052668F" w:rsidRPr="00471CBA" w14:paraId="7F01D3ED" w14:textId="77777777" w:rsidTr="00F56860">
        <w:trPr>
          <w:trHeight w:val="20"/>
        </w:trPr>
        <w:tc>
          <w:tcPr>
            <w:tcW w:w="5795" w:type="dxa"/>
            <w:vAlign w:val="center"/>
          </w:tcPr>
          <w:p w14:paraId="3BF96216" w14:textId="77777777" w:rsidR="0052668F" w:rsidRPr="00471CBA" w:rsidRDefault="0052668F" w:rsidP="0052668F">
            <w:pPr>
              <w:ind w:firstLine="220"/>
              <w:rPr>
                <w:snapToGrid w:val="0"/>
                <w:sz w:val="18"/>
                <w:szCs w:val="18"/>
              </w:rPr>
            </w:pPr>
            <w:r w:rsidRPr="00471CBA">
              <w:rPr>
                <w:snapToGrid w:val="0"/>
                <w:sz w:val="18"/>
                <w:szCs w:val="18"/>
              </w:rPr>
              <w:t>Toptan ve Perakende Ticaret</w:t>
            </w:r>
          </w:p>
        </w:tc>
        <w:tc>
          <w:tcPr>
            <w:tcW w:w="931" w:type="dxa"/>
          </w:tcPr>
          <w:p w14:paraId="6934C9A5" w14:textId="01F156D5" w:rsidR="0052668F" w:rsidRPr="00471CBA" w:rsidRDefault="0052668F" w:rsidP="0052668F">
            <w:pPr>
              <w:ind w:right="40"/>
              <w:jc w:val="right"/>
              <w:rPr>
                <w:bCs/>
                <w:sz w:val="18"/>
                <w:szCs w:val="18"/>
              </w:rPr>
            </w:pPr>
            <w:r w:rsidRPr="00471CBA">
              <w:rPr>
                <w:sz w:val="18"/>
                <w:szCs w:val="18"/>
              </w:rPr>
              <w:t>681.410</w:t>
            </w:r>
          </w:p>
        </w:tc>
        <w:tc>
          <w:tcPr>
            <w:tcW w:w="932" w:type="dxa"/>
          </w:tcPr>
          <w:p w14:paraId="2928AF1C" w14:textId="7755C948" w:rsidR="0052668F" w:rsidRPr="00471CBA" w:rsidRDefault="0052668F" w:rsidP="0052668F">
            <w:pPr>
              <w:ind w:right="40"/>
              <w:jc w:val="right"/>
              <w:rPr>
                <w:bCs/>
                <w:sz w:val="18"/>
                <w:szCs w:val="18"/>
              </w:rPr>
            </w:pPr>
            <w:r w:rsidRPr="00471CBA">
              <w:rPr>
                <w:sz w:val="18"/>
                <w:szCs w:val="18"/>
              </w:rPr>
              <w:t>12,91</w:t>
            </w:r>
          </w:p>
        </w:tc>
        <w:tc>
          <w:tcPr>
            <w:tcW w:w="932" w:type="dxa"/>
          </w:tcPr>
          <w:p w14:paraId="18D29BCB" w14:textId="777285A6" w:rsidR="0052668F" w:rsidRPr="00471CBA" w:rsidRDefault="0052668F" w:rsidP="0052668F">
            <w:pPr>
              <w:ind w:right="40"/>
              <w:jc w:val="right"/>
              <w:rPr>
                <w:bCs/>
                <w:sz w:val="18"/>
                <w:szCs w:val="18"/>
              </w:rPr>
            </w:pPr>
            <w:r w:rsidRPr="00471CBA">
              <w:rPr>
                <w:sz w:val="18"/>
                <w:szCs w:val="18"/>
              </w:rPr>
              <w:t>459.181</w:t>
            </w:r>
          </w:p>
        </w:tc>
        <w:tc>
          <w:tcPr>
            <w:tcW w:w="880" w:type="dxa"/>
          </w:tcPr>
          <w:p w14:paraId="62AF6D52" w14:textId="261047A1" w:rsidR="0052668F" w:rsidRPr="00471CBA" w:rsidRDefault="0052668F" w:rsidP="0052668F">
            <w:pPr>
              <w:ind w:right="40"/>
              <w:jc w:val="right"/>
              <w:rPr>
                <w:bCs/>
                <w:sz w:val="18"/>
                <w:szCs w:val="18"/>
              </w:rPr>
            </w:pPr>
            <w:r w:rsidRPr="00471CBA">
              <w:rPr>
                <w:sz w:val="18"/>
                <w:szCs w:val="18"/>
              </w:rPr>
              <w:t>22,33</w:t>
            </w:r>
          </w:p>
        </w:tc>
      </w:tr>
      <w:tr w:rsidR="0052668F" w:rsidRPr="00471CBA" w14:paraId="54BC8B86" w14:textId="77777777" w:rsidTr="00F56860">
        <w:trPr>
          <w:trHeight w:val="20"/>
        </w:trPr>
        <w:tc>
          <w:tcPr>
            <w:tcW w:w="5795" w:type="dxa"/>
            <w:vAlign w:val="center"/>
          </w:tcPr>
          <w:p w14:paraId="042C35F2" w14:textId="77777777" w:rsidR="0052668F" w:rsidRPr="00471CBA" w:rsidRDefault="0052668F" w:rsidP="0052668F">
            <w:pPr>
              <w:ind w:firstLine="220"/>
              <w:rPr>
                <w:snapToGrid w:val="0"/>
                <w:sz w:val="18"/>
                <w:szCs w:val="18"/>
              </w:rPr>
            </w:pPr>
            <w:r w:rsidRPr="00471CBA">
              <w:rPr>
                <w:snapToGrid w:val="0"/>
                <w:sz w:val="18"/>
                <w:szCs w:val="18"/>
              </w:rPr>
              <w:t>Otel ve Lokanta Hizmetleri</w:t>
            </w:r>
          </w:p>
        </w:tc>
        <w:tc>
          <w:tcPr>
            <w:tcW w:w="931" w:type="dxa"/>
          </w:tcPr>
          <w:p w14:paraId="2F1E285B" w14:textId="52BA9180" w:rsidR="0052668F" w:rsidRPr="00471CBA" w:rsidRDefault="0052668F" w:rsidP="0052668F">
            <w:pPr>
              <w:ind w:right="40"/>
              <w:jc w:val="right"/>
              <w:rPr>
                <w:bCs/>
                <w:sz w:val="18"/>
                <w:szCs w:val="18"/>
              </w:rPr>
            </w:pPr>
            <w:r w:rsidRPr="00471CBA">
              <w:rPr>
                <w:sz w:val="18"/>
                <w:szCs w:val="18"/>
              </w:rPr>
              <w:t>5.276</w:t>
            </w:r>
          </w:p>
        </w:tc>
        <w:tc>
          <w:tcPr>
            <w:tcW w:w="932" w:type="dxa"/>
          </w:tcPr>
          <w:p w14:paraId="32FF01AD" w14:textId="1883D020" w:rsidR="0052668F" w:rsidRPr="00471CBA" w:rsidRDefault="0052668F" w:rsidP="0052668F">
            <w:pPr>
              <w:ind w:right="40"/>
              <w:jc w:val="right"/>
              <w:rPr>
                <w:bCs/>
                <w:sz w:val="18"/>
                <w:szCs w:val="18"/>
              </w:rPr>
            </w:pPr>
            <w:r w:rsidRPr="00471CBA">
              <w:rPr>
                <w:sz w:val="18"/>
                <w:szCs w:val="18"/>
              </w:rPr>
              <w:t>0,10</w:t>
            </w:r>
          </w:p>
        </w:tc>
        <w:tc>
          <w:tcPr>
            <w:tcW w:w="932" w:type="dxa"/>
          </w:tcPr>
          <w:p w14:paraId="7BF022C9" w14:textId="48B3315C" w:rsidR="0052668F" w:rsidRPr="00471CBA" w:rsidRDefault="0052668F" w:rsidP="0052668F">
            <w:pPr>
              <w:ind w:right="40"/>
              <w:jc w:val="right"/>
              <w:rPr>
                <w:bCs/>
                <w:sz w:val="18"/>
                <w:szCs w:val="18"/>
              </w:rPr>
            </w:pPr>
            <w:r w:rsidRPr="00471CBA">
              <w:rPr>
                <w:sz w:val="18"/>
                <w:szCs w:val="18"/>
              </w:rPr>
              <w:t>-</w:t>
            </w:r>
          </w:p>
        </w:tc>
        <w:tc>
          <w:tcPr>
            <w:tcW w:w="880" w:type="dxa"/>
          </w:tcPr>
          <w:p w14:paraId="46736A29" w14:textId="56DA4BC1" w:rsidR="0052668F" w:rsidRPr="00471CBA" w:rsidRDefault="0052668F" w:rsidP="0052668F">
            <w:pPr>
              <w:ind w:right="40"/>
              <w:jc w:val="right"/>
              <w:rPr>
                <w:bCs/>
                <w:sz w:val="18"/>
                <w:szCs w:val="18"/>
              </w:rPr>
            </w:pPr>
            <w:r w:rsidRPr="00471CBA">
              <w:rPr>
                <w:sz w:val="18"/>
                <w:szCs w:val="18"/>
              </w:rPr>
              <w:t>-</w:t>
            </w:r>
          </w:p>
        </w:tc>
      </w:tr>
      <w:tr w:rsidR="0052668F" w:rsidRPr="00471CBA" w14:paraId="082C7100" w14:textId="77777777" w:rsidTr="00F56860">
        <w:trPr>
          <w:trHeight w:val="20"/>
        </w:trPr>
        <w:tc>
          <w:tcPr>
            <w:tcW w:w="5795" w:type="dxa"/>
            <w:vAlign w:val="center"/>
          </w:tcPr>
          <w:p w14:paraId="60416B58" w14:textId="77777777" w:rsidR="0052668F" w:rsidRPr="00471CBA" w:rsidRDefault="0052668F" w:rsidP="0052668F">
            <w:pPr>
              <w:ind w:firstLine="220"/>
              <w:rPr>
                <w:snapToGrid w:val="0"/>
                <w:sz w:val="18"/>
                <w:szCs w:val="18"/>
              </w:rPr>
            </w:pPr>
            <w:r w:rsidRPr="00471CBA">
              <w:rPr>
                <w:snapToGrid w:val="0"/>
                <w:sz w:val="18"/>
                <w:szCs w:val="18"/>
              </w:rPr>
              <w:t>Ulaştırma ve Haberleşme</w:t>
            </w:r>
          </w:p>
        </w:tc>
        <w:tc>
          <w:tcPr>
            <w:tcW w:w="931" w:type="dxa"/>
          </w:tcPr>
          <w:p w14:paraId="48BFFCBD" w14:textId="7B126550" w:rsidR="0052668F" w:rsidRPr="00471CBA" w:rsidRDefault="0052668F" w:rsidP="0052668F">
            <w:pPr>
              <w:ind w:right="40"/>
              <w:jc w:val="right"/>
              <w:rPr>
                <w:bCs/>
                <w:sz w:val="18"/>
                <w:szCs w:val="18"/>
              </w:rPr>
            </w:pPr>
            <w:r w:rsidRPr="00471CBA">
              <w:rPr>
                <w:sz w:val="18"/>
                <w:szCs w:val="18"/>
              </w:rPr>
              <w:t>1.172.215</w:t>
            </w:r>
          </w:p>
        </w:tc>
        <w:tc>
          <w:tcPr>
            <w:tcW w:w="932" w:type="dxa"/>
          </w:tcPr>
          <w:p w14:paraId="084FBC79" w14:textId="36909CEC" w:rsidR="0052668F" w:rsidRPr="00471CBA" w:rsidRDefault="0052668F" w:rsidP="0052668F">
            <w:pPr>
              <w:ind w:right="40"/>
              <w:jc w:val="right"/>
              <w:rPr>
                <w:bCs/>
                <w:sz w:val="18"/>
                <w:szCs w:val="18"/>
              </w:rPr>
            </w:pPr>
            <w:r w:rsidRPr="00471CBA">
              <w:rPr>
                <w:sz w:val="18"/>
                <w:szCs w:val="18"/>
              </w:rPr>
              <w:t>22,20</w:t>
            </w:r>
          </w:p>
        </w:tc>
        <w:tc>
          <w:tcPr>
            <w:tcW w:w="932" w:type="dxa"/>
          </w:tcPr>
          <w:p w14:paraId="75FE3151" w14:textId="1F70D3A4" w:rsidR="0052668F" w:rsidRPr="00471CBA" w:rsidRDefault="0052668F" w:rsidP="0052668F">
            <w:pPr>
              <w:ind w:right="40"/>
              <w:jc w:val="right"/>
              <w:rPr>
                <w:bCs/>
                <w:sz w:val="18"/>
                <w:szCs w:val="18"/>
              </w:rPr>
            </w:pPr>
            <w:r w:rsidRPr="00471CBA">
              <w:rPr>
                <w:sz w:val="18"/>
                <w:szCs w:val="18"/>
              </w:rPr>
              <w:t>529.734</w:t>
            </w:r>
          </w:p>
        </w:tc>
        <w:tc>
          <w:tcPr>
            <w:tcW w:w="880" w:type="dxa"/>
          </w:tcPr>
          <w:p w14:paraId="33B6D594" w14:textId="6B8B5DB5" w:rsidR="0052668F" w:rsidRPr="00471CBA" w:rsidRDefault="0052668F" w:rsidP="0052668F">
            <w:pPr>
              <w:ind w:right="40"/>
              <w:jc w:val="right"/>
              <w:rPr>
                <w:bCs/>
                <w:sz w:val="18"/>
                <w:szCs w:val="18"/>
              </w:rPr>
            </w:pPr>
            <w:r w:rsidRPr="00471CBA">
              <w:rPr>
                <w:sz w:val="18"/>
                <w:szCs w:val="18"/>
              </w:rPr>
              <w:t>25,77</w:t>
            </w:r>
          </w:p>
        </w:tc>
      </w:tr>
      <w:tr w:rsidR="0052668F" w:rsidRPr="00471CBA" w14:paraId="42C240D5" w14:textId="77777777" w:rsidTr="00F56860">
        <w:trPr>
          <w:trHeight w:val="20"/>
        </w:trPr>
        <w:tc>
          <w:tcPr>
            <w:tcW w:w="5795" w:type="dxa"/>
            <w:vAlign w:val="center"/>
          </w:tcPr>
          <w:p w14:paraId="2BF7C57F" w14:textId="77777777" w:rsidR="0052668F" w:rsidRPr="00471CBA" w:rsidRDefault="0052668F" w:rsidP="0052668F">
            <w:pPr>
              <w:ind w:firstLine="220"/>
              <w:rPr>
                <w:iCs/>
                <w:snapToGrid w:val="0"/>
                <w:sz w:val="18"/>
                <w:szCs w:val="18"/>
              </w:rPr>
            </w:pPr>
            <w:r w:rsidRPr="00471CBA">
              <w:rPr>
                <w:iCs/>
                <w:snapToGrid w:val="0"/>
                <w:sz w:val="18"/>
                <w:szCs w:val="18"/>
              </w:rPr>
              <w:t>Mali Kuruluşlar</w:t>
            </w:r>
          </w:p>
        </w:tc>
        <w:tc>
          <w:tcPr>
            <w:tcW w:w="931" w:type="dxa"/>
          </w:tcPr>
          <w:p w14:paraId="5B607153" w14:textId="23BEB8D3" w:rsidR="0052668F" w:rsidRPr="00471CBA" w:rsidRDefault="0052668F" w:rsidP="0052668F">
            <w:pPr>
              <w:ind w:right="40"/>
              <w:jc w:val="right"/>
              <w:rPr>
                <w:bCs/>
                <w:sz w:val="18"/>
                <w:szCs w:val="18"/>
              </w:rPr>
            </w:pPr>
            <w:r w:rsidRPr="00471CBA">
              <w:rPr>
                <w:sz w:val="18"/>
                <w:szCs w:val="18"/>
              </w:rPr>
              <w:t>71.500</w:t>
            </w:r>
          </w:p>
        </w:tc>
        <w:tc>
          <w:tcPr>
            <w:tcW w:w="932" w:type="dxa"/>
          </w:tcPr>
          <w:p w14:paraId="1DE87557" w14:textId="3946739D" w:rsidR="0052668F" w:rsidRPr="00471CBA" w:rsidRDefault="0052668F" w:rsidP="0052668F">
            <w:pPr>
              <w:ind w:right="40"/>
              <w:jc w:val="right"/>
              <w:rPr>
                <w:bCs/>
                <w:sz w:val="18"/>
                <w:szCs w:val="18"/>
              </w:rPr>
            </w:pPr>
            <w:r w:rsidRPr="00471CBA">
              <w:rPr>
                <w:sz w:val="18"/>
                <w:szCs w:val="18"/>
              </w:rPr>
              <w:t>1,35</w:t>
            </w:r>
          </w:p>
        </w:tc>
        <w:tc>
          <w:tcPr>
            <w:tcW w:w="932" w:type="dxa"/>
          </w:tcPr>
          <w:p w14:paraId="79EA4B91" w14:textId="228114B8" w:rsidR="0052668F" w:rsidRPr="00471CBA" w:rsidRDefault="0052668F" w:rsidP="0052668F">
            <w:pPr>
              <w:ind w:right="40"/>
              <w:jc w:val="right"/>
              <w:rPr>
                <w:bCs/>
                <w:sz w:val="18"/>
                <w:szCs w:val="18"/>
              </w:rPr>
            </w:pPr>
            <w:r w:rsidRPr="00471CBA">
              <w:rPr>
                <w:sz w:val="18"/>
                <w:szCs w:val="18"/>
              </w:rPr>
              <w:t>-</w:t>
            </w:r>
          </w:p>
        </w:tc>
        <w:tc>
          <w:tcPr>
            <w:tcW w:w="880" w:type="dxa"/>
          </w:tcPr>
          <w:p w14:paraId="2C61E606" w14:textId="42D95659" w:rsidR="0052668F" w:rsidRPr="00471CBA" w:rsidRDefault="0052668F" w:rsidP="0052668F">
            <w:pPr>
              <w:ind w:right="40"/>
              <w:jc w:val="right"/>
              <w:rPr>
                <w:bCs/>
                <w:sz w:val="18"/>
                <w:szCs w:val="18"/>
              </w:rPr>
            </w:pPr>
            <w:r w:rsidRPr="00471CBA">
              <w:rPr>
                <w:sz w:val="18"/>
                <w:szCs w:val="18"/>
              </w:rPr>
              <w:t>-</w:t>
            </w:r>
          </w:p>
        </w:tc>
      </w:tr>
      <w:tr w:rsidR="0052668F" w:rsidRPr="00471CBA" w14:paraId="76859BB2" w14:textId="77777777" w:rsidTr="00F56860">
        <w:trPr>
          <w:trHeight w:val="20"/>
        </w:trPr>
        <w:tc>
          <w:tcPr>
            <w:tcW w:w="5795" w:type="dxa"/>
            <w:vAlign w:val="bottom"/>
          </w:tcPr>
          <w:p w14:paraId="313DFE40" w14:textId="77777777" w:rsidR="0052668F" w:rsidRPr="00471CBA" w:rsidRDefault="0052668F" w:rsidP="0052668F">
            <w:pPr>
              <w:ind w:firstLine="220"/>
              <w:rPr>
                <w:rFonts w:eastAsia="Arial Unicode MS"/>
                <w:sz w:val="18"/>
                <w:szCs w:val="18"/>
              </w:rPr>
            </w:pPr>
            <w:r w:rsidRPr="00471CBA">
              <w:rPr>
                <w:rFonts w:eastAsia="Arial Unicode MS"/>
                <w:sz w:val="18"/>
                <w:szCs w:val="18"/>
              </w:rPr>
              <w:t xml:space="preserve">Gayrimenkul ve Kiralama Hizmetleri  </w:t>
            </w:r>
          </w:p>
        </w:tc>
        <w:tc>
          <w:tcPr>
            <w:tcW w:w="931" w:type="dxa"/>
          </w:tcPr>
          <w:p w14:paraId="324FB30B" w14:textId="724F3A5A" w:rsidR="0052668F" w:rsidRPr="00471CBA" w:rsidRDefault="0052668F" w:rsidP="0052668F">
            <w:pPr>
              <w:ind w:right="40"/>
              <w:jc w:val="right"/>
              <w:rPr>
                <w:bCs/>
                <w:sz w:val="18"/>
                <w:szCs w:val="18"/>
              </w:rPr>
            </w:pPr>
            <w:r w:rsidRPr="00471CBA">
              <w:rPr>
                <w:sz w:val="18"/>
                <w:szCs w:val="18"/>
              </w:rPr>
              <w:t>149.911</w:t>
            </w:r>
          </w:p>
        </w:tc>
        <w:tc>
          <w:tcPr>
            <w:tcW w:w="932" w:type="dxa"/>
          </w:tcPr>
          <w:p w14:paraId="36948603" w14:textId="63D89AEC" w:rsidR="0052668F" w:rsidRPr="00471CBA" w:rsidRDefault="0052668F" w:rsidP="0052668F">
            <w:pPr>
              <w:ind w:right="40"/>
              <w:jc w:val="right"/>
              <w:rPr>
                <w:bCs/>
                <w:sz w:val="18"/>
                <w:szCs w:val="18"/>
              </w:rPr>
            </w:pPr>
            <w:r w:rsidRPr="00471CBA">
              <w:rPr>
                <w:sz w:val="18"/>
                <w:szCs w:val="18"/>
              </w:rPr>
              <w:t>2,84</w:t>
            </w:r>
          </w:p>
        </w:tc>
        <w:tc>
          <w:tcPr>
            <w:tcW w:w="932" w:type="dxa"/>
          </w:tcPr>
          <w:p w14:paraId="7AE5F2D5" w14:textId="59E9CEAF" w:rsidR="0052668F" w:rsidRPr="00471CBA" w:rsidRDefault="0052668F" w:rsidP="0052668F">
            <w:pPr>
              <w:ind w:right="40"/>
              <w:jc w:val="right"/>
              <w:rPr>
                <w:bCs/>
                <w:sz w:val="18"/>
                <w:szCs w:val="18"/>
              </w:rPr>
            </w:pPr>
            <w:r w:rsidRPr="00471CBA">
              <w:rPr>
                <w:sz w:val="18"/>
                <w:szCs w:val="18"/>
              </w:rPr>
              <w:t>149.968</w:t>
            </w:r>
          </w:p>
        </w:tc>
        <w:tc>
          <w:tcPr>
            <w:tcW w:w="880" w:type="dxa"/>
          </w:tcPr>
          <w:p w14:paraId="62A1DC19" w14:textId="2DF72B9A" w:rsidR="0052668F" w:rsidRPr="00471CBA" w:rsidRDefault="0052668F" w:rsidP="0052668F">
            <w:pPr>
              <w:ind w:right="40"/>
              <w:jc w:val="right"/>
              <w:rPr>
                <w:bCs/>
                <w:sz w:val="18"/>
                <w:szCs w:val="18"/>
              </w:rPr>
            </w:pPr>
            <w:r w:rsidRPr="00471CBA">
              <w:rPr>
                <w:sz w:val="18"/>
                <w:szCs w:val="18"/>
              </w:rPr>
              <w:t>7,29</w:t>
            </w:r>
          </w:p>
        </w:tc>
      </w:tr>
      <w:tr w:rsidR="0052668F" w:rsidRPr="00471CBA" w14:paraId="12B0B0EF" w14:textId="77777777" w:rsidTr="00F56860">
        <w:trPr>
          <w:trHeight w:val="20"/>
        </w:trPr>
        <w:tc>
          <w:tcPr>
            <w:tcW w:w="5795" w:type="dxa"/>
            <w:vAlign w:val="bottom"/>
          </w:tcPr>
          <w:p w14:paraId="7EB2FC16" w14:textId="77777777" w:rsidR="0052668F" w:rsidRPr="00471CBA" w:rsidRDefault="0052668F" w:rsidP="0052668F">
            <w:pPr>
              <w:ind w:firstLine="220"/>
              <w:rPr>
                <w:rFonts w:eastAsia="Arial Unicode MS"/>
                <w:sz w:val="18"/>
                <w:szCs w:val="18"/>
              </w:rPr>
            </w:pPr>
            <w:r w:rsidRPr="00471CBA">
              <w:rPr>
                <w:rFonts w:eastAsia="Arial Unicode MS"/>
                <w:sz w:val="18"/>
                <w:szCs w:val="18"/>
              </w:rPr>
              <w:t>Serbest Meslek Hizmetleri</w:t>
            </w:r>
          </w:p>
        </w:tc>
        <w:tc>
          <w:tcPr>
            <w:tcW w:w="931" w:type="dxa"/>
          </w:tcPr>
          <w:p w14:paraId="337DE515" w14:textId="718C5FD4" w:rsidR="0052668F" w:rsidRPr="00471CBA" w:rsidRDefault="0052668F" w:rsidP="0052668F">
            <w:pPr>
              <w:ind w:right="40"/>
              <w:jc w:val="right"/>
              <w:rPr>
                <w:bCs/>
                <w:sz w:val="18"/>
                <w:szCs w:val="18"/>
              </w:rPr>
            </w:pPr>
            <w:r w:rsidRPr="00471CBA">
              <w:rPr>
                <w:sz w:val="18"/>
                <w:szCs w:val="18"/>
              </w:rPr>
              <w:t>77</w:t>
            </w:r>
          </w:p>
        </w:tc>
        <w:tc>
          <w:tcPr>
            <w:tcW w:w="932" w:type="dxa"/>
          </w:tcPr>
          <w:p w14:paraId="7FCA31AA" w14:textId="494F6555" w:rsidR="0052668F" w:rsidRPr="00471CBA" w:rsidRDefault="0052668F" w:rsidP="0052668F">
            <w:pPr>
              <w:ind w:right="40"/>
              <w:jc w:val="right"/>
              <w:rPr>
                <w:bCs/>
                <w:sz w:val="18"/>
                <w:szCs w:val="18"/>
              </w:rPr>
            </w:pPr>
            <w:r w:rsidRPr="00471CBA">
              <w:rPr>
                <w:sz w:val="18"/>
                <w:szCs w:val="18"/>
              </w:rPr>
              <w:t>0,00</w:t>
            </w:r>
          </w:p>
        </w:tc>
        <w:tc>
          <w:tcPr>
            <w:tcW w:w="932" w:type="dxa"/>
          </w:tcPr>
          <w:p w14:paraId="0AE03B33" w14:textId="48B0433B" w:rsidR="0052668F" w:rsidRPr="00471CBA" w:rsidRDefault="0052668F" w:rsidP="0052668F">
            <w:pPr>
              <w:ind w:right="40"/>
              <w:jc w:val="right"/>
              <w:rPr>
                <w:bCs/>
                <w:sz w:val="18"/>
                <w:szCs w:val="18"/>
              </w:rPr>
            </w:pPr>
            <w:r w:rsidRPr="00471CBA">
              <w:rPr>
                <w:sz w:val="18"/>
                <w:szCs w:val="18"/>
              </w:rPr>
              <w:t>35.280</w:t>
            </w:r>
          </w:p>
        </w:tc>
        <w:tc>
          <w:tcPr>
            <w:tcW w:w="880" w:type="dxa"/>
          </w:tcPr>
          <w:p w14:paraId="574BD17E" w14:textId="59DB2575" w:rsidR="0052668F" w:rsidRPr="00471CBA" w:rsidRDefault="0052668F" w:rsidP="0052668F">
            <w:pPr>
              <w:ind w:right="40"/>
              <w:jc w:val="right"/>
              <w:rPr>
                <w:bCs/>
                <w:sz w:val="18"/>
                <w:szCs w:val="18"/>
              </w:rPr>
            </w:pPr>
            <w:r w:rsidRPr="00471CBA">
              <w:rPr>
                <w:sz w:val="18"/>
                <w:szCs w:val="18"/>
              </w:rPr>
              <w:t>1,72</w:t>
            </w:r>
          </w:p>
        </w:tc>
      </w:tr>
      <w:tr w:rsidR="0052668F" w:rsidRPr="00471CBA" w14:paraId="1BA9208B" w14:textId="77777777" w:rsidTr="00F56860">
        <w:trPr>
          <w:trHeight w:val="20"/>
        </w:trPr>
        <w:tc>
          <w:tcPr>
            <w:tcW w:w="5795" w:type="dxa"/>
            <w:vAlign w:val="bottom"/>
          </w:tcPr>
          <w:p w14:paraId="1F80725B" w14:textId="77777777" w:rsidR="0052668F" w:rsidRPr="00471CBA" w:rsidRDefault="0052668F" w:rsidP="0052668F">
            <w:pPr>
              <w:ind w:firstLine="220"/>
              <w:rPr>
                <w:rFonts w:eastAsia="Arial Unicode MS"/>
                <w:sz w:val="18"/>
                <w:szCs w:val="18"/>
              </w:rPr>
            </w:pPr>
            <w:r w:rsidRPr="00471CBA">
              <w:rPr>
                <w:rFonts w:eastAsia="Arial Unicode MS"/>
                <w:sz w:val="18"/>
                <w:szCs w:val="18"/>
              </w:rPr>
              <w:t>Eğitim Hizmetleri</w:t>
            </w:r>
          </w:p>
        </w:tc>
        <w:tc>
          <w:tcPr>
            <w:tcW w:w="931" w:type="dxa"/>
          </w:tcPr>
          <w:p w14:paraId="1DAFC302" w14:textId="698F4E75" w:rsidR="0052668F" w:rsidRPr="00471CBA" w:rsidRDefault="0052668F" w:rsidP="0052668F">
            <w:pPr>
              <w:ind w:right="40"/>
              <w:jc w:val="right"/>
              <w:rPr>
                <w:bCs/>
                <w:sz w:val="18"/>
                <w:szCs w:val="18"/>
              </w:rPr>
            </w:pPr>
            <w:r w:rsidRPr="00471CBA">
              <w:rPr>
                <w:sz w:val="18"/>
                <w:szCs w:val="18"/>
              </w:rPr>
              <w:t>-</w:t>
            </w:r>
          </w:p>
        </w:tc>
        <w:tc>
          <w:tcPr>
            <w:tcW w:w="932" w:type="dxa"/>
          </w:tcPr>
          <w:p w14:paraId="7AD8F52C" w14:textId="5C840331" w:rsidR="0052668F" w:rsidRPr="00471CBA" w:rsidRDefault="0052668F" w:rsidP="0052668F">
            <w:pPr>
              <w:ind w:right="40"/>
              <w:jc w:val="right"/>
              <w:rPr>
                <w:bCs/>
                <w:sz w:val="18"/>
                <w:szCs w:val="18"/>
              </w:rPr>
            </w:pPr>
            <w:r w:rsidRPr="00471CBA">
              <w:rPr>
                <w:sz w:val="18"/>
                <w:szCs w:val="18"/>
              </w:rPr>
              <w:t>-</w:t>
            </w:r>
          </w:p>
        </w:tc>
        <w:tc>
          <w:tcPr>
            <w:tcW w:w="932" w:type="dxa"/>
          </w:tcPr>
          <w:p w14:paraId="704283D4" w14:textId="4C027AAF" w:rsidR="0052668F" w:rsidRPr="00471CBA" w:rsidRDefault="0052668F" w:rsidP="0052668F">
            <w:pPr>
              <w:ind w:right="40"/>
              <w:jc w:val="right"/>
              <w:rPr>
                <w:bCs/>
                <w:sz w:val="18"/>
                <w:szCs w:val="18"/>
              </w:rPr>
            </w:pPr>
            <w:r w:rsidRPr="00471CBA">
              <w:rPr>
                <w:sz w:val="18"/>
                <w:szCs w:val="18"/>
              </w:rPr>
              <w:t>-</w:t>
            </w:r>
          </w:p>
        </w:tc>
        <w:tc>
          <w:tcPr>
            <w:tcW w:w="880" w:type="dxa"/>
          </w:tcPr>
          <w:p w14:paraId="42C85D1E" w14:textId="4D104616" w:rsidR="0052668F" w:rsidRPr="00471CBA" w:rsidRDefault="0052668F" w:rsidP="0052668F">
            <w:pPr>
              <w:ind w:right="40"/>
              <w:jc w:val="right"/>
              <w:rPr>
                <w:bCs/>
                <w:sz w:val="18"/>
                <w:szCs w:val="18"/>
              </w:rPr>
            </w:pPr>
            <w:r w:rsidRPr="00471CBA">
              <w:rPr>
                <w:sz w:val="18"/>
                <w:szCs w:val="18"/>
              </w:rPr>
              <w:t>-</w:t>
            </w:r>
          </w:p>
        </w:tc>
      </w:tr>
      <w:tr w:rsidR="0052668F" w:rsidRPr="00471CBA" w14:paraId="3CA8C11A" w14:textId="77777777" w:rsidTr="00F56860">
        <w:trPr>
          <w:trHeight w:val="20"/>
        </w:trPr>
        <w:tc>
          <w:tcPr>
            <w:tcW w:w="5795" w:type="dxa"/>
            <w:vAlign w:val="bottom"/>
          </w:tcPr>
          <w:p w14:paraId="42522367" w14:textId="77777777" w:rsidR="0052668F" w:rsidRPr="00471CBA" w:rsidRDefault="0052668F" w:rsidP="0052668F">
            <w:pPr>
              <w:ind w:firstLine="220"/>
              <w:rPr>
                <w:sz w:val="18"/>
                <w:szCs w:val="18"/>
              </w:rPr>
            </w:pPr>
            <w:r w:rsidRPr="00471CBA">
              <w:rPr>
                <w:sz w:val="18"/>
                <w:szCs w:val="18"/>
              </w:rPr>
              <w:t>Sağlık ve Sosyal Hizmetler</w:t>
            </w:r>
          </w:p>
        </w:tc>
        <w:tc>
          <w:tcPr>
            <w:tcW w:w="931" w:type="dxa"/>
          </w:tcPr>
          <w:p w14:paraId="6424F504" w14:textId="137ED541" w:rsidR="0052668F" w:rsidRPr="00471CBA" w:rsidRDefault="0052668F" w:rsidP="0052668F">
            <w:pPr>
              <w:ind w:right="40"/>
              <w:jc w:val="right"/>
              <w:rPr>
                <w:bCs/>
                <w:sz w:val="18"/>
                <w:szCs w:val="18"/>
              </w:rPr>
            </w:pPr>
            <w:r w:rsidRPr="00471CBA">
              <w:rPr>
                <w:sz w:val="18"/>
                <w:szCs w:val="18"/>
              </w:rPr>
              <w:t>110.759</w:t>
            </w:r>
          </w:p>
        </w:tc>
        <w:tc>
          <w:tcPr>
            <w:tcW w:w="932" w:type="dxa"/>
          </w:tcPr>
          <w:p w14:paraId="78D8890B" w14:textId="2568DBCB" w:rsidR="0052668F" w:rsidRPr="00471CBA" w:rsidRDefault="0052668F" w:rsidP="0052668F">
            <w:pPr>
              <w:ind w:right="40"/>
              <w:jc w:val="right"/>
              <w:rPr>
                <w:bCs/>
                <w:sz w:val="18"/>
                <w:szCs w:val="18"/>
              </w:rPr>
            </w:pPr>
            <w:r w:rsidRPr="00471CBA">
              <w:rPr>
                <w:sz w:val="18"/>
                <w:szCs w:val="18"/>
              </w:rPr>
              <w:t>2,10</w:t>
            </w:r>
          </w:p>
        </w:tc>
        <w:tc>
          <w:tcPr>
            <w:tcW w:w="932" w:type="dxa"/>
          </w:tcPr>
          <w:p w14:paraId="260E6F19" w14:textId="13337AA4" w:rsidR="0052668F" w:rsidRPr="00471CBA" w:rsidRDefault="0052668F" w:rsidP="0052668F">
            <w:pPr>
              <w:ind w:right="40"/>
              <w:jc w:val="right"/>
              <w:rPr>
                <w:bCs/>
                <w:sz w:val="18"/>
                <w:szCs w:val="18"/>
              </w:rPr>
            </w:pPr>
            <w:r w:rsidRPr="00471CBA">
              <w:rPr>
                <w:sz w:val="18"/>
                <w:szCs w:val="18"/>
              </w:rPr>
              <w:t>-</w:t>
            </w:r>
          </w:p>
        </w:tc>
        <w:tc>
          <w:tcPr>
            <w:tcW w:w="880" w:type="dxa"/>
          </w:tcPr>
          <w:p w14:paraId="12C8CE8D" w14:textId="1E97321C" w:rsidR="0052668F" w:rsidRPr="00471CBA" w:rsidRDefault="0052668F" w:rsidP="0052668F">
            <w:pPr>
              <w:ind w:right="40"/>
              <w:jc w:val="right"/>
              <w:rPr>
                <w:bCs/>
                <w:sz w:val="18"/>
                <w:szCs w:val="18"/>
              </w:rPr>
            </w:pPr>
            <w:r w:rsidRPr="00471CBA">
              <w:rPr>
                <w:sz w:val="18"/>
                <w:szCs w:val="18"/>
              </w:rPr>
              <w:t>-</w:t>
            </w:r>
          </w:p>
        </w:tc>
      </w:tr>
      <w:tr w:rsidR="0052668F" w:rsidRPr="00471CBA" w14:paraId="373891E9" w14:textId="77777777" w:rsidTr="00F56860">
        <w:trPr>
          <w:trHeight w:val="106"/>
        </w:trPr>
        <w:tc>
          <w:tcPr>
            <w:tcW w:w="5795" w:type="dxa"/>
            <w:vAlign w:val="center"/>
          </w:tcPr>
          <w:p w14:paraId="3104E008" w14:textId="77777777" w:rsidR="0052668F" w:rsidRPr="00471CBA" w:rsidRDefault="0052668F" w:rsidP="0052668F">
            <w:pPr>
              <w:rPr>
                <w:b/>
                <w:iCs/>
                <w:snapToGrid w:val="0"/>
                <w:sz w:val="18"/>
                <w:szCs w:val="18"/>
              </w:rPr>
            </w:pPr>
            <w:r w:rsidRPr="00471CBA">
              <w:rPr>
                <w:b/>
                <w:iCs/>
                <w:snapToGrid w:val="0"/>
                <w:sz w:val="18"/>
                <w:szCs w:val="18"/>
              </w:rPr>
              <w:t>Diğer</w:t>
            </w:r>
          </w:p>
        </w:tc>
        <w:tc>
          <w:tcPr>
            <w:tcW w:w="931" w:type="dxa"/>
          </w:tcPr>
          <w:p w14:paraId="231367BA" w14:textId="654BC073" w:rsidR="0052668F" w:rsidRPr="00471CBA" w:rsidRDefault="0052668F" w:rsidP="0052668F">
            <w:pPr>
              <w:ind w:right="40"/>
              <w:jc w:val="right"/>
              <w:rPr>
                <w:b/>
                <w:bCs/>
                <w:sz w:val="18"/>
                <w:szCs w:val="18"/>
              </w:rPr>
            </w:pPr>
            <w:r w:rsidRPr="00471CBA">
              <w:rPr>
                <w:b/>
                <w:sz w:val="18"/>
                <w:szCs w:val="18"/>
              </w:rPr>
              <w:t>-</w:t>
            </w:r>
          </w:p>
        </w:tc>
        <w:tc>
          <w:tcPr>
            <w:tcW w:w="932" w:type="dxa"/>
          </w:tcPr>
          <w:p w14:paraId="3A7F15B9" w14:textId="22BA30F1" w:rsidR="0052668F" w:rsidRPr="00471CBA" w:rsidRDefault="0052668F" w:rsidP="0052668F">
            <w:pPr>
              <w:ind w:right="40"/>
              <w:jc w:val="right"/>
              <w:rPr>
                <w:b/>
                <w:bCs/>
                <w:sz w:val="18"/>
                <w:szCs w:val="18"/>
              </w:rPr>
            </w:pPr>
            <w:r w:rsidRPr="00471CBA">
              <w:rPr>
                <w:b/>
                <w:sz w:val="18"/>
                <w:szCs w:val="18"/>
              </w:rPr>
              <w:t>-</w:t>
            </w:r>
          </w:p>
        </w:tc>
        <w:tc>
          <w:tcPr>
            <w:tcW w:w="932" w:type="dxa"/>
          </w:tcPr>
          <w:p w14:paraId="38713B2A" w14:textId="46D97F69" w:rsidR="0052668F" w:rsidRPr="00471CBA" w:rsidRDefault="0052668F" w:rsidP="0052668F">
            <w:pPr>
              <w:ind w:right="40"/>
              <w:jc w:val="right"/>
              <w:rPr>
                <w:b/>
                <w:bCs/>
                <w:sz w:val="18"/>
                <w:szCs w:val="18"/>
              </w:rPr>
            </w:pPr>
            <w:r w:rsidRPr="00471CBA">
              <w:rPr>
                <w:b/>
                <w:sz w:val="18"/>
                <w:szCs w:val="18"/>
              </w:rPr>
              <w:t>-</w:t>
            </w:r>
          </w:p>
        </w:tc>
        <w:tc>
          <w:tcPr>
            <w:tcW w:w="880" w:type="dxa"/>
          </w:tcPr>
          <w:p w14:paraId="6AF795BE" w14:textId="269C5455" w:rsidR="0052668F" w:rsidRPr="00471CBA" w:rsidRDefault="0052668F" w:rsidP="0052668F">
            <w:pPr>
              <w:ind w:right="40"/>
              <w:jc w:val="right"/>
              <w:rPr>
                <w:b/>
                <w:bCs/>
                <w:sz w:val="18"/>
                <w:szCs w:val="18"/>
              </w:rPr>
            </w:pPr>
            <w:r w:rsidRPr="00471CBA">
              <w:rPr>
                <w:b/>
                <w:sz w:val="18"/>
                <w:szCs w:val="18"/>
              </w:rPr>
              <w:t>-</w:t>
            </w:r>
          </w:p>
        </w:tc>
      </w:tr>
      <w:tr w:rsidR="0052668F" w:rsidRPr="00471CBA" w14:paraId="07CBE6D8" w14:textId="77777777" w:rsidTr="00F56860">
        <w:trPr>
          <w:trHeight w:val="20"/>
        </w:trPr>
        <w:tc>
          <w:tcPr>
            <w:tcW w:w="5795" w:type="dxa"/>
            <w:tcBorders>
              <w:bottom w:val="single" w:sz="4" w:space="0" w:color="auto"/>
            </w:tcBorders>
            <w:vAlign w:val="center"/>
          </w:tcPr>
          <w:p w14:paraId="1042631A" w14:textId="77777777" w:rsidR="0052668F" w:rsidRPr="00471CBA" w:rsidRDefault="0052668F" w:rsidP="0052668F">
            <w:pPr>
              <w:rPr>
                <w:iCs/>
                <w:snapToGrid w:val="0"/>
                <w:sz w:val="18"/>
                <w:szCs w:val="18"/>
              </w:rPr>
            </w:pPr>
          </w:p>
        </w:tc>
        <w:tc>
          <w:tcPr>
            <w:tcW w:w="931" w:type="dxa"/>
            <w:tcBorders>
              <w:bottom w:val="single" w:sz="4" w:space="0" w:color="auto"/>
            </w:tcBorders>
          </w:tcPr>
          <w:p w14:paraId="5DE08C8C" w14:textId="565C16BF" w:rsidR="0052668F" w:rsidRPr="00471CBA" w:rsidRDefault="0052668F" w:rsidP="0052668F">
            <w:pPr>
              <w:ind w:right="40"/>
              <w:jc w:val="right"/>
              <w:rPr>
                <w:bCs/>
                <w:sz w:val="18"/>
                <w:szCs w:val="18"/>
              </w:rPr>
            </w:pPr>
          </w:p>
        </w:tc>
        <w:tc>
          <w:tcPr>
            <w:tcW w:w="932" w:type="dxa"/>
            <w:tcBorders>
              <w:bottom w:val="single" w:sz="4" w:space="0" w:color="auto"/>
            </w:tcBorders>
          </w:tcPr>
          <w:p w14:paraId="0A7CC83B" w14:textId="25E17D5F" w:rsidR="0052668F" w:rsidRPr="00471CBA" w:rsidRDefault="0052668F" w:rsidP="0052668F">
            <w:pPr>
              <w:ind w:right="40"/>
              <w:jc w:val="right"/>
              <w:rPr>
                <w:bCs/>
                <w:sz w:val="18"/>
                <w:szCs w:val="18"/>
              </w:rPr>
            </w:pPr>
          </w:p>
        </w:tc>
        <w:tc>
          <w:tcPr>
            <w:tcW w:w="932" w:type="dxa"/>
            <w:tcBorders>
              <w:bottom w:val="single" w:sz="4" w:space="0" w:color="auto"/>
            </w:tcBorders>
          </w:tcPr>
          <w:p w14:paraId="701A2C17" w14:textId="56937323" w:rsidR="0052668F" w:rsidRPr="00471CBA" w:rsidRDefault="0052668F" w:rsidP="0052668F">
            <w:pPr>
              <w:ind w:right="40"/>
              <w:jc w:val="right"/>
              <w:rPr>
                <w:bCs/>
                <w:sz w:val="18"/>
                <w:szCs w:val="18"/>
              </w:rPr>
            </w:pPr>
          </w:p>
        </w:tc>
        <w:tc>
          <w:tcPr>
            <w:tcW w:w="880" w:type="dxa"/>
            <w:tcBorders>
              <w:bottom w:val="single" w:sz="4" w:space="0" w:color="auto"/>
            </w:tcBorders>
          </w:tcPr>
          <w:p w14:paraId="371A5216" w14:textId="71B4E672" w:rsidR="0052668F" w:rsidRPr="00471CBA" w:rsidRDefault="0052668F" w:rsidP="0052668F">
            <w:pPr>
              <w:ind w:right="40"/>
              <w:jc w:val="right"/>
              <w:rPr>
                <w:bCs/>
                <w:sz w:val="18"/>
                <w:szCs w:val="18"/>
              </w:rPr>
            </w:pPr>
          </w:p>
        </w:tc>
      </w:tr>
      <w:tr w:rsidR="0052668F" w:rsidRPr="00471CBA" w14:paraId="458C5162" w14:textId="77777777" w:rsidTr="00F56860">
        <w:trPr>
          <w:trHeight w:val="20"/>
        </w:trPr>
        <w:tc>
          <w:tcPr>
            <w:tcW w:w="5795" w:type="dxa"/>
            <w:tcBorders>
              <w:top w:val="single" w:sz="4" w:space="0" w:color="auto"/>
              <w:bottom w:val="single" w:sz="12" w:space="0" w:color="auto"/>
            </w:tcBorders>
            <w:vAlign w:val="bottom"/>
          </w:tcPr>
          <w:p w14:paraId="34639F92" w14:textId="77777777" w:rsidR="0052668F" w:rsidRPr="00471CBA" w:rsidRDefault="0052668F" w:rsidP="0052668F">
            <w:pPr>
              <w:rPr>
                <w:b/>
                <w:iCs/>
                <w:snapToGrid w:val="0"/>
                <w:sz w:val="18"/>
                <w:szCs w:val="18"/>
              </w:rPr>
            </w:pPr>
            <w:r w:rsidRPr="00471CBA">
              <w:rPr>
                <w:b/>
                <w:iCs/>
                <w:snapToGrid w:val="0"/>
                <w:sz w:val="18"/>
                <w:szCs w:val="18"/>
              </w:rPr>
              <w:t>Toplam</w:t>
            </w:r>
          </w:p>
        </w:tc>
        <w:tc>
          <w:tcPr>
            <w:tcW w:w="931" w:type="dxa"/>
            <w:tcBorders>
              <w:top w:val="single" w:sz="4" w:space="0" w:color="auto"/>
              <w:bottom w:val="single" w:sz="12" w:space="0" w:color="auto"/>
            </w:tcBorders>
          </w:tcPr>
          <w:p w14:paraId="6CED793B" w14:textId="5823F775" w:rsidR="0052668F" w:rsidRPr="00471CBA" w:rsidRDefault="0052668F" w:rsidP="0052668F">
            <w:pPr>
              <w:ind w:right="40"/>
              <w:jc w:val="right"/>
              <w:rPr>
                <w:b/>
                <w:bCs/>
                <w:sz w:val="18"/>
                <w:szCs w:val="18"/>
              </w:rPr>
            </w:pPr>
            <w:r w:rsidRPr="00471CBA">
              <w:rPr>
                <w:b/>
                <w:sz w:val="18"/>
                <w:szCs w:val="18"/>
              </w:rPr>
              <w:t>5.279.730</w:t>
            </w:r>
          </w:p>
        </w:tc>
        <w:tc>
          <w:tcPr>
            <w:tcW w:w="932" w:type="dxa"/>
            <w:tcBorders>
              <w:top w:val="single" w:sz="4" w:space="0" w:color="auto"/>
              <w:bottom w:val="single" w:sz="12" w:space="0" w:color="auto"/>
            </w:tcBorders>
          </w:tcPr>
          <w:p w14:paraId="6D50BA6D" w14:textId="020B2D5C" w:rsidR="0052668F" w:rsidRPr="00471CBA" w:rsidRDefault="0052668F" w:rsidP="0052668F">
            <w:pPr>
              <w:ind w:right="40"/>
              <w:jc w:val="right"/>
              <w:rPr>
                <w:b/>
                <w:bCs/>
                <w:sz w:val="18"/>
                <w:szCs w:val="18"/>
              </w:rPr>
            </w:pPr>
            <w:r w:rsidRPr="00471CBA">
              <w:rPr>
                <w:b/>
                <w:sz w:val="18"/>
                <w:szCs w:val="18"/>
              </w:rPr>
              <w:t>100,00</w:t>
            </w:r>
          </w:p>
        </w:tc>
        <w:tc>
          <w:tcPr>
            <w:tcW w:w="932" w:type="dxa"/>
            <w:tcBorders>
              <w:top w:val="single" w:sz="4" w:space="0" w:color="auto"/>
              <w:bottom w:val="single" w:sz="12" w:space="0" w:color="auto"/>
            </w:tcBorders>
          </w:tcPr>
          <w:p w14:paraId="4D0CDA50" w14:textId="519FD9EF" w:rsidR="0052668F" w:rsidRPr="00471CBA" w:rsidRDefault="0052668F" w:rsidP="0052668F">
            <w:pPr>
              <w:ind w:right="40"/>
              <w:jc w:val="right"/>
              <w:rPr>
                <w:b/>
                <w:bCs/>
                <w:sz w:val="18"/>
                <w:szCs w:val="18"/>
              </w:rPr>
            </w:pPr>
            <w:r w:rsidRPr="00471CBA">
              <w:rPr>
                <w:b/>
                <w:sz w:val="18"/>
                <w:szCs w:val="18"/>
              </w:rPr>
              <w:t>2.055.984</w:t>
            </w:r>
          </w:p>
        </w:tc>
        <w:tc>
          <w:tcPr>
            <w:tcW w:w="880" w:type="dxa"/>
            <w:tcBorders>
              <w:top w:val="single" w:sz="4" w:space="0" w:color="auto"/>
              <w:bottom w:val="single" w:sz="12" w:space="0" w:color="auto"/>
            </w:tcBorders>
          </w:tcPr>
          <w:p w14:paraId="01200C81" w14:textId="3613DCEF" w:rsidR="0052668F" w:rsidRPr="00471CBA" w:rsidRDefault="0052668F" w:rsidP="0052668F">
            <w:pPr>
              <w:ind w:right="40"/>
              <w:jc w:val="right"/>
              <w:rPr>
                <w:b/>
                <w:bCs/>
                <w:sz w:val="18"/>
                <w:szCs w:val="18"/>
              </w:rPr>
            </w:pPr>
            <w:r w:rsidRPr="00471CBA">
              <w:rPr>
                <w:b/>
                <w:sz w:val="18"/>
                <w:szCs w:val="18"/>
              </w:rPr>
              <w:t>100,00</w:t>
            </w:r>
          </w:p>
        </w:tc>
      </w:tr>
    </w:tbl>
    <w:p w14:paraId="331AF000" w14:textId="5ADF33D8" w:rsidR="006025D3" w:rsidRDefault="006025D3" w:rsidP="002432BC"/>
    <w:p w14:paraId="3FD4CB99" w14:textId="77777777" w:rsidR="006025D3" w:rsidRDefault="006025D3">
      <w:r>
        <w:br w:type="page"/>
      </w:r>
    </w:p>
    <w:p w14:paraId="61937629" w14:textId="77777777" w:rsidR="006025D3" w:rsidRPr="00471CBA" w:rsidRDefault="006025D3" w:rsidP="006025D3">
      <w:pPr>
        <w:widowControl w:val="0"/>
        <w:spacing w:line="228" w:lineRule="auto"/>
        <w:jc w:val="both"/>
        <w:rPr>
          <w:b/>
          <w:szCs w:val="20"/>
        </w:rPr>
      </w:pPr>
      <w:r w:rsidRPr="00471CBA">
        <w:rPr>
          <w:b/>
          <w:szCs w:val="20"/>
        </w:rPr>
        <w:t>KONSOLİDE OLMAYAN FİNANSAL TABLOLARA İLİŞKİN AÇIKLAMA VE DİPNOTLAR (Devamı)</w:t>
      </w:r>
    </w:p>
    <w:p w14:paraId="7128EAF8" w14:textId="77777777" w:rsidR="006025D3" w:rsidRPr="00471CBA" w:rsidRDefault="006025D3" w:rsidP="006025D3">
      <w:pPr>
        <w:widowControl w:val="0"/>
        <w:spacing w:line="228" w:lineRule="auto"/>
        <w:ind w:left="-14" w:hanging="504"/>
        <w:jc w:val="both"/>
        <w:rPr>
          <w:b/>
          <w:szCs w:val="20"/>
        </w:rPr>
      </w:pPr>
    </w:p>
    <w:p w14:paraId="49CB1166" w14:textId="77777777" w:rsidR="006025D3" w:rsidRPr="00471CBA" w:rsidRDefault="006025D3" w:rsidP="006025D3">
      <w:pPr>
        <w:widowControl w:val="0"/>
        <w:spacing w:line="228" w:lineRule="auto"/>
        <w:ind w:left="851" w:hanging="851"/>
        <w:jc w:val="both"/>
        <w:rPr>
          <w:b/>
          <w:szCs w:val="20"/>
        </w:rPr>
      </w:pPr>
      <w:r w:rsidRPr="00471CBA">
        <w:rPr>
          <w:b/>
          <w:szCs w:val="20"/>
        </w:rPr>
        <w:t xml:space="preserve">III. </w:t>
      </w:r>
      <w:r w:rsidRPr="00471CBA">
        <w:rPr>
          <w:b/>
          <w:szCs w:val="20"/>
        </w:rPr>
        <w:tab/>
        <w:t>NAZIM HESAPLARA İLİŞKİN AÇIKLAMA VE DİPNOTLAR (Devamı)</w:t>
      </w:r>
    </w:p>
    <w:p w14:paraId="0E673FB6" w14:textId="77777777" w:rsidR="006025D3" w:rsidRPr="006025D3" w:rsidRDefault="006025D3" w:rsidP="006025D3">
      <w:pPr>
        <w:widowControl w:val="0"/>
        <w:spacing w:line="228" w:lineRule="auto"/>
        <w:ind w:left="-14" w:hanging="504"/>
        <w:jc w:val="both"/>
        <w:rPr>
          <w:b/>
          <w:sz w:val="16"/>
          <w:szCs w:val="16"/>
        </w:rPr>
      </w:pPr>
    </w:p>
    <w:p w14:paraId="2A03F1CD" w14:textId="77777777" w:rsidR="006025D3" w:rsidRPr="00471CBA" w:rsidRDefault="006025D3" w:rsidP="008459A9">
      <w:pPr>
        <w:pStyle w:val="ListeParagraf"/>
        <w:widowControl w:val="0"/>
        <w:numPr>
          <w:ilvl w:val="0"/>
          <w:numId w:val="100"/>
        </w:numPr>
        <w:spacing w:line="228" w:lineRule="auto"/>
        <w:ind w:left="851" w:hanging="851"/>
        <w:jc w:val="both"/>
        <w:rPr>
          <w:b/>
          <w:szCs w:val="20"/>
        </w:rPr>
      </w:pPr>
      <w:bookmarkStart w:id="142" w:name="_Hlk223378106"/>
      <w:r w:rsidRPr="00471CBA">
        <w:rPr>
          <w:b/>
          <w:szCs w:val="20"/>
        </w:rPr>
        <w:t>Nazım hesaplarda yer alan yükümlülüklere ilişkin açıklama: (Devamı)</w:t>
      </w:r>
    </w:p>
    <w:bookmarkEnd w:id="142"/>
    <w:p w14:paraId="7460004A" w14:textId="77777777" w:rsidR="006025D3" w:rsidRPr="006025D3" w:rsidRDefault="006025D3" w:rsidP="006025D3">
      <w:pPr>
        <w:widowControl w:val="0"/>
        <w:tabs>
          <w:tab w:val="left" w:pos="1290"/>
        </w:tabs>
        <w:spacing w:line="228" w:lineRule="auto"/>
        <w:ind w:left="-567" w:firstLine="91"/>
        <w:jc w:val="both"/>
        <w:rPr>
          <w:b/>
          <w:sz w:val="16"/>
          <w:szCs w:val="16"/>
        </w:rPr>
      </w:pPr>
    </w:p>
    <w:p w14:paraId="2B75F54F" w14:textId="77777777" w:rsidR="002432BC" w:rsidRPr="00471CBA" w:rsidRDefault="002432BC" w:rsidP="002432BC">
      <w:pPr>
        <w:widowControl w:val="0"/>
        <w:spacing w:after="120"/>
        <w:ind w:left="1276" w:right="206" w:hanging="425"/>
        <w:jc w:val="both"/>
        <w:rPr>
          <w:b/>
          <w:iCs/>
          <w:szCs w:val="20"/>
        </w:rPr>
      </w:pPr>
      <w:r w:rsidRPr="00471CBA">
        <w:rPr>
          <w:b/>
          <w:iCs/>
          <w:szCs w:val="20"/>
        </w:rPr>
        <w:t>c.3.</w:t>
      </w:r>
      <w:r w:rsidRPr="00471CBA">
        <w:rPr>
          <w:b/>
          <w:iCs/>
          <w:szCs w:val="20"/>
        </w:rPr>
        <w:tab/>
      </w:r>
      <w:r w:rsidRPr="00471CBA">
        <w:rPr>
          <w:b/>
          <w:bCs/>
          <w:iCs/>
          <w:szCs w:val="20"/>
        </w:rPr>
        <w:t xml:space="preserve">I ve </w:t>
      </w:r>
      <w:proofErr w:type="spellStart"/>
      <w:r w:rsidRPr="00471CBA">
        <w:rPr>
          <w:b/>
          <w:bCs/>
          <w:iCs/>
          <w:szCs w:val="20"/>
        </w:rPr>
        <w:t>II’nci</w:t>
      </w:r>
      <w:proofErr w:type="spellEnd"/>
      <w:r w:rsidRPr="00471CBA">
        <w:rPr>
          <w:b/>
          <w:bCs/>
          <w:iCs/>
          <w:szCs w:val="20"/>
        </w:rPr>
        <w:t xml:space="preserve"> grupta sınıflandırılan </w:t>
      </w:r>
      <w:proofErr w:type="spellStart"/>
      <w:r w:rsidRPr="00471CBA">
        <w:rPr>
          <w:b/>
          <w:bCs/>
          <w:iCs/>
          <w:szCs w:val="20"/>
        </w:rPr>
        <w:t>gayrinakdi</w:t>
      </w:r>
      <w:proofErr w:type="spellEnd"/>
      <w:r w:rsidRPr="00471CBA">
        <w:rPr>
          <w:b/>
          <w:bCs/>
          <w:iCs/>
          <w:szCs w:val="20"/>
        </w:rPr>
        <w:t xml:space="preserve"> kredilere ilişkin bilgiler</w:t>
      </w:r>
    </w:p>
    <w:tbl>
      <w:tblPr>
        <w:tblW w:w="9393" w:type="dxa"/>
        <w:tblInd w:w="56" w:type="dxa"/>
        <w:tblLayout w:type="fixed"/>
        <w:tblCellMar>
          <w:left w:w="30" w:type="dxa"/>
          <w:right w:w="30" w:type="dxa"/>
        </w:tblCellMar>
        <w:tblLook w:val="0000" w:firstRow="0" w:lastRow="0" w:firstColumn="0" w:lastColumn="0" w:noHBand="0" w:noVBand="0"/>
      </w:tblPr>
      <w:tblGrid>
        <w:gridCol w:w="3574"/>
        <w:gridCol w:w="1226"/>
        <w:gridCol w:w="1438"/>
        <w:gridCol w:w="1545"/>
        <w:gridCol w:w="1610"/>
      </w:tblGrid>
      <w:tr w:rsidR="002432BC" w:rsidRPr="00471CBA" w14:paraId="4FE1551F" w14:textId="77777777" w:rsidTr="00B0049C">
        <w:trPr>
          <w:cantSplit/>
          <w:trHeight w:val="57"/>
        </w:trPr>
        <w:tc>
          <w:tcPr>
            <w:tcW w:w="3574" w:type="dxa"/>
            <w:vMerge w:val="restart"/>
            <w:tcBorders>
              <w:top w:val="single" w:sz="4" w:space="0" w:color="auto"/>
            </w:tcBorders>
            <w:vAlign w:val="center"/>
          </w:tcPr>
          <w:p w14:paraId="6750B236" w14:textId="5C3A9918" w:rsidR="002432BC" w:rsidRPr="00471CBA" w:rsidRDefault="002432BC" w:rsidP="00B0049C">
            <w:pPr>
              <w:rPr>
                <w:b/>
                <w:sz w:val="18"/>
                <w:szCs w:val="18"/>
              </w:rPr>
            </w:pPr>
            <w:r w:rsidRPr="00471CBA">
              <w:rPr>
                <w:b/>
                <w:bCs/>
                <w:sz w:val="18"/>
                <w:szCs w:val="18"/>
              </w:rPr>
              <w:t>31 Aralık 202</w:t>
            </w:r>
            <w:r w:rsidR="007F0DB8" w:rsidRPr="00471CBA">
              <w:rPr>
                <w:b/>
                <w:bCs/>
                <w:sz w:val="18"/>
                <w:szCs w:val="18"/>
              </w:rPr>
              <w:t>5</w:t>
            </w:r>
          </w:p>
        </w:tc>
        <w:tc>
          <w:tcPr>
            <w:tcW w:w="2664" w:type="dxa"/>
            <w:gridSpan w:val="2"/>
            <w:tcBorders>
              <w:top w:val="single" w:sz="4" w:space="0" w:color="auto"/>
              <w:bottom w:val="single" w:sz="4" w:space="0" w:color="auto"/>
            </w:tcBorders>
            <w:vAlign w:val="center"/>
          </w:tcPr>
          <w:p w14:paraId="1DD1ABA5" w14:textId="77777777" w:rsidR="002432BC" w:rsidRPr="00471CBA" w:rsidRDefault="002432BC" w:rsidP="00B0049C">
            <w:pPr>
              <w:ind w:right="158"/>
              <w:jc w:val="center"/>
              <w:rPr>
                <w:rFonts w:eastAsia="Arial Unicode MS"/>
                <w:b/>
                <w:sz w:val="18"/>
                <w:szCs w:val="18"/>
              </w:rPr>
            </w:pPr>
            <w:r w:rsidRPr="00471CBA">
              <w:rPr>
                <w:b/>
                <w:iCs/>
                <w:sz w:val="18"/>
                <w:szCs w:val="18"/>
              </w:rPr>
              <w:t>I inci Grup</w:t>
            </w:r>
          </w:p>
        </w:tc>
        <w:tc>
          <w:tcPr>
            <w:tcW w:w="3155" w:type="dxa"/>
            <w:gridSpan w:val="2"/>
            <w:tcBorders>
              <w:top w:val="single" w:sz="4" w:space="0" w:color="auto"/>
              <w:bottom w:val="single" w:sz="4" w:space="0" w:color="auto"/>
            </w:tcBorders>
            <w:vAlign w:val="center"/>
          </w:tcPr>
          <w:p w14:paraId="0FB28D3F" w14:textId="77777777" w:rsidR="002432BC" w:rsidRPr="00471CBA" w:rsidRDefault="002432BC" w:rsidP="00B0049C">
            <w:pPr>
              <w:ind w:right="158"/>
              <w:jc w:val="center"/>
              <w:rPr>
                <w:rFonts w:eastAsia="Arial Unicode MS"/>
                <w:b/>
                <w:sz w:val="18"/>
                <w:szCs w:val="18"/>
              </w:rPr>
            </w:pPr>
            <w:r w:rsidRPr="00471CBA">
              <w:rPr>
                <w:b/>
                <w:iCs/>
                <w:sz w:val="18"/>
                <w:szCs w:val="18"/>
              </w:rPr>
              <w:t>II nci Grup</w:t>
            </w:r>
          </w:p>
        </w:tc>
      </w:tr>
      <w:tr w:rsidR="002432BC" w:rsidRPr="00471CBA" w14:paraId="4F172556" w14:textId="77777777" w:rsidTr="00B0049C">
        <w:trPr>
          <w:cantSplit/>
          <w:trHeight w:val="57"/>
        </w:trPr>
        <w:tc>
          <w:tcPr>
            <w:tcW w:w="3574" w:type="dxa"/>
            <w:vMerge/>
            <w:tcBorders>
              <w:bottom w:val="single" w:sz="4" w:space="0" w:color="auto"/>
            </w:tcBorders>
            <w:vAlign w:val="center"/>
          </w:tcPr>
          <w:p w14:paraId="128B58B0" w14:textId="77777777" w:rsidR="002432BC" w:rsidRPr="00471CBA" w:rsidRDefault="002432BC" w:rsidP="00B0049C">
            <w:pPr>
              <w:jc w:val="center"/>
              <w:rPr>
                <w:b/>
                <w:sz w:val="18"/>
                <w:szCs w:val="18"/>
              </w:rPr>
            </w:pPr>
          </w:p>
        </w:tc>
        <w:tc>
          <w:tcPr>
            <w:tcW w:w="1226" w:type="dxa"/>
            <w:tcBorders>
              <w:top w:val="single" w:sz="4" w:space="0" w:color="auto"/>
              <w:bottom w:val="single" w:sz="4" w:space="0" w:color="auto"/>
            </w:tcBorders>
            <w:vAlign w:val="center"/>
          </w:tcPr>
          <w:p w14:paraId="06D603ED" w14:textId="77777777" w:rsidR="002432BC" w:rsidRPr="00471CBA" w:rsidRDefault="002432BC" w:rsidP="00B0049C">
            <w:pPr>
              <w:ind w:right="131"/>
              <w:jc w:val="right"/>
              <w:rPr>
                <w:rFonts w:eastAsia="Arial Unicode MS"/>
                <w:b/>
                <w:sz w:val="18"/>
                <w:szCs w:val="18"/>
              </w:rPr>
            </w:pPr>
            <w:r w:rsidRPr="00471CBA">
              <w:rPr>
                <w:rFonts w:eastAsia="Arial Unicode MS"/>
                <w:b/>
                <w:sz w:val="18"/>
                <w:szCs w:val="18"/>
              </w:rPr>
              <w:t>TP</w:t>
            </w:r>
          </w:p>
        </w:tc>
        <w:tc>
          <w:tcPr>
            <w:tcW w:w="1438" w:type="dxa"/>
            <w:tcBorders>
              <w:top w:val="single" w:sz="4" w:space="0" w:color="auto"/>
              <w:bottom w:val="single" w:sz="4" w:space="0" w:color="auto"/>
            </w:tcBorders>
            <w:vAlign w:val="center"/>
          </w:tcPr>
          <w:p w14:paraId="5B61401C" w14:textId="77777777" w:rsidR="002432BC" w:rsidRPr="00471CBA" w:rsidRDefault="002432BC" w:rsidP="00B0049C">
            <w:pPr>
              <w:ind w:right="131"/>
              <w:jc w:val="right"/>
              <w:rPr>
                <w:rFonts w:eastAsia="Arial Unicode MS"/>
                <w:b/>
                <w:sz w:val="18"/>
                <w:szCs w:val="18"/>
              </w:rPr>
            </w:pPr>
            <w:r w:rsidRPr="00471CBA">
              <w:rPr>
                <w:rFonts w:eastAsia="Arial Unicode MS"/>
                <w:b/>
                <w:sz w:val="18"/>
                <w:szCs w:val="18"/>
              </w:rPr>
              <w:t>YP</w:t>
            </w:r>
          </w:p>
        </w:tc>
        <w:tc>
          <w:tcPr>
            <w:tcW w:w="1545" w:type="dxa"/>
            <w:tcBorders>
              <w:top w:val="single" w:sz="4" w:space="0" w:color="auto"/>
              <w:bottom w:val="single" w:sz="4" w:space="0" w:color="auto"/>
            </w:tcBorders>
            <w:vAlign w:val="center"/>
          </w:tcPr>
          <w:p w14:paraId="3CE56809" w14:textId="77777777" w:rsidR="002432BC" w:rsidRPr="00471CBA" w:rsidRDefault="002432BC" w:rsidP="00B0049C">
            <w:pPr>
              <w:ind w:right="131"/>
              <w:jc w:val="right"/>
              <w:rPr>
                <w:rFonts w:eastAsia="Arial Unicode MS"/>
                <w:b/>
                <w:sz w:val="18"/>
                <w:szCs w:val="18"/>
              </w:rPr>
            </w:pPr>
            <w:r w:rsidRPr="00471CBA">
              <w:rPr>
                <w:rFonts w:eastAsia="Arial Unicode MS"/>
                <w:b/>
                <w:sz w:val="18"/>
                <w:szCs w:val="18"/>
              </w:rPr>
              <w:t>TP</w:t>
            </w:r>
          </w:p>
        </w:tc>
        <w:tc>
          <w:tcPr>
            <w:tcW w:w="1610" w:type="dxa"/>
            <w:tcBorders>
              <w:top w:val="single" w:sz="4" w:space="0" w:color="auto"/>
              <w:bottom w:val="single" w:sz="4" w:space="0" w:color="auto"/>
            </w:tcBorders>
            <w:vAlign w:val="center"/>
          </w:tcPr>
          <w:p w14:paraId="47D4F065" w14:textId="77777777" w:rsidR="002432BC" w:rsidRPr="00471CBA" w:rsidRDefault="002432BC" w:rsidP="00B0049C">
            <w:pPr>
              <w:ind w:right="131"/>
              <w:jc w:val="right"/>
              <w:rPr>
                <w:rFonts w:eastAsia="Arial Unicode MS"/>
                <w:b/>
                <w:sz w:val="18"/>
                <w:szCs w:val="18"/>
              </w:rPr>
            </w:pPr>
            <w:r w:rsidRPr="00471CBA">
              <w:rPr>
                <w:rFonts w:eastAsia="Arial Unicode MS"/>
                <w:b/>
                <w:sz w:val="18"/>
                <w:szCs w:val="18"/>
              </w:rPr>
              <w:t>YP</w:t>
            </w:r>
          </w:p>
        </w:tc>
      </w:tr>
      <w:tr w:rsidR="00B4053F" w:rsidRPr="00471CBA" w14:paraId="1424D2B4" w14:textId="77777777" w:rsidTr="008C4A21">
        <w:trPr>
          <w:cantSplit/>
          <w:trHeight w:val="57"/>
        </w:trPr>
        <w:tc>
          <w:tcPr>
            <w:tcW w:w="3574" w:type="dxa"/>
            <w:tcBorders>
              <w:top w:val="single" w:sz="4" w:space="0" w:color="auto"/>
              <w:bottom w:val="single" w:sz="4" w:space="0" w:color="auto"/>
            </w:tcBorders>
            <w:vAlign w:val="center"/>
          </w:tcPr>
          <w:p w14:paraId="46003B7E" w14:textId="77777777" w:rsidR="00B4053F" w:rsidRPr="00471CBA" w:rsidRDefault="00B4053F" w:rsidP="00B4053F">
            <w:pPr>
              <w:rPr>
                <w:b/>
                <w:sz w:val="18"/>
                <w:szCs w:val="18"/>
              </w:rPr>
            </w:pPr>
            <w:proofErr w:type="spellStart"/>
            <w:r w:rsidRPr="00471CBA">
              <w:rPr>
                <w:b/>
                <w:sz w:val="18"/>
                <w:szCs w:val="18"/>
              </w:rPr>
              <w:t>Gayrinakdi</w:t>
            </w:r>
            <w:proofErr w:type="spellEnd"/>
            <w:r w:rsidRPr="00471CBA">
              <w:rPr>
                <w:b/>
                <w:sz w:val="18"/>
                <w:szCs w:val="18"/>
              </w:rPr>
              <w:t xml:space="preserve"> krediler</w:t>
            </w:r>
          </w:p>
        </w:tc>
        <w:tc>
          <w:tcPr>
            <w:tcW w:w="1226" w:type="dxa"/>
            <w:tcBorders>
              <w:top w:val="single" w:sz="4" w:space="0" w:color="auto"/>
              <w:left w:val="nil"/>
              <w:bottom w:val="single" w:sz="4" w:space="0" w:color="auto"/>
              <w:right w:val="nil"/>
            </w:tcBorders>
          </w:tcPr>
          <w:p w14:paraId="11F73628" w14:textId="161414A7" w:rsidR="00B4053F" w:rsidRPr="005659E5" w:rsidRDefault="00B4053F" w:rsidP="00191850">
            <w:pPr>
              <w:ind w:right="91" w:firstLineChars="100" w:firstLine="181"/>
              <w:jc w:val="right"/>
              <w:rPr>
                <w:b/>
                <w:bCs/>
                <w:sz w:val="18"/>
                <w:szCs w:val="18"/>
              </w:rPr>
            </w:pPr>
            <w:r w:rsidRPr="005659E5">
              <w:rPr>
                <w:b/>
                <w:bCs/>
                <w:sz w:val="18"/>
                <w:szCs w:val="18"/>
              </w:rPr>
              <w:t>17.464.284</w:t>
            </w:r>
          </w:p>
        </w:tc>
        <w:tc>
          <w:tcPr>
            <w:tcW w:w="1438" w:type="dxa"/>
            <w:tcBorders>
              <w:top w:val="single" w:sz="4" w:space="0" w:color="auto"/>
              <w:left w:val="nil"/>
              <w:bottom w:val="single" w:sz="4" w:space="0" w:color="auto"/>
              <w:right w:val="nil"/>
            </w:tcBorders>
          </w:tcPr>
          <w:p w14:paraId="53E546CA" w14:textId="2760524D" w:rsidR="00B4053F" w:rsidRPr="005659E5" w:rsidRDefault="00B4053F" w:rsidP="00191850">
            <w:pPr>
              <w:ind w:right="91" w:firstLineChars="100" w:firstLine="181"/>
              <w:jc w:val="right"/>
              <w:rPr>
                <w:b/>
                <w:bCs/>
                <w:sz w:val="18"/>
                <w:szCs w:val="18"/>
              </w:rPr>
            </w:pPr>
            <w:r w:rsidRPr="005659E5">
              <w:rPr>
                <w:b/>
                <w:bCs/>
                <w:sz w:val="18"/>
                <w:szCs w:val="18"/>
              </w:rPr>
              <w:t>8.205.899</w:t>
            </w:r>
          </w:p>
        </w:tc>
        <w:tc>
          <w:tcPr>
            <w:tcW w:w="1545" w:type="dxa"/>
            <w:tcBorders>
              <w:top w:val="single" w:sz="4" w:space="0" w:color="auto"/>
              <w:left w:val="nil"/>
              <w:bottom w:val="single" w:sz="4" w:space="0" w:color="auto"/>
              <w:right w:val="nil"/>
            </w:tcBorders>
            <w:vAlign w:val="bottom"/>
          </w:tcPr>
          <w:p w14:paraId="1DD99E4F" w14:textId="66E43215" w:rsidR="00B4053F" w:rsidRPr="005659E5" w:rsidRDefault="00B4053F" w:rsidP="00B4053F">
            <w:pPr>
              <w:ind w:right="91" w:firstLineChars="100" w:firstLine="181"/>
              <w:jc w:val="right"/>
              <w:rPr>
                <w:b/>
                <w:bCs/>
                <w:color w:val="000000"/>
                <w:sz w:val="18"/>
                <w:szCs w:val="18"/>
              </w:rPr>
            </w:pPr>
            <w:r w:rsidRPr="005659E5">
              <w:rPr>
                <w:b/>
                <w:bCs/>
                <w:color w:val="000000"/>
                <w:sz w:val="18"/>
                <w:szCs w:val="18"/>
              </w:rPr>
              <w:t>-</w:t>
            </w:r>
          </w:p>
        </w:tc>
        <w:tc>
          <w:tcPr>
            <w:tcW w:w="1610" w:type="dxa"/>
            <w:tcBorders>
              <w:top w:val="single" w:sz="4" w:space="0" w:color="auto"/>
              <w:left w:val="nil"/>
              <w:bottom w:val="single" w:sz="4" w:space="0" w:color="auto"/>
              <w:right w:val="nil"/>
            </w:tcBorders>
            <w:vAlign w:val="bottom"/>
          </w:tcPr>
          <w:p w14:paraId="409AF7E5" w14:textId="60C967A9" w:rsidR="00B4053F" w:rsidRPr="005659E5" w:rsidRDefault="00B4053F" w:rsidP="00B4053F">
            <w:pPr>
              <w:ind w:right="91" w:firstLineChars="100" w:firstLine="181"/>
              <w:jc w:val="right"/>
              <w:rPr>
                <w:b/>
                <w:bCs/>
                <w:color w:val="000000"/>
                <w:sz w:val="18"/>
                <w:szCs w:val="18"/>
              </w:rPr>
            </w:pPr>
            <w:r w:rsidRPr="005659E5">
              <w:rPr>
                <w:b/>
                <w:bCs/>
                <w:color w:val="000000"/>
                <w:sz w:val="18"/>
                <w:szCs w:val="18"/>
              </w:rPr>
              <w:t>-</w:t>
            </w:r>
          </w:p>
        </w:tc>
      </w:tr>
      <w:tr w:rsidR="00B4053F" w:rsidRPr="00471CBA" w14:paraId="7592572D" w14:textId="77777777" w:rsidTr="008C4A21">
        <w:trPr>
          <w:cantSplit/>
          <w:trHeight w:val="57"/>
        </w:trPr>
        <w:tc>
          <w:tcPr>
            <w:tcW w:w="3574" w:type="dxa"/>
            <w:tcBorders>
              <w:top w:val="single" w:sz="4" w:space="0" w:color="auto"/>
            </w:tcBorders>
            <w:vAlign w:val="center"/>
          </w:tcPr>
          <w:p w14:paraId="63B3F3F1" w14:textId="77777777" w:rsidR="00B4053F" w:rsidRPr="00471CBA" w:rsidRDefault="00B4053F" w:rsidP="00B4053F">
            <w:pPr>
              <w:rPr>
                <w:sz w:val="18"/>
                <w:szCs w:val="18"/>
              </w:rPr>
            </w:pPr>
          </w:p>
        </w:tc>
        <w:tc>
          <w:tcPr>
            <w:tcW w:w="1226" w:type="dxa"/>
            <w:tcBorders>
              <w:top w:val="single" w:sz="4" w:space="0" w:color="auto"/>
              <w:left w:val="nil"/>
              <w:bottom w:val="nil"/>
              <w:right w:val="nil"/>
            </w:tcBorders>
          </w:tcPr>
          <w:p w14:paraId="09A2595E" w14:textId="35422EB6" w:rsidR="00B4053F" w:rsidRPr="005659E5" w:rsidRDefault="00B4053F" w:rsidP="00191850">
            <w:pPr>
              <w:ind w:right="91" w:firstLineChars="100" w:firstLine="181"/>
              <w:jc w:val="right"/>
              <w:rPr>
                <w:b/>
                <w:bCs/>
                <w:sz w:val="18"/>
                <w:szCs w:val="18"/>
              </w:rPr>
            </w:pPr>
          </w:p>
        </w:tc>
        <w:tc>
          <w:tcPr>
            <w:tcW w:w="1438" w:type="dxa"/>
            <w:tcBorders>
              <w:top w:val="single" w:sz="4" w:space="0" w:color="auto"/>
              <w:left w:val="nil"/>
              <w:bottom w:val="nil"/>
              <w:right w:val="nil"/>
            </w:tcBorders>
          </w:tcPr>
          <w:p w14:paraId="344B2572" w14:textId="4706D4AF" w:rsidR="00B4053F" w:rsidRPr="005659E5" w:rsidRDefault="00B4053F" w:rsidP="00191850">
            <w:pPr>
              <w:ind w:right="91" w:firstLineChars="100" w:firstLine="181"/>
              <w:jc w:val="right"/>
              <w:rPr>
                <w:b/>
                <w:bCs/>
                <w:sz w:val="18"/>
                <w:szCs w:val="18"/>
              </w:rPr>
            </w:pPr>
          </w:p>
        </w:tc>
        <w:tc>
          <w:tcPr>
            <w:tcW w:w="1545" w:type="dxa"/>
            <w:tcBorders>
              <w:top w:val="single" w:sz="4" w:space="0" w:color="auto"/>
              <w:left w:val="nil"/>
              <w:bottom w:val="nil"/>
              <w:right w:val="nil"/>
            </w:tcBorders>
            <w:vAlign w:val="bottom"/>
          </w:tcPr>
          <w:p w14:paraId="41E84607" w14:textId="04AC6DEE" w:rsidR="00B4053F" w:rsidRPr="005659E5" w:rsidRDefault="00B4053F" w:rsidP="00B4053F">
            <w:pPr>
              <w:ind w:right="91" w:firstLineChars="100" w:firstLine="180"/>
              <w:jc w:val="right"/>
              <w:rPr>
                <w:color w:val="000000"/>
                <w:sz w:val="18"/>
                <w:szCs w:val="18"/>
              </w:rPr>
            </w:pPr>
            <w:r w:rsidRPr="005659E5">
              <w:rPr>
                <w:color w:val="000000"/>
                <w:sz w:val="18"/>
                <w:szCs w:val="18"/>
              </w:rPr>
              <w:t> </w:t>
            </w:r>
          </w:p>
        </w:tc>
        <w:tc>
          <w:tcPr>
            <w:tcW w:w="1610" w:type="dxa"/>
            <w:tcBorders>
              <w:top w:val="single" w:sz="4" w:space="0" w:color="auto"/>
              <w:left w:val="nil"/>
              <w:bottom w:val="nil"/>
              <w:right w:val="nil"/>
            </w:tcBorders>
            <w:vAlign w:val="bottom"/>
          </w:tcPr>
          <w:p w14:paraId="06D35C8E" w14:textId="6601E76D" w:rsidR="00B4053F" w:rsidRPr="005659E5" w:rsidRDefault="00B4053F" w:rsidP="00B4053F">
            <w:pPr>
              <w:ind w:right="91" w:firstLineChars="100" w:firstLine="180"/>
              <w:jc w:val="right"/>
              <w:rPr>
                <w:color w:val="000000"/>
                <w:sz w:val="18"/>
                <w:szCs w:val="18"/>
              </w:rPr>
            </w:pPr>
            <w:r w:rsidRPr="005659E5">
              <w:rPr>
                <w:color w:val="000000"/>
                <w:sz w:val="18"/>
                <w:szCs w:val="18"/>
              </w:rPr>
              <w:t> </w:t>
            </w:r>
          </w:p>
        </w:tc>
      </w:tr>
      <w:tr w:rsidR="00B4053F" w:rsidRPr="00471CBA" w14:paraId="064186AD" w14:textId="77777777" w:rsidTr="008C4A21">
        <w:trPr>
          <w:cantSplit/>
          <w:trHeight w:val="57"/>
        </w:trPr>
        <w:tc>
          <w:tcPr>
            <w:tcW w:w="3574" w:type="dxa"/>
            <w:vAlign w:val="center"/>
          </w:tcPr>
          <w:p w14:paraId="0A273DE8" w14:textId="77777777" w:rsidR="00B4053F" w:rsidRPr="00471CBA" w:rsidRDefault="00B4053F" w:rsidP="00B4053F">
            <w:pPr>
              <w:rPr>
                <w:rFonts w:eastAsia="Arial Unicode MS"/>
                <w:sz w:val="18"/>
                <w:szCs w:val="18"/>
              </w:rPr>
            </w:pPr>
            <w:r w:rsidRPr="00471CBA">
              <w:rPr>
                <w:sz w:val="18"/>
                <w:szCs w:val="18"/>
              </w:rPr>
              <w:t>Teminat mektupları</w:t>
            </w:r>
          </w:p>
        </w:tc>
        <w:tc>
          <w:tcPr>
            <w:tcW w:w="1226" w:type="dxa"/>
            <w:tcBorders>
              <w:top w:val="nil"/>
              <w:left w:val="nil"/>
              <w:bottom w:val="nil"/>
              <w:right w:val="nil"/>
            </w:tcBorders>
          </w:tcPr>
          <w:p w14:paraId="1E7E97C5" w14:textId="3E466319" w:rsidR="00B4053F" w:rsidRPr="005659E5" w:rsidRDefault="00B4053F" w:rsidP="00191850">
            <w:pPr>
              <w:ind w:right="91" w:firstLineChars="100" w:firstLine="180"/>
              <w:jc w:val="right"/>
              <w:rPr>
                <w:sz w:val="18"/>
                <w:szCs w:val="18"/>
              </w:rPr>
            </w:pPr>
            <w:r w:rsidRPr="005659E5">
              <w:rPr>
                <w:sz w:val="18"/>
                <w:szCs w:val="18"/>
              </w:rPr>
              <w:t>17.464.284</w:t>
            </w:r>
          </w:p>
        </w:tc>
        <w:tc>
          <w:tcPr>
            <w:tcW w:w="1438" w:type="dxa"/>
            <w:tcBorders>
              <w:top w:val="nil"/>
              <w:left w:val="nil"/>
              <w:bottom w:val="nil"/>
              <w:right w:val="nil"/>
            </w:tcBorders>
          </w:tcPr>
          <w:p w14:paraId="799113AA" w14:textId="1D704172" w:rsidR="00B4053F" w:rsidRPr="005659E5" w:rsidRDefault="00B4053F" w:rsidP="00191850">
            <w:pPr>
              <w:ind w:right="91" w:firstLineChars="100" w:firstLine="180"/>
              <w:jc w:val="right"/>
              <w:rPr>
                <w:sz w:val="18"/>
                <w:szCs w:val="18"/>
              </w:rPr>
            </w:pPr>
            <w:r w:rsidRPr="005659E5">
              <w:rPr>
                <w:sz w:val="18"/>
                <w:szCs w:val="18"/>
              </w:rPr>
              <w:t>7.574.637</w:t>
            </w:r>
          </w:p>
        </w:tc>
        <w:tc>
          <w:tcPr>
            <w:tcW w:w="1545" w:type="dxa"/>
            <w:tcBorders>
              <w:top w:val="nil"/>
              <w:left w:val="nil"/>
              <w:bottom w:val="nil"/>
              <w:right w:val="nil"/>
            </w:tcBorders>
            <w:vAlign w:val="bottom"/>
          </w:tcPr>
          <w:p w14:paraId="4DAC5C50" w14:textId="5DD40000" w:rsidR="00B4053F" w:rsidRPr="005659E5" w:rsidRDefault="00B4053F" w:rsidP="00B4053F">
            <w:pPr>
              <w:ind w:right="91" w:firstLineChars="100" w:firstLine="180"/>
              <w:jc w:val="right"/>
              <w:rPr>
                <w:color w:val="000000"/>
                <w:sz w:val="18"/>
                <w:szCs w:val="18"/>
              </w:rPr>
            </w:pPr>
            <w:r w:rsidRPr="005659E5">
              <w:rPr>
                <w:color w:val="000000"/>
                <w:sz w:val="18"/>
                <w:szCs w:val="18"/>
              </w:rPr>
              <w:t>-</w:t>
            </w:r>
          </w:p>
        </w:tc>
        <w:tc>
          <w:tcPr>
            <w:tcW w:w="1610" w:type="dxa"/>
            <w:tcBorders>
              <w:top w:val="nil"/>
              <w:left w:val="nil"/>
              <w:bottom w:val="nil"/>
              <w:right w:val="nil"/>
            </w:tcBorders>
            <w:vAlign w:val="bottom"/>
          </w:tcPr>
          <w:p w14:paraId="685E5721" w14:textId="09FA16D2" w:rsidR="00B4053F" w:rsidRPr="005659E5" w:rsidRDefault="00B4053F" w:rsidP="00B4053F">
            <w:pPr>
              <w:ind w:right="91" w:firstLineChars="100" w:firstLine="180"/>
              <w:jc w:val="right"/>
              <w:rPr>
                <w:color w:val="000000"/>
                <w:sz w:val="18"/>
                <w:szCs w:val="18"/>
              </w:rPr>
            </w:pPr>
            <w:r w:rsidRPr="005659E5">
              <w:rPr>
                <w:color w:val="000000"/>
                <w:sz w:val="18"/>
                <w:szCs w:val="18"/>
              </w:rPr>
              <w:t>-</w:t>
            </w:r>
          </w:p>
        </w:tc>
      </w:tr>
      <w:tr w:rsidR="00191850" w:rsidRPr="00471CBA" w14:paraId="0B9FBE7D" w14:textId="77777777" w:rsidTr="00497FF0">
        <w:trPr>
          <w:cantSplit/>
          <w:trHeight w:val="57"/>
        </w:trPr>
        <w:tc>
          <w:tcPr>
            <w:tcW w:w="3574" w:type="dxa"/>
            <w:vAlign w:val="center"/>
          </w:tcPr>
          <w:p w14:paraId="1AD84DBA" w14:textId="77777777" w:rsidR="00191850" w:rsidRPr="00471CBA" w:rsidRDefault="00191850" w:rsidP="00191850">
            <w:pPr>
              <w:rPr>
                <w:rFonts w:eastAsia="Arial Unicode MS"/>
                <w:sz w:val="18"/>
                <w:szCs w:val="18"/>
              </w:rPr>
            </w:pPr>
            <w:r w:rsidRPr="00471CBA">
              <w:rPr>
                <w:sz w:val="18"/>
                <w:szCs w:val="18"/>
              </w:rPr>
              <w:t>Aval ve kabul kredileri</w:t>
            </w:r>
          </w:p>
        </w:tc>
        <w:tc>
          <w:tcPr>
            <w:tcW w:w="1226" w:type="dxa"/>
            <w:tcBorders>
              <w:top w:val="nil"/>
              <w:left w:val="nil"/>
              <w:bottom w:val="nil"/>
              <w:right w:val="nil"/>
            </w:tcBorders>
            <w:vAlign w:val="bottom"/>
          </w:tcPr>
          <w:p w14:paraId="772A98DB" w14:textId="6D83B2B8" w:rsidR="00191850" w:rsidRPr="005659E5" w:rsidRDefault="00191850" w:rsidP="00191850">
            <w:pPr>
              <w:ind w:right="91" w:firstLineChars="100" w:firstLine="180"/>
              <w:jc w:val="right"/>
              <w:rPr>
                <w:sz w:val="18"/>
                <w:szCs w:val="18"/>
              </w:rPr>
            </w:pPr>
            <w:r w:rsidRPr="005659E5">
              <w:rPr>
                <w:color w:val="000000"/>
                <w:sz w:val="18"/>
                <w:szCs w:val="18"/>
              </w:rPr>
              <w:t>-</w:t>
            </w:r>
          </w:p>
        </w:tc>
        <w:tc>
          <w:tcPr>
            <w:tcW w:w="1438" w:type="dxa"/>
            <w:tcBorders>
              <w:top w:val="nil"/>
              <w:left w:val="nil"/>
              <w:bottom w:val="nil"/>
              <w:right w:val="nil"/>
            </w:tcBorders>
          </w:tcPr>
          <w:p w14:paraId="383703EB" w14:textId="4CDFC8F1" w:rsidR="00191850" w:rsidRPr="005659E5" w:rsidRDefault="00191850" w:rsidP="00191850">
            <w:pPr>
              <w:ind w:right="91" w:firstLineChars="100" w:firstLine="180"/>
              <w:jc w:val="right"/>
              <w:rPr>
                <w:sz w:val="18"/>
                <w:szCs w:val="18"/>
              </w:rPr>
            </w:pPr>
            <w:r w:rsidRPr="005659E5">
              <w:rPr>
                <w:sz w:val="18"/>
                <w:szCs w:val="18"/>
              </w:rPr>
              <w:t>41.030</w:t>
            </w:r>
          </w:p>
        </w:tc>
        <w:tc>
          <w:tcPr>
            <w:tcW w:w="1545" w:type="dxa"/>
            <w:tcBorders>
              <w:top w:val="nil"/>
              <w:left w:val="nil"/>
              <w:bottom w:val="nil"/>
              <w:right w:val="nil"/>
            </w:tcBorders>
            <w:vAlign w:val="bottom"/>
          </w:tcPr>
          <w:p w14:paraId="319E19AD" w14:textId="5FF71E48" w:rsidR="00191850" w:rsidRPr="005659E5" w:rsidRDefault="00191850" w:rsidP="00191850">
            <w:pPr>
              <w:ind w:right="91" w:firstLineChars="100" w:firstLine="180"/>
              <w:jc w:val="right"/>
              <w:rPr>
                <w:color w:val="000000"/>
                <w:sz w:val="18"/>
                <w:szCs w:val="18"/>
              </w:rPr>
            </w:pPr>
            <w:r w:rsidRPr="005659E5">
              <w:rPr>
                <w:color w:val="000000"/>
                <w:sz w:val="18"/>
                <w:szCs w:val="18"/>
              </w:rPr>
              <w:t>-</w:t>
            </w:r>
          </w:p>
        </w:tc>
        <w:tc>
          <w:tcPr>
            <w:tcW w:w="1610" w:type="dxa"/>
            <w:tcBorders>
              <w:top w:val="nil"/>
              <w:left w:val="nil"/>
              <w:bottom w:val="nil"/>
              <w:right w:val="nil"/>
            </w:tcBorders>
            <w:vAlign w:val="bottom"/>
          </w:tcPr>
          <w:p w14:paraId="194BCA62" w14:textId="217E096E" w:rsidR="00191850" w:rsidRPr="005659E5" w:rsidRDefault="00191850" w:rsidP="00191850">
            <w:pPr>
              <w:ind w:right="91" w:firstLineChars="100" w:firstLine="180"/>
              <w:jc w:val="right"/>
              <w:rPr>
                <w:color w:val="000000"/>
                <w:sz w:val="18"/>
                <w:szCs w:val="18"/>
              </w:rPr>
            </w:pPr>
            <w:r w:rsidRPr="005659E5">
              <w:rPr>
                <w:color w:val="000000"/>
                <w:sz w:val="18"/>
                <w:szCs w:val="18"/>
              </w:rPr>
              <w:t>-</w:t>
            </w:r>
          </w:p>
        </w:tc>
      </w:tr>
      <w:tr w:rsidR="00191850" w:rsidRPr="00471CBA" w14:paraId="22CF799C" w14:textId="77777777" w:rsidTr="00497FF0">
        <w:trPr>
          <w:cantSplit/>
          <w:trHeight w:val="57"/>
        </w:trPr>
        <w:tc>
          <w:tcPr>
            <w:tcW w:w="3574" w:type="dxa"/>
            <w:vAlign w:val="center"/>
          </w:tcPr>
          <w:p w14:paraId="0A5B6D52" w14:textId="77777777" w:rsidR="00191850" w:rsidRPr="00471CBA" w:rsidRDefault="00191850" w:rsidP="00191850">
            <w:pPr>
              <w:rPr>
                <w:rFonts w:eastAsia="Arial Unicode MS"/>
                <w:sz w:val="18"/>
                <w:szCs w:val="18"/>
              </w:rPr>
            </w:pPr>
            <w:r w:rsidRPr="00471CBA">
              <w:rPr>
                <w:sz w:val="18"/>
                <w:szCs w:val="18"/>
              </w:rPr>
              <w:t>Akreditifler</w:t>
            </w:r>
          </w:p>
        </w:tc>
        <w:tc>
          <w:tcPr>
            <w:tcW w:w="1226" w:type="dxa"/>
            <w:tcBorders>
              <w:top w:val="nil"/>
              <w:left w:val="nil"/>
              <w:bottom w:val="nil"/>
              <w:right w:val="nil"/>
            </w:tcBorders>
            <w:vAlign w:val="bottom"/>
          </w:tcPr>
          <w:p w14:paraId="707DA732" w14:textId="7F1C2734" w:rsidR="00191850" w:rsidRPr="005659E5" w:rsidRDefault="00191850" w:rsidP="00191850">
            <w:pPr>
              <w:ind w:right="91" w:firstLineChars="100" w:firstLine="180"/>
              <w:jc w:val="right"/>
              <w:rPr>
                <w:sz w:val="18"/>
                <w:szCs w:val="18"/>
              </w:rPr>
            </w:pPr>
            <w:r w:rsidRPr="005659E5">
              <w:rPr>
                <w:color w:val="000000"/>
                <w:sz w:val="18"/>
                <w:szCs w:val="18"/>
              </w:rPr>
              <w:t>-</w:t>
            </w:r>
          </w:p>
        </w:tc>
        <w:tc>
          <w:tcPr>
            <w:tcW w:w="1438" w:type="dxa"/>
            <w:tcBorders>
              <w:top w:val="nil"/>
              <w:left w:val="nil"/>
              <w:bottom w:val="nil"/>
              <w:right w:val="nil"/>
            </w:tcBorders>
          </w:tcPr>
          <w:p w14:paraId="1F842326" w14:textId="13F108D1" w:rsidR="00191850" w:rsidRPr="005659E5" w:rsidRDefault="00191850" w:rsidP="00191850">
            <w:pPr>
              <w:ind w:right="91" w:firstLineChars="100" w:firstLine="180"/>
              <w:jc w:val="right"/>
              <w:rPr>
                <w:sz w:val="18"/>
                <w:szCs w:val="18"/>
              </w:rPr>
            </w:pPr>
            <w:r w:rsidRPr="005659E5">
              <w:rPr>
                <w:sz w:val="18"/>
                <w:szCs w:val="18"/>
              </w:rPr>
              <w:t>590.232</w:t>
            </w:r>
          </w:p>
        </w:tc>
        <w:tc>
          <w:tcPr>
            <w:tcW w:w="1545" w:type="dxa"/>
            <w:tcBorders>
              <w:top w:val="nil"/>
              <w:left w:val="nil"/>
              <w:bottom w:val="nil"/>
              <w:right w:val="nil"/>
            </w:tcBorders>
            <w:vAlign w:val="bottom"/>
          </w:tcPr>
          <w:p w14:paraId="2B45378E" w14:textId="5125146C" w:rsidR="00191850" w:rsidRPr="005659E5" w:rsidRDefault="00191850" w:rsidP="00191850">
            <w:pPr>
              <w:ind w:right="91" w:firstLineChars="100" w:firstLine="180"/>
              <w:jc w:val="right"/>
              <w:rPr>
                <w:color w:val="000000"/>
                <w:sz w:val="18"/>
                <w:szCs w:val="18"/>
              </w:rPr>
            </w:pPr>
            <w:r w:rsidRPr="005659E5">
              <w:rPr>
                <w:color w:val="000000"/>
                <w:sz w:val="18"/>
                <w:szCs w:val="18"/>
              </w:rPr>
              <w:t>-</w:t>
            </w:r>
          </w:p>
        </w:tc>
        <w:tc>
          <w:tcPr>
            <w:tcW w:w="1610" w:type="dxa"/>
            <w:tcBorders>
              <w:top w:val="nil"/>
              <w:left w:val="nil"/>
              <w:bottom w:val="nil"/>
              <w:right w:val="nil"/>
            </w:tcBorders>
            <w:vAlign w:val="bottom"/>
          </w:tcPr>
          <w:p w14:paraId="197118C2" w14:textId="46A19A43" w:rsidR="00191850" w:rsidRPr="005659E5" w:rsidRDefault="00191850" w:rsidP="00191850">
            <w:pPr>
              <w:ind w:right="91" w:firstLineChars="100" w:firstLine="180"/>
              <w:jc w:val="right"/>
              <w:rPr>
                <w:color w:val="000000"/>
                <w:sz w:val="18"/>
                <w:szCs w:val="18"/>
              </w:rPr>
            </w:pPr>
            <w:r w:rsidRPr="005659E5">
              <w:rPr>
                <w:color w:val="000000"/>
                <w:sz w:val="18"/>
                <w:szCs w:val="18"/>
              </w:rPr>
              <w:t>-</w:t>
            </w:r>
          </w:p>
        </w:tc>
      </w:tr>
      <w:tr w:rsidR="00191850" w:rsidRPr="00471CBA" w14:paraId="257D0C1E" w14:textId="77777777" w:rsidTr="00414EDB">
        <w:trPr>
          <w:cantSplit/>
          <w:trHeight w:val="57"/>
        </w:trPr>
        <w:tc>
          <w:tcPr>
            <w:tcW w:w="3574" w:type="dxa"/>
            <w:vAlign w:val="center"/>
          </w:tcPr>
          <w:p w14:paraId="0C7912D1" w14:textId="77777777" w:rsidR="00191850" w:rsidRPr="00471CBA" w:rsidRDefault="00191850" w:rsidP="00191850">
            <w:pPr>
              <w:rPr>
                <w:rFonts w:eastAsia="Arial Unicode MS"/>
                <w:sz w:val="18"/>
                <w:szCs w:val="18"/>
              </w:rPr>
            </w:pPr>
            <w:r w:rsidRPr="00471CBA">
              <w:rPr>
                <w:sz w:val="18"/>
                <w:szCs w:val="18"/>
              </w:rPr>
              <w:t>Cirolar</w:t>
            </w:r>
          </w:p>
        </w:tc>
        <w:tc>
          <w:tcPr>
            <w:tcW w:w="1226" w:type="dxa"/>
            <w:tcBorders>
              <w:top w:val="nil"/>
              <w:left w:val="nil"/>
              <w:bottom w:val="nil"/>
              <w:right w:val="nil"/>
            </w:tcBorders>
            <w:vAlign w:val="bottom"/>
          </w:tcPr>
          <w:p w14:paraId="1BD397CC" w14:textId="37ED79B9" w:rsidR="00191850" w:rsidRPr="005659E5" w:rsidRDefault="00191850" w:rsidP="00191850">
            <w:pPr>
              <w:ind w:right="91" w:firstLineChars="100" w:firstLine="180"/>
              <w:jc w:val="right"/>
              <w:rPr>
                <w:b/>
                <w:bCs/>
                <w:sz w:val="18"/>
                <w:szCs w:val="18"/>
              </w:rPr>
            </w:pPr>
            <w:r w:rsidRPr="005659E5">
              <w:rPr>
                <w:color w:val="000000"/>
                <w:sz w:val="18"/>
                <w:szCs w:val="18"/>
              </w:rPr>
              <w:t>-</w:t>
            </w:r>
          </w:p>
        </w:tc>
        <w:tc>
          <w:tcPr>
            <w:tcW w:w="1438" w:type="dxa"/>
            <w:tcBorders>
              <w:top w:val="nil"/>
              <w:left w:val="nil"/>
              <w:bottom w:val="nil"/>
              <w:right w:val="nil"/>
            </w:tcBorders>
            <w:vAlign w:val="bottom"/>
          </w:tcPr>
          <w:p w14:paraId="1F73259C" w14:textId="77BF0A8E" w:rsidR="00191850" w:rsidRPr="005659E5" w:rsidRDefault="00191850" w:rsidP="00191850">
            <w:pPr>
              <w:ind w:right="91" w:firstLineChars="100" w:firstLine="180"/>
              <w:jc w:val="right"/>
              <w:rPr>
                <w:b/>
                <w:bCs/>
                <w:sz w:val="18"/>
                <w:szCs w:val="18"/>
              </w:rPr>
            </w:pPr>
            <w:r w:rsidRPr="005659E5">
              <w:rPr>
                <w:color w:val="000000"/>
                <w:sz w:val="18"/>
                <w:szCs w:val="18"/>
              </w:rPr>
              <w:t>-</w:t>
            </w:r>
          </w:p>
        </w:tc>
        <w:tc>
          <w:tcPr>
            <w:tcW w:w="1545" w:type="dxa"/>
            <w:tcBorders>
              <w:top w:val="nil"/>
              <w:left w:val="nil"/>
              <w:bottom w:val="nil"/>
              <w:right w:val="nil"/>
            </w:tcBorders>
            <w:vAlign w:val="bottom"/>
          </w:tcPr>
          <w:p w14:paraId="1F768380" w14:textId="02AB77BB" w:rsidR="00191850" w:rsidRPr="005659E5" w:rsidRDefault="00191850" w:rsidP="00191850">
            <w:pPr>
              <w:ind w:right="91" w:firstLineChars="100" w:firstLine="180"/>
              <w:jc w:val="right"/>
              <w:rPr>
                <w:color w:val="000000"/>
                <w:sz w:val="18"/>
                <w:szCs w:val="18"/>
              </w:rPr>
            </w:pPr>
            <w:r w:rsidRPr="005659E5">
              <w:rPr>
                <w:color w:val="000000"/>
                <w:sz w:val="18"/>
                <w:szCs w:val="18"/>
              </w:rPr>
              <w:t>-</w:t>
            </w:r>
          </w:p>
        </w:tc>
        <w:tc>
          <w:tcPr>
            <w:tcW w:w="1610" w:type="dxa"/>
            <w:tcBorders>
              <w:top w:val="nil"/>
              <w:left w:val="nil"/>
              <w:bottom w:val="nil"/>
              <w:right w:val="nil"/>
            </w:tcBorders>
            <w:vAlign w:val="bottom"/>
          </w:tcPr>
          <w:p w14:paraId="209F9753" w14:textId="7A49CF4D" w:rsidR="00191850" w:rsidRPr="005659E5" w:rsidRDefault="00191850" w:rsidP="00191850">
            <w:pPr>
              <w:ind w:right="91" w:firstLineChars="100" w:firstLine="180"/>
              <w:jc w:val="right"/>
              <w:rPr>
                <w:color w:val="000000"/>
                <w:sz w:val="18"/>
                <w:szCs w:val="18"/>
              </w:rPr>
            </w:pPr>
            <w:r w:rsidRPr="005659E5">
              <w:rPr>
                <w:color w:val="000000"/>
                <w:sz w:val="18"/>
                <w:szCs w:val="18"/>
              </w:rPr>
              <w:t>-</w:t>
            </w:r>
          </w:p>
        </w:tc>
      </w:tr>
      <w:tr w:rsidR="00191850" w:rsidRPr="00471CBA" w14:paraId="0429B1B8" w14:textId="77777777" w:rsidTr="00414EDB">
        <w:trPr>
          <w:cantSplit/>
          <w:trHeight w:val="57"/>
        </w:trPr>
        <w:tc>
          <w:tcPr>
            <w:tcW w:w="3574" w:type="dxa"/>
            <w:vAlign w:val="center"/>
          </w:tcPr>
          <w:p w14:paraId="4946A0E2" w14:textId="77777777" w:rsidR="00191850" w:rsidRPr="00471CBA" w:rsidRDefault="00191850" w:rsidP="00191850">
            <w:pPr>
              <w:rPr>
                <w:rFonts w:eastAsia="Arial Unicode MS"/>
                <w:bCs/>
                <w:sz w:val="18"/>
                <w:szCs w:val="18"/>
              </w:rPr>
            </w:pPr>
            <w:r w:rsidRPr="00471CBA">
              <w:rPr>
                <w:bCs/>
                <w:sz w:val="18"/>
                <w:szCs w:val="18"/>
              </w:rPr>
              <w:t xml:space="preserve">Menkul kıymet ihracında satın alma garantileri </w:t>
            </w:r>
          </w:p>
        </w:tc>
        <w:tc>
          <w:tcPr>
            <w:tcW w:w="1226" w:type="dxa"/>
            <w:tcBorders>
              <w:top w:val="nil"/>
              <w:left w:val="nil"/>
              <w:bottom w:val="nil"/>
              <w:right w:val="nil"/>
            </w:tcBorders>
            <w:vAlign w:val="bottom"/>
          </w:tcPr>
          <w:p w14:paraId="3596CA9B" w14:textId="00F9CAF3" w:rsidR="00191850" w:rsidRPr="005659E5" w:rsidRDefault="00191850" w:rsidP="00191850">
            <w:pPr>
              <w:ind w:right="91" w:firstLineChars="100" w:firstLine="180"/>
              <w:jc w:val="right"/>
              <w:rPr>
                <w:b/>
                <w:bCs/>
                <w:sz w:val="18"/>
                <w:szCs w:val="18"/>
              </w:rPr>
            </w:pPr>
            <w:r w:rsidRPr="005659E5">
              <w:rPr>
                <w:color w:val="000000"/>
                <w:sz w:val="18"/>
                <w:szCs w:val="18"/>
              </w:rPr>
              <w:t>-</w:t>
            </w:r>
          </w:p>
        </w:tc>
        <w:tc>
          <w:tcPr>
            <w:tcW w:w="1438" w:type="dxa"/>
            <w:tcBorders>
              <w:top w:val="nil"/>
              <w:left w:val="nil"/>
              <w:bottom w:val="nil"/>
              <w:right w:val="nil"/>
            </w:tcBorders>
            <w:vAlign w:val="bottom"/>
          </w:tcPr>
          <w:p w14:paraId="74E7613D" w14:textId="0F98AC67" w:rsidR="00191850" w:rsidRPr="005659E5" w:rsidRDefault="00191850" w:rsidP="00191850">
            <w:pPr>
              <w:ind w:right="91" w:firstLineChars="100" w:firstLine="180"/>
              <w:jc w:val="right"/>
              <w:rPr>
                <w:b/>
                <w:bCs/>
                <w:sz w:val="18"/>
                <w:szCs w:val="18"/>
              </w:rPr>
            </w:pPr>
            <w:r w:rsidRPr="005659E5">
              <w:rPr>
                <w:color w:val="000000"/>
                <w:sz w:val="18"/>
                <w:szCs w:val="18"/>
              </w:rPr>
              <w:t>-</w:t>
            </w:r>
          </w:p>
        </w:tc>
        <w:tc>
          <w:tcPr>
            <w:tcW w:w="1545" w:type="dxa"/>
            <w:tcBorders>
              <w:top w:val="nil"/>
              <w:left w:val="nil"/>
              <w:bottom w:val="nil"/>
              <w:right w:val="nil"/>
            </w:tcBorders>
            <w:vAlign w:val="bottom"/>
          </w:tcPr>
          <w:p w14:paraId="6B8A658E" w14:textId="21EDC0A5" w:rsidR="00191850" w:rsidRPr="005659E5" w:rsidRDefault="00191850" w:rsidP="00191850">
            <w:pPr>
              <w:ind w:right="91" w:firstLineChars="100" w:firstLine="180"/>
              <w:jc w:val="right"/>
              <w:rPr>
                <w:color w:val="000000"/>
                <w:sz w:val="18"/>
                <w:szCs w:val="18"/>
              </w:rPr>
            </w:pPr>
            <w:r w:rsidRPr="005659E5">
              <w:rPr>
                <w:color w:val="000000"/>
                <w:sz w:val="18"/>
                <w:szCs w:val="18"/>
              </w:rPr>
              <w:t>-</w:t>
            </w:r>
          </w:p>
        </w:tc>
        <w:tc>
          <w:tcPr>
            <w:tcW w:w="1610" w:type="dxa"/>
            <w:tcBorders>
              <w:top w:val="nil"/>
              <w:left w:val="nil"/>
              <w:bottom w:val="nil"/>
              <w:right w:val="nil"/>
            </w:tcBorders>
            <w:vAlign w:val="bottom"/>
          </w:tcPr>
          <w:p w14:paraId="3766F74A" w14:textId="73B3637D" w:rsidR="00191850" w:rsidRPr="005659E5" w:rsidRDefault="00191850" w:rsidP="00191850">
            <w:pPr>
              <w:ind w:right="91" w:firstLineChars="100" w:firstLine="180"/>
              <w:jc w:val="right"/>
              <w:rPr>
                <w:color w:val="000000"/>
                <w:sz w:val="18"/>
                <w:szCs w:val="18"/>
              </w:rPr>
            </w:pPr>
            <w:r w:rsidRPr="005659E5">
              <w:rPr>
                <w:color w:val="000000"/>
                <w:sz w:val="18"/>
                <w:szCs w:val="18"/>
              </w:rPr>
              <w:t>-</w:t>
            </w:r>
          </w:p>
        </w:tc>
      </w:tr>
      <w:tr w:rsidR="00191850" w:rsidRPr="00471CBA" w14:paraId="090429AC" w14:textId="77777777" w:rsidTr="00414EDB">
        <w:trPr>
          <w:cantSplit/>
          <w:trHeight w:val="57"/>
        </w:trPr>
        <w:tc>
          <w:tcPr>
            <w:tcW w:w="3574" w:type="dxa"/>
            <w:vAlign w:val="center"/>
          </w:tcPr>
          <w:p w14:paraId="4E939F88" w14:textId="77777777" w:rsidR="00191850" w:rsidRPr="00471CBA" w:rsidRDefault="00191850" w:rsidP="00191850">
            <w:pPr>
              <w:rPr>
                <w:sz w:val="18"/>
                <w:szCs w:val="18"/>
              </w:rPr>
            </w:pPr>
            <w:proofErr w:type="spellStart"/>
            <w:r w:rsidRPr="00471CBA">
              <w:rPr>
                <w:bCs/>
                <w:sz w:val="18"/>
                <w:szCs w:val="18"/>
              </w:rPr>
              <w:t>Faktoring</w:t>
            </w:r>
            <w:proofErr w:type="spellEnd"/>
            <w:r w:rsidRPr="00471CBA">
              <w:rPr>
                <w:bCs/>
                <w:sz w:val="18"/>
                <w:szCs w:val="18"/>
              </w:rPr>
              <w:t xml:space="preserve"> garantileri</w:t>
            </w:r>
          </w:p>
        </w:tc>
        <w:tc>
          <w:tcPr>
            <w:tcW w:w="1226" w:type="dxa"/>
            <w:tcBorders>
              <w:top w:val="nil"/>
              <w:left w:val="nil"/>
              <w:bottom w:val="nil"/>
              <w:right w:val="nil"/>
            </w:tcBorders>
            <w:vAlign w:val="bottom"/>
          </w:tcPr>
          <w:p w14:paraId="105C0D62" w14:textId="2AF85C22" w:rsidR="00191850" w:rsidRPr="005659E5" w:rsidRDefault="00191850" w:rsidP="00191850">
            <w:pPr>
              <w:ind w:right="91" w:firstLineChars="100" w:firstLine="180"/>
              <w:jc w:val="right"/>
              <w:rPr>
                <w:b/>
                <w:bCs/>
                <w:sz w:val="18"/>
                <w:szCs w:val="18"/>
              </w:rPr>
            </w:pPr>
            <w:r w:rsidRPr="005659E5">
              <w:rPr>
                <w:color w:val="000000"/>
                <w:sz w:val="18"/>
                <w:szCs w:val="18"/>
              </w:rPr>
              <w:t>-</w:t>
            </w:r>
          </w:p>
        </w:tc>
        <w:tc>
          <w:tcPr>
            <w:tcW w:w="1438" w:type="dxa"/>
            <w:tcBorders>
              <w:top w:val="nil"/>
              <w:left w:val="nil"/>
              <w:bottom w:val="nil"/>
              <w:right w:val="nil"/>
            </w:tcBorders>
            <w:vAlign w:val="bottom"/>
          </w:tcPr>
          <w:p w14:paraId="367A2E70" w14:textId="6C683C30" w:rsidR="00191850" w:rsidRPr="005659E5" w:rsidRDefault="00191850" w:rsidP="00191850">
            <w:pPr>
              <w:ind w:right="91" w:firstLineChars="100" w:firstLine="180"/>
              <w:jc w:val="right"/>
              <w:rPr>
                <w:b/>
                <w:bCs/>
                <w:sz w:val="18"/>
                <w:szCs w:val="18"/>
              </w:rPr>
            </w:pPr>
            <w:r w:rsidRPr="005659E5">
              <w:rPr>
                <w:color w:val="000000"/>
                <w:sz w:val="18"/>
                <w:szCs w:val="18"/>
              </w:rPr>
              <w:t>-</w:t>
            </w:r>
          </w:p>
        </w:tc>
        <w:tc>
          <w:tcPr>
            <w:tcW w:w="1545" w:type="dxa"/>
            <w:tcBorders>
              <w:top w:val="nil"/>
              <w:left w:val="nil"/>
              <w:bottom w:val="nil"/>
              <w:right w:val="nil"/>
            </w:tcBorders>
            <w:vAlign w:val="bottom"/>
          </w:tcPr>
          <w:p w14:paraId="08543D42" w14:textId="5D6E091D" w:rsidR="00191850" w:rsidRPr="005659E5" w:rsidRDefault="00191850" w:rsidP="00191850">
            <w:pPr>
              <w:ind w:right="91" w:firstLineChars="100" w:firstLine="180"/>
              <w:jc w:val="right"/>
              <w:rPr>
                <w:color w:val="000000"/>
                <w:sz w:val="18"/>
                <w:szCs w:val="18"/>
              </w:rPr>
            </w:pPr>
            <w:r w:rsidRPr="005659E5">
              <w:rPr>
                <w:color w:val="000000"/>
                <w:sz w:val="18"/>
                <w:szCs w:val="18"/>
              </w:rPr>
              <w:t>-</w:t>
            </w:r>
          </w:p>
        </w:tc>
        <w:tc>
          <w:tcPr>
            <w:tcW w:w="1610" w:type="dxa"/>
            <w:tcBorders>
              <w:top w:val="nil"/>
              <w:left w:val="nil"/>
              <w:bottom w:val="nil"/>
              <w:right w:val="nil"/>
            </w:tcBorders>
            <w:vAlign w:val="bottom"/>
          </w:tcPr>
          <w:p w14:paraId="22BEB3CB" w14:textId="51D555BD" w:rsidR="00191850" w:rsidRPr="005659E5" w:rsidRDefault="00191850" w:rsidP="00191850">
            <w:pPr>
              <w:ind w:right="91" w:firstLineChars="100" w:firstLine="180"/>
              <w:jc w:val="right"/>
              <w:rPr>
                <w:color w:val="000000"/>
                <w:sz w:val="18"/>
                <w:szCs w:val="18"/>
              </w:rPr>
            </w:pPr>
            <w:r w:rsidRPr="005659E5">
              <w:rPr>
                <w:color w:val="000000"/>
                <w:sz w:val="18"/>
                <w:szCs w:val="18"/>
              </w:rPr>
              <w:t>-</w:t>
            </w:r>
          </w:p>
        </w:tc>
      </w:tr>
      <w:tr w:rsidR="00191850" w:rsidRPr="00471CBA" w14:paraId="43335503" w14:textId="77777777" w:rsidTr="00414EDB">
        <w:trPr>
          <w:cantSplit/>
          <w:trHeight w:val="57"/>
        </w:trPr>
        <w:tc>
          <w:tcPr>
            <w:tcW w:w="3574" w:type="dxa"/>
            <w:vAlign w:val="center"/>
          </w:tcPr>
          <w:p w14:paraId="7FBF646D" w14:textId="77777777" w:rsidR="00191850" w:rsidRPr="00471CBA" w:rsidRDefault="00191850" w:rsidP="00191850">
            <w:pPr>
              <w:rPr>
                <w:rFonts w:eastAsia="Arial Unicode MS"/>
                <w:sz w:val="18"/>
                <w:szCs w:val="18"/>
              </w:rPr>
            </w:pPr>
            <w:r w:rsidRPr="00471CBA">
              <w:rPr>
                <w:sz w:val="18"/>
                <w:szCs w:val="18"/>
              </w:rPr>
              <w:t>Diğer garanti ve kefaletler</w:t>
            </w:r>
          </w:p>
        </w:tc>
        <w:tc>
          <w:tcPr>
            <w:tcW w:w="1226" w:type="dxa"/>
            <w:tcBorders>
              <w:top w:val="nil"/>
              <w:left w:val="nil"/>
              <w:bottom w:val="nil"/>
              <w:right w:val="nil"/>
            </w:tcBorders>
            <w:vAlign w:val="bottom"/>
          </w:tcPr>
          <w:p w14:paraId="6C7CAB99" w14:textId="541D05D1" w:rsidR="00191850" w:rsidRPr="005659E5" w:rsidRDefault="00191850" w:rsidP="00191850">
            <w:pPr>
              <w:ind w:right="91" w:firstLineChars="100" w:firstLine="180"/>
              <w:jc w:val="right"/>
              <w:rPr>
                <w:b/>
                <w:bCs/>
                <w:sz w:val="18"/>
                <w:szCs w:val="18"/>
              </w:rPr>
            </w:pPr>
            <w:r w:rsidRPr="005659E5">
              <w:rPr>
                <w:color w:val="000000"/>
                <w:sz w:val="18"/>
                <w:szCs w:val="18"/>
              </w:rPr>
              <w:t>-</w:t>
            </w:r>
          </w:p>
        </w:tc>
        <w:tc>
          <w:tcPr>
            <w:tcW w:w="1438" w:type="dxa"/>
            <w:tcBorders>
              <w:top w:val="nil"/>
              <w:left w:val="nil"/>
              <w:bottom w:val="nil"/>
              <w:right w:val="nil"/>
            </w:tcBorders>
            <w:vAlign w:val="bottom"/>
          </w:tcPr>
          <w:p w14:paraId="05CFEC1F" w14:textId="43CAF205" w:rsidR="00191850" w:rsidRPr="005659E5" w:rsidRDefault="00191850" w:rsidP="00191850">
            <w:pPr>
              <w:ind w:right="91" w:firstLineChars="100" w:firstLine="180"/>
              <w:jc w:val="right"/>
              <w:rPr>
                <w:b/>
                <w:bCs/>
                <w:sz w:val="18"/>
                <w:szCs w:val="18"/>
              </w:rPr>
            </w:pPr>
            <w:r w:rsidRPr="005659E5">
              <w:rPr>
                <w:color w:val="000000"/>
                <w:sz w:val="18"/>
                <w:szCs w:val="18"/>
              </w:rPr>
              <w:t>-</w:t>
            </w:r>
          </w:p>
        </w:tc>
        <w:tc>
          <w:tcPr>
            <w:tcW w:w="1545" w:type="dxa"/>
            <w:tcBorders>
              <w:top w:val="nil"/>
              <w:left w:val="nil"/>
              <w:bottom w:val="nil"/>
              <w:right w:val="nil"/>
            </w:tcBorders>
            <w:vAlign w:val="bottom"/>
          </w:tcPr>
          <w:p w14:paraId="14A20528" w14:textId="70DEF3EA" w:rsidR="00191850" w:rsidRPr="005659E5" w:rsidRDefault="00191850" w:rsidP="00191850">
            <w:pPr>
              <w:ind w:right="91" w:firstLineChars="100" w:firstLine="180"/>
              <w:jc w:val="right"/>
              <w:rPr>
                <w:color w:val="000000"/>
                <w:sz w:val="18"/>
                <w:szCs w:val="18"/>
              </w:rPr>
            </w:pPr>
            <w:r w:rsidRPr="005659E5">
              <w:rPr>
                <w:color w:val="000000"/>
                <w:sz w:val="18"/>
                <w:szCs w:val="18"/>
              </w:rPr>
              <w:t>-</w:t>
            </w:r>
          </w:p>
        </w:tc>
        <w:tc>
          <w:tcPr>
            <w:tcW w:w="1610" w:type="dxa"/>
            <w:tcBorders>
              <w:top w:val="nil"/>
              <w:left w:val="nil"/>
              <w:bottom w:val="nil"/>
              <w:right w:val="nil"/>
            </w:tcBorders>
            <w:vAlign w:val="bottom"/>
          </w:tcPr>
          <w:p w14:paraId="26AC833C" w14:textId="1FA80DDB" w:rsidR="00191850" w:rsidRPr="005659E5" w:rsidRDefault="00191850" w:rsidP="00191850">
            <w:pPr>
              <w:ind w:right="91" w:firstLineChars="100" w:firstLine="180"/>
              <w:jc w:val="right"/>
              <w:rPr>
                <w:color w:val="000000"/>
                <w:sz w:val="18"/>
                <w:szCs w:val="18"/>
              </w:rPr>
            </w:pPr>
            <w:r w:rsidRPr="005659E5">
              <w:rPr>
                <w:color w:val="000000"/>
                <w:sz w:val="18"/>
                <w:szCs w:val="18"/>
              </w:rPr>
              <w:t>-</w:t>
            </w:r>
          </w:p>
        </w:tc>
      </w:tr>
      <w:tr w:rsidR="002432BC" w:rsidRPr="00471CBA" w14:paraId="5340651F" w14:textId="77777777" w:rsidTr="00B0049C">
        <w:trPr>
          <w:cantSplit/>
          <w:trHeight w:val="57"/>
        </w:trPr>
        <w:tc>
          <w:tcPr>
            <w:tcW w:w="3574" w:type="dxa"/>
            <w:tcBorders>
              <w:bottom w:val="single" w:sz="4" w:space="0" w:color="auto"/>
            </w:tcBorders>
            <w:vAlign w:val="center"/>
          </w:tcPr>
          <w:p w14:paraId="2351211E" w14:textId="77777777" w:rsidR="002432BC" w:rsidRPr="00471CBA" w:rsidRDefault="002432BC" w:rsidP="00B0049C">
            <w:pPr>
              <w:rPr>
                <w:sz w:val="18"/>
                <w:szCs w:val="18"/>
              </w:rPr>
            </w:pPr>
          </w:p>
        </w:tc>
        <w:tc>
          <w:tcPr>
            <w:tcW w:w="1226" w:type="dxa"/>
            <w:tcBorders>
              <w:bottom w:val="single" w:sz="4" w:space="0" w:color="auto"/>
            </w:tcBorders>
          </w:tcPr>
          <w:p w14:paraId="7A704B3F" w14:textId="77777777" w:rsidR="002432BC" w:rsidRPr="005659E5" w:rsidRDefault="002432BC" w:rsidP="00B0049C">
            <w:pPr>
              <w:ind w:right="49"/>
              <w:jc w:val="right"/>
              <w:rPr>
                <w:bCs/>
                <w:sz w:val="18"/>
                <w:szCs w:val="18"/>
              </w:rPr>
            </w:pPr>
          </w:p>
        </w:tc>
        <w:tc>
          <w:tcPr>
            <w:tcW w:w="1438" w:type="dxa"/>
            <w:tcBorders>
              <w:bottom w:val="single" w:sz="4" w:space="0" w:color="auto"/>
            </w:tcBorders>
          </w:tcPr>
          <w:p w14:paraId="41039770" w14:textId="77777777" w:rsidR="002432BC" w:rsidRPr="005659E5" w:rsidRDefault="002432BC" w:rsidP="00B0049C">
            <w:pPr>
              <w:ind w:right="49"/>
              <w:jc w:val="right"/>
              <w:rPr>
                <w:bCs/>
                <w:sz w:val="18"/>
                <w:szCs w:val="18"/>
              </w:rPr>
            </w:pPr>
          </w:p>
        </w:tc>
        <w:tc>
          <w:tcPr>
            <w:tcW w:w="1545" w:type="dxa"/>
            <w:tcBorders>
              <w:bottom w:val="single" w:sz="4" w:space="0" w:color="auto"/>
            </w:tcBorders>
          </w:tcPr>
          <w:p w14:paraId="41D57EBA" w14:textId="77777777" w:rsidR="002432BC" w:rsidRPr="005659E5" w:rsidRDefault="002432BC" w:rsidP="00B0049C">
            <w:pPr>
              <w:ind w:right="49"/>
              <w:jc w:val="right"/>
              <w:rPr>
                <w:bCs/>
                <w:sz w:val="18"/>
                <w:szCs w:val="18"/>
              </w:rPr>
            </w:pPr>
          </w:p>
        </w:tc>
        <w:tc>
          <w:tcPr>
            <w:tcW w:w="1610" w:type="dxa"/>
            <w:tcBorders>
              <w:bottom w:val="single" w:sz="4" w:space="0" w:color="auto"/>
            </w:tcBorders>
          </w:tcPr>
          <w:p w14:paraId="366B73A6" w14:textId="77777777" w:rsidR="002432BC" w:rsidRPr="005659E5" w:rsidRDefault="002432BC" w:rsidP="00B0049C">
            <w:pPr>
              <w:ind w:right="49"/>
              <w:jc w:val="right"/>
              <w:rPr>
                <w:bCs/>
                <w:sz w:val="18"/>
                <w:szCs w:val="18"/>
              </w:rPr>
            </w:pPr>
          </w:p>
        </w:tc>
      </w:tr>
    </w:tbl>
    <w:p w14:paraId="68742A7B" w14:textId="77777777" w:rsidR="002432BC" w:rsidRPr="006025D3" w:rsidRDefault="002432BC" w:rsidP="002432BC">
      <w:pPr>
        <w:rPr>
          <w:sz w:val="16"/>
          <w:szCs w:val="16"/>
        </w:rPr>
      </w:pPr>
    </w:p>
    <w:tbl>
      <w:tblPr>
        <w:tblW w:w="9384" w:type="dxa"/>
        <w:tblInd w:w="56" w:type="dxa"/>
        <w:tblLayout w:type="fixed"/>
        <w:tblCellMar>
          <w:left w:w="30" w:type="dxa"/>
          <w:right w:w="30" w:type="dxa"/>
        </w:tblCellMar>
        <w:tblLook w:val="0000" w:firstRow="0" w:lastRow="0" w:firstColumn="0" w:lastColumn="0" w:noHBand="0" w:noVBand="0"/>
      </w:tblPr>
      <w:tblGrid>
        <w:gridCol w:w="3574"/>
        <w:gridCol w:w="1226"/>
        <w:gridCol w:w="1415"/>
        <w:gridCol w:w="1559"/>
        <w:gridCol w:w="1610"/>
      </w:tblGrid>
      <w:tr w:rsidR="002432BC" w:rsidRPr="00471CBA" w14:paraId="35AAF140" w14:textId="77777777" w:rsidTr="00B0049C">
        <w:trPr>
          <w:cantSplit/>
          <w:trHeight w:val="170"/>
        </w:trPr>
        <w:tc>
          <w:tcPr>
            <w:tcW w:w="3574" w:type="dxa"/>
            <w:vMerge w:val="restart"/>
            <w:tcBorders>
              <w:top w:val="single" w:sz="4" w:space="0" w:color="auto"/>
            </w:tcBorders>
            <w:vAlign w:val="center"/>
          </w:tcPr>
          <w:p w14:paraId="4B8E90D1" w14:textId="742E626C" w:rsidR="002432BC" w:rsidRPr="00471CBA" w:rsidRDefault="007F0DB8" w:rsidP="00B0049C">
            <w:pPr>
              <w:rPr>
                <w:b/>
                <w:sz w:val="18"/>
                <w:szCs w:val="18"/>
              </w:rPr>
            </w:pPr>
            <w:r w:rsidRPr="00471CBA">
              <w:rPr>
                <w:b/>
                <w:bCs/>
                <w:sz w:val="18"/>
                <w:szCs w:val="18"/>
              </w:rPr>
              <w:t>31 Aralık 2024</w:t>
            </w:r>
          </w:p>
        </w:tc>
        <w:tc>
          <w:tcPr>
            <w:tcW w:w="2641" w:type="dxa"/>
            <w:gridSpan w:val="2"/>
            <w:tcBorders>
              <w:top w:val="single" w:sz="4" w:space="0" w:color="auto"/>
              <w:bottom w:val="single" w:sz="4" w:space="0" w:color="auto"/>
            </w:tcBorders>
            <w:vAlign w:val="center"/>
          </w:tcPr>
          <w:p w14:paraId="37567D7D" w14:textId="77777777" w:rsidR="002432BC" w:rsidRPr="00471CBA" w:rsidRDefault="002432BC" w:rsidP="00B0049C">
            <w:pPr>
              <w:ind w:right="158"/>
              <w:jc w:val="center"/>
              <w:rPr>
                <w:rFonts w:eastAsia="Arial Unicode MS"/>
                <w:b/>
                <w:sz w:val="18"/>
                <w:szCs w:val="18"/>
              </w:rPr>
            </w:pPr>
            <w:r w:rsidRPr="00471CBA">
              <w:rPr>
                <w:b/>
                <w:iCs/>
                <w:sz w:val="18"/>
                <w:szCs w:val="18"/>
              </w:rPr>
              <w:t>I inci Grup</w:t>
            </w:r>
          </w:p>
        </w:tc>
        <w:tc>
          <w:tcPr>
            <w:tcW w:w="3169" w:type="dxa"/>
            <w:gridSpan w:val="2"/>
            <w:tcBorders>
              <w:top w:val="single" w:sz="4" w:space="0" w:color="auto"/>
              <w:bottom w:val="single" w:sz="4" w:space="0" w:color="auto"/>
            </w:tcBorders>
            <w:vAlign w:val="center"/>
          </w:tcPr>
          <w:p w14:paraId="0C18FCE7" w14:textId="77777777" w:rsidR="002432BC" w:rsidRPr="00471CBA" w:rsidRDefault="002432BC" w:rsidP="00B0049C">
            <w:pPr>
              <w:ind w:right="158"/>
              <w:jc w:val="center"/>
              <w:rPr>
                <w:rFonts w:eastAsia="Arial Unicode MS"/>
                <w:b/>
                <w:sz w:val="18"/>
                <w:szCs w:val="18"/>
              </w:rPr>
            </w:pPr>
            <w:r w:rsidRPr="00471CBA">
              <w:rPr>
                <w:b/>
                <w:iCs/>
                <w:sz w:val="18"/>
                <w:szCs w:val="18"/>
              </w:rPr>
              <w:t>II nci Grup</w:t>
            </w:r>
          </w:p>
        </w:tc>
      </w:tr>
      <w:tr w:rsidR="002432BC" w:rsidRPr="00471CBA" w14:paraId="1C3A8A36" w14:textId="77777777" w:rsidTr="00B0049C">
        <w:trPr>
          <w:cantSplit/>
          <w:trHeight w:val="170"/>
        </w:trPr>
        <w:tc>
          <w:tcPr>
            <w:tcW w:w="3574" w:type="dxa"/>
            <w:vMerge/>
            <w:tcBorders>
              <w:bottom w:val="single" w:sz="4" w:space="0" w:color="auto"/>
            </w:tcBorders>
            <w:vAlign w:val="center"/>
          </w:tcPr>
          <w:p w14:paraId="79F5FB17" w14:textId="77777777" w:rsidR="002432BC" w:rsidRPr="00471CBA" w:rsidRDefault="002432BC" w:rsidP="00B0049C">
            <w:pPr>
              <w:jc w:val="center"/>
              <w:rPr>
                <w:b/>
                <w:sz w:val="18"/>
                <w:szCs w:val="18"/>
              </w:rPr>
            </w:pPr>
          </w:p>
        </w:tc>
        <w:tc>
          <w:tcPr>
            <w:tcW w:w="1226" w:type="dxa"/>
            <w:tcBorders>
              <w:top w:val="single" w:sz="4" w:space="0" w:color="auto"/>
              <w:bottom w:val="single" w:sz="4" w:space="0" w:color="auto"/>
            </w:tcBorders>
            <w:vAlign w:val="center"/>
          </w:tcPr>
          <w:p w14:paraId="6CAE8F33" w14:textId="77777777" w:rsidR="002432BC" w:rsidRPr="00471CBA" w:rsidRDefault="002432BC" w:rsidP="00B0049C">
            <w:pPr>
              <w:ind w:right="91"/>
              <w:jc w:val="right"/>
              <w:rPr>
                <w:rFonts w:eastAsia="Arial Unicode MS"/>
                <w:b/>
                <w:sz w:val="18"/>
                <w:szCs w:val="18"/>
              </w:rPr>
            </w:pPr>
            <w:r w:rsidRPr="00471CBA">
              <w:rPr>
                <w:rFonts w:eastAsia="Arial Unicode MS"/>
                <w:b/>
                <w:sz w:val="18"/>
                <w:szCs w:val="18"/>
              </w:rPr>
              <w:t>TP</w:t>
            </w:r>
          </w:p>
        </w:tc>
        <w:tc>
          <w:tcPr>
            <w:tcW w:w="1415" w:type="dxa"/>
            <w:tcBorders>
              <w:top w:val="single" w:sz="4" w:space="0" w:color="auto"/>
              <w:bottom w:val="single" w:sz="4" w:space="0" w:color="auto"/>
            </w:tcBorders>
            <w:vAlign w:val="center"/>
          </w:tcPr>
          <w:p w14:paraId="7FB87C74" w14:textId="77777777" w:rsidR="002432BC" w:rsidRPr="00471CBA" w:rsidRDefault="002432BC" w:rsidP="00B0049C">
            <w:pPr>
              <w:ind w:right="91"/>
              <w:jc w:val="right"/>
              <w:rPr>
                <w:rFonts w:eastAsia="Arial Unicode MS"/>
                <w:b/>
                <w:sz w:val="18"/>
                <w:szCs w:val="18"/>
              </w:rPr>
            </w:pPr>
            <w:r w:rsidRPr="00471CBA">
              <w:rPr>
                <w:rFonts w:eastAsia="Arial Unicode MS"/>
                <w:b/>
                <w:sz w:val="18"/>
                <w:szCs w:val="18"/>
              </w:rPr>
              <w:t>YP</w:t>
            </w:r>
          </w:p>
        </w:tc>
        <w:tc>
          <w:tcPr>
            <w:tcW w:w="1559" w:type="dxa"/>
            <w:tcBorders>
              <w:top w:val="single" w:sz="4" w:space="0" w:color="auto"/>
              <w:bottom w:val="single" w:sz="4" w:space="0" w:color="auto"/>
            </w:tcBorders>
            <w:vAlign w:val="center"/>
          </w:tcPr>
          <w:p w14:paraId="638B61C1" w14:textId="77777777" w:rsidR="002432BC" w:rsidRPr="00471CBA" w:rsidRDefault="002432BC" w:rsidP="00B0049C">
            <w:pPr>
              <w:ind w:right="91"/>
              <w:jc w:val="right"/>
              <w:rPr>
                <w:rFonts w:eastAsia="Arial Unicode MS"/>
                <w:b/>
                <w:sz w:val="18"/>
                <w:szCs w:val="18"/>
              </w:rPr>
            </w:pPr>
            <w:r w:rsidRPr="00471CBA">
              <w:rPr>
                <w:rFonts w:eastAsia="Arial Unicode MS"/>
                <w:b/>
                <w:sz w:val="18"/>
                <w:szCs w:val="18"/>
              </w:rPr>
              <w:t>TP</w:t>
            </w:r>
          </w:p>
        </w:tc>
        <w:tc>
          <w:tcPr>
            <w:tcW w:w="1610" w:type="dxa"/>
            <w:tcBorders>
              <w:top w:val="single" w:sz="4" w:space="0" w:color="auto"/>
              <w:bottom w:val="single" w:sz="4" w:space="0" w:color="auto"/>
            </w:tcBorders>
            <w:vAlign w:val="center"/>
          </w:tcPr>
          <w:p w14:paraId="75320D70" w14:textId="77777777" w:rsidR="002432BC" w:rsidRPr="00471CBA" w:rsidRDefault="002432BC" w:rsidP="00B0049C">
            <w:pPr>
              <w:ind w:right="91"/>
              <w:jc w:val="right"/>
              <w:rPr>
                <w:rFonts w:eastAsia="Arial Unicode MS"/>
                <w:b/>
                <w:sz w:val="18"/>
                <w:szCs w:val="18"/>
              </w:rPr>
            </w:pPr>
            <w:r w:rsidRPr="00471CBA">
              <w:rPr>
                <w:rFonts w:eastAsia="Arial Unicode MS"/>
                <w:b/>
                <w:sz w:val="18"/>
                <w:szCs w:val="18"/>
              </w:rPr>
              <w:t>YP</w:t>
            </w:r>
          </w:p>
        </w:tc>
      </w:tr>
      <w:tr w:rsidR="007F0DB8" w:rsidRPr="00471CBA" w14:paraId="1152CE79" w14:textId="77777777" w:rsidTr="007F0DB8">
        <w:trPr>
          <w:cantSplit/>
          <w:trHeight w:val="170"/>
        </w:trPr>
        <w:tc>
          <w:tcPr>
            <w:tcW w:w="3574" w:type="dxa"/>
            <w:tcBorders>
              <w:top w:val="single" w:sz="4" w:space="0" w:color="auto"/>
              <w:bottom w:val="single" w:sz="4" w:space="0" w:color="auto"/>
            </w:tcBorders>
            <w:vAlign w:val="center"/>
          </w:tcPr>
          <w:p w14:paraId="0CD4EB4C" w14:textId="77777777" w:rsidR="007F0DB8" w:rsidRPr="00471CBA" w:rsidRDefault="007F0DB8" w:rsidP="007F0DB8">
            <w:pPr>
              <w:rPr>
                <w:b/>
                <w:snapToGrid w:val="0"/>
                <w:sz w:val="18"/>
                <w:szCs w:val="18"/>
              </w:rPr>
            </w:pPr>
            <w:proofErr w:type="spellStart"/>
            <w:r w:rsidRPr="00471CBA">
              <w:rPr>
                <w:b/>
                <w:sz w:val="18"/>
                <w:szCs w:val="18"/>
              </w:rPr>
              <w:t>Gayrinakdi</w:t>
            </w:r>
            <w:proofErr w:type="spellEnd"/>
            <w:r w:rsidRPr="00471CBA">
              <w:rPr>
                <w:b/>
                <w:sz w:val="18"/>
                <w:szCs w:val="18"/>
              </w:rPr>
              <w:t xml:space="preserve"> krediler</w:t>
            </w:r>
          </w:p>
        </w:tc>
        <w:tc>
          <w:tcPr>
            <w:tcW w:w="1226" w:type="dxa"/>
            <w:tcBorders>
              <w:top w:val="single" w:sz="4" w:space="0" w:color="auto"/>
              <w:left w:val="nil"/>
              <w:bottom w:val="single" w:sz="4" w:space="0" w:color="auto"/>
              <w:right w:val="nil"/>
            </w:tcBorders>
            <w:vAlign w:val="bottom"/>
          </w:tcPr>
          <w:p w14:paraId="5F53867E" w14:textId="5D40DE03" w:rsidR="007F0DB8" w:rsidRPr="00471CBA" w:rsidRDefault="007F0DB8" w:rsidP="007F0DB8">
            <w:pPr>
              <w:ind w:right="91" w:firstLineChars="100" w:firstLine="181"/>
              <w:jc w:val="right"/>
              <w:rPr>
                <w:b/>
                <w:color w:val="000000"/>
                <w:sz w:val="18"/>
                <w:szCs w:val="18"/>
              </w:rPr>
            </w:pPr>
            <w:r w:rsidRPr="00471CBA">
              <w:rPr>
                <w:b/>
                <w:bCs/>
                <w:sz w:val="18"/>
                <w:szCs w:val="18"/>
              </w:rPr>
              <w:t>5.279.730</w:t>
            </w:r>
          </w:p>
        </w:tc>
        <w:tc>
          <w:tcPr>
            <w:tcW w:w="1415" w:type="dxa"/>
            <w:tcBorders>
              <w:top w:val="single" w:sz="4" w:space="0" w:color="auto"/>
              <w:left w:val="nil"/>
              <w:bottom w:val="single" w:sz="4" w:space="0" w:color="auto"/>
              <w:right w:val="nil"/>
            </w:tcBorders>
            <w:vAlign w:val="bottom"/>
          </w:tcPr>
          <w:p w14:paraId="225B7F58" w14:textId="2826CEDB" w:rsidR="007F0DB8" w:rsidRPr="00471CBA" w:rsidRDefault="007F0DB8" w:rsidP="007F0DB8">
            <w:pPr>
              <w:ind w:right="91" w:firstLineChars="100" w:firstLine="181"/>
              <w:jc w:val="right"/>
              <w:rPr>
                <w:b/>
                <w:color w:val="000000"/>
                <w:sz w:val="18"/>
                <w:szCs w:val="18"/>
              </w:rPr>
            </w:pPr>
            <w:r w:rsidRPr="00471CBA">
              <w:rPr>
                <w:b/>
                <w:bCs/>
                <w:sz w:val="18"/>
                <w:szCs w:val="18"/>
              </w:rPr>
              <w:t>2.055.984</w:t>
            </w:r>
          </w:p>
        </w:tc>
        <w:tc>
          <w:tcPr>
            <w:tcW w:w="1559" w:type="dxa"/>
            <w:tcBorders>
              <w:top w:val="single" w:sz="4" w:space="0" w:color="auto"/>
              <w:left w:val="nil"/>
              <w:bottom w:val="single" w:sz="4" w:space="0" w:color="auto"/>
              <w:right w:val="nil"/>
            </w:tcBorders>
            <w:vAlign w:val="bottom"/>
          </w:tcPr>
          <w:p w14:paraId="2B311834" w14:textId="1EA34EC0" w:rsidR="007F0DB8" w:rsidRPr="00471CBA" w:rsidRDefault="007F0DB8" w:rsidP="007F0DB8">
            <w:pPr>
              <w:ind w:right="91" w:firstLineChars="100" w:firstLine="181"/>
              <w:jc w:val="right"/>
              <w:rPr>
                <w:b/>
                <w:color w:val="000000"/>
                <w:sz w:val="18"/>
                <w:szCs w:val="18"/>
              </w:rPr>
            </w:pPr>
            <w:r w:rsidRPr="00471CBA">
              <w:rPr>
                <w:b/>
                <w:bCs/>
                <w:sz w:val="18"/>
                <w:szCs w:val="18"/>
              </w:rPr>
              <w:t>-</w:t>
            </w:r>
          </w:p>
        </w:tc>
        <w:tc>
          <w:tcPr>
            <w:tcW w:w="1610" w:type="dxa"/>
            <w:tcBorders>
              <w:top w:val="single" w:sz="4" w:space="0" w:color="auto"/>
              <w:left w:val="nil"/>
              <w:bottom w:val="single" w:sz="4" w:space="0" w:color="auto"/>
              <w:right w:val="nil"/>
            </w:tcBorders>
            <w:vAlign w:val="bottom"/>
          </w:tcPr>
          <w:p w14:paraId="157A5670" w14:textId="728BAE7F" w:rsidR="007F0DB8" w:rsidRPr="00471CBA" w:rsidRDefault="007F0DB8" w:rsidP="007F0DB8">
            <w:pPr>
              <w:ind w:right="91" w:firstLineChars="100" w:firstLine="181"/>
              <w:jc w:val="right"/>
              <w:rPr>
                <w:b/>
                <w:color w:val="000000"/>
                <w:sz w:val="18"/>
                <w:szCs w:val="18"/>
              </w:rPr>
            </w:pPr>
            <w:r w:rsidRPr="00471CBA">
              <w:rPr>
                <w:b/>
                <w:bCs/>
                <w:sz w:val="18"/>
                <w:szCs w:val="18"/>
              </w:rPr>
              <w:t>-</w:t>
            </w:r>
          </w:p>
        </w:tc>
      </w:tr>
      <w:tr w:rsidR="007F0DB8" w:rsidRPr="00471CBA" w14:paraId="7D392A18" w14:textId="77777777" w:rsidTr="007F0DB8">
        <w:trPr>
          <w:cantSplit/>
          <w:trHeight w:val="170"/>
        </w:trPr>
        <w:tc>
          <w:tcPr>
            <w:tcW w:w="3574" w:type="dxa"/>
            <w:tcBorders>
              <w:top w:val="single" w:sz="4" w:space="0" w:color="auto"/>
            </w:tcBorders>
            <w:vAlign w:val="center"/>
          </w:tcPr>
          <w:p w14:paraId="30C7ABE2" w14:textId="77777777" w:rsidR="007F0DB8" w:rsidRPr="00471CBA" w:rsidRDefault="007F0DB8" w:rsidP="007F0DB8">
            <w:pPr>
              <w:rPr>
                <w:sz w:val="18"/>
                <w:szCs w:val="18"/>
              </w:rPr>
            </w:pPr>
          </w:p>
        </w:tc>
        <w:tc>
          <w:tcPr>
            <w:tcW w:w="1226" w:type="dxa"/>
            <w:tcBorders>
              <w:top w:val="single" w:sz="4" w:space="0" w:color="auto"/>
              <w:left w:val="nil"/>
              <w:bottom w:val="nil"/>
              <w:right w:val="nil"/>
            </w:tcBorders>
            <w:vAlign w:val="bottom"/>
          </w:tcPr>
          <w:p w14:paraId="7719D238" w14:textId="73B23D70" w:rsidR="007F0DB8" w:rsidRPr="00471CBA" w:rsidRDefault="007F0DB8" w:rsidP="007F0DB8">
            <w:pPr>
              <w:ind w:right="91" w:firstLineChars="100" w:firstLine="180"/>
              <w:jc w:val="right"/>
              <w:rPr>
                <w:color w:val="000000"/>
                <w:sz w:val="18"/>
                <w:szCs w:val="18"/>
              </w:rPr>
            </w:pPr>
          </w:p>
        </w:tc>
        <w:tc>
          <w:tcPr>
            <w:tcW w:w="1415" w:type="dxa"/>
            <w:tcBorders>
              <w:top w:val="single" w:sz="4" w:space="0" w:color="auto"/>
              <w:left w:val="nil"/>
              <w:bottom w:val="nil"/>
              <w:right w:val="nil"/>
            </w:tcBorders>
            <w:vAlign w:val="bottom"/>
          </w:tcPr>
          <w:p w14:paraId="34A2955F" w14:textId="17EBE2E8" w:rsidR="007F0DB8" w:rsidRPr="00471CBA" w:rsidRDefault="007F0DB8" w:rsidP="007F0DB8">
            <w:pPr>
              <w:ind w:right="91" w:firstLineChars="100" w:firstLine="180"/>
              <w:jc w:val="right"/>
              <w:rPr>
                <w:color w:val="000000"/>
                <w:sz w:val="18"/>
                <w:szCs w:val="18"/>
              </w:rPr>
            </w:pPr>
          </w:p>
        </w:tc>
        <w:tc>
          <w:tcPr>
            <w:tcW w:w="1559" w:type="dxa"/>
            <w:tcBorders>
              <w:top w:val="single" w:sz="4" w:space="0" w:color="auto"/>
              <w:left w:val="nil"/>
              <w:bottom w:val="nil"/>
              <w:right w:val="nil"/>
            </w:tcBorders>
            <w:vAlign w:val="bottom"/>
          </w:tcPr>
          <w:p w14:paraId="5C492E0F" w14:textId="4F6CA370" w:rsidR="007F0DB8" w:rsidRPr="00471CBA" w:rsidRDefault="007F0DB8" w:rsidP="007F0DB8">
            <w:pPr>
              <w:ind w:right="91" w:firstLineChars="100" w:firstLine="180"/>
              <w:jc w:val="right"/>
              <w:rPr>
                <w:color w:val="000000"/>
                <w:sz w:val="18"/>
                <w:szCs w:val="18"/>
              </w:rPr>
            </w:pPr>
          </w:p>
        </w:tc>
        <w:tc>
          <w:tcPr>
            <w:tcW w:w="1610" w:type="dxa"/>
            <w:tcBorders>
              <w:top w:val="single" w:sz="4" w:space="0" w:color="auto"/>
              <w:left w:val="nil"/>
              <w:bottom w:val="nil"/>
              <w:right w:val="nil"/>
            </w:tcBorders>
            <w:vAlign w:val="bottom"/>
          </w:tcPr>
          <w:p w14:paraId="7E78D966" w14:textId="15C6F2A1" w:rsidR="007F0DB8" w:rsidRPr="00471CBA" w:rsidRDefault="007F0DB8" w:rsidP="007F0DB8">
            <w:pPr>
              <w:ind w:right="91" w:firstLineChars="100" w:firstLine="180"/>
              <w:jc w:val="right"/>
              <w:rPr>
                <w:color w:val="000000"/>
                <w:sz w:val="18"/>
                <w:szCs w:val="18"/>
              </w:rPr>
            </w:pPr>
          </w:p>
        </w:tc>
      </w:tr>
      <w:tr w:rsidR="007F0DB8" w:rsidRPr="00471CBA" w14:paraId="651C4F85" w14:textId="77777777" w:rsidTr="007F0DB8">
        <w:trPr>
          <w:cantSplit/>
          <w:trHeight w:val="170"/>
        </w:trPr>
        <w:tc>
          <w:tcPr>
            <w:tcW w:w="3574" w:type="dxa"/>
            <w:vAlign w:val="center"/>
          </w:tcPr>
          <w:p w14:paraId="1510C74B" w14:textId="77777777" w:rsidR="007F0DB8" w:rsidRPr="00471CBA" w:rsidRDefault="007F0DB8" w:rsidP="007F0DB8">
            <w:pPr>
              <w:rPr>
                <w:rFonts w:eastAsia="Arial Unicode MS"/>
                <w:sz w:val="18"/>
                <w:szCs w:val="18"/>
              </w:rPr>
            </w:pPr>
            <w:r w:rsidRPr="00471CBA">
              <w:rPr>
                <w:sz w:val="18"/>
                <w:szCs w:val="18"/>
              </w:rPr>
              <w:t>Teminat mektupları</w:t>
            </w:r>
          </w:p>
        </w:tc>
        <w:tc>
          <w:tcPr>
            <w:tcW w:w="1226" w:type="dxa"/>
            <w:tcBorders>
              <w:top w:val="nil"/>
              <w:left w:val="nil"/>
              <w:bottom w:val="nil"/>
              <w:right w:val="nil"/>
            </w:tcBorders>
            <w:vAlign w:val="bottom"/>
          </w:tcPr>
          <w:p w14:paraId="3FBA435D" w14:textId="7A6B943D" w:rsidR="007F0DB8" w:rsidRPr="00471CBA" w:rsidRDefault="007F0DB8" w:rsidP="007F0DB8">
            <w:pPr>
              <w:ind w:right="91" w:firstLineChars="100" w:firstLine="180"/>
              <w:jc w:val="right"/>
              <w:rPr>
                <w:color w:val="000000"/>
                <w:sz w:val="18"/>
                <w:szCs w:val="18"/>
              </w:rPr>
            </w:pPr>
            <w:r w:rsidRPr="00471CBA">
              <w:rPr>
                <w:sz w:val="18"/>
                <w:szCs w:val="18"/>
              </w:rPr>
              <w:t>5.279.730</w:t>
            </w:r>
          </w:p>
        </w:tc>
        <w:tc>
          <w:tcPr>
            <w:tcW w:w="1415" w:type="dxa"/>
            <w:tcBorders>
              <w:top w:val="nil"/>
              <w:left w:val="nil"/>
              <w:bottom w:val="nil"/>
              <w:right w:val="nil"/>
            </w:tcBorders>
            <w:vAlign w:val="bottom"/>
          </w:tcPr>
          <w:p w14:paraId="67B72CAF" w14:textId="320B0B9A" w:rsidR="007F0DB8" w:rsidRPr="00471CBA" w:rsidRDefault="007F0DB8" w:rsidP="007F0DB8">
            <w:pPr>
              <w:ind w:right="91" w:firstLineChars="100" w:firstLine="180"/>
              <w:jc w:val="right"/>
              <w:rPr>
                <w:color w:val="000000"/>
                <w:sz w:val="18"/>
                <w:szCs w:val="18"/>
              </w:rPr>
            </w:pPr>
            <w:r w:rsidRPr="00471CBA">
              <w:rPr>
                <w:sz w:val="18"/>
                <w:szCs w:val="18"/>
              </w:rPr>
              <w:t>2.055.984</w:t>
            </w:r>
          </w:p>
        </w:tc>
        <w:tc>
          <w:tcPr>
            <w:tcW w:w="1559" w:type="dxa"/>
            <w:tcBorders>
              <w:top w:val="nil"/>
              <w:left w:val="nil"/>
              <w:bottom w:val="nil"/>
              <w:right w:val="nil"/>
            </w:tcBorders>
            <w:vAlign w:val="bottom"/>
          </w:tcPr>
          <w:p w14:paraId="793A36F9" w14:textId="728CD40F" w:rsidR="007F0DB8" w:rsidRPr="00471CBA" w:rsidRDefault="007F0DB8" w:rsidP="007F0DB8">
            <w:pPr>
              <w:ind w:right="91" w:firstLineChars="100" w:firstLine="180"/>
              <w:jc w:val="right"/>
              <w:rPr>
                <w:color w:val="000000"/>
                <w:sz w:val="18"/>
                <w:szCs w:val="18"/>
              </w:rPr>
            </w:pPr>
            <w:r w:rsidRPr="00471CBA">
              <w:rPr>
                <w:sz w:val="18"/>
                <w:szCs w:val="18"/>
              </w:rPr>
              <w:t>-</w:t>
            </w:r>
          </w:p>
        </w:tc>
        <w:tc>
          <w:tcPr>
            <w:tcW w:w="1610" w:type="dxa"/>
            <w:tcBorders>
              <w:top w:val="nil"/>
              <w:left w:val="nil"/>
              <w:bottom w:val="nil"/>
              <w:right w:val="nil"/>
            </w:tcBorders>
            <w:vAlign w:val="bottom"/>
          </w:tcPr>
          <w:p w14:paraId="495BE2E5" w14:textId="48C6E7EA" w:rsidR="007F0DB8" w:rsidRPr="00471CBA" w:rsidRDefault="007F0DB8" w:rsidP="007F0DB8">
            <w:pPr>
              <w:ind w:right="91" w:firstLineChars="100" w:firstLine="180"/>
              <w:jc w:val="right"/>
              <w:rPr>
                <w:color w:val="000000"/>
                <w:sz w:val="18"/>
                <w:szCs w:val="18"/>
              </w:rPr>
            </w:pPr>
            <w:r w:rsidRPr="00471CBA">
              <w:rPr>
                <w:sz w:val="18"/>
                <w:szCs w:val="18"/>
              </w:rPr>
              <w:t>-</w:t>
            </w:r>
          </w:p>
        </w:tc>
      </w:tr>
      <w:tr w:rsidR="007F0DB8" w:rsidRPr="00471CBA" w14:paraId="10303B86" w14:textId="77777777" w:rsidTr="007F0DB8">
        <w:trPr>
          <w:cantSplit/>
          <w:trHeight w:val="170"/>
        </w:trPr>
        <w:tc>
          <w:tcPr>
            <w:tcW w:w="3574" w:type="dxa"/>
            <w:vAlign w:val="center"/>
          </w:tcPr>
          <w:p w14:paraId="0A23837A" w14:textId="77777777" w:rsidR="007F0DB8" w:rsidRPr="00471CBA" w:rsidRDefault="007F0DB8" w:rsidP="007F0DB8">
            <w:pPr>
              <w:rPr>
                <w:rFonts w:eastAsia="Arial Unicode MS"/>
                <w:sz w:val="18"/>
                <w:szCs w:val="18"/>
              </w:rPr>
            </w:pPr>
            <w:r w:rsidRPr="00471CBA">
              <w:rPr>
                <w:sz w:val="18"/>
                <w:szCs w:val="18"/>
              </w:rPr>
              <w:t>Aval ve kabul kredileri</w:t>
            </w:r>
          </w:p>
        </w:tc>
        <w:tc>
          <w:tcPr>
            <w:tcW w:w="1226" w:type="dxa"/>
            <w:tcBorders>
              <w:top w:val="nil"/>
              <w:left w:val="nil"/>
              <w:bottom w:val="nil"/>
              <w:right w:val="nil"/>
            </w:tcBorders>
            <w:vAlign w:val="bottom"/>
          </w:tcPr>
          <w:p w14:paraId="0F7790DA" w14:textId="6DAE9B83" w:rsidR="007F0DB8" w:rsidRPr="00471CBA" w:rsidRDefault="007F0DB8" w:rsidP="007F0DB8">
            <w:pPr>
              <w:ind w:right="91" w:firstLineChars="100" w:firstLine="180"/>
              <w:jc w:val="right"/>
              <w:rPr>
                <w:color w:val="000000"/>
                <w:sz w:val="18"/>
                <w:szCs w:val="18"/>
              </w:rPr>
            </w:pPr>
            <w:r w:rsidRPr="00471CBA">
              <w:rPr>
                <w:sz w:val="18"/>
                <w:szCs w:val="18"/>
              </w:rPr>
              <w:t>-</w:t>
            </w:r>
          </w:p>
        </w:tc>
        <w:tc>
          <w:tcPr>
            <w:tcW w:w="1415" w:type="dxa"/>
            <w:tcBorders>
              <w:top w:val="nil"/>
              <w:left w:val="nil"/>
              <w:bottom w:val="nil"/>
              <w:right w:val="nil"/>
            </w:tcBorders>
            <w:vAlign w:val="bottom"/>
          </w:tcPr>
          <w:p w14:paraId="78FCB124" w14:textId="75873AB3" w:rsidR="007F0DB8" w:rsidRPr="00471CBA" w:rsidRDefault="007F0DB8" w:rsidP="007F0DB8">
            <w:pPr>
              <w:ind w:right="91" w:firstLineChars="100" w:firstLine="180"/>
              <w:jc w:val="right"/>
              <w:rPr>
                <w:color w:val="000000"/>
                <w:sz w:val="18"/>
                <w:szCs w:val="18"/>
              </w:rPr>
            </w:pPr>
            <w:r w:rsidRPr="00471CBA">
              <w:rPr>
                <w:sz w:val="18"/>
                <w:szCs w:val="18"/>
              </w:rPr>
              <w:t>-</w:t>
            </w:r>
          </w:p>
        </w:tc>
        <w:tc>
          <w:tcPr>
            <w:tcW w:w="1559" w:type="dxa"/>
            <w:tcBorders>
              <w:top w:val="nil"/>
              <w:left w:val="nil"/>
              <w:bottom w:val="nil"/>
              <w:right w:val="nil"/>
            </w:tcBorders>
            <w:vAlign w:val="bottom"/>
          </w:tcPr>
          <w:p w14:paraId="1124A9E4" w14:textId="43F504BB" w:rsidR="007F0DB8" w:rsidRPr="00471CBA" w:rsidRDefault="007F0DB8" w:rsidP="007F0DB8">
            <w:pPr>
              <w:ind w:right="91" w:firstLineChars="100" w:firstLine="180"/>
              <w:jc w:val="right"/>
              <w:rPr>
                <w:color w:val="000000"/>
                <w:sz w:val="18"/>
                <w:szCs w:val="18"/>
              </w:rPr>
            </w:pPr>
            <w:r w:rsidRPr="00471CBA">
              <w:rPr>
                <w:sz w:val="18"/>
                <w:szCs w:val="18"/>
              </w:rPr>
              <w:t>-</w:t>
            </w:r>
          </w:p>
        </w:tc>
        <w:tc>
          <w:tcPr>
            <w:tcW w:w="1610" w:type="dxa"/>
            <w:tcBorders>
              <w:top w:val="nil"/>
              <w:left w:val="nil"/>
              <w:bottom w:val="nil"/>
              <w:right w:val="nil"/>
            </w:tcBorders>
            <w:vAlign w:val="bottom"/>
          </w:tcPr>
          <w:p w14:paraId="46965463" w14:textId="45BF411C" w:rsidR="007F0DB8" w:rsidRPr="00471CBA" w:rsidRDefault="007F0DB8" w:rsidP="007F0DB8">
            <w:pPr>
              <w:ind w:right="91" w:firstLineChars="100" w:firstLine="180"/>
              <w:jc w:val="right"/>
              <w:rPr>
                <w:color w:val="000000"/>
                <w:sz w:val="18"/>
                <w:szCs w:val="18"/>
              </w:rPr>
            </w:pPr>
            <w:r w:rsidRPr="00471CBA">
              <w:rPr>
                <w:sz w:val="18"/>
                <w:szCs w:val="18"/>
              </w:rPr>
              <w:t>-</w:t>
            </w:r>
          </w:p>
        </w:tc>
      </w:tr>
      <w:tr w:rsidR="007F0DB8" w:rsidRPr="00471CBA" w14:paraId="02048704" w14:textId="77777777" w:rsidTr="007F0DB8">
        <w:trPr>
          <w:cantSplit/>
          <w:trHeight w:val="170"/>
        </w:trPr>
        <w:tc>
          <w:tcPr>
            <w:tcW w:w="3574" w:type="dxa"/>
            <w:vAlign w:val="center"/>
          </w:tcPr>
          <w:p w14:paraId="25684A30" w14:textId="77777777" w:rsidR="007F0DB8" w:rsidRPr="00471CBA" w:rsidRDefault="007F0DB8" w:rsidP="007F0DB8">
            <w:pPr>
              <w:rPr>
                <w:rFonts w:eastAsia="Arial Unicode MS"/>
                <w:sz w:val="18"/>
                <w:szCs w:val="18"/>
              </w:rPr>
            </w:pPr>
            <w:r w:rsidRPr="00471CBA">
              <w:rPr>
                <w:sz w:val="18"/>
                <w:szCs w:val="18"/>
              </w:rPr>
              <w:t>Akreditifler</w:t>
            </w:r>
          </w:p>
        </w:tc>
        <w:tc>
          <w:tcPr>
            <w:tcW w:w="1226" w:type="dxa"/>
            <w:tcBorders>
              <w:top w:val="nil"/>
              <w:left w:val="nil"/>
              <w:bottom w:val="nil"/>
              <w:right w:val="nil"/>
            </w:tcBorders>
            <w:vAlign w:val="bottom"/>
          </w:tcPr>
          <w:p w14:paraId="2CF2EA5B" w14:textId="6DAF03F1" w:rsidR="007F0DB8" w:rsidRPr="00471CBA" w:rsidRDefault="007F0DB8" w:rsidP="007F0DB8">
            <w:pPr>
              <w:ind w:right="91" w:firstLineChars="100" w:firstLine="180"/>
              <w:jc w:val="right"/>
              <w:rPr>
                <w:color w:val="000000"/>
                <w:sz w:val="18"/>
                <w:szCs w:val="18"/>
              </w:rPr>
            </w:pPr>
            <w:r w:rsidRPr="00471CBA">
              <w:rPr>
                <w:sz w:val="18"/>
                <w:szCs w:val="18"/>
              </w:rPr>
              <w:t>-</w:t>
            </w:r>
          </w:p>
        </w:tc>
        <w:tc>
          <w:tcPr>
            <w:tcW w:w="1415" w:type="dxa"/>
            <w:tcBorders>
              <w:top w:val="nil"/>
              <w:left w:val="nil"/>
              <w:bottom w:val="nil"/>
              <w:right w:val="nil"/>
            </w:tcBorders>
            <w:vAlign w:val="bottom"/>
          </w:tcPr>
          <w:p w14:paraId="7E157381" w14:textId="5212F9EF" w:rsidR="007F0DB8" w:rsidRPr="00471CBA" w:rsidRDefault="007F0DB8" w:rsidP="007F0DB8">
            <w:pPr>
              <w:ind w:right="91" w:firstLineChars="100" w:firstLine="180"/>
              <w:jc w:val="right"/>
              <w:rPr>
                <w:color w:val="000000"/>
                <w:sz w:val="18"/>
                <w:szCs w:val="18"/>
              </w:rPr>
            </w:pPr>
            <w:r w:rsidRPr="00471CBA">
              <w:rPr>
                <w:sz w:val="18"/>
                <w:szCs w:val="18"/>
              </w:rPr>
              <w:t>-</w:t>
            </w:r>
          </w:p>
        </w:tc>
        <w:tc>
          <w:tcPr>
            <w:tcW w:w="1559" w:type="dxa"/>
            <w:tcBorders>
              <w:top w:val="nil"/>
              <w:left w:val="nil"/>
              <w:bottom w:val="nil"/>
              <w:right w:val="nil"/>
            </w:tcBorders>
            <w:vAlign w:val="bottom"/>
          </w:tcPr>
          <w:p w14:paraId="17FD22E3" w14:textId="6E071739" w:rsidR="007F0DB8" w:rsidRPr="00471CBA" w:rsidRDefault="007F0DB8" w:rsidP="007F0DB8">
            <w:pPr>
              <w:ind w:right="91" w:firstLineChars="100" w:firstLine="180"/>
              <w:jc w:val="right"/>
              <w:rPr>
                <w:color w:val="000000"/>
                <w:sz w:val="18"/>
                <w:szCs w:val="18"/>
              </w:rPr>
            </w:pPr>
            <w:r w:rsidRPr="00471CBA">
              <w:rPr>
                <w:sz w:val="18"/>
                <w:szCs w:val="18"/>
              </w:rPr>
              <w:t>-</w:t>
            </w:r>
          </w:p>
        </w:tc>
        <w:tc>
          <w:tcPr>
            <w:tcW w:w="1610" w:type="dxa"/>
            <w:tcBorders>
              <w:top w:val="nil"/>
              <w:left w:val="nil"/>
              <w:bottom w:val="nil"/>
              <w:right w:val="nil"/>
            </w:tcBorders>
            <w:vAlign w:val="bottom"/>
          </w:tcPr>
          <w:p w14:paraId="65301E3A" w14:textId="68FA5C35" w:rsidR="007F0DB8" w:rsidRPr="00471CBA" w:rsidRDefault="007F0DB8" w:rsidP="007F0DB8">
            <w:pPr>
              <w:ind w:right="91" w:firstLineChars="100" w:firstLine="180"/>
              <w:jc w:val="right"/>
              <w:rPr>
                <w:color w:val="000000"/>
                <w:sz w:val="18"/>
                <w:szCs w:val="18"/>
              </w:rPr>
            </w:pPr>
            <w:r w:rsidRPr="00471CBA">
              <w:rPr>
                <w:sz w:val="18"/>
                <w:szCs w:val="18"/>
              </w:rPr>
              <w:t>-</w:t>
            </w:r>
          </w:p>
        </w:tc>
      </w:tr>
      <w:tr w:rsidR="007F0DB8" w:rsidRPr="00471CBA" w14:paraId="3728E474" w14:textId="77777777" w:rsidTr="007F0DB8">
        <w:trPr>
          <w:cantSplit/>
          <w:trHeight w:val="170"/>
        </w:trPr>
        <w:tc>
          <w:tcPr>
            <w:tcW w:w="3574" w:type="dxa"/>
            <w:vAlign w:val="center"/>
          </w:tcPr>
          <w:p w14:paraId="02BC662B" w14:textId="77777777" w:rsidR="007F0DB8" w:rsidRPr="00471CBA" w:rsidRDefault="007F0DB8" w:rsidP="007F0DB8">
            <w:pPr>
              <w:rPr>
                <w:rFonts w:eastAsia="Arial Unicode MS"/>
                <w:sz w:val="18"/>
                <w:szCs w:val="18"/>
              </w:rPr>
            </w:pPr>
            <w:r w:rsidRPr="00471CBA">
              <w:rPr>
                <w:sz w:val="18"/>
                <w:szCs w:val="18"/>
              </w:rPr>
              <w:t>Cirolar</w:t>
            </w:r>
          </w:p>
        </w:tc>
        <w:tc>
          <w:tcPr>
            <w:tcW w:w="1226" w:type="dxa"/>
            <w:tcBorders>
              <w:top w:val="nil"/>
              <w:left w:val="nil"/>
              <w:bottom w:val="nil"/>
              <w:right w:val="nil"/>
            </w:tcBorders>
            <w:vAlign w:val="bottom"/>
          </w:tcPr>
          <w:p w14:paraId="10A83E91" w14:textId="6E91C1A3" w:rsidR="007F0DB8" w:rsidRPr="00471CBA" w:rsidRDefault="007F0DB8" w:rsidP="007F0DB8">
            <w:pPr>
              <w:ind w:right="91" w:firstLineChars="100" w:firstLine="180"/>
              <w:jc w:val="right"/>
              <w:rPr>
                <w:color w:val="000000"/>
                <w:sz w:val="18"/>
                <w:szCs w:val="18"/>
              </w:rPr>
            </w:pPr>
            <w:r w:rsidRPr="00471CBA">
              <w:rPr>
                <w:sz w:val="18"/>
                <w:szCs w:val="18"/>
              </w:rPr>
              <w:t>-</w:t>
            </w:r>
          </w:p>
        </w:tc>
        <w:tc>
          <w:tcPr>
            <w:tcW w:w="1415" w:type="dxa"/>
            <w:tcBorders>
              <w:top w:val="nil"/>
              <w:left w:val="nil"/>
              <w:bottom w:val="nil"/>
              <w:right w:val="nil"/>
            </w:tcBorders>
            <w:vAlign w:val="bottom"/>
          </w:tcPr>
          <w:p w14:paraId="2174FAF8" w14:textId="70162519" w:rsidR="007F0DB8" w:rsidRPr="00471CBA" w:rsidRDefault="007F0DB8" w:rsidP="007F0DB8">
            <w:pPr>
              <w:ind w:right="91" w:firstLineChars="100" w:firstLine="180"/>
              <w:jc w:val="right"/>
              <w:rPr>
                <w:color w:val="000000"/>
                <w:sz w:val="18"/>
                <w:szCs w:val="18"/>
              </w:rPr>
            </w:pPr>
            <w:r w:rsidRPr="00471CBA">
              <w:rPr>
                <w:sz w:val="18"/>
                <w:szCs w:val="18"/>
              </w:rPr>
              <w:t>-</w:t>
            </w:r>
          </w:p>
        </w:tc>
        <w:tc>
          <w:tcPr>
            <w:tcW w:w="1559" w:type="dxa"/>
            <w:tcBorders>
              <w:top w:val="nil"/>
              <w:left w:val="nil"/>
              <w:bottom w:val="nil"/>
              <w:right w:val="nil"/>
            </w:tcBorders>
            <w:vAlign w:val="bottom"/>
          </w:tcPr>
          <w:p w14:paraId="1FCCB416" w14:textId="5E66FE71" w:rsidR="007F0DB8" w:rsidRPr="00471CBA" w:rsidRDefault="007F0DB8" w:rsidP="007F0DB8">
            <w:pPr>
              <w:ind w:right="91" w:firstLineChars="100" w:firstLine="180"/>
              <w:jc w:val="right"/>
              <w:rPr>
                <w:color w:val="000000"/>
                <w:sz w:val="18"/>
                <w:szCs w:val="18"/>
              </w:rPr>
            </w:pPr>
            <w:r w:rsidRPr="00471CBA">
              <w:rPr>
                <w:sz w:val="18"/>
                <w:szCs w:val="18"/>
              </w:rPr>
              <w:t>-</w:t>
            </w:r>
          </w:p>
        </w:tc>
        <w:tc>
          <w:tcPr>
            <w:tcW w:w="1610" w:type="dxa"/>
            <w:tcBorders>
              <w:top w:val="nil"/>
              <w:left w:val="nil"/>
              <w:bottom w:val="nil"/>
              <w:right w:val="nil"/>
            </w:tcBorders>
            <w:vAlign w:val="bottom"/>
          </w:tcPr>
          <w:p w14:paraId="0B2575E7" w14:textId="0AFA33AB" w:rsidR="007F0DB8" w:rsidRPr="00471CBA" w:rsidRDefault="007F0DB8" w:rsidP="007F0DB8">
            <w:pPr>
              <w:ind w:right="91" w:firstLineChars="100" w:firstLine="180"/>
              <w:jc w:val="right"/>
              <w:rPr>
                <w:color w:val="000000"/>
                <w:sz w:val="18"/>
                <w:szCs w:val="18"/>
              </w:rPr>
            </w:pPr>
            <w:r w:rsidRPr="00471CBA">
              <w:rPr>
                <w:sz w:val="18"/>
                <w:szCs w:val="18"/>
              </w:rPr>
              <w:t>-</w:t>
            </w:r>
          </w:p>
        </w:tc>
      </w:tr>
      <w:tr w:rsidR="007F0DB8" w:rsidRPr="00471CBA" w14:paraId="62C38955" w14:textId="77777777" w:rsidTr="007F0DB8">
        <w:trPr>
          <w:cantSplit/>
          <w:trHeight w:val="170"/>
        </w:trPr>
        <w:tc>
          <w:tcPr>
            <w:tcW w:w="3574" w:type="dxa"/>
            <w:vAlign w:val="center"/>
          </w:tcPr>
          <w:p w14:paraId="36D0FF32" w14:textId="77777777" w:rsidR="007F0DB8" w:rsidRPr="00471CBA" w:rsidRDefault="007F0DB8" w:rsidP="007F0DB8">
            <w:pPr>
              <w:rPr>
                <w:rFonts w:eastAsia="Arial Unicode MS"/>
                <w:bCs/>
                <w:sz w:val="18"/>
                <w:szCs w:val="18"/>
              </w:rPr>
            </w:pPr>
            <w:r w:rsidRPr="00471CBA">
              <w:rPr>
                <w:bCs/>
                <w:sz w:val="18"/>
                <w:szCs w:val="18"/>
              </w:rPr>
              <w:t xml:space="preserve">Menkul kıymet ihracında satın alma garantileri </w:t>
            </w:r>
          </w:p>
        </w:tc>
        <w:tc>
          <w:tcPr>
            <w:tcW w:w="1226" w:type="dxa"/>
            <w:tcBorders>
              <w:top w:val="nil"/>
              <w:left w:val="nil"/>
              <w:bottom w:val="nil"/>
              <w:right w:val="nil"/>
            </w:tcBorders>
            <w:vAlign w:val="bottom"/>
          </w:tcPr>
          <w:p w14:paraId="0ADAFED4" w14:textId="0B38D43B" w:rsidR="007F0DB8" w:rsidRPr="00471CBA" w:rsidRDefault="007F0DB8" w:rsidP="007F0DB8">
            <w:pPr>
              <w:ind w:right="91" w:firstLineChars="100" w:firstLine="180"/>
              <w:jc w:val="right"/>
              <w:rPr>
                <w:color w:val="000000"/>
                <w:sz w:val="18"/>
                <w:szCs w:val="18"/>
              </w:rPr>
            </w:pPr>
            <w:r w:rsidRPr="00471CBA">
              <w:rPr>
                <w:sz w:val="18"/>
                <w:szCs w:val="18"/>
              </w:rPr>
              <w:t>-</w:t>
            </w:r>
          </w:p>
        </w:tc>
        <w:tc>
          <w:tcPr>
            <w:tcW w:w="1415" w:type="dxa"/>
            <w:tcBorders>
              <w:top w:val="nil"/>
              <w:left w:val="nil"/>
              <w:bottom w:val="nil"/>
              <w:right w:val="nil"/>
            </w:tcBorders>
            <w:vAlign w:val="bottom"/>
          </w:tcPr>
          <w:p w14:paraId="0E6EC071" w14:textId="1744D3ED" w:rsidR="007F0DB8" w:rsidRPr="00471CBA" w:rsidRDefault="007F0DB8" w:rsidP="007F0DB8">
            <w:pPr>
              <w:ind w:right="91" w:firstLineChars="100" w:firstLine="180"/>
              <w:jc w:val="right"/>
              <w:rPr>
                <w:color w:val="000000"/>
                <w:sz w:val="18"/>
                <w:szCs w:val="18"/>
              </w:rPr>
            </w:pPr>
            <w:r w:rsidRPr="00471CBA">
              <w:rPr>
                <w:sz w:val="18"/>
                <w:szCs w:val="18"/>
              </w:rPr>
              <w:t>-</w:t>
            </w:r>
          </w:p>
        </w:tc>
        <w:tc>
          <w:tcPr>
            <w:tcW w:w="1559" w:type="dxa"/>
            <w:tcBorders>
              <w:top w:val="nil"/>
              <w:left w:val="nil"/>
              <w:bottom w:val="nil"/>
              <w:right w:val="nil"/>
            </w:tcBorders>
            <w:vAlign w:val="bottom"/>
          </w:tcPr>
          <w:p w14:paraId="49D97615" w14:textId="29E8ADCD" w:rsidR="007F0DB8" w:rsidRPr="00471CBA" w:rsidRDefault="007F0DB8" w:rsidP="007F0DB8">
            <w:pPr>
              <w:ind w:right="91" w:firstLineChars="100" w:firstLine="180"/>
              <w:jc w:val="right"/>
              <w:rPr>
                <w:color w:val="000000"/>
                <w:sz w:val="18"/>
                <w:szCs w:val="18"/>
              </w:rPr>
            </w:pPr>
            <w:r w:rsidRPr="00471CBA">
              <w:rPr>
                <w:sz w:val="18"/>
                <w:szCs w:val="18"/>
              </w:rPr>
              <w:t>-</w:t>
            </w:r>
          </w:p>
        </w:tc>
        <w:tc>
          <w:tcPr>
            <w:tcW w:w="1610" w:type="dxa"/>
            <w:tcBorders>
              <w:top w:val="nil"/>
              <w:left w:val="nil"/>
              <w:bottom w:val="nil"/>
              <w:right w:val="nil"/>
            </w:tcBorders>
            <w:vAlign w:val="bottom"/>
          </w:tcPr>
          <w:p w14:paraId="3693E4F6" w14:textId="345AC9BA" w:rsidR="007F0DB8" w:rsidRPr="00471CBA" w:rsidRDefault="007F0DB8" w:rsidP="007F0DB8">
            <w:pPr>
              <w:ind w:right="91" w:firstLineChars="100" w:firstLine="180"/>
              <w:jc w:val="right"/>
              <w:rPr>
                <w:color w:val="000000"/>
                <w:sz w:val="18"/>
                <w:szCs w:val="18"/>
              </w:rPr>
            </w:pPr>
            <w:r w:rsidRPr="00471CBA">
              <w:rPr>
                <w:sz w:val="18"/>
                <w:szCs w:val="18"/>
              </w:rPr>
              <w:t>-</w:t>
            </w:r>
          </w:p>
        </w:tc>
      </w:tr>
      <w:tr w:rsidR="007F0DB8" w:rsidRPr="00471CBA" w14:paraId="79FCC8DC" w14:textId="77777777" w:rsidTr="007F0DB8">
        <w:trPr>
          <w:cantSplit/>
          <w:trHeight w:val="80"/>
        </w:trPr>
        <w:tc>
          <w:tcPr>
            <w:tcW w:w="3574" w:type="dxa"/>
            <w:vAlign w:val="center"/>
          </w:tcPr>
          <w:p w14:paraId="0278652A" w14:textId="77777777" w:rsidR="007F0DB8" w:rsidRPr="00471CBA" w:rsidRDefault="007F0DB8" w:rsidP="007F0DB8">
            <w:pPr>
              <w:rPr>
                <w:sz w:val="18"/>
                <w:szCs w:val="18"/>
              </w:rPr>
            </w:pPr>
            <w:proofErr w:type="spellStart"/>
            <w:r w:rsidRPr="00471CBA">
              <w:rPr>
                <w:bCs/>
                <w:sz w:val="18"/>
                <w:szCs w:val="18"/>
              </w:rPr>
              <w:t>Faktoring</w:t>
            </w:r>
            <w:proofErr w:type="spellEnd"/>
            <w:r w:rsidRPr="00471CBA">
              <w:rPr>
                <w:bCs/>
                <w:sz w:val="18"/>
                <w:szCs w:val="18"/>
              </w:rPr>
              <w:t xml:space="preserve"> garantileri</w:t>
            </w:r>
          </w:p>
        </w:tc>
        <w:tc>
          <w:tcPr>
            <w:tcW w:w="1226" w:type="dxa"/>
            <w:tcBorders>
              <w:top w:val="nil"/>
              <w:left w:val="nil"/>
              <w:bottom w:val="nil"/>
              <w:right w:val="nil"/>
            </w:tcBorders>
            <w:vAlign w:val="bottom"/>
          </w:tcPr>
          <w:p w14:paraId="5FCDA338" w14:textId="1B138A73" w:rsidR="007F0DB8" w:rsidRPr="00471CBA" w:rsidRDefault="007F0DB8" w:rsidP="007F0DB8">
            <w:pPr>
              <w:ind w:right="91" w:firstLineChars="100" w:firstLine="180"/>
              <w:jc w:val="right"/>
              <w:rPr>
                <w:color w:val="000000"/>
                <w:sz w:val="18"/>
                <w:szCs w:val="18"/>
              </w:rPr>
            </w:pPr>
            <w:r w:rsidRPr="00471CBA">
              <w:rPr>
                <w:sz w:val="18"/>
                <w:szCs w:val="18"/>
              </w:rPr>
              <w:t>-</w:t>
            </w:r>
          </w:p>
        </w:tc>
        <w:tc>
          <w:tcPr>
            <w:tcW w:w="1415" w:type="dxa"/>
            <w:tcBorders>
              <w:top w:val="nil"/>
              <w:left w:val="nil"/>
              <w:bottom w:val="nil"/>
              <w:right w:val="nil"/>
            </w:tcBorders>
            <w:vAlign w:val="bottom"/>
          </w:tcPr>
          <w:p w14:paraId="6EFB8691" w14:textId="1030282C" w:rsidR="007F0DB8" w:rsidRPr="00471CBA" w:rsidRDefault="007F0DB8" w:rsidP="007F0DB8">
            <w:pPr>
              <w:ind w:right="91" w:firstLineChars="100" w:firstLine="180"/>
              <w:jc w:val="right"/>
              <w:rPr>
                <w:color w:val="000000"/>
                <w:sz w:val="18"/>
                <w:szCs w:val="18"/>
              </w:rPr>
            </w:pPr>
            <w:r w:rsidRPr="00471CBA">
              <w:rPr>
                <w:sz w:val="18"/>
                <w:szCs w:val="18"/>
              </w:rPr>
              <w:t>-</w:t>
            </w:r>
          </w:p>
        </w:tc>
        <w:tc>
          <w:tcPr>
            <w:tcW w:w="1559" w:type="dxa"/>
            <w:tcBorders>
              <w:top w:val="nil"/>
              <w:left w:val="nil"/>
              <w:bottom w:val="nil"/>
              <w:right w:val="nil"/>
            </w:tcBorders>
            <w:vAlign w:val="bottom"/>
          </w:tcPr>
          <w:p w14:paraId="426656BF" w14:textId="67DC9B95" w:rsidR="007F0DB8" w:rsidRPr="00471CBA" w:rsidRDefault="007F0DB8" w:rsidP="007F0DB8">
            <w:pPr>
              <w:ind w:right="91" w:firstLineChars="100" w:firstLine="180"/>
              <w:jc w:val="right"/>
              <w:rPr>
                <w:color w:val="000000"/>
                <w:sz w:val="18"/>
                <w:szCs w:val="18"/>
              </w:rPr>
            </w:pPr>
            <w:r w:rsidRPr="00471CBA">
              <w:rPr>
                <w:sz w:val="18"/>
                <w:szCs w:val="18"/>
              </w:rPr>
              <w:t>-</w:t>
            </w:r>
          </w:p>
        </w:tc>
        <w:tc>
          <w:tcPr>
            <w:tcW w:w="1610" w:type="dxa"/>
            <w:tcBorders>
              <w:top w:val="nil"/>
              <w:left w:val="nil"/>
              <w:bottom w:val="nil"/>
              <w:right w:val="nil"/>
            </w:tcBorders>
            <w:vAlign w:val="bottom"/>
          </w:tcPr>
          <w:p w14:paraId="6B1AB0C8" w14:textId="42F7FD7A" w:rsidR="007F0DB8" w:rsidRPr="00471CBA" w:rsidRDefault="007F0DB8" w:rsidP="007F0DB8">
            <w:pPr>
              <w:ind w:right="91" w:firstLineChars="100" w:firstLine="180"/>
              <w:jc w:val="right"/>
              <w:rPr>
                <w:color w:val="000000"/>
                <w:sz w:val="18"/>
                <w:szCs w:val="18"/>
              </w:rPr>
            </w:pPr>
            <w:r w:rsidRPr="00471CBA">
              <w:rPr>
                <w:sz w:val="18"/>
                <w:szCs w:val="18"/>
              </w:rPr>
              <w:t>-</w:t>
            </w:r>
          </w:p>
        </w:tc>
      </w:tr>
      <w:tr w:rsidR="007F0DB8" w:rsidRPr="00471CBA" w14:paraId="099B953F" w14:textId="77777777" w:rsidTr="007F0DB8">
        <w:trPr>
          <w:cantSplit/>
          <w:trHeight w:val="80"/>
        </w:trPr>
        <w:tc>
          <w:tcPr>
            <w:tcW w:w="3574" w:type="dxa"/>
            <w:vAlign w:val="center"/>
          </w:tcPr>
          <w:p w14:paraId="71B2A8D0" w14:textId="77777777" w:rsidR="007F0DB8" w:rsidRPr="00471CBA" w:rsidRDefault="007F0DB8" w:rsidP="007F0DB8">
            <w:pPr>
              <w:rPr>
                <w:rFonts w:eastAsia="Arial Unicode MS"/>
                <w:sz w:val="18"/>
                <w:szCs w:val="18"/>
              </w:rPr>
            </w:pPr>
            <w:r w:rsidRPr="00471CBA">
              <w:rPr>
                <w:sz w:val="18"/>
                <w:szCs w:val="18"/>
              </w:rPr>
              <w:t>Diğer garanti ve kefaletler</w:t>
            </w:r>
          </w:p>
        </w:tc>
        <w:tc>
          <w:tcPr>
            <w:tcW w:w="1226" w:type="dxa"/>
            <w:tcBorders>
              <w:top w:val="nil"/>
              <w:left w:val="nil"/>
              <w:bottom w:val="nil"/>
              <w:right w:val="nil"/>
            </w:tcBorders>
            <w:vAlign w:val="bottom"/>
          </w:tcPr>
          <w:p w14:paraId="6E032E5E" w14:textId="0120DEC1" w:rsidR="007F0DB8" w:rsidRPr="00471CBA" w:rsidRDefault="007F0DB8" w:rsidP="007F0DB8">
            <w:pPr>
              <w:ind w:right="91" w:firstLineChars="100" w:firstLine="180"/>
              <w:jc w:val="right"/>
              <w:rPr>
                <w:color w:val="000000"/>
                <w:sz w:val="18"/>
                <w:szCs w:val="18"/>
              </w:rPr>
            </w:pPr>
            <w:r w:rsidRPr="00471CBA">
              <w:rPr>
                <w:sz w:val="18"/>
                <w:szCs w:val="18"/>
              </w:rPr>
              <w:t>-</w:t>
            </w:r>
          </w:p>
        </w:tc>
        <w:tc>
          <w:tcPr>
            <w:tcW w:w="1415" w:type="dxa"/>
            <w:tcBorders>
              <w:top w:val="nil"/>
              <w:left w:val="nil"/>
              <w:bottom w:val="nil"/>
              <w:right w:val="nil"/>
            </w:tcBorders>
            <w:vAlign w:val="bottom"/>
          </w:tcPr>
          <w:p w14:paraId="0B16C144" w14:textId="6D5A3D01" w:rsidR="007F0DB8" w:rsidRPr="00471CBA" w:rsidRDefault="007F0DB8" w:rsidP="007F0DB8">
            <w:pPr>
              <w:ind w:right="91" w:firstLineChars="100" w:firstLine="180"/>
              <w:jc w:val="right"/>
              <w:rPr>
                <w:color w:val="000000"/>
                <w:sz w:val="18"/>
                <w:szCs w:val="18"/>
              </w:rPr>
            </w:pPr>
            <w:r w:rsidRPr="00471CBA">
              <w:rPr>
                <w:sz w:val="18"/>
                <w:szCs w:val="18"/>
              </w:rPr>
              <w:t>-</w:t>
            </w:r>
          </w:p>
        </w:tc>
        <w:tc>
          <w:tcPr>
            <w:tcW w:w="1559" w:type="dxa"/>
            <w:tcBorders>
              <w:top w:val="nil"/>
              <w:left w:val="nil"/>
              <w:bottom w:val="nil"/>
              <w:right w:val="nil"/>
            </w:tcBorders>
            <w:vAlign w:val="bottom"/>
          </w:tcPr>
          <w:p w14:paraId="0300FD96" w14:textId="5D45A3E4" w:rsidR="007F0DB8" w:rsidRPr="00471CBA" w:rsidRDefault="007F0DB8" w:rsidP="007F0DB8">
            <w:pPr>
              <w:ind w:right="91" w:firstLineChars="100" w:firstLine="180"/>
              <w:jc w:val="right"/>
              <w:rPr>
                <w:color w:val="000000"/>
                <w:sz w:val="18"/>
                <w:szCs w:val="18"/>
              </w:rPr>
            </w:pPr>
            <w:r w:rsidRPr="00471CBA">
              <w:rPr>
                <w:sz w:val="18"/>
                <w:szCs w:val="18"/>
              </w:rPr>
              <w:t>-</w:t>
            </w:r>
          </w:p>
        </w:tc>
        <w:tc>
          <w:tcPr>
            <w:tcW w:w="1610" w:type="dxa"/>
            <w:tcBorders>
              <w:top w:val="nil"/>
              <w:left w:val="nil"/>
              <w:bottom w:val="nil"/>
              <w:right w:val="nil"/>
            </w:tcBorders>
            <w:vAlign w:val="bottom"/>
          </w:tcPr>
          <w:p w14:paraId="580D1997" w14:textId="3A802225" w:rsidR="007F0DB8" w:rsidRPr="00471CBA" w:rsidRDefault="007F0DB8" w:rsidP="007F0DB8">
            <w:pPr>
              <w:ind w:right="91" w:firstLineChars="100" w:firstLine="180"/>
              <w:jc w:val="right"/>
              <w:rPr>
                <w:color w:val="000000"/>
                <w:sz w:val="18"/>
                <w:szCs w:val="18"/>
              </w:rPr>
            </w:pPr>
            <w:r w:rsidRPr="00471CBA">
              <w:rPr>
                <w:sz w:val="18"/>
                <w:szCs w:val="18"/>
              </w:rPr>
              <w:t>-</w:t>
            </w:r>
          </w:p>
        </w:tc>
      </w:tr>
      <w:tr w:rsidR="002432BC" w:rsidRPr="00471CBA" w14:paraId="66E07869" w14:textId="77777777" w:rsidTr="00B0049C">
        <w:trPr>
          <w:cantSplit/>
          <w:trHeight w:val="80"/>
        </w:trPr>
        <w:tc>
          <w:tcPr>
            <w:tcW w:w="3574" w:type="dxa"/>
            <w:tcBorders>
              <w:bottom w:val="single" w:sz="4" w:space="0" w:color="auto"/>
            </w:tcBorders>
            <w:vAlign w:val="center"/>
          </w:tcPr>
          <w:p w14:paraId="30B93EC5" w14:textId="77777777" w:rsidR="002432BC" w:rsidRPr="00471CBA" w:rsidRDefault="002432BC" w:rsidP="00B0049C">
            <w:pPr>
              <w:rPr>
                <w:sz w:val="18"/>
                <w:szCs w:val="18"/>
              </w:rPr>
            </w:pPr>
          </w:p>
        </w:tc>
        <w:tc>
          <w:tcPr>
            <w:tcW w:w="1226" w:type="dxa"/>
            <w:tcBorders>
              <w:bottom w:val="single" w:sz="4" w:space="0" w:color="auto"/>
            </w:tcBorders>
            <w:vAlign w:val="bottom"/>
          </w:tcPr>
          <w:p w14:paraId="4DA9DDD6" w14:textId="77777777" w:rsidR="002432BC" w:rsidRPr="00471CBA" w:rsidRDefault="002432BC" w:rsidP="00B0049C">
            <w:pPr>
              <w:ind w:right="91" w:firstLineChars="100" w:firstLine="180"/>
              <w:jc w:val="right"/>
              <w:rPr>
                <w:color w:val="000000"/>
                <w:sz w:val="18"/>
                <w:szCs w:val="18"/>
              </w:rPr>
            </w:pPr>
          </w:p>
        </w:tc>
        <w:tc>
          <w:tcPr>
            <w:tcW w:w="1415" w:type="dxa"/>
            <w:tcBorders>
              <w:bottom w:val="single" w:sz="4" w:space="0" w:color="auto"/>
            </w:tcBorders>
            <w:vAlign w:val="bottom"/>
          </w:tcPr>
          <w:p w14:paraId="08B04585" w14:textId="77777777" w:rsidR="002432BC" w:rsidRPr="00471CBA" w:rsidRDefault="002432BC" w:rsidP="00B0049C">
            <w:pPr>
              <w:ind w:right="91" w:firstLineChars="100" w:firstLine="180"/>
              <w:jc w:val="right"/>
              <w:rPr>
                <w:color w:val="000000"/>
                <w:sz w:val="18"/>
                <w:szCs w:val="18"/>
              </w:rPr>
            </w:pPr>
          </w:p>
        </w:tc>
        <w:tc>
          <w:tcPr>
            <w:tcW w:w="1559" w:type="dxa"/>
            <w:tcBorders>
              <w:bottom w:val="single" w:sz="4" w:space="0" w:color="auto"/>
            </w:tcBorders>
            <w:vAlign w:val="bottom"/>
          </w:tcPr>
          <w:p w14:paraId="6D67AC92" w14:textId="77777777" w:rsidR="002432BC" w:rsidRPr="00471CBA" w:rsidRDefault="002432BC" w:rsidP="00B0049C">
            <w:pPr>
              <w:ind w:right="91" w:firstLineChars="100" w:firstLine="180"/>
              <w:jc w:val="right"/>
              <w:rPr>
                <w:color w:val="000000"/>
                <w:sz w:val="18"/>
                <w:szCs w:val="18"/>
              </w:rPr>
            </w:pPr>
          </w:p>
        </w:tc>
        <w:tc>
          <w:tcPr>
            <w:tcW w:w="1610" w:type="dxa"/>
            <w:tcBorders>
              <w:bottom w:val="single" w:sz="4" w:space="0" w:color="auto"/>
            </w:tcBorders>
            <w:vAlign w:val="bottom"/>
          </w:tcPr>
          <w:p w14:paraId="3D545227" w14:textId="77777777" w:rsidR="002432BC" w:rsidRPr="00471CBA" w:rsidRDefault="002432BC" w:rsidP="00B0049C">
            <w:pPr>
              <w:ind w:right="91" w:firstLineChars="100" w:firstLine="180"/>
              <w:jc w:val="right"/>
              <w:rPr>
                <w:color w:val="000000"/>
                <w:sz w:val="18"/>
                <w:szCs w:val="18"/>
              </w:rPr>
            </w:pPr>
          </w:p>
        </w:tc>
      </w:tr>
    </w:tbl>
    <w:p w14:paraId="4C78309B" w14:textId="77777777" w:rsidR="002432BC" w:rsidRPr="006025D3" w:rsidRDefault="002432BC" w:rsidP="002432BC">
      <w:pPr>
        <w:widowControl w:val="0"/>
        <w:spacing w:line="228" w:lineRule="auto"/>
        <w:jc w:val="both"/>
        <w:rPr>
          <w:b/>
          <w:sz w:val="16"/>
          <w:szCs w:val="16"/>
        </w:rPr>
      </w:pPr>
    </w:p>
    <w:p w14:paraId="50AE8B43" w14:textId="77777777" w:rsidR="002432BC" w:rsidRPr="00471CBA" w:rsidRDefault="002432BC" w:rsidP="008459A9">
      <w:pPr>
        <w:pStyle w:val="ListeParagraf"/>
        <w:widowControl w:val="0"/>
        <w:numPr>
          <w:ilvl w:val="0"/>
          <w:numId w:val="50"/>
        </w:numPr>
        <w:spacing w:after="120" w:line="216" w:lineRule="auto"/>
        <w:ind w:left="851" w:hanging="851"/>
        <w:jc w:val="both"/>
        <w:rPr>
          <w:b/>
          <w:szCs w:val="20"/>
        </w:rPr>
      </w:pPr>
      <w:r w:rsidRPr="00471CBA">
        <w:rPr>
          <w:b/>
          <w:szCs w:val="20"/>
        </w:rPr>
        <w:t>Türev işlemlere ilişkin açıklamalar:</w:t>
      </w:r>
    </w:p>
    <w:tbl>
      <w:tblPr>
        <w:tblW w:w="9513" w:type="dxa"/>
        <w:tblInd w:w="70" w:type="dxa"/>
        <w:tblCellMar>
          <w:left w:w="70" w:type="dxa"/>
          <w:right w:w="70" w:type="dxa"/>
        </w:tblCellMar>
        <w:tblLook w:val="04A0" w:firstRow="1" w:lastRow="0" w:firstColumn="1" w:lastColumn="0" w:noHBand="0" w:noVBand="1"/>
      </w:tblPr>
      <w:tblGrid>
        <w:gridCol w:w="5033"/>
        <w:gridCol w:w="2240"/>
        <w:gridCol w:w="2240"/>
      </w:tblGrid>
      <w:tr w:rsidR="002432BC" w:rsidRPr="00471CBA" w14:paraId="1B39866A" w14:textId="77777777" w:rsidTr="00B0049C">
        <w:trPr>
          <w:trHeight w:val="20"/>
        </w:trPr>
        <w:tc>
          <w:tcPr>
            <w:tcW w:w="5033" w:type="dxa"/>
            <w:tcBorders>
              <w:top w:val="single" w:sz="4" w:space="0" w:color="auto"/>
              <w:left w:val="nil"/>
              <w:bottom w:val="single" w:sz="4" w:space="0" w:color="auto"/>
              <w:right w:val="nil"/>
            </w:tcBorders>
            <w:noWrap/>
            <w:vAlign w:val="bottom"/>
            <w:hideMark/>
          </w:tcPr>
          <w:p w14:paraId="53215B63" w14:textId="77777777" w:rsidR="002432BC" w:rsidRPr="00471CBA" w:rsidRDefault="002432BC" w:rsidP="00B0049C">
            <w:pPr>
              <w:rPr>
                <w:sz w:val="18"/>
                <w:szCs w:val="18"/>
              </w:rPr>
            </w:pPr>
            <w:r w:rsidRPr="00471CBA">
              <w:rPr>
                <w:sz w:val="18"/>
                <w:szCs w:val="18"/>
              </w:rPr>
              <w:t> </w:t>
            </w:r>
          </w:p>
        </w:tc>
        <w:tc>
          <w:tcPr>
            <w:tcW w:w="2240" w:type="dxa"/>
            <w:tcBorders>
              <w:top w:val="single" w:sz="4" w:space="0" w:color="auto"/>
              <w:left w:val="nil"/>
              <w:bottom w:val="single" w:sz="4" w:space="0" w:color="auto"/>
              <w:right w:val="nil"/>
            </w:tcBorders>
            <w:vAlign w:val="bottom"/>
          </w:tcPr>
          <w:p w14:paraId="41BBBAD5" w14:textId="77777777" w:rsidR="002432BC" w:rsidRPr="00471CBA" w:rsidRDefault="002432BC" w:rsidP="00B0049C">
            <w:pPr>
              <w:jc w:val="right"/>
              <w:rPr>
                <w:b/>
                <w:bCs/>
                <w:sz w:val="18"/>
                <w:szCs w:val="18"/>
              </w:rPr>
            </w:pPr>
            <w:r w:rsidRPr="00471CBA">
              <w:rPr>
                <w:b/>
                <w:bCs/>
                <w:sz w:val="18"/>
                <w:szCs w:val="18"/>
              </w:rPr>
              <w:t>Amaçlarına göre türev işlemler</w:t>
            </w:r>
          </w:p>
        </w:tc>
        <w:tc>
          <w:tcPr>
            <w:tcW w:w="2240" w:type="dxa"/>
            <w:tcBorders>
              <w:top w:val="single" w:sz="4" w:space="0" w:color="auto"/>
              <w:left w:val="nil"/>
              <w:bottom w:val="single" w:sz="4" w:space="0" w:color="auto"/>
              <w:right w:val="nil"/>
            </w:tcBorders>
            <w:noWrap/>
            <w:vAlign w:val="bottom"/>
            <w:hideMark/>
          </w:tcPr>
          <w:p w14:paraId="59FB5D5C" w14:textId="77777777" w:rsidR="002432BC" w:rsidRPr="00471CBA" w:rsidRDefault="002432BC" w:rsidP="00B0049C">
            <w:pPr>
              <w:jc w:val="right"/>
              <w:rPr>
                <w:b/>
                <w:bCs/>
                <w:sz w:val="18"/>
                <w:szCs w:val="18"/>
              </w:rPr>
            </w:pPr>
            <w:r w:rsidRPr="00471CBA">
              <w:rPr>
                <w:b/>
                <w:bCs/>
                <w:sz w:val="18"/>
                <w:szCs w:val="18"/>
              </w:rPr>
              <w:t>Amaçlarına göre türev işlemler</w:t>
            </w:r>
          </w:p>
        </w:tc>
      </w:tr>
      <w:tr w:rsidR="002432BC" w:rsidRPr="00471CBA" w14:paraId="6FEA422D" w14:textId="77777777" w:rsidTr="00B0049C">
        <w:trPr>
          <w:trHeight w:val="20"/>
        </w:trPr>
        <w:tc>
          <w:tcPr>
            <w:tcW w:w="5033" w:type="dxa"/>
            <w:tcBorders>
              <w:top w:val="nil"/>
              <w:left w:val="nil"/>
              <w:bottom w:val="single" w:sz="4" w:space="0" w:color="auto"/>
              <w:right w:val="nil"/>
            </w:tcBorders>
            <w:noWrap/>
            <w:vAlign w:val="bottom"/>
            <w:hideMark/>
          </w:tcPr>
          <w:p w14:paraId="08E64AE1" w14:textId="77777777" w:rsidR="002432BC" w:rsidRPr="00471CBA" w:rsidRDefault="002432BC" w:rsidP="00B0049C">
            <w:pPr>
              <w:rPr>
                <w:b/>
                <w:bCs/>
                <w:sz w:val="18"/>
                <w:szCs w:val="18"/>
              </w:rPr>
            </w:pPr>
            <w:r w:rsidRPr="00471CBA">
              <w:rPr>
                <w:b/>
                <w:bCs/>
                <w:sz w:val="18"/>
                <w:szCs w:val="18"/>
              </w:rPr>
              <w:t> </w:t>
            </w:r>
          </w:p>
        </w:tc>
        <w:tc>
          <w:tcPr>
            <w:tcW w:w="2240" w:type="dxa"/>
            <w:tcBorders>
              <w:top w:val="nil"/>
              <w:left w:val="nil"/>
              <w:bottom w:val="single" w:sz="4" w:space="0" w:color="auto"/>
              <w:right w:val="nil"/>
            </w:tcBorders>
          </w:tcPr>
          <w:p w14:paraId="05D36053" w14:textId="5EC06964" w:rsidR="002432BC" w:rsidRPr="00471CBA" w:rsidRDefault="002432BC" w:rsidP="00B0049C">
            <w:pPr>
              <w:ind w:right="56" w:firstLine="661"/>
              <w:jc w:val="right"/>
              <w:rPr>
                <w:b/>
                <w:bCs/>
                <w:sz w:val="18"/>
                <w:szCs w:val="18"/>
              </w:rPr>
            </w:pPr>
            <w:r w:rsidRPr="00471CBA">
              <w:rPr>
                <w:b/>
                <w:bCs/>
                <w:sz w:val="18"/>
                <w:szCs w:val="18"/>
              </w:rPr>
              <w:t>31 Aralık 202</w:t>
            </w:r>
            <w:r w:rsidR="0052668F" w:rsidRPr="00471CBA">
              <w:rPr>
                <w:b/>
                <w:bCs/>
                <w:sz w:val="18"/>
                <w:szCs w:val="18"/>
              </w:rPr>
              <w:t>5</w:t>
            </w:r>
          </w:p>
        </w:tc>
        <w:tc>
          <w:tcPr>
            <w:tcW w:w="2240" w:type="dxa"/>
            <w:tcBorders>
              <w:top w:val="nil"/>
              <w:left w:val="nil"/>
              <w:bottom w:val="single" w:sz="4" w:space="0" w:color="auto"/>
              <w:right w:val="nil"/>
            </w:tcBorders>
            <w:noWrap/>
            <w:hideMark/>
          </w:tcPr>
          <w:p w14:paraId="192307AD" w14:textId="60BEDBA5" w:rsidR="002432BC" w:rsidRPr="00471CBA" w:rsidRDefault="0052668F" w:rsidP="00B0049C">
            <w:pPr>
              <w:ind w:right="56" w:firstLine="661"/>
              <w:jc w:val="right"/>
              <w:rPr>
                <w:b/>
                <w:bCs/>
                <w:sz w:val="18"/>
                <w:szCs w:val="18"/>
              </w:rPr>
            </w:pPr>
            <w:r w:rsidRPr="00471CBA">
              <w:rPr>
                <w:b/>
                <w:bCs/>
                <w:sz w:val="18"/>
                <w:szCs w:val="18"/>
              </w:rPr>
              <w:t>31 Aralık 2024</w:t>
            </w:r>
          </w:p>
        </w:tc>
      </w:tr>
      <w:tr w:rsidR="002432BC" w:rsidRPr="00471CBA" w14:paraId="65B713E4" w14:textId="77777777" w:rsidTr="00B0049C">
        <w:trPr>
          <w:trHeight w:val="20"/>
        </w:trPr>
        <w:tc>
          <w:tcPr>
            <w:tcW w:w="5033" w:type="dxa"/>
            <w:tcBorders>
              <w:top w:val="nil"/>
              <w:left w:val="nil"/>
              <w:bottom w:val="nil"/>
              <w:right w:val="nil"/>
            </w:tcBorders>
            <w:noWrap/>
            <w:vAlign w:val="bottom"/>
            <w:hideMark/>
          </w:tcPr>
          <w:p w14:paraId="08F99962" w14:textId="77777777" w:rsidR="002432BC" w:rsidRPr="00471CBA" w:rsidRDefault="002432BC" w:rsidP="00B0049C">
            <w:pPr>
              <w:rPr>
                <w:b/>
                <w:bCs/>
                <w:sz w:val="18"/>
                <w:szCs w:val="18"/>
              </w:rPr>
            </w:pPr>
            <w:r w:rsidRPr="00471CBA">
              <w:rPr>
                <w:b/>
                <w:bCs/>
                <w:sz w:val="18"/>
                <w:szCs w:val="18"/>
              </w:rPr>
              <w:t xml:space="preserve">Alım satım amaçlı işlemlerin türleri </w:t>
            </w:r>
          </w:p>
        </w:tc>
        <w:tc>
          <w:tcPr>
            <w:tcW w:w="2240" w:type="dxa"/>
            <w:tcBorders>
              <w:top w:val="nil"/>
              <w:left w:val="nil"/>
              <w:bottom w:val="nil"/>
              <w:right w:val="nil"/>
            </w:tcBorders>
            <w:vAlign w:val="bottom"/>
          </w:tcPr>
          <w:p w14:paraId="6A7E00C4" w14:textId="77777777" w:rsidR="002432BC" w:rsidRPr="00471CBA" w:rsidRDefault="002432BC" w:rsidP="00B0049C">
            <w:pPr>
              <w:ind w:right="56"/>
              <w:jc w:val="right"/>
              <w:rPr>
                <w:b/>
                <w:bCs/>
                <w:sz w:val="18"/>
                <w:szCs w:val="18"/>
              </w:rPr>
            </w:pPr>
          </w:p>
        </w:tc>
        <w:tc>
          <w:tcPr>
            <w:tcW w:w="2240" w:type="dxa"/>
            <w:tcBorders>
              <w:top w:val="nil"/>
              <w:left w:val="nil"/>
              <w:bottom w:val="nil"/>
              <w:right w:val="nil"/>
            </w:tcBorders>
            <w:noWrap/>
            <w:vAlign w:val="bottom"/>
            <w:hideMark/>
          </w:tcPr>
          <w:p w14:paraId="7EF059EF" w14:textId="77777777" w:rsidR="002432BC" w:rsidRPr="00471CBA" w:rsidRDefault="002432BC" w:rsidP="00B0049C">
            <w:pPr>
              <w:ind w:right="56"/>
              <w:jc w:val="right"/>
              <w:rPr>
                <w:b/>
                <w:bCs/>
                <w:sz w:val="18"/>
                <w:szCs w:val="18"/>
              </w:rPr>
            </w:pPr>
          </w:p>
        </w:tc>
      </w:tr>
      <w:tr w:rsidR="0052668F" w:rsidRPr="00471CBA" w14:paraId="06C7E453" w14:textId="77777777" w:rsidTr="0052668F">
        <w:trPr>
          <w:trHeight w:val="20"/>
        </w:trPr>
        <w:tc>
          <w:tcPr>
            <w:tcW w:w="5033" w:type="dxa"/>
            <w:tcBorders>
              <w:top w:val="nil"/>
              <w:left w:val="nil"/>
              <w:bottom w:val="nil"/>
              <w:right w:val="nil"/>
            </w:tcBorders>
            <w:noWrap/>
            <w:vAlign w:val="bottom"/>
            <w:hideMark/>
          </w:tcPr>
          <w:p w14:paraId="3B830B96" w14:textId="77777777" w:rsidR="0052668F" w:rsidRPr="00471CBA" w:rsidRDefault="0052668F" w:rsidP="0052668F">
            <w:pPr>
              <w:rPr>
                <w:b/>
                <w:bCs/>
                <w:sz w:val="18"/>
                <w:szCs w:val="18"/>
              </w:rPr>
            </w:pPr>
            <w:r w:rsidRPr="00471CBA">
              <w:rPr>
                <w:b/>
                <w:bCs/>
                <w:sz w:val="18"/>
                <w:szCs w:val="18"/>
              </w:rPr>
              <w:t>Döviz ile ilgili türev işlemler (I)</w:t>
            </w:r>
          </w:p>
        </w:tc>
        <w:tc>
          <w:tcPr>
            <w:tcW w:w="2240" w:type="dxa"/>
            <w:tcBorders>
              <w:top w:val="nil"/>
              <w:left w:val="nil"/>
              <w:bottom w:val="nil"/>
              <w:right w:val="nil"/>
            </w:tcBorders>
            <w:vAlign w:val="bottom"/>
          </w:tcPr>
          <w:p w14:paraId="2D6059B4" w14:textId="60FEF760" w:rsidR="0052668F" w:rsidRPr="00471CBA" w:rsidRDefault="0052668F" w:rsidP="0052668F">
            <w:pPr>
              <w:spacing w:before="100" w:beforeAutospacing="1" w:after="100" w:afterAutospacing="1"/>
              <w:ind w:right="56"/>
              <w:jc w:val="right"/>
              <w:rPr>
                <w:b/>
                <w:bCs/>
                <w:sz w:val="18"/>
                <w:szCs w:val="18"/>
              </w:rPr>
            </w:pPr>
            <w:r w:rsidRPr="00471CBA">
              <w:rPr>
                <w:b/>
                <w:bCs/>
                <w:sz w:val="18"/>
                <w:szCs w:val="18"/>
              </w:rPr>
              <w:t>274.242.790</w:t>
            </w:r>
          </w:p>
        </w:tc>
        <w:tc>
          <w:tcPr>
            <w:tcW w:w="2240" w:type="dxa"/>
            <w:tcBorders>
              <w:top w:val="nil"/>
              <w:left w:val="nil"/>
              <w:bottom w:val="nil"/>
              <w:right w:val="nil"/>
            </w:tcBorders>
            <w:noWrap/>
            <w:vAlign w:val="bottom"/>
          </w:tcPr>
          <w:p w14:paraId="645E0A8E" w14:textId="3126039D" w:rsidR="0052668F" w:rsidRPr="00471CBA" w:rsidRDefault="0052668F" w:rsidP="0052668F">
            <w:pPr>
              <w:spacing w:before="100" w:beforeAutospacing="1" w:after="100" w:afterAutospacing="1"/>
              <w:ind w:right="56"/>
              <w:jc w:val="right"/>
              <w:rPr>
                <w:b/>
                <w:bCs/>
                <w:sz w:val="18"/>
                <w:szCs w:val="18"/>
              </w:rPr>
            </w:pPr>
            <w:r w:rsidRPr="00471CBA">
              <w:rPr>
                <w:b/>
                <w:bCs/>
                <w:sz w:val="18"/>
                <w:szCs w:val="18"/>
              </w:rPr>
              <w:t>15.368.077</w:t>
            </w:r>
          </w:p>
        </w:tc>
      </w:tr>
      <w:tr w:rsidR="0052668F" w:rsidRPr="00471CBA" w14:paraId="42FD08AD" w14:textId="77777777" w:rsidTr="0052668F">
        <w:trPr>
          <w:trHeight w:val="20"/>
        </w:trPr>
        <w:tc>
          <w:tcPr>
            <w:tcW w:w="5033" w:type="dxa"/>
            <w:tcBorders>
              <w:top w:val="nil"/>
              <w:left w:val="nil"/>
              <w:bottom w:val="nil"/>
              <w:right w:val="nil"/>
            </w:tcBorders>
            <w:noWrap/>
            <w:vAlign w:val="bottom"/>
            <w:hideMark/>
          </w:tcPr>
          <w:p w14:paraId="3D8EE57F" w14:textId="77777777" w:rsidR="0052668F" w:rsidRPr="00471CBA" w:rsidRDefault="0052668F" w:rsidP="0052668F">
            <w:pPr>
              <w:ind w:firstLineChars="100" w:firstLine="180"/>
              <w:rPr>
                <w:sz w:val="18"/>
                <w:szCs w:val="18"/>
              </w:rPr>
            </w:pPr>
            <w:r w:rsidRPr="00471CBA">
              <w:rPr>
                <w:sz w:val="18"/>
                <w:szCs w:val="18"/>
              </w:rPr>
              <w:t>Vadeli döviz alım satım işlemleri</w:t>
            </w:r>
          </w:p>
        </w:tc>
        <w:tc>
          <w:tcPr>
            <w:tcW w:w="2240" w:type="dxa"/>
            <w:tcBorders>
              <w:top w:val="nil"/>
              <w:left w:val="nil"/>
              <w:bottom w:val="nil"/>
              <w:right w:val="nil"/>
            </w:tcBorders>
            <w:vAlign w:val="bottom"/>
          </w:tcPr>
          <w:p w14:paraId="2E070C75" w14:textId="3EEBBE1F" w:rsidR="0052668F" w:rsidRPr="00471CBA" w:rsidRDefault="0052668F" w:rsidP="0052668F">
            <w:pPr>
              <w:spacing w:before="100" w:beforeAutospacing="1" w:after="100" w:afterAutospacing="1"/>
              <w:ind w:right="56"/>
              <w:jc w:val="right"/>
              <w:rPr>
                <w:sz w:val="18"/>
                <w:szCs w:val="18"/>
              </w:rPr>
            </w:pPr>
            <w:r w:rsidRPr="00471CBA">
              <w:rPr>
                <w:sz w:val="18"/>
                <w:szCs w:val="18"/>
              </w:rPr>
              <w:t>138.296.379</w:t>
            </w:r>
          </w:p>
        </w:tc>
        <w:tc>
          <w:tcPr>
            <w:tcW w:w="2240" w:type="dxa"/>
            <w:tcBorders>
              <w:top w:val="nil"/>
              <w:left w:val="nil"/>
              <w:bottom w:val="nil"/>
              <w:right w:val="nil"/>
            </w:tcBorders>
            <w:noWrap/>
            <w:vAlign w:val="bottom"/>
          </w:tcPr>
          <w:p w14:paraId="5F75BDBE" w14:textId="3B81E0B1" w:rsidR="0052668F" w:rsidRPr="00471CBA" w:rsidRDefault="0052668F" w:rsidP="0052668F">
            <w:pPr>
              <w:spacing w:before="100" w:beforeAutospacing="1" w:after="100" w:afterAutospacing="1"/>
              <w:ind w:right="56"/>
              <w:jc w:val="right"/>
              <w:rPr>
                <w:sz w:val="18"/>
                <w:szCs w:val="18"/>
              </w:rPr>
            </w:pPr>
            <w:r w:rsidRPr="00471CBA">
              <w:rPr>
                <w:sz w:val="18"/>
                <w:szCs w:val="18"/>
              </w:rPr>
              <w:t>5.111.010</w:t>
            </w:r>
          </w:p>
        </w:tc>
      </w:tr>
      <w:tr w:rsidR="0052668F" w:rsidRPr="00471CBA" w14:paraId="29C3C397" w14:textId="77777777" w:rsidTr="0052668F">
        <w:trPr>
          <w:trHeight w:val="20"/>
        </w:trPr>
        <w:tc>
          <w:tcPr>
            <w:tcW w:w="5033" w:type="dxa"/>
            <w:tcBorders>
              <w:top w:val="nil"/>
              <w:left w:val="nil"/>
              <w:bottom w:val="nil"/>
              <w:right w:val="nil"/>
            </w:tcBorders>
            <w:noWrap/>
            <w:vAlign w:val="bottom"/>
            <w:hideMark/>
          </w:tcPr>
          <w:p w14:paraId="0042A8D9" w14:textId="77777777" w:rsidR="0052668F" w:rsidRPr="00471CBA" w:rsidRDefault="0052668F" w:rsidP="0052668F">
            <w:pPr>
              <w:ind w:firstLineChars="100" w:firstLine="180"/>
              <w:rPr>
                <w:sz w:val="18"/>
                <w:szCs w:val="18"/>
              </w:rPr>
            </w:pPr>
            <w:r w:rsidRPr="00471CBA">
              <w:rPr>
                <w:sz w:val="18"/>
                <w:szCs w:val="18"/>
              </w:rPr>
              <w:t>Swap para alım satım işlemleri</w:t>
            </w:r>
          </w:p>
        </w:tc>
        <w:tc>
          <w:tcPr>
            <w:tcW w:w="2240" w:type="dxa"/>
            <w:tcBorders>
              <w:top w:val="nil"/>
              <w:left w:val="nil"/>
              <w:bottom w:val="nil"/>
              <w:right w:val="nil"/>
            </w:tcBorders>
            <w:vAlign w:val="bottom"/>
          </w:tcPr>
          <w:p w14:paraId="185431B3" w14:textId="08839E96" w:rsidR="0052668F" w:rsidRPr="00471CBA" w:rsidRDefault="0052668F" w:rsidP="0052668F">
            <w:pPr>
              <w:spacing w:before="100" w:beforeAutospacing="1" w:after="100" w:afterAutospacing="1"/>
              <w:ind w:right="56"/>
              <w:jc w:val="right"/>
              <w:rPr>
                <w:sz w:val="18"/>
                <w:szCs w:val="18"/>
              </w:rPr>
            </w:pPr>
            <w:r w:rsidRPr="00471CBA">
              <w:rPr>
                <w:sz w:val="18"/>
                <w:szCs w:val="18"/>
              </w:rPr>
              <w:t>135.946.411</w:t>
            </w:r>
          </w:p>
        </w:tc>
        <w:tc>
          <w:tcPr>
            <w:tcW w:w="2240" w:type="dxa"/>
            <w:tcBorders>
              <w:top w:val="nil"/>
              <w:left w:val="nil"/>
              <w:bottom w:val="nil"/>
              <w:right w:val="nil"/>
            </w:tcBorders>
            <w:noWrap/>
            <w:vAlign w:val="bottom"/>
          </w:tcPr>
          <w:p w14:paraId="71036197" w14:textId="6D11A95A" w:rsidR="0052668F" w:rsidRPr="00471CBA" w:rsidRDefault="0052668F" w:rsidP="0052668F">
            <w:pPr>
              <w:spacing w:before="100" w:beforeAutospacing="1" w:after="100" w:afterAutospacing="1"/>
              <w:ind w:right="56"/>
              <w:jc w:val="right"/>
              <w:rPr>
                <w:sz w:val="18"/>
                <w:szCs w:val="18"/>
              </w:rPr>
            </w:pPr>
            <w:r w:rsidRPr="00471CBA">
              <w:rPr>
                <w:sz w:val="18"/>
                <w:szCs w:val="18"/>
              </w:rPr>
              <w:t>10.257.067</w:t>
            </w:r>
          </w:p>
        </w:tc>
      </w:tr>
      <w:tr w:rsidR="0052668F" w:rsidRPr="00471CBA" w14:paraId="77A2D719" w14:textId="77777777" w:rsidTr="0052668F">
        <w:trPr>
          <w:trHeight w:val="20"/>
        </w:trPr>
        <w:tc>
          <w:tcPr>
            <w:tcW w:w="5033" w:type="dxa"/>
            <w:tcBorders>
              <w:top w:val="nil"/>
              <w:left w:val="nil"/>
              <w:bottom w:val="nil"/>
              <w:right w:val="nil"/>
            </w:tcBorders>
            <w:noWrap/>
            <w:vAlign w:val="bottom"/>
            <w:hideMark/>
          </w:tcPr>
          <w:p w14:paraId="56334CE6" w14:textId="77777777" w:rsidR="0052668F" w:rsidRPr="00471CBA" w:rsidRDefault="0052668F" w:rsidP="0052668F">
            <w:pPr>
              <w:ind w:firstLineChars="100" w:firstLine="180"/>
              <w:rPr>
                <w:sz w:val="18"/>
                <w:szCs w:val="18"/>
              </w:rPr>
            </w:pPr>
            <w:r w:rsidRPr="00471CBA">
              <w:rPr>
                <w:sz w:val="18"/>
                <w:szCs w:val="18"/>
              </w:rPr>
              <w:t xml:space="preserve">Futures para işlemleri </w:t>
            </w:r>
          </w:p>
        </w:tc>
        <w:tc>
          <w:tcPr>
            <w:tcW w:w="2240" w:type="dxa"/>
            <w:tcBorders>
              <w:top w:val="nil"/>
              <w:left w:val="nil"/>
              <w:bottom w:val="nil"/>
              <w:right w:val="nil"/>
            </w:tcBorders>
            <w:vAlign w:val="bottom"/>
          </w:tcPr>
          <w:p w14:paraId="0919F39E" w14:textId="21BFD595" w:rsidR="0052668F" w:rsidRPr="00471CBA" w:rsidRDefault="0052668F" w:rsidP="0052668F">
            <w:pPr>
              <w:spacing w:before="100" w:beforeAutospacing="1" w:after="100" w:afterAutospacing="1"/>
              <w:ind w:right="56"/>
              <w:jc w:val="right"/>
              <w:rPr>
                <w:sz w:val="18"/>
                <w:szCs w:val="18"/>
              </w:rPr>
            </w:pPr>
            <w:r w:rsidRPr="00471CBA">
              <w:rPr>
                <w:sz w:val="18"/>
                <w:szCs w:val="18"/>
              </w:rPr>
              <w:t>-</w:t>
            </w:r>
          </w:p>
        </w:tc>
        <w:tc>
          <w:tcPr>
            <w:tcW w:w="2240" w:type="dxa"/>
            <w:tcBorders>
              <w:top w:val="nil"/>
              <w:left w:val="nil"/>
              <w:bottom w:val="nil"/>
              <w:right w:val="nil"/>
            </w:tcBorders>
            <w:noWrap/>
            <w:vAlign w:val="bottom"/>
          </w:tcPr>
          <w:p w14:paraId="43A3A2A1" w14:textId="37FFCEDD" w:rsidR="0052668F" w:rsidRPr="00471CBA" w:rsidRDefault="0052668F" w:rsidP="0052668F">
            <w:pPr>
              <w:spacing w:before="100" w:beforeAutospacing="1" w:after="100" w:afterAutospacing="1"/>
              <w:ind w:right="56"/>
              <w:jc w:val="right"/>
              <w:rPr>
                <w:sz w:val="18"/>
                <w:szCs w:val="18"/>
              </w:rPr>
            </w:pPr>
            <w:r w:rsidRPr="00471CBA">
              <w:rPr>
                <w:sz w:val="18"/>
                <w:szCs w:val="18"/>
              </w:rPr>
              <w:t>-</w:t>
            </w:r>
          </w:p>
        </w:tc>
      </w:tr>
      <w:tr w:rsidR="0052668F" w:rsidRPr="00471CBA" w14:paraId="47B6FDF8" w14:textId="77777777" w:rsidTr="0052668F">
        <w:trPr>
          <w:trHeight w:val="20"/>
        </w:trPr>
        <w:tc>
          <w:tcPr>
            <w:tcW w:w="5033" w:type="dxa"/>
            <w:tcBorders>
              <w:top w:val="nil"/>
              <w:left w:val="nil"/>
              <w:bottom w:val="nil"/>
              <w:right w:val="nil"/>
            </w:tcBorders>
            <w:noWrap/>
            <w:vAlign w:val="bottom"/>
            <w:hideMark/>
          </w:tcPr>
          <w:p w14:paraId="3D22C767" w14:textId="77777777" w:rsidR="0052668F" w:rsidRPr="00471CBA" w:rsidRDefault="0052668F" w:rsidP="0052668F">
            <w:pPr>
              <w:ind w:firstLineChars="100" w:firstLine="180"/>
              <w:rPr>
                <w:sz w:val="18"/>
                <w:szCs w:val="18"/>
              </w:rPr>
            </w:pPr>
            <w:r w:rsidRPr="00471CBA">
              <w:rPr>
                <w:sz w:val="18"/>
                <w:szCs w:val="18"/>
              </w:rPr>
              <w:t>Para alım satım opsiyonları</w:t>
            </w:r>
          </w:p>
        </w:tc>
        <w:tc>
          <w:tcPr>
            <w:tcW w:w="2240" w:type="dxa"/>
            <w:tcBorders>
              <w:top w:val="nil"/>
              <w:left w:val="nil"/>
              <w:bottom w:val="nil"/>
              <w:right w:val="nil"/>
            </w:tcBorders>
            <w:vAlign w:val="bottom"/>
          </w:tcPr>
          <w:p w14:paraId="7A4894DA" w14:textId="536C48D2" w:rsidR="0052668F" w:rsidRPr="00471CBA" w:rsidRDefault="0052668F" w:rsidP="0052668F">
            <w:pPr>
              <w:ind w:right="56" w:firstLineChars="100" w:firstLine="180"/>
              <w:jc w:val="right"/>
              <w:rPr>
                <w:sz w:val="18"/>
                <w:szCs w:val="18"/>
              </w:rPr>
            </w:pPr>
            <w:r w:rsidRPr="00471CBA">
              <w:rPr>
                <w:sz w:val="18"/>
                <w:szCs w:val="18"/>
              </w:rPr>
              <w:t>-</w:t>
            </w:r>
          </w:p>
        </w:tc>
        <w:tc>
          <w:tcPr>
            <w:tcW w:w="2240" w:type="dxa"/>
            <w:tcBorders>
              <w:top w:val="nil"/>
              <w:left w:val="nil"/>
              <w:bottom w:val="nil"/>
              <w:right w:val="nil"/>
            </w:tcBorders>
            <w:noWrap/>
            <w:vAlign w:val="bottom"/>
          </w:tcPr>
          <w:p w14:paraId="4D83789D" w14:textId="392D8285" w:rsidR="0052668F" w:rsidRPr="00471CBA" w:rsidRDefault="0052668F" w:rsidP="0052668F">
            <w:pPr>
              <w:ind w:right="56" w:firstLineChars="100" w:firstLine="180"/>
              <w:jc w:val="right"/>
              <w:rPr>
                <w:sz w:val="18"/>
                <w:szCs w:val="18"/>
              </w:rPr>
            </w:pPr>
            <w:r w:rsidRPr="00471CBA">
              <w:rPr>
                <w:sz w:val="18"/>
                <w:szCs w:val="18"/>
              </w:rPr>
              <w:t>-</w:t>
            </w:r>
          </w:p>
        </w:tc>
      </w:tr>
      <w:tr w:rsidR="0052668F" w:rsidRPr="00471CBA" w14:paraId="1990D2AB" w14:textId="77777777" w:rsidTr="0052668F">
        <w:trPr>
          <w:trHeight w:val="20"/>
        </w:trPr>
        <w:tc>
          <w:tcPr>
            <w:tcW w:w="5033" w:type="dxa"/>
            <w:tcBorders>
              <w:top w:val="nil"/>
              <w:left w:val="nil"/>
              <w:bottom w:val="nil"/>
              <w:right w:val="nil"/>
            </w:tcBorders>
            <w:noWrap/>
            <w:vAlign w:val="bottom"/>
            <w:hideMark/>
          </w:tcPr>
          <w:p w14:paraId="5239F240" w14:textId="77777777" w:rsidR="0052668F" w:rsidRPr="00471CBA" w:rsidRDefault="0052668F" w:rsidP="0052668F">
            <w:pPr>
              <w:rPr>
                <w:b/>
                <w:bCs/>
                <w:sz w:val="18"/>
                <w:szCs w:val="18"/>
              </w:rPr>
            </w:pPr>
            <w:r w:rsidRPr="00471CBA">
              <w:rPr>
                <w:b/>
                <w:bCs/>
                <w:sz w:val="18"/>
                <w:szCs w:val="18"/>
              </w:rPr>
              <w:t>Kar Payı ile ilgili türev işlemler (II)</w:t>
            </w:r>
          </w:p>
        </w:tc>
        <w:tc>
          <w:tcPr>
            <w:tcW w:w="2240" w:type="dxa"/>
            <w:tcBorders>
              <w:top w:val="nil"/>
              <w:left w:val="nil"/>
              <w:bottom w:val="nil"/>
              <w:right w:val="nil"/>
            </w:tcBorders>
            <w:vAlign w:val="bottom"/>
          </w:tcPr>
          <w:p w14:paraId="140F7551" w14:textId="4FEA83FF" w:rsidR="0052668F" w:rsidRPr="00471CBA" w:rsidRDefault="0052668F" w:rsidP="0052668F">
            <w:pPr>
              <w:ind w:right="56"/>
              <w:jc w:val="right"/>
              <w:rPr>
                <w:b/>
                <w:bCs/>
                <w:sz w:val="18"/>
                <w:szCs w:val="18"/>
              </w:rPr>
            </w:pPr>
            <w:r w:rsidRPr="00471CBA">
              <w:rPr>
                <w:b/>
                <w:bCs/>
                <w:sz w:val="18"/>
                <w:szCs w:val="18"/>
              </w:rPr>
              <w:t>-</w:t>
            </w:r>
          </w:p>
        </w:tc>
        <w:tc>
          <w:tcPr>
            <w:tcW w:w="2240" w:type="dxa"/>
            <w:tcBorders>
              <w:top w:val="nil"/>
              <w:left w:val="nil"/>
              <w:bottom w:val="nil"/>
              <w:right w:val="nil"/>
            </w:tcBorders>
            <w:noWrap/>
            <w:vAlign w:val="bottom"/>
          </w:tcPr>
          <w:p w14:paraId="301465C4" w14:textId="2EEC901E" w:rsidR="0052668F" w:rsidRPr="00471CBA" w:rsidRDefault="0052668F" w:rsidP="0052668F">
            <w:pPr>
              <w:ind w:right="56"/>
              <w:jc w:val="right"/>
              <w:rPr>
                <w:b/>
                <w:bCs/>
                <w:sz w:val="18"/>
                <w:szCs w:val="18"/>
              </w:rPr>
            </w:pPr>
            <w:r w:rsidRPr="00471CBA">
              <w:rPr>
                <w:b/>
                <w:bCs/>
                <w:sz w:val="18"/>
                <w:szCs w:val="18"/>
              </w:rPr>
              <w:t>-</w:t>
            </w:r>
          </w:p>
        </w:tc>
      </w:tr>
      <w:tr w:rsidR="0052668F" w:rsidRPr="00471CBA" w14:paraId="08A7538E" w14:textId="77777777" w:rsidTr="0052668F">
        <w:trPr>
          <w:trHeight w:val="20"/>
        </w:trPr>
        <w:tc>
          <w:tcPr>
            <w:tcW w:w="5033" w:type="dxa"/>
            <w:tcBorders>
              <w:top w:val="nil"/>
              <w:left w:val="nil"/>
              <w:bottom w:val="nil"/>
              <w:right w:val="nil"/>
            </w:tcBorders>
            <w:noWrap/>
            <w:vAlign w:val="bottom"/>
            <w:hideMark/>
          </w:tcPr>
          <w:p w14:paraId="63EEA204" w14:textId="77777777" w:rsidR="0052668F" w:rsidRPr="00471CBA" w:rsidRDefault="0052668F" w:rsidP="0052668F">
            <w:pPr>
              <w:ind w:firstLineChars="100" w:firstLine="180"/>
              <w:rPr>
                <w:sz w:val="18"/>
                <w:szCs w:val="18"/>
              </w:rPr>
            </w:pPr>
            <w:r w:rsidRPr="00471CBA">
              <w:rPr>
                <w:sz w:val="18"/>
                <w:szCs w:val="18"/>
              </w:rPr>
              <w:t xml:space="preserve">Vadeli </w:t>
            </w:r>
            <w:proofErr w:type="gramStart"/>
            <w:r w:rsidRPr="00471CBA">
              <w:rPr>
                <w:sz w:val="18"/>
                <w:szCs w:val="18"/>
              </w:rPr>
              <w:t>kar</w:t>
            </w:r>
            <w:proofErr w:type="gramEnd"/>
            <w:r w:rsidRPr="00471CBA">
              <w:rPr>
                <w:sz w:val="18"/>
                <w:szCs w:val="18"/>
              </w:rPr>
              <w:t xml:space="preserve"> payı sözleşmesi alım satım işlemleri </w:t>
            </w:r>
          </w:p>
        </w:tc>
        <w:tc>
          <w:tcPr>
            <w:tcW w:w="2240" w:type="dxa"/>
            <w:tcBorders>
              <w:top w:val="nil"/>
              <w:left w:val="nil"/>
              <w:bottom w:val="nil"/>
              <w:right w:val="nil"/>
            </w:tcBorders>
            <w:vAlign w:val="bottom"/>
          </w:tcPr>
          <w:p w14:paraId="54CA609F" w14:textId="6D20DF8B" w:rsidR="0052668F" w:rsidRPr="00471CBA" w:rsidRDefault="0052668F" w:rsidP="0052668F">
            <w:pPr>
              <w:ind w:right="56" w:firstLineChars="100" w:firstLine="180"/>
              <w:jc w:val="right"/>
              <w:rPr>
                <w:sz w:val="18"/>
                <w:szCs w:val="18"/>
              </w:rPr>
            </w:pPr>
            <w:r w:rsidRPr="00471CBA">
              <w:rPr>
                <w:sz w:val="18"/>
                <w:szCs w:val="18"/>
              </w:rPr>
              <w:t>-</w:t>
            </w:r>
          </w:p>
        </w:tc>
        <w:tc>
          <w:tcPr>
            <w:tcW w:w="2240" w:type="dxa"/>
            <w:tcBorders>
              <w:top w:val="nil"/>
              <w:left w:val="nil"/>
              <w:bottom w:val="nil"/>
              <w:right w:val="nil"/>
            </w:tcBorders>
            <w:noWrap/>
            <w:vAlign w:val="bottom"/>
          </w:tcPr>
          <w:p w14:paraId="72E9A68D" w14:textId="4DA41F12" w:rsidR="0052668F" w:rsidRPr="00471CBA" w:rsidRDefault="0052668F" w:rsidP="0052668F">
            <w:pPr>
              <w:ind w:right="56" w:firstLineChars="100" w:firstLine="180"/>
              <w:jc w:val="right"/>
              <w:rPr>
                <w:sz w:val="18"/>
                <w:szCs w:val="18"/>
              </w:rPr>
            </w:pPr>
            <w:r w:rsidRPr="00471CBA">
              <w:rPr>
                <w:sz w:val="18"/>
                <w:szCs w:val="18"/>
              </w:rPr>
              <w:t>-</w:t>
            </w:r>
          </w:p>
        </w:tc>
      </w:tr>
      <w:tr w:rsidR="0052668F" w:rsidRPr="00471CBA" w14:paraId="4C8E7C9F" w14:textId="77777777" w:rsidTr="0052668F">
        <w:trPr>
          <w:trHeight w:val="20"/>
        </w:trPr>
        <w:tc>
          <w:tcPr>
            <w:tcW w:w="5033" w:type="dxa"/>
            <w:tcBorders>
              <w:top w:val="nil"/>
              <w:left w:val="nil"/>
              <w:bottom w:val="nil"/>
              <w:right w:val="nil"/>
            </w:tcBorders>
            <w:noWrap/>
            <w:vAlign w:val="bottom"/>
            <w:hideMark/>
          </w:tcPr>
          <w:p w14:paraId="163D2A75" w14:textId="77777777" w:rsidR="0052668F" w:rsidRPr="00471CBA" w:rsidRDefault="0052668F" w:rsidP="0052668F">
            <w:pPr>
              <w:ind w:firstLineChars="100" w:firstLine="180"/>
              <w:rPr>
                <w:sz w:val="18"/>
                <w:szCs w:val="18"/>
              </w:rPr>
            </w:pPr>
            <w:r w:rsidRPr="00471CBA">
              <w:rPr>
                <w:sz w:val="18"/>
                <w:szCs w:val="18"/>
              </w:rPr>
              <w:t xml:space="preserve">Swap </w:t>
            </w:r>
            <w:proofErr w:type="gramStart"/>
            <w:r w:rsidRPr="00471CBA">
              <w:rPr>
                <w:sz w:val="18"/>
                <w:szCs w:val="18"/>
              </w:rPr>
              <w:t>kar</w:t>
            </w:r>
            <w:proofErr w:type="gramEnd"/>
            <w:r w:rsidRPr="00471CBA">
              <w:rPr>
                <w:sz w:val="18"/>
                <w:szCs w:val="18"/>
              </w:rPr>
              <w:t xml:space="preserve"> payı alım satım işlemleri</w:t>
            </w:r>
          </w:p>
        </w:tc>
        <w:tc>
          <w:tcPr>
            <w:tcW w:w="2240" w:type="dxa"/>
            <w:tcBorders>
              <w:top w:val="nil"/>
              <w:left w:val="nil"/>
              <w:bottom w:val="nil"/>
              <w:right w:val="nil"/>
            </w:tcBorders>
            <w:vAlign w:val="bottom"/>
          </w:tcPr>
          <w:p w14:paraId="43928300" w14:textId="013CE2EC" w:rsidR="0052668F" w:rsidRPr="00471CBA" w:rsidRDefault="0052668F" w:rsidP="0052668F">
            <w:pPr>
              <w:ind w:right="56" w:firstLineChars="100" w:firstLine="180"/>
              <w:jc w:val="right"/>
              <w:rPr>
                <w:sz w:val="18"/>
                <w:szCs w:val="18"/>
              </w:rPr>
            </w:pPr>
            <w:r w:rsidRPr="00471CBA">
              <w:rPr>
                <w:sz w:val="18"/>
                <w:szCs w:val="18"/>
              </w:rPr>
              <w:t>-</w:t>
            </w:r>
          </w:p>
        </w:tc>
        <w:tc>
          <w:tcPr>
            <w:tcW w:w="2240" w:type="dxa"/>
            <w:tcBorders>
              <w:top w:val="nil"/>
              <w:left w:val="nil"/>
              <w:bottom w:val="nil"/>
              <w:right w:val="nil"/>
            </w:tcBorders>
            <w:noWrap/>
            <w:vAlign w:val="bottom"/>
          </w:tcPr>
          <w:p w14:paraId="66B86F30" w14:textId="26E6B1BC" w:rsidR="0052668F" w:rsidRPr="00471CBA" w:rsidRDefault="0052668F" w:rsidP="0052668F">
            <w:pPr>
              <w:ind w:right="56" w:firstLineChars="100" w:firstLine="180"/>
              <w:jc w:val="right"/>
              <w:rPr>
                <w:sz w:val="18"/>
                <w:szCs w:val="18"/>
              </w:rPr>
            </w:pPr>
            <w:r w:rsidRPr="00471CBA">
              <w:rPr>
                <w:sz w:val="18"/>
                <w:szCs w:val="18"/>
              </w:rPr>
              <w:t>-</w:t>
            </w:r>
          </w:p>
        </w:tc>
      </w:tr>
      <w:tr w:rsidR="0052668F" w:rsidRPr="00471CBA" w14:paraId="7952901A" w14:textId="77777777" w:rsidTr="0052668F">
        <w:trPr>
          <w:trHeight w:val="20"/>
        </w:trPr>
        <w:tc>
          <w:tcPr>
            <w:tcW w:w="5033" w:type="dxa"/>
            <w:tcBorders>
              <w:top w:val="nil"/>
              <w:left w:val="nil"/>
              <w:bottom w:val="nil"/>
              <w:right w:val="nil"/>
            </w:tcBorders>
            <w:noWrap/>
            <w:vAlign w:val="bottom"/>
            <w:hideMark/>
          </w:tcPr>
          <w:p w14:paraId="114FC717" w14:textId="77777777" w:rsidR="0052668F" w:rsidRPr="00471CBA" w:rsidRDefault="0052668F" w:rsidP="0052668F">
            <w:pPr>
              <w:ind w:firstLineChars="100" w:firstLine="180"/>
              <w:rPr>
                <w:sz w:val="18"/>
                <w:szCs w:val="18"/>
              </w:rPr>
            </w:pPr>
            <w:proofErr w:type="gramStart"/>
            <w:r w:rsidRPr="00471CBA">
              <w:rPr>
                <w:sz w:val="18"/>
                <w:szCs w:val="18"/>
              </w:rPr>
              <w:t>Kar</w:t>
            </w:r>
            <w:proofErr w:type="gramEnd"/>
            <w:r w:rsidRPr="00471CBA">
              <w:rPr>
                <w:sz w:val="18"/>
                <w:szCs w:val="18"/>
              </w:rPr>
              <w:t xml:space="preserve"> payı alım satım opsiyonları</w:t>
            </w:r>
          </w:p>
        </w:tc>
        <w:tc>
          <w:tcPr>
            <w:tcW w:w="2240" w:type="dxa"/>
            <w:tcBorders>
              <w:top w:val="nil"/>
              <w:left w:val="nil"/>
              <w:bottom w:val="nil"/>
              <w:right w:val="nil"/>
            </w:tcBorders>
            <w:vAlign w:val="bottom"/>
          </w:tcPr>
          <w:p w14:paraId="3C958357" w14:textId="75AAA100" w:rsidR="0052668F" w:rsidRPr="00471CBA" w:rsidRDefault="0052668F" w:rsidP="0052668F">
            <w:pPr>
              <w:ind w:right="56" w:firstLineChars="100" w:firstLine="180"/>
              <w:jc w:val="right"/>
              <w:rPr>
                <w:sz w:val="18"/>
                <w:szCs w:val="18"/>
              </w:rPr>
            </w:pPr>
            <w:r w:rsidRPr="00471CBA">
              <w:rPr>
                <w:sz w:val="18"/>
                <w:szCs w:val="18"/>
              </w:rPr>
              <w:t>-</w:t>
            </w:r>
          </w:p>
        </w:tc>
        <w:tc>
          <w:tcPr>
            <w:tcW w:w="2240" w:type="dxa"/>
            <w:tcBorders>
              <w:top w:val="nil"/>
              <w:left w:val="nil"/>
              <w:bottom w:val="nil"/>
              <w:right w:val="nil"/>
            </w:tcBorders>
            <w:noWrap/>
            <w:vAlign w:val="bottom"/>
          </w:tcPr>
          <w:p w14:paraId="4EDC6D1B" w14:textId="53E2F0D5" w:rsidR="0052668F" w:rsidRPr="00471CBA" w:rsidRDefault="0052668F" w:rsidP="0052668F">
            <w:pPr>
              <w:ind w:right="56" w:firstLineChars="100" w:firstLine="180"/>
              <w:jc w:val="right"/>
              <w:rPr>
                <w:sz w:val="18"/>
                <w:szCs w:val="18"/>
              </w:rPr>
            </w:pPr>
            <w:r w:rsidRPr="00471CBA">
              <w:rPr>
                <w:sz w:val="18"/>
                <w:szCs w:val="18"/>
              </w:rPr>
              <w:t>-</w:t>
            </w:r>
          </w:p>
        </w:tc>
      </w:tr>
      <w:tr w:rsidR="0052668F" w:rsidRPr="00471CBA" w14:paraId="0C0FCCF6" w14:textId="77777777" w:rsidTr="0052668F">
        <w:trPr>
          <w:trHeight w:val="20"/>
        </w:trPr>
        <w:tc>
          <w:tcPr>
            <w:tcW w:w="5033" w:type="dxa"/>
            <w:tcBorders>
              <w:top w:val="nil"/>
              <w:left w:val="nil"/>
              <w:bottom w:val="nil"/>
              <w:right w:val="nil"/>
            </w:tcBorders>
            <w:noWrap/>
            <w:vAlign w:val="bottom"/>
            <w:hideMark/>
          </w:tcPr>
          <w:p w14:paraId="6F6F39D7" w14:textId="77777777" w:rsidR="0052668F" w:rsidRPr="00471CBA" w:rsidRDefault="0052668F" w:rsidP="0052668F">
            <w:pPr>
              <w:ind w:firstLineChars="100" w:firstLine="180"/>
              <w:rPr>
                <w:sz w:val="18"/>
                <w:szCs w:val="18"/>
              </w:rPr>
            </w:pPr>
            <w:r w:rsidRPr="00471CBA">
              <w:rPr>
                <w:sz w:val="18"/>
                <w:szCs w:val="18"/>
              </w:rPr>
              <w:t xml:space="preserve">Futures </w:t>
            </w:r>
            <w:proofErr w:type="gramStart"/>
            <w:r w:rsidRPr="00471CBA">
              <w:rPr>
                <w:sz w:val="18"/>
                <w:szCs w:val="18"/>
              </w:rPr>
              <w:t>kar</w:t>
            </w:r>
            <w:proofErr w:type="gramEnd"/>
            <w:r w:rsidRPr="00471CBA">
              <w:rPr>
                <w:sz w:val="18"/>
                <w:szCs w:val="18"/>
              </w:rPr>
              <w:t xml:space="preserve"> payı alım satım işlemleri</w:t>
            </w:r>
          </w:p>
        </w:tc>
        <w:tc>
          <w:tcPr>
            <w:tcW w:w="2240" w:type="dxa"/>
            <w:tcBorders>
              <w:top w:val="nil"/>
              <w:left w:val="nil"/>
              <w:bottom w:val="nil"/>
              <w:right w:val="nil"/>
            </w:tcBorders>
            <w:vAlign w:val="bottom"/>
          </w:tcPr>
          <w:p w14:paraId="190AEBD0" w14:textId="183D13C9" w:rsidR="0052668F" w:rsidRPr="00471CBA" w:rsidRDefault="0052668F" w:rsidP="0052668F">
            <w:pPr>
              <w:ind w:right="56" w:firstLineChars="100" w:firstLine="180"/>
              <w:jc w:val="right"/>
              <w:rPr>
                <w:sz w:val="18"/>
                <w:szCs w:val="18"/>
              </w:rPr>
            </w:pPr>
            <w:r w:rsidRPr="00471CBA">
              <w:rPr>
                <w:sz w:val="18"/>
                <w:szCs w:val="18"/>
              </w:rPr>
              <w:t>-</w:t>
            </w:r>
          </w:p>
        </w:tc>
        <w:tc>
          <w:tcPr>
            <w:tcW w:w="2240" w:type="dxa"/>
            <w:tcBorders>
              <w:top w:val="nil"/>
              <w:left w:val="nil"/>
              <w:bottom w:val="nil"/>
              <w:right w:val="nil"/>
            </w:tcBorders>
            <w:noWrap/>
            <w:vAlign w:val="bottom"/>
          </w:tcPr>
          <w:p w14:paraId="53054408" w14:textId="22929AC4" w:rsidR="0052668F" w:rsidRPr="00471CBA" w:rsidRDefault="0052668F" w:rsidP="0052668F">
            <w:pPr>
              <w:ind w:right="56" w:firstLineChars="100" w:firstLine="180"/>
              <w:jc w:val="right"/>
              <w:rPr>
                <w:sz w:val="18"/>
                <w:szCs w:val="18"/>
              </w:rPr>
            </w:pPr>
            <w:r w:rsidRPr="00471CBA">
              <w:rPr>
                <w:sz w:val="18"/>
                <w:szCs w:val="18"/>
              </w:rPr>
              <w:t>-</w:t>
            </w:r>
          </w:p>
        </w:tc>
      </w:tr>
      <w:tr w:rsidR="0052668F" w:rsidRPr="00471CBA" w14:paraId="6786A4C7" w14:textId="77777777" w:rsidTr="0052668F">
        <w:trPr>
          <w:trHeight w:val="20"/>
        </w:trPr>
        <w:tc>
          <w:tcPr>
            <w:tcW w:w="5033" w:type="dxa"/>
            <w:tcBorders>
              <w:top w:val="nil"/>
              <w:left w:val="nil"/>
              <w:bottom w:val="nil"/>
              <w:right w:val="nil"/>
            </w:tcBorders>
            <w:noWrap/>
            <w:vAlign w:val="bottom"/>
            <w:hideMark/>
          </w:tcPr>
          <w:p w14:paraId="5536BBFA" w14:textId="77777777" w:rsidR="0052668F" w:rsidRPr="00471CBA" w:rsidRDefault="0052668F" w:rsidP="0052668F">
            <w:pPr>
              <w:rPr>
                <w:b/>
                <w:bCs/>
                <w:sz w:val="18"/>
                <w:szCs w:val="18"/>
              </w:rPr>
            </w:pPr>
            <w:r w:rsidRPr="00471CBA">
              <w:rPr>
                <w:b/>
                <w:bCs/>
                <w:sz w:val="18"/>
                <w:szCs w:val="18"/>
              </w:rPr>
              <w:t>Diğer alım-satım amaçlı türev işlemler (III)</w:t>
            </w:r>
          </w:p>
        </w:tc>
        <w:tc>
          <w:tcPr>
            <w:tcW w:w="2240" w:type="dxa"/>
            <w:tcBorders>
              <w:top w:val="nil"/>
              <w:left w:val="nil"/>
              <w:bottom w:val="nil"/>
              <w:right w:val="nil"/>
            </w:tcBorders>
            <w:vAlign w:val="bottom"/>
          </w:tcPr>
          <w:p w14:paraId="2FD65205" w14:textId="00DC8262" w:rsidR="0052668F" w:rsidRPr="00471CBA" w:rsidRDefault="0052668F" w:rsidP="0052668F">
            <w:pPr>
              <w:ind w:right="56"/>
              <w:jc w:val="right"/>
              <w:rPr>
                <w:b/>
                <w:bCs/>
                <w:sz w:val="18"/>
                <w:szCs w:val="18"/>
              </w:rPr>
            </w:pPr>
            <w:r w:rsidRPr="00471CBA">
              <w:rPr>
                <w:b/>
                <w:bCs/>
                <w:sz w:val="18"/>
                <w:szCs w:val="18"/>
              </w:rPr>
              <w:t>-</w:t>
            </w:r>
          </w:p>
        </w:tc>
        <w:tc>
          <w:tcPr>
            <w:tcW w:w="2240" w:type="dxa"/>
            <w:tcBorders>
              <w:top w:val="nil"/>
              <w:left w:val="nil"/>
              <w:bottom w:val="nil"/>
              <w:right w:val="nil"/>
            </w:tcBorders>
            <w:noWrap/>
            <w:vAlign w:val="bottom"/>
          </w:tcPr>
          <w:p w14:paraId="4C154862" w14:textId="7D85C647" w:rsidR="0052668F" w:rsidRPr="00471CBA" w:rsidRDefault="0052668F" w:rsidP="0052668F">
            <w:pPr>
              <w:ind w:right="56"/>
              <w:jc w:val="right"/>
              <w:rPr>
                <w:b/>
                <w:bCs/>
                <w:sz w:val="18"/>
                <w:szCs w:val="18"/>
              </w:rPr>
            </w:pPr>
            <w:r w:rsidRPr="00471CBA">
              <w:rPr>
                <w:b/>
                <w:bCs/>
                <w:sz w:val="18"/>
                <w:szCs w:val="18"/>
              </w:rPr>
              <w:t>-</w:t>
            </w:r>
          </w:p>
        </w:tc>
      </w:tr>
      <w:tr w:rsidR="0052668F" w:rsidRPr="00471CBA" w14:paraId="75217597" w14:textId="77777777" w:rsidTr="0052668F">
        <w:trPr>
          <w:trHeight w:val="20"/>
        </w:trPr>
        <w:tc>
          <w:tcPr>
            <w:tcW w:w="5033" w:type="dxa"/>
            <w:tcBorders>
              <w:top w:val="nil"/>
              <w:left w:val="nil"/>
              <w:bottom w:val="nil"/>
              <w:right w:val="nil"/>
            </w:tcBorders>
            <w:noWrap/>
            <w:vAlign w:val="bottom"/>
            <w:hideMark/>
          </w:tcPr>
          <w:p w14:paraId="336C4394" w14:textId="77777777" w:rsidR="0052668F" w:rsidRPr="00471CBA" w:rsidRDefault="0052668F" w:rsidP="0052668F">
            <w:pPr>
              <w:rPr>
                <w:b/>
                <w:bCs/>
                <w:sz w:val="18"/>
                <w:szCs w:val="18"/>
              </w:rPr>
            </w:pPr>
            <w:r w:rsidRPr="00471CBA">
              <w:rPr>
                <w:b/>
                <w:bCs/>
                <w:sz w:val="18"/>
                <w:szCs w:val="18"/>
              </w:rPr>
              <w:t>A. Toplam alım satım amaçlı türev işlemler (I+II+III)</w:t>
            </w:r>
          </w:p>
        </w:tc>
        <w:tc>
          <w:tcPr>
            <w:tcW w:w="2240" w:type="dxa"/>
            <w:tcBorders>
              <w:top w:val="nil"/>
              <w:left w:val="nil"/>
              <w:bottom w:val="nil"/>
              <w:right w:val="nil"/>
            </w:tcBorders>
            <w:vAlign w:val="bottom"/>
          </w:tcPr>
          <w:p w14:paraId="5B696413" w14:textId="7FF6C812" w:rsidR="0052668F" w:rsidRPr="00471CBA" w:rsidRDefault="0052668F" w:rsidP="0052668F">
            <w:pPr>
              <w:ind w:right="56"/>
              <w:jc w:val="right"/>
              <w:rPr>
                <w:b/>
                <w:bCs/>
                <w:sz w:val="18"/>
                <w:szCs w:val="18"/>
              </w:rPr>
            </w:pPr>
            <w:r w:rsidRPr="00471CBA">
              <w:rPr>
                <w:b/>
                <w:bCs/>
                <w:sz w:val="18"/>
                <w:szCs w:val="18"/>
              </w:rPr>
              <w:t>274.242.790</w:t>
            </w:r>
          </w:p>
        </w:tc>
        <w:tc>
          <w:tcPr>
            <w:tcW w:w="2240" w:type="dxa"/>
            <w:tcBorders>
              <w:top w:val="nil"/>
              <w:left w:val="nil"/>
              <w:bottom w:val="nil"/>
              <w:right w:val="nil"/>
            </w:tcBorders>
            <w:noWrap/>
            <w:vAlign w:val="bottom"/>
          </w:tcPr>
          <w:p w14:paraId="75310889" w14:textId="239D8043" w:rsidR="0052668F" w:rsidRPr="00471CBA" w:rsidRDefault="0052668F" w:rsidP="0052668F">
            <w:pPr>
              <w:ind w:right="56"/>
              <w:jc w:val="right"/>
              <w:rPr>
                <w:b/>
                <w:bCs/>
                <w:sz w:val="18"/>
                <w:szCs w:val="18"/>
              </w:rPr>
            </w:pPr>
            <w:r w:rsidRPr="00471CBA">
              <w:rPr>
                <w:b/>
                <w:bCs/>
                <w:sz w:val="18"/>
                <w:szCs w:val="18"/>
              </w:rPr>
              <w:t>15.368.077</w:t>
            </w:r>
          </w:p>
        </w:tc>
      </w:tr>
      <w:tr w:rsidR="0052668F" w:rsidRPr="00471CBA" w14:paraId="6E4C0AF4" w14:textId="77777777" w:rsidTr="0052668F">
        <w:trPr>
          <w:trHeight w:val="20"/>
        </w:trPr>
        <w:tc>
          <w:tcPr>
            <w:tcW w:w="5033" w:type="dxa"/>
            <w:tcBorders>
              <w:top w:val="nil"/>
              <w:left w:val="nil"/>
              <w:bottom w:val="nil"/>
              <w:right w:val="nil"/>
            </w:tcBorders>
            <w:noWrap/>
            <w:vAlign w:val="bottom"/>
            <w:hideMark/>
          </w:tcPr>
          <w:p w14:paraId="1FA90B95" w14:textId="77777777" w:rsidR="0052668F" w:rsidRPr="00471CBA" w:rsidRDefault="0052668F" w:rsidP="0052668F">
            <w:pPr>
              <w:rPr>
                <w:sz w:val="18"/>
                <w:szCs w:val="18"/>
              </w:rPr>
            </w:pPr>
          </w:p>
        </w:tc>
        <w:tc>
          <w:tcPr>
            <w:tcW w:w="2240" w:type="dxa"/>
            <w:tcBorders>
              <w:top w:val="nil"/>
              <w:left w:val="nil"/>
              <w:bottom w:val="nil"/>
              <w:right w:val="nil"/>
            </w:tcBorders>
            <w:vAlign w:val="bottom"/>
          </w:tcPr>
          <w:p w14:paraId="332E11FF" w14:textId="77777777" w:rsidR="0052668F" w:rsidRPr="00471CBA" w:rsidRDefault="0052668F" w:rsidP="0052668F">
            <w:pPr>
              <w:ind w:right="56"/>
              <w:jc w:val="right"/>
              <w:rPr>
                <w:sz w:val="18"/>
                <w:szCs w:val="18"/>
              </w:rPr>
            </w:pPr>
          </w:p>
        </w:tc>
        <w:tc>
          <w:tcPr>
            <w:tcW w:w="2240" w:type="dxa"/>
            <w:tcBorders>
              <w:top w:val="nil"/>
              <w:left w:val="nil"/>
              <w:bottom w:val="nil"/>
              <w:right w:val="nil"/>
            </w:tcBorders>
            <w:noWrap/>
            <w:vAlign w:val="bottom"/>
          </w:tcPr>
          <w:p w14:paraId="09752654" w14:textId="6C4E521E" w:rsidR="0052668F" w:rsidRPr="00471CBA" w:rsidRDefault="0052668F" w:rsidP="0052668F">
            <w:pPr>
              <w:ind w:right="56"/>
              <w:jc w:val="right"/>
              <w:rPr>
                <w:sz w:val="18"/>
                <w:szCs w:val="18"/>
              </w:rPr>
            </w:pPr>
          </w:p>
        </w:tc>
      </w:tr>
      <w:tr w:rsidR="0052668F" w:rsidRPr="00471CBA" w14:paraId="178B94BC" w14:textId="77777777" w:rsidTr="0052668F">
        <w:trPr>
          <w:trHeight w:val="20"/>
        </w:trPr>
        <w:tc>
          <w:tcPr>
            <w:tcW w:w="5033" w:type="dxa"/>
            <w:tcBorders>
              <w:top w:val="nil"/>
              <w:left w:val="nil"/>
              <w:bottom w:val="nil"/>
              <w:right w:val="nil"/>
            </w:tcBorders>
            <w:noWrap/>
            <w:vAlign w:val="bottom"/>
            <w:hideMark/>
          </w:tcPr>
          <w:p w14:paraId="764D1372" w14:textId="77777777" w:rsidR="0052668F" w:rsidRPr="00471CBA" w:rsidRDefault="0052668F" w:rsidP="0052668F">
            <w:pPr>
              <w:rPr>
                <w:b/>
                <w:bCs/>
                <w:sz w:val="18"/>
                <w:szCs w:val="18"/>
              </w:rPr>
            </w:pPr>
            <w:r w:rsidRPr="00471CBA">
              <w:rPr>
                <w:b/>
                <w:bCs/>
                <w:sz w:val="18"/>
                <w:szCs w:val="18"/>
              </w:rPr>
              <w:t>Riskten korunma amaçlı türev işlem türleri</w:t>
            </w:r>
          </w:p>
        </w:tc>
        <w:tc>
          <w:tcPr>
            <w:tcW w:w="2240" w:type="dxa"/>
            <w:tcBorders>
              <w:top w:val="nil"/>
              <w:left w:val="nil"/>
              <w:bottom w:val="nil"/>
              <w:right w:val="nil"/>
            </w:tcBorders>
            <w:vAlign w:val="bottom"/>
          </w:tcPr>
          <w:p w14:paraId="05EFF055" w14:textId="135F7B6B" w:rsidR="0052668F" w:rsidRPr="00471CBA" w:rsidRDefault="0052668F" w:rsidP="0052668F">
            <w:pPr>
              <w:ind w:right="56"/>
              <w:jc w:val="right"/>
              <w:rPr>
                <w:b/>
                <w:bCs/>
                <w:sz w:val="18"/>
                <w:szCs w:val="18"/>
              </w:rPr>
            </w:pPr>
            <w:r w:rsidRPr="00471CBA">
              <w:rPr>
                <w:b/>
                <w:bCs/>
                <w:sz w:val="18"/>
                <w:szCs w:val="18"/>
              </w:rPr>
              <w:t>-</w:t>
            </w:r>
          </w:p>
        </w:tc>
        <w:tc>
          <w:tcPr>
            <w:tcW w:w="2240" w:type="dxa"/>
            <w:tcBorders>
              <w:top w:val="nil"/>
              <w:left w:val="nil"/>
              <w:bottom w:val="nil"/>
              <w:right w:val="nil"/>
            </w:tcBorders>
            <w:noWrap/>
            <w:vAlign w:val="bottom"/>
          </w:tcPr>
          <w:p w14:paraId="60E3A05A" w14:textId="343E4437" w:rsidR="0052668F" w:rsidRPr="00471CBA" w:rsidRDefault="0052668F" w:rsidP="0052668F">
            <w:pPr>
              <w:ind w:right="56"/>
              <w:jc w:val="right"/>
              <w:rPr>
                <w:b/>
                <w:bCs/>
                <w:sz w:val="18"/>
                <w:szCs w:val="18"/>
              </w:rPr>
            </w:pPr>
            <w:r w:rsidRPr="00471CBA">
              <w:rPr>
                <w:b/>
                <w:bCs/>
                <w:sz w:val="18"/>
                <w:szCs w:val="18"/>
              </w:rPr>
              <w:t>-</w:t>
            </w:r>
          </w:p>
        </w:tc>
      </w:tr>
      <w:tr w:rsidR="0052668F" w:rsidRPr="00471CBA" w14:paraId="52B43D53" w14:textId="77777777" w:rsidTr="0052668F">
        <w:trPr>
          <w:trHeight w:val="20"/>
        </w:trPr>
        <w:tc>
          <w:tcPr>
            <w:tcW w:w="5033" w:type="dxa"/>
            <w:tcBorders>
              <w:top w:val="nil"/>
              <w:left w:val="nil"/>
              <w:bottom w:val="nil"/>
              <w:right w:val="nil"/>
            </w:tcBorders>
            <w:noWrap/>
            <w:vAlign w:val="bottom"/>
            <w:hideMark/>
          </w:tcPr>
          <w:p w14:paraId="60D5A352" w14:textId="77777777" w:rsidR="0052668F" w:rsidRPr="00471CBA" w:rsidRDefault="0052668F" w:rsidP="0052668F">
            <w:pPr>
              <w:ind w:firstLineChars="100" w:firstLine="180"/>
              <w:rPr>
                <w:sz w:val="18"/>
                <w:szCs w:val="18"/>
              </w:rPr>
            </w:pPr>
            <w:r w:rsidRPr="00471CBA">
              <w:rPr>
                <w:sz w:val="18"/>
                <w:szCs w:val="18"/>
              </w:rPr>
              <w:t>Gerçeğe uygun değer değişikliği riskinden korunma amaçlı</w:t>
            </w:r>
          </w:p>
        </w:tc>
        <w:tc>
          <w:tcPr>
            <w:tcW w:w="2240" w:type="dxa"/>
            <w:tcBorders>
              <w:top w:val="nil"/>
              <w:left w:val="nil"/>
              <w:bottom w:val="nil"/>
              <w:right w:val="nil"/>
            </w:tcBorders>
            <w:vAlign w:val="bottom"/>
          </w:tcPr>
          <w:p w14:paraId="7EE77560" w14:textId="4CDE22E2" w:rsidR="0052668F" w:rsidRPr="00471CBA" w:rsidRDefault="0052668F" w:rsidP="0052668F">
            <w:pPr>
              <w:ind w:right="56" w:firstLineChars="100" w:firstLine="180"/>
              <w:jc w:val="right"/>
              <w:rPr>
                <w:sz w:val="18"/>
                <w:szCs w:val="18"/>
              </w:rPr>
            </w:pPr>
            <w:r w:rsidRPr="00471CBA">
              <w:rPr>
                <w:sz w:val="18"/>
                <w:szCs w:val="18"/>
              </w:rPr>
              <w:t>-</w:t>
            </w:r>
          </w:p>
        </w:tc>
        <w:tc>
          <w:tcPr>
            <w:tcW w:w="2240" w:type="dxa"/>
            <w:tcBorders>
              <w:top w:val="nil"/>
              <w:left w:val="nil"/>
              <w:bottom w:val="nil"/>
              <w:right w:val="nil"/>
            </w:tcBorders>
            <w:noWrap/>
            <w:vAlign w:val="bottom"/>
          </w:tcPr>
          <w:p w14:paraId="108ED5FE" w14:textId="217D003C" w:rsidR="0052668F" w:rsidRPr="00471CBA" w:rsidRDefault="0052668F" w:rsidP="0052668F">
            <w:pPr>
              <w:ind w:right="56" w:firstLineChars="100" w:firstLine="180"/>
              <w:jc w:val="right"/>
              <w:rPr>
                <w:sz w:val="18"/>
                <w:szCs w:val="18"/>
              </w:rPr>
            </w:pPr>
            <w:r w:rsidRPr="00471CBA">
              <w:rPr>
                <w:sz w:val="18"/>
                <w:szCs w:val="18"/>
              </w:rPr>
              <w:t>-</w:t>
            </w:r>
          </w:p>
        </w:tc>
      </w:tr>
      <w:tr w:rsidR="0052668F" w:rsidRPr="00471CBA" w14:paraId="1643807B" w14:textId="77777777" w:rsidTr="0052668F">
        <w:trPr>
          <w:trHeight w:val="20"/>
        </w:trPr>
        <w:tc>
          <w:tcPr>
            <w:tcW w:w="5033" w:type="dxa"/>
            <w:tcBorders>
              <w:top w:val="nil"/>
              <w:left w:val="nil"/>
              <w:bottom w:val="nil"/>
              <w:right w:val="nil"/>
            </w:tcBorders>
            <w:noWrap/>
            <w:vAlign w:val="bottom"/>
            <w:hideMark/>
          </w:tcPr>
          <w:p w14:paraId="67A18100" w14:textId="77777777" w:rsidR="0052668F" w:rsidRPr="00471CBA" w:rsidRDefault="0052668F" w:rsidP="0052668F">
            <w:pPr>
              <w:ind w:firstLineChars="100" w:firstLine="180"/>
              <w:rPr>
                <w:sz w:val="18"/>
                <w:szCs w:val="18"/>
              </w:rPr>
            </w:pPr>
            <w:r w:rsidRPr="00471CBA">
              <w:rPr>
                <w:sz w:val="18"/>
                <w:szCs w:val="18"/>
              </w:rPr>
              <w:t>Nakit akış riskinden korunma amaçlı</w:t>
            </w:r>
          </w:p>
        </w:tc>
        <w:tc>
          <w:tcPr>
            <w:tcW w:w="2240" w:type="dxa"/>
            <w:tcBorders>
              <w:top w:val="nil"/>
              <w:left w:val="nil"/>
              <w:bottom w:val="nil"/>
              <w:right w:val="nil"/>
            </w:tcBorders>
            <w:vAlign w:val="bottom"/>
          </w:tcPr>
          <w:p w14:paraId="39DED3C3" w14:textId="40383286" w:rsidR="0052668F" w:rsidRPr="00471CBA" w:rsidRDefault="0052668F" w:rsidP="0052668F">
            <w:pPr>
              <w:ind w:right="56" w:firstLineChars="100" w:firstLine="180"/>
              <w:jc w:val="right"/>
              <w:rPr>
                <w:sz w:val="18"/>
                <w:szCs w:val="18"/>
              </w:rPr>
            </w:pPr>
            <w:r w:rsidRPr="00471CBA">
              <w:rPr>
                <w:sz w:val="18"/>
                <w:szCs w:val="18"/>
              </w:rPr>
              <w:t>-</w:t>
            </w:r>
          </w:p>
        </w:tc>
        <w:tc>
          <w:tcPr>
            <w:tcW w:w="2240" w:type="dxa"/>
            <w:tcBorders>
              <w:top w:val="nil"/>
              <w:left w:val="nil"/>
              <w:bottom w:val="nil"/>
              <w:right w:val="nil"/>
            </w:tcBorders>
            <w:noWrap/>
            <w:vAlign w:val="bottom"/>
          </w:tcPr>
          <w:p w14:paraId="346EB5DC" w14:textId="0FA8612C" w:rsidR="0052668F" w:rsidRPr="00471CBA" w:rsidRDefault="0052668F" w:rsidP="0052668F">
            <w:pPr>
              <w:ind w:right="56" w:firstLineChars="100" w:firstLine="180"/>
              <w:jc w:val="right"/>
              <w:rPr>
                <w:sz w:val="18"/>
                <w:szCs w:val="18"/>
              </w:rPr>
            </w:pPr>
            <w:r w:rsidRPr="00471CBA">
              <w:rPr>
                <w:sz w:val="18"/>
                <w:szCs w:val="18"/>
              </w:rPr>
              <w:t>-</w:t>
            </w:r>
          </w:p>
        </w:tc>
      </w:tr>
      <w:tr w:rsidR="0052668F" w:rsidRPr="00471CBA" w14:paraId="2E1E4EDD" w14:textId="77777777" w:rsidTr="0052668F">
        <w:trPr>
          <w:trHeight w:val="20"/>
        </w:trPr>
        <w:tc>
          <w:tcPr>
            <w:tcW w:w="5033" w:type="dxa"/>
            <w:tcBorders>
              <w:top w:val="nil"/>
              <w:left w:val="nil"/>
              <w:bottom w:val="nil"/>
              <w:right w:val="nil"/>
            </w:tcBorders>
            <w:noWrap/>
            <w:vAlign w:val="bottom"/>
            <w:hideMark/>
          </w:tcPr>
          <w:p w14:paraId="36A4B411" w14:textId="77777777" w:rsidR="0052668F" w:rsidRPr="00471CBA" w:rsidRDefault="0052668F" w:rsidP="0052668F">
            <w:pPr>
              <w:ind w:firstLineChars="100" w:firstLine="180"/>
              <w:rPr>
                <w:sz w:val="18"/>
                <w:szCs w:val="18"/>
              </w:rPr>
            </w:pPr>
            <w:r w:rsidRPr="00471CBA">
              <w:rPr>
                <w:sz w:val="18"/>
                <w:szCs w:val="18"/>
              </w:rPr>
              <w:t>YP üzerinden yapılan iştirak yatırımları riskinden korunma amaçlı</w:t>
            </w:r>
          </w:p>
        </w:tc>
        <w:tc>
          <w:tcPr>
            <w:tcW w:w="2240" w:type="dxa"/>
            <w:tcBorders>
              <w:top w:val="nil"/>
              <w:left w:val="nil"/>
              <w:bottom w:val="nil"/>
              <w:right w:val="nil"/>
            </w:tcBorders>
            <w:vAlign w:val="bottom"/>
          </w:tcPr>
          <w:p w14:paraId="679CD1A8" w14:textId="4B9D5FCD" w:rsidR="0052668F" w:rsidRPr="00471CBA" w:rsidRDefault="0052668F" w:rsidP="0052668F">
            <w:pPr>
              <w:ind w:right="56" w:firstLineChars="100" w:firstLine="180"/>
              <w:jc w:val="right"/>
              <w:rPr>
                <w:sz w:val="18"/>
                <w:szCs w:val="18"/>
              </w:rPr>
            </w:pPr>
            <w:r w:rsidRPr="00471CBA">
              <w:rPr>
                <w:sz w:val="18"/>
                <w:szCs w:val="18"/>
              </w:rPr>
              <w:t>-</w:t>
            </w:r>
          </w:p>
        </w:tc>
        <w:tc>
          <w:tcPr>
            <w:tcW w:w="2240" w:type="dxa"/>
            <w:tcBorders>
              <w:top w:val="nil"/>
              <w:left w:val="nil"/>
              <w:bottom w:val="nil"/>
              <w:right w:val="nil"/>
            </w:tcBorders>
            <w:noWrap/>
            <w:vAlign w:val="bottom"/>
          </w:tcPr>
          <w:p w14:paraId="0623FFF0" w14:textId="6128C5C6" w:rsidR="0052668F" w:rsidRPr="00471CBA" w:rsidRDefault="0052668F" w:rsidP="0052668F">
            <w:pPr>
              <w:ind w:right="56" w:firstLineChars="100" w:firstLine="180"/>
              <w:jc w:val="right"/>
              <w:rPr>
                <w:sz w:val="18"/>
                <w:szCs w:val="18"/>
              </w:rPr>
            </w:pPr>
            <w:r w:rsidRPr="00471CBA">
              <w:rPr>
                <w:sz w:val="18"/>
                <w:szCs w:val="18"/>
              </w:rPr>
              <w:t>-</w:t>
            </w:r>
          </w:p>
        </w:tc>
      </w:tr>
      <w:tr w:rsidR="0052668F" w:rsidRPr="00471CBA" w14:paraId="5C9E9264" w14:textId="77777777" w:rsidTr="0052668F">
        <w:trPr>
          <w:trHeight w:val="20"/>
        </w:trPr>
        <w:tc>
          <w:tcPr>
            <w:tcW w:w="5033" w:type="dxa"/>
            <w:tcBorders>
              <w:top w:val="nil"/>
              <w:left w:val="nil"/>
              <w:right w:val="nil"/>
            </w:tcBorders>
            <w:noWrap/>
            <w:vAlign w:val="bottom"/>
            <w:hideMark/>
          </w:tcPr>
          <w:p w14:paraId="5BC4425C" w14:textId="77777777" w:rsidR="0052668F" w:rsidRPr="00471CBA" w:rsidRDefault="0052668F" w:rsidP="0052668F">
            <w:pPr>
              <w:rPr>
                <w:b/>
                <w:bCs/>
                <w:sz w:val="18"/>
                <w:szCs w:val="18"/>
              </w:rPr>
            </w:pPr>
            <w:r w:rsidRPr="00471CBA">
              <w:rPr>
                <w:b/>
                <w:bCs/>
                <w:sz w:val="18"/>
                <w:szCs w:val="18"/>
              </w:rPr>
              <w:t>B. Toplam riskten korunma amaçlı türev işlemler</w:t>
            </w:r>
          </w:p>
        </w:tc>
        <w:tc>
          <w:tcPr>
            <w:tcW w:w="2240" w:type="dxa"/>
            <w:tcBorders>
              <w:top w:val="nil"/>
              <w:left w:val="nil"/>
              <w:right w:val="nil"/>
            </w:tcBorders>
            <w:vAlign w:val="bottom"/>
          </w:tcPr>
          <w:p w14:paraId="1332A79B" w14:textId="2AF025A6" w:rsidR="0052668F" w:rsidRPr="00471CBA" w:rsidRDefault="0052668F" w:rsidP="0052668F">
            <w:pPr>
              <w:spacing w:before="100" w:beforeAutospacing="1" w:after="100" w:afterAutospacing="1"/>
              <w:ind w:right="56"/>
              <w:jc w:val="right"/>
              <w:rPr>
                <w:b/>
                <w:bCs/>
                <w:sz w:val="18"/>
                <w:szCs w:val="18"/>
              </w:rPr>
            </w:pPr>
            <w:r w:rsidRPr="00471CBA">
              <w:rPr>
                <w:b/>
                <w:bCs/>
                <w:sz w:val="18"/>
                <w:szCs w:val="18"/>
              </w:rPr>
              <w:t>-</w:t>
            </w:r>
          </w:p>
        </w:tc>
        <w:tc>
          <w:tcPr>
            <w:tcW w:w="2240" w:type="dxa"/>
            <w:tcBorders>
              <w:top w:val="nil"/>
              <w:left w:val="nil"/>
              <w:right w:val="nil"/>
            </w:tcBorders>
            <w:noWrap/>
            <w:vAlign w:val="bottom"/>
          </w:tcPr>
          <w:p w14:paraId="1954932B" w14:textId="2B279FCF" w:rsidR="0052668F" w:rsidRPr="00471CBA" w:rsidRDefault="0052668F" w:rsidP="0052668F">
            <w:pPr>
              <w:spacing w:before="100" w:beforeAutospacing="1" w:after="100" w:afterAutospacing="1"/>
              <w:ind w:right="56"/>
              <w:jc w:val="right"/>
              <w:rPr>
                <w:b/>
                <w:bCs/>
                <w:sz w:val="18"/>
                <w:szCs w:val="18"/>
              </w:rPr>
            </w:pPr>
            <w:r w:rsidRPr="00471CBA">
              <w:rPr>
                <w:b/>
                <w:bCs/>
                <w:sz w:val="18"/>
                <w:szCs w:val="18"/>
              </w:rPr>
              <w:t>-</w:t>
            </w:r>
          </w:p>
        </w:tc>
      </w:tr>
      <w:tr w:rsidR="0052668F" w:rsidRPr="00471CBA" w14:paraId="1C89691B" w14:textId="77777777" w:rsidTr="0052668F">
        <w:trPr>
          <w:trHeight w:val="20"/>
        </w:trPr>
        <w:tc>
          <w:tcPr>
            <w:tcW w:w="5033" w:type="dxa"/>
            <w:tcBorders>
              <w:top w:val="nil"/>
              <w:left w:val="nil"/>
              <w:bottom w:val="single" w:sz="4" w:space="0" w:color="auto"/>
              <w:right w:val="nil"/>
            </w:tcBorders>
            <w:noWrap/>
            <w:vAlign w:val="bottom"/>
          </w:tcPr>
          <w:p w14:paraId="4A62E1E4" w14:textId="77777777" w:rsidR="0052668F" w:rsidRPr="00471CBA" w:rsidRDefault="0052668F" w:rsidP="0052668F">
            <w:pPr>
              <w:rPr>
                <w:b/>
                <w:bCs/>
                <w:sz w:val="18"/>
                <w:szCs w:val="18"/>
              </w:rPr>
            </w:pPr>
          </w:p>
        </w:tc>
        <w:tc>
          <w:tcPr>
            <w:tcW w:w="2240" w:type="dxa"/>
            <w:tcBorders>
              <w:top w:val="nil"/>
              <w:left w:val="nil"/>
              <w:bottom w:val="single" w:sz="4" w:space="0" w:color="auto"/>
              <w:right w:val="nil"/>
            </w:tcBorders>
            <w:vAlign w:val="bottom"/>
          </w:tcPr>
          <w:p w14:paraId="4E80C051" w14:textId="77777777" w:rsidR="0052668F" w:rsidRPr="00471CBA" w:rsidRDefault="0052668F" w:rsidP="0052668F">
            <w:pPr>
              <w:spacing w:before="100" w:beforeAutospacing="1" w:after="100" w:afterAutospacing="1"/>
              <w:ind w:right="56"/>
              <w:jc w:val="right"/>
              <w:rPr>
                <w:b/>
                <w:sz w:val="18"/>
                <w:szCs w:val="18"/>
              </w:rPr>
            </w:pPr>
          </w:p>
        </w:tc>
        <w:tc>
          <w:tcPr>
            <w:tcW w:w="2240" w:type="dxa"/>
            <w:tcBorders>
              <w:top w:val="nil"/>
              <w:left w:val="nil"/>
              <w:bottom w:val="single" w:sz="4" w:space="0" w:color="auto"/>
              <w:right w:val="nil"/>
            </w:tcBorders>
            <w:noWrap/>
            <w:vAlign w:val="bottom"/>
          </w:tcPr>
          <w:p w14:paraId="3C5ED11F" w14:textId="77777777" w:rsidR="0052668F" w:rsidRPr="00471CBA" w:rsidRDefault="0052668F" w:rsidP="0052668F">
            <w:pPr>
              <w:spacing w:before="100" w:beforeAutospacing="1" w:after="100" w:afterAutospacing="1"/>
              <w:ind w:right="56"/>
              <w:jc w:val="right"/>
              <w:rPr>
                <w:b/>
                <w:sz w:val="18"/>
                <w:szCs w:val="18"/>
              </w:rPr>
            </w:pPr>
          </w:p>
        </w:tc>
      </w:tr>
      <w:tr w:rsidR="0052668F" w:rsidRPr="00471CBA" w14:paraId="2E225F2A" w14:textId="77777777" w:rsidTr="0052668F">
        <w:trPr>
          <w:trHeight w:val="20"/>
        </w:trPr>
        <w:tc>
          <w:tcPr>
            <w:tcW w:w="5033" w:type="dxa"/>
            <w:tcBorders>
              <w:top w:val="single" w:sz="4" w:space="0" w:color="auto"/>
              <w:left w:val="nil"/>
              <w:bottom w:val="single" w:sz="12" w:space="0" w:color="auto"/>
              <w:right w:val="nil"/>
            </w:tcBorders>
            <w:noWrap/>
            <w:vAlign w:val="bottom"/>
            <w:hideMark/>
          </w:tcPr>
          <w:p w14:paraId="5E91F84A" w14:textId="77777777" w:rsidR="0052668F" w:rsidRPr="00471CBA" w:rsidRDefault="0052668F" w:rsidP="0052668F">
            <w:pPr>
              <w:rPr>
                <w:b/>
                <w:bCs/>
                <w:sz w:val="18"/>
                <w:szCs w:val="18"/>
              </w:rPr>
            </w:pPr>
            <w:r w:rsidRPr="00471CBA">
              <w:rPr>
                <w:b/>
                <w:bCs/>
                <w:sz w:val="18"/>
                <w:szCs w:val="18"/>
              </w:rPr>
              <w:t>Türev işlemler toplamı (A+B)</w:t>
            </w:r>
          </w:p>
        </w:tc>
        <w:tc>
          <w:tcPr>
            <w:tcW w:w="2240" w:type="dxa"/>
            <w:tcBorders>
              <w:top w:val="single" w:sz="4" w:space="0" w:color="auto"/>
              <w:left w:val="nil"/>
              <w:bottom w:val="single" w:sz="12" w:space="0" w:color="auto"/>
              <w:right w:val="nil"/>
            </w:tcBorders>
            <w:vAlign w:val="bottom"/>
          </w:tcPr>
          <w:p w14:paraId="20EF13AA" w14:textId="3E80835C" w:rsidR="0052668F" w:rsidRPr="00471CBA" w:rsidRDefault="0052668F" w:rsidP="0052668F">
            <w:pPr>
              <w:ind w:right="56"/>
              <w:jc w:val="right"/>
              <w:rPr>
                <w:b/>
                <w:bCs/>
                <w:sz w:val="18"/>
                <w:szCs w:val="18"/>
              </w:rPr>
            </w:pPr>
            <w:r w:rsidRPr="00471CBA">
              <w:rPr>
                <w:b/>
                <w:bCs/>
                <w:sz w:val="18"/>
                <w:szCs w:val="18"/>
              </w:rPr>
              <w:t>274.242.790</w:t>
            </w:r>
          </w:p>
        </w:tc>
        <w:tc>
          <w:tcPr>
            <w:tcW w:w="2240" w:type="dxa"/>
            <w:tcBorders>
              <w:top w:val="single" w:sz="4" w:space="0" w:color="auto"/>
              <w:left w:val="nil"/>
              <w:bottom w:val="single" w:sz="12" w:space="0" w:color="auto"/>
              <w:right w:val="nil"/>
            </w:tcBorders>
            <w:noWrap/>
            <w:vAlign w:val="bottom"/>
          </w:tcPr>
          <w:p w14:paraId="0ED22000" w14:textId="1865F015" w:rsidR="0052668F" w:rsidRPr="00471CBA" w:rsidRDefault="0052668F" w:rsidP="0052668F">
            <w:pPr>
              <w:ind w:right="56"/>
              <w:jc w:val="right"/>
              <w:rPr>
                <w:b/>
                <w:bCs/>
                <w:sz w:val="18"/>
                <w:szCs w:val="18"/>
              </w:rPr>
            </w:pPr>
            <w:r w:rsidRPr="00471CBA">
              <w:rPr>
                <w:b/>
                <w:bCs/>
                <w:sz w:val="18"/>
                <w:szCs w:val="18"/>
              </w:rPr>
              <w:t>15.368.077</w:t>
            </w:r>
          </w:p>
        </w:tc>
      </w:tr>
    </w:tbl>
    <w:p w14:paraId="3AABC73A" w14:textId="77777777" w:rsidR="006025D3" w:rsidRPr="006025D3" w:rsidRDefault="006025D3">
      <w:pPr>
        <w:rPr>
          <w:sz w:val="12"/>
          <w:szCs w:val="16"/>
        </w:rPr>
      </w:pPr>
      <w:r w:rsidRPr="006025D3">
        <w:rPr>
          <w:sz w:val="12"/>
          <w:szCs w:val="16"/>
        </w:rPr>
        <w:br w:type="page"/>
      </w:r>
    </w:p>
    <w:p w14:paraId="11340626" w14:textId="77777777" w:rsidR="006025D3" w:rsidRPr="006025D3" w:rsidRDefault="006025D3" w:rsidP="006025D3">
      <w:pPr>
        <w:widowControl w:val="0"/>
        <w:spacing w:line="228" w:lineRule="auto"/>
        <w:jc w:val="both"/>
        <w:rPr>
          <w:b/>
          <w:szCs w:val="20"/>
        </w:rPr>
      </w:pPr>
      <w:r w:rsidRPr="006025D3">
        <w:rPr>
          <w:b/>
          <w:szCs w:val="20"/>
        </w:rPr>
        <w:t>KONSOLİDE OLMAYAN FİNANSAL TABLOLARA İLİŞKİN AÇIKLAMA VE DİPNOTLAR (Devamı)</w:t>
      </w:r>
    </w:p>
    <w:p w14:paraId="13DC94B5" w14:textId="77777777" w:rsidR="006025D3" w:rsidRPr="006025D3" w:rsidRDefault="006025D3" w:rsidP="006025D3">
      <w:pPr>
        <w:widowControl w:val="0"/>
        <w:spacing w:line="228" w:lineRule="auto"/>
        <w:ind w:left="-14" w:hanging="504"/>
        <w:jc w:val="both"/>
        <w:rPr>
          <w:b/>
          <w:szCs w:val="20"/>
        </w:rPr>
      </w:pPr>
    </w:p>
    <w:p w14:paraId="1041A060" w14:textId="77777777" w:rsidR="006025D3" w:rsidRPr="006025D3" w:rsidRDefault="006025D3" w:rsidP="006025D3">
      <w:pPr>
        <w:widowControl w:val="0"/>
        <w:spacing w:line="228" w:lineRule="auto"/>
        <w:ind w:left="851" w:hanging="851"/>
        <w:jc w:val="both"/>
        <w:rPr>
          <w:b/>
          <w:szCs w:val="20"/>
        </w:rPr>
      </w:pPr>
      <w:r w:rsidRPr="006025D3">
        <w:rPr>
          <w:b/>
          <w:szCs w:val="20"/>
        </w:rPr>
        <w:t xml:space="preserve">III. </w:t>
      </w:r>
      <w:r w:rsidRPr="006025D3">
        <w:rPr>
          <w:b/>
          <w:szCs w:val="20"/>
        </w:rPr>
        <w:tab/>
        <w:t>NAZIM HESAPLARA İLİŞKİN AÇIKLAMA VE DİPNOTLAR (Devamı)</w:t>
      </w:r>
    </w:p>
    <w:p w14:paraId="01C665BB" w14:textId="77777777" w:rsidR="002432BC" w:rsidRPr="006025D3" w:rsidRDefault="002432BC" w:rsidP="002432BC">
      <w:pPr>
        <w:rPr>
          <w:szCs w:val="20"/>
        </w:rPr>
      </w:pPr>
    </w:p>
    <w:p w14:paraId="4357B09B" w14:textId="77777777" w:rsidR="002432BC" w:rsidRPr="006025D3" w:rsidRDefault="002432BC" w:rsidP="008459A9">
      <w:pPr>
        <w:pStyle w:val="ListeParagraf"/>
        <w:widowControl w:val="0"/>
        <w:numPr>
          <w:ilvl w:val="0"/>
          <w:numId w:val="50"/>
        </w:numPr>
        <w:spacing w:line="216" w:lineRule="auto"/>
        <w:ind w:left="851" w:hanging="851"/>
        <w:jc w:val="both"/>
        <w:rPr>
          <w:b/>
          <w:szCs w:val="20"/>
        </w:rPr>
      </w:pPr>
      <w:r w:rsidRPr="006025D3">
        <w:rPr>
          <w:b/>
          <w:szCs w:val="20"/>
        </w:rPr>
        <w:t>Koşullu borçlar ve varlıklara ilişkin açıklamalar:</w:t>
      </w:r>
    </w:p>
    <w:p w14:paraId="161F0CB1" w14:textId="77777777" w:rsidR="002432BC" w:rsidRPr="006025D3" w:rsidRDefault="002432BC" w:rsidP="001B2BE5">
      <w:pPr>
        <w:pStyle w:val="xl81"/>
        <w:pBdr>
          <w:left w:val="none" w:sz="0" w:space="0" w:color="auto"/>
        </w:pBdr>
        <w:spacing w:before="120" w:beforeAutospacing="0" w:after="120" w:afterAutospacing="0"/>
        <w:ind w:left="851" w:right="210"/>
        <w:jc w:val="both"/>
        <w:textAlignment w:val="auto"/>
        <w:rPr>
          <w:rFonts w:eastAsia="Times New Roman"/>
          <w:b/>
          <w:sz w:val="20"/>
          <w:szCs w:val="20"/>
        </w:rPr>
      </w:pPr>
      <w:r w:rsidRPr="006025D3">
        <w:rPr>
          <w:sz w:val="20"/>
          <w:szCs w:val="20"/>
        </w:rPr>
        <w:t>Bulunmamaktadır.</w:t>
      </w:r>
    </w:p>
    <w:bookmarkEnd w:id="140"/>
    <w:p w14:paraId="7D5F6AD0" w14:textId="77777777" w:rsidR="009235DE" w:rsidRPr="006025D3" w:rsidRDefault="009235DE" w:rsidP="000D6A42">
      <w:pPr>
        <w:widowControl w:val="0"/>
        <w:spacing w:line="216" w:lineRule="auto"/>
        <w:ind w:right="324"/>
        <w:jc w:val="both"/>
        <w:rPr>
          <w:iCs/>
          <w:szCs w:val="20"/>
        </w:rPr>
      </w:pPr>
    </w:p>
    <w:bookmarkEnd w:id="141"/>
    <w:p w14:paraId="4B429FC9" w14:textId="6BF36016" w:rsidR="00B56215" w:rsidRPr="006025D3" w:rsidRDefault="00B56215" w:rsidP="008459A9">
      <w:pPr>
        <w:pStyle w:val="ListeParagraf"/>
        <w:widowControl w:val="0"/>
        <w:numPr>
          <w:ilvl w:val="0"/>
          <w:numId w:val="50"/>
        </w:numPr>
        <w:spacing w:line="216" w:lineRule="auto"/>
        <w:ind w:left="851" w:hanging="851"/>
        <w:jc w:val="both"/>
        <w:rPr>
          <w:b/>
          <w:szCs w:val="20"/>
        </w:rPr>
      </w:pPr>
      <w:r w:rsidRPr="006025D3">
        <w:rPr>
          <w:b/>
          <w:szCs w:val="20"/>
        </w:rPr>
        <w:t>Başkaları nam ve hesabına verilen hizmetlere ilişkin açıklamalar:</w:t>
      </w:r>
    </w:p>
    <w:p w14:paraId="16943646" w14:textId="77777777" w:rsidR="00CD770B" w:rsidRPr="006025D3" w:rsidRDefault="00CD770B" w:rsidP="000D6A42">
      <w:pPr>
        <w:widowControl w:val="0"/>
        <w:autoSpaceDE w:val="0"/>
        <w:autoSpaceDN w:val="0"/>
        <w:adjustRightInd w:val="0"/>
        <w:spacing w:line="216" w:lineRule="auto"/>
        <w:ind w:left="14" w:right="210"/>
        <w:jc w:val="both"/>
        <w:rPr>
          <w:szCs w:val="20"/>
        </w:rPr>
      </w:pPr>
    </w:p>
    <w:p w14:paraId="532BA501" w14:textId="77777777" w:rsidR="008679D6" w:rsidRPr="006025D3" w:rsidRDefault="008679D6" w:rsidP="008679D6">
      <w:pPr>
        <w:pStyle w:val="BASLIK2"/>
        <w:spacing w:before="0" w:after="0" w:line="216" w:lineRule="auto"/>
        <w:ind w:left="851" w:firstLine="0"/>
        <w:rPr>
          <w:b w:val="0"/>
          <w:bCs w:val="0"/>
          <w:sz w:val="20"/>
          <w:szCs w:val="20"/>
        </w:rPr>
      </w:pPr>
      <w:r w:rsidRPr="006025D3">
        <w:rPr>
          <w:b w:val="0"/>
          <w:bCs w:val="0"/>
          <w:sz w:val="20"/>
          <w:szCs w:val="20"/>
        </w:rPr>
        <w:t>Banka’nın gerçek ve tüzel kişiler, vakıflar, emeklilik sigortası fonları ve diğer kurumlar adına plasmanda bulunma gibi faaliyetleri bulunmamaktadır.</w:t>
      </w:r>
    </w:p>
    <w:p w14:paraId="3D0000FA" w14:textId="77777777" w:rsidR="00FA5061" w:rsidRPr="006025D3" w:rsidRDefault="00FA5061" w:rsidP="000D6A42">
      <w:pPr>
        <w:pStyle w:val="BASLIK2"/>
        <w:spacing w:before="0" w:after="0" w:line="216" w:lineRule="auto"/>
        <w:ind w:left="851" w:firstLine="0"/>
        <w:rPr>
          <w:b w:val="0"/>
          <w:bCs w:val="0"/>
          <w:sz w:val="20"/>
          <w:szCs w:val="20"/>
        </w:rPr>
      </w:pPr>
    </w:p>
    <w:p w14:paraId="5941B595" w14:textId="77777777" w:rsidR="00FA5061" w:rsidRPr="006025D3" w:rsidRDefault="00FA5061" w:rsidP="000D6A42">
      <w:pPr>
        <w:pStyle w:val="BASLIK2"/>
        <w:tabs>
          <w:tab w:val="left" w:pos="851"/>
        </w:tabs>
        <w:spacing w:before="0" w:after="0" w:line="216" w:lineRule="auto"/>
        <w:ind w:left="14" w:firstLine="0"/>
        <w:rPr>
          <w:bCs w:val="0"/>
          <w:sz w:val="20"/>
          <w:szCs w:val="20"/>
          <w:lang w:eastAsia="tr-TR"/>
        </w:rPr>
      </w:pPr>
      <w:bookmarkStart w:id="143" w:name="_Hlk189814462"/>
      <w:r w:rsidRPr="006025D3">
        <w:rPr>
          <w:bCs w:val="0"/>
          <w:sz w:val="20"/>
          <w:szCs w:val="20"/>
          <w:lang w:eastAsia="tr-TR"/>
        </w:rPr>
        <w:t>5.</w:t>
      </w:r>
      <w:r w:rsidRPr="006025D3">
        <w:rPr>
          <w:bCs w:val="0"/>
          <w:sz w:val="20"/>
          <w:szCs w:val="20"/>
          <w:lang w:eastAsia="tr-TR"/>
        </w:rPr>
        <w:tab/>
        <w:t>Diğer</w:t>
      </w:r>
    </w:p>
    <w:p w14:paraId="24575150" w14:textId="77777777" w:rsidR="00FA5061" w:rsidRPr="006025D3" w:rsidRDefault="00FA5061" w:rsidP="000D6A42">
      <w:pPr>
        <w:pStyle w:val="BASLIK2"/>
        <w:spacing w:before="0" w:after="0" w:line="216" w:lineRule="auto"/>
        <w:ind w:left="14" w:firstLine="0"/>
        <w:rPr>
          <w:bCs w:val="0"/>
          <w:sz w:val="20"/>
          <w:szCs w:val="20"/>
          <w:lang w:eastAsia="tr-TR"/>
        </w:rPr>
      </w:pPr>
    </w:p>
    <w:p w14:paraId="43A8D280" w14:textId="437A143C" w:rsidR="008679D6" w:rsidRPr="006025D3" w:rsidRDefault="009A3A4D" w:rsidP="008679D6">
      <w:pPr>
        <w:autoSpaceDE w:val="0"/>
        <w:autoSpaceDN w:val="0"/>
        <w:adjustRightInd w:val="0"/>
        <w:snapToGrid w:val="0"/>
        <w:spacing w:line="216" w:lineRule="auto"/>
        <w:ind w:left="840"/>
        <w:jc w:val="both"/>
        <w:rPr>
          <w:color w:val="000000"/>
          <w:szCs w:val="20"/>
        </w:rPr>
      </w:pPr>
      <w:r w:rsidRPr="006025D3">
        <w:rPr>
          <w:color w:val="000000"/>
          <w:szCs w:val="20"/>
        </w:rPr>
        <w:t>31 Aralık</w:t>
      </w:r>
      <w:r w:rsidR="00097B3F" w:rsidRPr="006025D3">
        <w:rPr>
          <w:color w:val="000000"/>
          <w:szCs w:val="20"/>
        </w:rPr>
        <w:t xml:space="preserve"> 2025</w:t>
      </w:r>
      <w:r w:rsidR="008679D6" w:rsidRPr="006025D3">
        <w:rPr>
          <w:color w:val="000000"/>
          <w:szCs w:val="20"/>
        </w:rPr>
        <w:t xml:space="preserve"> tarihi itibarıyla, Uzan Grubuna ait eski şirketlere verilmiş olan </w:t>
      </w:r>
      <w:bookmarkStart w:id="144" w:name="_Hlk213402854"/>
      <w:r w:rsidR="00095552" w:rsidRPr="006025D3">
        <w:rPr>
          <w:color w:val="000000"/>
          <w:szCs w:val="20"/>
        </w:rPr>
        <w:t>7.890</w:t>
      </w:r>
      <w:r w:rsidR="008679D6" w:rsidRPr="006025D3">
        <w:rPr>
          <w:color w:val="000000"/>
          <w:szCs w:val="20"/>
        </w:rPr>
        <w:t xml:space="preserve"> </w:t>
      </w:r>
      <w:bookmarkEnd w:id="144"/>
      <w:r w:rsidR="008679D6" w:rsidRPr="006025D3">
        <w:rPr>
          <w:color w:val="000000"/>
          <w:szCs w:val="20"/>
        </w:rPr>
        <w:t xml:space="preserve">TL tutarında teminat mektupları mevcut olup ilgili teminat mektuplarının </w:t>
      </w:r>
      <w:bookmarkStart w:id="145" w:name="_Hlk213402862"/>
      <w:r w:rsidR="00095552" w:rsidRPr="006025D3">
        <w:rPr>
          <w:color w:val="000000"/>
          <w:szCs w:val="20"/>
        </w:rPr>
        <w:t>7.888</w:t>
      </w:r>
      <w:r w:rsidR="008679D6" w:rsidRPr="006025D3">
        <w:rPr>
          <w:color w:val="000000"/>
          <w:szCs w:val="20"/>
        </w:rPr>
        <w:t xml:space="preserve"> </w:t>
      </w:r>
      <w:bookmarkEnd w:id="145"/>
      <w:r w:rsidR="008679D6" w:rsidRPr="006025D3">
        <w:rPr>
          <w:color w:val="000000"/>
          <w:szCs w:val="20"/>
        </w:rPr>
        <w:t xml:space="preserve">TL tutarındaki kısmı için herhangi bir teminat bulunmamaktadır. </w:t>
      </w:r>
      <w:r w:rsidRPr="006025D3">
        <w:rPr>
          <w:color w:val="000000"/>
          <w:szCs w:val="20"/>
        </w:rPr>
        <w:t xml:space="preserve">31 Aralık </w:t>
      </w:r>
      <w:r w:rsidR="00EE5048" w:rsidRPr="006025D3">
        <w:rPr>
          <w:color w:val="000000"/>
          <w:szCs w:val="20"/>
        </w:rPr>
        <w:t>2025</w:t>
      </w:r>
      <w:r w:rsidR="008679D6" w:rsidRPr="006025D3">
        <w:rPr>
          <w:color w:val="000000"/>
          <w:szCs w:val="20"/>
        </w:rPr>
        <w:t xml:space="preserve"> tarihi itibarıyla ekteki konsolide olmayan mali tablolarda bu hususla ilgili olarak karşılık ayrılmamıştır. Bu teminat mektuplarının finansal tablolara muhtemel etkileri, ilgili davaların sonucuna göre belli olacak olup, banka mali tabloları üzerinde olumsuz bir etkisi olması beklenmemektedir.</w:t>
      </w:r>
    </w:p>
    <w:p w14:paraId="7BF2EBB1" w14:textId="40B23454" w:rsidR="000D24B7" w:rsidRPr="006025D3" w:rsidRDefault="000D24B7">
      <w:pPr>
        <w:rPr>
          <w:b/>
          <w:szCs w:val="20"/>
        </w:rPr>
      </w:pPr>
    </w:p>
    <w:bookmarkEnd w:id="143"/>
    <w:p w14:paraId="13BA5CD6" w14:textId="4FD17182" w:rsidR="00136C29" w:rsidRPr="006025D3" w:rsidRDefault="004F235F" w:rsidP="00212E4A">
      <w:pPr>
        <w:pStyle w:val="GvdeMetniGirintisi"/>
        <w:widowControl w:val="0"/>
        <w:numPr>
          <w:ilvl w:val="0"/>
          <w:numId w:val="34"/>
        </w:numPr>
        <w:spacing w:line="216" w:lineRule="auto"/>
        <w:ind w:left="851" w:right="206" w:hanging="851"/>
        <w:rPr>
          <w:b/>
          <w:iCs/>
          <w:szCs w:val="20"/>
        </w:rPr>
      </w:pPr>
      <w:r w:rsidRPr="006025D3">
        <w:rPr>
          <w:b/>
          <w:iCs/>
          <w:szCs w:val="20"/>
        </w:rPr>
        <w:t>KAR VEYA ZARAR TABLOSUNA İLİŞKİN AÇIKLAMA VE DİPNOTLAR</w:t>
      </w:r>
    </w:p>
    <w:p w14:paraId="349BF1DA" w14:textId="77777777" w:rsidR="00CD770B" w:rsidRPr="006025D3" w:rsidRDefault="00CD770B" w:rsidP="000D6A42">
      <w:pPr>
        <w:widowControl w:val="0"/>
        <w:tabs>
          <w:tab w:val="left" w:pos="360"/>
        </w:tabs>
        <w:autoSpaceDE w:val="0"/>
        <w:autoSpaceDN w:val="0"/>
        <w:adjustRightInd w:val="0"/>
        <w:spacing w:line="216" w:lineRule="auto"/>
        <w:ind w:hanging="504"/>
        <w:jc w:val="both"/>
        <w:rPr>
          <w:rFonts w:eastAsia="Arial Unicode MS"/>
          <w:b/>
          <w:szCs w:val="20"/>
        </w:rPr>
      </w:pPr>
    </w:p>
    <w:p w14:paraId="6F884320" w14:textId="7F65EB09" w:rsidR="00136C29" w:rsidRPr="006025D3" w:rsidRDefault="00014477" w:rsidP="000D6A42">
      <w:pPr>
        <w:widowControl w:val="0"/>
        <w:autoSpaceDE w:val="0"/>
        <w:autoSpaceDN w:val="0"/>
        <w:adjustRightInd w:val="0"/>
        <w:spacing w:line="216" w:lineRule="auto"/>
        <w:ind w:left="851" w:hanging="851"/>
        <w:jc w:val="both"/>
        <w:rPr>
          <w:rFonts w:eastAsia="Arial Unicode MS"/>
          <w:szCs w:val="20"/>
        </w:rPr>
      </w:pPr>
      <w:r w:rsidRPr="006025D3">
        <w:rPr>
          <w:rFonts w:eastAsia="Arial Unicode MS"/>
          <w:b/>
          <w:szCs w:val="20"/>
        </w:rPr>
        <w:t>1</w:t>
      </w:r>
      <w:r w:rsidR="00136C29" w:rsidRPr="006025D3">
        <w:rPr>
          <w:rFonts w:eastAsia="Arial Unicode MS"/>
          <w:b/>
          <w:szCs w:val="20"/>
        </w:rPr>
        <w:t>.</w:t>
      </w:r>
      <w:r w:rsidR="00136C29" w:rsidRPr="006025D3">
        <w:rPr>
          <w:rFonts w:eastAsia="Arial Unicode MS"/>
          <w:szCs w:val="20"/>
        </w:rPr>
        <w:tab/>
      </w:r>
      <w:r w:rsidR="00B30F0A" w:rsidRPr="006025D3">
        <w:rPr>
          <w:rFonts w:eastAsia="Arial Unicode MS"/>
          <w:b/>
          <w:szCs w:val="20"/>
        </w:rPr>
        <w:t>Kâr</w:t>
      </w:r>
      <w:r w:rsidR="00136C29" w:rsidRPr="006025D3">
        <w:rPr>
          <w:rFonts w:eastAsia="Arial Unicode MS"/>
          <w:b/>
          <w:szCs w:val="20"/>
        </w:rPr>
        <w:t xml:space="preserve"> payı gelirlerine ilişkin bilgiler:</w:t>
      </w:r>
    </w:p>
    <w:p w14:paraId="7A98D61A" w14:textId="77777777" w:rsidR="00CD770B" w:rsidRPr="006025D3" w:rsidRDefault="00CD770B" w:rsidP="000D6A42">
      <w:pPr>
        <w:widowControl w:val="0"/>
        <w:tabs>
          <w:tab w:val="left" w:pos="180"/>
        </w:tabs>
        <w:spacing w:line="216" w:lineRule="auto"/>
        <w:ind w:left="851" w:hanging="851"/>
        <w:jc w:val="both"/>
        <w:rPr>
          <w:b/>
          <w:szCs w:val="20"/>
        </w:rPr>
      </w:pPr>
      <w:bookmarkStart w:id="146" w:name="_Hlk126853299"/>
    </w:p>
    <w:p w14:paraId="5984041B" w14:textId="3A1D984F" w:rsidR="00136C29" w:rsidRPr="006025D3" w:rsidRDefault="00136C29" w:rsidP="00212E4A">
      <w:pPr>
        <w:pStyle w:val="ListeParagraf"/>
        <w:widowControl w:val="0"/>
        <w:numPr>
          <w:ilvl w:val="0"/>
          <w:numId w:val="35"/>
        </w:numPr>
        <w:spacing w:line="216" w:lineRule="auto"/>
        <w:ind w:left="1276" w:hanging="425"/>
        <w:jc w:val="both"/>
        <w:rPr>
          <w:b/>
          <w:szCs w:val="20"/>
        </w:rPr>
      </w:pPr>
      <w:r w:rsidRPr="006025D3">
        <w:rPr>
          <w:b/>
          <w:szCs w:val="20"/>
        </w:rPr>
        <w:t xml:space="preserve">Kredilerden alınan </w:t>
      </w:r>
      <w:r w:rsidR="00B30F0A" w:rsidRPr="006025D3">
        <w:rPr>
          <w:b/>
          <w:szCs w:val="20"/>
        </w:rPr>
        <w:t>kâr</w:t>
      </w:r>
      <w:r w:rsidRPr="006025D3">
        <w:rPr>
          <w:b/>
          <w:szCs w:val="20"/>
        </w:rPr>
        <w:t xml:space="preserve"> payı gelirlerine ilişkin bilgiler:</w:t>
      </w:r>
    </w:p>
    <w:p w14:paraId="35495928" w14:textId="14DC6688" w:rsidR="00A74C68" w:rsidRPr="006025D3" w:rsidRDefault="00A74C68" w:rsidP="000D6A42">
      <w:pPr>
        <w:widowControl w:val="0"/>
        <w:spacing w:line="216" w:lineRule="auto"/>
        <w:ind w:left="199" w:hanging="227"/>
        <w:jc w:val="both"/>
        <w:rPr>
          <w:szCs w:val="20"/>
        </w:rPr>
      </w:pPr>
    </w:p>
    <w:tbl>
      <w:tblPr>
        <w:tblW w:w="5000" w:type="pct"/>
        <w:tblCellMar>
          <w:left w:w="70" w:type="dxa"/>
          <w:right w:w="70" w:type="dxa"/>
        </w:tblCellMar>
        <w:tblLook w:val="04A0" w:firstRow="1" w:lastRow="0" w:firstColumn="1" w:lastColumn="0" w:noHBand="0" w:noVBand="1"/>
      </w:tblPr>
      <w:tblGrid>
        <w:gridCol w:w="5997"/>
        <w:gridCol w:w="1674"/>
        <w:gridCol w:w="1684"/>
      </w:tblGrid>
      <w:tr w:rsidR="00A74C68" w:rsidRPr="00471CBA" w14:paraId="26E0AB42" w14:textId="77777777" w:rsidTr="00A74C68">
        <w:trPr>
          <w:divId w:val="1191915790"/>
          <w:trHeight w:val="227"/>
        </w:trPr>
        <w:tc>
          <w:tcPr>
            <w:tcW w:w="2462" w:type="pct"/>
            <w:tcBorders>
              <w:top w:val="nil"/>
              <w:left w:val="nil"/>
              <w:bottom w:val="nil"/>
              <w:right w:val="nil"/>
            </w:tcBorders>
            <w:hideMark/>
          </w:tcPr>
          <w:p w14:paraId="6C405912" w14:textId="27C46AFE" w:rsidR="00A74C68" w:rsidRPr="00471CBA" w:rsidRDefault="00A74C68" w:rsidP="00A74C68">
            <w:pPr>
              <w:rPr>
                <w:b/>
                <w:bCs/>
                <w:szCs w:val="20"/>
              </w:rPr>
            </w:pPr>
          </w:p>
        </w:tc>
        <w:tc>
          <w:tcPr>
            <w:tcW w:w="1378" w:type="pct"/>
            <w:gridSpan w:val="2"/>
            <w:tcBorders>
              <w:top w:val="nil"/>
              <w:left w:val="nil"/>
              <w:bottom w:val="single" w:sz="4" w:space="0" w:color="auto"/>
              <w:right w:val="nil"/>
            </w:tcBorders>
            <w:noWrap/>
            <w:vAlign w:val="center"/>
            <w:hideMark/>
          </w:tcPr>
          <w:p w14:paraId="7BA5E8CB" w14:textId="77777777" w:rsidR="00A74C68" w:rsidRPr="00471CBA" w:rsidRDefault="00A74C68" w:rsidP="00A74C68">
            <w:pPr>
              <w:jc w:val="center"/>
              <w:rPr>
                <w:b/>
                <w:bCs/>
                <w:color w:val="000000"/>
                <w:szCs w:val="20"/>
              </w:rPr>
            </w:pPr>
            <w:r w:rsidRPr="00471CBA">
              <w:rPr>
                <w:b/>
                <w:bCs/>
                <w:color w:val="000000"/>
                <w:szCs w:val="20"/>
              </w:rPr>
              <w:t>1 Ocak - 31 Aralık 2025</w:t>
            </w:r>
          </w:p>
        </w:tc>
      </w:tr>
      <w:tr w:rsidR="00A74C68" w:rsidRPr="00471CBA" w14:paraId="0878B67D" w14:textId="77777777" w:rsidTr="00A74C68">
        <w:trPr>
          <w:divId w:val="1191915790"/>
          <w:trHeight w:val="227"/>
        </w:trPr>
        <w:tc>
          <w:tcPr>
            <w:tcW w:w="2462" w:type="pct"/>
            <w:tcBorders>
              <w:top w:val="nil"/>
              <w:left w:val="nil"/>
              <w:bottom w:val="single" w:sz="4" w:space="0" w:color="auto"/>
              <w:right w:val="nil"/>
            </w:tcBorders>
            <w:hideMark/>
          </w:tcPr>
          <w:p w14:paraId="1416D207" w14:textId="77777777" w:rsidR="00A74C68" w:rsidRPr="00471CBA" w:rsidRDefault="00A74C68" w:rsidP="00A74C68">
            <w:pPr>
              <w:jc w:val="both"/>
              <w:rPr>
                <w:b/>
                <w:bCs/>
                <w:color w:val="000000"/>
                <w:szCs w:val="20"/>
              </w:rPr>
            </w:pPr>
            <w:r w:rsidRPr="00471CBA">
              <w:rPr>
                <w:b/>
                <w:bCs/>
                <w:color w:val="000000"/>
                <w:szCs w:val="20"/>
              </w:rPr>
              <w:t> </w:t>
            </w:r>
          </w:p>
        </w:tc>
        <w:tc>
          <w:tcPr>
            <w:tcW w:w="687" w:type="pct"/>
            <w:tcBorders>
              <w:top w:val="nil"/>
              <w:left w:val="nil"/>
              <w:bottom w:val="single" w:sz="4" w:space="0" w:color="auto"/>
              <w:right w:val="nil"/>
            </w:tcBorders>
            <w:hideMark/>
          </w:tcPr>
          <w:p w14:paraId="4A842238" w14:textId="77777777" w:rsidR="00A74C68" w:rsidRPr="00471CBA" w:rsidRDefault="00A74C68" w:rsidP="00A74C68">
            <w:pPr>
              <w:jc w:val="right"/>
              <w:rPr>
                <w:b/>
                <w:bCs/>
                <w:color w:val="000000"/>
                <w:szCs w:val="20"/>
              </w:rPr>
            </w:pPr>
            <w:r w:rsidRPr="00471CBA">
              <w:rPr>
                <w:b/>
                <w:bCs/>
                <w:color w:val="000000"/>
                <w:szCs w:val="20"/>
              </w:rPr>
              <w:t>TP</w:t>
            </w:r>
          </w:p>
        </w:tc>
        <w:tc>
          <w:tcPr>
            <w:tcW w:w="691" w:type="pct"/>
            <w:tcBorders>
              <w:top w:val="nil"/>
              <w:left w:val="nil"/>
              <w:bottom w:val="single" w:sz="4" w:space="0" w:color="auto"/>
              <w:right w:val="nil"/>
            </w:tcBorders>
            <w:hideMark/>
          </w:tcPr>
          <w:p w14:paraId="4A21A9B7" w14:textId="77777777" w:rsidR="00A74C68" w:rsidRPr="00471CBA" w:rsidRDefault="00A74C68" w:rsidP="00A74C68">
            <w:pPr>
              <w:jc w:val="right"/>
              <w:rPr>
                <w:b/>
                <w:bCs/>
                <w:color w:val="000000"/>
                <w:szCs w:val="20"/>
              </w:rPr>
            </w:pPr>
            <w:r w:rsidRPr="00471CBA">
              <w:rPr>
                <w:b/>
                <w:bCs/>
                <w:color w:val="000000"/>
                <w:szCs w:val="20"/>
              </w:rPr>
              <w:t>YP</w:t>
            </w:r>
          </w:p>
        </w:tc>
      </w:tr>
      <w:tr w:rsidR="00A74C68" w:rsidRPr="00471CBA" w14:paraId="36A384A0" w14:textId="77777777" w:rsidTr="00A74C68">
        <w:trPr>
          <w:divId w:val="1191915790"/>
          <w:trHeight w:val="227"/>
        </w:trPr>
        <w:tc>
          <w:tcPr>
            <w:tcW w:w="2462" w:type="pct"/>
            <w:tcBorders>
              <w:top w:val="nil"/>
              <w:left w:val="nil"/>
              <w:bottom w:val="nil"/>
              <w:right w:val="nil"/>
            </w:tcBorders>
            <w:hideMark/>
          </w:tcPr>
          <w:p w14:paraId="19FD8732" w14:textId="77777777" w:rsidR="00A74C68" w:rsidRPr="00471CBA" w:rsidRDefault="00A74C68" w:rsidP="00A74C68">
            <w:pPr>
              <w:jc w:val="right"/>
              <w:rPr>
                <w:b/>
                <w:bCs/>
                <w:color w:val="000000"/>
                <w:szCs w:val="20"/>
              </w:rPr>
            </w:pPr>
          </w:p>
        </w:tc>
        <w:tc>
          <w:tcPr>
            <w:tcW w:w="687" w:type="pct"/>
            <w:tcBorders>
              <w:top w:val="nil"/>
              <w:left w:val="nil"/>
              <w:bottom w:val="nil"/>
              <w:right w:val="nil"/>
            </w:tcBorders>
            <w:hideMark/>
          </w:tcPr>
          <w:p w14:paraId="2E383BF8" w14:textId="77777777" w:rsidR="00A74C68" w:rsidRPr="00471CBA" w:rsidRDefault="00A74C68" w:rsidP="00A74C68">
            <w:pPr>
              <w:jc w:val="both"/>
              <w:rPr>
                <w:szCs w:val="20"/>
              </w:rPr>
            </w:pPr>
          </w:p>
        </w:tc>
        <w:tc>
          <w:tcPr>
            <w:tcW w:w="691" w:type="pct"/>
            <w:tcBorders>
              <w:top w:val="nil"/>
              <w:left w:val="nil"/>
              <w:bottom w:val="nil"/>
              <w:right w:val="nil"/>
            </w:tcBorders>
            <w:hideMark/>
          </w:tcPr>
          <w:p w14:paraId="3E61526A" w14:textId="77777777" w:rsidR="00A74C68" w:rsidRPr="00471CBA" w:rsidRDefault="00A74C68" w:rsidP="00A74C68">
            <w:pPr>
              <w:jc w:val="both"/>
              <w:rPr>
                <w:szCs w:val="20"/>
              </w:rPr>
            </w:pPr>
          </w:p>
        </w:tc>
      </w:tr>
      <w:tr w:rsidR="00A74C68" w:rsidRPr="00471CBA" w14:paraId="3E0F72DF" w14:textId="77777777" w:rsidTr="00A74C68">
        <w:trPr>
          <w:divId w:val="1191915790"/>
          <w:trHeight w:val="227"/>
        </w:trPr>
        <w:tc>
          <w:tcPr>
            <w:tcW w:w="2462" w:type="pct"/>
            <w:tcBorders>
              <w:top w:val="nil"/>
              <w:left w:val="nil"/>
              <w:bottom w:val="nil"/>
              <w:right w:val="nil"/>
            </w:tcBorders>
            <w:hideMark/>
          </w:tcPr>
          <w:p w14:paraId="3A23B8FB" w14:textId="77777777" w:rsidR="00A74C68" w:rsidRPr="00471CBA" w:rsidRDefault="00A74C68" w:rsidP="00A74C68">
            <w:pPr>
              <w:jc w:val="both"/>
              <w:rPr>
                <w:b/>
                <w:bCs/>
                <w:color w:val="000000"/>
                <w:szCs w:val="20"/>
              </w:rPr>
            </w:pPr>
            <w:r w:rsidRPr="00471CBA">
              <w:rPr>
                <w:b/>
                <w:bCs/>
                <w:color w:val="000000"/>
                <w:szCs w:val="20"/>
              </w:rPr>
              <w:t>Kredilerden alınan kar payları</w:t>
            </w:r>
            <w:r w:rsidRPr="00471CBA">
              <w:rPr>
                <w:b/>
                <w:bCs/>
                <w:color w:val="000000"/>
                <w:szCs w:val="20"/>
                <w:vertAlign w:val="superscript"/>
              </w:rPr>
              <w:t>(*)</w:t>
            </w:r>
          </w:p>
        </w:tc>
        <w:tc>
          <w:tcPr>
            <w:tcW w:w="687" w:type="pct"/>
            <w:tcBorders>
              <w:top w:val="nil"/>
              <w:left w:val="nil"/>
              <w:bottom w:val="nil"/>
              <w:right w:val="nil"/>
            </w:tcBorders>
            <w:noWrap/>
            <w:vAlign w:val="bottom"/>
            <w:hideMark/>
          </w:tcPr>
          <w:p w14:paraId="077C3A45" w14:textId="77777777" w:rsidR="00A74C68" w:rsidRPr="00471CBA" w:rsidRDefault="00A74C68" w:rsidP="00A74C68">
            <w:pPr>
              <w:jc w:val="both"/>
              <w:rPr>
                <w:b/>
                <w:bCs/>
                <w:color w:val="000000"/>
                <w:szCs w:val="20"/>
              </w:rPr>
            </w:pPr>
          </w:p>
        </w:tc>
        <w:tc>
          <w:tcPr>
            <w:tcW w:w="691" w:type="pct"/>
            <w:tcBorders>
              <w:top w:val="nil"/>
              <w:left w:val="nil"/>
              <w:bottom w:val="nil"/>
              <w:right w:val="nil"/>
            </w:tcBorders>
            <w:noWrap/>
            <w:vAlign w:val="bottom"/>
            <w:hideMark/>
          </w:tcPr>
          <w:p w14:paraId="43D42EAD" w14:textId="77777777" w:rsidR="00A74C68" w:rsidRPr="00471CBA" w:rsidRDefault="00A74C68" w:rsidP="00A74C68">
            <w:pPr>
              <w:rPr>
                <w:szCs w:val="20"/>
              </w:rPr>
            </w:pPr>
          </w:p>
        </w:tc>
      </w:tr>
      <w:tr w:rsidR="00A74C68" w:rsidRPr="00471CBA" w14:paraId="0FDB74CB" w14:textId="77777777" w:rsidTr="00A74C68">
        <w:trPr>
          <w:divId w:val="1191915790"/>
          <w:trHeight w:val="227"/>
        </w:trPr>
        <w:tc>
          <w:tcPr>
            <w:tcW w:w="2462" w:type="pct"/>
            <w:tcBorders>
              <w:top w:val="nil"/>
              <w:left w:val="nil"/>
              <w:bottom w:val="nil"/>
              <w:right w:val="nil"/>
            </w:tcBorders>
            <w:vAlign w:val="bottom"/>
            <w:hideMark/>
          </w:tcPr>
          <w:p w14:paraId="71B6AE8C" w14:textId="77777777" w:rsidR="00A74C68" w:rsidRPr="00471CBA" w:rsidRDefault="00A74C68" w:rsidP="00A74C68">
            <w:pPr>
              <w:rPr>
                <w:color w:val="000000"/>
                <w:szCs w:val="20"/>
              </w:rPr>
            </w:pPr>
            <w:r w:rsidRPr="00471CBA">
              <w:rPr>
                <w:color w:val="000000"/>
                <w:szCs w:val="20"/>
              </w:rPr>
              <w:t>Kısa Vadeli Kredilerden</w:t>
            </w:r>
          </w:p>
        </w:tc>
        <w:tc>
          <w:tcPr>
            <w:tcW w:w="687" w:type="pct"/>
            <w:tcBorders>
              <w:top w:val="nil"/>
              <w:left w:val="nil"/>
              <w:bottom w:val="nil"/>
              <w:right w:val="nil"/>
            </w:tcBorders>
            <w:noWrap/>
            <w:vAlign w:val="center"/>
            <w:hideMark/>
          </w:tcPr>
          <w:p w14:paraId="08533363" w14:textId="77777777" w:rsidR="00A74C68" w:rsidRPr="00471CBA" w:rsidRDefault="00A74C68" w:rsidP="00A74C68">
            <w:pPr>
              <w:jc w:val="right"/>
              <w:rPr>
                <w:color w:val="000000"/>
                <w:szCs w:val="20"/>
              </w:rPr>
            </w:pPr>
            <w:r w:rsidRPr="00471CBA">
              <w:rPr>
                <w:color w:val="000000"/>
                <w:szCs w:val="20"/>
              </w:rPr>
              <w:t>7.425.609</w:t>
            </w:r>
          </w:p>
        </w:tc>
        <w:tc>
          <w:tcPr>
            <w:tcW w:w="691" w:type="pct"/>
            <w:tcBorders>
              <w:top w:val="nil"/>
              <w:left w:val="nil"/>
              <w:bottom w:val="nil"/>
              <w:right w:val="nil"/>
            </w:tcBorders>
            <w:noWrap/>
            <w:vAlign w:val="center"/>
            <w:hideMark/>
          </w:tcPr>
          <w:p w14:paraId="7AE7209F" w14:textId="77777777" w:rsidR="00A74C68" w:rsidRPr="00471CBA" w:rsidRDefault="00A74C68" w:rsidP="00A74C68">
            <w:pPr>
              <w:jc w:val="right"/>
              <w:rPr>
                <w:color w:val="000000"/>
                <w:szCs w:val="20"/>
              </w:rPr>
            </w:pPr>
            <w:r w:rsidRPr="00471CBA">
              <w:rPr>
                <w:color w:val="000000"/>
                <w:szCs w:val="20"/>
              </w:rPr>
              <w:t>431.447</w:t>
            </w:r>
          </w:p>
        </w:tc>
      </w:tr>
      <w:tr w:rsidR="00A74C68" w:rsidRPr="00471CBA" w14:paraId="500DFD8E" w14:textId="77777777" w:rsidTr="00A74C68">
        <w:trPr>
          <w:divId w:val="1191915790"/>
          <w:trHeight w:val="227"/>
        </w:trPr>
        <w:tc>
          <w:tcPr>
            <w:tcW w:w="2462" w:type="pct"/>
            <w:tcBorders>
              <w:top w:val="nil"/>
              <w:left w:val="nil"/>
              <w:bottom w:val="nil"/>
              <w:right w:val="nil"/>
            </w:tcBorders>
            <w:vAlign w:val="bottom"/>
            <w:hideMark/>
          </w:tcPr>
          <w:p w14:paraId="711C3B20" w14:textId="77777777" w:rsidR="00A74C68" w:rsidRPr="00471CBA" w:rsidRDefault="00A74C68" w:rsidP="00A74C68">
            <w:pPr>
              <w:rPr>
                <w:color w:val="000000"/>
                <w:szCs w:val="20"/>
              </w:rPr>
            </w:pPr>
            <w:r w:rsidRPr="00471CBA">
              <w:rPr>
                <w:color w:val="000000"/>
                <w:szCs w:val="20"/>
              </w:rPr>
              <w:t>Orta ve Uzun Vadeli Kredilerden</w:t>
            </w:r>
          </w:p>
        </w:tc>
        <w:tc>
          <w:tcPr>
            <w:tcW w:w="687" w:type="pct"/>
            <w:tcBorders>
              <w:top w:val="nil"/>
              <w:left w:val="nil"/>
              <w:bottom w:val="nil"/>
              <w:right w:val="nil"/>
            </w:tcBorders>
            <w:noWrap/>
            <w:vAlign w:val="center"/>
            <w:hideMark/>
          </w:tcPr>
          <w:p w14:paraId="63154158" w14:textId="77777777" w:rsidR="00A74C68" w:rsidRPr="00471CBA" w:rsidRDefault="00A74C68" w:rsidP="00A74C68">
            <w:pPr>
              <w:jc w:val="right"/>
              <w:rPr>
                <w:color w:val="000000"/>
                <w:szCs w:val="20"/>
              </w:rPr>
            </w:pPr>
            <w:r w:rsidRPr="00471CBA">
              <w:rPr>
                <w:color w:val="000000"/>
                <w:szCs w:val="20"/>
              </w:rPr>
              <w:t>2.406.743</w:t>
            </w:r>
          </w:p>
        </w:tc>
        <w:tc>
          <w:tcPr>
            <w:tcW w:w="691" w:type="pct"/>
            <w:tcBorders>
              <w:top w:val="nil"/>
              <w:left w:val="nil"/>
              <w:bottom w:val="nil"/>
              <w:right w:val="nil"/>
            </w:tcBorders>
            <w:noWrap/>
            <w:vAlign w:val="center"/>
            <w:hideMark/>
          </w:tcPr>
          <w:p w14:paraId="4178BD96" w14:textId="77777777" w:rsidR="00A74C68" w:rsidRPr="00471CBA" w:rsidRDefault="00A74C68" w:rsidP="00A74C68">
            <w:pPr>
              <w:jc w:val="right"/>
              <w:rPr>
                <w:color w:val="000000"/>
                <w:szCs w:val="20"/>
              </w:rPr>
            </w:pPr>
            <w:r w:rsidRPr="00471CBA">
              <w:rPr>
                <w:color w:val="000000"/>
                <w:szCs w:val="20"/>
              </w:rPr>
              <w:t>381.018</w:t>
            </w:r>
          </w:p>
        </w:tc>
      </w:tr>
      <w:tr w:rsidR="00A74C68" w:rsidRPr="00471CBA" w14:paraId="7DAFDA45" w14:textId="77777777" w:rsidTr="00A74C68">
        <w:trPr>
          <w:divId w:val="1191915790"/>
          <w:trHeight w:val="227"/>
        </w:trPr>
        <w:tc>
          <w:tcPr>
            <w:tcW w:w="2462" w:type="pct"/>
            <w:tcBorders>
              <w:top w:val="nil"/>
              <w:left w:val="nil"/>
              <w:bottom w:val="nil"/>
              <w:right w:val="nil"/>
            </w:tcBorders>
            <w:vAlign w:val="bottom"/>
            <w:hideMark/>
          </w:tcPr>
          <w:p w14:paraId="43C5172A" w14:textId="77777777" w:rsidR="00A74C68" w:rsidRPr="00471CBA" w:rsidRDefault="00A74C68" w:rsidP="00A74C68">
            <w:pPr>
              <w:rPr>
                <w:color w:val="000000"/>
                <w:szCs w:val="20"/>
              </w:rPr>
            </w:pPr>
            <w:r w:rsidRPr="00471CBA">
              <w:rPr>
                <w:color w:val="000000"/>
                <w:szCs w:val="20"/>
              </w:rPr>
              <w:t>Takipteki Alacaklardan Alınan Kar Payları</w:t>
            </w:r>
          </w:p>
        </w:tc>
        <w:tc>
          <w:tcPr>
            <w:tcW w:w="687" w:type="pct"/>
            <w:tcBorders>
              <w:top w:val="nil"/>
              <w:left w:val="nil"/>
              <w:bottom w:val="nil"/>
              <w:right w:val="nil"/>
            </w:tcBorders>
            <w:noWrap/>
            <w:vAlign w:val="center"/>
            <w:hideMark/>
          </w:tcPr>
          <w:p w14:paraId="7B167348" w14:textId="77777777" w:rsidR="00A74C68" w:rsidRPr="00471CBA" w:rsidRDefault="00A74C68" w:rsidP="00A74C68">
            <w:pPr>
              <w:jc w:val="right"/>
              <w:rPr>
                <w:color w:val="000000"/>
                <w:szCs w:val="20"/>
              </w:rPr>
            </w:pPr>
            <w:r w:rsidRPr="00471CBA">
              <w:rPr>
                <w:color w:val="000000"/>
                <w:szCs w:val="20"/>
              </w:rPr>
              <w:t>558</w:t>
            </w:r>
          </w:p>
        </w:tc>
        <w:tc>
          <w:tcPr>
            <w:tcW w:w="691" w:type="pct"/>
            <w:tcBorders>
              <w:top w:val="nil"/>
              <w:left w:val="nil"/>
              <w:bottom w:val="nil"/>
              <w:right w:val="nil"/>
            </w:tcBorders>
            <w:noWrap/>
            <w:vAlign w:val="center"/>
            <w:hideMark/>
          </w:tcPr>
          <w:p w14:paraId="275186DF" w14:textId="77777777" w:rsidR="00A74C68" w:rsidRPr="00471CBA" w:rsidRDefault="00A74C68" w:rsidP="00A74C68">
            <w:pPr>
              <w:jc w:val="right"/>
              <w:rPr>
                <w:color w:val="000000"/>
                <w:szCs w:val="20"/>
              </w:rPr>
            </w:pPr>
            <w:r w:rsidRPr="00471CBA">
              <w:rPr>
                <w:color w:val="000000"/>
                <w:szCs w:val="20"/>
              </w:rPr>
              <w:t>-</w:t>
            </w:r>
          </w:p>
        </w:tc>
      </w:tr>
      <w:tr w:rsidR="00A74C68" w:rsidRPr="00471CBA" w14:paraId="1E682B6D" w14:textId="77777777" w:rsidTr="00A74C68">
        <w:trPr>
          <w:divId w:val="1191915790"/>
          <w:trHeight w:val="227"/>
        </w:trPr>
        <w:tc>
          <w:tcPr>
            <w:tcW w:w="2462" w:type="pct"/>
            <w:tcBorders>
              <w:top w:val="nil"/>
              <w:left w:val="nil"/>
              <w:bottom w:val="single" w:sz="4" w:space="0" w:color="auto"/>
              <w:right w:val="nil"/>
            </w:tcBorders>
            <w:vAlign w:val="bottom"/>
            <w:hideMark/>
          </w:tcPr>
          <w:p w14:paraId="5E559149" w14:textId="77777777" w:rsidR="00A74C68" w:rsidRPr="00471CBA" w:rsidRDefault="00A74C68" w:rsidP="00A74C68">
            <w:pPr>
              <w:rPr>
                <w:color w:val="000000"/>
                <w:szCs w:val="20"/>
              </w:rPr>
            </w:pPr>
            <w:r w:rsidRPr="00471CBA">
              <w:rPr>
                <w:color w:val="000000"/>
                <w:szCs w:val="20"/>
              </w:rPr>
              <w:t>Kaynak Kul. Destekleme Fonundan Alınan Primler</w:t>
            </w:r>
          </w:p>
        </w:tc>
        <w:tc>
          <w:tcPr>
            <w:tcW w:w="687" w:type="pct"/>
            <w:tcBorders>
              <w:top w:val="nil"/>
              <w:left w:val="nil"/>
              <w:bottom w:val="single" w:sz="4" w:space="0" w:color="auto"/>
              <w:right w:val="nil"/>
            </w:tcBorders>
            <w:noWrap/>
            <w:vAlign w:val="center"/>
            <w:hideMark/>
          </w:tcPr>
          <w:p w14:paraId="13B3800E" w14:textId="77777777" w:rsidR="00A74C68" w:rsidRPr="00471CBA" w:rsidRDefault="00A74C68" w:rsidP="00A74C68">
            <w:pPr>
              <w:jc w:val="right"/>
              <w:rPr>
                <w:color w:val="000000"/>
                <w:szCs w:val="20"/>
              </w:rPr>
            </w:pPr>
            <w:r w:rsidRPr="00471CBA">
              <w:rPr>
                <w:color w:val="000000"/>
                <w:szCs w:val="20"/>
              </w:rPr>
              <w:t>-</w:t>
            </w:r>
          </w:p>
        </w:tc>
        <w:tc>
          <w:tcPr>
            <w:tcW w:w="691" w:type="pct"/>
            <w:tcBorders>
              <w:top w:val="nil"/>
              <w:left w:val="nil"/>
              <w:bottom w:val="single" w:sz="4" w:space="0" w:color="auto"/>
              <w:right w:val="nil"/>
            </w:tcBorders>
            <w:noWrap/>
            <w:vAlign w:val="center"/>
            <w:hideMark/>
          </w:tcPr>
          <w:p w14:paraId="68444717" w14:textId="77777777" w:rsidR="00A74C68" w:rsidRPr="00471CBA" w:rsidRDefault="00A74C68" w:rsidP="00A74C68">
            <w:pPr>
              <w:jc w:val="right"/>
              <w:rPr>
                <w:color w:val="000000"/>
                <w:szCs w:val="20"/>
              </w:rPr>
            </w:pPr>
            <w:r w:rsidRPr="00471CBA">
              <w:rPr>
                <w:color w:val="000000"/>
                <w:szCs w:val="20"/>
              </w:rPr>
              <w:t>-</w:t>
            </w:r>
          </w:p>
        </w:tc>
      </w:tr>
      <w:tr w:rsidR="00A74C68" w:rsidRPr="00471CBA" w14:paraId="01878227" w14:textId="77777777" w:rsidTr="00A74C68">
        <w:trPr>
          <w:divId w:val="1191915790"/>
          <w:trHeight w:val="227"/>
        </w:trPr>
        <w:tc>
          <w:tcPr>
            <w:tcW w:w="2462" w:type="pct"/>
            <w:tcBorders>
              <w:top w:val="nil"/>
              <w:left w:val="nil"/>
              <w:right w:val="nil"/>
            </w:tcBorders>
            <w:noWrap/>
            <w:vAlign w:val="bottom"/>
            <w:hideMark/>
          </w:tcPr>
          <w:p w14:paraId="1D56C7EC" w14:textId="77777777" w:rsidR="00A74C68" w:rsidRPr="00471CBA" w:rsidRDefault="00A74C68" w:rsidP="00A74C68">
            <w:pPr>
              <w:jc w:val="right"/>
              <w:rPr>
                <w:color w:val="000000"/>
                <w:szCs w:val="20"/>
              </w:rPr>
            </w:pPr>
          </w:p>
        </w:tc>
        <w:tc>
          <w:tcPr>
            <w:tcW w:w="687" w:type="pct"/>
            <w:tcBorders>
              <w:top w:val="nil"/>
              <w:left w:val="nil"/>
              <w:right w:val="nil"/>
            </w:tcBorders>
            <w:noWrap/>
            <w:vAlign w:val="bottom"/>
            <w:hideMark/>
          </w:tcPr>
          <w:p w14:paraId="25405B9D" w14:textId="77777777" w:rsidR="00A74C68" w:rsidRPr="00471CBA" w:rsidRDefault="00A74C68" w:rsidP="00A74C68">
            <w:pPr>
              <w:jc w:val="right"/>
              <w:rPr>
                <w:szCs w:val="20"/>
              </w:rPr>
            </w:pPr>
          </w:p>
        </w:tc>
        <w:tc>
          <w:tcPr>
            <w:tcW w:w="691" w:type="pct"/>
            <w:tcBorders>
              <w:top w:val="nil"/>
              <w:left w:val="nil"/>
              <w:right w:val="nil"/>
            </w:tcBorders>
            <w:noWrap/>
            <w:vAlign w:val="bottom"/>
            <w:hideMark/>
          </w:tcPr>
          <w:p w14:paraId="31075653" w14:textId="77777777" w:rsidR="00A74C68" w:rsidRPr="00471CBA" w:rsidRDefault="00A74C68" w:rsidP="00A74C68">
            <w:pPr>
              <w:jc w:val="right"/>
              <w:rPr>
                <w:szCs w:val="20"/>
              </w:rPr>
            </w:pPr>
          </w:p>
        </w:tc>
      </w:tr>
      <w:tr w:rsidR="00A74C68" w:rsidRPr="00471CBA" w14:paraId="3327B493" w14:textId="77777777" w:rsidTr="00A74C68">
        <w:trPr>
          <w:divId w:val="1191915790"/>
          <w:trHeight w:val="227"/>
        </w:trPr>
        <w:tc>
          <w:tcPr>
            <w:tcW w:w="2462" w:type="pct"/>
            <w:tcBorders>
              <w:top w:val="nil"/>
              <w:left w:val="nil"/>
              <w:bottom w:val="single" w:sz="12" w:space="0" w:color="auto"/>
              <w:right w:val="nil"/>
            </w:tcBorders>
            <w:noWrap/>
            <w:vAlign w:val="bottom"/>
            <w:hideMark/>
          </w:tcPr>
          <w:p w14:paraId="4698B708" w14:textId="77777777" w:rsidR="00A74C68" w:rsidRPr="00471CBA" w:rsidRDefault="00A74C68" w:rsidP="00A74C68">
            <w:pPr>
              <w:rPr>
                <w:b/>
                <w:bCs/>
                <w:color w:val="000000"/>
                <w:szCs w:val="20"/>
              </w:rPr>
            </w:pPr>
            <w:r w:rsidRPr="00471CBA">
              <w:rPr>
                <w:rFonts w:eastAsia="Arial Unicode MS"/>
                <w:b/>
                <w:bCs/>
                <w:color w:val="000000"/>
                <w:szCs w:val="20"/>
              </w:rPr>
              <w:t>Toplam</w:t>
            </w:r>
          </w:p>
        </w:tc>
        <w:tc>
          <w:tcPr>
            <w:tcW w:w="687" w:type="pct"/>
            <w:tcBorders>
              <w:top w:val="nil"/>
              <w:left w:val="nil"/>
              <w:bottom w:val="single" w:sz="12" w:space="0" w:color="auto"/>
              <w:right w:val="nil"/>
            </w:tcBorders>
            <w:noWrap/>
            <w:vAlign w:val="center"/>
            <w:hideMark/>
          </w:tcPr>
          <w:p w14:paraId="6BB295D5" w14:textId="77777777" w:rsidR="00A74C68" w:rsidRPr="00471CBA" w:rsidRDefault="00A74C68" w:rsidP="00A74C68">
            <w:pPr>
              <w:jc w:val="right"/>
              <w:rPr>
                <w:b/>
                <w:bCs/>
                <w:color w:val="000000"/>
                <w:szCs w:val="20"/>
              </w:rPr>
            </w:pPr>
            <w:r w:rsidRPr="00471CBA">
              <w:rPr>
                <w:b/>
                <w:bCs/>
                <w:color w:val="000000"/>
                <w:szCs w:val="20"/>
              </w:rPr>
              <w:t>9.832.910</w:t>
            </w:r>
          </w:p>
        </w:tc>
        <w:tc>
          <w:tcPr>
            <w:tcW w:w="691" w:type="pct"/>
            <w:tcBorders>
              <w:top w:val="nil"/>
              <w:left w:val="nil"/>
              <w:bottom w:val="single" w:sz="12" w:space="0" w:color="auto"/>
              <w:right w:val="nil"/>
            </w:tcBorders>
            <w:noWrap/>
            <w:vAlign w:val="center"/>
            <w:hideMark/>
          </w:tcPr>
          <w:p w14:paraId="3D2AEF36" w14:textId="77777777" w:rsidR="00A74C68" w:rsidRPr="00471CBA" w:rsidRDefault="00A74C68" w:rsidP="00A74C68">
            <w:pPr>
              <w:jc w:val="right"/>
              <w:rPr>
                <w:b/>
                <w:bCs/>
                <w:color w:val="000000"/>
                <w:szCs w:val="20"/>
              </w:rPr>
            </w:pPr>
            <w:r w:rsidRPr="00471CBA">
              <w:rPr>
                <w:b/>
                <w:bCs/>
                <w:color w:val="000000"/>
                <w:szCs w:val="20"/>
              </w:rPr>
              <w:t>812.465</w:t>
            </w:r>
          </w:p>
        </w:tc>
      </w:tr>
    </w:tbl>
    <w:p w14:paraId="7B3D3281" w14:textId="5FE5FB09" w:rsidR="00CD770B" w:rsidRPr="00471CBA" w:rsidRDefault="00CD770B" w:rsidP="000D6A42">
      <w:pPr>
        <w:widowControl w:val="0"/>
        <w:spacing w:line="216" w:lineRule="auto"/>
        <w:ind w:left="199" w:hanging="227"/>
        <w:jc w:val="both"/>
        <w:rPr>
          <w:sz w:val="14"/>
          <w:szCs w:val="14"/>
        </w:rPr>
      </w:pPr>
    </w:p>
    <w:p w14:paraId="00C64029" w14:textId="05B6DF1F" w:rsidR="008D0EC5" w:rsidRPr="00471CBA" w:rsidRDefault="00970DF8" w:rsidP="000D6A42">
      <w:pPr>
        <w:widowControl w:val="0"/>
        <w:spacing w:line="216" w:lineRule="auto"/>
        <w:ind w:left="1276" w:hanging="425"/>
        <w:jc w:val="both"/>
        <w:rPr>
          <w:sz w:val="18"/>
          <w:szCs w:val="18"/>
        </w:rPr>
      </w:pPr>
      <w:r w:rsidRPr="00471CBA">
        <w:rPr>
          <w:sz w:val="18"/>
          <w:szCs w:val="18"/>
          <w:vertAlign w:val="superscript"/>
        </w:rPr>
        <w:t>(*)</w:t>
      </w:r>
      <w:r w:rsidR="00CD770B" w:rsidRPr="00471CBA">
        <w:rPr>
          <w:sz w:val="18"/>
          <w:szCs w:val="18"/>
        </w:rPr>
        <w:tab/>
      </w:r>
      <w:r w:rsidRPr="00471CBA">
        <w:rPr>
          <w:sz w:val="18"/>
          <w:szCs w:val="18"/>
        </w:rPr>
        <w:t>Nakdi kredilere ilişkin ücret ve komisyon gelirlerini de içermektedir.</w:t>
      </w:r>
    </w:p>
    <w:p w14:paraId="539A669A" w14:textId="2CB41B88" w:rsidR="001C13B0" w:rsidRPr="00471CBA" w:rsidRDefault="001C13B0" w:rsidP="000D6A42">
      <w:pPr>
        <w:widowControl w:val="0"/>
        <w:spacing w:line="216" w:lineRule="auto"/>
        <w:ind w:left="1276" w:hanging="425"/>
        <w:jc w:val="both"/>
        <w:rPr>
          <w:sz w:val="18"/>
          <w:szCs w:val="18"/>
        </w:rPr>
      </w:pPr>
    </w:p>
    <w:tbl>
      <w:tblPr>
        <w:tblW w:w="5000" w:type="pct"/>
        <w:tblCellMar>
          <w:left w:w="70" w:type="dxa"/>
          <w:right w:w="70" w:type="dxa"/>
        </w:tblCellMar>
        <w:tblLook w:val="04A0" w:firstRow="1" w:lastRow="0" w:firstColumn="1" w:lastColumn="0" w:noHBand="0" w:noVBand="1"/>
      </w:tblPr>
      <w:tblGrid>
        <w:gridCol w:w="5978"/>
        <w:gridCol w:w="1661"/>
        <w:gridCol w:w="1716"/>
      </w:tblGrid>
      <w:tr w:rsidR="001C13B0" w:rsidRPr="00471CBA" w14:paraId="225ABEDA" w14:textId="77777777" w:rsidTr="000D24B7">
        <w:trPr>
          <w:trHeight w:val="227"/>
        </w:trPr>
        <w:tc>
          <w:tcPr>
            <w:tcW w:w="3195" w:type="pct"/>
            <w:tcBorders>
              <w:top w:val="nil"/>
              <w:left w:val="nil"/>
              <w:bottom w:val="nil"/>
              <w:right w:val="nil"/>
            </w:tcBorders>
            <w:hideMark/>
          </w:tcPr>
          <w:p w14:paraId="17D06C44" w14:textId="77777777" w:rsidR="001C13B0" w:rsidRPr="00471CBA" w:rsidRDefault="001C13B0" w:rsidP="003D1625">
            <w:pPr>
              <w:rPr>
                <w:b/>
                <w:bCs/>
                <w:szCs w:val="20"/>
              </w:rPr>
            </w:pPr>
          </w:p>
        </w:tc>
        <w:tc>
          <w:tcPr>
            <w:tcW w:w="1805" w:type="pct"/>
            <w:gridSpan w:val="2"/>
            <w:tcBorders>
              <w:top w:val="nil"/>
              <w:left w:val="nil"/>
              <w:bottom w:val="single" w:sz="4" w:space="0" w:color="auto"/>
              <w:right w:val="nil"/>
            </w:tcBorders>
            <w:noWrap/>
            <w:vAlign w:val="bottom"/>
            <w:hideMark/>
          </w:tcPr>
          <w:p w14:paraId="7E6C7894" w14:textId="6C974933" w:rsidR="001C13B0" w:rsidRPr="00471CBA" w:rsidRDefault="000D24B7" w:rsidP="003D1625">
            <w:pPr>
              <w:jc w:val="center"/>
              <w:rPr>
                <w:b/>
                <w:bCs/>
                <w:color w:val="000000"/>
                <w:szCs w:val="20"/>
                <w:lang w:eastAsia="tr-TR"/>
              </w:rPr>
            </w:pPr>
            <w:r w:rsidRPr="00471CBA">
              <w:rPr>
                <w:b/>
                <w:bCs/>
                <w:color w:val="000000"/>
                <w:szCs w:val="20"/>
                <w:lang w:eastAsia="tr-TR"/>
              </w:rPr>
              <w:t>1 Ocak - 31 Aralık 2024</w:t>
            </w:r>
          </w:p>
        </w:tc>
      </w:tr>
      <w:tr w:rsidR="001C13B0" w:rsidRPr="00471CBA" w14:paraId="02F7D88E" w14:textId="77777777" w:rsidTr="000D24B7">
        <w:trPr>
          <w:trHeight w:val="227"/>
        </w:trPr>
        <w:tc>
          <w:tcPr>
            <w:tcW w:w="3195" w:type="pct"/>
            <w:tcBorders>
              <w:top w:val="nil"/>
              <w:left w:val="nil"/>
              <w:bottom w:val="single" w:sz="4" w:space="0" w:color="auto"/>
              <w:right w:val="nil"/>
            </w:tcBorders>
            <w:hideMark/>
          </w:tcPr>
          <w:p w14:paraId="0E58790E" w14:textId="77777777" w:rsidR="001C13B0" w:rsidRPr="00471CBA" w:rsidRDefault="001C13B0" w:rsidP="003D1625">
            <w:pPr>
              <w:jc w:val="both"/>
              <w:rPr>
                <w:b/>
                <w:bCs/>
                <w:color w:val="000000"/>
                <w:szCs w:val="20"/>
              </w:rPr>
            </w:pPr>
            <w:r w:rsidRPr="00471CBA">
              <w:rPr>
                <w:b/>
                <w:bCs/>
                <w:color w:val="000000"/>
                <w:szCs w:val="20"/>
              </w:rPr>
              <w:t> </w:t>
            </w:r>
          </w:p>
        </w:tc>
        <w:tc>
          <w:tcPr>
            <w:tcW w:w="888" w:type="pct"/>
            <w:tcBorders>
              <w:top w:val="nil"/>
              <w:left w:val="nil"/>
              <w:bottom w:val="single" w:sz="4" w:space="0" w:color="auto"/>
              <w:right w:val="nil"/>
            </w:tcBorders>
            <w:hideMark/>
          </w:tcPr>
          <w:p w14:paraId="3766CA30" w14:textId="77777777" w:rsidR="001C13B0" w:rsidRPr="00471CBA" w:rsidRDefault="001C13B0" w:rsidP="003D1625">
            <w:pPr>
              <w:jc w:val="right"/>
              <w:rPr>
                <w:b/>
                <w:bCs/>
                <w:color w:val="000000"/>
                <w:szCs w:val="20"/>
                <w:lang w:eastAsia="tr-TR"/>
              </w:rPr>
            </w:pPr>
            <w:r w:rsidRPr="00471CBA">
              <w:rPr>
                <w:b/>
                <w:bCs/>
                <w:color w:val="000000"/>
                <w:szCs w:val="20"/>
                <w:lang w:eastAsia="tr-TR"/>
              </w:rPr>
              <w:t>TP</w:t>
            </w:r>
          </w:p>
        </w:tc>
        <w:tc>
          <w:tcPr>
            <w:tcW w:w="917" w:type="pct"/>
            <w:tcBorders>
              <w:top w:val="nil"/>
              <w:left w:val="nil"/>
              <w:bottom w:val="single" w:sz="4" w:space="0" w:color="auto"/>
              <w:right w:val="nil"/>
            </w:tcBorders>
            <w:hideMark/>
          </w:tcPr>
          <w:p w14:paraId="7D67676E" w14:textId="77777777" w:rsidR="001C13B0" w:rsidRPr="00471CBA" w:rsidRDefault="001C13B0" w:rsidP="003D1625">
            <w:pPr>
              <w:jc w:val="right"/>
              <w:rPr>
                <w:b/>
                <w:bCs/>
                <w:color w:val="000000"/>
                <w:szCs w:val="20"/>
                <w:lang w:eastAsia="tr-TR"/>
              </w:rPr>
            </w:pPr>
            <w:r w:rsidRPr="00471CBA">
              <w:rPr>
                <w:b/>
                <w:bCs/>
                <w:color w:val="000000"/>
                <w:szCs w:val="20"/>
                <w:lang w:eastAsia="tr-TR"/>
              </w:rPr>
              <w:t>YP</w:t>
            </w:r>
          </w:p>
        </w:tc>
      </w:tr>
      <w:tr w:rsidR="001C13B0" w:rsidRPr="00471CBA" w14:paraId="17F54593" w14:textId="77777777" w:rsidTr="000D24B7">
        <w:trPr>
          <w:trHeight w:val="227"/>
        </w:trPr>
        <w:tc>
          <w:tcPr>
            <w:tcW w:w="3195" w:type="pct"/>
            <w:tcBorders>
              <w:top w:val="nil"/>
              <w:left w:val="nil"/>
              <w:bottom w:val="nil"/>
              <w:right w:val="nil"/>
            </w:tcBorders>
            <w:hideMark/>
          </w:tcPr>
          <w:p w14:paraId="793B8125" w14:textId="77777777" w:rsidR="001C13B0" w:rsidRPr="00471CBA" w:rsidRDefault="001C13B0" w:rsidP="003D1625">
            <w:pPr>
              <w:jc w:val="right"/>
              <w:rPr>
                <w:b/>
                <w:bCs/>
                <w:color w:val="000000"/>
                <w:szCs w:val="20"/>
              </w:rPr>
            </w:pPr>
          </w:p>
        </w:tc>
        <w:tc>
          <w:tcPr>
            <w:tcW w:w="888" w:type="pct"/>
            <w:tcBorders>
              <w:top w:val="nil"/>
              <w:left w:val="nil"/>
              <w:bottom w:val="nil"/>
              <w:right w:val="nil"/>
            </w:tcBorders>
            <w:hideMark/>
          </w:tcPr>
          <w:p w14:paraId="2BEB3947" w14:textId="77777777" w:rsidR="001C13B0" w:rsidRPr="00471CBA" w:rsidRDefault="001C13B0" w:rsidP="003D1625">
            <w:pPr>
              <w:jc w:val="both"/>
              <w:rPr>
                <w:szCs w:val="20"/>
                <w:lang w:eastAsia="tr-TR"/>
              </w:rPr>
            </w:pPr>
          </w:p>
        </w:tc>
        <w:tc>
          <w:tcPr>
            <w:tcW w:w="917" w:type="pct"/>
            <w:tcBorders>
              <w:top w:val="nil"/>
              <w:left w:val="nil"/>
              <w:bottom w:val="nil"/>
              <w:right w:val="nil"/>
            </w:tcBorders>
            <w:hideMark/>
          </w:tcPr>
          <w:p w14:paraId="7A011E53" w14:textId="77777777" w:rsidR="001C13B0" w:rsidRPr="00471CBA" w:rsidRDefault="001C13B0" w:rsidP="003D1625">
            <w:pPr>
              <w:jc w:val="both"/>
              <w:rPr>
                <w:szCs w:val="20"/>
                <w:lang w:eastAsia="tr-TR"/>
              </w:rPr>
            </w:pPr>
          </w:p>
        </w:tc>
      </w:tr>
      <w:tr w:rsidR="001C13B0" w:rsidRPr="00471CBA" w14:paraId="3EC0D134" w14:textId="77777777" w:rsidTr="000D24B7">
        <w:trPr>
          <w:trHeight w:val="227"/>
        </w:trPr>
        <w:tc>
          <w:tcPr>
            <w:tcW w:w="3195" w:type="pct"/>
            <w:tcBorders>
              <w:top w:val="nil"/>
              <w:left w:val="nil"/>
              <w:bottom w:val="nil"/>
              <w:right w:val="nil"/>
            </w:tcBorders>
            <w:hideMark/>
          </w:tcPr>
          <w:p w14:paraId="377ACFC6" w14:textId="77777777" w:rsidR="001C13B0" w:rsidRPr="00471CBA" w:rsidRDefault="001C13B0" w:rsidP="003D1625">
            <w:pPr>
              <w:jc w:val="both"/>
              <w:rPr>
                <w:b/>
                <w:bCs/>
                <w:color w:val="000000"/>
                <w:szCs w:val="20"/>
              </w:rPr>
            </w:pPr>
            <w:r w:rsidRPr="00471CBA">
              <w:rPr>
                <w:b/>
                <w:bCs/>
                <w:color w:val="000000"/>
                <w:szCs w:val="20"/>
              </w:rPr>
              <w:t>Kredilerden alınan kar payları</w:t>
            </w:r>
            <w:r w:rsidRPr="00471CBA">
              <w:rPr>
                <w:b/>
                <w:bCs/>
                <w:color w:val="000000"/>
                <w:szCs w:val="20"/>
                <w:vertAlign w:val="superscript"/>
              </w:rPr>
              <w:t>(*)</w:t>
            </w:r>
          </w:p>
        </w:tc>
        <w:tc>
          <w:tcPr>
            <w:tcW w:w="888" w:type="pct"/>
            <w:tcBorders>
              <w:top w:val="nil"/>
              <w:left w:val="nil"/>
              <w:bottom w:val="nil"/>
              <w:right w:val="nil"/>
            </w:tcBorders>
            <w:noWrap/>
            <w:vAlign w:val="bottom"/>
            <w:hideMark/>
          </w:tcPr>
          <w:p w14:paraId="1CCE499E" w14:textId="77777777" w:rsidR="001C13B0" w:rsidRPr="00471CBA" w:rsidRDefault="001C13B0" w:rsidP="003D1625">
            <w:pPr>
              <w:rPr>
                <w:szCs w:val="20"/>
                <w:lang w:eastAsia="tr-TR"/>
              </w:rPr>
            </w:pPr>
          </w:p>
        </w:tc>
        <w:tc>
          <w:tcPr>
            <w:tcW w:w="917" w:type="pct"/>
            <w:tcBorders>
              <w:top w:val="nil"/>
              <w:left w:val="nil"/>
              <w:bottom w:val="nil"/>
              <w:right w:val="nil"/>
            </w:tcBorders>
            <w:noWrap/>
            <w:vAlign w:val="bottom"/>
            <w:hideMark/>
          </w:tcPr>
          <w:p w14:paraId="30EAE786" w14:textId="77777777" w:rsidR="001C13B0" w:rsidRPr="00471CBA" w:rsidRDefault="001C13B0" w:rsidP="003D1625">
            <w:pPr>
              <w:rPr>
                <w:szCs w:val="20"/>
                <w:lang w:eastAsia="tr-TR"/>
              </w:rPr>
            </w:pPr>
          </w:p>
        </w:tc>
      </w:tr>
      <w:tr w:rsidR="000D24B7" w:rsidRPr="00471CBA" w14:paraId="1D7E052B" w14:textId="77777777" w:rsidTr="000D24B7">
        <w:trPr>
          <w:trHeight w:val="227"/>
        </w:trPr>
        <w:tc>
          <w:tcPr>
            <w:tcW w:w="3195" w:type="pct"/>
            <w:tcBorders>
              <w:top w:val="nil"/>
              <w:left w:val="nil"/>
              <w:bottom w:val="nil"/>
              <w:right w:val="nil"/>
            </w:tcBorders>
            <w:vAlign w:val="bottom"/>
            <w:hideMark/>
          </w:tcPr>
          <w:p w14:paraId="06268359" w14:textId="77777777" w:rsidR="000D24B7" w:rsidRPr="00471CBA" w:rsidRDefault="000D24B7" w:rsidP="000D24B7">
            <w:pPr>
              <w:rPr>
                <w:color w:val="000000"/>
                <w:szCs w:val="20"/>
              </w:rPr>
            </w:pPr>
            <w:r w:rsidRPr="00471CBA">
              <w:rPr>
                <w:color w:val="000000"/>
                <w:szCs w:val="20"/>
              </w:rPr>
              <w:t>Kısa Vadeli Kredilerden</w:t>
            </w:r>
          </w:p>
        </w:tc>
        <w:tc>
          <w:tcPr>
            <w:tcW w:w="888" w:type="pct"/>
            <w:tcBorders>
              <w:top w:val="nil"/>
              <w:left w:val="nil"/>
              <w:bottom w:val="nil"/>
              <w:right w:val="nil"/>
            </w:tcBorders>
            <w:noWrap/>
            <w:hideMark/>
          </w:tcPr>
          <w:p w14:paraId="7EAD0551" w14:textId="42388D9E" w:rsidR="000D24B7" w:rsidRPr="00471CBA" w:rsidRDefault="000D24B7" w:rsidP="000D24B7">
            <w:pPr>
              <w:jc w:val="right"/>
              <w:rPr>
                <w:rFonts w:ascii="Arial" w:hAnsi="Arial" w:cs="Arial"/>
                <w:color w:val="000000"/>
                <w:szCs w:val="20"/>
                <w:lang w:eastAsia="tr-TR"/>
              </w:rPr>
            </w:pPr>
            <w:r w:rsidRPr="00471CBA">
              <w:t>2.294.679</w:t>
            </w:r>
          </w:p>
        </w:tc>
        <w:tc>
          <w:tcPr>
            <w:tcW w:w="917" w:type="pct"/>
            <w:tcBorders>
              <w:top w:val="nil"/>
              <w:left w:val="nil"/>
              <w:bottom w:val="nil"/>
              <w:right w:val="nil"/>
            </w:tcBorders>
            <w:noWrap/>
            <w:hideMark/>
          </w:tcPr>
          <w:p w14:paraId="4EB1FE85" w14:textId="51BFDA0B" w:rsidR="000D24B7" w:rsidRPr="00471CBA" w:rsidRDefault="000D24B7" w:rsidP="000D24B7">
            <w:pPr>
              <w:jc w:val="right"/>
              <w:rPr>
                <w:rFonts w:ascii="Arial" w:hAnsi="Arial" w:cs="Arial"/>
                <w:color w:val="000000"/>
                <w:szCs w:val="20"/>
                <w:lang w:eastAsia="tr-TR"/>
              </w:rPr>
            </w:pPr>
            <w:r w:rsidRPr="00471CBA">
              <w:t>101.040</w:t>
            </w:r>
          </w:p>
        </w:tc>
      </w:tr>
      <w:tr w:rsidR="000D24B7" w:rsidRPr="00471CBA" w14:paraId="01B0D79F" w14:textId="77777777" w:rsidTr="000D24B7">
        <w:trPr>
          <w:trHeight w:val="227"/>
        </w:trPr>
        <w:tc>
          <w:tcPr>
            <w:tcW w:w="3195" w:type="pct"/>
            <w:tcBorders>
              <w:top w:val="nil"/>
              <w:left w:val="nil"/>
              <w:bottom w:val="nil"/>
              <w:right w:val="nil"/>
            </w:tcBorders>
            <w:vAlign w:val="bottom"/>
            <w:hideMark/>
          </w:tcPr>
          <w:p w14:paraId="0698F5BA" w14:textId="77777777" w:rsidR="000D24B7" w:rsidRPr="00471CBA" w:rsidRDefault="000D24B7" w:rsidP="000D24B7">
            <w:pPr>
              <w:rPr>
                <w:color w:val="000000"/>
                <w:szCs w:val="20"/>
              </w:rPr>
            </w:pPr>
            <w:r w:rsidRPr="00471CBA">
              <w:rPr>
                <w:color w:val="000000"/>
                <w:szCs w:val="20"/>
              </w:rPr>
              <w:t>Orta ve Uzun Vadeli Kredilerden</w:t>
            </w:r>
          </w:p>
        </w:tc>
        <w:tc>
          <w:tcPr>
            <w:tcW w:w="888" w:type="pct"/>
            <w:tcBorders>
              <w:top w:val="nil"/>
              <w:left w:val="nil"/>
              <w:bottom w:val="nil"/>
              <w:right w:val="nil"/>
            </w:tcBorders>
            <w:noWrap/>
            <w:hideMark/>
          </w:tcPr>
          <w:p w14:paraId="698B0113" w14:textId="1040EC05" w:rsidR="000D24B7" w:rsidRPr="00471CBA" w:rsidRDefault="000D24B7" w:rsidP="000D24B7">
            <w:pPr>
              <w:jc w:val="right"/>
              <w:rPr>
                <w:rFonts w:ascii="Arial" w:hAnsi="Arial" w:cs="Arial"/>
                <w:color w:val="000000"/>
                <w:szCs w:val="20"/>
                <w:lang w:eastAsia="tr-TR"/>
              </w:rPr>
            </w:pPr>
            <w:r w:rsidRPr="00471CBA">
              <w:t>536.826</w:t>
            </w:r>
          </w:p>
        </w:tc>
        <w:tc>
          <w:tcPr>
            <w:tcW w:w="917" w:type="pct"/>
            <w:tcBorders>
              <w:top w:val="nil"/>
              <w:left w:val="nil"/>
              <w:bottom w:val="nil"/>
              <w:right w:val="nil"/>
            </w:tcBorders>
            <w:noWrap/>
            <w:hideMark/>
          </w:tcPr>
          <w:p w14:paraId="14B51344" w14:textId="35308BAD" w:rsidR="000D24B7" w:rsidRPr="00471CBA" w:rsidRDefault="000D24B7" w:rsidP="000D24B7">
            <w:pPr>
              <w:jc w:val="right"/>
              <w:rPr>
                <w:rFonts w:ascii="Arial" w:hAnsi="Arial" w:cs="Arial"/>
                <w:color w:val="000000"/>
                <w:szCs w:val="20"/>
                <w:lang w:eastAsia="tr-TR"/>
              </w:rPr>
            </w:pPr>
            <w:r w:rsidRPr="00471CBA">
              <w:t>62.507</w:t>
            </w:r>
          </w:p>
        </w:tc>
      </w:tr>
      <w:tr w:rsidR="000D24B7" w:rsidRPr="00471CBA" w14:paraId="760B07A0" w14:textId="77777777" w:rsidTr="000D24B7">
        <w:trPr>
          <w:trHeight w:val="227"/>
        </w:trPr>
        <w:tc>
          <w:tcPr>
            <w:tcW w:w="3195" w:type="pct"/>
            <w:tcBorders>
              <w:top w:val="nil"/>
              <w:left w:val="nil"/>
              <w:bottom w:val="nil"/>
              <w:right w:val="nil"/>
            </w:tcBorders>
            <w:vAlign w:val="bottom"/>
            <w:hideMark/>
          </w:tcPr>
          <w:p w14:paraId="784C9FE9" w14:textId="77777777" w:rsidR="000D24B7" w:rsidRPr="00471CBA" w:rsidRDefault="000D24B7" w:rsidP="000D24B7">
            <w:pPr>
              <w:rPr>
                <w:color w:val="000000"/>
                <w:szCs w:val="20"/>
              </w:rPr>
            </w:pPr>
            <w:r w:rsidRPr="00471CBA">
              <w:rPr>
                <w:color w:val="000000"/>
                <w:szCs w:val="20"/>
              </w:rPr>
              <w:t>Takipteki Alacaklardan Alınan Kar Payları</w:t>
            </w:r>
          </w:p>
        </w:tc>
        <w:tc>
          <w:tcPr>
            <w:tcW w:w="888" w:type="pct"/>
            <w:tcBorders>
              <w:top w:val="nil"/>
              <w:left w:val="nil"/>
              <w:bottom w:val="nil"/>
              <w:right w:val="nil"/>
            </w:tcBorders>
            <w:noWrap/>
            <w:hideMark/>
          </w:tcPr>
          <w:p w14:paraId="3FE7D0CE" w14:textId="058EA2F2" w:rsidR="000D24B7" w:rsidRPr="00471CBA" w:rsidRDefault="000D24B7" w:rsidP="000D24B7">
            <w:pPr>
              <w:jc w:val="right"/>
              <w:rPr>
                <w:rFonts w:ascii="Arial" w:hAnsi="Arial" w:cs="Arial"/>
                <w:color w:val="000000"/>
                <w:szCs w:val="20"/>
                <w:lang w:eastAsia="tr-TR"/>
              </w:rPr>
            </w:pPr>
            <w:r w:rsidRPr="00471CBA">
              <w:t>-</w:t>
            </w:r>
          </w:p>
        </w:tc>
        <w:tc>
          <w:tcPr>
            <w:tcW w:w="917" w:type="pct"/>
            <w:tcBorders>
              <w:top w:val="nil"/>
              <w:left w:val="nil"/>
              <w:bottom w:val="nil"/>
              <w:right w:val="nil"/>
            </w:tcBorders>
            <w:noWrap/>
            <w:hideMark/>
          </w:tcPr>
          <w:p w14:paraId="3B42357E" w14:textId="4840C559" w:rsidR="000D24B7" w:rsidRPr="00471CBA" w:rsidRDefault="000D24B7" w:rsidP="000D24B7">
            <w:pPr>
              <w:jc w:val="right"/>
              <w:rPr>
                <w:rFonts w:ascii="Arial" w:hAnsi="Arial" w:cs="Arial"/>
                <w:color w:val="000000"/>
                <w:szCs w:val="20"/>
                <w:lang w:eastAsia="tr-TR"/>
              </w:rPr>
            </w:pPr>
            <w:r w:rsidRPr="00471CBA">
              <w:t>-</w:t>
            </w:r>
          </w:p>
        </w:tc>
      </w:tr>
      <w:tr w:rsidR="000D24B7" w:rsidRPr="00471CBA" w14:paraId="2D4171A7" w14:textId="77777777" w:rsidTr="000D24B7">
        <w:trPr>
          <w:trHeight w:val="227"/>
        </w:trPr>
        <w:tc>
          <w:tcPr>
            <w:tcW w:w="3195" w:type="pct"/>
            <w:tcBorders>
              <w:top w:val="nil"/>
              <w:left w:val="nil"/>
              <w:bottom w:val="single" w:sz="4" w:space="0" w:color="auto"/>
              <w:right w:val="nil"/>
            </w:tcBorders>
            <w:vAlign w:val="bottom"/>
            <w:hideMark/>
          </w:tcPr>
          <w:p w14:paraId="203071B3" w14:textId="77777777" w:rsidR="000D24B7" w:rsidRPr="00471CBA" w:rsidRDefault="000D24B7" w:rsidP="000D24B7">
            <w:pPr>
              <w:rPr>
                <w:color w:val="000000"/>
                <w:szCs w:val="20"/>
              </w:rPr>
            </w:pPr>
            <w:r w:rsidRPr="00471CBA">
              <w:rPr>
                <w:color w:val="000000"/>
                <w:szCs w:val="20"/>
              </w:rPr>
              <w:t>Kaynak Kul. Destekleme Fonundan Alınan Primler</w:t>
            </w:r>
          </w:p>
        </w:tc>
        <w:tc>
          <w:tcPr>
            <w:tcW w:w="888" w:type="pct"/>
            <w:tcBorders>
              <w:top w:val="nil"/>
              <w:left w:val="nil"/>
              <w:bottom w:val="single" w:sz="4" w:space="0" w:color="auto"/>
              <w:right w:val="nil"/>
            </w:tcBorders>
            <w:noWrap/>
            <w:hideMark/>
          </w:tcPr>
          <w:p w14:paraId="41B1CB02" w14:textId="5B9B6255" w:rsidR="000D24B7" w:rsidRPr="00471CBA" w:rsidRDefault="000D24B7" w:rsidP="000D24B7">
            <w:pPr>
              <w:jc w:val="right"/>
              <w:rPr>
                <w:color w:val="000000"/>
                <w:szCs w:val="20"/>
                <w:lang w:eastAsia="tr-TR"/>
              </w:rPr>
            </w:pPr>
            <w:r w:rsidRPr="00471CBA">
              <w:t>-</w:t>
            </w:r>
          </w:p>
        </w:tc>
        <w:tc>
          <w:tcPr>
            <w:tcW w:w="917" w:type="pct"/>
            <w:tcBorders>
              <w:top w:val="nil"/>
              <w:left w:val="nil"/>
              <w:bottom w:val="single" w:sz="4" w:space="0" w:color="auto"/>
              <w:right w:val="nil"/>
            </w:tcBorders>
            <w:noWrap/>
            <w:hideMark/>
          </w:tcPr>
          <w:p w14:paraId="5CC5D9CD" w14:textId="01EF5612" w:rsidR="000D24B7" w:rsidRPr="00471CBA" w:rsidRDefault="000D24B7" w:rsidP="000D24B7">
            <w:pPr>
              <w:jc w:val="right"/>
              <w:rPr>
                <w:color w:val="000000"/>
                <w:szCs w:val="20"/>
                <w:lang w:eastAsia="tr-TR"/>
              </w:rPr>
            </w:pPr>
            <w:r w:rsidRPr="00471CBA">
              <w:t>-</w:t>
            </w:r>
          </w:p>
        </w:tc>
      </w:tr>
      <w:tr w:rsidR="000D24B7" w:rsidRPr="00471CBA" w14:paraId="00E9943F" w14:textId="77777777" w:rsidTr="000D24B7">
        <w:trPr>
          <w:trHeight w:val="227"/>
        </w:trPr>
        <w:tc>
          <w:tcPr>
            <w:tcW w:w="3195" w:type="pct"/>
            <w:tcBorders>
              <w:top w:val="nil"/>
              <w:left w:val="nil"/>
              <w:right w:val="nil"/>
            </w:tcBorders>
            <w:noWrap/>
            <w:vAlign w:val="bottom"/>
            <w:hideMark/>
          </w:tcPr>
          <w:p w14:paraId="42B1E7E3" w14:textId="77777777" w:rsidR="000D24B7" w:rsidRPr="00471CBA" w:rsidRDefault="000D24B7" w:rsidP="000D24B7">
            <w:pPr>
              <w:jc w:val="right"/>
              <w:rPr>
                <w:color w:val="000000"/>
                <w:szCs w:val="20"/>
              </w:rPr>
            </w:pPr>
          </w:p>
        </w:tc>
        <w:tc>
          <w:tcPr>
            <w:tcW w:w="888" w:type="pct"/>
            <w:tcBorders>
              <w:top w:val="nil"/>
              <w:left w:val="nil"/>
              <w:right w:val="nil"/>
            </w:tcBorders>
            <w:noWrap/>
            <w:hideMark/>
          </w:tcPr>
          <w:p w14:paraId="07FEEFEF" w14:textId="55C5AECE" w:rsidR="000D24B7" w:rsidRPr="00471CBA" w:rsidRDefault="000D24B7" w:rsidP="000D24B7">
            <w:pPr>
              <w:jc w:val="right"/>
              <w:rPr>
                <w:rFonts w:ascii="Arial" w:hAnsi="Arial" w:cs="Arial"/>
                <w:color w:val="000000"/>
                <w:szCs w:val="20"/>
                <w:lang w:eastAsia="tr-TR"/>
              </w:rPr>
            </w:pPr>
          </w:p>
        </w:tc>
        <w:tc>
          <w:tcPr>
            <w:tcW w:w="917" w:type="pct"/>
            <w:tcBorders>
              <w:top w:val="nil"/>
              <w:left w:val="nil"/>
              <w:right w:val="nil"/>
            </w:tcBorders>
            <w:noWrap/>
            <w:hideMark/>
          </w:tcPr>
          <w:p w14:paraId="5A476B3B" w14:textId="1BCFEC82" w:rsidR="000D24B7" w:rsidRPr="00471CBA" w:rsidRDefault="000D24B7" w:rsidP="000D24B7">
            <w:pPr>
              <w:jc w:val="right"/>
              <w:rPr>
                <w:rFonts w:ascii="Arial" w:hAnsi="Arial" w:cs="Arial"/>
                <w:color w:val="000000"/>
                <w:szCs w:val="20"/>
                <w:lang w:eastAsia="tr-TR"/>
              </w:rPr>
            </w:pPr>
          </w:p>
        </w:tc>
      </w:tr>
      <w:tr w:rsidR="000D24B7" w:rsidRPr="00471CBA" w14:paraId="30EA136A" w14:textId="77777777" w:rsidTr="000D24B7">
        <w:trPr>
          <w:trHeight w:val="227"/>
        </w:trPr>
        <w:tc>
          <w:tcPr>
            <w:tcW w:w="3195" w:type="pct"/>
            <w:tcBorders>
              <w:top w:val="nil"/>
              <w:left w:val="nil"/>
              <w:bottom w:val="single" w:sz="12" w:space="0" w:color="auto"/>
              <w:right w:val="nil"/>
            </w:tcBorders>
            <w:noWrap/>
            <w:vAlign w:val="bottom"/>
            <w:hideMark/>
          </w:tcPr>
          <w:p w14:paraId="1BE8F840" w14:textId="77777777" w:rsidR="000D24B7" w:rsidRPr="00471CBA" w:rsidRDefault="000D24B7" w:rsidP="000D24B7">
            <w:pPr>
              <w:rPr>
                <w:b/>
                <w:bCs/>
                <w:color w:val="000000"/>
                <w:szCs w:val="20"/>
              </w:rPr>
            </w:pPr>
            <w:r w:rsidRPr="00471CBA">
              <w:rPr>
                <w:rFonts w:eastAsia="Arial Unicode MS"/>
                <w:b/>
                <w:bCs/>
                <w:color w:val="000000"/>
                <w:szCs w:val="20"/>
              </w:rPr>
              <w:t>Toplam</w:t>
            </w:r>
          </w:p>
        </w:tc>
        <w:tc>
          <w:tcPr>
            <w:tcW w:w="888" w:type="pct"/>
            <w:tcBorders>
              <w:top w:val="nil"/>
              <w:left w:val="nil"/>
              <w:bottom w:val="single" w:sz="12" w:space="0" w:color="auto"/>
              <w:right w:val="nil"/>
            </w:tcBorders>
            <w:noWrap/>
            <w:hideMark/>
          </w:tcPr>
          <w:p w14:paraId="74D51496" w14:textId="28D8252D" w:rsidR="000D24B7" w:rsidRPr="00471CBA" w:rsidRDefault="000D24B7" w:rsidP="000D24B7">
            <w:pPr>
              <w:jc w:val="right"/>
              <w:rPr>
                <w:b/>
                <w:bCs/>
                <w:color w:val="000000"/>
                <w:szCs w:val="20"/>
                <w:lang w:eastAsia="tr-TR"/>
              </w:rPr>
            </w:pPr>
            <w:r w:rsidRPr="00471CBA">
              <w:rPr>
                <w:b/>
                <w:bCs/>
              </w:rPr>
              <w:t>2.831.505</w:t>
            </w:r>
          </w:p>
        </w:tc>
        <w:tc>
          <w:tcPr>
            <w:tcW w:w="917" w:type="pct"/>
            <w:tcBorders>
              <w:top w:val="nil"/>
              <w:left w:val="nil"/>
              <w:bottom w:val="single" w:sz="12" w:space="0" w:color="auto"/>
              <w:right w:val="nil"/>
            </w:tcBorders>
            <w:noWrap/>
            <w:hideMark/>
          </w:tcPr>
          <w:p w14:paraId="2D83B601" w14:textId="16898D7D" w:rsidR="000D24B7" w:rsidRPr="00471CBA" w:rsidRDefault="000D24B7" w:rsidP="000D24B7">
            <w:pPr>
              <w:jc w:val="right"/>
              <w:rPr>
                <w:b/>
                <w:bCs/>
                <w:color w:val="000000"/>
                <w:szCs w:val="20"/>
                <w:lang w:eastAsia="tr-TR"/>
              </w:rPr>
            </w:pPr>
            <w:r w:rsidRPr="00471CBA">
              <w:rPr>
                <w:b/>
                <w:bCs/>
              </w:rPr>
              <w:t>163.547</w:t>
            </w:r>
          </w:p>
        </w:tc>
      </w:tr>
    </w:tbl>
    <w:p w14:paraId="75730B9D" w14:textId="7F4025E1" w:rsidR="006025D3" w:rsidRDefault="006025D3" w:rsidP="000D6A42">
      <w:pPr>
        <w:widowControl w:val="0"/>
        <w:spacing w:line="216" w:lineRule="auto"/>
        <w:ind w:left="1276" w:hanging="425"/>
        <w:jc w:val="both"/>
        <w:rPr>
          <w:sz w:val="16"/>
          <w:szCs w:val="16"/>
        </w:rPr>
      </w:pPr>
    </w:p>
    <w:p w14:paraId="1804C9B5" w14:textId="77777777" w:rsidR="00EC6692" w:rsidRPr="00471CBA" w:rsidRDefault="00EC6692" w:rsidP="00EC6692">
      <w:pPr>
        <w:widowControl w:val="0"/>
        <w:spacing w:line="216" w:lineRule="auto"/>
        <w:ind w:left="1276" w:hanging="425"/>
        <w:jc w:val="both"/>
        <w:rPr>
          <w:sz w:val="18"/>
          <w:szCs w:val="18"/>
        </w:rPr>
      </w:pPr>
      <w:r w:rsidRPr="00471CBA">
        <w:rPr>
          <w:sz w:val="18"/>
          <w:szCs w:val="18"/>
          <w:vertAlign w:val="superscript"/>
        </w:rPr>
        <w:t>(*)</w:t>
      </w:r>
      <w:r w:rsidRPr="00471CBA">
        <w:rPr>
          <w:sz w:val="18"/>
          <w:szCs w:val="18"/>
        </w:rPr>
        <w:tab/>
        <w:t>Nakdi kredilere ilişkin ücret ve komisyon gelirlerini de içermektedir.</w:t>
      </w:r>
    </w:p>
    <w:p w14:paraId="5AFA2D36" w14:textId="77777777" w:rsidR="006025D3" w:rsidRDefault="006025D3">
      <w:pPr>
        <w:rPr>
          <w:sz w:val="16"/>
          <w:szCs w:val="16"/>
        </w:rPr>
      </w:pPr>
      <w:r>
        <w:rPr>
          <w:sz w:val="16"/>
          <w:szCs w:val="16"/>
        </w:rPr>
        <w:br w:type="page"/>
      </w:r>
    </w:p>
    <w:p w14:paraId="793A4A70" w14:textId="77777777" w:rsidR="006025D3" w:rsidRPr="00471CBA" w:rsidRDefault="006025D3" w:rsidP="006025D3">
      <w:pPr>
        <w:widowControl w:val="0"/>
        <w:ind w:left="720" w:hanging="720"/>
        <w:jc w:val="both"/>
        <w:rPr>
          <w:b/>
          <w:szCs w:val="20"/>
        </w:rPr>
      </w:pPr>
      <w:bookmarkStart w:id="147" w:name="_Hlk223378219"/>
      <w:r w:rsidRPr="00471CBA">
        <w:rPr>
          <w:b/>
          <w:szCs w:val="20"/>
        </w:rPr>
        <w:t>KONSOLİDE OLMAYAN FİNANSAL TABLOLARA İLİŞKİN AÇIKLAMA VE DİPNOTLAR (Devamı)</w:t>
      </w:r>
    </w:p>
    <w:p w14:paraId="4C469B01" w14:textId="77777777" w:rsidR="006025D3" w:rsidRPr="00471CBA" w:rsidRDefault="006025D3" w:rsidP="006025D3">
      <w:pPr>
        <w:widowControl w:val="0"/>
        <w:autoSpaceDE w:val="0"/>
        <w:autoSpaceDN w:val="0"/>
        <w:adjustRightInd w:val="0"/>
        <w:ind w:left="14" w:right="210"/>
        <w:jc w:val="both"/>
        <w:rPr>
          <w:szCs w:val="20"/>
        </w:rPr>
      </w:pPr>
    </w:p>
    <w:p w14:paraId="4BB559FE" w14:textId="77777777" w:rsidR="006025D3" w:rsidRPr="00471CBA" w:rsidRDefault="006025D3" w:rsidP="008459A9">
      <w:pPr>
        <w:pStyle w:val="GvdeMetniGirintisi"/>
        <w:widowControl w:val="0"/>
        <w:numPr>
          <w:ilvl w:val="0"/>
          <w:numId w:val="51"/>
        </w:numPr>
        <w:ind w:left="851" w:right="206" w:hanging="851"/>
        <w:rPr>
          <w:b/>
          <w:iCs/>
          <w:szCs w:val="20"/>
        </w:rPr>
      </w:pPr>
      <w:r w:rsidRPr="00471CBA">
        <w:rPr>
          <w:b/>
          <w:iCs/>
          <w:szCs w:val="20"/>
        </w:rPr>
        <w:t>KAR VEYA ZARAR TABLOSUNA İLİŞKİN AÇIKLAMA VE DİPNOTLAR (Devamı)</w:t>
      </w:r>
    </w:p>
    <w:bookmarkEnd w:id="147"/>
    <w:p w14:paraId="619A807D" w14:textId="77777777" w:rsidR="008D0EC5" w:rsidRPr="00471CBA" w:rsidRDefault="008D0EC5" w:rsidP="000D6A42">
      <w:pPr>
        <w:widowControl w:val="0"/>
        <w:spacing w:line="216" w:lineRule="auto"/>
        <w:ind w:left="1276" w:hanging="425"/>
        <w:jc w:val="both"/>
        <w:rPr>
          <w:sz w:val="16"/>
          <w:szCs w:val="16"/>
        </w:rPr>
      </w:pPr>
    </w:p>
    <w:bookmarkEnd w:id="146"/>
    <w:p w14:paraId="60CD775D" w14:textId="42BDDBD6" w:rsidR="00136C29" w:rsidRPr="00471CBA" w:rsidRDefault="00136C29" w:rsidP="00212E4A">
      <w:pPr>
        <w:pStyle w:val="ListeParagraf"/>
        <w:widowControl w:val="0"/>
        <w:numPr>
          <w:ilvl w:val="0"/>
          <w:numId w:val="35"/>
        </w:numPr>
        <w:spacing w:line="216" w:lineRule="auto"/>
        <w:ind w:left="1276" w:hanging="425"/>
        <w:jc w:val="both"/>
        <w:rPr>
          <w:b/>
          <w:szCs w:val="20"/>
        </w:rPr>
      </w:pPr>
      <w:r w:rsidRPr="00471CBA">
        <w:rPr>
          <w:b/>
          <w:szCs w:val="20"/>
        </w:rPr>
        <w:t xml:space="preserve">Bankalardan alınan </w:t>
      </w:r>
      <w:r w:rsidR="001B79E7" w:rsidRPr="00471CBA">
        <w:rPr>
          <w:b/>
          <w:szCs w:val="20"/>
        </w:rPr>
        <w:t>kâr</w:t>
      </w:r>
      <w:r w:rsidRPr="00471CBA">
        <w:rPr>
          <w:b/>
          <w:szCs w:val="20"/>
        </w:rPr>
        <w:t xml:space="preserve"> payı gelirlerine ilişkin bilgiler:</w:t>
      </w:r>
    </w:p>
    <w:p w14:paraId="5D0EB3FB" w14:textId="4BED0BAE" w:rsidR="00A74C68" w:rsidRPr="00471CBA" w:rsidRDefault="00A74C68" w:rsidP="000D6A42">
      <w:pPr>
        <w:widowControl w:val="0"/>
        <w:spacing w:line="216" w:lineRule="auto"/>
        <w:ind w:left="-14" w:hanging="476"/>
        <w:jc w:val="both"/>
        <w:rPr>
          <w:szCs w:val="20"/>
        </w:rPr>
      </w:pPr>
    </w:p>
    <w:tbl>
      <w:tblPr>
        <w:tblW w:w="5000" w:type="pct"/>
        <w:tblCellMar>
          <w:left w:w="70" w:type="dxa"/>
          <w:right w:w="70" w:type="dxa"/>
        </w:tblCellMar>
        <w:tblLook w:val="04A0" w:firstRow="1" w:lastRow="0" w:firstColumn="1" w:lastColumn="0" w:noHBand="0" w:noVBand="1"/>
      </w:tblPr>
      <w:tblGrid>
        <w:gridCol w:w="5980"/>
        <w:gridCol w:w="1678"/>
        <w:gridCol w:w="1697"/>
      </w:tblGrid>
      <w:tr w:rsidR="00A74C68" w:rsidRPr="00471CBA" w14:paraId="1DE62E2A" w14:textId="77777777" w:rsidTr="00A74C68">
        <w:trPr>
          <w:divId w:val="1915236798"/>
          <w:trHeight w:val="227"/>
        </w:trPr>
        <w:tc>
          <w:tcPr>
            <w:tcW w:w="2488" w:type="pct"/>
            <w:tcBorders>
              <w:top w:val="nil"/>
              <w:left w:val="nil"/>
              <w:bottom w:val="nil"/>
              <w:right w:val="nil"/>
            </w:tcBorders>
            <w:hideMark/>
          </w:tcPr>
          <w:p w14:paraId="53FC5D8B" w14:textId="654D2EF1" w:rsidR="00A74C68" w:rsidRPr="00471CBA" w:rsidRDefault="00A74C68" w:rsidP="00A74C68">
            <w:pPr>
              <w:rPr>
                <w:b/>
                <w:bCs/>
                <w:szCs w:val="20"/>
              </w:rPr>
            </w:pPr>
          </w:p>
        </w:tc>
        <w:tc>
          <w:tcPr>
            <w:tcW w:w="1404" w:type="pct"/>
            <w:gridSpan w:val="2"/>
            <w:tcBorders>
              <w:top w:val="nil"/>
              <w:left w:val="nil"/>
              <w:bottom w:val="single" w:sz="4" w:space="0" w:color="auto"/>
              <w:right w:val="nil"/>
            </w:tcBorders>
            <w:noWrap/>
            <w:vAlign w:val="center"/>
            <w:hideMark/>
          </w:tcPr>
          <w:p w14:paraId="139D8AE5" w14:textId="77777777" w:rsidR="00A74C68" w:rsidRPr="00471CBA" w:rsidRDefault="00A74C68" w:rsidP="00A74C68">
            <w:pPr>
              <w:jc w:val="center"/>
              <w:rPr>
                <w:b/>
                <w:bCs/>
                <w:color w:val="000000"/>
                <w:szCs w:val="20"/>
              </w:rPr>
            </w:pPr>
            <w:r w:rsidRPr="00471CBA">
              <w:rPr>
                <w:b/>
                <w:bCs/>
                <w:color w:val="000000"/>
                <w:szCs w:val="20"/>
              </w:rPr>
              <w:t>1 Ocak - 31 Aralık 2025</w:t>
            </w:r>
          </w:p>
        </w:tc>
      </w:tr>
      <w:tr w:rsidR="00A74C68" w:rsidRPr="00471CBA" w14:paraId="6C7CCE33" w14:textId="77777777" w:rsidTr="00A74C68">
        <w:trPr>
          <w:divId w:val="1915236798"/>
          <w:trHeight w:val="227"/>
        </w:trPr>
        <w:tc>
          <w:tcPr>
            <w:tcW w:w="2488" w:type="pct"/>
            <w:tcBorders>
              <w:top w:val="nil"/>
              <w:left w:val="nil"/>
              <w:bottom w:val="single" w:sz="4" w:space="0" w:color="auto"/>
              <w:right w:val="nil"/>
            </w:tcBorders>
            <w:hideMark/>
          </w:tcPr>
          <w:p w14:paraId="2285B2DD" w14:textId="77777777" w:rsidR="00A74C68" w:rsidRPr="00471CBA" w:rsidRDefault="00A74C68" w:rsidP="00A74C68">
            <w:pPr>
              <w:jc w:val="both"/>
              <w:rPr>
                <w:b/>
                <w:bCs/>
                <w:color w:val="000000"/>
                <w:szCs w:val="20"/>
              </w:rPr>
            </w:pPr>
            <w:r w:rsidRPr="00471CBA">
              <w:rPr>
                <w:b/>
                <w:bCs/>
                <w:color w:val="000000"/>
                <w:szCs w:val="20"/>
              </w:rPr>
              <w:t> </w:t>
            </w:r>
          </w:p>
        </w:tc>
        <w:tc>
          <w:tcPr>
            <w:tcW w:w="698" w:type="pct"/>
            <w:tcBorders>
              <w:top w:val="nil"/>
              <w:left w:val="nil"/>
              <w:bottom w:val="single" w:sz="4" w:space="0" w:color="auto"/>
              <w:right w:val="nil"/>
            </w:tcBorders>
            <w:hideMark/>
          </w:tcPr>
          <w:p w14:paraId="7E2B8533" w14:textId="77777777" w:rsidR="00A74C68" w:rsidRPr="00471CBA" w:rsidRDefault="00A74C68" w:rsidP="00A74C68">
            <w:pPr>
              <w:jc w:val="right"/>
              <w:rPr>
                <w:b/>
                <w:bCs/>
                <w:color w:val="000000"/>
                <w:szCs w:val="20"/>
              </w:rPr>
            </w:pPr>
            <w:r w:rsidRPr="00471CBA">
              <w:rPr>
                <w:b/>
                <w:bCs/>
                <w:color w:val="000000"/>
                <w:szCs w:val="20"/>
              </w:rPr>
              <w:t>TP</w:t>
            </w:r>
          </w:p>
        </w:tc>
        <w:tc>
          <w:tcPr>
            <w:tcW w:w="706" w:type="pct"/>
            <w:tcBorders>
              <w:top w:val="nil"/>
              <w:left w:val="nil"/>
              <w:bottom w:val="single" w:sz="4" w:space="0" w:color="auto"/>
              <w:right w:val="nil"/>
            </w:tcBorders>
            <w:hideMark/>
          </w:tcPr>
          <w:p w14:paraId="66A1E937" w14:textId="77777777" w:rsidR="00A74C68" w:rsidRPr="00471CBA" w:rsidRDefault="00A74C68" w:rsidP="00A74C68">
            <w:pPr>
              <w:jc w:val="right"/>
              <w:rPr>
                <w:b/>
                <w:bCs/>
                <w:color w:val="000000"/>
                <w:szCs w:val="20"/>
              </w:rPr>
            </w:pPr>
            <w:r w:rsidRPr="00471CBA">
              <w:rPr>
                <w:b/>
                <w:bCs/>
                <w:color w:val="000000"/>
                <w:szCs w:val="20"/>
              </w:rPr>
              <w:t>YP</w:t>
            </w:r>
          </w:p>
        </w:tc>
      </w:tr>
      <w:tr w:rsidR="00A74C68" w:rsidRPr="00471CBA" w14:paraId="73B2F587" w14:textId="77777777" w:rsidTr="00A74C68">
        <w:trPr>
          <w:divId w:val="1915236798"/>
          <w:trHeight w:val="227"/>
        </w:trPr>
        <w:tc>
          <w:tcPr>
            <w:tcW w:w="2488" w:type="pct"/>
            <w:tcBorders>
              <w:top w:val="nil"/>
              <w:left w:val="nil"/>
              <w:bottom w:val="nil"/>
              <w:right w:val="nil"/>
            </w:tcBorders>
            <w:hideMark/>
          </w:tcPr>
          <w:p w14:paraId="0AFF77F6" w14:textId="77777777" w:rsidR="00A74C68" w:rsidRPr="00471CBA" w:rsidRDefault="00A74C68" w:rsidP="00A74C68">
            <w:pPr>
              <w:jc w:val="right"/>
              <w:rPr>
                <w:b/>
                <w:bCs/>
                <w:color w:val="000000"/>
                <w:szCs w:val="20"/>
              </w:rPr>
            </w:pPr>
          </w:p>
        </w:tc>
        <w:tc>
          <w:tcPr>
            <w:tcW w:w="698" w:type="pct"/>
            <w:tcBorders>
              <w:top w:val="nil"/>
              <w:left w:val="nil"/>
              <w:bottom w:val="nil"/>
              <w:right w:val="nil"/>
            </w:tcBorders>
            <w:vAlign w:val="bottom"/>
            <w:hideMark/>
          </w:tcPr>
          <w:p w14:paraId="05A9CE8B" w14:textId="77777777" w:rsidR="00A74C68" w:rsidRPr="00471CBA" w:rsidRDefault="00A74C68" w:rsidP="00A74C68">
            <w:pPr>
              <w:jc w:val="both"/>
              <w:rPr>
                <w:szCs w:val="20"/>
              </w:rPr>
            </w:pPr>
          </w:p>
        </w:tc>
        <w:tc>
          <w:tcPr>
            <w:tcW w:w="706" w:type="pct"/>
            <w:tcBorders>
              <w:top w:val="nil"/>
              <w:left w:val="nil"/>
              <w:bottom w:val="nil"/>
              <w:right w:val="nil"/>
            </w:tcBorders>
            <w:vAlign w:val="bottom"/>
            <w:hideMark/>
          </w:tcPr>
          <w:p w14:paraId="5E656A7C" w14:textId="77777777" w:rsidR="00A74C68" w:rsidRPr="00471CBA" w:rsidRDefault="00A74C68" w:rsidP="00A74C68">
            <w:pPr>
              <w:jc w:val="right"/>
              <w:rPr>
                <w:szCs w:val="20"/>
              </w:rPr>
            </w:pPr>
          </w:p>
        </w:tc>
      </w:tr>
      <w:tr w:rsidR="00A74C68" w:rsidRPr="00471CBA" w14:paraId="052A75E7" w14:textId="77777777" w:rsidTr="00A74C68">
        <w:trPr>
          <w:divId w:val="1915236798"/>
          <w:trHeight w:val="227"/>
        </w:trPr>
        <w:tc>
          <w:tcPr>
            <w:tcW w:w="2488" w:type="pct"/>
            <w:tcBorders>
              <w:top w:val="nil"/>
              <w:left w:val="nil"/>
              <w:bottom w:val="nil"/>
              <w:right w:val="nil"/>
            </w:tcBorders>
            <w:vAlign w:val="bottom"/>
            <w:hideMark/>
          </w:tcPr>
          <w:p w14:paraId="33823E1F" w14:textId="77777777" w:rsidR="00A74C68" w:rsidRPr="00471CBA" w:rsidRDefault="00A74C68" w:rsidP="00A74C68">
            <w:pPr>
              <w:rPr>
                <w:color w:val="000000"/>
                <w:szCs w:val="20"/>
              </w:rPr>
            </w:pPr>
            <w:r w:rsidRPr="00471CBA">
              <w:rPr>
                <w:color w:val="000000"/>
                <w:szCs w:val="20"/>
              </w:rPr>
              <w:t>T.C. Merkez Bankasından</w:t>
            </w:r>
          </w:p>
        </w:tc>
        <w:tc>
          <w:tcPr>
            <w:tcW w:w="698" w:type="pct"/>
            <w:tcBorders>
              <w:top w:val="nil"/>
              <w:left w:val="nil"/>
              <w:bottom w:val="nil"/>
              <w:right w:val="nil"/>
            </w:tcBorders>
            <w:noWrap/>
            <w:vAlign w:val="center"/>
            <w:hideMark/>
          </w:tcPr>
          <w:p w14:paraId="2695EB54" w14:textId="77777777" w:rsidR="00A74C68" w:rsidRPr="00471CBA" w:rsidRDefault="00A74C68" w:rsidP="00A74C68">
            <w:pPr>
              <w:jc w:val="right"/>
              <w:rPr>
                <w:color w:val="000000"/>
                <w:szCs w:val="20"/>
              </w:rPr>
            </w:pPr>
            <w:r w:rsidRPr="00471CBA">
              <w:rPr>
                <w:color w:val="000000"/>
                <w:szCs w:val="20"/>
              </w:rPr>
              <w:t>531.834</w:t>
            </w:r>
          </w:p>
        </w:tc>
        <w:tc>
          <w:tcPr>
            <w:tcW w:w="706" w:type="pct"/>
            <w:tcBorders>
              <w:top w:val="nil"/>
              <w:left w:val="nil"/>
              <w:bottom w:val="nil"/>
              <w:right w:val="nil"/>
            </w:tcBorders>
            <w:noWrap/>
            <w:vAlign w:val="center"/>
            <w:hideMark/>
          </w:tcPr>
          <w:p w14:paraId="6071B49B" w14:textId="77777777" w:rsidR="00A74C68" w:rsidRPr="00471CBA" w:rsidRDefault="00A74C68" w:rsidP="00A74C68">
            <w:pPr>
              <w:jc w:val="right"/>
              <w:rPr>
                <w:color w:val="000000"/>
                <w:szCs w:val="20"/>
              </w:rPr>
            </w:pPr>
            <w:r w:rsidRPr="00471CBA">
              <w:rPr>
                <w:color w:val="000000"/>
                <w:szCs w:val="20"/>
              </w:rPr>
              <w:t>23.178</w:t>
            </w:r>
          </w:p>
        </w:tc>
      </w:tr>
      <w:tr w:rsidR="00A74C68" w:rsidRPr="00471CBA" w14:paraId="4F3E72A7" w14:textId="77777777" w:rsidTr="00A74C68">
        <w:trPr>
          <w:divId w:val="1915236798"/>
          <w:trHeight w:val="227"/>
        </w:trPr>
        <w:tc>
          <w:tcPr>
            <w:tcW w:w="2488" w:type="pct"/>
            <w:tcBorders>
              <w:top w:val="nil"/>
              <w:left w:val="nil"/>
              <w:bottom w:val="nil"/>
              <w:right w:val="nil"/>
            </w:tcBorders>
            <w:vAlign w:val="bottom"/>
            <w:hideMark/>
          </w:tcPr>
          <w:p w14:paraId="48F9DF5B" w14:textId="77777777" w:rsidR="00A74C68" w:rsidRPr="00471CBA" w:rsidRDefault="00A74C68" w:rsidP="00A74C68">
            <w:pPr>
              <w:rPr>
                <w:color w:val="000000"/>
                <w:szCs w:val="20"/>
              </w:rPr>
            </w:pPr>
            <w:r w:rsidRPr="00471CBA">
              <w:rPr>
                <w:color w:val="000000"/>
                <w:szCs w:val="20"/>
              </w:rPr>
              <w:t>Yurtiçi Bankalardan</w:t>
            </w:r>
          </w:p>
        </w:tc>
        <w:tc>
          <w:tcPr>
            <w:tcW w:w="698" w:type="pct"/>
            <w:tcBorders>
              <w:top w:val="nil"/>
              <w:left w:val="nil"/>
              <w:bottom w:val="nil"/>
              <w:right w:val="nil"/>
            </w:tcBorders>
            <w:noWrap/>
            <w:vAlign w:val="center"/>
            <w:hideMark/>
          </w:tcPr>
          <w:p w14:paraId="34FA87FE" w14:textId="77777777" w:rsidR="00A74C68" w:rsidRPr="00471CBA" w:rsidRDefault="00A74C68" w:rsidP="00A74C68">
            <w:pPr>
              <w:jc w:val="right"/>
              <w:rPr>
                <w:color w:val="000000"/>
                <w:szCs w:val="20"/>
              </w:rPr>
            </w:pPr>
            <w:r w:rsidRPr="00471CBA">
              <w:rPr>
                <w:color w:val="000000"/>
                <w:szCs w:val="20"/>
              </w:rPr>
              <w:t>75.832</w:t>
            </w:r>
          </w:p>
        </w:tc>
        <w:tc>
          <w:tcPr>
            <w:tcW w:w="706" w:type="pct"/>
            <w:tcBorders>
              <w:top w:val="nil"/>
              <w:left w:val="nil"/>
              <w:bottom w:val="nil"/>
              <w:right w:val="nil"/>
            </w:tcBorders>
            <w:noWrap/>
            <w:vAlign w:val="center"/>
            <w:hideMark/>
          </w:tcPr>
          <w:p w14:paraId="0A3FDE43" w14:textId="77777777" w:rsidR="00A74C68" w:rsidRPr="00471CBA" w:rsidRDefault="00A74C68" w:rsidP="00A74C68">
            <w:pPr>
              <w:jc w:val="right"/>
              <w:rPr>
                <w:color w:val="000000"/>
                <w:szCs w:val="20"/>
              </w:rPr>
            </w:pPr>
            <w:r w:rsidRPr="00471CBA">
              <w:rPr>
                <w:color w:val="000000"/>
                <w:szCs w:val="20"/>
              </w:rPr>
              <w:t>-</w:t>
            </w:r>
          </w:p>
        </w:tc>
      </w:tr>
      <w:tr w:rsidR="00A74C68" w:rsidRPr="00471CBA" w14:paraId="0773768B" w14:textId="77777777" w:rsidTr="00A74C68">
        <w:trPr>
          <w:divId w:val="1915236798"/>
          <w:trHeight w:val="227"/>
        </w:trPr>
        <w:tc>
          <w:tcPr>
            <w:tcW w:w="2488" w:type="pct"/>
            <w:tcBorders>
              <w:top w:val="nil"/>
              <w:left w:val="nil"/>
              <w:bottom w:val="nil"/>
              <w:right w:val="nil"/>
            </w:tcBorders>
            <w:vAlign w:val="bottom"/>
            <w:hideMark/>
          </w:tcPr>
          <w:p w14:paraId="29C140FE" w14:textId="77777777" w:rsidR="00A74C68" w:rsidRPr="00471CBA" w:rsidRDefault="00A74C68" w:rsidP="00A74C68">
            <w:pPr>
              <w:rPr>
                <w:color w:val="000000"/>
                <w:szCs w:val="20"/>
              </w:rPr>
            </w:pPr>
            <w:r w:rsidRPr="00471CBA">
              <w:rPr>
                <w:color w:val="000000"/>
                <w:szCs w:val="20"/>
              </w:rPr>
              <w:t>Yurtdışı Bankalardan</w:t>
            </w:r>
          </w:p>
        </w:tc>
        <w:tc>
          <w:tcPr>
            <w:tcW w:w="698" w:type="pct"/>
            <w:tcBorders>
              <w:top w:val="nil"/>
              <w:left w:val="nil"/>
              <w:bottom w:val="nil"/>
              <w:right w:val="nil"/>
            </w:tcBorders>
            <w:noWrap/>
            <w:vAlign w:val="center"/>
            <w:hideMark/>
          </w:tcPr>
          <w:p w14:paraId="75E71F52" w14:textId="77777777" w:rsidR="00A74C68" w:rsidRPr="00471CBA" w:rsidRDefault="00A74C68" w:rsidP="00A74C68">
            <w:pPr>
              <w:jc w:val="right"/>
              <w:rPr>
                <w:color w:val="000000"/>
                <w:szCs w:val="20"/>
              </w:rPr>
            </w:pPr>
            <w:r w:rsidRPr="00471CBA">
              <w:rPr>
                <w:color w:val="000000"/>
                <w:szCs w:val="20"/>
              </w:rPr>
              <w:t>-</w:t>
            </w:r>
          </w:p>
        </w:tc>
        <w:tc>
          <w:tcPr>
            <w:tcW w:w="706" w:type="pct"/>
            <w:tcBorders>
              <w:top w:val="nil"/>
              <w:left w:val="nil"/>
              <w:bottom w:val="nil"/>
              <w:right w:val="nil"/>
            </w:tcBorders>
            <w:noWrap/>
            <w:vAlign w:val="center"/>
            <w:hideMark/>
          </w:tcPr>
          <w:p w14:paraId="3EA97ED5" w14:textId="77777777" w:rsidR="00A74C68" w:rsidRPr="00471CBA" w:rsidRDefault="00A74C68" w:rsidP="00A74C68">
            <w:pPr>
              <w:jc w:val="right"/>
              <w:rPr>
                <w:color w:val="000000"/>
                <w:szCs w:val="20"/>
              </w:rPr>
            </w:pPr>
            <w:r w:rsidRPr="00471CBA">
              <w:rPr>
                <w:color w:val="000000"/>
                <w:szCs w:val="20"/>
              </w:rPr>
              <w:t>1.701</w:t>
            </w:r>
          </w:p>
        </w:tc>
      </w:tr>
      <w:tr w:rsidR="00A74C68" w:rsidRPr="00471CBA" w14:paraId="50472D72" w14:textId="77777777" w:rsidTr="00A74C68">
        <w:trPr>
          <w:divId w:val="1915236798"/>
          <w:trHeight w:val="227"/>
        </w:trPr>
        <w:tc>
          <w:tcPr>
            <w:tcW w:w="2488" w:type="pct"/>
            <w:tcBorders>
              <w:top w:val="nil"/>
              <w:left w:val="nil"/>
              <w:bottom w:val="single" w:sz="4" w:space="0" w:color="auto"/>
              <w:right w:val="nil"/>
            </w:tcBorders>
            <w:vAlign w:val="bottom"/>
            <w:hideMark/>
          </w:tcPr>
          <w:p w14:paraId="739758B5" w14:textId="77777777" w:rsidR="00A74C68" w:rsidRPr="00471CBA" w:rsidRDefault="00A74C68" w:rsidP="00A74C68">
            <w:pPr>
              <w:rPr>
                <w:color w:val="000000"/>
                <w:szCs w:val="20"/>
              </w:rPr>
            </w:pPr>
            <w:r w:rsidRPr="00471CBA">
              <w:rPr>
                <w:color w:val="000000"/>
                <w:szCs w:val="20"/>
              </w:rPr>
              <w:t>Yurtdışı Merkez ve Şubelerden</w:t>
            </w:r>
          </w:p>
        </w:tc>
        <w:tc>
          <w:tcPr>
            <w:tcW w:w="698" w:type="pct"/>
            <w:tcBorders>
              <w:top w:val="nil"/>
              <w:left w:val="nil"/>
              <w:bottom w:val="single" w:sz="4" w:space="0" w:color="auto"/>
              <w:right w:val="nil"/>
            </w:tcBorders>
            <w:noWrap/>
            <w:vAlign w:val="center"/>
            <w:hideMark/>
          </w:tcPr>
          <w:p w14:paraId="10330A06" w14:textId="77777777" w:rsidR="00A74C68" w:rsidRPr="00471CBA" w:rsidRDefault="00A74C68" w:rsidP="00A74C68">
            <w:pPr>
              <w:jc w:val="right"/>
              <w:rPr>
                <w:color w:val="000000"/>
                <w:szCs w:val="20"/>
              </w:rPr>
            </w:pPr>
            <w:r w:rsidRPr="00471CBA">
              <w:rPr>
                <w:color w:val="000000"/>
                <w:szCs w:val="20"/>
              </w:rPr>
              <w:t>-</w:t>
            </w:r>
          </w:p>
        </w:tc>
        <w:tc>
          <w:tcPr>
            <w:tcW w:w="706" w:type="pct"/>
            <w:tcBorders>
              <w:top w:val="nil"/>
              <w:left w:val="nil"/>
              <w:bottom w:val="single" w:sz="4" w:space="0" w:color="auto"/>
              <w:right w:val="nil"/>
            </w:tcBorders>
            <w:noWrap/>
            <w:vAlign w:val="center"/>
            <w:hideMark/>
          </w:tcPr>
          <w:p w14:paraId="11143BCF" w14:textId="77777777" w:rsidR="00A74C68" w:rsidRPr="00471CBA" w:rsidRDefault="00A74C68" w:rsidP="00A74C68">
            <w:pPr>
              <w:jc w:val="right"/>
              <w:rPr>
                <w:color w:val="000000"/>
                <w:szCs w:val="20"/>
              </w:rPr>
            </w:pPr>
            <w:r w:rsidRPr="00471CBA">
              <w:rPr>
                <w:color w:val="000000"/>
                <w:szCs w:val="20"/>
              </w:rPr>
              <w:t>-</w:t>
            </w:r>
          </w:p>
        </w:tc>
      </w:tr>
      <w:tr w:rsidR="00A74C68" w:rsidRPr="00471CBA" w14:paraId="4DE31559" w14:textId="77777777" w:rsidTr="00A74C68">
        <w:trPr>
          <w:divId w:val="1915236798"/>
          <w:trHeight w:val="227"/>
        </w:trPr>
        <w:tc>
          <w:tcPr>
            <w:tcW w:w="2488" w:type="pct"/>
            <w:tcBorders>
              <w:top w:val="nil"/>
              <w:left w:val="nil"/>
              <w:right w:val="nil"/>
            </w:tcBorders>
            <w:hideMark/>
          </w:tcPr>
          <w:p w14:paraId="55A73F8F" w14:textId="77777777" w:rsidR="00A74C68" w:rsidRPr="00471CBA" w:rsidRDefault="00A74C68" w:rsidP="00A74C68">
            <w:pPr>
              <w:jc w:val="right"/>
              <w:rPr>
                <w:color w:val="000000"/>
                <w:szCs w:val="20"/>
              </w:rPr>
            </w:pPr>
          </w:p>
        </w:tc>
        <w:tc>
          <w:tcPr>
            <w:tcW w:w="698" w:type="pct"/>
            <w:tcBorders>
              <w:top w:val="nil"/>
              <w:left w:val="nil"/>
              <w:right w:val="nil"/>
            </w:tcBorders>
            <w:vAlign w:val="center"/>
            <w:hideMark/>
          </w:tcPr>
          <w:p w14:paraId="0C3E464A" w14:textId="77777777" w:rsidR="00A74C68" w:rsidRPr="00471CBA" w:rsidRDefault="00A74C68" w:rsidP="00A74C68">
            <w:pPr>
              <w:jc w:val="right"/>
              <w:rPr>
                <w:szCs w:val="20"/>
              </w:rPr>
            </w:pPr>
          </w:p>
        </w:tc>
        <w:tc>
          <w:tcPr>
            <w:tcW w:w="706" w:type="pct"/>
            <w:tcBorders>
              <w:top w:val="nil"/>
              <w:left w:val="nil"/>
              <w:right w:val="nil"/>
            </w:tcBorders>
            <w:vAlign w:val="center"/>
            <w:hideMark/>
          </w:tcPr>
          <w:p w14:paraId="4C1B4997" w14:textId="77777777" w:rsidR="00A74C68" w:rsidRPr="00471CBA" w:rsidRDefault="00A74C68" w:rsidP="00A74C68">
            <w:pPr>
              <w:jc w:val="right"/>
              <w:rPr>
                <w:szCs w:val="20"/>
              </w:rPr>
            </w:pPr>
          </w:p>
        </w:tc>
      </w:tr>
      <w:tr w:rsidR="00A74C68" w:rsidRPr="00471CBA" w14:paraId="065ACEA9" w14:textId="77777777" w:rsidTr="00A74C68">
        <w:trPr>
          <w:divId w:val="1915236798"/>
          <w:trHeight w:val="227"/>
        </w:trPr>
        <w:tc>
          <w:tcPr>
            <w:tcW w:w="2488" w:type="pct"/>
            <w:tcBorders>
              <w:top w:val="nil"/>
              <w:left w:val="nil"/>
              <w:bottom w:val="single" w:sz="12" w:space="0" w:color="auto"/>
              <w:right w:val="nil"/>
            </w:tcBorders>
            <w:hideMark/>
          </w:tcPr>
          <w:p w14:paraId="1BB6DBF7" w14:textId="77777777" w:rsidR="00A74C68" w:rsidRPr="00471CBA" w:rsidRDefault="00A74C68" w:rsidP="00A74C68">
            <w:pPr>
              <w:jc w:val="both"/>
              <w:rPr>
                <w:b/>
                <w:bCs/>
                <w:color w:val="000000"/>
                <w:szCs w:val="20"/>
              </w:rPr>
            </w:pPr>
            <w:r w:rsidRPr="00471CBA">
              <w:rPr>
                <w:b/>
                <w:bCs/>
                <w:color w:val="000000"/>
                <w:szCs w:val="20"/>
              </w:rPr>
              <w:t>Toplam</w:t>
            </w:r>
          </w:p>
        </w:tc>
        <w:tc>
          <w:tcPr>
            <w:tcW w:w="698" w:type="pct"/>
            <w:tcBorders>
              <w:top w:val="nil"/>
              <w:left w:val="nil"/>
              <w:bottom w:val="single" w:sz="12" w:space="0" w:color="auto"/>
              <w:right w:val="nil"/>
            </w:tcBorders>
            <w:noWrap/>
            <w:vAlign w:val="center"/>
            <w:hideMark/>
          </w:tcPr>
          <w:p w14:paraId="51214408" w14:textId="77777777" w:rsidR="00A74C68" w:rsidRPr="00471CBA" w:rsidRDefault="00A74C68" w:rsidP="00A74C68">
            <w:pPr>
              <w:jc w:val="right"/>
              <w:rPr>
                <w:b/>
                <w:bCs/>
                <w:color w:val="000000"/>
                <w:szCs w:val="20"/>
              </w:rPr>
            </w:pPr>
            <w:r w:rsidRPr="00471CBA">
              <w:rPr>
                <w:b/>
                <w:bCs/>
                <w:color w:val="000000"/>
                <w:szCs w:val="20"/>
              </w:rPr>
              <w:t>607.666</w:t>
            </w:r>
          </w:p>
        </w:tc>
        <w:tc>
          <w:tcPr>
            <w:tcW w:w="706" w:type="pct"/>
            <w:tcBorders>
              <w:top w:val="nil"/>
              <w:left w:val="nil"/>
              <w:bottom w:val="single" w:sz="12" w:space="0" w:color="auto"/>
              <w:right w:val="nil"/>
            </w:tcBorders>
            <w:noWrap/>
            <w:vAlign w:val="center"/>
            <w:hideMark/>
          </w:tcPr>
          <w:p w14:paraId="043BD4AE" w14:textId="77777777" w:rsidR="00A74C68" w:rsidRPr="00471CBA" w:rsidRDefault="00A74C68" w:rsidP="00A74C68">
            <w:pPr>
              <w:jc w:val="right"/>
              <w:rPr>
                <w:b/>
                <w:bCs/>
                <w:color w:val="000000"/>
                <w:szCs w:val="20"/>
              </w:rPr>
            </w:pPr>
            <w:r w:rsidRPr="00471CBA">
              <w:rPr>
                <w:b/>
                <w:bCs/>
                <w:color w:val="000000"/>
                <w:szCs w:val="20"/>
              </w:rPr>
              <w:t>24.879</w:t>
            </w:r>
          </w:p>
        </w:tc>
      </w:tr>
    </w:tbl>
    <w:p w14:paraId="23FB34C5" w14:textId="462D1E37" w:rsidR="00CD770B" w:rsidRPr="00471CBA" w:rsidRDefault="00CD770B" w:rsidP="000D6A42">
      <w:pPr>
        <w:widowControl w:val="0"/>
        <w:spacing w:line="216" w:lineRule="auto"/>
        <w:ind w:left="-14" w:hanging="476"/>
        <w:jc w:val="both"/>
        <w:rPr>
          <w:b/>
          <w:sz w:val="16"/>
          <w:szCs w:val="16"/>
        </w:rPr>
      </w:pPr>
    </w:p>
    <w:tbl>
      <w:tblPr>
        <w:tblW w:w="4998" w:type="pct"/>
        <w:tblCellMar>
          <w:left w:w="70" w:type="dxa"/>
          <w:right w:w="70" w:type="dxa"/>
        </w:tblCellMar>
        <w:tblLook w:val="04A0" w:firstRow="1" w:lastRow="0" w:firstColumn="1" w:lastColumn="0" w:noHBand="0" w:noVBand="1"/>
      </w:tblPr>
      <w:tblGrid>
        <w:gridCol w:w="5976"/>
        <w:gridCol w:w="1681"/>
        <w:gridCol w:w="1694"/>
      </w:tblGrid>
      <w:tr w:rsidR="001C13B0" w:rsidRPr="00471CBA" w14:paraId="62B69298" w14:textId="77777777" w:rsidTr="000D24B7">
        <w:trPr>
          <w:trHeight w:val="227"/>
        </w:trPr>
        <w:tc>
          <w:tcPr>
            <w:tcW w:w="3195" w:type="pct"/>
            <w:tcBorders>
              <w:top w:val="nil"/>
              <w:left w:val="nil"/>
              <w:bottom w:val="nil"/>
              <w:right w:val="nil"/>
            </w:tcBorders>
            <w:hideMark/>
          </w:tcPr>
          <w:p w14:paraId="1028E503" w14:textId="77777777" w:rsidR="001C13B0" w:rsidRPr="00471CBA" w:rsidRDefault="001C13B0" w:rsidP="003D1625">
            <w:pPr>
              <w:rPr>
                <w:b/>
                <w:bCs/>
                <w:szCs w:val="20"/>
              </w:rPr>
            </w:pPr>
          </w:p>
        </w:tc>
        <w:tc>
          <w:tcPr>
            <w:tcW w:w="1805" w:type="pct"/>
            <w:gridSpan w:val="2"/>
            <w:tcBorders>
              <w:top w:val="nil"/>
              <w:left w:val="nil"/>
              <w:bottom w:val="single" w:sz="4" w:space="0" w:color="auto"/>
              <w:right w:val="nil"/>
            </w:tcBorders>
            <w:noWrap/>
            <w:vAlign w:val="center"/>
            <w:hideMark/>
          </w:tcPr>
          <w:p w14:paraId="1DEB30A9" w14:textId="3303BE6D" w:rsidR="001C13B0" w:rsidRPr="00471CBA" w:rsidRDefault="000D24B7" w:rsidP="003D1625">
            <w:pPr>
              <w:jc w:val="center"/>
              <w:rPr>
                <w:b/>
                <w:bCs/>
                <w:color w:val="000000"/>
                <w:szCs w:val="20"/>
                <w:lang w:eastAsia="tr-TR"/>
              </w:rPr>
            </w:pPr>
            <w:r w:rsidRPr="00471CBA">
              <w:rPr>
                <w:b/>
                <w:bCs/>
                <w:color w:val="000000"/>
                <w:szCs w:val="20"/>
                <w:lang w:eastAsia="tr-TR"/>
              </w:rPr>
              <w:t>1 Ocak - 31 Aralık 2024</w:t>
            </w:r>
          </w:p>
        </w:tc>
      </w:tr>
      <w:tr w:rsidR="001C13B0" w:rsidRPr="00471CBA" w14:paraId="469F77F5" w14:textId="77777777" w:rsidTr="000D24B7">
        <w:trPr>
          <w:trHeight w:val="227"/>
        </w:trPr>
        <w:tc>
          <w:tcPr>
            <w:tcW w:w="3195" w:type="pct"/>
            <w:tcBorders>
              <w:top w:val="nil"/>
              <w:left w:val="nil"/>
              <w:bottom w:val="single" w:sz="4" w:space="0" w:color="auto"/>
              <w:right w:val="nil"/>
            </w:tcBorders>
            <w:hideMark/>
          </w:tcPr>
          <w:p w14:paraId="1122AAD6" w14:textId="77777777" w:rsidR="001C13B0" w:rsidRPr="00471CBA" w:rsidRDefault="001C13B0" w:rsidP="003D1625">
            <w:pPr>
              <w:jc w:val="both"/>
              <w:rPr>
                <w:b/>
                <w:bCs/>
                <w:color w:val="000000"/>
                <w:szCs w:val="20"/>
              </w:rPr>
            </w:pPr>
            <w:r w:rsidRPr="00471CBA">
              <w:rPr>
                <w:b/>
                <w:bCs/>
                <w:color w:val="000000"/>
                <w:szCs w:val="20"/>
              </w:rPr>
              <w:t> </w:t>
            </w:r>
          </w:p>
        </w:tc>
        <w:tc>
          <w:tcPr>
            <w:tcW w:w="899" w:type="pct"/>
            <w:tcBorders>
              <w:top w:val="nil"/>
              <w:left w:val="nil"/>
              <w:bottom w:val="single" w:sz="4" w:space="0" w:color="auto"/>
              <w:right w:val="nil"/>
            </w:tcBorders>
            <w:hideMark/>
          </w:tcPr>
          <w:p w14:paraId="68F65A6F" w14:textId="77777777" w:rsidR="001C13B0" w:rsidRPr="00471CBA" w:rsidRDefault="001C13B0" w:rsidP="003D1625">
            <w:pPr>
              <w:jc w:val="right"/>
              <w:rPr>
                <w:b/>
                <w:bCs/>
                <w:color w:val="000000"/>
                <w:szCs w:val="20"/>
                <w:lang w:eastAsia="tr-TR"/>
              </w:rPr>
            </w:pPr>
            <w:r w:rsidRPr="00471CBA">
              <w:rPr>
                <w:b/>
                <w:bCs/>
                <w:color w:val="000000"/>
                <w:szCs w:val="20"/>
                <w:lang w:eastAsia="tr-TR"/>
              </w:rPr>
              <w:t>TP</w:t>
            </w:r>
          </w:p>
        </w:tc>
        <w:tc>
          <w:tcPr>
            <w:tcW w:w="906" w:type="pct"/>
            <w:tcBorders>
              <w:top w:val="nil"/>
              <w:left w:val="nil"/>
              <w:bottom w:val="single" w:sz="4" w:space="0" w:color="auto"/>
              <w:right w:val="nil"/>
            </w:tcBorders>
            <w:hideMark/>
          </w:tcPr>
          <w:p w14:paraId="4DF83895" w14:textId="77777777" w:rsidR="001C13B0" w:rsidRPr="00471CBA" w:rsidRDefault="001C13B0" w:rsidP="003D1625">
            <w:pPr>
              <w:jc w:val="right"/>
              <w:rPr>
                <w:b/>
                <w:bCs/>
                <w:color w:val="000000"/>
                <w:szCs w:val="20"/>
                <w:lang w:eastAsia="tr-TR"/>
              </w:rPr>
            </w:pPr>
            <w:r w:rsidRPr="00471CBA">
              <w:rPr>
                <w:b/>
                <w:bCs/>
                <w:color w:val="000000"/>
                <w:szCs w:val="20"/>
                <w:lang w:eastAsia="tr-TR"/>
              </w:rPr>
              <w:t>YP</w:t>
            </w:r>
          </w:p>
        </w:tc>
      </w:tr>
      <w:tr w:rsidR="001C13B0" w:rsidRPr="00471CBA" w14:paraId="068EA0BB" w14:textId="77777777" w:rsidTr="000D24B7">
        <w:trPr>
          <w:trHeight w:val="227"/>
        </w:trPr>
        <w:tc>
          <w:tcPr>
            <w:tcW w:w="3195" w:type="pct"/>
            <w:tcBorders>
              <w:top w:val="nil"/>
              <w:left w:val="nil"/>
              <w:bottom w:val="nil"/>
              <w:right w:val="nil"/>
            </w:tcBorders>
            <w:hideMark/>
          </w:tcPr>
          <w:p w14:paraId="6EC9C4F2" w14:textId="77777777" w:rsidR="001C13B0" w:rsidRPr="00471CBA" w:rsidRDefault="001C13B0" w:rsidP="003D1625">
            <w:pPr>
              <w:jc w:val="right"/>
              <w:rPr>
                <w:b/>
                <w:bCs/>
                <w:color w:val="000000"/>
                <w:szCs w:val="20"/>
              </w:rPr>
            </w:pPr>
          </w:p>
        </w:tc>
        <w:tc>
          <w:tcPr>
            <w:tcW w:w="899" w:type="pct"/>
            <w:tcBorders>
              <w:top w:val="nil"/>
              <w:left w:val="nil"/>
              <w:bottom w:val="nil"/>
              <w:right w:val="nil"/>
            </w:tcBorders>
            <w:vAlign w:val="bottom"/>
            <w:hideMark/>
          </w:tcPr>
          <w:p w14:paraId="1AFFE3E9" w14:textId="77777777" w:rsidR="001C13B0" w:rsidRPr="00471CBA" w:rsidRDefault="001C13B0" w:rsidP="003D1625">
            <w:pPr>
              <w:jc w:val="right"/>
              <w:rPr>
                <w:szCs w:val="20"/>
                <w:lang w:eastAsia="tr-TR"/>
              </w:rPr>
            </w:pPr>
          </w:p>
        </w:tc>
        <w:tc>
          <w:tcPr>
            <w:tcW w:w="906" w:type="pct"/>
            <w:tcBorders>
              <w:top w:val="nil"/>
              <w:left w:val="nil"/>
              <w:bottom w:val="nil"/>
              <w:right w:val="nil"/>
            </w:tcBorders>
            <w:hideMark/>
          </w:tcPr>
          <w:p w14:paraId="65D71006" w14:textId="77777777" w:rsidR="001C13B0" w:rsidRPr="00471CBA" w:rsidRDefault="001C13B0" w:rsidP="003D1625">
            <w:pPr>
              <w:jc w:val="right"/>
              <w:rPr>
                <w:szCs w:val="20"/>
                <w:lang w:eastAsia="tr-TR"/>
              </w:rPr>
            </w:pPr>
          </w:p>
        </w:tc>
      </w:tr>
      <w:tr w:rsidR="000D24B7" w:rsidRPr="00471CBA" w14:paraId="2A6F8B2E" w14:textId="77777777" w:rsidTr="000D24B7">
        <w:trPr>
          <w:trHeight w:val="227"/>
        </w:trPr>
        <w:tc>
          <w:tcPr>
            <w:tcW w:w="3195" w:type="pct"/>
            <w:tcBorders>
              <w:top w:val="nil"/>
              <w:left w:val="nil"/>
              <w:bottom w:val="nil"/>
              <w:right w:val="nil"/>
            </w:tcBorders>
            <w:vAlign w:val="bottom"/>
            <w:hideMark/>
          </w:tcPr>
          <w:p w14:paraId="28B8E4A6" w14:textId="77777777" w:rsidR="000D24B7" w:rsidRPr="00471CBA" w:rsidRDefault="000D24B7" w:rsidP="000D24B7">
            <w:pPr>
              <w:rPr>
                <w:color w:val="000000"/>
                <w:szCs w:val="20"/>
              </w:rPr>
            </w:pPr>
            <w:r w:rsidRPr="00471CBA">
              <w:rPr>
                <w:color w:val="000000"/>
                <w:szCs w:val="20"/>
              </w:rPr>
              <w:t>T.C. Merkez Bankasından</w:t>
            </w:r>
          </w:p>
        </w:tc>
        <w:tc>
          <w:tcPr>
            <w:tcW w:w="899" w:type="pct"/>
            <w:tcBorders>
              <w:top w:val="nil"/>
              <w:left w:val="nil"/>
              <w:bottom w:val="nil"/>
              <w:right w:val="nil"/>
            </w:tcBorders>
            <w:noWrap/>
            <w:hideMark/>
          </w:tcPr>
          <w:p w14:paraId="17E58112" w14:textId="54B6C618" w:rsidR="000D24B7" w:rsidRPr="00471CBA" w:rsidRDefault="000D24B7" w:rsidP="000D24B7">
            <w:pPr>
              <w:jc w:val="right"/>
              <w:rPr>
                <w:color w:val="000000"/>
                <w:szCs w:val="20"/>
                <w:lang w:eastAsia="tr-TR"/>
              </w:rPr>
            </w:pPr>
            <w:r w:rsidRPr="00471CBA">
              <w:t>-</w:t>
            </w:r>
          </w:p>
        </w:tc>
        <w:tc>
          <w:tcPr>
            <w:tcW w:w="906" w:type="pct"/>
            <w:tcBorders>
              <w:top w:val="nil"/>
              <w:left w:val="nil"/>
              <w:bottom w:val="nil"/>
              <w:right w:val="nil"/>
            </w:tcBorders>
            <w:noWrap/>
            <w:hideMark/>
          </w:tcPr>
          <w:p w14:paraId="5A953DC5" w14:textId="116BE075" w:rsidR="000D24B7" w:rsidRPr="00471CBA" w:rsidRDefault="000D24B7" w:rsidP="000D24B7">
            <w:pPr>
              <w:jc w:val="right"/>
              <w:rPr>
                <w:color w:val="000000"/>
                <w:szCs w:val="20"/>
                <w:lang w:eastAsia="tr-TR"/>
              </w:rPr>
            </w:pPr>
            <w:r w:rsidRPr="00471CBA">
              <w:t>48.654</w:t>
            </w:r>
          </w:p>
        </w:tc>
      </w:tr>
      <w:tr w:rsidR="000D24B7" w:rsidRPr="00471CBA" w14:paraId="7793A01D" w14:textId="77777777" w:rsidTr="000D24B7">
        <w:trPr>
          <w:trHeight w:val="227"/>
        </w:trPr>
        <w:tc>
          <w:tcPr>
            <w:tcW w:w="3195" w:type="pct"/>
            <w:tcBorders>
              <w:top w:val="nil"/>
              <w:left w:val="nil"/>
              <w:bottom w:val="nil"/>
              <w:right w:val="nil"/>
            </w:tcBorders>
            <w:vAlign w:val="bottom"/>
            <w:hideMark/>
          </w:tcPr>
          <w:p w14:paraId="143B2AAC" w14:textId="77777777" w:rsidR="000D24B7" w:rsidRPr="00471CBA" w:rsidRDefault="000D24B7" w:rsidP="000D24B7">
            <w:pPr>
              <w:rPr>
                <w:color w:val="000000"/>
                <w:szCs w:val="20"/>
              </w:rPr>
            </w:pPr>
            <w:r w:rsidRPr="00471CBA">
              <w:rPr>
                <w:color w:val="000000"/>
                <w:szCs w:val="20"/>
              </w:rPr>
              <w:t>Yurtiçi Bankalardan</w:t>
            </w:r>
          </w:p>
        </w:tc>
        <w:tc>
          <w:tcPr>
            <w:tcW w:w="899" w:type="pct"/>
            <w:tcBorders>
              <w:top w:val="nil"/>
              <w:left w:val="nil"/>
              <w:bottom w:val="nil"/>
              <w:right w:val="nil"/>
            </w:tcBorders>
            <w:noWrap/>
            <w:hideMark/>
          </w:tcPr>
          <w:p w14:paraId="1B83A442" w14:textId="64956E43" w:rsidR="000D24B7" w:rsidRPr="00471CBA" w:rsidRDefault="000D24B7" w:rsidP="000D24B7">
            <w:pPr>
              <w:jc w:val="right"/>
              <w:rPr>
                <w:color w:val="000000"/>
                <w:szCs w:val="20"/>
                <w:lang w:eastAsia="tr-TR"/>
              </w:rPr>
            </w:pPr>
            <w:r w:rsidRPr="00471CBA">
              <w:t>394.257</w:t>
            </w:r>
          </w:p>
        </w:tc>
        <w:tc>
          <w:tcPr>
            <w:tcW w:w="906" w:type="pct"/>
            <w:tcBorders>
              <w:top w:val="nil"/>
              <w:left w:val="nil"/>
              <w:bottom w:val="nil"/>
              <w:right w:val="nil"/>
            </w:tcBorders>
            <w:noWrap/>
            <w:hideMark/>
          </w:tcPr>
          <w:p w14:paraId="244148D4" w14:textId="37585647" w:rsidR="000D24B7" w:rsidRPr="00471CBA" w:rsidRDefault="000D24B7" w:rsidP="000D24B7">
            <w:pPr>
              <w:jc w:val="right"/>
              <w:rPr>
                <w:color w:val="000000"/>
                <w:szCs w:val="20"/>
                <w:lang w:eastAsia="tr-TR"/>
              </w:rPr>
            </w:pPr>
            <w:r w:rsidRPr="00471CBA">
              <w:t>281</w:t>
            </w:r>
          </w:p>
        </w:tc>
      </w:tr>
      <w:tr w:rsidR="000D24B7" w:rsidRPr="00471CBA" w14:paraId="379F7B5A" w14:textId="77777777" w:rsidTr="000D24B7">
        <w:trPr>
          <w:trHeight w:val="227"/>
        </w:trPr>
        <w:tc>
          <w:tcPr>
            <w:tcW w:w="3195" w:type="pct"/>
            <w:tcBorders>
              <w:top w:val="nil"/>
              <w:left w:val="nil"/>
              <w:bottom w:val="nil"/>
              <w:right w:val="nil"/>
            </w:tcBorders>
            <w:vAlign w:val="bottom"/>
            <w:hideMark/>
          </w:tcPr>
          <w:p w14:paraId="75727417" w14:textId="77777777" w:rsidR="000D24B7" w:rsidRPr="00471CBA" w:rsidRDefault="000D24B7" w:rsidP="000D24B7">
            <w:pPr>
              <w:rPr>
                <w:color w:val="000000"/>
                <w:szCs w:val="20"/>
              </w:rPr>
            </w:pPr>
            <w:r w:rsidRPr="00471CBA">
              <w:rPr>
                <w:color w:val="000000"/>
                <w:szCs w:val="20"/>
              </w:rPr>
              <w:t>Yurtdışı Bankalardan</w:t>
            </w:r>
          </w:p>
        </w:tc>
        <w:tc>
          <w:tcPr>
            <w:tcW w:w="899" w:type="pct"/>
            <w:tcBorders>
              <w:top w:val="nil"/>
              <w:left w:val="nil"/>
              <w:bottom w:val="nil"/>
              <w:right w:val="nil"/>
            </w:tcBorders>
            <w:noWrap/>
            <w:hideMark/>
          </w:tcPr>
          <w:p w14:paraId="11521C7C" w14:textId="44CA4AE3" w:rsidR="000D24B7" w:rsidRPr="00471CBA" w:rsidRDefault="000D24B7" w:rsidP="000D24B7">
            <w:pPr>
              <w:jc w:val="right"/>
              <w:rPr>
                <w:color w:val="000000"/>
                <w:szCs w:val="20"/>
                <w:lang w:eastAsia="tr-TR"/>
              </w:rPr>
            </w:pPr>
            <w:r w:rsidRPr="00471CBA">
              <w:t>-</w:t>
            </w:r>
          </w:p>
        </w:tc>
        <w:tc>
          <w:tcPr>
            <w:tcW w:w="906" w:type="pct"/>
            <w:tcBorders>
              <w:top w:val="nil"/>
              <w:left w:val="nil"/>
              <w:bottom w:val="nil"/>
              <w:right w:val="nil"/>
            </w:tcBorders>
            <w:noWrap/>
            <w:hideMark/>
          </w:tcPr>
          <w:p w14:paraId="161B7D38" w14:textId="0047507F" w:rsidR="000D24B7" w:rsidRPr="00471CBA" w:rsidRDefault="000D24B7" w:rsidP="000D24B7">
            <w:pPr>
              <w:jc w:val="right"/>
              <w:rPr>
                <w:color w:val="000000"/>
                <w:szCs w:val="20"/>
                <w:lang w:eastAsia="tr-TR"/>
              </w:rPr>
            </w:pPr>
            <w:r w:rsidRPr="00471CBA">
              <w:t>1.482</w:t>
            </w:r>
          </w:p>
        </w:tc>
      </w:tr>
      <w:tr w:rsidR="000D24B7" w:rsidRPr="00471CBA" w14:paraId="5F40717A" w14:textId="77777777" w:rsidTr="000D24B7">
        <w:trPr>
          <w:trHeight w:val="227"/>
        </w:trPr>
        <w:tc>
          <w:tcPr>
            <w:tcW w:w="3195" w:type="pct"/>
            <w:tcBorders>
              <w:top w:val="nil"/>
              <w:left w:val="nil"/>
              <w:bottom w:val="single" w:sz="4" w:space="0" w:color="auto"/>
              <w:right w:val="nil"/>
            </w:tcBorders>
            <w:vAlign w:val="bottom"/>
            <w:hideMark/>
          </w:tcPr>
          <w:p w14:paraId="7C4BF366" w14:textId="77777777" w:rsidR="000D24B7" w:rsidRPr="00471CBA" w:rsidRDefault="000D24B7" w:rsidP="000D24B7">
            <w:pPr>
              <w:rPr>
                <w:color w:val="000000"/>
                <w:szCs w:val="20"/>
              </w:rPr>
            </w:pPr>
            <w:r w:rsidRPr="00471CBA">
              <w:rPr>
                <w:color w:val="000000"/>
                <w:szCs w:val="20"/>
              </w:rPr>
              <w:t>Yurtdışı Merkez ve Şubelerden</w:t>
            </w:r>
          </w:p>
        </w:tc>
        <w:tc>
          <w:tcPr>
            <w:tcW w:w="899" w:type="pct"/>
            <w:tcBorders>
              <w:top w:val="nil"/>
              <w:left w:val="nil"/>
              <w:bottom w:val="single" w:sz="4" w:space="0" w:color="auto"/>
              <w:right w:val="nil"/>
            </w:tcBorders>
            <w:noWrap/>
            <w:hideMark/>
          </w:tcPr>
          <w:p w14:paraId="05C38E36" w14:textId="3997D66A" w:rsidR="000D24B7" w:rsidRPr="00471CBA" w:rsidRDefault="000D24B7" w:rsidP="000D24B7">
            <w:pPr>
              <w:jc w:val="right"/>
              <w:rPr>
                <w:color w:val="000000"/>
                <w:szCs w:val="20"/>
                <w:lang w:eastAsia="tr-TR"/>
              </w:rPr>
            </w:pPr>
            <w:r w:rsidRPr="00471CBA">
              <w:t>-</w:t>
            </w:r>
          </w:p>
        </w:tc>
        <w:tc>
          <w:tcPr>
            <w:tcW w:w="906" w:type="pct"/>
            <w:tcBorders>
              <w:top w:val="nil"/>
              <w:left w:val="nil"/>
              <w:bottom w:val="single" w:sz="4" w:space="0" w:color="auto"/>
              <w:right w:val="nil"/>
            </w:tcBorders>
            <w:noWrap/>
            <w:hideMark/>
          </w:tcPr>
          <w:p w14:paraId="3A335B40" w14:textId="3550E6DD" w:rsidR="000D24B7" w:rsidRPr="00471CBA" w:rsidRDefault="000D24B7" w:rsidP="000D24B7">
            <w:pPr>
              <w:jc w:val="right"/>
              <w:rPr>
                <w:color w:val="000000"/>
                <w:szCs w:val="20"/>
                <w:lang w:eastAsia="tr-TR"/>
              </w:rPr>
            </w:pPr>
            <w:r w:rsidRPr="00471CBA">
              <w:t>-</w:t>
            </w:r>
          </w:p>
        </w:tc>
      </w:tr>
      <w:tr w:rsidR="000D24B7" w:rsidRPr="00471CBA" w14:paraId="0056DC61" w14:textId="77777777" w:rsidTr="000D24B7">
        <w:trPr>
          <w:trHeight w:val="227"/>
        </w:trPr>
        <w:tc>
          <w:tcPr>
            <w:tcW w:w="3195" w:type="pct"/>
            <w:tcBorders>
              <w:top w:val="nil"/>
              <w:left w:val="nil"/>
              <w:right w:val="nil"/>
            </w:tcBorders>
            <w:hideMark/>
          </w:tcPr>
          <w:p w14:paraId="464E3D3F" w14:textId="77777777" w:rsidR="000D24B7" w:rsidRPr="00471CBA" w:rsidRDefault="000D24B7" w:rsidP="000D24B7">
            <w:pPr>
              <w:jc w:val="right"/>
              <w:rPr>
                <w:color w:val="000000"/>
                <w:szCs w:val="20"/>
              </w:rPr>
            </w:pPr>
          </w:p>
        </w:tc>
        <w:tc>
          <w:tcPr>
            <w:tcW w:w="899" w:type="pct"/>
            <w:tcBorders>
              <w:top w:val="nil"/>
              <w:left w:val="nil"/>
              <w:right w:val="nil"/>
            </w:tcBorders>
            <w:hideMark/>
          </w:tcPr>
          <w:p w14:paraId="01621586" w14:textId="77777777" w:rsidR="000D24B7" w:rsidRPr="00471CBA" w:rsidRDefault="000D24B7" w:rsidP="000D24B7">
            <w:pPr>
              <w:jc w:val="right"/>
              <w:rPr>
                <w:szCs w:val="20"/>
                <w:lang w:eastAsia="tr-TR"/>
              </w:rPr>
            </w:pPr>
          </w:p>
        </w:tc>
        <w:tc>
          <w:tcPr>
            <w:tcW w:w="906" w:type="pct"/>
            <w:tcBorders>
              <w:top w:val="nil"/>
              <w:left w:val="nil"/>
              <w:right w:val="nil"/>
            </w:tcBorders>
            <w:hideMark/>
          </w:tcPr>
          <w:p w14:paraId="2AE0778B" w14:textId="77777777" w:rsidR="000D24B7" w:rsidRPr="00471CBA" w:rsidRDefault="000D24B7" w:rsidP="000D24B7">
            <w:pPr>
              <w:jc w:val="right"/>
              <w:rPr>
                <w:szCs w:val="20"/>
                <w:lang w:eastAsia="tr-TR"/>
              </w:rPr>
            </w:pPr>
          </w:p>
        </w:tc>
      </w:tr>
      <w:tr w:rsidR="000D24B7" w:rsidRPr="00471CBA" w14:paraId="491C8BEE" w14:textId="77777777" w:rsidTr="000D24B7">
        <w:trPr>
          <w:trHeight w:val="227"/>
        </w:trPr>
        <w:tc>
          <w:tcPr>
            <w:tcW w:w="3195" w:type="pct"/>
            <w:tcBorders>
              <w:top w:val="nil"/>
              <w:left w:val="nil"/>
              <w:bottom w:val="single" w:sz="12" w:space="0" w:color="auto"/>
              <w:right w:val="nil"/>
            </w:tcBorders>
            <w:hideMark/>
          </w:tcPr>
          <w:p w14:paraId="1F511BCB" w14:textId="77777777" w:rsidR="000D24B7" w:rsidRPr="00471CBA" w:rsidRDefault="000D24B7" w:rsidP="000D24B7">
            <w:pPr>
              <w:jc w:val="both"/>
              <w:rPr>
                <w:color w:val="000000"/>
                <w:szCs w:val="20"/>
              </w:rPr>
            </w:pPr>
            <w:r w:rsidRPr="00471CBA">
              <w:rPr>
                <w:color w:val="000000"/>
                <w:szCs w:val="20"/>
              </w:rPr>
              <w:t>Toplam</w:t>
            </w:r>
          </w:p>
        </w:tc>
        <w:tc>
          <w:tcPr>
            <w:tcW w:w="899" w:type="pct"/>
            <w:tcBorders>
              <w:top w:val="nil"/>
              <w:left w:val="nil"/>
              <w:bottom w:val="single" w:sz="12" w:space="0" w:color="auto"/>
              <w:right w:val="nil"/>
            </w:tcBorders>
            <w:noWrap/>
            <w:hideMark/>
          </w:tcPr>
          <w:p w14:paraId="06A2DB5F" w14:textId="7E6B8558" w:rsidR="000D24B7" w:rsidRPr="00471CBA" w:rsidRDefault="000D24B7" w:rsidP="000D24B7">
            <w:pPr>
              <w:jc w:val="right"/>
              <w:rPr>
                <w:b/>
                <w:bCs/>
                <w:color w:val="000000"/>
                <w:szCs w:val="20"/>
                <w:lang w:eastAsia="tr-TR"/>
              </w:rPr>
            </w:pPr>
            <w:r w:rsidRPr="00471CBA">
              <w:rPr>
                <w:b/>
                <w:bCs/>
              </w:rPr>
              <w:t>394.257</w:t>
            </w:r>
          </w:p>
        </w:tc>
        <w:tc>
          <w:tcPr>
            <w:tcW w:w="906" w:type="pct"/>
            <w:tcBorders>
              <w:top w:val="nil"/>
              <w:left w:val="nil"/>
              <w:bottom w:val="single" w:sz="12" w:space="0" w:color="auto"/>
              <w:right w:val="nil"/>
            </w:tcBorders>
            <w:noWrap/>
            <w:hideMark/>
          </w:tcPr>
          <w:p w14:paraId="30C678FF" w14:textId="359843A1" w:rsidR="000D24B7" w:rsidRPr="00471CBA" w:rsidRDefault="000D24B7" w:rsidP="000D24B7">
            <w:pPr>
              <w:jc w:val="right"/>
              <w:rPr>
                <w:b/>
                <w:bCs/>
                <w:color w:val="000000"/>
                <w:szCs w:val="20"/>
                <w:lang w:eastAsia="tr-TR"/>
              </w:rPr>
            </w:pPr>
            <w:r w:rsidRPr="00471CBA">
              <w:rPr>
                <w:b/>
                <w:bCs/>
              </w:rPr>
              <w:t>50.417</w:t>
            </w:r>
          </w:p>
        </w:tc>
      </w:tr>
    </w:tbl>
    <w:p w14:paraId="09827215" w14:textId="41F349B6" w:rsidR="001C13B0" w:rsidRPr="00471CBA" w:rsidRDefault="001C13B0" w:rsidP="000D6A42">
      <w:pPr>
        <w:widowControl w:val="0"/>
        <w:spacing w:line="216" w:lineRule="auto"/>
        <w:ind w:left="-14" w:hanging="476"/>
        <w:jc w:val="both"/>
        <w:rPr>
          <w:b/>
          <w:sz w:val="16"/>
          <w:szCs w:val="16"/>
        </w:rPr>
      </w:pPr>
    </w:p>
    <w:p w14:paraId="09B30AB3" w14:textId="292FC13A" w:rsidR="00000466" w:rsidRPr="00471CBA" w:rsidRDefault="00000466" w:rsidP="00000466">
      <w:pPr>
        <w:pStyle w:val="ListeParagraf"/>
        <w:widowControl w:val="0"/>
        <w:numPr>
          <w:ilvl w:val="0"/>
          <w:numId w:val="35"/>
        </w:numPr>
        <w:spacing w:line="216" w:lineRule="auto"/>
        <w:ind w:left="1276" w:hanging="425"/>
        <w:jc w:val="both"/>
        <w:rPr>
          <w:b/>
          <w:szCs w:val="20"/>
        </w:rPr>
      </w:pPr>
      <w:r w:rsidRPr="00471CBA">
        <w:rPr>
          <w:b/>
          <w:szCs w:val="20"/>
        </w:rPr>
        <w:t xml:space="preserve">Menkul değerlerden alınan </w:t>
      </w:r>
      <w:r w:rsidR="00B30F0A" w:rsidRPr="00471CBA">
        <w:rPr>
          <w:b/>
          <w:szCs w:val="20"/>
        </w:rPr>
        <w:t>kâr</w:t>
      </w:r>
      <w:r w:rsidRPr="00471CBA">
        <w:rPr>
          <w:b/>
          <w:szCs w:val="20"/>
        </w:rPr>
        <w:t xml:space="preserve"> payı gelirlerine ilişkin bilgiler:</w:t>
      </w:r>
    </w:p>
    <w:p w14:paraId="7158D368" w14:textId="3B730254" w:rsidR="00A74C68" w:rsidRPr="00471CBA" w:rsidRDefault="00A74C68" w:rsidP="00000466">
      <w:pPr>
        <w:widowControl w:val="0"/>
        <w:spacing w:line="216" w:lineRule="auto"/>
        <w:ind w:hanging="490"/>
        <w:jc w:val="both"/>
        <w:rPr>
          <w:szCs w:val="20"/>
        </w:rPr>
      </w:pPr>
    </w:p>
    <w:tbl>
      <w:tblPr>
        <w:tblW w:w="5000" w:type="pct"/>
        <w:tblCellMar>
          <w:left w:w="70" w:type="dxa"/>
          <w:right w:w="70" w:type="dxa"/>
        </w:tblCellMar>
        <w:tblLook w:val="04A0" w:firstRow="1" w:lastRow="0" w:firstColumn="1" w:lastColumn="0" w:noHBand="0" w:noVBand="1"/>
      </w:tblPr>
      <w:tblGrid>
        <w:gridCol w:w="6158"/>
        <w:gridCol w:w="1691"/>
        <w:gridCol w:w="1506"/>
      </w:tblGrid>
      <w:tr w:rsidR="00A74C68" w:rsidRPr="00471CBA" w14:paraId="6494C101" w14:textId="77777777" w:rsidTr="00A74C68">
        <w:trPr>
          <w:divId w:val="585765561"/>
          <w:trHeight w:val="255"/>
        </w:trPr>
        <w:tc>
          <w:tcPr>
            <w:tcW w:w="2466" w:type="pct"/>
            <w:tcBorders>
              <w:top w:val="nil"/>
              <w:left w:val="nil"/>
              <w:bottom w:val="nil"/>
              <w:right w:val="nil"/>
            </w:tcBorders>
            <w:hideMark/>
          </w:tcPr>
          <w:p w14:paraId="5BF889FB" w14:textId="1EA66AB8" w:rsidR="00A74C68" w:rsidRPr="00471CBA" w:rsidRDefault="00A74C68" w:rsidP="00A74C68">
            <w:pPr>
              <w:rPr>
                <w:b/>
                <w:bCs/>
                <w:szCs w:val="20"/>
              </w:rPr>
            </w:pPr>
          </w:p>
        </w:tc>
        <w:tc>
          <w:tcPr>
            <w:tcW w:w="1280" w:type="pct"/>
            <w:gridSpan w:val="2"/>
            <w:tcBorders>
              <w:top w:val="nil"/>
              <w:left w:val="nil"/>
              <w:bottom w:val="single" w:sz="4" w:space="0" w:color="auto"/>
              <w:right w:val="nil"/>
            </w:tcBorders>
            <w:noWrap/>
            <w:vAlign w:val="center"/>
            <w:hideMark/>
          </w:tcPr>
          <w:p w14:paraId="68D23DAB" w14:textId="77777777" w:rsidR="00A74C68" w:rsidRPr="00471CBA" w:rsidRDefault="00A74C68" w:rsidP="00A74C68">
            <w:pPr>
              <w:jc w:val="center"/>
              <w:rPr>
                <w:b/>
                <w:bCs/>
                <w:color w:val="000000"/>
                <w:szCs w:val="20"/>
              </w:rPr>
            </w:pPr>
            <w:r w:rsidRPr="00471CBA">
              <w:rPr>
                <w:b/>
                <w:bCs/>
                <w:color w:val="000000"/>
                <w:szCs w:val="20"/>
              </w:rPr>
              <w:t>1 Ocak - 31 Aralık 2025</w:t>
            </w:r>
          </w:p>
        </w:tc>
      </w:tr>
      <w:tr w:rsidR="00A74C68" w:rsidRPr="00471CBA" w14:paraId="56EFAE80" w14:textId="77777777" w:rsidTr="00A74C68">
        <w:trPr>
          <w:divId w:val="585765561"/>
          <w:trHeight w:val="255"/>
        </w:trPr>
        <w:tc>
          <w:tcPr>
            <w:tcW w:w="2466" w:type="pct"/>
            <w:tcBorders>
              <w:top w:val="nil"/>
              <w:left w:val="nil"/>
              <w:bottom w:val="single" w:sz="4" w:space="0" w:color="auto"/>
              <w:right w:val="nil"/>
            </w:tcBorders>
            <w:vAlign w:val="center"/>
            <w:hideMark/>
          </w:tcPr>
          <w:p w14:paraId="39BD352E" w14:textId="77777777" w:rsidR="00A74C68" w:rsidRPr="00471CBA" w:rsidRDefault="00A74C68" w:rsidP="00A74C68">
            <w:pPr>
              <w:jc w:val="both"/>
              <w:rPr>
                <w:b/>
                <w:bCs/>
                <w:color w:val="000000"/>
                <w:szCs w:val="20"/>
              </w:rPr>
            </w:pPr>
            <w:r w:rsidRPr="00471CBA">
              <w:rPr>
                <w:b/>
                <w:bCs/>
                <w:color w:val="000000"/>
                <w:szCs w:val="20"/>
              </w:rPr>
              <w:t> </w:t>
            </w:r>
          </w:p>
        </w:tc>
        <w:tc>
          <w:tcPr>
            <w:tcW w:w="677" w:type="pct"/>
            <w:tcBorders>
              <w:top w:val="nil"/>
              <w:left w:val="nil"/>
              <w:bottom w:val="single" w:sz="4" w:space="0" w:color="auto"/>
              <w:right w:val="nil"/>
            </w:tcBorders>
            <w:vAlign w:val="center"/>
            <w:hideMark/>
          </w:tcPr>
          <w:p w14:paraId="2AADFC2E" w14:textId="77777777" w:rsidR="00A74C68" w:rsidRPr="00471CBA" w:rsidRDefault="00A74C68" w:rsidP="00A74C68">
            <w:pPr>
              <w:jc w:val="right"/>
              <w:rPr>
                <w:b/>
                <w:bCs/>
                <w:color w:val="000000"/>
                <w:szCs w:val="20"/>
              </w:rPr>
            </w:pPr>
            <w:r w:rsidRPr="00471CBA">
              <w:rPr>
                <w:b/>
                <w:bCs/>
                <w:color w:val="000000"/>
                <w:szCs w:val="20"/>
              </w:rPr>
              <w:t>TP</w:t>
            </w:r>
          </w:p>
        </w:tc>
        <w:tc>
          <w:tcPr>
            <w:tcW w:w="603" w:type="pct"/>
            <w:tcBorders>
              <w:top w:val="nil"/>
              <w:left w:val="nil"/>
              <w:bottom w:val="single" w:sz="4" w:space="0" w:color="auto"/>
              <w:right w:val="nil"/>
            </w:tcBorders>
            <w:vAlign w:val="center"/>
            <w:hideMark/>
          </w:tcPr>
          <w:p w14:paraId="6FB03BB6" w14:textId="77777777" w:rsidR="00A74C68" w:rsidRPr="00471CBA" w:rsidRDefault="00A74C68" w:rsidP="00A74C68">
            <w:pPr>
              <w:jc w:val="right"/>
              <w:rPr>
                <w:b/>
                <w:bCs/>
                <w:color w:val="000000"/>
                <w:szCs w:val="20"/>
              </w:rPr>
            </w:pPr>
            <w:r w:rsidRPr="00471CBA">
              <w:rPr>
                <w:b/>
                <w:bCs/>
                <w:color w:val="000000"/>
                <w:szCs w:val="20"/>
              </w:rPr>
              <w:t>YP</w:t>
            </w:r>
          </w:p>
        </w:tc>
      </w:tr>
      <w:tr w:rsidR="00A74C68" w:rsidRPr="00471CBA" w14:paraId="340EC611" w14:textId="77777777" w:rsidTr="00A74C68">
        <w:trPr>
          <w:divId w:val="585765561"/>
          <w:trHeight w:val="255"/>
        </w:trPr>
        <w:tc>
          <w:tcPr>
            <w:tcW w:w="2466" w:type="pct"/>
            <w:tcBorders>
              <w:top w:val="nil"/>
              <w:left w:val="nil"/>
              <w:bottom w:val="nil"/>
              <w:right w:val="nil"/>
            </w:tcBorders>
            <w:noWrap/>
            <w:vAlign w:val="bottom"/>
            <w:hideMark/>
          </w:tcPr>
          <w:p w14:paraId="4406483B" w14:textId="77777777" w:rsidR="00A74C68" w:rsidRPr="00471CBA" w:rsidRDefault="00A74C68" w:rsidP="00A74C68">
            <w:pPr>
              <w:jc w:val="right"/>
              <w:rPr>
                <w:b/>
                <w:bCs/>
                <w:color w:val="000000"/>
                <w:szCs w:val="20"/>
              </w:rPr>
            </w:pPr>
          </w:p>
        </w:tc>
        <w:tc>
          <w:tcPr>
            <w:tcW w:w="677" w:type="pct"/>
            <w:tcBorders>
              <w:top w:val="nil"/>
              <w:left w:val="nil"/>
              <w:bottom w:val="nil"/>
              <w:right w:val="nil"/>
            </w:tcBorders>
            <w:noWrap/>
            <w:vAlign w:val="bottom"/>
            <w:hideMark/>
          </w:tcPr>
          <w:p w14:paraId="400DD035" w14:textId="77777777" w:rsidR="00A74C68" w:rsidRPr="00471CBA" w:rsidRDefault="00A74C68" w:rsidP="00A74C68">
            <w:pPr>
              <w:rPr>
                <w:szCs w:val="20"/>
              </w:rPr>
            </w:pPr>
          </w:p>
        </w:tc>
        <w:tc>
          <w:tcPr>
            <w:tcW w:w="603" w:type="pct"/>
            <w:tcBorders>
              <w:top w:val="nil"/>
              <w:left w:val="nil"/>
              <w:bottom w:val="nil"/>
              <w:right w:val="nil"/>
            </w:tcBorders>
            <w:noWrap/>
            <w:vAlign w:val="bottom"/>
            <w:hideMark/>
          </w:tcPr>
          <w:p w14:paraId="6CF953BF" w14:textId="77777777" w:rsidR="00A74C68" w:rsidRPr="00471CBA" w:rsidRDefault="00A74C68" w:rsidP="00A74C68">
            <w:pPr>
              <w:rPr>
                <w:szCs w:val="20"/>
              </w:rPr>
            </w:pPr>
          </w:p>
        </w:tc>
      </w:tr>
      <w:tr w:rsidR="00A74C68" w:rsidRPr="00471CBA" w14:paraId="2A454D65" w14:textId="77777777" w:rsidTr="00A74C68">
        <w:trPr>
          <w:divId w:val="585765561"/>
          <w:trHeight w:val="255"/>
        </w:trPr>
        <w:tc>
          <w:tcPr>
            <w:tcW w:w="2466" w:type="pct"/>
            <w:tcBorders>
              <w:top w:val="nil"/>
              <w:left w:val="nil"/>
              <w:bottom w:val="nil"/>
              <w:right w:val="nil"/>
            </w:tcBorders>
            <w:vAlign w:val="center"/>
            <w:hideMark/>
          </w:tcPr>
          <w:p w14:paraId="35D1416F" w14:textId="77777777" w:rsidR="00A74C68" w:rsidRPr="00471CBA" w:rsidRDefault="00A74C68" w:rsidP="00A74C68">
            <w:pPr>
              <w:rPr>
                <w:color w:val="000000"/>
                <w:szCs w:val="20"/>
              </w:rPr>
            </w:pPr>
            <w:r w:rsidRPr="00471CBA">
              <w:rPr>
                <w:color w:val="000000"/>
                <w:szCs w:val="20"/>
              </w:rPr>
              <w:t xml:space="preserve">Gerçeğe uygun değer farkı kar veya zarara yansıtılan finansal varlıklar </w:t>
            </w:r>
          </w:p>
        </w:tc>
        <w:tc>
          <w:tcPr>
            <w:tcW w:w="677" w:type="pct"/>
            <w:tcBorders>
              <w:top w:val="nil"/>
              <w:left w:val="nil"/>
              <w:bottom w:val="nil"/>
              <w:right w:val="nil"/>
            </w:tcBorders>
            <w:noWrap/>
            <w:vAlign w:val="center"/>
            <w:hideMark/>
          </w:tcPr>
          <w:p w14:paraId="37C80F33" w14:textId="77777777" w:rsidR="00A74C68" w:rsidRPr="00471CBA" w:rsidRDefault="00A74C68" w:rsidP="00A74C68">
            <w:pPr>
              <w:jc w:val="right"/>
              <w:rPr>
                <w:color w:val="000000"/>
                <w:szCs w:val="20"/>
              </w:rPr>
            </w:pPr>
            <w:r w:rsidRPr="00471CBA">
              <w:rPr>
                <w:color w:val="000000"/>
                <w:szCs w:val="20"/>
              </w:rPr>
              <w:t>-</w:t>
            </w:r>
          </w:p>
        </w:tc>
        <w:tc>
          <w:tcPr>
            <w:tcW w:w="603" w:type="pct"/>
            <w:tcBorders>
              <w:top w:val="nil"/>
              <w:left w:val="nil"/>
              <w:bottom w:val="nil"/>
              <w:right w:val="nil"/>
            </w:tcBorders>
            <w:noWrap/>
            <w:vAlign w:val="center"/>
            <w:hideMark/>
          </w:tcPr>
          <w:p w14:paraId="10FBE322" w14:textId="77777777" w:rsidR="00A74C68" w:rsidRPr="00471CBA" w:rsidRDefault="00A74C68" w:rsidP="00A74C68">
            <w:pPr>
              <w:jc w:val="right"/>
              <w:rPr>
                <w:color w:val="000000"/>
                <w:szCs w:val="20"/>
              </w:rPr>
            </w:pPr>
            <w:r w:rsidRPr="00471CBA">
              <w:rPr>
                <w:color w:val="000000"/>
                <w:szCs w:val="20"/>
              </w:rPr>
              <w:t>4.155</w:t>
            </w:r>
          </w:p>
        </w:tc>
      </w:tr>
      <w:tr w:rsidR="00A74C68" w:rsidRPr="00471CBA" w14:paraId="4BD9C8CE" w14:textId="77777777" w:rsidTr="00A74C68">
        <w:trPr>
          <w:divId w:val="585765561"/>
          <w:trHeight w:val="255"/>
        </w:trPr>
        <w:tc>
          <w:tcPr>
            <w:tcW w:w="2466" w:type="pct"/>
            <w:tcBorders>
              <w:top w:val="nil"/>
              <w:left w:val="nil"/>
              <w:bottom w:val="nil"/>
              <w:right w:val="nil"/>
            </w:tcBorders>
            <w:vAlign w:val="center"/>
            <w:hideMark/>
          </w:tcPr>
          <w:p w14:paraId="3FB6DE74" w14:textId="77777777" w:rsidR="00A74C68" w:rsidRPr="00471CBA" w:rsidRDefault="00A74C68" w:rsidP="00A74C68">
            <w:pPr>
              <w:rPr>
                <w:color w:val="000000"/>
                <w:szCs w:val="20"/>
              </w:rPr>
            </w:pPr>
            <w:r w:rsidRPr="00471CBA">
              <w:rPr>
                <w:color w:val="000000"/>
                <w:szCs w:val="20"/>
              </w:rPr>
              <w:t xml:space="preserve">Gerçeğe uygun değer farkı diğer kapsamlı gelire yansıtılan finansal varlıklar </w:t>
            </w:r>
          </w:p>
        </w:tc>
        <w:tc>
          <w:tcPr>
            <w:tcW w:w="677" w:type="pct"/>
            <w:tcBorders>
              <w:top w:val="nil"/>
              <w:left w:val="nil"/>
              <w:bottom w:val="nil"/>
              <w:right w:val="nil"/>
            </w:tcBorders>
            <w:noWrap/>
            <w:vAlign w:val="center"/>
            <w:hideMark/>
          </w:tcPr>
          <w:p w14:paraId="6580DBE9" w14:textId="77777777" w:rsidR="00A74C68" w:rsidRPr="00471CBA" w:rsidRDefault="00A74C68" w:rsidP="00A74C68">
            <w:pPr>
              <w:jc w:val="right"/>
              <w:rPr>
                <w:color w:val="000000"/>
                <w:szCs w:val="20"/>
              </w:rPr>
            </w:pPr>
            <w:r w:rsidRPr="00471CBA">
              <w:rPr>
                <w:color w:val="000000"/>
                <w:szCs w:val="20"/>
              </w:rPr>
              <w:t>626.469</w:t>
            </w:r>
          </w:p>
        </w:tc>
        <w:tc>
          <w:tcPr>
            <w:tcW w:w="603" w:type="pct"/>
            <w:tcBorders>
              <w:top w:val="nil"/>
              <w:left w:val="nil"/>
              <w:bottom w:val="nil"/>
              <w:right w:val="nil"/>
            </w:tcBorders>
            <w:noWrap/>
            <w:vAlign w:val="center"/>
            <w:hideMark/>
          </w:tcPr>
          <w:p w14:paraId="1B815655" w14:textId="77777777" w:rsidR="00A74C68" w:rsidRPr="00471CBA" w:rsidRDefault="00A74C68" w:rsidP="00A74C68">
            <w:pPr>
              <w:jc w:val="right"/>
              <w:rPr>
                <w:color w:val="000000"/>
                <w:szCs w:val="20"/>
              </w:rPr>
            </w:pPr>
            <w:r w:rsidRPr="00471CBA">
              <w:rPr>
                <w:color w:val="000000"/>
                <w:szCs w:val="20"/>
              </w:rPr>
              <w:t>37.628</w:t>
            </w:r>
          </w:p>
        </w:tc>
      </w:tr>
      <w:tr w:rsidR="00A74C68" w:rsidRPr="00471CBA" w14:paraId="46E0FCFD" w14:textId="77777777" w:rsidTr="00A74C68">
        <w:trPr>
          <w:divId w:val="585765561"/>
          <w:trHeight w:val="255"/>
        </w:trPr>
        <w:tc>
          <w:tcPr>
            <w:tcW w:w="2466" w:type="pct"/>
            <w:tcBorders>
              <w:top w:val="nil"/>
              <w:left w:val="nil"/>
              <w:bottom w:val="single" w:sz="4" w:space="0" w:color="auto"/>
              <w:right w:val="nil"/>
            </w:tcBorders>
            <w:vAlign w:val="center"/>
            <w:hideMark/>
          </w:tcPr>
          <w:p w14:paraId="7CF95D13" w14:textId="77777777" w:rsidR="00A74C68" w:rsidRPr="00471CBA" w:rsidRDefault="00A74C68" w:rsidP="00A74C68">
            <w:pPr>
              <w:rPr>
                <w:color w:val="000000"/>
                <w:szCs w:val="20"/>
              </w:rPr>
            </w:pPr>
            <w:r w:rsidRPr="00471CBA">
              <w:rPr>
                <w:color w:val="000000"/>
                <w:szCs w:val="20"/>
              </w:rPr>
              <w:t>İtfa edilmiş maliyet üzerinden değerlenen finansal varlıklar</w:t>
            </w:r>
          </w:p>
        </w:tc>
        <w:tc>
          <w:tcPr>
            <w:tcW w:w="677" w:type="pct"/>
            <w:tcBorders>
              <w:top w:val="nil"/>
              <w:left w:val="nil"/>
              <w:bottom w:val="single" w:sz="4" w:space="0" w:color="auto"/>
              <w:right w:val="nil"/>
            </w:tcBorders>
            <w:noWrap/>
            <w:vAlign w:val="center"/>
            <w:hideMark/>
          </w:tcPr>
          <w:p w14:paraId="0574A4BB" w14:textId="77777777" w:rsidR="00A74C68" w:rsidRPr="00471CBA" w:rsidRDefault="00A74C68" w:rsidP="00A74C68">
            <w:pPr>
              <w:jc w:val="right"/>
              <w:rPr>
                <w:color w:val="000000"/>
                <w:szCs w:val="20"/>
              </w:rPr>
            </w:pPr>
            <w:r w:rsidRPr="00471CBA">
              <w:rPr>
                <w:color w:val="000000"/>
                <w:szCs w:val="20"/>
              </w:rPr>
              <w:t>205.245</w:t>
            </w:r>
          </w:p>
        </w:tc>
        <w:tc>
          <w:tcPr>
            <w:tcW w:w="603" w:type="pct"/>
            <w:tcBorders>
              <w:top w:val="nil"/>
              <w:left w:val="nil"/>
              <w:bottom w:val="single" w:sz="4" w:space="0" w:color="auto"/>
              <w:right w:val="nil"/>
            </w:tcBorders>
            <w:noWrap/>
            <w:vAlign w:val="center"/>
            <w:hideMark/>
          </w:tcPr>
          <w:p w14:paraId="66E0531A" w14:textId="77777777" w:rsidR="00A74C68" w:rsidRPr="00471CBA" w:rsidRDefault="00A74C68" w:rsidP="00A74C68">
            <w:pPr>
              <w:jc w:val="right"/>
              <w:rPr>
                <w:color w:val="000000"/>
                <w:szCs w:val="20"/>
              </w:rPr>
            </w:pPr>
            <w:r w:rsidRPr="00471CBA">
              <w:rPr>
                <w:color w:val="000000"/>
                <w:szCs w:val="20"/>
              </w:rPr>
              <w:t>-</w:t>
            </w:r>
          </w:p>
        </w:tc>
      </w:tr>
      <w:tr w:rsidR="00A74C68" w:rsidRPr="00471CBA" w14:paraId="1896981B" w14:textId="77777777" w:rsidTr="00A74C68">
        <w:trPr>
          <w:divId w:val="585765561"/>
          <w:trHeight w:val="255"/>
        </w:trPr>
        <w:tc>
          <w:tcPr>
            <w:tcW w:w="2466" w:type="pct"/>
            <w:tcBorders>
              <w:top w:val="nil"/>
              <w:left w:val="nil"/>
              <w:right w:val="nil"/>
            </w:tcBorders>
            <w:vAlign w:val="center"/>
            <w:hideMark/>
          </w:tcPr>
          <w:p w14:paraId="40564902" w14:textId="77777777" w:rsidR="00A74C68" w:rsidRPr="00471CBA" w:rsidRDefault="00A74C68" w:rsidP="00A74C68">
            <w:pPr>
              <w:jc w:val="right"/>
              <w:rPr>
                <w:color w:val="000000"/>
                <w:szCs w:val="20"/>
              </w:rPr>
            </w:pPr>
          </w:p>
        </w:tc>
        <w:tc>
          <w:tcPr>
            <w:tcW w:w="677" w:type="pct"/>
            <w:tcBorders>
              <w:top w:val="nil"/>
              <w:left w:val="nil"/>
              <w:right w:val="nil"/>
            </w:tcBorders>
            <w:noWrap/>
            <w:vAlign w:val="bottom"/>
            <w:hideMark/>
          </w:tcPr>
          <w:p w14:paraId="493B9610" w14:textId="77777777" w:rsidR="00A74C68" w:rsidRPr="00471CBA" w:rsidRDefault="00A74C68" w:rsidP="00A74C68">
            <w:pPr>
              <w:jc w:val="right"/>
              <w:rPr>
                <w:szCs w:val="20"/>
              </w:rPr>
            </w:pPr>
          </w:p>
        </w:tc>
        <w:tc>
          <w:tcPr>
            <w:tcW w:w="603" w:type="pct"/>
            <w:tcBorders>
              <w:top w:val="nil"/>
              <w:left w:val="nil"/>
              <w:right w:val="nil"/>
            </w:tcBorders>
            <w:noWrap/>
            <w:vAlign w:val="bottom"/>
            <w:hideMark/>
          </w:tcPr>
          <w:p w14:paraId="0DF8B078" w14:textId="77777777" w:rsidR="00A74C68" w:rsidRPr="00471CBA" w:rsidRDefault="00A74C68" w:rsidP="00A74C68">
            <w:pPr>
              <w:jc w:val="right"/>
              <w:rPr>
                <w:szCs w:val="20"/>
              </w:rPr>
            </w:pPr>
          </w:p>
        </w:tc>
      </w:tr>
      <w:tr w:rsidR="00A74C68" w:rsidRPr="00471CBA" w14:paraId="001E2D15" w14:textId="77777777" w:rsidTr="00A74C68">
        <w:trPr>
          <w:divId w:val="585765561"/>
          <w:trHeight w:val="270"/>
        </w:trPr>
        <w:tc>
          <w:tcPr>
            <w:tcW w:w="2466" w:type="pct"/>
            <w:tcBorders>
              <w:top w:val="nil"/>
              <w:left w:val="nil"/>
              <w:bottom w:val="single" w:sz="12" w:space="0" w:color="auto"/>
              <w:right w:val="nil"/>
            </w:tcBorders>
            <w:vAlign w:val="center"/>
            <w:hideMark/>
          </w:tcPr>
          <w:p w14:paraId="6455F33C" w14:textId="77777777" w:rsidR="00A74C68" w:rsidRPr="00471CBA" w:rsidRDefault="00A74C68" w:rsidP="00A74C68">
            <w:pPr>
              <w:jc w:val="both"/>
              <w:rPr>
                <w:b/>
                <w:bCs/>
                <w:color w:val="000000"/>
                <w:szCs w:val="20"/>
              </w:rPr>
            </w:pPr>
            <w:r w:rsidRPr="00471CBA">
              <w:rPr>
                <w:b/>
                <w:bCs/>
                <w:color w:val="000000"/>
                <w:szCs w:val="20"/>
              </w:rPr>
              <w:t>Toplam</w:t>
            </w:r>
          </w:p>
        </w:tc>
        <w:tc>
          <w:tcPr>
            <w:tcW w:w="677" w:type="pct"/>
            <w:tcBorders>
              <w:top w:val="nil"/>
              <w:left w:val="nil"/>
              <w:bottom w:val="single" w:sz="12" w:space="0" w:color="auto"/>
              <w:right w:val="nil"/>
            </w:tcBorders>
            <w:noWrap/>
            <w:vAlign w:val="center"/>
            <w:hideMark/>
          </w:tcPr>
          <w:p w14:paraId="5061442D" w14:textId="77777777" w:rsidR="00A74C68" w:rsidRPr="00471CBA" w:rsidRDefault="00A74C68" w:rsidP="00A74C68">
            <w:pPr>
              <w:jc w:val="right"/>
              <w:rPr>
                <w:b/>
                <w:bCs/>
                <w:color w:val="000000"/>
                <w:szCs w:val="20"/>
              </w:rPr>
            </w:pPr>
            <w:r w:rsidRPr="00471CBA">
              <w:rPr>
                <w:b/>
                <w:bCs/>
                <w:color w:val="000000"/>
                <w:szCs w:val="20"/>
              </w:rPr>
              <w:t>831.714</w:t>
            </w:r>
          </w:p>
        </w:tc>
        <w:tc>
          <w:tcPr>
            <w:tcW w:w="603" w:type="pct"/>
            <w:tcBorders>
              <w:top w:val="nil"/>
              <w:left w:val="nil"/>
              <w:bottom w:val="single" w:sz="12" w:space="0" w:color="auto"/>
              <w:right w:val="nil"/>
            </w:tcBorders>
            <w:noWrap/>
            <w:vAlign w:val="center"/>
            <w:hideMark/>
          </w:tcPr>
          <w:p w14:paraId="3E814418" w14:textId="77777777" w:rsidR="00A74C68" w:rsidRPr="00471CBA" w:rsidRDefault="00A74C68" w:rsidP="00A74C68">
            <w:pPr>
              <w:jc w:val="right"/>
              <w:rPr>
                <w:b/>
                <w:bCs/>
                <w:color w:val="000000"/>
                <w:szCs w:val="20"/>
              </w:rPr>
            </w:pPr>
            <w:r w:rsidRPr="00471CBA">
              <w:rPr>
                <w:b/>
                <w:bCs/>
                <w:color w:val="000000"/>
                <w:szCs w:val="20"/>
              </w:rPr>
              <w:t>41.783</w:t>
            </w:r>
          </w:p>
        </w:tc>
      </w:tr>
    </w:tbl>
    <w:p w14:paraId="615F15D2" w14:textId="07E6C728" w:rsidR="00000466" w:rsidRPr="00471CBA" w:rsidRDefault="00000466" w:rsidP="00000466">
      <w:pPr>
        <w:widowControl w:val="0"/>
        <w:spacing w:line="216" w:lineRule="auto"/>
        <w:ind w:hanging="490"/>
        <w:jc w:val="both"/>
        <w:rPr>
          <w:b/>
          <w:sz w:val="14"/>
          <w:szCs w:val="14"/>
        </w:rPr>
      </w:pPr>
    </w:p>
    <w:p w14:paraId="660218CE" w14:textId="77777777" w:rsidR="001C13B0" w:rsidRPr="00471CBA" w:rsidRDefault="001C13B0" w:rsidP="00000466">
      <w:pPr>
        <w:widowControl w:val="0"/>
        <w:spacing w:line="216" w:lineRule="auto"/>
        <w:ind w:left="1276" w:hanging="425"/>
        <w:jc w:val="both"/>
        <w:rPr>
          <w:b/>
          <w:szCs w:val="20"/>
        </w:rPr>
      </w:pPr>
    </w:p>
    <w:tbl>
      <w:tblPr>
        <w:tblW w:w="4999" w:type="pct"/>
        <w:tblLayout w:type="fixed"/>
        <w:tblCellMar>
          <w:left w:w="70" w:type="dxa"/>
          <w:right w:w="70" w:type="dxa"/>
        </w:tblCellMar>
        <w:tblLook w:val="04A0" w:firstRow="1" w:lastRow="0" w:firstColumn="1" w:lastColumn="0" w:noHBand="0" w:noVBand="1"/>
      </w:tblPr>
      <w:tblGrid>
        <w:gridCol w:w="6173"/>
        <w:gridCol w:w="1667"/>
        <w:gridCol w:w="1513"/>
      </w:tblGrid>
      <w:tr w:rsidR="001C13B0" w:rsidRPr="00471CBA" w14:paraId="241087FA" w14:textId="77777777" w:rsidTr="000D24B7">
        <w:trPr>
          <w:trHeight w:val="255"/>
        </w:trPr>
        <w:tc>
          <w:tcPr>
            <w:tcW w:w="3299" w:type="pct"/>
            <w:tcBorders>
              <w:top w:val="nil"/>
              <w:left w:val="nil"/>
              <w:bottom w:val="nil"/>
              <w:right w:val="nil"/>
            </w:tcBorders>
            <w:hideMark/>
          </w:tcPr>
          <w:p w14:paraId="797E9490" w14:textId="77777777" w:rsidR="001C13B0" w:rsidRPr="00471CBA" w:rsidRDefault="001C13B0" w:rsidP="003D1625">
            <w:pPr>
              <w:rPr>
                <w:b/>
                <w:bCs/>
                <w:szCs w:val="20"/>
              </w:rPr>
            </w:pPr>
          </w:p>
        </w:tc>
        <w:tc>
          <w:tcPr>
            <w:tcW w:w="1700" w:type="pct"/>
            <w:gridSpan w:val="2"/>
            <w:tcBorders>
              <w:top w:val="nil"/>
              <w:left w:val="nil"/>
              <w:bottom w:val="single" w:sz="4" w:space="0" w:color="auto"/>
              <w:right w:val="nil"/>
            </w:tcBorders>
            <w:noWrap/>
            <w:vAlign w:val="center"/>
            <w:hideMark/>
          </w:tcPr>
          <w:p w14:paraId="5B1DDF68" w14:textId="4349C2DA" w:rsidR="001C13B0" w:rsidRPr="00471CBA" w:rsidRDefault="000D24B7" w:rsidP="003D1625">
            <w:pPr>
              <w:jc w:val="center"/>
              <w:rPr>
                <w:b/>
                <w:bCs/>
                <w:color w:val="000000"/>
                <w:szCs w:val="20"/>
                <w:lang w:eastAsia="tr-TR"/>
              </w:rPr>
            </w:pPr>
            <w:r w:rsidRPr="00471CBA">
              <w:rPr>
                <w:b/>
                <w:bCs/>
                <w:color w:val="000000"/>
                <w:szCs w:val="20"/>
                <w:lang w:eastAsia="tr-TR"/>
              </w:rPr>
              <w:t>1 Ocak - 31 Aralık 2024</w:t>
            </w:r>
          </w:p>
        </w:tc>
      </w:tr>
      <w:tr w:rsidR="001C13B0" w:rsidRPr="00471CBA" w14:paraId="554455CB" w14:textId="77777777" w:rsidTr="000D24B7">
        <w:trPr>
          <w:trHeight w:val="255"/>
        </w:trPr>
        <w:tc>
          <w:tcPr>
            <w:tcW w:w="3299" w:type="pct"/>
            <w:tcBorders>
              <w:top w:val="nil"/>
              <w:left w:val="nil"/>
              <w:bottom w:val="single" w:sz="4" w:space="0" w:color="auto"/>
              <w:right w:val="nil"/>
            </w:tcBorders>
            <w:vAlign w:val="center"/>
            <w:hideMark/>
          </w:tcPr>
          <w:p w14:paraId="293D4A94" w14:textId="77777777" w:rsidR="001C13B0" w:rsidRPr="00471CBA" w:rsidRDefault="001C13B0" w:rsidP="003D1625">
            <w:pPr>
              <w:jc w:val="both"/>
              <w:rPr>
                <w:b/>
                <w:bCs/>
                <w:color w:val="000000"/>
                <w:szCs w:val="20"/>
              </w:rPr>
            </w:pPr>
            <w:r w:rsidRPr="00471CBA">
              <w:rPr>
                <w:b/>
                <w:bCs/>
                <w:color w:val="000000"/>
                <w:szCs w:val="20"/>
              </w:rPr>
              <w:t> </w:t>
            </w:r>
          </w:p>
        </w:tc>
        <w:tc>
          <w:tcPr>
            <w:tcW w:w="891" w:type="pct"/>
            <w:tcBorders>
              <w:top w:val="nil"/>
              <w:left w:val="nil"/>
              <w:bottom w:val="single" w:sz="4" w:space="0" w:color="auto"/>
              <w:right w:val="nil"/>
            </w:tcBorders>
            <w:vAlign w:val="center"/>
            <w:hideMark/>
          </w:tcPr>
          <w:p w14:paraId="1C4F9FAC" w14:textId="77777777" w:rsidR="001C13B0" w:rsidRPr="00471CBA" w:rsidRDefault="001C13B0" w:rsidP="003D1625">
            <w:pPr>
              <w:jc w:val="right"/>
              <w:rPr>
                <w:b/>
                <w:bCs/>
                <w:color w:val="000000"/>
                <w:szCs w:val="20"/>
                <w:lang w:eastAsia="tr-TR"/>
              </w:rPr>
            </w:pPr>
            <w:r w:rsidRPr="00471CBA">
              <w:rPr>
                <w:b/>
                <w:bCs/>
                <w:color w:val="000000"/>
                <w:szCs w:val="20"/>
                <w:lang w:eastAsia="tr-TR"/>
              </w:rPr>
              <w:t>TP</w:t>
            </w:r>
          </w:p>
        </w:tc>
        <w:tc>
          <w:tcPr>
            <w:tcW w:w="809" w:type="pct"/>
            <w:tcBorders>
              <w:top w:val="nil"/>
              <w:left w:val="nil"/>
              <w:bottom w:val="single" w:sz="4" w:space="0" w:color="auto"/>
              <w:right w:val="nil"/>
            </w:tcBorders>
            <w:vAlign w:val="center"/>
            <w:hideMark/>
          </w:tcPr>
          <w:p w14:paraId="35AD528A" w14:textId="77777777" w:rsidR="001C13B0" w:rsidRPr="00471CBA" w:rsidRDefault="001C13B0" w:rsidP="003D1625">
            <w:pPr>
              <w:jc w:val="right"/>
              <w:rPr>
                <w:b/>
                <w:bCs/>
                <w:color w:val="000000"/>
                <w:szCs w:val="20"/>
                <w:lang w:eastAsia="tr-TR"/>
              </w:rPr>
            </w:pPr>
            <w:r w:rsidRPr="00471CBA">
              <w:rPr>
                <w:b/>
                <w:bCs/>
                <w:color w:val="000000"/>
                <w:szCs w:val="20"/>
                <w:lang w:eastAsia="tr-TR"/>
              </w:rPr>
              <w:t>YP</w:t>
            </w:r>
          </w:p>
        </w:tc>
      </w:tr>
      <w:tr w:rsidR="001C13B0" w:rsidRPr="00471CBA" w14:paraId="0998A171" w14:textId="77777777" w:rsidTr="000D24B7">
        <w:trPr>
          <w:trHeight w:val="255"/>
        </w:trPr>
        <w:tc>
          <w:tcPr>
            <w:tcW w:w="3299" w:type="pct"/>
            <w:tcBorders>
              <w:top w:val="nil"/>
              <w:left w:val="nil"/>
              <w:bottom w:val="nil"/>
              <w:right w:val="nil"/>
            </w:tcBorders>
            <w:noWrap/>
            <w:vAlign w:val="bottom"/>
            <w:hideMark/>
          </w:tcPr>
          <w:p w14:paraId="399C2889" w14:textId="77777777" w:rsidR="001C13B0" w:rsidRPr="00471CBA" w:rsidRDefault="001C13B0" w:rsidP="003D1625">
            <w:pPr>
              <w:jc w:val="right"/>
              <w:rPr>
                <w:b/>
                <w:bCs/>
                <w:color w:val="000000"/>
                <w:szCs w:val="20"/>
              </w:rPr>
            </w:pPr>
          </w:p>
        </w:tc>
        <w:tc>
          <w:tcPr>
            <w:tcW w:w="891" w:type="pct"/>
            <w:tcBorders>
              <w:top w:val="nil"/>
              <w:left w:val="nil"/>
              <w:bottom w:val="nil"/>
              <w:right w:val="nil"/>
            </w:tcBorders>
            <w:noWrap/>
            <w:vAlign w:val="bottom"/>
            <w:hideMark/>
          </w:tcPr>
          <w:p w14:paraId="1FC151CE" w14:textId="77777777" w:rsidR="001C13B0" w:rsidRPr="00471CBA" w:rsidRDefault="001C13B0" w:rsidP="003D1625">
            <w:pPr>
              <w:rPr>
                <w:szCs w:val="20"/>
                <w:lang w:eastAsia="tr-TR"/>
              </w:rPr>
            </w:pPr>
          </w:p>
        </w:tc>
        <w:tc>
          <w:tcPr>
            <w:tcW w:w="809" w:type="pct"/>
            <w:tcBorders>
              <w:top w:val="nil"/>
              <w:left w:val="nil"/>
              <w:bottom w:val="nil"/>
              <w:right w:val="nil"/>
            </w:tcBorders>
            <w:noWrap/>
            <w:vAlign w:val="bottom"/>
            <w:hideMark/>
          </w:tcPr>
          <w:p w14:paraId="566C08C0" w14:textId="77777777" w:rsidR="001C13B0" w:rsidRPr="00471CBA" w:rsidRDefault="001C13B0" w:rsidP="003D1625">
            <w:pPr>
              <w:rPr>
                <w:szCs w:val="20"/>
                <w:lang w:eastAsia="tr-TR"/>
              </w:rPr>
            </w:pPr>
          </w:p>
        </w:tc>
      </w:tr>
      <w:tr w:rsidR="000D24B7" w:rsidRPr="00471CBA" w14:paraId="2E4CEB48" w14:textId="77777777" w:rsidTr="000D24B7">
        <w:trPr>
          <w:trHeight w:val="255"/>
        </w:trPr>
        <w:tc>
          <w:tcPr>
            <w:tcW w:w="3299" w:type="pct"/>
            <w:tcBorders>
              <w:top w:val="nil"/>
              <w:left w:val="nil"/>
              <w:bottom w:val="nil"/>
              <w:right w:val="nil"/>
            </w:tcBorders>
            <w:vAlign w:val="center"/>
            <w:hideMark/>
          </w:tcPr>
          <w:p w14:paraId="3F7630E9" w14:textId="77777777" w:rsidR="000D24B7" w:rsidRPr="00471CBA" w:rsidRDefault="000D24B7" w:rsidP="000D24B7">
            <w:pPr>
              <w:rPr>
                <w:color w:val="000000"/>
                <w:szCs w:val="20"/>
              </w:rPr>
            </w:pPr>
            <w:r w:rsidRPr="00471CBA">
              <w:rPr>
                <w:color w:val="000000"/>
                <w:szCs w:val="20"/>
              </w:rPr>
              <w:t xml:space="preserve">Gerçeğe uygun değer farkı kar veya zarara yansıtılan finansal varlıklar </w:t>
            </w:r>
          </w:p>
        </w:tc>
        <w:tc>
          <w:tcPr>
            <w:tcW w:w="891" w:type="pct"/>
            <w:tcBorders>
              <w:top w:val="nil"/>
              <w:left w:val="nil"/>
              <w:bottom w:val="nil"/>
              <w:right w:val="nil"/>
            </w:tcBorders>
            <w:noWrap/>
            <w:vAlign w:val="bottom"/>
            <w:hideMark/>
          </w:tcPr>
          <w:p w14:paraId="298B0048" w14:textId="46AA98B4" w:rsidR="000D24B7" w:rsidRPr="00471CBA" w:rsidRDefault="000D24B7" w:rsidP="000D24B7">
            <w:pPr>
              <w:jc w:val="right"/>
              <w:rPr>
                <w:rFonts w:ascii="Arial" w:hAnsi="Arial" w:cs="Arial"/>
                <w:color w:val="000000"/>
                <w:sz w:val="18"/>
                <w:szCs w:val="18"/>
                <w:lang w:eastAsia="tr-TR"/>
              </w:rPr>
            </w:pPr>
            <w:r w:rsidRPr="00471CBA">
              <w:t>-</w:t>
            </w:r>
          </w:p>
        </w:tc>
        <w:tc>
          <w:tcPr>
            <w:tcW w:w="809" w:type="pct"/>
            <w:tcBorders>
              <w:top w:val="nil"/>
              <w:left w:val="nil"/>
              <w:bottom w:val="nil"/>
              <w:right w:val="nil"/>
            </w:tcBorders>
            <w:noWrap/>
            <w:vAlign w:val="bottom"/>
            <w:hideMark/>
          </w:tcPr>
          <w:p w14:paraId="54968A85" w14:textId="392DDAEA" w:rsidR="000D24B7" w:rsidRPr="00471CBA" w:rsidRDefault="000D24B7" w:rsidP="000D24B7">
            <w:pPr>
              <w:jc w:val="right"/>
              <w:rPr>
                <w:rFonts w:ascii="Arial" w:hAnsi="Arial" w:cs="Arial"/>
                <w:color w:val="000000"/>
                <w:sz w:val="18"/>
                <w:szCs w:val="18"/>
                <w:lang w:eastAsia="tr-TR"/>
              </w:rPr>
            </w:pPr>
            <w:r w:rsidRPr="00471CBA">
              <w:t>333</w:t>
            </w:r>
          </w:p>
        </w:tc>
      </w:tr>
      <w:tr w:rsidR="000D24B7" w:rsidRPr="00471CBA" w14:paraId="5ADC125C" w14:textId="77777777" w:rsidTr="000D24B7">
        <w:trPr>
          <w:trHeight w:val="255"/>
        </w:trPr>
        <w:tc>
          <w:tcPr>
            <w:tcW w:w="3299" w:type="pct"/>
            <w:tcBorders>
              <w:top w:val="nil"/>
              <w:left w:val="nil"/>
              <w:bottom w:val="nil"/>
              <w:right w:val="nil"/>
            </w:tcBorders>
            <w:vAlign w:val="center"/>
            <w:hideMark/>
          </w:tcPr>
          <w:p w14:paraId="57EAF043" w14:textId="77777777" w:rsidR="000D24B7" w:rsidRPr="00471CBA" w:rsidRDefault="000D24B7" w:rsidP="000D24B7">
            <w:pPr>
              <w:rPr>
                <w:color w:val="000000"/>
                <w:szCs w:val="20"/>
              </w:rPr>
            </w:pPr>
            <w:r w:rsidRPr="00471CBA">
              <w:rPr>
                <w:color w:val="000000"/>
                <w:szCs w:val="20"/>
              </w:rPr>
              <w:t xml:space="preserve">Gerçeğe uygun değer farkı diğer kapsamlı gelire yansıtılan finansal varlıklar </w:t>
            </w:r>
          </w:p>
        </w:tc>
        <w:tc>
          <w:tcPr>
            <w:tcW w:w="891" w:type="pct"/>
            <w:tcBorders>
              <w:top w:val="nil"/>
              <w:left w:val="nil"/>
              <w:bottom w:val="nil"/>
              <w:right w:val="nil"/>
            </w:tcBorders>
            <w:noWrap/>
            <w:vAlign w:val="bottom"/>
            <w:hideMark/>
          </w:tcPr>
          <w:p w14:paraId="5BC22FF6" w14:textId="7D71806E" w:rsidR="000D24B7" w:rsidRPr="00471CBA" w:rsidRDefault="000D24B7" w:rsidP="000D24B7">
            <w:pPr>
              <w:jc w:val="right"/>
              <w:rPr>
                <w:rFonts w:ascii="Arial" w:hAnsi="Arial" w:cs="Arial"/>
                <w:color w:val="000000"/>
                <w:sz w:val="18"/>
                <w:szCs w:val="18"/>
                <w:lang w:eastAsia="tr-TR"/>
              </w:rPr>
            </w:pPr>
            <w:r w:rsidRPr="00471CBA">
              <w:t>121.965</w:t>
            </w:r>
          </w:p>
        </w:tc>
        <w:tc>
          <w:tcPr>
            <w:tcW w:w="809" w:type="pct"/>
            <w:tcBorders>
              <w:top w:val="nil"/>
              <w:left w:val="nil"/>
              <w:bottom w:val="nil"/>
              <w:right w:val="nil"/>
            </w:tcBorders>
            <w:noWrap/>
            <w:vAlign w:val="bottom"/>
            <w:hideMark/>
          </w:tcPr>
          <w:p w14:paraId="43B6E781" w14:textId="205B5729" w:rsidR="000D24B7" w:rsidRPr="00471CBA" w:rsidRDefault="000D24B7" w:rsidP="000D24B7">
            <w:pPr>
              <w:jc w:val="right"/>
              <w:rPr>
                <w:rFonts w:ascii="Arial" w:hAnsi="Arial" w:cs="Arial"/>
                <w:color w:val="000000"/>
                <w:sz w:val="18"/>
                <w:szCs w:val="18"/>
                <w:lang w:eastAsia="tr-TR"/>
              </w:rPr>
            </w:pPr>
            <w:r w:rsidRPr="00471CBA">
              <w:t>-</w:t>
            </w:r>
          </w:p>
        </w:tc>
      </w:tr>
      <w:tr w:rsidR="000D24B7" w:rsidRPr="00471CBA" w14:paraId="0CC91B90" w14:textId="77777777" w:rsidTr="000D24B7">
        <w:trPr>
          <w:trHeight w:val="255"/>
        </w:trPr>
        <w:tc>
          <w:tcPr>
            <w:tcW w:w="3299" w:type="pct"/>
            <w:tcBorders>
              <w:top w:val="nil"/>
              <w:left w:val="nil"/>
              <w:bottom w:val="single" w:sz="4" w:space="0" w:color="auto"/>
              <w:right w:val="nil"/>
            </w:tcBorders>
            <w:vAlign w:val="center"/>
            <w:hideMark/>
          </w:tcPr>
          <w:p w14:paraId="47B92CBC" w14:textId="77777777" w:rsidR="000D24B7" w:rsidRPr="00471CBA" w:rsidRDefault="000D24B7" w:rsidP="000D24B7">
            <w:pPr>
              <w:rPr>
                <w:color w:val="000000"/>
                <w:szCs w:val="20"/>
              </w:rPr>
            </w:pPr>
            <w:r w:rsidRPr="00471CBA">
              <w:rPr>
                <w:color w:val="000000"/>
                <w:szCs w:val="20"/>
              </w:rPr>
              <w:t>İtfa edilmiş maliyet üzerinden değerlenen finansal varlıklar</w:t>
            </w:r>
          </w:p>
        </w:tc>
        <w:tc>
          <w:tcPr>
            <w:tcW w:w="891" w:type="pct"/>
            <w:tcBorders>
              <w:top w:val="nil"/>
              <w:left w:val="nil"/>
              <w:bottom w:val="single" w:sz="4" w:space="0" w:color="auto"/>
              <w:right w:val="nil"/>
            </w:tcBorders>
            <w:noWrap/>
            <w:vAlign w:val="bottom"/>
            <w:hideMark/>
          </w:tcPr>
          <w:p w14:paraId="434A447D" w14:textId="7EF29E4A" w:rsidR="000D24B7" w:rsidRPr="00471CBA" w:rsidRDefault="000D24B7" w:rsidP="000D24B7">
            <w:pPr>
              <w:jc w:val="right"/>
              <w:rPr>
                <w:color w:val="000000"/>
                <w:szCs w:val="20"/>
                <w:lang w:eastAsia="tr-TR"/>
              </w:rPr>
            </w:pPr>
            <w:r w:rsidRPr="00471CBA">
              <w:t>93.805</w:t>
            </w:r>
          </w:p>
        </w:tc>
        <w:tc>
          <w:tcPr>
            <w:tcW w:w="809" w:type="pct"/>
            <w:tcBorders>
              <w:top w:val="nil"/>
              <w:left w:val="nil"/>
              <w:bottom w:val="single" w:sz="4" w:space="0" w:color="auto"/>
              <w:right w:val="nil"/>
            </w:tcBorders>
            <w:noWrap/>
            <w:vAlign w:val="bottom"/>
            <w:hideMark/>
          </w:tcPr>
          <w:p w14:paraId="133253E4" w14:textId="333C084B" w:rsidR="000D24B7" w:rsidRPr="00471CBA" w:rsidRDefault="000D24B7" w:rsidP="000D24B7">
            <w:pPr>
              <w:jc w:val="right"/>
              <w:rPr>
                <w:color w:val="000000"/>
                <w:szCs w:val="20"/>
                <w:lang w:eastAsia="tr-TR"/>
              </w:rPr>
            </w:pPr>
            <w:r w:rsidRPr="00471CBA">
              <w:t>-</w:t>
            </w:r>
          </w:p>
        </w:tc>
      </w:tr>
      <w:tr w:rsidR="000D24B7" w:rsidRPr="00471CBA" w14:paraId="745CDABC" w14:textId="77777777" w:rsidTr="000D24B7">
        <w:trPr>
          <w:trHeight w:val="255"/>
        </w:trPr>
        <w:tc>
          <w:tcPr>
            <w:tcW w:w="3299" w:type="pct"/>
            <w:tcBorders>
              <w:top w:val="nil"/>
              <w:left w:val="nil"/>
              <w:right w:val="nil"/>
            </w:tcBorders>
            <w:vAlign w:val="center"/>
            <w:hideMark/>
          </w:tcPr>
          <w:p w14:paraId="1A330C9A" w14:textId="77777777" w:rsidR="000D24B7" w:rsidRPr="00471CBA" w:rsidRDefault="000D24B7" w:rsidP="000D24B7">
            <w:pPr>
              <w:jc w:val="right"/>
              <w:rPr>
                <w:color w:val="000000"/>
                <w:szCs w:val="20"/>
              </w:rPr>
            </w:pPr>
          </w:p>
        </w:tc>
        <w:tc>
          <w:tcPr>
            <w:tcW w:w="891" w:type="pct"/>
            <w:tcBorders>
              <w:top w:val="nil"/>
              <w:left w:val="nil"/>
              <w:right w:val="nil"/>
            </w:tcBorders>
            <w:noWrap/>
            <w:vAlign w:val="bottom"/>
            <w:hideMark/>
          </w:tcPr>
          <w:p w14:paraId="42EDE1F8" w14:textId="77777777" w:rsidR="000D24B7" w:rsidRPr="00471CBA" w:rsidRDefault="000D24B7" w:rsidP="000D24B7">
            <w:pPr>
              <w:jc w:val="right"/>
              <w:rPr>
                <w:szCs w:val="20"/>
                <w:lang w:eastAsia="tr-TR"/>
              </w:rPr>
            </w:pPr>
          </w:p>
        </w:tc>
        <w:tc>
          <w:tcPr>
            <w:tcW w:w="809" w:type="pct"/>
            <w:tcBorders>
              <w:top w:val="nil"/>
              <w:left w:val="nil"/>
              <w:right w:val="nil"/>
            </w:tcBorders>
            <w:noWrap/>
            <w:vAlign w:val="bottom"/>
            <w:hideMark/>
          </w:tcPr>
          <w:p w14:paraId="3B02C56E" w14:textId="77777777" w:rsidR="000D24B7" w:rsidRPr="00471CBA" w:rsidRDefault="000D24B7" w:rsidP="000D24B7">
            <w:pPr>
              <w:jc w:val="right"/>
              <w:rPr>
                <w:szCs w:val="20"/>
                <w:lang w:eastAsia="tr-TR"/>
              </w:rPr>
            </w:pPr>
          </w:p>
        </w:tc>
      </w:tr>
      <w:tr w:rsidR="000D24B7" w:rsidRPr="00471CBA" w14:paraId="678400A3" w14:textId="77777777" w:rsidTr="000D24B7">
        <w:trPr>
          <w:trHeight w:val="270"/>
        </w:trPr>
        <w:tc>
          <w:tcPr>
            <w:tcW w:w="3299" w:type="pct"/>
            <w:tcBorders>
              <w:top w:val="nil"/>
              <w:left w:val="nil"/>
              <w:bottom w:val="single" w:sz="12" w:space="0" w:color="auto"/>
              <w:right w:val="nil"/>
            </w:tcBorders>
            <w:vAlign w:val="center"/>
            <w:hideMark/>
          </w:tcPr>
          <w:p w14:paraId="29404CF8" w14:textId="77777777" w:rsidR="000D24B7" w:rsidRPr="00471CBA" w:rsidRDefault="000D24B7" w:rsidP="000D24B7">
            <w:pPr>
              <w:jc w:val="both"/>
              <w:rPr>
                <w:b/>
                <w:bCs/>
                <w:color w:val="000000"/>
                <w:szCs w:val="20"/>
              </w:rPr>
            </w:pPr>
            <w:r w:rsidRPr="00471CBA">
              <w:rPr>
                <w:b/>
                <w:bCs/>
                <w:color w:val="000000"/>
                <w:szCs w:val="20"/>
              </w:rPr>
              <w:t>Toplam</w:t>
            </w:r>
          </w:p>
        </w:tc>
        <w:tc>
          <w:tcPr>
            <w:tcW w:w="891" w:type="pct"/>
            <w:tcBorders>
              <w:top w:val="nil"/>
              <w:left w:val="nil"/>
              <w:bottom w:val="single" w:sz="12" w:space="0" w:color="auto"/>
              <w:right w:val="nil"/>
            </w:tcBorders>
            <w:noWrap/>
            <w:vAlign w:val="bottom"/>
            <w:hideMark/>
          </w:tcPr>
          <w:p w14:paraId="3C482E8B" w14:textId="0728847E" w:rsidR="000D24B7" w:rsidRPr="00471CBA" w:rsidRDefault="000D24B7" w:rsidP="000D24B7">
            <w:pPr>
              <w:jc w:val="right"/>
              <w:rPr>
                <w:b/>
                <w:bCs/>
                <w:color w:val="000000"/>
                <w:szCs w:val="20"/>
                <w:lang w:eastAsia="tr-TR"/>
              </w:rPr>
            </w:pPr>
            <w:r w:rsidRPr="00471CBA">
              <w:rPr>
                <w:b/>
                <w:bCs/>
              </w:rPr>
              <w:t>215.770</w:t>
            </w:r>
          </w:p>
        </w:tc>
        <w:tc>
          <w:tcPr>
            <w:tcW w:w="809" w:type="pct"/>
            <w:tcBorders>
              <w:top w:val="nil"/>
              <w:left w:val="nil"/>
              <w:bottom w:val="single" w:sz="12" w:space="0" w:color="auto"/>
              <w:right w:val="nil"/>
            </w:tcBorders>
            <w:noWrap/>
            <w:vAlign w:val="bottom"/>
            <w:hideMark/>
          </w:tcPr>
          <w:p w14:paraId="382E6922" w14:textId="28789EDE" w:rsidR="000D24B7" w:rsidRPr="00471CBA" w:rsidRDefault="000D24B7" w:rsidP="000D24B7">
            <w:pPr>
              <w:jc w:val="right"/>
              <w:rPr>
                <w:b/>
                <w:bCs/>
                <w:color w:val="000000"/>
                <w:szCs w:val="20"/>
                <w:lang w:eastAsia="tr-TR"/>
              </w:rPr>
            </w:pPr>
            <w:r w:rsidRPr="00471CBA">
              <w:rPr>
                <w:b/>
                <w:bCs/>
              </w:rPr>
              <w:t>333</w:t>
            </w:r>
          </w:p>
        </w:tc>
      </w:tr>
    </w:tbl>
    <w:p w14:paraId="3B6E6E42" w14:textId="77777777" w:rsidR="001C13B0" w:rsidRPr="00471CBA" w:rsidRDefault="001C13B0" w:rsidP="00000466">
      <w:pPr>
        <w:widowControl w:val="0"/>
        <w:spacing w:line="216" w:lineRule="auto"/>
        <w:ind w:left="1276" w:hanging="425"/>
        <w:jc w:val="both"/>
        <w:rPr>
          <w:b/>
          <w:szCs w:val="20"/>
        </w:rPr>
      </w:pPr>
    </w:p>
    <w:p w14:paraId="17D506E9" w14:textId="4E194B66" w:rsidR="00000466" w:rsidRPr="00471CBA" w:rsidRDefault="00000466" w:rsidP="00000466">
      <w:pPr>
        <w:widowControl w:val="0"/>
        <w:spacing w:line="216" w:lineRule="auto"/>
        <w:ind w:left="1276" w:hanging="425"/>
        <w:jc w:val="both"/>
        <w:rPr>
          <w:b/>
          <w:szCs w:val="20"/>
        </w:rPr>
      </w:pPr>
      <w:r w:rsidRPr="00471CBA">
        <w:rPr>
          <w:b/>
          <w:szCs w:val="20"/>
        </w:rPr>
        <w:t>ç.</w:t>
      </w:r>
      <w:r w:rsidRPr="00471CBA">
        <w:rPr>
          <w:b/>
          <w:szCs w:val="20"/>
        </w:rPr>
        <w:tab/>
        <w:t xml:space="preserve">İştirak ve bağlı ortaklıklardan alınan </w:t>
      </w:r>
      <w:r w:rsidR="002A0140" w:rsidRPr="00471CBA">
        <w:rPr>
          <w:b/>
          <w:szCs w:val="20"/>
        </w:rPr>
        <w:t>kâr</w:t>
      </w:r>
      <w:r w:rsidRPr="00471CBA">
        <w:rPr>
          <w:b/>
          <w:szCs w:val="20"/>
        </w:rPr>
        <w:t xml:space="preserve"> payı gelirlerine ilişkin bilgiler:</w:t>
      </w:r>
    </w:p>
    <w:p w14:paraId="6276E884" w14:textId="77777777" w:rsidR="00000466" w:rsidRPr="00471CBA" w:rsidRDefault="00000466" w:rsidP="00000466">
      <w:pPr>
        <w:widowControl w:val="0"/>
        <w:spacing w:line="216" w:lineRule="auto"/>
        <w:ind w:hanging="490"/>
        <w:jc w:val="both"/>
        <w:rPr>
          <w:color w:val="FF0000"/>
          <w:sz w:val="14"/>
          <w:szCs w:val="14"/>
        </w:rPr>
      </w:pPr>
    </w:p>
    <w:p w14:paraId="06C301EC" w14:textId="6BEB4B02" w:rsidR="00000466" w:rsidRPr="00471CBA" w:rsidRDefault="00000466" w:rsidP="00000466">
      <w:pPr>
        <w:widowControl w:val="0"/>
        <w:spacing w:line="216" w:lineRule="auto"/>
        <w:ind w:left="851"/>
        <w:jc w:val="both"/>
        <w:rPr>
          <w:szCs w:val="20"/>
        </w:rPr>
      </w:pPr>
      <w:r w:rsidRPr="00471CBA">
        <w:rPr>
          <w:szCs w:val="20"/>
        </w:rPr>
        <w:t>Bulunmamaktadır.</w:t>
      </w:r>
      <w:r w:rsidR="00B64A0F" w:rsidRPr="00471CBA">
        <w:rPr>
          <w:szCs w:val="20"/>
        </w:rPr>
        <w:t xml:space="preserve"> </w:t>
      </w:r>
      <w:bookmarkStart w:id="148" w:name="_Hlk196729524"/>
      <w:r w:rsidR="00B64A0F" w:rsidRPr="00471CBA">
        <w:rPr>
          <w:szCs w:val="20"/>
        </w:rPr>
        <w:t>(</w:t>
      </w:r>
      <w:r w:rsidR="009A3A4D" w:rsidRPr="00471CBA">
        <w:rPr>
          <w:szCs w:val="20"/>
        </w:rPr>
        <w:t>31 Aralık</w:t>
      </w:r>
      <w:r w:rsidR="00B64A0F" w:rsidRPr="00471CBA">
        <w:rPr>
          <w:szCs w:val="20"/>
        </w:rPr>
        <w:t xml:space="preserve"> 2024: Bulunmamaktadır.)</w:t>
      </w:r>
      <w:bookmarkEnd w:id="148"/>
    </w:p>
    <w:p w14:paraId="304F3B52" w14:textId="5D5AE2F0" w:rsidR="00C76290" w:rsidRPr="00471CBA" w:rsidRDefault="00C76290">
      <w:pPr>
        <w:rPr>
          <w:b/>
          <w:szCs w:val="20"/>
        </w:rPr>
      </w:pPr>
      <w:r w:rsidRPr="00471CBA">
        <w:rPr>
          <w:b/>
          <w:szCs w:val="20"/>
        </w:rPr>
        <w:br w:type="page"/>
      </w:r>
    </w:p>
    <w:p w14:paraId="3FA32A98" w14:textId="77777777" w:rsidR="00584460" w:rsidRPr="00471CBA" w:rsidRDefault="00584460" w:rsidP="00584460">
      <w:pPr>
        <w:widowControl w:val="0"/>
        <w:ind w:left="720" w:hanging="720"/>
        <w:jc w:val="both"/>
        <w:rPr>
          <w:b/>
          <w:szCs w:val="20"/>
        </w:rPr>
      </w:pPr>
      <w:r w:rsidRPr="00471CBA">
        <w:rPr>
          <w:b/>
          <w:szCs w:val="20"/>
        </w:rPr>
        <w:t>KONSOLİDE OLMAYAN FİNANSAL TABLOLARA İLİŞKİN AÇIKLAMA VE DİPNOTLAR (Devamı)</w:t>
      </w:r>
    </w:p>
    <w:p w14:paraId="71A5D0A0" w14:textId="77777777" w:rsidR="00584460" w:rsidRPr="006025D3" w:rsidRDefault="00584460" w:rsidP="00584460">
      <w:pPr>
        <w:widowControl w:val="0"/>
        <w:autoSpaceDE w:val="0"/>
        <w:autoSpaceDN w:val="0"/>
        <w:adjustRightInd w:val="0"/>
        <w:ind w:left="14" w:right="210"/>
        <w:jc w:val="both"/>
        <w:rPr>
          <w:sz w:val="16"/>
          <w:szCs w:val="16"/>
        </w:rPr>
      </w:pPr>
    </w:p>
    <w:p w14:paraId="01417EF1" w14:textId="3E12F069" w:rsidR="00584460" w:rsidRPr="00471CBA" w:rsidRDefault="006025D3" w:rsidP="006025D3">
      <w:pPr>
        <w:pStyle w:val="GvdeMetniGirintisi"/>
        <w:widowControl w:val="0"/>
        <w:ind w:left="851" w:right="206" w:hanging="851"/>
        <w:rPr>
          <w:b/>
          <w:iCs/>
          <w:szCs w:val="20"/>
        </w:rPr>
      </w:pPr>
      <w:r>
        <w:rPr>
          <w:b/>
          <w:iCs/>
          <w:szCs w:val="20"/>
        </w:rPr>
        <w:t>IV.</w:t>
      </w:r>
      <w:r>
        <w:rPr>
          <w:b/>
          <w:iCs/>
          <w:szCs w:val="20"/>
        </w:rPr>
        <w:tab/>
      </w:r>
      <w:r w:rsidR="00584460" w:rsidRPr="00471CBA">
        <w:rPr>
          <w:b/>
          <w:iCs/>
          <w:szCs w:val="20"/>
        </w:rPr>
        <w:t>KAR VEYA ZARAR TABLOSUNA İLİŞKİN AÇIKLAMA VE DİPNOTLAR (Devamı)</w:t>
      </w:r>
    </w:p>
    <w:p w14:paraId="7940BE13" w14:textId="43C8DC08" w:rsidR="00584460" w:rsidRPr="006025D3" w:rsidRDefault="00584460" w:rsidP="00584460">
      <w:pPr>
        <w:pStyle w:val="GvdeMetniGirintisi"/>
        <w:widowControl w:val="0"/>
        <w:ind w:right="206"/>
        <w:rPr>
          <w:b/>
          <w:iCs/>
          <w:sz w:val="16"/>
          <w:szCs w:val="16"/>
        </w:rPr>
      </w:pPr>
    </w:p>
    <w:p w14:paraId="7ABACB91" w14:textId="24DF45EF" w:rsidR="00136C29" w:rsidRPr="00471CBA" w:rsidRDefault="00136C29" w:rsidP="009F6E11">
      <w:pPr>
        <w:widowControl w:val="0"/>
        <w:autoSpaceDE w:val="0"/>
        <w:autoSpaceDN w:val="0"/>
        <w:adjustRightInd w:val="0"/>
        <w:ind w:left="851" w:hanging="851"/>
        <w:jc w:val="both"/>
        <w:rPr>
          <w:rFonts w:eastAsia="Arial Unicode MS"/>
          <w:b/>
          <w:szCs w:val="20"/>
        </w:rPr>
      </w:pPr>
      <w:r w:rsidRPr="00471CBA">
        <w:rPr>
          <w:rFonts w:eastAsia="Arial Unicode MS"/>
          <w:b/>
          <w:szCs w:val="20"/>
        </w:rPr>
        <w:t>2.</w:t>
      </w:r>
      <w:r w:rsidRPr="00471CBA">
        <w:rPr>
          <w:rFonts w:eastAsia="Arial Unicode MS"/>
          <w:b/>
          <w:szCs w:val="20"/>
        </w:rPr>
        <w:tab/>
      </w:r>
      <w:r w:rsidR="00264203" w:rsidRPr="00471CBA">
        <w:rPr>
          <w:rFonts w:eastAsia="Arial Unicode MS"/>
          <w:b/>
          <w:szCs w:val="20"/>
        </w:rPr>
        <w:t>Kâr</w:t>
      </w:r>
      <w:r w:rsidRPr="00471CBA">
        <w:rPr>
          <w:rFonts w:eastAsia="Arial Unicode MS"/>
          <w:b/>
          <w:szCs w:val="20"/>
        </w:rPr>
        <w:t xml:space="preserve"> payı giderlerine ilişkin bilgiler:</w:t>
      </w:r>
    </w:p>
    <w:p w14:paraId="5CCD9B1C" w14:textId="77777777" w:rsidR="00CD770B" w:rsidRPr="006025D3" w:rsidRDefault="00CD770B" w:rsidP="00CD770B">
      <w:pPr>
        <w:widowControl w:val="0"/>
        <w:ind w:left="-567"/>
        <w:rPr>
          <w:b/>
          <w:color w:val="000000" w:themeColor="text1"/>
          <w:sz w:val="16"/>
          <w:szCs w:val="16"/>
        </w:rPr>
      </w:pPr>
    </w:p>
    <w:p w14:paraId="5C27DF5F" w14:textId="1A056B32" w:rsidR="004805FF" w:rsidRPr="00471CBA" w:rsidRDefault="004805FF" w:rsidP="00212E4A">
      <w:pPr>
        <w:pStyle w:val="ListeParagraf"/>
        <w:widowControl w:val="0"/>
        <w:numPr>
          <w:ilvl w:val="0"/>
          <w:numId w:val="36"/>
        </w:numPr>
        <w:ind w:left="1276" w:hanging="425"/>
        <w:rPr>
          <w:b/>
          <w:color w:val="000000" w:themeColor="text1"/>
          <w:szCs w:val="20"/>
        </w:rPr>
      </w:pPr>
      <w:r w:rsidRPr="00471CBA">
        <w:rPr>
          <w:b/>
          <w:color w:val="000000" w:themeColor="text1"/>
          <w:szCs w:val="20"/>
        </w:rPr>
        <w:t>Katılma hesaplarına ödenen kar paylarının vade yapısına göre gösterimi:</w:t>
      </w:r>
    </w:p>
    <w:p w14:paraId="331B2500" w14:textId="0B3B9599" w:rsidR="00A74C68" w:rsidRPr="006025D3" w:rsidRDefault="00A74C68" w:rsidP="009F6E11">
      <w:pPr>
        <w:widowControl w:val="0"/>
        <w:rPr>
          <w:sz w:val="16"/>
          <w:szCs w:val="16"/>
        </w:rPr>
      </w:pPr>
    </w:p>
    <w:tbl>
      <w:tblPr>
        <w:tblW w:w="5000" w:type="pct"/>
        <w:tblCellMar>
          <w:left w:w="70" w:type="dxa"/>
          <w:right w:w="70" w:type="dxa"/>
        </w:tblCellMar>
        <w:tblLook w:val="04A0" w:firstRow="1" w:lastRow="0" w:firstColumn="1" w:lastColumn="0" w:noHBand="0" w:noVBand="1"/>
      </w:tblPr>
      <w:tblGrid>
        <w:gridCol w:w="3317"/>
        <w:gridCol w:w="780"/>
        <w:gridCol w:w="780"/>
        <w:gridCol w:w="814"/>
        <w:gridCol w:w="675"/>
        <w:gridCol w:w="675"/>
        <w:gridCol w:w="687"/>
        <w:gridCol w:w="763"/>
        <w:gridCol w:w="864"/>
      </w:tblGrid>
      <w:tr w:rsidR="00A74C68" w:rsidRPr="00471CBA" w14:paraId="5FF51C9B" w14:textId="77777777" w:rsidTr="00A74C68">
        <w:trPr>
          <w:divId w:val="1290934723"/>
          <w:trHeight w:val="170"/>
        </w:trPr>
        <w:tc>
          <w:tcPr>
            <w:tcW w:w="1585" w:type="pct"/>
            <w:tcBorders>
              <w:top w:val="nil"/>
              <w:left w:val="nil"/>
              <w:bottom w:val="single" w:sz="4" w:space="0" w:color="auto"/>
              <w:right w:val="nil"/>
            </w:tcBorders>
            <w:noWrap/>
            <w:vAlign w:val="bottom"/>
            <w:hideMark/>
          </w:tcPr>
          <w:p w14:paraId="6353BDBB" w14:textId="67DD6290" w:rsidR="00A74C68" w:rsidRPr="00471CBA" w:rsidRDefault="00A74C68" w:rsidP="00A74C68">
            <w:pPr>
              <w:rPr>
                <w:b/>
                <w:bCs/>
                <w:color w:val="000000"/>
                <w:sz w:val="16"/>
                <w:szCs w:val="16"/>
              </w:rPr>
            </w:pPr>
            <w:r w:rsidRPr="00471CBA">
              <w:rPr>
                <w:b/>
                <w:bCs/>
                <w:color w:val="000000"/>
                <w:sz w:val="16"/>
                <w:szCs w:val="16"/>
              </w:rPr>
              <w:t>1 Ocak - 31 Aralık 2025</w:t>
            </w:r>
          </w:p>
        </w:tc>
        <w:tc>
          <w:tcPr>
            <w:tcW w:w="3415" w:type="pct"/>
            <w:gridSpan w:val="8"/>
            <w:tcBorders>
              <w:top w:val="nil"/>
              <w:left w:val="nil"/>
              <w:bottom w:val="single" w:sz="4" w:space="0" w:color="auto"/>
              <w:right w:val="nil"/>
            </w:tcBorders>
            <w:noWrap/>
            <w:vAlign w:val="center"/>
            <w:hideMark/>
          </w:tcPr>
          <w:p w14:paraId="1EA2A087" w14:textId="77777777" w:rsidR="00A74C68" w:rsidRPr="00471CBA" w:rsidRDefault="00A74C68" w:rsidP="00A74C68">
            <w:pPr>
              <w:jc w:val="center"/>
              <w:rPr>
                <w:b/>
                <w:bCs/>
                <w:color w:val="000000"/>
                <w:sz w:val="16"/>
                <w:szCs w:val="16"/>
              </w:rPr>
            </w:pPr>
            <w:r w:rsidRPr="00471CBA">
              <w:rPr>
                <w:b/>
                <w:bCs/>
                <w:color w:val="000000"/>
                <w:sz w:val="16"/>
                <w:szCs w:val="16"/>
              </w:rPr>
              <w:t>Katılma hesapları</w:t>
            </w:r>
          </w:p>
        </w:tc>
      </w:tr>
      <w:tr w:rsidR="00A74C68" w:rsidRPr="00471CBA" w14:paraId="2D2B3F78" w14:textId="77777777" w:rsidTr="00A74C68">
        <w:trPr>
          <w:divId w:val="1290934723"/>
          <w:trHeight w:val="170"/>
        </w:trPr>
        <w:tc>
          <w:tcPr>
            <w:tcW w:w="1585" w:type="pct"/>
            <w:tcBorders>
              <w:top w:val="nil"/>
              <w:left w:val="nil"/>
              <w:bottom w:val="nil"/>
              <w:right w:val="nil"/>
            </w:tcBorders>
            <w:noWrap/>
            <w:vAlign w:val="bottom"/>
            <w:hideMark/>
          </w:tcPr>
          <w:p w14:paraId="59573DAC" w14:textId="77777777" w:rsidR="00A74C68" w:rsidRPr="00471CBA" w:rsidRDefault="00A74C68" w:rsidP="00A74C68">
            <w:pPr>
              <w:jc w:val="center"/>
              <w:rPr>
                <w:b/>
                <w:bCs/>
                <w:color w:val="000000"/>
                <w:sz w:val="16"/>
                <w:szCs w:val="16"/>
              </w:rPr>
            </w:pPr>
          </w:p>
        </w:tc>
        <w:tc>
          <w:tcPr>
            <w:tcW w:w="446" w:type="pct"/>
            <w:tcBorders>
              <w:top w:val="nil"/>
              <w:left w:val="nil"/>
              <w:bottom w:val="nil"/>
              <w:right w:val="nil"/>
            </w:tcBorders>
            <w:noWrap/>
            <w:vAlign w:val="center"/>
            <w:hideMark/>
          </w:tcPr>
          <w:p w14:paraId="02E5E7C0" w14:textId="77777777" w:rsidR="00A74C68" w:rsidRPr="00471CBA" w:rsidRDefault="00A74C68" w:rsidP="00A74C68">
            <w:pPr>
              <w:jc w:val="right"/>
              <w:rPr>
                <w:szCs w:val="20"/>
              </w:rPr>
            </w:pPr>
          </w:p>
        </w:tc>
        <w:tc>
          <w:tcPr>
            <w:tcW w:w="391" w:type="pct"/>
            <w:tcBorders>
              <w:top w:val="nil"/>
              <w:left w:val="nil"/>
              <w:bottom w:val="nil"/>
              <w:right w:val="nil"/>
            </w:tcBorders>
            <w:noWrap/>
            <w:vAlign w:val="center"/>
            <w:hideMark/>
          </w:tcPr>
          <w:p w14:paraId="48F85251" w14:textId="77777777" w:rsidR="00A74C68" w:rsidRPr="00471CBA" w:rsidRDefault="00A74C68" w:rsidP="00A74C68">
            <w:pPr>
              <w:jc w:val="right"/>
              <w:rPr>
                <w:szCs w:val="20"/>
              </w:rPr>
            </w:pPr>
          </w:p>
        </w:tc>
        <w:tc>
          <w:tcPr>
            <w:tcW w:w="468" w:type="pct"/>
            <w:tcBorders>
              <w:top w:val="nil"/>
              <w:left w:val="nil"/>
              <w:bottom w:val="nil"/>
              <w:right w:val="nil"/>
            </w:tcBorders>
            <w:noWrap/>
            <w:vAlign w:val="center"/>
            <w:hideMark/>
          </w:tcPr>
          <w:p w14:paraId="797AD5A6" w14:textId="77777777" w:rsidR="00A74C68" w:rsidRPr="00471CBA" w:rsidRDefault="00A74C68" w:rsidP="00A74C68">
            <w:pPr>
              <w:jc w:val="right"/>
              <w:rPr>
                <w:szCs w:val="20"/>
              </w:rPr>
            </w:pPr>
          </w:p>
        </w:tc>
        <w:tc>
          <w:tcPr>
            <w:tcW w:w="391" w:type="pct"/>
            <w:tcBorders>
              <w:top w:val="nil"/>
              <w:left w:val="nil"/>
              <w:bottom w:val="nil"/>
              <w:right w:val="nil"/>
            </w:tcBorders>
            <w:noWrap/>
            <w:vAlign w:val="center"/>
            <w:hideMark/>
          </w:tcPr>
          <w:p w14:paraId="78634B8B" w14:textId="77777777" w:rsidR="00A74C68" w:rsidRPr="00471CBA" w:rsidRDefault="00A74C68" w:rsidP="00A74C68">
            <w:pPr>
              <w:jc w:val="right"/>
              <w:rPr>
                <w:szCs w:val="20"/>
              </w:rPr>
            </w:pPr>
          </w:p>
        </w:tc>
        <w:tc>
          <w:tcPr>
            <w:tcW w:w="391" w:type="pct"/>
            <w:tcBorders>
              <w:top w:val="nil"/>
              <w:left w:val="nil"/>
              <w:bottom w:val="nil"/>
              <w:right w:val="nil"/>
            </w:tcBorders>
            <w:noWrap/>
            <w:vAlign w:val="center"/>
            <w:hideMark/>
          </w:tcPr>
          <w:p w14:paraId="145618A6" w14:textId="77777777" w:rsidR="00A74C68" w:rsidRPr="00471CBA" w:rsidRDefault="00A74C68" w:rsidP="00A74C68">
            <w:pPr>
              <w:jc w:val="right"/>
              <w:rPr>
                <w:szCs w:val="20"/>
              </w:rPr>
            </w:pPr>
          </w:p>
        </w:tc>
        <w:tc>
          <w:tcPr>
            <w:tcW w:w="390" w:type="pct"/>
            <w:tcBorders>
              <w:top w:val="nil"/>
              <w:left w:val="nil"/>
              <w:bottom w:val="nil"/>
              <w:right w:val="nil"/>
            </w:tcBorders>
            <w:noWrap/>
            <w:vAlign w:val="center"/>
            <w:hideMark/>
          </w:tcPr>
          <w:p w14:paraId="45FC433D" w14:textId="77777777" w:rsidR="00A74C68" w:rsidRPr="00471CBA" w:rsidRDefault="00A74C68" w:rsidP="00A74C68">
            <w:pPr>
              <w:jc w:val="right"/>
              <w:rPr>
                <w:szCs w:val="20"/>
              </w:rPr>
            </w:pPr>
          </w:p>
        </w:tc>
        <w:tc>
          <w:tcPr>
            <w:tcW w:w="421" w:type="pct"/>
            <w:tcBorders>
              <w:top w:val="nil"/>
              <w:left w:val="nil"/>
              <w:bottom w:val="nil"/>
              <w:right w:val="nil"/>
            </w:tcBorders>
            <w:noWrap/>
            <w:vAlign w:val="center"/>
            <w:hideMark/>
          </w:tcPr>
          <w:p w14:paraId="79AC5811" w14:textId="77777777" w:rsidR="00A74C68" w:rsidRPr="00471CBA" w:rsidRDefault="00A74C68" w:rsidP="00A74C68">
            <w:pPr>
              <w:jc w:val="right"/>
              <w:rPr>
                <w:b/>
                <w:bCs/>
                <w:color w:val="000000"/>
                <w:sz w:val="16"/>
                <w:szCs w:val="16"/>
              </w:rPr>
            </w:pPr>
            <w:r w:rsidRPr="00471CBA">
              <w:rPr>
                <w:b/>
                <w:bCs/>
                <w:iCs/>
                <w:color w:val="000000"/>
                <w:sz w:val="16"/>
                <w:szCs w:val="16"/>
              </w:rPr>
              <w:t>Birikimli</w:t>
            </w:r>
          </w:p>
        </w:tc>
        <w:tc>
          <w:tcPr>
            <w:tcW w:w="517" w:type="pct"/>
            <w:tcBorders>
              <w:top w:val="nil"/>
              <w:left w:val="nil"/>
              <w:bottom w:val="nil"/>
              <w:right w:val="nil"/>
            </w:tcBorders>
            <w:noWrap/>
            <w:vAlign w:val="center"/>
            <w:hideMark/>
          </w:tcPr>
          <w:p w14:paraId="63BB8D5E" w14:textId="77777777" w:rsidR="00A74C68" w:rsidRPr="00471CBA" w:rsidRDefault="00A74C68" w:rsidP="00A74C68">
            <w:pPr>
              <w:jc w:val="right"/>
              <w:rPr>
                <w:b/>
                <w:bCs/>
                <w:color w:val="000000"/>
                <w:sz w:val="16"/>
                <w:szCs w:val="16"/>
              </w:rPr>
            </w:pPr>
          </w:p>
        </w:tc>
      </w:tr>
      <w:tr w:rsidR="00A74C68" w:rsidRPr="00471CBA" w14:paraId="4E5413BD" w14:textId="77777777" w:rsidTr="00A74C68">
        <w:trPr>
          <w:divId w:val="1290934723"/>
          <w:trHeight w:val="170"/>
        </w:trPr>
        <w:tc>
          <w:tcPr>
            <w:tcW w:w="1585" w:type="pct"/>
            <w:tcBorders>
              <w:top w:val="nil"/>
              <w:left w:val="nil"/>
              <w:bottom w:val="nil"/>
              <w:right w:val="nil"/>
            </w:tcBorders>
            <w:noWrap/>
            <w:vAlign w:val="bottom"/>
            <w:hideMark/>
          </w:tcPr>
          <w:p w14:paraId="6F2E9CC8" w14:textId="77777777" w:rsidR="00A74C68" w:rsidRPr="00471CBA" w:rsidRDefault="00A74C68" w:rsidP="00A74C68">
            <w:pPr>
              <w:jc w:val="right"/>
              <w:rPr>
                <w:szCs w:val="20"/>
              </w:rPr>
            </w:pPr>
          </w:p>
        </w:tc>
        <w:tc>
          <w:tcPr>
            <w:tcW w:w="446" w:type="pct"/>
            <w:tcBorders>
              <w:top w:val="nil"/>
              <w:left w:val="nil"/>
              <w:bottom w:val="nil"/>
              <w:right w:val="nil"/>
            </w:tcBorders>
            <w:noWrap/>
            <w:vAlign w:val="center"/>
            <w:hideMark/>
          </w:tcPr>
          <w:p w14:paraId="6A419BB7" w14:textId="77777777" w:rsidR="00A74C68" w:rsidRPr="00471CBA" w:rsidRDefault="00A74C68" w:rsidP="00A74C68">
            <w:pPr>
              <w:jc w:val="right"/>
              <w:rPr>
                <w:b/>
                <w:bCs/>
                <w:color w:val="000000"/>
                <w:sz w:val="16"/>
                <w:szCs w:val="16"/>
              </w:rPr>
            </w:pPr>
            <w:r w:rsidRPr="00471CBA">
              <w:rPr>
                <w:b/>
                <w:bCs/>
                <w:iCs/>
                <w:color w:val="000000"/>
                <w:sz w:val="16"/>
                <w:szCs w:val="16"/>
              </w:rPr>
              <w:t>1 aya</w:t>
            </w:r>
          </w:p>
        </w:tc>
        <w:tc>
          <w:tcPr>
            <w:tcW w:w="391" w:type="pct"/>
            <w:tcBorders>
              <w:top w:val="nil"/>
              <w:left w:val="nil"/>
              <w:bottom w:val="nil"/>
              <w:right w:val="nil"/>
            </w:tcBorders>
            <w:noWrap/>
            <w:vAlign w:val="center"/>
            <w:hideMark/>
          </w:tcPr>
          <w:p w14:paraId="71FFAD72" w14:textId="77777777" w:rsidR="00A74C68" w:rsidRPr="00471CBA" w:rsidRDefault="00A74C68" w:rsidP="00A74C68">
            <w:pPr>
              <w:jc w:val="right"/>
              <w:rPr>
                <w:b/>
                <w:bCs/>
                <w:color w:val="000000"/>
                <w:sz w:val="16"/>
                <w:szCs w:val="16"/>
              </w:rPr>
            </w:pPr>
            <w:r w:rsidRPr="00471CBA">
              <w:rPr>
                <w:b/>
                <w:bCs/>
                <w:iCs/>
                <w:color w:val="000000"/>
                <w:sz w:val="16"/>
                <w:szCs w:val="16"/>
              </w:rPr>
              <w:t>3 aya</w:t>
            </w:r>
          </w:p>
        </w:tc>
        <w:tc>
          <w:tcPr>
            <w:tcW w:w="468" w:type="pct"/>
            <w:tcBorders>
              <w:top w:val="nil"/>
              <w:left w:val="nil"/>
              <w:bottom w:val="nil"/>
              <w:right w:val="nil"/>
            </w:tcBorders>
            <w:noWrap/>
            <w:vAlign w:val="center"/>
            <w:hideMark/>
          </w:tcPr>
          <w:p w14:paraId="78ADD2D1" w14:textId="77777777" w:rsidR="00A74C68" w:rsidRPr="00471CBA" w:rsidRDefault="00A74C68" w:rsidP="00A74C68">
            <w:pPr>
              <w:jc w:val="right"/>
              <w:rPr>
                <w:b/>
                <w:bCs/>
                <w:color w:val="000000"/>
                <w:sz w:val="16"/>
                <w:szCs w:val="16"/>
              </w:rPr>
            </w:pPr>
            <w:r w:rsidRPr="00471CBA">
              <w:rPr>
                <w:b/>
                <w:bCs/>
                <w:iCs/>
                <w:color w:val="000000"/>
                <w:sz w:val="16"/>
                <w:szCs w:val="16"/>
              </w:rPr>
              <w:t>6 aya</w:t>
            </w:r>
          </w:p>
        </w:tc>
        <w:tc>
          <w:tcPr>
            <w:tcW w:w="391" w:type="pct"/>
            <w:tcBorders>
              <w:top w:val="nil"/>
              <w:left w:val="nil"/>
              <w:bottom w:val="nil"/>
              <w:right w:val="nil"/>
            </w:tcBorders>
            <w:noWrap/>
            <w:vAlign w:val="center"/>
            <w:hideMark/>
          </w:tcPr>
          <w:p w14:paraId="3F7D850D" w14:textId="77777777" w:rsidR="00A74C68" w:rsidRPr="00471CBA" w:rsidRDefault="00A74C68" w:rsidP="00A74C68">
            <w:pPr>
              <w:jc w:val="right"/>
              <w:rPr>
                <w:b/>
                <w:bCs/>
                <w:color w:val="000000"/>
                <w:sz w:val="16"/>
                <w:szCs w:val="16"/>
              </w:rPr>
            </w:pPr>
            <w:r w:rsidRPr="00471CBA">
              <w:rPr>
                <w:b/>
                <w:bCs/>
                <w:iCs/>
                <w:color w:val="000000"/>
                <w:sz w:val="16"/>
                <w:szCs w:val="16"/>
              </w:rPr>
              <w:t>9 aya</w:t>
            </w:r>
          </w:p>
        </w:tc>
        <w:tc>
          <w:tcPr>
            <w:tcW w:w="391" w:type="pct"/>
            <w:tcBorders>
              <w:top w:val="nil"/>
              <w:left w:val="nil"/>
              <w:bottom w:val="nil"/>
              <w:right w:val="nil"/>
            </w:tcBorders>
            <w:noWrap/>
            <w:vAlign w:val="center"/>
            <w:hideMark/>
          </w:tcPr>
          <w:p w14:paraId="4D661791" w14:textId="77777777" w:rsidR="00A74C68" w:rsidRPr="00471CBA" w:rsidRDefault="00A74C68" w:rsidP="00A74C68">
            <w:pPr>
              <w:jc w:val="right"/>
              <w:rPr>
                <w:b/>
                <w:bCs/>
                <w:color w:val="000000"/>
                <w:sz w:val="16"/>
                <w:szCs w:val="16"/>
              </w:rPr>
            </w:pPr>
            <w:r w:rsidRPr="00471CBA">
              <w:rPr>
                <w:b/>
                <w:bCs/>
                <w:iCs/>
                <w:color w:val="000000"/>
                <w:sz w:val="16"/>
                <w:szCs w:val="16"/>
              </w:rPr>
              <w:t>1 yıla</w:t>
            </w:r>
          </w:p>
        </w:tc>
        <w:tc>
          <w:tcPr>
            <w:tcW w:w="390" w:type="pct"/>
            <w:tcBorders>
              <w:top w:val="nil"/>
              <w:left w:val="nil"/>
              <w:bottom w:val="nil"/>
              <w:right w:val="nil"/>
            </w:tcBorders>
            <w:noWrap/>
            <w:vAlign w:val="center"/>
            <w:hideMark/>
          </w:tcPr>
          <w:p w14:paraId="60A2F954" w14:textId="77777777" w:rsidR="00A74C68" w:rsidRPr="00471CBA" w:rsidRDefault="00A74C68" w:rsidP="00A74C68">
            <w:pPr>
              <w:jc w:val="right"/>
              <w:rPr>
                <w:b/>
                <w:bCs/>
                <w:color w:val="000000"/>
                <w:sz w:val="16"/>
                <w:szCs w:val="16"/>
              </w:rPr>
            </w:pPr>
            <w:r w:rsidRPr="00471CBA">
              <w:rPr>
                <w:b/>
                <w:bCs/>
                <w:iCs/>
                <w:color w:val="000000"/>
                <w:sz w:val="16"/>
                <w:szCs w:val="16"/>
              </w:rPr>
              <w:t>1 yıldan</w:t>
            </w:r>
          </w:p>
        </w:tc>
        <w:tc>
          <w:tcPr>
            <w:tcW w:w="421" w:type="pct"/>
            <w:tcBorders>
              <w:top w:val="nil"/>
              <w:left w:val="nil"/>
              <w:bottom w:val="nil"/>
              <w:right w:val="nil"/>
            </w:tcBorders>
            <w:noWrap/>
            <w:vAlign w:val="center"/>
            <w:hideMark/>
          </w:tcPr>
          <w:p w14:paraId="6743FBAE" w14:textId="77777777" w:rsidR="00A74C68" w:rsidRPr="00471CBA" w:rsidRDefault="00A74C68" w:rsidP="00A74C68">
            <w:pPr>
              <w:jc w:val="right"/>
              <w:rPr>
                <w:b/>
                <w:bCs/>
                <w:color w:val="000000"/>
                <w:sz w:val="16"/>
                <w:szCs w:val="16"/>
              </w:rPr>
            </w:pPr>
            <w:r w:rsidRPr="00471CBA">
              <w:rPr>
                <w:b/>
                <w:bCs/>
                <w:iCs/>
                <w:color w:val="000000"/>
                <w:sz w:val="16"/>
                <w:szCs w:val="16"/>
              </w:rPr>
              <w:t>katılma</w:t>
            </w:r>
          </w:p>
        </w:tc>
        <w:tc>
          <w:tcPr>
            <w:tcW w:w="517" w:type="pct"/>
            <w:tcBorders>
              <w:top w:val="nil"/>
              <w:left w:val="nil"/>
              <w:bottom w:val="nil"/>
              <w:right w:val="nil"/>
            </w:tcBorders>
            <w:noWrap/>
            <w:vAlign w:val="center"/>
            <w:hideMark/>
          </w:tcPr>
          <w:p w14:paraId="361B3F31" w14:textId="77777777" w:rsidR="00A74C68" w:rsidRPr="00471CBA" w:rsidRDefault="00A74C68" w:rsidP="00A74C68">
            <w:pPr>
              <w:jc w:val="right"/>
              <w:rPr>
                <w:b/>
                <w:bCs/>
                <w:color w:val="000000"/>
                <w:sz w:val="16"/>
                <w:szCs w:val="16"/>
              </w:rPr>
            </w:pPr>
          </w:p>
        </w:tc>
      </w:tr>
      <w:tr w:rsidR="00A74C68" w:rsidRPr="00471CBA" w14:paraId="73AF4207" w14:textId="77777777" w:rsidTr="00A74C68">
        <w:trPr>
          <w:divId w:val="1290934723"/>
          <w:trHeight w:val="170"/>
        </w:trPr>
        <w:tc>
          <w:tcPr>
            <w:tcW w:w="1585" w:type="pct"/>
            <w:tcBorders>
              <w:top w:val="nil"/>
              <w:left w:val="nil"/>
              <w:bottom w:val="single" w:sz="4" w:space="0" w:color="auto"/>
              <w:right w:val="nil"/>
            </w:tcBorders>
            <w:noWrap/>
            <w:vAlign w:val="bottom"/>
            <w:hideMark/>
          </w:tcPr>
          <w:p w14:paraId="0A862ACE" w14:textId="77777777" w:rsidR="00A74C68" w:rsidRPr="00471CBA" w:rsidRDefault="00A74C68" w:rsidP="00A74C68">
            <w:pPr>
              <w:rPr>
                <w:b/>
                <w:bCs/>
                <w:color w:val="000000"/>
                <w:sz w:val="16"/>
                <w:szCs w:val="16"/>
              </w:rPr>
            </w:pPr>
            <w:r w:rsidRPr="00471CBA">
              <w:rPr>
                <w:b/>
                <w:bCs/>
                <w:color w:val="000000"/>
                <w:sz w:val="16"/>
                <w:szCs w:val="16"/>
              </w:rPr>
              <w:t>Hesap adı</w:t>
            </w:r>
          </w:p>
        </w:tc>
        <w:tc>
          <w:tcPr>
            <w:tcW w:w="446" w:type="pct"/>
            <w:tcBorders>
              <w:top w:val="nil"/>
              <w:left w:val="nil"/>
              <w:bottom w:val="single" w:sz="4" w:space="0" w:color="auto"/>
              <w:right w:val="nil"/>
            </w:tcBorders>
            <w:noWrap/>
            <w:vAlign w:val="center"/>
            <w:hideMark/>
          </w:tcPr>
          <w:p w14:paraId="5824DEF3" w14:textId="77777777" w:rsidR="00A74C68" w:rsidRPr="00471CBA" w:rsidRDefault="00A74C68" w:rsidP="00A74C68">
            <w:pPr>
              <w:jc w:val="right"/>
              <w:rPr>
                <w:b/>
                <w:bCs/>
                <w:color w:val="000000"/>
                <w:sz w:val="16"/>
                <w:szCs w:val="16"/>
              </w:rPr>
            </w:pPr>
            <w:r w:rsidRPr="00471CBA">
              <w:rPr>
                <w:b/>
                <w:bCs/>
                <w:iCs/>
                <w:color w:val="000000"/>
                <w:sz w:val="16"/>
                <w:szCs w:val="16"/>
              </w:rPr>
              <w:t>kadar</w:t>
            </w:r>
          </w:p>
        </w:tc>
        <w:tc>
          <w:tcPr>
            <w:tcW w:w="391" w:type="pct"/>
            <w:tcBorders>
              <w:top w:val="nil"/>
              <w:left w:val="nil"/>
              <w:bottom w:val="single" w:sz="4" w:space="0" w:color="auto"/>
              <w:right w:val="nil"/>
            </w:tcBorders>
            <w:noWrap/>
            <w:vAlign w:val="center"/>
            <w:hideMark/>
          </w:tcPr>
          <w:p w14:paraId="198A005F" w14:textId="77777777" w:rsidR="00A74C68" w:rsidRPr="00471CBA" w:rsidRDefault="00A74C68" w:rsidP="00A74C68">
            <w:pPr>
              <w:jc w:val="right"/>
              <w:rPr>
                <w:b/>
                <w:bCs/>
                <w:color w:val="000000"/>
                <w:sz w:val="16"/>
                <w:szCs w:val="16"/>
              </w:rPr>
            </w:pPr>
            <w:r w:rsidRPr="00471CBA">
              <w:rPr>
                <w:b/>
                <w:bCs/>
                <w:iCs/>
                <w:color w:val="000000"/>
                <w:sz w:val="16"/>
                <w:szCs w:val="16"/>
              </w:rPr>
              <w:t>kadar</w:t>
            </w:r>
          </w:p>
        </w:tc>
        <w:tc>
          <w:tcPr>
            <w:tcW w:w="468" w:type="pct"/>
            <w:tcBorders>
              <w:top w:val="nil"/>
              <w:left w:val="nil"/>
              <w:bottom w:val="single" w:sz="4" w:space="0" w:color="auto"/>
              <w:right w:val="nil"/>
            </w:tcBorders>
            <w:noWrap/>
            <w:vAlign w:val="center"/>
            <w:hideMark/>
          </w:tcPr>
          <w:p w14:paraId="5E3D0C29" w14:textId="77777777" w:rsidR="00A74C68" w:rsidRPr="00471CBA" w:rsidRDefault="00A74C68" w:rsidP="00A74C68">
            <w:pPr>
              <w:jc w:val="right"/>
              <w:rPr>
                <w:b/>
                <w:bCs/>
                <w:color w:val="000000"/>
                <w:sz w:val="16"/>
                <w:szCs w:val="16"/>
              </w:rPr>
            </w:pPr>
            <w:r w:rsidRPr="00471CBA">
              <w:rPr>
                <w:b/>
                <w:bCs/>
                <w:iCs/>
                <w:color w:val="000000"/>
                <w:sz w:val="16"/>
                <w:szCs w:val="16"/>
              </w:rPr>
              <w:t>kadar</w:t>
            </w:r>
          </w:p>
        </w:tc>
        <w:tc>
          <w:tcPr>
            <w:tcW w:w="391" w:type="pct"/>
            <w:tcBorders>
              <w:top w:val="nil"/>
              <w:left w:val="nil"/>
              <w:bottom w:val="single" w:sz="4" w:space="0" w:color="auto"/>
              <w:right w:val="nil"/>
            </w:tcBorders>
            <w:noWrap/>
            <w:vAlign w:val="center"/>
            <w:hideMark/>
          </w:tcPr>
          <w:p w14:paraId="67085DF4" w14:textId="77777777" w:rsidR="00A74C68" w:rsidRPr="00471CBA" w:rsidRDefault="00A74C68" w:rsidP="00A74C68">
            <w:pPr>
              <w:jc w:val="right"/>
              <w:rPr>
                <w:b/>
                <w:bCs/>
                <w:color w:val="000000"/>
                <w:sz w:val="16"/>
                <w:szCs w:val="16"/>
              </w:rPr>
            </w:pPr>
            <w:r w:rsidRPr="00471CBA">
              <w:rPr>
                <w:b/>
                <w:bCs/>
                <w:iCs/>
                <w:color w:val="000000"/>
                <w:sz w:val="16"/>
                <w:szCs w:val="16"/>
              </w:rPr>
              <w:t>kadar</w:t>
            </w:r>
          </w:p>
        </w:tc>
        <w:tc>
          <w:tcPr>
            <w:tcW w:w="391" w:type="pct"/>
            <w:tcBorders>
              <w:top w:val="nil"/>
              <w:left w:val="nil"/>
              <w:bottom w:val="single" w:sz="4" w:space="0" w:color="auto"/>
              <w:right w:val="nil"/>
            </w:tcBorders>
            <w:noWrap/>
            <w:vAlign w:val="center"/>
            <w:hideMark/>
          </w:tcPr>
          <w:p w14:paraId="47094A68" w14:textId="77777777" w:rsidR="00A74C68" w:rsidRPr="00471CBA" w:rsidRDefault="00A74C68" w:rsidP="00A74C68">
            <w:pPr>
              <w:jc w:val="right"/>
              <w:rPr>
                <w:b/>
                <w:bCs/>
                <w:color w:val="000000"/>
                <w:sz w:val="16"/>
                <w:szCs w:val="16"/>
              </w:rPr>
            </w:pPr>
            <w:r w:rsidRPr="00471CBA">
              <w:rPr>
                <w:b/>
                <w:bCs/>
                <w:iCs/>
                <w:color w:val="000000"/>
                <w:sz w:val="16"/>
                <w:szCs w:val="16"/>
              </w:rPr>
              <w:t>kadar</w:t>
            </w:r>
          </w:p>
        </w:tc>
        <w:tc>
          <w:tcPr>
            <w:tcW w:w="390" w:type="pct"/>
            <w:tcBorders>
              <w:top w:val="nil"/>
              <w:left w:val="nil"/>
              <w:bottom w:val="single" w:sz="4" w:space="0" w:color="auto"/>
              <w:right w:val="nil"/>
            </w:tcBorders>
            <w:noWrap/>
            <w:vAlign w:val="center"/>
            <w:hideMark/>
          </w:tcPr>
          <w:p w14:paraId="4A785FC8" w14:textId="77777777" w:rsidR="00A74C68" w:rsidRPr="00471CBA" w:rsidRDefault="00A74C68" w:rsidP="00A74C68">
            <w:pPr>
              <w:jc w:val="right"/>
              <w:rPr>
                <w:b/>
                <w:bCs/>
                <w:color w:val="000000"/>
                <w:sz w:val="16"/>
                <w:szCs w:val="16"/>
              </w:rPr>
            </w:pPr>
            <w:r w:rsidRPr="00471CBA">
              <w:rPr>
                <w:b/>
                <w:bCs/>
                <w:iCs/>
                <w:color w:val="000000"/>
                <w:sz w:val="16"/>
                <w:szCs w:val="16"/>
              </w:rPr>
              <w:t>uzun</w:t>
            </w:r>
          </w:p>
        </w:tc>
        <w:tc>
          <w:tcPr>
            <w:tcW w:w="421" w:type="pct"/>
            <w:tcBorders>
              <w:top w:val="nil"/>
              <w:left w:val="nil"/>
              <w:bottom w:val="single" w:sz="4" w:space="0" w:color="auto"/>
              <w:right w:val="nil"/>
            </w:tcBorders>
            <w:noWrap/>
            <w:vAlign w:val="center"/>
            <w:hideMark/>
          </w:tcPr>
          <w:p w14:paraId="06FF59FF" w14:textId="77777777" w:rsidR="00A74C68" w:rsidRPr="00471CBA" w:rsidRDefault="00A74C68" w:rsidP="00A74C68">
            <w:pPr>
              <w:jc w:val="right"/>
              <w:rPr>
                <w:b/>
                <w:bCs/>
                <w:color w:val="000000"/>
                <w:sz w:val="16"/>
                <w:szCs w:val="16"/>
              </w:rPr>
            </w:pPr>
            <w:r w:rsidRPr="00471CBA">
              <w:rPr>
                <w:b/>
                <w:bCs/>
                <w:iCs/>
                <w:color w:val="000000"/>
                <w:sz w:val="16"/>
                <w:szCs w:val="16"/>
              </w:rPr>
              <w:t>hesabı</w:t>
            </w:r>
          </w:p>
        </w:tc>
        <w:tc>
          <w:tcPr>
            <w:tcW w:w="517" w:type="pct"/>
            <w:tcBorders>
              <w:top w:val="nil"/>
              <w:left w:val="nil"/>
              <w:bottom w:val="single" w:sz="4" w:space="0" w:color="auto"/>
              <w:right w:val="nil"/>
            </w:tcBorders>
            <w:noWrap/>
            <w:vAlign w:val="center"/>
            <w:hideMark/>
          </w:tcPr>
          <w:p w14:paraId="0D2C330D" w14:textId="77777777" w:rsidR="00A74C68" w:rsidRPr="00471CBA" w:rsidRDefault="00A74C68" w:rsidP="00A74C68">
            <w:pPr>
              <w:jc w:val="right"/>
              <w:rPr>
                <w:b/>
                <w:bCs/>
                <w:color w:val="000000"/>
                <w:sz w:val="16"/>
                <w:szCs w:val="16"/>
              </w:rPr>
            </w:pPr>
            <w:r w:rsidRPr="00471CBA">
              <w:rPr>
                <w:b/>
                <w:bCs/>
                <w:iCs/>
                <w:color w:val="000000"/>
                <w:sz w:val="16"/>
                <w:szCs w:val="16"/>
              </w:rPr>
              <w:t>Toplam</w:t>
            </w:r>
          </w:p>
        </w:tc>
      </w:tr>
      <w:tr w:rsidR="00A74C68" w:rsidRPr="00471CBA" w14:paraId="6A9865C5" w14:textId="77777777" w:rsidTr="00A74C68">
        <w:trPr>
          <w:divId w:val="1290934723"/>
          <w:trHeight w:val="170"/>
        </w:trPr>
        <w:tc>
          <w:tcPr>
            <w:tcW w:w="1585" w:type="pct"/>
            <w:tcBorders>
              <w:top w:val="nil"/>
              <w:left w:val="nil"/>
              <w:bottom w:val="nil"/>
              <w:right w:val="nil"/>
            </w:tcBorders>
            <w:noWrap/>
            <w:vAlign w:val="bottom"/>
            <w:hideMark/>
          </w:tcPr>
          <w:p w14:paraId="2584EB40" w14:textId="77777777" w:rsidR="00A74C68" w:rsidRPr="00471CBA" w:rsidRDefault="00A74C68" w:rsidP="00A74C68">
            <w:pPr>
              <w:jc w:val="right"/>
              <w:rPr>
                <w:b/>
                <w:bCs/>
                <w:color w:val="000000"/>
                <w:sz w:val="16"/>
                <w:szCs w:val="16"/>
              </w:rPr>
            </w:pPr>
          </w:p>
        </w:tc>
        <w:tc>
          <w:tcPr>
            <w:tcW w:w="446" w:type="pct"/>
            <w:tcBorders>
              <w:top w:val="nil"/>
              <w:left w:val="nil"/>
              <w:bottom w:val="nil"/>
              <w:right w:val="nil"/>
            </w:tcBorders>
            <w:noWrap/>
            <w:vAlign w:val="bottom"/>
            <w:hideMark/>
          </w:tcPr>
          <w:p w14:paraId="7741AE85" w14:textId="77777777" w:rsidR="00A74C68" w:rsidRPr="00471CBA" w:rsidRDefault="00A74C68" w:rsidP="00A74C68">
            <w:pPr>
              <w:rPr>
                <w:szCs w:val="20"/>
              </w:rPr>
            </w:pPr>
          </w:p>
        </w:tc>
        <w:tc>
          <w:tcPr>
            <w:tcW w:w="391" w:type="pct"/>
            <w:tcBorders>
              <w:top w:val="nil"/>
              <w:left w:val="nil"/>
              <w:bottom w:val="nil"/>
              <w:right w:val="nil"/>
            </w:tcBorders>
            <w:noWrap/>
            <w:vAlign w:val="bottom"/>
            <w:hideMark/>
          </w:tcPr>
          <w:p w14:paraId="2DD10DF7" w14:textId="77777777" w:rsidR="00A74C68" w:rsidRPr="00471CBA" w:rsidRDefault="00A74C68" w:rsidP="00A74C68">
            <w:pPr>
              <w:rPr>
                <w:szCs w:val="20"/>
              </w:rPr>
            </w:pPr>
          </w:p>
        </w:tc>
        <w:tc>
          <w:tcPr>
            <w:tcW w:w="468" w:type="pct"/>
            <w:tcBorders>
              <w:top w:val="nil"/>
              <w:left w:val="nil"/>
              <w:bottom w:val="nil"/>
              <w:right w:val="nil"/>
            </w:tcBorders>
            <w:noWrap/>
            <w:vAlign w:val="bottom"/>
            <w:hideMark/>
          </w:tcPr>
          <w:p w14:paraId="48119B11" w14:textId="77777777" w:rsidR="00A74C68" w:rsidRPr="00471CBA" w:rsidRDefault="00A74C68" w:rsidP="00A74C68">
            <w:pPr>
              <w:rPr>
                <w:szCs w:val="20"/>
              </w:rPr>
            </w:pPr>
          </w:p>
        </w:tc>
        <w:tc>
          <w:tcPr>
            <w:tcW w:w="391" w:type="pct"/>
            <w:tcBorders>
              <w:top w:val="nil"/>
              <w:left w:val="nil"/>
              <w:bottom w:val="nil"/>
              <w:right w:val="nil"/>
            </w:tcBorders>
            <w:noWrap/>
            <w:vAlign w:val="bottom"/>
            <w:hideMark/>
          </w:tcPr>
          <w:p w14:paraId="6676A8F3" w14:textId="77777777" w:rsidR="00A74C68" w:rsidRPr="00471CBA" w:rsidRDefault="00A74C68" w:rsidP="00A74C68">
            <w:pPr>
              <w:rPr>
                <w:szCs w:val="20"/>
              </w:rPr>
            </w:pPr>
          </w:p>
        </w:tc>
        <w:tc>
          <w:tcPr>
            <w:tcW w:w="391" w:type="pct"/>
            <w:tcBorders>
              <w:top w:val="nil"/>
              <w:left w:val="nil"/>
              <w:bottom w:val="nil"/>
              <w:right w:val="nil"/>
            </w:tcBorders>
            <w:noWrap/>
            <w:vAlign w:val="bottom"/>
            <w:hideMark/>
          </w:tcPr>
          <w:p w14:paraId="713C60F2" w14:textId="77777777" w:rsidR="00A74C68" w:rsidRPr="00471CBA" w:rsidRDefault="00A74C68" w:rsidP="00A74C68">
            <w:pPr>
              <w:rPr>
                <w:szCs w:val="20"/>
              </w:rPr>
            </w:pPr>
          </w:p>
        </w:tc>
        <w:tc>
          <w:tcPr>
            <w:tcW w:w="390" w:type="pct"/>
            <w:tcBorders>
              <w:top w:val="nil"/>
              <w:left w:val="nil"/>
              <w:bottom w:val="nil"/>
              <w:right w:val="nil"/>
            </w:tcBorders>
            <w:noWrap/>
            <w:vAlign w:val="bottom"/>
            <w:hideMark/>
          </w:tcPr>
          <w:p w14:paraId="3460089E" w14:textId="77777777" w:rsidR="00A74C68" w:rsidRPr="00471CBA" w:rsidRDefault="00A74C68" w:rsidP="00A74C68">
            <w:pPr>
              <w:rPr>
                <w:szCs w:val="20"/>
              </w:rPr>
            </w:pPr>
          </w:p>
        </w:tc>
        <w:tc>
          <w:tcPr>
            <w:tcW w:w="421" w:type="pct"/>
            <w:tcBorders>
              <w:top w:val="nil"/>
              <w:left w:val="nil"/>
              <w:bottom w:val="nil"/>
              <w:right w:val="nil"/>
            </w:tcBorders>
            <w:noWrap/>
            <w:vAlign w:val="bottom"/>
            <w:hideMark/>
          </w:tcPr>
          <w:p w14:paraId="63377408" w14:textId="77777777" w:rsidR="00A74C68" w:rsidRPr="00471CBA" w:rsidRDefault="00A74C68" w:rsidP="00A74C68">
            <w:pPr>
              <w:rPr>
                <w:szCs w:val="20"/>
              </w:rPr>
            </w:pPr>
          </w:p>
        </w:tc>
        <w:tc>
          <w:tcPr>
            <w:tcW w:w="517" w:type="pct"/>
            <w:tcBorders>
              <w:top w:val="nil"/>
              <w:left w:val="nil"/>
              <w:bottom w:val="nil"/>
              <w:right w:val="nil"/>
            </w:tcBorders>
            <w:noWrap/>
            <w:vAlign w:val="bottom"/>
            <w:hideMark/>
          </w:tcPr>
          <w:p w14:paraId="616B408E" w14:textId="77777777" w:rsidR="00A74C68" w:rsidRPr="00471CBA" w:rsidRDefault="00A74C68" w:rsidP="00A74C68">
            <w:pPr>
              <w:rPr>
                <w:szCs w:val="20"/>
              </w:rPr>
            </w:pPr>
          </w:p>
        </w:tc>
      </w:tr>
      <w:tr w:rsidR="00A74C68" w:rsidRPr="00471CBA" w14:paraId="2A078ED3" w14:textId="77777777" w:rsidTr="00A74C68">
        <w:trPr>
          <w:divId w:val="1290934723"/>
          <w:trHeight w:val="170"/>
        </w:trPr>
        <w:tc>
          <w:tcPr>
            <w:tcW w:w="1585" w:type="pct"/>
            <w:tcBorders>
              <w:top w:val="nil"/>
              <w:left w:val="nil"/>
              <w:bottom w:val="nil"/>
              <w:right w:val="nil"/>
            </w:tcBorders>
            <w:noWrap/>
            <w:vAlign w:val="bottom"/>
            <w:hideMark/>
          </w:tcPr>
          <w:p w14:paraId="73851CC4" w14:textId="77777777" w:rsidR="00A74C68" w:rsidRPr="00471CBA" w:rsidRDefault="00A74C68" w:rsidP="00A74C68">
            <w:pPr>
              <w:rPr>
                <w:b/>
                <w:bCs/>
                <w:color w:val="000000"/>
                <w:sz w:val="16"/>
                <w:szCs w:val="16"/>
              </w:rPr>
            </w:pPr>
            <w:r w:rsidRPr="00471CBA">
              <w:rPr>
                <w:b/>
                <w:bCs/>
                <w:color w:val="000000"/>
                <w:sz w:val="16"/>
                <w:szCs w:val="16"/>
              </w:rPr>
              <w:t>Türk parası</w:t>
            </w:r>
          </w:p>
        </w:tc>
        <w:tc>
          <w:tcPr>
            <w:tcW w:w="446" w:type="pct"/>
            <w:tcBorders>
              <w:top w:val="nil"/>
              <w:left w:val="nil"/>
              <w:bottom w:val="nil"/>
              <w:right w:val="nil"/>
            </w:tcBorders>
            <w:noWrap/>
            <w:vAlign w:val="bottom"/>
            <w:hideMark/>
          </w:tcPr>
          <w:p w14:paraId="54AD821D" w14:textId="77777777" w:rsidR="00A74C68" w:rsidRPr="00471CBA" w:rsidRDefault="00A74C68" w:rsidP="00A74C68">
            <w:pPr>
              <w:rPr>
                <w:b/>
                <w:bCs/>
                <w:color w:val="000000"/>
                <w:sz w:val="16"/>
                <w:szCs w:val="16"/>
              </w:rPr>
            </w:pPr>
          </w:p>
        </w:tc>
        <w:tc>
          <w:tcPr>
            <w:tcW w:w="391" w:type="pct"/>
            <w:tcBorders>
              <w:top w:val="nil"/>
              <w:left w:val="nil"/>
              <w:bottom w:val="nil"/>
              <w:right w:val="nil"/>
            </w:tcBorders>
            <w:noWrap/>
            <w:vAlign w:val="bottom"/>
            <w:hideMark/>
          </w:tcPr>
          <w:p w14:paraId="1F657691" w14:textId="77777777" w:rsidR="00A74C68" w:rsidRPr="00471CBA" w:rsidRDefault="00A74C68" w:rsidP="00A74C68">
            <w:pPr>
              <w:rPr>
                <w:szCs w:val="20"/>
              </w:rPr>
            </w:pPr>
          </w:p>
        </w:tc>
        <w:tc>
          <w:tcPr>
            <w:tcW w:w="468" w:type="pct"/>
            <w:tcBorders>
              <w:top w:val="nil"/>
              <w:left w:val="nil"/>
              <w:bottom w:val="nil"/>
              <w:right w:val="nil"/>
            </w:tcBorders>
            <w:noWrap/>
            <w:vAlign w:val="bottom"/>
            <w:hideMark/>
          </w:tcPr>
          <w:p w14:paraId="12825EF6" w14:textId="77777777" w:rsidR="00A74C68" w:rsidRPr="00471CBA" w:rsidRDefault="00A74C68" w:rsidP="00A74C68">
            <w:pPr>
              <w:rPr>
                <w:szCs w:val="20"/>
              </w:rPr>
            </w:pPr>
          </w:p>
        </w:tc>
        <w:tc>
          <w:tcPr>
            <w:tcW w:w="391" w:type="pct"/>
            <w:tcBorders>
              <w:top w:val="nil"/>
              <w:left w:val="nil"/>
              <w:bottom w:val="nil"/>
              <w:right w:val="nil"/>
            </w:tcBorders>
            <w:noWrap/>
            <w:vAlign w:val="bottom"/>
            <w:hideMark/>
          </w:tcPr>
          <w:p w14:paraId="2E81C561" w14:textId="77777777" w:rsidR="00A74C68" w:rsidRPr="00471CBA" w:rsidRDefault="00A74C68" w:rsidP="00A74C68">
            <w:pPr>
              <w:rPr>
                <w:szCs w:val="20"/>
              </w:rPr>
            </w:pPr>
          </w:p>
        </w:tc>
        <w:tc>
          <w:tcPr>
            <w:tcW w:w="391" w:type="pct"/>
            <w:tcBorders>
              <w:top w:val="nil"/>
              <w:left w:val="nil"/>
              <w:bottom w:val="nil"/>
              <w:right w:val="nil"/>
            </w:tcBorders>
            <w:noWrap/>
            <w:vAlign w:val="bottom"/>
            <w:hideMark/>
          </w:tcPr>
          <w:p w14:paraId="437DF50D" w14:textId="77777777" w:rsidR="00A74C68" w:rsidRPr="00471CBA" w:rsidRDefault="00A74C68" w:rsidP="00A74C68">
            <w:pPr>
              <w:rPr>
                <w:szCs w:val="20"/>
              </w:rPr>
            </w:pPr>
          </w:p>
        </w:tc>
        <w:tc>
          <w:tcPr>
            <w:tcW w:w="390" w:type="pct"/>
            <w:tcBorders>
              <w:top w:val="nil"/>
              <w:left w:val="nil"/>
              <w:bottom w:val="nil"/>
              <w:right w:val="nil"/>
            </w:tcBorders>
            <w:noWrap/>
            <w:vAlign w:val="bottom"/>
            <w:hideMark/>
          </w:tcPr>
          <w:p w14:paraId="522ED341" w14:textId="77777777" w:rsidR="00A74C68" w:rsidRPr="00471CBA" w:rsidRDefault="00A74C68" w:rsidP="00A74C68">
            <w:pPr>
              <w:rPr>
                <w:szCs w:val="20"/>
              </w:rPr>
            </w:pPr>
          </w:p>
        </w:tc>
        <w:tc>
          <w:tcPr>
            <w:tcW w:w="421" w:type="pct"/>
            <w:tcBorders>
              <w:top w:val="nil"/>
              <w:left w:val="nil"/>
              <w:bottom w:val="nil"/>
              <w:right w:val="nil"/>
            </w:tcBorders>
            <w:noWrap/>
            <w:vAlign w:val="bottom"/>
            <w:hideMark/>
          </w:tcPr>
          <w:p w14:paraId="696B5527" w14:textId="77777777" w:rsidR="00A74C68" w:rsidRPr="00471CBA" w:rsidRDefault="00A74C68" w:rsidP="00A74C68">
            <w:pPr>
              <w:rPr>
                <w:szCs w:val="20"/>
              </w:rPr>
            </w:pPr>
          </w:p>
        </w:tc>
        <w:tc>
          <w:tcPr>
            <w:tcW w:w="517" w:type="pct"/>
            <w:tcBorders>
              <w:top w:val="nil"/>
              <w:left w:val="nil"/>
              <w:bottom w:val="nil"/>
              <w:right w:val="nil"/>
            </w:tcBorders>
            <w:noWrap/>
            <w:vAlign w:val="bottom"/>
            <w:hideMark/>
          </w:tcPr>
          <w:p w14:paraId="55AEB2A0" w14:textId="77777777" w:rsidR="00A74C68" w:rsidRPr="00471CBA" w:rsidRDefault="00A74C68" w:rsidP="00A74C68">
            <w:pPr>
              <w:rPr>
                <w:szCs w:val="20"/>
              </w:rPr>
            </w:pPr>
          </w:p>
        </w:tc>
      </w:tr>
      <w:tr w:rsidR="00A74C68" w:rsidRPr="00471CBA" w14:paraId="1C2FFE60" w14:textId="77777777" w:rsidTr="00A74C68">
        <w:trPr>
          <w:divId w:val="1290934723"/>
          <w:trHeight w:val="170"/>
        </w:trPr>
        <w:tc>
          <w:tcPr>
            <w:tcW w:w="1585" w:type="pct"/>
            <w:tcBorders>
              <w:top w:val="nil"/>
              <w:left w:val="nil"/>
              <w:bottom w:val="nil"/>
              <w:right w:val="nil"/>
            </w:tcBorders>
            <w:noWrap/>
            <w:vAlign w:val="bottom"/>
            <w:hideMark/>
          </w:tcPr>
          <w:p w14:paraId="7EFF014D" w14:textId="77777777" w:rsidR="00A74C68" w:rsidRPr="00471CBA" w:rsidRDefault="00A74C68" w:rsidP="00A74C68">
            <w:pPr>
              <w:rPr>
                <w:color w:val="000000"/>
                <w:sz w:val="16"/>
                <w:szCs w:val="16"/>
              </w:rPr>
            </w:pPr>
            <w:r w:rsidRPr="00471CBA">
              <w:rPr>
                <w:bCs/>
                <w:iCs/>
                <w:color w:val="000000"/>
                <w:sz w:val="16"/>
                <w:szCs w:val="16"/>
              </w:rPr>
              <w:t xml:space="preserve">Özel cari hesap ve katılma </w:t>
            </w:r>
            <w:r w:rsidRPr="00471CBA">
              <w:rPr>
                <w:bCs/>
                <w:iCs/>
                <w:color w:val="000000"/>
                <w:sz w:val="16"/>
                <w:szCs w:val="16"/>
              </w:rPr>
              <w:br/>
              <w:t>hesapları aracılığı ile bankalardan toplanan fonlar</w:t>
            </w:r>
          </w:p>
        </w:tc>
        <w:tc>
          <w:tcPr>
            <w:tcW w:w="446" w:type="pct"/>
            <w:tcBorders>
              <w:top w:val="nil"/>
              <w:left w:val="nil"/>
              <w:bottom w:val="nil"/>
              <w:right w:val="nil"/>
            </w:tcBorders>
            <w:noWrap/>
            <w:vAlign w:val="center"/>
            <w:hideMark/>
          </w:tcPr>
          <w:p w14:paraId="17E1E036" w14:textId="77777777" w:rsidR="00A74C68" w:rsidRPr="00471CBA" w:rsidRDefault="00A74C68" w:rsidP="00A74C68">
            <w:pPr>
              <w:jc w:val="right"/>
              <w:rPr>
                <w:color w:val="000000"/>
                <w:sz w:val="16"/>
                <w:szCs w:val="16"/>
              </w:rPr>
            </w:pPr>
            <w:r w:rsidRPr="00471CBA">
              <w:rPr>
                <w:color w:val="000000"/>
                <w:sz w:val="16"/>
                <w:szCs w:val="16"/>
              </w:rPr>
              <w:t>-</w:t>
            </w:r>
          </w:p>
        </w:tc>
        <w:tc>
          <w:tcPr>
            <w:tcW w:w="391" w:type="pct"/>
            <w:tcBorders>
              <w:top w:val="nil"/>
              <w:left w:val="nil"/>
              <w:bottom w:val="nil"/>
              <w:right w:val="nil"/>
            </w:tcBorders>
            <w:noWrap/>
            <w:vAlign w:val="center"/>
            <w:hideMark/>
          </w:tcPr>
          <w:p w14:paraId="4F632732" w14:textId="77777777" w:rsidR="00A74C68" w:rsidRPr="00471CBA" w:rsidRDefault="00A74C68" w:rsidP="00A74C68">
            <w:pPr>
              <w:jc w:val="right"/>
              <w:rPr>
                <w:color w:val="000000"/>
                <w:sz w:val="16"/>
                <w:szCs w:val="16"/>
              </w:rPr>
            </w:pPr>
            <w:r w:rsidRPr="00471CBA">
              <w:rPr>
                <w:color w:val="000000"/>
                <w:sz w:val="16"/>
                <w:szCs w:val="16"/>
              </w:rPr>
              <w:t>-</w:t>
            </w:r>
          </w:p>
        </w:tc>
        <w:tc>
          <w:tcPr>
            <w:tcW w:w="468" w:type="pct"/>
            <w:tcBorders>
              <w:top w:val="nil"/>
              <w:left w:val="nil"/>
              <w:bottom w:val="nil"/>
              <w:right w:val="nil"/>
            </w:tcBorders>
            <w:noWrap/>
            <w:vAlign w:val="center"/>
            <w:hideMark/>
          </w:tcPr>
          <w:p w14:paraId="29E3901E" w14:textId="77777777" w:rsidR="00A74C68" w:rsidRPr="00471CBA" w:rsidRDefault="00A74C68" w:rsidP="00A74C68">
            <w:pPr>
              <w:jc w:val="right"/>
              <w:rPr>
                <w:color w:val="000000"/>
                <w:sz w:val="16"/>
                <w:szCs w:val="16"/>
              </w:rPr>
            </w:pPr>
            <w:r w:rsidRPr="00471CBA">
              <w:rPr>
                <w:color w:val="000000"/>
                <w:sz w:val="16"/>
                <w:szCs w:val="16"/>
              </w:rPr>
              <w:t>-</w:t>
            </w:r>
          </w:p>
        </w:tc>
        <w:tc>
          <w:tcPr>
            <w:tcW w:w="391" w:type="pct"/>
            <w:tcBorders>
              <w:top w:val="nil"/>
              <w:left w:val="nil"/>
              <w:bottom w:val="nil"/>
              <w:right w:val="nil"/>
            </w:tcBorders>
            <w:noWrap/>
            <w:vAlign w:val="center"/>
            <w:hideMark/>
          </w:tcPr>
          <w:p w14:paraId="1A1C9868" w14:textId="77777777" w:rsidR="00A74C68" w:rsidRPr="00471CBA" w:rsidRDefault="00A74C68" w:rsidP="00A74C68">
            <w:pPr>
              <w:jc w:val="right"/>
              <w:rPr>
                <w:color w:val="000000"/>
                <w:sz w:val="16"/>
                <w:szCs w:val="16"/>
              </w:rPr>
            </w:pPr>
            <w:r w:rsidRPr="00471CBA">
              <w:rPr>
                <w:color w:val="000000"/>
                <w:sz w:val="16"/>
                <w:szCs w:val="16"/>
              </w:rPr>
              <w:t>-</w:t>
            </w:r>
          </w:p>
        </w:tc>
        <w:tc>
          <w:tcPr>
            <w:tcW w:w="391" w:type="pct"/>
            <w:tcBorders>
              <w:top w:val="nil"/>
              <w:left w:val="nil"/>
              <w:bottom w:val="nil"/>
              <w:right w:val="nil"/>
            </w:tcBorders>
            <w:noWrap/>
            <w:vAlign w:val="center"/>
            <w:hideMark/>
          </w:tcPr>
          <w:p w14:paraId="560F8886" w14:textId="77777777" w:rsidR="00A74C68" w:rsidRPr="00471CBA" w:rsidRDefault="00A74C68" w:rsidP="00A74C68">
            <w:pPr>
              <w:jc w:val="right"/>
              <w:rPr>
                <w:color w:val="000000"/>
                <w:sz w:val="16"/>
                <w:szCs w:val="16"/>
              </w:rPr>
            </w:pPr>
            <w:r w:rsidRPr="00471CBA">
              <w:rPr>
                <w:color w:val="000000"/>
                <w:sz w:val="16"/>
                <w:szCs w:val="16"/>
              </w:rPr>
              <w:t>-</w:t>
            </w:r>
          </w:p>
        </w:tc>
        <w:tc>
          <w:tcPr>
            <w:tcW w:w="390" w:type="pct"/>
            <w:tcBorders>
              <w:top w:val="nil"/>
              <w:left w:val="nil"/>
              <w:bottom w:val="nil"/>
              <w:right w:val="nil"/>
            </w:tcBorders>
            <w:noWrap/>
            <w:vAlign w:val="center"/>
            <w:hideMark/>
          </w:tcPr>
          <w:p w14:paraId="2CF5661B" w14:textId="77777777" w:rsidR="00A74C68" w:rsidRPr="00471CBA" w:rsidRDefault="00A74C68" w:rsidP="00A74C68">
            <w:pPr>
              <w:jc w:val="right"/>
              <w:rPr>
                <w:color w:val="000000"/>
                <w:sz w:val="16"/>
                <w:szCs w:val="16"/>
              </w:rPr>
            </w:pPr>
            <w:r w:rsidRPr="00471CBA">
              <w:rPr>
                <w:color w:val="000000"/>
                <w:sz w:val="16"/>
                <w:szCs w:val="16"/>
              </w:rPr>
              <w:t>-</w:t>
            </w:r>
          </w:p>
        </w:tc>
        <w:tc>
          <w:tcPr>
            <w:tcW w:w="421" w:type="pct"/>
            <w:tcBorders>
              <w:top w:val="nil"/>
              <w:left w:val="nil"/>
              <w:bottom w:val="nil"/>
              <w:right w:val="nil"/>
            </w:tcBorders>
            <w:noWrap/>
            <w:vAlign w:val="center"/>
            <w:hideMark/>
          </w:tcPr>
          <w:p w14:paraId="5D5AE316" w14:textId="77777777" w:rsidR="00A74C68" w:rsidRPr="00471CBA" w:rsidRDefault="00A74C68" w:rsidP="00A74C68">
            <w:pPr>
              <w:jc w:val="right"/>
              <w:rPr>
                <w:color w:val="000000"/>
                <w:sz w:val="16"/>
                <w:szCs w:val="16"/>
              </w:rPr>
            </w:pPr>
            <w:r w:rsidRPr="00471CBA">
              <w:rPr>
                <w:color w:val="000000"/>
                <w:sz w:val="16"/>
                <w:szCs w:val="16"/>
              </w:rPr>
              <w:t>-</w:t>
            </w:r>
          </w:p>
        </w:tc>
        <w:tc>
          <w:tcPr>
            <w:tcW w:w="517" w:type="pct"/>
            <w:tcBorders>
              <w:top w:val="nil"/>
              <w:left w:val="nil"/>
              <w:bottom w:val="nil"/>
              <w:right w:val="nil"/>
            </w:tcBorders>
            <w:noWrap/>
            <w:vAlign w:val="center"/>
            <w:hideMark/>
          </w:tcPr>
          <w:p w14:paraId="02C6B590" w14:textId="77777777" w:rsidR="00A74C68" w:rsidRPr="00471CBA" w:rsidRDefault="00A74C68" w:rsidP="00A74C68">
            <w:pPr>
              <w:jc w:val="right"/>
              <w:rPr>
                <w:color w:val="000000"/>
                <w:sz w:val="16"/>
                <w:szCs w:val="16"/>
              </w:rPr>
            </w:pPr>
            <w:r w:rsidRPr="00471CBA">
              <w:rPr>
                <w:color w:val="000000"/>
                <w:sz w:val="16"/>
                <w:szCs w:val="16"/>
              </w:rPr>
              <w:t>-</w:t>
            </w:r>
          </w:p>
        </w:tc>
      </w:tr>
      <w:tr w:rsidR="00A74C68" w:rsidRPr="00471CBA" w14:paraId="5C3490B1" w14:textId="77777777" w:rsidTr="00A74C68">
        <w:trPr>
          <w:divId w:val="1290934723"/>
          <w:trHeight w:val="170"/>
        </w:trPr>
        <w:tc>
          <w:tcPr>
            <w:tcW w:w="1585" w:type="pct"/>
            <w:tcBorders>
              <w:top w:val="nil"/>
              <w:left w:val="nil"/>
              <w:bottom w:val="nil"/>
              <w:right w:val="nil"/>
            </w:tcBorders>
            <w:noWrap/>
            <w:vAlign w:val="bottom"/>
            <w:hideMark/>
          </w:tcPr>
          <w:p w14:paraId="783E7108" w14:textId="77777777" w:rsidR="00A74C68" w:rsidRPr="00471CBA" w:rsidRDefault="00A74C68" w:rsidP="00A74C68">
            <w:pPr>
              <w:rPr>
                <w:color w:val="000000"/>
                <w:sz w:val="16"/>
                <w:szCs w:val="16"/>
              </w:rPr>
            </w:pPr>
            <w:r w:rsidRPr="00471CBA">
              <w:rPr>
                <w:bCs/>
                <w:iCs/>
                <w:color w:val="000000"/>
                <w:sz w:val="16"/>
                <w:szCs w:val="16"/>
              </w:rPr>
              <w:t xml:space="preserve">Gerçek kişilerin ticari olmayan katılma </w:t>
            </w:r>
            <w:proofErr w:type="spellStart"/>
            <w:r w:rsidRPr="00471CBA">
              <w:rPr>
                <w:bCs/>
                <w:iCs/>
                <w:color w:val="000000"/>
                <w:sz w:val="16"/>
                <w:szCs w:val="16"/>
              </w:rPr>
              <w:t>hs.</w:t>
            </w:r>
            <w:proofErr w:type="spellEnd"/>
          </w:p>
        </w:tc>
        <w:tc>
          <w:tcPr>
            <w:tcW w:w="446" w:type="pct"/>
            <w:tcBorders>
              <w:top w:val="nil"/>
              <w:left w:val="nil"/>
              <w:bottom w:val="nil"/>
              <w:right w:val="nil"/>
            </w:tcBorders>
            <w:noWrap/>
            <w:vAlign w:val="center"/>
            <w:hideMark/>
          </w:tcPr>
          <w:p w14:paraId="0E832DAE" w14:textId="77777777" w:rsidR="00A74C68" w:rsidRPr="00471CBA" w:rsidRDefault="00A74C68" w:rsidP="00A74C68">
            <w:pPr>
              <w:jc w:val="right"/>
              <w:rPr>
                <w:color w:val="000000"/>
                <w:sz w:val="16"/>
                <w:szCs w:val="16"/>
              </w:rPr>
            </w:pPr>
            <w:r w:rsidRPr="00471CBA">
              <w:rPr>
                <w:color w:val="000000"/>
                <w:sz w:val="16"/>
                <w:szCs w:val="16"/>
              </w:rPr>
              <w:t>213.351</w:t>
            </w:r>
          </w:p>
        </w:tc>
        <w:tc>
          <w:tcPr>
            <w:tcW w:w="391" w:type="pct"/>
            <w:tcBorders>
              <w:top w:val="nil"/>
              <w:left w:val="nil"/>
              <w:bottom w:val="nil"/>
              <w:right w:val="nil"/>
            </w:tcBorders>
            <w:noWrap/>
            <w:vAlign w:val="center"/>
            <w:hideMark/>
          </w:tcPr>
          <w:p w14:paraId="597C23BB" w14:textId="77777777" w:rsidR="00A74C68" w:rsidRPr="00471CBA" w:rsidRDefault="00A74C68" w:rsidP="00A74C68">
            <w:pPr>
              <w:jc w:val="right"/>
              <w:rPr>
                <w:color w:val="000000"/>
                <w:sz w:val="16"/>
                <w:szCs w:val="16"/>
              </w:rPr>
            </w:pPr>
            <w:r w:rsidRPr="00471CBA">
              <w:rPr>
                <w:color w:val="000000"/>
                <w:sz w:val="16"/>
                <w:szCs w:val="16"/>
              </w:rPr>
              <w:t>120.904</w:t>
            </w:r>
          </w:p>
        </w:tc>
        <w:tc>
          <w:tcPr>
            <w:tcW w:w="468" w:type="pct"/>
            <w:tcBorders>
              <w:top w:val="nil"/>
              <w:left w:val="nil"/>
              <w:bottom w:val="nil"/>
              <w:right w:val="nil"/>
            </w:tcBorders>
            <w:noWrap/>
            <w:vAlign w:val="center"/>
            <w:hideMark/>
          </w:tcPr>
          <w:p w14:paraId="0A73ADA1" w14:textId="77777777" w:rsidR="00A74C68" w:rsidRPr="00471CBA" w:rsidRDefault="00A74C68" w:rsidP="00A74C68">
            <w:pPr>
              <w:jc w:val="right"/>
              <w:rPr>
                <w:color w:val="000000"/>
                <w:sz w:val="16"/>
                <w:szCs w:val="16"/>
              </w:rPr>
            </w:pPr>
            <w:r w:rsidRPr="00471CBA">
              <w:rPr>
                <w:color w:val="000000"/>
                <w:sz w:val="16"/>
                <w:szCs w:val="16"/>
              </w:rPr>
              <w:t>3.012</w:t>
            </w:r>
          </w:p>
        </w:tc>
        <w:tc>
          <w:tcPr>
            <w:tcW w:w="391" w:type="pct"/>
            <w:tcBorders>
              <w:top w:val="nil"/>
              <w:left w:val="nil"/>
              <w:bottom w:val="nil"/>
              <w:right w:val="nil"/>
            </w:tcBorders>
            <w:noWrap/>
            <w:vAlign w:val="center"/>
            <w:hideMark/>
          </w:tcPr>
          <w:p w14:paraId="12D8B429" w14:textId="77777777" w:rsidR="00A74C68" w:rsidRPr="00471CBA" w:rsidRDefault="00A74C68" w:rsidP="00A74C68">
            <w:pPr>
              <w:jc w:val="right"/>
              <w:rPr>
                <w:color w:val="000000"/>
                <w:sz w:val="16"/>
                <w:szCs w:val="16"/>
              </w:rPr>
            </w:pPr>
            <w:r w:rsidRPr="00471CBA">
              <w:rPr>
                <w:color w:val="000000"/>
                <w:sz w:val="16"/>
                <w:szCs w:val="16"/>
              </w:rPr>
              <w:t>-</w:t>
            </w:r>
          </w:p>
        </w:tc>
        <w:tc>
          <w:tcPr>
            <w:tcW w:w="391" w:type="pct"/>
            <w:tcBorders>
              <w:top w:val="nil"/>
              <w:left w:val="nil"/>
              <w:bottom w:val="nil"/>
              <w:right w:val="nil"/>
            </w:tcBorders>
            <w:noWrap/>
            <w:vAlign w:val="center"/>
            <w:hideMark/>
          </w:tcPr>
          <w:p w14:paraId="1E8444FD" w14:textId="77777777" w:rsidR="00A74C68" w:rsidRPr="00471CBA" w:rsidRDefault="00A74C68" w:rsidP="00A74C68">
            <w:pPr>
              <w:jc w:val="right"/>
              <w:rPr>
                <w:color w:val="000000"/>
                <w:sz w:val="16"/>
                <w:szCs w:val="16"/>
              </w:rPr>
            </w:pPr>
            <w:r w:rsidRPr="00471CBA">
              <w:rPr>
                <w:color w:val="000000"/>
                <w:sz w:val="16"/>
                <w:szCs w:val="16"/>
              </w:rPr>
              <w:t>4.011</w:t>
            </w:r>
          </w:p>
        </w:tc>
        <w:tc>
          <w:tcPr>
            <w:tcW w:w="390" w:type="pct"/>
            <w:tcBorders>
              <w:top w:val="nil"/>
              <w:left w:val="nil"/>
              <w:bottom w:val="nil"/>
              <w:right w:val="nil"/>
            </w:tcBorders>
            <w:noWrap/>
            <w:vAlign w:val="center"/>
            <w:hideMark/>
          </w:tcPr>
          <w:p w14:paraId="53576B4F" w14:textId="77777777" w:rsidR="00A74C68" w:rsidRPr="00471CBA" w:rsidRDefault="00A74C68" w:rsidP="00A74C68">
            <w:pPr>
              <w:jc w:val="right"/>
              <w:rPr>
                <w:color w:val="000000"/>
                <w:sz w:val="16"/>
                <w:szCs w:val="16"/>
              </w:rPr>
            </w:pPr>
            <w:r w:rsidRPr="00471CBA">
              <w:rPr>
                <w:color w:val="000000"/>
                <w:sz w:val="16"/>
                <w:szCs w:val="16"/>
              </w:rPr>
              <w:t>227.583</w:t>
            </w:r>
          </w:p>
        </w:tc>
        <w:tc>
          <w:tcPr>
            <w:tcW w:w="421" w:type="pct"/>
            <w:tcBorders>
              <w:top w:val="nil"/>
              <w:left w:val="nil"/>
              <w:bottom w:val="nil"/>
              <w:right w:val="nil"/>
            </w:tcBorders>
            <w:noWrap/>
            <w:vAlign w:val="center"/>
            <w:hideMark/>
          </w:tcPr>
          <w:p w14:paraId="5BBCA7E3" w14:textId="77777777" w:rsidR="00A74C68" w:rsidRPr="00471CBA" w:rsidRDefault="00A74C68" w:rsidP="00A74C68">
            <w:pPr>
              <w:jc w:val="right"/>
              <w:rPr>
                <w:color w:val="000000"/>
                <w:sz w:val="16"/>
                <w:szCs w:val="16"/>
              </w:rPr>
            </w:pPr>
            <w:r w:rsidRPr="00471CBA">
              <w:rPr>
                <w:color w:val="000000"/>
                <w:sz w:val="16"/>
                <w:szCs w:val="16"/>
              </w:rPr>
              <w:t>5</w:t>
            </w:r>
          </w:p>
        </w:tc>
        <w:tc>
          <w:tcPr>
            <w:tcW w:w="517" w:type="pct"/>
            <w:tcBorders>
              <w:top w:val="nil"/>
              <w:left w:val="nil"/>
              <w:bottom w:val="nil"/>
              <w:right w:val="nil"/>
            </w:tcBorders>
            <w:noWrap/>
            <w:vAlign w:val="center"/>
            <w:hideMark/>
          </w:tcPr>
          <w:p w14:paraId="6F81A8C5" w14:textId="77777777" w:rsidR="00A74C68" w:rsidRPr="00471CBA" w:rsidRDefault="00A74C68" w:rsidP="00A74C68">
            <w:pPr>
              <w:jc w:val="right"/>
              <w:rPr>
                <w:color w:val="000000"/>
                <w:sz w:val="16"/>
                <w:szCs w:val="16"/>
              </w:rPr>
            </w:pPr>
            <w:r w:rsidRPr="00471CBA">
              <w:rPr>
                <w:color w:val="000000"/>
                <w:sz w:val="16"/>
                <w:szCs w:val="16"/>
              </w:rPr>
              <w:t>568.866</w:t>
            </w:r>
          </w:p>
        </w:tc>
      </w:tr>
      <w:tr w:rsidR="00A74C68" w:rsidRPr="00471CBA" w14:paraId="4C5D37DA" w14:textId="77777777" w:rsidTr="00A74C68">
        <w:trPr>
          <w:divId w:val="1290934723"/>
          <w:trHeight w:val="170"/>
        </w:trPr>
        <w:tc>
          <w:tcPr>
            <w:tcW w:w="1585" w:type="pct"/>
            <w:tcBorders>
              <w:top w:val="nil"/>
              <w:left w:val="nil"/>
              <w:bottom w:val="nil"/>
              <w:right w:val="nil"/>
            </w:tcBorders>
            <w:noWrap/>
            <w:vAlign w:val="bottom"/>
            <w:hideMark/>
          </w:tcPr>
          <w:p w14:paraId="679FAB58" w14:textId="77777777" w:rsidR="00A74C68" w:rsidRPr="00471CBA" w:rsidRDefault="00A74C68" w:rsidP="00A74C68">
            <w:pPr>
              <w:rPr>
                <w:color w:val="000000"/>
                <w:sz w:val="16"/>
                <w:szCs w:val="16"/>
              </w:rPr>
            </w:pPr>
            <w:r w:rsidRPr="00471CBA">
              <w:rPr>
                <w:bCs/>
                <w:iCs/>
                <w:color w:val="000000"/>
                <w:sz w:val="16"/>
                <w:szCs w:val="16"/>
              </w:rPr>
              <w:t xml:space="preserve">Resmi kuruluş katılma </w:t>
            </w:r>
            <w:proofErr w:type="spellStart"/>
            <w:r w:rsidRPr="00471CBA">
              <w:rPr>
                <w:bCs/>
                <w:iCs/>
                <w:color w:val="000000"/>
                <w:sz w:val="16"/>
                <w:szCs w:val="16"/>
              </w:rPr>
              <w:t>hs.</w:t>
            </w:r>
            <w:proofErr w:type="spellEnd"/>
          </w:p>
        </w:tc>
        <w:tc>
          <w:tcPr>
            <w:tcW w:w="446" w:type="pct"/>
            <w:tcBorders>
              <w:top w:val="nil"/>
              <w:left w:val="nil"/>
              <w:bottom w:val="nil"/>
              <w:right w:val="nil"/>
            </w:tcBorders>
            <w:noWrap/>
            <w:vAlign w:val="center"/>
            <w:hideMark/>
          </w:tcPr>
          <w:p w14:paraId="737D2F06" w14:textId="77777777" w:rsidR="00A74C68" w:rsidRPr="00471CBA" w:rsidRDefault="00A74C68" w:rsidP="00A74C68">
            <w:pPr>
              <w:jc w:val="right"/>
              <w:rPr>
                <w:color w:val="000000"/>
                <w:sz w:val="16"/>
                <w:szCs w:val="16"/>
              </w:rPr>
            </w:pPr>
            <w:r w:rsidRPr="00471CBA">
              <w:rPr>
                <w:color w:val="000000"/>
                <w:sz w:val="16"/>
                <w:szCs w:val="16"/>
              </w:rPr>
              <w:t>-</w:t>
            </w:r>
          </w:p>
        </w:tc>
        <w:tc>
          <w:tcPr>
            <w:tcW w:w="391" w:type="pct"/>
            <w:tcBorders>
              <w:top w:val="nil"/>
              <w:left w:val="nil"/>
              <w:bottom w:val="nil"/>
              <w:right w:val="nil"/>
            </w:tcBorders>
            <w:noWrap/>
            <w:vAlign w:val="center"/>
            <w:hideMark/>
          </w:tcPr>
          <w:p w14:paraId="2481F424" w14:textId="77777777" w:rsidR="00A74C68" w:rsidRPr="00471CBA" w:rsidRDefault="00A74C68" w:rsidP="00A74C68">
            <w:pPr>
              <w:jc w:val="right"/>
              <w:rPr>
                <w:color w:val="000000"/>
                <w:sz w:val="16"/>
                <w:szCs w:val="16"/>
              </w:rPr>
            </w:pPr>
            <w:r w:rsidRPr="00471CBA">
              <w:rPr>
                <w:color w:val="000000"/>
                <w:sz w:val="16"/>
                <w:szCs w:val="16"/>
              </w:rPr>
              <w:t>-</w:t>
            </w:r>
          </w:p>
        </w:tc>
        <w:tc>
          <w:tcPr>
            <w:tcW w:w="468" w:type="pct"/>
            <w:tcBorders>
              <w:top w:val="nil"/>
              <w:left w:val="nil"/>
              <w:bottom w:val="nil"/>
              <w:right w:val="nil"/>
            </w:tcBorders>
            <w:noWrap/>
            <w:vAlign w:val="center"/>
            <w:hideMark/>
          </w:tcPr>
          <w:p w14:paraId="287FBF67" w14:textId="77777777" w:rsidR="00A74C68" w:rsidRPr="00471CBA" w:rsidRDefault="00A74C68" w:rsidP="00A74C68">
            <w:pPr>
              <w:jc w:val="right"/>
              <w:rPr>
                <w:color w:val="000000"/>
                <w:sz w:val="16"/>
                <w:szCs w:val="16"/>
              </w:rPr>
            </w:pPr>
            <w:r w:rsidRPr="00471CBA">
              <w:rPr>
                <w:color w:val="000000"/>
                <w:sz w:val="16"/>
                <w:szCs w:val="16"/>
              </w:rPr>
              <w:t>-</w:t>
            </w:r>
          </w:p>
        </w:tc>
        <w:tc>
          <w:tcPr>
            <w:tcW w:w="391" w:type="pct"/>
            <w:tcBorders>
              <w:top w:val="nil"/>
              <w:left w:val="nil"/>
              <w:bottom w:val="nil"/>
              <w:right w:val="nil"/>
            </w:tcBorders>
            <w:noWrap/>
            <w:vAlign w:val="center"/>
            <w:hideMark/>
          </w:tcPr>
          <w:p w14:paraId="47DEA058" w14:textId="77777777" w:rsidR="00A74C68" w:rsidRPr="00471CBA" w:rsidRDefault="00A74C68" w:rsidP="00A74C68">
            <w:pPr>
              <w:jc w:val="right"/>
              <w:rPr>
                <w:color w:val="000000"/>
                <w:sz w:val="16"/>
                <w:szCs w:val="16"/>
              </w:rPr>
            </w:pPr>
            <w:r w:rsidRPr="00471CBA">
              <w:rPr>
                <w:color w:val="000000"/>
                <w:sz w:val="16"/>
                <w:szCs w:val="16"/>
              </w:rPr>
              <w:t>-</w:t>
            </w:r>
          </w:p>
        </w:tc>
        <w:tc>
          <w:tcPr>
            <w:tcW w:w="391" w:type="pct"/>
            <w:tcBorders>
              <w:top w:val="nil"/>
              <w:left w:val="nil"/>
              <w:bottom w:val="nil"/>
              <w:right w:val="nil"/>
            </w:tcBorders>
            <w:noWrap/>
            <w:vAlign w:val="center"/>
            <w:hideMark/>
          </w:tcPr>
          <w:p w14:paraId="42BA2636" w14:textId="77777777" w:rsidR="00A74C68" w:rsidRPr="00471CBA" w:rsidRDefault="00A74C68" w:rsidP="00A74C68">
            <w:pPr>
              <w:jc w:val="right"/>
              <w:rPr>
                <w:color w:val="000000"/>
                <w:sz w:val="16"/>
                <w:szCs w:val="16"/>
              </w:rPr>
            </w:pPr>
            <w:r w:rsidRPr="00471CBA">
              <w:rPr>
                <w:color w:val="000000"/>
                <w:sz w:val="16"/>
                <w:szCs w:val="16"/>
              </w:rPr>
              <w:t>-</w:t>
            </w:r>
          </w:p>
        </w:tc>
        <w:tc>
          <w:tcPr>
            <w:tcW w:w="390" w:type="pct"/>
            <w:tcBorders>
              <w:top w:val="nil"/>
              <w:left w:val="nil"/>
              <w:bottom w:val="nil"/>
              <w:right w:val="nil"/>
            </w:tcBorders>
            <w:noWrap/>
            <w:vAlign w:val="center"/>
            <w:hideMark/>
          </w:tcPr>
          <w:p w14:paraId="7A58C213" w14:textId="77777777" w:rsidR="00A74C68" w:rsidRPr="00471CBA" w:rsidRDefault="00A74C68" w:rsidP="00A74C68">
            <w:pPr>
              <w:jc w:val="right"/>
              <w:rPr>
                <w:color w:val="000000"/>
                <w:sz w:val="16"/>
                <w:szCs w:val="16"/>
              </w:rPr>
            </w:pPr>
            <w:r w:rsidRPr="00471CBA">
              <w:rPr>
                <w:color w:val="000000"/>
                <w:sz w:val="16"/>
                <w:szCs w:val="16"/>
              </w:rPr>
              <w:t>-</w:t>
            </w:r>
          </w:p>
        </w:tc>
        <w:tc>
          <w:tcPr>
            <w:tcW w:w="421" w:type="pct"/>
            <w:tcBorders>
              <w:top w:val="nil"/>
              <w:left w:val="nil"/>
              <w:bottom w:val="nil"/>
              <w:right w:val="nil"/>
            </w:tcBorders>
            <w:noWrap/>
            <w:vAlign w:val="center"/>
            <w:hideMark/>
          </w:tcPr>
          <w:p w14:paraId="3A1A58A6" w14:textId="77777777" w:rsidR="00A74C68" w:rsidRPr="00471CBA" w:rsidRDefault="00A74C68" w:rsidP="00A74C68">
            <w:pPr>
              <w:jc w:val="right"/>
              <w:rPr>
                <w:color w:val="000000"/>
                <w:sz w:val="16"/>
                <w:szCs w:val="16"/>
              </w:rPr>
            </w:pPr>
            <w:r w:rsidRPr="00471CBA">
              <w:rPr>
                <w:color w:val="000000"/>
                <w:sz w:val="16"/>
                <w:szCs w:val="16"/>
              </w:rPr>
              <w:t>-</w:t>
            </w:r>
          </w:p>
        </w:tc>
        <w:tc>
          <w:tcPr>
            <w:tcW w:w="517" w:type="pct"/>
            <w:tcBorders>
              <w:top w:val="nil"/>
              <w:left w:val="nil"/>
              <w:bottom w:val="nil"/>
              <w:right w:val="nil"/>
            </w:tcBorders>
            <w:noWrap/>
            <w:vAlign w:val="center"/>
            <w:hideMark/>
          </w:tcPr>
          <w:p w14:paraId="1FC7BAFD" w14:textId="77777777" w:rsidR="00A74C68" w:rsidRPr="00471CBA" w:rsidRDefault="00A74C68" w:rsidP="00A74C68">
            <w:pPr>
              <w:jc w:val="right"/>
              <w:rPr>
                <w:color w:val="000000"/>
                <w:sz w:val="16"/>
                <w:szCs w:val="16"/>
              </w:rPr>
            </w:pPr>
            <w:r w:rsidRPr="00471CBA">
              <w:rPr>
                <w:color w:val="000000"/>
                <w:sz w:val="16"/>
                <w:szCs w:val="16"/>
              </w:rPr>
              <w:t>-</w:t>
            </w:r>
          </w:p>
        </w:tc>
      </w:tr>
      <w:tr w:rsidR="00A74C68" w:rsidRPr="00471CBA" w14:paraId="5848FD23" w14:textId="77777777" w:rsidTr="00A74C68">
        <w:trPr>
          <w:divId w:val="1290934723"/>
          <w:trHeight w:val="170"/>
        </w:trPr>
        <w:tc>
          <w:tcPr>
            <w:tcW w:w="1585" w:type="pct"/>
            <w:tcBorders>
              <w:top w:val="nil"/>
              <w:left w:val="nil"/>
              <w:bottom w:val="nil"/>
              <w:right w:val="nil"/>
            </w:tcBorders>
            <w:noWrap/>
            <w:vAlign w:val="bottom"/>
            <w:hideMark/>
          </w:tcPr>
          <w:p w14:paraId="2F348C06" w14:textId="77777777" w:rsidR="00A74C68" w:rsidRPr="00471CBA" w:rsidRDefault="00A74C68" w:rsidP="00A74C68">
            <w:pPr>
              <w:rPr>
                <w:color w:val="000000"/>
                <w:sz w:val="16"/>
                <w:szCs w:val="16"/>
              </w:rPr>
            </w:pPr>
            <w:r w:rsidRPr="00471CBA">
              <w:rPr>
                <w:bCs/>
                <w:iCs/>
                <w:color w:val="000000"/>
                <w:sz w:val="16"/>
                <w:szCs w:val="16"/>
              </w:rPr>
              <w:t xml:space="preserve">Ticari kuruluş katılma </w:t>
            </w:r>
            <w:proofErr w:type="spellStart"/>
            <w:r w:rsidRPr="00471CBA">
              <w:rPr>
                <w:bCs/>
                <w:iCs/>
                <w:color w:val="000000"/>
                <w:sz w:val="16"/>
                <w:szCs w:val="16"/>
              </w:rPr>
              <w:t>hs.</w:t>
            </w:r>
            <w:proofErr w:type="spellEnd"/>
          </w:p>
        </w:tc>
        <w:tc>
          <w:tcPr>
            <w:tcW w:w="446" w:type="pct"/>
            <w:tcBorders>
              <w:top w:val="nil"/>
              <w:left w:val="nil"/>
              <w:bottom w:val="nil"/>
              <w:right w:val="nil"/>
            </w:tcBorders>
            <w:noWrap/>
            <w:vAlign w:val="center"/>
            <w:hideMark/>
          </w:tcPr>
          <w:p w14:paraId="0DEC9641" w14:textId="77777777" w:rsidR="00A74C68" w:rsidRPr="00471CBA" w:rsidRDefault="00A74C68" w:rsidP="00A74C68">
            <w:pPr>
              <w:jc w:val="right"/>
              <w:rPr>
                <w:color w:val="000000"/>
                <w:sz w:val="16"/>
                <w:szCs w:val="16"/>
              </w:rPr>
            </w:pPr>
            <w:r w:rsidRPr="00471CBA">
              <w:rPr>
                <w:color w:val="000000"/>
                <w:sz w:val="16"/>
                <w:szCs w:val="16"/>
              </w:rPr>
              <w:t>1.372.383</w:t>
            </w:r>
          </w:p>
        </w:tc>
        <w:tc>
          <w:tcPr>
            <w:tcW w:w="391" w:type="pct"/>
            <w:tcBorders>
              <w:top w:val="nil"/>
              <w:left w:val="nil"/>
              <w:bottom w:val="nil"/>
              <w:right w:val="nil"/>
            </w:tcBorders>
            <w:noWrap/>
            <w:vAlign w:val="center"/>
            <w:hideMark/>
          </w:tcPr>
          <w:p w14:paraId="484CE772" w14:textId="77777777" w:rsidR="00A74C68" w:rsidRPr="00471CBA" w:rsidRDefault="00A74C68" w:rsidP="00A74C68">
            <w:pPr>
              <w:jc w:val="right"/>
              <w:rPr>
                <w:color w:val="000000"/>
                <w:sz w:val="16"/>
                <w:szCs w:val="16"/>
              </w:rPr>
            </w:pPr>
            <w:r w:rsidRPr="00471CBA">
              <w:rPr>
                <w:color w:val="000000"/>
                <w:sz w:val="16"/>
                <w:szCs w:val="16"/>
              </w:rPr>
              <w:t>1.774.534</w:t>
            </w:r>
          </w:p>
        </w:tc>
        <w:tc>
          <w:tcPr>
            <w:tcW w:w="468" w:type="pct"/>
            <w:tcBorders>
              <w:top w:val="nil"/>
              <w:left w:val="nil"/>
              <w:bottom w:val="nil"/>
              <w:right w:val="nil"/>
            </w:tcBorders>
            <w:noWrap/>
            <w:vAlign w:val="center"/>
            <w:hideMark/>
          </w:tcPr>
          <w:p w14:paraId="4957E438" w14:textId="77777777" w:rsidR="00A74C68" w:rsidRPr="00471CBA" w:rsidRDefault="00A74C68" w:rsidP="00A74C68">
            <w:pPr>
              <w:jc w:val="right"/>
              <w:rPr>
                <w:color w:val="000000"/>
                <w:sz w:val="16"/>
                <w:szCs w:val="16"/>
              </w:rPr>
            </w:pPr>
            <w:r w:rsidRPr="00471CBA">
              <w:rPr>
                <w:color w:val="000000"/>
                <w:sz w:val="16"/>
                <w:szCs w:val="16"/>
              </w:rPr>
              <w:t>1.876.714</w:t>
            </w:r>
          </w:p>
        </w:tc>
        <w:tc>
          <w:tcPr>
            <w:tcW w:w="391" w:type="pct"/>
            <w:tcBorders>
              <w:top w:val="nil"/>
              <w:left w:val="nil"/>
              <w:bottom w:val="nil"/>
              <w:right w:val="nil"/>
            </w:tcBorders>
            <w:noWrap/>
            <w:vAlign w:val="center"/>
            <w:hideMark/>
          </w:tcPr>
          <w:p w14:paraId="4BDB1016" w14:textId="77777777" w:rsidR="00A74C68" w:rsidRPr="00471CBA" w:rsidRDefault="00A74C68" w:rsidP="00A74C68">
            <w:pPr>
              <w:jc w:val="right"/>
              <w:rPr>
                <w:color w:val="000000"/>
                <w:sz w:val="16"/>
                <w:szCs w:val="16"/>
              </w:rPr>
            </w:pPr>
            <w:r w:rsidRPr="00471CBA">
              <w:rPr>
                <w:color w:val="000000"/>
                <w:sz w:val="16"/>
                <w:szCs w:val="16"/>
              </w:rPr>
              <w:t>-</w:t>
            </w:r>
          </w:p>
        </w:tc>
        <w:tc>
          <w:tcPr>
            <w:tcW w:w="391" w:type="pct"/>
            <w:tcBorders>
              <w:top w:val="nil"/>
              <w:left w:val="nil"/>
              <w:bottom w:val="nil"/>
              <w:right w:val="nil"/>
            </w:tcBorders>
            <w:noWrap/>
            <w:vAlign w:val="center"/>
            <w:hideMark/>
          </w:tcPr>
          <w:p w14:paraId="2E04EA5E" w14:textId="77777777" w:rsidR="00A74C68" w:rsidRPr="00471CBA" w:rsidRDefault="00A74C68" w:rsidP="00A74C68">
            <w:pPr>
              <w:jc w:val="right"/>
              <w:rPr>
                <w:color w:val="000000"/>
                <w:sz w:val="16"/>
                <w:szCs w:val="16"/>
              </w:rPr>
            </w:pPr>
            <w:r w:rsidRPr="00471CBA">
              <w:rPr>
                <w:color w:val="000000"/>
                <w:sz w:val="16"/>
                <w:szCs w:val="16"/>
              </w:rPr>
              <w:t>32.847</w:t>
            </w:r>
          </w:p>
        </w:tc>
        <w:tc>
          <w:tcPr>
            <w:tcW w:w="390" w:type="pct"/>
            <w:tcBorders>
              <w:top w:val="nil"/>
              <w:left w:val="nil"/>
              <w:bottom w:val="nil"/>
              <w:right w:val="nil"/>
            </w:tcBorders>
            <w:noWrap/>
            <w:vAlign w:val="center"/>
            <w:hideMark/>
          </w:tcPr>
          <w:p w14:paraId="0D9FF1D7" w14:textId="77777777" w:rsidR="00A74C68" w:rsidRPr="00471CBA" w:rsidRDefault="00A74C68" w:rsidP="00A74C68">
            <w:pPr>
              <w:jc w:val="right"/>
              <w:rPr>
                <w:color w:val="000000"/>
                <w:sz w:val="16"/>
                <w:szCs w:val="16"/>
              </w:rPr>
            </w:pPr>
            <w:r w:rsidRPr="00471CBA">
              <w:rPr>
                <w:color w:val="000000"/>
                <w:sz w:val="16"/>
                <w:szCs w:val="16"/>
              </w:rPr>
              <w:t>-</w:t>
            </w:r>
          </w:p>
        </w:tc>
        <w:tc>
          <w:tcPr>
            <w:tcW w:w="421" w:type="pct"/>
            <w:tcBorders>
              <w:top w:val="nil"/>
              <w:left w:val="nil"/>
              <w:bottom w:val="nil"/>
              <w:right w:val="nil"/>
            </w:tcBorders>
            <w:noWrap/>
            <w:vAlign w:val="center"/>
            <w:hideMark/>
          </w:tcPr>
          <w:p w14:paraId="4C0D88D7" w14:textId="77777777" w:rsidR="00A74C68" w:rsidRPr="00471CBA" w:rsidRDefault="00A74C68" w:rsidP="00A74C68">
            <w:pPr>
              <w:jc w:val="right"/>
              <w:rPr>
                <w:color w:val="000000"/>
                <w:sz w:val="16"/>
                <w:szCs w:val="16"/>
              </w:rPr>
            </w:pPr>
            <w:r w:rsidRPr="00471CBA">
              <w:rPr>
                <w:color w:val="000000"/>
                <w:sz w:val="16"/>
                <w:szCs w:val="16"/>
              </w:rPr>
              <w:t>-</w:t>
            </w:r>
          </w:p>
        </w:tc>
        <w:tc>
          <w:tcPr>
            <w:tcW w:w="517" w:type="pct"/>
            <w:tcBorders>
              <w:top w:val="nil"/>
              <w:left w:val="nil"/>
              <w:bottom w:val="nil"/>
              <w:right w:val="nil"/>
            </w:tcBorders>
            <w:noWrap/>
            <w:vAlign w:val="center"/>
            <w:hideMark/>
          </w:tcPr>
          <w:p w14:paraId="3E4781BD" w14:textId="77777777" w:rsidR="00A74C68" w:rsidRPr="00471CBA" w:rsidRDefault="00A74C68" w:rsidP="00A74C68">
            <w:pPr>
              <w:jc w:val="right"/>
              <w:rPr>
                <w:color w:val="000000"/>
                <w:sz w:val="16"/>
                <w:szCs w:val="16"/>
              </w:rPr>
            </w:pPr>
            <w:r w:rsidRPr="00471CBA">
              <w:rPr>
                <w:color w:val="000000"/>
                <w:sz w:val="16"/>
                <w:szCs w:val="16"/>
              </w:rPr>
              <w:t>5.056.478</w:t>
            </w:r>
          </w:p>
        </w:tc>
      </w:tr>
      <w:tr w:rsidR="00A74C68" w:rsidRPr="00471CBA" w14:paraId="3CF67565" w14:textId="77777777" w:rsidTr="00A74C68">
        <w:trPr>
          <w:divId w:val="1290934723"/>
          <w:trHeight w:val="170"/>
        </w:trPr>
        <w:tc>
          <w:tcPr>
            <w:tcW w:w="1585" w:type="pct"/>
            <w:tcBorders>
              <w:top w:val="nil"/>
              <w:left w:val="nil"/>
              <w:bottom w:val="single" w:sz="4" w:space="0" w:color="auto"/>
              <w:right w:val="nil"/>
            </w:tcBorders>
            <w:noWrap/>
            <w:vAlign w:val="bottom"/>
            <w:hideMark/>
          </w:tcPr>
          <w:p w14:paraId="0323FA84" w14:textId="77777777" w:rsidR="00A74C68" w:rsidRPr="00471CBA" w:rsidRDefault="00A74C68" w:rsidP="00A74C68">
            <w:pPr>
              <w:rPr>
                <w:color w:val="000000"/>
                <w:sz w:val="16"/>
                <w:szCs w:val="16"/>
              </w:rPr>
            </w:pPr>
            <w:r w:rsidRPr="00471CBA">
              <w:rPr>
                <w:bCs/>
                <w:iCs/>
                <w:color w:val="000000"/>
                <w:sz w:val="16"/>
                <w:szCs w:val="16"/>
              </w:rPr>
              <w:t xml:space="preserve">Diğer kuruluş katılma </w:t>
            </w:r>
            <w:proofErr w:type="spellStart"/>
            <w:r w:rsidRPr="00471CBA">
              <w:rPr>
                <w:bCs/>
                <w:iCs/>
                <w:color w:val="000000"/>
                <w:sz w:val="16"/>
                <w:szCs w:val="16"/>
              </w:rPr>
              <w:t>hs.</w:t>
            </w:r>
            <w:proofErr w:type="spellEnd"/>
          </w:p>
        </w:tc>
        <w:tc>
          <w:tcPr>
            <w:tcW w:w="446" w:type="pct"/>
            <w:tcBorders>
              <w:top w:val="nil"/>
              <w:left w:val="nil"/>
              <w:bottom w:val="single" w:sz="4" w:space="0" w:color="auto"/>
              <w:right w:val="nil"/>
            </w:tcBorders>
            <w:noWrap/>
            <w:vAlign w:val="center"/>
            <w:hideMark/>
          </w:tcPr>
          <w:p w14:paraId="164E426B" w14:textId="77777777" w:rsidR="00A74C68" w:rsidRPr="00471CBA" w:rsidRDefault="00A74C68" w:rsidP="00A74C68">
            <w:pPr>
              <w:jc w:val="right"/>
              <w:rPr>
                <w:color w:val="000000"/>
                <w:sz w:val="16"/>
                <w:szCs w:val="16"/>
              </w:rPr>
            </w:pPr>
            <w:r w:rsidRPr="00471CBA">
              <w:rPr>
                <w:color w:val="000000"/>
                <w:sz w:val="16"/>
                <w:szCs w:val="16"/>
              </w:rPr>
              <w:t>18.977</w:t>
            </w:r>
          </w:p>
        </w:tc>
        <w:tc>
          <w:tcPr>
            <w:tcW w:w="391" w:type="pct"/>
            <w:tcBorders>
              <w:top w:val="nil"/>
              <w:left w:val="nil"/>
              <w:bottom w:val="single" w:sz="4" w:space="0" w:color="auto"/>
              <w:right w:val="nil"/>
            </w:tcBorders>
            <w:noWrap/>
            <w:vAlign w:val="center"/>
            <w:hideMark/>
          </w:tcPr>
          <w:p w14:paraId="5356B9A5" w14:textId="77777777" w:rsidR="00A74C68" w:rsidRPr="00471CBA" w:rsidRDefault="00A74C68" w:rsidP="00A74C68">
            <w:pPr>
              <w:jc w:val="right"/>
              <w:rPr>
                <w:color w:val="000000"/>
                <w:sz w:val="16"/>
                <w:szCs w:val="16"/>
              </w:rPr>
            </w:pPr>
            <w:r w:rsidRPr="00471CBA">
              <w:rPr>
                <w:color w:val="000000"/>
                <w:sz w:val="16"/>
                <w:szCs w:val="16"/>
              </w:rPr>
              <w:t>180.094</w:t>
            </w:r>
          </w:p>
        </w:tc>
        <w:tc>
          <w:tcPr>
            <w:tcW w:w="468" w:type="pct"/>
            <w:tcBorders>
              <w:top w:val="nil"/>
              <w:left w:val="nil"/>
              <w:bottom w:val="single" w:sz="4" w:space="0" w:color="auto"/>
              <w:right w:val="nil"/>
            </w:tcBorders>
            <w:noWrap/>
            <w:vAlign w:val="center"/>
            <w:hideMark/>
          </w:tcPr>
          <w:p w14:paraId="411CD751" w14:textId="77777777" w:rsidR="00A74C68" w:rsidRPr="00471CBA" w:rsidRDefault="00A74C68" w:rsidP="00A74C68">
            <w:pPr>
              <w:jc w:val="right"/>
              <w:rPr>
                <w:color w:val="000000"/>
                <w:sz w:val="16"/>
                <w:szCs w:val="16"/>
              </w:rPr>
            </w:pPr>
            <w:r w:rsidRPr="00471CBA">
              <w:rPr>
                <w:color w:val="000000"/>
                <w:sz w:val="16"/>
                <w:szCs w:val="16"/>
              </w:rPr>
              <w:t>50.311</w:t>
            </w:r>
          </w:p>
        </w:tc>
        <w:tc>
          <w:tcPr>
            <w:tcW w:w="391" w:type="pct"/>
            <w:tcBorders>
              <w:top w:val="nil"/>
              <w:left w:val="nil"/>
              <w:bottom w:val="single" w:sz="4" w:space="0" w:color="auto"/>
              <w:right w:val="nil"/>
            </w:tcBorders>
            <w:noWrap/>
            <w:vAlign w:val="center"/>
            <w:hideMark/>
          </w:tcPr>
          <w:p w14:paraId="0A7D193E" w14:textId="77777777" w:rsidR="00A74C68" w:rsidRPr="00471CBA" w:rsidRDefault="00A74C68" w:rsidP="00A74C68">
            <w:pPr>
              <w:jc w:val="right"/>
              <w:rPr>
                <w:color w:val="000000"/>
                <w:sz w:val="16"/>
                <w:szCs w:val="16"/>
              </w:rPr>
            </w:pPr>
            <w:r w:rsidRPr="00471CBA">
              <w:rPr>
                <w:color w:val="000000"/>
                <w:sz w:val="16"/>
                <w:szCs w:val="16"/>
              </w:rPr>
              <w:t>-</w:t>
            </w:r>
          </w:p>
        </w:tc>
        <w:tc>
          <w:tcPr>
            <w:tcW w:w="391" w:type="pct"/>
            <w:tcBorders>
              <w:top w:val="nil"/>
              <w:left w:val="nil"/>
              <w:bottom w:val="single" w:sz="4" w:space="0" w:color="auto"/>
              <w:right w:val="nil"/>
            </w:tcBorders>
            <w:noWrap/>
            <w:vAlign w:val="center"/>
            <w:hideMark/>
          </w:tcPr>
          <w:p w14:paraId="7C3E18B1" w14:textId="77777777" w:rsidR="00A74C68" w:rsidRPr="00471CBA" w:rsidRDefault="00A74C68" w:rsidP="00A74C68">
            <w:pPr>
              <w:jc w:val="right"/>
              <w:rPr>
                <w:color w:val="000000"/>
                <w:sz w:val="16"/>
                <w:szCs w:val="16"/>
              </w:rPr>
            </w:pPr>
            <w:r w:rsidRPr="00471CBA">
              <w:rPr>
                <w:color w:val="000000"/>
                <w:sz w:val="16"/>
                <w:szCs w:val="16"/>
              </w:rPr>
              <w:t>-</w:t>
            </w:r>
          </w:p>
        </w:tc>
        <w:tc>
          <w:tcPr>
            <w:tcW w:w="390" w:type="pct"/>
            <w:tcBorders>
              <w:top w:val="nil"/>
              <w:left w:val="nil"/>
              <w:bottom w:val="single" w:sz="4" w:space="0" w:color="auto"/>
              <w:right w:val="nil"/>
            </w:tcBorders>
            <w:noWrap/>
            <w:vAlign w:val="center"/>
            <w:hideMark/>
          </w:tcPr>
          <w:p w14:paraId="75462ED7" w14:textId="77777777" w:rsidR="00A74C68" w:rsidRPr="00471CBA" w:rsidRDefault="00A74C68" w:rsidP="00A74C68">
            <w:pPr>
              <w:jc w:val="right"/>
              <w:rPr>
                <w:color w:val="000000"/>
                <w:sz w:val="16"/>
                <w:szCs w:val="16"/>
              </w:rPr>
            </w:pPr>
            <w:r w:rsidRPr="00471CBA">
              <w:rPr>
                <w:color w:val="000000"/>
                <w:sz w:val="16"/>
                <w:szCs w:val="16"/>
              </w:rPr>
              <w:t>-</w:t>
            </w:r>
          </w:p>
        </w:tc>
        <w:tc>
          <w:tcPr>
            <w:tcW w:w="421" w:type="pct"/>
            <w:tcBorders>
              <w:top w:val="nil"/>
              <w:left w:val="nil"/>
              <w:bottom w:val="single" w:sz="4" w:space="0" w:color="auto"/>
              <w:right w:val="nil"/>
            </w:tcBorders>
            <w:noWrap/>
            <w:vAlign w:val="center"/>
            <w:hideMark/>
          </w:tcPr>
          <w:p w14:paraId="207FE7B7" w14:textId="77777777" w:rsidR="00A74C68" w:rsidRPr="00471CBA" w:rsidRDefault="00A74C68" w:rsidP="00A74C68">
            <w:pPr>
              <w:jc w:val="right"/>
              <w:rPr>
                <w:color w:val="000000"/>
                <w:sz w:val="16"/>
                <w:szCs w:val="16"/>
              </w:rPr>
            </w:pPr>
            <w:r w:rsidRPr="00471CBA">
              <w:rPr>
                <w:color w:val="000000"/>
                <w:sz w:val="16"/>
                <w:szCs w:val="16"/>
              </w:rPr>
              <w:t>-</w:t>
            </w:r>
          </w:p>
        </w:tc>
        <w:tc>
          <w:tcPr>
            <w:tcW w:w="517" w:type="pct"/>
            <w:tcBorders>
              <w:top w:val="nil"/>
              <w:left w:val="nil"/>
              <w:bottom w:val="single" w:sz="4" w:space="0" w:color="auto"/>
              <w:right w:val="nil"/>
            </w:tcBorders>
            <w:noWrap/>
            <w:vAlign w:val="center"/>
            <w:hideMark/>
          </w:tcPr>
          <w:p w14:paraId="65E929D3" w14:textId="77777777" w:rsidR="00A74C68" w:rsidRPr="00471CBA" w:rsidRDefault="00A74C68" w:rsidP="00A74C68">
            <w:pPr>
              <w:jc w:val="right"/>
              <w:rPr>
                <w:color w:val="000000"/>
                <w:sz w:val="16"/>
                <w:szCs w:val="16"/>
              </w:rPr>
            </w:pPr>
            <w:r w:rsidRPr="00471CBA">
              <w:rPr>
                <w:color w:val="000000"/>
                <w:sz w:val="16"/>
                <w:szCs w:val="16"/>
              </w:rPr>
              <w:t>249.382</w:t>
            </w:r>
          </w:p>
        </w:tc>
      </w:tr>
      <w:tr w:rsidR="00A74C68" w:rsidRPr="00471CBA" w14:paraId="263A267A" w14:textId="77777777" w:rsidTr="00A74C68">
        <w:trPr>
          <w:divId w:val="1290934723"/>
          <w:trHeight w:val="170"/>
        </w:trPr>
        <w:tc>
          <w:tcPr>
            <w:tcW w:w="1585" w:type="pct"/>
            <w:tcBorders>
              <w:top w:val="nil"/>
              <w:left w:val="nil"/>
              <w:bottom w:val="nil"/>
              <w:right w:val="nil"/>
            </w:tcBorders>
            <w:vAlign w:val="center"/>
            <w:hideMark/>
          </w:tcPr>
          <w:p w14:paraId="56027330" w14:textId="77777777" w:rsidR="00A74C68" w:rsidRPr="00471CBA" w:rsidRDefault="00A74C68" w:rsidP="00A74C68">
            <w:pPr>
              <w:jc w:val="right"/>
              <w:rPr>
                <w:color w:val="000000"/>
                <w:sz w:val="16"/>
                <w:szCs w:val="16"/>
              </w:rPr>
            </w:pPr>
          </w:p>
        </w:tc>
        <w:tc>
          <w:tcPr>
            <w:tcW w:w="446" w:type="pct"/>
            <w:tcBorders>
              <w:top w:val="nil"/>
              <w:left w:val="nil"/>
              <w:bottom w:val="nil"/>
              <w:right w:val="nil"/>
            </w:tcBorders>
            <w:vAlign w:val="center"/>
            <w:hideMark/>
          </w:tcPr>
          <w:p w14:paraId="3709EDED" w14:textId="77777777" w:rsidR="00A74C68" w:rsidRPr="00471CBA" w:rsidRDefault="00A74C68" w:rsidP="00A74C68">
            <w:pPr>
              <w:jc w:val="right"/>
              <w:rPr>
                <w:szCs w:val="20"/>
              </w:rPr>
            </w:pPr>
          </w:p>
        </w:tc>
        <w:tc>
          <w:tcPr>
            <w:tcW w:w="391" w:type="pct"/>
            <w:tcBorders>
              <w:top w:val="nil"/>
              <w:left w:val="nil"/>
              <w:bottom w:val="nil"/>
              <w:right w:val="nil"/>
            </w:tcBorders>
            <w:vAlign w:val="center"/>
            <w:hideMark/>
          </w:tcPr>
          <w:p w14:paraId="12F96FBF" w14:textId="77777777" w:rsidR="00A74C68" w:rsidRPr="00471CBA" w:rsidRDefault="00A74C68" w:rsidP="00A74C68">
            <w:pPr>
              <w:jc w:val="right"/>
              <w:rPr>
                <w:szCs w:val="20"/>
              </w:rPr>
            </w:pPr>
          </w:p>
        </w:tc>
        <w:tc>
          <w:tcPr>
            <w:tcW w:w="468" w:type="pct"/>
            <w:tcBorders>
              <w:top w:val="nil"/>
              <w:left w:val="nil"/>
              <w:bottom w:val="nil"/>
              <w:right w:val="nil"/>
            </w:tcBorders>
            <w:vAlign w:val="center"/>
            <w:hideMark/>
          </w:tcPr>
          <w:p w14:paraId="0640B347" w14:textId="77777777" w:rsidR="00A74C68" w:rsidRPr="00471CBA" w:rsidRDefault="00A74C68" w:rsidP="00A74C68">
            <w:pPr>
              <w:jc w:val="right"/>
              <w:rPr>
                <w:szCs w:val="20"/>
              </w:rPr>
            </w:pPr>
          </w:p>
        </w:tc>
        <w:tc>
          <w:tcPr>
            <w:tcW w:w="391" w:type="pct"/>
            <w:tcBorders>
              <w:top w:val="nil"/>
              <w:left w:val="nil"/>
              <w:bottom w:val="nil"/>
              <w:right w:val="nil"/>
            </w:tcBorders>
            <w:vAlign w:val="center"/>
            <w:hideMark/>
          </w:tcPr>
          <w:p w14:paraId="7B2A69CE" w14:textId="77777777" w:rsidR="00A74C68" w:rsidRPr="00471CBA" w:rsidRDefault="00A74C68" w:rsidP="00A74C68">
            <w:pPr>
              <w:jc w:val="right"/>
              <w:rPr>
                <w:szCs w:val="20"/>
              </w:rPr>
            </w:pPr>
          </w:p>
        </w:tc>
        <w:tc>
          <w:tcPr>
            <w:tcW w:w="391" w:type="pct"/>
            <w:tcBorders>
              <w:top w:val="nil"/>
              <w:left w:val="nil"/>
              <w:bottom w:val="nil"/>
              <w:right w:val="nil"/>
            </w:tcBorders>
            <w:vAlign w:val="center"/>
            <w:hideMark/>
          </w:tcPr>
          <w:p w14:paraId="2529FAD3" w14:textId="77777777" w:rsidR="00A74C68" w:rsidRPr="00471CBA" w:rsidRDefault="00A74C68" w:rsidP="00A74C68">
            <w:pPr>
              <w:jc w:val="right"/>
              <w:rPr>
                <w:szCs w:val="20"/>
              </w:rPr>
            </w:pPr>
          </w:p>
        </w:tc>
        <w:tc>
          <w:tcPr>
            <w:tcW w:w="390" w:type="pct"/>
            <w:tcBorders>
              <w:top w:val="nil"/>
              <w:left w:val="nil"/>
              <w:bottom w:val="nil"/>
              <w:right w:val="nil"/>
            </w:tcBorders>
            <w:vAlign w:val="center"/>
            <w:hideMark/>
          </w:tcPr>
          <w:p w14:paraId="56883536" w14:textId="77777777" w:rsidR="00A74C68" w:rsidRPr="00471CBA" w:rsidRDefault="00A74C68" w:rsidP="00A74C68">
            <w:pPr>
              <w:jc w:val="right"/>
              <w:rPr>
                <w:szCs w:val="20"/>
              </w:rPr>
            </w:pPr>
          </w:p>
        </w:tc>
        <w:tc>
          <w:tcPr>
            <w:tcW w:w="421" w:type="pct"/>
            <w:tcBorders>
              <w:top w:val="nil"/>
              <w:left w:val="nil"/>
              <w:bottom w:val="nil"/>
              <w:right w:val="nil"/>
            </w:tcBorders>
            <w:vAlign w:val="center"/>
            <w:hideMark/>
          </w:tcPr>
          <w:p w14:paraId="426E3A2D" w14:textId="77777777" w:rsidR="00A74C68" w:rsidRPr="00471CBA" w:rsidRDefault="00A74C68" w:rsidP="00A74C68">
            <w:pPr>
              <w:jc w:val="right"/>
              <w:rPr>
                <w:szCs w:val="20"/>
              </w:rPr>
            </w:pPr>
          </w:p>
        </w:tc>
        <w:tc>
          <w:tcPr>
            <w:tcW w:w="517" w:type="pct"/>
            <w:tcBorders>
              <w:top w:val="nil"/>
              <w:left w:val="nil"/>
              <w:bottom w:val="nil"/>
              <w:right w:val="nil"/>
            </w:tcBorders>
            <w:vAlign w:val="center"/>
            <w:hideMark/>
          </w:tcPr>
          <w:p w14:paraId="19BA96DC" w14:textId="77777777" w:rsidR="00A74C68" w:rsidRPr="00471CBA" w:rsidRDefault="00A74C68" w:rsidP="00A74C68">
            <w:pPr>
              <w:jc w:val="right"/>
              <w:rPr>
                <w:szCs w:val="20"/>
              </w:rPr>
            </w:pPr>
          </w:p>
        </w:tc>
      </w:tr>
      <w:tr w:rsidR="00A74C68" w:rsidRPr="00471CBA" w14:paraId="4C2028D7" w14:textId="77777777" w:rsidTr="00A74C68">
        <w:trPr>
          <w:divId w:val="1290934723"/>
          <w:trHeight w:val="170"/>
        </w:trPr>
        <w:tc>
          <w:tcPr>
            <w:tcW w:w="1585" w:type="pct"/>
            <w:tcBorders>
              <w:top w:val="nil"/>
              <w:left w:val="nil"/>
              <w:bottom w:val="single" w:sz="8" w:space="0" w:color="auto"/>
              <w:right w:val="nil"/>
            </w:tcBorders>
            <w:vAlign w:val="center"/>
            <w:hideMark/>
          </w:tcPr>
          <w:p w14:paraId="1FE2E4C6" w14:textId="77777777" w:rsidR="00A74C68" w:rsidRPr="00471CBA" w:rsidRDefault="00A74C68" w:rsidP="00A74C68">
            <w:pPr>
              <w:rPr>
                <w:b/>
                <w:bCs/>
                <w:color w:val="000000"/>
                <w:sz w:val="16"/>
                <w:szCs w:val="16"/>
              </w:rPr>
            </w:pPr>
            <w:r w:rsidRPr="00471CBA">
              <w:rPr>
                <w:b/>
                <w:bCs/>
                <w:color w:val="000000"/>
                <w:sz w:val="16"/>
                <w:szCs w:val="16"/>
              </w:rPr>
              <w:t>Toplam</w:t>
            </w:r>
          </w:p>
        </w:tc>
        <w:tc>
          <w:tcPr>
            <w:tcW w:w="446" w:type="pct"/>
            <w:tcBorders>
              <w:top w:val="nil"/>
              <w:left w:val="nil"/>
              <w:bottom w:val="single" w:sz="8" w:space="0" w:color="auto"/>
              <w:right w:val="nil"/>
            </w:tcBorders>
            <w:noWrap/>
            <w:vAlign w:val="center"/>
            <w:hideMark/>
          </w:tcPr>
          <w:p w14:paraId="5E6F3A39" w14:textId="77777777" w:rsidR="00A74C68" w:rsidRPr="00471CBA" w:rsidRDefault="00A74C68" w:rsidP="00A74C68">
            <w:pPr>
              <w:jc w:val="right"/>
              <w:rPr>
                <w:b/>
                <w:bCs/>
                <w:sz w:val="16"/>
                <w:szCs w:val="16"/>
              </w:rPr>
            </w:pPr>
            <w:r w:rsidRPr="00471CBA">
              <w:rPr>
                <w:b/>
                <w:bCs/>
                <w:sz w:val="16"/>
                <w:szCs w:val="16"/>
              </w:rPr>
              <w:t>1.604.711</w:t>
            </w:r>
          </w:p>
        </w:tc>
        <w:tc>
          <w:tcPr>
            <w:tcW w:w="391" w:type="pct"/>
            <w:tcBorders>
              <w:top w:val="nil"/>
              <w:left w:val="nil"/>
              <w:bottom w:val="single" w:sz="8" w:space="0" w:color="auto"/>
              <w:right w:val="nil"/>
            </w:tcBorders>
            <w:noWrap/>
            <w:vAlign w:val="center"/>
            <w:hideMark/>
          </w:tcPr>
          <w:p w14:paraId="6C1982AF" w14:textId="77777777" w:rsidR="00A74C68" w:rsidRPr="00471CBA" w:rsidRDefault="00A74C68" w:rsidP="00A74C68">
            <w:pPr>
              <w:jc w:val="right"/>
              <w:rPr>
                <w:b/>
                <w:bCs/>
                <w:sz w:val="16"/>
                <w:szCs w:val="16"/>
              </w:rPr>
            </w:pPr>
            <w:r w:rsidRPr="00471CBA">
              <w:rPr>
                <w:b/>
                <w:bCs/>
                <w:sz w:val="16"/>
                <w:szCs w:val="16"/>
              </w:rPr>
              <w:t>2.075.532</w:t>
            </w:r>
          </w:p>
        </w:tc>
        <w:tc>
          <w:tcPr>
            <w:tcW w:w="468" w:type="pct"/>
            <w:tcBorders>
              <w:top w:val="nil"/>
              <w:left w:val="nil"/>
              <w:bottom w:val="single" w:sz="8" w:space="0" w:color="auto"/>
              <w:right w:val="nil"/>
            </w:tcBorders>
            <w:noWrap/>
            <w:vAlign w:val="center"/>
            <w:hideMark/>
          </w:tcPr>
          <w:p w14:paraId="29B75595" w14:textId="77777777" w:rsidR="00A74C68" w:rsidRPr="00471CBA" w:rsidRDefault="00A74C68" w:rsidP="00A74C68">
            <w:pPr>
              <w:jc w:val="right"/>
              <w:rPr>
                <w:b/>
                <w:bCs/>
                <w:sz w:val="16"/>
                <w:szCs w:val="16"/>
              </w:rPr>
            </w:pPr>
            <w:r w:rsidRPr="00471CBA">
              <w:rPr>
                <w:b/>
                <w:bCs/>
                <w:sz w:val="16"/>
                <w:szCs w:val="16"/>
              </w:rPr>
              <w:t>1.930.037</w:t>
            </w:r>
          </w:p>
        </w:tc>
        <w:tc>
          <w:tcPr>
            <w:tcW w:w="391" w:type="pct"/>
            <w:tcBorders>
              <w:top w:val="nil"/>
              <w:left w:val="nil"/>
              <w:bottom w:val="single" w:sz="8" w:space="0" w:color="auto"/>
              <w:right w:val="nil"/>
            </w:tcBorders>
            <w:noWrap/>
            <w:vAlign w:val="center"/>
            <w:hideMark/>
          </w:tcPr>
          <w:p w14:paraId="795AFF14" w14:textId="77777777" w:rsidR="00A74C68" w:rsidRPr="00471CBA" w:rsidRDefault="00A74C68" w:rsidP="00A74C68">
            <w:pPr>
              <w:jc w:val="right"/>
              <w:rPr>
                <w:b/>
                <w:bCs/>
                <w:sz w:val="16"/>
                <w:szCs w:val="16"/>
              </w:rPr>
            </w:pPr>
            <w:r w:rsidRPr="00471CBA">
              <w:rPr>
                <w:b/>
                <w:bCs/>
                <w:sz w:val="16"/>
                <w:szCs w:val="16"/>
              </w:rPr>
              <w:t>-</w:t>
            </w:r>
          </w:p>
        </w:tc>
        <w:tc>
          <w:tcPr>
            <w:tcW w:w="391" w:type="pct"/>
            <w:tcBorders>
              <w:top w:val="nil"/>
              <w:left w:val="nil"/>
              <w:bottom w:val="single" w:sz="8" w:space="0" w:color="auto"/>
              <w:right w:val="nil"/>
            </w:tcBorders>
            <w:noWrap/>
            <w:vAlign w:val="center"/>
            <w:hideMark/>
          </w:tcPr>
          <w:p w14:paraId="32F8AD2F" w14:textId="77777777" w:rsidR="00A74C68" w:rsidRPr="00471CBA" w:rsidRDefault="00A74C68" w:rsidP="00A74C68">
            <w:pPr>
              <w:jc w:val="right"/>
              <w:rPr>
                <w:b/>
                <w:bCs/>
                <w:sz w:val="16"/>
                <w:szCs w:val="16"/>
              </w:rPr>
            </w:pPr>
            <w:r w:rsidRPr="00471CBA">
              <w:rPr>
                <w:b/>
                <w:bCs/>
                <w:sz w:val="16"/>
                <w:szCs w:val="16"/>
              </w:rPr>
              <w:t>36.858</w:t>
            </w:r>
          </w:p>
        </w:tc>
        <w:tc>
          <w:tcPr>
            <w:tcW w:w="390" w:type="pct"/>
            <w:tcBorders>
              <w:top w:val="nil"/>
              <w:left w:val="nil"/>
              <w:bottom w:val="single" w:sz="8" w:space="0" w:color="auto"/>
              <w:right w:val="nil"/>
            </w:tcBorders>
            <w:noWrap/>
            <w:vAlign w:val="center"/>
            <w:hideMark/>
          </w:tcPr>
          <w:p w14:paraId="0918B4ED" w14:textId="77777777" w:rsidR="00A74C68" w:rsidRPr="00471CBA" w:rsidRDefault="00A74C68" w:rsidP="00A74C68">
            <w:pPr>
              <w:jc w:val="right"/>
              <w:rPr>
                <w:b/>
                <w:bCs/>
                <w:sz w:val="16"/>
                <w:szCs w:val="16"/>
              </w:rPr>
            </w:pPr>
            <w:r w:rsidRPr="00471CBA">
              <w:rPr>
                <w:b/>
                <w:bCs/>
                <w:sz w:val="16"/>
                <w:szCs w:val="16"/>
              </w:rPr>
              <w:t>227.583</w:t>
            </w:r>
          </w:p>
        </w:tc>
        <w:tc>
          <w:tcPr>
            <w:tcW w:w="421" w:type="pct"/>
            <w:tcBorders>
              <w:top w:val="nil"/>
              <w:left w:val="nil"/>
              <w:bottom w:val="single" w:sz="8" w:space="0" w:color="auto"/>
              <w:right w:val="nil"/>
            </w:tcBorders>
            <w:noWrap/>
            <w:vAlign w:val="center"/>
            <w:hideMark/>
          </w:tcPr>
          <w:p w14:paraId="13E19B34" w14:textId="77777777" w:rsidR="00A74C68" w:rsidRPr="00471CBA" w:rsidRDefault="00A74C68" w:rsidP="00A74C68">
            <w:pPr>
              <w:jc w:val="right"/>
              <w:rPr>
                <w:b/>
                <w:bCs/>
                <w:sz w:val="16"/>
                <w:szCs w:val="16"/>
              </w:rPr>
            </w:pPr>
            <w:r w:rsidRPr="00471CBA">
              <w:rPr>
                <w:b/>
                <w:bCs/>
                <w:sz w:val="16"/>
                <w:szCs w:val="16"/>
              </w:rPr>
              <w:t>5</w:t>
            </w:r>
          </w:p>
        </w:tc>
        <w:tc>
          <w:tcPr>
            <w:tcW w:w="517" w:type="pct"/>
            <w:tcBorders>
              <w:top w:val="nil"/>
              <w:left w:val="nil"/>
              <w:bottom w:val="single" w:sz="8" w:space="0" w:color="auto"/>
              <w:right w:val="nil"/>
            </w:tcBorders>
            <w:noWrap/>
            <w:vAlign w:val="center"/>
            <w:hideMark/>
          </w:tcPr>
          <w:p w14:paraId="510BC8B8" w14:textId="77777777" w:rsidR="00A74C68" w:rsidRPr="00471CBA" w:rsidRDefault="00A74C68" w:rsidP="00A74C68">
            <w:pPr>
              <w:jc w:val="right"/>
              <w:rPr>
                <w:b/>
                <w:bCs/>
                <w:sz w:val="16"/>
                <w:szCs w:val="16"/>
              </w:rPr>
            </w:pPr>
            <w:r w:rsidRPr="00471CBA">
              <w:rPr>
                <w:b/>
                <w:bCs/>
                <w:sz w:val="16"/>
                <w:szCs w:val="16"/>
              </w:rPr>
              <w:t>5.874.726</w:t>
            </w:r>
          </w:p>
        </w:tc>
      </w:tr>
      <w:tr w:rsidR="00A74C68" w:rsidRPr="00471CBA" w14:paraId="253791D7" w14:textId="77777777" w:rsidTr="00A74C68">
        <w:trPr>
          <w:divId w:val="1290934723"/>
          <w:trHeight w:val="170"/>
        </w:trPr>
        <w:tc>
          <w:tcPr>
            <w:tcW w:w="1585" w:type="pct"/>
            <w:tcBorders>
              <w:top w:val="nil"/>
              <w:left w:val="nil"/>
              <w:bottom w:val="nil"/>
              <w:right w:val="nil"/>
            </w:tcBorders>
            <w:noWrap/>
            <w:vAlign w:val="bottom"/>
            <w:hideMark/>
          </w:tcPr>
          <w:p w14:paraId="08CB8C76" w14:textId="77777777" w:rsidR="00A74C68" w:rsidRPr="00471CBA" w:rsidRDefault="00A74C68" w:rsidP="00A74C68">
            <w:pPr>
              <w:jc w:val="right"/>
              <w:rPr>
                <w:b/>
                <w:bCs/>
                <w:sz w:val="16"/>
                <w:szCs w:val="16"/>
              </w:rPr>
            </w:pPr>
          </w:p>
        </w:tc>
        <w:tc>
          <w:tcPr>
            <w:tcW w:w="446" w:type="pct"/>
            <w:tcBorders>
              <w:top w:val="nil"/>
              <w:left w:val="nil"/>
              <w:bottom w:val="nil"/>
              <w:right w:val="nil"/>
            </w:tcBorders>
            <w:vAlign w:val="center"/>
            <w:hideMark/>
          </w:tcPr>
          <w:p w14:paraId="03D841DE" w14:textId="77777777" w:rsidR="00A74C68" w:rsidRPr="00471CBA" w:rsidRDefault="00A74C68" w:rsidP="00A74C68">
            <w:pPr>
              <w:jc w:val="right"/>
              <w:rPr>
                <w:szCs w:val="20"/>
              </w:rPr>
            </w:pPr>
          </w:p>
        </w:tc>
        <w:tc>
          <w:tcPr>
            <w:tcW w:w="391" w:type="pct"/>
            <w:tcBorders>
              <w:top w:val="nil"/>
              <w:left w:val="nil"/>
              <w:bottom w:val="nil"/>
              <w:right w:val="nil"/>
            </w:tcBorders>
            <w:vAlign w:val="center"/>
            <w:hideMark/>
          </w:tcPr>
          <w:p w14:paraId="1A63A191" w14:textId="77777777" w:rsidR="00A74C68" w:rsidRPr="00471CBA" w:rsidRDefault="00A74C68" w:rsidP="00A74C68">
            <w:pPr>
              <w:jc w:val="right"/>
              <w:rPr>
                <w:szCs w:val="20"/>
              </w:rPr>
            </w:pPr>
          </w:p>
        </w:tc>
        <w:tc>
          <w:tcPr>
            <w:tcW w:w="468" w:type="pct"/>
            <w:tcBorders>
              <w:top w:val="nil"/>
              <w:left w:val="nil"/>
              <w:bottom w:val="nil"/>
              <w:right w:val="nil"/>
            </w:tcBorders>
            <w:vAlign w:val="center"/>
            <w:hideMark/>
          </w:tcPr>
          <w:p w14:paraId="7B39E8D3" w14:textId="77777777" w:rsidR="00A74C68" w:rsidRPr="00471CBA" w:rsidRDefault="00A74C68" w:rsidP="00A74C68">
            <w:pPr>
              <w:jc w:val="right"/>
              <w:rPr>
                <w:szCs w:val="20"/>
              </w:rPr>
            </w:pPr>
          </w:p>
        </w:tc>
        <w:tc>
          <w:tcPr>
            <w:tcW w:w="391" w:type="pct"/>
            <w:tcBorders>
              <w:top w:val="nil"/>
              <w:left w:val="nil"/>
              <w:bottom w:val="nil"/>
              <w:right w:val="nil"/>
            </w:tcBorders>
            <w:vAlign w:val="center"/>
            <w:hideMark/>
          </w:tcPr>
          <w:p w14:paraId="77A5ECD9" w14:textId="77777777" w:rsidR="00A74C68" w:rsidRPr="00471CBA" w:rsidRDefault="00A74C68" w:rsidP="00A74C68">
            <w:pPr>
              <w:jc w:val="right"/>
              <w:rPr>
                <w:szCs w:val="20"/>
              </w:rPr>
            </w:pPr>
          </w:p>
        </w:tc>
        <w:tc>
          <w:tcPr>
            <w:tcW w:w="391" w:type="pct"/>
            <w:tcBorders>
              <w:top w:val="nil"/>
              <w:left w:val="nil"/>
              <w:bottom w:val="nil"/>
              <w:right w:val="nil"/>
            </w:tcBorders>
            <w:vAlign w:val="center"/>
            <w:hideMark/>
          </w:tcPr>
          <w:p w14:paraId="337C26F6" w14:textId="77777777" w:rsidR="00A74C68" w:rsidRPr="00471CBA" w:rsidRDefault="00A74C68" w:rsidP="00A74C68">
            <w:pPr>
              <w:jc w:val="right"/>
              <w:rPr>
                <w:szCs w:val="20"/>
              </w:rPr>
            </w:pPr>
          </w:p>
        </w:tc>
        <w:tc>
          <w:tcPr>
            <w:tcW w:w="390" w:type="pct"/>
            <w:tcBorders>
              <w:top w:val="nil"/>
              <w:left w:val="nil"/>
              <w:bottom w:val="nil"/>
              <w:right w:val="nil"/>
            </w:tcBorders>
            <w:vAlign w:val="center"/>
            <w:hideMark/>
          </w:tcPr>
          <w:p w14:paraId="3CEF7506" w14:textId="77777777" w:rsidR="00A74C68" w:rsidRPr="00471CBA" w:rsidRDefault="00A74C68" w:rsidP="00A74C68">
            <w:pPr>
              <w:jc w:val="right"/>
              <w:rPr>
                <w:szCs w:val="20"/>
              </w:rPr>
            </w:pPr>
          </w:p>
        </w:tc>
        <w:tc>
          <w:tcPr>
            <w:tcW w:w="421" w:type="pct"/>
            <w:tcBorders>
              <w:top w:val="nil"/>
              <w:left w:val="nil"/>
              <w:bottom w:val="nil"/>
              <w:right w:val="nil"/>
            </w:tcBorders>
            <w:vAlign w:val="center"/>
            <w:hideMark/>
          </w:tcPr>
          <w:p w14:paraId="49692FDC" w14:textId="77777777" w:rsidR="00A74C68" w:rsidRPr="00471CBA" w:rsidRDefault="00A74C68" w:rsidP="00A74C68">
            <w:pPr>
              <w:jc w:val="right"/>
              <w:rPr>
                <w:szCs w:val="20"/>
              </w:rPr>
            </w:pPr>
          </w:p>
        </w:tc>
        <w:tc>
          <w:tcPr>
            <w:tcW w:w="517" w:type="pct"/>
            <w:tcBorders>
              <w:top w:val="nil"/>
              <w:left w:val="nil"/>
              <w:bottom w:val="nil"/>
              <w:right w:val="nil"/>
            </w:tcBorders>
            <w:vAlign w:val="center"/>
            <w:hideMark/>
          </w:tcPr>
          <w:p w14:paraId="635DEC1A" w14:textId="77777777" w:rsidR="00A74C68" w:rsidRPr="00471CBA" w:rsidRDefault="00A74C68" w:rsidP="00A74C68">
            <w:pPr>
              <w:jc w:val="right"/>
              <w:rPr>
                <w:szCs w:val="20"/>
              </w:rPr>
            </w:pPr>
          </w:p>
        </w:tc>
      </w:tr>
      <w:tr w:rsidR="00A74C68" w:rsidRPr="00471CBA" w14:paraId="4422CDB4" w14:textId="77777777" w:rsidTr="00A74C68">
        <w:trPr>
          <w:divId w:val="1290934723"/>
          <w:trHeight w:val="170"/>
        </w:trPr>
        <w:tc>
          <w:tcPr>
            <w:tcW w:w="1585" w:type="pct"/>
            <w:tcBorders>
              <w:top w:val="nil"/>
              <w:left w:val="nil"/>
              <w:bottom w:val="nil"/>
              <w:right w:val="nil"/>
            </w:tcBorders>
            <w:noWrap/>
            <w:vAlign w:val="bottom"/>
            <w:hideMark/>
          </w:tcPr>
          <w:p w14:paraId="5FE2AA43" w14:textId="77777777" w:rsidR="00A74C68" w:rsidRPr="00471CBA" w:rsidRDefault="00A74C68" w:rsidP="00A74C68">
            <w:pPr>
              <w:rPr>
                <w:b/>
                <w:bCs/>
                <w:color w:val="000000"/>
                <w:sz w:val="16"/>
                <w:szCs w:val="16"/>
              </w:rPr>
            </w:pPr>
            <w:r w:rsidRPr="00471CBA">
              <w:rPr>
                <w:b/>
                <w:bCs/>
                <w:color w:val="000000"/>
                <w:sz w:val="16"/>
                <w:szCs w:val="16"/>
              </w:rPr>
              <w:t>Yabancı para</w:t>
            </w:r>
          </w:p>
        </w:tc>
        <w:tc>
          <w:tcPr>
            <w:tcW w:w="446" w:type="pct"/>
            <w:tcBorders>
              <w:top w:val="nil"/>
              <w:left w:val="nil"/>
              <w:bottom w:val="nil"/>
              <w:right w:val="nil"/>
            </w:tcBorders>
            <w:vAlign w:val="center"/>
            <w:hideMark/>
          </w:tcPr>
          <w:p w14:paraId="15AABF48" w14:textId="77777777" w:rsidR="00A74C68" w:rsidRPr="00471CBA" w:rsidRDefault="00A74C68" w:rsidP="00A74C68">
            <w:pPr>
              <w:jc w:val="right"/>
              <w:rPr>
                <w:b/>
                <w:bCs/>
                <w:color w:val="000000"/>
                <w:sz w:val="16"/>
                <w:szCs w:val="16"/>
              </w:rPr>
            </w:pPr>
          </w:p>
        </w:tc>
        <w:tc>
          <w:tcPr>
            <w:tcW w:w="391" w:type="pct"/>
            <w:tcBorders>
              <w:top w:val="nil"/>
              <w:left w:val="nil"/>
              <w:bottom w:val="nil"/>
              <w:right w:val="nil"/>
            </w:tcBorders>
            <w:vAlign w:val="center"/>
            <w:hideMark/>
          </w:tcPr>
          <w:p w14:paraId="5278F90F" w14:textId="77777777" w:rsidR="00A74C68" w:rsidRPr="00471CBA" w:rsidRDefault="00A74C68" w:rsidP="00A74C68">
            <w:pPr>
              <w:jc w:val="right"/>
              <w:rPr>
                <w:szCs w:val="20"/>
              </w:rPr>
            </w:pPr>
          </w:p>
        </w:tc>
        <w:tc>
          <w:tcPr>
            <w:tcW w:w="468" w:type="pct"/>
            <w:tcBorders>
              <w:top w:val="nil"/>
              <w:left w:val="nil"/>
              <w:bottom w:val="nil"/>
              <w:right w:val="nil"/>
            </w:tcBorders>
            <w:vAlign w:val="center"/>
            <w:hideMark/>
          </w:tcPr>
          <w:p w14:paraId="05F78E5E" w14:textId="77777777" w:rsidR="00A74C68" w:rsidRPr="00471CBA" w:rsidRDefault="00A74C68" w:rsidP="00A74C68">
            <w:pPr>
              <w:jc w:val="right"/>
              <w:rPr>
                <w:szCs w:val="20"/>
              </w:rPr>
            </w:pPr>
          </w:p>
        </w:tc>
        <w:tc>
          <w:tcPr>
            <w:tcW w:w="391" w:type="pct"/>
            <w:tcBorders>
              <w:top w:val="nil"/>
              <w:left w:val="nil"/>
              <w:bottom w:val="nil"/>
              <w:right w:val="nil"/>
            </w:tcBorders>
            <w:vAlign w:val="center"/>
            <w:hideMark/>
          </w:tcPr>
          <w:p w14:paraId="051D5E6E" w14:textId="77777777" w:rsidR="00A74C68" w:rsidRPr="00471CBA" w:rsidRDefault="00A74C68" w:rsidP="00A74C68">
            <w:pPr>
              <w:jc w:val="right"/>
              <w:rPr>
                <w:szCs w:val="20"/>
              </w:rPr>
            </w:pPr>
          </w:p>
        </w:tc>
        <w:tc>
          <w:tcPr>
            <w:tcW w:w="391" w:type="pct"/>
            <w:tcBorders>
              <w:top w:val="nil"/>
              <w:left w:val="nil"/>
              <w:bottom w:val="nil"/>
              <w:right w:val="nil"/>
            </w:tcBorders>
            <w:vAlign w:val="center"/>
            <w:hideMark/>
          </w:tcPr>
          <w:p w14:paraId="52BC50DE" w14:textId="77777777" w:rsidR="00A74C68" w:rsidRPr="00471CBA" w:rsidRDefault="00A74C68" w:rsidP="00A74C68">
            <w:pPr>
              <w:jc w:val="right"/>
              <w:rPr>
                <w:szCs w:val="20"/>
              </w:rPr>
            </w:pPr>
          </w:p>
        </w:tc>
        <w:tc>
          <w:tcPr>
            <w:tcW w:w="390" w:type="pct"/>
            <w:tcBorders>
              <w:top w:val="nil"/>
              <w:left w:val="nil"/>
              <w:bottom w:val="nil"/>
              <w:right w:val="nil"/>
            </w:tcBorders>
            <w:vAlign w:val="center"/>
            <w:hideMark/>
          </w:tcPr>
          <w:p w14:paraId="1D772340" w14:textId="77777777" w:rsidR="00A74C68" w:rsidRPr="00471CBA" w:rsidRDefault="00A74C68" w:rsidP="00A74C68">
            <w:pPr>
              <w:jc w:val="right"/>
              <w:rPr>
                <w:szCs w:val="20"/>
              </w:rPr>
            </w:pPr>
          </w:p>
        </w:tc>
        <w:tc>
          <w:tcPr>
            <w:tcW w:w="421" w:type="pct"/>
            <w:tcBorders>
              <w:top w:val="nil"/>
              <w:left w:val="nil"/>
              <w:bottom w:val="nil"/>
              <w:right w:val="nil"/>
            </w:tcBorders>
            <w:vAlign w:val="center"/>
            <w:hideMark/>
          </w:tcPr>
          <w:p w14:paraId="7E90167A" w14:textId="77777777" w:rsidR="00A74C68" w:rsidRPr="00471CBA" w:rsidRDefault="00A74C68" w:rsidP="00A74C68">
            <w:pPr>
              <w:jc w:val="right"/>
              <w:rPr>
                <w:szCs w:val="20"/>
              </w:rPr>
            </w:pPr>
          </w:p>
        </w:tc>
        <w:tc>
          <w:tcPr>
            <w:tcW w:w="517" w:type="pct"/>
            <w:tcBorders>
              <w:top w:val="nil"/>
              <w:left w:val="nil"/>
              <w:bottom w:val="nil"/>
              <w:right w:val="nil"/>
            </w:tcBorders>
            <w:vAlign w:val="center"/>
            <w:hideMark/>
          </w:tcPr>
          <w:p w14:paraId="78BB4A6A" w14:textId="77777777" w:rsidR="00A74C68" w:rsidRPr="00471CBA" w:rsidRDefault="00A74C68" w:rsidP="00A74C68">
            <w:pPr>
              <w:jc w:val="right"/>
              <w:rPr>
                <w:szCs w:val="20"/>
              </w:rPr>
            </w:pPr>
          </w:p>
        </w:tc>
      </w:tr>
      <w:tr w:rsidR="00A74C68" w:rsidRPr="00471CBA" w14:paraId="54A4BFE1" w14:textId="77777777" w:rsidTr="00A74C68">
        <w:trPr>
          <w:divId w:val="1290934723"/>
          <w:trHeight w:val="170"/>
        </w:trPr>
        <w:tc>
          <w:tcPr>
            <w:tcW w:w="1585" w:type="pct"/>
            <w:tcBorders>
              <w:top w:val="nil"/>
              <w:left w:val="nil"/>
              <w:bottom w:val="nil"/>
              <w:right w:val="nil"/>
            </w:tcBorders>
            <w:vAlign w:val="bottom"/>
            <w:hideMark/>
          </w:tcPr>
          <w:p w14:paraId="063A3C59" w14:textId="77777777" w:rsidR="00A74C68" w:rsidRPr="00471CBA" w:rsidRDefault="00A74C68" w:rsidP="00A74C68">
            <w:pPr>
              <w:rPr>
                <w:color w:val="000000"/>
                <w:sz w:val="16"/>
                <w:szCs w:val="16"/>
              </w:rPr>
            </w:pPr>
            <w:r w:rsidRPr="00471CBA">
              <w:rPr>
                <w:bCs/>
                <w:iCs/>
                <w:color w:val="000000"/>
                <w:sz w:val="16"/>
                <w:szCs w:val="16"/>
              </w:rPr>
              <w:t xml:space="preserve">Özel cari hesap ve katılma </w:t>
            </w:r>
            <w:r w:rsidRPr="00471CBA">
              <w:rPr>
                <w:bCs/>
                <w:iCs/>
                <w:color w:val="000000"/>
                <w:sz w:val="16"/>
                <w:szCs w:val="16"/>
              </w:rPr>
              <w:br/>
              <w:t>hesapları aracılığı ile bankalardan toplanan fonlar</w:t>
            </w:r>
          </w:p>
        </w:tc>
        <w:tc>
          <w:tcPr>
            <w:tcW w:w="446" w:type="pct"/>
            <w:tcBorders>
              <w:top w:val="nil"/>
              <w:left w:val="nil"/>
              <w:bottom w:val="nil"/>
              <w:right w:val="nil"/>
            </w:tcBorders>
            <w:noWrap/>
            <w:vAlign w:val="center"/>
            <w:hideMark/>
          </w:tcPr>
          <w:p w14:paraId="0329E087" w14:textId="77777777" w:rsidR="00A74C68" w:rsidRPr="00471CBA" w:rsidRDefault="00A74C68" w:rsidP="00A74C68">
            <w:pPr>
              <w:jc w:val="right"/>
              <w:rPr>
                <w:color w:val="000000"/>
                <w:sz w:val="16"/>
                <w:szCs w:val="16"/>
              </w:rPr>
            </w:pPr>
            <w:r w:rsidRPr="00471CBA">
              <w:rPr>
                <w:color w:val="000000"/>
                <w:sz w:val="16"/>
                <w:szCs w:val="16"/>
              </w:rPr>
              <w:t>-</w:t>
            </w:r>
          </w:p>
        </w:tc>
        <w:tc>
          <w:tcPr>
            <w:tcW w:w="391" w:type="pct"/>
            <w:tcBorders>
              <w:top w:val="nil"/>
              <w:left w:val="nil"/>
              <w:bottom w:val="nil"/>
              <w:right w:val="nil"/>
            </w:tcBorders>
            <w:noWrap/>
            <w:vAlign w:val="center"/>
            <w:hideMark/>
          </w:tcPr>
          <w:p w14:paraId="78974560" w14:textId="77777777" w:rsidR="00A74C68" w:rsidRPr="00471CBA" w:rsidRDefault="00A74C68" w:rsidP="00A74C68">
            <w:pPr>
              <w:jc w:val="right"/>
              <w:rPr>
                <w:color w:val="000000"/>
                <w:sz w:val="16"/>
                <w:szCs w:val="16"/>
              </w:rPr>
            </w:pPr>
            <w:r w:rsidRPr="00471CBA">
              <w:rPr>
                <w:color w:val="000000"/>
                <w:sz w:val="16"/>
                <w:szCs w:val="16"/>
              </w:rPr>
              <w:t>-</w:t>
            </w:r>
          </w:p>
        </w:tc>
        <w:tc>
          <w:tcPr>
            <w:tcW w:w="468" w:type="pct"/>
            <w:tcBorders>
              <w:top w:val="nil"/>
              <w:left w:val="nil"/>
              <w:bottom w:val="nil"/>
              <w:right w:val="nil"/>
            </w:tcBorders>
            <w:noWrap/>
            <w:vAlign w:val="center"/>
            <w:hideMark/>
          </w:tcPr>
          <w:p w14:paraId="5E4D65C4" w14:textId="77777777" w:rsidR="00A74C68" w:rsidRPr="00471CBA" w:rsidRDefault="00A74C68" w:rsidP="00A74C68">
            <w:pPr>
              <w:jc w:val="right"/>
              <w:rPr>
                <w:color w:val="000000"/>
                <w:sz w:val="16"/>
                <w:szCs w:val="16"/>
              </w:rPr>
            </w:pPr>
            <w:r w:rsidRPr="00471CBA">
              <w:rPr>
                <w:color w:val="000000"/>
                <w:sz w:val="16"/>
                <w:szCs w:val="16"/>
              </w:rPr>
              <w:t>-</w:t>
            </w:r>
          </w:p>
        </w:tc>
        <w:tc>
          <w:tcPr>
            <w:tcW w:w="391" w:type="pct"/>
            <w:tcBorders>
              <w:top w:val="nil"/>
              <w:left w:val="nil"/>
              <w:bottom w:val="nil"/>
              <w:right w:val="nil"/>
            </w:tcBorders>
            <w:noWrap/>
            <w:vAlign w:val="center"/>
            <w:hideMark/>
          </w:tcPr>
          <w:p w14:paraId="5A4604B7" w14:textId="77777777" w:rsidR="00A74C68" w:rsidRPr="00471CBA" w:rsidRDefault="00A74C68" w:rsidP="00A74C68">
            <w:pPr>
              <w:jc w:val="right"/>
              <w:rPr>
                <w:color w:val="000000"/>
                <w:sz w:val="16"/>
                <w:szCs w:val="16"/>
              </w:rPr>
            </w:pPr>
            <w:r w:rsidRPr="00471CBA">
              <w:rPr>
                <w:color w:val="000000"/>
                <w:sz w:val="16"/>
                <w:szCs w:val="16"/>
              </w:rPr>
              <w:t>-</w:t>
            </w:r>
          </w:p>
        </w:tc>
        <w:tc>
          <w:tcPr>
            <w:tcW w:w="391" w:type="pct"/>
            <w:tcBorders>
              <w:top w:val="nil"/>
              <w:left w:val="nil"/>
              <w:bottom w:val="nil"/>
              <w:right w:val="nil"/>
            </w:tcBorders>
            <w:noWrap/>
            <w:vAlign w:val="center"/>
            <w:hideMark/>
          </w:tcPr>
          <w:p w14:paraId="4B2FCBA1" w14:textId="77777777" w:rsidR="00A74C68" w:rsidRPr="00471CBA" w:rsidRDefault="00A74C68" w:rsidP="00A74C68">
            <w:pPr>
              <w:jc w:val="right"/>
              <w:rPr>
                <w:color w:val="000000"/>
                <w:sz w:val="16"/>
                <w:szCs w:val="16"/>
              </w:rPr>
            </w:pPr>
            <w:r w:rsidRPr="00471CBA">
              <w:rPr>
                <w:color w:val="000000"/>
                <w:sz w:val="16"/>
                <w:szCs w:val="16"/>
              </w:rPr>
              <w:t>-</w:t>
            </w:r>
          </w:p>
        </w:tc>
        <w:tc>
          <w:tcPr>
            <w:tcW w:w="390" w:type="pct"/>
            <w:tcBorders>
              <w:top w:val="nil"/>
              <w:left w:val="nil"/>
              <w:bottom w:val="nil"/>
              <w:right w:val="nil"/>
            </w:tcBorders>
            <w:noWrap/>
            <w:vAlign w:val="center"/>
            <w:hideMark/>
          </w:tcPr>
          <w:p w14:paraId="03A3AF97" w14:textId="77777777" w:rsidR="00A74C68" w:rsidRPr="00471CBA" w:rsidRDefault="00A74C68" w:rsidP="00A74C68">
            <w:pPr>
              <w:jc w:val="right"/>
              <w:rPr>
                <w:color w:val="000000"/>
                <w:sz w:val="16"/>
                <w:szCs w:val="16"/>
              </w:rPr>
            </w:pPr>
            <w:r w:rsidRPr="00471CBA">
              <w:rPr>
                <w:color w:val="000000"/>
                <w:sz w:val="16"/>
                <w:szCs w:val="16"/>
              </w:rPr>
              <w:t>-</w:t>
            </w:r>
          </w:p>
        </w:tc>
        <w:tc>
          <w:tcPr>
            <w:tcW w:w="421" w:type="pct"/>
            <w:tcBorders>
              <w:top w:val="nil"/>
              <w:left w:val="nil"/>
              <w:bottom w:val="nil"/>
              <w:right w:val="nil"/>
            </w:tcBorders>
            <w:noWrap/>
            <w:vAlign w:val="center"/>
            <w:hideMark/>
          </w:tcPr>
          <w:p w14:paraId="3993EE00" w14:textId="77777777" w:rsidR="00A74C68" w:rsidRPr="00471CBA" w:rsidRDefault="00A74C68" w:rsidP="00A74C68">
            <w:pPr>
              <w:jc w:val="right"/>
              <w:rPr>
                <w:color w:val="000000"/>
                <w:sz w:val="16"/>
                <w:szCs w:val="16"/>
              </w:rPr>
            </w:pPr>
            <w:r w:rsidRPr="00471CBA">
              <w:rPr>
                <w:color w:val="000000"/>
                <w:sz w:val="16"/>
                <w:szCs w:val="16"/>
              </w:rPr>
              <w:t>-</w:t>
            </w:r>
          </w:p>
        </w:tc>
        <w:tc>
          <w:tcPr>
            <w:tcW w:w="517" w:type="pct"/>
            <w:tcBorders>
              <w:top w:val="nil"/>
              <w:left w:val="nil"/>
              <w:bottom w:val="nil"/>
              <w:right w:val="nil"/>
            </w:tcBorders>
            <w:noWrap/>
            <w:vAlign w:val="center"/>
            <w:hideMark/>
          </w:tcPr>
          <w:p w14:paraId="7B1E4E0A" w14:textId="77777777" w:rsidR="00A74C68" w:rsidRPr="00471CBA" w:rsidRDefault="00A74C68" w:rsidP="00A74C68">
            <w:pPr>
              <w:jc w:val="right"/>
              <w:rPr>
                <w:color w:val="000000"/>
                <w:sz w:val="16"/>
                <w:szCs w:val="16"/>
              </w:rPr>
            </w:pPr>
            <w:r w:rsidRPr="00471CBA">
              <w:rPr>
                <w:color w:val="000000"/>
                <w:sz w:val="16"/>
                <w:szCs w:val="16"/>
              </w:rPr>
              <w:t>-</w:t>
            </w:r>
          </w:p>
        </w:tc>
      </w:tr>
      <w:tr w:rsidR="00A74C68" w:rsidRPr="00471CBA" w14:paraId="61537BC9" w14:textId="77777777" w:rsidTr="00A74C68">
        <w:trPr>
          <w:divId w:val="1290934723"/>
          <w:trHeight w:val="170"/>
        </w:trPr>
        <w:tc>
          <w:tcPr>
            <w:tcW w:w="1585" w:type="pct"/>
            <w:tcBorders>
              <w:top w:val="nil"/>
              <w:left w:val="nil"/>
              <w:bottom w:val="nil"/>
              <w:right w:val="nil"/>
            </w:tcBorders>
            <w:noWrap/>
            <w:vAlign w:val="bottom"/>
            <w:hideMark/>
          </w:tcPr>
          <w:p w14:paraId="4F620A75" w14:textId="77777777" w:rsidR="00A74C68" w:rsidRPr="00471CBA" w:rsidRDefault="00A74C68" w:rsidP="00A74C68">
            <w:pPr>
              <w:rPr>
                <w:color w:val="000000"/>
                <w:sz w:val="16"/>
                <w:szCs w:val="16"/>
              </w:rPr>
            </w:pPr>
            <w:r w:rsidRPr="00471CBA">
              <w:rPr>
                <w:bCs/>
                <w:iCs/>
                <w:color w:val="000000"/>
                <w:sz w:val="16"/>
                <w:szCs w:val="16"/>
              </w:rPr>
              <w:t xml:space="preserve">Gerçek kişilerin ticari olmayan katılma </w:t>
            </w:r>
            <w:proofErr w:type="spellStart"/>
            <w:r w:rsidRPr="00471CBA">
              <w:rPr>
                <w:bCs/>
                <w:iCs/>
                <w:color w:val="000000"/>
                <w:sz w:val="16"/>
                <w:szCs w:val="16"/>
              </w:rPr>
              <w:t>hs.</w:t>
            </w:r>
            <w:proofErr w:type="spellEnd"/>
          </w:p>
        </w:tc>
        <w:tc>
          <w:tcPr>
            <w:tcW w:w="446" w:type="pct"/>
            <w:tcBorders>
              <w:top w:val="nil"/>
              <w:left w:val="nil"/>
              <w:bottom w:val="nil"/>
              <w:right w:val="nil"/>
            </w:tcBorders>
            <w:noWrap/>
            <w:vAlign w:val="center"/>
            <w:hideMark/>
          </w:tcPr>
          <w:p w14:paraId="7F37FDAC" w14:textId="77777777" w:rsidR="00A74C68" w:rsidRPr="00471CBA" w:rsidRDefault="00A74C68" w:rsidP="00A74C68">
            <w:pPr>
              <w:jc w:val="right"/>
              <w:rPr>
                <w:color w:val="000000"/>
                <w:sz w:val="16"/>
                <w:szCs w:val="16"/>
              </w:rPr>
            </w:pPr>
            <w:r w:rsidRPr="00471CBA">
              <w:rPr>
                <w:color w:val="000000"/>
                <w:sz w:val="16"/>
                <w:szCs w:val="16"/>
              </w:rPr>
              <w:t>1.409</w:t>
            </w:r>
          </w:p>
        </w:tc>
        <w:tc>
          <w:tcPr>
            <w:tcW w:w="391" w:type="pct"/>
            <w:tcBorders>
              <w:top w:val="nil"/>
              <w:left w:val="nil"/>
              <w:bottom w:val="nil"/>
              <w:right w:val="nil"/>
            </w:tcBorders>
            <w:noWrap/>
            <w:vAlign w:val="center"/>
            <w:hideMark/>
          </w:tcPr>
          <w:p w14:paraId="220BA127" w14:textId="77777777" w:rsidR="00A74C68" w:rsidRPr="00471CBA" w:rsidRDefault="00A74C68" w:rsidP="00A74C68">
            <w:pPr>
              <w:jc w:val="right"/>
              <w:rPr>
                <w:color w:val="000000"/>
                <w:sz w:val="16"/>
                <w:szCs w:val="16"/>
              </w:rPr>
            </w:pPr>
            <w:r w:rsidRPr="00471CBA">
              <w:rPr>
                <w:color w:val="000000"/>
                <w:sz w:val="16"/>
                <w:szCs w:val="16"/>
              </w:rPr>
              <w:t>14.404</w:t>
            </w:r>
          </w:p>
        </w:tc>
        <w:tc>
          <w:tcPr>
            <w:tcW w:w="468" w:type="pct"/>
            <w:tcBorders>
              <w:top w:val="nil"/>
              <w:left w:val="nil"/>
              <w:bottom w:val="nil"/>
              <w:right w:val="nil"/>
            </w:tcBorders>
            <w:noWrap/>
            <w:vAlign w:val="center"/>
            <w:hideMark/>
          </w:tcPr>
          <w:p w14:paraId="33321DC6" w14:textId="77777777" w:rsidR="00A74C68" w:rsidRPr="00471CBA" w:rsidRDefault="00A74C68" w:rsidP="00A74C68">
            <w:pPr>
              <w:jc w:val="right"/>
              <w:rPr>
                <w:color w:val="000000"/>
                <w:sz w:val="16"/>
                <w:szCs w:val="16"/>
              </w:rPr>
            </w:pPr>
            <w:r w:rsidRPr="00471CBA">
              <w:rPr>
                <w:color w:val="000000"/>
                <w:sz w:val="16"/>
                <w:szCs w:val="16"/>
              </w:rPr>
              <w:t>95</w:t>
            </w:r>
          </w:p>
        </w:tc>
        <w:tc>
          <w:tcPr>
            <w:tcW w:w="391" w:type="pct"/>
            <w:tcBorders>
              <w:top w:val="nil"/>
              <w:left w:val="nil"/>
              <w:bottom w:val="nil"/>
              <w:right w:val="nil"/>
            </w:tcBorders>
            <w:noWrap/>
            <w:vAlign w:val="center"/>
            <w:hideMark/>
          </w:tcPr>
          <w:p w14:paraId="24AD0F25" w14:textId="77777777" w:rsidR="00A74C68" w:rsidRPr="00471CBA" w:rsidRDefault="00A74C68" w:rsidP="00A74C68">
            <w:pPr>
              <w:jc w:val="right"/>
              <w:rPr>
                <w:color w:val="000000"/>
                <w:sz w:val="16"/>
                <w:szCs w:val="16"/>
              </w:rPr>
            </w:pPr>
            <w:r w:rsidRPr="00471CBA">
              <w:rPr>
                <w:color w:val="000000"/>
                <w:sz w:val="16"/>
                <w:szCs w:val="16"/>
              </w:rPr>
              <w:t>-</w:t>
            </w:r>
          </w:p>
        </w:tc>
        <w:tc>
          <w:tcPr>
            <w:tcW w:w="391" w:type="pct"/>
            <w:tcBorders>
              <w:top w:val="nil"/>
              <w:left w:val="nil"/>
              <w:bottom w:val="nil"/>
              <w:right w:val="nil"/>
            </w:tcBorders>
            <w:noWrap/>
            <w:vAlign w:val="center"/>
            <w:hideMark/>
          </w:tcPr>
          <w:p w14:paraId="1E2ACC98" w14:textId="77777777" w:rsidR="00A74C68" w:rsidRPr="00471CBA" w:rsidRDefault="00A74C68" w:rsidP="00A74C68">
            <w:pPr>
              <w:jc w:val="right"/>
              <w:rPr>
                <w:color w:val="000000"/>
                <w:sz w:val="16"/>
                <w:szCs w:val="16"/>
              </w:rPr>
            </w:pPr>
            <w:r w:rsidRPr="00471CBA">
              <w:rPr>
                <w:color w:val="000000"/>
                <w:sz w:val="16"/>
                <w:szCs w:val="16"/>
              </w:rPr>
              <w:t>7</w:t>
            </w:r>
          </w:p>
        </w:tc>
        <w:tc>
          <w:tcPr>
            <w:tcW w:w="390" w:type="pct"/>
            <w:tcBorders>
              <w:top w:val="nil"/>
              <w:left w:val="nil"/>
              <w:bottom w:val="nil"/>
              <w:right w:val="nil"/>
            </w:tcBorders>
            <w:noWrap/>
            <w:vAlign w:val="center"/>
            <w:hideMark/>
          </w:tcPr>
          <w:p w14:paraId="6AF7A800" w14:textId="77777777" w:rsidR="00A74C68" w:rsidRPr="00471CBA" w:rsidRDefault="00A74C68" w:rsidP="00A74C68">
            <w:pPr>
              <w:jc w:val="right"/>
              <w:rPr>
                <w:color w:val="000000"/>
                <w:sz w:val="16"/>
                <w:szCs w:val="16"/>
              </w:rPr>
            </w:pPr>
            <w:r w:rsidRPr="00471CBA">
              <w:rPr>
                <w:color w:val="000000"/>
                <w:sz w:val="16"/>
                <w:szCs w:val="16"/>
              </w:rPr>
              <w:t>1</w:t>
            </w:r>
          </w:p>
        </w:tc>
        <w:tc>
          <w:tcPr>
            <w:tcW w:w="421" w:type="pct"/>
            <w:tcBorders>
              <w:top w:val="nil"/>
              <w:left w:val="nil"/>
              <w:bottom w:val="nil"/>
              <w:right w:val="nil"/>
            </w:tcBorders>
            <w:noWrap/>
            <w:vAlign w:val="center"/>
            <w:hideMark/>
          </w:tcPr>
          <w:p w14:paraId="39F4FE76" w14:textId="77777777" w:rsidR="00A74C68" w:rsidRPr="00471CBA" w:rsidRDefault="00A74C68" w:rsidP="00A74C68">
            <w:pPr>
              <w:jc w:val="right"/>
              <w:rPr>
                <w:color w:val="000000"/>
                <w:sz w:val="16"/>
                <w:szCs w:val="16"/>
              </w:rPr>
            </w:pPr>
            <w:r w:rsidRPr="00471CBA">
              <w:rPr>
                <w:color w:val="000000"/>
                <w:sz w:val="16"/>
                <w:szCs w:val="16"/>
              </w:rPr>
              <w:t>-</w:t>
            </w:r>
          </w:p>
        </w:tc>
        <w:tc>
          <w:tcPr>
            <w:tcW w:w="517" w:type="pct"/>
            <w:tcBorders>
              <w:top w:val="nil"/>
              <w:left w:val="nil"/>
              <w:bottom w:val="nil"/>
              <w:right w:val="nil"/>
            </w:tcBorders>
            <w:noWrap/>
            <w:vAlign w:val="center"/>
            <w:hideMark/>
          </w:tcPr>
          <w:p w14:paraId="06D2D574" w14:textId="77777777" w:rsidR="00A74C68" w:rsidRPr="00471CBA" w:rsidRDefault="00A74C68" w:rsidP="00A74C68">
            <w:pPr>
              <w:jc w:val="right"/>
              <w:rPr>
                <w:color w:val="000000"/>
                <w:sz w:val="16"/>
                <w:szCs w:val="16"/>
              </w:rPr>
            </w:pPr>
            <w:r w:rsidRPr="00471CBA">
              <w:rPr>
                <w:color w:val="000000"/>
                <w:sz w:val="16"/>
                <w:szCs w:val="16"/>
              </w:rPr>
              <w:t>15.916</w:t>
            </w:r>
          </w:p>
        </w:tc>
      </w:tr>
      <w:tr w:rsidR="00A74C68" w:rsidRPr="00471CBA" w14:paraId="68418064" w14:textId="77777777" w:rsidTr="00A74C68">
        <w:trPr>
          <w:divId w:val="1290934723"/>
          <w:trHeight w:val="170"/>
        </w:trPr>
        <w:tc>
          <w:tcPr>
            <w:tcW w:w="1585" w:type="pct"/>
            <w:tcBorders>
              <w:top w:val="nil"/>
              <w:left w:val="nil"/>
              <w:bottom w:val="nil"/>
              <w:right w:val="nil"/>
            </w:tcBorders>
            <w:noWrap/>
            <w:vAlign w:val="bottom"/>
            <w:hideMark/>
          </w:tcPr>
          <w:p w14:paraId="5AC0B425" w14:textId="77777777" w:rsidR="00A74C68" w:rsidRPr="00471CBA" w:rsidRDefault="00A74C68" w:rsidP="00A74C68">
            <w:pPr>
              <w:rPr>
                <w:color w:val="000000"/>
                <w:sz w:val="16"/>
                <w:szCs w:val="16"/>
              </w:rPr>
            </w:pPr>
            <w:r w:rsidRPr="00471CBA">
              <w:rPr>
                <w:bCs/>
                <w:iCs/>
                <w:color w:val="000000"/>
                <w:sz w:val="16"/>
                <w:szCs w:val="16"/>
              </w:rPr>
              <w:t xml:space="preserve">Resmi kuruluş katılma </w:t>
            </w:r>
            <w:proofErr w:type="spellStart"/>
            <w:r w:rsidRPr="00471CBA">
              <w:rPr>
                <w:bCs/>
                <w:iCs/>
                <w:color w:val="000000"/>
                <w:sz w:val="16"/>
                <w:szCs w:val="16"/>
              </w:rPr>
              <w:t>hs.</w:t>
            </w:r>
            <w:proofErr w:type="spellEnd"/>
          </w:p>
        </w:tc>
        <w:tc>
          <w:tcPr>
            <w:tcW w:w="446" w:type="pct"/>
            <w:tcBorders>
              <w:top w:val="nil"/>
              <w:left w:val="nil"/>
              <w:bottom w:val="nil"/>
              <w:right w:val="nil"/>
            </w:tcBorders>
            <w:noWrap/>
            <w:vAlign w:val="center"/>
            <w:hideMark/>
          </w:tcPr>
          <w:p w14:paraId="2DCBDF63" w14:textId="77777777" w:rsidR="00A74C68" w:rsidRPr="00471CBA" w:rsidRDefault="00A74C68" w:rsidP="00A74C68">
            <w:pPr>
              <w:jc w:val="right"/>
              <w:rPr>
                <w:color w:val="000000"/>
                <w:sz w:val="16"/>
                <w:szCs w:val="16"/>
              </w:rPr>
            </w:pPr>
            <w:r w:rsidRPr="00471CBA">
              <w:rPr>
                <w:color w:val="000000"/>
                <w:sz w:val="16"/>
                <w:szCs w:val="16"/>
              </w:rPr>
              <w:t>-</w:t>
            </w:r>
          </w:p>
        </w:tc>
        <w:tc>
          <w:tcPr>
            <w:tcW w:w="391" w:type="pct"/>
            <w:tcBorders>
              <w:top w:val="nil"/>
              <w:left w:val="nil"/>
              <w:bottom w:val="nil"/>
              <w:right w:val="nil"/>
            </w:tcBorders>
            <w:noWrap/>
            <w:vAlign w:val="center"/>
            <w:hideMark/>
          </w:tcPr>
          <w:p w14:paraId="01459AAE" w14:textId="77777777" w:rsidR="00A74C68" w:rsidRPr="00471CBA" w:rsidRDefault="00A74C68" w:rsidP="00A74C68">
            <w:pPr>
              <w:jc w:val="right"/>
              <w:rPr>
                <w:color w:val="000000"/>
                <w:sz w:val="16"/>
                <w:szCs w:val="16"/>
              </w:rPr>
            </w:pPr>
            <w:r w:rsidRPr="00471CBA">
              <w:rPr>
                <w:color w:val="000000"/>
                <w:sz w:val="16"/>
                <w:szCs w:val="16"/>
              </w:rPr>
              <w:t>-</w:t>
            </w:r>
          </w:p>
        </w:tc>
        <w:tc>
          <w:tcPr>
            <w:tcW w:w="468" w:type="pct"/>
            <w:tcBorders>
              <w:top w:val="nil"/>
              <w:left w:val="nil"/>
              <w:bottom w:val="nil"/>
              <w:right w:val="nil"/>
            </w:tcBorders>
            <w:noWrap/>
            <w:vAlign w:val="center"/>
            <w:hideMark/>
          </w:tcPr>
          <w:p w14:paraId="664BC426" w14:textId="77777777" w:rsidR="00A74C68" w:rsidRPr="00471CBA" w:rsidRDefault="00A74C68" w:rsidP="00A74C68">
            <w:pPr>
              <w:jc w:val="right"/>
              <w:rPr>
                <w:color w:val="000000"/>
                <w:sz w:val="16"/>
                <w:szCs w:val="16"/>
              </w:rPr>
            </w:pPr>
            <w:r w:rsidRPr="00471CBA">
              <w:rPr>
                <w:color w:val="000000"/>
                <w:sz w:val="16"/>
                <w:szCs w:val="16"/>
              </w:rPr>
              <w:t>-</w:t>
            </w:r>
          </w:p>
        </w:tc>
        <w:tc>
          <w:tcPr>
            <w:tcW w:w="391" w:type="pct"/>
            <w:tcBorders>
              <w:top w:val="nil"/>
              <w:left w:val="nil"/>
              <w:bottom w:val="nil"/>
              <w:right w:val="nil"/>
            </w:tcBorders>
            <w:noWrap/>
            <w:vAlign w:val="center"/>
            <w:hideMark/>
          </w:tcPr>
          <w:p w14:paraId="03B0D5D4" w14:textId="77777777" w:rsidR="00A74C68" w:rsidRPr="00471CBA" w:rsidRDefault="00A74C68" w:rsidP="00A74C68">
            <w:pPr>
              <w:jc w:val="right"/>
              <w:rPr>
                <w:color w:val="000000"/>
                <w:sz w:val="16"/>
                <w:szCs w:val="16"/>
              </w:rPr>
            </w:pPr>
            <w:r w:rsidRPr="00471CBA">
              <w:rPr>
                <w:color w:val="000000"/>
                <w:sz w:val="16"/>
                <w:szCs w:val="16"/>
              </w:rPr>
              <w:t>-</w:t>
            </w:r>
          </w:p>
        </w:tc>
        <w:tc>
          <w:tcPr>
            <w:tcW w:w="391" w:type="pct"/>
            <w:tcBorders>
              <w:top w:val="nil"/>
              <w:left w:val="nil"/>
              <w:bottom w:val="nil"/>
              <w:right w:val="nil"/>
            </w:tcBorders>
            <w:noWrap/>
            <w:vAlign w:val="center"/>
            <w:hideMark/>
          </w:tcPr>
          <w:p w14:paraId="3207D3CC" w14:textId="77777777" w:rsidR="00A74C68" w:rsidRPr="00471CBA" w:rsidRDefault="00A74C68" w:rsidP="00A74C68">
            <w:pPr>
              <w:jc w:val="right"/>
              <w:rPr>
                <w:color w:val="000000"/>
                <w:sz w:val="16"/>
                <w:szCs w:val="16"/>
              </w:rPr>
            </w:pPr>
            <w:r w:rsidRPr="00471CBA">
              <w:rPr>
                <w:color w:val="000000"/>
                <w:sz w:val="16"/>
                <w:szCs w:val="16"/>
              </w:rPr>
              <w:t>-</w:t>
            </w:r>
          </w:p>
        </w:tc>
        <w:tc>
          <w:tcPr>
            <w:tcW w:w="390" w:type="pct"/>
            <w:tcBorders>
              <w:top w:val="nil"/>
              <w:left w:val="nil"/>
              <w:bottom w:val="nil"/>
              <w:right w:val="nil"/>
            </w:tcBorders>
            <w:noWrap/>
            <w:vAlign w:val="center"/>
            <w:hideMark/>
          </w:tcPr>
          <w:p w14:paraId="71551245" w14:textId="77777777" w:rsidR="00A74C68" w:rsidRPr="00471CBA" w:rsidRDefault="00A74C68" w:rsidP="00A74C68">
            <w:pPr>
              <w:jc w:val="right"/>
              <w:rPr>
                <w:color w:val="000000"/>
                <w:sz w:val="16"/>
                <w:szCs w:val="16"/>
              </w:rPr>
            </w:pPr>
            <w:r w:rsidRPr="00471CBA">
              <w:rPr>
                <w:color w:val="000000"/>
                <w:sz w:val="16"/>
                <w:szCs w:val="16"/>
              </w:rPr>
              <w:t>-</w:t>
            </w:r>
          </w:p>
        </w:tc>
        <w:tc>
          <w:tcPr>
            <w:tcW w:w="421" w:type="pct"/>
            <w:tcBorders>
              <w:top w:val="nil"/>
              <w:left w:val="nil"/>
              <w:bottom w:val="nil"/>
              <w:right w:val="nil"/>
            </w:tcBorders>
            <w:noWrap/>
            <w:vAlign w:val="center"/>
            <w:hideMark/>
          </w:tcPr>
          <w:p w14:paraId="67AAE71C" w14:textId="77777777" w:rsidR="00A74C68" w:rsidRPr="00471CBA" w:rsidRDefault="00A74C68" w:rsidP="00A74C68">
            <w:pPr>
              <w:jc w:val="right"/>
              <w:rPr>
                <w:color w:val="000000"/>
                <w:sz w:val="16"/>
                <w:szCs w:val="16"/>
              </w:rPr>
            </w:pPr>
            <w:r w:rsidRPr="00471CBA">
              <w:rPr>
                <w:color w:val="000000"/>
                <w:sz w:val="16"/>
                <w:szCs w:val="16"/>
              </w:rPr>
              <w:t>-</w:t>
            </w:r>
          </w:p>
        </w:tc>
        <w:tc>
          <w:tcPr>
            <w:tcW w:w="517" w:type="pct"/>
            <w:tcBorders>
              <w:top w:val="nil"/>
              <w:left w:val="nil"/>
              <w:bottom w:val="nil"/>
              <w:right w:val="nil"/>
            </w:tcBorders>
            <w:noWrap/>
            <w:vAlign w:val="center"/>
            <w:hideMark/>
          </w:tcPr>
          <w:p w14:paraId="22711BBA" w14:textId="77777777" w:rsidR="00A74C68" w:rsidRPr="00471CBA" w:rsidRDefault="00A74C68" w:rsidP="00A74C68">
            <w:pPr>
              <w:jc w:val="right"/>
              <w:rPr>
                <w:color w:val="000000"/>
                <w:sz w:val="16"/>
                <w:szCs w:val="16"/>
              </w:rPr>
            </w:pPr>
            <w:r w:rsidRPr="00471CBA">
              <w:rPr>
                <w:color w:val="000000"/>
                <w:sz w:val="16"/>
                <w:szCs w:val="16"/>
              </w:rPr>
              <w:t>-</w:t>
            </w:r>
          </w:p>
        </w:tc>
      </w:tr>
      <w:tr w:rsidR="00A74C68" w:rsidRPr="00471CBA" w14:paraId="05828C9E" w14:textId="77777777" w:rsidTr="00A74C68">
        <w:trPr>
          <w:divId w:val="1290934723"/>
          <w:trHeight w:val="170"/>
        </w:trPr>
        <w:tc>
          <w:tcPr>
            <w:tcW w:w="1585" w:type="pct"/>
            <w:tcBorders>
              <w:top w:val="nil"/>
              <w:left w:val="nil"/>
              <w:bottom w:val="nil"/>
              <w:right w:val="nil"/>
            </w:tcBorders>
            <w:noWrap/>
            <w:vAlign w:val="bottom"/>
            <w:hideMark/>
          </w:tcPr>
          <w:p w14:paraId="33E763A8" w14:textId="77777777" w:rsidR="00A74C68" w:rsidRPr="00471CBA" w:rsidRDefault="00A74C68" w:rsidP="00A74C68">
            <w:pPr>
              <w:rPr>
                <w:color w:val="000000"/>
                <w:sz w:val="16"/>
                <w:szCs w:val="16"/>
              </w:rPr>
            </w:pPr>
            <w:r w:rsidRPr="00471CBA">
              <w:rPr>
                <w:bCs/>
                <w:iCs/>
                <w:color w:val="000000"/>
                <w:sz w:val="16"/>
                <w:szCs w:val="16"/>
              </w:rPr>
              <w:t xml:space="preserve">Ticari kuruluş katılma </w:t>
            </w:r>
            <w:proofErr w:type="spellStart"/>
            <w:r w:rsidRPr="00471CBA">
              <w:rPr>
                <w:bCs/>
                <w:iCs/>
                <w:color w:val="000000"/>
                <w:sz w:val="16"/>
                <w:szCs w:val="16"/>
              </w:rPr>
              <w:t>hs.</w:t>
            </w:r>
            <w:proofErr w:type="spellEnd"/>
          </w:p>
        </w:tc>
        <w:tc>
          <w:tcPr>
            <w:tcW w:w="446" w:type="pct"/>
            <w:tcBorders>
              <w:top w:val="nil"/>
              <w:left w:val="nil"/>
              <w:bottom w:val="nil"/>
              <w:right w:val="nil"/>
            </w:tcBorders>
            <w:noWrap/>
            <w:vAlign w:val="center"/>
            <w:hideMark/>
          </w:tcPr>
          <w:p w14:paraId="4EE6EA04" w14:textId="77777777" w:rsidR="00A74C68" w:rsidRPr="00471CBA" w:rsidRDefault="00A74C68" w:rsidP="00A74C68">
            <w:pPr>
              <w:jc w:val="right"/>
              <w:rPr>
                <w:color w:val="000000"/>
                <w:sz w:val="16"/>
                <w:szCs w:val="16"/>
              </w:rPr>
            </w:pPr>
            <w:r w:rsidRPr="00471CBA">
              <w:rPr>
                <w:color w:val="000000"/>
                <w:sz w:val="16"/>
                <w:szCs w:val="16"/>
              </w:rPr>
              <w:t>26.176</w:t>
            </w:r>
          </w:p>
        </w:tc>
        <w:tc>
          <w:tcPr>
            <w:tcW w:w="391" w:type="pct"/>
            <w:tcBorders>
              <w:top w:val="nil"/>
              <w:left w:val="nil"/>
              <w:bottom w:val="nil"/>
              <w:right w:val="nil"/>
            </w:tcBorders>
            <w:noWrap/>
            <w:vAlign w:val="center"/>
            <w:hideMark/>
          </w:tcPr>
          <w:p w14:paraId="0BAC67F5" w14:textId="77777777" w:rsidR="00A74C68" w:rsidRPr="00471CBA" w:rsidRDefault="00A74C68" w:rsidP="00A74C68">
            <w:pPr>
              <w:jc w:val="right"/>
              <w:rPr>
                <w:color w:val="000000"/>
                <w:sz w:val="16"/>
                <w:szCs w:val="16"/>
              </w:rPr>
            </w:pPr>
            <w:r w:rsidRPr="00471CBA">
              <w:rPr>
                <w:color w:val="000000"/>
                <w:sz w:val="16"/>
                <w:szCs w:val="16"/>
              </w:rPr>
              <w:t>216.393</w:t>
            </w:r>
          </w:p>
        </w:tc>
        <w:tc>
          <w:tcPr>
            <w:tcW w:w="468" w:type="pct"/>
            <w:tcBorders>
              <w:top w:val="nil"/>
              <w:left w:val="nil"/>
              <w:bottom w:val="nil"/>
              <w:right w:val="nil"/>
            </w:tcBorders>
            <w:noWrap/>
            <w:vAlign w:val="center"/>
            <w:hideMark/>
          </w:tcPr>
          <w:p w14:paraId="701CE6EF" w14:textId="77777777" w:rsidR="00A74C68" w:rsidRPr="00471CBA" w:rsidRDefault="00A74C68" w:rsidP="00A74C68">
            <w:pPr>
              <w:jc w:val="right"/>
              <w:rPr>
                <w:color w:val="000000"/>
                <w:sz w:val="16"/>
                <w:szCs w:val="16"/>
              </w:rPr>
            </w:pPr>
            <w:r w:rsidRPr="00471CBA">
              <w:rPr>
                <w:color w:val="000000"/>
                <w:sz w:val="16"/>
                <w:szCs w:val="16"/>
              </w:rPr>
              <w:t>72.562</w:t>
            </w:r>
          </w:p>
        </w:tc>
        <w:tc>
          <w:tcPr>
            <w:tcW w:w="391" w:type="pct"/>
            <w:tcBorders>
              <w:top w:val="nil"/>
              <w:left w:val="nil"/>
              <w:bottom w:val="nil"/>
              <w:right w:val="nil"/>
            </w:tcBorders>
            <w:noWrap/>
            <w:vAlign w:val="center"/>
            <w:hideMark/>
          </w:tcPr>
          <w:p w14:paraId="1FD4633A" w14:textId="77777777" w:rsidR="00A74C68" w:rsidRPr="00471CBA" w:rsidRDefault="00A74C68" w:rsidP="00A74C68">
            <w:pPr>
              <w:jc w:val="right"/>
              <w:rPr>
                <w:color w:val="000000"/>
                <w:sz w:val="16"/>
                <w:szCs w:val="16"/>
              </w:rPr>
            </w:pPr>
            <w:r w:rsidRPr="00471CBA">
              <w:rPr>
                <w:color w:val="000000"/>
                <w:sz w:val="16"/>
                <w:szCs w:val="16"/>
              </w:rPr>
              <w:t>-</w:t>
            </w:r>
          </w:p>
        </w:tc>
        <w:tc>
          <w:tcPr>
            <w:tcW w:w="391" w:type="pct"/>
            <w:tcBorders>
              <w:top w:val="nil"/>
              <w:left w:val="nil"/>
              <w:bottom w:val="nil"/>
              <w:right w:val="nil"/>
            </w:tcBorders>
            <w:noWrap/>
            <w:vAlign w:val="center"/>
            <w:hideMark/>
          </w:tcPr>
          <w:p w14:paraId="31EF5A0C" w14:textId="77777777" w:rsidR="00A74C68" w:rsidRPr="00471CBA" w:rsidRDefault="00A74C68" w:rsidP="00A74C68">
            <w:pPr>
              <w:jc w:val="right"/>
              <w:rPr>
                <w:color w:val="000000"/>
                <w:sz w:val="16"/>
                <w:szCs w:val="16"/>
              </w:rPr>
            </w:pPr>
            <w:r w:rsidRPr="00471CBA">
              <w:rPr>
                <w:color w:val="000000"/>
                <w:sz w:val="16"/>
                <w:szCs w:val="16"/>
              </w:rPr>
              <w:t>16.768</w:t>
            </w:r>
          </w:p>
        </w:tc>
        <w:tc>
          <w:tcPr>
            <w:tcW w:w="390" w:type="pct"/>
            <w:tcBorders>
              <w:top w:val="nil"/>
              <w:left w:val="nil"/>
              <w:bottom w:val="nil"/>
              <w:right w:val="nil"/>
            </w:tcBorders>
            <w:noWrap/>
            <w:vAlign w:val="center"/>
            <w:hideMark/>
          </w:tcPr>
          <w:p w14:paraId="465E5E1E" w14:textId="77777777" w:rsidR="00A74C68" w:rsidRPr="00471CBA" w:rsidRDefault="00A74C68" w:rsidP="00A74C68">
            <w:pPr>
              <w:jc w:val="right"/>
              <w:rPr>
                <w:color w:val="000000"/>
                <w:sz w:val="16"/>
                <w:szCs w:val="16"/>
              </w:rPr>
            </w:pPr>
            <w:r w:rsidRPr="00471CBA">
              <w:rPr>
                <w:color w:val="000000"/>
                <w:sz w:val="16"/>
                <w:szCs w:val="16"/>
              </w:rPr>
              <w:t>840</w:t>
            </w:r>
          </w:p>
        </w:tc>
        <w:tc>
          <w:tcPr>
            <w:tcW w:w="421" w:type="pct"/>
            <w:tcBorders>
              <w:top w:val="nil"/>
              <w:left w:val="nil"/>
              <w:bottom w:val="nil"/>
              <w:right w:val="nil"/>
            </w:tcBorders>
            <w:noWrap/>
            <w:vAlign w:val="center"/>
            <w:hideMark/>
          </w:tcPr>
          <w:p w14:paraId="2D4D83FC" w14:textId="77777777" w:rsidR="00A74C68" w:rsidRPr="00471CBA" w:rsidRDefault="00A74C68" w:rsidP="00A74C68">
            <w:pPr>
              <w:jc w:val="right"/>
              <w:rPr>
                <w:color w:val="000000"/>
                <w:sz w:val="16"/>
                <w:szCs w:val="16"/>
              </w:rPr>
            </w:pPr>
            <w:r w:rsidRPr="00471CBA">
              <w:rPr>
                <w:color w:val="000000"/>
                <w:sz w:val="16"/>
                <w:szCs w:val="16"/>
              </w:rPr>
              <w:t>-</w:t>
            </w:r>
          </w:p>
        </w:tc>
        <w:tc>
          <w:tcPr>
            <w:tcW w:w="517" w:type="pct"/>
            <w:tcBorders>
              <w:top w:val="nil"/>
              <w:left w:val="nil"/>
              <w:bottom w:val="nil"/>
              <w:right w:val="nil"/>
            </w:tcBorders>
            <w:noWrap/>
            <w:vAlign w:val="center"/>
            <w:hideMark/>
          </w:tcPr>
          <w:p w14:paraId="11CD2148" w14:textId="77777777" w:rsidR="00A74C68" w:rsidRPr="00471CBA" w:rsidRDefault="00A74C68" w:rsidP="00A74C68">
            <w:pPr>
              <w:jc w:val="right"/>
              <w:rPr>
                <w:color w:val="000000"/>
                <w:sz w:val="16"/>
                <w:szCs w:val="16"/>
              </w:rPr>
            </w:pPr>
            <w:r w:rsidRPr="00471CBA">
              <w:rPr>
                <w:color w:val="000000"/>
                <w:sz w:val="16"/>
                <w:szCs w:val="16"/>
              </w:rPr>
              <w:t>332.739</w:t>
            </w:r>
          </w:p>
        </w:tc>
      </w:tr>
      <w:tr w:rsidR="00A74C68" w:rsidRPr="00471CBA" w14:paraId="1138E593" w14:textId="77777777" w:rsidTr="00A74C68">
        <w:trPr>
          <w:divId w:val="1290934723"/>
          <w:trHeight w:val="170"/>
        </w:trPr>
        <w:tc>
          <w:tcPr>
            <w:tcW w:w="1585" w:type="pct"/>
            <w:tcBorders>
              <w:top w:val="nil"/>
              <w:left w:val="nil"/>
              <w:bottom w:val="nil"/>
              <w:right w:val="nil"/>
            </w:tcBorders>
            <w:noWrap/>
            <w:vAlign w:val="bottom"/>
            <w:hideMark/>
          </w:tcPr>
          <w:p w14:paraId="7C594B7B" w14:textId="77777777" w:rsidR="00A74C68" w:rsidRPr="00471CBA" w:rsidRDefault="00A74C68" w:rsidP="00A74C68">
            <w:pPr>
              <w:rPr>
                <w:color w:val="000000"/>
                <w:sz w:val="16"/>
                <w:szCs w:val="16"/>
              </w:rPr>
            </w:pPr>
            <w:r w:rsidRPr="00471CBA">
              <w:rPr>
                <w:bCs/>
                <w:iCs/>
                <w:color w:val="000000"/>
                <w:sz w:val="16"/>
                <w:szCs w:val="16"/>
              </w:rPr>
              <w:t xml:space="preserve">Diğer kuruluş katılma </w:t>
            </w:r>
            <w:proofErr w:type="spellStart"/>
            <w:r w:rsidRPr="00471CBA">
              <w:rPr>
                <w:bCs/>
                <w:iCs/>
                <w:color w:val="000000"/>
                <w:sz w:val="16"/>
                <w:szCs w:val="16"/>
              </w:rPr>
              <w:t>hs.</w:t>
            </w:r>
            <w:proofErr w:type="spellEnd"/>
            <w:r w:rsidRPr="00471CBA">
              <w:rPr>
                <w:bCs/>
                <w:iCs/>
                <w:color w:val="000000"/>
                <w:sz w:val="16"/>
                <w:szCs w:val="16"/>
              </w:rPr>
              <w:t xml:space="preserve"> </w:t>
            </w:r>
          </w:p>
        </w:tc>
        <w:tc>
          <w:tcPr>
            <w:tcW w:w="446" w:type="pct"/>
            <w:tcBorders>
              <w:top w:val="nil"/>
              <w:left w:val="nil"/>
              <w:bottom w:val="nil"/>
              <w:right w:val="nil"/>
            </w:tcBorders>
            <w:noWrap/>
            <w:vAlign w:val="center"/>
            <w:hideMark/>
          </w:tcPr>
          <w:p w14:paraId="08B1B5D5" w14:textId="77777777" w:rsidR="00A74C68" w:rsidRPr="00471CBA" w:rsidRDefault="00A74C68" w:rsidP="00A74C68">
            <w:pPr>
              <w:jc w:val="right"/>
              <w:rPr>
                <w:color w:val="000000"/>
                <w:sz w:val="16"/>
                <w:szCs w:val="16"/>
              </w:rPr>
            </w:pPr>
            <w:r w:rsidRPr="00471CBA">
              <w:rPr>
                <w:color w:val="000000"/>
                <w:sz w:val="16"/>
                <w:szCs w:val="16"/>
              </w:rPr>
              <w:t>106</w:t>
            </w:r>
          </w:p>
        </w:tc>
        <w:tc>
          <w:tcPr>
            <w:tcW w:w="391" w:type="pct"/>
            <w:tcBorders>
              <w:top w:val="nil"/>
              <w:left w:val="nil"/>
              <w:bottom w:val="nil"/>
              <w:right w:val="nil"/>
            </w:tcBorders>
            <w:noWrap/>
            <w:vAlign w:val="center"/>
            <w:hideMark/>
          </w:tcPr>
          <w:p w14:paraId="24996181" w14:textId="77777777" w:rsidR="00A74C68" w:rsidRPr="00471CBA" w:rsidRDefault="00A74C68" w:rsidP="00A74C68">
            <w:pPr>
              <w:jc w:val="right"/>
              <w:rPr>
                <w:color w:val="000000"/>
                <w:sz w:val="16"/>
                <w:szCs w:val="16"/>
              </w:rPr>
            </w:pPr>
            <w:r w:rsidRPr="00471CBA">
              <w:rPr>
                <w:color w:val="000000"/>
                <w:sz w:val="16"/>
                <w:szCs w:val="16"/>
              </w:rPr>
              <w:t>49.066</w:t>
            </w:r>
          </w:p>
        </w:tc>
        <w:tc>
          <w:tcPr>
            <w:tcW w:w="468" w:type="pct"/>
            <w:tcBorders>
              <w:top w:val="nil"/>
              <w:left w:val="nil"/>
              <w:bottom w:val="nil"/>
              <w:right w:val="nil"/>
            </w:tcBorders>
            <w:noWrap/>
            <w:vAlign w:val="center"/>
            <w:hideMark/>
          </w:tcPr>
          <w:p w14:paraId="2B3E6363" w14:textId="77777777" w:rsidR="00A74C68" w:rsidRPr="00471CBA" w:rsidRDefault="00A74C68" w:rsidP="00A74C68">
            <w:pPr>
              <w:jc w:val="right"/>
              <w:rPr>
                <w:color w:val="000000"/>
                <w:sz w:val="16"/>
                <w:szCs w:val="16"/>
              </w:rPr>
            </w:pPr>
            <w:r w:rsidRPr="00471CBA">
              <w:rPr>
                <w:color w:val="000000"/>
                <w:sz w:val="16"/>
                <w:szCs w:val="16"/>
              </w:rPr>
              <w:t>64</w:t>
            </w:r>
          </w:p>
        </w:tc>
        <w:tc>
          <w:tcPr>
            <w:tcW w:w="391" w:type="pct"/>
            <w:tcBorders>
              <w:top w:val="nil"/>
              <w:left w:val="nil"/>
              <w:bottom w:val="nil"/>
              <w:right w:val="nil"/>
            </w:tcBorders>
            <w:noWrap/>
            <w:vAlign w:val="center"/>
            <w:hideMark/>
          </w:tcPr>
          <w:p w14:paraId="1377986C" w14:textId="77777777" w:rsidR="00A74C68" w:rsidRPr="00471CBA" w:rsidRDefault="00A74C68" w:rsidP="00A74C68">
            <w:pPr>
              <w:jc w:val="right"/>
              <w:rPr>
                <w:color w:val="000000"/>
                <w:sz w:val="16"/>
                <w:szCs w:val="16"/>
              </w:rPr>
            </w:pPr>
            <w:r w:rsidRPr="00471CBA">
              <w:rPr>
                <w:color w:val="000000"/>
                <w:sz w:val="16"/>
                <w:szCs w:val="16"/>
              </w:rPr>
              <w:t>-</w:t>
            </w:r>
          </w:p>
        </w:tc>
        <w:tc>
          <w:tcPr>
            <w:tcW w:w="391" w:type="pct"/>
            <w:tcBorders>
              <w:top w:val="nil"/>
              <w:left w:val="nil"/>
              <w:bottom w:val="nil"/>
              <w:right w:val="nil"/>
            </w:tcBorders>
            <w:noWrap/>
            <w:vAlign w:val="center"/>
            <w:hideMark/>
          </w:tcPr>
          <w:p w14:paraId="6E1F1756" w14:textId="77777777" w:rsidR="00A74C68" w:rsidRPr="00471CBA" w:rsidRDefault="00A74C68" w:rsidP="00A74C68">
            <w:pPr>
              <w:jc w:val="right"/>
              <w:rPr>
                <w:color w:val="000000"/>
                <w:sz w:val="16"/>
                <w:szCs w:val="16"/>
              </w:rPr>
            </w:pPr>
            <w:r w:rsidRPr="00471CBA">
              <w:rPr>
                <w:color w:val="000000"/>
                <w:sz w:val="16"/>
                <w:szCs w:val="16"/>
              </w:rPr>
              <w:t>-</w:t>
            </w:r>
          </w:p>
        </w:tc>
        <w:tc>
          <w:tcPr>
            <w:tcW w:w="390" w:type="pct"/>
            <w:tcBorders>
              <w:top w:val="nil"/>
              <w:left w:val="nil"/>
              <w:bottom w:val="nil"/>
              <w:right w:val="nil"/>
            </w:tcBorders>
            <w:noWrap/>
            <w:vAlign w:val="center"/>
            <w:hideMark/>
          </w:tcPr>
          <w:p w14:paraId="39CF2F9C" w14:textId="77777777" w:rsidR="00A74C68" w:rsidRPr="00471CBA" w:rsidRDefault="00A74C68" w:rsidP="00A74C68">
            <w:pPr>
              <w:jc w:val="right"/>
              <w:rPr>
                <w:color w:val="000000"/>
                <w:sz w:val="16"/>
                <w:szCs w:val="16"/>
              </w:rPr>
            </w:pPr>
            <w:r w:rsidRPr="00471CBA">
              <w:rPr>
                <w:color w:val="000000"/>
                <w:sz w:val="16"/>
                <w:szCs w:val="16"/>
              </w:rPr>
              <w:t>-</w:t>
            </w:r>
          </w:p>
        </w:tc>
        <w:tc>
          <w:tcPr>
            <w:tcW w:w="421" w:type="pct"/>
            <w:tcBorders>
              <w:top w:val="nil"/>
              <w:left w:val="nil"/>
              <w:bottom w:val="nil"/>
              <w:right w:val="nil"/>
            </w:tcBorders>
            <w:noWrap/>
            <w:vAlign w:val="center"/>
            <w:hideMark/>
          </w:tcPr>
          <w:p w14:paraId="5C6246C4" w14:textId="77777777" w:rsidR="00A74C68" w:rsidRPr="00471CBA" w:rsidRDefault="00A74C68" w:rsidP="00A74C68">
            <w:pPr>
              <w:jc w:val="right"/>
              <w:rPr>
                <w:color w:val="000000"/>
                <w:sz w:val="16"/>
                <w:szCs w:val="16"/>
              </w:rPr>
            </w:pPr>
            <w:r w:rsidRPr="00471CBA">
              <w:rPr>
                <w:color w:val="000000"/>
                <w:sz w:val="16"/>
                <w:szCs w:val="16"/>
              </w:rPr>
              <w:t>-</w:t>
            </w:r>
          </w:p>
        </w:tc>
        <w:tc>
          <w:tcPr>
            <w:tcW w:w="517" w:type="pct"/>
            <w:tcBorders>
              <w:top w:val="nil"/>
              <w:left w:val="nil"/>
              <w:bottom w:val="nil"/>
              <w:right w:val="nil"/>
            </w:tcBorders>
            <w:noWrap/>
            <w:vAlign w:val="center"/>
            <w:hideMark/>
          </w:tcPr>
          <w:p w14:paraId="4141B7E7" w14:textId="77777777" w:rsidR="00A74C68" w:rsidRPr="00471CBA" w:rsidRDefault="00A74C68" w:rsidP="00A74C68">
            <w:pPr>
              <w:jc w:val="right"/>
              <w:rPr>
                <w:color w:val="000000"/>
                <w:sz w:val="16"/>
                <w:szCs w:val="16"/>
              </w:rPr>
            </w:pPr>
            <w:r w:rsidRPr="00471CBA">
              <w:rPr>
                <w:color w:val="000000"/>
                <w:sz w:val="16"/>
                <w:szCs w:val="16"/>
              </w:rPr>
              <w:t>49.236</w:t>
            </w:r>
          </w:p>
        </w:tc>
      </w:tr>
      <w:tr w:rsidR="00A74C68" w:rsidRPr="00471CBA" w14:paraId="66918010" w14:textId="77777777" w:rsidTr="00A74C68">
        <w:trPr>
          <w:divId w:val="1290934723"/>
          <w:trHeight w:val="170"/>
        </w:trPr>
        <w:tc>
          <w:tcPr>
            <w:tcW w:w="1585" w:type="pct"/>
            <w:tcBorders>
              <w:top w:val="nil"/>
              <w:left w:val="nil"/>
              <w:bottom w:val="single" w:sz="4" w:space="0" w:color="auto"/>
              <w:right w:val="nil"/>
            </w:tcBorders>
            <w:noWrap/>
            <w:vAlign w:val="bottom"/>
            <w:hideMark/>
          </w:tcPr>
          <w:p w14:paraId="4ECBE4E9" w14:textId="77777777" w:rsidR="00A74C68" w:rsidRPr="00471CBA" w:rsidRDefault="00A74C68" w:rsidP="00A74C68">
            <w:pPr>
              <w:rPr>
                <w:color w:val="000000"/>
                <w:sz w:val="16"/>
                <w:szCs w:val="16"/>
              </w:rPr>
            </w:pPr>
            <w:r w:rsidRPr="00471CBA">
              <w:rPr>
                <w:bCs/>
                <w:iCs/>
                <w:color w:val="000000"/>
                <w:sz w:val="16"/>
                <w:szCs w:val="16"/>
              </w:rPr>
              <w:t xml:space="preserve">Kıymetli maden depo </w:t>
            </w:r>
            <w:proofErr w:type="spellStart"/>
            <w:r w:rsidRPr="00471CBA">
              <w:rPr>
                <w:bCs/>
                <w:iCs/>
                <w:color w:val="000000"/>
                <w:sz w:val="16"/>
                <w:szCs w:val="16"/>
              </w:rPr>
              <w:t>hs.</w:t>
            </w:r>
            <w:proofErr w:type="spellEnd"/>
          </w:p>
        </w:tc>
        <w:tc>
          <w:tcPr>
            <w:tcW w:w="446" w:type="pct"/>
            <w:tcBorders>
              <w:top w:val="nil"/>
              <w:left w:val="nil"/>
              <w:bottom w:val="single" w:sz="4" w:space="0" w:color="auto"/>
              <w:right w:val="nil"/>
            </w:tcBorders>
            <w:noWrap/>
            <w:vAlign w:val="center"/>
            <w:hideMark/>
          </w:tcPr>
          <w:p w14:paraId="7F19946F" w14:textId="77777777" w:rsidR="00A74C68" w:rsidRPr="00471CBA" w:rsidRDefault="00A74C68" w:rsidP="00A74C68">
            <w:pPr>
              <w:jc w:val="right"/>
              <w:rPr>
                <w:color w:val="000000"/>
                <w:sz w:val="16"/>
                <w:szCs w:val="16"/>
              </w:rPr>
            </w:pPr>
            <w:r w:rsidRPr="00471CBA">
              <w:rPr>
                <w:color w:val="000000"/>
                <w:sz w:val="16"/>
                <w:szCs w:val="16"/>
              </w:rPr>
              <w:t>15.658</w:t>
            </w:r>
          </w:p>
        </w:tc>
        <w:tc>
          <w:tcPr>
            <w:tcW w:w="391" w:type="pct"/>
            <w:tcBorders>
              <w:top w:val="nil"/>
              <w:left w:val="nil"/>
              <w:bottom w:val="single" w:sz="4" w:space="0" w:color="auto"/>
              <w:right w:val="nil"/>
            </w:tcBorders>
            <w:noWrap/>
            <w:vAlign w:val="center"/>
            <w:hideMark/>
          </w:tcPr>
          <w:p w14:paraId="136065B5" w14:textId="77777777" w:rsidR="00A74C68" w:rsidRPr="00471CBA" w:rsidRDefault="00A74C68" w:rsidP="00A74C68">
            <w:pPr>
              <w:jc w:val="right"/>
              <w:rPr>
                <w:color w:val="000000"/>
                <w:sz w:val="16"/>
                <w:szCs w:val="16"/>
              </w:rPr>
            </w:pPr>
            <w:r w:rsidRPr="00471CBA">
              <w:rPr>
                <w:color w:val="000000"/>
                <w:sz w:val="16"/>
                <w:szCs w:val="16"/>
              </w:rPr>
              <w:t>83.540</w:t>
            </w:r>
          </w:p>
        </w:tc>
        <w:tc>
          <w:tcPr>
            <w:tcW w:w="468" w:type="pct"/>
            <w:tcBorders>
              <w:top w:val="nil"/>
              <w:left w:val="nil"/>
              <w:bottom w:val="single" w:sz="4" w:space="0" w:color="auto"/>
              <w:right w:val="nil"/>
            </w:tcBorders>
            <w:noWrap/>
            <w:vAlign w:val="center"/>
            <w:hideMark/>
          </w:tcPr>
          <w:p w14:paraId="742A7C22" w14:textId="77777777" w:rsidR="00A74C68" w:rsidRPr="00471CBA" w:rsidRDefault="00A74C68" w:rsidP="00A74C68">
            <w:pPr>
              <w:jc w:val="right"/>
              <w:rPr>
                <w:color w:val="000000"/>
                <w:sz w:val="16"/>
                <w:szCs w:val="16"/>
              </w:rPr>
            </w:pPr>
            <w:r w:rsidRPr="00471CBA">
              <w:rPr>
                <w:color w:val="000000"/>
                <w:sz w:val="16"/>
                <w:szCs w:val="16"/>
              </w:rPr>
              <w:t>29.388</w:t>
            </w:r>
          </w:p>
        </w:tc>
        <w:tc>
          <w:tcPr>
            <w:tcW w:w="391" w:type="pct"/>
            <w:tcBorders>
              <w:top w:val="nil"/>
              <w:left w:val="nil"/>
              <w:bottom w:val="single" w:sz="4" w:space="0" w:color="auto"/>
              <w:right w:val="nil"/>
            </w:tcBorders>
            <w:noWrap/>
            <w:vAlign w:val="center"/>
            <w:hideMark/>
          </w:tcPr>
          <w:p w14:paraId="1CE92B13" w14:textId="77777777" w:rsidR="00A74C68" w:rsidRPr="00471CBA" w:rsidRDefault="00A74C68" w:rsidP="00A74C68">
            <w:pPr>
              <w:jc w:val="right"/>
              <w:rPr>
                <w:color w:val="000000"/>
                <w:sz w:val="16"/>
                <w:szCs w:val="16"/>
              </w:rPr>
            </w:pPr>
            <w:r w:rsidRPr="00471CBA">
              <w:rPr>
                <w:color w:val="000000"/>
                <w:sz w:val="16"/>
                <w:szCs w:val="16"/>
              </w:rPr>
              <w:t>-</w:t>
            </w:r>
          </w:p>
        </w:tc>
        <w:tc>
          <w:tcPr>
            <w:tcW w:w="391" w:type="pct"/>
            <w:tcBorders>
              <w:top w:val="nil"/>
              <w:left w:val="nil"/>
              <w:bottom w:val="single" w:sz="4" w:space="0" w:color="auto"/>
              <w:right w:val="nil"/>
            </w:tcBorders>
            <w:noWrap/>
            <w:vAlign w:val="center"/>
            <w:hideMark/>
          </w:tcPr>
          <w:p w14:paraId="38264228" w14:textId="77777777" w:rsidR="00A74C68" w:rsidRPr="00471CBA" w:rsidRDefault="00A74C68" w:rsidP="00A74C68">
            <w:pPr>
              <w:jc w:val="right"/>
              <w:rPr>
                <w:color w:val="000000"/>
                <w:sz w:val="16"/>
                <w:szCs w:val="16"/>
              </w:rPr>
            </w:pPr>
            <w:r w:rsidRPr="00471CBA">
              <w:rPr>
                <w:color w:val="000000"/>
                <w:sz w:val="16"/>
                <w:szCs w:val="16"/>
              </w:rPr>
              <w:t>1.757</w:t>
            </w:r>
          </w:p>
        </w:tc>
        <w:tc>
          <w:tcPr>
            <w:tcW w:w="390" w:type="pct"/>
            <w:tcBorders>
              <w:top w:val="nil"/>
              <w:left w:val="nil"/>
              <w:bottom w:val="single" w:sz="4" w:space="0" w:color="auto"/>
              <w:right w:val="nil"/>
            </w:tcBorders>
            <w:noWrap/>
            <w:vAlign w:val="center"/>
            <w:hideMark/>
          </w:tcPr>
          <w:p w14:paraId="2EC4D299" w14:textId="77777777" w:rsidR="00A74C68" w:rsidRPr="00471CBA" w:rsidRDefault="00A74C68" w:rsidP="00A74C68">
            <w:pPr>
              <w:jc w:val="right"/>
              <w:rPr>
                <w:color w:val="000000"/>
                <w:sz w:val="16"/>
                <w:szCs w:val="16"/>
              </w:rPr>
            </w:pPr>
            <w:r w:rsidRPr="00471CBA">
              <w:rPr>
                <w:color w:val="000000"/>
                <w:sz w:val="16"/>
                <w:szCs w:val="16"/>
              </w:rPr>
              <w:t>5.982</w:t>
            </w:r>
          </w:p>
        </w:tc>
        <w:tc>
          <w:tcPr>
            <w:tcW w:w="421" w:type="pct"/>
            <w:tcBorders>
              <w:top w:val="nil"/>
              <w:left w:val="nil"/>
              <w:bottom w:val="single" w:sz="4" w:space="0" w:color="auto"/>
              <w:right w:val="nil"/>
            </w:tcBorders>
            <w:noWrap/>
            <w:vAlign w:val="center"/>
            <w:hideMark/>
          </w:tcPr>
          <w:p w14:paraId="4FCFF7CC" w14:textId="77777777" w:rsidR="00A74C68" w:rsidRPr="00471CBA" w:rsidRDefault="00A74C68" w:rsidP="00A74C68">
            <w:pPr>
              <w:jc w:val="right"/>
              <w:rPr>
                <w:color w:val="000000"/>
                <w:sz w:val="16"/>
                <w:szCs w:val="16"/>
              </w:rPr>
            </w:pPr>
            <w:r w:rsidRPr="00471CBA">
              <w:rPr>
                <w:color w:val="000000"/>
                <w:sz w:val="16"/>
                <w:szCs w:val="16"/>
              </w:rPr>
              <w:t>-</w:t>
            </w:r>
          </w:p>
        </w:tc>
        <w:tc>
          <w:tcPr>
            <w:tcW w:w="517" w:type="pct"/>
            <w:tcBorders>
              <w:top w:val="nil"/>
              <w:left w:val="nil"/>
              <w:bottom w:val="single" w:sz="4" w:space="0" w:color="auto"/>
              <w:right w:val="nil"/>
            </w:tcBorders>
            <w:noWrap/>
            <w:vAlign w:val="center"/>
            <w:hideMark/>
          </w:tcPr>
          <w:p w14:paraId="78621A22" w14:textId="77777777" w:rsidR="00A74C68" w:rsidRPr="00471CBA" w:rsidRDefault="00A74C68" w:rsidP="00A74C68">
            <w:pPr>
              <w:jc w:val="right"/>
              <w:rPr>
                <w:color w:val="000000"/>
                <w:sz w:val="16"/>
                <w:szCs w:val="16"/>
              </w:rPr>
            </w:pPr>
            <w:r w:rsidRPr="00471CBA">
              <w:rPr>
                <w:color w:val="000000"/>
                <w:sz w:val="16"/>
                <w:szCs w:val="16"/>
              </w:rPr>
              <w:t>136.325</w:t>
            </w:r>
          </w:p>
        </w:tc>
      </w:tr>
      <w:tr w:rsidR="00A74C68" w:rsidRPr="00471CBA" w14:paraId="2510628B" w14:textId="77777777" w:rsidTr="00A74C68">
        <w:trPr>
          <w:divId w:val="1290934723"/>
          <w:trHeight w:val="170"/>
        </w:trPr>
        <w:tc>
          <w:tcPr>
            <w:tcW w:w="1585" w:type="pct"/>
            <w:tcBorders>
              <w:top w:val="nil"/>
              <w:left w:val="nil"/>
              <w:bottom w:val="nil"/>
              <w:right w:val="nil"/>
            </w:tcBorders>
            <w:vAlign w:val="center"/>
            <w:hideMark/>
          </w:tcPr>
          <w:p w14:paraId="76EACD6F" w14:textId="77777777" w:rsidR="00A74C68" w:rsidRPr="00471CBA" w:rsidRDefault="00A74C68" w:rsidP="00A74C68">
            <w:pPr>
              <w:jc w:val="right"/>
              <w:rPr>
                <w:color w:val="000000"/>
                <w:sz w:val="16"/>
                <w:szCs w:val="16"/>
              </w:rPr>
            </w:pPr>
          </w:p>
        </w:tc>
        <w:tc>
          <w:tcPr>
            <w:tcW w:w="446" w:type="pct"/>
            <w:tcBorders>
              <w:top w:val="nil"/>
              <w:left w:val="nil"/>
              <w:bottom w:val="nil"/>
              <w:right w:val="nil"/>
            </w:tcBorders>
            <w:vAlign w:val="center"/>
            <w:hideMark/>
          </w:tcPr>
          <w:p w14:paraId="28D8238C" w14:textId="77777777" w:rsidR="00A74C68" w:rsidRPr="00471CBA" w:rsidRDefault="00A74C68" w:rsidP="00A74C68">
            <w:pPr>
              <w:jc w:val="right"/>
              <w:rPr>
                <w:szCs w:val="20"/>
              </w:rPr>
            </w:pPr>
          </w:p>
        </w:tc>
        <w:tc>
          <w:tcPr>
            <w:tcW w:w="391" w:type="pct"/>
            <w:tcBorders>
              <w:top w:val="nil"/>
              <w:left w:val="nil"/>
              <w:bottom w:val="nil"/>
              <w:right w:val="nil"/>
            </w:tcBorders>
            <w:vAlign w:val="center"/>
            <w:hideMark/>
          </w:tcPr>
          <w:p w14:paraId="06D86E08" w14:textId="77777777" w:rsidR="00A74C68" w:rsidRPr="00471CBA" w:rsidRDefault="00A74C68" w:rsidP="00A74C68">
            <w:pPr>
              <w:jc w:val="right"/>
              <w:rPr>
                <w:szCs w:val="20"/>
              </w:rPr>
            </w:pPr>
          </w:p>
        </w:tc>
        <w:tc>
          <w:tcPr>
            <w:tcW w:w="468" w:type="pct"/>
            <w:tcBorders>
              <w:top w:val="nil"/>
              <w:left w:val="nil"/>
              <w:bottom w:val="nil"/>
              <w:right w:val="nil"/>
            </w:tcBorders>
            <w:vAlign w:val="center"/>
            <w:hideMark/>
          </w:tcPr>
          <w:p w14:paraId="3801D6EA" w14:textId="77777777" w:rsidR="00A74C68" w:rsidRPr="00471CBA" w:rsidRDefault="00A74C68" w:rsidP="00A74C68">
            <w:pPr>
              <w:jc w:val="right"/>
              <w:rPr>
                <w:szCs w:val="20"/>
              </w:rPr>
            </w:pPr>
          </w:p>
        </w:tc>
        <w:tc>
          <w:tcPr>
            <w:tcW w:w="391" w:type="pct"/>
            <w:tcBorders>
              <w:top w:val="nil"/>
              <w:left w:val="nil"/>
              <w:bottom w:val="nil"/>
              <w:right w:val="nil"/>
            </w:tcBorders>
            <w:vAlign w:val="center"/>
            <w:hideMark/>
          </w:tcPr>
          <w:p w14:paraId="399E96B7" w14:textId="77777777" w:rsidR="00A74C68" w:rsidRPr="00471CBA" w:rsidRDefault="00A74C68" w:rsidP="00A74C68">
            <w:pPr>
              <w:jc w:val="right"/>
              <w:rPr>
                <w:szCs w:val="20"/>
              </w:rPr>
            </w:pPr>
          </w:p>
        </w:tc>
        <w:tc>
          <w:tcPr>
            <w:tcW w:w="391" w:type="pct"/>
            <w:tcBorders>
              <w:top w:val="nil"/>
              <w:left w:val="nil"/>
              <w:bottom w:val="nil"/>
              <w:right w:val="nil"/>
            </w:tcBorders>
            <w:vAlign w:val="center"/>
            <w:hideMark/>
          </w:tcPr>
          <w:p w14:paraId="1408BDCE" w14:textId="77777777" w:rsidR="00A74C68" w:rsidRPr="00471CBA" w:rsidRDefault="00A74C68" w:rsidP="00A74C68">
            <w:pPr>
              <w:jc w:val="right"/>
              <w:rPr>
                <w:szCs w:val="20"/>
              </w:rPr>
            </w:pPr>
          </w:p>
        </w:tc>
        <w:tc>
          <w:tcPr>
            <w:tcW w:w="390" w:type="pct"/>
            <w:tcBorders>
              <w:top w:val="nil"/>
              <w:left w:val="nil"/>
              <w:bottom w:val="nil"/>
              <w:right w:val="nil"/>
            </w:tcBorders>
            <w:vAlign w:val="center"/>
            <w:hideMark/>
          </w:tcPr>
          <w:p w14:paraId="2E663AB7" w14:textId="77777777" w:rsidR="00A74C68" w:rsidRPr="00471CBA" w:rsidRDefault="00A74C68" w:rsidP="00A74C68">
            <w:pPr>
              <w:jc w:val="right"/>
              <w:rPr>
                <w:szCs w:val="20"/>
              </w:rPr>
            </w:pPr>
          </w:p>
        </w:tc>
        <w:tc>
          <w:tcPr>
            <w:tcW w:w="421" w:type="pct"/>
            <w:tcBorders>
              <w:top w:val="nil"/>
              <w:left w:val="nil"/>
              <w:bottom w:val="nil"/>
              <w:right w:val="nil"/>
            </w:tcBorders>
            <w:vAlign w:val="center"/>
            <w:hideMark/>
          </w:tcPr>
          <w:p w14:paraId="22E73EC5" w14:textId="77777777" w:rsidR="00A74C68" w:rsidRPr="00471CBA" w:rsidRDefault="00A74C68" w:rsidP="00A74C68">
            <w:pPr>
              <w:jc w:val="right"/>
              <w:rPr>
                <w:szCs w:val="20"/>
              </w:rPr>
            </w:pPr>
          </w:p>
        </w:tc>
        <w:tc>
          <w:tcPr>
            <w:tcW w:w="517" w:type="pct"/>
            <w:tcBorders>
              <w:top w:val="nil"/>
              <w:left w:val="nil"/>
              <w:bottom w:val="nil"/>
              <w:right w:val="nil"/>
            </w:tcBorders>
            <w:vAlign w:val="center"/>
            <w:hideMark/>
          </w:tcPr>
          <w:p w14:paraId="1C5FDF90" w14:textId="77777777" w:rsidR="00A74C68" w:rsidRPr="00471CBA" w:rsidRDefault="00A74C68" w:rsidP="00A74C68">
            <w:pPr>
              <w:jc w:val="right"/>
              <w:rPr>
                <w:szCs w:val="20"/>
              </w:rPr>
            </w:pPr>
          </w:p>
        </w:tc>
      </w:tr>
      <w:tr w:rsidR="00A74C68" w:rsidRPr="00471CBA" w14:paraId="37A2072D" w14:textId="77777777" w:rsidTr="00A74C68">
        <w:trPr>
          <w:divId w:val="1290934723"/>
          <w:trHeight w:val="170"/>
        </w:trPr>
        <w:tc>
          <w:tcPr>
            <w:tcW w:w="1585" w:type="pct"/>
            <w:tcBorders>
              <w:top w:val="nil"/>
              <w:left w:val="nil"/>
              <w:bottom w:val="single" w:sz="8" w:space="0" w:color="auto"/>
              <w:right w:val="nil"/>
            </w:tcBorders>
            <w:vAlign w:val="center"/>
            <w:hideMark/>
          </w:tcPr>
          <w:p w14:paraId="00A13010" w14:textId="77777777" w:rsidR="00A74C68" w:rsidRPr="00471CBA" w:rsidRDefault="00A74C68" w:rsidP="00A74C68">
            <w:pPr>
              <w:rPr>
                <w:b/>
                <w:bCs/>
                <w:color w:val="000000"/>
                <w:sz w:val="16"/>
                <w:szCs w:val="16"/>
              </w:rPr>
            </w:pPr>
            <w:r w:rsidRPr="00471CBA">
              <w:rPr>
                <w:b/>
                <w:bCs/>
                <w:iCs/>
                <w:color w:val="000000"/>
                <w:sz w:val="16"/>
                <w:szCs w:val="16"/>
              </w:rPr>
              <w:t>Toplam</w:t>
            </w:r>
          </w:p>
        </w:tc>
        <w:tc>
          <w:tcPr>
            <w:tcW w:w="446" w:type="pct"/>
            <w:tcBorders>
              <w:top w:val="nil"/>
              <w:left w:val="nil"/>
              <w:bottom w:val="single" w:sz="8" w:space="0" w:color="auto"/>
              <w:right w:val="nil"/>
            </w:tcBorders>
            <w:noWrap/>
            <w:vAlign w:val="center"/>
            <w:hideMark/>
          </w:tcPr>
          <w:p w14:paraId="42BD86D1" w14:textId="77777777" w:rsidR="00A74C68" w:rsidRPr="00471CBA" w:rsidRDefault="00A74C68" w:rsidP="00A74C68">
            <w:pPr>
              <w:jc w:val="right"/>
              <w:rPr>
                <w:b/>
                <w:bCs/>
                <w:sz w:val="16"/>
                <w:szCs w:val="16"/>
              </w:rPr>
            </w:pPr>
            <w:r w:rsidRPr="00471CBA">
              <w:rPr>
                <w:b/>
                <w:bCs/>
                <w:sz w:val="16"/>
                <w:szCs w:val="16"/>
              </w:rPr>
              <w:t>43.349</w:t>
            </w:r>
          </w:p>
        </w:tc>
        <w:tc>
          <w:tcPr>
            <w:tcW w:w="391" w:type="pct"/>
            <w:tcBorders>
              <w:top w:val="nil"/>
              <w:left w:val="nil"/>
              <w:bottom w:val="single" w:sz="8" w:space="0" w:color="auto"/>
              <w:right w:val="nil"/>
            </w:tcBorders>
            <w:noWrap/>
            <w:vAlign w:val="center"/>
            <w:hideMark/>
          </w:tcPr>
          <w:p w14:paraId="7BE9D1D2" w14:textId="77777777" w:rsidR="00A74C68" w:rsidRPr="00471CBA" w:rsidRDefault="00A74C68" w:rsidP="00A74C68">
            <w:pPr>
              <w:jc w:val="right"/>
              <w:rPr>
                <w:b/>
                <w:bCs/>
                <w:sz w:val="16"/>
                <w:szCs w:val="16"/>
              </w:rPr>
            </w:pPr>
            <w:r w:rsidRPr="00471CBA">
              <w:rPr>
                <w:b/>
                <w:bCs/>
                <w:sz w:val="16"/>
                <w:szCs w:val="16"/>
              </w:rPr>
              <w:t>363.403</w:t>
            </w:r>
          </w:p>
        </w:tc>
        <w:tc>
          <w:tcPr>
            <w:tcW w:w="468" w:type="pct"/>
            <w:tcBorders>
              <w:top w:val="nil"/>
              <w:left w:val="nil"/>
              <w:bottom w:val="single" w:sz="8" w:space="0" w:color="auto"/>
              <w:right w:val="nil"/>
            </w:tcBorders>
            <w:noWrap/>
            <w:vAlign w:val="center"/>
            <w:hideMark/>
          </w:tcPr>
          <w:p w14:paraId="54235F0C" w14:textId="77777777" w:rsidR="00A74C68" w:rsidRPr="00471CBA" w:rsidRDefault="00A74C68" w:rsidP="00A74C68">
            <w:pPr>
              <w:jc w:val="right"/>
              <w:rPr>
                <w:b/>
                <w:bCs/>
                <w:sz w:val="16"/>
                <w:szCs w:val="16"/>
              </w:rPr>
            </w:pPr>
            <w:r w:rsidRPr="00471CBA">
              <w:rPr>
                <w:b/>
                <w:bCs/>
                <w:sz w:val="16"/>
                <w:szCs w:val="16"/>
              </w:rPr>
              <w:t>102.109</w:t>
            </w:r>
          </w:p>
        </w:tc>
        <w:tc>
          <w:tcPr>
            <w:tcW w:w="391" w:type="pct"/>
            <w:tcBorders>
              <w:top w:val="nil"/>
              <w:left w:val="nil"/>
              <w:bottom w:val="single" w:sz="8" w:space="0" w:color="auto"/>
              <w:right w:val="nil"/>
            </w:tcBorders>
            <w:noWrap/>
            <w:vAlign w:val="center"/>
            <w:hideMark/>
          </w:tcPr>
          <w:p w14:paraId="6C022FA4" w14:textId="77777777" w:rsidR="00A74C68" w:rsidRPr="00471CBA" w:rsidRDefault="00A74C68" w:rsidP="00A74C68">
            <w:pPr>
              <w:jc w:val="right"/>
              <w:rPr>
                <w:b/>
                <w:bCs/>
                <w:sz w:val="16"/>
                <w:szCs w:val="16"/>
              </w:rPr>
            </w:pPr>
            <w:r w:rsidRPr="00471CBA">
              <w:rPr>
                <w:b/>
                <w:bCs/>
                <w:sz w:val="16"/>
                <w:szCs w:val="16"/>
              </w:rPr>
              <w:t>-</w:t>
            </w:r>
          </w:p>
        </w:tc>
        <w:tc>
          <w:tcPr>
            <w:tcW w:w="391" w:type="pct"/>
            <w:tcBorders>
              <w:top w:val="nil"/>
              <w:left w:val="nil"/>
              <w:bottom w:val="single" w:sz="8" w:space="0" w:color="auto"/>
              <w:right w:val="nil"/>
            </w:tcBorders>
            <w:noWrap/>
            <w:vAlign w:val="center"/>
            <w:hideMark/>
          </w:tcPr>
          <w:p w14:paraId="2AEA9014" w14:textId="77777777" w:rsidR="00A74C68" w:rsidRPr="00471CBA" w:rsidRDefault="00A74C68" w:rsidP="00A74C68">
            <w:pPr>
              <w:jc w:val="right"/>
              <w:rPr>
                <w:b/>
                <w:bCs/>
                <w:sz w:val="16"/>
                <w:szCs w:val="16"/>
              </w:rPr>
            </w:pPr>
            <w:r w:rsidRPr="00471CBA">
              <w:rPr>
                <w:b/>
                <w:bCs/>
                <w:sz w:val="16"/>
                <w:szCs w:val="16"/>
              </w:rPr>
              <w:t>18.532</w:t>
            </w:r>
          </w:p>
        </w:tc>
        <w:tc>
          <w:tcPr>
            <w:tcW w:w="390" w:type="pct"/>
            <w:tcBorders>
              <w:top w:val="nil"/>
              <w:left w:val="nil"/>
              <w:bottom w:val="single" w:sz="8" w:space="0" w:color="auto"/>
              <w:right w:val="nil"/>
            </w:tcBorders>
            <w:noWrap/>
            <w:vAlign w:val="center"/>
            <w:hideMark/>
          </w:tcPr>
          <w:p w14:paraId="03A61F85" w14:textId="77777777" w:rsidR="00A74C68" w:rsidRPr="00471CBA" w:rsidRDefault="00A74C68" w:rsidP="00A74C68">
            <w:pPr>
              <w:jc w:val="right"/>
              <w:rPr>
                <w:b/>
                <w:bCs/>
                <w:sz w:val="16"/>
                <w:szCs w:val="16"/>
              </w:rPr>
            </w:pPr>
            <w:r w:rsidRPr="00471CBA">
              <w:rPr>
                <w:b/>
                <w:bCs/>
                <w:sz w:val="16"/>
                <w:szCs w:val="16"/>
              </w:rPr>
              <w:t>6.823</w:t>
            </w:r>
          </w:p>
        </w:tc>
        <w:tc>
          <w:tcPr>
            <w:tcW w:w="421" w:type="pct"/>
            <w:tcBorders>
              <w:top w:val="nil"/>
              <w:left w:val="nil"/>
              <w:bottom w:val="single" w:sz="8" w:space="0" w:color="auto"/>
              <w:right w:val="nil"/>
            </w:tcBorders>
            <w:noWrap/>
            <w:vAlign w:val="center"/>
            <w:hideMark/>
          </w:tcPr>
          <w:p w14:paraId="1713D309" w14:textId="77777777" w:rsidR="00A74C68" w:rsidRPr="00471CBA" w:rsidRDefault="00A74C68" w:rsidP="00A74C68">
            <w:pPr>
              <w:jc w:val="right"/>
              <w:rPr>
                <w:b/>
                <w:bCs/>
                <w:sz w:val="16"/>
                <w:szCs w:val="16"/>
              </w:rPr>
            </w:pPr>
            <w:r w:rsidRPr="00471CBA">
              <w:rPr>
                <w:b/>
                <w:bCs/>
                <w:sz w:val="16"/>
                <w:szCs w:val="16"/>
              </w:rPr>
              <w:t>-</w:t>
            </w:r>
          </w:p>
        </w:tc>
        <w:tc>
          <w:tcPr>
            <w:tcW w:w="517" w:type="pct"/>
            <w:tcBorders>
              <w:top w:val="nil"/>
              <w:left w:val="nil"/>
              <w:bottom w:val="single" w:sz="8" w:space="0" w:color="auto"/>
              <w:right w:val="nil"/>
            </w:tcBorders>
            <w:noWrap/>
            <w:vAlign w:val="center"/>
            <w:hideMark/>
          </w:tcPr>
          <w:p w14:paraId="6E93D011" w14:textId="77777777" w:rsidR="00A74C68" w:rsidRPr="00471CBA" w:rsidRDefault="00A74C68" w:rsidP="00A74C68">
            <w:pPr>
              <w:jc w:val="right"/>
              <w:rPr>
                <w:b/>
                <w:bCs/>
                <w:sz w:val="16"/>
                <w:szCs w:val="16"/>
              </w:rPr>
            </w:pPr>
            <w:r w:rsidRPr="00471CBA">
              <w:rPr>
                <w:b/>
                <w:bCs/>
                <w:sz w:val="16"/>
                <w:szCs w:val="16"/>
              </w:rPr>
              <w:t>534.216</w:t>
            </w:r>
          </w:p>
        </w:tc>
      </w:tr>
      <w:tr w:rsidR="00A74C68" w:rsidRPr="00471CBA" w14:paraId="69E59CE2" w14:textId="77777777" w:rsidTr="00A74C68">
        <w:trPr>
          <w:divId w:val="1290934723"/>
          <w:trHeight w:val="170"/>
        </w:trPr>
        <w:tc>
          <w:tcPr>
            <w:tcW w:w="1585" w:type="pct"/>
            <w:tcBorders>
              <w:top w:val="nil"/>
              <w:left w:val="nil"/>
              <w:right w:val="nil"/>
            </w:tcBorders>
            <w:vAlign w:val="center"/>
            <w:hideMark/>
          </w:tcPr>
          <w:p w14:paraId="5DFA0B82" w14:textId="77777777" w:rsidR="00A74C68" w:rsidRPr="00471CBA" w:rsidRDefault="00A74C68" w:rsidP="00A74C68">
            <w:pPr>
              <w:jc w:val="right"/>
              <w:rPr>
                <w:b/>
                <w:bCs/>
                <w:sz w:val="16"/>
                <w:szCs w:val="16"/>
              </w:rPr>
            </w:pPr>
          </w:p>
        </w:tc>
        <w:tc>
          <w:tcPr>
            <w:tcW w:w="446" w:type="pct"/>
            <w:tcBorders>
              <w:top w:val="nil"/>
              <w:left w:val="nil"/>
              <w:right w:val="nil"/>
            </w:tcBorders>
            <w:vAlign w:val="center"/>
            <w:hideMark/>
          </w:tcPr>
          <w:p w14:paraId="5C9862FA" w14:textId="77777777" w:rsidR="00A74C68" w:rsidRPr="00471CBA" w:rsidRDefault="00A74C68" w:rsidP="00A74C68">
            <w:pPr>
              <w:jc w:val="right"/>
              <w:rPr>
                <w:szCs w:val="20"/>
              </w:rPr>
            </w:pPr>
          </w:p>
        </w:tc>
        <w:tc>
          <w:tcPr>
            <w:tcW w:w="391" w:type="pct"/>
            <w:tcBorders>
              <w:top w:val="nil"/>
              <w:left w:val="nil"/>
              <w:right w:val="nil"/>
            </w:tcBorders>
            <w:vAlign w:val="center"/>
            <w:hideMark/>
          </w:tcPr>
          <w:p w14:paraId="5D19E81C" w14:textId="77777777" w:rsidR="00A74C68" w:rsidRPr="00471CBA" w:rsidRDefault="00A74C68" w:rsidP="00A74C68">
            <w:pPr>
              <w:jc w:val="right"/>
              <w:rPr>
                <w:szCs w:val="20"/>
              </w:rPr>
            </w:pPr>
          </w:p>
        </w:tc>
        <w:tc>
          <w:tcPr>
            <w:tcW w:w="468" w:type="pct"/>
            <w:tcBorders>
              <w:top w:val="nil"/>
              <w:left w:val="nil"/>
              <w:right w:val="nil"/>
            </w:tcBorders>
            <w:vAlign w:val="center"/>
            <w:hideMark/>
          </w:tcPr>
          <w:p w14:paraId="45EA6B77" w14:textId="77777777" w:rsidR="00A74C68" w:rsidRPr="00471CBA" w:rsidRDefault="00A74C68" w:rsidP="00A74C68">
            <w:pPr>
              <w:jc w:val="right"/>
              <w:rPr>
                <w:szCs w:val="20"/>
              </w:rPr>
            </w:pPr>
          </w:p>
        </w:tc>
        <w:tc>
          <w:tcPr>
            <w:tcW w:w="391" w:type="pct"/>
            <w:tcBorders>
              <w:top w:val="nil"/>
              <w:left w:val="nil"/>
              <w:right w:val="nil"/>
            </w:tcBorders>
            <w:vAlign w:val="center"/>
            <w:hideMark/>
          </w:tcPr>
          <w:p w14:paraId="4D298048" w14:textId="77777777" w:rsidR="00A74C68" w:rsidRPr="00471CBA" w:rsidRDefault="00A74C68" w:rsidP="00A74C68">
            <w:pPr>
              <w:jc w:val="right"/>
              <w:rPr>
                <w:szCs w:val="20"/>
              </w:rPr>
            </w:pPr>
          </w:p>
        </w:tc>
        <w:tc>
          <w:tcPr>
            <w:tcW w:w="391" w:type="pct"/>
            <w:tcBorders>
              <w:top w:val="nil"/>
              <w:left w:val="nil"/>
              <w:right w:val="nil"/>
            </w:tcBorders>
            <w:vAlign w:val="center"/>
            <w:hideMark/>
          </w:tcPr>
          <w:p w14:paraId="4C2B3202" w14:textId="77777777" w:rsidR="00A74C68" w:rsidRPr="00471CBA" w:rsidRDefault="00A74C68" w:rsidP="00A74C68">
            <w:pPr>
              <w:jc w:val="right"/>
              <w:rPr>
                <w:szCs w:val="20"/>
              </w:rPr>
            </w:pPr>
          </w:p>
        </w:tc>
        <w:tc>
          <w:tcPr>
            <w:tcW w:w="390" w:type="pct"/>
            <w:tcBorders>
              <w:top w:val="nil"/>
              <w:left w:val="nil"/>
              <w:right w:val="nil"/>
            </w:tcBorders>
            <w:vAlign w:val="center"/>
            <w:hideMark/>
          </w:tcPr>
          <w:p w14:paraId="302A4720" w14:textId="77777777" w:rsidR="00A74C68" w:rsidRPr="00471CBA" w:rsidRDefault="00A74C68" w:rsidP="00A74C68">
            <w:pPr>
              <w:jc w:val="right"/>
              <w:rPr>
                <w:szCs w:val="20"/>
              </w:rPr>
            </w:pPr>
          </w:p>
        </w:tc>
        <w:tc>
          <w:tcPr>
            <w:tcW w:w="421" w:type="pct"/>
            <w:tcBorders>
              <w:top w:val="nil"/>
              <w:left w:val="nil"/>
              <w:right w:val="nil"/>
            </w:tcBorders>
            <w:vAlign w:val="center"/>
            <w:hideMark/>
          </w:tcPr>
          <w:p w14:paraId="60F76CA4" w14:textId="77777777" w:rsidR="00A74C68" w:rsidRPr="00471CBA" w:rsidRDefault="00A74C68" w:rsidP="00A74C68">
            <w:pPr>
              <w:jc w:val="right"/>
              <w:rPr>
                <w:szCs w:val="20"/>
              </w:rPr>
            </w:pPr>
          </w:p>
        </w:tc>
        <w:tc>
          <w:tcPr>
            <w:tcW w:w="517" w:type="pct"/>
            <w:tcBorders>
              <w:top w:val="nil"/>
              <w:left w:val="nil"/>
              <w:right w:val="nil"/>
            </w:tcBorders>
            <w:vAlign w:val="center"/>
            <w:hideMark/>
          </w:tcPr>
          <w:p w14:paraId="0F0FBD80" w14:textId="77777777" w:rsidR="00A74C68" w:rsidRPr="00471CBA" w:rsidRDefault="00A74C68" w:rsidP="00A74C68">
            <w:pPr>
              <w:jc w:val="right"/>
              <w:rPr>
                <w:szCs w:val="20"/>
              </w:rPr>
            </w:pPr>
          </w:p>
        </w:tc>
      </w:tr>
      <w:tr w:rsidR="00A74C68" w:rsidRPr="00471CBA" w14:paraId="3F3D6BB0" w14:textId="77777777" w:rsidTr="00A74C68">
        <w:trPr>
          <w:divId w:val="1290934723"/>
          <w:trHeight w:val="170"/>
        </w:trPr>
        <w:tc>
          <w:tcPr>
            <w:tcW w:w="1585" w:type="pct"/>
            <w:tcBorders>
              <w:top w:val="nil"/>
              <w:left w:val="nil"/>
              <w:bottom w:val="single" w:sz="12" w:space="0" w:color="auto"/>
              <w:right w:val="nil"/>
            </w:tcBorders>
            <w:vAlign w:val="center"/>
            <w:hideMark/>
          </w:tcPr>
          <w:p w14:paraId="28C06B96" w14:textId="77777777" w:rsidR="00A74C68" w:rsidRPr="00471CBA" w:rsidRDefault="00A74C68" w:rsidP="00A74C68">
            <w:pPr>
              <w:rPr>
                <w:b/>
                <w:bCs/>
                <w:color w:val="000000"/>
                <w:sz w:val="16"/>
                <w:szCs w:val="16"/>
              </w:rPr>
            </w:pPr>
            <w:r w:rsidRPr="00471CBA">
              <w:rPr>
                <w:b/>
                <w:bCs/>
                <w:color w:val="000000"/>
                <w:sz w:val="16"/>
                <w:szCs w:val="16"/>
              </w:rPr>
              <w:t>Genel toplam</w:t>
            </w:r>
          </w:p>
        </w:tc>
        <w:tc>
          <w:tcPr>
            <w:tcW w:w="446" w:type="pct"/>
            <w:tcBorders>
              <w:top w:val="nil"/>
              <w:left w:val="nil"/>
              <w:bottom w:val="single" w:sz="12" w:space="0" w:color="auto"/>
              <w:right w:val="nil"/>
            </w:tcBorders>
            <w:noWrap/>
            <w:vAlign w:val="center"/>
            <w:hideMark/>
          </w:tcPr>
          <w:p w14:paraId="78EC1907" w14:textId="77777777" w:rsidR="00A74C68" w:rsidRPr="00471CBA" w:rsidRDefault="00A74C68" w:rsidP="00A74C68">
            <w:pPr>
              <w:jc w:val="right"/>
              <w:rPr>
                <w:b/>
                <w:bCs/>
                <w:color w:val="000000"/>
                <w:sz w:val="16"/>
                <w:szCs w:val="16"/>
              </w:rPr>
            </w:pPr>
            <w:r w:rsidRPr="00471CBA">
              <w:rPr>
                <w:b/>
                <w:bCs/>
                <w:color w:val="000000"/>
                <w:sz w:val="16"/>
                <w:szCs w:val="16"/>
              </w:rPr>
              <w:t>1.648.060</w:t>
            </w:r>
          </w:p>
        </w:tc>
        <w:tc>
          <w:tcPr>
            <w:tcW w:w="391" w:type="pct"/>
            <w:tcBorders>
              <w:top w:val="nil"/>
              <w:left w:val="nil"/>
              <w:bottom w:val="single" w:sz="12" w:space="0" w:color="auto"/>
              <w:right w:val="nil"/>
            </w:tcBorders>
            <w:noWrap/>
            <w:vAlign w:val="center"/>
            <w:hideMark/>
          </w:tcPr>
          <w:p w14:paraId="148922F2" w14:textId="77777777" w:rsidR="00A74C68" w:rsidRPr="00471CBA" w:rsidRDefault="00A74C68" w:rsidP="00A74C68">
            <w:pPr>
              <w:jc w:val="right"/>
              <w:rPr>
                <w:b/>
                <w:bCs/>
                <w:color w:val="000000"/>
                <w:sz w:val="16"/>
                <w:szCs w:val="16"/>
              </w:rPr>
            </w:pPr>
            <w:r w:rsidRPr="00471CBA">
              <w:rPr>
                <w:b/>
                <w:bCs/>
                <w:color w:val="000000"/>
                <w:sz w:val="16"/>
                <w:szCs w:val="16"/>
              </w:rPr>
              <w:t>2.438.935</w:t>
            </w:r>
          </w:p>
        </w:tc>
        <w:tc>
          <w:tcPr>
            <w:tcW w:w="468" w:type="pct"/>
            <w:tcBorders>
              <w:top w:val="nil"/>
              <w:left w:val="nil"/>
              <w:bottom w:val="single" w:sz="12" w:space="0" w:color="auto"/>
              <w:right w:val="nil"/>
            </w:tcBorders>
            <w:noWrap/>
            <w:vAlign w:val="center"/>
            <w:hideMark/>
          </w:tcPr>
          <w:p w14:paraId="6C0E6C10" w14:textId="77777777" w:rsidR="00A74C68" w:rsidRPr="00471CBA" w:rsidRDefault="00A74C68" w:rsidP="00A74C68">
            <w:pPr>
              <w:jc w:val="right"/>
              <w:rPr>
                <w:b/>
                <w:bCs/>
                <w:color w:val="000000"/>
                <w:sz w:val="16"/>
                <w:szCs w:val="16"/>
              </w:rPr>
            </w:pPr>
            <w:r w:rsidRPr="00471CBA">
              <w:rPr>
                <w:b/>
                <w:bCs/>
                <w:color w:val="000000"/>
                <w:sz w:val="16"/>
                <w:szCs w:val="16"/>
              </w:rPr>
              <w:t>2.032.146</w:t>
            </w:r>
          </w:p>
        </w:tc>
        <w:tc>
          <w:tcPr>
            <w:tcW w:w="391" w:type="pct"/>
            <w:tcBorders>
              <w:top w:val="nil"/>
              <w:left w:val="nil"/>
              <w:bottom w:val="single" w:sz="12" w:space="0" w:color="auto"/>
              <w:right w:val="nil"/>
            </w:tcBorders>
            <w:noWrap/>
            <w:vAlign w:val="center"/>
            <w:hideMark/>
          </w:tcPr>
          <w:p w14:paraId="00548CF7" w14:textId="77777777" w:rsidR="00A74C68" w:rsidRPr="00471CBA" w:rsidRDefault="00A74C68" w:rsidP="00A74C68">
            <w:pPr>
              <w:jc w:val="right"/>
              <w:rPr>
                <w:b/>
                <w:bCs/>
                <w:color w:val="000000"/>
                <w:sz w:val="16"/>
                <w:szCs w:val="16"/>
              </w:rPr>
            </w:pPr>
            <w:r w:rsidRPr="00471CBA">
              <w:rPr>
                <w:b/>
                <w:bCs/>
                <w:color w:val="000000"/>
                <w:sz w:val="16"/>
                <w:szCs w:val="16"/>
              </w:rPr>
              <w:t>-</w:t>
            </w:r>
          </w:p>
        </w:tc>
        <w:tc>
          <w:tcPr>
            <w:tcW w:w="391" w:type="pct"/>
            <w:tcBorders>
              <w:top w:val="nil"/>
              <w:left w:val="nil"/>
              <w:bottom w:val="single" w:sz="12" w:space="0" w:color="auto"/>
              <w:right w:val="nil"/>
            </w:tcBorders>
            <w:noWrap/>
            <w:vAlign w:val="center"/>
            <w:hideMark/>
          </w:tcPr>
          <w:p w14:paraId="46B0899E" w14:textId="77777777" w:rsidR="00A74C68" w:rsidRPr="00471CBA" w:rsidRDefault="00A74C68" w:rsidP="00A74C68">
            <w:pPr>
              <w:jc w:val="right"/>
              <w:rPr>
                <w:b/>
                <w:bCs/>
                <w:color w:val="000000"/>
                <w:sz w:val="16"/>
                <w:szCs w:val="16"/>
              </w:rPr>
            </w:pPr>
            <w:r w:rsidRPr="00471CBA">
              <w:rPr>
                <w:b/>
                <w:bCs/>
                <w:color w:val="000000"/>
                <w:sz w:val="16"/>
                <w:szCs w:val="16"/>
              </w:rPr>
              <w:t>55.390</w:t>
            </w:r>
          </w:p>
        </w:tc>
        <w:tc>
          <w:tcPr>
            <w:tcW w:w="390" w:type="pct"/>
            <w:tcBorders>
              <w:top w:val="nil"/>
              <w:left w:val="nil"/>
              <w:bottom w:val="single" w:sz="12" w:space="0" w:color="auto"/>
              <w:right w:val="nil"/>
            </w:tcBorders>
            <w:noWrap/>
            <w:vAlign w:val="center"/>
            <w:hideMark/>
          </w:tcPr>
          <w:p w14:paraId="7D9C3A7A" w14:textId="77777777" w:rsidR="00A74C68" w:rsidRPr="00471CBA" w:rsidRDefault="00A74C68" w:rsidP="00A74C68">
            <w:pPr>
              <w:jc w:val="right"/>
              <w:rPr>
                <w:b/>
                <w:bCs/>
                <w:color w:val="000000"/>
                <w:sz w:val="16"/>
                <w:szCs w:val="16"/>
              </w:rPr>
            </w:pPr>
            <w:r w:rsidRPr="00471CBA">
              <w:rPr>
                <w:b/>
                <w:bCs/>
                <w:color w:val="000000"/>
                <w:sz w:val="16"/>
                <w:szCs w:val="16"/>
              </w:rPr>
              <w:t>234.406</w:t>
            </w:r>
          </w:p>
        </w:tc>
        <w:tc>
          <w:tcPr>
            <w:tcW w:w="421" w:type="pct"/>
            <w:tcBorders>
              <w:top w:val="nil"/>
              <w:left w:val="nil"/>
              <w:bottom w:val="single" w:sz="12" w:space="0" w:color="auto"/>
              <w:right w:val="nil"/>
            </w:tcBorders>
            <w:noWrap/>
            <w:vAlign w:val="center"/>
            <w:hideMark/>
          </w:tcPr>
          <w:p w14:paraId="6D7C5EDE" w14:textId="77777777" w:rsidR="00A74C68" w:rsidRPr="00471CBA" w:rsidRDefault="00A74C68" w:rsidP="00A74C68">
            <w:pPr>
              <w:jc w:val="right"/>
              <w:rPr>
                <w:b/>
                <w:bCs/>
                <w:color w:val="000000"/>
                <w:sz w:val="16"/>
                <w:szCs w:val="16"/>
              </w:rPr>
            </w:pPr>
            <w:r w:rsidRPr="00471CBA">
              <w:rPr>
                <w:b/>
                <w:bCs/>
                <w:color w:val="000000"/>
                <w:sz w:val="16"/>
                <w:szCs w:val="16"/>
              </w:rPr>
              <w:t>5</w:t>
            </w:r>
          </w:p>
        </w:tc>
        <w:tc>
          <w:tcPr>
            <w:tcW w:w="517" w:type="pct"/>
            <w:tcBorders>
              <w:top w:val="nil"/>
              <w:left w:val="nil"/>
              <w:bottom w:val="single" w:sz="12" w:space="0" w:color="auto"/>
              <w:right w:val="nil"/>
            </w:tcBorders>
            <w:noWrap/>
            <w:vAlign w:val="center"/>
            <w:hideMark/>
          </w:tcPr>
          <w:p w14:paraId="575050ED" w14:textId="77777777" w:rsidR="00A74C68" w:rsidRPr="00471CBA" w:rsidRDefault="00A74C68" w:rsidP="00A74C68">
            <w:pPr>
              <w:jc w:val="right"/>
              <w:rPr>
                <w:b/>
                <w:bCs/>
                <w:color w:val="000000"/>
                <w:sz w:val="16"/>
                <w:szCs w:val="16"/>
              </w:rPr>
            </w:pPr>
            <w:r w:rsidRPr="00471CBA">
              <w:rPr>
                <w:b/>
                <w:bCs/>
                <w:color w:val="000000"/>
                <w:sz w:val="16"/>
                <w:szCs w:val="16"/>
              </w:rPr>
              <w:t>6.408.942</w:t>
            </w:r>
          </w:p>
        </w:tc>
      </w:tr>
    </w:tbl>
    <w:p w14:paraId="1FB0A1A4" w14:textId="4AC16B80" w:rsidR="00A74C68" w:rsidRPr="00471CBA" w:rsidRDefault="00A74C68" w:rsidP="009F6E11">
      <w:pPr>
        <w:widowControl w:val="0"/>
        <w:rPr>
          <w:szCs w:val="20"/>
        </w:rPr>
      </w:pPr>
    </w:p>
    <w:tbl>
      <w:tblPr>
        <w:tblW w:w="5001" w:type="pct"/>
        <w:tblCellMar>
          <w:left w:w="70" w:type="dxa"/>
          <w:right w:w="70" w:type="dxa"/>
        </w:tblCellMar>
        <w:tblLook w:val="04A0" w:firstRow="1" w:lastRow="0" w:firstColumn="1" w:lastColumn="0" w:noHBand="0" w:noVBand="1"/>
      </w:tblPr>
      <w:tblGrid>
        <w:gridCol w:w="3317"/>
        <w:gridCol w:w="807"/>
        <w:gridCol w:w="668"/>
        <w:gridCol w:w="808"/>
        <w:gridCol w:w="668"/>
        <w:gridCol w:w="663"/>
        <w:gridCol w:w="687"/>
        <w:gridCol w:w="790"/>
        <w:gridCol w:w="949"/>
      </w:tblGrid>
      <w:tr w:rsidR="00A74C68" w:rsidRPr="00471CBA" w14:paraId="1BFD6EEF" w14:textId="77777777" w:rsidTr="00A74C68">
        <w:trPr>
          <w:divId w:val="2140759530"/>
          <w:trHeight w:val="170"/>
        </w:trPr>
        <w:tc>
          <w:tcPr>
            <w:tcW w:w="1588" w:type="pct"/>
            <w:tcBorders>
              <w:top w:val="nil"/>
              <w:left w:val="nil"/>
              <w:bottom w:val="single" w:sz="4" w:space="0" w:color="auto"/>
              <w:right w:val="nil"/>
            </w:tcBorders>
            <w:noWrap/>
            <w:vAlign w:val="bottom"/>
            <w:hideMark/>
          </w:tcPr>
          <w:p w14:paraId="7B9543B4" w14:textId="32B332CD" w:rsidR="00A74C68" w:rsidRPr="00471CBA" w:rsidRDefault="00A74C68" w:rsidP="00A74C68">
            <w:pPr>
              <w:rPr>
                <w:b/>
                <w:bCs/>
                <w:color w:val="000000"/>
                <w:sz w:val="16"/>
                <w:szCs w:val="16"/>
                <w:lang w:eastAsia="tr-TR"/>
              </w:rPr>
            </w:pPr>
            <w:r w:rsidRPr="00471CBA">
              <w:rPr>
                <w:b/>
                <w:bCs/>
                <w:color w:val="000000"/>
                <w:sz w:val="16"/>
                <w:szCs w:val="16"/>
              </w:rPr>
              <w:t xml:space="preserve">1 </w:t>
            </w:r>
            <w:r w:rsidRPr="00471CBA">
              <w:rPr>
                <w:b/>
                <w:bCs/>
                <w:color w:val="000000"/>
                <w:sz w:val="16"/>
                <w:szCs w:val="16"/>
                <w:lang w:eastAsia="tr-TR"/>
              </w:rPr>
              <w:t>Ocak - 31 Aralık 2024</w:t>
            </w:r>
          </w:p>
        </w:tc>
        <w:tc>
          <w:tcPr>
            <w:tcW w:w="3412" w:type="pct"/>
            <w:gridSpan w:val="8"/>
            <w:tcBorders>
              <w:top w:val="nil"/>
              <w:left w:val="nil"/>
              <w:bottom w:val="single" w:sz="4" w:space="0" w:color="auto"/>
              <w:right w:val="nil"/>
            </w:tcBorders>
            <w:noWrap/>
            <w:vAlign w:val="center"/>
            <w:hideMark/>
          </w:tcPr>
          <w:p w14:paraId="28533AA4" w14:textId="77777777" w:rsidR="00A74C68" w:rsidRPr="00471CBA" w:rsidRDefault="00A74C68" w:rsidP="00A74C68">
            <w:pPr>
              <w:jc w:val="center"/>
              <w:rPr>
                <w:b/>
                <w:bCs/>
                <w:color w:val="000000"/>
                <w:sz w:val="16"/>
                <w:szCs w:val="16"/>
              </w:rPr>
            </w:pPr>
            <w:r w:rsidRPr="00471CBA">
              <w:rPr>
                <w:b/>
                <w:bCs/>
                <w:color w:val="000000"/>
                <w:sz w:val="16"/>
                <w:szCs w:val="16"/>
              </w:rPr>
              <w:t>Katılma hesapları</w:t>
            </w:r>
          </w:p>
        </w:tc>
      </w:tr>
      <w:tr w:rsidR="00A74C68" w:rsidRPr="00471CBA" w14:paraId="7C84A04F" w14:textId="77777777" w:rsidTr="00A74C68">
        <w:trPr>
          <w:divId w:val="2140759530"/>
          <w:trHeight w:val="170"/>
        </w:trPr>
        <w:tc>
          <w:tcPr>
            <w:tcW w:w="1588" w:type="pct"/>
            <w:tcBorders>
              <w:top w:val="nil"/>
              <w:left w:val="nil"/>
              <w:bottom w:val="nil"/>
              <w:right w:val="nil"/>
            </w:tcBorders>
            <w:noWrap/>
            <w:vAlign w:val="bottom"/>
            <w:hideMark/>
          </w:tcPr>
          <w:p w14:paraId="649599FE" w14:textId="77777777" w:rsidR="00A74C68" w:rsidRPr="00471CBA" w:rsidRDefault="00A74C68" w:rsidP="00A74C68">
            <w:pPr>
              <w:jc w:val="center"/>
              <w:rPr>
                <w:b/>
                <w:bCs/>
                <w:color w:val="000000"/>
                <w:sz w:val="16"/>
                <w:szCs w:val="16"/>
              </w:rPr>
            </w:pPr>
          </w:p>
        </w:tc>
        <w:tc>
          <w:tcPr>
            <w:tcW w:w="455" w:type="pct"/>
            <w:tcBorders>
              <w:top w:val="nil"/>
              <w:left w:val="nil"/>
              <w:bottom w:val="nil"/>
              <w:right w:val="nil"/>
            </w:tcBorders>
            <w:noWrap/>
            <w:vAlign w:val="center"/>
            <w:hideMark/>
          </w:tcPr>
          <w:p w14:paraId="5A4196F0" w14:textId="77777777" w:rsidR="00A74C68" w:rsidRPr="00471CBA" w:rsidRDefault="00A74C68" w:rsidP="00A74C68">
            <w:pPr>
              <w:jc w:val="right"/>
              <w:rPr>
                <w:szCs w:val="20"/>
              </w:rPr>
            </w:pPr>
          </w:p>
        </w:tc>
        <w:tc>
          <w:tcPr>
            <w:tcW w:w="380" w:type="pct"/>
            <w:tcBorders>
              <w:top w:val="nil"/>
              <w:left w:val="nil"/>
              <w:bottom w:val="nil"/>
              <w:right w:val="nil"/>
            </w:tcBorders>
            <w:noWrap/>
            <w:vAlign w:val="center"/>
            <w:hideMark/>
          </w:tcPr>
          <w:p w14:paraId="21486415" w14:textId="77777777" w:rsidR="00A74C68" w:rsidRPr="00471CBA" w:rsidRDefault="00A74C68" w:rsidP="00A74C68">
            <w:pPr>
              <w:jc w:val="right"/>
              <w:rPr>
                <w:szCs w:val="20"/>
              </w:rPr>
            </w:pPr>
          </w:p>
        </w:tc>
        <w:tc>
          <w:tcPr>
            <w:tcW w:w="455" w:type="pct"/>
            <w:tcBorders>
              <w:top w:val="nil"/>
              <w:left w:val="nil"/>
              <w:bottom w:val="nil"/>
              <w:right w:val="nil"/>
            </w:tcBorders>
            <w:noWrap/>
            <w:vAlign w:val="center"/>
            <w:hideMark/>
          </w:tcPr>
          <w:p w14:paraId="71344CDF" w14:textId="77777777" w:rsidR="00A74C68" w:rsidRPr="00471CBA" w:rsidRDefault="00A74C68" w:rsidP="00A74C68">
            <w:pPr>
              <w:jc w:val="right"/>
              <w:rPr>
                <w:szCs w:val="20"/>
              </w:rPr>
            </w:pPr>
          </w:p>
        </w:tc>
        <w:tc>
          <w:tcPr>
            <w:tcW w:w="380" w:type="pct"/>
            <w:tcBorders>
              <w:top w:val="nil"/>
              <w:left w:val="nil"/>
              <w:bottom w:val="nil"/>
              <w:right w:val="nil"/>
            </w:tcBorders>
            <w:noWrap/>
            <w:vAlign w:val="center"/>
            <w:hideMark/>
          </w:tcPr>
          <w:p w14:paraId="7E75FFA5" w14:textId="77777777" w:rsidR="00A74C68" w:rsidRPr="00471CBA" w:rsidRDefault="00A74C68" w:rsidP="00A74C68">
            <w:pPr>
              <w:jc w:val="right"/>
              <w:rPr>
                <w:szCs w:val="20"/>
              </w:rPr>
            </w:pPr>
          </w:p>
        </w:tc>
        <w:tc>
          <w:tcPr>
            <w:tcW w:w="377" w:type="pct"/>
            <w:tcBorders>
              <w:top w:val="nil"/>
              <w:left w:val="nil"/>
              <w:bottom w:val="nil"/>
              <w:right w:val="nil"/>
            </w:tcBorders>
            <w:noWrap/>
            <w:vAlign w:val="center"/>
            <w:hideMark/>
          </w:tcPr>
          <w:p w14:paraId="0FDD47DE" w14:textId="77777777" w:rsidR="00A74C68" w:rsidRPr="00471CBA" w:rsidRDefault="00A74C68" w:rsidP="00A74C68">
            <w:pPr>
              <w:jc w:val="right"/>
              <w:rPr>
                <w:szCs w:val="20"/>
              </w:rPr>
            </w:pPr>
          </w:p>
        </w:tc>
        <w:tc>
          <w:tcPr>
            <w:tcW w:w="368" w:type="pct"/>
            <w:tcBorders>
              <w:top w:val="nil"/>
              <w:left w:val="nil"/>
              <w:bottom w:val="nil"/>
              <w:right w:val="nil"/>
            </w:tcBorders>
            <w:noWrap/>
            <w:vAlign w:val="center"/>
            <w:hideMark/>
          </w:tcPr>
          <w:p w14:paraId="371ACAEB" w14:textId="77777777" w:rsidR="00A74C68" w:rsidRPr="00471CBA" w:rsidRDefault="00A74C68" w:rsidP="00A74C68">
            <w:pPr>
              <w:jc w:val="right"/>
              <w:rPr>
                <w:szCs w:val="20"/>
              </w:rPr>
            </w:pPr>
          </w:p>
        </w:tc>
        <w:tc>
          <w:tcPr>
            <w:tcW w:w="467" w:type="pct"/>
            <w:tcBorders>
              <w:top w:val="nil"/>
              <w:left w:val="nil"/>
              <w:bottom w:val="nil"/>
              <w:right w:val="nil"/>
            </w:tcBorders>
            <w:noWrap/>
            <w:vAlign w:val="center"/>
            <w:hideMark/>
          </w:tcPr>
          <w:p w14:paraId="19E766D9" w14:textId="77777777" w:rsidR="00A74C68" w:rsidRPr="00471CBA" w:rsidRDefault="00A74C68" w:rsidP="00A74C68">
            <w:pPr>
              <w:jc w:val="right"/>
              <w:rPr>
                <w:b/>
                <w:bCs/>
                <w:color w:val="000000"/>
                <w:sz w:val="16"/>
                <w:szCs w:val="16"/>
              </w:rPr>
            </w:pPr>
            <w:r w:rsidRPr="00471CBA">
              <w:rPr>
                <w:b/>
                <w:bCs/>
                <w:iCs/>
                <w:color w:val="000000"/>
                <w:sz w:val="16"/>
                <w:szCs w:val="16"/>
              </w:rPr>
              <w:t>Birikimli</w:t>
            </w:r>
          </w:p>
        </w:tc>
        <w:tc>
          <w:tcPr>
            <w:tcW w:w="530" w:type="pct"/>
            <w:tcBorders>
              <w:top w:val="nil"/>
              <w:left w:val="nil"/>
              <w:bottom w:val="nil"/>
              <w:right w:val="nil"/>
            </w:tcBorders>
            <w:noWrap/>
            <w:vAlign w:val="center"/>
            <w:hideMark/>
          </w:tcPr>
          <w:p w14:paraId="5D6165A0" w14:textId="77777777" w:rsidR="00A74C68" w:rsidRPr="00471CBA" w:rsidRDefault="00A74C68" w:rsidP="00A74C68">
            <w:pPr>
              <w:jc w:val="right"/>
              <w:rPr>
                <w:b/>
                <w:bCs/>
                <w:color w:val="000000"/>
                <w:sz w:val="16"/>
                <w:szCs w:val="16"/>
              </w:rPr>
            </w:pPr>
          </w:p>
        </w:tc>
      </w:tr>
      <w:tr w:rsidR="00A74C68" w:rsidRPr="00471CBA" w14:paraId="15FBE9F8" w14:textId="77777777" w:rsidTr="00A74C68">
        <w:trPr>
          <w:divId w:val="2140759530"/>
          <w:trHeight w:val="170"/>
        </w:trPr>
        <w:tc>
          <w:tcPr>
            <w:tcW w:w="1588" w:type="pct"/>
            <w:tcBorders>
              <w:top w:val="nil"/>
              <w:left w:val="nil"/>
              <w:bottom w:val="nil"/>
              <w:right w:val="nil"/>
            </w:tcBorders>
            <w:noWrap/>
            <w:vAlign w:val="bottom"/>
            <w:hideMark/>
          </w:tcPr>
          <w:p w14:paraId="0706FA34" w14:textId="77777777" w:rsidR="00A74C68" w:rsidRPr="00471CBA" w:rsidRDefault="00A74C68" w:rsidP="00A74C68">
            <w:pPr>
              <w:jc w:val="right"/>
              <w:rPr>
                <w:szCs w:val="20"/>
              </w:rPr>
            </w:pPr>
          </w:p>
        </w:tc>
        <w:tc>
          <w:tcPr>
            <w:tcW w:w="455" w:type="pct"/>
            <w:tcBorders>
              <w:top w:val="nil"/>
              <w:left w:val="nil"/>
              <w:bottom w:val="nil"/>
              <w:right w:val="nil"/>
            </w:tcBorders>
            <w:noWrap/>
            <w:vAlign w:val="center"/>
            <w:hideMark/>
          </w:tcPr>
          <w:p w14:paraId="31B947FA" w14:textId="77777777" w:rsidR="00A74C68" w:rsidRPr="00471CBA" w:rsidRDefault="00A74C68" w:rsidP="00A74C68">
            <w:pPr>
              <w:jc w:val="right"/>
              <w:rPr>
                <w:b/>
                <w:bCs/>
                <w:color w:val="000000"/>
                <w:sz w:val="16"/>
                <w:szCs w:val="16"/>
              </w:rPr>
            </w:pPr>
            <w:r w:rsidRPr="00471CBA">
              <w:rPr>
                <w:b/>
                <w:bCs/>
                <w:iCs/>
                <w:color w:val="000000"/>
                <w:sz w:val="16"/>
                <w:szCs w:val="16"/>
              </w:rPr>
              <w:t>1 aya</w:t>
            </w:r>
          </w:p>
        </w:tc>
        <w:tc>
          <w:tcPr>
            <w:tcW w:w="380" w:type="pct"/>
            <w:tcBorders>
              <w:top w:val="nil"/>
              <w:left w:val="nil"/>
              <w:bottom w:val="nil"/>
              <w:right w:val="nil"/>
            </w:tcBorders>
            <w:noWrap/>
            <w:vAlign w:val="center"/>
            <w:hideMark/>
          </w:tcPr>
          <w:p w14:paraId="2C0B064E" w14:textId="77777777" w:rsidR="00A74C68" w:rsidRPr="00471CBA" w:rsidRDefault="00A74C68" w:rsidP="00A74C68">
            <w:pPr>
              <w:jc w:val="right"/>
              <w:rPr>
                <w:b/>
                <w:bCs/>
                <w:color w:val="000000"/>
                <w:sz w:val="16"/>
                <w:szCs w:val="16"/>
              </w:rPr>
            </w:pPr>
            <w:r w:rsidRPr="00471CBA">
              <w:rPr>
                <w:b/>
                <w:bCs/>
                <w:iCs/>
                <w:color w:val="000000"/>
                <w:sz w:val="16"/>
                <w:szCs w:val="16"/>
              </w:rPr>
              <w:t>3 aya</w:t>
            </w:r>
          </w:p>
        </w:tc>
        <w:tc>
          <w:tcPr>
            <w:tcW w:w="455" w:type="pct"/>
            <w:tcBorders>
              <w:top w:val="nil"/>
              <w:left w:val="nil"/>
              <w:bottom w:val="nil"/>
              <w:right w:val="nil"/>
            </w:tcBorders>
            <w:noWrap/>
            <w:vAlign w:val="center"/>
            <w:hideMark/>
          </w:tcPr>
          <w:p w14:paraId="3DFDB8ED" w14:textId="77777777" w:rsidR="00A74C68" w:rsidRPr="00471CBA" w:rsidRDefault="00A74C68" w:rsidP="00A74C68">
            <w:pPr>
              <w:jc w:val="right"/>
              <w:rPr>
                <w:b/>
                <w:bCs/>
                <w:color w:val="000000"/>
                <w:sz w:val="16"/>
                <w:szCs w:val="16"/>
              </w:rPr>
            </w:pPr>
            <w:r w:rsidRPr="00471CBA">
              <w:rPr>
                <w:b/>
                <w:bCs/>
                <w:iCs/>
                <w:color w:val="000000"/>
                <w:sz w:val="16"/>
                <w:szCs w:val="16"/>
              </w:rPr>
              <w:t>6 aya</w:t>
            </w:r>
          </w:p>
        </w:tc>
        <w:tc>
          <w:tcPr>
            <w:tcW w:w="380" w:type="pct"/>
            <w:tcBorders>
              <w:top w:val="nil"/>
              <w:left w:val="nil"/>
              <w:bottom w:val="nil"/>
              <w:right w:val="nil"/>
            </w:tcBorders>
            <w:noWrap/>
            <w:vAlign w:val="center"/>
            <w:hideMark/>
          </w:tcPr>
          <w:p w14:paraId="49AC26BA" w14:textId="77777777" w:rsidR="00A74C68" w:rsidRPr="00471CBA" w:rsidRDefault="00A74C68" w:rsidP="00A74C68">
            <w:pPr>
              <w:jc w:val="right"/>
              <w:rPr>
                <w:b/>
                <w:bCs/>
                <w:color w:val="000000"/>
                <w:sz w:val="16"/>
                <w:szCs w:val="16"/>
              </w:rPr>
            </w:pPr>
            <w:r w:rsidRPr="00471CBA">
              <w:rPr>
                <w:b/>
                <w:bCs/>
                <w:iCs/>
                <w:color w:val="000000"/>
                <w:sz w:val="16"/>
                <w:szCs w:val="16"/>
              </w:rPr>
              <w:t>9 aya</w:t>
            </w:r>
          </w:p>
        </w:tc>
        <w:tc>
          <w:tcPr>
            <w:tcW w:w="377" w:type="pct"/>
            <w:tcBorders>
              <w:top w:val="nil"/>
              <w:left w:val="nil"/>
              <w:bottom w:val="nil"/>
              <w:right w:val="nil"/>
            </w:tcBorders>
            <w:noWrap/>
            <w:vAlign w:val="center"/>
            <w:hideMark/>
          </w:tcPr>
          <w:p w14:paraId="6C56841C" w14:textId="77777777" w:rsidR="00A74C68" w:rsidRPr="00471CBA" w:rsidRDefault="00A74C68" w:rsidP="00A74C68">
            <w:pPr>
              <w:jc w:val="right"/>
              <w:rPr>
                <w:b/>
                <w:bCs/>
                <w:color w:val="000000"/>
                <w:sz w:val="16"/>
                <w:szCs w:val="16"/>
              </w:rPr>
            </w:pPr>
            <w:r w:rsidRPr="00471CBA">
              <w:rPr>
                <w:b/>
                <w:bCs/>
                <w:iCs/>
                <w:color w:val="000000"/>
                <w:sz w:val="16"/>
                <w:szCs w:val="16"/>
              </w:rPr>
              <w:t>1 yıla</w:t>
            </w:r>
          </w:p>
        </w:tc>
        <w:tc>
          <w:tcPr>
            <w:tcW w:w="368" w:type="pct"/>
            <w:tcBorders>
              <w:top w:val="nil"/>
              <w:left w:val="nil"/>
              <w:bottom w:val="nil"/>
              <w:right w:val="nil"/>
            </w:tcBorders>
            <w:noWrap/>
            <w:vAlign w:val="center"/>
            <w:hideMark/>
          </w:tcPr>
          <w:p w14:paraId="4E171E82" w14:textId="77777777" w:rsidR="00A74C68" w:rsidRPr="00471CBA" w:rsidRDefault="00A74C68" w:rsidP="00A74C68">
            <w:pPr>
              <w:jc w:val="right"/>
              <w:rPr>
                <w:b/>
                <w:bCs/>
                <w:color w:val="000000"/>
                <w:sz w:val="16"/>
                <w:szCs w:val="16"/>
              </w:rPr>
            </w:pPr>
            <w:r w:rsidRPr="00471CBA">
              <w:rPr>
                <w:b/>
                <w:bCs/>
                <w:iCs/>
                <w:color w:val="000000"/>
                <w:sz w:val="16"/>
                <w:szCs w:val="16"/>
              </w:rPr>
              <w:t>1 yıldan</w:t>
            </w:r>
          </w:p>
        </w:tc>
        <w:tc>
          <w:tcPr>
            <w:tcW w:w="467" w:type="pct"/>
            <w:tcBorders>
              <w:top w:val="nil"/>
              <w:left w:val="nil"/>
              <w:bottom w:val="nil"/>
              <w:right w:val="nil"/>
            </w:tcBorders>
            <w:noWrap/>
            <w:vAlign w:val="center"/>
            <w:hideMark/>
          </w:tcPr>
          <w:p w14:paraId="67FA3046" w14:textId="77777777" w:rsidR="00A74C68" w:rsidRPr="00471CBA" w:rsidRDefault="00A74C68" w:rsidP="00A74C68">
            <w:pPr>
              <w:jc w:val="right"/>
              <w:rPr>
                <w:b/>
                <w:bCs/>
                <w:color w:val="000000"/>
                <w:sz w:val="16"/>
                <w:szCs w:val="16"/>
              </w:rPr>
            </w:pPr>
            <w:r w:rsidRPr="00471CBA">
              <w:rPr>
                <w:b/>
                <w:bCs/>
                <w:iCs/>
                <w:color w:val="000000"/>
                <w:sz w:val="16"/>
                <w:szCs w:val="16"/>
              </w:rPr>
              <w:t>katılma</w:t>
            </w:r>
          </w:p>
        </w:tc>
        <w:tc>
          <w:tcPr>
            <w:tcW w:w="530" w:type="pct"/>
            <w:tcBorders>
              <w:top w:val="nil"/>
              <w:left w:val="nil"/>
              <w:bottom w:val="nil"/>
              <w:right w:val="nil"/>
            </w:tcBorders>
            <w:noWrap/>
            <w:vAlign w:val="center"/>
            <w:hideMark/>
          </w:tcPr>
          <w:p w14:paraId="041ADF79" w14:textId="77777777" w:rsidR="00A74C68" w:rsidRPr="00471CBA" w:rsidRDefault="00A74C68" w:rsidP="00A74C68">
            <w:pPr>
              <w:jc w:val="right"/>
              <w:rPr>
                <w:b/>
                <w:bCs/>
                <w:color w:val="000000"/>
                <w:sz w:val="16"/>
                <w:szCs w:val="16"/>
              </w:rPr>
            </w:pPr>
          </w:p>
        </w:tc>
      </w:tr>
      <w:tr w:rsidR="00A74C68" w:rsidRPr="00471CBA" w14:paraId="655C35E0" w14:textId="77777777" w:rsidTr="00A74C68">
        <w:trPr>
          <w:divId w:val="2140759530"/>
          <w:trHeight w:val="170"/>
        </w:trPr>
        <w:tc>
          <w:tcPr>
            <w:tcW w:w="1588" w:type="pct"/>
            <w:tcBorders>
              <w:top w:val="nil"/>
              <w:left w:val="nil"/>
              <w:bottom w:val="single" w:sz="4" w:space="0" w:color="auto"/>
              <w:right w:val="nil"/>
            </w:tcBorders>
            <w:noWrap/>
            <w:vAlign w:val="bottom"/>
            <w:hideMark/>
          </w:tcPr>
          <w:p w14:paraId="7C4B8DBB" w14:textId="77777777" w:rsidR="00A74C68" w:rsidRPr="00471CBA" w:rsidRDefault="00A74C68" w:rsidP="00A74C68">
            <w:pPr>
              <w:rPr>
                <w:b/>
                <w:bCs/>
                <w:color w:val="000000"/>
                <w:sz w:val="16"/>
                <w:szCs w:val="16"/>
              </w:rPr>
            </w:pPr>
            <w:r w:rsidRPr="00471CBA">
              <w:rPr>
                <w:b/>
                <w:bCs/>
                <w:color w:val="000000"/>
                <w:sz w:val="16"/>
                <w:szCs w:val="16"/>
              </w:rPr>
              <w:t>Hesap adı</w:t>
            </w:r>
          </w:p>
        </w:tc>
        <w:tc>
          <w:tcPr>
            <w:tcW w:w="455" w:type="pct"/>
            <w:tcBorders>
              <w:top w:val="nil"/>
              <w:left w:val="nil"/>
              <w:bottom w:val="single" w:sz="4" w:space="0" w:color="auto"/>
              <w:right w:val="nil"/>
            </w:tcBorders>
            <w:noWrap/>
            <w:vAlign w:val="center"/>
            <w:hideMark/>
          </w:tcPr>
          <w:p w14:paraId="79893970" w14:textId="77777777" w:rsidR="00A74C68" w:rsidRPr="00471CBA" w:rsidRDefault="00A74C68" w:rsidP="00A74C68">
            <w:pPr>
              <w:jc w:val="right"/>
              <w:rPr>
                <w:b/>
                <w:bCs/>
                <w:color w:val="000000"/>
                <w:sz w:val="16"/>
                <w:szCs w:val="16"/>
              </w:rPr>
            </w:pPr>
            <w:r w:rsidRPr="00471CBA">
              <w:rPr>
                <w:b/>
                <w:bCs/>
                <w:iCs/>
                <w:color w:val="000000"/>
                <w:sz w:val="16"/>
                <w:szCs w:val="16"/>
              </w:rPr>
              <w:t>kadar</w:t>
            </w:r>
          </w:p>
        </w:tc>
        <w:tc>
          <w:tcPr>
            <w:tcW w:w="380" w:type="pct"/>
            <w:tcBorders>
              <w:top w:val="nil"/>
              <w:left w:val="nil"/>
              <w:bottom w:val="single" w:sz="4" w:space="0" w:color="auto"/>
              <w:right w:val="nil"/>
            </w:tcBorders>
            <w:noWrap/>
            <w:vAlign w:val="center"/>
            <w:hideMark/>
          </w:tcPr>
          <w:p w14:paraId="206D7D4B" w14:textId="77777777" w:rsidR="00A74C68" w:rsidRPr="00471CBA" w:rsidRDefault="00A74C68" w:rsidP="00A74C68">
            <w:pPr>
              <w:jc w:val="right"/>
              <w:rPr>
                <w:b/>
                <w:bCs/>
                <w:color w:val="000000"/>
                <w:sz w:val="16"/>
                <w:szCs w:val="16"/>
              </w:rPr>
            </w:pPr>
            <w:r w:rsidRPr="00471CBA">
              <w:rPr>
                <w:b/>
                <w:bCs/>
                <w:iCs/>
                <w:color w:val="000000"/>
                <w:sz w:val="16"/>
                <w:szCs w:val="16"/>
              </w:rPr>
              <w:t>kadar</w:t>
            </w:r>
          </w:p>
        </w:tc>
        <w:tc>
          <w:tcPr>
            <w:tcW w:w="455" w:type="pct"/>
            <w:tcBorders>
              <w:top w:val="nil"/>
              <w:left w:val="nil"/>
              <w:bottom w:val="single" w:sz="4" w:space="0" w:color="auto"/>
              <w:right w:val="nil"/>
            </w:tcBorders>
            <w:noWrap/>
            <w:vAlign w:val="center"/>
            <w:hideMark/>
          </w:tcPr>
          <w:p w14:paraId="236C669D" w14:textId="77777777" w:rsidR="00A74C68" w:rsidRPr="00471CBA" w:rsidRDefault="00A74C68" w:rsidP="00A74C68">
            <w:pPr>
              <w:jc w:val="right"/>
              <w:rPr>
                <w:b/>
                <w:bCs/>
                <w:color w:val="000000"/>
                <w:sz w:val="16"/>
                <w:szCs w:val="16"/>
              </w:rPr>
            </w:pPr>
            <w:r w:rsidRPr="00471CBA">
              <w:rPr>
                <w:b/>
                <w:bCs/>
                <w:iCs/>
                <w:color w:val="000000"/>
                <w:sz w:val="16"/>
                <w:szCs w:val="16"/>
              </w:rPr>
              <w:t>kadar</w:t>
            </w:r>
          </w:p>
        </w:tc>
        <w:tc>
          <w:tcPr>
            <w:tcW w:w="380" w:type="pct"/>
            <w:tcBorders>
              <w:top w:val="nil"/>
              <w:left w:val="nil"/>
              <w:bottom w:val="single" w:sz="4" w:space="0" w:color="auto"/>
              <w:right w:val="nil"/>
            </w:tcBorders>
            <w:noWrap/>
            <w:vAlign w:val="center"/>
            <w:hideMark/>
          </w:tcPr>
          <w:p w14:paraId="10A949A3" w14:textId="77777777" w:rsidR="00A74C68" w:rsidRPr="00471CBA" w:rsidRDefault="00A74C68" w:rsidP="00A74C68">
            <w:pPr>
              <w:jc w:val="right"/>
              <w:rPr>
                <w:b/>
                <w:bCs/>
                <w:color w:val="000000"/>
                <w:sz w:val="16"/>
                <w:szCs w:val="16"/>
              </w:rPr>
            </w:pPr>
            <w:r w:rsidRPr="00471CBA">
              <w:rPr>
                <w:b/>
                <w:bCs/>
                <w:iCs/>
                <w:color w:val="000000"/>
                <w:sz w:val="16"/>
                <w:szCs w:val="16"/>
              </w:rPr>
              <w:t>kadar</w:t>
            </w:r>
          </w:p>
        </w:tc>
        <w:tc>
          <w:tcPr>
            <w:tcW w:w="377" w:type="pct"/>
            <w:tcBorders>
              <w:top w:val="nil"/>
              <w:left w:val="nil"/>
              <w:bottom w:val="single" w:sz="4" w:space="0" w:color="auto"/>
              <w:right w:val="nil"/>
            </w:tcBorders>
            <w:noWrap/>
            <w:vAlign w:val="center"/>
            <w:hideMark/>
          </w:tcPr>
          <w:p w14:paraId="497AB952" w14:textId="77777777" w:rsidR="00A74C68" w:rsidRPr="00471CBA" w:rsidRDefault="00A74C68" w:rsidP="00A74C68">
            <w:pPr>
              <w:jc w:val="right"/>
              <w:rPr>
                <w:b/>
                <w:bCs/>
                <w:color w:val="000000"/>
                <w:sz w:val="16"/>
                <w:szCs w:val="16"/>
              </w:rPr>
            </w:pPr>
            <w:r w:rsidRPr="00471CBA">
              <w:rPr>
                <w:b/>
                <w:bCs/>
                <w:iCs/>
                <w:color w:val="000000"/>
                <w:sz w:val="16"/>
                <w:szCs w:val="16"/>
              </w:rPr>
              <w:t>kadar</w:t>
            </w:r>
          </w:p>
        </w:tc>
        <w:tc>
          <w:tcPr>
            <w:tcW w:w="368" w:type="pct"/>
            <w:tcBorders>
              <w:top w:val="nil"/>
              <w:left w:val="nil"/>
              <w:bottom w:val="single" w:sz="4" w:space="0" w:color="auto"/>
              <w:right w:val="nil"/>
            </w:tcBorders>
            <w:noWrap/>
            <w:vAlign w:val="center"/>
            <w:hideMark/>
          </w:tcPr>
          <w:p w14:paraId="04246718" w14:textId="77777777" w:rsidR="00A74C68" w:rsidRPr="00471CBA" w:rsidRDefault="00A74C68" w:rsidP="00A74C68">
            <w:pPr>
              <w:jc w:val="right"/>
              <w:rPr>
                <w:b/>
                <w:bCs/>
                <w:color w:val="000000"/>
                <w:sz w:val="16"/>
                <w:szCs w:val="16"/>
              </w:rPr>
            </w:pPr>
            <w:r w:rsidRPr="00471CBA">
              <w:rPr>
                <w:b/>
                <w:bCs/>
                <w:iCs/>
                <w:color w:val="000000"/>
                <w:sz w:val="16"/>
                <w:szCs w:val="16"/>
              </w:rPr>
              <w:t>uzun</w:t>
            </w:r>
          </w:p>
        </w:tc>
        <w:tc>
          <w:tcPr>
            <w:tcW w:w="467" w:type="pct"/>
            <w:tcBorders>
              <w:top w:val="nil"/>
              <w:left w:val="nil"/>
              <w:bottom w:val="single" w:sz="4" w:space="0" w:color="auto"/>
              <w:right w:val="nil"/>
            </w:tcBorders>
            <w:noWrap/>
            <w:vAlign w:val="center"/>
            <w:hideMark/>
          </w:tcPr>
          <w:p w14:paraId="0393B134" w14:textId="77777777" w:rsidR="00A74C68" w:rsidRPr="00471CBA" w:rsidRDefault="00A74C68" w:rsidP="00A74C68">
            <w:pPr>
              <w:jc w:val="right"/>
              <w:rPr>
                <w:b/>
                <w:bCs/>
                <w:color w:val="000000"/>
                <w:sz w:val="16"/>
                <w:szCs w:val="16"/>
              </w:rPr>
            </w:pPr>
            <w:r w:rsidRPr="00471CBA">
              <w:rPr>
                <w:b/>
                <w:bCs/>
                <w:iCs/>
                <w:color w:val="000000"/>
                <w:sz w:val="16"/>
                <w:szCs w:val="16"/>
              </w:rPr>
              <w:t>hesabı</w:t>
            </w:r>
          </w:p>
        </w:tc>
        <w:tc>
          <w:tcPr>
            <w:tcW w:w="530" w:type="pct"/>
            <w:tcBorders>
              <w:top w:val="nil"/>
              <w:left w:val="nil"/>
              <w:bottom w:val="single" w:sz="4" w:space="0" w:color="auto"/>
              <w:right w:val="nil"/>
            </w:tcBorders>
            <w:noWrap/>
            <w:vAlign w:val="center"/>
            <w:hideMark/>
          </w:tcPr>
          <w:p w14:paraId="5401D52E" w14:textId="77777777" w:rsidR="00A74C68" w:rsidRPr="00471CBA" w:rsidRDefault="00A74C68" w:rsidP="00A74C68">
            <w:pPr>
              <w:jc w:val="right"/>
              <w:rPr>
                <w:b/>
                <w:bCs/>
                <w:color w:val="000000"/>
                <w:sz w:val="16"/>
                <w:szCs w:val="16"/>
              </w:rPr>
            </w:pPr>
            <w:r w:rsidRPr="00471CBA">
              <w:rPr>
                <w:b/>
                <w:bCs/>
                <w:iCs/>
                <w:color w:val="000000"/>
                <w:sz w:val="16"/>
                <w:szCs w:val="16"/>
              </w:rPr>
              <w:t>Toplam</w:t>
            </w:r>
          </w:p>
        </w:tc>
      </w:tr>
      <w:tr w:rsidR="00A74C68" w:rsidRPr="00471CBA" w14:paraId="66698247" w14:textId="77777777" w:rsidTr="00A74C68">
        <w:trPr>
          <w:divId w:val="2140759530"/>
          <w:trHeight w:val="170"/>
        </w:trPr>
        <w:tc>
          <w:tcPr>
            <w:tcW w:w="1588" w:type="pct"/>
            <w:tcBorders>
              <w:top w:val="nil"/>
              <w:left w:val="nil"/>
              <w:bottom w:val="nil"/>
              <w:right w:val="nil"/>
            </w:tcBorders>
            <w:noWrap/>
            <w:vAlign w:val="bottom"/>
            <w:hideMark/>
          </w:tcPr>
          <w:p w14:paraId="1D8BCF5C" w14:textId="77777777" w:rsidR="00A74C68" w:rsidRPr="00471CBA" w:rsidRDefault="00A74C68" w:rsidP="00A74C68">
            <w:pPr>
              <w:jc w:val="right"/>
              <w:rPr>
                <w:b/>
                <w:bCs/>
                <w:color w:val="000000"/>
                <w:sz w:val="16"/>
                <w:szCs w:val="16"/>
              </w:rPr>
            </w:pPr>
          </w:p>
        </w:tc>
        <w:tc>
          <w:tcPr>
            <w:tcW w:w="455" w:type="pct"/>
            <w:tcBorders>
              <w:top w:val="nil"/>
              <w:left w:val="nil"/>
              <w:bottom w:val="nil"/>
              <w:right w:val="nil"/>
            </w:tcBorders>
            <w:noWrap/>
            <w:vAlign w:val="bottom"/>
            <w:hideMark/>
          </w:tcPr>
          <w:p w14:paraId="179EAF00" w14:textId="77777777" w:rsidR="00A74C68" w:rsidRPr="00471CBA" w:rsidRDefault="00A74C68" w:rsidP="00A74C68">
            <w:pPr>
              <w:rPr>
                <w:szCs w:val="20"/>
              </w:rPr>
            </w:pPr>
          </w:p>
        </w:tc>
        <w:tc>
          <w:tcPr>
            <w:tcW w:w="380" w:type="pct"/>
            <w:tcBorders>
              <w:top w:val="nil"/>
              <w:left w:val="nil"/>
              <w:bottom w:val="nil"/>
              <w:right w:val="nil"/>
            </w:tcBorders>
            <w:noWrap/>
            <w:vAlign w:val="bottom"/>
            <w:hideMark/>
          </w:tcPr>
          <w:p w14:paraId="3DAC5DC7" w14:textId="77777777" w:rsidR="00A74C68" w:rsidRPr="00471CBA" w:rsidRDefault="00A74C68" w:rsidP="00A74C68">
            <w:pPr>
              <w:rPr>
                <w:szCs w:val="20"/>
              </w:rPr>
            </w:pPr>
          </w:p>
        </w:tc>
        <w:tc>
          <w:tcPr>
            <w:tcW w:w="455" w:type="pct"/>
            <w:tcBorders>
              <w:top w:val="nil"/>
              <w:left w:val="nil"/>
              <w:bottom w:val="nil"/>
              <w:right w:val="nil"/>
            </w:tcBorders>
            <w:noWrap/>
            <w:vAlign w:val="bottom"/>
            <w:hideMark/>
          </w:tcPr>
          <w:p w14:paraId="18967FC6" w14:textId="77777777" w:rsidR="00A74C68" w:rsidRPr="00471CBA" w:rsidRDefault="00A74C68" w:rsidP="00A74C68">
            <w:pPr>
              <w:rPr>
                <w:szCs w:val="20"/>
              </w:rPr>
            </w:pPr>
          </w:p>
        </w:tc>
        <w:tc>
          <w:tcPr>
            <w:tcW w:w="380" w:type="pct"/>
            <w:tcBorders>
              <w:top w:val="nil"/>
              <w:left w:val="nil"/>
              <w:bottom w:val="nil"/>
              <w:right w:val="nil"/>
            </w:tcBorders>
            <w:noWrap/>
            <w:vAlign w:val="bottom"/>
            <w:hideMark/>
          </w:tcPr>
          <w:p w14:paraId="60B098A8" w14:textId="77777777" w:rsidR="00A74C68" w:rsidRPr="00471CBA" w:rsidRDefault="00A74C68" w:rsidP="00A74C68">
            <w:pPr>
              <w:rPr>
                <w:szCs w:val="20"/>
              </w:rPr>
            </w:pPr>
          </w:p>
        </w:tc>
        <w:tc>
          <w:tcPr>
            <w:tcW w:w="377" w:type="pct"/>
            <w:tcBorders>
              <w:top w:val="nil"/>
              <w:left w:val="nil"/>
              <w:bottom w:val="nil"/>
              <w:right w:val="nil"/>
            </w:tcBorders>
            <w:noWrap/>
            <w:vAlign w:val="bottom"/>
            <w:hideMark/>
          </w:tcPr>
          <w:p w14:paraId="71DD5B0A" w14:textId="77777777" w:rsidR="00A74C68" w:rsidRPr="00471CBA" w:rsidRDefault="00A74C68" w:rsidP="00A74C68">
            <w:pPr>
              <w:rPr>
                <w:szCs w:val="20"/>
              </w:rPr>
            </w:pPr>
          </w:p>
        </w:tc>
        <w:tc>
          <w:tcPr>
            <w:tcW w:w="368" w:type="pct"/>
            <w:tcBorders>
              <w:top w:val="nil"/>
              <w:left w:val="nil"/>
              <w:bottom w:val="nil"/>
              <w:right w:val="nil"/>
            </w:tcBorders>
            <w:noWrap/>
            <w:vAlign w:val="bottom"/>
            <w:hideMark/>
          </w:tcPr>
          <w:p w14:paraId="53FA920E" w14:textId="77777777" w:rsidR="00A74C68" w:rsidRPr="00471CBA" w:rsidRDefault="00A74C68" w:rsidP="00A74C68">
            <w:pPr>
              <w:rPr>
                <w:szCs w:val="20"/>
              </w:rPr>
            </w:pPr>
          </w:p>
        </w:tc>
        <w:tc>
          <w:tcPr>
            <w:tcW w:w="467" w:type="pct"/>
            <w:tcBorders>
              <w:top w:val="nil"/>
              <w:left w:val="nil"/>
              <w:bottom w:val="nil"/>
              <w:right w:val="nil"/>
            </w:tcBorders>
            <w:noWrap/>
            <w:vAlign w:val="bottom"/>
            <w:hideMark/>
          </w:tcPr>
          <w:p w14:paraId="4EC21401" w14:textId="77777777" w:rsidR="00A74C68" w:rsidRPr="00471CBA" w:rsidRDefault="00A74C68" w:rsidP="00A74C68">
            <w:pPr>
              <w:rPr>
                <w:szCs w:val="20"/>
              </w:rPr>
            </w:pPr>
          </w:p>
        </w:tc>
        <w:tc>
          <w:tcPr>
            <w:tcW w:w="530" w:type="pct"/>
            <w:tcBorders>
              <w:top w:val="nil"/>
              <w:left w:val="nil"/>
              <w:bottom w:val="nil"/>
              <w:right w:val="nil"/>
            </w:tcBorders>
            <w:noWrap/>
            <w:vAlign w:val="bottom"/>
            <w:hideMark/>
          </w:tcPr>
          <w:p w14:paraId="068639F1" w14:textId="77777777" w:rsidR="00A74C68" w:rsidRPr="00471CBA" w:rsidRDefault="00A74C68" w:rsidP="00A74C68">
            <w:pPr>
              <w:rPr>
                <w:szCs w:val="20"/>
              </w:rPr>
            </w:pPr>
          </w:p>
        </w:tc>
      </w:tr>
      <w:tr w:rsidR="00A74C68" w:rsidRPr="00471CBA" w14:paraId="5120B923" w14:textId="77777777" w:rsidTr="00A74C68">
        <w:trPr>
          <w:divId w:val="2140759530"/>
          <w:trHeight w:val="170"/>
        </w:trPr>
        <w:tc>
          <w:tcPr>
            <w:tcW w:w="1588" w:type="pct"/>
            <w:tcBorders>
              <w:top w:val="nil"/>
              <w:left w:val="nil"/>
              <w:bottom w:val="nil"/>
              <w:right w:val="nil"/>
            </w:tcBorders>
            <w:noWrap/>
            <w:vAlign w:val="bottom"/>
            <w:hideMark/>
          </w:tcPr>
          <w:p w14:paraId="78B7D2AE" w14:textId="77777777" w:rsidR="00A74C68" w:rsidRPr="00471CBA" w:rsidRDefault="00A74C68" w:rsidP="00A74C68">
            <w:pPr>
              <w:rPr>
                <w:b/>
                <w:bCs/>
                <w:color w:val="000000"/>
                <w:sz w:val="16"/>
                <w:szCs w:val="16"/>
              </w:rPr>
            </w:pPr>
            <w:r w:rsidRPr="00471CBA">
              <w:rPr>
                <w:b/>
                <w:bCs/>
                <w:color w:val="000000"/>
                <w:sz w:val="16"/>
                <w:szCs w:val="16"/>
              </w:rPr>
              <w:t>Türk parası</w:t>
            </w:r>
          </w:p>
        </w:tc>
        <w:tc>
          <w:tcPr>
            <w:tcW w:w="455" w:type="pct"/>
            <w:tcBorders>
              <w:top w:val="nil"/>
              <w:left w:val="nil"/>
              <w:bottom w:val="nil"/>
              <w:right w:val="nil"/>
            </w:tcBorders>
            <w:noWrap/>
            <w:vAlign w:val="bottom"/>
            <w:hideMark/>
          </w:tcPr>
          <w:p w14:paraId="3F1A44D6" w14:textId="77777777" w:rsidR="00A74C68" w:rsidRPr="00471CBA" w:rsidRDefault="00A74C68" w:rsidP="00A74C68">
            <w:pPr>
              <w:rPr>
                <w:b/>
                <w:bCs/>
                <w:color w:val="000000"/>
                <w:sz w:val="16"/>
                <w:szCs w:val="16"/>
              </w:rPr>
            </w:pPr>
          </w:p>
        </w:tc>
        <w:tc>
          <w:tcPr>
            <w:tcW w:w="380" w:type="pct"/>
            <w:tcBorders>
              <w:top w:val="nil"/>
              <w:left w:val="nil"/>
              <w:bottom w:val="nil"/>
              <w:right w:val="nil"/>
            </w:tcBorders>
            <w:noWrap/>
            <w:vAlign w:val="bottom"/>
            <w:hideMark/>
          </w:tcPr>
          <w:p w14:paraId="6DCFA7AC" w14:textId="77777777" w:rsidR="00A74C68" w:rsidRPr="00471CBA" w:rsidRDefault="00A74C68" w:rsidP="00A74C68">
            <w:pPr>
              <w:rPr>
                <w:szCs w:val="20"/>
              </w:rPr>
            </w:pPr>
          </w:p>
        </w:tc>
        <w:tc>
          <w:tcPr>
            <w:tcW w:w="455" w:type="pct"/>
            <w:tcBorders>
              <w:top w:val="nil"/>
              <w:left w:val="nil"/>
              <w:bottom w:val="nil"/>
              <w:right w:val="nil"/>
            </w:tcBorders>
            <w:noWrap/>
            <w:vAlign w:val="bottom"/>
            <w:hideMark/>
          </w:tcPr>
          <w:p w14:paraId="52605AD5" w14:textId="77777777" w:rsidR="00A74C68" w:rsidRPr="00471CBA" w:rsidRDefault="00A74C68" w:rsidP="00A74C68">
            <w:pPr>
              <w:rPr>
                <w:szCs w:val="20"/>
              </w:rPr>
            </w:pPr>
          </w:p>
        </w:tc>
        <w:tc>
          <w:tcPr>
            <w:tcW w:w="380" w:type="pct"/>
            <w:tcBorders>
              <w:top w:val="nil"/>
              <w:left w:val="nil"/>
              <w:bottom w:val="nil"/>
              <w:right w:val="nil"/>
            </w:tcBorders>
            <w:noWrap/>
            <w:vAlign w:val="bottom"/>
            <w:hideMark/>
          </w:tcPr>
          <w:p w14:paraId="55898634" w14:textId="77777777" w:rsidR="00A74C68" w:rsidRPr="00471CBA" w:rsidRDefault="00A74C68" w:rsidP="00A74C68">
            <w:pPr>
              <w:rPr>
                <w:szCs w:val="20"/>
              </w:rPr>
            </w:pPr>
          </w:p>
        </w:tc>
        <w:tc>
          <w:tcPr>
            <w:tcW w:w="377" w:type="pct"/>
            <w:tcBorders>
              <w:top w:val="nil"/>
              <w:left w:val="nil"/>
              <w:bottom w:val="nil"/>
              <w:right w:val="nil"/>
            </w:tcBorders>
            <w:noWrap/>
            <w:vAlign w:val="bottom"/>
            <w:hideMark/>
          </w:tcPr>
          <w:p w14:paraId="17EE5727" w14:textId="77777777" w:rsidR="00A74C68" w:rsidRPr="00471CBA" w:rsidRDefault="00A74C68" w:rsidP="00A74C68">
            <w:pPr>
              <w:rPr>
                <w:szCs w:val="20"/>
              </w:rPr>
            </w:pPr>
          </w:p>
        </w:tc>
        <w:tc>
          <w:tcPr>
            <w:tcW w:w="368" w:type="pct"/>
            <w:tcBorders>
              <w:top w:val="nil"/>
              <w:left w:val="nil"/>
              <w:bottom w:val="nil"/>
              <w:right w:val="nil"/>
            </w:tcBorders>
            <w:noWrap/>
            <w:vAlign w:val="bottom"/>
            <w:hideMark/>
          </w:tcPr>
          <w:p w14:paraId="2D9239FA" w14:textId="77777777" w:rsidR="00A74C68" w:rsidRPr="00471CBA" w:rsidRDefault="00A74C68" w:rsidP="00A74C68">
            <w:pPr>
              <w:rPr>
                <w:szCs w:val="20"/>
              </w:rPr>
            </w:pPr>
          </w:p>
        </w:tc>
        <w:tc>
          <w:tcPr>
            <w:tcW w:w="467" w:type="pct"/>
            <w:tcBorders>
              <w:top w:val="nil"/>
              <w:left w:val="nil"/>
              <w:bottom w:val="nil"/>
              <w:right w:val="nil"/>
            </w:tcBorders>
            <w:noWrap/>
            <w:vAlign w:val="bottom"/>
            <w:hideMark/>
          </w:tcPr>
          <w:p w14:paraId="5DC6F83F" w14:textId="77777777" w:rsidR="00A74C68" w:rsidRPr="00471CBA" w:rsidRDefault="00A74C68" w:rsidP="00A74C68">
            <w:pPr>
              <w:rPr>
                <w:szCs w:val="20"/>
              </w:rPr>
            </w:pPr>
          </w:p>
        </w:tc>
        <w:tc>
          <w:tcPr>
            <w:tcW w:w="530" w:type="pct"/>
            <w:tcBorders>
              <w:top w:val="nil"/>
              <w:left w:val="nil"/>
              <w:bottom w:val="nil"/>
              <w:right w:val="nil"/>
            </w:tcBorders>
            <w:noWrap/>
            <w:vAlign w:val="bottom"/>
            <w:hideMark/>
          </w:tcPr>
          <w:p w14:paraId="352E6D37" w14:textId="77777777" w:rsidR="00A74C68" w:rsidRPr="00471CBA" w:rsidRDefault="00A74C68" w:rsidP="00A74C68">
            <w:pPr>
              <w:rPr>
                <w:szCs w:val="20"/>
              </w:rPr>
            </w:pPr>
          </w:p>
        </w:tc>
      </w:tr>
      <w:tr w:rsidR="00A74C68" w:rsidRPr="00471CBA" w14:paraId="5FDF3DE8" w14:textId="77777777" w:rsidTr="00A74C68">
        <w:trPr>
          <w:divId w:val="2140759530"/>
          <w:trHeight w:val="170"/>
        </w:trPr>
        <w:tc>
          <w:tcPr>
            <w:tcW w:w="1588" w:type="pct"/>
            <w:tcBorders>
              <w:top w:val="nil"/>
              <w:left w:val="nil"/>
              <w:bottom w:val="nil"/>
              <w:right w:val="nil"/>
            </w:tcBorders>
            <w:noWrap/>
            <w:vAlign w:val="bottom"/>
            <w:hideMark/>
          </w:tcPr>
          <w:p w14:paraId="6F6B4B9A" w14:textId="77777777" w:rsidR="00A74C68" w:rsidRPr="00471CBA" w:rsidRDefault="00A74C68" w:rsidP="00A74C68">
            <w:pPr>
              <w:rPr>
                <w:color w:val="000000"/>
                <w:sz w:val="16"/>
                <w:szCs w:val="16"/>
              </w:rPr>
            </w:pPr>
            <w:r w:rsidRPr="00471CBA">
              <w:rPr>
                <w:bCs/>
                <w:iCs/>
                <w:color w:val="000000"/>
                <w:sz w:val="16"/>
                <w:szCs w:val="16"/>
              </w:rPr>
              <w:t xml:space="preserve">Özel cari hesap ve katılma </w:t>
            </w:r>
            <w:r w:rsidRPr="00471CBA">
              <w:rPr>
                <w:bCs/>
                <w:iCs/>
                <w:color w:val="000000"/>
                <w:sz w:val="16"/>
                <w:szCs w:val="16"/>
              </w:rPr>
              <w:br/>
              <w:t>hesapları aracılığı ile bankalardan toplanan fonlar</w:t>
            </w:r>
          </w:p>
        </w:tc>
        <w:tc>
          <w:tcPr>
            <w:tcW w:w="455" w:type="pct"/>
            <w:tcBorders>
              <w:top w:val="nil"/>
              <w:left w:val="nil"/>
              <w:bottom w:val="nil"/>
              <w:right w:val="nil"/>
            </w:tcBorders>
            <w:noWrap/>
            <w:vAlign w:val="bottom"/>
            <w:hideMark/>
          </w:tcPr>
          <w:p w14:paraId="024055A0"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380" w:type="pct"/>
            <w:tcBorders>
              <w:top w:val="nil"/>
              <w:left w:val="nil"/>
              <w:bottom w:val="nil"/>
              <w:right w:val="nil"/>
            </w:tcBorders>
            <w:noWrap/>
            <w:vAlign w:val="bottom"/>
            <w:hideMark/>
          </w:tcPr>
          <w:p w14:paraId="79218635"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455" w:type="pct"/>
            <w:tcBorders>
              <w:top w:val="nil"/>
              <w:left w:val="nil"/>
              <w:bottom w:val="nil"/>
              <w:right w:val="nil"/>
            </w:tcBorders>
            <w:noWrap/>
            <w:vAlign w:val="bottom"/>
            <w:hideMark/>
          </w:tcPr>
          <w:p w14:paraId="16268A1B"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380" w:type="pct"/>
            <w:tcBorders>
              <w:top w:val="nil"/>
              <w:left w:val="nil"/>
              <w:bottom w:val="nil"/>
              <w:right w:val="nil"/>
            </w:tcBorders>
            <w:noWrap/>
            <w:vAlign w:val="bottom"/>
            <w:hideMark/>
          </w:tcPr>
          <w:p w14:paraId="5F8CF91C"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377" w:type="pct"/>
            <w:tcBorders>
              <w:top w:val="nil"/>
              <w:left w:val="nil"/>
              <w:bottom w:val="nil"/>
              <w:right w:val="nil"/>
            </w:tcBorders>
            <w:noWrap/>
            <w:vAlign w:val="bottom"/>
            <w:hideMark/>
          </w:tcPr>
          <w:p w14:paraId="3E3D9611"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368" w:type="pct"/>
            <w:tcBorders>
              <w:top w:val="nil"/>
              <w:left w:val="nil"/>
              <w:bottom w:val="nil"/>
              <w:right w:val="nil"/>
            </w:tcBorders>
            <w:noWrap/>
            <w:vAlign w:val="bottom"/>
            <w:hideMark/>
          </w:tcPr>
          <w:p w14:paraId="5BB2DD6B"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467" w:type="pct"/>
            <w:tcBorders>
              <w:top w:val="nil"/>
              <w:left w:val="nil"/>
              <w:bottom w:val="nil"/>
              <w:right w:val="nil"/>
            </w:tcBorders>
            <w:noWrap/>
            <w:vAlign w:val="bottom"/>
            <w:hideMark/>
          </w:tcPr>
          <w:p w14:paraId="77E54A81"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530" w:type="pct"/>
            <w:tcBorders>
              <w:top w:val="nil"/>
              <w:left w:val="nil"/>
              <w:bottom w:val="nil"/>
              <w:right w:val="nil"/>
            </w:tcBorders>
            <w:noWrap/>
            <w:vAlign w:val="bottom"/>
            <w:hideMark/>
          </w:tcPr>
          <w:p w14:paraId="326821A3" w14:textId="77777777" w:rsidR="00A74C68" w:rsidRPr="00471CBA" w:rsidRDefault="00A74C68" w:rsidP="00A74C68">
            <w:pPr>
              <w:jc w:val="right"/>
              <w:rPr>
                <w:color w:val="000000"/>
                <w:sz w:val="16"/>
                <w:szCs w:val="16"/>
                <w:lang w:eastAsia="tr-TR"/>
              </w:rPr>
            </w:pPr>
            <w:r w:rsidRPr="00471CBA">
              <w:rPr>
                <w:color w:val="000000"/>
                <w:sz w:val="16"/>
                <w:szCs w:val="16"/>
              </w:rPr>
              <w:t>-</w:t>
            </w:r>
          </w:p>
        </w:tc>
      </w:tr>
      <w:tr w:rsidR="00A74C68" w:rsidRPr="00471CBA" w14:paraId="78ACFC12" w14:textId="77777777" w:rsidTr="00A74C68">
        <w:trPr>
          <w:divId w:val="2140759530"/>
          <w:trHeight w:val="170"/>
        </w:trPr>
        <w:tc>
          <w:tcPr>
            <w:tcW w:w="1588" w:type="pct"/>
            <w:tcBorders>
              <w:top w:val="nil"/>
              <w:left w:val="nil"/>
              <w:bottom w:val="nil"/>
              <w:right w:val="nil"/>
            </w:tcBorders>
            <w:noWrap/>
            <w:vAlign w:val="bottom"/>
            <w:hideMark/>
          </w:tcPr>
          <w:p w14:paraId="1256E95E" w14:textId="77777777" w:rsidR="00A74C68" w:rsidRPr="00471CBA" w:rsidRDefault="00A74C68" w:rsidP="00A74C68">
            <w:pPr>
              <w:rPr>
                <w:color w:val="000000"/>
                <w:sz w:val="16"/>
                <w:szCs w:val="16"/>
              </w:rPr>
            </w:pPr>
            <w:r w:rsidRPr="00471CBA">
              <w:rPr>
                <w:bCs/>
                <w:iCs/>
                <w:color w:val="000000"/>
                <w:sz w:val="16"/>
                <w:szCs w:val="16"/>
              </w:rPr>
              <w:t xml:space="preserve">Gerçek kişilerin ticari olmayan katılma </w:t>
            </w:r>
            <w:proofErr w:type="spellStart"/>
            <w:r w:rsidRPr="00471CBA">
              <w:rPr>
                <w:bCs/>
                <w:iCs/>
                <w:color w:val="000000"/>
                <w:sz w:val="16"/>
                <w:szCs w:val="16"/>
              </w:rPr>
              <w:t>hs.</w:t>
            </w:r>
            <w:proofErr w:type="spellEnd"/>
          </w:p>
        </w:tc>
        <w:tc>
          <w:tcPr>
            <w:tcW w:w="455" w:type="pct"/>
            <w:tcBorders>
              <w:top w:val="nil"/>
              <w:left w:val="nil"/>
              <w:bottom w:val="nil"/>
              <w:right w:val="nil"/>
            </w:tcBorders>
            <w:noWrap/>
            <w:vAlign w:val="bottom"/>
            <w:hideMark/>
          </w:tcPr>
          <w:p w14:paraId="2B4366D5" w14:textId="77777777" w:rsidR="00A74C68" w:rsidRPr="00471CBA" w:rsidRDefault="00A74C68" w:rsidP="00A74C68">
            <w:pPr>
              <w:jc w:val="right"/>
              <w:rPr>
                <w:color w:val="000000"/>
                <w:sz w:val="16"/>
                <w:szCs w:val="16"/>
                <w:lang w:eastAsia="tr-TR"/>
              </w:rPr>
            </w:pPr>
            <w:r w:rsidRPr="00471CBA">
              <w:rPr>
                <w:color w:val="000000"/>
                <w:sz w:val="16"/>
                <w:szCs w:val="16"/>
              </w:rPr>
              <w:t>10.295</w:t>
            </w:r>
          </w:p>
        </w:tc>
        <w:tc>
          <w:tcPr>
            <w:tcW w:w="380" w:type="pct"/>
            <w:tcBorders>
              <w:top w:val="nil"/>
              <w:left w:val="nil"/>
              <w:bottom w:val="nil"/>
              <w:right w:val="nil"/>
            </w:tcBorders>
            <w:noWrap/>
            <w:vAlign w:val="bottom"/>
            <w:hideMark/>
          </w:tcPr>
          <w:p w14:paraId="53CCCF3F" w14:textId="77777777" w:rsidR="00A74C68" w:rsidRPr="00471CBA" w:rsidRDefault="00A74C68" w:rsidP="00A74C68">
            <w:pPr>
              <w:jc w:val="right"/>
              <w:rPr>
                <w:color w:val="000000"/>
                <w:sz w:val="16"/>
                <w:szCs w:val="16"/>
                <w:lang w:eastAsia="tr-TR"/>
              </w:rPr>
            </w:pPr>
            <w:r w:rsidRPr="00471CBA">
              <w:rPr>
                <w:color w:val="000000"/>
                <w:sz w:val="16"/>
                <w:szCs w:val="16"/>
              </w:rPr>
              <w:t>42.889</w:t>
            </w:r>
          </w:p>
        </w:tc>
        <w:tc>
          <w:tcPr>
            <w:tcW w:w="455" w:type="pct"/>
            <w:tcBorders>
              <w:top w:val="nil"/>
              <w:left w:val="nil"/>
              <w:bottom w:val="nil"/>
              <w:right w:val="nil"/>
            </w:tcBorders>
            <w:noWrap/>
            <w:vAlign w:val="bottom"/>
            <w:hideMark/>
          </w:tcPr>
          <w:p w14:paraId="733783DE" w14:textId="77777777" w:rsidR="00A74C68" w:rsidRPr="00471CBA" w:rsidRDefault="00A74C68" w:rsidP="00A74C68">
            <w:pPr>
              <w:jc w:val="right"/>
              <w:rPr>
                <w:color w:val="000000"/>
                <w:sz w:val="16"/>
                <w:szCs w:val="16"/>
                <w:lang w:eastAsia="tr-TR"/>
              </w:rPr>
            </w:pPr>
            <w:r w:rsidRPr="00471CBA">
              <w:rPr>
                <w:color w:val="000000"/>
                <w:sz w:val="16"/>
                <w:szCs w:val="16"/>
              </w:rPr>
              <w:t>1.582</w:t>
            </w:r>
          </w:p>
        </w:tc>
        <w:tc>
          <w:tcPr>
            <w:tcW w:w="380" w:type="pct"/>
            <w:tcBorders>
              <w:top w:val="nil"/>
              <w:left w:val="nil"/>
              <w:bottom w:val="nil"/>
              <w:right w:val="nil"/>
            </w:tcBorders>
            <w:noWrap/>
            <w:vAlign w:val="bottom"/>
            <w:hideMark/>
          </w:tcPr>
          <w:p w14:paraId="33CACFA3"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377" w:type="pct"/>
            <w:tcBorders>
              <w:top w:val="nil"/>
              <w:left w:val="nil"/>
              <w:bottom w:val="nil"/>
              <w:right w:val="nil"/>
            </w:tcBorders>
            <w:noWrap/>
            <w:vAlign w:val="bottom"/>
            <w:hideMark/>
          </w:tcPr>
          <w:p w14:paraId="068C80F3" w14:textId="77777777" w:rsidR="00A74C68" w:rsidRPr="00471CBA" w:rsidRDefault="00A74C68" w:rsidP="00A74C68">
            <w:pPr>
              <w:jc w:val="right"/>
              <w:rPr>
                <w:color w:val="000000"/>
                <w:sz w:val="16"/>
                <w:szCs w:val="16"/>
                <w:lang w:eastAsia="tr-TR"/>
              </w:rPr>
            </w:pPr>
            <w:r w:rsidRPr="00471CBA">
              <w:rPr>
                <w:color w:val="000000"/>
                <w:sz w:val="16"/>
                <w:szCs w:val="16"/>
              </w:rPr>
              <w:t>1.193</w:t>
            </w:r>
          </w:p>
        </w:tc>
        <w:tc>
          <w:tcPr>
            <w:tcW w:w="368" w:type="pct"/>
            <w:tcBorders>
              <w:top w:val="nil"/>
              <w:left w:val="nil"/>
              <w:bottom w:val="nil"/>
              <w:right w:val="nil"/>
            </w:tcBorders>
            <w:noWrap/>
            <w:vAlign w:val="bottom"/>
            <w:hideMark/>
          </w:tcPr>
          <w:p w14:paraId="573BB0DC" w14:textId="77777777" w:rsidR="00A74C68" w:rsidRPr="00471CBA" w:rsidRDefault="00A74C68" w:rsidP="00A74C68">
            <w:pPr>
              <w:jc w:val="right"/>
              <w:rPr>
                <w:color w:val="000000"/>
                <w:sz w:val="16"/>
                <w:szCs w:val="16"/>
                <w:lang w:eastAsia="tr-TR"/>
              </w:rPr>
            </w:pPr>
            <w:r w:rsidRPr="00471CBA">
              <w:rPr>
                <w:color w:val="000000"/>
                <w:sz w:val="16"/>
                <w:szCs w:val="16"/>
              </w:rPr>
              <w:t>721.766</w:t>
            </w:r>
          </w:p>
        </w:tc>
        <w:tc>
          <w:tcPr>
            <w:tcW w:w="467" w:type="pct"/>
            <w:tcBorders>
              <w:top w:val="nil"/>
              <w:left w:val="nil"/>
              <w:bottom w:val="nil"/>
              <w:right w:val="nil"/>
            </w:tcBorders>
            <w:noWrap/>
            <w:vAlign w:val="bottom"/>
            <w:hideMark/>
          </w:tcPr>
          <w:p w14:paraId="27FCC5CF"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530" w:type="pct"/>
            <w:tcBorders>
              <w:top w:val="nil"/>
              <w:left w:val="nil"/>
              <w:bottom w:val="nil"/>
              <w:right w:val="nil"/>
            </w:tcBorders>
            <w:noWrap/>
            <w:vAlign w:val="bottom"/>
            <w:hideMark/>
          </w:tcPr>
          <w:p w14:paraId="273D6088" w14:textId="77777777" w:rsidR="00A74C68" w:rsidRPr="00471CBA" w:rsidRDefault="00A74C68" w:rsidP="00A74C68">
            <w:pPr>
              <w:jc w:val="right"/>
              <w:rPr>
                <w:color w:val="000000"/>
                <w:sz w:val="16"/>
                <w:szCs w:val="16"/>
                <w:lang w:eastAsia="tr-TR"/>
              </w:rPr>
            </w:pPr>
            <w:r w:rsidRPr="00471CBA">
              <w:rPr>
                <w:color w:val="000000"/>
                <w:sz w:val="16"/>
                <w:szCs w:val="16"/>
                <w:lang w:eastAsia="tr-TR"/>
              </w:rPr>
              <w:t>777.725</w:t>
            </w:r>
          </w:p>
        </w:tc>
      </w:tr>
      <w:tr w:rsidR="00A74C68" w:rsidRPr="00471CBA" w14:paraId="2C0A28EC" w14:textId="77777777" w:rsidTr="00A74C68">
        <w:trPr>
          <w:divId w:val="2140759530"/>
          <w:trHeight w:val="170"/>
        </w:trPr>
        <w:tc>
          <w:tcPr>
            <w:tcW w:w="1588" w:type="pct"/>
            <w:tcBorders>
              <w:top w:val="nil"/>
              <w:left w:val="nil"/>
              <w:bottom w:val="nil"/>
              <w:right w:val="nil"/>
            </w:tcBorders>
            <w:noWrap/>
            <w:vAlign w:val="bottom"/>
            <w:hideMark/>
          </w:tcPr>
          <w:p w14:paraId="1F4F475C" w14:textId="77777777" w:rsidR="00A74C68" w:rsidRPr="00471CBA" w:rsidRDefault="00A74C68" w:rsidP="00A74C68">
            <w:pPr>
              <w:rPr>
                <w:color w:val="000000"/>
                <w:sz w:val="16"/>
                <w:szCs w:val="16"/>
              </w:rPr>
            </w:pPr>
            <w:r w:rsidRPr="00471CBA">
              <w:rPr>
                <w:bCs/>
                <w:iCs/>
                <w:color w:val="000000"/>
                <w:sz w:val="16"/>
                <w:szCs w:val="16"/>
              </w:rPr>
              <w:t xml:space="preserve">Resmi kuruluş katılma </w:t>
            </w:r>
            <w:proofErr w:type="spellStart"/>
            <w:r w:rsidRPr="00471CBA">
              <w:rPr>
                <w:bCs/>
                <w:iCs/>
                <w:color w:val="000000"/>
                <w:sz w:val="16"/>
                <w:szCs w:val="16"/>
              </w:rPr>
              <w:t>hs.</w:t>
            </w:r>
            <w:proofErr w:type="spellEnd"/>
          </w:p>
        </w:tc>
        <w:tc>
          <w:tcPr>
            <w:tcW w:w="455" w:type="pct"/>
            <w:tcBorders>
              <w:top w:val="nil"/>
              <w:left w:val="nil"/>
              <w:bottom w:val="nil"/>
              <w:right w:val="nil"/>
            </w:tcBorders>
            <w:noWrap/>
            <w:vAlign w:val="bottom"/>
            <w:hideMark/>
          </w:tcPr>
          <w:p w14:paraId="3F7161F9"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380" w:type="pct"/>
            <w:tcBorders>
              <w:top w:val="nil"/>
              <w:left w:val="nil"/>
              <w:bottom w:val="nil"/>
              <w:right w:val="nil"/>
            </w:tcBorders>
            <w:noWrap/>
            <w:vAlign w:val="bottom"/>
            <w:hideMark/>
          </w:tcPr>
          <w:p w14:paraId="7BC86738"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455" w:type="pct"/>
            <w:tcBorders>
              <w:top w:val="nil"/>
              <w:left w:val="nil"/>
              <w:bottom w:val="nil"/>
              <w:right w:val="nil"/>
            </w:tcBorders>
            <w:noWrap/>
            <w:vAlign w:val="bottom"/>
            <w:hideMark/>
          </w:tcPr>
          <w:p w14:paraId="522CC069"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380" w:type="pct"/>
            <w:tcBorders>
              <w:top w:val="nil"/>
              <w:left w:val="nil"/>
              <w:bottom w:val="nil"/>
              <w:right w:val="nil"/>
            </w:tcBorders>
            <w:noWrap/>
            <w:vAlign w:val="bottom"/>
            <w:hideMark/>
          </w:tcPr>
          <w:p w14:paraId="19DE59BC"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377" w:type="pct"/>
            <w:tcBorders>
              <w:top w:val="nil"/>
              <w:left w:val="nil"/>
              <w:bottom w:val="nil"/>
              <w:right w:val="nil"/>
            </w:tcBorders>
            <w:noWrap/>
            <w:vAlign w:val="bottom"/>
            <w:hideMark/>
          </w:tcPr>
          <w:p w14:paraId="02252FC2"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368" w:type="pct"/>
            <w:tcBorders>
              <w:top w:val="nil"/>
              <w:left w:val="nil"/>
              <w:bottom w:val="nil"/>
              <w:right w:val="nil"/>
            </w:tcBorders>
            <w:noWrap/>
            <w:vAlign w:val="bottom"/>
            <w:hideMark/>
          </w:tcPr>
          <w:p w14:paraId="67A5CA44"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467" w:type="pct"/>
            <w:tcBorders>
              <w:top w:val="nil"/>
              <w:left w:val="nil"/>
              <w:bottom w:val="nil"/>
              <w:right w:val="nil"/>
            </w:tcBorders>
            <w:noWrap/>
            <w:vAlign w:val="bottom"/>
            <w:hideMark/>
          </w:tcPr>
          <w:p w14:paraId="5E4D73A9"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530" w:type="pct"/>
            <w:tcBorders>
              <w:top w:val="nil"/>
              <w:left w:val="nil"/>
              <w:bottom w:val="nil"/>
              <w:right w:val="nil"/>
            </w:tcBorders>
            <w:noWrap/>
            <w:vAlign w:val="bottom"/>
            <w:hideMark/>
          </w:tcPr>
          <w:p w14:paraId="5C5B0CE2" w14:textId="77777777" w:rsidR="00A74C68" w:rsidRPr="00471CBA" w:rsidRDefault="00A74C68" w:rsidP="00A74C68">
            <w:pPr>
              <w:jc w:val="right"/>
              <w:rPr>
                <w:color w:val="000000"/>
                <w:sz w:val="16"/>
                <w:szCs w:val="16"/>
                <w:lang w:eastAsia="tr-TR"/>
              </w:rPr>
            </w:pPr>
            <w:r w:rsidRPr="00471CBA">
              <w:rPr>
                <w:color w:val="000000"/>
                <w:sz w:val="16"/>
                <w:szCs w:val="16"/>
              </w:rPr>
              <w:t>-</w:t>
            </w:r>
          </w:p>
        </w:tc>
      </w:tr>
      <w:tr w:rsidR="00A74C68" w:rsidRPr="00471CBA" w14:paraId="0C829459" w14:textId="77777777" w:rsidTr="00A74C68">
        <w:trPr>
          <w:divId w:val="2140759530"/>
          <w:trHeight w:val="170"/>
        </w:trPr>
        <w:tc>
          <w:tcPr>
            <w:tcW w:w="1588" w:type="pct"/>
            <w:tcBorders>
              <w:top w:val="nil"/>
              <w:left w:val="nil"/>
              <w:bottom w:val="nil"/>
              <w:right w:val="nil"/>
            </w:tcBorders>
            <w:noWrap/>
            <w:vAlign w:val="bottom"/>
            <w:hideMark/>
          </w:tcPr>
          <w:p w14:paraId="1CD0B204" w14:textId="77777777" w:rsidR="00A74C68" w:rsidRPr="00471CBA" w:rsidRDefault="00A74C68" w:rsidP="00A74C68">
            <w:pPr>
              <w:rPr>
                <w:color w:val="000000"/>
                <w:sz w:val="16"/>
                <w:szCs w:val="16"/>
              </w:rPr>
            </w:pPr>
            <w:r w:rsidRPr="00471CBA">
              <w:rPr>
                <w:bCs/>
                <w:iCs/>
                <w:color w:val="000000"/>
                <w:sz w:val="16"/>
                <w:szCs w:val="16"/>
              </w:rPr>
              <w:t xml:space="preserve">Ticari kuruluş katılma </w:t>
            </w:r>
            <w:proofErr w:type="spellStart"/>
            <w:r w:rsidRPr="00471CBA">
              <w:rPr>
                <w:bCs/>
                <w:iCs/>
                <w:color w:val="000000"/>
                <w:sz w:val="16"/>
                <w:szCs w:val="16"/>
              </w:rPr>
              <w:t>hs.</w:t>
            </w:r>
            <w:proofErr w:type="spellEnd"/>
          </w:p>
        </w:tc>
        <w:tc>
          <w:tcPr>
            <w:tcW w:w="455" w:type="pct"/>
            <w:tcBorders>
              <w:top w:val="nil"/>
              <w:left w:val="nil"/>
              <w:bottom w:val="nil"/>
              <w:right w:val="nil"/>
            </w:tcBorders>
            <w:noWrap/>
            <w:vAlign w:val="bottom"/>
            <w:hideMark/>
          </w:tcPr>
          <w:p w14:paraId="0D49F37C" w14:textId="77777777" w:rsidR="00A74C68" w:rsidRPr="00471CBA" w:rsidRDefault="00A74C68" w:rsidP="00A74C68">
            <w:pPr>
              <w:jc w:val="right"/>
              <w:rPr>
                <w:color w:val="000000"/>
                <w:sz w:val="16"/>
                <w:szCs w:val="16"/>
                <w:lang w:eastAsia="tr-TR"/>
              </w:rPr>
            </w:pPr>
            <w:r w:rsidRPr="00471CBA">
              <w:rPr>
                <w:color w:val="000000"/>
                <w:sz w:val="16"/>
                <w:szCs w:val="16"/>
              </w:rPr>
              <w:t>540.915</w:t>
            </w:r>
          </w:p>
        </w:tc>
        <w:tc>
          <w:tcPr>
            <w:tcW w:w="380" w:type="pct"/>
            <w:tcBorders>
              <w:top w:val="nil"/>
              <w:left w:val="nil"/>
              <w:bottom w:val="nil"/>
              <w:right w:val="nil"/>
            </w:tcBorders>
            <w:noWrap/>
            <w:vAlign w:val="bottom"/>
            <w:hideMark/>
          </w:tcPr>
          <w:p w14:paraId="690EA014" w14:textId="77777777" w:rsidR="00A74C68" w:rsidRPr="00471CBA" w:rsidRDefault="00A74C68" w:rsidP="00A74C68">
            <w:pPr>
              <w:jc w:val="right"/>
              <w:rPr>
                <w:color w:val="000000"/>
                <w:sz w:val="16"/>
                <w:szCs w:val="16"/>
                <w:lang w:eastAsia="tr-TR"/>
              </w:rPr>
            </w:pPr>
            <w:r w:rsidRPr="00471CBA">
              <w:rPr>
                <w:color w:val="000000"/>
                <w:sz w:val="16"/>
                <w:szCs w:val="16"/>
              </w:rPr>
              <w:t>150.816</w:t>
            </w:r>
          </w:p>
        </w:tc>
        <w:tc>
          <w:tcPr>
            <w:tcW w:w="455" w:type="pct"/>
            <w:tcBorders>
              <w:top w:val="nil"/>
              <w:left w:val="nil"/>
              <w:bottom w:val="nil"/>
              <w:right w:val="nil"/>
            </w:tcBorders>
            <w:noWrap/>
            <w:vAlign w:val="bottom"/>
            <w:hideMark/>
          </w:tcPr>
          <w:p w14:paraId="71201CC5" w14:textId="77777777" w:rsidR="00A74C68" w:rsidRPr="00471CBA" w:rsidRDefault="00A74C68" w:rsidP="00A74C68">
            <w:pPr>
              <w:jc w:val="right"/>
              <w:rPr>
                <w:color w:val="000000"/>
                <w:sz w:val="16"/>
                <w:szCs w:val="16"/>
                <w:lang w:eastAsia="tr-TR"/>
              </w:rPr>
            </w:pPr>
            <w:r w:rsidRPr="00471CBA">
              <w:rPr>
                <w:color w:val="000000"/>
                <w:sz w:val="16"/>
                <w:szCs w:val="16"/>
              </w:rPr>
              <w:t>330.054</w:t>
            </w:r>
          </w:p>
        </w:tc>
        <w:tc>
          <w:tcPr>
            <w:tcW w:w="380" w:type="pct"/>
            <w:tcBorders>
              <w:top w:val="nil"/>
              <w:left w:val="nil"/>
              <w:bottom w:val="nil"/>
              <w:right w:val="nil"/>
            </w:tcBorders>
            <w:noWrap/>
            <w:vAlign w:val="bottom"/>
            <w:hideMark/>
          </w:tcPr>
          <w:p w14:paraId="77FC94EB"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377" w:type="pct"/>
            <w:tcBorders>
              <w:top w:val="nil"/>
              <w:left w:val="nil"/>
              <w:bottom w:val="nil"/>
              <w:right w:val="nil"/>
            </w:tcBorders>
            <w:noWrap/>
            <w:vAlign w:val="bottom"/>
            <w:hideMark/>
          </w:tcPr>
          <w:p w14:paraId="2FE9F62E" w14:textId="77777777" w:rsidR="00A74C68" w:rsidRPr="00471CBA" w:rsidRDefault="00A74C68" w:rsidP="00A74C68">
            <w:pPr>
              <w:jc w:val="right"/>
              <w:rPr>
                <w:color w:val="000000"/>
                <w:sz w:val="16"/>
                <w:szCs w:val="16"/>
                <w:lang w:eastAsia="tr-TR"/>
              </w:rPr>
            </w:pPr>
            <w:r w:rsidRPr="00471CBA">
              <w:rPr>
                <w:color w:val="000000"/>
                <w:sz w:val="16"/>
                <w:szCs w:val="16"/>
              </w:rPr>
              <w:t>28.541</w:t>
            </w:r>
          </w:p>
        </w:tc>
        <w:tc>
          <w:tcPr>
            <w:tcW w:w="368" w:type="pct"/>
            <w:tcBorders>
              <w:top w:val="nil"/>
              <w:left w:val="nil"/>
              <w:bottom w:val="nil"/>
              <w:right w:val="nil"/>
            </w:tcBorders>
            <w:noWrap/>
            <w:vAlign w:val="bottom"/>
            <w:hideMark/>
          </w:tcPr>
          <w:p w14:paraId="3D961176"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467" w:type="pct"/>
            <w:tcBorders>
              <w:top w:val="nil"/>
              <w:left w:val="nil"/>
              <w:bottom w:val="nil"/>
              <w:right w:val="nil"/>
            </w:tcBorders>
            <w:noWrap/>
            <w:vAlign w:val="bottom"/>
            <w:hideMark/>
          </w:tcPr>
          <w:p w14:paraId="4128B209"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530" w:type="pct"/>
            <w:tcBorders>
              <w:top w:val="nil"/>
              <w:left w:val="nil"/>
              <w:bottom w:val="nil"/>
              <w:right w:val="nil"/>
            </w:tcBorders>
            <w:noWrap/>
            <w:vAlign w:val="bottom"/>
            <w:hideMark/>
          </w:tcPr>
          <w:p w14:paraId="5142D8C3" w14:textId="77777777" w:rsidR="00A74C68" w:rsidRPr="00471CBA" w:rsidRDefault="00A74C68" w:rsidP="00A74C68">
            <w:pPr>
              <w:jc w:val="right"/>
              <w:rPr>
                <w:color w:val="000000"/>
                <w:sz w:val="16"/>
                <w:szCs w:val="16"/>
                <w:lang w:eastAsia="tr-TR"/>
              </w:rPr>
            </w:pPr>
            <w:r w:rsidRPr="00471CBA">
              <w:rPr>
                <w:color w:val="000000"/>
                <w:sz w:val="16"/>
                <w:szCs w:val="16"/>
              </w:rPr>
              <w:t>1.050.326</w:t>
            </w:r>
          </w:p>
        </w:tc>
      </w:tr>
      <w:tr w:rsidR="00A74C68" w:rsidRPr="00471CBA" w14:paraId="5D15F026" w14:textId="77777777" w:rsidTr="00A74C68">
        <w:trPr>
          <w:divId w:val="2140759530"/>
          <w:trHeight w:val="170"/>
        </w:trPr>
        <w:tc>
          <w:tcPr>
            <w:tcW w:w="1588" w:type="pct"/>
            <w:tcBorders>
              <w:top w:val="nil"/>
              <w:left w:val="nil"/>
              <w:bottom w:val="single" w:sz="4" w:space="0" w:color="auto"/>
              <w:right w:val="nil"/>
            </w:tcBorders>
            <w:noWrap/>
            <w:vAlign w:val="bottom"/>
            <w:hideMark/>
          </w:tcPr>
          <w:p w14:paraId="0881D634" w14:textId="77777777" w:rsidR="00A74C68" w:rsidRPr="00471CBA" w:rsidRDefault="00A74C68" w:rsidP="00A74C68">
            <w:pPr>
              <w:rPr>
                <w:color w:val="000000"/>
                <w:sz w:val="16"/>
                <w:szCs w:val="16"/>
              </w:rPr>
            </w:pPr>
            <w:r w:rsidRPr="00471CBA">
              <w:rPr>
                <w:bCs/>
                <w:iCs/>
                <w:color w:val="000000"/>
                <w:sz w:val="16"/>
                <w:szCs w:val="16"/>
              </w:rPr>
              <w:t xml:space="preserve">Diğer kuruluş katılma </w:t>
            </w:r>
            <w:proofErr w:type="spellStart"/>
            <w:r w:rsidRPr="00471CBA">
              <w:rPr>
                <w:bCs/>
                <w:iCs/>
                <w:color w:val="000000"/>
                <w:sz w:val="16"/>
                <w:szCs w:val="16"/>
              </w:rPr>
              <w:t>hs.</w:t>
            </w:r>
            <w:proofErr w:type="spellEnd"/>
          </w:p>
        </w:tc>
        <w:tc>
          <w:tcPr>
            <w:tcW w:w="455" w:type="pct"/>
            <w:tcBorders>
              <w:top w:val="nil"/>
              <w:left w:val="nil"/>
              <w:bottom w:val="single" w:sz="4" w:space="0" w:color="auto"/>
              <w:right w:val="nil"/>
            </w:tcBorders>
            <w:noWrap/>
            <w:vAlign w:val="bottom"/>
            <w:hideMark/>
          </w:tcPr>
          <w:p w14:paraId="78034162" w14:textId="77777777" w:rsidR="00A74C68" w:rsidRPr="00471CBA" w:rsidRDefault="00A74C68" w:rsidP="00A74C68">
            <w:pPr>
              <w:jc w:val="right"/>
              <w:rPr>
                <w:color w:val="000000"/>
                <w:sz w:val="16"/>
                <w:szCs w:val="16"/>
                <w:lang w:eastAsia="tr-TR"/>
              </w:rPr>
            </w:pPr>
            <w:r w:rsidRPr="00471CBA">
              <w:rPr>
                <w:color w:val="000000"/>
                <w:sz w:val="16"/>
                <w:szCs w:val="16"/>
              </w:rPr>
              <w:t>883</w:t>
            </w:r>
          </w:p>
        </w:tc>
        <w:tc>
          <w:tcPr>
            <w:tcW w:w="380" w:type="pct"/>
            <w:tcBorders>
              <w:top w:val="nil"/>
              <w:left w:val="nil"/>
              <w:bottom w:val="single" w:sz="4" w:space="0" w:color="auto"/>
              <w:right w:val="nil"/>
            </w:tcBorders>
            <w:noWrap/>
            <w:vAlign w:val="bottom"/>
            <w:hideMark/>
          </w:tcPr>
          <w:p w14:paraId="2FF04B28" w14:textId="77777777" w:rsidR="00A74C68" w:rsidRPr="00471CBA" w:rsidRDefault="00A74C68" w:rsidP="00A74C68">
            <w:pPr>
              <w:jc w:val="right"/>
              <w:rPr>
                <w:color w:val="000000"/>
                <w:sz w:val="16"/>
                <w:szCs w:val="16"/>
                <w:lang w:eastAsia="tr-TR"/>
              </w:rPr>
            </w:pPr>
            <w:r w:rsidRPr="00471CBA">
              <w:rPr>
                <w:color w:val="000000"/>
                <w:sz w:val="16"/>
                <w:szCs w:val="16"/>
              </w:rPr>
              <w:t>93.693</w:t>
            </w:r>
          </w:p>
        </w:tc>
        <w:tc>
          <w:tcPr>
            <w:tcW w:w="455" w:type="pct"/>
            <w:tcBorders>
              <w:top w:val="nil"/>
              <w:left w:val="nil"/>
              <w:bottom w:val="single" w:sz="4" w:space="0" w:color="auto"/>
              <w:right w:val="nil"/>
            </w:tcBorders>
            <w:noWrap/>
            <w:vAlign w:val="bottom"/>
            <w:hideMark/>
          </w:tcPr>
          <w:p w14:paraId="30800F6E"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380" w:type="pct"/>
            <w:tcBorders>
              <w:top w:val="nil"/>
              <w:left w:val="nil"/>
              <w:bottom w:val="single" w:sz="4" w:space="0" w:color="auto"/>
              <w:right w:val="nil"/>
            </w:tcBorders>
            <w:noWrap/>
            <w:vAlign w:val="bottom"/>
            <w:hideMark/>
          </w:tcPr>
          <w:p w14:paraId="3BDCB6E5"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377" w:type="pct"/>
            <w:tcBorders>
              <w:top w:val="nil"/>
              <w:left w:val="nil"/>
              <w:bottom w:val="single" w:sz="4" w:space="0" w:color="auto"/>
              <w:right w:val="nil"/>
            </w:tcBorders>
            <w:noWrap/>
            <w:vAlign w:val="bottom"/>
            <w:hideMark/>
          </w:tcPr>
          <w:p w14:paraId="1D61310E"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368" w:type="pct"/>
            <w:tcBorders>
              <w:top w:val="nil"/>
              <w:left w:val="nil"/>
              <w:bottom w:val="single" w:sz="4" w:space="0" w:color="auto"/>
              <w:right w:val="nil"/>
            </w:tcBorders>
            <w:noWrap/>
            <w:vAlign w:val="bottom"/>
            <w:hideMark/>
          </w:tcPr>
          <w:p w14:paraId="34A3B2F7"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467" w:type="pct"/>
            <w:tcBorders>
              <w:top w:val="nil"/>
              <w:left w:val="nil"/>
              <w:bottom w:val="single" w:sz="4" w:space="0" w:color="auto"/>
              <w:right w:val="nil"/>
            </w:tcBorders>
            <w:noWrap/>
            <w:vAlign w:val="bottom"/>
            <w:hideMark/>
          </w:tcPr>
          <w:p w14:paraId="07156F26"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530" w:type="pct"/>
            <w:tcBorders>
              <w:top w:val="nil"/>
              <w:left w:val="nil"/>
              <w:bottom w:val="single" w:sz="4" w:space="0" w:color="auto"/>
              <w:right w:val="nil"/>
            </w:tcBorders>
            <w:noWrap/>
            <w:vAlign w:val="bottom"/>
            <w:hideMark/>
          </w:tcPr>
          <w:p w14:paraId="5C55A7DF" w14:textId="77777777" w:rsidR="00A74C68" w:rsidRPr="00471CBA" w:rsidRDefault="00A74C68" w:rsidP="00A74C68">
            <w:pPr>
              <w:jc w:val="right"/>
              <w:rPr>
                <w:color w:val="000000"/>
                <w:sz w:val="16"/>
                <w:szCs w:val="16"/>
                <w:lang w:eastAsia="tr-TR"/>
              </w:rPr>
            </w:pPr>
            <w:r w:rsidRPr="00471CBA">
              <w:rPr>
                <w:color w:val="000000"/>
                <w:sz w:val="16"/>
                <w:szCs w:val="16"/>
              </w:rPr>
              <w:t>94.576</w:t>
            </w:r>
          </w:p>
        </w:tc>
      </w:tr>
      <w:tr w:rsidR="00A74C68" w:rsidRPr="00471CBA" w14:paraId="398BFD47" w14:textId="77777777" w:rsidTr="00A74C68">
        <w:trPr>
          <w:divId w:val="2140759530"/>
          <w:trHeight w:val="170"/>
        </w:trPr>
        <w:tc>
          <w:tcPr>
            <w:tcW w:w="1588" w:type="pct"/>
            <w:tcBorders>
              <w:top w:val="nil"/>
              <w:left w:val="nil"/>
              <w:bottom w:val="nil"/>
              <w:right w:val="nil"/>
            </w:tcBorders>
            <w:vAlign w:val="center"/>
            <w:hideMark/>
          </w:tcPr>
          <w:p w14:paraId="2DAACF5A" w14:textId="77777777" w:rsidR="00A74C68" w:rsidRPr="00471CBA" w:rsidRDefault="00A74C68" w:rsidP="00A74C68">
            <w:pPr>
              <w:jc w:val="right"/>
              <w:rPr>
                <w:color w:val="000000"/>
                <w:sz w:val="16"/>
                <w:szCs w:val="16"/>
              </w:rPr>
            </w:pPr>
          </w:p>
        </w:tc>
        <w:tc>
          <w:tcPr>
            <w:tcW w:w="455" w:type="pct"/>
            <w:tcBorders>
              <w:top w:val="nil"/>
              <w:left w:val="nil"/>
              <w:bottom w:val="nil"/>
              <w:right w:val="nil"/>
            </w:tcBorders>
            <w:vAlign w:val="bottom"/>
            <w:hideMark/>
          </w:tcPr>
          <w:p w14:paraId="0CE1789B" w14:textId="77777777" w:rsidR="00A74C68" w:rsidRPr="00471CBA" w:rsidRDefault="00A74C68" w:rsidP="00A74C68">
            <w:pPr>
              <w:jc w:val="right"/>
              <w:rPr>
                <w:color w:val="000000"/>
                <w:sz w:val="16"/>
                <w:szCs w:val="16"/>
                <w:lang w:eastAsia="tr-TR"/>
              </w:rPr>
            </w:pPr>
            <w:r w:rsidRPr="00471CBA">
              <w:rPr>
                <w:szCs w:val="20"/>
              </w:rPr>
              <w:t> </w:t>
            </w:r>
          </w:p>
        </w:tc>
        <w:tc>
          <w:tcPr>
            <w:tcW w:w="380" w:type="pct"/>
            <w:tcBorders>
              <w:top w:val="nil"/>
              <w:left w:val="nil"/>
              <w:bottom w:val="nil"/>
              <w:right w:val="nil"/>
            </w:tcBorders>
            <w:vAlign w:val="bottom"/>
            <w:hideMark/>
          </w:tcPr>
          <w:p w14:paraId="40DC7BAB" w14:textId="77777777" w:rsidR="00A74C68" w:rsidRPr="00471CBA" w:rsidRDefault="00A74C68" w:rsidP="00A74C68">
            <w:pPr>
              <w:jc w:val="right"/>
              <w:rPr>
                <w:color w:val="000000"/>
                <w:sz w:val="16"/>
                <w:szCs w:val="16"/>
                <w:lang w:eastAsia="tr-TR"/>
              </w:rPr>
            </w:pPr>
            <w:r w:rsidRPr="00471CBA">
              <w:rPr>
                <w:szCs w:val="20"/>
              </w:rPr>
              <w:t> </w:t>
            </w:r>
          </w:p>
        </w:tc>
        <w:tc>
          <w:tcPr>
            <w:tcW w:w="455" w:type="pct"/>
            <w:tcBorders>
              <w:top w:val="nil"/>
              <w:left w:val="nil"/>
              <w:bottom w:val="nil"/>
              <w:right w:val="nil"/>
            </w:tcBorders>
            <w:vAlign w:val="bottom"/>
            <w:hideMark/>
          </w:tcPr>
          <w:p w14:paraId="65813326" w14:textId="77777777" w:rsidR="00A74C68" w:rsidRPr="00471CBA" w:rsidRDefault="00A74C68" w:rsidP="00A74C68">
            <w:pPr>
              <w:jc w:val="right"/>
              <w:rPr>
                <w:color w:val="000000"/>
                <w:sz w:val="16"/>
                <w:szCs w:val="16"/>
                <w:lang w:eastAsia="tr-TR"/>
              </w:rPr>
            </w:pPr>
            <w:r w:rsidRPr="00471CBA">
              <w:rPr>
                <w:szCs w:val="20"/>
              </w:rPr>
              <w:t> </w:t>
            </w:r>
          </w:p>
        </w:tc>
        <w:tc>
          <w:tcPr>
            <w:tcW w:w="380" w:type="pct"/>
            <w:tcBorders>
              <w:top w:val="nil"/>
              <w:left w:val="nil"/>
              <w:bottom w:val="nil"/>
              <w:right w:val="nil"/>
            </w:tcBorders>
            <w:vAlign w:val="bottom"/>
            <w:hideMark/>
          </w:tcPr>
          <w:p w14:paraId="28942574" w14:textId="77777777" w:rsidR="00A74C68" w:rsidRPr="00471CBA" w:rsidRDefault="00A74C68" w:rsidP="00A74C68">
            <w:pPr>
              <w:jc w:val="right"/>
              <w:rPr>
                <w:color w:val="000000"/>
                <w:sz w:val="16"/>
                <w:szCs w:val="16"/>
                <w:lang w:eastAsia="tr-TR"/>
              </w:rPr>
            </w:pPr>
            <w:r w:rsidRPr="00471CBA">
              <w:rPr>
                <w:szCs w:val="20"/>
              </w:rPr>
              <w:t> </w:t>
            </w:r>
          </w:p>
        </w:tc>
        <w:tc>
          <w:tcPr>
            <w:tcW w:w="377" w:type="pct"/>
            <w:tcBorders>
              <w:top w:val="nil"/>
              <w:left w:val="nil"/>
              <w:bottom w:val="nil"/>
              <w:right w:val="nil"/>
            </w:tcBorders>
            <w:vAlign w:val="bottom"/>
            <w:hideMark/>
          </w:tcPr>
          <w:p w14:paraId="566D9527" w14:textId="77777777" w:rsidR="00A74C68" w:rsidRPr="00471CBA" w:rsidRDefault="00A74C68" w:rsidP="00A74C68">
            <w:pPr>
              <w:jc w:val="right"/>
              <w:rPr>
                <w:color w:val="000000"/>
                <w:sz w:val="16"/>
                <w:szCs w:val="16"/>
                <w:lang w:eastAsia="tr-TR"/>
              </w:rPr>
            </w:pPr>
            <w:r w:rsidRPr="00471CBA">
              <w:rPr>
                <w:szCs w:val="20"/>
              </w:rPr>
              <w:t> </w:t>
            </w:r>
          </w:p>
        </w:tc>
        <w:tc>
          <w:tcPr>
            <w:tcW w:w="368" w:type="pct"/>
            <w:tcBorders>
              <w:top w:val="nil"/>
              <w:left w:val="nil"/>
              <w:bottom w:val="nil"/>
              <w:right w:val="nil"/>
            </w:tcBorders>
            <w:vAlign w:val="bottom"/>
            <w:hideMark/>
          </w:tcPr>
          <w:p w14:paraId="44FFD3FB" w14:textId="77777777" w:rsidR="00A74C68" w:rsidRPr="00471CBA" w:rsidRDefault="00A74C68" w:rsidP="00A74C68">
            <w:pPr>
              <w:jc w:val="right"/>
              <w:rPr>
                <w:color w:val="000000"/>
                <w:sz w:val="16"/>
                <w:szCs w:val="16"/>
                <w:lang w:eastAsia="tr-TR"/>
              </w:rPr>
            </w:pPr>
            <w:r w:rsidRPr="00471CBA">
              <w:rPr>
                <w:szCs w:val="20"/>
              </w:rPr>
              <w:t> </w:t>
            </w:r>
          </w:p>
        </w:tc>
        <w:tc>
          <w:tcPr>
            <w:tcW w:w="467" w:type="pct"/>
            <w:tcBorders>
              <w:top w:val="nil"/>
              <w:left w:val="nil"/>
              <w:bottom w:val="nil"/>
              <w:right w:val="nil"/>
            </w:tcBorders>
            <w:vAlign w:val="bottom"/>
            <w:hideMark/>
          </w:tcPr>
          <w:p w14:paraId="257423B8" w14:textId="77777777" w:rsidR="00A74C68" w:rsidRPr="00471CBA" w:rsidRDefault="00A74C68" w:rsidP="00A74C68">
            <w:pPr>
              <w:jc w:val="right"/>
              <w:rPr>
                <w:color w:val="000000"/>
                <w:sz w:val="16"/>
                <w:szCs w:val="16"/>
                <w:lang w:eastAsia="tr-TR"/>
              </w:rPr>
            </w:pPr>
            <w:r w:rsidRPr="00471CBA">
              <w:rPr>
                <w:szCs w:val="20"/>
              </w:rPr>
              <w:t> </w:t>
            </w:r>
          </w:p>
        </w:tc>
        <w:tc>
          <w:tcPr>
            <w:tcW w:w="530" w:type="pct"/>
            <w:tcBorders>
              <w:top w:val="nil"/>
              <w:left w:val="nil"/>
              <w:bottom w:val="nil"/>
              <w:right w:val="nil"/>
            </w:tcBorders>
            <w:vAlign w:val="bottom"/>
            <w:hideMark/>
          </w:tcPr>
          <w:p w14:paraId="738B1405" w14:textId="77777777" w:rsidR="00A74C68" w:rsidRPr="00471CBA" w:rsidRDefault="00A74C68" w:rsidP="00A74C68">
            <w:pPr>
              <w:jc w:val="right"/>
              <w:rPr>
                <w:color w:val="000000"/>
                <w:sz w:val="16"/>
                <w:szCs w:val="16"/>
                <w:lang w:eastAsia="tr-TR"/>
              </w:rPr>
            </w:pPr>
            <w:r w:rsidRPr="00471CBA">
              <w:rPr>
                <w:szCs w:val="20"/>
              </w:rPr>
              <w:t> </w:t>
            </w:r>
          </w:p>
        </w:tc>
      </w:tr>
      <w:tr w:rsidR="00A74C68" w:rsidRPr="00471CBA" w14:paraId="30A831E3" w14:textId="77777777" w:rsidTr="00A74C68">
        <w:trPr>
          <w:divId w:val="2140759530"/>
          <w:trHeight w:val="170"/>
        </w:trPr>
        <w:tc>
          <w:tcPr>
            <w:tcW w:w="1588" w:type="pct"/>
            <w:tcBorders>
              <w:top w:val="nil"/>
              <w:left w:val="nil"/>
              <w:bottom w:val="single" w:sz="8" w:space="0" w:color="auto"/>
              <w:right w:val="nil"/>
            </w:tcBorders>
            <w:vAlign w:val="center"/>
            <w:hideMark/>
          </w:tcPr>
          <w:p w14:paraId="4A805134" w14:textId="77777777" w:rsidR="00A74C68" w:rsidRPr="00471CBA" w:rsidRDefault="00A74C68" w:rsidP="00A74C68">
            <w:pPr>
              <w:rPr>
                <w:b/>
                <w:bCs/>
                <w:color w:val="000000"/>
                <w:sz w:val="16"/>
                <w:szCs w:val="16"/>
              </w:rPr>
            </w:pPr>
            <w:r w:rsidRPr="00471CBA">
              <w:rPr>
                <w:b/>
                <w:bCs/>
                <w:color w:val="000000"/>
                <w:sz w:val="16"/>
                <w:szCs w:val="16"/>
              </w:rPr>
              <w:t>Toplam</w:t>
            </w:r>
          </w:p>
        </w:tc>
        <w:tc>
          <w:tcPr>
            <w:tcW w:w="455" w:type="pct"/>
            <w:tcBorders>
              <w:top w:val="nil"/>
              <w:left w:val="nil"/>
              <w:bottom w:val="single" w:sz="8" w:space="0" w:color="auto"/>
              <w:right w:val="nil"/>
            </w:tcBorders>
            <w:noWrap/>
            <w:vAlign w:val="bottom"/>
            <w:hideMark/>
          </w:tcPr>
          <w:p w14:paraId="37B80B83" w14:textId="77777777" w:rsidR="00A74C68" w:rsidRPr="00471CBA" w:rsidRDefault="00A74C68" w:rsidP="00A74C68">
            <w:pPr>
              <w:jc w:val="right"/>
              <w:rPr>
                <w:b/>
                <w:bCs/>
                <w:sz w:val="16"/>
                <w:szCs w:val="16"/>
              </w:rPr>
            </w:pPr>
            <w:r w:rsidRPr="00471CBA">
              <w:rPr>
                <w:b/>
                <w:bCs/>
                <w:sz w:val="16"/>
                <w:szCs w:val="16"/>
              </w:rPr>
              <w:t>552.093</w:t>
            </w:r>
          </w:p>
        </w:tc>
        <w:tc>
          <w:tcPr>
            <w:tcW w:w="380" w:type="pct"/>
            <w:tcBorders>
              <w:top w:val="nil"/>
              <w:left w:val="nil"/>
              <w:bottom w:val="single" w:sz="8" w:space="0" w:color="auto"/>
              <w:right w:val="nil"/>
            </w:tcBorders>
            <w:noWrap/>
            <w:vAlign w:val="bottom"/>
            <w:hideMark/>
          </w:tcPr>
          <w:p w14:paraId="2A9E6F57" w14:textId="77777777" w:rsidR="00A74C68" w:rsidRPr="00471CBA" w:rsidRDefault="00A74C68" w:rsidP="00A74C68">
            <w:pPr>
              <w:jc w:val="right"/>
              <w:rPr>
                <w:b/>
                <w:bCs/>
                <w:sz w:val="16"/>
                <w:szCs w:val="16"/>
              </w:rPr>
            </w:pPr>
            <w:r w:rsidRPr="00471CBA">
              <w:rPr>
                <w:b/>
                <w:bCs/>
                <w:sz w:val="16"/>
                <w:szCs w:val="16"/>
              </w:rPr>
              <w:t>287.398</w:t>
            </w:r>
          </w:p>
        </w:tc>
        <w:tc>
          <w:tcPr>
            <w:tcW w:w="455" w:type="pct"/>
            <w:tcBorders>
              <w:top w:val="nil"/>
              <w:left w:val="nil"/>
              <w:bottom w:val="single" w:sz="8" w:space="0" w:color="auto"/>
              <w:right w:val="nil"/>
            </w:tcBorders>
            <w:noWrap/>
            <w:vAlign w:val="bottom"/>
            <w:hideMark/>
          </w:tcPr>
          <w:p w14:paraId="1B2232C7" w14:textId="77777777" w:rsidR="00A74C68" w:rsidRPr="00471CBA" w:rsidRDefault="00A74C68" w:rsidP="00A74C68">
            <w:pPr>
              <w:jc w:val="right"/>
              <w:rPr>
                <w:b/>
                <w:bCs/>
                <w:sz w:val="16"/>
                <w:szCs w:val="16"/>
              </w:rPr>
            </w:pPr>
            <w:r w:rsidRPr="00471CBA">
              <w:rPr>
                <w:b/>
                <w:bCs/>
                <w:sz w:val="16"/>
                <w:szCs w:val="16"/>
              </w:rPr>
              <w:t>331.636</w:t>
            </w:r>
          </w:p>
        </w:tc>
        <w:tc>
          <w:tcPr>
            <w:tcW w:w="380" w:type="pct"/>
            <w:tcBorders>
              <w:top w:val="nil"/>
              <w:left w:val="nil"/>
              <w:bottom w:val="single" w:sz="8" w:space="0" w:color="auto"/>
              <w:right w:val="nil"/>
            </w:tcBorders>
            <w:noWrap/>
            <w:vAlign w:val="bottom"/>
            <w:hideMark/>
          </w:tcPr>
          <w:p w14:paraId="0A02AB6D" w14:textId="77777777" w:rsidR="00A74C68" w:rsidRPr="00471CBA" w:rsidRDefault="00A74C68" w:rsidP="00A74C68">
            <w:pPr>
              <w:jc w:val="right"/>
              <w:rPr>
                <w:b/>
                <w:bCs/>
                <w:sz w:val="16"/>
                <w:szCs w:val="16"/>
              </w:rPr>
            </w:pPr>
            <w:r w:rsidRPr="00471CBA">
              <w:rPr>
                <w:b/>
                <w:bCs/>
                <w:sz w:val="16"/>
                <w:szCs w:val="16"/>
              </w:rPr>
              <w:t>-</w:t>
            </w:r>
          </w:p>
        </w:tc>
        <w:tc>
          <w:tcPr>
            <w:tcW w:w="377" w:type="pct"/>
            <w:tcBorders>
              <w:top w:val="nil"/>
              <w:left w:val="nil"/>
              <w:bottom w:val="single" w:sz="8" w:space="0" w:color="auto"/>
              <w:right w:val="nil"/>
            </w:tcBorders>
            <w:noWrap/>
            <w:vAlign w:val="bottom"/>
            <w:hideMark/>
          </w:tcPr>
          <w:p w14:paraId="237731BE" w14:textId="77777777" w:rsidR="00A74C68" w:rsidRPr="00471CBA" w:rsidRDefault="00A74C68" w:rsidP="00A74C68">
            <w:pPr>
              <w:jc w:val="right"/>
              <w:rPr>
                <w:b/>
                <w:bCs/>
                <w:sz w:val="16"/>
                <w:szCs w:val="16"/>
              </w:rPr>
            </w:pPr>
            <w:r w:rsidRPr="00471CBA">
              <w:rPr>
                <w:b/>
                <w:bCs/>
                <w:sz w:val="16"/>
                <w:szCs w:val="16"/>
              </w:rPr>
              <w:t>29.734</w:t>
            </w:r>
          </w:p>
        </w:tc>
        <w:tc>
          <w:tcPr>
            <w:tcW w:w="368" w:type="pct"/>
            <w:tcBorders>
              <w:top w:val="nil"/>
              <w:left w:val="nil"/>
              <w:bottom w:val="single" w:sz="8" w:space="0" w:color="auto"/>
              <w:right w:val="nil"/>
            </w:tcBorders>
            <w:noWrap/>
            <w:vAlign w:val="bottom"/>
            <w:hideMark/>
          </w:tcPr>
          <w:p w14:paraId="2EBC01E4" w14:textId="77777777" w:rsidR="00A74C68" w:rsidRPr="00471CBA" w:rsidRDefault="00A74C68" w:rsidP="00A74C68">
            <w:pPr>
              <w:jc w:val="right"/>
              <w:rPr>
                <w:b/>
                <w:bCs/>
                <w:sz w:val="16"/>
                <w:szCs w:val="16"/>
              </w:rPr>
            </w:pPr>
            <w:r w:rsidRPr="00471CBA">
              <w:rPr>
                <w:b/>
                <w:bCs/>
                <w:sz w:val="16"/>
                <w:szCs w:val="16"/>
              </w:rPr>
              <w:t>721.766</w:t>
            </w:r>
          </w:p>
        </w:tc>
        <w:tc>
          <w:tcPr>
            <w:tcW w:w="467" w:type="pct"/>
            <w:tcBorders>
              <w:top w:val="nil"/>
              <w:left w:val="nil"/>
              <w:bottom w:val="single" w:sz="8" w:space="0" w:color="auto"/>
              <w:right w:val="nil"/>
            </w:tcBorders>
            <w:noWrap/>
            <w:vAlign w:val="bottom"/>
            <w:hideMark/>
          </w:tcPr>
          <w:p w14:paraId="7DA166AF" w14:textId="77777777" w:rsidR="00A74C68" w:rsidRPr="00471CBA" w:rsidRDefault="00A74C68" w:rsidP="00A74C68">
            <w:pPr>
              <w:jc w:val="right"/>
              <w:rPr>
                <w:b/>
                <w:bCs/>
                <w:sz w:val="16"/>
                <w:szCs w:val="16"/>
              </w:rPr>
            </w:pPr>
            <w:r w:rsidRPr="00471CBA">
              <w:rPr>
                <w:b/>
                <w:bCs/>
                <w:sz w:val="16"/>
                <w:szCs w:val="16"/>
              </w:rPr>
              <w:t>-</w:t>
            </w:r>
          </w:p>
        </w:tc>
        <w:tc>
          <w:tcPr>
            <w:tcW w:w="530" w:type="pct"/>
            <w:tcBorders>
              <w:top w:val="nil"/>
              <w:left w:val="nil"/>
              <w:bottom w:val="single" w:sz="8" w:space="0" w:color="auto"/>
              <w:right w:val="nil"/>
            </w:tcBorders>
            <w:noWrap/>
            <w:vAlign w:val="bottom"/>
            <w:hideMark/>
          </w:tcPr>
          <w:p w14:paraId="33ED4621" w14:textId="77777777" w:rsidR="00A74C68" w:rsidRPr="00471CBA" w:rsidRDefault="00A74C68" w:rsidP="00A74C68">
            <w:pPr>
              <w:jc w:val="right"/>
              <w:rPr>
                <w:b/>
                <w:bCs/>
                <w:sz w:val="16"/>
                <w:szCs w:val="16"/>
              </w:rPr>
            </w:pPr>
            <w:r w:rsidRPr="00471CBA">
              <w:rPr>
                <w:b/>
                <w:bCs/>
                <w:sz w:val="16"/>
                <w:szCs w:val="16"/>
              </w:rPr>
              <w:t>1.922.627</w:t>
            </w:r>
          </w:p>
        </w:tc>
      </w:tr>
      <w:tr w:rsidR="00A74C68" w:rsidRPr="00471CBA" w14:paraId="6F9066C9" w14:textId="77777777" w:rsidTr="00A74C68">
        <w:trPr>
          <w:divId w:val="2140759530"/>
          <w:trHeight w:val="170"/>
        </w:trPr>
        <w:tc>
          <w:tcPr>
            <w:tcW w:w="1588" w:type="pct"/>
            <w:tcBorders>
              <w:top w:val="nil"/>
              <w:left w:val="nil"/>
              <w:bottom w:val="nil"/>
              <w:right w:val="nil"/>
            </w:tcBorders>
            <w:noWrap/>
            <w:vAlign w:val="bottom"/>
            <w:hideMark/>
          </w:tcPr>
          <w:p w14:paraId="3F8E9965" w14:textId="77777777" w:rsidR="00A74C68" w:rsidRPr="00471CBA" w:rsidRDefault="00A74C68" w:rsidP="00A74C68">
            <w:pPr>
              <w:jc w:val="right"/>
              <w:rPr>
                <w:b/>
                <w:bCs/>
                <w:sz w:val="16"/>
                <w:szCs w:val="16"/>
              </w:rPr>
            </w:pPr>
          </w:p>
        </w:tc>
        <w:tc>
          <w:tcPr>
            <w:tcW w:w="455" w:type="pct"/>
            <w:tcBorders>
              <w:top w:val="nil"/>
              <w:left w:val="nil"/>
              <w:bottom w:val="nil"/>
              <w:right w:val="nil"/>
            </w:tcBorders>
            <w:vAlign w:val="bottom"/>
            <w:hideMark/>
          </w:tcPr>
          <w:p w14:paraId="5C9F9FEA" w14:textId="77777777" w:rsidR="00A74C68" w:rsidRPr="00471CBA" w:rsidRDefault="00A74C68" w:rsidP="00A74C68">
            <w:pPr>
              <w:jc w:val="right"/>
              <w:rPr>
                <w:color w:val="000000"/>
                <w:sz w:val="16"/>
                <w:szCs w:val="16"/>
                <w:lang w:eastAsia="tr-TR"/>
              </w:rPr>
            </w:pPr>
            <w:r w:rsidRPr="00471CBA">
              <w:rPr>
                <w:szCs w:val="20"/>
              </w:rPr>
              <w:t> </w:t>
            </w:r>
          </w:p>
        </w:tc>
        <w:tc>
          <w:tcPr>
            <w:tcW w:w="380" w:type="pct"/>
            <w:tcBorders>
              <w:top w:val="nil"/>
              <w:left w:val="nil"/>
              <w:bottom w:val="nil"/>
              <w:right w:val="nil"/>
            </w:tcBorders>
            <w:vAlign w:val="bottom"/>
            <w:hideMark/>
          </w:tcPr>
          <w:p w14:paraId="72C6C73F" w14:textId="77777777" w:rsidR="00A74C68" w:rsidRPr="00471CBA" w:rsidRDefault="00A74C68" w:rsidP="00A74C68">
            <w:pPr>
              <w:jc w:val="right"/>
              <w:rPr>
                <w:color w:val="000000"/>
                <w:sz w:val="16"/>
                <w:szCs w:val="16"/>
                <w:lang w:eastAsia="tr-TR"/>
              </w:rPr>
            </w:pPr>
            <w:r w:rsidRPr="00471CBA">
              <w:rPr>
                <w:szCs w:val="20"/>
              </w:rPr>
              <w:t> </w:t>
            </w:r>
          </w:p>
        </w:tc>
        <w:tc>
          <w:tcPr>
            <w:tcW w:w="455" w:type="pct"/>
            <w:tcBorders>
              <w:top w:val="nil"/>
              <w:left w:val="nil"/>
              <w:bottom w:val="nil"/>
              <w:right w:val="nil"/>
            </w:tcBorders>
            <w:vAlign w:val="bottom"/>
            <w:hideMark/>
          </w:tcPr>
          <w:p w14:paraId="4ED6A3A9" w14:textId="77777777" w:rsidR="00A74C68" w:rsidRPr="00471CBA" w:rsidRDefault="00A74C68" w:rsidP="00A74C68">
            <w:pPr>
              <w:jc w:val="right"/>
              <w:rPr>
                <w:color w:val="000000"/>
                <w:sz w:val="16"/>
                <w:szCs w:val="16"/>
                <w:lang w:eastAsia="tr-TR"/>
              </w:rPr>
            </w:pPr>
            <w:r w:rsidRPr="00471CBA">
              <w:rPr>
                <w:szCs w:val="20"/>
              </w:rPr>
              <w:t> </w:t>
            </w:r>
          </w:p>
        </w:tc>
        <w:tc>
          <w:tcPr>
            <w:tcW w:w="380" w:type="pct"/>
            <w:tcBorders>
              <w:top w:val="nil"/>
              <w:left w:val="nil"/>
              <w:bottom w:val="nil"/>
              <w:right w:val="nil"/>
            </w:tcBorders>
            <w:vAlign w:val="bottom"/>
            <w:hideMark/>
          </w:tcPr>
          <w:p w14:paraId="1B517A44" w14:textId="77777777" w:rsidR="00A74C68" w:rsidRPr="00471CBA" w:rsidRDefault="00A74C68" w:rsidP="00A74C68">
            <w:pPr>
              <w:jc w:val="right"/>
              <w:rPr>
                <w:color w:val="000000"/>
                <w:sz w:val="16"/>
                <w:szCs w:val="16"/>
                <w:lang w:eastAsia="tr-TR"/>
              </w:rPr>
            </w:pPr>
            <w:r w:rsidRPr="00471CBA">
              <w:rPr>
                <w:szCs w:val="20"/>
              </w:rPr>
              <w:t> </w:t>
            </w:r>
          </w:p>
        </w:tc>
        <w:tc>
          <w:tcPr>
            <w:tcW w:w="377" w:type="pct"/>
            <w:tcBorders>
              <w:top w:val="nil"/>
              <w:left w:val="nil"/>
              <w:bottom w:val="nil"/>
              <w:right w:val="nil"/>
            </w:tcBorders>
            <w:vAlign w:val="bottom"/>
            <w:hideMark/>
          </w:tcPr>
          <w:p w14:paraId="1FCC3D73" w14:textId="77777777" w:rsidR="00A74C68" w:rsidRPr="00471CBA" w:rsidRDefault="00A74C68" w:rsidP="00A74C68">
            <w:pPr>
              <w:jc w:val="right"/>
              <w:rPr>
                <w:color w:val="000000"/>
                <w:sz w:val="16"/>
                <w:szCs w:val="16"/>
                <w:lang w:eastAsia="tr-TR"/>
              </w:rPr>
            </w:pPr>
            <w:r w:rsidRPr="00471CBA">
              <w:rPr>
                <w:szCs w:val="20"/>
              </w:rPr>
              <w:t> </w:t>
            </w:r>
          </w:p>
        </w:tc>
        <w:tc>
          <w:tcPr>
            <w:tcW w:w="368" w:type="pct"/>
            <w:tcBorders>
              <w:top w:val="nil"/>
              <w:left w:val="nil"/>
              <w:bottom w:val="nil"/>
              <w:right w:val="nil"/>
            </w:tcBorders>
            <w:vAlign w:val="bottom"/>
            <w:hideMark/>
          </w:tcPr>
          <w:p w14:paraId="795E27D6" w14:textId="77777777" w:rsidR="00A74C68" w:rsidRPr="00471CBA" w:rsidRDefault="00A74C68" w:rsidP="00A74C68">
            <w:pPr>
              <w:jc w:val="right"/>
              <w:rPr>
                <w:color w:val="000000"/>
                <w:sz w:val="16"/>
                <w:szCs w:val="16"/>
                <w:lang w:eastAsia="tr-TR"/>
              </w:rPr>
            </w:pPr>
            <w:r w:rsidRPr="00471CBA">
              <w:rPr>
                <w:szCs w:val="20"/>
              </w:rPr>
              <w:t> </w:t>
            </w:r>
          </w:p>
        </w:tc>
        <w:tc>
          <w:tcPr>
            <w:tcW w:w="467" w:type="pct"/>
            <w:tcBorders>
              <w:top w:val="nil"/>
              <w:left w:val="nil"/>
              <w:bottom w:val="nil"/>
              <w:right w:val="nil"/>
            </w:tcBorders>
            <w:vAlign w:val="bottom"/>
            <w:hideMark/>
          </w:tcPr>
          <w:p w14:paraId="2C2B2C63" w14:textId="77777777" w:rsidR="00A74C68" w:rsidRPr="00471CBA" w:rsidRDefault="00A74C68" w:rsidP="00A74C68">
            <w:pPr>
              <w:jc w:val="right"/>
              <w:rPr>
                <w:color w:val="000000"/>
                <w:sz w:val="16"/>
                <w:szCs w:val="16"/>
                <w:lang w:eastAsia="tr-TR"/>
              </w:rPr>
            </w:pPr>
            <w:r w:rsidRPr="00471CBA">
              <w:rPr>
                <w:szCs w:val="20"/>
              </w:rPr>
              <w:t> </w:t>
            </w:r>
          </w:p>
        </w:tc>
        <w:tc>
          <w:tcPr>
            <w:tcW w:w="530" w:type="pct"/>
            <w:tcBorders>
              <w:top w:val="nil"/>
              <w:left w:val="nil"/>
              <w:bottom w:val="nil"/>
              <w:right w:val="nil"/>
            </w:tcBorders>
            <w:vAlign w:val="bottom"/>
            <w:hideMark/>
          </w:tcPr>
          <w:p w14:paraId="0F529E52" w14:textId="77777777" w:rsidR="00A74C68" w:rsidRPr="00471CBA" w:rsidRDefault="00A74C68" w:rsidP="00A74C68">
            <w:pPr>
              <w:jc w:val="right"/>
              <w:rPr>
                <w:color w:val="000000"/>
                <w:sz w:val="16"/>
                <w:szCs w:val="16"/>
                <w:lang w:eastAsia="tr-TR"/>
              </w:rPr>
            </w:pPr>
            <w:r w:rsidRPr="00471CBA">
              <w:rPr>
                <w:szCs w:val="20"/>
              </w:rPr>
              <w:t> </w:t>
            </w:r>
          </w:p>
        </w:tc>
      </w:tr>
      <w:tr w:rsidR="00A74C68" w:rsidRPr="00471CBA" w14:paraId="4CA60DB8" w14:textId="77777777" w:rsidTr="00A74C68">
        <w:trPr>
          <w:divId w:val="2140759530"/>
          <w:trHeight w:val="170"/>
        </w:trPr>
        <w:tc>
          <w:tcPr>
            <w:tcW w:w="1588" w:type="pct"/>
            <w:tcBorders>
              <w:top w:val="nil"/>
              <w:left w:val="nil"/>
              <w:bottom w:val="nil"/>
              <w:right w:val="nil"/>
            </w:tcBorders>
            <w:noWrap/>
            <w:vAlign w:val="bottom"/>
            <w:hideMark/>
          </w:tcPr>
          <w:p w14:paraId="11C4134D" w14:textId="77777777" w:rsidR="00A74C68" w:rsidRPr="00471CBA" w:rsidRDefault="00A74C68" w:rsidP="00A74C68">
            <w:pPr>
              <w:rPr>
                <w:b/>
                <w:bCs/>
                <w:color w:val="000000"/>
                <w:sz w:val="16"/>
                <w:szCs w:val="16"/>
              </w:rPr>
            </w:pPr>
            <w:r w:rsidRPr="00471CBA">
              <w:rPr>
                <w:b/>
                <w:bCs/>
                <w:color w:val="000000"/>
                <w:sz w:val="16"/>
                <w:szCs w:val="16"/>
              </w:rPr>
              <w:t>Yabancı para</w:t>
            </w:r>
          </w:p>
        </w:tc>
        <w:tc>
          <w:tcPr>
            <w:tcW w:w="455" w:type="pct"/>
            <w:tcBorders>
              <w:top w:val="nil"/>
              <w:left w:val="nil"/>
              <w:bottom w:val="nil"/>
              <w:right w:val="nil"/>
            </w:tcBorders>
            <w:vAlign w:val="bottom"/>
            <w:hideMark/>
          </w:tcPr>
          <w:p w14:paraId="2A252234" w14:textId="77777777" w:rsidR="00A74C68" w:rsidRPr="00471CBA" w:rsidRDefault="00A74C68" w:rsidP="00A74C68">
            <w:pPr>
              <w:jc w:val="right"/>
              <w:rPr>
                <w:color w:val="000000"/>
                <w:sz w:val="16"/>
                <w:szCs w:val="16"/>
                <w:lang w:eastAsia="tr-TR"/>
              </w:rPr>
            </w:pPr>
            <w:r w:rsidRPr="00471CBA">
              <w:rPr>
                <w:b/>
                <w:bCs/>
                <w:color w:val="000000"/>
                <w:sz w:val="16"/>
                <w:szCs w:val="16"/>
              </w:rPr>
              <w:t> </w:t>
            </w:r>
          </w:p>
        </w:tc>
        <w:tc>
          <w:tcPr>
            <w:tcW w:w="380" w:type="pct"/>
            <w:tcBorders>
              <w:top w:val="nil"/>
              <w:left w:val="nil"/>
              <w:bottom w:val="nil"/>
              <w:right w:val="nil"/>
            </w:tcBorders>
            <w:vAlign w:val="bottom"/>
            <w:hideMark/>
          </w:tcPr>
          <w:p w14:paraId="6D9DE554" w14:textId="77777777" w:rsidR="00A74C68" w:rsidRPr="00471CBA" w:rsidRDefault="00A74C68" w:rsidP="00A74C68">
            <w:pPr>
              <w:jc w:val="right"/>
              <w:rPr>
                <w:color w:val="000000"/>
                <w:sz w:val="16"/>
                <w:szCs w:val="16"/>
                <w:lang w:eastAsia="tr-TR"/>
              </w:rPr>
            </w:pPr>
            <w:r w:rsidRPr="00471CBA">
              <w:rPr>
                <w:szCs w:val="20"/>
              </w:rPr>
              <w:t> </w:t>
            </w:r>
          </w:p>
        </w:tc>
        <w:tc>
          <w:tcPr>
            <w:tcW w:w="455" w:type="pct"/>
            <w:tcBorders>
              <w:top w:val="nil"/>
              <w:left w:val="nil"/>
              <w:bottom w:val="nil"/>
              <w:right w:val="nil"/>
            </w:tcBorders>
            <w:vAlign w:val="bottom"/>
            <w:hideMark/>
          </w:tcPr>
          <w:p w14:paraId="5D73A972" w14:textId="77777777" w:rsidR="00A74C68" w:rsidRPr="00471CBA" w:rsidRDefault="00A74C68" w:rsidP="00A74C68">
            <w:pPr>
              <w:jc w:val="right"/>
              <w:rPr>
                <w:color w:val="000000"/>
                <w:sz w:val="16"/>
                <w:szCs w:val="16"/>
                <w:lang w:eastAsia="tr-TR"/>
              </w:rPr>
            </w:pPr>
            <w:r w:rsidRPr="00471CBA">
              <w:rPr>
                <w:szCs w:val="20"/>
              </w:rPr>
              <w:t> </w:t>
            </w:r>
          </w:p>
        </w:tc>
        <w:tc>
          <w:tcPr>
            <w:tcW w:w="380" w:type="pct"/>
            <w:tcBorders>
              <w:top w:val="nil"/>
              <w:left w:val="nil"/>
              <w:bottom w:val="nil"/>
              <w:right w:val="nil"/>
            </w:tcBorders>
            <w:vAlign w:val="bottom"/>
            <w:hideMark/>
          </w:tcPr>
          <w:p w14:paraId="393863D7" w14:textId="77777777" w:rsidR="00A74C68" w:rsidRPr="00471CBA" w:rsidRDefault="00A74C68" w:rsidP="00A74C68">
            <w:pPr>
              <w:jc w:val="right"/>
              <w:rPr>
                <w:color w:val="000000"/>
                <w:sz w:val="16"/>
                <w:szCs w:val="16"/>
                <w:lang w:eastAsia="tr-TR"/>
              </w:rPr>
            </w:pPr>
            <w:r w:rsidRPr="00471CBA">
              <w:rPr>
                <w:szCs w:val="20"/>
              </w:rPr>
              <w:t> </w:t>
            </w:r>
          </w:p>
        </w:tc>
        <w:tc>
          <w:tcPr>
            <w:tcW w:w="377" w:type="pct"/>
            <w:tcBorders>
              <w:top w:val="nil"/>
              <w:left w:val="nil"/>
              <w:bottom w:val="nil"/>
              <w:right w:val="nil"/>
            </w:tcBorders>
            <w:vAlign w:val="bottom"/>
            <w:hideMark/>
          </w:tcPr>
          <w:p w14:paraId="435AF863" w14:textId="77777777" w:rsidR="00A74C68" w:rsidRPr="00471CBA" w:rsidRDefault="00A74C68" w:rsidP="00A74C68">
            <w:pPr>
              <w:jc w:val="right"/>
              <w:rPr>
                <w:color w:val="000000"/>
                <w:sz w:val="16"/>
                <w:szCs w:val="16"/>
                <w:lang w:eastAsia="tr-TR"/>
              </w:rPr>
            </w:pPr>
            <w:r w:rsidRPr="00471CBA">
              <w:rPr>
                <w:szCs w:val="20"/>
              </w:rPr>
              <w:t> </w:t>
            </w:r>
          </w:p>
        </w:tc>
        <w:tc>
          <w:tcPr>
            <w:tcW w:w="368" w:type="pct"/>
            <w:tcBorders>
              <w:top w:val="nil"/>
              <w:left w:val="nil"/>
              <w:bottom w:val="nil"/>
              <w:right w:val="nil"/>
            </w:tcBorders>
            <w:vAlign w:val="bottom"/>
            <w:hideMark/>
          </w:tcPr>
          <w:p w14:paraId="13F7BA2C" w14:textId="77777777" w:rsidR="00A74C68" w:rsidRPr="00471CBA" w:rsidRDefault="00A74C68" w:rsidP="00A74C68">
            <w:pPr>
              <w:jc w:val="right"/>
              <w:rPr>
                <w:color w:val="000000"/>
                <w:sz w:val="16"/>
                <w:szCs w:val="16"/>
                <w:lang w:eastAsia="tr-TR"/>
              </w:rPr>
            </w:pPr>
            <w:r w:rsidRPr="00471CBA">
              <w:rPr>
                <w:szCs w:val="20"/>
              </w:rPr>
              <w:t> </w:t>
            </w:r>
          </w:p>
        </w:tc>
        <w:tc>
          <w:tcPr>
            <w:tcW w:w="467" w:type="pct"/>
            <w:tcBorders>
              <w:top w:val="nil"/>
              <w:left w:val="nil"/>
              <w:bottom w:val="nil"/>
              <w:right w:val="nil"/>
            </w:tcBorders>
            <w:vAlign w:val="bottom"/>
            <w:hideMark/>
          </w:tcPr>
          <w:p w14:paraId="21ADD30C" w14:textId="77777777" w:rsidR="00A74C68" w:rsidRPr="00471CBA" w:rsidRDefault="00A74C68" w:rsidP="00A74C68">
            <w:pPr>
              <w:jc w:val="right"/>
              <w:rPr>
                <w:color w:val="000000"/>
                <w:sz w:val="16"/>
                <w:szCs w:val="16"/>
                <w:lang w:eastAsia="tr-TR"/>
              </w:rPr>
            </w:pPr>
            <w:r w:rsidRPr="00471CBA">
              <w:rPr>
                <w:szCs w:val="20"/>
              </w:rPr>
              <w:t> </w:t>
            </w:r>
          </w:p>
        </w:tc>
        <w:tc>
          <w:tcPr>
            <w:tcW w:w="530" w:type="pct"/>
            <w:tcBorders>
              <w:top w:val="nil"/>
              <w:left w:val="nil"/>
              <w:bottom w:val="nil"/>
              <w:right w:val="nil"/>
            </w:tcBorders>
            <w:vAlign w:val="bottom"/>
            <w:hideMark/>
          </w:tcPr>
          <w:p w14:paraId="24863B84" w14:textId="77777777" w:rsidR="00A74C68" w:rsidRPr="00471CBA" w:rsidRDefault="00A74C68" w:rsidP="00A74C68">
            <w:pPr>
              <w:jc w:val="right"/>
              <w:rPr>
                <w:color w:val="000000"/>
                <w:sz w:val="16"/>
                <w:szCs w:val="16"/>
                <w:lang w:eastAsia="tr-TR"/>
              </w:rPr>
            </w:pPr>
            <w:r w:rsidRPr="00471CBA">
              <w:rPr>
                <w:szCs w:val="20"/>
              </w:rPr>
              <w:t> </w:t>
            </w:r>
          </w:p>
        </w:tc>
      </w:tr>
      <w:tr w:rsidR="00A74C68" w:rsidRPr="00471CBA" w14:paraId="45560CBD" w14:textId="77777777" w:rsidTr="00A74C68">
        <w:trPr>
          <w:divId w:val="2140759530"/>
          <w:trHeight w:val="170"/>
        </w:trPr>
        <w:tc>
          <w:tcPr>
            <w:tcW w:w="1588" w:type="pct"/>
            <w:tcBorders>
              <w:top w:val="nil"/>
              <w:left w:val="nil"/>
              <w:bottom w:val="nil"/>
              <w:right w:val="nil"/>
            </w:tcBorders>
            <w:vAlign w:val="bottom"/>
            <w:hideMark/>
          </w:tcPr>
          <w:p w14:paraId="196932B9" w14:textId="77777777" w:rsidR="00A74C68" w:rsidRPr="00471CBA" w:rsidRDefault="00A74C68" w:rsidP="00A74C68">
            <w:pPr>
              <w:rPr>
                <w:color w:val="000000"/>
                <w:sz w:val="16"/>
                <w:szCs w:val="16"/>
              </w:rPr>
            </w:pPr>
            <w:r w:rsidRPr="00471CBA">
              <w:rPr>
                <w:bCs/>
                <w:iCs/>
                <w:color w:val="000000"/>
                <w:sz w:val="16"/>
                <w:szCs w:val="16"/>
              </w:rPr>
              <w:t xml:space="preserve">Özel cari hesap ve katılma </w:t>
            </w:r>
            <w:r w:rsidRPr="00471CBA">
              <w:rPr>
                <w:bCs/>
                <w:iCs/>
                <w:color w:val="000000"/>
                <w:sz w:val="16"/>
                <w:szCs w:val="16"/>
              </w:rPr>
              <w:br/>
              <w:t>hesapları aracılığı ile bankalardan toplanan fonlar</w:t>
            </w:r>
          </w:p>
        </w:tc>
        <w:tc>
          <w:tcPr>
            <w:tcW w:w="455" w:type="pct"/>
            <w:tcBorders>
              <w:top w:val="nil"/>
              <w:left w:val="nil"/>
              <w:bottom w:val="nil"/>
              <w:right w:val="nil"/>
            </w:tcBorders>
            <w:noWrap/>
            <w:vAlign w:val="bottom"/>
            <w:hideMark/>
          </w:tcPr>
          <w:p w14:paraId="73CBA5BE"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380" w:type="pct"/>
            <w:tcBorders>
              <w:top w:val="nil"/>
              <w:left w:val="nil"/>
              <w:bottom w:val="nil"/>
              <w:right w:val="nil"/>
            </w:tcBorders>
            <w:noWrap/>
            <w:vAlign w:val="bottom"/>
            <w:hideMark/>
          </w:tcPr>
          <w:p w14:paraId="66A24F40"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455" w:type="pct"/>
            <w:tcBorders>
              <w:top w:val="nil"/>
              <w:left w:val="nil"/>
              <w:bottom w:val="nil"/>
              <w:right w:val="nil"/>
            </w:tcBorders>
            <w:noWrap/>
            <w:vAlign w:val="bottom"/>
            <w:hideMark/>
          </w:tcPr>
          <w:p w14:paraId="7BC7335F"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380" w:type="pct"/>
            <w:tcBorders>
              <w:top w:val="nil"/>
              <w:left w:val="nil"/>
              <w:bottom w:val="nil"/>
              <w:right w:val="nil"/>
            </w:tcBorders>
            <w:noWrap/>
            <w:vAlign w:val="bottom"/>
            <w:hideMark/>
          </w:tcPr>
          <w:p w14:paraId="240ABDA6"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377" w:type="pct"/>
            <w:tcBorders>
              <w:top w:val="nil"/>
              <w:left w:val="nil"/>
              <w:bottom w:val="nil"/>
              <w:right w:val="nil"/>
            </w:tcBorders>
            <w:noWrap/>
            <w:vAlign w:val="bottom"/>
            <w:hideMark/>
          </w:tcPr>
          <w:p w14:paraId="4B1A3FC7"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368" w:type="pct"/>
            <w:tcBorders>
              <w:top w:val="nil"/>
              <w:left w:val="nil"/>
              <w:bottom w:val="nil"/>
              <w:right w:val="nil"/>
            </w:tcBorders>
            <w:noWrap/>
            <w:vAlign w:val="bottom"/>
            <w:hideMark/>
          </w:tcPr>
          <w:p w14:paraId="490D9128"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467" w:type="pct"/>
            <w:tcBorders>
              <w:top w:val="nil"/>
              <w:left w:val="nil"/>
              <w:bottom w:val="nil"/>
              <w:right w:val="nil"/>
            </w:tcBorders>
            <w:noWrap/>
            <w:vAlign w:val="bottom"/>
            <w:hideMark/>
          </w:tcPr>
          <w:p w14:paraId="28867989"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530" w:type="pct"/>
            <w:tcBorders>
              <w:top w:val="nil"/>
              <w:left w:val="nil"/>
              <w:bottom w:val="nil"/>
              <w:right w:val="nil"/>
            </w:tcBorders>
            <w:noWrap/>
            <w:vAlign w:val="bottom"/>
            <w:hideMark/>
          </w:tcPr>
          <w:p w14:paraId="49F1339E" w14:textId="77777777" w:rsidR="00A74C68" w:rsidRPr="00471CBA" w:rsidRDefault="00A74C68" w:rsidP="00A74C68">
            <w:pPr>
              <w:jc w:val="right"/>
              <w:rPr>
                <w:color w:val="000000"/>
                <w:sz w:val="16"/>
                <w:szCs w:val="16"/>
                <w:lang w:eastAsia="tr-TR"/>
              </w:rPr>
            </w:pPr>
            <w:r w:rsidRPr="00471CBA">
              <w:rPr>
                <w:color w:val="000000"/>
                <w:sz w:val="16"/>
                <w:szCs w:val="16"/>
              </w:rPr>
              <w:t>-</w:t>
            </w:r>
          </w:p>
        </w:tc>
      </w:tr>
      <w:tr w:rsidR="00A74C68" w:rsidRPr="00471CBA" w14:paraId="54EB2887" w14:textId="77777777" w:rsidTr="00A74C68">
        <w:trPr>
          <w:divId w:val="2140759530"/>
          <w:trHeight w:val="170"/>
        </w:trPr>
        <w:tc>
          <w:tcPr>
            <w:tcW w:w="1588" w:type="pct"/>
            <w:tcBorders>
              <w:top w:val="nil"/>
              <w:left w:val="nil"/>
              <w:bottom w:val="nil"/>
              <w:right w:val="nil"/>
            </w:tcBorders>
            <w:noWrap/>
            <w:vAlign w:val="bottom"/>
            <w:hideMark/>
          </w:tcPr>
          <w:p w14:paraId="11338E6C" w14:textId="77777777" w:rsidR="00A74C68" w:rsidRPr="00471CBA" w:rsidRDefault="00A74C68" w:rsidP="00A74C68">
            <w:pPr>
              <w:rPr>
                <w:bCs/>
                <w:iCs/>
                <w:color w:val="000000"/>
                <w:sz w:val="16"/>
                <w:szCs w:val="16"/>
              </w:rPr>
            </w:pPr>
            <w:r w:rsidRPr="00471CBA">
              <w:rPr>
                <w:bCs/>
                <w:iCs/>
                <w:color w:val="000000"/>
                <w:sz w:val="16"/>
                <w:szCs w:val="16"/>
              </w:rPr>
              <w:t xml:space="preserve">Ticari kuruluş katılma </w:t>
            </w:r>
            <w:proofErr w:type="spellStart"/>
            <w:r w:rsidRPr="00471CBA">
              <w:rPr>
                <w:bCs/>
                <w:iCs/>
                <w:color w:val="000000"/>
                <w:sz w:val="16"/>
                <w:szCs w:val="16"/>
              </w:rPr>
              <w:t>hs.</w:t>
            </w:r>
            <w:proofErr w:type="spellEnd"/>
          </w:p>
        </w:tc>
        <w:tc>
          <w:tcPr>
            <w:tcW w:w="455" w:type="pct"/>
            <w:tcBorders>
              <w:top w:val="nil"/>
              <w:left w:val="nil"/>
              <w:bottom w:val="nil"/>
              <w:right w:val="nil"/>
            </w:tcBorders>
            <w:noWrap/>
            <w:vAlign w:val="bottom"/>
            <w:hideMark/>
          </w:tcPr>
          <w:p w14:paraId="01EB7DF6" w14:textId="77777777" w:rsidR="00A74C68" w:rsidRPr="00471CBA" w:rsidRDefault="00A74C68" w:rsidP="00A74C68">
            <w:pPr>
              <w:jc w:val="right"/>
              <w:rPr>
                <w:color w:val="000000"/>
                <w:sz w:val="16"/>
                <w:szCs w:val="16"/>
                <w:lang w:eastAsia="tr-TR"/>
              </w:rPr>
            </w:pPr>
            <w:r w:rsidRPr="00471CBA">
              <w:rPr>
                <w:color w:val="000000"/>
                <w:sz w:val="16"/>
                <w:szCs w:val="16"/>
              </w:rPr>
              <w:t>134</w:t>
            </w:r>
          </w:p>
        </w:tc>
        <w:tc>
          <w:tcPr>
            <w:tcW w:w="380" w:type="pct"/>
            <w:tcBorders>
              <w:top w:val="nil"/>
              <w:left w:val="nil"/>
              <w:bottom w:val="nil"/>
              <w:right w:val="nil"/>
            </w:tcBorders>
            <w:noWrap/>
            <w:vAlign w:val="bottom"/>
            <w:hideMark/>
          </w:tcPr>
          <w:p w14:paraId="424BE6BD" w14:textId="77777777" w:rsidR="00A74C68" w:rsidRPr="00471CBA" w:rsidRDefault="00A74C68" w:rsidP="00A74C68">
            <w:pPr>
              <w:jc w:val="right"/>
              <w:rPr>
                <w:color w:val="000000"/>
                <w:sz w:val="16"/>
                <w:szCs w:val="16"/>
                <w:lang w:eastAsia="tr-TR"/>
              </w:rPr>
            </w:pPr>
            <w:r w:rsidRPr="00471CBA">
              <w:rPr>
                <w:color w:val="000000"/>
                <w:sz w:val="16"/>
                <w:szCs w:val="16"/>
              </w:rPr>
              <w:t>374</w:t>
            </w:r>
          </w:p>
        </w:tc>
        <w:tc>
          <w:tcPr>
            <w:tcW w:w="455" w:type="pct"/>
            <w:tcBorders>
              <w:top w:val="nil"/>
              <w:left w:val="nil"/>
              <w:bottom w:val="nil"/>
              <w:right w:val="nil"/>
            </w:tcBorders>
            <w:noWrap/>
            <w:vAlign w:val="bottom"/>
            <w:hideMark/>
          </w:tcPr>
          <w:p w14:paraId="74DFA61E" w14:textId="77777777" w:rsidR="00A74C68" w:rsidRPr="00471CBA" w:rsidRDefault="00A74C68" w:rsidP="00A74C68">
            <w:pPr>
              <w:jc w:val="right"/>
              <w:rPr>
                <w:color w:val="000000"/>
                <w:sz w:val="16"/>
                <w:szCs w:val="16"/>
                <w:lang w:eastAsia="tr-TR"/>
              </w:rPr>
            </w:pPr>
            <w:r w:rsidRPr="00471CBA">
              <w:rPr>
                <w:color w:val="000000"/>
                <w:sz w:val="16"/>
                <w:szCs w:val="16"/>
              </w:rPr>
              <w:t>321</w:t>
            </w:r>
          </w:p>
        </w:tc>
        <w:tc>
          <w:tcPr>
            <w:tcW w:w="380" w:type="pct"/>
            <w:tcBorders>
              <w:top w:val="nil"/>
              <w:left w:val="nil"/>
              <w:bottom w:val="nil"/>
              <w:right w:val="nil"/>
            </w:tcBorders>
            <w:noWrap/>
            <w:vAlign w:val="bottom"/>
            <w:hideMark/>
          </w:tcPr>
          <w:p w14:paraId="42F4CC5A"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377" w:type="pct"/>
            <w:tcBorders>
              <w:top w:val="nil"/>
              <w:left w:val="nil"/>
              <w:bottom w:val="nil"/>
              <w:right w:val="nil"/>
            </w:tcBorders>
            <w:noWrap/>
            <w:vAlign w:val="bottom"/>
            <w:hideMark/>
          </w:tcPr>
          <w:p w14:paraId="4450717C"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368" w:type="pct"/>
            <w:tcBorders>
              <w:top w:val="nil"/>
              <w:left w:val="nil"/>
              <w:bottom w:val="nil"/>
              <w:right w:val="nil"/>
            </w:tcBorders>
            <w:noWrap/>
            <w:vAlign w:val="bottom"/>
            <w:hideMark/>
          </w:tcPr>
          <w:p w14:paraId="5D1E8540"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467" w:type="pct"/>
            <w:tcBorders>
              <w:top w:val="nil"/>
              <w:left w:val="nil"/>
              <w:bottom w:val="nil"/>
              <w:right w:val="nil"/>
            </w:tcBorders>
            <w:noWrap/>
            <w:vAlign w:val="bottom"/>
            <w:hideMark/>
          </w:tcPr>
          <w:p w14:paraId="76EAD4F8"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530" w:type="pct"/>
            <w:tcBorders>
              <w:top w:val="nil"/>
              <w:left w:val="nil"/>
              <w:bottom w:val="nil"/>
              <w:right w:val="nil"/>
            </w:tcBorders>
            <w:noWrap/>
            <w:vAlign w:val="bottom"/>
            <w:hideMark/>
          </w:tcPr>
          <w:p w14:paraId="29F91D70" w14:textId="77777777" w:rsidR="00A74C68" w:rsidRPr="00471CBA" w:rsidRDefault="00A74C68" w:rsidP="00A74C68">
            <w:pPr>
              <w:jc w:val="right"/>
              <w:rPr>
                <w:color w:val="000000"/>
                <w:sz w:val="16"/>
                <w:szCs w:val="16"/>
                <w:lang w:eastAsia="tr-TR"/>
              </w:rPr>
            </w:pPr>
            <w:r w:rsidRPr="00471CBA">
              <w:rPr>
                <w:color w:val="000000"/>
                <w:sz w:val="16"/>
                <w:szCs w:val="16"/>
                <w:lang w:eastAsia="tr-TR"/>
              </w:rPr>
              <w:t>829</w:t>
            </w:r>
          </w:p>
        </w:tc>
      </w:tr>
      <w:tr w:rsidR="00A74C68" w:rsidRPr="00471CBA" w14:paraId="772D9E3C" w14:textId="77777777" w:rsidTr="00A74C68">
        <w:trPr>
          <w:divId w:val="2140759530"/>
          <w:trHeight w:val="170"/>
        </w:trPr>
        <w:tc>
          <w:tcPr>
            <w:tcW w:w="1588" w:type="pct"/>
            <w:tcBorders>
              <w:top w:val="nil"/>
              <w:left w:val="nil"/>
              <w:bottom w:val="nil"/>
              <w:right w:val="nil"/>
            </w:tcBorders>
            <w:noWrap/>
            <w:vAlign w:val="bottom"/>
            <w:hideMark/>
          </w:tcPr>
          <w:p w14:paraId="5C7EB0E3" w14:textId="77777777" w:rsidR="00A74C68" w:rsidRPr="00471CBA" w:rsidRDefault="00A74C68" w:rsidP="00A74C68">
            <w:pPr>
              <w:rPr>
                <w:color w:val="000000"/>
                <w:sz w:val="16"/>
                <w:szCs w:val="16"/>
              </w:rPr>
            </w:pPr>
            <w:r w:rsidRPr="00471CBA">
              <w:rPr>
                <w:bCs/>
                <w:iCs/>
                <w:color w:val="000000"/>
                <w:sz w:val="16"/>
                <w:szCs w:val="16"/>
              </w:rPr>
              <w:t xml:space="preserve">Resmi kuruluş katılma </w:t>
            </w:r>
            <w:proofErr w:type="spellStart"/>
            <w:r w:rsidRPr="00471CBA">
              <w:rPr>
                <w:bCs/>
                <w:iCs/>
                <w:color w:val="000000"/>
                <w:sz w:val="16"/>
                <w:szCs w:val="16"/>
              </w:rPr>
              <w:t>hs.</w:t>
            </w:r>
            <w:proofErr w:type="spellEnd"/>
          </w:p>
        </w:tc>
        <w:tc>
          <w:tcPr>
            <w:tcW w:w="455" w:type="pct"/>
            <w:tcBorders>
              <w:top w:val="nil"/>
              <w:left w:val="nil"/>
              <w:bottom w:val="nil"/>
              <w:right w:val="nil"/>
            </w:tcBorders>
            <w:noWrap/>
            <w:vAlign w:val="bottom"/>
            <w:hideMark/>
          </w:tcPr>
          <w:p w14:paraId="0354D93F"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380" w:type="pct"/>
            <w:tcBorders>
              <w:top w:val="nil"/>
              <w:left w:val="nil"/>
              <w:bottom w:val="nil"/>
              <w:right w:val="nil"/>
            </w:tcBorders>
            <w:noWrap/>
            <w:vAlign w:val="bottom"/>
            <w:hideMark/>
          </w:tcPr>
          <w:p w14:paraId="691F0520"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455" w:type="pct"/>
            <w:tcBorders>
              <w:top w:val="nil"/>
              <w:left w:val="nil"/>
              <w:bottom w:val="nil"/>
              <w:right w:val="nil"/>
            </w:tcBorders>
            <w:noWrap/>
            <w:vAlign w:val="bottom"/>
            <w:hideMark/>
          </w:tcPr>
          <w:p w14:paraId="66148227"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380" w:type="pct"/>
            <w:tcBorders>
              <w:top w:val="nil"/>
              <w:left w:val="nil"/>
              <w:bottom w:val="nil"/>
              <w:right w:val="nil"/>
            </w:tcBorders>
            <w:noWrap/>
            <w:vAlign w:val="bottom"/>
            <w:hideMark/>
          </w:tcPr>
          <w:p w14:paraId="3BD207BB"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377" w:type="pct"/>
            <w:tcBorders>
              <w:top w:val="nil"/>
              <w:left w:val="nil"/>
              <w:bottom w:val="nil"/>
              <w:right w:val="nil"/>
            </w:tcBorders>
            <w:noWrap/>
            <w:vAlign w:val="bottom"/>
            <w:hideMark/>
          </w:tcPr>
          <w:p w14:paraId="037F6A8D"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368" w:type="pct"/>
            <w:tcBorders>
              <w:top w:val="nil"/>
              <w:left w:val="nil"/>
              <w:bottom w:val="nil"/>
              <w:right w:val="nil"/>
            </w:tcBorders>
            <w:noWrap/>
            <w:vAlign w:val="bottom"/>
            <w:hideMark/>
          </w:tcPr>
          <w:p w14:paraId="4A275FFD"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467" w:type="pct"/>
            <w:tcBorders>
              <w:top w:val="nil"/>
              <w:left w:val="nil"/>
              <w:bottom w:val="nil"/>
              <w:right w:val="nil"/>
            </w:tcBorders>
            <w:noWrap/>
            <w:vAlign w:val="bottom"/>
            <w:hideMark/>
          </w:tcPr>
          <w:p w14:paraId="639A52A9"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530" w:type="pct"/>
            <w:tcBorders>
              <w:top w:val="nil"/>
              <w:left w:val="nil"/>
              <w:bottom w:val="nil"/>
              <w:right w:val="nil"/>
            </w:tcBorders>
            <w:noWrap/>
            <w:vAlign w:val="bottom"/>
            <w:hideMark/>
          </w:tcPr>
          <w:p w14:paraId="326210DC" w14:textId="77777777" w:rsidR="00A74C68" w:rsidRPr="00471CBA" w:rsidRDefault="00A74C68" w:rsidP="00A74C68">
            <w:pPr>
              <w:jc w:val="right"/>
              <w:rPr>
                <w:color w:val="000000"/>
                <w:sz w:val="16"/>
                <w:szCs w:val="16"/>
                <w:lang w:eastAsia="tr-TR"/>
              </w:rPr>
            </w:pPr>
            <w:r w:rsidRPr="00471CBA">
              <w:rPr>
                <w:color w:val="000000"/>
                <w:sz w:val="16"/>
                <w:szCs w:val="16"/>
              </w:rPr>
              <w:t>-</w:t>
            </w:r>
          </w:p>
        </w:tc>
      </w:tr>
      <w:tr w:rsidR="00A74C68" w:rsidRPr="00471CBA" w14:paraId="659E4B53" w14:textId="77777777" w:rsidTr="00A74C68">
        <w:trPr>
          <w:divId w:val="2140759530"/>
          <w:trHeight w:val="170"/>
        </w:trPr>
        <w:tc>
          <w:tcPr>
            <w:tcW w:w="1588" w:type="pct"/>
            <w:tcBorders>
              <w:top w:val="nil"/>
              <w:left w:val="nil"/>
              <w:bottom w:val="nil"/>
              <w:right w:val="nil"/>
            </w:tcBorders>
            <w:noWrap/>
            <w:vAlign w:val="bottom"/>
            <w:hideMark/>
          </w:tcPr>
          <w:p w14:paraId="2C1C6D97" w14:textId="77777777" w:rsidR="00A74C68" w:rsidRPr="00471CBA" w:rsidRDefault="00A74C68" w:rsidP="00A74C68">
            <w:pPr>
              <w:rPr>
                <w:color w:val="000000"/>
                <w:sz w:val="16"/>
                <w:szCs w:val="16"/>
              </w:rPr>
            </w:pPr>
            <w:r w:rsidRPr="00471CBA">
              <w:rPr>
                <w:bCs/>
                <w:iCs/>
                <w:color w:val="000000"/>
                <w:sz w:val="16"/>
                <w:szCs w:val="16"/>
              </w:rPr>
              <w:t xml:space="preserve">Ticari kuruluş katılma </w:t>
            </w:r>
            <w:proofErr w:type="spellStart"/>
            <w:r w:rsidRPr="00471CBA">
              <w:rPr>
                <w:bCs/>
                <w:iCs/>
                <w:color w:val="000000"/>
                <w:sz w:val="16"/>
                <w:szCs w:val="16"/>
              </w:rPr>
              <w:t>hs.</w:t>
            </w:r>
            <w:proofErr w:type="spellEnd"/>
          </w:p>
        </w:tc>
        <w:tc>
          <w:tcPr>
            <w:tcW w:w="455" w:type="pct"/>
            <w:tcBorders>
              <w:top w:val="nil"/>
              <w:left w:val="nil"/>
              <w:bottom w:val="nil"/>
              <w:right w:val="nil"/>
            </w:tcBorders>
            <w:noWrap/>
            <w:vAlign w:val="bottom"/>
            <w:hideMark/>
          </w:tcPr>
          <w:p w14:paraId="59A51531" w14:textId="77777777" w:rsidR="00A74C68" w:rsidRPr="00471CBA" w:rsidRDefault="00A74C68" w:rsidP="00A74C68">
            <w:pPr>
              <w:jc w:val="right"/>
              <w:rPr>
                <w:color w:val="000000"/>
                <w:sz w:val="16"/>
                <w:szCs w:val="16"/>
                <w:lang w:eastAsia="tr-TR"/>
              </w:rPr>
            </w:pPr>
            <w:r w:rsidRPr="00471CBA">
              <w:rPr>
                <w:color w:val="000000"/>
                <w:sz w:val="16"/>
                <w:szCs w:val="16"/>
              </w:rPr>
              <w:t>11.640</w:t>
            </w:r>
          </w:p>
        </w:tc>
        <w:tc>
          <w:tcPr>
            <w:tcW w:w="380" w:type="pct"/>
            <w:tcBorders>
              <w:top w:val="nil"/>
              <w:left w:val="nil"/>
              <w:bottom w:val="nil"/>
              <w:right w:val="nil"/>
            </w:tcBorders>
            <w:noWrap/>
            <w:vAlign w:val="bottom"/>
            <w:hideMark/>
          </w:tcPr>
          <w:p w14:paraId="2D2AE2C0" w14:textId="77777777" w:rsidR="00A74C68" w:rsidRPr="00471CBA" w:rsidRDefault="00A74C68" w:rsidP="00A74C68">
            <w:pPr>
              <w:jc w:val="right"/>
              <w:rPr>
                <w:color w:val="000000"/>
                <w:sz w:val="16"/>
                <w:szCs w:val="16"/>
                <w:lang w:eastAsia="tr-TR"/>
              </w:rPr>
            </w:pPr>
            <w:r w:rsidRPr="00471CBA">
              <w:rPr>
                <w:color w:val="000000"/>
                <w:sz w:val="16"/>
                <w:szCs w:val="16"/>
              </w:rPr>
              <w:t>29.347</w:t>
            </w:r>
          </w:p>
        </w:tc>
        <w:tc>
          <w:tcPr>
            <w:tcW w:w="455" w:type="pct"/>
            <w:tcBorders>
              <w:top w:val="nil"/>
              <w:left w:val="nil"/>
              <w:bottom w:val="nil"/>
              <w:right w:val="nil"/>
            </w:tcBorders>
            <w:noWrap/>
            <w:vAlign w:val="bottom"/>
            <w:hideMark/>
          </w:tcPr>
          <w:p w14:paraId="6149B371" w14:textId="77777777" w:rsidR="00A74C68" w:rsidRPr="00471CBA" w:rsidRDefault="00A74C68" w:rsidP="00A74C68">
            <w:pPr>
              <w:jc w:val="right"/>
              <w:rPr>
                <w:color w:val="000000"/>
                <w:sz w:val="16"/>
                <w:szCs w:val="16"/>
                <w:lang w:eastAsia="tr-TR"/>
              </w:rPr>
            </w:pPr>
            <w:r w:rsidRPr="00471CBA">
              <w:rPr>
                <w:color w:val="000000"/>
                <w:sz w:val="16"/>
                <w:szCs w:val="16"/>
              </w:rPr>
              <w:t>15.151</w:t>
            </w:r>
          </w:p>
        </w:tc>
        <w:tc>
          <w:tcPr>
            <w:tcW w:w="380" w:type="pct"/>
            <w:tcBorders>
              <w:top w:val="nil"/>
              <w:left w:val="nil"/>
              <w:bottom w:val="nil"/>
              <w:right w:val="nil"/>
            </w:tcBorders>
            <w:noWrap/>
            <w:vAlign w:val="bottom"/>
            <w:hideMark/>
          </w:tcPr>
          <w:p w14:paraId="6375F221"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377" w:type="pct"/>
            <w:tcBorders>
              <w:top w:val="nil"/>
              <w:left w:val="nil"/>
              <w:bottom w:val="nil"/>
              <w:right w:val="nil"/>
            </w:tcBorders>
            <w:noWrap/>
            <w:vAlign w:val="bottom"/>
            <w:hideMark/>
          </w:tcPr>
          <w:p w14:paraId="3ED6D466" w14:textId="77777777" w:rsidR="00A74C68" w:rsidRPr="00471CBA" w:rsidRDefault="00A74C68" w:rsidP="00A74C68">
            <w:pPr>
              <w:jc w:val="right"/>
              <w:rPr>
                <w:color w:val="000000"/>
                <w:sz w:val="16"/>
                <w:szCs w:val="16"/>
                <w:lang w:eastAsia="tr-TR"/>
              </w:rPr>
            </w:pPr>
            <w:r w:rsidRPr="00471CBA">
              <w:rPr>
                <w:color w:val="000000"/>
                <w:sz w:val="16"/>
                <w:szCs w:val="16"/>
              </w:rPr>
              <w:t>139</w:t>
            </w:r>
          </w:p>
        </w:tc>
        <w:tc>
          <w:tcPr>
            <w:tcW w:w="368" w:type="pct"/>
            <w:tcBorders>
              <w:top w:val="nil"/>
              <w:left w:val="nil"/>
              <w:bottom w:val="nil"/>
              <w:right w:val="nil"/>
            </w:tcBorders>
            <w:noWrap/>
            <w:vAlign w:val="bottom"/>
            <w:hideMark/>
          </w:tcPr>
          <w:p w14:paraId="529F22EC" w14:textId="77777777" w:rsidR="00A74C68" w:rsidRPr="00471CBA" w:rsidRDefault="00A74C68" w:rsidP="00A74C68">
            <w:pPr>
              <w:jc w:val="right"/>
              <w:rPr>
                <w:color w:val="000000"/>
                <w:sz w:val="16"/>
                <w:szCs w:val="16"/>
                <w:lang w:eastAsia="tr-TR"/>
              </w:rPr>
            </w:pPr>
            <w:r w:rsidRPr="00471CBA">
              <w:rPr>
                <w:color w:val="000000"/>
                <w:sz w:val="16"/>
                <w:szCs w:val="16"/>
              </w:rPr>
              <w:t>2.701</w:t>
            </w:r>
          </w:p>
        </w:tc>
        <w:tc>
          <w:tcPr>
            <w:tcW w:w="467" w:type="pct"/>
            <w:tcBorders>
              <w:top w:val="nil"/>
              <w:left w:val="nil"/>
              <w:bottom w:val="nil"/>
              <w:right w:val="nil"/>
            </w:tcBorders>
            <w:noWrap/>
            <w:vAlign w:val="bottom"/>
            <w:hideMark/>
          </w:tcPr>
          <w:p w14:paraId="3E0B97B8"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530" w:type="pct"/>
            <w:tcBorders>
              <w:top w:val="nil"/>
              <w:left w:val="nil"/>
              <w:bottom w:val="nil"/>
              <w:right w:val="nil"/>
            </w:tcBorders>
            <w:noWrap/>
            <w:vAlign w:val="bottom"/>
            <w:hideMark/>
          </w:tcPr>
          <w:p w14:paraId="5DC83B78" w14:textId="77777777" w:rsidR="00A74C68" w:rsidRPr="00471CBA" w:rsidRDefault="00A74C68" w:rsidP="00A74C68">
            <w:pPr>
              <w:jc w:val="right"/>
              <w:rPr>
                <w:color w:val="000000"/>
                <w:sz w:val="16"/>
                <w:szCs w:val="16"/>
                <w:lang w:eastAsia="tr-TR"/>
              </w:rPr>
            </w:pPr>
            <w:r w:rsidRPr="00471CBA">
              <w:rPr>
                <w:color w:val="000000"/>
                <w:sz w:val="16"/>
                <w:szCs w:val="16"/>
              </w:rPr>
              <w:t>58.978</w:t>
            </w:r>
          </w:p>
        </w:tc>
      </w:tr>
      <w:tr w:rsidR="00A74C68" w:rsidRPr="00471CBA" w14:paraId="56E195CC" w14:textId="77777777" w:rsidTr="00A74C68">
        <w:trPr>
          <w:divId w:val="2140759530"/>
          <w:trHeight w:val="170"/>
        </w:trPr>
        <w:tc>
          <w:tcPr>
            <w:tcW w:w="1588" w:type="pct"/>
            <w:tcBorders>
              <w:top w:val="nil"/>
              <w:left w:val="nil"/>
              <w:bottom w:val="nil"/>
              <w:right w:val="nil"/>
            </w:tcBorders>
            <w:noWrap/>
            <w:vAlign w:val="bottom"/>
            <w:hideMark/>
          </w:tcPr>
          <w:p w14:paraId="04BC9C1A" w14:textId="77777777" w:rsidR="00A74C68" w:rsidRPr="00471CBA" w:rsidRDefault="00A74C68" w:rsidP="00A74C68">
            <w:pPr>
              <w:rPr>
                <w:color w:val="000000"/>
                <w:sz w:val="16"/>
                <w:szCs w:val="16"/>
              </w:rPr>
            </w:pPr>
            <w:r w:rsidRPr="00471CBA">
              <w:rPr>
                <w:bCs/>
                <w:iCs/>
                <w:color w:val="000000"/>
                <w:sz w:val="16"/>
                <w:szCs w:val="16"/>
              </w:rPr>
              <w:t xml:space="preserve">Diğer kuruluş katılma </w:t>
            </w:r>
            <w:proofErr w:type="spellStart"/>
            <w:r w:rsidRPr="00471CBA">
              <w:rPr>
                <w:bCs/>
                <w:iCs/>
                <w:color w:val="000000"/>
                <w:sz w:val="16"/>
                <w:szCs w:val="16"/>
              </w:rPr>
              <w:t>hs.</w:t>
            </w:r>
            <w:proofErr w:type="spellEnd"/>
            <w:r w:rsidRPr="00471CBA">
              <w:rPr>
                <w:bCs/>
                <w:iCs/>
                <w:color w:val="000000"/>
                <w:sz w:val="16"/>
                <w:szCs w:val="16"/>
              </w:rPr>
              <w:t xml:space="preserve"> </w:t>
            </w:r>
          </w:p>
        </w:tc>
        <w:tc>
          <w:tcPr>
            <w:tcW w:w="455" w:type="pct"/>
            <w:tcBorders>
              <w:top w:val="nil"/>
              <w:left w:val="nil"/>
              <w:bottom w:val="nil"/>
              <w:right w:val="nil"/>
            </w:tcBorders>
            <w:noWrap/>
            <w:vAlign w:val="bottom"/>
            <w:hideMark/>
          </w:tcPr>
          <w:p w14:paraId="52BD48F7"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380" w:type="pct"/>
            <w:tcBorders>
              <w:top w:val="nil"/>
              <w:left w:val="nil"/>
              <w:bottom w:val="nil"/>
              <w:right w:val="nil"/>
            </w:tcBorders>
            <w:noWrap/>
            <w:vAlign w:val="bottom"/>
            <w:hideMark/>
          </w:tcPr>
          <w:p w14:paraId="42A51C6C" w14:textId="77777777" w:rsidR="00A74C68" w:rsidRPr="00471CBA" w:rsidRDefault="00A74C68" w:rsidP="00A74C68">
            <w:pPr>
              <w:jc w:val="right"/>
              <w:rPr>
                <w:color w:val="000000"/>
                <w:sz w:val="16"/>
                <w:szCs w:val="16"/>
                <w:lang w:eastAsia="tr-TR"/>
              </w:rPr>
            </w:pPr>
            <w:r w:rsidRPr="00471CBA">
              <w:rPr>
                <w:color w:val="000000"/>
                <w:sz w:val="16"/>
                <w:szCs w:val="16"/>
              </w:rPr>
              <w:t>1.211</w:t>
            </w:r>
          </w:p>
        </w:tc>
        <w:tc>
          <w:tcPr>
            <w:tcW w:w="455" w:type="pct"/>
            <w:tcBorders>
              <w:top w:val="nil"/>
              <w:left w:val="nil"/>
              <w:bottom w:val="nil"/>
              <w:right w:val="nil"/>
            </w:tcBorders>
            <w:noWrap/>
            <w:vAlign w:val="bottom"/>
            <w:hideMark/>
          </w:tcPr>
          <w:p w14:paraId="53403C44" w14:textId="77777777" w:rsidR="00A74C68" w:rsidRPr="00471CBA" w:rsidRDefault="00A74C68" w:rsidP="00A74C68">
            <w:pPr>
              <w:jc w:val="right"/>
              <w:rPr>
                <w:color w:val="000000"/>
                <w:sz w:val="16"/>
                <w:szCs w:val="16"/>
                <w:lang w:eastAsia="tr-TR"/>
              </w:rPr>
            </w:pPr>
            <w:r w:rsidRPr="00471CBA">
              <w:rPr>
                <w:color w:val="000000"/>
                <w:sz w:val="16"/>
                <w:szCs w:val="16"/>
              </w:rPr>
              <w:t>277</w:t>
            </w:r>
          </w:p>
        </w:tc>
        <w:tc>
          <w:tcPr>
            <w:tcW w:w="380" w:type="pct"/>
            <w:tcBorders>
              <w:top w:val="nil"/>
              <w:left w:val="nil"/>
              <w:bottom w:val="nil"/>
              <w:right w:val="nil"/>
            </w:tcBorders>
            <w:noWrap/>
            <w:vAlign w:val="bottom"/>
            <w:hideMark/>
          </w:tcPr>
          <w:p w14:paraId="6254DF28"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377" w:type="pct"/>
            <w:tcBorders>
              <w:top w:val="nil"/>
              <w:left w:val="nil"/>
              <w:bottom w:val="nil"/>
              <w:right w:val="nil"/>
            </w:tcBorders>
            <w:noWrap/>
            <w:vAlign w:val="bottom"/>
            <w:hideMark/>
          </w:tcPr>
          <w:p w14:paraId="6D01F54B"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368" w:type="pct"/>
            <w:tcBorders>
              <w:top w:val="nil"/>
              <w:left w:val="nil"/>
              <w:bottom w:val="nil"/>
              <w:right w:val="nil"/>
            </w:tcBorders>
            <w:noWrap/>
            <w:vAlign w:val="bottom"/>
            <w:hideMark/>
          </w:tcPr>
          <w:p w14:paraId="7F2C306F" w14:textId="77777777" w:rsidR="00A74C68" w:rsidRPr="00471CBA" w:rsidRDefault="00A74C68" w:rsidP="00A74C68">
            <w:pPr>
              <w:jc w:val="right"/>
              <w:rPr>
                <w:color w:val="000000"/>
                <w:sz w:val="16"/>
                <w:szCs w:val="16"/>
                <w:lang w:eastAsia="tr-TR"/>
              </w:rPr>
            </w:pPr>
            <w:r w:rsidRPr="00471CBA">
              <w:rPr>
                <w:color w:val="000000"/>
                <w:sz w:val="16"/>
                <w:szCs w:val="16"/>
              </w:rPr>
              <w:t>522</w:t>
            </w:r>
          </w:p>
        </w:tc>
        <w:tc>
          <w:tcPr>
            <w:tcW w:w="467" w:type="pct"/>
            <w:tcBorders>
              <w:top w:val="nil"/>
              <w:left w:val="nil"/>
              <w:bottom w:val="nil"/>
              <w:right w:val="nil"/>
            </w:tcBorders>
            <w:noWrap/>
            <w:vAlign w:val="bottom"/>
            <w:hideMark/>
          </w:tcPr>
          <w:p w14:paraId="5D4B0BA2"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530" w:type="pct"/>
            <w:tcBorders>
              <w:top w:val="nil"/>
              <w:left w:val="nil"/>
              <w:bottom w:val="nil"/>
              <w:right w:val="nil"/>
            </w:tcBorders>
            <w:noWrap/>
            <w:vAlign w:val="bottom"/>
            <w:hideMark/>
          </w:tcPr>
          <w:p w14:paraId="230A22B1" w14:textId="77777777" w:rsidR="00A74C68" w:rsidRPr="00471CBA" w:rsidRDefault="00A74C68" w:rsidP="00A74C68">
            <w:pPr>
              <w:jc w:val="right"/>
              <w:rPr>
                <w:color w:val="000000"/>
                <w:sz w:val="16"/>
                <w:szCs w:val="16"/>
                <w:lang w:eastAsia="tr-TR"/>
              </w:rPr>
            </w:pPr>
            <w:r w:rsidRPr="00471CBA">
              <w:rPr>
                <w:color w:val="000000"/>
                <w:sz w:val="16"/>
                <w:szCs w:val="16"/>
              </w:rPr>
              <w:t>2.010</w:t>
            </w:r>
          </w:p>
        </w:tc>
      </w:tr>
      <w:tr w:rsidR="00A74C68" w:rsidRPr="00471CBA" w14:paraId="40012FB3" w14:textId="77777777" w:rsidTr="00A74C68">
        <w:trPr>
          <w:divId w:val="2140759530"/>
          <w:trHeight w:val="170"/>
        </w:trPr>
        <w:tc>
          <w:tcPr>
            <w:tcW w:w="1588" w:type="pct"/>
            <w:tcBorders>
              <w:top w:val="nil"/>
              <w:left w:val="nil"/>
              <w:bottom w:val="single" w:sz="4" w:space="0" w:color="auto"/>
              <w:right w:val="nil"/>
            </w:tcBorders>
            <w:noWrap/>
            <w:vAlign w:val="bottom"/>
            <w:hideMark/>
          </w:tcPr>
          <w:p w14:paraId="273CA77A" w14:textId="77777777" w:rsidR="00A74C68" w:rsidRPr="00471CBA" w:rsidRDefault="00A74C68" w:rsidP="00A74C68">
            <w:pPr>
              <w:rPr>
                <w:color w:val="000000"/>
                <w:sz w:val="16"/>
                <w:szCs w:val="16"/>
              </w:rPr>
            </w:pPr>
            <w:r w:rsidRPr="00471CBA">
              <w:rPr>
                <w:bCs/>
                <w:iCs/>
                <w:color w:val="000000"/>
                <w:sz w:val="16"/>
                <w:szCs w:val="16"/>
              </w:rPr>
              <w:t xml:space="preserve">Kıymetli maden depo </w:t>
            </w:r>
            <w:proofErr w:type="spellStart"/>
            <w:r w:rsidRPr="00471CBA">
              <w:rPr>
                <w:bCs/>
                <w:iCs/>
                <w:color w:val="000000"/>
                <w:sz w:val="16"/>
                <w:szCs w:val="16"/>
              </w:rPr>
              <w:t>hs.</w:t>
            </w:r>
            <w:proofErr w:type="spellEnd"/>
          </w:p>
        </w:tc>
        <w:tc>
          <w:tcPr>
            <w:tcW w:w="455" w:type="pct"/>
            <w:tcBorders>
              <w:top w:val="nil"/>
              <w:left w:val="nil"/>
              <w:bottom w:val="single" w:sz="4" w:space="0" w:color="auto"/>
              <w:right w:val="nil"/>
            </w:tcBorders>
            <w:noWrap/>
            <w:vAlign w:val="bottom"/>
            <w:hideMark/>
          </w:tcPr>
          <w:p w14:paraId="5CF1AA2B" w14:textId="77777777" w:rsidR="00A74C68" w:rsidRPr="00471CBA" w:rsidRDefault="00A74C68" w:rsidP="00A74C68">
            <w:pPr>
              <w:jc w:val="right"/>
              <w:rPr>
                <w:color w:val="000000"/>
                <w:sz w:val="16"/>
                <w:szCs w:val="16"/>
                <w:lang w:eastAsia="tr-TR"/>
              </w:rPr>
            </w:pPr>
            <w:r w:rsidRPr="00471CBA">
              <w:rPr>
                <w:color w:val="000000"/>
                <w:sz w:val="16"/>
                <w:szCs w:val="16"/>
              </w:rPr>
              <w:t>1</w:t>
            </w:r>
          </w:p>
        </w:tc>
        <w:tc>
          <w:tcPr>
            <w:tcW w:w="380" w:type="pct"/>
            <w:tcBorders>
              <w:top w:val="nil"/>
              <w:left w:val="nil"/>
              <w:bottom w:val="single" w:sz="4" w:space="0" w:color="auto"/>
              <w:right w:val="nil"/>
            </w:tcBorders>
            <w:noWrap/>
            <w:vAlign w:val="bottom"/>
            <w:hideMark/>
          </w:tcPr>
          <w:p w14:paraId="3E1A0BF6" w14:textId="77777777" w:rsidR="00A74C68" w:rsidRPr="00471CBA" w:rsidRDefault="00A74C68" w:rsidP="00A74C68">
            <w:pPr>
              <w:jc w:val="right"/>
              <w:rPr>
                <w:color w:val="000000"/>
                <w:sz w:val="16"/>
                <w:szCs w:val="16"/>
                <w:lang w:eastAsia="tr-TR"/>
              </w:rPr>
            </w:pPr>
            <w:r w:rsidRPr="00471CBA">
              <w:rPr>
                <w:color w:val="000000"/>
                <w:sz w:val="16"/>
                <w:szCs w:val="16"/>
              </w:rPr>
              <w:t>972</w:t>
            </w:r>
          </w:p>
        </w:tc>
        <w:tc>
          <w:tcPr>
            <w:tcW w:w="455" w:type="pct"/>
            <w:tcBorders>
              <w:top w:val="nil"/>
              <w:left w:val="nil"/>
              <w:bottom w:val="single" w:sz="4" w:space="0" w:color="auto"/>
              <w:right w:val="nil"/>
            </w:tcBorders>
            <w:noWrap/>
            <w:vAlign w:val="bottom"/>
            <w:hideMark/>
          </w:tcPr>
          <w:p w14:paraId="0849BC21" w14:textId="77777777" w:rsidR="00A74C68" w:rsidRPr="00471CBA" w:rsidRDefault="00A74C68" w:rsidP="00A74C68">
            <w:pPr>
              <w:jc w:val="right"/>
              <w:rPr>
                <w:color w:val="000000"/>
                <w:sz w:val="16"/>
                <w:szCs w:val="16"/>
                <w:lang w:eastAsia="tr-TR"/>
              </w:rPr>
            </w:pPr>
            <w:r w:rsidRPr="00471CBA">
              <w:rPr>
                <w:color w:val="000000"/>
                <w:sz w:val="16"/>
                <w:szCs w:val="16"/>
              </w:rPr>
              <w:t>579</w:t>
            </w:r>
          </w:p>
        </w:tc>
        <w:tc>
          <w:tcPr>
            <w:tcW w:w="380" w:type="pct"/>
            <w:tcBorders>
              <w:top w:val="nil"/>
              <w:left w:val="nil"/>
              <w:bottom w:val="single" w:sz="4" w:space="0" w:color="auto"/>
              <w:right w:val="nil"/>
            </w:tcBorders>
            <w:noWrap/>
            <w:vAlign w:val="bottom"/>
            <w:hideMark/>
          </w:tcPr>
          <w:p w14:paraId="0FC2F6B6"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377" w:type="pct"/>
            <w:tcBorders>
              <w:top w:val="nil"/>
              <w:left w:val="nil"/>
              <w:bottom w:val="single" w:sz="4" w:space="0" w:color="auto"/>
              <w:right w:val="nil"/>
            </w:tcBorders>
            <w:noWrap/>
            <w:vAlign w:val="bottom"/>
            <w:hideMark/>
          </w:tcPr>
          <w:p w14:paraId="457F6AD9" w14:textId="77777777" w:rsidR="00A74C68" w:rsidRPr="00471CBA" w:rsidRDefault="00A74C68" w:rsidP="00A74C68">
            <w:pPr>
              <w:jc w:val="right"/>
              <w:rPr>
                <w:color w:val="000000"/>
                <w:sz w:val="16"/>
                <w:szCs w:val="16"/>
                <w:lang w:eastAsia="tr-TR"/>
              </w:rPr>
            </w:pPr>
            <w:r w:rsidRPr="00471CBA">
              <w:rPr>
                <w:color w:val="000000"/>
                <w:sz w:val="16"/>
                <w:szCs w:val="16"/>
              </w:rPr>
              <w:t>33</w:t>
            </w:r>
          </w:p>
        </w:tc>
        <w:tc>
          <w:tcPr>
            <w:tcW w:w="368" w:type="pct"/>
            <w:tcBorders>
              <w:top w:val="nil"/>
              <w:left w:val="nil"/>
              <w:bottom w:val="single" w:sz="4" w:space="0" w:color="auto"/>
              <w:right w:val="nil"/>
            </w:tcBorders>
            <w:noWrap/>
            <w:vAlign w:val="bottom"/>
            <w:hideMark/>
          </w:tcPr>
          <w:p w14:paraId="4432F2A7" w14:textId="77777777" w:rsidR="00A74C68" w:rsidRPr="00471CBA" w:rsidRDefault="00A74C68" w:rsidP="00A74C68">
            <w:pPr>
              <w:jc w:val="right"/>
              <w:rPr>
                <w:color w:val="000000"/>
                <w:sz w:val="16"/>
                <w:szCs w:val="16"/>
                <w:lang w:eastAsia="tr-TR"/>
              </w:rPr>
            </w:pPr>
            <w:r w:rsidRPr="00471CBA">
              <w:rPr>
                <w:color w:val="000000"/>
                <w:sz w:val="16"/>
                <w:szCs w:val="16"/>
              </w:rPr>
              <w:t>6</w:t>
            </w:r>
          </w:p>
        </w:tc>
        <w:tc>
          <w:tcPr>
            <w:tcW w:w="467" w:type="pct"/>
            <w:tcBorders>
              <w:top w:val="nil"/>
              <w:left w:val="nil"/>
              <w:bottom w:val="single" w:sz="4" w:space="0" w:color="auto"/>
              <w:right w:val="nil"/>
            </w:tcBorders>
            <w:noWrap/>
            <w:vAlign w:val="bottom"/>
            <w:hideMark/>
          </w:tcPr>
          <w:p w14:paraId="7193D91E" w14:textId="77777777" w:rsidR="00A74C68" w:rsidRPr="00471CBA" w:rsidRDefault="00A74C68" w:rsidP="00A74C68">
            <w:pPr>
              <w:jc w:val="right"/>
              <w:rPr>
                <w:color w:val="000000"/>
                <w:sz w:val="16"/>
                <w:szCs w:val="16"/>
                <w:lang w:eastAsia="tr-TR"/>
              </w:rPr>
            </w:pPr>
            <w:r w:rsidRPr="00471CBA">
              <w:rPr>
                <w:color w:val="000000"/>
                <w:sz w:val="16"/>
                <w:szCs w:val="16"/>
              </w:rPr>
              <w:t>-</w:t>
            </w:r>
          </w:p>
        </w:tc>
        <w:tc>
          <w:tcPr>
            <w:tcW w:w="530" w:type="pct"/>
            <w:tcBorders>
              <w:top w:val="nil"/>
              <w:left w:val="nil"/>
              <w:bottom w:val="single" w:sz="4" w:space="0" w:color="auto"/>
              <w:right w:val="nil"/>
            </w:tcBorders>
            <w:noWrap/>
            <w:vAlign w:val="bottom"/>
            <w:hideMark/>
          </w:tcPr>
          <w:p w14:paraId="4FFD35AE" w14:textId="77777777" w:rsidR="00A74C68" w:rsidRPr="00471CBA" w:rsidRDefault="00A74C68" w:rsidP="00A74C68">
            <w:pPr>
              <w:jc w:val="right"/>
              <w:rPr>
                <w:color w:val="000000"/>
                <w:sz w:val="16"/>
                <w:szCs w:val="16"/>
                <w:lang w:eastAsia="tr-TR"/>
              </w:rPr>
            </w:pPr>
            <w:r w:rsidRPr="00471CBA">
              <w:rPr>
                <w:color w:val="000000"/>
                <w:sz w:val="16"/>
                <w:szCs w:val="16"/>
              </w:rPr>
              <w:t>1.591</w:t>
            </w:r>
          </w:p>
        </w:tc>
      </w:tr>
      <w:tr w:rsidR="00A74C68" w:rsidRPr="00471CBA" w14:paraId="3CF72B4E" w14:textId="77777777" w:rsidTr="00A74C68">
        <w:trPr>
          <w:divId w:val="2140759530"/>
          <w:trHeight w:val="170"/>
        </w:trPr>
        <w:tc>
          <w:tcPr>
            <w:tcW w:w="1588" w:type="pct"/>
            <w:tcBorders>
              <w:top w:val="nil"/>
              <w:left w:val="nil"/>
              <w:bottom w:val="nil"/>
              <w:right w:val="nil"/>
            </w:tcBorders>
            <w:vAlign w:val="center"/>
            <w:hideMark/>
          </w:tcPr>
          <w:p w14:paraId="088FB78E" w14:textId="77777777" w:rsidR="00A74C68" w:rsidRPr="00471CBA" w:rsidRDefault="00A74C68" w:rsidP="00A74C68">
            <w:pPr>
              <w:jc w:val="right"/>
              <w:rPr>
                <w:color w:val="000000"/>
                <w:sz w:val="16"/>
                <w:szCs w:val="16"/>
              </w:rPr>
            </w:pPr>
          </w:p>
        </w:tc>
        <w:tc>
          <w:tcPr>
            <w:tcW w:w="455" w:type="pct"/>
            <w:tcBorders>
              <w:top w:val="nil"/>
              <w:left w:val="nil"/>
              <w:bottom w:val="nil"/>
              <w:right w:val="nil"/>
            </w:tcBorders>
            <w:vAlign w:val="bottom"/>
            <w:hideMark/>
          </w:tcPr>
          <w:p w14:paraId="0C8167AE" w14:textId="77777777" w:rsidR="00A74C68" w:rsidRPr="00471CBA" w:rsidRDefault="00A74C68" w:rsidP="00A74C68">
            <w:pPr>
              <w:jc w:val="right"/>
              <w:rPr>
                <w:color w:val="000000"/>
                <w:sz w:val="16"/>
                <w:szCs w:val="16"/>
                <w:lang w:eastAsia="tr-TR"/>
              </w:rPr>
            </w:pPr>
            <w:r w:rsidRPr="00471CBA">
              <w:rPr>
                <w:szCs w:val="20"/>
              </w:rPr>
              <w:t> </w:t>
            </w:r>
          </w:p>
        </w:tc>
        <w:tc>
          <w:tcPr>
            <w:tcW w:w="380" w:type="pct"/>
            <w:tcBorders>
              <w:top w:val="nil"/>
              <w:left w:val="nil"/>
              <w:bottom w:val="nil"/>
              <w:right w:val="nil"/>
            </w:tcBorders>
            <w:vAlign w:val="bottom"/>
            <w:hideMark/>
          </w:tcPr>
          <w:p w14:paraId="5B732E50" w14:textId="77777777" w:rsidR="00A74C68" w:rsidRPr="00471CBA" w:rsidRDefault="00A74C68" w:rsidP="00A74C68">
            <w:pPr>
              <w:jc w:val="right"/>
              <w:rPr>
                <w:color w:val="000000"/>
                <w:sz w:val="16"/>
                <w:szCs w:val="16"/>
                <w:lang w:eastAsia="tr-TR"/>
              </w:rPr>
            </w:pPr>
            <w:r w:rsidRPr="00471CBA">
              <w:rPr>
                <w:szCs w:val="20"/>
              </w:rPr>
              <w:t> </w:t>
            </w:r>
          </w:p>
        </w:tc>
        <w:tc>
          <w:tcPr>
            <w:tcW w:w="455" w:type="pct"/>
            <w:tcBorders>
              <w:top w:val="nil"/>
              <w:left w:val="nil"/>
              <w:bottom w:val="nil"/>
              <w:right w:val="nil"/>
            </w:tcBorders>
            <w:vAlign w:val="bottom"/>
            <w:hideMark/>
          </w:tcPr>
          <w:p w14:paraId="6CC4A46D" w14:textId="77777777" w:rsidR="00A74C68" w:rsidRPr="00471CBA" w:rsidRDefault="00A74C68" w:rsidP="00A74C68">
            <w:pPr>
              <w:jc w:val="right"/>
              <w:rPr>
                <w:color w:val="000000"/>
                <w:sz w:val="16"/>
                <w:szCs w:val="16"/>
                <w:lang w:eastAsia="tr-TR"/>
              </w:rPr>
            </w:pPr>
            <w:r w:rsidRPr="00471CBA">
              <w:rPr>
                <w:szCs w:val="20"/>
              </w:rPr>
              <w:t> </w:t>
            </w:r>
          </w:p>
        </w:tc>
        <w:tc>
          <w:tcPr>
            <w:tcW w:w="380" w:type="pct"/>
            <w:tcBorders>
              <w:top w:val="nil"/>
              <w:left w:val="nil"/>
              <w:bottom w:val="nil"/>
              <w:right w:val="nil"/>
            </w:tcBorders>
            <w:vAlign w:val="bottom"/>
            <w:hideMark/>
          </w:tcPr>
          <w:p w14:paraId="4EE4E2FB" w14:textId="77777777" w:rsidR="00A74C68" w:rsidRPr="00471CBA" w:rsidRDefault="00A74C68" w:rsidP="00A74C68">
            <w:pPr>
              <w:jc w:val="right"/>
              <w:rPr>
                <w:color w:val="000000"/>
                <w:sz w:val="16"/>
                <w:szCs w:val="16"/>
                <w:lang w:eastAsia="tr-TR"/>
              </w:rPr>
            </w:pPr>
            <w:r w:rsidRPr="00471CBA">
              <w:rPr>
                <w:szCs w:val="20"/>
              </w:rPr>
              <w:t> </w:t>
            </w:r>
          </w:p>
        </w:tc>
        <w:tc>
          <w:tcPr>
            <w:tcW w:w="377" w:type="pct"/>
            <w:tcBorders>
              <w:top w:val="nil"/>
              <w:left w:val="nil"/>
              <w:bottom w:val="nil"/>
              <w:right w:val="nil"/>
            </w:tcBorders>
            <w:vAlign w:val="bottom"/>
            <w:hideMark/>
          </w:tcPr>
          <w:p w14:paraId="3DE49AEA" w14:textId="77777777" w:rsidR="00A74C68" w:rsidRPr="00471CBA" w:rsidRDefault="00A74C68" w:rsidP="00A74C68">
            <w:pPr>
              <w:jc w:val="right"/>
              <w:rPr>
                <w:color w:val="000000"/>
                <w:sz w:val="16"/>
                <w:szCs w:val="16"/>
                <w:lang w:eastAsia="tr-TR"/>
              </w:rPr>
            </w:pPr>
            <w:r w:rsidRPr="00471CBA">
              <w:rPr>
                <w:szCs w:val="20"/>
              </w:rPr>
              <w:t> </w:t>
            </w:r>
          </w:p>
        </w:tc>
        <w:tc>
          <w:tcPr>
            <w:tcW w:w="368" w:type="pct"/>
            <w:tcBorders>
              <w:top w:val="nil"/>
              <w:left w:val="nil"/>
              <w:bottom w:val="nil"/>
              <w:right w:val="nil"/>
            </w:tcBorders>
            <w:vAlign w:val="bottom"/>
            <w:hideMark/>
          </w:tcPr>
          <w:p w14:paraId="0617D3C9" w14:textId="77777777" w:rsidR="00A74C68" w:rsidRPr="00471CBA" w:rsidRDefault="00A74C68" w:rsidP="00A74C68">
            <w:pPr>
              <w:jc w:val="right"/>
              <w:rPr>
                <w:color w:val="000000"/>
                <w:sz w:val="16"/>
                <w:szCs w:val="16"/>
                <w:lang w:eastAsia="tr-TR"/>
              </w:rPr>
            </w:pPr>
            <w:r w:rsidRPr="00471CBA">
              <w:rPr>
                <w:szCs w:val="20"/>
              </w:rPr>
              <w:t> </w:t>
            </w:r>
          </w:p>
        </w:tc>
        <w:tc>
          <w:tcPr>
            <w:tcW w:w="467" w:type="pct"/>
            <w:tcBorders>
              <w:top w:val="nil"/>
              <w:left w:val="nil"/>
              <w:bottom w:val="nil"/>
              <w:right w:val="nil"/>
            </w:tcBorders>
            <w:vAlign w:val="bottom"/>
            <w:hideMark/>
          </w:tcPr>
          <w:p w14:paraId="5B247227" w14:textId="77777777" w:rsidR="00A74C68" w:rsidRPr="00471CBA" w:rsidRDefault="00A74C68" w:rsidP="00A74C68">
            <w:pPr>
              <w:jc w:val="right"/>
              <w:rPr>
                <w:color w:val="000000"/>
                <w:sz w:val="16"/>
                <w:szCs w:val="16"/>
                <w:lang w:eastAsia="tr-TR"/>
              </w:rPr>
            </w:pPr>
            <w:r w:rsidRPr="00471CBA">
              <w:rPr>
                <w:szCs w:val="20"/>
              </w:rPr>
              <w:t> </w:t>
            </w:r>
          </w:p>
        </w:tc>
        <w:tc>
          <w:tcPr>
            <w:tcW w:w="530" w:type="pct"/>
            <w:tcBorders>
              <w:top w:val="nil"/>
              <w:left w:val="nil"/>
              <w:bottom w:val="nil"/>
              <w:right w:val="nil"/>
            </w:tcBorders>
            <w:vAlign w:val="bottom"/>
            <w:hideMark/>
          </w:tcPr>
          <w:p w14:paraId="203C1B7C" w14:textId="77777777" w:rsidR="00A74C68" w:rsidRPr="00471CBA" w:rsidRDefault="00A74C68" w:rsidP="00A74C68">
            <w:pPr>
              <w:jc w:val="right"/>
              <w:rPr>
                <w:color w:val="000000"/>
                <w:sz w:val="16"/>
                <w:szCs w:val="16"/>
                <w:lang w:eastAsia="tr-TR"/>
              </w:rPr>
            </w:pPr>
            <w:r w:rsidRPr="00471CBA">
              <w:rPr>
                <w:szCs w:val="20"/>
              </w:rPr>
              <w:t> </w:t>
            </w:r>
          </w:p>
        </w:tc>
      </w:tr>
      <w:tr w:rsidR="00A74C68" w:rsidRPr="00471CBA" w14:paraId="62E39957" w14:textId="77777777" w:rsidTr="00A74C68">
        <w:trPr>
          <w:divId w:val="2140759530"/>
          <w:trHeight w:val="170"/>
        </w:trPr>
        <w:tc>
          <w:tcPr>
            <w:tcW w:w="1588" w:type="pct"/>
            <w:tcBorders>
              <w:top w:val="nil"/>
              <w:left w:val="nil"/>
              <w:bottom w:val="single" w:sz="8" w:space="0" w:color="auto"/>
              <w:right w:val="nil"/>
            </w:tcBorders>
            <w:vAlign w:val="center"/>
            <w:hideMark/>
          </w:tcPr>
          <w:p w14:paraId="71451F35" w14:textId="77777777" w:rsidR="00A74C68" w:rsidRPr="00471CBA" w:rsidRDefault="00A74C68" w:rsidP="00A74C68">
            <w:pPr>
              <w:rPr>
                <w:b/>
                <w:bCs/>
                <w:color w:val="000000"/>
                <w:sz w:val="16"/>
                <w:szCs w:val="16"/>
              </w:rPr>
            </w:pPr>
            <w:r w:rsidRPr="00471CBA">
              <w:rPr>
                <w:b/>
                <w:bCs/>
                <w:iCs/>
                <w:color w:val="000000"/>
                <w:sz w:val="16"/>
                <w:szCs w:val="16"/>
              </w:rPr>
              <w:t>Toplam</w:t>
            </w:r>
          </w:p>
        </w:tc>
        <w:tc>
          <w:tcPr>
            <w:tcW w:w="455" w:type="pct"/>
            <w:tcBorders>
              <w:top w:val="nil"/>
              <w:left w:val="nil"/>
              <w:bottom w:val="single" w:sz="8" w:space="0" w:color="auto"/>
              <w:right w:val="nil"/>
            </w:tcBorders>
            <w:noWrap/>
            <w:vAlign w:val="bottom"/>
            <w:hideMark/>
          </w:tcPr>
          <w:p w14:paraId="03CB2639" w14:textId="77777777" w:rsidR="00A74C68" w:rsidRPr="00471CBA" w:rsidRDefault="00A74C68" w:rsidP="00A74C68">
            <w:pPr>
              <w:jc w:val="right"/>
              <w:rPr>
                <w:b/>
                <w:bCs/>
                <w:sz w:val="16"/>
                <w:szCs w:val="16"/>
              </w:rPr>
            </w:pPr>
            <w:r w:rsidRPr="00471CBA">
              <w:rPr>
                <w:b/>
                <w:bCs/>
                <w:sz w:val="16"/>
                <w:szCs w:val="16"/>
              </w:rPr>
              <w:t>11.775</w:t>
            </w:r>
          </w:p>
        </w:tc>
        <w:tc>
          <w:tcPr>
            <w:tcW w:w="380" w:type="pct"/>
            <w:tcBorders>
              <w:top w:val="nil"/>
              <w:left w:val="nil"/>
              <w:bottom w:val="single" w:sz="8" w:space="0" w:color="auto"/>
              <w:right w:val="nil"/>
            </w:tcBorders>
            <w:noWrap/>
            <w:vAlign w:val="bottom"/>
            <w:hideMark/>
          </w:tcPr>
          <w:p w14:paraId="238616D3" w14:textId="77777777" w:rsidR="00A74C68" w:rsidRPr="00471CBA" w:rsidRDefault="00A74C68" w:rsidP="00A74C68">
            <w:pPr>
              <w:jc w:val="right"/>
              <w:rPr>
                <w:b/>
                <w:bCs/>
                <w:sz w:val="16"/>
                <w:szCs w:val="16"/>
              </w:rPr>
            </w:pPr>
            <w:r w:rsidRPr="00471CBA">
              <w:rPr>
                <w:b/>
                <w:bCs/>
                <w:sz w:val="16"/>
                <w:szCs w:val="16"/>
              </w:rPr>
              <w:t>31.904</w:t>
            </w:r>
          </w:p>
        </w:tc>
        <w:tc>
          <w:tcPr>
            <w:tcW w:w="455" w:type="pct"/>
            <w:tcBorders>
              <w:top w:val="nil"/>
              <w:left w:val="nil"/>
              <w:bottom w:val="single" w:sz="8" w:space="0" w:color="auto"/>
              <w:right w:val="nil"/>
            </w:tcBorders>
            <w:noWrap/>
            <w:vAlign w:val="bottom"/>
            <w:hideMark/>
          </w:tcPr>
          <w:p w14:paraId="6A266661" w14:textId="77777777" w:rsidR="00A74C68" w:rsidRPr="00471CBA" w:rsidRDefault="00A74C68" w:rsidP="00A74C68">
            <w:pPr>
              <w:jc w:val="right"/>
              <w:rPr>
                <w:b/>
                <w:bCs/>
                <w:sz w:val="16"/>
                <w:szCs w:val="16"/>
              </w:rPr>
            </w:pPr>
            <w:r w:rsidRPr="00471CBA">
              <w:rPr>
                <w:b/>
                <w:bCs/>
                <w:sz w:val="16"/>
                <w:szCs w:val="16"/>
              </w:rPr>
              <w:t>16.328</w:t>
            </w:r>
          </w:p>
        </w:tc>
        <w:tc>
          <w:tcPr>
            <w:tcW w:w="380" w:type="pct"/>
            <w:tcBorders>
              <w:top w:val="nil"/>
              <w:left w:val="nil"/>
              <w:bottom w:val="single" w:sz="8" w:space="0" w:color="auto"/>
              <w:right w:val="nil"/>
            </w:tcBorders>
            <w:noWrap/>
            <w:vAlign w:val="bottom"/>
            <w:hideMark/>
          </w:tcPr>
          <w:p w14:paraId="5E328D40" w14:textId="77777777" w:rsidR="00A74C68" w:rsidRPr="00471CBA" w:rsidRDefault="00A74C68" w:rsidP="00A74C68">
            <w:pPr>
              <w:jc w:val="right"/>
              <w:rPr>
                <w:b/>
                <w:bCs/>
                <w:sz w:val="16"/>
                <w:szCs w:val="16"/>
              </w:rPr>
            </w:pPr>
            <w:r w:rsidRPr="00471CBA">
              <w:rPr>
                <w:b/>
                <w:bCs/>
                <w:sz w:val="16"/>
                <w:szCs w:val="16"/>
              </w:rPr>
              <w:t>-</w:t>
            </w:r>
          </w:p>
        </w:tc>
        <w:tc>
          <w:tcPr>
            <w:tcW w:w="377" w:type="pct"/>
            <w:tcBorders>
              <w:top w:val="nil"/>
              <w:left w:val="nil"/>
              <w:bottom w:val="single" w:sz="8" w:space="0" w:color="auto"/>
              <w:right w:val="nil"/>
            </w:tcBorders>
            <w:noWrap/>
            <w:vAlign w:val="bottom"/>
            <w:hideMark/>
          </w:tcPr>
          <w:p w14:paraId="5461AD4F" w14:textId="77777777" w:rsidR="00A74C68" w:rsidRPr="00471CBA" w:rsidRDefault="00A74C68" w:rsidP="00A74C68">
            <w:pPr>
              <w:jc w:val="right"/>
              <w:rPr>
                <w:b/>
                <w:bCs/>
                <w:sz w:val="16"/>
                <w:szCs w:val="16"/>
              </w:rPr>
            </w:pPr>
            <w:r w:rsidRPr="00471CBA">
              <w:rPr>
                <w:b/>
                <w:bCs/>
                <w:sz w:val="16"/>
                <w:szCs w:val="16"/>
              </w:rPr>
              <w:t>172</w:t>
            </w:r>
          </w:p>
        </w:tc>
        <w:tc>
          <w:tcPr>
            <w:tcW w:w="368" w:type="pct"/>
            <w:tcBorders>
              <w:top w:val="nil"/>
              <w:left w:val="nil"/>
              <w:bottom w:val="single" w:sz="8" w:space="0" w:color="auto"/>
              <w:right w:val="nil"/>
            </w:tcBorders>
            <w:noWrap/>
            <w:vAlign w:val="bottom"/>
            <w:hideMark/>
          </w:tcPr>
          <w:p w14:paraId="4242A077" w14:textId="77777777" w:rsidR="00A74C68" w:rsidRPr="00471CBA" w:rsidRDefault="00A74C68" w:rsidP="00A74C68">
            <w:pPr>
              <w:jc w:val="right"/>
              <w:rPr>
                <w:b/>
                <w:bCs/>
                <w:sz w:val="16"/>
                <w:szCs w:val="16"/>
              </w:rPr>
            </w:pPr>
            <w:r w:rsidRPr="00471CBA">
              <w:rPr>
                <w:b/>
                <w:bCs/>
                <w:sz w:val="16"/>
                <w:szCs w:val="16"/>
              </w:rPr>
              <w:t>3.229</w:t>
            </w:r>
          </w:p>
        </w:tc>
        <w:tc>
          <w:tcPr>
            <w:tcW w:w="467" w:type="pct"/>
            <w:tcBorders>
              <w:top w:val="nil"/>
              <w:left w:val="nil"/>
              <w:bottom w:val="single" w:sz="8" w:space="0" w:color="auto"/>
              <w:right w:val="nil"/>
            </w:tcBorders>
            <w:noWrap/>
            <w:vAlign w:val="bottom"/>
            <w:hideMark/>
          </w:tcPr>
          <w:p w14:paraId="1112DD3C" w14:textId="77777777" w:rsidR="00A74C68" w:rsidRPr="00471CBA" w:rsidRDefault="00A74C68" w:rsidP="00A74C68">
            <w:pPr>
              <w:jc w:val="right"/>
              <w:rPr>
                <w:b/>
                <w:bCs/>
                <w:sz w:val="16"/>
                <w:szCs w:val="16"/>
              </w:rPr>
            </w:pPr>
            <w:r w:rsidRPr="00471CBA">
              <w:rPr>
                <w:b/>
                <w:bCs/>
                <w:sz w:val="16"/>
                <w:szCs w:val="16"/>
              </w:rPr>
              <w:t>-</w:t>
            </w:r>
          </w:p>
        </w:tc>
        <w:tc>
          <w:tcPr>
            <w:tcW w:w="530" w:type="pct"/>
            <w:tcBorders>
              <w:top w:val="nil"/>
              <w:left w:val="nil"/>
              <w:bottom w:val="single" w:sz="8" w:space="0" w:color="auto"/>
              <w:right w:val="nil"/>
            </w:tcBorders>
            <w:noWrap/>
            <w:vAlign w:val="bottom"/>
            <w:hideMark/>
          </w:tcPr>
          <w:p w14:paraId="1BBDFEC5" w14:textId="77777777" w:rsidR="00A74C68" w:rsidRPr="00471CBA" w:rsidRDefault="00A74C68" w:rsidP="00A74C68">
            <w:pPr>
              <w:jc w:val="right"/>
              <w:rPr>
                <w:b/>
                <w:bCs/>
                <w:sz w:val="16"/>
                <w:szCs w:val="16"/>
              </w:rPr>
            </w:pPr>
            <w:r w:rsidRPr="00471CBA">
              <w:rPr>
                <w:b/>
                <w:bCs/>
                <w:sz w:val="16"/>
                <w:szCs w:val="16"/>
              </w:rPr>
              <w:t>63.408</w:t>
            </w:r>
          </w:p>
        </w:tc>
      </w:tr>
      <w:tr w:rsidR="00A74C68" w:rsidRPr="00471CBA" w14:paraId="6878E094" w14:textId="77777777" w:rsidTr="00A74C68">
        <w:trPr>
          <w:divId w:val="2140759530"/>
          <w:trHeight w:val="170"/>
        </w:trPr>
        <w:tc>
          <w:tcPr>
            <w:tcW w:w="1588" w:type="pct"/>
            <w:tcBorders>
              <w:top w:val="nil"/>
              <w:left w:val="nil"/>
              <w:right w:val="nil"/>
            </w:tcBorders>
            <w:vAlign w:val="center"/>
            <w:hideMark/>
          </w:tcPr>
          <w:p w14:paraId="507E8D46" w14:textId="77777777" w:rsidR="00A74C68" w:rsidRPr="00471CBA" w:rsidRDefault="00A74C68" w:rsidP="00A74C68">
            <w:pPr>
              <w:jc w:val="right"/>
              <w:rPr>
                <w:b/>
                <w:bCs/>
                <w:sz w:val="16"/>
                <w:szCs w:val="16"/>
              </w:rPr>
            </w:pPr>
          </w:p>
        </w:tc>
        <w:tc>
          <w:tcPr>
            <w:tcW w:w="455" w:type="pct"/>
            <w:tcBorders>
              <w:top w:val="nil"/>
              <w:left w:val="nil"/>
              <w:right w:val="nil"/>
            </w:tcBorders>
            <w:vAlign w:val="bottom"/>
            <w:hideMark/>
          </w:tcPr>
          <w:p w14:paraId="21FE9B23" w14:textId="77777777" w:rsidR="00A74C68" w:rsidRPr="00471CBA" w:rsidRDefault="00A74C68" w:rsidP="00A74C68">
            <w:pPr>
              <w:jc w:val="right"/>
              <w:rPr>
                <w:b/>
                <w:bCs/>
                <w:color w:val="000000"/>
                <w:sz w:val="16"/>
                <w:szCs w:val="16"/>
                <w:lang w:eastAsia="tr-TR"/>
              </w:rPr>
            </w:pPr>
            <w:r w:rsidRPr="00471CBA">
              <w:rPr>
                <w:szCs w:val="20"/>
              </w:rPr>
              <w:t> </w:t>
            </w:r>
          </w:p>
        </w:tc>
        <w:tc>
          <w:tcPr>
            <w:tcW w:w="380" w:type="pct"/>
            <w:tcBorders>
              <w:top w:val="nil"/>
              <w:left w:val="nil"/>
              <w:right w:val="nil"/>
            </w:tcBorders>
            <w:vAlign w:val="bottom"/>
            <w:hideMark/>
          </w:tcPr>
          <w:p w14:paraId="3F9245FD" w14:textId="77777777" w:rsidR="00A74C68" w:rsidRPr="00471CBA" w:rsidRDefault="00A74C68" w:rsidP="00A74C68">
            <w:pPr>
              <w:jc w:val="right"/>
              <w:rPr>
                <w:b/>
                <w:bCs/>
                <w:color w:val="000000"/>
                <w:sz w:val="16"/>
                <w:szCs w:val="16"/>
                <w:lang w:eastAsia="tr-TR"/>
              </w:rPr>
            </w:pPr>
            <w:r w:rsidRPr="00471CBA">
              <w:rPr>
                <w:szCs w:val="20"/>
              </w:rPr>
              <w:t> </w:t>
            </w:r>
          </w:p>
        </w:tc>
        <w:tc>
          <w:tcPr>
            <w:tcW w:w="455" w:type="pct"/>
            <w:tcBorders>
              <w:top w:val="nil"/>
              <w:left w:val="nil"/>
              <w:right w:val="nil"/>
            </w:tcBorders>
            <w:vAlign w:val="bottom"/>
            <w:hideMark/>
          </w:tcPr>
          <w:p w14:paraId="6993BE32" w14:textId="77777777" w:rsidR="00A74C68" w:rsidRPr="00471CBA" w:rsidRDefault="00A74C68" w:rsidP="00A74C68">
            <w:pPr>
              <w:jc w:val="right"/>
              <w:rPr>
                <w:b/>
                <w:bCs/>
                <w:color w:val="000000"/>
                <w:sz w:val="16"/>
                <w:szCs w:val="16"/>
                <w:lang w:eastAsia="tr-TR"/>
              </w:rPr>
            </w:pPr>
            <w:r w:rsidRPr="00471CBA">
              <w:rPr>
                <w:szCs w:val="20"/>
              </w:rPr>
              <w:t> </w:t>
            </w:r>
          </w:p>
        </w:tc>
        <w:tc>
          <w:tcPr>
            <w:tcW w:w="380" w:type="pct"/>
            <w:tcBorders>
              <w:top w:val="nil"/>
              <w:left w:val="nil"/>
              <w:right w:val="nil"/>
            </w:tcBorders>
            <w:vAlign w:val="bottom"/>
            <w:hideMark/>
          </w:tcPr>
          <w:p w14:paraId="63F46259" w14:textId="77777777" w:rsidR="00A74C68" w:rsidRPr="00471CBA" w:rsidRDefault="00A74C68" w:rsidP="00A74C68">
            <w:pPr>
              <w:jc w:val="right"/>
              <w:rPr>
                <w:b/>
                <w:bCs/>
                <w:color w:val="000000"/>
                <w:sz w:val="16"/>
                <w:szCs w:val="16"/>
                <w:lang w:eastAsia="tr-TR"/>
              </w:rPr>
            </w:pPr>
            <w:r w:rsidRPr="00471CBA">
              <w:rPr>
                <w:szCs w:val="20"/>
              </w:rPr>
              <w:t> </w:t>
            </w:r>
          </w:p>
        </w:tc>
        <w:tc>
          <w:tcPr>
            <w:tcW w:w="377" w:type="pct"/>
            <w:tcBorders>
              <w:top w:val="nil"/>
              <w:left w:val="nil"/>
              <w:right w:val="nil"/>
            </w:tcBorders>
            <w:vAlign w:val="bottom"/>
            <w:hideMark/>
          </w:tcPr>
          <w:p w14:paraId="316DD689" w14:textId="77777777" w:rsidR="00A74C68" w:rsidRPr="00471CBA" w:rsidRDefault="00A74C68" w:rsidP="00A74C68">
            <w:pPr>
              <w:jc w:val="right"/>
              <w:rPr>
                <w:b/>
                <w:bCs/>
                <w:color w:val="000000"/>
                <w:sz w:val="16"/>
                <w:szCs w:val="16"/>
                <w:lang w:eastAsia="tr-TR"/>
              </w:rPr>
            </w:pPr>
            <w:r w:rsidRPr="00471CBA">
              <w:rPr>
                <w:szCs w:val="20"/>
              </w:rPr>
              <w:t> </w:t>
            </w:r>
          </w:p>
        </w:tc>
        <w:tc>
          <w:tcPr>
            <w:tcW w:w="368" w:type="pct"/>
            <w:tcBorders>
              <w:top w:val="nil"/>
              <w:left w:val="nil"/>
              <w:right w:val="nil"/>
            </w:tcBorders>
            <w:vAlign w:val="bottom"/>
            <w:hideMark/>
          </w:tcPr>
          <w:p w14:paraId="5DCC1651" w14:textId="77777777" w:rsidR="00A74C68" w:rsidRPr="00471CBA" w:rsidRDefault="00A74C68" w:rsidP="00A74C68">
            <w:pPr>
              <w:jc w:val="right"/>
              <w:rPr>
                <w:b/>
                <w:bCs/>
                <w:color w:val="000000"/>
                <w:sz w:val="16"/>
                <w:szCs w:val="16"/>
                <w:lang w:eastAsia="tr-TR"/>
              </w:rPr>
            </w:pPr>
            <w:r w:rsidRPr="00471CBA">
              <w:rPr>
                <w:szCs w:val="20"/>
              </w:rPr>
              <w:t> </w:t>
            </w:r>
          </w:p>
        </w:tc>
        <w:tc>
          <w:tcPr>
            <w:tcW w:w="467" w:type="pct"/>
            <w:tcBorders>
              <w:top w:val="nil"/>
              <w:left w:val="nil"/>
              <w:right w:val="nil"/>
            </w:tcBorders>
            <w:vAlign w:val="bottom"/>
            <w:hideMark/>
          </w:tcPr>
          <w:p w14:paraId="79810560" w14:textId="77777777" w:rsidR="00A74C68" w:rsidRPr="00471CBA" w:rsidRDefault="00A74C68" w:rsidP="00A74C68">
            <w:pPr>
              <w:jc w:val="right"/>
              <w:rPr>
                <w:b/>
                <w:bCs/>
                <w:color w:val="000000"/>
                <w:sz w:val="16"/>
                <w:szCs w:val="16"/>
                <w:lang w:eastAsia="tr-TR"/>
              </w:rPr>
            </w:pPr>
            <w:r w:rsidRPr="00471CBA">
              <w:rPr>
                <w:szCs w:val="20"/>
              </w:rPr>
              <w:t> </w:t>
            </w:r>
          </w:p>
        </w:tc>
        <w:tc>
          <w:tcPr>
            <w:tcW w:w="530" w:type="pct"/>
            <w:tcBorders>
              <w:top w:val="nil"/>
              <w:left w:val="nil"/>
              <w:right w:val="nil"/>
            </w:tcBorders>
            <w:vAlign w:val="bottom"/>
            <w:hideMark/>
          </w:tcPr>
          <w:p w14:paraId="65B83FEA" w14:textId="77777777" w:rsidR="00A74C68" w:rsidRPr="00471CBA" w:rsidRDefault="00A74C68" w:rsidP="00A74C68">
            <w:pPr>
              <w:jc w:val="right"/>
              <w:rPr>
                <w:b/>
                <w:bCs/>
                <w:color w:val="000000"/>
                <w:sz w:val="16"/>
                <w:szCs w:val="16"/>
                <w:lang w:eastAsia="tr-TR"/>
              </w:rPr>
            </w:pPr>
            <w:r w:rsidRPr="00471CBA">
              <w:rPr>
                <w:szCs w:val="20"/>
              </w:rPr>
              <w:t> </w:t>
            </w:r>
          </w:p>
        </w:tc>
      </w:tr>
      <w:tr w:rsidR="00A74C68" w:rsidRPr="00471CBA" w14:paraId="0B16F53E" w14:textId="77777777" w:rsidTr="00A74C68">
        <w:trPr>
          <w:divId w:val="2140759530"/>
          <w:trHeight w:val="170"/>
        </w:trPr>
        <w:tc>
          <w:tcPr>
            <w:tcW w:w="1588" w:type="pct"/>
            <w:tcBorders>
              <w:top w:val="nil"/>
              <w:left w:val="nil"/>
              <w:bottom w:val="single" w:sz="12" w:space="0" w:color="auto"/>
              <w:right w:val="nil"/>
            </w:tcBorders>
            <w:vAlign w:val="center"/>
            <w:hideMark/>
          </w:tcPr>
          <w:p w14:paraId="004C6F2D" w14:textId="77777777" w:rsidR="00A74C68" w:rsidRPr="00471CBA" w:rsidRDefault="00A74C68" w:rsidP="00A74C68">
            <w:pPr>
              <w:rPr>
                <w:b/>
                <w:bCs/>
                <w:color w:val="000000"/>
                <w:sz w:val="16"/>
                <w:szCs w:val="16"/>
              </w:rPr>
            </w:pPr>
            <w:r w:rsidRPr="00471CBA">
              <w:rPr>
                <w:b/>
                <w:bCs/>
                <w:color w:val="000000"/>
                <w:sz w:val="16"/>
                <w:szCs w:val="16"/>
              </w:rPr>
              <w:t>Genel toplam</w:t>
            </w:r>
          </w:p>
        </w:tc>
        <w:tc>
          <w:tcPr>
            <w:tcW w:w="455" w:type="pct"/>
            <w:tcBorders>
              <w:top w:val="nil"/>
              <w:left w:val="nil"/>
              <w:bottom w:val="single" w:sz="12" w:space="0" w:color="auto"/>
              <w:right w:val="nil"/>
            </w:tcBorders>
            <w:noWrap/>
            <w:vAlign w:val="bottom"/>
            <w:hideMark/>
          </w:tcPr>
          <w:p w14:paraId="0F51C9EC" w14:textId="77777777" w:rsidR="00A74C68" w:rsidRPr="00471CBA" w:rsidRDefault="00A74C68" w:rsidP="00A74C68">
            <w:pPr>
              <w:jc w:val="right"/>
              <w:rPr>
                <w:b/>
                <w:bCs/>
                <w:color w:val="000000"/>
                <w:sz w:val="16"/>
                <w:szCs w:val="16"/>
              </w:rPr>
            </w:pPr>
            <w:r w:rsidRPr="00471CBA">
              <w:rPr>
                <w:b/>
                <w:bCs/>
                <w:color w:val="000000"/>
                <w:sz w:val="16"/>
                <w:szCs w:val="16"/>
              </w:rPr>
              <w:t>563.868</w:t>
            </w:r>
          </w:p>
        </w:tc>
        <w:tc>
          <w:tcPr>
            <w:tcW w:w="380" w:type="pct"/>
            <w:tcBorders>
              <w:top w:val="nil"/>
              <w:left w:val="nil"/>
              <w:bottom w:val="single" w:sz="12" w:space="0" w:color="auto"/>
              <w:right w:val="nil"/>
            </w:tcBorders>
            <w:noWrap/>
            <w:vAlign w:val="bottom"/>
            <w:hideMark/>
          </w:tcPr>
          <w:p w14:paraId="4FBC1B88" w14:textId="77777777" w:rsidR="00A74C68" w:rsidRPr="00471CBA" w:rsidRDefault="00A74C68" w:rsidP="00A74C68">
            <w:pPr>
              <w:jc w:val="right"/>
              <w:rPr>
                <w:b/>
                <w:bCs/>
                <w:color w:val="000000"/>
                <w:sz w:val="16"/>
                <w:szCs w:val="16"/>
              </w:rPr>
            </w:pPr>
            <w:r w:rsidRPr="00471CBA">
              <w:rPr>
                <w:b/>
                <w:bCs/>
                <w:color w:val="000000"/>
                <w:sz w:val="16"/>
                <w:szCs w:val="16"/>
              </w:rPr>
              <w:t>319.302</w:t>
            </w:r>
          </w:p>
        </w:tc>
        <w:tc>
          <w:tcPr>
            <w:tcW w:w="455" w:type="pct"/>
            <w:tcBorders>
              <w:top w:val="nil"/>
              <w:left w:val="nil"/>
              <w:bottom w:val="single" w:sz="12" w:space="0" w:color="auto"/>
              <w:right w:val="nil"/>
            </w:tcBorders>
            <w:noWrap/>
            <w:vAlign w:val="bottom"/>
            <w:hideMark/>
          </w:tcPr>
          <w:p w14:paraId="7E790C79" w14:textId="77777777" w:rsidR="00A74C68" w:rsidRPr="00471CBA" w:rsidRDefault="00A74C68" w:rsidP="00A74C68">
            <w:pPr>
              <w:jc w:val="right"/>
              <w:rPr>
                <w:b/>
                <w:bCs/>
                <w:color w:val="000000"/>
                <w:sz w:val="16"/>
                <w:szCs w:val="16"/>
              </w:rPr>
            </w:pPr>
            <w:r w:rsidRPr="00471CBA">
              <w:rPr>
                <w:b/>
                <w:bCs/>
                <w:color w:val="000000"/>
                <w:sz w:val="16"/>
                <w:szCs w:val="16"/>
              </w:rPr>
              <w:t>347.964</w:t>
            </w:r>
          </w:p>
        </w:tc>
        <w:tc>
          <w:tcPr>
            <w:tcW w:w="380" w:type="pct"/>
            <w:tcBorders>
              <w:top w:val="nil"/>
              <w:left w:val="nil"/>
              <w:bottom w:val="single" w:sz="12" w:space="0" w:color="auto"/>
              <w:right w:val="nil"/>
            </w:tcBorders>
            <w:noWrap/>
            <w:vAlign w:val="bottom"/>
            <w:hideMark/>
          </w:tcPr>
          <w:p w14:paraId="04E068BC" w14:textId="77777777" w:rsidR="00A74C68" w:rsidRPr="00471CBA" w:rsidRDefault="00A74C68" w:rsidP="00A74C68">
            <w:pPr>
              <w:jc w:val="right"/>
              <w:rPr>
                <w:b/>
                <w:bCs/>
                <w:color w:val="000000"/>
                <w:sz w:val="16"/>
                <w:szCs w:val="16"/>
              </w:rPr>
            </w:pPr>
            <w:r w:rsidRPr="00471CBA">
              <w:rPr>
                <w:b/>
                <w:bCs/>
                <w:color w:val="000000"/>
                <w:sz w:val="16"/>
                <w:szCs w:val="16"/>
              </w:rPr>
              <w:t>-</w:t>
            </w:r>
          </w:p>
        </w:tc>
        <w:tc>
          <w:tcPr>
            <w:tcW w:w="377" w:type="pct"/>
            <w:tcBorders>
              <w:top w:val="nil"/>
              <w:left w:val="nil"/>
              <w:bottom w:val="single" w:sz="12" w:space="0" w:color="auto"/>
              <w:right w:val="nil"/>
            </w:tcBorders>
            <w:noWrap/>
            <w:vAlign w:val="bottom"/>
            <w:hideMark/>
          </w:tcPr>
          <w:p w14:paraId="301EA1A1" w14:textId="77777777" w:rsidR="00A74C68" w:rsidRPr="00471CBA" w:rsidRDefault="00A74C68" w:rsidP="00A74C68">
            <w:pPr>
              <w:jc w:val="right"/>
              <w:rPr>
                <w:b/>
                <w:bCs/>
                <w:color w:val="000000"/>
                <w:sz w:val="16"/>
                <w:szCs w:val="16"/>
              </w:rPr>
            </w:pPr>
            <w:r w:rsidRPr="00471CBA">
              <w:rPr>
                <w:b/>
                <w:bCs/>
                <w:color w:val="000000"/>
                <w:sz w:val="16"/>
                <w:szCs w:val="16"/>
              </w:rPr>
              <w:t>29.906</w:t>
            </w:r>
          </w:p>
        </w:tc>
        <w:tc>
          <w:tcPr>
            <w:tcW w:w="368" w:type="pct"/>
            <w:tcBorders>
              <w:top w:val="nil"/>
              <w:left w:val="nil"/>
              <w:bottom w:val="single" w:sz="12" w:space="0" w:color="auto"/>
              <w:right w:val="nil"/>
            </w:tcBorders>
            <w:noWrap/>
            <w:vAlign w:val="bottom"/>
            <w:hideMark/>
          </w:tcPr>
          <w:p w14:paraId="222B7335" w14:textId="77777777" w:rsidR="00A74C68" w:rsidRPr="00471CBA" w:rsidRDefault="00A74C68" w:rsidP="00A74C68">
            <w:pPr>
              <w:jc w:val="right"/>
              <w:rPr>
                <w:b/>
                <w:bCs/>
                <w:color w:val="000000"/>
                <w:sz w:val="16"/>
                <w:szCs w:val="16"/>
              </w:rPr>
            </w:pPr>
            <w:r w:rsidRPr="00471CBA">
              <w:rPr>
                <w:b/>
                <w:bCs/>
                <w:color w:val="000000"/>
                <w:sz w:val="16"/>
                <w:szCs w:val="16"/>
              </w:rPr>
              <w:t>724.995</w:t>
            </w:r>
          </w:p>
        </w:tc>
        <w:tc>
          <w:tcPr>
            <w:tcW w:w="467" w:type="pct"/>
            <w:tcBorders>
              <w:top w:val="nil"/>
              <w:left w:val="nil"/>
              <w:bottom w:val="single" w:sz="12" w:space="0" w:color="auto"/>
              <w:right w:val="nil"/>
            </w:tcBorders>
            <w:noWrap/>
            <w:vAlign w:val="bottom"/>
            <w:hideMark/>
          </w:tcPr>
          <w:p w14:paraId="77EF8A4C" w14:textId="77777777" w:rsidR="00A74C68" w:rsidRPr="00471CBA" w:rsidRDefault="00A74C68" w:rsidP="00A74C68">
            <w:pPr>
              <w:jc w:val="right"/>
              <w:rPr>
                <w:b/>
                <w:bCs/>
                <w:color w:val="000000"/>
                <w:sz w:val="16"/>
                <w:szCs w:val="16"/>
              </w:rPr>
            </w:pPr>
            <w:r w:rsidRPr="00471CBA">
              <w:rPr>
                <w:b/>
                <w:bCs/>
                <w:color w:val="000000"/>
                <w:sz w:val="16"/>
                <w:szCs w:val="16"/>
              </w:rPr>
              <w:t>-</w:t>
            </w:r>
          </w:p>
        </w:tc>
        <w:tc>
          <w:tcPr>
            <w:tcW w:w="530" w:type="pct"/>
            <w:tcBorders>
              <w:top w:val="nil"/>
              <w:left w:val="nil"/>
              <w:bottom w:val="single" w:sz="12" w:space="0" w:color="auto"/>
              <w:right w:val="nil"/>
            </w:tcBorders>
            <w:noWrap/>
            <w:vAlign w:val="bottom"/>
            <w:hideMark/>
          </w:tcPr>
          <w:p w14:paraId="3B9981D7" w14:textId="77777777" w:rsidR="00A74C68" w:rsidRPr="00471CBA" w:rsidRDefault="00A74C68" w:rsidP="00A74C68">
            <w:pPr>
              <w:jc w:val="right"/>
              <w:rPr>
                <w:b/>
                <w:bCs/>
                <w:color w:val="000000"/>
                <w:sz w:val="16"/>
                <w:szCs w:val="16"/>
              </w:rPr>
            </w:pPr>
            <w:r w:rsidRPr="00471CBA">
              <w:rPr>
                <w:b/>
                <w:bCs/>
                <w:color w:val="000000"/>
                <w:sz w:val="16"/>
                <w:szCs w:val="16"/>
              </w:rPr>
              <w:t>1.986.035</w:t>
            </w:r>
          </w:p>
        </w:tc>
      </w:tr>
    </w:tbl>
    <w:p w14:paraId="0EBA414F" w14:textId="77777777" w:rsidR="000B697A" w:rsidRPr="006025D3" w:rsidRDefault="000B697A">
      <w:pPr>
        <w:rPr>
          <w:b/>
          <w:sz w:val="8"/>
          <w:szCs w:val="8"/>
        </w:rPr>
      </w:pPr>
      <w:r w:rsidRPr="006025D3">
        <w:rPr>
          <w:b/>
          <w:sz w:val="8"/>
          <w:szCs w:val="8"/>
        </w:rPr>
        <w:br w:type="page"/>
      </w:r>
    </w:p>
    <w:p w14:paraId="4F33C7BB" w14:textId="77777777" w:rsidR="005D50AB" w:rsidRPr="00471CBA" w:rsidRDefault="005D50AB" w:rsidP="005D50AB">
      <w:pPr>
        <w:rPr>
          <w:b/>
          <w:szCs w:val="20"/>
        </w:rPr>
      </w:pPr>
      <w:r w:rsidRPr="00471CBA">
        <w:rPr>
          <w:b/>
          <w:szCs w:val="20"/>
        </w:rPr>
        <w:t>KONSOLİDE OLMAYAN FİNANSAL TABLOLARA İLİŞKİN AÇIKLAMA VE DİPNOTLAR (Devamı)</w:t>
      </w:r>
    </w:p>
    <w:p w14:paraId="1082339E" w14:textId="77777777" w:rsidR="005D50AB" w:rsidRPr="00471CBA" w:rsidRDefault="005D50AB" w:rsidP="005D50AB">
      <w:pPr>
        <w:widowControl w:val="0"/>
        <w:autoSpaceDE w:val="0"/>
        <w:autoSpaceDN w:val="0"/>
        <w:adjustRightInd w:val="0"/>
        <w:ind w:left="14" w:right="210"/>
        <w:jc w:val="both"/>
        <w:rPr>
          <w:szCs w:val="20"/>
        </w:rPr>
      </w:pPr>
    </w:p>
    <w:p w14:paraId="79991389" w14:textId="77777777" w:rsidR="006025D3" w:rsidRPr="00471CBA" w:rsidRDefault="006025D3" w:rsidP="006025D3">
      <w:pPr>
        <w:pStyle w:val="GvdeMetniGirintisi"/>
        <w:widowControl w:val="0"/>
        <w:ind w:left="851" w:right="206" w:hanging="851"/>
        <w:rPr>
          <w:b/>
          <w:iCs/>
          <w:szCs w:val="20"/>
        </w:rPr>
      </w:pPr>
      <w:r>
        <w:rPr>
          <w:b/>
          <w:iCs/>
          <w:szCs w:val="20"/>
        </w:rPr>
        <w:t>IV.</w:t>
      </w:r>
      <w:r>
        <w:rPr>
          <w:b/>
          <w:iCs/>
          <w:szCs w:val="20"/>
        </w:rPr>
        <w:tab/>
      </w:r>
      <w:r w:rsidRPr="00471CBA">
        <w:rPr>
          <w:b/>
          <w:iCs/>
          <w:szCs w:val="20"/>
        </w:rPr>
        <w:t>KAR VEYA ZARAR TABLOSUNA İLİŞKİN AÇIKLAMA VE DİPNOTLAR (Devamı)</w:t>
      </w:r>
    </w:p>
    <w:p w14:paraId="3434231C" w14:textId="77777777" w:rsidR="005D50AB" w:rsidRPr="00471CBA" w:rsidRDefault="005D50AB" w:rsidP="005D50AB">
      <w:pPr>
        <w:pStyle w:val="ListeParagraf"/>
        <w:widowControl w:val="0"/>
        <w:ind w:left="1276"/>
        <w:rPr>
          <w:b/>
          <w:color w:val="000000" w:themeColor="text1"/>
          <w:szCs w:val="20"/>
        </w:rPr>
      </w:pPr>
    </w:p>
    <w:p w14:paraId="403FF045" w14:textId="46B1E45E" w:rsidR="00000466" w:rsidRPr="00471CBA" w:rsidRDefault="00000466" w:rsidP="00000466">
      <w:pPr>
        <w:pStyle w:val="ListeParagraf"/>
        <w:widowControl w:val="0"/>
        <w:numPr>
          <w:ilvl w:val="0"/>
          <w:numId w:val="36"/>
        </w:numPr>
        <w:ind w:left="1276" w:hanging="425"/>
        <w:rPr>
          <w:b/>
          <w:color w:val="000000" w:themeColor="text1"/>
          <w:szCs w:val="20"/>
        </w:rPr>
      </w:pPr>
      <w:r w:rsidRPr="00471CBA">
        <w:rPr>
          <w:b/>
          <w:color w:val="000000" w:themeColor="text1"/>
          <w:szCs w:val="20"/>
        </w:rPr>
        <w:t xml:space="preserve">Kullanılan kredilere verilen </w:t>
      </w:r>
      <w:r w:rsidR="00E74997" w:rsidRPr="00471CBA">
        <w:rPr>
          <w:b/>
          <w:color w:val="000000" w:themeColor="text1"/>
          <w:szCs w:val="20"/>
        </w:rPr>
        <w:t>kâr</w:t>
      </w:r>
      <w:r w:rsidRPr="00471CBA">
        <w:rPr>
          <w:b/>
          <w:color w:val="000000" w:themeColor="text1"/>
          <w:szCs w:val="20"/>
        </w:rPr>
        <w:t xml:space="preserve"> payı giderlerine ilişkin bilgiler:</w:t>
      </w:r>
    </w:p>
    <w:p w14:paraId="20C25AC9" w14:textId="7722BF64" w:rsidR="00A74C68" w:rsidRPr="00471CBA" w:rsidRDefault="00A74C68" w:rsidP="00000466">
      <w:pPr>
        <w:widowControl w:val="0"/>
        <w:ind w:left="56" w:hanging="560"/>
        <w:jc w:val="both"/>
        <w:rPr>
          <w:szCs w:val="20"/>
        </w:rPr>
      </w:pPr>
    </w:p>
    <w:tbl>
      <w:tblPr>
        <w:tblW w:w="5000" w:type="pct"/>
        <w:tblCellMar>
          <w:left w:w="70" w:type="dxa"/>
          <w:right w:w="70" w:type="dxa"/>
        </w:tblCellMar>
        <w:tblLook w:val="04A0" w:firstRow="1" w:lastRow="0" w:firstColumn="1" w:lastColumn="0" w:noHBand="0" w:noVBand="1"/>
      </w:tblPr>
      <w:tblGrid>
        <w:gridCol w:w="6373"/>
        <w:gridCol w:w="1478"/>
        <w:gridCol w:w="1504"/>
      </w:tblGrid>
      <w:tr w:rsidR="00A74C68" w:rsidRPr="00471CBA" w14:paraId="2F1BF4B4" w14:textId="77777777" w:rsidTr="00A74C68">
        <w:trPr>
          <w:divId w:val="774255538"/>
          <w:trHeight w:val="227"/>
        </w:trPr>
        <w:tc>
          <w:tcPr>
            <w:tcW w:w="2644" w:type="pct"/>
            <w:tcBorders>
              <w:top w:val="nil"/>
              <w:left w:val="nil"/>
              <w:bottom w:val="nil"/>
              <w:right w:val="nil"/>
            </w:tcBorders>
            <w:hideMark/>
          </w:tcPr>
          <w:p w14:paraId="5746DBB7" w14:textId="5B352467" w:rsidR="00A74C68" w:rsidRPr="00471CBA" w:rsidRDefault="00A74C68" w:rsidP="00A74C68">
            <w:pPr>
              <w:rPr>
                <w:szCs w:val="20"/>
              </w:rPr>
            </w:pPr>
          </w:p>
        </w:tc>
        <w:tc>
          <w:tcPr>
            <w:tcW w:w="1236" w:type="pct"/>
            <w:gridSpan w:val="2"/>
            <w:tcBorders>
              <w:top w:val="nil"/>
              <w:left w:val="nil"/>
              <w:bottom w:val="single" w:sz="4" w:space="0" w:color="auto"/>
              <w:right w:val="nil"/>
            </w:tcBorders>
            <w:noWrap/>
            <w:vAlign w:val="bottom"/>
            <w:hideMark/>
          </w:tcPr>
          <w:p w14:paraId="5467D9D0" w14:textId="77777777" w:rsidR="00A74C68" w:rsidRPr="00471CBA" w:rsidRDefault="00A74C68" w:rsidP="00A74C68">
            <w:pPr>
              <w:jc w:val="center"/>
              <w:rPr>
                <w:b/>
                <w:bCs/>
                <w:color w:val="000000"/>
                <w:szCs w:val="20"/>
              </w:rPr>
            </w:pPr>
            <w:r w:rsidRPr="00471CBA">
              <w:rPr>
                <w:b/>
                <w:bCs/>
                <w:color w:val="000000"/>
                <w:szCs w:val="20"/>
              </w:rPr>
              <w:t>1 Ocak - 31 Aralık 2025</w:t>
            </w:r>
          </w:p>
        </w:tc>
      </w:tr>
      <w:tr w:rsidR="00A74C68" w:rsidRPr="00471CBA" w14:paraId="09D8584F" w14:textId="77777777" w:rsidTr="00A74C68">
        <w:trPr>
          <w:divId w:val="774255538"/>
          <w:trHeight w:val="227"/>
        </w:trPr>
        <w:tc>
          <w:tcPr>
            <w:tcW w:w="2644" w:type="pct"/>
            <w:tcBorders>
              <w:top w:val="nil"/>
              <w:left w:val="nil"/>
              <w:bottom w:val="single" w:sz="4" w:space="0" w:color="auto"/>
              <w:right w:val="nil"/>
            </w:tcBorders>
            <w:hideMark/>
          </w:tcPr>
          <w:p w14:paraId="5E8765B2" w14:textId="77777777" w:rsidR="00A74C68" w:rsidRPr="00471CBA" w:rsidRDefault="00A74C68" w:rsidP="00A74C68">
            <w:pPr>
              <w:jc w:val="both"/>
              <w:rPr>
                <w:color w:val="000000"/>
                <w:szCs w:val="20"/>
              </w:rPr>
            </w:pPr>
            <w:r w:rsidRPr="00471CBA">
              <w:rPr>
                <w:color w:val="000000"/>
                <w:szCs w:val="20"/>
              </w:rPr>
              <w:t> </w:t>
            </w:r>
          </w:p>
        </w:tc>
        <w:tc>
          <w:tcPr>
            <w:tcW w:w="613" w:type="pct"/>
            <w:tcBorders>
              <w:top w:val="nil"/>
              <w:left w:val="nil"/>
              <w:bottom w:val="single" w:sz="4" w:space="0" w:color="auto"/>
              <w:right w:val="nil"/>
            </w:tcBorders>
            <w:hideMark/>
          </w:tcPr>
          <w:p w14:paraId="0B55425F" w14:textId="77777777" w:rsidR="00A74C68" w:rsidRPr="00471CBA" w:rsidRDefault="00A74C68" w:rsidP="00A74C68">
            <w:pPr>
              <w:jc w:val="right"/>
              <w:rPr>
                <w:b/>
                <w:bCs/>
                <w:color w:val="000000"/>
                <w:szCs w:val="20"/>
              </w:rPr>
            </w:pPr>
            <w:r w:rsidRPr="00471CBA">
              <w:rPr>
                <w:b/>
                <w:bCs/>
                <w:color w:val="000000"/>
                <w:szCs w:val="20"/>
              </w:rPr>
              <w:t>TP</w:t>
            </w:r>
          </w:p>
        </w:tc>
        <w:tc>
          <w:tcPr>
            <w:tcW w:w="624" w:type="pct"/>
            <w:tcBorders>
              <w:top w:val="nil"/>
              <w:left w:val="nil"/>
              <w:bottom w:val="single" w:sz="4" w:space="0" w:color="auto"/>
              <w:right w:val="nil"/>
            </w:tcBorders>
            <w:hideMark/>
          </w:tcPr>
          <w:p w14:paraId="60DFEEC8" w14:textId="77777777" w:rsidR="00A74C68" w:rsidRPr="00471CBA" w:rsidRDefault="00A74C68" w:rsidP="00A74C68">
            <w:pPr>
              <w:jc w:val="right"/>
              <w:rPr>
                <w:b/>
                <w:bCs/>
                <w:color w:val="000000"/>
                <w:szCs w:val="20"/>
              </w:rPr>
            </w:pPr>
            <w:r w:rsidRPr="00471CBA">
              <w:rPr>
                <w:b/>
                <w:bCs/>
                <w:color w:val="000000"/>
                <w:szCs w:val="20"/>
              </w:rPr>
              <w:t>YP</w:t>
            </w:r>
          </w:p>
        </w:tc>
      </w:tr>
      <w:tr w:rsidR="00A74C68" w:rsidRPr="00471CBA" w14:paraId="5D041A3D" w14:textId="77777777" w:rsidTr="00A74C68">
        <w:trPr>
          <w:divId w:val="774255538"/>
          <w:trHeight w:val="227"/>
        </w:trPr>
        <w:tc>
          <w:tcPr>
            <w:tcW w:w="2644" w:type="pct"/>
            <w:tcBorders>
              <w:top w:val="nil"/>
              <w:left w:val="nil"/>
              <w:bottom w:val="nil"/>
              <w:right w:val="nil"/>
            </w:tcBorders>
            <w:hideMark/>
          </w:tcPr>
          <w:p w14:paraId="4BC08685" w14:textId="77777777" w:rsidR="00A74C68" w:rsidRPr="00471CBA" w:rsidRDefault="00A74C68" w:rsidP="00A74C68">
            <w:pPr>
              <w:jc w:val="right"/>
              <w:rPr>
                <w:b/>
                <w:bCs/>
                <w:color w:val="000000"/>
                <w:szCs w:val="20"/>
              </w:rPr>
            </w:pPr>
          </w:p>
        </w:tc>
        <w:tc>
          <w:tcPr>
            <w:tcW w:w="613" w:type="pct"/>
            <w:tcBorders>
              <w:top w:val="nil"/>
              <w:left w:val="nil"/>
              <w:bottom w:val="nil"/>
              <w:right w:val="nil"/>
            </w:tcBorders>
            <w:hideMark/>
          </w:tcPr>
          <w:p w14:paraId="33F58285" w14:textId="77777777" w:rsidR="00A74C68" w:rsidRPr="00471CBA" w:rsidRDefault="00A74C68" w:rsidP="00A74C68">
            <w:pPr>
              <w:jc w:val="both"/>
              <w:rPr>
                <w:szCs w:val="20"/>
              </w:rPr>
            </w:pPr>
          </w:p>
        </w:tc>
        <w:tc>
          <w:tcPr>
            <w:tcW w:w="624" w:type="pct"/>
            <w:tcBorders>
              <w:top w:val="nil"/>
              <w:left w:val="nil"/>
              <w:bottom w:val="nil"/>
              <w:right w:val="nil"/>
            </w:tcBorders>
            <w:hideMark/>
          </w:tcPr>
          <w:p w14:paraId="6C9CF8DD" w14:textId="77777777" w:rsidR="00A74C68" w:rsidRPr="00471CBA" w:rsidRDefault="00A74C68" w:rsidP="00A74C68">
            <w:pPr>
              <w:jc w:val="right"/>
              <w:rPr>
                <w:szCs w:val="20"/>
              </w:rPr>
            </w:pPr>
          </w:p>
        </w:tc>
      </w:tr>
      <w:tr w:rsidR="00A74C68" w:rsidRPr="00471CBA" w14:paraId="4C8C978B" w14:textId="77777777" w:rsidTr="00A74C68">
        <w:trPr>
          <w:divId w:val="774255538"/>
          <w:trHeight w:val="227"/>
        </w:trPr>
        <w:tc>
          <w:tcPr>
            <w:tcW w:w="2644" w:type="pct"/>
            <w:tcBorders>
              <w:top w:val="nil"/>
              <w:left w:val="nil"/>
              <w:bottom w:val="nil"/>
              <w:right w:val="nil"/>
            </w:tcBorders>
            <w:vAlign w:val="bottom"/>
            <w:hideMark/>
          </w:tcPr>
          <w:p w14:paraId="016F7BFE" w14:textId="77777777" w:rsidR="00A74C68" w:rsidRPr="00471CBA" w:rsidRDefault="00A74C68" w:rsidP="00A74C68">
            <w:pPr>
              <w:rPr>
                <w:color w:val="000000"/>
                <w:szCs w:val="20"/>
              </w:rPr>
            </w:pPr>
            <w:r w:rsidRPr="00471CBA">
              <w:rPr>
                <w:color w:val="000000"/>
                <w:szCs w:val="20"/>
              </w:rPr>
              <w:t>Bankalara</w:t>
            </w:r>
          </w:p>
        </w:tc>
        <w:tc>
          <w:tcPr>
            <w:tcW w:w="613" w:type="pct"/>
            <w:tcBorders>
              <w:top w:val="nil"/>
              <w:left w:val="nil"/>
              <w:bottom w:val="nil"/>
              <w:right w:val="nil"/>
            </w:tcBorders>
            <w:noWrap/>
            <w:vAlign w:val="center"/>
            <w:hideMark/>
          </w:tcPr>
          <w:p w14:paraId="2CF46CFB" w14:textId="77777777" w:rsidR="00A74C68" w:rsidRPr="00471CBA" w:rsidRDefault="00A74C68" w:rsidP="00A74C68">
            <w:pPr>
              <w:jc w:val="right"/>
              <w:rPr>
                <w:color w:val="000000"/>
                <w:szCs w:val="20"/>
              </w:rPr>
            </w:pPr>
            <w:r w:rsidRPr="00471CBA">
              <w:rPr>
                <w:color w:val="000000"/>
                <w:szCs w:val="20"/>
              </w:rPr>
              <w:t>143.097</w:t>
            </w:r>
          </w:p>
        </w:tc>
        <w:tc>
          <w:tcPr>
            <w:tcW w:w="624" w:type="pct"/>
            <w:tcBorders>
              <w:top w:val="nil"/>
              <w:left w:val="nil"/>
              <w:bottom w:val="nil"/>
              <w:right w:val="nil"/>
            </w:tcBorders>
            <w:noWrap/>
            <w:vAlign w:val="center"/>
            <w:hideMark/>
          </w:tcPr>
          <w:p w14:paraId="3805AB62" w14:textId="77777777" w:rsidR="00A74C68" w:rsidRPr="00471CBA" w:rsidRDefault="00A74C68" w:rsidP="00A74C68">
            <w:pPr>
              <w:jc w:val="right"/>
              <w:rPr>
                <w:color w:val="000000"/>
                <w:szCs w:val="20"/>
              </w:rPr>
            </w:pPr>
            <w:r w:rsidRPr="00471CBA">
              <w:rPr>
                <w:color w:val="000000"/>
                <w:szCs w:val="20"/>
              </w:rPr>
              <w:t>85.410</w:t>
            </w:r>
          </w:p>
        </w:tc>
      </w:tr>
      <w:tr w:rsidR="00A74C68" w:rsidRPr="00471CBA" w14:paraId="7D3B6C23" w14:textId="77777777" w:rsidTr="00A74C68">
        <w:trPr>
          <w:divId w:val="774255538"/>
          <w:trHeight w:val="227"/>
        </w:trPr>
        <w:tc>
          <w:tcPr>
            <w:tcW w:w="2644" w:type="pct"/>
            <w:tcBorders>
              <w:top w:val="nil"/>
              <w:left w:val="nil"/>
              <w:bottom w:val="nil"/>
              <w:right w:val="nil"/>
            </w:tcBorders>
            <w:vAlign w:val="bottom"/>
            <w:hideMark/>
          </w:tcPr>
          <w:p w14:paraId="489E95D9" w14:textId="77777777" w:rsidR="00A74C68" w:rsidRPr="00471CBA" w:rsidRDefault="00A74C68" w:rsidP="00A74C68">
            <w:pPr>
              <w:ind w:firstLineChars="200" w:firstLine="400"/>
              <w:rPr>
                <w:color w:val="000000"/>
                <w:szCs w:val="20"/>
              </w:rPr>
            </w:pPr>
            <w:r w:rsidRPr="00471CBA">
              <w:rPr>
                <w:color w:val="000000"/>
                <w:szCs w:val="20"/>
              </w:rPr>
              <w:t>T.C. Merkez Bankasına</w:t>
            </w:r>
          </w:p>
        </w:tc>
        <w:tc>
          <w:tcPr>
            <w:tcW w:w="613" w:type="pct"/>
            <w:tcBorders>
              <w:top w:val="nil"/>
              <w:left w:val="nil"/>
              <w:bottom w:val="nil"/>
              <w:right w:val="nil"/>
            </w:tcBorders>
            <w:noWrap/>
            <w:vAlign w:val="center"/>
            <w:hideMark/>
          </w:tcPr>
          <w:p w14:paraId="06E78452" w14:textId="77777777" w:rsidR="00A74C68" w:rsidRPr="00471CBA" w:rsidRDefault="00A74C68" w:rsidP="00A74C68">
            <w:pPr>
              <w:jc w:val="right"/>
              <w:rPr>
                <w:color w:val="000000"/>
                <w:szCs w:val="20"/>
              </w:rPr>
            </w:pPr>
            <w:r w:rsidRPr="00471CBA">
              <w:rPr>
                <w:color w:val="000000"/>
                <w:szCs w:val="20"/>
              </w:rPr>
              <w:t>-</w:t>
            </w:r>
          </w:p>
        </w:tc>
        <w:tc>
          <w:tcPr>
            <w:tcW w:w="624" w:type="pct"/>
            <w:tcBorders>
              <w:top w:val="nil"/>
              <w:left w:val="nil"/>
              <w:bottom w:val="nil"/>
              <w:right w:val="nil"/>
            </w:tcBorders>
            <w:noWrap/>
            <w:vAlign w:val="center"/>
            <w:hideMark/>
          </w:tcPr>
          <w:p w14:paraId="7ACBF322" w14:textId="77777777" w:rsidR="00A74C68" w:rsidRPr="00471CBA" w:rsidRDefault="00A74C68" w:rsidP="00A74C68">
            <w:pPr>
              <w:jc w:val="right"/>
              <w:rPr>
                <w:color w:val="000000"/>
                <w:szCs w:val="20"/>
              </w:rPr>
            </w:pPr>
            <w:r w:rsidRPr="00471CBA">
              <w:rPr>
                <w:color w:val="000000"/>
                <w:szCs w:val="20"/>
              </w:rPr>
              <w:t>-</w:t>
            </w:r>
          </w:p>
        </w:tc>
      </w:tr>
      <w:tr w:rsidR="00A74C68" w:rsidRPr="00471CBA" w14:paraId="152263A9" w14:textId="77777777" w:rsidTr="00A74C68">
        <w:trPr>
          <w:divId w:val="774255538"/>
          <w:trHeight w:val="227"/>
        </w:trPr>
        <w:tc>
          <w:tcPr>
            <w:tcW w:w="2644" w:type="pct"/>
            <w:tcBorders>
              <w:top w:val="nil"/>
              <w:left w:val="nil"/>
              <w:bottom w:val="nil"/>
              <w:right w:val="nil"/>
            </w:tcBorders>
            <w:vAlign w:val="bottom"/>
            <w:hideMark/>
          </w:tcPr>
          <w:p w14:paraId="6BB0869B" w14:textId="77777777" w:rsidR="00A74C68" w:rsidRPr="00471CBA" w:rsidRDefault="00A74C68" w:rsidP="00A74C68">
            <w:pPr>
              <w:ind w:firstLineChars="200" w:firstLine="400"/>
              <w:rPr>
                <w:color w:val="000000"/>
                <w:szCs w:val="20"/>
              </w:rPr>
            </w:pPr>
            <w:r w:rsidRPr="00471CBA">
              <w:rPr>
                <w:color w:val="000000"/>
                <w:szCs w:val="20"/>
              </w:rPr>
              <w:t>Yurtiçi Bankalara</w:t>
            </w:r>
          </w:p>
        </w:tc>
        <w:tc>
          <w:tcPr>
            <w:tcW w:w="613" w:type="pct"/>
            <w:tcBorders>
              <w:top w:val="nil"/>
              <w:left w:val="nil"/>
              <w:bottom w:val="nil"/>
              <w:right w:val="nil"/>
            </w:tcBorders>
            <w:noWrap/>
            <w:vAlign w:val="center"/>
            <w:hideMark/>
          </w:tcPr>
          <w:p w14:paraId="6E28C6F1" w14:textId="77777777" w:rsidR="00A74C68" w:rsidRPr="00471CBA" w:rsidRDefault="00A74C68" w:rsidP="00A74C68">
            <w:pPr>
              <w:jc w:val="right"/>
              <w:rPr>
                <w:color w:val="000000"/>
                <w:szCs w:val="20"/>
              </w:rPr>
            </w:pPr>
            <w:r w:rsidRPr="00471CBA">
              <w:rPr>
                <w:color w:val="000000"/>
                <w:szCs w:val="20"/>
              </w:rPr>
              <w:t>143.097</w:t>
            </w:r>
          </w:p>
        </w:tc>
        <w:tc>
          <w:tcPr>
            <w:tcW w:w="624" w:type="pct"/>
            <w:tcBorders>
              <w:top w:val="nil"/>
              <w:left w:val="nil"/>
              <w:bottom w:val="nil"/>
              <w:right w:val="nil"/>
            </w:tcBorders>
            <w:noWrap/>
            <w:vAlign w:val="center"/>
            <w:hideMark/>
          </w:tcPr>
          <w:p w14:paraId="2D64F547" w14:textId="77777777" w:rsidR="00A74C68" w:rsidRPr="00471CBA" w:rsidRDefault="00A74C68" w:rsidP="00A74C68">
            <w:pPr>
              <w:jc w:val="right"/>
              <w:rPr>
                <w:color w:val="000000"/>
                <w:szCs w:val="20"/>
              </w:rPr>
            </w:pPr>
            <w:r w:rsidRPr="00471CBA">
              <w:rPr>
                <w:color w:val="000000"/>
                <w:szCs w:val="20"/>
              </w:rPr>
              <w:t>79.146</w:t>
            </w:r>
          </w:p>
        </w:tc>
      </w:tr>
      <w:tr w:rsidR="00A74C68" w:rsidRPr="00471CBA" w14:paraId="4582021E" w14:textId="77777777" w:rsidTr="00A74C68">
        <w:trPr>
          <w:divId w:val="774255538"/>
          <w:trHeight w:val="227"/>
        </w:trPr>
        <w:tc>
          <w:tcPr>
            <w:tcW w:w="2644" w:type="pct"/>
            <w:tcBorders>
              <w:top w:val="nil"/>
              <w:left w:val="nil"/>
              <w:bottom w:val="nil"/>
              <w:right w:val="nil"/>
            </w:tcBorders>
            <w:vAlign w:val="bottom"/>
            <w:hideMark/>
          </w:tcPr>
          <w:p w14:paraId="63560D14" w14:textId="77777777" w:rsidR="00A74C68" w:rsidRPr="00471CBA" w:rsidRDefault="00A74C68" w:rsidP="00A74C68">
            <w:pPr>
              <w:ind w:firstLineChars="200" w:firstLine="400"/>
              <w:rPr>
                <w:color w:val="000000"/>
                <w:szCs w:val="20"/>
              </w:rPr>
            </w:pPr>
            <w:r w:rsidRPr="00471CBA">
              <w:rPr>
                <w:color w:val="000000"/>
                <w:szCs w:val="20"/>
              </w:rPr>
              <w:t>Yurtdışı Bankalara</w:t>
            </w:r>
          </w:p>
        </w:tc>
        <w:tc>
          <w:tcPr>
            <w:tcW w:w="613" w:type="pct"/>
            <w:tcBorders>
              <w:top w:val="nil"/>
              <w:left w:val="nil"/>
              <w:bottom w:val="nil"/>
              <w:right w:val="nil"/>
            </w:tcBorders>
            <w:noWrap/>
            <w:vAlign w:val="center"/>
            <w:hideMark/>
          </w:tcPr>
          <w:p w14:paraId="7740AB6D" w14:textId="77777777" w:rsidR="00A74C68" w:rsidRPr="00471CBA" w:rsidRDefault="00A74C68" w:rsidP="00A74C68">
            <w:pPr>
              <w:jc w:val="right"/>
              <w:rPr>
                <w:color w:val="000000"/>
                <w:szCs w:val="20"/>
              </w:rPr>
            </w:pPr>
            <w:r w:rsidRPr="00471CBA">
              <w:rPr>
                <w:color w:val="000000"/>
                <w:szCs w:val="20"/>
              </w:rPr>
              <w:t>-</w:t>
            </w:r>
          </w:p>
        </w:tc>
        <w:tc>
          <w:tcPr>
            <w:tcW w:w="624" w:type="pct"/>
            <w:tcBorders>
              <w:top w:val="nil"/>
              <w:left w:val="nil"/>
              <w:bottom w:val="nil"/>
              <w:right w:val="nil"/>
            </w:tcBorders>
            <w:noWrap/>
            <w:vAlign w:val="center"/>
            <w:hideMark/>
          </w:tcPr>
          <w:p w14:paraId="06FD7BC6" w14:textId="77777777" w:rsidR="00A74C68" w:rsidRPr="00471CBA" w:rsidRDefault="00A74C68" w:rsidP="00A74C68">
            <w:pPr>
              <w:jc w:val="right"/>
              <w:rPr>
                <w:color w:val="000000"/>
                <w:szCs w:val="20"/>
              </w:rPr>
            </w:pPr>
            <w:r w:rsidRPr="00471CBA">
              <w:rPr>
                <w:color w:val="000000"/>
                <w:szCs w:val="20"/>
              </w:rPr>
              <w:t>6.264</w:t>
            </w:r>
          </w:p>
        </w:tc>
      </w:tr>
      <w:tr w:rsidR="00A74C68" w:rsidRPr="00471CBA" w14:paraId="3543F117" w14:textId="77777777" w:rsidTr="00A74C68">
        <w:trPr>
          <w:divId w:val="774255538"/>
          <w:trHeight w:val="227"/>
        </w:trPr>
        <w:tc>
          <w:tcPr>
            <w:tcW w:w="2644" w:type="pct"/>
            <w:tcBorders>
              <w:top w:val="nil"/>
              <w:left w:val="nil"/>
              <w:bottom w:val="nil"/>
              <w:right w:val="nil"/>
            </w:tcBorders>
            <w:vAlign w:val="bottom"/>
            <w:hideMark/>
          </w:tcPr>
          <w:p w14:paraId="279812AA" w14:textId="77777777" w:rsidR="00A74C68" w:rsidRPr="00471CBA" w:rsidRDefault="00A74C68" w:rsidP="00A74C68">
            <w:pPr>
              <w:ind w:firstLineChars="200" w:firstLine="400"/>
              <w:rPr>
                <w:color w:val="000000"/>
                <w:szCs w:val="20"/>
              </w:rPr>
            </w:pPr>
            <w:r w:rsidRPr="00471CBA">
              <w:rPr>
                <w:color w:val="000000"/>
                <w:szCs w:val="20"/>
              </w:rPr>
              <w:t>Yurtdışı Merkez ve Şubelere</w:t>
            </w:r>
          </w:p>
        </w:tc>
        <w:tc>
          <w:tcPr>
            <w:tcW w:w="613" w:type="pct"/>
            <w:tcBorders>
              <w:top w:val="nil"/>
              <w:left w:val="nil"/>
              <w:bottom w:val="nil"/>
              <w:right w:val="nil"/>
            </w:tcBorders>
            <w:noWrap/>
            <w:vAlign w:val="center"/>
            <w:hideMark/>
          </w:tcPr>
          <w:p w14:paraId="1010CE77" w14:textId="77777777" w:rsidR="00A74C68" w:rsidRPr="00471CBA" w:rsidRDefault="00A74C68" w:rsidP="00A74C68">
            <w:pPr>
              <w:jc w:val="right"/>
              <w:rPr>
                <w:color w:val="000000"/>
                <w:szCs w:val="20"/>
              </w:rPr>
            </w:pPr>
            <w:r w:rsidRPr="00471CBA">
              <w:rPr>
                <w:color w:val="000000"/>
                <w:szCs w:val="20"/>
              </w:rPr>
              <w:t>-</w:t>
            </w:r>
          </w:p>
        </w:tc>
        <w:tc>
          <w:tcPr>
            <w:tcW w:w="624" w:type="pct"/>
            <w:tcBorders>
              <w:top w:val="nil"/>
              <w:left w:val="nil"/>
              <w:bottom w:val="nil"/>
              <w:right w:val="nil"/>
            </w:tcBorders>
            <w:noWrap/>
            <w:vAlign w:val="center"/>
            <w:hideMark/>
          </w:tcPr>
          <w:p w14:paraId="6FCD6260" w14:textId="77777777" w:rsidR="00A74C68" w:rsidRPr="00471CBA" w:rsidRDefault="00A74C68" w:rsidP="00A74C68">
            <w:pPr>
              <w:jc w:val="right"/>
              <w:rPr>
                <w:color w:val="000000"/>
                <w:szCs w:val="20"/>
              </w:rPr>
            </w:pPr>
            <w:r w:rsidRPr="00471CBA">
              <w:rPr>
                <w:color w:val="000000"/>
                <w:szCs w:val="20"/>
              </w:rPr>
              <w:t>-</w:t>
            </w:r>
          </w:p>
        </w:tc>
      </w:tr>
      <w:tr w:rsidR="00A74C68" w:rsidRPr="00471CBA" w14:paraId="62EEAD30" w14:textId="77777777" w:rsidTr="00A74C68">
        <w:trPr>
          <w:divId w:val="774255538"/>
          <w:trHeight w:val="227"/>
        </w:trPr>
        <w:tc>
          <w:tcPr>
            <w:tcW w:w="2644" w:type="pct"/>
            <w:tcBorders>
              <w:top w:val="nil"/>
              <w:left w:val="nil"/>
              <w:bottom w:val="single" w:sz="4" w:space="0" w:color="auto"/>
              <w:right w:val="nil"/>
            </w:tcBorders>
            <w:hideMark/>
          </w:tcPr>
          <w:p w14:paraId="0A84CEB5" w14:textId="77777777" w:rsidR="00A74C68" w:rsidRPr="00471CBA" w:rsidRDefault="00A74C68" w:rsidP="00A74C68">
            <w:pPr>
              <w:jc w:val="both"/>
              <w:rPr>
                <w:color w:val="000000"/>
                <w:szCs w:val="20"/>
              </w:rPr>
            </w:pPr>
            <w:r w:rsidRPr="00471CBA">
              <w:rPr>
                <w:color w:val="000000"/>
                <w:szCs w:val="20"/>
              </w:rPr>
              <w:t xml:space="preserve">Diğer kuruluşlara </w:t>
            </w:r>
          </w:p>
        </w:tc>
        <w:tc>
          <w:tcPr>
            <w:tcW w:w="613" w:type="pct"/>
            <w:tcBorders>
              <w:top w:val="nil"/>
              <w:left w:val="nil"/>
              <w:bottom w:val="single" w:sz="4" w:space="0" w:color="auto"/>
              <w:right w:val="nil"/>
            </w:tcBorders>
            <w:noWrap/>
            <w:vAlign w:val="center"/>
            <w:hideMark/>
          </w:tcPr>
          <w:p w14:paraId="23FAB6F2" w14:textId="77777777" w:rsidR="00A74C68" w:rsidRPr="00471CBA" w:rsidRDefault="00A74C68" w:rsidP="00A74C68">
            <w:pPr>
              <w:jc w:val="right"/>
              <w:rPr>
                <w:color w:val="000000"/>
                <w:szCs w:val="20"/>
              </w:rPr>
            </w:pPr>
            <w:r w:rsidRPr="00471CBA">
              <w:rPr>
                <w:color w:val="000000"/>
                <w:szCs w:val="20"/>
              </w:rPr>
              <w:t>194.770</w:t>
            </w:r>
          </w:p>
        </w:tc>
        <w:tc>
          <w:tcPr>
            <w:tcW w:w="624" w:type="pct"/>
            <w:tcBorders>
              <w:top w:val="nil"/>
              <w:left w:val="nil"/>
              <w:bottom w:val="single" w:sz="4" w:space="0" w:color="auto"/>
              <w:right w:val="nil"/>
            </w:tcBorders>
            <w:noWrap/>
            <w:vAlign w:val="center"/>
            <w:hideMark/>
          </w:tcPr>
          <w:p w14:paraId="64491670" w14:textId="77777777" w:rsidR="00A74C68" w:rsidRPr="00471CBA" w:rsidRDefault="00A74C68" w:rsidP="00A74C68">
            <w:pPr>
              <w:jc w:val="right"/>
              <w:rPr>
                <w:color w:val="000000"/>
                <w:szCs w:val="20"/>
              </w:rPr>
            </w:pPr>
            <w:r w:rsidRPr="00471CBA">
              <w:rPr>
                <w:color w:val="000000"/>
                <w:szCs w:val="20"/>
              </w:rPr>
              <w:t>-</w:t>
            </w:r>
          </w:p>
        </w:tc>
      </w:tr>
      <w:tr w:rsidR="00A74C68" w:rsidRPr="00471CBA" w14:paraId="444F9B04" w14:textId="77777777" w:rsidTr="00A74C68">
        <w:trPr>
          <w:divId w:val="774255538"/>
          <w:trHeight w:val="227"/>
        </w:trPr>
        <w:tc>
          <w:tcPr>
            <w:tcW w:w="2644" w:type="pct"/>
            <w:tcBorders>
              <w:top w:val="nil"/>
              <w:left w:val="nil"/>
              <w:right w:val="nil"/>
            </w:tcBorders>
            <w:hideMark/>
          </w:tcPr>
          <w:p w14:paraId="7976F6DB" w14:textId="77777777" w:rsidR="00A74C68" w:rsidRPr="00471CBA" w:rsidRDefault="00A74C68" w:rsidP="00A74C68">
            <w:pPr>
              <w:jc w:val="right"/>
              <w:rPr>
                <w:color w:val="000000"/>
                <w:szCs w:val="20"/>
              </w:rPr>
            </w:pPr>
          </w:p>
        </w:tc>
        <w:tc>
          <w:tcPr>
            <w:tcW w:w="613" w:type="pct"/>
            <w:tcBorders>
              <w:top w:val="nil"/>
              <w:left w:val="nil"/>
              <w:right w:val="nil"/>
            </w:tcBorders>
            <w:vAlign w:val="center"/>
            <w:hideMark/>
          </w:tcPr>
          <w:p w14:paraId="63E92964" w14:textId="77777777" w:rsidR="00A74C68" w:rsidRPr="00471CBA" w:rsidRDefault="00A74C68" w:rsidP="00A74C68">
            <w:pPr>
              <w:jc w:val="both"/>
              <w:rPr>
                <w:szCs w:val="20"/>
              </w:rPr>
            </w:pPr>
          </w:p>
        </w:tc>
        <w:tc>
          <w:tcPr>
            <w:tcW w:w="624" w:type="pct"/>
            <w:tcBorders>
              <w:top w:val="nil"/>
              <w:left w:val="nil"/>
              <w:right w:val="nil"/>
            </w:tcBorders>
            <w:vAlign w:val="center"/>
            <w:hideMark/>
          </w:tcPr>
          <w:p w14:paraId="02E5C8A9" w14:textId="77777777" w:rsidR="00A74C68" w:rsidRPr="00471CBA" w:rsidRDefault="00A74C68" w:rsidP="00A74C68">
            <w:pPr>
              <w:jc w:val="right"/>
              <w:rPr>
                <w:szCs w:val="20"/>
              </w:rPr>
            </w:pPr>
          </w:p>
        </w:tc>
      </w:tr>
      <w:tr w:rsidR="00A74C68" w:rsidRPr="00471CBA" w14:paraId="0A0FD78F" w14:textId="77777777" w:rsidTr="00A74C68">
        <w:trPr>
          <w:divId w:val="774255538"/>
          <w:trHeight w:val="227"/>
        </w:trPr>
        <w:tc>
          <w:tcPr>
            <w:tcW w:w="2644" w:type="pct"/>
            <w:tcBorders>
              <w:top w:val="nil"/>
              <w:left w:val="nil"/>
              <w:bottom w:val="single" w:sz="12" w:space="0" w:color="auto"/>
              <w:right w:val="nil"/>
            </w:tcBorders>
            <w:vAlign w:val="center"/>
            <w:hideMark/>
          </w:tcPr>
          <w:p w14:paraId="3CFAB4F5" w14:textId="77777777" w:rsidR="00A74C68" w:rsidRPr="00471CBA" w:rsidRDefault="00A74C68" w:rsidP="00A74C68">
            <w:pPr>
              <w:jc w:val="both"/>
              <w:rPr>
                <w:b/>
                <w:bCs/>
                <w:color w:val="000000"/>
                <w:szCs w:val="20"/>
              </w:rPr>
            </w:pPr>
            <w:r w:rsidRPr="00471CBA">
              <w:rPr>
                <w:b/>
                <w:bCs/>
                <w:color w:val="000000"/>
                <w:szCs w:val="20"/>
              </w:rPr>
              <w:t>Toplam</w:t>
            </w:r>
          </w:p>
        </w:tc>
        <w:tc>
          <w:tcPr>
            <w:tcW w:w="613" w:type="pct"/>
            <w:tcBorders>
              <w:top w:val="nil"/>
              <w:left w:val="nil"/>
              <w:bottom w:val="single" w:sz="12" w:space="0" w:color="auto"/>
              <w:right w:val="nil"/>
            </w:tcBorders>
            <w:noWrap/>
            <w:vAlign w:val="center"/>
            <w:hideMark/>
          </w:tcPr>
          <w:p w14:paraId="78FCF6F0" w14:textId="77777777" w:rsidR="00A74C68" w:rsidRPr="00471CBA" w:rsidRDefault="00A74C68" w:rsidP="00A74C68">
            <w:pPr>
              <w:jc w:val="right"/>
              <w:rPr>
                <w:b/>
                <w:bCs/>
                <w:color w:val="000000"/>
                <w:szCs w:val="20"/>
              </w:rPr>
            </w:pPr>
            <w:r w:rsidRPr="00471CBA">
              <w:rPr>
                <w:b/>
                <w:bCs/>
                <w:color w:val="000000"/>
                <w:szCs w:val="20"/>
              </w:rPr>
              <w:t>337.867</w:t>
            </w:r>
          </w:p>
        </w:tc>
        <w:tc>
          <w:tcPr>
            <w:tcW w:w="624" w:type="pct"/>
            <w:tcBorders>
              <w:top w:val="nil"/>
              <w:left w:val="nil"/>
              <w:bottom w:val="single" w:sz="12" w:space="0" w:color="auto"/>
              <w:right w:val="nil"/>
            </w:tcBorders>
            <w:noWrap/>
            <w:vAlign w:val="center"/>
            <w:hideMark/>
          </w:tcPr>
          <w:p w14:paraId="1B9A5086" w14:textId="77777777" w:rsidR="00A74C68" w:rsidRPr="00471CBA" w:rsidRDefault="00A74C68" w:rsidP="00A74C68">
            <w:pPr>
              <w:jc w:val="right"/>
              <w:rPr>
                <w:b/>
                <w:bCs/>
                <w:color w:val="000000"/>
                <w:szCs w:val="20"/>
              </w:rPr>
            </w:pPr>
            <w:r w:rsidRPr="00471CBA">
              <w:rPr>
                <w:b/>
                <w:bCs/>
                <w:color w:val="000000"/>
                <w:szCs w:val="20"/>
              </w:rPr>
              <w:t>85.410</w:t>
            </w:r>
          </w:p>
        </w:tc>
      </w:tr>
    </w:tbl>
    <w:p w14:paraId="66C66D81" w14:textId="165FE00B" w:rsidR="00000466" w:rsidRPr="00471CBA" w:rsidRDefault="00000466" w:rsidP="00000466">
      <w:pPr>
        <w:widowControl w:val="0"/>
        <w:ind w:left="56" w:hanging="560"/>
        <w:jc w:val="both"/>
        <w:rPr>
          <w:b/>
          <w:sz w:val="16"/>
          <w:szCs w:val="16"/>
        </w:rPr>
      </w:pPr>
    </w:p>
    <w:tbl>
      <w:tblPr>
        <w:tblW w:w="4998" w:type="pct"/>
        <w:tblCellMar>
          <w:left w:w="70" w:type="dxa"/>
          <w:right w:w="70" w:type="dxa"/>
        </w:tblCellMar>
        <w:tblLook w:val="04A0" w:firstRow="1" w:lastRow="0" w:firstColumn="1" w:lastColumn="0" w:noHBand="0" w:noVBand="1"/>
      </w:tblPr>
      <w:tblGrid>
        <w:gridCol w:w="6355"/>
        <w:gridCol w:w="1485"/>
        <w:gridCol w:w="1511"/>
      </w:tblGrid>
      <w:tr w:rsidR="00161613" w:rsidRPr="00471CBA" w14:paraId="726128BF" w14:textId="77777777" w:rsidTr="000D24B7">
        <w:trPr>
          <w:trHeight w:val="227"/>
        </w:trPr>
        <w:tc>
          <w:tcPr>
            <w:tcW w:w="3398" w:type="pct"/>
            <w:tcBorders>
              <w:top w:val="nil"/>
              <w:left w:val="nil"/>
              <w:bottom w:val="nil"/>
              <w:right w:val="nil"/>
            </w:tcBorders>
            <w:hideMark/>
          </w:tcPr>
          <w:p w14:paraId="542FFFD3" w14:textId="77777777" w:rsidR="00161613" w:rsidRPr="00471CBA" w:rsidRDefault="00161613" w:rsidP="00026ED2">
            <w:pPr>
              <w:rPr>
                <w:szCs w:val="20"/>
              </w:rPr>
            </w:pPr>
          </w:p>
        </w:tc>
        <w:tc>
          <w:tcPr>
            <w:tcW w:w="1602" w:type="pct"/>
            <w:gridSpan w:val="2"/>
            <w:tcBorders>
              <w:top w:val="nil"/>
              <w:left w:val="nil"/>
              <w:bottom w:val="single" w:sz="4" w:space="0" w:color="auto"/>
              <w:right w:val="nil"/>
            </w:tcBorders>
            <w:noWrap/>
            <w:vAlign w:val="bottom"/>
            <w:hideMark/>
          </w:tcPr>
          <w:p w14:paraId="6081E5FE" w14:textId="4215D620" w:rsidR="00161613" w:rsidRPr="00471CBA" w:rsidRDefault="000D24B7" w:rsidP="00026ED2">
            <w:pPr>
              <w:jc w:val="center"/>
              <w:rPr>
                <w:b/>
                <w:bCs/>
                <w:color w:val="000000"/>
                <w:szCs w:val="20"/>
                <w:lang w:eastAsia="tr-TR"/>
              </w:rPr>
            </w:pPr>
            <w:r w:rsidRPr="00471CBA">
              <w:rPr>
                <w:b/>
                <w:bCs/>
                <w:color w:val="000000"/>
                <w:szCs w:val="20"/>
                <w:lang w:eastAsia="tr-TR"/>
              </w:rPr>
              <w:t>1 Ocak - 31 Aralık 2024</w:t>
            </w:r>
            <w:r w:rsidRPr="00471CBA">
              <w:rPr>
                <w:b/>
                <w:bCs/>
                <w:color w:val="000000"/>
                <w:szCs w:val="20"/>
                <w:lang w:eastAsia="tr-TR"/>
              </w:rPr>
              <w:tab/>
            </w:r>
          </w:p>
        </w:tc>
      </w:tr>
      <w:tr w:rsidR="00161613" w:rsidRPr="00471CBA" w14:paraId="702ABA22" w14:textId="77777777" w:rsidTr="000D24B7">
        <w:trPr>
          <w:trHeight w:val="227"/>
        </w:trPr>
        <w:tc>
          <w:tcPr>
            <w:tcW w:w="3398" w:type="pct"/>
            <w:tcBorders>
              <w:top w:val="nil"/>
              <w:left w:val="nil"/>
              <w:bottom w:val="single" w:sz="4" w:space="0" w:color="auto"/>
              <w:right w:val="nil"/>
            </w:tcBorders>
            <w:hideMark/>
          </w:tcPr>
          <w:p w14:paraId="146521AC" w14:textId="77777777" w:rsidR="00161613" w:rsidRPr="00471CBA" w:rsidRDefault="00161613" w:rsidP="00026ED2">
            <w:pPr>
              <w:jc w:val="both"/>
              <w:rPr>
                <w:color w:val="000000"/>
                <w:szCs w:val="20"/>
              </w:rPr>
            </w:pPr>
            <w:r w:rsidRPr="00471CBA">
              <w:rPr>
                <w:color w:val="000000"/>
                <w:szCs w:val="20"/>
              </w:rPr>
              <w:t> </w:t>
            </w:r>
          </w:p>
        </w:tc>
        <w:tc>
          <w:tcPr>
            <w:tcW w:w="794" w:type="pct"/>
            <w:tcBorders>
              <w:top w:val="nil"/>
              <w:left w:val="nil"/>
              <w:bottom w:val="single" w:sz="4" w:space="0" w:color="auto"/>
              <w:right w:val="nil"/>
            </w:tcBorders>
            <w:hideMark/>
          </w:tcPr>
          <w:p w14:paraId="73FD3987" w14:textId="77777777" w:rsidR="00161613" w:rsidRPr="00471CBA" w:rsidRDefault="00161613" w:rsidP="00026ED2">
            <w:pPr>
              <w:jc w:val="right"/>
              <w:rPr>
                <w:b/>
                <w:bCs/>
                <w:color w:val="000000"/>
                <w:szCs w:val="20"/>
                <w:lang w:eastAsia="tr-TR"/>
              </w:rPr>
            </w:pPr>
            <w:r w:rsidRPr="00471CBA">
              <w:rPr>
                <w:b/>
                <w:bCs/>
                <w:color w:val="000000"/>
                <w:szCs w:val="20"/>
                <w:lang w:eastAsia="tr-TR"/>
              </w:rPr>
              <w:t>TP</w:t>
            </w:r>
          </w:p>
        </w:tc>
        <w:tc>
          <w:tcPr>
            <w:tcW w:w="808" w:type="pct"/>
            <w:tcBorders>
              <w:top w:val="nil"/>
              <w:left w:val="nil"/>
              <w:bottom w:val="single" w:sz="4" w:space="0" w:color="auto"/>
              <w:right w:val="nil"/>
            </w:tcBorders>
            <w:hideMark/>
          </w:tcPr>
          <w:p w14:paraId="5494EBE6" w14:textId="77777777" w:rsidR="00161613" w:rsidRPr="00471CBA" w:rsidRDefault="00161613" w:rsidP="00026ED2">
            <w:pPr>
              <w:jc w:val="right"/>
              <w:rPr>
                <w:b/>
                <w:bCs/>
                <w:color w:val="000000"/>
                <w:szCs w:val="20"/>
                <w:lang w:eastAsia="tr-TR"/>
              </w:rPr>
            </w:pPr>
            <w:r w:rsidRPr="00471CBA">
              <w:rPr>
                <w:b/>
                <w:bCs/>
                <w:color w:val="000000"/>
                <w:szCs w:val="20"/>
                <w:lang w:eastAsia="tr-TR"/>
              </w:rPr>
              <w:t>YP</w:t>
            </w:r>
          </w:p>
        </w:tc>
      </w:tr>
      <w:tr w:rsidR="00161613" w:rsidRPr="00471CBA" w14:paraId="4CDFBA1E" w14:textId="77777777" w:rsidTr="000D24B7">
        <w:trPr>
          <w:trHeight w:val="227"/>
        </w:trPr>
        <w:tc>
          <w:tcPr>
            <w:tcW w:w="3398" w:type="pct"/>
            <w:tcBorders>
              <w:top w:val="nil"/>
              <w:left w:val="nil"/>
              <w:bottom w:val="nil"/>
              <w:right w:val="nil"/>
            </w:tcBorders>
            <w:hideMark/>
          </w:tcPr>
          <w:p w14:paraId="3233938D" w14:textId="77777777" w:rsidR="00161613" w:rsidRPr="00471CBA" w:rsidRDefault="00161613" w:rsidP="00026ED2">
            <w:pPr>
              <w:jc w:val="right"/>
              <w:rPr>
                <w:b/>
                <w:bCs/>
                <w:color w:val="000000"/>
                <w:szCs w:val="20"/>
              </w:rPr>
            </w:pPr>
          </w:p>
        </w:tc>
        <w:tc>
          <w:tcPr>
            <w:tcW w:w="794" w:type="pct"/>
            <w:tcBorders>
              <w:top w:val="nil"/>
              <w:left w:val="nil"/>
              <w:bottom w:val="nil"/>
              <w:right w:val="nil"/>
            </w:tcBorders>
            <w:hideMark/>
          </w:tcPr>
          <w:p w14:paraId="74F45245" w14:textId="77777777" w:rsidR="00161613" w:rsidRPr="00471CBA" w:rsidRDefault="00161613" w:rsidP="00026ED2">
            <w:pPr>
              <w:jc w:val="right"/>
              <w:rPr>
                <w:szCs w:val="20"/>
                <w:lang w:eastAsia="tr-TR"/>
              </w:rPr>
            </w:pPr>
          </w:p>
        </w:tc>
        <w:tc>
          <w:tcPr>
            <w:tcW w:w="808" w:type="pct"/>
            <w:tcBorders>
              <w:top w:val="nil"/>
              <w:left w:val="nil"/>
              <w:bottom w:val="nil"/>
              <w:right w:val="nil"/>
            </w:tcBorders>
            <w:hideMark/>
          </w:tcPr>
          <w:p w14:paraId="5C052816" w14:textId="77777777" w:rsidR="00161613" w:rsidRPr="00471CBA" w:rsidRDefault="00161613" w:rsidP="00026ED2">
            <w:pPr>
              <w:jc w:val="right"/>
              <w:rPr>
                <w:szCs w:val="20"/>
                <w:lang w:eastAsia="tr-TR"/>
              </w:rPr>
            </w:pPr>
          </w:p>
        </w:tc>
      </w:tr>
      <w:tr w:rsidR="000D24B7" w:rsidRPr="00471CBA" w14:paraId="4FDF0B3F" w14:textId="77777777" w:rsidTr="000D24B7">
        <w:trPr>
          <w:trHeight w:val="227"/>
        </w:trPr>
        <w:tc>
          <w:tcPr>
            <w:tcW w:w="3398" w:type="pct"/>
            <w:tcBorders>
              <w:top w:val="nil"/>
              <w:left w:val="nil"/>
              <w:bottom w:val="nil"/>
              <w:right w:val="nil"/>
            </w:tcBorders>
            <w:vAlign w:val="bottom"/>
            <w:hideMark/>
          </w:tcPr>
          <w:p w14:paraId="3DF400D7" w14:textId="77777777" w:rsidR="000D24B7" w:rsidRPr="00471CBA" w:rsidRDefault="000D24B7" w:rsidP="000D24B7">
            <w:pPr>
              <w:rPr>
                <w:color w:val="000000"/>
                <w:szCs w:val="20"/>
              </w:rPr>
            </w:pPr>
            <w:r w:rsidRPr="00471CBA">
              <w:rPr>
                <w:color w:val="000000"/>
                <w:szCs w:val="20"/>
              </w:rPr>
              <w:t>Bankalara</w:t>
            </w:r>
          </w:p>
        </w:tc>
        <w:tc>
          <w:tcPr>
            <w:tcW w:w="794" w:type="pct"/>
            <w:tcBorders>
              <w:top w:val="nil"/>
              <w:left w:val="nil"/>
              <w:bottom w:val="nil"/>
              <w:right w:val="nil"/>
            </w:tcBorders>
            <w:noWrap/>
            <w:hideMark/>
          </w:tcPr>
          <w:p w14:paraId="3E0BE51C" w14:textId="0B7308C3" w:rsidR="000D24B7" w:rsidRPr="00471CBA" w:rsidRDefault="000D24B7" w:rsidP="000D24B7">
            <w:pPr>
              <w:jc w:val="right"/>
              <w:rPr>
                <w:color w:val="000000"/>
                <w:szCs w:val="20"/>
                <w:lang w:eastAsia="tr-TR"/>
              </w:rPr>
            </w:pPr>
            <w:r w:rsidRPr="00471CBA">
              <w:t>-</w:t>
            </w:r>
          </w:p>
        </w:tc>
        <w:tc>
          <w:tcPr>
            <w:tcW w:w="808" w:type="pct"/>
            <w:tcBorders>
              <w:top w:val="nil"/>
              <w:left w:val="nil"/>
              <w:bottom w:val="nil"/>
              <w:right w:val="nil"/>
            </w:tcBorders>
            <w:noWrap/>
            <w:hideMark/>
          </w:tcPr>
          <w:p w14:paraId="69612BED" w14:textId="16AE80EB" w:rsidR="000D24B7" w:rsidRPr="00471CBA" w:rsidRDefault="000D24B7" w:rsidP="000D24B7">
            <w:pPr>
              <w:jc w:val="right"/>
              <w:rPr>
                <w:color w:val="000000"/>
                <w:szCs w:val="20"/>
                <w:lang w:eastAsia="tr-TR"/>
              </w:rPr>
            </w:pPr>
            <w:r w:rsidRPr="00471CBA">
              <w:t>14.695</w:t>
            </w:r>
          </w:p>
        </w:tc>
      </w:tr>
      <w:tr w:rsidR="000D24B7" w:rsidRPr="00471CBA" w14:paraId="23481930" w14:textId="77777777" w:rsidTr="000D24B7">
        <w:trPr>
          <w:trHeight w:val="227"/>
        </w:trPr>
        <w:tc>
          <w:tcPr>
            <w:tcW w:w="3398" w:type="pct"/>
            <w:tcBorders>
              <w:top w:val="nil"/>
              <w:left w:val="nil"/>
              <w:bottom w:val="nil"/>
              <w:right w:val="nil"/>
            </w:tcBorders>
            <w:vAlign w:val="bottom"/>
            <w:hideMark/>
          </w:tcPr>
          <w:p w14:paraId="3ABF5C29" w14:textId="77777777" w:rsidR="000D24B7" w:rsidRPr="00471CBA" w:rsidRDefault="000D24B7" w:rsidP="000D24B7">
            <w:pPr>
              <w:ind w:firstLineChars="200" w:firstLine="400"/>
              <w:rPr>
                <w:color w:val="000000"/>
                <w:szCs w:val="20"/>
              </w:rPr>
            </w:pPr>
            <w:r w:rsidRPr="00471CBA">
              <w:rPr>
                <w:color w:val="000000"/>
                <w:szCs w:val="20"/>
              </w:rPr>
              <w:t>T.C. Merkez Bankasına</w:t>
            </w:r>
          </w:p>
        </w:tc>
        <w:tc>
          <w:tcPr>
            <w:tcW w:w="794" w:type="pct"/>
            <w:tcBorders>
              <w:top w:val="nil"/>
              <w:left w:val="nil"/>
              <w:bottom w:val="nil"/>
              <w:right w:val="nil"/>
            </w:tcBorders>
            <w:noWrap/>
            <w:hideMark/>
          </w:tcPr>
          <w:p w14:paraId="15260E1E" w14:textId="3B413F1A" w:rsidR="000D24B7" w:rsidRPr="00471CBA" w:rsidRDefault="000D24B7" w:rsidP="000D24B7">
            <w:pPr>
              <w:jc w:val="right"/>
              <w:rPr>
                <w:color w:val="000000"/>
                <w:szCs w:val="20"/>
                <w:lang w:eastAsia="tr-TR"/>
              </w:rPr>
            </w:pPr>
            <w:r w:rsidRPr="00471CBA">
              <w:t>-</w:t>
            </w:r>
          </w:p>
        </w:tc>
        <w:tc>
          <w:tcPr>
            <w:tcW w:w="808" w:type="pct"/>
            <w:tcBorders>
              <w:top w:val="nil"/>
              <w:left w:val="nil"/>
              <w:bottom w:val="nil"/>
              <w:right w:val="nil"/>
            </w:tcBorders>
            <w:noWrap/>
            <w:hideMark/>
          </w:tcPr>
          <w:p w14:paraId="6FF84A52" w14:textId="1C33DF80" w:rsidR="000D24B7" w:rsidRPr="00471CBA" w:rsidRDefault="000D24B7" w:rsidP="000D24B7">
            <w:pPr>
              <w:jc w:val="right"/>
              <w:rPr>
                <w:color w:val="000000"/>
                <w:szCs w:val="20"/>
                <w:lang w:eastAsia="tr-TR"/>
              </w:rPr>
            </w:pPr>
            <w:r w:rsidRPr="00471CBA">
              <w:t>-</w:t>
            </w:r>
          </w:p>
        </w:tc>
      </w:tr>
      <w:tr w:rsidR="000D24B7" w:rsidRPr="00471CBA" w14:paraId="4581B72C" w14:textId="77777777" w:rsidTr="000D24B7">
        <w:trPr>
          <w:trHeight w:val="227"/>
        </w:trPr>
        <w:tc>
          <w:tcPr>
            <w:tcW w:w="3398" w:type="pct"/>
            <w:tcBorders>
              <w:top w:val="nil"/>
              <w:left w:val="nil"/>
              <w:bottom w:val="nil"/>
              <w:right w:val="nil"/>
            </w:tcBorders>
            <w:vAlign w:val="bottom"/>
            <w:hideMark/>
          </w:tcPr>
          <w:p w14:paraId="1FFB0169" w14:textId="77777777" w:rsidR="000D24B7" w:rsidRPr="00471CBA" w:rsidRDefault="000D24B7" w:rsidP="000D24B7">
            <w:pPr>
              <w:ind w:firstLineChars="200" w:firstLine="400"/>
              <w:rPr>
                <w:color w:val="000000"/>
                <w:szCs w:val="20"/>
              </w:rPr>
            </w:pPr>
            <w:r w:rsidRPr="00471CBA">
              <w:rPr>
                <w:color w:val="000000"/>
                <w:szCs w:val="20"/>
              </w:rPr>
              <w:t>Yurtiçi Bankalara</w:t>
            </w:r>
          </w:p>
        </w:tc>
        <w:tc>
          <w:tcPr>
            <w:tcW w:w="794" w:type="pct"/>
            <w:tcBorders>
              <w:top w:val="nil"/>
              <w:left w:val="nil"/>
              <w:bottom w:val="nil"/>
              <w:right w:val="nil"/>
            </w:tcBorders>
            <w:noWrap/>
            <w:hideMark/>
          </w:tcPr>
          <w:p w14:paraId="47004186" w14:textId="0458E7AD" w:rsidR="000D24B7" w:rsidRPr="00471CBA" w:rsidRDefault="000D24B7" w:rsidP="000D24B7">
            <w:pPr>
              <w:jc w:val="right"/>
              <w:rPr>
                <w:color w:val="000000"/>
                <w:szCs w:val="20"/>
                <w:lang w:eastAsia="tr-TR"/>
              </w:rPr>
            </w:pPr>
            <w:r w:rsidRPr="00471CBA">
              <w:t>-</w:t>
            </w:r>
          </w:p>
        </w:tc>
        <w:tc>
          <w:tcPr>
            <w:tcW w:w="808" w:type="pct"/>
            <w:tcBorders>
              <w:top w:val="nil"/>
              <w:left w:val="nil"/>
              <w:bottom w:val="nil"/>
              <w:right w:val="nil"/>
            </w:tcBorders>
            <w:noWrap/>
            <w:hideMark/>
          </w:tcPr>
          <w:p w14:paraId="6FDE7D81" w14:textId="17767522" w:rsidR="000D24B7" w:rsidRPr="00471CBA" w:rsidRDefault="000D24B7" w:rsidP="000D24B7">
            <w:pPr>
              <w:jc w:val="right"/>
              <w:rPr>
                <w:color w:val="000000"/>
                <w:szCs w:val="20"/>
                <w:lang w:eastAsia="tr-TR"/>
              </w:rPr>
            </w:pPr>
            <w:r w:rsidRPr="00471CBA">
              <w:t>14.695</w:t>
            </w:r>
          </w:p>
        </w:tc>
      </w:tr>
      <w:tr w:rsidR="000D24B7" w:rsidRPr="00471CBA" w14:paraId="37B29C9A" w14:textId="77777777" w:rsidTr="000D24B7">
        <w:trPr>
          <w:trHeight w:val="227"/>
        </w:trPr>
        <w:tc>
          <w:tcPr>
            <w:tcW w:w="3398" w:type="pct"/>
            <w:tcBorders>
              <w:top w:val="nil"/>
              <w:left w:val="nil"/>
              <w:bottom w:val="nil"/>
              <w:right w:val="nil"/>
            </w:tcBorders>
            <w:vAlign w:val="bottom"/>
            <w:hideMark/>
          </w:tcPr>
          <w:p w14:paraId="1C5CEFD3" w14:textId="77777777" w:rsidR="000D24B7" w:rsidRPr="00471CBA" w:rsidRDefault="000D24B7" w:rsidP="000D24B7">
            <w:pPr>
              <w:ind w:firstLineChars="200" w:firstLine="400"/>
              <w:rPr>
                <w:color w:val="000000"/>
                <w:szCs w:val="20"/>
              </w:rPr>
            </w:pPr>
            <w:r w:rsidRPr="00471CBA">
              <w:rPr>
                <w:color w:val="000000"/>
                <w:szCs w:val="20"/>
              </w:rPr>
              <w:t>Yurtdışı Bankalara</w:t>
            </w:r>
          </w:p>
        </w:tc>
        <w:tc>
          <w:tcPr>
            <w:tcW w:w="794" w:type="pct"/>
            <w:tcBorders>
              <w:top w:val="nil"/>
              <w:left w:val="nil"/>
              <w:bottom w:val="nil"/>
              <w:right w:val="nil"/>
            </w:tcBorders>
            <w:noWrap/>
            <w:hideMark/>
          </w:tcPr>
          <w:p w14:paraId="16D83BD6" w14:textId="3F509C63" w:rsidR="000D24B7" w:rsidRPr="00471CBA" w:rsidRDefault="000D24B7" w:rsidP="000D24B7">
            <w:pPr>
              <w:jc w:val="right"/>
              <w:rPr>
                <w:color w:val="000000"/>
                <w:szCs w:val="20"/>
                <w:lang w:eastAsia="tr-TR"/>
              </w:rPr>
            </w:pPr>
            <w:r w:rsidRPr="00471CBA">
              <w:t>-</w:t>
            </w:r>
          </w:p>
        </w:tc>
        <w:tc>
          <w:tcPr>
            <w:tcW w:w="808" w:type="pct"/>
            <w:tcBorders>
              <w:top w:val="nil"/>
              <w:left w:val="nil"/>
              <w:bottom w:val="nil"/>
              <w:right w:val="nil"/>
            </w:tcBorders>
            <w:noWrap/>
            <w:hideMark/>
          </w:tcPr>
          <w:p w14:paraId="007C32B9" w14:textId="2DECDC89" w:rsidR="000D24B7" w:rsidRPr="00471CBA" w:rsidRDefault="000D24B7" w:rsidP="000D24B7">
            <w:pPr>
              <w:jc w:val="right"/>
              <w:rPr>
                <w:color w:val="000000"/>
                <w:szCs w:val="20"/>
                <w:lang w:eastAsia="tr-TR"/>
              </w:rPr>
            </w:pPr>
            <w:r w:rsidRPr="00471CBA">
              <w:t>-</w:t>
            </w:r>
          </w:p>
        </w:tc>
      </w:tr>
      <w:tr w:rsidR="000D24B7" w:rsidRPr="00471CBA" w14:paraId="6524F324" w14:textId="77777777" w:rsidTr="000D24B7">
        <w:trPr>
          <w:trHeight w:val="227"/>
        </w:trPr>
        <w:tc>
          <w:tcPr>
            <w:tcW w:w="3398" w:type="pct"/>
            <w:tcBorders>
              <w:top w:val="nil"/>
              <w:left w:val="nil"/>
              <w:bottom w:val="nil"/>
              <w:right w:val="nil"/>
            </w:tcBorders>
            <w:vAlign w:val="bottom"/>
            <w:hideMark/>
          </w:tcPr>
          <w:p w14:paraId="5A2E9F07" w14:textId="77777777" w:rsidR="000D24B7" w:rsidRPr="00471CBA" w:rsidRDefault="000D24B7" w:rsidP="000D24B7">
            <w:pPr>
              <w:ind w:firstLineChars="200" w:firstLine="400"/>
              <w:rPr>
                <w:color w:val="000000"/>
                <w:szCs w:val="20"/>
              </w:rPr>
            </w:pPr>
            <w:r w:rsidRPr="00471CBA">
              <w:rPr>
                <w:color w:val="000000"/>
                <w:szCs w:val="20"/>
              </w:rPr>
              <w:t>Yurtdışı Merkez ve Şubelere</w:t>
            </w:r>
          </w:p>
        </w:tc>
        <w:tc>
          <w:tcPr>
            <w:tcW w:w="794" w:type="pct"/>
            <w:tcBorders>
              <w:top w:val="nil"/>
              <w:left w:val="nil"/>
              <w:bottom w:val="nil"/>
              <w:right w:val="nil"/>
            </w:tcBorders>
            <w:noWrap/>
            <w:hideMark/>
          </w:tcPr>
          <w:p w14:paraId="7CD97BFD" w14:textId="79492B49" w:rsidR="000D24B7" w:rsidRPr="00471CBA" w:rsidRDefault="000D24B7" w:rsidP="000D24B7">
            <w:pPr>
              <w:jc w:val="right"/>
              <w:rPr>
                <w:color w:val="000000"/>
                <w:szCs w:val="20"/>
                <w:lang w:eastAsia="tr-TR"/>
              </w:rPr>
            </w:pPr>
            <w:r w:rsidRPr="00471CBA">
              <w:t>-</w:t>
            </w:r>
          </w:p>
        </w:tc>
        <w:tc>
          <w:tcPr>
            <w:tcW w:w="808" w:type="pct"/>
            <w:tcBorders>
              <w:top w:val="nil"/>
              <w:left w:val="nil"/>
              <w:bottom w:val="nil"/>
              <w:right w:val="nil"/>
            </w:tcBorders>
            <w:noWrap/>
            <w:hideMark/>
          </w:tcPr>
          <w:p w14:paraId="3E768DA6" w14:textId="51EF1D82" w:rsidR="000D24B7" w:rsidRPr="00471CBA" w:rsidRDefault="000D24B7" w:rsidP="000D24B7">
            <w:pPr>
              <w:jc w:val="right"/>
              <w:rPr>
                <w:color w:val="000000"/>
                <w:szCs w:val="20"/>
                <w:lang w:eastAsia="tr-TR"/>
              </w:rPr>
            </w:pPr>
            <w:r w:rsidRPr="00471CBA">
              <w:t>-</w:t>
            </w:r>
          </w:p>
        </w:tc>
      </w:tr>
      <w:tr w:rsidR="000D24B7" w:rsidRPr="00471CBA" w14:paraId="6035D6DC" w14:textId="77777777" w:rsidTr="000D24B7">
        <w:trPr>
          <w:trHeight w:val="227"/>
        </w:trPr>
        <w:tc>
          <w:tcPr>
            <w:tcW w:w="3398" w:type="pct"/>
            <w:tcBorders>
              <w:top w:val="nil"/>
              <w:left w:val="nil"/>
              <w:bottom w:val="single" w:sz="4" w:space="0" w:color="auto"/>
              <w:right w:val="nil"/>
            </w:tcBorders>
            <w:hideMark/>
          </w:tcPr>
          <w:p w14:paraId="5590A41D" w14:textId="77777777" w:rsidR="000D24B7" w:rsidRPr="00471CBA" w:rsidRDefault="000D24B7" w:rsidP="000D24B7">
            <w:pPr>
              <w:jc w:val="both"/>
              <w:rPr>
                <w:color w:val="000000"/>
                <w:szCs w:val="20"/>
              </w:rPr>
            </w:pPr>
            <w:r w:rsidRPr="00471CBA">
              <w:rPr>
                <w:color w:val="000000"/>
                <w:szCs w:val="20"/>
              </w:rPr>
              <w:t xml:space="preserve">Diğer kuruluşlara </w:t>
            </w:r>
          </w:p>
        </w:tc>
        <w:tc>
          <w:tcPr>
            <w:tcW w:w="794" w:type="pct"/>
            <w:tcBorders>
              <w:top w:val="nil"/>
              <w:left w:val="nil"/>
              <w:bottom w:val="single" w:sz="4" w:space="0" w:color="auto"/>
              <w:right w:val="nil"/>
            </w:tcBorders>
            <w:noWrap/>
            <w:hideMark/>
          </w:tcPr>
          <w:p w14:paraId="0072B2E9" w14:textId="44C38AA1" w:rsidR="000D24B7" w:rsidRPr="00471CBA" w:rsidRDefault="000D24B7" w:rsidP="000D24B7">
            <w:pPr>
              <w:jc w:val="right"/>
              <w:rPr>
                <w:color w:val="000000"/>
                <w:szCs w:val="20"/>
                <w:lang w:eastAsia="tr-TR"/>
              </w:rPr>
            </w:pPr>
            <w:r w:rsidRPr="00471CBA">
              <w:t>44.255</w:t>
            </w:r>
          </w:p>
        </w:tc>
        <w:tc>
          <w:tcPr>
            <w:tcW w:w="808" w:type="pct"/>
            <w:tcBorders>
              <w:top w:val="nil"/>
              <w:left w:val="nil"/>
              <w:bottom w:val="single" w:sz="4" w:space="0" w:color="auto"/>
              <w:right w:val="nil"/>
            </w:tcBorders>
            <w:noWrap/>
            <w:hideMark/>
          </w:tcPr>
          <w:p w14:paraId="4B463A42" w14:textId="4549F179" w:rsidR="000D24B7" w:rsidRPr="00471CBA" w:rsidRDefault="000D24B7" w:rsidP="000D24B7">
            <w:pPr>
              <w:jc w:val="right"/>
              <w:rPr>
                <w:color w:val="000000"/>
                <w:szCs w:val="20"/>
                <w:lang w:eastAsia="tr-TR"/>
              </w:rPr>
            </w:pPr>
            <w:r w:rsidRPr="00471CBA">
              <w:t>-</w:t>
            </w:r>
          </w:p>
        </w:tc>
      </w:tr>
      <w:tr w:rsidR="000D24B7" w:rsidRPr="00471CBA" w14:paraId="44456E9A" w14:textId="77777777" w:rsidTr="000D24B7">
        <w:trPr>
          <w:trHeight w:val="227"/>
        </w:trPr>
        <w:tc>
          <w:tcPr>
            <w:tcW w:w="3398" w:type="pct"/>
            <w:tcBorders>
              <w:top w:val="nil"/>
              <w:left w:val="nil"/>
              <w:right w:val="nil"/>
            </w:tcBorders>
            <w:hideMark/>
          </w:tcPr>
          <w:p w14:paraId="0C8095E9" w14:textId="77777777" w:rsidR="000D24B7" w:rsidRPr="00471CBA" w:rsidRDefault="000D24B7" w:rsidP="000D24B7">
            <w:pPr>
              <w:jc w:val="right"/>
              <w:rPr>
                <w:color w:val="000000"/>
                <w:szCs w:val="20"/>
              </w:rPr>
            </w:pPr>
          </w:p>
        </w:tc>
        <w:tc>
          <w:tcPr>
            <w:tcW w:w="794" w:type="pct"/>
            <w:tcBorders>
              <w:top w:val="nil"/>
              <w:left w:val="nil"/>
              <w:right w:val="nil"/>
            </w:tcBorders>
            <w:hideMark/>
          </w:tcPr>
          <w:p w14:paraId="352B1309" w14:textId="40C17E88" w:rsidR="000D24B7" w:rsidRPr="00471CBA" w:rsidRDefault="000D24B7" w:rsidP="000D24B7">
            <w:pPr>
              <w:jc w:val="right"/>
              <w:rPr>
                <w:color w:val="000000"/>
                <w:szCs w:val="20"/>
                <w:lang w:eastAsia="tr-TR"/>
              </w:rPr>
            </w:pPr>
          </w:p>
        </w:tc>
        <w:tc>
          <w:tcPr>
            <w:tcW w:w="808" w:type="pct"/>
            <w:tcBorders>
              <w:top w:val="nil"/>
              <w:left w:val="nil"/>
              <w:right w:val="nil"/>
            </w:tcBorders>
            <w:hideMark/>
          </w:tcPr>
          <w:p w14:paraId="50861E4E" w14:textId="5A1FFD7F" w:rsidR="000D24B7" w:rsidRPr="00471CBA" w:rsidRDefault="000D24B7" w:rsidP="000D24B7">
            <w:pPr>
              <w:jc w:val="right"/>
              <w:rPr>
                <w:color w:val="000000"/>
                <w:szCs w:val="20"/>
                <w:lang w:eastAsia="tr-TR"/>
              </w:rPr>
            </w:pPr>
          </w:p>
        </w:tc>
      </w:tr>
      <w:tr w:rsidR="000D24B7" w:rsidRPr="00471CBA" w14:paraId="4C6CC965" w14:textId="77777777" w:rsidTr="000D24B7">
        <w:trPr>
          <w:trHeight w:val="227"/>
        </w:trPr>
        <w:tc>
          <w:tcPr>
            <w:tcW w:w="3398" w:type="pct"/>
            <w:tcBorders>
              <w:top w:val="nil"/>
              <w:left w:val="nil"/>
              <w:bottom w:val="single" w:sz="12" w:space="0" w:color="auto"/>
              <w:right w:val="nil"/>
            </w:tcBorders>
            <w:vAlign w:val="center"/>
            <w:hideMark/>
          </w:tcPr>
          <w:p w14:paraId="36B0E2BC" w14:textId="77777777" w:rsidR="000D24B7" w:rsidRPr="00471CBA" w:rsidRDefault="000D24B7" w:rsidP="000D24B7">
            <w:pPr>
              <w:jc w:val="both"/>
              <w:rPr>
                <w:b/>
                <w:bCs/>
                <w:color w:val="000000"/>
                <w:szCs w:val="20"/>
              </w:rPr>
            </w:pPr>
            <w:r w:rsidRPr="00471CBA">
              <w:rPr>
                <w:b/>
                <w:bCs/>
                <w:color w:val="000000"/>
                <w:szCs w:val="20"/>
              </w:rPr>
              <w:t>Toplam</w:t>
            </w:r>
          </w:p>
        </w:tc>
        <w:tc>
          <w:tcPr>
            <w:tcW w:w="794" w:type="pct"/>
            <w:tcBorders>
              <w:top w:val="nil"/>
              <w:left w:val="nil"/>
              <w:bottom w:val="single" w:sz="12" w:space="0" w:color="auto"/>
              <w:right w:val="nil"/>
            </w:tcBorders>
            <w:noWrap/>
            <w:hideMark/>
          </w:tcPr>
          <w:p w14:paraId="161553B1" w14:textId="59215BCE" w:rsidR="000D24B7" w:rsidRPr="00471CBA" w:rsidRDefault="000D24B7" w:rsidP="000D24B7">
            <w:pPr>
              <w:jc w:val="right"/>
              <w:rPr>
                <w:b/>
                <w:bCs/>
                <w:color w:val="000000"/>
                <w:szCs w:val="20"/>
                <w:lang w:eastAsia="tr-TR"/>
              </w:rPr>
            </w:pPr>
            <w:r w:rsidRPr="00471CBA">
              <w:rPr>
                <w:b/>
                <w:bCs/>
              </w:rPr>
              <w:t>44.255</w:t>
            </w:r>
          </w:p>
        </w:tc>
        <w:tc>
          <w:tcPr>
            <w:tcW w:w="808" w:type="pct"/>
            <w:tcBorders>
              <w:top w:val="nil"/>
              <w:left w:val="nil"/>
              <w:bottom w:val="single" w:sz="12" w:space="0" w:color="auto"/>
              <w:right w:val="nil"/>
            </w:tcBorders>
            <w:noWrap/>
            <w:hideMark/>
          </w:tcPr>
          <w:p w14:paraId="4B385DA1" w14:textId="78EB9BAE" w:rsidR="000D24B7" w:rsidRPr="00471CBA" w:rsidRDefault="000D24B7" w:rsidP="000D24B7">
            <w:pPr>
              <w:jc w:val="right"/>
              <w:rPr>
                <w:b/>
                <w:bCs/>
                <w:color w:val="000000"/>
                <w:szCs w:val="20"/>
                <w:lang w:eastAsia="tr-TR"/>
              </w:rPr>
            </w:pPr>
            <w:r w:rsidRPr="00471CBA">
              <w:rPr>
                <w:b/>
                <w:bCs/>
              </w:rPr>
              <w:t>14.695</w:t>
            </w:r>
          </w:p>
        </w:tc>
      </w:tr>
    </w:tbl>
    <w:p w14:paraId="4AC526D9" w14:textId="77777777" w:rsidR="00161613" w:rsidRPr="00471CBA" w:rsidRDefault="00161613" w:rsidP="00000466">
      <w:pPr>
        <w:widowControl w:val="0"/>
        <w:ind w:left="56" w:hanging="560"/>
        <w:jc w:val="both"/>
        <w:rPr>
          <w:b/>
          <w:sz w:val="16"/>
          <w:szCs w:val="16"/>
        </w:rPr>
      </w:pPr>
    </w:p>
    <w:p w14:paraId="6D541282" w14:textId="765FB6C5" w:rsidR="00136C29" w:rsidRPr="00471CBA" w:rsidRDefault="00136C29" w:rsidP="00000466">
      <w:pPr>
        <w:pStyle w:val="ListeParagraf"/>
        <w:widowControl w:val="0"/>
        <w:numPr>
          <w:ilvl w:val="0"/>
          <w:numId w:val="36"/>
        </w:numPr>
        <w:ind w:left="1276" w:hanging="425"/>
        <w:rPr>
          <w:b/>
          <w:color w:val="000000" w:themeColor="text1"/>
          <w:szCs w:val="20"/>
        </w:rPr>
      </w:pPr>
      <w:bookmarkStart w:id="149" w:name="_Hlk99381590"/>
      <w:r w:rsidRPr="00471CBA">
        <w:rPr>
          <w:b/>
          <w:color w:val="000000" w:themeColor="text1"/>
          <w:szCs w:val="20"/>
        </w:rPr>
        <w:t xml:space="preserve">İştirakler ve bağlı ortaklıklara verilen </w:t>
      </w:r>
      <w:r w:rsidR="00E74997" w:rsidRPr="00471CBA">
        <w:rPr>
          <w:b/>
          <w:color w:val="000000" w:themeColor="text1"/>
          <w:szCs w:val="20"/>
        </w:rPr>
        <w:t>kâr</w:t>
      </w:r>
      <w:r w:rsidRPr="00471CBA">
        <w:rPr>
          <w:b/>
          <w:color w:val="000000" w:themeColor="text1"/>
          <w:szCs w:val="20"/>
        </w:rPr>
        <w:t xml:space="preserve"> payı giderlerine ilişkin bilgiler: </w:t>
      </w:r>
    </w:p>
    <w:p w14:paraId="2E316F6D" w14:textId="77777777" w:rsidR="00CD770B" w:rsidRPr="00471CBA" w:rsidRDefault="00CD770B" w:rsidP="00CD770B">
      <w:pPr>
        <w:widowControl w:val="0"/>
        <w:ind w:left="-567"/>
        <w:jc w:val="both"/>
        <w:rPr>
          <w:b/>
          <w:szCs w:val="20"/>
        </w:rPr>
      </w:pPr>
    </w:p>
    <w:bookmarkEnd w:id="149"/>
    <w:tbl>
      <w:tblPr>
        <w:tblW w:w="5000" w:type="pct"/>
        <w:tblLook w:val="01E0" w:firstRow="1" w:lastRow="1" w:firstColumn="1" w:lastColumn="1" w:noHBand="0" w:noVBand="0"/>
      </w:tblPr>
      <w:tblGrid>
        <w:gridCol w:w="5769"/>
        <w:gridCol w:w="1792"/>
        <w:gridCol w:w="1794"/>
      </w:tblGrid>
      <w:tr w:rsidR="00161613" w:rsidRPr="00471CBA" w14:paraId="16E88872" w14:textId="01613ED4" w:rsidTr="006025D3">
        <w:trPr>
          <w:trHeight w:val="227"/>
        </w:trPr>
        <w:tc>
          <w:tcPr>
            <w:tcW w:w="3083" w:type="pct"/>
            <w:tcBorders>
              <w:bottom w:val="single" w:sz="4" w:space="0" w:color="auto"/>
            </w:tcBorders>
            <w:vAlign w:val="bottom"/>
          </w:tcPr>
          <w:p w14:paraId="34C46239" w14:textId="77777777" w:rsidR="00161613" w:rsidRPr="00471CBA" w:rsidRDefault="00161613" w:rsidP="00893576">
            <w:pPr>
              <w:tabs>
                <w:tab w:val="left" w:pos="180"/>
              </w:tabs>
              <w:jc w:val="right"/>
              <w:rPr>
                <w:szCs w:val="20"/>
              </w:rPr>
            </w:pPr>
          </w:p>
        </w:tc>
        <w:tc>
          <w:tcPr>
            <w:tcW w:w="1917" w:type="pct"/>
            <w:gridSpan w:val="2"/>
            <w:tcBorders>
              <w:bottom w:val="single" w:sz="4" w:space="0" w:color="auto"/>
            </w:tcBorders>
            <w:vAlign w:val="bottom"/>
          </w:tcPr>
          <w:p w14:paraId="6CF8FC25" w14:textId="2F5876B8" w:rsidR="00161613" w:rsidRPr="00471CBA" w:rsidRDefault="0046723E" w:rsidP="00AA72C8">
            <w:pPr>
              <w:jc w:val="center"/>
              <w:rPr>
                <w:b/>
                <w:bCs/>
                <w:szCs w:val="20"/>
              </w:rPr>
            </w:pPr>
            <w:r w:rsidRPr="00471CBA">
              <w:rPr>
                <w:b/>
                <w:szCs w:val="20"/>
              </w:rPr>
              <w:t>1 Ocak - 31 Aralık 2025</w:t>
            </w:r>
          </w:p>
        </w:tc>
      </w:tr>
      <w:tr w:rsidR="00161613" w:rsidRPr="00471CBA" w14:paraId="6DEE1173" w14:textId="336579E9" w:rsidTr="00161613">
        <w:trPr>
          <w:trHeight w:val="227"/>
        </w:trPr>
        <w:tc>
          <w:tcPr>
            <w:tcW w:w="3083" w:type="pct"/>
            <w:tcBorders>
              <w:top w:val="single" w:sz="4" w:space="0" w:color="auto"/>
              <w:bottom w:val="single" w:sz="4" w:space="0" w:color="auto"/>
            </w:tcBorders>
          </w:tcPr>
          <w:p w14:paraId="71C74D96" w14:textId="77777777" w:rsidR="00161613" w:rsidRPr="00471CBA" w:rsidRDefault="00161613" w:rsidP="00202399">
            <w:pPr>
              <w:tabs>
                <w:tab w:val="left" w:pos="180"/>
              </w:tabs>
              <w:jc w:val="both"/>
              <w:rPr>
                <w:b/>
                <w:szCs w:val="20"/>
              </w:rPr>
            </w:pPr>
          </w:p>
        </w:tc>
        <w:tc>
          <w:tcPr>
            <w:tcW w:w="958" w:type="pct"/>
            <w:tcBorders>
              <w:top w:val="single" w:sz="4" w:space="0" w:color="auto"/>
              <w:bottom w:val="single" w:sz="4" w:space="0" w:color="auto"/>
            </w:tcBorders>
          </w:tcPr>
          <w:p w14:paraId="05F85AF9" w14:textId="77777777" w:rsidR="00161613" w:rsidRPr="00471CBA" w:rsidRDefault="00161613" w:rsidP="00202399">
            <w:pPr>
              <w:jc w:val="right"/>
              <w:rPr>
                <w:b/>
                <w:color w:val="000000"/>
                <w:szCs w:val="20"/>
              </w:rPr>
            </w:pPr>
            <w:r w:rsidRPr="00471CBA">
              <w:rPr>
                <w:b/>
                <w:color w:val="000000"/>
                <w:szCs w:val="20"/>
              </w:rPr>
              <w:t>TP</w:t>
            </w:r>
          </w:p>
        </w:tc>
        <w:tc>
          <w:tcPr>
            <w:tcW w:w="959" w:type="pct"/>
            <w:tcBorders>
              <w:top w:val="single" w:sz="4" w:space="0" w:color="auto"/>
              <w:bottom w:val="single" w:sz="4" w:space="0" w:color="auto"/>
            </w:tcBorders>
          </w:tcPr>
          <w:p w14:paraId="23C6B017" w14:textId="77777777" w:rsidR="00161613" w:rsidRPr="00471CBA" w:rsidRDefault="00161613" w:rsidP="00202399">
            <w:pPr>
              <w:jc w:val="right"/>
              <w:rPr>
                <w:b/>
                <w:color w:val="000000"/>
                <w:szCs w:val="20"/>
              </w:rPr>
            </w:pPr>
            <w:r w:rsidRPr="00471CBA">
              <w:rPr>
                <w:b/>
                <w:color w:val="000000"/>
                <w:szCs w:val="20"/>
              </w:rPr>
              <w:t>YP</w:t>
            </w:r>
          </w:p>
        </w:tc>
      </w:tr>
      <w:tr w:rsidR="00161613" w:rsidRPr="00471CBA" w14:paraId="4828026C" w14:textId="1A443D51" w:rsidTr="00161613">
        <w:trPr>
          <w:trHeight w:val="227"/>
        </w:trPr>
        <w:tc>
          <w:tcPr>
            <w:tcW w:w="3083" w:type="pct"/>
            <w:tcBorders>
              <w:top w:val="single" w:sz="4" w:space="0" w:color="auto"/>
            </w:tcBorders>
          </w:tcPr>
          <w:p w14:paraId="6120612F" w14:textId="77777777" w:rsidR="00161613" w:rsidRPr="00471CBA" w:rsidRDefault="00161613" w:rsidP="00824B8D">
            <w:pPr>
              <w:tabs>
                <w:tab w:val="left" w:pos="180"/>
              </w:tabs>
              <w:jc w:val="both"/>
              <w:rPr>
                <w:szCs w:val="20"/>
              </w:rPr>
            </w:pPr>
          </w:p>
        </w:tc>
        <w:tc>
          <w:tcPr>
            <w:tcW w:w="958" w:type="pct"/>
            <w:tcBorders>
              <w:top w:val="single" w:sz="4" w:space="0" w:color="auto"/>
            </w:tcBorders>
          </w:tcPr>
          <w:p w14:paraId="323D4462" w14:textId="77777777" w:rsidR="00161613" w:rsidRPr="00471CBA" w:rsidRDefault="00161613" w:rsidP="00824B8D">
            <w:pPr>
              <w:jc w:val="right"/>
              <w:rPr>
                <w:color w:val="000000"/>
                <w:szCs w:val="20"/>
              </w:rPr>
            </w:pPr>
          </w:p>
        </w:tc>
        <w:tc>
          <w:tcPr>
            <w:tcW w:w="959" w:type="pct"/>
            <w:tcBorders>
              <w:top w:val="single" w:sz="4" w:space="0" w:color="auto"/>
            </w:tcBorders>
          </w:tcPr>
          <w:p w14:paraId="73752430" w14:textId="77777777" w:rsidR="00161613" w:rsidRPr="00471CBA" w:rsidRDefault="00161613" w:rsidP="00824B8D">
            <w:pPr>
              <w:jc w:val="right"/>
              <w:rPr>
                <w:color w:val="000000"/>
                <w:szCs w:val="20"/>
              </w:rPr>
            </w:pPr>
          </w:p>
        </w:tc>
      </w:tr>
      <w:tr w:rsidR="00391522" w:rsidRPr="00471CBA" w14:paraId="54EC5A83" w14:textId="2A870533" w:rsidTr="00EB42C2">
        <w:trPr>
          <w:trHeight w:val="227"/>
        </w:trPr>
        <w:tc>
          <w:tcPr>
            <w:tcW w:w="3083" w:type="pct"/>
            <w:vAlign w:val="center"/>
          </w:tcPr>
          <w:p w14:paraId="41F1B570" w14:textId="77777777" w:rsidR="00391522" w:rsidRPr="00471CBA" w:rsidRDefault="00391522" w:rsidP="00391522">
            <w:pPr>
              <w:rPr>
                <w:szCs w:val="20"/>
              </w:rPr>
            </w:pPr>
            <w:r w:rsidRPr="00471CBA">
              <w:rPr>
                <w:szCs w:val="20"/>
              </w:rPr>
              <w:t xml:space="preserve">İştirak ve Bağlı Ortaklıklara Verilen Kar Payları </w:t>
            </w:r>
          </w:p>
        </w:tc>
        <w:tc>
          <w:tcPr>
            <w:tcW w:w="958" w:type="pct"/>
            <w:vAlign w:val="center"/>
          </w:tcPr>
          <w:p w14:paraId="70CA591C" w14:textId="6C4894BC" w:rsidR="00391522" w:rsidRPr="00471CBA" w:rsidRDefault="00391522" w:rsidP="00391522">
            <w:pPr>
              <w:jc w:val="right"/>
              <w:rPr>
                <w:color w:val="000000"/>
                <w:szCs w:val="20"/>
              </w:rPr>
            </w:pPr>
            <w:r w:rsidRPr="00471CBA">
              <w:rPr>
                <w:color w:val="000000"/>
                <w:szCs w:val="20"/>
              </w:rPr>
              <w:t>314.457</w:t>
            </w:r>
          </w:p>
        </w:tc>
        <w:tc>
          <w:tcPr>
            <w:tcW w:w="959" w:type="pct"/>
            <w:vAlign w:val="center"/>
          </w:tcPr>
          <w:p w14:paraId="1DC975B2" w14:textId="187BF740" w:rsidR="00391522" w:rsidRPr="00471CBA" w:rsidRDefault="00391522" w:rsidP="00391522">
            <w:pPr>
              <w:jc w:val="right"/>
              <w:rPr>
                <w:color w:val="000000"/>
                <w:szCs w:val="20"/>
              </w:rPr>
            </w:pPr>
            <w:r w:rsidRPr="00471CBA">
              <w:rPr>
                <w:color w:val="000000"/>
                <w:szCs w:val="20"/>
              </w:rPr>
              <w:t>-</w:t>
            </w:r>
          </w:p>
        </w:tc>
      </w:tr>
      <w:tr w:rsidR="00391522" w:rsidRPr="00471CBA" w14:paraId="24C5B406" w14:textId="45D5AA48" w:rsidTr="00EB42C2">
        <w:trPr>
          <w:trHeight w:val="227"/>
        </w:trPr>
        <w:tc>
          <w:tcPr>
            <w:tcW w:w="3083" w:type="pct"/>
            <w:tcBorders>
              <w:bottom w:val="single" w:sz="4" w:space="0" w:color="auto"/>
            </w:tcBorders>
            <w:vAlign w:val="center"/>
          </w:tcPr>
          <w:p w14:paraId="0A593932" w14:textId="77777777" w:rsidR="00391522" w:rsidRPr="00471CBA" w:rsidRDefault="00391522" w:rsidP="00391522">
            <w:pPr>
              <w:rPr>
                <w:szCs w:val="20"/>
              </w:rPr>
            </w:pPr>
          </w:p>
        </w:tc>
        <w:tc>
          <w:tcPr>
            <w:tcW w:w="958" w:type="pct"/>
            <w:tcBorders>
              <w:bottom w:val="single" w:sz="4" w:space="0" w:color="auto"/>
            </w:tcBorders>
            <w:vAlign w:val="center"/>
          </w:tcPr>
          <w:p w14:paraId="1BF3F255" w14:textId="0CC0FE35" w:rsidR="00391522" w:rsidRPr="00471CBA" w:rsidRDefault="00391522" w:rsidP="00391522">
            <w:pPr>
              <w:jc w:val="right"/>
              <w:rPr>
                <w:color w:val="000000"/>
                <w:szCs w:val="20"/>
              </w:rPr>
            </w:pPr>
          </w:p>
        </w:tc>
        <w:tc>
          <w:tcPr>
            <w:tcW w:w="959" w:type="pct"/>
            <w:tcBorders>
              <w:bottom w:val="single" w:sz="4" w:space="0" w:color="auto"/>
            </w:tcBorders>
            <w:vAlign w:val="center"/>
          </w:tcPr>
          <w:p w14:paraId="78A45F12" w14:textId="21426FA0" w:rsidR="00391522" w:rsidRPr="00471CBA" w:rsidRDefault="00391522" w:rsidP="00391522">
            <w:pPr>
              <w:jc w:val="right"/>
              <w:rPr>
                <w:color w:val="000000"/>
                <w:szCs w:val="20"/>
              </w:rPr>
            </w:pPr>
          </w:p>
        </w:tc>
      </w:tr>
      <w:tr w:rsidR="00391522" w:rsidRPr="00471CBA" w14:paraId="33547A0F" w14:textId="609E3E05" w:rsidTr="00EB42C2">
        <w:trPr>
          <w:trHeight w:val="227"/>
        </w:trPr>
        <w:tc>
          <w:tcPr>
            <w:tcW w:w="3083" w:type="pct"/>
            <w:tcBorders>
              <w:top w:val="single" w:sz="4" w:space="0" w:color="auto"/>
              <w:bottom w:val="single" w:sz="12" w:space="0" w:color="auto"/>
            </w:tcBorders>
            <w:vAlign w:val="center"/>
          </w:tcPr>
          <w:p w14:paraId="4F981A21" w14:textId="77777777" w:rsidR="00391522" w:rsidRPr="00471CBA" w:rsidRDefault="00391522" w:rsidP="00391522">
            <w:pPr>
              <w:tabs>
                <w:tab w:val="left" w:pos="0"/>
              </w:tabs>
              <w:jc w:val="both"/>
              <w:rPr>
                <w:b/>
                <w:szCs w:val="20"/>
              </w:rPr>
            </w:pPr>
            <w:r w:rsidRPr="00471CBA">
              <w:rPr>
                <w:b/>
                <w:szCs w:val="20"/>
              </w:rPr>
              <w:t>Toplam</w:t>
            </w:r>
          </w:p>
        </w:tc>
        <w:tc>
          <w:tcPr>
            <w:tcW w:w="958" w:type="pct"/>
            <w:tcBorders>
              <w:top w:val="single" w:sz="4" w:space="0" w:color="auto"/>
              <w:bottom w:val="single" w:sz="12" w:space="0" w:color="auto"/>
            </w:tcBorders>
            <w:vAlign w:val="center"/>
          </w:tcPr>
          <w:p w14:paraId="192F3690" w14:textId="4CDE74D9" w:rsidR="00391522" w:rsidRPr="00471CBA" w:rsidRDefault="00391522" w:rsidP="00391522">
            <w:pPr>
              <w:jc w:val="right"/>
              <w:rPr>
                <w:b/>
                <w:color w:val="000000"/>
                <w:szCs w:val="20"/>
              </w:rPr>
            </w:pPr>
            <w:r w:rsidRPr="00471CBA">
              <w:rPr>
                <w:b/>
                <w:bCs/>
                <w:color w:val="000000"/>
                <w:szCs w:val="20"/>
              </w:rPr>
              <w:t>314.457</w:t>
            </w:r>
          </w:p>
        </w:tc>
        <w:tc>
          <w:tcPr>
            <w:tcW w:w="959" w:type="pct"/>
            <w:tcBorders>
              <w:top w:val="single" w:sz="4" w:space="0" w:color="auto"/>
              <w:bottom w:val="single" w:sz="12" w:space="0" w:color="auto"/>
            </w:tcBorders>
            <w:vAlign w:val="center"/>
          </w:tcPr>
          <w:p w14:paraId="434CEC3B" w14:textId="5A839F67" w:rsidR="00391522" w:rsidRPr="00471CBA" w:rsidRDefault="00391522" w:rsidP="00391522">
            <w:pPr>
              <w:jc w:val="right"/>
              <w:rPr>
                <w:b/>
                <w:color w:val="000000"/>
                <w:szCs w:val="20"/>
              </w:rPr>
            </w:pPr>
            <w:r w:rsidRPr="00471CBA">
              <w:rPr>
                <w:b/>
                <w:bCs/>
                <w:color w:val="000000"/>
                <w:szCs w:val="20"/>
              </w:rPr>
              <w:t>-</w:t>
            </w:r>
          </w:p>
        </w:tc>
      </w:tr>
    </w:tbl>
    <w:p w14:paraId="12B46AFA" w14:textId="43778EB8" w:rsidR="0089146A" w:rsidRPr="00471CBA" w:rsidRDefault="0089146A" w:rsidP="00DB0B4F">
      <w:pPr>
        <w:widowControl w:val="0"/>
        <w:ind w:left="1383" w:hanging="532"/>
        <w:jc w:val="both"/>
        <w:rPr>
          <w:b/>
          <w:sz w:val="16"/>
          <w:szCs w:val="16"/>
        </w:rPr>
      </w:pPr>
    </w:p>
    <w:tbl>
      <w:tblPr>
        <w:tblW w:w="5000" w:type="pct"/>
        <w:tblLook w:val="01E0" w:firstRow="1" w:lastRow="1" w:firstColumn="1" w:lastColumn="1" w:noHBand="0" w:noVBand="0"/>
      </w:tblPr>
      <w:tblGrid>
        <w:gridCol w:w="5761"/>
        <w:gridCol w:w="1588"/>
        <w:gridCol w:w="2006"/>
      </w:tblGrid>
      <w:tr w:rsidR="001C13B0" w:rsidRPr="00471CBA" w14:paraId="14B5BCB1" w14:textId="77777777" w:rsidTr="006025D3">
        <w:trPr>
          <w:trHeight w:val="227"/>
        </w:trPr>
        <w:tc>
          <w:tcPr>
            <w:tcW w:w="3079" w:type="pct"/>
            <w:tcBorders>
              <w:bottom w:val="single" w:sz="4" w:space="0" w:color="auto"/>
            </w:tcBorders>
            <w:vAlign w:val="bottom"/>
          </w:tcPr>
          <w:p w14:paraId="29EB8A38" w14:textId="77777777" w:rsidR="001C13B0" w:rsidRPr="00471CBA" w:rsidRDefault="001C13B0" w:rsidP="003D1625">
            <w:pPr>
              <w:tabs>
                <w:tab w:val="left" w:pos="180"/>
              </w:tabs>
              <w:jc w:val="right"/>
              <w:rPr>
                <w:szCs w:val="20"/>
              </w:rPr>
            </w:pPr>
          </w:p>
        </w:tc>
        <w:tc>
          <w:tcPr>
            <w:tcW w:w="1921" w:type="pct"/>
            <w:gridSpan w:val="2"/>
            <w:tcBorders>
              <w:bottom w:val="single" w:sz="4" w:space="0" w:color="auto"/>
            </w:tcBorders>
            <w:vAlign w:val="bottom"/>
          </w:tcPr>
          <w:p w14:paraId="5B277B65" w14:textId="2770CB63" w:rsidR="001C13B0" w:rsidRPr="00471CBA" w:rsidRDefault="009A3A4D" w:rsidP="003D1625">
            <w:pPr>
              <w:jc w:val="center"/>
              <w:rPr>
                <w:b/>
                <w:bCs/>
                <w:szCs w:val="20"/>
              </w:rPr>
            </w:pPr>
            <w:r w:rsidRPr="00471CBA">
              <w:rPr>
                <w:b/>
                <w:szCs w:val="20"/>
              </w:rPr>
              <w:t>1 Ocak - 31 Aralık 2024</w:t>
            </w:r>
          </w:p>
        </w:tc>
      </w:tr>
      <w:tr w:rsidR="001C13B0" w:rsidRPr="00471CBA" w14:paraId="526D95CA" w14:textId="77777777" w:rsidTr="001C13B0">
        <w:trPr>
          <w:trHeight w:val="227"/>
        </w:trPr>
        <w:tc>
          <w:tcPr>
            <w:tcW w:w="3079" w:type="pct"/>
            <w:tcBorders>
              <w:top w:val="single" w:sz="4" w:space="0" w:color="auto"/>
              <w:bottom w:val="single" w:sz="4" w:space="0" w:color="auto"/>
            </w:tcBorders>
          </w:tcPr>
          <w:p w14:paraId="1B149477" w14:textId="77777777" w:rsidR="001C13B0" w:rsidRPr="00471CBA" w:rsidRDefault="001C13B0" w:rsidP="003D1625">
            <w:pPr>
              <w:tabs>
                <w:tab w:val="left" w:pos="180"/>
              </w:tabs>
              <w:jc w:val="both"/>
              <w:rPr>
                <w:b/>
                <w:szCs w:val="20"/>
              </w:rPr>
            </w:pPr>
          </w:p>
        </w:tc>
        <w:tc>
          <w:tcPr>
            <w:tcW w:w="849" w:type="pct"/>
            <w:tcBorders>
              <w:top w:val="single" w:sz="4" w:space="0" w:color="auto"/>
              <w:bottom w:val="single" w:sz="4" w:space="0" w:color="auto"/>
            </w:tcBorders>
          </w:tcPr>
          <w:p w14:paraId="0389B84F" w14:textId="77777777" w:rsidR="001C13B0" w:rsidRPr="00471CBA" w:rsidRDefault="001C13B0" w:rsidP="003D1625">
            <w:pPr>
              <w:jc w:val="right"/>
              <w:rPr>
                <w:b/>
                <w:color w:val="000000"/>
                <w:szCs w:val="20"/>
              </w:rPr>
            </w:pPr>
            <w:r w:rsidRPr="00471CBA">
              <w:rPr>
                <w:b/>
                <w:color w:val="000000"/>
                <w:szCs w:val="20"/>
              </w:rPr>
              <w:t>TP</w:t>
            </w:r>
          </w:p>
        </w:tc>
        <w:tc>
          <w:tcPr>
            <w:tcW w:w="1072" w:type="pct"/>
            <w:tcBorders>
              <w:top w:val="single" w:sz="4" w:space="0" w:color="auto"/>
              <w:bottom w:val="single" w:sz="4" w:space="0" w:color="auto"/>
            </w:tcBorders>
          </w:tcPr>
          <w:p w14:paraId="55705B5B" w14:textId="77777777" w:rsidR="001C13B0" w:rsidRPr="00471CBA" w:rsidRDefault="001C13B0" w:rsidP="003D1625">
            <w:pPr>
              <w:jc w:val="right"/>
              <w:rPr>
                <w:b/>
                <w:color w:val="000000"/>
                <w:szCs w:val="20"/>
              </w:rPr>
            </w:pPr>
            <w:r w:rsidRPr="00471CBA">
              <w:rPr>
                <w:b/>
                <w:color w:val="000000"/>
                <w:szCs w:val="20"/>
              </w:rPr>
              <w:t>YP</w:t>
            </w:r>
          </w:p>
        </w:tc>
      </w:tr>
      <w:tr w:rsidR="001C13B0" w:rsidRPr="00471CBA" w14:paraId="2761A619" w14:textId="77777777" w:rsidTr="001C13B0">
        <w:trPr>
          <w:trHeight w:val="227"/>
        </w:trPr>
        <w:tc>
          <w:tcPr>
            <w:tcW w:w="3079" w:type="pct"/>
            <w:tcBorders>
              <w:top w:val="single" w:sz="4" w:space="0" w:color="auto"/>
            </w:tcBorders>
          </w:tcPr>
          <w:p w14:paraId="51183728" w14:textId="77777777" w:rsidR="001C13B0" w:rsidRPr="00471CBA" w:rsidRDefault="001C13B0" w:rsidP="003D1625">
            <w:pPr>
              <w:tabs>
                <w:tab w:val="left" w:pos="180"/>
              </w:tabs>
              <w:jc w:val="both"/>
              <w:rPr>
                <w:szCs w:val="20"/>
              </w:rPr>
            </w:pPr>
          </w:p>
        </w:tc>
        <w:tc>
          <w:tcPr>
            <w:tcW w:w="849" w:type="pct"/>
            <w:tcBorders>
              <w:top w:val="single" w:sz="4" w:space="0" w:color="auto"/>
            </w:tcBorders>
          </w:tcPr>
          <w:p w14:paraId="69BC1C2D" w14:textId="77777777" w:rsidR="001C13B0" w:rsidRPr="00471CBA" w:rsidRDefault="001C13B0" w:rsidP="003D1625">
            <w:pPr>
              <w:jc w:val="right"/>
              <w:rPr>
                <w:color w:val="000000"/>
                <w:szCs w:val="20"/>
              </w:rPr>
            </w:pPr>
          </w:p>
        </w:tc>
        <w:tc>
          <w:tcPr>
            <w:tcW w:w="1072" w:type="pct"/>
            <w:tcBorders>
              <w:top w:val="single" w:sz="4" w:space="0" w:color="auto"/>
            </w:tcBorders>
          </w:tcPr>
          <w:p w14:paraId="7091E095" w14:textId="77777777" w:rsidR="001C13B0" w:rsidRPr="00471CBA" w:rsidRDefault="001C13B0" w:rsidP="003D1625">
            <w:pPr>
              <w:jc w:val="right"/>
              <w:rPr>
                <w:color w:val="000000"/>
                <w:szCs w:val="20"/>
              </w:rPr>
            </w:pPr>
          </w:p>
        </w:tc>
      </w:tr>
      <w:tr w:rsidR="009A3A4D" w:rsidRPr="00471CBA" w14:paraId="420B5A1B" w14:textId="77777777" w:rsidTr="00EE3838">
        <w:trPr>
          <w:trHeight w:val="227"/>
        </w:trPr>
        <w:tc>
          <w:tcPr>
            <w:tcW w:w="3079" w:type="pct"/>
            <w:vAlign w:val="center"/>
          </w:tcPr>
          <w:p w14:paraId="682DCB32" w14:textId="77777777" w:rsidR="009A3A4D" w:rsidRPr="00471CBA" w:rsidRDefault="009A3A4D" w:rsidP="009A3A4D">
            <w:pPr>
              <w:rPr>
                <w:szCs w:val="20"/>
              </w:rPr>
            </w:pPr>
            <w:r w:rsidRPr="00471CBA">
              <w:rPr>
                <w:szCs w:val="20"/>
              </w:rPr>
              <w:t xml:space="preserve">İştirak ve Bağlı Ortaklıklara Verilen Kar Payları </w:t>
            </w:r>
          </w:p>
        </w:tc>
        <w:tc>
          <w:tcPr>
            <w:tcW w:w="849" w:type="pct"/>
            <w:vAlign w:val="center"/>
          </w:tcPr>
          <w:p w14:paraId="5BB3332F" w14:textId="4CE7B981" w:rsidR="009A3A4D" w:rsidRPr="00471CBA" w:rsidRDefault="009A3A4D" w:rsidP="009A3A4D">
            <w:pPr>
              <w:jc w:val="right"/>
              <w:rPr>
                <w:color w:val="000000"/>
                <w:szCs w:val="20"/>
              </w:rPr>
            </w:pPr>
            <w:r w:rsidRPr="00471CBA">
              <w:rPr>
                <w:color w:val="000000"/>
                <w:szCs w:val="20"/>
              </w:rPr>
              <w:t>418</w:t>
            </w:r>
          </w:p>
        </w:tc>
        <w:tc>
          <w:tcPr>
            <w:tcW w:w="1072" w:type="pct"/>
            <w:vAlign w:val="center"/>
          </w:tcPr>
          <w:p w14:paraId="04BF82D8" w14:textId="396B3F7A" w:rsidR="009A3A4D" w:rsidRPr="00471CBA" w:rsidRDefault="009A3A4D" w:rsidP="009A3A4D">
            <w:pPr>
              <w:jc w:val="right"/>
              <w:rPr>
                <w:color w:val="000000"/>
                <w:szCs w:val="20"/>
              </w:rPr>
            </w:pPr>
            <w:r w:rsidRPr="00471CBA">
              <w:rPr>
                <w:color w:val="000000"/>
                <w:szCs w:val="20"/>
              </w:rPr>
              <w:t>-</w:t>
            </w:r>
          </w:p>
        </w:tc>
      </w:tr>
      <w:tr w:rsidR="009A3A4D" w:rsidRPr="00471CBA" w14:paraId="77ADF011" w14:textId="77777777" w:rsidTr="00EE3838">
        <w:trPr>
          <w:trHeight w:val="227"/>
        </w:trPr>
        <w:tc>
          <w:tcPr>
            <w:tcW w:w="3079" w:type="pct"/>
            <w:tcBorders>
              <w:bottom w:val="single" w:sz="4" w:space="0" w:color="auto"/>
            </w:tcBorders>
            <w:vAlign w:val="center"/>
          </w:tcPr>
          <w:p w14:paraId="488C9C25" w14:textId="77777777" w:rsidR="009A3A4D" w:rsidRPr="00471CBA" w:rsidRDefault="009A3A4D" w:rsidP="009A3A4D">
            <w:pPr>
              <w:rPr>
                <w:szCs w:val="20"/>
              </w:rPr>
            </w:pPr>
          </w:p>
        </w:tc>
        <w:tc>
          <w:tcPr>
            <w:tcW w:w="849" w:type="pct"/>
            <w:tcBorders>
              <w:bottom w:val="single" w:sz="4" w:space="0" w:color="auto"/>
            </w:tcBorders>
            <w:vAlign w:val="center"/>
          </w:tcPr>
          <w:p w14:paraId="231AAE03" w14:textId="77777777" w:rsidR="009A3A4D" w:rsidRPr="00471CBA" w:rsidRDefault="009A3A4D" w:rsidP="009A3A4D">
            <w:pPr>
              <w:jc w:val="right"/>
              <w:rPr>
                <w:color w:val="000000"/>
                <w:szCs w:val="20"/>
              </w:rPr>
            </w:pPr>
          </w:p>
        </w:tc>
        <w:tc>
          <w:tcPr>
            <w:tcW w:w="1072" w:type="pct"/>
            <w:tcBorders>
              <w:bottom w:val="single" w:sz="4" w:space="0" w:color="auto"/>
            </w:tcBorders>
            <w:vAlign w:val="center"/>
          </w:tcPr>
          <w:p w14:paraId="5192615C" w14:textId="77777777" w:rsidR="009A3A4D" w:rsidRPr="00471CBA" w:rsidRDefault="009A3A4D" w:rsidP="009A3A4D">
            <w:pPr>
              <w:jc w:val="right"/>
              <w:rPr>
                <w:color w:val="000000"/>
                <w:szCs w:val="20"/>
              </w:rPr>
            </w:pPr>
          </w:p>
        </w:tc>
      </w:tr>
      <w:tr w:rsidR="009A3A4D" w:rsidRPr="00471CBA" w14:paraId="018E96C1" w14:textId="77777777" w:rsidTr="00EE3838">
        <w:trPr>
          <w:trHeight w:val="227"/>
        </w:trPr>
        <w:tc>
          <w:tcPr>
            <w:tcW w:w="3079" w:type="pct"/>
            <w:tcBorders>
              <w:top w:val="single" w:sz="4" w:space="0" w:color="auto"/>
              <w:bottom w:val="single" w:sz="12" w:space="0" w:color="auto"/>
            </w:tcBorders>
            <w:vAlign w:val="center"/>
          </w:tcPr>
          <w:p w14:paraId="66DFC0B9" w14:textId="77777777" w:rsidR="009A3A4D" w:rsidRPr="00471CBA" w:rsidRDefault="009A3A4D" w:rsidP="009A3A4D">
            <w:pPr>
              <w:tabs>
                <w:tab w:val="left" w:pos="0"/>
              </w:tabs>
              <w:jc w:val="both"/>
              <w:rPr>
                <w:b/>
                <w:szCs w:val="20"/>
              </w:rPr>
            </w:pPr>
            <w:r w:rsidRPr="00471CBA">
              <w:rPr>
                <w:b/>
                <w:szCs w:val="20"/>
              </w:rPr>
              <w:t>Toplam</w:t>
            </w:r>
          </w:p>
        </w:tc>
        <w:tc>
          <w:tcPr>
            <w:tcW w:w="849" w:type="pct"/>
            <w:tcBorders>
              <w:top w:val="single" w:sz="4" w:space="0" w:color="auto"/>
              <w:bottom w:val="single" w:sz="12" w:space="0" w:color="auto"/>
            </w:tcBorders>
            <w:vAlign w:val="center"/>
          </w:tcPr>
          <w:p w14:paraId="213B4726" w14:textId="573FD1E9" w:rsidR="009A3A4D" w:rsidRPr="00471CBA" w:rsidRDefault="009A3A4D" w:rsidP="009A3A4D">
            <w:pPr>
              <w:jc w:val="right"/>
              <w:rPr>
                <w:b/>
                <w:color w:val="000000"/>
                <w:szCs w:val="20"/>
              </w:rPr>
            </w:pPr>
            <w:r w:rsidRPr="00471CBA">
              <w:rPr>
                <w:b/>
                <w:color w:val="000000"/>
                <w:szCs w:val="20"/>
              </w:rPr>
              <w:t>418</w:t>
            </w:r>
          </w:p>
        </w:tc>
        <w:tc>
          <w:tcPr>
            <w:tcW w:w="1072" w:type="pct"/>
            <w:tcBorders>
              <w:top w:val="single" w:sz="4" w:space="0" w:color="auto"/>
              <w:bottom w:val="single" w:sz="12" w:space="0" w:color="auto"/>
            </w:tcBorders>
            <w:vAlign w:val="center"/>
          </w:tcPr>
          <w:p w14:paraId="7A253C7E" w14:textId="23524D2F" w:rsidR="009A3A4D" w:rsidRPr="00471CBA" w:rsidRDefault="009A3A4D" w:rsidP="009A3A4D">
            <w:pPr>
              <w:jc w:val="right"/>
              <w:rPr>
                <w:b/>
                <w:color w:val="000000"/>
                <w:szCs w:val="20"/>
              </w:rPr>
            </w:pPr>
            <w:r w:rsidRPr="00471CBA">
              <w:rPr>
                <w:color w:val="000000"/>
                <w:szCs w:val="20"/>
              </w:rPr>
              <w:t>-</w:t>
            </w:r>
          </w:p>
        </w:tc>
      </w:tr>
    </w:tbl>
    <w:p w14:paraId="5CAB1257" w14:textId="77777777" w:rsidR="001C13B0" w:rsidRPr="00471CBA" w:rsidRDefault="001C13B0" w:rsidP="00DB0B4F">
      <w:pPr>
        <w:widowControl w:val="0"/>
        <w:ind w:left="1383" w:hanging="532"/>
        <w:jc w:val="both"/>
        <w:rPr>
          <w:b/>
          <w:sz w:val="16"/>
          <w:szCs w:val="16"/>
        </w:rPr>
      </w:pPr>
    </w:p>
    <w:p w14:paraId="557D812B" w14:textId="77777777" w:rsidR="001C13B0" w:rsidRPr="00471CBA" w:rsidRDefault="001C13B0" w:rsidP="00DB0B4F">
      <w:pPr>
        <w:widowControl w:val="0"/>
        <w:ind w:left="1383" w:hanging="532"/>
        <w:jc w:val="both"/>
        <w:rPr>
          <w:b/>
          <w:sz w:val="16"/>
          <w:szCs w:val="16"/>
        </w:rPr>
      </w:pPr>
    </w:p>
    <w:p w14:paraId="5CC6B5D4" w14:textId="3806459B" w:rsidR="00136C29" w:rsidRPr="00471CBA" w:rsidRDefault="00136C29" w:rsidP="00000466">
      <w:pPr>
        <w:pStyle w:val="ListeParagraf"/>
        <w:widowControl w:val="0"/>
        <w:numPr>
          <w:ilvl w:val="0"/>
          <w:numId w:val="36"/>
        </w:numPr>
        <w:ind w:left="1276" w:hanging="425"/>
        <w:rPr>
          <w:b/>
          <w:color w:val="000000" w:themeColor="text1"/>
          <w:szCs w:val="20"/>
        </w:rPr>
      </w:pPr>
      <w:r w:rsidRPr="00471CBA">
        <w:rPr>
          <w:b/>
          <w:color w:val="000000" w:themeColor="text1"/>
          <w:szCs w:val="20"/>
        </w:rPr>
        <w:t xml:space="preserve">İhraç edilen menkul kıymetlere verilen </w:t>
      </w:r>
      <w:r w:rsidR="004647A8" w:rsidRPr="00471CBA">
        <w:rPr>
          <w:b/>
          <w:color w:val="000000" w:themeColor="text1"/>
          <w:szCs w:val="20"/>
        </w:rPr>
        <w:t>kâr</w:t>
      </w:r>
      <w:r w:rsidRPr="00471CBA">
        <w:rPr>
          <w:b/>
          <w:color w:val="000000" w:themeColor="text1"/>
          <w:szCs w:val="20"/>
        </w:rPr>
        <w:t xml:space="preserve"> payı giderlerine ilişkin bilgiler: </w:t>
      </w:r>
    </w:p>
    <w:p w14:paraId="6354D77A" w14:textId="77777777" w:rsidR="00CD770B" w:rsidRPr="00471CBA" w:rsidRDefault="00CD770B" w:rsidP="00CD770B">
      <w:pPr>
        <w:widowControl w:val="0"/>
        <w:ind w:left="84" w:hanging="28"/>
        <w:jc w:val="both"/>
        <w:rPr>
          <w:szCs w:val="20"/>
        </w:rPr>
      </w:pPr>
    </w:p>
    <w:p w14:paraId="0FCE41FD" w14:textId="1690B57B" w:rsidR="004F5B87" w:rsidRPr="00471CBA" w:rsidRDefault="003833C5" w:rsidP="00CD770B">
      <w:pPr>
        <w:widowControl w:val="0"/>
        <w:ind w:left="851"/>
        <w:jc w:val="both"/>
        <w:rPr>
          <w:szCs w:val="20"/>
        </w:rPr>
      </w:pPr>
      <w:r w:rsidRPr="00471CBA">
        <w:rPr>
          <w:szCs w:val="20"/>
        </w:rPr>
        <w:t>B</w:t>
      </w:r>
      <w:r w:rsidR="00440C51" w:rsidRPr="00471CBA">
        <w:rPr>
          <w:szCs w:val="20"/>
        </w:rPr>
        <w:t>ulunmamaktadır</w:t>
      </w:r>
      <w:r w:rsidR="006D669F" w:rsidRPr="00471CBA">
        <w:rPr>
          <w:szCs w:val="20"/>
        </w:rPr>
        <w:t xml:space="preserve"> (31 Aralık 2024 Bulunmamaktadır)</w:t>
      </w:r>
      <w:r w:rsidR="00DB0B4F" w:rsidRPr="00471CBA">
        <w:rPr>
          <w:szCs w:val="20"/>
        </w:rPr>
        <w:t>.</w:t>
      </w:r>
    </w:p>
    <w:p w14:paraId="5169A761" w14:textId="77777777" w:rsidR="004F5B87" w:rsidRPr="00471CBA" w:rsidRDefault="004F5B87">
      <w:pPr>
        <w:rPr>
          <w:szCs w:val="20"/>
        </w:rPr>
      </w:pPr>
      <w:r w:rsidRPr="00471CBA">
        <w:rPr>
          <w:szCs w:val="20"/>
        </w:rPr>
        <w:br w:type="page"/>
      </w:r>
    </w:p>
    <w:p w14:paraId="61730725" w14:textId="77777777" w:rsidR="00080449" w:rsidRPr="00471CBA" w:rsidRDefault="00080449" w:rsidP="00080449">
      <w:pPr>
        <w:widowControl w:val="0"/>
        <w:ind w:left="720" w:hanging="720"/>
        <w:jc w:val="both"/>
        <w:rPr>
          <w:b/>
          <w:szCs w:val="20"/>
        </w:rPr>
      </w:pPr>
      <w:r w:rsidRPr="00471CBA">
        <w:rPr>
          <w:b/>
          <w:szCs w:val="20"/>
        </w:rPr>
        <w:t>KONSOLİDE OLMAYAN FİNANSAL TABLOLARA İLİŞKİN AÇIKLAMA VE DİPNOTLAR (Devamı)</w:t>
      </w:r>
    </w:p>
    <w:p w14:paraId="14E5F1C8" w14:textId="77777777" w:rsidR="00080449" w:rsidRPr="00471CBA" w:rsidRDefault="00080449" w:rsidP="00080449">
      <w:pPr>
        <w:widowControl w:val="0"/>
        <w:autoSpaceDE w:val="0"/>
        <w:autoSpaceDN w:val="0"/>
        <w:adjustRightInd w:val="0"/>
        <w:ind w:left="14" w:right="210"/>
        <w:jc w:val="both"/>
        <w:rPr>
          <w:szCs w:val="20"/>
        </w:rPr>
      </w:pPr>
    </w:p>
    <w:p w14:paraId="008F7113" w14:textId="77777777" w:rsidR="006025D3" w:rsidRPr="00471CBA" w:rsidRDefault="006025D3" w:rsidP="006025D3">
      <w:pPr>
        <w:pStyle w:val="GvdeMetniGirintisi"/>
        <w:widowControl w:val="0"/>
        <w:ind w:left="851" w:right="206" w:hanging="851"/>
        <w:rPr>
          <w:b/>
          <w:iCs/>
          <w:szCs w:val="20"/>
        </w:rPr>
      </w:pPr>
      <w:r>
        <w:rPr>
          <w:b/>
          <w:iCs/>
          <w:szCs w:val="20"/>
        </w:rPr>
        <w:t>IV.</w:t>
      </w:r>
      <w:r>
        <w:rPr>
          <w:b/>
          <w:iCs/>
          <w:szCs w:val="20"/>
        </w:rPr>
        <w:tab/>
      </w:r>
      <w:r w:rsidRPr="00471CBA">
        <w:rPr>
          <w:b/>
          <w:iCs/>
          <w:szCs w:val="20"/>
        </w:rPr>
        <w:t>KAR VEYA ZARAR TABLOSUNA İLİŞKİN AÇIKLAMA VE DİPNOTLAR (Devamı)</w:t>
      </w:r>
    </w:p>
    <w:p w14:paraId="23FE7E6B" w14:textId="77777777" w:rsidR="005D3B2E" w:rsidRPr="00471CBA" w:rsidRDefault="005D3B2E" w:rsidP="00CD770B">
      <w:pPr>
        <w:widowControl w:val="0"/>
        <w:ind w:left="851"/>
        <w:jc w:val="both"/>
        <w:rPr>
          <w:szCs w:val="20"/>
        </w:rPr>
      </w:pPr>
    </w:p>
    <w:p w14:paraId="3A72CCF3" w14:textId="228381DE" w:rsidR="005428F8" w:rsidRPr="00471CBA" w:rsidRDefault="00605F24" w:rsidP="00212E4A">
      <w:pPr>
        <w:pStyle w:val="ListeParagraf"/>
        <w:widowControl w:val="0"/>
        <w:numPr>
          <w:ilvl w:val="0"/>
          <w:numId w:val="31"/>
        </w:numPr>
        <w:autoSpaceDE w:val="0"/>
        <w:autoSpaceDN w:val="0"/>
        <w:adjustRightInd w:val="0"/>
        <w:ind w:left="851" w:hanging="851"/>
        <w:rPr>
          <w:b/>
          <w:szCs w:val="20"/>
        </w:rPr>
      </w:pPr>
      <w:bookmarkStart w:id="150" w:name="_Hlk99381808"/>
      <w:r w:rsidRPr="00471CBA">
        <w:rPr>
          <w:b/>
          <w:szCs w:val="20"/>
        </w:rPr>
        <w:t xml:space="preserve">Net Ücret ve Komisyon Gelirleri / Giderleri kaleminde yer alan </w:t>
      </w:r>
      <w:r w:rsidR="005428F8" w:rsidRPr="00471CBA">
        <w:rPr>
          <w:b/>
          <w:szCs w:val="20"/>
        </w:rPr>
        <w:t>diğer kalemlerin, gelir tablosu toplamının %10’unu aşması halinde bu kalemlerin en az %20’sini oluşturan alt hesaplar</w:t>
      </w:r>
      <w:r w:rsidR="00291E1E" w:rsidRPr="00471CBA">
        <w:rPr>
          <w:b/>
          <w:szCs w:val="20"/>
        </w:rPr>
        <w:t>:</w:t>
      </w:r>
      <w:r w:rsidR="005428F8" w:rsidRPr="00471CBA">
        <w:rPr>
          <w:b/>
          <w:szCs w:val="20"/>
        </w:rPr>
        <w:t xml:space="preserve"> </w:t>
      </w:r>
    </w:p>
    <w:p w14:paraId="1E0842B3" w14:textId="77777777" w:rsidR="00BD7D86" w:rsidRPr="00471CBA" w:rsidRDefault="00BD7D86" w:rsidP="00BD7D86">
      <w:pPr>
        <w:widowControl w:val="0"/>
        <w:ind w:left="14" w:right="114" w:hanging="490"/>
        <w:jc w:val="both"/>
        <w:rPr>
          <w:b/>
          <w:bCs/>
          <w:iCs/>
          <w:szCs w:val="20"/>
        </w:rPr>
      </w:pPr>
    </w:p>
    <w:tbl>
      <w:tblPr>
        <w:tblW w:w="5000" w:type="pct"/>
        <w:tblCellMar>
          <w:left w:w="70" w:type="dxa"/>
          <w:right w:w="70" w:type="dxa"/>
        </w:tblCellMar>
        <w:tblLook w:val="0000" w:firstRow="0" w:lastRow="0" w:firstColumn="0" w:lastColumn="0" w:noHBand="0" w:noVBand="0"/>
      </w:tblPr>
      <w:tblGrid>
        <w:gridCol w:w="6159"/>
        <w:gridCol w:w="3196"/>
      </w:tblGrid>
      <w:tr w:rsidR="00161613" w:rsidRPr="00471CBA" w14:paraId="19FB0403" w14:textId="7D7BAF7E" w:rsidTr="00161613">
        <w:trPr>
          <w:trHeight w:val="113"/>
        </w:trPr>
        <w:tc>
          <w:tcPr>
            <w:tcW w:w="3292" w:type="pct"/>
            <w:shd w:val="clear" w:color="auto" w:fill="FFFFFF"/>
            <w:noWrap/>
            <w:vAlign w:val="bottom"/>
          </w:tcPr>
          <w:p w14:paraId="612D65E2" w14:textId="77777777" w:rsidR="00161613" w:rsidRPr="00471CBA" w:rsidRDefault="00161613" w:rsidP="009F6E11">
            <w:pPr>
              <w:widowControl w:val="0"/>
              <w:rPr>
                <w:b/>
                <w:bCs/>
                <w:szCs w:val="20"/>
              </w:rPr>
            </w:pPr>
            <w:bookmarkStart w:id="151" w:name="OLE_LINK7"/>
            <w:r w:rsidRPr="00471CBA">
              <w:rPr>
                <w:b/>
                <w:bCs/>
                <w:szCs w:val="20"/>
              </w:rPr>
              <w:t xml:space="preserve">Diğer Alınan Ücret ve Komisyonlar </w:t>
            </w:r>
          </w:p>
        </w:tc>
        <w:tc>
          <w:tcPr>
            <w:tcW w:w="1708" w:type="pct"/>
            <w:tcBorders>
              <w:bottom w:val="single" w:sz="4" w:space="0" w:color="auto"/>
            </w:tcBorders>
            <w:shd w:val="clear" w:color="auto" w:fill="FFFFFF"/>
            <w:noWrap/>
            <w:vAlign w:val="bottom"/>
          </w:tcPr>
          <w:p w14:paraId="25AA869D" w14:textId="0179E216" w:rsidR="00161613" w:rsidRPr="00471CBA" w:rsidRDefault="009859B3" w:rsidP="009F6E11">
            <w:pPr>
              <w:widowControl w:val="0"/>
              <w:ind w:right="44"/>
              <w:jc w:val="right"/>
              <w:rPr>
                <w:b/>
                <w:szCs w:val="20"/>
              </w:rPr>
            </w:pPr>
            <w:r w:rsidRPr="00471CBA">
              <w:rPr>
                <w:b/>
                <w:szCs w:val="20"/>
              </w:rPr>
              <w:t>1 Ocak - 31 Aralık 2025</w:t>
            </w:r>
          </w:p>
        </w:tc>
      </w:tr>
      <w:tr w:rsidR="00161613" w:rsidRPr="00471CBA" w14:paraId="601A1893" w14:textId="17BEB51B" w:rsidTr="00161613">
        <w:trPr>
          <w:trHeight w:val="113"/>
        </w:trPr>
        <w:tc>
          <w:tcPr>
            <w:tcW w:w="3292" w:type="pct"/>
            <w:shd w:val="clear" w:color="auto" w:fill="FFFFFF"/>
            <w:noWrap/>
            <w:vAlign w:val="bottom"/>
          </w:tcPr>
          <w:p w14:paraId="4DD5ABCC" w14:textId="77777777" w:rsidR="00161613" w:rsidRPr="00471CBA" w:rsidRDefault="00161613" w:rsidP="009F6E11">
            <w:pPr>
              <w:widowControl w:val="0"/>
              <w:rPr>
                <w:szCs w:val="20"/>
              </w:rPr>
            </w:pPr>
          </w:p>
        </w:tc>
        <w:tc>
          <w:tcPr>
            <w:tcW w:w="1708" w:type="pct"/>
            <w:tcBorders>
              <w:top w:val="single" w:sz="4" w:space="0" w:color="auto"/>
            </w:tcBorders>
            <w:shd w:val="clear" w:color="auto" w:fill="FFFFFF"/>
            <w:noWrap/>
            <w:vAlign w:val="bottom"/>
          </w:tcPr>
          <w:p w14:paraId="192CA09B" w14:textId="77777777" w:rsidR="00161613" w:rsidRPr="00471CBA" w:rsidRDefault="00161613" w:rsidP="009F6E11">
            <w:pPr>
              <w:widowControl w:val="0"/>
              <w:ind w:right="44"/>
              <w:jc w:val="right"/>
              <w:rPr>
                <w:szCs w:val="20"/>
              </w:rPr>
            </w:pPr>
          </w:p>
        </w:tc>
      </w:tr>
      <w:tr w:rsidR="009859B3" w:rsidRPr="00471CBA" w14:paraId="350CA5BA" w14:textId="696290FD" w:rsidTr="00092A3F">
        <w:trPr>
          <w:trHeight w:val="113"/>
        </w:trPr>
        <w:tc>
          <w:tcPr>
            <w:tcW w:w="3292" w:type="pct"/>
            <w:shd w:val="clear" w:color="auto" w:fill="FFFFFF"/>
            <w:noWrap/>
          </w:tcPr>
          <w:p w14:paraId="642D9711" w14:textId="61B12B8F" w:rsidR="009859B3" w:rsidRPr="00471CBA" w:rsidRDefault="009859B3" w:rsidP="009859B3">
            <w:pPr>
              <w:widowControl w:val="0"/>
              <w:rPr>
                <w:szCs w:val="20"/>
              </w:rPr>
            </w:pPr>
            <w:r w:rsidRPr="00471CBA">
              <w:t>Bankacılık Hizmet Paketi Satış Gelirleri</w:t>
            </w:r>
          </w:p>
        </w:tc>
        <w:tc>
          <w:tcPr>
            <w:tcW w:w="1708" w:type="pct"/>
            <w:shd w:val="clear" w:color="auto" w:fill="FFFFFF"/>
            <w:noWrap/>
            <w:vAlign w:val="center"/>
          </w:tcPr>
          <w:p w14:paraId="440954F2" w14:textId="420E3D45" w:rsidR="009859B3" w:rsidRPr="00471CBA" w:rsidRDefault="009859B3" w:rsidP="009859B3">
            <w:pPr>
              <w:widowControl w:val="0"/>
              <w:jc w:val="right"/>
              <w:rPr>
                <w:szCs w:val="20"/>
              </w:rPr>
            </w:pPr>
            <w:r w:rsidRPr="00471CBA">
              <w:rPr>
                <w:color w:val="000000"/>
                <w:szCs w:val="20"/>
              </w:rPr>
              <w:t>556.177</w:t>
            </w:r>
          </w:p>
        </w:tc>
      </w:tr>
      <w:tr w:rsidR="009859B3" w:rsidRPr="00471CBA" w14:paraId="6CB378C2" w14:textId="7C476FFE" w:rsidTr="00092A3F">
        <w:trPr>
          <w:trHeight w:val="113"/>
        </w:trPr>
        <w:tc>
          <w:tcPr>
            <w:tcW w:w="3292" w:type="pct"/>
            <w:shd w:val="clear" w:color="auto" w:fill="FFFFFF"/>
            <w:noWrap/>
          </w:tcPr>
          <w:p w14:paraId="178AF658" w14:textId="64E10A14" w:rsidR="009859B3" w:rsidRPr="00471CBA" w:rsidRDefault="009859B3" w:rsidP="009859B3">
            <w:pPr>
              <w:widowControl w:val="0"/>
              <w:rPr>
                <w:szCs w:val="20"/>
              </w:rPr>
            </w:pPr>
            <w:r w:rsidRPr="00471CBA">
              <w:t>Sigorta ve Aracılık Komisyonları</w:t>
            </w:r>
          </w:p>
        </w:tc>
        <w:tc>
          <w:tcPr>
            <w:tcW w:w="1708" w:type="pct"/>
            <w:shd w:val="clear" w:color="auto" w:fill="FFFFFF"/>
            <w:noWrap/>
            <w:vAlign w:val="center"/>
          </w:tcPr>
          <w:p w14:paraId="49195A8C" w14:textId="44804725" w:rsidR="009859B3" w:rsidRPr="00471CBA" w:rsidRDefault="009859B3" w:rsidP="009859B3">
            <w:pPr>
              <w:widowControl w:val="0"/>
              <w:jc w:val="right"/>
            </w:pPr>
            <w:r w:rsidRPr="00471CBA">
              <w:rPr>
                <w:color w:val="000000"/>
                <w:szCs w:val="20"/>
              </w:rPr>
              <w:t>126.959</w:t>
            </w:r>
          </w:p>
        </w:tc>
      </w:tr>
      <w:tr w:rsidR="009859B3" w:rsidRPr="00471CBA" w14:paraId="7E3CB7C7" w14:textId="2FC51725" w:rsidTr="00092A3F">
        <w:trPr>
          <w:trHeight w:val="113"/>
        </w:trPr>
        <w:tc>
          <w:tcPr>
            <w:tcW w:w="3292" w:type="pct"/>
            <w:shd w:val="clear" w:color="auto" w:fill="FFFFFF"/>
            <w:noWrap/>
          </w:tcPr>
          <w:p w14:paraId="294C1407" w14:textId="1B0FB5FB" w:rsidR="009859B3" w:rsidRPr="00471CBA" w:rsidRDefault="009859B3" w:rsidP="009859B3">
            <w:pPr>
              <w:widowControl w:val="0"/>
              <w:rPr>
                <w:szCs w:val="20"/>
              </w:rPr>
            </w:pPr>
            <w:r w:rsidRPr="00471CBA">
              <w:t>Diğer</w:t>
            </w:r>
          </w:p>
        </w:tc>
        <w:tc>
          <w:tcPr>
            <w:tcW w:w="1708" w:type="pct"/>
            <w:shd w:val="clear" w:color="auto" w:fill="FFFFFF"/>
            <w:noWrap/>
            <w:vAlign w:val="center"/>
          </w:tcPr>
          <w:p w14:paraId="66A90BF6" w14:textId="243CF0EE" w:rsidR="009859B3" w:rsidRPr="00471CBA" w:rsidRDefault="009859B3" w:rsidP="009859B3">
            <w:pPr>
              <w:widowControl w:val="0"/>
              <w:jc w:val="right"/>
              <w:rPr>
                <w:szCs w:val="20"/>
              </w:rPr>
            </w:pPr>
            <w:r w:rsidRPr="00471CBA">
              <w:rPr>
                <w:color w:val="000000"/>
                <w:szCs w:val="20"/>
              </w:rPr>
              <w:t>89.403</w:t>
            </w:r>
          </w:p>
        </w:tc>
      </w:tr>
      <w:tr w:rsidR="009859B3" w:rsidRPr="00471CBA" w14:paraId="46733EA3" w14:textId="56A4112A" w:rsidTr="00092A3F">
        <w:trPr>
          <w:trHeight w:val="113"/>
        </w:trPr>
        <w:tc>
          <w:tcPr>
            <w:tcW w:w="3292" w:type="pct"/>
            <w:tcBorders>
              <w:top w:val="single" w:sz="4" w:space="0" w:color="auto"/>
            </w:tcBorders>
            <w:shd w:val="clear" w:color="auto" w:fill="FFFFFF"/>
            <w:noWrap/>
            <w:vAlign w:val="bottom"/>
          </w:tcPr>
          <w:p w14:paraId="2576322B" w14:textId="77777777" w:rsidR="009859B3" w:rsidRPr="00471CBA" w:rsidRDefault="009859B3" w:rsidP="009859B3">
            <w:pPr>
              <w:widowControl w:val="0"/>
              <w:rPr>
                <w:szCs w:val="20"/>
              </w:rPr>
            </w:pPr>
          </w:p>
        </w:tc>
        <w:tc>
          <w:tcPr>
            <w:tcW w:w="1708" w:type="pct"/>
            <w:tcBorders>
              <w:top w:val="single" w:sz="4" w:space="0" w:color="auto"/>
            </w:tcBorders>
            <w:shd w:val="clear" w:color="auto" w:fill="FFFFFF"/>
            <w:noWrap/>
            <w:vAlign w:val="center"/>
          </w:tcPr>
          <w:p w14:paraId="426F649A" w14:textId="50F3A6AA" w:rsidR="009859B3" w:rsidRPr="00471CBA" w:rsidRDefault="009859B3" w:rsidP="009859B3">
            <w:pPr>
              <w:widowControl w:val="0"/>
              <w:jc w:val="right"/>
              <w:rPr>
                <w:szCs w:val="20"/>
              </w:rPr>
            </w:pPr>
            <w:r w:rsidRPr="00471CBA">
              <w:rPr>
                <w:color w:val="000000"/>
                <w:szCs w:val="20"/>
              </w:rPr>
              <w:t> </w:t>
            </w:r>
          </w:p>
        </w:tc>
      </w:tr>
      <w:tr w:rsidR="009859B3" w:rsidRPr="00471CBA" w14:paraId="5BF86402" w14:textId="22FA8B8D" w:rsidTr="00092A3F">
        <w:trPr>
          <w:trHeight w:val="113"/>
        </w:trPr>
        <w:tc>
          <w:tcPr>
            <w:tcW w:w="3292" w:type="pct"/>
            <w:tcBorders>
              <w:bottom w:val="single" w:sz="12" w:space="0" w:color="auto"/>
            </w:tcBorders>
            <w:shd w:val="clear" w:color="auto" w:fill="FFFFFF"/>
            <w:noWrap/>
            <w:vAlign w:val="bottom"/>
          </w:tcPr>
          <w:p w14:paraId="4E36D31F" w14:textId="77777777" w:rsidR="009859B3" w:rsidRPr="00471CBA" w:rsidRDefault="009859B3" w:rsidP="009859B3">
            <w:pPr>
              <w:widowControl w:val="0"/>
              <w:rPr>
                <w:b/>
                <w:szCs w:val="20"/>
              </w:rPr>
            </w:pPr>
            <w:r w:rsidRPr="00471CBA">
              <w:rPr>
                <w:b/>
                <w:szCs w:val="20"/>
              </w:rPr>
              <w:t>Toplam</w:t>
            </w:r>
          </w:p>
        </w:tc>
        <w:tc>
          <w:tcPr>
            <w:tcW w:w="1708" w:type="pct"/>
            <w:tcBorders>
              <w:bottom w:val="single" w:sz="12" w:space="0" w:color="auto"/>
            </w:tcBorders>
            <w:shd w:val="clear" w:color="auto" w:fill="FFFFFF"/>
            <w:noWrap/>
            <w:vAlign w:val="center"/>
          </w:tcPr>
          <w:p w14:paraId="284E3949" w14:textId="71ADAE3A" w:rsidR="009859B3" w:rsidRPr="00471CBA" w:rsidRDefault="009859B3" w:rsidP="009859B3">
            <w:pPr>
              <w:widowControl w:val="0"/>
              <w:jc w:val="right"/>
              <w:rPr>
                <w:b/>
                <w:szCs w:val="20"/>
              </w:rPr>
            </w:pPr>
            <w:r w:rsidRPr="00471CBA">
              <w:rPr>
                <w:b/>
                <w:bCs/>
                <w:color w:val="000000"/>
                <w:szCs w:val="20"/>
              </w:rPr>
              <w:t>772.539</w:t>
            </w:r>
          </w:p>
        </w:tc>
      </w:tr>
      <w:bookmarkEnd w:id="150"/>
      <w:bookmarkEnd w:id="151"/>
    </w:tbl>
    <w:p w14:paraId="63218D4C" w14:textId="65DEC868" w:rsidR="005428F8" w:rsidRPr="00471CBA" w:rsidRDefault="005428F8" w:rsidP="009F6E11">
      <w:pPr>
        <w:widowControl w:val="0"/>
        <w:rPr>
          <w:szCs w:val="20"/>
        </w:rPr>
      </w:pPr>
    </w:p>
    <w:tbl>
      <w:tblPr>
        <w:tblW w:w="5000" w:type="pct"/>
        <w:tblCellMar>
          <w:left w:w="70" w:type="dxa"/>
          <w:right w:w="70" w:type="dxa"/>
        </w:tblCellMar>
        <w:tblLook w:val="0000" w:firstRow="0" w:lastRow="0" w:firstColumn="0" w:lastColumn="0" w:noHBand="0" w:noVBand="0"/>
      </w:tblPr>
      <w:tblGrid>
        <w:gridCol w:w="6161"/>
        <w:gridCol w:w="3194"/>
      </w:tblGrid>
      <w:tr w:rsidR="001C13B0" w:rsidRPr="00471CBA" w14:paraId="5807C15C" w14:textId="77777777" w:rsidTr="00161613">
        <w:trPr>
          <w:trHeight w:val="113"/>
        </w:trPr>
        <w:tc>
          <w:tcPr>
            <w:tcW w:w="3293" w:type="pct"/>
            <w:shd w:val="clear" w:color="auto" w:fill="FFFFFF"/>
            <w:noWrap/>
            <w:vAlign w:val="bottom"/>
          </w:tcPr>
          <w:p w14:paraId="5ACAFD54" w14:textId="77777777" w:rsidR="001C13B0" w:rsidRPr="00471CBA" w:rsidRDefault="001C13B0" w:rsidP="003D1625">
            <w:pPr>
              <w:widowControl w:val="0"/>
              <w:rPr>
                <w:b/>
                <w:bCs/>
                <w:szCs w:val="20"/>
              </w:rPr>
            </w:pPr>
            <w:r w:rsidRPr="00471CBA">
              <w:rPr>
                <w:b/>
                <w:bCs/>
                <w:szCs w:val="20"/>
              </w:rPr>
              <w:t xml:space="preserve">Diğer Alınan Ücret ve Komisyonlar </w:t>
            </w:r>
          </w:p>
        </w:tc>
        <w:tc>
          <w:tcPr>
            <w:tcW w:w="1707" w:type="pct"/>
            <w:tcBorders>
              <w:bottom w:val="single" w:sz="4" w:space="0" w:color="auto"/>
            </w:tcBorders>
            <w:shd w:val="clear" w:color="auto" w:fill="FFFFFF"/>
          </w:tcPr>
          <w:p w14:paraId="257D6E93" w14:textId="6FF20D42" w:rsidR="001C13B0" w:rsidRPr="00471CBA" w:rsidRDefault="000D24B7" w:rsidP="003D1625">
            <w:pPr>
              <w:widowControl w:val="0"/>
              <w:ind w:right="44"/>
              <w:jc w:val="right"/>
              <w:rPr>
                <w:b/>
                <w:szCs w:val="20"/>
              </w:rPr>
            </w:pPr>
            <w:r w:rsidRPr="00471CBA">
              <w:rPr>
                <w:b/>
                <w:szCs w:val="20"/>
              </w:rPr>
              <w:t>1 Ocak - 31 Aralık 2024</w:t>
            </w:r>
          </w:p>
        </w:tc>
      </w:tr>
      <w:tr w:rsidR="001C13B0" w:rsidRPr="00471CBA" w14:paraId="6D9F5291" w14:textId="77777777" w:rsidTr="00161613">
        <w:trPr>
          <w:trHeight w:val="113"/>
        </w:trPr>
        <w:tc>
          <w:tcPr>
            <w:tcW w:w="3293" w:type="pct"/>
            <w:shd w:val="clear" w:color="auto" w:fill="FFFFFF"/>
            <w:noWrap/>
            <w:vAlign w:val="bottom"/>
          </w:tcPr>
          <w:p w14:paraId="3C91DCF5" w14:textId="77777777" w:rsidR="001C13B0" w:rsidRPr="00471CBA" w:rsidRDefault="001C13B0" w:rsidP="003D1625">
            <w:pPr>
              <w:widowControl w:val="0"/>
              <w:rPr>
                <w:szCs w:val="20"/>
              </w:rPr>
            </w:pPr>
          </w:p>
        </w:tc>
        <w:tc>
          <w:tcPr>
            <w:tcW w:w="1707" w:type="pct"/>
            <w:tcBorders>
              <w:top w:val="single" w:sz="4" w:space="0" w:color="auto"/>
            </w:tcBorders>
            <w:shd w:val="clear" w:color="auto" w:fill="FFFFFF"/>
          </w:tcPr>
          <w:p w14:paraId="3B8B649B" w14:textId="77777777" w:rsidR="001C13B0" w:rsidRPr="00471CBA" w:rsidRDefault="001C13B0" w:rsidP="003D1625">
            <w:pPr>
              <w:widowControl w:val="0"/>
              <w:ind w:right="44"/>
              <w:jc w:val="right"/>
              <w:rPr>
                <w:szCs w:val="20"/>
              </w:rPr>
            </w:pPr>
          </w:p>
        </w:tc>
      </w:tr>
      <w:tr w:rsidR="000D24B7" w:rsidRPr="00471CBA" w14:paraId="51BA2962" w14:textId="77777777" w:rsidTr="00161613">
        <w:trPr>
          <w:trHeight w:val="113"/>
        </w:trPr>
        <w:tc>
          <w:tcPr>
            <w:tcW w:w="3293" w:type="pct"/>
            <w:shd w:val="clear" w:color="auto" w:fill="FFFFFF"/>
            <w:noWrap/>
          </w:tcPr>
          <w:p w14:paraId="142F70BA" w14:textId="77777777" w:rsidR="000D24B7" w:rsidRPr="00471CBA" w:rsidRDefault="000D24B7" w:rsidP="000D24B7">
            <w:pPr>
              <w:widowControl w:val="0"/>
              <w:rPr>
                <w:szCs w:val="20"/>
              </w:rPr>
            </w:pPr>
            <w:r w:rsidRPr="00471CBA">
              <w:t>Bankacılık Hizmet Paketi Satış Gelirleri</w:t>
            </w:r>
          </w:p>
        </w:tc>
        <w:tc>
          <w:tcPr>
            <w:tcW w:w="1707" w:type="pct"/>
            <w:shd w:val="clear" w:color="auto" w:fill="FFFFFF"/>
          </w:tcPr>
          <w:p w14:paraId="6D2579AF" w14:textId="5C2F88A6" w:rsidR="000D24B7" w:rsidRPr="00471CBA" w:rsidRDefault="000D24B7" w:rsidP="000D24B7">
            <w:pPr>
              <w:widowControl w:val="0"/>
              <w:jc w:val="right"/>
            </w:pPr>
            <w:r w:rsidRPr="00471CBA">
              <w:t>137.672</w:t>
            </w:r>
          </w:p>
        </w:tc>
      </w:tr>
      <w:tr w:rsidR="000D24B7" w:rsidRPr="00471CBA" w14:paraId="4C9C0D8A" w14:textId="77777777" w:rsidTr="00161613">
        <w:trPr>
          <w:trHeight w:val="113"/>
        </w:trPr>
        <w:tc>
          <w:tcPr>
            <w:tcW w:w="3293" w:type="pct"/>
            <w:shd w:val="clear" w:color="auto" w:fill="FFFFFF"/>
            <w:noWrap/>
          </w:tcPr>
          <w:p w14:paraId="6DD26359" w14:textId="77777777" w:rsidR="000D24B7" w:rsidRPr="00471CBA" w:rsidRDefault="000D24B7" w:rsidP="000D24B7">
            <w:pPr>
              <w:widowControl w:val="0"/>
              <w:rPr>
                <w:szCs w:val="20"/>
              </w:rPr>
            </w:pPr>
            <w:r w:rsidRPr="00471CBA">
              <w:t>Sigorta ve Aracılık Komisyonları</w:t>
            </w:r>
          </w:p>
        </w:tc>
        <w:tc>
          <w:tcPr>
            <w:tcW w:w="1707" w:type="pct"/>
            <w:shd w:val="clear" w:color="auto" w:fill="FFFFFF"/>
          </w:tcPr>
          <w:p w14:paraId="463078EE" w14:textId="04363EEF" w:rsidR="000D24B7" w:rsidRPr="00471CBA" w:rsidRDefault="000D24B7" w:rsidP="000D24B7">
            <w:pPr>
              <w:widowControl w:val="0"/>
              <w:jc w:val="right"/>
            </w:pPr>
            <w:r w:rsidRPr="00471CBA">
              <w:t>36.015</w:t>
            </w:r>
          </w:p>
        </w:tc>
      </w:tr>
      <w:tr w:rsidR="000D24B7" w:rsidRPr="00471CBA" w14:paraId="4984A8F2" w14:textId="77777777" w:rsidTr="00161613">
        <w:trPr>
          <w:trHeight w:val="113"/>
        </w:trPr>
        <w:tc>
          <w:tcPr>
            <w:tcW w:w="3293" w:type="pct"/>
            <w:shd w:val="clear" w:color="auto" w:fill="FFFFFF"/>
            <w:noWrap/>
          </w:tcPr>
          <w:p w14:paraId="19C04120" w14:textId="77777777" w:rsidR="000D24B7" w:rsidRPr="00471CBA" w:rsidRDefault="000D24B7" w:rsidP="000D24B7">
            <w:pPr>
              <w:widowControl w:val="0"/>
              <w:rPr>
                <w:szCs w:val="20"/>
              </w:rPr>
            </w:pPr>
            <w:r w:rsidRPr="00471CBA">
              <w:t>Diğer</w:t>
            </w:r>
          </w:p>
        </w:tc>
        <w:tc>
          <w:tcPr>
            <w:tcW w:w="1707" w:type="pct"/>
            <w:shd w:val="clear" w:color="auto" w:fill="FFFFFF"/>
          </w:tcPr>
          <w:p w14:paraId="31133929" w14:textId="4B1A643D" w:rsidR="000D24B7" w:rsidRPr="00471CBA" w:rsidRDefault="000D24B7" w:rsidP="000D24B7">
            <w:pPr>
              <w:widowControl w:val="0"/>
              <w:jc w:val="right"/>
            </w:pPr>
            <w:r w:rsidRPr="00471CBA">
              <w:t>7.773</w:t>
            </w:r>
          </w:p>
        </w:tc>
      </w:tr>
      <w:tr w:rsidR="000D24B7" w:rsidRPr="00471CBA" w14:paraId="45029583" w14:textId="77777777" w:rsidTr="00161613">
        <w:trPr>
          <w:trHeight w:val="113"/>
        </w:trPr>
        <w:tc>
          <w:tcPr>
            <w:tcW w:w="3293" w:type="pct"/>
            <w:tcBorders>
              <w:top w:val="single" w:sz="4" w:space="0" w:color="auto"/>
            </w:tcBorders>
            <w:shd w:val="clear" w:color="auto" w:fill="FFFFFF"/>
            <w:noWrap/>
            <w:vAlign w:val="bottom"/>
          </w:tcPr>
          <w:p w14:paraId="01521799" w14:textId="77777777" w:rsidR="000D24B7" w:rsidRPr="00471CBA" w:rsidRDefault="000D24B7" w:rsidP="000D24B7">
            <w:pPr>
              <w:widowControl w:val="0"/>
              <w:rPr>
                <w:szCs w:val="20"/>
              </w:rPr>
            </w:pPr>
          </w:p>
        </w:tc>
        <w:tc>
          <w:tcPr>
            <w:tcW w:w="1707" w:type="pct"/>
            <w:tcBorders>
              <w:top w:val="single" w:sz="4" w:space="0" w:color="auto"/>
            </w:tcBorders>
            <w:shd w:val="clear" w:color="auto" w:fill="FFFFFF"/>
          </w:tcPr>
          <w:p w14:paraId="0B368114" w14:textId="77777777" w:rsidR="000D24B7" w:rsidRPr="00471CBA" w:rsidRDefault="000D24B7" w:rsidP="000D24B7">
            <w:pPr>
              <w:widowControl w:val="0"/>
              <w:jc w:val="right"/>
              <w:rPr>
                <w:szCs w:val="20"/>
              </w:rPr>
            </w:pPr>
          </w:p>
        </w:tc>
      </w:tr>
      <w:tr w:rsidR="000D24B7" w:rsidRPr="00471CBA" w14:paraId="2461E23B" w14:textId="77777777" w:rsidTr="00161613">
        <w:trPr>
          <w:trHeight w:val="113"/>
        </w:trPr>
        <w:tc>
          <w:tcPr>
            <w:tcW w:w="3293" w:type="pct"/>
            <w:tcBorders>
              <w:bottom w:val="single" w:sz="12" w:space="0" w:color="auto"/>
            </w:tcBorders>
            <w:shd w:val="clear" w:color="auto" w:fill="FFFFFF"/>
            <w:noWrap/>
            <w:vAlign w:val="bottom"/>
          </w:tcPr>
          <w:p w14:paraId="0F2E93BE" w14:textId="77777777" w:rsidR="000D24B7" w:rsidRPr="00471CBA" w:rsidRDefault="000D24B7" w:rsidP="000D24B7">
            <w:pPr>
              <w:widowControl w:val="0"/>
              <w:rPr>
                <w:b/>
                <w:szCs w:val="20"/>
              </w:rPr>
            </w:pPr>
            <w:r w:rsidRPr="00471CBA">
              <w:rPr>
                <w:b/>
                <w:szCs w:val="20"/>
              </w:rPr>
              <w:t>Toplam</w:t>
            </w:r>
          </w:p>
        </w:tc>
        <w:tc>
          <w:tcPr>
            <w:tcW w:w="1707" w:type="pct"/>
            <w:tcBorders>
              <w:bottom w:val="single" w:sz="12" w:space="0" w:color="auto"/>
            </w:tcBorders>
            <w:shd w:val="clear" w:color="auto" w:fill="FFFFFF"/>
          </w:tcPr>
          <w:p w14:paraId="0F1499ED" w14:textId="47F99CC3" w:rsidR="000D24B7" w:rsidRPr="00471CBA" w:rsidRDefault="000D24B7" w:rsidP="000D24B7">
            <w:pPr>
              <w:widowControl w:val="0"/>
              <w:jc w:val="right"/>
              <w:rPr>
                <w:b/>
              </w:rPr>
            </w:pPr>
            <w:r w:rsidRPr="00471CBA">
              <w:rPr>
                <w:b/>
              </w:rPr>
              <w:t>181.460</w:t>
            </w:r>
          </w:p>
        </w:tc>
      </w:tr>
    </w:tbl>
    <w:p w14:paraId="2EBB196C" w14:textId="5A30AFB3" w:rsidR="001C13B0" w:rsidRPr="00471CBA" w:rsidRDefault="001C13B0" w:rsidP="009F6E11">
      <w:pPr>
        <w:widowControl w:val="0"/>
        <w:rPr>
          <w:szCs w:val="20"/>
        </w:rPr>
      </w:pPr>
    </w:p>
    <w:p w14:paraId="78345D21" w14:textId="77777777" w:rsidR="001C13B0" w:rsidRPr="00471CBA" w:rsidRDefault="001C13B0" w:rsidP="009F6E11">
      <w:pPr>
        <w:widowControl w:val="0"/>
        <w:rPr>
          <w:szCs w:val="20"/>
        </w:rPr>
      </w:pPr>
    </w:p>
    <w:tbl>
      <w:tblPr>
        <w:tblW w:w="5000" w:type="pct"/>
        <w:tblCellMar>
          <w:left w:w="70" w:type="dxa"/>
          <w:right w:w="70" w:type="dxa"/>
        </w:tblCellMar>
        <w:tblLook w:val="0000" w:firstRow="0" w:lastRow="0" w:firstColumn="0" w:lastColumn="0" w:noHBand="0" w:noVBand="0"/>
      </w:tblPr>
      <w:tblGrid>
        <w:gridCol w:w="6363"/>
        <w:gridCol w:w="2992"/>
      </w:tblGrid>
      <w:tr w:rsidR="00161613" w:rsidRPr="00471CBA" w14:paraId="5F399BA0" w14:textId="49F3EE8D" w:rsidTr="00161613">
        <w:trPr>
          <w:trHeight w:val="113"/>
        </w:trPr>
        <w:tc>
          <w:tcPr>
            <w:tcW w:w="3401" w:type="pct"/>
            <w:shd w:val="clear" w:color="auto" w:fill="FFFFFF"/>
            <w:noWrap/>
            <w:vAlign w:val="bottom"/>
          </w:tcPr>
          <w:p w14:paraId="7C4FC44F" w14:textId="77777777" w:rsidR="00161613" w:rsidRPr="00471CBA" w:rsidRDefault="00161613" w:rsidP="00C339B9">
            <w:pPr>
              <w:widowControl w:val="0"/>
              <w:rPr>
                <w:b/>
                <w:bCs/>
                <w:szCs w:val="20"/>
              </w:rPr>
            </w:pPr>
            <w:r w:rsidRPr="00471CBA">
              <w:rPr>
                <w:b/>
                <w:bCs/>
                <w:szCs w:val="20"/>
              </w:rPr>
              <w:t>Diğer Verilen Ücret ve Komisyonlar</w:t>
            </w:r>
          </w:p>
        </w:tc>
        <w:tc>
          <w:tcPr>
            <w:tcW w:w="1599" w:type="pct"/>
            <w:tcBorders>
              <w:bottom w:val="single" w:sz="4" w:space="0" w:color="auto"/>
            </w:tcBorders>
            <w:shd w:val="clear" w:color="auto" w:fill="FFFFFF"/>
            <w:noWrap/>
            <w:vAlign w:val="bottom"/>
          </w:tcPr>
          <w:p w14:paraId="1B2B17B8" w14:textId="34B60997" w:rsidR="00161613" w:rsidRPr="00471CBA" w:rsidRDefault="009859B3" w:rsidP="00C339B9">
            <w:pPr>
              <w:widowControl w:val="0"/>
              <w:jc w:val="right"/>
              <w:rPr>
                <w:b/>
                <w:szCs w:val="20"/>
              </w:rPr>
            </w:pPr>
            <w:r w:rsidRPr="00471CBA">
              <w:rPr>
                <w:b/>
                <w:szCs w:val="20"/>
              </w:rPr>
              <w:t>1 Ocak - 31 Aralık 2025</w:t>
            </w:r>
          </w:p>
        </w:tc>
      </w:tr>
      <w:tr w:rsidR="00161613" w:rsidRPr="00471CBA" w14:paraId="4619850D" w14:textId="39C5D16B" w:rsidTr="00161613">
        <w:trPr>
          <w:trHeight w:val="113"/>
        </w:trPr>
        <w:tc>
          <w:tcPr>
            <w:tcW w:w="3401" w:type="pct"/>
            <w:shd w:val="clear" w:color="auto" w:fill="FFFFFF"/>
            <w:noWrap/>
            <w:vAlign w:val="bottom"/>
          </w:tcPr>
          <w:p w14:paraId="156593E4" w14:textId="77777777" w:rsidR="00161613" w:rsidRPr="00471CBA" w:rsidRDefault="00161613" w:rsidP="009F6E11">
            <w:pPr>
              <w:widowControl w:val="0"/>
              <w:rPr>
                <w:b/>
                <w:bCs/>
                <w:szCs w:val="20"/>
              </w:rPr>
            </w:pPr>
          </w:p>
        </w:tc>
        <w:tc>
          <w:tcPr>
            <w:tcW w:w="1599" w:type="pct"/>
            <w:tcBorders>
              <w:top w:val="single" w:sz="4" w:space="0" w:color="auto"/>
            </w:tcBorders>
            <w:shd w:val="clear" w:color="auto" w:fill="FFFFFF"/>
            <w:noWrap/>
            <w:vAlign w:val="bottom"/>
          </w:tcPr>
          <w:p w14:paraId="74E74407" w14:textId="77777777" w:rsidR="00161613" w:rsidRPr="00471CBA" w:rsidRDefault="00161613" w:rsidP="009F6E11">
            <w:pPr>
              <w:widowControl w:val="0"/>
              <w:jc w:val="right"/>
              <w:rPr>
                <w:b/>
                <w:szCs w:val="20"/>
              </w:rPr>
            </w:pPr>
          </w:p>
        </w:tc>
      </w:tr>
      <w:tr w:rsidR="009859B3" w:rsidRPr="00471CBA" w14:paraId="61868BB3" w14:textId="13439CA4" w:rsidTr="003E0EE0">
        <w:trPr>
          <w:trHeight w:val="113"/>
        </w:trPr>
        <w:tc>
          <w:tcPr>
            <w:tcW w:w="3401" w:type="pct"/>
            <w:shd w:val="clear" w:color="auto" w:fill="FFFFFF"/>
            <w:noWrap/>
            <w:vAlign w:val="bottom"/>
          </w:tcPr>
          <w:p w14:paraId="68DC7176" w14:textId="5947BADB" w:rsidR="009859B3" w:rsidRPr="00471CBA" w:rsidRDefault="009859B3" w:rsidP="009859B3">
            <w:pPr>
              <w:widowControl w:val="0"/>
              <w:rPr>
                <w:szCs w:val="20"/>
              </w:rPr>
            </w:pPr>
            <w:r w:rsidRPr="00471CBA">
              <w:rPr>
                <w:szCs w:val="20"/>
              </w:rPr>
              <w:t>Kredi kartı ücret komisyonları</w:t>
            </w:r>
          </w:p>
        </w:tc>
        <w:tc>
          <w:tcPr>
            <w:tcW w:w="1599" w:type="pct"/>
            <w:shd w:val="clear" w:color="auto" w:fill="FFFFFF"/>
            <w:noWrap/>
            <w:vAlign w:val="center"/>
          </w:tcPr>
          <w:p w14:paraId="6BF9999A" w14:textId="01D21E1E" w:rsidR="009859B3" w:rsidRPr="00471CBA" w:rsidRDefault="009859B3" w:rsidP="009859B3">
            <w:pPr>
              <w:widowControl w:val="0"/>
              <w:jc w:val="right"/>
              <w:rPr>
                <w:szCs w:val="20"/>
              </w:rPr>
            </w:pPr>
            <w:r w:rsidRPr="00471CBA">
              <w:rPr>
                <w:color w:val="000000"/>
                <w:szCs w:val="20"/>
              </w:rPr>
              <w:t>5.331</w:t>
            </w:r>
          </w:p>
        </w:tc>
      </w:tr>
      <w:tr w:rsidR="009859B3" w:rsidRPr="00471CBA" w14:paraId="6DD015A8" w14:textId="6D513E2C" w:rsidTr="003E0EE0">
        <w:trPr>
          <w:trHeight w:val="113"/>
        </w:trPr>
        <w:tc>
          <w:tcPr>
            <w:tcW w:w="3401" w:type="pct"/>
            <w:shd w:val="clear" w:color="auto" w:fill="FFFFFF"/>
            <w:noWrap/>
            <w:vAlign w:val="center"/>
          </w:tcPr>
          <w:p w14:paraId="74CB60F9" w14:textId="0CDF5253" w:rsidR="009859B3" w:rsidRPr="00471CBA" w:rsidRDefault="009859B3" w:rsidP="009859B3">
            <w:pPr>
              <w:widowControl w:val="0"/>
              <w:rPr>
                <w:bCs/>
                <w:szCs w:val="20"/>
              </w:rPr>
            </w:pPr>
            <w:r w:rsidRPr="00471CBA">
              <w:rPr>
                <w:color w:val="000000"/>
                <w:szCs w:val="20"/>
              </w:rPr>
              <w:t>Swift, EFT ve havale için verilen ücret ve komisyonlar</w:t>
            </w:r>
          </w:p>
        </w:tc>
        <w:tc>
          <w:tcPr>
            <w:tcW w:w="1599" w:type="pct"/>
            <w:noWrap/>
            <w:vAlign w:val="center"/>
          </w:tcPr>
          <w:p w14:paraId="3954305C" w14:textId="6E6FE657" w:rsidR="009859B3" w:rsidRPr="00471CBA" w:rsidRDefault="009859B3" w:rsidP="009859B3">
            <w:pPr>
              <w:widowControl w:val="0"/>
              <w:jc w:val="right"/>
              <w:rPr>
                <w:color w:val="000000"/>
                <w:szCs w:val="20"/>
              </w:rPr>
            </w:pPr>
            <w:r w:rsidRPr="00471CBA">
              <w:rPr>
                <w:color w:val="000000"/>
                <w:szCs w:val="20"/>
              </w:rPr>
              <w:t>117.185</w:t>
            </w:r>
          </w:p>
        </w:tc>
      </w:tr>
      <w:tr w:rsidR="009859B3" w:rsidRPr="00471CBA" w14:paraId="51258342" w14:textId="5CD893D6" w:rsidTr="00EE72CB">
        <w:trPr>
          <w:trHeight w:val="113"/>
        </w:trPr>
        <w:tc>
          <w:tcPr>
            <w:tcW w:w="3401" w:type="pct"/>
            <w:shd w:val="clear" w:color="auto" w:fill="FFFFFF"/>
            <w:noWrap/>
            <w:vAlign w:val="center"/>
          </w:tcPr>
          <w:p w14:paraId="0B20BA25" w14:textId="0F918987" w:rsidR="009859B3" w:rsidRPr="00471CBA" w:rsidRDefault="009859B3" w:rsidP="009859B3">
            <w:pPr>
              <w:widowControl w:val="0"/>
              <w:rPr>
                <w:szCs w:val="20"/>
              </w:rPr>
            </w:pPr>
            <w:r w:rsidRPr="00471CBA">
              <w:rPr>
                <w:szCs w:val="20"/>
              </w:rPr>
              <w:t>Takas odasına verilen komisyon ve ücretler</w:t>
            </w:r>
          </w:p>
        </w:tc>
        <w:tc>
          <w:tcPr>
            <w:tcW w:w="1599" w:type="pct"/>
            <w:noWrap/>
            <w:vAlign w:val="center"/>
          </w:tcPr>
          <w:p w14:paraId="0191CB00" w14:textId="1F3C52CE" w:rsidR="009859B3" w:rsidRPr="00471CBA" w:rsidRDefault="009859B3" w:rsidP="009859B3">
            <w:pPr>
              <w:widowControl w:val="0"/>
              <w:jc w:val="right"/>
              <w:rPr>
                <w:szCs w:val="20"/>
              </w:rPr>
            </w:pPr>
            <w:r w:rsidRPr="00471CBA">
              <w:rPr>
                <w:color w:val="000000"/>
                <w:szCs w:val="20"/>
              </w:rPr>
              <w:t>7.563</w:t>
            </w:r>
          </w:p>
        </w:tc>
      </w:tr>
      <w:tr w:rsidR="009859B3" w:rsidRPr="00471CBA" w14:paraId="13E80FED" w14:textId="1FD16E4F" w:rsidTr="00EE72CB">
        <w:trPr>
          <w:trHeight w:val="113"/>
        </w:trPr>
        <w:tc>
          <w:tcPr>
            <w:tcW w:w="3401" w:type="pct"/>
            <w:shd w:val="clear" w:color="auto" w:fill="FFFFFF"/>
            <w:noWrap/>
            <w:vAlign w:val="center"/>
          </w:tcPr>
          <w:p w14:paraId="4A223120" w14:textId="3F892DB4" w:rsidR="009859B3" w:rsidRPr="00471CBA" w:rsidRDefault="009859B3" w:rsidP="009859B3">
            <w:pPr>
              <w:widowControl w:val="0"/>
              <w:rPr>
                <w:szCs w:val="20"/>
              </w:rPr>
            </w:pPr>
            <w:r w:rsidRPr="00471CBA">
              <w:rPr>
                <w:szCs w:val="20"/>
              </w:rPr>
              <w:t>Grup nakillerine verilen ücret ve komisyonlar</w:t>
            </w:r>
          </w:p>
        </w:tc>
        <w:tc>
          <w:tcPr>
            <w:tcW w:w="1599" w:type="pct"/>
            <w:noWrap/>
            <w:vAlign w:val="center"/>
          </w:tcPr>
          <w:p w14:paraId="1CC38593" w14:textId="32CC2934" w:rsidR="009859B3" w:rsidRPr="00471CBA" w:rsidRDefault="009859B3" w:rsidP="009859B3">
            <w:pPr>
              <w:widowControl w:val="0"/>
              <w:jc w:val="right"/>
            </w:pPr>
            <w:r w:rsidRPr="00471CBA">
              <w:rPr>
                <w:color w:val="000000"/>
                <w:szCs w:val="20"/>
              </w:rPr>
              <w:t>2.442</w:t>
            </w:r>
          </w:p>
        </w:tc>
      </w:tr>
      <w:tr w:rsidR="009859B3" w:rsidRPr="00471CBA" w14:paraId="3D49BAAD" w14:textId="441644E6" w:rsidTr="00EE72CB">
        <w:trPr>
          <w:trHeight w:val="113"/>
        </w:trPr>
        <w:tc>
          <w:tcPr>
            <w:tcW w:w="3401" w:type="pct"/>
            <w:tcBorders>
              <w:bottom w:val="single" w:sz="4" w:space="0" w:color="auto"/>
            </w:tcBorders>
            <w:shd w:val="clear" w:color="auto" w:fill="FFFFFF"/>
            <w:noWrap/>
            <w:vAlign w:val="center"/>
          </w:tcPr>
          <w:p w14:paraId="4F7C07A5" w14:textId="01415809" w:rsidR="009859B3" w:rsidRPr="00471CBA" w:rsidRDefault="009859B3" w:rsidP="009859B3">
            <w:pPr>
              <w:widowControl w:val="0"/>
              <w:rPr>
                <w:szCs w:val="20"/>
              </w:rPr>
            </w:pPr>
            <w:r w:rsidRPr="00471CBA">
              <w:rPr>
                <w:color w:val="000000"/>
                <w:szCs w:val="20"/>
              </w:rPr>
              <w:t>Diğer</w:t>
            </w:r>
          </w:p>
        </w:tc>
        <w:tc>
          <w:tcPr>
            <w:tcW w:w="1599" w:type="pct"/>
            <w:tcBorders>
              <w:bottom w:val="single" w:sz="4" w:space="0" w:color="auto"/>
            </w:tcBorders>
            <w:noWrap/>
            <w:vAlign w:val="center"/>
          </w:tcPr>
          <w:p w14:paraId="643E18C9" w14:textId="489C47ED" w:rsidR="009859B3" w:rsidRPr="00471CBA" w:rsidRDefault="009859B3" w:rsidP="009859B3">
            <w:pPr>
              <w:widowControl w:val="0"/>
              <w:jc w:val="right"/>
              <w:rPr>
                <w:color w:val="000000"/>
                <w:szCs w:val="20"/>
              </w:rPr>
            </w:pPr>
            <w:r w:rsidRPr="00471CBA">
              <w:rPr>
                <w:color w:val="000000"/>
                <w:szCs w:val="20"/>
              </w:rPr>
              <w:t>27.664</w:t>
            </w:r>
          </w:p>
        </w:tc>
      </w:tr>
      <w:tr w:rsidR="00161613" w:rsidRPr="00471CBA" w14:paraId="44EED9E1" w14:textId="2191D5EB" w:rsidTr="00161613">
        <w:trPr>
          <w:trHeight w:val="113"/>
        </w:trPr>
        <w:tc>
          <w:tcPr>
            <w:tcW w:w="3401" w:type="pct"/>
            <w:tcBorders>
              <w:top w:val="single" w:sz="4" w:space="0" w:color="auto"/>
            </w:tcBorders>
            <w:shd w:val="clear" w:color="auto" w:fill="FFFFFF"/>
            <w:noWrap/>
            <w:vAlign w:val="bottom"/>
          </w:tcPr>
          <w:p w14:paraId="49AE5228" w14:textId="77777777" w:rsidR="00161613" w:rsidRPr="00471CBA" w:rsidRDefault="00161613" w:rsidP="00220A18">
            <w:pPr>
              <w:widowControl w:val="0"/>
              <w:rPr>
                <w:szCs w:val="20"/>
              </w:rPr>
            </w:pPr>
          </w:p>
        </w:tc>
        <w:tc>
          <w:tcPr>
            <w:tcW w:w="1599" w:type="pct"/>
            <w:tcBorders>
              <w:top w:val="single" w:sz="4" w:space="0" w:color="auto"/>
            </w:tcBorders>
            <w:noWrap/>
          </w:tcPr>
          <w:p w14:paraId="3F9297CE" w14:textId="77777777" w:rsidR="00161613" w:rsidRPr="00471CBA" w:rsidRDefault="00161613" w:rsidP="00220A18">
            <w:pPr>
              <w:widowControl w:val="0"/>
              <w:jc w:val="right"/>
              <w:rPr>
                <w:color w:val="000000"/>
                <w:szCs w:val="20"/>
              </w:rPr>
            </w:pPr>
          </w:p>
        </w:tc>
      </w:tr>
      <w:tr w:rsidR="00161613" w:rsidRPr="00471CBA" w14:paraId="35A261F7" w14:textId="0D51249F" w:rsidTr="00161613">
        <w:trPr>
          <w:trHeight w:val="113"/>
        </w:trPr>
        <w:tc>
          <w:tcPr>
            <w:tcW w:w="3401" w:type="pct"/>
            <w:tcBorders>
              <w:bottom w:val="single" w:sz="12" w:space="0" w:color="auto"/>
            </w:tcBorders>
            <w:shd w:val="clear" w:color="auto" w:fill="FFFFFF"/>
            <w:noWrap/>
            <w:vAlign w:val="bottom"/>
          </w:tcPr>
          <w:p w14:paraId="5D746BA5" w14:textId="77777777" w:rsidR="00161613" w:rsidRPr="00471CBA" w:rsidRDefault="00161613" w:rsidP="00220A18">
            <w:pPr>
              <w:widowControl w:val="0"/>
              <w:rPr>
                <w:b/>
                <w:szCs w:val="20"/>
              </w:rPr>
            </w:pPr>
            <w:r w:rsidRPr="00471CBA">
              <w:rPr>
                <w:b/>
                <w:szCs w:val="20"/>
              </w:rPr>
              <w:t>Toplam</w:t>
            </w:r>
          </w:p>
        </w:tc>
        <w:tc>
          <w:tcPr>
            <w:tcW w:w="1599" w:type="pct"/>
            <w:tcBorders>
              <w:bottom w:val="single" w:sz="12" w:space="0" w:color="auto"/>
            </w:tcBorders>
            <w:noWrap/>
          </w:tcPr>
          <w:p w14:paraId="56527D6B" w14:textId="3BD0EB83" w:rsidR="00161613" w:rsidRPr="00471CBA" w:rsidRDefault="009859B3" w:rsidP="009859B3">
            <w:pPr>
              <w:jc w:val="right"/>
              <w:rPr>
                <w:b/>
                <w:bCs/>
                <w:color w:val="000000"/>
                <w:szCs w:val="20"/>
              </w:rPr>
            </w:pPr>
            <w:r w:rsidRPr="00471CBA">
              <w:rPr>
                <w:b/>
                <w:bCs/>
                <w:color w:val="000000"/>
                <w:szCs w:val="20"/>
              </w:rPr>
              <w:t>160.185</w:t>
            </w:r>
          </w:p>
        </w:tc>
      </w:tr>
    </w:tbl>
    <w:p w14:paraId="537109DF" w14:textId="62283689" w:rsidR="001C13B0" w:rsidRPr="00471CBA" w:rsidRDefault="001C13B0" w:rsidP="009F6E11">
      <w:pPr>
        <w:widowControl w:val="0"/>
        <w:rPr>
          <w:b/>
          <w:szCs w:val="20"/>
        </w:rPr>
      </w:pPr>
    </w:p>
    <w:tbl>
      <w:tblPr>
        <w:tblW w:w="5000" w:type="pct"/>
        <w:tblCellMar>
          <w:left w:w="70" w:type="dxa"/>
          <w:right w:w="70" w:type="dxa"/>
        </w:tblCellMar>
        <w:tblLook w:val="0000" w:firstRow="0" w:lastRow="0" w:firstColumn="0" w:lastColumn="0" w:noHBand="0" w:noVBand="0"/>
      </w:tblPr>
      <w:tblGrid>
        <w:gridCol w:w="6477"/>
        <w:gridCol w:w="2878"/>
      </w:tblGrid>
      <w:tr w:rsidR="0046723E" w:rsidRPr="00471CBA" w14:paraId="6DAF1D20" w14:textId="77777777" w:rsidTr="00701602">
        <w:trPr>
          <w:trHeight w:val="113"/>
        </w:trPr>
        <w:tc>
          <w:tcPr>
            <w:tcW w:w="3462" w:type="pct"/>
            <w:shd w:val="clear" w:color="auto" w:fill="FFFFFF"/>
            <w:noWrap/>
            <w:vAlign w:val="bottom"/>
          </w:tcPr>
          <w:p w14:paraId="4B39D8FC" w14:textId="77777777" w:rsidR="0046723E" w:rsidRPr="00471CBA" w:rsidRDefault="0046723E" w:rsidP="00701602">
            <w:pPr>
              <w:widowControl w:val="0"/>
              <w:rPr>
                <w:b/>
                <w:bCs/>
                <w:szCs w:val="20"/>
              </w:rPr>
            </w:pPr>
            <w:r w:rsidRPr="00471CBA">
              <w:rPr>
                <w:b/>
                <w:bCs/>
                <w:szCs w:val="20"/>
              </w:rPr>
              <w:t>Diğer Verilen Ücret ve Komisyonlar</w:t>
            </w:r>
          </w:p>
        </w:tc>
        <w:tc>
          <w:tcPr>
            <w:tcW w:w="1538" w:type="pct"/>
            <w:shd w:val="clear" w:color="auto" w:fill="FFFFFF"/>
            <w:noWrap/>
            <w:vAlign w:val="bottom"/>
          </w:tcPr>
          <w:p w14:paraId="05461C0F" w14:textId="77777777" w:rsidR="0046723E" w:rsidRPr="00471CBA" w:rsidRDefault="0046723E" w:rsidP="00701602">
            <w:pPr>
              <w:widowControl w:val="0"/>
              <w:jc w:val="right"/>
              <w:rPr>
                <w:b/>
                <w:szCs w:val="20"/>
              </w:rPr>
            </w:pPr>
            <w:r w:rsidRPr="00471CBA">
              <w:rPr>
                <w:b/>
                <w:szCs w:val="20"/>
              </w:rPr>
              <w:t>1 Ocak- 31 Aralık 2024</w:t>
            </w:r>
          </w:p>
        </w:tc>
      </w:tr>
      <w:tr w:rsidR="0046723E" w:rsidRPr="00471CBA" w14:paraId="14F7392F" w14:textId="77777777" w:rsidTr="00701602">
        <w:trPr>
          <w:trHeight w:val="113"/>
        </w:trPr>
        <w:tc>
          <w:tcPr>
            <w:tcW w:w="3462" w:type="pct"/>
            <w:shd w:val="clear" w:color="auto" w:fill="FFFFFF"/>
            <w:noWrap/>
            <w:vAlign w:val="bottom"/>
          </w:tcPr>
          <w:p w14:paraId="71FD3EDF" w14:textId="77777777" w:rsidR="0046723E" w:rsidRPr="00471CBA" w:rsidRDefault="0046723E" w:rsidP="00701602">
            <w:pPr>
              <w:widowControl w:val="0"/>
              <w:rPr>
                <w:b/>
                <w:bCs/>
                <w:szCs w:val="20"/>
              </w:rPr>
            </w:pPr>
          </w:p>
        </w:tc>
        <w:tc>
          <w:tcPr>
            <w:tcW w:w="1538" w:type="pct"/>
            <w:shd w:val="clear" w:color="auto" w:fill="FFFFFF"/>
            <w:noWrap/>
            <w:vAlign w:val="bottom"/>
          </w:tcPr>
          <w:p w14:paraId="1B61E0BB" w14:textId="77777777" w:rsidR="0046723E" w:rsidRPr="00471CBA" w:rsidRDefault="0046723E" w:rsidP="00701602">
            <w:pPr>
              <w:widowControl w:val="0"/>
              <w:jc w:val="right"/>
              <w:rPr>
                <w:b/>
                <w:szCs w:val="20"/>
              </w:rPr>
            </w:pPr>
          </w:p>
        </w:tc>
      </w:tr>
      <w:tr w:rsidR="0046723E" w:rsidRPr="00471CBA" w14:paraId="1ECA98B3" w14:textId="77777777" w:rsidTr="00701602">
        <w:trPr>
          <w:trHeight w:val="113"/>
        </w:trPr>
        <w:tc>
          <w:tcPr>
            <w:tcW w:w="3462" w:type="pct"/>
            <w:shd w:val="clear" w:color="auto" w:fill="FFFFFF"/>
            <w:noWrap/>
            <w:vAlign w:val="bottom"/>
          </w:tcPr>
          <w:p w14:paraId="6B596BFB" w14:textId="77777777" w:rsidR="0046723E" w:rsidRPr="00471CBA" w:rsidRDefault="0046723E" w:rsidP="00701602">
            <w:pPr>
              <w:widowControl w:val="0"/>
              <w:rPr>
                <w:szCs w:val="20"/>
              </w:rPr>
            </w:pPr>
            <w:r w:rsidRPr="00471CBA">
              <w:rPr>
                <w:szCs w:val="20"/>
              </w:rPr>
              <w:t>Kredi kartı ücret komisyonları</w:t>
            </w:r>
          </w:p>
        </w:tc>
        <w:tc>
          <w:tcPr>
            <w:tcW w:w="1538" w:type="pct"/>
            <w:shd w:val="clear" w:color="auto" w:fill="FFFFFF"/>
            <w:noWrap/>
          </w:tcPr>
          <w:p w14:paraId="609066F4" w14:textId="77777777" w:rsidR="0046723E" w:rsidRPr="00471CBA" w:rsidRDefault="0046723E" w:rsidP="00701602">
            <w:pPr>
              <w:widowControl w:val="0"/>
              <w:jc w:val="right"/>
              <w:rPr>
                <w:szCs w:val="20"/>
              </w:rPr>
            </w:pPr>
            <w:r w:rsidRPr="00471CBA">
              <w:t>3.479</w:t>
            </w:r>
          </w:p>
        </w:tc>
      </w:tr>
      <w:tr w:rsidR="0046723E" w:rsidRPr="00471CBA" w14:paraId="39D16531" w14:textId="77777777" w:rsidTr="00701602">
        <w:trPr>
          <w:trHeight w:val="113"/>
        </w:trPr>
        <w:tc>
          <w:tcPr>
            <w:tcW w:w="3462" w:type="pct"/>
            <w:shd w:val="clear" w:color="auto" w:fill="FFFFFF"/>
            <w:noWrap/>
            <w:vAlign w:val="center"/>
          </w:tcPr>
          <w:p w14:paraId="5D50E0BE" w14:textId="77777777" w:rsidR="0046723E" w:rsidRPr="00471CBA" w:rsidRDefault="0046723E" w:rsidP="00701602">
            <w:pPr>
              <w:widowControl w:val="0"/>
              <w:rPr>
                <w:bCs/>
                <w:szCs w:val="20"/>
              </w:rPr>
            </w:pPr>
            <w:r w:rsidRPr="00471CBA">
              <w:rPr>
                <w:color w:val="000000"/>
                <w:szCs w:val="20"/>
              </w:rPr>
              <w:t>Swift, EFT ve havale için verilen ücret ve komisyonlar</w:t>
            </w:r>
          </w:p>
        </w:tc>
        <w:tc>
          <w:tcPr>
            <w:tcW w:w="1538" w:type="pct"/>
            <w:noWrap/>
          </w:tcPr>
          <w:p w14:paraId="02CAD170" w14:textId="77777777" w:rsidR="0046723E" w:rsidRPr="00471CBA" w:rsidRDefault="0046723E" w:rsidP="00701602">
            <w:pPr>
              <w:widowControl w:val="0"/>
              <w:jc w:val="right"/>
              <w:rPr>
                <w:color w:val="000000"/>
                <w:szCs w:val="20"/>
              </w:rPr>
            </w:pPr>
            <w:r w:rsidRPr="00471CBA">
              <w:t>2.062</w:t>
            </w:r>
          </w:p>
        </w:tc>
      </w:tr>
      <w:tr w:rsidR="0046723E" w:rsidRPr="00471CBA" w14:paraId="0BB0F6F9" w14:textId="77777777" w:rsidTr="00701602">
        <w:trPr>
          <w:trHeight w:val="113"/>
        </w:trPr>
        <w:tc>
          <w:tcPr>
            <w:tcW w:w="3462" w:type="pct"/>
            <w:shd w:val="clear" w:color="auto" w:fill="FFFFFF"/>
            <w:noWrap/>
            <w:vAlign w:val="center"/>
          </w:tcPr>
          <w:p w14:paraId="3123E8CA" w14:textId="77777777" w:rsidR="0046723E" w:rsidRPr="00471CBA" w:rsidRDefault="0046723E" w:rsidP="00701602">
            <w:pPr>
              <w:widowControl w:val="0"/>
              <w:rPr>
                <w:szCs w:val="20"/>
              </w:rPr>
            </w:pPr>
            <w:r w:rsidRPr="00471CBA">
              <w:rPr>
                <w:szCs w:val="20"/>
              </w:rPr>
              <w:t>Kiralama işlemleri aracılık komisyonu</w:t>
            </w:r>
          </w:p>
        </w:tc>
        <w:tc>
          <w:tcPr>
            <w:tcW w:w="1538" w:type="pct"/>
            <w:noWrap/>
          </w:tcPr>
          <w:p w14:paraId="49A64BA6" w14:textId="77777777" w:rsidR="0046723E" w:rsidRPr="00471CBA" w:rsidRDefault="0046723E" w:rsidP="00701602">
            <w:pPr>
              <w:widowControl w:val="0"/>
              <w:jc w:val="right"/>
              <w:rPr>
                <w:color w:val="000000"/>
                <w:szCs w:val="20"/>
              </w:rPr>
            </w:pPr>
            <w:r w:rsidRPr="00471CBA">
              <w:t>1.166</w:t>
            </w:r>
          </w:p>
        </w:tc>
      </w:tr>
      <w:tr w:rsidR="0046723E" w:rsidRPr="00471CBA" w14:paraId="0920EB72" w14:textId="77777777" w:rsidTr="00701602">
        <w:trPr>
          <w:trHeight w:val="113"/>
        </w:trPr>
        <w:tc>
          <w:tcPr>
            <w:tcW w:w="3462" w:type="pct"/>
            <w:shd w:val="clear" w:color="auto" w:fill="FFFFFF"/>
            <w:noWrap/>
            <w:vAlign w:val="center"/>
          </w:tcPr>
          <w:p w14:paraId="1EFF75DE" w14:textId="77777777" w:rsidR="0046723E" w:rsidRPr="00471CBA" w:rsidRDefault="0046723E" w:rsidP="00701602">
            <w:pPr>
              <w:widowControl w:val="0"/>
              <w:rPr>
                <w:szCs w:val="20"/>
              </w:rPr>
            </w:pPr>
            <w:r w:rsidRPr="00471CBA">
              <w:rPr>
                <w:szCs w:val="20"/>
              </w:rPr>
              <w:t>Takas odasına verilen komisyon ve ücretler</w:t>
            </w:r>
          </w:p>
        </w:tc>
        <w:tc>
          <w:tcPr>
            <w:tcW w:w="1538" w:type="pct"/>
            <w:noWrap/>
          </w:tcPr>
          <w:p w14:paraId="49597D18" w14:textId="77777777" w:rsidR="0046723E" w:rsidRPr="00471CBA" w:rsidRDefault="0046723E" w:rsidP="00701602">
            <w:pPr>
              <w:widowControl w:val="0"/>
              <w:jc w:val="right"/>
              <w:rPr>
                <w:szCs w:val="20"/>
              </w:rPr>
            </w:pPr>
            <w:r w:rsidRPr="00471CBA">
              <w:t>1.156</w:t>
            </w:r>
          </w:p>
        </w:tc>
      </w:tr>
      <w:tr w:rsidR="0046723E" w:rsidRPr="00471CBA" w14:paraId="1568A862" w14:textId="77777777" w:rsidTr="00701602">
        <w:trPr>
          <w:trHeight w:val="113"/>
        </w:trPr>
        <w:tc>
          <w:tcPr>
            <w:tcW w:w="3462" w:type="pct"/>
            <w:shd w:val="clear" w:color="auto" w:fill="FFFFFF"/>
            <w:noWrap/>
            <w:vAlign w:val="center"/>
          </w:tcPr>
          <w:p w14:paraId="4EF53334" w14:textId="77777777" w:rsidR="0046723E" w:rsidRPr="00471CBA" w:rsidRDefault="0046723E" w:rsidP="00701602">
            <w:pPr>
              <w:widowControl w:val="0"/>
              <w:rPr>
                <w:szCs w:val="20"/>
              </w:rPr>
            </w:pPr>
            <w:r w:rsidRPr="00471CBA">
              <w:rPr>
                <w:szCs w:val="20"/>
              </w:rPr>
              <w:t>Grup nakillerine verilen ücret ve komisyonlar</w:t>
            </w:r>
          </w:p>
        </w:tc>
        <w:tc>
          <w:tcPr>
            <w:tcW w:w="1538" w:type="pct"/>
            <w:noWrap/>
          </w:tcPr>
          <w:p w14:paraId="2FBA33F9" w14:textId="77777777" w:rsidR="0046723E" w:rsidRPr="00471CBA" w:rsidRDefault="0046723E" w:rsidP="00701602">
            <w:pPr>
              <w:widowControl w:val="0"/>
              <w:jc w:val="right"/>
            </w:pPr>
            <w:r w:rsidRPr="00471CBA">
              <w:t>596</w:t>
            </w:r>
          </w:p>
        </w:tc>
      </w:tr>
      <w:tr w:rsidR="0046723E" w:rsidRPr="00471CBA" w14:paraId="34E6CA1B" w14:textId="77777777" w:rsidTr="00701602">
        <w:trPr>
          <w:trHeight w:val="113"/>
        </w:trPr>
        <w:tc>
          <w:tcPr>
            <w:tcW w:w="3462" w:type="pct"/>
            <w:tcBorders>
              <w:bottom w:val="single" w:sz="4" w:space="0" w:color="auto"/>
            </w:tcBorders>
            <w:shd w:val="clear" w:color="auto" w:fill="FFFFFF"/>
            <w:noWrap/>
            <w:vAlign w:val="center"/>
          </w:tcPr>
          <w:p w14:paraId="6B1071AB" w14:textId="77777777" w:rsidR="0046723E" w:rsidRPr="00471CBA" w:rsidRDefault="0046723E" w:rsidP="00701602">
            <w:pPr>
              <w:widowControl w:val="0"/>
              <w:rPr>
                <w:szCs w:val="20"/>
              </w:rPr>
            </w:pPr>
            <w:r w:rsidRPr="00471CBA">
              <w:rPr>
                <w:color w:val="000000"/>
                <w:szCs w:val="20"/>
              </w:rPr>
              <w:t>Diğer</w:t>
            </w:r>
          </w:p>
        </w:tc>
        <w:tc>
          <w:tcPr>
            <w:tcW w:w="1538" w:type="pct"/>
            <w:tcBorders>
              <w:bottom w:val="single" w:sz="4" w:space="0" w:color="auto"/>
            </w:tcBorders>
            <w:noWrap/>
          </w:tcPr>
          <w:p w14:paraId="70E5A48E" w14:textId="77777777" w:rsidR="0046723E" w:rsidRPr="00471CBA" w:rsidRDefault="0046723E" w:rsidP="00701602">
            <w:pPr>
              <w:widowControl w:val="0"/>
              <w:jc w:val="right"/>
              <w:rPr>
                <w:color w:val="000000"/>
                <w:szCs w:val="20"/>
              </w:rPr>
            </w:pPr>
            <w:r w:rsidRPr="00471CBA">
              <w:t>827</w:t>
            </w:r>
          </w:p>
        </w:tc>
      </w:tr>
      <w:tr w:rsidR="0046723E" w:rsidRPr="00471CBA" w14:paraId="3DCFD095" w14:textId="77777777" w:rsidTr="00701602">
        <w:trPr>
          <w:trHeight w:val="113"/>
        </w:trPr>
        <w:tc>
          <w:tcPr>
            <w:tcW w:w="3462" w:type="pct"/>
            <w:tcBorders>
              <w:top w:val="single" w:sz="4" w:space="0" w:color="auto"/>
            </w:tcBorders>
            <w:shd w:val="clear" w:color="auto" w:fill="FFFFFF"/>
            <w:noWrap/>
            <w:vAlign w:val="bottom"/>
          </w:tcPr>
          <w:p w14:paraId="14E444A7" w14:textId="77777777" w:rsidR="0046723E" w:rsidRPr="00471CBA" w:rsidRDefault="0046723E" w:rsidP="00701602">
            <w:pPr>
              <w:widowControl w:val="0"/>
              <w:rPr>
                <w:szCs w:val="20"/>
              </w:rPr>
            </w:pPr>
          </w:p>
        </w:tc>
        <w:tc>
          <w:tcPr>
            <w:tcW w:w="1538" w:type="pct"/>
            <w:tcBorders>
              <w:top w:val="single" w:sz="4" w:space="0" w:color="auto"/>
            </w:tcBorders>
            <w:noWrap/>
          </w:tcPr>
          <w:p w14:paraId="142A8227" w14:textId="77777777" w:rsidR="0046723E" w:rsidRPr="00471CBA" w:rsidRDefault="0046723E" w:rsidP="00701602">
            <w:pPr>
              <w:widowControl w:val="0"/>
              <w:jc w:val="right"/>
              <w:rPr>
                <w:color w:val="000000"/>
                <w:szCs w:val="20"/>
              </w:rPr>
            </w:pPr>
          </w:p>
        </w:tc>
      </w:tr>
      <w:tr w:rsidR="0046723E" w:rsidRPr="00471CBA" w14:paraId="6229BD6D" w14:textId="77777777" w:rsidTr="00701602">
        <w:trPr>
          <w:trHeight w:val="113"/>
        </w:trPr>
        <w:tc>
          <w:tcPr>
            <w:tcW w:w="3462" w:type="pct"/>
            <w:tcBorders>
              <w:bottom w:val="single" w:sz="12" w:space="0" w:color="auto"/>
            </w:tcBorders>
            <w:shd w:val="clear" w:color="auto" w:fill="FFFFFF"/>
            <w:noWrap/>
            <w:vAlign w:val="bottom"/>
          </w:tcPr>
          <w:p w14:paraId="6881C9BB" w14:textId="77777777" w:rsidR="0046723E" w:rsidRPr="00471CBA" w:rsidRDefault="0046723E" w:rsidP="00701602">
            <w:pPr>
              <w:widowControl w:val="0"/>
              <w:rPr>
                <w:b/>
                <w:szCs w:val="20"/>
              </w:rPr>
            </w:pPr>
            <w:r w:rsidRPr="00471CBA">
              <w:rPr>
                <w:b/>
                <w:szCs w:val="20"/>
              </w:rPr>
              <w:t>Toplam</w:t>
            </w:r>
          </w:p>
        </w:tc>
        <w:tc>
          <w:tcPr>
            <w:tcW w:w="1538" w:type="pct"/>
            <w:tcBorders>
              <w:bottom w:val="single" w:sz="12" w:space="0" w:color="auto"/>
            </w:tcBorders>
            <w:noWrap/>
          </w:tcPr>
          <w:p w14:paraId="5624F076" w14:textId="77777777" w:rsidR="0046723E" w:rsidRPr="00471CBA" w:rsidRDefault="0046723E" w:rsidP="00701602">
            <w:pPr>
              <w:widowControl w:val="0"/>
              <w:jc w:val="right"/>
              <w:rPr>
                <w:b/>
                <w:color w:val="000000"/>
                <w:szCs w:val="20"/>
              </w:rPr>
            </w:pPr>
            <w:r w:rsidRPr="00471CBA">
              <w:rPr>
                <w:b/>
              </w:rPr>
              <w:t>9.286</w:t>
            </w:r>
          </w:p>
        </w:tc>
      </w:tr>
    </w:tbl>
    <w:p w14:paraId="2EA0995C" w14:textId="6671EEF7" w:rsidR="00730AF1" w:rsidRPr="00471CBA" w:rsidRDefault="00730AF1" w:rsidP="009F6E11">
      <w:pPr>
        <w:widowControl w:val="0"/>
        <w:rPr>
          <w:b/>
          <w:szCs w:val="20"/>
        </w:rPr>
      </w:pPr>
    </w:p>
    <w:p w14:paraId="3BE978F6" w14:textId="77777777" w:rsidR="00730AF1" w:rsidRPr="00471CBA" w:rsidRDefault="00730AF1">
      <w:pPr>
        <w:rPr>
          <w:b/>
          <w:szCs w:val="20"/>
        </w:rPr>
      </w:pPr>
      <w:r w:rsidRPr="00471CBA">
        <w:rPr>
          <w:b/>
          <w:szCs w:val="20"/>
        </w:rPr>
        <w:br w:type="page"/>
      </w:r>
    </w:p>
    <w:p w14:paraId="051C746C" w14:textId="77777777" w:rsidR="00964E60" w:rsidRPr="00471CBA" w:rsidRDefault="00964E60" w:rsidP="00964E60">
      <w:pPr>
        <w:widowControl w:val="0"/>
        <w:ind w:left="720" w:hanging="720"/>
        <w:jc w:val="both"/>
        <w:rPr>
          <w:b/>
          <w:szCs w:val="20"/>
        </w:rPr>
      </w:pPr>
      <w:r w:rsidRPr="00471CBA">
        <w:rPr>
          <w:b/>
          <w:szCs w:val="20"/>
        </w:rPr>
        <w:t>KONSOLİDE OLMAYAN FİNANSAL TABLOLARA İLİŞKİN AÇIKLAMA VE DİPNOTLAR (Devamı)</w:t>
      </w:r>
    </w:p>
    <w:p w14:paraId="2FAB0B95" w14:textId="77777777" w:rsidR="00964E60" w:rsidRPr="00471CBA" w:rsidRDefault="00964E60" w:rsidP="00964E60">
      <w:pPr>
        <w:widowControl w:val="0"/>
        <w:autoSpaceDE w:val="0"/>
        <w:autoSpaceDN w:val="0"/>
        <w:adjustRightInd w:val="0"/>
        <w:ind w:left="14" w:right="210"/>
        <w:jc w:val="both"/>
        <w:rPr>
          <w:szCs w:val="20"/>
        </w:rPr>
      </w:pPr>
    </w:p>
    <w:p w14:paraId="19F19496" w14:textId="77777777" w:rsidR="006025D3" w:rsidRPr="00471CBA" w:rsidRDefault="006025D3" w:rsidP="006025D3">
      <w:pPr>
        <w:pStyle w:val="GvdeMetniGirintisi"/>
        <w:widowControl w:val="0"/>
        <w:ind w:left="851" w:right="206" w:hanging="851"/>
        <w:rPr>
          <w:b/>
          <w:iCs/>
          <w:szCs w:val="20"/>
        </w:rPr>
      </w:pPr>
      <w:r>
        <w:rPr>
          <w:b/>
          <w:iCs/>
          <w:szCs w:val="20"/>
        </w:rPr>
        <w:t>IV.</w:t>
      </w:r>
      <w:r>
        <w:rPr>
          <w:b/>
          <w:iCs/>
          <w:szCs w:val="20"/>
        </w:rPr>
        <w:tab/>
      </w:r>
      <w:r w:rsidRPr="00471CBA">
        <w:rPr>
          <w:b/>
          <w:iCs/>
          <w:szCs w:val="20"/>
        </w:rPr>
        <w:t>KAR VEYA ZARAR TABLOSUNA İLİŞKİN AÇIKLAMA VE DİPNOTLAR (Devamı)</w:t>
      </w:r>
    </w:p>
    <w:p w14:paraId="5FB60F33" w14:textId="77777777" w:rsidR="0046723E" w:rsidRPr="00471CBA" w:rsidRDefault="0046723E" w:rsidP="009F6E11">
      <w:pPr>
        <w:widowControl w:val="0"/>
        <w:rPr>
          <w:b/>
          <w:szCs w:val="20"/>
        </w:rPr>
      </w:pPr>
    </w:p>
    <w:p w14:paraId="7FF3EE28" w14:textId="77777777" w:rsidR="002432BC" w:rsidRPr="00471CBA" w:rsidRDefault="002432BC" w:rsidP="002432BC">
      <w:pPr>
        <w:pStyle w:val="ListeParagraf"/>
        <w:widowControl w:val="0"/>
        <w:numPr>
          <w:ilvl w:val="0"/>
          <w:numId w:val="31"/>
        </w:numPr>
        <w:autoSpaceDE w:val="0"/>
        <w:autoSpaceDN w:val="0"/>
        <w:adjustRightInd w:val="0"/>
        <w:ind w:left="851" w:hanging="851"/>
        <w:rPr>
          <w:b/>
          <w:szCs w:val="20"/>
        </w:rPr>
      </w:pPr>
      <w:bookmarkStart w:id="152" w:name="_Hlk196729605"/>
      <w:r w:rsidRPr="00471CBA">
        <w:rPr>
          <w:b/>
          <w:szCs w:val="20"/>
        </w:rPr>
        <w:t>Temettü gelirlerine ilişkin açıklamalar:</w:t>
      </w:r>
    </w:p>
    <w:bookmarkEnd w:id="152"/>
    <w:p w14:paraId="54DD2F72" w14:textId="016EE550" w:rsidR="00A74C68" w:rsidRPr="00471CBA" w:rsidRDefault="00A74C68" w:rsidP="002432BC">
      <w:pPr>
        <w:rPr>
          <w:sz w:val="18"/>
          <w:szCs w:val="18"/>
        </w:rPr>
      </w:pPr>
    </w:p>
    <w:tbl>
      <w:tblPr>
        <w:tblW w:w="5000" w:type="pct"/>
        <w:tblCellMar>
          <w:left w:w="70" w:type="dxa"/>
          <w:right w:w="70" w:type="dxa"/>
        </w:tblCellMar>
        <w:tblLook w:val="04A0" w:firstRow="1" w:lastRow="0" w:firstColumn="1" w:lastColumn="0" w:noHBand="0" w:noVBand="1"/>
      </w:tblPr>
      <w:tblGrid>
        <w:gridCol w:w="6763"/>
        <w:gridCol w:w="1439"/>
        <w:gridCol w:w="1153"/>
      </w:tblGrid>
      <w:tr w:rsidR="00A74C68" w:rsidRPr="00471CBA" w14:paraId="10DAF7DD" w14:textId="77777777" w:rsidTr="00A74C68">
        <w:trPr>
          <w:divId w:val="341980270"/>
          <w:trHeight w:val="227"/>
        </w:trPr>
        <w:tc>
          <w:tcPr>
            <w:tcW w:w="3615" w:type="pct"/>
            <w:tcBorders>
              <w:top w:val="nil"/>
              <w:left w:val="nil"/>
              <w:bottom w:val="nil"/>
              <w:right w:val="nil"/>
            </w:tcBorders>
            <w:vAlign w:val="center"/>
            <w:hideMark/>
          </w:tcPr>
          <w:p w14:paraId="7D32A9F1" w14:textId="7165438B" w:rsidR="00A74C68" w:rsidRPr="00471CBA" w:rsidRDefault="00A74C68" w:rsidP="00A74C68">
            <w:pPr>
              <w:rPr>
                <w:sz w:val="18"/>
                <w:szCs w:val="18"/>
                <w:lang w:eastAsia="tr-TR"/>
              </w:rPr>
            </w:pPr>
          </w:p>
        </w:tc>
        <w:tc>
          <w:tcPr>
            <w:tcW w:w="1385" w:type="pct"/>
            <w:gridSpan w:val="2"/>
            <w:tcBorders>
              <w:top w:val="nil"/>
              <w:left w:val="nil"/>
              <w:bottom w:val="single" w:sz="4" w:space="0" w:color="auto"/>
              <w:right w:val="nil"/>
            </w:tcBorders>
            <w:noWrap/>
            <w:vAlign w:val="center"/>
            <w:hideMark/>
          </w:tcPr>
          <w:p w14:paraId="1BAE82C1" w14:textId="77777777" w:rsidR="00A74C68" w:rsidRPr="00471CBA" w:rsidRDefault="00A74C68" w:rsidP="00A74C68">
            <w:pPr>
              <w:jc w:val="center"/>
              <w:rPr>
                <w:b/>
                <w:bCs/>
                <w:color w:val="000000"/>
                <w:sz w:val="18"/>
                <w:szCs w:val="18"/>
                <w:lang w:eastAsia="tr-TR"/>
              </w:rPr>
            </w:pPr>
            <w:r w:rsidRPr="00471CBA">
              <w:rPr>
                <w:b/>
                <w:bCs/>
                <w:color w:val="000000"/>
                <w:sz w:val="18"/>
                <w:szCs w:val="18"/>
                <w:lang w:eastAsia="tr-TR"/>
              </w:rPr>
              <w:t>1 Ocak - 31 Aralık 2025</w:t>
            </w:r>
          </w:p>
        </w:tc>
      </w:tr>
      <w:tr w:rsidR="00A74C68" w:rsidRPr="00471CBA" w14:paraId="0CBF950E" w14:textId="77777777" w:rsidTr="00A74C68">
        <w:trPr>
          <w:divId w:val="341980270"/>
          <w:trHeight w:val="227"/>
        </w:trPr>
        <w:tc>
          <w:tcPr>
            <w:tcW w:w="3615" w:type="pct"/>
            <w:tcBorders>
              <w:top w:val="nil"/>
              <w:left w:val="nil"/>
              <w:bottom w:val="single" w:sz="4" w:space="0" w:color="auto"/>
              <w:right w:val="nil"/>
            </w:tcBorders>
            <w:vAlign w:val="center"/>
            <w:hideMark/>
          </w:tcPr>
          <w:p w14:paraId="3B639348" w14:textId="77777777" w:rsidR="00A74C68" w:rsidRPr="00471CBA" w:rsidRDefault="00A74C68" w:rsidP="00A74C68">
            <w:pPr>
              <w:jc w:val="right"/>
              <w:rPr>
                <w:color w:val="000000"/>
                <w:sz w:val="18"/>
                <w:szCs w:val="18"/>
                <w:lang w:eastAsia="tr-TR"/>
              </w:rPr>
            </w:pPr>
            <w:r w:rsidRPr="00471CBA">
              <w:rPr>
                <w:color w:val="000000"/>
                <w:sz w:val="18"/>
                <w:szCs w:val="18"/>
                <w:lang w:eastAsia="tr-TR"/>
              </w:rPr>
              <w:t> </w:t>
            </w:r>
          </w:p>
        </w:tc>
        <w:tc>
          <w:tcPr>
            <w:tcW w:w="769" w:type="pct"/>
            <w:tcBorders>
              <w:top w:val="nil"/>
              <w:left w:val="nil"/>
              <w:bottom w:val="single" w:sz="4" w:space="0" w:color="auto"/>
              <w:right w:val="nil"/>
            </w:tcBorders>
            <w:noWrap/>
            <w:vAlign w:val="center"/>
            <w:hideMark/>
          </w:tcPr>
          <w:p w14:paraId="7615FB42" w14:textId="77777777" w:rsidR="00A74C68" w:rsidRPr="00471CBA" w:rsidRDefault="00A74C68" w:rsidP="00A74C68">
            <w:pPr>
              <w:jc w:val="right"/>
              <w:rPr>
                <w:b/>
                <w:bCs/>
                <w:color w:val="000000"/>
                <w:sz w:val="18"/>
                <w:szCs w:val="18"/>
                <w:lang w:eastAsia="tr-TR"/>
              </w:rPr>
            </w:pPr>
            <w:r w:rsidRPr="00471CBA">
              <w:rPr>
                <w:b/>
                <w:bCs/>
                <w:color w:val="000000"/>
                <w:sz w:val="18"/>
                <w:szCs w:val="18"/>
                <w:lang w:eastAsia="tr-TR"/>
              </w:rPr>
              <w:t>TP</w:t>
            </w:r>
          </w:p>
        </w:tc>
        <w:tc>
          <w:tcPr>
            <w:tcW w:w="616" w:type="pct"/>
            <w:tcBorders>
              <w:top w:val="nil"/>
              <w:left w:val="nil"/>
              <w:bottom w:val="single" w:sz="4" w:space="0" w:color="auto"/>
              <w:right w:val="nil"/>
            </w:tcBorders>
            <w:noWrap/>
            <w:vAlign w:val="center"/>
            <w:hideMark/>
          </w:tcPr>
          <w:p w14:paraId="44550578" w14:textId="77777777" w:rsidR="00A74C68" w:rsidRPr="00471CBA" w:rsidRDefault="00A74C68" w:rsidP="00A74C68">
            <w:pPr>
              <w:jc w:val="right"/>
              <w:rPr>
                <w:b/>
                <w:bCs/>
                <w:color w:val="000000"/>
                <w:sz w:val="18"/>
                <w:szCs w:val="18"/>
                <w:lang w:eastAsia="tr-TR"/>
              </w:rPr>
            </w:pPr>
            <w:r w:rsidRPr="00471CBA">
              <w:rPr>
                <w:b/>
                <w:bCs/>
                <w:color w:val="000000"/>
                <w:sz w:val="18"/>
                <w:szCs w:val="18"/>
                <w:lang w:eastAsia="tr-TR"/>
              </w:rPr>
              <w:t>YP</w:t>
            </w:r>
          </w:p>
        </w:tc>
      </w:tr>
      <w:tr w:rsidR="00A74C68" w:rsidRPr="00471CBA" w14:paraId="105EAAB7" w14:textId="77777777" w:rsidTr="00A74C68">
        <w:trPr>
          <w:divId w:val="341980270"/>
          <w:trHeight w:val="227"/>
        </w:trPr>
        <w:tc>
          <w:tcPr>
            <w:tcW w:w="3615" w:type="pct"/>
            <w:tcBorders>
              <w:top w:val="nil"/>
              <w:left w:val="nil"/>
              <w:bottom w:val="nil"/>
              <w:right w:val="nil"/>
            </w:tcBorders>
            <w:vAlign w:val="center"/>
            <w:hideMark/>
          </w:tcPr>
          <w:p w14:paraId="2CC5E000" w14:textId="77777777" w:rsidR="00A74C68" w:rsidRPr="00471CBA" w:rsidRDefault="00A74C68" w:rsidP="00A74C68">
            <w:pPr>
              <w:jc w:val="right"/>
              <w:rPr>
                <w:b/>
                <w:bCs/>
                <w:color w:val="000000"/>
                <w:sz w:val="18"/>
                <w:szCs w:val="18"/>
                <w:lang w:eastAsia="tr-TR"/>
              </w:rPr>
            </w:pPr>
          </w:p>
        </w:tc>
        <w:tc>
          <w:tcPr>
            <w:tcW w:w="769" w:type="pct"/>
            <w:tcBorders>
              <w:top w:val="nil"/>
              <w:left w:val="nil"/>
              <w:bottom w:val="nil"/>
              <w:right w:val="nil"/>
            </w:tcBorders>
            <w:noWrap/>
            <w:vAlign w:val="center"/>
            <w:hideMark/>
          </w:tcPr>
          <w:p w14:paraId="3E2F3665" w14:textId="77777777" w:rsidR="00A74C68" w:rsidRPr="00471CBA" w:rsidRDefault="00A74C68" w:rsidP="00A74C68">
            <w:pPr>
              <w:jc w:val="right"/>
              <w:rPr>
                <w:sz w:val="18"/>
                <w:szCs w:val="18"/>
                <w:lang w:eastAsia="tr-TR"/>
              </w:rPr>
            </w:pPr>
          </w:p>
        </w:tc>
        <w:tc>
          <w:tcPr>
            <w:tcW w:w="616" w:type="pct"/>
            <w:tcBorders>
              <w:top w:val="nil"/>
              <w:left w:val="nil"/>
              <w:bottom w:val="nil"/>
              <w:right w:val="nil"/>
            </w:tcBorders>
            <w:noWrap/>
            <w:vAlign w:val="center"/>
            <w:hideMark/>
          </w:tcPr>
          <w:p w14:paraId="344684BA" w14:textId="77777777" w:rsidR="00A74C68" w:rsidRPr="00471CBA" w:rsidRDefault="00A74C68" w:rsidP="00A74C68">
            <w:pPr>
              <w:jc w:val="right"/>
              <w:rPr>
                <w:sz w:val="18"/>
                <w:szCs w:val="18"/>
                <w:lang w:eastAsia="tr-TR"/>
              </w:rPr>
            </w:pPr>
          </w:p>
        </w:tc>
      </w:tr>
      <w:tr w:rsidR="00A74C68" w:rsidRPr="00471CBA" w14:paraId="6066D723" w14:textId="77777777" w:rsidTr="00A74C68">
        <w:trPr>
          <w:divId w:val="341980270"/>
          <w:trHeight w:val="227"/>
        </w:trPr>
        <w:tc>
          <w:tcPr>
            <w:tcW w:w="3615" w:type="pct"/>
            <w:tcBorders>
              <w:top w:val="nil"/>
              <w:left w:val="nil"/>
              <w:bottom w:val="nil"/>
              <w:right w:val="nil"/>
            </w:tcBorders>
            <w:vAlign w:val="center"/>
            <w:hideMark/>
          </w:tcPr>
          <w:p w14:paraId="1AC7EB7A" w14:textId="77777777" w:rsidR="00A74C68" w:rsidRPr="00471CBA" w:rsidRDefault="00A74C68" w:rsidP="00A74C68">
            <w:pPr>
              <w:rPr>
                <w:color w:val="000000"/>
                <w:sz w:val="18"/>
                <w:szCs w:val="18"/>
                <w:lang w:eastAsia="tr-TR"/>
              </w:rPr>
            </w:pPr>
            <w:r w:rsidRPr="00471CBA">
              <w:rPr>
                <w:color w:val="000000"/>
                <w:sz w:val="18"/>
                <w:szCs w:val="18"/>
                <w:lang w:eastAsia="tr-TR"/>
              </w:rPr>
              <w:t>Gerçeğe Uygun Değer Farkı Kâr veya Zarara Yansıtılan Finansal Varlıklar</w:t>
            </w:r>
          </w:p>
        </w:tc>
        <w:tc>
          <w:tcPr>
            <w:tcW w:w="769" w:type="pct"/>
            <w:tcBorders>
              <w:top w:val="nil"/>
              <w:left w:val="nil"/>
              <w:bottom w:val="nil"/>
              <w:right w:val="nil"/>
            </w:tcBorders>
            <w:noWrap/>
            <w:vAlign w:val="center"/>
            <w:hideMark/>
          </w:tcPr>
          <w:p w14:paraId="02A15541" w14:textId="77777777" w:rsidR="00A74C68" w:rsidRPr="00471CBA" w:rsidRDefault="00A74C68" w:rsidP="00A74C68">
            <w:pPr>
              <w:jc w:val="right"/>
              <w:rPr>
                <w:color w:val="000000"/>
                <w:sz w:val="18"/>
                <w:szCs w:val="18"/>
                <w:lang w:eastAsia="tr-TR"/>
              </w:rPr>
            </w:pPr>
            <w:r w:rsidRPr="00471CBA">
              <w:rPr>
                <w:color w:val="000000"/>
                <w:sz w:val="18"/>
                <w:szCs w:val="18"/>
                <w:lang w:eastAsia="tr-TR"/>
              </w:rPr>
              <w:t>87</w:t>
            </w:r>
          </w:p>
        </w:tc>
        <w:tc>
          <w:tcPr>
            <w:tcW w:w="616" w:type="pct"/>
            <w:tcBorders>
              <w:top w:val="nil"/>
              <w:left w:val="nil"/>
              <w:bottom w:val="nil"/>
              <w:right w:val="nil"/>
            </w:tcBorders>
            <w:noWrap/>
            <w:vAlign w:val="center"/>
            <w:hideMark/>
          </w:tcPr>
          <w:p w14:paraId="02505F5B"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r>
      <w:tr w:rsidR="00A74C68" w:rsidRPr="00471CBA" w14:paraId="26F9501F" w14:textId="77777777" w:rsidTr="00A74C68">
        <w:trPr>
          <w:divId w:val="341980270"/>
          <w:trHeight w:val="227"/>
        </w:trPr>
        <w:tc>
          <w:tcPr>
            <w:tcW w:w="3615" w:type="pct"/>
            <w:tcBorders>
              <w:top w:val="nil"/>
              <w:left w:val="nil"/>
              <w:bottom w:val="nil"/>
              <w:right w:val="nil"/>
            </w:tcBorders>
            <w:vAlign w:val="center"/>
            <w:hideMark/>
          </w:tcPr>
          <w:p w14:paraId="64584994" w14:textId="77777777" w:rsidR="00A74C68" w:rsidRPr="00471CBA" w:rsidRDefault="00A74C68" w:rsidP="00A74C68">
            <w:pPr>
              <w:rPr>
                <w:color w:val="000000"/>
                <w:sz w:val="18"/>
                <w:szCs w:val="18"/>
                <w:lang w:eastAsia="tr-TR"/>
              </w:rPr>
            </w:pPr>
            <w:r w:rsidRPr="00471CBA">
              <w:rPr>
                <w:color w:val="000000"/>
                <w:sz w:val="18"/>
                <w:szCs w:val="18"/>
                <w:lang w:eastAsia="tr-TR"/>
              </w:rPr>
              <w:t>Gerçeğe Uygun Değer Farkı Diğer Kapsamlı Gelire Yansıtılan Finansal Varlıklar</w:t>
            </w:r>
          </w:p>
        </w:tc>
        <w:tc>
          <w:tcPr>
            <w:tcW w:w="769" w:type="pct"/>
            <w:tcBorders>
              <w:top w:val="nil"/>
              <w:left w:val="nil"/>
              <w:bottom w:val="nil"/>
              <w:right w:val="nil"/>
            </w:tcBorders>
            <w:noWrap/>
            <w:vAlign w:val="center"/>
            <w:hideMark/>
          </w:tcPr>
          <w:p w14:paraId="2A0B8C3B"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616" w:type="pct"/>
            <w:tcBorders>
              <w:top w:val="nil"/>
              <w:left w:val="nil"/>
              <w:bottom w:val="nil"/>
              <w:right w:val="nil"/>
            </w:tcBorders>
            <w:noWrap/>
            <w:vAlign w:val="center"/>
            <w:hideMark/>
          </w:tcPr>
          <w:p w14:paraId="180F88A1"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r>
      <w:tr w:rsidR="00A74C68" w:rsidRPr="00471CBA" w14:paraId="5250F29C" w14:textId="77777777" w:rsidTr="00A74C68">
        <w:trPr>
          <w:divId w:val="341980270"/>
          <w:trHeight w:val="227"/>
        </w:trPr>
        <w:tc>
          <w:tcPr>
            <w:tcW w:w="3615" w:type="pct"/>
            <w:tcBorders>
              <w:top w:val="nil"/>
              <w:left w:val="nil"/>
              <w:bottom w:val="single" w:sz="4" w:space="0" w:color="auto"/>
              <w:right w:val="nil"/>
            </w:tcBorders>
            <w:vAlign w:val="center"/>
            <w:hideMark/>
          </w:tcPr>
          <w:p w14:paraId="4583819D" w14:textId="77777777" w:rsidR="00A74C68" w:rsidRPr="00471CBA" w:rsidRDefault="00A74C68" w:rsidP="00A74C68">
            <w:pPr>
              <w:rPr>
                <w:color w:val="000000"/>
                <w:sz w:val="18"/>
                <w:szCs w:val="18"/>
                <w:lang w:eastAsia="tr-TR"/>
              </w:rPr>
            </w:pPr>
            <w:r w:rsidRPr="00471CBA">
              <w:rPr>
                <w:color w:val="000000"/>
                <w:sz w:val="18"/>
                <w:szCs w:val="18"/>
                <w:lang w:eastAsia="tr-TR"/>
              </w:rPr>
              <w:t>Diğer</w:t>
            </w:r>
          </w:p>
        </w:tc>
        <w:tc>
          <w:tcPr>
            <w:tcW w:w="769" w:type="pct"/>
            <w:tcBorders>
              <w:top w:val="nil"/>
              <w:left w:val="nil"/>
              <w:bottom w:val="single" w:sz="4" w:space="0" w:color="auto"/>
              <w:right w:val="nil"/>
            </w:tcBorders>
            <w:noWrap/>
            <w:vAlign w:val="center"/>
            <w:hideMark/>
          </w:tcPr>
          <w:p w14:paraId="61104165"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c>
          <w:tcPr>
            <w:tcW w:w="616" w:type="pct"/>
            <w:tcBorders>
              <w:top w:val="nil"/>
              <w:left w:val="nil"/>
              <w:bottom w:val="single" w:sz="4" w:space="0" w:color="auto"/>
              <w:right w:val="nil"/>
            </w:tcBorders>
            <w:noWrap/>
            <w:vAlign w:val="center"/>
            <w:hideMark/>
          </w:tcPr>
          <w:p w14:paraId="47A9A5F8" w14:textId="77777777" w:rsidR="00A74C68" w:rsidRPr="00471CBA" w:rsidRDefault="00A74C68" w:rsidP="00A74C68">
            <w:pPr>
              <w:jc w:val="right"/>
              <w:rPr>
                <w:color w:val="000000"/>
                <w:sz w:val="18"/>
                <w:szCs w:val="18"/>
                <w:lang w:eastAsia="tr-TR"/>
              </w:rPr>
            </w:pPr>
            <w:r w:rsidRPr="00471CBA">
              <w:rPr>
                <w:color w:val="000000"/>
                <w:sz w:val="18"/>
                <w:szCs w:val="18"/>
                <w:lang w:eastAsia="tr-TR"/>
              </w:rPr>
              <w:t>-</w:t>
            </w:r>
          </w:p>
        </w:tc>
      </w:tr>
      <w:tr w:rsidR="00A74C68" w:rsidRPr="00471CBA" w14:paraId="16DE5A62" w14:textId="77777777" w:rsidTr="00A74C68">
        <w:trPr>
          <w:divId w:val="341980270"/>
          <w:trHeight w:val="227"/>
        </w:trPr>
        <w:tc>
          <w:tcPr>
            <w:tcW w:w="3615" w:type="pct"/>
            <w:tcBorders>
              <w:top w:val="nil"/>
              <w:left w:val="nil"/>
              <w:right w:val="nil"/>
            </w:tcBorders>
            <w:vAlign w:val="center"/>
            <w:hideMark/>
          </w:tcPr>
          <w:p w14:paraId="06782A82" w14:textId="77777777" w:rsidR="00A74C68" w:rsidRPr="00471CBA" w:rsidRDefault="00A74C68" w:rsidP="00A74C68">
            <w:pPr>
              <w:jc w:val="right"/>
              <w:rPr>
                <w:color w:val="000000"/>
                <w:sz w:val="18"/>
                <w:szCs w:val="18"/>
                <w:lang w:eastAsia="tr-TR"/>
              </w:rPr>
            </w:pPr>
          </w:p>
        </w:tc>
        <w:tc>
          <w:tcPr>
            <w:tcW w:w="769" w:type="pct"/>
            <w:tcBorders>
              <w:top w:val="nil"/>
              <w:left w:val="nil"/>
              <w:right w:val="nil"/>
            </w:tcBorders>
            <w:noWrap/>
            <w:vAlign w:val="center"/>
            <w:hideMark/>
          </w:tcPr>
          <w:p w14:paraId="4B037CEA" w14:textId="77777777" w:rsidR="00A74C68" w:rsidRPr="00471CBA" w:rsidRDefault="00A74C68" w:rsidP="00A74C68">
            <w:pPr>
              <w:rPr>
                <w:sz w:val="18"/>
                <w:szCs w:val="18"/>
                <w:lang w:eastAsia="tr-TR"/>
              </w:rPr>
            </w:pPr>
          </w:p>
        </w:tc>
        <w:tc>
          <w:tcPr>
            <w:tcW w:w="616" w:type="pct"/>
            <w:tcBorders>
              <w:top w:val="nil"/>
              <w:left w:val="nil"/>
              <w:right w:val="nil"/>
            </w:tcBorders>
            <w:noWrap/>
            <w:vAlign w:val="center"/>
            <w:hideMark/>
          </w:tcPr>
          <w:p w14:paraId="5FDC05FB" w14:textId="77777777" w:rsidR="00A74C68" w:rsidRPr="00471CBA" w:rsidRDefault="00A74C68" w:rsidP="00A74C68">
            <w:pPr>
              <w:jc w:val="right"/>
              <w:rPr>
                <w:sz w:val="18"/>
                <w:szCs w:val="18"/>
                <w:lang w:eastAsia="tr-TR"/>
              </w:rPr>
            </w:pPr>
          </w:p>
        </w:tc>
      </w:tr>
      <w:tr w:rsidR="00A74C68" w:rsidRPr="00471CBA" w14:paraId="267B62BE" w14:textId="77777777" w:rsidTr="00A74C68">
        <w:trPr>
          <w:divId w:val="341980270"/>
          <w:trHeight w:val="227"/>
        </w:trPr>
        <w:tc>
          <w:tcPr>
            <w:tcW w:w="3615" w:type="pct"/>
            <w:tcBorders>
              <w:top w:val="nil"/>
              <w:left w:val="nil"/>
              <w:bottom w:val="single" w:sz="12" w:space="0" w:color="auto"/>
              <w:right w:val="nil"/>
            </w:tcBorders>
            <w:vAlign w:val="center"/>
            <w:hideMark/>
          </w:tcPr>
          <w:p w14:paraId="6B3E202A" w14:textId="77777777" w:rsidR="00A74C68" w:rsidRPr="00471CBA" w:rsidRDefault="00A74C68" w:rsidP="00A74C68">
            <w:pPr>
              <w:rPr>
                <w:b/>
                <w:bCs/>
                <w:color w:val="000000"/>
                <w:sz w:val="18"/>
                <w:szCs w:val="18"/>
                <w:lang w:eastAsia="tr-TR"/>
              </w:rPr>
            </w:pPr>
            <w:r w:rsidRPr="00471CBA">
              <w:rPr>
                <w:b/>
                <w:bCs/>
                <w:color w:val="000000"/>
                <w:sz w:val="18"/>
                <w:szCs w:val="18"/>
                <w:lang w:eastAsia="tr-TR"/>
              </w:rPr>
              <w:t>Toplam</w:t>
            </w:r>
          </w:p>
        </w:tc>
        <w:tc>
          <w:tcPr>
            <w:tcW w:w="769" w:type="pct"/>
            <w:tcBorders>
              <w:top w:val="nil"/>
              <w:left w:val="nil"/>
              <w:bottom w:val="single" w:sz="12" w:space="0" w:color="auto"/>
              <w:right w:val="nil"/>
            </w:tcBorders>
            <w:noWrap/>
            <w:vAlign w:val="center"/>
            <w:hideMark/>
          </w:tcPr>
          <w:p w14:paraId="4964DECC" w14:textId="77777777" w:rsidR="00A74C68" w:rsidRPr="00471CBA" w:rsidRDefault="00A74C68" w:rsidP="00A74C68">
            <w:pPr>
              <w:jc w:val="right"/>
              <w:rPr>
                <w:b/>
                <w:bCs/>
                <w:color w:val="000000"/>
                <w:sz w:val="18"/>
                <w:szCs w:val="18"/>
                <w:lang w:eastAsia="tr-TR"/>
              </w:rPr>
            </w:pPr>
            <w:r w:rsidRPr="00471CBA">
              <w:rPr>
                <w:b/>
                <w:bCs/>
                <w:color w:val="000000"/>
                <w:sz w:val="18"/>
                <w:szCs w:val="18"/>
                <w:lang w:eastAsia="tr-TR"/>
              </w:rPr>
              <w:t>87</w:t>
            </w:r>
          </w:p>
        </w:tc>
        <w:tc>
          <w:tcPr>
            <w:tcW w:w="616" w:type="pct"/>
            <w:tcBorders>
              <w:top w:val="nil"/>
              <w:left w:val="nil"/>
              <w:bottom w:val="single" w:sz="12" w:space="0" w:color="auto"/>
              <w:right w:val="nil"/>
            </w:tcBorders>
            <w:noWrap/>
            <w:vAlign w:val="center"/>
            <w:hideMark/>
          </w:tcPr>
          <w:p w14:paraId="3DC4158C" w14:textId="77777777" w:rsidR="00A74C68" w:rsidRPr="00471CBA" w:rsidRDefault="00A74C68" w:rsidP="00A74C68">
            <w:pPr>
              <w:jc w:val="right"/>
              <w:rPr>
                <w:b/>
                <w:bCs/>
                <w:color w:val="000000"/>
                <w:sz w:val="18"/>
                <w:szCs w:val="18"/>
                <w:lang w:eastAsia="tr-TR"/>
              </w:rPr>
            </w:pPr>
            <w:r w:rsidRPr="00471CBA">
              <w:rPr>
                <w:b/>
                <w:bCs/>
                <w:color w:val="000000"/>
                <w:sz w:val="18"/>
                <w:szCs w:val="18"/>
                <w:lang w:eastAsia="tr-TR"/>
              </w:rPr>
              <w:t>-</w:t>
            </w:r>
          </w:p>
        </w:tc>
      </w:tr>
    </w:tbl>
    <w:p w14:paraId="46584D45" w14:textId="55C854ED" w:rsidR="000204AD" w:rsidRPr="00471CBA" w:rsidRDefault="000204AD" w:rsidP="002432BC">
      <w:pPr>
        <w:rPr>
          <w:sz w:val="18"/>
          <w:szCs w:val="18"/>
        </w:rPr>
      </w:pPr>
    </w:p>
    <w:tbl>
      <w:tblPr>
        <w:tblW w:w="5000" w:type="pct"/>
        <w:tblCellMar>
          <w:left w:w="70" w:type="dxa"/>
          <w:right w:w="70" w:type="dxa"/>
        </w:tblCellMar>
        <w:tblLook w:val="04A0" w:firstRow="1" w:lastRow="0" w:firstColumn="1" w:lastColumn="0" w:noHBand="0" w:noVBand="1"/>
      </w:tblPr>
      <w:tblGrid>
        <w:gridCol w:w="6763"/>
        <w:gridCol w:w="1439"/>
        <w:gridCol w:w="1153"/>
      </w:tblGrid>
      <w:tr w:rsidR="00641D4F" w:rsidRPr="00471CBA" w14:paraId="10277B3F" w14:textId="77777777" w:rsidTr="00EC7342">
        <w:trPr>
          <w:trHeight w:val="227"/>
        </w:trPr>
        <w:tc>
          <w:tcPr>
            <w:tcW w:w="3615" w:type="pct"/>
            <w:tcBorders>
              <w:top w:val="nil"/>
              <w:left w:val="nil"/>
              <w:bottom w:val="nil"/>
              <w:right w:val="nil"/>
            </w:tcBorders>
            <w:vAlign w:val="center"/>
            <w:hideMark/>
          </w:tcPr>
          <w:p w14:paraId="7F43ADBD" w14:textId="77777777" w:rsidR="00641D4F" w:rsidRPr="00471CBA" w:rsidRDefault="00641D4F" w:rsidP="00EC7342">
            <w:pPr>
              <w:rPr>
                <w:sz w:val="18"/>
                <w:szCs w:val="18"/>
                <w:lang w:eastAsia="tr-TR"/>
              </w:rPr>
            </w:pPr>
          </w:p>
        </w:tc>
        <w:tc>
          <w:tcPr>
            <w:tcW w:w="1385" w:type="pct"/>
            <w:gridSpan w:val="2"/>
            <w:tcBorders>
              <w:top w:val="nil"/>
              <w:left w:val="nil"/>
              <w:bottom w:val="single" w:sz="4" w:space="0" w:color="auto"/>
              <w:right w:val="nil"/>
            </w:tcBorders>
            <w:noWrap/>
            <w:vAlign w:val="center"/>
            <w:hideMark/>
          </w:tcPr>
          <w:p w14:paraId="626D24BE" w14:textId="160ADBA0" w:rsidR="00641D4F" w:rsidRPr="00471CBA" w:rsidRDefault="00641D4F" w:rsidP="00EC7342">
            <w:pPr>
              <w:jc w:val="center"/>
              <w:rPr>
                <w:b/>
                <w:bCs/>
                <w:color w:val="000000"/>
                <w:sz w:val="18"/>
                <w:szCs w:val="18"/>
                <w:lang w:eastAsia="tr-TR"/>
              </w:rPr>
            </w:pPr>
            <w:r w:rsidRPr="00471CBA">
              <w:rPr>
                <w:b/>
                <w:bCs/>
                <w:color w:val="000000"/>
                <w:sz w:val="18"/>
                <w:szCs w:val="18"/>
                <w:lang w:eastAsia="tr-TR"/>
              </w:rPr>
              <w:t>1 Ocak - 31 Aralık 2024</w:t>
            </w:r>
          </w:p>
        </w:tc>
      </w:tr>
      <w:tr w:rsidR="00641D4F" w:rsidRPr="00471CBA" w14:paraId="37E7087E" w14:textId="77777777" w:rsidTr="00EC7342">
        <w:trPr>
          <w:trHeight w:val="227"/>
        </w:trPr>
        <w:tc>
          <w:tcPr>
            <w:tcW w:w="3615" w:type="pct"/>
            <w:tcBorders>
              <w:top w:val="nil"/>
              <w:left w:val="nil"/>
              <w:bottom w:val="single" w:sz="4" w:space="0" w:color="auto"/>
              <w:right w:val="nil"/>
            </w:tcBorders>
            <w:vAlign w:val="center"/>
            <w:hideMark/>
          </w:tcPr>
          <w:p w14:paraId="55AFDAC8" w14:textId="77777777" w:rsidR="00641D4F" w:rsidRPr="00471CBA" w:rsidRDefault="00641D4F" w:rsidP="00EC7342">
            <w:pPr>
              <w:jc w:val="right"/>
              <w:rPr>
                <w:color w:val="000000"/>
                <w:sz w:val="18"/>
                <w:szCs w:val="18"/>
                <w:lang w:eastAsia="tr-TR"/>
              </w:rPr>
            </w:pPr>
            <w:r w:rsidRPr="00471CBA">
              <w:rPr>
                <w:color w:val="000000"/>
                <w:sz w:val="18"/>
                <w:szCs w:val="18"/>
                <w:lang w:eastAsia="tr-TR"/>
              </w:rPr>
              <w:t> </w:t>
            </w:r>
          </w:p>
        </w:tc>
        <w:tc>
          <w:tcPr>
            <w:tcW w:w="769" w:type="pct"/>
            <w:tcBorders>
              <w:top w:val="nil"/>
              <w:left w:val="nil"/>
              <w:bottom w:val="single" w:sz="4" w:space="0" w:color="auto"/>
              <w:right w:val="nil"/>
            </w:tcBorders>
            <w:noWrap/>
            <w:vAlign w:val="center"/>
            <w:hideMark/>
          </w:tcPr>
          <w:p w14:paraId="5668FBA7" w14:textId="77777777" w:rsidR="00641D4F" w:rsidRPr="00471CBA" w:rsidRDefault="00641D4F" w:rsidP="00EC7342">
            <w:pPr>
              <w:jc w:val="right"/>
              <w:rPr>
                <w:b/>
                <w:bCs/>
                <w:color w:val="000000"/>
                <w:sz w:val="18"/>
                <w:szCs w:val="18"/>
                <w:lang w:eastAsia="tr-TR"/>
              </w:rPr>
            </w:pPr>
            <w:r w:rsidRPr="00471CBA">
              <w:rPr>
                <w:b/>
                <w:bCs/>
                <w:color w:val="000000"/>
                <w:sz w:val="18"/>
                <w:szCs w:val="18"/>
                <w:lang w:eastAsia="tr-TR"/>
              </w:rPr>
              <w:t>TP</w:t>
            </w:r>
          </w:p>
        </w:tc>
        <w:tc>
          <w:tcPr>
            <w:tcW w:w="616" w:type="pct"/>
            <w:tcBorders>
              <w:top w:val="nil"/>
              <w:left w:val="nil"/>
              <w:bottom w:val="single" w:sz="4" w:space="0" w:color="auto"/>
              <w:right w:val="nil"/>
            </w:tcBorders>
            <w:noWrap/>
            <w:vAlign w:val="center"/>
            <w:hideMark/>
          </w:tcPr>
          <w:p w14:paraId="148B1D12" w14:textId="77777777" w:rsidR="00641D4F" w:rsidRPr="00471CBA" w:rsidRDefault="00641D4F" w:rsidP="00EC7342">
            <w:pPr>
              <w:jc w:val="right"/>
              <w:rPr>
                <w:b/>
                <w:bCs/>
                <w:color w:val="000000"/>
                <w:sz w:val="18"/>
                <w:szCs w:val="18"/>
                <w:lang w:eastAsia="tr-TR"/>
              </w:rPr>
            </w:pPr>
            <w:r w:rsidRPr="00471CBA">
              <w:rPr>
                <w:b/>
                <w:bCs/>
                <w:color w:val="000000"/>
                <w:sz w:val="18"/>
                <w:szCs w:val="18"/>
                <w:lang w:eastAsia="tr-TR"/>
              </w:rPr>
              <w:t>YP</w:t>
            </w:r>
          </w:p>
        </w:tc>
      </w:tr>
      <w:tr w:rsidR="00641D4F" w:rsidRPr="00471CBA" w14:paraId="3E26166C" w14:textId="77777777" w:rsidTr="00EC7342">
        <w:trPr>
          <w:trHeight w:val="227"/>
        </w:trPr>
        <w:tc>
          <w:tcPr>
            <w:tcW w:w="3615" w:type="pct"/>
            <w:tcBorders>
              <w:top w:val="nil"/>
              <w:left w:val="nil"/>
              <w:bottom w:val="nil"/>
              <w:right w:val="nil"/>
            </w:tcBorders>
            <w:vAlign w:val="center"/>
            <w:hideMark/>
          </w:tcPr>
          <w:p w14:paraId="353D9228" w14:textId="77777777" w:rsidR="00641D4F" w:rsidRPr="00471CBA" w:rsidRDefault="00641D4F" w:rsidP="00EC7342">
            <w:pPr>
              <w:jc w:val="right"/>
              <w:rPr>
                <w:b/>
                <w:bCs/>
                <w:color w:val="000000"/>
                <w:sz w:val="18"/>
                <w:szCs w:val="18"/>
                <w:lang w:eastAsia="tr-TR"/>
              </w:rPr>
            </w:pPr>
          </w:p>
        </w:tc>
        <w:tc>
          <w:tcPr>
            <w:tcW w:w="769" w:type="pct"/>
            <w:tcBorders>
              <w:top w:val="nil"/>
              <w:left w:val="nil"/>
              <w:bottom w:val="nil"/>
              <w:right w:val="nil"/>
            </w:tcBorders>
            <w:noWrap/>
            <w:vAlign w:val="center"/>
            <w:hideMark/>
          </w:tcPr>
          <w:p w14:paraId="161CCDD8" w14:textId="77777777" w:rsidR="00641D4F" w:rsidRPr="00471CBA" w:rsidRDefault="00641D4F" w:rsidP="00EC7342">
            <w:pPr>
              <w:jc w:val="right"/>
              <w:rPr>
                <w:sz w:val="18"/>
                <w:szCs w:val="18"/>
                <w:lang w:eastAsia="tr-TR"/>
              </w:rPr>
            </w:pPr>
          </w:p>
        </w:tc>
        <w:tc>
          <w:tcPr>
            <w:tcW w:w="616" w:type="pct"/>
            <w:tcBorders>
              <w:top w:val="nil"/>
              <w:left w:val="nil"/>
              <w:bottom w:val="nil"/>
              <w:right w:val="nil"/>
            </w:tcBorders>
            <w:noWrap/>
            <w:vAlign w:val="center"/>
            <w:hideMark/>
          </w:tcPr>
          <w:p w14:paraId="6A118B9E" w14:textId="77777777" w:rsidR="00641D4F" w:rsidRPr="00471CBA" w:rsidRDefault="00641D4F" w:rsidP="00EC7342">
            <w:pPr>
              <w:jc w:val="right"/>
              <w:rPr>
                <w:sz w:val="18"/>
                <w:szCs w:val="18"/>
                <w:lang w:eastAsia="tr-TR"/>
              </w:rPr>
            </w:pPr>
          </w:p>
        </w:tc>
      </w:tr>
      <w:tr w:rsidR="00641D4F" w:rsidRPr="00471CBA" w14:paraId="5FB7A933" w14:textId="77777777" w:rsidTr="00EC7342">
        <w:trPr>
          <w:trHeight w:val="227"/>
        </w:trPr>
        <w:tc>
          <w:tcPr>
            <w:tcW w:w="3615" w:type="pct"/>
            <w:tcBorders>
              <w:top w:val="nil"/>
              <w:left w:val="nil"/>
              <w:bottom w:val="nil"/>
              <w:right w:val="nil"/>
            </w:tcBorders>
            <w:vAlign w:val="center"/>
            <w:hideMark/>
          </w:tcPr>
          <w:p w14:paraId="563707E6" w14:textId="77777777" w:rsidR="00641D4F" w:rsidRPr="00471CBA" w:rsidRDefault="00641D4F" w:rsidP="00EC7342">
            <w:pPr>
              <w:rPr>
                <w:color w:val="000000"/>
                <w:sz w:val="18"/>
                <w:szCs w:val="18"/>
                <w:lang w:eastAsia="tr-TR"/>
              </w:rPr>
            </w:pPr>
            <w:r w:rsidRPr="00471CBA">
              <w:rPr>
                <w:color w:val="000000"/>
                <w:sz w:val="18"/>
                <w:szCs w:val="18"/>
                <w:lang w:eastAsia="tr-TR"/>
              </w:rPr>
              <w:t>Gerçeğe Uygun Değer Farkı Kâr veya Zarara Yansıtılan Finansal Varlıklar</w:t>
            </w:r>
          </w:p>
        </w:tc>
        <w:tc>
          <w:tcPr>
            <w:tcW w:w="769" w:type="pct"/>
            <w:tcBorders>
              <w:top w:val="nil"/>
              <w:left w:val="nil"/>
              <w:bottom w:val="nil"/>
              <w:right w:val="nil"/>
            </w:tcBorders>
            <w:noWrap/>
            <w:vAlign w:val="center"/>
            <w:hideMark/>
          </w:tcPr>
          <w:p w14:paraId="1836D428" w14:textId="66C22533" w:rsidR="00641D4F" w:rsidRPr="00471CBA" w:rsidRDefault="00641D4F" w:rsidP="00EC7342">
            <w:pPr>
              <w:jc w:val="right"/>
              <w:rPr>
                <w:color w:val="000000"/>
                <w:sz w:val="18"/>
                <w:szCs w:val="18"/>
                <w:lang w:eastAsia="tr-TR"/>
              </w:rPr>
            </w:pPr>
            <w:r w:rsidRPr="00471CBA">
              <w:rPr>
                <w:color w:val="000000"/>
                <w:sz w:val="18"/>
                <w:szCs w:val="18"/>
                <w:lang w:eastAsia="tr-TR"/>
              </w:rPr>
              <w:t>52</w:t>
            </w:r>
          </w:p>
        </w:tc>
        <w:tc>
          <w:tcPr>
            <w:tcW w:w="616" w:type="pct"/>
            <w:tcBorders>
              <w:top w:val="nil"/>
              <w:left w:val="nil"/>
              <w:bottom w:val="nil"/>
              <w:right w:val="nil"/>
            </w:tcBorders>
            <w:noWrap/>
            <w:vAlign w:val="center"/>
            <w:hideMark/>
          </w:tcPr>
          <w:p w14:paraId="0A75AE98" w14:textId="77777777" w:rsidR="00641D4F" w:rsidRPr="00471CBA" w:rsidRDefault="00641D4F" w:rsidP="00EC7342">
            <w:pPr>
              <w:jc w:val="right"/>
              <w:rPr>
                <w:color w:val="000000"/>
                <w:sz w:val="18"/>
                <w:szCs w:val="18"/>
                <w:lang w:eastAsia="tr-TR"/>
              </w:rPr>
            </w:pPr>
            <w:r w:rsidRPr="00471CBA">
              <w:rPr>
                <w:color w:val="000000"/>
                <w:sz w:val="18"/>
                <w:szCs w:val="18"/>
                <w:lang w:eastAsia="tr-TR"/>
              </w:rPr>
              <w:t>-</w:t>
            </w:r>
          </w:p>
        </w:tc>
      </w:tr>
      <w:tr w:rsidR="00641D4F" w:rsidRPr="00471CBA" w14:paraId="35CF0D1F" w14:textId="77777777" w:rsidTr="00EC7342">
        <w:trPr>
          <w:trHeight w:val="227"/>
        </w:trPr>
        <w:tc>
          <w:tcPr>
            <w:tcW w:w="3615" w:type="pct"/>
            <w:tcBorders>
              <w:top w:val="nil"/>
              <w:left w:val="nil"/>
              <w:bottom w:val="nil"/>
              <w:right w:val="nil"/>
            </w:tcBorders>
            <w:vAlign w:val="center"/>
            <w:hideMark/>
          </w:tcPr>
          <w:p w14:paraId="23E2FB45" w14:textId="77777777" w:rsidR="00641D4F" w:rsidRPr="00471CBA" w:rsidRDefault="00641D4F" w:rsidP="00EC7342">
            <w:pPr>
              <w:rPr>
                <w:color w:val="000000"/>
                <w:sz w:val="18"/>
                <w:szCs w:val="18"/>
                <w:lang w:eastAsia="tr-TR"/>
              </w:rPr>
            </w:pPr>
            <w:r w:rsidRPr="00471CBA">
              <w:rPr>
                <w:color w:val="000000"/>
                <w:sz w:val="18"/>
                <w:szCs w:val="18"/>
                <w:lang w:eastAsia="tr-TR"/>
              </w:rPr>
              <w:t>Gerçeğe Uygun Değer Farkı Diğer Kapsamlı Gelire Yansıtılan Finansal Varlıklar</w:t>
            </w:r>
          </w:p>
        </w:tc>
        <w:tc>
          <w:tcPr>
            <w:tcW w:w="769" w:type="pct"/>
            <w:tcBorders>
              <w:top w:val="nil"/>
              <w:left w:val="nil"/>
              <w:bottom w:val="nil"/>
              <w:right w:val="nil"/>
            </w:tcBorders>
            <w:noWrap/>
            <w:vAlign w:val="center"/>
            <w:hideMark/>
          </w:tcPr>
          <w:p w14:paraId="55CE5590" w14:textId="77777777" w:rsidR="00641D4F" w:rsidRPr="00471CBA" w:rsidRDefault="00641D4F" w:rsidP="00EC7342">
            <w:pPr>
              <w:jc w:val="right"/>
              <w:rPr>
                <w:color w:val="000000"/>
                <w:sz w:val="18"/>
                <w:szCs w:val="18"/>
                <w:lang w:eastAsia="tr-TR"/>
              </w:rPr>
            </w:pPr>
            <w:r w:rsidRPr="00471CBA">
              <w:rPr>
                <w:color w:val="000000"/>
                <w:sz w:val="18"/>
                <w:szCs w:val="18"/>
                <w:lang w:eastAsia="tr-TR"/>
              </w:rPr>
              <w:t>-</w:t>
            </w:r>
          </w:p>
        </w:tc>
        <w:tc>
          <w:tcPr>
            <w:tcW w:w="616" w:type="pct"/>
            <w:tcBorders>
              <w:top w:val="nil"/>
              <w:left w:val="nil"/>
              <w:bottom w:val="nil"/>
              <w:right w:val="nil"/>
            </w:tcBorders>
            <w:noWrap/>
            <w:vAlign w:val="center"/>
            <w:hideMark/>
          </w:tcPr>
          <w:p w14:paraId="67B56ACC" w14:textId="77777777" w:rsidR="00641D4F" w:rsidRPr="00471CBA" w:rsidRDefault="00641D4F" w:rsidP="00EC7342">
            <w:pPr>
              <w:jc w:val="right"/>
              <w:rPr>
                <w:color w:val="000000"/>
                <w:sz w:val="18"/>
                <w:szCs w:val="18"/>
                <w:lang w:eastAsia="tr-TR"/>
              </w:rPr>
            </w:pPr>
            <w:r w:rsidRPr="00471CBA">
              <w:rPr>
                <w:color w:val="000000"/>
                <w:sz w:val="18"/>
                <w:szCs w:val="18"/>
                <w:lang w:eastAsia="tr-TR"/>
              </w:rPr>
              <w:t>-</w:t>
            </w:r>
          </w:p>
        </w:tc>
      </w:tr>
      <w:tr w:rsidR="00641D4F" w:rsidRPr="00471CBA" w14:paraId="153F5097" w14:textId="77777777" w:rsidTr="00EC7342">
        <w:trPr>
          <w:trHeight w:val="227"/>
        </w:trPr>
        <w:tc>
          <w:tcPr>
            <w:tcW w:w="3615" w:type="pct"/>
            <w:tcBorders>
              <w:top w:val="nil"/>
              <w:left w:val="nil"/>
              <w:bottom w:val="single" w:sz="4" w:space="0" w:color="auto"/>
              <w:right w:val="nil"/>
            </w:tcBorders>
            <w:vAlign w:val="center"/>
            <w:hideMark/>
          </w:tcPr>
          <w:p w14:paraId="63371F26" w14:textId="77777777" w:rsidR="00641D4F" w:rsidRPr="00471CBA" w:rsidRDefault="00641D4F" w:rsidP="00EC7342">
            <w:pPr>
              <w:rPr>
                <w:color w:val="000000"/>
                <w:sz w:val="18"/>
                <w:szCs w:val="18"/>
                <w:lang w:eastAsia="tr-TR"/>
              </w:rPr>
            </w:pPr>
            <w:r w:rsidRPr="00471CBA">
              <w:rPr>
                <w:color w:val="000000"/>
                <w:sz w:val="18"/>
                <w:szCs w:val="18"/>
                <w:lang w:eastAsia="tr-TR"/>
              </w:rPr>
              <w:t>Diğer</w:t>
            </w:r>
          </w:p>
        </w:tc>
        <w:tc>
          <w:tcPr>
            <w:tcW w:w="769" w:type="pct"/>
            <w:tcBorders>
              <w:top w:val="nil"/>
              <w:left w:val="nil"/>
              <w:bottom w:val="single" w:sz="4" w:space="0" w:color="auto"/>
              <w:right w:val="nil"/>
            </w:tcBorders>
            <w:noWrap/>
            <w:vAlign w:val="center"/>
            <w:hideMark/>
          </w:tcPr>
          <w:p w14:paraId="54B2DA2F" w14:textId="77777777" w:rsidR="00641D4F" w:rsidRPr="00471CBA" w:rsidRDefault="00641D4F" w:rsidP="00EC7342">
            <w:pPr>
              <w:jc w:val="right"/>
              <w:rPr>
                <w:color w:val="000000"/>
                <w:sz w:val="18"/>
                <w:szCs w:val="18"/>
                <w:lang w:eastAsia="tr-TR"/>
              </w:rPr>
            </w:pPr>
            <w:r w:rsidRPr="00471CBA">
              <w:rPr>
                <w:color w:val="000000"/>
                <w:sz w:val="18"/>
                <w:szCs w:val="18"/>
                <w:lang w:eastAsia="tr-TR"/>
              </w:rPr>
              <w:t>-</w:t>
            </w:r>
          </w:p>
        </w:tc>
        <w:tc>
          <w:tcPr>
            <w:tcW w:w="616" w:type="pct"/>
            <w:tcBorders>
              <w:top w:val="nil"/>
              <w:left w:val="nil"/>
              <w:bottom w:val="single" w:sz="4" w:space="0" w:color="auto"/>
              <w:right w:val="nil"/>
            </w:tcBorders>
            <w:noWrap/>
            <w:vAlign w:val="center"/>
            <w:hideMark/>
          </w:tcPr>
          <w:p w14:paraId="6C690DB2" w14:textId="77777777" w:rsidR="00641D4F" w:rsidRPr="00471CBA" w:rsidRDefault="00641D4F" w:rsidP="00EC7342">
            <w:pPr>
              <w:jc w:val="right"/>
              <w:rPr>
                <w:color w:val="000000"/>
                <w:sz w:val="18"/>
                <w:szCs w:val="18"/>
                <w:lang w:eastAsia="tr-TR"/>
              </w:rPr>
            </w:pPr>
            <w:r w:rsidRPr="00471CBA">
              <w:rPr>
                <w:color w:val="000000"/>
                <w:sz w:val="18"/>
                <w:szCs w:val="18"/>
                <w:lang w:eastAsia="tr-TR"/>
              </w:rPr>
              <w:t>-</w:t>
            </w:r>
          </w:p>
        </w:tc>
      </w:tr>
      <w:tr w:rsidR="00641D4F" w:rsidRPr="00471CBA" w14:paraId="1EB02E5A" w14:textId="77777777" w:rsidTr="00EC7342">
        <w:trPr>
          <w:trHeight w:val="227"/>
        </w:trPr>
        <w:tc>
          <w:tcPr>
            <w:tcW w:w="3615" w:type="pct"/>
            <w:tcBorders>
              <w:top w:val="nil"/>
              <w:left w:val="nil"/>
              <w:right w:val="nil"/>
            </w:tcBorders>
            <w:vAlign w:val="center"/>
            <w:hideMark/>
          </w:tcPr>
          <w:p w14:paraId="39036C20" w14:textId="77777777" w:rsidR="00641D4F" w:rsidRPr="00471CBA" w:rsidRDefault="00641D4F" w:rsidP="00EC7342">
            <w:pPr>
              <w:jc w:val="right"/>
              <w:rPr>
                <w:color w:val="000000"/>
                <w:sz w:val="18"/>
                <w:szCs w:val="18"/>
                <w:lang w:eastAsia="tr-TR"/>
              </w:rPr>
            </w:pPr>
          </w:p>
        </w:tc>
        <w:tc>
          <w:tcPr>
            <w:tcW w:w="769" w:type="pct"/>
            <w:tcBorders>
              <w:top w:val="nil"/>
              <w:left w:val="nil"/>
              <w:right w:val="nil"/>
            </w:tcBorders>
            <w:noWrap/>
            <w:vAlign w:val="center"/>
            <w:hideMark/>
          </w:tcPr>
          <w:p w14:paraId="5357D51A" w14:textId="77777777" w:rsidR="00641D4F" w:rsidRPr="00471CBA" w:rsidRDefault="00641D4F" w:rsidP="00EC7342">
            <w:pPr>
              <w:rPr>
                <w:sz w:val="18"/>
                <w:szCs w:val="18"/>
                <w:lang w:eastAsia="tr-TR"/>
              </w:rPr>
            </w:pPr>
          </w:p>
        </w:tc>
        <w:tc>
          <w:tcPr>
            <w:tcW w:w="616" w:type="pct"/>
            <w:tcBorders>
              <w:top w:val="nil"/>
              <w:left w:val="nil"/>
              <w:right w:val="nil"/>
            </w:tcBorders>
            <w:noWrap/>
            <w:vAlign w:val="center"/>
            <w:hideMark/>
          </w:tcPr>
          <w:p w14:paraId="6B97193D" w14:textId="77777777" w:rsidR="00641D4F" w:rsidRPr="00471CBA" w:rsidRDefault="00641D4F" w:rsidP="00EC7342">
            <w:pPr>
              <w:jc w:val="right"/>
              <w:rPr>
                <w:sz w:val="18"/>
                <w:szCs w:val="18"/>
                <w:lang w:eastAsia="tr-TR"/>
              </w:rPr>
            </w:pPr>
          </w:p>
        </w:tc>
      </w:tr>
      <w:tr w:rsidR="00641D4F" w:rsidRPr="00471CBA" w14:paraId="590BE361" w14:textId="77777777" w:rsidTr="00EC7342">
        <w:trPr>
          <w:trHeight w:val="227"/>
        </w:trPr>
        <w:tc>
          <w:tcPr>
            <w:tcW w:w="3615" w:type="pct"/>
            <w:tcBorders>
              <w:top w:val="nil"/>
              <w:left w:val="nil"/>
              <w:bottom w:val="single" w:sz="12" w:space="0" w:color="auto"/>
              <w:right w:val="nil"/>
            </w:tcBorders>
            <w:vAlign w:val="center"/>
            <w:hideMark/>
          </w:tcPr>
          <w:p w14:paraId="67EEE977" w14:textId="77777777" w:rsidR="00641D4F" w:rsidRPr="00471CBA" w:rsidRDefault="00641D4F" w:rsidP="00EC7342">
            <w:pPr>
              <w:rPr>
                <w:b/>
                <w:bCs/>
                <w:color w:val="000000"/>
                <w:sz w:val="18"/>
                <w:szCs w:val="18"/>
                <w:lang w:eastAsia="tr-TR"/>
              </w:rPr>
            </w:pPr>
            <w:r w:rsidRPr="00471CBA">
              <w:rPr>
                <w:b/>
                <w:bCs/>
                <w:color w:val="000000"/>
                <w:sz w:val="18"/>
                <w:szCs w:val="18"/>
                <w:lang w:eastAsia="tr-TR"/>
              </w:rPr>
              <w:t>Toplam</w:t>
            </w:r>
          </w:p>
        </w:tc>
        <w:tc>
          <w:tcPr>
            <w:tcW w:w="769" w:type="pct"/>
            <w:tcBorders>
              <w:top w:val="nil"/>
              <w:left w:val="nil"/>
              <w:bottom w:val="single" w:sz="12" w:space="0" w:color="auto"/>
              <w:right w:val="nil"/>
            </w:tcBorders>
            <w:noWrap/>
            <w:vAlign w:val="center"/>
            <w:hideMark/>
          </w:tcPr>
          <w:p w14:paraId="537F71F7" w14:textId="5A6195AB" w:rsidR="00641D4F" w:rsidRPr="00471CBA" w:rsidRDefault="00641D4F" w:rsidP="00EC7342">
            <w:pPr>
              <w:jc w:val="right"/>
              <w:rPr>
                <w:b/>
                <w:bCs/>
                <w:color w:val="000000"/>
                <w:sz w:val="18"/>
                <w:szCs w:val="18"/>
                <w:lang w:eastAsia="tr-TR"/>
              </w:rPr>
            </w:pPr>
            <w:r w:rsidRPr="00471CBA">
              <w:rPr>
                <w:b/>
                <w:bCs/>
                <w:color w:val="000000"/>
                <w:sz w:val="18"/>
                <w:szCs w:val="18"/>
                <w:lang w:eastAsia="tr-TR"/>
              </w:rPr>
              <w:t>52</w:t>
            </w:r>
          </w:p>
        </w:tc>
        <w:tc>
          <w:tcPr>
            <w:tcW w:w="616" w:type="pct"/>
            <w:tcBorders>
              <w:top w:val="nil"/>
              <w:left w:val="nil"/>
              <w:bottom w:val="single" w:sz="12" w:space="0" w:color="auto"/>
              <w:right w:val="nil"/>
            </w:tcBorders>
            <w:noWrap/>
            <w:vAlign w:val="center"/>
            <w:hideMark/>
          </w:tcPr>
          <w:p w14:paraId="5B43F49C" w14:textId="77777777" w:rsidR="00641D4F" w:rsidRPr="00471CBA" w:rsidRDefault="00641D4F" w:rsidP="00EC7342">
            <w:pPr>
              <w:jc w:val="right"/>
              <w:rPr>
                <w:b/>
                <w:bCs/>
                <w:color w:val="000000"/>
                <w:sz w:val="18"/>
                <w:szCs w:val="18"/>
                <w:lang w:eastAsia="tr-TR"/>
              </w:rPr>
            </w:pPr>
            <w:r w:rsidRPr="00471CBA">
              <w:rPr>
                <w:b/>
                <w:bCs/>
                <w:color w:val="000000"/>
                <w:sz w:val="18"/>
                <w:szCs w:val="18"/>
                <w:lang w:eastAsia="tr-TR"/>
              </w:rPr>
              <w:t>-</w:t>
            </w:r>
          </w:p>
        </w:tc>
      </w:tr>
    </w:tbl>
    <w:p w14:paraId="4102E913" w14:textId="77777777" w:rsidR="00641D4F" w:rsidRPr="00471CBA" w:rsidRDefault="00641D4F" w:rsidP="002432BC">
      <w:pPr>
        <w:rPr>
          <w:b/>
          <w:szCs w:val="20"/>
        </w:rPr>
      </w:pPr>
    </w:p>
    <w:p w14:paraId="4E8F22BA" w14:textId="77777777" w:rsidR="00AB5801" w:rsidRPr="00471CBA" w:rsidRDefault="00AB5801" w:rsidP="00212E4A">
      <w:pPr>
        <w:pStyle w:val="ListeParagraf"/>
        <w:widowControl w:val="0"/>
        <w:numPr>
          <w:ilvl w:val="0"/>
          <w:numId w:val="31"/>
        </w:numPr>
        <w:spacing w:line="211" w:lineRule="auto"/>
        <w:ind w:left="851" w:hanging="851"/>
        <w:jc w:val="both"/>
        <w:rPr>
          <w:b/>
          <w:szCs w:val="20"/>
        </w:rPr>
      </w:pPr>
      <w:r w:rsidRPr="00471CBA">
        <w:rPr>
          <w:b/>
          <w:szCs w:val="20"/>
        </w:rPr>
        <w:t>Ticari kar/zarara ilişkin açıklamalar (net):</w:t>
      </w:r>
    </w:p>
    <w:p w14:paraId="2F127526" w14:textId="063FB9D2" w:rsidR="00A74C68" w:rsidRPr="00471CBA" w:rsidRDefault="00A74C68" w:rsidP="00AB5801">
      <w:pPr>
        <w:widowControl w:val="0"/>
        <w:spacing w:line="211" w:lineRule="auto"/>
        <w:ind w:left="14" w:hanging="532"/>
        <w:jc w:val="both"/>
        <w:rPr>
          <w:szCs w:val="20"/>
        </w:rPr>
      </w:pPr>
    </w:p>
    <w:tbl>
      <w:tblPr>
        <w:tblW w:w="5000" w:type="pct"/>
        <w:tblCellMar>
          <w:left w:w="70" w:type="dxa"/>
          <w:right w:w="70" w:type="dxa"/>
        </w:tblCellMar>
        <w:tblLook w:val="04A0" w:firstRow="1" w:lastRow="0" w:firstColumn="1" w:lastColumn="0" w:noHBand="0" w:noVBand="1"/>
      </w:tblPr>
      <w:tblGrid>
        <w:gridCol w:w="6423"/>
        <w:gridCol w:w="2932"/>
      </w:tblGrid>
      <w:tr w:rsidR="00A74C68" w:rsidRPr="00471CBA" w14:paraId="1979F42A" w14:textId="77777777" w:rsidTr="00A74C68">
        <w:trPr>
          <w:divId w:val="1829249254"/>
          <w:trHeight w:val="227"/>
        </w:trPr>
        <w:tc>
          <w:tcPr>
            <w:tcW w:w="2601" w:type="pct"/>
            <w:tcBorders>
              <w:top w:val="nil"/>
              <w:left w:val="nil"/>
              <w:bottom w:val="nil"/>
              <w:right w:val="nil"/>
            </w:tcBorders>
            <w:hideMark/>
          </w:tcPr>
          <w:p w14:paraId="385CCA7C" w14:textId="5E6A4CD5" w:rsidR="00A74C68" w:rsidRPr="00471CBA" w:rsidRDefault="00A74C68" w:rsidP="00A74C68">
            <w:pPr>
              <w:rPr>
                <w:sz w:val="18"/>
                <w:szCs w:val="18"/>
              </w:rPr>
            </w:pPr>
          </w:p>
        </w:tc>
        <w:tc>
          <w:tcPr>
            <w:tcW w:w="1187" w:type="pct"/>
            <w:tcBorders>
              <w:top w:val="nil"/>
              <w:left w:val="nil"/>
              <w:bottom w:val="single" w:sz="4" w:space="0" w:color="auto"/>
              <w:right w:val="nil"/>
            </w:tcBorders>
            <w:noWrap/>
            <w:vAlign w:val="center"/>
            <w:hideMark/>
          </w:tcPr>
          <w:p w14:paraId="5AD0DB4D" w14:textId="77777777" w:rsidR="00A74C68" w:rsidRPr="00471CBA" w:rsidRDefault="00A74C68" w:rsidP="00A74C68">
            <w:pPr>
              <w:jc w:val="right"/>
              <w:rPr>
                <w:b/>
                <w:bCs/>
                <w:color w:val="000000"/>
                <w:sz w:val="18"/>
                <w:szCs w:val="18"/>
              </w:rPr>
            </w:pPr>
            <w:r w:rsidRPr="00471CBA">
              <w:rPr>
                <w:b/>
                <w:bCs/>
                <w:color w:val="000000"/>
                <w:sz w:val="18"/>
                <w:szCs w:val="18"/>
              </w:rPr>
              <w:t>1 Ocak - 31 Aralık 2025</w:t>
            </w:r>
          </w:p>
        </w:tc>
      </w:tr>
      <w:tr w:rsidR="00A74C68" w:rsidRPr="00471CBA" w14:paraId="380F1D63" w14:textId="77777777" w:rsidTr="00A74C68">
        <w:trPr>
          <w:divId w:val="1829249254"/>
          <w:trHeight w:val="227"/>
        </w:trPr>
        <w:tc>
          <w:tcPr>
            <w:tcW w:w="2601" w:type="pct"/>
            <w:tcBorders>
              <w:top w:val="nil"/>
              <w:left w:val="nil"/>
              <w:bottom w:val="nil"/>
              <w:right w:val="nil"/>
            </w:tcBorders>
            <w:hideMark/>
          </w:tcPr>
          <w:p w14:paraId="7698A4E7" w14:textId="77777777" w:rsidR="00A74C68" w:rsidRPr="00471CBA" w:rsidRDefault="00A74C68" w:rsidP="00A74C68">
            <w:pPr>
              <w:jc w:val="right"/>
              <w:rPr>
                <w:b/>
                <w:bCs/>
                <w:color w:val="000000"/>
                <w:sz w:val="18"/>
                <w:szCs w:val="18"/>
              </w:rPr>
            </w:pPr>
          </w:p>
        </w:tc>
        <w:tc>
          <w:tcPr>
            <w:tcW w:w="1187" w:type="pct"/>
            <w:tcBorders>
              <w:top w:val="single" w:sz="4" w:space="0" w:color="auto"/>
              <w:left w:val="nil"/>
              <w:bottom w:val="nil"/>
              <w:right w:val="nil"/>
            </w:tcBorders>
            <w:noWrap/>
            <w:vAlign w:val="bottom"/>
            <w:hideMark/>
          </w:tcPr>
          <w:p w14:paraId="58FB3438" w14:textId="77777777" w:rsidR="00A74C68" w:rsidRPr="00471CBA" w:rsidRDefault="00A74C68" w:rsidP="00A74C68">
            <w:pPr>
              <w:jc w:val="right"/>
              <w:rPr>
                <w:sz w:val="18"/>
                <w:szCs w:val="18"/>
              </w:rPr>
            </w:pPr>
          </w:p>
        </w:tc>
      </w:tr>
      <w:tr w:rsidR="00A74C68" w:rsidRPr="00471CBA" w14:paraId="4ED6918A" w14:textId="77777777" w:rsidTr="00A74C68">
        <w:trPr>
          <w:divId w:val="1829249254"/>
          <w:trHeight w:val="227"/>
        </w:trPr>
        <w:tc>
          <w:tcPr>
            <w:tcW w:w="2601" w:type="pct"/>
            <w:tcBorders>
              <w:top w:val="nil"/>
              <w:left w:val="nil"/>
              <w:bottom w:val="nil"/>
              <w:right w:val="nil"/>
            </w:tcBorders>
            <w:vAlign w:val="bottom"/>
            <w:hideMark/>
          </w:tcPr>
          <w:p w14:paraId="36E73F06" w14:textId="77777777" w:rsidR="00A74C68" w:rsidRPr="00471CBA" w:rsidRDefault="00A74C68" w:rsidP="00A74C68">
            <w:pPr>
              <w:rPr>
                <w:b/>
                <w:bCs/>
                <w:color w:val="000000"/>
                <w:sz w:val="18"/>
                <w:szCs w:val="18"/>
              </w:rPr>
            </w:pPr>
            <w:r w:rsidRPr="00471CBA">
              <w:rPr>
                <w:rFonts w:eastAsia="Arial Unicode MS"/>
                <w:b/>
                <w:bCs/>
                <w:color w:val="000000"/>
                <w:sz w:val="18"/>
                <w:szCs w:val="18"/>
              </w:rPr>
              <w:t>Kar</w:t>
            </w:r>
          </w:p>
        </w:tc>
        <w:tc>
          <w:tcPr>
            <w:tcW w:w="1187" w:type="pct"/>
            <w:tcBorders>
              <w:top w:val="nil"/>
              <w:left w:val="nil"/>
              <w:bottom w:val="nil"/>
              <w:right w:val="nil"/>
            </w:tcBorders>
            <w:noWrap/>
            <w:vAlign w:val="center"/>
            <w:hideMark/>
          </w:tcPr>
          <w:p w14:paraId="60699DC6" w14:textId="77777777" w:rsidR="00A74C68" w:rsidRPr="00471CBA" w:rsidRDefault="00A74C68" w:rsidP="00A74C68">
            <w:pPr>
              <w:jc w:val="right"/>
              <w:rPr>
                <w:b/>
                <w:bCs/>
                <w:color w:val="000000"/>
                <w:sz w:val="18"/>
                <w:szCs w:val="18"/>
              </w:rPr>
            </w:pPr>
            <w:r w:rsidRPr="00471CBA">
              <w:rPr>
                <w:b/>
                <w:bCs/>
                <w:color w:val="000000"/>
                <w:sz w:val="18"/>
                <w:szCs w:val="18"/>
              </w:rPr>
              <w:t>562.469.229</w:t>
            </w:r>
          </w:p>
        </w:tc>
      </w:tr>
      <w:tr w:rsidR="00A74C68" w:rsidRPr="00471CBA" w14:paraId="624E84F3" w14:textId="77777777" w:rsidTr="00A74C68">
        <w:trPr>
          <w:divId w:val="1829249254"/>
          <w:trHeight w:val="227"/>
        </w:trPr>
        <w:tc>
          <w:tcPr>
            <w:tcW w:w="2601" w:type="pct"/>
            <w:tcBorders>
              <w:top w:val="nil"/>
              <w:left w:val="nil"/>
              <w:bottom w:val="nil"/>
              <w:right w:val="nil"/>
            </w:tcBorders>
            <w:vAlign w:val="bottom"/>
            <w:hideMark/>
          </w:tcPr>
          <w:p w14:paraId="189A4875" w14:textId="77777777" w:rsidR="00A74C68" w:rsidRPr="00471CBA" w:rsidRDefault="00A74C68" w:rsidP="00A74C68">
            <w:pPr>
              <w:jc w:val="right"/>
              <w:rPr>
                <w:b/>
                <w:bCs/>
                <w:color w:val="000000"/>
                <w:sz w:val="18"/>
                <w:szCs w:val="18"/>
              </w:rPr>
            </w:pPr>
          </w:p>
        </w:tc>
        <w:tc>
          <w:tcPr>
            <w:tcW w:w="1187" w:type="pct"/>
            <w:tcBorders>
              <w:top w:val="nil"/>
              <w:left w:val="nil"/>
              <w:bottom w:val="nil"/>
              <w:right w:val="nil"/>
            </w:tcBorders>
            <w:noWrap/>
            <w:vAlign w:val="bottom"/>
            <w:hideMark/>
          </w:tcPr>
          <w:p w14:paraId="71DA6480" w14:textId="77777777" w:rsidR="00A74C68" w:rsidRPr="00471CBA" w:rsidRDefault="00A74C68" w:rsidP="00A74C68">
            <w:pPr>
              <w:jc w:val="right"/>
              <w:rPr>
                <w:sz w:val="18"/>
                <w:szCs w:val="18"/>
              </w:rPr>
            </w:pPr>
          </w:p>
        </w:tc>
      </w:tr>
      <w:tr w:rsidR="00A74C68" w:rsidRPr="00471CBA" w14:paraId="13663918" w14:textId="77777777" w:rsidTr="00A74C68">
        <w:trPr>
          <w:divId w:val="1829249254"/>
          <w:trHeight w:val="227"/>
        </w:trPr>
        <w:tc>
          <w:tcPr>
            <w:tcW w:w="2601" w:type="pct"/>
            <w:tcBorders>
              <w:top w:val="nil"/>
              <w:left w:val="nil"/>
              <w:bottom w:val="nil"/>
              <w:right w:val="nil"/>
            </w:tcBorders>
            <w:vAlign w:val="bottom"/>
            <w:hideMark/>
          </w:tcPr>
          <w:p w14:paraId="794F4141" w14:textId="77777777" w:rsidR="00A74C68" w:rsidRPr="00471CBA" w:rsidRDefault="00A74C68" w:rsidP="00A74C68">
            <w:pPr>
              <w:rPr>
                <w:color w:val="000000"/>
                <w:sz w:val="18"/>
                <w:szCs w:val="18"/>
              </w:rPr>
            </w:pPr>
            <w:r w:rsidRPr="00471CBA">
              <w:rPr>
                <w:rFonts w:eastAsia="Arial Unicode MS"/>
                <w:color w:val="000000"/>
                <w:sz w:val="18"/>
                <w:szCs w:val="18"/>
              </w:rPr>
              <w:t>Sermaye piyasası işlemleri karı</w:t>
            </w:r>
          </w:p>
        </w:tc>
        <w:tc>
          <w:tcPr>
            <w:tcW w:w="1187" w:type="pct"/>
            <w:tcBorders>
              <w:top w:val="nil"/>
              <w:left w:val="nil"/>
              <w:bottom w:val="nil"/>
              <w:right w:val="nil"/>
            </w:tcBorders>
            <w:noWrap/>
            <w:vAlign w:val="center"/>
            <w:hideMark/>
          </w:tcPr>
          <w:p w14:paraId="708758CA" w14:textId="77777777" w:rsidR="00A74C68" w:rsidRPr="00471CBA" w:rsidRDefault="00A74C68" w:rsidP="00A74C68">
            <w:pPr>
              <w:jc w:val="right"/>
              <w:rPr>
                <w:color w:val="000000"/>
                <w:sz w:val="18"/>
                <w:szCs w:val="18"/>
              </w:rPr>
            </w:pPr>
            <w:r w:rsidRPr="00471CBA">
              <w:rPr>
                <w:color w:val="000000"/>
                <w:sz w:val="18"/>
                <w:szCs w:val="18"/>
              </w:rPr>
              <w:t>375.597</w:t>
            </w:r>
          </w:p>
        </w:tc>
      </w:tr>
      <w:tr w:rsidR="00A74C68" w:rsidRPr="00471CBA" w14:paraId="0A4F3D42" w14:textId="77777777" w:rsidTr="00A74C68">
        <w:trPr>
          <w:divId w:val="1829249254"/>
          <w:trHeight w:val="227"/>
        </w:trPr>
        <w:tc>
          <w:tcPr>
            <w:tcW w:w="2601" w:type="pct"/>
            <w:tcBorders>
              <w:top w:val="nil"/>
              <w:left w:val="nil"/>
              <w:bottom w:val="nil"/>
              <w:right w:val="nil"/>
            </w:tcBorders>
            <w:vAlign w:val="bottom"/>
            <w:hideMark/>
          </w:tcPr>
          <w:p w14:paraId="53A8FCFF" w14:textId="77777777" w:rsidR="00A74C68" w:rsidRPr="00471CBA" w:rsidRDefault="00A74C68" w:rsidP="00A74C68">
            <w:pPr>
              <w:rPr>
                <w:color w:val="000000"/>
                <w:sz w:val="18"/>
                <w:szCs w:val="18"/>
              </w:rPr>
            </w:pPr>
            <w:r w:rsidRPr="00471CBA">
              <w:rPr>
                <w:rFonts w:eastAsia="Arial Unicode MS"/>
                <w:color w:val="000000"/>
                <w:sz w:val="18"/>
                <w:szCs w:val="18"/>
              </w:rPr>
              <w:t>Türev finansal işlemlerden kar</w:t>
            </w:r>
          </w:p>
        </w:tc>
        <w:tc>
          <w:tcPr>
            <w:tcW w:w="1187" w:type="pct"/>
            <w:tcBorders>
              <w:top w:val="nil"/>
              <w:left w:val="nil"/>
              <w:bottom w:val="nil"/>
              <w:right w:val="nil"/>
            </w:tcBorders>
            <w:noWrap/>
            <w:vAlign w:val="center"/>
            <w:hideMark/>
          </w:tcPr>
          <w:p w14:paraId="14FEB415" w14:textId="77777777" w:rsidR="00A74C68" w:rsidRPr="00471CBA" w:rsidRDefault="00A74C68" w:rsidP="00A74C68">
            <w:pPr>
              <w:jc w:val="right"/>
              <w:rPr>
                <w:color w:val="000000"/>
                <w:sz w:val="18"/>
                <w:szCs w:val="18"/>
              </w:rPr>
            </w:pPr>
            <w:r w:rsidRPr="00471CBA">
              <w:rPr>
                <w:color w:val="000000"/>
                <w:sz w:val="18"/>
                <w:szCs w:val="18"/>
              </w:rPr>
              <w:t>23.757.330</w:t>
            </w:r>
          </w:p>
        </w:tc>
      </w:tr>
      <w:tr w:rsidR="00A74C68" w:rsidRPr="00471CBA" w14:paraId="19502589" w14:textId="77777777" w:rsidTr="00A74C68">
        <w:trPr>
          <w:divId w:val="1829249254"/>
          <w:trHeight w:val="227"/>
        </w:trPr>
        <w:tc>
          <w:tcPr>
            <w:tcW w:w="2601" w:type="pct"/>
            <w:tcBorders>
              <w:top w:val="nil"/>
              <w:left w:val="nil"/>
              <w:bottom w:val="single" w:sz="4" w:space="0" w:color="auto"/>
              <w:right w:val="nil"/>
            </w:tcBorders>
            <w:vAlign w:val="bottom"/>
            <w:hideMark/>
          </w:tcPr>
          <w:p w14:paraId="1CEDC639" w14:textId="77777777" w:rsidR="00A74C68" w:rsidRPr="00471CBA" w:rsidRDefault="00A74C68" w:rsidP="00A74C68">
            <w:pPr>
              <w:rPr>
                <w:b/>
                <w:bCs/>
                <w:color w:val="000000"/>
                <w:sz w:val="18"/>
                <w:szCs w:val="18"/>
              </w:rPr>
            </w:pPr>
            <w:r w:rsidRPr="00471CBA">
              <w:rPr>
                <w:rFonts w:eastAsia="Arial Unicode MS"/>
                <w:b/>
                <w:bCs/>
                <w:color w:val="000000"/>
                <w:sz w:val="18"/>
                <w:szCs w:val="18"/>
              </w:rPr>
              <w:t>Kambiyo İşlemlerinden Kar</w:t>
            </w:r>
          </w:p>
        </w:tc>
        <w:tc>
          <w:tcPr>
            <w:tcW w:w="1187" w:type="pct"/>
            <w:tcBorders>
              <w:top w:val="nil"/>
              <w:left w:val="nil"/>
              <w:bottom w:val="single" w:sz="4" w:space="0" w:color="auto"/>
              <w:right w:val="nil"/>
            </w:tcBorders>
            <w:noWrap/>
            <w:vAlign w:val="center"/>
            <w:hideMark/>
          </w:tcPr>
          <w:p w14:paraId="68DA49DA" w14:textId="77777777" w:rsidR="00A74C68" w:rsidRPr="00471CBA" w:rsidRDefault="00A74C68" w:rsidP="00A74C68">
            <w:pPr>
              <w:jc w:val="right"/>
              <w:rPr>
                <w:b/>
                <w:bCs/>
                <w:color w:val="000000"/>
                <w:sz w:val="18"/>
                <w:szCs w:val="18"/>
              </w:rPr>
            </w:pPr>
            <w:r w:rsidRPr="00471CBA">
              <w:rPr>
                <w:b/>
                <w:bCs/>
                <w:color w:val="000000"/>
                <w:sz w:val="18"/>
                <w:szCs w:val="18"/>
              </w:rPr>
              <w:t>538.336.302</w:t>
            </w:r>
          </w:p>
        </w:tc>
      </w:tr>
      <w:tr w:rsidR="00A74C68" w:rsidRPr="00471CBA" w14:paraId="48667031" w14:textId="77777777" w:rsidTr="00A74C68">
        <w:trPr>
          <w:divId w:val="1829249254"/>
          <w:trHeight w:val="227"/>
        </w:trPr>
        <w:tc>
          <w:tcPr>
            <w:tcW w:w="2601" w:type="pct"/>
            <w:tcBorders>
              <w:top w:val="nil"/>
              <w:left w:val="nil"/>
              <w:bottom w:val="nil"/>
              <w:right w:val="nil"/>
            </w:tcBorders>
            <w:hideMark/>
          </w:tcPr>
          <w:p w14:paraId="32BCBD7B" w14:textId="77777777" w:rsidR="00A74C68" w:rsidRPr="00471CBA" w:rsidRDefault="00A74C68" w:rsidP="00A74C68">
            <w:pPr>
              <w:jc w:val="right"/>
              <w:rPr>
                <w:color w:val="000000"/>
                <w:sz w:val="18"/>
                <w:szCs w:val="18"/>
              </w:rPr>
            </w:pPr>
          </w:p>
        </w:tc>
        <w:tc>
          <w:tcPr>
            <w:tcW w:w="1187" w:type="pct"/>
            <w:tcBorders>
              <w:top w:val="nil"/>
              <w:left w:val="nil"/>
              <w:bottom w:val="nil"/>
              <w:right w:val="nil"/>
            </w:tcBorders>
            <w:vAlign w:val="center"/>
            <w:hideMark/>
          </w:tcPr>
          <w:p w14:paraId="0DBDE0D1" w14:textId="77777777" w:rsidR="00A74C68" w:rsidRPr="00471CBA" w:rsidRDefault="00A74C68" w:rsidP="00A74C68">
            <w:pPr>
              <w:jc w:val="right"/>
              <w:rPr>
                <w:sz w:val="18"/>
                <w:szCs w:val="18"/>
              </w:rPr>
            </w:pPr>
          </w:p>
        </w:tc>
      </w:tr>
      <w:tr w:rsidR="00A74C68" w:rsidRPr="00471CBA" w14:paraId="0237CBD0" w14:textId="77777777" w:rsidTr="00A74C68">
        <w:trPr>
          <w:divId w:val="1829249254"/>
          <w:trHeight w:val="227"/>
        </w:trPr>
        <w:tc>
          <w:tcPr>
            <w:tcW w:w="2601" w:type="pct"/>
            <w:tcBorders>
              <w:top w:val="nil"/>
              <w:left w:val="nil"/>
              <w:bottom w:val="nil"/>
              <w:right w:val="nil"/>
            </w:tcBorders>
            <w:vAlign w:val="bottom"/>
            <w:hideMark/>
          </w:tcPr>
          <w:p w14:paraId="1CEADF78" w14:textId="77777777" w:rsidR="00A74C68" w:rsidRPr="00471CBA" w:rsidRDefault="00A74C68" w:rsidP="00A74C68">
            <w:pPr>
              <w:rPr>
                <w:b/>
                <w:bCs/>
                <w:color w:val="000000"/>
                <w:sz w:val="18"/>
                <w:szCs w:val="18"/>
              </w:rPr>
            </w:pPr>
            <w:r w:rsidRPr="00471CBA">
              <w:rPr>
                <w:rFonts w:eastAsia="Arial Unicode MS"/>
                <w:b/>
                <w:bCs/>
                <w:color w:val="000000"/>
                <w:sz w:val="18"/>
                <w:szCs w:val="18"/>
              </w:rPr>
              <w:t>Zarar (-)</w:t>
            </w:r>
          </w:p>
        </w:tc>
        <w:tc>
          <w:tcPr>
            <w:tcW w:w="1187" w:type="pct"/>
            <w:tcBorders>
              <w:top w:val="nil"/>
              <w:left w:val="nil"/>
              <w:bottom w:val="nil"/>
              <w:right w:val="nil"/>
            </w:tcBorders>
            <w:noWrap/>
            <w:vAlign w:val="center"/>
            <w:hideMark/>
          </w:tcPr>
          <w:p w14:paraId="798BC5FF" w14:textId="77777777" w:rsidR="00A74C68" w:rsidRPr="00471CBA" w:rsidRDefault="00A74C68" w:rsidP="00A74C68">
            <w:pPr>
              <w:jc w:val="right"/>
              <w:rPr>
                <w:b/>
                <w:bCs/>
                <w:color w:val="000000"/>
                <w:sz w:val="18"/>
                <w:szCs w:val="18"/>
              </w:rPr>
            </w:pPr>
            <w:r w:rsidRPr="00471CBA">
              <w:rPr>
                <w:b/>
                <w:bCs/>
                <w:color w:val="000000"/>
                <w:sz w:val="18"/>
                <w:szCs w:val="18"/>
              </w:rPr>
              <w:t>562.256.741</w:t>
            </w:r>
          </w:p>
        </w:tc>
      </w:tr>
      <w:tr w:rsidR="00A74C68" w:rsidRPr="00471CBA" w14:paraId="6E65CC8C" w14:textId="77777777" w:rsidTr="00A74C68">
        <w:trPr>
          <w:divId w:val="1829249254"/>
          <w:trHeight w:val="227"/>
        </w:trPr>
        <w:tc>
          <w:tcPr>
            <w:tcW w:w="2601" w:type="pct"/>
            <w:tcBorders>
              <w:top w:val="nil"/>
              <w:left w:val="nil"/>
              <w:bottom w:val="nil"/>
              <w:right w:val="nil"/>
            </w:tcBorders>
            <w:vAlign w:val="bottom"/>
            <w:hideMark/>
          </w:tcPr>
          <w:p w14:paraId="3192ADED" w14:textId="77777777" w:rsidR="00A74C68" w:rsidRPr="00471CBA" w:rsidRDefault="00A74C68" w:rsidP="00A74C68">
            <w:pPr>
              <w:jc w:val="right"/>
              <w:rPr>
                <w:b/>
                <w:bCs/>
                <w:color w:val="000000"/>
                <w:sz w:val="18"/>
                <w:szCs w:val="18"/>
              </w:rPr>
            </w:pPr>
          </w:p>
        </w:tc>
        <w:tc>
          <w:tcPr>
            <w:tcW w:w="1187" w:type="pct"/>
            <w:tcBorders>
              <w:top w:val="nil"/>
              <w:left w:val="nil"/>
              <w:bottom w:val="nil"/>
              <w:right w:val="nil"/>
            </w:tcBorders>
            <w:noWrap/>
            <w:vAlign w:val="bottom"/>
            <w:hideMark/>
          </w:tcPr>
          <w:p w14:paraId="63271BE3" w14:textId="77777777" w:rsidR="00A74C68" w:rsidRPr="00471CBA" w:rsidRDefault="00A74C68" w:rsidP="00A74C68">
            <w:pPr>
              <w:jc w:val="right"/>
              <w:rPr>
                <w:sz w:val="18"/>
                <w:szCs w:val="18"/>
              </w:rPr>
            </w:pPr>
          </w:p>
        </w:tc>
      </w:tr>
      <w:tr w:rsidR="00A74C68" w:rsidRPr="00471CBA" w14:paraId="4C2A128C" w14:textId="77777777" w:rsidTr="00A74C68">
        <w:trPr>
          <w:divId w:val="1829249254"/>
          <w:trHeight w:val="227"/>
        </w:trPr>
        <w:tc>
          <w:tcPr>
            <w:tcW w:w="2601" w:type="pct"/>
            <w:tcBorders>
              <w:top w:val="nil"/>
              <w:left w:val="nil"/>
              <w:bottom w:val="nil"/>
              <w:right w:val="nil"/>
            </w:tcBorders>
            <w:vAlign w:val="bottom"/>
            <w:hideMark/>
          </w:tcPr>
          <w:p w14:paraId="52650514" w14:textId="77777777" w:rsidR="00A74C68" w:rsidRPr="00471CBA" w:rsidRDefault="00A74C68" w:rsidP="00A74C68">
            <w:pPr>
              <w:rPr>
                <w:color w:val="000000"/>
                <w:sz w:val="18"/>
                <w:szCs w:val="18"/>
              </w:rPr>
            </w:pPr>
            <w:r w:rsidRPr="00471CBA">
              <w:rPr>
                <w:rFonts w:eastAsia="Arial Unicode MS"/>
                <w:color w:val="000000"/>
                <w:sz w:val="18"/>
                <w:szCs w:val="18"/>
              </w:rPr>
              <w:t>Sermaye piyasası işlemleri zararı</w:t>
            </w:r>
          </w:p>
        </w:tc>
        <w:tc>
          <w:tcPr>
            <w:tcW w:w="1187" w:type="pct"/>
            <w:tcBorders>
              <w:top w:val="nil"/>
              <w:left w:val="nil"/>
              <w:bottom w:val="nil"/>
              <w:right w:val="nil"/>
            </w:tcBorders>
            <w:noWrap/>
            <w:vAlign w:val="center"/>
            <w:hideMark/>
          </w:tcPr>
          <w:p w14:paraId="0880B19A" w14:textId="77777777" w:rsidR="00A74C68" w:rsidRPr="00471CBA" w:rsidRDefault="00A74C68" w:rsidP="00A74C68">
            <w:pPr>
              <w:jc w:val="right"/>
              <w:rPr>
                <w:color w:val="000000"/>
                <w:sz w:val="18"/>
                <w:szCs w:val="18"/>
              </w:rPr>
            </w:pPr>
            <w:r w:rsidRPr="00471CBA">
              <w:rPr>
                <w:color w:val="000000"/>
                <w:sz w:val="18"/>
                <w:szCs w:val="18"/>
              </w:rPr>
              <w:t>15.589</w:t>
            </w:r>
          </w:p>
        </w:tc>
      </w:tr>
      <w:tr w:rsidR="00A74C68" w:rsidRPr="00471CBA" w14:paraId="45842CA4" w14:textId="77777777" w:rsidTr="00A74C68">
        <w:trPr>
          <w:divId w:val="1829249254"/>
          <w:trHeight w:val="227"/>
        </w:trPr>
        <w:tc>
          <w:tcPr>
            <w:tcW w:w="2601" w:type="pct"/>
            <w:tcBorders>
              <w:top w:val="nil"/>
              <w:left w:val="nil"/>
              <w:bottom w:val="nil"/>
              <w:right w:val="nil"/>
            </w:tcBorders>
            <w:vAlign w:val="bottom"/>
            <w:hideMark/>
          </w:tcPr>
          <w:p w14:paraId="05166825" w14:textId="77777777" w:rsidR="00A74C68" w:rsidRPr="00471CBA" w:rsidRDefault="00A74C68" w:rsidP="00A74C68">
            <w:pPr>
              <w:rPr>
                <w:color w:val="000000"/>
                <w:sz w:val="18"/>
                <w:szCs w:val="18"/>
              </w:rPr>
            </w:pPr>
            <w:r w:rsidRPr="00471CBA">
              <w:rPr>
                <w:rFonts w:eastAsia="Arial Unicode MS"/>
                <w:color w:val="000000"/>
                <w:sz w:val="18"/>
                <w:szCs w:val="18"/>
              </w:rPr>
              <w:t>Türev finansal işlemlerden zarar</w:t>
            </w:r>
          </w:p>
        </w:tc>
        <w:tc>
          <w:tcPr>
            <w:tcW w:w="1187" w:type="pct"/>
            <w:tcBorders>
              <w:top w:val="nil"/>
              <w:left w:val="nil"/>
              <w:bottom w:val="nil"/>
              <w:right w:val="nil"/>
            </w:tcBorders>
            <w:noWrap/>
            <w:vAlign w:val="center"/>
            <w:hideMark/>
          </w:tcPr>
          <w:p w14:paraId="47A5FA67" w14:textId="77777777" w:rsidR="00A74C68" w:rsidRPr="00471CBA" w:rsidRDefault="00A74C68" w:rsidP="00A74C68">
            <w:pPr>
              <w:jc w:val="right"/>
              <w:rPr>
                <w:color w:val="000000"/>
                <w:sz w:val="18"/>
                <w:szCs w:val="18"/>
              </w:rPr>
            </w:pPr>
            <w:r w:rsidRPr="00471CBA">
              <w:rPr>
                <w:color w:val="000000"/>
                <w:sz w:val="18"/>
                <w:szCs w:val="18"/>
              </w:rPr>
              <w:t>25.222.674</w:t>
            </w:r>
          </w:p>
        </w:tc>
      </w:tr>
      <w:tr w:rsidR="00A74C68" w:rsidRPr="00471CBA" w14:paraId="739C0301" w14:textId="77777777" w:rsidTr="00A74C68">
        <w:trPr>
          <w:divId w:val="1829249254"/>
          <w:trHeight w:val="227"/>
        </w:trPr>
        <w:tc>
          <w:tcPr>
            <w:tcW w:w="2601" w:type="pct"/>
            <w:tcBorders>
              <w:top w:val="nil"/>
              <w:left w:val="nil"/>
              <w:bottom w:val="single" w:sz="4" w:space="0" w:color="auto"/>
              <w:right w:val="nil"/>
            </w:tcBorders>
            <w:vAlign w:val="bottom"/>
            <w:hideMark/>
          </w:tcPr>
          <w:p w14:paraId="7AB166A4" w14:textId="77777777" w:rsidR="00A74C68" w:rsidRPr="00471CBA" w:rsidRDefault="00A74C68" w:rsidP="00A74C68">
            <w:pPr>
              <w:rPr>
                <w:color w:val="000000"/>
                <w:sz w:val="18"/>
                <w:szCs w:val="18"/>
              </w:rPr>
            </w:pPr>
            <w:r w:rsidRPr="00471CBA">
              <w:rPr>
                <w:rFonts w:eastAsia="Arial Unicode MS"/>
                <w:color w:val="000000"/>
                <w:sz w:val="18"/>
                <w:szCs w:val="18"/>
              </w:rPr>
              <w:t>Kambiyo işlemlerinden zarar</w:t>
            </w:r>
          </w:p>
        </w:tc>
        <w:tc>
          <w:tcPr>
            <w:tcW w:w="1187" w:type="pct"/>
            <w:tcBorders>
              <w:top w:val="nil"/>
              <w:left w:val="nil"/>
              <w:bottom w:val="single" w:sz="4" w:space="0" w:color="auto"/>
              <w:right w:val="nil"/>
            </w:tcBorders>
            <w:noWrap/>
            <w:vAlign w:val="center"/>
            <w:hideMark/>
          </w:tcPr>
          <w:p w14:paraId="02BBA455" w14:textId="77777777" w:rsidR="00A74C68" w:rsidRPr="00471CBA" w:rsidRDefault="00A74C68" w:rsidP="00A74C68">
            <w:pPr>
              <w:jc w:val="right"/>
              <w:rPr>
                <w:color w:val="000000"/>
                <w:sz w:val="18"/>
                <w:szCs w:val="18"/>
              </w:rPr>
            </w:pPr>
            <w:r w:rsidRPr="00471CBA">
              <w:rPr>
                <w:color w:val="000000"/>
                <w:sz w:val="18"/>
                <w:szCs w:val="18"/>
              </w:rPr>
              <w:t>537.018.478</w:t>
            </w:r>
          </w:p>
        </w:tc>
      </w:tr>
      <w:tr w:rsidR="00A74C68" w:rsidRPr="00471CBA" w14:paraId="1EB91DE6" w14:textId="77777777" w:rsidTr="00A74C68">
        <w:trPr>
          <w:divId w:val="1829249254"/>
          <w:trHeight w:val="227"/>
        </w:trPr>
        <w:tc>
          <w:tcPr>
            <w:tcW w:w="2601" w:type="pct"/>
            <w:tcBorders>
              <w:top w:val="nil"/>
              <w:left w:val="nil"/>
              <w:right w:val="nil"/>
            </w:tcBorders>
            <w:hideMark/>
          </w:tcPr>
          <w:p w14:paraId="432C2B10" w14:textId="77777777" w:rsidR="00A74C68" w:rsidRPr="00471CBA" w:rsidRDefault="00A74C68" w:rsidP="00A74C68">
            <w:pPr>
              <w:jc w:val="right"/>
              <w:rPr>
                <w:color w:val="000000"/>
                <w:sz w:val="18"/>
                <w:szCs w:val="18"/>
              </w:rPr>
            </w:pPr>
          </w:p>
        </w:tc>
        <w:tc>
          <w:tcPr>
            <w:tcW w:w="1187" w:type="pct"/>
            <w:tcBorders>
              <w:top w:val="nil"/>
              <w:left w:val="nil"/>
              <w:right w:val="nil"/>
            </w:tcBorders>
            <w:noWrap/>
            <w:vAlign w:val="bottom"/>
            <w:hideMark/>
          </w:tcPr>
          <w:p w14:paraId="107CCC5F" w14:textId="77777777" w:rsidR="00A74C68" w:rsidRPr="00471CBA" w:rsidRDefault="00A74C68" w:rsidP="00A74C68">
            <w:pPr>
              <w:jc w:val="right"/>
              <w:rPr>
                <w:sz w:val="18"/>
                <w:szCs w:val="18"/>
              </w:rPr>
            </w:pPr>
          </w:p>
        </w:tc>
      </w:tr>
      <w:tr w:rsidR="00A74C68" w:rsidRPr="00471CBA" w14:paraId="52EE0000" w14:textId="77777777" w:rsidTr="00A74C68">
        <w:trPr>
          <w:divId w:val="1829249254"/>
          <w:trHeight w:val="227"/>
        </w:trPr>
        <w:tc>
          <w:tcPr>
            <w:tcW w:w="2601" w:type="pct"/>
            <w:tcBorders>
              <w:top w:val="nil"/>
              <w:left w:val="nil"/>
              <w:bottom w:val="single" w:sz="12" w:space="0" w:color="auto"/>
              <w:right w:val="nil"/>
            </w:tcBorders>
            <w:hideMark/>
          </w:tcPr>
          <w:p w14:paraId="3EBCBBAC" w14:textId="77777777" w:rsidR="00A74C68" w:rsidRPr="00471CBA" w:rsidRDefault="00A74C68" w:rsidP="00A74C68">
            <w:pPr>
              <w:jc w:val="both"/>
              <w:rPr>
                <w:b/>
                <w:bCs/>
                <w:color w:val="000000"/>
                <w:sz w:val="18"/>
                <w:szCs w:val="18"/>
              </w:rPr>
            </w:pPr>
            <w:r w:rsidRPr="00471CBA">
              <w:rPr>
                <w:b/>
                <w:bCs/>
                <w:color w:val="000000"/>
                <w:sz w:val="18"/>
                <w:szCs w:val="18"/>
              </w:rPr>
              <w:t>Ticari Kar/Zarar (net)</w:t>
            </w:r>
          </w:p>
        </w:tc>
        <w:tc>
          <w:tcPr>
            <w:tcW w:w="1187" w:type="pct"/>
            <w:tcBorders>
              <w:top w:val="nil"/>
              <w:left w:val="nil"/>
              <w:bottom w:val="single" w:sz="12" w:space="0" w:color="auto"/>
              <w:right w:val="nil"/>
            </w:tcBorders>
            <w:noWrap/>
            <w:vAlign w:val="center"/>
            <w:hideMark/>
          </w:tcPr>
          <w:p w14:paraId="69789B62" w14:textId="77777777" w:rsidR="00A74C68" w:rsidRPr="00471CBA" w:rsidRDefault="00A74C68" w:rsidP="00A74C68">
            <w:pPr>
              <w:jc w:val="right"/>
              <w:rPr>
                <w:b/>
                <w:bCs/>
                <w:color w:val="000000"/>
                <w:sz w:val="18"/>
                <w:szCs w:val="18"/>
              </w:rPr>
            </w:pPr>
            <w:r w:rsidRPr="00471CBA">
              <w:rPr>
                <w:b/>
                <w:bCs/>
                <w:color w:val="000000"/>
                <w:sz w:val="18"/>
                <w:szCs w:val="18"/>
              </w:rPr>
              <w:t>212.488</w:t>
            </w:r>
          </w:p>
        </w:tc>
      </w:tr>
    </w:tbl>
    <w:p w14:paraId="6AC11C4C" w14:textId="30BE0E84" w:rsidR="00AB5801" w:rsidRPr="006025D3" w:rsidRDefault="00AB5801" w:rsidP="00AB5801">
      <w:pPr>
        <w:widowControl w:val="0"/>
        <w:spacing w:line="211" w:lineRule="auto"/>
        <w:ind w:left="14" w:hanging="532"/>
        <w:jc w:val="both"/>
        <w:rPr>
          <w:b/>
          <w:sz w:val="16"/>
          <w:szCs w:val="16"/>
        </w:rPr>
      </w:pPr>
    </w:p>
    <w:tbl>
      <w:tblPr>
        <w:tblW w:w="5000" w:type="pct"/>
        <w:tblCellMar>
          <w:left w:w="70" w:type="dxa"/>
          <w:right w:w="70" w:type="dxa"/>
        </w:tblCellMar>
        <w:tblLook w:val="04A0" w:firstRow="1" w:lastRow="0" w:firstColumn="1" w:lastColumn="0" w:noHBand="0" w:noVBand="1"/>
      </w:tblPr>
      <w:tblGrid>
        <w:gridCol w:w="6384"/>
        <w:gridCol w:w="2971"/>
      </w:tblGrid>
      <w:tr w:rsidR="001C13B0" w:rsidRPr="00471CBA" w14:paraId="3D5F3659" w14:textId="77777777" w:rsidTr="006025D3">
        <w:trPr>
          <w:trHeight w:val="170"/>
        </w:trPr>
        <w:tc>
          <w:tcPr>
            <w:tcW w:w="3412" w:type="pct"/>
            <w:tcBorders>
              <w:top w:val="nil"/>
              <w:left w:val="nil"/>
              <w:bottom w:val="nil"/>
              <w:right w:val="nil"/>
            </w:tcBorders>
            <w:hideMark/>
          </w:tcPr>
          <w:p w14:paraId="1B5DA38B" w14:textId="77777777" w:rsidR="001C13B0" w:rsidRPr="00471CBA" w:rsidRDefault="001C13B0" w:rsidP="003D1625">
            <w:pPr>
              <w:rPr>
                <w:sz w:val="18"/>
                <w:szCs w:val="18"/>
              </w:rPr>
            </w:pPr>
          </w:p>
        </w:tc>
        <w:tc>
          <w:tcPr>
            <w:tcW w:w="1588" w:type="pct"/>
            <w:tcBorders>
              <w:top w:val="nil"/>
              <w:left w:val="nil"/>
              <w:bottom w:val="single" w:sz="4" w:space="0" w:color="auto"/>
              <w:right w:val="nil"/>
            </w:tcBorders>
            <w:noWrap/>
            <w:vAlign w:val="center"/>
            <w:hideMark/>
          </w:tcPr>
          <w:p w14:paraId="2C00FFB9" w14:textId="67866705" w:rsidR="001C13B0" w:rsidRPr="00471CBA" w:rsidRDefault="000204AD" w:rsidP="003D1625">
            <w:pPr>
              <w:jc w:val="right"/>
              <w:rPr>
                <w:b/>
                <w:bCs/>
                <w:color w:val="000000"/>
                <w:sz w:val="18"/>
                <w:szCs w:val="18"/>
                <w:lang w:eastAsia="tr-TR"/>
              </w:rPr>
            </w:pPr>
            <w:r w:rsidRPr="00471CBA">
              <w:rPr>
                <w:b/>
                <w:bCs/>
                <w:color w:val="000000"/>
                <w:sz w:val="18"/>
                <w:szCs w:val="18"/>
                <w:lang w:eastAsia="tr-TR"/>
              </w:rPr>
              <w:t>1 Ocak - 31 Aralık 2024</w:t>
            </w:r>
          </w:p>
        </w:tc>
      </w:tr>
      <w:tr w:rsidR="001C13B0" w:rsidRPr="00471CBA" w14:paraId="0BD19FF9" w14:textId="77777777" w:rsidTr="006025D3">
        <w:trPr>
          <w:trHeight w:val="170"/>
        </w:trPr>
        <w:tc>
          <w:tcPr>
            <w:tcW w:w="3412" w:type="pct"/>
            <w:tcBorders>
              <w:top w:val="nil"/>
              <w:left w:val="nil"/>
              <w:bottom w:val="nil"/>
              <w:right w:val="nil"/>
            </w:tcBorders>
            <w:hideMark/>
          </w:tcPr>
          <w:p w14:paraId="08B4BB85" w14:textId="77777777" w:rsidR="001C13B0" w:rsidRPr="00471CBA" w:rsidRDefault="001C13B0" w:rsidP="003D1625">
            <w:pPr>
              <w:jc w:val="right"/>
              <w:rPr>
                <w:b/>
                <w:bCs/>
                <w:color w:val="000000"/>
                <w:sz w:val="18"/>
                <w:szCs w:val="18"/>
              </w:rPr>
            </w:pPr>
          </w:p>
        </w:tc>
        <w:tc>
          <w:tcPr>
            <w:tcW w:w="1588" w:type="pct"/>
            <w:tcBorders>
              <w:top w:val="single" w:sz="4" w:space="0" w:color="auto"/>
              <w:left w:val="nil"/>
              <w:bottom w:val="nil"/>
              <w:right w:val="nil"/>
            </w:tcBorders>
            <w:hideMark/>
          </w:tcPr>
          <w:p w14:paraId="1457EAA6" w14:textId="77777777" w:rsidR="001C13B0" w:rsidRPr="00471CBA" w:rsidRDefault="001C13B0" w:rsidP="003D1625">
            <w:pPr>
              <w:jc w:val="right"/>
              <w:rPr>
                <w:sz w:val="18"/>
                <w:szCs w:val="18"/>
                <w:lang w:eastAsia="tr-TR"/>
              </w:rPr>
            </w:pPr>
          </w:p>
        </w:tc>
      </w:tr>
      <w:tr w:rsidR="000204AD" w:rsidRPr="00471CBA" w14:paraId="7C257929" w14:textId="77777777" w:rsidTr="006025D3">
        <w:trPr>
          <w:trHeight w:val="170"/>
        </w:trPr>
        <w:tc>
          <w:tcPr>
            <w:tcW w:w="3412" w:type="pct"/>
            <w:tcBorders>
              <w:top w:val="nil"/>
              <w:left w:val="nil"/>
              <w:bottom w:val="nil"/>
              <w:right w:val="nil"/>
            </w:tcBorders>
            <w:vAlign w:val="bottom"/>
            <w:hideMark/>
          </w:tcPr>
          <w:p w14:paraId="03F2D9BE" w14:textId="77777777" w:rsidR="000204AD" w:rsidRPr="00471CBA" w:rsidRDefault="000204AD" w:rsidP="000204AD">
            <w:pPr>
              <w:rPr>
                <w:b/>
                <w:bCs/>
                <w:color w:val="000000"/>
                <w:sz w:val="18"/>
                <w:szCs w:val="18"/>
              </w:rPr>
            </w:pPr>
            <w:r w:rsidRPr="00471CBA">
              <w:rPr>
                <w:rFonts w:eastAsia="Arial Unicode MS"/>
                <w:b/>
                <w:bCs/>
                <w:color w:val="000000"/>
                <w:sz w:val="18"/>
                <w:szCs w:val="18"/>
              </w:rPr>
              <w:t>Kar</w:t>
            </w:r>
          </w:p>
        </w:tc>
        <w:tc>
          <w:tcPr>
            <w:tcW w:w="1588" w:type="pct"/>
            <w:tcBorders>
              <w:top w:val="nil"/>
              <w:left w:val="nil"/>
              <w:bottom w:val="nil"/>
              <w:right w:val="nil"/>
            </w:tcBorders>
            <w:noWrap/>
            <w:hideMark/>
          </w:tcPr>
          <w:p w14:paraId="62AC0415" w14:textId="7091FB8C" w:rsidR="000204AD" w:rsidRPr="00471CBA" w:rsidRDefault="000204AD" w:rsidP="000204AD">
            <w:pPr>
              <w:jc w:val="right"/>
              <w:rPr>
                <w:b/>
                <w:bCs/>
                <w:color w:val="000000"/>
                <w:sz w:val="18"/>
                <w:szCs w:val="18"/>
                <w:lang w:eastAsia="tr-TR"/>
              </w:rPr>
            </w:pPr>
            <w:r w:rsidRPr="00471CBA">
              <w:rPr>
                <w:b/>
                <w:bCs/>
                <w:sz w:val="18"/>
                <w:szCs w:val="18"/>
              </w:rPr>
              <w:t>27.218.502</w:t>
            </w:r>
          </w:p>
        </w:tc>
      </w:tr>
      <w:tr w:rsidR="000204AD" w:rsidRPr="00471CBA" w14:paraId="4BA99F7E" w14:textId="77777777" w:rsidTr="006025D3">
        <w:trPr>
          <w:trHeight w:val="170"/>
        </w:trPr>
        <w:tc>
          <w:tcPr>
            <w:tcW w:w="3412" w:type="pct"/>
            <w:tcBorders>
              <w:top w:val="nil"/>
              <w:left w:val="nil"/>
              <w:bottom w:val="nil"/>
              <w:right w:val="nil"/>
            </w:tcBorders>
            <w:vAlign w:val="bottom"/>
            <w:hideMark/>
          </w:tcPr>
          <w:p w14:paraId="44A60A70" w14:textId="77777777" w:rsidR="000204AD" w:rsidRPr="00471CBA" w:rsidRDefault="000204AD" w:rsidP="000204AD">
            <w:pPr>
              <w:jc w:val="right"/>
              <w:rPr>
                <w:b/>
                <w:bCs/>
                <w:color w:val="000000"/>
                <w:sz w:val="18"/>
                <w:szCs w:val="18"/>
              </w:rPr>
            </w:pPr>
          </w:p>
        </w:tc>
        <w:tc>
          <w:tcPr>
            <w:tcW w:w="1588" w:type="pct"/>
            <w:tcBorders>
              <w:top w:val="nil"/>
              <w:left w:val="nil"/>
              <w:bottom w:val="nil"/>
              <w:right w:val="nil"/>
            </w:tcBorders>
            <w:noWrap/>
            <w:hideMark/>
          </w:tcPr>
          <w:p w14:paraId="4BB3CC18" w14:textId="2B6C25F1" w:rsidR="000204AD" w:rsidRPr="00471CBA" w:rsidRDefault="000204AD" w:rsidP="000204AD">
            <w:pPr>
              <w:jc w:val="right"/>
              <w:rPr>
                <w:rFonts w:ascii="Arial" w:hAnsi="Arial" w:cs="Arial"/>
                <w:color w:val="000000"/>
                <w:sz w:val="18"/>
                <w:szCs w:val="18"/>
                <w:lang w:eastAsia="tr-TR"/>
              </w:rPr>
            </w:pPr>
          </w:p>
        </w:tc>
      </w:tr>
      <w:tr w:rsidR="000204AD" w:rsidRPr="00471CBA" w14:paraId="797B5BFC" w14:textId="77777777" w:rsidTr="006025D3">
        <w:trPr>
          <w:trHeight w:val="170"/>
        </w:trPr>
        <w:tc>
          <w:tcPr>
            <w:tcW w:w="3412" w:type="pct"/>
            <w:tcBorders>
              <w:top w:val="nil"/>
              <w:left w:val="nil"/>
              <w:bottom w:val="nil"/>
              <w:right w:val="nil"/>
            </w:tcBorders>
            <w:vAlign w:val="bottom"/>
            <w:hideMark/>
          </w:tcPr>
          <w:p w14:paraId="45587865" w14:textId="77777777" w:rsidR="000204AD" w:rsidRPr="00471CBA" w:rsidRDefault="000204AD" w:rsidP="000204AD">
            <w:pPr>
              <w:rPr>
                <w:color w:val="000000"/>
                <w:sz w:val="18"/>
                <w:szCs w:val="18"/>
              </w:rPr>
            </w:pPr>
            <w:r w:rsidRPr="00471CBA">
              <w:rPr>
                <w:rFonts w:eastAsia="Arial Unicode MS"/>
                <w:color w:val="000000"/>
                <w:sz w:val="18"/>
                <w:szCs w:val="18"/>
              </w:rPr>
              <w:t>Sermaye piyasası işlemleri karı</w:t>
            </w:r>
          </w:p>
        </w:tc>
        <w:tc>
          <w:tcPr>
            <w:tcW w:w="1588" w:type="pct"/>
            <w:tcBorders>
              <w:top w:val="nil"/>
              <w:left w:val="nil"/>
              <w:bottom w:val="nil"/>
              <w:right w:val="nil"/>
            </w:tcBorders>
            <w:noWrap/>
            <w:hideMark/>
          </w:tcPr>
          <w:p w14:paraId="65188A37" w14:textId="499EA373" w:rsidR="000204AD" w:rsidRPr="00471CBA" w:rsidRDefault="000204AD" w:rsidP="000204AD">
            <w:pPr>
              <w:jc w:val="right"/>
              <w:rPr>
                <w:color w:val="000000"/>
                <w:sz w:val="18"/>
                <w:szCs w:val="18"/>
                <w:lang w:eastAsia="tr-TR"/>
              </w:rPr>
            </w:pPr>
            <w:r w:rsidRPr="00471CBA">
              <w:rPr>
                <w:sz w:val="18"/>
                <w:szCs w:val="18"/>
              </w:rPr>
              <w:t>807.338</w:t>
            </w:r>
          </w:p>
        </w:tc>
      </w:tr>
      <w:tr w:rsidR="000204AD" w:rsidRPr="00471CBA" w14:paraId="607E752F" w14:textId="77777777" w:rsidTr="006025D3">
        <w:trPr>
          <w:trHeight w:val="170"/>
        </w:trPr>
        <w:tc>
          <w:tcPr>
            <w:tcW w:w="3412" w:type="pct"/>
            <w:tcBorders>
              <w:top w:val="nil"/>
              <w:left w:val="nil"/>
              <w:bottom w:val="nil"/>
              <w:right w:val="nil"/>
            </w:tcBorders>
            <w:vAlign w:val="bottom"/>
            <w:hideMark/>
          </w:tcPr>
          <w:p w14:paraId="0C84C3FE" w14:textId="77777777" w:rsidR="000204AD" w:rsidRPr="00471CBA" w:rsidRDefault="000204AD" w:rsidP="000204AD">
            <w:pPr>
              <w:rPr>
                <w:color w:val="000000"/>
                <w:sz w:val="18"/>
                <w:szCs w:val="18"/>
              </w:rPr>
            </w:pPr>
            <w:r w:rsidRPr="00471CBA">
              <w:rPr>
                <w:rFonts w:eastAsia="Arial Unicode MS"/>
                <w:color w:val="000000"/>
                <w:sz w:val="18"/>
                <w:szCs w:val="18"/>
              </w:rPr>
              <w:t>Türev finansal işlemlerden kar</w:t>
            </w:r>
          </w:p>
        </w:tc>
        <w:tc>
          <w:tcPr>
            <w:tcW w:w="1588" w:type="pct"/>
            <w:tcBorders>
              <w:top w:val="nil"/>
              <w:left w:val="nil"/>
              <w:bottom w:val="nil"/>
              <w:right w:val="nil"/>
            </w:tcBorders>
            <w:noWrap/>
            <w:hideMark/>
          </w:tcPr>
          <w:p w14:paraId="5ACC08E7" w14:textId="76069034" w:rsidR="000204AD" w:rsidRPr="00471CBA" w:rsidRDefault="000204AD" w:rsidP="000204AD">
            <w:pPr>
              <w:jc w:val="right"/>
              <w:rPr>
                <w:color w:val="000000"/>
                <w:sz w:val="18"/>
                <w:szCs w:val="18"/>
                <w:lang w:eastAsia="tr-TR"/>
              </w:rPr>
            </w:pPr>
            <w:r w:rsidRPr="00471CBA">
              <w:rPr>
                <w:sz w:val="18"/>
                <w:szCs w:val="18"/>
              </w:rPr>
              <w:t>1.072.860</w:t>
            </w:r>
          </w:p>
        </w:tc>
      </w:tr>
      <w:tr w:rsidR="000204AD" w:rsidRPr="00471CBA" w14:paraId="30FB057C" w14:textId="77777777" w:rsidTr="006025D3">
        <w:trPr>
          <w:trHeight w:val="170"/>
        </w:trPr>
        <w:tc>
          <w:tcPr>
            <w:tcW w:w="3412" w:type="pct"/>
            <w:tcBorders>
              <w:top w:val="nil"/>
              <w:left w:val="nil"/>
              <w:bottom w:val="single" w:sz="4" w:space="0" w:color="auto"/>
              <w:right w:val="nil"/>
            </w:tcBorders>
            <w:vAlign w:val="bottom"/>
            <w:hideMark/>
          </w:tcPr>
          <w:p w14:paraId="6E628229" w14:textId="77777777" w:rsidR="000204AD" w:rsidRPr="00471CBA" w:rsidRDefault="000204AD" w:rsidP="000204AD">
            <w:pPr>
              <w:rPr>
                <w:b/>
                <w:bCs/>
                <w:color w:val="000000"/>
                <w:sz w:val="18"/>
                <w:szCs w:val="18"/>
              </w:rPr>
            </w:pPr>
            <w:r w:rsidRPr="00471CBA">
              <w:rPr>
                <w:rFonts w:eastAsia="Arial Unicode MS"/>
                <w:b/>
                <w:bCs/>
                <w:color w:val="000000"/>
                <w:sz w:val="18"/>
                <w:szCs w:val="18"/>
              </w:rPr>
              <w:t>Kambiyo İşlemlerinden Kar</w:t>
            </w:r>
          </w:p>
        </w:tc>
        <w:tc>
          <w:tcPr>
            <w:tcW w:w="1588" w:type="pct"/>
            <w:tcBorders>
              <w:top w:val="nil"/>
              <w:left w:val="nil"/>
              <w:bottom w:val="single" w:sz="4" w:space="0" w:color="auto"/>
              <w:right w:val="nil"/>
            </w:tcBorders>
            <w:noWrap/>
            <w:hideMark/>
          </w:tcPr>
          <w:p w14:paraId="279C4475" w14:textId="7B037BCA" w:rsidR="000204AD" w:rsidRPr="00471CBA" w:rsidRDefault="000204AD" w:rsidP="000204AD">
            <w:pPr>
              <w:jc w:val="right"/>
              <w:rPr>
                <w:b/>
                <w:bCs/>
                <w:color w:val="000000"/>
                <w:sz w:val="18"/>
                <w:szCs w:val="18"/>
                <w:lang w:eastAsia="tr-TR"/>
              </w:rPr>
            </w:pPr>
            <w:r w:rsidRPr="00471CBA">
              <w:rPr>
                <w:b/>
                <w:bCs/>
                <w:sz w:val="18"/>
                <w:szCs w:val="18"/>
              </w:rPr>
              <w:t>25.338.304</w:t>
            </w:r>
          </w:p>
        </w:tc>
      </w:tr>
      <w:tr w:rsidR="000204AD" w:rsidRPr="00471CBA" w14:paraId="06F1AA85" w14:textId="77777777" w:rsidTr="006025D3">
        <w:trPr>
          <w:trHeight w:val="170"/>
        </w:trPr>
        <w:tc>
          <w:tcPr>
            <w:tcW w:w="3412" w:type="pct"/>
            <w:tcBorders>
              <w:top w:val="nil"/>
              <w:left w:val="nil"/>
              <w:bottom w:val="nil"/>
              <w:right w:val="nil"/>
            </w:tcBorders>
            <w:hideMark/>
          </w:tcPr>
          <w:p w14:paraId="290E3CBE" w14:textId="77777777" w:rsidR="000204AD" w:rsidRPr="00471CBA" w:rsidRDefault="000204AD" w:rsidP="000204AD">
            <w:pPr>
              <w:jc w:val="right"/>
              <w:rPr>
                <w:color w:val="000000"/>
                <w:sz w:val="18"/>
                <w:szCs w:val="18"/>
              </w:rPr>
            </w:pPr>
          </w:p>
        </w:tc>
        <w:tc>
          <w:tcPr>
            <w:tcW w:w="1588" w:type="pct"/>
            <w:tcBorders>
              <w:top w:val="nil"/>
              <w:left w:val="nil"/>
              <w:bottom w:val="nil"/>
              <w:right w:val="nil"/>
            </w:tcBorders>
            <w:hideMark/>
          </w:tcPr>
          <w:p w14:paraId="18FEEDB3" w14:textId="4FB0F8A1" w:rsidR="000204AD" w:rsidRPr="00471CBA" w:rsidRDefault="000204AD" w:rsidP="000204AD">
            <w:pPr>
              <w:jc w:val="right"/>
              <w:rPr>
                <w:rFonts w:ascii="Arial" w:hAnsi="Arial" w:cs="Arial"/>
                <w:b/>
                <w:bCs/>
                <w:color w:val="000000"/>
                <w:sz w:val="18"/>
                <w:szCs w:val="18"/>
                <w:lang w:eastAsia="tr-TR"/>
              </w:rPr>
            </w:pPr>
          </w:p>
        </w:tc>
      </w:tr>
      <w:tr w:rsidR="000204AD" w:rsidRPr="00471CBA" w14:paraId="19C027A2" w14:textId="77777777" w:rsidTr="006025D3">
        <w:trPr>
          <w:trHeight w:val="170"/>
        </w:trPr>
        <w:tc>
          <w:tcPr>
            <w:tcW w:w="3412" w:type="pct"/>
            <w:tcBorders>
              <w:top w:val="nil"/>
              <w:left w:val="nil"/>
              <w:bottom w:val="nil"/>
              <w:right w:val="nil"/>
            </w:tcBorders>
            <w:vAlign w:val="bottom"/>
            <w:hideMark/>
          </w:tcPr>
          <w:p w14:paraId="00277687" w14:textId="77777777" w:rsidR="000204AD" w:rsidRPr="00471CBA" w:rsidRDefault="000204AD" w:rsidP="000204AD">
            <w:pPr>
              <w:rPr>
                <w:b/>
                <w:bCs/>
                <w:color w:val="000000"/>
                <w:sz w:val="18"/>
                <w:szCs w:val="18"/>
              </w:rPr>
            </w:pPr>
            <w:r w:rsidRPr="00471CBA">
              <w:rPr>
                <w:rFonts w:eastAsia="Arial Unicode MS"/>
                <w:b/>
                <w:bCs/>
                <w:color w:val="000000"/>
                <w:sz w:val="18"/>
                <w:szCs w:val="18"/>
              </w:rPr>
              <w:t>Zarar (-)</w:t>
            </w:r>
          </w:p>
        </w:tc>
        <w:tc>
          <w:tcPr>
            <w:tcW w:w="1588" w:type="pct"/>
            <w:tcBorders>
              <w:top w:val="nil"/>
              <w:left w:val="nil"/>
              <w:bottom w:val="nil"/>
              <w:right w:val="nil"/>
            </w:tcBorders>
            <w:noWrap/>
            <w:hideMark/>
          </w:tcPr>
          <w:p w14:paraId="25A72EEE" w14:textId="391E8A9D" w:rsidR="000204AD" w:rsidRPr="00471CBA" w:rsidRDefault="000204AD" w:rsidP="000204AD">
            <w:pPr>
              <w:jc w:val="right"/>
              <w:rPr>
                <w:b/>
                <w:bCs/>
                <w:color w:val="000000"/>
                <w:sz w:val="18"/>
                <w:szCs w:val="18"/>
                <w:lang w:eastAsia="tr-TR"/>
              </w:rPr>
            </w:pPr>
            <w:r w:rsidRPr="00471CBA">
              <w:rPr>
                <w:b/>
                <w:bCs/>
                <w:sz w:val="18"/>
                <w:szCs w:val="18"/>
              </w:rPr>
              <w:t>25.838.848</w:t>
            </w:r>
          </w:p>
        </w:tc>
      </w:tr>
      <w:tr w:rsidR="000204AD" w:rsidRPr="00471CBA" w14:paraId="39F8CA18" w14:textId="77777777" w:rsidTr="006025D3">
        <w:trPr>
          <w:trHeight w:val="170"/>
        </w:trPr>
        <w:tc>
          <w:tcPr>
            <w:tcW w:w="3412" w:type="pct"/>
            <w:tcBorders>
              <w:top w:val="nil"/>
              <w:left w:val="nil"/>
              <w:bottom w:val="nil"/>
              <w:right w:val="nil"/>
            </w:tcBorders>
            <w:vAlign w:val="bottom"/>
            <w:hideMark/>
          </w:tcPr>
          <w:p w14:paraId="7BBD23DD" w14:textId="77777777" w:rsidR="000204AD" w:rsidRPr="00471CBA" w:rsidRDefault="000204AD" w:rsidP="000204AD">
            <w:pPr>
              <w:jc w:val="right"/>
              <w:rPr>
                <w:b/>
                <w:bCs/>
                <w:color w:val="000000"/>
                <w:sz w:val="18"/>
                <w:szCs w:val="18"/>
              </w:rPr>
            </w:pPr>
          </w:p>
        </w:tc>
        <w:tc>
          <w:tcPr>
            <w:tcW w:w="1588" w:type="pct"/>
            <w:tcBorders>
              <w:top w:val="nil"/>
              <w:left w:val="nil"/>
              <w:bottom w:val="nil"/>
              <w:right w:val="nil"/>
            </w:tcBorders>
            <w:noWrap/>
            <w:hideMark/>
          </w:tcPr>
          <w:p w14:paraId="3934CF12" w14:textId="63B8875E" w:rsidR="000204AD" w:rsidRPr="00471CBA" w:rsidRDefault="000204AD" w:rsidP="000204AD">
            <w:pPr>
              <w:jc w:val="right"/>
              <w:rPr>
                <w:rFonts w:ascii="Arial" w:hAnsi="Arial" w:cs="Arial"/>
                <w:color w:val="000000"/>
                <w:sz w:val="18"/>
                <w:szCs w:val="18"/>
                <w:lang w:eastAsia="tr-TR"/>
              </w:rPr>
            </w:pPr>
          </w:p>
        </w:tc>
      </w:tr>
      <w:tr w:rsidR="000204AD" w:rsidRPr="00471CBA" w14:paraId="71E0E1A7" w14:textId="77777777" w:rsidTr="006025D3">
        <w:trPr>
          <w:trHeight w:val="170"/>
        </w:trPr>
        <w:tc>
          <w:tcPr>
            <w:tcW w:w="3412" w:type="pct"/>
            <w:tcBorders>
              <w:top w:val="nil"/>
              <w:left w:val="nil"/>
              <w:bottom w:val="nil"/>
              <w:right w:val="nil"/>
            </w:tcBorders>
            <w:vAlign w:val="bottom"/>
            <w:hideMark/>
          </w:tcPr>
          <w:p w14:paraId="186DCB6B" w14:textId="77777777" w:rsidR="000204AD" w:rsidRPr="00471CBA" w:rsidRDefault="000204AD" w:rsidP="000204AD">
            <w:pPr>
              <w:rPr>
                <w:color w:val="000000"/>
                <w:sz w:val="18"/>
                <w:szCs w:val="18"/>
              </w:rPr>
            </w:pPr>
            <w:r w:rsidRPr="00471CBA">
              <w:rPr>
                <w:rFonts w:eastAsia="Arial Unicode MS"/>
                <w:color w:val="000000"/>
                <w:sz w:val="18"/>
                <w:szCs w:val="18"/>
              </w:rPr>
              <w:t>Sermaye piyasası işlemleri zararı</w:t>
            </w:r>
          </w:p>
        </w:tc>
        <w:tc>
          <w:tcPr>
            <w:tcW w:w="1588" w:type="pct"/>
            <w:tcBorders>
              <w:top w:val="nil"/>
              <w:left w:val="nil"/>
              <w:bottom w:val="nil"/>
              <w:right w:val="nil"/>
            </w:tcBorders>
            <w:noWrap/>
            <w:hideMark/>
          </w:tcPr>
          <w:p w14:paraId="6E208D7D" w14:textId="37F38030" w:rsidR="000204AD" w:rsidRPr="00471CBA" w:rsidRDefault="000204AD" w:rsidP="000204AD">
            <w:pPr>
              <w:jc w:val="right"/>
              <w:rPr>
                <w:color w:val="000000"/>
                <w:sz w:val="18"/>
                <w:szCs w:val="18"/>
                <w:lang w:eastAsia="tr-TR"/>
              </w:rPr>
            </w:pPr>
            <w:r w:rsidRPr="00471CBA">
              <w:rPr>
                <w:sz w:val="18"/>
                <w:szCs w:val="18"/>
              </w:rPr>
              <w:t>677</w:t>
            </w:r>
          </w:p>
        </w:tc>
      </w:tr>
      <w:tr w:rsidR="000204AD" w:rsidRPr="00471CBA" w14:paraId="1D715FD1" w14:textId="77777777" w:rsidTr="006025D3">
        <w:trPr>
          <w:trHeight w:val="170"/>
        </w:trPr>
        <w:tc>
          <w:tcPr>
            <w:tcW w:w="3412" w:type="pct"/>
            <w:tcBorders>
              <w:top w:val="nil"/>
              <w:left w:val="nil"/>
              <w:bottom w:val="nil"/>
              <w:right w:val="nil"/>
            </w:tcBorders>
            <w:vAlign w:val="bottom"/>
            <w:hideMark/>
          </w:tcPr>
          <w:p w14:paraId="5B3DBD93" w14:textId="77777777" w:rsidR="000204AD" w:rsidRPr="00471CBA" w:rsidRDefault="000204AD" w:rsidP="000204AD">
            <w:pPr>
              <w:rPr>
                <w:color w:val="000000"/>
                <w:sz w:val="18"/>
                <w:szCs w:val="18"/>
              </w:rPr>
            </w:pPr>
            <w:r w:rsidRPr="00471CBA">
              <w:rPr>
                <w:rFonts w:eastAsia="Arial Unicode MS"/>
                <w:color w:val="000000"/>
                <w:sz w:val="18"/>
                <w:szCs w:val="18"/>
              </w:rPr>
              <w:t>Türev finansal işlemlerden zarar</w:t>
            </w:r>
          </w:p>
        </w:tc>
        <w:tc>
          <w:tcPr>
            <w:tcW w:w="1588" w:type="pct"/>
            <w:tcBorders>
              <w:top w:val="nil"/>
              <w:left w:val="nil"/>
              <w:bottom w:val="nil"/>
              <w:right w:val="nil"/>
            </w:tcBorders>
            <w:noWrap/>
            <w:hideMark/>
          </w:tcPr>
          <w:p w14:paraId="62381B04" w14:textId="2051C1B7" w:rsidR="000204AD" w:rsidRPr="00471CBA" w:rsidRDefault="000204AD" w:rsidP="000204AD">
            <w:pPr>
              <w:jc w:val="right"/>
              <w:rPr>
                <w:color w:val="000000"/>
                <w:sz w:val="18"/>
                <w:szCs w:val="18"/>
                <w:lang w:eastAsia="tr-TR"/>
              </w:rPr>
            </w:pPr>
            <w:r w:rsidRPr="00471CBA">
              <w:rPr>
                <w:sz w:val="18"/>
                <w:szCs w:val="18"/>
              </w:rPr>
              <w:t>618.519</w:t>
            </w:r>
          </w:p>
        </w:tc>
      </w:tr>
      <w:tr w:rsidR="000204AD" w:rsidRPr="00471CBA" w14:paraId="65E31250" w14:textId="77777777" w:rsidTr="006025D3">
        <w:trPr>
          <w:trHeight w:val="170"/>
        </w:trPr>
        <w:tc>
          <w:tcPr>
            <w:tcW w:w="3412" w:type="pct"/>
            <w:tcBorders>
              <w:top w:val="nil"/>
              <w:left w:val="nil"/>
              <w:bottom w:val="single" w:sz="4" w:space="0" w:color="auto"/>
              <w:right w:val="nil"/>
            </w:tcBorders>
            <w:vAlign w:val="bottom"/>
            <w:hideMark/>
          </w:tcPr>
          <w:p w14:paraId="217595F7" w14:textId="77777777" w:rsidR="000204AD" w:rsidRPr="00471CBA" w:rsidRDefault="000204AD" w:rsidP="000204AD">
            <w:pPr>
              <w:rPr>
                <w:color w:val="000000"/>
                <w:sz w:val="18"/>
                <w:szCs w:val="18"/>
              </w:rPr>
            </w:pPr>
            <w:r w:rsidRPr="00471CBA">
              <w:rPr>
                <w:rFonts w:eastAsia="Arial Unicode MS"/>
                <w:color w:val="000000"/>
                <w:sz w:val="18"/>
                <w:szCs w:val="18"/>
              </w:rPr>
              <w:t>Kambiyo işlemlerinden zarar</w:t>
            </w:r>
          </w:p>
        </w:tc>
        <w:tc>
          <w:tcPr>
            <w:tcW w:w="1588" w:type="pct"/>
            <w:tcBorders>
              <w:top w:val="nil"/>
              <w:left w:val="nil"/>
              <w:bottom w:val="single" w:sz="4" w:space="0" w:color="auto"/>
              <w:right w:val="nil"/>
            </w:tcBorders>
            <w:noWrap/>
            <w:hideMark/>
          </w:tcPr>
          <w:p w14:paraId="20728EF5" w14:textId="2A6AD964" w:rsidR="000204AD" w:rsidRPr="00471CBA" w:rsidRDefault="000204AD" w:rsidP="000204AD">
            <w:pPr>
              <w:jc w:val="right"/>
              <w:rPr>
                <w:color w:val="000000"/>
                <w:sz w:val="18"/>
                <w:szCs w:val="18"/>
                <w:lang w:eastAsia="tr-TR"/>
              </w:rPr>
            </w:pPr>
            <w:r w:rsidRPr="00471CBA">
              <w:rPr>
                <w:sz w:val="18"/>
                <w:szCs w:val="18"/>
              </w:rPr>
              <w:t>25.219.652</w:t>
            </w:r>
          </w:p>
        </w:tc>
      </w:tr>
      <w:tr w:rsidR="000204AD" w:rsidRPr="00471CBA" w14:paraId="224169F0" w14:textId="77777777" w:rsidTr="006025D3">
        <w:trPr>
          <w:trHeight w:val="170"/>
        </w:trPr>
        <w:tc>
          <w:tcPr>
            <w:tcW w:w="3412" w:type="pct"/>
            <w:tcBorders>
              <w:top w:val="nil"/>
              <w:left w:val="nil"/>
              <w:right w:val="nil"/>
            </w:tcBorders>
            <w:hideMark/>
          </w:tcPr>
          <w:p w14:paraId="53426193" w14:textId="77777777" w:rsidR="000204AD" w:rsidRPr="00471CBA" w:rsidRDefault="000204AD" w:rsidP="000204AD">
            <w:pPr>
              <w:jc w:val="right"/>
              <w:rPr>
                <w:color w:val="000000"/>
                <w:sz w:val="18"/>
                <w:szCs w:val="18"/>
              </w:rPr>
            </w:pPr>
          </w:p>
        </w:tc>
        <w:tc>
          <w:tcPr>
            <w:tcW w:w="1588" w:type="pct"/>
            <w:tcBorders>
              <w:top w:val="nil"/>
              <w:left w:val="nil"/>
              <w:right w:val="nil"/>
            </w:tcBorders>
            <w:noWrap/>
            <w:hideMark/>
          </w:tcPr>
          <w:p w14:paraId="664FE642" w14:textId="6022913E" w:rsidR="000204AD" w:rsidRPr="00471CBA" w:rsidRDefault="000204AD" w:rsidP="000204AD">
            <w:pPr>
              <w:jc w:val="right"/>
              <w:rPr>
                <w:rFonts w:ascii="Arial" w:hAnsi="Arial" w:cs="Arial"/>
                <w:color w:val="000000"/>
                <w:sz w:val="18"/>
                <w:szCs w:val="18"/>
                <w:lang w:eastAsia="tr-TR"/>
              </w:rPr>
            </w:pPr>
          </w:p>
        </w:tc>
      </w:tr>
      <w:tr w:rsidR="000204AD" w:rsidRPr="00471CBA" w14:paraId="40567DAA" w14:textId="77777777" w:rsidTr="006025D3">
        <w:trPr>
          <w:trHeight w:val="170"/>
        </w:trPr>
        <w:tc>
          <w:tcPr>
            <w:tcW w:w="3412" w:type="pct"/>
            <w:tcBorders>
              <w:top w:val="nil"/>
              <w:left w:val="nil"/>
              <w:bottom w:val="single" w:sz="12" w:space="0" w:color="auto"/>
              <w:right w:val="nil"/>
            </w:tcBorders>
            <w:hideMark/>
          </w:tcPr>
          <w:p w14:paraId="4289EE9C" w14:textId="77777777" w:rsidR="000204AD" w:rsidRPr="00471CBA" w:rsidRDefault="000204AD" w:rsidP="000204AD">
            <w:pPr>
              <w:jc w:val="both"/>
              <w:rPr>
                <w:b/>
                <w:bCs/>
                <w:color w:val="000000"/>
                <w:sz w:val="18"/>
                <w:szCs w:val="18"/>
              </w:rPr>
            </w:pPr>
            <w:r w:rsidRPr="00471CBA">
              <w:rPr>
                <w:b/>
                <w:bCs/>
                <w:color w:val="000000"/>
                <w:sz w:val="18"/>
                <w:szCs w:val="18"/>
              </w:rPr>
              <w:t>Ticari Kar/Zarar (net)</w:t>
            </w:r>
          </w:p>
        </w:tc>
        <w:tc>
          <w:tcPr>
            <w:tcW w:w="1588" w:type="pct"/>
            <w:tcBorders>
              <w:top w:val="nil"/>
              <w:left w:val="nil"/>
              <w:bottom w:val="single" w:sz="12" w:space="0" w:color="auto"/>
              <w:right w:val="nil"/>
            </w:tcBorders>
            <w:noWrap/>
            <w:hideMark/>
          </w:tcPr>
          <w:p w14:paraId="7BC7F031" w14:textId="6A559277" w:rsidR="000204AD" w:rsidRPr="00471CBA" w:rsidRDefault="000204AD" w:rsidP="000204AD">
            <w:pPr>
              <w:jc w:val="right"/>
              <w:rPr>
                <w:b/>
                <w:bCs/>
                <w:color w:val="000000"/>
                <w:sz w:val="18"/>
                <w:szCs w:val="18"/>
                <w:lang w:eastAsia="tr-TR"/>
              </w:rPr>
            </w:pPr>
            <w:r w:rsidRPr="00471CBA">
              <w:rPr>
                <w:b/>
                <w:bCs/>
                <w:sz w:val="18"/>
                <w:szCs w:val="18"/>
              </w:rPr>
              <w:t>1.379.654</w:t>
            </w:r>
          </w:p>
        </w:tc>
      </w:tr>
    </w:tbl>
    <w:p w14:paraId="6D6E6E47" w14:textId="77777777" w:rsidR="006025D3" w:rsidRDefault="006025D3" w:rsidP="00964E60">
      <w:pPr>
        <w:widowControl w:val="0"/>
        <w:ind w:left="720" w:hanging="720"/>
        <w:jc w:val="both"/>
        <w:rPr>
          <w:b/>
          <w:szCs w:val="20"/>
        </w:rPr>
      </w:pPr>
      <w:r>
        <w:rPr>
          <w:b/>
          <w:szCs w:val="20"/>
        </w:rPr>
        <w:br w:type="page"/>
      </w:r>
    </w:p>
    <w:p w14:paraId="3F49D06A" w14:textId="69C95FD5" w:rsidR="00964E60" w:rsidRPr="00471CBA" w:rsidRDefault="00964E60" w:rsidP="00964E60">
      <w:pPr>
        <w:widowControl w:val="0"/>
        <w:ind w:left="720" w:hanging="720"/>
        <w:jc w:val="both"/>
        <w:rPr>
          <w:b/>
          <w:szCs w:val="20"/>
        </w:rPr>
      </w:pPr>
      <w:r w:rsidRPr="00471CBA">
        <w:rPr>
          <w:b/>
          <w:szCs w:val="20"/>
        </w:rPr>
        <w:t>KONSOLİDE OLMAYAN FİNANSAL TABLOLARA İLİŞKİN AÇIKLAMA VE DİPNOTLAR (Devamı)</w:t>
      </w:r>
    </w:p>
    <w:p w14:paraId="0DCD5A10" w14:textId="77777777" w:rsidR="00964E60" w:rsidRPr="00471CBA" w:rsidRDefault="00964E60" w:rsidP="00964E60">
      <w:pPr>
        <w:widowControl w:val="0"/>
        <w:autoSpaceDE w:val="0"/>
        <w:autoSpaceDN w:val="0"/>
        <w:adjustRightInd w:val="0"/>
        <w:ind w:left="14" w:right="210"/>
        <w:jc w:val="both"/>
        <w:rPr>
          <w:szCs w:val="20"/>
        </w:rPr>
      </w:pPr>
    </w:p>
    <w:p w14:paraId="63DDF830" w14:textId="77777777" w:rsidR="006025D3" w:rsidRPr="00471CBA" w:rsidRDefault="006025D3" w:rsidP="006025D3">
      <w:pPr>
        <w:pStyle w:val="GvdeMetniGirintisi"/>
        <w:widowControl w:val="0"/>
        <w:ind w:left="851" w:right="206" w:hanging="851"/>
        <w:rPr>
          <w:b/>
          <w:iCs/>
          <w:szCs w:val="20"/>
        </w:rPr>
      </w:pPr>
      <w:r>
        <w:rPr>
          <w:b/>
          <w:iCs/>
          <w:szCs w:val="20"/>
        </w:rPr>
        <w:t>IV.</w:t>
      </w:r>
      <w:r>
        <w:rPr>
          <w:b/>
          <w:iCs/>
          <w:szCs w:val="20"/>
        </w:rPr>
        <w:tab/>
      </w:r>
      <w:r w:rsidRPr="00471CBA">
        <w:rPr>
          <w:b/>
          <w:iCs/>
          <w:szCs w:val="20"/>
        </w:rPr>
        <w:t>KAR VEYA ZARAR TABLOSUNA İLİŞKİN AÇIKLAMA VE DİPNOTLAR (Devamı)</w:t>
      </w:r>
    </w:p>
    <w:p w14:paraId="414551BD" w14:textId="77777777" w:rsidR="001C13B0" w:rsidRPr="00471CBA" w:rsidRDefault="001C13B0" w:rsidP="00AB5801">
      <w:pPr>
        <w:widowControl w:val="0"/>
        <w:spacing w:line="211" w:lineRule="auto"/>
        <w:ind w:left="14" w:hanging="532"/>
        <w:jc w:val="both"/>
        <w:rPr>
          <w:b/>
          <w:szCs w:val="20"/>
        </w:rPr>
      </w:pPr>
    </w:p>
    <w:p w14:paraId="0D67816E" w14:textId="77777777" w:rsidR="00AB5801" w:rsidRPr="00471CBA" w:rsidRDefault="00AB5801" w:rsidP="00212E4A">
      <w:pPr>
        <w:pStyle w:val="ListeParagraf"/>
        <w:widowControl w:val="0"/>
        <w:numPr>
          <w:ilvl w:val="0"/>
          <w:numId w:val="31"/>
        </w:numPr>
        <w:spacing w:line="211" w:lineRule="auto"/>
        <w:ind w:left="851" w:hanging="851"/>
        <w:jc w:val="both"/>
        <w:rPr>
          <w:b/>
          <w:szCs w:val="20"/>
        </w:rPr>
      </w:pPr>
      <w:r w:rsidRPr="00471CBA">
        <w:rPr>
          <w:b/>
          <w:szCs w:val="20"/>
        </w:rPr>
        <w:t xml:space="preserve">Diğer faaliyet gelirlerine ilişkin bilgiler: </w:t>
      </w:r>
    </w:p>
    <w:p w14:paraId="7668653B" w14:textId="4E65C186" w:rsidR="00A74C68" w:rsidRPr="00471CBA" w:rsidRDefault="00A74C68" w:rsidP="00DB0B4F">
      <w:pPr>
        <w:widowControl w:val="0"/>
        <w:ind w:left="1341" w:hanging="490"/>
        <w:jc w:val="both"/>
        <w:rPr>
          <w:szCs w:val="20"/>
        </w:rPr>
      </w:pPr>
    </w:p>
    <w:tbl>
      <w:tblPr>
        <w:tblW w:w="4998" w:type="pct"/>
        <w:tblCellMar>
          <w:left w:w="70" w:type="dxa"/>
          <w:right w:w="70" w:type="dxa"/>
        </w:tblCellMar>
        <w:tblLook w:val="04A0" w:firstRow="1" w:lastRow="0" w:firstColumn="1" w:lastColumn="0" w:noHBand="0" w:noVBand="1"/>
      </w:tblPr>
      <w:tblGrid>
        <w:gridCol w:w="6275"/>
        <w:gridCol w:w="3076"/>
      </w:tblGrid>
      <w:tr w:rsidR="00A74C68" w:rsidRPr="00471CBA" w14:paraId="08C3D328" w14:textId="77777777" w:rsidTr="00A74C68">
        <w:trPr>
          <w:divId w:val="1021784376"/>
          <w:trHeight w:val="170"/>
        </w:trPr>
        <w:tc>
          <w:tcPr>
            <w:tcW w:w="2522" w:type="pct"/>
            <w:tcBorders>
              <w:top w:val="nil"/>
              <w:left w:val="nil"/>
              <w:bottom w:val="nil"/>
              <w:right w:val="nil"/>
            </w:tcBorders>
            <w:hideMark/>
          </w:tcPr>
          <w:p w14:paraId="545DADE8" w14:textId="0EDE04BC" w:rsidR="00A74C68" w:rsidRPr="00471CBA" w:rsidRDefault="00A74C68" w:rsidP="00A74C68">
            <w:pPr>
              <w:rPr>
                <w:sz w:val="18"/>
                <w:szCs w:val="18"/>
              </w:rPr>
            </w:pPr>
          </w:p>
        </w:tc>
        <w:tc>
          <w:tcPr>
            <w:tcW w:w="1237" w:type="pct"/>
            <w:tcBorders>
              <w:top w:val="nil"/>
              <w:left w:val="nil"/>
              <w:bottom w:val="single" w:sz="4" w:space="0" w:color="auto"/>
              <w:right w:val="nil"/>
            </w:tcBorders>
            <w:noWrap/>
            <w:vAlign w:val="center"/>
            <w:hideMark/>
          </w:tcPr>
          <w:p w14:paraId="28E588F4" w14:textId="77777777" w:rsidR="00A74C68" w:rsidRPr="00471CBA" w:rsidRDefault="00A74C68" w:rsidP="00A74C68">
            <w:pPr>
              <w:jc w:val="right"/>
              <w:rPr>
                <w:b/>
                <w:bCs/>
                <w:color w:val="000000"/>
                <w:sz w:val="18"/>
                <w:szCs w:val="18"/>
              </w:rPr>
            </w:pPr>
            <w:r w:rsidRPr="00471CBA">
              <w:rPr>
                <w:b/>
                <w:bCs/>
                <w:color w:val="000000"/>
                <w:sz w:val="18"/>
                <w:szCs w:val="18"/>
              </w:rPr>
              <w:t>1 Ocak - 31 Aralık 2025</w:t>
            </w:r>
          </w:p>
        </w:tc>
      </w:tr>
      <w:tr w:rsidR="00A74C68" w:rsidRPr="00471CBA" w14:paraId="5B8041D3" w14:textId="77777777" w:rsidTr="00A74C68">
        <w:trPr>
          <w:divId w:val="1021784376"/>
          <w:trHeight w:val="170"/>
        </w:trPr>
        <w:tc>
          <w:tcPr>
            <w:tcW w:w="2522" w:type="pct"/>
            <w:tcBorders>
              <w:top w:val="nil"/>
              <w:left w:val="nil"/>
              <w:bottom w:val="nil"/>
              <w:right w:val="nil"/>
            </w:tcBorders>
            <w:hideMark/>
          </w:tcPr>
          <w:p w14:paraId="5B886931" w14:textId="77777777" w:rsidR="00A74C68" w:rsidRPr="00471CBA" w:rsidRDefault="00A74C68" w:rsidP="00A74C68">
            <w:pPr>
              <w:rPr>
                <w:b/>
                <w:bCs/>
                <w:color w:val="000000"/>
                <w:sz w:val="18"/>
                <w:szCs w:val="18"/>
              </w:rPr>
            </w:pPr>
          </w:p>
        </w:tc>
        <w:tc>
          <w:tcPr>
            <w:tcW w:w="1237" w:type="pct"/>
            <w:tcBorders>
              <w:top w:val="single" w:sz="4" w:space="0" w:color="auto"/>
              <w:left w:val="nil"/>
              <w:bottom w:val="nil"/>
              <w:right w:val="nil"/>
            </w:tcBorders>
            <w:hideMark/>
          </w:tcPr>
          <w:p w14:paraId="1B385777" w14:textId="77777777" w:rsidR="00A74C68" w:rsidRPr="00471CBA" w:rsidRDefault="00A74C68" w:rsidP="00A74C68">
            <w:pPr>
              <w:jc w:val="right"/>
              <w:rPr>
                <w:sz w:val="18"/>
                <w:szCs w:val="18"/>
              </w:rPr>
            </w:pPr>
          </w:p>
        </w:tc>
      </w:tr>
      <w:tr w:rsidR="00A74C68" w:rsidRPr="00471CBA" w14:paraId="539847A6" w14:textId="77777777" w:rsidTr="00A74C68">
        <w:trPr>
          <w:divId w:val="1021784376"/>
          <w:trHeight w:val="170"/>
        </w:trPr>
        <w:tc>
          <w:tcPr>
            <w:tcW w:w="2522" w:type="pct"/>
            <w:tcBorders>
              <w:top w:val="nil"/>
              <w:left w:val="nil"/>
              <w:bottom w:val="nil"/>
              <w:right w:val="nil"/>
            </w:tcBorders>
            <w:vAlign w:val="center"/>
            <w:hideMark/>
          </w:tcPr>
          <w:p w14:paraId="626A346F" w14:textId="77777777" w:rsidR="00A74C68" w:rsidRPr="00471CBA" w:rsidRDefault="00A74C68" w:rsidP="00A74C68">
            <w:pPr>
              <w:rPr>
                <w:color w:val="000000"/>
                <w:sz w:val="18"/>
                <w:szCs w:val="18"/>
              </w:rPr>
            </w:pPr>
            <w:r w:rsidRPr="00471CBA">
              <w:rPr>
                <w:rFonts w:eastAsia="Arial Unicode MS"/>
                <w:color w:val="000000"/>
                <w:sz w:val="18"/>
                <w:szCs w:val="18"/>
              </w:rPr>
              <w:t>İptal edilen karşılıklar</w:t>
            </w:r>
          </w:p>
        </w:tc>
        <w:tc>
          <w:tcPr>
            <w:tcW w:w="1237" w:type="pct"/>
            <w:tcBorders>
              <w:top w:val="nil"/>
              <w:left w:val="nil"/>
              <w:bottom w:val="nil"/>
              <w:right w:val="nil"/>
            </w:tcBorders>
            <w:noWrap/>
            <w:vAlign w:val="center"/>
            <w:hideMark/>
          </w:tcPr>
          <w:p w14:paraId="1F6A7F09" w14:textId="77777777" w:rsidR="00A74C68" w:rsidRPr="00471CBA" w:rsidRDefault="00A74C68" w:rsidP="00A74C68">
            <w:pPr>
              <w:jc w:val="right"/>
              <w:rPr>
                <w:color w:val="000000"/>
                <w:sz w:val="18"/>
                <w:szCs w:val="18"/>
              </w:rPr>
            </w:pPr>
            <w:r w:rsidRPr="00471CBA">
              <w:rPr>
                <w:color w:val="000000"/>
                <w:sz w:val="18"/>
                <w:szCs w:val="18"/>
              </w:rPr>
              <w:t>324.622</w:t>
            </w:r>
          </w:p>
        </w:tc>
      </w:tr>
      <w:tr w:rsidR="00A74C68" w:rsidRPr="00471CBA" w14:paraId="47F85303" w14:textId="77777777" w:rsidTr="00A74C68">
        <w:trPr>
          <w:divId w:val="1021784376"/>
          <w:trHeight w:val="170"/>
        </w:trPr>
        <w:tc>
          <w:tcPr>
            <w:tcW w:w="2522" w:type="pct"/>
            <w:tcBorders>
              <w:top w:val="nil"/>
              <w:left w:val="nil"/>
              <w:right w:val="nil"/>
            </w:tcBorders>
            <w:vAlign w:val="center"/>
            <w:hideMark/>
          </w:tcPr>
          <w:p w14:paraId="14017ACE" w14:textId="77777777" w:rsidR="00A74C68" w:rsidRPr="00471CBA" w:rsidRDefault="00A74C68" w:rsidP="00A74C68">
            <w:pPr>
              <w:rPr>
                <w:color w:val="000000"/>
                <w:sz w:val="18"/>
                <w:szCs w:val="18"/>
              </w:rPr>
            </w:pPr>
            <w:r w:rsidRPr="00471CBA">
              <w:rPr>
                <w:rFonts w:eastAsia="Arial Unicode MS"/>
                <w:color w:val="000000"/>
                <w:sz w:val="18"/>
                <w:szCs w:val="18"/>
              </w:rPr>
              <w:t xml:space="preserve">Faaliyet kiralaması gelirleri </w:t>
            </w:r>
          </w:p>
        </w:tc>
        <w:tc>
          <w:tcPr>
            <w:tcW w:w="1237" w:type="pct"/>
            <w:tcBorders>
              <w:top w:val="nil"/>
              <w:left w:val="nil"/>
              <w:right w:val="nil"/>
            </w:tcBorders>
            <w:noWrap/>
            <w:vAlign w:val="center"/>
            <w:hideMark/>
          </w:tcPr>
          <w:p w14:paraId="17D0FFF7" w14:textId="77777777" w:rsidR="00A74C68" w:rsidRPr="00471CBA" w:rsidRDefault="00A74C68" w:rsidP="00A74C68">
            <w:pPr>
              <w:jc w:val="right"/>
              <w:rPr>
                <w:color w:val="000000"/>
                <w:sz w:val="18"/>
                <w:szCs w:val="18"/>
              </w:rPr>
            </w:pPr>
            <w:r w:rsidRPr="00471CBA">
              <w:rPr>
                <w:color w:val="000000"/>
                <w:sz w:val="18"/>
                <w:szCs w:val="18"/>
              </w:rPr>
              <w:t>83</w:t>
            </w:r>
          </w:p>
        </w:tc>
      </w:tr>
      <w:tr w:rsidR="00A74C68" w:rsidRPr="00471CBA" w14:paraId="5D91532B" w14:textId="77777777" w:rsidTr="00A74C68">
        <w:trPr>
          <w:divId w:val="1021784376"/>
          <w:trHeight w:val="170"/>
        </w:trPr>
        <w:tc>
          <w:tcPr>
            <w:tcW w:w="2522" w:type="pct"/>
            <w:tcBorders>
              <w:top w:val="nil"/>
              <w:left w:val="nil"/>
              <w:right w:val="nil"/>
            </w:tcBorders>
            <w:vAlign w:val="center"/>
            <w:hideMark/>
          </w:tcPr>
          <w:p w14:paraId="1C958158" w14:textId="77777777" w:rsidR="00A74C68" w:rsidRPr="00471CBA" w:rsidRDefault="00A74C68" w:rsidP="00A74C68">
            <w:pPr>
              <w:rPr>
                <w:color w:val="000000"/>
                <w:sz w:val="18"/>
                <w:szCs w:val="18"/>
                <w:lang w:eastAsia="tr-TR"/>
              </w:rPr>
            </w:pPr>
            <w:r w:rsidRPr="00471CBA">
              <w:rPr>
                <w:rFonts w:eastAsia="Arial Unicode MS"/>
                <w:color w:val="000000"/>
                <w:sz w:val="18"/>
                <w:szCs w:val="18"/>
              </w:rPr>
              <w:t>Masraf</w:t>
            </w:r>
            <w:r w:rsidRPr="00471CBA">
              <w:rPr>
                <w:color w:val="000000"/>
                <w:sz w:val="18"/>
                <w:szCs w:val="18"/>
                <w:lang w:eastAsia="tr-TR"/>
              </w:rPr>
              <w:t xml:space="preserve"> yansıtmaları</w:t>
            </w:r>
          </w:p>
        </w:tc>
        <w:tc>
          <w:tcPr>
            <w:tcW w:w="1237" w:type="pct"/>
            <w:tcBorders>
              <w:top w:val="nil"/>
              <w:left w:val="nil"/>
              <w:right w:val="nil"/>
            </w:tcBorders>
            <w:noWrap/>
            <w:vAlign w:val="center"/>
            <w:hideMark/>
          </w:tcPr>
          <w:p w14:paraId="2E8FCBFC" w14:textId="77777777" w:rsidR="00A74C68" w:rsidRPr="00471CBA" w:rsidRDefault="00A74C68" w:rsidP="00A74C68">
            <w:pPr>
              <w:jc w:val="right"/>
              <w:rPr>
                <w:color w:val="000000"/>
                <w:sz w:val="18"/>
                <w:szCs w:val="18"/>
              </w:rPr>
            </w:pPr>
            <w:r w:rsidRPr="00471CBA">
              <w:rPr>
                <w:color w:val="000000"/>
                <w:sz w:val="18"/>
                <w:szCs w:val="18"/>
              </w:rPr>
              <w:t>784</w:t>
            </w:r>
          </w:p>
        </w:tc>
      </w:tr>
      <w:tr w:rsidR="00A74C68" w:rsidRPr="00471CBA" w14:paraId="6E1FD897" w14:textId="77777777" w:rsidTr="00A74C68">
        <w:trPr>
          <w:divId w:val="1021784376"/>
          <w:trHeight w:val="170"/>
        </w:trPr>
        <w:tc>
          <w:tcPr>
            <w:tcW w:w="2522" w:type="pct"/>
            <w:tcBorders>
              <w:left w:val="nil"/>
              <w:bottom w:val="single" w:sz="4" w:space="0" w:color="auto"/>
              <w:right w:val="nil"/>
            </w:tcBorders>
            <w:vAlign w:val="center"/>
            <w:hideMark/>
          </w:tcPr>
          <w:p w14:paraId="2B30838C" w14:textId="77777777" w:rsidR="00A74C68" w:rsidRPr="00471CBA" w:rsidRDefault="00A74C68" w:rsidP="00A74C68">
            <w:pPr>
              <w:rPr>
                <w:color w:val="000000"/>
                <w:sz w:val="18"/>
                <w:szCs w:val="18"/>
                <w:lang w:eastAsia="tr-TR"/>
              </w:rPr>
            </w:pPr>
            <w:r w:rsidRPr="00471CBA">
              <w:rPr>
                <w:color w:val="000000"/>
                <w:sz w:val="18"/>
                <w:szCs w:val="18"/>
              </w:rPr>
              <w:t>Diğer</w:t>
            </w:r>
            <w:r w:rsidRPr="00471CBA">
              <w:rPr>
                <w:color w:val="000000"/>
                <w:sz w:val="18"/>
                <w:szCs w:val="18"/>
                <w:lang w:eastAsia="tr-TR"/>
              </w:rPr>
              <w:t xml:space="preserve"> gelirler</w:t>
            </w:r>
          </w:p>
        </w:tc>
        <w:tc>
          <w:tcPr>
            <w:tcW w:w="1237" w:type="pct"/>
            <w:tcBorders>
              <w:left w:val="nil"/>
              <w:bottom w:val="single" w:sz="4" w:space="0" w:color="auto"/>
              <w:right w:val="nil"/>
            </w:tcBorders>
            <w:noWrap/>
            <w:vAlign w:val="center"/>
            <w:hideMark/>
          </w:tcPr>
          <w:p w14:paraId="7F334D0D" w14:textId="77777777" w:rsidR="00A74C68" w:rsidRPr="00471CBA" w:rsidRDefault="00A74C68" w:rsidP="00A74C68">
            <w:pPr>
              <w:jc w:val="right"/>
              <w:rPr>
                <w:color w:val="000000"/>
                <w:sz w:val="18"/>
                <w:szCs w:val="18"/>
                <w:lang w:eastAsia="tr-TR"/>
              </w:rPr>
            </w:pPr>
            <w:r w:rsidRPr="00471CBA">
              <w:rPr>
                <w:sz w:val="18"/>
                <w:szCs w:val="18"/>
              </w:rPr>
              <w:t>15.222</w:t>
            </w:r>
          </w:p>
        </w:tc>
      </w:tr>
      <w:tr w:rsidR="00A74C68" w:rsidRPr="00471CBA" w14:paraId="18D574AE" w14:textId="77777777" w:rsidTr="00A74C68">
        <w:trPr>
          <w:divId w:val="1021784376"/>
          <w:trHeight w:val="170"/>
        </w:trPr>
        <w:tc>
          <w:tcPr>
            <w:tcW w:w="2522" w:type="pct"/>
            <w:tcBorders>
              <w:top w:val="single" w:sz="4" w:space="0" w:color="auto"/>
              <w:left w:val="nil"/>
              <w:right w:val="nil"/>
            </w:tcBorders>
            <w:vAlign w:val="center"/>
            <w:hideMark/>
          </w:tcPr>
          <w:p w14:paraId="56C51636" w14:textId="77777777" w:rsidR="00A74C68" w:rsidRPr="00471CBA" w:rsidRDefault="00A74C68" w:rsidP="00A74C68">
            <w:pPr>
              <w:rPr>
                <w:b/>
                <w:bCs/>
                <w:color w:val="000000"/>
                <w:sz w:val="18"/>
                <w:szCs w:val="18"/>
              </w:rPr>
            </w:pPr>
          </w:p>
        </w:tc>
        <w:tc>
          <w:tcPr>
            <w:tcW w:w="1237" w:type="pct"/>
            <w:tcBorders>
              <w:top w:val="single" w:sz="4" w:space="0" w:color="auto"/>
              <w:left w:val="nil"/>
              <w:right w:val="nil"/>
            </w:tcBorders>
            <w:vAlign w:val="center"/>
            <w:hideMark/>
          </w:tcPr>
          <w:p w14:paraId="61F1EB1C" w14:textId="77777777" w:rsidR="00A74C68" w:rsidRPr="00471CBA" w:rsidRDefault="00A74C68" w:rsidP="00A74C68">
            <w:pPr>
              <w:jc w:val="right"/>
              <w:rPr>
                <w:b/>
                <w:bCs/>
                <w:color w:val="000000"/>
                <w:sz w:val="18"/>
                <w:szCs w:val="18"/>
              </w:rPr>
            </w:pPr>
          </w:p>
        </w:tc>
      </w:tr>
      <w:tr w:rsidR="00A74C68" w:rsidRPr="00471CBA" w14:paraId="0EE014D2" w14:textId="77777777" w:rsidTr="00A74C68">
        <w:trPr>
          <w:divId w:val="1021784376"/>
          <w:trHeight w:val="170"/>
        </w:trPr>
        <w:tc>
          <w:tcPr>
            <w:tcW w:w="2522" w:type="pct"/>
            <w:tcBorders>
              <w:left w:val="nil"/>
              <w:bottom w:val="single" w:sz="12" w:space="0" w:color="auto"/>
              <w:right w:val="nil"/>
            </w:tcBorders>
            <w:vAlign w:val="center"/>
            <w:hideMark/>
          </w:tcPr>
          <w:p w14:paraId="4FE9F314" w14:textId="77777777" w:rsidR="00A74C68" w:rsidRPr="00471CBA" w:rsidRDefault="00A74C68" w:rsidP="00A74C68">
            <w:pPr>
              <w:rPr>
                <w:b/>
                <w:bCs/>
                <w:color w:val="000000"/>
                <w:sz w:val="18"/>
                <w:szCs w:val="18"/>
                <w:lang w:eastAsia="tr-TR"/>
              </w:rPr>
            </w:pPr>
            <w:r w:rsidRPr="00471CBA">
              <w:rPr>
                <w:b/>
                <w:bCs/>
                <w:color w:val="000000"/>
                <w:sz w:val="18"/>
                <w:szCs w:val="18"/>
                <w:lang w:eastAsia="tr-TR"/>
              </w:rPr>
              <w:t>Toplam</w:t>
            </w:r>
          </w:p>
        </w:tc>
        <w:tc>
          <w:tcPr>
            <w:tcW w:w="1237" w:type="pct"/>
            <w:tcBorders>
              <w:left w:val="nil"/>
              <w:bottom w:val="single" w:sz="12" w:space="0" w:color="auto"/>
              <w:right w:val="nil"/>
            </w:tcBorders>
            <w:noWrap/>
            <w:vAlign w:val="center"/>
            <w:hideMark/>
          </w:tcPr>
          <w:p w14:paraId="5D1F2520" w14:textId="77777777" w:rsidR="00A74C68" w:rsidRPr="00471CBA" w:rsidRDefault="00A74C68" w:rsidP="00A74C68">
            <w:pPr>
              <w:jc w:val="right"/>
              <w:rPr>
                <w:b/>
                <w:bCs/>
                <w:color w:val="000000"/>
                <w:sz w:val="18"/>
                <w:szCs w:val="18"/>
                <w:lang w:eastAsia="tr-TR"/>
              </w:rPr>
            </w:pPr>
            <w:r w:rsidRPr="00471CBA">
              <w:rPr>
                <w:b/>
                <w:bCs/>
                <w:color w:val="000000"/>
                <w:sz w:val="18"/>
                <w:szCs w:val="18"/>
                <w:lang w:eastAsia="tr-TR"/>
              </w:rPr>
              <w:t>340.711</w:t>
            </w:r>
          </w:p>
        </w:tc>
      </w:tr>
    </w:tbl>
    <w:p w14:paraId="0C204F4E" w14:textId="39500893" w:rsidR="00AB5801" w:rsidRPr="00471CBA" w:rsidRDefault="00AB5801" w:rsidP="00DB0B4F">
      <w:pPr>
        <w:widowControl w:val="0"/>
        <w:ind w:left="1341" w:hanging="490"/>
        <w:jc w:val="both"/>
        <w:rPr>
          <w:bCs/>
          <w:szCs w:val="20"/>
        </w:rPr>
      </w:pPr>
    </w:p>
    <w:tbl>
      <w:tblPr>
        <w:tblW w:w="5000" w:type="pct"/>
        <w:tblCellMar>
          <w:left w:w="70" w:type="dxa"/>
          <w:right w:w="70" w:type="dxa"/>
        </w:tblCellMar>
        <w:tblLook w:val="04A0" w:firstRow="1" w:lastRow="0" w:firstColumn="1" w:lastColumn="0" w:noHBand="0" w:noVBand="1"/>
      </w:tblPr>
      <w:tblGrid>
        <w:gridCol w:w="6270"/>
        <w:gridCol w:w="3085"/>
      </w:tblGrid>
      <w:tr w:rsidR="001C13B0" w:rsidRPr="00471CBA" w14:paraId="62898E0F" w14:textId="77777777" w:rsidTr="00080449">
        <w:trPr>
          <w:trHeight w:val="170"/>
        </w:trPr>
        <w:tc>
          <w:tcPr>
            <w:tcW w:w="3351" w:type="pct"/>
            <w:tcBorders>
              <w:top w:val="nil"/>
              <w:left w:val="nil"/>
              <w:bottom w:val="nil"/>
              <w:right w:val="nil"/>
            </w:tcBorders>
            <w:hideMark/>
          </w:tcPr>
          <w:p w14:paraId="4B946579" w14:textId="77777777" w:rsidR="001C13B0" w:rsidRPr="00471CBA" w:rsidRDefault="001C13B0" w:rsidP="003D1625">
            <w:pPr>
              <w:rPr>
                <w:sz w:val="18"/>
                <w:szCs w:val="18"/>
              </w:rPr>
            </w:pPr>
          </w:p>
        </w:tc>
        <w:tc>
          <w:tcPr>
            <w:tcW w:w="1649" w:type="pct"/>
            <w:tcBorders>
              <w:top w:val="nil"/>
              <w:left w:val="nil"/>
              <w:bottom w:val="single" w:sz="4" w:space="0" w:color="auto"/>
              <w:right w:val="nil"/>
            </w:tcBorders>
            <w:vAlign w:val="center"/>
            <w:hideMark/>
          </w:tcPr>
          <w:p w14:paraId="4FDCBE9E" w14:textId="0DD36EC6" w:rsidR="001C13B0" w:rsidRPr="00471CBA" w:rsidRDefault="000204AD" w:rsidP="003D1625">
            <w:pPr>
              <w:jc w:val="right"/>
              <w:rPr>
                <w:b/>
                <w:bCs/>
                <w:color w:val="000000"/>
                <w:sz w:val="18"/>
                <w:szCs w:val="18"/>
                <w:lang w:eastAsia="tr-TR"/>
              </w:rPr>
            </w:pPr>
            <w:r w:rsidRPr="00471CBA">
              <w:rPr>
                <w:b/>
                <w:bCs/>
                <w:color w:val="000000"/>
                <w:sz w:val="18"/>
                <w:szCs w:val="18"/>
                <w:lang w:eastAsia="tr-TR"/>
              </w:rPr>
              <w:t>1 Ocak - 31 Aralık 2024</w:t>
            </w:r>
          </w:p>
        </w:tc>
      </w:tr>
      <w:tr w:rsidR="001C13B0" w:rsidRPr="00471CBA" w14:paraId="317D698F" w14:textId="77777777" w:rsidTr="00080449">
        <w:trPr>
          <w:trHeight w:val="170"/>
        </w:trPr>
        <w:tc>
          <w:tcPr>
            <w:tcW w:w="3351" w:type="pct"/>
            <w:tcBorders>
              <w:top w:val="nil"/>
              <w:left w:val="nil"/>
              <w:bottom w:val="nil"/>
              <w:right w:val="nil"/>
            </w:tcBorders>
            <w:hideMark/>
          </w:tcPr>
          <w:p w14:paraId="521BCD69" w14:textId="77777777" w:rsidR="001C13B0" w:rsidRPr="00471CBA" w:rsidRDefault="001C13B0" w:rsidP="003D1625">
            <w:pPr>
              <w:rPr>
                <w:b/>
                <w:bCs/>
                <w:color w:val="000000"/>
                <w:sz w:val="18"/>
                <w:szCs w:val="18"/>
              </w:rPr>
            </w:pPr>
          </w:p>
        </w:tc>
        <w:tc>
          <w:tcPr>
            <w:tcW w:w="1649" w:type="pct"/>
            <w:tcBorders>
              <w:top w:val="single" w:sz="4" w:space="0" w:color="auto"/>
              <w:left w:val="nil"/>
              <w:bottom w:val="nil"/>
              <w:right w:val="nil"/>
            </w:tcBorders>
            <w:hideMark/>
          </w:tcPr>
          <w:p w14:paraId="22C31806" w14:textId="77777777" w:rsidR="001C13B0" w:rsidRPr="00471CBA" w:rsidRDefault="001C13B0" w:rsidP="003D1625">
            <w:pPr>
              <w:jc w:val="right"/>
              <w:rPr>
                <w:sz w:val="18"/>
                <w:szCs w:val="18"/>
                <w:lang w:eastAsia="tr-TR"/>
              </w:rPr>
            </w:pPr>
          </w:p>
        </w:tc>
      </w:tr>
      <w:tr w:rsidR="000204AD" w:rsidRPr="00471CBA" w14:paraId="7EEAEF8F" w14:textId="77777777" w:rsidTr="00CD064C">
        <w:trPr>
          <w:trHeight w:val="170"/>
        </w:trPr>
        <w:tc>
          <w:tcPr>
            <w:tcW w:w="3351" w:type="pct"/>
            <w:tcBorders>
              <w:top w:val="nil"/>
              <w:left w:val="nil"/>
              <w:bottom w:val="nil"/>
              <w:right w:val="nil"/>
            </w:tcBorders>
            <w:vAlign w:val="center"/>
            <w:hideMark/>
          </w:tcPr>
          <w:p w14:paraId="33476273" w14:textId="77777777" w:rsidR="000204AD" w:rsidRPr="00471CBA" w:rsidRDefault="000204AD" w:rsidP="000204AD">
            <w:pPr>
              <w:rPr>
                <w:color w:val="000000"/>
                <w:sz w:val="18"/>
                <w:szCs w:val="18"/>
              </w:rPr>
            </w:pPr>
            <w:r w:rsidRPr="00471CBA">
              <w:rPr>
                <w:rFonts w:eastAsia="Arial Unicode MS"/>
                <w:color w:val="000000"/>
                <w:sz w:val="18"/>
                <w:szCs w:val="18"/>
              </w:rPr>
              <w:t>İptal edilen karşılıklar</w:t>
            </w:r>
          </w:p>
        </w:tc>
        <w:tc>
          <w:tcPr>
            <w:tcW w:w="1649" w:type="pct"/>
            <w:tcBorders>
              <w:top w:val="nil"/>
              <w:left w:val="nil"/>
              <w:bottom w:val="nil"/>
              <w:right w:val="nil"/>
            </w:tcBorders>
            <w:noWrap/>
            <w:hideMark/>
          </w:tcPr>
          <w:p w14:paraId="7EFB048F" w14:textId="64EE19E6" w:rsidR="000204AD" w:rsidRPr="00471CBA" w:rsidRDefault="000204AD" w:rsidP="000204AD">
            <w:pPr>
              <w:jc w:val="right"/>
              <w:rPr>
                <w:rFonts w:ascii="Arial" w:hAnsi="Arial" w:cs="Arial"/>
                <w:color w:val="000000"/>
                <w:sz w:val="18"/>
                <w:szCs w:val="18"/>
                <w:lang w:eastAsia="tr-TR"/>
              </w:rPr>
            </w:pPr>
            <w:r w:rsidRPr="00471CBA">
              <w:rPr>
                <w:sz w:val="18"/>
                <w:szCs w:val="18"/>
              </w:rPr>
              <w:t>8.508</w:t>
            </w:r>
          </w:p>
        </w:tc>
      </w:tr>
      <w:tr w:rsidR="000204AD" w:rsidRPr="00471CBA" w14:paraId="56CA4308" w14:textId="77777777" w:rsidTr="00CD064C">
        <w:trPr>
          <w:trHeight w:val="170"/>
        </w:trPr>
        <w:tc>
          <w:tcPr>
            <w:tcW w:w="3351" w:type="pct"/>
            <w:tcBorders>
              <w:top w:val="nil"/>
              <w:left w:val="nil"/>
              <w:right w:val="nil"/>
            </w:tcBorders>
            <w:vAlign w:val="center"/>
            <w:hideMark/>
          </w:tcPr>
          <w:p w14:paraId="15F54CD8" w14:textId="77777777" w:rsidR="000204AD" w:rsidRPr="00471CBA" w:rsidRDefault="000204AD" w:rsidP="000204AD">
            <w:pPr>
              <w:rPr>
                <w:color w:val="000000"/>
                <w:sz w:val="18"/>
                <w:szCs w:val="18"/>
              </w:rPr>
            </w:pPr>
            <w:r w:rsidRPr="00471CBA">
              <w:rPr>
                <w:rFonts w:eastAsia="Arial Unicode MS"/>
                <w:color w:val="000000"/>
                <w:sz w:val="18"/>
                <w:szCs w:val="18"/>
              </w:rPr>
              <w:t xml:space="preserve">Faaliyet kiralaması gelirleri </w:t>
            </w:r>
          </w:p>
        </w:tc>
        <w:tc>
          <w:tcPr>
            <w:tcW w:w="1649" w:type="pct"/>
            <w:tcBorders>
              <w:top w:val="nil"/>
              <w:left w:val="nil"/>
              <w:bottom w:val="nil"/>
              <w:right w:val="nil"/>
            </w:tcBorders>
            <w:noWrap/>
            <w:hideMark/>
          </w:tcPr>
          <w:p w14:paraId="3682E64F" w14:textId="329EA100" w:rsidR="000204AD" w:rsidRPr="00471CBA" w:rsidRDefault="000204AD" w:rsidP="000204AD">
            <w:pPr>
              <w:jc w:val="right"/>
              <w:rPr>
                <w:rFonts w:ascii="Arial" w:hAnsi="Arial" w:cs="Arial"/>
                <w:color w:val="000000"/>
                <w:sz w:val="18"/>
                <w:szCs w:val="18"/>
                <w:lang w:eastAsia="tr-TR"/>
              </w:rPr>
            </w:pPr>
            <w:r w:rsidRPr="00471CBA">
              <w:rPr>
                <w:sz w:val="18"/>
                <w:szCs w:val="18"/>
              </w:rPr>
              <w:t>981</w:t>
            </w:r>
          </w:p>
        </w:tc>
      </w:tr>
      <w:tr w:rsidR="000204AD" w:rsidRPr="00471CBA" w14:paraId="6E8D5D80" w14:textId="77777777" w:rsidTr="00CD064C">
        <w:trPr>
          <w:trHeight w:val="170"/>
        </w:trPr>
        <w:tc>
          <w:tcPr>
            <w:tcW w:w="3351" w:type="pct"/>
            <w:tcBorders>
              <w:top w:val="nil"/>
              <w:left w:val="nil"/>
              <w:right w:val="nil"/>
            </w:tcBorders>
            <w:vAlign w:val="center"/>
            <w:hideMark/>
          </w:tcPr>
          <w:p w14:paraId="287A7E0C" w14:textId="77777777" w:rsidR="000204AD" w:rsidRPr="00471CBA" w:rsidRDefault="000204AD" w:rsidP="000204AD">
            <w:pPr>
              <w:rPr>
                <w:color w:val="000000"/>
                <w:sz w:val="18"/>
                <w:szCs w:val="18"/>
                <w:lang w:eastAsia="tr-TR"/>
              </w:rPr>
            </w:pPr>
            <w:r w:rsidRPr="00471CBA">
              <w:rPr>
                <w:rFonts w:eastAsia="Arial Unicode MS"/>
                <w:color w:val="000000"/>
                <w:sz w:val="18"/>
                <w:szCs w:val="18"/>
              </w:rPr>
              <w:t>Masraf</w:t>
            </w:r>
            <w:r w:rsidRPr="00471CBA">
              <w:rPr>
                <w:color w:val="000000"/>
                <w:sz w:val="18"/>
                <w:szCs w:val="18"/>
                <w:lang w:eastAsia="tr-TR"/>
              </w:rPr>
              <w:t xml:space="preserve"> yansıtmaları</w:t>
            </w:r>
          </w:p>
        </w:tc>
        <w:tc>
          <w:tcPr>
            <w:tcW w:w="1649" w:type="pct"/>
            <w:tcBorders>
              <w:top w:val="nil"/>
              <w:left w:val="nil"/>
              <w:bottom w:val="nil"/>
              <w:right w:val="nil"/>
            </w:tcBorders>
            <w:noWrap/>
            <w:hideMark/>
          </w:tcPr>
          <w:p w14:paraId="529D1076" w14:textId="4D49F7E3" w:rsidR="000204AD" w:rsidRPr="00471CBA" w:rsidRDefault="000204AD" w:rsidP="000204AD">
            <w:pPr>
              <w:jc w:val="right"/>
              <w:rPr>
                <w:rFonts w:ascii="Arial" w:hAnsi="Arial" w:cs="Arial"/>
                <w:color w:val="000000"/>
                <w:sz w:val="18"/>
                <w:szCs w:val="18"/>
                <w:lang w:eastAsia="tr-TR"/>
              </w:rPr>
            </w:pPr>
            <w:r w:rsidRPr="00471CBA">
              <w:rPr>
                <w:sz w:val="18"/>
                <w:szCs w:val="18"/>
              </w:rPr>
              <w:t>2.860</w:t>
            </w:r>
          </w:p>
        </w:tc>
      </w:tr>
      <w:tr w:rsidR="000204AD" w:rsidRPr="00471CBA" w14:paraId="2E4D38DE" w14:textId="77777777" w:rsidTr="00CD064C">
        <w:trPr>
          <w:trHeight w:val="170"/>
        </w:trPr>
        <w:tc>
          <w:tcPr>
            <w:tcW w:w="3351" w:type="pct"/>
            <w:tcBorders>
              <w:left w:val="nil"/>
              <w:bottom w:val="single" w:sz="4" w:space="0" w:color="auto"/>
              <w:right w:val="nil"/>
            </w:tcBorders>
            <w:vAlign w:val="center"/>
            <w:hideMark/>
          </w:tcPr>
          <w:p w14:paraId="4048E126" w14:textId="77777777" w:rsidR="000204AD" w:rsidRPr="00471CBA" w:rsidRDefault="000204AD" w:rsidP="000204AD">
            <w:pPr>
              <w:rPr>
                <w:color w:val="000000"/>
                <w:sz w:val="18"/>
                <w:szCs w:val="18"/>
                <w:lang w:eastAsia="tr-TR"/>
              </w:rPr>
            </w:pPr>
            <w:r w:rsidRPr="00471CBA">
              <w:rPr>
                <w:color w:val="000000"/>
                <w:sz w:val="18"/>
                <w:szCs w:val="18"/>
              </w:rPr>
              <w:t>Diğer</w:t>
            </w:r>
            <w:r w:rsidRPr="00471CBA">
              <w:rPr>
                <w:color w:val="000000"/>
                <w:sz w:val="18"/>
                <w:szCs w:val="18"/>
                <w:lang w:eastAsia="tr-TR"/>
              </w:rPr>
              <w:t xml:space="preserve"> gelirler</w:t>
            </w:r>
          </w:p>
        </w:tc>
        <w:tc>
          <w:tcPr>
            <w:tcW w:w="1649" w:type="pct"/>
            <w:tcBorders>
              <w:top w:val="nil"/>
              <w:left w:val="nil"/>
              <w:bottom w:val="single" w:sz="4" w:space="0" w:color="auto"/>
              <w:right w:val="nil"/>
            </w:tcBorders>
            <w:noWrap/>
            <w:hideMark/>
          </w:tcPr>
          <w:p w14:paraId="58862BDA" w14:textId="03365A60" w:rsidR="000204AD" w:rsidRPr="00471CBA" w:rsidRDefault="000204AD" w:rsidP="000204AD">
            <w:pPr>
              <w:jc w:val="right"/>
              <w:rPr>
                <w:color w:val="000000"/>
                <w:sz w:val="18"/>
                <w:szCs w:val="18"/>
                <w:lang w:eastAsia="tr-TR"/>
              </w:rPr>
            </w:pPr>
            <w:r w:rsidRPr="00471CBA">
              <w:rPr>
                <w:sz w:val="18"/>
                <w:szCs w:val="18"/>
              </w:rPr>
              <w:t>376</w:t>
            </w:r>
          </w:p>
        </w:tc>
      </w:tr>
      <w:tr w:rsidR="000204AD" w:rsidRPr="00471CBA" w14:paraId="071839C8" w14:textId="77777777" w:rsidTr="00CD064C">
        <w:trPr>
          <w:trHeight w:val="170"/>
        </w:trPr>
        <w:tc>
          <w:tcPr>
            <w:tcW w:w="3351" w:type="pct"/>
            <w:tcBorders>
              <w:top w:val="single" w:sz="4" w:space="0" w:color="auto"/>
              <w:left w:val="nil"/>
              <w:right w:val="nil"/>
            </w:tcBorders>
            <w:vAlign w:val="center"/>
            <w:hideMark/>
          </w:tcPr>
          <w:p w14:paraId="638B5AFD" w14:textId="77777777" w:rsidR="000204AD" w:rsidRPr="00471CBA" w:rsidRDefault="000204AD" w:rsidP="000204AD">
            <w:pPr>
              <w:rPr>
                <w:b/>
                <w:bCs/>
                <w:color w:val="000000"/>
                <w:sz w:val="18"/>
                <w:szCs w:val="18"/>
              </w:rPr>
            </w:pPr>
          </w:p>
        </w:tc>
        <w:tc>
          <w:tcPr>
            <w:tcW w:w="1649" w:type="pct"/>
            <w:tcBorders>
              <w:top w:val="nil"/>
              <w:left w:val="nil"/>
              <w:right w:val="nil"/>
            </w:tcBorders>
            <w:hideMark/>
          </w:tcPr>
          <w:p w14:paraId="36201025" w14:textId="77777777" w:rsidR="000204AD" w:rsidRPr="00471CBA" w:rsidRDefault="000204AD" w:rsidP="000204AD">
            <w:pPr>
              <w:jc w:val="right"/>
              <w:rPr>
                <w:sz w:val="18"/>
                <w:szCs w:val="18"/>
                <w:lang w:eastAsia="tr-TR"/>
              </w:rPr>
            </w:pPr>
          </w:p>
        </w:tc>
      </w:tr>
      <w:tr w:rsidR="000204AD" w:rsidRPr="00471CBA" w14:paraId="433A409E" w14:textId="77777777" w:rsidTr="00CD064C">
        <w:trPr>
          <w:trHeight w:val="170"/>
        </w:trPr>
        <w:tc>
          <w:tcPr>
            <w:tcW w:w="3351" w:type="pct"/>
            <w:tcBorders>
              <w:left w:val="nil"/>
              <w:bottom w:val="single" w:sz="12" w:space="0" w:color="auto"/>
              <w:right w:val="nil"/>
            </w:tcBorders>
            <w:vAlign w:val="center"/>
            <w:hideMark/>
          </w:tcPr>
          <w:p w14:paraId="476D5512" w14:textId="77777777" w:rsidR="000204AD" w:rsidRPr="00471CBA" w:rsidRDefault="000204AD" w:rsidP="000204AD">
            <w:pPr>
              <w:rPr>
                <w:b/>
                <w:bCs/>
                <w:color w:val="000000"/>
                <w:sz w:val="18"/>
                <w:szCs w:val="18"/>
                <w:lang w:eastAsia="tr-TR"/>
              </w:rPr>
            </w:pPr>
            <w:r w:rsidRPr="00471CBA">
              <w:rPr>
                <w:b/>
                <w:bCs/>
                <w:color w:val="000000"/>
                <w:sz w:val="18"/>
                <w:szCs w:val="18"/>
                <w:lang w:eastAsia="tr-TR"/>
              </w:rPr>
              <w:t>Toplam</w:t>
            </w:r>
          </w:p>
        </w:tc>
        <w:tc>
          <w:tcPr>
            <w:tcW w:w="1649" w:type="pct"/>
            <w:tcBorders>
              <w:top w:val="nil"/>
              <w:left w:val="nil"/>
              <w:bottom w:val="single" w:sz="12" w:space="0" w:color="auto"/>
              <w:right w:val="nil"/>
            </w:tcBorders>
            <w:noWrap/>
            <w:hideMark/>
          </w:tcPr>
          <w:p w14:paraId="7381522B" w14:textId="441204DB" w:rsidR="000204AD" w:rsidRPr="00471CBA" w:rsidRDefault="000204AD" w:rsidP="000204AD">
            <w:pPr>
              <w:jc w:val="right"/>
              <w:rPr>
                <w:b/>
                <w:bCs/>
                <w:color w:val="000000"/>
                <w:sz w:val="18"/>
                <w:szCs w:val="18"/>
                <w:lang w:eastAsia="tr-TR"/>
              </w:rPr>
            </w:pPr>
            <w:r w:rsidRPr="00471CBA">
              <w:rPr>
                <w:b/>
                <w:bCs/>
                <w:sz w:val="18"/>
                <w:szCs w:val="18"/>
              </w:rPr>
              <w:t>12.725</w:t>
            </w:r>
          </w:p>
        </w:tc>
      </w:tr>
    </w:tbl>
    <w:p w14:paraId="69FA8A31" w14:textId="77777777" w:rsidR="001C13B0" w:rsidRPr="00471CBA" w:rsidRDefault="001C13B0" w:rsidP="00DB0B4F">
      <w:pPr>
        <w:widowControl w:val="0"/>
        <w:ind w:left="1341" w:hanging="490"/>
        <w:jc w:val="both"/>
        <w:rPr>
          <w:bCs/>
          <w:szCs w:val="20"/>
        </w:rPr>
      </w:pPr>
    </w:p>
    <w:p w14:paraId="48DC627D" w14:textId="6E045982" w:rsidR="00493720" w:rsidRPr="00471CBA" w:rsidRDefault="00493720" w:rsidP="008459A9">
      <w:pPr>
        <w:pStyle w:val="ListeParagraf"/>
        <w:widowControl w:val="0"/>
        <w:numPr>
          <w:ilvl w:val="1"/>
          <w:numId w:val="82"/>
        </w:numPr>
        <w:spacing w:line="211" w:lineRule="auto"/>
        <w:ind w:left="851" w:hanging="851"/>
        <w:jc w:val="both"/>
        <w:rPr>
          <w:b/>
          <w:szCs w:val="20"/>
        </w:rPr>
      </w:pPr>
      <w:bookmarkStart w:id="153" w:name="_Hlk213403218"/>
      <w:r w:rsidRPr="00471CBA">
        <w:rPr>
          <w:b/>
          <w:szCs w:val="20"/>
        </w:rPr>
        <w:t>TFRS 9’a göre beklenen kredi zararı karşılıkları</w:t>
      </w:r>
    </w:p>
    <w:p w14:paraId="797E79A9" w14:textId="77777777" w:rsidR="00493720" w:rsidRPr="00471CBA" w:rsidRDefault="00493720" w:rsidP="00493720"/>
    <w:tbl>
      <w:tblPr>
        <w:tblW w:w="9379" w:type="dxa"/>
        <w:tblCellMar>
          <w:left w:w="70" w:type="dxa"/>
          <w:right w:w="70" w:type="dxa"/>
        </w:tblCellMar>
        <w:tblLook w:val="04A0" w:firstRow="1" w:lastRow="0" w:firstColumn="1" w:lastColumn="0" w:noHBand="0" w:noVBand="1"/>
      </w:tblPr>
      <w:tblGrid>
        <w:gridCol w:w="7153"/>
        <w:gridCol w:w="2226"/>
      </w:tblGrid>
      <w:tr w:rsidR="00493720" w:rsidRPr="00471CBA" w14:paraId="31B6B69B" w14:textId="77777777" w:rsidTr="00C43917">
        <w:trPr>
          <w:trHeight w:val="227"/>
        </w:trPr>
        <w:tc>
          <w:tcPr>
            <w:tcW w:w="7153" w:type="dxa"/>
            <w:tcBorders>
              <w:left w:val="nil"/>
              <w:bottom w:val="single" w:sz="4" w:space="0" w:color="auto"/>
            </w:tcBorders>
            <w:vAlign w:val="center"/>
            <w:hideMark/>
          </w:tcPr>
          <w:p w14:paraId="18DC08DC" w14:textId="77777777" w:rsidR="00493720" w:rsidRPr="00471CBA" w:rsidRDefault="00493720" w:rsidP="00493720">
            <w:pPr>
              <w:ind w:hanging="84"/>
              <w:rPr>
                <w:b/>
                <w:bCs/>
                <w:color w:val="000000"/>
                <w:szCs w:val="20"/>
                <w:lang w:eastAsia="tr-TR"/>
              </w:rPr>
            </w:pPr>
            <w:r w:rsidRPr="00471CBA">
              <w:rPr>
                <w:b/>
                <w:bCs/>
                <w:color w:val="000000"/>
                <w:szCs w:val="20"/>
                <w:lang w:eastAsia="tr-TR"/>
              </w:rPr>
              <w:t> </w:t>
            </w:r>
          </w:p>
        </w:tc>
        <w:tc>
          <w:tcPr>
            <w:tcW w:w="2226" w:type="dxa"/>
            <w:tcBorders>
              <w:bottom w:val="single" w:sz="4" w:space="0" w:color="auto"/>
            </w:tcBorders>
            <w:vAlign w:val="bottom"/>
            <w:hideMark/>
          </w:tcPr>
          <w:p w14:paraId="4C4C99D7" w14:textId="3B965CF0" w:rsidR="00493720" w:rsidRPr="00471CBA" w:rsidRDefault="00C43917" w:rsidP="00493720">
            <w:pPr>
              <w:ind w:hanging="84"/>
              <w:jc w:val="center"/>
              <w:rPr>
                <w:b/>
                <w:bCs/>
                <w:color w:val="000000"/>
                <w:szCs w:val="20"/>
                <w:lang w:eastAsia="tr-TR"/>
              </w:rPr>
            </w:pPr>
            <w:r w:rsidRPr="00471CBA">
              <w:rPr>
                <w:b/>
                <w:bCs/>
                <w:color w:val="000000"/>
                <w:szCs w:val="20"/>
                <w:lang w:eastAsia="tr-TR"/>
              </w:rPr>
              <w:t>1 Ocak – 31 Aralık 2025</w:t>
            </w:r>
          </w:p>
        </w:tc>
      </w:tr>
      <w:tr w:rsidR="00493720" w:rsidRPr="00471CBA" w14:paraId="23EF08B5" w14:textId="77777777" w:rsidTr="00C43917">
        <w:trPr>
          <w:trHeight w:val="227"/>
        </w:trPr>
        <w:tc>
          <w:tcPr>
            <w:tcW w:w="7153" w:type="dxa"/>
            <w:tcBorders>
              <w:top w:val="single" w:sz="4" w:space="0" w:color="auto"/>
              <w:left w:val="nil"/>
              <w:bottom w:val="nil"/>
              <w:right w:val="nil"/>
            </w:tcBorders>
            <w:vAlign w:val="center"/>
            <w:hideMark/>
          </w:tcPr>
          <w:p w14:paraId="4988288E" w14:textId="77777777" w:rsidR="00493720" w:rsidRPr="00471CBA" w:rsidRDefault="00493720" w:rsidP="00493720">
            <w:pPr>
              <w:ind w:hanging="84"/>
              <w:jc w:val="center"/>
              <w:rPr>
                <w:b/>
                <w:bCs/>
                <w:color w:val="000000"/>
                <w:szCs w:val="20"/>
                <w:lang w:eastAsia="tr-TR"/>
              </w:rPr>
            </w:pPr>
          </w:p>
        </w:tc>
        <w:tc>
          <w:tcPr>
            <w:tcW w:w="2226" w:type="dxa"/>
            <w:tcBorders>
              <w:top w:val="single" w:sz="4" w:space="0" w:color="auto"/>
              <w:left w:val="nil"/>
              <w:bottom w:val="nil"/>
              <w:right w:val="nil"/>
            </w:tcBorders>
            <w:vAlign w:val="center"/>
            <w:hideMark/>
          </w:tcPr>
          <w:p w14:paraId="0788BE09" w14:textId="77777777" w:rsidR="00493720" w:rsidRPr="00471CBA" w:rsidRDefault="00493720" w:rsidP="00493720">
            <w:pPr>
              <w:ind w:hanging="84"/>
              <w:rPr>
                <w:szCs w:val="20"/>
                <w:lang w:eastAsia="tr-TR"/>
              </w:rPr>
            </w:pPr>
          </w:p>
        </w:tc>
      </w:tr>
      <w:tr w:rsidR="000204AD" w:rsidRPr="00471CBA" w14:paraId="7DF8D628" w14:textId="77777777" w:rsidTr="00C43917">
        <w:trPr>
          <w:trHeight w:val="227"/>
        </w:trPr>
        <w:tc>
          <w:tcPr>
            <w:tcW w:w="7153" w:type="dxa"/>
            <w:tcBorders>
              <w:top w:val="nil"/>
              <w:left w:val="nil"/>
              <w:bottom w:val="nil"/>
              <w:right w:val="nil"/>
            </w:tcBorders>
            <w:vAlign w:val="center"/>
            <w:hideMark/>
          </w:tcPr>
          <w:p w14:paraId="242DCC64" w14:textId="77777777" w:rsidR="000204AD" w:rsidRPr="00471CBA" w:rsidRDefault="000204AD" w:rsidP="000204AD">
            <w:pPr>
              <w:rPr>
                <w:b/>
                <w:bCs/>
                <w:color w:val="000000"/>
                <w:szCs w:val="20"/>
                <w:lang w:eastAsia="tr-TR"/>
              </w:rPr>
            </w:pPr>
            <w:r w:rsidRPr="00471CBA">
              <w:rPr>
                <w:b/>
                <w:bCs/>
                <w:color w:val="000000"/>
                <w:szCs w:val="20"/>
                <w:lang w:eastAsia="tr-TR"/>
              </w:rPr>
              <w:t xml:space="preserve">Beklenen Kredi Zararı Karşılıkları </w:t>
            </w:r>
          </w:p>
        </w:tc>
        <w:tc>
          <w:tcPr>
            <w:tcW w:w="2226" w:type="dxa"/>
            <w:tcBorders>
              <w:top w:val="nil"/>
              <w:left w:val="nil"/>
              <w:bottom w:val="nil"/>
              <w:right w:val="nil"/>
            </w:tcBorders>
            <w:noWrap/>
            <w:vAlign w:val="bottom"/>
            <w:hideMark/>
          </w:tcPr>
          <w:p w14:paraId="0C06DA7E" w14:textId="3680E9CB" w:rsidR="000204AD" w:rsidRPr="00471CBA" w:rsidRDefault="000204AD" w:rsidP="000204AD">
            <w:pPr>
              <w:ind w:hanging="84"/>
              <w:jc w:val="right"/>
              <w:rPr>
                <w:b/>
                <w:bCs/>
                <w:color w:val="000000"/>
                <w:szCs w:val="20"/>
                <w:lang w:eastAsia="tr-TR"/>
              </w:rPr>
            </w:pPr>
            <w:r w:rsidRPr="00471CBA">
              <w:t>672.422</w:t>
            </w:r>
          </w:p>
        </w:tc>
      </w:tr>
      <w:tr w:rsidR="000204AD" w:rsidRPr="00471CBA" w14:paraId="71C85812" w14:textId="77777777" w:rsidTr="00C43917">
        <w:trPr>
          <w:trHeight w:val="227"/>
        </w:trPr>
        <w:tc>
          <w:tcPr>
            <w:tcW w:w="7153" w:type="dxa"/>
            <w:tcBorders>
              <w:top w:val="nil"/>
              <w:left w:val="nil"/>
              <w:bottom w:val="nil"/>
              <w:right w:val="nil"/>
            </w:tcBorders>
            <w:hideMark/>
          </w:tcPr>
          <w:p w14:paraId="4E3CBA2F" w14:textId="77777777" w:rsidR="000204AD" w:rsidRPr="00471CBA" w:rsidRDefault="000204AD" w:rsidP="000204AD">
            <w:pPr>
              <w:ind w:firstLineChars="100" w:firstLine="200"/>
              <w:rPr>
                <w:color w:val="000000"/>
                <w:szCs w:val="20"/>
                <w:lang w:eastAsia="tr-TR"/>
              </w:rPr>
            </w:pPr>
            <w:r w:rsidRPr="00471CBA">
              <w:rPr>
                <w:color w:val="000000"/>
                <w:szCs w:val="20"/>
                <w:lang w:eastAsia="tr-TR"/>
              </w:rPr>
              <w:t xml:space="preserve">12 Aylık Beklenen Zarar Karşılığı (Birinci Aşama) </w:t>
            </w:r>
          </w:p>
        </w:tc>
        <w:tc>
          <w:tcPr>
            <w:tcW w:w="2226" w:type="dxa"/>
            <w:tcBorders>
              <w:top w:val="nil"/>
              <w:left w:val="nil"/>
              <w:bottom w:val="nil"/>
              <w:right w:val="nil"/>
            </w:tcBorders>
            <w:noWrap/>
            <w:vAlign w:val="bottom"/>
            <w:hideMark/>
          </w:tcPr>
          <w:p w14:paraId="0ABF8E72" w14:textId="32166808" w:rsidR="000204AD" w:rsidRPr="00471CBA" w:rsidRDefault="000204AD" w:rsidP="000204AD">
            <w:pPr>
              <w:ind w:hanging="84"/>
              <w:jc w:val="right"/>
              <w:rPr>
                <w:color w:val="000000"/>
                <w:szCs w:val="20"/>
                <w:lang w:eastAsia="tr-TR"/>
              </w:rPr>
            </w:pPr>
            <w:r w:rsidRPr="00471CBA">
              <w:t>259.163</w:t>
            </w:r>
          </w:p>
        </w:tc>
      </w:tr>
      <w:tr w:rsidR="000204AD" w:rsidRPr="00471CBA" w14:paraId="53079379" w14:textId="77777777" w:rsidTr="00C43917">
        <w:trPr>
          <w:trHeight w:val="227"/>
        </w:trPr>
        <w:tc>
          <w:tcPr>
            <w:tcW w:w="7153" w:type="dxa"/>
            <w:tcBorders>
              <w:top w:val="nil"/>
              <w:left w:val="nil"/>
              <w:bottom w:val="nil"/>
              <w:right w:val="nil"/>
            </w:tcBorders>
            <w:hideMark/>
          </w:tcPr>
          <w:p w14:paraId="2DE78E45" w14:textId="77777777" w:rsidR="000204AD" w:rsidRPr="00471CBA" w:rsidRDefault="000204AD" w:rsidP="000204AD">
            <w:pPr>
              <w:ind w:firstLineChars="100" w:firstLine="200"/>
              <w:rPr>
                <w:color w:val="000000"/>
                <w:szCs w:val="20"/>
                <w:lang w:eastAsia="tr-TR"/>
              </w:rPr>
            </w:pPr>
            <w:r w:rsidRPr="00471CBA">
              <w:rPr>
                <w:color w:val="000000"/>
                <w:szCs w:val="20"/>
                <w:lang w:eastAsia="tr-TR"/>
              </w:rPr>
              <w:t xml:space="preserve">Kredi Riskinde Önemli Artış (İkinci Aşama) </w:t>
            </w:r>
          </w:p>
        </w:tc>
        <w:tc>
          <w:tcPr>
            <w:tcW w:w="2226" w:type="dxa"/>
            <w:tcBorders>
              <w:top w:val="nil"/>
              <w:left w:val="nil"/>
              <w:bottom w:val="nil"/>
              <w:right w:val="nil"/>
            </w:tcBorders>
            <w:noWrap/>
            <w:vAlign w:val="bottom"/>
            <w:hideMark/>
          </w:tcPr>
          <w:p w14:paraId="2749BDEA" w14:textId="786357F9" w:rsidR="000204AD" w:rsidRPr="00471CBA" w:rsidRDefault="000204AD" w:rsidP="000204AD">
            <w:pPr>
              <w:ind w:hanging="84"/>
              <w:jc w:val="right"/>
              <w:rPr>
                <w:color w:val="000000"/>
                <w:szCs w:val="20"/>
                <w:lang w:eastAsia="tr-TR"/>
              </w:rPr>
            </w:pPr>
            <w:r w:rsidRPr="00471CBA">
              <w:t>14.178</w:t>
            </w:r>
          </w:p>
        </w:tc>
      </w:tr>
      <w:tr w:rsidR="000204AD" w:rsidRPr="00471CBA" w14:paraId="583215D3" w14:textId="77777777" w:rsidTr="00C43917">
        <w:trPr>
          <w:trHeight w:val="227"/>
        </w:trPr>
        <w:tc>
          <w:tcPr>
            <w:tcW w:w="7153" w:type="dxa"/>
            <w:tcBorders>
              <w:top w:val="nil"/>
              <w:left w:val="nil"/>
              <w:bottom w:val="nil"/>
              <w:right w:val="nil"/>
            </w:tcBorders>
            <w:hideMark/>
          </w:tcPr>
          <w:p w14:paraId="64B15E26" w14:textId="77777777" w:rsidR="000204AD" w:rsidRPr="00471CBA" w:rsidRDefault="000204AD" w:rsidP="000204AD">
            <w:pPr>
              <w:ind w:firstLineChars="100" w:firstLine="200"/>
              <w:rPr>
                <w:color w:val="000000"/>
                <w:szCs w:val="20"/>
                <w:lang w:eastAsia="tr-TR"/>
              </w:rPr>
            </w:pPr>
            <w:r w:rsidRPr="00471CBA">
              <w:rPr>
                <w:color w:val="000000"/>
                <w:szCs w:val="20"/>
                <w:lang w:eastAsia="tr-TR"/>
              </w:rPr>
              <w:t xml:space="preserve">Temerrüt (Üçüncü Aşama) </w:t>
            </w:r>
          </w:p>
        </w:tc>
        <w:tc>
          <w:tcPr>
            <w:tcW w:w="2226" w:type="dxa"/>
            <w:tcBorders>
              <w:top w:val="nil"/>
              <w:left w:val="nil"/>
              <w:bottom w:val="nil"/>
              <w:right w:val="nil"/>
            </w:tcBorders>
            <w:noWrap/>
            <w:vAlign w:val="bottom"/>
            <w:hideMark/>
          </w:tcPr>
          <w:p w14:paraId="0375C5CE" w14:textId="3A7C04A9" w:rsidR="000204AD" w:rsidRPr="00471CBA" w:rsidRDefault="000204AD" w:rsidP="000204AD">
            <w:pPr>
              <w:ind w:hanging="84"/>
              <w:jc w:val="right"/>
              <w:rPr>
                <w:color w:val="000000"/>
                <w:szCs w:val="20"/>
                <w:lang w:eastAsia="tr-TR"/>
              </w:rPr>
            </w:pPr>
            <w:r w:rsidRPr="00471CBA">
              <w:t>399.081</w:t>
            </w:r>
          </w:p>
        </w:tc>
      </w:tr>
      <w:tr w:rsidR="000204AD" w:rsidRPr="00471CBA" w14:paraId="440607AA" w14:textId="77777777" w:rsidTr="00C43917">
        <w:trPr>
          <w:trHeight w:val="227"/>
        </w:trPr>
        <w:tc>
          <w:tcPr>
            <w:tcW w:w="7153" w:type="dxa"/>
            <w:tcBorders>
              <w:top w:val="nil"/>
              <w:left w:val="nil"/>
              <w:bottom w:val="nil"/>
              <w:right w:val="nil"/>
            </w:tcBorders>
            <w:vAlign w:val="center"/>
            <w:hideMark/>
          </w:tcPr>
          <w:p w14:paraId="147C1D04" w14:textId="77777777" w:rsidR="000204AD" w:rsidRPr="00471CBA" w:rsidRDefault="000204AD" w:rsidP="000204AD">
            <w:pPr>
              <w:rPr>
                <w:b/>
                <w:bCs/>
                <w:color w:val="000000"/>
                <w:szCs w:val="20"/>
                <w:lang w:eastAsia="tr-TR"/>
              </w:rPr>
            </w:pPr>
            <w:r w:rsidRPr="00471CBA">
              <w:rPr>
                <w:b/>
                <w:bCs/>
                <w:color w:val="000000"/>
                <w:szCs w:val="20"/>
                <w:lang w:eastAsia="tr-TR"/>
              </w:rPr>
              <w:t xml:space="preserve">Menkul Değerler Değer Düşüş Karşılıkları </w:t>
            </w:r>
          </w:p>
        </w:tc>
        <w:tc>
          <w:tcPr>
            <w:tcW w:w="2226" w:type="dxa"/>
            <w:tcBorders>
              <w:top w:val="nil"/>
              <w:left w:val="nil"/>
              <w:bottom w:val="nil"/>
              <w:right w:val="nil"/>
            </w:tcBorders>
            <w:noWrap/>
            <w:vAlign w:val="bottom"/>
            <w:hideMark/>
          </w:tcPr>
          <w:p w14:paraId="7871E25D" w14:textId="202C2909" w:rsidR="000204AD" w:rsidRPr="00471CBA" w:rsidRDefault="000204AD" w:rsidP="000204AD">
            <w:pPr>
              <w:ind w:hanging="84"/>
              <w:jc w:val="right"/>
              <w:rPr>
                <w:b/>
                <w:bCs/>
                <w:color w:val="000000"/>
                <w:szCs w:val="20"/>
                <w:lang w:eastAsia="tr-TR"/>
              </w:rPr>
            </w:pPr>
            <w:r w:rsidRPr="00471CBA">
              <w:rPr>
                <w:b/>
                <w:bCs/>
                <w:color w:val="000000"/>
                <w:szCs w:val="20"/>
                <w:lang w:eastAsia="tr-TR"/>
              </w:rPr>
              <w:t>-</w:t>
            </w:r>
          </w:p>
        </w:tc>
      </w:tr>
      <w:tr w:rsidR="000204AD" w:rsidRPr="00471CBA" w14:paraId="13625F42" w14:textId="77777777" w:rsidTr="00C43917">
        <w:trPr>
          <w:trHeight w:val="227"/>
        </w:trPr>
        <w:tc>
          <w:tcPr>
            <w:tcW w:w="7153" w:type="dxa"/>
            <w:tcBorders>
              <w:top w:val="nil"/>
              <w:left w:val="nil"/>
              <w:bottom w:val="nil"/>
              <w:right w:val="nil"/>
            </w:tcBorders>
            <w:vAlign w:val="center"/>
            <w:hideMark/>
          </w:tcPr>
          <w:p w14:paraId="3660E498" w14:textId="77777777" w:rsidR="000204AD" w:rsidRPr="00471CBA" w:rsidRDefault="000204AD" w:rsidP="000204AD">
            <w:pPr>
              <w:rPr>
                <w:color w:val="000000"/>
                <w:szCs w:val="20"/>
                <w:lang w:eastAsia="tr-TR"/>
              </w:rPr>
            </w:pPr>
            <w:r w:rsidRPr="00471CBA">
              <w:rPr>
                <w:color w:val="000000"/>
                <w:szCs w:val="20"/>
                <w:lang w:eastAsia="tr-TR"/>
              </w:rPr>
              <w:t xml:space="preserve">Gerçeğe Uygun Değer Farkı Kâr veya Zarara Yansıtılan Finansal Varlıklar </w:t>
            </w:r>
          </w:p>
        </w:tc>
        <w:tc>
          <w:tcPr>
            <w:tcW w:w="2226" w:type="dxa"/>
            <w:tcBorders>
              <w:top w:val="nil"/>
              <w:left w:val="nil"/>
              <w:bottom w:val="nil"/>
              <w:right w:val="nil"/>
            </w:tcBorders>
            <w:noWrap/>
            <w:vAlign w:val="bottom"/>
            <w:hideMark/>
          </w:tcPr>
          <w:p w14:paraId="3E2E5AE9" w14:textId="592EF21E" w:rsidR="000204AD" w:rsidRPr="00471CBA" w:rsidRDefault="000204AD" w:rsidP="000204AD">
            <w:pPr>
              <w:ind w:hanging="84"/>
              <w:jc w:val="right"/>
              <w:rPr>
                <w:color w:val="000000"/>
                <w:szCs w:val="20"/>
                <w:lang w:eastAsia="tr-TR"/>
              </w:rPr>
            </w:pPr>
            <w:r w:rsidRPr="00471CBA">
              <w:rPr>
                <w:b/>
                <w:bCs/>
                <w:color w:val="000000"/>
                <w:szCs w:val="20"/>
                <w:lang w:eastAsia="tr-TR"/>
              </w:rPr>
              <w:t>-</w:t>
            </w:r>
          </w:p>
        </w:tc>
      </w:tr>
      <w:tr w:rsidR="000204AD" w:rsidRPr="00471CBA" w14:paraId="1D754D2B" w14:textId="77777777" w:rsidTr="00C43917">
        <w:trPr>
          <w:trHeight w:val="227"/>
        </w:trPr>
        <w:tc>
          <w:tcPr>
            <w:tcW w:w="7153" w:type="dxa"/>
            <w:tcBorders>
              <w:top w:val="nil"/>
              <w:left w:val="nil"/>
              <w:bottom w:val="nil"/>
              <w:right w:val="nil"/>
            </w:tcBorders>
            <w:vAlign w:val="center"/>
            <w:hideMark/>
          </w:tcPr>
          <w:p w14:paraId="3FED2CCF" w14:textId="77777777" w:rsidR="000204AD" w:rsidRPr="00471CBA" w:rsidRDefault="000204AD" w:rsidP="000204AD">
            <w:pPr>
              <w:rPr>
                <w:color w:val="000000"/>
                <w:szCs w:val="20"/>
                <w:lang w:eastAsia="tr-TR"/>
              </w:rPr>
            </w:pPr>
            <w:r w:rsidRPr="00471CBA">
              <w:rPr>
                <w:color w:val="000000"/>
                <w:szCs w:val="20"/>
                <w:lang w:eastAsia="tr-TR"/>
              </w:rPr>
              <w:t xml:space="preserve">Gerçeğe Uygun Değer Farkı Diğer Kapsamlı Gelire Yansıtılan Varlıklar </w:t>
            </w:r>
          </w:p>
        </w:tc>
        <w:tc>
          <w:tcPr>
            <w:tcW w:w="2226" w:type="dxa"/>
            <w:tcBorders>
              <w:top w:val="nil"/>
              <w:left w:val="nil"/>
              <w:bottom w:val="nil"/>
              <w:right w:val="nil"/>
            </w:tcBorders>
            <w:noWrap/>
            <w:vAlign w:val="bottom"/>
            <w:hideMark/>
          </w:tcPr>
          <w:p w14:paraId="08DCE622" w14:textId="790B5D69" w:rsidR="000204AD" w:rsidRPr="00471CBA" w:rsidRDefault="000204AD" w:rsidP="000204AD">
            <w:pPr>
              <w:ind w:hanging="84"/>
              <w:jc w:val="right"/>
              <w:rPr>
                <w:color w:val="000000"/>
                <w:szCs w:val="20"/>
                <w:lang w:eastAsia="tr-TR"/>
              </w:rPr>
            </w:pPr>
            <w:r w:rsidRPr="00471CBA">
              <w:rPr>
                <w:b/>
                <w:bCs/>
                <w:color w:val="000000"/>
                <w:szCs w:val="20"/>
                <w:lang w:eastAsia="tr-TR"/>
              </w:rPr>
              <w:t>-</w:t>
            </w:r>
          </w:p>
        </w:tc>
      </w:tr>
      <w:tr w:rsidR="000204AD" w:rsidRPr="00471CBA" w14:paraId="6400AA79" w14:textId="77777777" w:rsidTr="00C43917">
        <w:trPr>
          <w:trHeight w:val="227"/>
        </w:trPr>
        <w:tc>
          <w:tcPr>
            <w:tcW w:w="7153" w:type="dxa"/>
            <w:tcBorders>
              <w:top w:val="nil"/>
              <w:left w:val="nil"/>
              <w:bottom w:val="nil"/>
              <w:right w:val="nil"/>
            </w:tcBorders>
            <w:noWrap/>
            <w:vAlign w:val="center"/>
            <w:hideMark/>
          </w:tcPr>
          <w:p w14:paraId="381E218B" w14:textId="77777777" w:rsidR="000204AD" w:rsidRPr="00471CBA" w:rsidRDefault="000204AD" w:rsidP="000204AD">
            <w:pPr>
              <w:rPr>
                <w:b/>
                <w:bCs/>
                <w:color w:val="000000"/>
                <w:szCs w:val="20"/>
                <w:lang w:eastAsia="tr-TR"/>
              </w:rPr>
            </w:pPr>
            <w:r w:rsidRPr="00471CBA">
              <w:rPr>
                <w:b/>
                <w:bCs/>
                <w:color w:val="000000"/>
                <w:szCs w:val="20"/>
                <w:lang w:eastAsia="tr-TR"/>
              </w:rPr>
              <w:t xml:space="preserve">İştirakler, Bağlı Ortaklıklar ve Birlikte Kontrol Edilen Ortaklıklar Değer Düşüş Karşılıkları </w:t>
            </w:r>
          </w:p>
        </w:tc>
        <w:tc>
          <w:tcPr>
            <w:tcW w:w="2226" w:type="dxa"/>
            <w:tcBorders>
              <w:top w:val="nil"/>
              <w:left w:val="nil"/>
              <w:bottom w:val="nil"/>
              <w:right w:val="nil"/>
            </w:tcBorders>
            <w:noWrap/>
            <w:vAlign w:val="bottom"/>
            <w:hideMark/>
          </w:tcPr>
          <w:p w14:paraId="76F9B0CD" w14:textId="440B704B" w:rsidR="000204AD" w:rsidRPr="00471CBA" w:rsidRDefault="000204AD" w:rsidP="000204AD">
            <w:pPr>
              <w:ind w:hanging="84"/>
              <w:jc w:val="right"/>
              <w:rPr>
                <w:b/>
                <w:bCs/>
                <w:color w:val="000000"/>
                <w:szCs w:val="20"/>
                <w:lang w:eastAsia="tr-TR"/>
              </w:rPr>
            </w:pPr>
            <w:r w:rsidRPr="00471CBA">
              <w:rPr>
                <w:b/>
                <w:bCs/>
                <w:color w:val="000000"/>
                <w:szCs w:val="20"/>
                <w:lang w:eastAsia="tr-TR"/>
              </w:rPr>
              <w:t>-</w:t>
            </w:r>
          </w:p>
        </w:tc>
      </w:tr>
      <w:tr w:rsidR="000204AD" w:rsidRPr="00471CBA" w14:paraId="2DFC9DBD" w14:textId="77777777" w:rsidTr="00C43917">
        <w:trPr>
          <w:trHeight w:val="227"/>
        </w:trPr>
        <w:tc>
          <w:tcPr>
            <w:tcW w:w="7153" w:type="dxa"/>
            <w:tcBorders>
              <w:top w:val="nil"/>
              <w:left w:val="nil"/>
              <w:bottom w:val="nil"/>
              <w:right w:val="nil"/>
            </w:tcBorders>
            <w:vAlign w:val="center"/>
            <w:hideMark/>
          </w:tcPr>
          <w:p w14:paraId="0898C37F" w14:textId="77777777" w:rsidR="000204AD" w:rsidRPr="00471CBA" w:rsidRDefault="000204AD" w:rsidP="000204AD">
            <w:pPr>
              <w:ind w:firstLineChars="100" w:firstLine="200"/>
              <w:rPr>
                <w:color w:val="000000"/>
                <w:szCs w:val="20"/>
                <w:lang w:eastAsia="tr-TR"/>
              </w:rPr>
            </w:pPr>
            <w:r w:rsidRPr="00471CBA">
              <w:rPr>
                <w:color w:val="000000"/>
                <w:szCs w:val="20"/>
                <w:lang w:eastAsia="tr-TR"/>
              </w:rPr>
              <w:t xml:space="preserve">İştirakler </w:t>
            </w:r>
          </w:p>
        </w:tc>
        <w:tc>
          <w:tcPr>
            <w:tcW w:w="2226" w:type="dxa"/>
            <w:tcBorders>
              <w:top w:val="nil"/>
              <w:left w:val="nil"/>
              <w:bottom w:val="nil"/>
              <w:right w:val="nil"/>
            </w:tcBorders>
            <w:noWrap/>
            <w:vAlign w:val="bottom"/>
            <w:hideMark/>
          </w:tcPr>
          <w:p w14:paraId="679082F3" w14:textId="05DFBD80" w:rsidR="000204AD" w:rsidRPr="00471CBA" w:rsidRDefault="000204AD" w:rsidP="000204AD">
            <w:pPr>
              <w:ind w:hanging="84"/>
              <w:jc w:val="right"/>
              <w:rPr>
                <w:color w:val="000000"/>
                <w:szCs w:val="20"/>
                <w:lang w:eastAsia="tr-TR"/>
              </w:rPr>
            </w:pPr>
            <w:r w:rsidRPr="00471CBA">
              <w:rPr>
                <w:b/>
                <w:bCs/>
                <w:color w:val="000000"/>
                <w:szCs w:val="20"/>
                <w:lang w:eastAsia="tr-TR"/>
              </w:rPr>
              <w:t>-</w:t>
            </w:r>
          </w:p>
        </w:tc>
      </w:tr>
      <w:tr w:rsidR="000204AD" w:rsidRPr="00471CBA" w14:paraId="492957C1" w14:textId="77777777" w:rsidTr="00C43917">
        <w:trPr>
          <w:trHeight w:val="227"/>
        </w:trPr>
        <w:tc>
          <w:tcPr>
            <w:tcW w:w="7153" w:type="dxa"/>
            <w:tcBorders>
              <w:top w:val="nil"/>
              <w:left w:val="nil"/>
              <w:right w:val="nil"/>
            </w:tcBorders>
            <w:vAlign w:val="center"/>
            <w:hideMark/>
          </w:tcPr>
          <w:p w14:paraId="4F3C1FFF" w14:textId="77777777" w:rsidR="000204AD" w:rsidRPr="00471CBA" w:rsidRDefault="000204AD" w:rsidP="000204AD">
            <w:pPr>
              <w:ind w:firstLineChars="100" w:firstLine="200"/>
              <w:rPr>
                <w:color w:val="000000"/>
                <w:szCs w:val="20"/>
                <w:lang w:eastAsia="tr-TR"/>
              </w:rPr>
            </w:pPr>
            <w:r w:rsidRPr="00471CBA">
              <w:rPr>
                <w:color w:val="000000"/>
                <w:szCs w:val="20"/>
                <w:lang w:eastAsia="tr-TR"/>
              </w:rPr>
              <w:t xml:space="preserve">Bağlı Ortaklıklar </w:t>
            </w:r>
          </w:p>
        </w:tc>
        <w:tc>
          <w:tcPr>
            <w:tcW w:w="2226" w:type="dxa"/>
            <w:tcBorders>
              <w:top w:val="nil"/>
              <w:left w:val="nil"/>
              <w:right w:val="nil"/>
            </w:tcBorders>
            <w:noWrap/>
            <w:vAlign w:val="bottom"/>
            <w:hideMark/>
          </w:tcPr>
          <w:p w14:paraId="50A4464A" w14:textId="73757937" w:rsidR="000204AD" w:rsidRPr="00471CBA" w:rsidRDefault="000204AD" w:rsidP="000204AD">
            <w:pPr>
              <w:ind w:hanging="84"/>
              <w:jc w:val="right"/>
              <w:rPr>
                <w:color w:val="000000"/>
                <w:szCs w:val="20"/>
                <w:lang w:eastAsia="tr-TR"/>
              </w:rPr>
            </w:pPr>
            <w:r w:rsidRPr="00471CBA">
              <w:rPr>
                <w:b/>
                <w:bCs/>
                <w:color w:val="000000"/>
                <w:szCs w:val="20"/>
                <w:lang w:eastAsia="tr-TR"/>
              </w:rPr>
              <w:t>-</w:t>
            </w:r>
          </w:p>
        </w:tc>
      </w:tr>
      <w:tr w:rsidR="000204AD" w:rsidRPr="00471CBA" w14:paraId="21BE7A5C" w14:textId="77777777" w:rsidTr="00C43917">
        <w:trPr>
          <w:trHeight w:val="227"/>
        </w:trPr>
        <w:tc>
          <w:tcPr>
            <w:tcW w:w="7153" w:type="dxa"/>
            <w:tcBorders>
              <w:top w:val="nil"/>
              <w:left w:val="nil"/>
              <w:bottom w:val="single" w:sz="4" w:space="0" w:color="auto"/>
              <w:right w:val="nil"/>
            </w:tcBorders>
            <w:vAlign w:val="center"/>
            <w:hideMark/>
          </w:tcPr>
          <w:p w14:paraId="52185CE8" w14:textId="77777777" w:rsidR="000204AD" w:rsidRPr="00471CBA" w:rsidRDefault="000204AD" w:rsidP="000204AD">
            <w:pPr>
              <w:ind w:firstLineChars="100" w:firstLine="200"/>
              <w:rPr>
                <w:color w:val="000000"/>
                <w:szCs w:val="20"/>
                <w:lang w:eastAsia="tr-TR"/>
              </w:rPr>
            </w:pPr>
            <w:r w:rsidRPr="00471CBA">
              <w:rPr>
                <w:color w:val="000000"/>
                <w:szCs w:val="20"/>
                <w:lang w:eastAsia="tr-TR"/>
              </w:rPr>
              <w:t xml:space="preserve">Birlikte Kontrol Edilen Ortaklıklar  </w:t>
            </w:r>
          </w:p>
        </w:tc>
        <w:tc>
          <w:tcPr>
            <w:tcW w:w="2226" w:type="dxa"/>
            <w:tcBorders>
              <w:top w:val="nil"/>
              <w:left w:val="nil"/>
              <w:bottom w:val="single" w:sz="4" w:space="0" w:color="auto"/>
              <w:right w:val="nil"/>
            </w:tcBorders>
            <w:noWrap/>
            <w:vAlign w:val="bottom"/>
            <w:hideMark/>
          </w:tcPr>
          <w:p w14:paraId="0BB1094D" w14:textId="7CB82924" w:rsidR="000204AD" w:rsidRPr="00471CBA" w:rsidRDefault="000204AD" w:rsidP="000204AD">
            <w:pPr>
              <w:ind w:hanging="84"/>
              <w:jc w:val="right"/>
              <w:rPr>
                <w:color w:val="000000"/>
                <w:szCs w:val="20"/>
                <w:lang w:eastAsia="tr-TR"/>
              </w:rPr>
            </w:pPr>
            <w:r w:rsidRPr="00471CBA">
              <w:rPr>
                <w:b/>
                <w:bCs/>
                <w:color w:val="000000"/>
                <w:szCs w:val="20"/>
                <w:lang w:eastAsia="tr-TR"/>
              </w:rPr>
              <w:t>-</w:t>
            </w:r>
          </w:p>
        </w:tc>
      </w:tr>
      <w:tr w:rsidR="00493720" w:rsidRPr="00471CBA" w14:paraId="5C850A44" w14:textId="77777777" w:rsidTr="00C43917">
        <w:trPr>
          <w:trHeight w:val="227"/>
        </w:trPr>
        <w:tc>
          <w:tcPr>
            <w:tcW w:w="7153" w:type="dxa"/>
            <w:tcBorders>
              <w:top w:val="single" w:sz="4" w:space="0" w:color="auto"/>
              <w:left w:val="nil"/>
              <w:right w:val="nil"/>
            </w:tcBorders>
            <w:vAlign w:val="center"/>
          </w:tcPr>
          <w:p w14:paraId="19C75041" w14:textId="77777777" w:rsidR="00493720" w:rsidRPr="00471CBA" w:rsidRDefault="00493720" w:rsidP="00493720">
            <w:pPr>
              <w:ind w:firstLineChars="100" w:firstLine="200"/>
              <w:rPr>
                <w:color w:val="000000"/>
                <w:szCs w:val="20"/>
                <w:lang w:eastAsia="tr-TR"/>
              </w:rPr>
            </w:pPr>
          </w:p>
        </w:tc>
        <w:tc>
          <w:tcPr>
            <w:tcW w:w="2226" w:type="dxa"/>
            <w:tcBorders>
              <w:top w:val="single" w:sz="4" w:space="0" w:color="auto"/>
              <w:left w:val="nil"/>
              <w:right w:val="nil"/>
            </w:tcBorders>
            <w:noWrap/>
            <w:vAlign w:val="bottom"/>
          </w:tcPr>
          <w:p w14:paraId="0E5E8E48" w14:textId="77777777" w:rsidR="00493720" w:rsidRPr="00471CBA" w:rsidRDefault="00493720" w:rsidP="000204AD">
            <w:pPr>
              <w:ind w:hanging="84"/>
              <w:jc w:val="right"/>
              <w:rPr>
                <w:color w:val="000000"/>
                <w:szCs w:val="20"/>
                <w:lang w:eastAsia="tr-TR"/>
              </w:rPr>
            </w:pPr>
          </w:p>
        </w:tc>
      </w:tr>
      <w:tr w:rsidR="00493720" w:rsidRPr="00471CBA" w14:paraId="5F276EAD" w14:textId="77777777" w:rsidTr="00C43917">
        <w:trPr>
          <w:trHeight w:val="227"/>
        </w:trPr>
        <w:tc>
          <w:tcPr>
            <w:tcW w:w="7153" w:type="dxa"/>
            <w:tcBorders>
              <w:top w:val="nil"/>
              <w:left w:val="nil"/>
              <w:bottom w:val="single" w:sz="4" w:space="0" w:color="auto"/>
              <w:right w:val="nil"/>
            </w:tcBorders>
            <w:vAlign w:val="center"/>
          </w:tcPr>
          <w:p w14:paraId="4660046B" w14:textId="4212AEC8" w:rsidR="00493720" w:rsidRPr="00471CBA" w:rsidRDefault="00493720" w:rsidP="00493720">
            <w:pPr>
              <w:rPr>
                <w:b/>
                <w:bCs/>
                <w:color w:val="000000"/>
                <w:szCs w:val="20"/>
                <w:lang w:eastAsia="tr-TR"/>
              </w:rPr>
            </w:pPr>
            <w:r w:rsidRPr="00471CBA">
              <w:rPr>
                <w:b/>
                <w:bCs/>
                <w:color w:val="000000"/>
                <w:szCs w:val="20"/>
                <w:lang w:eastAsia="tr-TR"/>
              </w:rPr>
              <w:t>Toplam</w:t>
            </w:r>
          </w:p>
        </w:tc>
        <w:tc>
          <w:tcPr>
            <w:tcW w:w="2226" w:type="dxa"/>
            <w:tcBorders>
              <w:top w:val="nil"/>
              <w:left w:val="nil"/>
              <w:bottom w:val="single" w:sz="4" w:space="0" w:color="auto"/>
              <w:right w:val="nil"/>
            </w:tcBorders>
            <w:noWrap/>
            <w:vAlign w:val="bottom"/>
          </w:tcPr>
          <w:p w14:paraId="6C965AD4" w14:textId="40AD579E" w:rsidR="00493720" w:rsidRPr="00471CBA" w:rsidRDefault="000204AD" w:rsidP="000204AD">
            <w:pPr>
              <w:ind w:hanging="84"/>
              <w:jc w:val="right"/>
              <w:rPr>
                <w:b/>
                <w:bCs/>
                <w:color w:val="000000"/>
                <w:szCs w:val="20"/>
                <w:lang w:eastAsia="tr-TR"/>
              </w:rPr>
            </w:pPr>
            <w:r w:rsidRPr="00471CBA">
              <w:rPr>
                <w:b/>
                <w:bCs/>
                <w:color w:val="000000"/>
                <w:szCs w:val="20"/>
                <w:lang w:eastAsia="tr-TR"/>
              </w:rPr>
              <w:t>672.422</w:t>
            </w:r>
          </w:p>
        </w:tc>
      </w:tr>
      <w:bookmarkEnd w:id="153"/>
    </w:tbl>
    <w:p w14:paraId="09D74FCA" w14:textId="4A01F810" w:rsidR="00493720" w:rsidRPr="00471CBA" w:rsidRDefault="00493720" w:rsidP="00493720"/>
    <w:p w14:paraId="2DEC50AA" w14:textId="77777777" w:rsidR="001D7D42" w:rsidRPr="00471CBA" w:rsidRDefault="001D7D42" w:rsidP="001D7D42">
      <w:bookmarkStart w:id="154" w:name="_Hlk213957754"/>
      <w:r w:rsidRPr="00471CBA">
        <w:t>Diğer karşılık giderlerine ilişkin bilgiler</w:t>
      </w:r>
    </w:p>
    <w:p w14:paraId="5DDF646B" w14:textId="77777777" w:rsidR="001D7D42" w:rsidRPr="00471CBA" w:rsidRDefault="001D7D42" w:rsidP="001D7D42"/>
    <w:tbl>
      <w:tblPr>
        <w:tblW w:w="5000" w:type="pct"/>
        <w:tblCellMar>
          <w:left w:w="70" w:type="dxa"/>
          <w:right w:w="70" w:type="dxa"/>
        </w:tblCellMar>
        <w:tblLook w:val="04A0" w:firstRow="1" w:lastRow="0" w:firstColumn="1" w:lastColumn="0" w:noHBand="0" w:noVBand="1"/>
      </w:tblPr>
      <w:tblGrid>
        <w:gridCol w:w="7153"/>
        <w:gridCol w:w="2202"/>
      </w:tblGrid>
      <w:tr w:rsidR="001D7D42" w:rsidRPr="00471CBA" w14:paraId="18BC27D2" w14:textId="77777777" w:rsidTr="00C43917">
        <w:trPr>
          <w:trHeight w:val="227"/>
        </w:trPr>
        <w:tc>
          <w:tcPr>
            <w:tcW w:w="3823" w:type="pct"/>
            <w:tcBorders>
              <w:top w:val="nil"/>
              <w:left w:val="nil"/>
              <w:bottom w:val="nil"/>
              <w:right w:val="nil"/>
            </w:tcBorders>
            <w:noWrap/>
            <w:vAlign w:val="bottom"/>
            <w:hideMark/>
          </w:tcPr>
          <w:p w14:paraId="5E1C54D4" w14:textId="77777777" w:rsidR="001D7D42" w:rsidRPr="00471CBA" w:rsidRDefault="001D7D42" w:rsidP="0024048D">
            <w:pPr>
              <w:rPr>
                <w:b/>
                <w:bCs/>
                <w:szCs w:val="20"/>
                <w:lang w:eastAsia="tr-TR"/>
              </w:rPr>
            </w:pPr>
            <w:bookmarkStart w:id="155" w:name="_Hlk222993447"/>
          </w:p>
        </w:tc>
        <w:tc>
          <w:tcPr>
            <w:tcW w:w="1177" w:type="pct"/>
            <w:tcBorders>
              <w:top w:val="nil"/>
              <w:left w:val="nil"/>
              <w:bottom w:val="single" w:sz="4" w:space="0" w:color="auto"/>
              <w:right w:val="nil"/>
            </w:tcBorders>
            <w:noWrap/>
            <w:vAlign w:val="bottom"/>
            <w:hideMark/>
          </w:tcPr>
          <w:p w14:paraId="7FEF41CC" w14:textId="0D6CABDB" w:rsidR="001D7D42" w:rsidRPr="00471CBA" w:rsidRDefault="001D7D42" w:rsidP="0024048D">
            <w:pPr>
              <w:jc w:val="right"/>
              <w:rPr>
                <w:b/>
                <w:bCs/>
                <w:color w:val="000000"/>
                <w:szCs w:val="20"/>
                <w:lang w:eastAsia="tr-TR"/>
              </w:rPr>
            </w:pPr>
            <w:r w:rsidRPr="00471CBA">
              <w:rPr>
                <w:b/>
                <w:bCs/>
                <w:color w:val="000000"/>
                <w:szCs w:val="20"/>
                <w:lang w:eastAsia="tr-TR"/>
              </w:rPr>
              <w:t xml:space="preserve">1 Ocak </w:t>
            </w:r>
            <w:r w:rsidR="000204AD" w:rsidRPr="00471CBA">
              <w:rPr>
                <w:b/>
                <w:bCs/>
                <w:color w:val="000000"/>
                <w:szCs w:val="20"/>
                <w:lang w:eastAsia="tr-TR"/>
              </w:rPr>
              <w:t>–</w:t>
            </w:r>
            <w:r w:rsidRPr="00471CBA">
              <w:rPr>
                <w:b/>
                <w:bCs/>
                <w:color w:val="000000"/>
                <w:szCs w:val="20"/>
                <w:lang w:eastAsia="tr-TR"/>
              </w:rPr>
              <w:t xml:space="preserve"> </w:t>
            </w:r>
            <w:r w:rsidR="000204AD" w:rsidRPr="00471CBA">
              <w:rPr>
                <w:b/>
                <w:bCs/>
                <w:color w:val="000000"/>
                <w:szCs w:val="20"/>
                <w:lang w:eastAsia="tr-TR"/>
              </w:rPr>
              <w:t>31 Aralık</w:t>
            </w:r>
            <w:r w:rsidRPr="00471CBA">
              <w:rPr>
                <w:b/>
                <w:bCs/>
                <w:color w:val="000000"/>
                <w:szCs w:val="20"/>
                <w:lang w:eastAsia="tr-TR"/>
              </w:rPr>
              <w:t xml:space="preserve"> 2025</w:t>
            </w:r>
          </w:p>
        </w:tc>
      </w:tr>
      <w:tr w:rsidR="001D7D42" w:rsidRPr="00471CBA" w14:paraId="3A37BDC7" w14:textId="77777777" w:rsidTr="00C43917">
        <w:trPr>
          <w:trHeight w:val="227"/>
        </w:trPr>
        <w:tc>
          <w:tcPr>
            <w:tcW w:w="3823" w:type="pct"/>
            <w:tcBorders>
              <w:top w:val="nil"/>
              <w:left w:val="nil"/>
              <w:right w:val="nil"/>
            </w:tcBorders>
            <w:noWrap/>
            <w:vAlign w:val="bottom"/>
            <w:hideMark/>
          </w:tcPr>
          <w:p w14:paraId="05506EBF" w14:textId="77777777" w:rsidR="001D7D42" w:rsidRPr="00471CBA" w:rsidRDefault="001D7D42" w:rsidP="0024048D">
            <w:pPr>
              <w:rPr>
                <w:color w:val="000000"/>
                <w:szCs w:val="20"/>
                <w:lang w:eastAsia="tr-TR"/>
              </w:rPr>
            </w:pPr>
            <w:r w:rsidRPr="00471CBA">
              <w:rPr>
                <w:color w:val="000000"/>
                <w:szCs w:val="20"/>
                <w:lang w:eastAsia="tr-TR"/>
              </w:rPr>
              <w:t> </w:t>
            </w:r>
          </w:p>
        </w:tc>
        <w:tc>
          <w:tcPr>
            <w:tcW w:w="1177" w:type="pct"/>
            <w:tcBorders>
              <w:top w:val="nil"/>
              <w:left w:val="nil"/>
              <w:right w:val="nil"/>
            </w:tcBorders>
            <w:noWrap/>
            <w:vAlign w:val="bottom"/>
            <w:hideMark/>
          </w:tcPr>
          <w:p w14:paraId="79B5457D" w14:textId="77777777" w:rsidR="001D7D42" w:rsidRPr="00471CBA" w:rsidRDefault="001D7D42" w:rsidP="0024048D">
            <w:pPr>
              <w:jc w:val="right"/>
              <w:rPr>
                <w:color w:val="000000"/>
                <w:szCs w:val="20"/>
                <w:lang w:eastAsia="tr-TR"/>
              </w:rPr>
            </w:pPr>
            <w:r w:rsidRPr="00471CBA">
              <w:rPr>
                <w:color w:val="000000"/>
                <w:szCs w:val="20"/>
                <w:lang w:eastAsia="tr-TR"/>
              </w:rPr>
              <w:t> </w:t>
            </w:r>
          </w:p>
        </w:tc>
      </w:tr>
      <w:tr w:rsidR="009B3BD7" w:rsidRPr="00471CBA" w14:paraId="69FB9B25" w14:textId="77777777" w:rsidTr="00C14662">
        <w:trPr>
          <w:trHeight w:val="227"/>
        </w:trPr>
        <w:tc>
          <w:tcPr>
            <w:tcW w:w="3823" w:type="pct"/>
            <w:tcBorders>
              <w:top w:val="nil"/>
              <w:left w:val="nil"/>
              <w:right w:val="nil"/>
            </w:tcBorders>
            <w:noWrap/>
            <w:vAlign w:val="bottom"/>
          </w:tcPr>
          <w:p w14:paraId="34486190" w14:textId="6599A14F" w:rsidR="009B3BD7" w:rsidRPr="00471CBA" w:rsidRDefault="009B3BD7" w:rsidP="009B3BD7">
            <w:pPr>
              <w:rPr>
                <w:color w:val="000000"/>
                <w:szCs w:val="20"/>
                <w:lang w:eastAsia="tr-TR"/>
              </w:rPr>
            </w:pPr>
            <w:r w:rsidRPr="00471CBA">
              <w:rPr>
                <w:color w:val="000000"/>
                <w:szCs w:val="20"/>
                <w:lang w:eastAsia="tr-TR"/>
              </w:rPr>
              <w:t>Prim karşılığı gideri</w:t>
            </w:r>
          </w:p>
        </w:tc>
        <w:tc>
          <w:tcPr>
            <w:tcW w:w="1177" w:type="pct"/>
            <w:tcBorders>
              <w:top w:val="nil"/>
              <w:left w:val="nil"/>
              <w:right w:val="nil"/>
            </w:tcBorders>
            <w:noWrap/>
          </w:tcPr>
          <w:p w14:paraId="57D38E01" w14:textId="6723E745" w:rsidR="009B3BD7" w:rsidRPr="00471CBA" w:rsidRDefault="009B3BD7" w:rsidP="009B3BD7">
            <w:pPr>
              <w:jc w:val="right"/>
              <w:rPr>
                <w:color w:val="000000"/>
                <w:szCs w:val="20"/>
                <w:lang w:eastAsia="tr-TR"/>
              </w:rPr>
            </w:pPr>
            <w:r w:rsidRPr="00471CBA">
              <w:t>250.000</w:t>
            </w:r>
          </w:p>
        </w:tc>
      </w:tr>
      <w:tr w:rsidR="009B3BD7" w:rsidRPr="00471CBA" w14:paraId="73C64468" w14:textId="77777777" w:rsidTr="00C43917">
        <w:trPr>
          <w:trHeight w:val="227"/>
        </w:trPr>
        <w:tc>
          <w:tcPr>
            <w:tcW w:w="3823" w:type="pct"/>
            <w:tcBorders>
              <w:left w:val="nil"/>
              <w:bottom w:val="nil"/>
              <w:right w:val="nil"/>
            </w:tcBorders>
            <w:noWrap/>
            <w:vAlign w:val="bottom"/>
            <w:hideMark/>
          </w:tcPr>
          <w:p w14:paraId="07784E64" w14:textId="77777777" w:rsidR="009B3BD7" w:rsidRPr="00471CBA" w:rsidRDefault="009B3BD7" w:rsidP="009B3BD7">
            <w:pPr>
              <w:rPr>
                <w:color w:val="000000"/>
                <w:szCs w:val="20"/>
                <w:lang w:eastAsia="tr-TR"/>
              </w:rPr>
            </w:pPr>
            <w:r w:rsidRPr="00471CBA">
              <w:rPr>
                <w:color w:val="000000"/>
                <w:szCs w:val="20"/>
                <w:lang w:eastAsia="tr-TR"/>
              </w:rPr>
              <w:t>İzin ücretleri karşılık giderleri</w:t>
            </w:r>
          </w:p>
        </w:tc>
        <w:tc>
          <w:tcPr>
            <w:tcW w:w="1177" w:type="pct"/>
            <w:tcBorders>
              <w:left w:val="nil"/>
              <w:bottom w:val="nil"/>
              <w:right w:val="nil"/>
            </w:tcBorders>
            <w:noWrap/>
            <w:hideMark/>
          </w:tcPr>
          <w:p w14:paraId="2D6416AA" w14:textId="3D515898" w:rsidR="009B3BD7" w:rsidRPr="00471CBA" w:rsidRDefault="009B3BD7" w:rsidP="009B3BD7">
            <w:pPr>
              <w:jc w:val="right"/>
              <w:rPr>
                <w:color w:val="000000"/>
                <w:szCs w:val="20"/>
                <w:lang w:eastAsia="tr-TR"/>
              </w:rPr>
            </w:pPr>
            <w:r w:rsidRPr="00471CBA">
              <w:t>33.307</w:t>
            </w:r>
          </w:p>
        </w:tc>
      </w:tr>
      <w:tr w:rsidR="000204AD" w:rsidRPr="00471CBA" w14:paraId="1D0B6048" w14:textId="77777777" w:rsidTr="00C43917">
        <w:trPr>
          <w:trHeight w:val="227"/>
        </w:trPr>
        <w:tc>
          <w:tcPr>
            <w:tcW w:w="3823" w:type="pct"/>
            <w:tcBorders>
              <w:top w:val="nil"/>
              <w:left w:val="nil"/>
              <w:bottom w:val="nil"/>
              <w:right w:val="nil"/>
            </w:tcBorders>
            <w:noWrap/>
            <w:vAlign w:val="bottom"/>
            <w:hideMark/>
          </w:tcPr>
          <w:p w14:paraId="27B3981B" w14:textId="1119D3F0" w:rsidR="000204AD" w:rsidRPr="00471CBA" w:rsidRDefault="009B3BD7" w:rsidP="000204AD">
            <w:pPr>
              <w:rPr>
                <w:color w:val="000000"/>
                <w:szCs w:val="20"/>
                <w:lang w:eastAsia="tr-TR"/>
              </w:rPr>
            </w:pPr>
            <w:r w:rsidRPr="00471CBA">
              <w:rPr>
                <w:color w:val="000000"/>
                <w:szCs w:val="20"/>
                <w:lang w:eastAsia="tr-TR"/>
              </w:rPr>
              <w:t>Katılma hesabına dağıtılacak karlardan ayrılan tutarların iptali</w:t>
            </w:r>
          </w:p>
        </w:tc>
        <w:tc>
          <w:tcPr>
            <w:tcW w:w="1177" w:type="pct"/>
            <w:tcBorders>
              <w:top w:val="nil"/>
              <w:left w:val="nil"/>
              <w:bottom w:val="nil"/>
              <w:right w:val="nil"/>
            </w:tcBorders>
            <w:noWrap/>
            <w:hideMark/>
          </w:tcPr>
          <w:p w14:paraId="2FDF1A94" w14:textId="0E2042BF" w:rsidR="000204AD" w:rsidRPr="00471CBA" w:rsidRDefault="000204AD" w:rsidP="000204AD">
            <w:pPr>
              <w:jc w:val="right"/>
              <w:rPr>
                <w:color w:val="000000"/>
                <w:szCs w:val="20"/>
                <w:lang w:eastAsia="tr-TR"/>
              </w:rPr>
            </w:pPr>
            <w:r w:rsidRPr="00471CBA">
              <w:t>100.271</w:t>
            </w:r>
          </w:p>
        </w:tc>
      </w:tr>
      <w:tr w:rsidR="000204AD" w:rsidRPr="00471CBA" w14:paraId="0266CF19" w14:textId="77777777" w:rsidTr="00C43917">
        <w:trPr>
          <w:trHeight w:val="227"/>
        </w:trPr>
        <w:tc>
          <w:tcPr>
            <w:tcW w:w="3823" w:type="pct"/>
            <w:tcBorders>
              <w:top w:val="nil"/>
              <w:left w:val="nil"/>
              <w:bottom w:val="nil"/>
              <w:right w:val="nil"/>
            </w:tcBorders>
            <w:noWrap/>
            <w:vAlign w:val="bottom"/>
            <w:hideMark/>
          </w:tcPr>
          <w:p w14:paraId="58796CB1" w14:textId="77777777" w:rsidR="000204AD" w:rsidRPr="00471CBA" w:rsidRDefault="000204AD" w:rsidP="000204AD">
            <w:pPr>
              <w:rPr>
                <w:color w:val="000000"/>
                <w:szCs w:val="20"/>
                <w:lang w:eastAsia="tr-TR"/>
              </w:rPr>
            </w:pPr>
          </w:p>
        </w:tc>
        <w:tc>
          <w:tcPr>
            <w:tcW w:w="1177" w:type="pct"/>
            <w:tcBorders>
              <w:top w:val="nil"/>
              <w:left w:val="nil"/>
              <w:bottom w:val="nil"/>
              <w:right w:val="nil"/>
            </w:tcBorders>
            <w:noWrap/>
            <w:hideMark/>
          </w:tcPr>
          <w:p w14:paraId="454BA787" w14:textId="77777777" w:rsidR="000204AD" w:rsidRPr="00471CBA" w:rsidRDefault="000204AD" w:rsidP="000204AD">
            <w:pPr>
              <w:jc w:val="right"/>
              <w:rPr>
                <w:szCs w:val="20"/>
                <w:lang w:eastAsia="tr-TR"/>
              </w:rPr>
            </w:pPr>
          </w:p>
        </w:tc>
      </w:tr>
      <w:tr w:rsidR="000204AD" w:rsidRPr="00471CBA" w14:paraId="04E13B2F" w14:textId="77777777" w:rsidTr="00C43917">
        <w:trPr>
          <w:trHeight w:val="227"/>
        </w:trPr>
        <w:tc>
          <w:tcPr>
            <w:tcW w:w="3823" w:type="pct"/>
            <w:tcBorders>
              <w:top w:val="single" w:sz="4" w:space="0" w:color="auto"/>
              <w:left w:val="nil"/>
              <w:bottom w:val="single" w:sz="8" w:space="0" w:color="auto"/>
              <w:right w:val="nil"/>
            </w:tcBorders>
            <w:noWrap/>
            <w:vAlign w:val="bottom"/>
            <w:hideMark/>
          </w:tcPr>
          <w:p w14:paraId="3D239885" w14:textId="77777777" w:rsidR="000204AD" w:rsidRPr="00471CBA" w:rsidRDefault="000204AD" w:rsidP="000204AD">
            <w:pPr>
              <w:rPr>
                <w:b/>
                <w:bCs/>
                <w:color w:val="000000"/>
                <w:szCs w:val="20"/>
                <w:lang w:eastAsia="tr-TR"/>
              </w:rPr>
            </w:pPr>
            <w:r w:rsidRPr="00471CBA">
              <w:rPr>
                <w:b/>
                <w:bCs/>
                <w:color w:val="000000"/>
                <w:szCs w:val="20"/>
                <w:lang w:eastAsia="tr-TR"/>
              </w:rPr>
              <w:t>Toplam</w:t>
            </w:r>
          </w:p>
        </w:tc>
        <w:tc>
          <w:tcPr>
            <w:tcW w:w="1177" w:type="pct"/>
            <w:tcBorders>
              <w:top w:val="single" w:sz="4" w:space="0" w:color="auto"/>
              <w:left w:val="nil"/>
              <w:bottom w:val="single" w:sz="8" w:space="0" w:color="auto"/>
              <w:right w:val="nil"/>
            </w:tcBorders>
            <w:noWrap/>
            <w:hideMark/>
          </w:tcPr>
          <w:p w14:paraId="199F0721" w14:textId="4098B566" w:rsidR="000204AD" w:rsidRPr="00471CBA" w:rsidRDefault="000204AD" w:rsidP="000204AD">
            <w:pPr>
              <w:jc w:val="right"/>
              <w:rPr>
                <w:b/>
                <w:bCs/>
                <w:color w:val="000000"/>
                <w:szCs w:val="20"/>
                <w:lang w:eastAsia="tr-TR"/>
              </w:rPr>
            </w:pPr>
            <w:r w:rsidRPr="00471CBA">
              <w:rPr>
                <w:b/>
                <w:bCs/>
              </w:rPr>
              <w:t>383.578</w:t>
            </w:r>
          </w:p>
        </w:tc>
      </w:tr>
      <w:bookmarkEnd w:id="154"/>
      <w:bookmarkEnd w:id="155"/>
    </w:tbl>
    <w:p w14:paraId="0346AEAF" w14:textId="7AC5AD27" w:rsidR="006025D3" w:rsidRDefault="006025D3" w:rsidP="00493720"/>
    <w:p w14:paraId="0C909FFE" w14:textId="77777777" w:rsidR="006025D3" w:rsidRDefault="006025D3">
      <w:r>
        <w:br w:type="page"/>
      </w:r>
    </w:p>
    <w:p w14:paraId="4776DCB3" w14:textId="77777777" w:rsidR="006025D3" w:rsidRPr="00471CBA" w:rsidRDefault="006025D3" w:rsidP="006025D3">
      <w:pPr>
        <w:widowControl w:val="0"/>
        <w:ind w:left="720" w:hanging="720"/>
        <w:jc w:val="both"/>
        <w:rPr>
          <w:b/>
          <w:szCs w:val="20"/>
        </w:rPr>
      </w:pPr>
      <w:r w:rsidRPr="00471CBA">
        <w:rPr>
          <w:b/>
          <w:szCs w:val="20"/>
        </w:rPr>
        <w:t>KONSOLİDE OLMAYAN FİNANSAL TABLOLARA İLİŞKİN AÇIKLAMA VE DİPNOTLAR (Devamı)</w:t>
      </w:r>
    </w:p>
    <w:p w14:paraId="35FDA54E" w14:textId="77777777" w:rsidR="006025D3" w:rsidRPr="00471CBA" w:rsidRDefault="006025D3" w:rsidP="006025D3">
      <w:pPr>
        <w:widowControl w:val="0"/>
        <w:autoSpaceDE w:val="0"/>
        <w:autoSpaceDN w:val="0"/>
        <w:adjustRightInd w:val="0"/>
        <w:ind w:left="14" w:right="210"/>
        <w:jc w:val="both"/>
        <w:rPr>
          <w:szCs w:val="20"/>
        </w:rPr>
      </w:pPr>
    </w:p>
    <w:p w14:paraId="0E360B24" w14:textId="77777777" w:rsidR="006025D3" w:rsidRPr="00471CBA" w:rsidRDefault="006025D3" w:rsidP="006025D3">
      <w:pPr>
        <w:pStyle w:val="GvdeMetniGirintisi"/>
        <w:widowControl w:val="0"/>
        <w:ind w:left="851" w:right="206" w:hanging="851"/>
        <w:rPr>
          <w:b/>
          <w:iCs/>
          <w:szCs w:val="20"/>
        </w:rPr>
      </w:pPr>
      <w:r>
        <w:rPr>
          <w:b/>
          <w:iCs/>
          <w:szCs w:val="20"/>
        </w:rPr>
        <w:t>IV.</w:t>
      </w:r>
      <w:r>
        <w:rPr>
          <w:b/>
          <w:iCs/>
          <w:szCs w:val="20"/>
        </w:rPr>
        <w:tab/>
      </w:r>
      <w:r w:rsidRPr="00471CBA">
        <w:rPr>
          <w:b/>
          <w:iCs/>
          <w:szCs w:val="20"/>
        </w:rPr>
        <w:t>KAR VEYA ZARAR TABLOSUNA İLİŞKİN AÇIKLAMA VE DİPNOTLAR (Devamı)</w:t>
      </w:r>
    </w:p>
    <w:p w14:paraId="425966B3" w14:textId="77777777" w:rsidR="001D7D42" w:rsidRPr="00471CBA" w:rsidRDefault="001D7D42" w:rsidP="00493720"/>
    <w:p w14:paraId="747DC6C9" w14:textId="49BB2D73" w:rsidR="00000466" w:rsidRPr="00471CBA" w:rsidRDefault="00000466" w:rsidP="008459A9">
      <w:pPr>
        <w:pStyle w:val="ListeParagraf"/>
        <w:widowControl w:val="0"/>
        <w:numPr>
          <w:ilvl w:val="1"/>
          <w:numId w:val="82"/>
        </w:numPr>
        <w:spacing w:line="211" w:lineRule="auto"/>
        <w:ind w:left="851" w:hanging="851"/>
        <w:jc w:val="both"/>
        <w:rPr>
          <w:b/>
          <w:szCs w:val="20"/>
        </w:rPr>
      </w:pPr>
      <w:r w:rsidRPr="00471CBA">
        <w:rPr>
          <w:b/>
          <w:szCs w:val="20"/>
        </w:rPr>
        <w:t>Banka’nın kredi ve diğer alacaklarına ilişkin değer düşüş karşılık giderleri</w:t>
      </w:r>
    </w:p>
    <w:p w14:paraId="183FF433" w14:textId="77777777" w:rsidR="00000466" w:rsidRPr="00471CBA" w:rsidRDefault="00000466" w:rsidP="00000466"/>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792"/>
        <w:gridCol w:w="2563"/>
      </w:tblGrid>
      <w:tr w:rsidR="0017148F" w:rsidRPr="00471CBA" w14:paraId="0C72CBE2" w14:textId="16CE716B" w:rsidTr="009713C0">
        <w:tc>
          <w:tcPr>
            <w:tcW w:w="3630" w:type="pct"/>
            <w:tcBorders>
              <w:top w:val="nil"/>
              <w:left w:val="nil"/>
              <w:bottom w:val="nil"/>
              <w:right w:val="nil"/>
            </w:tcBorders>
            <w:vAlign w:val="center"/>
          </w:tcPr>
          <w:p w14:paraId="688800A6" w14:textId="77777777" w:rsidR="0017148F" w:rsidRPr="00471CBA" w:rsidRDefault="0017148F" w:rsidP="00336F42">
            <w:pPr>
              <w:rPr>
                <w:color w:val="000000"/>
                <w:sz w:val="18"/>
                <w:szCs w:val="18"/>
                <w:lang w:eastAsia="tr-TR"/>
              </w:rPr>
            </w:pPr>
            <w:bookmarkStart w:id="156" w:name="_Hlk197092031"/>
          </w:p>
        </w:tc>
        <w:tc>
          <w:tcPr>
            <w:tcW w:w="1370" w:type="pct"/>
            <w:tcBorders>
              <w:top w:val="nil"/>
              <w:left w:val="nil"/>
              <w:bottom w:val="single" w:sz="4" w:space="0" w:color="auto"/>
              <w:right w:val="nil"/>
            </w:tcBorders>
            <w:vAlign w:val="bottom"/>
          </w:tcPr>
          <w:p w14:paraId="08E1C6F4" w14:textId="0015AA09" w:rsidR="0017148F" w:rsidRPr="00471CBA" w:rsidRDefault="000204AD" w:rsidP="0086455A">
            <w:pPr>
              <w:jc w:val="right"/>
              <w:rPr>
                <w:b/>
                <w:bCs/>
                <w:color w:val="000000"/>
                <w:sz w:val="18"/>
                <w:szCs w:val="18"/>
              </w:rPr>
            </w:pPr>
            <w:r w:rsidRPr="00471CBA">
              <w:rPr>
                <w:b/>
                <w:bCs/>
                <w:color w:val="000000"/>
                <w:sz w:val="18"/>
                <w:szCs w:val="18"/>
              </w:rPr>
              <w:t>1 Ocak - 31 Aralık 2024</w:t>
            </w:r>
          </w:p>
        </w:tc>
      </w:tr>
      <w:tr w:rsidR="0017148F" w:rsidRPr="00471CBA" w14:paraId="12C33222" w14:textId="589A3124" w:rsidTr="009713C0">
        <w:tc>
          <w:tcPr>
            <w:tcW w:w="3630" w:type="pct"/>
            <w:tcBorders>
              <w:top w:val="nil"/>
              <w:left w:val="nil"/>
              <w:bottom w:val="nil"/>
              <w:right w:val="nil"/>
            </w:tcBorders>
            <w:vAlign w:val="center"/>
          </w:tcPr>
          <w:p w14:paraId="2B045C31" w14:textId="77777777" w:rsidR="0017148F" w:rsidRPr="00471CBA" w:rsidRDefault="0017148F" w:rsidP="00336F42">
            <w:pPr>
              <w:rPr>
                <w:b/>
                <w:bCs/>
                <w:color w:val="000000"/>
                <w:sz w:val="18"/>
                <w:szCs w:val="18"/>
                <w:lang w:eastAsia="tr-TR"/>
              </w:rPr>
            </w:pPr>
          </w:p>
        </w:tc>
        <w:tc>
          <w:tcPr>
            <w:tcW w:w="1370" w:type="pct"/>
            <w:tcBorders>
              <w:top w:val="single" w:sz="4" w:space="0" w:color="auto"/>
              <w:left w:val="nil"/>
              <w:bottom w:val="nil"/>
              <w:right w:val="nil"/>
            </w:tcBorders>
            <w:vAlign w:val="bottom"/>
          </w:tcPr>
          <w:p w14:paraId="2E5C1C41" w14:textId="77777777" w:rsidR="0017148F" w:rsidRPr="00471CBA" w:rsidRDefault="0017148F" w:rsidP="0086455A">
            <w:pPr>
              <w:jc w:val="right"/>
              <w:rPr>
                <w:b/>
                <w:bCs/>
                <w:color w:val="000000"/>
                <w:sz w:val="18"/>
                <w:szCs w:val="18"/>
              </w:rPr>
            </w:pPr>
          </w:p>
        </w:tc>
      </w:tr>
      <w:tr w:rsidR="000204AD" w:rsidRPr="00471CBA" w14:paraId="0A09C086" w14:textId="1EB4ABDA" w:rsidTr="009713C0">
        <w:tc>
          <w:tcPr>
            <w:tcW w:w="3630" w:type="pct"/>
            <w:tcBorders>
              <w:top w:val="nil"/>
              <w:left w:val="nil"/>
              <w:bottom w:val="nil"/>
              <w:right w:val="nil"/>
            </w:tcBorders>
            <w:vAlign w:val="center"/>
            <w:hideMark/>
          </w:tcPr>
          <w:p w14:paraId="6566FDEB" w14:textId="77777777" w:rsidR="000204AD" w:rsidRPr="00471CBA" w:rsidRDefault="000204AD" w:rsidP="000204AD">
            <w:pPr>
              <w:rPr>
                <w:b/>
                <w:bCs/>
                <w:color w:val="000000"/>
                <w:sz w:val="18"/>
                <w:szCs w:val="18"/>
                <w:lang w:eastAsia="tr-TR"/>
              </w:rPr>
            </w:pPr>
            <w:r w:rsidRPr="00471CBA">
              <w:rPr>
                <w:b/>
                <w:bCs/>
                <w:color w:val="000000"/>
                <w:sz w:val="18"/>
                <w:szCs w:val="18"/>
                <w:lang w:eastAsia="tr-TR"/>
              </w:rPr>
              <w:t>Özel Karşılıklar</w:t>
            </w:r>
          </w:p>
        </w:tc>
        <w:tc>
          <w:tcPr>
            <w:tcW w:w="1370" w:type="pct"/>
            <w:tcBorders>
              <w:top w:val="nil"/>
              <w:left w:val="nil"/>
              <w:bottom w:val="nil"/>
              <w:right w:val="nil"/>
            </w:tcBorders>
          </w:tcPr>
          <w:p w14:paraId="1431938E" w14:textId="20D2B480" w:rsidR="000204AD" w:rsidRPr="00471CBA" w:rsidRDefault="000204AD" w:rsidP="000204AD">
            <w:pPr>
              <w:jc w:val="right"/>
              <w:rPr>
                <w:b/>
                <w:bCs/>
                <w:color w:val="000000"/>
                <w:sz w:val="18"/>
                <w:szCs w:val="18"/>
              </w:rPr>
            </w:pPr>
            <w:r w:rsidRPr="00471CBA">
              <w:rPr>
                <w:sz w:val="18"/>
                <w:szCs w:val="18"/>
              </w:rPr>
              <w:t>-</w:t>
            </w:r>
          </w:p>
        </w:tc>
      </w:tr>
      <w:tr w:rsidR="000204AD" w:rsidRPr="00471CBA" w14:paraId="4F71742A" w14:textId="4CF65B65" w:rsidTr="009713C0">
        <w:tc>
          <w:tcPr>
            <w:tcW w:w="3630" w:type="pct"/>
            <w:tcBorders>
              <w:top w:val="nil"/>
              <w:left w:val="nil"/>
              <w:bottom w:val="nil"/>
              <w:right w:val="nil"/>
            </w:tcBorders>
            <w:vAlign w:val="center"/>
            <w:hideMark/>
          </w:tcPr>
          <w:p w14:paraId="332B7EA4" w14:textId="77777777" w:rsidR="000204AD" w:rsidRPr="00471CBA" w:rsidRDefault="000204AD" w:rsidP="000204AD">
            <w:pPr>
              <w:ind w:firstLine="463"/>
              <w:rPr>
                <w:color w:val="000000"/>
                <w:sz w:val="18"/>
                <w:szCs w:val="18"/>
                <w:lang w:eastAsia="tr-TR"/>
              </w:rPr>
            </w:pPr>
            <w:r w:rsidRPr="00471CBA">
              <w:rPr>
                <w:color w:val="000000"/>
                <w:sz w:val="18"/>
                <w:szCs w:val="18"/>
                <w:lang w:eastAsia="tr-TR"/>
              </w:rPr>
              <w:t>Tahsil İmkânı Sınırlı Krediler İçin Ayrılanlar</w:t>
            </w:r>
          </w:p>
        </w:tc>
        <w:tc>
          <w:tcPr>
            <w:tcW w:w="1370" w:type="pct"/>
            <w:tcBorders>
              <w:top w:val="nil"/>
              <w:left w:val="nil"/>
              <w:bottom w:val="nil"/>
              <w:right w:val="nil"/>
            </w:tcBorders>
          </w:tcPr>
          <w:p w14:paraId="221CFCFF" w14:textId="56D2DC31" w:rsidR="000204AD" w:rsidRPr="00471CBA" w:rsidRDefault="000204AD" w:rsidP="000204AD">
            <w:pPr>
              <w:jc w:val="right"/>
              <w:rPr>
                <w:color w:val="000000"/>
                <w:sz w:val="18"/>
                <w:szCs w:val="18"/>
              </w:rPr>
            </w:pPr>
            <w:r w:rsidRPr="00471CBA">
              <w:rPr>
                <w:sz w:val="18"/>
                <w:szCs w:val="18"/>
              </w:rPr>
              <w:t>-</w:t>
            </w:r>
          </w:p>
        </w:tc>
      </w:tr>
      <w:tr w:rsidR="000204AD" w:rsidRPr="00471CBA" w14:paraId="7D1B30EA" w14:textId="4D228B2B" w:rsidTr="009713C0">
        <w:tc>
          <w:tcPr>
            <w:tcW w:w="3630" w:type="pct"/>
            <w:tcBorders>
              <w:top w:val="nil"/>
              <w:left w:val="nil"/>
              <w:bottom w:val="nil"/>
              <w:right w:val="nil"/>
            </w:tcBorders>
            <w:vAlign w:val="center"/>
            <w:hideMark/>
          </w:tcPr>
          <w:p w14:paraId="4E825AA1" w14:textId="77777777" w:rsidR="000204AD" w:rsidRPr="00471CBA" w:rsidRDefault="000204AD" w:rsidP="000204AD">
            <w:pPr>
              <w:ind w:firstLine="463"/>
              <w:rPr>
                <w:color w:val="000000"/>
                <w:sz w:val="18"/>
                <w:szCs w:val="18"/>
                <w:lang w:eastAsia="tr-TR"/>
              </w:rPr>
            </w:pPr>
            <w:r w:rsidRPr="00471CBA">
              <w:rPr>
                <w:color w:val="000000"/>
                <w:sz w:val="18"/>
                <w:szCs w:val="18"/>
                <w:lang w:eastAsia="tr-TR"/>
              </w:rPr>
              <w:t>Tahsili Şüpheli Krediler İçin Ayrılanlar</w:t>
            </w:r>
          </w:p>
        </w:tc>
        <w:tc>
          <w:tcPr>
            <w:tcW w:w="1370" w:type="pct"/>
            <w:tcBorders>
              <w:top w:val="nil"/>
              <w:left w:val="nil"/>
              <w:bottom w:val="nil"/>
              <w:right w:val="nil"/>
            </w:tcBorders>
          </w:tcPr>
          <w:p w14:paraId="4141C3DE" w14:textId="6D236998" w:rsidR="000204AD" w:rsidRPr="00471CBA" w:rsidRDefault="000204AD" w:rsidP="000204AD">
            <w:pPr>
              <w:jc w:val="right"/>
              <w:rPr>
                <w:color w:val="000000"/>
                <w:sz w:val="18"/>
                <w:szCs w:val="18"/>
              </w:rPr>
            </w:pPr>
            <w:r w:rsidRPr="00471CBA">
              <w:rPr>
                <w:sz w:val="18"/>
                <w:szCs w:val="18"/>
              </w:rPr>
              <w:t>-</w:t>
            </w:r>
          </w:p>
        </w:tc>
      </w:tr>
      <w:tr w:rsidR="000204AD" w:rsidRPr="00471CBA" w14:paraId="5D686F04" w14:textId="1303EDEC" w:rsidTr="009713C0">
        <w:tc>
          <w:tcPr>
            <w:tcW w:w="3630" w:type="pct"/>
            <w:tcBorders>
              <w:top w:val="nil"/>
              <w:left w:val="nil"/>
              <w:bottom w:val="nil"/>
              <w:right w:val="nil"/>
            </w:tcBorders>
            <w:vAlign w:val="center"/>
            <w:hideMark/>
          </w:tcPr>
          <w:p w14:paraId="1730809D" w14:textId="77777777" w:rsidR="000204AD" w:rsidRPr="00471CBA" w:rsidRDefault="000204AD" w:rsidP="000204AD">
            <w:pPr>
              <w:ind w:firstLine="463"/>
              <w:rPr>
                <w:color w:val="000000"/>
                <w:sz w:val="18"/>
                <w:szCs w:val="18"/>
                <w:lang w:eastAsia="tr-TR"/>
              </w:rPr>
            </w:pPr>
            <w:r w:rsidRPr="00471CBA">
              <w:rPr>
                <w:color w:val="000000"/>
                <w:sz w:val="18"/>
                <w:szCs w:val="18"/>
                <w:lang w:eastAsia="tr-TR"/>
              </w:rPr>
              <w:t>Zarar Niteliğindeki Krediler İçin Ayrılanlar</w:t>
            </w:r>
          </w:p>
        </w:tc>
        <w:tc>
          <w:tcPr>
            <w:tcW w:w="1370" w:type="pct"/>
            <w:tcBorders>
              <w:top w:val="nil"/>
              <w:left w:val="nil"/>
              <w:bottom w:val="nil"/>
              <w:right w:val="nil"/>
            </w:tcBorders>
          </w:tcPr>
          <w:p w14:paraId="18CB3B26" w14:textId="6DF0F6EB" w:rsidR="000204AD" w:rsidRPr="00471CBA" w:rsidRDefault="000204AD" w:rsidP="000204AD">
            <w:pPr>
              <w:jc w:val="right"/>
              <w:rPr>
                <w:color w:val="000000"/>
                <w:sz w:val="18"/>
                <w:szCs w:val="18"/>
              </w:rPr>
            </w:pPr>
            <w:r w:rsidRPr="00471CBA">
              <w:rPr>
                <w:sz w:val="18"/>
                <w:szCs w:val="18"/>
              </w:rPr>
              <w:t>-</w:t>
            </w:r>
          </w:p>
        </w:tc>
      </w:tr>
      <w:tr w:rsidR="000204AD" w:rsidRPr="00471CBA" w14:paraId="4049FC1D" w14:textId="47A8CE10" w:rsidTr="009713C0">
        <w:tc>
          <w:tcPr>
            <w:tcW w:w="3630" w:type="pct"/>
            <w:tcBorders>
              <w:top w:val="nil"/>
              <w:left w:val="nil"/>
              <w:bottom w:val="nil"/>
              <w:right w:val="nil"/>
            </w:tcBorders>
            <w:vAlign w:val="center"/>
            <w:hideMark/>
          </w:tcPr>
          <w:p w14:paraId="0A77D9ED" w14:textId="77777777" w:rsidR="000204AD" w:rsidRPr="00471CBA" w:rsidRDefault="000204AD" w:rsidP="000204AD">
            <w:pPr>
              <w:rPr>
                <w:b/>
                <w:bCs/>
                <w:color w:val="000000"/>
                <w:sz w:val="18"/>
                <w:szCs w:val="18"/>
                <w:lang w:eastAsia="tr-TR"/>
              </w:rPr>
            </w:pPr>
            <w:r w:rsidRPr="00471CBA">
              <w:rPr>
                <w:b/>
                <w:bCs/>
                <w:color w:val="000000"/>
                <w:sz w:val="18"/>
                <w:szCs w:val="18"/>
                <w:lang w:eastAsia="tr-TR"/>
              </w:rPr>
              <w:t>Genel Karşılıklar</w:t>
            </w:r>
          </w:p>
        </w:tc>
        <w:tc>
          <w:tcPr>
            <w:tcW w:w="1370" w:type="pct"/>
            <w:tcBorders>
              <w:top w:val="nil"/>
              <w:left w:val="nil"/>
              <w:bottom w:val="nil"/>
              <w:right w:val="nil"/>
            </w:tcBorders>
          </w:tcPr>
          <w:p w14:paraId="31F60A90" w14:textId="61925FD6" w:rsidR="000204AD" w:rsidRPr="00471CBA" w:rsidRDefault="000204AD" w:rsidP="000204AD">
            <w:pPr>
              <w:jc w:val="right"/>
              <w:rPr>
                <w:b/>
                <w:bCs/>
                <w:color w:val="000000"/>
                <w:sz w:val="18"/>
                <w:szCs w:val="18"/>
              </w:rPr>
            </w:pPr>
            <w:r w:rsidRPr="00471CBA">
              <w:rPr>
                <w:sz w:val="18"/>
                <w:szCs w:val="18"/>
              </w:rPr>
              <w:t>369.935</w:t>
            </w:r>
          </w:p>
        </w:tc>
      </w:tr>
      <w:tr w:rsidR="000204AD" w:rsidRPr="00471CBA" w14:paraId="6E801600" w14:textId="47000C7B" w:rsidTr="009713C0">
        <w:tc>
          <w:tcPr>
            <w:tcW w:w="3630" w:type="pct"/>
            <w:tcBorders>
              <w:top w:val="nil"/>
              <w:left w:val="nil"/>
              <w:bottom w:val="nil"/>
              <w:right w:val="nil"/>
            </w:tcBorders>
            <w:vAlign w:val="center"/>
            <w:hideMark/>
          </w:tcPr>
          <w:p w14:paraId="7159C830" w14:textId="77777777" w:rsidR="000204AD" w:rsidRPr="00471CBA" w:rsidRDefault="000204AD" w:rsidP="000204AD">
            <w:pPr>
              <w:rPr>
                <w:b/>
                <w:bCs/>
                <w:color w:val="000000"/>
                <w:sz w:val="18"/>
                <w:szCs w:val="18"/>
                <w:lang w:eastAsia="tr-TR"/>
              </w:rPr>
            </w:pPr>
            <w:bookmarkStart w:id="157" w:name="_Hlk210989077"/>
            <w:r w:rsidRPr="00471CBA">
              <w:rPr>
                <w:b/>
                <w:bCs/>
                <w:color w:val="000000"/>
                <w:sz w:val="18"/>
                <w:szCs w:val="18"/>
                <w:lang w:eastAsia="tr-TR"/>
              </w:rPr>
              <w:t>Menkul Değerler Değer Düşüş Karşılıkları</w:t>
            </w:r>
          </w:p>
        </w:tc>
        <w:tc>
          <w:tcPr>
            <w:tcW w:w="1370" w:type="pct"/>
            <w:tcBorders>
              <w:top w:val="nil"/>
              <w:left w:val="nil"/>
              <w:bottom w:val="nil"/>
              <w:right w:val="nil"/>
            </w:tcBorders>
          </w:tcPr>
          <w:p w14:paraId="67EBA02D" w14:textId="367F4C99" w:rsidR="000204AD" w:rsidRPr="00471CBA" w:rsidRDefault="000204AD" w:rsidP="000204AD">
            <w:pPr>
              <w:jc w:val="right"/>
              <w:rPr>
                <w:b/>
                <w:bCs/>
                <w:color w:val="000000"/>
                <w:sz w:val="18"/>
                <w:szCs w:val="18"/>
              </w:rPr>
            </w:pPr>
            <w:r w:rsidRPr="00471CBA">
              <w:rPr>
                <w:sz w:val="18"/>
                <w:szCs w:val="18"/>
              </w:rPr>
              <w:t>-</w:t>
            </w:r>
          </w:p>
        </w:tc>
      </w:tr>
      <w:bookmarkEnd w:id="157"/>
      <w:tr w:rsidR="000204AD" w:rsidRPr="00471CBA" w14:paraId="0A2040D4" w14:textId="556CC1DA" w:rsidTr="009713C0">
        <w:tc>
          <w:tcPr>
            <w:tcW w:w="3630" w:type="pct"/>
            <w:tcBorders>
              <w:top w:val="nil"/>
              <w:left w:val="nil"/>
              <w:bottom w:val="nil"/>
              <w:right w:val="nil"/>
            </w:tcBorders>
            <w:vAlign w:val="center"/>
            <w:hideMark/>
          </w:tcPr>
          <w:p w14:paraId="42D8DDE9" w14:textId="77777777" w:rsidR="000204AD" w:rsidRPr="00471CBA" w:rsidRDefault="000204AD" w:rsidP="000204AD">
            <w:pPr>
              <w:ind w:firstLine="484"/>
              <w:rPr>
                <w:color w:val="000000"/>
                <w:sz w:val="18"/>
                <w:szCs w:val="18"/>
                <w:lang w:eastAsia="tr-TR"/>
              </w:rPr>
            </w:pPr>
            <w:r w:rsidRPr="00471CBA">
              <w:rPr>
                <w:color w:val="000000"/>
                <w:sz w:val="18"/>
                <w:szCs w:val="18"/>
                <w:lang w:eastAsia="tr-TR"/>
              </w:rPr>
              <w:t>Gerçeğe Uygun Değer Farkı Kâr veya Zarara Yansıtılan Finansal Varlıklar</w:t>
            </w:r>
          </w:p>
        </w:tc>
        <w:tc>
          <w:tcPr>
            <w:tcW w:w="1370" w:type="pct"/>
            <w:tcBorders>
              <w:top w:val="nil"/>
              <w:left w:val="nil"/>
              <w:bottom w:val="nil"/>
              <w:right w:val="nil"/>
            </w:tcBorders>
          </w:tcPr>
          <w:p w14:paraId="4855AA6D" w14:textId="3E702685" w:rsidR="000204AD" w:rsidRPr="00471CBA" w:rsidRDefault="000204AD" w:rsidP="000204AD">
            <w:pPr>
              <w:jc w:val="right"/>
              <w:rPr>
                <w:color w:val="000000"/>
                <w:sz w:val="18"/>
                <w:szCs w:val="18"/>
              </w:rPr>
            </w:pPr>
            <w:r w:rsidRPr="00471CBA">
              <w:rPr>
                <w:sz w:val="18"/>
                <w:szCs w:val="18"/>
              </w:rPr>
              <w:t>-</w:t>
            </w:r>
          </w:p>
        </w:tc>
      </w:tr>
      <w:tr w:rsidR="000204AD" w:rsidRPr="00471CBA" w14:paraId="321AD678" w14:textId="1977F676" w:rsidTr="009713C0">
        <w:tc>
          <w:tcPr>
            <w:tcW w:w="3630" w:type="pct"/>
            <w:tcBorders>
              <w:top w:val="nil"/>
              <w:left w:val="nil"/>
              <w:bottom w:val="nil"/>
              <w:right w:val="nil"/>
            </w:tcBorders>
            <w:vAlign w:val="center"/>
            <w:hideMark/>
          </w:tcPr>
          <w:p w14:paraId="1263CB3A" w14:textId="77777777" w:rsidR="000204AD" w:rsidRPr="00471CBA" w:rsidRDefault="000204AD" w:rsidP="000204AD">
            <w:pPr>
              <w:ind w:firstLine="484"/>
              <w:rPr>
                <w:color w:val="000000"/>
                <w:sz w:val="18"/>
                <w:szCs w:val="18"/>
                <w:lang w:eastAsia="tr-TR"/>
              </w:rPr>
            </w:pPr>
            <w:r w:rsidRPr="00471CBA">
              <w:rPr>
                <w:color w:val="000000"/>
                <w:sz w:val="18"/>
                <w:szCs w:val="18"/>
                <w:lang w:eastAsia="tr-TR"/>
              </w:rPr>
              <w:t>Gerçeğe Uygun Değer Farkı Diğer Kapsamlı Gelire Yansıtılan Varlıklar</w:t>
            </w:r>
          </w:p>
        </w:tc>
        <w:tc>
          <w:tcPr>
            <w:tcW w:w="1370" w:type="pct"/>
            <w:tcBorders>
              <w:top w:val="nil"/>
              <w:left w:val="nil"/>
              <w:bottom w:val="nil"/>
              <w:right w:val="nil"/>
            </w:tcBorders>
          </w:tcPr>
          <w:p w14:paraId="2A36BEB2" w14:textId="008225CD" w:rsidR="000204AD" w:rsidRPr="00471CBA" w:rsidRDefault="000204AD" w:rsidP="000204AD">
            <w:pPr>
              <w:jc w:val="right"/>
              <w:rPr>
                <w:color w:val="000000"/>
                <w:sz w:val="18"/>
                <w:szCs w:val="18"/>
              </w:rPr>
            </w:pPr>
            <w:r w:rsidRPr="00471CBA">
              <w:rPr>
                <w:sz w:val="18"/>
                <w:szCs w:val="18"/>
              </w:rPr>
              <w:t>-</w:t>
            </w:r>
          </w:p>
        </w:tc>
      </w:tr>
      <w:tr w:rsidR="000204AD" w:rsidRPr="00471CBA" w14:paraId="36ABA044" w14:textId="113E847D" w:rsidTr="009713C0">
        <w:tc>
          <w:tcPr>
            <w:tcW w:w="3630" w:type="pct"/>
            <w:tcBorders>
              <w:top w:val="nil"/>
              <w:left w:val="nil"/>
              <w:bottom w:val="nil"/>
              <w:right w:val="nil"/>
            </w:tcBorders>
            <w:vAlign w:val="center"/>
            <w:hideMark/>
          </w:tcPr>
          <w:p w14:paraId="4AA298C1" w14:textId="77777777" w:rsidR="000204AD" w:rsidRPr="00471CBA" w:rsidRDefault="000204AD" w:rsidP="000204AD">
            <w:pPr>
              <w:rPr>
                <w:b/>
                <w:bCs/>
                <w:color w:val="000000"/>
                <w:sz w:val="18"/>
                <w:szCs w:val="18"/>
                <w:lang w:eastAsia="tr-TR"/>
              </w:rPr>
            </w:pPr>
            <w:r w:rsidRPr="00471CBA">
              <w:rPr>
                <w:b/>
                <w:bCs/>
                <w:color w:val="000000"/>
                <w:sz w:val="18"/>
                <w:szCs w:val="18"/>
                <w:lang w:eastAsia="tr-TR"/>
              </w:rPr>
              <w:t>İştirakler, Bağlı Ortaklıklar ve Birlikte Kontrol Edilen Ortaklıklar Değer Düşüş Karşılıkları</w:t>
            </w:r>
          </w:p>
        </w:tc>
        <w:tc>
          <w:tcPr>
            <w:tcW w:w="1370" w:type="pct"/>
            <w:tcBorders>
              <w:top w:val="nil"/>
              <w:left w:val="nil"/>
              <w:bottom w:val="nil"/>
              <w:right w:val="nil"/>
            </w:tcBorders>
          </w:tcPr>
          <w:p w14:paraId="266D7060" w14:textId="0264A770" w:rsidR="000204AD" w:rsidRPr="00471CBA" w:rsidRDefault="000204AD" w:rsidP="000204AD">
            <w:pPr>
              <w:jc w:val="right"/>
              <w:rPr>
                <w:b/>
                <w:bCs/>
                <w:color w:val="000000"/>
                <w:sz w:val="18"/>
                <w:szCs w:val="18"/>
              </w:rPr>
            </w:pPr>
            <w:r w:rsidRPr="00471CBA">
              <w:rPr>
                <w:sz w:val="18"/>
                <w:szCs w:val="18"/>
              </w:rPr>
              <w:t>-</w:t>
            </w:r>
          </w:p>
        </w:tc>
      </w:tr>
      <w:tr w:rsidR="000204AD" w:rsidRPr="00471CBA" w14:paraId="52F28546" w14:textId="4F7CD8DB" w:rsidTr="009713C0">
        <w:tc>
          <w:tcPr>
            <w:tcW w:w="3630" w:type="pct"/>
            <w:tcBorders>
              <w:top w:val="nil"/>
              <w:left w:val="nil"/>
              <w:bottom w:val="nil"/>
              <w:right w:val="nil"/>
            </w:tcBorders>
            <w:vAlign w:val="center"/>
            <w:hideMark/>
          </w:tcPr>
          <w:p w14:paraId="71301329" w14:textId="77777777" w:rsidR="000204AD" w:rsidRPr="00471CBA" w:rsidRDefault="000204AD" w:rsidP="000204AD">
            <w:pPr>
              <w:ind w:firstLine="484"/>
              <w:rPr>
                <w:color w:val="000000"/>
                <w:sz w:val="18"/>
                <w:szCs w:val="18"/>
                <w:lang w:eastAsia="tr-TR"/>
              </w:rPr>
            </w:pPr>
            <w:r w:rsidRPr="00471CBA">
              <w:rPr>
                <w:color w:val="000000"/>
                <w:sz w:val="18"/>
                <w:szCs w:val="18"/>
                <w:lang w:eastAsia="tr-TR"/>
              </w:rPr>
              <w:t>İştirakler</w:t>
            </w:r>
          </w:p>
        </w:tc>
        <w:tc>
          <w:tcPr>
            <w:tcW w:w="1370" w:type="pct"/>
            <w:tcBorders>
              <w:top w:val="nil"/>
              <w:left w:val="nil"/>
              <w:bottom w:val="nil"/>
              <w:right w:val="nil"/>
            </w:tcBorders>
          </w:tcPr>
          <w:p w14:paraId="03983C6D" w14:textId="1DB2E14F" w:rsidR="000204AD" w:rsidRPr="00471CBA" w:rsidRDefault="000204AD" w:rsidP="000204AD">
            <w:pPr>
              <w:jc w:val="right"/>
              <w:rPr>
                <w:color w:val="000000"/>
                <w:sz w:val="18"/>
                <w:szCs w:val="18"/>
              </w:rPr>
            </w:pPr>
            <w:r w:rsidRPr="00471CBA">
              <w:rPr>
                <w:sz w:val="18"/>
                <w:szCs w:val="18"/>
              </w:rPr>
              <w:t>-</w:t>
            </w:r>
          </w:p>
        </w:tc>
      </w:tr>
      <w:tr w:rsidR="000204AD" w:rsidRPr="00471CBA" w14:paraId="05A2814A" w14:textId="0252E689" w:rsidTr="009713C0">
        <w:tc>
          <w:tcPr>
            <w:tcW w:w="3630" w:type="pct"/>
            <w:tcBorders>
              <w:top w:val="nil"/>
              <w:left w:val="nil"/>
              <w:bottom w:val="nil"/>
              <w:right w:val="nil"/>
            </w:tcBorders>
            <w:vAlign w:val="center"/>
            <w:hideMark/>
          </w:tcPr>
          <w:p w14:paraId="3CEFA8CB" w14:textId="77777777" w:rsidR="000204AD" w:rsidRPr="00471CBA" w:rsidRDefault="000204AD" w:rsidP="000204AD">
            <w:pPr>
              <w:ind w:firstLine="484"/>
              <w:rPr>
                <w:color w:val="000000"/>
                <w:sz w:val="18"/>
                <w:szCs w:val="18"/>
                <w:lang w:eastAsia="tr-TR"/>
              </w:rPr>
            </w:pPr>
            <w:r w:rsidRPr="00471CBA">
              <w:rPr>
                <w:color w:val="000000"/>
                <w:sz w:val="18"/>
                <w:szCs w:val="18"/>
                <w:lang w:eastAsia="tr-TR"/>
              </w:rPr>
              <w:t>Bağlı Ortaklıklar</w:t>
            </w:r>
          </w:p>
        </w:tc>
        <w:tc>
          <w:tcPr>
            <w:tcW w:w="1370" w:type="pct"/>
            <w:tcBorders>
              <w:top w:val="nil"/>
              <w:left w:val="nil"/>
              <w:bottom w:val="nil"/>
              <w:right w:val="nil"/>
            </w:tcBorders>
          </w:tcPr>
          <w:p w14:paraId="4162CD71" w14:textId="5D112114" w:rsidR="000204AD" w:rsidRPr="00471CBA" w:rsidRDefault="000204AD" w:rsidP="000204AD">
            <w:pPr>
              <w:jc w:val="right"/>
              <w:rPr>
                <w:color w:val="000000"/>
                <w:sz w:val="18"/>
                <w:szCs w:val="18"/>
              </w:rPr>
            </w:pPr>
            <w:r w:rsidRPr="00471CBA">
              <w:rPr>
                <w:sz w:val="18"/>
                <w:szCs w:val="18"/>
              </w:rPr>
              <w:t>-</w:t>
            </w:r>
          </w:p>
        </w:tc>
      </w:tr>
      <w:tr w:rsidR="000204AD" w:rsidRPr="00471CBA" w14:paraId="257F3D3B" w14:textId="06704053" w:rsidTr="009713C0">
        <w:tc>
          <w:tcPr>
            <w:tcW w:w="3630" w:type="pct"/>
            <w:tcBorders>
              <w:top w:val="nil"/>
              <w:left w:val="nil"/>
              <w:bottom w:val="nil"/>
              <w:right w:val="nil"/>
            </w:tcBorders>
            <w:vAlign w:val="center"/>
            <w:hideMark/>
          </w:tcPr>
          <w:p w14:paraId="46469E5E" w14:textId="77777777" w:rsidR="000204AD" w:rsidRPr="00471CBA" w:rsidRDefault="000204AD" w:rsidP="000204AD">
            <w:pPr>
              <w:ind w:firstLine="484"/>
              <w:rPr>
                <w:color w:val="000000"/>
                <w:sz w:val="18"/>
                <w:szCs w:val="18"/>
                <w:lang w:eastAsia="tr-TR"/>
              </w:rPr>
            </w:pPr>
            <w:r w:rsidRPr="00471CBA">
              <w:rPr>
                <w:color w:val="000000"/>
                <w:sz w:val="18"/>
                <w:szCs w:val="18"/>
                <w:lang w:eastAsia="tr-TR"/>
              </w:rPr>
              <w:t>Birlikte Kontrol Edilen Ortaklıklar</w:t>
            </w:r>
          </w:p>
        </w:tc>
        <w:tc>
          <w:tcPr>
            <w:tcW w:w="1370" w:type="pct"/>
            <w:tcBorders>
              <w:top w:val="nil"/>
              <w:left w:val="nil"/>
              <w:bottom w:val="nil"/>
              <w:right w:val="nil"/>
            </w:tcBorders>
          </w:tcPr>
          <w:p w14:paraId="1B605339" w14:textId="25D4E210" w:rsidR="000204AD" w:rsidRPr="00471CBA" w:rsidRDefault="000204AD" w:rsidP="000204AD">
            <w:pPr>
              <w:jc w:val="right"/>
              <w:rPr>
                <w:color w:val="000000"/>
                <w:sz w:val="18"/>
                <w:szCs w:val="18"/>
              </w:rPr>
            </w:pPr>
            <w:r w:rsidRPr="00471CBA">
              <w:rPr>
                <w:sz w:val="18"/>
                <w:szCs w:val="18"/>
              </w:rPr>
              <w:t>-</w:t>
            </w:r>
          </w:p>
        </w:tc>
      </w:tr>
      <w:tr w:rsidR="000204AD" w:rsidRPr="00471CBA" w14:paraId="7C451866" w14:textId="5965657B" w:rsidTr="009713C0">
        <w:tc>
          <w:tcPr>
            <w:tcW w:w="3630" w:type="pct"/>
            <w:tcBorders>
              <w:top w:val="nil"/>
              <w:left w:val="nil"/>
              <w:bottom w:val="single" w:sz="4" w:space="0" w:color="auto"/>
              <w:right w:val="nil"/>
            </w:tcBorders>
            <w:vAlign w:val="center"/>
            <w:hideMark/>
          </w:tcPr>
          <w:p w14:paraId="1D5CC811" w14:textId="77777777" w:rsidR="000204AD" w:rsidRPr="00471CBA" w:rsidRDefault="000204AD" w:rsidP="000204AD">
            <w:pPr>
              <w:rPr>
                <w:b/>
                <w:bCs/>
                <w:color w:val="000000"/>
                <w:sz w:val="18"/>
                <w:szCs w:val="18"/>
                <w:lang w:eastAsia="tr-TR"/>
              </w:rPr>
            </w:pPr>
            <w:r w:rsidRPr="00471CBA">
              <w:rPr>
                <w:b/>
                <w:bCs/>
                <w:color w:val="000000"/>
                <w:sz w:val="18"/>
                <w:szCs w:val="18"/>
                <w:lang w:eastAsia="tr-TR"/>
              </w:rPr>
              <w:t>Diğer</w:t>
            </w:r>
          </w:p>
        </w:tc>
        <w:tc>
          <w:tcPr>
            <w:tcW w:w="1370" w:type="pct"/>
            <w:tcBorders>
              <w:top w:val="nil"/>
              <w:left w:val="nil"/>
              <w:bottom w:val="single" w:sz="4" w:space="0" w:color="auto"/>
              <w:right w:val="nil"/>
            </w:tcBorders>
          </w:tcPr>
          <w:p w14:paraId="21F30D3B" w14:textId="2BFE5BE6" w:rsidR="000204AD" w:rsidRPr="00471CBA" w:rsidRDefault="000204AD" w:rsidP="000204AD">
            <w:pPr>
              <w:jc w:val="right"/>
              <w:rPr>
                <w:b/>
                <w:bCs/>
                <w:color w:val="000000"/>
                <w:sz w:val="18"/>
                <w:szCs w:val="18"/>
              </w:rPr>
            </w:pPr>
            <w:r w:rsidRPr="00471CBA">
              <w:rPr>
                <w:sz w:val="18"/>
                <w:szCs w:val="18"/>
              </w:rPr>
              <w:t>-</w:t>
            </w:r>
          </w:p>
        </w:tc>
      </w:tr>
      <w:tr w:rsidR="000204AD" w:rsidRPr="00471CBA" w14:paraId="2522CD6B" w14:textId="044F5958" w:rsidTr="009713C0">
        <w:tc>
          <w:tcPr>
            <w:tcW w:w="3630" w:type="pct"/>
            <w:tcBorders>
              <w:top w:val="single" w:sz="4" w:space="0" w:color="auto"/>
              <w:left w:val="nil"/>
              <w:bottom w:val="nil"/>
              <w:right w:val="nil"/>
            </w:tcBorders>
            <w:vAlign w:val="center"/>
          </w:tcPr>
          <w:p w14:paraId="01C60DB3" w14:textId="77777777" w:rsidR="000204AD" w:rsidRPr="00471CBA" w:rsidRDefault="000204AD" w:rsidP="000204AD">
            <w:pPr>
              <w:rPr>
                <w:b/>
                <w:bCs/>
                <w:color w:val="000000"/>
                <w:sz w:val="18"/>
                <w:szCs w:val="18"/>
                <w:lang w:eastAsia="tr-TR"/>
              </w:rPr>
            </w:pPr>
          </w:p>
        </w:tc>
        <w:tc>
          <w:tcPr>
            <w:tcW w:w="1370" w:type="pct"/>
            <w:tcBorders>
              <w:top w:val="single" w:sz="4" w:space="0" w:color="auto"/>
              <w:left w:val="nil"/>
              <w:bottom w:val="nil"/>
              <w:right w:val="nil"/>
            </w:tcBorders>
          </w:tcPr>
          <w:p w14:paraId="73232E54" w14:textId="77777777" w:rsidR="000204AD" w:rsidRPr="00471CBA" w:rsidRDefault="000204AD" w:rsidP="000204AD">
            <w:pPr>
              <w:jc w:val="right"/>
              <w:rPr>
                <w:color w:val="000000"/>
                <w:sz w:val="18"/>
                <w:szCs w:val="18"/>
                <w:lang w:eastAsia="tr-TR"/>
              </w:rPr>
            </w:pPr>
          </w:p>
        </w:tc>
      </w:tr>
      <w:tr w:rsidR="000204AD" w:rsidRPr="00471CBA" w14:paraId="3ED4CD61" w14:textId="27B5308C" w:rsidTr="009713C0">
        <w:tc>
          <w:tcPr>
            <w:tcW w:w="3630" w:type="pct"/>
            <w:tcBorders>
              <w:top w:val="nil"/>
              <w:left w:val="nil"/>
              <w:bottom w:val="single" w:sz="12" w:space="0" w:color="auto"/>
              <w:right w:val="nil"/>
            </w:tcBorders>
            <w:vAlign w:val="center"/>
            <w:hideMark/>
          </w:tcPr>
          <w:p w14:paraId="432F5471" w14:textId="77777777" w:rsidR="000204AD" w:rsidRPr="00471CBA" w:rsidRDefault="000204AD" w:rsidP="000204AD">
            <w:pPr>
              <w:rPr>
                <w:b/>
                <w:bCs/>
                <w:sz w:val="18"/>
                <w:szCs w:val="18"/>
                <w:lang w:eastAsia="tr-TR"/>
              </w:rPr>
            </w:pPr>
            <w:r w:rsidRPr="00471CBA">
              <w:rPr>
                <w:b/>
                <w:bCs/>
                <w:color w:val="000000"/>
                <w:sz w:val="18"/>
                <w:szCs w:val="18"/>
                <w:lang w:eastAsia="tr-TR"/>
              </w:rPr>
              <w:t>Toplam</w:t>
            </w:r>
          </w:p>
        </w:tc>
        <w:tc>
          <w:tcPr>
            <w:tcW w:w="1370" w:type="pct"/>
            <w:tcBorders>
              <w:top w:val="nil"/>
              <w:left w:val="nil"/>
              <w:bottom w:val="single" w:sz="12" w:space="0" w:color="auto"/>
              <w:right w:val="nil"/>
            </w:tcBorders>
          </w:tcPr>
          <w:p w14:paraId="6D143137" w14:textId="38486A9C" w:rsidR="000204AD" w:rsidRPr="00471CBA" w:rsidRDefault="000204AD" w:rsidP="000204AD">
            <w:pPr>
              <w:jc w:val="right"/>
              <w:rPr>
                <w:b/>
                <w:bCs/>
                <w:color w:val="000000"/>
                <w:sz w:val="18"/>
                <w:szCs w:val="18"/>
              </w:rPr>
            </w:pPr>
            <w:r w:rsidRPr="00471CBA">
              <w:rPr>
                <w:b/>
                <w:bCs/>
                <w:sz w:val="18"/>
                <w:szCs w:val="18"/>
              </w:rPr>
              <w:t>369.935</w:t>
            </w:r>
          </w:p>
        </w:tc>
      </w:tr>
      <w:bookmarkEnd w:id="156"/>
    </w:tbl>
    <w:p w14:paraId="0E04A999" w14:textId="77777777" w:rsidR="006025D3" w:rsidRDefault="006025D3" w:rsidP="005D50AB">
      <w:pPr>
        <w:rPr>
          <w:b/>
          <w:szCs w:val="20"/>
        </w:rPr>
      </w:pPr>
    </w:p>
    <w:p w14:paraId="54D8A82E" w14:textId="77777777" w:rsidR="00AB5801" w:rsidRPr="00471CBA" w:rsidRDefault="00AB5801" w:rsidP="008459A9">
      <w:pPr>
        <w:pStyle w:val="ListeParagraf"/>
        <w:widowControl w:val="0"/>
        <w:numPr>
          <w:ilvl w:val="0"/>
          <w:numId w:val="83"/>
        </w:numPr>
        <w:spacing w:line="211" w:lineRule="auto"/>
        <w:ind w:left="567"/>
        <w:jc w:val="both"/>
        <w:rPr>
          <w:b/>
          <w:szCs w:val="20"/>
        </w:rPr>
      </w:pPr>
      <w:r w:rsidRPr="00471CBA">
        <w:rPr>
          <w:b/>
          <w:szCs w:val="20"/>
        </w:rPr>
        <w:t>Diğer faaliyet giderlerine ilişkin bilgiler:</w:t>
      </w:r>
    </w:p>
    <w:p w14:paraId="370A2DC8" w14:textId="3E46B30E" w:rsidR="00A74C68" w:rsidRPr="00471CBA" w:rsidRDefault="00A74C68" w:rsidP="00000466">
      <w:pPr>
        <w:pStyle w:val="GvdeMetniGirintisi"/>
        <w:widowControl w:val="0"/>
        <w:ind w:left="851" w:right="206" w:firstLine="0"/>
        <w:rPr>
          <w:szCs w:val="20"/>
        </w:rPr>
      </w:pPr>
    </w:p>
    <w:tbl>
      <w:tblPr>
        <w:tblW w:w="5000" w:type="pct"/>
        <w:tblCellMar>
          <w:left w:w="70" w:type="dxa"/>
          <w:right w:w="70" w:type="dxa"/>
        </w:tblCellMar>
        <w:tblLook w:val="04A0" w:firstRow="1" w:lastRow="0" w:firstColumn="1" w:lastColumn="0" w:noHBand="0" w:noVBand="1"/>
      </w:tblPr>
      <w:tblGrid>
        <w:gridCol w:w="7727"/>
        <w:gridCol w:w="1628"/>
      </w:tblGrid>
      <w:tr w:rsidR="00A74C68" w:rsidRPr="00471CBA" w14:paraId="34A38132" w14:textId="77777777" w:rsidTr="00A74C68">
        <w:trPr>
          <w:divId w:val="849759933"/>
          <w:trHeight w:val="227"/>
        </w:trPr>
        <w:tc>
          <w:tcPr>
            <w:tcW w:w="3456" w:type="pct"/>
            <w:tcBorders>
              <w:top w:val="nil"/>
              <w:left w:val="nil"/>
              <w:bottom w:val="nil"/>
              <w:right w:val="nil"/>
            </w:tcBorders>
            <w:vAlign w:val="bottom"/>
            <w:hideMark/>
          </w:tcPr>
          <w:p w14:paraId="3B8B0938" w14:textId="75722534" w:rsidR="00A74C68" w:rsidRPr="00471CBA" w:rsidRDefault="00A74C68" w:rsidP="00A74C68">
            <w:pPr>
              <w:rPr>
                <w:b/>
                <w:bCs/>
                <w:szCs w:val="20"/>
              </w:rPr>
            </w:pPr>
          </w:p>
        </w:tc>
        <w:tc>
          <w:tcPr>
            <w:tcW w:w="735" w:type="pct"/>
            <w:tcBorders>
              <w:top w:val="nil"/>
              <w:left w:val="nil"/>
              <w:bottom w:val="single" w:sz="4" w:space="0" w:color="auto"/>
              <w:right w:val="nil"/>
            </w:tcBorders>
            <w:vAlign w:val="center"/>
            <w:hideMark/>
          </w:tcPr>
          <w:p w14:paraId="5FED7B63" w14:textId="77777777" w:rsidR="00A74C68" w:rsidRPr="00471CBA" w:rsidRDefault="00A74C68" w:rsidP="00A74C68">
            <w:pPr>
              <w:jc w:val="right"/>
              <w:rPr>
                <w:b/>
                <w:bCs/>
                <w:szCs w:val="20"/>
              </w:rPr>
            </w:pPr>
            <w:r w:rsidRPr="00471CBA">
              <w:rPr>
                <w:b/>
                <w:bCs/>
                <w:szCs w:val="20"/>
              </w:rPr>
              <w:t>1 Ocak - 31 Aralık 2025</w:t>
            </w:r>
          </w:p>
        </w:tc>
      </w:tr>
      <w:tr w:rsidR="00A74C68" w:rsidRPr="00471CBA" w14:paraId="350CD2B2" w14:textId="77777777" w:rsidTr="00A74C68">
        <w:trPr>
          <w:divId w:val="849759933"/>
          <w:trHeight w:val="227"/>
        </w:trPr>
        <w:tc>
          <w:tcPr>
            <w:tcW w:w="3456" w:type="pct"/>
            <w:tcBorders>
              <w:top w:val="nil"/>
              <w:left w:val="nil"/>
              <w:bottom w:val="nil"/>
              <w:right w:val="nil"/>
            </w:tcBorders>
            <w:noWrap/>
            <w:vAlign w:val="bottom"/>
            <w:hideMark/>
          </w:tcPr>
          <w:p w14:paraId="7FA03B25" w14:textId="77777777" w:rsidR="00A74C68" w:rsidRPr="00471CBA" w:rsidRDefault="00A74C68" w:rsidP="00A74C68">
            <w:pPr>
              <w:rPr>
                <w:szCs w:val="20"/>
              </w:rPr>
            </w:pPr>
          </w:p>
        </w:tc>
        <w:tc>
          <w:tcPr>
            <w:tcW w:w="735" w:type="pct"/>
            <w:tcBorders>
              <w:top w:val="nil"/>
              <w:left w:val="nil"/>
              <w:bottom w:val="nil"/>
              <w:right w:val="nil"/>
            </w:tcBorders>
            <w:noWrap/>
            <w:vAlign w:val="bottom"/>
            <w:hideMark/>
          </w:tcPr>
          <w:p w14:paraId="4109EE6E" w14:textId="77777777" w:rsidR="00A74C68" w:rsidRPr="00471CBA" w:rsidRDefault="00A74C68" w:rsidP="00A74C68">
            <w:pPr>
              <w:jc w:val="right"/>
              <w:rPr>
                <w:szCs w:val="20"/>
              </w:rPr>
            </w:pPr>
          </w:p>
        </w:tc>
      </w:tr>
      <w:tr w:rsidR="00A74C68" w:rsidRPr="00471CBA" w14:paraId="24093143" w14:textId="77777777" w:rsidTr="00A74C68">
        <w:trPr>
          <w:divId w:val="849759933"/>
          <w:trHeight w:val="227"/>
        </w:trPr>
        <w:tc>
          <w:tcPr>
            <w:tcW w:w="3456" w:type="pct"/>
            <w:tcBorders>
              <w:top w:val="nil"/>
              <w:left w:val="nil"/>
              <w:bottom w:val="nil"/>
              <w:right w:val="nil"/>
            </w:tcBorders>
            <w:noWrap/>
            <w:vAlign w:val="bottom"/>
            <w:hideMark/>
          </w:tcPr>
          <w:p w14:paraId="47FBBD3F" w14:textId="77777777" w:rsidR="00A74C68" w:rsidRPr="00471CBA" w:rsidRDefault="00A74C68" w:rsidP="00A74C68">
            <w:pPr>
              <w:rPr>
                <w:szCs w:val="20"/>
              </w:rPr>
            </w:pPr>
            <w:r w:rsidRPr="00471CBA">
              <w:rPr>
                <w:szCs w:val="20"/>
              </w:rPr>
              <w:t>Kıdem tazminatı karşılığı</w:t>
            </w:r>
          </w:p>
        </w:tc>
        <w:tc>
          <w:tcPr>
            <w:tcW w:w="735" w:type="pct"/>
            <w:tcBorders>
              <w:top w:val="nil"/>
              <w:left w:val="nil"/>
              <w:bottom w:val="nil"/>
              <w:right w:val="nil"/>
            </w:tcBorders>
            <w:noWrap/>
            <w:vAlign w:val="center"/>
            <w:hideMark/>
          </w:tcPr>
          <w:p w14:paraId="1F97F7C6" w14:textId="77777777" w:rsidR="00A74C68" w:rsidRPr="00471CBA" w:rsidRDefault="00A74C68" w:rsidP="00A74C68">
            <w:pPr>
              <w:jc w:val="right"/>
              <w:rPr>
                <w:szCs w:val="20"/>
              </w:rPr>
            </w:pPr>
            <w:r w:rsidRPr="00471CBA">
              <w:rPr>
                <w:szCs w:val="20"/>
              </w:rPr>
              <w:t>15.988</w:t>
            </w:r>
          </w:p>
        </w:tc>
      </w:tr>
      <w:tr w:rsidR="00A74C68" w:rsidRPr="00471CBA" w14:paraId="389F8D7A" w14:textId="77777777" w:rsidTr="00A74C68">
        <w:trPr>
          <w:divId w:val="849759933"/>
          <w:trHeight w:val="227"/>
        </w:trPr>
        <w:tc>
          <w:tcPr>
            <w:tcW w:w="3456" w:type="pct"/>
            <w:tcBorders>
              <w:top w:val="nil"/>
              <w:left w:val="nil"/>
              <w:bottom w:val="nil"/>
              <w:right w:val="nil"/>
            </w:tcBorders>
            <w:noWrap/>
            <w:vAlign w:val="bottom"/>
            <w:hideMark/>
          </w:tcPr>
          <w:p w14:paraId="0FB39203" w14:textId="77777777" w:rsidR="00A74C68" w:rsidRPr="00471CBA" w:rsidRDefault="00A74C68" w:rsidP="00A74C68">
            <w:pPr>
              <w:rPr>
                <w:szCs w:val="20"/>
              </w:rPr>
            </w:pPr>
            <w:r w:rsidRPr="00471CBA">
              <w:rPr>
                <w:szCs w:val="20"/>
              </w:rPr>
              <w:t>Banka sosyal yardım sandığı varlık açıkları karşılığı</w:t>
            </w:r>
          </w:p>
        </w:tc>
        <w:tc>
          <w:tcPr>
            <w:tcW w:w="735" w:type="pct"/>
            <w:tcBorders>
              <w:top w:val="nil"/>
              <w:left w:val="nil"/>
              <w:bottom w:val="nil"/>
              <w:right w:val="nil"/>
            </w:tcBorders>
            <w:noWrap/>
            <w:vAlign w:val="center"/>
            <w:hideMark/>
          </w:tcPr>
          <w:p w14:paraId="76F5392E" w14:textId="77777777" w:rsidR="00A74C68" w:rsidRPr="00471CBA" w:rsidRDefault="00A74C68" w:rsidP="00A74C68">
            <w:pPr>
              <w:jc w:val="right"/>
              <w:rPr>
                <w:szCs w:val="20"/>
              </w:rPr>
            </w:pPr>
            <w:r w:rsidRPr="00471CBA">
              <w:rPr>
                <w:szCs w:val="20"/>
              </w:rPr>
              <w:t>-</w:t>
            </w:r>
          </w:p>
        </w:tc>
      </w:tr>
      <w:tr w:rsidR="00A74C68" w:rsidRPr="00471CBA" w14:paraId="40327567" w14:textId="77777777" w:rsidTr="00A74C68">
        <w:trPr>
          <w:divId w:val="849759933"/>
          <w:trHeight w:val="227"/>
        </w:trPr>
        <w:tc>
          <w:tcPr>
            <w:tcW w:w="3456" w:type="pct"/>
            <w:tcBorders>
              <w:top w:val="nil"/>
              <w:left w:val="nil"/>
              <w:bottom w:val="nil"/>
              <w:right w:val="nil"/>
            </w:tcBorders>
            <w:noWrap/>
            <w:vAlign w:val="bottom"/>
            <w:hideMark/>
          </w:tcPr>
          <w:p w14:paraId="5C034D39" w14:textId="77777777" w:rsidR="00A74C68" w:rsidRPr="00471CBA" w:rsidRDefault="00A74C68" w:rsidP="00A74C68">
            <w:pPr>
              <w:rPr>
                <w:szCs w:val="20"/>
              </w:rPr>
            </w:pPr>
            <w:r w:rsidRPr="00471CBA">
              <w:rPr>
                <w:szCs w:val="20"/>
              </w:rPr>
              <w:t xml:space="preserve">Maddi duran varlık değer düşüş giderleri </w:t>
            </w:r>
          </w:p>
        </w:tc>
        <w:tc>
          <w:tcPr>
            <w:tcW w:w="735" w:type="pct"/>
            <w:tcBorders>
              <w:top w:val="nil"/>
              <w:left w:val="nil"/>
              <w:bottom w:val="nil"/>
              <w:right w:val="nil"/>
            </w:tcBorders>
            <w:noWrap/>
            <w:vAlign w:val="center"/>
            <w:hideMark/>
          </w:tcPr>
          <w:p w14:paraId="05B65DA0" w14:textId="77777777" w:rsidR="00A74C68" w:rsidRPr="00471CBA" w:rsidRDefault="00A74C68" w:rsidP="00A74C68">
            <w:pPr>
              <w:jc w:val="right"/>
              <w:rPr>
                <w:szCs w:val="20"/>
              </w:rPr>
            </w:pPr>
            <w:r w:rsidRPr="00471CBA">
              <w:rPr>
                <w:szCs w:val="20"/>
              </w:rPr>
              <w:t>-</w:t>
            </w:r>
          </w:p>
        </w:tc>
      </w:tr>
      <w:tr w:rsidR="00A74C68" w:rsidRPr="00471CBA" w14:paraId="47FAD970" w14:textId="77777777" w:rsidTr="00A74C68">
        <w:trPr>
          <w:divId w:val="849759933"/>
          <w:trHeight w:val="227"/>
        </w:trPr>
        <w:tc>
          <w:tcPr>
            <w:tcW w:w="3456" w:type="pct"/>
            <w:tcBorders>
              <w:top w:val="nil"/>
              <w:left w:val="nil"/>
              <w:bottom w:val="nil"/>
              <w:right w:val="nil"/>
            </w:tcBorders>
            <w:noWrap/>
            <w:vAlign w:val="bottom"/>
            <w:hideMark/>
          </w:tcPr>
          <w:p w14:paraId="6ACEC5AF" w14:textId="77777777" w:rsidR="00A74C68" w:rsidRPr="00471CBA" w:rsidRDefault="00A74C68" w:rsidP="00A74C68">
            <w:pPr>
              <w:rPr>
                <w:szCs w:val="20"/>
              </w:rPr>
            </w:pPr>
            <w:r w:rsidRPr="00471CBA">
              <w:rPr>
                <w:szCs w:val="20"/>
              </w:rPr>
              <w:t>Maddi duran varlık amortisman giderleri</w:t>
            </w:r>
          </w:p>
        </w:tc>
        <w:tc>
          <w:tcPr>
            <w:tcW w:w="735" w:type="pct"/>
            <w:tcBorders>
              <w:top w:val="nil"/>
              <w:left w:val="nil"/>
              <w:bottom w:val="nil"/>
              <w:right w:val="nil"/>
            </w:tcBorders>
            <w:noWrap/>
            <w:vAlign w:val="center"/>
            <w:hideMark/>
          </w:tcPr>
          <w:p w14:paraId="1982BF8A" w14:textId="77777777" w:rsidR="00A74C68" w:rsidRPr="00471CBA" w:rsidRDefault="00A74C68" w:rsidP="00A74C68">
            <w:pPr>
              <w:jc w:val="right"/>
              <w:rPr>
                <w:szCs w:val="20"/>
              </w:rPr>
            </w:pPr>
            <w:r w:rsidRPr="00471CBA">
              <w:rPr>
                <w:szCs w:val="20"/>
              </w:rPr>
              <w:t>154.497</w:t>
            </w:r>
          </w:p>
        </w:tc>
      </w:tr>
      <w:tr w:rsidR="00A74C68" w:rsidRPr="00471CBA" w14:paraId="19200B18" w14:textId="77777777" w:rsidTr="00A74C68">
        <w:trPr>
          <w:divId w:val="849759933"/>
          <w:trHeight w:val="227"/>
        </w:trPr>
        <w:tc>
          <w:tcPr>
            <w:tcW w:w="3456" w:type="pct"/>
            <w:tcBorders>
              <w:top w:val="nil"/>
              <w:left w:val="nil"/>
              <w:bottom w:val="nil"/>
              <w:right w:val="nil"/>
            </w:tcBorders>
            <w:noWrap/>
            <w:vAlign w:val="bottom"/>
            <w:hideMark/>
          </w:tcPr>
          <w:p w14:paraId="7D748263" w14:textId="77777777" w:rsidR="00A74C68" w:rsidRPr="00471CBA" w:rsidRDefault="00A74C68" w:rsidP="00A74C68">
            <w:pPr>
              <w:rPr>
                <w:szCs w:val="20"/>
              </w:rPr>
            </w:pPr>
            <w:r w:rsidRPr="00471CBA">
              <w:rPr>
                <w:szCs w:val="20"/>
              </w:rPr>
              <w:t>Maddi olmayan duran varlık değer düşüş giderleri</w:t>
            </w:r>
          </w:p>
        </w:tc>
        <w:tc>
          <w:tcPr>
            <w:tcW w:w="735" w:type="pct"/>
            <w:tcBorders>
              <w:top w:val="nil"/>
              <w:left w:val="nil"/>
              <w:bottom w:val="nil"/>
              <w:right w:val="nil"/>
            </w:tcBorders>
            <w:noWrap/>
            <w:vAlign w:val="center"/>
            <w:hideMark/>
          </w:tcPr>
          <w:p w14:paraId="79BB14F6" w14:textId="77777777" w:rsidR="00A74C68" w:rsidRPr="00471CBA" w:rsidRDefault="00A74C68" w:rsidP="00A74C68">
            <w:pPr>
              <w:jc w:val="right"/>
              <w:rPr>
                <w:szCs w:val="20"/>
              </w:rPr>
            </w:pPr>
            <w:r w:rsidRPr="00471CBA">
              <w:rPr>
                <w:szCs w:val="20"/>
              </w:rPr>
              <w:t>-</w:t>
            </w:r>
          </w:p>
        </w:tc>
      </w:tr>
      <w:tr w:rsidR="00A74C68" w:rsidRPr="00471CBA" w14:paraId="023660AB" w14:textId="77777777" w:rsidTr="00A74C68">
        <w:trPr>
          <w:divId w:val="849759933"/>
          <w:trHeight w:val="227"/>
        </w:trPr>
        <w:tc>
          <w:tcPr>
            <w:tcW w:w="3456" w:type="pct"/>
            <w:tcBorders>
              <w:top w:val="nil"/>
              <w:left w:val="nil"/>
              <w:bottom w:val="nil"/>
              <w:right w:val="nil"/>
            </w:tcBorders>
            <w:noWrap/>
            <w:vAlign w:val="bottom"/>
            <w:hideMark/>
          </w:tcPr>
          <w:p w14:paraId="7D565695" w14:textId="77777777" w:rsidR="00A74C68" w:rsidRPr="00471CBA" w:rsidRDefault="00A74C68" w:rsidP="00A74C68">
            <w:pPr>
              <w:rPr>
                <w:szCs w:val="20"/>
              </w:rPr>
            </w:pPr>
            <w:r w:rsidRPr="00471CBA">
              <w:rPr>
                <w:szCs w:val="20"/>
              </w:rPr>
              <w:t>Şerefiye değer düşüş gideri</w:t>
            </w:r>
          </w:p>
        </w:tc>
        <w:tc>
          <w:tcPr>
            <w:tcW w:w="735" w:type="pct"/>
            <w:tcBorders>
              <w:top w:val="nil"/>
              <w:left w:val="nil"/>
              <w:bottom w:val="nil"/>
              <w:right w:val="nil"/>
            </w:tcBorders>
            <w:noWrap/>
            <w:vAlign w:val="center"/>
            <w:hideMark/>
          </w:tcPr>
          <w:p w14:paraId="74447B2D" w14:textId="77777777" w:rsidR="00A74C68" w:rsidRPr="00471CBA" w:rsidRDefault="00A74C68" w:rsidP="00A74C68">
            <w:pPr>
              <w:jc w:val="right"/>
              <w:rPr>
                <w:szCs w:val="20"/>
              </w:rPr>
            </w:pPr>
            <w:r w:rsidRPr="00471CBA">
              <w:rPr>
                <w:szCs w:val="20"/>
              </w:rPr>
              <w:t>-</w:t>
            </w:r>
          </w:p>
        </w:tc>
      </w:tr>
      <w:tr w:rsidR="00A74C68" w:rsidRPr="00471CBA" w14:paraId="050B2573" w14:textId="77777777" w:rsidTr="00A74C68">
        <w:trPr>
          <w:divId w:val="849759933"/>
          <w:trHeight w:val="227"/>
        </w:trPr>
        <w:tc>
          <w:tcPr>
            <w:tcW w:w="3456" w:type="pct"/>
            <w:tcBorders>
              <w:top w:val="nil"/>
              <w:left w:val="nil"/>
              <w:bottom w:val="nil"/>
              <w:right w:val="nil"/>
            </w:tcBorders>
            <w:noWrap/>
            <w:vAlign w:val="bottom"/>
            <w:hideMark/>
          </w:tcPr>
          <w:p w14:paraId="7B272236" w14:textId="77777777" w:rsidR="00A74C68" w:rsidRPr="00471CBA" w:rsidRDefault="00A74C68" w:rsidP="00A74C68">
            <w:pPr>
              <w:rPr>
                <w:szCs w:val="20"/>
              </w:rPr>
            </w:pPr>
            <w:r w:rsidRPr="00471CBA">
              <w:rPr>
                <w:szCs w:val="20"/>
              </w:rPr>
              <w:t>Maddi olmayan duran varlık amortisman giderleri</w:t>
            </w:r>
          </w:p>
        </w:tc>
        <w:tc>
          <w:tcPr>
            <w:tcW w:w="735" w:type="pct"/>
            <w:tcBorders>
              <w:top w:val="nil"/>
              <w:left w:val="nil"/>
              <w:bottom w:val="nil"/>
              <w:right w:val="nil"/>
            </w:tcBorders>
            <w:noWrap/>
            <w:vAlign w:val="center"/>
            <w:hideMark/>
          </w:tcPr>
          <w:p w14:paraId="27586443" w14:textId="77777777" w:rsidR="00A74C68" w:rsidRPr="00471CBA" w:rsidRDefault="00A74C68" w:rsidP="00A74C68">
            <w:pPr>
              <w:jc w:val="right"/>
              <w:rPr>
                <w:szCs w:val="20"/>
              </w:rPr>
            </w:pPr>
            <w:r w:rsidRPr="00471CBA">
              <w:rPr>
                <w:szCs w:val="20"/>
              </w:rPr>
              <w:t>133.637</w:t>
            </w:r>
          </w:p>
        </w:tc>
      </w:tr>
      <w:tr w:rsidR="00A74C68" w:rsidRPr="00471CBA" w14:paraId="70ACF1CE" w14:textId="77777777" w:rsidTr="00A74C68">
        <w:trPr>
          <w:divId w:val="849759933"/>
          <w:trHeight w:val="227"/>
        </w:trPr>
        <w:tc>
          <w:tcPr>
            <w:tcW w:w="3456" w:type="pct"/>
            <w:tcBorders>
              <w:top w:val="nil"/>
              <w:left w:val="nil"/>
              <w:bottom w:val="nil"/>
              <w:right w:val="nil"/>
            </w:tcBorders>
            <w:noWrap/>
            <w:vAlign w:val="bottom"/>
            <w:hideMark/>
          </w:tcPr>
          <w:p w14:paraId="17A86EB8" w14:textId="77777777" w:rsidR="00A74C68" w:rsidRPr="00471CBA" w:rsidRDefault="00A74C68" w:rsidP="00A74C68">
            <w:pPr>
              <w:rPr>
                <w:szCs w:val="20"/>
              </w:rPr>
            </w:pPr>
            <w:r w:rsidRPr="00471CBA">
              <w:rPr>
                <w:szCs w:val="20"/>
              </w:rPr>
              <w:t>Özkaynak yöntemi uygulanan ortaklık payları değer düşüş gideri</w:t>
            </w:r>
          </w:p>
        </w:tc>
        <w:tc>
          <w:tcPr>
            <w:tcW w:w="735" w:type="pct"/>
            <w:tcBorders>
              <w:top w:val="nil"/>
              <w:left w:val="nil"/>
              <w:bottom w:val="nil"/>
              <w:right w:val="nil"/>
            </w:tcBorders>
            <w:noWrap/>
            <w:vAlign w:val="center"/>
            <w:hideMark/>
          </w:tcPr>
          <w:p w14:paraId="33AC3654" w14:textId="77777777" w:rsidR="00A74C68" w:rsidRPr="00471CBA" w:rsidRDefault="00A74C68" w:rsidP="00A74C68">
            <w:pPr>
              <w:jc w:val="right"/>
              <w:rPr>
                <w:szCs w:val="20"/>
              </w:rPr>
            </w:pPr>
            <w:r w:rsidRPr="00471CBA">
              <w:rPr>
                <w:szCs w:val="20"/>
              </w:rPr>
              <w:t>-</w:t>
            </w:r>
          </w:p>
        </w:tc>
      </w:tr>
      <w:tr w:rsidR="00A74C68" w:rsidRPr="00471CBA" w14:paraId="6D361DFE" w14:textId="77777777" w:rsidTr="00A74C68">
        <w:trPr>
          <w:divId w:val="849759933"/>
          <w:trHeight w:val="227"/>
        </w:trPr>
        <w:tc>
          <w:tcPr>
            <w:tcW w:w="3456" w:type="pct"/>
            <w:tcBorders>
              <w:top w:val="nil"/>
              <w:left w:val="nil"/>
              <w:bottom w:val="nil"/>
              <w:right w:val="nil"/>
            </w:tcBorders>
            <w:noWrap/>
            <w:vAlign w:val="bottom"/>
            <w:hideMark/>
          </w:tcPr>
          <w:p w14:paraId="35C55C01" w14:textId="77777777" w:rsidR="00A74C68" w:rsidRPr="00471CBA" w:rsidRDefault="00A74C68" w:rsidP="00A74C68">
            <w:pPr>
              <w:rPr>
                <w:szCs w:val="20"/>
              </w:rPr>
            </w:pPr>
            <w:r w:rsidRPr="00471CBA">
              <w:rPr>
                <w:szCs w:val="20"/>
              </w:rPr>
              <w:t>Elden çıkarılacak kıymetler değer düşüş giderleri</w:t>
            </w:r>
          </w:p>
        </w:tc>
        <w:tc>
          <w:tcPr>
            <w:tcW w:w="735" w:type="pct"/>
            <w:tcBorders>
              <w:top w:val="nil"/>
              <w:left w:val="nil"/>
              <w:bottom w:val="nil"/>
              <w:right w:val="nil"/>
            </w:tcBorders>
            <w:noWrap/>
            <w:vAlign w:val="center"/>
            <w:hideMark/>
          </w:tcPr>
          <w:p w14:paraId="6F67690E" w14:textId="77777777" w:rsidR="00A74C68" w:rsidRPr="00471CBA" w:rsidRDefault="00A74C68" w:rsidP="00A74C68">
            <w:pPr>
              <w:jc w:val="right"/>
              <w:rPr>
                <w:szCs w:val="20"/>
              </w:rPr>
            </w:pPr>
            <w:r w:rsidRPr="00471CBA">
              <w:rPr>
                <w:szCs w:val="20"/>
              </w:rPr>
              <w:t>-</w:t>
            </w:r>
          </w:p>
        </w:tc>
      </w:tr>
      <w:tr w:rsidR="00A74C68" w:rsidRPr="00471CBA" w14:paraId="1A6C1B87" w14:textId="77777777" w:rsidTr="00A74C68">
        <w:trPr>
          <w:divId w:val="849759933"/>
          <w:trHeight w:val="227"/>
        </w:trPr>
        <w:tc>
          <w:tcPr>
            <w:tcW w:w="3456" w:type="pct"/>
            <w:tcBorders>
              <w:top w:val="nil"/>
              <w:left w:val="nil"/>
              <w:bottom w:val="nil"/>
              <w:right w:val="nil"/>
            </w:tcBorders>
            <w:noWrap/>
            <w:vAlign w:val="bottom"/>
            <w:hideMark/>
          </w:tcPr>
          <w:p w14:paraId="5029864B" w14:textId="77777777" w:rsidR="00A74C68" w:rsidRPr="00471CBA" w:rsidRDefault="00A74C68" w:rsidP="00A74C68">
            <w:pPr>
              <w:rPr>
                <w:szCs w:val="20"/>
              </w:rPr>
            </w:pPr>
            <w:r w:rsidRPr="00471CBA">
              <w:rPr>
                <w:szCs w:val="20"/>
              </w:rPr>
              <w:t>Elden çıkarılacak kıymetler amortisman giderleri</w:t>
            </w:r>
          </w:p>
        </w:tc>
        <w:tc>
          <w:tcPr>
            <w:tcW w:w="735" w:type="pct"/>
            <w:tcBorders>
              <w:top w:val="nil"/>
              <w:left w:val="nil"/>
              <w:bottom w:val="nil"/>
              <w:right w:val="nil"/>
            </w:tcBorders>
            <w:noWrap/>
            <w:vAlign w:val="center"/>
            <w:hideMark/>
          </w:tcPr>
          <w:p w14:paraId="6411D02C" w14:textId="77777777" w:rsidR="00A74C68" w:rsidRPr="00471CBA" w:rsidRDefault="00A74C68" w:rsidP="00A74C68">
            <w:pPr>
              <w:jc w:val="right"/>
              <w:rPr>
                <w:szCs w:val="20"/>
              </w:rPr>
            </w:pPr>
            <w:r w:rsidRPr="00471CBA">
              <w:rPr>
                <w:szCs w:val="20"/>
              </w:rPr>
              <w:t>-</w:t>
            </w:r>
          </w:p>
        </w:tc>
      </w:tr>
      <w:tr w:rsidR="00A74C68" w:rsidRPr="00471CBA" w14:paraId="0BDE9246" w14:textId="77777777" w:rsidTr="00A74C68">
        <w:trPr>
          <w:divId w:val="849759933"/>
          <w:trHeight w:val="227"/>
        </w:trPr>
        <w:tc>
          <w:tcPr>
            <w:tcW w:w="3456" w:type="pct"/>
            <w:tcBorders>
              <w:top w:val="nil"/>
              <w:left w:val="nil"/>
              <w:bottom w:val="nil"/>
              <w:right w:val="nil"/>
            </w:tcBorders>
            <w:noWrap/>
            <w:vAlign w:val="bottom"/>
            <w:hideMark/>
          </w:tcPr>
          <w:p w14:paraId="4068C0F7" w14:textId="77777777" w:rsidR="00A74C68" w:rsidRPr="00471CBA" w:rsidRDefault="00A74C68" w:rsidP="00A74C68">
            <w:pPr>
              <w:rPr>
                <w:szCs w:val="20"/>
              </w:rPr>
            </w:pPr>
            <w:r w:rsidRPr="00471CBA">
              <w:rPr>
                <w:szCs w:val="20"/>
              </w:rPr>
              <w:t>Satış amaçlı elde tutulan ve durdurulan faaliyetlere ilişkin duran varlıklar değer düşüş giderleri</w:t>
            </w:r>
          </w:p>
        </w:tc>
        <w:tc>
          <w:tcPr>
            <w:tcW w:w="735" w:type="pct"/>
            <w:tcBorders>
              <w:top w:val="nil"/>
              <w:left w:val="nil"/>
              <w:bottom w:val="nil"/>
              <w:right w:val="nil"/>
            </w:tcBorders>
            <w:noWrap/>
            <w:vAlign w:val="center"/>
            <w:hideMark/>
          </w:tcPr>
          <w:p w14:paraId="0DBFA30B" w14:textId="77777777" w:rsidR="00A74C68" w:rsidRPr="00471CBA" w:rsidRDefault="00A74C68" w:rsidP="00A74C68">
            <w:pPr>
              <w:jc w:val="right"/>
              <w:rPr>
                <w:szCs w:val="20"/>
              </w:rPr>
            </w:pPr>
            <w:r w:rsidRPr="00471CBA">
              <w:rPr>
                <w:szCs w:val="20"/>
              </w:rPr>
              <w:t>-</w:t>
            </w:r>
          </w:p>
        </w:tc>
      </w:tr>
      <w:tr w:rsidR="00A74C68" w:rsidRPr="00471CBA" w14:paraId="01471AE9" w14:textId="77777777" w:rsidTr="00A74C68">
        <w:trPr>
          <w:divId w:val="849759933"/>
          <w:trHeight w:val="227"/>
        </w:trPr>
        <w:tc>
          <w:tcPr>
            <w:tcW w:w="3456" w:type="pct"/>
            <w:tcBorders>
              <w:top w:val="nil"/>
              <w:left w:val="nil"/>
              <w:bottom w:val="nil"/>
              <w:right w:val="nil"/>
            </w:tcBorders>
            <w:noWrap/>
            <w:vAlign w:val="bottom"/>
            <w:hideMark/>
          </w:tcPr>
          <w:p w14:paraId="749E4086" w14:textId="77777777" w:rsidR="00A74C68" w:rsidRPr="00471CBA" w:rsidRDefault="00A74C68" w:rsidP="00A74C68">
            <w:pPr>
              <w:rPr>
                <w:szCs w:val="20"/>
              </w:rPr>
            </w:pPr>
            <w:r w:rsidRPr="00471CBA">
              <w:rPr>
                <w:szCs w:val="20"/>
              </w:rPr>
              <w:t>Diğer işletme giderleri</w:t>
            </w:r>
          </w:p>
        </w:tc>
        <w:tc>
          <w:tcPr>
            <w:tcW w:w="735" w:type="pct"/>
            <w:tcBorders>
              <w:top w:val="nil"/>
              <w:left w:val="nil"/>
              <w:bottom w:val="nil"/>
              <w:right w:val="nil"/>
            </w:tcBorders>
            <w:noWrap/>
            <w:vAlign w:val="center"/>
            <w:hideMark/>
          </w:tcPr>
          <w:p w14:paraId="761E3E40" w14:textId="77777777" w:rsidR="00A74C68" w:rsidRPr="00471CBA" w:rsidRDefault="00A74C68" w:rsidP="00A74C68">
            <w:pPr>
              <w:jc w:val="right"/>
              <w:rPr>
                <w:szCs w:val="20"/>
              </w:rPr>
            </w:pPr>
            <w:r w:rsidRPr="00471CBA">
              <w:rPr>
                <w:szCs w:val="20"/>
              </w:rPr>
              <w:t>510.537</w:t>
            </w:r>
          </w:p>
        </w:tc>
      </w:tr>
      <w:tr w:rsidR="00A74C68" w:rsidRPr="00471CBA" w14:paraId="20533D5E" w14:textId="77777777" w:rsidTr="00A74C68">
        <w:trPr>
          <w:divId w:val="849759933"/>
          <w:trHeight w:val="227"/>
        </w:trPr>
        <w:tc>
          <w:tcPr>
            <w:tcW w:w="3456" w:type="pct"/>
            <w:tcBorders>
              <w:top w:val="nil"/>
              <w:left w:val="nil"/>
              <w:bottom w:val="nil"/>
              <w:right w:val="nil"/>
            </w:tcBorders>
            <w:noWrap/>
            <w:vAlign w:val="bottom"/>
            <w:hideMark/>
          </w:tcPr>
          <w:p w14:paraId="1FE00149" w14:textId="77777777" w:rsidR="00A74C68" w:rsidRPr="00471CBA" w:rsidRDefault="00A74C68" w:rsidP="00A74C68">
            <w:pPr>
              <w:ind w:firstLine="209"/>
              <w:rPr>
                <w:szCs w:val="20"/>
              </w:rPr>
            </w:pPr>
            <w:r w:rsidRPr="00471CBA">
              <w:rPr>
                <w:rFonts w:eastAsia="Arial Unicode MS"/>
                <w:szCs w:val="20"/>
              </w:rPr>
              <w:t>TFRS 16 istisnalarına ilişkin kiralama giderleri</w:t>
            </w:r>
          </w:p>
        </w:tc>
        <w:tc>
          <w:tcPr>
            <w:tcW w:w="735" w:type="pct"/>
            <w:tcBorders>
              <w:top w:val="nil"/>
              <w:left w:val="nil"/>
              <w:bottom w:val="nil"/>
              <w:right w:val="nil"/>
            </w:tcBorders>
            <w:noWrap/>
            <w:vAlign w:val="center"/>
            <w:hideMark/>
          </w:tcPr>
          <w:p w14:paraId="6F9E208A" w14:textId="77777777" w:rsidR="00A74C68" w:rsidRPr="00471CBA" w:rsidRDefault="00A74C68" w:rsidP="00A74C68">
            <w:pPr>
              <w:jc w:val="right"/>
              <w:rPr>
                <w:szCs w:val="20"/>
              </w:rPr>
            </w:pPr>
            <w:r w:rsidRPr="00471CBA">
              <w:rPr>
                <w:szCs w:val="20"/>
              </w:rPr>
              <w:t>117.849</w:t>
            </w:r>
          </w:p>
        </w:tc>
      </w:tr>
      <w:tr w:rsidR="00A74C68" w:rsidRPr="00471CBA" w14:paraId="20479C31" w14:textId="77777777" w:rsidTr="00A74C68">
        <w:trPr>
          <w:divId w:val="849759933"/>
          <w:trHeight w:val="227"/>
        </w:trPr>
        <w:tc>
          <w:tcPr>
            <w:tcW w:w="3456" w:type="pct"/>
            <w:tcBorders>
              <w:top w:val="nil"/>
              <w:left w:val="nil"/>
              <w:bottom w:val="nil"/>
              <w:right w:val="nil"/>
            </w:tcBorders>
            <w:noWrap/>
            <w:vAlign w:val="bottom"/>
            <w:hideMark/>
          </w:tcPr>
          <w:p w14:paraId="3465F852" w14:textId="77777777" w:rsidR="00A74C68" w:rsidRPr="00471CBA" w:rsidRDefault="00A74C68" w:rsidP="00A74C68">
            <w:pPr>
              <w:ind w:firstLine="209"/>
              <w:rPr>
                <w:szCs w:val="20"/>
              </w:rPr>
            </w:pPr>
            <w:r w:rsidRPr="00471CBA">
              <w:rPr>
                <w:rFonts w:eastAsia="Arial Unicode MS"/>
                <w:szCs w:val="20"/>
              </w:rPr>
              <w:t>Bakım ve onarım giderleri</w:t>
            </w:r>
          </w:p>
        </w:tc>
        <w:tc>
          <w:tcPr>
            <w:tcW w:w="735" w:type="pct"/>
            <w:tcBorders>
              <w:top w:val="nil"/>
              <w:left w:val="nil"/>
              <w:bottom w:val="nil"/>
              <w:right w:val="nil"/>
            </w:tcBorders>
            <w:noWrap/>
            <w:vAlign w:val="center"/>
            <w:hideMark/>
          </w:tcPr>
          <w:p w14:paraId="46F42BF8" w14:textId="77777777" w:rsidR="00A74C68" w:rsidRPr="00471CBA" w:rsidRDefault="00A74C68" w:rsidP="00A74C68">
            <w:pPr>
              <w:jc w:val="right"/>
              <w:rPr>
                <w:szCs w:val="20"/>
              </w:rPr>
            </w:pPr>
            <w:r w:rsidRPr="00471CBA">
              <w:rPr>
                <w:szCs w:val="20"/>
              </w:rPr>
              <w:t>13.966</w:t>
            </w:r>
          </w:p>
        </w:tc>
      </w:tr>
      <w:tr w:rsidR="00A74C68" w:rsidRPr="00471CBA" w14:paraId="4506F018" w14:textId="77777777" w:rsidTr="00A74C68">
        <w:trPr>
          <w:divId w:val="849759933"/>
          <w:trHeight w:val="227"/>
        </w:trPr>
        <w:tc>
          <w:tcPr>
            <w:tcW w:w="3456" w:type="pct"/>
            <w:tcBorders>
              <w:top w:val="nil"/>
              <w:left w:val="nil"/>
              <w:bottom w:val="nil"/>
              <w:right w:val="nil"/>
            </w:tcBorders>
            <w:noWrap/>
            <w:vAlign w:val="bottom"/>
            <w:hideMark/>
          </w:tcPr>
          <w:p w14:paraId="763FC822" w14:textId="77777777" w:rsidR="00A74C68" w:rsidRPr="00471CBA" w:rsidRDefault="00A74C68" w:rsidP="00A74C68">
            <w:pPr>
              <w:ind w:firstLine="209"/>
              <w:rPr>
                <w:szCs w:val="20"/>
              </w:rPr>
            </w:pPr>
            <w:r w:rsidRPr="00471CBA">
              <w:rPr>
                <w:rFonts w:eastAsia="Arial Unicode MS"/>
                <w:szCs w:val="20"/>
              </w:rPr>
              <w:t>Reklam ve ilan giderleri</w:t>
            </w:r>
          </w:p>
        </w:tc>
        <w:tc>
          <w:tcPr>
            <w:tcW w:w="735" w:type="pct"/>
            <w:tcBorders>
              <w:top w:val="nil"/>
              <w:left w:val="nil"/>
              <w:bottom w:val="nil"/>
              <w:right w:val="nil"/>
            </w:tcBorders>
            <w:noWrap/>
            <w:vAlign w:val="center"/>
            <w:hideMark/>
          </w:tcPr>
          <w:p w14:paraId="07EDB35F" w14:textId="77777777" w:rsidR="00A74C68" w:rsidRPr="00471CBA" w:rsidRDefault="00A74C68" w:rsidP="00A74C68">
            <w:pPr>
              <w:jc w:val="right"/>
              <w:rPr>
                <w:szCs w:val="20"/>
              </w:rPr>
            </w:pPr>
            <w:r w:rsidRPr="00471CBA">
              <w:rPr>
                <w:szCs w:val="20"/>
              </w:rPr>
              <w:t>53.726</w:t>
            </w:r>
          </w:p>
        </w:tc>
      </w:tr>
      <w:tr w:rsidR="00A74C68" w:rsidRPr="00471CBA" w14:paraId="5F5FE3E3" w14:textId="77777777" w:rsidTr="00A74C68">
        <w:trPr>
          <w:divId w:val="849759933"/>
          <w:trHeight w:val="227"/>
        </w:trPr>
        <w:tc>
          <w:tcPr>
            <w:tcW w:w="3456" w:type="pct"/>
            <w:tcBorders>
              <w:top w:val="nil"/>
              <w:left w:val="nil"/>
              <w:bottom w:val="nil"/>
              <w:right w:val="nil"/>
            </w:tcBorders>
            <w:noWrap/>
            <w:vAlign w:val="bottom"/>
            <w:hideMark/>
          </w:tcPr>
          <w:p w14:paraId="3635A57B" w14:textId="77777777" w:rsidR="00A74C68" w:rsidRPr="00471CBA" w:rsidRDefault="00A74C68" w:rsidP="00A74C68">
            <w:pPr>
              <w:ind w:firstLine="209"/>
              <w:rPr>
                <w:szCs w:val="20"/>
              </w:rPr>
            </w:pPr>
            <w:r w:rsidRPr="00471CBA">
              <w:rPr>
                <w:szCs w:val="20"/>
              </w:rPr>
              <w:t>Diğer giderler</w:t>
            </w:r>
            <w:r w:rsidRPr="00471CBA">
              <w:rPr>
                <w:szCs w:val="20"/>
                <w:vertAlign w:val="superscript"/>
              </w:rPr>
              <w:t>(*)</w:t>
            </w:r>
          </w:p>
        </w:tc>
        <w:tc>
          <w:tcPr>
            <w:tcW w:w="735" w:type="pct"/>
            <w:tcBorders>
              <w:top w:val="nil"/>
              <w:left w:val="nil"/>
              <w:bottom w:val="nil"/>
              <w:right w:val="nil"/>
            </w:tcBorders>
            <w:noWrap/>
            <w:vAlign w:val="center"/>
            <w:hideMark/>
          </w:tcPr>
          <w:p w14:paraId="431A3494" w14:textId="77777777" w:rsidR="00A74C68" w:rsidRPr="00471CBA" w:rsidRDefault="00A74C68" w:rsidP="00A74C68">
            <w:pPr>
              <w:jc w:val="right"/>
              <w:rPr>
                <w:szCs w:val="20"/>
              </w:rPr>
            </w:pPr>
            <w:r w:rsidRPr="00471CBA">
              <w:rPr>
                <w:szCs w:val="20"/>
              </w:rPr>
              <w:t>324.996</w:t>
            </w:r>
          </w:p>
        </w:tc>
      </w:tr>
      <w:tr w:rsidR="00A74C68" w:rsidRPr="00471CBA" w14:paraId="442AA8E4" w14:textId="77777777" w:rsidTr="00A74C68">
        <w:trPr>
          <w:divId w:val="849759933"/>
          <w:trHeight w:val="227"/>
        </w:trPr>
        <w:tc>
          <w:tcPr>
            <w:tcW w:w="3456" w:type="pct"/>
            <w:tcBorders>
              <w:top w:val="nil"/>
              <w:left w:val="nil"/>
              <w:bottom w:val="nil"/>
              <w:right w:val="nil"/>
            </w:tcBorders>
            <w:noWrap/>
            <w:vAlign w:val="bottom"/>
            <w:hideMark/>
          </w:tcPr>
          <w:p w14:paraId="7CB6584C" w14:textId="77777777" w:rsidR="00A74C68" w:rsidRPr="00471CBA" w:rsidRDefault="00A74C68" w:rsidP="00A74C68">
            <w:pPr>
              <w:rPr>
                <w:szCs w:val="20"/>
              </w:rPr>
            </w:pPr>
            <w:r w:rsidRPr="00471CBA">
              <w:rPr>
                <w:szCs w:val="20"/>
              </w:rPr>
              <w:t>Aktiflerin satışından doğan zararlar</w:t>
            </w:r>
          </w:p>
        </w:tc>
        <w:tc>
          <w:tcPr>
            <w:tcW w:w="735" w:type="pct"/>
            <w:tcBorders>
              <w:top w:val="nil"/>
              <w:left w:val="nil"/>
              <w:bottom w:val="nil"/>
              <w:right w:val="nil"/>
            </w:tcBorders>
            <w:noWrap/>
            <w:vAlign w:val="center"/>
            <w:hideMark/>
          </w:tcPr>
          <w:p w14:paraId="7A665DD5" w14:textId="77777777" w:rsidR="00A74C68" w:rsidRPr="00471CBA" w:rsidRDefault="00A74C68" w:rsidP="00A74C68">
            <w:pPr>
              <w:jc w:val="right"/>
              <w:rPr>
                <w:szCs w:val="20"/>
              </w:rPr>
            </w:pPr>
            <w:r w:rsidRPr="00471CBA">
              <w:rPr>
                <w:szCs w:val="20"/>
              </w:rPr>
              <w:t>84</w:t>
            </w:r>
          </w:p>
        </w:tc>
      </w:tr>
      <w:tr w:rsidR="00A74C68" w:rsidRPr="00471CBA" w14:paraId="46ABB4C5" w14:textId="77777777" w:rsidTr="00A74C68">
        <w:trPr>
          <w:divId w:val="849759933"/>
          <w:trHeight w:val="227"/>
        </w:trPr>
        <w:tc>
          <w:tcPr>
            <w:tcW w:w="3456" w:type="pct"/>
            <w:tcBorders>
              <w:top w:val="nil"/>
              <w:left w:val="nil"/>
              <w:bottom w:val="single" w:sz="4" w:space="0" w:color="auto"/>
              <w:right w:val="nil"/>
            </w:tcBorders>
            <w:noWrap/>
            <w:vAlign w:val="bottom"/>
            <w:hideMark/>
          </w:tcPr>
          <w:p w14:paraId="339E1E0D" w14:textId="77777777" w:rsidR="00A74C68" w:rsidRPr="00471CBA" w:rsidRDefault="00A74C68" w:rsidP="00A74C68">
            <w:pPr>
              <w:rPr>
                <w:szCs w:val="20"/>
              </w:rPr>
            </w:pPr>
            <w:r w:rsidRPr="00471CBA">
              <w:rPr>
                <w:rFonts w:eastAsia="Arial Unicode MS"/>
                <w:szCs w:val="20"/>
              </w:rPr>
              <w:t>Diğer</w:t>
            </w:r>
            <w:r w:rsidRPr="00471CBA">
              <w:rPr>
                <w:rFonts w:eastAsia="Arial Unicode MS"/>
                <w:szCs w:val="20"/>
                <w:vertAlign w:val="superscript"/>
              </w:rPr>
              <w:t>(**)</w:t>
            </w:r>
          </w:p>
        </w:tc>
        <w:tc>
          <w:tcPr>
            <w:tcW w:w="735" w:type="pct"/>
            <w:tcBorders>
              <w:top w:val="nil"/>
              <w:left w:val="nil"/>
              <w:bottom w:val="single" w:sz="4" w:space="0" w:color="auto"/>
              <w:right w:val="nil"/>
            </w:tcBorders>
            <w:noWrap/>
            <w:vAlign w:val="center"/>
            <w:hideMark/>
          </w:tcPr>
          <w:p w14:paraId="53F3AFCA" w14:textId="77777777" w:rsidR="00A74C68" w:rsidRPr="00471CBA" w:rsidRDefault="00A74C68" w:rsidP="00A74C68">
            <w:pPr>
              <w:jc w:val="right"/>
              <w:rPr>
                <w:szCs w:val="20"/>
              </w:rPr>
            </w:pPr>
            <w:r w:rsidRPr="00471CBA">
              <w:rPr>
                <w:szCs w:val="20"/>
              </w:rPr>
              <w:t>263.257</w:t>
            </w:r>
          </w:p>
        </w:tc>
      </w:tr>
      <w:tr w:rsidR="00A74C68" w:rsidRPr="00471CBA" w14:paraId="5BE1E59B" w14:textId="77777777" w:rsidTr="00A74C68">
        <w:trPr>
          <w:divId w:val="849759933"/>
          <w:trHeight w:val="227"/>
        </w:trPr>
        <w:tc>
          <w:tcPr>
            <w:tcW w:w="3456" w:type="pct"/>
            <w:tcBorders>
              <w:top w:val="nil"/>
              <w:left w:val="nil"/>
              <w:right w:val="nil"/>
            </w:tcBorders>
            <w:vAlign w:val="bottom"/>
            <w:hideMark/>
          </w:tcPr>
          <w:p w14:paraId="4442C1FB" w14:textId="77777777" w:rsidR="00A74C68" w:rsidRPr="00471CBA" w:rsidRDefault="00A74C68" w:rsidP="00A74C68">
            <w:pPr>
              <w:rPr>
                <w:szCs w:val="20"/>
              </w:rPr>
            </w:pPr>
          </w:p>
        </w:tc>
        <w:tc>
          <w:tcPr>
            <w:tcW w:w="735" w:type="pct"/>
            <w:tcBorders>
              <w:top w:val="nil"/>
              <w:left w:val="nil"/>
              <w:right w:val="nil"/>
            </w:tcBorders>
            <w:noWrap/>
            <w:vAlign w:val="center"/>
            <w:hideMark/>
          </w:tcPr>
          <w:p w14:paraId="5018A0E9" w14:textId="77777777" w:rsidR="00A74C68" w:rsidRPr="00471CBA" w:rsidRDefault="00A74C68" w:rsidP="00A74C68">
            <w:pPr>
              <w:jc w:val="right"/>
              <w:rPr>
                <w:szCs w:val="20"/>
              </w:rPr>
            </w:pPr>
          </w:p>
        </w:tc>
      </w:tr>
      <w:tr w:rsidR="00A74C68" w:rsidRPr="00471CBA" w14:paraId="6FC44510" w14:textId="77777777" w:rsidTr="00A74C68">
        <w:trPr>
          <w:divId w:val="849759933"/>
          <w:trHeight w:val="227"/>
        </w:trPr>
        <w:tc>
          <w:tcPr>
            <w:tcW w:w="3456" w:type="pct"/>
            <w:tcBorders>
              <w:top w:val="nil"/>
              <w:left w:val="nil"/>
              <w:bottom w:val="single" w:sz="12" w:space="0" w:color="auto"/>
              <w:right w:val="nil"/>
            </w:tcBorders>
            <w:vAlign w:val="bottom"/>
            <w:hideMark/>
          </w:tcPr>
          <w:p w14:paraId="043258C8" w14:textId="77777777" w:rsidR="00A74C68" w:rsidRPr="00471CBA" w:rsidRDefault="00A74C68" w:rsidP="00A74C68">
            <w:pPr>
              <w:rPr>
                <w:b/>
                <w:bCs/>
                <w:szCs w:val="20"/>
              </w:rPr>
            </w:pPr>
            <w:r w:rsidRPr="00471CBA">
              <w:rPr>
                <w:b/>
                <w:bCs/>
                <w:szCs w:val="20"/>
              </w:rPr>
              <w:t>Toplam</w:t>
            </w:r>
          </w:p>
        </w:tc>
        <w:tc>
          <w:tcPr>
            <w:tcW w:w="735" w:type="pct"/>
            <w:tcBorders>
              <w:top w:val="nil"/>
              <w:left w:val="nil"/>
              <w:bottom w:val="single" w:sz="12" w:space="0" w:color="auto"/>
              <w:right w:val="nil"/>
            </w:tcBorders>
            <w:noWrap/>
            <w:vAlign w:val="center"/>
            <w:hideMark/>
          </w:tcPr>
          <w:p w14:paraId="1A84B299" w14:textId="77777777" w:rsidR="00A74C68" w:rsidRPr="00471CBA" w:rsidRDefault="00A74C68" w:rsidP="00A74C68">
            <w:pPr>
              <w:jc w:val="right"/>
              <w:rPr>
                <w:b/>
                <w:bCs/>
                <w:szCs w:val="20"/>
              </w:rPr>
            </w:pPr>
            <w:r w:rsidRPr="00471CBA">
              <w:rPr>
                <w:b/>
                <w:bCs/>
                <w:szCs w:val="20"/>
              </w:rPr>
              <w:t>1.078.000</w:t>
            </w:r>
          </w:p>
        </w:tc>
      </w:tr>
    </w:tbl>
    <w:p w14:paraId="35A5E392" w14:textId="33145ADA" w:rsidR="006025D3" w:rsidRDefault="006025D3" w:rsidP="00000466">
      <w:pPr>
        <w:pStyle w:val="GvdeMetniGirintisi"/>
        <w:widowControl w:val="0"/>
        <w:ind w:left="851" w:right="206" w:firstLine="0"/>
        <w:rPr>
          <w:b/>
          <w:iCs/>
          <w:szCs w:val="20"/>
        </w:rPr>
      </w:pPr>
    </w:p>
    <w:p w14:paraId="2EEE3A7B" w14:textId="77777777" w:rsidR="006025D3" w:rsidRDefault="006025D3">
      <w:pPr>
        <w:rPr>
          <w:b/>
          <w:iCs/>
          <w:szCs w:val="20"/>
        </w:rPr>
      </w:pPr>
      <w:r>
        <w:rPr>
          <w:b/>
          <w:iCs/>
          <w:szCs w:val="20"/>
        </w:rPr>
        <w:br w:type="page"/>
      </w:r>
    </w:p>
    <w:p w14:paraId="1ADD6EEA" w14:textId="77777777" w:rsidR="006025D3" w:rsidRPr="00471CBA" w:rsidRDefault="006025D3" w:rsidP="006025D3">
      <w:pPr>
        <w:widowControl w:val="0"/>
        <w:spacing w:line="211" w:lineRule="auto"/>
        <w:ind w:left="720" w:hanging="720"/>
        <w:jc w:val="both"/>
        <w:rPr>
          <w:b/>
          <w:szCs w:val="20"/>
        </w:rPr>
      </w:pPr>
      <w:r w:rsidRPr="00471CBA">
        <w:rPr>
          <w:b/>
          <w:szCs w:val="20"/>
        </w:rPr>
        <w:t>KONSOLİDE OLMAYAN FİNANSAL TABLOLARA İLİŞKİN AÇIKLAMA VE DİPNOTLAR (Devamı)</w:t>
      </w:r>
    </w:p>
    <w:p w14:paraId="3BF4C01B" w14:textId="77777777" w:rsidR="006025D3" w:rsidRPr="006025D3" w:rsidRDefault="006025D3" w:rsidP="006025D3">
      <w:pPr>
        <w:widowControl w:val="0"/>
        <w:autoSpaceDE w:val="0"/>
        <w:autoSpaceDN w:val="0"/>
        <w:adjustRightInd w:val="0"/>
        <w:spacing w:line="211" w:lineRule="auto"/>
        <w:ind w:left="14" w:right="210"/>
        <w:jc w:val="both"/>
        <w:rPr>
          <w:sz w:val="16"/>
          <w:szCs w:val="16"/>
        </w:rPr>
      </w:pPr>
    </w:p>
    <w:p w14:paraId="4A560B31" w14:textId="77777777" w:rsidR="006025D3" w:rsidRPr="00471CBA" w:rsidRDefault="006025D3" w:rsidP="006025D3">
      <w:pPr>
        <w:pStyle w:val="GvdeMetniGirintisi"/>
        <w:widowControl w:val="0"/>
        <w:spacing w:line="211" w:lineRule="auto"/>
        <w:ind w:left="851" w:right="206" w:hanging="851"/>
        <w:rPr>
          <w:b/>
          <w:iCs/>
          <w:szCs w:val="20"/>
        </w:rPr>
      </w:pPr>
      <w:r>
        <w:rPr>
          <w:b/>
          <w:iCs/>
          <w:szCs w:val="20"/>
        </w:rPr>
        <w:t>IV.</w:t>
      </w:r>
      <w:r>
        <w:rPr>
          <w:b/>
          <w:iCs/>
          <w:szCs w:val="20"/>
        </w:rPr>
        <w:tab/>
      </w:r>
      <w:r w:rsidRPr="00471CBA">
        <w:rPr>
          <w:b/>
          <w:iCs/>
          <w:szCs w:val="20"/>
        </w:rPr>
        <w:t>KAR VEYA ZARAR TABLOSUNA İLİŞKİN AÇIKLAMA VE DİPNOTLAR (Devamı)</w:t>
      </w:r>
    </w:p>
    <w:p w14:paraId="2095EF91" w14:textId="77777777" w:rsidR="00DC6D3B" w:rsidRDefault="00DC6D3B" w:rsidP="006025D3">
      <w:pPr>
        <w:pStyle w:val="GvdeMetniGirintisi"/>
        <w:widowControl w:val="0"/>
        <w:spacing w:line="211" w:lineRule="auto"/>
        <w:ind w:left="851" w:right="206" w:firstLine="0"/>
        <w:rPr>
          <w:b/>
          <w:iCs/>
          <w:sz w:val="16"/>
          <w:szCs w:val="16"/>
        </w:rPr>
      </w:pPr>
    </w:p>
    <w:p w14:paraId="2A351C95" w14:textId="4CE1EB77" w:rsidR="006025D3" w:rsidRPr="00471CBA" w:rsidRDefault="006025D3" w:rsidP="008459A9">
      <w:pPr>
        <w:pStyle w:val="ListeParagraf"/>
        <w:widowControl w:val="0"/>
        <w:numPr>
          <w:ilvl w:val="0"/>
          <w:numId w:val="101"/>
        </w:numPr>
        <w:spacing w:line="211" w:lineRule="auto"/>
        <w:ind w:left="851" w:hanging="851"/>
        <w:jc w:val="both"/>
        <w:rPr>
          <w:b/>
          <w:szCs w:val="20"/>
        </w:rPr>
      </w:pPr>
      <w:r w:rsidRPr="00471CBA">
        <w:rPr>
          <w:b/>
          <w:szCs w:val="20"/>
        </w:rPr>
        <w:t>Diğer faaliyet giderlerine ilişkin bilgiler:</w:t>
      </w:r>
      <w:r>
        <w:rPr>
          <w:b/>
          <w:szCs w:val="20"/>
        </w:rPr>
        <w:t xml:space="preserve"> (Devamı)</w:t>
      </w:r>
    </w:p>
    <w:p w14:paraId="4159B9AE" w14:textId="77777777" w:rsidR="006025D3" w:rsidRPr="006025D3" w:rsidRDefault="006025D3" w:rsidP="006025D3">
      <w:pPr>
        <w:pStyle w:val="GvdeMetniGirintisi"/>
        <w:widowControl w:val="0"/>
        <w:spacing w:line="211" w:lineRule="auto"/>
        <w:ind w:left="851" w:right="206" w:firstLine="0"/>
        <w:rPr>
          <w:b/>
          <w:iCs/>
          <w:sz w:val="16"/>
          <w:szCs w:val="16"/>
        </w:rPr>
      </w:pPr>
    </w:p>
    <w:tbl>
      <w:tblPr>
        <w:tblW w:w="5000" w:type="pct"/>
        <w:tblCellMar>
          <w:left w:w="70" w:type="dxa"/>
          <w:right w:w="70" w:type="dxa"/>
        </w:tblCellMar>
        <w:tblLook w:val="04A0" w:firstRow="1" w:lastRow="0" w:firstColumn="1" w:lastColumn="0" w:noHBand="0" w:noVBand="1"/>
      </w:tblPr>
      <w:tblGrid>
        <w:gridCol w:w="6663"/>
        <w:gridCol w:w="2692"/>
      </w:tblGrid>
      <w:tr w:rsidR="001C13B0" w:rsidRPr="00471CBA" w14:paraId="2DBBBC94" w14:textId="77777777" w:rsidTr="006025D3">
        <w:trPr>
          <w:trHeight w:val="113"/>
        </w:trPr>
        <w:tc>
          <w:tcPr>
            <w:tcW w:w="3561" w:type="pct"/>
            <w:tcBorders>
              <w:top w:val="nil"/>
              <w:left w:val="nil"/>
              <w:bottom w:val="nil"/>
              <w:right w:val="nil"/>
            </w:tcBorders>
            <w:vAlign w:val="bottom"/>
            <w:hideMark/>
          </w:tcPr>
          <w:p w14:paraId="57F235D3" w14:textId="77777777" w:rsidR="001C13B0" w:rsidRPr="00471CBA" w:rsidRDefault="001C13B0" w:rsidP="006025D3">
            <w:pPr>
              <w:spacing w:line="211" w:lineRule="auto"/>
              <w:rPr>
                <w:b/>
                <w:bCs/>
                <w:szCs w:val="20"/>
              </w:rPr>
            </w:pPr>
          </w:p>
        </w:tc>
        <w:tc>
          <w:tcPr>
            <w:tcW w:w="1439" w:type="pct"/>
            <w:tcBorders>
              <w:top w:val="nil"/>
              <w:left w:val="nil"/>
              <w:bottom w:val="single" w:sz="4" w:space="0" w:color="auto"/>
              <w:right w:val="nil"/>
            </w:tcBorders>
            <w:vAlign w:val="center"/>
            <w:hideMark/>
          </w:tcPr>
          <w:p w14:paraId="7F77B084" w14:textId="65317DAB" w:rsidR="001C13B0" w:rsidRPr="00471CBA" w:rsidRDefault="00280632" w:rsidP="006025D3">
            <w:pPr>
              <w:spacing w:line="211" w:lineRule="auto"/>
              <w:jc w:val="right"/>
              <w:rPr>
                <w:b/>
                <w:bCs/>
                <w:color w:val="000000"/>
                <w:szCs w:val="20"/>
                <w:lang w:eastAsia="tr-TR"/>
              </w:rPr>
            </w:pPr>
            <w:r w:rsidRPr="00471CBA">
              <w:rPr>
                <w:b/>
                <w:bCs/>
                <w:color w:val="000000"/>
                <w:szCs w:val="20"/>
                <w:lang w:eastAsia="tr-TR"/>
              </w:rPr>
              <w:t xml:space="preserve">1 Ocak </w:t>
            </w:r>
            <w:r w:rsidR="006025D3">
              <w:rPr>
                <w:b/>
                <w:bCs/>
                <w:color w:val="000000"/>
                <w:szCs w:val="20"/>
                <w:lang w:eastAsia="tr-TR"/>
              </w:rPr>
              <w:t>–</w:t>
            </w:r>
            <w:r w:rsidRPr="00471CBA">
              <w:rPr>
                <w:b/>
                <w:bCs/>
                <w:color w:val="000000"/>
                <w:szCs w:val="20"/>
                <w:lang w:eastAsia="tr-TR"/>
              </w:rPr>
              <w:t xml:space="preserve"> 31 Aralık 2024</w:t>
            </w:r>
          </w:p>
        </w:tc>
      </w:tr>
      <w:tr w:rsidR="001C13B0" w:rsidRPr="00471CBA" w14:paraId="558FE0A7" w14:textId="77777777" w:rsidTr="006025D3">
        <w:trPr>
          <w:trHeight w:val="113"/>
        </w:trPr>
        <w:tc>
          <w:tcPr>
            <w:tcW w:w="3561" w:type="pct"/>
            <w:tcBorders>
              <w:top w:val="nil"/>
              <w:left w:val="nil"/>
              <w:bottom w:val="nil"/>
              <w:right w:val="nil"/>
            </w:tcBorders>
            <w:noWrap/>
            <w:vAlign w:val="bottom"/>
            <w:hideMark/>
          </w:tcPr>
          <w:p w14:paraId="163E57A7" w14:textId="77777777" w:rsidR="001C13B0" w:rsidRPr="00471CBA" w:rsidRDefault="001C13B0" w:rsidP="006025D3">
            <w:pPr>
              <w:spacing w:line="211" w:lineRule="auto"/>
              <w:rPr>
                <w:szCs w:val="20"/>
              </w:rPr>
            </w:pPr>
          </w:p>
        </w:tc>
        <w:tc>
          <w:tcPr>
            <w:tcW w:w="1439" w:type="pct"/>
            <w:tcBorders>
              <w:top w:val="nil"/>
              <w:left w:val="nil"/>
              <w:bottom w:val="nil"/>
              <w:right w:val="nil"/>
            </w:tcBorders>
            <w:noWrap/>
            <w:vAlign w:val="bottom"/>
            <w:hideMark/>
          </w:tcPr>
          <w:p w14:paraId="7AFCF6AA" w14:textId="77777777" w:rsidR="001C13B0" w:rsidRPr="00471CBA" w:rsidRDefault="001C13B0" w:rsidP="006025D3">
            <w:pPr>
              <w:spacing w:line="211" w:lineRule="auto"/>
              <w:jc w:val="right"/>
              <w:rPr>
                <w:szCs w:val="20"/>
                <w:lang w:eastAsia="tr-TR"/>
              </w:rPr>
            </w:pPr>
          </w:p>
        </w:tc>
      </w:tr>
      <w:tr w:rsidR="00280632" w:rsidRPr="00471CBA" w14:paraId="68957F8A" w14:textId="77777777" w:rsidTr="006025D3">
        <w:trPr>
          <w:trHeight w:val="113"/>
        </w:trPr>
        <w:tc>
          <w:tcPr>
            <w:tcW w:w="3561" w:type="pct"/>
            <w:tcBorders>
              <w:top w:val="nil"/>
              <w:left w:val="nil"/>
              <w:bottom w:val="nil"/>
              <w:right w:val="nil"/>
            </w:tcBorders>
            <w:noWrap/>
            <w:vAlign w:val="bottom"/>
            <w:hideMark/>
          </w:tcPr>
          <w:p w14:paraId="0BAA3B1E" w14:textId="77777777" w:rsidR="00280632" w:rsidRPr="00471CBA" w:rsidRDefault="00280632" w:rsidP="006025D3">
            <w:pPr>
              <w:spacing w:line="211" w:lineRule="auto"/>
              <w:rPr>
                <w:szCs w:val="20"/>
              </w:rPr>
            </w:pPr>
            <w:r w:rsidRPr="00471CBA">
              <w:rPr>
                <w:szCs w:val="20"/>
              </w:rPr>
              <w:t>Kıdem tazminatı karşılığı</w:t>
            </w:r>
          </w:p>
        </w:tc>
        <w:tc>
          <w:tcPr>
            <w:tcW w:w="1439" w:type="pct"/>
            <w:tcBorders>
              <w:top w:val="nil"/>
              <w:left w:val="nil"/>
              <w:bottom w:val="nil"/>
              <w:right w:val="nil"/>
            </w:tcBorders>
            <w:noWrap/>
            <w:vAlign w:val="center"/>
            <w:hideMark/>
          </w:tcPr>
          <w:p w14:paraId="575164D1" w14:textId="2B250E4E" w:rsidR="00280632" w:rsidRPr="00471CBA" w:rsidRDefault="00280632" w:rsidP="006025D3">
            <w:pPr>
              <w:spacing w:line="211" w:lineRule="auto"/>
              <w:jc w:val="right"/>
              <w:rPr>
                <w:color w:val="000000"/>
                <w:szCs w:val="20"/>
                <w:lang w:eastAsia="tr-TR"/>
              </w:rPr>
            </w:pPr>
            <w:r w:rsidRPr="00471CBA">
              <w:rPr>
                <w:color w:val="000000"/>
                <w:szCs w:val="20"/>
              </w:rPr>
              <w:t>-</w:t>
            </w:r>
          </w:p>
        </w:tc>
      </w:tr>
      <w:tr w:rsidR="00280632" w:rsidRPr="00471CBA" w14:paraId="4F66F39B" w14:textId="77777777" w:rsidTr="006025D3">
        <w:trPr>
          <w:trHeight w:val="113"/>
        </w:trPr>
        <w:tc>
          <w:tcPr>
            <w:tcW w:w="3561" w:type="pct"/>
            <w:tcBorders>
              <w:top w:val="nil"/>
              <w:left w:val="nil"/>
              <w:bottom w:val="nil"/>
              <w:right w:val="nil"/>
            </w:tcBorders>
            <w:noWrap/>
            <w:vAlign w:val="bottom"/>
            <w:hideMark/>
          </w:tcPr>
          <w:p w14:paraId="4A4AB443" w14:textId="77777777" w:rsidR="00280632" w:rsidRPr="00471CBA" w:rsidRDefault="00280632" w:rsidP="006025D3">
            <w:pPr>
              <w:spacing w:line="211" w:lineRule="auto"/>
              <w:rPr>
                <w:szCs w:val="20"/>
              </w:rPr>
            </w:pPr>
            <w:r w:rsidRPr="00471CBA">
              <w:rPr>
                <w:szCs w:val="20"/>
              </w:rPr>
              <w:t>Banka sosyal yardım sandığı varlık açıkları karşılığı</w:t>
            </w:r>
          </w:p>
        </w:tc>
        <w:tc>
          <w:tcPr>
            <w:tcW w:w="1439" w:type="pct"/>
            <w:tcBorders>
              <w:top w:val="nil"/>
              <w:left w:val="nil"/>
              <w:bottom w:val="nil"/>
              <w:right w:val="nil"/>
            </w:tcBorders>
            <w:noWrap/>
            <w:vAlign w:val="center"/>
            <w:hideMark/>
          </w:tcPr>
          <w:p w14:paraId="2190E9D2" w14:textId="4310453B" w:rsidR="00280632" w:rsidRPr="00471CBA" w:rsidRDefault="00280632" w:rsidP="006025D3">
            <w:pPr>
              <w:spacing w:line="211" w:lineRule="auto"/>
              <w:jc w:val="right"/>
              <w:rPr>
                <w:color w:val="000000"/>
                <w:szCs w:val="20"/>
                <w:lang w:eastAsia="tr-TR"/>
              </w:rPr>
            </w:pPr>
            <w:r w:rsidRPr="00471CBA">
              <w:rPr>
                <w:color w:val="000000"/>
                <w:szCs w:val="20"/>
              </w:rPr>
              <w:t>-</w:t>
            </w:r>
          </w:p>
        </w:tc>
      </w:tr>
      <w:tr w:rsidR="00280632" w:rsidRPr="00471CBA" w14:paraId="35EACD5F" w14:textId="77777777" w:rsidTr="006025D3">
        <w:trPr>
          <w:trHeight w:val="113"/>
        </w:trPr>
        <w:tc>
          <w:tcPr>
            <w:tcW w:w="3561" w:type="pct"/>
            <w:tcBorders>
              <w:top w:val="nil"/>
              <w:left w:val="nil"/>
              <w:bottom w:val="nil"/>
              <w:right w:val="nil"/>
            </w:tcBorders>
            <w:noWrap/>
            <w:vAlign w:val="bottom"/>
            <w:hideMark/>
          </w:tcPr>
          <w:p w14:paraId="3B9C64BD" w14:textId="77777777" w:rsidR="00280632" w:rsidRPr="00471CBA" w:rsidRDefault="00280632" w:rsidP="006025D3">
            <w:pPr>
              <w:spacing w:line="211" w:lineRule="auto"/>
              <w:rPr>
                <w:szCs w:val="20"/>
              </w:rPr>
            </w:pPr>
            <w:r w:rsidRPr="00471CBA">
              <w:rPr>
                <w:szCs w:val="20"/>
              </w:rPr>
              <w:t xml:space="preserve">Maddi duran varlık değer düşüş giderleri </w:t>
            </w:r>
          </w:p>
        </w:tc>
        <w:tc>
          <w:tcPr>
            <w:tcW w:w="1439" w:type="pct"/>
            <w:tcBorders>
              <w:top w:val="nil"/>
              <w:left w:val="nil"/>
              <w:bottom w:val="nil"/>
              <w:right w:val="nil"/>
            </w:tcBorders>
            <w:noWrap/>
            <w:vAlign w:val="center"/>
            <w:hideMark/>
          </w:tcPr>
          <w:p w14:paraId="75721DB6" w14:textId="4DB1233A" w:rsidR="00280632" w:rsidRPr="00471CBA" w:rsidRDefault="00280632" w:rsidP="006025D3">
            <w:pPr>
              <w:spacing w:line="211" w:lineRule="auto"/>
              <w:jc w:val="right"/>
              <w:rPr>
                <w:color w:val="000000"/>
                <w:szCs w:val="20"/>
                <w:lang w:eastAsia="tr-TR"/>
              </w:rPr>
            </w:pPr>
            <w:r w:rsidRPr="00471CBA">
              <w:rPr>
                <w:color w:val="000000"/>
                <w:szCs w:val="20"/>
              </w:rPr>
              <w:t>-</w:t>
            </w:r>
          </w:p>
        </w:tc>
      </w:tr>
      <w:tr w:rsidR="00280632" w:rsidRPr="00471CBA" w14:paraId="38A7FF41" w14:textId="77777777" w:rsidTr="006025D3">
        <w:trPr>
          <w:trHeight w:val="113"/>
        </w:trPr>
        <w:tc>
          <w:tcPr>
            <w:tcW w:w="3561" w:type="pct"/>
            <w:tcBorders>
              <w:top w:val="nil"/>
              <w:left w:val="nil"/>
              <w:bottom w:val="nil"/>
              <w:right w:val="nil"/>
            </w:tcBorders>
            <w:noWrap/>
            <w:vAlign w:val="bottom"/>
            <w:hideMark/>
          </w:tcPr>
          <w:p w14:paraId="0BD591E7" w14:textId="77777777" w:rsidR="00280632" w:rsidRPr="00471CBA" w:rsidRDefault="00280632" w:rsidP="006025D3">
            <w:pPr>
              <w:spacing w:line="211" w:lineRule="auto"/>
              <w:rPr>
                <w:szCs w:val="20"/>
              </w:rPr>
            </w:pPr>
            <w:r w:rsidRPr="00471CBA">
              <w:rPr>
                <w:szCs w:val="20"/>
              </w:rPr>
              <w:t>Maddi duran varlık amortisman giderleri</w:t>
            </w:r>
          </w:p>
        </w:tc>
        <w:tc>
          <w:tcPr>
            <w:tcW w:w="1439" w:type="pct"/>
            <w:tcBorders>
              <w:top w:val="nil"/>
              <w:left w:val="nil"/>
              <w:bottom w:val="nil"/>
              <w:right w:val="nil"/>
            </w:tcBorders>
            <w:noWrap/>
            <w:vAlign w:val="center"/>
            <w:hideMark/>
          </w:tcPr>
          <w:p w14:paraId="26D79CD3" w14:textId="069E6E03" w:rsidR="00280632" w:rsidRPr="00471CBA" w:rsidRDefault="00280632" w:rsidP="006025D3">
            <w:pPr>
              <w:spacing w:line="211" w:lineRule="auto"/>
              <w:jc w:val="right"/>
              <w:rPr>
                <w:color w:val="000000"/>
                <w:szCs w:val="20"/>
                <w:lang w:eastAsia="tr-TR"/>
              </w:rPr>
            </w:pPr>
            <w:r w:rsidRPr="00471CBA">
              <w:rPr>
                <w:color w:val="000000"/>
                <w:szCs w:val="20"/>
              </w:rPr>
              <w:t>68.565</w:t>
            </w:r>
          </w:p>
        </w:tc>
      </w:tr>
      <w:tr w:rsidR="00280632" w:rsidRPr="00471CBA" w14:paraId="48C6AD2D" w14:textId="77777777" w:rsidTr="006025D3">
        <w:trPr>
          <w:trHeight w:val="113"/>
        </w:trPr>
        <w:tc>
          <w:tcPr>
            <w:tcW w:w="3561" w:type="pct"/>
            <w:tcBorders>
              <w:top w:val="nil"/>
              <w:left w:val="nil"/>
              <w:bottom w:val="nil"/>
              <w:right w:val="nil"/>
            </w:tcBorders>
            <w:noWrap/>
            <w:vAlign w:val="bottom"/>
            <w:hideMark/>
          </w:tcPr>
          <w:p w14:paraId="1FF827B9" w14:textId="77777777" w:rsidR="00280632" w:rsidRPr="00471CBA" w:rsidRDefault="00280632" w:rsidP="006025D3">
            <w:pPr>
              <w:spacing w:line="211" w:lineRule="auto"/>
              <w:rPr>
                <w:szCs w:val="20"/>
              </w:rPr>
            </w:pPr>
            <w:r w:rsidRPr="00471CBA">
              <w:rPr>
                <w:szCs w:val="20"/>
              </w:rPr>
              <w:t>Maddi olmayan duran varlık değer düşüş giderleri</w:t>
            </w:r>
          </w:p>
        </w:tc>
        <w:tc>
          <w:tcPr>
            <w:tcW w:w="1439" w:type="pct"/>
            <w:tcBorders>
              <w:top w:val="nil"/>
              <w:left w:val="nil"/>
              <w:bottom w:val="nil"/>
              <w:right w:val="nil"/>
            </w:tcBorders>
            <w:noWrap/>
            <w:vAlign w:val="center"/>
            <w:hideMark/>
          </w:tcPr>
          <w:p w14:paraId="62AAAD49" w14:textId="1F2A6CB6" w:rsidR="00280632" w:rsidRPr="00471CBA" w:rsidRDefault="00280632" w:rsidP="006025D3">
            <w:pPr>
              <w:spacing w:line="211" w:lineRule="auto"/>
              <w:jc w:val="right"/>
              <w:rPr>
                <w:color w:val="000000"/>
                <w:szCs w:val="20"/>
                <w:lang w:eastAsia="tr-TR"/>
              </w:rPr>
            </w:pPr>
            <w:r w:rsidRPr="00471CBA">
              <w:rPr>
                <w:color w:val="000000"/>
                <w:szCs w:val="20"/>
              </w:rPr>
              <w:t>-</w:t>
            </w:r>
          </w:p>
        </w:tc>
      </w:tr>
      <w:tr w:rsidR="00280632" w:rsidRPr="00471CBA" w14:paraId="1407E626" w14:textId="77777777" w:rsidTr="006025D3">
        <w:trPr>
          <w:trHeight w:val="113"/>
        </w:trPr>
        <w:tc>
          <w:tcPr>
            <w:tcW w:w="3561" w:type="pct"/>
            <w:tcBorders>
              <w:top w:val="nil"/>
              <w:left w:val="nil"/>
              <w:bottom w:val="nil"/>
              <w:right w:val="nil"/>
            </w:tcBorders>
            <w:noWrap/>
            <w:vAlign w:val="bottom"/>
            <w:hideMark/>
          </w:tcPr>
          <w:p w14:paraId="08EE6128" w14:textId="77777777" w:rsidR="00280632" w:rsidRPr="00471CBA" w:rsidRDefault="00280632" w:rsidP="006025D3">
            <w:pPr>
              <w:spacing w:line="211" w:lineRule="auto"/>
              <w:rPr>
                <w:szCs w:val="20"/>
              </w:rPr>
            </w:pPr>
            <w:r w:rsidRPr="00471CBA">
              <w:rPr>
                <w:szCs w:val="20"/>
              </w:rPr>
              <w:t>Şerefiye değer düşüş gideri</w:t>
            </w:r>
          </w:p>
        </w:tc>
        <w:tc>
          <w:tcPr>
            <w:tcW w:w="1439" w:type="pct"/>
            <w:tcBorders>
              <w:top w:val="nil"/>
              <w:left w:val="nil"/>
              <w:bottom w:val="nil"/>
              <w:right w:val="nil"/>
            </w:tcBorders>
            <w:noWrap/>
            <w:vAlign w:val="center"/>
            <w:hideMark/>
          </w:tcPr>
          <w:p w14:paraId="168F56F6" w14:textId="478144AE" w:rsidR="00280632" w:rsidRPr="00471CBA" w:rsidRDefault="00280632" w:rsidP="006025D3">
            <w:pPr>
              <w:spacing w:line="211" w:lineRule="auto"/>
              <w:jc w:val="right"/>
              <w:rPr>
                <w:color w:val="000000"/>
                <w:szCs w:val="20"/>
                <w:lang w:eastAsia="tr-TR"/>
              </w:rPr>
            </w:pPr>
            <w:r w:rsidRPr="00471CBA">
              <w:rPr>
                <w:color w:val="000000"/>
                <w:szCs w:val="20"/>
              </w:rPr>
              <w:t>-</w:t>
            </w:r>
          </w:p>
        </w:tc>
      </w:tr>
      <w:tr w:rsidR="00280632" w:rsidRPr="00471CBA" w14:paraId="3352B8CD" w14:textId="77777777" w:rsidTr="006025D3">
        <w:trPr>
          <w:trHeight w:val="113"/>
        </w:trPr>
        <w:tc>
          <w:tcPr>
            <w:tcW w:w="3561" w:type="pct"/>
            <w:tcBorders>
              <w:top w:val="nil"/>
              <w:left w:val="nil"/>
              <w:bottom w:val="nil"/>
              <w:right w:val="nil"/>
            </w:tcBorders>
            <w:noWrap/>
            <w:vAlign w:val="bottom"/>
            <w:hideMark/>
          </w:tcPr>
          <w:p w14:paraId="0E14FDEC" w14:textId="77777777" w:rsidR="00280632" w:rsidRPr="00471CBA" w:rsidRDefault="00280632" w:rsidP="006025D3">
            <w:pPr>
              <w:spacing w:line="211" w:lineRule="auto"/>
              <w:rPr>
                <w:szCs w:val="20"/>
              </w:rPr>
            </w:pPr>
            <w:r w:rsidRPr="00471CBA">
              <w:rPr>
                <w:szCs w:val="20"/>
              </w:rPr>
              <w:t>Maddi olmayan duran varlık amortisman giderleri</w:t>
            </w:r>
          </w:p>
        </w:tc>
        <w:tc>
          <w:tcPr>
            <w:tcW w:w="1439" w:type="pct"/>
            <w:tcBorders>
              <w:top w:val="nil"/>
              <w:left w:val="nil"/>
              <w:bottom w:val="nil"/>
              <w:right w:val="nil"/>
            </w:tcBorders>
            <w:noWrap/>
            <w:vAlign w:val="center"/>
            <w:hideMark/>
          </w:tcPr>
          <w:p w14:paraId="71AA74E0" w14:textId="113568D3" w:rsidR="00280632" w:rsidRPr="00471CBA" w:rsidRDefault="00280632" w:rsidP="006025D3">
            <w:pPr>
              <w:spacing w:line="211" w:lineRule="auto"/>
              <w:jc w:val="right"/>
              <w:rPr>
                <w:color w:val="000000"/>
                <w:szCs w:val="20"/>
                <w:lang w:eastAsia="tr-TR"/>
              </w:rPr>
            </w:pPr>
            <w:r w:rsidRPr="00471CBA">
              <w:rPr>
                <w:color w:val="000000"/>
                <w:szCs w:val="20"/>
              </w:rPr>
              <w:t>32.750</w:t>
            </w:r>
          </w:p>
        </w:tc>
      </w:tr>
      <w:tr w:rsidR="00280632" w:rsidRPr="00471CBA" w14:paraId="4E05E5CC" w14:textId="77777777" w:rsidTr="006025D3">
        <w:trPr>
          <w:trHeight w:val="113"/>
        </w:trPr>
        <w:tc>
          <w:tcPr>
            <w:tcW w:w="3561" w:type="pct"/>
            <w:tcBorders>
              <w:top w:val="nil"/>
              <w:left w:val="nil"/>
              <w:bottom w:val="nil"/>
              <w:right w:val="nil"/>
            </w:tcBorders>
            <w:noWrap/>
            <w:vAlign w:val="bottom"/>
            <w:hideMark/>
          </w:tcPr>
          <w:p w14:paraId="07885B08" w14:textId="77777777" w:rsidR="00280632" w:rsidRPr="00471CBA" w:rsidRDefault="00280632" w:rsidP="006025D3">
            <w:pPr>
              <w:spacing w:line="211" w:lineRule="auto"/>
              <w:rPr>
                <w:szCs w:val="20"/>
              </w:rPr>
            </w:pPr>
            <w:r w:rsidRPr="00471CBA">
              <w:rPr>
                <w:szCs w:val="20"/>
              </w:rPr>
              <w:t>Özkaynak yöntemi uygulanan ortaklık payları değer düşüş gideri</w:t>
            </w:r>
          </w:p>
        </w:tc>
        <w:tc>
          <w:tcPr>
            <w:tcW w:w="1439" w:type="pct"/>
            <w:tcBorders>
              <w:top w:val="nil"/>
              <w:left w:val="nil"/>
              <w:bottom w:val="nil"/>
              <w:right w:val="nil"/>
            </w:tcBorders>
            <w:noWrap/>
            <w:vAlign w:val="center"/>
            <w:hideMark/>
          </w:tcPr>
          <w:p w14:paraId="7800B3FD" w14:textId="1A610F62" w:rsidR="00280632" w:rsidRPr="00471CBA" w:rsidRDefault="00280632" w:rsidP="006025D3">
            <w:pPr>
              <w:spacing w:line="211" w:lineRule="auto"/>
              <w:jc w:val="right"/>
              <w:rPr>
                <w:color w:val="000000"/>
                <w:szCs w:val="20"/>
                <w:lang w:eastAsia="tr-TR"/>
              </w:rPr>
            </w:pPr>
            <w:r w:rsidRPr="00471CBA">
              <w:rPr>
                <w:color w:val="000000"/>
                <w:szCs w:val="20"/>
              </w:rPr>
              <w:t>-</w:t>
            </w:r>
          </w:p>
        </w:tc>
      </w:tr>
      <w:tr w:rsidR="00280632" w:rsidRPr="00471CBA" w14:paraId="3871C9A8" w14:textId="77777777" w:rsidTr="006025D3">
        <w:trPr>
          <w:trHeight w:val="113"/>
        </w:trPr>
        <w:tc>
          <w:tcPr>
            <w:tcW w:w="3561" w:type="pct"/>
            <w:tcBorders>
              <w:top w:val="nil"/>
              <w:left w:val="nil"/>
              <w:bottom w:val="nil"/>
              <w:right w:val="nil"/>
            </w:tcBorders>
            <w:noWrap/>
            <w:vAlign w:val="bottom"/>
            <w:hideMark/>
          </w:tcPr>
          <w:p w14:paraId="534DAABC" w14:textId="77777777" w:rsidR="00280632" w:rsidRPr="00471CBA" w:rsidRDefault="00280632" w:rsidP="006025D3">
            <w:pPr>
              <w:spacing w:line="211" w:lineRule="auto"/>
              <w:rPr>
                <w:szCs w:val="20"/>
              </w:rPr>
            </w:pPr>
            <w:r w:rsidRPr="00471CBA">
              <w:rPr>
                <w:szCs w:val="20"/>
              </w:rPr>
              <w:t>Elden çıkarılacak kıymetler değer düşüş giderleri</w:t>
            </w:r>
          </w:p>
        </w:tc>
        <w:tc>
          <w:tcPr>
            <w:tcW w:w="1439" w:type="pct"/>
            <w:tcBorders>
              <w:top w:val="nil"/>
              <w:left w:val="nil"/>
              <w:bottom w:val="nil"/>
              <w:right w:val="nil"/>
            </w:tcBorders>
            <w:noWrap/>
            <w:vAlign w:val="center"/>
            <w:hideMark/>
          </w:tcPr>
          <w:p w14:paraId="258D4A8D" w14:textId="15164244" w:rsidR="00280632" w:rsidRPr="00471CBA" w:rsidRDefault="00280632" w:rsidP="006025D3">
            <w:pPr>
              <w:spacing w:line="211" w:lineRule="auto"/>
              <w:jc w:val="right"/>
              <w:rPr>
                <w:color w:val="000000"/>
                <w:szCs w:val="20"/>
                <w:lang w:eastAsia="tr-TR"/>
              </w:rPr>
            </w:pPr>
            <w:r w:rsidRPr="00471CBA">
              <w:rPr>
                <w:color w:val="000000"/>
                <w:szCs w:val="20"/>
              </w:rPr>
              <w:t>-</w:t>
            </w:r>
          </w:p>
        </w:tc>
      </w:tr>
      <w:tr w:rsidR="00280632" w:rsidRPr="00471CBA" w14:paraId="7A816293" w14:textId="77777777" w:rsidTr="006025D3">
        <w:trPr>
          <w:trHeight w:val="113"/>
        </w:trPr>
        <w:tc>
          <w:tcPr>
            <w:tcW w:w="3561" w:type="pct"/>
            <w:tcBorders>
              <w:top w:val="nil"/>
              <w:left w:val="nil"/>
              <w:bottom w:val="nil"/>
              <w:right w:val="nil"/>
            </w:tcBorders>
            <w:noWrap/>
            <w:vAlign w:val="bottom"/>
            <w:hideMark/>
          </w:tcPr>
          <w:p w14:paraId="005201FC" w14:textId="77777777" w:rsidR="00280632" w:rsidRPr="00471CBA" w:rsidRDefault="00280632" w:rsidP="006025D3">
            <w:pPr>
              <w:spacing w:line="211" w:lineRule="auto"/>
              <w:rPr>
                <w:szCs w:val="20"/>
              </w:rPr>
            </w:pPr>
            <w:r w:rsidRPr="00471CBA">
              <w:rPr>
                <w:szCs w:val="20"/>
              </w:rPr>
              <w:t>Elden çıkarılacak kıymetler amortisman giderleri</w:t>
            </w:r>
          </w:p>
        </w:tc>
        <w:tc>
          <w:tcPr>
            <w:tcW w:w="1439" w:type="pct"/>
            <w:tcBorders>
              <w:top w:val="nil"/>
              <w:left w:val="nil"/>
              <w:bottom w:val="nil"/>
              <w:right w:val="nil"/>
            </w:tcBorders>
            <w:noWrap/>
            <w:vAlign w:val="center"/>
            <w:hideMark/>
          </w:tcPr>
          <w:p w14:paraId="0315E867" w14:textId="1616BDDD" w:rsidR="00280632" w:rsidRPr="00471CBA" w:rsidRDefault="00280632" w:rsidP="006025D3">
            <w:pPr>
              <w:spacing w:line="211" w:lineRule="auto"/>
              <w:jc w:val="right"/>
              <w:rPr>
                <w:color w:val="000000"/>
                <w:szCs w:val="20"/>
                <w:lang w:eastAsia="tr-TR"/>
              </w:rPr>
            </w:pPr>
            <w:r w:rsidRPr="00471CBA">
              <w:rPr>
                <w:color w:val="000000"/>
                <w:szCs w:val="20"/>
              </w:rPr>
              <w:t>-</w:t>
            </w:r>
          </w:p>
        </w:tc>
      </w:tr>
      <w:tr w:rsidR="00280632" w:rsidRPr="00471CBA" w14:paraId="5BD25121" w14:textId="77777777" w:rsidTr="006025D3">
        <w:trPr>
          <w:trHeight w:val="113"/>
        </w:trPr>
        <w:tc>
          <w:tcPr>
            <w:tcW w:w="3561" w:type="pct"/>
            <w:tcBorders>
              <w:top w:val="nil"/>
              <w:left w:val="nil"/>
              <w:bottom w:val="nil"/>
              <w:right w:val="nil"/>
            </w:tcBorders>
            <w:noWrap/>
            <w:vAlign w:val="bottom"/>
            <w:hideMark/>
          </w:tcPr>
          <w:p w14:paraId="3A686E83" w14:textId="77777777" w:rsidR="006025D3" w:rsidRDefault="00280632" w:rsidP="006025D3">
            <w:pPr>
              <w:spacing w:line="211" w:lineRule="auto"/>
              <w:rPr>
                <w:szCs w:val="20"/>
              </w:rPr>
            </w:pPr>
            <w:r w:rsidRPr="00471CBA">
              <w:rPr>
                <w:szCs w:val="20"/>
              </w:rPr>
              <w:t>Satış amaçlı elde tutulan ve durdurulan faaliyetlere ilişkin duran varlıklar</w:t>
            </w:r>
          </w:p>
          <w:p w14:paraId="50AF9338" w14:textId="2B3EAF64" w:rsidR="00280632" w:rsidRPr="00471CBA" w:rsidRDefault="006025D3" w:rsidP="006025D3">
            <w:pPr>
              <w:spacing w:line="211" w:lineRule="auto"/>
              <w:rPr>
                <w:szCs w:val="20"/>
              </w:rPr>
            </w:pPr>
            <w:r>
              <w:rPr>
                <w:szCs w:val="20"/>
              </w:rPr>
              <w:t xml:space="preserve">   </w:t>
            </w:r>
            <w:r w:rsidR="00280632" w:rsidRPr="00471CBA">
              <w:rPr>
                <w:szCs w:val="20"/>
              </w:rPr>
              <w:t xml:space="preserve"> değer düşüş giderleri</w:t>
            </w:r>
          </w:p>
        </w:tc>
        <w:tc>
          <w:tcPr>
            <w:tcW w:w="1439" w:type="pct"/>
            <w:tcBorders>
              <w:top w:val="nil"/>
              <w:left w:val="nil"/>
              <w:bottom w:val="nil"/>
              <w:right w:val="nil"/>
            </w:tcBorders>
            <w:noWrap/>
            <w:vAlign w:val="center"/>
            <w:hideMark/>
          </w:tcPr>
          <w:p w14:paraId="4251EBDD" w14:textId="6FE17259" w:rsidR="00280632" w:rsidRPr="00471CBA" w:rsidRDefault="00280632" w:rsidP="006025D3">
            <w:pPr>
              <w:spacing w:line="211" w:lineRule="auto"/>
              <w:jc w:val="right"/>
              <w:rPr>
                <w:color w:val="000000"/>
                <w:szCs w:val="20"/>
                <w:lang w:eastAsia="tr-TR"/>
              </w:rPr>
            </w:pPr>
            <w:r w:rsidRPr="00471CBA">
              <w:rPr>
                <w:color w:val="000000"/>
                <w:szCs w:val="20"/>
              </w:rPr>
              <w:t>-</w:t>
            </w:r>
          </w:p>
        </w:tc>
      </w:tr>
      <w:tr w:rsidR="00280632" w:rsidRPr="00471CBA" w14:paraId="19D8024E" w14:textId="77777777" w:rsidTr="006025D3">
        <w:trPr>
          <w:trHeight w:val="113"/>
        </w:trPr>
        <w:tc>
          <w:tcPr>
            <w:tcW w:w="3561" w:type="pct"/>
            <w:tcBorders>
              <w:top w:val="nil"/>
              <w:left w:val="nil"/>
              <w:bottom w:val="nil"/>
              <w:right w:val="nil"/>
            </w:tcBorders>
            <w:noWrap/>
            <w:vAlign w:val="bottom"/>
            <w:hideMark/>
          </w:tcPr>
          <w:p w14:paraId="2E7F42A5" w14:textId="77777777" w:rsidR="00280632" w:rsidRPr="00471CBA" w:rsidRDefault="00280632" w:rsidP="006025D3">
            <w:pPr>
              <w:spacing w:line="211" w:lineRule="auto"/>
              <w:rPr>
                <w:szCs w:val="20"/>
              </w:rPr>
            </w:pPr>
            <w:r w:rsidRPr="00471CBA">
              <w:rPr>
                <w:szCs w:val="20"/>
              </w:rPr>
              <w:t>Diğer işletme giderleri</w:t>
            </w:r>
          </w:p>
        </w:tc>
        <w:tc>
          <w:tcPr>
            <w:tcW w:w="1439" w:type="pct"/>
            <w:tcBorders>
              <w:top w:val="nil"/>
              <w:left w:val="nil"/>
              <w:bottom w:val="nil"/>
              <w:right w:val="nil"/>
            </w:tcBorders>
            <w:noWrap/>
            <w:vAlign w:val="center"/>
            <w:hideMark/>
          </w:tcPr>
          <w:p w14:paraId="3CE0DF01" w14:textId="33752720" w:rsidR="00280632" w:rsidRPr="00471CBA" w:rsidRDefault="00280632" w:rsidP="006025D3">
            <w:pPr>
              <w:spacing w:line="211" w:lineRule="auto"/>
              <w:jc w:val="right"/>
              <w:rPr>
                <w:color w:val="000000"/>
                <w:szCs w:val="20"/>
                <w:lang w:eastAsia="tr-TR"/>
              </w:rPr>
            </w:pPr>
            <w:r w:rsidRPr="00471CBA">
              <w:rPr>
                <w:color w:val="000000"/>
                <w:szCs w:val="20"/>
              </w:rPr>
              <w:t>208.622</w:t>
            </w:r>
          </w:p>
        </w:tc>
      </w:tr>
      <w:tr w:rsidR="00280632" w:rsidRPr="00471CBA" w14:paraId="33EEBFB9" w14:textId="77777777" w:rsidTr="006025D3">
        <w:trPr>
          <w:trHeight w:val="113"/>
        </w:trPr>
        <w:tc>
          <w:tcPr>
            <w:tcW w:w="3561" w:type="pct"/>
            <w:tcBorders>
              <w:top w:val="nil"/>
              <w:left w:val="nil"/>
              <w:bottom w:val="nil"/>
              <w:right w:val="nil"/>
            </w:tcBorders>
            <w:noWrap/>
            <w:vAlign w:val="bottom"/>
            <w:hideMark/>
          </w:tcPr>
          <w:p w14:paraId="0EDD351E" w14:textId="77777777" w:rsidR="00280632" w:rsidRPr="00471CBA" w:rsidRDefault="00280632" w:rsidP="006025D3">
            <w:pPr>
              <w:spacing w:line="211" w:lineRule="auto"/>
              <w:ind w:firstLine="209"/>
              <w:rPr>
                <w:szCs w:val="20"/>
              </w:rPr>
            </w:pPr>
            <w:r w:rsidRPr="00471CBA">
              <w:rPr>
                <w:rFonts w:eastAsia="Arial Unicode MS"/>
                <w:szCs w:val="20"/>
              </w:rPr>
              <w:t>TFRS 16 istisnalarına ilişkin kiralama giderleri</w:t>
            </w:r>
          </w:p>
        </w:tc>
        <w:tc>
          <w:tcPr>
            <w:tcW w:w="1439" w:type="pct"/>
            <w:tcBorders>
              <w:top w:val="nil"/>
              <w:left w:val="nil"/>
              <w:bottom w:val="nil"/>
              <w:right w:val="nil"/>
            </w:tcBorders>
            <w:noWrap/>
            <w:vAlign w:val="center"/>
            <w:hideMark/>
          </w:tcPr>
          <w:p w14:paraId="062E2930" w14:textId="0C002017" w:rsidR="00280632" w:rsidRPr="00471CBA" w:rsidRDefault="00280632" w:rsidP="006025D3">
            <w:pPr>
              <w:spacing w:line="211" w:lineRule="auto"/>
              <w:jc w:val="right"/>
              <w:rPr>
                <w:color w:val="000000"/>
                <w:szCs w:val="20"/>
                <w:lang w:eastAsia="tr-TR"/>
              </w:rPr>
            </w:pPr>
            <w:r w:rsidRPr="00471CBA">
              <w:rPr>
                <w:color w:val="000000"/>
                <w:szCs w:val="20"/>
              </w:rPr>
              <w:t>59.416</w:t>
            </w:r>
          </w:p>
        </w:tc>
      </w:tr>
      <w:tr w:rsidR="00280632" w:rsidRPr="00471CBA" w14:paraId="3651E28E" w14:textId="77777777" w:rsidTr="006025D3">
        <w:trPr>
          <w:trHeight w:val="113"/>
        </w:trPr>
        <w:tc>
          <w:tcPr>
            <w:tcW w:w="3561" w:type="pct"/>
            <w:tcBorders>
              <w:top w:val="nil"/>
              <w:left w:val="nil"/>
              <w:bottom w:val="nil"/>
              <w:right w:val="nil"/>
            </w:tcBorders>
            <w:noWrap/>
            <w:vAlign w:val="bottom"/>
            <w:hideMark/>
          </w:tcPr>
          <w:p w14:paraId="693DF944" w14:textId="77777777" w:rsidR="00280632" w:rsidRPr="00471CBA" w:rsidRDefault="00280632" w:rsidP="006025D3">
            <w:pPr>
              <w:spacing w:line="211" w:lineRule="auto"/>
              <w:ind w:firstLine="209"/>
              <w:rPr>
                <w:szCs w:val="20"/>
              </w:rPr>
            </w:pPr>
            <w:r w:rsidRPr="00471CBA">
              <w:rPr>
                <w:rFonts w:eastAsia="Arial Unicode MS"/>
                <w:szCs w:val="20"/>
              </w:rPr>
              <w:t>Bakım ve onarım giderleri</w:t>
            </w:r>
          </w:p>
        </w:tc>
        <w:tc>
          <w:tcPr>
            <w:tcW w:w="1439" w:type="pct"/>
            <w:tcBorders>
              <w:top w:val="nil"/>
              <w:left w:val="nil"/>
              <w:bottom w:val="nil"/>
              <w:right w:val="nil"/>
            </w:tcBorders>
            <w:noWrap/>
            <w:vAlign w:val="center"/>
            <w:hideMark/>
          </w:tcPr>
          <w:p w14:paraId="0AE96199" w14:textId="370B0787" w:rsidR="00280632" w:rsidRPr="00471CBA" w:rsidRDefault="00280632" w:rsidP="006025D3">
            <w:pPr>
              <w:spacing w:line="211" w:lineRule="auto"/>
              <w:jc w:val="right"/>
              <w:rPr>
                <w:color w:val="000000"/>
                <w:szCs w:val="20"/>
                <w:lang w:eastAsia="tr-TR"/>
              </w:rPr>
            </w:pPr>
            <w:r w:rsidRPr="00471CBA">
              <w:rPr>
                <w:color w:val="000000"/>
                <w:szCs w:val="20"/>
              </w:rPr>
              <w:t>7.830</w:t>
            </w:r>
          </w:p>
        </w:tc>
      </w:tr>
      <w:tr w:rsidR="00280632" w:rsidRPr="00471CBA" w14:paraId="2897FBF5" w14:textId="77777777" w:rsidTr="006025D3">
        <w:trPr>
          <w:trHeight w:val="113"/>
        </w:trPr>
        <w:tc>
          <w:tcPr>
            <w:tcW w:w="3561" w:type="pct"/>
            <w:tcBorders>
              <w:top w:val="nil"/>
              <w:left w:val="nil"/>
              <w:bottom w:val="nil"/>
              <w:right w:val="nil"/>
            </w:tcBorders>
            <w:noWrap/>
            <w:vAlign w:val="bottom"/>
            <w:hideMark/>
          </w:tcPr>
          <w:p w14:paraId="7E6D2F5C" w14:textId="77777777" w:rsidR="00280632" w:rsidRPr="00471CBA" w:rsidRDefault="00280632" w:rsidP="006025D3">
            <w:pPr>
              <w:spacing w:line="211" w:lineRule="auto"/>
              <w:ind w:firstLine="209"/>
              <w:rPr>
                <w:szCs w:val="20"/>
              </w:rPr>
            </w:pPr>
            <w:r w:rsidRPr="00471CBA">
              <w:rPr>
                <w:rFonts w:eastAsia="Arial Unicode MS"/>
                <w:szCs w:val="20"/>
              </w:rPr>
              <w:t>Reklam ve ilan giderleri</w:t>
            </w:r>
          </w:p>
        </w:tc>
        <w:tc>
          <w:tcPr>
            <w:tcW w:w="1439" w:type="pct"/>
            <w:tcBorders>
              <w:top w:val="nil"/>
              <w:left w:val="nil"/>
              <w:bottom w:val="nil"/>
              <w:right w:val="nil"/>
            </w:tcBorders>
            <w:noWrap/>
            <w:vAlign w:val="center"/>
            <w:hideMark/>
          </w:tcPr>
          <w:p w14:paraId="5B821622" w14:textId="74DEA8AF" w:rsidR="00280632" w:rsidRPr="00471CBA" w:rsidRDefault="00280632" w:rsidP="006025D3">
            <w:pPr>
              <w:spacing w:line="211" w:lineRule="auto"/>
              <w:jc w:val="right"/>
              <w:rPr>
                <w:color w:val="000000"/>
                <w:szCs w:val="20"/>
                <w:lang w:eastAsia="tr-TR"/>
              </w:rPr>
            </w:pPr>
            <w:r w:rsidRPr="00471CBA">
              <w:rPr>
                <w:color w:val="000000"/>
                <w:szCs w:val="20"/>
              </w:rPr>
              <w:t>10.766</w:t>
            </w:r>
          </w:p>
        </w:tc>
      </w:tr>
      <w:tr w:rsidR="00280632" w:rsidRPr="00471CBA" w14:paraId="2D4732A3" w14:textId="77777777" w:rsidTr="006025D3">
        <w:trPr>
          <w:trHeight w:val="113"/>
        </w:trPr>
        <w:tc>
          <w:tcPr>
            <w:tcW w:w="3561" w:type="pct"/>
            <w:tcBorders>
              <w:top w:val="nil"/>
              <w:left w:val="nil"/>
              <w:bottom w:val="nil"/>
              <w:right w:val="nil"/>
            </w:tcBorders>
            <w:noWrap/>
            <w:vAlign w:val="bottom"/>
            <w:hideMark/>
          </w:tcPr>
          <w:p w14:paraId="69A9A52B" w14:textId="77777777" w:rsidR="00280632" w:rsidRPr="00471CBA" w:rsidRDefault="00280632" w:rsidP="006025D3">
            <w:pPr>
              <w:spacing w:line="211" w:lineRule="auto"/>
              <w:ind w:firstLine="209"/>
              <w:rPr>
                <w:szCs w:val="20"/>
              </w:rPr>
            </w:pPr>
            <w:r w:rsidRPr="00471CBA">
              <w:rPr>
                <w:szCs w:val="20"/>
              </w:rPr>
              <w:t>Diğer giderler</w:t>
            </w:r>
            <w:r w:rsidRPr="00471CBA">
              <w:rPr>
                <w:szCs w:val="20"/>
                <w:vertAlign w:val="superscript"/>
              </w:rPr>
              <w:t>(*)</w:t>
            </w:r>
          </w:p>
        </w:tc>
        <w:tc>
          <w:tcPr>
            <w:tcW w:w="1439" w:type="pct"/>
            <w:tcBorders>
              <w:top w:val="nil"/>
              <w:left w:val="nil"/>
              <w:bottom w:val="nil"/>
              <w:right w:val="nil"/>
            </w:tcBorders>
            <w:noWrap/>
            <w:vAlign w:val="center"/>
            <w:hideMark/>
          </w:tcPr>
          <w:p w14:paraId="1EFB6465" w14:textId="457B5AE8" w:rsidR="00280632" w:rsidRPr="00471CBA" w:rsidRDefault="00280632" w:rsidP="006025D3">
            <w:pPr>
              <w:spacing w:line="211" w:lineRule="auto"/>
              <w:jc w:val="right"/>
              <w:rPr>
                <w:color w:val="000000"/>
                <w:szCs w:val="20"/>
                <w:lang w:eastAsia="tr-TR"/>
              </w:rPr>
            </w:pPr>
            <w:r w:rsidRPr="00471CBA">
              <w:rPr>
                <w:color w:val="000000"/>
                <w:szCs w:val="20"/>
              </w:rPr>
              <w:t>130.610</w:t>
            </w:r>
          </w:p>
        </w:tc>
      </w:tr>
      <w:tr w:rsidR="00280632" w:rsidRPr="00471CBA" w14:paraId="09441981" w14:textId="77777777" w:rsidTr="006025D3">
        <w:trPr>
          <w:trHeight w:val="113"/>
        </w:trPr>
        <w:tc>
          <w:tcPr>
            <w:tcW w:w="3561" w:type="pct"/>
            <w:tcBorders>
              <w:top w:val="nil"/>
              <w:left w:val="nil"/>
              <w:bottom w:val="nil"/>
              <w:right w:val="nil"/>
            </w:tcBorders>
            <w:noWrap/>
            <w:vAlign w:val="bottom"/>
            <w:hideMark/>
          </w:tcPr>
          <w:p w14:paraId="1F6E56AE" w14:textId="77777777" w:rsidR="00280632" w:rsidRPr="00471CBA" w:rsidRDefault="00280632" w:rsidP="006025D3">
            <w:pPr>
              <w:spacing w:line="211" w:lineRule="auto"/>
              <w:rPr>
                <w:szCs w:val="20"/>
              </w:rPr>
            </w:pPr>
            <w:r w:rsidRPr="00471CBA">
              <w:rPr>
                <w:szCs w:val="20"/>
              </w:rPr>
              <w:t>Aktiflerin satışından doğan zararlar</w:t>
            </w:r>
          </w:p>
        </w:tc>
        <w:tc>
          <w:tcPr>
            <w:tcW w:w="1439" w:type="pct"/>
            <w:tcBorders>
              <w:top w:val="nil"/>
              <w:left w:val="nil"/>
              <w:bottom w:val="nil"/>
              <w:right w:val="nil"/>
            </w:tcBorders>
            <w:noWrap/>
            <w:vAlign w:val="center"/>
            <w:hideMark/>
          </w:tcPr>
          <w:p w14:paraId="0BA30D5B" w14:textId="5020BDD3" w:rsidR="00280632" w:rsidRPr="00471CBA" w:rsidRDefault="00280632" w:rsidP="006025D3">
            <w:pPr>
              <w:spacing w:line="211" w:lineRule="auto"/>
              <w:jc w:val="right"/>
              <w:rPr>
                <w:color w:val="000000"/>
                <w:szCs w:val="20"/>
                <w:lang w:eastAsia="tr-TR"/>
              </w:rPr>
            </w:pPr>
            <w:r w:rsidRPr="00471CBA">
              <w:rPr>
                <w:color w:val="000000"/>
                <w:szCs w:val="20"/>
              </w:rPr>
              <w:t>8</w:t>
            </w:r>
          </w:p>
        </w:tc>
      </w:tr>
      <w:tr w:rsidR="00280632" w:rsidRPr="00471CBA" w14:paraId="125500A0" w14:textId="77777777" w:rsidTr="006025D3">
        <w:trPr>
          <w:trHeight w:val="113"/>
        </w:trPr>
        <w:tc>
          <w:tcPr>
            <w:tcW w:w="3561" w:type="pct"/>
            <w:tcBorders>
              <w:top w:val="nil"/>
              <w:left w:val="nil"/>
              <w:bottom w:val="single" w:sz="4" w:space="0" w:color="auto"/>
              <w:right w:val="nil"/>
            </w:tcBorders>
            <w:noWrap/>
            <w:vAlign w:val="bottom"/>
            <w:hideMark/>
          </w:tcPr>
          <w:p w14:paraId="14931B3E" w14:textId="77777777" w:rsidR="00280632" w:rsidRPr="00471CBA" w:rsidRDefault="00280632" w:rsidP="006025D3">
            <w:pPr>
              <w:spacing w:line="211" w:lineRule="auto"/>
              <w:rPr>
                <w:szCs w:val="20"/>
              </w:rPr>
            </w:pPr>
            <w:r w:rsidRPr="00471CBA">
              <w:rPr>
                <w:rFonts w:eastAsia="Arial Unicode MS"/>
                <w:szCs w:val="20"/>
              </w:rPr>
              <w:t>Diğer</w:t>
            </w:r>
            <w:r w:rsidRPr="00471CBA">
              <w:rPr>
                <w:rFonts w:eastAsia="Arial Unicode MS"/>
                <w:szCs w:val="20"/>
                <w:vertAlign w:val="superscript"/>
              </w:rPr>
              <w:t>(**)</w:t>
            </w:r>
          </w:p>
        </w:tc>
        <w:tc>
          <w:tcPr>
            <w:tcW w:w="1439" w:type="pct"/>
            <w:tcBorders>
              <w:top w:val="nil"/>
              <w:left w:val="nil"/>
              <w:bottom w:val="single" w:sz="4" w:space="0" w:color="auto"/>
              <w:right w:val="nil"/>
            </w:tcBorders>
            <w:noWrap/>
            <w:vAlign w:val="center"/>
            <w:hideMark/>
          </w:tcPr>
          <w:p w14:paraId="21353C3F" w14:textId="2C579051" w:rsidR="00280632" w:rsidRPr="00471CBA" w:rsidRDefault="00280632" w:rsidP="006025D3">
            <w:pPr>
              <w:spacing w:line="211" w:lineRule="auto"/>
              <w:jc w:val="right"/>
              <w:rPr>
                <w:color w:val="000000"/>
                <w:szCs w:val="20"/>
                <w:lang w:eastAsia="tr-TR"/>
              </w:rPr>
            </w:pPr>
            <w:r w:rsidRPr="00471CBA">
              <w:rPr>
                <w:color w:val="000000"/>
                <w:szCs w:val="20"/>
              </w:rPr>
              <w:t>122.873</w:t>
            </w:r>
          </w:p>
        </w:tc>
      </w:tr>
      <w:tr w:rsidR="00280632" w:rsidRPr="00471CBA" w14:paraId="54D884B2" w14:textId="77777777" w:rsidTr="006025D3">
        <w:trPr>
          <w:trHeight w:val="113"/>
        </w:trPr>
        <w:tc>
          <w:tcPr>
            <w:tcW w:w="3561" w:type="pct"/>
            <w:tcBorders>
              <w:top w:val="nil"/>
              <w:left w:val="nil"/>
              <w:right w:val="nil"/>
            </w:tcBorders>
            <w:vAlign w:val="bottom"/>
            <w:hideMark/>
          </w:tcPr>
          <w:p w14:paraId="6205B564" w14:textId="77777777" w:rsidR="00280632" w:rsidRPr="00471CBA" w:rsidRDefault="00280632" w:rsidP="006025D3">
            <w:pPr>
              <w:spacing w:line="211" w:lineRule="auto"/>
              <w:rPr>
                <w:szCs w:val="20"/>
              </w:rPr>
            </w:pPr>
          </w:p>
        </w:tc>
        <w:tc>
          <w:tcPr>
            <w:tcW w:w="1439" w:type="pct"/>
            <w:tcBorders>
              <w:top w:val="nil"/>
              <w:left w:val="nil"/>
              <w:right w:val="nil"/>
            </w:tcBorders>
            <w:vAlign w:val="center"/>
            <w:hideMark/>
          </w:tcPr>
          <w:p w14:paraId="51F5916B" w14:textId="0E19A344" w:rsidR="00280632" w:rsidRPr="00471CBA" w:rsidRDefault="00280632" w:rsidP="006025D3">
            <w:pPr>
              <w:spacing w:line="211" w:lineRule="auto"/>
              <w:jc w:val="right"/>
              <w:rPr>
                <w:color w:val="000000"/>
                <w:szCs w:val="20"/>
                <w:lang w:eastAsia="tr-TR"/>
              </w:rPr>
            </w:pPr>
            <w:r w:rsidRPr="00471CBA">
              <w:rPr>
                <w:color w:val="000000"/>
                <w:szCs w:val="20"/>
              </w:rPr>
              <w:t> </w:t>
            </w:r>
          </w:p>
        </w:tc>
      </w:tr>
      <w:tr w:rsidR="00280632" w:rsidRPr="00471CBA" w14:paraId="1A58310B" w14:textId="77777777" w:rsidTr="006025D3">
        <w:trPr>
          <w:trHeight w:val="113"/>
        </w:trPr>
        <w:tc>
          <w:tcPr>
            <w:tcW w:w="3561" w:type="pct"/>
            <w:tcBorders>
              <w:top w:val="nil"/>
              <w:left w:val="nil"/>
              <w:bottom w:val="single" w:sz="12" w:space="0" w:color="auto"/>
              <w:right w:val="nil"/>
            </w:tcBorders>
            <w:vAlign w:val="bottom"/>
            <w:hideMark/>
          </w:tcPr>
          <w:p w14:paraId="11677DCE" w14:textId="77777777" w:rsidR="00280632" w:rsidRPr="00471CBA" w:rsidRDefault="00280632" w:rsidP="006025D3">
            <w:pPr>
              <w:spacing w:line="211" w:lineRule="auto"/>
              <w:rPr>
                <w:b/>
                <w:bCs/>
                <w:szCs w:val="20"/>
              </w:rPr>
            </w:pPr>
            <w:r w:rsidRPr="00471CBA">
              <w:rPr>
                <w:b/>
                <w:bCs/>
                <w:szCs w:val="20"/>
              </w:rPr>
              <w:t>Toplam</w:t>
            </w:r>
          </w:p>
        </w:tc>
        <w:tc>
          <w:tcPr>
            <w:tcW w:w="1439" w:type="pct"/>
            <w:tcBorders>
              <w:top w:val="nil"/>
              <w:left w:val="nil"/>
              <w:bottom w:val="single" w:sz="12" w:space="0" w:color="auto"/>
              <w:right w:val="nil"/>
            </w:tcBorders>
            <w:noWrap/>
            <w:vAlign w:val="center"/>
            <w:hideMark/>
          </w:tcPr>
          <w:p w14:paraId="44DE2C59" w14:textId="77D0C18E" w:rsidR="00280632" w:rsidRPr="00471CBA" w:rsidRDefault="00280632" w:rsidP="006025D3">
            <w:pPr>
              <w:spacing w:line="211" w:lineRule="auto"/>
              <w:jc w:val="right"/>
              <w:rPr>
                <w:b/>
                <w:bCs/>
                <w:color w:val="000000"/>
                <w:szCs w:val="20"/>
                <w:lang w:eastAsia="tr-TR"/>
              </w:rPr>
            </w:pPr>
            <w:r w:rsidRPr="00471CBA">
              <w:rPr>
                <w:b/>
                <w:bCs/>
                <w:color w:val="000000"/>
                <w:szCs w:val="20"/>
              </w:rPr>
              <w:t>432.818</w:t>
            </w:r>
          </w:p>
        </w:tc>
      </w:tr>
    </w:tbl>
    <w:p w14:paraId="72D87AD3" w14:textId="77777777" w:rsidR="001C13B0" w:rsidRPr="006025D3" w:rsidRDefault="001C13B0" w:rsidP="006025D3">
      <w:pPr>
        <w:pStyle w:val="GvdeMetniGirintisi"/>
        <w:widowControl w:val="0"/>
        <w:spacing w:line="211" w:lineRule="auto"/>
        <w:ind w:left="851" w:right="206" w:firstLine="0"/>
        <w:rPr>
          <w:iCs/>
          <w:sz w:val="16"/>
          <w:szCs w:val="16"/>
          <w:vertAlign w:val="superscript"/>
        </w:rPr>
      </w:pPr>
    </w:p>
    <w:p w14:paraId="2F26AEB0" w14:textId="41598216" w:rsidR="004A26DC" w:rsidRPr="00471CBA" w:rsidRDefault="00E7156E" w:rsidP="006025D3">
      <w:pPr>
        <w:spacing w:line="211" w:lineRule="auto"/>
        <w:jc w:val="both"/>
        <w:rPr>
          <w:iCs/>
          <w:szCs w:val="20"/>
        </w:rPr>
      </w:pPr>
      <w:r w:rsidRPr="00471CBA">
        <w:rPr>
          <w:iCs/>
          <w:szCs w:val="20"/>
          <w:vertAlign w:val="superscript"/>
        </w:rPr>
        <w:t>(*)</w:t>
      </w:r>
      <w:r w:rsidR="004A26DC" w:rsidRPr="00471CBA">
        <w:rPr>
          <w:iCs/>
          <w:szCs w:val="20"/>
        </w:rPr>
        <w:tab/>
      </w:r>
      <w:r w:rsidRPr="00471CBA">
        <w:rPr>
          <w:iCs/>
          <w:szCs w:val="20"/>
        </w:rPr>
        <w:t xml:space="preserve">Diğer İşletme Giderleri altındaki “Diğer Giderler” bakiyesinin detayları aşağıdaki tablodaki gibidir: </w:t>
      </w:r>
    </w:p>
    <w:p w14:paraId="5DB78D48" w14:textId="006E4FBB" w:rsidR="00A74C68" w:rsidRPr="006025D3" w:rsidRDefault="00A74C68" w:rsidP="006025D3">
      <w:pPr>
        <w:spacing w:line="211" w:lineRule="auto"/>
        <w:rPr>
          <w:sz w:val="16"/>
          <w:szCs w:val="16"/>
        </w:rPr>
      </w:pPr>
    </w:p>
    <w:tbl>
      <w:tblPr>
        <w:tblW w:w="5018" w:type="pct"/>
        <w:tblCellMar>
          <w:left w:w="70" w:type="dxa"/>
          <w:right w:w="70" w:type="dxa"/>
        </w:tblCellMar>
        <w:tblLook w:val="04A0" w:firstRow="1" w:lastRow="0" w:firstColumn="1" w:lastColumn="0" w:noHBand="0" w:noVBand="1"/>
      </w:tblPr>
      <w:tblGrid>
        <w:gridCol w:w="6727"/>
        <w:gridCol w:w="2662"/>
      </w:tblGrid>
      <w:tr w:rsidR="00A74C68" w:rsidRPr="00471CBA" w14:paraId="0A0671DE" w14:textId="77777777" w:rsidTr="006025D3">
        <w:trPr>
          <w:divId w:val="108159734"/>
          <w:trHeight w:val="113"/>
        </w:trPr>
        <w:tc>
          <w:tcPr>
            <w:tcW w:w="3560" w:type="pct"/>
            <w:tcBorders>
              <w:top w:val="nil"/>
              <w:left w:val="nil"/>
              <w:right w:val="nil"/>
            </w:tcBorders>
            <w:noWrap/>
            <w:vAlign w:val="bottom"/>
            <w:hideMark/>
          </w:tcPr>
          <w:p w14:paraId="10FD057F" w14:textId="593191E9" w:rsidR="00A74C68" w:rsidRPr="00471CBA" w:rsidRDefault="00A74C68" w:rsidP="006025D3">
            <w:pPr>
              <w:spacing w:line="211" w:lineRule="auto"/>
              <w:rPr>
                <w:szCs w:val="20"/>
                <w:lang w:eastAsia="tr-TR"/>
              </w:rPr>
            </w:pPr>
          </w:p>
        </w:tc>
        <w:tc>
          <w:tcPr>
            <w:tcW w:w="1440" w:type="pct"/>
            <w:tcBorders>
              <w:top w:val="nil"/>
              <w:left w:val="nil"/>
              <w:bottom w:val="single" w:sz="4" w:space="0" w:color="auto"/>
              <w:right w:val="nil"/>
            </w:tcBorders>
            <w:vAlign w:val="center"/>
            <w:hideMark/>
          </w:tcPr>
          <w:p w14:paraId="55C88E43" w14:textId="77777777" w:rsidR="00A74C68" w:rsidRPr="00471CBA" w:rsidRDefault="00A74C68" w:rsidP="006025D3">
            <w:pPr>
              <w:spacing w:line="211" w:lineRule="auto"/>
              <w:jc w:val="right"/>
              <w:rPr>
                <w:b/>
                <w:bCs/>
                <w:color w:val="000000"/>
                <w:szCs w:val="20"/>
                <w:lang w:eastAsia="tr-TR"/>
              </w:rPr>
            </w:pPr>
            <w:r w:rsidRPr="00471CBA">
              <w:rPr>
                <w:b/>
                <w:bCs/>
                <w:color w:val="000000"/>
                <w:szCs w:val="20"/>
                <w:lang w:eastAsia="tr-TR"/>
              </w:rPr>
              <w:t>1 Ocak - 31 Aralık 2025</w:t>
            </w:r>
          </w:p>
        </w:tc>
      </w:tr>
      <w:tr w:rsidR="00A74C68" w:rsidRPr="00471CBA" w14:paraId="0594C7FF" w14:textId="77777777" w:rsidTr="006025D3">
        <w:trPr>
          <w:divId w:val="108159734"/>
          <w:trHeight w:val="113"/>
        </w:trPr>
        <w:tc>
          <w:tcPr>
            <w:tcW w:w="3560" w:type="pct"/>
            <w:tcBorders>
              <w:top w:val="nil"/>
              <w:left w:val="nil"/>
              <w:bottom w:val="nil"/>
              <w:right w:val="nil"/>
            </w:tcBorders>
            <w:vAlign w:val="center"/>
            <w:hideMark/>
          </w:tcPr>
          <w:p w14:paraId="344AF6BD" w14:textId="77777777" w:rsidR="00A74C68" w:rsidRPr="00471CBA" w:rsidRDefault="00A74C68" w:rsidP="006025D3">
            <w:pPr>
              <w:spacing w:line="211" w:lineRule="auto"/>
              <w:jc w:val="center"/>
              <w:rPr>
                <w:b/>
                <w:bCs/>
                <w:color w:val="000000"/>
                <w:szCs w:val="20"/>
                <w:lang w:eastAsia="tr-TR"/>
              </w:rPr>
            </w:pPr>
          </w:p>
        </w:tc>
        <w:tc>
          <w:tcPr>
            <w:tcW w:w="1440" w:type="pct"/>
            <w:tcBorders>
              <w:top w:val="single" w:sz="4" w:space="0" w:color="auto"/>
              <w:left w:val="nil"/>
              <w:bottom w:val="nil"/>
              <w:right w:val="nil"/>
            </w:tcBorders>
            <w:noWrap/>
            <w:vAlign w:val="center"/>
            <w:hideMark/>
          </w:tcPr>
          <w:p w14:paraId="3AE88721" w14:textId="77777777" w:rsidR="00A74C68" w:rsidRPr="00471CBA" w:rsidRDefault="00A74C68" w:rsidP="006025D3">
            <w:pPr>
              <w:spacing w:line="211" w:lineRule="auto"/>
              <w:jc w:val="right"/>
              <w:rPr>
                <w:szCs w:val="20"/>
                <w:lang w:eastAsia="tr-TR"/>
              </w:rPr>
            </w:pPr>
          </w:p>
        </w:tc>
      </w:tr>
      <w:tr w:rsidR="00A74C68" w:rsidRPr="00471CBA" w14:paraId="2DA10598" w14:textId="77777777" w:rsidTr="006025D3">
        <w:trPr>
          <w:divId w:val="108159734"/>
          <w:trHeight w:val="113"/>
        </w:trPr>
        <w:tc>
          <w:tcPr>
            <w:tcW w:w="3560" w:type="pct"/>
            <w:tcBorders>
              <w:top w:val="nil"/>
              <w:left w:val="nil"/>
              <w:bottom w:val="nil"/>
              <w:right w:val="nil"/>
            </w:tcBorders>
            <w:vAlign w:val="center"/>
            <w:hideMark/>
          </w:tcPr>
          <w:p w14:paraId="37C92E4B" w14:textId="77777777" w:rsidR="00A74C68" w:rsidRPr="00471CBA" w:rsidRDefault="00A74C68" w:rsidP="006025D3">
            <w:pPr>
              <w:spacing w:line="211" w:lineRule="auto"/>
              <w:jc w:val="both"/>
              <w:rPr>
                <w:color w:val="000000"/>
                <w:szCs w:val="20"/>
                <w:lang w:eastAsia="tr-TR"/>
              </w:rPr>
            </w:pPr>
            <w:r w:rsidRPr="00471CBA">
              <w:rPr>
                <w:color w:val="000000"/>
                <w:szCs w:val="20"/>
                <w:lang w:eastAsia="tr-TR"/>
              </w:rPr>
              <w:t>Aidatlar</w:t>
            </w:r>
          </w:p>
        </w:tc>
        <w:tc>
          <w:tcPr>
            <w:tcW w:w="1440" w:type="pct"/>
            <w:tcBorders>
              <w:top w:val="nil"/>
              <w:left w:val="nil"/>
              <w:bottom w:val="nil"/>
              <w:right w:val="nil"/>
            </w:tcBorders>
            <w:noWrap/>
            <w:vAlign w:val="center"/>
            <w:hideMark/>
          </w:tcPr>
          <w:p w14:paraId="3C01D6FA" w14:textId="77777777" w:rsidR="00A74C68" w:rsidRPr="00471CBA" w:rsidRDefault="00A74C68" w:rsidP="006025D3">
            <w:pPr>
              <w:spacing w:line="211" w:lineRule="auto"/>
              <w:jc w:val="right"/>
              <w:rPr>
                <w:color w:val="000000"/>
                <w:szCs w:val="20"/>
                <w:lang w:eastAsia="tr-TR"/>
              </w:rPr>
            </w:pPr>
            <w:r w:rsidRPr="00471CBA">
              <w:rPr>
                <w:color w:val="000000"/>
                <w:szCs w:val="20"/>
                <w:lang w:eastAsia="tr-TR"/>
              </w:rPr>
              <w:t>2.745</w:t>
            </w:r>
          </w:p>
        </w:tc>
      </w:tr>
      <w:tr w:rsidR="00A74C68" w:rsidRPr="00471CBA" w14:paraId="7FFFA45D" w14:textId="77777777" w:rsidTr="006025D3">
        <w:trPr>
          <w:divId w:val="108159734"/>
          <w:trHeight w:val="113"/>
        </w:trPr>
        <w:tc>
          <w:tcPr>
            <w:tcW w:w="3560" w:type="pct"/>
            <w:tcBorders>
              <w:top w:val="nil"/>
              <w:left w:val="nil"/>
              <w:bottom w:val="nil"/>
              <w:right w:val="nil"/>
            </w:tcBorders>
            <w:noWrap/>
            <w:vAlign w:val="center"/>
            <w:hideMark/>
          </w:tcPr>
          <w:p w14:paraId="15606AB8" w14:textId="77777777" w:rsidR="00A74C68" w:rsidRPr="00471CBA" w:rsidRDefault="00A74C68" w:rsidP="006025D3">
            <w:pPr>
              <w:spacing w:line="211" w:lineRule="auto"/>
              <w:rPr>
                <w:color w:val="000000"/>
                <w:szCs w:val="20"/>
                <w:lang w:eastAsia="tr-TR"/>
              </w:rPr>
            </w:pPr>
            <w:r w:rsidRPr="00471CBA">
              <w:rPr>
                <w:color w:val="000000"/>
                <w:szCs w:val="20"/>
                <w:lang w:eastAsia="tr-TR"/>
              </w:rPr>
              <w:t>Haberleşme giderleri</w:t>
            </w:r>
          </w:p>
        </w:tc>
        <w:tc>
          <w:tcPr>
            <w:tcW w:w="1440" w:type="pct"/>
            <w:tcBorders>
              <w:top w:val="nil"/>
              <w:left w:val="nil"/>
              <w:bottom w:val="nil"/>
              <w:right w:val="nil"/>
            </w:tcBorders>
            <w:noWrap/>
            <w:vAlign w:val="center"/>
            <w:hideMark/>
          </w:tcPr>
          <w:p w14:paraId="2EEAC7CC" w14:textId="77777777" w:rsidR="00A74C68" w:rsidRPr="00471CBA" w:rsidRDefault="00A74C68" w:rsidP="006025D3">
            <w:pPr>
              <w:spacing w:line="211" w:lineRule="auto"/>
              <w:jc w:val="right"/>
              <w:rPr>
                <w:color w:val="000000"/>
                <w:szCs w:val="20"/>
                <w:lang w:eastAsia="tr-TR"/>
              </w:rPr>
            </w:pPr>
            <w:r w:rsidRPr="00471CBA">
              <w:rPr>
                <w:color w:val="000000"/>
                <w:szCs w:val="20"/>
                <w:lang w:eastAsia="tr-TR"/>
              </w:rPr>
              <w:t>31.432</w:t>
            </w:r>
          </w:p>
        </w:tc>
      </w:tr>
      <w:tr w:rsidR="00A74C68" w:rsidRPr="00471CBA" w14:paraId="197AB3CE" w14:textId="77777777" w:rsidTr="006025D3">
        <w:trPr>
          <w:divId w:val="108159734"/>
          <w:trHeight w:val="113"/>
        </w:trPr>
        <w:tc>
          <w:tcPr>
            <w:tcW w:w="3560" w:type="pct"/>
            <w:tcBorders>
              <w:top w:val="nil"/>
              <w:left w:val="nil"/>
              <w:bottom w:val="nil"/>
              <w:right w:val="nil"/>
            </w:tcBorders>
            <w:noWrap/>
            <w:vAlign w:val="center"/>
            <w:hideMark/>
          </w:tcPr>
          <w:p w14:paraId="0D517A07" w14:textId="77777777" w:rsidR="00A74C68" w:rsidRPr="00471CBA" w:rsidRDefault="00A74C68" w:rsidP="006025D3">
            <w:pPr>
              <w:spacing w:line="211" w:lineRule="auto"/>
              <w:rPr>
                <w:color w:val="000000"/>
                <w:szCs w:val="20"/>
                <w:lang w:eastAsia="tr-TR"/>
              </w:rPr>
            </w:pPr>
            <w:r w:rsidRPr="00471CBA">
              <w:rPr>
                <w:color w:val="000000"/>
                <w:szCs w:val="20"/>
                <w:lang w:eastAsia="tr-TR"/>
              </w:rPr>
              <w:t>Temizlik giderleri</w:t>
            </w:r>
          </w:p>
        </w:tc>
        <w:tc>
          <w:tcPr>
            <w:tcW w:w="1440" w:type="pct"/>
            <w:tcBorders>
              <w:top w:val="nil"/>
              <w:left w:val="nil"/>
              <w:bottom w:val="nil"/>
              <w:right w:val="nil"/>
            </w:tcBorders>
            <w:noWrap/>
            <w:vAlign w:val="center"/>
            <w:hideMark/>
          </w:tcPr>
          <w:p w14:paraId="09C303F0" w14:textId="77777777" w:rsidR="00A74C68" w:rsidRPr="00471CBA" w:rsidRDefault="00A74C68" w:rsidP="006025D3">
            <w:pPr>
              <w:spacing w:line="211" w:lineRule="auto"/>
              <w:jc w:val="right"/>
              <w:rPr>
                <w:color w:val="000000"/>
                <w:szCs w:val="20"/>
                <w:lang w:eastAsia="tr-TR"/>
              </w:rPr>
            </w:pPr>
            <w:r w:rsidRPr="00471CBA">
              <w:rPr>
                <w:color w:val="000000"/>
                <w:szCs w:val="20"/>
                <w:lang w:eastAsia="tr-TR"/>
              </w:rPr>
              <w:t>47.422</w:t>
            </w:r>
          </w:p>
        </w:tc>
      </w:tr>
      <w:tr w:rsidR="00A74C68" w:rsidRPr="00471CBA" w14:paraId="71D7DE68" w14:textId="77777777" w:rsidTr="006025D3">
        <w:trPr>
          <w:divId w:val="108159734"/>
          <w:trHeight w:val="113"/>
        </w:trPr>
        <w:tc>
          <w:tcPr>
            <w:tcW w:w="3560" w:type="pct"/>
            <w:tcBorders>
              <w:top w:val="nil"/>
              <w:left w:val="nil"/>
              <w:bottom w:val="nil"/>
              <w:right w:val="nil"/>
            </w:tcBorders>
            <w:noWrap/>
            <w:vAlign w:val="center"/>
            <w:hideMark/>
          </w:tcPr>
          <w:p w14:paraId="1350A05C" w14:textId="77777777" w:rsidR="00A74C68" w:rsidRPr="00471CBA" w:rsidRDefault="00A74C68" w:rsidP="006025D3">
            <w:pPr>
              <w:spacing w:line="211" w:lineRule="auto"/>
              <w:rPr>
                <w:color w:val="000000"/>
                <w:szCs w:val="20"/>
                <w:lang w:eastAsia="tr-TR"/>
              </w:rPr>
            </w:pPr>
            <w:r w:rsidRPr="00471CBA">
              <w:rPr>
                <w:color w:val="000000"/>
                <w:szCs w:val="20"/>
                <w:lang w:eastAsia="tr-TR"/>
              </w:rPr>
              <w:t>Isıtma aydınlatma ve su giderleri</w:t>
            </w:r>
          </w:p>
        </w:tc>
        <w:tc>
          <w:tcPr>
            <w:tcW w:w="1440" w:type="pct"/>
            <w:tcBorders>
              <w:top w:val="nil"/>
              <w:left w:val="nil"/>
              <w:bottom w:val="nil"/>
              <w:right w:val="nil"/>
            </w:tcBorders>
            <w:noWrap/>
            <w:vAlign w:val="center"/>
            <w:hideMark/>
          </w:tcPr>
          <w:p w14:paraId="17249795" w14:textId="77777777" w:rsidR="00A74C68" w:rsidRPr="00471CBA" w:rsidRDefault="00A74C68" w:rsidP="006025D3">
            <w:pPr>
              <w:spacing w:line="211" w:lineRule="auto"/>
              <w:jc w:val="right"/>
              <w:rPr>
                <w:color w:val="000000"/>
                <w:szCs w:val="20"/>
                <w:lang w:eastAsia="tr-TR"/>
              </w:rPr>
            </w:pPr>
            <w:r w:rsidRPr="00471CBA">
              <w:rPr>
                <w:color w:val="000000"/>
                <w:szCs w:val="20"/>
                <w:lang w:eastAsia="tr-TR"/>
              </w:rPr>
              <w:t>10.871</w:t>
            </w:r>
          </w:p>
        </w:tc>
      </w:tr>
      <w:tr w:rsidR="00A74C68" w:rsidRPr="00471CBA" w14:paraId="0982F505" w14:textId="77777777" w:rsidTr="006025D3">
        <w:trPr>
          <w:divId w:val="108159734"/>
          <w:trHeight w:val="113"/>
        </w:trPr>
        <w:tc>
          <w:tcPr>
            <w:tcW w:w="3560" w:type="pct"/>
            <w:tcBorders>
              <w:top w:val="nil"/>
              <w:left w:val="nil"/>
              <w:bottom w:val="nil"/>
              <w:right w:val="nil"/>
            </w:tcBorders>
            <w:noWrap/>
            <w:vAlign w:val="center"/>
            <w:hideMark/>
          </w:tcPr>
          <w:p w14:paraId="017C2D3A" w14:textId="77777777" w:rsidR="00A74C68" w:rsidRPr="00471CBA" w:rsidRDefault="00A74C68" w:rsidP="006025D3">
            <w:pPr>
              <w:spacing w:line="211" w:lineRule="auto"/>
              <w:rPr>
                <w:color w:val="000000"/>
                <w:szCs w:val="20"/>
                <w:lang w:eastAsia="tr-TR"/>
              </w:rPr>
            </w:pPr>
            <w:r w:rsidRPr="00471CBA">
              <w:rPr>
                <w:color w:val="000000"/>
                <w:szCs w:val="20"/>
                <w:lang w:eastAsia="tr-TR"/>
              </w:rPr>
              <w:t>Temsil ve ağırlama giderleri</w:t>
            </w:r>
          </w:p>
        </w:tc>
        <w:tc>
          <w:tcPr>
            <w:tcW w:w="1440" w:type="pct"/>
            <w:tcBorders>
              <w:top w:val="nil"/>
              <w:left w:val="nil"/>
              <w:bottom w:val="nil"/>
              <w:right w:val="nil"/>
            </w:tcBorders>
            <w:noWrap/>
            <w:vAlign w:val="center"/>
            <w:hideMark/>
          </w:tcPr>
          <w:p w14:paraId="13DFBDD9" w14:textId="77777777" w:rsidR="00A74C68" w:rsidRPr="00471CBA" w:rsidRDefault="00A74C68" w:rsidP="006025D3">
            <w:pPr>
              <w:spacing w:line="211" w:lineRule="auto"/>
              <w:jc w:val="right"/>
              <w:rPr>
                <w:color w:val="000000"/>
                <w:szCs w:val="20"/>
                <w:lang w:eastAsia="tr-TR"/>
              </w:rPr>
            </w:pPr>
            <w:r w:rsidRPr="00471CBA">
              <w:rPr>
                <w:color w:val="000000"/>
                <w:szCs w:val="20"/>
                <w:lang w:eastAsia="tr-TR"/>
              </w:rPr>
              <w:t>16.492</w:t>
            </w:r>
          </w:p>
        </w:tc>
      </w:tr>
      <w:tr w:rsidR="00A74C68" w:rsidRPr="00471CBA" w14:paraId="307D3DBA" w14:textId="77777777" w:rsidTr="006025D3">
        <w:trPr>
          <w:divId w:val="108159734"/>
          <w:trHeight w:val="113"/>
        </w:trPr>
        <w:tc>
          <w:tcPr>
            <w:tcW w:w="3560" w:type="pct"/>
            <w:tcBorders>
              <w:top w:val="nil"/>
              <w:left w:val="nil"/>
              <w:bottom w:val="nil"/>
              <w:right w:val="nil"/>
            </w:tcBorders>
            <w:noWrap/>
            <w:vAlign w:val="center"/>
            <w:hideMark/>
          </w:tcPr>
          <w:p w14:paraId="7FFE6EDB" w14:textId="77777777" w:rsidR="00A74C68" w:rsidRPr="00471CBA" w:rsidRDefault="00A74C68" w:rsidP="006025D3">
            <w:pPr>
              <w:spacing w:line="211" w:lineRule="auto"/>
              <w:rPr>
                <w:color w:val="000000"/>
                <w:szCs w:val="20"/>
                <w:lang w:eastAsia="tr-TR"/>
              </w:rPr>
            </w:pPr>
            <w:r w:rsidRPr="00471CBA">
              <w:rPr>
                <w:color w:val="000000"/>
                <w:szCs w:val="20"/>
                <w:lang w:eastAsia="tr-TR"/>
              </w:rPr>
              <w:t>Taşıt aracı giderleri</w:t>
            </w:r>
          </w:p>
        </w:tc>
        <w:tc>
          <w:tcPr>
            <w:tcW w:w="1440" w:type="pct"/>
            <w:tcBorders>
              <w:top w:val="nil"/>
              <w:left w:val="nil"/>
              <w:bottom w:val="nil"/>
              <w:right w:val="nil"/>
            </w:tcBorders>
            <w:noWrap/>
            <w:vAlign w:val="center"/>
            <w:hideMark/>
          </w:tcPr>
          <w:p w14:paraId="5EEFCC4B" w14:textId="77777777" w:rsidR="00A74C68" w:rsidRPr="00471CBA" w:rsidRDefault="00A74C68" w:rsidP="006025D3">
            <w:pPr>
              <w:spacing w:line="211" w:lineRule="auto"/>
              <w:jc w:val="right"/>
              <w:rPr>
                <w:color w:val="000000"/>
                <w:szCs w:val="20"/>
                <w:lang w:eastAsia="tr-TR"/>
              </w:rPr>
            </w:pPr>
            <w:r w:rsidRPr="00471CBA">
              <w:rPr>
                <w:color w:val="000000"/>
                <w:szCs w:val="20"/>
                <w:lang w:eastAsia="tr-TR"/>
              </w:rPr>
              <w:t>17.582</w:t>
            </w:r>
          </w:p>
        </w:tc>
      </w:tr>
      <w:tr w:rsidR="00A74C68" w:rsidRPr="00471CBA" w14:paraId="0FFEE7D3" w14:textId="77777777" w:rsidTr="006025D3">
        <w:trPr>
          <w:divId w:val="108159734"/>
          <w:trHeight w:val="113"/>
        </w:trPr>
        <w:tc>
          <w:tcPr>
            <w:tcW w:w="3560" w:type="pct"/>
            <w:tcBorders>
              <w:top w:val="nil"/>
              <w:left w:val="nil"/>
              <w:bottom w:val="nil"/>
              <w:right w:val="nil"/>
            </w:tcBorders>
            <w:noWrap/>
            <w:vAlign w:val="bottom"/>
            <w:hideMark/>
          </w:tcPr>
          <w:p w14:paraId="4FB5D24D" w14:textId="77777777" w:rsidR="00A74C68" w:rsidRPr="00471CBA" w:rsidRDefault="00A74C68" w:rsidP="006025D3">
            <w:pPr>
              <w:spacing w:line="211" w:lineRule="auto"/>
              <w:rPr>
                <w:color w:val="000000"/>
                <w:szCs w:val="20"/>
                <w:lang w:eastAsia="tr-TR"/>
              </w:rPr>
            </w:pPr>
            <w:r w:rsidRPr="00471CBA">
              <w:rPr>
                <w:color w:val="000000"/>
                <w:szCs w:val="20"/>
                <w:lang w:eastAsia="tr-TR"/>
              </w:rPr>
              <w:t>Kırtasiye giderleri</w:t>
            </w:r>
          </w:p>
        </w:tc>
        <w:tc>
          <w:tcPr>
            <w:tcW w:w="1440" w:type="pct"/>
            <w:tcBorders>
              <w:top w:val="nil"/>
              <w:left w:val="nil"/>
              <w:bottom w:val="nil"/>
              <w:right w:val="nil"/>
            </w:tcBorders>
            <w:noWrap/>
            <w:vAlign w:val="center"/>
            <w:hideMark/>
          </w:tcPr>
          <w:p w14:paraId="0D51A3A0" w14:textId="77777777" w:rsidR="00A74C68" w:rsidRPr="00471CBA" w:rsidRDefault="00A74C68" w:rsidP="006025D3">
            <w:pPr>
              <w:spacing w:line="211" w:lineRule="auto"/>
              <w:jc w:val="right"/>
              <w:rPr>
                <w:color w:val="000000"/>
                <w:szCs w:val="20"/>
                <w:lang w:eastAsia="tr-TR"/>
              </w:rPr>
            </w:pPr>
            <w:r w:rsidRPr="00471CBA">
              <w:rPr>
                <w:color w:val="000000"/>
                <w:szCs w:val="20"/>
                <w:lang w:eastAsia="tr-TR"/>
              </w:rPr>
              <w:t>4.926</w:t>
            </w:r>
          </w:p>
        </w:tc>
      </w:tr>
      <w:tr w:rsidR="00A74C68" w:rsidRPr="00471CBA" w14:paraId="797F7B53" w14:textId="77777777" w:rsidTr="006025D3">
        <w:trPr>
          <w:divId w:val="108159734"/>
          <w:trHeight w:val="113"/>
        </w:trPr>
        <w:tc>
          <w:tcPr>
            <w:tcW w:w="3560" w:type="pct"/>
            <w:tcBorders>
              <w:top w:val="nil"/>
              <w:left w:val="nil"/>
              <w:bottom w:val="nil"/>
              <w:right w:val="nil"/>
            </w:tcBorders>
            <w:noWrap/>
            <w:vAlign w:val="bottom"/>
            <w:hideMark/>
          </w:tcPr>
          <w:p w14:paraId="4110540E" w14:textId="77777777" w:rsidR="00A74C68" w:rsidRPr="00471CBA" w:rsidRDefault="00A74C68" w:rsidP="006025D3">
            <w:pPr>
              <w:spacing w:line="211" w:lineRule="auto"/>
              <w:rPr>
                <w:color w:val="000000"/>
                <w:szCs w:val="20"/>
                <w:lang w:eastAsia="tr-TR"/>
              </w:rPr>
            </w:pPr>
            <w:r w:rsidRPr="00471CBA">
              <w:rPr>
                <w:color w:val="000000"/>
                <w:szCs w:val="20"/>
                <w:lang w:eastAsia="tr-TR"/>
              </w:rPr>
              <w:t>Bilgisayar kullanım giderleri</w:t>
            </w:r>
          </w:p>
        </w:tc>
        <w:tc>
          <w:tcPr>
            <w:tcW w:w="1440" w:type="pct"/>
            <w:tcBorders>
              <w:top w:val="nil"/>
              <w:left w:val="nil"/>
              <w:bottom w:val="nil"/>
              <w:right w:val="nil"/>
            </w:tcBorders>
            <w:noWrap/>
            <w:vAlign w:val="center"/>
            <w:hideMark/>
          </w:tcPr>
          <w:p w14:paraId="2A758517" w14:textId="77777777" w:rsidR="00A74C68" w:rsidRPr="00471CBA" w:rsidRDefault="00A74C68" w:rsidP="006025D3">
            <w:pPr>
              <w:spacing w:line="211" w:lineRule="auto"/>
              <w:jc w:val="right"/>
              <w:rPr>
                <w:color w:val="000000"/>
                <w:szCs w:val="20"/>
                <w:lang w:eastAsia="tr-TR"/>
              </w:rPr>
            </w:pPr>
            <w:r w:rsidRPr="00471CBA">
              <w:rPr>
                <w:color w:val="000000"/>
                <w:szCs w:val="20"/>
                <w:lang w:eastAsia="tr-TR"/>
              </w:rPr>
              <w:t>80.896</w:t>
            </w:r>
          </w:p>
        </w:tc>
      </w:tr>
      <w:tr w:rsidR="00A74C68" w:rsidRPr="00471CBA" w14:paraId="7DF881AA" w14:textId="77777777" w:rsidTr="006025D3">
        <w:trPr>
          <w:divId w:val="108159734"/>
          <w:trHeight w:val="113"/>
        </w:trPr>
        <w:tc>
          <w:tcPr>
            <w:tcW w:w="3560" w:type="pct"/>
            <w:tcBorders>
              <w:top w:val="nil"/>
              <w:left w:val="nil"/>
              <w:bottom w:val="nil"/>
              <w:right w:val="nil"/>
            </w:tcBorders>
            <w:noWrap/>
            <w:vAlign w:val="bottom"/>
            <w:hideMark/>
          </w:tcPr>
          <w:p w14:paraId="2AAB134B" w14:textId="77777777" w:rsidR="00A74C68" w:rsidRPr="00471CBA" w:rsidRDefault="00A74C68" w:rsidP="006025D3">
            <w:pPr>
              <w:spacing w:line="211" w:lineRule="auto"/>
              <w:rPr>
                <w:color w:val="000000"/>
                <w:szCs w:val="20"/>
                <w:lang w:eastAsia="tr-TR"/>
              </w:rPr>
            </w:pPr>
            <w:r w:rsidRPr="00471CBA">
              <w:rPr>
                <w:color w:val="000000"/>
                <w:szCs w:val="20"/>
                <w:lang w:eastAsia="tr-TR"/>
              </w:rPr>
              <w:t>Güvenlik hizmet giderleri</w:t>
            </w:r>
          </w:p>
        </w:tc>
        <w:tc>
          <w:tcPr>
            <w:tcW w:w="1440" w:type="pct"/>
            <w:tcBorders>
              <w:top w:val="nil"/>
              <w:left w:val="nil"/>
              <w:bottom w:val="nil"/>
              <w:right w:val="nil"/>
            </w:tcBorders>
            <w:noWrap/>
            <w:vAlign w:val="center"/>
            <w:hideMark/>
          </w:tcPr>
          <w:p w14:paraId="000FECB5" w14:textId="77777777" w:rsidR="00A74C68" w:rsidRPr="00471CBA" w:rsidRDefault="00A74C68" w:rsidP="006025D3">
            <w:pPr>
              <w:spacing w:line="211" w:lineRule="auto"/>
              <w:jc w:val="right"/>
              <w:rPr>
                <w:color w:val="000000"/>
                <w:szCs w:val="20"/>
                <w:lang w:eastAsia="tr-TR"/>
              </w:rPr>
            </w:pPr>
            <w:r w:rsidRPr="00471CBA">
              <w:rPr>
                <w:color w:val="000000"/>
                <w:szCs w:val="20"/>
                <w:lang w:eastAsia="tr-TR"/>
              </w:rPr>
              <w:t>33.275</w:t>
            </w:r>
          </w:p>
        </w:tc>
      </w:tr>
      <w:tr w:rsidR="00A74C68" w:rsidRPr="00471CBA" w14:paraId="7AA87362" w14:textId="77777777" w:rsidTr="006025D3">
        <w:trPr>
          <w:divId w:val="108159734"/>
          <w:trHeight w:val="113"/>
        </w:trPr>
        <w:tc>
          <w:tcPr>
            <w:tcW w:w="3560" w:type="pct"/>
            <w:tcBorders>
              <w:top w:val="nil"/>
              <w:left w:val="nil"/>
              <w:right w:val="nil"/>
            </w:tcBorders>
            <w:noWrap/>
            <w:vAlign w:val="bottom"/>
            <w:hideMark/>
          </w:tcPr>
          <w:p w14:paraId="41935384" w14:textId="77777777" w:rsidR="00A74C68" w:rsidRPr="00471CBA" w:rsidRDefault="00A74C68" w:rsidP="006025D3">
            <w:pPr>
              <w:spacing w:line="211" w:lineRule="auto"/>
              <w:rPr>
                <w:color w:val="000000"/>
                <w:szCs w:val="20"/>
                <w:lang w:eastAsia="tr-TR"/>
              </w:rPr>
            </w:pPr>
            <w:r w:rsidRPr="00471CBA">
              <w:rPr>
                <w:color w:val="000000"/>
                <w:szCs w:val="20"/>
                <w:lang w:eastAsia="tr-TR"/>
              </w:rPr>
              <w:t>Kredi kartları ve bankacılık hizmetlerine ilişkin promosyon uygulamaları giderleri</w:t>
            </w:r>
          </w:p>
        </w:tc>
        <w:tc>
          <w:tcPr>
            <w:tcW w:w="1440" w:type="pct"/>
            <w:tcBorders>
              <w:top w:val="nil"/>
              <w:left w:val="nil"/>
              <w:right w:val="nil"/>
            </w:tcBorders>
            <w:noWrap/>
            <w:vAlign w:val="center"/>
            <w:hideMark/>
          </w:tcPr>
          <w:p w14:paraId="4BF7C0B3" w14:textId="77777777" w:rsidR="00A74C68" w:rsidRPr="00471CBA" w:rsidRDefault="00A74C68" w:rsidP="006025D3">
            <w:pPr>
              <w:spacing w:line="211" w:lineRule="auto"/>
              <w:jc w:val="right"/>
              <w:rPr>
                <w:color w:val="000000"/>
                <w:szCs w:val="20"/>
                <w:lang w:eastAsia="tr-TR"/>
              </w:rPr>
            </w:pPr>
            <w:r w:rsidRPr="00471CBA">
              <w:rPr>
                <w:color w:val="000000"/>
                <w:szCs w:val="20"/>
                <w:lang w:eastAsia="tr-TR"/>
              </w:rPr>
              <w:t>8.323</w:t>
            </w:r>
          </w:p>
        </w:tc>
      </w:tr>
      <w:tr w:rsidR="00A74C68" w:rsidRPr="00471CBA" w14:paraId="1270ED73" w14:textId="77777777" w:rsidTr="006025D3">
        <w:trPr>
          <w:divId w:val="108159734"/>
          <w:trHeight w:val="113"/>
        </w:trPr>
        <w:tc>
          <w:tcPr>
            <w:tcW w:w="3560" w:type="pct"/>
            <w:tcBorders>
              <w:top w:val="nil"/>
              <w:left w:val="nil"/>
              <w:right w:val="nil"/>
            </w:tcBorders>
            <w:noWrap/>
            <w:vAlign w:val="bottom"/>
            <w:hideMark/>
          </w:tcPr>
          <w:p w14:paraId="2B5F6712" w14:textId="77777777" w:rsidR="00A74C68" w:rsidRPr="00471CBA" w:rsidRDefault="00A74C68" w:rsidP="006025D3">
            <w:pPr>
              <w:spacing w:line="211" w:lineRule="auto"/>
              <w:rPr>
                <w:color w:val="000000"/>
                <w:szCs w:val="20"/>
                <w:lang w:eastAsia="tr-TR"/>
              </w:rPr>
            </w:pPr>
            <w:r w:rsidRPr="00471CBA">
              <w:rPr>
                <w:color w:val="000000"/>
                <w:szCs w:val="20"/>
                <w:lang w:eastAsia="tr-TR"/>
              </w:rPr>
              <w:t>Nakliye, hamaliye ve küçük demirbaş giderleri</w:t>
            </w:r>
          </w:p>
        </w:tc>
        <w:tc>
          <w:tcPr>
            <w:tcW w:w="1440" w:type="pct"/>
            <w:tcBorders>
              <w:top w:val="nil"/>
              <w:left w:val="nil"/>
              <w:right w:val="nil"/>
            </w:tcBorders>
            <w:noWrap/>
            <w:vAlign w:val="bottom"/>
            <w:hideMark/>
          </w:tcPr>
          <w:p w14:paraId="0601E9BF" w14:textId="77777777" w:rsidR="00A74C68" w:rsidRPr="00471CBA" w:rsidRDefault="00A74C68" w:rsidP="006025D3">
            <w:pPr>
              <w:spacing w:line="211" w:lineRule="auto"/>
              <w:jc w:val="right"/>
              <w:rPr>
                <w:color w:val="000000"/>
                <w:szCs w:val="20"/>
                <w:lang w:eastAsia="tr-TR"/>
              </w:rPr>
            </w:pPr>
            <w:r w:rsidRPr="00471CBA">
              <w:rPr>
                <w:color w:val="000000"/>
                <w:szCs w:val="20"/>
                <w:lang w:eastAsia="tr-TR"/>
              </w:rPr>
              <w:t>5.054</w:t>
            </w:r>
          </w:p>
        </w:tc>
      </w:tr>
      <w:tr w:rsidR="00A74C68" w:rsidRPr="00471CBA" w14:paraId="50BE2EBB" w14:textId="77777777" w:rsidTr="006025D3">
        <w:trPr>
          <w:divId w:val="108159734"/>
          <w:trHeight w:val="113"/>
        </w:trPr>
        <w:tc>
          <w:tcPr>
            <w:tcW w:w="3560" w:type="pct"/>
            <w:tcBorders>
              <w:left w:val="nil"/>
              <w:bottom w:val="single" w:sz="4" w:space="0" w:color="auto"/>
              <w:right w:val="nil"/>
            </w:tcBorders>
            <w:noWrap/>
            <w:vAlign w:val="center"/>
            <w:hideMark/>
          </w:tcPr>
          <w:p w14:paraId="11521CF0" w14:textId="77777777" w:rsidR="00A74C68" w:rsidRPr="00471CBA" w:rsidRDefault="00A74C68" w:rsidP="006025D3">
            <w:pPr>
              <w:spacing w:line="211" w:lineRule="auto"/>
              <w:rPr>
                <w:color w:val="000000"/>
                <w:szCs w:val="20"/>
                <w:lang w:eastAsia="tr-TR"/>
              </w:rPr>
            </w:pPr>
            <w:r w:rsidRPr="00471CBA">
              <w:rPr>
                <w:color w:val="000000"/>
                <w:szCs w:val="20"/>
                <w:lang w:eastAsia="tr-TR"/>
              </w:rPr>
              <w:t>Diğer</w:t>
            </w:r>
          </w:p>
        </w:tc>
        <w:tc>
          <w:tcPr>
            <w:tcW w:w="1440" w:type="pct"/>
            <w:tcBorders>
              <w:left w:val="nil"/>
              <w:bottom w:val="single" w:sz="4" w:space="0" w:color="auto"/>
              <w:right w:val="nil"/>
            </w:tcBorders>
            <w:noWrap/>
            <w:vAlign w:val="center"/>
            <w:hideMark/>
          </w:tcPr>
          <w:p w14:paraId="162CD398" w14:textId="77777777" w:rsidR="00A74C68" w:rsidRPr="00471CBA" w:rsidRDefault="00A74C68" w:rsidP="006025D3">
            <w:pPr>
              <w:spacing w:line="211" w:lineRule="auto"/>
              <w:jc w:val="right"/>
              <w:rPr>
                <w:color w:val="000000"/>
                <w:szCs w:val="20"/>
                <w:lang w:eastAsia="tr-TR"/>
              </w:rPr>
            </w:pPr>
            <w:r w:rsidRPr="00471CBA">
              <w:rPr>
                <w:color w:val="000000"/>
                <w:szCs w:val="20"/>
                <w:lang w:eastAsia="tr-TR"/>
              </w:rPr>
              <w:t>65.978</w:t>
            </w:r>
          </w:p>
        </w:tc>
      </w:tr>
      <w:tr w:rsidR="00A74C68" w:rsidRPr="00471CBA" w14:paraId="4FCB775B" w14:textId="77777777" w:rsidTr="006025D3">
        <w:trPr>
          <w:divId w:val="108159734"/>
          <w:trHeight w:val="113"/>
        </w:trPr>
        <w:tc>
          <w:tcPr>
            <w:tcW w:w="3560" w:type="pct"/>
            <w:tcBorders>
              <w:top w:val="single" w:sz="4" w:space="0" w:color="auto"/>
              <w:left w:val="nil"/>
              <w:right w:val="nil"/>
            </w:tcBorders>
            <w:vAlign w:val="center"/>
            <w:hideMark/>
          </w:tcPr>
          <w:p w14:paraId="2B13A4D6" w14:textId="77777777" w:rsidR="00A74C68" w:rsidRPr="00471CBA" w:rsidRDefault="00A74C68" w:rsidP="006025D3">
            <w:pPr>
              <w:spacing w:line="211" w:lineRule="auto"/>
              <w:rPr>
                <w:b/>
                <w:bCs/>
                <w:color w:val="000000"/>
                <w:szCs w:val="20"/>
                <w:lang w:eastAsia="tr-TR"/>
              </w:rPr>
            </w:pPr>
          </w:p>
        </w:tc>
        <w:tc>
          <w:tcPr>
            <w:tcW w:w="1440" w:type="pct"/>
            <w:tcBorders>
              <w:top w:val="single" w:sz="4" w:space="0" w:color="auto"/>
              <w:left w:val="nil"/>
              <w:right w:val="nil"/>
            </w:tcBorders>
            <w:noWrap/>
            <w:vAlign w:val="center"/>
            <w:hideMark/>
          </w:tcPr>
          <w:p w14:paraId="2BA7649C" w14:textId="77777777" w:rsidR="00A74C68" w:rsidRPr="00471CBA" w:rsidRDefault="00A74C68" w:rsidP="006025D3">
            <w:pPr>
              <w:spacing w:line="211" w:lineRule="auto"/>
              <w:jc w:val="right"/>
              <w:rPr>
                <w:b/>
                <w:bCs/>
                <w:color w:val="000000"/>
                <w:szCs w:val="20"/>
                <w:lang w:eastAsia="tr-TR"/>
              </w:rPr>
            </w:pPr>
          </w:p>
        </w:tc>
      </w:tr>
      <w:tr w:rsidR="00A74C68" w:rsidRPr="00471CBA" w14:paraId="0B598D82" w14:textId="77777777" w:rsidTr="006025D3">
        <w:trPr>
          <w:divId w:val="108159734"/>
          <w:trHeight w:val="113"/>
        </w:trPr>
        <w:tc>
          <w:tcPr>
            <w:tcW w:w="3560" w:type="pct"/>
            <w:tcBorders>
              <w:top w:val="nil"/>
              <w:left w:val="nil"/>
              <w:bottom w:val="single" w:sz="8" w:space="0" w:color="auto"/>
              <w:right w:val="nil"/>
            </w:tcBorders>
            <w:vAlign w:val="bottom"/>
            <w:hideMark/>
          </w:tcPr>
          <w:p w14:paraId="4BAED139" w14:textId="77777777" w:rsidR="00A74C68" w:rsidRPr="00471CBA" w:rsidRDefault="00A74C68" w:rsidP="006025D3">
            <w:pPr>
              <w:spacing w:line="211" w:lineRule="auto"/>
              <w:jc w:val="both"/>
              <w:rPr>
                <w:b/>
                <w:bCs/>
                <w:color w:val="000000"/>
                <w:szCs w:val="20"/>
                <w:lang w:eastAsia="tr-TR"/>
              </w:rPr>
            </w:pPr>
            <w:r w:rsidRPr="00471CBA">
              <w:rPr>
                <w:b/>
                <w:bCs/>
                <w:color w:val="000000"/>
                <w:szCs w:val="20"/>
                <w:lang w:eastAsia="tr-TR"/>
              </w:rPr>
              <w:t>Toplam</w:t>
            </w:r>
          </w:p>
        </w:tc>
        <w:tc>
          <w:tcPr>
            <w:tcW w:w="1440" w:type="pct"/>
            <w:tcBorders>
              <w:top w:val="nil"/>
              <w:left w:val="nil"/>
              <w:bottom w:val="single" w:sz="8" w:space="0" w:color="auto"/>
              <w:right w:val="nil"/>
            </w:tcBorders>
            <w:noWrap/>
            <w:vAlign w:val="center"/>
            <w:hideMark/>
          </w:tcPr>
          <w:p w14:paraId="0C9D5885" w14:textId="77777777" w:rsidR="00A74C68" w:rsidRPr="00471CBA" w:rsidRDefault="00A74C68" w:rsidP="006025D3">
            <w:pPr>
              <w:spacing w:line="211" w:lineRule="auto"/>
              <w:jc w:val="right"/>
              <w:rPr>
                <w:b/>
                <w:bCs/>
                <w:color w:val="000000"/>
                <w:szCs w:val="20"/>
                <w:lang w:eastAsia="tr-TR"/>
              </w:rPr>
            </w:pPr>
            <w:r w:rsidRPr="00471CBA">
              <w:rPr>
                <w:b/>
                <w:bCs/>
                <w:color w:val="000000"/>
                <w:szCs w:val="20"/>
                <w:lang w:eastAsia="tr-TR"/>
              </w:rPr>
              <w:t>324.996</w:t>
            </w:r>
          </w:p>
        </w:tc>
      </w:tr>
    </w:tbl>
    <w:p w14:paraId="72ADD16F" w14:textId="043F034D" w:rsidR="00E7156E" w:rsidRPr="006025D3" w:rsidRDefault="00E7156E" w:rsidP="006025D3">
      <w:pPr>
        <w:spacing w:line="211" w:lineRule="auto"/>
        <w:rPr>
          <w:sz w:val="16"/>
          <w:szCs w:val="16"/>
        </w:rPr>
      </w:pPr>
    </w:p>
    <w:tbl>
      <w:tblPr>
        <w:tblW w:w="5000" w:type="pct"/>
        <w:tblCellMar>
          <w:left w:w="70" w:type="dxa"/>
          <w:right w:w="70" w:type="dxa"/>
        </w:tblCellMar>
        <w:tblLook w:val="04A0" w:firstRow="1" w:lastRow="0" w:firstColumn="1" w:lastColumn="0" w:noHBand="0" w:noVBand="1"/>
      </w:tblPr>
      <w:tblGrid>
        <w:gridCol w:w="6726"/>
        <w:gridCol w:w="2629"/>
      </w:tblGrid>
      <w:tr w:rsidR="001C13B0" w:rsidRPr="00471CBA" w14:paraId="2AB9347E" w14:textId="77777777" w:rsidTr="006025D3">
        <w:trPr>
          <w:trHeight w:val="113"/>
        </w:trPr>
        <w:tc>
          <w:tcPr>
            <w:tcW w:w="3595" w:type="pct"/>
            <w:tcBorders>
              <w:top w:val="nil"/>
              <w:left w:val="nil"/>
              <w:right w:val="nil"/>
            </w:tcBorders>
            <w:noWrap/>
            <w:vAlign w:val="bottom"/>
            <w:hideMark/>
          </w:tcPr>
          <w:p w14:paraId="55A357D5" w14:textId="77777777" w:rsidR="001C13B0" w:rsidRPr="00471CBA" w:rsidRDefault="001C13B0" w:rsidP="006025D3">
            <w:pPr>
              <w:spacing w:line="211" w:lineRule="auto"/>
              <w:rPr>
                <w:szCs w:val="20"/>
                <w:lang w:eastAsia="tr-TR"/>
              </w:rPr>
            </w:pPr>
          </w:p>
        </w:tc>
        <w:tc>
          <w:tcPr>
            <w:tcW w:w="1405" w:type="pct"/>
            <w:tcBorders>
              <w:top w:val="nil"/>
              <w:left w:val="nil"/>
              <w:bottom w:val="single" w:sz="4" w:space="0" w:color="auto"/>
              <w:right w:val="nil"/>
            </w:tcBorders>
            <w:vAlign w:val="center"/>
            <w:hideMark/>
          </w:tcPr>
          <w:p w14:paraId="5CB51A27" w14:textId="2AD890B9" w:rsidR="001C13B0" w:rsidRPr="00471CBA" w:rsidRDefault="00BD44A6" w:rsidP="006025D3">
            <w:pPr>
              <w:spacing w:line="211" w:lineRule="auto"/>
              <w:jc w:val="right"/>
              <w:rPr>
                <w:b/>
                <w:bCs/>
                <w:color w:val="000000"/>
                <w:szCs w:val="20"/>
                <w:lang w:eastAsia="tr-TR"/>
              </w:rPr>
            </w:pPr>
            <w:r w:rsidRPr="00471CBA">
              <w:rPr>
                <w:b/>
                <w:bCs/>
                <w:color w:val="000000"/>
                <w:szCs w:val="20"/>
                <w:lang w:eastAsia="tr-TR"/>
              </w:rPr>
              <w:t>1 Ocak - 31 Aralık 2024</w:t>
            </w:r>
          </w:p>
        </w:tc>
      </w:tr>
      <w:tr w:rsidR="001C13B0" w:rsidRPr="00471CBA" w14:paraId="62709782" w14:textId="77777777" w:rsidTr="006025D3">
        <w:trPr>
          <w:trHeight w:val="113"/>
        </w:trPr>
        <w:tc>
          <w:tcPr>
            <w:tcW w:w="3595" w:type="pct"/>
            <w:tcBorders>
              <w:top w:val="nil"/>
              <w:left w:val="nil"/>
              <w:bottom w:val="nil"/>
              <w:right w:val="nil"/>
            </w:tcBorders>
            <w:vAlign w:val="center"/>
            <w:hideMark/>
          </w:tcPr>
          <w:p w14:paraId="1E1F95F3" w14:textId="77777777" w:rsidR="001C13B0" w:rsidRPr="00471CBA" w:rsidRDefault="001C13B0" w:rsidP="006025D3">
            <w:pPr>
              <w:spacing w:line="211" w:lineRule="auto"/>
              <w:jc w:val="center"/>
              <w:rPr>
                <w:b/>
                <w:bCs/>
                <w:color w:val="000000"/>
                <w:szCs w:val="20"/>
                <w:lang w:eastAsia="tr-TR"/>
              </w:rPr>
            </w:pPr>
          </w:p>
        </w:tc>
        <w:tc>
          <w:tcPr>
            <w:tcW w:w="1405" w:type="pct"/>
            <w:tcBorders>
              <w:top w:val="single" w:sz="4" w:space="0" w:color="auto"/>
              <w:left w:val="nil"/>
              <w:bottom w:val="nil"/>
              <w:right w:val="nil"/>
            </w:tcBorders>
            <w:vAlign w:val="center"/>
            <w:hideMark/>
          </w:tcPr>
          <w:p w14:paraId="6B276C3F" w14:textId="77777777" w:rsidR="001C13B0" w:rsidRPr="00471CBA" w:rsidRDefault="001C13B0" w:rsidP="006025D3">
            <w:pPr>
              <w:spacing w:line="211" w:lineRule="auto"/>
              <w:jc w:val="right"/>
              <w:rPr>
                <w:szCs w:val="20"/>
                <w:lang w:eastAsia="tr-TR"/>
              </w:rPr>
            </w:pPr>
          </w:p>
        </w:tc>
      </w:tr>
      <w:tr w:rsidR="00BD44A6" w:rsidRPr="00471CBA" w14:paraId="417F2F0A" w14:textId="77777777" w:rsidTr="006025D3">
        <w:trPr>
          <w:trHeight w:val="113"/>
        </w:trPr>
        <w:tc>
          <w:tcPr>
            <w:tcW w:w="3595" w:type="pct"/>
            <w:tcBorders>
              <w:top w:val="nil"/>
              <w:left w:val="nil"/>
              <w:bottom w:val="nil"/>
              <w:right w:val="nil"/>
            </w:tcBorders>
            <w:noWrap/>
            <w:vAlign w:val="center"/>
            <w:hideMark/>
          </w:tcPr>
          <w:p w14:paraId="4F00A99C" w14:textId="59A46042" w:rsidR="00BD44A6" w:rsidRPr="00471CBA" w:rsidRDefault="00BD44A6" w:rsidP="006025D3">
            <w:pPr>
              <w:spacing w:line="211" w:lineRule="auto"/>
              <w:rPr>
                <w:color w:val="000000"/>
                <w:szCs w:val="20"/>
                <w:lang w:eastAsia="tr-TR"/>
              </w:rPr>
            </w:pPr>
            <w:r w:rsidRPr="00471CBA">
              <w:rPr>
                <w:color w:val="000000"/>
                <w:szCs w:val="20"/>
                <w:lang w:eastAsia="tr-TR"/>
              </w:rPr>
              <w:t>Aidatlar</w:t>
            </w:r>
          </w:p>
        </w:tc>
        <w:tc>
          <w:tcPr>
            <w:tcW w:w="1405" w:type="pct"/>
            <w:tcBorders>
              <w:top w:val="nil"/>
              <w:left w:val="nil"/>
              <w:bottom w:val="nil"/>
              <w:right w:val="nil"/>
            </w:tcBorders>
            <w:noWrap/>
            <w:vAlign w:val="center"/>
            <w:hideMark/>
          </w:tcPr>
          <w:p w14:paraId="768AAF97" w14:textId="3199D382" w:rsidR="00BD44A6" w:rsidRPr="00471CBA" w:rsidRDefault="00BD44A6" w:rsidP="006025D3">
            <w:pPr>
              <w:spacing w:line="211" w:lineRule="auto"/>
              <w:jc w:val="right"/>
              <w:rPr>
                <w:color w:val="000000"/>
                <w:szCs w:val="20"/>
                <w:lang w:eastAsia="tr-TR"/>
              </w:rPr>
            </w:pPr>
            <w:r w:rsidRPr="00471CBA">
              <w:rPr>
                <w:color w:val="000000"/>
                <w:szCs w:val="20"/>
                <w:lang w:eastAsia="tr-TR"/>
              </w:rPr>
              <w:t>22.225</w:t>
            </w:r>
          </w:p>
        </w:tc>
      </w:tr>
      <w:tr w:rsidR="00BD44A6" w:rsidRPr="00471CBA" w14:paraId="7C677A4B" w14:textId="77777777" w:rsidTr="006025D3">
        <w:trPr>
          <w:trHeight w:val="113"/>
        </w:trPr>
        <w:tc>
          <w:tcPr>
            <w:tcW w:w="3595" w:type="pct"/>
            <w:tcBorders>
              <w:top w:val="nil"/>
              <w:left w:val="nil"/>
              <w:bottom w:val="nil"/>
              <w:right w:val="nil"/>
            </w:tcBorders>
            <w:noWrap/>
            <w:vAlign w:val="center"/>
            <w:hideMark/>
          </w:tcPr>
          <w:p w14:paraId="473C5DC9" w14:textId="32D46005" w:rsidR="00BD44A6" w:rsidRPr="00471CBA" w:rsidRDefault="00BD44A6" w:rsidP="006025D3">
            <w:pPr>
              <w:spacing w:line="211" w:lineRule="auto"/>
              <w:rPr>
                <w:color w:val="000000"/>
                <w:szCs w:val="20"/>
                <w:lang w:eastAsia="tr-TR"/>
              </w:rPr>
            </w:pPr>
            <w:r w:rsidRPr="00471CBA">
              <w:rPr>
                <w:color w:val="000000"/>
                <w:szCs w:val="20"/>
                <w:lang w:eastAsia="tr-TR"/>
              </w:rPr>
              <w:t>Haberleşme giderleri</w:t>
            </w:r>
          </w:p>
        </w:tc>
        <w:tc>
          <w:tcPr>
            <w:tcW w:w="1405" w:type="pct"/>
            <w:tcBorders>
              <w:top w:val="nil"/>
              <w:left w:val="nil"/>
              <w:bottom w:val="nil"/>
              <w:right w:val="nil"/>
            </w:tcBorders>
            <w:noWrap/>
            <w:vAlign w:val="center"/>
            <w:hideMark/>
          </w:tcPr>
          <w:p w14:paraId="3DB8FA4F" w14:textId="466EFF15" w:rsidR="00BD44A6" w:rsidRPr="00471CBA" w:rsidRDefault="00BD44A6" w:rsidP="006025D3">
            <w:pPr>
              <w:spacing w:line="211" w:lineRule="auto"/>
              <w:jc w:val="right"/>
              <w:rPr>
                <w:color w:val="000000"/>
                <w:szCs w:val="20"/>
                <w:lang w:eastAsia="tr-TR"/>
              </w:rPr>
            </w:pPr>
            <w:r w:rsidRPr="00471CBA">
              <w:rPr>
                <w:color w:val="000000"/>
                <w:szCs w:val="20"/>
                <w:lang w:eastAsia="tr-TR"/>
              </w:rPr>
              <w:t>9.498</w:t>
            </w:r>
          </w:p>
        </w:tc>
      </w:tr>
      <w:tr w:rsidR="00BD44A6" w:rsidRPr="00471CBA" w14:paraId="037EDCC7" w14:textId="77777777" w:rsidTr="006025D3">
        <w:trPr>
          <w:trHeight w:val="113"/>
        </w:trPr>
        <w:tc>
          <w:tcPr>
            <w:tcW w:w="3595" w:type="pct"/>
            <w:tcBorders>
              <w:top w:val="nil"/>
              <w:left w:val="nil"/>
              <w:bottom w:val="nil"/>
              <w:right w:val="nil"/>
            </w:tcBorders>
            <w:noWrap/>
            <w:vAlign w:val="center"/>
            <w:hideMark/>
          </w:tcPr>
          <w:p w14:paraId="28CB8808" w14:textId="52BB4A0A" w:rsidR="00BD44A6" w:rsidRPr="00471CBA" w:rsidRDefault="00BD44A6" w:rsidP="006025D3">
            <w:pPr>
              <w:spacing w:line="211" w:lineRule="auto"/>
              <w:rPr>
                <w:color w:val="000000"/>
                <w:szCs w:val="20"/>
                <w:lang w:eastAsia="tr-TR"/>
              </w:rPr>
            </w:pPr>
            <w:r w:rsidRPr="00471CBA">
              <w:rPr>
                <w:color w:val="000000"/>
                <w:szCs w:val="20"/>
                <w:lang w:eastAsia="tr-TR"/>
              </w:rPr>
              <w:t>Temizlik giderleri</w:t>
            </w:r>
          </w:p>
        </w:tc>
        <w:tc>
          <w:tcPr>
            <w:tcW w:w="1405" w:type="pct"/>
            <w:tcBorders>
              <w:top w:val="nil"/>
              <w:left w:val="nil"/>
              <w:bottom w:val="nil"/>
              <w:right w:val="nil"/>
            </w:tcBorders>
            <w:noWrap/>
            <w:vAlign w:val="center"/>
            <w:hideMark/>
          </w:tcPr>
          <w:p w14:paraId="472221FE" w14:textId="7F90F5C4" w:rsidR="00BD44A6" w:rsidRPr="00471CBA" w:rsidRDefault="00BD44A6" w:rsidP="006025D3">
            <w:pPr>
              <w:spacing w:line="211" w:lineRule="auto"/>
              <w:jc w:val="right"/>
              <w:rPr>
                <w:color w:val="000000"/>
                <w:szCs w:val="20"/>
                <w:lang w:eastAsia="tr-TR"/>
              </w:rPr>
            </w:pPr>
            <w:r w:rsidRPr="00471CBA">
              <w:rPr>
                <w:color w:val="000000"/>
                <w:szCs w:val="20"/>
                <w:lang w:eastAsia="tr-TR"/>
              </w:rPr>
              <w:t>17.821</w:t>
            </w:r>
          </w:p>
        </w:tc>
      </w:tr>
      <w:tr w:rsidR="00BD44A6" w:rsidRPr="00471CBA" w14:paraId="21578F74" w14:textId="77777777" w:rsidTr="006025D3">
        <w:trPr>
          <w:trHeight w:val="113"/>
        </w:trPr>
        <w:tc>
          <w:tcPr>
            <w:tcW w:w="3595" w:type="pct"/>
            <w:tcBorders>
              <w:top w:val="nil"/>
              <w:left w:val="nil"/>
              <w:bottom w:val="nil"/>
              <w:right w:val="nil"/>
            </w:tcBorders>
            <w:noWrap/>
            <w:vAlign w:val="center"/>
            <w:hideMark/>
          </w:tcPr>
          <w:p w14:paraId="34E8670E" w14:textId="3BAB4EC5" w:rsidR="00BD44A6" w:rsidRPr="00471CBA" w:rsidRDefault="00BD44A6" w:rsidP="006025D3">
            <w:pPr>
              <w:spacing w:line="211" w:lineRule="auto"/>
              <w:rPr>
                <w:color w:val="000000"/>
                <w:szCs w:val="20"/>
                <w:lang w:eastAsia="tr-TR"/>
              </w:rPr>
            </w:pPr>
            <w:r w:rsidRPr="00471CBA">
              <w:rPr>
                <w:color w:val="000000"/>
                <w:szCs w:val="20"/>
                <w:lang w:eastAsia="tr-TR"/>
              </w:rPr>
              <w:t>Isıtma aydınlatma ve su giderleri</w:t>
            </w:r>
          </w:p>
        </w:tc>
        <w:tc>
          <w:tcPr>
            <w:tcW w:w="1405" w:type="pct"/>
            <w:tcBorders>
              <w:top w:val="nil"/>
              <w:left w:val="nil"/>
              <w:bottom w:val="nil"/>
              <w:right w:val="nil"/>
            </w:tcBorders>
            <w:noWrap/>
            <w:vAlign w:val="center"/>
            <w:hideMark/>
          </w:tcPr>
          <w:p w14:paraId="1DFA2B30" w14:textId="48C51C0A" w:rsidR="00BD44A6" w:rsidRPr="00471CBA" w:rsidRDefault="00BD44A6" w:rsidP="006025D3">
            <w:pPr>
              <w:spacing w:line="211" w:lineRule="auto"/>
              <w:jc w:val="right"/>
              <w:rPr>
                <w:color w:val="000000"/>
                <w:szCs w:val="20"/>
                <w:lang w:eastAsia="tr-TR"/>
              </w:rPr>
            </w:pPr>
            <w:r w:rsidRPr="00471CBA">
              <w:rPr>
                <w:color w:val="000000"/>
                <w:szCs w:val="20"/>
                <w:lang w:eastAsia="tr-TR"/>
              </w:rPr>
              <w:t>7.541</w:t>
            </w:r>
          </w:p>
        </w:tc>
      </w:tr>
      <w:tr w:rsidR="00BD44A6" w:rsidRPr="00471CBA" w14:paraId="6DDBB5B6" w14:textId="77777777" w:rsidTr="006025D3">
        <w:trPr>
          <w:trHeight w:val="113"/>
        </w:trPr>
        <w:tc>
          <w:tcPr>
            <w:tcW w:w="3595" w:type="pct"/>
            <w:tcBorders>
              <w:top w:val="nil"/>
              <w:left w:val="nil"/>
              <w:bottom w:val="nil"/>
              <w:right w:val="nil"/>
            </w:tcBorders>
            <w:noWrap/>
            <w:vAlign w:val="center"/>
            <w:hideMark/>
          </w:tcPr>
          <w:p w14:paraId="372725C4" w14:textId="1B1D1A19" w:rsidR="00BD44A6" w:rsidRPr="00471CBA" w:rsidRDefault="00BD44A6" w:rsidP="006025D3">
            <w:pPr>
              <w:spacing w:line="211" w:lineRule="auto"/>
              <w:rPr>
                <w:color w:val="000000"/>
                <w:szCs w:val="20"/>
                <w:lang w:eastAsia="tr-TR"/>
              </w:rPr>
            </w:pPr>
            <w:r w:rsidRPr="00471CBA">
              <w:rPr>
                <w:color w:val="000000"/>
                <w:szCs w:val="20"/>
                <w:lang w:eastAsia="tr-TR"/>
              </w:rPr>
              <w:t>Temsil ve ağırlama giderleri</w:t>
            </w:r>
          </w:p>
        </w:tc>
        <w:tc>
          <w:tcPr>
            <w:tcW w:w="1405" w:type="pct"/>
            <w:tcBorders>
              <w:top w:val="nil"/>
              <w:left w:val="nil"/>
              <w:bottom w:val="nil"/>
              <w:right w:val="nil"/>
            </w:tcBorders>
            <w:noWrap/>
            <w:vAlign w:val="center"/>
            <w:hideMark/>
          </w:tcPr>
          <w:p w14:paraId="09B7DE66" w14:textId="11CA5D4F" w:rsidR="00BD44A6" w:rsidRPr="00471CBA" w:rsidRDefault="00BD44A6" w:rsidP="006025D3">
            <w:pPr>
              <w:spacing w:line="211" w:lineRule="auto"/>
              <w:jc w:val="right"/>
              <w:rPr>
                <w:color w:val="000000"/>
                <w:szCs w:val="20"/>
                <w:lang w:eastAsia="tr-TR"/>
              </w:rPr>
            </w:pPr>
            <w:r w:rsidRPr="00471CBA">
              <w:rPr>
                <w:color w:val="000000"/>
                <w:szCs w:val="20"/>
                <w:lang w:eastAsia="tr-TR"/>
              </w:rPr>
              <w:t>9.153</w:t>
            </w:r>
          </w:p>
        </w:tc>
      </w:tr>
      <w:tr w:rsidR="00BD44A6" w:rsidRPr="00471CBA" w14:paraId="016CEA21" w14:textId="77777777" w:rsidTr="006025D3">
        <w:trPr>
          <w:trHeight w:val="113"/>
        </w:trPr>
        <w:tc>
          <w:tcPr>
            <w:tcW w:w="3595" w:type="pct"/>
            <w:tcBorders>
              <w:top w:val="nil"/>
              <w:left w:val="nil"/>
              <w:bottom w:val="nil"/>
              <w:right w:val="nil"/>
            </w:tcBorders>
            <w:noWrap/>
            <w:vAlign w:val="center"/>
            <w:hideMark/>
          </w:tcPr>
          <w:p w14:paraId="20D6EBF9" w14:textId="5847FF8E" w:rsidR="00BD44A6" w:rsidRPr="00471CBA" w:rsidRDefault="00BD44A6" w:rsidP="006025D3">
            <w:pPr>
              <w:spacing w:line="211" w:lineRule="auto"/>
              <w:rPr>
                <w:color w:val="000000"/>
                <w:szCs w:val="20"/>
                <w:lang w:eastAsia="tr-TR"/>
              </w:rPr>
            </w:pPr>
            <w:r w:rsidRPr="00471CBA">
              <w:rPr>
                <w:color w:val="000000"/>
                <w:szCs w:val="20"/>
                <w:lang w:eastAsia="tr-TR"/>
              </w:rPr>
              <w:t>Taşıt aracı giderleri</w:t>
            </w:r>
          </w:p>
        </w:tc>
        <w:tc>
          <w:tcPr>
            <w:tcW w:w="1405" w:type="pct"/>
            <w:tcBorders>
              <w:top w:val="nil"/>
              <w:left w:val="nil"/>
              <w:bottom w:val="nil"/>
              <w:right w:val="nil"/>
            </w:tcBorders>
            <w:noWrap/>
            <w:vAlign w:val="center"/>
            <w:hideMark/>
          </w:tcPr>
          <w:p w14:paraId="34DF9BE8" w14:textId="40A65619" w:rsidR="00BD44A6" w:rsidRPr="00471CBA" w:rsidRDefault="00BD44A6" w:rsidP="006025D3">
            <w:pPr>
              <w:spacing w:line="211" w:lineRule="auto"/>
              <w:jc w:val="right"/>
              <w:rPr>
                <w:color w:val="000000"/>
                <w:szCs w:val="20"/>
                <w:lang w:eastAsia="tr-TR"/>
              </w:rPr>
            </w:pPr>
            <w:r w:rsidRPr="00471CBA">
              <w:rPr>
                <w:color w:val="000000"/>
                <w:szCs w:val="20"/>
                <w:lang w:eastAsia="tr-TR"/>
              </w:rPr>
              <w:t>11.211</w:t>
            </w:r>
          </w:p>
        </w:tc>
      </w:tr>
      <w:tr w:rsidR="00BD44A6" w:rsidRPr="00471CBA" w14:paraId="319F8376" w14:textId="77777777" w:rsidTr="006025D3">
        <w:trPr>
          <w:trHeight w:val="113"/>
        </w:trPr>
        <w:tc>
          <w:tcPr>
            <w:tcW w:w="3595" w:type="pct"/>
            <w:tcBorders>
              <w:top w:val="nil"/>
              <w:left w:val="nil"/>
              <w:bottom w:val="nil"/>
              <w:right w:val="nil"/>
            </w:tcBorders>
            <w:noWrap/>
            <w:vAlign w:val="bottom"/>
            <w:hideMark/>
          </w:tcPr>
          <w:p w14:paraId="4A5E951B" w14:textId="1F18C1D8" w:rsidR="00BD44A6" w:rsidRPr="00471CBA" w:rsidRDefault="00BD44A6" w:rsidP="006025D3">
            <w:pPr>
              <w:spacing w:line="211" w:lineRule="auto"/>
              <w:rPr>
                <w:color w:val="000000"/>
                <w:szCs w:val="20"/>
                <w:lang w:eastAsia="tr-TR"/>
              </w:rPr>
            </w:pPr>
            <w:r w:rsidRPr="00471CBA">
              <w:rPr>
                <w:color w:val="000000"/>
                <w:szCs w:val="20"/>
                <w:lang w:eastAsia="tr-TR"/>
              </w:rPr>
              <w:t>Kırtasiye giderleri</w:t>
            </w:r>
          </w:p>
        </w:tc>
        <w:tc>
          <w:tcPr>
            <w:tcW w:w="1405" w:type="pct"/>
            <w:tcBorders>
              <w:top w:val="nil"/>
              <w:left w:val="nil"/>
              <w:bottom w:val="nil"/>
              <w:right w:val="nil"/>
            </w:tcBorders>
            <w:noWrap/>
            <w:vAlign w:val="center"/>
            <w:hideMark/>
          </w:tcPr>
          <w:p w14:paraId="572E988F" w14:textId="5AC94E2C" w:rsidR="00BD44A6" w:rsidRPr="00471CBA" w:rsidRDefault="00BD44A6" w:rsidP="006025D3">
            <w:pPr>
              <w:spacing w:line="211" w:lineRule="auto"/>
              <w:jc w:val="right"/>
              <w:rPr>
                <w:color w:val="000000"/>
                <w:szCs w:val="20"/>
                <w:lang w:eastAsia="tr-TR"/>
              </w:rPr>
            </w:pPr>
            <w:r w:rsidRPr="00471CBA">
              <w:rPr>
                <w:color w:val="000000"/>
                <w:szCs w:val="20"/>
                <w:lang w:eastAsia="tr-TR"/>
              </w:rPr>
              <w:t>2.871</w:t>
            </w:r>
          </w:p>
        </w:tc>
      </w:tr>
      <w:tr w:rsidR="00BD44A6" w:rsidRPr="00471CBA" w14:paraId="62FF21C4" w14:textId="77777777" w:rsidTr="006025D3">
        <w:trPr>
          <w:trHeight w:val="113"/>
        </w:trPr>
        <w:tc>
          <w:tcPr>
            <w:tcW w:w="3595" w:type="pct"/>
            <w:tcBorders>
              <w:top w:val="nil"/>
              <w:left w:val="nil"/>
              <w:bottom w:val="nil"/>
              <w:right w:val="nil"/>
            </w:tcBorders>
            <w:noWrap/>
            <w:vAlign w:val="bottom"/>
            <w:hideMark/>
          </w:tcPr>
          <w:p w14:paraId="4F8313B8" w14:textId="6D6FF245" w:rsidR="00BD44A6" w:rsidRPr="00471CBA" w:rsidRDefault="00BD44A6" w:rsidP="006025D3">
            <w:pPr>
              <w:spacing w:line="211" w:lineRule="auto"/>
              <w:rPr>
                <w:color w:val="000000"/>
                <w:szCs w:val="20"/>
                <w:lang w:eastAsia="tr-TR"/>
              </w:rPr>
            </w:pPr>
            <w:r w:rsidRPr="00471CBA">
              <w:rPr>
                <w:color w:val="000000"/>
                <w:szCs w:val="20"/>
                <w:lang w:eastAsia="tr-TR"/>
              </w:rPr>
              <w:t>Bilgisayar kullanım giderleri</w:t>
            </w:r>
          </w:p>
        </w:tc>
        <w:tc>
          <w:tcPr>
            <w:tcW w:w="1405" w:type="pct"/>
            <w:tcBorders>
              <w:top w:val="nil"/>
              <w:left w:val="nil"/>
              <w:bottom w:val="nil"/>
              <w:right w:val="nil"/>
            </w:tcBorders>
            <w:noWrap/>
            <w:vAlign w:val="center"/>
            <w:hideMark/>
          </w:tcPr>
          <w:p w14:paraId="5739E47B" w14:textId="06FCE8FE" w:rsidR="00BD44A6" w:rsidRPr="00471CBA" w:rsidRDefault="00BD44A6" w:rsidP="006025D3">
            <w:pPr>
              <w:spacing w:line="211" w:lineRule="auto"/>
              <w:jc w:val="right"/>
              <w:rPr>
                <w:color w:val="000000"/>
                <w:szCs w:val="20"/>
                <w:lang w:eastAsia="tr-TR"/>
              </w:rPr>
            </w:pPr>
            <w:r w:rsidRPr="00471CBA">
              <w:rPr>
                <w:color w:val="000000"/>
                <w:szCs w:val="20"/>
                <w:lang w:eastAsia="tr-TR"/>
              </w:rPr>
              <w:t>27.554</w:t>
            </w:r>
          </w:p>
        </w:tc>
      </w:tr>
      <w:tr w:rsidR="00BD44A6" w:rsidRPr="00471CBA" w14:paraId="4AD245DF" w14:textId="77777777" w:rsidTr="006025D3">
        <w:trPr>
          <w:trHeight w:val="113"/>
        </w:trPr>
        <w:tc>
          <w:tcPr>
            <w:tcW w:w="3595" w:type="pct"/>
            <w:tcBorders>
              <w:top w:val="nil"/>
              <w:left w:val="nil"/>
              <w:right w:val="nil"/>
            </w:tcBorders>
            <w:noWrap/>
            <w:vAlign w:val="bottom"/>
            <w:hideMark/>
          </w:tcPr>
          <w:p w14:paraId="70BF494C" w14:textId="53A57C8E" w:rsidR="00BD44A6" w:rsidRPr="00471CBA" w:rsidRDefault="00BD44A6" w:rsidP="006025D3">
            <w:pPr>
              <w:spacing w:line="211" w:lineRule="auto"/>
              <w:rPr>
                <w:color w:val="000000"/>
                <w:szCs w:val="20"/>
                <w:lang w:eastAsia="tr-TR"/>
              </w:rPr>
            </w:pPr>
            <w:r w:rsidRPr="00471CBA">
              <w:rPr>
                <w:color w:val="000000"/>
                <w:szCs w:val="20"/>
                <w:lang w:eastAsia="tr-TR"/>
              </w:rPr>
              <w:t>Güvenlik hizmet giderleri</w:t>
            </w:r>
          </w:p>
        </w:tc>
        <w:tc>
          <w:tcPr>
            <w:tcW w:w="1405" w:type="pct"/>
            <w:tcBorders>
              <w:top w:val="nil"/>
              <w:left w:val="nil"/>
              <w:right w:val="nil"/>
            </w:tcBorders>
            <w:noWrap/>
            <w:vAlign w:val="center"/>
            <w:hideMark/>
          </w:tcPr>
          <w:p w14:paraId="44C1687C" w14:textId="67C91EE7" w:rsidR="00BD44A6" w:rsidRPr="00471CBA" w:rsidRDefault="00BD44A6" w:rsidP="006025D3">
            <w:pPr>
              <w:spacing w:line="211" w:lineRule="auto"/>
              <w:jc w:val="right"/>
              <w:rPr>
                <w:color w:val="000000"/>
                <w:szCs w:val="20"/>
                <w:lang w:eastAsia="tr-TR"/>
              </w:rPr>
            </w:pPr>
            <w:r w:rsidRPr="00471CBA">
              <w:rPr>
                <w:color w:val="000000"/>
                <w:szCs w:val="20"/>
                <w:lang w:eastAsia="tr-TR"/>
              </w:rPr>
              <w:t>8.812</w:t>
            </w:r>
          </w:p>
        </w:tc>
      </w:tr>
      <w:tr w:rsidR="00BD44A6" w:rsidRPr="00471CBA" w14:paraId="0D9394B2" w14:textId="77777777" w:rsidTr="006025D3">
        <w:trPr>
          <w:trHeight w:val="113"/>
        </w:trPr>
        <w:tc>
          <w:tcPr>
            <w:tcW w:w="3595" w:type="pct"/>
            <w:tcBorders>
              <w:top w:val="nil"/>
              <w:left w:val="nil"/>
              <w:right w:val="nil"/>
            </w:tcBorders>
            <w:noWrap/>
            <w:vAlign w:val="bottom"/>
            <w:hideMark/>
          </w:tcPr>
          <w:p w14:paraId="7FCF5A45" w14:textId="62B31B0A" w:rsidR="00BD44A6" w:rsidRPr="00471CBA" w:rsidRDefault="00BD44A6" w:rsidP="006025D3">
            <w:pPr>
              <w:spacing w:line="211" w:lineRule="auto"/>
              <w:rPr>
                <w:color w:val="000000"/>
                <w:szCs w:val="20"/>
                <w:lang w:eastAsia="tr-TR"/>
              </w:rPr>
            </w:pPr>
            <w:r w:rsidRPr="00471CBA">
              <w:rPr>
                <w:color w:val="000000"/>
                <w:szCs w:val="20"/>
                <w:lang w:eastAsia="tr-TR"/>
              </w:rPr>
              <w:t>Nakliye, hamaliye ve küçük demirbaş giderleri</w:t>
            </w:r>
          </w:p>
        </w:tc>
        <w:tc>
          <w:tcPr>
            <w:tcW w:w="1405" w:type="pct"/>
            <w:tcBorders>
              <w:top w:val="nil"/>
              <w:left w:val="nil"/>
              <w:right w:val="nil"/>
            </w:tcBorders>
            <w:noWrap/>
            <w:vAlign w:val="bottom"/>
            <w:hideMark/>
          </w:tcPr>
          <w:p w14:paraId="7BE14EA9" w14:textId="748F7CC6" w:rsidR="00BD44A6" w:rsidRPr="00471CBA" w:rsidRDefault="00BD44A6" w:rsidP="006025D3">
            <w:pPr>
              <w:spacing w:line="211" w:lineRule="auto"/>
              <w:jc w:val="right"/>
              <w:rPr>
                <w:color w:val="000000"/>
                <w:szCs w:val="20"/>
                <w:lang w:eastAsia="tr-TR"/>
              </w:rPr>
            </w:pPr>
            <w:r w:rsidRPr="00471CBA">
              <w:rPr>
                <w:color w:val="000000"/>
                <w:szCs w:val="20"/>
                <w:lang w:eastAsia="tr-TR"/>
              </w:rPr>
              <w:t>2.332</w:t>
            </w:r>
          </w:p>
        </w:tc>
      </w:tr>
      <w:tr w:rsidR="00BD44A6" w:rsidRPr="00471CBA" w14:paraId="3D795B66" w14:textId="77777777" w:rsidTr="006025D3">
        <w:trPr>
          <w:trHeight w:val="113"/>
        </w:trPr>
        <w:tc>
          <w:tcPr>
            <w:tcW w:w="3595" w:type="pct"/>
            <w:tcBorders>
              <w:left w:val="nil"/>
              <w:bottom w:val="single" w:sz="4" w:space="0" w:color="auto"/>
              <w:right w:val="nil"/>
            </w:tcBorders>
            <w:noWrap/>
            <w:vAlign w:val="center"/>
            <w:hideMark/>
          </w:tcPr>
          <w:p w14:paraId="71BC2855" w14:textId="450CD095" w:rsidR="00BD44A6" w:rsidRPr="00471CBA" w:rsidRDefault="00BD44A6" w:rsidP="006025D3">
            <w:pPr>
              <w:spacing w:line="211" w:lineRule="auto"/>
              <w:rPr>
                <w:color w:val="000000"/>
                <w:szCs w:val="20"/>
                <w:lang w:eastAsia="tr-TR"/>
              </w:rPr>
            </w:pPr>
            <w:r w:rsidRPr="00471CBA">
              <w:rPr>
                <w:color w:val="000000"/>
                <w:szCs w:val="20"/>
                <w:lang w:eastAsia="tr-TR"/>
              </w:rPr>
              <w:t>Diğer</w:t>
            </w:r>
          </w:p>
        </w:tc>
        <w:tc>
          <w:tcPr>
            <w:tcW w:w="1405" w:type="pct"/>
            <w:tcBorders>
              <w:left w:val="nil"/>
              <w:bottom w:val="single" w:sz="4" w:space="0" w:color="auto"/>
              <w:right w:val="nil"/>
            </w:tcBorders>
            <w:noWrap/>
            <w:vAlign w:val="center"/>
            <w:hideMark/>
          </w:tcPr>
          <w:p w14:paraId="537EAB2A" w14:textId="0D6EB773" w:rsidR="00BD44A6" w:rsidRPr="00471CBA" w:rsidRDefault="00BD44A6" w:rsidP="006025D3">
            <w:pPr>
              <w:spacing w:line="211" w:lineRule="auto"/>
              <w:jc w:val="right"/>
              <w:rPr>
                <w:color w:val="000000"/>
                <w:szCs w:val="20"/>
                <w:lang w:eastAsia="tr-TR"/>
              </w:rPr>
            </w:pPr>
            <w:r w:rsidRPr="00471CBA">
              <w:rPr>
                <w:color w:val="000000"/>
                <w:szCs w:val="20"/>
                <w:lang w:eastAsia="tr-TR"/>
              </w:rPr>
              <w:t>11.592</w:t>
            </w:r>
          </w:p>
        </w:tc>
      </w:tr>
      <w:tr w:rsidR="00BD44A6" w:rsidRPr="00471CBA" w14:paraId="0FC099DE" w14:textId="77777777" w:rsidTr="006025D3">
        <w:trPr>
          <w:trHeight w:val="113"/>
        </w:trPr>
        <w:tc>
          <w:tcPr>
            <w:tcW w:w="3595" w:type="pct"/>
            <w:tcBorders>
              <w:top w:val="single" w:sz="4" w:space="0" w:color="auto"/>
              <w:left w:val="nil"/>
              <w:right w:val="nil"/>
            </w:tcBorders>
            <w:vAlign w:val="center"/>
            <w:hideMark/>
          </w:tcPr>
          <w:p w14:paraId="73B43C88" w14:textId="6B806754" w:rsidR="00BD44A6" w:rsidRPr="00471CBA" w:rsidRDefault="00BD44A6" w:rsidP="006025D3">
            <w:pPr>
              <w:spacing w:line="211" w:lineRule="auto"/>
              <w:rPr>
                <w:b/>
                <w:bCs/>
                <w:color w:val="000000"/>
                <w:szCs w:val="20"/>
                <w:lang w:eastAsia="tr-TR"/>
              </w:rPr>
            </w:pPr>
            <w:r w:rsidRPr="00471CBA">
              <w:rPr>
                <w:color w:val="000000"/>
                <w:szCs w:val="20"/>
                <w:lang w:eastAsia="tr-TR"/>
              </w:rPr>
              <w:t> </w:t>
            </w:r>
          </w:p>
        </w:tc>
        <w:tc>
          <w:tcPr>
            <w:tcW w:w="1405" w:type="pct"/>
            <w:tcBorders>
              <w:top w:val="single" w:sz="4" w:space="0" w:color="auto"/>
              <w:left w:val="nil"/>
              <w:right w:val="nil"/>
            </w:tcBorders>
            <w:noWrap/>
            <w:vAlign w:val="center"/>
            <w:hideMark/>
          </w:tcPr>
          <w:p w14:paraId="150F8727" w14:textId="3808F654" w:rsidR="00BD44A6" w:rsidRPr="00471CBA" w:rsidRDefault="00BD44A6" w:rsidP="006025D3">
            <w:pPr>
              <w:spacing w:line="211" w:lineRule="auto"/>
              <w:jc w:val="right"/>
              <w:rPr>
                <w:b/>
                <w:bCs/>
                <w:color w:val="000000"/>
                <w:szCs w:val="20"/>
                <w:lang w:eastAsia="tr-TR"/>
              </w:rPr>
            </w:pPr>
            <w:r w:rsidRPr="00471CBA">
              <w:rPr>
                <w:color w:val="000000"/>
                <w:szCs w:val="20"/>
                <w:lang w:eastAsia="tr-TR"/>
              </w:rPr>
              <w:t> </w:t>
            </w:r>
          </w:p>
        </w:tc>
      </w:tr>
      <w:tr w:rsidR="00BD44A6" w:rsidRPr="00471CBA" w14:paraId="354FDB46" w14:textId="77777777" w:rsidTr="006025D3">
        <w:trPr>
          <w:trHeight w:val="113"/>
        </w:trPr>
        <w:tc>
          <w:tcPr>
            <w:tcW w:w="3595" w:type="pct"/>
            <w:tcBorders>
              <w:top w:val="nil"/>
              <w:left w:val="nil"/>
              <w:bottom w:val="single" w:sz="8" w:space="0" w:color="auto"/>
              <w:right w:val="nil"/>
            </w:tcBorders>
            <w:vAlign w:val="center"/>
            <w:hideMark/>
          </w:tcPr>
          <w:p w14:paraId="6ADBA40D" w14:textId="61A7BED5" w:rsidR="00BD44A6" w:rsidRPr="00471CBA" w:rsidRDefault="00BD44A6" w:rsidP="006025D3">
            <w:pPr>
              <w:spacing w:line="211" w:lineRule="auto"/>
              <w:jc w:val="both"/>
              <w:rPr>
                <w:b/>
                <w:bCs/>
                <w:color w:val="000000"/>
                <w:szCs w:val="20"/>
                <w:lang w:eastAsia="tr-TR"/>
              </w:rPr>
            </w:pPr>
            <w:r w:rsidRPr="00471CBA">
              <w:rPr>
                <w:b/>
                <w:bCs/>
                <w:color w:val="000000"/>
                <w:szCs w:val="20"/>
                <w:lang w:eastAsia="tr-TR"/>
              </w:rPr>
              <w:t>Toplam</w:t>
            </w:r>
          </w:p>
        </w:tc>
        <w:tc>
          <w:tcPr>
            <w:tcW w:w="1405" w:type="pct"/>
            <w:tcBorders>
              <w:top w:val="nil"/>
              <w:left w:val="nil"/>
              <w:bottom w:val="single" w:sz="8" w:space="0" w:color="auto"/>
              <w:right w:val="nil"/>
            </w:tcBorders>
            <w:noWrap/>
            <w:vAlign w:val="center"/>
            <w:hideMark/>
          </w:tcPr>
          <w:p w14:paraId="0E718D8C" w14:textId="662C2E08" w:rsidR="00BD44A6" w:rsidRPr="00471CBA" w:rsidRDefault="00BD44A6" w:rsidP="006025D3">
            <w:pPr>
              <w:spacing w:line="211" w:lineRule="auto"/>
              <w:jc w:val="right"/>
              <w:rPr>
                <w:b/>
                <w:bCs/>
                <w:color w:val="000000"/>
                <w:szCs w:val="20"/>
                <w:lang w:eastAsia="tr-TR"/>
              </w:rPr>
            </w:pPr>
            <w:r w:rsidRPr="00471CBA">
              <w:rPr>
                <w:b/>
                <w:bCs/>
                <w:color w:val="000000"/>
                <w:szCs w:val="20"/>
                <w:lang w:eastAsia="tr-TR"/>
              </w:rPr>
              <w:t>130.610</w:t>
            </w:r>
          </w:p>
        </w:tc>
      </w:tr>
    </w:tbl>
    <w:p w14:paraId="56AFF733" w14:textId="77777777" w:rsidR="002B26FB" w:rsidRPr="006025D3" w:rsidRDefault="002B26FB" w:rsidP="006025D3">
      <w:pPr>
        <w:spacing w:line="221" w:lineRule="auto"/>
        <w:rPr>
          <w:iCs/>
          <w:sz w:val="12"/>
          <w:szCs w:val="12"/>
          <w:vertAlign w:val="superscript"/>
        </w:rPr>
      </w:pPr>
      <w:r w:rsidRPr="006025D3">
        <w:rPr>
          <w:iCs/>
          <w:sz w:val="12"/>
          <w:szCs w:val="12"/>
          <w:vertAlign w:val="superscript"/>
        </w:rPr>
        <w:br w:type="page"/>
      </w:r>
    </w:p>
    <w:p w14:paraId="3ED21175" w14:textId="2814A524" w:rsidR="001812EC" w:rsidRPr="00471CBA" w:rsidRDefault="001812EC" w:rsidP="002B71EA">
      <w:pPr>
        <w:widowControl w:val="0"/>
        <w:ind w:left="720" w:hanging="720"/>
        <w:jc w:val="both"/>
        <w:rPr>
          <w:b/>
          <w:szCs w:val="20"/>
        </w:rPr>
      </w:pPr>
      <w:r w:rsidRPr="00471CBA">
        <w:rPr>
          <w:b/>
          <w:szCs w:val="20"/>
        </w:rPr>
        <w:t>KONSOLİDE OLMAYAN FİNANSAL TABLOLARA İLİŞKİN AÇIKLAMA VE DİPNOTLAR (Devamı)</w:t>
      </w:r>
    </w:p>
    <w:p w14:paraId="1BF492CB" w14:textId="77777777" w:rsidR="001812EC" w:rsidRPr="00471CBA" w:rsidRDefault="001812EC" w:rsidP="002B71EA">
      <w:pPr>
        <w:widowControl w:val="0"/>
        <w:autoSpaceDE w:val="0"/>
        <w:autoSpaceDN w:val="0"/>
        <w:adjustRightInd w:val="0"/>
        <w:ind w:left="14" w:right="210"/>
        <w:jc w:val="both"/>
        <w:rPr>
          <w:sz w:val="14"/>
          <w:szCs w:val="14"/>
        </w:rPr>
      </w:pPr>
    </w:p>
    <w:p w14:paraId="10B02EB2" w14:textId="4F7537D0" w:rsidR="001812EC" w:rsidRPr="00471CBA" w:rsidRDefault="001812EC" w:rsidP="008459A9">
      <w:pPr>
        <w:pStyle w:val="GvdeMetniGirintisi"/>
        <w:widowControl w:val="0"/>
        <w:numPr>
          <w:ilvl w:val="0"/>
          <w:numId w:val="52"/>
        </w:numPr>
        <w:ind w:left="851" w:right="206" w:hanging="851"/>
        <w:rPr>
          <w:b/>
          <w:iCs/>
          <w:szCs w:val="20"/>
        </w:rPr>
      </w:pPr>
      <w:r w:rsidRPr="00471CBA">
        <w:rPr>
          <w:b/>
          <w:iCs/>
          <w:szCs w:val="20"/>
        </w:rPr>
        <w:t>KAR VEYA ZARAR TABLOSUNA İLİŞKİN AÇIKLAMA VE DİPNOTLAR (Devamı)</w:t>
      </w:r>
    </w:p>
    <w:p w14:paraId="2860983C" w14:textId="77777777" w:rsidR="00E7156E" w:rsidRPr="00471CBA" w:rsidRDefault="00E7156E" w:rsidP="006025D3">
      <w:pPr>
        <w:pStyle w:val="GvdeMetniGirintisi"/>
        <w:widowControl w:val="0"/>
        <w:ind w:left="851" w:right="206" w:hanging="851"/>
        <w:rPr>
          <w:b/>
          <w:iCs/>
          <w:sz w:val="12"/>
          <w:szCs w:val="12"/>
        </w:rPr>
      </w:pPr>
    </w:p>
    <w:p w14:paraId="4E74F740" w14:textId="67280113" w:rsidR="00E7156E" w:rsidRPr="00471CBA" w:rsidRDefault="00E7156E" w:rsidP="008459A9">
      <w:pPr>
        <w:pStyle w:val="ListeParagraf"/>
        <w:widowControl w:val="0"/>
        <w:numPr>
          <w:ilvl w:val="0"/>
          <w:numId w:val="70"/>
        </w:numPr>
        <w:spacing w:line="211" w:lineRule="auto"/>
        <w:ind w:left="851" w:hanging="851"/>
        <w:jc w:val="both"/>
        <w:rPr>
          <w:b/>
          <w:szCs w:val="20"/>
        </w:rPr>
      </w:pPr>
      <w:r w:rsidRPr="00471CBA">
        <w:rPr>
          <w:b/>
          <w:szCs w:val="20"/>
        </w:rPr>
        <w:t xml:space="preserve">Diğer faaliyet giderlerine ilişkin bilgiler (Devamı) </w:t>
      </w:r>
    </w:p>
    <w:p w14:paraId="04BE29F8" w14:textId="1C884026" w:rsidR="002B26FB" w:rsidRPr="00471CBA" w:rsidRDefault="002B26FB" w:rsidP="002B26FB">
      <w:pPr>
        <w:widowControl w:val="0"/>
        <w:spacing w:line="211" w:lineRule="auto"/>
        <w:jc w:val="both"/>
        <w:rPr>
          <w:b/>
          <w:szCs w:val="20"/>
        </w:rPr>
      </w:pPr>
    </w:p>
    <w:p w14:paraId="6D48C6EF" w14:textId="77777777" w:rsidR="002B26FB" w:rsidRPr="00471CBA" w:rsidRDefault="002B26FB" w:rsidP="002B26FB">
      <w:pPr>
        <w:ind w:left="851" w:hanging="284"/>
        <w:jc w:val="both"/>
        <w:rPr>
          <w:b/>
          <w:iCs/>
          <w:szCs w:val="20"/>
        </w:rPr>
      </w:pPr>
      <w:r w:rsidRPr="00471CBA">
        <w:rPr>
          <w:iCs/>
          <w:szCs w:val="20"/>
          <w:vertAlign w:val="superscript"/>
        </w:rPr>
        <w:t>(**)</w:t>
      </w:r>
      <w:r w:rsidRPr="00471CBA">
        <w:rPr>
          <w:iCs/>
          <w:szCs w:val="20"/>
        </w:rPr>
        <w:tab/>
        <w:t>Diğer bakiyesinin detayları aşağıdaki tablodaki gibidir:</w:t>
      </w:r>
      <w:r w:rsidRPr="00471CBA">
        <w:rPr>
          <w:b/>
          <w:iCs/>
          <w:szCs w:val="20"/>
        </w:rPr>
        <w:t xml:space="preserve"> </w:t>
      </w:r>
    </w:p>
    <w:p w14:paraId="59CD07BD" w14:textId="2B29F8EA" w:rsidR="00A74C68" w:rsidRPr="00471CBA" w:rsidRDefault="00A74C68" w:rsidP="00245EDD"/>
    <w:tbl>
      <w:tblPr>
        <w:tblW w:w="4997" w:type="pct"/>
        <w:tblCellMar>
          <w:left w:w="70" w:type="dxa"/>
          <w:right w:w="70" w:type="dxa"/>
        </w:tblCellMar>
        <w:tblLook w:val="04A0" w:firstRow="1" w:lastRow="0" w:firstColumn="1" w:lastColumn="0" w:noHBand="0" w:noVBand="1"/>
      </w:tblPr>
      <w:tblGrid>
        <w:gridCol w:w="5866"/>
        <w:gridCol w:w="3483"/>
      </w:tblGrid>
      <w:tr w:rsidR="00A74C68" w:rsidRPr="00471CBA" w14:paraId="54AED702" w14:textId="77777777" w:rsidTr="00A74C68">
        <w:trPr>
          <w:divId w:val="398284733"/>
          <w:trHeight w:val="227"/>
        </w:trPr>
        <w:tc>
          <w:tcPr>
            <w:tcW w:w="2219" w:type="pct"/>
            <w:tcBorders>
              <w:top w:val="nil"/>
              <w:left w:val="nil"/>
              <w:bottom w:val="nil"/>
              <w:right w:val="nil"/>
            </w:tcBorders>
            <w:noWrap/>
            <w:vAlign w:val="bottom"/>
            <w:hideMark/>
          </w:tcPr>
          <w:p w14:paraId="0BB01334" w14:textId="000BA531" w:rsidR="00A74C68" w:rsidRPr="00471CBA" w:rsidRDefault="00A74C68" w:rsidP="00A74C68">
            <w:pPr>
              <w:spacing w:line="214" w:lineRule="auto"/>
              <w:rPr>
                <w:szCs w:val="20"/>
                <w:lang w:eastAsia="tr-TR"/>
              </w:rPr>
            </w:pPr>
          </w:p>
        </w:tc>
        <w:tc>
          <w:tcPr>
            <w:tcW w:w="1318" w:type="pct"/>
            <w:tcBorders>
              <w:top w:val="nil"/>
              <w:left w:val="nil"/>
              <w:bottom w:val="single" w:sz="4" w:space="0" w:color="auto"/>
              <w:right w:val="nil"/>
            </w:tcBorders>
            <w:vAlign w:val="center"/>
            <w:hideMark/>
          </w:tcPr>
          <w:p w14:paraId="7CDD6669" w14:textId="77777777" w:rsidR="00A74C68" w:rsidRPr="00471CBA" w:rsidRDefault="00A74C68" w:rsidP="00A74C68">
            <w:pPr>
              <w:spacing w:line="214" w:lineRule="auto"/>
              <w:jc w:val="right"/>
              <w:rPr>
                <w:b/>
                <w:bCs/>
                <w:color w:val="000000"/>
                <w:szCs w:val="20"/>
                <w:lang w:eastAsia="tr-TR"/>
              </w:rPr>
            </w:pPr>
            <w:r w:rsidRPr="00471CBA">
              <w:rPr>
                <w:b/>
                <w:bCs/>
                <w:color w:val="000000"/>
                <w:szCs w:val="20"/>
                <w:lang w:eastAsia="tr-TR"/>
              </w:rPr>
              <w:t>1 Ocak - 31 Aralık 2025</w:t>
            </w:r>
          </w:p>
        </w:tc>
      </w:tr>
      <w:tr w:rsidR="00A74C68" w:rsidRPr="00471CBA" w14:paraId="2C68A99C" w14:textId="77777777" w:rsidTr="00A74C68">
        <w:trPr>
          <w:divId w:val="398284733"/>
          <w:trHeight w:val="227"/>
        </w:trPr>
        <w:tc>
          <w:tcPr>
            <w:tcW w:w="2219" w:type="pct"/>
            <w:tcBorders>
              <w:top w:val="nil"/>
              <w:left w:val="nil"/>
              <w:bottom w:val="nil"/>
              <w:right w:val="nil"/>
            </w:tcBorders>
            <w:noWrap/>
            <w:vAlign w:val="bottom"/>
            <w:hideMark/>
          </w:tcPr>
          <w:p w14:paraId="527B5426" w14:textId="77777777" w:rsidR="00A74C68" w:rsidRPr="00471CBA" w:rsidRDefault="00A74C68" w:rsidP="00A74C68">
            <w:pPr>
              <w:spacing w:line="214" w:lineRule="auto"/>
              <w:rPr>
                <w:b/>
                <w:bCs/>
                <w:color w:val="000000"/>
                <w:szCs w:val="20"/>
                <w:lang w:eastAsia="tr-TR"/>
              </w:rPr>
            </w:pPr>
          </w:p>
        </w:tc>
        <w:tc>
          <w:tcPr>
            <w:tcW w:w="1318" w:type="pct"/>
            <w:tcBorders>
              <w:top w:val="single" w:sz="4" w:space="0" w:color="auto"/>
              <w:left w:val="nil"/>
              <w:bottom w:val="nil"/>
              <w:right w:val="nil"/>
            </w:tcBorders>
            <w:noWrap/>
            <w:vAlign w:val="bottom"/>
            <w:hideMark/>
          </w:tcPr>
          <w:p w14:paraId="60580946" w14:textId="77777777" w:rsidR="00A74C68" w:rsidRPr="00471CBA" w:rsidRDefault="00A74C68" w:rsidP="00A74C68">
            <w:pPr>
              <w:spacing w:line="214" w:lineRule="auto"/>
              <w:jc w:val="right"/>
              <w:rPr>
                <w:szCs w:val="20"/>
                <w:lang w:eastAsia="tr-TR"/>
              </w:rPr>
            </w:pPr>
          </w:p>
        </w:tc>
      </w:tr>
      <w:tr w:rsidR="00A74C68" w:rsidRPr="00471CBA" w14:paraId="423CF50A" w14:textId="77777777" w:rsidTr="00A74C68">
        <w:trPr>
          <w:divId w:val="398284733"/>
          <w:trHeight w:val="227"/>
        </w:trPr>
        <w:tc>
          <w:tcPr>
            <w:tcW w:w="2219" w:type="pct"/>
            <w:tcBorders>
              <w:top w:val="nil"/>
              <w:left w:val="nil"/>
              <w:bottom w:val="nil"/>
              <w:right w:val="nil"/>
            </w:tcBorders>
            <w:noWrap/>
            <w:vAlign w:val="center"/>
            <w:hideMark/>
          </w:tcPr>
          <w:p w14:paraId="463F7DB8" w14:textId="77777777" w:rsidR="00A74C68" w:rsidRPr="00471CBA" w:rsidRDefault="00A74C68" w:rsidP="00A74C68">
            <w:pPr>
              <w:spacing w:line="214" w:lineRule="auto"/>
              <w:rPr>
                <w:color w:val="000000"/>
                <w:szCs w:val="20"/>
                <w:lang w:eastAsia="tr-TR"/>
              </w:rPr>
            </w:pPr>
            <w:r w:rsidRPr="00471CBA">
              <w:rPr>
                <w:color w:val="000000"/>
                <w:szCs w:val="20"/>
                <w:lang w:eastAsia="tr-TR"/>
              </w:rPr>
              <w:t>Vergi, Resim, Harçlar ve Fonlar</w:t>
            </w:r>
          </w:p>
        </w:tc>
        <w:tc>
          <w:tcPr>
            <w:tcW w:w="1318" w:type="pct"/>
            <w:tcBorders>
              <w:top w:val="nil"/>
              <w:left w:val="nil"/>
              <w:bottom w:val="nil"/>
              <w:right w:val="nil"/>
            </w:tcBorders>
            <w:noWrap/>
            <w:vAlign w:val="center"/>
            <w:hideMark/>
          </w:tcPr>
          <w:p w14:paraId="0CC6D097" w14:textId="77777777" w:rsidR="00A74C68" w:rsidRPr="00471CBA" w:rsidRDefault="00A74C68" w:rsidP="00A74C68">
            <w:pPr>
              <w:spacing w:line="214" w:lineRule="auto"/>
              <w:jc w:val="right"/>
              <w:rPr>
                <w:color w:val="000000"/>
                <w:szCs w:val="20"/>
                <w:lang w:eastAsia="tr-TR"/>
              </w:rPr>
            </w:pPr>
            <w:r w:rsidRPr="00471CBA">
              <w:rPr>
                <w:color w:val="000000"/>
                <w:szCs w:val="20"/>
                <w:lang w:eastAsia="tr-TR"/>
              </w:rPr>
              <w:t>107.753</w:t>
            </w:r>
          </w:p>
        </w:tc>
      </w:tr>
      <w:tr w:rsidR="00A74C68" w:rsidRPr="00471CBA" w14:paraId="4148F67A" w14:textId="77777777" w:rsidTr="00A74C68">
        <w:trPr>
          <w:divId w:val="398284733"/>
          <w:trHeight w:val="227"/>
        </w:trPr>
        <w:tc>
          <w:tcPr>
            <w:tcW w:w="2219" w:type="pct"/>
            <w:tcBorders>
              <w:top w:val="nil"/>
              <w:left w:val="nil"/>
              <w:bottom w:val="nil"/>
              <w:right w:val="nil"/>
            </w:tcBorders>
            <w:noWrap/>
            <w:vAlign w:val="center"/>
            <w:hideMark/>
          </w:tcPr>
          <w:p w14:paraId="379165B6" w14:textId="77777777" w:rsidR="00A74C68" w:rsidRPr="00471CBA" w:rsidRDefault="00A74C68" w:rsidP="00A74C68">
            <w:pPr>
              <w:spacing w:line="214" w:lineRule="auto"/>
              <w:rPr>
                <w:color w:val="000000"/>
                <w:szCs w:val="20"/>
                <w:lang w:eastAsia="tr-TR"/>
              </w:rPr>
            </w:pPr>
            <w:r w:rsidRPr="00471CBA">
              <w:rPr>
                <w:color w:val="000000"/>
                <w:szCs w:val="20"/>
                <w:lang w:eastAsia="tr-TR"/>
              </w:rPr>
              <w:t>Denetim ve Müşavirlik Ücretleri</w:t>
            </w:r>
          </w:p>
        </w:tc>
        <w:tc>
          <w:tcPr>
            <w:tcW w:w="1318" w:type="pct"/>
            <w:tcBorders>
              <w:top w:val="nil"/>
              <w:left w:val="nil"/>
              <w:bottom w:val="nil"/>
              <w:right w:val="nil"/>
            </w:tcBorders>
            <w:noWrap/>
            <w:vAlign w:val="center"/>
            <w:hideMark/>
          </w:tcPr>
          <w:p w14:paraId="5FF7D23A" w14:textId="77777777" w:rsidR="00A74C68" w:rsidRPr="00471CBA" w:rsidRDefault="00A74C68" w:rsidP="00A74C68">
            <w:pPr>
              <w:spacing w:line="214" w:lineRule="auto"/>
              <w:jc w:val="right"/>
              <w:rPr>
                <w:color w:val="000000"/>
                <w:szCs w:val="20"/>
                <w:lang w:eastAsia="tr-TR"/>
              </w:rPr>
            </w:pPr>
            <w:r w:rsidRPr="00471CBA">
              <w:rPr>
                <w:color w:val="000000"/>
                <w:szCs w:val="20"/>
                <w:lang w:eastAsia="tr-TR"/>
              </w:rPr>
              <w:t>75.133</w:t>
            </w:r>
          </w:p>
        </w:tc>
      </w:tr>
      <w:tr w:rsidR="00A74C68" w:rsidRPr="00471CBA" w14:paraId="3086C6FE" w14:textId="77777777" w:rsidTr="00A74C68">
        <w:trPr>
          <w:divId w:val="398284733"/>
          <w:trHeight w:val="227"/>
        </w:trPr>
        <w:tc>
          <w:tcPr>
            <w:tcW w:w="2219" w:type="pct"/>
            <w:tcBorders>
              <w:top w:val="nil"/>
              <w:left w:val="nil"/>
              <w:right w:val="nil"/>
            </w:tcBorders>
            <w:noWrap/>
            <w:vAlign w:val="center"/>
            <w:hideMark/>
          </w:tcPr>
          <w:p w14:paraId="27248661" w14:textId="77777777" w:rsidR="00A74C68" w:rsidRPr="00471CBA" w:rsidRDefault="00A74C68" w:rsidP="00A74C68">
            <w:pPr>
              <w:spacing w:line="214" w:lineRule="auto"/>
              <w:rPr>
                <w:color w:val="000000"/>
                <w:szCs w:val="20"/>
                <w:lang w:eastAsia="tr-TR"/>
              </w:rPr>
            </w:pPr>
            <w:r w:rsidRPr="00471CBA">
              <w:rPr>
                <w:color w:val="000000"/>
                <w:szCs w:val="20"/>
                <w:lang w:eastAsia="tr-TR"/>
              </w:rPr>
              <w:t>Kurum ve Birlik Katılım Payı</w:t>
            </w:r>
          </w:p>
        </w:tc>
        <w:tc>
          <w:tcPr>
            <w:tcW w:w="1318" w:type="pct"/>
            <w:tcBorders>
              <w:top w:val="nil"/>
              <w:left w:val="nil"/>
              <w:right w:val="nil"/>
            </w:tcBorders>
            <w:noWrap/>
            <w:vAlign w:val="center"/>
            <w:hideMark/>
          </w:tcPr>
          <w:p w14:paraId="3F440BD5" w14:textId="77777777" w:rsidR="00A74C68" w:rsidRPr="00471CBA" w:rsidRDefault="00A74C68" w:rsidP="00A74C68">
            <w:pPr>
              <w:spacing w:line="214" w:lineRule="auto"/>
              <w:jc w:val="right"/>
              <w:rPr>
                <w:color w:val="000000"/>
                <w:szCs w:val="20"/>
                <w:lang w:eastAsia="tr-TR"/>
              </w:rPr>
            </w:pPr>
            <w:r w:rsidRPr="00471CBA">
              <w:rPr>
                <w:color w:val="000000"/>
                <w:szCs w:val="20"/>
                <w:lang w:eastAsia="tr-TR"/>
              </w:rPr>
              <w:t>13.698</w:t>
            </w:r>
          </w:p>
        </w:tc>
      </w:tr>
      <w:tr w:rsidR="00A74C68" w:rsidRPr="00471CBA" w14:paraId="664A6832" w14:textId="77777777" w:rsidTr="00A74C68">
        <w:trPr>
          <w:divId w:val="398284733"/>
          <w:trHeight w:val="227"/>
        </w:trPr>
        <w:tc>
          <w:tcPr>
            <w:tcW w:w="2219" w:type="pct"/>
            <w:tcBorders>
              <w:top w:val="nil"/>
              <w:left w:val="nil"/>
              <w:right w:val="nil"/>
            </w:tcBorders>
            <w:noWrap/>
            <w:vAlign w:val="center"/>
            <w:hideMark/>
          </w:tcPr>
          <w:p w14:paraId="3D8CC53B" w14:textId="77777777" w:rsidR="00A74C68" w:rsidRPr="00471CBA" w:rsidRDefault="00A74C68" w:rsidP="00A74C68">
            <w:pPr>
              <w:spacing w:line="214" w:lineRule="auto"/>
              <w:rPr>
                <w:color w:val="000000"/>
                <w:szCs w:val="20"/>
                <w:lang w:eastAsia="tr-TR"/>
              </w:rPr>
            </w:pPr>
            <w:r w:rsidRPr="00471CBA">
              <w:rPr>
                <w:color w:val="000000"/>
                <w:szCs w:val="20"/>
                <w:lang w:eastAsia="tr-TR"/>
              </w:rPr>
              <w:t xml:space="preserve">Tasarruf Mevduatı Sigorta Fonu </w:t>
            </w:r>
          </w:p>
        </w:tc>
        <w:tc>
          <w:tcPr>
            <w:tcW w:w="1318" w:type="pct"/>
            <w:tcBorders>
              <w:top w:val="nil"/>
              <w:left w:val="nil"/>
              <w:right w:val="nil"/>
            </w:tcBorders>
            <w:noWrap/>
            <w:vAlign w:val="center"/>
            <w:hideMark/>
          </w:tcPr>
          <w:p w14:paraId="5C7742CC" w14:textId="77777777" w:rsidR="00A74C68" w:rsidRPr="00471CBA" w:rsidRDefault="00A74C68" w:rsidP="00A74C68">
            <w:pPr>
              <w:spacing w:line="214" w:lineRule="auto"/>
              <w:jc w:val="right"/>
              <w:rPr>
                <w:color w:val="000000"/>
                <w:szCs w:val="20"/>
                <w:lang w:eastAsia="tr-TR"/>
              </w:rPr>
            </w:pPr>
            <w:r w:rsidRPr="00471CBA">
              <w:rPr>
                <w:color w:val="000000"/>
                <w:szCs w:val="20"/>
                <w:lang w:eastAsia="tr-TR"/>
              </w:rPr>
              <w:t>15.765</w:t>
            </w:r>
          </w:p>
        </w:tc>
      </w:tr>
      <w:tr w:rsidR="00A74C68" w:rsidRPr="00471CBA" w14:paraId="4381776E" w14:textId="77777777" w:rsidTr="00A74C68">
        <w:trPr>
          <w:divId w:val="398284733"/>
          <w:trHeight w:val="227"/>
        </w:trPr>
        <w:tc>
          <w:tcPr>
            <w:tcW w:w="2219" w:type="pct"/>
            <w:tcBorders>
              <w:left w:val="nil"/>
              <w:bottom w:val="single" w:sz="4" w:space="0" w:color="auto"/>
              <w:right w:val="nil"/>
            </w:tcBorders>
            <w:noWrap/>
            <w:vAlign w:val="center"/>
            <w:hideMark/>
          </w:tcPr>
          <w:p w14:paraId="4F8C2912" w14:textId="77777777" w:rsidR="00A74C68" w:rsidRPr="00471CBA" w:rsidRDefault="00A74C68" w:rsidP="00A74C68">
            <w:pPr>
              <w:spacing w:line="214" w:lineRule="auto"/>
              <w:rPr>
                <w:color w:val="000000"/>
                <w:szCs w:val="20"/>
                <w:lang w:eastAsia="tr-TR"/>
              </w:rPr>
            </w:pPr>
            <w:r w:rsidRPr="00471CBA">
              <w:rPr>
                <w:color w:val="000000"/>
                <w:szCs w:val="20"/>
                <w:lang w:eastAsia="tr-TR"/>
              </w:rPr>
              <w:t>Diğer</w:t>
            </w:r>
          </w:p>
        </w:tc>
        <w:tc>
          <w:tcPr>
            <w:tcW w:w="1318" w:type="pct"/>
            <w:tcBorders>
              <w:left w:val="nil"/>
              <w:bottom w:val="single" w:sz="4" w:space="0" w:color="auto"/>
              <w:right w:val="nil"/>
            </w:tcBorders>
            <w:noWrap/>
            <w:vAlign w:val="center"/>
            <w:hideMark/>
          </w:tcPr>
          <w:p w14:paraId="4F106863" w14:textId="77777777" w:rsidR="00A74C68" w:rsidRPr="00471CBA" w:rsidRDefault="00A74C68" w:rsidP="00A74C68">
            <w:pPr>
              <w:spacing w:line="214" w:lineRule="auto"/>
              <w:jc w:val="right"/>
              <w:rPr>
                <w:color w:val="000000"/>
                <w:szCs w:val="20"/>
                <w:lang w:eastAsia="tr-TR"/>
              </w:rPr>
            </w:pPr>
            <w:r w:rsidRPr="00471CBA">
              <w:rPr>
                <w:color w:val="000000"/>
                <w:szCs w:val="20"/>
                <w:lang w:eastAsia="tr-TR"/>
              </w:rPr>
              <w:t>50.908</w:t>
            </w:r>
          </w:p>
        </w:tc>
      </w:tr>
      <w:tr w:rsidR="00A74C68" w:rsidRPr="00471CBA" w14:paraId="2399F19D" w14:textId="77777777" w:rsidTr="00A74C68">
        <w:trPr>
          <w:divId w:val="398284733"/>
          <w:trHeight w:val="227"/>
        </w:trPr>
        <w:tc>
          <w:tcPr>
            <w:tcW w:w="2219" w:type="pct"/>
            <w:tcBorders>
              <w:top w:val="single" w:sz="4" w:space="0" w:color="auto"/>
              <w:left w:val="nil"/>
              <w:right w:val="nil"/>
            </w:tcBorders>
            <w:vAlign w:val="center"/>
            <w:hideMark/>
          </w:tcPr>
          <w:p w14:paraId="58CF8C27" w14:textId="77777777" w:rsidR="00A74C68" w:rsidRPr="00471CBA" w:rsidRDefault="00A74C68" w:rsidP="00A74C68">
            <w:pPr>
              <w:spacing w:line="214" w:lineRule="auto"/>
              <w:rPr>
                <w:b/>
                <w:bCs/>
                <w:color w:val="000000"/>
                <w:szCs w:val="20"/>
                <w:lang w:eastAsia="tr-TR"/>
              </w:rPr>
            </w:pPr>
          </w:p>
        </w:tc>
        <w:tc>
          <w:tcPr>
            <w:tcW w:w="1318" w:type="pct"/>
            <w:tcBorders>
              <w:top w:val="single" w:sz="4" w:space="0" w:color="auto"/>
              <w:left w:val="nil"/>
              <w:right w:val="nil"/>
            </w:tcBorders>
            <w:vAlign w:val="center"/>
            <w:hideMark/>
          </w:tcPr>
          <w:p w14:paraId="2D40A22A" w14:textId="77777777" w:rsidR="00A74C68" w:rsidRPr="00471CBA" w:rsidRDefault="00A74C68" w:rsidP="00A74C68">
            <w:pPr>
              <w:spacing w:line="214" w:lineRule="auto"/>
              <w:jc w:val="right"/>
              <w:rPr>
                <w:b/>
                <w:bCs/>
                <w:szCs w:val="20"/>
                <w:lang w:eastAsia="tr-TR"/>
              </w:rPr>
            </w:pPr>
          </w:p>
        </w:tc>
      </w:tr>
      <w:tr w:rsidR="00A74C68" w:rsidRPr="00471CBA" w14:paraId="736D5A96" w14:textId="77777777" w:rsidTr="00A74C68">
        <w:trPr>
          <w:divId w:val="398284733"/>
          <w:trHeight w:val="227"/>
        </w:trPr>
        <w:tc>
          <w:tcPr>
            <w:tcW w:w="2219" w:type="pct"/>
            <w:tcBorders>
              <w:left w:val="nil"/>
              <w:bottom w:val="single" w:sz="8" w:space="0" w:color="auto"/>
              <w:right w:val="nil"/>
            </w:tcBorders>
            <w:vAlign w:val="bottom"/>
            <w:hideMark/>
          </w:tcPr>
          <w:p w14:paraId="63D6CB08" w14:textId="77777777" w:rsidR="00A74C68" w:rsidRPr="00471CBA" w:rsidRDefault="00A74C68" w:rsidP="00A74C68">
            <w:pPr>
              <w:rPr>
                <w:b/>
                <w:bCs/>
                <w:color w:val="000000"/>
                <w:szCs w:val="20"/>
                <w:lang w:eastAsia="tr-TR"/>
              </w:rPr>
            </w:pPr>
            <w:r w:rsidRPr="00471CBA">
              <w:rPr>
                <w:b/>
                <w:bCs/>
                <w:color w:val="000000"/>
                <w:szCs w:val="20"/>
                <w:lang w:eastAsia="tr-TR"/>
              </w:rPr>
              <w:t>Toplam</w:t>
            </w:r>
          </w:p>
        </w:tc>
        <w:tc>
          <w:tcPr>
            <w:tcW w:w="1318" w:type="pct"/>
            <w:tcBorders>
              <w:left w:val="nil"/>
              <w:bottom w:val="single" w:sz="8" w:space="0" w:color="auto"/>
              <w:right w:val="nil"/>
            </w:tcBorders>
            <w:noWrap/>
            <w:vAlign w:val="center"/>
            <w:hideMark/>
          </w:tcPr>
          <w:p w14:paraId="4237D82F" w14:textId="77777777" w:rsidR="00A74C68" w:rsidRPr="00471CBA" w:rsidRDefault="00A74C68" w:rsidP="00A74C68">
            <w:pPr>
              <w:jc w:val="right"/>
              <w:rPr>
                <w:b/>
                <w:bCs/>
                <w:color w:val="000000"/>
                <w:szCs w:val="20"/>
                <w:lang w:eastAsia="tr-TR"/>
              </w:rPr>
            </w:pPr>
            <w:r w:rsidRPr="00471CBA">
              <w:rPr>
                <w:b/>
                <w:bCs/>
                <w:color w:val="000000"/>
                <w:szCs w:val="20"/>
                <w:lang w:eastAsia="tr-TR"/>
              </w:rPr>
              <w:t>263.257</w:t>
            </w:r>
          </w:p>
        </w:tc>
      </w:tr>
    </w:tbl>
    <w:p w14:paraId="40ECAA48" w14:textId="543C5F89" w:rsidR="00EF451B" w:rsidRPr="00471CBA" w:rsidRDefault="00EF451B" w:rsidP="00245EDD">
      <w:pPr>
        <w:rPr>
          <w:b/>
          <w:iCs/>
          <w:szCs w:val="20"/>
        </w:rPr>
      </w:pPr>
    </w:p>
    <w:tbl>
      <w:tblPr>
        <w:tblW w:w="5003" w:type="pct"/>
        <w:tblCellMar>
          <w:left w:w="70" w:type="dxa"/>
          <w:right w:w="70" w:type="dxa"/>
        </w:tblCellMar>
        <w:tblLook w:val="04A0" w:firstRow="1" w:lastRow="0" w:firstColumn="1" w:lastColumn="0" w:noHBand="0" w:noVBand="1"/>
      </w:tblPr>
      <w:tblGrid>
        <w:gridCol w:w="5841"/>
        <w:gridCol w:w="3520"/>
      </w:tblGrid>
      <w:tr w:rsidR="001C13B0" w:rsidRPr="00471CBA" w14:paraId="792CF4F8" w14:textId="77777777" w:rsidTr="00DF7B30">
        <w:trPr>
          <w:trHeight w:val="227"/>
        </w:trPr>
        <w:tc>
          <w:tcPr>
            <w:tcW w:w="3120" w:type="pct"/>
            <w:tcBorders>
              <w:top w:val="nil"/>
              <w:left w:val="nil"/>
              <w:bottom w:val="nil"/>
              <w:right w:val="nil"/>
            </w:tcBorders>
            <w:noWrap/>
            <w:vAlign w:val="bottom"/>
            <w:hideMark/>
          </w:tcPr>
          <w:p w14:paraId="30CDC702" w14:textId="77777777" w:rsidR="001C13B0" w:rsidRPr="00471CBA" w:rsidRDefault="001C13B0" w:rsidP="003D1625">
            <w:pPr>
              <w:spacing w:line="214" w:lineRule="auto"/>
              <w:rPr>
                <w:szCs w:val="20"/>
                <w:lang w:eastAsia="tr-TR"/>
              </w:rPr>
            </w:pPr>
          </w:p>
        </w:tc>
        <w:tc>
          <w:tcPr>
            <w:tcW w:w="1880" w:type="pct"/>
            <w:tcBorders>
              <w:top w:val="nil"/>
              <w:left w:val="nil"/>
              <w:bottom w:val="single" w:sz="4" w:space="0" w:color="auto"/>
              <w:right w:val="nil"/>
            </w:tcBorders>
            <w:vAlign w:val="center"/>
            <w:hideMark/>
          </w:tcPr>
          <w:p w14:paraId="14862458" w14:textId="205C531D" w:rsidR="001C13B0" w:rsidRPr="00471CBA" w:rsidRDefault="00474BD4" w:rsidP="003D1625">
            <w:pPr>
              <w:jc w:val="right"/>
              <w:rPr>
                <w:b/>
                <w:bCs/>
                <w:color w:val="000000"/>
                <w:szCs w:val="20"/>
                <w:lang w:eastAsia="tr-TR"/>
              </w:rPr>
            </w:pPr>
            <w:r w:rsidRPr="00471CBA">
              <w:rPr>
                <w:b/>
                <w:bCs/>
                <w:color w:val="000000"/>
                <w:szCs w:val="20"/>
                <w:lang w:eastAsia="tr-TR"/>
              </w:rPr>
              <w:t>1 Ocak - 31 Aralık 2024</w:t>
            </w:r>
          </w:p>
        </w:tc>
      </w:tr>
      <w:tr w:rsidR="001C13B0" w:rsidRPr="00471CBA" w14:paraId="1063D77C" w14:textId="77777777" w:rsidTr="00DF7B30">
        <w:trPr>
          <w:trHeight w:val="227"/>
        </w:trPr>
        <w:tc>
          <w:tcPr>
            <w:tcW w:w="3120" w:type="pct"/>
            <w:tcBorders>
              <w:top w:val="nil"/>
              <w:left w:val="nil"/>
              <w:bottom w:val="nil"/>
              <w:right w:val="nil"/>
            </w:tcBorders>
            <w:noWrap/>
            <w:vAlign w:val="bottom"/>
            <w:hideMark/>
          </w:tcPr>
          <w:p w14:paraId="4CBEC65A" w14:textId="77777777" w:rsidR="001C13B0" w:rsidRPr="00471CBA" w:rsidRDefault="001C13B0" w:rsidP="003D1625">
            <w:pPr>
              <w:spacing w:line="214" w:lineRule="auto"/>
              <w:rPr>
                <w:b/>
                <w:bCs/>
                <w:color w:val="000000"/>
                <w:szCs w:val="20"/>
                <w:lang w:eastAsia="tr-TR"/>
              </w:rPr>
            </w:pPr>
          </w:p>
        </w:tc>
        <w:tc>
          <w:tcPr>
            <w:tcW w:w="1880" w:type="pct"/>
            <w:tcBorders>
              <w:top w:val="single" w:sz="4" w:space="0" w:color="auto"/>
              <w:left w:val="nil"/>
              <w:bottom w:val="nil"/>
              <w:right w:val="nil"/>
            </w:tcBorders>
            <w:noWrap/>
            <w:vAlign w:val="bottom"/>
            <w:hideMark/>
          </w:tcPr>
          <w:p w14:paraId="3381AA02" w14:textId="77777777" w:rsidR="001C13B0" w:rsidRPr="00471CBA" w:rsidRDefault="001C13B0" w:rsidP="003D1625">
            <w:pPr>
              <w:jc w:val="right"/>
              <w:rPr>
                <w:szCs w:val="20"/>
                <w:lang w:eastAsia="tr-TR"/>
              </w:rPr>
            </w:pPr>
          </w:p>
        </w:tc>
      </w:tr>
      <w:tr w:rsidR="00BD44A6" w:rsidRPr="00471CBA" w14:paraId="3FD7B3F2" w14:textId="77777777" w:rsidTr="00DF7B30">
        <w:trPr>
          <w:trHeight w:val="227"/>
        </w:trPr>
        <w:tc>
          <w:tcPr>
            <w:tcW w:w="3120" w:type="pct"/>
            <w:tcBorders>
              <w:top w:val="nil"/>
              <w:left w:val="nil"/>
              <w:bottom w:val="nil"/>
              <w:right w:val="nil"/>
            </w:tcBorders>
            <w:noWrap/>
            <w:vAlign w:val="center"/>
            <w:hideMark/>
          </w:tcPr>
          <w:p w14:paraId="614E71D5" w14:textId="77777777" w:rsidR="00BD44A6" w:rsidRPr="00471CBA" w:rsidRDefault="00BD44A6" w:rsidP="00BD44A6">
            <w:pPr>
              <w:spacing w:line="214" w:lineRule="auto"/>
              <w:rPr>
                <w:color w:val="000000"/>
                <w:szCs w:val="20"/>
                <w:lang w:eastAsia="tr-TR"/>
              </w:rPr>
            </w:pPr>
            <w:r w:rsidRPr="00471CBA">
              <w:rPr>
                <w:color w:val="000000"/>
                <w:szCs w:val="20"/>
                <w:lang w:eastAsia="tr-TR"/>
              </w:rPr>
              <w:t>Vergi, Resim, Harçlar ve Fonlar</w:t>
            </w:r>
          </w:p>
        </w:tc>
        <w:tc>
          <w:tcPr>
            <w:tcW w:w="1880" w:type="pct"/>
            <w:tcBorders>
              <w:top w:val="nil"/>
              <w:left w:val="nil"/>
              <w:bottom w:val="nil"/>
              <w:right w:val="nil"/>
            </w:tcBorders>
            <w:noWrap/>
            <w:vAlign w:val="center"/>
            <w:hideMark/>
          </w:tcPr>
          <w:p w14:paraId="415DA034" w14:textId="7A06C632" w:rsidR="00BD44A6" w:rsidRPr="00471CBA" w:rsidRDefault="00BD44A6" w:rsidP="00BD44A6">
            <w:pPr>
              <w:jc w:val="right"/>
              <w:rPr>
                <w:color w:val="000000"/>
                <w:szCs w:val="20"/>
                <w:lang w:eastAsia="tr-TR"/>
              </w:rPr>
            </w:pPr>
            <w:r w:rsidRPr="00471CBA">
              <w:rPr>
                <w:color w:val="000000"/>
                <w:szCs w:val="20"/>
                <w:lang w:eastAsia="tr-TR"/>
              </w:rPr>
              <w:t>77.856</w:t>
            </w:r>
          </w:p>
        </w:tc>
      </w:tr>
      <w:tr w:rsidR="00BD44A6" w:rsidRPr="00471CBA" w14:paraId="3FC6B5B6" w14:textId="77777777" w:rsidTr="00DF7B30">
        <w:trPr>
          <w:trHeight w:val="227"/>
        </w:trPr>
        <w:tc>
          <w:tcPr>
            <w:tcW w:w="3120" w:type="pct"/>
            <w:tcBorders>
              <w:top w:val="nil"/>
              <w:left w:val="nil"/>
              <w:bottom w:val="nil"/>
              <w:right w:val="nil"/>
            </w:tcBorders>
            <w:noWrap/>
            <w:vAlign w:val="center"/>
            <w:hideMark/>
          </w:tcPr>
          <w:p w14:paraId="511F2893" w14:textId="77777777" w:rsidR="00BD44A6" w:rsidRPr="00471CBA" w:rsidRDefault="00BD44A6" w:rsidP="00BD44A6">
            <w:pPr>
              <w:spacing w:line="214" w:lineRule="auto"/>
              <w:rPr>
                <w:color w:val="000000"/>
                <w:szCs w:val="20"/>
                <w:lang w:eastAsia="tr-TR"/>
              </w:rPr>
            </w:pPr>
            <w:r w:rsidRPr="00471CBA">
              <w:rPr>
                <w:color w:val="000000"/>
                <w:szCs w:val="20"/>
                <w:lang w:eastAsia="tr-TR"/>
              </w:rPr>
              <w:t>Denetim ve Müşavirlik Ücretleri</w:t>
            </w:r>
          </w:p>
        </w:tc>
        <w:tc>
          <w:tcPr>
            <w:tcW w:w="1880" w:type="pct"/>
            <w:tcBorders>
              <w:top w:val="nil"/>
              <w:left w:val="nil"/>
              <w:bottom w:val="nil"/>
              <w:right w:val="nil"/>
            </w:tcBorders>
            <w:noWrap/>
            <w:vAlign w:val="center"/>
            <w:hideMark/>
          </w:tcPr>
          <w:p w14:paraId="2E70FDD6" w14:textId="04C8EF05" w:rsidR="00BD44A6" w:rsidRPr="00471CBA" w:rsidRDefault="00BD44A6" w:rsidP="00BD44A6">
            <w:pPr>
              <w:jc w:val="right"/>
              <w:rPr>
                <w:color w:val="000000"/>
                <w:szCs w:val="20"/>
                <w:lang w:eastAsia="tr-TR"/>
              </w:rPr>
            </w:pPr>
            <w:r w:rsidRPr="00471CBA">
              <w:rPr>
                <w:color w:val="000000"/>
                <w:szCs w:val="20"/>
                <w:lang w:eastAsia="tr-TR"/>
              </w:rPr>
              <w:t>29.474</w:t>
            </w:r>
          </w:p>
        </w:tc>
      </w:tr>
      <w:tr w:rsidR="00BD44A6" w:rsidRPr="00471CBA" w14:paraId="5B753351" w14:textId="77777777" w:rsidTr="00DF7B30">
        <w:trPr>
          <w:trHeight w:val="227"/>
        </w:trPr>
        <w:tc>
          <w:tcPr>
            <w:tcW w:w="3120" w:type="pct"/>
            <w:tcBorders>
              <w:top w:val="nil"/>
              <w:left w:val="nil"/>
              <w:right w:val="nil"/>
            </w:tcBorders>
            <w:noWrap/>
            <w:vAlign w:val="center"/>
            <w:hideMark/>
          </w:tcPr>
          <w:p w14:paraId="4535DF15" w14:textId="77777777" w:rsidR="00BD44A6" w:rsidRPr="00471CBA" w:rsidRDefault="00BD44A6" w:rsidP="00BD44A6">
            <w:pPr>
              <w:spacing w:line="214" w:lineRule="auto"/>
              <w:rPr>
                <w:color w:val="000000"/>
                <w:szCs w:val="20"/>
                <w:lang w:eastAsia="tr-TR"/>
              </w:rPr>
            </w:pPr>
            <w:r w:rsidRPr="00471CBA">
              <w:rPr>
                <w:color w:val="000000"/>
                <w:szCs w:val="20"/>
                <w:lang w:eastAsia="tr-TR"/>
              </w:rPr>
              <w:t>Kurum ve Birlik Katılım Payı</w:t>
            </w:r>
          </w:p>
        </w:tc>
        <w:tc>
          <w:tcPr>
            <w:tcW w:w="1880" w:type="pct"/>
            <w:tcBorders>
              <w:top w:val="nil"/>
              <w:left w:val="nil"/>
              <w:right w:val="nil"/>
            </w:tcBorders>
            <w:noWrap/>
            <w:vAlign w:val="center"/>
            <w:hideMark/>
          </w:tcPr>
          <w:p w14:paraId="4F21B6F8" w14:textId="5B9F21C2" w:rsidR="00BD44A6" w:rsidRPr="00471CBA" w:rsidRDefault="00BD44A6" w:rsidP="00BD44A6">
            <w:pPr>
              <w:jc w:val="right"/>
              <w:rPr>
                <w:color w:val="000000"/>
                <w:szCs w:val="20"/>
                <w:lang w:eastAsia="tr-TR"/>
              </w:rPr>
            </w:pPr>
            <w:r w:rsidRPr="00471CBA">
              <w:rPr>
                <w:color w:val="000000"/>
                <w:szCs w:val="20"/>
                <w:lang w:eastAsia="tr-TR"/>
              </w:rPr>
              <w:t>9.149</w:t>
            </w:r>
          </w:p>
        </w:tc>
      </w:tr>
      <w:tr w:rsidR="001C13B0" w:rsidRPr="00471CBA" w14:paraId="0ABF596E" w14:textId="77777777" w:rsidTr="00DF7B30">
        <w:trPr>
          <w:trHeight w:val="227"/>
        </w:trPr>
        <w:tc>
          <w:tcPr>
            <w:tcW w:w="3120" w:type="pct"/>
            <w:tcBorders>
              <w:top w:val="nil"/>
              <w:left w:val="nil"/>
              <w:right w:val="nil"/>
            </w:tcBorders>
            <w:noWrap/>
            <w:vAlign w:val="center"/>
            <w:hideMark/>
          </w:tcPr>
          <w:p w14:paraId="3A3E817E" w14:textId="77777777" w:rsidR="001C13B0" w:rsidRPr="00471CBA" w:rsidRDefault="001C13B0" w:rsidP="003D1625">
            <w:pPr>
              <w:spacing w:line="214" w:lineRule="auto"/>
              <w:rPr>
                <w:color w:val="000000"/>
                <w:szCs w:val="20"/>
                <w:lang w:eastAsia="tr-TR"/>
              </w:rPr>
            </w:pPr>
            <w:r w:rsidRPr="00471CBA">
              <w:rPr>
                <w:color w:val="000000"/>
                <w:szCs w:val="20"/>
                <w:lang w:eastAsia="tr-TR"/>
              </w:rPr>
              <w:t xml:space="preserve">Tasarruf Mevduatı Sigorta Fonu </w:t>
            </w:r>
          </w:p>
        </w:tc>
        <w:tc>
          <w:tcPr>
            <w:tcW w:w="1880" w:type="pct"/>
            <w:tcBorders>
              <w:top w:val="nil"/>
              <w:left w:val="nil"/>
              <w:right w:val="nil"/>
            </w:tcBorders>
            <w:noWrap/>
            <w:vAlign w:val="center"/>
            <w:hideMark/>
          </w:tcPr>
          <w:p w14:paraId="4B1F4C4F" w14:textId="77777777" w:rsidR="001C13B0" w:rsidRPr="00471CBA" w:rsidRDefault="001C13B0" w:rsidP="003D1625">
            <w:pPr>
              <w:jc w:val="right"/>
              <w:rPr>
                <w:color w:val="000000"/>
                <w:szCs w:val="20"/>
                <w:lang w:eastAsia="tr-TR"/>
              </w:rPr>
            </w:pPr>
            <w:r w:rsidRPr="00471CBA">
              <w:rPr>
                <w:color w:val="000000"/>
                <w:szCs w:val="20"/>
                <w:lang w:eastAsia="tr-TR"/>
              </w:rPr>
              <w:t>-</w:t>
            </w:r>
          </w:p>
        </w:tc>
      </w:tr>
      <w:tr w:rsidR="001C13B0" w:rsidRPr="00471CBA" w14:paraId="189E04D5" w14:textId="77777777" w:rsidTr="00DF7B30">
        <w:trPr>
          <w:trHeight w:val="227"/>
        </w:trPr>
        <w:tc>
          <w:tcPr>
            <w:tcW w:w="3120" w:type="pct"/>
            <w:tcBorders>
              <w:left w:val="nil"/>
              <w:bottom w:val="single" w:sz="4" w:space="0" w:color="auto"/>
              <w:right w:val="nil"/>
            </w:tcBorders>
            <w:noWrap/>
            <w:vAlign w:val="center"/>
            <w:hideMark/>
          </w:tcPr>
          <w:p w14:paraId="69D6858F" w14:textId="77777777" w:rsidR="001C13B0" w:rsidRPr="00471CBA" w:rsidRDefault="001C13B0" w:rsidP="003D1625">
            <w:pPr>
              <w:spacing w:line="214" w:lineRule="auto"/>
              <w:rPr>
                <w:color w:val="000000"/>
                <w:szCs w:val="20"/>
                <w:lang w:eastAsia="tr-TR"/>
              </w:rPr>
            </w:pPr>
            <w:r w:rsidRPr="00471CBA">
              <w:rPr>
                <w:color w:val="000000"/>
                <w:szCs w:val="20"/>
                <w:lang w:eastAsia="tr-TR"/>
              </w:rPr>
              <w:t>Diğer</w:t>
            </w:r>
          </w:p>
        </w:tc>
        <w:tc>
          <w:tcPr>
            <w:tcW w:w="1880" w:type="pct"/>
            <w:tcBorders>
              <w:left w:val="nil"/>
              <w:bottom w:val="single" w:sz="4" w:space="0" w:color="auto"/>
              <w:right w:val="nil"/>
            </w:tcBorders>
            <w:noWrap/>
            <w:vAlign w:val="center"/>
            <w:hideMark/>
          </w:tcPr>
          <w:p w14:paraId="44B96D2C" w14:textId="487BEE4D" w:rsidR="001C13B0" w:rsidRPr="00471CBA" w:rsidRDefault="00BD44A6" w:rsidP="003D1625">
            <w:pPr>
              <w:jc w:val="right"/>
              <w:rPr>
                <w:color w:val="000000"/>
                <w:szCs w:val="20"/>
                <w:lang w:eastAsia="tr-TR"/>
              </w:rPr>
            </w:pPr>
            <w:r w:rsidRPr="00471CBA">
              <w:rPr>
                <w:color w:val="000000"/>
                <w:szCs w:val="20"/>
                <w:lang w:eastAsia="tr-TR"/>
              </w:rPr>
              <w:t>6.394</w:t>
            </w:r>
          </w:p>
        </w:tc>
      </w:tr>
      <w:tr w:rsidR="001C13B0" w:rsidRPr="00471CBA" w14:paraId="4952C7F1" w14:textId="77777777" w:rsidTr="00DF7B30">
        <w:trPr>
          <w:trHeight w:val="227"/>
        </w:trPr>
        <w:tc>
          <w:tcPr>
            <w:tcW w:w="3120" w:type="pct"/>
            <w:tcBorders>
              <w:top w:val="single" w:sz="4" w:space="0" w:color="auto"/>
              <w:left w:val="nil"/>
              <w:right w:val="nil"/>
            </w:tcBorders>
            <w:vAlign w:val="center"/>
            <w:hideMark/>
          </w:tcPr>
          <w:p w14:paraId="012C1CAD" w14:textId="77777777" w:rsidR="001C13B0" w:rsidRPr="00471CBA" w:rsidRDefault="001C13B0" w:rsidP="003D1625">
            <w:pPr>
              <w:spacing w:line="214" w:lineRule="auto"/>
              <w:rPr>
                <w:b/>
                <w:bCs/>
                <w:color w:val="000000"/>
                <w:szCs w:val="20"/>
                <w:lang w:eastAsia="tr-TR"/>
              </w:rPr>
            </w:pPr>
          </w:p>
        </w:tc>
        <w:tc>
          <w:tcPr>
            <w:tcW w:w="1880" w:type="pct"/>
            <w:tcBorders>
              <w:top w:val="single" w:sz="4" w:space="0" w:color="auto"/>
              <w:left w:val="nil"/>
              <w:right w:val="nil"/>
            </w:tcBorders>
            <w:vAlign w:val="center"/>
            <w:hideMark/>
          </w:tcPr>
          <w:p w14:paraId="11C83981" w14:textId="77777777" w:rsidR="001C13B0" w:rsidRPr="00471CBA" w:rsidRDefault="001C13B0" w:rsidP="003D1625">
            <w:pPr>
              <w:jc w:val="right"/>
              <w:rPr>
                <w:b/>
                <w:bCs/>
                <w:color w:val="000000"/>
                <w:szCs w:val="20"/>
                <w:lang w:eastAsia="tr-TR"/>
              </w:rPr>
            </w:pPr>
          </w:p>
        </w:tc>
      </w:tr>
      <w:tr w:rsidR="001C13B0" w:rsidRPr="00471CBA" w14:paraId="3832B97E" w14:textId="77777777" w:rsidTr="00DF7B30">
        <w:trPr>
          <w:trHeight w:val="227"/>
        </w:trPr>
        <w:tc>
          <w:tcPr>
            <w:tcW w:w="3120" w:type="pct"/>
            <w:tcBorders>
              <w:left w:val="nil"/>
              <w:bottom w:val="single" w:sz="8" w:space="0" w:color="auto"/>
              <w:right w:val="nil"/>
            </w:tcBorders>
            <w:vAlign w:val="bottom"/>
            <w:hideMark/>
          </w:tcPr>
          <w:p w14:paraId="07CD41FB" w14:textId="77777777" w:rsidR="001C13B0" w:rsidRPr="00471CBA" w:rsidRDefault="001C13B0" w:rsidP="003D1625">
            <w:pPr>
              <w:rPr>
                <w:b/>
                <w:bCs/>
                <w:color w:val="000000"/>
                <w:szCs w:val="20"/>
                <w:lang w:eastAsia="tr-TR"/>
              </w:rPr>
            </w:pPr>
            <w:r w:rsidRPr="00471CBA">
              <w:rPr>
                <w:b/>
                <w:bCs/>
                <w:color w:val="000000"/>
                <w:szCs w:val="20"/>
                <w:lang w:eastAsia="tr-TR"/>
              </w:rPr>
              <w:t>Toplam</w:t>
            </w:r>
          </w:p>
        </w:tc>
        <w:tc>
          <w:tcPr>
            <w:tcW w:w="1880" w:type="pct"/>
            <w:tcBorders>
              <w:left w:val="nil"/>
              <w:bottom w:val="single" w:sz="8" w:space="0" w:color="auto"/>
              <w:right w:val="nil"/>
            </w:tcBorders>
            <w:noWrap/>
            <w:vAlign w:val="center"/>
            <w:hideMark/>
          </w:tcPr>
          <w:p w14:paraId="1E18CB0F" w14:textId="6C292069" w:rsidR="001C13B0" w:rsidRPr="00471CBA" w:rsidRDefault="00BD44A6" w:rsidP="003D1625">
            <w:pPr>
              <w:jc w:val="right"/>
              <w:rPr>
                <w:b/>
                <w:bCs/>
                <w:color w:val="000000"/>
                <w:szCs w:val="20"/>
                <w:lang w:eastAsia="tr-TR"/>
              </w:rPr>
            </w:pPr>
            <w:r w:rsidRPr="00471CBA">
              <w:rPr>
                <w:b/>
                <w:bCs/>
                <w:szCs w:val="20"/>
                <w:lang w:eastAsia="tr-TR"/>
              </w:rPr>
              <w:t>122.873</w:t>
            </w:r>
          </w:p>
        </w:tc>
      </w:tr>
    </w:tbl>
    <w:p w14:paraId="55501E35" w14:textId="74FB9C62" w:rsidR="001C13B0" w:rsidRPr="00471CBA" w:rsidRDefault="001C13B0" w:rsidP="00245EDD">
      <w:pPr>
        <w:rPr>
          <w:b/>
          <w:iCs/>
          <w:sz w:val="14"/>
          <w:szCs w:val="14"/>
        </w:rPr>
      </w:pPr>
    </w:p>
    <w:p w14:paraId="74DED1A8" w14:textId="77777777" w:rsidR="009C40F4" w:rsidRPr="00471CBA" w:rsidRDefault="009C40F4" w:rsidP="008459A9">
      <w:pPr>
        <w:pStyle w:val="ListeParagraf"/>
        <w:widowControl w:val="0"/>
        <w:numPr>
          <w:ilvl w:val="0"/>
          <w:numId w:val="70"/>
        </w:numPr>
        <w:autoSpaceDE w:val="0"/>
        <w:autoSpaceDN w:val="0"/>
        <w:adjustRightInd w:val="0"/>
        <w:spacing w:line="214" w:lineRule="auto"/>
        <w:ind w:left="851" w:hanging="851"/>
        <w:jc w:val="both"/>
        <w:rPr>
          <w:b/>
          <w:bCs/>
          <w:iCs/>
          <w:szCs w:val="20"/>
        </w:rPr>
      </w:pPr>
      <w:r w:rsidRPr="00471CBA">
        <w:rPr>
          <w:b/>
          <w:bCs/>
          <w:iCs/>
          <w:szCs w:val="20"/>
        </w:rPr>
        <w:t>Bağımsız Denetçi / Bağımsız Denetim Kuruluşundan Alınan Hizmetlere İlişkin Ücretler:</w:t>
      </w:r>
    </w:p>
    <w:p w14:paraId="231E0BD9" w14:textId="77777777" w:rsidR="009C40F4" w:rsidRPr="00471CBA" w:rsidRDefault="009C40F4" w:rsidP="009C40F4">
      <w:pPr>
        <w:widowControl w:val="0"/>
        <w:autoSpaceDE w:val="0"/>
        <w:autoSpaceDN w:val="0"/>
        <w:adjustRightInd w:val="0"/>
        <w:spacing w:line="214" w:lineRule="auto"/>
        <w:jc w:val="both"/>
        <w:rPr>
          <w:b/>
          <w:bCs/>
          <w:iCs/>
          <w:sz w:val="16"/>
          <w:szCs w:val="16"/>
        </w:rPr>
      </w:pPr>
    </w:p>
    <w:p w14:paraId="52B95A60" w14:textId="77777777" w:rsidR="009C40F4" w:rsidRPr="00471CBA" w:rsidRDefault="009C40F4" w:rsidP="009C40F4">
      <w:pPr>
        <w:spacing w:line="214" w:lineRule="auto"/>
        <w:ind w:left="851"/>
      </w:pPr>
      <w:proofErr w:type="spellStart"/>
      <w:r w:rsidRPr="00471CBA">
        <w:t>KGK’nın</w:t>
      </w:r>
      <w:proofErr w:type="spellEnd"/>
      <w:r w:rsidRPr="00471CBA">
        <w:t xml:space="preserve"> 26 Mart 2021 tarihli kararı gereği bağımsız denetçi veya bağımsız denetim kuruluşundan alınan hizmetlere ilişkin raporlama dönemine ait ücret bilgisi KDV hariç tutarlar üzerinden aşağıdaki tabloda verilmiştir.</w:t>
      </w:r>
    </w:p>
    <w:p w14:paraId="2BCCE6D9" w14:textId="77777777" w:rsidR="009C40F4" w:rsidRPr="00471CBA" w:rsidRDefault="009C40F4" w:rsidP="009C40F4">
      <w:pPr>
        <w:spacing w:line="214" w:lineRule="auto"/>
        <w:ind w:left="567"/>
      </w:pPr>
    </w:p>
    <w:tbl>
      <w:tblPr>
        <w:tblStyle w:val="TabloKlavuz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1980"/>
        <w:gridCol w:w="1980"/>
      </w:tblGrid>
      <w:tr w:rsidR="00C34B4D" w:rsidRPr="00471CBA" w14:paraId="4634F7E2" w14:textId="77777777" w:rsidTr="00162522">
        <w:tc>
          <w:tcPr>
            <w:tcW w:w="2883" w:type="pct"/>
          </w:tcPr>
          <w:p w14:paraId="6EC0E1BB" w14:textId="77777777" w:rsidR="00C34B4D" w:rsidRPr="00471CBA" w:rsidRDefault="00C34B4D" w:rsidP="00577215">
            <w:pPr>
              <w:spacing w:line="214" w:lineRule="auto"/>
              <w:rPr>
                <w:color w:val="000000"/>
                <w:szCs w:val="20"/>
                <w:lang w:eastAsia="tr-TR"/>
              </w:rPr>
            </w:pPr>
          </w:p>
        </w:tc>
        <w:tc>
          <w:tcPr>
            <w:tcW w:w="1058" w:type="pct"/>
            <w:tcBorders>
              <w:bottom w:val="single" w:sz="4" w:space="0" w:color="auto"/>
            </w:tcBorders>
          </w:tcPr>
          <w:p w14:paraId="115E09D6" w14:textId="36A08386" w:rsidR="00C34B4D" w:rsidRPr="00471CBA" w:rsidRDefault="00C34B4D" w:rsidP="00577215">
            <w:pPr>
              <w:spacing w:line="214" w:lineRule="auto"/>
              <w:jc w:val="right"/>
              <w:rPr>
                <w:b/>
                <w:bCs/>
                <w:szCs w:val="20"/>
              </w:rPr>
            </w:pPr>
            <w:r w:rsidRPr="00471CBA">
              <w:rPr>
                <w:b/>
                <w:bCs/>
                <w:szCs w:val="20"/>
              </w:rPr>
              <w:t>31 Aralık 2025</w:t>
            </w:r>
          </w:p>
        </w:tc>
        <w:tc>
          <w:tcPr>
            <w:tcW w:w="1058" w:type="pct"/>
            <w:tcBorders>
              <w:bottom w:val="single" w:sz="4" w:space="0" w:color="auto"/>
            </w:tcBorders>
            <w:vAlign w:val="bottom"/>
          </w:tcPr>
          <w:p w14:paraId="78A0A709" w14:textId="437F9AAF" w:rsidR="00C34B4D" w:rsidRPr="00471CBA" w:rsidRDefault="00C34B4D" w:rsidP="00577215">
            <w:pPr>
              <w:spacing w:line="214" w:lineRule="auto"/>
              <w:jc w:val="right"/>
              <w:rPr>
                <w:b/>
                <w:bCs/>
                <w:szCs w:val="20"/>
              </w:rPr>
            </w:pPr>
            <w:r w:rsidRPr="00471CBA">
              <w:rPr>
                <w:b/>
                <w:bCs/>
                <w:szCs w:val="20"/>
              </w:rPr>
              <w:t>31 Aralık 2024</w:t>
            </w:r>
          </w:p>
        </w:tc>
      </w:tr>
      <w:tr w:rsidR="00162522" w:rsidRPr="00471CBA" w14:paraId="2B32B622" w14:textId="77777777" w:rsidTr="00162522">
        <w:tc>
          <w:tcPr>
            <w:tcW w:w="2883" w:type="pct"/>
          </w:tcPr>
          <w:p w14:paraId="4CAACDB4" w14:textId="77777777" w:rsidR="00162522" w:rsidRPr="00471CBA" w:rsidRDefault="00162522" w:rsidP="00162522">
            <w:pPr>
              <w:spacing w:line="214" w:lineRule="auto"/>
              <w:rPr>
                <w:color w:val="000000"/>
                <w:szCs w:val="20"/>
                <w:lang w:eastAsia="tr-TR"/>
              </w:rPr>
            </w:pPr>
          </w:p>
        </w:tc>
        <w:tc>
          <w:tcPr>
            <w:tcW w:w="1058" w:type="pct"/>
            <w:tcBorders>
              <w:top w:val="single" w:sz="4" w:space="0" w:color="auto"/>
            </w:tcBorders>
            <w:vAlign w:val="bottom"/>
          </w:tcPr>
          <w:p w14:paraId="4FA260D6" w14:textId="77777777" w:rsidR="00162522" w:rsidRPr="00471CBA" w:rsidRDefault="00162522" w:rsidP="00162522">
            <w:pPr>
              <w:spacing w:line="214" w:lineRule="auto"/>
              <w:jc w:val="right"/>
              <w:rPr>
                <w:color w:val="000000"/>
                <w:szCs w:val="20"/>
              </w:rPr>
            </w:pPr>
          </w:p>
        </w:tc>
        <w:tc>
          <w:tcPr>
            <w:tcW w:w="1058" w:type="pct"/>
            <w:tcBorders>
              <w:top w:val="single" w:sz="4" w:space="0" w:color="auto"/>
            </w:tcBorders>
            <w:vAlign w:val="bottom"/>
          </w:tcPr>
          <w:p w14:paraId="2369C18B" w14:textId="77777777" w:rsidR="00162522" w:rsidRPr="00471CBA" w:rsidRDefault="00162522" w:rsidP="00162522">
            <w:pPr>
              <w:spacing w:line="214" w:lineRule="auto"/>
              <w:jc w:val="right"/>
              <w:rPr>
                <w:szCs w:val="20"/>
              </w:rPr>
            </w:pPr>
          </w:p>
        </w:tc>
      </w:tr>
      <w:tr w:rsidR="00162522" w:rsidRPr="00471CBA" w14:paraId="40A1A1F1" w14:textId="77777777" w:rsidTr="00162522">
        <w:tc>
          <w:tcPr>
            <w:tcW w:w="2883" w:type="pct"/>
          </w:tcPr>
          <w:p w14:paraId="79167D6D" w14:textId="77777777" w:rsidR="00162522" w:rsidRPr="00471CBA" w:rsidRDefault="00162522" w:rsidP="00162522">
            <w:pPr>
              <w:spacing w:line="214" w:lineRule="auto"/>
              <w:rPr>
                <w:szCs w:val="20"/>
              </w:rPr>
            </w:pPr>
            <w:r w:rsidRPr="00471CBA">
              <w:rPr>
                <w:color w:val="000000"/>
                <w:szCs w:val="20"/>
                <w:lang w:eastAsia="tr-TR"/>
              </w:rPr>
              <w:t>Bağımsız Denetim Ücreti</w:t>
            </w:r>
          </w:p>
        </w:tc>
        <w:tc>
          <w:tcPr>
            <w:tcW w:w="1058" w:type="pct"/>
            <w:vAlign w:val="bottom"/>
          </w:tcPr>
          <w:p w14:paraId="68F676A6" w14:textId="40A75943" w:rsidR="00162522" w:rsidRPr="00471CBA" w:rsidRDefault="00162522" w:rsidP="00162522">
            <w:pPr>
              <w:spacing w:line="214" w:lineRule="auto"/>
              <w:jc w:val="right"/>
              <w:rPr>
                <w:szCs w:val="20"/>
              </w:rPr>
            </w:pPr>
            <w:r w:rsidRPr="00471CBA">
              <w:rPr>
                <w:color w:val="000000"/>
                <w:szCs w:val="20"/>
              </w:rPr>
              <w:t>12.905</w:t>
            </w:r>
          </w:p>
        </w:tc>
        <w:tc>
          <w:tcPr>
            <w:tcW w:w="1058" w:type="pct"/>
            <w:vAlign w:val="bottom"/>
          </w:tcPr>
          <w:p w14:paraId="6ED6C71D" w14:textId="5FAC1D8C" w:rsidR="00162522" w:rsidRPr="00471CBA" w:rsidRDefault="00162522" w:rsidP="00162522">
            <w:pPr>
              <w:spacing w:line="214" w:lineRule="auto"/>
              <w:jc w:val="right"/>
              <w:rPr>
                <w:szCs w:val="20"/>
              </w:rPr>
            </w:pPr>
            <w:r w:rsidRPr="00471CBA">
              <w:rPr>
                <w:szCs w:val="20"/>
              </w:rPr>
              <w:t>8.200</w:t>
            </w:r>
          </w:p>
        </w:tc>
      </w:tr>
      <w:tr w:rsidR="00162522" w:rsidRPr="00471CBA" w14:paraId="5126FB51" w14:textId="77777777" w:rsidTr="00D107EA">
        <w:tc>
          <w:tcPr>
            <w:tcW w:w="2883" w:type="pct"/>
          </w:tcPr>
          <w:p w14:paraId="13CE5E84" w14:textId="77777777" w:rsidR="00162522" w:rsidRPr="00471CBA" w:rsidRDefault="00162522" w:rsidP="00162522">
            <w:pPr>
              <w:spacing w:line="214" w:lineRule="auto"/>
              <w:rPr>
                <w:color w:val="000000"/>
                <w:szCs w:val="20"/>
                <w:lang w:eastAsia="tr-TR"/>
              </w:rPr>
            </w:pPr>
            <w:r w:rsidRPr="00471CBA">
              <w:rPr>
                <w:color w:val="000000"/>
                <w:szCs w:val="20"/>
                <w:lang w:eastAsia="tr-TR"/>
              </w:rPr>
              <w:t>Diğer Güvence Hizmetlerine İlişkin Ücret</w:t>
            </w:r>
          </w:p>
        </w:tc>
        <w:tc>
          <w:tcPr>
            <w:tcW w:w="1058" w:type="pct"/>
            <w:vAlign w:val="bottom"/>
          </w:tcPr>
          <w:p w14:paraId="7B960301" w14:textId="108CDD6B" w:rsidR="00162522" w:rsidRPr="00471CBA" w:rsidRDefault="00162522" w:rsidP="00162522">
            <w:pPr>
              <w:spacing w:line="214" w:lineRule="auto"/>
              <w:jc w:val="right"/>
              <w:rPr>
                <w:szCs w:val="20"/>
              </w:rPr>
            </w:pPr>
            <w:r w:rsidRPr="00471CBA">
              <w:rPr>
                <w:color w:val="000000"/>
                <w:szCs w:val="20"/>
              </w:rPr>
              <w:t>725</w:t>
            </w:r>
          </w:p>
        </w:tc>
        <w:tc>
          <w:tcPr>
            <w:tcW w:w="1058" w:type="pct"/>
            <w:vAlign w:val="bottom"/>
          </w:tcPr>
          <w:p w14:paraId="6F0C97C3" w14:textId="5232A2A2" w:rsidR="00162522" w:rsidRPr="00471CBA" w:rsidRDefault="00162522" w:rsidP="00162522">
            <w:pPr>
              <w:spacing w:line="214" w:lineRule="auto"/>
              <w:jc w:val="right"/>
              <w:rPr>
                <w:szCs w:val="20"/>
              </w:rPr>
            </w:pPr>
            <w:r w:rsidRPr="00471CBA">
              <w:rPr>
                <w:szCs w:val="20"/>
              </w:rPr>
              <w:t>-</w:t>
            </w:r>
          </w:p>
        </w:tc>
      </w:tr>
      <w:tr w:rsidR="00162522" w:rsidRPr="00471CBA" w14:paraId="2A913ECB" w14:textId="77777777" w:rsidTr="00D107EA">
        <w:tc>
          <w:tcPr>
            <w:tcW w:w="2883" w:type="pct"/>
          </w:tcPr>
          <w:p w14:paraId="5F84266B" w14:textId="77777777" w:rsidR="00162522" w:rsidRPr="00471CBA" w:rsidRDefault="00162522" w:rsidP="00162522">
            <w:pPr>
              <w:spacing w:line="214" w:lineRule="auto"/>
              <w:rPr>
                <w:color w:val="000000"/>
                <w:szCs w:val="20"/>
                <w:lang w:eastAsia="tr-TR"/>
              </w:rPr>
            </w:pPr>
            <w:r w:rsidRPr="00471CBA">
              <w:rPr>
                <w:color w:val="000000"/>
                <w:szCs w:val="20"/>
                <w:lang w:eastAsia="tr-TR"/>
              </w:rPr>
              <w:t>Vergi Danışmanlık Hizmetlerine İlişkin Ücret</w:t>
            </w:r>
          </w:p>
        </w:tc>
        <w:tc>
          <w:tcPr>
            <w:tcW w:w="1058" w:type="pct"/>
            <w:vAlign w:val="bottom"/>
          </w:tcPr>
          <w:p w14:paraId="6841F8C8" w14:textId="708A091D" w:rsidR="00162522" w:rsidRPr="00471CBA" w:rsidRDefault="00162522" w:rsidP="00162522">
            <w:pPr>
              <w:spacing w:line="214" w:lineRule="auto"/>
              <w:jc w:val="right"/>
              <w:rPr>
                <w:szCs w:val="20"/>
              </w:rPr>
            </w:pPr>
            <w:r w:rsidRPr="00471CBA">
              <w:rPr>
                <w:color w:val="000000"/>
                <w:szCs w:val="20"/>
              </w:rPr>
              <w:t>-</w:t>
            </w:r>
          </w:p>
        </w:tc>
        <w:tc>
          <w:tcPr>
            <w:tcW w:w="1058" w:type="pct"/>
            <w:vAlign w:val="bottom"/>
          </w:tcPr>
          <w:p w14:paraId="6BC2C876" w14:textId="44B77DAC" w:rsidR="00162522" w:rsidRPr="00471CBA" w:rsidRDefault="00162522" w:rsidP="00162522">
            <w:pPr>
              <w:spacing w:line="214" w:lineRule="auto"/>
              <w:jc w:val="right"/>
              <w:rPr>
                <w:szCs w:val="20"/>
              </w:rPr>
            </w:pPr>
            <w:r w:rsidRPr="00471CBA">
              <w:rPr>
                <w:szCs w:val="20"/>
              </w:rPr>
              <w:t>-</w:t>
            </w:r>
          </w:p>
        </w:tc>
      </w:tr>
      <w:tr w:rsidR="00162522" w:rsidRPr="00471CBA" w14:paraId="1490E726" w14:textId="77777777" w:rsidTr="00D107EA">
        <w:tc>
          <w:tcPr>
            <w:tcW w:w="2883" w:type="pct"/>
            <w:tcBorders>
              <w:bottom w:val="single" w:sz="4" w:space="0" w:color="auto"/>
            </w:tcBorders>
            <w:vAlign w:val="center"/>
          </w:tcPr>
          <w:p w14:paraId="2122C931" w14:textId="77777777" w:rsidR="00162522" w:rsidRPr="00471CBA" w:rsidRDefault="00162522" w:rsidP="00162522">
            <w:pPr>
              <w:spacing w:line="214" w:lineRule="auto"/>
              <w:rPr>
                <w:szCs w:val="20"/>
              </w:rPr>
            </w:pPr>
            <w:r w:rsidRPr="00471CBA">
              <w:rPr>
                <w:color w:val="000000"/>
                <w:szCs w:val="20"/>
                <w:lang w:eastAsia="tr-TR"/>
              </w:rPr>
              <w:t>Bağımsız Denetim Dışı Diğer Hizmetlere İlişkin Ücretler</w:t>
            </w:r>
          </w:p>
        </w:tc>
        <w:tc>
          <w:tcPr>
            <w:tcW w:w="1058" w:type="pct"/>
            <w:tcBorders>
              <w:bottom w:val="single" w:sz="4" w:space="0" w:color="auto"/>
            </w:tcBorders>
            <w:vAlign w:val="bottom"/>
          </w:tcPr>
          <w:p w14:paraId="7246FC0C" w14:textId="1DC786E5" w:rsidR="00162522" w:rsidRPr="00471CBA" w:rsidRDefault="00162522" w:rsidP="00162522">
            <w:pPr>
              <w:spacing w:line="214" w:lineRule="auto"/>
              <w:jc w:val="right"/>
              <w:rPr>
                <w:szCs w:val="20"/>
              </w:rPr>
            </w:pPr>
            <w:r w:rsidRPr="00471CBA">
              <w:rPr>
                <w:color w:val="000000"/>
                <w:szCs w:val="20"/>
              </w:rPr>
              <w:t>1.000</w:t>
            </w:r>
          </w:p>
        </w:tc>
        <w:tc>
          <w:tcPr>
            <w:tcW w:w="1058" w:type="pct"/>
            <w:tcBorders>
              <w:bottom w:val="single" w:sz="4" w:space="0" w:color="auto"/>
            </w:tcBorders>
            <w:vAlign w:val="bottom"/>
          </w:tcPr>
          <w:p w14:paraId="4E8D0F4D" w14:textId="45F20F6F" w:rsidR="00162522" w:rsidRPr="00471CBA" w:rsidRDefault="00162522" w:rsidP="00162522">
            <w:pPr>
              <w:spacing w:line="214" w:lineRule="auto"/>
              <w:jc w:val="right"/>
              <w:rPr>
                <w:szCs w:val="20"/>
              </w:rPr>
            </w:pPr>
            <w:r w:rsidRPr="00471CBA">
              <w:rPr>
                <w:szCs w:val="20"/>
              </w:rPr>
              <w:t>-</w:t>
            </w:r>
          </w:p>
        </w:tc>
      </w:tr>
      <w:tr w:rsidR="00162522" w:rsidRPr="00471CBA" w14:paraId="014039DF" w14:textId="77777777" w:rsidTr="00D107EA">
        <w:tc>
          <w:tcPr>
            <w:tcW w:w="2883" w:type="pct"/>
            <w:tcBorders>
              <w:top w:val="single" w:sz="4" w:space="0" w:color="auto"/>
            </w:tcBorders>
            <w:vAlign w:val="center"/>
          </w:tcPr>
          <w:p w14:paraId="16005F0B" w14:textId="77777777" w:rsidR="00162522" w:rsidRPr="00471CBA" w:rsidRDefault="00162522" w:rsidP="00162522">
            <w:pPr>
              <w:spacing w:line="214" w:lineRule="auto"/>
              <w:rPr>
                <w:color w:val="000000"/>
                <w:szCs w:val="20"/>
                <w:lang w:eastAsia="tr-TR"/>
              </w:rPr>
            </w:pPr>
          </w:p>
        </w:tc>
        <w:tc>
          <w:tcPr>
            <w:tcW w:w="1058" w:type="pct"/>
            <w:tcBorders>
              <w:top w:val="single" w:sz="4" w:space="0" w:color="auto"/>
            </w:tcBorders>
            <w:vAlign w:val="bottom"/>
          </w:tcPr>
          <w:p w14:paraId="47BD7C32" w14:textId="77777777" w:rsidR="00162522" w:rsidRPr="00471CBA" w:rsidRDefault="00162522" w:rsidP="00162522">
            <w:pPr>
              <w:spacing w:line="214" w:lineRule="auto"/>
              <w:jc w:val="right"/>
              <w:rPr>
                <w:szCs w:val="20"/>
              </w:rPr>
            </w:pPr>
          </w:p>
        </w:tc>
        <w:tc>
          <w:tcPr>
            <w:tcW w:w="1058" w:type="pct"/>
            <w:tcBorders>
              <w:top w:val="single" w:sz="4" w:space="0" w:color="auto"/>
            </w:tcBorders>
            <w:vAlign w:val="bottom"/>
          </w:tcPr>
          <w:p w14:paraId="274AF25A" w14:textId="284059B0" w:rsidR="00162522" w:rsidRPr="00471CBA" w:rsidRDefault="00162522" w:rsidP="00162522">
            <w:pPr>
              <w:spacing w:line="214" w:lineRule="auto"/>
              <w:jc w:val="right"/>
              <w:rPr>
                <w:szCs w:val="20"/>
              </w:rPr>
            </w:pPr>
          </w:p>
        </w:tc>
      </w:tr>
      <w:tr w:rsidR="00162522" w:rsidRPr="00471CBA" w14:paraId="063CAFBC" w14:textId="77777777" w:rsidTr="00D107EA">
        <w:tc>
          <w:tcPr>
            <w:tcW w:w="2883" w:type="pct"/>
            <w:tcBorders>
              <w:bottom w:val="single" w:sz="4" w:space="0" w:color="auto"/>
            </w:tcBorders>
            <w:vAlign w:val="center"/>
          </w:tcPr>
          <w:p w14:paraId="17F8C4F4" w14:textId="77777777" w:rsidR="00162522" w:rsidRPr="00471CBA" w:rsidRDefault="00162522" w:rsidP="00162522">
            <w:pPr>
              <w:spacing w:line="214" w:lineRule="auto"/>
              <w:rPr>
                <w:b/>
                <w:bCs/>
                <w:color w:val="000000"/>
                <w:szCs w:val="20"/>
                <w:lang w:eastAsia="tr-TR"/>
              </w:rPr>
            </w:pPr>
            <w:r w:rsidRPr="00471CBA">
              <w:rPr>
                <w:b/>
                <w:bCs/>
                <w:color w:val="000000"/>
                <w:szCs w:val="20"/>
                <w:lang w:eastAsia="tr-TR"/>
              </w:rPr>
              <w:t>Toplam</w:t>
            </w:r>
          </w:p>
        </w:tc>
        <w:tc>
          <w:tcPr>
            <w:tcW w:w="1058" w:type="pct"/>
            <w:tcBorders>
              <w:bottom w:val="single" w:sz="4" w:space="0" w:color="auto"/>
            </w:tcBorders>
            <w:vAlign w:val="bottom"/>
          </w:tcPr>
          <w:p w14:paraId="3154FD3D" w14:textId="20FB89B1" w:rsidR="00162522" w:rsidRPr="00471CBA" w:rsidRDefault="00162522" w:rsidP="00162522">
            <w:pPr>
              <w:spacing w:line="214" w:lineRule="auto"/>
              <w:jc w:val="right"/>
              <w:rPr>
                <w:b/>
                <w:bCs/>
                <w:szCs w:val="20"/>
              </w:rPr>
            </w:pPr>
            <w:r w:rsidRPr="00471CBA">
              <w:rPr>
                <w:b/>
                <w:bCs/>
                <w:color w:val="000000"/>
                <w:szCs w:val="20"/>
              </w:rPr>
              <w:t>14.630</w:t>
            </w:r>
          </w:p>
        </w:tc>
        <w:tc>
          <w:tcPr>
            <w:tcW w:w="1058" w:type="pct"/>
            <w:tcBorders>
              <w:bottom w:val="single" w:sz="4" w:space="0" w:color="auto"/>
            </w:tcBorders>
            <w:vAlign w:val="bottom"/>
          </w:tcPr>
          <w:p w14:paraId="3DA88D2C" w14:textId="056F7C46" w:rsidR="00162522" w:rsidRPr="00471CBA" w:rsidRDefault="00162522" w:rsidP="00162522">
            <w:pPr>
              <w:spacing w:line="214" w:lineRule="auto"/>
              <w:jc w:val="right"/>
              <w:rPr>
                <w:b/>
                <w:bCs/>
                <w:szCs w:val="20"/>
              </w:rPr>
            </w:pPr>
            <w:r w:rsidRPr="00471CBA">
              <w:rPr>
                <w:b/>
                <w:bCs/>
                <w:szCs w:val="20"/>
              </w:rPr>
              <w:t>8.200</w:t>
            </w:r>
          </w:p>
        </w:tc>
      </w:tr>
    </w:tbl>
    <w:p w14:paraId="73AB5B47" w14:textId="0FD9A06B" w:rsidR="009C40F4" w:rsidRPr="00471CBA" w:rsidRDefault="009C40F4" w:rsidP="00245EDD">
      <w:pPr>
        <w:rPr>
          <w:b/>
          <w:iCs/>
          <w:sz w:val="14"/>
          <w:szCs w:val="14"/>
        </w:rPr>
      </w:pPr>
    </w:p>
    <w:p w14:paraId="1739CF84" w14:textId="77777777" w:rsidR="007322D9" w:rsidRPr="00471CBA" w:rsidRDefault="007322D9" w:rsidP="008459A9">
      <w:pPr>
        <w:pStyle w:val="ListeParagraf"/>
        <w:widowControl w:val="0"/>
        <w:numPr>
          <w:ilvl w:val="0"/>
          <w:numId w:val="70"/>
        </w:numPr>
        <w:autoSpaceDE w:val="0"/>
        <w:autoSpaceDN w:val="0"/>
        <w:adjustRightInd w:val="0"/>
        <w:ind w:left="567" w:hanging="567"/>
        <w:jc w:val="both"/>
        <w:rPr>
          <w:b/>
          <w:bCs/>
          <w:iCs/>
          <w:szCs w:val="20"/>
        </w:rPr>
      </w:pPr>
      <w:bookmarkStart w:id="158" w:name="_Hlk221782346"/>
      <w:bookmarkStart w:id="159" w:name="_Hlk195022178"/>
      <w:r w:rsidRPr="00471CBA">
        <w:rPr>
          <w:b/>
          <w:bCs/>
          <w:iCs/>
          <w:szCs w:val="20"/>
        </w:rPr>
        <w:t>Sürdürülen faaliyetler ile durdurulan faaliyetler vergi öncesi kar/zararına ilişkin açıklama:</w:t>
      </w:r>
    </w:p>
    <w:p w14:paraId="1FDAC356" w14:textId="77777777" w:rsidR="007322D9" w:rsidRPr="00471CBA" w:rsidRDefault="007322D9" w:rsidP="007322D9"/>
    <w:p w14:paraId="26847F8E" w14:textId="4F4CED32" w:rsidR="007322D9" w:rsidRPr="00471CBA" w:rsidRDefault="007322D9" w:rsidP="007322D9">
      <w:pPr>
        <w:ind w:left="567"/>
        <w:jc w:val="both"/>
      </w:pPr>
      <w:r w:rsidRPr="00471CBA">
        <w:t>Banka’nın durdurulan faaliyeti bulunmadığı için vergi öncesi kar/zararına ilişkin açıklaması yoktur.</w:t>
      </w:r>
    </w:p>
    <w:p w14:paraId="55347E44" w14:textId="77777777" w:rsidR="00760A20" w:rsidRPr="00471CBA" w:rsidRDefault="00760A20" w:rsidP="007322D9">
      <w:pPr>
        <w:ind w:left="567"/>
        <w:jc w:val="both"/>
      </w:pPr>
    </w:p>
    <w:p w14:paraId="441E1EBC" w14:textId="3B7E42DB" w:rsidR="007322D9" w:rsidRPr="00471CBA" w:rsidRDefault="007322D9" w:rsidP="007322D9">
      <w:pPr>
        <w:ind w:left="567"/>
        <w:jc w:val="both"/>
      </w:pPr>
      <w:r w:rsidRPr="00471CBA">
        <w:t xml:space="preserve">Banka’nın vergi öncesi karı </w:t>
      </w:r>
      <w:r w:rsidR="00760A20" w:rsidRPr="00471CBA">
        <w:t>2.755.183</w:t>
      </w:r>
      <w:r w:rsidRPr="00471CBA">
        <w:t xml:space="preserve"> TL olarak gerçekleşmiştir. Vergi öncesi karın </w:t>
      </w:r>
      <w:r w:rsidR="00760A20" w:rsidRPr="00471CBA">
        <w:t>5.468.033</w:t>
      </w:r>
      <w:r w:rsidRPr="00471CBA">
        <w:t xml:space="preserve"> TL’lik kısmı net kâr payı gelirlerinden, </w:t>
      </w:r>
      <w:r w:rsidR="00760A20" w:rsidRPr="00471CBA">
        <w:t>740.698</w:t>
      </w:r>
      <w:r w:rsidRPr="00471CBA">
        <w:t xml:space="preserve"> TL’si ise net ücret ve komisyon gelirlerinden oluşmaktadır. Diğer faaliyet giderlerinin toplamı ise </w:t>
      </w:r>
      <w:r w:rsidR="00760A20" w:rsidRPr="00471CBA">
        <w:t>1.078.000</w:t>
      </w:r>
      <w:r w:rsidRPr="00471CBA">
        <w:t xml:space="preserve"> TL’dir.</w:t>
      </w:r>
    </w:p>
    <w:bookmarkEnd w:id="158"/>
    <w:p w14:paraId="1FC94D7F" w14:textId="77777777" w:rsidR="009C28A1" w:rsidRPr="00471CBA" w:rsidRDefault="009C28A1" w:rsidP="005E5BE5">
      <w:pPr>
        <w:rPr>
          <w:sz w:val="14"/>
          <w:szCs w:val="18"/>
        </w:rPr>
      </w:pPr>
    </w:p>
    <w:bookmarkEnd w:id="159"/>
    <w:p w14:paraId="075A2CFE" w14:textId="084CAB51" w:rsidR="00472C25" w:rsidRPr="00471CBA" w:rsidRDefault="00472C25" w:rsidP="008459A9">
      <w:pPr>
        <w:pStyle w:val="ListeParagraf"/>
        <w:widowControl w:val="0"/>
        <w:numPr>
          <w:ilvl w:val="0"/>
          <w:numId w:val="70"/>
        </w:numPr>
        <w:autoSpaceDE w:val="0"/>
        <w:autoSpaceDN w:val="0"/>
        <w:adjustRightInd w:val="0"/>
        <w:ind w:left="567" w:hanging="567"/>
        <w:jc w:val="both"/>
        <w:rPr>
          <w:b/>
          <w:bCs/>
          <w:iCs/>
          <w:szCs w:val="20"/>
        </w:rPr>
      </w:pPr>
      <w:r w:rsidRPr="00471CBA">
        <w:rPr>
          <w:b/>
          <w:bCs/>
          <w:iCs/>
          <w:szCs w:val="20"/>
        </w:rPr>
        <w:t>Sürdürülen faaliyetler ile durdurulan faaliyetler vergi karşılığına ilişkin açıklama:</w:t>
      </w:r>
    </w:p>
    <w:p w14:paraId="71CE2A79" w14:textId="77777777" w:rsidR="00EF451B" w:rsidRPr="00471CBA" w:rsidRDefault="00EF451B" w:rsidP="00EF451B">
      <w:pPr>
        <w:widowControl w:val="0"/>
        <w:ind w:left="-14"/>
        <w:jc w:val="both"/>
        <w:rPr>
          <w:sz w:val="14"/>
          <w:szCs w:val="14"/>
        </w:rPr>
      </w:pPr>
    </w:p>
    <w:p w14:paraId="7C87C739" w14:textId="77777777" w:rsidR="008A4AE7" w:rsidRPr="00471CBA" w:rsidRDefault="008A4AE7" w:rsidP="008A4AE7">
      <w:pPr>
        <w:widowControl w:val="0"/>
        <w:spacing w:line="214" w:lineRule="auto"/>
        <w:ind w:left="851"/>
        <w:jc w:val="both"/>
        <w:rPr>
          <w:szCs w:val="20"/>
        </w:rPr>
      </w:pPr>
      <w:r w:rsidRPr="00471CBA">
        <w:rPr>
          <w:szCs w:val="20"/>
        </w:rPr>
        <w:t>Banka’nın durdurulan faaliyeti bulunmadığı için buna ilişkin vergi karşılığı da bulunmamaktadır.</w:t>
      </w:r>
    </w:p>
    <w:p w14:paraId="7FF2C785" w14:textId="77777777" w:rsidR="008A4AE7" w:rsidRPr="00471CBA" w:rsidRDefault="008A4AE7" w:rsidP="008A4AE7">
      <w:pPr>
        <w:widowControl w:val="0"/>
        <w:spacing w:line="214" w:lineRule="auto"/>
        <w:ind w:left="851"/>
        <w:jc w:val="both"/>
        <w:rPr>
          <w:szCs w:val="20"/>
        </w:rPr>
      </w:pPr>
    </w:p>
    <w:p w14:paraId="1FDD3639" w14:textId="5422D32F" w:rsidR="00474BD4" w:rsidRPr="00471CBA" w:rsidRDefault="00760A20" w:rsidP="008A4AE7">
      <w:pPr>
        <w:widowControl w:val="0"/>
        <w:spacing w:line="214" w:lineRule="auto"/>
        <w:ind w:left="851" w:right="154"/>
        <w:jc w:val="both"/>
        <w:rPr>
          <w:szCs w:val="20"/>
        </w:rPr>
      </w:pPr>
      <w:bookmarkStart w:id="160" w:name="_Hlk203743239"/>
      <w:r w:rsidRPr="00471CBA">
        <w:rPr>
          <w:szCs w:val="20"/>
        </w:rPr>
        <w:t>31 Aralık</w:t>
      </w:r>
      <w:r w:rsidR="00EE5048" w:rsidRPr="00471CBA">
        <w:rPr>
          <w:szCs w:val="20"/>
        </w:rPr>
        <w:t xml:space="preserve"> 2025</w:t>
      </w:r>
      <w:r w:rsidR="008A4AE7" w:rsidRPr="00471CBA">
        <w:rPr>
          <w:szCs w:val="20"/>
        </w:rPr>
        <w:t xml:space="preserve"> tarihi itibariyle Banka’nın </w:t>
      </w:r>
      <w:bookmarkStart w:id="161" w:name="_Hlk181209637"/>
      <w:r w:rsidRPr="00471CBA">
        <w:rPr>
          <w:szCs w:val="20"/>
        </w:rPr>
        <w:t>640.439</w:t>
      </w:r>
      <w:r w:rsidR="008A4AE7" w:rsidRPr="00471CBA">
        <w:rPr>
          <w:szCs w:val="20"/>
        </w:rPr>
        <w:t xml:space="preserve"> </w:t>
      </w:r>
      <w:bookmarkEnd w:id="161"/>
      <w:r w:rsidR="008A4AE7" w:rsidRPr="00471CBA">
        <w:rPr>
          <w:szCs w:val="20"/>
        </w:rPr>
        <w:t>TL</w:t>
      </w:r>
      <w:r w:rsidR="001E2FC1" w:rsidRPr="00471CBA">
        <w:rPr>
          <w:szCs w:val="20"/>
        </w:rPr>
        <w:t xml:space="preserve"> </w:t>
      </w:r>
      <w:bookmarkStart w:id="162" w:name="_Hlk196821819"/>
      <w:r w:rsidR="001E2FC1" w:rsidRPr="00471CBA">
        <w:rPr>
          <w:szCs w:val="20"/>
        </w:rPr>
        <w:t>(</w:t>
      </w:r>
      <w:r w:rsidR="00E77E86" w:rsidRPr="00471CBA">
        <w:rPr>
          <w:szCs w:val="20"/>
        </w:rPr>
        <w:t>3</w:t>
      </w:r>
      <w:r w:rsidR="004D5DBE" w:rsidRPr="00471CBA">
        <w:rPr>
          <w:szCs w:val="20"/>
        </w:rPr>
        <w:t>1</w:t>
      </w:r>
      <w:r w:rsidR="00E77E86" w:rsidRPr="00471CBA">
        <w:rPr>
          <w:szCs w:val="20"/>
        </w:rPr>
        <w:t xml:space="preserve"> </w:t>
      </w:r>
      <w:r w:rsidR="004D5DBE" w:rsidRPr="00471CBA">
        <w:rPr>
          <w:szCs w:val="20"/>
        </w:rPr>
        <w:t>Aralık</w:t>
      </w:r>
      <w:r w:rsidR="00E77E86" w:rsidRPr="00471CBA">
        <w:rPr>
          <w:szCs w:val="20"/>
        </w:rPr>
        <w:t xml:space="preserve"> 202</w:t>
      </w:r>
      <w:r w:rsidR="004D5DBE" w:rsidRPr="00471CBA">
        <w:rPr>
          <w:szCs w:val="20"/>
        </w:rPr>
        <w:t>4</w:t>
      </w:r>
      <w:r w:rsidR="001E2FC1" w:rsidRPr="00471CBA">
        <w:rPr>
          <w:szCs w:val="20"/>
        </w:rPr>
        <w:t xml:space="preserve">: </w:t>
      </w:r>
      <w:r w:rsidR="004D5DBE" w:rsidRPr="00471CBA">
        <w:rPr>
          <w:szCs w:val="20"/>
        </w:rPr>
        <w:t>190.766</w:t>
      </w:r>
      <w:r w:rsidR="006F1209" w:rsidRPr="00471CBA">
        <w:rPr>
          <w:szCs w:val="20"/>
        </w:rPr>
        <w:t xml:space="preserve"> TL</w:t>
      </w:r>
      <w:r w:rsidR="001E2FC1" w:rsidRPr="00471CBA">
        <w:rPr>
          <w:szCs w:val="20"/>
        </w:rPr>
        <w:t>)</w:t>
      </w:r>
      <w:bookmarkEnd w:id="162"/>
      <w:r w:rsidR="008A4AE7" w:rsidRPr="00471CBA">
        <w:rPr>
          <w:szCs w:val="20"/>
        </w:rPr>
        <w:t xml:space="preserve"> ertelenmiş vergi geliri, </w:t>
      </w:r>
      <w:r w:rsidRPr="00471CBA">
        <w:rPr>
          <w:szCs w:val="20"/>
        </w:rPr>
        <w:t>766.326</w:t>
      </w:r>
      <w:r w:rsidR="00C658C1" w:rsidRPr="00471CBA">
        <w:rPr>
          <w:szCs w:val="20"/>
        </w:rPr>
        <w:t xml:space="preserve"> </w:t>
      </w:r>
      <w:r w:rsidR="008A4AE7" w:rsidRPr="00471CBA">
        <w:rPr>
          <w:szCs w:val="20"/>
        </w:rPr>
        <w:t>TL</w:t>
      </w:r>
      <w:r w:rsidR="001E2FC1" w:rsidRPr="00471CBA">
        <w:rPr>
          <w:szCs w:val="20"/>
        </w:rPr>
        <w:t xml:space="preserve"> </w:t>
      </w:r>
      <w:r w:rsidR="00E77E86" w:rsidRPr="00471CBA">
        <w:rPr>
          <w:szCs w:val="20"/>
        </w:rPr>
        <w:t>(</w:t>
      </w:r>
      <w:r w:rsidR="004D5DBE" w:rsidRPr="00471CBA">
        <w:rPr>
          <w:szCs w:val="20"/>
        </w:rPr>
        <w:t>31 Aralık 2024</w:t>
      </w:r>
      <w:r w:rsidR="001E2FC1" w:rsidRPr="00471CBA">
        <w:rPr>
          <w:szCs w:val="20"/>
        </w:rPr>
        <w:t xml:space="preserve">: </w:t>
      </w:r>
      <w:r w:rsidR="004D5DBE" w:rsidRPr="00471CBA">
        <w:rPr>
          <w:szCs w:val="20"/>
        </w:rPr>
        <w:t>118.531</w:t>
      </w:r>
      <w:r w:rsidR="006F1209" w:rsidRPr="00471CBA">
        <w:rPr>
          <w:szCs w:val="20"/>
        </w:rPr>
        <w:t xml:space="preserve"> TL</w:t>
      </w:r>
      <w:r w:rsidR="001E2FC1" w:rsidRPr="00471CBA">
        <w:rPr>
          <w:szCs w:val="20"/>
        </w:rPr>
        <w:t>)</w:t>
      </w:r>
      <w:r w:rsidR="008A4AE7" w:rsidRPr="00471CBA">
        <w:rPr>
          <w:szCs w:val="20"/>
        </w:rPr>
        <w:t xml:space="preserve"> ertelenmiş vergi gideri bulunmaktadır. Cari vergi karşılığı </w:t>
      </w:r>
      <w:bookmarkStart w:id="163" w:name="_Hlk181209651"/>
      <w:r w:rsidRPr="00471CBA">
        <w:rPr>
          <w:szCs w:val="20"/>
        </w:rPr>
        <w:t>572.085</w:t>
      </w:r>
      <w:r w:rsidR="008A4AE7" w:rsidRPr="00471CBA">
        <w:rPr>
          <w:szCs w:val="20"/>
        </w:rPr>
        <w:t xml:space="preserve"> </w:t>
      </w:r>
      <w:bookmarkEnd w:id="163"/>
      <w:r w:rsidR="008A4AE7" w:rsidRPr="00471CBA">
        <w:rPr>
          <w:szCs w:val="20"/>
        </w:rPr>
        <w:t>TL</w:t>
      </w:r>
      <w:r w:rsidR="001E2FC1" w:rsidRPr="00471CBA">
        <w:rPr>
          <w:szCs w:val="20"/>
        </w:rPr>
        <w:t xml:space="preserve"> (</w:t>
      </w:r>
      <w:r w:rsidR="004D5DBE" w:rsidRPr="00471CBA">
        <w:rPr>
          <w:szCs w:val="20"/>
        </w:rPr>
        <w:t>31 Aralık 2024</w:t>
      </w:r>
      <w:r w:rsidR="001E2FC1" w:rsidRPr="00471CBA">
        <w:rPr>
          <w:szCs w:val="20"/>
        </w:rPr>
        <w:t>:</w:t>
      </w:r>
      <w:r w:rsidR="006F1209" w:rsidRPr="00471CBA">
        <w:rPr>
          <w:szCs w:val="20"/>
        </w:rPr>
        <w:t xml:space="preserve"> </w:t>
      </w:r>
      <w:r w:rsidR="004D5DBE" w:rsidRPr="00471CBA">
        <w:rPr>
          <w:szCs w:val="20"/>
        </w:rPr>
        <w:t>334.828</w:t>
      </w:r>
      <w:r w:rsidR="006F1209" w:rsidRPr="00471CBA">
        <w:rPr>
          <w:szCs w:val="20"/>
        </w:rPr>
        <w:t xml:space="preserve"> TL</w:t>
      </w:r>
      <w:r w:rsidR="001E2FC1" w:rsidRPr="00471CBA">
        <w:rPr>
          <w:szCs w:val="20"/>
        </w:rPr>
        <w:t>)</w:t>
      </w:r>
      <w:r w:rsidR="008A4AE7" w:rsidRPr="00471CBA">
        <w:rPr>
          <w:szCs w:val="20"/>
        </w:rPr>
        <w:t>’</w:t>
      </w:r>
      <w:proofErr w:type="spellStart"/>
      <w:r w:rsidR="008A4AE7" w:rsidRPr="00471CBA">
        <w:rPr>
          <w:szCs w:val="20"/>
        </w:rPr>
        <w:t>dir</w:t>
      </w:r>
      <w:proofErr w:type="spellEnd"/>
      <w:r w:rsidR="008A4AE7" w:rsidRPr="00471CBA">
        <w:rPr>
          <w:szCs w:val="20"/>
        </w:rPr>
        <w:t>.</w:t>
      </w:r>
    </w:p>
    <w:p w14:paraId="6FA93C46" w14:textId="77777777" w:rsidR="00402714" w:rsidRPr="00471CBA" w:rsidRDefault="00402714">
      <w:pPr>
        <w:rPr>
          <w:szCs w:val="20"/>
        </w:rPr>
      </w:pPr>
      <w:r w:rsidRPr="00471CBA">
        <w:rPr>
          <w:szCs w:val="20"/>
        </w:rPr>
        <w:br w:type="page"/>
      </w:r>
    </w:p>
    <w:p w14:paraId="503F5F69" w14:textId="77777777" w:rsidR="00402714" w:rsidRPr="00471CBA" w:rsidRDefault="00402714" w:rsidP="00402714">
      <w:pPr>
        <w:widowControl w:val="0"/>
        <w:ind w:left="720" w:hanging="720"/>
        <w:jc w:val="both"/>
        <w:rPr>
          <w:b/>
          <w:szCs w:val="20"/>
        </w:rPr>
      </w:pPr>
      <w:r w:rsidRPr="00471CBA">
        <w:rPr>
          <w:b/>
          <w:szCs w:val="20"/>
        </w:rPr>
        <w:t>KONSOLİDE OLMAYAN FİNANSAL TABLOLARA İLİŞKİN AÇIKLAMA VE DİPNOTLAR (Devamı)</w:t>
      </w:r>
    </w:p>
    <w:p w14:paraId="2A3C0C79" w14:textId="77777777" w:rsidR="00402714" w:rsidRPr="00471CBA" w:rsidRDefault="00402714" w:rsidP="00402714">
      <w:pPr>
        <w:widowControl w:val="0"/>
        <w:autoSpaceDE w:val="0"/>
        <w:autoSpaceDN w:val="0"/>
        <w:adjustRightInd w:val="0"/>
        <w:ind w:left="14" w:right="210"/>
        <w:jc w:val="both"/>
        <w:rPr>
          <w:sz w:val="14"/>
          <w:szCs w:val="14"/>
        </w:rPr>
      </w:pPr>
    </w:p>
    <w:p w14:paraId="5CB742D1" w14:textId="77777777" w:rsidR="00402714" w:rsidRPr="00471CBA" w:rsidRDefault="00402714" w:rsidP="008459A9">
      <w:pPr>
        <w:pStyle w:val="GvdeMetniGirintisi"/>
        <w:widowControl w:val="0"/>
        <w:numPr>
          <w:ilvl w:val="0"/>
          <w:numId w:val="106"/>
        </w:numPr>
        <w:ind w:left="709" w:right="206"/>
        <w:rPr>
          <w:b/>
          <w:iCs/>
          <w:szCs w:val="20"/>
        </w:rPr>
      </w:pPr>
      <w:r w:rsidRPr="00471CBA">
        <w:rPr>
          <w:b/>
          <w:iCs/>
          <w:szCs w:val="20"/>
        </w:rPr>
        <w:t>KAR VEYA ZARAR TABLOSUNA İLİŞKİN AÇIKLAMA VE DİPNOTLAR (Devamı)</w:t>
      </w:r>
    </w:p>
    <w:p w14:paraId="570C8F36" w14:textId="4A7A4895" w:rsidR="00474BD4" w:rsidRPr="00471CBA" w:rsidRDefault="00474BD4">
      <w:pPr>
        <w:rPr>
          <w:szCs w:val="20"/>
        </w:rPr>
      </w:pPr>
    </w:p>
    <w:p w14:paraId="5F804340" w14:textId="77777777" w:rsidR="007322D9" w:rsidRPr="00471CBA" w:rsidRDefault="007322D9" w:rsidP="008459A9">
      <w:pPr>
        <w:pStyle w:val="ListeParagraf"/>
        <w:widowControl w:val="0"/>
        <w:numPr>
          <w:ilvl w:val="0"/>
          <w:numId w:val="70"/>
        </w:numPr>
        <w:autoSpaceDE w:val="0"/>
        <w:autoSpaceDN w:val="0"/>
        <w:adjustRightInd w:val="0"/>
        <w:ind w:left="567" w:hanging="567"/>
        <w:jc w:val="both"/>
        <w:rPr>
          <w:b/>
          <w:bCs/>
          <w:iCs/>
          <w:szCs w:val="20"/>
        </w:rPr>
      </w:pPr>
      <w:bookmarkStart w:id="164" w:name="_Hlk221782356"/>
      <w:bookmarkEnd w:id="160"/>
      <w:r w:rsidRPr="00471CBA">
        <w:rPr>
          <w:b/>
          <w:bCs/>
          <w:iCs/>
          <w:szCs w:val="20"/>
        </w:rPr>
        <w:t>Sürdürülen faaliyetler ile durdurulan faaliyetler dönem net kar/zararına ilişkin açıklama:</w:t>
      </w:r>
    </w:p>
    <w:p w14:paraId="56A0D9FF" w14:textId="77777777" w:rsidR="007322D9" w:rsidRPr="00471CBA" w:rsidRDefault="007322D9" w:rsidP="007322D9"/>
    <w:p w14:paraId="73D7ED1E" w14:textId="55E6F36B" w:rsidR="007322D9" w:rsidRPr="00471CBA" w:rsidRDefault="007322D9" w:rsidP="007322D9">
      <w:pPr>
        <w:widowControl w:val="0"/>
        <w:tabs>
          <w:tab w:val="left" w:pos="284"/>
        </w:tabs>
        <w:ind w:left="567"/>
        <w:jc w:val="both"/>
        <w:rPr>
          <w:szCs w:val="20"/>
        </w:rPr>
      </w:pPr>
      <w:r w:rsidRPr="00471CBA">
        <w:rPr>
          <w:szCs w:val="20"/>
        </w:rPr>
        <w:t xml:space="preserve">Banka’nın durdurulan faaliyeti bulunmamaktadır. Sürdürülen faaliyet karı </w:t>
      </w:r>
      <w:r w:rsidR="00DA7205" w:rsidRPr="00471CBA">
        <w:rPr>
          <w:szCs w:val="20"/>
        </w:rPr>
        <w:t xml:space="preserve">2.755.183 TL </w:t>
      </w:r>
      <w:r w:rsidR="00474BD4" w:rsidRPr="00471CBA">
        <w:rPr>
          <w:szCs w:val="20"/>
        </w:rPr>
        <w:t xml:space="preserve">(31 Aralık 2024: </w:t>
      </w:r>
      <w:r w:rsidRPr="00471CBA">
        <w:rPr>
          <w:szCs w:val="20"/>
        </w:rPr>
        <w:t>1.616.235 TL</w:t>
      </w:r>
      <w:r w:rsidR="00474BD4" w:rsidRPr="00471CBA">
        <w:rPr>
          <w:szCs w:val="20"/>
        </w:rPr>
        <w:t>)</w:t>
      </w:r>
      <w:r w:rsidRPr="00471CBA">
        <w:rPr>
          <w:szCs w:val="20"/>
        </w:rPr>
        <w:t>’den</w:t>
      </w:r>
      <w:r w:rsidR="00DA7205" w:rsidRPr="00471CBA">
        <w:rPr>
          <w:szCs w:val="20"/>
        </w:rPr>
        <w:t xml:space="preserve"> 697.972 TL</w:t>
      </w:r>
      <w:r w:rsidRPr="00471CBA">
        <w:rPr>
          <w:szCs w:val="20"/>
        </w:rPr>
        <w:t xml:space="preserve"> </w:t>
      </w:r>
      <w:r w:rsidR="00474BD4" w:rsidRPr="00471CBA">
        <w:rPr>
          <w:szCs w:val="20"/>
        </w:rPr>
        <w:t xml:space="preserve">(31 Aralık 2024: </w:t>
      </w:r>
      <w:r w:rsidRPr="00471CBA">
        <w:rPr>
          <w:szCs w:val="20"/>
        </w:rPr>
        <w:t>262.593</w:t>
      </w:r>
      <w:r w:rsidR="00474BD4" w:rsidRPr="00471CBA">
        <w:rPr>
          <w:szCs w:val="20"/>
        </w:rPr>
        <w:t xml:space="preserve"> </w:t>
      </w:r>
      <w:r w:rsidRPr="00471CBA">
        <w:rPr>
          <w:szCs w:val="20"/>
        </w:rPr>
        <w:t>TL</w:t>
      </w:r>
      <w:r w:rsidR="00474BD4" w:rsidRPr="00471CBA">
        <w:rPr>
          <w:szCs w:val="20"/>
        </w:rPr>
        <w:t>)</w:t>
      </w:r>
      <w:r w:rsidRPr="00471CBA">
        <w:rPr>
          <w:szCs w:val="20"/>
        </w:rPr>
        <w:t xml:space="preserve"> sürdürülen faaliyetler vergi giderinin düşülmesi sonucu net dönem karı </w:t>
      </w:r>
      <w:r w:rsidR="00DA7205" w:rsidRPr="00471CBA">
        <w:rPr>
          <w:szCs w:val="20"/>
        </w:rPr>
        <w:t xml:space="preserve">2.057.211 TL </w:t>
      </w:r>
      <w:r w:rsidR="00474BD4" w:rsidRPr="00471CBA">
        <w:rPr>
          <w:szCs w:val="20"/>
        </w:rPr>
        <w:t xml:space="preserve">(31 Aralık 2024: </w:t>
      </w:r>
      <w:r w:rsidRPr="00471CBA">
        <w:rPr>
          <w:szCs w:val="20"/>
        </w:rPr>
        <w:t>1.353.642 TL</w:t>
      </w:r>
      <w:r w:rsidR="00474BD4" w:rsidRPr="00471CBA">
        <w:rPr>
          <w:szCs w:val="20"/>
        </w:rPr>
        <w:t>)</w:t>
      </w:r>
      <w:r w:rsidRPr="00471CBA">
        <w:rPr>
          <w:szCs w:val="20"/>
        </w:rPr>
        <w:t xml:space="preserve"> olarak gerçekleşmiştir.</w:t>
      </w:r>
    </w:p>
    <w:bookmarkEnd w:id="164"/>
    <w:p w14:paraId="30B976E2" w14:textId="77777777" w:rsidR="009C28A1" w:rsidRPr="00471CBA" w:rsidRDefault="009C28A1" w:rsidP="007B0DBF">
      <w:pPr>
        <w:rPr>
          <w:sz w:val="14"/>
          <w:szCs w:val="18"/>
        </w:rPr>
      </w:pPr>
    </w:p>
    <w:p w14:paraId="77AF0583" w14:textId="6AFA4AB8" w:rsidR="00472C25" w:rsidRPr="00471CBA" w:rsidRDefault="00472C25" w:rsidP="008459A9">
      <w:pPr>
        <w:pStyle w:val="ListeParagraf"/>
        <w:widowControl w:val="0"/>
        <w:numPr>
          <w:ilvl w:val="0"/>
          <w:numId w:val="70"/>
        </w:numPr>
        <w:autoSpaceDE w:val="0"/>
        <w:autoSpaceDN w:val="0"/>
        <w:adjustRightInd w:val="0"/>
        <w:ind w:left="567" w:hanging="567"/>
        <w:jc w:val="both"/>
        <w:rPr>
          <w:b/>
          <w:bCs/>
          <w:iCs/>
          <w:szCs w:val="20"/>
        </w:rPr>
      </w:pPr>
      <w:r w:rsidRPr="00471CBA">
        <w:rPr>
          <w:b/>
          <w:bCs/>
          <w:iCs/>
          <w:szCs w:val="20"/>
        </w:rPr>
        <w:t xml:space="preserve">Net dönem kar/zararına ilişkin açıklamalar: </w:t>
      </w:r>
    </w:p>
    <w:p w14:paraId="00BF1F6A" w14:textId="77777777" w:rsidR="00EF451B" w:rsidRPr="00471CBA" w:rsidRDefault="00EF451B" w:rsidP="00062CC1">
      <w:pPr>
        <w:widowControl w:val="0"/>
        <w:ind w:left="-28" w:right="206" w:hanging="434"/>
        <w:jc w:val="both"/>
        <w:rPr>
          <w:b/>
          <w:sz w:val="14"/>
          <w:szCs w:val="14"/>
        </w:rPr>
      </w:pPr>
    </w:p>
    <w:p w14:paraId="10737172" w14:textId="0C38F942" w:rsidR="00472C25" w:rsidRPr="00471CBA" w:rsidRDefault="00472C25" w:rsidP="00CA0A2C">
      <w:pPr>
        <w:widowControl w:val="0"/>
        <w:ind w:left="1276" w:hanging="425"/>
        <w:jc w:val="both"/>
        <w:rPr>
          <w:b/>
          <w:szCs w:val="20"/>
        </w:rPr>
      </w:pPr>
      <w:r w:rsidRPr="00471CBA">
        <w:rPr>
          <w:b/>
          <w:szCs w:val="20"/>
        </w:rPr>
        <w:t>a.</w:t>
      </w:r>
      <w:r w:rsidRPr="00471CBA">
        <w:rPr>
          <w:b/>
          <w:szCs w:val="20"/>
        </w:rPr>
        <w:tab/>
        <w:t xml:space="preserve">Olağan bankacılık işlemlerinden kaynaklanan gelir ve gider kalemlerinin niteliği, boyutu ve tekrarlanma oranının açıklanması Banka’nın dönem içindeki performansının anlaşılması için gerekli ise, bu kalemlerin niteliği ve tutarı: </w:t>
      </w:r>
    </w:p>
    <w:p w14:paraId="02299E4C" w14:textId="77777777" w:rsidR="00EF451B" w:rsidRPr="00471CBA" w:rsidRDefault="00EF451B" w:rsidP="00062CC1">
      <w:pPr>
        <w:widowControl w:val="0"/>
        <w:ind w:left="-42"/>
        <w:jc w:val="both"/>
        <w:rPr>
          <w:sz w:val="12"/>
          <w:szCs w:val="12"/>
        </w:rPr>
      </w:pPr>
    </w:p>
    <w:p w14:paraId="7195DD40" w14:textId="77CF0F64" w:rsidR="008A4AE7" w:rsidRPr="00471CBA" w:rsidRDefault="008A4AE7" w:rsidP="008A4AE7">
      <w:pPr>
        <w:widowControl w:val="0"/>
        <w:spacing w:line="214" w:lineRule="auto"/>
        <w:ind w:left="851"/>
        <w:jc w:val="both"/>
        <w:rPr>
          <w:szCs w:val="20"/>
        </w:rPr>
      </w:pPr>
      <w:r w:rsidRPr="00471CBA">
        <w:rPr>
          <w:szCs w:val="20"/>
        </w:rPr>
        <w:t>Bulunmamaktadır.</w:t>
      </w:r>
    </w:p>
    <w:p w14:paraId="731075A6" w14:textId="77777777" w:rsidR="00EF451B" w:rsidRPr="00471CBA" w:rsidRDefault="00EF451B" w:rsidP="00062CC1">
      <w:pPr>
        <w:widowControl w:val="0"/>
        <w:ind w:left="-42"/>
        <w:jc w:val="both"/>
        <w:rPr>
          <w:sz w:val="14"/>
          <w:szCs w:val="14"/>
        </w:rPr>
      </w:pPr>
    </w:p>
    <w:p w14:paraId="6E4408EB" w14:textId="02AD0ED8" w:rsidR="008A4AE7" w:rsidRPr="00471CBA" w:rsidRDefault="00472C25" w:rsidP="008A4AE7">
      <w:pPr>
        <w:widowControl w:val="0"/>
        <w:ind w:left="1276" w:hanging="425"/>
        <w:jc w:val="both"/>
        <w:rPr>
          <w:b/>
          <w:szCs w:val="20"/>
        </w:rPr>
      </w:pPr>
      <w:r w:rsidRPr="00471CBA">
        <w:rPr>
          <w:b/>
          <w:szCs w:val="20"/>
        </w:rPr>
        <w:t>b.</w:t>
      </w:r>
      <w:r w:rsidRPr="00471CBA">
        <w:rPr>
          <w:b/>
          <w:szCs w:val="20"/>
        </w:rPr>
        <w:tab/>
        <w:t>Finansal tablo kalemlerine ilişkin olarak yapılan bir tahmindeki değişikliğin kâr/zarara etkisi, daha sonraki dönemleri de etkilemesi olasılığı varsa, o dönemleri de kapsayacak şekilde belirtilmesi:</w:t>
      </w:r>
    </w:p>
    <w:p w14:paraId="25C37F15" w14:textId="77777777" w:rsidR="008A4AE7" w:rsidRPr="00471CBA" w:rsidRDefault="008A4AE7" w:rsidP="008A4AE7">
      <w:pPr>
        <w:widowControl w:val="0"/>
        <w:ind w:left="1276" w:hanging="425"/>
        <w:jc w:val="both"/>
        <w:rPr>
          <w:b/>
          <w:sz w:val="12"/>
          <w:szCs w:val="12"/>
        </w:rPr>
      </w:pPr>
    </w:p>
    <w:p w14:paraId="195B7C79" w14:textId="0B5275C5" w:rsidR="009235DE" w:rsidRPr="00471CBA" w:rsidRDefault="00472C25" w:rsidP="00DB1F6A">
      <w:pPr>
        <w:widowControl w:val="0"/>
        <w:ind w:left="1276" w:hanging="425"/>
        <w:jc w:val="both"/>
        <w:rPr>
          <w:szCs w:val="20"/>
        </w:rPr>
      </w:pPr>
      <w:r w:rsidRPr="00471CBA">
        <w:rPr>
          <w:szCs w:val="20"/>
        </w:rPr>
        <w:t>Bulunmamaktadır.</w:t>
      </w:r>
    </w:p>
    <w:p w14:paraId="757CAF40" w14:textId="77777777" w:rsidR="00DA7205" w:rsidRPr="00471CBA" w:rsidRDefault="00DA7205" w:rsidP="00DB1F6A">
      <w:pPr>
        <w:widowControl w:val="0"/>
        <w:ind w:left="1276" w:hanging="425"/>
        <w:jc w:val="both"/>
        <w:rPr>
          <w:szCs w:val="20"/>
        </w:rPr>
      </w:pPr>
    </w:p>
    <w:p w14:paraId="14E4B356" w14:textId="77777777" w:rsidR="008B1AC8" w:rsidRPr="00471CBA" w:rsidRDefault="008B1AC8" w:rsidP="008B1AC8">
      <w:pPr>
        <w:widowControl w:val="0"/>
        <w:spacing w:line="214" w:lineRule="auto"/>
        <w:jc w:val="both"/>
        <w:rPr>
          <w:szCs w:val="20"/>
        </w:rPr>
      </w:pPr>
      <w:bookmarkStart w:id="165" w:name="_Hlk189818347"/>
    </w:p>
    <w:bookmarkEnd w:id="165"/>
    <w:p w14:paraId="06578EE2" w14:textId="77777777" w:rsidR="007322D9" w:rsidRPr="00471CBA" w:rsidRDefault="007322D9" w:rsidP="008459A9">
      <w:pPr>
        <w:pStyle w:val="GvdeMetniGirintisi"/>
        <w:widowControl w:val="0"/>
        <w:numPr>
          <w:ilvl w:val="0"/>
          <w:numId w:val="106"/>
        </w:numPr>
        <w:ind w:left="851" w:right="206" w:hanging="851"/>
        <w:rPr>
          <w:b/>
          <w:iCs/>
          <w:szCs w:val="20"/>
        </w:rPr>
      </w:pPr>
      <w:r w:rsidRPr="00471CBA">
        <w:rPr>
          <w:b/>
          <w:iCs/>
          <w:szCs w:val="20"/>
        </w:rPr>
        <w:t>ÖZKAYNAK DEĞİŞİM TABLOSUNA İLİŞKİN AÇIKLAMA VE DİPNOTLAR</w:t>
      </w:r>
    </w:p>
    <w:p w14:paraId="68112C85" w14:textId="77777777" w:rsidR="007322D9" w:rsidRPr="00471CBA" w:rsidRDefault="007322D9" w:rsidP="007322D9"/>
    <w:p w14:paraId="75E5E1E6" w14:textId="77777777" w:rsidR="007322D9" w:rsidRPr="00471CBA" w:rsidRDefault="007322D9" w:rsidP="006025D3">
      <w:pPr>
        <w:widowControl w:val="0"/>
        <w:ind w:left="851" w:hanging="851"/>
        <w:jc w:val="both"/>
        <w:rPr>
          <w:szCs w:val="20"/>
        </w:rPr>
      </w:pPr>
      <w:bookmarkStart w:id="166" w:name="_Hlk221782374"/>
      <w:r w:rsidRPr="00471CBA">
        <w:rPr>
          <w:szCs w:val="20"/>
        </w:rPr>
        <w:t>a)</w:t>
      </w:r>
      <w:r w:rsidRPr="00471CBA">
        <w:rPr>
          <w:szCs w:val="20"/>
        </w:rPr>
        <w:tab/>
        <w:t>Bilanço tarihinden sonra ancak finansal tabloların ilanından önce bildirim yapılmış kâr payları tutarı bulunmamaktadır.</w:t>
      </w:r>
    </w:p>
    <w:p w14:paraId="5A3F388E" w14:textId="77777777" w:rsidR="006025D3" w:rsidRDefault="006025D3" w:rsidP="006025D3">
      <w:pPr>
        <w:widowControl w:val="0"/>
        <w:ind w:left="851"/>
        <w:jc w:val="both"/>
        <w:rPr>
          <w:szCs w:val="20"/>
        </w:rPr>
      </w:pPr>
    </w:p>
    <w:p w14:paraId="0F1830DD" w14:textId="416852D9" w:rsidR="007322D9" w:rsidRPr="00471CBA" w:rsidRDefault="007322D9" w:rsidP="006025D3">
      <w:pPr>
        <w:widowControl w:val="0"/>
        <w:ind w:left="851"/>
        <w:jc w:val="both"/>
        <w:rPr>
          <w:szCs w:val="20"/>
        </w:rPr>
      </w:pPr>
      <w:r w:rsidRPr="00471CBA">
        <w:rPr>
          <w:szCs w:val="20"/>
        </w:rPr>
        <w:t>Kâr payı dağıtımına Genel Kurul toplantısında karar verilecek olup, Genel Kurul, ekli finansal tabloların kesinleştiği tarih itibarıyla henüz yapılmamıştır.</w:t>
      </w:r>
    </w:p>
    <w:p w14:paraId="2E174EF3" w14:textId="5306F5A2" w:rsidR="007322D9" w:rsidRPr="00471CBA" w:rsidRDefault="007322D9" w:rsidP="006025D3">
      <w:pPr>
        <w:widowControl w:val="0"/>
        <w:spacing w:before="120"/>
        <w:ind w:left="851" w:hanging="851"/>
        <w:jc w:val="both"/>
        <w:rPr>
          <w:szCs w:val="20"/>
        </w:rPr>
      </w:pPr>
      <w:r w:rsidRPr="00471CBA">
        <w:rPr>
          <w:szCs w:val="20"/>
        </w:rPr>
        <w:t>b)</w:t>
      </w:r>
      <w:r w:rsidRPr="00471CBA">
        <w:rPr>
          <w:szCs w:val="20"/>
        </w:rPr>
        <w:tab/>
        <w:t xml:space="preserve">Gerçeğe uygun değer farkı diğer kapsamlı gelire yansıtılan finansal varlıkların gerçeğe uygun değerlerindeki değişikliklerden kaynaklanan “Gerçekleşmemiş kâr/zararlar” ilgili finansal varlığa karşılık gelen değerin tahsili, varlığın satılması, elden çıkarılması veya zafiyete uğraması durumlarından birinin gerçekleşmesine kadar dönemin gelir tablosuna yansıtılmamakta; özkaynaklar altında “kar veya zararda yeniden sınıflandırılacak birikmiş diğer kapsamlı gelirler ve giderler” hesabında muhasebeleştirilmektedir. Gerçeğe uygun değer farkı diğer </w:t>
      </w:r>
      <w:r w:rsidRPr="00E7787C">
        <w:rPr>
          <w:szCs w:val="20"/>
        </w:rPr>
        <w:t xml:space="preserve">kapsamlı gelire yansıtılan finansal varlıkların yeniden değerlendirilmesinden sonra meydana gelen ertelenmiş vergi öncesi </w:t>
      </w:r>
      <w:bookmarkStart w:id="167" w:name="_Hlk223337507"/>
      <w:r w:rsidR="001D7220" w:rsidRPr="00E7787C">
        <w:rPr>
          <w:szCs w:val="20"/>
        </w:rPr>
        <w:t>75.054</w:t>
      </w:r>
      <w:r w:rsidRPr="00E7787C">
        <w:rPr>
          <w:szCs w:val="20"/>
        </w:rPr>
        <w:t xml:space="preserve"> TL</w:t>
      </w:r>
      <w:r w:rsidR="001875FA" w:rsidRPr="00E7787C">
        <w:rPr>
          <w:szCs w:val="20"/>
        </w:rPr>
        <w:t xml:space="preserve"> </w:t>
      </w:r>
      <w:bookmarkEnd w:id="167"/>
      <w:r w:rsidR="001875FA" w:rsidRPr="00E7787C">
        <w:rPr>
          <w:szCs w:val="20"/>
        </w:rPr>
        <w:t>(31 Aralık 2024: 11.861 TL)</w:t>
      </w:r>
      <w:r w:rsidRPr="00E7787C">
        <w:rPr>
          <w:szCs w:val="20"/>
        </w:rPr>
        <w:t xml:space="preserve"> artış bulunmaktadır.</w:t>
      </w:r>
    </w:p>
    <w:p w14:paraId="4F3C90C0" w14:textId="1CBB160D" w:rsidR="00225F5E" w:rsidRPr="00471CBA" w:rsidRDefault="007322D9" w:rsidP="006025D3">
      <w:pPr>
        <w:widowControl w:val="0"/>
        <w:spacing w:before="120"/>
        <w:ind w:left="851" w:hanging="851"/>
        <w:jc w:val="both"/>
        <w:rPr>
          <w:szCs w:val="20"/>
        </w:rPr>
      </w:pPr>
      <w:r w:rsidRPr="00471CBA">
        <w:rPr>
          <w:szCs w:val="20"/>
        </w:rPr>
        <w:t>c)</w:t>
      </w:r>
      <w:r w:rsidRPr="00471CBA">
        <w:rPr>
          <w:szCs w:val="20"/>
        </w:rPr>
        <w:tab/>
        <w:t>Maddi ve maddi olmayan duran varlıklara ilişkin değerleme farkları özkaynaklar altında maddi ve maddi olmayan duran varlıklar yeniden değerleme farkları hesabında muhasebeleştirilmektedir.</w:t>
      </w:r>
    </w:p>
    <w:p w14:paraId="5049B475" w14:textId="77777777" w:rsidR="00225F5E" w:rsidRPr="00471CBA" w:rsidRDefault="00225F5E">
      <w:pPr>
        <w:rPr>
          <w:szCs w:val="20"/>
        </w:rPr>
      </w:pPr>
      <w:r w:rsidRPr="00471CBA">
        <w:rPr>
          <w:szCs w:val="20"/>
        </w:rPr>
        <w:br w:type="page"/>
      </w:r>
    </w:p>
    <w:bookmarkEnd w:id="166"/>
    <w:p w14:paraId="4C3344B6" w14:textId="77777777" w:rsidR="00402714" w:rsidRPr="00471CBA" w:rsidRDefault="00402714" w:rsidP="00402714">
      <w:pPr>
        <w:widowControl w:val="0"/>
        <w:spacing w:line="214" w:lineRule="auto"/>
        <w:ind w:left="720" w:hanging="720"/>
        <w:jc w:val="both"/>
        <w:rPr>
          <w:b/>
          <w:szCs w:val="20"/>
        </w:rPr>
      </w:pPr>
      <w:r w:rsidRPr="00471CBA">
        <w:rPr>
          <w:b/>
          <w:szCs w:val="20"/>
        </w:rPr>
        <w:t>KONSOLİDE OLMAYAN FİNANSAL TABLOLARA İLİŞKİN AÇIKLAMA VE DİPNOTLAR (Devamı)</w:t>
      </w:r>
    </w:p>
    <w:p w14:paraId="65DFDCCC" w14:textId="77777777" w:rsidR="00402714" w:rsidRPr="00471CBA" w:rsidRDefault="00402714" w:rsidP="00402714">
      <w:pPr>
        <w:widowControl w:val="0"/>
        <w:spacing w:line="214" w:lineRule="auto"/>
        <w:jc w:val="both"/>
        <w:rPr>
          <w:szCs w:val="20"/>
        </w:rPr>
      </w:pPr>
    </w:p>
    <w:p w14:paraId="04320019" w14:textId="77777777" w:rsidR="007322D9" w:rsidRPr="00471CBA" w:rsidRDefault="007322D9" w:rsidP="008459A9">
      <w:pPr>
        <w:pStyle w:val="GvdeMetniGirintisi"/>
        <w:widowControl w:val="0"/>
        <w:numPr>
          <w:ilvl w:val="0"/>
          <w:numId w:val="106"/>
        </w:numPr>
        <w:ind w:left="851" w:right="206" w:hanging="851"/>
        <w:rPr>
          <w:b/>
          <w:iCs/>
          <w:szCs w:val="20"/>
        </w:rPr>
      </w:pPr>
      <w:r w:rsidRPr="00471CBA">
        <w:rPr>
          <w:b/>
          <w:iCs/>
          <w:szCs w:val="20"/>
        </w:rPr>
        <w:t>NAKİT AKIŞ TABLOSUNA İLİŞKİN AÇIKLAMA VE DİPNOTLAR</w:t>
      </w:r>
    </w:p>
    <w:p w14:paraId="0D3A84D8" w14:textId="77777777" w:rsidR="007322D9" w:rsidRPr="00471CBA" w:rsidRDefault="007322D9" w:rsidP="007322D9">
      <w:pPr>
        <w:spacing w:before="120"/>
        <w:ind w:right="49"/>
        <w:jc w:val="both"/>
        <w:rPr>
          <w:szCs w:val="20"/>
        </w:rPr>
      </w:pPr>
      <w:bookmarkStart w:id="168" w:name="_Hlk221782396"/>
      <w:r w:rsidRPr="00471CBA">
        <w:rPr>
          <w:szCs w:val="20"/>
        </w:rPr>
        <w:t>Kasa, efektif deposu, yoldaki paralar ve satın alınan banka çekleri ile T.C. Merkez Bankası dahil bankalardaki vadesiz mevduat “Nakit” olarak; orijinal vadesi üç aydan kısa olan bankalar arası para piyasası plasmanları ve bankalardaki vadeli depolar “Nakde eşdeğer varlık” olarak tanımlanmaktadır.</w:t>
      </w:r>
    </w:p>
    <w:p w14:paraId="19070A11" w14:textId="77777777" w:rsidR="007322D9" w:rsidRPr="00471CBA" w:rsidRDefault="007322D9" w:rsidP="007322D9">
      <w:pPr>
        <w:autoSpaceDE w:val="0"/>
        <w:autoSpaceDN w:val="0"/>
        <w:adjustRightInd w:val="0"/>
        <w:spacing w:before="120" w:after="120"/>
        <w:jc w:val="both"/>
        <w:rPr>
          <w:szCs w:val="20"/>
        </w:rPr>
      </w:pPr>
      <w:bookmarkStart w:id="169" w:name="_Hlk223360293"/>
      <w:r w:rsidRPr="00471CBA">
        <w:rPr>
          <w:szCs w:val="20"/>
        </w:rPr>
        <w:t xml:space="preserve"> (a)</w:t>
      </w:r>
      <w:r w:rsidRPr="00471CBA">
        <w:rPr>
          <w:szCs w:val="20"/>
        </w:rPr>
        <w:tab/>
        <w:t>Dönem başındaki nakit ve nakde eşdeğer varlıklar:</w:t>
      </w:r>
    </w:p>
    <w:tbl>
      <w:tblPr>
        <w:tblW w:w="5000" w:type="pct"/>
        <w:tblLook w:val="0000" w:firstRow="0" w:lastRow="0" w:firstColumn="0" w:lastColumn="0" w:noHBand="0" w:noVBand="0"/>
      </w:tblPr>
      <w:tblGrid>
        <w:gridCol w:w="6247"/>
        <w:gridCol w:w="1555"/>
        <w:gridCol w:w="1553"/>
      </w:tblGrid>
      <w:tr w:rsidR="002123A3" w:rsidRPr="00471CBA" w14:paraId="3642CC90" w14:textId="543FF96E" w:rsidTr="002123A3">
        <w:trPr>
          <w:trHeight w:hRule="exact" w:val="249"/>
        </w:trPr>
        <w:tc>
          <w:tcPr>
            <w:tcW w:w="3339" w:type="pct"/>
            <w:tcBorders>
              <w:top w:val="single" w:sz="4" w:space="0" w:color="auto"/>
              <w:left w:val="nil"/>
              <w:bottom w:val="single" w:sz="4" w:space="0" w:color="auto"/>
              <w:right w:val="nil"/>
            </w:tcBorders>
            <w:noWrap/>
            <w:vAlign w:val="bottom"/>
          </w:tcPr>
          <w:p w14:paraId="3E19FF79" w14:textId="77777777" w:rsidR="002123A3" w:rsidRPr="00471CBA" w:rsidRDefault="002123A3" w:rsidP="00B0049C">
            <w:pPr>
              <w:jc w:val="both"/>
              <w:rPr>
                <w:b/>
                <w:bCs/>
                <w:szCs w:val="20"/>
              </w:rPr>
            </w:pPr>
          </w:p>
        </w:tc>
        <w:tc>
          <w:tcPr>
            <w:tcW w:w="831" w:type="pct"/>
            <w:tcBorders>
              <w:top w:val="single" w:sz="4" w:space="0" w:color="auto"/>
              <w:left w:val="nil"/>
              <w:bottom w:val="single" w:sz="4" w:space="0" w:color="auto"/>
              <w:right w:val="nil"/>
            </w:tcBorders>
            <w:vAlign w:val="bottom"/>
          </w:tcPr>
          <w:p w14:paraId="2C5CA8EB" w14:textId="77777777" w:rsidR="004933A2" w:rsidRPr="00471CBA" w:rsidRDefault="004933A2" w:rsidP="004933A2">
            <w:pPr>
              <w:jc w:val="right"/>
              <w:rPr>
                <w:b/>
                <w:bCs/>
                <w:szCs w:val="20"/>
              </w:rPr>
            </w:pPr>
            <w:r w:rsidRPr="00471CBA">
              <w:rPr>
                <w:b/>
                <w:bCs/>
                <w:szCs w:val="20"/>
              </w:rPr>
              <w:t>31 Aralık 2025</w:t>
            </w:r>
          </w:p>
          <w:p w14:paraId="43D0A47B" w14:textId="77777777" w:rsidR="002123A3" w:rsidRPr="00471CBA" w:rsidRDefault="002123A3" w:rsidP="00B0049C">
            <w:pPr>
              <w:jc w:val="right"/>
              <w:rPr>
                <w:b/>
                <w:bCs/>
                <w:szCs w:val="20"/>
              </w:rPr>
            </w:pPr>
          </w:p>
        </w:tc>
        <w:tc>
          <w:tcPr>
            <w:tcW w:w="830" w:type="pct"/>
            <w:tcBorders>
              <w:top w:val="single" w:sz="4" w:space="0" w:color="auto"/>
              <w:left w:val="nil"/>
              <w:bottom w:val="single" w:sz="4" w:space="0" w:color="auto"/>
              <w:right w:val="nil"/>
            </w:tcBorders>
          </w:tcPr>
          <w:p w14:paraId="3091788B" w14:textId="032CD68A" w:rsidR="004933A2" w:rsidRPr="00471CBA" w:rsidRDefault="004933A2" w:rsidP="004933A2">
            <w:pPr>
              <w:jc w:val="right"/>
              <w:rPr>
                <w:b/>
                <w:bCs/>
                <w:szCs w:val="20"/>
              </w:rPr>
            </w:pPr>
            <w:r w:rsidRPr="00471CBA">
              <w:rPr>
                <w:b/>
                <w:bCs/>
                <w:szCs w:val="20"/>
              </w:rPr>
              <w:t>31 Aralık 2024</w:t>
            </w:r>
          </w:p>
          <w:p w14:paraId="3550C2DC" w14:textId="77777777" w:rsidR="002123A3" w:rsidRPr="00471CBA" w:rsidRDefault="002123A3" w:rsidP="00B0049C">
            <w:pPr>
              <w:jc w:val="right"/>
              <w:rPr>
                <w:b/>
                <w:bCs/>
                <w:szCs w:val="20"/>
              </w:rPr>
            </w:pPr>
          </w:p>
        </w:tc>
      </w:tr>
      <w:tr w:rsidR="002123A3" w:rsidRPr="00471CBA" w14:paraId="6DB77F07" w14:textId="765050DA" w:rsidTr="002123A3">
        <w:trPr>
          <w:trHeight w:val="134"/>
        </w:trPr>
        <w:tc>
          <w:tcPr>
            <w:tcW w:w="3339" w:type="pct"/>
            <w:tcBorders>
              <w:top w:val="single" w:sz="4" w:space="0" w:color="auto"/>
              <w:left w:val="nil"/>
              <w:bottom w:val="nil"/>
              <w:right w:val="nil"/>
            </w:tcBorders>
            <w:noWrap/>
            <w:vAlign w:val="bottom"/>
          </w:tcPr>
          <w:p w14:paraId="3BAE8DE6" w14:textId="77777777" w:rsidR="002123A3" w:rsidRPr="00471CBA" w:rsidRDefault="002123A3" w:rsidP="00B0049C">
            <w:pPr>
              <w:jc w:val="both"/>
              <w:rPr>
                <w:szCs w:val="20"/>
              </w:rPr>
            </w:pPr>
          </w:p>
        </w:tc>
        <w:tc>
          <w:tcPr>
            <w:tcW w:w="831" w:type="pct"/>
            <w:tcBorders>
              <w:top w:val="single" w:sz="4" w:space="0" w:color="auto"/>
              <w:left w:val="nil"/>
              <w:right w:val="nil"/>
            </w:tcBorders>
          </w:tcPr>
          <w:p w14:paraId="32868560" w14:textId="77777777" w:rsidR="002123A3" w:rsidRPr="00471CBA" w:rsidRDefault="002123A3" w:rsidP="00B0049C">
            <w:pPr>
              <w:jc w:val="right"/>
              <w:rPr>
                <w:szCs w:val="20"/>
              </w:rPr>
            </w:pPr>
          </w:p>
        </w:tc>
        <w:tc>
          <w:tcPr>
            <w:tcW w:w="830" w:type="pct"/>
            <w:tcBorders>
              <w:top w:val="single" w:sz="4" w:space="0" w:color="auto"/>
              <w:left w:val="nil"/>
              <w:right w:val="nil"/>
            </w:tcBorders>
          </w:tcPr>
          <w:p w14:paraId="023AC0B9" w14:textId="77777777" w:rsidR="002123A3" w:rsidRPr="00471CBA" w:rsidRDefault="002123A3" w:rsidP="00B0049C">
            <w:pPr>
              <w:jc w:val="right"/>
              <w:rPr>
                <w:szCs w:val="20"/>
              </w:rPr>
            </w:pPr>
          </w:p>
        </w:tc>
      </w:tr>
      <w:tr w:rsidR="002123A3" w:rsidRPr="00471CBA" w14:paraId="3CE7502D" w14:textId="230020B2" w:rsidTr="00AA2854">
        <w:trPr>
          <w:trHeight w:val="134"/>
        </w:trPr>
        <w:tc>
          <w:tcPr>
            <w:tcW w:w="3339" w:type="pct"/>
            <w:tcBorders>
              <w:top w:val="nil"/>
              <w:left w:val="nil"/>
              <w:bottom w:val="nil"/>
              <w:right w:val="nil"/>
            </w:tcBorders>
            <w:noWrap/>
            <w:vAlign w:val="bottom"/>
          </w:tcPr>
          <w:p w14:paraId="33911080" w14:textId="77777777" w:rsidR="002123A3" w:rsidRPr="00471CBA" w:rsidRDefault="002123A3" w:rsidP="002123A3">
            <w:pPr>
              <w:jc w:val="both"/>
              <w:rPr>
                <w:b/>
                <w:szCs w:val="20"/>
              </w:rPr>
            </w:pPr>
            <w:r w:rsidRPr="00471CBA">
              <w:rPr>
                <w:b/>
                <w:szCs w:val="20"/>
              </w:rPr>
              <w:t>Nakit</w:t>
            </w:r>
          </w:p>
        </w:tc>
        <w:tc>
          <w:tcPr>
            <w:tcW w:w="831" w:type="pct"/>
            <w:tcBorders>
              <w:top w:val="nil"/>
              <w:left w:val="nil"/>
              <w:bottom w:val="nil"/>
              <w:right w:val="nil"/>
            </w:tcBorders>
            <w:vAlign w:val="center"/>
          </w:tcPr>
          <w:p w14:paraId="5F32DA23" w14:textId="5A5D282D" w:rsidR="002123A3" w:rsidRPr="00471CBA" w:rsidRDefault="002123A3" w:rsidP="002123A3">
            <w:pPr>
              <w:jc w:val="right"/>
              <w:rPr>
                <w:b/>
                <w:bCs/>
                <w:szCs w:val="20"/>
              </w:rPr>
            </w:pPr>
            <w:r w:rsidRPr="00471CBA">
              <w:rPr>
                <w:b/>
                <w:bCs/>
                <w:color w:val="000000"/>
                <w:szCs w:val="20"/>
              </w:rPr>
              <w:t>2.616.774</w:t>
            </w:r>
          </w:p>
        </w:tc>
        <w:tc>
          <w:tcPr>
            <w:tcW w:w="830" w:type="pct"/>
            <w:tcBorders>
              <w:top w:val="nil"/>
              <w:left w:val="nil"/>
              <w:bottom w:val="nil"/>
              <w:right w:val="nil"/>
            </w:tcBorders>
            <w:vAlign w:val="center"/>
          </w:tcPr>
          <w:p w14:paraId="56F31BF1" w14:textId="42DB22A9" w:rsidR="002123A3" w:rsidRPr="00471CBA" w:rsidRDefault="002123A3" w:rsidP="002123A3">
            <w:pPr>
              <w:jc w:val="right"/>
              <w:rPr>
                <w:b/>
                <w:bCs/>
                <w:szCs w:val="20"/>
              </w:rPr>
            </w:pPr>
            <w:r w:rsidRPr="00471CBA">
              <w:rPr>
                <w:b/>
                <w:bCs/>
                <w:color w:val="000000"/>
                <w:szCs w:val="20"/>
              </w:rPr>
              <w:t>1.166</w:t>
            </w:r>
          </w:p>
        </w:tc>
      </w:tr>
      <w:tr w:rsidR="002123A3" w:rsidRPr="00471CBA" w14:paraId="4B561F95" w14:textId="4783BDC6" w:rsidTr="00AA2854">
        <w:trPr>
          <w:trHeight w:val="134"/>
        </w:trPr>
        <w:tc>
          <w:tcPr>
            <w:tcW w:w="3339" w:type="pct"/>
            <w:tcBorders>
              <w:top w:val="nil"/>
              <w:left w:val="nil"/>
              <w:bottom w:val="nil"/>
              <w:right w:val="nil"/>
            </w:tcBorders>
            <w:noWrap/>
            <w:vAlign w:val="bottom"/>
          </w:tcPr>
          <w:p w14:paraId="10FB9190" w14:textId="77777777" w:rsidR="002123A3" w:rsidRPr="00471CBA" w:rsidRDefault="002123A3" w:rsidP="002123A3">
            <w:pPr>
              <w:jc w:val="both"/>
              <w:rPr>
                <w:szCs w:val="20"/>
              </w:rPr>
            </w:pPr>
            <w:r w:rsidRPr="00471CBA">
              <w:rPr>
                <w:szCs w:val="20"/>
              </w:rPr>
              <w:t xml:space="preserve">Kasa ve efektif deposu </w:t>
            </w:r>
          </w:p>
        </w:tc>
        <w:tc>
          <w:tcPr>
            <w:tcW w:w="831" w:type="pct"/>
            <w:tcBorders>
              <w:top w:val="nil"/>
              <w:left w:val="nil"/>
              <w:bottom w:val="nil"/>
              <w:right w:val="nil"/>
            </w:tcBorders>
            <w:vAlign w:val="center"/>
          </w:tcPr>
          <w:p w14:paraId="1E0BF22B" w14:textId="6BCD7ED7" w:rsidR="002123A3" w:rsidRPr="00471CBA" w:rsidRDefault="002123A3" w:rsidP="002123A3">
            <w:pPr>
              <w:jc w:val="right"/>
              <w:rPr>
                <w:bCs/>
                <w:szCs w:val="20"/>
              </w:rPr>
            </w:pPr>
            <w:r w:rsidRPr="00471CBA">
              <w:rPr>
                <w:color w:val="000000"/>
                <w:szCs w:val="20"/>
              </w:rPr>
              <w:t>527.548</w:t>
            </w:r>
          </w:p>
        </w:tc>
        <w:tc>
          <w:tcPr>
            <w:tcW w:w="830" w:type="pct"/>
            <w:tcBorders>
              <w:top w:val="nil"/>
              <w:left w:val="nil"/>
              <w:bottom w:val="nil"/>
              <w:right w:val="nil"/>
            </w:tcBorders>
            <w:vAlign w:val="center"/>
          </w:tcPr>
          <w:p w14:paraId="24142AE0" w14:textId="4587E8F4" w:rsidR="002123A3" w:rsidRPr="00471CBA" w:rsidRDefault="002123A3" w:rsidP="002123A3">
            <w:pPr>
              <w:jc w:val="right"/>
              <w:rPr>
                <w:bCs/>
                <w:szCs w:val="20"/>
              </w:rPr>
            </w:pPr>
            <w:r w:rsidRPr="00471CBA">
              <w:rPr>
                <w:color w:val="000000"/>
                <w:szCs w:val="20"/>
              </w:rPr>
              <w:t>-</w:t>
            </w:r>
          </w:p>
        </w:tc>
      </w:tr>
      <w:tr w:rsidR="002123A3" w:rsidRPr="00471CBA" w14:paraId="7DD6FBB2" w14:textId="34BD93F7" w:rsidTr="00AA2854">
        <w:trPr>
          <w:trHeight w:val="134"/>
        </w:trPr>
        <w:tc>
          <w:tcPr>
            <w:tcW w:w="3339" w:type="pct"/>
            <w:tcBorders>
              <w:top w:val="nil"/>
              <w:left w:val="nil"/>
              <w:bottom w:val="nil"/>
              <w:right w:val="nil"/>
            </w:tcBorders>
            <w:noWrap/>
            <w:vAlign w:val="bottom"/>
          </w:tcPr>
          <w:p w14:paraId="4206674D" w14:textId="77777777" w:rsidR="002123A3" w:rsidRPr="00471CBA" w:rsidRDefault="002123A3" w:rsidP="002123A3">
            <w:pPr>
              <w:jc w:val="both"/>
              <w:rPr>
                <w:szCs w:val="20"/>
              </w:rPr>
            </w:pPr>
            <w:r w:rsidRPr="00471CBA">
              <w:rPr>
                <w:szCs w:val="20"/>
              </w:rPr>
              <w:t>Yoldaki paralar</w:t>
            </w:r>
          </w:p>
        </w:tc>
        <w:tc>
          <w:tcPr>
            <w:tcW w:w="831" w:type="pct"/>
            <w:tcBorders>
              <w:top w:val="nil"/>
              <w:left w:val="nil"/>
              <w:bottom w:val="nil"/>
              <w:right w:val="nil"/>
            </w:tcBorders>
            <w:vAlign w:val="center"/>
          </w:tcPr>
          <w:p w14:paraId="0AB5DC74" w14:textId="196DC0E4" w:rsidR="002123A3" w:rsidRPr="00471CBA" w:rsidRDefault="001D7220" w:rsidP="002123A3">
            <w:pPr>
              <w:jc w:val="right"/>
              <w:rPr>
                <w:bCs/>
                <w:szCs w:val="20"/>
              </w:rPr>
            </w:pPr>
            <w:r>
              <w:rPr>
                <w:color w:val="000000"/>
                <w:szCs w:val="20"/>
              </w:rPr>
              <w:t>-</w:t>
            </w:r>
          </w:p>
        </w:tc>
        <w:tc>
          <w:tcPr>
            <w:tcW w:w="830" w:type="pct"/>
            <w:tcBorders>
              <w:top w:val="nil"/>
              <w:left w:val="nil"/>
              <w:bottom w:val="nil"/>
              <w:right w:val="nil"/>
            </w:tcBorders>
            <w:vAlign w:val="center"/>
          </w:tcPr>
          <w:p w14:paraId="67E2343C" w14:textId="57EE68CD" w:rsidR="002123A3" w:rsidRPr="00471CBA" w:rsidRDefault="002123A3" w:rsidP="002123A3">
            <w:pPr>
              <w:jc w:val="right"/>
              <w:rPr>
                <w:bCs/>
                <w:szCs w:val="20"/>
              </w:rPr>
            </w:pPr>
            <w:r w:rsidRPr="00471CBA">
              <w:rPr>
                <w:color w:val="000000"/>
                <w:szCs w:val="20"/>
              </w:rPr>
              <w:t>-</w:t>
            </w:r>
          </w:p>
        </w:tc>
      </w:tr>
      <w:tr w:rsidR="002123A3" w:rsidRPr="00471CBA" w14:paraId="7D53D389" w14:textId="6BFAC2E7" w:rsidTr="00AA2854">
        <w:trPr>
          <w:trHeight w:val="134"/>
        </w:trPr>
        <w:tc>
          <w:tcPr>
            <w:tcW w:w="3339" w:type="pct"/>
            <w:tcBorders>
              <w:top w:val="nil"/>
              <w:left w:val="nil"/>
              <w:bottom w:val="nil"/>
              <w:right w:val="nil"/>
            </w:tcBorders>
            <w:noWrap/>
            <w:vAlign w:val="bottom"/>
          </w:tcPr>
          <w:p w14:paraId="3B82C64A" w14:textId="77777777" w:rsidR="002123A3" w:rsidRPr="00471CBA" w:rsidRDefault="002123A3" w:rsidP="002123A3">
            <w:pPr>
              <w:jc w:val="both"/>
              <w:rPr>
                <w:szCs w:val="20"/>
              </w:rPr>
            </w:pPr>
            <w:r w:rsidRPr="00471CBA">
              <w:rPr>
                <w:szCs w:val="20"/>
              </w:rPr>
              <w:t>T.C. Merkez Bankası</w:t>
            </w:r>
          </w:p>
        </w:tc>
        <w:tc>
          <w:tcPr>
            <w:tcW w:w="831" w:type="pct"/>
            <w:tcBorders>
              <w:top w:val="nil"/>
              <w:left w:val="nil"/>
              <w:bottom w:val="nil"/>
              <w:right w:val="nil"/>
            </w:tcBorders>
            <w:vAlign w:val="center"/>
          </w:tcPr>
          <w:p w14:paraId="22FDCAA5" w14:textId="70377522" w:rsidR="002123A3" w:rsidRPr="00471CBA" w:rsidRDefault="002123A3" w:rsidP="002123A3">
            <w:pPr>
              <w:jc w:val="right"/>
              <w:rPr>
                <w:bCs/>
                <w:szCs w:val="20"/>
              </w:rPr>
            </w:pPr>
            <w:r w:rsidRPr="00471CBA">
              <w:rPr>
                <w:color w:val="000000"/>
                <w:szCs w:val="20"/>
              </w:rPr>
              <w:t>2.089.226</w:t>
            </w:r>
          </w:p>
        </w:tc>
        <w:tc>
          <w:tcPr>
            <w:tcW w:w="830" w:type="pct"/>
            <w:tcBorders>
              <w:top w:val="nil"/>
              <w:left w:val="nil"/>
              <w:bottom w:val="nil"/>
              <w:right w:val="nil"/>
            </w:tcBorders>
            <w:vAlign w:val="center"/>
          </w:tcPr>
          <w:p w14:paraId="0E140158" w14:textId="1A959270" w:rsidR="002123A3" w:rsidRPr="00471CBA" w:rsidRDefault="002123A3" w:rsidP="002123A3">
            <w:pPr>
              <w:jc w:val="right"/>
              <w:rPr>
                <w:bCs/>
                <w:szCs w:val="20"/>
              </w:rPr>
            </w:pPr>
            <w:r w:rsidRPr="00471CBA">
              <w:rPr>
                <w:color w:val="000000"/>
                <w:szCs w:val="20"/>
              </w:rPr>
              <w:t>1.166</w:t>
            </w:r>
          </w:p>
        </w:tc>
      </w:tr>
      <w:tr w:rsidR="002123A3" w:rsidRPr="00471CBA" w14:paraId="7174FBB6" w14:textId="30845653" w:rsidTr="00AA2854">
        <w:trPr>
          <w:trHeight w:val="134"/>
        </w:trPr>
        <w:tc>
          <w:tcPr>
            <w:tcW w:w="3339" w:type="pct"/>
            <w:tcBorders>
              <w:top w:val="nil"/>
              <w:left w:val="nil"/>
              <w:bottom w:val="nil"/>
              <w:right w:val="nil"/>
            </w:tcBorders>
            <w:noWrap/>
            <w:vAlign w:val="bottom"/>
          </w:tcPr>
          <w:p w14:paraId="13E7266F" w14:textId="77777777" w:rsidR="002123A3" w:rsidRPr="00471CBA" w:rsidRDefault="002123A3" w:rsidP="002123A3">
            <w:pPr>
              <w:jc w:val="both"/>
              <w:rPr>
                <w:b/>
                <w:szCs w:val="20"/>
              </w:rPr>
            </w:pPr>
            <w:r w:rsidRPr="00471CBA">
              <w:rPr>
                <w:b/>
                <w:szCs w:val="20"/>
              </w:rPr>
              <w:t>Nakde eşdeğer varlıklar</w:t>
            </w:r>
          </w:p>
        </w:tc>
        <w:tc>
          <w:tcPr>
            <w:tcW w:w="831" w:type="pct"/>
            <w:tcBorders>
              <w:top w:val="nil"/>
              <w:left w:val="nil"/>
              <w:bottom w:val="nil"/>
              <w:right w:val="nil"/>
            </w:tcBorders>
            <w:vAlign w:val="center"/>
          </w:tcPr>
          <w:p w14:paraId="25BA26F3" w14:textId="771F9A8A" w:rsidR="002123A3" w:rsidRPr="00471CBA" w:rsidRDefault="002123A3" w:rsidP="002123A3">
            <w:pPr>
              <w:jc w:val="right"/>
              <w:rPr>
                <w:b/>
                <w:bCs/>
                <w:szCs w:val="20"/>
              </w:rPr>
            </w:pPr>
            <w:r w:rsidRPr="00471CBA">
              <w:rPr>
                <w:b/>
                <w:bCs/>
                <w:color w:val="000000"/>
                <w:szCs w:val="20"/>
              </w:rPr>
              <w:t>4.411.073</w:t>
            </w:r>
          </w:p>
        </w:tc>
        <w:tc>
          <w:tcPr>
            <w:tcW w:w="830" w:type="pct"/>
            <w:tcBorders>
              <w:top w:val="nil"/>
              <w:left w:val="nil"/>
              <w:bottom w:val="nil"/>
              <w:right w:val="nil"/>
            </w:tcBorders>
            <w:vAlign w:val="center"/>
          </w:tcPr>
          <w:p w14:paraId="5FF08152" w14:textId="1278A7C2" w:rsidR="002123A3" w:rsidRPr="00471CBA" w:rsidRDefault="002123A3" w:rsidP="002123A3">
            <w:pPr>
              <w:jc w:val="right"/>
              <w:rPr>
                <w:b/>
                <w:bCs/>
                <w:szCs w:val="20"/>
              </w:rPr>
            </w:pPr>
            <w:r w:rsidRPr="00471CBA">
              <w:rPr>
                <w:b/>
                <w:bCs/>
                <w:color w:val="000000"/>
                <w:szCs w:val="20"/>
              </w:rPr>
              <w:t>428.607</w:t>
            </w:r>
          </w:p>
        </w:tc>
      </w:tr>
      <w:tr w:rsidR="002123A3" w:rsidRPr="00471CBA" w14:paraId="0039396F" w14:textId="289E1875" w:rsidTr="00AA2854">
        <w:trPr>
          <w:trHeight w:val="134"/>
        </w:trPr>
        <w:tc>
          <w:tcPr>
            <w:tcW w:w="3339" w:type="pct"/>
            <w:tcBorders>
              <w:top w:val="nil"/>
              <w:left w:val="nil"/>
              <w:bottom w:val="nil"/>
              <w:right w:val="nil"/>
            </w:tcBorders>
            <w:noWrap/>
            <w:vAlign w:val="bottom"/>
          </w:tcPr>
          <w:p w14:paraId="2FE9613D" w14:textId="77777777" w:rsidR="002123A3" w:rsidRPr="00471CBA" w:rsidRDefault="002123A3" w:rsidP="002123A3">
            <w:pPr>
              <w:jc w:val="both"/>
              <w:rPr>
                <w:szCs w:val="20"/>
              </w:rPr>
            </w:pPr>
            <w:r w:rsidRPr="00471CBA">
              <w:rPr>
                <w:szCs w:val="20"/>
              </w:rPr>
              <w:t>Yurtiçi bankalar</w:t>
            </w:r>
          </w:p>
        </w:tc>
        <w:tc>
          <w:tcPr>
            <w:tcW w:w="831" w:type="pct"/>
            <w:tcBorders>
              <w:top w:val="nil"/>
              <w:left w:val="nil"/>
              <w:bottom w:val="nil"/>
              <w:right w:val="nil"/>
            </w:tcBorders>
            <w:vAlign w:val="center"/>
          </w:tcPr>
          <w:p w14:paraId="27443F32" w14:textId="39C86843" w:rsidR="002123A3" w:rsidRPr="00471CBA" w:rsidRDefault="002123A3" w:rsidP="002123A3">
            <w:pPr>
              <w:jc w:val="right"/>
              <w:rPr>
                <w:bCs/>
                <w:szCs w:val="20"/>
              </w:rPr>
            </w:pPr>
            <w:r w:rsidRPr="00471CBA">
              <w:rPr>
                <w:color w:val="000000"/>
                <w:szCs w:val="20"/>
              </w:rPr>
              <w:t>3.344.020</w:t>
            </w:r>
          </w:p>
        </w:tc>
        <w:tc>
          <w:tcPr>
            <w:tcW w:w="830" w:type="pct"/>
            <w:tcBorders>
              <w:top w:val="nil"/>
              <w:left w:val="nil"/>
              <w:bottom w:val="nil"/>
              <w:right w:val="nil"/>
            </w:tcBorders>
            <w:vAlign w:val="center"/>
          </w:tcPr>
          <w:p w14:paraId="541D0909" w14:textId="5854A150" w:rsidR="002123A3" w:rsidRPr="00471CBA" w:rsidRDefault="002123A3" w:rsidP="002123A3">
            <w:pPr>
              <w:jc w:val="right"/>
              <w:rPr>
                <w:bCs/>
                <w:szCs w:val="20"/>
              </w:rPr>
            </w:pPr>
            <w:r w:rsidRPr="00471CBA">
              <w:rPr>
                <w:color w:val="000000"/>
                <w:szCs w:val="20"/>
              </w:rPr>
              <w:t>428.607</w:t>
            </w:r>
          </w:p>
        </w:tc>
      </w:tr>
      <w:tr w:rsidR="002123A3" w:rsidRPr="00471CBA" w14:paraId="75F4A4BF" w14:textId="78F07183" w:rsidTr="00AA2854">
        <w:trPr>
          <w:trHeight w:val="134"/>
        </w:trPr>
        <w:tc>
          <w:tcPr>
            <w:tcW w:w="3339" w:type="pct"/>
            <w:tcBorders>
              <w:top w:val="nil"/>
              <w:left w:val="nil"/>
              <w:bottom w:val="nil"/>
              <w:right w:val="nil"/>
            </w:tcBorders>
            <w:noWrap/>
            <w:vAlign w:val="bottom"/>
          </w:tcPr>
          <w:p w14:paraId="2E5D09C1" w14:textId="77777777" w:rsidR="002123A3" w:rsidRPr="00471CBA" w:rsidRDefault="002123A3" w:rsidP="002123A3">
            <w:pPr>
              <w:jc w:val="both"/>
              <w:rPr>
                <w:szCs w:val="20"/>
              </w:rPr>
            </w:pPr>
            <w:r w:rsidRPr="00471CBA">
              <w:rPr>
                <w:szCs w:val="20"/>
              </w:rPr>
              <w:t>Yurtdışı bankalar</w:t>
            </w:r>
          </w:p>
        </w:tc>
        <w:tc>
          <w:tcPr>
            <w:tcW w:w="831" w:type="pct"/>
            <w:tcBorders>
              <w:top w:val="nil"/>
              <w:left w:val="nil"/>
              <w:bottom w:val="nil"/>
              <w:right w:val="nil"/>
            </w:tcBorders>
            <w:vAlign w:val="center"/>
          </w:tcPr>
          <w:p w14:paraId="424BEDF5" w14:textId="41BD6523" w:rsidR="002123A3" w:rsidRPr="00471CBA" w:rsidRDefault="002123A3" w:rsidP="002123A3">
            <w:pPr>
              <w:jc w:val="right"/>
              <w:rPr>
                <w:bCs/>
                <w:szCs w:val="20"/>
              </w:rPr>
            </w:pPr>
            <w:r w:rsidRPr="00471CBA">
              <w:rPr>
                <w:color w:val="000000"/>
                <w:szCs w:val="20"/>
              </w:rPr>
              <w:t>1.067.053</w:t>
            </w:r>
          </w:p>
        </w:tc>
        <w:tc>
          <w:tcPr>
            <w:tcW w:w="830" w:type="pct"/>
            <w:tcBorders>
              <w:top w:val="nil"/>
              <w:left w:val="nil"/>
              <w:bottom w:val="nil"/>
              <w:right w:val="nil"/>
            </w:tcBorders>
            <w:vAlign w:val="center"/>
          </w:tcPr>
          <w:p w14:paraId="3B3FA73A" w14:textId="19DDB8D9" w:rsidR="002123A3" w:rsidRPr="00471CBA" w:rsidRDefault="002123A3" w:rsidP="002123A3">
            <w:pPr>
              <w:jc w:val="right"/>
              <w:rPr>
                <w:bCs/>
                <w:szCs w:val="20"/>
              </w:rPr>
            </w:pPr>
            <w:r w:rsidRPr="00471CBA">
              <w:rPr>
                <w:color w:val="000000"/>
                <w:szCs w:val="20"/>
              </w:rPr>
              <w:t>-</w:t>
            </w:r>
          </w:p>
        </w:tc>
      </w:tr>
      <w:tr w:rsidR="002123A3" w:rsidRPr="00471CBA" w14:paraId="056DBEC7" w14:textId="13FF20A2" w:rsidTr="00AA2854">
        <w:trPr>
          <w:trHeight w:val="134"/>
        </w:trPr>
        <w:tc>
          <w:tcPr>
            <w:tcW w:w="3339" w:type="pct"/>
            <w:tcBorders>
              <w:top w:val="nil"/>
              <w:left w:val="nil"/>
              <w:bottom w:val="single" w:sz="4" w:space="0" w:color="auto"/>
              <w:right w:val="nil"/>
            </w:tcBorders>
            <w:noWrap/>
            <w:vAlign w:val="bottom"/>
          </w:tcPr>
          <w:p w14:paraId="45611DEF" w14:textId="77777777" w:rsidR="002123A3" w:rsidRPr="00471CBA" w:rsidRDefault="002123A3" w:rsidP="002123A3">
            <w:pPr>
              <w:jc w:val="both"/>
              <w:rPr>
                <w:szCs w:val="20"/>
              </w:rPr>
            </w:pPr>
          </w:p>
        </w:tc>
        <w:tc>
          <w:tcPr>
            <w:tcW w:w="831" w:type="pct"/>
            <w:tcBorders>
              <w:top w:val="nil"/>
              <w:left w:val="nil"/>
              <w:bottom w:val="single" w:sz="4" w:space="0" w:color="auto"/>
              <w:right w:val="nil"/>
            </w:tcBorders>
            <w:vAlign w:val="center"/>
          </w:tcPr>
          <w:p w14:paraId="39C63F0E" w14:textId="6A091B18" w:rsidR="002123A3" w:rsidRPr="00471CBA" w:rsidRDefault="002123A3" w:rsidP="002123A3">
            <w:pPr>
              <w:jc w:val="right"/>
              <w:rPr>
                <w:b/>
                <w:bCs/>
                <w:szCs w:val="20"/>
              </w:rPr>
            </w:pPr>
            <w:r w:rsidRPr="00471CBA">
              <w:rPr>
                <w:bCs/>
                <w:color w:val="000000"/>
                <w:szCs w:val="20"/>
              </w:rPr>
              <w:t> </w:t>
            </w:r>
          </w:p>
        </w:tc>
        <w:tc>
          <w:tcPr>
            <w:tcW w:w="830" w:type="pct"/>
            <w:tcBorders>
              <w:top w:val="nil"/>
              <w:left w:val="nil"/>
              <w:bottom w:val="single" w:sz="4" w:space="0" w:color="auto"/>
              <w:right w:val="nil"/>
            </w:tcBorders>
            <w:vAlign w:val="center"/>
          </w:tcPr>
          <w:p w14:paraId="3D93A20C" w14:textId="7A6165BF" w:rsidR="002123A3" w:rsidRPr="00471CBA" w:rsidRDefault="002123A3" w:rsidP="002123A3">
            <w:pPr>
              <w:jc w:val="right"/>
              <w:rPr>
                <w:b/>
                <w:bCs/>
                <w:szCs w:val="20"/>
              </w:rPr>
            </w:pPr>
            <w:r w:rsidRPr="00471CBA">
              <w:rPr>
                <w:color w:val="000000"/>
                <w:szCs w:val="20"/>
              </w:rPr>
              <w:t> </w:t>
            </w:r>
          </w:p>
        </w:tc>
      </w:tr>
      <w:tr w:rsidR="002123A3" w:rsidRPr="00471CBA" w14:paraId="33ADC293" w14:textId="63BC6CDD" w:rsidTr="00AA2854">
        <w:trPr>
          <w:trHeight w:val="134"/>
        </w:trPr>
        <w:tc>
          <w:tcPr>
            <w:tcW w:w="3339" w:type="pct"/>
            <w:tcBorders>
              <w:top w:val="single" w:sz="4" w:space="0" w:color="auto"/>
              <w:left w:val="nil"/>
              <w:bottom w:val="single" w:sz="12" w:space="0" w:color="auto"/>
              <w:right w:val="nil"/>
            </w:tcBorders>
            <w:noWrap/>
            <w:vAlign w:val="bottom"/>
          </w:tcPr>
          <w:p w14:paraId="5E3C7EBB" w14:textId="77777777" w:rsidR="002123A3" w:rsidRPr="00471CBA" w:rsidRDefault="002123A3" w:rsidP="002123A3">
            <w:pPr>
              <w:jc w:val="both"/>
              <w:rPr>
                <w:b/>
                <w:bCs/>
                <w:szCs w:val="20"/>
              </w:rPr>
            </w:pPr>
            <w:r w:rsidRPr="00471CBA">
              <w:rPr>
                <w:b/>
                <w:bCs/>
                <w:szCs w:val="20"/>
              </w:rPr>
              <w:t>Toplam nakit ve nakde eşdeğer varlıklar</w:t>
            </w:r>
          </w:p>
        </w:tc>
        <w:tc>
          <w:tcPr>
            <w:tcW w:w="831" w:type="pct"/>
            <w:tcBorders>
              <w:top w:val="single" w:sz="4" w:space="0" w:color="auto"/>
              <w:left w:val="nil"/>
              <w:bottom w:val="single" w:sz="12" w:space="0" w:color="auto"/>
              <w:right w:val="nil"/>
            </w:tcBorders>
            <w:vAlign w:val="center"/>
          </w:tcPr>
          <w:p w14:paraId="51D6ACBD" w14:textId="05893E29" w:rsidR="002123A3" w:rsidRPr="00471CBA" w:rsidRDefault="002123A3" w:rsidP="002123A3">
            <w:pPr>
              <w:jc w:val="right"/>
              <w:rPr>
                <w:b/>
                <w:bCs/>
                <w:szCs w:val="20"/>
              </w:rPr>
            </w:pPr>
            <w:r w:rsidRPr="00471CBA">
              <w:rPr>
                <w:b/>
                <w:bCs/>
                <w:color w:val="000000"/>
                <w:szCs w:val="20"/>
              </w:rPr>
              <w:t>7.027.847</w:t>
            </w:r>
          </w:p>
        </w:tc>
        <w:tc>
          <w:tcPr>
            <w:tcW w:w="830" w:type="pct"/>
            <w:tcBorders>
              <w:top w:val="single" w:sz="4" w:space="0" w:color="auto"/>
              <w:left w:val="nil"/>
              <w:bottom w:val="single" w:sz="12" w:space="0" w:color="auto"/>
              <w:right w:val="nil"/>
            </w:tcBorders>
            <w:vAlign w:val="center"/>
          </w:tcPr>
          <w:p w14:paraId="4EA95791" w14:textId="7D22626A" w:rsidR="002123A3" w:rsidRPr="00471CBA" w:rsidRDefault="002123A3" w:rsidP="002123A3">
            <w:pPr>
              <w:jc w:val="right"/>
              <w:rPr>
                <w:b/>
                <w:bCs/>
                <w:szCs w:val="20"/>
              </w:rPr>
            </w:pPr>
            <w:r w:rsidRPr="00471CBA">
              <w:rPr>
                <w:b/>
                <w:bCs/>
                <w:color w:val="000000"/>
                <w:szCs w:val="20"/>
              </w:rPr>
              <w:t>429.773</w:t>
            </w:r>
          </w:p>
        </w:tc>
      </w:tr>
    </w:tbl>
    <w:p w14:paraId="2C0E5B2B" w14:textId="0DB36AC3" w:rsidR="007322D9" w:rsidRPr="00471CBA" w:rsidRDefault="007322D9" w:rsidP="007322D9">
      <w:pPr>
        <w:autoSpaceDE w:val="0"/>
        <w:autoSpaceDN w:val="0"/>
        <w:adjustRightInd w:val="0"/>
        <w:spacing w:before="120" w:after="120"/>
        <w:jc w:val="both"/>
        <w:rPr>
          <w:szCs w:val="20"/>
        </w:rPr>
      </w:pPr>
      <w:r w:rsidRPr="00471CBA">
        <w:rPr>
          <w:szCs w:val="20"/>
        </w:rPr>
        <w:t>(b)</w:t>
      </w:r>
      <w:r w:rsidRPr="00471CBA">
        <w:rPr>
          <w:szCs w:val="20"/>
        </w:rPr>
        <w:tab/>
        <w:t>Dönem sonundaki nakit ve nakde eşdeğer varlıklar:</w:t>
      </w:r>
    </w:p>
    <w:tbl>
      <w:tblPr>
        <w:tblW w:w="5000" w:type="pct"/>
        <w:tblLook w:val="0000" w:firstRow="0" w:lastRow="0" w:firstColumn="0" w:lastColumn="0" w:noHBand="0" w:noVBand="0"/>
      </w:tblPr>
      <w:tblGrid>
        <w:gridCol w:w="6173"/>
        <w:gridCol w:w="1592"/>
        <w:gridCol w:w="1590"/>
      </w:tblGrid>
      <w:tr w:rsidR="002123A3" w:rsidRPr="00471CBA" w14:paraId="2EE1E6F3" w14:textId="0618154D" w:rsidTr="002123A3">
        <w:trPr>
          <w:trHeight w:hRule="exact" w:val="247"/>
        </w:trPr>
        <w:tc>
          <w:tcPr>
            <w:tcW w:w="3299" w:type="pct"/>
            <w:tcBorders>
              <w:top w:val="single" w:sz="4" w:space="0" w:color="auto"/>
              <w:left w:val="nil"/>
              <w:bottom w:val="single" w:sz="4" w:space="0" w:color="auto"/>
              <w:right w:val="nil"/>
            </w:tcBorders>
            <w:noWrap/>
            <w:vAlign w:val="bottom"/>
          </w:tcPr>
          <w:p w14:paraId="3DCC4B53" w14:textId="77777777" w:rsidR="002123A3" w:rsidRPr="00471CBA" w:rsidRDefault="002123A3" w:rsidP="00B0049C">
            <w:pPr>
              <w:jc w:val="both"/>
              <w:rPr>
                <w:b/>
                <w:bCs/>
                <w:szCs w:val="20"/>
              </w:rPr>
            </w:pPr>
          </w:p>
        </w:tc>
        <w:tc>
          <w:tcPr>
            <w:tcW w:w="851" w:type="pct"/>
            <w:tcBorders>
              <w:top w:val="single" w:sz="4" w:space="0" w:color="auto"/>
              <w:left w:val="nil"/>
              <w:bottom w:val="single" w:sz="4" w:space="0" w:color="auto"/>
              <w:right w:val="nil"/>
            </w:tcBorders>
            <w:vAlign w:val="bottom"/>
          </w:tcPr>
          <w:p w14:paraId="61728CA9" w14:textId="796EE561" w:rsidR="002123A3" w:rsidRPr="00471CBA" w:rsidRDefault="002123A3" w:rsidP="00B0049C">
            <w:pPr>
              <w:jc w:val="right"/>
              <w:rPr>
                <w:b/>
                <w:bCs/>
                <w:szCs w:val="20"/>
              </w:rPr>
            </w:pPr>
            <w:r w:rsidRPr="00471CBA">
              <w:rPr>
                <w:b/>
                <w:bCs/>
                <w:szCs w:val="20"/>
              </w:rPr>
              <w:t>31 Aralık 2025</w:t>
            </w:r>
          </w:p>
          <w:p w14:paraId="028B239D" w14:textId="77777777" w:rsidR="002123A3" w:rsidRPr="00471CBA" w:rsidRDefault="002123A3" w:rsidP="00B0049C">
            <w:pPr>
              <w:jc w:val="right"/>
              <w:rPr>
                <w:b/>
                <w:bCs/>
                <w:szCs w:val="20"/>
              </w:rPr>
            </w:pPr>
          </w:p>
        </w:tc>
        <w:tc>
          <w:tcPr>
            <w:tcW w:w="850" w:type="pct"/>
            <w:tcBorders>
              <w:top w:val="single" w:sz="4" w:space="0" w:color="auto"/>
              <w:left w:val="nil"/>
              <w:bottom w:val="single" w:sz="4" w:space="0" w:color="auto"/>
              <w:right w:val="nil"/>
            </w:tcBorders>
          </w:tcPr>
          <w:p w14:paraId="57CA3E8B" w14:textId="75223FC4" w:rsidR="004933A2" w:rsidRPr="00471CBA" w:rsidRDefault="004933A2" w:rsidP="004933A2">
            <w:pPr>
              <w:jc w:val="right"/>
              <w:rPr>
                <w:b/>
                <w:bCs/>
                <w:szCs w:val="20"/>
              </w:rPr>
            </w:pPr>
            <w:r w:rsidRPr="00471CBA">
              <w:rPr>
                <w:b/>
                <w:bCs/>
                <w:szCs w:val="20"/>
              </w:rPr>
              <w:t>31 Aralık 2024</w:t>
            </w:r>
          </w:p>
          <w:p w14:paraId="64F5D515" w14:textId="77777777" w:rsidR="002123A3" w:rsidRPr="00471CBA" w:rsidRDefault="002123A3" w:rsidP="00B0049C">
            <w:pPr>
              <w:jc w:val="right"/>
              <w:rPr>
                <w:b/>
                <w:bCs/>
                <w:szCs w:val="20"/>
              </w:rPr>
            </w:pPr>
          </w:p>
        </w:tc>
      </w:tr>
      <w:tr w:rsidR="002123A3" w:rsidRPr="00471CBA" w14:paraId="2AA896DE" w14:textId="45FC639D" w:rsidTr="002123A3">
        <w:trPr>
          <w:trHeight w:val="124"/>
        </w:trPr>
        <w:tc>
          <w:tcPr>
            <w:tcW w:w="3299" w:type="pct"/>
            <w:tcBorders>
              <w:top w:val="single" w:sz="4" w:space="0" w:color="auto"/>
              <w:left w:val="nil"/>
              <w:bottom w:val="nil"/>
              <w:right w:val="nil"/>
            </w:tcBorders>
            <w:noWrap/>
            <w:vAlign w:val="bottom"/>
          </w:tcPr>
          <w:p w14:paraId="2B65B280" w14:textId="77777777" w:rsidR="002123A3" w:rsidRPr="00471CBA" w:rsidRDefault="002123A3" w:rsidP="00B0049C">
            <w:pPr>
              <w:jc w:val="both"/>
              <w:rPr>
                <w:szCs w:val="20"/>
              </w:rPr>
            </w:pPr>
          </w:p>
        </w:tc>
        <w:tc>
          <w:tcPr>
            <w:tcW w:w="851" w:type="pct"/>
            <w:tcBorders>
              <w:top w:val="single" w:sz="4" w:space="0" w:color="auto"/>
              <w:left w:val="nil"/>
              <w:bottom w:val="nil"/>
              <w:right w:val="nil"/>
            </w:tcBorders>
          </w:tcPr>
          <w:p w14:paraId="777DA825" w14:textId="77777777" w:rsidR="002123A3" w:rsidRPr="00471CBA" w:rsidRDefault="002123A3" w:rsidP="00B0049C">
            <w:pPr>
              <w:jc w:val="right"/>
              <w:rPr>
                <w:szCs w:val="20"/>
              </w:rPr>
            </w:pPr>
          </w:p>
        </w:tc>
        <w:tc>
          <w:tcPr>
            <w:tcW w:w="850" w:type="pct"/>
            <w:tcBorders>
              <w:top w:val="single" w:sz="4" w:space="0" w:color="auto"/>
              <w:left w:val="nil"/>
              <w:bottom w:val="nil"/>
              <w:right w:val="nil"/>
            </w:tcBorders>
          </w:tcPr>
          <w:p w14:paraId="7E8667D5" w14:textId="77777777" w:rsidR="002123A3" w:rsidRPr="00471CBA" w:rsidRDefault="002123A3" w:rsidP="00B0049C">
            <w:pPr>
              <w:jc w:val="right"/>
              <w:rPr>
                <w:szCs w:val="20"/>
              </w:rPr>
            </w:pPr>
          </w:p>
        </w:tc>
      </w:tr>
      <w:tr w:rsidR="002123A3" w:rsidRPr="00471CBA" w14:paraId="362E5253" w14:textId="054A4281" w:rsidTr="004449D3">
        <w:trPr>
          <w:trHeight w:val="124"/>
        </w:trPr>
        <w:tc>
          <w:tcPr>
            <w:tcW w:w="3299" w:type="pct"/>
            <w:tcBorders>
              <w:top w:val="nil"/>
              <w:left w:val="nil"/>
              <w:bottom w:val="nil"/>
              <w:right w:val="nil"/>
            </w:tcBorders>
            <w:noWrap/>
            <w:vAlign w:val="bottom"/>
          </w:tcPr>
          <w:p w14:paraId="20B08D34" w14:textId="77777777" w:rsidR="002123A3" w:rsidRPr="00471CBA" w:rsidRDefault="002123A3" w:rsidP="002123A3">
            <w:pPr>
              <w:jc w:val="both"/>
              <w:rPr>
                <w:b/>
                <w:szCs w:val="20"/>
              </w:rPr>
            </w:pPr>
            <w:r w:rsidRPr="00471CBA">
              <w:rPr>
                <w:b/>
                <w:szCs w:val="20"/>
              </w:rPr>
              <w:t>Nakit</w:t>
            </w:r>
          </w:p>
        </w:tc>
        <w:tc>
          <w:tcPr>
            <w:tcW w:w="851" w:type="pct"/>
            <w:tcBorders>
              <w:top w:val="nil"/>
              <w:left w:val="nil"/>
              <w:bottom w:val="nil"/>
              <w:right w:val="nil"/>
            </w:tcBorders>
            <w:vAlign w:val="center"/>
          </w:tcPr>
          <w:p w14:paraId="3025D377" w14:textId="24687F7A" w:rsidR="002123A3" w:rsidRPr="00471CBA" w:rsidRDefault="002123A3" w:rsidP="002123A3">
            <w:pPr>
              <w:jc w:val="right"/>
              <w:rPr>
                <w:b/>
                <w:bCs/>
                <w:szCs w:val="20"/>
              </w:rPr>
            </w:pPr>
            <w:r w:rsidRPr="00471CBA">
              <w:rPr>
                <w:b/>
                <w:bCs/>
                <w:color w:val="000000"/>
                <w:szCs w:val="20"/>
              </w:rPr>
              <w:t>13.122.772</w:t>
            </w:r>
          </w:p>
        </w:tc>
        <w:tc>
          <w:tcPr>
            <w:tcW w:w="850" w:type="pct"/>
            <w:tcBorders>
              <w:top w:val="nil"/>
              <w:left w:val="nil"/>
              <w:bottom w:val="nil"/>
              <w:right w:val="nil"/>
            </w:tcBorders>
            <w:vAlign w:val="center"/>
          </w:tcPr>
          <w:p w14:paraId="0CE6068A" w14:textId="57EF42E9" w:rsidR="002123A3" w:rsidRPr="00471CBA" w:rsidRDefault="002123A3" w:rsidP="002123A3">
            <w:pPr>
              <w:jc w:val="right"/>
              <w:rPr>
                <w:b/>
                <w:bCs/>
                <w:color w:val="000000"/>
                <w:szCs w:val="20"/>
              </w:rPr>
            </w:pPr>
            <w:r w:rsidRPr="00471CBA">
              <w:rPr>
                <w:b/>
                <w:bCs/>
                <w:color w:val="000000"/>
                <w:szCs w:val="20"/>
              </w:rPr>
              <w:t>2.616.774</w:t>
            </w:r>
          </w:p>
        </w:tc>
      </w:tr>
      <w:tr w:rsidR="002123A3" w:rsidRPr="00471CBA" w14:paraId="3C414FD0" w14:textId="6F958E08" w:rsidTr="004449D3">
        <w:trPr>
          <w:trHeight w:val="124"/>
        </w:trPr>
        <w:tc>
          <w:tcPr>
            <w:tcW w:w="3299" w:type="pct"/>
            <w:tcBorders>
              <w:top w:val="nil"/>
              <w:left w:val="nil"/>
              <w:bottom w:val="nil"/>
              <w:right w:val="nil"/>
            </w:tcBorders>
            <w:noWrap/>
            <w:vAlign w:val="bottom"/>
          </w:tcPr>
          <w:p w14:paraId="2A1908AE" w14:textId="77777777" w:rsidR="002123A3" w:rsidRPr="00471CBA" w:rsidRDefault="002123A3" w:rsidP="002123A3">
            <w:pPr>
              <w:jc w:val="both"/>
              <w:rPr>
                <w:szCs w:val="20"/>
              </w:rPr>
            </w:pPr>
            <w:r w:rsidRPr="00471CBA">
              <w:rPr>
                <w:szCs w:val="20"/>
              </w:rPr>
              <w:t xml:space="preserve">Kasa ve efektif deposu </w:t>
            </w:r>
          </w:p>
        </w:tc>
        <w:tc>
          <w:tcPr>
            <w:tcW w:w="851" w:type="pct"/>
            <w:tcBorders>
              <w:top w:val="nil"/>
              <w:left w:val="nil"/>
              <w:bottom w:val="nil"/>
              <w:right w:val="nil"/>
            </w:tcBorders>
            <w:vAlign w:val="center"/>
          </w:tcPr>
          <w:p w14:paraId="1D6EBC7A" w14:textId="0117B659" w:rsidR="002123A3" w:rsidRPr="00471CBA" w:rsidRDefault="002123A3" w:rsidP="002123A3">
            <w:pPr>
              <w:jc w:val="right"/>
              <w:rPr>
                <w:bCs/>
                <w:szCs w:val="20"/>
              </w:rPr>
            </w:pPr>
            <w:r w:rsidRPr="00471CBA">
              <w:rPr>
                <w:color w:val="000000"/>
                <w:szCs w:val="20"/>
              </w:rPr>
              <w:t>2.834.465</w:t>
            </w:r>
          </w:p>
        </w:tc>
        <w:tc>
          <w:tcPr>
            <w:tcW w:w="850" w:type="pct"/>
            <w:tcBorders>
              <w:top w:val="nil"/>
              <w:left w:val="nil"/>
              <w:bottom w:val="nil"/>
              <w:right w:val="nil"/>
            </w:tcBorders>
            <w:vAlign w:val="center"/>
          </w:tcPr>
          <w:p w14:paraId="5776C80F" w14:textId="05BB3752" w:rsidR="002123A3" w:rsidRPr="00471CBA" w:rsidRDefault="002123A3" w:rsidP="002123A3">
            <w:pPr>
              <w:jc w:val="right"/>
              <w:rPr>
                <w:color w:val="000000"/>
                <w:szCs w:val="20"/>
              </w:rPr>
            </w:pPr>
            <w:r w:rsidRPr="00471CBA">
              <w:rPr>
                <w:color w:val="000000"/>
                <w:szCs w:val="20"/>
              </w:rPr>
              <w:t>527.548</w:t>
            </w:r>
          </w:p>
        </w:tc>
      </w:tr>
      <w:tr w:rsidR="002123A3" w:rsidRPr="00471CBA" w14:paraId="21948848" w14:textId="02E5CABC" w:rsidTr="004449D3">
        <w:trPr>
          <w:trHeight w:val="124"/>
        </w:trPr>
        <w:tc>
          <w:tcPr>
            <w:tcW w:w="3299" w:type="pct"/>
            <w:tcBorders>
              <w:top w:val="nil"/>
              <w:left w:val="nil"/>
              <w:bottom w:val="nil"/>
              <w:right w:val="nil"/>
            </w:tcBorders>
            <w:noWrap/>
            <w:vAlign w:val="bottom"/>
          </w:tcPr>
          <w:p w14:paraId="309FC0F2" w14:textId="77777777" w:rsidR="002123A3" w:rsidRPr="00471CBA" w:rsidRDefault="002123A3" w:rsidP="002123A3">
            <w:pPr>
              <w:jc w:val="both"/>
              <w:rPr>
                <w:szCs w:val="20"/>
              </w:rPr>
            </w:pPr>
            <w:r w:rsidRPr="00471CBA">
              <w:rPr>
                <w:szCs w:val="20"/>
              </w:rPr>
              <w:t>Yoldaki paralar</w:t>
            </w:r>
          </w:p>
        </w:tc>
        <w:tc>
          <w:tcPr>
            <w:tcW w:w="851" w:type="pct"/>
            <w:tcBorders>
              <w:top w:val="nil"/>
              <w:left w:val="nil"/>
              <w:bottom w:val="nil"/>
              <w:right w:val="nil"/>
            </w:tcBorders>
            <w:vAlign w:val="center"/>
          </w:tcPr>
          <w:p w14:paraId="7BB9CA58" w14:textId="6B8B4C43" w:rsidR="002123A3" w:rsidRPr="00471CBA" w:rsidRDefault="002123A3" w:rsidP="002123A3">
            <w:pPr>
              <w:jc w:val="right"/>
              <w:rPr>
                <w:bCs/>
                <w:szCs w:val="20"/>
              </w:rPr>
            </w:pPr>
            <w:r w:rsidRPr="00471CBA">
              <w:rPr>
                <w:color w:val="000000"/>
                <w:szCs w:val="20"/>
              </w:rPr>
              <w:t>424.908</w:t>
            </w:r>
          </w:p>
        </w:tc>
        <w:tc>
          <w:tcPr>
            <w:tcW w:w="850" w:type="pct"/>
            <w:tcBorders>
              <w:top w:val="nil"/>
              <w:left w:val="nil"/>
              <w:bottom w:val="nil"/>
              <w:right w:val="nil"/>
            </w:tcBorders>
            <w:vAlign w:val="center"/>
          </w:tcPr>
          <w:p w14:paraId="449F3542" w14:textId="371B11D7" w:rsidR="002123A3" w:rsidRPr="00471CBA" w:rsidRDefault="001D7220" w:rsidP="002123A3">
            <w:pPr>
              <w:jc w:val="right"/>
              <w:rPr>
                <w:color w:val="000000"/>
                <w:szCs w:val="20"/>
              </w:rPr>
            </w:pPr>
            <w:r>
              <w:rPr>
                <w:color w:val="000000"/>
                <w:szCs w:val="20"/>
              </w:rPr>
              <w:t>-</w:t>
            </w:r>
          </w:p>
        </w:tc>
      </w:tr>
      <w:tr w:rsidR="002123A3" w:rsidRPr="00471CBA" w14:paraId="55778596" w14:textId="2ACB1034" w:rsidTr="004449D3">
        <w:trPr>
          <w:trHeight w:val="124"/>
        </w:trPr>
        <w:tc>
          <w:tcPr>
            <w:tcW w:w="3299" w:type="pct"/>
            <w:tcBorders>
              <w:top w:val="nil"/>
              <w:left w:val="nil"/>
              <w:bottom w:val="nil"/>
              <w:right w:val="nil"/>
            </w:tcBorders>
            <w:noWrap/>
            <w:vAlign w:val="bottom"/>
          </w:tcPr>
          <w:p w14:paraId="5A3D04CD" w14:textId="77777777" w:rsidR="002123A3" w:rsidRPr="00471CBA" w:rsidRDefault="002123A3" w:rsidP="002123A3">
            <w:pPr>
              <w:jc w:val="both"/>
              <w:rPr>
                <w:szCs w:val="20"/>
              </w:rPr>
            </w:pPr>
            <w:r w:rsidRPr="00471CBA">
              <w:rPr>
                <w:szCs w:val="20"/>
              </w:rPr>
              <w:t>T.C. Merkez Bankası</w:t>
            </w:r>
          </w:p>
        </w:tc>
        <w:tc>
          <w:tcPr>
            <w:tcW w:w="851" w:type="pct"/>
            <w:tcBorders>
              <w:top w:val="nil"/>
              <w:left w:val="nil"/>
              <w:bottom w:val="nil"/>
              <w:right w:val="nil"/>
            </w:tcBorders>
            <w:vAlign w:val="center"/>
          </w:tcPr>
          <w:p w14:paraId="71EE13B9" w14:textId="39C42059" w:rsidR="002123A3" w:rsidRPr="00471CBA" w:rsidRDefault="002123A3" w:rsidP="002123A3">
            <w:pPr>
              <w:jc w:val="right"/>
              <w:rPr>
                <w:bCs/>
                <w:szCs w:val="20"/>
              </w:rPr>
            </w:pPr>
            <w:r w:rsidRPr="00471CBA">
              <w:rPr>
                <w:color w:val="000000"/>
                <w:szCs w:val="20"/>
              </w:rPr>
              <w:t>9.863.399</w:t>
            </w:r>
          </w:p>
        </w:tc>
        <w:tc>
          <w:tcPr>
            <w:tcW w:w="850" w:type="pct"/>
            <w:tcBorders>
              <w:top w:val="nil"/>
              <w:left w:val="nil"/>
              <w:bottom w:val="nil"/>
              <w:right w:val="nil"/>
            </w:tcBorders>
            <w:vAlign w:val="center"/>
          </w:tcPr>
          <w:p w14:paraId="4B396299" w14:textId="3419D412" w:rsidR="002123A3" w:rsidRPr="00471CBA" w:rsidRDefault="002123A3" w:rsidP="002123A3">
            <w:pPr>
              <w:jc w:val="right"/>
              <w:rPr>
                <w:color w:val="000000"/>
                <w:szCs w:val="20"/>
              </w:rPr>
            </w:pPr>
            <w:r w:rsidRPr="00471CBA">
              <w:rPr>
                <w:color w:val="000000"/>
                <w:szCs w:val="20"/>
              </w:rPr>
              <w:t>2.089.226</w:t>
            </w:r>
          </w:p>
        </w:tc>
      </w:tr>
      <w:tr w:rsidR="002123A3" w:rsidRPr="00471CBA" w14:paraId="6AEEA6F3" w14:textId="73885AE6" w:rsidTr="004449D3">
        <w:trPr>
          <w:trHeight w:val="124"/>
        </w:trPr>
        <w:tc>
          <w:tcPr>
            <w:tcW w:w="3299" w:type="pct"/>
            <w:tcBorders>
              <w:top w:val="nil"/>
              <w:left w:val="nil"/>
              <w:bottom w:val="nil"/>
              <w:right w:val="nil"/>
            </w:tcBorders>
            <w:noWrap/>
            <w:vAlign w:val="bottom"/>
          </w:tcPr>
          <w:p w14:paraId="654C9C30" w14:textId="77777777" w:rsidR="002123A3" w:rsidRPr="00471CBA" w:rsidRDefault="002123A3" w:rsidP="002123A3">
            <w:pPr>
              <w:jc w:val="both"/>
              <w:rPr>
                <w:b/>
                <w:szCs w:val="20"/>
              </w:rPr>
            </w:pPr>
            <w:r w:rsidRPr="00471CBA">
              <w:rPr>
                <w:b/>
                <w:szCs w:val="20"/>
              </w:rPr>
              <w:t>Nakde eşdeğer varlıklar</w:t>
            </w:r>
          </w:p>
        </w:tc>
        <w:tc>
          <w:tcPr>
            <w:tcW w:w="851" w:type="pct"/>
            <w:tcBorders>
              <w:top w:val="nil"/>
              <w:left w:val="nil"/>
              <w:bottom w:val="nil"/>
              <w:right w:val="nil"/>
            </w:tcBorders>
            <w:vAlign w:val="center"/>
          </w:tcPr>
          <w:p w14:paraId="4710CF54" w14:textId="5FEAFDBC" w:rsidR="002123A3" w:rsidRPr="00471CBA" w:rsidRDefault="002123A3" w:rsidP="002123A3">
            <w:pPr>
              <w:jc w:val="right"/>
              <w:rPr>
                <w:b/>
                <w:bCs/>
                <w:szCs w:val="20"/>
              </w:rPr>
            </w:pPr>
            <w:r w:rsidRPr="00471CBA">
              <w:rPr>
                <w:b/>
                <w:bCs/>
                <w:color w:val="000000"/>
                <w:szCs w:val="20"/>
              </w:rPr>
              <w:t>7.889.447</w:t>
            </w:r>
          </w:p>
        </w:tc>
        <w:tc>
          <w:tcPr>
            <w:tcW w:w="850" w:type="pct"/>
            <w:tcBorders>
              <w:top w:val="nil"/>
              <w:left w:val="nil"/>
              <w:bottom w:val="nil"/>
              <w:right w:val="nil"/>
            </w:tcBorders>
            <w:vAlign w:val="center"/>
          </w:tcPr>
          <w:p w14:paraId="51142928" w14:textId="5514F701" w:rsidR="002123A3" w:rsidRPr="00471CBA" w:rsidRDefault="002123A3" w:rsidP="002123A3">
            <w:pPr>
              <w:jc w:val="right"/>
              <w:rPr>
                <w:b/>
                <w:bCs/>
                <w:color w:val="000000"/>
                <w:szCs w:val="20"/>
              </w:rPr>
            </w:pPr>
            <w:r w:rsidRPr="00471CBA">
              <w:rPr>
                <w:b/>
                <w:bCs/>
                <w:color w:val="000000"/>
                <w:szCs w:val="20"/>
              </w:rPr>
              <w:t>4.411.073</w:t>
            </w:r>
          </w:p>
        </w:tc>
      </w:tr>
      <w:tr w:rsidR="002123A3" w:rsidRPr="00471CBA" w14:paraId="62CB4DDA" w14:textId="0D7BCA43" w:rsidTr="004449D3">
        <w:trPr>
          <w:trHeight w:val="124"/>
        </w:trPr>
        <w:tc>
          <w:tcPr>
            <w:tcW w:w="3299" w:type="pct"/>
            <w:tcBorders>
              <w:top w:val="nil"/>
              <w:left w:val="nil"/>
              <w:bottom w:val="nil"/>
              <w:right w:val="nil"/>
            </w:tcBorders>
            <w:noWrap/>
            <w:vAlign w:val="bottom"/>
          </w:tcPr>
          <w:p w14:paraId="6087A585" w14:textId="77777777" w:rsidR="002123A3" w:rsidRPr="00471CBA" w:rsidRDefault="002123A3" w:rsidP="002123A3">
            <w:pPr>
              <w:jc w:val="both"/>
              <w:rPr>
                <w:szCs w:val="20"/>
              </w:rPr>
            </w:pPr>
            <w:r w:rsidRPr="00471CBA">
              <w:rPr>
                <w:szCs w:val="20"/>
              </w:rPr>
              <w:t xml:space="preserve">Yurtiçi bankalar </w:t>
            </w:r>
          </w:p>
        </w:tc>
        <w:tc>
          <w:tcPr>
            <w:tcW w:w="851" w:type="pct"/>
            <w:tcBorders>
              <w:top w:val="nil"/>
              <w:left w:val="nil"/>
              <w:bottom w:val="nil"/>
              <w:right w:val="nil"/>
            </w:tcBorders>
            <w:vAlign w:val="center"/>
          </w:tcPr>
          <w:p w14:paraId="4EE5D939" w14:textId="6CCF94DF" w:rsidR="002123A3" w:rsidRPr="00471CBA" w:rsidRDefault="002123A3" w:rsidP="002123A3">
            <w:pPr>
              <w:jc w:val="right"/>
              <w:rPr>
                <w:bCs/>
                <w:szCs w:val="20"/>
              </w:rPr>
            </w:pPr>
            <w:r w:rsidRPr="00471CBA">
              <w:rPr>
                <w:color w:val="000000"/>
                <w:szCs w:val="20"/>
              </w:rPr>
              <w:t>2.582.151</w:t>
            </w:r>
          </w:p>
        </w:tc>
        <w:tc>
          <w:tcPr>
            <w:tcW w:w="850" w:type="pct"/>
            <w:tcBorders>
              <w:top w:val="nil"/>
              <w:left w:val="nil"/>
              <w:bottom w:val="nil"/>
              <w:right w:val="nil"/>
            </w:tcBorders>
            <w:vAlign w:val="center"/>
          </w:tcPr>
          <w:p w14:paraId="610B20F0" w14:textId="728F2492" w:rsidR="002123A3" w:rsidRPr="00471CBA" w:rsidRDefault="002123A3" w:rsidP="002123A3">
            <w:pPr>
              <w:jc w:val="right"/>
              <w:rPr>
                <w:color w:val="000000"/>
                <w:szCs w:val="20"/>
              </w:rPr>
            </w:pPr>
            <w:r w:rsidRPr="00471CBA">
              <w:rPr>
                <w:color w:val="000000"/>
                <w:szCs w:val="20"/>
              </w:rPr>
              <w:t>3.344.020</w:t>
            </w:r>
          </w:p>
        </w:tc>
      </w:tr>
      <w:tr w:rsidR="002123A3" w:rsidRPr="00471CBA" w14:paraId="0547A24A" w14:textId="02FB84A9" w:rsidTr="004449D3">
        <w:trPr>
          <w:trHeight w:val="124"/>
        </w:trPr>
        <w:tc>
          <w:tcPr>
            <w:tcW w:w="3299" w:type="pct"/>
            <w:tcBorders>
              <w:top w:val="nil"/>
              <w:left w:val="nil"/>
              <w:bottom w:val="nil"/>
              <w:right w:val="nil"/>
            </w:tcBorders>
            <w:noWrap/>
            <w:vAlign w:val="bottom"/>
          </w:tcPr>
          <w:p w14:paraId="2C767E7C" w14:textId="77777777" w:rsidR="002123A3" w:rsidRPr="00471CBA" w:rsidRDefault="002123A3" w:rsidP="002123A3">
            <w:pPr>
              <w:jc w:val="both"/>
              <w:rPr>
                <w:szCs w:val="20"/>
              </w:rPr>
            </w:pPr>
            <w:r w:rsidRPr="00471CBA">
              <w:rPr>
                <w:szCs w:val="20"/>
              </w:rPr>
              <w:t>Yurtdışı bankalar</w:t>
            </w:r>
          </w:p>
        </w:tc>
        <w:tc>
          <w:tcPr>
            <w:tcW w:w="851" w:type="pct"/>
            <w:tcBorders>
              <w:top w:val="nil"/>
              <w:left w:val="nil"/>
              <w:bottom w:val="nil"/>
              <w:right w:val="nil"/>
            </w:tcBorders>
            <w:vAlign w:val="center"/>
          </w:tcPr>
          <w:p w14:paraId="58DF302A" w14:textId="20195D88" w:rsidR="002123A3" w:rsidRPr="00471CBA" w:rsidRDefault="002123A3" w:rsidP="002123A3">
            <w:pPr>
              <w:jc w:val="right"/>
              <w:rPr>
                <w:bCs/>
                <w:szCs w:val="20"/>
              </w:rPr>
            </w:pPr>
            <w:r w:rsidRPr="00471CBA">
              <w:rPr>
                <w:color w:val="000000"/>
                <w:szCs w:val="20"/>
              </w:rPr>
              <w:t>5.307.296</w:t>
            </w:r>
          </w:p>
        </w:tc>
        <w:tc>
          <w:tcPr>
            <w:tcW w:w="850" w:type="pct"/>
            <w:tcBorders>
              <w:top w:val="nil"/>
              <w:left w:val="nil"/>
              <w:bottom w:val="nil"/>
              <w:right w:val="nil"/>
            </w:tcBorders>
            <w:vAlign w:val="center"/>
          </w:tcPr>
          <w:p w14:paraId="061D0956" w14:textId="0825ECB9" w:rsidR="002123A3" w:rsidRPr="00471CBA" w:rsidRDefault="002123A3" w:rsidP="002123A3">
            <w:pPr>
              <w:jc w:val="right"/>
              <w:rPr>
                <w:color w:val="000000"/>
                <w:szCs w:val="20"/>
              </w:rPr>
            </w:pPr>
            <w:r w:rsidRPr="00471CBA">
              <w:rPr>
                <w:color w:val="000000"/>
                <w:szCs w:val="20"/>
              </w:rPr>
              <w:t>1.067.053</w:t>
            </w:r>
          </w:p>
        </w:tc>
      </w:tr>
      <w:tr w:rsidR="002123A3" w:rsidRPr="00471CBA" w14:paraId="3120D0C7" w14:textId="22FBD5BA" w:rsidTr="004449D3">
        <w:trPr>
          <w:trHeight w:val="124"/>
        </w:trPr>
        <w:tc>
          <w:tcPr>
            <w:tcW w:w="3299" w:type="pct"/>
            <w:tcBorders>
              <w:top w:val="nil"/>
              <w:left w:val="nil"/>
              <w:bottom w:val="single" w:sz="4" w:space="0" w:color="auto"/>
              <w:right w:val="nil"/>
            </w:tcBorders>
            <w:noWrap/>
            <w:vAlign w:val="bottom"/>
          </w:tcPr>
          <w:p w14:paraId="28299AFF" w14:textId="77777777" w:rsidR="002123A3" w:rsidRPr="00471CBA" w:rsidRDefault="002123A3" w:rsidP="002123A3">
            <w:pPr>
              <w:jc w:val="both"/>
              <w:rPr>
                <w:szCs w:val="20"/>
              </w:rPr>
            </w:pPr>
          </w:p>
        </w:tc>
        <w:tc>
          <w:tcPr>
            <w:tcW w:w="851" w:type="pct"/>
            <w:tcBorders>
              <w:top w:val="nil"/>
              <w:left w:val="nil"/>
              <w:bottom w:val="single" w:sz="4" w:space="0" w:color="auto"/>
              <w:right w:val="nil"/>
            </w:tcBorders>
            <w:vAlign w:val="center"/>
          </w:tcPr>
          <w:p w14:paraId="5F2BDF42" w14:textId="707383AB" w:rsidR="002123A3" w:rsidRPr="00471CBA" w:rsidRDefault="002123A3" w:rsidP="002123A3">
            <w:pPr>
              <w:jc w:val="right"/>
              <w:rPr>
                <w:bCs/>
                <w:szCs w:val="20"/>
              </w:rPr>
            </w:pPr>
            <w:r w:rsidRPr="00471CBA">
              <w:rPr>
                <w:color w:val="000000"/>
                <w:szCs w:val="20"/>
              </w:rPr>
              <w:t> </w:t>
            </w:r>
          </w:p>
        </w:tc>
        <w:tc>
          <w:tcPr>
            <w:tcW w:w="850" w:type="pct"/>
            <w:tcBorders>
              <w:top w:val="nil"/>
              <w:left w:val="nil"/>
              <w:bottom w:val="single" w:sz="4" w:space="0" w:color="auto"/>
              <w:right w:val="nil"/>
            </w:tcBorders>
            <w:vAlign w:val="center"/>
          </w:tcPr>
          <w:p w14:paraId="324314DB" w14:textId="1A8F292A" w:rsidR="002123A3" w:rsidRPr="00471CBA" w:rsidRDefault="002123A3" w:rsidP="002123A3">
            <w:pPr>
              <w:jc w:val="right"/>
              <w:rPr>
                <w:color w:val="000000"/>
                <w:szCs w:val="20"/>
              </w:rPr>
            </w:pPr>
            <w:r w:rsidRPr="00471CBA">
              <w:rPr>
                <w:bCs/>
                <w:color w:val="000000"/>
                <w:szCs w:val="20"/>
              </w:rPr>
              <w:t> </w:t>
            </w:r>
          </w:p>
        </w:tc>
      </w:tr>
      <w:tr w:rsidR="002123A3" w:rsidRPr="00471CBA" w14:paraId="593602DF" w14:textId="5283ED69" w:rsidTr="004449D3">
        <w:trPr>
          <w:trHeight w:val="124"/>
        </w:trPr>
        <w:tc>
          <w:tcPr>
            <w:tcW w:w="3299" w:type="pct"/>
            <w:tcBorders>
              <w:top w:val="single" w:sz="4" w:space="0" w:color="auto"/>
              <w:left w:val="nil"/>
              <w:bottom w:val="single" w:sz="12" w:space="0" w:color="auto"/>
              <w:right w:val="nil"/>
            </w:tcBorders>
            <w:noWrap/>
            <w:vAlign w:val="bottom"/>
          </w:tcPr>
          <w:p w14:paraId="52F6280D" w14:textId="77777777" w:rsidR="002123A3" w:rsidRPr="00471CBA" w:rsidRDefault="002123A3" w:rsidP="002123A3">
            <w:pPr>
              <w:jc w:val="both"/>
              <w:rPr>
                <w:b/>
                <w:bCs/>
                <w:szCs w:val="20"/>
              </w:rPr>
            </w:pPr>
            <w:r w:rsidRPr="00471CBA">
              <w:rPr>
                <w:b/>
                <w:bCs/>
                <w:szCs w:val="20"/>
              </w:rPr>
              <w:t>Toplam nakit ve nakde eşdeğer varlıklar</w:t>
            </w:r>
          </w:p>
        </w:tc>
        <w:tc>
          <w:tcPr>
            <w:tcW w:w="851" w:type="pct"/>
            <w:tcBorders>
              <w:top w:val="single" w:sz="4" w:space="0" w:color="auto"/>
              <w:left w:val="nil"/>
              <w:bottom w:val="single" w:sz="12" w:space="0" w:color="auto"/>
              <w:right w:val="nil"/>
            </w:tcBorders>
            <w:vAlign w:val="center"/>
          </w:tcPr>
          <w:p w14:paraId="486B58AF" w14:textId="6815D672" w:rsidR="002123A3" w:rsidRPr="00471CBA" w:rsidRDefault="002123A3" w:rsidP="002123A3">
            <w:pPr>
              <w:jc w:val="right"/>
              <w:rPr>
                <w:b/>
                <w:bCs/>
                <w:szCs w:val="20"/>
              </w:rPr>
            </w:pPr>
            <w:r w:rsidRPr="00471CBA">
              <w:rPr>
                <w:b/>
                <w:bCs/>
                <w:color w:val="000000"/>
                <w:szCs w:val="20"/>
              </w:rPr>
              <w:t>21.012.219</w:t>
            </w:r>
          </w:p>
        </w:tc>
        <w:tc>
          <w:tcPr>
            <w:tcW w:w="850" w:type="pct"/>
            <w:tcBorders>
              <w:top w:val="single" w:sz="4" w:space="0" w:color="auto"/>
              <w:left w:val="nil"/>
              <w:bottom w:val="single" w:sz="12" w:space="0" w:color="auto"/>
              <w:right w:val="nil"/>
            </w:tcBorders>
            <w:vAlign w:val="center"/>
          </w:tcPr>
          <w:p w14:paraId="2A37C128" w14:textId="28D0C5AF" w:rsidR="002123A3" w:rsidRPr="00471CBA" w:rsidRDefault="002123A3" w:rsidP="002123A3">
            <w:pPr>
              <w:jc w:val="right"/>
              <w:rPr>
                <w:b/>
                <w:bCs/>
                <w:color w:val="000000"/>
                <w:szCs w:val="20"/>
              </w:rPr>
            </w:pPr>
            <w:r w:rsidRPr="00471CBA">
              <w:rPr>
                <w:b/>
                <w:bCs/>
                <w:color w:val="000000"/>
                <w:szCs w:val="20"/>
              </w:rPr>
              <w:t>7.027.847</w:t>
            </w:r>
          </w:p>
        </w:tc>
      </w:tr>
    </w:tbl>
    <w:bookmarkEnd w:id="169"/>
    <w:p w14:paraId="081901ED" w14:textId="77777777" w:rsidR="007322D9" w:rsidRPr="00471CBA" w:rsidRDefault="007322D9" w:rsidP="007322D9">
      <w:pPr>
        <w:spacing w:before="120"/>
        <w:ind w:left="567" w:right="6" w:hanging="567"/>
        <w:jc w:val="both"/>
        <w:rPr>
          <w:b/>
          <w:szCs w:val="20"/>
        </w:rPr>
      </w:pPr>
      <w:r w:rsidRPr="00471CBA">
        <w:rPr>
          <w:b/>
          <w:szCs w:val="20"/>
        </w:rPr>
        <w:t xml:space="preserve">2. </w:t>
      </w:r>
      <w:r w:rsidRPr="00471CBA">
        <w:rPr>
          <w:b/>
          <w:szCs w:val="20"/>
        </w:rPr>
        <w:tab/>
        <w:t xml:space="preserve">Banka’nın elinde bulunan ancak, yasal sınırlamalar veya diğer nedenlerle Banka’nın serbest kullanımında olmayan nakit ve nakde eşdeğer varlık mevcuduna ilişkin bilgi: </w:t>
      </w:r>
    </w:p>
    <w:p w14:paraId="426B9D91" w14:textId="77777777" w:rsidR="007322D9" w:rsidRPr="00471CBA" w:rsidRDefault="007322D9" w:rsidP="007322D9">
      <w:pPr>
        <w:autoSpaceDE w:val="0"/>
        <w:autoSpaceDN w:val="0"/>
        <w:adjustRightInd w:val="0"/>
        <w:spacing w:before="120"/>
        <w:ind w:left="567" w:right="6"/>
        <w:jc w:val="both"/>
        <w:rPr>
          <w:szCs w:val="20"/>
        </w:rPr>
      </w:pPr>
      <w:r w:rsidRPr="00471CBA">
        <w:rPr>
          <w:szCs w:val="20"/>
        </w:rPr>
        <w:t>Merkez Bankası nezdinde tutulan vadeli serbest olmayan hesaplar nakit ve nakde eşdeğer varlık olarak nitelendirilmemektedir.</w:t>
      </w:r>
    </w:p>
    <w:p w14:paraId="35888D8E" w14:textId="77777777" w:rsidR="007322D9" w:rsidRPr="00471CBA" w:rsidRDefault="007322D9" w:rsidP="007322D9">
      <w:r w:rsidRPr="00471CBA">
        <w:br w:type="page"/>
      </w:r>
    </w:p>
    <w:p w14:paraId="653FBF4F" w14:textId="77777777" w:rsidR="00402714" w:rsidRPr="00471CBA" w:rsidRDefault="00402714" w:rsidP="00402714">
      <w:pPr>
        <w:widowControl w:val="0"/>
        <w:spacing w:line="214" w:lineRule="auto"/>
        <w:ind w:left="720" w:hanging="720"/>
        <w:jc w:val="both"/>
        <w:rPr>
          <w:b/>
          <w:szCs w:val="20"/>
        </w:rPr>
      </w:pPr>
      <w:r w:rsidRPr="00471CBA">
        <w:rPr>
          <w:b/>
          <w:szCs w:val="20"/>
        </w:rPr>
        <w:t>KONSOLİDE OLMAYAN FİNANSAL TABLOLARA İLİŞKİN AÇIKLAMA VE DİPNOTLAR (Devamı)</w:t>
      </w:r>
    </w:p>
    <w:p w14:paraId="534DA856" w14:textId="77777777" w:rsidR="00402714" w:rsidRPr="00471CBA" w:rsidRDefault="00402714" w:rsidP="007322D9">
      <w:pPr>
        <w:rPr>
          <w:b/>
          <w:iCs/>
          <w:sz w:val="14"/>
          <w:szCs w:val="14"/>
        </w:rPr>
      </w:pPr>
    </w:p>
    <w:p w14:paraId="52AB5E2C" w14:textId="540161BF" w:rsidR="007322D9" w:rsidRPr="00471CBA" w:rsidRDefault="007322D9" w:rsidP="007322D9">
      <w:pPr>
        <w:rPr>
          <w:b/>
          <w:iCs/>
          <w:szCs w:val="20"/>
        </w:rPr>
      </w:pPr>
      <w:r w:rsidRPr="00471CBA">
        <w:rPr>
          <w:b/>
          <w:iCs/>
          <w:szCs w:val="20"/>
        </w:rPr>
        <w:t>VI.</w:t>
      </w:r>
      <w:r w:rsidRPr="00471CBA">
        <w:rPr>
          <w:b/>
          <w:iCs/>
          <w:szCs w:val="20"/>
        </w:rPr>
        <w:tab/>
        <w:t>NAKİT AKIŞ TABLOSUNA İLİŞKİN AÇIKLAMA VE DİPNOTLAR</w:t>
      </w:r>
      <w:r w:rsidR="00FF31EA">
        <w:rPr>
          <w:b/>
          <w:iCs/>
          <w:szCs w:val="20"/>
        </w:rPr>
        <w:t xml:space="preserve"> (Devamı)</w:t>
      </w:r>
    </w:p>
    <w:p w14:paraId="134892CE" w14:textId="77777777" w:rsidR="007322D9" w:rsidRPr="00471CBA" w:rsidRDefault="007322D9" w:rsidP="007322D9">
      <w:pPr>
        <w:pStyle w:val="ListeParagraf"/>
        <w:spacing w:before="120"/>
        <w:ind w:left="567" w:right="6" w:hanging="567"/>
        <w:jc w:val="both"/>
        <w:rPr>
          <w:b/>
          <w:szCs w:val="20"/>
        </w:rPr>
      </w:pPr>
      <w:r w:rsidRPr="00471CBA">
        <w:rPr>
          <w:b/>
          <w:szCs w:val="20"/>
        </w:rPr>
        <w:t>3.</w:t>
      </w:r>
      <w:r w:rsidRPr="00471CBA">
        <w:rPr>
          <w:b/>
          <w:szCs w:val="20"/>
        </w:rPr>
        <w:tab/>
        <w:t xml:space="preserve">Nakit akış tablosunda yer alan diğer kalemleri ve döviz kurundaki değişimin nakit ve nakde eşdeğer varlıklar üzerindeki etkisi kalemine ilişkin açıklamalar: </w:t>
      </w:r>
    </w:p>
    <w:p w14:paraId="6234B3FD" w14:textId="56F67806" w:rsidR="007322D9" w:rsidRPr="00471CBA" w:rsidRDefault="007322D9" w:rsidP="007322D9">
      <w:pPr>
        <w:spacing w:before="120"/>
        <w:ind w:left="567" w:right="6"/>
        <w:jc w:val="both"/>
        <w:rPr>
          <w:sz w:val="19"/>
          <w:szCs w:val="19"/>
        </w:rPr>
      </w:pPr>
      <w:r w:rsidRPr="00471CBA">
        <w:rPr>
          <w:sz w:val="19"/>
          <w:szCs w:val="19"/>
        </w:rPr>
        <w:t xml:space="preserve">“Bankacılık faaliyet konusu varlık ve yükümlülüklerdeki değişim öncesi faaliyet kârı” içinde yer alan </w:t>
      </w:r>
      <w:r w:rsidRPr="00471CBA">
        <w:rPr>
          <w:sz w:val="19"/>
          <w:szCs w:val="19"/>
        </w:rPr>
        <w:br/>
      </w:r>
      <w:r w:rsidR="00B72D95" w:rsidRPr="00471CBA">
        <w:rPr>
          <w:sz w:val="19"/>
          <w:szCs w:val="19"/>
        </w:rPr>
        <w:t>(</w:t>
      </w:r>
      <w:r w:rsidR="00415FF1" w:rsidRPr="00471CBA">
        <w:rPr>
          <w:sz w:val="19"/>
          <w:szCs w:val="19"/>
        </w:rPr>
        <w:t>1.</w:t>
      </w:r>
      <w:r w:rsidR="00E92AE8">
        <w:rPr>
          <w:sz w:val="19"/>
          <w:szCs w:val="19"/>
        </w:rPr>
        <w:t>449</w:t>
      </w:r>
      <w:r w:rsidR="00415FF1" w:rsidRPr="00471CBA">
        <w:rPr>
          <w:sz w:val="19"/>
          <w:szCs w:val="19"/>
        </w:rPr>
        <w:t>.</w:t>
      </w:r>
      <w:r w:rsidR="00E92AE8">
        <w:rPr>
          <w:sz w:val="19"/>
          <w:szCs w:val="19"/>
        </w:rPr>
        <w:t>837</w:t>
      </w:r>
      <w:r w:rsidR="00B72D95" w:rsidRPr="00471CBA">
        <w:rPr>
          <w:sz w:val="19"/>
          <w:szCs w:val="19"/>
        </w:rPr>
        <w:t>)</w:t>
      </w:r>
      <w:r w:rsidRPr="00471CBA">
        <w:rPr>
          <w:sz w:val="19"/>
          <w:szCs w:val="19"/>
        </w:rPr>
        <w:t xml:space="preserve"> TL</w:t>
      </w:r>
      <w:r w:rsidR="00330390" w:rsidRPr="00471CBA">
        <w:rPr>
          <w:sz w:val="19"/>
          <w:szCs w:val="19"/>
        </w:rPr>
        <w:t xml:space="preserve"> (31 Aralık 2024: 791.966 TL)</w:t>
      </w:r>
      <w:r w:rsidRPr="00471CBA">
        <w:rPr>
          <w:sz w:val="19"/>
          <w:szCs w:val="19"/>
        </w:rPr>
        <w:t xml:space="preserve"> tutarındaki “Diğer” kalemi, esas olarak personel giderleri ve amortisman giderleri hariç diğer işletme giderlerinden oluşmaktadır. </w:t>
      </w:r>
    </w:p>
    <w:p w14:paraId="1AE9D1DF" w14:textId="4E3DAB42" w:rsidR="007322D9" w:rsidRPr="00471CBA" w:rsidRDefault="007322D9" w:rsidP="007322D9">
      <w:pPr>
        <w:spacing w:before="120"/>
        <w:ind w:left="567" w:right="6"/>
        <w:jc w:val="both"/>
        <w:rPr>
          <w:sz w:val="19"/>
          <w:szCs w:val="19"/>
        </w:rPr>
      </w:pPr>
      <w:r w:rsidRPr="00471CBA">
        <w:rPr>
          <w:sz w:val="19"/>
          <w:szCs w:val="19"/>
        </w:rPr>
        <w:t xml:space="preserve">“Bankacılık faaliyetleri konusu varlık ve yükümlülüklerdeki değişim” içinde yer alan </w:t>
      </w:r>
      <w:r w:rsidR="00E92AE8">
        <w:rPr>
          <w:sz w:val="19"/>
          <w:szCs w:val="19"/>
        </w:rPr>
        <w:t>2.946.105</w:t>
      </w:r>
      <w:r w:rsidRPr="00471CBA">
        <w:rPr>
          <w:sz w:val="19"/>
          <w:szCs w:val="19"/>
        </w:rPr>
        <w:t xml:space="preserve"> TL</w:t>
      </w:r>
      <w:r w:rsidR="00330390" w:rsidRPr="00471CBA">
        <w:rPr>
          <w:sz w:val="19"/>
          <w:szCs w:val="19"/>
        </w:rPr>
        <w:t xml:space="preserve"> (31 Aralık 2024: 879.920 TL)</w:t>
      </w:r>
      <w:r w:rsidRPr="00471CBA">
        <w:rPr>
          <w:sz w:val="19"/>
          <w:szCs w:val="19"/>
        </w:rPr>
        <w:t xml:space="preserve"> tutarındaki “Diğer borçlardaki net artış /azalış” kalemi muhtelif borçlar, diğer yabancı kaynaklar ve ödenecek vergi, resim, harç ve primlerdeki değişimlerden oluşmaktadır.</w:t>
      </w:r>
    </w:p>
    <w:p w14:paraId="17250D24" w14:textId="1F7F3686" w:rsidR="007322D9" w:rsidRPr="00471CBA" w:rsidRDefault="007322D9" w:rsidP="007322D9">
      <w:pPr>
        <w:autoSpaceDE w:val="0"/>
        <w:autoSpaceDN w:val="0"/>
        <w:adjustRightInd w:val="0"/>
        <w:spacing w:before="120" w:after="120"/>
        <w:ind w:left="567" w:right="6"/>
        <w:jc w:val="both"/>
        <w:rPr>
          <w:sz w:val="19"/>
          <w:szCs w:val="19"/>
        </w:rPr>
      </w:pPr>
      <w:r w:rsidRPr="00471CBA">
        <w:rPr>
          <w:sz w:val="19"/>
          <w:szCs w:val="19"/>
        </w:rPr>
        <w:t>Döviz kurundaki değişimin nakit ve nakde eş değer varlıklar üzerindeki etkisi 31 Aralık 202</w:t>
      </w:r>
      <w:r w:rsidR="00DA7205" w:rsidRPr="00471CBA">
        <w:rPr>
          <w:sz w:val="19"/>
          <w:szCs w:val="19"/>
        </w:rPr>
        <w:t>5</w:t>
      </w:r>
      <w:r w:rsidRPr="00471CBA">
        <w:rPr>
          <w:sz w:val="19"/>
          <w:szCs w:val="19"/>
        </w:rPr>
        <w:t xml:space="preserve"> tarihinde sona eren hesap döneminde yaklaşık </w:t>
      </w:r>
      <w:r w:rsidR="00B72D95" w:rsidRPr="00471CBA">
        <w:rPr>
          <w:sz w:val="19"/>
          <w:szCs w:val="19"/>
        </w:rPr>
        <w:t>1.630.</w:t>
      </w:r>
      <w:r w:rsidR="00E92AE8">
        <w:rPr>
          <w:sz w:val="19"/>
          <w:szCs w:val="19"/>
        </w:rPr>
        <w:t>120</w:t>
      </w:r>
      <w:r w:rsidRPr="00471CBA">
        <w:rPr>
          <w:sz w:val="19"/>
          <w:szCs w:val="19"/>
        </w:rPr>
        <w:t xml:space="preserve"> TL</w:t>
      </w:r>
      <w:r w:rsidR="00330390" w:rsidRPr="00471CBA">
        <w:rPr>
          <w:sz w:val="19"/>
          <w:szCs w:val="19"/>
        </w:rPr>
        <w:t xml:space="preserve"> (31 Aralık 2024:143.448 TL)</w:t>
      </w:r>
      <w:r w:rsidRPr="00471CBA">
        <w:rPr>
          <w:sz w:val="19"/>
          <w:szCs w:val="19"/>
        </w:rPr>
        <w:t xml:space="preserve"> olarak tespit edilmiştir.</w:t>
      </w:r>
    </w:p>
    <w:p w14:paraId="301693D3" w14:textId="29ADB8B6" w:rsidR="002152D0" w:rsidRPr="00471CBA" w:rsidRDefault="000F52B1" w:rsidP="008459A9">
      <w:pPr>
        <w:pStyle w:val="GvdeMetniGirintisi"/>
        <w:widowControl w:val="0"/>
        <w:numPr>
          <w:ilvl w:val="0"/>
          <w:numId w:val="106"/>
        </w:numPr>
        <w:ind w:left="851" w:right="206" w:hanging="851"/>
        <w:rPr>
          <w:b/>
          <w:iCs/>
          <w:szCs w:val="20"/>
        </w:rPr>
      </w:pPr>
      <w:bookmarkStart w:id="170" w:name="_Hlk188878248"/>
      <w:bookmarkEnd w:id="168"/>
      <w:r w:rsidRPr="00471CBA">
        <w:rPr>
          <w:b/>
          <w:iCs/>
          <w:szCs w:val="20"/>
        </w:rPr>
        <w:t>BANKA’NIN DAHİL OLDUĞU RİSK GRUBUNA İLİŞKİN AÇIKLAMALAR</w:t>
      </w:r>
    </w:p>
    <w:p w14:paraId="714322A8" w14:textId="77777777" w:rsidR="002152D0" w:rsidRPr="00471CBA" w:rsidRDefault="002152D0" w:rsidP="000A320F">
      <w:pPr>
        <w:spacing w:before="120" w:after="60"/>
        <w:ind w:left="851" w:hanging="851"/>
        <w:jc w:val="both"/>
        <w:rPr>
          <w:b/>
          <w:szCs w:val="20"/>
        </w:rPr>
      </w:pPr>
      <w:r w:rsidRPr="00471CBA">
        <w:rPr>
          <w:b/>
          <w:szCs w:val="20"/>
        </w:rPr>
        <w:t>1.</w:t>
      </w:r>
      <w:r w:rsidRPr="00471CBA">
        <w:rPr>
          <w:b/>
          <w:szCs w:val="20"/>
        </w:rPr>
        <w:tab/>
        <w:t>Banka’nın dahil olduğu risk grubuna ilişkin işlemlerin hacmi, dönem sonunda sonuçlanmamış kredi ve toplanan fon işlemleri, döneme ilişkin gelir ve giderler:</w:t>
      </w:r>
    </w:p>
    <w:p w14:paraId="65CE55BC" w14:textId="7BEDDB17" w:rsidR="00CB118D" w:rsidRPr="00471CBA" w:rsidRDefault="00CB118D" w:rsidP="008459A9">
      <w:pPr>
        <w:pStyle w:val="ListeParagraf"/>
        <w:numPr>
          <w:ilvl w:val="0"/>
          <w:numId w:val="80"/>
        </w:numPr>
        <w:rPr>
          <w:b/>
          <w:bCs/>
        </w:rPr>
      </w:pPr>
      <w:bookmarkStart w:id="171" w:name="_Hlk196730794"/>
      <w:r w:rsidRPr="00471CBA">
        <w:rPr>
          <w:b/>
          <w:bCs/>
        </w:rPr>
        <w:t>Banka’nın dahil olduğu risk grubuna ait kredilere ilişkin bilgiler:</w:t>
      </w:r>
    </w:p>
    <w:p w14:paraId="0F76EA90" w14:textId="77777777" w:rsidR="00CB118D" w:rsidRPr="00471CBA" w:rsidRDefault="00CB118D" w:rsidP="00CB118D">
      <w:pPr>
        <w:pStyle w:val="ListeParagraf"/>
        <w:ind w:left="0"/>
        <w:rPr>
          <w:b/>
          <w:bCs/>
        </w:rPr>
      </w:pPr>
    </w:p>
    <w:tbl>
      <w:tblPr>
        <w:tblW w:w="5000" w:type="pct"/>
        <w:tblCellMar>
          <w:left w:w="0" w:type="dxa"/>
          <w:right w:w="0" w:type="dxa"/>
        </w:tblCellMar>
        <w:tblLook w:val="0000" w:firstRow="0" w:lastRow="0" w:firstColumn="0" w:lastColumn="0" w:noHBand="0" w:noVBand="0"/>
      </w:tblPr>
      <w:tblGrid>
        <w:gridCol w:w="3157"/>
        <w:gridCol w:w="1100"/>
        <w:gridCol w:w="965"/>
        <w:gridCol w:w="964"/>
        <w:gridCol w:w="1102"/>
        <w:gridCol w:w="1102"/>
        <w:gridCol w:w="965"/>
      </w:tblGrid>
      <w:tr w:rsidR="002152D0" w:rsidRPr="00471CBA" w14:paraId="6104B7B8" w14:textId="77777777" w:rsidTr="00D80152">
        <w:trPr>
          <w:trHeight w:val="126"/>
        </w:trPr>
        <w:tc>
          <w:tcPr>
            <w:tcW w:w="1687" w:type="pct"/>
            <w:tcBorders>
              <w:top w:val="single" w:sz="4" w:space="0" w:color="auto"/>
              <w:bottom w:val="single" w:sz="4" w:space="0" w:color="auto"/>
            </w:tcBorders>
            <w:shd w:val="clear" w:color="auto" w:fill="FFFFFF"/>
            <w:vAlign w:val="bottom"/>
          </w:tcPr>
          <w:p w14:paraId="7740A68A" w14:textId="77777777" w:rsidR="002B6E75" w:rsidRPr="00471CBA" w:rsidRDefault="002B6E75" w:rsidP="00BB0581">
            <w:pPr>
              <w:pStyle w:val="xl79"/>
              <w:pBdr>
                <w:left w:val="none" w:sz="0" w:space="0" w:color="auto"/>
                <w:bottom w:val="none" w:sz="0" w:space="0" w:color="auto"/>
                <w:right w:val="none" w:sz="0" w:space="0" w:color="auto"/>
              </w:pBdr>
              <w:spacing w:before="0" w:beforeAutospacing="0" w:after="0" w:afterAutospacing="0"/>
              <w:rPr>
                <w:rFonts w:eastAsia="Times New Roman"/>
                <w:b/>
                <w:bCs/>
                <w:iCs/>
                <w:noProof w:val="0"/>
              </w:rPr>
            </w:pPr>
            <w:bookmarkStart w:id="172" w:name="_Hlk133833860"/>
          </w:p>
          <w:p w14:paraId="3BBDE75A" w14:textId="65A96A65" w:rsidR="002B6E75" w:rsidRPr="00471CBA" w:rsidRDefault="00183003" w:rsidP="002B6E75">
            <w:pPr>
              <w:pStyle w:val="xl79"/>
              <w:pBdr>
                <w:left w:val="none" w:sz="0" w:space="0" w:color="auto"/>
                <w:bottom w:val="none" w:sz="0" w:space="0" w:color="auto"/>
                <w:right w:val="none" w:sz="0" w:space="0" w:color="auto"/>
              </w:pBdr>
              <w:spacing w:before="0" w:beforeAutospacing="0" w:after="0" w:afterAutospacing="0"/>
              <w:rPr>
                <w:b/>
                <w:bCs/>
              </w:rPr>
            </w:pPr>
            <w:r w:rsidRPr="00471CBA">
              <w:rPr>
                <w:b/>
                <w:bCs/>
              </w:rPr>
              <w:t>31 Aralık 2025</w:t>
            </w:r>
          </w:p>
          <w:p w14:paraId="5066DE97" w14:textId="77777777" w:rsidR="002B6E75" w:rsidRPr="00471CBA" w:rsidRDefault="002B6E75" w:rsidP="00BB0581">
            <w:pPr>
              <w:pStyle w:val="xl79"/>
              <w:pBdr>
                <w:left w:val="none" w:sz="0" w:space="0" w:color="auto"/>
                <w:bottom w:val="none" w:sz="0" w:space="0" w:color="auto"/>
                <w:right w:val="none" w:sz="0" w:space="0" w:color="auto"/>
              </w:pBdr>
              <w:spacing w:before="0" w:beforeAutospacing="0" w:after="0" w:afterAutospacing="0"/>
              <w:rPr>
                <w:b/>
                <w:bCs/>
                <w:iCs/>
              </w:rPr>
            </w:pPr>
          </w:p>
          <w:p w14:paraId="7B6F7D33" w14:textId="15761768" w:rsidR="002B6E75" w:rsidRPr="00471CBA" w:rsidRDefault="002152D0" w:rsidP="00BB0581">
            <w:pPr>
              <w:pStyle w:val="xl79"/>
              <w:pBdr>
                <w:left w:val="none" w:sz="0" w:space="0" w:color="auto"/>
                <w:bottom w:val="none" w:sz="0" w:space="0" w:color="auto"/>
                <w:right w:val="none" w:sz="0" w:space="0" w:color="auto"/>
              </w:pBdr>
              <w:spacing w:before="0" w:beforeAutospacing="0" w:after="0" w:afterAutospacing="0"/>
              <w:rPr>
                <w:rFonts w:eastAsia="Times New Roman"/>
                <w:b/>
                <w:bCs/>
                <w:iCs/>
                <w:noProof w:val="0"/>
              </w:rPr>
            </w:pPr>
            <w:r w:rsidRPr="00471CBA">
              <w:rPr>
                <w:rFonts w:eastAsia="Times New Roman"/>
                <w:b/>
                <w:bCs/>
                <w:iCs/>
                <w:noProof w:val="0"/>
              </w:rPr>
              <w:t>Banka’nın Dahil Olduğu Risk Grubu</w:t>
            </w:r>
          </w:p>
        </w:tc>
        <w:tc>
          <w:tcPr>
            <w:tcW w:w="1104" w:type="pct"/>
            <w:gridSpan w:val="2"/>
            <w:tcBorders>
              <w:top w:val="single" w:sz="4" w:space="0" w:color="auto"/>
              <w:bottom w:val="single" w:sz="4" w:space="0" w:color="auto"/>
            </w:tcBorders>
            <w:shd w:val="clear" w:color="auto" w:fill="FFFFFF"/>
            <w:vAlign w:val="bottom"/>
          </w:tcPr>
          <w:p w14:paraId="7F230C27" w14:textId="77777777" w:rsidR="002152D0" w:rsidRPr="00471CBA" w:rsidRDefault="002152D0" w:rsidP="0079192A">
            <w:pPr>
              <w:ind w:right="57"/>
              <w:jc w:val="right"/>
              <w:rPr>
                <w:b/>
                <w:bCs/>
                <w:iCs/>
                <w:sz w:val="18"/>
                <w:szCs w:val="18"/>
              </w:rPr>
            </w:pPr>
            <w:r w:rsidRPr="00471CBA">
              <w:rPr>
                <w:b/>
                <w:bCs/>
                <w:iCs/>
                <w:sz w:val="18"/>
                <w:szCs w:val="18"/>
              </w:rPr>
              <w:t>İştirak, Bağlı Ortaklık ve Birlikte Kontrol Edilen Ortaklıklar (İş Ortaklıkları)</w:t>
            </w:r>
          </w:p>
        </w:tc>
        <w:tc>
          <w:tcPr>
            <w:tcW w:w="1104" w:type="pct"/>
            <w:gridSpan w:val="2"/>
            <w:tcBorders>
              <w:top w:val="single" w:sz="4" w:space="0" w:color="auto"/>
              <w:bottom w:val="single" w:sz="4" w:space="0" w:color="auto"/>
            </w:tcBorders>
            <w:shd w:val="clear" w:color="auto" w:fill="FFFFFF"/>
            <w:vAlign w:val="bottom"/>
          </w:tcPr>
          <w:p w14:paraId="7E963378" w14:textId="77777777" w:rsidR="002152D0" w:rsidRPr="00471CBA" w:rsidRDefault="002152D0" w:rsidP="0079192A">
            <w:pPr>
              <w:ind w:right="57"/>
              <w:jc w:val="right"/>
              <w:rPr>
                <w:b/>
                <w:bCs/>
                <w:iCs/>
                <w:sz w:val="18"/>
                <w:szCs w:val="18"/>
              </w:rPr>
            </w:pPr>
            <w:r w:rsidRPr="00471CBA">
              <w:rPr>
                <w:b/>
                <w:bCs/>
                <w:iCs/>
                <w:sz w:val="18"/>
                <w:szCs w:val="18"/>
              </w:rPr>
              <w:t>Banka’nın Doğrudan ve Dolaylı Ortakları</w:t>
            </w:r>
          </w:p>
        </w:tc>
        <w:tc>
          <w:tcPr>
            <w:tcW w:w="1105" w:type="pct"/>
            <w:gridSpan w:val="2"/>
            <w:tcBorders>
              <w:top w:val="single" w:sz="4" w:space="0" w:color="auto"/>
            </w:tcBorders>
            <w:shd w:val="clear" w:color="auto" w:fill="FFFFFF"/>
            <w:vAlign w:val="bottom"/>
          </w:tcPr>
          <w:p w14:paraId="634173CF" w14:textId="77777777" w:rsidR="002152D0" w:rsidRPr="00471CBA" w:rsidRDefault="002152D0" w:rsidP="0079192A">
            <w:pPr>
              <w:ind w:right="57"/>
              <w:jc w:val="right"/>
              <w:rPr>
                <w:b/>
                <w:bCs/>
                <w:iCs/>
                <w:sz w:val="18"/>
                <w:szCs w:val="18"/>
              </w:rPr>
            </w:pPr>
            <w:r w:rsidRPr="00471CBA">
              <w:rPr>
                <w:b/>
                <w:bCs/>
                <w:iCs/>
                <w:sz w:val="18"/>
                <w:szCs w:val="18"/>
              </w:rPr>
              <w:t>Risk Grubuna Dahil Olan Diğer Gerçek ve Tüzel Kişiler</w:t>
            </w:r>
          </w:p>
        </w:tc>
      </w:tr>
      <w:tr w:rsidR="002152D0" w:rsidRPr="00471CBA" w14:paraId="432D7900" w14:textId="77777777" w:rsidTr="00D80152">
        <w:trPr>
          <w:trHeight w:val="126"/>
        </w:trPr>
        <w:tc>
          <w:tcPr>
            <w:tcW w:w="1687" w:type="pct"/>
            <w:tcBorders>
              <w:top w:val="single" w:sz="4" w:space="0" w:color="auto"/>
              <w:bottom w:val="single" w:sz="4" w:space="0" w:color="auto"/>
            </w:tcBorders>
            <w:shd w:val="clear" w:color="auto" w:fill="FFFFFF"/>
            <w:vAlign w:val="bottom"/>
          </w:tcPr>
          <w:p w14:paraId="0D0900CA" w14:textId="77777777" w:rsidR="002152D0" w:rsidRPr="00471CBA" w:rsidRDefault="002152D0" w:rsidP="00BB0581">
            <w:pPr>
              <w:pStyle w:val="xl79"/>
              <w:pBdr>
                <w:left w:val="none" w:sz="0" w:space="0" w:color="auto"/>
                <w:bottom w:val="none" w:sz="0" w:space="0" w:color="auto"/>
                <w:right w:val="none" w:sz="0" w:space="0" w:color="auto"/>
              </w:pBdr>
              <w:spacing w:before="0" w:beforeAutospacing="0" w:after="0" w:afterAutospacing="0"/>
              <w:rPr>
                <w:rFonts w:eastAsia="Times New Roman"/>
                <w:bCs/>
                <w:iCs/>
                <w:noProof w:val="0"/>
              </w:rPr>
            </w:pPr>
          </w:p>
        </w:tc>
        <w:tc>
          <w:tcPr>
            <w:tcW w:w="588" w:type="pct"/>
            <w:tcBorders>
              <w:top w:val="single" w:sz="4" w:space="0" w:color="auto"/>
              <w:bottom w:val="single" w:sz="4" w:space="0" w:color="auto"/>
            </w:tcBorders>
            <w:shd w:val="clear" w:color="auto" w:fill="FFFFFF"/>
            <w:vAlign w:val="bottom"/>
          </w:tcPr>
          <w:p w14:paraId="2D6FEAEC" w14:textId="77777777" w:rsidR="002152D0" w:rsidRPr="00471CBA" w:rsidRDefault="002152D0" w:rsidP="0079192A">
            <w:pPr>
              <w:ind w:right="57"/>
              <w:jc w:val="right"/>
              <w:rPr>
                <w:rFonts w:eastAsia="Arial Unicode MS"/>
                <w:b/>
                <w:sz w:val="18"/>
                <w:szCs w:val="18"/>
              </w:rPr>
            </w:pPr>
            <w:r w:rsidRPr="00471CBA">
              <w:rPr>
                <w:b/>
                <w:sz w:val="18"/>
                <w:szCs w:val="18"/>
              </w:rPr>
              <w:t>Nakdi</w:t>
            </w:r>
          </w:p>
        </w:tc>
        <w:tc>
          <w:tcPr>
            <w:tcW w:w="516" w:type="pct"/>
            <w:tcBorders>
              <w:top w:val="single" w:sz="4" w:space="0" w:color="auto"/>
              <w:bottom w:val="single" w:sz="4" w:space="0" w:color="auto"/>
            </w:tcBorders>
            <w:shd w:val="clear" w:color="auto" w:fill="FFFFFF"/>
            <w:vAlign w:val="bottom"/>
          </w:tcPr>
          <w:p w14:paraId="399439A6" w14:textId="77777777" w:rsidR="002152D0" w:rsidRPr="00471CBA" w:rsidRDefault="002152D0" w:rsidP="0079192A">
            <w:pPr>
              <w:ind w:right="57"/>
              <w:jc w:val="right"/>
              <w:rPr>
                <w:rFonts w:eastAsia="Arial Unicode MS"/>
                <w:b/>
                <w:sz w:val="18"/>
                <w:szCs w:val="18"/>
              </w:rPr>
            </w:pPr>
            <w:proofErr w:type="spellStart"/>
            <w:r w:rsidRPr="00471CBA">
              <w:rPr>
                <w:b/>
                <w:sz w:val="18"/>
                <w:szCs w:val="18"/>
              </w:rPr>
              <w:t>G.Nakdi</w:t>
            </w:r>
            <w:proofErr w:type="spellEnd"/>
          </w:p>
        </w:tc>
        <w:tc>
          <w:tcPr>
            <w:tcW w:w="515" w:type="pct"/>
            <w:tcBorders>
              <w:top w:val="single" w:sz="4" w:space="0" w:color="auto"/>
              <w:bottom w:val="single" w:sz="4" w:space="0" w:color="auto"/>
            </w:tcBorders>
            <w:shd w:val="clear" w:color="auto" w:fill="FFFFFF"/>
            <w:vAlign w:val="bottom"/>
          </w:tcPr>
          <w:p w14:paraId="06746DF3" w14:textId="77777777" w:rsidR="002152D0" w:rsidRPr="00471CBA" w:rsidRDefault="002152D0" w:rsidP="0079192A">
            <w:pPr>
              <w:ind w:right="57"/>
              <w:jc w:val="right"/>
              <w:rPr>
                <w:rFonts w:eastAsia="Arial Unicode MS"/>
                <w:b/>
                <w:sz w:val="18"/>
                <w:szCs w:val="18"/>
              </w:rPr>
            </w:pPr>
            <w:r w:rsidRPr="00471CBA">
              <w:rPr>
                <w:b/>
                <w:sz w:val="18"/>
                <w:szCs w:val="18"/>
              </w:rPr>
              <w:t>Nakdi</w:t>
            </w:r>
          </w:p>
        </w:tc>
        <w:tc>
          <w:tcPr>
            <w:tcW w:w="589" w:type="pct"/>
            <w:tcBorders>
              <w:top w:val="single" w:sz="4" w:space="0" w:color="auto"/>
              <w:bottom w:val="single" w:sz="4" w:space="0" w:color="auto"/>
            </w:tcBorders>
            <w:shd w:val="clear" w:color="auto" w:fill="FFFFFF"/>
            <w:vAlign w:val="bottom"/>
          </w:tcPr>
          <w:p w14:paraId="3BAAB22F" w14:textId="77777777" w:rsidR="002152D0" w:rsidRPr="00471CBA" w:rsidRDefault="002152D0" w:rsidP="0079192A">
            <w:pPr>
              <w:ind w:right="57"/>
              <w:jc w:val="right"/>
              <w:rPr>
                <w:rFonts w:eastAsia="Arial Unicode MS"/>
                <w:b/>
                <w:sz w:val="18"/>
                <w:szCs w:val="18"/>
              </w:rPr>
            </w:pPr>
            <w:proofErr w:type="spellStart"/>
            <w:r w:rsidRPr="00471CBA">
              <w:rPr>
                <w:b/>
                <w:sz w:val="18"/>
                <w:szCs w:val="18"/>
              </w:rPr>
              <w:t>G.Nakdi</w:t>
            </w:r>
            <w:proofErr w:type="spellEnd"/>
          </w:p>
        </w:tc>
        <w:tc>
          <w:tcPr>
            <w:tcW w:w="589" w:type="pct"/>
            <w:tcBorders>
              <w:top w:val="single" w:sz="4" w:space="0" w:color="auto"/>
              <w:bottom w:val="single" w:sz="4" w:space="0" w:color="auto"/>
            </w:tcBorders>
            <w:shd w:val="clear" w:color="auto" w:fill="FFFFFF"/>
            <w:vAlign w:val="bottom"/>
          </w:tcPr>
          <w:p w14:paraId="1E8283AD" w14:textId="77777777" w:rsidR="002152D0" w:rsidRPr="00471CBA" w:rsidRDefault="002152D0" w:rsidP="0079192A">
            <w:pPr>
              <w:ind w:right="57"/>
              <w:jc w:val="right"/>
              <w:rPr>
                <w:rFonts w:eastAsia="Arial Unicode MS"/>
                <w:b/>
                <w:sz w:val="18"/>
                <w:szCs w:val="18"/>
              </w:rPr>
            </w:pPr>
            <w:r w:rsidRPr="00471CBA">
              <w:rPr>
                <w:b/>
                <w:sz w:val="18"/>
                <w:szCs w:val="18"/>
              </w:rPr>
              <w:t>Nakdi</w:t>
            </w:r>
          </w:p>
        </w:tc>
        <w:tc>
          <w:tcPr>
            <w:tcW w:w="516" w:type="pct"/>
            <w:tcBorders>
              <w:top w:val="single" w:sz="4" w:space="0" w:color="auto"/>
              <w:bottom w:val="single" w:sz="4" w:space="0" w:color="auto"/>
            </w:tcBorders>
            <w:shd w:val="clear" w:color="auto" w:fill="FFFFFF"/>
            <w:vAlign w:val="bottom"/>
          </w:tcPr>
          <w:p w14:paraId="10024C15" w14:textId="77777777" w:rsidR="002152D0" w:rsidRPr="00471CBA" w:rsidRDefault="002152D0" w:rsidP="0079192A">
            <w:pPr>
              <w:ind w:right="57"/>
              <w:jc w:val="right"/>
              <w:rPr>
                <w:rFonts w:eastAsia="Arial Unicode MS"/>
                <w:b/>
                <w:sz w:val="18"/>
                <w:szCs w:val="18"/>
              </w:rPr>
            </w:pPr>
            <w:proofErr w:type="spellStart"/>
            <w:r w:rsidRPr="00471CBA">
              <w:rPr>
                <w:b/>
                <w:sz w:val="18"/>
                <w:szCs w:val="18"/>
              </w:rPr>
              <w:t>G.Nakdi</w:t>
            </w:r>
            <w:proofErr w:type="spellEnd"/>
          </w:p>
        </w:tc>
      </w:tr>
      <w:tr w:rsidR="002152D0" w:rsidRPr="00471CBA" w14:paraId="76B1DFE4" w14:textId="77777777" w:rsidTr="00D80152">
        <w:trPr>
          <w:trHeight w:val="126"/>
        </w:trPr>
        <w:tc>
          <w:tcPr>
            <w:tcW w:w="1687" w:type="pct"/>
            <w:tcBorders>
              <w:top w:val="single" w:sz="4" w:space="0" w:color="auto"/>
            </w:tcBorders>
            <w:shd w:val="clear" w:color="auto" w:fill="FFFFFF"/>
            <w:vAlign w:val="bottom"/>
          </w:tcPr>
          <w:p w14:paraId="4287D7C1" w14:textId="77777777" w:rsidR="002152D0" w:rsidRPr="00471CBA" w:rsidRDefault="002152D0" w:rsidP="00BB0581">
            <w:pPr>
              <w:pStyle w:val="xl79"/>
              <w:pBdr>
                <w:left w:val="none" w:sz="0" w:space="0" w:color="auto"/>
                <w:bottom w:val="none" w:sz="0" w:space="0" w:color="auto"/>
                <w:right w:val="none" w:sz="0" w:space="0" w:color="auto"/>
              </w:pBdr>
              <w:spacing w:before="0" w:beforeAutospacing="0" w:after="0" w:afterAutospacing="0"/>
              <w:rPr>
                <w:rFonts w:eastAsia="Times New Roman"/>
                <w:bCs/>
                <w:iCs/>
                <w:noProof w:val="0"/>
              </w:rPr>
            </w:pPr>
          </w:p>
        </w:tc>
        <w:tc>
          <w:tcPr>
            <w:tcW w:w="588" w:type="pct"/>
            <w:tcBorders>
              <w:top w:val="single" w:sz="4" w:space="0" w:color="auto"/>
            </w:tcBorders>
            <w:shd w:val="clear" w:color="auto" w:fill="FFFFFF"/>
            <w:vAlign w:val="bottom"/>
          </w:tcPr>
          <w:p w14:paraId="706CF063" w14:textId="77777777" w:rsidR="002152D0" w:rsidRPr="00471CBA" w:rsidRDefault="002152D0" w:rsidP="00D80152">
            <w:pPr>
              <w:ind w:right="94"/>
              <w:jc w:val="right"/>
              <w:rPr>
                <w:b/>
                <w:sz w:val="18"/>
                <w:szCs w:val="18"/>
              </w:rPr>
            </w:pPr>
          </w:p>
        </w:tc>
        <w:tc>
          <w:tcPr>
            <w:tcW w:w="516" w:type="pct"/>
            <w:tcBorders>
              <w:top w:val="single" w:sz="4" w:space="0" w:color="auto"/>
            </w:tcBorders>
            <w:shd w:val="clear" w:color="auto" w:fill="FFFFFF"/>
            <w:vAlign w:val="bottom"/>
          </w:tcPr>
          <w:p w14:paraId="1E4EE7AC" w14:textId="77777777" w:rsidR="002152D0" w:rsidRPr="00471CBA" w:rsidRDefault="002152D0" w:rsidP="00D80152">
            <w:pPr>
              <w:ind w:right="94"/>
              <w:jc w:val="right"/>
              <w:rPr>
                <w:b/>
                <w:sz w:val="18"/>
                <w:szCs w:val="18"/>
              </w:rPr>
            </w:pPr>
          </w:p>
        </w:tc>
        <w:tc>
          <w:tcPr>
            <w:tcW w:w="515" w:type="pct"/>
            <w:tcBorders>
              <w:top w:val="single" w:sz="4" w:space="0" w:color="auto"/>
            </w:tcBorders>
            <w:shd w:val="clear" w:color="auto" w:fill="FFFFFF"/>
            <w:vAlign w:val="bottom"/>
          </w:tcPr>
          <w:p w14:paraId="541A85ED" w14:textId="77777777" w:rsidR="002152D0" w:rsidRPr="00471CBA" w:rsidRDefault="002152D0" w:rsidP="00D80152">
            <w:pPr>
              <w:ind w:right="94"/>
              <w:jc w:val="right"/>
              <w:rPr>
                <w:b/>
                <w:sz w:val="18"/>
                <w:szCs w:val="18"/>
              </w:rPr>
            </w:pPr>
          </w:p>
        </w:tc>
        <w:tc>
          <w:tcPr>
            <w:tcW w:w="589" w:type="pct"/>
            <w:tcBorders>
              <w:top w:val="single" w:sz="4" w:space="0" w:color="auto"/>
            </w:tcBorders>
            <w:shd w:val="clear" w:color="auto" w:fill="FFFFFF"/>
            <w:vAlign w:val="bottom"/>
          </w:tcPr>
          <w:p w14:paraId="1890CA23" w14:textId="77777777" w:rsidR="002152D0" w:rsidRPr="00471CBA" w:rsidRDefault="002152D0" w:rsidP="00D80152">
            <w:pPr>
              <w:ind w:right="94"/>
              <w:jc w:val="right"/>
              <w:rPr>
                <w:b/>
                <w:sz w:val="18"/>
                <w:szCs w:val="18"/>
              </w:rPr>
            </w:pPr>
          </w:p>
        </w:tc>
        <w:tc>
          <w:tcPr>
            <w:tcW w:w="589" w:type="pct"/>
            <w:tcBorders>
              <w:top w:val="single" w:sz="4" w:space="0" w:color="auto"/>
            </w:tcBorders>
            <w:shd w:val="clear" w:color="auto" w:fill="FFFFFF"/>
            <w:vAlign w:val="bottom"/>
          </w:tcPr>
          <w:p w14:paraId="05A76FEB" w14:textId="77777777" w:rsidR="002152D0" w:rsidRPr="00471CBA" w:rsidRDefault="002152D0" w:rsidP="00D80152">
            <w:pPr>
              <w:ind w:right="94"/>
              <w:jc w:val="right"/>
              <w:rPr>
                <w:b/>
                <w:sz w:val="18"/>
                <w:szCs w:val="18"/>
              </w:rPr>
            </w:pPr>
          </w:p>
        </w:tc>
        <w:tc>
          <w:tcPr>
            <w:tcW w:w="516" w:type="pct"/>
            <w:tcBorders>
              <w:top w:val="single" w:sz="4" w:space="0" w:color="auto"/>
            </w:tcBorders>
            <w:shd w:val="clear" w:color="auto" w:fill="FFFFFF"/>
            <w:vAlign w:val="bottom"/>
          </w:tcPr>
          <w:p w14:paraId="037D3DA0" w14:textId="77777777" w:rsidR="002152D0" w:rsidRPr="00471CBA" w:rsidRDefault="002152D0" w:rsidP="00D80152">
            <w:pPr>
              <w:ind w:right="94"/>
              <w:jc w:val="right"/>
              <w:rPr>
                <w:b/>
                <w:sz w:val="18"/>
                <w:szCs w:val="18"/>
              </w:rPr>
            </w:pPr>
          </w:p>
        </w:tc>
      </w:tr>
      <w:bookmarkEnd w:id="172"/>
      <w:tr w:rsidR="002152D0" w:rsidRPr="00471CBA" w14:paraId="25A77A84" w14:textId="77777777" w:rsidTr="00D80152">
        <w:trPr>
          <w:trHeight w:val="89"/>
        </w:trPr>
        <w:tc>
          <w:tcPr>
            <w:tcW w:w="1687" w:type="pct"/>
            <w:shd w:val="clear" w:color="auto" w:fill="FFFFFF"/>
            <w:vAlign w:val="bottom"/>
          </w:tcPr>
          <w:p w14:paraId="20E71395" w14:textId="77777777" w:rsidR="002152D0" w:rsidRPr="00471CBA" w:rsidRDefault="002152D0" w:rsidP="00BB0581">
            <w:pPr>
              <w:rPr>
                <w:bCs/>
                <w:iCs/>
                <w:sz w:val="18"/>
                <w:szCs w:val="18"/>
              </w:rPr>
            </w:pPr>
            <w:r w:rsidRPr="00471CBA">
              <w:rPr>
                <w:b/>
                <w:bCs/>
                <w:iCs/>
                <w:sz w:val="18"/>
                <w:szCs w:val="18"/>
              </w:rPr>
              <w:t xml:space="preserve">Krediler </w:t>
            </w:r>
          </w:p>
        </w:tc>
        <w:tc>
          <w:tcPr>
            <w:tcW w:w="588" w:type="pct"/>
            <w:shd w:val="clear" w:color="auto" w:fill="FFFFFF"/>
            <w:vAlign w:val="bottom"/>
          </w:tcPr>
          <w:p w14:paraId="5BE70861" w14:textId="77777777" w:rsidR="002152D0" w:rsidRPr="00471CBA" w:rsidRDefault="002152D0" w:rsidP="00D80152">
            <w:pPr>
              <w:tabs>
                <w:tab w:val="center" w:pos="564"/>
                <w:tab w:val="left" w:pos="1010"/>
                <w:tab w:val="right" w:pos="1128"/>
              </w:tabs>
              <w:ind w:right="105"/>
              <w:jc w:val="right"/>
              <w:rPr>
                <w:sz w:val="18"/>
                <w:szCs w:val="18"/>
              </w:rPr>
            </w:pPr>
          </w:p>
        </w:tc>
        <w:tc>
          <w:tcPr>
            <w:tcW w:w="516" w:type="pct"/>
            <w:shd w:val="clear" w:color="auto" w:fill="FFFFFF"/>
            <w:vAlign w:val="bottom"/>
          </w:tcPr>
          <w:p w14:paraId="4939557E" w14:textId="77777777" w:rsidR="002152D0" w:rsidRPr="00471CBA" w:rsidRDefault="002152D0" w:rsidP="00D80152">
            <w:pPr>
              <w:tabs>
                <w:tab w:val="center" w:pos="564"/>
                <w:tab w:val="left" w:pos="1010"/>
                <w:tab w:val="right" w:pos="1128"/>
              </w:tabs>
              <w:ind w:right="105"/>
              <w:jc w:val="right"/>
              <w:rPr>
                <w:sz w:val="18"/>
                <w:szCs w:val="18"/>
              </w:rPr>
            </w:pPr>
          </w:p>
        </w:tc>
        <w:tc>
          <w:tcPr>
            <w:tcW w:w="515" w:type="pct"/>
            <w:shd w:val="clear" w:color="auto" w:fill="FFFFFF"/>
            <w:vAlign w:val="bottom"/>
          </w:tcPr>
          <w:p w14:paraId="37919DF6" w14:textId="77777777" w:rsidR="002152D0" w:rsidRPr="00471CBA" w:rsidRDefault="002152D0" w:rsidP="00D80152">
            <w:pPr>
              <w:tabs>
                <w:tab w:val="center" w:pos="564"/>
                <w:tab w:val="left" w:pos="1010"/>
                <w:tab w:val="right" w:pos="1128"/>
              </w:tabs>
              <w:ind w:right="105"/>
              <w:jc w:val="right"/>
              <w:rPr>
                <w:sz w:val="18"/>
                <w:szCs w:val="18"/>
              </w:rPr>
            </w:pPr>
          </w:p>
        </w:tc>
        <w:tc>
          <w:tcPr>
            <w:tcW w:w="589" w:type="pct"/>
            <w:shd w:val="clear" w:color="auto" w:fill="FFFFFF"/>
            <w:vAlign w:val="bottom"/>
          </w:tcPr>
          <w:p w14:paraId="6865C261" w14:textId="77777777" w:rsidR="002152D0" w:rsidRPr="00471CBA" w:rsidRDefault="002152D0" w:rsidP="00D80152">
            <w:pPr>
              <w:tabs>
                <w:tab w:val="center" w:pos="564"/>
                <w:tab w:val="left" w:pos="1010"/>
                <w:tab w:val="right" w:pos="1128"/>
              </w:tabs>
              <w:ind w:right="105"/>
              <w:jc w:val="right"/>
              <w:rPr>
                <w:sz w:val="18"/>
                <w:szCs w:val="18"/>
              </w:rPr>
            </w:pPr>
          </w:p>
        </w:tc>
        <w:tc>
          <w:tcPr>
            <w:tcW w:w="589" w:type="pct"/>
            <w:shd w:val="clear" w:color="auto" w:fill="FFFFFF"/>
            <w:vAlign w:val="bottom"/>
          </w:tcPr>
          <w:p w14:paraId="22DEDF2D" w14:textId="77777777" w:rsidR="002152D0" w:rsidRPr="00471CBA" w:rsidRDefault="002152D0" w:rsidP="00D80152">
            <w:pPr>
              <w:tabs>
                <w:tab w:val="center" w:pos="564"/>
                <w:tab w:val="left" w:pos="1010"/>
                <w:tab w:val="right" w:pos="1128"/>
              </w:tabs>
              <w:ind w:right="105"/>
              <w:jc w:val="right"/>
              <w:rPr>
                <w:sz w:val="18"/>
                <w:szCs w:val="18"/>
              </w:rPr>
            </w:pPr>
          </w:p>
        </w:tc>
        <w:tc>
          <w:tcPr>
            <w:tcW w:w="516" w:type="pct"/>
            <w:shd w:val="clear" w:color="auto" w:fill="FFFFFF"/>
            <w:vAlign w:val="bottom"/>
          </w:tcPr>
          <w:p w14:paraId="5B249651" w14:textId="77777777" w:rsidR="002152D0" w:rsidRPr="00471CBA" w:rsidRDefault="002152D0" w:rsidP="00D80152">
            <w:pPr>
              <w:tabs>
                <w:tab w:val="center" w:pos="564"/>
                <w:tab w:val="left" w:pos="1010"/>
                <w:tab w:val="right" w:pos="1128"/>
              </w:tabs>
              <w:ind w:right="105"/>
              <w:jc w:val="right"/>
              <w:rPr>
                <w:sz w:val="18"/>
                <w:szCs w:val="18"/>
              </w:rPr>
            </w:pPr>
          </w:p>
        </w:tc>
      </w:tr>
      <w:tr w:rsidR="00B03504" w:rsidRPr="00471CBA" w14:paraId="0F669016" w14:textId="77777777" w:rsidTr="00104FCE">
        <w:trPr>
          <w:trHeight w:val="126"/>
        </w:trPr>
        <w:tc>
          <w:tcPr>
            <w:tcW w:w="1687" w:type="pct"/>
            <w:shd w:val="clear" w:color="auto" w:fill="FFFFFF"/>
            <w:vAlign w:val="bottom"/>
          </w:tcPr>
          <w:p w14:paraId="2513F2AC" w14:textId="77777777" w:rsidR="00B03504" w:rsidRPr="00471CBA" w:rsidRDefault="00B03504" w:rsidP="00B03504">
            <w:pPr>
              <w:ind w:left="235"/>
              <w:rPr>
                <w:bCs/>
                <w:iCs/>
                <w:sz w:val="18"/>
                <w:szCs w:val="18"/>
              </w:rPr>
            </w:pPr>
            <w:r w:rsidRPr="00471CBA">
              <w:rPr>
                <w:bCs/>
                <w:iCs/>
                <w:sz w:val="18"/>
                <w:szCs w:val="18"/>
              </w:rPr>
              <w:t xml:space="preserve">Dönem Başı Bakiyesi </w:t>
            </w:r>
          </w:p>
        </w:tc>
        <w:tc>
          <w:tcPr>
            <w:tcW w:w="588" w:type="pct"/>
            <w:tcBorders>
              <w:top w:val="nil"/>
              <w:left w:val="nil"/>
              <w:right w:val="nil"/>
            </w:tcBorders>
          </w:tcPr>
          <w:p w14:paraId="0951665D" w14:textId="23C0F950" w:rsidR="00B03504" w:rsidRPr="00471CBA" w:rsidRDefault="00B03504" w:rsidP="00B03504">
            <w:pPr>
              <w:tabs>
                <w:tab w:val="center" w:pos="564"/>
                <w:tab w:val="left" w:pos="1010"/>
                <w:tab w:val="right" w:pos="1128"/>
              </w:tabs>
              <w:ind w:right="105"/>
              <w:jc w:val="right"/>
              <w:rPr>
                <w:sz w:val="18"/>
                <w:szCs w:val="18"/>
              </w:rPr>
            </w:pPr>
            <w:r w:rsidRPr="00471CBA">
              <w:t>-</w:t>
            </w:r>
          </w:p>
        </w:tc>
        <w:tc>
          <w:tcPr>
            <w:tcW w:w="516" w:type="pct"/>
            <w:tcBorders>
              <w:top w:val="nil"/>
              <w:left w:val="nil"/>
              <w:right w:val="nil"/>
            </w:tcBorders>
          </w:tcPr>
          <w:p w14:paraId="12D0A1E7" w14:textId="7274840E" w:rsidR="00B03504" w:rsidRPr="00471CBA" w:rsidRDefault="00B03504" w:rsidP="00B03504">
            <w:pPr>
              <w:tabs>
                <w:tab w:val="center" w:pos="564"/>
                <w:tab w:val="left" w:pos="1010"/>
                <w:tab w:val="right" w:pos="1128"/>
              </w:tabs>
              <w:ind w:right="105"/>
              <w:jc w:val="right"/>
              <w:rPr>
                <w:sz w:val="18"/>
                <w:szCs w:val="18"/>
              </w:rPr>
            </w:pPr>
            <w:r w:rsidRPr="00471CBA">
              <w:t>-</w:t>
            </w:r>
          </w:p>
        </w:tc>
        <w:tc>
          <w:tcPr>
            <w:tcW w:w="515" w:type="pct"/>
            <w:tcBorders>
              <w:top w:val="nil"/>
              <w:left w:val="nil"/>
              <w:right w:val="nil"/>
            </w:tcBorders>
          </w:tcPr>
          <w:p w14:paraId="68DFE385" w14:textId="0B312D88" w:rsidR="00B03504" w:rsidRPr="00471CBA" w:rsidRDefault="00B03504" w:rsidP="00B03504">
            <w:pPr>
              <w:tabs>
                <w:tab w:val="center" w:pos="564"/>
                <w:tab w:val="left" w:pos="1010"/>
                <w:tab w:val="right" w:pos="1128"/>
              </w:tabs>
              <w:ind w:right="105"/>
              <w:jc w:val="right"/>
              <w:rPr>
                <w:sz w:val="18"/>
                <w:szCs w:val="18"/>
              </w:rPr>
            </w:pPr>
            <w:r w:rsidRPr="00471CBA">
              <w:t>-</w:t>
            </w:r>
          </w:p>
        </w:tc>
        <w:tc>
          <w:tcPr>
            <w:tcW w:w="589" w:type="pct"/>
            <w:tcBorders>
              <w:top w:val="nil"/>
              <w:left w:val="nil"/>
              <w:right w:val="nil"/>
            </w:tcBorders>
          </w:tcPr>
          <w:p w14:paraId="702865E4" w14:textId="0A50C528" w:rsidR="00B03504" w:rsidRPr="00471CBA" w:rsidRDefault="00B03504" w:rsidP="00B03504">
            <w:pPr>
              <w:tabs>
                <w:tab w:val="center" w:pos="564"/>
                <w:tab w:val="left" w:pos="1010"/>
                <w:tab w:val="right" w:pos="1128"/>
              </w:tabs>
              <w:ind w:right="105"/>
              <w:jc w:val="right"/>
              <w:rPr>
                <w:sz w:val="18"/>
                <w:szCs w:val="18"/>
              </w:rPr>
            </w:pPr>
            <w:r w:rsidRPr="00471CBA">
              <w:t>-</w:t>
            </w:r>
          </w:p>
        </w:tc>
        <w:tc>
          <w:tcPr>
            <w:tcW w:w="589" w:type="pct"/>
            <w:tcBorders>
              <w:top w:val="nil"/>
              <w:left w:val="nil"/>
              <w:right w:val="nil"/>
            </w:tcBorders>
          </w:tcPr>
          <w:p w14:paraId="58D9D057" w14:textId="6D08766E" w:rsidR="00B03504" w:rsidRPr="00471CBA" w:rsidRDefault="00B03504" w:rsidP="00B03504">
            <w:pPr>
              <w:tabs>
                <w:tab w:val="center" w:pos="564"/>
                <w:tab w:val="left" w:pos="1010"/>
                <w:tab w:val="right" w:pos="1128"/>
              </w:tabs>
              <w:ind w:right="105"/>
              <w:jc w:val="right"/>
              <w:rPr>
                <w:sz w:val="18"/>
                <w:szCs w:val="18"/>
              </w:rPr>
            </w:pPr>
            <w:r w:rsidRPr="00471CBA">
              <w:t>739.947</w:t>
            </w:r>
          </w:p>
        </w:tc>
        <w:tc>
          <w:tcPr>
            <w:tcW w:w="516" w:type="pct"/>
            <w:tcBorders>
              <w:top w:val="nil"/>
              <w:left w:val="nil"/>
              <w:right w:val="nil"/>
            </w:tcBorders>
          </w:tcPr>
          <w:p w14:paraId="371A84D4" w14:textId="39139918" w:rsidR="00B03504" w:rsidRPr="00471CBA" w:rsidRDefault="00B03504" w:rsidP="00B03504">
            <w:pPr>
              <w:tabs>
                <w:tab w:val="center" w:pos="564"/>
                <w:tab w:val="left" w:pos="1010"/>
                <w:tab w:val="right" w:pos="1128"/>
              </w:tabs>
              <w:ind w:right="105"/>
              <w:jc w:val="right"/>
              <w:rPr>
                <w:sz w:val="18"/>
                <w:szCs w:val="18"/>
              </w:rPr>
            </w:pPr>
            <w:r w:rsidRPr="00471CBA">
              <w:t>-</w:t>
            </w:r>
          </w:p>
        </w:tc>
      </w:tr>
      <w:tr w:rsidR="00E126F9" w:rsidRPr="00471CBA" w14:paraId="372BB1A3" w14:textId="77777777" w:rsidTr="00104FCE">
        <w:trPr>
          <w:trHeight w:val="126"/>
        </w:trPr>
        <w:tc>
          <w:tcPr>
            <w:tcW w:w="1687" w:type="pct"/>
            <w:shd w:val="clear" w:color="auto" w:fill="FFFFFF"/>
            <w:vAlign w:val="bottom"/>
          </w:tcPr>
          <w:p w14:paraId="6CB25203" w14:textId="77777777" w:rsidR="00E126F9" w:rsidRPr="00471CBA" w:rsidRDefault="00E126F9" w:rsidP="00E126F9">
            <w:pPr>
              <w:ind w:left="235"/>
              <w:rPr>
                <w:bCs/>
                <w:iCs/>
                <w:sz w:val="18"/>
                <w:szCs w:val="18"/>
              </w:rPr>
            </w:pPr>
            <w:r w:rsidRPr="00471CBA">
              <w:rPr>
                <w:bCs/>
                <w:iCs/>
                <w:sz w:val="18"/>
                <w:szCs w:val="18"/>
              </w:rPr>
              <w:t>Dönem Sonu Bakiyesi</w:t>
            </w:r>
          </w:p>
        </w:tc>
        <w:tc>
          <w:tcPr>
            <w:tcW w:w="588" w:type="pct"/>
            <w:tcBorders>
              <w:top w:val="nil"/>
              <w:left w:val="nil"/>
              <w:right w:val="nil"/>
            </w:tcBorders>
          </w:tcPr>
          <w:p w14:paraId="10013BDF" w14:textId="4DCAA85E" w:rsidR="00E126F9" w:rsidRPr="00471CBA" w:rsidRDefault="00E126F9" w:rsidP="00E126F9">
            <w:pPr>
              <w:tabs>
                <w:tab w:val="center" w:pos="564"/>
                <w:tab w:val="left" w:pos="1010"/>
                <w:tab w:val="right" w:pos="1128"/>
              </w:tabs>
              <w:ind w:right="105"/>
              <w:jc w:val="right"/>
              <w:rPr>
                <w:sz w:val="18"/>
                <w:szCs w:val="18"/>
              </w:rPr>
            </w:pPr>
            <w:r w:rsidRPr="00471CBA">
              <w:t>-</w:t>
            </w:r>
          </w:p>
        </w:tc>
        <w:tc>
          <w:tcPr>
            <w:tcW w:w="516" w:type="pct"/>
            <w:tcBorders>
              <w:top w:val="nil"/>
              <w:left w:val="nil"/>
              <w:right w:val="nil"/>
            </w:tcBorders>
          </w:tcPr>
          <w:p w14:paraId="1A629A61" w14:textId="7BDB0AC1" w:rsidR="00E126F9" w:rsidRPr="00471CBA" w:rsidRDefault="00E126F9" w:rsidP="00E126F9">
            <w:pPr>
              <w:tabs>
                <w:tab w:val="center" w:pos="564"/>
                <w:tab w:val="left" w:pos="1010"/>
                <w:tab w:val="right" w:pos="1128"/>
              </w:tabs>
              <w:ind w:right="105"/>
              <w:jc w:val="right"/>
              <w:rPr>
                <w:sz w:val="18"/>
                <w:szCs w:val="18"/>
              </w:rPr>
            </w:pPr>
            <w:r w:rsidRPr="00471CBA">
              <w:t>-</w:t>
            </w:r>
          </w:p>
        </w:tc>
        <w:tc>
          <w:tcPr>
            <w:tcW w:w="515" w:type="pct"/>
            <w:tcBorders>
              <w:top w:val="nil"/>
              <w:left w:val="nil"/>
              <w:right w:val="nil"/>
            </w:tcBorders>
          </w:tcPr>
          <w:p w14:paraId="53C92FD6" w14:textId="1C489BBB" w:rsidR="00E126F9" w:rsidRPr="00471CBA" w:rsidRDefault="00E126F9" w:rsidP="00E126F9">
            <w:pPr>
              <w:tabs>
                <w:tab w:val="center" w:pos="564"/>
                <w:tab w:val="left" w:pos="1010"/>
                <w:tab w:val="right" w:pos="1128"/>
              </w:tabs>
              <w:ind w:right="105"/>
              <w:jc w:val="right"/>
              <w:rPr>
                <w:sz w:val="18"/>
                <w:szCs w:val="18"/>
              </w:rPr>
            </w:pPr>
            <w:r w:rsidRPr="00471CBA">
              <w:t>-</w:t>
            </w:r>
          </w:p>
        </w:tc>
        <w:tc>
          <w:tcPr>
            <w:tcW w:w="589" w:type="pct"/>
            <w:tcBorders>
              <w:top w:val="nil"/>
              <w:left w:val="nil"/>
              <w:right w:val="nil"/>
            </w:tcBorders>
          </w:tcPr>
          <w:p w14:paraId="683D1236" w14:textId="78589B1E" w:rsidR="00E126F9" w:rsidRPr="00471CBA" w:rsidRDefault="00E126F9" w:rsidP="00E126F9">
            <w:pPr>
              <w:tabs>
                <w:tab w:val="center" w:pos="564"/>
                <w:tab w:val="left" w:pos="1010"/>
                <w:tab w:val="right" w:pos="1128"/>
              </w:tabs>
              <w:ind w:right="105"/>
              <w:jc w:val="right"/>
              <w:rPr>
                <w:sz w:val="18"/>
                <w:szCs w:val="18"/>
              </w:rPr>
            </w:pPr>
            <w:r w:rsidRPr="00471CBA">
              <w:t>-</w:t>
            </w:r>
          </w:p>
        </w:tc>
        <w:tc>
          <w:tcPr>
            <w:tcW w:w="589" w:type="pct"/>
            <w:tcBorders>
              <w:top w:val="nil"/>
              <w:left w:val="nil"/>
              <w:right w:val="nil"/>
            </w:tcBorders>
          </w:tcPr>
          <w:p w14:paraId="09F089EC" w14:textId="646DBB49" w:rsidR="00E126F9" w:rsidRPr="00471CBA" w:rsidRDefault="00E126F9" w:rsidP="00E126F9">
            <w:pPr>
              <w:tabs>
                <w:tab w:val="center" w:pos="564"/>
                <w:tab w:val="left" w:pos="1010"/>
                <w:tab w:val="right" w:pos="1128"/>
              </w:tabs>
              <w:ind w:right="105"/>
              <w:jc w:val="right"/>
              <w:rPr>
                <w:color w:val="000000"/>
                <w:sz w:val="18"/>
                <w:szCs w:val="22"/>
              </w:rPr>
            </w:pPr>
            <w:r w:rsidRPr="00471CBA">
              <w:t>1.021.185</w:t>
            </w:r>
          </w:p>
        </w:tc>
        <w:tc>
          <w:tcPr>
            <w:tcW w:w="516" w:type="pct"/>
            <w:tcBorders>
              <w:top w:val="nil"/>
              <w:left w:val="nil"/>
              <w:right w:val="nil"/>
            </w:tcBorders>
          </w:tcPr>
          <w:p w14:paraId="6BE7D037" w14:textId="5FF70D4E" w:rsidR="00E126F9" w:rsidRPr="00471CBA" w:rsidRDefault="00E126F9" w:rsidP="00E126F9">
            <w:pPr>
              <w:tabs>
                <w:tab w:val="center" w:pos="564"/>
                <w:tab w:val="left" w:pos="1010"/>
                <w:tab w:val="right" w:pos="1128"/>
              </w:tabs>
              <w:ind w:right="105"/>
              <w:jc w:val="right"/>
              <w:rPr>
                <w:sz w:val="18"/>
                <w:szCs w:val="18"/>
              </w:rPr>
            </w:pPr>
            <w:r w:rsidRPr="00471CBA">
              <w:t>950</w:t>
            </w:r>
          </w:p>
        </w:tc>
      </w:tr>
      <w:tr w:rsidR="00E126F9" w:rsidRPr="00471CBA" w14:paraId="49C93099" w14:textId="77777777" w:rsidTr="00104FCE">
        <w:trPr>
          <w:trHeight w:val="126"/>
        </w:trPr>
        <w:tc>
          <w:tcPr>
            <w:tcW w:w="1687" w:type="pct"/>
            <w:shd w:val="clear" w:color="auto" w:fill="FFFFFF"/>
            <w:vAlign w:val="bottom"/>
          </w:tcPr>
          <w:p w14:paraId="224A842C" w14:textId="77777777" w:rsidR="00E126F9" w:rsidRPr="00471CBA" w:rsidRDefault="00E126F9" w:rsidP="00E126F9">
            <w:pPr>
              <w:rPr>
                <w:b/>
                <w:bCs/>
                <w:iCs/>
                <w:sz w:val="18"/>
                <w:szCs w:val="18"/>
              </w:rPr>
            </w:pPr>
            <w:r w:rsidRPr="00471CBA">
              <w:rPr>
                <w:b/>
                <w:bCs/>
                <w:iCs/>
                <w:sz w:val="18"/>
                <w:szCs w:val="18"/>
              </w:rPr>
              <w:t>Alınan Kar Payı ve Komisyon Gelirleri</w:t>
            </w:r>
          </w:p>
        </w:tc>
        <w:tc>
          <w:tcPr>
            <w:tcW w:w="588" w:type="pct"/>
            <w:tcBorders>
              <w:top w:val="nil"/>
              <w:left w:val="nil"/>
              <w:right w:val="nil"/>
            </w:tcBorders>
          </w:tcPr>
          <w:p w14:paraId="1FBD4A2D" w14:textId="1839E361" w:rsidR="00E126F9" w:rsidRPr="00471CBA" w:rsidRDefault="00E126F9" w:rsidP="00E126F9">
            <w:pPr>
              <w:tabs>
                <w:tab w:val="center" w:pos="564"/>
                <w:tab w:val="left" w:pos="1010"/>
                <w:tab w:val="right" w:pos="1128"/>
              </w:tabs>
              <w:ind w:right="105"/>
              <w:jc w:val="right"/>
              <w:rPr>
                <w:b/>
                <w:bCs/>
                <w:iCs/>
                <w:sz w:val="18"/>
                <w:szCs w:val="18"/>
              </w:rPr>
            </w:pPr>
            <w:r w:rsidRPr="00471CBA">
              <w:rPr>
                <w:b/>
                <w:bCs/>
                <w:iCs/>
              </w:rPr>
              <w:t>-</w:t>
            </w:r>
          </w:p>
        </w:tc>
        <w:tc>
          <w:tcPr>
            <w:tcW w:w="516" w:type="pct"/>
            <w:tcBorders>
              <w:top w:val="nil"/>
              <w:left w:val="nil"/>
              <w:right w:val="nil"/>
            </w:tcBorders>
          </w:tcPr>
          <w:p w14:paraId="3BD3710C" w14:textId="1D754B5D" w:rsidR="00E126F9" w:rsidRPr="00471CBA" w:rsidRDefault="00E126F9" w:rsidP="00E126F9">
            <w:pPr>
              <w:tabs>
                <w:tab w:val="center" w:pos="564"/>
                <w:tab w:val="left" w:pos="1010"/>
                <w:tab w:val="right" w:pos="1128"/>
              </w:tabs>
              <w:ind w:right="105"/>
              <w:jc w:val="right"/>
              <w:rPr>
                <w:b/>
                <w:bCs/>
                <w:iCs/>
                <w:sz w:val="18"/>
                <w:szCs w:val="18"/>
              </w:rPr>
            </w:pPr>
            <w:r w:rsidRPr="00471CBA">
              <w:rPr>
                <w:b/>
                <w:bCs/>
                <w:iCs/>
              </w:rPr>
              <w:t>-</w:t>
            </w:r>
          </w:p>
        </w:tc>
        <w:tc>
          <w:tcPr>
            <w:tcW w:w="515" w:type="pct"/>
            <w:tcBorders>
              <w:top w:val="nil"/>
              <w:left w:val="nil"/>
              <w:right w:val="nil"/>
            </w:tcBorders>
          </w:tcPr>
          <w:p w14:paraId="39A4A4E3" w14:textId="17476C30" w:rsidR="00E126F9" w:rsidRPr="00471CBA" w:rsidRDefault="00E126F9" w:rsidP="00E126F9">
            <w:pPr>
              <w:tabs>
                <w:tab w:val="center" w:pos="564"/>
                <w:tab w:val="left" w:pos="1010"/>
                <w:tab w:val="right" w:pos="1128"/>
              </w:tabs>
              <w:ind w:right="105"/>
              <w:jc w:val="right"/>
              <w:rPr>
                <w:b/>
                <w:bCs/>
                <w:iCs/>
                <w:sz w:val="18"/>
                <w:szCs w:val="18"/>
              </w:rPr>
            </w:pPr>
            <w:r w:rsidRPr="00471CBA">
              <w:rPr>
                <w:b/>
                <w:bCs/>
                <w:iCs/>
              </w:rPr>
              <w:t>-</w:t>
            </w:r>
          </w:p>
        </w:tc>
        <w:tc>
          <w:tcPr>
            <w:tcW w:w="589" w:type="pct"/>
            <w:tcBorders>
              <w:top w:val="nil"/>
              <w:left w:val="nil"/>
              <w:right w:val="nil"/>
            </w:tcBorders>
          </w:tcPr>
          <w:p w14:paraId="7C5675E6" w14:textId="7A0ECE51" w:rsidR="00E126F9" w:rsidRPr="00471CBA" w:rsidRDefault="00E126F9" w:rsidP="00E126F9">
            <w:pPr>
              <w:tabs>
                <w:tab w:val="center" w:pos="564"/>
                <w:tab w:val="left" w:pos="1010"/>
                <w:tab w:val="right" w:pos="1128"/>
              </w:tabs>
              <w:ind w:right="105"/>
              <w:jc w:val="right"/>
              <w:rPr>
                <w:b/>
                <w:bCs/>
                <w:iCs/>
                <w:sz w:val="18"/>
                <w:szCs w:val="18"/>
              </w:rPr>
            </w:pPr>
            <w:r w:rsidRPr="00471CBA">
              <w:rPr>
                <w:b/>
                <w:bCs/>
                <w:iCs/>
              </w:rPr>
              <w:t>-</w:t>
            </w:r>
          </w:p>
        </w:tc>
        <w:tc>
          <w:tcPr>
            <w:tcW w:w="589" w:type="pct"/>
            <w:tcBorders>
              <w:top w:val="nil"/>
              <w:left w:val="nil"/>
              <w:right w:val="nil"/>
            </w:tcBorders>
          </w:tcPr>
          <w:p w14:paraId="1BF5E5CD" w14:textId="089300F2" w:rsidR="00E126F9" w:rsidRPr="00471CBA" w:rsidRDefault="00E126F9" w:rsidP="00E126F9">
            <w:pPr>
              <w:tabs>
                <w:tab w:val="center" w:pos="564"/>
                <w:tab w:val="left" w:pos="1010"/>
                <w:tab w:val="right" w:pos="1128"/>
              </w:tabs>
              <w:ind w:right="105"/>
              <w:jc w:val="right"/>
              <w:rPr>
                <w:b/>
                <w:bCs/>
                <w:iCs/>
                <w:color w:val="000000"/>
                <w:sz w:val="18"/>
                <w:szCs w:val="22"/>
              </w:rPr>
            </w:pPr>
            <w:r w:rsidRPr="00471CBA">
              <w:rPr>
                <w:b/>
                <w:bCs/>
                <w:iCs/>
              </w:rPr>
              <w:t>352.073</w:t>
            </w:r>
          </w:p>
        </w:tc>
        <w:tc>
          <w:tcPr>
            <w:tcW w:w="516" w:type="pct"/>
            <w:tcBorders>
              <w:top w:val="nil"/>
              <w:left w:val="nil"/>
              <w:right w:val="nil"/>
            </w:tcBorders>
          </w:tcPr>
          <w:p w14:paraId="437DBD05" w14:textId="02A16D03" w:rsidR="00E126F9" w:rsidRPr="00471CBA" w:rsidRDefault="00E126F9" w:rsidP="00E126F9">
            <w:pPr>
              <w:tabs>
                <w:tab w:val="center" w:pos="564"/>
                <w:tab w:val="left" w:pos="1010"/>
                <w:tab w:val="right" w:pos="1128"/>
              </w:tabs>
              <w:ind w:right="105"/>
              <w:jc w:val="right"/>
              <w:rPr>
                <w:b/>
                <w:bCs/>
                <w:iCs/>
                <w:sz w:val="18"/>
                <w:szCs w:val="18"/>
              </w:rPr>
            </w:pPr>
            <w:r w:rsidRPr="00471CBA">
              <w:rPr>
                <w:b/>
                <w:bCs/>
                <w:iCs/>
              </w:rPr>
              <w:t>-</w:t>
            </w:r>
          </w:p>
        </w:tc>
      </w:tr>
      <w:tr w:rsidR="002152D0" w:rsidRPr="00471CBA" w14:paraId="3E41931A" w14:textId="77777777" w:rsidTr="00D80152">
        <w:trPr>
          <w:trHeight w:val="173"/>
        </w:trPr>
        <w:tc>
          <w:tcPr>
            <w:tcW w:w="1687" w:type="pct"/>
            <w:tcBorders>
              <w:bottom w:val="single" w:sz="4" w:space="0" w:color="auto"/>
            </w:tcBorders>
            <w:shd w:val="clear" w:color="auto" w:fill="FFFFFF"/>
            <w:vAlign w:val="bottom"/>
          </w:tcPr>
          <w:p w14:paraId="465A37DF" w14:textId="77777777" w:rsidR="002152D0" w:rsidRPr="00471CBA" w:rsidRDefault="002152D0" w:rsidP="00BB0581">
            <w:pPr>
              <w:rPr>
                <w:b/>
                <w:bCs/>
                <w:iCs/>
                <w:sz w:val="18"/>
                <w:szCs w:val="18"/>
              </w:rPr>
            </w:pPr>
          </w:p>
        </w:tc>
        <w:tc>
          <w:tcPr>
            <w:tcW w:w="588" w:type="pct"/>
            <w:tcBorders>
              <w:bottom w:val="single" w:sz="4" w:space="0" w:color="auto"/>
            </w:tcBorders>
            <w:vAlign w:val="bottom"/>
          </w:tcPr>
          <w:p w14:paraId="0E1E3B22" w14:textId="77777777" w:rsidR="002152D0" w:rsidRPr="00471CBA" w:rsidRDefault="002152D0" w:rsidP="00D80152">
            <w:pPr>
              <w:ind w:right="94"/>
              <w:jc w:val="right"/>
              <w:rPr>
                <w:sz w:val="18"/>
                <w:szCs w:val="18"/>
              </w:rPr>
            </w:pPr>
          </w:p>
        </w:tc>
        <w:tc>
          <w:tcPr>
            <w:tcW w:w="516" w:type="pct"/>
            <w:tcBorders>
              <w:bottom w:val="single" w:sz="4" w:space="0" w:color="auto"/>
            </w:tcBorders>
            <w:vAlign w:val="bottom"/>
          </w:tcPr>
          <w:p w14:paraId="38CF4804" w14:textId="77777777" w:rsidR="002152D0" w:rsidRPr="00471CBA" w:rsidRDefault="002152D0" w:rsidP="00D80152">
            <w:pPr>
              <w:ind w:right="94"/>
              <w:jc w:val="right"/>
              <w:rPr>
                <w:sz w:val="18"/>
                <w:szCs w:val="18"/>
              </w:rPr>
            </w:pPr>
          </w:p>
        </w:tc>
        <w:tc>
          <w:tcPr>
            <w:tcW w:w="515" w:type="pct"/>
            <w:tcBorders>
              <w:bottom w:val="single" w:sz="4" w:space="0" w:color="auto"/>
            </w:tcBorders>
            <w:vAlign w:val="bottom"/>
          </w:tcPr>
          <w:p w14:paraId="030A91EE" w14:textId="77777777" w:rsidR="002152D0" w:rsidRPr="00471CBA" w:rsidRDefault="002152D0" w:rsidP="00D80152">
            <w:pPr>
              <w:ind w:right="94"/>
              <w:jc w:val="right"/>
              <w:rPr>
                <w:sz w:val="18"/>
                <w:szCs w:val="18"/>
              </w:rPr>
            </w:pPr>
          </w:p>
        </w:tc>
        <w:tc>
          <w:tcPr>
            <w:tcW w:w="589" w:type="pct"/>
            <w:tcBorders>
              <w:bottom w:val="single" w:sz="4" w:space="0" w:color="auto"/>
            </w:tcBorders>
            <w:vAlign w:val="bottom"/>
          </w:tcPr>
          <w:p w14:paraId="478D0E15" w14:textId="77777777" w:rsidR="002152D0" w:rsidRPr="00471CBA" w:rsidRDefault="002152D0" w:rsidP="00D80152">
            <w:pPr>
              <w:ind w:right="94"/>
              <w:jc w:val="right"/>
              <w:rPr>
                <w:sz w:val="18"/>
                <w:szCs w:val="18"/>
              </w:rPr>
            </w:pPr>
          </w:p>
        </w:tc>
        <w:tc>
          <w:tcPr>
            <w:tcW w:w="589" w:type="pct"/>
            <w:tcBorders>
              <w:bottom w:val="single" w:sz="4" w:space="0" w:color="auto"/>
            </w:tcBorders>
            <w:vAlign w:val="bottom"/>
          </w:tcPr>
          <w:p w14:paraId="0962256F" w14:textId="77777777" w:rsidR="002152D0" w:rsidRPr="00471CBA" w:rsidRDefault="002152D0" w:rsidP="00D80152">
            <w:pPr>
              <w:ind w:right="94"/>
              <w:jc w:val="right"/>
              <w:rPr>
                <w:sz w:val="18"/>
                <w:szCs w:val="18"/>
              </w:rPr>
            </w:pPr>
          </w:p>
        </w:tc>
        <w:tc>
          <w:tcPr>
            <w:tcW w:w="516" w:type="pct"/>
            <w:tcBorders>
              <w:bottom w:val="single" w:sz="4" w:space="0" w:color="auto"/>
            </w:tcBorders>
            <w:vAlign w:val="bottom"/>
          </w:tcPr>
          <w:p w14:paraId="1542C9BA" w14:textId="77777777" w:rsidR="002152D0" w:rsidRPr="00471CBA" w:rsidRDefault="002152D0" w:rsidP="00D80152">
            <w:pPr>
              <w:ind w:right="94"/>
              <w:jc w:val="right"/>
              <w:rPr>
                <w:sz w:val="18"/>
                <w:szCs w:val="18"/>
              </w:rPr>
            </w:pPr>
          </w:p>
        </w:tc>
      </w:tr>
    </w:tbl>
    <w:p w14:paraId="4FF74912" w14:textId="34EE0121" w:rsidR="002152D0" w:rsidRPr="00471CBA" w:rsidRDefault="002152D0" w:rsidP="002152D0">
      <w:pPr>
        <w:pStyle w:val="GvdeMetniGirintisi"/>
        <w:widowControl w:val="0"/>
        <w:ind w:right="206"/>
        <w:rPr>
          <w:b/>
          <w:iCs/>
          <w:szCs w:val="20"/>
        </w:rPr>
      </w:pPr>
    </w:p>
    <w:tbl>
      <w:tblPr>
        <w:tblW w:w="5000" w:type="pct"/>
        <w:tblCellMar>
          <w:left w:w="0" w:type="dxa"/>
          <w:right w:w="0" w:type="dxa"/>
        </w:tblCellMar>
        <w:tblLook w:val="0000" w:firstRow="0" w:lastRow="0" w:firstColumn="0" w:lastColumn="0" w:noHBand="0" w:noVBand="0"/>
      </w:tblPr>
      <w:tblGrid>
        <w:gridCol w:w="3157"/>
        <w:gridCol w:w="1100"/>
        <w:gridCol w:w="965"/>
        <w:gridCol w:w="964"/>
        <w:gridCol w:w="1102"/>
        <w:gridCol w:w="1102"/>
        <w:gridCol w:w="965"/>
      </w:tblGrid>
      <w:tr w:rsidR="00AC5D64" w:rsidRPr="00471CBA" w14:paraId="5B53D009" w14:textId="77777777" w:rsidTr="007340C6">
        <w:trPr>
          <w:trHeight w:val="126"/>
        </w:trPr>
        <w:tc>
          <w:tcPr>
            <w:tcW w:w="1687" w:type="pct"/>
            <w:tcBorders>
              <w:top w:val="single" w:sz="4" w:space="0" w:color="auto"/>
              <w:bottom w:val="single" w:sz="4" w:space="0" w:color="auto"/>
            </w:tcBorders>
            <w:shd w:val="clear" w:color="auto" w:fill="FFFFFF"/>
            <w:vAlign w:val="bottom"/>
          </w:tcPr>
          <w:p w14:paraId="2A58FA82" w14:textId="77777777" w:rsidR="00AC5D64" w:rsidRPr="00471CBA" w:rsidRDefault="00AC5D64" w:rsidP="007340C6">
            <w:pPr>
              <w:pStyle w:val="xl79"/>
              <w:pBdr>
                <w:left w:val="none" w:sz="0" w:space="0" w:color="auto"/>
                <w:bottom w:val="none" w:sz="0" w:space="0" w:color="auto"/>
                <w:right w:val="none" w:sz="0" w:space="0" w:color="auto"/>
              </w:pBdr>
              <w:spacing w:before="0" w:beforeAutospacing="0" w:after="0" w:afterAutospacing="0"/>
              <w:rPr>
                <w:rFonts w:eastAsia="Times New Roman"/>
                <w:b/>
                <w:bCs/>
                <w:iCs/>
                <w:noProof w:val="0"/>
              </w:rPr>
            </w:pPr>
          </w:p>
          <w:p w14:paraId="328F1B01" w14:textId="77777777" w:rsidR="00AC5D64" w:rsidRPr="00471CBA" w:rsidRDefault="00AC5D64" w:rsidP="007340C6">
            <w:pPr>
              <w:pStyle w:val="xl79"/>
              <w:pBdr>
                <w:left w:val="none" w:sz="0" w:space="0" w:color="auto"/>
                <w:bottom w:val="none" w:sz="0" w:space="0" w:color="auto"/>
                <w:right w:val="none" w:sz="0" w:space="0" w:color="auto"/>
              </w:pBdr>
              <w:spacing w:before="0" w:beforeAutospacing="0" w:after="0" w:afterAutospacing="0"/>
              <w:rPr>
                <w:b/>
                <w:bCs/>
              </w:rPr>
            </w:pPr>
            <w:r w:rsidRPr="00471CBA">
              <w:rPr>
                <w:b/>
                <w:bCs/>
              </w:rPr>
              <w:t>31 Aralık 2024</w:t>
            </w:r>
          </w:p>
          <w:p w14:paraId="370BBDAC" w14:textId="77777777" w:rsidR="00AC5D64" w:rsidRPr="00471CBA" w:rsidRDefault="00AC5D64" w:rsidP="007340C6">
            <w:pPr>
              <w:pStyle w:val="xl79"/>
              <w:pBdr>
                <w:left w:val="none" w:sz="0" w:space="0" w:color="auto"/>
                <w:bottom w:val="none" w:sz="0" w:space="0" w:color="auto"/>
                <w:right w:val="none" w:sz="0" w:space="0" w:color="auto"/>
              </w:pBdr>
              <w:spacing w:before="0" w:beforeAutospacing="0" w:after="0" w:afterAutospacing="0"/>
              <w:rPr>
                <w:b/>
                <w:bCs/>
                <w:iCs/>
              </w:rPr>
            </w:pPr>
          </w:p>
          <w:p w14:paraId="58782DD3" w14:textId="77777777" w:rsidR="00AC5D64" w:rsidRPr="00471CBA" w:rsidRDefault="00AC5D64" w:rsidP="007340C6">
            <w:pPr>
              <w:pStyle w:val="xl79"/>
              <w:pBdr>
                <w:left w:val="none" w:sz="0" w:space="0" w:color="auto"/>
                <w:bottom w:val="none" w:sz="0" w:space="0" w:color="auto"/>
                <w:right w:val="none" w:sz="0" w:space="0" w:color="auto"/>
              </w:pBdr>
              <w:spacing w:before="0" w:beforeAutospacing="0" w:after="0" w:afterAutospacing="0"/>
              <w:rPr>
                <w:rFonts w:eastAsia="Times New Roman"/>
                <w:b/>
                <w:bCs/>
                <w:iCs/>
                <w:noProof w:val="0"/>
              </w:rPr>
            </w:pPr>
            <w:r w:rsidRPr="00471CBA">
              <w:rPr>
                <w:rFonts w:eastAsia="Times New Roman"/>
                <w:b/>
                <w:bCs/>
                <w:iCs/>
                <w:noProof w:val="0"/>
              </w:rPr>
              <w:t>Banka’nın Dahil Olduğu Risk Grubu</w:t>
            </w:r>
          </w:p>
        </w:tc>
        <w:tc>
          <w:tcPr>
            <w:tcW w:w="1104" w:type="pct"/>
            <w:gridSpan w:val="2"/>
            <w:tcBorders>
              <w:top w:val="single" w:sz="4" w:space="0" w:color="auto"/>
              <w:bottom w:val="single" w:sz="4" w:space="0" w:color="auto"/>
            </w:tcBorders>
            <w:shd w:val="clear" w:color="auto" w:fill="FFFFFF"/>
            <w:vAlign w:val="bottom"/>
          </w:tcPr>
          <w:p w14:paraId="1582D64A" w14:textId="77777777" w:rsidR="00AC5D64" w:rsidRPr="00471CBA" w:rsidRDefault="00AC5D64" w:rsidP="0079192A">
            <w:pPr>
              <w:ind w:right="57"/>
              <w:jc w:val="right"/>
              <w:rPr>
                <w:b/>
                <w:bCs/>
                <w:iCs/>
                <w:sz w:val="18"/>
                <w:szCs w:val="18"/>
              </w:rPr>
            </w:pPr>
            <w:r w:rsidRPr="00471CBA">
              <w:rPr>
                <w:b/>
                <w:bCs/>
                <w:iCs/>
                <w:sz w:val="18"/>
                <w:szCs w:val="18"/>
              </w:rPr>
              <w:t>İştirak, Bağlı Ortaklık ve Birlikte Kontrol Edilen Ortaklıklar (İş Ortaklıkları)</w:t>
            </w:r>
          </w:p>
        </w:tc>
        <w:tc>
          <w:tcPr>
            <w:tcW w:w="1104" w:type="pct"/>
            <w:gridSpan w:val="2"/>
            <w:tcBorders>
              <w:top w:val="single" w:sz="4" w:space="0" w:color="auto"/>
              <w:bottom w:val="single" w:sz="4" w:space="0" w:color="auto"/>
            </w:tcBorders>
            <w:shd w:val="clear" w:color="auto" w:fill="FFFFFF"/>
            <w:vAlign w:val="bottom"/>
          </w:tcPr>
          <w:p w14:paraId="5763982B" w14:textId="77777777" w:rsidR="00AC5D64" w:rsidRPr="00471CBA" w:rsidRDefault="00AC5D64" w:rsidP="0079192A">
            <w:pPr>
              <w:ind w:right="57"/>
              <w:jc w:val="right"/>
              <w:rPr>
                <w:b/>
                <w:bCs/>
                <w:iCs/>
                <w:sz w:val="18"/>
                <w:szCs w:val="18"/>
              </w:rPr>
            </w:pPr>
            <w:r w:rsidRPr="00471CBA">
              <w:rPr>
                <w:b/>
                <w:bCs/>
                <w:iCs/>
                <w:sz w:val="18"/>
                <w:szCs w:val="18"/>
              </w:rPr>
              <w:t>Banka’nın Doğrudan ve Dolaylı Ortakları</w:t>
            </w:r>
          </w:p>
        </w:tc>
        <w:tc>
          <w:tcPr>
            <w:tcW w:w="1105" w:type="pct"/>
            <w:gridSpan w:val="2"/>
            <w:tcBorders>
              <w:top w:val="single" w:sz="4" w:space="0" w:color="auto"/>
            </w:tcBorders>
            <w:shd w:val="clear" w:color="auto" w:fill="FFFFFF"/>
            <w:vAlign w:val="bottom"/>
          </w:tcPr>
          <w:p w14:paraId="22D187CF" w14:textId="77777777" w:rsidR="00AC5D64" w:rsidRPr="00471CBA" w:rsidRDefault="00AC5D64" w:rsidP="0079192A">
            <w:pPr>
              <w:ind w:right="57"/>
              <w:jc w:val="right"/>
              <w:rPr>
                <w:b/>
                <w:bCs/>
                <w:iCs/>
                <w:sz w:val="18"/>
                <w:szCs w:val="18"/>
              </w:rPr>
            </w:pPr>
            <w:r w:rsidRPr="00471CBA">
              <w:rPr>
                <w:b/>
                <w:bCs/>
                <w:iCs/>
                <w:sz w:val="18"/>
                <w:szCs w:val="18"/>
              </w:rPr>
              <w:t>Risk Grubuna Dahil Olan Diğer Gerçek ve Tüzel Kişiler</w:t>
            </w:r>
          </w:p>
        </w:tc>
      </w:tr>
      <w:tr w:rsidR="00AC5D64" w:rsidRPr="00471CBA" w14:paraId="38D7E8F1" w14:textId="77777777" w:rsidTr="007340C6">
        <w:trPr>
          <w:trHeight w:val="126"/>
        </w:trPr>
        <w:tc>
          <w:tcPr>
            <w:tcW w:w="1687" w:type="pct"/>
            <w:tcBorders>
              <w:top w:val="single" w:sz="4" w:space="0" w:color="auto"/>
              <w:bottom w:val="single" w:sz="4" w:space="0" w:color="auto"/>
            </w:tcBorders>
            <w:shd w:val="clear" w:color="auto" w:fill="FFFFFF"/>
            <w:vAlign w:val="bottom"/>
          </w:tcPr>
          <w:p w14:paraId="3960E02E" w14:textId="77777777" w:rsidR="00AC5D64" w:rsidRPr="00471CBA" w:rsidRDefault="00AC5D64" w:rsidP="007340C6">
            <w:pPr>
              <w:pStyle w:val="xl79"/>
              <w:pBdr>
                <w:left w:val="none" w:sz="0" w:space="0" w:color="auto"/>
                <w:bottom w:val="none" w:sz="0" w:space="0" w:color="auto"/>
                <w:right w:val="none" w:sz="0" w:space="0" w:color="auto"/>
              </w:pBdr>
              <w:spacing w:before="0" w:beforeAutospacing="0" w:after="0" w:afterAutospacing="0"/>
              <w:rPr>
                <w:rFonts w:eastAsia="Times New Roman"/>
                <w:bCs/>
                <w:iCs/>
                <w:noProof w:val="0"/>
              </w:rPr>
            </w:pPr>
          </w:p>
        </w:tc>
        <w:tc>
          <w:tcPr>
            <w:tcW w:w="588" w:type="pct"/>
            <w:tcBorders>
              <w:top w:val="single" w:sz="4" w:space="0" w:color="auto"/>
              <w:bottom w:val="single" w:sz="4" w:space="0" w:color="auto"/>
            </w:tcBorders>
            <w:shd w:val="clear" w:color="auto" w:fill="FFFFFF"/>
            <w:vAlign w:val="bottom"/>
          </w:tcPr>
          <w:p w14:paraId="548528AA" w14:textId="77777777" w:rsidR="00AC5D64" w:rsidRPr="00471CBA" w:rsidRDefault="00AC5D64" w:rsidP="0079192A">
            <w:pPr>
              <w:ind w:right="57"/>
              <w:jc w:val="right"/>
              <w:rPr>
                <w:rFonts w:eastAsia="Arial Unicode MS"/>
                <w:b/>
                <w:sz w:val="18"/>
                <w:szCs w:val="18"/>
              </w:rPr>
            </w:pPr>
            <w:r w:rsidRPr="00471CBA">
              <w:rPr>
                <w:b/>
                <w:sz w:val="18"/>
                <w:szCs w:val="18"/>
              </w:rPr>
              <w:t>Nakdi</w:t>
            </w:r>
          </w:p>
        </w:tc>
        <w:tc>
          <w:tcPr>
            <w:tcW w:w="516" w:type="pct"/>
            <w:tcBorders>
              <w:top w:val="single" w:sz="4" w:space="0" w:color="auto"/>
              <w:bottom w:val="single" w:sz="4" w:space="0" w:color="auto"/>
            </w:tcBorders>
            <w:shd w:val="clear" w:color="auto" w:fill="FFFFFF"/>
            <w:vAlign w:val="bottom"/>
          </w:tcPr>
          <w:p w14:paraId="1375E770" w14:textId="77777777" w:rsidR="00AC5D64" w:rsidRPr="00471CBA" w:rsidRDefault="00AC5D64" w:rsidP="0079192A">
            <w:pPr>
              <w:ind w:right="57"/>
              <w:jc w:val="right"/>
              <w:rPr>
                <w:rFonts w:eastAsia="Arial Unicode MS"/>
                <w:b/>
                <w:sz w:val="18"/>
                <w:szCs w:val="18"/>
              </w:rPr>
            </w:pPr>
            <w:proofErr w:type="spellStart"/>
            <w:r w:rsidRPr="00471CBA">
              <w:rPr>
                <w:b/>
                <w:sz w:val="18"/>
                <w:szCs w:val="18"/>
              </w:rPr>
              <w:t>G.Nakdi</w:t>
            </w:r>
            <w:proofErr w:type="spellEnd"/>
          </w:p>
        </w:tc>
        <w:tc>
          <w:tcPr>
            <w:tcW w:w="515" w:type="pct"/>
            <w:tcBorders>
              <w:top w:val="single" w:sz="4" w:space="0" w:color="auto"/>
              <w:bottom w:val="single" w:sz="4" w:space="0" w:color="auto"/>
            </w:tcBorders>
            <w:shd w:val="clear" w:color="auto" w:fill="FFFFFF"/>
            <w:vAlign w:val="bottom"/>
          </w:tcPr>
          <w:p w14:paraId="2D3C79D2" w14:textId="77777777" w:rsidR="00AC5D64" w:rsidRPr="00471CBA" w:rsidRDefault="00AC5D64" w:rsidP="0079192A">
            <w:pPr>
              <w:ind w:right="57"/>
              <w:jc w:val="right"/>
              <w:rPr>
                <w:rFonts w:eastAsia="Arial Unicode MS"/>
                <w:b/>
                <w:sz w:val="18"/>
                <w:szCs w:val="18"/>
              </w:rPr>
            </w:pPr>
            <w:r w:rsidRPr="00471CBA">
              <w:rPr>
                <w:b/>
                <w:sz w:val="18"/>
                <w:szCs w:val="18"/>
              </w:rPr>
              <w:t>Nakdi</w:t>
            </w:r>
          </w:p>
        </w:tc>
        <w:tc>
          <w:tcPr>
            <w:tcW w:w="589" w:type="pct"/>
            <w:tcBorders>
              <w:top w:val="single" w:sz="4" w:space="0" w:color="auto"/>
              <w:bottom w:val="single" w:sz="4" w:space="0" w:color="auto"/>
            </w:tcBorders>
            <w:shd w:val="clear" w:color="auto" w:fill="FFFFFF"/>
            <w:vAlign w:val="bottom"/>
          </w:tcPr>
          <w:p w14:paraId="041A47BB" w14:textId="77777777" w:rsidR="00AC5D64" w:rsidRPr="00471CBA" w:rsidRDefault="00AC5D64" w:rsidP="0079192A">
            <w:pPr>
              <w:ind w:right="57"/>
              <w:jc w:val="right"/>
              <w:rPr>
                <w:rFonts w:eastAsia="Arial Unicode MS"/>
                <w:b/>
                <w:sz w:val="18"/>
                <w:szCs w:val="18"/>
              </w:rPr>
            </w:pPr>
            <w:proofErr w:type="spellStart"/>
            <w:r w:rsidRPr="00471CBA">
              <w:rPr>
                <w:b/>
                <w:sz w:val="18"/>
                <w:szCs w:val="18"/>
              </w:rPr>
              <w:t>G.Nakdi</w:t>
            </w:r>
            <w:proofErr w:type="spellEnd"/>
          </w:p>
        </w:tc>
        <w:tc>
          <w:tcPr>
            <w:tcW w:w="589" w:type="pct"/>
            <w:tcBorders>
              <w:top w:val="single" w:sz="4" w:space="0" w:color="auto"/>
              <w:bottom w:val="single" w:sz="4" w:space="0" w:color="auto"/>
            </w:tcBorders>
            <w:shd w:val="clear" w:color="auto" w:fill="FFFFFF"/>
            <w:vAlign w:val="bottom"/>
          </w:tcPr>
          <w:p w14:paraId="7F3E8D9F" w14:textId="77777777" w:rsidR="00AC5D64" w:rsidRPr="00471CBA" w:rsidRDefault="00AC5D64" w:rsidP="0079192A">
            <w:pPr>
              <w:ind w:right="57"/>
              <w:jc w:val="right"/>
              <w:rPr>
                <w:rFonts w:eastAsia="Arial Unicode MS"/>
                <w:b/>
                <w:sz w:val="18"/>
                <w:szCs w:val="18"/>
              </w:rPr>
            </w:pPr>
            <w:r w:rsidRPr="00471CBA">
              <w:rPr>
                <w:b/>
                <w:sz w:val="18"/>
                <w:szCs w:val="18"/>
              </w:rPr>
              <w:t>Nakdi</w:t>
            </w:r>
          </w:p>
        </w:tc>
        <w:tc>
          <w:tcPr>
            <w:tcW w:w="516" w:type="pct"/>
            <w:tcBorders>
              <w:top w:val="single" w:sz="4" w:space="0" w:color="auto"/>
              <w:bottom w:val="single" w:sz="4" w:space="0" w:color="auto"/>
            </w:tcBorders>
            <w:shd w:val="clear" w:color="auto" w:fill="FFFFFF"/>
            <w:vAlign w:val="bottom"/>
          </w:tcPr>
          <w:p w14:paraId="1DCC11E9" w14:textId="77777777" w:rsidR="00AC5D64" w:rsidRPr="00471CBA" w:rsidRDefault="00AC5D64" w:rsidP="0079192A">
            <w:pPr>
              <w:ind w:right="57"/>
              <w:jc w:val="right"/>
              <w:rPr>
                <w:rFonts w:eastAsia="Arial Unicode MS"/>
                <w:b/>
                <w:sz w:val="18"/>
                <w:szCs w:val="18"/>
              </w:rPr>
            </w:pPr>
            <w:proofErr w:type="spellStart"/>
            <w:r w:rsidRPr="00471CBA">
              <w:rPr>
                <w:b/>
                <w:sz w:val="18"/>
                <w:szCs w:val="18"/>
              </w:rPr>
              <w:t>G.Nakdi</w:t>
            </w:r>
            <w:proofErr w:type="spellEnd"/>
          </w:p>
        </w:tc>
      </w:tr>
      <w:tr w:rsidR="00AC5D64" w:rsidRPr="00471CBA" w14:paraId="005ACE55" w14:textId="77777777" w:rsidTr="007340C6">
        <w:trPr>
          <w:trHeight w:val="126"/>
        </w:trPr>
        <w:tc>
          <w:tcPr>
            <w:tcW w:w="1687" w:type="pct"/>
            <w:tcBorders>
              <w:top w:val="single" w:sz="4" w:space="0" w:color="auto"/>
            </w:tcBorders>
            <w:shd w:val="clear" w:color="auto" w:fill="FFFFFF"/>
            <w:vAlign w:val="bottom"/>
          </w:tcPr>
          <w:p w14:paraId="4E104276" w14:textId="77777777" w:rsidR="00AC5D64" w:rsidRPr="00471CBA" w:rsidRDefault="00AC5D64" w:rsidP="007340C6">
            <w:pPr>
              <w:pStyle w:val="xl79"/>
              <w:pBdr>
                <w:left w:val="none" w:sz="0" w:space="0" w:color="auto"/>
                <w:bottom w:val="none" w:sz="0" w:space="0" w:color="auto"/>
                <w:right w:val="none" w:sz="0" w:space="0" w:color="auto"/>
              </w:pBdr>
              <w:spacing w:before="0" w:beforeAutospacing="0" w:after="0" w:afterAutospacing="0"/>
              <w:rPr>
                <w:rFonts w:eastAsia="Times New Roman"/>
                <w:bCs/>
                <w:iCs/>
                <w:noProof w:val="0"/>
              </w:rPr>
            </w:pPr>
          </w:p>
        </w:tc>
        <w:tc>
          <w:tcPr>
            <w:tcW w:w="588" w:type="pct"/>
            <w:tcBorders>
              <w:top w:val="single" w:sz="4" w:space="0" w:color="auto"/>
            </w:tcBorders>
            <w:shd w:val="clear" w:color="auto" w:fill="FFFFFF"/>
            <w:vAlign w:val="bottom"/>
          </w:tcPr>
          <w:p w14:paraId="60D28BB2" w14:textId="77777777" w:rsidR="00AC5D64" w:rsidRPr="00471CBA" w:rsidRDefault="00AC5D64" w:rsidP="007340C6">
            <w:pPr>
              <w:ind w:right="94"/>
              <w:jc w:val="right"/>
              <w:rPr>
                <w:b/>
                <w:sz w:val="18"/>
                <w:szCs w:val="18"/>
              </w:rPr>
            </w:pPr>
          </w:p>
        </w:tc>
        <w:tc>
          <w:tcPr>
            <w:tcW w:w="516" w:type="pct"/>
            <w:tcBorders>
              <w:top w:val="single" w:sz="4" w:space="0" w:color="auto"/>
            </w:tcBorders>
            <w:shd w:val="clear" w:color="auto" w:fill="FFFFFF"/>
            <w:vAlign w:val="bottom"/>
          </w:tcPr>
          <w:p w14:paraId="08461BE9" w14:textId="77777777" w:rsidR="00AC5D64" w:rsidRPr="00471CBA" w:rsidRDefault="00AC5D64" w:rsidP="007340C6">
            <w:pPr>
              <w:ind w:right="94"/>
              <w:jc w:val="right"/>
              <w:rPr>
                <w:b/>
                <w:sz w:val="18"/>
                <w:szCs w:val="18"/>
              </w:rPr>
            </w:pPr>
          </w:p>
        </w:tc>
        <w:tc>
          <w:tcPr>
            <w:tcW w:w="515" w:type="pct"/>
            <w:tcBorders>
              <w:top w:val="single" w:sz="4" w:space="0" w:color="auto"/>
            </w:tcBorders>
            <w:shd w:val="clear" w:color="auto" w:fill="FFFFFF"/>
            <w:vAlign w:val="bottom"/>
          </w:tcPr>
          <w:p w14:paraId="04A970DF" w14:textId="77777777" w:rsidR="00AC5D64" w:rsidRPr="00471CBA" w:rsidRDefault="00AC5D64" w:rsidP="007340C6">
            <w:pPr>
              <w:ind w:right="94"/>
              <w:jc w:val="right"/>
              <w:rPr>
                <w:b/>
                <w:sz w:val="18"/>
                <w:szCs w:val="18"/>
              </w:rPr>
            </w:pPr>
          </w:p>
        </w:tc>
        <w:tc>
          <w:tcPr>
            <w:tcW w:w="589" w:type="pct"/>
            <w:tcBorders>
              <w:top w:val="single" w:sz="4" w:space="0" w:color="auto"/>
            </w:tcBorders>
            <w:shd w:val="clear" w:color="auto" w:fill="FFFFFF"/>
            <w:vAlign w:val="bottom"/>
          </w:tcPr>
          <w:p w14:paraId="735BC977" w14:textId="77777777" w:rsidR="00AC5D64" w:rsidRPr="00471CBA" w:rsidRDefault="00AC5D64" w:rsidP="007340C6">
            <w:pPr>
              <w:ind w:right="94"/>
              <w:jc w:val="right"/>
              <w:rPr>
                <w:b/>
                <w:sz w:val="18"/>
                <w:szCs w:val="18"/>
              </w:rPr>
            </w:pPr>
          </w:p>
        </w:tc>
        <w:tc>
          <w:tcPr>
            <w:tcW w:w="589" w:type="pct"/>
            <w:tcBorders>
              <w:top w:val="single" w:sz="4" w:space="0" w:color="auto"/>
            </w:tcBorders>
            <w:shd w:val="clear" w:color="auto" w:fill="FFFFFF"/>
            <w:vAlign w:val="bottom"/>
          </w:tcPr>
          <w:p w14:paraId="234CCBC0" w14:textId="77777777" w:rsidR="00AC5D64" w:rsidRPr="00471CBA" w:rsidRDefault="00AC5D64" w:rsidP="007340C6">
            <w:pPr>
              <w:ind w:right="94"/>
              <w:jc w:val="right"/>
              <w:rPr>
                <w:b/>
                <w:sz w:val="18"/>
                <w:szCs w:val="18"/>
              </w:rPr>
            </w:pPr>
          </w:p>
        </w:tc>
        <w:tc>
          <w:tcPr>
            <w:tcW w:w="516" w:type="pct"/>
            <w:tcBorders>
              <w:top w:val="single" w:sz="4" w:space="0" w:color="auto"/>
            </w:tcBorders>
            <w:shd w:val="clear" w:color="auto" w:fill="FFFFFF"/>
            <w:vAlign w:val="bottom"/>
          </w:tcPr>
          <w:p w14:paraId="54313F6B" w14:textId="77777777" w:rsidR="00AC5D64" w:rsidRPr="00471CBA" w:rsidRDefault="00AC5D64" w:rsidP="007340C6">
            <w:pPr>
              <w:ind w:right="94"/>
              <w:jc w:val="right"/>
              <w:rPr>
                <w:b/>
                <w:sz w:val="18"/>
                <w:szCs w:val="18"/>
              </w:rPr>
            </w:pPr>
          </w:p>
        </w:tc>
      </w:tr>
      <w:tr w:rsidR="00AC5D64" w:rsidRPr="00471CBA" w14:paraId="42A614BF" w14:textId="77777777" w:rsidTr="007340C6">
        <w:trPr>
          <w:trHeight w:val="89"/>
        </w:trPr>
        <w:tc>
          <w:tcPr>
            <w:tcW w:w="1687" w:type="pct"/>
            <w:shd w:val="clear" w:color="auto" w:fill="FFFFFF"/>
            <w:vAlign w:val="bottom"/>
          </w:tcPr>
          <w:p w14:paraId="36AA39EB" w14:textId="77777777" w:rsidR="00AC5D64" w:rsidRPr="00471CBA" w:rsidRDefault="00AC5D64" w:rsidP="007340C6">
            <w:pPr>
              <w:rPr>
                <w:bCs/>
                <w:iCs/>
                <w:sz w:val="18"/>
                <w:szCs w:val="18"/>
              </w:rPr>
            </w:pPr>
            <w:r w:rsidRPr="00471CBA">
              <w:rPr>
                <w:b/>
                <w:bCs/>
                <w:iCs/>
                <w:sz w:val="18"/>
                <w:szCs w:val="18"/>
              </w:rPr>
              <w:t xml:space="preserve">Krediler </w:t>
            </w:r>
          </w:p>
        </w:tc>
        <w:tc>
          <w:tcPr>
            <w:tcW w:w="588" w:type="pct"/>
            <w:shd w:val="clear" w:color="auto" w:fill="FFFFFF"/>
            <w:vAlign w:val="bottom"/>
          </w:tcPr>
          <w:p w14:paraId="3B7CB833" w14:textId="77777777" w:rsidR="00AC5D64" w:rsidRPr="00471CBA" w:rsidRDefault="00AC5D64" w:rsidP="007340C6">
            <w:pPr>
              <w:tabs>
                <w:tab w:val="center" w:pos="564"/>
                <w:tab w:val="left" w:pos="1010"/>
                <w:tab w:val="right" w:pos="1128"/>
              </w:tabs>
              <w:ind w:right="105"/>
              <w:jc w:val="right"/>
              <w:rPr>
                <w:sz w:val="18"/>
                <w:szCs w:val="18"/>
              </w:rPr>
            </w:pPr>
          </w:p>
        </w:tc>
        <w:tc>
          <w:tcPr>
            <w:tcW w:w="516" w:type="pct"/>
            <w:shd w:val="clear" w:color="auto" w:fill="FFFFFF"/>
            <w:vAlign w:val="bottom"/>
          </w:tcPr>
          <w:p w14:paraId="3AB35DDC" w14:textId="77777777" w:rsidR="00AC5D64" w:rsidRPr="00471CBA" w:rsidRDefault="00AC5D64" w:rsidP="007340C6">
            <w:pPr>
              <w:tabs>
                <w:tab w:val="center" w:pos="564"/>
                <w:tab w:val="left" w:pos="1010"/>
                <w:tab w:val="right" w:pos="1128"/>
              </w:tabs>
              <w:ind w:right="105"/>
              <w:jc w:val="right"/>
              <w:rPr>
                <w:sz w:val="18"/>
                <w:szCs w:val="18"/>
              </w:rPr>
            </w:pPr>
          </w:p>
        </w:tc>
        <w:tc>
          <w:tcPr>
            <w:tcW w:w="515" w:type="pct"/>
            <w:shd w:val="clear" w:color="auto" w:fill="FFFFFF"/>
            <w:vAlign w:val="bottom"/>
          </w:tcPr>
          <w:p w14:paraId="0E2498E4" w14:textId="77777777" w:rsidR="00AC5D64" w:rsidRPr="00471CBA" w:rsidRDefault="00AC5D64" w:rsidP="007340C6">
            <w:pPr>
              <w:tabs>
                <w:tab w:val="center" w:pos="564"/>
                <w:tab w:val="left" w:pos="1010"/>
                <w:tab w:val="right" w:pos="1128"/>
              </w:tabs>
              <w:ind w:right="105"/>
              <w:jc w:val="right"/>
              <w:rPr>
                <w:sz w:val="18"/>
                <w:szCs w:val="18"/>
              </w:rPr>
            </w:pPr>
          </w:p>
        </w:tc>
        <w:tc>
          <w:tcPr>
            <w:tcW w:w="589" w:type="pct"/>
            <w:shd w:val="clear" w:color="auto" w:fill="FFFFFF"/>
            <w:vAlign w:val="bottom"/>
          </w:tcPr>
          <w:p w14:paraId="2D0A1FBF" w14:textId="77777777" w:rsidR="00AC5D64" w:rsidRPr="00471CBA" w:rsidRDefault="00AC5D64" w:rsidP="007340C6">
            <w:pPr>
              <w:tabs>
                <w:tab w:val="center" w:pos="564"/>
                <w:tab w:val="left" w:pos="1010"/>
                <w:tab w:val="right" w:pos="1128"/>
              </w:tabs>
              <w:ind w:right="105"/>
              <w:jc w:val="right"/>
              <w:rPr>
                <w:sz w:val="18"/>
                <w:szCs w:val="18"/>
              </w:rPr>
            </w:pPr>
          </w:p>
        </w:tc>
        <w:tc>
          <w:tcPr>
            <w:tcW w:w="589" w:type="pct"/>
            <w:shd w:val="clear" w:color="auto" w:fill="FFFFFF"/>
            <w:vAlign w:val="bottom"/>
          </w:tcPr>
          <w:p w14:paraId="7870AFB6" w14:textId="77777777" w:rsidR="00AC5D64" w:rsidRPr="00471CBA" w:rsidRDefault="00AC5D64" w:rsidP="007340C6">
            <w:pPr>
              <w:tabs>
                <w:tab w:val="center" w:pos="564"/>
                <w:tab w:val="left" w:pos="1010"/>
                <w:tab w:val="right" w:pos="1128"/>
              </w:tabs>
              <w:ind w:right="105"/>
              <w:jc w:val="right"/>
              <w:rPr>
                <w:sz w:val="18"/>
                <w:szCs w:val="18"/>
              </w:rPr>
            </w:pPr>
          </w:p>
        </w:tc>
        <w:tc>
          <w:tcPr>
            <w:tcW w:w="516" w:type="pct"/>
            <w:shd w:val="clear" w:color="auto" w:fill="FFFFFF"/>
            <w:vAlign w:val="bottom"/>
          </w:tcPr>
          <w:p w14:paraId="1611C458" w14:textId="77777777" w:rsidR="00AC5D64" w:rsidRPr="00471CBA" w:rsidRDefault="00AC5D64" w:rsidP="007340C6">
            <w:pPr>
              <w:tabs>
                <w:tab w:val="center" w:pos="564"/>
                <w:tab w:val="left" w:pos="1010"/>
                <w:tab w:val="right" w:pos="1128"/>
              </w:tabs>
              <w:ind w:right="105"/>
              <w:jc w:val="right"/>
              <w:rPr>
                <w:sz w:val="18"/>
                <w:szCs w:val="18"/>
              </w:rPr>
            </w:pPr>
          </w:p>
        </w:tc>
      </w:tr>
      <w:tr w:rsidR="00AC5D64" w:rsidRPr="00471CBA" w14:paraId="52E07CAC" w14:textId="77777777" w:rsidTr="007340C6">
        <w:trPr>
          <w:trHeight w:val="126"/>
        </w:trPr>
        <w:tc>
          <w:tcPr>
            <w:tcW w:w="1687" w:type="pct"/>
            <w:shd w:val="clear" w:color="auto" w:fill="FFFFFF"/>
            <w:vAlign w:val="bottom"/>
          </w:tcPr>
          <w:p w14:paraId="7876C6BD" w14:textId="77777777" w:rsidR="00AC5D64" w:rsidRPr="00471CBA" w:rsidRDefault="00AC5D64" w:rsidP="007340C6">
            <w:pPr>
              <w:ind w:left="235"/>
              <w:rPr>
                <w:bCs/>
                <w:iCs/>
                <w:sz w:val="18"/>
                <w:szCs w:val="18"/>
              </w:rPr>
            </w:pPr>
            <w:r w:rsidRPr="00471CBA">
              <w:rPr>
                <w:bCs/>
                <w:iCs/>
                <w:sz w:val="18"/>
                <w:szCs w:val="18"/>
              </w:rPr>
              <w:t xml:space="preserve">Dönem Başı Bakiyesi </w:t>
            </w:r>
          </w:p>
        </w:tc>
        <w:tc>
          <w:tcPr>
            <w:tcW w:w="588" w:type="pct"/>
            <w:tcBorders>
              <w:top w:val="nil"/>
              <w:left w:val="nil"/>
              <w:right w:val="nil"/>
            </w:tcBorders>
            <w:vAlign w:val="bottom"/>
          </w:tcPr>
          <w:p w14:paraId="7FB33B50" w14:textId="77777777" w:rsidR="00AC5D64" w:rsidRPr="00471CBA" w:rsidRDefault="00AC5D64" w:rsidP="007340C6">
            <w:pPr>
              <w:tabs>
                <w:tab w:val="center" w:pos="564"/>
                <w:tab w:val="left" w:pos="1010"/>
                <w:tab w:val="right" w:pos="1128"/>
              </w:tabs>
              <w:ind w:right="105"/>
              <w:jc w:val="right"/>
              <w:rPr>
                <w:sz w:val="18"/>
                <w:szCs w:val="18"/>
              </w:rPr>
            </w:pPr>
            <w:r w:rsidRPr="00471CBA">
              <w:rPr>
                <w:color w:val="000000"/>
                <w:sz w:val="18"/>
                <w:szCs w:val="18"/>
              </w:rPr>
              <w:t>-</w:t>
            </w:r>
          </w:p>
        </w:tc>
        <w:tc>
          <w:tcPr>
            <w:tcW w:w="516" w:type="pct"/>
            <w:tcBorders>
              <w:top w:val="nil"/>
              <w:left w:val="nil"/>
              <w:right w:val="nil"/>
            </w:tcBorders>
            <w:vAlign w:val="bottom"/>
          </w:tcPr>
          <w:p w14:paraId="19F7799B" w14:textId="77777777" w:rsidR="00AC5D64" w:rsidRPr="00471CBA" w:rsidRDefault="00AC5D64" w:rsidP="007340C6">
            <w:pPr>
              <w:tabs>
                <w:tab w:val="center" w:pos="564"/>
                <w:tab w:val="left" w:pos="1010"/>
                <w:tab w:val="right" w:pos="1128"/>
              </w:tabs>
              <w:ind w:right="105"/>
              <w:jc w:val="right"/>
              <w:rPr>
                <w:sz w:val="18"/>
                <w:szCs w:val="18"/>
              </w:rPr>
            </w:pPr>
            <w:r w:rsidRPr="00471CBA">
              <w:rPr>
                <w:color w:val="000000"/>
                <w:sz w:val="18"/>
                <w:szCs w:val="18"/>
              </w:rPr>
              <w:t>-</w:t>
            </w:r>
          </w:p>
        </w:tc>
        <w:tc>
          <w:tcPr>
            <w:tcW w:w="515" w:type="pct"/>
            <w:tcBorders>
              <w:top w:val="nil"/>
              <w:left w:val="nil"/>
              <w:right w:val="nil"/>
            </w:tcBorders>
            <w:vAlign w:val="bottom"/>
          </w:tcPr>
          <w:p w14:paraId="4600E76E" w14:textId="77777777" w:rsidR="00AC5D64" w:rsidRPr="00471CBA" w:rsidRDefault="00AC5D64" w:rsidP="007340C6">
            <w:pPr>
              <w:tabs>
                <w:tab w:val="center" w:pos="564"/>
                <w:tab w:val="left" w:pos="1010"/>
                <w:tab w:val="right" w:pos="1128"/>
              </w:tabs>
              <w:ind w:right="105"/>
              <w:jc w:val="right"/>
              <w:rPr>
                <w:sz w:val="18"/>
                <w:szCs w:val="18"/>
              </w:rPr>
            </w:pPr>
            <w:r w:rsidRPr="00471CBA">
              <w:rPr>
                <w:color w:val="000000"/>
                <w:sz w:val="18"/>
                <w:szCs w:val="18"/>
              </w:rPr>
              <w:t>-</w:t>
            </w:r>
          </w:p>
        </w:tc>
        <w:tc>
          <w:tcPr>
            <w:tcW w:w="589" w:type="pct"/>
            <w:tcBorders>
              <w:top w:val="nil"/>
              <w:left w:val="nil"/>
              <w:right w:val="nil"/>
            </w:tcBorders>
            <w:vAlign w:val="bottom"/>
          </w:tcPr>
          <w:p w14:paraId="2BBB42AD" w14:textId="77777777" w:rsidR="00AC5D64" w:rsidRPr="00471CBA" w:rsidRDefault="00AC5D64" w:rsidP="007340C6">
            <w:pPr>
              <w:tabs>
                <w:tab w:val="center" w:pos="564"/>
                <w:tab w:val="left" w:pos="1010"/>
                <w:tab w:val="right" w:pos="1128"/>
              </w:tabs>
              <w:ind w:right="105"/>
              <w:jc w:val="right"/>
              <w:rPr>
                <w:sz w:val="18"/>
                <w:szCs w:val="18"/>
              </w:rPr>
            </w:pPr>
            <w:r w:rsidRPr="00471CBA">
              <w:rPr>
                <w:color w:val="000000"/>
                <w:sz w:val="18"/>
                <w:szCs w:val="18"/>
              </w:rPr>
              <w:t>-</w:t>
            </w:r>
          </w:p>
        </w:tc>
        <w:tc>
          <w:tcPr>
            <w:tcW w:w="589" w:type="pct"/>
            <w:tcBorders>
              <w:top w:val="nil"/>
              <w:left w:val="nil"/>
              <w:right w:val="nil"/>
            </w:tcBorders>
            <w:vAlign w:val="bottom"/>
          </w:tcPr>
          <w:p w14:paraId="49F9A6E9" w14:textId="77777777" w:rsidR="00AC5D64" w:rsidRPr="00471CBA" w:rsidRDefault="00AC5D64" w:rsidP="007340C6">
            <w:pPr>
              <w:tabs>
                <w:tab w:val="center" w:pos="564"/>
                <w:tab w:val="left" w:pos="1010"/>
                <w:tab w:val="right" w:pos="1128"/>
              </w:tabs>
              <w:ind w:right="105"/>
              <w:jc w:val="right"/>
              <w:rPr>
                <w:sz w:val="18"/>
                <w:szCs w:val="18"/>
              </w:rPr>
            </w:pPr>
            <w:r w:rsidRPr="00471CBA">
              <w:rPr>
                <w:color w:val="000000"/>
                <w:sz w:val="18"/>
                <w:szCs w:val="18"/>
              </w:rPr>
              <w:t>-</w:t>
            </w:r>
          </w:p>
        </w:tc>
        <w:tc>
          <w:tcPr>
            <w:tcW w:w="516" w:type="pct"/>
            <w:tcBorders>
              <w:top w:val="nil"/>
              <w:left w:val="nil"/>
              <w:right w:val="nil"/>
            </w:tcBorders>
            <w:vAlign w:val="bottom"/>
          </w:tcPr>
          <w:p w14:paraId="09851E1A" w14:textId="77777777" w:rsidR="00AC5D64" w:rsidRPr="00471CBA" w:rsidRDefault="00AC5D64" w:rsidP="007340C6">
            <w:pPr>
              <w:tabs>
                <w:tab w:val="center" w:pos="564"/>
                <w:tab w:val="left" w:pos="1010"/>
                <w:tab w:val="right" w:pos="1128"/>
              </w:tabs>
              <w:ind w:right="105"/>
              <w:jc w:val="right"/>
              <w:rPr>
                <w:sz w:val="18"/>
                <w:szCs w:val="18"/>
              </w:rPr>
            </w:pPr>
            <w:r w:rsidRPr="00471CBA">
              <w:rPr>
                <w:color w:val="000000"/>
                <w:sz w:val="18"/>
                <w:szCs w:val="18"/>
              </w:rPr>
              <w:t>-</w:t>
            </w:r>
          </w:p>
        </w:tc>
      </w:tr>
      <w:tr w:rsidR="00220A18" w:rsidRPr="00471CBA" w14:paraId="517AC8E9" w14:textId="77777777" w:rsidTr="007340C6">
        <w:trPr>
          <w:trHeight w:val="126"/>
        </w:trPr>
        <w:tc>
          <w:tcPr>
            <w:tcW w:w="1687" w:type="pct"/>
            <w:shd w:val="clear" w:color="auto" w:fill="FFFFFF"/>
            <w:vAlign w:val="bottom"/>
          </w:tcPr>
          <w:p w14:paraId="091BB94A" w14:textId="77777777" w:rsidR="00220A18" w:rsidRPr="00471CBA" w:rsidRDefault="00220A18" w:rsidP="00220A18">
            <w:pPr>
              <w:ind w:left="235"/>
              <w:rPr>
                <w:bCs/>
                <w:iCs/>
                <w:sz w:val="18"/>
                <w:szCs w:val="18"/>
              </w:rPr>
            </w:pPr>
            <w:r w:rsidRPr="00471CBA">
              <w:rPr>
                <w:bCs/>
                <w:iCs/>
                <w:sz w:val="18"/>
                <w:szCs w:val="18"/>
              </w:rPr>
              <w:t>Dönem Sonu Bakiyesi</w:t>
            </w:r>
          </w:p>
        </w:tc>
        <w:tc>
          <w:tcPr>
            <w:tcW w:w="588" w:type="pct"/>
            <w:tcBorders>
              <w:top w:val="nil"/>
              <w:left w:val="nil"/>
              <w:right w:val="nil"/>
            </w:tcBorders>
            <w:vAlign w:val="bottom"/>
          </w:tcPr>
          <w:p w14:paraId="07A00774" w14:textId="77777777" w:rsidR="00220A18" w:rsidRPr="00471CBA" w:rsidRDefault="00220A18" w:rsidP="00220A18">
            <w:pPr>
              <w:tabs>
                <w:tab w:val="center" w:pos="564"/>
                <w:tab w:val="left" w:pos="1010"/>
                <w:tab w:val="right" w:pos="1128"/>
              </w:tabs>
              <w:ind w:right="105"/>
              <w:jc w:val="right"/>
              <w:rPr>
                <w:sz w:val="18"/>
                <w:szCs w:val="18"/>
              </w:rPr>
            </w:pPr>
            <w:r w:rsidRPr="00471CBA">
              <w:rPr>
                <w:color w:val="000000"/>
                <w:sz w:val="18"/>
                <w:szCs w:val="18"/>
              </w:rPr>
              <w:t>-</w:t>
            </w:r>
          </w:p>
        </w:tc>
        <w:tc>
          <w:tcPr>
            <w:tcW w:w="516" w:type="pct"/>
            <w:tcBorders>
              <w:top w:val="nil"/>
              <w:left w:val="nil"/>
              <w:right w:val="nil"/>
            </w:tcBorders>
            <w:vAlign w:val="bottom"/>
          </w:tcPr>
          <w:p w14:paraId="214AB021" w14:textId="77777777" w:rsidR="00220A18" w:rsidRPr="00471CBA" w:rsidRDefault="00220A18" w:rsidP="00220A18">
            <w:pPr>
              <w:tabs>
                <w:tab w:val="center" w:pos="564"/>
                <w:tab w:val="left" w:pos="1010"/>
                <w:tab w:val="right" w:pos="1128"/>
              </w:tabs>
              <w:ind w:right="105"/>
              <w:jc w:val="right"/>
              <w:rPr>
                <w:sz w:val="18"/>
                <w:szCs w:val="18"/>
              </w:rPr>
            </w:pPr>
            <w:r w:rsidRPr="00471CBA">
              <w:rPr>
                <w:color w:val="000000"/>
                <w:sz w:val="18"/>
                <w:szCs w:val="18"/>
              </w:rPr>
              <w:t>-</w:t>
            </w:r>
          </w:p>
        </w:tc>
        <w:tc>
          <w:tcPr>
            <w:tcW w:w="515" w:type="pct"/>
            <w:tcBorders>
              <w:top w:val="nil"/>
              <w:left w:val="nil"/>
              <w:right w:val="nil"/>
            </w:tcBorders>
            <w:vAlign w:val="bottom"/>
          </w:tcPr>
          <w:p w14:paraId="4953A44D" w14:textId="77777777" w:rsidR="00220A18" w:rsidRPr="00471CBA" w:rsidRDefault="00220A18" w:rsidP="00220A18">
            <w:pPr>
              <w:tabs>
                <w:tab w:val="center" w:pos="564"/>
                <w:tab w:val="left" w:pos="1010"/>
                <w:tab w:val="right" w:pos="1128"/>
              </w:tabs>
              <w:ind w:right="105"/>
              <w:jc w:val="right"/>
              <w:rPr>
                <w:sz w:val="18"/>
                <w:szCs w:val="18"/>
              </w:rPr>
            </w:pPr>
            <w:r w:rsidRPr="00471CBA">
              <w:rPr>
                <w:color w:val="000000"/>
                <w:sz w:val="18"/>
                <w:szCs w:val="18"/>
              </w:rPr>
              <w:t>-</w:t>
            </w:r>
          </w:p>
        </w:tc>
        <w:tc>
          <w:tcPr>
            <w:tcW w:w="589" w:type="pct"/>
            <w:tcBorders>
              <w:top w:val="nil"/>
              <w:left w:val="nil"/>
              <w:right w:val="nil"/>
            </w:tcBorders>
            <w:vAlign w:val="bottom"/>
          </w:tcPr>
          <w:p w14:paraId="28D2EE4C" w14:textId="77777777" w:rsidR="00220A18" w:rsidRPr="00471CBA" w:rsidRDefault="00220A18" w:rsidP="00220A18">
            <w:pPr>
              <w:tabs>
                <w:tab w:val="center" w:pos="564"/>
                <w:tab w:val="left" w:pos="1010"/>
                <w:tab w:val="right" w:pos="1128"/>
              </w:tabs>
              <w:ind w:right="105"/>
              <w:jc w:val="right"/>
              <w:rPr>
                <w:sz w:val="18"/>
                <w:szCs w:val="18"/>
              </w:rPr>
            </w:pPr>
            <w:r w:rsidRPr="00471CBA">
              <w:rPr>
                <w:color w:val="000000"/>
                <w:sz w:val="18"/>
                <w:szCs w:val="18"/>
              </w:rPr>
              <w:t>-</w:t>
            </w:r>
          </w:p>
        </w:tc>
        <w:tc>
          <w:tcPr>
            <w:tcW w:w="589" w:type="pct"/>
            <w:tcBorders>
              <w:top w:val="nil"/>
              <w:left w:val="nil"/>
              <w:right w:val="nil"/>
            </w:tcBorders>
            <w:vAlign w:val="bottom"/>
          </w:tcPr>
          <w:p w14:paraId="3F0CA8A9" w14:textId="049C8268" w:rsidR="00220A18" w:rsidRPr="00471CBA" w:rsidRDefault="00220A18" w:rsidP="00220A18">
            <w:pPr>
              <w:tabs>
                <w:tab w:val="center" w:pos="564"/>
                <w:tab w:val="left" w:pos="1010"/>
                <w:tab w:val="right" w:pos="1128"/>
              </w:tabs>
              <w:ind w:right="105"/>
              <w:jc w:val="right"/>
              <w:rPr>
                <w:sz w:val="18"/>
                <w:szCs w:val="18"/>
              </w:rPr>
            </w:pPr>
            <w:r w:rsidRPr="00471CBA">
              <w:rPr>
                <w:color w:val="000000"/>
                <w:sz w:val="18"/>
                <w:szCs w:val="18"/>
              </w:rPr>
              <w:t>739.947</w:t>
            </w:r>
          </w:p>
        </w:tc>
        <w:tc>
          <w:tcPr>
            <w:tcW w:w="516" w:type="pct"/>
            <w:tcBorders>
              <w:top w:val="nil"/>
              <w:left w:val="nil"/>
              <w:right w:val="nil"/>
            </w:tcBorders>
            <w:vAlign w:val="bottom"/>
          </w:tcPr>
          <w:p w14:paraId="63AF2712" w14:textId="77777777" w:rsidR="00220A18" w:rsidRPr="00471CBA" w:rsidRDefault="00220A18" w:rsidP="00220A18">
            <w:pPr>
              <w:tabs>
                <w:tab w:val="center" w:pos="564"/>
                <w:tab w:val="left" w:pos="1010"/>
                <w:tab w:val="right" w:pos="1128"/>
              </w:tabs>
              <w:ind w:right="105"/>
              <w:jc w:val="right"/>
              <w:rPr>
                <w:sz w:val="18"/>
                <w:szCs w:val="18"/>
              </w:rPr>
            </w:pPr>
            <w:r w:rsidRPr="00471CBA">
              <w:rPr>
                <w:color w:val="000000"/>
                <w:sz w:val="18"/>
                <w:szCs w:val="18"/>
              </w:rPr>
              <w:t>-</w:t>
            </w:r>
          </w:p>
        </w:tc>
      </w:tr>
      <w:tr w:rsidR="00430985" w:rsidRPr="00471CBA" w14:paraId="32B160AB" w14:textId="77777777" w:rsidTr="007340C6">
        <w:trPr>
          <w:trHeight w:val="126"/>
        </w:trPr>
        <w:tc>
          <w:tcPr>
            <w:tcW w:w="1687" w:type="pct"/>
            <w:shd w:val="clear" w:color="auto" w:fill="FFFFFF"/>
            <w:vAlign w:val="bottom"/>
          </w:tcPr>
          <w:p w14:paraId="6E7A77A5" w14:textId="77777777" w:rsidR="00430985" w:rsidRPr="00471CBA" w:rsidRDefault="00430985" w:rsidP="00430985">
            <w:pPr>
              <w:rPr>
                <w:b/>
                <w:bCs/>
                <w:iCs/>
                <w:sz w:val="18"/>
                <w:szCs w:val="18"/>
              </w:rPr>
            </w:pPr>
            <w:r w:rsidRPr="00471CBA">
              <w:rPr>
                <w:b/>
                <w:bCs/>
                <w:iCs/>
                <w:sz w:val="18"/>
                <w:szCs w:val="18"/>
              </w:rPr>
              <w:t>Alınan Kar Payı ve Komisyon Gelirleri</w:t>
            </w:r>
          </w:p>
        </w:tc>
        <w:tc>
          <w:tcPr>
            <w:tcW w:w="588" w:type="pct"/>
            <w:tcBorders>
              <w:top w:val="nil"/>
              <w:left w:val="nil"/>
              <w:right w:val="nil"/>
            </w:tcBorders>
            <w:vAlign w:val="bottom"/>
          </w:tcPr>
          <w:p w14:paraId="6B4CEF72" w14:textId="185B87F5" w:rsidR="00430985" w:rsidRPr="00471CBA" w:rsidRDefault="00430985" w:rsidP="00430985">
            <w:pPr>
              <w:tabs>
                <w:tab w:val="center" w:pos="564"/>
                <w:tab w:val="left" w:pos="1010"/>
                <w:tab w:val="right" w:pos="1128"/>
              </w:tabs>
              <w:ind w:right="105"/>
              <w:jc w:val="right"/>
              <w:rPr>
                <w:b/>
                <w:sz w:val="18"/>
                <w:szCs w:val="18"/>
              </w:rPr>
            </w:pPr>
            <w:r w:rsidRPr="00471CBA">
              <w:rPr>
                <w:b/>
                <w:sz w:val="18"/>
                <w:szCs w:val="18"/>
              </w:rPr>
              <w:t>-</w:t>
            </w:r>
          </w:p>
        </w:tc>
        <w:tc>
          <w:tcPr>
            <w:tcW w:w="516" w:type="pct"/>
            <w:tcBorders>
              <w:top w:val="nil"/>
              <w:left w:val="nil"/>
              <w:right w:val="nil"/>
            </w:tcBorders>
            <w:vAlign w:val="bottom"/>
          </w:tcPr>
          <w:p w14:paraId="018AE805" w14:textId="3E0059BA" w:rsidR="00430985" w:rsidRPr="00471CBA" w:rsidRDefault="00430985" w:rsidP="00430985">
            <w:pPr>
              <w:tabs>
                <w:tab w:val="center" w:pos="564"/>
                <w:tab w:val="left" w:pos="1010"/>
                <w:tab w:val="right" w:pos="1128"/>
              </w:tabs>
              <w:ind w:right="105"/>
              <w:jc w:val="right"/>
              <w:rPr>
                <w:b/>
                <w:sz w:val="18"/>
                <w:szCs w:val="18"/>
              </w:rPr>
            </w:pPr>
            <w:r w:rsidRPr="00471CBA">
              <w:rPr>
                <w:b/>
                <w:sz w:val="18"/>
                <w:szCs w:val="18"/>
              </w:rPr>
              <w:t>-</w:t>
            </w:r>
          </w:p>
        </w:tc>
        <w:tc>
          <w:tcPr>
            <w:tcW w:w="515" w:type="pct"/>
            <w:tcBorders>
              <w:top w:val="nil"/>
              <w:left w:val="nil"/>
              <w:right w:val="nil"/>
            </w:tcBorders>
            <w:vAlign w:val="bottom"/>
          </w:tcPr>
          <w:p w14:paraId="48F3C82E" w14:textId="59561AF7" w:rsidR="00430985" w:rsidRPr="00471CBA" w:rsidRDefault="00430985" w:rsidP="00430985">
            <w:pPr>
              <w:tabs>
                <w:tab w:val="center" w:pos="564"/>
                <w:tab w:val="left" w:pos="1010"/>
                <w:tab w:val="right" w:pos="1128"/>
              </w:tabs>
              <w:ind w:right="105"/>
              <w:jc w:val="right"/>
              <w:rPr>
                <w:b/>
                <w:sz w:val="18"/>
                <w:szCs w:val="18"/>
              </w:rPr>
            </w:pPr>
            <w:r w:rsidRPr="00471CBA">
              <w:rPr>
                <w:b/>
                <w:sz w:val="18"/>
                <w:szCs w:val="18"/>
              </w:rPr>
              <w:t>-</w:t>
            </w:r>
          </w:p>
        </w:tc>
        <w:tc>
          <w:tcPr>
            <w:tcW w:w="589" w:type="pct"/>
            <w:tcBorders>
              <w:top w:val="nil"/>
              <w:left w:val="nil"/>
              <w:right w:val="nil"/>
            </w:tcBorders>
            <w:vAlign w:val="bottom"/>
          </w:tcPr>
          <w:p w14:paraId="4B5367AD" w14:textId="0019775C" w:rsidR="00430985" w:rsidRPr="00471CBA" w:rsidRDefault="00430985" w:rsidP="00430985">
            <w:pPr>
              <w:tabs>
                <w:tab w:val="center" w:pos="564"/>
                <w:tab w:val="left" w:pos="1010"/>
                <w:tab w:val="right" w:pos="1128"/>
              </w:tabs>
              <w:ind w:right="105"/>
              <w:jc w:val="right"/>
              <w:rPr>
                <w:b/>
                <w:sz w:val="18"/>
                <w:szCs w:val="18"/>
              </w:rPr>
            </w:pPr>
            <w:r w:rsidRPr="00471CBA">
              <w:rPr>
                <w:b/>
                <w:sz w:val="18"/>
                <w:szCs w:val="18"/>
              </w:rPr>
              <w:t>-</w:t>
            </w:r>
          </w:p>
        </w:tc>
        <w:tc>
          <w:tcPr>
            <w:tcW w:w="589" w:type="pct"/>
            <w:tcBorders>
              <w:top w:val="nil"/>
              <w:left w:val="nil"/>
              <w:right w:val="nil"/>
            </w:tcBorders>
            <w:vAlign w:val="bottom"/>
          </w:tcPr>
          <w:p w14:paraId="59BD2A6B" w14:textId="0C6E9FF7" w:rsidR="00430985" w:rsidRPr="00471CBA" w:rsidRDefault="00430985" w:rsidP="00430985">
            <w:pPr>
              <w:tabs>
                <w:tab w:val="center" w:pos="564"/>
                <w:tab w:val="left" w:pos="1010"/>
                <w:tab w:val="right" w:pos="1128"/>
              </w:tabs>
              <w:ind w:right="105"/>
              <w:jc w:val="right"/>
              <w:rPr>
                <w:b/>
                <w:sz w:val="18"/>
                <w:szCs w:val="18"/>
              </w:rPr>
            </w:pPr>
            <w:r w:rsidRPr="00471CBA">
              <w:rPr>
                <w:b/>
                <w:sz w:val="18"/>
                <w:szCs w:val="18"/>
              </w:rPr>
              <w:t>39.866</w:t>
            </w:r>
          </w:p>
        </w:tc>
        <w:tc>
          <w:tcPr>
            <w:tcW w:w="516" w:type="pct"/>
            <w:tcBorders>
              <w:top w:val="nil"/>
              <w:left w:val="nil"/>
              <w:right w:val="nil"/>
            </w:tcBorders>
            <w:vAlign w:val="bottom"/>
          </w:tcPr>
          <w:p w14:paraId="49112B27" w14:textId="6B66E21D" w:rsidR="00430985" w:rsidRPr="00471CBA" w:rsidRDefault="00430985" w:rsidP="00430985">
            <w:pPr>
              <w:tabs>
                <w:tab w:val="center" w:pos="564"/>
                <w:tab w:val="left" w:pos="1010"/>
                <w:tab w:val="right" w:pos="1128"/>
              </w:tabs>
              <w:ind w:right="105"/>
              <w:jc w:val="right"/>
              <w:rPr>
                <w:b/>
                <w:sz w:val="18"/>
                <w:szCs w:val="18"/>
              </w:rPr>
            </w:pPr>
            <w:r w:rsidRPr="00471CBA">
              <w:rPr>
                <w:b/>
                <w:sz w:val="18"/>
                <w:szCs w:val="18"/>
              </w:rPr>
              <w:t>-</w:t>
            </w:r>
          </w:p>
        </w:tc>
      </w:tr>
      <w:tr w:rsidR="00AC5D64" w:rsidRPr="00471CBA" w14:paraId="3772026E" w14:textId="77777777" w:rsidTr="007340C6">
        <w:trPr>
          <w:trHeight w:val="173"/>
        </w:trPr>
        <w:tc>
          <w:tcPr>
            <w:tcW w:w="1687" w:type="pct"/>
            <w:tcBorders>
              <w:bottom w:val="single" w:sz="4" w:space="0" w:color="auto"/>
            </w:tcBorders>
            <w:shd w:val="clear" w:color="auto" w:fill="FFFFFF"/>
            <w:vAlign w:val="bottom"/>
          </w:tcPr>
          <w:p w14:paraId="59D6505E" w14:textId="77777777" w:rsidR="00AC5D64" w:rsidRPr="00471CBA" w:rsidRDefault="00AC5D64" w:rsidP="007340C6">
            <w:pPr>
              <w:rPr>
                <w:b/>
                <w:bCs/>
                <w:iCs/>
                <w:sz w:val="18"/>
                <w:szCs w:val="18"/>
              </w:rPr>
            </w:pPr>
          </w:p>
        </w:tc>
        <w:tc>
          <w:tcPr>
            <w:tcW w:w="588" w:type="pct"/>
            <w:tcBorders>
              <w:bottom w:val="single" w:sz="4" w:space="0" w:color="auto"/>
            </w:tcBorders>
            <w:vAlign w:val="bottom"/>
          </w:tcPr>
          <w:p w14:paraId="0DD61499" w14:textId="77777777" w:rsidR="00AC5D64" w:rsidRPr="00471CBA" w:rsidRDefault="00AC5D64" w:rsidP="007340C6">
            <w:pPr>
              <w:ind w:right="94"/>
              <w:jc w:val="right"/>
              <w:rPr>
                <w:sz w:val="18"/>
                <w:szCs w:val="18"/>
              </w:rPr>
            </w:pPr>
          </w:p>
        </w:tc>
        <w:tc>
          <w:tcPr>
            <w:tcW w:w="516" w:type="pct"/>
            <w:tcBorders>
              <w:bottom w:val="single" w:sz="4" w:space="0" w:color="auto"/>
            </w:tcBorders>
            <w:vAlign w:val="bottom"/>
          </w:tcPr>
          <w:p w14:paraId="68E0DB04" w14:textId="77777777" w:rsidR="00AC5D64" w:rsidRPr="00471CBA" w:rsidRDefault="00AC5D64" w:rsidP="007340C6">
            <w:pPr>
              <w:ind w:right="94"/>
              <w:jc w:val="right"/>
              <w:rPr>
                <w:sz w:val="18"/>
                <w:szCs w:val="18"/>
              </w:rPr>
            </w:pPr>
          </w:p>
        </w:tc>
        <w:tc>
          <w:tcPr>
            <w:tcW w:w="515" w:type="pct"/>
            <w:tcBorders>
              <w:bottom w:val="single" w:sz="4" w:space="0" w:color="auto"/>
            </w:tcBorders>
            <w:vAlign w:val="bottom"/>
          </w:tcPr>
          <w:p w14:paraId="153F1374" w14:textId="77777777" w:rsidR="00AC5D64" w:rsidRPr="00471CBA" w:rsidRDefault="00AC5D64" w:rsidP="007340C6">
            <w:pPr>
              <w:ind w:right="94"/>
              <w:jc w:val="right"/>
              <w:rPr>
                <w:sz w:val="18"/>
                <w:szCs w:val="18"/>
              </w:rPr>
            </w:pPr>
          </w:p>
        </w:tc>
        <w:tc>
          <w:tcPr>
            <w:tcW w:w="589" w:type="pct"/>
            <w:tcBorders>
              <w:bottom w:val="single" w:sz="4" w:space="0" w:color="auto"/>
            </w:tcBorders>
            <w:vAlign w:val="bottom"/>
          </w:tcPr>
          <w:p w14:paraId="2FDA0B4E" w14:textId="77777777" w:rsidR="00AC5D64" w:rsidRPr="00471CBA" w:rsidRDefault="00AC5D64" w:rsidP="007340C6">
            <w:pPr>
              <w:ind w:right="94"/>
              <w:jc w:val="right"/>
              <w:rPr>
                <w:sz w:val="18"/>
                <w:szCs w:val="18"/>
              </w:rPr>
            </w:pPr>
          </w:p>
        </w:tc>
        <w:tc>
          <w:tcPr>
            <w:tcW w:w="589" w:type="pct"/>
            <w:tcBorders>
              <w:bottom w:val="single" w:sz="4" w:space="0" w:color="auto"/>
            </w:tcBorders>
            <w:vAlign w:val="bottom"/>
          </w:tcPr>
          <w:p w14:paraId="5AF071B9" w14:textId="77777777" w:rsidR="00AC5D64" w:rsidRPr="00471CBA" w:rsidRDefault="00AC5D64" w:rsidP="007340C6">
            <w:pPr>
              <w:ind w:right="94"/>
              <w:jc w:val="right"/>
              <w:rPr>
                <w:sz w:val="18"/>
                <w:szCs w:val="18"/>
              </w:rPr>
            </w:pPr>
          </w:p>
        </w:tc>
        <w:tc>
          <w:tcPr>
            <w:tcW w:w="516" w:type="pct"/>
            <w:tcBorders>
              <w:bottom w:val="single" w:sz="4" w:space="0" w:color="auto"/>
            </w:tcBorders>
            <w:vAlign w:val="bottom"/>
          </w:tcPr>
          <w:p w14:paraId="55479D7F" w14:textId="77777777" w:rsidR="00AC5D64" w:rsidRPr="00471CBA" w:rsidRDefault="00AC5D64" w:rsidP="007340C6">
            <w:pPr>
              <w:ind w:right="94"/>
              <w:jc w:val="right"/>
              <w:rPr>
                <w:sz w:val="18"/>
                <w:szCs w:val="18"/>
              </w:rPr>
            </w:pPr>
          </w:p>
        </w:tc>
      </w:tr>
    </w:tbl>
    <w:p w14:paraId="5AC5312D" w14:textId="77777777" w:rsidR="00AC5D64" w:rsidRPr="006025D3" w:rsidRDefault="00AC5D64" w:rsidP="002152D0">
      <w:pPr>
        <w:pStyle w:val="GvdeMetniGirintisi"/>
        <w:widowControl w:val="0"/>
        <w:ind w:right="206"/>
        <w:rPr>
          <w:b/>
          <w:iCs/>
          <w:sz w:val="16"/>
          <w:szCs w:val="16"/>
        </w:rPr>
      </w:pPr>
    </w:p>
    <w:p w14:paraId="19EF22A4" w14:textId="43755FA2" w:rsidR="002152D0" w:rsidRPr="00471CBA" w:rsidRDefault="002152D0" w:rsidP="008459A9">
      <w:pPr>
        <w:pStyle w:val="ListeParagraf"/>
        <w:numPr>
          <w:ilvl w:val="0"/>
          <w:numId w:val="80"/>
        </w:numPr>
        <w:rPr>
          <w:b/>
          <w:bCs/>
        </w:rPr>
      </w:pPr>
      <w:r w:rsidRPr="00471CBA">
        <w:rPr>
          <w:b/>
          <w:bCs/>
        </w:rPr>
        <w:t>Banka’nın dahil olduğu risk grubuna ait özel cari ve katılma hesaplarına ilişkin bilgiler:</w:t>
      </w:r>
    </w:p>
    <w:p w14:paraId="08E2A9C3" w14:textId="77777777" w:rsidR="001118CB" w:rsidRPr="006025D3" w:rsidRDefault="001118CB" w:rsidP="001118CB">
      <w:pPr>
        <w:pStyle w:val="ListeParagraf"/>
        <w:ind w:left="0"/>
        <w:rPr>
          <w:b/>
          <w:bCs/>
          <w:sz w:val="16"/>
          <w:szCs w:val="16"/>
        </w:rPr>
      </w:pPr>
    </w:p>
    <w:tbl>
      <w:tblPr>
        <w:tblW w:w="4985" w:type="pct"/>
        <w:tblCellMar>
          <w:left w:w="0" w:type="dxa"/>
          <w:right w:w="0" w:type="dxa"/>
        </w:tblCellMar>
        <w:tblLook w:val="0000" w:firstRow="0" w:lastRow="0" w:firstColumn="0" w:lastColumn="0" w:noHBand="0" w:noVBand="0"/>
      </w:tblPr>
      <w:tblGrid>
        <w:gridCol w:w="3164"/>
        <w:gridCol w:w="957"/>
        <w:gridCol w:w="1082"/>
        <w:gridCol w:w="983"/>
        <w:gridCol w:w="1080"/>
        <w:gridCol w:w="985"/>
        <w:gridCol w:w="1076"/>
      </w:tblGrid>
      <w:tr w:rsidR="00AC5D64" w:rsidRPr="00471CBA" w14:paraId="668BDB8B" w14:textId="77777777" w:rsidTr="00B03504">
        <w:trPr>
          <w:trHeight w:val="113"/>
        </w:trPr>
        <w:tc>
          <w:tcPr>
            <w:tcW w:w="1696" w:type="pct"/>
            <w:tcBorders>
              <w:top w:val="single" w:sz="4" w:space="0" w:color="auto"/>
              <w:bottom w:val="single" w:sz="4" w:space="0" w:color="auto"/>
            </w:tcBorders>
            <w:noWrap/>
            <w:tcMar>
              <w:top w:w="15" w:type="dxa"/>
              <w:left w:w="15" w:type="dxa"/>
              <w:bottom w:w="0" w:type="dxa"/>
              <w:right w:w="15" w:type="dxa"/>
            </w:tcMar>
            <w:vAlign w:val="bottom"/>
          </w:tcPr>
          <w:p w14:paraId="0610AE8B" w14:textId="14030441" w:rsidR="00AC5D64" w:rsidRPr="00471CBA" w:rsidRDefault="00AC5D64" w:rsidP="00BB0581">
            <w:pPr>
              <w:pStyle w:val="xl79"/>
              <w:pBdr>
                <w:left w:val="none" w:sz="0" w:space="0" w:color="auto"/>
                <w:bottom w:val="none" w:sz="0" w:space="0" w:color="auto"/>
                <w:right w:val="none" w:sz="0" w:space="0" w:color="auto"/>
              </w:pBdr>
              <w:spacing w:before="0" w:beforeAutospacing="0" w:after="0" w:afterAutospacing="0"/>
              <w:rPr>
                <w:rFonts w:eastAsia="Times New Roman"/>
                <w:b/>
                <w:bCs/>
                <w:iCs/>
                <w:noProof w:val="0"/>
              </w:rPr>
            </w:pPr>
            <w:r w:rsidRPr="00471CBA">
              <w:rPr>
                <w:rFonts w:eastAsia="Times New Roman"/>
                <w:b/>
                <w:bCs/>
                <w:iCs/>
                <w:noProof w:val="0"/>
              </w:rPr>
              <w:t>Banka’nın Dahil Olduğu Risk Grubu</w:t>
            </w:r>
          </w:p>
        </w:tc>
        <w:tc>
          <w:tcPr>
            <w:tcW w:w="1093" w:type="pct"/>
            <w:gridSpan w:val="2"/>
            <w:tcBorders>
              <w:top w:val="single" w:sz="4" w:space="0" w:color="auto"/>
              <w:bottom w:val="single" w:sz="4" w:space="0" w:color="auto"/>
            </w:tcBorders>
          </w:tcPr>
          <w:p w14:paraId="34269E10" w14:textId="6F15692E" w:rsidR="00AC5D64" w:rsidRPr="00471CBA" w:rsidRDefault="00AC5D64" w:rsidP="0079192A">
            <w:pPr>
              <w:ind w:right="57"/>
              <w:jc w:val="right"/>
              <w:rPr>
                <w:b/>
                <w:bCs/>
                <w:iCs/>
                <w:sz w:val="18"/>
                <w:szCs w:val="18"/>
              </w:rPr>
            </w:pPr>
            <w:r w:rsidRPr="00471CBA">
              <w:rPr>
                <w:b/>
                <w:bCs/>
                <w:iCs/>
                <w:sz w:val="18"/>
                <w:szCs w:val="18"/>
              </w:rPr>
              <w:t>İştirak, Bağlı Ortaklık ve Birlikte Kontrol Edilen Ortaklıklar (İş Ortaklıkları)</w:t>
            </w:r>
          </w:p>
        </w:tc>
        <w:tc>
          <w:tcPr>
            <w:tcW w:w="1106" w:type="pct"/>
            <w:gridSpan w:val="2"/>
            <w:tcBorders>
              <w:top w:val="single" w:sz="4" w:space="0" w:color="auto"/>
              <w:bottom w:val="single" w:sz="4" w:space="0" w:color="auto"/>
            </w:tcBorders>
          </w:tcPr>
          <w:p w14:paraId="32F46126" w14:textId="3C3F4C26" w:rsidR="00AC5D64" w:rsidRPr="00471CBA" w:rsidRDefault="00AC5D64" w:rsidP="0079192A">
            <w:pPr>
              <w:ind w:right="57"/>
              <w:jc w:val="right"/>
              <w:rPr>
                <w:b/>
                <w:bCs/>
                <w:iCs/>
                <w:sz w:val="18"/>
                <w:szCs w:val="18"/>
              </w:rPr>
            </w:pPr>
            <w:r w:rsidRPr="00471CBA">
              <w:rPr>
                <w:b/>
                <w:bCs/>
                <w:iCs/>
                <w:sz w:val="18"/>
                <w:szCs w:val="18"/>
              </w:rPr>
              <w:t>Banka’nın Doğrudan ve Dolaylı Ortakları</w:t>
            </w:r>
          </w:p>
        </w:tc>
        <w:tc>
          <w:tcPr>
            <w:tcW w:w="1105" w:type="pct"/>
            <w:gridSpan w:val="2"/>
            <w:tcBorders>
              <w:top w:val="single" w:sz="4" w:space="0" w:color="auto"/>
              <w:bottom w:val="single" w:sz="4" w:space="0" w:color="auto"/>
            </w:tcBorders>
          </w:tcPr>
          <w:p w14:paraId="774D22D5" w14:textId="302C2343" w:rsidR="00AC5D64" w:rsidRPr="00471CBA" w:rsidRDefault="00AC5D64" w:rsidP="0079192A">
            <w:pPr>
              <w:ind w:right="57"/>
              <w:jc w:val="right"/>
              <w:rPr>
                <w:b/>
                <w:bCs/>
                <w:iCs/>
                <w:sz w:val="18"/>
                <w:szCs w:val="18"/>
              </w:rPr>
            </w:pPr>
            <w:r w:rsidRPr="00471CBA">
              <w:rPr>
                <w:b/>
                <w:bCs/>
                <w:iCs/>
                <w:sz w:val="18"/>
                <w:szCs w:val="18"/>
              </w:rPr>
              <w:t>Risk Grubuna Dahil Olan Diğer Gerçek ve Tüzel Kişiler</w:t>
            </w:r>
          </w:p>
        </w:tc>
      </w:tr>
      <w:tr w:rsidR="00183003" w:rsidRPr="00471CBA" w14:paraId="4A391201" w14:textId="77777777" w:rsidTr="00B03504">
        <w:trPr>
          <w:trHeight w:val="113"/>
        </w:trPr>
        <w:tc>
          <w:tcPr>
            <w:tcW w:w="1696" w:type="pct"/>
            <w:tcBorders>
              <w:top w:val="single" w:sz="4" w:space="0" w:color="auto"/>
              <w:bottom w:val="single" w:sz="4" w:space="0" w:color="auto"/>
            </w:tcBorders>
            <w:noWrap/>
            <w:tcMar>
              <w:top w:w="15" w:type="dxa"/>
              <w:left w:w="15" w:type="dxa"/>
              <w:bottom w:w="0" w:type="dxa"/>
              <w:right w:w="15" w:type="dxa"/>
            </w:tcMar>
            <w:vAlign w:val="bottom"/>
          </w:tcPr>
          <w:p w14:paraId="1E726221" w14:textId="77777777" w:rsidR="00183003" w:rsidRPr="00471CBA" w:rsidRDefault="00183003" w:rsidP="00183003">
            <w:pPr>
              <w:jc w:val="both"/>
              <w:rPr>
                <w:rFonts w:eastAsia="Arial Unicode MS"/>
                <w:b/>
                <w:sz w:val="18"/>
                <w:szCs w:val="18"/>
              </w:rPr>
            </w:pPr>
          </w:p>
        </w:tc>
        <w:tc>
          <w:tcPr>
            <w:tcW w:w="513" w:type="pct"/>
            <w:tcBorders>
              <w:top w:val="single" w:sz="4" w:space="0" w:color="auto"/>
              <w:bottom w:val="single" w:sz="4" w:space="0" w:color="auto"/>
            </w:tcBorders>
            <w:vAlign w:val="bottom"/>
          </w:tcPr>
          <w:p w14:paraId="1A24AB7B" w14:textId="084F83FD" w:rsidR="00183003" w:rsidRPr="00471CBA" w:rsidRDefault="00183003" w:rsidP="00183003">
            <w:pPr>
              <w:ind w:right="57"/>
              <w:jc w:val="right"/>
              <w:rPr>
                <w:b/>
                <w:bCs/>
                <w:iCs/>
                <w:sz w:val="18"/>
                <w:szCs w:val="18"/>
              </w:rPr>
            </w:pPr>
            <w:r w:rsidRPr="00471CBA">
              <w:rPr>
                <w:b/>
                <w:bCs/>
                <w:iCs/>
                <w:sz w:val="18"/>
                <w:szCs w:val="18"/>
              </w:rPr>
              <w:t>31 Aralık 2025</w:t>
            </w:r>
          </w:p>
        </w:tc>
        <w:tc>
          <w:tcPr>
            <w:tcW w:w="580" w:type="pct"/>
            <w:tcBorders>
              <w:top w:val="single" w:sz="4" w:space="0" w:color="auto"/>
              <w:bottom w:val="single" w:sz="4" w:space="0" w:color="auto"/>
            </w:tcBorders>
            <w:vAlign w:val="bottom"/>
          </w:tcPr>
          <w:p w14:paraId="084CDD00" w14:textId="3E493936" w:rsidR="00183003" w:rsidRPr="00471CBA" w:rsidRDefault="00183003" w:rsidP="00183003">
            <w:pPr>
              <w:ind w:right="57"/>
              <w:jc w:val="right"/>
              <w:rPr>
                <w:b/>
                <w:bCs/>
                <w:iCs/>
                <w:sz w:val="18"/>
                <w:szCs w:val="18"/>
              </w:rPr>
            </w:pPr>
            <w:r w:rsidRPr="00471CBA">
              <w:rPr>
                <w:b/>
                <w:bCs/>
                <w:iCs/>
                <w:sz w:val="18"/>
                <w:szCs w:val="18"/>
              </w:rPr>
              <w:t>31 Aralık 2024</w:t>
            </w:r>
          </w:p>
        </w:tc>
        <w:tc>
          <w:tcPr>
            <w:tcW w:w="527" w:type="pct"/>
            <w:tcBorders>
              <w:top w:val="single" w:sz="4" w:space="0" w:color="auto"/>
              <w:bottom w:val="single" w:sz="4" w:space="0" w:color="auto"/>
            </w:tcBorders>
            <w:vAlign w:val="bottom"/>
          </w:tcPr>
          <w:p w14:paraId="4F12A72F" w14:textId="78CF9850" w:rsidR="00183003" w:rsidRPr="00471CBA" w:rsidRDefault="00183003" w:rsidP="00183003">
            <w:pPr>
              <w:ind w:right="57"/>
              <w:jc w:val="right"/>
              <w:rPr>
                <w:b/>
                <w:bCs/>
                <w:iCs/>
                <w:sz w:val="18"/>
                <w:szCs w:val="18"/>
              </w:rPr>
            </w:pPr>
            <w:r w:rsidRPr="00471CBA">
              <w:rPr>
                <w:b/>
                <w:bCs/>
                <w:iCs/>
                <w:sz w:val="18"/>
                <w:szCs w:val="18"/>
              </w:rPr>
              <w:t>31 Aralık 2025</w:t>
            </w:r>
          </w:p>
        </w:tc>
        <w:tc>
          <w:tcPr>
            <w:tcW w:w="579" w:type="pct"/>
            <w:tcBorders>
              <w:top w:val="single" w:sz="4" w:space="0" w:color="auto"/>
              <w:bottom w:val="single" w:sz="4" w:space="0" w:color="auto"/>
            </w:tcBorders>
            <w:vAlign w:val="bottom"/>
          </w:tcPr>
          <w:p w14:paraId="79B72503" w14:textId="2E87C81B" w:rsidR="00183003" w:rsidRPr="00471CBA" w:rsidRDefault="00183003" w:rsidP="00183003">
            <w:pPr>
              <w:ind w:right="57"/>
              <w:jc w:val="right"/>
              <w:rPr>
                <w:b/>
                <w:bCs/>
                <w:iCs/>
                <w:sz w:val="18"/>
                <w:szCs w:val="18"/>
              </w:rPr>
            </w:pPr>
            <w:r w:rsidRPr="00471CBA">
              <w:rPr>
                <w:b/>
                <w:bCs/>
                <w:iCs/>
                <w:sz w:val="18"/>
                <w:szCs w:val="18"/>
              </w:rPr>
              <w:t>31 Aralık 2024</w:t>
            </w:r>
          </w:p>
        </w:tc>
        <w:tc>
          <w:tcPr>
            <w:tcW w:w="528" w:type="pct"/>
            <w:tcBorders>
              <w:top w:val="single" w:sz="4" w:space="0" w:color="auto"/>
              <w:bottom w:val="single" w:sz="4" w:space="0" w:color="auto"/>
            </w:tcBorders>
            <w:vAlign w:val="bottom"/>
          </w:tcPr>
          <w:p w14:paraId="78D54514" w14:textId="36D3F70F" w:rsidR="00183003" w:rsidRPr="00471CBA" w:rsidRDefault="00183003" w:rsidP="00183003">
            <w:pPr>
              <w:ind w:right="57"/>
              <w:jc w:val="right"/>
              <w:rPr>
                <w:b/>
                <w:bCs/>
                <w:iCs/>
                <w:sz w:val="18"/>
                <w:szCs w:val="18"/>
              </w:rPr>
            </w:pPr>
            <w:r w:rsidRPr="00471CBA">
              <w:rPr>
                <w:b/>
                <w:bCs/>
                <w:iCs/>
                <w:sz w:val="18"/>
                <w:szCs w:val="18"/>
              </w:rPr>
              <w:t>31 Aralık 2025</w:t>
            </w:r>
          </w:p>
        </w:tc>
        <w:tc>
          <w:tcPr>
            <w:tcW w:w="577" w:type="pct"/>
            <w:tcBorders>
              <w:top w:val="single" w:sz="4" w:space="0" w:color="auto"/>
              <w:bottom w:val="single" w:sz="4" w:space="0" w:color="auto"/>
            </w:tcBorders>
            <w:vAlign w:val="bottom"/>
          </w:tcPr>
          <w:p w14:paraId="1E039947" w14:textId="7D0CAF57" w:rsidR="00183003" w:rsidRPr="00471CBA" w:rsidRDefault="00183003" w:rsidP="00183003">
            <w:pPr>
              <w:ind w:right="57"/>
              <w:jc w:val="right"/>
              <w:rPr>
                <w:b/>
                <w:bCs/>
                <w:iCs/>
                <w:sz w:val="18"/>
                <w:szCs w:val="18"/>
              </w:rPr>
            </w:pPr>
            <w:r w:rsidRPr="00471CBA">
              <w:rPr>
                <w:b/>
                <w:bCs/>
                <w:iCs/>
                <w:sz w:val="18"/>
                <w:szCs w:val="18"/>
              </w:rPr>
              <w:t>31 Aralık 2024</w:t>
            </w:r>
          </w:p>
        </w:tc>
      </w:tr>
      <w:tr w:rsidR="00AC5D64" w:rsidRPr="00471CBA" w14:paraId="019DDF10" w14:textId="77777777" w:rsidTr="00B03504">
        <w:trPr>
          <w:trHeight w:val="113"/>
        </w:trPr>
        <w:tc>
          <w:tcPr>
            <w:tcW w:w="1696" w:type="pct"/>
            <w:tcBorders>
              <w:top w:val="single" w:sz="4" w:space="0" w:color="auto"/>
            </w:tcBorders>
            <w:noWrap/>
            <w:tcMar>
              <w:top w:w="15" w:type="dxa"/>
              <w:left w:w="15" w:type="dxa"/>
              <w:bottom w:w="0" w:type="dxa"/>
              <w:right w:w="15" w:type="dxa"/>
            </w:tcMar>
            <w:vAlign w:val="bottom"/>
          </w:tcPr>
          <w:p w14:paraId="0A748FAD" w14:textId="77777777" w:rsidR="00AC5D64" w:rsidRPr="00471CBA" w:rsidRDefault="00AC5D64" w:rsidP="00CD5F48">
            <w:pPr>
              <w:jc w:val="both"/>
              <w:rPr>
                <w:b/>
                <w:sz w:val="18"/>
                <w:szCs w:val="18"/>
              </w:rPr>
            </w:pPr>
          </w:p>
        </w:tc>
        <w:tc>
          <w:tcPr>
            <w:tcW w:w="513" w:type="pct"/>
            <w:tcBorders>
              <w:top w:val="single" w:sz="4" w:space="0" w:color="auto"/>
            </w:tcBorders>
            <w:vAlign w:val="bottom"/>
          </w:tcPr>
          <w:p w14:paraId="42385669" w14:textId="77777777" w:rsidR="00AC5D64" w:rsidRPr="00471CBA" w:rsidRDefault="00AC5D64" w:rsidP="00B03504">
            <w:pPr>
              <w:ind w:right="94"/>
              <w:jc w:val="right"/>
              <w:rPr>
                <w:bCs/>
                <w:iCs/>
                <w:sz w:val="18"/>
                <w:szCs w:val="18"/>
              </w:rPr>
            </w:pPr>
          </w:p>
        </w:tc>
        <w:tc>
          <w:tcPr>
            <w:tcW w:w="580" w:type="pct"/>
            <w:tcBorders>
              <w:top w:val="single" w:sz="4" w:space="0" w:color="auto"/>
            </w:tcBorders>
            <w:vAlign w:val="bottom"/>
          </w:tcPr>
          <w:p w14:paraId="79A2510A" w14:textId="0BD33F84" w:rsidR="00AC5D64" w:rsidRPr="00471CBA" w:rsidRDefault="00AC5D64" w:rsidP="00B03504">
            <w:pPr>
              <w:ind w:right="94"/>
              <w:jc w:val="right"/>
              <w:rPr>
                <w:bCs/>
                <w:iCs/>
                <w:sz w:val="18"/>
                <w:szCs w:val="18"/>
              </w:rPr>
            </w:pPr>
          </w:p>
        </w:tc>
        <w:tc>
          <w:tcPr>
            <w:tcW w:w="527" w:type="pct"/>
            <w:tcBorders>
              <w:top w:val="single" w:sz="4" w:space="0" w:color="auto"/>
            </w:tcBorders>
            <w:vAlign w:val="bottom"/>
          </w:tcPr>
          <w:p w14:paraId="5B653C55" w14:textId="77777777" w:rsidR="00AC5D64" w:rsidRPr="00471CBA" w:rsidRDefault="00AC5D64" w:rsidP="00B03504">
            <w:pPr>
              <w:ind w:right="94"/>
              <w:jc w:val="right"/>
              <w:rPr>
                <w:bCs/>
                <w:iCs/>
                <w:sz w:val="18"/>
                <w:szCs w:val="18"/>
              </w:rPr>
            </w:pPr>
          </w:p>
        </w:tc>
        <w:tc>
          <w:tcPr>
            <w:tcW w:w="579" w:type="pct"/>
            <w:tcBorders>
              <w:top w:val="single" w:sz="4" w:space="0" w:color="auto"/>
            </w:tcBorders>
            <w:vAlign w:val="bottom"/>
          </w:tcPr>
          <w:p w14:paraId="504C6171" w14:textId="19A49E9A" w:rsidR="00AC5D64" w:rsidRPr="00471CBA" w:rsidRDefault="00AC5D64" w:rsidP="00B03504">
            <w:pPr>
              <w:ind w:right="94"/>
              <w:jc w:val="right"/>
              <w:rPr>
                <w:bCs/>
                <w:iCs/>
                <w:sz w:val="18"/>
                <w:szCs w:val="18"/>
              </w:rPr>
            </w:pPr>
          </w:p>
        </w:tc>
        <w:tc>
          <w:tcPr>
            <w:tcW w:w="528" w:type="pct"/>
            <w:tcBorders>
              <w:top w:val="single" w:sz="4" w:space="0" w:color="auto"/>
            </w:tcBorders>
            <w:vAlign w:val="bottom"/>
          </w:tcPr>
          <w:p w14:paraId="1A6F687C" w14:textId="77777777" w:rsidR="00AC5D64" w:rsidRPr="00471CBA" w:rsidRDefault="00AC5D64" w:rsidP="00B03504">
            <w:pPr>
              <w:ind w:right="94"/>
              <w:jc w:val="right"/>
              <w:rPr>
                <w:bCs/>
                <w:iCs/>
                <w:sz w:val="18"/>
                <w:szCs w:val="18"/>
              </w:rPr>
            </w:pPr>
          </w:p>
        </w:tc>
        <w:tc>
          <w:tcPr>
            <w:tcW w:w="577" w:type="pct"/>
            <w:tcBorders>
              <w:top w:val="single" w:sz="4" w:space="0" w:color="auto"/>
            </w:tcBorders>
            <w:vAlign w:val="bottom"/>
          </w:tcPr>
          <w:p w14:paraId="4D8B1377" w14:textId="28C7F785" w:rsidR="00AC5D64" w:rsidRPr="00471CBA" w:rsidRDefault="00AC5D64" w:rsidP="00B03504">
            <w:pPr>
              <w:ind w:right="94"/>
              <w:jc w:val="right"/>
              <w:rPr>
                <w:bCs/>
                <w:iCs/>
                <w:sz w:val="18"/>
                <w:szCs w:val="18"/>
              </w:rPr>
            </w:pPr>
          </w:p>
        </w:tc>
      </w:tr>
      <w:tr w:rsidR="00AC5D64" w:rsidRPr="00471CBA" w14:paraId="3596AB15" w14:textId="77777777" w:rsidTr="00B03504">
        <w:trPr>
          <w:trHeight w:val="55"/>
        </w:trPr>
        <w:tc>
          <w:tcPr>
            <w:tcW w:w="1696" w:type="pct"/>
            <w:noWrap/>
            <w:tcMar>
              <w:top w:w="15" w:type="dxa"/>
              <w:left w:w="15" w:type="dxa"/>
              <w:bottom w:w="0" w:type="dxa"/>
              <w:right w:w="15" w:type="dxa"/>
            </w:tcMar>
            <w:vAlign w:val="bottom"/>
          </w:tcPr>
          <w:p w14:paraId="2083165F" w14:textId="77777777" w:rsidR="00AC5D64" w:rsidRPr="00471CBA" w:rsidRDefault="00AC5D64" w:rsidP="00CD5F48">
            <w:pPr>
              <w:jc w:val="both"/>
              <w:rPr>
                <w:sz w:val="18"/>
                <w:szCs w:val="18"/>
              </w:rPr>
            </w:pPr>
            <w:r w:rsidRPr="00471CBA">
              <w:rPr>
                <w:b/>
                <w:sz w:val="18"/>
                <w:szCs w:val="18"/>
              </w:rPr>
              <w:t>Özel Cari ve Katılma Hesapları</w:t>
            </w:r>
          </w:p>
        </w:tc>
        <w:tc>
          <w:tcPr>
            <w:tcW w:w="513" w:type="pct"/>
            <w:vAlign w:val="bottom"/>
          </w:tcPr>
          <w:p w14:paraId="7471A4F0" w14:textId="77777777" w:rsidR="00AC5D64" w:rsidRPr="00471CBA" w:rsidRDefault="00AC5D64" w:rsidP="00B03504">
            <w:pPr>
              <w:ind w:right="94"/>
              <w:jc w:val="right"/>
              <w:rPr>
                <w:bCs/>
                <w:iCs/>
                <w:sz w:val="18"/>
                <w:szCs w:val="18"/>
              </w:rPr>
            </w:pPr>
          </w:p>
        </w:tc>
        <w:tc>
          <w:tcPr>
            <w:tcW w:w="580" w:type="pct"/>
            <w:vAlign w:val="bottom"/>
          </w:tcPr>
          <w:p w14:paraId="59283AE8" w14:textId="0657E179" w:rsidR="00AC5D64" w:rsidRPr="00471CBA" w:rsidRDefault="00AC5D64" w:rsidP="00B03504">
            <w:pPr>
              <w:ind w:right="94"/>
              <w:jc w:val="right"/>
              <w:rPr>
                <w:bCs/>
                <w:iCs/>
                <w:sz w:val="18"/>
                <w:szCs w:val="18"/>
              </w:rPr>
            </w:pPr>
          </w:p>
        </w:tc>
        <w:tc>
          <w:tcPr>
            <w:tcW w:w="527" w:type="pct"/>
            <w:vAlign w:val="bottom"/>
          </w:tcPr>
          <w:p w14:paraId="031E42EB" w14:textId="77777777" w:rsidR="00AC5D64" w:rsidRPr="00471CBA" w:rsidRDefault="00AC5D64" w:rsidP="00B03504">
            <w:pPr>
              <w:ind w:right="94"/>
              <w:jc w:val="right"/>
              <w:rPr>
                <w:bCs/>
                <w:iCs/>
                <w:sz w:val="18"/>
                <w:szCs w:val="18"/>
              </w:rPr>
            </w:pPr>
          </w:p>
        </w:tc>
        <w:tc>
          <w:tcPr>
            <w:tcW w:w="579" w:type="pct"/>
            <w:vAlign w:val="bottom"/>
          </w:tcPr>
          <w:p w14:paraId="2E968C65" w14:textId="55C8602B" w:rsidR="00AC5D64" w:rsidRPr="00471CBA" w:rsidRDefault="00AC5D64" w:rsidP="00B03504">
            <w:pPr>
              <w:ind w:right="94"/>
              <w:jc w:val="right"/>
              <w:rPr>
                <w:bCs/>
                <w:iCs/>
                <w:sz w:val="18"/>
                <w:szCs w:val="18"/>
              </w:rPr>
            </w:pPr>
          </w:p>
        </w:tc>
        <w:tc>
          <w:tcPr>
            <w:tcW w:w="528" w:type="pct"/>
            <w:vAlign w:val="bottom"/>
          </w:tcPr>
          <w:p w14:paraId="3423CE34" w14:textId="77777777" w:rsidR="00AC5D64" w:rsidRPr="00471CBA" w:rsidRDefault="00AC5D64" w:rsidP="00B03504">
            <w:pPr>
              <w:ind w:right="94"/>
              <w:jc w:val="right"/>
              <w:rPr>
                <w:bCs/>
                <w:iCs/>
                <w:sz w:val="18"/>
                <w:szCs w:val="18"/>
              </w:rPr>
            </w:pPr>
          </w:p>
        </w:tc>
        <w:tc>
          <w:tcPr>
            <w:tcW w:w="577" w:type="pct"/>
            <w:vAlign w:val="bottom"/>
          </w:tcPr>
          <w:p w14:paraId="3FC11E34" w14:textId="3F08153E" w:rsidR="00AC5D64" w:rsidRPr="00471CBA" w:rsidRDefault="00AC5D64" w:rsidP="00B03504">
            <w:pPr>
              <w:ind w:right="94"/>
              <w:jc w:val="right"/>
              <w:rPr>
                <w:bCs/>
                <w:iCs/>
                <w:sz w:val="18"/>
                <w:szCs w:val="18"/>
              </w:rPr>
            </w:pPr>
          </w:p>
        </w:tc>
      </w:tr>
      <w:tr w:rsidR="00097DDF" w:rsidRPr="00471CBA" w14:paraId="09890F5F" w14:textId="77777777" w:rsidTr="007E2069">
        <w:trPr>
          <w:trHeight w:val="113"/>
        </w:trPr>
        <w:tc>
          <w:tcPr>
            <w:tcW w:w="1696" w:type="pct"/>
            <w:noWrap/>
            <w:tcMar>
              <w:top w:w="15" w:type="dxa"/>
              <w:left w:w="15" w:type="dxa"/>
              <w:bottom w:w="0" w:type="dxa"/>
              <w:right w:w="15" w:type="dxa"/>
            </w:tcMar>
            <w:vAlign w:val="bottom"/>
          </w:tcPr>
          <w:p w14:paraId="702E0B0F" w14:textId="77777777" w:rsidR="00097DDF" w:rsidRPr="00471CBA" w:rsidRDefault="00097DDF" w:rsidP="00097DDF">
            <w:pPr>
              <w:ind w:left="111"/>
              <w:jc w:val="both"/>
              <w:rPr>
                <w:sz w:val="18"/>
                <w:szCs w:val="18"/>
              </w:rPr>
            </w:pPr>
            <w:r w:rsidRPr="00471CBA">
              <w:rPr>
                <w:sz w:val="18"/>
                <w:szCs w:val="18"/>
              </w:rPr>
              <w:t>Dönem Başı Bakiyesi</w:t>
            </w:r>
          </w:p>
        </w:tc>
        <w:tc>
          <w:tcPr>
            <w:tcW w:w="513" w:type="pct"/>
          </w:tcPr>
          <w:p w14:paraId="6DDDA418" w14:textId="16ED7293" w:rsidR="00097DDF" w:rsidRPr="00471CBA" w:rsidRDefault="00097DDF" w:rsidP="00097DDF">
            <w:pPr>
              <w:tabs>
                <w:tab w:val="center" w:pos="564"/>
                <w:tab w:val="left" w:pos="1010"/>
                <w:tab w:val="right" w:pos="1128"/>
              </w:tabs>
              <w:ind w:right="105"/>
              <w:jc w:val="right"/>
              <w:rPr>
                <w:color w:val="000000"/>
                <w:sz w:val="18"/>
                <w:szCs w:val="18"/>
              </w:rPr>
            </w:pPr>
            <w:r w:rsidRPr="00471CBA">
              <w:rPr>
                <w:sz w:val="18"/>
                <w:szCs w:val="18"/>
              </w:rPr>
              <w:t>1.496</w:t>
            </w:r>
          </w:p>
        </w:tc>
        <w:tc>
          <w:tcPr>
            <w:tcW w:w="580" w:type="pct"/>
            <w:tcBorders>
              <w:right w:val="nil"/>
            </w:tcBorders>
          </w:tcPr>
          <w:p w14:paraId="05E60AB0" w14:textId="7B8D4B8F" w:rsidR="00097DDF" w:rsidRPr="00471CBA" w:rsidRDefault="00097DDF" w:rsidP="00097DDF">
            <w:pPr>
              <w:tabs>
                <w:tab w:val="center" w:pos="564"/>
                <w:tab w:val="left" w:pos="1010"/>
                <w:tab w:val="right" w:pos="1128"/>
              </w:tabs>
              <w:ind w:right="105"/>
              <w:jc w:val="right"/>
              <w:rPr>
                <w:sz w:val="18"/>
                <w:szCs w:val="18"/>
              </w:rPr>
            </w:pPr>
            <w:r w:rsidRPr="00471CBA">
              <w:rPr>
                <w:sz w:val="18"/>
                <w:szCs w:val="18"/>
              </w:rPr>
              <w:t>-</w:t>
            </w:r>
          </w:p>
        </w:tc>
        <w:tc>
          <w:tcPr>
            <w:tcW w:w="527" w:type="pct"/>
          </w:tcPr>
          <w:p w14:paraId="1DBC424E" w14:textId="5B28F80D" w:rsidR="00097DDF" w:rsidRPr="00471CBA" w:rsidRDefault="00097DDF" w:rsidP="00097DDF">
            <w:pPr>
              <w:tabs>
                <w:tab w:val="center" w:pos="564"/>
                <w:tab w:val="left" w:pos="1010"/>
                <w:tab w:val="right" w:pos="1128"/>
              </w:tabs>
              <w:ind w:right="105"/>
              <w:jc w:val="right"/>
              <w:rPr>
                <w:sz w:val="18"/>
                <w:szCs w:val="18"/>
              </w:rPr>
            </w:pPr>
            <w:r w:rsidRPr="00471CBA">
              <w:rPr>
                <w:sz w:val="18"/>
                <w:szCs w:val="18"/>
              </w:rPr>
              <w:t>-</w:t>
            </w:r>
          </w:p>
        </w:tc>
        <w:tc>
          <w:tcPr>
            <w:tcW w:w="579" w:type="pct"/>
          </w:tcPr>
          <w:p w14:paraId="4544591E" w14:textId="7CE7B027" w:rsidR="00097DDF" w:rsidRPr="00471CBA" w:rsidRDefault="00097DDF" w:rsidP="00097DDF">
            <w:pPr>
              <w:tabs>
                <w:tab w:val="center" w:pos="564"/>
                <w:tab w:val="left" w:pos="1010"/>
                <w:tab w:val="right" w:pos="1128"/>
              </w:tabs>
              <w:ind w:right="105"/>
              <w:jc w:val="right"/>
              <w:rPr>
                <w:sz w:val="18"/>
                <w:szCs w:val="18"/>
              </w:rPr>
            </w:pPr>
            <w:r w:rsidRPr="00471CBA">
              <w:rPr>
                <w:sz w:val="18"/>
                <w:szCs w:val="18"/>
              </w:rPr>
              <w:t>-</w:t>
            </w:r>
          </w:p>
        </w:tc>
        <w:tc>
          <w:tcPr>
            <w:tcW w:w="528" w:type="pct"/>
            <w:vAlign w:val="center"/>
          </w:tcPr>
          <w:p w14:paraId="1477FAFF" w14:textId="5F1A261D" w:rsidR="00097DDF" w:rsidRPr="00471CBA" w:rsidRDefault="00097DDF" w:rsidP="00097DDF">
            <w:pPr>
              <w:tabs>
                <w:tab w:val="center" w:pos="564"/>
                <w:tab w:val="left" w:pos="1010"/>
                <w:tab w:val="right" w:pos="1128"/>
              </w:tabs>
              <w:ind w:right="105"/>
              <w:jc w:val="right"/>
              <w:rPr>
                <w:color w:val="000000"/>
                <w:sz w:val="18"/>
                <w:szCs w:val="18"/>
              </w:rPr>
            </w:pPr>
            <w:r w:rsidRPr="00471CBA">
              <w:rPr>
                <w:color w:val="000000"/>
                <w:sz w:val="18"/>
                <w:szCs w:val="18"/>
              </w:rPr>
              <w:t>1.030.705</w:t>
            </w:r>
          </w:p>
        </w:tc>
        <w:tc>
          <w:tcPr>
            <w:tcW w:w="577" w:type="pct"/>
          </w:tcPr>
          <w:p w14:paraId="03D2D01D" w14:textId="574B9519" w:rsidR="00097DDF" w:rsidRPr="00471CBA" w:rsidRDefault="00097DDF" w:rsidP="00097DDF">
            <w:pPr>
              <w:tabs>
                <w:tab w:val="center" w:pos="564"/>
                <w:tab w:val="left" w:pos="1010"/>
                <w:tab w:val="right" w:pos="1128"/>
              </w:tabs>
              <w:ind w:right="105"/>
              <w:jc w:val="right"/>
              <w:rPr>
                <w:sz w:val="18"/>
                <w:szCs w:val="18"/>
              </w:rPr>
            </w:pPr>
            <w:r w:rsidRPr="00471CBA">
              <w:rPr>
                <w:sz w:val="18"/>
                <w:szCs w:val="18"/>
              </w:rPr>
              <w:t>-</w:t>
            </w:r>
          </w:p>
        </w:tc>
      </w:tr>
      <w:tr w:rsidR="00097DDF" w:rsidRPr="00471CBA" w14:paraId="24619FB0" w14:textId="77777777" w:rsidTr="007E2069">
        <w:trPr>
          <w:trHeight w:val="113"/>
        </w:trPr>
        <w:tc>
          <w:tcPr>
            <w:tcW w:w="1696" w:type="pct"/>
            <w:noWrap/>
            <w:tcMar>
              <w:top w:w="15" w:type="dxa"/>
              <w:left w:w="15" w:type="dxa"/>
              <w:bottom w:w="0" w:type="dxa"/>
              <w:right w:w="15" w:type="dxa"/>
            </w:tcMar>
            <w:vAlign w:val="bottom"/>
          </w:tcPr>
          <w:p w14:paraId="6A1F6F59" w14:textId="77777777" w:rsidR="00097DDF" w:rsidRPr="00471CBA" w:rsidRDefault="00097DDF" w:rsidP="00097DDF">
            <w:pPr>
              <w:ind w:left="111" w:firstLine="15"/>
              <w:jc w:val="both"/>
              <w:rPr>
                <w:rFonts w:eastAsia="Arial Unicode MS"/>
                <w:sz w:val="18"/>
                <w:szCs w:val="18"/>
              </w:rPr>
            </w:pPr>
            <w:r w:rsidRPr="00471CBA">
              <w:rPr>
                <w:sz w:val="18"/>
                <w:szCs w:val="18"/>
              </w:rPr>
              <w:t>Dönem Sonu Bakiyesi</w:t>
            </w:r>
          </w:p>
        </w:tc>
        <w:tc>
          <w:tcPr>
            <w:tcW w:w="513" w:type="pct"/>
          </w:tcPr>
          <w:p w14:paraId="23CDBA5B" w14:textId="68938ABE" w:rsidR="00097DDF" w:rsidRPr="00471CBA" w:rsidRDefault="00097DDF" w:rsidP="00097DDF">
            <w:pPr>
              <w:tabs>
                <w:tab w:val="center" w:pos="564"/>
                <w:tab w:val="left" w:pos="1010"/>
                <w:tab w:val="right" w:pos="1128"/>
              </w:tabs>
              <w:ind w:right="105"/>
              <w:jc w:val="right"/>
              <w:rPr>
                <w:color w:val="000000"/>
                <w:sz w:val="18"/>
                <w:szCs w:val="18"/>
              </w:rPr>
            </w:pPr>
            <w:r w:rsidRPr="00471CBA">
              <w:rPr>
                <w:sz w:val="18"/>
                <w:szCs w:val="18"/>
              </w:rPr>
              <w:t>806.398</w:t>
            </w:r>
          </w:p>
        </w:tc>
        <w:tc>
          <w:tcPr>
            <w:tcW w:w="580" w:type="pct"/>
            <w:tcBorders>
              <w:right w:val="nil"/>
            </w:tcBorders>
          </w:tcPr>
          <w:p w14:paraId="32BBAE32" w14:textId="1B88E347" w:rsidR="00097DDF" w:rsidRPr="00471CBA" w:rsidRDefault="00097DDF" w:rsidP="00097DDF">
            <w:pPr>
              <w:tabs>
                <w:tab w:val="center" w:pos="564"/>
                <w:tab w:val="left" w:pos="1010"/>
                <w:tab w:val="right" w:pos="1128"/>
              </w:tabs>
              <w:ind w:right="105"/>
              <w:jc w:val="right"/>
              <w:rPr>
                <w:sz w:val="18"/>
                <w:szCs w:val="18"/>
              </w:rPr>
            </w:pPr>
            <w:r w:rsidRPr="00471CBA">
              <w:rPr>
                <w:sz w:val="18"/>
                <w:szCs w:val="18"/>
              </w:rPr>
              <w:t>1.496</w:t>
            </w:r>
          </w:p>
        </w:tc>
        <w:tc>
          <w:tcPr>
            <w:tcW w:w="527" w:type="pct"/>
          </w:tcPr>
          <w:p w14:paraId="274C0ED4" w14:textId="755075F1" w:rsidR="00097DDF" w:rsidRPr="00471CBA" w:rsidRDefault="00097DDF" w:rsidP="00097DDF">
            <w:pPr>
              <w:tabs>
                <w:tab w:val="center" w:pos="564"/>
                <w:tab w:val="left" w:pos="1010"/>
                <w:tab w:val="right" w:pos="1128"/>
              </w:tabs>
              <w:ind w:right="105"/>
              <w:jc w:val="right"/>
              <w:rPr>
                <w:sz w:val="18"/>
                <w:szCs w:val="18"/>
              </w:rPr>
            </w:pPr>
            <w:r w:rsidRPr="00471CBA">
              <w:rPr>
                <w:sz w:val="18"/>
                <w:szCs w:val="18"/>
              </w:rPr>
              <w:t>2.347.242</w:t>
            </w:r>
          </w:p>
        </w:tc>
        <w:tc>
          <w:tcPr>
            <w:tcW w:w="579" w:type="pct"/>
          </w:tcPr>
          <w:p w14:paraId="44382E12" w14:textId="1210388E" w:rsidR="00097DDF" w:rsidRPr="00471CBA" w:rsidRDefault="00097DDF" w:rsidP="00097DDF">
            <w:pPr>
              <w:tabs>
                <w:tab w:val="center" w:pos="564"/>
                <w:tab w:val="left" w:pos="1010"/>
                <w:tab w:val="right" w:pos="1128"/>
              </w:tabs>
              <w:ind w:right="105"/>
              <w:jc w:val="right"/>
              <w:rPr>
                <w:sz w:val="18"/>
                <w:szCs w:val="18"/>
              </w:rPr>
            </w:pPr>
            <w:r w:rsidRPr="00471CBA">
              <w:rPr>
                <w:sz w:val="18"/>
                <w:szCs w:val="18"/>
              </w:rPr>
              <w:t>-</w:t>
            </w:r>
          </w:p>
        </w:tc>
        <w:tc>
          <w:tcPr>
            <w:tcW w:w="528" w:type="pct"/>
            <w:vAlign w:val="center"/>
          </w:tcPr>
          <w:p w14:paraId="3634202A" w14:textId="51FD38C5" w:rsidR="00097DDF" w:rsidRPr="00471CBA" w:rsidRDefault="00097DDF" w:rsidP="00097DDF">
            <w:pPr>
              <w:tabs>
                <w:tab w:val="center" w:pos="564"/>
                <w:tab w:val="left" w:pos="1010"/>
                <w:tab w:val="right" w:pos="1128"/>
              </w:tabs>
              <w:ind w:right="105"/>
              <w:jc w:val="right"/>
              <w:rPr>
                <w:color w:val="000000"/>
                <w:sz w:val="18"/>
                <w:szCs w:val="18"/>
              </w:rPr>
            </w:pPr>
            <w:r w:rsidRPr="00471CBA">
              <w:rPr>
                <w:color w:val="000000"/>
                <w:sz w:val="18"/>
                <w:szCs w:val="18"/>
              </w:rPr>
              <w:t>184.838</w:t>
            </w:r>
          </w:p>
        </w:tc>
        <w:tc>
          <w:tcPr>
            <w:tcW w:w="577" w:type="pct"/>
          </w:tcPr>
          <w:p w14:paraId="4A4485F9" w14:textId="397EB005" w:rsidR="00097DDF" w:rsidRPr="00471CBA" w:rsidRDefault="00097DDF" w:rsidP="00097DDF">
            <w:pPr>
              <w:tabs>
                <w:tab w:val="center" w:pos="564"/>
                <w:tab w:val="left" w:pos="1010"/>
                <w:tab w:val="right" w:pos="1128"/>
              </w:tabs>
              <w:ind w:right="105"/>
              <w:jc w:val="right"/>
              <w:rPr>
                <w:sz w:val="18"/>
                <w:szCs w:val="18"/>
              </w:rPr>
            </w:pPr>
            <w:r w:rsidRPr="00471CBA">
              <w:rPr>
                <w:sz w:val="18"/>
                <w:szCs w:val="18"/>
              </w:rPr>
              <w:t>1.030.705</w:t>
            </w:r>
          </w:p>
        </w:tc>
      </w:tr>
      <w:tr w:rsidR="00097DDF" w:rsidRPr="00471CBA" w14:paraId="4B9D6C9D" w14:textId="77777777" w:rsidTr="007E2069">
        <w:trPr>
          <w:trHeight w:val="113"/>
        </w:trPr>
        <w:tc>
          <w:tcPr>
            <w:tcW w:w="1696" w:type="pct"/>
            <w:noWrap/>
            <w:tcMar>
              <w:top w:w="15" w:type="dxa"/>
              <w:left w:w="15" w:type="dxa"/>
              <w:bottom w:w="0" w:type="dxa"/>
              <w:right w:w="15" w:type="dxa"/>
            </w:tcMar>
            <w:vAlign w:val="bottom"/>
          </w:tcPr>
          <w:p w14:paraId="5037E373" w14:textId="77777777" w:rsidR="00097DDF" w:rsidRPr="00471CBA" w:rsidRDefault="00097DDF" w:rsidP="00097DDF">
            <w:pPr>
              <w:ind w:firstLine="15"/>
              <w:jc w:val="both"/>
              <w:rPr>
                <w:b/>
                <w:sz w:val="18"/>
                <w:szCs w:val="18"/>
              </w:rPr>
            </w:pPr>
            <w:r w:rsidRPr="00471CBA">
              <w:rPr>
                <w:b/>
                <w:sz w:val="18"/>
                <w:szCs w:val="18"/>
              </w:rPr>
              <w:t xml:space="preserve">Katılma Hesabı Kar Payı Gideri </w:t>
            </w:r>
          </w:p>
        </w:tc>
        <w:tc>
          <w:tcPr>
            <w:tcW w:w="513" w:type="pct"/>
          </w:tcPr>
          <w:p w14:paraId="2138A27A" w14:textId="6F406EB1" w:rsidR="00097DDF" w:rsidRPr="00471CBA" w:rsidRDefault="00097DDF" w:rsidP="00097DDF">
            <w:pPr>
              <w:tabs>
                <w:tab w:val="center" w:pos="564"/>
                <w:tab w:val="left" w:pos="1010"/>
                <w:tab w:val="right" w:pos="1128"/>
              </w:tabs>
              <w:ind w:right="105"/>
              <w:jc w:val="right"/>
              <w:rPr>
                <w:b/>
                <w:color w:val="000000"/>
                <w:sz w:val="18"/>
                <w:szCs w:val="18"/>
              </w:rPr>
            </w:pPr>
            <w:r w:rsidRPr="00471CBA">
              <w:rPr>
                <w:b/>
                <w:sz w:val="18"/>
                <w:szCs w:val="18"/>
              </w:rPr>
              <w:t>119.687</w:t>
            </w:r>
          </w:p>
        </w:tc>
        <w:tc>
          <w:tcPr>
            <w:tcW w:w="580" w:type="pct"/>
            <w:tcBorders>
              <w:right w:val="nil"/>
            </w:tcBorders>
          </w:tcPr>
          <w:p w14:paraId="2E66819F" w14:textId="53DB8AA5" w:rsidR="00097DDF" w:rsidRPr="00471CBA" w:rsidRDefault="00097DDF" w:rsidP="00097DDF">
            <w:pPr>
              <w:tabs>
                <w:tab w:val="center" w:pos="564"/>
                <w:tab w:val="left" w:pos="1010"/>
                <w:tab w:val="right" w:pos="1128"/>
              </w:tabs>
              <w:ind w:right="105"/>
              <w:jc w:val="right"/>
              <w:rPr>
                <w:b/>
                <w:sz w:val="18"/>
                <w:szCs w:val="18"/>
              </w:rPr>
            </w:pPr>
            <w:r w:rsidRPr="00471CBA">
              <w:rPr>
                <w:b/>
                <w:sz w:val="18"/>
                <w:szCs w:val="18"/>
              </w:rPr>
              <w:t>418</w:t>
            </w:r>
          </w:p>
        </w:tc>
        <w:tc>
          <w:tcPr>
            <w:tcW w:w="527" w:type="pct"/>
          </w:tcPr>
          <w:p w14:paraId="0A46455E" w14:textId="70658E7C" w:rsidR="00097DDF" w:rsidRPr="00471CBA" w:rsidRDefault="00097DDF" w:rsidP="00097DDF">
            <w:pPr>
              <w:tabs>
                <w:tab w:val="center" w:pos="564"/>
                <w:tab w:val="left" w:pos="1010"/>
                <w:tab w:val="right" w:pos="1128"/>
              </w:tabs>
              <w:ind w:right="105"/>
              <w:jc w:val="right"/>
              <w:rPr>
                <w:b/>
                <w:sz w:val="18"/>
                <w:szCs w:val="18"/>
              </w:rPr>
            </w:pPr>
            <w:r w:rsidRPr="00471CBA">
              <w:rPr>
                <w:b/>
                <w:sz w:val="18"/>
                <w:szCs w:val="18"/>
              </w:rPr>
              <w:t>25.533</w:t>
            </w:r>
          </w:p>
        </w:tc>
        <w:tc>
          <w:tcPr>
            <w:tcW w:w="579" w:type="pct"/>
          </w:tcPr>
          <w:p w14:paraId="1C674038" w14:textId="5170E5B9" w:rsidR="00097DDF" w:rsidRPr="00471CBA" w:rsidRDefault="00097DDF" w:rsidP="00097DDF">
            <w:pPr>
              <w:tabs>
                <w:tab w:val="center" w:pos="564"/>
                <w:tab w:val="left" w:pos="1010"/>
                <w:tab w:val="right" w:pos="1128"/>
              </w:tabs>
              <w:ind w:right="105"/>
              <w:jc w:val="right"/>
              <w:rPr>
                <w:b/>
                <w:sz w:val="18"/>
                <w:szCs w:val="18"/>
              </w:rPr>
            </w:pPr>
            <w:r w:rsidRPr="00471CBA">
              <w:rPr>
                <w:b/>
                <w:sz w:val="18"/>
                <w:szCs w:val="18"/>
              </w:rPr>
              <w:t>-</w:t>
            </w:r>
          </w:p>
        </w:tc>
        <w:tc>
          <w:tcPr>
            <w:tcW w:w="528" w:type="pct"/>
            <w:vAlign w:val="center"/>
          </w:tcPr>
          <w:p w14:paraId="348E708E" w14:textId="5C68121A" w:rsidR="00097DDF" w:rsidRPr="00471CBA" w:rsidRDefault="00097DDF" w:rsidP="00097DDF">
            <w:pPr>
              <w:tabs>
                <w:tab w:val="center" w:pos="564"/>
                <w:tab w:val="left" w:pos="1010"/>
                <w:tab w:val="right" w:pos="1128"/>
              </w:tabs>
              <w:ind w:right="105"/>
              <w:jc w:val="right"/>
              <w:rPr>
                <w:b/>
                <w:color w:val="000000"/>
                <w:sz w:val="18"/>
                <w:szCs w:val="18"/>
              </w:rPr>
            </w:pPr>
            <w:r w:rsidRPr="00471CBA">
              <w:rPr>
                <w:b/>
                <w:bCs/>
                <w:color w:val="000000"/>
                <w:sz w:val="18"/>
                <w:szCs w:val="18"/>
              </w:rPr>
              <w:t>84.291</w:t>
            </w:r>
          </w:p>
        </w:tc>
        <w:tc>
          <w:tcPr>
            <w:tcW w:w="577" w:type="pct"/>
          </w:tcPr>
          <w:p w14:paraId="0D463E69" w14:textId="2D3A6D19" w:rsidR="00097DDF" w:rsidRPr="00471CBA" w:rsidRDefault="00097DDF" w:rsidP="00097DDF">
            <w:pPr>
              <w:tabs>
                <w:tab w:val="center" w:pos="564"/>
                <w:tab w:val="left" w:pos="1010"/>
                <w:tab w:val="right" w:pos="1128"/>
              </w:tabs>
              <w:ind w:right="105"/>
              <w:jc w:val="right"/>
              <w:rPr>
                <w:b/>
                <w:sz w:val="18"/>
                <w:szCs w:val="18"/>
              </w:rPr>
            </w:pPr>
            <w:r w:rsidRPr="00471CBA">
              <w:rPr>
                <w:b/>
                <w:sz w:val="18"/>
                <w:szCs w:val="18"/>
              </w:rPr>
              <w:t>37.004</w:t>
            </w:r>
          </w:p>
        </w:tc>
      </w:tr>
      <w:tr w:rsidR="00AC5D64" w:rsidRPr="00471CBA" w14:paraId="10485CD7" w14:textId="77777777" w:rsidTr="00B03504">
        <w:trPr>
          <w:trHeight w:val="113"/>
        </w:trPr>
        <w:tc>
          <w:tcPr>
            <w:tcW w:w="1696" w:type="pct"/>
            <w:tcBorders>
              <w:bottom w:val="single" w:sz="4" w:space="0" w:color="auto"/>
            </w:tcBorders>
            <w:noWrap/>
            <w:tcMar>
              <w:top w:w="15" w:type="dxa"/>
              <w:left w:w="15" w:type="dxa"/>
              <w:bottom w:w="0" w:type="dxa"/>
              <w:right w:w="15" w:type="dxa"/>
            </w:tcMar>
            <w:vAlign w:val="bottom"/>
          </w:tcPr>
          <w:p w14:paraId="715C8E1C" w14:textId="77777777" w:rsidR="00AC5D64" w:rsidRPr="00471CBA" w:rsidRDefault="00AC5D64" w:rsidP="00CD5F48">
            <w:pPr>
              <w:ind w:firstLine="15"/>
              <w:jc w:val="both"/>
              <w:rPr>
                <w:b/>
                <w:sz w:val="18"/>
                <w:szCs w:val="18"/>
              </w:rPr>
            </w:pPr>
          </w:p>
        </w:tc>
        <w:tc>
          <w:tcPr>
            <w:tcW w:w="513" w:type="pct"/>
            <w:tcBorders>
              <w:bottom w:val="single" w:sz="4" w:space="0" w:color="auto"/>
            </w:tcBorders>
            <w:vAlign w:val="bottom"/>
          </w:tcPr>
          <w:p w14:paraId="569F4CA7" w14:textId="77777777" w:rsidR="00AC5D64" w:rsidRPr="00471CBA" w:rsidRDefault="00AC5D64" w:rsidP="00B03504">
            <w:pPr>
              <w:ind w:right="70"/>
              <w:jc w:val="right"/>
              <w:rPr>
                <w:sz w:val="18"/>
                <w:szCs w:val="18"/>
              </w:rPr>
            </w:pPr>
          </w:p>
        </w:tc>
        <w:tc>
          <w:tcPr>
            <w:tcW w:w="580" w:type="pct"/>
            <w:tcBorders>
              <w:bottom w:val="single" w:sz="4" w:space="0" w:color="auto"/>
            </w:tcBorders>
            <w:vAlign w:val="bottom"/>
          </w:tcPr>
          <w:p w14:paraId="41FFDD16" w14:textId="14BDF651" w:rsidR="00AC5D64" w:rsidRPr="00471CBA" w:rsidRDefault="00AC5D64" w:rsidP="00B03504">
            <w:pPr>
              <w:ind w:right="70"/>
              <w:jc w:val="right"/>
              <w:rPr>
                <w:sz w:val="18"/>
                <w:szCs w:val="18"/>
              </w:rPr>
            </w:pPr>
          </w:p>
        </w:tc>
        <w:tc>
          <w:tcPr>
            <w:tcW w:w="527" w:type="pct"/>
            <w:tcBorders>
              <w:bottom w:val="single" w:sz="4" w:space="0" w:color="auto"/>
            </w:tcBorders>
            <w:vAlign w:val="bottom"/>
          </w:tcPr>
          <w:p w14:paraId="5AECDCA2" w14:textId="77777777" w:rsidR="00AC5D64" w:rsidRPr="00471CBA" w:rsidRDefault="00AC5D64" w:rsidP="00B03504">
            <w:pPr>
              <w:ind w:right="70"/>
              <w:jc w:val="right"/>
              <w:rPr>
                <w:sz w:val="18"/>
                <w:szCs w:val="18"/>
              </w:rPr>
            </w:pPr>
          </w:p>
        </w:tc>
        <w:tc>
          <w:tcPr>
            <w:tcW w:w="579" w:type="pct"/>
            <w:tcBorders>
              <w:bottom w:val="single" w:sz="4" w:space="0" w:color="auto"/>
            </w:tcBorders>
            <w:vAlign w:val="bottom"/>
          </w:tcPr>
          <w:p w14:paraId="5F2B6FF0" w14:textId="44DFDB4C" w:rsidR="00AC5D64" w:rsidRPr="00471CBA" w:rsidRDefault="00AC5D64" w:rsidP="00B03504">
            <w:pPr>
              <w:ind w:right="70"/>
              <w:jc w:val="right"/>
              <w:rPr>
                <w:sz w:val="18"/>
                <w:szCs w:val="18"/>
              </w:rPr>
            </w:pPr>
          </w:p>
        </w:tc>
        <w:tc>
          <w:tcPr>
            <w:tcW w:w="528" w:type="pct"/>
            <w:tcBorders>
              <w:bottom w:val="single" w:sz="4" w:space="0" w:color="auto"/>
            </w:tcBorders>
            <w:vAlign w:val="bottom"/>
          </w:tcPr>
          <w:p w14:paraId="0237480F" w14:textId="77777777" w:rsidR="00AC5D64" w:rsidRPr="00471CBA" w:rsidRDefault="00AC5D64" w:rsidP="00B03504">
            <w:pPr>
              <w:ind w:right="97"/>
              <w:jc w:val="right"/>
              <w:rPr>
                <w:sz w:val="18"/>
                <w:szCs w:val="18"/>
              </w:rPr>
            </w:pPr>
          </w:p>
        </w:tc>
        <w:tc>
          <w:tcPr>
            <w:tcW w:w="577" w:type="pct"/>
            <w:tcBorders>
              <w:bottom w:val="single" w:sz="4" w:space="0" w:color="auto"/>
            </w:tcBorders>
            <w:vAlign w:val="bottom"/>
          </w:tcPr>
          <w:p w14:paraId="3513BB20" w14:textId="5780C5F6" w:rsidR="00AC5D64" w:rsidRPr="00471CBA" w:rsidRDefault="00AC5D64" w:rsidP="00B03504">
            <w:pPr>
              <w:ind w:right="97"/>
              <w:jc w:val="right"/>
              <w:rPr>
                <w:sz w:val="18"/>
                <w:szCs w:val="18"/>
              </w:rPr>
            </w:pPr>
          </w:p>
        </w:tc>
      </w:tr>
    </w:tbl>
    <w:p w14:paraId="474343D9" w14:textId="77777777" w:rsidR="006025D3" w:rsidRPr="006025D3" w:rsidRDefault="006025D3">
      <w:pPr>
        <w:rPr>
          <w:b/>
          <w:sz w:val="4"/>
          <w:szCs w:val="4"/>
        </w:rPr>
      </w:pPr>
      <w:r w:rsidRPr="006025D3">
        <w:rPr>
          <w:b/>
          <w:sz w:val="4"/>
          <w:szCs w:val="4"/>
        </w:rPr>
        <w:br w:type="page"/>
      </w:r>
    </w:p>
    <w:p w14:paraId="1611CDD6" w14:textId="6491C519" w:rsidR="002F07F1" w:rsidRPr="00471CBA" w:rsidRDefault="002F07F1" w:rsidP="002F07F1">
      <w:pPr>
        <w:widowControl w:val="0"/>
        <w:spacing w:line="214" w:lineRule="auto"/>
        <w:ind w:left="720" w:hanging="720"/>
        <w:jc w:val="both"/>
        <w:rPr>
          <w:b/>
          <w:szCs w:val="20"/>
        </w:rPr>
      </w:pPr>
      <w:r w:rsidRPr="00471CBA">
        <w:rPr>
          <w:b/>
          <w:szCs w:val="20"/>
        </w:rPr>
        <w:t>KONSOLİDE OLMAYAN FİNANSAL TABLOLARA İLİŞKİN AÇIKLAMA VE DİPNOTLAR (Devamı)</w:t>
      </w:r>
    </w:p>
    <w:p w14:paraId="20AD0BB2" w14:textId="77777777" w:rsidR="002F07F1" w:rsidRPr="00471CBA" w:rsidRDefault="002F07F1" w:rsidP="002F07F1">
      <w:pPr>
        <w:widowControl w:val="0"/>
        <w:spacing w:line="214" w:lineRule="auto"/>
        <w:ind w:left="720" w:hanging="720"/>
        <w:jc w:val="both"/>
        <w:rPr>
          <w:b/>
          <w:szCs w:val="20"/>
        </w:rPr>
      </w:pPr>
    </w:p>
    <w:p w14:paraId="0B1A99D2" w14:textId="0FE33FE3" w:rsidR="002F07F1" w:rsidRPr="00471CBA" w:rsidRDefault="002F07F1" w:rsidP="008459A9">
      <w:pPr>
        <w:pStyle w:val="GvdeMetniGirintisi"/>
        <w:widowControl w:val="0"/>
        <w:numPr>
          <w:ilvl w:val="0"/>
          <w:numId w:val="81"/>
        </w:numPr>
        <w:ind w:left="567" w:right="206" w:hanging="567"/>
        <w:rPr>
          <w:b/>
          <w:iCs/>
          <w:szCs w:val="20"/>
        </w:rPr>
      </w:pPr>
      <w:r w:rsidRPr="00471CBA">
        <w:rPr>
          <w:b/>
          <w:iCs/>
          <w:szCs w:val="20"/>
        </w:rPr>
        <w:t>BANKA’NIN DAHİL OLDUĞU RİSK GRUBUNA İLİŞKİN AÇIKLAMALAR (Devamı)</w:t>
      </w:r>
    </w:p>
    <w:p w14:paraId="3B4B668A" w14:textId="77777777" w:rsidR="002F07F1" w:rsidRPr="00471CBA" w:rsidRDefault="002F07F1" w:rsidP="002F07F1">
      <w:pPr>
        <w:ind w:left="567" w:hanging="567"/>
      </w:pPr>
    </w:p>
    <w:bookmarkEnd w:id="171"/>
    <w:p w14:paraId="7761AA4C" w14:textId="6EDF51E8" w:rsidR="002152D0" w:rsidRPr="00471CBA" w:rsidRDefault="002152D0" w:rsidP="008459A9">
      <w:pPr>
        <w:pStyle w:val="ListeParagraf"/>
        <w:numPr>
          <w:ilvl w:val="0"/>
          <w:numId w:val="80"/>
        </w:numPr>
        <w:ind w:left="567" w:hanging="567"/>
        <w:rPr>
          <w:b/>
          <w:bCs/>
        </w:rPr>
      </w:pPr>
      <w:r w:rsidRPr="00471CBA">
        <w:rPr>
          <w:b/>
          <w:bCs/>
        </w:rPr>
        <w:t>Banka’nın dahil olduğu risk grubu ile yaptığı vadeli işlemler ile opsiyon sözleşmeleri ile benzeri diğer sözleşmelere ilişkin bilgiler:</w:t>
      </w:r>
    </w:p>
    <w:p w14:paraId="0856141E" w14:textId="77777777" w:rsidR="001118CB" w:rsidRPr="00471CBA" w:rsidRDefault="001118CB" w:rsidP="001118CB">
      <w:pPr>
        <w:pStyle w:val="ListeParagraf"/>
        <w:ind w:left="0"/>
        <w:rPr>
          <w:b/>
          <w:bCs/>
        </w:rPr>
      </w:pPr>
    </w:p>
    <w:bookmarkEnd w:id="170"/>
    <w:p w14:paraId="72A8286B" w14:textId="77777777" w:rsidR="008B1AC8" w:rsidRPr="00471CBA" w:rsidRDefault="008B1AC8" w:rsidP="008B1AC8">
      <w:pPr>
        <w:ind w:left="851"/>
        <w:rPr>
          <w:szCs w:val="20"/>
        </w:rPr>
      </w:pPr>
      <w:r w:rsidRPr="00471CBA">
        <w:rPr>
          <w:szCs w:val="20"/>
        </w:rPr>
        <w:t>Banka’nın dahil olduğu risk grubu ile yaptığı vadeli döviz alım/satım sözleşmesi bulunmamaktadır.</w:t>
      </w:r>
    </w:p>
    <w:p w14:paraId="1830A52A" w14:textId="77777777" w:rsidR="001118CB" w:rsidRPr="00471CBA" w:rsidRDefault="001118CB" w:rsidP="008B1AC8">
      <w:pPr>
        <w:ind w:left="851"/>
      </w:pPr>
    </w:p>
    <w:p w14:paraId="1ED4FD08" w14:textId="741BBC90" w:rsidR="00D82661" w:rsidRPr="00471CBA" w:rsidRDefault="00C2662E" w:rsidP="003239B5">
      <w:pPr>
        <w:ind w:left="851"/>
      </w:pPr>
      <w:bookmarkStart w:id="173" w:name="_Hlk202427222"/>
      <w:bookmarkStart w:id="174" w:name="_Hlk180487637"/>
      <w:r w:rsidRPr="00471CBA">
        <w:t>1 Ocak-</w:t>
      </w:r>
      <w:r w:rsidR="00DB1F6A" w:rsidRPr="00471CBA">
        <w:t>31 Aralık</w:t>
      </w:r>
      <w:r w:rsidR="00EE5048" w:rsidRPr="00471CBA">
        <w:t xml:space="preserve"> 2025</w:t>
      </w:r>
      <w:r w:rsidRPr="00471CBA">
        <w:t xml:space="preserve"> döneminde Banka üst yönetimine </w:t>
      </w:r>
      <w:bookmarkStart w:id="175" w:name="_Hlk195022480"/>
      <w:r w:rsidR="00DB1F6A" w:rsidRPr="00471CBA">
        <w:t>154.790</w:t>
      </w:r>
      <w:r w:rsidR="00530C36" w:rsidRPr="00471CBA">
        <w:t xml:space="preserve"> </w:t>
      </w:r>
      <w:bookmarkEnd w:id="175"/>
      <w:r w:rsidRPr="00471CBA">
        <w:t xml:space="preserve">TL </w:t>
      </w:r>
      <w:bookmarkStart w:id="176" w:name="_Hlk195022498"/>
      <w:r w:rsidR="00B62945" w:rsidRPr="00471CBA">
        <w:t>(</w:t>
      </w:r>
      <w:r w:rsidR="00A153C3" w:rsidRPr="00471CBA">
        <w:t>1 Ocak-31 Aralık 2024</w:t>
      </w:r>
      <w:r w:rsidR="000358DB" w:rsidRPr="00471CBA">
        <w:t>:</w:t>
      </w:r>
      <w:r w:rsidR="00B62945" w:rsidRPr="00471CBA">
        <w:t xml:space="preserve"> </w:t>
      </w:r>
      <w:bookmarkStart w:id="177" w:name="_Hlk213403454"/>
      <w:r w:rsidR="00A153C3" w:rsidRPr="00471CBA">
        <w:t>93.312</w:t>
      </w:r>
      <w:r w:rsidR="00B62945" w:rsidRPr="00471CBA">
        <w:t xml:space="preserve"> </w:t>
      </w:r>
      <w:bookmarkEnd w:id="177"/>
      <w:r w:rsidR="00B62945" w:rsidRPr="00471CBA">
        <w:t>TL)</w:t>
      </w:r>
      <w:bookmarkEnd w:id="176"/>
      <w:r w:rsidR="00B62945" w:rsidRPr="00471CBA">
        <w:t xml:space="preserve"> </w:t>
      </w:r>
      <w:r w:rsidRPr="00471CBA">
        <w:t>tutarında ödeme yapılmıştır.</w:t>
      </w:r>
      <w:bookmarkEnd w:id="173"/>
    </w:p>
    <w:p w14:paraId="3A0209D9" w14:textId="77777777" w:rsidR="003239B5" w:rsidRPr="00471CBA" w:rsidRDefault="003239B5" w:rsidP="003239B5">
      <w:pPr>
        <w:ind w:left="851"/>
      </w:pPr>
    </w:p>
    <w:p w14:paraId="12EB8B14" w14:textId="1D9F8124" w:rsidR="00D82661" w:rsidRPr="00471CBA" w:rsidRDefault="00AD55D3" w:rsidP="008459A9">
      <w:pPr>
        <w:pStyle w:val="GvdeMetniGirintisi"/>
        <w:widowControl w:val="0"/>
        <w:numPr>
          <w:ilvl w:val="0"/>
          <w:numId w:val="81"/>
        </w:numPr>
        <w:ind w:left="567" w:right="206" w:hanging="567"/>
        <w:rPr>
          <w:b/>
          <w:iCs/>
          <w:szCs w:val="20"/>
        </w:rPr>
      </w:pPr>
      <w:r w:rsidRPr="00471CBA">
        <w:rPr>
          <w:b/>
          <w:iCs/>
          <w:szCs w:val="20"/>
        </w:rPr>
        <w:t>BANKA’NIN YURTİÇİ, YURTDIŞI, KIYI BANKACILIĞI BÖLGELERİNDEKİ ŞUBE VEYA İŞTİRAKLER İLE YURTDIŞI TEMSİLCİLİKLERİNE İLİŞKİN AÇIKLAMALAR</w:t>
      </w:r>
    </w:p>
    <w:p w14:paraId="50BCF552" w14:textId="4D099DF7" w:rsidR="009D7139" w:rsidRPr="00471CBA" w:rsidRDefault="009D7139" w:rsidP="009D7139">
      <w:pPr>
        <w:ind w:left="851"/>
      </w:pPr>
    </w:p>
    <w:p w14:paraId="5C00141C" w14:textId="77777777" w:rsidR="007322D9" w:rsidRPr="00471CBA" w:rsidRDefault="007322D9" w:rsidP="008459A9">
      <w:pPr>
        <w:pStyle w:val="SonNotMetni"/>
        <w:numPr>
          <w:ilvl w:val="0"/>
          <w:numId w:val="71"/>
        </w:numPr>
        <w:tabs>
          <w:tab w:val="left" w:pos="2409"/>
        </w:tabs>
        <w:autoSpaceDE w:val="0"/>
        <w:autoSpaceDN w:val="0"/>
        <w:adjustRightInd w:val="0"/>
        <w:spacing w:before="120" w:after="120"/>
        <w:ind w:left="567" w:hanging="546"/>
        <w:jc w:val="both"/>
        <w:rPr>
          <w:b/>
        </w:rPr>
      </w:pPr>
      <w:r w:rsidRPr="00471CBA">
        <w:rPr>
          <w:b/>
        </w:rPr>
        <w:t>Banka’nın yurtiçi ve yurtdışı şube ve temsilciliklerine ilişkin bilgiler</w:t>
      </w:r>
    </w:p>
    <w:tbl>
      <w:tblPr>
        <w:tblW w:w="5000" w:type="pct"/>
        <w:tblLook w:val="0000" w:firstRow="0" w:lastRow="0" w:firstColumn="0" w:lastColumn="0" w:noHBand="0" w:noVBand="0"/>
      </w:tblPr>
      <w:tblGrid>
        <w:gridCol w:w="1890"/>
        <w:gridCol w:w="602"/>
        <w:gridCol w:w="1400"/>
        <w:gridCol w:w="1882"/>
        <w:gridCol w:w="1704"/>
        <w:gridCol w:w="1877"/>
      </w:tblGrid>
      <w:tr w:rsidR="007322D9" w:rsidRPr="00471CBA" w14:paraId="76E5FC0B" w14:textId="77777777" w:rsidTr="00B0049C">
        <w:trPr>
          <w:gridAfter w:val="3"/>
          <w:wAfter w:w="2920" w:type="pct"/>
          <w:trHeight w:val="126"/>
        </w:trPr>
        <w:tc>
          <w:tcPr>
            <w:tcW w:w="1010" w:type="pct"/>
            <w:tcBorders>
              <w:bottom w:val="single" w:sz="4" w:space="0" w:color="auto"/>
            </w:tcBorders>
            <w:vAlign w:val="center"/>
          </w:tcPr>
          <w:p w14:paraId="0A106AC4" w14:textId="77777777" w:rsidR="007322D9" w:rsidRPr="00471CBA" w:rsidRDefault="007322D9" w:rsidP="00B0049C">
            <w:pPr>
              <w:ind w:left="-108"/>
              <w:rPr>
                <w:b/>
                <w:szCs w:val="20"/>
              </w:rPr>
            </w:pPr>
            <w:bookmarkStart w:id="178" w:name="_Hlk190333013"/>
            <w:bookmarkStart w:id="179" w:name="_Hlk125117885"/>
          </w:p>
        </w:tc>
        <w:tc>
          <w:tcPr>
            <w:tcW w:w="322" w:type="pct"/>
            <w:tcBorders>
              <w:bottom w:val="single" w:sz="4" w:space="0" w:color="auto"/>
            </w:tcBorders>
            <w:vAlign w:val="bottom"/>
          </w:tcPr>
          <w:p w14:paraId="32DC8698" w14:textId="77777777" w:rsidR="007322D9" w:rsidRPr="00471CBA" w:rsidRDefault="007322D9" w:rsidP="00B0049C">
            <w:pPr>
              <w:ind w:left="-81" w:right="-15" w:firstLine="45"/>
              <w:jc w:val="right"/>
              <w:rPr>
                <w:b/>
                <w:bCs/>
                <w:iCs/>
                <w:szCs w:val="20"/>
              </w:rPr>
            </w:pPr>
            <w:r w:rsidRPr="00471CBA">
              <w:rPr>
                <w:b/>
                <w:bCs/>
                <w:iCs/>
                <w:szCs w:val="20"/>
              </w:rPr>
              <w:t>Sayı</w:t>
            </w:r>
          </w:p>
        </w:tc>
        <w:tc>
          <w:tcPr>
            <w:tcW w:w="748" w:type="pct"/>
            <w:tcBorders>
              <w:bottom w:val="single" w:sz="4" w:space="0" w:color="auto"/>
            </w:tcBorders>
            <w:vAlign w:val="bottom"/>
          </w:tcPr>
          <w:p w14:paraId="51244132" w14:textId="77777777" w:rsidR="007322D9" w:rsidRPr="00471CBA" w:rsidRDefault="007322D9" w:rsidP="00B0049C">
            <w:pPr>
              <w:ind w:left="-81" w:right="-15" w:firstLine="45"/>
              <w:jc w:val="right"/>
              <w:rPr>
                <w:b/>
                <w:szCs w:val="20"/>
              </w:rPr>
            </w:pPr>
            <w:r w:rsidRPr="00471CBA">
              <w:rPr>
                <w:b/>
                <w:bCs/>
                <w:iCs/>
                <w:szCs w:val="20"/>
              </w:rPr>
              <w:t>Çalışan Sayısı</w:t>
            </w:r>
          </w:p>
        </w:tc>
      </w:tr>
      <w:tr w:rsidR="007322D9" w:rsidRPr="00471CBA" w14:paraId="5F56B012" w14:textId="77777777" w:rsidTr="00B0049C">
        <w:trPr>
          <w:gridAfter w:val="3"/>
          <w:wAfter w:w="2920" w:type="pct"/>
          <w:trHeight w:val="126"/>
        </w:trPr>
        <w:tc>
          <w:tcPr>
            <w:tcW w:w="1010" w:type="pct"/>
            <w:tcBorders>
              <w:top w:val="single" w:sz="4" w:space="0" w:color="auto"/>
            </w:tcBorders>
            <w:vAlign w:val="center"/>
          </w:tcPr>
          <w:p w14:paraId="70032CE0" w14:textId="4DC57DF9" w:rsidR="007322D9" w:rsidRPr="00471CBA" w:rsidRDefault="007322D9" w:rsidP="00B0049C">
            <w:pPr>
              <w:ind w:left="-108"/>
              <w:rPr>
                <w:szCs w:val="20"/>
              </w:rPr>
            </w:pPr>
            <w:r w:rsidRPr="00471CBA">
              <w:rPr>
                <w:szCs w:val="20"/>
              </w:rPr>
              <w:t>Yurtiçi şube</w:t>
            </w:r>
            <w:r w:rsidR="009C39E3" w:rsidRPr="00471CBA">
              <w:rPr>
                <w:szCs w:val="20"/>
              </w:rPr>
              <w:t xml:space="preserve"> </w:t>
            </w:r>
            <w:r w:rsidR="009C39E3" w:rsidRPr="00471CBA">
              <w:rPr>
                <w:szCs w:val="20"/>
                <w:vertAlign w:val="superscript"/>
              </w:rPr>
              <w:t>(*)</w:t>
            </w:r>
          </w:p>
        </w:tc>
        <w:tc>
          <w:tcPr>
            <w:tcW w:w="322" w:type="pct"/>
            <w:tcBorders>
              <w:top w:val="single" w:sz="4" w:space="0" w:color="auto"/>
            </w:tcBorders>
            <w:vAlign w:val="bottom"/>
          </w:tcPr>
          <w:p w14:paraId="44DD8962" w14:textId="4759F685" w:rsidR="007322D9" w:rsidRPr="00471CBA" w:rsidRDefault="005C60F5" w:rsidP="00B0049C">
            <w:pPr>
              <w:ind w:left="-81" w:right="-15" w:firstLine="45"/>
              <w:jc w:val="right"/>
              <w:rPr>
                <w:szCs w:val="20"/>
              </w:rPr>
            </w:pPr>
            <w:r w:rsidRPr="00471CBA">
              <w:rPr>
                <w:szCs w:val="20"/>
              </w:rPr>
              <w:t>25</w:t>
            </w:r>
          </w:p>
        </w:tc>
        <w:tc>
          <w:tcPr>
            <w:tcW w:w="748" w:type="pct"/>
            <w:tcBorders>
              <w:top w:val="single" w:sz="4" w:space="0" w:color="auto"/>
            </w:tcBorders>
            <w:vAlign w:val="bottom"/>
          </w:tcPr>
          <w:p w14:paraId="01EC3FC2" w14:textId="1C0A493E" w:rsidR="007322D9" w:rsidRPr="00471CBA" w:rsidRDefault="007A2BD1" w:rsidP="00B0049C">
            <w:pPr>
              <w:ind w:left="-81" w:right="-15" w:firstLine="45"/>
              <w:jc w:val="right"/>
              <w:rPr>
                <w:szCs w:val="20"/>
              </w:rPr>
            </w:pPr>
            <w:r w:rsidRPr="00471CBA">
              <w:rPr>
                <w:szCs w:val="20"/>
              </w:rPr>
              <w:t>215</w:t>
            </w:r>
          </w:p>
        </w:tc>
      </w:tr>
      <w:bookmarkEnd w:id="178"/>
      <w:tr w:rsidR="007322D9" w:rsidRPr="00471CBA" w14:paraId="60F89141" w14:textId="77777777" w:rsidTr="00B0049C">
        <w:trPr>
          <w:gridAfter w:val="2"/>
          <w:wAfter w:w="1914" w:type="pct"/>
          <w:trHeight w:val="126"/>
        </w:trPr>
        <w:tc>
          <w:tcPr>
            <w:tcW w:w="1010" w:type="pct"/>
            <w:tcBorders>
              <w:bottom w:val="single" w:sz="4" w:space="0" w:color="auto"/>
            </w:tcBorders>
            <w:vAlign w:val="center"/>
          </w:tcPr>
          <w:p w14:paraId="1BAD7E08" w14:textId="77777777" w:rsidR="007322D9" w:rsidRPr="00471CBA" w:rsidRDefault="007322D9" w:rsidP="00B0049C">
            <w:pPr>
              <w:ind w:left="-108"/>
              <w:rPr>
                <w:b/>
                <w:szCs w:val="20"/>
              </w:rPr>
            </w:pPr>
          </w:p>
        </w:tc>
        <w:tc>
          <w:tcPr>
            <w:tcW w:w="322" w:type="pct"/>
            <w:tcBorders>
              <w:bottom w:val="single" w:sz="4" w:space="0" w:color="auto"/>
            </w:tcBorders>
            <w:vAlign w:val="bottom"/>
          </w:tcPr>
          <w:p w14:paraId="69C8BB11" w14:textId="77777777" w:rsidR="007322D9" w:rsidRPr="00471CBA" w:rsidRDefault="007322D9" w:rsidP="00B0049C">
            <w:pPr>
              <w:ind w:left="-81" w:right="-15" w:firstLine="45"/>
              <w:jc w:val="right"/>
              <w:rPr>
                <w:b/>
                <w:szCs w:val="20"/>
              </w:rPr>
            </w:pPr>
          </w:p>
        </w:tc>
        <w:tc>
          <w:tcPr>
            <w:tcW w:w="748" w:type="pct"/>
            <w:tcBorders>
              <w:bottom w:val="single" w:sz="4" w:space="0" w:color="auto"/>
            </w:tcBorders>
            <w:vAlign w:val="bottom"/>
          </w:tcPr>
          <w:p w14:paraId="54BD63ED" w14:textId="77777777" w:rsidR="007322D9" w:rsidRPr="00471CBA" w:rsidRDefault="007322D9" w:rsidP="00B0049C">
            <w:pPr>
              <w:ind w:left="-81" w:right="-15" w:firstLine="45"/>
              <w:jc w:val="right"/>
              <w:rPr>
                <w:b/>
                <w:szCs w:val="20"/>
              </w:rPr>
            </w:pPr>
          </w:p>
        </w:tc>
        <w:tc>
          <w:tcPr>
            <w:tcW w:w="1006" w:type="pct"/>
            <w:tcBorders>
              <w:bottom w:val="single" w:sz="4" w:space="0" w:color="auto"/>
            </w:tcBorders>
            <w:vAlign w:val="bottom"/>
          </w:tcPr>
          <w:p w14:paraId="00AF5265" w14:textId="77777777" w:rsidR="007322D9" w:rsidRPr="00471CBA" w:rsidRDefault="007322D9" w:rsidP="00B0049C">
            <w:pPr>
              <w:jc w:val="right"/>
              <w:rPr>
                <w:b/>
                <w:szCs w:val="20"/>
              </w:rPr>
            </w:pPr>
            <w:r w:rsidRPr="00471CBA">
              <w:rPr>
                <w:b/>
                <w:bCs/>
                <w:iCs/>
                <w:szCs w:val="20"/>
              </w:rPr>
              <w:t>Bulunduğu Ülke</w:t>
            </w:r>
          </w:p>
        </w:tc>
      </w:tr>
      <w:tr w:rsidR="007322D9" w:rsidRPr="00471CBA" w14:paraId="327FBD88" w14:textId="77777777" w:rsidTr="00B0049C">
        <w:trPr>
          <w:gridAfter w:val="2"/>
          <w:wAfter w:w="1914" w:type="pct"/>
          <w:trHeight w:val="126"/>
        </w:trPr>
        <w:tc>
          <w:tcPr>
            <w:tcW w:w="1010" w:type="pct"/>
            <w:tcBorders>
              <w:top w:val="single" w:sz="4" w:space="0" w:color="auto"/>
            </w:tcBorders>
            <w:vAlign w:val="center"/>
          </w:tcPr>
          <w:p w14:paraId="3AE95D08" w14:textId="77777777" w:rsidR="007322D9" w:rsidRPr="00471CBA" w:rsidRDefault="007322D9" w:rsidP="00B0049C">
            <w:pPr>
              <w:ind w:left="-108"/>
              <w:rPr>
                <w:szCs w:val="20"/>
              </w:rPr>
            </w:pPr>
            <w:r w:rsidRPr="00471CBA">
              <w:rPr>
                <w:szCs w:val="20"/>
              </w:rPr>
              <w:t>Yurtdışı temsilcilikler</w:t>
            </w:r>
          </w:p>
        </w:tc>
        <w:tc>
          <w:tcPr>
            <w:tcW w:w="322" w:type="pct"/>
            <w:tcBorders>
              <w:top w:val="single" w:sz="4" w:space="0" w:color="auto"/>
            </w:tcBorders>
            <w:vAlign w:val="bottom"/>
          </w:tcPr>
          <w:p w14:paraId="25A2C8DC" w14:textId="77777777" w:rsidR="007322D9" w:rsidRPr="00471CBA" w:rsidRDefault="007322D9" w:rsidP="00B0049C">
            <w:pPr>
              <w:ind w:left="-81" w:right="-15" w:firstLine="45"/>
              <w:jc w:val="right"/>
              <w:rPr>
                <w:szCs w:val="20"/>
              </w:rPr>
            </w:pPr>
            <w:r w:rsidRPr="00471CBA">
              <w:rPr>
                <w:szCs w:val="20"/>
              </w:rPr>
              <w:t>-</w:t>
            </w:r>
          </w:p>
        </w:tc>
        <w:tc>
          <w:tcPr>
            <w:tcW w:w="748" w:type="pct"/>
            <w:tcBorders>
              <w:top w:val="single" w:sz="4" w:space="0" w:color="auto"/>
            </w:tcBorders>
            <w:vAlign w:val="bottom"/>
          </w:tcPr>
          <w:p w14:paraId="7100684D" w14:textId="77777777" w:rsidR="007322D9" w:rsidRPr="00471CBA" w:rsidRDefault="007322D9" w:rsidP="00B0049C">
            <w:pPr>
              <w:ind w:left="-81" w:right="-15" w:firstLine="45"/>
              <w:jc w:val="right"/>
              <w:rPr>
                <w:szCs w:val="20"/>
              </w:rPr>
            </w:pPr>
            <w:r w:rsidRPr="00471CBA">
              <w:rPr>
                <w:szCs w:val="20"/>
              </w:rPr>
              <w:t>-</w:t>
            </w:r>
          </w:p>
        </w:tc>
        <w:tc>
          <w:tcPr>
            <w:tcW w:w="1006" w:type="pct"/>
            <w:tcBorders>
              <w:top w:val="single" w:sz="4" w:space="0" w:color="auto"/>
            </w:tcBorders>
            <w:vAlign w:val="bottom"/>
          </w:tcPr>
          <w:p w14:paraId="37AE3DA5" w14:textId="77777777" w:rsidR="007322D9" w:rsidRPr="00471CBA" w:rsidRDefault="007322D9" w:rsidP="00B0049C">
            <w:pPr>
              <w:jc w:val="right"/>
              <w:rPr>
                <w:szCs w:val="20"/>
              </w:rPr>
            </w:pPr>
            <w:r w:rsidRPr="00471CBA">
              <w:rPr>
                <w:szCs w:val="20"/>
              </w:rPr>
              <w:t>-</w:t>
            </w:r>
          </w:p>
        </w:tc>
      </w:tr>
      <w:tr w:rsidR="007322D9" w:rsidRPr="00471CBA" w14:paraId="582F3739" w14:textId="77777777" w:rsidTr="00B0049C">
        <w:trPr>
          <w:gridAfter w:val="2"/>
          <w:wAfter w:w="1914" w:type="pct"/>
          <w:trHeight w:val="126"/>
        </w:trPr>
        <w:tc>
          <w:tcPr>
            <w:tcW w:w="1010" w:type="pct"/>
            <w:vAlign w:val="center"/>
          </w:tcPr>
          <w:p w14:paraId="6996D508" w14:textId="77777777" w:rsidR="007322D9" w:rsidRPr="00471CBA" w:rsidRDefault="007322D9" w:rsidP="00B0049C">
            <w:pPr>
              <w:ind w:left="-108"/>
              <w:rPr>
                <w:szCs w:val="20"/>
              </w:rPr>
            </w:pPr>
          </w:p>
        </w:tc>
        <w:tc>
          <w:tcPr>
            <w:tcW w:w="322" w:type="pct"/>
            <w:vAlign w:val="bottom"/>
          </w:tcPr>
          <w:p w14:paraId="5A7790CF" w14:textId="77777777" w:rsidR="007322D9" w:rsidRPr="00471CBA" w:rsidRDefault="007322D9" w:rsidP="00B0049C">
            <w:pPr>
              <w:ind w:left="-81" w:right="-15" w:firstLine="45"/>
              <w:jc w:val="right"/>
              <w:rPr>
                <w:szCs w:val="20"/>
              </w:rPr>
            </w:pPr>
          </w:p>
        </w:tc>
        <w:tc>
          <w:tcPr>
            <w:tcW w:w="748" w:type="pct"/>
            <w:vAlign w:val="bottom"/>
          </w:tcPr>
          <w:p w14:paraId="37FB4D89" w14:textId="77777777" w:rsidR="007322D9" w:rsidRPr="00471CBA" w:rsidRDefault="007322D9" w:rsidP="00B0049C">
            <w:pPr>
              <w:ind w:left="-81" w:right="-15" w:firstLine="45"/>
              <w:jc w:val="right"/>
              <w:rPr>
                <w:szCs w:val="20"/>
              </w:rPr>
            </w:pPr>
          </w:p>
        </w:tc>
        <w:tc>
          <w:tcPr>
            <w:tcW w:w="1006" w:type="pct"/>
            <w:vAlign w:val="bottom"/>
          </w:tcPr>
          <w:p w14:paraId="3EDA4FAB" w14:textId="77777777" w:rsidR="007322D9" w:rsidRPr="00471CBA" w:rsidRDefault="007322D9" w:rsidP="00B0049C">
            <w:pPr>
              <w:jc w:val="right"/>
              <w:rPr>
                <w:szCs w:val="20"/>
              </w:rPr>
            </w:pPr>
          </w:p>
        </w:tc>
      </w:tr>
      <w:tr w:rsidR="007322D9" w:rsidRPr="00471CBA" w14:paraId="3112520D" w14:textId="77777777" w:rsidTr="00B0049C">
        <w:trPr>
          <w:trHeight w:val="126"/>
        </w:trPr>
        <w:tc>
          <w:tcPr>
            <w:tcW w:w="1010" w:type="pct"/>
            <w:tcBorders>
              <w:bottom w:val="single" w:sz="4" w:space="0" w:color="auto"/>
            </w:tcBorders>
            <w:vAlign w:val="center"/>
          </w:tcPr>
          <w:p w14:paraId="26667953" w14:textId="77777777" w:rsidR="007322D9" w:rsidRPr="00471CBA" w:rsidRDefault="007322D9" w:rsidP="00B0049C">
            <w:pPr>
              <w:ind w:left="-108"/>
              <w:rPr>
                <w:b/>
                <w:szCs w:val="20"/>
              </w:rPr>
            </w:pPr>
            <w:bookmarkStart w:id="180" w:name="_Hlk125118493"/>
          </w:p>
        </w:tc>
        <w:tc>
          <w:tcPr>
            <w:tcW w:w="322" w:type="pct"/>
            <w:tcBorders>
              <w:bottom w:val="single" w:sz="4" w:space="0" w:color="auto"/>
            </w:tcBorders>
            <w:vAlign w:val="bottom"/>
          </w:tcPr>
          <w:p w14:paraId="4449230B" w14:textId="77777777" w:rsidR="007322D9" w:rsidRPr="00471CBA" w:rsidRDefault="007322D9" w:rsidP="00B0049C">
            <w:pPr>
              <w:ind w:left="-81" w:right="-15" w:firstLine="45"/>
              <w:jc w:val="right"/>
              <w:rPr>
                <w:b/>
                <w:szCs w:val="20"/>
              </w:rPr>
            </w:pPr>
          </w:p>
        </w:tc>
        <w:tc>
          <w:tcPr>
            <w:tcW w:w="748" w:type="pct"/>
            <w:tcBorders>
              <w:bottom w:val="single" w:sz="4" w:space="0" w:color="auto"/>
            </w:tcBorders>
            <w:vAlign w:val="bottom"/>
          </w:tcPr>
          <w:p w14:paraId="44D2382F" w14:textId="77777777" w:rsidR="007322D9" w:rsidRPr="00471CBA" w:rsidRDefault="007322D9" w:rsidP="00B0049C">
            <w:pPr>
              <w:ind w:left="-81" w:right="-15" w:firstLine="45"/>
              <w:jc w:val="right"/>
              <w:rPr>
                <w:b/>
                <w:szCs w:val="20"/>
              </w:rPr>
            </w:pPr>
          </w:p>
        </w:tc>
        <w:tc>
          <w:tcPr>
            <w:tcW w:w="1006" w:type="pct"/>
            <w:tcBorders>
              <w:bottom w:val="single" w:sz="4" w:space="0" w:color="auto"/>
            </w:tcBorders>
            <w:vAlign w:val="bottom"/>
          </w:tcPr>
          <w:p w14:paraId="4FC23F16" w14:textId="77777777" w:rsidR="007322D9" w:rsidRPr="00471CBA" w:rsidRDefault="007322D9" w:rsidP="00B0049C">
            <w:pPr>
              <w:jc w:val="right"/>
              <w:rPr>
                <w:b/>
                <w:szCs w:val="20"/>
              </w:rPr>
            </w:pPr>
          </w:p>
        </w:tc>
        <w:tc>
          <w:tcPr>
            <w:tcW w:w="911" w:type="pct"/>
            <w:tcBorders>
              <w:bottom w:val="single" w:sz="4" w:space="0" w:color="auto"/>
            </w:tcBorders>
            <w:vAlign w:val="bottom"/>
          </w:tcPr>
          <w:p w14:paraId="69FB0AED" w14:textId="77777777" w:rsidR="007322D9" w:rsidRPr="00471CBA" w:rsidRDefault="007322D9" w:rsidP="00B0049C">
            <w:pPr>
              <w:jc w:val="right"/>
              <w:rPr>
                <w:b/>
                <w:szCs w:val="20"/>
              </w:rPr>
            </w:pPr>
            <w:r w:rsidRPr="00471CBA">
              <w:rPr>
                <w:b/>
                <w:szCs w:val="20"/>
              </w:rPr>
              <w:t>Aktif Toplamı</w:t>
            </w:r>
          </w:p>
        </w:tc>
        <w:tc>
          <w:tcPr>
            <w:tcW w:w="1003" w:type="pct"/>
            <w:tcBorders>
              <w:bottom w:val="single" w:sz="4" w:space="0" w:color="auto"/>
            </w:tcBorders>
            <w:vAlign w:val="bottom"/>
          </w:tcPr>
          <w:p w14:paraId="5EDF216E" w14:textId="77777777" w:rsidR="007322D9" w:rsidRPr="00471CBA" w:rsidRDefault="007322D9" w:rsidP="00B0049C">
            <w:pPr>
              <w:jc w:val="right"/>
              <w:rPr>
                <w:b/>
                <w:szCs w:val="20"/>
              </w:rPr>
            </w:pPr>
            <w:r w:rsidRPr="00471CBA">
              <w:rPr>
                <w:b/>
                <w:szCs w:val="20"/>
              </w:rPr>
              <w:t>Yasal Sermaye</w:t>
            </w:r>
          </w:p>
        </w:tc>
      </w:tr>
      <w:tr w:rsidR="007322D9" w:rsidRPr="00471CBA" w14:paraId="54E179FE" w14:textId="77777777" w:rsidTr="00B0049C">
        <w:trPr>
          <w:trHeight w:val="126"/>
        </w:trPr>
        <w:tc>
          <w:tcPr>
            <w:tcW w:w="1010" w:type="pct"/>
            <w:tcBorders>
              <w:top w:val="single" w:sz="4" w:space="0" w:color="auto"/>
            </w:tcBorders>
            <w:vAlign w:val="center"/>
          </w:tcPr>
          <w:p w14:paraId="26E29571" w14:textId="77777777" w:rsidR="007322D9" w:rsidRPr="00471CBA" w:rsidRDefault="007322D9" w:rsidP="00B0049C">
            <w:pPr>
              <w:ind w:left="-108"/>
              <w:rPr>
                <w:szCs w:val="20"/>
              </w:rPr>
            </w:pPr>
            <w:r w:rsidRPr="00471CBA">
              <w:rPr>
                <w:szCs w:val="20"/>
              </w:rPr>
              <w:t>Yurtdışı şubeler</w:t>
            </w:r>
          </w:p>
        </w:tc>
        <w:tc>
          <w:tcPr>
            <w:tcW w:w="322" w:type="pct"/>
            <w:tcBorders>
              <w:top w:val="single" w:sz="4" w:space="0" w:color="auto"/>
            </w:tcBorders>
            <w:vAlign w:val="bottom"/>
          </w:tcPr>
          <w:p w14:paraId="5D8BC5EC" w14:textId="77777777" w:rsidR="007322D9" w:rsidRPr="00471CBA" w:rsidRDefault="007322D9" w:rsidP="00B0049C">
            <w:pPr>
              <w:ind w:left="-81" w:right="-15" w:firstLine="45"/>
              <w:jc w:val="right"/>
              <w:rPr>
                <w:szCs w:val="20"/>
              </w:rPr>
            </w:pPr>
            <w:r w:rsidRPr="00471CBA">
              <w:rPr>
                <w:szCs w:val="20"/>
              </w:rPr>
              <w:t>-</w:t>
            </w:r>
          </w:p>
        </w:tc>
        <w:tc>
          <w:tcPr>
            <w:tcW w:w="748" w:type="pct"/>
            <w:tcBorders>
              <w:top w:val="single" w:sz="4" w:space="0" w:color="auto"/>
            </w:tcBorders>
            <w:vAlign w:val="bottom"/>
          </w:tcPr>
          <w:p w14:paraId="5634DF93" w14:textId="77777777" w:rsidR="007322D9" w:rsidRPr="00471CBA" w:rsidRDefault="007322D9" w:rsidP="00B0049C">
            <w:pPr>
              <w:ind w:left="-81" w:right="-15" w:firstLine="45"/>
              <w:jc w:val="right"/>
              <w:rPr>
                <w:szCs w:val="20"/>
              </w:rPr>
            </w:pPr>
            <w:r w:rsidRPr="00471CBA">
              <w:rPr>
                <w:szCs w:val="20"/>
              </w:rPr>
              <w:t>-</w:t>
            </w:r>
          </w:p>
        </w:tc>
        <w:tc>
          <w:tcPr>
            <w:tcW w:w="1006" w:type="pct"/>
            <w:tcBorders>
              <w:top w:val="single" w:sz="4" w:space="0" w:color="auto"/>
            </w:tcBorders>
            <w:vAlign w:val="bottom"/>
          </w:tcPr>
          <w:p w14:paraId="4571F95F" w14:textId="77777777" w:rsidR="007322D9" w:rsidRPr="00471CBA" w:rsidRDefault="007322D9" w:rsidP="00B0049C">
            <w:pPr>
              <w:jc w:val="right"/>
              <w:rPr>
                <w:szCs w:val="20"/>
              </w:rPr>
            </w:pPr>
            <w:r w:rsidRPr="00471CBA">
              <w:rPr>
                <w:szCs w:val="20"/>
              </w:rPr>
              <w:t>-</w:t>
            </w:r>
          </w:p>
        </w:tc>
        <w:tc>
          <w:tcPr>
            <w:tcW w:w="911" w:type="pct"/>
            <w:tcBorders>
              <w:top w:val="single" w:sz="4" w:space="0" w:color="auto"/>
            </w:tcBorders>
            <w:vAlign w:val="bottom"/>
          </w:tcPr>
          <w:p w14:paraId="40788BBA" w14:textId="77777777" w:rsidR="007322D9" w:rsidRPr="00471CBA" w:rsidRDefault="007322D9" w:rsidP="00B0049C">
            <w:pPr>
              <w:jc w:val="right"/>
              <w:rPr>
                <w:szCs w:val="20"/>
              </w:rPr>
            </w:pPr>
            <w:r w:rsidRPr="00471CBA">
              <w:rPr>
                <w:szCs w:val="20"/>
              </w:rPr>
              <w:t>-</w:t>
            </w:r>
          </w:p>
        </w:tc>
        <w:tc>
          <w:tcPr>
            <w:tcW w:w="1003" w:type="pct"/>
            <w:tcBorders>
              <w:top w:val="single" w:sz="4" w:space="0" w:color="auto"/>
            </w:tcBorders>
            <w:vAlign w:val="bottom"/>
          </w:tcPr>
          <w:p w14:paraId="6B952CB8" w14:textId="77777777" w:rsidR="007322D9" w:rsidRPr="00471CBA" w:rsidRDefault="007322D9" w:rsidP="00B0049C">
            <w:pPr>
              <w:jc w:val="right"/>
              <w:rPr>
                <w:szCs w:val="20"/>
              </w:rPr>
            </w:pPr>
            <w:r w:rsidRPr="00471CBA">
              <w:rPr>
                <w:szCs w:val="20"/>
              </w:rPr>
              <w:t>-</w:t>
            </w:r>
          </w:p>
        </w:tc>
      </w:tr>
      <w:bookmarkEnd w:id="180"/>
      <w:tr w:rsidR="007322D9" w:rsidRPr="00471CBA" w14:paraId="611FE858" w14:textId="77777777" w:rsidTr="00B0049C">
        <w:trPr>
          <w:trHeight w:val="126"/>
        </w:trPr>
        <w:tc>
          <w:tcPr>
            <w:tcW w:w="1010" w:type="pct"/>
            <w:vAlign w:val="center"/>
          </w:tcPr>
          <w:p w14:paraId="6911D585" w14:textId="77777777" w:rsidR="007322D9" w:rsidRPr="00471CBA" w:rsidRDefault="007322D9" w:rsidP="00B0049C">
            <w:pPr>
              <w:ind w:left="-108"/>
              <w:rPr>
                <w:szCs w:val="20"/>
              </w:rPr>
            </w:pPr>
          </w:p>
        </w:tc>
        <w:tc>
          <w:tcPr>
            <w:tcW w:w="322" w:type="pct"/>
            <w:vAlign w:val="bottom"/>
          </w:tcPr>
          <w:p w14:paraId="6C393DC2" w14:textId="77777777" w:rsidR="007322D9" w:rsidRPr="00471CBA" w:rsidRDefault="007322D9" w:rsidP="00B0049C">
            <w:pPr>
              <w:ind w:left="-81" w:right="-15" w:firstLine="45"/>
              <w:jc w:val="right"/>
              <w:rPr>
                <w:szCs w:val="20"/>
              </w:rPr>
            </w:pPr>
          </w:p>
        </w:tc>
        <w:tc>
          <w:tcPr>
            <w:tcW w:w="748" w:type="pct"/>
            <w:vAlign w:val="bottom"/>
          </w:tcPr>
          <w:p w14:paraId="6B0331A3" w14:textId="77777777" w:rsidR="007322D9" w:rsidRPr="00471CBA" w:rsidRDefault="007322D9" w:rsidP="00B0049C">
            <w:pPr>
              <w:ind w:left="-81" w:right="-15" w:firstLine="45"/>
              <w:jc w:val="right"/>
              <w:rPr>
                <w:szCs w:val="20"/>
              </w:rPr>
            </w:pPr>
          </w:p>
        </w:tc>
        <w:tc>
          <w:tcPr>
            <w:tcW w:w="1006" w:type="pct"/>
            <w:vAlign w:val="bottom"/>
          </w:tcPr>
          <w:p w14:paraId="74942549" w14:textId="77777777" w:rsidR="007322D9" w:rsidRPr="00471CBA" w:rsidRDefault="007322D9" w:rsidP="00B0049C">
            <w:pPr>
              <w:jc w:val="right"/>
              <w:rPr>
                <w:szCs w:val="20"/>
              </w:rPr>
            </w:pPr>
          </w:p>
        </w:tc>
        <w:tc>
          <w:tcPr>
            <w:tcW w:w="911" w:type="pct"/>
            <w:vAlign w:val="bottom"/>
          </w:tcPr>
          <w:p w14:paraId="72675116" w14:textId="77777777" w:rsidR="007322D9" w:rsidRPr="00471CBA" w:rsidRDefault="007322D9" w:rsidP="00B0049C">
            <w:pPr>
              <w:jc w:val="right"/>
              <w:rPr>
                <w:szCs w:val="20"/>
              </w:rPr>
            </w:pPr>
          </w:p>
        </w:tc>
        <w:tc>
          <w:tcPr>
            <w:tcW w:w="1003" w:type="pct"/>
            <w:vAlign w:val="bottom"/>
          </w:tcPr>
          <w:p w14:paraId="009EA4AB" w14:textId="77777777" w:rsidR="007322D9" w:rsidRPr="00471CBA" w:rsidRDefault="007322D9" w:rsidP="00B0049C">
            <w:pPr>
              <w:jc w:val="right"/>
              <w:rPr>
                <w:szCs w:val="20"/>
              </w:rPr>
            </w:pPr>
          </w:p>
        </w:tc>
      </w:tr>
      <w:tr w:rsidR="007322D9" w:rsidRPr="00471CBA" w14:paraId="2B4121E0" w14:textId="77777777" w:rsidTr="00B0049C">
        <w:trPr>
          <w:trHeight w:val="126"/>
        </w:trPr>
        <w:tc>
          <w:tcPr>
            <w:tcW w:w="1010" w:type="pct"/>
            <w:tcBorders>
              <w:bottom w:val="single" w:sz="4" w:space="0" w:color="auto"/>
            </w:tcBorders>
            <w:vAlign w:val="center"/>
          </w:tcPr>
          <w:p w14:paraId="202168F7" w14:textId="77777777" w:rsidR="007322D9" w:rsidRPr="00471CBA" w:rsidRDefault="007322D9" w:rsidP="00B0049C">
            <w:pPr>
              <w:ind w:left="-108"/>
              <w:rPr>
                <w:szCs w:val="20"/>
              </w:rPr>
            </w:pPr>
            <w:r w:rsidRPr="00471CBA">
              <w:rPr>
                <w:szCs w:val="20"/>
              </w:rPr>
              <w:t>Kıyı Bankacılığı Bölgesindeki Şubeler</w:t>
            </w:r>
          </w:p>
        </w:tc>
        <w:tc>
          <w:tcPr>
            <w:tcW w:w="322" w:type="pct"/>
            <w:tcBorders>
              <w:bottom w:val="single" w:sz="4" w:space="0" w:color="auto"/>
            </w:tcBorders>
            <w:vAlign w:val="bottom"/>
          </w:tcPr>
          <w:p w14:paraId="3CC48760" w14:textId="77777777" w:rsidR="007322D9" w:rsidRPr="00471CBA" w:rsidRDefault="007322D9" w:rsidP="00B0049C">
            <w:pPr>
              <w:ind w:left="-81" w:right="-15" w:firstLine="45"/>
              <w:jc w:val="right"/>
              <w:rPr>
                <w:szCs w:val="20"/>
              </w:rPr>
            </w:pPr>
            <w:r w:rsidRPr="00471CBA">
              <w:rPr>
                <w:szCs w:val="20"/>
              </w:rPr>
              <w:t>-</w:t>
            </w:r>
          </w:p>
        </w:tc>
        <w:tc>
          <w:tcPr>
            <w:tcW w:w="748" w:type="pct"/>
            <w:tcBorders>
              <w:bottom w:val="single" w:sz="4" w:space="0" w:color="auto"/>
            </w:tcBorders>
            <w:vAlign w:val="bottom"/>
          </w:tcPr>
          <w:p w14:paraId="5A8A37D4" w14:textId="77777777" w:rsidR="007322D9" w:rsidRPr="00471CBA" w:rsidRDefault="007322D9" w:rsidP="00B0049C">
            <w:pPr>
              <w:ind w:left="-81" w:right="-15" w:firstLine="45"/>
              <w:jc w:val="right"/>
              <w:rPr>
                <w:szCs w:val="20"/>
              </w:rPr>
            </w:pPr>
            <w:r w:rsidRPr="00471CBA">
              <w:rPr>
                <w:szCs w:val="20"/>
              </w:rPr>
              <w:t>-</w:t>
            </w:r>
          </w:p>
        </w:tc>
        <w:tc>
          <w:tcPr>
            <w:tcW w:w="1006" w:type="pct"/>
            <w:tcBorders>
              <w:bottom w:val="single" w:sz="4" w:space="0" w:color="auto"/>
            </w:tcBorders>
            <w:vAlign w:val="bottom"/>
          </w:tcPr>
          <w:p w14:paraId="038CA493" w14:textId="77777777" w:rsidR="007322D9" w:rsidRPr="00471CBA" w:rsidRDefault="007322D9" w:rsidP="00B0049C">
            <w:pPr>
              <w:jc w:val="right"/>
              <w:rPr>
                <w:szCs w:val="20"/>
              </w:rPr>
            </w:pPr>
            <w:r w:rsidRPr="00471CBA">
              <w:rPr>
                <w:szCs w:val="20"/>
              </w:rPr>
              <w:t>-</w:t>
            </w:r>
          </w:p>
        </w:tc>
        <w:tc>
          <w:tcPr>
            <w:tcW w:w="911" w:type="pct"/>
            <w:tcBorders>
              <w:bottom w:val="single" w:sz="4" w:space="0" w:color="auto"/>
            </w:tcBorders>
            <w:vAlign w:val="bottom"/>
          </w:tcPr>
          <w:p w14:paraId="459245BD" w14:textId="77777777" w:rsidR="007322D9" w:rsidRPr="00471CBA" w:rsidRDefault="007322D9" w:rsidP="00B0049C">
            <w:pPr>
              <w:jc w:val="right"/>
              <w:rPr>
                <w:szCs w:val="20"/>
              </w:rPr>
            </w:pPr>
            <w:r w:rsidRPr="00471CBA">
              <w:rPr>
                <w:szCs w:val="20"/>
              </w:rPr>
              <w:t>-</w:t>
            </w:r>
          </w:p>
        </w:tc>
        <w:tc>
          <w:tcPr>
            <w:tcW w:w="1003" w:type="pct"/>
            <w:tcBorders>
              <w:bottom w:val="single" w:sz="4" w:space="0" w:color="auto"/>
            </w:tcBorders>
            <w:vAlign w:val="bottom"/>
          </w:tcPr>
          <w:p w14:paraId="178A2F31" w14:textId="77777777" w:rsidR="007322D9" w:rsidRPr="00471CBA" w:rsidRDefault="007322D9" w:rsidP="00B0049C">
            <w:pPr>
              <w:jc w:val="right"/>
              <w:rPr>
                <w:szCs w:val="20"/>
              </w:rPr>
            </w:pPr>
            <w:r w:rsidRPr="00471CBA">
              <w:rPr>
                <w:szCs w:val="20"/>
              </w:rPr>
              <w:t>-</w:t>
            </w:r>
          </w:p>
        </w:tc>
      </w:tr>
    </w:tbl>
    <w:p w14:paraId="25417C53" w14:textId="7E0B997F" w:rsidR="009C39E3" w:rsidRPr="00471CBA" w:rsidRDefault="009C39E3" w:rsidP="009C39E3">
      <w:pPr>
        <w:pStyle w:val="SonNotMetni"/>
        <w:tabs>
          <w:tab w:val="left" w:pos="2409"/>
        </w:tabs>
        <w:autoSpaceDE w:val="0"/>
        <w:autoSpaceDN w:val="0"/>
        <w:adjustRightInd w:val="0"/>
        <w:spacing w:before="120" w:after="120"/>
        <w:ind w:left="567"/>
        <w:jc w:val="both"/>
        <w:rPr>
          <w:bCs/>
          <w:sz w:val="18"/>
          <w:szCs w:val="18"/>
        </w:rPr>
      </w:pPr>
      <w:bookmarkStart w:id="181" w:name="_Hlk222938108"/>
      <w:bookmarkEnd w:id="179"/>
      <w:r w:rsidRPr="00471CBA">
        <w:rPr>
          <w:bCs/>
          <w:sz w:val="18"/>
          <w:szCs w:val="18"/>
          <w:vertAlign w:val="superscript"/>
        </w:rPr>
        <w:t>(*)</w:t>
      </w:r>
      <w:r w:rsidRPr="00471CBA">
        <w:rPr>
          <w:bCs/>
          <w:sz w:val="18"/>
          <w:szCs w:val="18"/>
        </w:rPr>
        <w:t xml:space="preserve"> Yurtiçi şube çalışan sayısında Genel </w:t>
      </w:r>
      <w:proofErr w:type="spellStart"/>
      <w:r w:rsidRPr="00471CBA">
        <w:rPr>
          <w:bCs/>
          <w:sz w:val="18"/>
          <w:szCs w:val="18"/>
        </w:rPr>
        <w:t>Müdürlük’de</w:t>
      </w:r>
      <w:proofErr w:type="spellEnd"/>
      <w:r w:rsidRPr="00471CBA">
        <w:rPr>
          <w:bCs/>
          <w:sz w:val="18"/>
          <w:szCs w:val="18"/>
        </w:rPr>
        <w:t xml:space="preserve"> çalışan personel sayısı dahil edilmemiştir.</w:t>
      </w:r>
      <w:bookmarkEnd w:id="181"/>
    </w:p>
    <w:p w14:paraId="7CBD5541" w14:textId="7B55CA5E" w:rsidR="007322D9" w:rsidRPr="00471CBA" w:rsidRDefault="007322D9" w:rsidP="008459A9">
      <w:pPr>
        <w:pStyle w:val="SonNotMetni"/>
        <w:numPr>
          <w:ilvl w:val="0"/>
          <w:numId w:val="71"/>
        </w:numPr>
        <w:tabs>
          <w:tab w:val="left" w:pos="2409"/>
        </w:tabs>
        <w:autoSpaceDE w:val="0"/>
        <w:autoSpaceDN w:val="0"/>
        <w:adjustRightInd w:val="0"/>
        <w:spacing w:before="120" w:after="120"/>
        <w:ind w:left="567" w:hanging="546"/>
        <w:jc w:val="both"/>
        <w:rPr>
          <w:b/>
        </w:rPr>
      </w:pPr>
      <w:r w:rsidRPr="00471CBA">
        <w:rPr>
          <w:b/>
        </w:rPr>
        <w:t>Banka’nın yurtiçinde ve yurtdışında şube veya temsilcilik açması, kapatması, organizasyonunu önemli ölçüde değiştirmesine ilişkin açıklamalar</w:t>
      </w:r>
    </w:p>
    <w:p w14:paraId="067C9860" w14:textId="2612C80A" w:rsidR="007322D9" w:rsidRPr="00471CBA" w:rsidRDefault="007322D9" w:rsidP="007322D9">
      <w:pPr>
        <w:pStyle w:val="SonNotMetni"/>
        <w:autoSpaceDE w:val="0"/>
        <w:autoSpaceDN w:val="0"/>
        <w:adjustRightInd w:val="0"/>
        <w:spacing w:before="120" w:after="120"/>
        <w:ind w:left="567" w:right="188"/>
        <w:jc w:val="both"/>
        <w:rPr>
          <w:bCs/>
          <w:iCs/>
        </w:rPr>
      </w:pPr>
      <w:bookmarkStart w:id="182" w:name="_Hlk221782428"/>
      <w:r w:rsidRPr="00471CBA">
        <w:t>Banka, 202</w:t>
      </w:r>
      <w:r w:rsidR="005C60F5" w:rsidRPr="00471CBA">
        <w:t>5</w:t>
      </w:r>
      <w:r w:rsidRPr="00471CBA">
        <w:t xml:space="preserve"> yılında yurt içinde </w:t>
      </w:r>
      <w:r w:rsidR="000E39AF" w:rsidRPr="00471CBA">
        <w:t>8</w:t>
      </w:r>
      <w:r w:rsidRPr="00471CBA">
        <w:t xml:space="preserve"> şube açmıştır. Banka, 202</w:t>
      </w:r>
      <w:r w:rsidR="00770782" w:rsidRPr="00471CBA">
        <w:t>5</w:t>
      </w:r>
      <w:r w:rsidRPr="00471CBA">
        <w:t xml:space="preserve"> yılı içerisinde yurtdışında şube açmamış veya kapatmamıştır.</w:t>
      </w:r>
    </w:p>
    <w:bookmarkEnd w:id="182"/>
    <w:p w14:paraId="6090EA16" w14:textId="77777777" w:rsidR="007322D9" w:rsidRPr="00471CBA" w:rsidRDefault="007322D9" w:rsidP="007322D9"/>
    <w:p w14:paraId="5D5D261D" w14:textId="77777777" w:rsidR="00000466" w:rsidRPr="00471CBA" w:rsidRDefault="00000466" w:rsidP="008459A9">
      <w:pPr>
        <w:pStyle w:val="GvdeMetniGirintisi"/>
        <w:widowControl w:val="0"/>
        <w:numPr>
          <w:ilvl w:val="0"/>
          <w:numId w:val="81"/>
        </w:numPr>
        <w:ind w:left="567" w:right="206" w:hanging="567"/>
        <w:rPr>
          <w:b/>
          <w:iCs/>
          <w:szCs w:val="20"/>
        </w:rPr>
      </w:pPr>
      <w:bookmarkStart w:id="183" w:name="_Hlk170922075"/>
      <w:r w:rsidRPr="00471CBA">
        <w:rPr>
          <w:b/>
          <w:iCs/>
          <w:szCs w:val="20"/>
        </w:rPr>
        <w:t>B</w:t>
      </w:r>
      <w:bookmarkStart w:id="184" w:name="_Hlk167289980"/>
      <w:r w:rsidRPr="00471CBA">
        <w:rPr>
          <w:b/>
          <w:iCs/>
          <w:szCs w:val="20"/>
        </w:rPr>
        <w:t>İLANÇO SONRASI HUSUSLARA İLİŞKİN AÇIKLAMA VE DİPNOTLAR</w:t>
      </w:r>
      <w:bookmarkEnd w:id="184"/>
    </w:p>
    <w:bookmarkEnd w:id="174"/>
    <w:bookmarkEnd w:id="183"/>
    <w:p w14:paraId="25A5EDD9" w14:textId="77777777" w:rsidR="00220A18" w:rsidRPr="00471CBA" w:rsidRDefault="00220A18">
      <w:pPr>
        <w:rPr>
          <w:rFonts w:eastAsia="Arial Unicode MS"/>
          <w:b/>
          <w:bCs/>
        </w:rPr>
      </w:pPr>
    </w:p>
    <w:p w14:paraId="1A404F12" w14:textId="2BA19F58" w:rsidR="008B1AC8" w:rsidRPr="00471CBA" w:rsidRDefault="00555B56" w:rsidP="00555B56">
      <w:pPr>
        <w:ind w:left="851"/>
        <w:rPr>
          <w:rFonts w:eastAsia="Arial Unicode MS"/>
        </w:rPr>
      </w:pPr>
      <w:r w:rsidRPr="00471CBA">
        <w:rPr>
          <w:rFonts w:eastAsia="Arial Unicode MS"/>
        </w:rPr>
        <w:t>Bulunmamaktadır.</w:t>
      </w:r>
      <w:r w:rsidR="008B1AC8" w:rsidRPr="00471CBA">
        <w:rPr>
          <w:rFonts w:eastAsia="Arial Unicode MS"/>
        </w:rPr>
        <w:br w:type="page"/>
      </w:r>
    </w:p>
    <w:p w14:paraId="78AC0326" w14:textId="244C32A9" w:rsidR="00136C29" w:rsidRPr="00471CBA" w:rsidRDefault="00DF09EB" w:rsidP="00827BED">
      <w:pPr>
        <w:spacing w:before="120"/>
        <w:jc w:val="center"/>
        <w:rPr>
          <w:rFonts w:eastAsia="Arial Unicode MS"/>
          <w:b/>
          <w:bCs/>
        </w:rPr>
      </w:pPr>
      <w:r w:rsidRPr="00471CBA">
        <w:rPr>
          <w:rFonts w:eastAsia="Arial Unicode MS"/>
          <w:b/>
          <w:bCs/>
        </w:rPr>
        <w:t>ALTINCI</w:t>
      </w:r>
      <w:r w:rsidR="00BE064F" w:rsidRPr="00471CBA">
        <w:rPr>
          <w:rFonts w:eastAsia="Arial Unicode MS"/>
          <w:b/>
          <w:bCs/>
        </w:rPr>
        <w:t xml:space="preserve"> BÖLÜM</w:t>
      </w:r>
    </w:p>
    <w:p w14:paraId="6DBE786F" w14:textId="39DBC5E5" w:rsidR="00644272" w:rsidRPr="00471CBA" w:rsidRDefault="00644272" w:rsidP="005077D7">
      <w:pPr>
        <w:jc w:val="center"/>
        <w:rPr>
          <w:rFonts w:eastAsia="Arial Unicode MS"/>
          <w:b/>
          <w:bCs/>
        </w:rPr>
      </w:pPr>
      <w:r w:rsidRPr="00471CBA">
        <w:rPr>
          <w:rFonts w:eastAsia="Arial Unicode MS"/>
          <w:b/>
          <w:bCs/>
        </w:rPr>
        <w:t>DİĞER AÇIKLAMALAR</w:t>
      </w:r>
    </w:p>
    <w:p w14:paraId="3F43AFBE" w14:textId="77777777" w:rsidR="00644272" w:rsidRPr="00471CBA" w:rsidRDefault="00644272" w:rsidP="00644272">
      <w:pPr>
        <w:pStyle w:val="SonNotMetni"/>
        <w:widowControl w:val="0"/>
        <w:autoSpaceDE w:val="0"/>
        <w:autoSpaceDN w:val="0"/>
        <w:adjustRightInd w:val="0"/>
        <w:ind w:left="-28" w:firstLine="28"/>
        <w:jc w:val="center"/>
        <w:rPr>
          <w:rFonts w:eastAsia="Arial Unicode MS"/>
          <w:b/>
        </w:rPr>
      </w:pPr>
    </w:p>
    <w:p w14:paraId="3F1F253F" w14:textId="5B976736" w:rsidR="00644272" w:rsidRPr="00471CBA" w:rsidRDefault="00644272" w:rsidP="008459A9">
      <w:pPr>
        <w:pStyle w:val="ListeParagraf"/>
        <w:widowControl w:val="0"/>
        <w:numPr>
          <w:ilvl w:val="0"/>
          <w:numId w:val="69"/>
        </w:numPr>
        <w:ind w:left="567" w:hanging="567"/>
        <w:jc w:val="both"/>
        <w:rPr>
          <w:b/>
          <w:szCs w:val="20"/>
        </w:rPr>
      </w:pPr>
      <w:r w:rsidRPr="00471CBA">
        <w:rPr>
          <w:b/>
          <w:szCs w:val="20"/>
        </w:rPr>
        <w:t>BANKA’NIN FAALİYETLERİNE İLİŞKİN DİĞER AÇIKLAMALAR</w:t>
      </w:r>
    </w:p>
    <w:p w14:paraId="5E1EAB1C" w14:textId="28E4C385" w:rsidR="00644272" w:rsidRPr="00471CBA" w:rsidRDefault="00644272" w:rsidP="005077D7">
      <w:pPr>
        <w:spacing w:before="120"/>
        <w:ind w:left="567"/>
        <w:jc w:val="both"/>
        <w:rPr>
          <w:szCs w:val="20"/>
        </w:rPr>
      </w:pPr>
      <w:r w:rsidRPr="00471CBA">
        <w:rPr>
          <w:szCs w:val="20"/>
        </w:rPr>
        <w:t>Bulunmamaktadır.</w:t>
      </w:r>
    </w:p>
    <w:p w14:paraId="0851C088" w14:textId="0D03BA29" w:rsidR="00795F5E" w:rsidRPr="00471CBA" w:rsidRDefault="00795F5E" w:rsidP="00795F5E">
      <w:pPr>
        <w:pStyle w:val="SonNotMetni"/>
        <w:widowControl w:val="0"/>
        <w:autoSpaceDE w:val="0"/>
        <w:autoSpaceDN w:val="0"/>
        <w:adjustRightInd w:val="0"/>
        <w:ind w:left="-28" w:firstLine="28"/>
        <w:jc w:val="center"/>
        <w:rPr>
          <w:rFonts w:eastAsia="Arial Unicode MS"/>
          <w:b/>
        </w:rPr>
      </w:pPr>
    </w:p>
    <w:p w14:paraId="408940E7" w14:textId="77777777" w:rsidR="008B1AC8" w:rsidRPr="00471CBA" w:rsidRDefault="008B1AC8">
      <w:pPr>
        <w:rPr>
          <w:rFonts w:eastAsia="Arial Unicode MS"/>
          <w:b/>
          <w:bCs/>
        </w:rPr>
      </w:pPr>
      <w:r w:rsidRPr="00471CBA">
        <w:rPr>
          <w:rFonts w:eastAsia="Arial Unicode MS"/>
          <w:b/>
          <w:bCs/>
        </w:rPr>
        <w:br w:type="page"/>
      </w:r>
    </w:p>
    <w:p w14:paraId="6309669F" w14:textId="6C8BA9AB" w:rsidR="00644272" w:rsidRPr="00471CBA" w:rsidRDefault="00644272" w:rsidP="005077D7">
      <w:pPr>
        <w:jc w:val="center"/>
        <w:rPr>
          <w:rFonts w:eastAsia="Arial Unicode MS"/>
          <w:b/>
          <w:bCs/>
        </w:rPr>
      </w:pPr>
      <w:r w:rsidRPr="00471CBA">
        <w:rPr>
          <w:rFonts w:eastAsia="Arial Unicode MS"/>
          <w:b/>
          <w:bCs/>
        </w:rPr>
        <w:t>YEDİNCİ BÖLÜM</w:t>
      </w:r>
    </w:p>
    <w:p w14:paraId="44F8F776" w14:textId="77777777" w:rsidR="008B1AC8" w:rsidRPr="00471CBA" w:rsidRDefault="008B1AC8" w:rsidP="005077D7">
      <w:pPr>
        <w:jc w:val="center"/>
        <w:rPr>
          <w:rFonts w:eastAsia="Arial Unicode MS"/>
          <w:b/>
          <w:bCs/>
        </w:rPr>
      </w:pPr>
    </w:p>
    <w:p w14:paraId="6B98FFAC" w14:textId="77777777" w:rsidR="00C22F4B" w:rsidRPr="00471CBA" w:rsidRDefault="00C22F4B" w:rsidP="00C22F4B">
      <w:pPr>
        <w:jc w:val="center"/>
        <w:rPr>
          <w:b/>
          <w:bCs/>
        </w:rPr>
      </w:pPr>
      <w:r w:rsidRPr="00471CBA">
        <w:rPr>
          <w:b/>
          <w:bCs/>
        </w:rPr>
        <w:t>BAĞIMSIZ DENETİM RAPORU</w:t>
      </w:r>
    </w:p>
    <w:p w14:paraId="02D2AB80" w14:textId="77777777" w:rsidR="00795F5E" w:rsidRPr="00471CBA" w:rsidRDefault="00795F5E" w:rsidP="00795F5E">
      <w:pPr>
        <w:widowControl w:val="0"/>
        <w:tabs>
          <w:tab w:val="left" w:pos="0"/>
        </w:tabs>
        <w:jc w:val="both"/>
        <w:rPr>
          <w:b/>
          <w:szCs w:val="20"/>
        </w:rPr>
      </w:pPr>
    </w:p>
    <w:p w14:paraId="305B5121" w14:textId="26E71778" w:rsidR="00136C29" w:rsidRPr="00471CBA" w:rsidRDefault="00CF70DD" w:rsidP="008459A9">
      <w:pPr>
        <w:pStyle w:val="ListeParagraf"/>
        <w:widowControl w:val="0"/>
        <w:numPr>
          <w:ilvl w:val="0"/>
          <w:numId w:val="68"/>
        </w:numPr>
        <w:ind w:left="851" w:hanging="851"/>
        <w:jc w:val="both"/>
        <w:rPr>
          <w:b/>
          <w:szCs w:val="20"/>
        </w:rPr>
      </w:pPr>
      <w:r w:rsidRPr="00471CBA">
        <w:rPr>
          <w:b/>
          <w:szCs w:val="20"/>
        </w:rPr>
        <w:t>BAĞIMSIZ</w:t>
      </w:r>
      <w:r w:rsidR="005D3B2E" w:rsidRPr="00471CBA">
        <w:rPr>
          <w:b/>
          <w:szCs w:val="20"/>
        </w:rPr>
        <w:t xml:space="preserve"> DENETİM RAPORUNA İLİŞKİN OLARAK AÇIKLANMASI GEREKEN HUSUSLAR</w:t>
      </w:r>
    </w:p>
    <w:p w14:paraId="3A442ABE" w14:textId="655ED2A1" w:rsidR="001525AE" w:rsidRPr="00471CBA" w:rsidRDefault="007D46CE" w:rsidP="008B1AC8">
      <w:pPr>
        <w:widowControl w:val="0"/>
        <w:spacing w:before="120"/>
        <w:ind w:left="851"/>
        <w:jc w:val="both"/>
        <w:rPr>
          <w:szCs w:val="20"/>
        </w:rPr>
      </w:pPr>
      <w:r w:rsidRPr="00471CBA">
        <w:rPr>
          <w:szCs w:val="20"/>
        </w:rPr>
        <w:t xml:space="preserve">Banka’nın kamuya açıklanan </w:t>
      </w:r>
      <w:r w:rsidR="00DB1F6A" w:rsidRPr="00471CBA">
        <w:rPr>
          <w:szCs w:val="20"/>
        </w:rPr>
        <w:t>31 Aralık</w:t>
      </w:r>
      <w:r w:rsidR="00EE5048" w:rsidRPr="00471CBA">
        <w:rPr>
          <w:szCs w:val="20"/>
        </w:rPr>
        <w:t xml:space="preserve"> 2025</w:t>
      </w:r>
      <w:r w:rsidR="008A2AE2" w:rsidRPr="00471CBA">
        <w:rPr>
          <w:szCs w:val="20"/>
        </w:rPr>
        <w:t xml:space="preserve"> </w:t>
      </w:r>
      <w:r w:rsidR="00DE7993" w:rsidRPr="00471CBA">
        <w:rPr>
          <w:szCs w:val="20"/>
        </w:rPr>
        <w:t xml:space="preserve">tarihi itibarıyla ve aynı tarihte sona eren döneme ilişkin </w:t>
      </w:r>
      <w:r w:rsidR="002A3D04" w:rsidRPr="00471CBA">
        <w:rPr>
          <w:szCs w:val="20"/>
        </w:rPr>
        <w:t xml:space="preserve">konsolide olmayan </w:t>
      </w:r>
      <w:r w:rsidR="00DE7993" w:rsidRPr="00471CBA">
        <w:rPr>
          <w:szCs w:val="20"/>
        </w:rPr>
        <w:t>finansal</w:t>
      </w:r>
      <w:r w:rsidR="00FB25E9" w:rsidRPr="00471CBA">
        <w:rPr>
          <w:szCs w:val="20"/>
        </w:rPr>
        <w:t xml:space="preserve"> tablo</w:t>
      </w:r>
      <w:r w:rsidR="007A1F48" w:rsidRPr="00471CBA">
        <w:rPr>
          <w:szCs w:val="20"/>
        </w:rPr>
        <w:t>lar</w:t>
      </w:r>
      <w:r w:rsidR="003E0081" w:rsidRPr="00471CBA">
        <w:rPr>
          <w:szCs w:val="20"/>
        </w:rPr>
        <w:t>ı</w:t>
      </w:r>
      <w:r w:rsidR="007A1F48" w:rsidRPr="00471CBA">
        <w:rPr>
          <w:szCs w:val="20"/>
        </w:rPr>
        <w:t xml:space="preserve"> </w:t>
      </w:r>
      <w:r w:rsidR="00FB25E9" w:rsidRPr="00471CBA">
        <w:rPr>
          <w:szCs w:val="20"/>
        </w:rPr>
        <w:t>“</w:t>
      </w:r>
      <w:proofErr w:type="spellStart"/>
      <w:r w:rsidR="00E660A0" w:rsidRPr="00471CBA">
        <w:rPr>
          <w:szCs w:val="20"/>
        </w:rPr>
        <w:t>P</w:t>
      </w:r>
      <w:r w:rsidR="002A3D04" w:rsidRPr="00471CBA">
        <w:rPr>
          <w:szCs w:val="20"/>
        </w:rPr>
        <w:t>w</w:t>
      </w:r>
      <w:r w:rsidR="00E660A0" w:rsidRPr="00471CBA">
        <w:rPr>
          <w:szCs w:val="20"/>
        </w:rPr>
        <w:t>C</w:t>
      </w:r>
      <w:proofErr w:type="spellEnd"/>
      <w:r w:rsidR="00E660A0" w:rsidRPr="00471CBA">
        <w:rPr>
          <w:szCs w:val="20"/>
        </w:rPr>
        <w:t xml:space="preserve"> Bağımsız Denetim ve Serbest Muhasebeci Mali Müşavirlik Anonim Şirketi” </w:t>
      </w:r>
      <w:r w:rsidR="007A1F48" w:rsidRPr="00471CBA">
        <w:rPr>
          <w:szCs w:val="20"/>
        </w:rPr>
        <w:t>tarafından</w:t>
      </w:r>
      <w:r w:rsidR="00FB25E9" w:rsidRPr="00471CBA">
        <w:rPr>
          <w:szCs w:val="20"/>
        </w:rPr>
        <w:t xml:space="preserve"> </w:t>
      </w:r>
      <w:r w:rsidR="00CF70DD" w:rsidRPr="00471CBA">
        <w:rPr>
          <w:szCs w:val="20"/>
        </w:rPr>
        <w:t>bağımsız</w:t>
      </w:r>
      <w:r w:rsidR="00CD3846" w:rsidRPr="00471CBA">
        <w:rPr>
          <w:szCs w:val="20"/>
        </w:rPr>
        <w:t xml:space="preserve"> </w:t>
      </w:r>
      <w:r w:rsidR="00DE7993" w:rsidRPr="00471CBA">
        <w:rPr>
          <w:szCs w:val="20"/>
        </w:rPr>
        <w:t>denetime tabi tutulmuş olup,</w:t>
      </w:r>
      <w:r w:rsidR="00CA3431" w:rsidRPr="00471CBA">
        <w:rPr>
          <w:szCs w:val="20"/>
        </w:rPr>
        <w:t xml:space="preserve"> </w:t>
      </w:r>
      <w:bookmarkStart w:id="185" w:name="_Hlk213403482"/>
      <w:r w:rsidR="00CB34E2" w:rsidRPr="00471CBA">
        <w:rPr>
          <w:szCs w:val="20"/>
        </w:rPr>
        <w:t>2 Mart</w:t>
      </w:r>
      <w:r w:rsidR="00122EC9" w:rsidRPr="00471CBA">
        <w:rPr>
          <w:szCs w:val="20"/>
        </w:rPr>
        <w:t xml:space="preserve"> </w:t>
      </w:r>
      <w:r w:rsidR="003C7E5F" w:rsidRPr="00471CBA">
        <w:rPr>
          <w:szCs w:val="20"/>
        </w:rPr>
        <w:t>202</w:t>
      </w:r>
      <w:bookmarkEnd w:id="185"/>
      <w:r w:rsidR="00770782" w:rsidRPr="00471CBA">
        <w:rPr>
          <w:szCs w:val="20"/>
        </w:rPr>
        <w:t>6</w:t>
      </w:r>
      <w:r w:rsidR="00DE7993" w:rsidRPr="00471CBA">
        <w:rPr>
          <w:szCs w:val="20"/>
        </w:rPr>
        <w:t xml:space="preserve"> tarihli </w:t>
      </w:r>
      <w:r w:rsidR="00CF70DD" w:rsidRPr="00471CBA">
        <w:rPr>
          <w:szCs w:val="20"/>
        </w:rPr>
        <w:t>bağımsız</w:t>
      </w:r>
      <w:r w:rsidR="00AC0132" w:rsidRPr="00471CBA">
        <w:rPr>
          <w:szCs w:val="20"/>
        </w:rPr>
        <w:t xml:space="preserve"> </w:t>
      </w:r>
      <w:r w:rsidR="00DE7993" w:rsidRPr="00471CBA">
        <w:rPr>
          <w:szCs w:val="20"/>
        </w:rPr>
        <w:t>denetim raporu finansal tabloların önünde sunulmuştur</w:t>
      </w:r>
      <w:r w:rsidR="001525AE" w:rsidRPr="00471CBA">
        <w:rPr>
          <w:szCs w:val="20"/>
        </w:rPr>
        <w:t>.</w:t>
      </w:r>
    </w:p>
    <w:p w14:paraId="72ED348A" w14:textId="77777777" w:rsidR="00795F5E" w:rsidRPr="00471CBA" w:rsidRDefault="00795F5E" w:rsidP="00795F5E">
      <w:pPr>
        <w:widowControl w:val="0"/>
        <w:jc w:val="both"/>
        <w:rPr>
          <w:szCs w:val="20"/>
        </w:rPr>
      </w:pPr>
    </w:p>
    <w:p w14:paraId="64288700" w14:textId="202F59FE" w:rsidR="00136C29" w:rsidRPr="00471CBA" w:rsidRDefault="005D3B2E" w:rsidP="008459A9">
      <w:pPr>
        <w:pStyle w:val="ListeParagraf"/>
        <w:widowControl w:val="0"/>
        <w:numPr>
          <w:ilvl w:val="0"/>
          <w:numId w:val="68"/>
        </w:numPr>
        <w:ind w:left="851" w:hanging="851"/>
        <w:jc w:val="both"/>
        <w:rPr>
          <w:b/>
          <w:szCs w:val="20"/>
        </w:rPr>
      </w:pPr>
      <w:r w:rsidRPr="00471CBA">
        <w:rPr>
          <w:b/>
          <w:szCs w:val="20"/>
        </w:rPr>
        <w:t>BAĞIMSIZ DENETÇİ TARAFINDAN HAZIRLANAN AÇIKLAMA VE DİPNOTLAR</w:t>
      </w:r>
    </w:p>
    <w:p w14:paraId="01CFEBE3" w14:textId="70B5B75A" w:rsidR="0025172F" w:rsidRPr="00AC1668" w:rsidRDefault="00084DC2" w:rsidP="008B1AC8">
      <w:pPr>
        <w:widowControl w:val="0"/>
        <w:spacing w:before="120"/>
        <w:ind w:left="851"/>
        <w:jc w:val="both"/>
        <w:rPr>
          <w:szCs w:val="20"/>
        </w:rPr>
      </w:pPr>
      <w:r w:rsidRPr="00471CBA">
        <w:rPr>
          <w:szCs w:val="20"/>
        </w:rPr>
        <w:t>Bulunmamaktadır</w:t>
      </w:r>
      <w:r w:rsidR="00136C29" w:rsidRPr="00471CBA">
        <w:rPr>
          <w:szCs w:val="20"/>
        </w:rPr>
        <w:t>.</w:t>
      </w:r>
    </w:p>
    <w:p w14:paraId="0647E70B" w14:textId="0F77417A" w:rsidR="00AC0132" w:rsidRPr="00AC1668" w:rsidRDefault="00AC0132" w:rsidP="00AC0132">
      <w:pPr>
        <w:rPr>
          <w:szCs w:val="20"/>
        </w:rPr>
      </w:pPr>
    </w:p>
    <w:sectPr w:rsidR="00AC0132" w:rsidRPr="00AC1668" w:rsidSect="00983227">
      <w:pgSz w:w="11907" w:h="16840" w:code="9"/>
      <w:pgMar w:top="1134" w:right="1134" w:bottom="1134" w:left="1418" w:header="851"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ECCBC" w14:textId="77777777" w:rsidR="00286247" w:rsidRDefault="00286247">
      <w:r>
        <w:separator/>
      </w:r>
    </w:p>
  </w:endnote>
  <w:endnote w:type="continuationSeparator" w:id="0">
    <w:p w14:paraId="3BE2BE5C" w14:textId="77777777" w:rsidR="00286247" w:rsidRDefault="00286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A2"/>
    <w:family w:val="roman"/>
    <w:pitch w:val="variable"/>
    <w:sig w:usb0="E00006FF" w:usb1="420024FF" w:usb2="02000000" w:usb3="00000000" w:csb0="0000019F" w:csb1="00000000"/>
  </w:font>
  <w:font w:name="Times-Roman">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A2"/>
    <w:family w:val="roman"/>
    <w:pitch w:val="variable"/>
    <w:sig w:usb0="00000287" w:usb1="00000000" w:usb2="00000000" w:usb3="00000000" w:csb0="0000009F" w:csb1="00000000"/>
  </w:font>
  <w:font w:name="Times">
    <w:panose1 w:val="02020603050405020304"/>
    <w:charset w:val="A2"/>
    <w:family w:val="roman"/>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DINPro-Medium">
    <w:altName w:val="Cambria"/>
    <w:panose1 w:val="00000000000000000000"/>
    <w:charset w:val="00"/>
    <w:family w:val="roman"/>
    <w:notTrueType/>
    <w:pitch w:val="default"/>
  </w:font>
  <w:font w:name="Univers for KPMG Light">
    <w:altName w:val="Corbel"/>
    <w:charset w:val="A2"/>
    <w:family w:val="swiss"/>
    <w:pitch w:val="variable"/>
    <w:sig w:usb0="800002AF" w:usb1="5000204A" w:usb2="00000000" w:usb3="00000000" w:csb0="0000009F" w:csb1="00000000"/>
  </w:font>
  <w:font w:name="DINPro-Bold">
    <w:altName w:val="Arial"/>
    <w:panose1 w:val="00000000000000000000"/>
    <w:charset w:val="00"/>
    <w:family w:val="modern"/>
    <w:notTrueType/>
    <w:pitch w:val="variable"/>
    <w:sig w:usb0="800002AF" w:usb1="4000206A" w:usb2="00000000" w:usb3="00000000" w:csb0="0000009F" w:csb1="00000000"/>
  </w:font>
  <w:font w:name="TimesNewRoman">
    <w:altName w:val="Times New Roman"/>
    <w:panose1 w:val="00000000000000000000"/>
    <w:charset w:val="00"/>
    <w:family w:val="roman"/>
    <w:notTrueType/>
    <w:pitch w:val="default"/>
    <w:sig w:usb0="00000001"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A2724" w14:textId="77777777" w:rsidR="006D15A7" w:rsidRPr="0047405E" w:rsidRDefault="006D15A7" w:rsidP="001E751E">
    <w:pPr>
      <w:pStyle w:val="LegalLocalNameAddressFooter"/>
      <w:ind w:left="3969"/>
      <w:rPr>
        <w:color w:val="404040"/>
        <w:lang w:val="tr-TR"/>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3977538"/>
      <w:docPartObj>
        <w:docPartGallery w:val="Page Numbers (Bottom of Page)"/>
        <w:docPartUnique/>
      </w:docPartObj>
    </w:sdtPr>
    <w:sdtEndPr/>
    <w:sdtContent>
      <w:sdt>
        <w:sdtPr>
          <w:rPr>
            <w:iCs w:val="0"/>
            <w:noProof w:val="0"/>
            <w:lang w:eastAsia="tr-TR"/>
          </w:rPr>
          <w:id w:val="-1405139661"/>
          <w:docPartObj>
            <w:docPartGallery w:val="Page Numbers (Bottom of Page)"/>
            <w:docPartUnique/>
          </w:docPartObj>
        </w:sdtPr>
        <w:sdtEndPr/>
        <w:sdtContent>
          <w:p w14:paraId="7ABB8F64" w14:textId="19DDD495" w:rsidR="00A966D3" w:rsidRPr="009A1133" w:rsidRDefault="007678E5" w:rsidP="007678E5">
            <w:pPr>
              <w:pStyle w:val="AltBilgi"/>
              <w:jc w:val="center"/>
              <w:rPr>
                <w:iCs w:val="0"/>
              </w:rPr>
            </w:pPr>
            <w:r w:rsidRPr="009A1133">
              <w:rPr>
                <w:iCs w:val="0"/>
                <w:noProof w:val="0"/>
                <w:lang w:eastAsia="tr-TR"/>
              </w:rPr>
              <w:fldChar w:fldCharType="begin"/>
            </w:r>
            <w:r w:rsidRPr="009A1133">
              <w:rPr>
                <w:iCs w:val="0"/>
                <w:noProof w:val="0"/>
                <w:lang w:eastAsia="tr-TR"/>
              </w:rPr>
              <w:instrText xml:space="preserve"> PAGE   \* MERGEFORMAT </w:instrText>
            </w:r>
            <w:r w:rsidRPr="009A1133">
              <w:rPr>
                <w:iCs w:val="0"/>
                <w:noProof w:val="0"/>
                <w:lang w:eastAsia="tr-TR"/>
              </w:rPr>
              <w:fldChar w:fldCharType="separate"/>
            </w:r>
            <w:r w:rsidRPr="009A1133">
              <w:rPr>
                <w:iCs w:val="0"/>
                <w:lang w:eastAsia="tr-TR"/>
              </w:rPr>
              <w:t>6</w:t>
            </w:r>
            <w:r w:rsidRPr="009A1133">
              <w:rPr>
                <w:iCs w:val="0"/>
                <w:noProof w:val="0"/>
                <w:lang w:eastAsia="tr-TR"/>
              </w:rPr>
              <w:fldChar w:fldCharType="end"/>
            </w:r>
          </w:p>
        </w:sdtContent>
      </w:sdt>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469518071"/>
      <w:docPartObj>
        <w:docPartGallery w:val="Page Numbers (Bottom of Page)"/>
        <w:docPartUnique/>
      </w:docPartObj>
    </w:sdtPr>
    <w:sdtEndPr>
      <w:rPr>
        <w:noProof/>
      </w:rPr>
    </w:sdtEndPr>
    <w:sdtContent>
      <w:p w14:paraId="263DC748" w14:textId="4B707C29" w:rsidR="00C907C3" w:rsidRPr="007678E5" w:rsidRDefault="003D5CB7" w:rsidP="003D5CB7">
        <w:pPr>
          <w:pStyle w:val="AltBilgi"/>
          <w:jc w:val="center"/>
        </w:pPr>
        <w:r w:rsidRPr="007678E5">
          <w:rPr>
            <w:noProof w:val="0"/>
          </w:rPr>
          <w:fldChar w:fldCharType="begin"/>
        </w:r>
        <w:r w:rsidRPr="007678E5">
          <w:instrText xml:space="preserve"> PAGE   \* MERGEFORMAT </w:instrText>
        </w:r>
        <w:r w:rsidRPr="007678E5">
          <w:rPr>
            <w:noProof w:val="0"/>
          </w:rPr>
          <w:fldChar w:fldCharType="separate"/>
        </w:r>
        <w:r w:rsidRPr="007678E5">
          <w:t>2</w:t>
        </w:r>
        <w:r w:rsidRPr="007678E5">
          <w:fldChar w:fldCharType="end"/>
        </w:r>
      </w:p>
    </w:sdtContent>
  </w:sdt>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2853637"/>
      <w:docPartObj>
        <w:docPartGallery w:val="Page Numbers (Bottom of Page)"/>
        <w:docPartUnique/>
      </w:docPartObj>
    </w:sdtPr>
    <w:sdtEndPr/>
    <w:sdtContent>
      <w:sdt>
        <w:sdtPr>
          <w:rPr>
            <w:iCs w:val="0"/>
            <w:noProof w:val="0"/>
            <w:sz w:val="22"/>
            <w:szCs w:val="22"/>
            <w:lang w:eastAsia="tr-TR"/>
          </w:rPr>
          <w:id w:val="-1214803529"/>
          <w:docPartObj>
            <w:docPartGallery w:val="Page Numbers (Bottom of Page)"/>
            <w:docPartUnique/>
          </w:docPartObj>
        </w:sdtPr>
        <w:sdtEndPr>
          <w:rPr>
            <w:sz w:val="20"/>
          </w:rPr>
        </w:sdtEndPr>
        <w:sdtContent>
          <w:p w14:paraId="42BCB96B" w14:textId="0C6B78A8" w:rsidR="00A966D3" w:rsidRPr="007678E5" w:rsidRDefault="00A966D3" w:rsidP="00967785">
            <w:pPr>
              <w:pStyle w:val="AltBilgi"/>
              <w:jc w:val="center"/>
              <w:rPr>
                <w:iCs w:val="0"/>
                <w:szCs w:val="22"/>
              </w:rPr>
            </w:pPr>
            <w:r w:rsidRPr="007678E5">
              <w:rPr>
                <w:iCs w:val="0"/>
                <w:noProof w:val="0"/>
                <w:szCs w:val="22"/>
                <w:lang w:eastAsia="tr-TR"/>
              </w:rPr>
              <w:fldChar w:fldCharType="begin"/>
            </w:r>
            <w:r w:rsidRPr="007678E5">
              <w:rPr>
                <w:iCs w:val="0"/>
                <w:noProof w:val="0"/>
                <w:szCs w:val="22"/>
                <w:lang w:eastAsia="tr-TR"/>
              </w:rPr>
              <w:instrText xml:space="preserve"> PAGE   \* MERGEFORMAT </w:instrText>
            </w:r>
            <w:r w:rsidRPr="007678E5">
              <w:rPr>
                <w:iCs w:val="0"/>
                <w:noProof w:val="0"/>
                <w:szCs w:val="22"/>
                <w:lang w:eastAsia="tr-TR"/>
              </w:rPr>
              <w:fldChar w:fldCharType="separate"/>
            </w:r>
            <w:r w:rsidRPr="007678E5">
              <w:rPr>
                <w:iCs w:val="0"/>
                <w:szCs w:val="22"/>
                <w:lang w:eastAsia="tr-TR"/>
              </w:rPr>
              <w:t>8</w:t>
            </w:r>
            <w:r w:rsidRPr="007678E5">
              <w:rPr>
                <w:iCs w:val="0"/>
                <w:noProof w:val="0"/>
                <w:szCs w:val="22"/>
                <w:lang w:eastAsia="tr-TR"/>
              </w:rPr>
              <w:fldChar w:fldCharType="end"/>
            </w:r>
          </w:p>
        </w:sdtContent>
      </w:sdt>
    </w:sdtContent>
  </w:sdt>
  <w:p w14:paraId="5D2220B3" w14:textId="77777777" w:rsidR="00A966D3" w:rsidRPr="00297D55" w:rsidRDefault="00A966D3" w:rsidP="00967785">
    <w:pPr>
      <w:pStyle w:val="AltBilgi"/>
      <w:rPr>
        <w:rFonts w:ascii="Arial" w:hAnsi="Arial" w:cs="Arial"/>
        <w:iCs w:val="0"/>
        <w:szCs w:val="22"/>
        <w:lang w:eastAsia="tr-TR"/>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43125" w14:textId="02CA33FB" w:rsidR="00A966D3" w:rsidRDefault="00A966D3" w:rsidP="009A22B8">
    <w:pPr>
      <w:pStyle w:val="AltBilgi"/>
      <w:jc w:val="center"/>
      <w:rPr>
        <w:rFonts w:ascii="Arial" w:hAnsi="Arial" w:cs="Arial"/>
      </w:rPr>
    </w:pPr>
  </w:p>
  <w:sdt>
    <w:sdtPr>
      <w:rPr>
        <w:rFonts w:ascii="Arial" w:hAnsi="Arial" w:cs="Arial"/>
      </w:rPr>
      <w:id w:val="-2043355555"/>
      <w:docPartObj>
        <w:docPartGallery w:val="Page Numbers (Bottom of Page)"/>
        <w:docPartUnique/>
      </w:docPartObj>
    </w:sdtPr>
    <w:sdtEndPr/>
    <w:sdtContent>
      <w:p w14:paraId="0E2333C2" w14:textId="5E5E49DB" w:rsidR="00A966D3" w:rsidRPr="0009203B" w:rsidRDefault="00A966D3">
        <w:pPr>
          <w:pStyle w:val="AltBilgi"/>
          <w:jc w:val="center"/>
          <w:rPr>
            <w:rFonts w:ascii="Arial" w:hAnsi="Arial" w:cs="Arial"/>
          </w:rPr>
        </w:pPr>
      </w:p>
      <w:sdt>
        <w:sdtPr>
          <w:rPr>
            <w:rFonts w:ascii="Univers for KPMG Light" w:hAnsi="Univers for KPMG Light" w:cs="DINPro-Bold"/>
            <w:iCs w:val="0"/>
            <w:noProof w:val="0"/>
            <w:sz w:val="22"/>
            <w:szCs w:val="22"/>
            <w:lang w:eastAsia="tr-TR"/>
          </w:rPr>
          <w:id w:val="134841787"/>
          <w:docPartObj>
            <w:docPartGallery w:val="Page Numbers (Bottom of Page)"/>
            <w:docPartUnique/>
          </w:docPartObj>
        </w:sdtPr>
        <w:sdtEndPr>
          <w:rPr>
            <w:rFonts w:ascii="Arial" w:hAnsi="Arial" w:cs="Arial"/>
            <w:sz w:val="20"/>
          </w:rPr>
        </w:sdtEndPr>
        <w:sdtContent>
          <w:p w14:paraId="7785496D" w14:textId="77777777" w:rsidR="00A966D3" w:rsidRPr="0009203B" w:rsidRDefault="00A966D3" w:rsidP="0009203B">
            <w:pPr>
              <w:pStyle w:val="AltBilgi"/>
              <w:jc w:val="center"/>
              <w:rPr>
                <w:rFonts w:ascii="Arial" w:hAnsi="Arial" w:cs="Arial"/>
                <w:iCs w:val="0"/>
                <w:szCs w:val="22"/>
              </w:rPr>
            </w:pPr>
            <w:r w:rsidRPr="00297D55">
              <w:rPr>
                <w:rFonts w:ascii="Arial" w:hAnsi="Arial" w:cs="Arial"/>
                <w:iCs w:val="0"/>
                <w:noProof w:val="0"/>
                <w:szCs w:val="22"/>
                <w:lang w:eastAsia="tr-TR"/>
              </w:rPr>
              <w:fldChar w:fldCharType="begin"/>
            </w:r>
            <w:r w:rsidRPr="00297D55">
              <w:rPr>
                <w:rFonts w:ascii="Arial" w:hAnsi="Arial" w:cs="Arial"/>
                <w:iCs w:val="0"/>
                <w:noProof w:val="0"/>
                <w:szCs w:val="22"/>
                <w:lang w:eastAsia="tr-TR"/>
              </w:rPr>
              <w:instrText xml:space="preserve"> PAGE   \* MERGEFORMAT </w:instrText>
            </w:r>
            <w:r w:rsidRPr="00297D55">
              <w:rPr>
                <w:rFonts w:ascii="Arial" w:hAnsi="Arial" w:cs="Arial"/>
                <w:iCs w:val="0"/>
                <w:noProof w:val="0"/>
                <w:szCs w:val="22"/>
                <w:lang w:eastAsia="tr-TR"/>
              </w:rPr>
              <w:fldChar w:fldCharType="separate"/>
            </w:r>
            <w:r>
              <w:rPr>
                <w:rFonts w:ascii="Arial" w:hAnsi="Arial" w:cs="Arial"/>
                <w:iCs w:val="0"/>
                <w:szCs w:val="22"/>
                <w:lang w:eastAsia="tr-TR"/>
              </w:rPr>
              <w:t>7</w:t>
            </w:r>
            <w:r w:rsidRPr="00297D55">
              <w:rPr>
                <w:rFonts w:ascii="Arial" w:hAnsi="Arial" w:cs="Arial"/>
                <w:iCs w:val="0"/>
                <w:noProof w:val="0"/>
                <w:szCs w:val="22"/>
                <w:lang w:eastAsia="tr-TR"/>
              </w:rPr>
              <w:fldChar w:fldCharType="end"/>
            </w:r>
          </w:p>
        </w:sdtContent>
      </w:sdt>
    </w:sdtContent>
  </w:sdt>
  <w:p w14:paraId="4F5EE464" w14:textId="77777777" w:rsidR="00A966D3" w:rsidRPr="00297D55" w:rsidRDefault="00A966D3" w:rsidP="00297D55">
    <w:pPr>
      <w:pStyle w:val="AltBilgi"/>
      <w:rPr>
        <w:rFonts w:ascii="Arial" w:hAnsi="Arial" w:cs="Arial"/>
        <w:iCs w:val="0"/>
        <w:szCs w:val="22"/>
        <w:lang w:eastAsia="tr-TR"/>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DB5BA" w14:textId="74540F5E" w:rsidR="00A966D3" w:rsidRPr="007678E5" w:rsidRDefault="00AB1DD9" w:rsidP="00967785">
    <w:pPr>
      <w:pStyle w:val="AltBilgi"/>
      <w:jc w:val="center"/>
    </w:pPr>
    <w:sdt>
      <w:sdtPr>
        <w:id w:val="968083340"/>
        <w:docPartObj>
          <w:docPartGallery w:val="Page Numbers (Bottom of Page)"/>
          <w:docPartUnique/>
        </w:docPartObj>
      </w:sdtPr>
      <w:sdtEndPr/>
      <w:sdtContent>
        <w:sdt>
          <w:sdtPr>
            <w:rPr>
              <w:iCs w:val="0"/>
              <w:noProof w:val="0"/>
              <w:sz w:val="22"/>
              <w:szCs w:val="22"/>
              <w:lang w:eastAsia="tr-TR"/>
            </w:rPr>
            <w:id w:val="-1692753367"/>
            <w:docPartObj>
              <w:docPartGallery w:val="Page Numbers (Bottom of Page)"/>
              <w:docPartUnique/>
            </w:docPartObj>
          </w:sdtPr>
          <w:sdtEndPr>
            <w:rPr>
              <w:sz w:val="20"/>
            </w:rPr>
          </w:sdtEndPr>
          <w:sdtContent>
            <w:r w:rsidR="00A966D3" w:rsidRPr="007678E5">
              <w:rPr>
                <w:iCs w:val="0"/>
                <w:noProof w:val="0"/>
                <w:szCs w:val="22"/>
                <w:lang w:eastAsia="tr-TR"/>
              </w:rPr>
              <w:fldChar w:fldCharType="begin"/>
            </w:r>
            <w:r w:rsidR="00A966D3" w:rsidRPr="007678E5">
              <w:rPr>
                <w:iCs w:val="0"/>
                <w:noProof w:val="0"/>
                <w:szCs w:val="22"/>
                <w:lang w:eastAsia="tr-TR"/>
              </w:rPr>
              <w:instrText xml:space="preserve"> PAGE   \* MERGEFORMAT </w:instrText>
            </w:r>
            <w:r w:rsidR="00A966D3" w:rsidRPr="007678E5">
              <w:rPr>
                <w:iCs w:val="0"/>
                <w:noProof w:val="0"/>
                <w:szCs w:val="22"/>
                <w:lang w:eastAsia="tr-TR"/>
              </w:rPr>
              <w:fldChar w:fldCharType="separate"/>
            </w:r>
            <w:r w:rsidR="00A966D3" w:rsidRPr="007678E5">
              <w:rPr>
                <w:iCs w:val="0"/>
                <w:szCs w:val="22"/>
                <w:lang w:eastAsia="tr-TR"/>
              </w:rPr>
              <w:t>8</w:t>
            </w:r>
            <w:r w:rsidR="00A966D3" w:rsidRPr="007678E5">
              <w:rPr>
                <w:iCs w:val="0"/>
                <w:noProof w:val="0"/>
                <w:szCs w:val="22"/>
                <w:lang w:eastAsia="tr-TR"/>
              </w:rPr>
              <w:fldChar w:fldCharType="end"/>
            </w:r>
          </w:sdtContent>
        </w:sdt>
      </w:sdtContent>
    </w:sdt>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24026" w14:textId="25DE44D1" w:rsidR="00A966D3" w:rsidRDefault="00A966D3" w:rsidP="009A22B8">
    <w:pPr>
      <w:pStyle w:val="AltBilgi"/>
      <w:jc w:val="center"/>
    </w:pPr>
  </w:p>
  <w:p w14:paraId="2A537049" w14:textId="51D25B37" w:rsidR="00A966D3" w:rsidRPr="003F23DA" w:rsidRDefault="00AB1DD9">
    <w:pPr>
      <w:pStyle w:val="AltBilgi"/>
      <w:jc w:val="center"/>
    </w:pPr>
    <w:sdt>
      <w:sdtPr>
        <w:id w:val="-903137339"/>
        <w:docPartObj>
          <w:docPartGallery w:val="Page Numbers (Bottom of Page)"/>
          <w:docPartUnique/>
        </w:docPartObj>
      </w:sdtPr>
      <w:sdtEndPr>
        <w:rPr>
          <w:rFonts w:ascii="Arial" w:hAnsi="Arial" w:cs="Arial"/>
        </w:rPr>
      </w:sdtEndPr>
      <w:sdtContent>
        <w:sdt>
          <w:sdtPr>
            <w:rPr>
              <w:rFonts w:ascii="Univers for KPMG Light" w:hAnsi="Univers for KPMG Light" w:cs="DINPro-Bold"/>
              <w:iCs w:val="0"/>
              <w:noProof w:val="0"/>
              <w:sz w:val="22"/>
              <w:szCs w:val="22"/>
              <w:lang w:eastAsia="tr-TR"/>
            </w:rPr>
            <w:id w:val="-2040111043"/>
            <w:docPartObj>
              <w:docPartGallery w:val="Page Numbers (Bottom of Page)"/>
              <w:docPartUnique/>
            </w:docPartObj>
          </w:sdtPr>
          <w:sdtEndPr>
            <w:rPr>
              <w:rFonts w:ascii="Arial" w:hAnsi="Arial" w:cs="Arial"/>
              <w:sz w:val="20"/>
            </w:rPr>
          </w:sdtEndPr>
          <w:sdtContent>
            <w:r w:rsidR="00A966D3" w:rsidRPr="009A1133">
              <w:rPr>
                <w:iCs w:val="0"/>
                <w:noProof w:val="0"/>
                <w:lang w:eastAsia="tr-TR"/>
              </w:rPr>
              <w:fldChar w:fldCharType="begin"/>
            </w:r>
            <w:r w:rsidR="00A966D3" w:rsidRPr="009A1133">
              <w:rPr>
                <w:iCs w:val="0"/>
                <w:noProof w:val="0"/>
                <w:lang w:eastAsia="tr-TR"/>
              </w:rPr>
              <w:instrText xml:space="preserve"> PAGE   \* MERGEFORMAT </w:instrText>
            </w:r>
            <w:r w:rsidR="00A966D3" w:rsidRPr="009A1133">
              <w:rPr>
                <w:iCs w:val="0"/>
                <w:noProof w:val="0"/>
                <w:lang w:eastAsia="tr-TR"/>
              </w:rPr>
              <w:fldChar w:fldCharType="separate"/>
            </w:r>
            <w:r w:rsidR="00A966D3" w:rsidRPr="009A1133">
              <w:rPr>
                <w:iCs w:val="0"/>
                <w:lang w:eastAsia="tr-TR"/>
              </w:rPr>
              <w:t>9</w:t>
            </w:r>
            <w:r w:rsidR="00A966D3" w:rsidRPr="009A1133">
              <w:rPr>
                <w:iCs w:val="0"/>
                <w:noProof w:val="0"/>
                <w:lang w:eastAsia="tr-TR"/>
              </w:rPr>
              <w:fldChar w:fldCharType="end"/>
            </w:r>
          </w:sdtContent>
        </w:sdt>
      </w:sdtContent>
    </w:sdt>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5905892"/>
      <w:docPartObj>
        <w:docPartGallery w:val="Page Numbers (Bottom of Page)"/>
        <w:docPartUnique/>
      </w:docPartObj>
    </w:sdtPr>
    <w:sdtEndPr/>
    <w:sdtContent>
      <w:sdt>
        <w:sdtPr>
          <w:rPr>
            <w:iCs w:val="0"/>
            <w:noProof w:val="0"/>
            <w:sz w:val="22"/>
            <w:szCs w:val="22"/>
            <w:lang w:eastAsia="tr-TR"/>
          </w:rPr>
          <w:id w:val="-1154061198"/>
          <w:docPartObj>
            <w:docPartGallery w:val="Page Numbers (Bottom of Page)"/>
            <w:docPartUnique/>
          </w:docPartObj>
        </w:sdtPr>
        <w:sdtEndPr>
          <w:rPr>
            <w:sz w:val="20"/>
          </w:rPr>
        </w:sdtEndPr>
        <w:sdtContent>
          <w:p w14:paraId="436DCE06" w14:textId="57A01893" w:rsidR="00A966D3" w:rsidRPr="007678E5" w:rsidRDefault="007678E5" w:rsidP="007678E5">
            <w:pPr>
              <w:pStyle w:val="AltBilgi"/>
              <w:jc w:val="center"/>
              <w:rPr>
                <w:iCs w:val="0"/>
                <w:szCs w:val="22"/>
              </w:rPr>
            </w:pPr>
            <w:r w:rsidRPr="007678E5">
              <w:rPr>
                <w:iCs w:val="0"/>
                <w:noProof w:val="0"/>
                <w:szCs w:val="22"/>
                <w:lang w:eastAsia="tr-TR"/>
              </w:rPr>
              <w:fldChar w:fldCharType="begin"/>
            </w:r>
            <w:r w:rsidRPr="007678E5">
              <w:rPr>
                <w:iCs w:val="0"/>
                <w:noProof w:val="0"/>
                <w:szCs w:val="22"/>
                <w:lang w:eastAsia="tr-TR"/>
              </w:rPr>
              <w:instrText xml:space="preserve"> PAGE   \* MERGEFORMAT </w:instrText>
            </w:r>
            <w:r w:rsidRPr="007678E5">
              <w:rPr>
                <w:iCs w:val="0"/>
                <w:noProof w:val="0"/>
                <w:szCs w:val="22"/>
                <w:lang w:eastAsia="tr-TR"/>
              </w:rPr>
              <w:fldChar w:fldCharType="separate"/>
            </w:r>
            <w:r w:rsidRPr="007678E5">
              <w:rPr>
                <w:iCs w:val="0"/>
                <w:noProof w:val="0"/>
                <w:szCs w:val="22"/>
                <w:lang w:eastAsia="tr-TR"/>
              </w:rPr>
              <w:t>10</w:t>
            </w:r>
            <w:r w:rsidRPr="007678E5">
              <w:rPr>
                <w:iCs w:val="0"/>
                <w:noProof w:val="0"/>
                <w:szCs w:val="22"/>
                <w:lang w:eastAsia="tr-TR"/>
              </w:rPr>
              <w:fldChar w:fldCharType="end"/>
            </w:r>
          </w:p>
        </w:sdtContent>
      </w:sdt>
    </w:sdtContent>
  </w:sdt>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6F096" w14:textId="35747C82" w:rsidR="00A966D3" w:rsidRDefault="00A966D3" w:rsidP="009A22B8">
    <w:pPr>
      <w:pStyle w:val="AltBilgi"/>
      <w:jc w:val="center"/>
    </w:pPr>
  </w:p>
  <w:sdt>
    <w:sdtPr>
      <w:id w:val="1223940623"/>
      <w:docPartObj>
        <w:docPartGallery w:val="Page Numbers (Bottom of Page)"/>
        <w:docPartUnique/>
      </w:docPartObj>
    </w:sdtPr>
    <w:sdtEndPr>
      <w:rPr>
        <w:rFonts w:ascii="Arial" w:hAnsi="Arial" w:cs="Arial"/>
      </w:rPr>
    </w:sdtEndPr>
    <w:sdtContent>
      <w:p w14:paraId="336AD387" w14:textId="0EA905FA" w:rsidR="00A966D3" w:rsidRDefault="00AB1DD9" w:rsidP="00967785">
        <w:pPr>
          <w:pStyle w:val="AltBilgi"/>
          <w:jc w:val="center"/>
        </w:pPr>
        <w:sdt>
          <w:sdtPr>
            <w:rPr>
              <w:rFonts w:ascii="Univers for KPMG Light" w:hAnsi="Univers for KPMG Light" w:cs="DINPro-Bold"/>
              <w:iCs w:val="0"/>
              <w:noProof w:val="0"/>
              <w:sz w:val="22"/>
              <w:szCs w:val="22"/>
              <w:lang w:eastAsia="tr-TR"/>
            </w:rPr>
            <w:id w:val="-575589668"/>
            <w:docPartObj>
              <w:docPartGallery w:val="Page Numbers (Bottom of Page)"/>
              <w:docPartUnique/>
            </w:docPartObj>
          </w:sdtPr>
          <w:sdtEndPr>
            <w:rPr>
              <w:rFonts w:ascii="Arial" w:hAnsi="Arial" w:cs="Arial"/>
              <w:sz w:val="20"/>
            </w:rPr>
          </w:sdtEndPr>
          <w:sdtContent>
            <w:r w:rsidR="00A966D3" w:rsidRPr="00297D55">
              <w:rPr>
                <w:rFonts w:ascii="Arial" w:hAnsi="Arial" w:cs="Arial"/>
                <w:iCs w:val="0"/>
                <w:noProof w:val="0"/>
                <w:szCs w:val="22"/>
                <w:lang w:eastAsia="tr-TR"/>
              </w:rPr>
              <w:fldChar w:fldCharType="begin"/>
            </w:r>
            <w:r w:rsidR="00A966D3" w:rsidRPr="00297D55">
              <w:rPr>
                <w:rFonts w:ascii="Arial" w:hAnsi="Arial" w:cs="Arial"/>
                <w:iCs w:val="0"/>
                <w:noProof w:val="0"/>
                <w:szCs w:val="22"/>
                <w:lang w:eastAsia="tr-TR"/>
              </w:rPr>
              <w:instrText xml:space="preserve"> PAGE   \* MERGEFORMAT </w:instrText>
            </w:r>
            <w:r w:rsidR="00A966D3" w:rsidRPr="00297D55">
              <w:rPr>
                <w:rFonts w:ascii="Arial" w:hAnsi="Arial" w:cs="Arial"/>
                <w:iCs w:val="0"/>
                <w:noProof w:val="0"/>
                <w:szCs w:val="22"/>
                <w:lang w:eastAsia="tr-TR"/>
              </w:rPr>
              <w:fldChar w:fldCharType="separate"/>
            </w:r>
            <w:r w:rsidR="00A966D3">
              <w:rPr>
                <w:rFonts w:ascii="Arial" w:hAnsi="Arial" w:cs="Arial"/>
                <w:iCs w:val="0"/>
                <w:szCs w:val="22"/>
                <w:lang w:eastAsia="tr-TR"/>
              </w:rPr>
              <w:t>10</w:t>
            </w:r>
            <w:r w:rsidR="00A966D3" w:rsidRPr="00297D55">
              <w:rPr>
                <w:rFonts w:ascii="Arial" w:hAnsi="Arial" w:cs="Arial"/>
                <w:iCs w:val="0"/>
                <w:noProof w:val="0"/>
                <w:szCs w:val="22"/>
                <w:lang w:eastAsia="tr-TR"/>
              </w:rPr>
              <w:fldChar w:fldCharType="end"/>
            </w:r>
          </w:sdtContent>
        </w:sdt>
      </w:p>
      <w:p w14:paraId="2441ACF9" w14:textId="77777777" w:rsidR="00A966D3" w:rsidRPr="003F23DA" w:rsidRDefault="00AB1DD9" w:rsidP="00967785">
        <w:pPr>
          <w:pStyle w:val="AltBilgi"/>
          <w:jc w:val="center"/>
        </w:pPr>
      </w:p>
    </w:sdtContent>
  </w:sdt>
  <w:p w14:paraId="06959883" w14:textId="77777777" w:rsidR="00A966D3" w:rsidRPr="00297D55" w:rsidRDefault="00A966D3" w:rsidP="00967785">
    <w:pPr>
      <w:pStyle w:val="AltBilgi"/>
      <w:rPr>
        <w:rFonts w:ascii="Arial" w:hAnsi="Arial" w:cs="Arial"/>
        <w:iCs w:val="0"/>
        <w:szCs w:val="22"/>
        <w:lang w:eastAsia="tr-TR"/>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8EC7" w14:textId="2355DB09" w:rsidR="00A966D3" w:rsidRDefault="00A966D3" w:rsidP="009A22B8">
    <w:pPr>
      <w:pStyle w:val="AltBilgi"/>
      <w:jc w:val="center"/>
    </w:pPr>
  </w:p>
  <w:sdt>
    <w:sdtPr>
      <w:id w:val="1196423094"/>
      <w:docPartObj>
        <w:docPartGallery w:val="Page Numbers (Bottom of Page)"/>
        <w:docPartUnique/>
      </w:docPartObj>
    </w:sdtPr>
    <w:sdtEndPr>
      <w:rPr>
        <w:rFonts w:ascii="Arial" w:hAnsi="Arial" w:cs="Arial"/>
      </w:rPr>
    </w:sdtEndPr>
    <w:sdtContent>
      <w:p w14:paraId="03BC3498" w14:textId="079B7538" w:rsidR="00A966D3" w:rsidRDefault="00AB1DD9">
        <w:pPr>
          <w:pStyle w:val="AltBilgi"/>
          <w:jc w:val="center"/>
        </w:pPr>
        <w:sdt>
          <w:sdtPr>
            <w:rPr>
              <w:rFonts w:ascii="Univers for KPMG Light" w:hAnsi="Univers for KPMG Light" w:cs="DINPro-Bold"/>
              <w:iCs w:val="0"/>
              <w:noProof w:val="0"/>
              <w:sz w:val="22"/>
              <w:szCs w:val="22"/>
              <w:lang w:eastAsia="tr-TR"/>
            </w:rPr>
            <w:id w:val="-1204324004"/>
            <w:docPartObj>
              <w:docPartGallery w:val="Page Numbers (Bottom of Page)"/>
              <w:docPartUnique/>
            </w:docPartObj>
          </w:sdtPr>
          <w:sdtEndPr>
            <w:rPr>
              <w:rFonts w:ascii="Arial" w:hAnsi="Arial" w:cs="Arial"/>
              <w:sz w:val="20"/>
            </w:rPr>
          </w:sdtEndPr>
          <w:sdtContent>
            <w:r w:rsidR="00A966D3" w:rsidRPr="00297D55">
              <w:rPr>
                <w:rFonts w:ascii="Arial" w:hAnsi="Arial" w:cs="Arial"/>
                <w:iCs w:val="0"/>
                <w:noProof w:val="0"/>
                <w:szCs w:val="22"/>
                <w:lang w:eastAsia="tr-TR"/>
              </w:rPr>
              <w:fldChar w:fldCharType="begin"/>
            </w:r>
            <w:r w:rsidR="00A966D3" w:rsidRPr="00297D55">
              <w:rPr>
                <w:rFonts w:ascii="Arial" w:hAnsi="Arial" w:cs="Arial"/>
                <w:iCs w:val="0"/>
                <w:noProof w:val="0"/>
                <w:szCs w:val="22"/>
                <w:lang w:eastAsia="tr-TR"/>
              </w:rPr>
              <w:instrText xml:space="preserve"> PAGE   \* MERGEFORMAT </w:instrText>
            </w:r>
            <w:r w:rsidR="00A966D3" w:rsidRPr="00297D55">
              <w:rPr>
                <w:rFonts w:ascii="Arial" w:hAnsi="Arial" w:cs="Arial"/>
                <w:iCs w:val="0"/>
                <w:noProof w:val="0"/>
                <w:szCs w:val="22"/>
                <w:lang w:eastAsia="tr-TR"/>
              </w:rPr>
              <w:fldChar w:fldCharType="separate"/>
            </w:r>
            <w:r w:rsidR="00A966D3">
              <w:rPr>
                <w:rFonts w:ascii="Arial" w:hAnsi="Arial" w:cs="Arial"/>
                <w:iCs w:val="0"/>
                <w:szCs w:val="22"/>
                <w:lang w:eastAsia="tr-TR"/>
              </w:rPr>
              <w:t>9</w:t>
            </w:r>
            <w:r w:rsidR="00A966D3" w:rsidRPr="00297D55">
              <w:rPr>
                <w:rFonts w:ascii="Arial" w:hAnsi="Arial" w:cs="Arial"/>
                <w:iCs w:val="0"/>
                <w:noProof w:val="0"/>
                <w:szCs w:val="22"/>
                <w:lang w:eastAsia="tr-TR"/>
              </w:rPr>
              <w:fldChar w:fldCharType="end"/>
            </w:r>
          </w:sdtContent>
        </w:sdt>
      </w:p>
      <w:p w14:paraId="663A6669" w14:textId="77777777" w:rsidR="00A966D3" w:rsidRPr="003F23DA" w:rsidRDefault="00AB1DD9">
        <w:pPr>
          <w:pStyle w:val="AltBilgi"/>
          <w:jc w:val="center"/>
        </w:pPr>
      </w:p>
    </w:sdtContent>
  </w:sdt>
  <w:p w14:paraId="6977B703" w14:textId="77777777" w:rsidR="00A966D3" w:rsidRPr="00297D55" w:rsidRDefault="00A966D3" w:rsidP="00297D55">
    <w:pPr>
      <w:pStyle w:val="AltBilgi"/>
      <w:rPr>
        <w:rFonts w:ascii="Arial" w:hAnsi="Arial" w:cs="Arial"/>
        <w:iCs w:val="0"/>
        <w:szCs w:val="22"/>
        <w:lang w:eastAsia="tr-TR"/>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346EB" w14:textId="7C4759E3" w:rsidR="00CA2BAE" w:rsidRPr="007678E5" w:rsidRDefault="00AB1DD9" w:rsidP="007678E5">
    <w:pPr>
      <w:pStyle w:val="AltBilgi"/>
      <w:jc w:val="center"/>
    </w:pPr>
    <w:sdt>
      <w:sdtPr>
        <w:id w:val="-261997051"/>
        <w:docPartObj>
          <w:docPartGallery w:val="Page Numbers (Bottom of Page)"/>
          <w:docPartUnique/>
        </w:docPartObj>
      </w:sdtPr>
      <w:sdtEndPr/>
      <w:sdtContent>
        <w:sdt>
          <w:sdtPr>
            <w:rPr>
              <w:iCs w:val="0"/>
              <w:noProof w:val="0"/>
              <w:sz w:val="22"/>
              <w:szCs w:val="22"/>
              <w:lang w:eastAsia="tr-TR"/>
            </w:rPr>
            <w:id w:val="-1909905664"/>
            <w:docPartObj>
              <w:docPartGallery w:val="Page Numbers (Bottom of Page)"/>
              <w:docPartUnique/>
            </w:docPartObj>
          </w:sdtPr>
          <w:sdtEndPr>
            <w:rPr>
              <w:sz w:val="20"/>
            </w:rPr>
          </w:sdtEndPr>
          <w:sdtContent>
            <w:r w:rsidR="007678E5" w:rsidRPr="007678E5">
              <w:rPr>
                <w:iCs w:val="0"/>
                <w:noProof w:val="0"/>
                <w:szCs w:val="22"/>
                <w:lang w:eastAsia="tr-TR"/>
              </w:rPr>
              <w:fldChar w:fldCharType="begin"/>
            </w:r>
            <w:r w:rsidR="007678E5" w:rsidRPr="007678E5">
              <w:rPr>
                <w:iCs w:val="0"/>
                <w:noProof w:val="0"/>
                <w:szCs w:val="22"/>
                <w:lang w:eastAsia="tr-TR"/>
              </w:rPr>
              <w:instrText xml:space="preserve"> PAGE   \* MERGEFORMAT </w:instrText>
            </w:r>
            <w:r w:rsidR="007678E5" w:rsidRPr="007678E5">
              <w:rPr>
                <w:iCs w:val="0"/>
                <w:noProof w:val="0"/>
                <w:szCs w:val="22"/>
                <w:lang w:eastAsia="tr-TR"/>
              </w:rPr>
              <w:fldChar w:fldCharType="separate"/>
            </w:r>
            <w:r w:rsidR="007678E5">
              <w:rPr>
                <w:iCs w:val="0"/>
                <w:noProof w:val="0"/>
                <w:szCs w:val="22"/>
                <w:lang w:eastAsia="tr-TR"/>
              </w:rPr>
              <w:t>12</w:t>
            </w:r>
            <w:r w:rsidR="007678E5" w:rsidRPr="007678E5">
              <w:rPr>
                <w:iCs w:val="0"/>
                <w:noProof w:val="0"/>
                <w:szCs w:val="22"/>
                <w:lang w:eastAsia="tr-TR"/>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8AD73" w14:textId="77777777" w:rsidR="006D15A7" w:rsidRDefault="006D15A7" w:rsidP="007B70C6">
    <w:pPr>
      <w:pStyle w:val="LegalLocalNameAddressFooter"/>
      <w:ind w:left="3969"/>
      <w:rPr>
        <w:color w:val="595959"/>
      </w:rPr>
    </w:pPr>
  </w:p>
  <w:p w14:paraId="7E62E180" w14:textId="77777777" w:rsidR="006D15A7" w:rsidRDefault="006D15A7" w:rsidP="007B70C6">
    <w:pPr>
      <w:pStyle w:val="LegalLocalNameAddressFooter"/>
      <w:ind w:left="3969"/>
      <w:rPr>
        <w:color w:val="404040"/>
      </w:rPr>
    </w:pPr>
    <w:r>
      <w:rPr>
        <w:color w:val="404040"/>
      </w:rPr>
      <w:t xml:space="preserve">PwC </w:t>
    </w:r>
    <w:proofErr w:type="spellStart"/>
    <w:r>
      <w:rPr>
        <w:color w:val="404040"/>
      </w:rPr>
      <w:t>Bağımsız</w:t>
    </w:r>
    <w:proofErr w:type="spellEnd"/>
    <w:r>
      <w:rPr>
        <w:color w:val="404040"/>
      </w:rPr>
      <w:t xml:space="preserve"> </w:t>
    </w:r>
    <w:proofErr w:type="spellStart"/>
    <w:r>
      <w:rPr>
        <w:color w:val="404040"/>
      </w:rPr>
      <w:t>Denetim</w:t>
    </w:r>
    <w:proofErr w:type="spellEnd"/>
    <w:r>
      <w:rPr>
        <w:color w:val="404040"/>
      </w:rPr>
      <w:t xml:space="preserve"> ve </w:t>
    </w:r>
    <w:proofErr w:type="spellStart"/>
    <w:r>
      <w:rPr>
        <w:color w:val="404040"/>
      </w:rPr>
      <w:t>Serbest</w:t>
    </w:r>
    <w:proofErr w:type="spellEnd"/>
    <w:r>
      <w:rPr>
        <w:color w:val="404040"/>
      </w:rPr>
      <w:t xml:space="preserve"> </w:t>
    </w:r>
    <w:proofErr w:type="spellStart"/>
    <w:r>
      <w:rPr>
        <w:color w:val="404040"/>
      </w:rPr>
      <w:t>Muhasebeci</w:t>
    </w:r>
    <w:proofErr w:type="spellEnd"/>
    <w:r>
      <w:rPr>
        <w:color w:val="404040"/>
      </w:rPr>
      <w:t xml:space="preserve"> Mali </w:t>
    </w:r>
    <w:proofErr w:type="spellStart"/>
    <w:r>
      <w:rPr>
        <w:color w:val="404040"/>
      </w:rPr>
      <w:t>Müşavirlik</w:t>
    </w:r>
    <w:proofErr w:type="spellEnd"/>
    <w:r>
      <w:rPr>
        <w:color w:val="404040"/>
      </w:rPr>
      <w:t xml:space="preserve"> A.Ş. </w:t>
    </w:r>
  </w:p>
  <w:p w14:paraId="3271EBB4" w14:textId="77777777" w:rsidR="006D15A7" w:rsidRDefault="006D15A7" w:rsidP="007B70C6">
    <w:pPr>
      <w:pStyle w:val="LegalLocalNameAddressFooter"/>
      <w:ind w:left="3969"/>
      <w:rPr>
        <w:color w:val="404040"/>
      </w:rPr>
    </w:pPr>
    <w:proofErr w:type="spellStart"/>
    <w:r>
      <w:rPr>
        <w:color w:val="404040"/>
      </w:rPr>
      <w:t>Kılıçali</w:t>
    </w:r>
    <w:proofErr w:type="spellEnd"/>
    <w:r>
      <w:rPr>
        <w:color w:val="404040"/>
      </w:rPr>
      <w:t xml:space="preserve"> </w:t>
    </w:r>
    <w:proofErr w:type="spellStart"/>
    <w:r>
      <w:rPr>
        <w:color w:val="404040"/>
      </w:rPr>
      <w:t>Paşa</w:t>
    </w:r>
    <w:proofErr w:type="spellEnd"/>
    <w:r>
      <w:rPr>
        <w:color w:val="404040"/>
      </w:rPr>
      <w:t xml:space="preserve"> </w:t>
    </w:r>
    <w:proofErr w:type="spellStart"/>
    <w:r>
      <w:rPr>
        <w:color w:val="404040"/>
      </w:rPr>
      <w:t>Mah</w:t>
    </w:r>
    <w:proofErr w:type="spellEnd"/>
    <w:r>
      <w:rPr>
        <w:color w:val="404040"/>
      </w:rPr>
      <w:t xml:space="preserve">. </w:t>
    </w:r>
    <w:proofErr w:type="spellStart"/>
    <w:r>
      <w:rPr>
        <w:color w:val="404040"/>
      </w:rPr>
      <w:t>Meclis-i</w:t>
    </w:r>
    <w:proofErr w:type="spellEnd"/>
    <w:r>
      <w:rPr>
        <w:color w:val="404040"/>
      </w:rPr>
      <w:t xml:space="preserve"> </w:t>
    </w:r>
    <w:proofErr w:type="spellStart"/>
    <w:r>
      <w:rPr>
        <w:color w:val="404040"/>
      </w:rPr>
      <w:t>Mebusan</w:t>
    </w:r>
    <w:proofErr w:type="spellEnd"/>
    <w:r>
      <w:rPr>
        <w:color w:val="404040"/>
      </w:rPr>
      <w:t xml:space="preserve"> Cad. No: 8 </w:t>
    </w:r>
  </w:p>
  <w:p w14:paraId="576C2A23" w14:textId="77777777" w:rsidR="006D15A7" w:rsidRDefault="006D15A7" w:rsidP="007B70C6">
    <w:pPr>
      <w:pStyle w:val="LegalLocalNameAddressFooter"/>
      <w:ind w:left="3969"/>
      <w:rPr>
        <w:color w:val="404040"/>
      </w:rPr>
    </w:pPr>
    <w:proofErr w:type="spellStart"/>
    <w:r>
      <w:rPr>
        <w:color w:val="404040"/>
      </w:rPr>
      <w:t>Galataport</w:t>
    </w:r>
    <w:proofErr w:type="spellEnd"/>
    <w:r>
      <w:rPr>
        <w:color w:val="404040"/>
      </w:rPr>
      <w:t xml:space="preserve"> İstanbul D Blok Beyoğlu/İstanbul</w:t>
    </w:r>
  </w:p>
  <w:p w14:paraId="6B996112" w14:textId="7022F47D" w:rsidR="006D15A7" w:rsidRDefault="006D15A7" w:rsidP="007B70C6">
    <w:pPr>
      <w:pStyle w:val="LegalLocalNameAddressFooter"/>
      <w:ind w:left="3969"/>
      <w:rPr>
        <w:color w:val="404040"/>
        <w:lang w:val="tr-TR"/>
      </w:rPr>
    </w:pPr>
    <w:r>
      <w:rPr>
        <w:noProof/>
      </w:rPr>
      <mc:AlternateContent>
        <mc:Choice Requires="wps">
          <w:drawing>
            <wp:anchor distT="45720" distB="45720" distL="114300" distR="114300" simplePos="0" relativeHeight="251659264" behindDoc="0" locked="1" layoutInCell="1" allowOverlap="1" wp14:anchorId="0C84FA45" wp14:editId="0181EB0D">
              <wp:simplePos x="0" y="0"/>
              <wp:positionH relativeFrom="margin">
                <wp:align>left</wp:align>
              </wp:positionH>
              <wp:positionV relativeFrom="page">
                <wp:posOffset>9192260</wp:posOffset>
              </wp:positionV>
              <wp:extent cx="1242060" cy="360045"/>
              <wp:effectExtent l="0" t="0" r="0" b="1905"/>
              <wp:wrapNone/>
              <wp:docPr id="799257816" name="Metin Kutusu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EditPoints="1" noChangeArrowheads="1" noChangeShapeType="1" noTextEdit="1"/>
                    </wps:cNvSpPr>
                    <wps:spPr bwMode="auto">
                      <a:xfrm>
                        <a:off x="0" y="0"/>
                        <a:ext cx="1242060" cy="360045"/>
                      </a:xfrm>
                      <a:prstGeom prst="rect">
                        <a:avLst/>
                      </a:prstGeom>
                      <a:solidFill>
                        <a:srgbClr val="FFFFFF"/>
                      </a:solidFill>
                      <a:ln>
                        <a:noFill/>
                      </a:ln>
                    </wps:spPr>
                    <wps:txbx>
                      <w:txbxContent>
                        <w:p w14:paraId="6481DC3E" w14:textId="77777777" w:rsidR="006D15A7" w:rsidRDefault="006D15A7" w:rsidP="007B70C6">
                          <w:pPr>
                            <w:pStyle w:val="URL"/>
                            <w:rPr>
                              <w:color w:val="595959"/>
                              <w:sz w:val="18"/>
                            </w:rPr>
                          </w:pPr>
                          <w:r>
                            <w:rPr>
                              <w:color w:val="595959"/>
                              <w:sz w:val="18"/>
                            </w:rPr>
                            <w:t>www.pwc.com.tr</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0C84FA45" id="_x0000_t202" coordsize="21600,21600" o:spt="202" path="m,l,21600r21600,l21600,xe">
              <v:stroke joinstyle="miter"/>
              <v:path gradientshapeok="t" o:connecttype="rect"/>
            </v:shapetype>
            <v:shape id="Metin Kutusu 1" o:spid="_x0000_s1029" type="#_x0000_t202" style="position:absolute;left:0;text-align:left;margin-left:0;margin-top:723.8pt;width:97.8pt;height:28.3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" stroked="f">
              <o:lock v:ext="edit" aspectratio="t" verticies="t" text="t" shapetype="t"/>
              <v:textbox inset="0,0,0,0">
                <w:txbxContent>
                  <w:p w14:paraId="6481DC3E" w14:textId="77777777" w:rsidR="006D15A7" w:rsidRDefault="006D15A7" w:rsidP="007B70C6">
                    <w:pPr>
                      <w:pStyle w:val="URL"/>
                      <w:rPr>
                        <w:color w:val="595959"/>
                        <w:sz w:val="18"/>
                      </w:rPr>
                    </w:pPr>
                    <w:r>
                      <w:rPr>
                        <w:color w:val="595959"/>
                        <w:sz w:val="18"/>
                      </w:rPr>
                      <w:t>www.pwc.com.tr</w:t>
                    </w:r>
                  </w:p>
                </w:txbxContent>
              </v:textbox>
              <w10:wrap anchorx="margin" anchory="page"/>
              <w10:anchorlock/>
            </v:shape>
          </w:pict>
        </mc:Fallback>
      </mc:AlternateContent>
    </w:r>
    <w:r>
      <w:rPr>
        <w:color w:val="404040"/>
      </w:rPr>
      <w:t xml:space="preserve">T: +90 (212) 326 6060 </w:t>
    </w:r>
    <w:proofErr w:type="spellStart"/>
    <w:r>
      <w:rPr>
        <w:color w:val="404040"/>
      </w:rPr>
      <w:t>Mersis</w:t>
    </w:r>
    <w:proofErr w:type="spellEnd"/>
    <w:r>
      <w:rPr>
        <w:color w:val="404040"/>
      </w:rPr>
      <w:t xml:space="preserve"> </w:t>
    </w:r>
    <w:proofErr w:type="spellStart"/>
    <w:r>
      <w:rPr>
        <w:color w:val="404040"/>
      </w:rPr>
      <w:t>Numaramız</w:t>
    </w:r>
    <w:proofErr w:type="spellEnd"/>
    <w:r>
      <w:rPr>
        <w:color w:val="404040"/>
      </w:rPr>
      <w:t>: 0-1460-0224-0500015</w: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6AF09" w14:textId="062F5072" w:rsidR="00A966D3" w:rsidRDefault="00A966D3" w:rsidP="009A22B8">
    <w:pPr>
      <w:pStyle w:val="AltBilgi"/>
      <w:jc w:val="center"/>
    </w:pPr>
  </w:p>
  <w:sdt>
    <w:sdtPr>
      <w:id w:val="1073469809"/>
      <w:docPartObj>
        <w:docPartGallery w:val="Page Numbers (Bottom of Page)"/>
        <w:docPartUnique/>
      </w:docPartObj>
    </w:sdtPr>
    <w:sdtEndPr>
      <w:rPr>
        <w:rFonts w:ascii="Arial" w:hAnsi="Arial" w:cs="Arial"/>
      </w:rPr>
    </w:sdtEndPr>
    <w:sdtContent>
      <w:p w14:paraId="5266A1EF" w14:textId="53305481" w:rsidR="00A966D3" w:rsidRDefault="00AB1DD9" w:rsidP="00967785">
        <w:pPr>
          <w:pStyle w:val="AltBilgi"/>
          <w:jc w:val="center"/>
        </w:pPr>
        <w:sdt>
          <w:sdtPr>
            <w:rPr>
              <w:rFonts w:ascii="Univers for KPMG Light" w:hAnsi="Univers for KPMG Light" w:cs="DINPro-Bold"/>
              <w:iCs w:val="0"/>
              <w:noProof w:val="0"/>
              <w:sz w:val="22"/>
              <w:szCs w:val="22"/>
              <w:lang w:eastAsia="tr-TR"/>
            </w:rPr>
            <w:id w:val="773049338"/>
            <w:docPartObj>
              <w:docPartGallery w:val="Page Numbers (Bottom of Page)"/>
              <w:docPartUnique/>
            </w:docPartObj>
          </w:sdtPr>
          <w:sdtEndPr>
            <w:rPr>
              <w:rFonts w:ascii="Arial" w:hAnsi="Arial" w:cs="Arial"/>
              <w:sz w:val="20"/>
            </w:rPr>
          </w:sdtEndPr>
          <w:sdtContent>
            <w:r w:rsidR="00A966D3" w:rsidRPr="009A1133">
              <w:rPr>
                <w:iCs w:val="0"/>
                <w:noProof w:val="0"/>
                <w:szCs w:val="22"/>
                <w:lang w:eastAsia="tr-TR"/>
              </w:rPr>
              <w:fldChar w:fldCharType="begin"/>
            </w:r>
            <w:r w:rsidR="00A966D3" w:rsidRPr="009A1133">
              <w:rPr>
                <w:iCs w:val="0"/>
                <w:noProof w:val="0"/>
                <w:szCs w:val="22"/>
                <w:lang w:eastAsia="tr-TR"/>
              </w:rPr>
              <w:instrText xml:space="preserve"> PAGE   \* MERGEFORMAT </w:instrText>
            </w:r>
            <w:r w:rsidR="00A966D3" w:rsidRPr="009A1133">
              <w:rPr>
                <w:iCs w:val="0"/>
                <w:noProof w:val="0"/>
                <w:szCs w:val="22"/>
                <w:lang w:eastAsia="tr-TR"/>
              </w:rPr>
              <w:fldChar w:fldCharType="separate"/>
            </w:r>
            <w:r w:rsidR="00A966D3" w:rsidRPr="009A1133">
              <w:rPr>
                <w:iCs w:val="0"/>
                <w:szCs w:val="22"/>
                <w:lang w:eastAsia="tr-TR"/>
              </w:rPr>
              <w:t>12</w:t>
            </w:r>
            <w:r w:rsidR="00A966D3" w:rsidRPr="009A1133">
              <w:rPr>
                <w:iCs w:val="0"/>
                <w:noProof w:val="0"/>
                <w:szCs w:val="22"/>
                <w:lang w:eastAsia="tr-TR"/>
              </w:rPr>
              <w:fldChar w:fldCharType="end"/>
            </w:r>
          </w:sdtContent>
        </w:sdt>
      </w:p>
      <w:p w14:paraId="465F2677" w14:textId="77777777" w:rsidR="00A966D3" w:rsidRPr="003F23DA" w:rsidRDefault="00AB1DD9" w:rsidP="00967785">
        <w:pPr>
          <w:pStyle w:val="AltBilgi"/>
          <w:jc w:val="center"/>
        </w:pPr>
      </w:p>
    </w:sdtContent>
  </w:sdt>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3709790"/>
      <w:docPartObj>
        <w:docPartGallery w:val="Page Numbers (Bottom of Page)"/>
        <w:docPartUnique/>
      </w:docPartObj>
    </w:sdtPr>
    <w:sdtEndPr>
      <w:rPr>
        <w:rFonts w:ascii="Arial" w:hAnsi="Arial" w:cs="Arial"/>
      </w:rPr>
    </w:sdtEndPr>
    <w:sdtContent>
      <w:p w14:paraId="452C6AE1" w14:textId="79032E6B" w:rsidR="00A966D3" w:rsidRPr="007678E5" w:rsidRDefault="00AB1DD9">
        <w:pPr>
          <w:pStyle w:val="AltBilgi"/>
          <w:jc w:val="center"/>
        </w:pPr>
        <w:sdt>
          <w:sdtPr>
            <w:rPr>
              <w:iCs w:val="0"/>
              <w:noProof w:val="0"/>
              <w:sz w:val="22"/>
              <w:szCs w:val="22"/>
              <w:lang w:eastAsia="tr-TR"/>
            </w:rPr>
            <w:id w:val="1073929854"/>
            <w:docPartObj>
              <w:docPartGallery w:val="Page Numbers (Bottom of Page)"/>
              <w:docPartUnique/>
            </w:docPartObj>
          </w:sdtPr>
          <w:sdtEndPr>
            <w:rPr>
              <w:sz w:val="20"/>
            </w:rPr>
          </w:sdtEndPr>
          <w:sdtContent>
            <w:r w:rsidR="00A966D3" w:rsidRPr="007678E5">
              <w:rPr>
                <w:iCs w:val="0"/>
                <w:noProof w:val="0"/>
                <w:szCs w:val="22"/>
                <w:lang w:eastAsia="tr-TR"/>
              </w:rPr>
              <w:fldChar w:fldCharType="begin"/>
            </w:r>
            <w:r w:rsidR="00A966D3" w:rsidRPr="007678E5">
              <w:rPr>
                <w:iCs w:val="0"/>
                <w:noProof w:val="0"/>
                <w:szCs w:val="22"/>
                <w:lang w:eastAsia="tr-TR"/>
              </w:rPr>
              <w:instrText xml:space="preserve"> PAGE   \* MERGEFORMAT </w:instrText>
            </w:r>
            <w:r w:rsidR="00A966D3" w:rsidRPr="007678E5">
              <w:rPr>
                <w:iCs w:val="0"/>
                <w:noProof w:val="0"/>
                <w:szCs w:val="22"/>
                <w:lang w:eastAsia="tr-TR"/>
              </w:rPr>
              <w:fldChar w:fldCharType="separate"/>
            </w:r>
            <w:r w:rsidR="00A966D3" w:rsidRPr="007678E5">
              <w:rPr>
                <w:iCs w:val="0"/>
                <w:szCs w:val="22"/>
                <w:lang w:eastAsia="tr-TR"/>
              </w:rPr>
              <w:t>11</w:t>
            </w:r>
            <w:r w:rsidR="00A966D3" w:rsidRPr="007678E5">
              <w:rPr>
                <w:iCs w:val="0"/>
                <w:noProof w:val="0"/>
                <w:szCs w:val="22"/>
                <w:lang w:eastAsia="tr-TR"/>
              </w:rPr>
              <w:fldChar w:fldCharType="end"/>
            </w:r>
          </w:sdtContent>
        </w:sdt>
      </w:p>
      <w:p w14:paraId="540D23FC" w14:textId="77777777" w:rsidR="00A966D3" w:rsidRPr="003F23DA" w:rsidRDefault="00AB1DD9" w:rsidP="00276D99">
        <w:pPr>
          <w:pStyle w:val="AltBilgi"/>
        </w:pPr>
      </w:p>
    </w:sdtContent>
  </w:sdt>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171169862"/>
      <w:docPartObj>
        <w:docPartGallery w:val="Page Numbers (Bottom of Page)"/>
        <w:docPartUnique/>
      </w:docPartObj>
    </w:sdtPr>
    <w:sdtEndPr>
      <w:rPr>
        <w:noProof/>
        <w:szCs w:val="16"/>
      </w:rPr>
    </w:sdtEndPr>
    <w:sdtContent>
      <w:p w14:paraId="0C6311C4" w14:textId="5BC78020" w:rsidR="00A966D3" w:rsidRPr="003D5CB7" w:rsidRDefault="003D5CB7" w:rsidP="003D5CB7">
        <w:pPr>
          <w:pStyle w:val="AltBilgi"/>
          <w:jc w:val="center"/>
          <w:rPr>
            <w:szCs w:val="16"/>
          </w:rPr>
        </w:pPr>
        <w:r w:rsidRPr="003D5CB7">
          <w:rPr>
            <w:noProof w:val="0"/>
            <w:szCs w:val="16"/>
          </w:rPr>
          <w:fldChar w:fldCharType="begin"/>
        </w:r>
        <w:r w:rsidRPr="003D5CB7">
          <w:rPr>
            <w:szCs w:val="16"/>
          </w:rPr>
          <w:instrText xml:space="preserve"> PAGE   \* MERGEFORMAT </w:instrText>
        </w:r>
        <w:r w:rsidRPr="003D5CB7">
          <w:rPr>
            <w:noProof w:val="0"/>
            <w:szCs w:val="16"/>
          </w:rPr>
          <w:fldChar w:fldCharType="separate"/>
        </w:r>
        <w:r w:rsidRPr="003D5CB7">
          <w:rPr>
            <w:szCs w:val="16"/>
          </w:rPr>
          <w:t>2</w:t>
        </w:r>
        <w:r w:rsidRPr="003D5CB7">
          <w:rPr>
            <w:szCs w:val="16"/>
          </w:rPr>
          <w:fldChar w:fldCharType="end"/>
        </w:r>
      </w:p>
    </w:sdtContent>
  </w:sdt>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81920615"/>
      <w:docPartObj>
        <w:docPartGallery w:val="Page Numbers (Bottom of Page)"/>
        <w:docPartUnique/>
      </w:docPartObj>
    </w:sdtPr>
    <w:sdtEndPr>
      <w:rPr>
        <w:rFonts w:ascii="Times New Roman" w:hAnsi="Times New Roman" w:cs="Times New Roman"/>
      </w:rPr>
    </w:sdtEndPr>
    <w:sdtContent>
      <w:p w14:paraId="1254EFCB" w14:textId="77777777" w:rsidR="00A966D3" w:rsidRPr="00EA756E" w:rsidRDefault="00A966D3" w:rsidP="00967785">
        <w:pPr>
          <w:pStyle w:val="AltBilgi"/>
          <w:jc w:val="center"/>
        </w:pPr>
        <w:r w:rsidRPr="00EA756E">
          <w:fldChar w:fldCharType="begin"/>
        </w:r>
        <w:r w:rsidRPr="00EA756E">
          <w:instrText xml:space="preserve"> PAGE   \* MERGEFORMAT </w:instrText>
        </w:r>
        <w:r w:rsidRPr="00EA756E">
          <w:fldChar w:fldCharType="separate"/>
        </w:r>
        <w:r w:rsidRPr="00EA756E">
          <w:t>54</w:t>
        </w:r>
        <w:r w:rsidRPr="00EA756E">
          <w:fldChar w:fldCharType="end"/>
        </w:r>
      </w:p>
    </w:sdtContent>
  </w:sdt>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93368351"/>
      <w:docPartObj>
        <w:docPartGallery w:val="Page Numbers (Bottom of Page)"/>
        <w:docPartUnique/>
      </w:docPartObj>
    </w:sdtPr>
    <w:sdtEndPr>
      <w:rPr>
        <w:rFonts w:ascii="Times New Roman" w:hAnsi="Times New Roman" w:cs="Times New Roman"/>
      </w:rPr>
    </w:sdtEndPr>
    <w:sdtContent>
      <w:p w14:paraId="43889A54" w14:textId="77777777" w:rsidR="00A966D3" w:rsidRPr="00EA756E" w:rsidRDefault="00A966D3" w:rsidP="00737582">
        <w:pPr>
          <w:pStyle w:val="AltBilgi"/>
          <w:jc w:val="center"/>
        </w:pPr>
        <w:r w:rsidRPr="00EA756E">
          <w:fldChar w:fldCharType="begin"/>
        </w:r>
        <w:r w:rsidRPr="00EA756E">
          <w:instrText xml:space="preserve"> PAGE   \* MERGEFORMAT </w:instrText>
        </w:r>
        <w:r w:rsidRPr="00EA756E">
          <w:fldChar w:fldCharType="separate"/>
        </w:r>
        <w:r w:rsidRPr="00EA756E">
          <w:t>55</w:t>
        </w:r>
        <w:r w:rsidRPr="00EA756E">
          <w:fldChar w:fldCharType="end"/>
        </w:r>
      </w:p>
    </w:sdtContent>
  </w:sdt>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146272591"/>
      <w:docPartObj>
        <w:docPartGallery w:val="Page Numbers (Bottom of Page)"/>
        <w:docPartUnique/>
      </w:docPartObj>
    </w:sdtPr>
    <w:sdtEndPr>
      <w:rPr>
        <w:rFonts w:ascii="Times New Roman" w:hAnsi="Times New Roman" w:cs="Times New Roman"/>
      </w:rPr>
    </w:sdtEndPr>
    <w:sdtContent>
      <w:p w14:paraId="680AB64B" w14:textId="77777777" w:rsidR="00F91828" w:rsidRPr="00EA756E" w:rsidRDefault="00F91828" w:rsidP="00967785">
        <w:pPr>
          <w:pStyle w:val="AltBilgi"/>
          <w:jc w:val="center"/>
        </w:pPr>
        <w:r w:rsidRPr="00EA756E">
          <w:fldChar w:fldCharType="begin"/>
        </w:r>
        <w:r w:rsidRPr="00EA756E">
          <w:instrText xml:space="preserve"> PAGE   \* MERGEFORMAT </w:instrText>
        </w:r>
        <w:r w:rsidRPr="00EA756E">
          <w:fldChar w:fldCharType="separate"/>
        </w:r>
        <w:r w:rsidRPr="00EA756E">
          <w:t>54</w:t>
        </w:r>
        <w:r w:rsidRPr="00EA756E">
          <w:fldChar w:fldCharType="end"/>
        </w:r>
      </w:p>
    </w:sdtContent>
  </w:sdt>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100250060"/>
      <w:docPartObj>
        <w:docPartGallery w:val="Page Numbers (Bottom of Page)"/>
        <w:docPartUnique/>
      </w:docPartObj>
    </w:sdtPr>
    <w:sdtEndPr>
      <w:rPr>
        <w:rFonts w:ascii="Times New Roman" w:hAnsi="Times New Roman" w:cs="Times New Roman"/>
      </w:rPr>
    </w:sdtEndPr>
    <w:sdtContent>
      <w:p w14:paraId="6B238617" w14:textId="77777777" w:rsidR="00F91828" w:rsidRPr="00EA756E" w:rsidRDefault="00F91828" w:rsidP="00737582">
        <w:pPr>
          <w:pStyle w:val="AltBilgi"/>
          <w:jc w:val="center"/>
        </w:pPr>
        <w:r w:rsidRPr="00EA756E">
          <w:fldChar w:fldCharType="begin"/>
        </w:r>
        <w:r w:rsidRPr="00EA756E">
          <w:instrText xml:space="preserve"> PAGE   \* MERGEFORMAT </w:instrText>
        </w:r>
        <w:r w:rsidRPr="00EA756E">
          <w:fldChar w:fldCharType="separate"/>
        </w:r>
        <w:r w:rsidRPr="00EA756E">
          <w:t>55</w:t>
        </w:r>
        <w:r w:rsidRPr="00EA756E">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6F7D6" w14:textId="77777777" w:rsidR="00122EC9" w:rsidRDefault="00122EC9">
    <w:pPr>
      <w:pStyle w:val="AltBilgi"/>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C7EC2" w14:textId="77777777" w:rsidR="00236E51" w:rsidRPr="00236E51" w:rsidRDefault="00236E51" w:rsidP="00236E51"/>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390725243"/>
      <w:docPartObj>
        <w:docPartGallery w:val="Page Numbers (Bottom of Page)"/>
        <w:docPartUnique/>
      </w:docPartObj>
    </w:sdtPr>
    <w:sdtEndPr>
      <w:rPr>
        <w:noProof/>
      </w:rPr>
    </w:sdtEndPr>
    <w:sdtContent>
      <w:p w14:paraId="447CE726" w14:textId="1FCD2B47" w:rsidR="000D643D" w:rsidRPr="002F6A72" w:rsidRDefault="002F6A72" w:rsidP="002F6A72">
        <w:pPr>
          <w:pStyle w:val="AltBilgi"/>
          <w:jc w:val="center"/>
        </w:pPr>
        <w:r w:rsidRPr="002F6A72">
          <w:rPr>
            <w:noProof w:val="0"/>
          </w:rPr>
          <w:fldChar w:fldCharType="begin"/>
        </w:r>
        <w:r w:rsidRPr="002F6A72">
          <w:instrText xml:space="preserve"> PAGE   \* MERGEFORMAT </w:instrText>
        </w:r>
        <w:r w:rsidRPr="002F6A72">
          <w:rPr>
            <w:noProof w:val="0"/>
          </w:rPr>
          <w:fldChar w:fldCharType="separate"/>
        </w:r>
        <w:r w:rsidRPr="002F6A72">
          <w:t>2</w:t>
        </w:r>
        <w:r w:rsidRPr="002F6A72">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14BC9" w14:textId="4343390E" w:rsidR="00A966D3" w:rsidRPr="002F6A72" w:rsidRDefault="002E35B0" w:rsidP="006A1146">
    <w:pPr>
      <w:pStyle w:val="AltBilgi"/>
      <w:jc w:val="center"/>
      <w:rPr>
        <w:iCs w:val="0"/>
        <w:noProof w:val="0"/>
        <w:szCs w:val="22"/>
        <w:lang w:eastAsia="tr-TR"/>
      </w:rPr>
    </w:pPr>
    <w:r w:rsidRPr="002F6A72">
      <w:rPr>
        <w:iCs w:val="0"/>
        <w:noProof w:val="0"/>
        <w:szCs w:val="22"/>
        <w:lang w:eastAsia="tr-TR"/>
      </w:rPr>
      <w:t>3</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329673132"/>
      <w:docPartObj>
        <w:docPartGallery w:val="Page Numbers (Bottom of Page)"/>
        <w:docPartUnique/>
      </w:docPartObj>
    </w:sdtPr>
    <w:sdtEndPr>
      <w:rPr>
        <w:noProof/>
      </w:rPr>
    </w:sdtEndPr>
    <w:sdtContent>
      <w:p w14:paraId="6B3BEA1B" w14:textId="0D421BDC" w:rsidR="00A966D3" w:rsidRPr="003D5CB7" w:rsidRDefault="003D5CB7" w:rsidP="003D5CB7">
        <w:pPr>
          <w:pStyle w:val="AltBilgi"/>
          <w:jc w:val="center"/>
        </w:pPr>
        <w:r w:rsidRPr="003D5CB7">
          <w:rPr>
            <w:noProof w:val="0"/>
          </w:rPr>
          <w:fldChar w:fldCharType="begin"/>
        </w:r>
        <w:r w:rsidRPr="003D5CB7">
          <w:instrText xml:space="preserve"> PAGE   \* MERGEFORMAT </w:instrText>
        </w:r>
        <w:r w:rsidRPr="003D5CB7">
          <w:rPr>
            <w:noProof w:val="0"/>
          </w:rPr>
          <w:fldChar w:fldCharType="separate"/>
        </w:r>
        <w:r w:rsidRPr="003D5CB7">
          <w:t>2</w:t>
        </w:r>
        <w:r w:rsidRPr="003D5CB7">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8E0F4" w14:textId="29D31EF5" w:rsidR="003D5CB7" w:rsidRPr="00236E51" w:rsidRDefault="003D5CB7" w:rsidP="00236E51"/>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845199411"/>
      <w:docPartObj>
        <w:docPartGallery w:val="Page Numbers (Bottom of Page)"/>
        <w:docPartUnique/>
      </w:docPartObj>
    </w:sdtPr>
    <w:sdtEndPr>
      <w:rPr>
        <w:rFonts w:ascii="Times New Roman" w:hAnsi="Times New Roman" w:cs="Times New Roman"/>
      </w:rPr>
    </w:sdtEndPr>
    <w:sdtContent>
      <w:sdt>
        <w:sdtPr>
          <w:rPr>
            <w:rFonts w:ascii="Univers for KPMG Light" w:hAnsi="Univers for KPMG Light" w:cs="DINPro-Bold"/>
            <w:iCs w:val="0"/>
            <w:noProof w:val="0"/>
            <w:sz w:val="22"/>
            <w:szCs w:val="22"/>
            <w:lang w:eastAsia="tr-TR"/>
          </w:rPr>
          <w:id w:val="815768910"/>
          <w:docPartObj>
            <w:docPartGallery w:val="Page Numbers (Bottom of Page)"/>
            <w:docPartUnique/>
          </w:docPartObj>
        </w:sdtPr>
        <w:sdtEndPr>
          <w:rPr>
            <w:rFonts w:ascii="Times New Roman" w:hAnsi="Times New Roman" w:cs="Times New Roman"/>
            <w:sz w:val="20"/>
          </w:rPr>
        </w:sdtEndPr>
        <w:sdtContent>
          <w:p w14:paraId="677A6DC4" w14:textId="651D27C5" w:rsidR="00A966D3" w:rsidRPr="00EA756E" w:rsidRDefault="00A966D3" w:rsidP="00967785">
            <w:pPr>
              <w:pStyle w:val="AltBilgi"/>
              <w:jc w:val="center"/>
              <w:rPr>
                <w:iCs w:val="0"/>
                <w:szCs w:val="22"/>
              </w:rPr>
            </w:pPr>
            <w:r w:rsidRPr="00EA756E">
              <w:rPr>
                <w:iCs w:val="0"/>
                <w:noProof w:val="0"/>
                <w:szCs w:val="22"/>
                <w:lang w:eastAsia="tr-TR"/>
              </w:rPr>
              <w:fldChar w:fldCharType="begin"/>
            </w:r>
            <w:r w:rsidRPr="00EA756E">
              <w:rPr>
                <w:iCs w:val="0"/>
                <w:noProof w:val="0"/>
                <w:szCs w:val="22"/>
                <w:lang w:eastAsia="tr-TR"/>
              </w:rPr>
              <w:instrText xml:space="preserve"> PAGE   \* MERGEFORMAT </w:instrText>
            </w:r>
            <w:r w:rsidRPr="00EA756E">
              <w:rPr>
                <w:iCs w:val="0"/>
                <w:noProof w:val="0"/>
                <w:szCs w:val="22"/>
                <w:lang w:eastAsia="tr-TR"/>
              </w:rPr>
              <w:fldChar w:fldCharType="separate"/>
            </w:r>
            <w:r w:rsidRPr="00EA756E">
              <w:rPr>
                <w:iCs w:val="0"/>
                <w:szCs w:val="22"/>
                <w:lang w:eastAsia="tr-TR"/>
              </w:rPr>
              <w:t>6</w:t>
            </w:r>
            <w:r w:rsidRPr="00EA756E">
              <w:rPr>
                <w:iCs w:val="0"/>
                <w:noProof w:val="0"/>
                <w:szCs w:val="22"/>
                <w:lang w:eastAsia="tr-TR"/>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AC5CE" w14:textId="77777777" w:rsidR="00286247" w:rsidRPr="00995289" w:rsidRDefault="00286247" w:rsidP="00995289">
      <w:pPr>
        <w:pStyle w:val="AltBilgi"/>
      </w:pPr>
    </w:p>
  </w:footnote>
  <w:footnote w:type="continuationSeparator" w:id="0">
    <w:p w14:paraId="4BF00986" w14:textId="77777777" w:rsidR="00286247" w:rsidRDefault="00286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2BB40" w14:textId="258469F0" w:rsidR="00A966D3" w:rsidRDefault="006D15A7">
    <w:pPr>
      <w:pStyle w:val="stBilgi"/>
    </w:pPr>
    <w:r>
      <w:drawing>
        <wp:anchor distT="0" distB="0" distL="114300" distR="114300" simplePos="0" relativeHeight="251660288" behindDoc="0" locked="1" layoutInCell="1" allowOverlap="1" wp14:anchorId="458A804A" wp14:editId="054AE6C9">
          <wp:simplePos x="0" y="0"/>
          <wp:positionH relativeFrom="page">
            <wp:posOffset>496570</wp:posOffset>
          </wp:positionH>
          <wp:positionV relativeFrom="page">
            <wp:posOffset>561975</wp:posOffset>
          </wp:positionV>
          <wp:extent cx="1504950" cy="968375"/>
          <wp:effectExtent l="0" t="0" r="0" b="0"/>
          <wp:wrapNone/>
          <wp:docPr id="101647296" name="Resim 2" descr="ekran görüntüsü, tasarı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1" descr="ekran görüntüsü, tasarım içeren bir resim&#10;&#10;Yapay zeka tarafından oluşturulmuş içerik yanlış olabili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68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A4428">
      <mc:AlternateContent>
        <mc:Choice Requires="wps">
          <w:drawing>
            <wp:anchor distT="0" distB="0" distL="114300" distR="114300" simplePos="0" relativeHeight="251656192" behindDoc="0" locked="0" layoutInCell="1" allowOverlap="1" wp14:anchorId="41148AC9" wp14:editId="72386FB6">
              <wp:simplePos x="0" y="0"/>
              <wp:positionH relativeFrom="page">
                <wp:align>right</wp:align>
              </wp:positionH>
              <wp:positionV relativeFrom="page">
                <wp:align>top</wp:align>
              </wp:positionV>
              <wp:extent cx="1209040" cy="383540"/>
              <wp:effectExtent l="0" t="0" r="0" b="0"/>
              <wp:wrapNone/>
              <wp:docPr id="5" name="geodi_dlp_header_ep"/>
              <wp:cNvGraphicFramePr/>
              <a:graphic xmlns:a="http://schemas.openxmlformats.org/drawingml/2006/main">
                <a:graphicData uri="http://schemas.microsoft.com/office/word/2010/wordprocessingShape">
                  <wps:wsp>
                    <wps:cNvSpPr txBox="1"/>
                    <wps:spPr>
                      <a:xfrm>
                        <a:off x="0" y="0"/>
                        <a:ext cx="1209040" cy="38354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432B7E" w14:textId="7BB38426" w:rsidR="003A4428" w:rsidRPr="003A4428" w:rsidRDefault="003A4428" w:rsidP="003A4428">
                          <w:pPr>
                            <w:spacing w:before="240"/>
                            <w:ind w:right="240"/>
                            <w:jc w:val="right"/>
                            <w:rPr>
                              <w:rFonts w:ascii="Arial" w:hAnsi="Arial" w:cs="Arial"/>
                              <w:color w:val="CCFFCC"/>
                              <w14:textFill>
                                <w14:solidFill>
                                  <w14:srgbClr w14:val="CCFFCC">
                                    <w14:alpha w14:val="20000"/>
                                  </w14:srgbClr>
                                </w14:solidFill>
                              </w14:textFill>
                            </w:rPr>
                          </w:pPr>
                          <w:r w:rsidRPr="003A4428">
                            <w:rPr>
                              <w:rFonts w:ascii="Arial" w:hAnsi="Arial" w:cs="Arial"/>
                              <w:color w:val="CCFFCC"/>
                              <w14:textFill>
                                <w14:solidFill>
                                  <w14:srgbClr w14:val="CCFFCC">
                                    <w14:alpha w14:val="20000"/>
                                  </w14:srgbClr>
                                </w14:solidFill>
                              </w14:textFill>
                            </w:rPr>
                            <w:t>Genele Açık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41148AC9" id="_x0000_t202" coordsize="21600,21600" o:spt="202" path="m,l,21600r21600,l21600,xe">
              <v:stroke joinstyle="miter"/>
              <v:path gradientshapeok="t" o:connecttype="rect"/>
            </v:shapetype>
            <v:shape id="geodi_dlp_header_ep" o:spid="_x0000_s1026" type="#_x0000_t202" style="position:absolute;margin-left:44pt;margin-top:0;width:95.2pt;height:30.2pt;z-index:251656192;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" filled="f" stroked="f" strokeweight=".5pt">
              <v:textbox>
                <w:txbxContent>
                  <w:p w14:paraId="2E432B7E" w14:textId="7BB38426" w:rsidR="003A4428" w:rsidRPr="003A4428" w:rsidRDefault="003A4428" w:rsidP="003A4428">
                    <w:pPr>
                      <w:spacing w:before="240"/>
                      <w:ind w:right="240"/>
                      <w:jc w:val="right"/>
                      <w:rPr>
                        <w:rFonts w:ascii="Arial" w:hAnsi="Arial" w:cs="Arial"/>
                        <w:color w:val="CCFFCC"/>
                        <w14:textFill>
                          <w14:solidFill>
                            <w14:srgbClr w14:val="CCFFCC">
                              <w14:alpha w14:val="20000"/>
                            </w14:srgbClr>
                          </w14:solidFill>
                        </w14:textFill>
                      </w:rPr>
                    </w:pPr>
                    <w:r w:rsidRPr="003A4428">
                      <w:rPr>
                        <w:rFonts w:ascii="Arial" w:hAnsi="Arial" w:cs="Arial"/>
                        <w:color w:val="CCFFCC"/>
                        <w14:textFill>
                          <w14:solidFill>
                            <w14:srgbClr w14:val="CCFFCC">
                              <w14:alpha w14:val="20000"/>
                            </w14:srgbClr>
                          </w14:solidFill>
                        </w14:textFill>
                      </w:rPr>
                      <w:t>Genele Açık</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932FC" w14:textId="77777777" w:rsidR="00057F69" w:rsidRPr="00672906" w:rsidRDefault="00057F69" w:rsidP="00057F69">
    <w:pPr>
      <w:ind w:right="-1"/>
      <w:jc w:val="both"/>
      <w:rPr>
        <w:b/>
        <w:bCs/>
        <w:sz w:val="24"/>
        <w:szCs w:val="32"/>
      </w:rPr>
    </w:pPr>
    <w:r w:rsidRPr="00672906">
      <w:rPr>
        <w:b/>
        <w:bCs/>
        <w:sz w:val="24"/>
        <w:szCs w:val="32"/>
      </w:rPr>
      <w:t>DÜNYA KATILIM BANKASI A.Ş.</w:t>
    </w:r>
  </w:p>
  <w:p w14:paraId="3EA5CD72" w14:textId="77777777" w:rsidR="00057F69" w:rsidRPr="00672906" w:rsidRDefault="00057F69" w:rsidP="00057F69">
    <w:pPr>
      <w:ind w:right="-1"/>
      <w:jc w:val="both"/>
      <w:rPr>
        <w:b/>
        <w:bCs/>
        <w:sz w:val="24"/>
        <w:szCs w:val="32"/>
      </w:rPr>
    </w:pPr>
  </w:p>
  <w:p w14:paraId="79C76C25" w14:textId="21F8967D" w:rsidR="00057F69" w:rsidRPr="00672906" w:rsidRDefault="008276BE" w:rsidP="00057F69">
    <w:pPr>
      <w:autoSpaceDE w:val="0"/>
      <w:autoSpaceDN w:val="0"/>
      <w:adjustRightInd w:val="0"/>
      <w:rPr>
        <w:b/>
        <w:sz w:val="24"/>
        <w:szCs w:val="32"/>
      </w:rPr>
    </w:pPr>
    <w:r>
      <w:rPr>
        <w:b/>
        <w:sz w:val="24"/>
        <w:szCs w:val="32"/>
      </w:rPr>
      <w:t>31</w:t>
    </w:r>
    <w:r w:rsidRPr="00A832B6">
      <w:rPr>
        <w:b/>
        <w:sz w:val="24"/>
        <w:szCs w:val="32"/>
      </w:rPr>
      <w:t xml:space="preserve"> </w:t>
    </w:r>
    <w:r>
      <w:rPr>
        <w:b/>
        <w:sz w:val="24"/>
        <w:szCs w:val="32"/>
      </w:rPr>
      <w:t>ARALIK</w:t>
    </w:r>
    <w:r w:rsidRPr="00A832B6">
      <w:rPr>
        <w:b/>
        <w:sz w:val="24"/>
        <w:szCs w:val="32"/>
      </w:rPr>
      <w:t xml:space="preserve"> 2025 </w:t>
    </w:r>
    <w:r w:rsidR="00057F69" w:rsidRPr="00672906">
      <w:rPr>
        <w:b/>
        <w:sz w:val="24"/>
        <w:szCs w:val="32"/>
      </w:rPr>
      <w:t xml:space="preserve">TARİHİNDE SONA EREN HESAP DÖNEMİNE AİT </w:t>
    </w:r>
  </w:p>
  <w:p w14:paraId="728CD08F" w14:textId="77777777" w:rsidR="00057F69" w:rsidRPr="00672906" w:rsidRDefault="00057F69" w:rsidP="00057F69">
    <w:pPr>
      <w:autoSpaceDE w:val="0"/>
      <w:autoSpaceDN w:val="0"/>
      <w:adjustRightInd w:val="0"/>
      <w:rPr>
        <w:b/>
        <w:sz w:val="24"/>
        <w:szCs w:val="32"/>
      </w:rPr>
    </w:pPr>
    <w:r w:rsidRPr="00672906">
      <w:rPr>
        <w:b/>
        <w:sz w:val="24"/>
        <w:szCs w:val="32"/>
      </w:rPr>
      <w:t>KONSOLİDE OLMAYAN FİNANSAL TABLOLARA İLİŞKİN AÇIKLAMA VE DİPNOTLAR</w:t>
    </w:r>
  </w:p>
  <w:p w14:paraId="1F29E760" w14:textId="77777777" w:rsidR="00057F69" w:rsidRPr="003C6E16" w:rsidRDefault="00057F69" w:rsidP="00057F69">
    <w:pPr>
      <w:pBdr>
        <w:bottom w:val="single" w:sz="4" w:space="1" w:color="auto"/>
      </w:pBdr>
      <w:autoSpaceDE w:val="0"/>
      <w:autoSpaceDN w:val="0"/>
      <w:adjustRightInd w:val="0"/>
      <w:rPr>
        <w:iCs/>
        <w:sz w:val="18"/>
        <w:szCs w:val="18"/>
      </w:rPr>
    </w:pPr>
    <w:r w:rsidRPr="003C6E16">
      <w:rPr>
        <w:iCs/>
        <w:sz w:val="18"/>
        <w:szCs w:val="18"/>
      </w:rPr>
      <w:t>(Tutarlar aksi belirtilmedikçe Bin Türk Lirası (TL) olarak ifade edilmiştir.)</w:t>
    </w:r>
  </w:p>
  <w:p w14:paraId="68324094" w14:textId="77777777" w:rsidR="00324789" w:rsidRPr="003C6E16" w:rsidRDefault="00324789" w:rsidP="009F6E11">
    <w:pPr>
      <w:autoSpaceDE w:val="0"/>
      <w:autoSpaceDN w:val="0"/>
      <w:adjustRightInd w:val="0"/>
      <w:rPr>
        <w:i/>
        <w:sz w:val="22"/>
        <w:szCs w:val="2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0631A" w14:textId="77777777" w:rsidR="007445D4" w:rsidRPr="00A832B6" w:rsidRDefault="007445D4" w:rsidP="003A1A84">
    <w:pPr>
      <w:jc w:val="both"/>
      <w:rPr>
        <w:b/>
        <w:bCs/>
        <w:sz w:val="24"/>
        <w:szCs w:val="32"/>
      </w:rPr>
    </w:pPr>
    <w:r w:rsidRPr="00A832B6">
      <w:rPr>
        <w:b/>
        <w:bCs/>
        <w:sz w:val="24"/>
        <w:szCs w:val="32"/>
      </w:rPr>
      <w:t>DÜNYA KATILIM BANKASI A.Ş.</w:t>
    </w:r>
  </w:p>
  <w:p w14:paraId="55B6CC9D" w14:textId="77777777" w:rsidR="007445D4" w:rsidRPr="00A832B6" w:rsidRDefault="007445D4" w:rsidP="003A1A84">
    <w:pPr>
      <w:jc w:val="both"/>
      <w:rPr>
        <w:b/>
        <w:bCs/>
        <w:sz w:val="24"/>
        <w:szCs w:val="32"/>
      </w:rPr>
    </w:pPr>
  </w:p>
  <w:p w14:paraId="60D479BA" w14:textId="45CA8F81" w:rsidR="007445D4" w:rsidRPr="00A832B6" w:rsidRDefault="008276BE" w:rsidP="003A1A84">
    <w:pPr>
      <w:autoSpaceDE w:val="0"/>
      <w:autoSpaceDN w:val="0"/>
      <w:adjustRightInd w:val="0"/>
      <w:rPr>
        <w:b/>
        <w:sz w:val="24"/>
        <w:szCs w:val="32"/>
      </w:rPr>
    </w:pPr>
    <w:bookmarkStart w:id="12" w:name="_Hlk184047127"/>
    <w:bookmarkStart w:id="13" w:name="_Hlk203732949"/>
    <w:r>
      <w:rPr>
        <w:b/>
        <w:sz w:val="24"/>
        <w:szCs w:val="32"/>
      </w:rPr>
      <w:t>31</w:t>
    </w:r>
    <w:r w:rsidR="00D71C83" w:rsidRPr="00A832B6">
      <w:rPr>
        <w:b/>
        <w:sz w:val="24"/>
        <w:szCs w:val="32"/>
      </w:rPr>
      <w:t xml:space="preserve"> </w:t>
    </w:r>
    <w:bookmarkEnd w:id="12"/>
    <w:r>
      <w:rPr>
        <w:b/>
        <w:sz w:val="24"/>
        <w:szCs w:val="32"/>
      </w:rPr>
      <w:t>ARALIK</w:t>
    </w:r>
    <w:r w:rsidR="007445D4" w:rsidRPr="00A832B6">
      <w:rPr>
        <w:b/>
        <w:sz w:val="24"/>
        <w:szCs w:val="32"/>
      </w:rPr>
      <w:t xml:space="preserve"> 202</w:t>
    </w:r>
    <w:r w:rsidR="00C4178A" w:rsidRPr="00A832B6">
      <w:rPr>
        <w:b/>
        <w:sz w:val="24"/>
        <w:szCs w:val="32"/>
      </w:rPr>
      <w:t>5</w:t>
    </w:r>
    <w:bookmarkEnd w:id="13"/>
    <w:r w:rsidR="007445D4" w:rsidRPr="00A832B6">
      <w:rPr>
        <w:b/>
        <w:sz w:val="24"/>
        <w:szCs w:val="32"/>
      </w:rPr>
      <w:t xml:space="preserve"> TARİHİNDE SONA EREN HESAP DÖNEMİNE AİT </w:t>
    </w:r>
  </w:p>
  <w:p w14:paraId="524EB47A" w14:textId="253F9121" w:rsidR="007445D4" w:rsidRPr="00A832B6" w:rsidRDefault="007445D4" w:rsidP="003A1A84">
    <w:pPr>
      <w:autoSpaceDE w:val="0"/>
      <w:autoSpaceDN w:val="0"/>
      <w:adjustRightInd w:val="0"/>
      <w:rPr>
        <w:b/>
        <w:sz w:val="24"/>
        <w:szCs w:val="32"/>
      </w:rPr>
    </w:pPr>
    <w:r w:rsidRPr="00A832B6">
      <w:rPr>
        <w:b/>
        <w:sz w:val="24"/>
        <w:szCs w:val="32"/>
      </w:rPr>
      <w:t>KONSOLİDE OLMAYAN FİNANSAL TABLOLARA İLİŞKİN AÇIKLAMA VE</w:t>
    </w:r>
    <w:r w:rsidR="00D767FD" w:rsidRPr="00A832B6">
      <w:rPr>
        <w:b/>
        <w:sz w:val="24"/>
        <w:szCs w:val="32"/>
      </w:rPr>
      <w:t xml:space="preserve"> </w:t>
    </w:r>
    <w:r w:rsidRPr="00A832B6">
      <w:rPr>
        <w:b/>
        <w:sz w:val="24"/>
        <w:szCs w:val="32"/>
      </w:rPr>
      <w:t>DİPNOTLAR</w:t>
    </w:r>
  </w:p>
  <w:p w14:paraId="306E9958" w14:textId="77777777" w:rsidR="007445D4" w:rsidRPr="00A832B6" w:rsidRDefault="007445D4" w:rsidP="003A1A84">
    <w:pPr>
      <w:pBdr>
        <w:bottom w:val="single" w:sz="4" w:space="1" w:color="auto"/>
      </w:pBdr>
      <w:autoSpaceDE w:val="0"/>
      <w:autoSpaceDN w:val="0"/>
      <w:adjustRightInd w:val="0"/>
      <w:rPr>
        <w:iCs/>
        <w:sz w:val="18"/>
        <w:szCs w:val="18"/>
      </w:rPr>
    </w:pPr>
    <w:r w:rsidRPr="00A832B6">
      <w:rPr>
        <w:iCs/>
        <w:sz w:val="18"/>
        <w:szCs w:val="18"/>
      </w:rPr>
      <w:t>(Tutarlar aksi belirtilmedikçe Bin Türk Lirası (TL) olarak ifade edilmiştir.)</w:t>
    </w:r>
  </w:p>
  <w:p w14:paraId="1DCFF7FD" w14:textId="38AC1B15" w:rsidR="001B6D11" w:rsidRPr="00A832B6" w:rsidRDefault="001B6D11" w:rsidP="007445D4">
    <w:pPr>
      <w:pStyle w:val="stBilgi"/>
      <w:rPr>
        <w:sz w:val="18"/>
        <w:szCs w:val="18"/>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0476D" w14:textId="77777777" w:rsidR="00FB1FF5" w:rsidRPr="00236E51" w:rsidRDefault="00FB1FF5" w:rsidP="00236E51">
    <w:pPr>
      <w:pStyle w:val="stBilgi"/>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BE1B6" w14:textId="5C8B62BE" w:rsidR="00A966D3" w:rsidRPr="00672906" w:rsidRDefault="00841CB2" w:rsidP="00324789">
    <w:pPr>
      <w:ind w:right="-1"/>
      <w:jc w:val="both"/>
      <w:rPr>
        <w:b/>
        <w:bCs/>
        <w:sz w:val="24"/>
        <w:szCs w:val="32"/>
      </w:rPr>
    </w:pPr>
    <w:r w:rsidRPr="00672906">
      <w:rPr>
        <w:b/>
        <w:bCs/>
        <w:sz w:val="24"/>
        <w:szCs w:val="32"/>
      </w:rPr>
      <w:t>DÜNYA</w:t>
    </w:r>
    <w:r w:rsidR="00A966D3" w:rsidRPr="00672906">
      <w:rPr>
        <w:b/>
        <w:bCs/>
        <w:sz w:val="24"/>
        <w:szCs w:val="32"/>
      </w:rPr>
      <w:t xml:space="preserve"> KATILIM BANKASI A.Ş.</w:t>
    </w:r>
  </w:p>
  <w:p w14:paraId="7871024E" w14:textId="77777777" w:rsidR="00324789" w:rsidRPr="00672906" w:rsidRDefault="00324789" w:rsidP="009F6E11">
    <w:pPr>
      <w:ind w:right="-1"/>
      <w:jc w:val="both"/>
      <w:rPr>
        <w:b/>
        <w:bCs/>
        <w:sz w:val="24"/>
        <w:szCs w:val="32"/>
      </w:rPr>
    </w:pPr>
  </w:p>
  <w:p w14:paraId="549EB7A4" w14:textId="73B8CAC1" w:rsidR="00A966D3" w:rsidRPr="00672906" w:rsidRDefault="008276BE" w:rsidP="009F6E11">
    <w:pPr>
      <w:ind w:right="-1"/>
      <w:jc w:val="both"/>
      <w:rPr>
        <w:b/>
        <w:bCs/>
        <w:sz w:val="24"/>
        <w:szCs w:val="32"/>
      </w:rPr>
    </w:pPr>
    <w:r>
      <w:rPr>
        <w:b/>
        <w:sz w:val="24"/>
        <w:szCs w:val="32"/>
      </w:rPr>
      <w:t>31</w:t>
    </w:r>
    <w:r w:rsidRPr="00A832B6">
      <w:rPr>
        <w:b/>
        <w:sz w:val="24"/>
        <w:szCs w:val="32"/>
      </w:rPr>
      <w:t xml:space="preserve"> </w:t>
    </w:r>
    <w:r>
      <w:rPr>
        <w:b/>
        <w:sz w:val="24"/>
        <w:szCs w:val="32"/>
      </w:rPr>
      <w:t>ARALIK</w:t>
    </w:r>
    <w:r w:rsidRPr="00A832B6">
      <w:rPr>
        <w:b/>
        <w:sz w:val="24"/>
        <w:szCs w:val="32"/>
      </w:rPr>
      <w:t xml:space="preserve"> 2025 </w:t>
    </w:r>
    <w:r w:rsidR="00A966D3" w:rsidRPr="00672906">
      <w:rPr>
        <w:b/>
        <w:bCs/>
        <w:sz w:val="24"/>
        <w:szCs w:val="32"/>
      </w:rPr>
      <w:t xml:space="preserve">TARİHİ İTİBARIYLA </w:t>
    </w:r>
  </w:p>
  <w:p w14:paraId="67F7F514" w14:textId="77777777" w:rsidR="00A966D3" w:rsidRPr="00672906" w:rsidRDefault="00A966D3" w:rsidP="009F6E11">
    <w:pPr>
      <w:ind w:right="-1"/>
      <w:jc w:val="both"/>
      <w:rPr>
        <w:b/>
        <w:bCs/>
        <w:sz w:val="24"/>
        <w:szCs w:val="32"/>
      </w:rPr>
    </w:pPr>
    <w:r w:rsidRPr="00672906">
      <w:rPr>
        <w:b/>
        <w:bCs/>
        <w:sz w:val="24"/>
        <w:szCs w:val="32"/>
      </w:rPr>
      <w:t>KONSOLİDE OLMAYAN BİLANÇO (FİNANSAL DURUM TABLOSU)</w:t>
    </w:r>
  </w:p>
  <w:p w14:paraId="4961EF68" w14:textId="4E7646AC" w:rsidR="00A966D3" w:rsidRPr="00C9698D" w:rsidRDefault="00A966D3" w:rsidP="00C9698D">
    <w:pPr>
      <w:pBdr>
        <w:bottom w:val="single" w:sz="4" w:space="1" w:color="auto"/>
      </w:pBdr>
      <w:autoSpaceDE w:val="0"/>
      <w:autoSpaceDN w:val="0"/>
      <w:adjustRightInd w:val="0"/>
      <w:rPr>
        <w:iCs/>
        <w:sz w:val="18"/>
        <w:szCs w:val="18"/>
      </w:rPr>
    </w:pPr>
    <w:r w:rsidRPr="009F6E11">
      <w:rPr>
        <w:iCs/>
        <w:sz w:val="18"/>
        <w:szCs w:val="18"/>
      </w:rPr>
      <w:t>(Tutarlar aksi belirtilmedikçe Bin Türk Lirası (TL) olarak ifade edilmiştir.)</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6E4A6" w14:textId="77777777" w:rsidR="00234709" w:rsidRPr="00672906" w:rsidRDefault="00234709" w:rsidP="00234709">
    <w:pPr>
      <w:ind w:right="-1"/>
      <w:jc w:val="both"/>
      <w:rPr>
        <w:b/>
        <w:bCs/>
        <w:sz w:val="24"/>
        <w:szCs w:val="32"/>
      </w:rPr>
    </w:pPr>
    <w:r w:rsidRPr="00672906">
      <w:rPr>
        <w:b/>
        <w:bCs/>
        <w:sz w:val="24"/>
        <w:szCs w:val="32"/>
      </w:rPr>
      <w:t>DÜNYA KATILIM BANKASI A.Ş.</w:t>
    </w:r>
  </w:p>
  <w:p w14:paraId="027E945E" w14:textId="77777777" w:rsidR="00234709" w:rsidRPr="00672906" w:rsidRDefault="00234709" w:rsidP="00234709">
    <w:pPr>
      <w:ind w:right="-1"/>
      <w:jc w:val="both"/>
      <w:rPr>
        <w:b/>
        <w:bCs/>
        <w:sz w:val="24"/>
        <w:szCs w:val="32"/>
      </w:rPr>
    </w:pPr>
  </w:p>
  <w:p w14:paraId="4D0E8887" w14:textId="624532F7" w:rsidR="00234709" w:rsidRPr="00672906" w:rsidRDefault="008276BE" w:rsidP="00234709">
    <w:pPr>
      <w:ind w:right="-1"/>
      <w:jc w:val="both"/>
      <w:rPr>
        <w:b/>
        <w:bCs/>
        <w:sz w:val="24"/>
        <w:szCs w:val="32"/>
      </w:rPr>
    </w:pPr>
    <w:r>
      <w:rPr>
        <w:b/>
        <w:sz w:val="24"/>
        <w:szCs w:val="32"/>
      </w:rPr>
      <w:t>31</w:t>
    </w:r>
    <w:r w:rsidRPr="00A832B6">
      <w:rPr>
        <w:b/>
        <w:sz w:val="24"/>
        <w:szCs w:val="32"/>
      </w:rPr>
      <w:t xml:space="preserve"> </w:t>
    </w:r>
    <w:r>
      <w:rPr>
        <w:b/>
        <w:sz w:val="24"/>
        <w:szCs w:val="32"/>
      </w:rPr>
      <w:t>ARALIK</w:t>
    </w:r>
    <w:r w:rsidRPr="00A832B6">
      <w:rPr>
        <w:b/>
        <w:sz w:val="24"/>
        <w:szCs w:val="32"/>
      </w:rPr>
      <w:t xml:space="preserve"> 2025 </w:t>
    </w:r>
    <w:r w:rsidR="00234709" w:rsidRPr="00672906">
      <w:rPr>
        <w:b/>
        <w:bCs/>
        <w:sz w:val="24"/>
        <w:szCs w:val="32"/>
      </w:rPr>
      <w:t xml:space="preserve">TARİHİ İTİBARIYLA </w:t>
    </w:r>
  </w:p>
  <w:p w14:paraId="41988D98" w14:textId="77777777" w:rsidR="00234709" w:rsidRPr="00672906" w:rsidRDefault="00234709" w:rsidP="00234709">
    <w:pPr>
      <w:ind w:right="-1"/>
      <w:jc w:val="both"/>
      <w:rPr>
        <w:b/>
        <w:bCs/>
        <w:sz w:val="24"/>
        <w:szCs w:val="32"/>
      </w:rPr>
    </w:pPr>
    <w:r w:rsidRPr="00672906">
      <w:rPr>
        <w:b/>
        <w:bCs/>
        <w:sz w:val="24"/>
        <w:szCs w:val="32"/>
      </w:rPr>
      <w:t>KONSOLİDE OLMAYAN BİLANÇO (FİNANSAL DURUM TABLOSU)</w:t>
    </w:r>
  </w:p>
  <w:p w14:paraId="147CD5F1" w14:textId="77777777" w:rsidR="00234709" w:rsidRPr="00C9698D" w:rsidRDefault="00234709" w:rsidP="00234709">
    <w:pPr>
      <w:pBdr>
        <w:bottom w:val="single" w:sz="4" w:space="1" w:color="auto"/>
      </w:pBdr>
      <w:autoSpaceDE w:val="0"/>
      <w:autoSpaceDN w:val="0"/>
      <w:adjustRightInd w:val="0"/>
      <w:rPr>
        <w:iCs/>
        <w:sz w:val="18"/>
        <w:szCs w:val="18"/>
      </w:rPr>
    </w:pPr>
    <w:r w:rsidRPr="009F6E11">
      <w:rPr>
        <w:iCs/>
        <w:sz w:val="18"/>
        <w:szCs w:val="18"/>
      </w:rPr>
      <w:t>(Tutarlar aksi belirtilmedikçe Bin Türk Lirası (TL) olarak ifade edilmiştir.)</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CAE28" w14:textId="77777777" w:rsidR="004D5979" w:rsidRPr="00672906" w:rsidRDefault="004D5979" w:rsidP="004D5979">
    <w:pPr>
      <w:ind w:right="-1"/>
      <w:jc w:val="both"/>
      <w:rPr>
        <w:b/>
        <w:bCs/>
        <w:sz w:val="24"/>
        <w:szCs w:val="32"/>
      </w:rPr>
    </w:pPr>
    <w:r w:rsidRPr="00672906">
      <w:rPr>
        <w:b/>
        <w:bCs/>
        <w:sz w:val="24"/>
        <w:szCs w:val="32"/>
      </w:rPr>
      <w:t>DÜNYA KATILIM BANKASI A.Ş.</w:t>
    </w:r>
  </w:p>
  <w:p w14:paraId="1E020708" w14:textId="77777777" w:rsidR="004D5979" w:rsidRPr="00672906" w:rsidRDefault="004D5979" w:rsidP="004D5979">
    <w:pPr>
      <w:ind w:right="-1"/>
      <w:jc w:val="both"/>
      <w:rPr>
        <w:b/>
        <w:bCs/>
        <w:sz w:val="24"/>
        <w:szCs w:val="32"/>
      </w:rPr>
    </w:pPr>
  </w:p>
  <w:p w14:paraId="4ED470DB" w14:textId="4245F3AC" w:rsidR="004D5979" w:rsidRPr="00672906" w:rsidRDefault="008276BE" w:rsidP="004D5979">
    <w:pPr>
      <w:ind w:right="-1"/>
      <w:jc w:val="both"/>
      <w:rPr>
        <w:b/>
        <w:bCs/>
        <w:sz w:val="24"/>
        <w:szCs w:val="32"/>
      </w:rPr>
    </w:pPr>
    <w:r>
      <w:rPr>
        <w:b/>
        <w:sz w:val="24"/>
        <w:szCs w:val="32"/>
      </w:rPr>
      <w:t>31</w:t>
    </w:r>
    <w:r w:rsidRPr="00A832B6">
      <w:rPr>
        <w:b/>
        <w:sz w:val="24"/>
        <w:szCs w:val="32"/>
      </w:rPr>
      <w:t xml:space="preserve"> </w:t>
    </w:r>
    <w:r>
      <w:rPr>
        <w:b/>
        <w:sz w:val="24"/>
        <w:szCs w:val="32"/>
      </w:rPr>
      <w:t>ARALIK</w:t>
    </w:r>
    <w:r w:rsidRPr="00A832B6">
      <w:rPr>
        <w:b/>
        <w:sz w:val="24"/>
        <w:szCs w:val="32"/>
      </w:rPr>
      <w:t xml:space="preserve"> 2025 </w:t>
    </w:r>
    <w:r w:rsidR="004D5979" w:rsidRPr="00672906">
      <w:rPr>
        <w:b/>
        <w:bCs/>
        <w:sz w:val="24"/>
        <w:szCs w:val="32"/>
      </w:rPr>
      <w:t xml:space="preserve">TARİHİ İTİBARIYLA </w:t>
    </w:r>
  </w:p>
  <w:p w14:paraId="46FA6F2E" w14:textId="77777777" w:rsidR="004D5979" w:rsidRPr="00672906" w:rsidRDefault="004D5979" w:rsidP="004D5979">
    <w:pPr>
      <w:ind w:right="-1"/>
      <w:jc w:val="both"/>
      <w:rPr>
        <w:b/>
        <w:bCs/>
        <w:sz w:val="24"/>
        <w:szCs w:val="32"/>
      </w:rPr>
    </w:pPr>
    <w:r w:rsidRPr="00672906">
      <w:rPr>
        <w:b/>
        <w:bCs/>
        <w:sz w:val="24"/>
        <w:szCs w:val="32"/>
      </w:rPr>
      <w:t>KONSOLİDE OLMAYAN BİLANÇO (FİNANSAL DURUM TABLOSU)</w:t>
    </w:r>
  </w:p>
  <w:p w14:paraId="1078BDCE" w14:textId="7E47D5BC" w:rsidR="004D5979" w:rsidRPr="00034F9A" w:rsidRDefault="004D5979" w:rsidP="00034F9A">
    <w:pPr>
      <w:pBdr>
        <w:bottom w:val="single" w:sz="4" w:space="1" w:color="auto"/>
      </w:pBdr>
      <w:autoSpaceDE w:val="0"/>
      <w:autoSpaceDN w:val="0"/>
      <w:adjustRightInd w:val="0"/>
      <w:rPr>
        <w:iCs/>
        <w:sz w:val="18"/>
        <w:szCs w:val="18"/>
      </w:rPr>
    </w:pPr>
    <w:r w:rsidRPr="009F6E11">
      <w:rPr>
        <w:iCs/>
        <w:sz w:val="18"/>
        <w:szCs w:val="18"/>
      </w:rPr>
      <w:t>(Tutarlar aksi belirtilmedikçe Bin Türk Lirası (TL) olarak ifade edilmiştir.)</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41047" w14:textId="77777777" w:rsidR="00A966D3" w:rsidRPr="009A3A4D" w:rsidRDefault="00A966D3" w:rsidP="009A3A4D">
    <w:pPr>
      <w:pStyle w:val="stBilgi"/>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FE20A" w14:textId="77777777" w:rsidR="00A966D3" w:rsidRPr="0037132C" w:rsidRDefault="00A966D3" w:rsidP="0037132C">
    <w:pPr>
      <w:pStyle w:val="stBilgi"/>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20F41" w14:textId="3E841B9C" w:rsidR="00A966D3" w:rsidRPr="00672906" w:rsidRDefault="00122A5B" w:rsidP="00324789">
    <w:pPr>
      <w:ind w:right="-1"/>
      <w:jc w:val="both"/>
      <w:rPr>
        <w:b/>
        <w:bCs/>
        <w:sz w:val="24"/>
        <w:szCs w:val="32"/>
      </w:rPr>
    </w:pPr>
    <w:r w:rsidRPr="00672906">
      <w:rPr>
        <w:b/>
        <w:bCs/>
        <w:sz w:val="24"/>
        <w:szCs w:val="32"/>
      </w:rPr>
      <w:t>DÜNYA</w:t>
    </w:r>
    <w:r w:rsidR="00A966D3" w:rsidRPr="00672906">
      <w:rPr>
        <w:b/>
        <w:bCs/>
        <w:sz w:val="24"/>
        <w:szCs w:val="32"/>
      </w:rPr>
      <w:t xml:space="preserve"> KATILIM BANKASI A.Ş.</w:t>
    </w:r>
  </w:p>
  <w:p w14:paraId="713A5E00" w14:textId="77777777" w:rsidR="00324789" w:rsidRPr="00672906" w:rsidRDefault="00324789" w:rsidP="009F6E11">
    <w:pPr>
      <w:ind w:right="-1"/>
      <w:jc w:val="both"/>
      <w:rPr>
        <w:b/>
        <w:bCs/>
        <w:sz w:val="24"/>
        <w:szCs w:val="32"/>
      </w:rPr>
    </w:pPr>
  </w:p>
  <w:p w14:paraId="4D70341D" w14:textId="2FA5E16B" w:rsidR="00A966D3" w:rsidRPr="00672906" w:rsidRDefault="008276BE" w:rsidP="009F6E11">
    <w:pPr>
      <w:ind w:right="-1"/>
      <w:jc w:val="both"/>
      <w:rPr>
        <w:b/>
        <w:bCs/>
        <w:sz w:val="24"/>
        <w:szCs w:val="32"/>
      </w:rPr>
    </w:pPr>
    <w:r>
      <w:rPr>
        <w:b/>
        <w:sz w:val="24"/>
        <w:szCs w:val="32"/>
      </w:rPr>
      <w:t>31</w:t>
    </w:r>
    <w:r w:rsidRPr="00A832B6">
      <w:rPr>
        <w:b/>
        <w:sz w:val="24"/>
        <w:szCs w:val="32"/>
      </w:rPr>
      <w:t xml:space="preserve"> </w:t>
    </w:r>
    <w:r>
      <w:rPr>
        <w:b/>
        <w:sz w:val="24"/>
        <w:szCs w:val="32"/>
      </w:rPr>
      <w:t>ARALIK</w:t>
    </w:r>
    <w:r w:rsidRPr="00A832B6">
      <w:rPr>
        <w:b/>
        <w:sz w:val="24"/>
        <w:szCs w:val="32"/>
      </w:rPr>
      <w:t xml:space="preserve"> 2025 </w:t>
    </w:r>
    <w:r w:rsidR="00A966D3" w:rsidRPr="00672906">
      <w:rPr>
        <w:b/>
        <w:bCs/>
        <w:sz w:val="24"/>
        <w:szCs w:val="32"/>
      </w:rPr>
      <w:t xml:space="preserve">TARİHİ İTİBARIYLA </w:t>
    </w:r>
  </w:p>
  <w:p w14:paraId="648C0DFB" w14:textId="77777777" w:rsidR="00A966D3" w:rsidRPr="00672906" w:rsidRDefault="00A966D3" w:rsidP="009F6E11">
    <w:pPr>
      <w:ind w:right="-1"/>
      <w:jc w:val="both"/>
      <w:rPr>
        <w:b/>
        <w:bCs/>
        <w:sz w:val="24"/>
        <w:szCs w:val="32"/>
      </w:rPr>
    </w:pPr>
    <w:r w:rsidRPr="00672906">
      <w:rPr>
        <w:b/>
        <w:bCs/>
        <w:sz w:val="24"/>
        <w:szCs w:val="32"/>
      </w:rPr>
      <w:t>KONSOLİDE OLMAYAN NAZIM HESAPLAR TABLOSU</w:t>
    </w:r>
  </w:p>
  <w:p w14:paraId="6C014107" w14:textId="77777777" w:rsidR="00A966D3" w:rsidRPr="009F6E11" w:rsidRDefault="00A966D3" w:rsidP="009F6E11">
    <w:pPr>
      <w:pBdr>
        <w:bottom w:val="single" w:sz="4" w:space="1" w:color="auto"/>
      </w:pBdr>
      <w:autoSpaceDE w:val="0"/>
      <w:autoSpaceDN w:val="0"/>
      <w:adjustRightInd w:val="0"/>
      <w:rPr>
        <w:iCs/>
        <w:sz w:val="18"/>
        <w:szCs w:val="18"/>
      </w:rPr>
    </w:pPr>
    <w:r w:rsidRPr="009F6E11">
      <w:rPr>
        <w:iCs/>
        <w:sz w:val="18"/>
        <w:szCs w:val="18"/>
      </w:rPr>
      <w:t>(Tutarlar aksi belirtilmedikçe Bin Türk Lirası (TL) olarak ifade edilmiştir.)</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D5D4D" w14:textId="77777777" w:rsidR="00A966D3" w:rsidRPr="009A3A4D" w:rsidRDefault="00A966D3" w:rsidP="009A3A4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1D88E" w14:textId="1DE78603" w:rsidR="003A4428" w:rsidRDefault="003A4428">
    <w:pPr>
      <w:pStyle w:val="stBilgi"/>
    </w:pPr>
    <w:r>
      <mc:AlternateContent>
        <mc:Choice Requires="wps">
          <w:drawing>
            <wp:anchor distT="0" distB="0" distL="114300" distR="114300" simplePos="0" relativeHeight="251654144" behindDoc="0" locked="0" layoutInCell="1" allowOverlap="1" wp14:anchorId="560CD204" wp14:editId="53EED2C5">
              <wp:simplePos x="0" y="0"/>
              <wp:positionH relativeFrom="page">
                <wp:align>right</wp:align>
              </wp:positionH>
              <wp:positionV relativeFrom="page">
                <wp:align>top</wp:align>
              </wp:positionV>
              <wp:extent cx="1209040" cy="383540"/>
              <wp:effectExtent l="0" t="0" r="0" b="0"/>
              <wp:wrapNone/>
              <wp:docPr id="3" name="geodi_dlp_header"/>
              <wp:cNvGraphicFramePr/>
              <a:graphic xmlns:a="http://schemas.openxmlformats.org/drawingml/2006/main">
                <a:graphicData uri="http://schemas.microsoft.com/office/word/2010/wordprocessingShape">
                  <wps:wsp>
                    <wps:cNvSpPr txBox="1"/>
                    <wps:spPr>
                      <a:xfrm>
                        <a:off x="0" y="0"/>
                        <a:ext cx="1209040" cy="38354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B979589" w14:textId="1889467E" w:rsidR="003A4428" w:rsidRPr="003A4428" w:rsidRDefault="003A4428" w:rsidP="003A4428">
                          <w:pPr>
                            <w:spacing w:before="240"/>
                            <w:ind w:right="240"/>
                            <w:jc w:val="right"/>
                            <w:rPr>
                              <w:rFonts w:ascii="Arial" w:hAnsi="Arial" w:cs="Arial"/>
                              <w:color w:val="CCFFCC"/>
                              <w14:textFill>
                                <w14:solidFill>
                                  <w14:srgbClr w14:val="CCFFCC">
                                    <w14:alpha w14:val="20000"/>
                                  </w14:srgbClr>
                                </w14:solidFill>
                              </w14:textFill>
                            </w:rPr>
                          </w:pPr>
                          <w:r w:rsidRPr="003A4428">
                            <w:rPr>
                              <w:rFonts w:ascii="Arial" w:hAnsi="Arial" w:cs="Arial"/>
                              <w:color w:val="CCFFCC"/>
                              <w14:textFill>
                                <w14:solidFill>
                                  <w14:srgbClr w14:val="CCFFCC">
                                    <w14:alpha w14:val="20000"/>
                                  </w14:srgbClr>
                                </w14:solidFill>
                              </w14:textFill>
                            </w:rPr>
                            <w:t>Genele Açık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560CD204" id="_x0000_t202" coordsize="21600,21600" o:spt="202" path="m,l,21600r21600,l21600,xe">
              <v:stroke joinstyle="miter"/>
              <v:path gradientshapeok="t" o:connecttype="rect"/>
            </v:shapetype>
            <v:shape id="geodi_dlp_header" o:spid="_x0000_s1027" type="#_x0000_t202" style="position:absolute;margin-left:44pt;margin-top:0;width:95.2pt;height:30.2pt;z-index:251654144;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" filled="f" stroked="f" strokeweight=".5pt">
              <v:textbox>
                <w:txbxContent>
                  <w:p w14:paraId="1B979589" w14:textId="1889467E" w:rsidR="003A4428" w:rsidRPr="003A4428" w:rsidRDefault="003A4428" w:rsidP="003A4428">
                    <w:pPr>
                      <w:spacing w:before="240"/>
                      <w:ind w:right="240"/>
                      <w:jc w:val="right"/>
                      <w:rPr>
                        <w:rFonts w:ascii="Arial" w:hAnsi="Arial" w:cs="Arial"/>
                        <w:color w:val="CCFFCC"/>
                        <w14:textFill>
                          <w14:solidFill>
                            <w14:srgbClr w14:val="CCFFCC">
                              <w14:alpha w14:val="20000"/>
                            </w14:srgbClr>
                          </w14:solidFill>
                        </w14:textFill>
                      </w:rPr>
                    </w:pPr>
                    <w:r w:rsidRPr="003A4428">
                      <w:rPr>
                        <w:rFonts w:ascii="Arial" w:hAnsi="Arial" w:cs="Arial"/>
                        <w:color w:val="CCFFCC"/>
                        <w14:textFill>
                          <w14:solidFill>
                            <w14:srgbClr w14:val="CCFFCC">
                              <w14:alpha w14:val="20000"/>
                            </w14:srgbClr>
                          </w14:solidFill>
                        </w14:textFill>
                      </w:rPr>
                      <w:t>Genele Açık</w:t>
                    </w:r>
                  </w:p>
                </w:txbxContent>
              </v:textbox>
              <w10:wrap anchorx="page" anchory="page"/>
            </v:shape>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FB27F" w14:textId="77777777" w:rsidR="0047384D" w:rsidRPr="00672906" w:rsidRDefault="0047384D" w:rsidP="0047384D">
    <w:pPr>
      <w:tabs>
        <w:tab w:val="left" w:pos="5355"/>
      </w:tabs>
      <w:ind w:right="-1"/>
      <w:jc w:val="both"/>
      <w:rPr>
        <w:b/>
        <w:bCs/>
        <w:sz w:val="24"/>
        <w:szCs w:val="32"/>
      </w:rPr>
    </w:pPr>
    <w:r w:rsidRPr="00672906">
      <w:rPr>
        <w:b/>
        <w:bCs/>
        <w:sz w:val="24"/>
        <w:szCs w:val="32"/>
      </w:rPr>
      <w:t>DÜNYA KATILIM BANKASI A.Ş.</w:t>
    </w:r>
  </w:p>
  <w:p w14:paraId="7C0F7C03" w14:textId="77777777" w:rsidR="0047384D" w:rsidRPr="00672906" w:rsidRDefault="0047384D" w:rsidP="0047384D">
    <w:pPr>
      <w:tabs>
        <w:tab w:val="left" w:pos="5355"/>
      </w:tabs>
      <w:ind w:right="-1"/>
      <w:jc w:val="both"/>
      <w:rPr>
        <w:b/>
        <w:bCs/>
        <w:sz w:val="24"/>
        <w:szCs w:val="32"/>
      </w:rPr>
    </w:pPr>
  </w:p>
  <w:p w14:paraId="79158309" w14:textId="77777777" w:rsidR="0047384D" w:rsidRPr="00672906" w:rsidRDefault="0047384D" w:rsidP="0047384D">
    <w:pPr>
      <w:ind w:right="-1"/>
      <w:jc w:val="both"/>
      <w:rPr>
        <w:b/>
        <w:bCs/>
        <w:sz w:val="24"/>
        <w:szCs w:val="32"/>
      </w:rPr>
    </w:pPr>
    <w:r>
      <w:rPr>
        <w:b/>
        <w:sz w:val="24"/>
        <w:szCs w:val="32"/>
      </w:rPr>
      <w:t>31</w:t>
    </w:r>
    <w:r w:rsidRPr="00A832B6">
      <w:rPr>
        <w:b/>
        <w:sz w:val="24"/>
        <w:szCs w:val="32"/>
      </w:rPr>
      <w:t xml:space="preserve"> </w:t>
    </w:r>
    <w:r>
      <w:rPr>
        <w:b/>
        <w:sz w:val="24"/>
        <w:szCs w:val="32"/>
      </w:rPr>
      <w:t>ARALIK</w:t>
    </w:r>
    <w:r w:rsidRPr="00A832B6">
      <w:rPr>
        <w:b/>
        <w:sz w:val="24"/>
        <w:szCs w:val="32"/>
      </w:rPr>
      <w:t xml:space="preserve"> 2025 </w:t>
    </w:r>
    <w:r w:rsidRPr="00672906">
      <w:rPr>
        <w:b/>
        <w:bCs/>
        <w:sz w:val="24"/>
        <w:szCs w:val="32"/>
      </w:rPr>
      <w:t xml:space="preserve">TARİHİNDE SONA EREN HESAP DÖNEMİNE AİT </w:t>
    </w:r>
  </w:p>
  <w:p w14:paraId="4950EB87" w14:textId="77777777" w:rsidR="0047384D" w:rsidRPr="00672906" w:rsidRDefault="0047384D" w:rsidP="0047384D">
    <w:pPr>
      <w:ind w:right="-1"/>
      <w:jc w:val="both"/>
      <w:rPr>
        <w:b/>
        <w:bCs/>
        <w:sz w:val="24"/>
        <w:szCs w:val="32"/>
      </w:rPr>
    </w:pPr>
    <w:r w:rsidRPr="00672906">
      <w:rPr>
        <w:b/>
        <w:bCs/>
        <w:sz w:val="24"/>
        <w:szCs w:val="32"/>
      </w:rPr>
      <w:t>KONSOLİDE OLMAYAN KAR VEYA ZARAR TABLOSU</w:t>
    </w:r>
  </w:p>
  <w:p w14:paraId="40686C3D" w14:textId="77777777" w:rsidR="0047384D" w:rsidRPr="00C9698D" w:rsidRDefault="0047384D" w:rsidP="0047384D">
    <w:pPr>
      <w:pBdr>
        <w:bottom w:val="single" w:sz="4" w:space="1" w:color="auto"/>
      </w:pBdr>
      <w:autoSpaceDE w:val="0"/>
      <w:autoSpaceDN w:val="0"/>
      <w:adjustRightInd w:val="0"/>
      <w:rPr>
        <w:iCs/>
        <w:sz w:val="18"/>
        <w:szCs w:val="18"/>
      </w:rPr>
    </w:pPr>
    <w:r w:rsidRPr="009F6E11">
      <w:rPr>
        <w:iCs/>
        <w:sz w:val="18"/>
        <w:szCs w:val="18"/>
      </w:rPr>
      <w:t>(Tutarlar aksi belirtilmedikçe Bin Türk Lirası (TL) olarak ifade edilmiştir.)</w:t>
    </w:r>
  </w:p>
  <w:p w14:paraId="63A55108" w14:textId="77777777" w:rsidR="00A966D3" w:rsidRPr="0047384D" w:rsidRDefault="00A966D3" w:rsidP="0047384D"/>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C2A22" w14:textId="415552BF" w:rsidR="00A966D3" w:rsidRPr="00672906" w:rsidRDefault="00122A5B" w:rsidP="00324789">
    <w:pPr>
      <w:tabs>
        <w:tab w:val="left" w:pos="5355"/>
      </w:tabs>
      <w:ind w:right="-1"/>
      <w:jc w:val="both"/>
      <w:rPr>
        <w:b/>
        <w:bCs/>
        <w:sz w:val="24"/>
        <w:szCs w:val="32"/>
      </w:rPr>
    </w:pPr>
    <w:r w:rsidRPr="00672906">
      <w:rPr>
        <w:b/>
        <w:bCs/>
        <w:sz w:val="24"/>
        <w:szCs w:val="32"/>
      </w:rPr>
      <w:t>DÜNYA</w:t>
    </w:r>
    <w:r w:rsidR="00A966D3" w:rsidRPr="00672906">
      <w:rPr>
        <w:b/>
        <w:bCs/>
        <w:sz w:val="24"/>
        <w:szCs w:val="32"/>
      </w:rPr>
      <w:t xml:space="preserve"> KATILIM BANKASI A.Ş.</w:t>
    </w:r>
  </w:p>
  <w:p w14:paraId="09D157CF" w14:textId="77777777" w:rsidR="00324789" w:rsidRPr="00672906" w:rsidRDefault="00324789" w:rsidP="009F6E11">
    <w:pPr>
      <w:tabs>
        <w:tab w:val="left" w:pos="5355"/>
      </w:tabs>
      <w:ind w:right="-1"/>
      <w:jc w:val="both"/>
      <w:rPr>
        <w:b/>
        <w:bCs/>
        <w:sz w:val="24"/>
        <w:szCs w:val="32"/>
      </w:rPr>
    </w:pPr>
  </w:p>
  <w:p w14:paraId="2859286E" w14:textId="7B849232" w:rsidR="00A966D3" w:rsidRPr="00672906" w:rsidRDefault="008276BE" w:rsidP="009F6E11">
    <w:pPr>
      <w:ind w:right="-1"/>
      <w:jc w:val="both"/>
      <w:rPr>
        <w:b/>
        <w:bCs/>
        <w:sz w:val="24"/>
        <w:szCs w:val="32"/>
      </w:rPr>
    </w:pPr>
    <w:r>
      <w:rPr>
        <w:b/>
        <w:sz w:val="24"/>
        <w:szCs w:val="32"/>
      </w:rPr>
      <w:t>31</w:t>
    </w:r>
    <w:r w:rsidRPr="00A832B6">
      <w:rPr>
        <w:b/>
        <w:sz w:val="24"/>
        <w:szCs w:val="32"/>
      </w:rPr>
      <w:t xml:space="preserve"> </w:t>
    </w:r>
    <w:r>
      <w:rPr>
        <w:b/>
        <w:sz w:val="24"/>
        <w:szCs w:val="32"/>
      </w:rPr>
      <w:t>ARALIK</w:t>
    </w:r>
    <w:r w:rsidRPr="00A832B6">
      <w:rPr>
        <w:b/>
        <w:sz w:val="24"/>
        <w:szCs w:val="32"/>
      </w:rPr>
      <w:t xml:space="preserve"> 2025 </w:t>
    </w:r>
    <w:r w:rsidR="00A966D3" w:rsidRPr="00672906">
      <w:rPr>
        <w:b/>
        <w:bCs/>
        <w:sz w:val="24"/>
        <w:szCs w:val="32"/>
      </w:rPr>
      <w:t xml:space="preserve">TARİHİNDE SONA EREN HESAP DÖNEMİNE AİT </w:t>
    </w:r>
  </w:p>
  <w:p w14:paraId="7F70C1C6" w14:textId="77777777" w:rsidR="00A966D3" w:rsidRPr="00672906" w:rsidRDefault="00A966D3" w:rsidP="009F6E11">
    <w:pPr>
      <w:ind w:right="-1"/>
      <w:jc w:val="both"/>
      <w:rPr>
        <w:b/>
        <w:bCs/>
        <w:sz w:val="24"/>
        <w:szCs w:val="32"/>
      </w:rPr>
    </w:pPr>
    <w:r w:rsidRPr="00672906">
      <w:rPr>
        <w:b/>
        <w:bCs/>
        <w:sz w:val="24"/>
        <w:szCs w:val="32"/>
      </w:rPr>
      <w:t>KONSOLİDE OLMAYAN KAR VEYA ZARAR TABLOSU</w:t>
    </w:r>
  </w:p>
  <w:p w14:paraId="77B1BA59" w14:textId="6176D19C" w:rsidR="00A966D3" w:rsidRPr="00C9698D" w:rsidRDefault="00A966D3" w:rsidP="00C9698D">
    <w:pPr>
      <w:pBdr>
        <w:bottom w:val="single" w:sz="4" w:space="1" w:color="auto"/>
      </w:pBdr>
      <w:autoSpaceDE w:val="0"/>
      <w:autoSpaceDN w:val="0"/>
      <w:adjustRightInd w:val="0"/>
      <w:rPr>
        <w:iCs/>
        <w:sz w:val="18"/>
        <w:szCs w:val="18"/>
      </w:rPr>
    </w:pPr>
    <w:r w:rsidRPr="009F6E11">
      <w:rPr>
        <w:iCs/>
        <w:sz w:val="18"/>
        <w:szCs w:val="18"/>
      </w:rPr>
      <w:t>(Tutarlar aksi belirtilmedikçe Bin Türk Lirası (TL) olarak ifade edilmiştir.)</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76458" w14:textId="77777777" w:rsidR="00A966D3" w:rsidRPr="004905DD" w:rsidRDefault="00A966D3" w:rsidP="00967785">
    <w:pPr>
      <w:autoSpaceDE w:val="0"/>
      <w:autoSpaceDN w:val="0"/>
      <w:adjustRightInd w:val="0"/>
      <w:rPr>
        <w:rFonts w:ascii="Arial" w:hAnsi="Arial" w:cs="Arial"/>
        <w:i/>
        <w:szCs w:val="20"/>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93AB8" w14:textId="77777777" w:rsidR="00A966D3" w:rsidRPr="0037132C" w:rsidRDefault="00A966D3" w:rsidP="0037132C">
    <w:pPr>
      <w:pStyle w:val="stBilgi"/>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B833F" w14:textId="3937723D" w:rsidR="00A966D3" w:rsidRPr="00672906" w:rsidRDefault="00122A5B" w:rsidP="00324789">
    <w:pPr>
      <w:ind w:right="-1"/>
      <w:jc w:val="both"/>
      <w:rPr>
        <w:b/>
        <w:bCs/>
        <w:sz w:val="24"/>
        <w:szCs w:val="32"/>
      </w:rPr>
    </w:pPr>
    <w:r w:rsidRPr="00672906">
      <w:rPr>
        <w:b/>
        <w:bCs/>
        <w:sz w:val="24"/>
        <w:szCs w:val="32"/>
      </w:rPr>
      <w:t xml:space="preserve">DÜNYA </w:t>
    </w:r>
    <w:r w:rsidR="00A966D3" w:rsidRPr="00672906">
      <w:rPr>
        <w:b/>
        <w:bCs/>
        <w:sz w:val="24"/>
        <w:szCs w:val="32"/>
      </w:rPr>
      <w:t>KATILIM BANKASI A.Ş.</w:t>
    </w:r>
  </w:p>
  <w:p w14:paraId="5D73A3F9" w14:textId="77777777" w:rsidR="00324789" w:rsidRPr="00672906" w:rsidRDefault="00324789" w:rsidP="009F6E11">
    <w:pPr>
      <w:ind w:right="-1"/>
      <w:jc w:val="both"/>
      <w:rPr>
        <w:b/>
        <w:bCs/>
        <w:sz w:val="24"/>
        <w:szCs w:val="32"/>
      </w:rPr>
    </w:pPr>
  </w:p>
  <w:p w14:paraId="02A6BEAA" w14:textId="41DCD574" w:rsidR="00A966D3" w:rsidRPr="00672906" w:rsidRDefault="008276BE" w:rsidP="009F6E11">
    <w:pPr>
      <w:ind w:right="-1"/>
      <w:jc w:val="both"/>
      <w:rPr>
        <w:b/>
        <w:bCs/>
        <w:sz w:val="24"/>
        <w:szCs w:val="32"/>
      </w:rPr>
    </w:pPr>
    <w:r>
      <w:rPr>
        <w:b/>
        <w:sz w:val="24"/>
        <w:szCs w:val="32"/>
      </w:rPr>
      <w:t>31</w:t>
    </w:r>
    <w:r w:rsidRPr="00A832B6">
      <w:rPr>
        <w:b/>
        <w:sz w:val="24"/>
        <w:szCs w:val="32"/>
      </w:rPr>
      <w:t xml:space="preserve"> </w:t>
    </w:r>
    <w:r>
      <w:rPr>
        <w:b/>
        <w:sz w:val="24"/>
        <w:szCs w:val="32"/>
      </w:rPr>
      <w:t>ARALIK</w:t>
    </w:r>
    <w:r w:rsidRPr="00A832B6">
      <w:rPr>
        <w:b/>
        <w:sz w:val="24"/>
        <w:szCs w:val="32"/>
      </w:rPr>
      <w:t xml:space="preserve"> 2025 </w:t>
    </w:r>
    <w:r w:rsidR="00A966D3" w:rsidRPr="00672906">
      <w:rPr>
        <w:b/>
        <w:bCs/>
        <w:sz w:val="24"/>
        <w:szCs w:val="32"/>
      </w:rPr>
      <w:t xml:space="preserve">TARİHİNDE SONA EREN HESAP DÖNEMİNE AİT </w:t>
    </w:r>
  </w:p>
  <w:p w14:paraId="51ED2AC4" w14:textId="74F25D16" w:rsidR="00A966D3" w:rsidRPr="00672906" w:rsidRDefault="00A966D3" w:rsidP="009F6E11">
    <w:pPr>
      <w:ind w:right="-1"/>
      <w:jc w:val="both"/>
      <w:rPr>
        <w:b/>
        <w:bCs/>
        <w:sz w:val="24"/>
        <w:szCs w:val="32"/>
      </w:rPr>
    </w:pPr>
    <w:r w:rsidRPr="00672906">
      <w:rPr>
        <w:b/>
        <w:bCs/>
        <w:sz w:val="24"/>
        <w:szCs w:val="32"/>
      </w:rPr>
      <w:t xml:space="preserve">KONSOLİDE OLMAYAN </w:t>
    </w:r>
    <w:r w:rsidR="003F0D0A" w:rsidRPr="00672906">
      <w:rPr>
        <w:b/>
        <w:bCs/>
        <w:sz w:val="24"/>
        <w:szCs w:val="32"/>
      </w:rPr>
      <w:t>KAR VEYA ZARAR VE DİĞER KAPSAMLI GELİR TABLOSU</w:t>
    </w:r>
  </w:p>
  <w:p w14:paraId="128E8517" w14:textId="77777777" w:rsidR="00A966D3" w:rsidRPr="009F6E11" w:rsidRDefault="00A966D3" w:rsidP="009F6E11">
    <w:pPr>
      <w:pBdr>
        <w:bottom w:val="single" w:sz="4" w:space="1" w:color="auto"/>
      </w:pBdr>
      <w:autoSpaceDE w:val="0"/>
      <w:autoSpaceDN w:val="0"/>
      <w:adjustRightInd w:val="0"/>
      <w:rPr>
        <w:iCs/>
        <w:sz w:val="18"/>
        <w:szCs w:val="18"/>
      </w:rPr>
    </w:pPr>
    <w:r w:rsidRPr="009F6E11">
      <w:rPr>
        <w:iCs/>
        <w:sz w:val="18"/>
        <w:szCs w:val="18"/>
      </w:rPr>
      <w:t>(Tutarlar aksi belirtilmedikçe Bin Türk Lirası (TL) olarak ifade edilmiştir.)</w:t>
    </w:r>
  </w:p>
  <w:p w14:paraId="00946C58" w14:textId="77777777" w:rsidR="00A966D3" w:rsidRPr="009F6E11" w:rsidRDefault="00A966D3">
    <w:pPr>
      <w:autoSpaceDE w:val="0"/>
      <w:autoSpaceDN w:val="0"/>
      <w:adjustRightInd w:val="0"/>
      <w:rPr>
        <w:i/>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8741A" w14:textId="77777777" w:rsidR="00CF5C36" w:rsidRPr="00672906" w:rsidRDefault="00CF5C36" w:rsidP="00CF5C36">
    <w:pPr>
      <w:ind w:right="-1"/>
      <w:jc w:val="both"/>
      <w:rPr>
        <w:b/>
        <w:bCs/>
        <w:sz w:val="24"/>
        <w:szCs w:val="32"/>
      </w:rPr>
    </w:pPr>
    <w:r w:rsidRPr="00672906">
      <w:rPr>
        <w:b/>
        <w:bCs/>
        <w:sz w:val="24"/>
        <w:szCs w:val="32"/>
      </w:rPr>
      <w:t>DÜNYA KATILIM BANKASI A.Ş.</w:t>
    </w:r>
  </w:p>
  <w:p w14:paraId="6E3AC78F" w14:textId="77777777" w:rsidR="00CF5C36" w:rsidRPr="00672906" w:rsidRDefault="00CF5C36" w:rsidP="00CF5C36">
    <w:pPr>
      <w:ind w:right="-1"/>
      <w:jc w:val="both"/>
      <w:rPr>
        <w:b/>
        <w:bCs/>
        <w:sz w:val="24"/>
        <w:szCs w:val="32"/>
      </w:rPr>
    </w:pPr>
  </w:p>
  <w:p w14:paraId="6006A90A" w14:textId="77777777" w:rsidR="00CF5C36" w:rsidRPr="00672906" w:rsidRDefault="00CF5C36" w:rsidP="00CF5C36">
    <w:pPr>
      <w:ind w:right="-1"/>
      <w:jc w:val="both"/>
      <w:rPr>
        <w:b/>
        <w:bCs/>
        <w:sz w:val="24"/>
        <w:szCs w:val="32"/>
      </w:rPr>
    </w:pPr>
    <w:r>
      <w:rPr>
        <w:b/>
        <w:sz w:val="24"/>
        <w:szCs w:val="32"/>
      </w:rPr>
      <w:t>31</w:t>
    </w:r>
    <w:r w:rsidRPr="00A832B6">
      <w:rPr>
        <w:b/>
        <w:sz w:val="24"/>
        <w:szCs w:val="32"/>
      </w:rPr>
      <w:t xml:space="preserve"> </w:t>
    </w:r>
    <w:r>
      <w:rPr>
        <w:b/>
        <w:sz w:val="24"/>
        <w:szCs w:val="32"/>
      </w:rPr>
      <w:t>ARALIK</w:t>
    </w:r>
    <w:r w:rsidRPr="00A832B6">
      <w:rPr>
        <w:b/>
        <w:sz w:val="24"/>
        <w:szCs w:val="32"/>
      </w:rPr>
      <w:t xml:space="preserve"> 2025 </w:t>
    </w:r>
    <w:r w:rsidRPr="00672906">
      <w:rPr>
        <w:b/>
        <w:bCs/>
        <w:sz w:val="24"/>
        <w:szCs w:val="32"/>
      </w:rPr>
      <w:t xml:space="preserve">TARİHİNDE SONA EREN HESAP DÖNEMİNE AİT </w:t>
    </w:r>
  </w:p>
  <w:p w14:paraId="7A8FDAA4" w14:textId="77777777" w:rsidR="00CF5C36" w:rsidRPr="00672906" w:rsidRDefault="00CF5C36" w:rsidP="00CF5C36">
    <w:pPr>
      <w:ind w:right="-1"/>
      <w:jc w:val="both"/>
      <w:rPr>
        <w:b/>
        <w:bCs/>
        <w:sz w:val="24"/>
        <w:szCs w:val="32"/>
      </w:rPr>
    </w:pPr>
    <w:r w:rsidRPr="00672906">
      <w:rPr>
        <w:b/>
        <w:bCs/>
        <w:sz w:val="24"/>
        <w:szCs w:val="32"/>
      </w:rPr>
      <w:t>KONSOLİDE OLMAYAN ÖZKAYNAKLAR DEĞİŞİM TABLOSU</w:t>
    </w:r>
  </w:p>
  <w:p w14:paraId="7BC3C900" w14:textId="77777777" w:rsidR="00CF5C36" w:rsidRPr="00034F9A" w:rsidRDefault="00CF5C36" w:rsidP="00CF5C36">
    <w:pPr>
      <w:pBdr>
        <w:bottom w:val="single" w:sz="4" w:space="1" w:color="auto"/>
      </w:pBdr>
      <w:autoSpaceDE w:val="0"/>
      <w:autoSpaceDN w:val="0"/>
      <w:adjustRightInd w:val="0"/>
      <w:rPr>
        <w:iCs/>
        <w:sz w:val="18"/>
        <w:szCs w:val="18"/>
      </w:rPr>
    </w:pPr>
    <w:r w:rsidRPr="009F6E11">
      <w:rPr>
        <w:iCs/>
        <w:sz w:val="18"/>
        <w:szCs w:val="18"/>
      </w:rPr>
      <w:t>(Tutarlar aksi belirtilmedikçe Bin Türk Lirası (TL) olarak ifade edilmiştir.)</w:t>
    </w:r>
  </w:p>
  <w:p w14:paraId="78F30B32" w14:textId="77777777" w:rsidR="00A966D3" w:rsidRPr="00CF5C36" w:rsidRDefault="00A966D3" w:rsidP="00CF5C36">
    <w:pPr>
      <w:pStyle w:val="stBilgi"/>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6C095" w14:textId="51B885CB" w:rsidR="00A966D3" w:rsidRPr="009A3A4D" w:rsidRDefault="00A966D3" w:rsidP="009A3A4D">
    <w:pPr>
      <w:pStyle w:val="stBilgi"/>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31D6E" w14:textId="77777777" w:rsidR="003F0D0A" w:rsidRPr="00672906" w:rsidRDefault="003F0D0A" w:rsidP="00324789">
    <w:pPr>
      <w:ind w:right="-1"/>
      <w:jc w:val="both"/>
      <w:rPr>
        <w:b/>
        <w:bCs/>
        <w:sz w:val="24"/>
        <w:szCs w:val="32"/>
      </w:rPr>
    </w:pPr>
    <w:r w:rsidRPr="00672906">
      <w:rPr>
        <w:b/>
        <w:bCs/>
        <w:sz w:val="24"/>
        <w:szCs w:val="32"/>
      </w:rPr>
      <w:t>DÜNYA KATILIM BANKASI A.Ş.</w:t>
    </w:r>
  </w:p>
  <w:p w14:paraId="3F6CD43C" w14:textId="77777777" w:rsidR="003F0D0A" w:rsidRPr="00672906" w:rsidRDefault="003F0D0A" w:rsidP="009F6E11">
    <w:pPr>
      <w:ind w:right="-1"/>
      <w:jc w:val="both"/>
      <w:rPr>
        <w:b/>
        <w:bCs/>
        <w:sz w:val="24"/>
        <w:szCs w:val="32"/>
      </w:rPr>
    </w:pPr>
  </w:p>
  <w:p w14:paraId="4D16E261" w14:textId="1E012A6F" w:rsidR="003F0D0A" w:rsidRPr="00672906" w:rsidRDefault="008276BE" w:rsidP="009F6E11">
    <w:pPr>
      <w:ind w:right="-1"/>
      <w:jc w:val="both"/>
      <w:rPr>
        <w:b/>
        <w:bCs/>
        <w:sz w:val="24"/>
        <w:szCs w:val="32"/>
      </w:rPr>
    </w:pPr>
    <w:r>
      <w:rPr>
        <w:b/>
        <w:sz w:val="24"/>
        <w:szCs w:val="32"/>
      </w:rPr>
      <w:t>31</w:t>
    </w:r>
    <w:r w:rsidRPr="00A832B6">
      <w:rPr>
        <w:b/>
        <w:sz w:val="24"/>
        <w:szCs w:val="32"/>
      </w:rPr>
      <w:t xml:space="preserve"> </w:t>
    </w:r>
    <w:r>
      <w:rPr>
        <w:b/>
        <w:sz w:val="24"/>
        <w:szCs w:val="32"/>
      </w:rPr>
      <w:t>ARALIK</w:t>
    </w:r>
    <w:r w:rsidRPr="00A832B6">
      <w:rPr>
        <w:b/>
        <w:sz w:val="24"/>
        <w:szCs w:val="32"/>
      </w:rPr>
      <w:t xml:space="preserve"> 2025 </w:t>
    </w:r>
    <w:r w:rsidR="003F0D0A" w:rsidRPr="00672906">
      <w:rPr>
        <w:b/>
        <w:bCs/>
        <w:sz w:val="24"/>
        <w:szCs w:val="32"/>
      </w:rPr>
      <w:t xml:space="preserve">TARİHİNDE SONA EREN HESAP DÖNEMİNE AİT </w:t>
    </w:r>
  </w:p>
  <w:p w14:paraId="01F78240" w14:textId="77777777" w:rsidR="003F0D0A" w:rsidRPr="00672906" w:rsidRDefault="003F0D0A" w:rsidP="009F6E11">
    <w:pPr>
      <w:ind w:right="-1"/>
      <w:jc w:val="both"/>
      <w:rPr>
        <w:b/>
        <w:bCs/>
        <w:sz w:val="24"/>
        <w:szCs w:val="32"/>
      </w:rPr>
    </w:pPr>
    <w:r w:rsidRPr="00672906">
      <w:rPr>
        <w:b/>
        <w:bCs/>
        <w:sz w:val="24"/>
        <w:szCs w:val="32"/>
      </w:rPr>
      <w:t>KONSOLİDE OLMAYAN ÖZKAYNAKLAR DEĞİŞİM TABLOSU</w:t>
    </w:r>
  </w:p>
  <w:p w14:paraId="0764100A" w14:textId="1FAF451A" w:rsidR="003F0D0A" w:rsidRPr="00034F9A" w:rsidRDefault="003F0D0A" w:rsidP="00034F9A">
    <w:pPr>
      <w:pBdr>
        <w:bottom w:val="single" w:sz="4" w:space="1" w:color="auto"/>
      </w:pBdr>
      <w:autoSpaceDE w:val="0"/>
      <w:autoSpaceDN w:val="0"/>
      <w:adjustRightInd w:val="0"/>
      <w:rPr>
        <w:iCs/>
        <w:sz w:val="18"/>
        <w:szCs w:val="18"/>
      </w:rPr>
    </w:pPr>
    <w:r w:rsidRPr="009F6E11">
      <w:rPr>
        <w:iCs/>
        <w:sz w:val="18"/>
        <w:szCs w:val="18"/>
      </w:rPr>
      <w:t>(Tutarlar aksi belirtilmedikçe Bin Türk Lirası (TL) olarak ifade edilmiştir.)</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5F5DC" w14:textId="77777777" w:rsidR="005C30A0" w:rsidRPr="00672906" w:rsidRDefault="005C30A0" w:rsidP="005C30A0">
    <w:pPr>
      <w:ind w:right="-1"/>
      <w:jc w:val="both"/>
      <w:rPr>
        <w:b/>
        <w:bCs/>
        <w:sz w:val="24"/>
        <w:szCs w:val="32"/>
      </w:rPr>
    </w:pPr>
    <w:r w:rsidRPr="00672906">
      <w:rPr>
        <w:b/>
        <w:bCs/>
        <w:sz w:val="24"/>
        <w:szCs w:val="32"/>
      </w:rPr>
      <w:t>DÜNYA KATILIM BANKASI A.Ş.</w:t>
    </w:r>
  </w:p>
  <w:p w14:paraId="2215D755" w14:textId="77777777" w:rsidR="005C30A0" w:rsidRPr="00672906" w:rsidRDefault="005C30A0" w:rsidP="005C30A0">
    <w:pPr>
      <w:ind w:right="-1"/>
      <w:jc w:val="both"/>
      <w:rPr>
        <w:b/>
        <w:bCs/>
        <w:sz w:val="24"/>
        <w:szCs w:val="32"/>
      </w:rPr>
    </w:pPr>
  </w:p>
  <w:p w14:paraId="2A96CA48" w14:textId="3654739D" w:rsidR="001A5A0B" w:rsidRPr="00672906" w:rsidRDefault="008276BE" w:rsidP="001A5A0B">
    <w:pPr>
      <w:autoSpaceDE w:val="0"/>
      <w:autoSpaceDN w:val="0"/>
      <w:adjustRightInd w:val="0"/>
      <w:rPr>
        <w:b/>
        <w:sz w:val="24"/>
        <w:szCs w:val="32"/>
      </w:rPr>
    </w:pPr>
    <w:r>
      <w:rPr>
        <w:b/>
        <w:sz w:val="24"/>
        <w:szCs w:val="32"/>
      </w:rPr>
      <w:t>31</w:t>
    </w:r>
    <w:r w:rsidRPr="00A832B6">
      <w:rPr>
        <w:b/>
        <w:sz w:val="24"/>
        <w:szCs w:val="32"/>
      </w:rPr>
      <w:t xml:space="preserve"> </w:t>
    </w:r>
    <w:r>
      <w:rPr>
        <w:b/>
        <w:sz w:val="24"/>
        <w:szCs w:val="32"/>
      </w:rPr>
      <w:t>ARALIK</w:t>
    </w:r>
    <w:r w:rsidRPr="00A832B6">
      <w:rPr>
        <w:b/>
        <w:sz w:val="24"/>
        <w:szCs w:val="32"/>
      </w:rPr>
      <w:t xml:space="preserve"> 2025 </w:t>
    </w:r>
    <w:r w:rsidR="001A5A0B" w:rsidRPr="00672906">
      <w:rPr>
        <w:b/>
        <w:sz w:val="24"/>
        <w:szCs w:val="32"/>
      </w:rPr>
      <w:t xml:space="preserve">TARİHİNDE SONA EREN HESAP DÖNEMİNE AİT </w:t>
    </w:r>
  </w:p>
  <w:p w14:paraId="75DAE9BF" w14:textId="77777777" w:rsidR="001A5A0B" w:rsidRPr="00672906" w:rsidRDefault="001A5A0B" w:rsidP="001A5A0B">
    <w:pPr>
      <w:autoSpaceDE w:val="0"/>
      <w:autoSpaceDN w:val="0"/>
      <w:adjustRightInd w:val="0"/>
      <w:jc w:val="both"/>
      <w:rPr>
        <w:b/>
        <w:sz w:val="24"/>
        <w:szCs w:val="32"/>
      </w:rPr>
    </w:pPr>
    <w:r w:rsidRPr="00672906">
      <w:rPr>
        <w:b/>
        <w:sz w:val="24"/>
        <w:szCs w:val="32"/>
      </w:rPr>
      <w:t>KONSOLİDE OLMAYAN FİNANSAL TABLOLARA İLİŞKİN AÇIKLAMA VE DİPNOTLAR</w:t>
    </w:r>
  </w:p>
  <w:p w14:paraId="6A462A10" w14:textId="77777777" w:rsidR="001A5A0B" w:rsidRPr="009F6E11" w:rsidRDefault="001A5A0B" w:rsidP="001A5A0B">
    <w:pPr>
      <w:pBdr>
        <w:bottom w:val="single" w:sz="4" w:space="1" w:color="auto"/>
      </w:pBdr>
      <w:autoSpaceDE w:val="0"/>
      <w:autoSpaceDN w:val="0"/>
      <w:adjustRightInd w:val="0"/>
      <w:rPr>
        <w:iCs/>
        <w:sz w:val="18"/>
        <w:szCs w:val="18"/>
      </w:rPr>
    </w:pPr>
    <w:r w:rsidRPr="009F6E11">
      <w:rPr>
        <w:iCs/>
        <w:sz w:val="18"/>
        <w:szCs w:val="18"/>
      </w:rPr>
      <w:t>(Tutarlar aksi belirtilmedikçe Bin Türk Lirası (TL) olarak ifade edilmiştir.)</w:t>
    </w:r>
  </w:p>
  <w:p w14:paraId="312ACDC7" w14:textId="19FD6EF7" w:rsidR="005C30A0" w:rsidRPr="003C6E16" w:rsidRDefault="005C30A0" w:rsidP="001A5A0B">
    <w:pPr>
      <w:autoSpaceDE w:val="0"/>
      <w:autoSpaceDN w:val="0"/>
      <w:adjustRightInd w:val="0"/>
      <w:rPr>
        <w:iCs/>
        <w:sz w:val="18"/>
        <w:szCs w:val="18"/>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A55EF" w14:textId="77777777" w:rsidR="001C13B0" w:rsidRPr="00672906" w:rsidRDefault="001C13B0" w:rsidP="001C13B0">
    <w:pPr>
      <w:ind w:right="-1"/>
      <w:jc w:val="both"/>
      <w:rPr>
        <w:b/>
        <w:bCs/>
        <w:sz w:val="24"/>
        <w:szCs w:val="32"/>
      </w:rPr>
    </w:pPr>
    <w:r w:rsidRPr="00672906">
      <w:rPr>
        <w:b/>
        <w:bCs/>
        <w:sz w:val="24"/>
        <w:szCs w:val="32"/>
      </w:rPr>
      <w:t>DÜNYA KATILIM BANKASI A.Ş.</w:t>
    </w:r>
  </w:p>
  <w:p w14:paraId="2E0F7470" w14:textId="77777777" w:rsidR="001C13B0" w:rsidRPr="00672906" w:rsidRDefault="001C13B0" w:rsidP="001C13B0">
    <w:pPr>
      <w:ind w:right="-1"/>
      <w:jc w:val="both"/>
      <w:rPr>
        <w:b/>
        <w:bCs/>
        <w:sz w:val="24"/>
        <w:szCs w:val="32"/>
      </w:rPr>
    </w:pPr>
  </w:p>
  <w:p w14:paraId="21F2B286" w14:textId="61BEB8F1" w:rsidR="001C13B0" w:rsidRPr="00672906" w:rsidRDefault="00C22F4B" w:rsidP="001C13B0">
    <w:pPr>
      <w:autoSpaceDE w:val="0"/>
      <w:autoSpaceDN w:val="0"/>
      <w:adjustRightInd w:val="0"/>
      <w:rPr>
        <w:b/>
        <w:sz w:val="24"/>
        <w:szCs w:val="32"/>
      </w:rPr>
    </w:pPr>
    <w:r>
      <w:rPr>
        <w:b/>
        <w:sz w:val="24"/>
        <w:szCs w:val="32"/>
      </w:rPr>
      <w:t>31 ARALIK</w:t>
    </w:r>
    <w:r w:rsidR="001C13B0" w:rsidRPr="00A832B6">
      <w:rPr>
        <w:b/>
        <w:sz w:val="24"/>
        <w:szCs w:val="32"/>
      </w:rPr>
      <w:t xml:space="preserve"> </w:t>
    </w:r>
    <w:r w:rsidR="001C13B0" w:rsidRPr="00C4178A">
      <w:rPr>
        <w:b/>
        <w:bCs/>
        <w:sz w:val="24"/>
        <w:szCs w:val="32"/>
      </w:rPr>
      <w:t>2025</w:t>
    </w:r>
    <w:r w:rsidR="001C13B0" w:rsidRPr="00672906">
      <w:rPr>
        <w:b/>
        <w:sz w:val="24"/>
        <w:szCs w:val="32"/>
      </w:rPr>
      <w:t xml:space="preserve"> TARİHİNDE SONA EREN HESAP DÖNEMİNE AİT </w:t>
    </w:r>
  </w:p>
  <w:p w14:paraId="76B77D3E" w14:textId="77777777" w:rsidR="001C13B0" w:rsidRPr="00672906" w:rsidRDefault="001C13B0" w:rsidP="001C13B0">
    <w:pPr>
      <w:autoSpaceDE w:val="0"/>
      <w:autoSpaceDN w:val="0"/>
      <w:adjustRightInd w:val="0"/>
      <w:rPr>
        <w:b/>
        <w:sz w:val="24"/>
        <w:szCs w:val="32"/>
      </w:rPr>
    </w:pPr>
    <w:r w:rsidRPr="00672906">
      <w:rPr>
        <w:b/>
        <w:sz w:val="24"/>
        <w:szCs w:val="32"/>
      </w:rPr>
      <w:t>KONSOLİDE OLMAYAN NAKİT AKIŞ TABLOSU</w:t>
    </w:r>
  </w:p>
  <w:p w14:paraId="1C9AE76D" w14:textId="2FB1EE40" w:rsidR="00324789" w:rsidRDefault="001C13B0" w:rsidP="00F36B82">
    <w:pPr>
      <w:pBdr>
        <w:bottom w:val="single" w:sz="4" w:space="1" w:color="auto"/>
      </w:pBdr>
      <w:autoSpaceDE w:val="0"/>
      <w:autoSpaceDN w:val="0"/>
      <w:adjustRightInd w:val="0"/>
      <w:rPr>
        <w:iCs/>
        <w:sz w:val="18"/>
        <w:szCs w:val="18"/>
      </w:rPr>
    </w:pPr>
    <w:r w:rsidRPr="009F6E11">
      <w:rPr>
        <w:iCs/>
        <w:sz w:val="18"/>
        <w:szCs w:val="18"/>
      </w:rPr>
      <w:t>(Tutarlar aksi belirtilmedikçe Bin Türk Lirası (TL) olarak ifade edilmiştir.)</w:t>
    </w:r>
  </w:p>
  <w:p w14:paraId="66544AEB" w14:textId="77777777" w:rsidR="00F36B82" w:rsidRPr="001C13B0" w:rsidRDefault="00F36B82" w:rsidP="00F36B82">
    <w:pPr>
      <w:autoSpaceDE w:val="0"/>
      <w:autoSpaceDN w:val="0"/>
      <w:adjustRightInd w:val="0"/>
      <w:rPr>
        <w:iC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9358" w14:textId="27E5DAF0" w:rsidR="003A4428" w:rsidRDefault="003A4428">
    <w:pPr>
      <w:pStyle w:val="stBilgi"/>
    </w:pPr>
    <w:r>
      <mc:AlternateContent>
        <mc:Choice Requires="wps">
          <w:drawing>
            <wp:anchor distT="0" distB="0" distL="114300" distR="114300" simplePos="0" relativeHeight="251655168" behindDoc="0" locked="0" layoutInCell="1" allowOverlap="1" wp14:anchorId="380D03C7" wp14:editId="30D12DA0">
              <wp:simplePos x="0" y="0"/>
              <wp:positionH relativeFrom="page">
                <wp:align>right</wp:align>
              </wp:positionH>
              <wp:positionV relativeFrom="page">
                <wp:align>top</wp:align>
              </wp:positionV>
              <wp:extent cx="1209040" cy="383540"/>
              <wp:effectExtent l="0" t="0" r="0" b="0"/>
              <wp:wrapNone/>
              <wp:docPr id="4" name="geodi_dlp_header_fp"/>
              <wp:cNvGraphicFramePr/>
              <a:graphic xmlns:a="http://schemas.openxmlformats.org/drawingml/2006/main">
                <a:graphicData uri="http://schemas.microsoft.com/office/word/2010/wordprocessingShape">
                  <wps:wsp>
                    <wps:cNvSpPr txBox="1"/>
                    <wps:spPr>
                      <a:xfrm>
                        <a:off x="0" y="0"/>
                        <a:ext cx="1209040" cy="38354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C8BE4C5" w14:textId="080D574A" w:rsidR="003A4428" w:rsidRPr="003A4428" w:rsidRDefault="003A4428" w:rsidP="003A4428">
                          <w:pPr>
                            <w:spacing w:before="240"/>
                            <w:ind w:right="240"/>
                            <w:jc w:val="right"/>
                            <w:rPr>
                              <w:rFonts w:ascii="Arial" w:hAnsi="Arial" w:cs="Arial"/>
                              <w:color w:val="CCFFCC"/>
                              <w14:textFill>
                                <w14:solidFill>
                                  <w14:srgbClr w14:val="CCFFCC">
                                    <w14:alpha w14:val="20000"/>
                                  </w14:srgbClr>
                                </w14:solidFill>
                              </w14:textFill>
                            </w:rPr>
                          </w:pPr>
                          <w:r w:rsidRPr="003A4428">
                            <w:rPr>
                              <w:rFonts w:ascii="Arial" w:hAnsi="Arial" w:cs="Arial"/>
                              <w:color w:val="CCFFCC"/>
                              <w14:textFill>
                                <w14:solidFill>
                                  <w14:srgbClr w14:val="CCFFCC">
                                    <w14:alpha w14:val="20000"/>
                                  </w14:srgbClr>
                                </w14:solidFill>
                              </w14:textFill>
                            </w:rPr>
                            <w:t>Genele Açık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380D03C7" id="_x0000_t202" coordsize="21600,21600" o:spt="202" path="m,l,21600r21600,l21600,xe">
              <v:stroke joinstyle="miter"/>
              <v:path gradientshapeok="t" o:connecttype="rect"/>
            </v:shapetype>
            <v:shape id="geodi_dlp_header_fp" o:spid="_x0000_s1028" type="#_x0000_t202" style="position:absolute;margin-left:44pt;margin-top:0;width:95.2pt;height:30.2pt;z-index:251655168;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" filled="f" stroked="f" strokeweight=".5pt">
              <v:textbox>
                <w:txbxContent>
                  <w:p w14:paraId="0C8BE4C5" w14:textId="080D574A" w:rsidR="003A4428" w:rsidRPr="003A4428" w:rsidRDefault="003A4428" w:rsidP="003A4428">
                    <w:pPr>
                      <w:spacing w:before="240"/>
                      <w:ind w:right="240"/>
                      <w:jc w:val="right"/>
                      <w:rPr>
                        <w:rFonts w:ascii="Arial" w:hAnsi="Arial" w:cs="Arial"/>
                        <w:color w:val="CCFFCC"/>
                        <w14:textFill>
                          <w14:solidFill>
                            <w14:srgbClr w14:val="CCFFCC">
                              <w14:alpha w14:val="20000"/>
                            </w14:srgbClr>
                          </w14:solidFill>
                        </w14:textFill>
                      </w:rPr>
                    </w:pPr>
                    <w:r w:rsidRPr="003A4428">
                      <w:rPr>
                        <w:rFonts w:ascii="Arial" w:hAnsi="Arial" w:cs="Arial"/>
                        <w:color w:val="CCFFCC"/>
                        <w14:textFill>
                          <w14:solidFill>
                            <w14:srgbClr w14:val="CCFFCC">
                              <w14:alpha w14:val="20000"/>
                            </w14:srgbClr>
                          </w14:solidFill>
                        </w14:textFill>
                      </w:rPr>
                      <w:t>Genele Açık</w:t>
                    </w:r>
                  </w:p>
                </w:txbxContent>
              </v:textbox>
              <w10:wrap anchorx="page" anchory="page"/>
            </v:shape>
          </w:pict>
        </mc:Fallback>
      </mc:AlternateConten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FEA09" w14:textId="3A9EC6F5" w:rsidR="00A966D3" w:rsidRPr="00672906" w:rsidRDefault="00122A5B">
    <w:pPr>
      <w:ind w:right="-1"/>
      <w:jc w:val="both"/>
      <w:rPr>
        <w:b/>
        <w:bCs/>
        <w:sz w:val="24"/>
        <w:szCs w:val="32"/>
      </w:rPr>
    </w:pPr>
    <w:r w:rsidRPr="00672906">
      <w:rPr>
        <w:b/>
        <w:bCs/>
        <w:sz w:val="24"/>
        <w:szCs w:val="32"/>
      </w:rPr>
      <w:t>DÜNYA</w:t>
    </w:r>
    <w:r w:rsidR="00A966D3" w:rsidRPr="00672906">
      <w:rPr>
        <w:b/>
        <w:bCs/>
        <w:sz w:val="24"/>
        <w:szCs w:val="32"/>
      </w:rPr>
      <w:t xml:space="preserve"> KATILIM BANKASI A.Ş.</w:t>
    </w:r>
  </w:p>
  <w:p w14:paraId="35A8F623" w14:textId="77777777" w:rsidR="00324789" w:rsidRPr="00672906" w:rsidRDefault="00324789">
    <w:pPr>
      <w:ind w:right="-1"/>
      <w:jc w:val="both"/>
      <w:rPr>
        <w:b/>
        <w:bCs/>
        <w:sz w:val="24"/>
        <w:szCs w:val="32"/>
      </w:rPr>
    </w:pPr>
  </w:p>
  <w:p w14:paraId="0C825269" w14:textId="125A2E42" w:rsidR="00A966D3" w:rsidRPr="00672906" w:rsidRDefault="008276BE">
    <w:pPr>
      <w:autoSpaceDE w:val="0"/>
      <w:autoSpaceDN w:val="0"/>
      <w:adjustRightInd w:val="0"/>
      <w:rPr>
        <w:b/>
        <w:sz w:val="24"/>
        <w:szCs w:val="32"/>
      </w:rPr>
    </w:pPr>
    <w:r>
      <w:rPr>
        <w:b/>
        <w:sz w:val="24"/>
        <w:szCs w:val="32"/>
      </w:rPr>
      <w:t>31</w:t>
    </w:r>
    <w:r w:rsidRPr="00A832B6">
      <w:rPr>
        <w:b/>
        <w:sz w:val="24"/>
        <w:szCs w:val="32"/>
      </w:rPr>
      <w:t xml:space="preserve"> </w:t>
    </w:r>
    <w:r>
      <w:rPr>
        <w:b/>
        <w:sz w:val="24"/>
        <w:szCs w:val="32"/>
      </w:rPr>
      <w:t>ARALIK</w:t>
    </w:r>
    <w:r w:rsidRPr="00A832B6">
      <w:rPr>
        <w:b/>
        <w:sz w:val="24"/>
        <w:szCs w:val="32"/>
      </w:rPr>
      <w:t xml:space="preserve"> 2025 </w:t>
    </w:r>
    <w:r w:rsidR="00A966D3" w:rsidRPr="00672906">
      <w:rPr>
        <w:b/>
        <w:sz w:val="24"/>
        <w:szCs w:val="32"/>
      </w:rPr>
      <w:t xml:space="preserve">TARİHİNDE SONA EREN HESAP DÖNEMİNE AİT </w:t>
    </w:r>
  </w:p>
  <w:p w14:paraId="31C73FFC" w14:textId="77777777" w:rsidR="00A966D3" w:rsidRPr="00672906" w:rsidRDefault="00A966D3">
    <w:pPr>
      <w:autoSpaceDE w:val="0"/>
      <w:autoSpaceDN w:val="0"/>
      <w:adjustRightInd w:val="0"/>
      <w:rPr>
        <w:b/>
        <w:sz w:val="24"/>
        <w:szCs w:val="32"/>
      </w:rPr>
    </w:pPr>
    <w:r w:rsidRPr="00672906">
      <w:rPr>
        <w:b/>
        <w:sz w:val="24"/>
        <w:szCs w:val="32"/>
      </w:rPr>
      <w:t>KONSOLİDE OLMAYAN NAKİT AKIŞ TABLOSU</w:t>
    </w:r>
  </w:p>
  <w:p w14:paraId="2C3AF0AA" w14:textId="11A36EC0" w:rsidR="00324789" w:rsidRPr="00276D99" w:rsidRDefault="00A966D3" w:rsidP="00276D99">
    <w:pPr>
      <w:pBdr>
        <w:bottom w:val="single" w:sz="4" w:space="1" w:color="auto"/>
      </w:pBdr>
      <w:autoSpaceDE w:val="0"/>
      <w:autoSpaceDN w:val="0"/>
      <w:adjustRightInd w:val="0"/>
      <w:rPr>
        <w:iCs/>
        <w:sz w:val="18"/>
        <w:szCs w:val="18"/>
      </w:rPr>
    </w:pPr>
    <w:r w:rsidRPr="009F6E11">
      <w:rPr>
        <w:iCs/>
        <w:sz w:val="18"/>
        <w:szCs w:val="18"/>
      </w:rPr>
      <w:t>(Tutarlar aksi belirtilmedikçe Bin Türk Lirası (TL) olarak ifade edilmiştir.)</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36AAB" w14:textId="77777777" w:rsidR="0014276B" w:rsidRDefault="0014276B" w:rsidP="0014276B">
    <w:pPr>
      <w:ind w:right="-1"/>
      <w:jc w:val="both"/>
      <w:rPr>
        <w:b/>
        <w:bCs/>
        <w:sz w:val="24"/>
        <w:szCs w:val="32"/>
      </w:rPr>
    </w:pPr>
    <w:bookmarkStart w:id="17" w:name="_Hlk222997857"/>
    <w:bookmarkStart w:id="18" w:name="_Hlk222997858"/>
    <w:r>
      <w:rPr>
        <w:b/>
        <w:bCs/>
        <w:sz w:val="24"/>
        <w:szCs w:val="32"/>
      </w:rPr>
      <w:t>DÜNYA KATILIM BANKASI A.Ş.</w:t>
    </w:r>
  </w:p>
  <w:p w14:paraId="3A9004A7" w14:textId="77777777" w:rsidR="0014276B" w:rsidRDefault="0014276B" w:rsidP="0014276B">
    <w:pPr>
      <w:ind w:right="-1"/>
      <w:jc w:val="both"/>
      <w:rPr>
        <w:b/>
        <w:bCs/>
        <w:sz w:val="24"/>
        <w:szCs w:val="32"/>
      </w:rPr>
    </w:pPr>
  </w:p>
  <w:p w14:paraId="420F4F0A" w14:textId="005C3FAD" w:rsidR="0014276B" w:rsidRDefault="0014276B" w:rsidP="0014276B">
    <w:pPr>
      <w:autoSpaceDE w:val="0"/>
      <w:autoSpaceDN w:val="0"/>
      <w:adjustRightInd w:val="0"/>
      <w:rPr>
        <w:b/>
        <w:sz w:val="24"/>
        <w:szCs w:val="32"/>
      </w:rPr>
    </w:pPr>
    <w:r>
      <w:rPr>
        <w:b/>
        <w:sz w:val="24"/>
        <w:szCs w:val="32"/>
      </w:rPr>
      <w:t xml:space="preserve">31 ARALIK 2025 TARİHİNDE SONA EREN HESAP DÖNEMİNE AİT </w:t>
    </w:r>
  </w:p>
  <w:p w14:paraId="6057FA56" w14:textId="77777777" w:rsidR="0014276B" w:rsidRDefault="0014276B" w:rsidP="0014276B">
    <w:pPr>
      <w:autoSpaceDE w:val="0"/>
      <w:autoSpaceDN w:val="0"/>
      <w:adjustRightInd w:val="0"/>
      <w:jc w:val="both"/>
      <w:rPr>
        <w:b/>
        <w:sz w:val="24"/>
        <w:szCs w:val="32"/>
      </w:rPr>
    </w:pPr>
    <w:r>
      <w:rPr>
        <w:b/>
        <w:sz w:val="24"/>
        <w:szCs w:val="32"/>
      </w:rPr>
      <w:t>KONSOLİDE OLMAYAN KAR DAĞITIM TABLOSU</w:t>
    </w:r>
  </w:p>
  <w:p w14:paraId="2A2BAEED" w14:textId="77777777" w:rsidR="0014276B" w:rsidRDefault="0014276B" w:rsidP="0014276B">
    <w:pPr>
      <w:pBdr>
        <w:bottom w:val="single" w:sz="4" w:space="1" w:color="auto"/>
      </w:pBdr>
      <w:autoSpaceDE w:val="0"/>
      <w:autoSpaceDN w:val="0"/>
      <w:adjustRightInd w:val="0"/>
      <w:rPr>
        <w:iCs/>
        <w:sz w:val="18"/>
        <w:szCs w:val="18"/>
      </w:rPr>
    </w:pPr>
    <w:r>
      <w:rPr>
        <w:iCs/>
        <w:sz w:val="18"/>
        <w:szCs w:val="18"/>
      </w:rPr>
      <w:t>(Tutarlar aksi belirtilmedikçe Bin Türk Lirası (TL) olarak ifade edilmiştir.)</w:t>
    </w:r>
  </w:p>
  <w:bookmarkEnd w:id="17"/>
  <w:bookmarkEnd w:id="18"/>
  <w:p w14:paraId="68E29356" w14:textId="77777777" w:rsidR="0014276B" w:rsidRDefault="0014276B" w:rsidP="0014276B">
    <w:pPr>
      <w:autoSpaceDE w:val="0"/>
      <w:autoSpaceDN w:val="0"/>
      <w:adjustRightInd w:val="0"/>
      <w:rPr>
        <w:iCs/>
        <w:sz w:val="22"/>
        <w:szCs w:val="22"/>
      </w:rP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B8ED3" w14:textId="77777777" w:rsidR="00F91828" w:rsidRPr="00672906" w:rsidRDefault="00F91828" w:rsidP="00F36B82">
    <w:pPr>
      <w:ind w:right="-1"/>
      <w:jc w:val="both"/>
      <w:rPr>
        <w:b/>
        <w:bCs/>
        <w:sz w:val="24"/>
        <w:szCs w:val="32"/>
      </w:rPr>
    </w:pPr>
    <w:r w:rsidRPr="00672906">
      <w:rPr>
        <w:b/>
        <w:bCs/>
        <w:sz w:val="24"/>
        <w:szCs w:val="32"/>
      </w:rPr>
      <w:t>DÜNYA KATILIM BANKASI A.Ş.</w:t>
    </w:r>
  </w:p>
  <w:p w14:paraId="21632905" w14:textId="77777777" w:rsidR="00F91828" w:rsidRPr="00672906" w:rsidRDefault="00F91828" w:rsidP="00F36B82">
    <w:pPr>
      <w:ind w:right="-1"/>
      <w:jc w:val="both"/>
      <w:rPr>
        <w:b/>
        <w:bCs/>
        <w:sz w:val="24"/>
        <w:szCs w:val="32"/>
      </w:rPr>
    </w:pPr>
  </w:p>
  <w:p w14:paraId="74295BA9" w14:textId="587BCCED" w:rsidR="00F91828" w:rsidRPr="00672906" w:rsidRDefault="00F91828" w:rsidP="00F36B82">
    <w:pPr>
      <w:autoSpaceDE w:val="0"/>
      <w:autoSpaceDN w:val="0"/>
      <w:adjustRightInd w:val="0"/>
      <w:rPr>
        <w:b/>
        <w:sz w:val="24"/>
        <w:szCs w:val="32"/>
      </w:rPr>
    </w:pPr>
    <w:r w:rsidRPr="00DD14D6">
      <w:rPr>
        <w:b/>
        <w:sz w:val="24"/>
        <w:szCs w:val="32"/>
      </w:rPr>
      <w:t>31 ARALIK</w:t>
    </w:r>
    <w:r w:rsidRPr="00672906">
      <w:rPr>
        <w:b/>
        <w:sz w:val="24"/>
        <w:szCs w:val="32"/>
      </w:rPr>
      <w:t xml:space="preserve"> 202</w:t>
    </w:r>
    <w:r w:rsidR="009A3A4D">
      <w:rPr>
        <w:b/>
        <w:sz w:val="24"/>
        <w:szCs w:val="32"/>
      </w:rPr>
      <w:t>5</w:t>
    </w:r>
    <w:r w:rsidRPr="00672906">
      <w:rPr>
        <w:b/>
        <w:sz w:val="24"/>
        <w:szCs w:val="32"/>
      </w:rPr>
      <w:t xml:space="preserve"> TARİHİNDE SONA EREN HESAP DÖNEMİNE AİT </w:t>
    </w:r>
  </w:p>
  <w:p w14:paraId="71AE6118" w14:textId="77777777" w:rsidR="00F91828" w:rsidRPr="00672906" w:rsidRDefault="00F91828" w:rsidP="00F36B82">
    <w:pPr>
      <w:autoSpaceDE w:val="0"/>
      <w:autoSpaceDN w:val="0"/>
      <w:adjustRightInd w:val="0"/>
      <w:jc w:val="both"/>
      <w:rPr>
        <w:b/>
        <w:sz w:val="24"/>
        <w:szCs w:val="32"/>
      </w:rPr>
    </w:pPr>
    <w:r w:rsidRPr="00672906">
      <w:rPr>
        <w:b/>
        <w:sz w:val="24"/>
        <w:szCs w:val="32"/>
      </w:rPr>
      <w:t>KONSOLİDE OLMAYAN FİNANSAL TABLOLARA İLİŞKİN AÇIKLAMA VE DİPNOTLAR</w:t>
    </w:r>
  </w:p>
  <w:p w14:paraId="49CFDBEA" w14:textId="77777777" w:rsidR="00F91828" w:rsidRPr="003C6E16" w:rsidRDefault="00F91828" w:rsidP="00F36B82">
    <w:pPr>
      <w:pBdr>
        <w:bottom w:val="single" w:sz="4" w:space="1" w:color="auto"/>
      </w:pBdr>
      <w:autoSpaceDE w:val="0"/>
      <w:autoSpaceDN w:val="0"/>
      <w:adjustRightInd w:val="0"/>
      <w:rPr>
        <w:iCs/>
        <w:sz w:val="18"/>
        <w:szCs w:val="18"/>
      </w:rPr>
    </w:pPr>
    <w:r w:rsidRPr="003C6E16">
      <w:rPr>
        <w:iCs/>
        <w:sz w:val="18"/>
        <w:szCs w:val="18"/>
      </w:rPr>
      <w:t>(Tutarlar aksi belirtilmedikçe Bin Türk Lirası (TL) olarak ifade edilmiştir.)</w:t>
    </w:r>
  </w:p>
  <w:p w14:paraId="50F2BC19" w14:textId="77777777" w:rsidR="00F36B82" w:rsidRDefault="00F36B82" w:rsidP="00F36B82"/>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11E5D" w14:textId="77777777" w:rsidR="00F36B82" w:rsidRPr="00672906" w:rsidRDefault="00F36B82" w:rsidP="00F36B82">
    <w:pPr>
      <w:ind w:right="-1"/>
      <w:jc w:val="both"/>
      <w:rPr>
        <w:b/>
        <w:bCs/>
        <w:sz w:val="24"/>
        <w:szCs w:val="32"/>
      </w:rPr>
    </w:pPr>
    <w:r w:rsidRPr="00672906">
      <w:rPr>
        <w:b/>
        <w:bCs/>
        <w:sz w:val="24"/>
        <w:szCs w:val="32"/>
      </w:rPr>
      <w:t>DÜNYA KATILIM BANKASI A.Ş.</w:t>
    </w:r>
  </w:p>
  <w:p w14:paraId="46F6D8AF" w14:textId="77777777" w:rsidR="00F36B82" w:rsidRPr="00672906" w:rsidRDefault="00F36B82" w:rsidP="00F36B82">
    <w:pPr>
      <w:ind w:right="-1"/>
      <w:jc w:val="both"/>
      <w:rPr>
        <w:b/>
        <w:bCs/>
        <w:sz w:val="24"/>
        <w:szCs w:val="32"/>
      </w:rPr>
    </w:pPr>
  </w:p>
  <w:p w14:paraId="06E39801" w14:textId="77777777" w:rsidR="00F36B82" w:rsidRPr="00672906" w:rsidRDefault="00F36B82" w:rsidP="00F36B82">
    <w:pPr>
      <w:autoSpaceDE w:val="0"/>
      <w:autoSpaceDN w:val="0"/>
      <w:adjustRightInd w:val="0"/>
      <w:jc w:val="both"/>
      <w:rPr>
        <w:b/>
        <w:sz w:val="24"/>
        <w:szCs w:val="32"/>
      </w:rPr>
    </w:pPr>
    <w:r w:rsidRPr="00DD14D6">
      <w:rPr>
        <w:b/>
        <w:sz w:val="24"/>
        <w:szCs w:val="32"/>
      </w:rPr>
      <w:t>31 ARALIK</w:t>
    </w:r>
    <w:r w:rsidRPr="00672906">
      <w:rPr>
        <w:b/>
        <w:sz w:val="24"/>
        <w:szCs w:val="32"/>
      </w:rPr>
      <w:t xml:space="preserve"> 2024 TARİHİNDE SONA EREN HESAP DÖNEMİNE AİT </w:t>
    </w:r>
  </w:p>
  <w:p w14:paraId="644B1D73" w14:textId="77777777" w:rsidR="00F36B82" w:rsidRPr="00672906" w:rsidRDefault="00F36B82" w:rsidP="00F36B82">
    <w:pPr>
      <w:autoSpaceDE w:val="0"/>
      <w:autoSpaceDN w:val="0"/>
      <w:adjustRightInd w:val="0"/>
      <w:jc w:val="both"/>
      <w:rPr>
        <w:b/>
        <w:sz w:val="24"/>
        <w:szCs w:val="32"/>
      </w:rPr>
    </w:pPr>
    <w:r w:rsidRPr="00672906">
      <w:rPr>
        <w:b/>
        <w:sz w:val="24"/>
        <w:szCs w:val="32"/>
      </w:rPr>
      <w:t>KONSOLİDE OLMAYAN FİNANSAL TABLOLARA İLİŞKİN AÇIKLAMA VE DİPNOTLAR</w:t>
    </w:r>
  </w:p>
  <w:p w14:paraId="30B5C2BC" w14:textId="77777777" w:rsidR="00F36B82" w:rsidRDefault="00F36B82" w:rsidP="00F36B82">
    <w:pPr>
      <w:pBdr>
        <w:bottom w:val="single" w:sz="4" w:space="1" w:color="auto"/>
      </w:pBdr>
      <w:autoSpaceDE w:val="0"/>
      <w:autoSpaceDN w:val="0"/>
      <w:adjustRightInd w:val="0"/>
      <w:jc w:val="both"/>
      <w:rPr>
        <w:iCs/>
        <w:sz w:val="18"/>
        <w:szCs w:val="18"/>
      </w:rPr>
    </w:pPr>
    <w:r w:rsidRPr="009F6E11">
      <w:rPr>
        <w:iCs/>
        <w:sz w:val="18"/>
        <w:szCs w:val="18"/>
      </w:rPr>
      <w:t>(Tutarlar aksi belirtilmedikçe Bin Türk Lirası (TL) olarak ifade edilmiştir.)</w:t>
    </w:r>
  </w:p>
  <w:p w14:paraId="47FC66BC" w14:textId="77777777" w:rsidR="00F36B82" w:rsidRPr="009F6E11" w:rsidRDefault="00F36B82" w:rsidP="00F36B82">
    <w:pPr>
      <w:autoSpaceDE w:val="0"/>
      <w:autoSpaceDN w:val="0"/>
      <w:adjustRightInd w:val="0"/>
      <w:jc w:val="both"/>
      <w:rPr>
        <w:iCs/>
        <w:sz w:val="18"/>
        <w:szCs w:val="18"/>
      </w:rP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CFBA2" w14:textId="77777777" w:rsidR="00F91828" w:rsidRPr="00672906" w:rsidRDefault="00F91828" w:rsidP="00F36B82">
    <w:pPr>
      <w:ind w:right="-1"/>
      <w:jc w:val="both"/>
      <w:rPr>
        <w:b/>
        <w:bCs/>
        <w:sz w:val="24"/>
        <w:szCs w:val="32"/>
      </w:rPr>
    </w:pPr>
    <w:r w:rsidRPr="00672906">
      <w:rPr>
        <w:b/>
        <w:bCs/>
        <w:sz w:val="24"/>
        <w:szCs w:val="32"/>
      </w:rPr>
      <w:t>DÜNYA KATILIM BANKASI A.Ş.</w:t>
    </w:r>
  </w:p>
  <w:p w14:paraId="3CFE37A4" w14:textId="77777777" w:rsidR="00F91828" w:rsidRPr="00672906" w:rsidRDefault="00F91828" w:rsidP="00F36B82">
    <w:pPr>
      <w:ind w:right="-1"/>
      <w:jc w:val="both"/>
      <w:rPr>
        <w:b/>
        <w:bCs/>
        <w:sz w:val="24"/>
        <w:szCs w:val="32"/>
      </w:rPr>
    </w:pPr>
  </w:p>
  <w:p w14:paraId="7FA9547C" w14:textId="77777777" w:rsidR="00F91828" w:rsidRPr="00672906" w:rsidRDefault="00F91828" w:rsidP="00F36B82">
    <w:pPr>
      <w:autoSpaceDE w:val="0"/>
      <w:autoSpaceDN w:val="0"/>
      <w:adjustRightInd w:val="0"/>
      <w:jc w:val="both"/>
      <w:rPr>
        <w:b/>
        <w:sz w:val="24"/>
        <w:szCs w:val="32"/>
      </w:rPr>
    </w:pPr>
    <w:r w:rsidRPr="00DD14D6">
      <w:rPr>
        <w:b/>
        <w:sz w:val="24"/>
        <w:szCs w:val="32"/>
      </w:rPr>
      <w:t>31 ARALIK</w:t>
    </w:r>
    <w:r w:rsidRPr="00672906">
      <w:rPr>
        <w:b/>
        <w:sz w:val="24"/>
        <w:szCs w:val="32"/>
      </w:rPr>
      <w:t xml:space="preserve"> 2024 TARİHİNDE SONA EREN HESAP DÖNEMİNE AİT </w:t>
    </w:r>
  </w:p>
  <w:p w14:paraId="1E1B04F2" w14:textId="77777777" w:rsidR="00F91828" w:rsidRPr="00672906" w:rsidRDefault="00F91828" w:rsidP="00F36B82">
    <w:pPr>
      <w:autoSpaceDE w:val="0"/>
      <w:autoSpaceDN w:val="0"/>
      <w:adjustRightInd w:val="0"/>
      <w:jc w:val="both"/>
      <w:rPr>
        <w:b/>
        <w:sz w:val="24"/>
        <w:szCs w:val="32"/>
      </w:rPr>
    </w:pPr>
    <w:r w:rsidRPr="00672906">
      <w:rPr>
        <w:b/>
        <w:sz w:val="24"/>
        <w:szCs w:val="32"/>
      </w:rPr>
      <w:t>KONSOLİDE OLMAYAN FİNANSAL TABLOLARA İLİŞKİN AÇIKLAMA VE DİPNOTLAR</w:t>
    </w:r>
  </w:p>
  <w:p w14:paraId="0D9980F9" w14:textId="77777777" w:rsidR="00F91828" w:rsidRDefault="00F91828" w:rsidP="00F36B82">
    <w:pPr>
      <w:pBdr>
        <w:bottom w:val="single" w:sz="4" w:space="1" w:color="auto"/>
      </w:pBdr>
      <w:autoSpaceDE w:val="0"/>
      <w:autoSpaceDN w:val="0"/>
      <w:adjustRightInd w:val="0"/>
      <w:jc w:val="both"/>
      <w:rPr>
        <w:iCs/>
        <w:sz w:val="18"/>
        <w:szCs w:val="18"/>
      </w:rPr>
    </w:pPr>
    <w:r w:rsidRPr="009F6E11">
      <w:rPr>
        <w:iCs/>
        <w:sz w:val="18"/>
        <w:szCs w:val="18"/>
      </w:rPr>
      <w:t>(Tutarlar aksi belirtilmedikçe Bin Türk Lirası (TL) olarak ifade edilmiştir.)</w:t>
    </w:r>
  </w:p>
  <w:p w14:paraId="5FFFEE36" w14:textId="77777777" w:rsidR="00F36B82" w:rsidRPr="009F6E11" w:rsidRDefault="00F36B82" w:rsidP="00F36B82">
    <w:pPr>
      <w:autoSpaceDE w:val="0"/>
      <w:autoSpaceDN w:val="0"/>
      <w:adjustRightInd w:val="0"/>
      <w:jc w:val="both"/>
      <w:rPr>
        <w:iCs/>
        <w:sz w:val="18"/>
        <w:szCs w:val="18"/>
      </w:rP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0AF79" w14:textId="77777777" w:rsidR="00EE0925" w:rsidRPr="00672906" w:rsidRDefault="00EE0925" w:rsidP="00DD14D6">
    <w:pPr>
      <w:ind w:right="-1"/>
      <w:jc w:val="both"/>
      <w:rPr>
        <w:b/>
        <w:bCs/>
        <w:sz w:val="24"/>
        <w:szCs w:val="32"/>
      </w:rPr>
    </w:pPr>
    <w:r w:rsidRPr="00672906">
      <w:rPr>
        <w:b/>
        <w:bCs/>
        <w:sz w:val="24"/>
        <w:szCs w:val="32"/>
      </w:rPr>
      <w:t>DÜNYA KATILIM BANKASI A.Ş.</w:t>
    </w:r>
  </w:p>
  <w:p w14:paraId="05789BEA" w14:textId="77777777" w:rsidR="00EE0925" w:rsidRPr="00672906" w:rsidRDefault="00EE0925" w:rsidP="00DD14D6">
    <w:pPr>
      <w:ind w:right="-1"/>
      <w:jc w:val="both"/>
      <w:rPr>
        <w:b/>
        <w:bCs/>
        <w:sz w:val="24"/>
        <w:szCs w:val="32"/>
      </w:rPr>
    </w:pPr>
  </w:p>
  <w:p w14:paraId="7F020325" w14:textId="77777777" w:rsidR="00EE0925" w:rsidRPr="00672906" w:rsidRDefault="00EE0925" w:rsidP="00DD14D6">
    <w:pPr>
      <w:autoSpaceDE w:val="0"/>
      <w:autoSpaceDN w:val="0"/>
      <w:adjustRightInd w:val="0"/>
      <w:rPr>
        <w:b/>
        <w:sz w:val="24"/>
        <w:szCs w:val="32"/>
      </w:rPr>
    </w:pPr>
    <w:r>
      <w:rPr>
        <w:b/>
        <w:sz w:val="24"/>
        <w:szCs w:val="32"/>
      </w:rPr>
      <w:t>30</w:t>
    </w:r>
    <w:r w:rsidRPr="00672906">
      <w:rPr>
        <w:b/>
        <w:sz w:val="24"/>
        <w:szCs w:val="32"/>
      </w:rPr>
      <w:t xml:space="preserve"> </w:t>
    </w:r>
    <w:r>
      <w:rPr>
        <w:b/>
        <w:sz w:val="24"/>
        <w:szCs w:val="32"/>
      </w:rPr>
      <w:t>HAZİRAN</w:t>
    </w:r>
    <w:r w:rsidRPr="00C4178A">
      <w:rPr>
        <w:b/>
        <w:sz w:val="24"/>
        <w:szCs w:val="32"/>
      </w:rPr>
      <w:t xml:space="preserve"> 2025</w:t>
    </w:r>
    <w:r w:rsidRPr="00672906">
      <w:rPr>
        <w:b/>
        <w:sz w:val="24"/>
        <w:szCs w:val="32"/>
      </w:rPr>
      <w:t xml:space="preserve"> TARİHİNDE SONA EREN HESAP DÖNEMİNE AİT </w:t>
    </w:r>
  </w:p>
  <w:p w14:paraId="0B3FA9EA" w14:textId="77777777" w:rsidR="00EE0925" w:rsidRPr="00672906" w:rsidRDefault="00EE0925" w:rsidP="00DD14D6">
    <w:pPr>
      <w:autoSpaceDE w:val="0"/>
      <w:autoSpaceDN w:val="0"/>
      <w:adjustRightInd w:val="0"/>
      <w:jc w:val="both"/>
      <w:rPr>
        <w:b/>
        <w:sz w:val="24"/>
        <w:szCs w:val="32"/>
      </w:rPr>
    </w:pPr>
    <w:r w:rsidRPr="00672906">
      <w:rPr>
        <w:b/>
        <w:sz w:val="24"/>
        <w:szCs w:val="32"/>
      </w:rPr>
      <w:t>KONSOLİDE OLMAYAN FİNANSAL TABLOLARA İLİŞKİN AÇIKLAMA VE DİPNOTLAR</w:t>
    </w:r>
  </w:p>
  <w:p w14:paraId="24663912" w14:textId="77777777" w:rsidR="00EE0925" w:rsidRPr="009F6E11" w:rsidRDefault="00EE0925" w:rsidP="00DD14D6">
    <w:pPr>
      <w:pBdr>
        <w:bottom w:val="single" w:sz="4" w:space="1" w:color="auto"/>
      </w:pBdr>
      <w:autoSpaceDE w:val="0"/>
      <w:autoSpaceDN w:val="0"/>
      <w:adjustRightInd w:val="0"/>
      <w:rPr>
        <w:iCs/>
        <w:sz w:val="18"/>
        <w:szCs w:val="18"/>
      </w:rPr>
    </w:pPr>
    <w:r w:rsidRPr="009F6E11">
      <w:rPr>
        <w:iCs/>
        <w:sz w:val="18"/>
        <w:szCs w:val="18"/>
      </w:rPr>
      <w:t>(Tutarlar aksi belirtilmedikçe Bin Türk Lirası (TL) olarak ifade edilmiştir.)</w:t>
    </w:r>
  </w:p>
  <w:p w14:paraId="00A830D3" w14:textId="77777777" w:rsidR="00EE0925" w:rsidRPr="009F6E11" w:rsidRDefault="00EE0925" w:rsidP="00DD14D6">
    <w:pPr>
      <w:pStyle w:val="stBilgi"/>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A1534" w14:textId="77777777" w:rsidR="00EE0925" w:rsidRPr="00672906" w:rsidRDefault="00EE0925" w:rsidP="00DD14D6">
    <w:pPr>
      <w:ind w:right="-1"/>
      <w:jc w:val="both"/>
      <w:rPr>
        <w:b/>
        <w:bCs/>
        <w:sz w:val="24"/>
        <w:szCs w:val="32"/>
      </w:rPr>
    </w:pPr>
    <w:r w:rsidRPr="00672906">
      <w:rPr>
        <w:b/>
        <w:bCs/>
        <w:sz w:val="24"/>
        <w:szCs w:val="32"/>
      </w:rPr>
      <w:t>DÜNYA KATILIM BANKASI A.Ş.</w:t>
    </w:r>
  </w:p>
  <w:p w14:paraId="629C1925" w14:textId="77777777" w:rsidR="00EE0925" w:rsidRPr="00672906" w:rsidRDefault="00EE0925" w:rsidP="00DD14D6">
    <w:pPr>
      <w:ind w:right="-1"/>
      <w:jc w:val="both"/>
      <w:rPr>
        <w:b/>
        <w:bCs/>
        <w:sz w:val="24"/>
        <w:szCs w:val="32"/>
      </w:rPr>
    </w:pPr>
  </w:p>
  <w:p w14:paraId="197D958F" w14:textId="77777777" w:rsidR="00EE0925" w:rsidRPr="00672906" w:rsidRDefault="00EE0925" w:rsidP="00DD14D6">
    <w:pPr>
      <w:autoSpaceDE w:val="0"/>
      <w:autoSpaceDN w:val="0"/>
      <w:adjustRightInd w:val="0"/>
      <w:rPr>
        <w:b/>
        <w:sz w:val="24"/>
        <w:szCs w:val="32"/>
      </w:rPr>
    </w:pPr>
    <w:r>
      <w:rPr>
        <w:b/>
        <w:sz w:val="24"/>
        <w:szCs w:val="32"/>
      </w:rPr>
      <w:t>30</w:t>
    </w:r>
    <w:r w:rsidRPr="00672906">
      <w:rPr>
        <w:b/>
        <w:sz w:val="24"/>
        <w:szCs w:val="32"/>
      </w:rPr>
      <w:t xml:space="preserve"> </w:t>
    </w:r>
    <w:r>
      <w:rPr>
        <w:b/>
        <w:sz w:val="24"/>
        <w:szCs w:val="32"/>
      </w:rPr>
      <w:t>HAZİRAN</w:t>
    </w:r>
    <w:r w:rsidRPr="00C4178A">
      <w:rPr>
        <w:b/>
        <w:sz w:val="24"/>
        <w:szCs w:val="32"/>
      </w:rPr>
      <w:t xml:space="preserve"> 2025</w:t>
    </w:r>
    <w:r w:rsidRPr="00672906">
      <w:rPr>
        <w:b/>
        <w:sz w:val="24"/>
        <w:szCs w:val="32"/>
      </w:rPr>
      <w:t xml:space="preserve"> TARİHİNDE SONA EREN HESAP DÖNEMİNE AİT </w:t>
    </w:r>
  </w:p>
  <w:p w14:paraId="01DF3EC2" w14:textId="77777777" w:rsidR="00EE0925" w:rsidRPr="00672906" w:rsidRDefault="00EE0925" w:rsidP="00DD14D6">
    <w:pPr>
      <w:autoSpaceDE w:val="0"/>
      <w:autoSpaceDN w:val="0"/>
      <w:adjustRightInd w:val="0"/>
      <w:jc w:val="both"/>
      <w:rPr>
        <w:b/>
        <w:sz w:val="24"/>
        <w:szCs w:val="32"/>
      </w:rPr>
    </w:pPr>
    <w:r w:rsidRPr="00672906">
      <w:rPr>
        <w:b/>
        <w:sz w:val="24"/>
        <w:szCs w:val="32"/>
      </w:rPr>
      <w:t>KONSOLİDE OLMAYAN FİNANSAL TABLOLARA İLİŞKİN AÇIKLAMA VE DİPNOTLAR</w:t>
    </w:r>
  </w:p>
  <w:p w14:paraId="6C77479B" w14:textId="77777777" w:rsidR="00EE0925" w:rsidRPr="009F6E11" w:rsidRDefault="00EE0925" w:rsidP="00DD14D6">
    <w:pPr>
      <w:pBdr>
        <w:bottom w:val="single" w:sz="4" w:space="1" w:color="auto"/>
      </w:pBdr>
      <w:autoSpaceDE w:val="0"/>
      <w:autoSpaceDN w:val="0"/>
      <w:adjustRightInd w:val="0"/>
      <w:rPr>
        <w:iCs/>
        <w:sz w:val="18"/>
        <w:szCs w:val="18"/>
      </w:rPr>
    </w:pPr>
    <w:r w:rsidRPr="009F6E11">
      <w:rPr>
        <w:iCs/>
        <w:sz w:val="18"/>
        <w:szCs w:val="18"/>
      </w:rPr>
      <w:t>(Tutarlar aksi belirtilmedikçe Bin Türk Lirası (TL) olarak ifade edilmiştir.)</w:t>
    </w:r>
  </w:p>
  <w:p w14:paraId="3702E8D1" w14:textId="77777777" w:rsidR="00EE0925" w:rsidRPr="009F6E11" w:rsidRDefault="00EE0925" w:rsidP="00DD14D6">
    <w:pPr>
      <w:pStyle w:val="stBilgi"/>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7D1E8" w14:textId="77777777" w:rsidR="006F3F56" w:rsidRPr="00672906" w:rsidRDefault="006F3F56" w:rsidP="006F3F56">
    <w:pPr>
      <w:ind w:right="-1"/>
      <w:jc w:val="both"/>
      <w:rPr>
        <w:b/>
        <w:bCs/>
        <w:sz w:val="24"/>
        <w:szCs w:val="32"/>
      </w:rPr>
    </w:pPr>
    <w:r w:rsidRPr="00672906">
      <w:rPr>
        <w:b/>
        <w:bCs/>
        <w:sz w:val="24"/>
        <w:szCs w:val="32"/>
      </w:rPr>
      <w:t>DÜNYA KATILIM BANKASI A.Ş.</w:t>
    </w:r>
  </w:p>
  <w:p w14:paraId="3FFC96E2" w14:textId="77777777" w:rsidR="006F3F56" w:rsidRPr="00672906" w:rsidRDefault="006F3F56" w:rsidP="006F3F56">
    <w:pPr>
      <w:tabs>
        <w:tab w:val="left" w:pos="851"/>
      </w:tabs>
      <w:ind w:right="-1"/>
      <w:jc w:val="both"/>
      <w:rPr>
        <w:b/>
        <w:bCs/>
        <w:sz w:val="24"/>
        <w:szCs w:val="32"/>
      </w:rPr>
    </w:pPr>
  </w:p>
  <w:p w14:paraId="583541A1" w14:textId="21CE4C3B" w:rsidR="006F3F56" w:rsidRPr="00672906" w:rsidRDefault="008276BE" w:rsidP="006F3F56">
    <w:pPr>
      <w:tabs>
        <w:tab w:val="left" w:pos="851"/>
      </w:tabs>
      <w:autoSpaceDE w:val="0"/>
      <w:autoSpaceDN w:val="0"/>
      <w:adjustRightInd w:val="0"/>
      <w:rPr>
        <w:b/>
        <w:sz w:val="24"/>
        <w:szCs w:val="32"/>
      </w:rPr>
    </w:pPr>
    <w:r>
      <w:rPr>
        <w:b/>
        <w:sz w:val="24"/>
        <w:szCs w:val="32"/>
      </w:rPr>
      <w:t>31</w:t>
    </w:r>
    <w:r w:rsidRPr="00A832B6">
      <w:rPr>
        <w:b/>
        <w:sz w:val="24"/>
        <w:szCs w:val="32"/>
      </w:rPr>
      <w:t xml:space="preserve"> </w:t>
    </w:r>
    <w:r>
      <w:rPr>
        <w:b/>
        <w:sz w:val="24"/>
        <w:szCs w:val="32"/>
      </w:rPr>
      <w:t>ARALIK</w:t>
    </w:r>
    <w:r w:rsidRPr="00A832B6">
      <w:rPr>
        <w:b/>
        <w:sz w:val="24"/>
        <w:szCs w:val="32"/>
      </w:rPr>
      <w:t xml:space="preserve"> 2025 </w:t>
    </w:r>
    <w:r w:rsidR="006F3F56" w:rsidRPr="00672906">
      <w:rPr>
        <w:b/>
        <w:sz w:val="24"/>
        <w:szCs w:val="32"/>
      </w:rPr>
      <w:t xml:space="preserve">TARİHİNDE SONA EREN HESAP DÖNEMİNE AİT </w:t>
    </w:r>
  </w:p>
  <w:p w14:paraId="0E239C0D" w14:textId="77777777" w:rsidR="006F3F56" w:rsidRPr="00672906" w:rsidRDefault="006F3F56" w:rsidP="006F3F56">
    <w:pPr>
      <w:tabs>
        <w:tab w:val="left" w:pos="851"/>
      </w:tabs>
      <w:autoSpaceDE w:val="0"/>
      <w:autoSpaceDN w:val="0"/>
      <w:adjustRightInd w:val="0"/>
      <w:jc w:val="both"/>
      <w:rPr>
        <w:b/>
        <w:sz w:val="24"/>
        <w:szCs w:val="32"/>
      </w:rPr>
    </w:pPr>
    <w:r w:rsidRPr="00672906">
      <w:rPr>
        <w:b/>
        <w:sz w:val="24"/>
        <w:szCs w:val="32"/>
      </w:rPr>
      <w:t>KONSOLİDE OLMAYAN FİNANSAL TABLOLARA İLİŞKİN AÇIKLAMA VE DİPNOTLAR</w:t>
    </w:r>
  </w:p>
  <w:p w14:paraId="07265B0B" w14:textId="77777777" w:rsidR="006F3F56" w:rsidRPr="009F6E11" w:rsidRDefault="006F3F56" w:rsidP="006F3F56">
    <w:pPr>
      <w:pBdr>
        <w:bottom w:val="single" w:sz="4" w:space="1" w:color="auto"/>
      </w:pBdr>
      <w:tabs>
        <w:tab w:val="left" w:pos="851"/>
      </w:tabs>
      <w:autoSpaceDE w:val="0"/>
      <w:autoSpaceDN w:val="0"/>
      <w:adjustRightInd w:val="0"/>
      <w:rPr>
        <w:iCs/>
        <w:sz w:val="18"/>
        <w:szCs w:val="18"/>
      </w:rPr>
    </w:pPr>
    <w:r w:rsidRPr="009F6E11">
      <w:rPr>
        <w:iCs/>
        <w:sz w:val="18"/>
        <w:szCs w:val="18"/>
      </w:rPr>
      <w:t>(Tutarlar aksi belirtilmedikçe Bin Türk Lirası (TL) olarak ifade edilmiştir.)</w:t>
    </w:r>
  </w:p>
  <w:p w14:paraId="4C37CA13" w14:textId="494B6D95" w:rsidR="006F3F56" w:rsidRPr="006F3F56" w:rsidRDefault="006F3F56" w:rsidP="006F3F56">
    <w:pPr>
      <w:pStyle w:val="stBilgi"/>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57408" w14:textId="77777777" w:rsidR="004975DB" w:rsidRPr="00672906" w:rsidRDefault="004975DB" w:rsidP="00B30F0A">
    <w:pPr>
      <w:ind w:right="-1"/>
      <w:jc w:val="both"/>
      <w:rPr>
        <w:b/>
        <w:bCs/>
        <w:sz w:val="24"/>
        <w:szCs w:val="32"/>
      </w:rPr>
    </w:pPr>
    <w:r w:rsidRPr="00672906">
      <w:rPr>
        <w:b/>
        <w:bCs/>
        <w:sz w:val="24"/>
        <w:szCs w:val="32"/>
      </w:rPr>
      <w:t>DÜNYA KATILIM BANKASI A.Ş.</w:t>
    </w:r>
  </w:p>
  <w:p w14:paraId="50511087" w14:textId="77777777" w:rsidR="004975DB" w:rsidRPr="00672906" w:rsidRDefault="004975DB" w:rsidP="00B30F0A">
    <w:pPr>
      <w:tabs>
        <w:tab w:val="left" w:pos="851"/>
      </w:tabs>
      <w:ind w:right="-1"/>
      <w:jc w:val="both"/>
      <w:rPr>
        <w:b/>
        <w:bCs/>
        <w:sz w:val="24"/>
        <w:szCs w:val="32"/>
      </w:rPr>
    </w:pPr>
  </w:p>
  <w:p w14:paraId="50F3D8AB" w14:textId="1B5BCE7F" w:rsidR="004975DB" w:rsidRPr="00672906" w:rsidRDefault="008276BE" w:rsidP="00B30F0A">
    <w:pPr>
      <w:tabs>
        <w:tab w:val="left" w:pos="851"/>
      </w:tabs>
      <w:autoSpaceDE w:val="0"/>
      <w:autoSpaceDN w:val="0"/>
      <w:adjustRightInd w:val="0"/>
      <w:rPr>
        <w:b/>
        <w:sz w:val="24"/>
        <w:szCs w:val="32"/>
      </w:rPr>
    </w:pPr>
    <w:r>
      <w:rPr>
        <w:b/>
        <w:sz w:val="24"/>
        <w:szCs w:val="32"/>
      </w:rPr>
      <w:t>31</w:t>
    </w:r>
    <w:r w:rsidRPr="00A832B6">
      <w:rPr>
        <w:b/>
        <w:sz w:val="24"/>
        <w:szCs w:val="32"/>
      </w:rPr>
      <w:t xml:space="preserve"> </w:t>
    </w:r>
    <w:r>
      <w:rPr>
        <w:b/>
        <w:sz w:val="24"/>
        <w:szCs w:val="32"/>
      </w:rPr>
      <w:t>ARALIK</w:t>
    </w:r>
    <w:r w:rsidRPr="00A832B6">
      <w:rPr>
        <w:b/>
        <w:sz w:val="24"/>
        <w:szCs w:val="32"/>
      </w:rPr>
      <w:t xml:space="preserve"> 2025 </w:t>
    </w:r>
    <w:r w:rsidR="004975DB" w:rsidRPr="00672906">
      <w:rPr>
        <w:b/>
        <w:sz w:val="24"/>
        <w:szCs w:val="32"/>
      </w:rPr>
      <w:t xml:space="preserve">TARİHİNDE SONA EREN HESAP DÖNEMİNE AİT </w:t>
    </w:r>
  </w:p>
  <w:p w14:paraId="35CBF8DB" w14:textId="77777777" w:rsidR="004975DB" w:rsidRPr="00672906" w:rsidRDefault="004975DB" w:rsidP="00B30F0A">
    <w:pPr>
      <w:tabs>
        <w:tab w:val="left" w:pos="851"/>
      </w:tabs>
      <w:autoSpaceDE w:val="0"/>
      <w:autoSpaceDN w:val="0"/>
      <w:adjustRightInd w:val="0"/>
      <w:jc w:val="both"/>
      <w:rPr>
        <w:b/>
        <w:sz w:val="24"/>
        <w:szCs w:val="32"/>
      </w:rPr>
    </w:pPr>
    <w:r w:rsidRPr="00672906">
      <w:rPr>
        <w:b/>
        <w:sz w:val="24"/>
        <w:szCs w:val="32"/>
      </w:rPr>
      <w:t>KONSOLİDE OLMAYAN FİNANSAL TABLOLARA İLİŞKİN AÇIKLAMA VE DİPNOTLAR</w:t>
    </w:r>
  </w:p>
  <w:p w14:paraId="6D16B023" w14:textId="77777777" w:rsidR="004975DB" w:rsidRPr="009F6E11" w:rsidRDefault="004975DB" w:rsidP="00B30F0A">
    <w:pPr>
      <w:pBdr>
        <w:bottom w:val="single" w:sz="4" w:space="1" w:color="auto"/>
      </w:pBdr>
      <w:tabs>
        <w:tab w:val="left" w:pos="851"/>
      </w:tabs>
      <w:autoSpaceDE w:val="0"/>
      <w:autoSpaceDN w:val="0"/>
      <w:adjustRightInd w:val="0"/>
      <w:rPr>
        <w:iCs/>
        <w:sz w:val="18"/>
        <w:szCs w:val="18"/>
      </w:rPr>
    </w:pPr>
    <w:r w:rsidRPr="009F6E11">
      <w:rPr>
        <w:iCs/>
        <w:sz w:val="18"/>
        <w:szCs w:val="18"/>
      </w:rPr>
      <w:t>(Tutarlar aksi belirtilmedikçe Bin Türk Lirası (TL) olarak ifade edilmiştir.)</w:t>
    </w:r>
  </w:p>
  <w:p w14:paraId="1A7032F7" w14:textId="77777777" w:rsidR="004975DB" w:rsidRPr="009F6E11" w:rsidRDefault="004975DB" w:rsidP="00B30F0A">
    <w:pPr>
      <w:pStyle w:val="stBilgi"/>
      <w:tabs>
        <w:tab w:val="left" w:pos="851"/>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ED55F" w14:textId="77777777" w:rsidR="006D15A7" w:rsidRDefault="006D15A7">
    <w:pPr>
      <w:pStyle w:val="stBilgi"/>
    </w:pPr>
    <w:r>
      <w:drawing>
        <wp:anchor distT="0" distB="0" distL="114300" distR="114300" simplePos="0" relativeHeight="251658240" behindDoc="0" locked="1" layoutInCell="1" allowOverlap="1" wp14:anchorId="1E905AC1" wp14:editId="22F67243">
          <wp:simplePos x="0" y="0"/>
          <wp:positionH relativeFrom="page">
            <wp:posOffset>496570</wp:posOffset>
          </wp:positionH>
          <wp:positionV relativeFrom="page">
            <wp:posOffset>561975</wp:posOffset>
          </wp:positionV>
          <wp:extent cx="1504950" cy="968375"/>
          <wp:effectExtent l="0" t="0" r="0" b="0"/>
          <wp:wrapNone/>
          <wp:docPr id="797498408" name="Resim 1" descr="ekran görüntüsü, tasarı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1" descr="ekran görüntüsü, tasarım içeren bir resim&#10;&#10;Yapay zeka tarafından oluşturulmuş içerik yanlış olabili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683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863F4" w14:textId="77777777" w:rsidR="006D15A7" w:rsidRDefault="006D15A7">
    <w:pPr>
      <w:pStyle w:val="stBilgi"/>
    </w:pPr>
    <w:r>
      <w:drawing>
        <wp:anchor distT="0" distB="0" distL="114300" distR="114300" simplePos="0" relativeHeight="251657216" behindDoc="0" locked="1" layoutInCell="1" allowOverlap="1" wp14:anchorId="391C5502" wp14:editId="0EF5F357">
          <wp:simplePos x="0" y="0"/>
          <wp:positionH relativeFrom="page">
            <wp:posOffset>496570</wp:posOffset>
          </wp:positionH>
          <wp:positionV relativeFrom="page">
            <wp:posOffset>561975</wp:posOffset>
          </wp:positionV>
          <wp:extent cx="1504950" cy="968375"/>
          <wp:effectExtent l="0" t="0" r="0" b="0"/>
          <wp:wrapNone/>
          <wp:docPr id="306948998" name="Resim 1" descr="ekran görüntüsü, tasarı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1" descr="ekran görüntüsü, tasarım içeren bir resim&#10;&#10;Yapay zeka tarafından oluşturulmuş içerik yanlış olabili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683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C3C4F" w14:textId="2296B6D3" w:rsidR="00122EC9" w:rsidRDefault="006D15A7">
    <w:pPr>
      <w:pStyle w:val="stBilgi"/>
    </w:pPr>
    <w:r>
      <w:drawing>
        <wp:anchor distT="0" distB="0" distL="114300" distR="114300" simplePos="0" relativeHeight="251661312" behindDoc="0" locked="1" layoutInCell="1" allowOverlap="1" wp14:anchorId="458A804A" wp14:editId="4FCA6522">
          <wp:simplePos x="0" y="0"/>
          <wp:positionH relativeFrom="page">
            <wp:posOffset>496570</wp:posOffset>
          </wp:positionH>
          <wp:positionV relativeFrom="page">
            <wp:posOffset>561975</wp:posOffset>
          </wp:positionV>
          <wp:extent cx="1504950" cy="968375"/>
          <wp:effectExtent l="0" t="0" r="0" b="0"/>
          <wp:wrapNone/>
          <wp:docPr id="2032944672" name="Resim 3" descr="ekran görüntüsü, tasarı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1" descr="ekran görüntüsü, tasarım içeren bir resim&#10;&#10;Yapay zeka tarafından oluşturulmuş içerik yanlış olabili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683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91C5F" w14:textId="43871FBC" w:rsidR="006D15A7" w:rsidRDefault="006D15A7">
    <w:pPr>
      <w:pStyle w:val="stBilgi"/>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E2F38" w14:textId="27BFA9F8" w:rsidR="000D7066" w:rsidRPr="00236E51" w:rsidRDefault="000D7066" w:rsidP="00236E51">
    <w:pPr>
      <w:pStyle w:val="stBilgi"/>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2D69A" w14:textId="227E4EBB" w:rsidR="00A966D3" w:rsidRPr="00672906" w:rsidRDefault="00C476CB" w:rsidP="00324789">
    <w:pPr>
      <w:ind w:right="-1"/>
      <w:jc w:val="both"/>
      <w:rPr>
        <w:b/>
        <w:bCs/>
        <w:sz w:val="24"/>
        <w:szCs w:val="32"/>
      </w:rPr>
    </w:pPr>
    <w:r w:rsidRPr="00672906">
      <w:rPr>
        <w:b/>
        <w:bCs/>
        <w:sz w:val="24"/>
        <w:szCs w:val="32"/>
      </w:rPr>
      <w:t>DÜNYA</w:t>
    </w:r>
    <w:r w:rsidR="00A966D3" w:rsidRPr="00672906">
      <w:rPr>
        <w:b/>
        <w:bCs/>
        <w:sz w:val="24"/>
        <w:szCs w:val="32"/>
      </w:rPr>
      <w:t xml:space="preserve"> KATILIM BANKASI A.Ş.</w:t>
    </w:r>
  </w:p>
  <w:p w14:paraId="4C153E5C" w14:textId="77777777" w:rsidR="00324789" w:rsidRPr="00672906" w:rsidRDefault="00324789" w:rsidP="00324789">
    <w:pPr>
      <w:ind w:right="-1"/>
      <w:jc w:val="both"/>
      <w:rPr>
        <w:b/>
        <w:bCs/>
        <w:sz w:val="24"/>
        <w:szCs w:val="32"/>
      </w:rPr>
    </w:pPr>
  </w:p>
  <w:p w14:paraId="7AAF80EC" w14:textId="108AF8D1" w:rsidR="00A966D3" w:rsidRPr="00672906" w:rsidRDefault="008276BE" w:rsidP="00324789">
    <w:pPr>
      <w:autoSpaceDE w:val="0"/>
      <w:autoSpaceDN w:val="0"/>
      <w:adjustRightInd w:val="0"/>
      <w:rPr>
        <w:b/>
        <w:sz w:val="24"/>
        <w:szCs w:val="32"/>
      </w:rPr>
    </w:pPr>
    <w:r>
      <w:rPr>
        <w:b/>
        <w:sz w:val="24"/>
        <w:szCs w:val="32"/>
      </w:rPr>
      <w:t>31</w:t>
    </w:r>
    <w:r w:rsidRPr="00A832B6">
      <w:rPr>
        <w:b/>
        <w:sz w:val="24"/>
        <w:szCs w:val="32"/>
      </w:rPr>
      <w:t xml:space="preserve"> </w:t>
    </w:r>
    <w:r>
      <w:rPr>
        <w:b/>
        <w:sz w:val="24"/>
        <w:szCs w:val="32"/>
      </w:rPr>
      <w:t>ARALIK</w:t>
    </w:r>
    <w:r w:rsidRPr="00A832B6">
      <w:rPr>
        <w:b/>
        <w:sz w:val="24"/>
        <w:szCs w:val="32"/>
      </w:rPr>
      <w:t xml:space="preserve"> 2025 </w:t>
    </w:r>
    <w:r w:rsidR="00A966D3" w:rsidRPr="00672906">
      <w:rPr>
        <w:b/>
        <w:sz w:val="24"/>
        <w:szCs w:val="32"/>
      </w:rPr>
      <w:t xml:space="preserve">TARİHİNDE SONA EREN HESAP DÖNEMİNE AİT </w:t>
    </w:r>
  </w:p>
  <w:p w14:paraId="39F1D9AB" w14:textId="77777777" w:rsidR="00A966D3" w:rsidRPr="00672906" w:rsidRDefault="00A966D3" w:rsidP="00324789">
    <w:pPr>
      <w:autoSpaceDE w:val="0"/>
      <w:autoSpaceDN w:val="0"/>
      <w:adjustRightInd w:val="0"/>
      <w:rPr>
        <w:b/>
        <w:sz w:val="24"/>
        <w:szCs w:val="32"/>
      </w:rPr>
    </w:pPr>
    <w:r w:rsidRPr="00672906">
      <w:rPr>
        <w:b/>
        <w:sz w:val="24"/>
        <w:szCs w:val="32"/>
      </w:rPr>
      <w:t>KONSOLİDE OLMAYAN FİNANSAL TABLOLARA İLİŞKİN AÇIKLAMA VE DİPNOTLAR</w:t>
    </w:r>
  </w:p>
  <w:p w14:paraId="0BF85E29" w14:textId="1DFE2A4A" w:rsidR="00A966D3" w:rsidRPr="009F6E11" w:rsidRDefault="00A966D3" w:rsidP="009F6E11">
    <w:pPr>
      <w:pBdr>
        <w:bottom w:val="single" w:sz="4" w:space="1" w:color="auto"/>
      </w:pBdr>
      <w:autoSpaceDE w:val="0"/>
      <w:autoSpaceDN w:val="0"/>
      <w:adjustRightInd w:val="0"/>
      <w:rPr>
        <w:iCs/>
        <w:sz w:val="18"/>
        <w:szCs w:val="18"/>
      </w:rPr>
    </w:pPr>
    <w:r w:rsidRPr="009F6E11">
      <w:rPr>
        <w:iCs/>
        <w:sz w:val="18"/>
        <w:szCs w:val="18"/>
      </w:rPr>
      <w:t>(Tutarlar aksi belirtilmedikçe Bin Türk Lirası (TL) olarak ifade edilmiştir.)</w:t>
    </w:r>
  </w:p>
  <w:p w14:paraId="2CA20B85" w14:textId="77777777" w:rsidR="00324789" w:rsidRPr="009F6E11" w:rsidRDefault="00324789" w:rsidP="009F6E11">
    <w:pPr>
      <w:autoSpaceDE w:val="0"/>
      <w:autoSpaceDN w:val="0"/>
      <w:adjustRightInd w:val="0"/>
      <w:rPr>
        <w:i/>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952E3"/>
    <w:multiLevelType w:val="hybridMultilevel"/>
    <w:tmpl w:val="A62C8BDE"/>
    <w:lvl w:ilvl="0" w:tplc="B60A1C80">
      <w:start w:val="1"/>
      <w:numFmt w:val="lowerLetter"/>
      <w:lvlText w:val="%1."/>
      <w:lvlJc w:val="left"/>
      <w:pPr>
        <w:ind w:left="668" w:hanging="585"/>
      </w:pPr>
      <w:rPr>
        <w:rFonts w:hint="default"/>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abstractNum w:abstractNumId="1" w15:restartNumberingAfterBreak="0">
    <w:nsid w:val="00514350"/>
    <w:multiLevelType w:val="hybridMultilevel"/>
    <w:tmpl w:val="895292C8"/>
    <w:lvl w:ilvl="0" w:tplc="CEB201C6">
      <w:start w:val="1"/>
      <w:numFmt w:val="decimal"/>
      <w:lvlText w:val="%1."/>
      <w:lvlJc w:val="left"/>
      <w:pPr>
        <w:ind w:left="930" w:hanging="57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E35E23"/>
    <w:multiLevelType w:val="hybridMultilevel"/>
    <w:tmpl w:val="B1FCBE06"/>
    <w:lvl w:ilvl="0" w:tplc="CA3A894A">
      <w:start w:val="7"/>
      <w:numFmt w:val="none"/>
      <w:lvlText w:val="9."/>
      <w:lvlJc w:val="left"/>
      <w:pPr>
        <w:tabs>
          <w:tab w:val="num" w:pos="720"/>
        </w:tabs>
        <w:ind w:left="720" w:hanging="720"/>
      </w:pPr>
      <w:rPr>
        <w:rFonts w:cs="Times New Roman" w:hint="default"/>
        <w:b/>
        <w:i w:val="0"/>
      </w:rPr>
    </w:lvl>
    <w:lvl w:ilvl="1" w:tplc="7B8AD5F4">
      <w:start w:val="7"/>
      <w:numFmt w:val="none"/>
      <w:lvlText w:val="10."/>
      <w:lvlJc w:val="left"/>
      <w:pPr>
        <w:tabs>
          <w:tab w:val="num" w:pos="2520"/>
        </w:tabs>
        <w:ind w:left="2520" w:hanging="720"/>
      </w:pPr>
      <w:rPr>
        <w:rFonts w:cs="Times New Roman" w:hint="default"/>
        <w:b/>
        <w:i w:val="0"/>
      </w:rPr>
    </w:lvl>
    <w:lvl w:ilvl="2" w:tplc="9D58CFCE">
      <w:start w:val="1"/>
      <w:numFmt w:val="lowerLetter"/>
      <w:lvlText w:val="%3."/>
      <w:lvlJc w:val="left"/>
      <w:pPr>
        <w:ind w:left="3210" w:hanging="510"/>
      </w:pPr>
      <w:rPr>
        <w:rFonts w:hint="default"/>
      </w:rPr>
    </w:lvl>
    <w:lvl w:ilvl="3" w:tplc="2BA234D4" w:tentative="1">
      <w:start w:val="1"/>
      <w:numFmt w:val="decimal"/>
      <w:lvlText w:val="%4."/>
      <w:lvlJc w:val="left"/>
      <w:pPr>
        <w:tabs>
          <w:tab w:val="num" w:pos="3600"/>
        </w:tabs>
        <w:ind w:left="3600" w:hanging="360"/>
      </w:pPr>
      <w:rPr>
        <w:rFonts w:cs="Times New Roman"/>
      </w:rPr>
    </w:lvl>
    <w:lvl w:ilvl="4" w:tplc="3B581F6A" w:tentative="1">
      <w:start w:val="1"/>
      <w:numFmt w:val="lowerLetter"/>
      <w:lvlText w:val="%5."/>
      <w:lvlJc w:val="left"/>
      <w:pPr>
        <w:tabs>
          <w:tab w:val="num" w:pos="4320"/>
        </w:tabs>
        <w:ind w:left="4320" w:hanging="360"/>
      </w:pPr>
      <w:rPr>
        <w:rFonts w:cs="Times New Roman"/>
      </w:rPr>
    </w:lvl>
    <w:lvl w:ilvl="5" w:tplc="6A3E2616" w:tentative="1">
      <w:start w:val="1"/>
      <w:numFmt w:val="lowerRoman"/>
      <w:lvlText w:val="%6."/>
      <w:lvlJc w:val="right"/>
      <w:pPr>
        <w:tabs>
          <w:tab w:val="num" w:pos="5040"/>
        </w:tabs>
        <w:ind w:left="5040" w:hanging="180"/>
      </w:pPr>
      <w:rPr>
        <w:rFonts w:cs="Times New Roman"/>
      </w:rPr>
    </w:lvl>
    <w:lvl w:ilvl="6" w:tplc="6ED8E120" w:tentative="1">
      <w:start w:val="1"/>
      <w:numFmt w:val="decimal"/>
      <w:lvlText w:val="%7."/>
      <w:lvlJc w:val="left"/>
      <w:pPr>
        <w:tabs>
          <w:tab w:val="num" w:pos="5760"/>
        </w:tabs>
        <w:ind w:left="5760" w:hanging="360"/>
      </w:pPr>
      <w:rPr>
        <w:rFonts w:cs="Times New Roman"/>
      </w:rPr>
    </w:lvl>
    <w:lvl w:ilvl="7" w:tplc="20663B0C" w:tentative="1">
      <w:start w:val="1"/>
      <w:numFmt w:val="lowerLetter"/>
      <w:lvlText w:val="%8."/>
      <w:lvlJc w:val="left"/>
      <w:pPr>
        <w:tabs>
          <w:tab w:val="num" w:pos="6480"/>
        </w:tabs>
        <w:ind w:left="6480" w:hanging="360"/>
      </w:pPr>
      <w:rPr>
        <w:rFonts w:cs="Times New Roman"/>
      </w:rPr>
    </w:lvl>
    <w:lvl w:ilvl="8" w:tplc="95486E42" w:tentative="1">
      <w:start w:val="1"/>
      <w:numFmt w:val="lowerRoman"/>
      <w:lvlText w:val="%9."/>
      <w:lvlJc w:val="right"/>
      <w:pPr>
        <w:tabs>
          <w:tab w:val="num" w:pos="7200"/>
        </w:tabs>
        <w:ind w:left="7200" w:hanging="180"/>
      </w:pPr>
      <w:rPr>
        <w:rFonts w:cs="Times New Roman"/>
      </w:rPr>
    </w:lvl>
  </w:abstractNum>
  <w:abstractNum w:abstractNumId="3" w15:restartNumberingAfterBreak="0">
    <w:nsid w:val="03C7200B"/>
    <w:multiLevelType w:val="hybridMultilevel"/>
    <w:tmpl w:val="EA7412EE"/>
    <w:lvl w:ilvl="0" w:tplc="1D408216">
      <w:start w:val="1"/>
      <w:numFmt w:val="decimal"/>
      <w:lvlText w:val="(%1)"/>
      <w:lvlJc w:val="left"/>
      <w:pPr>
        <w:ind w:left="-207" w:hanging="360"/>
      </w:pPr>
      <w:rPr>
        <w:rFonts w:hint="default"/>
        <w:b/>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4" w15:restartNumberingAfterBreak="0">
    <w:nsid w:val="06354BFE"/>
    <w:multiLevelType w:val="multilevel"/>
    <w:tmpl w:val="2CE2677E"/>
    <w:styleLink w:val="CurrentList1"/>
    <w:lvl w:ilvl="0">
      <w:start w:val="1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600"/>
        </w:tabs>
        <w:ind w:left="-60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560"/>
        </w:tabs>
        <w:ind w:left="-1560" w:hanging="1080"/>
      </w:pPr>
      <w:rPr>
        <w:rFonts w:cs="Times New Roman" w:hint="default"/>
      </w:rPr>
    </w:lvl>
    <w:lvl w:ilvl="5">
      <w:start w:val="1"/>
      <w:numFmt w:val="decimal"/>
      <w:lvlText w:val="%1.%2.%3.%4.%5.%6"/>
      <w:lvlJc w:val="left"/>
      <w:pPr>
        <w:tabs>
          <w:tab w:val="num" w:pos="-2220"/>
        </w:tabs>
        <w:ind w:left="-222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3180"/>
        </w:tabs>
        <w:ind w:left="-3180" w:hanging="1440"/>
      </w:pPr>
      <w:rPr>
        <w:rFonts w:cs="Times New Roman" w:hint="default"/>
      </w:rPr>
    </w:lvl>
    <w:lvl w:ilvl="8">
      <w:start w:val="1"/>
      <w:numFmt w:val="decimal"/>
      <w:lvlText w:val="%1.%2.%3.%4.%5.%6.%7.%8.%9"/>
      <w:lvlJc w:val="left"/>
      <w:pPr>
        <w:tabs>
          <w:tab w:val="num" w:pos="-3840"/>
        </w:tabs>
        <w:ind w:left="-3840" w:hanging="1440"/>
      </w:pPr>
      <w:rPr>
        <w:rFonts w:cs="Times New Roman" w:hint="default"/>
      </w:rPr>
    </w:lvl>
  </w:abstractNum>
  <w:abstractNum w:abstractNumId="5" w15:restartNumberingAfterBreak="0">
    <w:nsid w:val="066211D3"/>
    <w:multiLevelType w:val="hybridMultilevel"/>
    <w:tmpl w:val="B10248CC"/>
    <w:lvl w:ilvl="0" w:tplc="73FC15EE">
      <w:start w:val="1"/>
      <w:numFmt w:val="upperRoman"/>
      <w:lvlText w:val="%1."/>
      <w:lvlJc w:val="left"/>
      <w:pPr>
        <w:ind w:left="153"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B550EF"/>
    <w:multiLevelType w:val="hybridMultilevel"/>
    <w:tmpl w:val="19FE77B4"/>
    <w:lvl w:ilvl="0" w:tplc="C36A461C">
      <w:start w:val="1"/>
      <w:numFmt w:val="decimal"/>
      <w:lvlText w:val="%1."/>
      <w:lvlJc w:val="left"/>
      <w:pPr>
        <w:ind w:left="-3" w:hanging="585"/>
      </w:pPr>
      <w:rPr>
        <w:rFonts w:hint="default"/>
      </w:rPr>
    </w:lvl>
    <w:lvl w:ilvl="1" w:tplc="04090019" w:tentative="1">
      <w:start w:val="1"/>
      <w:numFmt w:val="lowerLetter"/>
      <w:lvlText w:val="%2."/>
      <w:lvlJc w:val="left"/>
      <w:pPr>
        <w:ind w:left="492" w:hanging="360"/>
      </w:pPr>
    </w:lvl>
    <w:lvl w:ilvl="2" w:tplc="0409001B" w:tentative="1">
      <w:start w:val="1"/>
      <w:numFmt w:val="lowerRoman"/>
      <w:lvlText w:val="%3."/>
      <w:lvlJc w:val="right"/>
      <w:pPr>
        <w:ind w:left="1212" w:hanging="180"/>
      </w:pPr>
    </w:lvl>
    <w:lvl w:ilvl="3" w:tplc="0409000F" w:tentative="1">
      <w:start w:val="1"/>
      <w:numFmt w:val="decimal"/>
      <w:lvlText w:val="%4."/>
      <w:lvlJc w:val="left"/>
      <w:pPr>
        <w:ind w:left="1932" w:hanging="360"/>
      </w:pPr>
    </w:lvl>
    <w:lvl w:ilvl="4" w:tplc="04090019" w:tentative="1">
      <w:start w:val="1"/>
      <w:numFmt w:val="lowerLetter"/>
      <w:lvlText w:val="%5."/>
      <w:lvlJc w:val="left"/>
      <w:pPr>
        <w:ind w:left="2652" w:hanging="360"/>
      </w:pPr>
    </w:lvl>
    <w:lvl w:ilvl="5" w:tplc="0409001B" w:tentative="1">
      <w:start w:val="1"/>
      <w:numFmt w:val="lowerRoman"/>
      <w:lvlText w:val="%6."/>
      <w:lvlJc w:val="right"/>
      <w:pPr>
        <w:ind w:left="3372" w:hanging="180"/>
      </w:pPr>
    </w:lvl>
    <w:lvl w:ilvl="6" w:tplc="0409000F" w:tentative="1">
      <w:start w:val="1"/>
      <w:numFmt w:val="decimal"/>
      <w:lvlText w:val="%7."/>
      <w:lvlJc w:val="left"/>
      <w:pPr>
        <w:ind w:left="4092" w:hanging="360"/>
      </w:pPr>
    </w:lvl>
    <w:lvl w:ilvl="7" w:tplc="04090019" w:tentative="1">
      <w:start w:val="1"/>
      <w:numFmt w:val="lowerLetter"/>
      <w:lvlText w:val="%8."/>
      <w:lvlJc w:val="left"/>
      <w:pPr>
        <w:ind w:left="4812" w:hanging="360"/>
      </w:pPr>
    </w:lvl>
    <w:lvl w:ilvl="8" w:tplc="0409001B" w:tentative="1">
      <w:start w:val="1"/>
      <w:numFmt w:val="lowerRoman"/>
      <w:lvlText w:val="%9."/>
      <w:lvlJc w:val="right"/>
      <w:pPr>
        <w:ind w:left="5532" w:hanging="180"/>
      </w:pPr>
    </w:lvl>
  </w:abstractNum>
  <w:abstractNum w:abstractNumId="7" w15:restartNumberingAfterBreak="0">
    <w:nsid w:val="07FF66ED"/>
    <w:multiLevelType w:val="multilevel"/>
    <w:tmpl w:val="FDD6C6A4"/>
    <w:lvl w:ilvl="0">
      <w:start w:val="10"/>
      <w:numFmt w:val="upperRoman"/>
      <w:lvlText w:val="%1."/>
      <w:lvlJc w:val="left"/>
      <w:pPr>
        <w:ind w:left="861" w:hanging="720"/>
      </w:pPr>
      <w:rPr>
        <w:rFonts w:hint="default"/>
      </w:rPr>
    </w:lvl>
    <w:lvl w:ilvl="1">
      <w:start w:val="2"/>
      <w:numFmt w:val="decimal"/>
      <w:isLgl/>
      <w:lvlText w:val="%1.%2."/>
      <w:lvlJc w:val="left"/>
      <w:pPr>
        <w:ind w:left="1271" w:hanging="420"/>
      </w:pPr>
      <w:rPr>
        <w:rFonts w:hint="default"/>
      </w:rPr>
    </w:lvl>
    <w:lvl w:ilvl="2">
      <w:start w:val="1"/>
      <w:numFmt w:val="decimal"/>
      <w:isLgl/>
      <w:lvlText w:val="%1.%2.%3."/>
      <w:lvlJc w:val="left"/>
      <w:pPr>
        <w:ind w:left="2281" w:hanging="720"/>
      </w:pPr>
      <w:rPr>
        <w:rFonts w:hint="default"/>
      </w:rPr>
    </w:lvl>
    <w:lvl w:ilvl="3">
      <w:start w:val="1"/>
      <w:numFmt w:val="decimal"/>
      <w:isLgl/>
      <w:lvlText w:val="%1.%2.%3.%4."/>
      <w:lvlJc w:val="left"/>
      <w:pPr>
        <w:ind w:left="2991" w:hanging="720"/>
      </w:pPr>
      <w:rPr>
        <w:rFonts w:hint="default"/>
      </w:rPr>
    </w:lvl>
    <w:lvl w:ilvl="4">
      <w:start w:val="1"/>
      <w:numFmt w:val="decimal"/>
      <w:isLgl/>
      <w:lvlText w:val="%1.%2.%3.%4.%5."/>
      <w:lvlJc w:val="left"/>
      <w:pPr>
        <w:ind w:left="4061" w:hanging="1080"/>
      </w:pPr>
      <w:rPr>
        <w:rFonts w:hint="default"/>
      </w:rPr>
    </w:lvl>
    <w:lvl w:ilvl="5">
      <w:start w:val="1"/>
      <w:numFmt w:val="decimal"/>
      <w:isLgl/>
      <w:lvlText w:val="%1.%2.%3.%4.%5.%6."/>
      <w:lvlJc w:val="left"/>
      <w:pPr>
        <w:ind w:left="4771" w:hanging="1080"/>
      </w:pPr>
      <w:rPr>
        <w:rFonts w:hint="default"/>
      </w:rPr>
    </w:lvl>
    <w:lvl w:ilvl="6">
      <w:start w:val="1"/>
      <w:numFmt w:val="decimal"/>
      <w:isLgl/>
      <w:lvlText w:val="%1.%2.%3.%4.%5.%6.%7."/>
      <w:lvlJc w:val="left"/>
      <w:pPr>
        <w:ind w:left="5481" w:hanging="1080"/>
      </w:pPr>
      <w:rPr>
        <w:rFonts w:hint="default"/>
      </w:rPr>
    </w:lvl>
    <w:lvl w:ilvl="7">
      <w:start w:val="1"/>
      <w:numFmt w:val="decimal"/>
      <w:isLgl/>
      <w:lvlText w:val="%1.%2.%3.%4.%5.%6.%7.%8."/>
      <w:lvlJc w:val="left"/>
      <w:pPr>
        <w:ind w:left="6551" w:hanging="1440"/>
      </w:pPr>
      <w:rPr>
        <w:rFonts w:hint="default"/>
      </w:rPr>
    </w:lvl>
    <w:lvl w:ilvl="8">
      <w:start w:val="1"/>
      <w:numFmt w:val="decimal"/>
      <w:isLgl/>
      <w:lvlText w:val="%1.%2.%3.%4.%5.%6.%7.%8.%9."/>
      <w:lvlJc w:val="left"/>
      <w:pPr>
        <w:ind w:left="7261" w:hanging="1440"/>
      </w:pPr>
      <w:rPr>
        <w:rFonts w:hint="default"/>
      </w:rPr>
    </w:lvl>
  </w:abstractNum>
  <w:abstractNum w:abstractNumId="8" w15:restartNumberingAfterBreak="0">
    <w:nsid w:val="096C1683"/>
    <w:multiLevelType w:val="multilevel"/>
    <w:tmpl w:val="9814CBF6"/>
    <w:lvl w:ilvl="0">
      <w:start w:val="8"/>
      <w:numFmt w:val="upperRoman"/>
      <w:lvlText w:val="%1."/>
      <w:lvlJc w:val="left"/>
      <w:pPr>
        <w:ind w:left="861" w:hanging="720"/>
      </w:pPr>
      <w:rPr>
        <w:rFonts w:hint="default"/>
      </w:rPr>
    </w:lvl>
    <w:lvl w:ilvl="1">
      <w:start w:val="2"/>
      <w:numFmt w:val="decimal"/>
      <w:isLgl/>
      <w:lvlText w:val="%1.%2."/>
      <w:lvlJc w:val="left"/>
      <w:pPr>
        <w:ind w:left="1271" w:hanging="420"/>
      </w:pPr>
      <w:rPr>
        <w:rFonts w:hint="default"/>
      </w:rPr>
    </w:lvl>
    <w:lvl w:ilvl="2">
      <w:start w:val="1"/>
      <w:numFmt w:val="decimal"/>
      <w:isLgl/>
      <w:lvlText w:val="%1.%2.%3."/>
      <w:lvlJc w:val="left"/>
      <w:pPr>
        <w:ind w:left="2281" w:hanging="720"/>
      </w:pPr>
      <w:rPr>
        <w:rFonts w:hint="default"/>
      </w:rPr>
    </w:lvl>
    <w:lvl w:ilvl="3">
      <w:start w:val="1"/>
      <w:numFmt w:val="decimal"/>
      <w:isLgl/>
      <w:lvlText w:val="%1.%2.%3.%4."/>
      <w:lvlJc w:val="left"/>
      <w:pPr>
        <w:ind w:left="2991" w:hanging="720"/>
      </w:pPr>
      <w:rPr>
        <w:rFonts w:hint="default"/>
      </w:rPr>
    </w:lvl>
    <w:lvl w:ilvl="4">
      <w:start w:val="1"/>
      <w:numFmt w:val="decimal"/>
      <w:isLgl/>
      <w:lvlText w:val="%1.%2.%3.%4.%5."/>
      <w:lvlJc w:val="left"/>
      <w:pPr>
        <w:ind w:left="4061" w:hanging="1080"/>
      </w:pPr>
      <w:rPr>
        <w:rFonts w:hint="default"/>
      </w:rPr>
    </w:lvl>
    <w:lvl w:ilvl="5">
      <w:start w:val="1"/>
      <w:numFmt w:val="decimal"/>
      <w:isLgl/>
      <w:lvlText w:val="%1.%2.%3.%4.%5.%6."/>
      <w:lvlJc w:val="left"/>
      <w:pPr>
        <w:ind w:left="4771" w:hanging="1080"/>
      </w:pPr>
      <w:rPr>
        <w:rFonts w:hint="default"/>
      </w:rPr>
    </w:lvl>
    <w:lvl w:ilvl="6">
      <w:start w:val="1"/>
      <w:numFmt w:val="decimal"/>
      <w:isLgl/>
      <w:lvlText w:val="%1.%2.%3.%4.%5.%6.%7."/>
      <w:lvlJc w:val="left"/>
      <w:pPr>
        <w:ind w:left="5481" w:hanging="1080"/>
      </w:pPr>
      <w:rPr>
        <w:rFonts w:hint="default"/>
      </w:rPr>
    </w:lvl>
    <w:lvl w:ilvl="7">
      <w:start w:val="1"/>
      <w:numFmt w:val="decimal"/>
      <w:isLgl/>
      <w:lvlText w:val="%1.%2.%3.%4.%5.%6.%7.%8."/>
      <w:lvlJc w:val="left"/>
      <w:pPr>
        <w:ind w:left="6551" w:hanging="1440"/>
      </w:pPr>
      <w:rPr>
        <w:rFonts w:hint="default"/>
      </w:rPr>
    </w:lvl>
    <w:lvl w:ilvl="8">
      <w:start w:val="1"/>
      <w:numFmt w:val="decimal"/>
      <w:isLgl/>
      <w:lvlText w:val="%1.%2.%3.%4.%5.%6.%7.%8.%9."/>
      <w:lvlJc w:val="left"/>
      <w:pPr>
        <w:ind w:left="7261" w:hanging="1440"/>
      </w:pPr>
      <w:rPr>
        <w:rFonts w:hint="default"/>
      </w:rPr>
    </w:lvl>
  </w:abstractNum>
  <w:abstractNum w:abstractNumId="9" w15:restartNumberingAfterBreak="0">
    <w:nsid w:val="0E1500E9"/>
    <w:multiLevelType w:val="hybridMultilevel"/>
    <w:tmpl w:val="7E42482A"/>
    <w:lvl w:ilvl="0" w:tplc="B1C8E666">
      <w:start w:val="1"/>
      <w:numFmt w:val="upperRoman"/>
      <w:lvlText w:val="%1."/>
      <w:lvlJc w:val="left"/>
      <w:pPr>
        <w:ind w:left="153"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B60608"/>
    <w:multiLevelType w:val="hybridMultilevel"/>
    <w:tmpl w:val="287A1DEC"/>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1" w15:restartNumberingAfterBreak="0">
    <w:nsid w:val="10024F32"/>
    <w:multiLevelType w:val="multilevel"/>
    <w:tmpl w:val="2CE2677E"/>
    <w:styleLink w:val="Style2"/>
    <w:lvl w:ilvl="0">
      <w:start w:val="1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600"/>
        </w:tabs>
        <w:ind w:left="-60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560"/>
        </w:tabs>
        <w:ind w:left="-1560" w:hanging="1080"/>
      </w:pPr>
      <w:rPr>
        <w:rFonts w:cs="Times New Roman" w:hint="default"/>
      </w:rPr>
    </w:lvl>
    <w:lvl w:ilvl="5">
      <w:start w:val="1"/>
      <w:numFmt w:val="decimal"/>
      <w:lvlText w:val="%1.%2.%3.%4.%5.%6"/>
      <w:lvlJc w:val="left"/>
      <w:pPr>
        <w:tabs>
          <w:tab w:val="num" w:pos="-2220"/>
        </w:tabs>
        <w:ind w:left="-222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3180"/>
        </w:tabs>
        <w:ind w:left="-3180" w:hanging="1440"/>
      </w:pPr>
      <w:rPr>
        <w:rFonts w:cs="Times New Roman" w:hint="default"/>
      </w:rPr>
    </w:lvl>
    <w:lvl w:ilvl="8">
      <w:start w:val="1"/>
      <w:numFmt w:val="decimal"/>
      <w:lvlText w:val="%1.%2.%3.%4.%5.%6.%7.%8.%9"/>
      <w:lvlJc w:val="left"/>
      <w:pPr>
        <w:tabs>
          <w:tab w:val="num" w:pos="-3840"/>
        </w:tabs>
        <w:ind w:left="-3840" w:hanging="1440"/>
      </w:pPr>
      <w:rPr>
        <w:rFonts w:cs="Times New Roman" w:hint="default"/>
      </w:rPr>
    </w:lvl>
  </w:abstractNum>
  <w:abstractNum w:abstractNumId="12" w15:restartNumberingAfterBreak="0">
    <w:nsid w:val="117B5A33"/>
    <w:multiLevelType w:val="multilevel"/>
    <w:tmpl w:val="041F001D"/>
    <w:styleLink w:val="Style1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11D14006"/>
    <w:multiLevelType w:val="hybridMultilevel"/>
    <w:tmpl w:val="36DE6E62"/>
    <w:lvl w:ilvl="0" w:tplc="3B3CB6A4">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14" w15:restartNumberingAfterBreak="0">
    <w:nsid w:val="127137FF"/>
    <w:multiLevelType w:val="hybridMultilevel"/>
    <w:tmpl w:val="030E917E"/>
    <w:lvl w:ilvl="0" w:tplc="5422FADA">
      <w:start w:val="1"/>
      <w:numFmt w:val="upperRoman"/>
      <w:lvlText w:val="%1."/>
      <w:lvlJc w:val="left"/>
      <w:pPr>
        <w:ind w:left="153"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4152550"/>
    <w:multiLevelType w:val="multilevel"/>
    <w:tmpl w:val="041F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15:restartNumberingAfterBreak="0">
    <w:nsid w:val="14454BBE"/>
    <w:multiLevelType w:val="multilevel"/>
    <w:tmpl w:val="5BD45A32"/>
    <w:lvl w:ilvl="0">
      <w:start w:val="1"/>
      <w:numFmt w:val="decimal"/>
      <w:lvlText w:val="%1."/>
      <w:lvlJc w:val="left"/>
      <w:pPr>
        <w:ind w:left="1571" w:hanging="360"/>
      </w:pPr>
      <w:rPr>
        <w:rFonts w:hint="default"/>
      </w:rPr>
    </w:lvl>
    <w:lvl w:ilvl="1">
      <w:start w:val="2"/>
      <w:numFmt w:val="decimal"/>
      <w:isLgl/>
      <w:lvlText w:val="%1.%2."/>
      <w:lvlJc w:val="left"/>
      <w:pPr>
        <w:ind w:left="1571" w:hanging="36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291" w:hanging="108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2651" w:hanging="1440"/>
      </w:pPr>
      <w:rPr>
        <w:rFonts w:hint="default"/>
      </w:rPr>
    </w:lvl>
  </w:abstractNum>
  <w:abstractNum w:abstractNumId="17" w15:restartNumberingAfterBreak="0">
    <w:nsid w:val="15493718"/>
    <w:multiLevelType w:val="multilevel"/>
    <w:tmpl w:val="A05ED7E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63821E9"/>
    <w:multiLevelType w:val="hybridMultilevel"/>
    <w:tmpl w:val="39C6C0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1A5729E7"/>
    <w:multiLevelType w:val="hybridMultilevel"/>
    <w:tmpl w:val="7E42482A"/>
    <w:lvl w:ilvl="0" w:tplc="B1C8E666">
      <w:start w:val="1"/>
      <w:numFmt w:val="upperRoman"/>
      <w:lvlText w:val="%1."/>
      <w:lvlJc w:val="left"/>
      <w:pPr>
        <w:ind w:left="153"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793CB4"/>
    <w:multiLevelType w:val="multilevel"/>
    <w:tmpl w:val="B6FA4220"/>
    <w:lvl w:ilvl="0">
      <w:start w:val="1"/>
      <w:numFmt w:val="lowerLetter"/>
      <w:lvlText w:val="%1."/>
      <w:lvlJc w:val="left"/>
      <w:pPr>
        <w:ind w:left="360" w:hanging="360"/>
      </w:pPr>
      <w:rPr>
        <w:rFonts w:hint="default"/>
        <w: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rPr>
        <w:b w:val="0"/>
        <w:bCs w:val="0"/>
      </w:rPr>
    </w:lvl>
    <w:lvl w:ilvl="8">
      <w:start w:val="1"/>
      <w:numFmt w:val="lowerRoman"/>
      <w:lvlText w:val="%9."/>
      <w:lvlJc w:val="left"/>
      <w:pPr>
        <w:ind w:left="3240" w:hanging="360"/>
      </w:pPr>
    </w:lvl>
  </w:abstractNum>
  <w:abstractNum w:abstractNumId="21" w15:restartNumberingAfterBreak="0">
    <w:nsid w:val="1E920719"/>
    <w:multiLevelType w:val="hybridMultilevel"/>
    <w:tmpl w:val="81C048A2"/>
    <w:lvl w:ilvl="0" w:tplc="FFFFFFFF">
      <w:start w:val="8"/>
      <w:numFmt w:val="decimal"/>
      <w:lvlText w:val="%1."/>
      <w:lvlJc w:val="left"/>
      <w:pPr>
        <w:ind w:left="-3" w:hanging="58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E945620"/>
    <w:multiLevelType w:val="hybridMultilevel"/>
    <w:tmpl w:val="7E42482A"/>
    <w:lvl w:ilvl="0" w:tplc="B1C8E666">
      <w:start w:val="1"/>
      <w:numFmt w:val="upperRoman"/>
      <w:lvlText w:val="%1."/>
      <w:lvlJc w:val="left"/>
      <w:pPr>
        <w:ind w:left="153"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FD2C5A"/>
    <w:multiLevelType w:val="hybridMultilevel"/>
    <w:tmpl w:val="030E917E"/>
    <w:lvl w:ilvl="0" w:tplc="5422FADA">
      <w:start w:val="1"/>
      <w:numFmt w:val="upperRoman"/>
      <w:lvlText w:val="%1."/>
      <w:lvlJc w:val="left"/>
      <w:pPr>
        <w:ind w:left="153"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233D0A2C"/>
    <w:multiLevelType w:val="hybridMultilevel"/>
    <w:tmpl w:val="D52CB020"/>
    <w:lvl w:ilvl="0" w:tplc="A7921068">
      <w:start w:val="4"/>
      <w:numFmt w:val="upperRoman"/>
      <w:lvlText w:val="%1."/>
      <w:lvlJc w:val="left"/>
      <w:pPr>
        <w:ind w:left="34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BD1FEE"/>
    <w:multiLevelType w:val="multilevel"/>
    <w:tmpl w:val="041F001D"/>
    <w:styleLink w:val="Style5"/>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6" w15:restartNumberingAfterBreak="0">
    <w:nsid w:val="27186AF8"/>
    <w:multiLevelType w:val="hybridMultilevel"/>
    <w:tmpl w:val="A73E9CD8"/>
    <w:lvl w:ilvl="0" w:tplc="663C9230">
      <w:start w:val="1"/>
      <w:numFmt w:val="lowerLetter"/>
      <w:lvlText w:val="%1."/>
      <w:lvlJc w:val="left"/>
      <w:pPr>
        <w:ind w:left="3" w:hanging="570"/>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7" w15:restartNumberingAfterBreak="0">
    <w:nsid w:val="27AA6098"/>
    <w:multiLevelType w:val="hybridMultilevel"/>
    <w:tmpl w:val="DD8E1B26"/>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2A4607B3"/>
    <w:multiLevelType w:val="hybridMultilevel"/>
    <w:tmpl w:val="3BF8EFF0"/>
    <w:lvl w:ilvl="0" w:tplc="0FA45732">
      <w:start w:val="7"/>
      <w:numFmt w:val="decimal"/>
      <w:lvlText w:val="%1."/>
      <w:lvlJc w:val="left"/>
      <w:pPr>
        <w:tabs>
          <w:tab w:val="num" w:pos="540"/>
        </w:tabs>
        <w:ind w:left="54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A8F786B"/>
    <w:multiLevelType w:val="hybridMultilevel"/>
    <w:tmpl w:val="CB2E4A3E"/>
    <w:lvl w:ilvl="0" w:tplc="24AC549C">
      <w:start w:val="1"/>
      <w:numFmt w:val="decimal"/>
      <w:lvlText w:val="%1."/>
      <w:lvlJc w:val="left"/>
      <w:pPr>
        <w:ind w:left="157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2AAB1EA1"/>
    <w:multiLevelType w:val="multilevel"/>
    <w:tmpl w:val="2CE2677E"/>
    <w:styleLink w:val="Style3"/>
    <w:lvl w:ilvl="0">
      <w:start w:val="1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600"/>
        </w:tabs>
        <w:ind w:left="-60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560"/>
        </w:tabs>
        <w:ind w:left="-1560" w:hanging="1080"/>
      </w:pPr>
      <w:rPr>
        <w:rFonts w:cs="Times New Roman" w:hint="default"/>
      </w:rPr>
    </w:lvl>
    <w:lvl w:ilvl="5">
      <w:start w:val="1"/>
      <w:numFmt w:val="decimal"/>
      <w:lvlText w:val="%1.%2.%3.%4.%5.%6"/>
      <w:lvlJc w:val="left"/>
      <w:pPr>
        <w:tabs>
          <w:tab w:val="num" w:pos="-2220"/>
        </w:tabs>
        <w:ind w:left="-222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3180"/>
        </w:tabs>
        <w:ind w:left="-3180" w:hanging="1440"/>
      </w:pPr>
      <w:rPr>
        <w:rFonts w:cs="Times New Roman" w:hint="default"/>
      </w:rPr>
    </w:lvl>
    <w:lvl w:ilvl="8">
      <w:start w:val="1"/>
      <w:numFmt w:val="decimal"/>
      <w:lvlText w:val="%1.%2.%3.%4.%5.%6.%7.%8.%9"/>
      <w:lvlJc w:val="left"/>
      <w:pPr>
        <w:tabs>
          <w:tab w:val="num" w:pos="-3840"/>
        </w:tabs>
        <w:ind w:left="-3840" w:hanging="1440"/>
      </w:pPr>
      <w:rPr>
        <w:rFonts w:cs="Times New Roman" w:hint="default"/>
      </w:rPr>
    </w:lvl>
  </w:abstractNum>
  <w:abstractNum w:abstractNumId="31" w15:restartNumberingAfterBreak="0">
    <w:nsid w:val="2C94531C"/>
    <w:multiLevelType w:val="multilevel"/>
    <w:tmpl w:val="041F001D"/>
    <w:styleLink w:val="Style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2" w15:restartNumberingAfterBreak="0">
    <w:nsid w:val="2D6946AB"/>
    <w:multiLevelType w:val="hybridMultilevel"/>
    <w:tmpl w:val="89DE9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D99018A"/>
    <w:multiLevelType w:val="hybridMultilevel"/>
    <w:tmpl w:val="79682438"/>
    <w:lvl w:ilvl="0" w:tplc="FFD884C8">
      <w:start w:val="2"/>
      <w:numFmt w:val="low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2DBE0A23"/>
    <w:multiLevelType w:val="hybridMultilevel"/>
    <w:tmpl w:val="3C7266B6"/>
    <w:lvl w:ilvl="0" w:tplc="9A9E2128">
      <w:start w:val="2"/>
      <w:numFmt w:val="upperRoman"/>
      <w:lvlText w:val="%1."/>
      <w:lvlJc w:val="left"/>
      <w:pPr>
        <w:ind w:left="153"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2E066ADA"/>
    <w:multiLevelType w:val="multilevel"/>
    <w:tmpl w:val="8528F140"/>
    <w:lvl w:ilvl="0">
      <w:start w:val="1"/>
      <w:numFmt w:val="upperRoman"/>
      <w:lvlText w:val="%1."/>
      <w:lvlJc w:val="left"/>
      <w:pPr>
        <w:ind w:left="861" w:hanging="720"/>
      </w:pPr>
      <w:rPr>
        <w:rFonts w:hint="default"/>
      </w:rPr>
    </w:lvl>
    <w:lvl w:ilvl="1">
      <w:start w:val="2"/>
      <w:numFmt w:val="decimal"/>
      <w:isLgl/>
      <w:lvlText w:val="%1.%2."/>
      <w:lvlJc w:val="left"/>
      <w:pPr>
        <w:ind w:left="1271" w:hanging="420"/>
      </w:pPr>
      <w:rPr>
        <w:rFonts w:hint="default"/>
      </w:rPr>
    </w:lvl>
    <w:lvl w:ilvl="2">
      <w:start w:val="1"/>
      <w:numFmt w:val="decimal"/>
      <w:isLgl/>
      <w:lvlText w:val="%1.%2.%3."/>
      <w:lvlJc w:val="left"/>
      <w:pPr>
        <w:ind w:left="2281" w:hanging="720"/>
      </w:pPr>
      <w:rPr>
        <w:rFonts w:hint="default"/>
      </w:rPr>
    </w:lvl>
    <w:lvl w:ilvl="3">
      <w:start w:val="1"/>
      <w:numFmt w:val="decimal"/>
      <w:isLgl/>
      <w:lvlText w:val="%1.%2.%3.%4."/>
      <w:lvlJc w:val="left"/>
      <w:pPr>
        <w:ind w:left="2991" w:hanging="720"/>
      </w:pPr>
      <w:rPr>
        <w:rFonts w:hint="default"/>
      </w:rPr>
    </w:lvl>
    <w:lvl w:ilvl="4">
      <w:start w:val="1"/>
      <w:numFmt w:val="decimal"/>
      <w:isLgl/>
      <w:lvlText w:val="%1.%2.%3.%4.%5."/>
      <w:lvlJc w:val="left"/>
      <w:pPr>
        <w:ind w:left="4061" w:hanging="1080"/>
      </w:pPr>
      <w:rPr>
        <w:rFonts w:hint="default"/>
      </w:rPr>
    </w:lvl>
    <w:lvl w:ilvl="5">
      <w:start w:val="1"/>
      <w:numFmt w:val="decimal"/>
      <w:isLgl/>
      <w:lvlText w:val="%1.%2.%3.%4.%5.%6."/>
      <w:lvlJc w:val="left"/>
      <w:pPr>
        <w:ind w:left="4771" w:hanging="1080"/>
      </w:pPr>
      <w:rPr>
        <w:rFonts w:hint="default"/>
      </w:rPr>
    </w:lvl>
    <w:lvl w:ilvl="6">
      <w:start w:val="1"/>
      <w:numFmt w:val="decimal"/>
      <w:isLgl/>
      <w:lvlText w:val="%1.%2.%3.%4.%5.%6.%7."/>
      <w:lvlJc w:val="left"/>
      <w:pPr>
        <w:ind w:left="5481" w:hanging="1080"/>
      </w:pPr>
      <w:rPr>
        <w:rFonts w:hint="default"/>
      </w:rPr>
    </w:lvl>
    <w:lvl w:ilvl="7">
      <w:start w:val="1"/>
      <w:numFmt w:val="decimal"/>
      <w:isLgl/>
      <w:lvlText w:val="%1.%2.%3.%4.%5.%6.%7.%8."/>
      <w:lvlJc w:val="left"/>
      <w:pPr>
        <w:ind w:left="6551" w:hanging="1440"/>
      </w:pPr>
      <w:rPr>
        <w:rFonts w:hint="default"/>
      </w:rPr>
    </w:lvl>
    <w:lvl w:ilvl="8">
      <w:start w:val="1"/>
      <w:numFmt w:val="decimal"/>
      <w:isLgl/>
      <w:lvlText w:val="%1.%2.%3.%4.%5.%6.%7.%8.%9."/>
      <w:lvlJc w:val="left"/>
      <w:pPr>
        <w:ind w:left="7261" w:hanging="1440"/>
      </w:pPr>
      <w:rPr>
        <w:rFonts w:hint="default"/>
      </w:rPr>
    </w:lvl>
  </w:abstractNum>
  <w:abstractNum w:abstractNumId="36" w15:restartNumberingAfterBreak="0">
    <w:nsid w:val="2F620B86"/>
    <w:multiLevelType w:val="hybridMultilevel"/>
    <w:tmpl w:val="F3D27C42"/>
    <w:lvl w:ilvl="0" w:tplc="FFFFFFFF">
      <w:start w:val="1"/>
      <w:numFmt w:val="upperRoman"/>
      <w:lvlText w:val="%1."/>
      <w:lvlJc w:val="left"/>
      <w:pPr>
        <w:ind w:left="1080" w:hanging="720"/>
      </w:pPr>
      <w:rPr>
        <w:rFonts w:hint="default"/>
      </w:rPr>
    </w:lvl>
    <w:lvl w:ilvl="1" w:tplc="8ABE1D30">
      <w:start w:val="1"/>
      <w:numFmt w:val="lowerLetter"/>
      <w:lvlText w:val="%2."/>
      <w:lvlJc w:val="left"/>
      <w:pPr>
        <w:ind w:left="1440"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FA176ED"/>
    <w:multiLevelType w:val="multilevel"/>
    <w:tmpl w:val="556A32F4"/>
    <w:styleLink w:val="LFO2"/>
    <w:lvl w:ilvl="0">
      <w:numFmt w:val="bullet"/>
      <w:lvlText w:val=""/>
      <w:lvlJc w:val="left"/>
      <w:pPr>
        <w:ind w:left="643"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2FC4380D"/>
    <w:multiLevelType w:val="hybridMultilevel"/>
    <w:tmpl w:val="286C376C"/>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9" w15:restartNumberingAfterBreak="0">
    <w:nsid w:val="2FDC37C4"/>
    <w:multiLevelType w:val="hybridMultilevel"/>
    <w:tmpl w:val="400A4E58"/>
    <w:lvl w:ilvl="0" w:tplc="0CF0C670">
      <w:start w:val="4"/>
      <w:numFmt w:val="upperRoman"/>
      <w:lvlText w:val="%1."/>
      <w:lvlJc w:val="left"/>
      <w:pPr>
        <w:ind w:left="1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FFB634F"/>
    <w:multiLevelType w:val="hybridMultilevel"/>
    <w:tmpl w:val="68D8A7AE"/>
    <w:lvl w:ilvl="0" w:tplc="041F0019">
      <w:start w:val="1"/>
      <w:numFmt w:val="lowerLetter"/>
      <w:lvlText w:val="%1."/>
      <w:lvlJc w:val="left"/>
      <w:pPr>
        <w:tabs>
          <w:tab w:val="num" w:pos="547"/>
        </w:tabs>
        <w:ind w:left="547" w:hanging="360"/>
      </w:pPr>
      <w:rPr>
        <w:rFonts w:hint="default"/>
      </w:rPr>
    </w:lvl>
    <w:lvl w:ilvl="1" w:tplc="041F0019" w:tentative="1">
      <w:start w:val="1"/>
      <w:numFmt w:val="lowerLetter"/>
      <w:lvlText w:val="%2."/>
      <w:lvlJc w:val="left"/>
      <w:pPr>
        <w:tabs>
          <w:tab w:val="num" w:pos="1267"/>
        </w:tabs>
        <w:ind w:left="1267" w:hanging="360"/>
      </w:pPr>
    </w:lvl>
    <w:lvl w:ilvl="2" w:tplc="041F001B" w:tentative="1">
      <w:start w:val="1"/>
      <w:numFmt w:val="lowerRoman"/>
      <w:lvlText w:val="%3."/>
      <w:lvlJc w:val="right"/>
      <w:pPr>
        <w:tabs>
          <w:tab w:val="num" w:pos="1987"/>
        </w:tabs>
        <w:ind w:left="1987" w:hanging="180"/>
      </w:pPr>
    </w:lvl>
    <w:lvl w:ilvl="3" w:tplc="041F000F" w:tentative="1">
      <w:start w:val="1"/>
      <w:numFmt w:val="decimal"/>
      <w:lvlText w:val="%4."/>
      <w:lvlJc w:val="left"/>
      <w:pPr>
        <w:tabs>
          <w:tab w:val="num" w:pos="2707"/>
        </w:tabs>
        <w:ind w:left="2707" w:hanging="360"/>
      </w:pPr>
    </w:lvl>
    <w:lvl w:ilvl="4" w:tplc="041F0019" w:tentative="1">
      <w:start w:val="1"/>
      <w:numFmt w:val="lowerLetter"/>
      <w:lvlText w:val="%5."/>
      <w:lvlJc w:val="left"/>
      <w:pPr>
        <w:tabs>
          <w:tab w:val="num" w:pos="3427"/>
        </w:tabs>
        <w:ind w:left="3427" w:hanging="360"/>
      </w:pPr>
    </w:lvl>
    <w:lvl w:ilvl="5" w:tplc="041F001B" w:tentative="1">
      <w:start w:val="1"/>
      <w:numFmt w:val="lowerRoman"/>
      <w:lvlText w:val="%6."/>
      <w:lvlJc w:val="right"/>
      <w:pPr>
        <w:tabs>
          <w:tab w:val="num" w:pos="4147"/>
        </w:tabs>
        <w:ind w:left="4147" w:hanging="180"/>
      </w:pPr>
    </w:lvl>
    <w:lvl w:ilvl="6" w:tplc="041F000F" w:tentative="1">
      <w:start w:val="1"/>
      <w:numFmt w:val="decimal"/>
      <w:lvlText w:val="%7."/>
      <w:lvlJc w:val="left"/>
      <w:pPr>
        <w:tabs>
          <w:tab w:val="num" w:pos="4867"/>
        </w:tabs>
        <w:ind w:left="4867" w:hanging="360"/>
      </w:pPr>
    </w:lvl>
    <w:lvl w:ilvl="7" w:tplc="041F0019" w:tentative="1">
      <w:start w:val="1"/>
      <w:numFmt w:val="lowerLetter"/>
      <w:lvlText w:val="%8."/>
      <w:lvlJc w:val="left"/>
      <w:pPr>
        <w:tabs>
          <w:tab w:val="num" w:pos="5587"/>
        </w:tabs>
        <w:ind w:left="5587" w:hanging="360"/>
      </w:pPr>
    </w:lvl>
    <w:lvl w:ilvl="8" w:tplc="041F001B" w:tentative="1">
      <w:start w:val="1"/>
      <w:numFmt w:val="lowerRoman"/>
      <w:lvlText w:val="%9."/>
      <w:lvlJc w:val="right"/>
      <w:pPr>
        <w:tabs>
          <w:tab w:val="num" w:pos="6307"/>
        </w:tabs>
        <w:ind w:left="6307" w:hanging="180"/>
      </w:pPr>
    </w:lvl>
  </w:abstractNum>
  <w:abstractNum w:abstractNumId="41" w15:restartNumberingAfterBreak="0">
    <w:nsid w:val="3450236E"/>
    <w:multiLevelType w:val="hybridMultilevel"/>
    <w:tmpl w:val="C3B818EC"/>
    <w:lvl w:ilvl="0" w:tplc="1DD61418">
      <w:start w:val="4"/>
      <w:numFmt w:val="upperRoman"/>
      <w:lvlText w:val="%1."/>
      <w:lvlJc w:val="left"/>
      <w:pPr>
        <w:ind w:left="34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0676A8"/>
    <w:multiLevelType w:val="multilevel"/>
    <w:tmpl w:val="BA6E8AF6"/>
    <w:styleLink w:val="WWOutlineListStyle"/>
    <w:lvl w:ilvl="0">
      <w:start w:val="1"/>
      <w:numFmt w:val="upperRoman"/>
      <w:pStyle w:val="berschrift11"/>
      <w:lvlText w:val="%1."/>
      <w:lvlJc w:val="left"/>
      <w:rPr>
        <w:rFonts w:cs="Times New Roman"/>
      </w:rPr>
    </w:lvl>
    <w:lvl w:ilvl="1">
      <w:start w:val="1"/>
      <w:numFmt w:val="none"/>
      <w:lvlText w:val="%2"/>
      <w:lvlJc w:val="left"/>
      <w:pPr>
        <w:ind w:left="720" w:firstLine="0"/>
      </w:pPr>
      <w:rPr>
        <w:rFonts w:cs="Times New Roman"/>
      </w:rPr>
    </w:lvl>
    <w:lvl w:ilvl="2">
      <w:start w:val="1"/>
      <w:numFmt w:val="none"/>
      <w:lvlText w:val="%3"/>
      <w:lvlJc w:val="left"/>
    </w:lvl>
    <w:lvl w:ilvl="3">
      <w:start w:val="1"/>
      <w:numFmt w:val="lowerLetter"/>
      <w:pStyle w:val="berschrift41"/>
      <w:lvlText w:val="%4)"/>
      <w:lvlJc w:val="left"/>
      <w:pPr>
        <w:ind w:left="2160" w:firstLine="0"/>
      </w:pPr>
      <w:rPr>
        <w:rFonts w:cs="Times New Roman"/>
      </w:rPr>
    </w:lvl>
    <w:lvl w:ilvl="4">
      <w:start w:val="1"/>
      <w:numFmt w:val="none"/>
      <w:lvlText w:val="%5"/>
      <w:lvlJc w:val="left"/>
      <w:pPr>
        <w:ind w:left="2880" w:firstLine="0"/>
      </w:pPr>
      <w:rPr>
        <w:rFonts w:cs="Times New Roman"/>
      </w:rPr>
    </w:lvl>
    <w:lvl w:ilvl="5">
      <w:start w:val="1"/>
      <w:numFmt w:val="none"/>
      <w:lvlText w:val="%6"/>
      <w:lvlJc w:val="left"/>
      <w:rPr>
        <w:rFonts w:cs="Times New Roman"/>
      </w:rPr>
    </w:lvl>
    <w:lvl w:ilvl="6">
      <w:start w:val="1"/>
      <w:numFmt w:val="lowerRoman"/>
      <w:pStyle w:val="berschrift71"/>
      <w:lvlText w:val="(%7)"/>
      <w:lvlJc w:val="left"/>
      <w:pPr>
        <w:ind w:left="4320" w:firstLine="0"/>
      </w:pPr>
      <w:rPr>
        <w:rFonts w:cs="Times New Roman"/>
      </w:rPr>
    </w:lvl>
    <w:lvl w:ilvl="7">
      <w:start w:val="1"/>
      <w:numFmt w:val="lowerLetter"/>
      <w:pStyle w:val="berschrift81"/>
      <w:lvlText w:val="(%8)"/>
      <w:lvlJc w:val="left"/>
      <w:pPr>
        <w:ind w:left="5040" w:firstLine="0"/>
      </w:pPr>
      <w:rPr>
        <w:rFonts w:cs="Times New Roman"/>
      </w:rPr>
    </w:lvl>
    <w:lvl w:ilvl="8">
      <w:start w:val="1"/>
      <w:numFmt w:val="none"/>
      <w:lvlText w:val="%9"/>
      <w:lvlJc w:val="left"/>
      <w:pPr>
        <w:ind w:left="5760" w:firstLine="0"/>
      </w:pPr>
      <w:rPr>
        <w:rFonts w:cs="Times New Roman"/>
      </w:rPr>
    </w:lvl>
  </w:abstractNum>
  <w:abstractNum w:abstractNumId="43" w15:restartNumberingAfterBreak="0">
    <w:nsid w:val="37EA46C3"/>
    <w:multiLevelType w:val="multilevel"/>
    <w:tmpl w:val="B168981C"/>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44" w15:restartNumberingAfterBreak="0">
    <w:nsid w:val="390A6823"/>
    <w:multiLevelType w:val="hybridMultilevel"/>
    <w:tmpl w:val="B5CE3590"/>
    <w:lvl w:ilvl="0" w:tplc="D8C0E7F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5" w15:restartNumberingAfterBreak="0">
    <w:nsid w:val="39565233"/>
    <w:multiLevelType w:val="hybridMultilevel"/>
    <w:tmpl w:val="DB5CE1A4"/>
    <w:lvl w:ilvl="0" w:tplc="BD3E82CC">
      <w:start w:val="1"/>
      <w:numFmt w:val="upperRoman"/>
      <w:lvlText w:val="%1."/>
      <w:lvlJc w:val="left"/>
      <w:pPr>
        <w:ind w:left="153"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3AEC38A3"/>
    <w:multiLevelType w:val="hybridMultilevel"/>
    <w:tmpl w:val="B8C03434"/>
    <w:lvl w:ilvl="0" w:tplc="1FF419F2">
      <w:start w:val="1"/>
      <w:numFmt w:val="lowerLetter"/>
      <w:lvlText w:val="%1."/>
      <w:lvlJc w:val="left"/>
      <w:pPr>
        <w:tabs>
          <w:tab w:val="num" w:pos="540"/>
        </w:tabs>
        <w:ind w:left="540" w:hanging="360"/>
      </w:pPr>
      <w:rPr>
        <w:rFonts w:hint="default"/>
        <w:b/>
        <w:bCs w:val="0"/>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47" w15:restartNumberingAfterBreak="0">
    <w:nsid w:val="3B7660B1"/>
    <w:multiLevelType w:val="hybridMultilevel"/>
    <w:tmpl w:val="BDF01882"/>
    <w:lvl w:ilvl="0" w:tplc="DA94F358">
      <w:start w:val="1"/>
      <w:numFmt w:val="lowerLetter"/>
      <w:lvlText w:val="%1."/>
      <w:lvlJc w:val="left"/>
      <w:pPr>
        <w:ind w:left="-21" w:hanging="525"/>
      </w:pPr>
      <w:rPr>
        <w:rFonts w:hint="default"/>
      </w:rPr>
    </w:lvl>
    <w:lvl w:ilvl="1" w:tplc="04090019" w:tentative="1">
      <w:start w:val="1"/>
      <w:numFmt w:val="lowerLetter"/>
      <w:lvlText w:val="%2."/>
      <w:lvlJc w:val="left"/>
      <w:pPr>
        <w:ind w:left="534" w:hanging="360"/>
      </w:pPr>
    </w:lvl>
    <w:lvl w:ilvl="2" w:tplc="0409001B" w:tentative="1">
      <w:start w:val="1"/>
      <w:numFmt w:val="lowerRoman"/>
      <w:lvlText w:val="%3."/>
      <w:lvlJc w:val="right"/>
      <w:pPr>
        <w:ind w:left="1254" w:hanging="180"/>
      </w:pPr>
    </w:lvl>
    <w:lvl w:ilvl="3" w:tplc="0409000F" w:tentative="1">
      <w:start w:val="1"/>
      <w:numFmt w:val="decimal"/>
      <w:lvlText w:val="%4."/>
      <w:lvlJc w:val="left"/>
      <w:pPr>
        <w:ind w:left="1974" w:hanging="360"/>
      </w:pPr>
    </w:lvl>
    <w:lvl w:ilvl="4" w:tplc="04090019" w:tentative="1">
      <w:start w:val="1"/>
      <w:numFmt w:val="lowerLetter"/>
      <w:lvlText w:val="%5."/>
      <w:lvlJc w:val="left"/>
      <w:pPr>
        <w:ind w:left="2694" w:hanging="360"/>
      </w:pPr>
    </w:lvl>
    <w:lvl w:ilvl="5" w:tplc="0409001B" w:tentative="1">
      <w:start w:val="1"/>
      <w:numFmt w:val="lowerRoman"/>
      <w:lvlText w:val="%6."/>
      <w:lvlJc w:val="right"/>
      <w:pPr>
        <w:ind w:left="3414" w:hanging="180"/>
      </w:pPr>
    </w:lvl>
    <w:lvl w:ilvl="6" w:tplc="0409000F" w:tentative="1">
      <w:start w:val="1"/>
      <w:numFmt w:val="decimal"/>
      <w:lvlText w:val="%7."/>
      <w:lvlJc w:val="left"/>
      <w:pPr>
        <w:ind w:left="4134" w:hanging="360"/>
      </w:pPr>
    </w:lvl>
    <w:lvl w:ilvl="7" w:tplc="04090019" w:tentative="1">
      <w:start w:val="1"/>
      <w:numFmt w:val="lowerLetter"/>
      <w:lvlText w:val="%8."/>
      <w:lvlJc w:val="left"/>
      <w:pPr>
        <w:ind w:left="4854" w:hanging="360"/>
      </w:pPr>
    </w:lvl>
    <w:lvl w:ilvl="8" w:tplc="0409001B" w:tentative="1">
      <w:start w:val="1"/>
      <w:numFmt w:val="lowerRoman"/>
      <w:lvlText w:val="%9."/>
      <w:lvlJc w:val="right"/>
      <w:pPr>
        <w:ind w:left="5574" w:hanging="180"/>
      </w:pPr>
    </w:lvl>
  </w:abstractNum>
  <w:abstractNum w:abstractNumId="48" w15:restartNumberingAfterBreak="0">
    <w:nsid w:val="3C193B6F"/>
    <w:multiLevelType w:val="multilevel"/>
    <w:tmpl w:val="A404BF02"/>
    <w:lvl w:ilvl="0">
      <w:start w:val="1"/>
      <w:numFmt w:val="upp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3D1C2903"/>
    <w:multiLevelType w:val="hybridMultilevel"/>
    <w:tmpl w:val="5BC2B338"/>
    <w:lvl w:ilvl="0" w:tplc="041F0019">
      <w:start w:val="1"/>
      <w:numFmt w:val="lowerLetter"/>
      <w:lvlText w:val="%1."/>
      <w:lvlJc w:val="left"/>
      <w:pPr>
        <w:ind w:left="3" w:hanging="570"/>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50" w15:restartNumberingAfterBreak="0">
    <w:nsid w:val="3DD84595"/>
    <w:multiLevelType w:val="multilevel"/>
    <w:tmpl w:val="E2322BFE"/>
    <w:lvl w:ilvl="0">
      <w:start w:val="7"/>
      <w:numFmt w:val="decimal"/>
      <w:lvlText w:val="%1."/>
      <w:lvlJc w:val="left"/>
      <w:pPr>
        <w:ind w:left="1571"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291" w:hanging="108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2651" w:hanging="1440"/>
      </w:pPr>
      <w:rPr>
        <w:rFonts w:hint="default"/>
      </w:rPr>
    </w:lvl>
  </w:abstractNum>
  <w:abstractNum w:abstractNumId="51" w15:restartNumberingAfterBreak="0">
    <w:nsid w:val="3F51474E"/>
    <w:multiLevelType w:val="hybridMultilevel"/>
    <w:tmpl w:val="AEEC44DA"/>
    <w:lvl w:ilvl="0" w:tplc="7D6AEF0E">
      <w:start w:val="1"/>
      <w:numFmt w:val="lowerLetter"/>
      <w:lvlText w:val="%1."/>
      <w:lvlJc w:val="left"/>
      <w:pPr>
        <w:ind w:left="360" w:hanging="360"/>
      </w:pPr>
      <w:rPr>
        <w:rFonts w:eastAsia="Arial Unicode MS"/>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52" w15:restartNumberingAfterBreak="0">
    <w:nsid w:val="3F862B58"/>
    <w:multiLevelType w:val="multilevel"/>
    <w:tmpl w:val="4C58270C"/>
    <w:lvl w:ilvl="0">
      <w:start w:val="2"/>
      <w:numFmt w:val="decimal"/>
      <w:lvlText w:val="%1."/>
      <w:lvlJc w:val="left"/>
      <w:pPr>
        <w:ind w:left="1571"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291" w:hanging="108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2651" w:hanging="1440"/>
      </w:pPr>
      <w:rPr>
        <w:rFonts w:hint="default"/>
      </w:rPr>
    </w:lvl>
  </w:abstractNum>
  <w:abstractNum w:abstractNumId="53" w15:restartNumberingAfterBreak="0">
    <w:nsid w:val="3FA60C69"/>
    <w:multiLevelType w:val="multilevel"/>
    <w:tmpl w:val="0C28B5DE"/>
    <w:lvl w:ilvl="0">
      <w:start w:val="7"/>
      <w:numFmt w:val="upperRoman"/>
      <w:lvlText w:val="%1."/>
      <w:lvlJc w:val="left"/>
      <w:pPr>
        <w:ind w:left="861" w:hanging="720"/>
      </w:pPr>
      <w:rPr>
        <w:rFonts w:hint="default"/>
      </w:rPr>
    </w:lvl>
    <w:lvl w:ilvl="1">
      <w:start w:val="2"/>
      <w:numFmt w:val="decimal"/>
      <w:isLgl/>
      <w:lvlText w:val="%1.%2."/>
      <w:lvlJc w:val="left"/>
      <w:pPr>
        <w:ind w:left="1271" w:hanging="420"/>
      </w:pPr>
      <w:rPr>
        <w:rFonts w:hint="default"/>
      </w:rPr>
    </w:lvl>
    <w:lvl w:ilvl="2">
      <w:start w:val="1"/>
      <w:numFmt w:val="decimal"/>
      <w:isLgl/>
      <w:lvlText w:val="%1.%2.%3."/>
      <w:lvlJc w:val="left"/>
      <w:pPr>
        <w:ind w:left="2281" w:hanging="720"/>
      </w:pPr>
      <w:rPr>
        <w:rFonts w:hint="default"/>
      </w:rPr>
    </w:lvl>
    <w:lvl w:ilvl="3">
      <w:start w:val="1"/>
      <w:numFmt w:val="decimal"/>
      <w:isLgl/>
      <w:lvlText w:val="%1.%2.%3.%4."/>
      <w:lvlJc w:val="left"/>
      <w:pPr>
        <w:ind w:left="2991" w:hanging="720"/>
      </w:pPr>
      <w:rPr>
        <w:rFonts w:hint="default"/>
      </w:rPr>
    </w:lvl>
    <w:lvl w:ilvl="4">
      <w:start w:val="1"/>
      <w:numFmt w:val="decimal"/>
      <w:isLgl/>
      <w:lvlText w:val="%1.%2.%3.%4.%5."/>
      <w:lvlJc w:val="left"/>
      <w:pPr>
        <w:ind w:left="4061" w:hanging="1080"/>
      </w:pPr>
      <w:rPr>
        <w:rFonts w:hint="default"/>
      </w:rPr>
    </w:lvl>
    <w:lvl w:ilvl="5">
      <w:start w:val="1"/>
      <w:numFmt w:val="decimal"/>
      <w:isLgl/>
      <w:lvlText w:val="%1.%2.%3.%4.%5.%6."/>
      <w:lvlJc w:val="left"/>
      <w:pPr>
        <w:ind w:left="4771" w:hanging="1080"/>
      </w:pPr>
      <w:rPr>
        <w:rFonts w:hint="default"/>
      </w:rPr>
    </w:lvl>
    <w:lvl w:ilvl="6">
      <w:start w:val="1"/>
      <w:numFmt w:val="decimal"/>
      <w:isLgl/>
      <w:lvlText w:val="%1.%2.%3.%4.%5.%6.%7."/>
      <w:lvlJc w:val="left"/>
      <w:pPr>
        <w:ind w:left="5481" w:hanging="1080"/>
      </w:pPr>
      <w:rPr>
        <w:rFonts w:hint="default"/>
      </w:rPr>
    </w:lvl>
    <w:lvl w:ilvl="7">
      <w:start w:val="1"/>
      <w:numFmt w:val="decimal"/>
      <w:isLgl/>
      <w:lvlText w:val="%1.%2.%3.%4.%5.%6.%7.%8."/>
      <w:lvlJc w:val="left"/>
      <w:pPr>
        <w:ind w:left="6551" w:hanging="1440"/>
      </w:pPr>
      <w:rPr>
        <w:rFonts w:hint="default"/>
      </w:rPr>
    </w:lvl>
    <w:lvl w:ilvl="8">
      <w:start w:val="1"/>
      <w:numFmt w:val="decimal"/>
      <w:isLgl/>
      <w:lvlText w:val="%1.%2.%3.%4.%5.%6.%7.%8.%9."/>
      <w:lvlJc w:val="left"/>
      <w:pPr>
        <w:ind w:left="7261" w:hanging="1440"/>
      </w:pPr>
      <w:rPr>
        <w:rFonts w:hint="default"/>
      </w:rPr>
    </w:lvl>
  </w:abstractNum>
  <w:abstractNum w:abstractNumId="54" w15:restartNumberingAfterBreak="0">
    <w:nsid w:val="3FEE5D7A"/>
    <w:multiLevelType w:val="hybridMultilevel"/>
    <w:tmpl w:val="D5385120"/>
    <w:lvl w:ilvl="0" w:tplc="A06E28AE">
      <w:start w:val="1"/>
      <w:numFmt w:val="lowerLetter"/>
      <w:lvlText w:val="%1."/>
      <w:lvlJc w:val="left"/>
      <w:pPr>
        <w:ind w:left="1997" w:hanging="360"/>
      </w:pPr>
      <w:rPr>
        <w:b/>
        <w:bCs/>
      </w:rPr>
    </w:lvl>
    <w:lvl w:ilvl="1" w:tplc="04090019" w:tentative="1">
      <w:start w:val="1"/>
      <w:numFmt w:val="lowerLetter"/>
      <w:lvlText w:val="%2."/>
      <w:lvlJc w:val="left"/>
      <w:pPr>
        <w:ind w:left="2717" w:hanging="360"/>
      </w:pPr>
    </w:lvl>
    <w:lvl w:ilvl="2" w:tplc="0409001B" w:tentative="1">
      <w:start w:val="1"/>
      <w:numFmt w:val="lowerRoman"/>
      <w:lvlText w:val="%3."/>
      <w:lvlJc w:val="right"/>
      <w:pPr>
        <w:ind w:left="3437" w:hanging="180"/>
      </w:pPr>
    </w:lvl>
    <w:lvl w:ilvl="3" w:tplc="0409000F" w:tentative="1">
      <w:start w:val="1"/>
      <w:numFmt w:val="decimal"/>
      <w:lvlText w:val="%4."/>
      <w:lvlJc w:val="left"/>
      <w:pPr>
        <w:ind w:left="4157" w:hanging="360"/>
      </w:pPr>
    </w:lvl>
    <w:lvl w:ilvl="4" w:tplc="04090019" w:tentative="1">
      <w:start w:val="1"/>
      <w:numFmt w:val="lowerLetter"/>
      <w:lvlText w:val="%5."/>
      <w:lvlJc w:val="left"/>
      <w:pPr>
        <w:ind w:left="4877" w:hanging="360"/>
      </w:pPr>
    </w:lvl>
    <w:lvl w:ilvl="5" w:tplc="0409001B" w:tentative="1">
      <w:start w:val="1"/>
      <w:numFmt w:val="lowerRoman"/>
      <w:lvlText w:val="%6."/>
      <w:lvlJc w:val="right"/>
      <w:pPr>
        <w:ind w:left="5597" w:hanging="180"/>
      </w:pPr>
    </w:lvl>
    <w:lvl w:ilvl="6" w:tplc="0409000F" w:tentative="1">
      <w:start w:val="1"/>
      <w:numFmt w:val="decimal"/>
      <w:lvlText w:val="%7."/>
      <w:lvlJc w:val="left"/>
      <w:pPr>
        <w:ind w:left="6317" w:hanging="360"/>
      </w:pPr>
    </w:lvl>
    <w:lvl w:ilvl="7" w:tplc="04090019" w:tentative="1">
      <w:start w:val="1"/>
      <w:numFmt w:val="lowerLetter"/>
      <w:lvlText w:val="%8."/>
      <w:lvlJc w:val="left"/>
      <w:pPr>
        <w:ind w:left="7037" w:hanging="360"/>
      </w:pPr>
    </w:lvl>
    <w:lvl w:ilvl="8" w:tplc="0409001B" w:tentative="1">
      <w:start w:val="1"/>
      <w:numFmt w:val="lowerRoman"/>
      <w:lvlText w:val="%9."/>
      <w:lvlJc w:val="right"/>
      <w:pPr>
        <w:ind w:left="7757" w:hanging="180"/>
      </w:pPr>
    </w:lvl>
  </w:abstractNum>
  <w:abstractNum w:abstractNumId="55" w15:restartNumberingAfterBreak="0">
    <w:nsid w:val="404A21C7"/>
    <w:multiLevelType w:val="multilevel"/>
    <w:tmpl w:val="E44CE8DA"/>
    <w:styleLink w:val="Style4"/>
    <w:lvl w:ilvl="0">
      <w:start w:val="10"/>
      <w:numFmt w:val="decimal"/>
      <w:lvlText w:val="%1"/>
      <w:lvlJc w:val="left"/>
      <w:pPr>
        <w:tabs>
          <w:tab w:val="num" w:pos="435"/>
        </w:tabs>
        <w:ind w:left="435" w:hanging="435"/>
      </w:pPr>
      <w:rPr>
        <w:rFonts w:cs="Times New Roman" w:hint="default"/>
        <w:color w:val="auto"/>
      </w:rPr>
    </w:lvl>
    <w:lvl w:ilvl="1">
      <w:start w:val="9"/>
      <w:numFmt w:val="decimal"/>
      <w:lvlText w:val="%1.%2"/>
      <w:lvlJc w:val="left"/>
      <w:pPr>
        <w:tabs>
          <w:tab w:val="num" w:pos="32"/>
        </w:tabs>
        <w:ind w:left="32" w:hanging="435"/>
      </w:pPr>
      <w:rPr>
        <w:rFonts w:cs="Times New Roman" w:hint="default"/>
      </w:rPr>
    </w:lvl>
    <w:lvl w:ilvl="2">
      <w:start w:val="2"/>
      <w:numFmt w:val="decimal"/>
      <w:lvlText w:val="%1.%2.%3"/>
      <w:lvlJc w:val="left"/>
      <w:pPr>
        <w:tabs>
          <w:tab w:val="num" w:pos="-86"/>
        </w:tabs>
        <w:ind w:left="-86" w:hanging="720"/>
      </w:pPr>
      <w:rPr>
        <w:rFonts w:cs="Times New Roman" w:hint="default"/>
      </w:rPr>
    </w:lvl>
    <w:lvl w:ilvl="3">
      <w:start w:val="1"/>
      <w:numFmt w:val="decimal"/>
      <w:lvlText w:val="%1.%2.%3.%4"/>
      <w:lvlJc w:val="left"/>
      <w:pPr>
        <w:tabs>
          <w:tab w:val="num" w:pos="-489"/>
        </w:tabs>
        <w:ind w:left="-489" w:hanging="720"/>
      </w:pPr>
      <w:rPr>
        <w:rFonts w:cs="Times New Roman" w:hint="default"/>
      </w:rPr>
    </w:lvl>
    <w:lvl w:ilvl="4">
      <w:start w:val="1"/>
      <w:numFmt w:val="decimal"/>
      <w:lvlText w:val="%1.%2.%3.%4.%5"/>
      <w:lvlJc w:val="left"/>
      <w:pPr>
        <w:tabs>
          <w:tab w:val="num" w:pos="-532"/>
        </w:tabs>
        <w:ind w:left="-532" w:hanging="1080"/>
      </w:pPr>
      <w:rPr>
        <w:rFonts w:cs="Times New Roman" w:hint="default"/>
      </w:rPr>
    </w:lvl>
    <w:lvl w:ilvl="5">
      <w:start w:val="1"/>
      <w:numFmt w:val="decimal"/>
      <w:lvlText w:val="%1.%2.%3.%4.%5.%6"/>
      <w:lvlJc w:val="left"/>
      <w:pPr>
        <w:tabs>
          <w:tab w:val="num" w:pos="-935"/>
        </w:tabs>
        <w:ind w:left="-935" w:hanging="1080"/>
      </w:pPr>
      <w:rPr>
        <w:rFonts w:cs="Times New Roman" w:hint="default"/>
      </w:rPr>
    </w:lvl>
    <w:lvl w:ilvl="6">
      <w:start w:val="1"/>
      <w:numFmt w:val="decimal"/>
      <w:lvlText w:val="%1.%2.%3.%4.%5.%6.%7"/>
      <w:lvlJc w:val="left"/>
      <w:pPr>
        <w:tabs>
          <w:tab w:val="num" w:pos="-978"/>
        </w:tabs>
        <w:ind w:left="-978" w:hanging="1440"/>
      </w:pPr>
      <w:rPr>
        <w:rFonts w:cs="Times New Roman" w:hint="default"/>
      </w:rPr>
    </w:lvl>
    <w:lvl w:ilvl="7">
      <w:start w:val="1"/>
      <w:numFmt w:val="decimal"/>
      <w:lvlText w:val="%1.%2.%3.%4.%5.%6.%7.%8"/>
      <w:lvlJc w:val="left"/>
      <w:pPr>
        <w:tabs>
          <w:tab w:val="num" w:pos="-1381"/>
        </w:tabs>
        <w:ind w:left="-1381" w:hanging="1440"/>
      </w:pPr>
      <w:rPr>
        <w:rFonts w:cs="Times New Roman" w:hint="default"/>
      </w:rPr>
    </w:lvl>
    <w:lvl w:ilvl="8">
      <w:start w:val="1"/>
      <w:numFmt w:val="decimal"/>
      <w:lvlText w:val="%1.%2.%3.%4.%5.%6.%7.%8.%9"/>
      <w:lvlJc w:val="left"/>
      <w:pPr>
        <w:tabs>
          <w:tab w:val="num" w:pos="-1784"/>
        </w:tabs>
        <w:ind w:left="-1784" w:hanging="1440"/>
      </w:pPr>
      <w:rPr>
        <w:rFonts w:cs="Times New Roman" w:hint="default"/>
      </w:rPr>
    </w:lvl>
  </w:abstractNum>
  <w:abstractNum w:abstractNumId="56" w15:restartNumberingAfterBreak="0">
    <w:nsid w:val="41FC3056"/>
    <w:multiLevelType w:val="hybridMultilevel"/>
    <w:tmpl w:val="6980BB48"/>
    <w:lvl w:ilvl="0" w:tplc="3758752A">
      <w:start w:val="1"/>
      <w:numFmt w:val="lowerLetter"/>
      <w:lvlText w:val="%1."/>
      <w:lvlJc w:val="left"/>
      <w:pPr>
        <w:ind w:left="720" w:hanging="360"/>
      </w:pPr>
      <w:rPr>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23A7A72"/>
    <w:multiLevelType w:val="hybridMultilevel"/>
    <w:tmpl w:val="5826259A"/>
    <w:lvl w:ilvl="0" w:tplc="990AAC04">
      <w:start w:val="9"/>
      <w:numFmt w:val="lowerLetter"/>
      <w:lvlText w:val="%1."/>
      <w:lvlJc w:val="left"/>
      <w:pPr>
        <w:tabs>
          <w:tab w:val="num" w:pos="540"/>
        </w:tabs>
        <w:ind w:left="540" w:hanging="360"/>
      </w:pPr>
      <w:rPr>
        <w:rFonts w:hint="default"/>
        <w:b/>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42B9740A"/>
    <w:multiLevelType w:val="multilevel"/>
    <w:tmpl w:val="E7600C4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44540167"/>
    <w:multiLevelType w:val="hybridMultilevel"/>
    <w:tmpl w:val="DB5CE1A4"/>
    <w:lvl w:ilvl="0" w:tplc="BD3E82CC">
      <w:start w:val="1"/>
      <w:numFmt w:val="upperRoman"/>
      <w:lvlText w:val="%1."/>
      <w:lvlJc w:val="left"/>
      <w:pPr>
        <w:ind w:left="153"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44B921A5"/>
    <w:multiLevelType w:val="hybridMultilevel"/>
    <w:tmpl w:val="B0486302"/>
    <w:lvl w:ilvl="0" w:tplc="CF52F414">
      <w:start w:val="3"/>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rPr>
        <w:rFonts w:hint="default"/>
      </w:rPr>
    </w:lvl>
    <w:lvl w:ilvl="2" w:tplc="041F001B">
      <w:start w:val="3"/>
      <w:numFmt w:val="upperRoman"/>
      <w:lvlText w:val="%3."/>
      <w:lvlJc w:val="left"/>
      <w:pPr>
        <w:tabs>
          <w:tab w:val="num" w:pos="720"/>
        </w:tabs>
        <w:ind w:left="720" w:hanging="720"/>
      </w:pPr>
      <w:rPr>
        <w:rFonts w:hint="default"/>
      </w:rPr>
    </w:lvl>
    <w:lvl w:ilvl="3" w:tplc="041F0019">
      <w:start w:val="1"/>
      <w:numFmt w:val="lowerLetter"/>
      <w:lvlText w:val="%4."/>
      <w:lvlJc w:val="left"/>
      <w:pPr>
        <w:tabs>
          <w:tab w:val="num" w:pos="2771"/>
        </w:tabs>
        <w:ind w:left="2771" w:hanging="360"/>
      </w:pPr>
      <w:rPr>
        <w:rFonts w:hint="default"/>
      </w:rPr>
    </w:lvl>
    <w:lvl w:ilvl="4" w:tplc="C9323BE8">
      <w:start w:val="1"/>
      <w:numFmt w:val="lowerRoman"/>
      <w:lvlText w:val="%5)"/>
      <w:lvlJc w:val="left"/>
      <w:pPr>
        <w:ind w:left="3960" w:hanging="720"/>
      </w:pPr>
      <w:rPr>
        <w:rFonts w:hint="default"/>
      </w:r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467F3567"/>
    <w:multiLevelType w:val="hybridMultilevel"/>
    <w:tmpl w:val="7778D7F8"/>
    <w:lvl w:ilvl="0" w:tplc="7982116A">
      <w:start w:val="1"/>
      <w:numFmt w:val="upperRoman"/>
      <w:lvlText w:val="%1."/>
      <w:lvlJc w:val="left"/>
      <w:pPr>
        <w:ind w:left="153" w:hanging="720"/>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62" w15:restartNumberingAfterBreak="0">
    <w:nsid w:val="46C37B5C"/>
    <w:multiLevelType w:val="hybridMultilevel"/>
    <w:tmpl w:val="91AA8C58"/>
    <w:lvl w:ilvl="0" w:tplc="441AEDA8">
      <w:start w:val="3"/>
      <w:numFmt w:val="lowerLetter"/>
      <w:lvlText w:val="%1."/>
      <w:lvlJc w:val="left"/>
      <w:pPr>
        <w:ind w:left="3210" w:hanging="5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875716E"/>
    <w:multiLevelType w:val="hybridMultilevel"/>
    <w:tmpl w:val="98904968"/>
    <w:lvl w:ilvl="0" w:tplc="EDF433C2">
      <w:start w:val="1"/>
      <w:numFmt w:val="lowerLetter"/>
      <w:lvlText w:val="%1."/>
      <w:lvlJc w:val="left"/>
      <w:pPr>
        <w:ind w:left="668" w:hanging="58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88140BF"/>
    <w:multiLevelType w:val="hybridMultilevel"/>
    <w:tmpl w:val="DDC0AD30"/>
    <w:lvl w:ilvl="0" w:tplc="778808DE">
      <w:start w:val="1"/>
      <w:numFmt w:val="lowerLetter"/>
      <w:lvlText w:val="%1."/>
      <w:lvlJc w:val="left"/>
      <w:pPr>
        <w:tabs>
          <w:tab w:val="num" w:pos="360"/>
        </w:tabs>
        <w:ind w:left="360" w:hanging="360"/>
      </w:pPr>
      <w:rPr>
        <w:b/>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65" w15:restartNumberingAfterBreak="0">
    <w:nsid w:val="492D0921"/>
    <w:multiLevelType w:val="multilevel"/>
    <w:tmpl w:val="4F84E04C"/>
    <w:styleLink w:val="Style6"/>
    <w:lvl w:ilvl="0">
      <w:start w:val="1"/>
      <w:numFmt w:val="upperRoman"/>
      <w:lvlText w:val="%1."/>
      <w:lvlJc w:val="center"/>
      <w:pPr>
        <w:tabs>
          <w:tab w:val="num" w:pos="1304"/>
        </w:tabs>
        <w:ind w:left="1474" w:hanging="1474"/>
      </w:pPr>
      <w:rPr>
        <w:rFonts w:cs="Times New Roman" w:hint="default"/>
        <w:b w:val="0"/>
        <w:bCs w:val="0"/>
        <w:i w:val="0"/>
        <w:iCs w:val="0"/>
      </w:rPr>
    </w:lvl>
    <w:lvl w:ilvl="1">
      <w:start w:val="1"/>
      <w:numFmt w:val="lowerLetter"/>
      <w:lvlText w:val="%2."/>
      <w:lvlJc w:val="left"/>
      <w:pPr>
        <w:tabs>
          <w:tab w:val="num" w:pos="1440"/>
        </w:tabs>
        <w:ind w:left="1440" w:hanging="360"/>
      </w:pPr>
      <w:rPr>
        <w:rFonts w:cs="Times New Roman" w:hint="default"/>
      </w:rPr>
    </w:lvl>
    <w:lvl w:ilvl="2">
      <w:start w:val="1"/>
      <w:numFmt w:val="upp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6" w15:restartNumberingAfterBreak="0">
    <w:nsid w:val="49C7189B"/>
    <w:multiLevelType w:val="hybridMultilevel"/>
    <w:tmpl w:val="B0E61A18"/>
    <w:lvl w:ilvl="0" w:tplc="5E4ACB9C">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67" w15:restartNumberingAfterBreak="0">
    <w:nsid w:val="4DC36FCC"/>
    <w:multiLevelType w:val="hybridMultilevel"/>
    <w:tmpl w:val="81C048A2"/>
    <w:lvl w:ilvl="0" w:tplc="6D048B54">
      <w:start w:val="8"/>
      <w:numFmt w:val="decimal"/>
      <w:lvlText w:val="%1."/>
      <w:lvlJc w:val="left"/>
      <w:pPr>
        <w:ind w:left="-3" w:hanging="58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4E5C5C48"/>
    <w:multiLevelType w:val="multilevel"/>
    <w:tmpl w:val="2200D3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F054A09"/>
    <w:multiLevelType w:val="multilevel"/>
    <w:tmpl w:val="FA1EF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2D3424F"/>
    <w:multiLevelType w:val="hybridMultilevel"/>
    <w:tmpl w:val="0896B3F4"/>
    <w:lvl w:ilvl="0" w:tplc="DCF06F92">
      <w:start w:val="4"/>
      <w:numFmt w:val="lowerLetter"/>
      <w:lvlText w:val="%1."/>
      <w:lvlJc w:val="left"/>
      <w:pPr>
        <w:tabs>
          <w:tab w:val="num" w:pos="540"/>
        </w:tabs>
        <w:ind w:left="540" w:hanging="360"/>
      </w:pPr>
      <w:rPr>
        <w:rFonts w:hint="default"/>
        <w:b/>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1" w15:restartNumberingAfterBreak="0">
    <w:nsid w:val="53C50233"/>
    <w:multiLevelType w:val="multilevel"/>
    <w:tmpl w:val="BFFE134E"/>
    <w:lvl w:ilvl="0">
      <w:start w:val="1"/>
      <w:numFmt w:val="lowerLetter"/>
      <w:lvlText w:val="%1."/>
      <w:lvlJc w:val="left"/>
      <w:pPr>
        <w:ind w:left="360" w:hanging="360"/>
      </w:pPr>
      <w:rPr>
        <w:rFonts w:hint="default"/>
        <w: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rPr>
        <w:b w:val="0"/>
        <w:bCs w:val="0"/>
      </w:rPr>
    </w:lvl>
    <w:lvl w:ilvl="8">
      <w:start w:val="1"/>
      <w:numFmt w:val="lowerRoman"/>
      <w:lvlText w:val="%9."/>
      <w:lvlJc w:val="left"/>
      <w:pPr>
        <w:ind w:left="3240" w:hanging="360"/>
      </w:pPr>
    </w:lvl>
  </w:abstractNum>
  <w:abstractNum w:abstractNumId="72" w15:restartNumberingAfterBreak="0">
    <w:nsid w:val="547A07E2"/>
    <w:multiLevelType w:val="hybridMultilevel"/>
    <w:tmpl w:val="47D40750"/>
    <w:lvl w:ilvl="0" w:tplc="06041B2C">
      <w:start w:val="2"/>
      <w:numFmt w:val="upperRoman"/>
      <w:lvlText w:val="%1."/>
      <w:lvlJc w:val="left"/>
      <w:pPr>
        <w:ind w:left="153"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3" w15:restartNumberingAfterBreak="0">
    <w:nsid w:val="55306CD4"/>
    <w:multiLevelType w:val="multilevel"/>
    <w:tmpl w:val="8FCAC3B0"/>
    <w:styleLink w:val="Style7"/>
    <w:lvl w:ilvl="0">
      <w:start w:val="1"/>
      <w:numFmt w:val="upperRoman"/>
      <w:suff w:val="space"/>
      <w:lvlText w:val="%1."/>
      <w:lvlJc w:val="center"/>
      <w:pPr>
        <w:ind w:left="624" w:hanging="624"/>
      </w:pPr>
      <w:rPr>
        <w:rFonts w:cs="Times New Roman" w:hint="default"/>
        <w:b w:val="0"/>
        <w:bCs w:val="0"/>
        <w:i w:val="0"/>
        <w:iCs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4" w15:restartNumberingAfterBreak="0">
    <w:nsid w:val="555D1F2C"/>
    <w:multiLevelType w:val="hybridMultilevel"/>
    <w:tmpl w:val="27BEFBCE"/>
    <w:lvl w:ilvl="0" w:tplc="4E32315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5" w15:restartNumberingAfterBreak="0">
    <w:nsid w:val="5662435D"/>
    <w:multiLevelType w:val="hybridMultilevel"/>
    <w:tmpl w:val="2F72A99A"/>
    <w:lvl w:ilvl="0" w:tplc="906E3918">
      <w:start w:val="1"/>
      <w:numFmt w:val="upperRoman"/>
      <w:lvlText w:val="%1."/>
      <w:lvlJc w:val="left"/>
      <w:pPr>
        <w:ind w:left="153"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15:restartNumberingAfterBreak="0">
    <w:nsid w:val="57A514B3"/>
    <w:multiLevelType w:val="hybridMultilevel"/>
    <w:tmpl w:val="B43CE542"/>
    <w:lvl w:ilvl="0" w:tplc="43D25DC4">
      <w:start w:val="1"/>
      <w:numFmt w:val="upperRoman"/>
      <w:lvlText w:val="%1."/>
      <w:lvlJc w:val="left"/>
      <w:pPr>
        <w:ind w:left="153"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7" w15:restartNumberingAfterBreak="0">
    <w:nsid w:val="57DC68A9"/>
    <w:multiLevelType w:val="hybridMultilevel"/>
    <w:tmpl w:val="BA3ABDCA"/>
    <w:lvl w:ilvl="0" w:tplc="E93646CA">
      <w:start w:val="4"/>
      <w:numFmt w:val="upperRoman"/>
      <w:lvlText w:val="%1."/>
      <w:lvlJc w:val="left"/>
      <w:pPr>
        <w:ind w:left="34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90F58C6"/>
    <w:multiLevelType w:val="hybridMultilevel"/>
    <w:tmpl w:val="DB5CE1A4"/>
    <w:lvl w:ilvl="0" w:tplc="BD3E82CC">
      <w:start w:val="1"/>
      <w:numFmt w:val="upperRoman"/>
      <w:lvlText w:val="%1."/>
      <w:lvlJc w:val="left"/>
      <w:pPr>
        <w:ind w:left="153"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9" w15:restartNumberingAfterBreak="0">
    <w:nsid w:val="5A5E1B6F"/>
    <w:multiLevelType w:val="hybridMultilevel"/>
    <w:tmpl w:val="BC1E416C"/>
    <w:lvl w:ilvl="0" w:tplc="98DCB622">
      <w:start w:val="1"/>
      <w:numFmt w:val="upperRoman"/>
      <w:lvlText w:val="%1."/>
      <w:lvlJc w:val="left"/>
      <w:pPr>
        <w:ind w:left="1571" w:hanging="72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80" w15:restartNumberingAfterBreak="0">
    <w:nsid w:val="5A8977EF"/>
    <w:multiLevelType w:val="multilevel"/>
    <w:tmpl w:val="041F001D"/>
    <w:styleLink w:val="Sti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1" w15:restartNumberingAfterBreak="0">
    <w:nsid w:val="5AA95557"/>
    <w:multiLevelType w:val="hybridMultilevel"/>
    <w:tmpl w:val="7E42482A"/>
    <w:lvl w:ilvl="0" w:tplc="B1C8E666">
      <w:start w:val="1"/>
      <w:numFmt w:val="upperRoman"/>
      <w:lvlText w:val="%1."/>
      <w:lvlJc w:val="left"/>
      <w:pPr>
        <w:ind w:left="153"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BED6E5D"/>
    <w:multiLevelType w:val="hybridMultilevel"/>
    <w:tmpl w:val="5436EE06"/>
    <w:lvl w:ilvl="0" w:tplc="041F0019">
      <w:start w:val="1"/>
      <w:numFmt w:val="lowerLetter"/>
      <w:lvlText w:val="%1."/>
      <w:lvlJc w:val="left"/>
      <w:pPr>
        <w:ind w:left="1267" w:hanging="360"/>
      </w:pPr>
    </w:lvl>
    <w:lvl w:ilvl="1" w:tplc="041F0019" w:tentative="1">
      <w:start w:val="1"/>
      <w:numFmt w:val="lowerLetter"/>
      <w:lvlText w:val="%2."/>
      <w:lvlJc w:val="left"/>
      <w:pPr>
        <w:ind w:left="1987" w:hanging="360"/>
      </w:pPr>
    </w:lvl>
    <w:lvl w:ilvl="2" w:tplc="041F001B" w:tentative="1">
      <w:start w:val="1"/>
      <w:numFmt w:val="lowerRoman"/>
      <w:lvlText w:val="%3."/>
      <w:lvlJc w:val="right"/>
      <w:pPr>
        <w:ind w:left="2707" w:hanging="180"/>
      </w:pPr>
    </w:lvl>
    <w:lvl w:ilvl="3" w:tplc="041F000F" w:tentative="1">
      <w:start w:val="1"/>
      <w:numFmt w:val="decimal"/>
      <w:lvlText w:val="%4."/>
      <w:lvlJc w:val="left"/>
      <w:pPr>
        <w:ind w:left="3427" w:hanging="360"/>
      </w:pPr>
    </w:lvl>
    <w:lvl w:ilvl="4" w:tplc="041F0019" w:tentative="1">
      <w:start w:val="1"/>
      <w:numFmt w:val="lowerLetter"/>
      <w:lvlText w:val="%5."/>
      <w:lvlJc w:val="left"/>
      <w:pPr>
        <w:ind w:left="4147" w:hanging="360"/>
      </w:pPr>
    </w:lvl>
    <w:lvl w:ilvl="5" w:tplc="041F001B" w:tentative="1">
      <w:start w:val="1"/>
      <w:numFmt w:val="lowerRoman"/>
      <w:lvlText w:val="%6."/>
      <w:lvlJc w:val="right"/>
      <w:pPr>
        <w:ind w:left="4867" w:hanging="180"/>
      </w:pPr>
    </w:lvl>
    <w:lvl w:ilvl="6" w:tplc="041F000F" w:tentative="1">
      <w:start w:val="1"/>
      <w:numFmt w:val="decimal"/>
      <w:lvlText w:val="%7."/>
      <w:lvlJc w:val="left"/>
      <w:pPr>
        <w:ind w:left="5587" w:hanging="360"/>
      </w:pPr>
    </w:lvl>
    <w:lvl w:ilvl="7" w:tplc="041F0019" w:tentative="1">
      <w:start w:val="1"/>
      <w:numFmt w:val="lowerLetter"/>
      <w:lvlText w:val="%8."/>
      <w:lvlJc w:val="left"/>
      <w:pPr>
        <w:ind w:left="6307" w:hanging="360"/>
      </w:pPr>
    </w:lvl>
    <w:lvl w:ilvl="8" w:tplc="041F001B" w:tentative="1">
      <w:start w:val="1"/>
      <w:numFmt w:val="lowerRoman"/>
      <w:lvlText w:val="%9."/>
      <w:lvlJc w:val="right"/>
      <w:pPr>
        <w:ind w:left="7027" w:hanging="180"/>
      </w:pPr>
    </w:lvl>
  </w:abstractNum>
  <w:abstractNum w:abstractNumId="83" w15:restartNumberingAfterBreak="0">
    <w:nsid w:val="5C0911E4"/>
    <w:multiLevelType w:val="hybridMultilevel"/>
    <w:tmpl w:val="0F5A3C8C"/>
    <w:lvl w:ilvl="0" w:tplc="B664C100">
      <w:start w:val="11"/>
      <w:numFmt w:val="decimal"/>
      <w:lvlText w:val="%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C29527C"/>
    <w:multiLevelType w:val="hybridMultilevel"/>
    <w:tmpl w:val="33140776"/>
    <w:lvl w:ilvl="0" w:tplc="F572BB20">
      <w:start w:val="1"/>
      <w:numFmt w:val="upperRoman"/>
      <w:lvlText w:val="%1."/>
      <w:lvlJc w:val="left"/>
      <w:pPr>
        <w:ind w:left="180" w:hanging="720"/>
      </w:pPr>
      <w:rPr>
        <w:rFonts w:hint="defaul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85" w15:restartNumberingAfterBreak="0">
    <w:nsid w:val="5D792DA1"/>
    <w:multiLevelType w:val="hybridMultilevel"/>
    <w:tmpl w:val="50CE6DB6"/>
    <w:lvl w:ilvl="0" w:tplc="B9044E92">
      <w:start w:val="7"/>
      <w:numFmt w:val="upperRoman"/>
      <w:lvlText w:val="%1."/>
      <w:lvlJc w:val="left"/>
      <w:pPr>
        <w:ind w:left="342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6" w15:restartNumberingAfterBreak="0">
    <w:nsid w:val="5E762228"/>
    <w:multiLevelType w:val="hybridMultilevel"/>
    <w:tmpl w:val="1206B94C"/>
    <w:lvl w:ilvl="0" w:tplc="DD7A4858">
      <w:start w:val="4"/>
      <w:numFmt w:val="upperRoman"/>
      <w:lvlText w:val="%1."/>
      <w:lvlJc w:val="left"/>
      <w:pPr>
        <w:ind w:left="342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7" w15:restartNumberingAfterBreak="0">
    <w:nsid w:val="5E941711"/>
    <w:multiLevelType w:val="hybridMultilevel"/>
    <w:tmpl w:val="FACAD09A"/>
    <w:lvl w:ilvl="0" w:tplc="93DA818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8" w15:restartNumberingAfterBreak="0">
    <w:nsid w:val="604E4C91"/>
    <w:multiLevelType w:val="hybridMultilevel"/>
    <w:tmpl w:val="746A913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9" w15:restartNumberingAfterBreak="0">
    <w:nsid w:val="60556C4B"/>
    <w:multiLevelType w:val="hybridMultilevel"/>
    <w:tmpl w:val="B10248CC"/>
    <w:lvl w:ilvl="0" w:tplc="73FC15EE">
      <w:start w:val="1"/>
      <w:numFmt w:val="upperRoman"/>
      <w:lvlText w:val="%1."/>
      <w:lvlJc w:val="left"/>
      <w:pPr>
        <w:ind w:left="153"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18F0228"/>
    <w:multiLevelType w:val="hybridMultilevel"/>
    <w:tmpl w:val="BEFE85D4"/>
    <w:lvl w:ilvl="0" w:tplc="E52AFF6E">
      <w:start w:val="1"/>
      <w:numFmt w:val="upperRoman"/>
      <w:lvlText w:val="%1."/>
      <w:lvlJc w:val="left"/>
      <w:pPr>
        <w:ind w:left="153"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1" w15:restartNumberingAfterBreak="0">
    <w:nsid w:val="61DA3F8B"/>
    <w:multiLevelType w:val="hybridMultilevel"/>
    <w:tmpl w:val="5E3A63A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2" w15:restartNumberingAfterBreak="0">
    <w:nsid w:val="631744D5"/>
    <w:multiLevelType w:val="hybridMultilevel"/>
    <w:tmpl w:val="5BC2B338"/>
    <w:lvl w:ilvl="0" w:tplc="041F0019">
      <w:start w:val="1"/>
      <w:numFmt w:val="lowerLetter"/>
      <w:lvlText w:val="%1."/>
      <w:lvlJc w:val="left"/>
      <w:pPr>
        <w:ind w:left="3" w:hanging="570"/>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93" w15:restartNumberingAfterBreak="0">
    <w:nsid w:val="63E359FC"/>
    <w:multiLevelType w:val="hybridMultilevel"/>
    <w:tmpl w:val="E28803C4"/>
    <w:lvl w:ilvl="0" w:tplc="EDB82DCA">
      <w:start w:val="2"/>
      <w:numFmt w:val="decimal"/>
      <w:lvlText w:val="%1."/>
      <w:lvlJc w:val="left"/>
      <w:pPr>
        <w:ind w:left="30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7277F85"/>
    <w:multiLevelType w:val="hybridMultilevel"/>
    <w:tmpl w:val="D48CB5F6"/>
    <w:lvl w:ilvl="0" w:tplc="3796BEA6">
      <w:start w:val="1"/>
      <w:numFmt w:val="low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5" w15:restartNumberingAfterBreak="0">
    <w:nsid w:val="683A42E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6" w15:restartNumberingAfterBreak="0">
    <w:nsid w:val="688F716C"/>
    <w:multiLevelType w:val="hybridMultilevel"/>
    <w:tmpl w:val="030E917E"/>
    <w:lvl w:ilvl="0" w:tplc="5422FADA">
      <w:start w:val="1"/>
      <w:numFmt w:val="upperRoman"/>
      <w:lvlText w:val="%1."/>
      <w:lvlJc w:val="left"/>
      <w:pPr>
        <w:ind w:left="153"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7" w15:restartNumberingAfterBreak="0">
    <w:nsid w:val="6B0D2A47"/>
    <w:multiLevelType w:val="hybridMultilevel"/>
    <w:tmpl w:val="2834A1EE"/>
    <w:lvl w:ilvl="0" w:tplc="F702C9DA">
      <w:start w:val="1"/>
      <w:numFmt w:val="upperRoman"/>
      <w:lvlText w:val="%1."/>
      <w:lvlJc w:val="left"/>
      <w:pPr>
        <w:ind w:left="153"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6DFA4C26"/>
    <w:multiLevelType w:val="hybridMultilevel"/>
    <w:tmpl w:val="031828D2"/>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99" w15:restartNumberingAfterBreak="0">
    <w:nsid w:val="6F4B583C"/>
    <w:multiLevelType w:val="multilevel"/>
    <w:tmpl w:val="798A44B4"/>
    <w:styleLink w:val="Style9"/>
    <w:lvl w:ilvl="0">
      <w:start w:val="12"/>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360"/>
        </w:tabs>
        <w:ind w:left="-360" w:hanging="360"/>
      </w:pPr>
      <w:rPr>
        <w:rFonts w:cs="Times New Roman" w:hint="default"/>
      </w:rPr>
    </w:lvl>
    <w:lvl w:ilvl="2">
      <w:start w:val="1"/>
      <w:numFmt w:val="decimal"/>
      <w:isLgl/>
      <w:lvlText w:val="%1.%2.%3"/>
      <w:lvlJc w:val="left"/>
      <w:pPr>
        <w:tabs>
          <w:tab w:val="num" w:pos="0"/>
        </w:tabs>
        <w:ind w:hanging="720"/>
      </w:pPr>
      <w:rPr>
        <w:rFonts w:cs="Times New Roman" w:hint="default"/>
      </w:rPr>
    </w:lvl>
    <w:lvl w:ilvl="3">
      <w:start w:val="1"/>
      <w:numFmt w:val="decimal"/>
      <w:isLgl/>
      <w:lvlText w:val="%1.%2.%3.%4"/>
      <w:lvlJc w:val="left"/>
      <w:pPr>
        <w:tabs>
          <w:tab w:val="num" w:pos="0"/>
        </w:tabs>
        <w:ind w:hanging="720"/>
      </w:pPr>
      <w:rPr>
        <w:rFonts w:cs="Times New Roman" w:hint="default"/>
      </w:rPr>
    </w:lvl>
    <w:lvl w:ilvl="4">
      <w:start w:val="1"/>
      <w:numFmt w:val="decimal"/>
      <w:isLgl/>
      <w:lvlText w:val="%1.%2.%3.%4.%5"/>
      <w:lvlJc w:val="left"/>
      <w:pPr>
        <w:tabs>
          <w:tab w:val="num" w:pos="360"/>
        </w:tabs>
        <w:ind w:left="360" w:hanging="1080"/>
      </w:pPr>
      <w:rPr>
        <w:rFonts w:cs="Times New Roman" w:hint="default"/>
      </w:rPr>
    </w:lvl>
    <w:lvl w:ilvl="5">
      <w:start w:val="1"/>
      <w:numFmt w:val="decimal"/>
      <w:isLgl/>
      <w:lvlText w:val="%1.%2.%3.%4.%5.%6"/>
      <w:lvlJc w:val="left"/>
      <w:pPr>
        <w:tabs>
          <w:tab w:val="num" w:pos="360"/>
        </w:tabs>
        <w:ind w:left="360" w:hanging="1080"/>
      </w:pPr>
      <w:rPr>
        <w:rFonts w:cs="Times New Roman" w:hint="default"/>
      </w:rPr>
    </w:lvl>
    <w:lvl w:ilvl="6">
      <w:start w:val="1"/>
      <w:numFmt w:val="decimal"/>
      <w:isLgl/>
      <w:lvlText w:val="%1.%2.%3.%4.%5.%6.%7"/>
      <w:lvlJc w:val="left"/>
      <w:pPr>
        <w:tabs>
          <w:tab w:val="num" w:pos="720"/>
        </w:tabs>
        <w:ind w:left="720" w:hanging="1440"/>
      </w:pPr>
      <w:rPr>
        <w:rFonts w:cs="Times New Roman" w:hint="default"/>
      </w:rPr>
    </w:lvl>
    <w:lvl w:ilvl="7">
      <w:start w:val="1"/>
      <w:numFmt w:val="decimal"/>
      <w:isLgl/>
      <w:lvlText w:val="%1.%2.%3.%4.%5.%6.%7.%8"/>
      <w:lvlJc w:val="left"/>
      <w:pPr>
        <w:tabs>
          <w:tab w:val="num" w:pos="720"/>
        </w:tabs>
        <w:ind w:left="720" w:hanging="1440"/>
      </w:pPr>
      <w:rPr>
        <w:rFonts w:cs="Times New Roman" w:hint="default"/>
      </w:rPr>
    </w:lvl>
    <w:lvl w:ilvl="8">
      <w:start w:val="1"/>
      <w:numFmt w:val="decimal"/>
      <w:isLgl/>
      <w:lvlText w:val="%1.%2.%3.%4.%5.%6.%7.%8.%9"/>
      <w:lvlJc w:val="left"/>
      <w:pPr>
        <w:tabs>
          <w:tab w:val="num" w:pos="720"/>
        </w:tabs>
        <w:ind w:left="720" w:hanging="1440"/>
      </w:pPr>
      <w:rPr>
        <w:rFonts w:cs="Times New Roman" w:hint="default"/>
      </w:rPr>
    </w:lvl>
  </w:abstractNum>
  <w:abstractNum w:abstractNumId="100" w15:restartNumberingAfterBreak="0">
    <w:nsid w:val="70110588"/>
    <w:multiLevelType w:val="hybridMultilevel"/>
    <w:tmpl w:val="EA6E00DE"/>
    <w:lvl w:ilvl="0" w:tplc="5DCE3A1A">
      <w:start w:val="1"/>
      <w:numFmt w:val="decimal"/>
      <w:lvlText w:val="%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7214368D"/>
    <w:multiLevelType w:val="hybridMultilevel"/>
    <w:tmpl w:val="23AC025A"/>
    <w:lvl w:ilvl="0" w:tplc="6F22E274">
      <w:start w:val="1"/>
      <w:numFmt w:val="lowerLetter"/>
      <w:lvlText w:val="%1."/>
      <w:lvlJc w:val="left"/>
      <w:pPr>
        <w:tabs>
          <w:tab w:val="num" w:pos="540"/>
        </w:tabs>
        <w:ind w:left="540" w:hanging="360"/>
      </w:pPr>
      <w:rPr>
        <w:rFonts w:hint="default"/>
      </w:rPr>
    </w:lvl>
    <w:lvl w:ilvl="1" w:tplc="FFFFFFFF" w:tentative="1">
      <w:start w:val="1"/>
      <w:numFmt w:val="lowerLetter"/>
      <w:lvlText w:val="%2."/>
      <w:lvlJc w:val="left"/>
      <w:pPr>
        <w:tabs>
          <w:tab w:val="num" w:pos="1260"/>
        </w:tabs>
        <w:ind w:left="1260" w:hanging="360"/>
      </w:pPr>
    </w:lvl>
    <w:lvl w:ilvl="2" w:tplc="FFFFFFFF" w:tentative="1">
      <w:start w:val="1"/>
      <w:numFmt w:val="lowerRoman"/>
      <w:lvlText w:val="%3."/>
      <w:lvlJc w:val="right"/>
      <w:pPr>
        <w:tabs>
          <w:tab w:val="num" w:pos="1980"/>
        </w:tabs>
        <w:ind w:left="1980" w:hanging="180"/>
      </w:pPr>
    </w:lvl>
    <w:lvl w:ilvl="3" w:tplc="FFFFFFFF" w:tentative="1">
      <w:start w:val="1"/>
      <w:numFmt w:val="decimal"/>
      <w:lvlText w:val="%4."/>
      <w:lvlJc w:val="left"/>
      <w:pPr>
        <w:tabs>
          <w:tab w:val="num" w:pos="2700"/>
        </w:tabs>
        <w:ind w:left="2700" w:hanging="360"/>
      </w:pPr>
    </w:lvl>
    <w:lvl w:ilvl="4" w:tplc="FFFFFFFF" w:tentative="1">
      <w:start w:val="1"/>
      <w:numFmt w:val="lowerLetter"/>
      <w:lvlText w:val="%5."/>
      <w:lvlJc w:val="left"/>
      <w:pPr>
        <w:tabs>
          <w:tab w:val="num" w:pos="3420"/>
        </w:tabs>
        <w:ind w:left="3420" w:hanging="360"/>
      </w:pPr>
    </w:lvl>
    <w:lvl w:ilvl="5" w:tplc="FFFFFFFF" w:tentative="1">
      <w:start w:val="1"/>
      <w:numFmt w:val="lowerRoman"/>
      <w:lvlText w:val="%6."/>
      <w:lvlJc w:val="right"/>
      <w:pPr>
        <w:tabs>
          <w:tab w:val="num" w:pos="4140"/>
        </w:tabs>
        <w:ind w:left="4140" w:hanging="180"/>
      </w:pPr>
    </w:lvl>
    <w:lvl w:ilvl="6" w:tplc="FFFFFFFF" w:tentative="1">
      <w:start w:val="1"/>
      <w:numFmt w:val="decimal"/>
      <w:lvlText w:val="%7."/>
      <w:lvlJc w:val="left"/>
      <w:pPr>
        <w:tabs>
          <w:tab w:val="num" w:pos="4860"/>
        </w:tabs>
        <w:ind w:left="4860" w:hanging="360"/>
      </w:pPr>
    </w:lvl>
    <w:lvl w:ilvl="7" w:tplc="FFFFFFFF" w:tentative="1">
      <w:start w:val="1"/>
      <w:numFmt w:val="lowerLetter"/>
      <w:lvlText w:val="%8."/>
      <w:lvlJc w:val="left"/>
      <w:pPr>
        <w:tabs>
          <w:tab w:val="num" w:pos="5580"/>
        </w:tabs>
        <w:ind w:left="5580" w:hanging="360"/>
      </w:pPr>
    </w:lvl>
    <w:lvl w:ilvl="8" w:tplc="FFFFFFFF" w:tentative="1">
      <w:start w:val="1"/>
      <w:numFmt w:val="lowerRoman"/>
      <w:lvlText w:val="%9."/>
      <w:lvlJc w:val="right"/>
      <w:pPr>
        <w:tabs>
          <w:tab w:val="num" w:pos="6300"/>
        </w:tabs>
        <w:ind w:left="6300" w:hanging="180"/>
      </w:pPr>
    </w:lvl>
  </w:abstractNum>
  <w:abstractNum w:abstractNumId="102" w15:restartNumberingAfterBreak="0">
    <w:nsid w:val="72934F86"/>
    <w:multiLevelType w:val="multilevel"/>
    <w:tmpl w:val="666CD87A"/>
    <w:styleLink w:val="Style8"/>
    <w:lvl w:ilvl="0">
      <w:start w:val="1"/>
      <w:numFmt w:val="decimal"/>
      <w:lvlText w:val="%1."/>
      <w:lvlJc w:val="center"/>
      <w:pPr>
        <w:tabs>
          <w:tab w:val="num" w:pos="360"/>
        </w:tabs>
        <w:ind w:left="907" w:hanging="907"/>
      </w:pPr>
      <w:rPr>
        <w:rFonts w:cs="Times New Roman" w:hint="default"/>
      </w:rPr>
    </w:lvl>
    <w:lvl w:ilvl="1">
      <w:start w:val="1"/>
      <w:numFmt w:val="decimal"/>
      <w:lvlText w:val="1%1.%2."/>
      <w:lvlJc w:val="left"/>
      <w:pPr>
        <w:tabs>
          <w:tab w:val="num" w:pos="792"/>
        </w:tabs>
        <w:ind w:left="2155" w:hanging="215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3" w15:restartNumberingAfterBreak="0">
    <w:nsid w:val="753A0CA5"/>
    <w:multiLevelType w:val="hybridMultilevel"/>
    <w:tmpl w:val="7E42482A"/>
    <w:lvl w:ilvl="0" w:tplc="B1C8E666">
      <w:start w:val="1"/>
      <w:numFmt w:val="upperRoman"/>
      <w:lvlText w:val="%1."/>
      <w:lvlJc w:val="left"/>
      <w:pPr>
        <w:ind w:left="153"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76B3795F"/>
    <w:multiLevelType w:val="hybridMultilevel"/>
    <w:tmpl w:val="1ADE014E"/>
    <w:lvl w:ilvl="0" w:tplc="AA6C94DE">
      <w:start w:val="1"/>
      <w:numFmt w:val="decimal"/>
      <w:lvlText w:val="%1."/>
      <w:lvlJc w:val="left"/>
      <w:pPr>
        <w:tabs>
          <w:tab w:val="num" w:pos="900"/>
        </w:tabs>
        <w:ind w:left="900" w:hanging="720"/>
      </w:pPr>
      <w:rPr>
        <w:rFonts w:hint="default"/>
      </w:rPr>
    </w:lvl>
    <w:lvl w:ilvl="1" w:tplc="A85EB66E">
      <w:start w:val="1"/>
      <w:numFmt w:val="lowerLetter"/>
      <w:lvlText w:val="%2."/>
      <w:lvlJc w:val="left"/>
      <w:pPr>
        <w:tabs>
          <w:tab w:val="num" w:pos="360"/>
        </w:tabs>
        <w:ind w:left="360" w:hanging="360"/>
      </w:pPr>
      <w:rPr>
        <w:rFonts w:hint="default"/>
        <w:b/>
      </w:rPr>
    </w:lvl>
    <w:lvl w:ilvl="2" w:tplc="FFFFFFFF">
      <w:start w:val="1"/>
      <w:numFmt w:val="decimal"/>
      <w:lvlText w:val="%3."/>
      <w:lvlJc w:val="left"/>
      <w:pPr>
        <w:tabs>
          <w:tab w:val="num" w:pos="1080"/>
        </w:tabs>
        <w:ind w:left="1080" w:hanging="360"/>
      </w:pPr>
      <w:rPr>
        <w:rFonts w:hint="default"/>
      </w:rPr>
    </w:lvl>
    <w:lvl w:ilvl="3" w:tplc="FFFFFFFF">
      <w:start w:val="2"/>
      <w:numFmt w:val="lowerRoman"/>
      <w:lvlText w:val="%4."/>
      <w:lvlJc w:val="left"/>
      <w:pPr>
        <w:tabs>
          <w:tab w:val="num" w:pos="3240"/>
        </w:tabs>
        <w:ind w:left="3240" w:hanging="720"/>
      </w:pPr>
      <w:rPr>
        <w:rFonts w:hint="default"/>
      </w:rPr>
    </w:lvl>
    <w:lvl w:ilvl="4" w:tplc="5B24ECBE">
      <w:start w:val="1"/>
      <w:numFmt w:val="upperRoman"/>
      <w:lvlText w:val="%5."/>
      <w:lvlJc w:val="left"/>
      <w:pPr>
        <w:tabs>
          <w:tab w:val="num" w:pos="3960"/>
        </w:tabs>
        <w:ind w:left="3960" w:hanging="720"/>
      </w:pPr>
      <w:rPr>
        <w:rFonts w:hint="default"/>
      </w:rPr>
    </w:lvl>
    <w:lvl w:ilvl="5" w:tplc="FFFFFFFF">
      <w:start w:val="2"/>
      <w:numFmt w:val="decimal"/>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5" w15:restartNumberingAfterBreak="0">
    <w:nsid w:val="76E62182"/>
    <w:multiLevelType w:val="hybridMultilevel"/>
    <w:tmpl w:val="EA6E00DE"/>
    <w:lvl w:ilvl="0" w:tplc="FFFFFFFF">
      <w:start w:val="1"/>
      <w:numFmt w:val="decimal"/>
      <w:lvlText w:val="%1."/>
      <w:lvlJc w:val="left"/>
      <w:pPr>
        <w:ind w:left="1571"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773E6143"/>
    <w:multiLevelType w:val="hybridMultilevel"/>
    <w:tmpl w:val="F6CCAC04"/>
    <w:lvl w:ilvl="0" w:tplc="CDDE34B8">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7" w15:restartNumberingAfterBreak="0">
    <w:nsid w:val="79947C09"/>
    <w:multiLevelType w:val="hybridMultilevel"/>
    <w:tmpl w:val="81DC489E"/>
    <w:lvl w:ilvl="0" w:tplc="89FC1D82">
      <w:start w:val="1"/>
      <w:numFmt w:val="decimal"/>
      <w:lvlText w:val="%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E3F1116"/>
    <w:multiLevelType w:val="hybridMultilevel"/>
    <w:tmpl w:val="6C28B506"/>
    <w:lvl w:ilvl="0" w:tplc="626EA9FE">
      <w:start w:val="5"/>
      <w:numFmt w:val="lowerLetter"/>
      <w:lvlText w:val="%1."/>
      <w:lvlJc w:val="left"/>
      <w:pPr>
        <w:tabs>
          <w:tab w:val="num" w:pos="720"/>
        </w:tabs>
        <w:ind w:left="720" w:hanging="360"/>
      </w:pPr>
      <w:rPr>
        <w:rFonts w:hint="default"/>
        <w:b/>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9" w15:restartNumberingAfterBreak="0">
    <w:nsid w:val="7ED62F03"/>
    <w:multiLevelType w:val="hybridMultilevel"/>
    <w:tmpl w:val="89807B78"/>
    <w:lvl w:ilvl="0" w:tplc="2BE2C6DE">
      <w:start w:val="1"/>
      <w:numFmt w:val="upperRoman"/>
      <w:lvlText w:val="%1."/>
      <w:lvlJc w:val="left"/>
      <w:pPr>
        <w:ind w:left="153"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F995231"/>
    <w:multiLevelType w:val="hybridMultilevel"/>
    <w:tmpl w:val="876CE4B8"/>
    <w:lvl w:ilvl="0" w:tplc="0FC4130C">
      <w:start w:val="8"/>
      <w:numFmt w:val="decimal"/>
      <w:lvlText w:val="%1."/>
      <w:lvlJc w:val="left"/>
      <w:pPr>
        <w:ind w:left="-3" w:hanging="58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5"/>
  </w:num>
  <w:num w:numId="2">
    <w:abstractNumId w:val="60"/>
  </w:num>
  <w:num w:numId="3">
    <w:abstractNumId w:val="10"/>
  </w:num>
  <w:num w:numId="4">
    <w:abstractNumId w:val="104"/>
  </w:num>
  <w:num w:numId="5">
    <w:abstractNumId w:val="38"/>
  </w:num>
  <w:num w:numId="6">
    <w:abstractNumId w:val="46"/>
  </w:num>
  <w:num w:numId="7">
    <w:abstractNumId w:val="40"/>
  </w:num>
  <w:num w:numId="8">
    <w:abstractNumId w:val="13"/>
  </w:num>
  <w:num w:numId="9">
    <w:abstractNumId w:val="99"/>
  </w:num>
  <w:num w:numId="10">
    <w:abstractNumId w:val="31"/>
  </w:num>
  <w:num w:numId="11">
    <w:abstractNumId w:val="4"/>
  </w:num>
  <w:num w:numId="12">
    <w:abstractNumId w:val="11"/>
  </w:num>
  <w:num w:numId="13">
    <w:abstractNumId w:val="30"/>
  </w:num>
  <w:num w:numId="14">
    <w:abstractNumId w:val="55"/>
  </w:num>
  <w:num w:numId="15">
    <w:abstractNumId w:val="25"/>
  </w:num>
  <w:num w:numId="16">
    <w:abstractNumId w:val="15"/>
  </w:num>
  <w:num w:numId="17">
    <w:abstractNumId w:val="65"/>
  </w:num>
  <w:num w:numId="18">
    <w:abstractNumId w:val="73"/>
  </w:num>
  <w:num w:numId="19">
    <w:abstractNumId w:val="102"/>
  </w:num>
  <w:num w:numId="20">
    <w:abstractNumId w:val="12"/>
  </w:num>
  <w:num w:numId="21">
    <w:abstractNumId w:val="80"/>
  </w:num>
  <w:num w:numId="22">
    <w:abstractNumId w:val="42"/>
  </w:num>
  <w:num w:numId="23">
    <w:abstractNumId w:val="37"/>
  </w:num>
  <w:num w:numId="24">
    <w:abstractNumId w:val="2"/>
  </w:num>
  <w:num w:numId="25">
    <w:abstractNumId w:val="84"/>
  </w:num>
  <w:num w:numId="26">
    <w:abstractNumId w:val="39"/>
  </w:num>
  <w:num w:numId="27">
    <w:abstractNumId w:val="61"/>
  </w:num>
  <w:num w:numId="28">
    <w:abstractNumId w:val="0"/>
  </w:num>
  <w:num w:numId="29">
    <w:abstractNumId w:val="54"/>
  </w:num>
  <w:num w:numId="30">
    <w:abstractNumId w:val="56"/>
  </w:num>
  <w:num w:numId="31">
    <w:abstractNumId w:val="6"/>
  </w:num>
  <w:num w:numId="32">
    <w:abstractNumId w:val="92"/>
  </w:num>
  <w:num w:numId="33">
    <w:abstractNumId w:val="62"/>
  </w:num>
  <w:num w:numId="34">
    <w:abstractNumId w:val="77"/>
  </w:num>
  <w:num w:numId="35">
    <w:abstractNumId w:val="47"/>
  </w:num>
  <w:num w:numId="36">
    <w:abstractNumId w:val="26"/>
  </w:num>
  <w:num w:numId="37">
    <w:abstractNumId w:val="88"/>
  </w:num>
  <w:num w:numId="38">
    <w:abstractNumId w:val="107"/>
  </w:num>
  <w:num w:numId="39">
    <w:abstractNumId w:val="35"/>
  </w:num>
  <w:num w:numId="40">
    <w:abstractNumId w:val="36"/>
  </w:num>
  <w:num w:numId="41">
    <w:abstractNumId w:val="74"/>
  </w:num>
  <w:num w:numId="42">
    <w:abstractNumId w:val="53"/>
  </w:num>
  <w:num w:numId="43">
    <w:abstractNumId w:val="28"/>
  </w:num>
  <w:num w:numId="44">
    <w:abstractNumId w:val="44"/>
  </w:num>
  <w:num w:numId="45">
    <w:abstractNumId w:val="97"/>
  </w:num>
  <w:num w:numId="46">
    <w:abstractNumId w:val="63"/>
  </w:num>
  <w:num w:numId="47">
    <w:abstractNumId w:val="22"/>
  </w:num>
  <w:num w:numId="48">
    <w:abstractNumId w:val="16"/>
  </w:num>
  <w:num w:numId="49">
    <w:abstractNumId w:val="101"/>
  </w:num>
  <w:num w:numId="50">
    <w:abstractNumId w:val="93"/>
  </w:num>
  <w:num w:numId="51">
    <w:abstractNumId w:val="41"/>
  </w:num>
  <w:num w:numId="52">
    <w:abstractNumId w:val="24"/>
  </w:num>
  <w:num w:numId="53">
    <w:abstractNumId w:val="89"/>
  </w:num>
  <w:num w:numId="54">
    <w:abstractNumId w:val="109"/>
  </w:num>
  <w:num w:numId="55">
    <w:abstractNumId w:val="83"/>
  </w:num>
  <w:num w:numId="56">
    <w:abstractNumId w:val="100"/>
  </w:num>
  <w:num w:numId="57">
    <w:abstractNumId w:val="27"/>
  </w:num>
  <w:num w:numId="58">
    <w:abstractNumId w:val="94"/>
  </w:num>
  <w:num w:numId="59">
    <w:abstractNumId w:val="29"/>
  </w:num>
  <w:num w:numId="60">
    <w:abstractNumId w:val="52"/>
  </w:num>
  <w:num w:numId="61">
    <w:abstractNumId w:val="33"/>
  </w:num>
  <w:num w:numId="62">
    <w:abstractNumId w:val="14"/>
  </w:num>
  <w:num w:numId="63">
    <w:abstractNumId w:val="90"/>
  </w:num>
  <w:num w:numId="64">
    <w:abstractNumId w:val="72"/>
  </w:num>
  <w:num w:numId="65">
    <w:abstractNumId w:val="34"/>
  </w:num>
  <w:num w:numId="66">
    <w:abstractNumId w:val="69"/>
  </w:num>
  <w:num w:numId="67">
    <w:abstractNumId w:val="71"/>
  </w:num>
  <w:num w:numId="68">
    <w:abstractNumId w:val="87"/>
  </w:num>
  <w:num w:numId="69">
    <w:abstractNumId w:val="79"/>
  </w:num>
  <w:num w:numId="70">
    <w:abstractNumId w:val="110"/>
  </w:num>
  <w:num w:numId="71">
    <w:abstractNumId w:val="18"/>
  </w:num>
  <w:num w:numId="72">
    <w:abstractNumId w:val="8"/>
  </w:num>
  <w:num w:numId="73">
    <w:abstractNumId w:val="81"/>
  </w:num>
  <w:num w:numId="74">
    <w:abstractNumId w:val="103"/>
  </w:num>
  <w:num w:numId="75">
    <w:abstractNumId w:val="19"/>
  </w:num>
  <w:num w:numId="76">
    <w:abstractNumId w:val="70"/>
  </w:num>
  <w:num w:numId="77">
    <w:abstractNumId w:val="76"/>
  </w:num>
  <w:num w:numId="78">
    <w:abstractNumId w:val="108"/>
  </w:num>
  <w:num w:numId="79">
    <w:abstractNumId w:val="49"/>
  </w:num>
  <w:num w:numId="80">
    <w:abstractNumId w:val="82"/>
  </w:num>
  <w:num w:numId="81">
    <w:abstractNumId w:val="85"/>
  </w:num>
  <w:num w:numId="82">
    <w:abstractNumId w:val="43"/>
  </w:num>
  <w:num w:numId="83">
    <w:abstractNumId w:val="67"/>
  </w:num>
  <w:num w:numId="84">
    <w:abstractNumId w:val="20"/>
  </w:num>
  <w:num w:numId="85">
    <w:abstractNumId w:val="1"/>
  </w:num>
  <w:num w:numId="86">
    <w:abstractNumId w:val="96"/>
  </w:num>
  <w:num w:numId="87">
    <w:abstractNumId w:val="23"/>
  </w:num>
  <w:num w:numId="88">
    <w:abstractNumId w:val="59"/>
  </w:num>
  <w:num w:numId="89">
    <w:abstractNumId w:val="45"/>
  </w:num>
  <w:num w:numId="90">
    <w:abstractNumId w:val="78"/>
  </w:num>
  <w:num w:numId="91">
    <w:abstractNumId w:val="106"/>
  </w:num>
  <w:num w:numId="92">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3"/>
  </w:num>
  <w:num w:numId="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66"/>
  </w:num>
  <w:num w:numId="97">
    <w:abstractNumId w:val="5"/>
  </w:num>
  <w:num w:numId="98">
    <w:abstractNumId w:val="68"/>
  </w:num>
  <w:num w:numId="99">
    <w:abstractNumId w:val="50"/>
  </w:num>
  <w:num w:numId="100">
    <w:abstractNumId w:val="105"/>
  </w:num>
  <w:num w:numId="101">
    <w:abstractNumId w:val="21"/>
  </w:num>
  <w:num w:numId="102">
    <w:abstractNumId w:val="7"/>
  </w:num>
  <w:num w:numId="103">
    <w:abstractNumId w:val="75"/>
  </w:num>
  <w:num w:numId="104">
    <w:abstractNumId w:val="9"/>
  </w:num>
  <w:num w:numId="105">
    <w:abstractNumId w:val="57"/>
  </w:num>
  <w:num w:numId="106">
    <w:abstractNumId w:val="86"/>
  </w:num>
  <w:num w:numId="107">
    <w:abstractNumId w:val="48"/>
  </w:num>
  <w:num w:numId="108">
    <w:abstractNumId w:val="58"/>
  </w:num>
  <w:num w:numId="109">
    <w:abstractNumId w:val="17"/>
  </w:num>
  <w:num w:numId="110">
    <w:abstractNumId w:val="98"/>
  </w:num>
  <w:num w:numId="111">
    <w:abstractNumId w:val="32"/>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tr-TR"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ORL09DqI7wOCOhqXI76vzYBf5dBlSxJ8v99HShxiFhi06vXHD/XMMK1TQFpTiwqcl0PANLFCo2zh6TWIkaFZHA==" w:salt="QzG/Uh0IgH+FunZMepJeVg=="/>
  <w:defaultTabStop w:val="567"/>
  <w:hyphenationZone w:val="425"/>
  <w:evenAndOddHeaders/>
  <w:drawingGridHorizontalSpacing w:val="120"/>
  <w:displayHorizontalDrawingGridEvery w:val="2"/>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E36"/>
    <w:rsid w:val="00000097"/>
    <w:rsid w:val="00000389"/>
    <w:rsid w:val="00000412"/>
    <w:rsid w:val="00000466"/>
    <w:rsid w:val="000006B4"/>
    <w:rsid w:val="000007E2"/>
    <w:rsid w:val="00000A13"/>
    <w:rsid w:val="00000A1E"/>
    <w:rsid w:val="00000AE7"/>
    <w:rsid w:val="00000B9A"/>
    <w:rsid w:val="00000BBB"/>
    <w:rsid w:val="00000C0D"/>
    <w:rsid w:val="00000C32"/>
    <w:rsid w:val="00000DDA"/>
    <w:rsid w:val="00000E92"/>
    <w:rsid w:val="00000EB6"/>
    <w:rsid w:val="00000F68"/>
    <w:rsid w:val="00000FD5"/>
    <w:rsid w:val="0000108B"/>
    <w:rsid w:val="0000108C"/>
    <w:rsid w:val="0000149C"/>
    <w:rsid w:val="000016B9"/>
    <w:rsid w:val="000017DF"/>
    <w:rsid w:val="000018CC"/>
    <w:rsid w:val="000018DC"/>
    <w:rsid w:val="000019DC"/>
    <w:rsid w:val="00001A16"/>
    <w:rsid w:val="00001A67"/>
    <w:rsid w:val="00001AD3"/>
    <w:rsid w:val="00001C31"/>
    <w:rsid w:val="00001C5A"/>
    <w:rsid w:val="00001E45"/>
    <w:rsid w:val="00001F3A"/>
    <w:rsid w:val="00001FFF"/>
    <w:rsid w:val="0000200D"/>
    <w:rsid w:val="00002131"/>
    <w:rsid w:val="00002177"/>
    <w:rsid w:val="000021F3"/>
    <w:rsid w:val="00002262"/>
    <w:rsid w:val="000023F9"/>
    <w:rsid w:val="000024E5"/>
    <w:rsid w:val="00002563"/>
    <w:rsid w:val="000025A1"/>
    <w:rsid w:val="000025E7"/>
    <w:rsid w:val="0000261E"/>
    <w:rsid w:val="0000263A"/>
    <w:rsid w:val="000026D1"/>
    <w:rsid w:val="00002A1D"/>
    <w:rsid w:val="00002AEE"/>
    <w:rsid w:val="00002C31"/>
    <w:rsid w:val="00002CF8"/>
    <w:rsid w:val="00002D00"/>
    <w:rsid w:val="00002E5F"/>
    <w:rsid w:val="00002F98"/>
    <w:rsid w:val="000031A5"/>
    <w:rsid w:val="000031F8"/>
    <w:rsid w:val="0000376E"/>
    <w:rsid w:val="000037E4"/>
    <w:rsid w:val="00003B35"/>
    <w:rsid w:val="00003BEA"/>
    <w:rsid w:val="00003CF3"/>
    <w:rsid w:val="00003D63"/>
    <w:rsid w:val="00003DF2"/>
    <w:rsid w:val="00003E5A"/>
    <w:rsid w:val="00003EA8"/>
    <w:rsid w:val="0000400C"/>
    <w:rsid w:val="000040ED"/>
    <w:rsid w:val="00004276"/>
    <w:rsid w:val="00004342"/>
    <w:rsid w:val="00004426"/>
    <w:rsid w:val="00004454"/>
    <w:rsid w:val="0000446D"/>
    <w:rsid w:val="000046D7"/>
    <w:rsid w:val="0000471F"/>
    <w:rsid w:val="000047E3"/>
    <w:rsid w:val="00004809"/>
    <w:rsid w:val="00004833"/>
    <w:rsid w:val="000049B5"/>
    <w:rsid w:val="00004A61"/>
    <w:rsid w:val="00004A8C"/>
    <w:rsid w:val="00004C42"/>
    <w:rsid w:val="00004E95"/>
    <w:rsid w:val="00004ECA"/>
    <w:rsid w:val="00004F6B"/>
    <w:rsid w:val="000050C2"/>
    <w:rsid w:val="000050D7"/>
    <w:rsid w:val="0000510C"/>
    <w:rsid w:val="0000516C"/>
    <w:rsid w:val="000054A5"/>
    <w:rsid w:val="0000557E"/>
    <w:rsid w:val="0000568B"/>
    <w:rsid w:val="00005767"/>
    <w:rsid w:val="00005844"/>
    <w:rsid w:val="0000588E"/>
    <w:rsid w:val="00005923"/>
    <w:rsid w:val="00005985"/>
    <w:rsid w:val="00005BC6"/>
    <w:rsid w:val="00005E2A"/>
    <w:rsid w:val="00005EB9"/>
    <w:rsid w:val="00005ED9"/>
    <w:rsid w:val="00005FD1"/>
    <w:rsid w:val="000061B7"/>
    <w:rsid w:val="00006271"/>
    <w:rsid w:val="000062A2"/>
    <w:rsid w:val="00006320"/>
    <w:rsid w:val="00006342"/>
    <w:rsid w:val="000063DA"/>
    <w:rsid w:val="0000640D"/>
    <w:rsid w:val="000065B8"/>
    <w:rsid w:val="000065E5"/>
    <w:rsid w:val="000066E5"/>
    <w:rsid w:val="00006715"/>
    <w:rsid w:val="0000693C"/>
    <w:rsid w:val="00006991"/>
    <w:rsid w:val="00006EBD"/>
    <w:rsid w:val="00006ED7"/>
    <w:rsid w:val="00006F04"/>
    <w:rsid w:val="00006F74"/>
    <w:rsid w:val="00007022"/>
    <w:rsid w:val="000072E0"/>
    <w:rsid w:val="000076EA"/>
    <w:rsid w:val="0000779F"/>
    <w:rsid w:val="000077C1"/>
    <w:rsid w:val="0000795C"/>
    <w:rsid w:val="00007A43"/>
    <w:rsid w:val="00007B9F"/>
    <w:rsid w:val="00007C1D"/>
    <w:rsid w:val="00007DC0"/>
    <w:rsid w:val="000101FC"/>
    <w:rsid w:val="000102FE"/>
    <w:rsid w:val="00010412"/>
    <w:rsid w:val="00010447"/>
    <w:rsid w:val="0001047F"/>
    <w:rsid w:val="000105A4"/>
    <w:rsid w:val="0001063E"/>
    <w:rsid w:val="00010713"/>
    <w:rsid w:val="00010B08"/>
    <w:rsid w:val="00010F39"/>
    <w:rsid w:val="000111A9"/>
    <w:rsid w:val="000112D6"/>
    <w:rsid w:val="000112E2"/>
    <w:rsid w:val="00011306"/>
    <w:rsid w:val="000114F3"/>
    <w:rsid w:val="000115F0"/>
    <w:rsid w:val="00011674"/>
    <w:rsid w:val="000116F6"/>
    <w:rsid w:val="00011B18"/>
    <w:rsid w:val="00011B9B"/>
    <w:rsid w:val="00011C17"/>
    <w:rsid w:val="00011CB6"/>
    <w:rsid w:val="00011CFA"/>
    <w:rsid w:val="00011D6F"/>
    <w:rsid w:val="00011F46"/>
    <w:rsid w:val="00011F7A"/>
    <w:rsid w:val="0001201E"/>
    <w:rsid w:val="00012053"/>
    <w:rsid w:val="00012232"/>
    <w:rsid w:val="00012319"/>
    <w:rsid w:val="000123AF"/>
    <w:rsid w:val="00012420"/>
    <w:rsid w:val="0001245F"/>
    <w:rsid w:val="0001247E"/>
    <w:rsid w:val="00012521"/>
    <w:rsid w:val="00012535"/>
    <w:rsid w:val="00012643"/>
    <w:rsid w:val="0001266C"/>
    <w:rsid w:val="000126D3"/>
    <w:rsid w:val="000126E2"/>
    <w:rsid w:val="0001277D"/>
    <w:rsid w:val="0001283F"/>
    <w:rsid w:val="00012BF0"/>
    <w:rsid w:val="00012D66"/>
    <w:rsid w:val="00012EAA"/>
    <w:rsid w:val="00012F75"/>
    <w:rsid w:val="0001300C"/>
    <w:rsid w:val="00013132"/>
    <w:rsid w:val="00013165"/>
    <w:rsid w:val="0001331C"/>
    <w:rsid w:val="000133B9"/>
    <w:rsid w:val="00013495"/>
    <w:rsid w:val="000134E1"/>
    <w:rsid w:val="000138A5"/>
    <w:rsid w:val="00013901"/>
    <w:rsid w:val="00013980"/>
    <w:rsid w:val="00013A7A"/>
    <w:rsid w:val="00013A95"/>
    <w:rsid w:val="00013AA0"/>
    <w:rsid w:val="00013BF5"/>
    <w:rsid w:val="00013C7E"/>
    <w:rsid w:val="00013F80"/>
    <w:rsid w:val="00014042"/>
    <w:rsid w:val="0001413C"/>
    <w:rsid w:val="000141A4"/>
    <w:rsid w:val="0001425B"/>
    <w:rsid w:val="00014477"/>
    <w:rsid w:val="000144C6"/>
    <w:rsid w:val="000147E4"/>
    <w:rsid w:val="00014924"/>
    <w:rsid w:val="000149D8"/>
    <w:rsid w:val="00014CD0"/>
    <w:rsid w:val="00014DE7"/>
    <w:rsid w:val="00014EB6"/>
    <w:rsid w:val="00014EE1"/>
    <w:rsid w:val="00014EE6"/>
    <w:rsid w:val="00014F4F"/>
    <w:rsid w:val="00014FD8"/>
    <w:rsid w:val="00015040"/>
    <w:rsid w:val="00015090"/>
    <w:rsid w:val="00015100"/>
    <w:rsid w:val="0001524B"/>
    <w:rsid w:val="000152B3"/>
    <w:rsid w:val="00015440"/>
    <w:rsid w:val="00015447"/>
    <w:rsid w:val="000154C7"/>
    <w:rsid w:val="00015523"/>
    <w:rsid w:val="00015577"/>
    <w:rsid w:val="000155FC"/>
    <w:rsid w:val="00015691"/>
    <w:rsid w:val="00015798"/>
    <w:rsid w:val="0001580E"/>
    <w:rsid w:val="0001589F"/>
    <w:rsid w:val="00015951"/>
    <w:rsid w:val="00015AC2"/>
    <w:rsid w:val="00015CEA"/>
    <w:rsid w:val="00015D7E"/>
    <w:rsid w:val="00015E61"/>
    <w:rsid w:val="00015F30"/>
    <w:rsid w:val="00015F6F"/>
    <w:rsid w:val="00015FCE"/>
    <w:rsid w:val="00016161"/>
    <w:rsid w:val="000161CC"/>
    <w:rsid w:val="000161F6"/>
    <w:rsid w:val="0001621C"/>
    <w:rsid w:val="000165AA"/>
    <w:rsid w:val="000166E8"/>
    <w:rsid w:val="00016854"/>
    <w:rsid w:val="00016A22"/>
    <w:rsid w:val="00016B58"/>
    <w:rsid w:val="00016CF4"/>
    <w:rsid w:val="00016D07"/>
    <w:rsid w:val="00016FAF"/>
    <w:rsid w:val="00017179"/>
    <w:rsid w:val="000174D2"/>
    <w:rsid w:val="0001757F"/>
    <w:rsid w:val="000175CB"/>
    <w:rsid w:val="00017623"/>
    <w:rsid w:val="000178FC"/>
    <w:rsid w:val="00017D57"/>
    <w:rsid w:val="00017E2D"/>
    <w:rsid w:val="00017ECC"/>
    <w:rsid w:val="00017FD5"/>
    <w:rsid w:val="00020013"/>
    <w:rsid w:val="00020055"/>
    <w:rsid w:val="0002011D"/>
    <w:rsid w:val="00020195"/>
    <w:rsid w:val="000203E0"/>
    <w:rsid w:val="00020487"/>
    <w:rsid w:val="000204AD"/>
    <w:rsid w:val="00020576"/>
    <w:rsid w:val="000205E0"/>
    <w:rsid w:val="0002077F"/>
    <w:rsid w:val="00020A30"/>
    <w:rsid w:val="00020A98"/>
    <w:rsid w:val="00020B0C"/>
    <w:rsid w:val="00020C3F"/>
    <w:rsid w:val="00020CC8"/>
    <w:rsid w:val="00020E53"/>
    <w:rsid w:val="000210BF"/>
    <w:rsid w:val="00021124"/>
    <w:rsid w:val="00021207"/>
    <w:rsid w:val="0002129C"/>
    <w:rsid w:val="000213B1"/>
    <w:rsid w:val="0002141E"/>
    <w:rsid w:val="00021431"/>
    <w:rsid w:val="000215BA"/>
    <w:rsid w:val="000217C5"/>
    <w:rsid w:val="00021834"/>
    <w:rsid w:val="00021AC9"/>
    <w:rsid w:val="0002204D"/>
    <w:rsid w:val="000220BE"/>
    <w:rsid w:val="000222AB"/>
    <w:rsid w:val="000222C7"/>
    <w:rsid w:val="00022417"/>
    <w:rsid w:val="000224DA"/>
    <w:rsid w:val="000224EB"/>
    <w:rsid w:val="00022518"/>
    <w:rsid w:val="000225E6"/>
    <w:rsid w:val="00022669"/>
    <w:rsid w:val="00022963"/>
    <w:rsid w:val="00022A41"/>
    <w:rsid w:val="00022CA6"/>
    <w:rsid w:val="00022D76"/>
    <w:rsid w:val="00022EBD"/>
    <w:rsid w:val="00022F96"/>
    <w:rsid w:val="0002300A"/>
    <w:rsid w:val="00023108"/>
    <w:rsid w:val="00023115"/>
    <w:rsid w:val="000233E8"/>
    <w:rsid w:val="000234BE"/>
    <w:rsid w:val="000234C7"/>
    <w:rsid w:val="000236D5"/>
    <w:rsid w:val="0002375E"/>
    <w:rsid w:val="00023855"/>
    <w:rsid w:val="00023862"/>
    <w:rsid w:val="00023991"/>
    <w:rsid w:val="00023B4C"/>
    <w:rsid w:val="00023DA2"/>
    <w:rsid w:val="000240A6"/>
    <w:rsid w:val="000241AF"/>
    <w:rsid w:val="00024237"/>
    <w:rsid w:val="00024454"/>
    <w:rsid w:val="0002475F"/>
    <w:rsid w:val="0002496D"/>
    <w:rsid w:val="000249EF"/>
    <w:rsid w:val="00024B53"/>
    <w:rsid w:val="00024C8F"/>
    <w:rsid w:val="00024CE0"/>
    <w:rsid w:val="00024D31"/>
    <w:rsid w:val="00025042"/>
    <w:rsid w:val="000251DF"/>
    <w:rsid w:val="00025328"/>
    <w:rsid w:val="0002538C"/>
    <w:rsid w:val="000253B4"/>
    <w:rsid w:val="000255BE"/>
    <w:rsid w:val="000255CD"/>
    <w:rsid w:val="00025633"/>
    <w:rsid w:val="00025727"/>
    <w:rsid w:val="00025781"/>
    <w:rsid w:val="00025A2E"/>
    <w:rsid w:val="00025BD8"/>
    <w:rsid w:val="00025E54"/>
    <w:rsid w:val="0002603E"/>
    <w:rsid w:val="00026085"/>
    <w:rsid w:val="0002615A"/>
    <w:rsid w:val="00026419"/>
    <w:rsid w:val="00026456"/>
    <w:rsid w:val="000265BE"/>
    <w:rsid w:val="00026640"/>
    <w:rsid w:val="0002664B"/>
    <w:rsid w:val="0002665B"/>
    <w:rsid w:val="000266B6"/>
    <w:rsid w:val="00026702"/>
    <w:rsid w:val="000267B7"/>
    <w:rsid w:val="0002699A"/>
    <w:rsid w:val="00026A5D"/>
    <w:rsid w:val="00026C1B"/>
    <w:rsid w:val="00026D9D"/>
    <w:rsid w:val="00026FC1"/>
    <w:rsid w:val="00027171"/>
    <w:rsid w:val="0002727C"/>
    <w:rsid w:val="000272B9"/>
    <w:rsid w:val="00027421"/>
    <w:rsid w:val="00027492"/>
    <w:rsid w:val="00027555"/>
    <w:rsid w:val="00027682"/>
    <w:rsid w:val="0002773D"/>
    <w:rsid w:val="000277F2"/>
    <w:rsid w:val="000278C0"/>
    <w:rsid w:val="000278E0"/>
    <w:rsid w:val="00027A2D"/>
    <w:rsid w:val="00027A61"/>
    <w:rsid w:val="00027D73"/>
    <w:rsid w:val="00027E0F"/>
    <w:rsid w:val="00027E28"/>
    <w:rsid w:val="00030023"/>
    <w:rsid w:val="00030101"/>
    <w:rsid w:val="0003012D"/>
    <w:rsid w:val="000302A5"/>
    <w:rsid w:val="00030436"/>
    <w:rsid w:val="00030490"/>
    <w:rsid w:val="00030615"/>
    <w:rsid w:val="000306E2"/>
    <w:rsid w:val="0003087D"/>
    <w:rsid w:val="000308D4"/>
    <w:rsid w:val="0003091A"/>
    <w:rsid w:val="00030938"/>
    <w:rsid w:val="00030A59"/>
    <w:rsid w:val="00030D40"/>
    <w:rsid w:val="00030EB3"/>
    <w:rsid w:val="00030EC1"/>
    <w:rsid w:val="00030EF1"/>
    <w:rsid w:val="0003100E"/>
    <w:rsid w:val="0003102F"/>
    <w:rsid w:val="0003124D"/>
    <w:rsid w:val="00031305"/>
    <w:rsid w:val="000314E6"/>
    <w:rsid w:val="00031596"/>
    <w:rsid w:val="00031630"/>
    <w:rsid w:val="00031695"/>
    <w:rsid w:val="00031805"/>
    <w:rsid w:val="000318D3"/>
    <w:rsid w:val="000319A8"/>
    <w:rsid w:val="00031AA3"/>
    <w:rsid w:val="00031BF4"/>
    <w:rsid w:val="00031D60"/>
    <w:rsid w:val="00031E86"/>
    <w:rsid w:val="00032015"/>
    <w:rsid w:val="000320E1"/>
    <w:rsid w:val="0003210C"/>
    <w:rsid w:val="0003219A"/>
    <w:rsid w:val="0003226F"/>
    <w:rsid w:val="000322D3"/>
    <w:rsid w:val="00032369"/>
    <w:rsid w:val="00032461"/>
    <w:rsid w:val="000324AA"/>
    <w:rsid w:val="00032584"/>
    <w:rsid w:val="000325A0"/>
    <w:rsid w:val="0003266B"/>
    <w:rsid w:val="00032798"/>
    <w:rsid w:val="000327DF"/>
    <w:rsid w:val="00032852"/>
    <w:rsid w:val="0003289C"/>
    <w:rsid w:val="000328BE"/>
    <w:rsid w:val="000328CD"/>
    <w:rsid w:val="000329BA"/>
    <w:rsid w:val="000329F7"/>
    <w:rsid w:val="00032BB0"/>
    <w:rsid w:val="00032C7B"/>
    <w:rsid w:val="00032F8A"/>
    <w:rsid w:val="00033082"/>
    <w:rsid w:val="000330DB"/>
    <w:rsid w:val="000330F8"/>
    <w:rsid w:val="0003330C"/>
    <w:rsid w:val="00033576"/>
    <w:rsid w:val="0003357E"/>
    <w:rsid w:val="00033707"/>
    <w:rsid w:val="000338BB"/>
    <w:rsid w:val="00033985"/>
    <w:rsid w:val="000339D5"/>
    <w:rsid w:val="00033B6A"/>
    <w:rsid w:val="00033F3F"/>
    <w:rsid w:val="00033F5A"/>
    <w:rsid w:val="00034214"/>
    <w:rsid w:val="0003422D"/>
    <w:rsid w:val="000342D8"/>
    <w:rsid w:val="000342F5"/>
    <w:rsid w:val="00034385"/>
    <w:rsid w:val="0003489E"/>
    <w:rsid w:val="000348A4"/>
    <w:rsid w:val="000349FB"/>
    <w:rsid w:val="00034C92"/>
    <w:rsid w:val="00034CAB"/>
    <w:rsid w:val="00034CD3"/>
    <w:rsid w:val="00034D56"/>
    <w:rsid w:val="00034D81"/>
    <w:rsid w:val="00034DA5"/>
    <w:rsid w:val="00034F13"/>
    <w:rsid w:val="00034F9A"/>
    <w:rsid w:val="000350F9"/>
    <w:rsid w:val="00035114"/>
    <w:rsid w:val="000352B3"/>
    <w:rsid w:val="00035453"/>
    <w:rsid w:val="00035556"/>
    <w:rsid w:val="000355C0"/>
    <w:rsid w:val="00035615"/>
    <w:rsid w:val="000356EE"/>
    <w:rsid w:val="00035878"/>
    <w:rsid w:val="000358DB"/>
    <w:rsid w:val="0003595E"/>
    <w:rsid w:val="000359A0"/>
    <w:rsid w:val="00035C6C"/>
    <w:rsid w:val="00035E99"/>
    <w:rsid w:val="00035F79"/>
    <w:rsid w:val="00035FC3"/>
    <w:rsid w:val="000362BF"/>
    <w:rsid w:val="000363EE"/>
    <w:rsid w:val="00036429"/>
    <w:rsid w:val="0003647B"/>
    <w:rsid w:val="000365EE"/>
    <w:rsid w:val="000367A7"/>
    <w:rsid w:val="00036814"/>
    <w:rsid w:val="0003696B"/>
    <w:rsid w:val="00036A75"/>
    <w:rsid w:val="00036AF3"/>
    <w:rsid w:val="00036B50"/>
    <w:rsid w:val="00036DFD"/>
    <w:rsid w:val="00036EFF"/>
    <w:rsid w:val="00036F64"/>
    <w:rsid w:val="000370DD"/>
    <w:rsid w:val="00037105"/>
    <w:rsid w:val="00037215"/>
    <w:rsid w:val="0003749C"/>
    <w:rsid w:val="00037503"/>
    <w:rsid w:val="00037838"/>
    <w:rsid w:val="00037997"/>
    <w:rsid w:val="00037AC3"/>
    <w:rsid w:val="00037C7A"/>
    <w:rsid w:val="00037F35"/>
    <w:rsid w:val="00037F42"/>
    <w:rsid w:val="00040107"/>
    <w:rsid w:val="00040250"/>
    <w:rsid w:val="000403FD"/>
    <w:rsid w:val="00040450"/>
    <w:rsid w:val="0004061D"/>
    <w:rsid w:val="0004063A"/>
    <w:rsid w:val="00040663"/>
    <w:rsid w:val="00040671"/>
    <w:rsid w:val="0004069E"/>
    <w:rsid w:val="000406D2"/>
    <w:rsid w:val="00040703"/>
    <w:rsid w:val="00040779"/>
    <w:rsid w:val="000407AD"/>
    <w:rsid w:val="00040B3B"/>
    <w:rsid w:val="00040B79"/>
    <w:rsid w:val="00040C0E"/>
    <w:rsid w:val="00040D57"/>
    <w:rsid w:val="00040DBA"/>
    <w:rsid w:val="00040DD3"/>
    <w:rsid w:val="00040F19"/>
    <w:rsid w:val="0004114F"/>
    <w:rsid w:val="000411A7"/>
    <w:rsid w:val="00041296"/>
    <w:rsid w:val="00041307"/>
    <w:rsid w:val="00041387"/>
    <w:rsid w:val="000414FA"/>
    <w:rsid w:val="000416CE"/>
    <w:rsid w:val="0004173F"/>
    <w:rsid w:val="00041759"/>
    <w:rsid w:val="00041885"/>
    <w:rsid w:val="00041990"/>
    <w:rsid w:val="00041A97"/>
    <w:rsid w:val="00041AA0"/>
    <w:rsid w:val="00041BF5"/>
    <w:rsid w:val="00041C0E"/>
    <w:rsid w:val="00041C41"/>
    <w:rsid w:val="00041D55"/>
    <w:rsid w:val="00041E53"/>
    <w:rsid w:val="00041EE6"/>
    <w:rsid w:val="00041F46"/>
    <w:rsid w:val="00042116"/>
    <w:rsid w:val="000422ED"/>
    <w:rsid w:val="0004261E"/>
    <w:rsid w:val="000426B8"/>
    <w:rsid w:val="00042724"/>
    <w:rsid w:val="0004273A"/>
    <w:rsid w:val="00042755"/>
    <w:rsid w:val="000427BE"/>
    <w:rsid w:val="00042814"/>
    <w:rsid w:val="0004296C"/>
    <w:rsid w:val="0004298C"/>
    <w:rsid w:val="00042B01"/>
    <w:rsid w:val="00042B68"/>
    <w:rsid w:val="00042E21"/>
    <w:rsid w:val="00042E37"/>
    <w:rsid w:val="00042F03"/>
    <w:rsid w:val="00042FFD"/>
    <w:rsid w:val="000433CA"/>
    <w:rsid w:val="00043587"/>
    <w:rsid w:val="00043654"/>
    <w:rsid w:val="00043779"/>
    <w:rsid w:val="000437D2"/>
    <w:rsid w:val="000438E4"/>
    <w:rsid w:val="00043A88"/>
    <w:rsid w:val="00043BB3"/>
    <w:rsid w:val="00043D63"/>
    <w:rsid w:val="00043EB3"/>
    <w:rsid w:val="00043F57"/>
    <w:rsid w:val="00043FD2"/>
    <w:rsid w:val="0004416D"/>
    <w:rsid w:val="0004426A"/>
    <w:rsid w:val="00044277"/>
    <w:rsid w:val="000442AC"/>
    <w:rsid w:val="00044388"/>
    <w:rsid w:val="000443F4"/>
    <w:rsid w:val="0004446F"/>
    <w:rsid w:val="00044608"/>
    <w:rsid w:val="000446C8"/>
    <w:rsid w:val="00044C51"/>
    <w:rsid w:val="00044D17"/>
    <w:rsid w:val="0004500F"/>
    <w:rsid w:val="000450A2"/>
    <w:rsid w:val="0004511B"/>
    <w:rsid w:val="00045141"/>
    <w:rsid w:val="00045147"/>
    <w:rsid w:val="000453B5"/>
    <w:rsid w:val="0004564F"/>
    <w:rsid w:val="000457B7"/>
    <w:rsid w:val="000459F0"/>
    <w:rsid w:val="00045B3B"/>
    <w:rsid w:val="00045BD2"/>
    <w:rsid w:val="00045C87"/>
    <w:rsid w:val="00045C97"/>
    <w:rsid w:val="00045CBE"/>
    <w:rsid w:val="000460CD"/>
    <w:rsid w:val="000460D6"/>
    <w:rsid w:val="000460FE"/>
    <w:rsid w:val="00046148"/>
    <w:rsid w:val="00046157"/>
    <w:rsid w:val="000461D3"/>
    <w:rsid w:val="0004624E"/>
    <w:rsid w:val="000462A8"/>
    <w:rsid w:val="00046581"/>
    <w:rsid w:val="000466ED"/>
    <w:rsid w:val="0004674A"/>
    <w:rsid w:val="000467F3"/>
    <w:rsid w:val="00046841"/>
    <w:rsid w:val="00046B6D"/>
    <w:rsid w:val="00046BEB"/>
    <w:rsid w:val="00046C19"/>
    <w:rsid w:val="00046CE9"/>
    <w:rsid w:val="00046D88"/>
    <w:rsid w:val="00046DD7"/>
    <w:rsid w:val="00046E05"/>
    <w:rsid w:val="00046EE0"/>
    <w:rsid w:val="00046F54"/>
    <w:rsid w:val="00046FD3"/>
    <w:rsid w:val="000470A5"/>
    <w:rsid w:val="000470FC"/>
    <w:rsid w:val="0004729F"/>
    <w:rsid w:val="00047359"/>
    <w:rsid w:val="0004736B"/>
    <w:rsid w:val="00047515"/>
    <w:rsid w:val="0004759B"/>
    <w:rsid w:val="000476A5"/>
    <w:rsid w:val="000477A2"/>
    <w:rsid w:val="00047866"/>
    <w:rsid w:val="00047AF7"/>
    <w:rsid w:val="00047B3A"/>
    <w:rsid w:val="00047C6F"/>
    <w:rsid w:val="00047CE7"/>
    <w:rsid w:val="00047CF9"/>
    <w:rsid w:val="00047E36"/>
    <w:rsid w:val="00050157"/>
    <w:rsid w:val="000501B7"/>
    <w:rsid w:val="00050247"/>
    <w:rsid w:val="00050391"/>
    <w:rsid w:val="0005044C"/>
    <w:rsid w:val="000504E5"/>
    <w:rsid w:val="0005055F"/>
    <w:rsid w:val="000505B8"/>
    <w:rsid w:val="000505D5"/>
    <w:rsid w:val="000508FE"/>
    <w:rsid w:val="0005090A"/>
    <w:rsid w:val="00050917"/>
    <w:rsid w:val="00050941"/>
    <w:rsid w:val="00050989"/>
    <w:rsid w:val="000509D5"/>
    <w:rsid w:val="00050A8C"/>
    <w:rsid w:val="00050B8C"/>
    <w:rsid w:val="00050C04"/>
    <w:rsid w:val="00050C4C"/>
    <w:rsid w:val="00050C53"/>
    <w:rsid w:val="00050D27"/>
    <w:rsid w:val="00050EE0"/>
    <w:rsid w:val="000510AD"/>
    <w:rsid w:val="000511DF"/>
    <w:rsid w:val="000511E0"/>
    <w:rsid w:val="000511F9"/>
    <w:rsid w:val="00051335"/>
    <w:rsid w:val="000513AE"/>
    <w:rsid w:val="00051500"/>
    <w:rsid w:val="000515DC"/>
    <w:rsid w:val="000515FC"/>
    <w:rsid w:val="00051633"/>
    <w:rsid w:val="000516C2"/>
    <w:rsid w:val="00051783"/>
    <w:rsid w:val="000518C1"/>
    <w:rsid w:val="000518F2"/>
    <w:rsid w:val="00051A28"/>
    <w:rsid w:val="00051AFA"/>
    <w:rsid w:val="00051B78"/>
    <w:rsid w:val="00051D1C"/>
    <w:rsid w:val="00051D47"/>
    <w:rsid w:val="00051F92"/>
    <w:rsid w:val="000521A6"/>
    <w:rsid w:val="00052245"/>
    <w:rsid w:val="00052253"/>
    <w:rsid w:val="0005232A"/>
    <w:rsid w:val="0005236B"/>
    <w:rsid w:val="000524EA"/>
    <w:rsid w:val="000524FE"/>
    <w:rsid w:val="00052508"/>
    <w:rsid w:val="000525B8"/>
    <w:rsid w:val="0005268E"/>
    <w:rsid w:val="00052995"/>
    <w:rsid w:val="00052B27"/>
    <w:rsid w:val="00052CA0"/>
    <w:rsid w:val="0005307B"/>
    <w:rsid w:val="00053274"/>
    <w:rsid w:val="00053500"/>
    <w:rsid w:val="000536A1"/>
    <w:rsid w:val="000536A6"/>
    <w:rsid w:val="0005378F"/>
    <w:rsid w:val="00053857"/>
    <w:rsid w:val="00053878"/>
    <w:rsid w:val="000539E3"/>
    <w:rsid w:val="00053CD1"/>
    <w:rsid w:val="00053F2B"/>
    <w:rsid w:val="000541E9"/>
    <w:rsid w:val="000543AF"/>
    <w:rsid w:val="000544FE"/>
    <w:rsid w:val="0005462F"/>
    <w:rsid w:val="00054796"/>
    <w:rsid w:val="00054802"/>
    <w:rsid w:val="00054881"/>
    <w:rsid w:val="00054AC8"/>
    <w:rsid w:val="00054D53"/>
    <w:rsid w:val="00054DF7"/>
    <w:rsid w:val="00054FC3"/>
    <w:rsid w:val="0005502A"/>
    <w:rsid w:val="000550DC"/>
    <w:rsid w:val="0005510B"/>
    <w:rsid w:val="000551B8"/>
    <w:rsid w:val="0005524B"/>
    <w:rsid w:val="0005531E"/>
    <w:rsid w:val="00055344"/>
    <w:rsid w:val="0005563F"/>
    <w:rsid w:val="00055703"/>
    <w:rsid w:val="000558F7"/>
    <w:rsid w:val="00055BEC"/>
    <w:rsid w:val="00055E63"/>
    <w:rsid w:val="00055E83"/>
    <w:rsid w:val="00055FC7"/>
    <w:rsid w:val="0005602D"/>
    <w:rsid w:val="000561C5"/>
    <w:rsid w:val="000562CD"/>
    <w:rsid w:val="000562FB"/>
    <w:rsid w:val="000565A5"/>
    <w:rsid w:val="00056696"/>
    <w:rsid w:val="000566FF"/>
    <w:rsid w:val="0005672B"/>
    <w:rsid w:val="000568B3"/>
    <w:rsid w:val="00056A00"/>
    <w:rsid w:val="00056A91"/>
    <w:rsid w:val="00056B03"/>
    <w:rsid w:val="00056CAC"/>
    <w:rsid w:val="00056DBD"/>
    <w:rsid w:val="00056DD2"/>
    <w:rsid w:val="00056E71"/>
    <w:rsid w:val="000570DF"/>
    <w:rsid w:val="00057334"/>
    <w:rsid w:val="0005739F"/>
    <w:rsid w:val="00057567"/>
    <w:rsid w:val="000575C1"/>
    <w:rsid w:val="000578FF"/>
    <w:rsid w:val="00057930"/>
    <w:rsid w:val="00057934"/>
    <w:rsid w:val="00057B18"/>
    <w:rsid w:val="00057B5B"/>
    <w:rsid w:val="00057CA2"/>
    <w:rsid w:val="00057CF9"/>
    <w:rsid w:val="00057DF0"/>
    <w:rsid w:val="00057DF9"/>
    <w:rsid w:val="00057E70"/>
    <w:rsid w:val="00057F69"/>
    <w:rsid w:val="000601FA"/>
    <w:rsid w:val="00060248"/>
    <w:rsid w:val="00060318"/>
    <w:rsid w:val="00060345"/>
    <w:rsid w:val="0006047A"/>
    <w:rsid w:val="00060496"/>
    <w:rsid w:val="0006050E"/>
    <w:rsid w:val="00060793"/>
    <w:rsid w:val="00060828"/>
    <w:rsid w:val="000609E0"/>
    <w:rsid w:val="00060A94"/>
    <w:rsid w:val="00060B58"/>
    <w:rsid w:val="00060B64"/>
    <w:rsid w:val="00060BEB"/>
    <w:rsid w:val="00060CB5"/>
    <w:rsid w:val="00060CF4"/>
    <w:rsid w:val="00060D2F"/>
    <w:rsid w:val="00060DE6"/>
    <w:rsid w:val="00060DF6"/>
    <w:rsid w:val="00060E0C"/>
    <w:rsid w:val="00060EA3"/>
    <w:rsid w:val="00060F6B"/>
    <w:rsid w:val="00060FAF"/>
    <w:rsid w:val="00061061"/>
    <w:rsid w:val="000610D3"/>
    <w:rsid w:val="0006113E"/>
    <w:rsid w:val="0006133B"/>
    <w:rsid w:val="00061343"/>
    <w:rsid w:val="000613FA"/>
    <w:rsid w:val="00061405"/>
    <w:rsid w:val="00061630"/>
    <w:rsid w:val="00061720"/>
    <w:rsid w:val="000617E6"/>
    <w:rsid w:val="00061849"/>
    <w:rsid w:val="00061973"/>
    <w:rsid w:val="000619AE"/>
    <w:rsid w:val="00061CE4"/>
    <w:rsid w:val="00061D4A"/>
    <w:rsid w:val="00061DA8"/>
    <w:rsid w:val="00061EC3"/>
    <w:rsid w:val="00061F76"/>
    <w:rsid w:val="00061FB7"/>
    <w:rsid w:val="00062095"/>
    <w:rsid w:val="00062117"/>
    <w:rsid w:val="00062596"/>
    <w:rsid w:val="000625E0"/>
    <w:rsid w:val="00062676"/>
    <w:rsid w:val="000627BA"/>
    <w:rsid w:val="000628C1"/>
    <w:rsid w:val="000629ED"/>
    <w:rsid w:val="00062AE4"/>
    <w:rsid w:val="00062AE5"/>
    <w:rsid w:val="00062B01"/>
    <w:rsid w:val="00062B5A"/>
    <w:rsid w:val="00062BA4"/>
    <w:rsid w:val="00062BED"/>
    <w:rsid w:val="00062CC1"/>
    <w:rsid w:val="00062D40"/>
    <w:rsid w:val="00062E6E"/>
    <w:rsid w:val="00062F47"/>
    <w:rsid w:val="000633F7"/>
    <w:rsid w:val="00063459"/>
    <w:rsid w:val="00063530"/>
    <w:rsid w:val="00063613"/>
    <w:rsid w:val="0006367F"/>
    <w:rsid w:val="0006369D"/>
    <w:rsid w:val="00063724"/>
    <w:rsid w:val="0006382E"/>
    <w:rsid w:val="0006383F"/>
    <w:rsid w:val="00063A03"/>
    <w:rsid w:val="00063A32"/>
    <w:rsid w:val="00063B72"/>
    <w:rsid w:val="00063BD1"/>
    <w:rsid w:val="00063C9A"/>
    <w:rsid w:val="00063D0E"/>
    <w:rsid w:val="00064089"/>
    <w:rsid w:val="000640C4"/>
    <w:rsid w:val="000641B5"/>
    <w:rsid w:val="000641DD"/>
    <w:rsid w:val="000642D0"/>
    <w:rsid w:val="000643AF"/>
    <w:rsid w:val="00064659"/>
    <w:rsid w:val="000646A5"/>
    <w:rsid w:val="00064727"/>
    <w:rsid w:val="000647DC"/>
    <w:rsid w:val="0006485B"/>
    <w:rsid w:val="00064865"/>
    <w:rsid w:val="000648F4"/>
    <w:rsid w:val="00064A0D"/>
    <w:rsid w:val="00064A69"/>
    <w:rsid w:val="00064A7C"/>
    <w:rsid w:val="00064C3F"/>
    <w:rsid w:val="00064C82"/>
    <w:rsid w:val="00064D14"/>
    <w:rsid w:val="00064D4E"/>
    <w:rsid w:val="00064D85"/>
    <w:rsid w:val="00064E69"/>
    <w:rsid w:val="0006500C"/>
    <w:rsid w:val="00065014"/>
    <w:rsid w:val="00065338"/>
    <w:rsid w:val="00065391"/>
    <w:rsid w:val="00065888"/>
    <w:rsid w:val="000659CE"/>
    <w:rsid w:val="00065C10"/>
    <w:rsid w:val="00065C70"/>
    <w:rsid w:val="00065D3E"/>
    <w:rsid w:val="00065E77"/>
    <w:rsid w:val="00065EAF"/>
    <w:rsid w:val="00065EB6"/>
    <w:rsid w:val="00065F00"/>
    <w:rsid w:val="00066085"/>
    <w:rsid w:val="000660D7"/>
    <w:rsid w:val="0006614F"/>
    <w:rsid w:val="00066188"/>
    <w:rsid w:val="0006637C"/>
    <w:rsid w:val="00066448"/>
    <w:rsid w:val="000664E5"/>
    <w:rsid w:val="000664FE"/>
    <w:rsid w:val="0006673D"/>
    <w:rsid w:val="0006680C"/>
    <w:rsid w:val="00066A8E"/>
    <w:rsid w:val="00066B06"/>
    <w:rsid w:val="00066B91"/>
    <w:rsid w:val="00066BE2"/>
    <w:rsid w:val="00066CB7"/>
    <w:rsid w:val="00066D9A"/>
    <w:rsid w:val="00066DB3"/>
    <w:rsid w:val="0006728B"/>
    <w:rsid w:val="0006728D"/>
    <w:rsid w:val="000672DD"/>
    <w:rsid w:val="0006736A"/>
    <w:rsid w:val="0006760F"/>
    <w:rsid w:val="000676A6"/>
    <w:rsid w:val="0006771B"/>
    <w:rsid w:val="0006789B"/>
    <w:rsid w:val="0006790E"/>
    <w:rsid w:val="00067923"/>
    <w:rsid w:val="000679B8"/>
    <w:rsid w:val="00067A9E"/>
    <w:rsid w:val="00067B49"/>
    <w:rsid w:val="00067B4A"/>
    <w:rsid w:val="00067BA4"/>
    <w:rsid w:val="00067BAB"/>
    <w:rsid w:val="00067D3B"/>
    <w:rsid w:val="00067D60"/>
    <w:rsid w:val="00067F6A"/>
    <w:rsid w:val="0007007C"/>
    <w:rsid w:val="00070200"/>
    <w:rsid w:val="00070245"/>
    <w:rsid w:val="000703A4"/>
    <w:rsid w:val="00070491"/>
    <w:rsid w:val="000704EF"/>
    <w:rsid w:val="000705D6"/>
    <w:rsid w:val="000705F4"/>
    <w:rsid w:val="0007072C"/>
    <w:rsid w:val="00070814"/>
    <w:rsid w:val="00070844"/>
    <w:rsid w:val="000708D2"/>
    <w:rsid w:val="00070977"/>
    <w:rsid w:val="00070B9B"/>
    <w:rsid w:val="00070CB4"/>
    <w:rsid w:val="00070D74"/>
    <w:rsid w:val="00070DAB"/>
    <w:rsid w:val="00070DAD"/>
    <w:rsid w:val="00070E91"/>
    <w:rsid w:val="00070FE9"/>
    <w:rsid w:val="0007106A"/>
    <w:rsid w:val="00071149"/>
    <w:rsid w:val="000714EE"/>
    <w:rsid w:val="00071556"/>
    <w:rsid w:val="00071569"/>
    <w:rsid w:val="00071587"/>
    <w:rsid w:val="00071753"/>
    <w:rsid w:val="000717DD"/>
    <w:rsid w:val="000719B7"/>
    <w:rsid w:val="00071AB1"/>
    <w:rsid w:val="00071C3E"/>
    <w:rsid w:val="00071CEF"/>
    <w:rsid w:val="00071FFD"/>
    <w:rsid w:val="00072031"/>
    <w:rsid w:val="00072068"/>
    <w:rsid w:val="000720A3"/>
    <w:rsid w:val="000720B4"/>
    <w:rsid w:val="00072154"/>
    <w:rsid w:val="000722AB"/>
    <w:rsid w:val="00072368"/>
    <w:rsid w:val="00072458"/>
    <w:rsid w:val="000724A1"/>
    <w:rsid w:val="000724B7"/>
    <w:rsid w:val="0007263F"/>
    <w:rsid w:val="000726AA"/>
    <w:rsid w:val="0007278E"/>
    <w:rsid w:val="000729D8"/>
    <w:rsid w:val="00072A3C"/>
    <w:rsid w:val="00072BA4"/>
    <w:rsid w:val="00072C05"/>
    <w:rsid w:val="00072E9B"/>
    <w:rsid w:val="000731F6"/>
    <w:rsid w:val="000733F0"/>
    <w:rsid w:val="0007346A"/>
    <w:rsid w:val="00073587"/>
    <w:rsid w:val="0007359A"/>
    <w:rsid w:val="0007375A"/>
    <w:rsid w:val="0007385D"/>
    <w:rsid w:val="0007388E"/>
    <w:rsid w:val="000738B1"/>
    <w:rsid w:val="000738DB"/>
    <w:rsid w:val="0007391E"/>
    <w:rsid w:val="00073994"/>
    <w:rsid w:val="00073B9B"/>
    <w:rsid w:val="00073C4D"/>
    <w:rsid w:val="00073C6C"/>
    <w:rsid w:val="00073CAC"/>
    <w:rsid w:val="00073D23"/>
    <w:rsid w:val="00073DDA"/>
    <w:rsid w:val="00073F62"/>
    <w:rsid w:val="00073FCD"/>
    <w:rsid w:val="00073FFE"/>
    <w:rsid w:val="0007402A"/>
    <w:rsid w:val="000740E2"/>
    <w:rsid w:val="0007410F"/>
    <w:rsid w:val="0007413D"/>
    <w:rsid w:val="00074148"/>
    <w:rsid w:val="0007417C"/>
    <w:rsid w:val="00074194"/>
    <w:rsid w:val="0007432F"/>
    <w:rsid w:val="0007434D"/>
    <w:rsid w:val="000745D6"/>
    <w:rsid w:val="00074667"/>
    <w:rsid w:val="000746DA"/>
    <w:rsid w:val="00074D16"/>
    <w:rsid w:val="00074E31"/>
    <w:rsid w:val="00074EE2"/>
    <w:rsid w:val="00074F12"/>
    <w:rsid w:val="00075070"/>
    <w:rsid w:val="000751B5"/>
    <w:rsid w:val="00075301"/>
    <w:rsid w:val="000753FC"/>
    <w:rsid w:val="000753FF"/>
    <w:rsid w:val="00075545"/>
    <w:rsid w:val="00075555"/>
    <w:rsid w:val="000755CC"/>
    <w:rsid w:val="00075754"/>
    <w:rsid w:val="0007578C"/>
    <w:rsid w:val="000757A5"/>
    <w:rsid w:val="000757C4"/>
    <w:rsid w:val="00075839"/>
    <w:rsid w:val="0007586D"/>
    <w:rsid w:val="000759D5"/>
    <w:rsid w:val="00075C1F"/>
    <w:rsid w:val="00075CB9"/>
    <w:rsid w:val="00075D10"/>
    <w:rsid w:val="00076197"/>
    <w:rsid w:val="000761F1"/>
    <w:rsid w:val="00076507"/>
    <w:rsid w:val="000765AF"/>
    <w:rsid w:val="000766DC"/>
    <w:rsid w:val="0007680C"/>
    <w:rsid w:val="000768A9"/>
    <w:rsid w:val="00076924"/>
    <w:rsid w:val="000769CE"/>
    <w:rsid w:val="00076A0B"/>
    <w:rsid w:val="00076A14"/>
    <w:rsid w:val="00076F62"/>
    <w:rsid w:val="00076F83"/>
    <w:rsid w:val="000770FF"/>
    <w:rsid w:val="00077110"/>
    <w:rsid w:val="000771A1"/>
    <w:rsid w:val="000771F8"/>
    <w:rsid w:val="00077258"/>
    <w:rsid w:val="000772A4"/>
    <w:rsid w:val="00077428"/>
    <w:rsid w:val="000774CA"/>
    <w:rsid w:val="0007769C"/>
    <w:rsid w:val="00077705"/>
    <w:rsid w:val="000778ED"/>
    <w:rsid w:val="000778FB"/>
    <w:rsid w:val="00077A32"/>
    <w:rsid w:val="00077A40"/>
    <w:rsid w:val="00077B33"/>
    <w:rsid w:val="00077BE8"/>
    <w:rsid w:val="00077C07"/>
    <w:rsid w:val="00077E6F"/>
    <w:rsid w:val="00077EB6"/>
    <w:rsid w:val="00077FE0"/>
    <w:rsid w:val="0008001B"/>
    <w:rsid w:val="00080113"/>
    <w:rsid w:val="000801A0"/>
    <w:rsid w:val="000802C1"/>
    <w:rsid w:val="000802EF"/>
    <w:rsid w:val="00080449"/>
    <w:rsid w:val="000804D4"/>
    <w:rsid w:val="000805DD"/>
    <w:rsid w:val="00080657"/>
    <w:rsid w:val="000806DA"/>
    <w:rsid w:val="0008072A"/>
    <w:rsid w:val="0008074D"/>
    <w:rsid w:val="00080850"/>
    <w:rsid w:val="000809B0"/>
    <w:rsid w:val="00080A04"/>
    <w:rsid w:val="00080A70"/>
    <w:rsid w:val="00080E71"/>
    <w:rsid w:val="0008105B"/>
    <w:rsid w:val="000812EB"/>
    <w:rsid w:val="000813E5"/>
    <w:rsid w:val="00081450"/>
    <w:rsid w:val="000814B4"/>
    <w:rsid w:val="00081558"/>
    <w:rsid w:val="000815D0"/>
    <w:rsid w:val="00081738"/>
    <w:rsid w:val="000817FB"/>
    <w:rsid w:val="00081831"/>
    <w:rsid w:val="00081A66"/>
    <w:rsid w:val="00081AD4"/>
    <w:rsid w:val="00081BDA"/>
    <w:rsid w:val="00081BF2"/>
    <w:rsid w:val="00081CC0"/>
    <w:rsid w:val="00081D28"/>
    <w:rsid w:val="00081D44"/>
    <w:rsid w:val="00081D71"/>
    <w:rsid w:val="00081E99"/>
    <w:rsid w:val="00081F00"/>
    <w:rsid w:val="00081F1B"/>
    <w:rsid w:val="00081F47"/>
    <w:rsid w:val="00081F5A"/>
    <w:rsid w:val="00081FC4"/>
    <w:rsid w:val="000820A9"/>
    <w:rsid w:val="00082104"/>
    <w:rsid w:val="0008224B"/>
    <w:rsid w:val="00082282"/>
    <w:rsid w:val="00082386"/>
    <w:rsid w:val="000823B1"/>
    <w:rsid w:val="000824C6"/>
    <w:rsid w:val="00082613"/>
    <w:rsid w:val="00082620"/>
    <w:rsid w:val="0008287D"/>
    <w:rsid w:val="00082A1B"/>
    <w:rsid w:val="00082ABA"/>
    <w:rsid w:val="00082B27"/>
    <w:rsid w:val="00082B4A"/>
    <w:rsid w:val="00082B70"/>
    <w:rsid w:val="00082DF6"/>
    <w:rsid w:val="000831B9"/>
    <w:rsid w:val="00083221"/>
    <w:rsid w:val="000832AD"/>
    <w:rsid w:val="000832E1"/>
    <w:rsid w:val="0008334F"/>
    <w:rsid w:val="000833B9"/>
    <w:rsid w:val="000834C5"/>
    <w:rsid w:val="000835B1"/>
    <w:rsid w:val="0008363F"/>
    <w:rsid w:val="000837DB"/>
    <w:rsid w:val="00083885"/>
    <w:rsid w:val="00083976"/>
    <w:rsid w:val="000839A7"/>
    <w:rsid w:val="00083A44"/>
    <w:rsid w:val="00083B14"/>
    <w:rsid w:val="00083BB1"/>
    <w:rsid w:val="00083C38"/>
    <w:rsid w:val="00083C4D"/>
    <w:rsid w:val="00083C5B"/>
    <w:rsid w:val="00083D1F"/>
    <w:rsid w:val="00083FF2"/>
    <w:rsid w:val="00084026"/>
    <w:rsid w:val="000842DF"/>
    <w:rsid w:val="00084326"/>
    <w:rsid w:val="0008446F"/>
    <w:rsid w:val="00084476"/>
    <w:rsid w:val="000844BC"/>
    <w:rsid w:val="0008455D"/>
    <w:rsid w:val="00084645"/>
    <w:rsid w:val="0008464B"/>
    <w:rsid w:val="00084669"/>
    <w:rsid w:val="00084695"/>
    <w:rsid w:val="0008475D"/>
    <w:rsid w:val="000847A2"/>
    <w:rsid w:val="000848B0"/>
    <w:rsid w:val="00084C42"/>
    <w:rsid w:val="00084CCB"/>
    <w:rsid w:val="00084D44"/>
    <w:rsid w:val="00084DC2"/>
    <w:rsid w:val="00084F6A"/>
    <w:rsid w:val="000851A4"/>
    <w:rsid w:val="000851EC"/>
    <w:rsid w:val="00085209"/>
    <w:rsid w:val="00085483"/>
    <w:rsid w:val="000854AB"/>
    <w:rsid w:val="00085519"/>
    <w:rsid w:val="0008591A"/>
    <w:rsid w:val="000859B9"/>
    <w:rsid w:val="00085D6B"/>
    <w:rsid w:val="00085E7A"/>
    <w:rsid w:val="00085F5E"/>
    <w:rsid w:val="00085F83"/>
    <w:rsid w:val="0008608E"/>
    <w:rsid w:val="00086277"/>
    <w:rsid w:val="000862E3"/>
    <w:rsid w:val="00086378"/>
    <w:rsid w:val="00086385"/>
    <w:rsid w:val="000864AC"/>
    <w:rsid w:val="0008673C"/>
    <w:rsid w:val="0008674D"/>
    <w:rsid w:val="0008676D"/>
    <w:rsid w:val="00086866"/>
    <w:rsid w:val="00086874"/>
    <w:rsid w:val="00086983"/>
    <w:rsid w:val="00086B8C"/>
    <w:rsid w:val="00086D73"/>
    <w:rsid w:val="00086E99"/>
    <w:rsid w:val="00086F0F"/>
    <w:rsid w:val="0008711C"/>
    <w:rsid w:val="00087280"/>
    <w:rsid w:val="000872C9"/>
    <w:rsid w:val="0008742B"/>
    <w:rsid w:val="000874B0"/>
    <w:rsid w:val="000879D6"/>
    <w:rsid w:val="00087B2C"/>
    <w:rsid w:val="00087BBC"/>
    <w:rsid w:val="00087CCA"/>
    <w:rsid w:val="00087D6F"/>
    <w:rsid w:val="00087D81"/>
    <w:rsid w:val="00087E24"/>
    <w:rsid w:val="00087E2F"/>
    <w:rsid w:val="00087EB3"/>
    <w:rsid w:val="000900B7"/>
    <w:rsid w:val="000900C2"/>
    <w:rsid w:val="000900E3"/>
    <w:rsid w:val="000900E4"/>
    <w:rsid w:val="0009010D"/>
    <w:rsid w:val="00090200"/>
    <w:rsid w:val="0009023F"/>
    <w:rsid w:val="000902A1"/>
    <w:rsid w:val="000902EE"/>
    <w:rsid w:val="000902F8"/>
    <w:rsid w:val="00090309"/>
    <w:rsid w:val="0009035C"/>
    <w:rsid w:val="000903AA"/>
    <w:rsid w:val="000903FA"/>
    <w:rsid w:val="000904B8"/>
    <w:rsid w:val="000905AD"/>
    <w:rsid w:val="00090645"/>
    <w:rsid w:val="0009086D"/>
    <w:rsid w:val="00090B16"/>
    <w:rsid w:val="00090B44"/>
    <w:rsid w:val="00090B87"/>
    <w:rsid w:val="00090CDD"/>
    <w:rsid w:val="00090D9E"/>
    <w:rsid w:val="00090E3A"/>
    <w:rsid w:val="00090F11"/>
    <w:rsid w:val="0009131A"/>
    <w:rsid w:val="00091331"/>
    <w:rsid w:val="000917BB"/>
    <w:rsid w:val="00091822"/>
    <w:rsid w:val="000918A1"/>
    <w:rsid w:val="000918CD"/>
    <w:rsid w:val="00091A8C"/>
    <w:rsid w:val="00091AD0"/>
    <w:rsid w:val="00091B02"/>
    <w:rsid w:val="00091BF6"/>
    <w:rsid w:val="00091C0F"/>
    <w:rsid w:val="00091C18"/>
    <w:rsid w:val="00091CDA"/>
    <w:rsid w:val="00091E9B"/>
    <w:rsid w:val="0009203B"/>
    <w:rsid w:val="00092141"/>
    <w:rsid w:val="0009220A"/>
    <w:rsid w:val="00092273"/>
    <w:rsid w:val="000922BA"/>
    <w:rsid w:val="00092572"/>
    <w:rsid w:val="00092598"/>
    <w:rsid w:val="000925F1"/>
    <w:rsid w:val="00092637"/>
    <w:rsid w:val="0009269A"/>
    <w:rsid w:val="000927A5"/>
    <w:rsid w:val="00092945"/>
    <w:rsid w:val="00092B5A"/>
    <w:rsid w:val="00092BD7"/>
    <w:rsid w:val="00092D54"/>
    <w:rsid w:val="00092DB3"/>
    <w:rsid w:val="00092EB5"/>
    <w:rsid w:val="00092EF5"/>
    <w:rsid w:val="00092F67"/>
    <w:rsid w:val="00092F6D"/>
    <w:rsid w:val="00092FBF"/>
    <w:rsid w:val="00092FD9"/>
    <w:rsid w:val="000930F0"/>
    <w:rsid w:val="000931CB"/>
    <w:rsid w:val="000931F8"/>
    <w:rsid w:val="00093318"/>
    <w:rsid w:val="000934FE"/>
    <w:rsid w:val="0009357B"/>
    <w:rsid w:val="00093620"/>
    <w:rsid w:val="00093680"/>
    <w:rsid w:val="0009368F"/>
    <w:rsid w:val="00093730"/>
    <w:rsid w:val="00093B5A"/>
    <w:rsid w:val="00093ECF"/>
    <w:rsid w:val="000940D7"/>
    <w:rsid w:val="000940F5"/>
    <w:rsid w:val="0009415A"/>
    <w:rsid w:val="00094167"/>
    <w:rsid w:val="0009421C"/>
    <w:rsid w:val="00094338"/>
    <w:rsid w:val="00094346"/>
    <w:rsid w:val="000943C0"/>
    <w:rsid w:val="000943D8"/>
    <w:rsid w:val="00094411"/>
    <w:rsid w:val="000945BF"/>
    <w:rsid w:val="000947D5"/>
    <w:rsid w:val="000948EC"/>
    <w:rsid w:val="0009490D"/>
    <w:rsid w:val="00094974"/>
    <w:rsid w:val="00094B0B"/>
    <w:rsid w:val="00094B95"/>
    <w:rsid w:val="00094C59"/>
    <w:rsid w:val="00094CA0"/>
    <w:rsid w:val="00094CF0"/>
    <w:rsid w:val="00094DDE"/>
    <w:rsid w:val="00094E90"/>
    <w:rsid w:val="00094FC1"/>
    <w:rsid w:val="00095086"/>
    <w:rsid w:val="0009511F"/>
    <w:rsid w:val="00095552"/>
    <w:rsid w:val="000956A5"/>
    <w:rsid w:val="000958C5"/>
    <w:rsid w:val="00095ADD"/>
    <w:rsid w:val="00095C43"/>
    <w:rsid w:val="00095D23"/>
    <w:rsid w:val="00095DDD"/>
    <w:rsid w:val="00095E2C"/>
    <w:rsid w:val="0009613D"/>
    <w:rsid w:val="0009617B"/>
    <w:rsid w:val="00096216"/>
    <w:rsid w:val="000962B3"/>
    <w:rsid w:val="000963C5"/>
    <w:rsid w:val="0009643F"/>
    <w:rsid w:val="00096633"/>
    <w:rsid w:val="00096662"/>
    <w:rsid w:val="00096695"/>
    <w:rsid w:val="000966BD"/>
    <w:rsid w:val="0009676E"/>
    <w:rsid w:val="000967A3"/>
    <w:rsid w:val="000967F6"/>
    <w:rsid w:val="00096903"/>
    <w:rsid w:val="00096B6B"/>
    <w:rsid w:val="00096C20"/>
    <w:rsid w:val="00096CE3"/>
    <w:rsid w:val="00096FC4"/>
    <w:rsid w:val="00097019"/>
    <w:rsid w:val="00097160"/>
    <w:rsid w:val="00097310"/>
    <w:rsid w:val="00097442"/>
    <w:rsid w:val="000974D2"/>
    <w:rsid w:val="00097611"/>
    <w:rsid w:val="00097717"/>
    <w:rsid w:val="00097720"/>
    <w:rsid w:val="00097803"/>
    <w:rsid w:val="00097A47"/>
    <w:rsid w:val="00097B3F"/>
    <w:rsid w:val="00097B4A"/>
    <w:rsid w:val="00097B5E"/>
    <w:rsid w:val="00097C2C"/>
    <w:rsid w:val="00097DDF"/>
    <w:rsid w:val="00097EFF"/>
    <w:rsid w:val="00097F4D"/>
    <w:rsid w:val="00097FF2"/>
    <w:rsid w:val="000A005F"/>
    <w:rsid w:val="000A0070"/>
    <w:rsid w:val="000A016D"/>
    <w:rsid w:val="000A0530"/>
    <w:rsid w:val="000A05E7"/>
    <w:rsid w:val="000A07E6"/>
    <w:rsid w:val="000A0803"/>
    <w:rsid w:val="000A0827"/>
    <w:rsid w:val="000A09F0"/>
    <w:rsid w:val="000A0A4B"/>
    <w:rsid w:val="000A0B30"/>
    <w:rsid w:val="000A0BA9"/>
    <w:rsid w:val="000A0D57"/>
    <w:rsid w:val="000A0E81"/>
    <w:rsid w:val="000A12A4"/>
    <w:rsid w:val="000A12C3"/>
    <w:rsid w:val="000A13CB"/>
    <w:rsid w:val="000A1574"/>
    <w:rsid w:val="000A15BE"/>
    <w:rsid w:val="000A175A"/>
    <w:rsid w:val="000A181B"/>
    <w:rsid w:val="000A18C6"/>
    <w:rsid w:val="000A18FC"/>
    <w:rsid w:val="000A1989"/>
    <w:rsid w:val="000A1B6B"/>
    <w:rsid w:val="000A1BA5"/>
    <w:rsid w:val="000A1BCE"/>
    <w:rsid w:val="000A1CBB"/>
    <w:rsid w:val="000A1D11"/>
    <w:rsid w:val="000A1D61"/>
    <w:rsid w:val="000A1DD6"/>
    <w:rsid w:val="000A1F31"/>
    <w:rsid w:val="000A201E"/>
    <w:rsid w:val="000A2092"/>
    <w:rsid w:val="000A21CA"/>
    <w:rsid w:val="000A2321"/>
    <w:rsid w:val="000A261A"/>
    <w:rsid w:val="000A265F"/>
    <w:rsid w:val="000A2868"/>
    <w:rsid w:val="000A2A7D"/>
    <w:rsid w:val="000A2F74"/>
    <w:rsid w:val="000A2F98"/>
    <w:rsid w:val="000A320F"/>
    <w:rsid w:val="000A3298"/>
    <w:rsid w:val="000A3338"/>
    <w:rsid w:val="000A3759"/>
    <w:rsid w:val="000A37B5"/>
    <w:rsid w:val="000A3869"/>
    <w:rsid w:val="000A3BE4"/>
    <w:rsid w:val="000A3E36"/>
    <w:rsid w:val="000A410D"/>
    <w:rsid w:val="000A42A7"/>
    <w:rsid w:val="000A4354"/>
    <w:rsid w:val="000A436A"/>
    <w:rsid w:val="000A4442"/>
    <w:rsid w:val="000A44B5"/>
    <w:rsid w:val="000A45F8"/>
    <w:rsid w:val="000A47B6"/>
    <w:rsid w:val="000A47C1"/>
    <w:rsid w:val="000A48BF"/>
    <w:rsid w:val="000A48EA"/>
    <w:rsid w:val="000A4B2E"/>
    <w:rsid w:val="000A4CDC"/>
    <w:rsid w:val="000A4EC7"/>
    <w:rsid w:val="000A4F45"/>
    <w:rsid w:val="000A5051"/>
    <w:rsid w:val="000A5066"/>
    <w:rsid w:val="000A5097"/>
    <w:rsid w:val="000A543A"/>
    <w:rsid w:val="000A5501"/>
    <w:rsid w:val="000A57AB"/>
    <w:rsid w:val="000A57D7"/>
    <w:rsid w:val="000A5978"/>
    <w:rsid w:val="000A5E36"/>
    <w:rsid w:val="000A5F54"/>
    <w:rsid w:val="000A6038"/>
    <w:rsid w:val="000A6104"/>
    <w:rsid w:val="000A61CC"/>
    <w:rsid w:val="000A633F"/>
    <w:rsid w:val="000A64A5"/>
    <w:rsid w:val="000A65E2"/>
    <w:rsid w:val="000A672C"/>
    <w:rsid w:val="000A6730"/>
    <w:rsid w:val="000A6757"/>
    <w:rsid w:val="000A6796"/>
    <w:rsid w:val="000A69E2"/>
    <w:rsid w:val="000A6B74"/>
    <w:rsid w:val="000A6D19"/>
    <w:rsid w:val="000A6D68"/>
    <w:rsid w:val="000A6E36"/>
    <w:rsid w:val="000A6F08"/>
    <w:rsid w:val="000A6F2D"/>
    <w:rsid w:val="000A72B0"/>
    <w:rsid w:val="000A7303"/>
    <w:rsid w:val="000A7469"/>
    <w:rsid w:val="000A74AE"/>
    <w:rsid w:val="000A7545"/>
    <w:rsid w:val="000A76B8"/>
    <w:rsid w:val="000A7A79"/>
    <w:rsid w:val="000A7BF0"/>
    <w:rsid w:val="000A7C92"/>
    <w:rsid w:val="000A7CE4"/>
    <w:rsid w:val="000A7D8D"/>
    <w:rsid w:val="000A7E44"/>
    <w:rsid w:val="000A7EE8"/>
    <w:rsid w:val="000A7EF8"/>
    <w:rsid w:val="000A7FC4"/>
    <w:rsid w:val="000A7FD4"/>
    <w:rsid w:val="000B002C"/>
    <w:rsid w:val="000B0094"/>
    <w:rsid w:val="000B034A"/>
    <w:rsid w:val="000B035F"/>
    <w:rsid w:val="000B03FC"/>
    <w:rsid w:val="000B0622"/>
    <w:rsid w:val="000B0704"/>
    <w:rsid w:val="000B07A4"/>
    <w:rsid w:val="000B0BDB"/>
    <w:rsid w:val="000B0CD8"/>
    <w:rsid w:val="000B0D74"/>
    <w:rsid w:val="000B0D8D"/>
    <w:rsid w:val="000B0EE6"/>
    <w:rsid w:val="000B1052"/>
    <w:rsid w:val="000B10B9"/>
    <w:rsid w:val="000B1220"/>
    <w:rsid w:val="000B1251"/>
    <w:rsid w:val="000B13A9"/>
    <w:rsid w:val="000B1529"/>
    <w:rsid w:val="000B15D3"/>
    <w:rsid w:val="000B16A3"/>
    <w:rsid w:val="000B177F"/>
    <w:rsid w:val="000B17ED"/>
    <w:rsid w:val="000B196E"/>
    <w:rsid w:val="000B1A20"/>
    <w:rsid w:val="000B1AE1"/>
    <w:rsid w:val="000B1B45"/>
    <w:rsid w:val="000B1CA1"/>
    <w:rsid w:val="000B1D5F"/>
    <w:rsid w:val="000B1DD2"/>
    <w:rsid w:val="000B1FAA"/>
    <w:rsid w:val="000B203F"/>
    <w:rsid w:val="000B20CB"/>
    <w:rsid w:val="000B22E8"/>
    <w:rsid w:val="000B2317"/>
    <w:rsid w:val="000B2393"/>
    <w:rsid w:val="000B2456"/>
    <w:rsid w:val="000B24BC"/>
    <w:rsid w:val="000B2714"/>
    <w:rsid w:val="000B27B4"/>
    <w:rsid w:val="000B28DC"/>
    <w:rsid w:val="000B28FC"/>
    <w:rsid w:val="000B2932"/>
    <w:rsid w:val="000B2AB9"/>
    <w:rsid w:val="000B2B32"/>
    <w:rsid w:val="000B2B73"/>
    <w:rsid w:val="000B2EF1"/>
    <w:rsid w:val="000B2F22"/>
    <w:rsid w:val="000B2F7A"/>
    <w:rsid w:val="000B300D"/>
    <w:rsid w:val="000B3023"/>
    <w:rsid w:val="000B3144"/>
    <w:rsid w:val="000B31C4"/>
    <w:rsid w:val="000B328F"/>
    <w:rsid w:val="000B34B3"/>
    <w:rsid w:val="000B37CD"/>
    <w:rsid w:val="000B399D"/>
    <w:rsid w:val="000B39C5"/>
    <w:rsid w:val="000B39F4"/>
    <w:rsid w:val="000B3A17"/>
    <w:rsid w:val="000B3A55"/>
    <w:rsid w:val="000B3AC7"/>
    <w:rsid w:val="000B3C26"/>
    <w:rsid w:val="000B3CAA"/>
    <w:rsid w:val="000B3E90"/>
    <w:rsid w:val="000B3F17"/>
    <w:rsid w:val="000B3FB6"/>
    <w:rsid w:val="000B401D"/>
    <w:rsid w:val="000B40DE"/>
    <w:rsid w:val="000B418E"/>
    <w:rsid w:val="000B4249"/>
    <w:rsid w:val="000B47BC"/>
    <w:rsid w:val="000B4854"/>
    <w:rsid w:val="000B4923"/>
    <w:rsid w:val="000B49A2"/>
    <w:rsid w:val="000B4A80"/>
    <w:rsid w:val="000B4C8F"/>
    <w:rsid w:val="000B4DA9"/>
    <w:rsid w:val="000B4E89"/>
    <w:rsid w:val="000B4F82"/>
    <w:rsid w:val="000B50AF"/>
    <w:rsid w:val="000B5205"/>
    <w:rsid w:val="000B538B"/>
    <w:rsid w:val="000B53B3"/>
    <w:rsid w:val="000B5549"/>
    <w:rsid w:val="000B5638"/>
    <w:rsid w:val="000B586E"/>
    <w:rsid w:val="000B588E"/>
    <w:rsid w:val="000B58F6"/>
    <w:rsid w:val="000B5A53"/>
    <w:rsid w:val="000B5D33"/>
    <w:rsid w:val="000B5DDC"/>
    <w:rsid w:val="000B600E"/>
    <w:rsid w:val="000B6010"/>
    <w:rsid w:val="000B6200"/>
    <w:rsid w:val="000B637C"/>
    <w:rsid w:val="000B6396"/>
    <w:rsid w:val="000B6430"/>
    <w:rsid w:val="000B6454"/>
    <w:rsid w:val="000B64E7"/>
    <w:rsid w:val="000B65E2"/>
    <w:rsid w:val="000B6670"/>
    <w:rsid w:val="000B66EC"/>
    <w:rsid w:val="000B67FD"/>
    <w:rsid w:val="000B6908"/>
    <w:rsid w:val="000B697A"/>
    <w:rsid w:val="000B6A49"/>
    <w:rsid w:val="000B6AC3"/>
    <w:rsid w:val="000B6ACF"/>
    <w:rsid w:val="000B6B5B"/>
    <w:rsid w:val="000B6B81"/>
    <w:rsid w:val="000B6B89"/>
    <w:rsid w:val="000B6C28"/>
    <w:rsid w:val="000B6D1B"/>
    <w:rsid w:val="000B6E60"/>
    <w:rsid w:val="000B6EF7"/>
    <w:rsid w:val="000B7063"/>
    <w:rsid w:val="000B731A"/>
    <w:rsid w:val="000B752B"/>
    <w:rsid w:val="000B7616"/>
    <w:rsid w:val="000B76D0"/>
    <w:rsid w:val="000B7718"/>
    <w:rsid w:val="000B793F"/>
    <w:rsid w:val="000B7A47"/>
    <w:rsid w:val="000B7BE2"/>
    <w:rsid w:val="000B7BE9"/>
    <w:rsid w:val="000B7C6E"/>
    <w:rsid w:val="000B7CE4"/>
    <w:rsid w:val="000B7E12"/>
    <w:rsid w:val="000B7FAC"/>
    <w:rsid w:val="000C0021"/>
    <w:rsid w:val="000C0227"/>
    <w:rsid w:val="000C0249"/>
    <w:rsid w:val="000C0362"/>
    <w:rsid w:val="000C0444"/>
    <w:rsid w:val="000C058B"/>
    <w:rsid w:val="000C0614"/>
    <w:rsid w:val="000C064D"/>
    <w:rsid w:val="000C0743"/>
    <w:rsid w:val="000C07E3"/>
    <w:rsid w:val="000C0836"/>
    <w:rsid w:val="000C0861"/>
    <w:rsid w:val="000C0893"/>
    <w:rsid w:val="000C094B"/>
    <w:rsid w:val="000C09E0"/>
    <w:rsid w:val="000C0CF3"/>
    <w:rsid w:val="000C0D39"/>
    <w:rsid w:val="000C0D9F"/>
    <w:rsid w:val="000C0E65"/>
    <w:rsid w:val="000C0FE2"/>
    <w:rsid w:val="000C1045"/>
    <w:rsid w:val="000C1207"/>
    <w:rsid w:val="000C1300"/>
    <w:rsid w:val="000C13A6"/>
    <w:rsid w:val="000C146E"/>
    <w:rsid w:val="000C147E"/>
    <w:rsid w:val="000C153C"/>
    <w:rsid w:val="000C1540"/>
    <w:rsid w:val="000C1546"/>
    <w:rsid w:val="000C1674"/>
    <w:rsid w:val="000C168E"/>
    <w:rsid w:val="000C195A"/>
    <w:rsid w:val="000C1A8D"/>
    <w:rsid w:val="000C1BB6"/>
    <w:rsid w:val="000C1BD8"/>
    <w:rsid w:val="000C1DD6"/>
    <w:rsid w:val="000C20ED"/>
    <w:rsid w:val="000C211C"/>
    <w:rsid w:val="000C2122"/>
    <w:rsid w:val="000C21A5"/>
    <w:rsid w:val="000C2504"/>
    <w:rsid w:val="000C27E9"/>
    <w:rsid w:val="000C295F"/>
    <w:rsid w:val="000C2AE5"/>
    <w:rsid w:val="000C2C07"/>
    <w:rsid w:val="000C2CEF"/>
    <w:rsid w:val="000C2E4B"/>
    <w:rsid w:val="000C2F04"/>
    <w:rsid w:val="000C2F10"/>
    <w:rsid w:val="000C306B"/>
    <w:rsid w:val="000C30F2"/>
    <w:rsid w:val="000C32E5"/>
    <w:rsid w:val="000C330A"/>
    <w:rsid w:val="000C334B"/>
    <w:rsid w:val="000C3408"/>
    <w:rsid w:val="000C365C"/>
    <w:rsid w:val="000C3763"/>
    <w:rsid w:val="000C3980"/>
    <w:rsid w:val="000C3B39"/>
    <w:rsid w:val="000C3BB9"/>
    <w:rsid w:val="000C3C6F"/>
    <w:rsid w:val="000C3D12"/>
    <w:rsid w:val="000C3D33"/>
    <w:rsid w:val="000C3DE5"/>
    <w:rsid w:val="000C3DF1"/>
    <w:rsid w:val="000C3E64"/>
    <w:rsid w:val="000C3ED6"/>
    <w:rsid w:val="000C3F23"/>
    <w:rsid w:val="000C4018"/>
    <w:rsid w:val="000C4077"/>
    <w:rsid w:val="000C40D5"/>
    <w:rsid w:val="000C40F3"/>
    <w:rsid w:val="000C4270"/>
    <w:rsid w:val="000C44A6"/>
    <w:rsid w:val="000C44AA"/>
    <w:rsid w:val="000C44E8"/>
    <w:rsid w:val="000C46C2"/>
    <w:rsid w:val="000C46C3"/>
    <w:rsid w:val="000C4709"/>
    <w:rsid w:val="000C4765"/>
    <w:rsid w:val="000C4A23"/>
    <w:rsid w:val="000C4B64"/>
    <w:rsid w:val="000C4BA5"/>
    <w:rsid w:val="000C4BD6"/>
    <w:rsid w:val="000C4C16"/>
    <w:rsid w:val="000C4C98"/>
    <w:rsid w:val="000C4D52"/>
    <w:rsid w:val="000C4D6D"/>
    <w:rsid w:val="000C4F2B"/>
    <w:rsid w:val="000C50F8"/>
    <w:rsid w:val="000C5149"/>
    <w:rsid w:val="000C5182"/>
    <w:rsid w:val="000C534F"/>
    <w:rsid w:val="000C5353"/>
    <w:rsid w:val="000C53ED"/>
    <w:rsid w:val="000C55A7"/>
    <w:rsid w:val="000C5612"/>
    <w:rsid w:val="000C5762"/>
    <w:rsid w:val="000C59BA"/>
    <w:rsid w:val="000C5A3D"/>
    <w:rsid w:val="000C5A6E"/>
    <w:rsid w:val="000C5B14"/>
    <w:rsid w:val="000C5B76"/>
    <w:rsid w:val="000C5D06"/>
    <w:rsid w:val="000C5D27"/>
    <w:rsid w:val="000C5E6D"/>
    <w:rsid w:val="000C635B"/>
    <w:rsid w:val="000C63B1"/>
    <w:rsid w:val="000C64BB"/>
    <w:rsid w:val="000C65FA"/>
    <w:rsid w:val="000C66AC"/>
    <w:rsid w:val="000C66B1"/>
    <w:rsid w:val="000C66BF"/>
    <w:rsid w:val="000C678B"/>
    <w:rsid w:val="000C67D3"/>
    <w:rsid w:val="000C6833"/>
    <w:rsid w:val="000C68AF"/>
    <w:rsid w:val="000C6BB7"/>
    <w:rsid w:val="000C6C05"/>
    <w:rsid w:val="000C6C44"/>
    <w:rsid w:val="000C6E98"/>
    <w:rsid w:val="000C6EC0"/>
    <w:rsid w:val="000C6F11"/>
    <w:rsid w:val="000C7382"/>
    <w:rsid w:val="000C73FA"/>
    <w:rsid w:val="000C7480"/>
    <w:rsid w:val="000C748E"/>
    <w:rsid w:val="000C74ED"/>
    <w:rsid w:val="000C7520"/>
    <w:rsid w:val="000C76D8"/>
    <w:rsid w:val="000C7A1D"/>
    <w:rsid w:val="000C7BA1"/>
    <w:rsid w:val="000C7C8D"/>
    <w:rsid w:val="000C7CCA"/>
    <w:rsid w:val="000C7E72"/>
    <w:rsid w:val="000C7EE1"/>
    <w:rsid w:val="000C7F7E"/>
    <w:rsid w:val="000D00B1"/>
    <w:rsid w:val="000D016E"/>
    <w:rsid w:val="000D0210"/>
    <w:rsid w:val="000D0242"/>
    <w:rsid w:val="000D0436"/>
    <w:rsid w:val="000D04ED"/>
    <w:rsid w:val="000D05F8"/>
    <w:rsid w:val="000D069D"/>
    <w:rsid w:val="000D06A9"/>
    <w:rsid w:val="000D07A1"/>
    <w:rsid w:val="000D07E9"/>
    <w:rsid w:val="000D0881"/>
    <w:rsid w:val="000D08C6"/>
    <w:rsid w:val="000D092C"/>
    <w:rsid w:val="000D09B8"/>
    <w:rsid w:val="000D0B0A"/>
    <w:rsid w:val="000D0C82"/>
    <w:rsid w:val="000D0E73"/>
    <w:rsid w:val="000D0ED8"/>
    <w:rsid w:val="000D0EE2"/>
    <w:rsid w:val="000D10B1"/>
    <w:rsid w:val="000D110B"/>
    <w:rsid w:val="000D11D4"/>
    <w:rsid w:val="000D12BB"/>
    <w:rsid w:val="000D1356"/>
    <w:rsid w:val="000D1446"/>
    <w:rsid w:val="000D1513"/>
    <w:rsid w:val="000D1542"/>
    <w:rsid w:val="000D15AC"/>
    <w:rsid w:val="000D16A3"/>
    <w:rsid w:val="000D16CA"/>
    <w:rsid w:val="000D17FF"/>
    <w:rsid w:val="000D1A30"/>
    <w:rsid w:val="000D1A69"/>
    <w:rsid w:val="000D1AAC"/>
    <w:rsid w:val="000D1B15"/>
    <w:rsid w:val="000D1B2C"/>
    <w:rsid w:val="000D1BC1"/>
    <w:rsid w:val="000D1DF9"/>
    <w:rsid w:val="000D1EE2"/>
    <w:rsid w:val="000D1F05"/>
    <w:rsid w:val="000D1FE0"/>
    <w:rsid w:val="000D20A5"/>
    <w:rsid w:val="000D20F5"/>
    <w:rsid w:val="000D212C"/>
    <w:rsid w:val="000D2143"/>
    <w:rsid w:val="000D2259"/>
    <w:rsid w:val="000D2376"/>
    <w:rsid w:val="000D23B3"/>
    <w:rsid w:val="000D24B7"/>
    <w:rsid w:val="000D2654"/>
    <w:rsid w:val="000D2676"/>
    <w:rsid w:val="000D268C"/>
    <w:rsid w:val="000D28D9"/>
    <w:rsid w:val="000D2C0A"/>
    <w:rsid w:val="000D2C51"/>
    <w:rsid w:val="000D2DA9"/>
    <w:rsid w:val="000D2EB8"/>
    <w:rsid w:val="000D3530"/>
    <w:rsid w:val="000D36CB"/>
    <w:rsid w:val="000D36D4"/>
    <w:rsid w:val="000D377D"/>
    <w:rsid w:val="000D3838"/>
    <w:rsid w:val="000D3905"/>
    <w:rsid w:val="000D3934"/>
    <w:rsid w:val="000D39D4"/>
    <w:rsid w:val="000D3A2F"/>
    <w:rsid w:val="000D3A81"/>
    <w:rsid w:val="000D3BB9"/>
    <w:rsid w:val="000D3C04"/>
    <w:rsid w:val="000D3D29"/>
    <w:rsid w:val="000D3DE9"/>
    <w:rsid w:val="000D3FAA"/>
    <w:rsid w:val="000D4043"/>
    <w:rsid w:val="000D40E3"/>
    <w:rsid w:val="000D42E2"/>
    <w:rsid w:val="000D447B"/>
    <w:rsid w:val="000D45F7"/>
    <w:rsid w:val="000D46BB"/>
    <w:rsid w:val="000D472E"/>
    <w:rsid w:val="000D47A6"/>
    <w:rsid w:val="000D47E3"/>
    <w:rsid w:val="000D4870"/>
    <w:rsid w:val="000D4A99"/>
    <w:rsid w:val="000D4B0B"/>
    <w:rsid w:val="000D4B81"/>
    <w:rsid w:val="000D4BEC"/>
    <w:rsid w:val="000D4D9E"/>
    <w:rsid w:val="000D50D8"/>
    <w:rsid w:val="000D5178"/>
    <w:rsid w:val="000D5212"/>
    <w:rsid w:val="000D53FD"/>
    <w:rsid w:val="000D540A"/>
    <w:rsid w:val="000D5417"/>
    <w:rsid w:val="000D565B"/>
    <w:rsid w:val="000D572A"/>
    <w:rsid w:val="000D5A4D"/>
    <w:rsid w:val="000D5A93"/>
    <w:rsid w:val="000D5BAA"/>
    <w:rsid w:val="000D5DC9"/>
    <w:rsid w:val="000D5E0B"/>
    <w:rsid w:val="000D5E57"/>
    <w:rsid w:val="000D5E5A"/>
    <w:rsid w:val="000D5F04"/>
    <w:rsid w:val="000D5FD5"/>
    <w:rsid w:val="000D6018"/>
    <w:rsid w:val="000D6081"/>
    <w:rsid w:val="000D63CB"/>
    <w:rsid w:val="000D63E0"/>
    <w:rsid w:val="000D643D"/>
    <w:rsid w:val="000D6462"/>
    <w:rsid w:val="000D6659"/>
    <w:rsid w:val="000D66C6"/>
    <w:rsid w:val="000D675C"/>
    <w:rsid w:val="000D69B9"/>
    <w:rsid w:val="000D69F7"/>
    <w:rsid w:val="000D6A42"/>
    <w:rsid w:val="000D6AEE"/>
    <w:rsid w:val="000D6B65"/>
    <w:rsid w:val="000D6C65"/>
    <w:rsid w:val="000D6DA3"/>
    <w:rsid w:val="000D6FBB"/>
    <w:rsid w:val="000D6FFD"/>
    <w:rsid w:val="000D7066"/>
    <w:rsid w:val="000D7105"/>
    <w:rsid w:val="000D7135"/>
    <w:rsid w:val="000D7271"/>
    <w:rsid w:val="000D729F"/>
    <w:rsid w:val="000D7423"/>
    <w:rsid w:val="000D7585"/>
    <w:rsid w:val="000D77CB"/>
    <w:rsid w:val="000D792F"/>
    <w:rsid w:val="000D79BA"/>
    <w:rsid w:val="000D7A3F"/>
    <w:rsid w:val="000D7B80"/>
    <w:rsid w:val="000D7BAD"/>
    <w:rsid w:val="000D7BFF"/>
    <w:rsid w:val="000D7C50"/>
    <w:rsid w:val="000D7CBA"/>
    <w:rsid w:val="000D7DE8"/>
    <w:rsid w:val="000E0132"/>
    <w:rsid w:val="000E0216"/>
    <w:rsid w:val="000E0253"/>
    <w:rsid w:val="000E046B"/>
    <w:rsid w:val="000E05AB"/>
    <w:rsid w:val="000E05C6"/>
    <w:rsid w:val="000E0672"/>
    <w:rsid w:val="000E0D1A"/>
    <w:rsid w:val="000E0DC3"/>
    <w:rsid w:val="000E0DDF"/>
    <w:rsid w:val="000E0EBF"/>
    <w:rsid w:val="000E0FEA"/>
    <w:rsid w:val="000E0FF3"/>
    <w:rsid w:val="000E0FFE"/>
    <w:rsid w:val="000E109B"/>
    <w:rsid w:val="000E10DF"/>
    <w:rsid w:val="000E1158"/>
    <w:rsid w:val="000E1173"/>
    <w:rsid w:val="000E117D"/>
    <w:rsid w:val="000E129E"/>
    <w:rsid w:val="000E13E4"/>
    <w:rsid w:val="000E1470"/>
    <w:rsid w:val="000E15CC"/>
    <w:rsid w:val="000E171B"/>
    <w:rsid w:val="000E175C"/>
    <w:rsid w:val="000E1823"/>
    <w:rsid w:val="000E193A"/>
    <w:rsid w:val="000E19BA"/>
    <w:rsid w:val="000E1A00"/>
    <w:rsid w:val="000E1A63"/>
    <w:rsid w:val="000E1B9C"/>
    <w:rsid w:val="000E1BD6"/>
    <w:rsid w:val="000E1C63"/>
    <w:rsid w:val="000E1D24"/>
    <w:rsid w:val="000E1D27"/>
    <w:rsid w:val="000E1D61"/>
    <w:rsid w:val="000E1E87"/>
    <w:rsid w:val="000E217C"/>
    <w:rsid w:val="000E22A9"/>
    <w:rsid w:val="000E22CE"/>
    <w:rsid w:val="000E237F"/>
    <w:rsid w:val="000E240A"/>
    <w:rsid w:val="000E247B"/>
    <w:rsid w:val="000E24AE"/>
    <w:rsid w:val="000E2636"/>
    <w:rsid w:val="000E26B8"/>
    <w:rsid w:val="000E272E"/>
    <w:rsid w:val="000E2781"/>
    <w:rsid w:val="000E2789"/>
    <w:rsid w:val="000E27FD"/>
    <w:rsid w:val="000E28A7"/>
    <w:rsid w:val="000E293C"/>
    <w:rsid w:val="000E2A6D"/>
    <w:rsid w:val="000E2B48"/>
    <w:rsid w:val="000E2E96"/>
    <w:rsid w:val="000E3152"/>
    <w:rsid w:val="000E33D4"/>
    <w:rsid w:val="000E3495"/>
    <w:rsid w:val="000E34D8"/>
    <w:rsid w:val="000E35F0"/>
    <w:rsid w:val="000E39AF"/>
    <w:rsid w:val="000E39F4"/>
    <w:rsid w:val="000E3B2B"/>
    <w:rsid w:val="000E3D89"/>
    <w:rsid w:val="000E3DDB"/>
    <w:rsid w:val="000E3E0D"/>
    <w:rsid w:val="000E400F"/>
    <w:rsid w:val="000E4033"/>
    <w:rsid w:val="000E4037"/>
    <w:rsid w:val="000E406B"/>
    <w:rsid w:val="000E40F6"/>
    <w:rsid w:val="000E4113"/>
    <w:rsid w:val="000E41E2"/>
    <w:rsid w:val="000E42B8"/>
    <w:rsid w:val="000E44E2"/>
    <w:rsid w:val="000E4593"/>
    <w:rsid w:val="000E463B"/>
    <w:rsid w:val="000E4698"/>
    <w:rsid w:val="000E480F"/>
    <w:rsid w:val="000E4922"/>
    <w:rsid w:val="000E4A2B"/>
    <w:rsid w:val="000E4B6C"/>
    <w:rsid w:val="000E4DC8"/>
    <w:rsid w:val="000E4DD2"/>
    <w:rsid w:val="000E4EB0"/>
    <w:rsid w:val="000E4F51"/>
    <w:rsid w:val="000E508A"/>
    <w:rsid w:val="000E511D"/>
    <w:rsid w:val="000E51A0"/>
    <w:rsid w:val="000E5233"/>
    <w:rsid w:val="000E537D"/>
    <w:rsid w:val="000E5435"/>
    <w:rsid w:val="000E5437"/>
    <w:rsid w:val="000E549B"/>
    <w:rsid w:val="000E5677"/>
    <w:rsid w:val="000E5700"/>
    <w:rsid w:val="000E59A8"/>
    <w:rsid w:val="000E59B7"/>
    <w:rsid w:val="000E59EA"/>
    <w:rsid w:val="000E5BF0"/>
    <w:rsid w:val="000E5CD0"/>
    <w:rsid w:val="000E5D14"/>
    <w:rsid w:val="000E5DAA"/>
    <w:rsid w:val="000E5DE3"/>
    <w:rsid w:val="000E5DF4"/>
    <w:rsid w:val="000E5FC3"/>
    <w:rsid w:val="000E5FCF"/>
    <w:rsid w:val="000E604F"/>
    <w:rsid w:val="000E60A3"/>
    <w:rsid w:val="000E6111"/>
    <w:rsid w:val="000E6139"/>
    <w:rsid w:val="000E62CC"/>
    <w:rsid w:val="000E62E2"/>
    <w:rsid w:val="000E684F"/>
    <w:rsid w:val="000E6891"/>
    <w:rsid w:val="000E68E8"/>
    <w:rsid w:val="000E6A9D"/>
    <w:rsid w:val="000E6B43"/>
    <w:rsid w:val="000E6B78"/>
    <w:rsid w:val="000E6C14"/>
    <w:rsid w:val="000E6C66"/>
    <w:rsid w:val="000E6C71"/>
    <w:rsid w:val="000E6D0C"/>
    <w:rsid w:val="000E6DA9"/>
    <w:rsid w:val="000E6EE7"/>
    <w:rsid w:val="000E6EFD"/>
    <w:rsid w:val="000E6FC3"/>
    <w:rsid w:val="000E6FF2"/>
    <w:rsid w:val="000E7109"/>
    <w:rsid w:val="000E7120"/>
    <w:rsid w:val="000E7134"/>
    <w:rsid w:val="000E71A0"/>
    <w:rsid w:val="000E71B6"/>
    <w:rsid w:val="000E7382"/>
    <w:rsid w:val="000E7494"/>
    <w:rsid w:val="000E76A8"/>
    <w:rsid w:val="000E7725"/>
    <w:rsid w:val="000E773F"/>
    <w:rsid w:val="000E77D5"/>
    <w:rsid w:val="000E78B5"/>
    <w:rsid w:val="000E79E3"/>
    <w:rsid w:val="000E7B43"/>
    <w:rsid w:val="000E7CB2"/>
    <w:rsid w:val="000E7DDE"/>
    <w:rsid w:val="000E7DDF"/>
    <w:rsid w:val="000E7E34"/>
    <w:rsid w:val="000E7E5F"/>
    <w:rsid w:val="000E7EBE"/>
    <w:rsid w:val="000E7EED"/>
    <w:rsid w:val="000E7F13"/>
    <w:rsid w:val="000E7F19"/>
    <w:rsid w:val="000F01A7"/>
    <w:rsid w:val="000F0215"/>
    <w:rsid w:val="000F02CB"/>
    <w:rsid w:val="000F0570"/>
    <w:rsid w:val="000F06E3"/>
    <w:rsid w:val="000F06E7"/>
    <w:rsid w:val="000F0B83"/>
    <w:rsid w:val="000F0BC6"/>
    <w:rsid w:val="000F0D35"/>
    <w:rsid w:val="000F0D4C"/>
    <w:rsid w:val="000F0D75"/>
    <w:rsid w:val="000F0D87"/>
    <w:rsid w:val="000F0E99"/>
    <w:rsid w:val="000F10F0"/>
    <w:rsid w:val="000F11EB"/>
    <w:rsid w:val="000F11F5"/>
    <w:rsid w:val="000F12A9"/>
    <w:rsid w:val="000F12DB"/>
    <w:rsid w:val="000F1306"/>
    <w:rsid w:val="000F130A"/>
    <w:rsid w:val="000F144A"/>
    <w:rsid w:val="000F144B"/>
    <w:rsid w:val="000F1487"/>
    <w:rsid w:val="000F14C0"/>
    <w:rsid w:val="000F18B1"/>
    <w:rsid w:val="000F1A84"/>
    <w:rsid w:val="000F1C16"/>
    <w:rsid w:val="000F1CB7"/>
    <w:rsid w:val="000F1D29"/>
    <w:rsid w:val="000F1D93"/>
    <w:rsid w:val="000F1E79"/>
    <w:rsid w:val="000F1F01"/>
    <w:rsid w:val="000F2016"/>
    <w:rsid w:val="000F219F"/>
    <w:rsid w:val="000F21C0"/>
    <w:rsid w:val="000F2336"/>
    <w:rsid w:val="000F2634"/>
    <w:rsid w:val="000F26B1"/>
    <w:rsid w:val="000F2752"/>
    <w:rsid w:val="000F2C8F"/>
    <w:rsid w:val="000F2E0F"/>
    <w:rsid w:val="000F2E9A"/>
    <w:rsid w:val="000F317C"/>
    <w:rsid w:val="000F318F"/>
    <w:rsid w:val="000F3268"/>
    <w:rsid w:val="000F3270"/>
    <w:rsid w:val="000F327D"/>
    <w:rsid w:val="000F32E1"/>
    <w:rsid w:val="000F3462"/>
    <w:rsid w:val="000F3561"/>
    <w:rsid w:val="000F36D5"/>
    <w:rsid w:val="000F3746"/>
    <w:rsid w:val="000F37E0"/>
    <w:rsid w:val="000F38C8"/>
    <w:rsid w:val="000F3BC6"/>
    <w:rsid w:val="000F3D13"/>
    <w:rsid w:val="000F3DEE"/>
    <w:rsid w:val="000F3F02"/>
    <w:rsid w:val="000F4008"/>
    <w:rsid w:val="000F4054"/>
    <w:rsid w:val="000F41F4"/>
    <w:rsid w:val="000F4309"/>
    <w:rsid w:val="000F4328"/>
    <w:rsid w:val="000F4382"/>
    <w:rsid w:val="000F43CB"/>
    <w:rsid w:val="000F43F8"/>
    <w:rsid w:val="000F4452"/>
    <w:rsid w:val="000F447D"/>
    <w:rsid w:val="000F45E2"/>
    <w:rsid w:val="000F469E"/>
    <w:rsid w:val="000F469F"/>
    <w:rsid w:val="000F46E8"/>
    <w:rsid w:val="000F484F"/>
    <w:rsid w:val="000F4A13"/>
    <w:rsid w:val="000F4A21"/>
    <w:rsid w:val="000F4AF0"/>
    <w:rsid w:val="000F4DC8"/>
    <w:rsid w:val="000F4E16"/>
    <w:rsid w:val="000F506C"/>
    <w:rsid w:val="000F5116"/>
    <w:rsid w:val="000F522E"/>
    <w:rsid w:val="000F5259"/>
    <w:rsid w:val="000F52B1"/>
    <w:rsid w:val="000F5322"/>
    <w:rsid w:val="000F53CE"/>
    <w:rsid w:val="000F567D"/>
    <w:rsid w:val="000F572A"/>
    <w:rsid w:val="000F57C3"/>
    <w:rsid w:val="000F5825"/>
    <w:rsid w:val="000F5961"/>
    <w:rsid w:val="000F59F2"/>
    <w:rsid w:val="000F5A2A"/>
    <w:rsid w:val="000F5BD2"/>
    <w:rsid w:val="000F5E8F"/>
    <w:rsid w:val="000F5EC0"/>
    <w:rsid w:val="000F5F32"/>
    <w:rsid w:val="000F5FD3"/>
    <w:rsid w:val="000F5FE3"/>
    <w:rsid w:val="000F6072"/>
    <w:rsid w:val="000F60B6"/>
    <w:rsid w:val="000F6122"/>
    <w:rsid w:val="000F6218"/>
    <w:rsid w:val="000F621E"/>
    <w:rsid w:val="000F634B"/>
    <w:rsid w:val="000F6381"/>
    <w:rsid w:val="000F6451"/>
    <w:rsid w:val="000F6565"/>
    <w:rsid w:val="000F67FB"/>
    <w:rsid w:val="000F68E6"/>
    <w:rsid w:val="000F6A18"/>
    <w:rsid w:val="000F6BEE"/>
    <w:rsid w:val="000F6C25"/>
    <w:rsid w:val="000F6C79"/>
    <w:rsid w:val="000F6D0F"/>
    <w:rsid w:val="000F6D72"/>
    <w:rsid w:val="000F6D77"/>
    <w:rsid w:val="000F6DA3"/>
    <w:rsid w:val="000F6EF4"/>
    <w:rsid w:val="000F6FB0"/>
    <w:rsid w:val="000F70C1"/>
    <w:rsid w:val="000F7497"/>
    <w:rsid w:val="000F76FC"/>
    <w:rsid w:val="000F77AF"/>
    <w:rsid w:val="000F77FE"/>
    <w:rsid w:val="000F7A78"/>
    <w:rsid w:val="000F7C05"/>
    <w:rsid w:val="000F7C3C"/>
    <w:rsid w:val="000F7D16"/>
    <w:rsid w:val="0010012A"/>
    <w:rsid w:val="001001D9"/>
    <w:rsid w:val="001001EF"/>
    <w:rsid w:val="00100279"/>
    <w:rsid w:val="001002B7"/>
    <w:rsid w:val="001003C9"/>
    <w:rsid w:val="00100462"/>
    <w:rsid w:val="00100530"/>
    <w:rsid w:val="0010056F"/>
    <w:rsid w:val="001005F0"/>
    <w:rsid w:val="001005F1"/>
    <w:rsid w:val="00100728"/>
    <w:rsid w:val="00100831"/>
    <w:rsid w:val="00100846"/>
    <w:rsid w:val="00100AFF"/>
    <w:rsid w:val="00100D61"/>
    <w:rsid w:val="00101003"/>
    <w:rsid w:val="0010101C"/>
    <w:rsid w:val="001010CD"/>
    <w:rsid w:val="00101224"/>
    <w:rsid w:val="00101449"/>
    <w:rsid w:val="001015F1"/>
    <w:rsid w:val="00101600"/>
    <w:rsid w:val="0010170A"/>
    <w:rsid w:val="001017E0"/>
    <w:rsid w:val="001018EA"/>
    <w:rsid w:val="001019AB"/>
    <w:rsid w:val="00101AF7"/>
    <w:rsid w:val="00101B2E"/>
    <w:rsid w:val="00101B87"/>
    <w:rsid w:val="00101C5D"/>
    <w:rsid w:val="00101D08"/>
    <w:rsid w:val="00101E35"/>
    <w:rsid w:val="00101EAE"/>
    <w:rsid w:val="00101F4E"/>
    <w:rsid w:val="00102033"/>
    <w:rsid w:val="00102097"/>
    <w:rsid w:val="001020BC"/>
    <w:rsid w:val="001021E7"/>
    <w:rsid w:val="00102311"/>
    <w:rsid w:val="001025CF"/>
    <w:rsid w:val="001025D4"/>
    <w:rsid w:val="001025EC"/>
    <w:rsid w:val="00102616"/>
    <w:rsid w:val="001027F7"/>
    <w:rsid w:val="00102890"/>
    <w:rsid w:val="0010295C"/>
    <w:rsid w:val="001029AD"/>
    <w:rsid w:val="00102E7D"/>
    <w:rsid w:val="0010333B"/>
    <w:rsid w:val="0010339F"/>
    <w:rsid w:val="0010340C"/>
    <w:rsid w:val="00103524"/>
    <w:rsid w:val="00103562"/>
    <w:rsid w:val="001037AE"/>
    <w:rsid w:val="0010392C"/>
    <w:rsid w:val="00103BF6"/>
    <w:rsid w:val="00103E94"/>
    <w:rsid w:val="00104025"/>
    <w:rsid w:val="00104096"/>
    <w:rsid w:val="00104156"/>
    <w:rsid w:val="0010422E"/>
    <w:rsid w:val="001043A5"/>
    <w:rsid w:val="001043C4"/>
    <w:rsid w:val="00104517"/>
    <w:rsid w:val="00104774"/>
    <w:rsid w:val="001049FC"/>
    <w:rsid w:val="00104B3A"/>
    <w:rsid w:val="00104BEF"/>
    <w:rsid w:val="00104C1C"/>
    <w:rsid w:val="00104D22"/>
    <w:rsid w:val="00104DB4"/>
    <w:rsid w:val="001050F9"/>
    <w:rsid w:val="001051C6"/>
    <w:rsid w:val="0010535D"/>
    <w:rsid w:val="00105508"/>
    <w:rsid w:val="00105580"/>
    <w:rsid w:val="00105678"/>
    <w:rsid w:val="001056BA"/>
    <w:rsid w:val="001056C6"/>
    <w:rsid w:val="00105799"/>
    <w:rsid w:val="0010582A"/>
    <w:rsid w:val="0010586B"/>
    <w:rsid w:val="001058AB"/>
    <w:rsid w:val="0010598E"/>
    <w:rsid w:val="001059AD"/>
    <w:rsid w:val="001059B4"/>
    <w:rsid w:val="00105B8B"/>
    <w:rsid w:val="00105BC4"/>
    <w:rsid w:val="00105C38"/>
    <w:rsid w:val="00105CBC"/>
    <w:rsid w:val="00105E15"/>
    <w:rsid w:val="00105FF2"/>
    <w:rsid w:val="0010607E"/>
    <w:rsid w:val="0010608F"/>
    <w:rsid w:val="001061B5"/>
    <w:rsid w:val="0010667D"/>
    <w:rsid w:val="001066F7"/>
    <w:rsid w:val="0010671D"/>
    <w:rsid w:val="00106776"/>
    <w:rsid w:val="00106785"/>
    <w:rsid w:val="001067B7"/>
    <w:rsid w:val="0010685F"/>
    <w:rsid w:val="001068BA"/>
    <w:rsid w:val="0010692B"/>
    <w:rsid w:val="00106ECA"/>
    <w:rsid w:val="00106ED3"/>
    <w:rsid w:val="00106F13"/>
    <w:rsid w:val="00106F89"/>
    <w:rsid w:val="00106F8C"/>
    <w:rsid w:val="00106F98"/>
    <w:rsid w:val="00107187"/>
    <w:rsid w:val="001071A3"/>
    <w:rsid w:val="0010749C"/>
    <w:rsid w:val="0010790B"/>
    <w:rsid w:val="00107B9E"/>
    <w:rsid w:val="00107BF3"/>
    <w:rsid w:val="00107C38"/>
    <w:rsid w:val="00107D0A"/>
    <w:rsid w:val="00107FD1"/>
    <w:rsid w:val="0011002C"/>
    <w:rsid w:val="001100DE"/>
    <w:rsid w:val="00110343"/>
    <w:rsid w:val="00110422"/>
    <w:rsid w:val="0011044D"/>
    <w:rsid w:val="001106B9"/>
    <w:rsid w:val="001107AE"/>
    <w:rsid w:val="001108E3"/>
    <w:rsid w:val="00110924"/>
    <w:rsid w:val="001109A2"/>
    <w:rsid w:val="001109A8"/>
    <w:rsid w:val="00110A4A"/>
    <w:rsid w:val="00111053"/>
    <w:rsid w:val="001110BE"/>
    <w:rsid w:val="001111EF"/>
    <w:rsid w:val="00111275"/>
    <w:rsid w:val="00111485"/>
    <w:rsid w:val="001118CB"/>
    <w:rsid w:val="0011191A"/>
    <w:rsid w:val="00111960"/>
    <w:rsid w:val="00111977"/>
    <w:rsid w:val="001119ED"/>
    <w:rsid w:val="00111BFF"/>
    <w:rsid w:val="00111EEC"/>
    <w:rsid w:val="00111FAA"/>
    <w:rsid w:val="00111FED"/>
    <w:rsid w:val="00112109"/>
    <w:rsid w:val="00112110"/>
    <w:rsid w:val="00112322"/>
    <w:rsid w:val="00112364"/>
    <w:rsid w:val="001124DF"/>
    <w:rsid w:val="00112516"/>
    <w:rsid w:val="001125FB"/>
    <w:rsid w:val="00112608"/>
    <w:rsid w:val="00112807"/>
    <w:rsid w:val="00112A14"/>
    <w:rsid w:val="00112A83"/>
    <w:rsid w:val="00112AF0"/>
    <w:rsid w:val="00112B2D"/>
    <w:rsid w:val="00112C33"/>
    <w:rsid w:val="00112C83"/>
    <w:rsid w:val="00112E8B"/>
    <w:rsid w:val="00112EA5"/>
    <w:rsid w:val="00112FD1"/>
    <w:rsid w:val="001130C9"/>
    <w:rsid w:val="001130CB"/>
    <w:rsid w:val="001130D5"/>
    <w:rsid w:val="001131CD"/>
    <w:rsid w:val="00113270"/>
    <w:rsid w:val="001132AA"/>
    <w:rsid w:val="00113376"/>
    <w:rsid w:val="0011337C"/>
    <w:rsid w:val="00113501"/>
    <w:rsid w:val="00113790"/>
    <w:rsid w:val="00113948"/>
    <w:rsid w:val="00113949"/>
    <w:rsid w:val="001139D4"/>
    <w:rsid w:val="00113AC0"/>
    <w:rsid w:val="00113BB9"/>
    <w:rsid w:val="00113CA0"/>
    <w:rsid w:val="00113D51"/>
    <w:rsid w:val="00113FF8"/>
    <w:rsid w:val="00114147"/>
    <w:rsid w:val="00114161"/>
    <w:rsid w:val="001141FF"/>
    <w:rsid w:val="00114704"/>
    <w:rsid w:val="00114942"/>
    <w:rsid w:val="00114B34"/>
    <w:rsid w:val="00114B8D"/>
    <w:rsid w:val="001150C1"/>
    <w:rsid w:val="00115211"/>
    <w:rsid w:val="0011542F"/>
    <w:rsid w:val="0011564D"/>
    <w:rsid w:val="0011573F"/>
    <w:rsid w:val="001158A0"/>
    <w:rsid w:val="001158BB"/>
    <w:rsid w:val="00115A03"/>
    <w:rsid w:val="00115BB3"/>
    <w:rsid w:val="00115C16"/>
    <w:rsid w:val="00115C89"/>
    <w:rsid w:val="00115CA7"/>
    <w:rsid w:val="00115CCC"/>
    <w:rsid w:val="00115DBA"/>
    <w:rsid w:val="00115F4B"/>
    <w:rsid w:val="00115F7D"/>
    <w:rsid w:val="001160DD"/>
    <w:rsid w:val="001160F2"/>
    <w:rsid w:val="0011618A"/>
    <w:rsid w:val="001161FC"/>
    <w:rsid w:val="0011622E"/>
    <w:rsid w:val="00116258"/>
    <w:rsid w:val="0011639D"/>
    <w:rsid w:val="00116499"/>
    <w:rsid w:val="0011649A"/>
    <w:rsid w:val="00116500"/>
    <w:rsid w:val="00116537"/>
    <w:rsid w:val="00116564"/>
    <w:rsid w:val="00116809"/>
    <w:rsid w:val="001168B0"/>
    <w:rsid w:val="00116908"/>
    <w:rsid w:val="00116A05"/>
    <w:rsid w:val="00116AB2"/>
    <w:rsid w:val="00116E2C"/>
    <w:rsid w:val="00116EE3"/>
    <w:rsid w:val="00116F1A"/>
    <w:rsid w:val="00117248"/>
    <w:rsid w:val="0011743B"/>
    <w:rsid w:val="0011750D"/>
    <w:rsid w:val="0011757C"/>
    <w:rsid w:val="001178B1"/>
    <w:rsid w:val="00117946"/>
    <w:rsid w:val="001179D9"/>
    <w:rsid w:val="001179FB"/>
    <w:rsid w:val="00117AF3"/>
    <w:rsid w:val="00117B8B"/>
    <w:rsid w:val="00117BD6"/>
    <w:rsid w:val="00117D5E"/>
    <w:rsid w:val="00117E29"/>
    <w:rsid w:val="00117E44"/>
    <w:rsid w:val="00120359"/>
    <w:rsid w:val="001203D5"/>
    <w:rsid w:val="001204DF"/>
    <w:rsid w:val="001204F7"/>
    <w:rsid w:val="001205E1"/>
    <w:rsid w:val="001206C6"/>
    <w:rsid w:val="00120960"/>
    <w:rsid w:val="00120BFB"/>
    <w:rsid w:val="00120F6A"/>
    <w:rsid w:val="00120F7F"/>
    <w:rsid w:val="00121046"/>
    <w:rsid w:val="001212BC"/>
    <w:rsid w:val="00121366"/>
    <w:rsid w:val="0012147F"/>
    <w:rsid w:val="001215BC"/>
    <w:rsid w:val="00121711"/>
    <w:rsid w:val="001217D8"/>
    <w:rsid w:val="00121865"/>
    <w:rsid w:val="00121875"/>
    <w:rsid w:val="00121960"/>
    <w:rsid w:val="00121992"/>
    <w:rsid w:val="00121B18"/>
    <w:rsid w:val="00121CCA"/>
    <w:rsid w:val="0012205C"/>
    <w:rsid w:val="00122215"/>
    <w:rsid w:val="00122229"/>
    <w:rsid w:val="0012226E"/>
    <w:rsid w:val="0012244E"/>
    <w:rsid w:val="00122543"/>
    <w:rsid w:val="00122754"/>
    <w:rsid w:val="001227F3"/>
    <w:rsid w:val="00122880"/>
    <w:rsid w:val="00122A5B"/>
    <w:rsid w:val="00122AB7"/>
    <w:rsid w:val="00122C72"/>
    <w:rsid w:val="00122D92"/>
    <w:rsid w:val="00122E93"/>
    <w:rsid w:val="00122EC9"/>
    <w:rsid w:val="00122EF4"/>
    <w:rsid w:val="00122EF7"/>
    <w:rsid w:val="00123063"/>
    <w:rsid w:val="00123236"/>
    <w:rsid w:val="00123262"/>
    <w:rsid w:val="001234F4"/>
    <w:rsid w:val="001234FC"/>
    <w:rsid w:val="00123541"/>
    <w:rsid w:val="001235DD"/>
    <w:rsid w:val="001236D2"/>
    <w:rsid w:val="001238C1"/>
    <w:rsid w:val="0012392C"/>
    <w:rsid w:val="00123A48"/>
    <w:rsid w:val="00123BC9"/>
    <w:rsid w:val="00123CC5"/>
    <w:rsid w:val="00123F33"/>
    <w:rsid w:val="00123FA0"/>
    <w:rsid w:val="00124066"/>
    <w:rsid w:val="001240F7"/>
    <w:rsid w:val="00124190"/>
    <w:rsid w:val="00124291"/>
    <w:rsid w:val="001244C8"/>
    <w:rsid w:val="001245C0"/>
    <w:rsid w:val="00124899"/>
    <w:rsid w:val="0012494B"/>
    <w:rsid w:val="00124A52"/>
    <w:rsid w:val="00124AF9"/>
    <w:rsid w:val="00124B95"/>
    <w:rsid w:val="00124C2E"/>
    <w:rsid w:val="00124DA4"/>
    <w:rsid w:val="00125093"/>
    <w:rsid w:val="001252E2"/>
    <w:rsid w:val="00125334"/>
    <w:rsid w:val="0012549C"/>
    <w:rsid w:val="001255ED"/>
    <w:rsid w:val="0012562A"/>
    <w:rsid w:val="001256A6"/>
    <w:rsid w:val="00125871"/>
    <w:rsid w:val="001258CE"/>
    <w:rsid w:val="00125A5B"/>
    <w:rsid w:val="00125AB3"/>
    <w:rsid w:val="00125CE7"/>
    <w:rsid w:val="00125EEC"/>
    <w:rsid w:val="0012617B"/>
    <w:rsid w:val="00126254"/>
    <w:rsid w:val="00126808"/>
    <w:rsid w:val="001268C4"/>
    <w:rsid w:val="001269EE"/>
    <w:rsid w:val="00126AE2"/>
    <w:rsid w:val="00126D40"/>
    <w:rsid w:val="00126E63"/>
    <w:rsid w:val="00127029"/>
    <w:rsid w:val="00127132"/>
    <w:rsid w:val="00127195"/>
    <w:rsid w:val="001271C7"/>
    <w:rsid w:val="001271DF"/>
    <w:rsid w:val="001272D6"/>
    <w:rsid w:val="00127418"/>
    <w:rsid w:val="00127476"/>
    <w:rsid w:val="00127518"/>
    <w:rsid w:val="0012758E"/>
    <w:rsid w:val="001275E7"/>
    <w:rsid w:val="001276C1"/>
    <w:rsid w:val="001277B6"/>
    <w:rsid w:val="00127A17"/>
    <w:rsid w:val="00127A59"/>
    <w:rsid w:val="00127C2D"/>
    <w:rsid w:val="00127D70"/>
    <w:rsid w:val="00127DF1"/>
    <w:rsid w:val="00127E0D"/>
    <w:rsid w:val="001301A9"/>
    <w:rsid w:val="001302A6"/>
    <w:rsid w:val="00130301"/>
    <w:rsid w:val="00130618"/>
    <w:rsid w:val="0013081E"/>
    <w:rsid w:val="00130893"/>
    <w:rsid w:val="00130A32"/>
    <w:rsid w:val="00130AA6"/>
    <w:rsid w:val="00130AAD"/>
    <w:rsid w:val="00130DD5"/>
    <w:rsid w:val="00130EAB"/>
    <w:rsid w:val="00131121"/>
    <w:rsid w:val="00131257"/>
    <w:rsid w:val="00131515"/>
    <w:rsid w:val="001316EC"/>
    <w:rsid w:val="00131732"/>
    <w:rsid w:val="0013189D"/>
    <w:rsid w:val="001319BA"/>
    <w:rsid w:val="00131A74"/>
    <w:rsid w:val="00131C22"/>
    <w:rsid w:val="00131D92"/>
    <w:rsid w:val="00131DCF"/>
    <w:rsid w:val="00131EB7"/>
    <w:rsid w:val="00132086"/>
    <w:rsid w:val="001321CE"/>
    <w:rsid w:val="0013222E"/>
    <w:rsid w:val="001322E3"/>
    <w:rsid w:val="00132517"/>
    <w:rsid w:val="00132569"/>
    <w:rsid w:val="00132776"/>
    <w:rsid w:val="001328CA"/>
    <w:rsid w:val="00132B6E"/>
    <w:rsid w:val="00132C50"/>
    <w:rsid w:val="00132CF2"/>
    <w:rsid w:val="00132DDA"/>
    <w:rsid w:val="00132DF5"/>
    <w:rsid w:val="00132E83"/>
    <w:rsid w:val="00133004"/>
    <w:rsid w:val="001330A1"/>
    <w:rsid w:val="00133120"/>
    <w:rsid w:val="00133232"/>
    <w:rsid w:val="001333C1"/>
    <w:rsid w:val="001334BF"/>
    <w:rsid w:val="001334D0"/>
    <w:rsid w:val="00133555"/>
    <w:rsid w:val="001335F6"/>
    <w:rsid w:val="00133732"/>
    <w:rsid w:val="001337AF"/>
    <w:rsid w:val="00133851"/>
    <w:rsid w:val="001339B5"/>
    <w:rsid w:val="001339BE"/>
    <w:rsid w:val="00133A5A"/>
    <w:rsid w:val="00133AD1"/>
    <w:rsid w:val="00133AEC"/>
    <w:rsid w:val="00133BC4"/>
    <w:rsid w:val="00133E48"/>
    <w:rsid w:val="00133F40"/>
    <w:rsid w:val="00133F87"/>
    <w:rsid w:val="00134173"/>
    <w:rsid w:val="001342E7"/>
    <w:rsid w:val="0013435C"/>
    <w:rsid w:val="00134395"/>
    <w:rsid w:val="001343EA"/>
    <w:rsid w:val="00134458"/>
    <w:rsid w:val="00134536"/>
    <w:rsid w:val="0013454C"/>
    <w:rsid w:val="001345D2"/>
    <w:rsid w:val="001345D5"/>
    <w:rsid w:val="0013466E"/>
    <w:rsid w:val="00134964"/>
    <w:rsid w:val="0013499C"/>
    <w:rsid w:val="00134A08"/>
    <w:rsid w:val="00134B4E"/>
    <w:rsid w:val="00134B76"/>
    <w:rsid w:val="00134C4A"/>
    <w:rsid w:val="00134D84"/>
    <w:rsid w:val="00134ECA"/>
    <w:rsid w:val="00134EDA"/>
    <w:rsid w:val="00135044"/>
    <w:rsid w:val="001350F4"/>
    <w:rsid w:val="00135154"/>
    <w:rsid w:val="001351BA"/>
    <w:rsid w:val="00135230"/>
    <w:rsid w:val="00135459"/>
    <w:rsid w:val="001354CA"/>
    <w:rsid w:val="00135538"/>
    <w:rsid w:val="0013559F"/>
    <w:rsid w:val="001356B6"/>
    <w:rsid w:val="001356F7"/>
    <w:rsid w:val="001357B4"/>
    <w:rsid w:val="00135A2C"/>
    <w:rsid w:val="00135A4A"/>
    <w:rsid w:val="00135AD9"/>
    <w:rsid w:val="00135B1D"/>
    <w:rsid w:val="00135C6A"/>
    <w:rsid w:val="00135C8D"/>
    <w:rsid w:val="00135C9F"/>
    <w:rsid w:val="00135CAB"/>
    <w:rsid w:val="00135CBC"/>
    <w:rsid w:val="00135DA6"/>
    <w:rsid w:val="00135DC6"/>
    <w:rsid w:val="00135F42"/>
    <w:rsid w:val="00135FEE"/>
    <w:rsid w:val="001361BB"/>
    <w:rsid w:val="001361E1"/>
    <w:rsid w:val="00136278"/>
    <w:rsid w:val="0013629D"/>
    <w:rsid w:val="00136333"/>
    <w:rsid w:val="00136341"/>
    <w:rsid w:val="00136487"/>
    <w:rsid w:val="001364DE"/>
    <w:rsid w:val="0013656B"/>
    <w:rsid w:val="00136676"/>
    <w:rsid w:val="00136677"/>
    <w:rsid w:val="0013672A"/>
    <w:rsid w:val="00136774"/>
    <w:rsid w:val="00136811"/>
    <w:rsid w:val="00136833"/>
    <w:rsid w:val="001368FB"/>
    <w:rsid w:val="001369A3"/>
    <w:rsid w:val="001369D0"/>
    <w:rsid w:val="00136A57"/>
    <w:rsid w:val="00136A88"/>
    <w:rsid w:val="00136ACF"/>
    <w:rsid w:val="00136C29"/>
    <w:rsid w:val="00136C2D"/>
    <w:rsid w:val="00136CA2"/>
    <w:rsid w:val="00136D7B"/>
    <w:rsid w:val="00136D9E"/>
    <w:rsid w:val="00136F5B"/>
    <w:rsid w:val="00136F8D"/>
    <w:rsid w:val="0013706B"/>
    <w:rsid w:val="001371C3"/>
    <w:rsid w:val="001376CC"/>
    <w:rsid w:val="001376E0"/>
    <w:rsid w:val="001377FD"/>
    <w:rsid w:val="0013788D"/>
    <w:rsid w:val="0013799A"/>
    <w:rsid w:val="00137AEC"/>
    <w:rsid w:val="00137B91"/>
    <w:rsid w:val="00137C15"/>
    <w:rsid w:val="00137CE7"/>
    <w:rsid w:val="00137D3D"/>
    <w:rsid w:val="00137DE8"/>
    <w:rsid w:val="00137E01"/>
    <w:rsid w:val="00137E3A"/>
    <w:rsid w:val="00137E48"/>
    <w:rsid w:val="00137F90"/>
    <w:rsid w:val="00137FF4"/>
    <w:rsid w:val="0014033A"/>
    <w:rsid w:val="001403F0"/>
    <w:rsid w:val="0014068F"/>
    <w:rsid w:val="001406D3"/>
    <w:rsid w:val="001406D9"/>
    <w:rsid w:val="00140788"/>
    <w:rsid w:val="00140998"/>
    <w:rsid w:val="00140E69"/>
    <w:rsid w:val="00140E70"/>
    <w:rsid w:val="00140E7B"/>
    <w:rsid w:val="00141064"/>
    <w:rsid w:val="00141093"/>
    <w:rsid w:val="0014127F"/>
    <w:rsid w:val="001412A0"/>
    <w:rsid w:val="001412EF"/>
    <w:rsid w:val="001412FC"/>
    <w:rsid w:val="00141308"/>
    <w:rsid w:val="00141492"/>
    <w:rsid w:val="0014151E"/>
    <w:rsid w:val="00141521"/>
    <w:rsid w:val="001415E4"/>
    <w:rsid w:val="001416B3"/>
    <w:rsid w:val="00141708"/>
    <w:rsid w:val="0014177C"/>
    <w:rsid w:val="001417A8"/>
    <w:rsid w:val="001417CD"/>
    <w:rsid w:val="00141BE3"/>
    <w:rsid w:val="00141C3B"/>
    <w:rsid w:val="00141CB8"/>
    <w:rsid w:val="00141D3A"/>
    <w:rsid w:val="00141DF6"/>
    <w:rsid w:val="00141FD5"/>
    <w:rsid w:val="00142252"/>
    <w:rsid w:val="00142303"/>
    <w:rsid w:val="0014238B"/>
    <w:rsid w:val="00142474"/>
    <w:rsid w:val="00142544"/>
    <w:rsid w:val="0014276B"/>
    <w:rsid w:val="0014277A"/>
    <w:rsid w:val="0014278F"/>
    <w:rsid w:val="001428D7"/>
    <w:rsid w:val="001429C7"/>
    <w:rsid w:val="00142A7C"/>
    <w:rsid w:val="00142D19"/>
    <w:rsid w:val="00142E72"/>
    <w:rsid w:val="001430B0"/>
    <w:rsid w:val="00143298"/>
    <w:rsid w:val="001432A4"/>
    <w:rsid w:val="00143336"/>
    <w:rsid w:val="0014353A"/>
    <w:rsid w:val="00143547"/>
    <w:rsid w:val="0014357F"/>
    <w:rsid w:val="0014361F"/>
    <w:rsid w:val="00143620"/>
    <w:rsid w:val="00143660"/>
    <w:rsid w:val="001437FD"/>
    <w:rsid w:val="00143850"/>
    <w:rsid w:val="00143934"/>
    <w:rsid w:val="00143978"/>
    <w:rsid w:val="00143BE3"/>
    <w:rsid w:val="00143F56"/>
    <w:rsid w:val="00143FB4"/>
    <w:rsid w:val="001441D3"/>
    <w:rsid w:val="00144239"/>
    <w:rsid w:val="0014434B"/>
    <w:rsid w:val="0014437C"/>
    <w:rsid w:val="00144594"/>
    <w:rsid w:val="00144606"/>
    <w:rsid w:val="00144679"/>
    <w:rsid w:val="001448CC"/>
    <w:rsid w:val="00144970"/>
    <w:rsid w:val="00144B35"/>
    <w:rsid w:val="00144BC0"/>
    <w:rsid w:val="00144BDF"/>
    <w:rsid w:val="00144EA8"/>
    <w:rsid w:val="00144F97"/>
    <w:rsid w:val="00144FB0"/>
    <w:rsid w:val="0014506B"/>
    <w:rsid w:val="0014534F"/>
    <w:rsid w:val="001453B8"/>
    <w:rsid w:val="001454F8"/>
    <w:rsid w:val="001457BF"/>
    <w:rsid w:val="001457C2"/>
    <w:rsid w:val="00145878"/>
    <w:rsid w:val="00145A0F"/>
    <w:rsid w:val="00145C5F"/>
    <w:rsid w:val="00145C92"/>
    <w:rsid w:val="00145D7A"/>
    <w:rsid w:val="00145E64"/>
    <w:rsid w:val="00145EC9"/>
    <w:rsid w:val="00146028"/>
    <w:rsid w:val="00146084"/>
    <w:rsid w:val="00146311"/>
    <w:rsid w:val="00146507"/>
    <w:rsid w:val="00146594"/>
    <w:rsid w:val="001466C5"/>
    <w:rsid w:val="001466CF"/>
    <w:rsid w:val="001466D9"/>
    <w:rsid w:val="001467FD"/>
    <w:rsid w:val="001468D3"/>
    <w:rsid w:val="001469AE"/>
    <w:rsid w:val="00146B78"/>
    <w:rsid w:val="00146C65"/>
    <w:rsid w:val="00146E3A"/>
    <w:rsid w:val="00146F0D"/>
    <w:rsid w:val="0014703B"/>
    <w:rsid w:val="0014727F"/>
    <w:rsid w:val="001474CA"/>
    <w:rsid w:val="00147849"/>
    <w:rsid w:val="00147925"/>
    <w:rsid w:val="00147A75"/>
    <w:rsid w:val="00147AD4"/>
    <w:rsid w:val="00147AF2"/>
    <w:rsid w:val="00147B42"/>
    <w:rsid w:val="00147C9A"/>
    <w:rsid w:val="00147D82"/>
    <w:rsid w:val="00147E46"/>
    <w:rsid w:val="00147F25"/>
    <w:rsid w:val="00147FA5"/>
    <w:rsid w:val="0015017B"/>
    <w:rsid w:val="001501BB"/>
    <w:rsid w:val="0015031B"/>
    <w:rsid w:val="0015038F"/>
    <w:rsid w:val="001503F9"/>
    <w:rsid w:val="001504A6"/>
    <w:rsid w:val="001505AA"/>
    <w:rsid w:val="00150698"/>
    <w:rsid w:val="0015072C"/>
    <w:rsid w:val="0015076E"/>
    <w:rsid w:val="001509DD"/>
    <w:rsid w:val="00150A8F"/>
    <w:rsid w:val="00150B6D"/>
    <w:rsid w:val="00150BA2"/>
    <w:rsid w:val="00150D14"/>
    <w:rsid w:val="00150D23"/>
    <w:rsid w:val="00150DC7"/>
    <w:rsid w:val="00150E08"/>
    <w:rsid w:val="00150E5F"/>
    <w:rsid w:val="0015106D"/>
    <w:rsid w:val="001510EB"/>
    <w:rsid w:val="00151217"/>
    <w:rsid w:val="001512EB"/>
    <w:rsid w:val="00151417"/>
    <w:rsid w:val="001514D9"/>
    <w:rsid w:val="001514F6"/>
    <w:rsid w:val="00151523"/>
    <w:rsid w:val="0015155A"/>
    <w:rsid w:val="001515AA"/>
    <w:rsid w:val="00151637"/>
    <w:rsid w:val="001516E2"/>
    <w:rsid w:val="001517EC"/>
    <w:rsid w:val="001518B3"/>
    <w:rsid w:val="001518E5"/>
    <w:rsid w:val="00151A02"/>
    <w:rsid w:val="00151C6E"/>
    <w:rsid w:val="00151CA1"/>
    <w:rsid w:val="00151DD9"/>
    <w:rsid w:val="00151E6C"/>
    <w:rsid w:val="00151F72"/>
    <w:rsid w:val="00151FD7"/>
    <w:rsid w:val="00151FDB"/>
    <w:rsid w:val="0015202D"/>
    <w:rsid w:val="001522FF"/>
    <w:rsid w:val="00152335"/>
    <w:rsid w:val="0015236F"/>
    <w:rsid w:val="00152435"/>
    <w:rsid w:val="001524E3"/>
    <w:rsid w:val="001525AE"/>
    <w:rsid w:val="001525B7"/>
    <w:rsid w:val="001526DB"/>
    <w:rsid w:val="00152764"/>
    <w:rsid w:val="00152886"/>
    <w:rsid w:val="001528AC"/>
    <w:rsid w:val="001528E4"/>
    <w:rsid w:val="00152A80"/>
    <w:rsid w:val="00152D06"/>
    <w:rsid w:val="00152DBC"/>
    <w:rsid w:val="0015325E"/>
    <w:rsid w:val="0015376F"/>
    <w:rsid w:val="001537BC"/>
    <w:rsid w:val="00153883"/>
    <w:rsid w:val="001538E8"/>
    <w:rsid w:val="00153AB0"/>
    <w:rsid w:val="00153C13"/>
    <w:rsid w:val="00153CCA"/>
    <w:rsid w:val="00153D8D"/>
    <w:rsid w:val="00153DD8"/>
    <w:rsid w:val="00153DF5"/>
    <w:rsid w:val="00153E20"/>
    <w:rsid w:val="00153EDF"/>
    <w:rsid w:val="00153FE5"/>
    <w:rsid w:val="00154155"/>
    <w:rsid w:val="0015422F"/>
    <w:rsid w:val="00154272"/>
    <w:rsid w:val="001542E5"/>
    <w:rsid w:val="00154361"/>
    <w:rsid w:val="001546A8"/>
    <w:rsid w:val="001546AA"/>
    <w:rsid w:val="001546CA"/>
    <w:rsid w:val="0015473A"/>
    <w:rsid w:val="00154912"/>
    <w:rsid w:val="001549C0"/>
    <w:rsid w:val="00154A1C"/>
    <w:rsid w:val="00154DA9"/>
    <w:rsid w:val="00154E4C"/>
    <w:rsid w:val="00154FF3"/>
    <w:rsid w:val="001550A9"/>
    <w:rsid w:val="0015512D"/>
    <w:rsid w:val="0015521B"/>
    <w:rsid w:val="00155253"/>
    <w:rsid w:val="00155338"/>
    <w:rsid w:val="0015558B"/>
    <w:rsid w:val="001555F9"/>
    <w:rsid w:val="00155687"/>
    <w:rsid w:val="001556AF"/>
    <w:rsid w:val="001557BB"/>
    <w:rsid w:val="00155958"/>
    <w:rsid w:val="00155A0C"/>
    <w:rsid w:val="00155AF7"/>
    <w:rsid w:val="00155B87"/>
    <w:rsid w:val="00155C16"/>
    <w:rsid w:val="00155C4D"/>
    <w:rsid w:val="00155D49"/>
    <w:rsid w:val="00155D90"/>
    <w:rsid w:val="00155E14"/>
    <w:rsid w:val="00155ED9"/>
    <w:rsid w:val="00155F24"/>
    <w:rsid w:val="00155F42"/>
    <w:rsid w:val="0015620E"/>
    <w:rsid w:val="00156230"/>
    <w:rsid w:val="00156292"/>
    <w:rsid w:val="001562AC"/>
    <w:rsid w:val="001564BA"/>
    <w:rsid w:val="00156532"/>
    <w:rsid w:val="0015666F"/>
    <w:rsid w:val="00156758"/>
    <w:rsid w:val="001567E7"/>
    <w:rsid w:val="00156AB3"/>
    <w:rsid w:val="00156C4D"/>
    <w:rsid w:val="00156E3B"/>
    <w:rsid w:val="00156E55"/>
    <w:rsid w:val="00156E88"/>
    <w:rsid w:val="00156EBA"/>
    <w:rsid w:val="00156F96"/>
    <w:rsid w:val="0015703A"/>
    <w:rsid w:val="001570D2"/>
    <w:rsid w:val="00157133"/>
    <w:rsid w:val="00157634"/>
    <w:rsid w:val="00157665"/>
    <w:rsid w:val="0015773E"/>
    <w:rsid w:val="00157A7C"/>
    <w:rsid w:val="00157AA8"/>
    <w:rsid w:val="00157B62"/>
    <w:rsid w:val="00157BC7"/>
    <w:rsid w:val="00157C46"/>
    <w:rsid w:val="00157C73"/>
    <w:rsid w:val="00157D96"/>
    <w:rsid w:val="00157DA5"/>
    <w:rsid w:val="00157E48"/>
    <w:rsid w:val="00157E61"/>
    <w:rsid w:val="00157E9D"/>
    <w:rsid w:val="00160028"/>
    <w:rsid w:val="0016015C"/>
    <w:rsid w:val="001601A7"/>
    <w:rsid w:val="00160261"/>
    <w:rsid w:val="00160388"/>
    <w:rsid w:val="00160469"/>
    <w:rsid w:val="00160752"/>
    <w:rsid w:val="00160A93"/>
    <w:rsid w:val="00160B80"/>
    <w:rsid w:val="00160C83"/>
    <w:rsid w:val="00160CF1"/>
    <w:rsid w:val="00160E60"/>
    <w:rsid w:val="00160F21"/>
    <w:rsid w:val="00160FC4"/>
    <w:rsid w:val="00161019"/>
    <w:rsid w:val="0016101D"/>
    <w:rsid w:val="0016116D"/>
    <w:rsid w:val="00161517"/>
    <w:rsid w:val="001615DA"/>
    <w:rsid w:val="00161613"/>
    <w:rsid w:val="00161784"/>
    <w:rsid w:val="00161870"/>
    <w:rsid w:val="00161968"/>
    <w:rsid w:val="00161B5F"/>
    <w:rsid w:val="00161B7F"/>
    <w:rsid w:val="00161E33"/>
    <w:rsid w:val="00161E6F"/>
    <w:rsid w:val="00161E76"/>
    <w:rsid w:val="00161EC4"/>
    <w:rsid w:val="0016215A"/>
    <w:rsid w:val="00162383"/>
    <w:rsid w:val="001623CF"/>
    <w:rsid w:val="00162493"/>
    <w:rsid w:val="00162522"/>
    <w:rsid w:val="00162589"/>
    <w:rsid w:val="00162601"/>
    <w:rsid w:val="0016264B"/>
    <w:rsid w:val="00162752"/>
    <w:rsid w:val="00162898"/>
    <w:rsid w:val="00162946"/>
    <w:rsid w:val="00162BCA"/>
    <w:rsid w:val="00162DAE"/>
    <w:rsid w:val="00162E98"/>
    <w:rsid w:val="00162E9D"/>
    <w:rsid w:val="001630B2"/>
    <w:rsid w:val="00163126"/>
    <w:rsid w:val="00163220"/>
    <w:rsid w:val="00163229"/>
    <w:rsid w:val="0016327D"/>
    <w:rsid w:val="001632E0"/>
    <w:rsid w:val="001632E3"/>
    <w:rsid w:val="001633A8"/>
    <w:rsid w:val="001633EE"/>
    <w:rsid w:val="0016344D"/>
    <w:rsid w:val="001634CB"/>
    <w:rsid w:val="001636F8"/>
    <w:rsid w:val="0016385E"/>
    <w:rsid w:val="00163986"/>
    <w:rsid w:val="00163A15"/>
    <w:rsid w:val="00163A96"/>
    <w:rsid w:val="00163BDE"/>
    <w:rsid w:val="00163D45"/>
    <w:rsid w:val="00163D74"/>
    <w:rsid w:val="00163EBF"/>
    <w:rsid w:val="00164053"/>
    <w:rsid w:val="001640B1"/>
    <w:rsid w:val="00164307"/>
    <w:rsid w:val="001644CB"/>
    <w:rsid w:val="00164549"/>
    <w:rsid w:val="001645A1"/>
    <w:rsid w:val="001646C9"/>
    <w:rsid w:val="00164814"/>
    <w:rsid w:val="00164924"/>
    <w:rsid w:val="001649AE"/>
    <w:rsid w:val="00164C28"/>
    <w:rsid w:val="00164D63"/>
    <w:rsid w:val="00164EFC"/>
    <w:rsid w:val="00164F8C"/>
    <w:rsid w:val="00165112"/>
    <w:rsid w:val="001651E6"/>
    <w:rsid w:val="00165342"/>
    <w:rsid w:val="001653AD"/>
    <w:rsid w:val="001654DA"/>
    <w:rsid w:val="00165603"/>
    <w:rsid w:val="001656D8"/>
    <w:rsid w:val="001656F7"/>
    <w:rsid w:val="00165716"/>
    <w:rsid w:val="00165738"/>
    <w:rsid w:val="0016573B"/>
    <w:rsid w:val="0016597C"/>
    <w:rsid w:val="0016599F"/>
    <w:rsid w:val="00165AC0"/>
    <w:rsid w:val="00165F71"/>
    <w:rsid w:val="001664DE"/>
    <w:rsid w:val="001664E9"/>
    <w:rsid w:val="001664EA"/>
    <w:rsid w:val="00166794"/>
    <w:rsid w:val="00166808"/>
    <w:rsid w:val="001668D1"/>
    <w:rsid w:val="00166A9A"/>
    <w:rsid w:val="00166ACA"/>
    <w:rsid w:val="00166BA6"/>
    <w:rsid w:val="00166D6B"/>
    <w:rsid w:val="00166E6C"/>
    <w:rsid w:val="00166E81"/>
    <w:rsid w:val="00167195"/>
    <w:rsid w:val="001672A5"/>
    <w:rsid w:val="00167312"/>
    <w:rsid w:val="00167327"/>
    <w:rsid w:val="00167473"/>
    <w:rsid w:val="0016754F"/>
    <w:rsid w:val="00167568"/>
    <w:rsid w:val="001677BF"/>
    <w:rsid w:val="001677CC"/>
    <w:rsid w:val="00167844"/>
    <w:rsid w:val="00167858"/>
    <w:rsid w:val="0016785A"/>
    <w:rsid w:val="00167AB8"/>
    <w:rsid w:val="00167B94"/>
    <w:rsid w:val="00167E37"/>
    <w:rsid w:val="00167EB7"/>
    <w:rsid w:val="00167FA5"/>
    <w:rsid w:val="00167FC8"/>
    <w:rsid w:val="00170072"/>
    <w:rsid w:val="00170093"/>
    <w:rsid w:val="00170289"/>
    <w:rsid w:val="001702EF"/>
    <w:rsid w:val="00170472"/>
    <w:rsid w:val="00170742"/>
    <w:rsid w:val="00170773"/>
    <w:rsid w:val="00170949"/>
    <w:rsid w:val="0017095E"/>
    <w:rsid w:val="00170C1B"/>
    <w:rsid w:val="00170E22"/>
    <w:rsid w:val="00170E4D"/>
    <w:rsid w:val="00170EFC"/>
    <w:rsid w:val="00171024"/>
    <w:rsid w:val="001710C2"/>
    <w:rsid w:val="001710FC"/>
    <w:rsid w:val="0017111D"/>
    <w:rsid w:val="001711CC"/>
    <w:rsid w:val="00171232"/>
    <w:rsid w:val="00171378"/>
    <w:rsid w:val="0017140E"/>
    <w:rsid w:val="0017148F"/>
    <w:rsid w:val="00171490"/>
    <w:rsid w:val="001714D0"/>
    <w:rsid w:val="001714D3"/>
    <w:rsid w:val="001718AD"/>
    <w:rsid w:val="001718F0"/>
    <w:rsid w:val="00171C85"/>
    <w:rsid w:val="00171E89"/>
    <w:rsid w:val="00171FF2"/>
    <w:rsid w:val="00172077"/>
    <w:rsid w:val="00172108"/>
    <w:rsid w:val="00172206"/>
    <w:rsid w:val="0017222F"/>
    <w:rsid w:val="00172239"/>
    <w:rsid w:val="001722D1"/>
    <w:rsid w:val="001722FE"/>
    <w:rsid w:val="001723D2"/>
    <w:rsid w:val="0017242B"/>
    <w:rsid w:val="00172500"/>
    <w:rsid w:val="00172563"/>
    <w:rsid w:val="0017261D"/>
    <w:rsid w:val="0017266B"/>
    <w:rsid w:val="0017277B"/>
    <w:rsid w:val="001728D5"/>
    <w:rsid w:val="00172996"/>
    <w:rsid w:val="00172D75"/>
    <w:rsid w:val="00172DB1"/>
    <w:rsid w:val="00172DB7"/>
    <w:rsid w:val="00173023"/>
    <w:rsid w:val="0017331C"/>
    <w:rsid w:val="00173359"/>
    <w:rsid w:val="00173381"/>
    <w:rsid w:val="0017341C"/>
    <w:rsid w:val="00173478"/>
    <w:rsid w:val="001734A6"/>
    <w:rsid w:val="0017356A"/>
    <w:rsid w:val="001735FD"/>
    <w:rsid w:val="001738BF"/>
    <w:rsid w:val="00173A5C"/>
    <w:rsid w:val="00173B0C"/>
    <w:rsid w:val="00173B36"/>
    <w:rsid w:val="00173C88"/>
    <w:rsid w:val="00173CE9"/>
    <w:rsid w:val="00173D13"/>
    <w:rsid w:val="00173D31"/>
    <w:rsid w:val="00173E12"/>
    <w:rsid w:val="00173EA3"/>
    <w:rsid w:val="00173FF6"/>
    <w:rsid w:val="00174344"/>
    <w:rsid w:val="00174495"/>
    <w:rsid w:val="00174674"/>
    <w:rsid w:val="001746E9"/>
    <w:rsid w:val="00174910"/>
    <w:rsid w:val="00174965"/>
    <w:rsid w:val="00174AB3"/>
    <w:rsid w:val="00174DC4"/>
    <w:rsid w:val="00174DF5"/>
    <w:rsid w:val="00174F3A"/>
    <w:rsid w:val="00174FFA"/>
    <w:rsid w:val="00174FFE"/>
    <w:rsid w:val="00175028"/>
    <w:rsid w:val="00175071"/>
    <w:rsid w:val="001750D1"/>
    <w:rsid w:val="0017516F"/>
    <w:rsid w:val="0017522A"/>
    <w:rsid w:val="0017541D"/>
    <w:rsid w:val="001754A7"/>
    <w:rsid w:val="00175559"/>
    <w:rsid w:val="00175626"/>
    <w:rsid w:val="0017571C"/>
    <w:rsid w:val="00175727"/>
    <w:rsid w:val="00175754"/>
    <w:rsid w:val="00175823"/>
    <w:rsid w:val="0017586D"/>
    <w:rsid w:val="00175895"/>
    <w:rsid w:val="0017597A"/>
    <w:rsid w:val="001759F1"/>
    <w:rsid w:val="00175A94"/>
    <w:rsid w:val="00175C14"/>
    <w:rsid w:val="00175C29"/>
    <w:rsid w:val="00175DAF"/>
    <w:rsid w:val="00175E49"/>
    <w:rsid w:val="00176214"/>
    <w:rsid w:val="0017624D"/>
    <w:rsid w:val="001763CC"/>
    <w:rsid w:val="001764AF"/>
    <w:rsid w:val="0017657A"/>
    <w:rsid w:val="00176659"/>
    <w:rsid w:val="0017685E"/>
    <w:rsid w:val="001768FC"/>
    <w:rsid w:val="00176979"/>
    <w:rsid w:val="00176988"/>
    <w:rsid w:val="00176C30"/>
    <w:rsid w:val="00176D5B"/>
    <w:rsid w:val="00176DC0"/>
    <w:rsid w:val="00176E19"/>
    <w:rsid w:val="0017711E"/>
    <w:rsid w:val="0017714A"/>
    <w:rsid w:val="00177171"/>
    <w:rsid w:val="001771A7"/>
    <w:rsid w:val="0017736E"/>
    <w:rsid w:val="001774EB"/>
    <w:rsid w:val="00177666"/>
    <w:rsid w:val="001778D2"/>
    <w:rsid w:val="00177AC7"/>
    <w:rsid w:val="00177BDD"/>
    <w:rsid w:val="00177C95"/>
    <w:rsid w:val="0018010C"/>
    <w:rsid w:val="001801AF"/>
    <w:rsid w:val="001801E3"/>
    <w:rsid w:val="001803CD"/>
    <w:rsid w:val="00180414"/>
    <w:rsid w:val="00180484"/>
    <w:rsid w:val="00180552"/>
    <w:rsid w:val="00180A30"/>
    <w:rsid w:val="00180ABC"/>
    <w:rsid w:val="00180C56"/>
    <w:rsid w:val="00180C77"/>
    <w:rsid w:val="00180E7B"/>
    <w:rsid w:val="00180F76"/>
    <w:rsid w:val="001810D5"/>
    <w:rsid w:val="00181235"/>
    <w:rsid w:val="001812B0"/>
    <w:rsid w:val="001812C3"/>
    <w:rsid w:val="001812EC"/>
    <w:rsid w:val="0018130A"/>
    <w:rsid w:val="0018156D"/>
    <w:rsid w:val="00181648"/>
    <w:rsid w:val="00181737"/>
    <w:rsid w:val="001817C6"/>
    <w:rsid w:val="00181979"/>
    <w:rsid w:val="001819E8"/>
    <w:rsid w:val="001819EC"/>
    <w:rsid w:val="00181BAD"/>
    <w:rsid w:val="00181DDD"/>
    <w:rsid w:val="00181E21"/>
    <w:rsid w:val="001821D9"/>
    <w:rsid w:val="0018239A"/>
    <w:rsid w:val="001825D4"/>
    <w:rsid w:val="00182614"/>
    <w:rsid w:val="00182694"/>
    <w:rsid w:val="00182774"/>
    <w:rsid w:val="00182799"/>
    <w:rsid w:val="001827AA"/>
    <w:rsid w:val="001827F7"/>
    <w:rsid w:val="00182831"/>
    <w:rsid w:val="001829BF"/>
    <w:rsid w:val="00182A1E"/>
    <w:rsid w:val="00182A72"/>
    <w:rsid w:val="00182ADE"/>
    <w:rsid w:val="00182BC2"/>
    <w:rsid w:val="00182C40"/>
    <w:rsid w:val="00182D1D"/>
    <w:rsid w:val="00182D3C"/>
    <w:rsid w:val="00182E1E"/>
    <w:rsid w:val="00182EBC"/>
    <w:rsid w:val="00182EE2"/>
    <w:rsid w:val="00183003"/>
    <w:rsid w:val="001830B5"/>
    <w:rsid w:val="00183563"/>
    <w:rsid w:val="0018393F"/>
    <w:rsid w:val="00183959"/>
    <w:rsid w:val="0018397C"/>
    <w:rsid w:val="00183989"/>
    <w:rsid w:val="00183A10"/>
    <w:rsid w:val="00183AD5"/>
    <w:rsid w:val="00183BCF"/>
    <w:rsid w:val="00183C0E"/>
    <w:rsid w:val="00183D99"/>
    <w:rsid w:val="0018406C"/>
    <w:rsid w:val="0018431A"/>
    <w:rsid w:val="0018435B"/>
    <w:rsid w:val="0018437B"/>
    <w:rsid w:val="00184545"/>
    <w:rsid w:val="00184584"/>
    <w:rsid w:val="001845D1"/>
    <w:rsid w:val="001849E5"/>
    <w:rsid w:val="00184BB7"/>
    <w:rsid w:val="00184C3E"/>
    <w:rsid w:val="00184D37"/>
    <w:rsid w:val="00184E13"/>
    <w:rsid w:val="00184E35"/>
    <w:rsid w:val="00184ECF"/>
    <w:rsid w:val="00184F33"/>
    <w:rsid w:val="00184F5C"/>
    <w:rsid w:val="0018503C"/>
    <w:rsid w:val="0018509E"/>
    <w:rsid w:val="001851D4"/>
    <w:rsid w:val="0018522F"/>
    <w:rsid w:val="0018528E"/>
    <w:rsid w:val="00185357"/>
    <w:rsid w:val="001853D4"/>
    <w:rsid w:val="0018542E"/>
    <w:rsid w:val="001855D1"/>
    <w:rsid w:val="0018569E"/>
    <w:rsid w:val="0018583D"/>
    <w:rsid w:val="00185A0F"/>
    <w:rsid w:val="00185A26"/>
    <w:rsid w:val="00185A2E"/>
    <w:rsid w:val="00185CE8"/>
    <w:rsid w:val="00185D1E"/>
    <w:rsid w:val="00185D41"/>
    <w:rsid w:val="00185DE1"/>
    <w:rsid w:val="00185FF5"/>
    <w:rsid w:val="00186038"/>
    <w:rsid w:val="00186089"/>
    <w:rsid w:val="0018610D"/>
    <w:rsid w:val="001861A0"/>
    <w:rsid w:val="001861E6"/>
    <w:rsid w:val="001864BB"/>
    <w:rsid w:val="00186503"/>
    <w:rsid w:val="001865BE"/>
    <w:rsid w:val="00186635"/>
    <w:rsid w:val="001867D4"/>
    <w:rsid w:val="00186976"/>
    <w:rsid w:val="00186BD1"/>
    <w:rsid w:val="00186D1B"/>
    <w:rsid w:val="00186D36"/>
    <w:rsid w:val="001873A7"/>
    <w:rsid w:val="0018756F"/>
    <w:rsid w:val="001875FA"/>
    <w:rsid w:val="00187643"/>
    <w:rsid w:val="001876FE"/>
    <w:rsid w:val="001877AE"/>
    <w:rsid w:val="00187860"/>
    <w:rsid w:val="001878CE"/>
    <w:rsid w:val="00187AE5"/>
    <w:rsid w:val="00187F42"/>
    <w:rsid w:val="00187F7A"/>
    <w:rsid w:val="00187FB6"/>
    <w:rsid w:val="001900A2"/>
    <w:rsid w:val="00190161"/>
    <w:rsid w:val="00190190"/>
    <w:rsid w:val="00190204"/>
    <w:rsid w:val="0019021A"/>
    <w:rsid w:val="0019028D"/>
    <w:rsid w:val="00190294"/>
    <w:rsid w:val="001903C6"/>
    <w:rsid w:val="0019042B"/>
    <w:rsid w:val="00190454"/>
    <w:rsid w:val="00190685"/>
    <w:rsid w:val="001907A3"/>
    <w:rsid w:val="001908A6"/>
    <w:rsid w:val="00190943"/>
    <w:rsid w:val="0019099F"/>
    <w:rsid w:val="001909ED"/>
    <w:rsid w:val="00190A17"/>
    <w:rsid w:val="00190AD5"/>
    <w:rsid w:val="00190C2D"/>
    <w:rsid w:val="00190C38"/>
    <w:rsid w:val="00190D38"/>
    <w:rsid w:val="00190E13"/>
    <w:rsid w:val="00190E4F"/>
    <w:rsid w:val="00191009"/>
    <w:rsid w:val="00191086"/>
    <w:rsid w:val="0019110E"/>
    <w:rsid w:val="001913B1"/>
    <w:rsid w:val="00191447"/>
    <w:rsid w:val="001915DC"/>
    <w:rsid w:val="001916C9"/>
    <w:rsid w:val="00191850"/>
    <w:rsid w:val="001918F2"/>
    <w:rsid w:val="0019193A"/>
    <w:rsid w:val="001919F4"/>
    <w:rsid w:val="00191A73"/>
    <w:rsid w:val="00191C92"/>
    <w:rsid w:val="00191EB0"/>
    <w:rsid w:val="00191EF2"/>
    <w:rsid w:val="00191F59"/>
    <w:rsid w:val="00191F5F"/>
    <w:rsid w:val="00191F9B"/>
    <w:rsid w:val="00191FA0"/>
    <w:rsid w:val="00191FFF"/>
    <w:rsid w:val="00192015"/>
    <w:rsid w:val="0019208D"/>
    <w:rsid w:val="001920E7"/>
    <w:rsid w:val="00192125"/>
    <w:rsid w:val="00192153"/>
    <w:rsid w:val="0019251D"/>
    <w:rsid w:val="001926EC"/>
    <w:rsid w:val="001928A9"/>
    <w:rsid w:val="00192914"/>
    <w:rsid w:val="00192965"/>
    <w:rsid w:val="001929A7"/>
    <w:rsid w:val="00192B0D"/>
    <w:rsid w:val="00192B9B"/>
    <w:rsid w:val="00192BEC"/>
    <w:rsid w:val="00192C85"/>
    <w:rsid w:val="00192DFF"/>
    <w:rsid w:val="00192E07"/>
    <w:rsid w:val="00192E54"/>
    <w:rsid w:val="00192E88"/>
    <w:rsid w:val="00192EB0"/>
    <w:rsid w:val="00192EF4"/>
    <w:rsid w:val="001930C6"/>
    <w:rsid w:val="00193125"/>
    <w:rsid w:val="001932CA"/>
    <w:rsid w:val="001932E7"/>
    <w:rsid w:val="0019335C"/>
    <w:rsid w:val="001933F4"/>
    <w:rsid w:val="00193449"/>
    <w:rsid w:val="00193487"/>
    <w:rsid w:val="001934D2"/>
    <w:rsid w:val="001934E5"/>
    <w:rsid w:val="00193600"/>
    <w:rsid w:val="0019378D"/>
    <w:rsid w:val="001938BF"/>
    <w:rsid w:val="00193A13"/>
    <w:rsid w:val="00193A2F"/>
    <w:rsid w:val="00193BB1"/>
    <w:rsid w:val="00193BCA"/>
    <w:rsid w:val="00193D36"/>
    <w:rsid w:val="00193D91"/>
    <w:rsid w:val="0019407E"/>
    <w:rsid w:val="001940FE"/>
    <w:rsid w:val="001944FB"/>
    <w:rsid w:val="00194532"/>
    <w:rsid w:val="00194552"/>
    <w:rsid w:val="001946CB"/>
    <w:rsid w:val="00194763"/>
    <w:rsid w:val="00194838"/>
    <w:rsid w:val="00194A6B"/>
    <w:rsid w:val="00194AE1"/>
    <w:rsid w:val="00194B37"/>
    <w:rsid w:val="00194BCB"/>
    <w:rsid w:val="00194F67"/>
    <w:rsid w:val="00194FD4"/>
    <w:rsid w:val="001950A4"/>
    <w:rsid w:val="001950E6"/>
    <w:rsid w:val="00195155"/>
    <w:rsid w:val="001951BF"/>
    <w:rsid w:val="0019530A"/>
    <w:rsid w:val="00195544"/>
    <w:rsid w:val="0019559E"/>
    <w:rsid w:val="0019560E"/>
    <w:rsid w:val="0019564B"/>
    <w:rsid w:val="00195808"/>
    <w:rsid w:val="001958C6"/>
    <w:rsid w:val="00195A18"/>
    <w:rsid w:val="00195AAF"/>
    <w:rsid w:val="00195B8C"/>
    <w:rsid w:val="00195D2F"/>
    <w:rsid w:val="00195F0A"/>
    <w:rsid w:val="00195FC2"/>
    <w:rsid w:val="00196317"/>
    <w:rsid w:val="001963EE"/>
    <w:rsid w:val="00196463"/>
    <w:rsid w:val="001964AA"/>
    <w:rsid w:val="00196651"/>
    <w:rsid w:val="001966B2"/>
    <w:rsid w:val="001967AA"/>
    <w:rsid w:val="00196AF4"/>
    <w:rsid w:val="00196B1E"/>
    <w:rsid w:val="00196B71"/>
    <w:rsid w:val="00196BAC"/>
    <w:rsid w:val="00196BAE"/>
    <w:rsid w:val="00196DBF"/>
    <w:rsid w:val="00196E1F"/>
    <w:rsid w:val="00196F25"/>
    <w:rsid w:val="00196F39"/>
    <w:rsid w:val="00197081"/>
    <w:rsid w:val="001970A6"/>
    <w:rsid w:val="001970A7"/>
    <w:rsid w:val="001970B7"/>
    <w:rsid w:val="00197153"/>
    <w:rsid w:val="0019715E"/>
    <w:rsid w:val="0019724F"/>
    <w:rsid w:val="001973F6"/>
    <w:rsid w:val="001977D4"/>
    <w:rsid w:val="001978E1"/>
    <w:rsid w:val="001978FE"/>
    <w:rsid w:val="00197BCA"/>
    <w:rsid w:val="00197BCE"/>
    <w:rsid w:val="00197C85"/>
    <w:rsid w:val="00197DAD"/>
    <w:rsid w:val="00197E39"/>
    <w:rsid w:val="00197E7A"/>
    <w:rsid w:val="00197E80"/>
    <w:rsid w:val="00197EB3"/>
    <w:rsid w:val="00197EE5"/>
    <w:rsid w:val="00197F6F"/>
    <w:rsid w:val="001A0253"/>
    <w:rsid w:val="001A02B6"/>
    <w:rsid w:val="001A02D2"/>
    <w:rsid w:val="001A0634"/>
    <w:rsid w:val="001A07B7"/>
    <w:rsid w:val="001A0925"/>
    <w:rsid w:val="001A0965"/>
    <w:rsid w:val="001A09C1"/>
    <w:rsid w:val="001A0E5E"/>
    <w:rsid w:val="001A0E8A"/>
    <w:rsid w:val="001A10AE"/>
    <w:rsid w:val="001A11EB"/>
    <w:rsid w:val="001A121D"/>
    <w:rsid w:val="001A12A0"/>
    <w:rsid w:val="001A12FE"/>
    <w:rsid w:val="001A173D"/>
    <w:rsid w:val="001A1834"/>
    <w:rsid w:val="001A19A2"/>
    <w:rsid w:val="001A19BF"/>
    <w:rsid w:val="001A1A42"/>
    <w:rsid w:val="001A1D16"/>
    <w:rsid w:val="001A1E4B"/>
    <w:rsid w:val="001A1FB7"/>
    <w:rsid w:val="001A2003"/>
    <w:rsid w:val="001A2037"/>
    <w:rsid w:val="001A2082"/>
    <w:rsid w:val="001A208F"/>
    <w:rsid w:val="001A20AB"/>
    <w:rsid w:val="001A22D2"/>
    <w:rsid w:val="001A231C"/>
    <w:rsid w:val="001A2900"/>
    <w:rsid w:val="001A2A2E"/>
    <w:rsid w:val="001A2A3B"/>
    <w:rsid w:val="001A2B98"/>
    <w:rsid w:val="001A2BCF"/>
    <w:rsid w:val="001A2CFB"/>
    <w:rsid w:val="001A2EAB"/>
    <w:rsid w:val="001A2F2D"/>
    <w:rsid w:val="001A2F2E"/>
    <w:rsid w:val="001A31DE"/>
    <w:rsid w:val="001A327E"/>
    <w:rsid w:val="001A3289"/>
    <w:rsid w:val="001A335F"/>
    <w:rsid w:val="001A33B6"/>
    <w:rsid w:val="001A33E5"/>
    <w:rsid w:val="001A34C6"/>
    <w:rsid w:val="001A34E5"/>
    <w:rsid w:val="001A362E"/>
    <w:rsid w:val="001A3632"/>
    <w:rsid w:val="001A371C"/>
    <w:rsid w:val="001A37EC"/>
    <w:rsid w:val="001A3828"/>
    <w:rsid w:val="001A3BB0"/>
    <w:rsid w:val="001A3D0C"/>
    <w:rsid w:val="001A3DEF"/>
    <w:rsid w:val="001A3E71"/>
    <w:rsid w:val="001A3EA8"/>
    <w:rsid w:val="001A3EAE"/>
    <w:rsid w:val="001A3FB8"/>
    <w:rsid w:val="001A4017"/>
    <w:rsid w:val="001A402D"/>
    <w:rsid w:val="001A4056"/>
    <w:rsid w:val="001A42C9"/>
    <w:rsid w:val="001A43C1"/>
    <w:rsid w:val="001A44BA"/>
    <w:rsid w:val="001A4684"/>
    <w:rsid w:val="001A4785"/>
    <w:rsid w:val="001A47B1"/>
    <w:rsid w:val="001A4843"/>
    <w:rsid w:val="001A4943"/>
    <w:rsid w:val="001A4B1D"/>
    <w:rsid w:val="001A4BE0"/>
    <w:rsid w:val="001A4E12"/>
    <w:rsid w:val="001A4E2C"/>
    <w:rsid w:val="001A4E35"/>
    <w:rsid w:val="001A4E52"/>
    <w:rsid w:val="001A4F0B"/>
    <w:rsid w:val="001A4F7B"/>
    <w:rsid w:val="001A513C"/>
    <w:rsid w:val="001A5237"/>
    <w:rsid w:val="001A5367"/>
    <w:rsid w:val="001A567A"/>
    <w:rsid w:val="001A5740"/>
    <w:rsid w:val="001A57F7"/>
    <w:rsid w:val="001A5948"/>
    <w:rsid w:val="001A5A0B"/>
    <w:rsid w:val="001A5A93"/>
    <w:rsid w:val="001A5B4B"/>
    <w:rsid w:val="001A5BBD"/>
    <w:rsid w:val="001A5CF5"/>
    <w:rsid w:val="001A5D98"/>
    <w:rsid w:val="001A5E53"/>
    <w:rsid w:val="001A5F77"/>
    <w:rsid w:val="001A6279"/>
    <w:rsid w:val="001A6507"/>
    <w:rsid w:val="001A6636"/>
    <w:rsid w:val="001A67CD"/>
    <w:rsid w:val="001A692B"/>
    <w:rsid w:val="001A6AB5"/>
    <w:rsid w:val="001A6AFE"/>
    <w:rsid w:val="001A6B63"/>
    <w:rsid w:val="001A6C1F"/>
    <w:rsid w:val="001A6E46"/>
    <w:rsid w:val="001A6E8A"/>
    <w:rsid w:val="001A6EEA"/>
    <w:rsid w:val="001A7006"/>
    <w:rsid w:val="001A70DA"/>
    <w:rsid w:val="001A7461"/>
    <w:rsid w:val="001A74F6"/>
    <w:rsid w:val="001A755B"/>
    <w:rsid w:val="001A75DA"/>
    <w:rsid w:val="001A7880"/>
    <w:rsid w:val="001A78A7"/>
    <w:rsid w:val="001A7951"/>
    <w:rsid w:val="001A7A40"/>
    <w:rsid w:val="001A7A44"/>
    <w:rsid w:val="001A7B79"/>
    <w:rsid w:val="001A7C14"/>
    <w:rsid w:val="001A7C16"/>
    <w:rsid w:val="001A7CD7"/>
    <w:rsid w:val="001A7E5A"/>
    <w:rsid w:val="001A7F10"/>
    <w:rsid w:val="001A7FBA"/>
    <w:rsid w:val="001B0092"/>
    <w:rsid w:val="001B0309"/>
    <w:rsid w:val="001B03CD"/>
    <w:rsid w:val="001B0567"/>
    <w:rsid w:val="001B083B"/>
    <w:rsid w:val="001B0A04"/>
    <w:rsid w:val="001B0AD2"/>
    <w:rsid w:val="001B0BF6"/>
    <w:rsid w:val="001B0C72"/>
    <w:rsid w:val="001B0D35"/>
    <w:rsid w:val="001B0D3A"/>
    <w:rsid w:val="001B0E22"/>
    <w:rsid w:val="001B0E32"/>
    <w:rsid w:val="001B0E99"/>
    <w:rsid w:val="001B0F99"/>
    <w:rsid w:val="001B1148"/>
    <w:rsid w:val="001B16C0"/>
    <w:rsid w:val="001B17F4"/>
    <w:rsid w:val="001B18A4"/>
    <w:rsid w:val="001B1B16"/>
    <w:rsid w:val="001B1B5C"/>
    <w:rsid w:val="001B1D21"/>
    <w:rsid w:val="001B1D28"/>
    <w:rsid w:val="001B1D4A"/>
    <w:rsid w:val="001B1D59"/>
    <w:rsid w:val="001B1E04"/>
    <w:rsid w:val="001B1E43"/>
    <w:rsid w:val="001B2000"/>
    <w:rsid w:val="001B2198"/>
    <w:rsid w:val="001B227A"/>
    <w:rsid w:val="001B2281"/>
    <w:rsid w:val="001B22BE"/>
    <w:rsid w:val="001B22F7"/>
    <w:rsid w:val="001B22FF"/>
    <w:rsid w:val="001B25DA"/>
    <w:rsid w:val="001B261E"/>
    <w:rsid w:val="001B2637"/>
    <w:rsid w:val="001B2776"/>
    <w:rsid w:val="001B27D0"/>
    <w:rsid w:val="001B28A1"/>
    <w:rsid w:val="001B28E8"/>
    <w:rsid w:val="001B2930"/>
    <w:rsid w:val="001B29B3"/>
    <w:rsid w:val="001B29DC"/>
    <w:rsid w:val="001B2A22"/>
    <w:rsid w:val="001B2BE5"/>
    <w:rsid w:val="001B2C0A"/>
    <w:rsid w:val="001B2DFC"/>
    <w:rsid w:val="001B2EE8"/>
    <w:rsid w:val="001B2FFB"/>
    <w:rsid w:val="001B3001"/>
    <w:rsid w:val="001B3149"/>
    <w:rsid w:val="001B31FE"/>
    <w:rsid w:val="001B3293"/>
    <w:rsid w:val="001B32B1"/>
    <w:rsid w:val="001B33C7"/>
    <w:rsid w:val="001B35AE"/>
    <w:rsid w:val="001B360E"/>
    <w:rsid w:val="001B3905"/>
    <w:rsid w:val="001B3B60"/>
    <w:rsid w:val="001B3D07"/>
    <w:rsid w:val="001B3D2B"/>
    <w:rsid w:val="001B3E7D"/>
    <w:rsid w:val="001B3EB7"/>
    <w:rsid w:val="001B3F1E"/>
    <w:rsid w:val="001B407D"/>
    <w:rsid w:val="001B40F2"/>
    <w:rsid w:val="001B42E3"/>
    <w:rsid w:val="001B433B"/>
    <w:rsid w:val="001B44BD"/>
    <w:rsid w:val="001B44C7"/>
    <w:rsid w:val="001B44E8"/>
    <w:rsid w:val="001B4638"/>
    <w:rsid w:val="001B464F"/>
    <w:rsid w:val="001B468A"/>
    <w:rsid w:val="001B46A4"/>
    <w:rsid w:val="001B47C4"/>
    <w:rsid w:val="001B47DF"/>
    <w:rsid w:val="001B4845"/>
    <w:rsid w:val="001B4849"/>
    <w:rsid w:val="001B484B"/>
    <w:rsid w:val="001B4A84"/>
    <w:rsid w:val="001B4B67"/>
    <w:rsid w:val="001B4C06"/>
    <w:rsid w:val="001B4C5D"/>
    <w:rsid w:val="001B4C60"/>
    <w:rsid w:val="001B4DB3"/>
    <w:rsid w:val="001B4F39"/>
    <w:rsid w:val="001B4F8A"/>
    <w:rsid w:val="001B4FBC"/>
    <w:rsid w:val="001B5078"/>
    <w:rsid w:val="001B5133"/>
    <w:rsid w:val="001B51A2"/>
    <w:rsid w:val="001B5285"/>
    <w:rsid w:val="001B5316"/>
    <w:rsid w:val="001B5446"/>
    <w:rsid w:val="001B54BB"/>
    <w:rsid w:val="001B54C6"/>
    <w:rsid w:val="001B58B3"/>
    <w:rsid w:val="001B5DB3"/>
    <w:rsid w:val="001B5E03"/>
    <w:rsid w:val="001B5F66"/>
    <w:rsid w:val="001B601A"/>
    <w:rsid w:val="001B606E"/>
    <w:rsid w:val="001B61C8"/>
    <w:rsid w:val="001B6209"/>
    <w:rsid w:val="001B628C"/>
    <w:rsid w:val="001B6599"/>
    <w:rsid w:val="001B6623"/>
    <w:rsid w:val="001B666D"/>
    <w:rsid w:val="001B679E"/>
    <w:rsid w:val="001B6805"/>
    <w:rsid w:val="001B69AF"/>
    <w:rsid w:val="001B6A7C"/>
    <w:rsid w:val="001B6D11"/>
    <w:rsid w:val="001B6D33"/>
    <w:rsid w:val="001B6DBF"/>
    <w:rsid w:val="001B6F1E"/>
    <w:rsid w:val="001B6FAF"/>
    <w:rsid w:val="001B701F"/>
    <w:rsid w:val="001B71FF"/>
    <w:rsid w:val="001B7225"/>
    <w:rsid w:val="001B72E2"/>
    <w:rsid w:val="001B73E4"/>
    <w:rsid w:val="001B748A"/>
    <w:rsid w:val="001B764D"/>
    <w:rsid w:val="001B76C3"/>
    <w:rsid w:val="001B76FF"/>
    <w:rsid w:val="001B77AA"/>
    <w:rsid w:val="001B7937"/>
    <w:rsid w:val="001B79CD"/>
    <w:rsid w:val="001B79E7"/>
    <w:rsid w:val="001B7D8D"/>
    <w:rsid w:val="001B7D9B"/>
    <w:rsid w:val="001B7DE4"/>
    <w:rsid w:val="001C0027"/>
    <w:rsid w:val="001C0096"/>
    <w:rsid w:val="001C009C"/>
    <w:rsid w:val="001C010B"/>
    <w:rsid w:val="001C026B"/>
    <w:rsid w:val="001C042C"/>
    <w:rsid w:val="001C052A"/>
    <w:rsid w:val="001C0614"/>
    <w:rsid w:val="001C070D"/>
    <w:rsid w:val="001C08F7"/>
    <w:rsid w:val="001C0B32"/>
    <w:rsid w:val="001C0CCE"/>
    <w:rsid w:val="001C0EB3"/>
    <w:rsid w:val="001C132B"/>
    <w:rsid w:val="001C13B0"/>
    <w:rsid w:val="001C1449"/>
    <w:rsid w:val="001C144D"/>
    <w:rsid w:val="001C148B"/>
    <w:rsid w:val="001C151A"/>
    <w:rsid w:val="001C17BE"/>
    <w:rsid w:val="001C19CC"/>
    <w:rsid w:val="001C1A0F"/>
    <w:rsid w:val="001C1BD0"/>
    <w:rsid w:val="001C1C01"/>
    <w:rsid w:val="001C1D4A"/>
    <w:rsid w:val="001C1E3F"/>
    <w:rsid w:val="001C203A"/>
    <w:rsid w:val="001C208D"/>
    <w:rsid w:val="001C20F7"/>
    <w:rsid w:val="001C2229"/>
    <w:rsid w:val="001C23B1"/>
    <w:rsid w:val="001C24CE"/>
    <w:rsid w:val="001C2572"/>
    <w:rsid w:val="001C25EA"/>
    <w:rsid w:val="001C2609"/>
    <w:rsid w:val="001C279D"/>
    <w:rsid w:val="001C27B5"/>
    <w:rsid w:val="001C290D"/>
    <w:rsid w:val="001C2B2A"/>
    <w:rsid w:val="001C2C04"/>
    <w:rsid w:val="001C2C24"/>
    <w:rsid w:val="001C2D4C"/>
    <w:rsid w:val="001C2E8D"/>
    <w:rsid w:val="001C2EA0"/>
    <w:rsid w:val="001C2EE4"/>
    <w:rsid w:val="001C2F1A"/>
    <w:rsid w:val="001C302A"/>
    <w:rsid w:val="001C312E"/>
    <w:rsid w:val="001C318E"/>
    <w:rsid w:val="001C337D"/>
    <w:rsid w:val="001C3412"/>
    <w:rsid w:val="001C358C"/>
    <w:rsid w:val="001C362B"/>
    <w:rsid w:val="001C36A8"/>
    <w:rsid w:val="001C37AD"/>
    <w:rsid w:val="001C37F4"/>
    <w:rsid w:val="001C37FF"/>
    <w:rsid w:val="001C386F"/>
    <w:rsid w:val="001C38D0"/>
    <w:rsid w:val="001C3995"/>
    <w:rsid w:val="001C3A9A"/>
    <w:rsid w:val="001C3B07"/>
    <w:rsid w:val="001C3C34"/>
    <w:rsid w:val="001C3D0C"/>
    <w:rsid w:val="001C3DBF"/>
    <w:rsid w:val="001C3E49"/>
    <w:rsid w:val="001C3EBD"/>
    <w:rsid w:val="001C3ECE"/>
    <w:rsid w:val="001C404D"/>
    <w:rsid w:val="001C4130"/>
    <w:rsid w:val="001C4162"/>
    <w:rsid w:val="001C425F"/>
    <w:rsid w:val="001C426E"/>
    <w:rsid w:val="001C4290"/>
    <w:rsid w:val="001C4319"/>
    <w:rsid w:val="001C43E8"/>
    <w:rsid w:val="001C459E"/>
    <w:rsid w:val="001C45DD"/>
    <w:rsid w:val="001C475B"/>
    <w:rsid w:val="001C4955"/>
    <w:rsid w:val="001C4968"/>
    <w:rsid w:val="001C4A7F"/>
    <w:rsid w:val="001C4B27"/>
    <w:rsid w:val="001C4B74"/>
    <w:rsid w:val="001C4BB4"/>
    <w:rsid w:val="001C4E0A"/>
    <w:rsid w:val="001C4F0E"/>
    <w:rsid w:val="001C4F8F"/>
    <w:rsid w:val="001C50B1"/>
    <w:rsid w:val="001C52D1"/>
    <w:rsid w:val="001C55C0"/>
    <w:rsid w:val="001C55F6"/>
    <w:rsid w:val="001C591C"/>
    <w:rsid w:val="001C5AC5"/>
    <w:rsid w:val="001C5B15"/>
    <w:rsid w:val="001C5BE4"/>
    <w:rsid w:val="001C5C2A"/>
    <w:rsid w:val="001C5CA8"/>
    <w:rsid w:val="001C5E62"/>
    <w:rsid w:val="001C5E6E"/>
    <w:rsid w:val="001C5FF4"/>
    <w:rsid w:val="001C607F"/>
    <w:rsid w:val="001C60CA"/>
    <w:rsid w:val="001C61B1"/>
    <w:rsid w:val="001C6283"/>
    <w:rsid w:val="001C63FC"/>
    <w:rsid w:val="001C6469"/>
    <w:rsid w:val="001C6530"/>
    <w:rsid w:val="001C654D"/>
    <w:rsid w:val="001C66EB"/>
    <w:rsid w:val="001C677F"/>
    <w:rsid w:val="001C6780"/>
    <w:rsid w:val="001C6895"/>
    <w:rsid w:val="001C6953"/>
    <w:rsid w:val="001C69CD"/>
    <w:rsid w:val="001C6B37"/>
    <w:rsid w:val="001C6B64"/>
    <w:rsid w:val="001C6EC7"/>
    <w:rsid w:val="001C7030"/>
    <w:rsid w:val="001C7099"/>
    <w:rsid w:val="001C7192"/>
    <w:rsid w:val="001C7427"/>
    <w:rsid w:val="001C742F"/>
    <w:rsid w:val="001C74A1"/>
    <w:rsid w:val="001C75BC"/>
    <w:rsid w:val="001C77C2"/>
    <w:rsid w:val="001C77EC"/>
    <w:rsid w:val="001C7909"/>
    <w:rsid w:val="001C79A7"/>
    <w:rsid w:val="001C79DD"/>
    <w:rsid w:val="001C7A12"/>
    <w:rsid w:val="001C7BA0"/>
    <w:rsid w:val="001C7D5F"/>
    <w:rsid w:val="001C7DEC"/>
    <w:rsid w:val="001C7DF8"/>
    <w:rsid w:val="001C7F25"/>
    <w:rsid w:val="001C7F63"/>
    <w:rsid w:val="001C7FD5"/>
    <w:rsid w:val="001C7FE9"/>
    <w:rsid w:val="001D008C"/>
    <w:rsid w:val="001D02D4"/>
    <w:rsid w:val="001D03B1"/>
    <w:rsid w:val="001D04D8"/>
    <w:rsid w:val="001D061C"/>
    <w:rsid w:val="001D0641"/>
    <w:rsid w:val="001D06E6"/>
    <w:rsid w:val="001D08B4"/>
    <w:rsid w:val="001D0A98"/>
    <w:rsid w:val="001D0BAB"/>
    <w:rsid w:val="001D0DCC"/>
    <w:rsid w:val="001D0E99"/>
    <w:rsid w:val="001D0F38"/>
    <w:rsid w:val="001D0FA5"/>
    <w:rsid w:val="001D10B3"/>
    <w:rsid w:val="001D124A"/>
    <w:rsid w:val="001D1252"/>
    <w:rsid w:val="001D12F4"/>
    <w:rsid w:val="001D13CB"/>
    <w:rsid w:val="001D162E"/>
    <w:rsid w:val="001D170F"/>
    <w:rsid w:val="001D18AB"/>
    <w:rsid w:val="001D1B7E"/>
    <w:rsid w:val="001D1C65"/>
    <w:rsid w:val="001D1C9C"/>
    <w:rsid w:val="001D1CD1"/>
    <w:rsid w:val="001D1EE9"/>
    <w:rsid w:val="001D1F23"/>
    <w:rsid w:val="001D20A1"/>
    <w:rsid w:val="001D20BD"/>
    <w:rsid w:val="001D2161"/>
    <w:rsid w:val="001D2168"/>
    <w:rsid w:val="001D225B"/>
    <w:rsid w:val="001D22F8"/>
    <w:rsid w:val="001D2470"/>
    <w:rsid w:val="001D259E"/>
    <w:rsid w:val="001D29A0"/>
    <w:rsid w:val="001D2ACD"/>
    <w:rsid w:val="001D2B50"/>
    <w:rsid w:val="001D2B76"/>
    <w:rsid w:val="001D2C09"/>
    <w:rsid w:val="001D2E50"/>
    <w:rsid w:val="001D2F2B"/>
    <w:rsid w:val="001D2F9B"/>
    <w:rsid w:val="001D3192"/>
    <w:rsid w:val="001D3612"/>
    <w:rsid w:val="001D3640"/>
    <w:rsid w:val="001D364A"/>
    <w:rsid w:val="001D370A"/>
    <w:rsid w:val="001D37B2"/>
    <w:rsid w:val="001D3870"/>
    <w:rsid w:val="001D390E"/>
    <w:rsid w:val="001D3E27"/>
    <w:rsid w:val="001D3F88"/>
    <w:rsid w:val="001D40BD"/>
    <w:rsid w:val="001D4117"/>
    <w:rsid w:val="001D414F"/>
    <w:rsid w:val="001D42F0"/>
    <w:rsid w:val="001D437D"/>
    <w:rsid w:val="001D45FA"/>
    <w:rsid w:val="001D4647"/>
    <w:rsid w:val="001D46E4"/>
    <w:rsid w:val="001D4725"/>
    <w:rsid w:val="001D4840"/>
    <w:rsid w:val="001D4920"/>
    <w:rsid w:val="001D4A95"/>
    <w:rsid w:val="001D4AB6"/>
    <w:rsid w:val="001D4C99"/>
    <w:rsid w:val="001D4F80"/>
    <w:rsid w:val="001D50A7"/>
    <w:rsid w:val="001D51C7"/>
    <w:rsid w:val="001D5274"/>
    <w:rsid w:val="001D54DD"/>
    <w:rsid w:val="001D5646"/>
    <w:rsid w:val="001D56BF"/>
    <w:rsid w:val="001D5A3A"/>
    <w:rsid w:val="001D5C69"/>
    <w:rsid w:val="001D5CC0"/>
    <w:rsid w:val="001D5ECE"/>
    <w:rsid w:val="001D6007"/>
    <w:rsid w:val="001D6053"/>
    <w:rsid w:val="001D60F5"/>
    <w:rsid w:val="001D60FF"/>
    <w:rsid w:val="001D6154"/>
    <w:rsid w:val="001D61B2"/>
    <w:rsid w:val="001D6256"/>
    <w:rsid w:val="001D626C"/>
    <w:rsid w:val="001D6328"/>
    <w:rsid w:val="001D6438"/>
    <w:rsid w:val="001D650E"/>
    <w:rsid w:val="001D6598"/>
    <w:rsid w:val="001D6610"/>
    <w:rsid w:val="001D6729"/>
    <w:rsid w:val="001D672E"/>
    <w:rsid w:val="001D6752"/>
    <w:rsid w:val="001D6786"/>
    <w:rsid w:val="001D6810"/>
    <w:rsid w:val="001D6840"/>
    <w:rsid w:val="001D6A38"/>
    <w:rsid w:val="001D6A60"/>
    <w:rsid w:val="001D6E96"/>
    <w:rsid w:val="001D6FB1"/>
    <w:rsid w:val="001D7220"/>
    <w:rsid w:val="001D7290"/>
    <w:rsid w:val="001D74B0"/>
    <w:rsid w:val="001D76F8"/>
    <w:rsid w:val="001D77B1"/>
    <w:rsid w:val="001D7919"/>
    <w:rsid w:val="001D7B8F"/>
    <w:rsid w:val="001D7C8A"/>
    <w:rsid w:val="001D7D00"/>
    <w:rsid w:val="001D7D42"/>
    <w:rsid w:val="001D7E36"/>
    <w:rsid w:val="001D7EF4"/>
    <w:rsid w:val="001E031D"/>
    <w:rsid w:val="001E03DA"/>
    <w:rsid w:val="001E0764"/>
    <w:rsid w:val="001E0785"/>
    <w:rsid w:val="001E07D6"/>
    <w:rsid w:val="001E0933"/>
    <w:rsid w:val="001E0AA5"/>
    <w:rsid w:val="001E0B6E"/>
    <w:rsid w:val="001E0CA6"/>
    <w:rsid w:val="001E0E70"/>
    <w:rsid w:val="001E0E83"/>
    <w:rsid w:val="001E0F44"/>
    <w:rsid w:val="001E1090"/>
    <w:rsid w:val="001E10D9"/>
    <w:rsid w:val="001E10E7"/>
    <w:rsid w:val="001E11ED"/>
    <w:rsid w:val="001E121D"/>
    <w:rsid w:val="001E1286"/>
    <w:rsid w:val="001E12AE"/>
    <w:rsid w:val="001E1446"/>
    <w:rsid w:val="001E1617"/>
    <w:rsid w:val="001E17C7"/>
    <w:rsid w:val="001E1831"/>
    <w:rsid w:val="001E19F0"/>
    <w:rsid w:val="001E1D7E"/>
    <w:rsid w:val="001E1D83"/>
    <w:rsid w:val="001E1F73"/>
    <w:rsid w:val="001E1F98"/>
    <w:rsid w:val="001E1FC8"/>
    <w:rsid w:val="001E2000"/>
    <w:rsid w:val="001E202C"/>
    <w:rsid w:val="001E20BF"/>
    <w:rsid w:val="001E20CE"/>
    <w:rsid w:val="001E230D"/>
    <w:rsid w:val="001E2617"/>
    <w:rsid w:val="001E2684"/>
    <w:rsid w:val="001E26BC"/>
    <w:rsid w:val="001E2731"/>
    <w:rsid w:val="001E278F"/>
    <w:rsid w:val="001E27A0"/>
    <w:rsid w:val="001E2967"/>
    <w:rsid w:val="001E2B5E"/>
    <w:rsid w:val="001E2BE7"/>
    <w:rsid w:val="001E2D06"/>
    <w:rsid w:val="001E2D62"/>
    <w:rsid w:val="001E2DDB"/>
    <w:rsid w:val="001E2E11"/>
    <w:rsid w:val="001E2F07"/>
    <w:rsid w:val="001E2FC1"/>
    <w:rsid w:val="001E3027"/>
    <w:rsid w:val="001E3043"/>
    <w:rsid w:val="001E34AF"/>
    <w:rsid w:val="001E36DC"/>
    <w:rsid w:val="001E389E"/>
    <w:rsid w:val="001E3901"/>
    <w:rsid w:val="001E3955"/>
    <w:rsid w:val="001E3BA3"/>
    <w:rsid w:val="001E3EC9"/>
    <w:rsid w:val="001E3F3E"/>
    <w:rsid w:val="001E412F"/>
    <w:rsid w:val="001E41A9"/>
    <w:rsid w:val="001E41BD"/>
    <w:rsid w:val="001E426F"/>
    <w:rsid w:val="001E435F"/>
    <w:rsid w:val="001E444E"/>
    <w:rsid w:val="001E4457"/>
    <w:rsid w:val="001E4470"/>
    <w:rsid w:val="001E4548"/>
    <w:rsid w:val="001E4589"/>
    <w:rsid w:val="001E45DD"/>
    <w:rsid w:val="001E45E9"/>
    <w:rsid w:val="001E473E"/>
    <w:rsid w:val="001E4763"/>
    <w:rsid w:val="001E47C6"/>
    <w:rsid w:val="001E48A7"/>
    <w:rsid w:val="001E4A1F"/>
    <w:rsid w:val="001E4AE0"/>
    <w:rsid w:val="001E4B25"/>
    <w:rsid w:val="001E4B32"/>
    <w:rsid w:val="001E4CEF"/>
    <w:rsid w:val="001E4E6E"/>
    <w:rsid w:val="001E4F3B"/>
    <w:rsid w:val="001E4FC3"/>
    <w:rsid w:val="001E508C"/>
    <w:rsid w:val="001E5096"/>
    <w:rsid w:val="001E5343"/>
    <w:rsid w:val="001E543B"/>
    <w:rsid w:val="001E5633"/>
    <w:rsid w:val="001E5867"/>
    <w:rsid w:val="001E58CD"/>
    <w:rsid w:val="001E59A1"/>
    <w:rsid w:val="001E59BD"/>
    <w:rsid w:val="001E59DE"/>
    <w:rsid w:val="001E5B56"/>
    <w:rsid w:val="001E5B9C"/>
    <w:rsid w:val="001E5C97"/>
    <w:rsid w:val="001E5E2A"/>
    <w:rsid w:val="001E5E44"/>
    <w:rsid w:val="001E5FCF"/>
    <w:rsid w:val="001E60CE"/>
    <w:rsid w:val="001E6205"/>
    <w:rsid w:val="001E63E5"/>
    <w:rsid w:val="001E6412"/>
    <w:rsid w:val="001E6524"/>
    <w:rsid w:val="001E6563"/>
    <w:rsid w:val="001E6650"/>
    <w:rsid w:val="001E67AF"/>
    <w:rsid w:val="001E67BB"/>
    <w:rsid w:val="001E67DC"/>
    <w:rsid w:val="001E683E"/>
    <w:rsid w:val="001E68F7"/>
    <w:rsid w:val="001E69A6"/>
    <w:rsid w:val="001E69E7"/>
    <w:rsid w:val="001E6A0C"/>
    <w:rsid w:val="001E6A44"/>
    <w:rsid w:val="001E6BB0"/>
    <w:rsid w:val="001E6CB4"/>
    <w:rsid w:val="001E6E9B"/>
    <w:rsid w:val="001E6EB1"/>
    <w:rsid w:val="001E6F4C"/>
    <w:rsid w:val="001E6F54"/>
    <w:rsid w:val="001E6F85"/>
    <w:rsid w:val="001E6F8B"/>
    <w:rsid w:val="001E70AC"/>
    <w:rsid w:val="001E72A6"/>
    <w:rsid w:val="001E7511"/>
    <w:rsid w:val="001E75BA"/>
    <w:rsid w:val="001E75C0"/>
    <w:rsid w:val="001E7A16"/>
    <w:rsid w:val="001E7C0C"/>
    <w:rsid w:val="001E7D7B"/>
    <w:rsid w:val="001E7E91"/>
    <w:rsid w:val="001E7FE1"/>
    <w:rsid w:val="001F0095"/>
    <w:rsid w:val="001F0302"/>
    <w:rsid w:val="001F0392"/>
    <w:rsid w:val="001F0428"/>
    <w:rsid w:val="001F0473"/>
    <w:rsid w:val="001F0501"/>
    <w:rsid w:val="001F0622"/>
    <w:rsid w:val="001F06E4"/>
    <w:rsid w:val="001F07A6"/>
    <w:rsid w:val="001F0880"/>
    <w:rsid w:val="001F0920"/>
    <w:rsid w:val="001F0CF8"/>
    <w:rsid w:val="001F0DA9"/>
    <w:rsid w:val="001F0DD6"/>
    <w:rsid w:val="001F0E24"/>
    <w:rsid w:val="001F0E3C"/>
    <w:rsid w:val="001F0F33"/>
    <w:rsid w:val="001F10D8"/>
    <w:rsid w:val="001F1148"/>
    <w:rsid w:val="001F1484"/>
    <w:rsid w:val="001F1512"/>
    <w:rsid w:val="001F1592"/>
    <w:rsid w:val="001F1666"/>
    <w:rsid w:val="001F18C1"/>
    <w:rsid w:val="001F18D0"/>
    <w:rsid w:val="001F1AB0"/>
    <w:rsid w:val="001F1B63"/>
    <w:rsid w:val="001F1D3A"/>
    <w:rsid w:val="001F1D65"/>
    <w:rsid w:val="001F1E77"/>
    <w:rsid w:val="001F1F33"/>
    <w:rsid w:val="001F1F4B"/>
    <w:rsid w:val="001F1F65"/>
    <w:rsid w:val="001F1FD7"/>
    <w:rsid w:val="001F206D"/>
    <w:rsid w:val="001F2127"/>
    <w:rsid w:val="001F22C6"/>
    <w:rsid w:val="001F2329"/>
    <w:rsid w:val="001F238A"/>
    <w:rsid w:val="001F23F1"/>
    <w:rsid w:val="001F24A9"/>
    <w:rsid w:val="001F2531"/>
    <w:rsid w:val="001F2535"/>
    <w:rsid w:val="001F2588"/>
    <w:rsid w:val="001F2636"/>
    <w:rsid w:val="001F2648"/>
    <w:rsid w:val="001F26DF"/>
    <w:rsid w:val="001F2755"/>
    <w:rsid w:val="001F2858"/>
    <w:rsid w:val="001F29DF"/>
    <w:rsid w:val="001F2A1F"/>
    <w:rsid w:val="001F2AC2"/>
    <w:rsid w:val="001F2B54"/>
    <w:rsid w:val="001F2F0C"/>
    <w:rsid w:val="001F2F29"/>
    <w:rsid w:val="001F2F4C"/>
    <w:rsid w:val="001F2FAD"/>
    <w:rsid w:val="001F30C7"/>
    <w:rsid w:val="001F30D0"/>
    <w:rsid w:val="001F3292"/>
    <w:rsid w:val="001F32C7"/>
    <w:rsid w:val="001F32ED"/>
    <w:rsid w:val="001F33F0"/>
    <w:rsid w:val="001F3404"/>
    <w:rsid w:val="001F3566"/>
    <w:rsid w:val="001F37FD"/>
    <w:rsid w:val="001F3886"/>
    <w:rsid w:val="001F39B3"/>
    <w:rsid w:val="001F3F80"/>
    <w:rsid w:val="001F3F9E"/>
    <w:rsid w:val="001F3FCC"/>
    <w:rsid w:val="001F3FED"/>
    <w:rsid w:val="001F4098"/>
    <w:rsid w:val="001F4101"/>
    <w:rsid w:val="001F4162"/>
    <w:rsid w:val="001F41F0"/>
    <w:rsid w:val="001F42B4"/>
    <w:rsid w:val="001F4305"/>
    <w:rsid w:val="001F4331"/>
    <w:rsid w:val="001F43A6"/>
    <w:rsid w:val="001F4572"/>
    <w:rsid w:val="001F45C4"/>
    <w:rsid w:val="001F4633"/>
    <w:rsid w:val="001F467F"/>
    <w:rsid w:val="001F47FC"/>
    <w:rsid w:val="001F486B"/>
    <w:rsid w:val="001F4957"/>
    <w:rsid w:val="001F4B1B"/>
    <w:rsid w:val="001F4C21"/>
    <w:rsid w:val="001F4EA0"/>
    <w:rsid w:val="001F4EE1"/>
    <w:rsid w:val="001F4F0B"/>
    <w:rsid w:val="001F4F86"/>
    <w:rsid w:val="001F4FB0"/>
    <w:rsid w:val="001F5008"/>
    <w:rsid w:val="001F502B"/>
    <w:rsid w:val="001F509D"/>
    <w:rsid w:val="001F50C1"/>
    <w:rsid w:val="001F5207"/>
    <w:rsid w:val="001F5237"/>
    <w:rsid w:val="001F5352"/>
    <w:rsid w:val="001F5353"/>
    <w:rsid w:val="001F5800"/>
    <w:rsid w:val="001F5923"/>
    <w:rsid w:val="001F59F4"/>
    <w:rsid w:val="001F5A0E"/>
    <w:rsid w:val="001F5BBF"/>
    <w:rsid w:val="001F5BD2"/>
    <w:rsid w:val="001F5D4B"/>
    <w:rsid w:val="001F5E9B"/>
    <w:rsid w:val="001F5FE7"/>
    <w:rsid w:val="001F60E5"/>
    <w:rsid w:val="001F610A"/>
    <w:rsid w:val="001F611F"/>
    <w:rsid w:val="001F6192"/>
    <w:rsid w:val="001F6427"/>
    <w:rsid w:val="001F64DC"/>
    <w:rsid w:val="001F66FC"/>
    <w:rsid w:val="001F67DA"/>
    <w:rsid w:val="001F68E2"/>
    <w:rsid w:val="001F6A01"/>
    <w:rsid w:val="001F6A23"/>
    <w:rsid w:val="001F6B5C"/>
    <w:rsid w:val="001F6C41"/>
    <w:rsid w:val="001F6C69"/>
    <w:rsid w:val="001F75D3"/>
    <w:rsid w:val="001F77A6"/>
    <w:rsid w:val="001F781C"/>
    <w:rsid w:val="001F7854"/>
    <w:rsid w:val="001F78D5"/>
    <w:rsid w:val="001F79DF"/>
    <w:rsid w:val="001F7A46"/>
    <w:rsid w:val="001F7A52"/>
    <w:rsid w:val="001F7B0A"/>
    <w:rsid w:val="001F7BCD"/>
    <w:rsid w:val="001F7DE3"/>
    <w:rsid w:val="001F7F98"/>
    <w:rsid w:val="0020019A"/>
    <w:rsid w:val="00200229"/>
    <w:rsid w:val="00200286"/>
    <w:rsid w:val="00200348"/>
    <w:rsid w:val="00200412"/>
    <w:rsid w:val="0020052A"/>
    <w:rsid w:val="002005E8"/>
    <w:rsid w:val="00200631"/>
    <w:rsid w:val="0020093C"/>
    <w:rsid w:val="00200B5B"/>
    <w:rsid w:val="00200DFF"/>
    <w:rsid w:val="0020115C"/>
    <w:rsid w:val="00201161"/>
    <w:rsid w:val="00201338"/>
    <w:rsid w:val="0020137A"/>
    <w:rsid w:val="002016BF"/>
    <w:rsid w:val="0020187D"/>
    <w:rsid w:val="002018C2"/>
    <w:rsid w:val="00201900"/>
    <w:rsid w:val="00201ADD"/>
    <w:rsid w:val="00201C81"/>
    <w:rsid w:val="00201D29"/>
    <w:rsid w:val="00201DEA"/>
    <w:rsid w:val="00201E8E"/>
    <w:rsid w:val="00202091"/>
    <w:rsid w:val="002020C1"/>
    <w:rsid w:val="00202122"/>
    <w:rsid w:val="0020226C"/>
    <w:rsid w:val="00202399"/>
    <w:rsid w:val="0020252A"/>
    <w:rsid w:val="00202569"/>
    <w:rsid w:val="00202704"/>
    <w:rsid w:val="0020298E"/>
    <w:rsid w:val="002029A4"/>
    <w:rsid w:val="00202C9C"/>
    <w:rsid w:val="00202CB8"/>
    <w:rsid w:val="00202E12"/>
    <w:rsid w:val="00202EF6"/>
    <w:rsid w:val="00203115"/>
    <w:rsid w:val="00203118"/>
    <w:rsid w:val="002034B2"/>
    <w:rsid w:val="00203588"/>
    <w:rsid w:val="00203653"/>
    <w:rsid w:val="0020368B"/>
    <w:rsid w:val="0020375A"/>
    <w:rsid w:val="0020378B"/>
    <w:rsid w:val="002037F1"/>
    <w:rsid w:val="00203932"/>
    <w:rsid w:val="00203A33"/>
    <w:rsid w:val="00203A7A"/>
    <w:rsid w:val="00203AB2"/>
    <w:rsid w:val="00203AE8"/>
    <w:rsid w:val="00203C04"/>
    <w:rsid w:val="00203CCC"/>
    <w:rsid w:val="00203D83"/>
    <w:rsid w:val="00203D9E"/>
    <w:rsid w:val="00203DDB"/>
    <w:rsid w:val="00203F93"/>
    <w:rsid w:val="00204048"/>
    <w:rsid w:val="002040D4"/>
    <w:rsid w:val="002040FA"/>
    <w:rsid w:val="00204287"/>
    <w:rsid w:val="002042CC"/>
    <w:rsid w:val="0020436D"/>
    <w:rsid w:val="00204442"/>
    <w:rsid w:val="002046FF"/>
    <w:rsid w:val="00204747"/>
    <w:rsid w:val="00204759"/>
    <w:rsid w:val="00204908"/>
    <w:rsid w:val="00204909"/>
    <w:rsid w:val="00204952"/>
    <w:rsid w:val="00204970"/>
    <w:rsid w:val="00204A45"/>
    <w:rsid w:val="00204AF6"/>
    <w:rsid w:val="00204B3E"/>
    <w:rsid w:val="00204BC0"/>
    <w:rsid w:val="00204BFD"/>
    <w:rsid w:val="00204C61"/>
    <w:rsid w:val="00204C6E"/>
    <w:rsid w:val="00204C84"/>
    <w:rsid w:val="00204E79"/>
    <w:rsid w:val="00204E9B"/>
    <w:rsid w:val="002051F2"/>
    <w:rsid w:val="00205389"/>
    <w:rsid w:val="002053CC"/>
    <w:rsid w:val="002053F0"/>
    <w:rsid w:val="0020565E"/>
    <w:rsid w:val="002057F8"/>
    <w:rsid w:val="0020594A"/>
    <w:rsid w:val="00205959"/>
    <w:rsid w:val="00205A59"/>
    <w:rsid w:val="00205BF2"/>
    <w:rsid w:val="00205BFF"/>
    <w:rsid w:val="00205D3A"/>
    <w:rsid w:val="00205D52"/>
    <w:rsid w:val="00205F53"/>
    <w:rsid w:val="00205FC9"/>
    <w:rsid w:val="00205FDA"/>
    <w:rsid w:val="002061DB"/>
    <w:rsid w:val="00206303"/>
    <w:rsid w:val="0020639C"/>
    <w:rsid w:val="002063C5"/>
    <w:rsid w:val="00206430"/>
    <w:rsid w:val="002064BF"/>
    <w:rsid w:val="00206741"/>
    <w:rsid w:val="00206764"/>
    <w:rsid w:val="00206AF3"/>
    <w:rsid w:val="00206E8F"/>
    <w:rsid w:val="00206EAD"/>
    <w:rsid w:val="00206EB6"/>
    <w:rsid w:val="00207095"/>
    <w:rsid w:val="00207139"/>
    <w:rsid w:val="0020716A"/>
    <w:rsid w:val="0020732C"/>
    <w:rsid w:val="0020749A"/>
    <w:rsid w:val="002074C8"/>
    <w:rsid w:val="002075BB"/>
    <w:rsid w:val="002075C4"/>
    <w:rsid w:val="0020779B"/>
    <w:rsid w:val="00207A78"/>
    <w:rsid w:val="00207B77"/>
    <w:rsid w:val="00207D51"/>
    <w:rsid w:val="00207DB0"/>
    <w:rsid w:val="00207F45"/>
    <w:rsid w:val="002100C4"/>
    <w:rsid w:val="0021024A"/>
    <w:rsid w:val="00210397"/>
    <w:rsid w:val="00210630"/>
    <w:rsid w:val="0021070D"/>
    <w:rsid w:val="0021075C"/>
    <w:rsid w:val="002108A0"/>
    <w:rsid w:val="002108A1"/>
    <w:rsid w:val="0021090F"/>
    <w:rsid w:val="00210A11"/>
    <w:rsid w:val="00210C61"/>
    <w:rsid w:val="00210F35"/>
    <w:rsid w:val="00210F36"/>
    <w:rsid w:val="00210F5D"/>
    <w:rsid w:val="0021100F"/>
    <w:rsid w:val="00211237"/>
    <w:rsid w:val="002112B6"/>
    <w:rsid w:val="00211327"/>
    <w:rsid w:val="00211365"/>
    <w:rsid w:val="0021138D"/>
    <w:rsid w:val="0021138E"/>
    <w:rsid w:val="002113B0"/>
    <w:rsid w:val="00211484"/>
    <w:rsid w:val="00211547"/>
    <w:rsid w:val="00211763"/>
    <w:rsid w:val="002117A3"/>
    <w:rsid w:val="00211989"/>
    <w:rsid w:val="002119EC"/>
    <w:rsid w:val="002119EF"/>
    <w:rsid w:val="00211B5D"/>
    <w:rsid w:val="00211CCB"/>
    <w:rsid w:val="00211D20"/>
    <w:rsid w:val="00212034"/>
    <w:rsid w:val="00212070"/>
    <w:rsid w:val="0021221E"/>
    <w:rsid w:val="002123A3"/>
    <w:rsid w:val="0021245F"/>
    <w:rsid w:val="0021246B"/>
    <w:rsid w:val="002125F4"/>
    <w:rsid w:val="002126C3"/>
    <w:rsid w:val="00212727"/>
    <w:rsid w:val="00212C49"/>
    <w:rsid w:val="00212C51"/>
    <w:rsid w:val="00212D2C"/>
    <w:rsid w:val="00212D6C"/>
    <w:rsid w:val="00212DCF"/>
    <w:rsid w:val="00212E4A"/>
    <w:rsid w:val="00212E93"/>
    <w:rsid w:val="00212FF1"/>
    <w:rsid w:val="00213022"/>
    <w:rsid w:val="00213356"/>
    <w:rsid w:val="00213378"/>
    <w:rsid w:val="00213380"/>
    <w:rsid w:val="002134CD"/>
    <w:rsid w:val="00213564"/>
    <w:rsid w:val="00213570"/>
    <w:rsid w:val="002135F2"/>
    <w:rsid w:val="00213687"/>
    <w:rsid w:val="002136BA"/>
    <w:rsid w:val="0021376A"/>
    <w:rsid w:val="00213AC0"/>
    <w:rsid w:val="00213B0A"/>
    <w:rsid w:val="00213D72"/>
    <w:rsid w:val="00213DC5"/>
    <w:rsid w:val="00213F07"/>
    <w:rsid w:val="00214082"/>
    <w:rsid w:val="002141EA"/>
    <w:rsid w:val="00214215"/>
    <w:rsid w:val="002142F3"/>
    <w:rsid w:val="00214373"/>
    <w:rsid w:val="00214524"/>
    <w:rsid w:val="0021453F"/>
    <w:rsid w:val="00214576"/>
    <w:rsid w:val="002146EE"/>
    <w:rsid w:val="0021474F"/>
    <w:rsid w:val="002147E8"/>
    <w:rsid w:val="00214943"/>
    <w:rsid w:val="00214B07"/>
    <w:rsid w:val="00214BA6"/>
    <w:rsid w:val="00214BC6"/>
    <w:rsid w:val="00214CC7"/>
    <w:rsid w:val="00214DC7"/>
    <w:rsid w:val="00214E34"/>
    <w:rsid w:val="00214EC3"/>
    <w:rsid w:val="00214FD0"/>
    <w:rsid w:val="00215069"/>
    <w:rsid w:val="0021518F"/>
    <w:rsid w:val="002152D0"/>
    <w:rsid w:val="00215356"/>
    <w:rsid w:val="002153C7"/>
    <w:rsid w:val="002153EE"/>
    <w:rsid w:val="002154AD"/>
    <w:rsid w:val="0021566C"/>
    <w:rsid w:val="002156D7"/>
    <w:rsid w:val="00215AB4"/>
    <w:rsid w:val="00215BF0"/>
    <w:rsid w:val="00215C47"/>
    <w:rsid w:val="00215EB9"/>
    <w:rsid w:val="00215ED8"/>
    <w:rsid w:val="00215F2D"/>
    <w:rsid w:val="00216219"/>
    <w:rsid w:val="00216279"/>
    <w:rsid w:val="002163AD"/>
    <w:rsid w:val="002163D7"/>
    <w:rsid w:val="0021650A"/>
    <w:rsid w:val="00216605"/>
    <w:rsid w:val="00216740"/>
    <w:rsid w:val="002167AD"/>
    <w:rsid w:val="002167C7"/>
    <w:rsid w:val="00216810"/>
    <w:rsid w:val="0021694D"/>
    <w:rsid w:val="0021699D"/>
    <w:rsid w:val="002169C1"/>
    <w:rsid w:val="00216AD6"/>
    <w:rsid w:val="00216BDB"/>
    <w:rsid w:val="00216CAF"/>
    <w:rsid w:val="00216CC3"/>
    <w:rsid w:val="00216DB9"/>
    <w:rsid w:val="00216EC6"/>
    <w:rsid w:val="00217051"/>
    <w:rsid w:val="002170A9"/>
    <w:rsid w:val="002170AA"/>
    <w:rsid w:val="002172DF"/>
    <w:rsid w:val="0021741C"/>
    <w:rsid w:val="002174A2"/>
    <w:rsid w:val="002174BC"/>
    <w:rsid w:val="00217563"/>
    <w:rsid w:val="002177CD"/>
    <w:rsid w:val="0021784E"/>
    <w:rsid w:val="002178ED"/>
    <w:rsid w:val="002179FD"/>
    <w:rsid w:val="00217C62"/>
    <w:rsid w:val="00217E72"/>
    <w:rsid w:val="00220082"/>
    <w:rsid w:val="0022014B"/>
    <w:rsid w:val="002201B5"/>
    <w:rsid w:val="00220335"/>
    <w:rsid w:val="00220460"/>
    <w:rsid w:val="00220607"/>
    <w:rsid w:val="00220665"/>
    <w:rsid w:val="00220674"/>
    <w:rsid w:val="0022068D"/>
    <w:rsid w:val="0022085A"/>
    <w:rsid w:val="00220931"/>
    <w:rsid w:val="002209C4"/>
    <w:rsid w:val="00220A18"/>
    <w:rsid w:val="00220AF9"/>
    <w:rsid w:val="00220BB5"/>
    <w:rsid w:val="00220C40"/>
    <w:rsid w:val="00220C76"/>
    <w:rsid w:val="00220C9C"/>
    <w:rsid w:val="00220EA1"/>
    <w:rsid w:val="00221019"/>
    <w:rsid w:val="00221090"/>
    <w:rsid w:val="00221191"/>
    <w:rsid w:val="002213BE"/>
    <w:rsid w:val="002213D3"/>
    <w:rsid w:val="002214AF"/>
    <w:rsid w:val="002214F5"/>
    <w:rsid w:val="0022151B"/>
    <w:rsid w:val="002218A7"/>
    <w:rsid w:val="00221A18"/>
    <w:rsid w:val="00221A84"/>
    <w:rsid w:val="00221C87"/>
    <w:rsid w:val="00221DF5"/>
    <w:rsid w:val="00221DFB"/>
    <w:rsid w:val="00221E33"/>
    <w:rsid w:val="00221E3E"/>
    <w:rsid w:val="00221E58"/>
    <w:rsid w:val="002220E2"/>
    <w:rsid w:val="0022218A"/>
    <w:rsid w:val="002221C1"/>
    <w:rsid w:val="002221CB"/>
    <w:rsid w:val="00222423"/>
    <w:rsid w:val="002224EF"/>
    <w:rsid w:val="002224FA"/>
    <w:rsid w:val="00222714"/>
    <w:rsid w:val="00222794"/>
    <w:rsid w:val="00222831"/>
    <w:rsid w:val="0022284E"/>
    <w:rsid w:val="00222850"/>
    <w:rsid w:val="002228BD"/>
    <w:rsid w:val="00222929"/>
    <w:rsid w:val="00222B5E"/>
    <w:rsid w:val="00222F52"/>
    <w:rsid w:val="00222FA9"/>
    <w:rsid w:val="00223122"/>
    <w:rsid w:val="00223157"/>
    <w:rsid w:val="00223287"/>
    <w:rsid w:val="0022332A"/>
    <w:rsid w:val="00223445"/>
    <w:rsid w:val="0022347C"/>
    <w:rsid w:val="00223497"/>
    <w:rsid w:val="0022349F"/>
    <w:rsid w:val="002235D0"/>
    <w:rsid w:val="00223841"/>
    <w:rsid w:val="00223943"/>
    <w:rsid w:val="00223B0B"/>
    <w:rsid w:val="00223B75"/>
    <w:rsid w:val="00223C8A"/>
    <w:rsid w:val="00223D23"/>
    <w:rsid w:val="00223EB1"/>
    <w:rsid w:val="00223F75"/>
    <w:rsid w:val="0022422B"/>
    <w:rsid w:val="0022432A"/>
    <w:rsid w:val="002243E4"/>
    <w:rsid w:val="00224437"/>
    <w:rsid w:val="00224445"/>
    <w:rsid w:val="0022460F"/>
    <w:rsid w:val="00224784"/>
    <w:rsid w:val="0022479C"/>
    <w:rsid w:val="00224898"/>
    <w:rsid w:val="002248D4"/>
    <w:rsid w:val="00224A62"/>
    <w:rsid w:val="00224CD4"/>
    <w:rsid w:val="00224CF8"/>
    <w:rsid w:val="00224D87"/>
    <w:rsid w:val="00224E68"/>
    <w:rsid w:val="00224EBE"/>
    <w:rsid w:val="00224EC3"/>
    <w:rsid w:val="00225164"/>
    <w:rsid w:val="002251BD"/>
    <w:rsid w:val="00225237"/>
    <w:rsid w:val="0022563A"/>
    <w:rsid w:val="00225844"/>
    <w:rsid w:val="00225B36"/>
    <w:rsid w:val="00225B94"/>
    <w:rsid w:val="00225BE7"/>
    <w:rsid w:val="00225C50"/>
    <w:rsid w:val="00225D5A"/>
    <w:rsid w:val="00225F5E"/>
    <w:rsid w:val="00226155"/>
    <w:rsid w:val="00226156"/>
    <w:rsid w:val="00226389"/>
    <w:rsid w:val="0022653E"/>
    <w:rsid w:val="00226545"/>
    <w:rsid w:val="00226608"/>
    <w:rsid w:val="00226627"/>
    <w:rsid w:val="00226755"/>
    <w:rsid w:val="00226779"/>
    <w:rsid w:val="002267BE"/>
    <w:rsid w:val="002267EC"/>
    <w:rsid w:val="0022681F"/>
    <w:rsid w:val="00226843"/>
    <w:rsid w:val="0022687A"/>
    <w:rsid w:val="002268DC"/>
    <w:rsid w:val="00226915"/>
    <w:rsid w:val="00226A63"/>
    <w:rsid w:val="00226BE0"/>
    <w:rsid w:val="00226BEF"/>
    <w:rsid w:val="00226D07"/>
    <w:rsid w:val="00226DA4"/>
    <w:rsid w:val="00226DB7"/>
    <w:rsid w:val="00226F6F"/>
    <w:rsid w:val="00227175"/>
    <w:rsid w:val="00227198"/>
    <w:rsid w:val="002271C5"/>
    <w:rsid w:val="002274A2"/>
    <w:rsid w:val="002275C1"/>
    <w:rsid w:val="00227695"/>
    <w:rsid w:val="0022769A"/>
    <w:rsid w:val="002276EB"/>
    <w:rsid w:val="00227AEA"/>
    <w:rsid w:val="00227BCE"/>
    <w:rsid w:val="00227E11"/>
    <w:rsid w:val="00227E40"/>
    <w:rsid w:val="0023003B"/>
    <w:rsid w:val="0023018F"/>
    <w:rsid w:val="00230337"/>
    <w:rsid w:val="002303A7"/>
    <w:rsid w:val="0023052D"/>
    <w:rsid w:val="00230562"/>
    <w:rsid w:val="002305AB"/>
    <w:rsid w:val="0023060B"/>
    <w:rsid w:val="00230670"/>
    <w:rsid w:val="00230778"/>
    <w:rsid w:val="0023093A"/>
    <w:rsid w:val="002309AE"/>
    <w:rsid w:val="00230B8F"/>
    <w:rsid w:val="00230E8B"/>
    <w:rsid w:val="00230E9C"/>
    <w:rsid w:val="00230F75"/>
    <w:rsid w:val="00231146"/>
    <w:rsid w:val="002311B7"/>
    <w:rsid w:val="002311F2"/>
    <w:rsid w:val="00231295"/>
    <w:rsid w:val="002313F0"/>
    <w:rsid w:val="0023151C"/>
    <w:rsid w:val="002317ED"/>
    <w:rsid w:val="0023181F"/>
    <w:rsid w:val="0023182A"/>
    <w:rsid w:val="002318C9"/>
    <w:rsid w:val="002318CA"/>
    <w:rsid w:val="00231922"/>
    <w:rsid w:val="00231AB2"/>
    <w:rsid w:val="00231B76"/>
    <w:rsid w:val="00231C07"/>
    <w:rsid w:val="00231C5A"/>
    <w:rsid w:val="00231C6D"/>
    <w:rsid w:val="00231F67"/>
    <w:rsid w:val="00232080"/>
    <w:rsid w:val="00232120"/>
    <w:rsid w:val="0023229B"/>
    <w:rsid w:val="002322C9"/>
    <w:rsid w:val="0023235D"/>
    <w:rsid w:val="002323FE"/>
    <w:rsid w:val="0023252E"/>
    <w:rsid w:val="00232667"/>
    <w:rsid w:val="00232876"/>
    <w:rsid w:val="002329BF"/>
    <w:rsid w:val="00232A79"/>
    <w:rsid w:val="00232B02"/>
    <w:rsid w:val="00232B36"/>
    <w:rsid w:val="00232B57"/>
    <w:rsid w:val="00232B63"/>
    <w:rsid w:val="00232C75"/>
    <w:rsid w:val="00232C98"/>
    <w:rsid w:val="00232CB1"/>
    <w:rsid w:val="00232D19"/>
    <w:rsid w:val="00232D99"/>
    <w:rsid w:val="00232F12"/>
    <w:rsid w:val="00232F34"/>
    <w:rsid w:val="00233092"/>
    <w:rsid w:val="00233133"/>
    <w:rsid w:val="00233226"/>
    <w:rsid w:val="002332C9"/>
    <w:rsid w:val="0023338B"/>
    <w:rsid w:val="002333F2"/>
    <w:rsid w:val="00233482"/>
    <w:rsid w:val="00233487"/>
    <w:rsid w:val="002335E5"/>
    <w:rsid w:val="00233745"/>
    <w:rsid w:val="002337CE"/>
    <w:rsid w:val="0023389E"/>
    <w:rsid w:val="002338A0"/>
    <w:rsid w:val="002338E0"/>
    <w:rsid w:val="0023396B"/>
    <w:rsid w:val="00233A1A"/>
    <w:rsid w:val="00233A52"/>
    <w:rsid w:val="00233CE5"/>
    <w:rsid w:val="00233D31"/>
    <w:rsid w:val="00233D55"/>
    <w:rsid w:val="00233EB0"/>
    <w:rsid w:val="00233EEC"/>
    <w:rsid w:val="002340A6"/>
    <w:rsid w:val="002340C5"/>
    <w:rsid w:val="00234233"/>
    <w:rsid w:val="00234487"/>
    <w:rsid w:val="00234709"/>
    <w:rsid w:val="00234731"/>
    <w:rsid w:val="00234907"/>
    <w:rsid w:val="0023497E"/>
    <w:rsid w:val="00234C1E"/>
    <w:rsid w:val="00234CB8"/>
    <w:rsid w:val="00234DFA"/>
    <w:rsid w:val="00234F1E"/>
    <w:rsid w:val="0023520D"/>
    <w:rsid w:val="00235371"/>
    <w:rsid w:val="0023537A"/>
    <w:rsid w:val="002353C1"/>
    <w:rsid w:val="00235403"/>
    <w:rsid w:val="00235420"/>
    <w:rsid w:val="002355C3"/>
    <w:rsid w:val="002355E3"/>
    <w:rsid w:val="002356A0"/>
    <w:rsid w:val="00235809"/>
    <w:rsid w:val="00235B93"/>
    <w:rsid w:val="00235C87"/>
    <w:rsid w:val="00235D17"/>
    <w:rsid w:val="00235D49"/>
    <w:rsid w:val="00235E72"/>
    <w:rsid w:val="00235F1C"/>
    <w:rsid w:val="00235F24"/>
    <w:rsid w:val="00235F8A"/>
    <w:rsid w:val="002360AC"/>
    <w:rsid w:val="002360C3"/>
    <w:rsid w:val="002360E3"/>
    <w:rsid w:val="00236275"/>
    <w:rsid w:val="00236286"/>
    <w:rsid w:val="00236332"/>
    <w:rsid w:val="002363C4"/>
    <w:rsid w:val="00236431"/>
    <w:rsid w:val="0023647B"/>
    <w:rsid w:val="002364FB"/>
    <w:rsid w:val="002367D1"/>
    <w:rsid w:val="00236B8C"/>
    <w:rsid w:val="00236D34"/>
    <w:rsid w:val="00236E3B"/>
    <w:rsid w:val="00236E51"/>
    <w:rsid w:val="00236F5B"/>
    <w:rsid w:val="00237237"/>
    <w:rsid w:val="0023731B"/>
    <w:rsid w:val="0023737C"/>
    <w:rsid w:val="0023738A"/>
    <w:rsid w:val="002373A2"/>
    <w:rsid w:val="0023741C"/>
    <w:rsid w:val="002376C4"/>
    <w:rsid w:val="002377A3"/>
    <w:rsid w:val="002377E9"/>
    <w:rsid w:val="00237840"/>
    <w:rsid w:val="002378B3"/>
    <w:rsid w:val="00237A63"/>
    <w:rsid w:val="00237AA4"/>
    <w:rsid w:val="00237D9F"/>
    <w:rsid w:val="00237E32"/>
    <w:rsid w:val="00237E35"/>
    <w:rsid w:val="00237EF1"/>
    <w:rsid w:val="00237F54"/>
    <w:rsid w:val="00237F70"/>
    <w:rsid w:val="00237FA4"/>
    <w:rsid w:val="00240013"/>
    <w:rsid w:val="00240120"/>
    <w:rsid w:val="0024017F"/>
    <w:rsid w:val="00240289"/>
    <w:rsid w:val="0024036F"/>
    <w:rsid w:val="00240427"/>
    <w:rsid w:val="00240615"/>
    <w:rsid w:val="0024061C"/>
    <w:rsid w:val="002406D7"/>
    <w:rsid w:val="0024077D"/>
    <w:rsid w:val="002407AF"/>
    <w:rsid w:val="00240804"/>
    <w:rsid w:val="002408A6"/>
    <w:rsid w:val="002408C0"/>
    <w:rsid w:val="0024097B"/>
    <w:rsid w:val="00240A66"/>
    <w:rsid w:val="00240A9F"/>
    <w:rsid w:val="00240AAE"/>
    <w:rsid w:val="00240D2B"/>
    <w:rsid w:val="00240DC1"/>
    <w:rsid w:val="00240DF6"/>
    <w:rsid w:val="00240F8B"/>
    <w:rsid w:val="002410F6"/>
    <w:rsid w:val="002411D3"/>
    <w:rsid w:val="00241460"/>
    <w:rsid w:val="0024173A"/>
    <w:rsid w:val="00241787"/>
    <w:rsid w:val="002418D5"/>
    <w:rsid w:val="002419C5"/>
    <w:rsid w:val="00241A0B"/>
    <w:rsid w:val="00241A2D"/>
    <w:rsid w:val="00241BC7"/>
    <w:rsid w:val="00241C79"/>
    <w:rsid w:val="00241D4C"/>
    <w:rsid w:val="00241E06"/>
    <w:rsid w:val="00241EA7"/>
    <w:rsid w:val="00241FA0"/>
    <w:rsid w:val="002420B0"/>
    <w:rsid w:val="00242284"/>
    <w:rsid w:val="0024241C"/>
    <w:rsid w:val="0024242F"/>
    <w:rsid w:val="0024255C"/>
    <w:rsid w:val="002425D2"/>
    <w:rsid w:val="002427F3"/>
    <w:rsid w:val="00242910"/>
    <w:rsid w:val="00242A20"/>
    <w:rsid w:val="00242E9C"/>
    <w:rsid w:val="00242F1D"/>
    <w:rsid w:val="00242FAF"/>
    <w:rsid w:val="00243002"/>
    <w:rsid w:val="0024300B"/>
    <w:rsid w:val="00243084"/>
    <w:rsid w:val="002430BB"/>
    <w:rsid w:val="00243291"/>
    <w:rsid w:val="002432BC"/>
    <w:rsid w:val="0024343A"/>
    <w:rsid w:val="0024351D"/>
    <w:rsid w:val="00243582"/>
    <w:rsid w:val="00243593"/>
    <w:rsid w:val="00243684"/>
    <w:rsid w:val="002436E0"/>
    <w:rsid w:val="00243803"/>
    <w:rsid w:val="002438E4"/>
    <w:rsid w:val="0024395E"/>
    <w:rsid w:val="002439CF"/>
    <w:rsid w:val="00243A2C"/>
    <w:rsid w:val="00243B73"/>
    <w:rsid w:val="00243D88"/>
    <w:rsid w:val="00243D94"/>
    <w:rsid w:val="00243DFA"/>
    <w:rsid w:val="00244066"/>
    <w:rsid w:val="00244103"/>
    <w:rsid w:val="002441CA"/>
    <w:rsid w:val="002443BB"/>
    <w:rsid w:val="002443F4"/>
    <w:rsid w:val="00244557"/>
    <w:rsid w:val="00244706"/>
    <w:rsid w:val="002447E7"/>
    <w:rsid w:val="00244818"/>
    <w:rsid w:val="00244ABA"/>
    <w:rsid w:val="00244B42"/>
    <w:rsid w:val="00244BD4"/>
    <w:rsid w:val="00244C63"/>
    <w:rsid w:val="00244D32"/>
    <w:rsid w:val="00244F83"/>
    <w:rsid w:val="00244FA2"/>
    <w:rsid w:val="00245060"/>
    <w:rsid w:val="002450D4"/>
    <w:rsid w:val="002450DC"/>
    <w:rsid w:val="002451C0"/>
    <w:rsid w:val="0024521C"/>
    <w:rsid w:val="0024543D"/>
    <w:rsid w:val="00245478"/>
    <w:rsid w:val="0024548B"/>
    <w:rsid w:val="002454F2"/>
    <w:rsid w:val="00245696"/>
    <w:rsid w:val="002456D3"/>
    <w:rsid w:val="00245769"/>
    <w:rsid w:val="002457CC"/>
    <w:rsid w:val="00245A59"/>
    <w:rsid w:val="00245B24"/>
    <w:rsid w:val="00245D53"/>
    <w:rsid w:val="00245E74"/>
    <w:rsid w:val="00245EDD"/>
    <w:rsid w:val="00245F19"/>
    <w:rsid w:val="00245F35"/>
    <w:rsid w:val="00246081"/>
    <w:rsid w:val="002461B6"/>
    <w:rsid w:val="002461E0"/>
    <w:rsid w:val="002461F7"/>
    <w:rsid w:val="00246526"/>
    <w:rsid w:val="002465C8"/>
    <w:rsid w:val="00246653"/>
    <w:rsid w:val="00246741"/>
    <w:rsid w:val="0024691D"/>
    <w:rsid w:val="00246A10"/>
    <w:rsid w:val="00246A28"/>
    <w:rsid w:val="00246A41"/>
    <w:rsid w:val="00246B09"/>
    <w:rsid w:val="00246C36"/>
    <w:rsid w:val="00246D0F"/>
    <w:rsid w:val="00246D33"/>
    <w:rsid w:val="002472F3"/>
    <w:rsid w:val="00247303"/>
    <w:rsid w:val="0024737E"/>
    <w:rsid w:val="002473EF"/>
    <w:rsid w:val="0024745C"/>
    <w:rsid w:val="00247A28"/>
    <w:rsid w:val="00247A9B"/>
    <w:rsid w:val="00247BFD"/>
    <w:rsid w:val="00247CCF"/>
    <w:rsid w:val="00247D81"/>
    <w:rsid w:val="00247E3E"/>
    <w:rsid w:val="00247FD2"/>
    <w:rsid w:val="00250305"/>
    <w:rsid w:val="0025030F"/>
    <w:rsid w:val="002504AF"/>
    <w:rsid w:val="0025058C"/>
    <w:rsid w:val="002505A1"/>
    <w:rsid w:val="002505CD"/>
    <w:rsid w:val="00250633"/>
    <w:rsid w:val="0025076E"/>
    <w:rsid w:val="0025092C"/>
    <w:rsid w:val="00250990"/>
    <w:rsid w:val="0025099A"/>
    <w:rsid w:val="00250C0A"/>
    <w:rsid w:val="00250CF6"/>
    <w:rsid w:val="00250FEE"/>
    <w:rsid w:val="00251012"/>
    <w:rsid w:val="002510B1"/>
    <w:rsid w:val="00251137"/>
    <w:rsid w:val="0025117E"/>
    <w:rsid w:val="002511C9"/>
    <w:rsid w:val="00251221"/>
    <w:rsid w:val="002514DF"/>
    <w:rsid w:val="002515A4"/>
    <w:rsid w:val="0025172F"/>
    <w:rsid w:val="002517BC"/>
    <w:rsid w:val="00251AD0"/>
    <w:rsid w:val="00251C7E"/>
    <w:rsid w:val="00251D41"/>
    <w:rsid w:val="00251F55"/>
    <w:rsid w:val="002521E4"/>
    <w:rsid w:val="00252264"/>
    <w:rsid w:val="0025230D"/>
    <w:rsid w:val="00252368"/>
    <w:rsid w:val="0025237D"/>
    <w:rsid w:val="002524CD"/>
    <w:rsid w:val="0025253D"/>
    <w:rsid w:val="002527A7"/>
    <w:rsid w:val="0025282A"/>
    <w:rsid w:val="002529BA"/>
    <w:rsid w:val="002529FF"/>
    <w:rsid w:val="00252B23"/>
    <w:rsid w:val="00252BED"/>
    <w:rsid w:val="00252E6D"/>
    <w:rsid w:val="00252FDE"/>
    <w:rsid w:val="00253125"/>
    <w:rsid w:val="002531EC"/>
    <w:rsid w:val="002533E0"/>
    <w:rsid w:val="002533E7"/>
    <w:rsid w:val="0025348F"/>
    <w:rsid w:val="0025353B"/>
    <w:rsid w:val="002535E4"/>
    <w:rsid w:val="002539AC"/>
    <w:rsid w:val="002539B6"/>
    <w:rsid w:val="00253A48"/>
    <w:rsid w:val="00253B6D"/>
    <w:rsid w:val="00253C52"/>
    <w:rsid w:val="00253C72"/>
    <w:rsid w:val="00253D92"/>
    <w:rsid w:val="00253DD7"/>
    <w:rsid w:val="00253F4F"/>
    <w:rsid w:val="00253FA8"/>
    <w:rsid w:val="002541F0"/>
    <w:rsid w:val="002542D5"/>
    <w:rsid w:val="002544F0"/>
    <w:rsid w:val="00254603"/>
    <w:rsid w:val="00254700"/>
    <w:rsid w:val="002547A2"/>
    <w:rsid w:val="00254991"/>
    <w:rsid w:val="00254BCE"/>
    <w:rsid w:val="00254C77"/>
    <w:rsid w:val="00254D77"/>
    <w:rsid w:val="00254E49"/>
    <w:rsid w:val="00254E78"/>
    <w:rsid w:val="00254F4A"/>
    <w:rsid w:val="00254FFB"/>
    <w:rsid w:val="00255175"/>
    <w:rsid w:val="002552A1"/>
    <w:rsid w:val="0025539F"/>
    <w:rsid w:val="002554A7"/>
    <w:rsid w:val="00255559"/>
    <w:rsid w:val="0025564A"/>
    <w:rsid w:val="00255881"/>
    <w:rsid w:val="00255937"/>
    <w:rsid w:val="00255B91"/>
    <w:rsid w:val="00255CDD"/>
    <w:rsid w:val="00255DF0"/>
    <w:rsid w:val="00255F7A"/>
    <w:rsid w:val="0025610F"/>
    <w:rsid w:val="00256114"/>
    <w:rsid w:val="0025617E"/>
    <w:rsid w:val="0025619B"/>
    <w:rsid w:val="002561C7"/>
    <w:rsid w:val="00256348"/>
    <w:rsid w:val="002563A3"/>
    <w:rsid w:val="0025649E"/>
    <w:rsid w:val="002564A2"/>
    <w:rsid w:val="00256656"/>
    <w:rsid w:val="00256677"/>
    <w:rsid w:val="0025675B"/>
    <w:rsid w:val="002567C7"/>
    <w:rsid w:val="00256A60"/>
    <w:rsid w:val="00256AF2"/>
    <w:rsid w:val="00256B14"/>
    <w:rsid w:val="00256CCD"/>
    <w:rsid w:val="00256D28"/>
    <w:rsid w:val="00256F99"/>
    <w:rsid w:val="0025716E"/>
    <w:rsid w:val="002574A9"/>
    <w:rsid w:val="00257533"/>
    <w:rsid w:val="002575C2"/>
    <w:rsid w:val="002575F6"/>
    <w:rsid w:val="002577F3"/>
    <w:rsid w:val="002578C7"/>
    <w:rsid w:val="00257B3B"/>
    <w:rsid w:val="00257B61"/>
    <w:rsid w:val="00257B74"/>
    <w:rsid w:val="00257B96"/>
    <w:rsid w:val="00257C54"/>
    <w:rsid w:val="00257D59"/>
    <w:rsid w:val="00257E4F"/>
    <w:rsid w:val="00257F54"/>
    <w:rsid w:val="00260126"/>
    <w:rsid w:val="002605BC"/>
    <w:rsid w:val="0026066F"/>
    <w:rsid w:val="0026071E"/>
    <w:rsid w:val="00260813"/>
    <w:rsid w:val="0026084E"/>
    <w:rsid w:val="002608F5"/>
    <w:rsid w:val="002609E8"/>
    <w:rsid w:val="002609F1"/>
    <w:rsid w:val="00260B19"/>
    <w:rsid w:val="00260DDB"/>
    <w:rsid w:val="00260E9E"/>
    <w:rsid w:val="0026100D"/>
    <w:rsid w:val="0026101D"/>
    <w:rsid w:val="00261044"/>
    <w:rsid w:val="0026145C"/>
    <w:rsid w:val="00261569"/>
    <w:rsid w:val="002616C1"/>
    <w:rsid w:val="0026175C"/>
    <w:rsid w:val="00261796"/>
    <w:rsid w:val="0026190C"/>
    <w:rsid w:val="0026197B"/>
    <w:rsid w:val="00261C50"/>
    <w:rsid w:val="00261DF6"/>
    <w:rsid w:val="00261EBA"/>
    <w:rsid w:val="00262005"/>
    <w:rsid w:val="00262262"/>
    <w:rsid w:val="002622F0"/>
    <w:rsid w:val="002625E7"/>
    <w:rsid w:val="0026278D"/>
    <w:rsid w:val="0026279B"/>
    <w:rsid w:val="0026293E"/>
    <w:rsid w:val="00262A6A"/>
    <w:rsid w:val="00262AF7"/>
    <w:rsid w:val="00262AFD"/>
    <w:rsid w:val="00262B11"/>
    <w:rsid w:val="00262B75"/>
    <w:rsid w:val="00262C5A"/>
    <w:rsid w:val="00262CAB"/>
    <w:rsid w:val="00262D33"/>
    <w:rsid w:val="00262E46"/>
    <w:rsid w:val="002630C0"/>
    <w:rsid w:val="00263304"/>
    <w:rsid w:val="0026336A"/>
    <w:rsid w:val="002633CC"/>
    <w:rsid w:val="0026340A"/>
    <w:rsid w:val="002634C9"/>
    <w:rsid w:val="00263589"/>
    <w:rsid w:val="00263617"/>
    <w:rsid w:val="0026365F"/>
    <w:rsid w:val="0026367E"/>
    <w:rsid w:val="00263808"/>
    <w:rsid w:val="0026382B"/>
    <w:rsid w:val="00263A00"/>
    <w:rsid w:val="00263AA8"/>
    <w:rsid w:val="00263CEC"/>
    <w:rsid w:val="00263CF3"/>
    <w:rsid w:val="00263DCC"/>
    <w:rsid w:val="00263E9D"/>
    <w:rsid w:val="00263EA2"/>
    <w:rsid w:val="00263EC2"/>
    <w:rsid w:val="00263F8A"/>
    <w:rsid w:val="00263F99"/>
    <w:rsid w:val="00263FD2"/>
    <w:rsid w:val="00264203"/>
    <w:rsid w:val="002643A2"/>
    <w:rsid w:val="002643B5"/>
    <w:rsid w:val="00264473"/>
    <w:rsid w:val="00264895"/>
    <w:rsid w:val="002648A7"/>
    <w:rsid w:val="002649B5"/>
    <w:rsid w:val="00264AC4"/>
    <w:rsid w:val="00264C42"/>
    <w:rsid w:val="00264C9D"/>
    <w:rsid w:val="00264F44"/>
    <w:rsid w:val="00264FD1"/>
    <w:rsid w:val="00265352"/>
    <w:rsid w:val="00265419"/>
    <w:rsid w:val="002654FF"/>
    <w:rsid w:val="00265700"/>
    <w:rsid w:val="00265979"/>
    <w:rsid w:val="002659DE"/>
    <w:rsid w:val="00265AD5"/>
    <w:rsid w:val="00265B9E"/>
    <w:rsid w:val="00265BFC"/>
    <w:rsid w:val="00265C6C"/>
    <w:rsid w:val="00265C7A"/>
    <w:rsid w:val="00265E43"/>
    <w:rsid w:val="00265F2F"/>
    <w:rsid w:val="002661C9"/>
    <w:rsid w:val="002662EF"/>
    <w:rsid w:val="00266363"/>
    <w:rsid w:val="00266420"/>
    <w:rsid w:val="00266602"/>
    <w:rsid w:val="00266659"/>
    <w:rsid w:val="00266683"/>
    <w:rsid w:val="002668F2"/>
    <w:rsid w:val="0026696C"/>
    <w:rsid w:val="00266B47"/>
    <w:rsid w:val="00266C08"/>
    <w:rsid w:val="00266C2F"/>
    <w:rsid w:val="00266C3C"/>
    <w:rsid w:val="00266E78"/>
    <w:rsid w:val="00266F3A"/>
    <w:rsid w:val="00266F48"/>
    <w:rsid w:val="00267056"/>
    <w:rsid w:val="002671B0"/>
    <w:rsid w:val="00267224"/>
    <w:rsid w:val="0026729C"/>
    <w:rsid w:val="002672BC"/>
    <w:rsid w:val="002672D5"/>
    <w:rsid w:val="00267342"/>
    <w:rsid w:val="002673D7"/>
    <w:rsid w:val="002673FF"/>
    <w:rsid w:val="0026745D"/>
    <w:rsid w:val="002675F9"/>
    <w:rsid w:val="00267768"/>
    <w:rsid w:val="00267780"/>
    <w:rsid w:val="002677E8"/>
    <w:rsid w:val="0026784D"/>
    <w:rsid w:val="0026786F"/>
    <w:rsid w:val="0026789B"/>
    <w:rsid w:val="00267A77"/>
    <w:rsid w:val="00267ADC"/>
    <w:rsid w:val="00267C5B"/>
    <w:rsid w:val="00267C75"/>
    <w:rsid w:val="00267CCD"/>
    <w:rsid w:val="00267CDE"/>
    <w:rsid w:val="00267D69"/>
    <w:rsid w:val="00267D75"/>
    <w:rsid w:val="00267F05"/>
    <w:rsid w:val="002700B0"/>
    <w:rsid w:val="002700C4"/>
    <w:rsid w:val="00270108"/>
    <w:rsid w:val="00270205"/>
    <w:rsid w:val="00270321"/>
    <w:rsid w:val="0027051D"/>
    <w:rsid w:val="002706B0"/>
    <w:rsid w:val="00270823"/>
    <w:rsid w:val="00270931"/>
    <w:rsid w:val="00270969"/>
    <w:rsid w:val="00270A20"/>
    <w:rsid w:val="00270A5E"/>
    <w:rsid w:val="00270CCF"/>
    <w:rsid w:val="00270CDC"/>
    <w:rsid w:val="00270FB1"/>
    <w:rsid w:val="00270FF7"/>
    <w:rsid w:val="00271075"/>
    <w:rsid w:val="002710DF"/>
    <w:rsid w:val="0027111B"/>
    <w:rsid w:val="002711A1"/>
    <w:rsid w:val="00271286"/>
    <w:rsid w:val="002712C8"/>
    <w:rsid w:val="002713CD"/>
    <w:rsid w:val="00271427"/>
    <w:rsid w:val="002716F4"/>
    <w:rsid w:val="00271803"/>
    <w:rsid w:val="0027189D"/>
    <w:rsid w:val="00271940"/>
    <w:rsid w:val="00271AC8"/>
    <w:rsid w:val="00271AE8"/>
    <w:rsid w:val="00271C3C"/>
    <w:rsid w:val="00271E25"/>
    <w:rsid w:val="00271E96"/>
    <w:rsid w:val="00271EF1"/>
    <w:rsid w:val="0027211F"/>
    <w:rsid w:val="00272132"/>
    <w:rsid w:val="0027217B"/>
    <w:rsid w:val="002721E8"/>
    <w:rsid w:val="00272203"/>
    <w:rsid w:val="0027223D"/>
    <w:rsid w:val="002723A3"/>
    <w:rsid w:val="002723B0"/>
    <w:rsid w:val="002724AF"/>
    <w:rsid w:val="00272589"/>
    <w:rsid w:val="002725A9"/>
    <w:rsid w:val="002726A1"/>
    <w:rsid w:val="0027279F"/>
    <w:rsid w:val="002727F2"/>
    <w:rsid w:val="0027283E"/>
    <w:rsid w:val="002728E8"/>
    <w:rsid w:val="00272918"/>
    <w:rsid w:val="00272B02"/>
    <w:rsid w:val="00272B55"/>
    <w:rsid w:val="00272BED"/>
    <w:rsid w:val="00272C24"/>
    <w:rsid w:val="00272C8C"/>
    <w:rsid w:val="00272DD5"/>
    <w:rsid w:val="00272DDC"/>
    <w:rsid w:val="00272EC8"/>
    <w:rsid w:val="00272F1F"/>
    <w:rsid w:val="0027304A"/>
    <w:rsid w:val="002730AD"/>
    <w:rsid w:val="00273127"/>
    <w:rsid w:val="002731C5"/>
    <w:rsid w:val="0027326A"/>
    <w:rsid w:val="0027357C"/>
    <w:rsid w:val="00273842"/>
    <w:rsid w:val="00273C86"/>
    <w:rsid w:val="00273E10"/>
    <w:rsid w:val="00273F34"/>
    <w:rsid w:val="00274300"/>
    <w:rsid w:val="002743A1"/>
    <w:rsid w:val="002743C4"/>
    <w:rsid w:val="00274445"/>
    <w:rsid w:val="002744FD"/>
    <w:rsid w:val="0027488A"/>
    <w:rsid w:val="00274ACA"/>
    <w:rsid w:val="00274C05"/>
    <w:rsid w:val="00274D81"/>
    <w:rsid w:val="00274DC6"/>
    <w:rsid w:val="00274E09"/>
    <w:rsid w:val="00274E3C"/>
    <w:rsid w:val="00274F88"/>
    <w:rsid w:val="0027518A"/>
    <w:rsid w:val="002751BF"/>
    <w:rsid w:val="002751E5"/>
    <w:rsid w:val="002752DD"/>
    <w:rsid w:val="002754DA"/>
    <w:rsid w:val="00275651"/>
    <w:rsid w:val="00275726"/>
    <w:rsid w:val="00275AC2"/>
    <w:rsid w:val="00275BDB"/>
    <w:rsid w:val="00275D2A"/>
    <w:rsid w:val="00275E47"/>
    <w:rsid w:val="00275E49"/>
    <w:rsid w:val="00275F3E"/>
    <w:rsid w:val="00275F95"/>
    <w:rsid w:val="00276122"/>
    <w:rsid w:val="00276428"/>
    <w:rsid w:val="00276436"/>
    <w:rsid w:val="00276479"/>
    <w:rsid w:val="002764DF"/>
    <w:rsid w:val="0027653B"/>
    <w:rsid w:val="002766F8"/>
    <w:rsid w:val="00276869"/>
    <w:rsid w:val="00276899"/>
    <w:rsid w:val="00276988"/>
    <w:rsid w:val="00276997"/>
    <w:rsid w:val="00276A47"/>
    <w:rsid w:val="00276BB0"/>
    <w:rsid w:val="00276D99"/>
    <w:rsid w:val="00276E9B"/>
    <w:rsid w:val="00276EFE"/>
    <w:rsid w:val="00277074"/>
    <w:rsid w:val="00277075"/>
    <w:rsid w:val="0027726C"/>
    <w:rsid w:val="002772CC"/>
    <w:rsid w:val="00277405"/>
    <w:rsid w:val="0027743D"/>
    <w:rsid w:val="002774FC"/>
    <w:rsid w:val="00277549"/>
    <w:rsid w:val="0027769C"/>
    <w:rsid w:val="0027783B"/>
    <w:rsid w:val="0027799C"/>
    <w:rsid w:val="00277B50"/>
    <w:rsid w:val="00277C59"/>
    <w:rsid w:val="00277F2F"/>
    <w:rsid w:val="00277F7E"/>
    <w:rsid w:val="0028005D"/>
    <w:rsid w:val="00280114"/>
    <w:rsid w:val="002802B3"/>
    <w:rsid w:val="0028038E"/>
    <w:rsid w:val="0028043A"/>
    <w:rsid w:val="00280506"/>
    <w:rsid w:val="0028055A"/>
    <w:rsid w:val="00280632"/>
    <w:rsid w:val="002806C5"/>
    <w:rsid w:val="00280829"/>
    <w:rsid w:val="002809BB"/>
    <w:rsid w:val="002809E5"/>
    <w:rsid w:val="00280AE8"/>
    <w:rsid w:val="00280B58"/>
    <w:rsid w:val="00280BE2"/>
    <w:rsid w:val="0028101F"/>
    <w:rsid w:val="00281034"/>
    <w:rsid w:val="0028118B"/>
    <w:rsid w:val="002811AD"/>
    <w:rsid w:val="002812C9"/>
    <w:rsid w:val="00281456"/>
    <w:rsid w:val="002817F4"/>
    <w:rsid w:val="002818D9"/>
    <w:rsid w:val="00281A18"/>
    <w:rsid w:val="00281C6E"/>
    <w:rsid w:val="00281D25"/>
    <w:rsid w:val="00281DB8"/>
    <w:rsid w:val="00281E19"/>
    <w:rsid w:val="00281EFB"/>
    <w:rsid w:val="00281F94"/>
    <w:rsid w:val="0028205C"/>
    <w:rsid w:val="00282096"/>
    <w:rsid w:val="002820CC"/>
    <w:rsid w:val="002820D7"/>
    <w:rsid w:val="00282101"/>
    <w:rsid w:val="0028210A"/>
    <w:rsid w:val="00282231"/>
    <w:rsid w:val="002824C0"/>
    <w:rsid w:val="00282575"/>
    <w:rsid w:val="002825F6"/>
    <w:rsid w:val="00282672"/>
    <w:rsid w:val="00282741"/>
    <w:rsid w:val="00282EF5"/>
    <w:rsid w:val="00282F18"/>
    <w:rsid w:val="0028308D"/>
    <w:rsid w:val="002833C3"/>
    <w:rsid w:val="002833DA"/>
    <w:rsid w:val="0028342C"/>
    <w:rsid w:val="0028346D"/>
    <w:rsid w:val="002834B6"/>
    <w:rsid w:val="002834D8"/>
    <w:rsid w:val="00283591"/>
    <w:rsid w:val="002835A9"/>
    <w:rsid w:val="002835E8"/>
    <w:rsid w:val="002837D1"/>
    <w:rsid w:val="00283897"/>
    <w:rsid w:val="0028394F"/>
    <w:rsid w:val="002839A6"/>
    <w:rsid w:val="00283AC4"/>
    <w:rsid w:val="00283ECB"/>
    <w:rsid w:val="00283F8B"/>
    <w:rsid w:val="002842B9"/>
    <w:rsid w:val="00284428"/>
    <w:rsid w:val="0028449A"/>
    <w:rsid w:val="002845C2"/>
    <w:rsid w:val="002846D6"/>
    <w:rsid w:val="00284817"/>
    <w:rsid w:val="0028491B"/>
    <w:rsid w:val="002849EB"/>
    <w:rsid w:val="002849F3"/>
    <w:rsid w:val="00284A35"/>
    <w:rsid w:val="00284D0D"/>
    <w:rsid w:val="00284D2D"/>
    <w:rsid w:val="00284D3E"/>
    <w:rsid w:val="00284FE5"/>
    <w:rsid w:val="0028507E"/>
    <w:rsid w:val="0028509F"/>
    <w:rsid w:val="00285628"/>
    <w:rsid w:val="00285820"/>
    <w:rsid w:val="0028590E"/>
    <w:rsid w:val="0028593E"/>
    <w:rsid w:val="00285984"/>
    <w:rsid w:val="00285B66"/>
    <w:rsid w:val="00285B98"/>
    <w:rsid w:val="00285BFF"/>
    <w:rsid w:val="00285CC9"/>
    <w:rsid w:val="00285E0E"/>
    <w:rsid w:val="00285EF6"/>
    <w:rsid w:val="00285F25"/>
    <w:rsid w:val="00286031"/>
    <w:rsid w:val="0028603A"/>
    <w:rsid w:val="00286247"/>
    <w:rsid w:val="002862EE"/>
    <w:rsid w:val="00286513"/>
    <w:rsid w:val="002868B9"/>
    <w:rsid w:val="00286A04"/>
    <w:rsid w:val="00286B53"/>
    <w:rsid w:val="00286CA4"/>
    <w:rsid w:val="00286D7C"/>
    <w:rsid w:val="00286DD7"/>
    <w:rsid w:val="00286E2D"/>
    <w:rsid w:val="00286E91"/>
    <w:rsid w:val="00286E96"/>
    <w:rsid w:val="00286EA8"/>
    <w:rsid w:val="00286F06"/>
    <w:rsid w:val="00286FB2"/>
    <w:rsid w:val="002870A5"/>
    <w:rsid w:val="0028720B"/>
    <w:rsid w:val="00287295"/>
    <w:rsid w:val="002872AE"/>
    <w:rsid w:val="002872C6"/>
    <w:rsid w:val="0028750F"/>
    <w:rsid w:val="002875EC"/>
    <w:rsid w:val="0028782B"/>
    <w:rsid w:val="00287855"/>
    <w:rsid w:val="00287A92"/>
    <w:rsid w:val="00287B43"/>
    <w:rsid w:val="00287C74"/>
    <w:rsid w:val="00287D07"/>
    <w:rsid w:val="00287E32"/>
    <w:rsid w:val="00287F3D"/>
    <w:rsid w:val="00287F94"/>
    <w:rsid w:val="0029004B"/>
    <w:rsid w:val="00290216"/>
    <w:rsid w:val="0029026D"/>
    <w:rsid w:val="0029037C"/>
    <w:rsid w:val="0029052D"/>
    <w:rsid w:val="0029057A"/>
    <w:rsid w:val="00290599"/>
    <w:rsid w:val="0029066C"/>
    <w:rsid w:val="00290683"/>
    <w:rsid w:val="002908F3"/>
    <w:rsid w:val="002908F4"/>
    <w:rsid w:val="00290AFC"/>
    <w:rsid w:val="00290C98"/>
    <w:rsid w:val="00290EB3"/>
    <w:rsid w:val="00290F7C"/>
    <w:rsid w:val="00290FAD"/>
    <w:rsid w:val="00291160"/>
    <w:rsid w:val="00291268"/>
    <w:rsid w:val="00291279"/>
    <w:rsid w:val="002913B0"/>
    <w:rsid w:val="00291421"/>
    <w:rsid w:val="002918A3"/>
    <w:rsid w:val="002918CB"/>
    <w:rsid w:val="00291E1E"/>
    <w:rsid w:val="00291E4B"/>
    <w:rsid w:val="00291EA5"/>
    <w:rsid w:val="00292089"/>
    <w:rsid w:val="002920B2"/>
    <w:rsid w:val="002920CD"/>
    <w:rsid w:val="002920D6"/>
    <w:rsid w:val="00292164"/>
    <w:rsid w:val="0029219A"/>
    <w:rsid w:val="002922D7"/>
    <w:rsid w:val="0029230C"/>
    <w:rsid w:val="0029247F"/>
    <w:rsid w:val="00292541"/>
    <w:rsid w:val="00292751"/>
    <w:rsid w:val="00292923"/>
    <w:rsid w:val="0029298A"/>
    <w:rsid w:val="00292BC9"/>
    <w:rsid w:val="00292D6D"/>
    <w:rsid w:val="00292EFA"/>
    <w:rsid w:val="00293163"/>
    <w:rsid w:val="002932A0"/>
    <w:rsid w:val="00293500"/>
    <w:rsid w:val="00293690"/>
    <w:rsid w:val="0029378E"/>
    <w:rsid w:val="002938A7"/>
    <w:rsid w:val="002938C3"/>
    <w:rsid w:val="00293960"/>
    <w:rsid w:val="0029397C"/>
    <w:rsid w:val="00293A3A"/>
    <w:rsid w:val="00293A83"/>
    <w:rsid w:val="00293BDA"/>
    <w:rsid w:val="00293C91"/>
    <w:rsid w:val="00293CBB"/>
    <w:rsid w:val="00293E89"/>
    <w:rsid w:val="00293EEF"/>
    <w:rsid w:val="00293EF5"/>
    <w:rsid w:val="00293FB1"/>
    <w:rsid w:val="00293FBD"/>
    <w:rsid w:val="00294175"/>
    <w:rsid w:val="00294289"/>
    <w:rsid w:val="002943B1"/>
    <w:rsid w:val="002943E7"/>
    <w:rsid w:val="0029477C"/>
    <w:rsid w:val="002949F0"/>
    <w:rsid w:val="00294A92"/>
    <w:rsid w:val="00294C79"/>
    <w:rsid w:val="00294D27"/>
    <w:rsid w:val="00294E5F"/>
    <w:rsid w:val="00294FDE"/>
    <w:rsid w:val="002950B8"/>
    <w:rsid w:val="002952CD"/>
    <w:rsid w:val="002953C6"/>
    <w:rsid w:val="002955D7"/>
    <w:rsid w:val="002956A9"/>
    <w:rsid w:val="002956BB"/>
    <w:rsid w:val="00295768"/>
    <w:rsid w:val="002958EC"/>
    <w:rsid w:val="00295BF6"/>
    <w:rsid w:val="00295C03"/>
    <w:rsid w:val="00295D02"/>
    <w:rsid w:val="00295D0E"/>
    <w:rsid w:val="00295D5F"/>
    <w:rsid w:val="00295D7D"/>
    <w:rsid w:val="00295E22"/>
    <w:rsid w:val="00295E37"/>
    <w:rsid w:val="00295EF1"/>
    <w:rsid w:val="00296359"/>
    <w:rsid w:val="00296382"/>
    <w:rsid w:val="0029638A"/>
    <w:rsid w:val="0029652B"/>
    <w:rsid w:val="002965A6"/>
    <w:rsid w:val="0029665E"/>
    <w:rsid w:val="00296790"/>
    <w:rsid w:val="002967A0"/>
    <w:rsid w:val="00296860"/>
    <w:rsid w:val="00296F9F"/>
    <w:rsid w:val="002970D5"/>
    <w:rsid w:val="00297160"/>
    <w:rsid w:val="002971B0"/>
    <w:rsid w:val="0029727D"/>
    <w:rsid w:val="0029737B"/>
    <w:rsid w:val="0029751D"/>
    <w:rsid w:val="002975DE"/>
    <w:rsid w:val="002976C0"/>
    <w:rsid w:val="00297729"/>
    <w:rsid w:val="00297792"/>
    <w:rsid w:val="0029785F"/>
    <w:rsid w:val="00297AB9"/>
    <w:rsid w:val="00297CF7"/>
    <w:rsid w:val="00297D55"/>
    <w:rsid w:val="00297DAF"/>
    <w:rsid w:val="00297F87"/>
    <w:rsid w:val="00297FFD"/>
    <w:rsid w:val="002A00B6"/>
    <w:rsid w:val="002A0140"/>
    <w:rsid w:val="002A0159"/>
    <w:rsid w:val="002A01AB"/>
    <w:rsid w:val="002A0347"/>
    <w:rsid w:val="002A0523"/>
    <w:rsid w:val="002A05A2"/>
    <w:rsid w:val="002A0810"/>
    <w:rsid w:val="002A0963"/>
    <w:rsid w:val="002A0C06"/>
    <w:rsid w:val="002A0D25"/>
    <w:rsid w:val="002A0D6D"/>
    <w:rsid w:val="002A0DA2"/>
    <w:rsid w:val="002A0E97"/>
    <w:rsid w:val="002A1129"/>
    <w:rsid w:val="002A118C"/>
    <w:rsid w:val="002A12FF"/>
    <w:rsid w:val="002A1387"/>
    <w:rsid w:val="002A13FC"/>
    <w:rsid w:val="002A140F"/>
    <w:rsid w:val="002A142D"/>
    <w:rsid w:val="002A1470"/>
    <w:rsid w:val="002A1570"/>
    <w:rsid w:val="002A1723"/>
    <w:rsid w:val="002A1804"/>
    <w:rsid w:val="002A18F9"/>
    <w:rsid w:val="002A190E"/>
    <w:rsid w:val="002A1946"/>
    <w:rsid w:val="002A197E"/>
    <w:rsid w:val="002A1C55"/>
    <w:rsid w:val="002A1CFE"/>
    <w:rsid w:val="002A1DE6"/>
    <w:rsid w:val="002A1FE6"/>
    <w:rsid w:val="002A229C"/>
    <w:rsid w:val="002A22EA"/>
    <w:rsid w:val="002A23D9"/>
    <w:rsid w:val="002A2437"/>
    <w:rsid w:val="002A2574"/>
    <w:rsid w:val="002A26D4"/>
    <w:rsid w:val="002A273E"/>
    <w:rsid w:val="002A276F"/>
    <w:rsid w:val="002A2833"/>
    <w:rsid w:val="002A28AC"/>
    <w:rsid w:val="002A2C63"/>
    <w:rsid w:val="002A2D53"/>
    <w:rsid w:val="002A31FA"/>
    <w:rsid w:val="002A3323"/>
    <w:rsid w:val="002A337F"/>
    <w:rsid w:val="002A3393"/>
    <w:rsid w:val="002A3579"/>
    <w:rsid w:val="002A3707"/>
    <w:rsid w:val="002A3944"/>
    <w:rsid w:val="002A3BA0"/>
    <w:rsid w:val="002A3C56"/>
    <w:rsid w:val="002A3CC7"/>
    <w:rsid w:val="002A3CDC"/>
    <w:rsid w:val="002A3D04"/>
    <w:rsid w:val="002A3D27"/>
    <w:rsid w:val="002A3D5D"/>
    <w:rsid w:val="002A3EE7"/>
    <w:rsid w:val="002A3F56"/>
    <w:rsid w:val="002A3F7B"/>
    <w:rsid w:val="002A4029"/>
    <w:rsid w:val="002A4178"/>
    <w:rsid w:val="002A418C"/>
    <w:rsid w:val="002A419A"/>
    <w:rsid w:val="002A42EC"/>
    <w:rsid w:val="002A4319"/>
    <w:rsid w:val="002A4409"/>
    <w:rsid w:val="002A4422"/>
    <w:rsid w:val="002A45E3"/>
    <w:rsid w:val="002A462D"/>
    <w:rsid w:val="002A4666"/>
    <w:rsid w:val="002A490A"/>
    <w:rsid w:val="002A49AA"/>
    <w:rsid w:val="002A49B3"/>
    <w:rsid w:val="002A4AFA"/>
    <w:rsid w:val="002A4C99"/>
    <w:rsid w:val="002A4D03"/>
    <w:rsid w:val="002A4D4F"/>
    <w:rsid w:val="002A4D84"/>
    <w:rsid w:val="002A4E08"/>
    <w:rsid w:val="002A4F59"/>
    <w:rsid w:val="002A4FB8"/>
    <w:rsid w:val="002A4FF2"/>
    <w:rsid w:val="002A508B"/>
    <w:rsid w:val="002A51DA"/>
    <w:rsid w:val="002A522B"/>
    <w:rsid w:val="002A537F"/>
    <w:rsid w:val="002A5585"/>
    <w:rsid w:val="002A55FF"/>
    <w:rsid w:val="002A5618"/>
    <w:rsid w:val="002A5666"/>
    <w:rsid w:val="002A56B6"/>
    <w:rsid w:val="002A5A96"/>
    <w:rsid w:val="002A5AF9"/>
    <w:rsid w:val="002A5BCE"/>
    <w:rsid w:val="002A5CE6"/>
    <w:rsid w:val="002A5D1B"/>
    <w:rsid w:val="002A5D6C"/>
    <w:rsid w:val="002A5E1E"/>
    <w:rsid w:val="002A60C2"/>
    <w:rsid w:val="002A60CD"/>
    <w:rsid w:val="002A61E6"/>
    <w:rsid w:val="002A622B"/>
    <w:rsid w:val="002A625A"/>
    <w:rsid w:val="002A6445"/>
    <w:rsid w:val="002A66A0"/>
    <w:rsid w:val="002A66CF"/>
    <w:rsid w:val="002A6742"/>
    <w:rsid w:val="002A68EC"/>
    <w:rsid w:val="002A68FB"/>
    <w:rsid w:val="002A6B42"/>
    <w:rsid w:val="002A6BC0"/>
    <w:rsid w:val="002A6BE1"/>
    <w:rsid w:val="002A6BEF"/>
    <w:rsid w:val="002A6D99"/>
    <w:rsid w:val="002A701A"/>
    <w:rsid w:val="002A71EE"/>
    <w:rsid w:val="002A7338"/>
    <w:rsid w:val="002A736D"/>
    <w:rsid w:val="002A739D"/>
    <w:rsid w:val="002A73BC"/>
    <w:rsid w:val="002A7581"/>
    <w:rsid w:val="002A75D7"/>
    <w:rsid w:val="002A7645"/>
    <w:rsid w:val="002A764E"/>
    <w:rsid w:val="002A765E"/>
    <w:rsid w:val="002A76F3"/>
    <w:rsid w:val="002A7880"/>
    <w:rsid w:val="002A7949"/>
    <w:rsid w:val="002A7974"/>
    <w:rsid w:val="002A79FB"/>
    <w:rsid w:val="002A7A7F"/>
    <w:rsid w:val="002A7B2A"/>
    <w:rsid w:val="002A7D0E"/>
    <w:rsid w:val="002A7DE6"/>
    <w:rsid w:val="002A7EC4"/>
    <w:rsid w:val="002A7F7B"/>
    <w:rsid w:val="002A7FEC"/>
    <w:rsid w:val="002B001F"/>
    <w:rsid w:val="002B0192"/>
    <w:rsid w:val="002B038B"/>
    <w:rsid w:val="002B0402"/>
    <w:rsid w:val="002B0429"/>
    <w:rsid w:val="002B05A8"/>
    <w:rsid w:val="002B072D"/>
    <w:rsid w:val="002B0750"/>
    <w:rsid w:val="002B0837"/>
    <w:rsid w:val="002B0902"/>
    <w:rsid w:val="002B0A18"/>
    <w:rsid w:val="002B0A72"/>
    <w:rsid w:val="002B0B5E"/>
    <w:rsid w:val="002B0C57"/>
    <w:rsid w:val="002B0CB5"/>
    <w:rsid w:val="002B0E7A"/>
    <w:rsid w:val="002B10CE"/>
    <w:rsid w:val="002B145B"/>
    <w:rsid w:val="002B1476"/>
    <w:rsid w:val="002B148A"/>
    <w:rsid w:val="002B14E2"/>
    <w:rsid w:val="002B1539"/>
    <w:rsid w:val="002B1704"/>
    <w:rsid w:val="002B172C"/>
    <w:rsid w:val="002B1BB8"/>
    <w:rsid w:val="002B1BD8"/>
    <w:rsid w:val="002B1C38"/>
    <w:rsid w:val="002B227A"/>
    <w:rsid w:val="002B2284"/>
    <w:rsid w:val="002B233A"/>
    <w:rsid w:val="002B2370"/>
    <w:rsid w:val="002B2669"/>
    <w:rsid w:val="002B26C7"/>
    <w:rsid w:val="002B26FB"/>
    <w:rsid w:val="002B286F"/>
    <w:rsid w:val="002B2885"/>
    <w:rsid w:val="002B2915"/>
    <w:rsid w:val="002B2A84"/>
    <w:rsid w:val="002B2AE2"/>
    <w:rsid w:val="002B2B0B"/>
    <w:rsid w:val="002B2B53"/>
    <w:rsid w:val="002B2BDE"/>
    <w:rsid w:val="002B2C3B"/>
    <w:rsid w:val="002B2CBD"/>
    <w:rsid w:val="002B2D75"/>
    <w:rsid w:val="002B2DD6"/>
    <w:rsid w:val="002B2EE5"/>
    <w:rsid w:val="002B3110"/>
    <w:rsid w:val="002B327C"/>
    <w:rsid w:val="002B3338"/>
    <w:rsid w:val="002B3446"/>
    <w:rsid w:val="002B358D"/>
    <w:rsid w:val="002B35A0"/>
    <w:rsid w:val="002B3650"/>
    <w:rsid w:val="002B37A9"/>
    <w:rsid w:val="002B3906"/>
    <w:rsid w:val="002B3972"/>
    <w:rsid w:val="002B3B96"/>
    <w:rsid w:val="002B3BD9"/>
    <w:rsid w:val="002B3C6C"/>
    <w:rsid w:val="002B3D76"/>
    <w:rsid w:val="002B3E71"/>
    <w:rsid w:val="002B4237"/>
    <w:rsid w:val="002B42C1"/>
    <w:rsid w:val="002B42D2"/>
    <w:rsid w:val="002B43E7"/>
    <w:rsid w:val="002B443A"/>
    <w:rsid w:val="002B4460"/>
    <w:rsid w:val="002B4488"/>
    <w:rsid w:val="002B460F"/>
    <w:rsid w:val="002B46E3"/>
    <w:rsid w:val="002B497D"/>
    <w:rsid w:val="002B49FE"/>
    <w:rsid w:val="002B4AC2"/>
    <w:rsid w:val="002B4B6B"/>
    <w:rsid w:val="002B4C25"/>
    <w:rsid w:val="002B4C50"/>
    <w:rsid w:val="002B4C6E"/>
    <w:rsid w:val="002B4F17"/>
    <w:rsid w:val="002B4F64"/>
    <w:rsid w:val="002B516F"/>
    <w:rsid w:val="002B52E4"/>
    <w:rsid w:val="002B5304"/>
    <w:rsid w:val="002B5395"/>
    <w:rsid w:val="002B5472"/>
    <w:rsid w:val="002B54FC"/>
    <w:rsid w:val="002B5509"/>
    <w:rsid w:val="002B55B3"/>
    <w:rsid w:val="002B563A"/>
    <w:rsid w:val="002B5753"/>
    <w:rsid w:val="002B57BA"/>
    <w:rsid w:val="002B591E"/>
    <w:rsid w:val="002B5A9A"/>
    <w:rsid w:val="002B5C7A"/>
    <w:rsid w:val="002B5F85"/>
    <w:rsid w:val="002B601C"/>
    <w:rsid w:val="002B61D7"/>
    <w:rsid w:val="002B628D"/>
    <w:rsid w:val="002B649F"/>
    <w:rsid w:val="002B6504"/>
    <w:rsid w:val="002B6697"/>
    <w:rsid w:val="002B66C9"/>
    <w:rsid w:val="002B673C"/>
    <w:rsid w:val="002B6742"/>
    <w:rsid w:val="002B6793"/>
    <w:rsid w:val="002B67F3"/>
    <w:rsid w:val="002B68E2"/>
    <w:rsid w:val="002B6A53"/>
    <w:rsid w:val="002B6BD7"/>
    <w:rsid w:val="002B6BDB"/>
    <w:rsid w:val="002B6C52"/>
    <w:rsid w:val="002B6E17"/>
    <w:rsid w:val="002B6E75"/>
    <w:rsid w:val="002B6EC5"/>
    <w:rsid w:val="002B71E3"/>
    <w:rsid w:val="002B71EA"/>
    <w:rsid w:val="002B751F"/>
    <w:rsid w:val="002B75F5"/>
    <w:rsid w:val="002B76BF"/>
    <w:rsid w:val="002B7704"/>
    <w:rsid w:val="002B7756"/>
    <w:rsid w:val="002B787F"/>
    <w:rsid w:val="002B7953"/>
    <w:rsid w:val="002B7BBE"/>
    <w:rsid w:val="002B7CEF"/>
    <w:rsid w:val="002B7CF2"/>
    <w:rsid w:val="002B7E94"/>
    <w:rsid w:val="002C000E"/>
    <w:rsid w:val="002C001D"/>
    <w:rsid w:val="002C0050"/>
    <w:rsid w:val="002C0056"/>
    <w:rsid w:val="002C0175"/>
    <w:rsid w:val="002C0205"/>
    <w:rsid w:val="002C0284"/>
    <w:rsid w:val="002C0390"/>
    <w:rsid w:val="002C03DB"/>
    <w:rsid w:val="002C05C1"/>
    <w:rsid w:val="002C05FA"/>
    <w:rsid w:val="002C083A"/>
    <w:rsid w:val="002C0954"/>
    <w:rsid w:val="002C0A2E"/>
    <w:rsid w:val="002C0A51"/>
    <w:rsid w:val="002C0B42"/>
    <w:rsid w:val="002C0BBF"/>
    <w:rsid w:val="002C0DA2"/>
    <w:rsid w:val="002C0E7B"/>
    <w:rsid w:val="002C0EBB"/>
    <w:rsid w:val="002C0ED4"/>
    <w:rsid w:val="002C0F70"/>
    <w:rsid w:val="002C129B"/>
    <w:rsid w:val="002C12B1"/>
    <w:rsid w:val="002C1318"/>
    <w:rsid w:val="002C1370"/>
    <w:rsid w:val="002C1452"/>
    <w:rsid w:val="002C1570"/>
    <w:rsid w:val="002C1593"/>
    <w:rsid w:val="002C16CB"/>
    <w:rsid w:val="002C1720"/>
    <w:rsid w:val="002C17EF"/>
    <w:rsid w:val="002C1848"/>
    <w:rsid w:val="002C1AB1"/>
    <w:rsid w:val="002C1ADF"/>
    <w:rsid w:val="002C1B09"/>
    <w:rsid w:val="002C1B8A"/>
    <w:rsid w:val="002C1D1E"/>
    <w:rsid w:val="002C1DAB"/>
    <w:rsid w:val="002C1E59"/>
    <w:rsid w:val="002C1EB1"/>
    <w:rsid w:val="002C1EB8"/>
    <w:rsid w:val="002C1EE8"/>
    <w:rsid w:val="002C1F63"/>
    <w:rsid w:val="002C2116"/>
    <w:rsid w:val="002C2268"/>
    <w:rsid w:val="002C2295"/>
    <w:rsid w:val="002C2344"/>
    <w:rsid w:val="002C2407"/>
    <w:rsid w:val="002C26EE"/>
    <w:rsid w:val="002C2B0C"/>
    <w:rsid w:val="002C2B15"/>
    <w:rsid w:val="002C2D15"/>
    <w:rsid w:val="002C2D32"/>
    <w:rsid w:val="002C2FFF"/>
    <w:rsid w:val="002C308C"/>
    <w:rsid w:val="002C309F"/>
    <w:rsid w:val="002C32A2"/>
    <w:rsid w:val="002C3349"/>
    <w:rsid w:val="002C33CD"/>
    <w:rsid w:val="002C345E"/>
    <w:rsid w:val="002C35AB"/>
    <w:rsid w:val="002C37F4"/>
    <w:rsid w:val="002C3941"/>
    <w:rsid w:val="002C39CA"/>
    <w:rsid w:val="002C3A64"/>
    <w:rsid w:val="002C3A8C"/>
    <w:rsid w:val="002C3B2D"/>
    <w:rsid w:val="002C3C54"/>
    <w:rsid w:val="002C3CF2"/>
    <w:rsid w:val="002C3E3B"/>
    <w:rsid w:val="002C3F15"/>
    <w:rsid w:val="002C40FD"/>
    <w:rsid w:val="002C41E8"/>
    <w:rsid w:val="002C425F"/>
    <w:rsid w:val="002C43E7"/>
    <w:rsid w:val="002C4421"/>
    <w:rsid w:val="002C4616"/>
    <w:rsid w:val="002C4A1D"/>
    <w:rsid w:val="002C4B45"/>
    <w:rsid w:val="002C4BBB"/>
    <w:rsid w:val="002C4C52"/>
    <w:rsid w:val="002C4C8D"/>
    <w:rsid w:val="002C4D3E"/>
    <w:rsid w:val="002C4EA4"/>
    <w:rsid w:val="002C4FCB"/>
    <w:rsid w:val="002C5041"/>
    <w:rsid w:val="002C506C"/>
    <w:rsid w:val="002C50C6"/>
    <w:rsid w:val="002C51EC"/>
    <w:rsid w:val="002C52B9"/>
    <w:rsid w:val="002C531A"/>
    <w:rsid w:val="002C539C"/>
    <w:rsid w:val="002C53E4"/>
    <w:rsid w:val="002C550D"/>
    <w:rsid w:val="002C55F5"/>
    <w:rsid w:val="002C573C"/>
    <w:rsid w:val="002C5821"/>
    <w:rsid w:val="002C5835"/>
    <w:rsid w:val="002C5862"/>
    <w:rsid w:val="002C59FE"/>
    <w:rsid w:val="002C5B91"/>
    <w:rsid w:val="002C5C96"/>
    <w:rsid w:val="002C5E80"/>
    <w:rsid w:val="002C5E9D"/>
    <w:rsid w:val="002C5F75"/>
    <w:rsid w:val="002C6024"/>
    <w:rsid w:val="002C618B"/>
    <w:rsid w:val="002C6255"/>
    <w:rsid w:val="002C6487"/>
    <w:rsid w:val="002C64AE"/>
    <w:rsid w:val="002C6653"/>
    <w:rsid w:val="002C6681"/>
    <w:rsid w:val="002C6695"/>
    <w:rsid w:val="002C6713"/>
    <w:rsid w:val="002C68B5"/>
    <w:rsid w:val="002C6B03"/>
    <w:rsid w:val="002C6B64"/>
    <w:rsid w:val="002C6DED"/>
    <w:rsid w:val="002C6E36"/>
    <w:rsid w:val="002C7010"/>
    <w:rsid w:val="002C704C"/>
    <w:rsid w:val="002C71D1"/>
    <w:rsid w:val="002C72AD"/>
    <w:rsid w:val="002C7538"/>
    <w:rsid w:val="002C75E0"/>
    <w:rsid w:val="002C773B"/>
    <w:rsid w:val="002C78C6"/>
    <w:rsid w:val="002C7A31"/>
    <w:rsid w:val="002C7AD8"/>
    <w:rsid w:val="002C7BB5"/>
    <w:rsid w:val="002C7C4E"/>
    <w:rsid w:val="002C7E29"/>
    <w:rsid w:val="002C7EEF"/>
    <w:rsid w:val="002D0084"/>
    <w:rsid w:val="002D0098"/>
    <w:rsid w:val="002D0355"/>
    <w:rsid w:val="002D03B5"/>
    <w:rsid w:val="002D04A4"/>
    <w:rsid w:val="002D0549"/>
    <w:rsid w:val="002D063F"/>
    <w:rsid w:val="002D06A5"/>
    <w:rsid w:val="002D0898"/>
    <w:rsid w:val="002D0AFB"/>
    <w:rsid w:val="002D0B56"/>
    <w:rsid w:val="002D0BE4"/>
    <w:rsid w:val="002D0C02"/>
    <w:rsid w:val="002D0E24"/>
    <w:rsid w:val="002D0EFA"/>
    <w:rsid w:val="002D0FBC"/>
    <w:rsid w:val="002D108E"/>
    <w:rsid w:val="002D1249"/>
    <w:rsid w:val="002D1397"/>
    <w:rsid w:val="002D13CB"/>
    <w:rsid w:val="002D1536"/>
    <w:rsid w:val="002D1580"/>
    <w:rsid w:val="002D1660"/>
    <w:rsid w:val="002D1796"/>
    <w:rsid w:val="002D1B31"/>
    <w:rsid w:val="002D1D83"/>
    <w:rsid w:val="002D1DAB"/>
    <w:rsid w:val="002D1E43"/>
    <w:rsid w:val="002D216C"/>
    <w:rsid w:val="002D21C2"/>
    <w:rsid w:val="002D23D0"/>
    <w:rsid w:val="002D24B1"/>
    <w:rsid w:val="002D24F7"/>
    <w:rsid w:val="002D269D"/>
    <w:rsid w:val="002D26A9"/>
    <w:rsid w:val="002D290F"/>
    <w:rsid w:val="002D2A4A"/>
    <w:rsid w:val="002D2AEA"/>
    <w:rsid w:val="002D2B1D"/>
    <w:rsid w:val="002D2B92"/>
    <w:rsid w:val="002D2DB3"/>
    <w:rsid w:val="002D2E77"/>
    <w:rsid w:val="002D2EA2"/>
    <w:rsid w:val="002D314E"/>
    <w:rsid w:val="002D31BF"/>
    <w:rsid w:val="002D336E"/>
    <w:rsid w:val="002D3591"/>
    <w:rsid w:val="002D36EC"/>
    <w:rsid w:val="002D3865"/>
    <w:rsid w:val="002D38AC"/>
    <w:rsid w:val="002D38C1"/>
    <w:rsid w:val="002D3B31"/>
    <w:rsid w:val="002D3BAA"/>
    <w:rsid w:val="002D3C86"/>
    <w:rsid w:val="002D3F06"/>
    <w:rsid w:val="002D3FC9"/>
    <w:rsid w:val="002D4034"/>
    <w:rsid w:val="002D4060"/>
    <w:rsid w:val="002D4091"/>
    <w:rsid w:val="002D4145"/>
    <w:rsid w:val="002D418D"/>
    <w:rsid w:val="002D41D9"/>
    <w:rsid w:val="002D42BC"/>
    <w:rsid w:val="002D43AD"/>
    <w:rsid w:val="002D45AC"/>
    <w:rsid w:val="002D463C"/>
    <w:rsid w:val="002D46BD"/>
    <w:rsid w:val="002D4721"/>
    <w:rsid w:val="002D47CB"/>
    <w:rsid w:val="002D4858"/>
    <w:rsid w:val="002D488E"/>
    <w:rsid w:val="002D48A7"/>
    <w:rsid w:val="002D4A52"/>
    <w:rsid w:val="002D4B20"/>
    <w:rsid w:val="002D4CCB"/>
    <w:rsid w:val="002D4DA0"/>
    <w:rsid w:val="002D4E84"/>
    <w:rsid w:val="002D4E9A"/>
    <w:rsid w:val="002D4EF7"/>
    <w:rsid w:val="002D5053"/>
    <w:rsid w:val="002D510F"/>
    <w:rsid w:val="002D52BF"/>
    <w:rsid w:val="002D53D7"/>
    <w:rsid w:val="002D5424"/>
    <w:rsid w:val="002D5507"/>
    <w:rsid w:val="002D570E"/>
    <w:rsid w:val="002D571F"/>
    <w:rsid w:val="002D5791"/>
    <w:rsid w:val="002D57B7"/>
    <w:rsid w:val="002D583B"/>
    <w:rsid w:val="002D58FE"/>
    <w:rsid w:val="002D5914"/>
    <w:rsid w:val="002D591F"/>
    <w:rsid w:val="002D5976"/>
    <w:rsid w:val="002D5A24"/>
    <w:rsid w:val="002D5ED7"/>
    <w:rsid w:val="002D5F05"/>
    <w:rsid w:val="002D5F33"/>
    <w:rsid w:val="002D6125"/>
    <w:rsid w:val="002D649A"/>
    <w:rsid w:val="002D64EA"/>
    <w:rsid w:val="002D6540"/>
    <w:rsid w:val="002D66DD"/>
    <w:rsid w:val="002D6897"/>
    <w:rsid w:val="002D68A0"/>
    <w:rsid w:val="002D68BD"/>
    <w:rsid w:val="002D6973"/>
    <w:rsid w:val="002D6C09"/>
    <w:rsid w:val="002D6CB6"/>
    <w:rsid w:val="002D6CDD"/>
    <w:rsid w:val="002D6D33"/>
    <w:rsid w:val="002D6D38"/>
    <w:rsid w:val="002D6DBD"/>
    <w:rsid w:val="002D6E2E"/>
    <w:rsid w:val="002D6E6F"/>
    <w:rsid w:val="002D6F69"/>
    <w:rsid w:val="002D703E"/>
    <w:rsid w:val="002D70DA"/>
    <w:rsid w:val="002D70F1"/>
    <w:rsid w:val="002D734C"/>
    <w:rsid w:val="002D741E"/>
    <w:rsid w:val="002D7431"/>
    <w:rsid w:val="002D74BA"/>
    <w:rsid w:val="002D7557"/>
    <w:rsid w:val="002D75F0"/>
    <w:rsid w:val="002D76E8"/>
    <w:rsid w:val="002D76EE"/>
    <w:rsid w:val="002D77C3"/>
    <w:rsid w:val="002D7948"/>
    <w:rsid w:val="002D796A"/>
    <w:rsid w:val="002D7B60"/>
    <w:rsid w:val="002D7B98"/>
    <w:rsid w:val="002D7BA5"/>
    <w:rsid w:val="002D7D7A"/>
    <w:rsid w:val="002D7DE8"/>
    <w:rsid w:val="002D7F5E"/>
    <w:rsid w:val="002D7F65"/>
    <w:rsid w:val="002D7FCC"/>
    <w:rsid w:val="002E006A"/>
    <w:rsid w:val="002E0072"/>
    <w:rsid w:val="002E018D"/>
    <w:rsid w:val="002E01C6"/>
    <w:rsid w:val="002E0552"/>
    <w:rsid w:val="002E05CB"/>
    <w:rsid w:val="002E0683"/>
    <w:rsid w:val="002E076B"/>
    <w:rsid w:val="002E0831"/>
    <w:rsid w:val="002E08D3"/>
    <w:rsid w:val="002E08FE"/>
    <w:rsid w:val="002E09F5"/>
    <w:rsid w:val="002E0EC7"/>
    <w:rsid w:val="002E10CC"/>
    <w:rsid w:val="002E10E0"/>
    <w:rsid w:val="002E1101"/>
    <w:rsid w:val="002E11D9"/>
    <w:rsid w:val="002E1252"/>
    <w:rsid w:val="002E12C0"/>
    <w:rsid w:val="002E13A6"/>
    <w:rsid w:val="002E143D"/>
    <w:rsid w:val="002E1444"/>
    <w:rsid w:val="002E1590"/>
    <w:rsid w:val="002E15E4"/>
    <w:rsid w:val="002E1606"/>
    <w:rsid w:val="002E165D"/>
    <w:rsid w:val="002E1821"/>
    <w:rsid w:val="002E1AD7"/>
    <w:rsid w:val="002E1BEB"/>
    <w:rsid w:val="002E1C0C"/>
    <w:rsid w:val="002E1C23"/>
    <w:rsid w:val="002E1C33"/>
    <w:rsid w:val="002E1C75"/>
    <w:rsid w:val="002E1FD3"/>
    <w:rsid w:val="002E1FEF"/>
    <w:rsid w:val="002E202F"/>
    <w:rsid w:val="002E20A1"/>
    <w:rsid w:val="002E2104"/>
    <w:rsid w:val="002E217C"/>
    <w:rsid w:val="002E225B"/>
    <w:rsid w:val="002E23CF"/>
    <w:rsid w:val="002E240E"/>
    <w:rsid w:val="002E2473"/>
    <w:rsid w:val="002E2574"/>
    <w:rsid w:val="002E257E"/>
    <w:rsid w:val="002E258C"/>
    <w:rsid w:val="002E293B"/>
    <w:rsid w:val="002E2947"/>
    <w:rsid w:val="002E2955"/>
    <w:rsid w:val="002E2A6C"/>
    <w:rsid w:val="002E2A96"/>
    <w:rsid w:val="002E2ADA"/>
    <w:rsid w:val="002E2B0F"/>
    <w:rsid w:val="002E2BDF"/>
    <w:rsid w:val="002E2C02"/>
    <w:rsid w:val="002E2C89"/>
    <w:rsid w:val="002E2CB0"/>
    <w:rsid w:val="002E2CF4"/>
    <w:rsid w:val="002E2D6E"/>
    <w:rsid w:val="002E2DAC"/>
    <w:rsid w:val="002E2EF5"/>
    <w:rsid w:val="002E2F31"/>
    <w:rsid w:val="002E2FCE"/>
    <w:rsid w:val="002E2FFD"/>
    <w:rsid w:val="002E32E6"/>
    <w:rsid w:val="002E3312"/>
    <w:rsid w:val="002E3372"/>
    <w:rsid w:val="002E3584"/>
    <w:rsid w:val="002E35B0"/>
    <w:rsid w:val="002E37C6"/>
    <w:rsid w:val="002E37F5"/>
    <w:rsid w:val="002E381A"/>
    <w:rsid w:val="002E3878"/>
    <w:rsid w:val="002E3879"/>
    <w:rsid w:val="002E390B"/>
    <w:rsid w:val="002E397B"/>
    <w:rsid w:val="002E3A83"/>
    <w:rsid w:val="002E3D36"/>
    <w:rsid w:val="002E42C7"/>
    <w:rsid w:val="002E4419"/>
    <w:rsid w:val="002E44A6"/>
    <w:rsid w:val="002E4591"/>
    <w:rsid w:val="002E4623"/>
    <w:rsid w:val="002E4749"/>
    <w:rsid w:val="002E489F"/>
    <w:rsid w:val="002E4958"/>
    <w:rsid w:val="002E4B10"/>
    <w:rsid w:val="002E4BC7"/>
    <w:rsid w:val="002E4C74"/>
    <w:rsid w:val="002E4D92"/>
    <w:rsid w:val="002E4DBB"/>
    <w:rsid w:val="002E4DBC"/>
    <w:rsid w:val="002E4E28"/>
    <w:rsid w:val="002E4F20"/>
    <w:rsid w:val="002E4F55"/>
    <w:rsid w:val="002E5063"/>
    <w:rsid w:val="002E50C3"/>
    <w:rsid w:val="002E5178"/>
    <w:rsid w:val="002E52AA"/>
    <w:rsid w:val="002E52CD"/>
    <w:rsid w:val="002E52E6"/>
    <w:rsid w:val="002E53E4"/>
    <w:rsid w:val="002E53EE"/>
    <w:rsid w:val="002E5424"/>
    <w:rsid w:val="002E55D0"/>
    <w:rsid w:val="002E56CE"/>
    <w:rsid w:val="002E56DC"/>
    <w:rsid w:val="002E5723"/>
    <w:rsid w:val="002E59B7"/>
    <w:rsid w:val="002E5A7F"/>
    <w:rsid w:val="002E5B0A"/>
    <w:rsid w:val="002E5BAC"/>
    <w:rsid w:val="002E5C0B"/>
    <w:rsid w:val="002E5CE5"/>
    <w:rsid w:val="002E5DD3"/>
    <w:rsid w:val="002E5E3E"/>
    <w:rsid w:val="002E5EF3"/>
    <w:rsid w:val="002E6005"/>
    <w:rsid w:val="002E6156"/>
    <w:rsid w:val="002E61F5"/>
    <w:rsid w:val="002E621E"/>
    <w:rsid w:val="002E63E5"/>
    <w:rsid w:val="002E64D1"/>
    <w:rsid w:val="002E6579"/>
    <w:rsid w:val="002E666C"/>
    <w:rsid w:val="002E66E4"/>
    <w:rsid w:val="002E68DC"/>
    <w:rsid w:val="002E6B4D"/>
    <w:rsid w:val="002E6CB6"/>
    <w:rsid w:val="002E6DD8"/>
    <w:rsid w:val="002E6E06"/>
    <w:rsid w:val="002E6EFC"/>
    <w:rsid w:val="002E6FC9"/>
    <w:rsid w:val="002E70BC"/>
    <w:rsid w:val="002E70BF"/>
    <w:rsid w:val="002E72EF"/>
    <w:rsid w:val="002E732F"/>
    <w:rsid w:val="002E7540"/>
    <w:rsid w:val="002E7571"/>
    <w:rsid w:val="002E7626"/>
    <w:rsid w:val="002E76F1"/>
    <w:rsid w:val="002E78E3"/>
    <w:rsid w:val="002E78F5"/>
    <w:rsid w:val="002E7936"/>
    <w:rsid w:val="002E7953"/>
    <w:rsid w:val="002E7972"/>
    <w:rsid w:val="002E798C"/>
    <w:rsid w:val="002E7A65"/>
    <w:rsid w:val="002E7BD8"/>
    <w:rsid w:val="002E7C84"/>
    <w:rsid w:val="002E7D98"/>
    <w:rsid w:val="002E7DC9"/>
    <w:rsid w:val="002E7E19"/>
    <w:rsid w:val="002E7F81"/>
    <w:rsid w:val="002E7FBE"/>
    <w:rsid w:val="002F00B0"/>
    <w:rsid w:val="002F00D5"/>
    <w:rsid w:val="002F0204"/>
    <w:rsid w:val="002F0213"/>
    <w:rsid w:val="002F0222"/>
    <w:rsid w:val="002F025C"/>
    <w:rsid w:val="002F027E"/>
    <w:rsid w:val="002F02AD"/>
    <w:rsid w:val="002F042C"/>
    <w:rsid w:val="002F04C5"/>
    <w:rsid w:val="002F04F1"/>
    <w:rsid w:val="002F0513"/>
    <w:rsid w:val="002F0728"/>
    <w:rsid w:val="002F07C3"/>
    <w:rsid w:val="002F07F1"/>
    <w:rsid w:val="002F0803"/>
    <w:rsid w:val="002F0813"/>
    <w:rsid w:val="002F08CD"/>
    <w:rsid w:val="002F0925"/>
    <w:rsid w:val="002F0997"/>
    <w:rsid w:val="002F09E9"/>
    <w:rsid w:val="002F0A5A"/>
    <w:rsid w:val="002F0CB7"/>
    <w:rsid w:val="002F0DFD"/>
    <w:rsid w:val="002F0E9A"/>
    <w:rsid w:val="002F0F3C"/>
    <w:rsid w:val="002F1014"/>
    <w:rsid w:val="002F10C2"/>
    <w:rsid w:val="002F10CB"/>
    <w:rsid w:val="002F10FF"/>
    <w:rsid w:val="002F1534"/>
    <w:rsid w:val="002F17BA"/>
    <w:rsid w:val="002F1850"/>
    <w:rsid w:val="002F187C"/>
    <w:rsid w:val="002F19C0"/>
    <w:rsid w:val="002F1A31"/>
    <w:rsid w:val="002F1A5C"/>
    <w:rsid w:val="002F1D10"/>
    <w:rsid w:val="002F1D37"/>
    <w:rsid w:val="002F1DA2"/>
    <w:rsid w:val="002F1DEE"/>
    <w:rsid w:val="002F1DFE"/>
    <w:rsid w:val="002F1E57"/>
    <w:rsid w:val="002F2151"/>
    <w:rsid w:val="002F221A"/>
    <w:rsid w:val="002F2230"/>
    <w:rsid w:val="002F2257"/>
    <w:rsid w:val="002F2392"/>
    <w:rsid w:val="002F257A"/>
    <w:rsid w:val="002F25BE"/>
    <w:rsid w:val="002F2628"/>
    <w:rsid w:val="002F267F"/>
    <w:rsid w:val="002F2774"/>
    <w:rsid w:val="002F289C"/>
    <w:rsid w:val="002F28C5"/>
    <w:rsid w:val="002F2ADE"/>
    <w:rsid w:val="002F2B21"/>
    <w:rsid w:val="002F2B69"/>
    <w:rsid w:val="002F2C4F"/>
    <w:rsid w:val="002F2E1C"/>
    <w:rsid w:val="002F2E49"/>
    <w:rsid w:val="002F2F01"/>
    <w:rsid w:val="002F3119"/>
    <w:rsid w:val="002F3134"/>
    <w:rsid w:val="002F3289"/>
    <w:rsid w:val="002F3388"/>
    <w:rsid w:val="002F33C5"/>
    <w:rsid w:val="002F33D9"/>
    <w:rsid w:val="002F33DF"/>
    <w:rsid w:val="002F3453"/>
    <w:rsid w:val="002F3481"/>
    <w:rsid w:val="002F3680"/>
    <w:rsid w:val="002F37CF"/>
    <w:rsid w:val="002F38A4"/>
    <w:rsid w:val="002F38BF"/>
    <w:rsid w:val="002F3A0A"/>
    <w:rsid w:val="002F3BC2"/>
    <w:rsid w:val="002F3DA6"/>
    <w:rsid w:val="002F3F7D"/>
    <w:rsid w:val="002F40BD"/>
    <w:rsid w:val="002F40DC"/>
    <w:rsid w:val="002F4261"/>
    <w:rsid w:val="002F4297"/>
    <w:rsid w:val="002F43BB"/>
    <w:rsid w:val="002F4448"/>
    <w:rsid w:val="002F471D"/>
    <w:rsid w:val="002F491B"/>
    <w:rsid w:val="002F4A57"/>
    <w:rsid w:val="002F4C78"/>
    <w:rsid w:val="002F4D39"/>
    <w:rsid w:val="002F4EED"/>
    <w:rsid w:val="002F4F00"/>
    <w:rsid w:val="002F4F70"/>
    <w:rsid w:val="002F5042"/>
    <w:rsid w:val="002F50A4"/>
    <w:rsid w:val="002F50AA"/>
    <w:rsid w:val="002F5118"/>
    <w:rsid w:val="002F51FC"/>
    <w:rsid w:val="002F52C0"/>
    <w:rsid w:val="002F5327"/>
    <w:rsid w:val="002F539A"/>
    <w:rsid w:val="002F539E"/>
    <w:rsid w:val="002F54D9"/>
    <w:rsid w:val="002F5608"/>
    <w:rsid w:val="002F56ED"/>
    <w:rsid w:val="002F5715"/>
    <w:rsid w:val="002F577F"/>
    <w:rsid w:val="002F5A19"/>
    <w:rsid w:val="002F5B7D"/>
    <w:rsid w:val="002F5D43"/>
    <w:rsid w:val="002F5DF7"/>
    <w:rsid w:val="002F5FD3"/>
    <w:rsid w:val="002F61ED"/>
    <w:rsid w:val="002F628C"/>
    <w:rsid w:val="002F62B5"/>
    <w:rsid w:val="002F649B"/>
    <w:rsid w:val="002F67F0"/>
    <w:rsid w:val="002F6809"/>
    <w:rsid w:val="002F6847"/>
    <w:rsid w:val="002F6A4C"/>
    <w:rsid w:val="002F6A72"/>
    <w:rsid w:val="002F6D2A"/>
    <w:rsid w:val="002F6D43"/>
    <w:rsid w:val="002F6D4A"/>
    <w:rsid w:val="002F6D5B"/>
    <w:rsid w:val="002F6EC6"/>
    <w:rsid w:val="002F6EC9"/>
    <w:rsid w:val="002F6ED9"/>
    <w:rsid w:val="002F70C5"/>
    <w:rsid w:val="002F716F"/>
    <w:rsid w:val="002F717A"/>
    <w:rsid w:val="002F719B"/>
    <w:rsid w:val="002F73B2"/>
    <w:rsid w:val="002F7556"/>
    <w:rsid w:val="002F75A1"/>
    <w:rsid w:val="002F7610"/>
    <w:rsid w:val="002F767E"/>
    <w:rsid w:val="002F76CB"/>
    <w:rsid w:val="002F782B"/>
    <w:rsid w:val="002F7841"/>
    <w:rsid w:val="002F7850"/>
    <w:rsid w:val="002F7AA7"/>
    <w:rsid w:val="002F7AC6"/>
    <w:rsid w:val="002F7CA7"/>
    <w:rsid w:val="002F7CED"/>
    <w:rsid w:val="002F7D8E"/>
    <w:rsid w:val="002F7DE3"/>
    <w:rsid w:val="002F7EA5"/>
    <w:rsid w:val="002F7F9F"/>
    <w:rsid w:val="00300022"/>
    <w:rsid w:val="0030019D"/>
    <w:rsid w:val="00300217"/>
    <w:rsid w:val="003002BE"/>
    <w:rsid w:val="0030045E"/>
    <w:rsid w:val="0030046B"/>
    <w:rsid w:val="003004D9"/>
    <w:rsid w:val="003006CC"/>
    <w:rsid w:val="003007C5"/>
    <w:rsid w:val="003007DB"/>
    <w:rsid w:val="0030085E"/>
    <w:rsid w:val="0030093A"/>
    <w:rsid w:val="00300DDE"/>
    <w:rsid w:val="003011AC"/>
    <w:rsid w:val="003013DC"/>
    <w:rsid w:val="003013F5"/>
    <w:rsid w:val="003013FE"/>
    <w:rsid w:val="003014A6"/>
    <w:rsid w:val="003015F4"/>
    <w:rsid w:val="00301629"/>
    <w:rsid w:val="003016B9"/>
    <w:rsid w:val="00301795"/>
    <w:rsid w:val="0030194B"/>
    <w:rsid w:val="003019B4"/>
    <w:rsid w:val="003019C9"/>
    <w:rsid w:val="00301B2E"/>
    <w:rsid w:val="00301BD8"/>
    <w:rsid w:val="00301DB0"/>
    <w:rsid w:val="00301ED7"/>
    <w:rsid w:val="00301EE8"/>
    <w:rsid w:val="0030216F"/>
    <w:rsid w:val="0030225E"/>
    <w:rsid w:val="00302263"/>
    <w:rsid w:val="003022B6"/>
    <w:rsid w:val="003024BE"/>
    <w:rsid w:val="003025AD"/>
    <w:rsid w:val="0030270E"/>
    <w:rsid w:val="00302714"/>
    <w:rsid w:val="00302982"/>
    <w:rsid w:val="00302B97"/>
    <w:rsid w:val="00302F3F"/>
    <w:rsid w:val="00302FF9"/>
    <w:rsid w:val="00303025"/>
    <w:rsid w:val="00303061"/>
    <w:rsid w:val="00303103"/>
    <w:rsid w:val="00303139"/>
    <w:rsid w:val="0030313D"/>
    <w:rsid w:val="00303373"/>
    <w:rsid w:val="003033FA"/>
    <w:rsid w:val="0030346E"/>
    <w:rsid w:val="00303523"/>
    <w:rsid w:val="003035CD"/>
    <w:rsid w:val="00303603"/>
    <w:rsid w:val="00303606"/>
    <w:rsid w:val="003038F3"/>
    <w:rsid w:val="00303A4F"/>
    <w:rsid w:val="00303A54"/>
    <w:rsid w:val="00303B23"/>
    <w:rsid w:val="00303C88"/>
    <w:rsid w:val="00303E35"/>
    <w:rsid w:val="0030423D"/>
    <w:rsid w:val="003042AD"/>
    <w:rsid w:val="00304300"/>
    <w:rsid w:val="003044E8"/>
    <w:rsid w:val="0030455D"/>
    <w:rsid w:val="003046ED"/>
    <w:rsid w:val="0030478C"/>
    <w:rsid w:val="00304ABE"/>
    <w:rsid w:val="00304C05"/>
    <w:rsid w:val="00304C51"/>
    <w:rsid w:val="00304C5D"/>
    <w:rsid w:val="00304CC7"/>
    <w:rsid w:val="00304D40"/>
    <w:rsid w:val="00304D5D"/>
    <w:rsid w:val="00304F54"/>
    <w:rsid w:val="00304F55"/>
    <w:rsid w:val="00304F59"/>
    <w:rsid w:val="003051B9"/>
    <w:rsid w:val="003051D7"/>
    <w:rsid w:val="00305245"/>
    <w:rsid w:val="0030532D"/>
    <w:rsid w:val="0030538B"/>
    <w:rsid w:val="0030541C"/>
    <w:rsid w:val="00305478"/>
    <w:rsid w:val="003054D0"/>
    <w:rsid w:val="003055B8"/>
    <w:rsid w:val="003055BF"/>
    <w:rsid w:val="00305640"/>
    <w:rsid w:val="00305658"/>
    <w:rsid w:val="003057C8"/>
    <w:rsid w:val="003059F1"/>
    <w:rsid w:val="00305B5B"/>
    <w:rsid w:val="00305C1E"/>
    <w:rsid w:val="00305F01"/>
    <w:rsid w:val="00305F8F"/>
    <w:rsid w:val="00305FB8"/>
    <w:rsid w:val="00306048"/>
    <w:rsid w:val="00306074"/>
    <w:rsid w:val="00306214"/>
    <w:rsid w:val="003068CE"/>
    <w:rsid w:val="0030699A"/>
    <w:rsid w:val="00306A68"/>
    <w:rsid w:val="00306B89"/>
    <w:rsid w:val="00306CC1"/>
    <w:rsid w:val="00306DAE"/>
    <w:rsid w:val="00306E65"/>
    <w:rsid w:val="00306EBE"/>
    <w:rsid w:val="00306FB0"/>
    <w:rsid w:val="00307007"/>
    <w:rsid w:val="00307154"/>
    <w:rsid w:val="00307184"/>
    <w:rsid w:val="003073BA"/>
    <w:rsid w:val="00307488"/>
    <w:rsid w:val="003075F0"/>
    <w:rsid w:val="00307627"/>
    <w:rsid w:val="00307657"/>
    <w:rsid w:val="00307682"/>
    <w:rsid w:val="003076F3"/>
    <w:rsid w:val="0030786A"/>
    <w:rsid w:val="003078B1"/>
    <w:rsid w:val="00307BFC"/>
    <w:rsid w:val="00307C1E"/>
    <w:rsid w:val="00307C89"/>
    <w:rsid w:val="0031008A"/>
    <w:rsid w:val="003101C2"/>
    <w:rsid w:val="00310201"/>
    <w:rsid w:val="003104D9"/>
    <w:rsid w:val="003106A1"/>
    <w:rsid w:val="003106C0"/>
    <w:rsid w:val="0031085D"/>
    <w:rsid w:val="003109F5"/>
    <w:rsid w:val="00310D86"/>
    <w:rsid w:val="00310DEA"/>
    <w:rsid w:val="00310E62"/>
    <w:rsid w:val="00310F57"/>
    <w:rsid w:val="003111C0"/>
    <w:rsid w:val="003112C9"/>
    <w:rsid w:val="003112F8"/>
    <w:rsid w:val="00311423"/>
    <w:rsid w:val="0031157B"/>
    <w:rsid w:val="0031182C"/>
    <w:rsid w:val="0031184F"/>
    <w:rsid w:val="003118BF"/>
    <w:rsid w:val="00311930"/>
    <w:rsid w:val="00311A66"/>
    <w:rsid w:val="00311BA6"/>
    <w:rsid w:val="00311BF6"/>
    <w:rsid w:val="00311D6D"/>
    <w:rsid w:val="00311E13"/>
    <w:rsid w:val="00311EB4"/>
    <w:rsid w:val="00311FAA"/>
    <w:rsid w:val="003121A6"/>
    <w:rsid w:val="003121C7"/>
    <w:rsid w:val="00312220"/>
    <w:rsid w:val="003125C2"/>
    <w:rsid w:val="003125E9"/>
    <w:rsid w:val="0031269D"/>
    <w:rsid w:val="003126F6"/>
    <w:rsid w:val="003127F9"/>
    <w:rsid w:val="0031285F"/>
    <w:rsid w:val="00312898"/>
    <w:rsid w:val="003129BD"/>
    <w:rsid w:val="00312ABD"/>
    <w:rsid w:val="00312B0A"/>
    <w:rsid w:val="00312B11"/>
    <w:rsid w:val="00312C92"/>
    <w:rsid w:val="00312D33"/>
    <w:rsid w:val="00312D79"/>
    <w:rsid w:val="00312DDC"/>
    <w:rsid w:val="00312EF5"/>
    <w:rsid w:val="00312F5C"/>
    <w:rsid w:val="00313096"/>
    <w:rsid w:val="003130C7"/>
    <w:rsid w:val="003130DB"/>
    <w:rsid w:val="00313134"/>
    <w:rsid w:val="003131DE"/>
    <w:rsid w:val="00313342"/>
    <w:rsid w:val="0031339B"/>
    <w:rsid w:val="003133F3"/>
    <w:rsid w:val="00313575"/>
    <w:rsid w:val="00313584"/>
    <w:rsid w:val="003135C2"/>
    <w:rsid w:val="00313609"/>
    <w:rsid w:val="0031365C"/>
    <w:rsid w:val="003136F7"/>
    <w:rsid w:val="00313819"/>
    <w:rsid w:val="003139B6"/>
    <w:rsid w:val="00313B26"/>
    <w:rsid w:val="00313B4F"/>
    <w:rsid w:val="00313D52"/>
    <w:rsid w:val="00313E87"/>
    <w:rsid w:val="00313E96"/>
    <w:rsid w:val="00313EDD"/>
    <w:rsid w:val="003140F3"/>
    <w:rsid w:val="00314291"/>
    <w:rsid w:val="003144BC"/>
    <w:rsid w:val="00314609"/>
    <w:rsid w:val="00314880"/>
    <w:rsid w:val="00314AE1"/>
    <w:rsid w:val="00314B74"/>
    <w:rsid w:val="00314B86"/>
    <w:rsid w:val="00314C47"/>
    <w:rsid w:val="00314E23"/>
    <w:rsid w:val="00315153"/>
    <w:rsid w:val="003151EA"/>
    <w:rsid w:val="00315217"/>
    <w:rsid w:val="003155A7"/>
    <w:rsid w:val="00315612"/>
    <w:rsid w:val="00315701"/>
    <w:rsid w:val="00315728"/>
    <w:rsid w:val="00315A2A"/>
    <w:rsid w:val="00315A56"/>
    <w:rsid w:val="00315AE0"/>
    <w:rsid w:val="00315B5E"/>
    <w:rsid w:val="00315BA7"/>
    <w:rsid w:val="00315C9D"/>
    <w:rsid w:val="00315D18"/>
    <w:rsid w:val="00315DAC"/>
    <w:rsid w:val="00315FEF"/>
    <w:rsid w:val="0031618E"/>
    <w:rsid w:val="003162C1"/>
    <w:rsid w:val="003162EF"/>
    <w:rsid w:val="00316441"/>
    <w:rsid w:val="00316512"/>
    <w:rsid w:val="00316599"/>
    <w:rsid w:val="003165DC"/>
    <w:rsid w:val="00316759"/>
    <w:rsid w:val="00316775"/>
    <w:rsid w:val="003169EA"/>
    <w:rsid w:val="00316A92"/>
    <w:rsid w:val="00316AE2"/>
    <w:rsid w:val="00316BF9"/>
    <w:rsid w:val="00316C89"/>
    <w:rsid w:val="00316C8A"/>
    <w:rsid w:val="00316D96"/>
    <w:rsid w:val="00316DF2"/>
    <w:rsid w:val="00316E17"/>
    <w:rsid w:val="00316E3F"/>
    <w:rsid w:val="00316E5B"/>
    <w:rsid w:val="00316F46"/>
    <w:rsid w:val="00316FB7"/>
    <w:rsid w:val="00317168"/>
    <w:rsid w:val="003171C0"/>
    <w:rsid w:val="003171E3"/>
    <w:rsid w:val="0031733B"/>
    <w:rsid w:val="003173D6"/>
    <w:rsid w:val="00317413"/>
    <w:rsid w:val="00317433"/>
    <w:rsid w:val="00317605"/>
    <w:rsid w:val="00317608"/>
    <w:rsid w:val="00317795"/>
    <w:rsid w:val="003179A2"/>
    <w:rsid w:val="00317AA1"/>
    <w:rsid w:val="00317B46"/>
    <w:rsid w:val="00317D9A"/>
    <w:rsid w:val="003200C4"/>
    <w:rsid w:val="003201A6"/>
    <w:rsid w:val="0032024E"/>
    <w:rsid w:val="00320279"/>
    <w:rsid w:val="003202BE"/>
    <w:rsid w:val="00320327"/>
    <w:rsid w:val="003203D7"/>
    <w:rsid w:val="00320477"/>
    <w:rsid w:val="00320575"/>
    <w:rsid w:val="0032079A"/>
    <w:rsid w:val="00320D4E"/>
    <w:rsid w:val="00320DFB"/>
    <w:rsid w:val="00320E25"/>
    <w:rsid w:val="00321147"/>
    <w:rsid w:val="0032116C"/>
    <w:rsid w:val="0032127A"/>
    <w:rsid w:val="0032132C"/>
    <w:rsid w:val="00321338"/>
    <w:rsid w:val="003213DB"/>
    <w:rsid w:val="00321403"/>
    <w:rsid w:val="00321411"/>
    <w:rsid w:val="0032166A"/>
    <w:rsid w:val="003217E6"/>
    <w:rsid w:val="00321A15"/>
    <w:rsid w:val="00321A4C"/>
    <w:rsid w:val="00321B61"/>
    <w:rsid w:val="00321E91"/>
    <w:rsid w:val="0032219B"/>
    <w:rsid w:val="003221F4"/>
    <w:rsid w:val="0032248D"/>
    <w:rsid w:val="0032254B"/>
    <w:rsid w:val="00322576"/>
    <w:rsid w:val="003226AD"/>
    <w:rsid w:val="003228BC"/>
    <w:rsid w:val="00322960"/>
    <w:rsid w:val="00322A46"/>
    <w:rsid w:val="00322B63"/>
    <w:rsid w:val="00322BF9"/>
    <w:rsid w:val="00322CEE"/>
    <w:rsid w:val="00322E9E"/>
    <w:rsid w:val="00322F2E"/>
    <w:rsid w:val="00322FFF"/>
    <w:rsid w:val="003230C5"/>
    <w:rsid w:val="00323266"/>
    <w:rsid w:val="003233CA"/>
    <w:rsid w:val="00323409"/>
    <w:rsid w:val="0032347E"/>
    <w:rsid w:val="00323534"/>
    <w:rsid w:val="0032366C"/>
    <w:rsid w:val="0032378F"/>
    <w:rsid w:val="00323825"/>
    <w:rsid w:val="003239B5"/>
    <w:rsid w:val="00323AAB"/>
    <w:rsid w:val="00323C1F"/>
    <w:rsid w:val="00323EBD"/>
    <w:rsid w:val="00323F1B"/>
    <w:rsid w:val="003240D0"/>
    <w:rsid w:val="003243AC"/>
    <w:rsid w:val="0032443D"/>
    <w:rsid w:val="003244AB"/>
    <w:rsid w:val="0032471B"/>
    <w:rsid w:val="00324789"/>
    <w:rsid w:val="0032483D"/>
    <w:rsid w:val="003249DF"/>
    <w:rsid w:val="00324A79"/>
    <w:rsid w:val="00324C2C"/>
    <w:rsid w:val="00324C7F"/>
    <w:rsid w:val="00324CBC"/>
    <w:rsid w:val="00324D93"/>
    <w:rsid w:val="00324F7A"/>
    <w:rsid w:val="00325097"/>
    <w:rsid w:val="003250C0"/>
    <w:rsid w:val="003251DF"/>
    <w:rsid w:val="00325416"/>
    <w:rsid w:val="0032550E"/>
    <w:rsid w:val="003255E6"/>
    <w:rsid w:val="003257AF"/>
    <w:rsid w:val="0032583C"/>
    <w:rsid w:val="003258BA"/>
    <w:rsid w:val="00325919"/>
    <w:rsid w:val="00325923"/>
    <w:rsid w:val="003259DA"/>
    <w:rsid w:val="003259E3"/>
    <w:rsid w:val="00325BFA"/>
    <w:rsid w:val="00325C2C"/>
    <w:rsid w:val="00325C93"/>
    <w:rsid w:val="00325D00"/>
    <w:rsid w:val="0032604E"/>
    <w:rsid w:val="0032616E"/>
    <w:rsid w:val="00326250"/>
    <w:rsid w:val="0032629D"/>
    <w:rsid w:val="0032634F"/>
    <w:rsid w:val="0032640F"/>
    <w:rsid w:val="00326486"/>
    <w:rsid w:val="003264DF"/>
    <w:rsid w:val="0032668C"/>
    <w:rsid w:val="0032675C"/>
    <w:rsid w:val="00326795"/>
    <w:rsid w:val="00326A4A"/>
    <w:rsid w:val="00326B34"/>
    <w:rsid w:val="00326B82"/>
    <w:rsid w:val="00326C4A"/>
    <w:rsid w:val="00326C86"/>
    <w:rsid w:val="00326D35"/>
    <w:rsid w:val="00326D4D"/>
    <w:rsid w:val="00326F57"/>
    <w:rsid w:val="00327019"/>
    <w:rsid w:val="00327051"/>
    <w:rsid w:val="00327210"/>
    <w:rsid w:val="00327458"/>
    <w:rsid w:val="00327499"/>
    <w:rsid w:val="003274EA"/>
    <w:rsid w:val="00327695"/>
    <w:rsid w:val="0032775E"/>
    <w:rsid w:val="0032781C"/>
    <w:rsid w:val="003278BC"/>
    <w:rsid w:val="003279B7"/>
    <w:rsid w:val="00327AE4"/>
    <w:rsid w:val="00327B2E"/>
    <w:rsid w:val="00327C7A"/>
    <w:rsid w:val="00327CE5"/>
    <w:rsid w:val="00327DFC"/>
    <w:rsid w:val="00327E7A"/>
    <w:rsid w:val="00327EA2"/>
    <w:rsid w:val="003300DB"/>
    <w:rsid w:val="00330390"/>
    <w:rsid w:val="0033040C"/>
    <w:rsid w:val="003305AD"/>
    <w:rsid w:val="003305EA"/>
    <w:rsid w:val="0033067B"/>
    <w:rsid w:val="00330992"/>
    <w:rsid w:val="00330ACF"/>
    <w:rsid w:val="00330BAE"/>
    <w:rsid w:val="00330E7F"/>
    <w:rsid w:val="00330FCD"/>
    <w:rsid w:val="003310B3"/>
    <w:rsid w:val="003311D5"/>
    <w:rsid w:val="003312A7"/>
    <w:rsid w:val="003312AE"/>
    <w:rsid w:val="003312B6"/>
    <w:rsid w:val="00331834"/>
    <w:rsid w:val="003319E8"/>
    <w:rsid w:val="00331A82"/>
    <w:rsid w:val="00331ABF"/>
    <w:rsid w:val="00331AD1"/>
    <w:rsid w:val="00331B47"/>
    <w:rsid w:val="00331B92"/>
    <w:rsid w:val="00331C85"/>
    <w:rsid w:val="00331ECD"/>
    <w:rsid w:val="00331F25"/>
    <w:rsid w:val="00331F3B"/>
    <w:rsid w:val="00331F76"/>
    <w:rsid w:val="00331FC9"/>
    <w:rsid w:val="00332006"/>
    <w:rsid w:val="00332075"/>
    <w:rsid w:val="0033213D"/>
    <w:rsid w:val="0033250D"/>
    <w:rsid w:val="003326A9"/>
    <w:rsid w:val="003326E7"/>
    <w:rsid w:val="00332B3C"/>
    <w:rsid w:val="00332B62"/>
    <w:rsid w:val="00332CD2"/>
    <w:rsid w:val="00332DAD"/>
    <w:rsid w:val="00332DB7"/>
    <w:rsid w:val="00332DD7"/>
    <w:rsid w:val="00332F0F"/>
    <w:rsid w:val="00332F60"/>
    <w:rsid w:val="00332F98"/>
    <w:rsid w:val="00332FDF"/>
    <w:rsid w:val="00333078"/>
    <w:rsid w:val="003330EA"/>
    <w:rsid w:val="00333122"/>
    <w:rsid w:val="0033315D"/>
    <w:rsid w:val="003331C8"/>
    <w:rsid w:val="003331CE"/>
    <w:rsid w:val="00333381"/>
    <w:rsid w:val="0033349E"/>
    <w:rsid w:val="003334B2"/>
    <w:rsid w:val="003334EE"/>
    <w:rsid w:val="003336FC"/>
    <w:rsid w:val="00333718"/>
    <w:rsid w:val="003338D7"/>
    <w:rsid w:val="00333A41"/>
    <w:rsid w:val="00333AA9"/>
    <w:rsid w:val="00333B6B"/>
    <w:rsid w:val="00333BB0"/>
    <w:rsid w:val="00333DDA"/>
    <w:rsid w:val="00334250"/>
    <w:rsid w:val="003343FF"/>
    <w:rsid w:val="00334770"/>
    <w:rsid w:val="00334981"/>
    <w:rsid w:val="003349D7"/>
    <w:rsid w:val="003349F7"/>
    <w:rsid w:val="00334B23"/>
    <w:rsid w:val="00334B84"/>
    <w:rsid w:val="00334E94"/>
    <w:rsid w:val="00334EAF"/>
    <w:rsid w:val="003350DD"/>
    <w:rsid w:val="00335414"/>
    <w:rsid w:val="00335478"/>
    <w:rsid w:val="003354DC"/>
    <w:rsid w:val="00335591"/>
    <w:rsid w:val="003355A0"/>
    <w:rsid w:val="003357F0"/>
    <w:rsid w:val="0033593E"/>
    <w:rsid w:val="003359D7"/>
    <w:rsid w:val="00335AE8"/>
    <w:rsid w:val="00335D04"/>
    <w:rsid w:val="00335D71"/>
    <w:rsid w:val="00335D9B"/>
    <w:rsid w:val="00335DEF"/>
    <w:rsid w:val="0033607F"/>
    <w:rsid w:val="003361E9"/>
    <w:rsid w:val="00336433"/>
    <w:rsid w:val="00336538"/>
    <w:rsid w:val="00336667"/>
    <w:rsid w:val="0033677B"/>
    <w:rsid w:val="0033686D"/>
    <w:rsid w:val="00336917"/>
    <w:rsid w:val="00336957"/>
    <w:rsid w:val="00336A7F"/>
    <w:rsid w:val="00336B30"/>
    <w:rsid w:val="00336C38"/>
    <w:rsid w:val="00336FFD"/>
    <w:rsid w:val="00337087"/>
    <w:rsid w:val="00337111"/>
    <w:rsid w:val="00337277"/>
    <w:rsid w:val="00337291"/>
    <w:rsid w:val="00337349"/>
    <w:rsid w:val="003373B8"/>
    <w:rsid w:val="003373D0"/>
    <w:rsid w:val="00337469"/>
    <w:rsid w:val="003374BB"/>
    <w:rsid w:val="003376E6"/>
    <w:rsid w:val="0033778F"/>
    <w:rsid w:val="00337919"/>
    <w:rsid w:val="0033794E"/>
    <w:rsid w:val="00337A0C"/>
    <w:rsid w:val="00337AC7"/>
    <w:rsid w:val="00337B11"/>
    <w:rsid w:val="00337B21"/>
    <w:rsid w:val="00337BAE"/>
    <w:rsid w:val="00337C7A"/>
    <w:rsid w:val="00337CEB"/>
    <w:rsid w:val="00337ECC"/>
    <w:rsid w:val="00337F49"/>
    <w:rsid w:val="00337FDE"/>
    <w:rsid w:val="00340009"/>
    <w:rsid w:val="003401B6"/>
    <w:rsid w:val="003401F9"/>
    <w:rsid w:val="00340352"/>
    <w:rsid w:val="003403A0"/>
    <w:rsid w:val="003403FA"/>
    <w:rsid w:val="003405A0"/>
    <w:rsid w:val="003405DA"/>
    <w:rsid w:val="0034064B"/>
    <w:rsid w:val="00340679"/>
    <w:rsid w:val="00340880"/>
    <w:rsid w:val="00340CD3"/>
    <w:rsid w:val="00340E83"/>
    <w:rsid w:val="00340EF3"/>
    <w:rsid w:val="00340F48"/>
    <w:rsid w:val="003410B4"/>
    <w:rsid w:val="003410BD"/>
    <w:rsid w:val="00341131"/>
    <w:rsid w:val="003412D4"/>
    <w:rsid w:val="00341397"/>
    <w:rsid w:val="00341457"/>
    <w:rsid w:val="003414CC"/>
    <w:rsid w:val="003416C8"/>
    <w:rsid w:val="003416E2"/>
    <w:rsid w:val="003416F0"/>
    <w:rsid w:val="00341784"/>
    <w:rsid w:val="003417AA"/>
    <w:rsid w:val="00341946"/>
    <w:rsid w:val="00341A54"/>
    <w:rsid w:val="00341A72"/>
    <w:rsid w:val="00341AD1"/>
    <w:rsid w:val="00341B2E"/>
    <w:rsid w:val="00341F6A"/>
    <w:rsid w:val="00342022"/>
    <w:rsid w:val="00342029"/>
    <w:rsid w:val="003420A3"/>
    <w:rsid w:val="0034211C"/>
    <w:rsid w:val="003421E0"/>
    <w:rsid w:val="00342260"/>
    <w:rsid w:val="00342279"/>
    <w:rsid w:val="003422F2"/>
    <w:rsid w:val="00342374"/>
    <w:rsid w:val="00342408"/>
    <w:rsid w:val="003424E0"/>
    <w:rsid w:val="00342618"/>
    <w:rsid w:val="003426C1"/>
    <w:rsid w:val="00342775"/>
    <w:rsid w:val="0034290E"/>
    <w:rsid w:val="003429B5"/>
    <w:rsid w:val="00342D8F"/>
    <w:rsid w:val="00342DC4"/>
    <w:rsid w:val="00342DE4"/>
    <w:rsid w:val="00342ED4"/>
    <w:rsid w:val="00342EDB"/>
    <w:rsid w:val="00342F2C"/>
    <w:rsid w:val="00343053"/>
    <w:rsid w:val="003439A0"/>
    <w:rsid w:val="00343A8C"/>
    <w:rsid w:val="00343BF7"/>
    <w:rsid w:val="00343C26"/>
    <w:rsid w:val="00343E0C"/>
    <w:rsid w:val="00344021"/>
    <w:rsid w:val="00344076"/>
    <w:rsid w:val="003440F5"/>
    <w:rsid w:val="0034415D"/>
    <w:rsid w:val="00344184"/>
    <w:rsid w:val="003442DA"/>
    <w:rsid w:val="00344364"/>
    <w:rsid w:val="003443D9"/>
    <w:rsid w:val="00344451"/>
    <w:rsid w:val="003444EC"/>
    <w:rsid w:val="003445B3"/>
    <w:rsid w:val="00344776"/>
    <w:rsid w:val="0034486D"/>
    <w:rsid w:val="00344924"/>
    <w:rsid w:val="00344925"/>
    <w:rsid w:val="00344C7A"/>
    <w:rsid w:val="00344D87"/>
    <w:rsid w:val="00344D88"/>
    <w:rsid w:val="00344DC0"/>
    <w:rsid w:val="00344E6F"/>
    <w:rsid w:val="00344EB6"/>
    <w:rsid w:val="00345161"/>
    <w:rsid w:val="003452BE"/>
    <w:rsid w:val="003452DC"/>
    <w:rsid w:val="00345334"/>
    <w:rsid w:val="003453EF"/>
    <w:rsid w:val="00345458"/>
    <w:rsid w:val="00345645"/>
    <w:rsid w:val="0034565F"/>
    <w:rsid w:val="003457DF"/>
    <w:rsid w:val="0034586A"/>
    <w:rsid w:val="00345941"/>
    <w:rsid w:val="00345962"/>
    <w:rsid w:val="0034598A"/>
    <w:rsid w:val="003459BD"/>
    <w:rsid w:val="00345A49"/>
    <w:rsid w:val="00345AEA"/>
    <w:rsid w:val="00345CC1"/>
    <w:rsid w:val="00345DB3"/>
    <w:rsid w:val="00345F26"/>
    <w:rsid w:val="00345F49"/>
    <w:rsid w:val="00345FE7"/>
    <w:rsid w:val="00346018"/>
    <w:rsid w:val="003462A6"/>
    <w:rsid w:val="003462E5"/>
    <w:rsid w:val="003463C0"/>
    <w:rsid w:val="003463FF"/>
    <w:rsid w:val="0034656C"/>
    <w:rsid w:val="0034658A"/>
    <w:rsid w:val="003466F2"/>
    <w:rsid w:val="0034679F"/>
    <w:rsid w:val="0034684C"/>
    <w:rsid w:val="00346881"/>
    <w:rsid w:val="003469E8"/>
    <w:rsid w:val="00346AAE"/>
    <w:rsid w:val="00346D74"/>
    <w:rsid w:val="00346DBC"/>
    <w:rsid w:val="00346E46"/>
    <w:rsid w:val="00347016"/>
    <w:rsid w:val="003470BA"/>
    <w:rsid w:val="00347123"/>
    <w:rsid w:val="003472BA"/>
    <w:rsid w:val="00347402"/>
    <w:rsid w:val="0034747C"/>
    <w:rsid w:val="003474FB"/>
    <w:rsid w:val="00347519"/>
    <w:rsid w:val="003475BA"/>
    <w:rsid w:val="003476D3"/>
    <w:rsid w:val="003479C4"/>
    <w:rsid w:val="00347B26"/>
    <w:rsid w:val="00347B66"/>
    <w:rsid w:val="00347BF5"/>
    <w:rsid w:val="00347D6D"/>
    <w:rsid w:val="00347E0B"/>
    <w:rsid w:val="00347E1B"/>
    <w:rsid w:val="00347F05"/>
    <w:rsid w:val="00350103"/>
    <w:rsid w:val="00350188"/>
    <w:rsid w:val="003503E7"/>
    <w:rsid w:val="003504BD"/>
    <w:rsid w:val="0035057A"/>
    <w:rsid w:val="003508CC"/>
    <w:rsid w:val="0035098A"/>
    <w:rsid w:val="003509CE"/>
    <w:rsid w:val="00350A19"/>
    <w:rsid w:val="00350AC5"/>
    <w:rsid w:val="00350CB0"/>
    <w:rsid w:val="00350D3E"/>
    <w:rsid w:val="00350EFD"/>
    <w:rsid w:val="00351084"/>
    <w:rsid w:val="003510F4"/>
    <w:rsid w:val="003511CD"/>
    <w:rsid w:val="00351346"/>
    <w:rsid w:val="003514F7"/>
    <w:rsid w:val="0035157E"/>
    <w:rsid w:val="0035165C"/>
    <w:rsid w:val="00351753"/>
    <w:rsid w:val="00351B16"/>
    <w:rsid w:val="00351C94"/>
    <w:rsid w:val="00351D62"/>
    <w:rsid w:val="00351E57"/>
    <w:rsid w:val="00351E6E"/>
    <w:rsid w:val="00351EB7"/>
    <w:rsid w:val="00351F8A"/>
    <w:rsid w:val="00352024"/>
    <w:rsid w:val="0035231D"/>
    <w:rsid w:val="0035236D"/>
    <w:rsid w:val="00352394"/>
    <w:rsid w:val="003523EC"/>
    <w:rsid w:val="003523FB"/>
    <w:rsid w:val="003524AF"/>
    <w:rsid w:val="00352574"/>
    <w:rsid w:val="003527C2"/>
    <w:rsid w:val="00352816"/>
    <w:rsid w:val="0035295F"/>
    <w:rsid w:val="003529E6"/>
    <w:rsid w:val="00352BA9"/>
    <w:rsid w:val="00352DFD"/>
    <w:rsid w:val="003531AA"/>
    <w:rsid w:val="003531E8"/>
    <w:rsid w:val="0035322C"/>
    <w:rsid w:val="0035328E"/>
    <w:rsid w:val="003532B9"/>
    <w:rsid w:val="0035345E"/>
    <w:rsid w:val="00353553"/>
    <w:rsid w:val="003535DC"/>
    <w:rsid w:val="0035362F"/>
    <w:rsid w:val="0035367D"/>
    <w:rsid w:val="003536B8"/>
    <w:rsid w:val="00353D5B"/>
    <w:rsid w:val="00353DA3"/>
    <w:rsid w:val="00353EE4"/>
    <w:rsid w:val="00353FEE"/>
    <w:rsid w:val="00353FF7"/>
    <w:rsid w:val="003540DC"/>
    <w:rsid w:val="0035412A"/>
    <w:rsid w:val="00354275"/>
    <w:rsid w:val="003542AE"/>
    <w:rsid w:val="0035436D"/>
    <w:rsid w:val="00354628"/>
    <w:rsid w:val="00354650"/>
    <w:rsid w:val="00354659"/>
    <w:rsid w:val="003549A4"/>
    <w:rsid w:val="003549C3"/>
    <w:rsid w:val="003549F4"/>
    <w:rsid w:val="00354A03"/>
    <w:rsid w:val="00354ABB"/>
    <w:rsid w:val="00354B23"/>
    <w:rsid w:val="00354BB4"/>
    <w:rsid w:val="00354C25"/>
    <w:rsid w:val="00355149"/>
    <w:rsid w:val="0035517D"/>
    <w:rsid w:val="003551F4"/>
    <w:rsid w:val="0035562C"/>
    <w:rsid w:val="00355952"/>
    <w:rsid w:val="00355A76"/>
    <w:rsid w:val="00355AE7"/>
    <w:rsid w:val="00355AFD"/>
    <w:rsid w:val="00355BD4"/>
    <w:rsid w:val="00355CEE"/>
    <w:rsid w:val="00355D50"/>
    <w:rsid w:val="00355E3D"/>
    <w:rsid w:val="00356030"/>
    <w:rsid w:val="0035612E"/>
    <w:rsid w:val="003561D6"/>
    <w:rsid w:val="00356569"/>
    <w:rsid w:val="0035663B"/>
    <w:rsid w:val="00356641"/>
    <w:rsid w:val="00356686"/>
    <w:rsid w:val="003566AA"/>
    <w:rsid w:val="00356709"/>
    <w:rsid w:val="00356779"/>
    <w:rsid w:val="003567B5"/>
    <w:rsid w:val="00356887"/>
    <w:rsid w:val="003568DE"/>
    <w:rsid w:val="00356A17"/>
    <w:rsid w:val="00356AC7"/>
    <w:rsid w:val="00356AE4"/>
    <w:rsid w:val="00356C01"/>
    <w:rsid w:val="00356D24"/>
    <w:rsid w:val="00356E55"/>
    <w:rsid w:val="00356F7A"/>
    <w:rsid w:val="003577E9"/>
    <w:rsid w:val="00357B47"/>
    <w:rsid w:val="00357C9A"/>
    <w:rsid w:val="00357D5C"/>
    <w:rsid w:val="00357F5D"/>
    <w:rsid w:val="00357FAF"/>
    <w:rsid w:val="00360019"/>
    <w:rsid w:val="00360072"/>
    <w:rsid w:val="0036018A"/>
    <w:rsid w:val="003602BC"/>
    <w:rsid w:val="003603B8"/>
    <w:rsid w:val="00360607"/>
    <w:rsid w:val="0036065B"/>
    <w:rsid w:val="003606FB"/>
    <w:rsid w:val="00360717"/>
    <w:rsid w:val="00360733"/>
    <w:rsid w:val="003607EF"/>
    <w:rsid w:val="0036084E"/>
    <w:rsid w:val="003609E4"/>
    <w:rsid w:val="00360A6C"/>
    <w:rsid w:val="00360AC5"/>
    <w:rsid w:val="00360E27"/>
    <w:rsid w:val="00360EEF"/>
    <w:rsid w:val="00360FA5"/>
    <w:rsid w:val="00361197"/>
    <w:rsid w:val="003611A8"/>
    <w:rsid w:val="00361219"/>
    <w:rsid w:val="00361250"/>
    <w:rsid w:val="003612AD"/>
    <w:rsid w:val="0036130A"/>
    <w:rsid w:val="0036143E"/>
    <w:rsid w:val="0036153D"/>
    <w:rsid w:val="0036154D"/>
    <w:rsid w:val="0036170A"/>
    <w:rsid w:val="0036178A"/>
    <w:rsid w:val="0036184B"/>
    <w:rsid w:val="00361853"/>
    <w:rsid w:val="003618AE"/>
    <w:rsid w:val="00361A27"/>
    <w:rsid w:val="00361C7C"/>
    <w:rsid w:val="00361D5E"/>
    <w:rsid w:val="00362034"/>
    <w:rsid w:val="00362675"/>
    <w:rsid w:val="003627FC"/>
    <w:rsid w:val="00362825"/>
    <w:rsid w:val="0036284C"/>
    <w:rsid w:val="0036294C"/>
    <w:rsid w:val="00362B0C"/>
    <w:rsid w:val="00362B1C"/>
    <w:rsid w:val="00362C24"/>
    <w:rsid w:val="00362C5F"/>
    <w:rsid w:val="00362D60"/>
    <w:rsid w:val="00362D84"/>
    <w:rsid w:val="00362E69"/>
    <w:rsid w:val="00362E87"/>
    <w:rsid w:val="00362F71"/>
    <w:rsid w:val="003630A8"/>
    <w:rsid w:val="00363249"/>
    <w:rsid w:val="0036333A"/>
    <w:rsid w:val="003633D6"/>
    <w:rsid w:val="003634C3"/>
    <w:rsid w:val="0036357A"/>
    <w:rsid w:val="003635BD"/>
    <w:rsid w:val="00363659"/>
    <w:rsid w:val="0036368C"/>
    <w:rsid w:val="0036368D"/>
    <w:rsid w:val="003638BD"/>
    <w:rsid w:val="003638F4"/>
    <w:rsid w:val="00363948"/>
    <w:rsid w:val="00363A07"/>
    <w:rsid w:val="00363A59"/>
    <w:rsid w:val="00363BD8"/>
    <w:rsid w:val="00363BFF"/>
    <w:rsid w:val="00363C53"/>
    <w:rsid w:val="00363C93"/>
    <w:rsid w:val="00363E63"/>
    <w:rsid w:val="00363EA0"/>
    <w:rsid w:val="00363EBB"/>
    <w:rsid w:val="00363FD0"/>
    <w:rsid w:val="00364133"/>
    <w:rsid w:val="003641DD"/>
    <w:rsid w:val="0036440F"/>
    <w:rsid w:val="0036443E"/>
    <w:rsid w:val="00364531"/>
    <w:rsid w:val="00364544"/>
    <w:rsid w:val="0036462C"/>
    <w:rsid w:val="003647B2"/>
    <w:rsid w:val="00364A0F"/>
    <w:rsid w:val="00364AE0"/>
    <w:rsid w:val="00364BC0"/>
    <w:rsid w:val="00364C69"/>
    <w:rsid w:val="00364DB3"/>
    <w:rsid w:val="00364F2C"/>
    <w:rsid w:val="003656D3"/>
    <w:rsid w:val="00365736"/>
    <w:rsid w:val="0036575C"/>
    <w:rsid w:val="0036577F"/>
    <w:rsid w:val="003657FD"/>
    <w:rsid w:val="0036589D"/>
    <w:rsid w:val="00365991"/>
    <w:rsid w:val="00365C62"/>
    <w:rsid w:val="00365DC2"/>
    <w:rsid w:val="00365E12"/>
    <w:rsid w:val="00366082"/>
    <w:rsid w:val="003660C9"/>
    <w:rsid w:val="00366208"/>
    <w:rsid w:val="00366211"/>
    <w:rsid w:val="00366227"/>
    <w:rsid w:val="0036636F"/>
    <w:rsid w:val="003663F4"/>
    <w:rsid w:val="0036640A"/>
    <w:rsid w:val="00366599"/>
    <w:rsid w:val="003666A6"/>
    <w:rsid w:val="003667F3"/>
    <w:rsid w:val="003668DB"/>
    <w:rsid w:val="003668EB"/>
    <w:rsid w:val="00366A32"/>
    <w:rsid w:val="00366BCF"/>
    <w:rsid w:val="00366D64"/>
    <w:rsid w:val="00366D66"/>
    <w:rsid w:val="00366DA8"/>
    <w:rsid w:val="00366EC7"/>
    <w:rsid w:val="0036712F"/>
    <w:rsid w:val="00367171"/>
    <w:rsid w:val="003671BA"/>
    <w:rsid w:val="00367209"/>
    <w:rsid w:val="00367706"/>
    <w:rsid w:val="0036776F"/>
    <w:rsid w:val="003677DE"/>
    <w:rsid w:val="003679E4"/>
    <w:rsid w:val="00367A18"/>
    <w:rsid w:val="00367A8F"/>
    <w:rsid w:val="00367AFF"/>
    <w:rsid w:val="00367B4D"/>
    <w:rsid w:val="00367BF7"/>
    <w:rsid w:val="00367C05"/>
    <w:rsid w:val="00367EF8"/>
    <w:rsid w:val="00367FAA"/>
    <w:rsid w:val="00367FF0"/>
    <w:rsid w:val="003700CE"/>
    <w:rsid w:val="003700E8"/>
    <w:rsid w:val="003700F4"/>
    <w:rsid w:val="0037010B"/>
    <w:rsid w:val="00370366"/>
    <w:rsid w:val="00370397"/>
    <w:rsid w:val="0037067B"/>
    <w:rsid w:val="003706B2"/>
    <w:rsid w:val="003706C2"/>
    <w:rsid w:val="00370740"/>
    <w:rsid w:val="00370787"/>
    <w:rsid w:val="003707FD"/>
    <w:rsid w:val="00370844"/>
    <w:rsid w:val="003709CB"/>
    <w:rsid w:val="00370B95"/>
    <w:rsid w:val="00370BC6"/>
    <w:rsid w:val="00370D28"/>
    <w:rsid w:val="00370D70"/>
    <w:rsid w:val="00370EF0"/>
    <w:rsid w:val="00370FE7"/>
    <w:rsid w:val="00371088"/>
    <w:rsid w:val="00371097"/>
    <w:rsid w:val="00371190"/>
    <w:rsid w:val="003712AF"/>
    <w:rsid w:val="003712C2"/>
    <w:rsid w:val="00371318"/>
    <w:rsid w:val="0037132C"/>
    <w:rsid w:val="003713F9"/>
    <w:rsid w:val="003714D6"/>
    <w:rsid w:val="00371657"/>
    <w:rsid w:val="00371791"/>
    <w:rsid w:val="003717F7"/>
    <w:rsid w:val="00371A43"/>
    <w:rsid w:val="00371A4F"/>
    <w:rsid w:val="00371BBD"/>
    <w:rsid w:val="00371C12"/>
    <w:rsid w:val="00371DA8"/>
    <w:rsid w:val="00371DEC"/>
    <w:rsid w:val="00371E4B"/>
    <w:rsid w:val="00371F79"/>
    <w:rsid w:val="003720D3"/>
    <w:rsid w:val="00372190"/>
    <w:rsid w:val="00372383"/>
    <w:rsid w:val="00372545"/>
    <w:rsid w:val="00372645"/>
    <w:rsid w:val="003726C2"/>
    <w:rsid w:val="00372819"/>
    <w:rsid w:val="003728BA"/>
    <w:rsid w:val="00372911"/>
    <w:rsid w:val="003729AC"/>
    <w:rsid w:val="00372A87"/>
    <w:rsid w:val="00372B0F"/>
    <w:rsid w:val="00372B6F"/>
    <w:rsid w:val="00372BA4"/>
    <w:rsid w:val="00372C61"/>
    <w:rsid w:val="00372CB4"/>
    <w:rsid w:val="00373177"/>
    <w:rsid w:val="003731B1"/>
    <w:rsid w:val="00373235"/>
    <w:rsid w:val="00373434"/>
    <w:rsid w:val="003737CC"/>
    <w:rsid w:val="003737EB"/>
    <w:rsid w:val="003738D0"/>
    <w:rsid w:val="003738D7"/>
    <w:rsid w:val="003739CD"/>
    <w:rsid w:val="00373AE2"/>
    <w:rsid w:val="00373B69"/>
    <w:rsid w:val="00373BA2"/>
    <w:rsid w:val="00373E2A"/>
    <w:rsid w:val="00373EA0"/>
    <w:rsid w:val="00373F17"/>
    <w:rsid w:val="00373F84"/>
    <w:rsid w:val="0037412C"/>
    <w:rsid w:val="00374165"/>
    <w:rsid w:val="003741DB"/>
    <w:rsid w:val="00374227"/>
    <w:rsid w:val="0037429E"/>
    <w:rsid w:val="0037445B"/>
    <w:rsid w:val="00374549"/>
    <w:rsid w:val="00374629"/>
    <w:rsid w:val="0037482E"/>
    <w:rsid w:val="00374891"/>
    <w:rsid w:val="003748AC"/>
    <w:rsid w:val="00374A27"/>
    <w:rsid w:val="00374A7A"/>
    <w:rsid w:val="00374AE7"/>
    <w:rsid w:val="00374B50"/>
    <w:rsid w:val="00374BE1"/>
    <w:rsid w:val="00374C02"/>
    <w:rsid w:val="00374D9A"/>
    <w:rsid w:val="00374E39"/>
    <w:rsid w:val="00374E8D"/>
    <w:rsid w:val="00374F16"/>
    <w:rsid w:val="0037508B"/>
    <w:rsid w:val="00375105"/>
    <w:rsid w:val="00375652"/>
    <w:rsid w:val="00375681"/>
    <w:rsid w:val="00375861"/>
    <w:rsid w:val="00375897"/>
    <w:rsid w:val="00375B2D"/>
    <w:rsid w:val="00375B73"/>
    <w:rsid w:val="00375C45"/>
    <w:rsid w:val="00375C6F"/>
    <w:rsid w:val="00375D03"/>
    <w:rsid w:val="00375D31"/>
    <w:rsid w:val="00375E19"/>
    <w:rsid w:val="00375E89"/>
    <w:rsid w:val="00375E98"/>
    <w:rsid w:val="00376087"/>
    <w:rsid w:val="003762D1"/>
    <w:rsid w:val="00376343"/>
    <w:rsid w:val="0037639B"/>
    <w:rsid w:val="003763E2"/>
    <w:rsid w:val="00376441"/>
    <w:rsid w:val="00376815"/>
    <w:rsid w:val="00376AFF"/>
    <w:rsid w:val="00376D5E"/>
    <w:rsid w:val="00376E0B"/>
    <w:rsid w:val="00376E2C"/>
    <w:rsid w:val="00376F23"/>
    <w:rsid w:val="00377006"/>
    <w:rsid w:val="00377039"/>
    <w:rsid w:val="00377124"/>
    <w:rsid w:val="00377214"/>
    <w:rsid w:val="003773C4"/>
    <w:rsid w:val="003773DB"/>
    <w:rsid w:val="003773E3"/>
    <w:rsid w:val="003773F5"/>
    <w:rsid w:val="0037764D"/>
    <w:rsid w:val="003778B2"/>
    <w:rsid w:val="003778DF"/>
    <w:rsid w:val="00377A8A"/>
    <w:rsid w:val="00377C2E"/>
    <w:rsid w:val="00377C3C"/>
    <w:rsid w:val="00377CF4"/>
    <w:rsid w:val="00377D8C"/>
    <w:rsid w:val="00377EE6"/>
    <w:rsid w:val="00377EF6"/>
    <w:rsid w:val="00377F08"/>
    <w:rsid w:val="00380185"/>
    <w:rsid w:val="0038051D"/>
    <w:rsid w:val="0038057D"/>
    <w:rsid w:val="0038076F"/>
    <w:rsid w:val="003807A0"/>
    <w:rsid w:val="0038085D"/>
    <w:rsid w:val="003808B6"/>
    <w:rsid w:val="00380912"/>
    <w:rsid w:val="0038097F"/>
    <w:rsid w:val="003809B5"/>
    <w:rsid w:val="00380A9F"/>
    <w:rsid w:val="00380B57"/>
    <w:rsid w:val="00380B9F"/>
    <w:rsid w:val="00380BB0"/>
    <w:rsid w:val="00380BDB"/>
    <w:rsid w:val="00380C30"/>
    <w:rsid w:val="00380D6C"/>
    <w:rsid w:val="00380D8D"/>
    <w:rsid w:val="00380DFD"/>
    <w:rsid w:val="00380E7E"/>
    <w:rsid w:val="0038121D"/>
    <w:rsid w:val="0038133E"/>
    <w:rsid w:val="003814C7"/>
    <w:rsid w:val="003815F2"/>
    <w:rsid w:val="003816A5"/>
    <w:rsid w:val="003816D3"/>
    <w:rsid w:val="00381BF6"/>
    <w:rsid w:val="00381C28"/>
    <w:rsid w:val="00381C54"/>
    <w:rsid w:val="00381C7F"/>
    <w:rsid w:val="00381CB0"/>
    <w:rsid w:val="00381CEA"/>
    <w:rsid w:val="00381EA5"/>
    <w:rsid w:val="00381F09"/>
    <w:rsid w:val="0038204D"/>
    <w:rsid w:val="0038206C"/>
    <w:rsid w:val="00382073"/>
    <w:rsid w:val="003820C4"/>
    <w:rsid w:val="00382155"/>
    <w:rsid w:val="003821CA"/>
    <w:rsid w:val="00382232"/>
    <w:rsid w:val="003822A3"/>
    <w:rsid w:val="0038232D"/>
    <w:rsid w:val="00382470"/>
    <w:rsid w:val="0038250E"/>
    <w:rsid w:val="003825E9"/>
    <w:rsid w:val="00382720"/>
    <w:rsid w:val="0038273B"/>
    <w:rsid w:val="00382820"/>
    <w:rsid w:val="00382AC8"/>
    <w:rsid w:val="00382C91"/>
    <w:rsid w:val="00382CC7"/>
    <w:rsid w:val="00382D0F"/>
    <w:rsid w:val="00382D54"/>
    <w:rsid w:val="00382F2B"/>
    <w:rsid w:val="00382F57"/>
    <w:rsid w:val="00383181"/>
    <w:rsid w:val="0038323F"/>
    <w:rsid w:val="003833C5"/>
    <w:rsid w:val="00383679"/>
    <w:rsid w:val="00383704"/>
    <w:rsid w:val="00383771"/>
    <w:rsid w:val="003837FA"/>
    <w:rsid w:val="00383947"/>
    <w:rsid w:val="00383A07"/>
    <w:rsid w:val="00383A7D"/>
    <w:rsid w:val="00383C69"/>
    <w:rsid w:val="00383E76"/>
    <w:rsid w:val="003840AD"/>
    <w:rsid w:val="00384266"/>
    <w:rsid w:val="003842CA"/>
    <w:rsid w:val="00384344"/>
    <w:rsid w:val="00384348"/>
    <w:rsid w:val="00384353"/>
    <w:rsid w:val="00384377"/>
    <w:rsid w:val="003843AE"/>
    <w:rsid w:val="003843BA"/>
    <w:rsid w:val="00384588"/>
    <w:rsid w:val="003845E1"/>
    <w:rsid w:val="003845F5"/>
    <w:rsid w:val="0038478D"/>
    <w:rsid w:val="0038486A"/>
    <w:rsid w:val="00384888"/>
    <w:rsid w:val="00384915"/>
    <w:rsid w:val="00384928"/>
    <w:rsid w:val="00384948"/>
    <w:rsid w:val="00384BC7"/>
    <w:rsid w:val="00384C74"/>
    <w:rsid w:val="00384C89"/>
    <w:rsid w:val="00384C98"/>
    <w:rsid w:val="00384CB1"/>
    <w:rsid w:val="00384D3F"/>
    <w:rsid w:val="00384DC1"/>
    <w:rsid w:val="00384DDD"/>
    <w:rsid w:val="00384FDF"/>
    <w:rsid w:val="00385079"/>
    <w:rsid w:val="00385133"/>
    <w:rsid w:val="0038516A"/>
    <w:rsid w:val="0038524C"/>
    <w:rsid w:val="00385264"/>
    <w:rsid w:val="00385312"/>
    <w:rsid w:val="00385379"/>
    <w:rsid w:val="0038543C"/>
    <w:rsid w:val="003855A4"/>
    <w:rsid w:val="003855BD"/>
    <w:rsid w:val="003856A9"/>
    <w:rsid w:val="003857AA"/>
    <w:rsid w:val="003858EC"/>
    <w:rsid w:val="00385A45"/>
    <w:rsid w:val="00385C53"/>
    <w:rsid w:val="00385D9A"/>
    <w:rsid w:val="00385DBF"/>
    <w:rsid w:val="00386092"/>
    <w:rsid w:val="0038611C"/>
    <w:rsid w:val="0038611D"/>
    <w:rsid w:val="0038628E"/>
    <w:rsid w:val="003862C1"/>
    <w:rsid w:val="003863BD"/>
    <w:rsid w:val="003865DD"/>
    <w:rsid w:val="003866EE"/>
    <w:rsid w:val="00386707"/>
    <w:rsid w:val="0038671D"/>
    <w:rsid w:val="003867BA"/>
    <w:rsid w:val="003869A1"/>
    <w:rsid w:val="00386A21"/>
    <w:rsid w:val="00386C45"/>
    <w:rsid w:val="00386CAF"/>
    <w:rsid w:val="00386F93"/>
    <w:rsid w:val="003872EB"/>
    <w:rsid w:val="003874BF"/>
    <w:rsid w:val="0038753C"/>
    <w:rsid w:val="003878C5"/>
    <w:rsid w:val="00387BF5"/>
    <w:rsid w:val="00387C74"/>
    <w:rsid w:val="00387D87"/>
    <w:rsid w:val="00387E62"/>
    <w:rsid w:val="00387EDC"/>
    <w:rsid w:val="0039006A"/>
    <w:rsid w:val="003900B2"/>
    <w:rsid w:val="003900E6"/>
    <w:rsid w:val="00390163"/>
    <w:rsid w:val="003902A5"/>
    <w:rsid w:val="00390362"/>
    <w:rsid w:val="00390503"/>
    <w:rsid w:val="003906C4"/>
    <w:rsid w:val="00390700"/>
    <w:rsid w:val="003907B9"/>
    <w:rsid w:val="003908D8"/>
    <w:rsid w:val="003908F8"/>
    <w:rsid w:val="003909A5"/>
    <w:rsid w:val="003909E9"/>
    <w:rsid w:val="00390B47"/>
    <w:rsid w:val="00390B8F"/>
    <w:rsid w:val="00390C0C"/>
    <w:rsid w:val="00390CAC"/>
    <w:rsid w:val="0039104F"/>
    <w:rsid w:val="0039109F"/>
    <w:rsid w:val="00391216"/>
    <w:rsid w:val="00391341"/>
    <w:rsid w:val="0039149F"/>
    <w:rsid w:val="00391522"/>
    <w:rsid w:val="003915D1"/>
    <w:rsid w:val="00391663"/>
    <w:rsid w:val="0039179A"/>
    <w:rsid w:val="003917C6"/>
    <w:rsid w:val="0039180D"/>
    <w:rsid w:val="00391831"/>
    <w:rsid w:val="003919A2"/>
    <w:rsid w:val="003919DB"/>
    <w:rsid w:val="00391A86"/>
    <w:rsid w:val="00391BC2"/>
    <w:rsid w:val="0039201B"/>
    <w:rsid w:val="0039202E"/>
    <w:rsid w:val="003922B7"/>
    <w:rsid w:val="003922F2"/>
    <w:rsid w:val="003924B3"/>
    <w:rsid w:val="003924FE"/>
    <w:rsid w:val="00392509"/>
    <w:rsid w:val="003925F6"/>
    <w:rsid w:val="0039280F"/>
    <w:rsid w:val="00392824"/>
    <w:rsid w:val="00392976"/>
    <w:rsid w:val="003929C1"/>
    <w:rsid w:val="00392A6B"/>
    <w:rsid w:val="00392B28"/>
    <w:rsid w:val="00392B31"/>
    <w:rsid w:val="00392D01"/>
    <w:rsid w:val="00392D69"/>
    <w:rsid w:val="00392DCF"/>
    <w:rsid w:val="00392DD8"/>
    <w:rsid w:val="00392F23"/>
    <w:rsid w:val="00392F4F"/>
    <w:rsid w:val="00392FA9"/>
    <w:rsid w:val="00392FE3"/>
    <w:rsid w:val="003930B0"/>
    <w:rsid w:val="00393187"/>
    <w:rsid w:val="003932C3"/>
    <w:rsid w:val="0039333E"/>
    <w:rsid w:val="00393461"/>
    <w:rsid w:val="003938C1"/>
    <w:rsid w:val="003938F8"/>
    <w:rsid w:val="00393907"/>
    <w:rsid w:val="00393975"/>
    <w:rsid w:val="003939F3"/>
    <w:rsid w:val="00393ACF"/>
    <w:rsid w:val="00393B3F"/>
    <w:rsid w:val="00393D0D"/>
    <w:rsid w:val="00393D99"/>
    <w:rsid w:val="00393DCC"/>
    <w:rsid w:val="00393EE7"/>
    <w:rsid w:val="00393F60"/>
    <w:rsid w:val="00393FAE"/>
    <w:rsid w:val="003940D8"/>
    <w:rsid w:val="003941B8"/>
    <w:rsid w:val="003941FC"/>
    <w:rsid w:val="003942BB"/>
    <w:rsid w:val="00394699"/>
    <w:rsid w:val="00394749"/>
    <w:rsid w:val="003947FC"/>
    <w:rsid w:val="00394805"/>
    <w:rsid w:val="0039486D"/>
    <w:rsid w:val="00394B3C"/>
    <w:rsid w:val="00394C14"/>
    <w:rsid w:val="00394CFE"/>
    <w:rsid w:val="00394DEC"/>
    <w:rsid w:val="00394EB8"/>
    <w:rsid w:val="00395017"/>
    <w:rsid w:val="0039513A"/>
    <w:rsid w:val="003951C0"/>
    <w:rsid w:val="003951E4"/>
    <w:rsid w:val="0039524F"/>
    <w:rsid w:val="003954FE"/>
    <w:rsid w:val="0039561C"/>
    <w:rsid w:val="00395668"/>
    <w:rsid w:val="00395785"/>
    <w:rsid w:val="003957AF"/>
    <w:rsid w:val="00395866"/>
    <w:rsid w:val="00395926"/>
    <w:rsid w:val="00395937"/>
    <w:rsid w:val="00395A16"/>
    <w:rsid w:val="00395BD5"/>
    <w:rsid w:val="00395C37"/>
    <w:rsid w:val="00395C88"/>
    <w:rsid w:val="00395DDA"/>
    <w:rsid w:val="00395E84"/>
    <w:rsid w:val="00395EA4"/>
    <w:rsid w:val="00395EE8"/>
    <w:rsid w:val="00395F13"/>
    <w:rsid w:val="00396059"/>
    <w:rsid w:val="003961EE"/>
    <w:rsid w:val="0039637C"/>
    <w:rsid w:val="003963F8"/>
    <w:rsid w:val="00396509"/>
    <w:rsid w:val="003965FF"/>
    <w:rsid w:val="0039664F"/>
    <w:rsid w:val="00396678"/>
    <w:rsid w:val="0039676E"/>
    <w:rsid w:val="00396775"/>
    <w:rsid w:val="00396842"/>
    <w:rsid w:val="00396B4F"/>
    <w:rsid w:val="00396BA6"/>
    <w:rsid w:val="00396D37"/>
    <w:rsid w:val="00396DDB"/>
    <w:rsid w:val="00396E46"/>
    <w:rsid w:val="003971BC"/>
    <w:rsid w:val="003972CD"/>
    <w:rsid w:val="0039735F"/>
    <w:rsid w:val="0039756B"/>
    <w:rsid w:val="00397600"/>
    <w:rsid w:val="003976C9"/>
    <w:rsid w:val="003977E1"/>
    <w:rsid w:val="0039787F"/>
    <w:rsid w:val="00397A85"/>
    <w:rsid w:val="00397B44"/>
    <w:rsid w:val="00397C17"/>
    <w:rsid w:val="00397C81"/>
    <w:rsid w:val="00397D36"/>
    <w:rsid w:val="00397D42"/>
    <w:rsid w:val="00397DFD"/>
    <w:rsid w:val="003A0102"/>
    <w:rsid w:val="003A010E"/>
    <w:rsid w:val="003A0549"/>
    <w:rsid w:val="003A0917"/>
    <w:rsid w:val="003A0B84"/>
    <w:rsid w:val="003A0D4E"/>
    <w:rsid w:val="003A0F3F"/>
    <w:rsid w:val="003A103C"/>
    <w:rsid w:val="003A138D"/>
    <w:rsid w:val="003A13BC"/>
    <w:rsid w:val="003A140D"/>
    <w:rsid w:val="003A1536"/>
    <w:rsid w:val="003A190D"/>
    <w:rsid w:val="003A1992"/>
    <w:rsid w:val="003A1A10"/>
    <w:rsid w:val="003A1A84"/>
    <w:rsid w:val="003A1AA2"/>
    <w:rsid w:val="003A1B03"/>
    <w:rsid w:val="003A1D13"/>
    <w:rsid w:val="003A1D6A"/>
    <w:rsid w:val="003A1EA4"/>
    <w:rsid w:val="003A1EDF"/>
    <w:rsid w:val="003A2070"/>
    <w:rsid w:val="003A20DF"/>
    <w:rsid w:val="003A22A4"/>
    <w:rsid w:val="003A22E6"/>
    <w:rsid w:val="003A24B5"/>
    <w:rsid w:val="003A2554"/>
    <w:rsid w:val="003A263C"/>
    <w:rsid w:val="003A265D"/>
    <w:rsid w:val="003A26B3"/>
    <w:rsid w:val="003A26D4"/>
    <w:rsid w:val="003A279A"/>
    <w:rsid w:val="003A29A6"/>
    <w:rsid w:val="003A2A97"/>
    <w:rsid w:val="003A2AA7"/>
    <w:rsid w:val="003A2AF5"/>
    <w:rsid w:val="003A2BB4"/>
    <w:rsid w:val="003A2BDE"/>
    <w:rsid w:val="003A2CE1"/>
    <w:rsid w:val="003A2DCB"/>
    <w:rsid w:val="003A2E4C"/>
    <w:rsid w:val="003A3062"/>
    <w:rsid w:val="003A3089"/>
    <w:rsid w:val="003A314A"/>
    <w:rsid w:val="003A314E"/>
    <w:rsid w:val="003A31C8"/>
    <w:rsid w:val="003A327F"/>
    <w:rsid w:val="003A33F9"/>
    <w:rsid w:val="003A34B6"/>
    <w:rsid w:val="003A36BD"/>
    <w:rsid w:val="003A3730"/>
    <w:rsid w:val="003A3916"/>
    <w:rsid w:val="003A3925"/>
    <w:rsid w:val="003A3A67"/>
    <w:rsid w:val="003A3AF1"/>
    <w:rsid w:val="003A3B38"/>
    <w:rsid w:val="003A3D31"/>
    <w:rsid w:val="003A3F02"/>
    <w:rsid w:val="003A40AE"/>
    <w:rsid w:val="003A41AA"/>
    <w:rsid w:val="003A420A"/>
    <w:rsid w:val="003A420B"/>
    <w:rsid w:val="003A4328"/>
    <w:rsid w:val="003A4407"/>
    <w:rsid w:val="003A4428"/>
    <w:rsid w:val="003A471B"/>
    <w:rsid w:val="003A4781"/>
    <w:rsid w:val="003A4798"/>
    <w:rsid w:val="003A4883"/>
    <w:rsid w:val="003A494D"/>
    <w:rsid w:val="003A4958"/>
    <w:rsid w:val="003A4962"/>
    <w:rsid w:val="003A49A5"/>
    <w:rsid w:val="003A4A59"/>
    <w:rsid w:val="003A500F"/>
    <w:rsid w:val="003A50A0"/>
    <w:rsid w:val="003A51D2"/>
    <w:rsid w:val="003A53E0"/>
    <w:rsid w:val="003A5466"/>
    <w:rsid w:val="003A557D"/>
    <w:rsid w:val="003A5587"/>
    <w:rsid w:val="003A558E"/>
    <w:rsid w:val="003A579F"/>
    <w:rsid w:val="003A593C"/>
    <w:rsid w:val="003A5985"/>
    <w:rsid w:val="003A59B4"/>
    <w:rsid w:val="003A5B06"/>
    <w:rsid w:val="003A5B57"/>
    <w:rsid w:val="003A5C19"/>
    <w:rsid w:val="003A5CE6"/>
    <w:rsid w:val="003A5E18"/>
    <w:rsid w:val="003A6092"/>
    <w:rsid w:val="003A6281"/>
    <w:rsid w:val="003A65A7"/>
    <w:rsid w:val="003A6613"/>
    <w:rsid w:val="003A6799"/>
    <w:rsid w:val="003A67BE"/>
    <w:rsid w:val="003A6874"/>
    <w:rsid w:val="003A689D"/>
    <w:rsid w:val="003A6B34"/>
    <w:rsid w:val="003A6C62"/>
    <w:rsid w:val="003A7144"/>
    <w:rsid w:val="003A7365"/>
    <w:rsid w:val="003A741A"/>
    <w:rsid w:val="003A74E8"/>
    <w:rsid w:val="003A77BE"/>
    <w:rsid w:val="003A7A8C"/>
    <w:rsid w:val="003A7AA3"/>
    <w:rsid w:val="003A7C3A"/>
    <w:rsid w:val="003A7CD2"/>
    <w:rsid w:val="003A7E3F"/>
    <w:rsid w:val="003A7FA0"/>
    <w:rsid w:val="003B01D2"/>
    <w:rsid w:val="003B03DD"/>
    <w:rsid w:val="003B041C"/>
    <w:rsid w:val="003B0463"/>
    <w:rsid w:val="003B054F"/>
    <w:rsid w:val="003B055A"/>
    <w:rsid w:val="003B067B"/>
    <w:rsid w:val="003B0713"/>
    <w:rsid w:val="003B079B"/>
    <w:rsid w:val="003B097B"/>
    <w:rsid w:val="003B09C0"/>
    <w:rsid w:val="003B0A1F"/>
    <w:rsid w:val="003B0BC4"/>
    <w:rsid w:val="003B0CAD"/>
    <w:rsid w:val="003B0CEE"/>
    <w:rsid w:val="003B0D6A"/>
    <w:rsid w:val="003B0E40"/>
    <w:rsid w:val="003B0ED0"/>
    <w:rsid w:val="003B0FCC"/>
    <w:rsid w:val="003B1022"/>
    <w:rsid w:val="003B1144"/>
    <w:rsid w:val="003B1266"/>
    <w:rsid w:val="003B12FF"/>
    <w:rsid w:val="003B1461"/>
    <w:rsid w:val="003B1529"/>
    <w:rsid w:val="003B1587"/>
    <w:rsid w:val="003B160E"/>
    <w:rsid w:val="003B172D"/>
    <w:rsid w:val="003B19C8"/>
    <w:rsid w:val="003B1A86"/>
    <w:rsid w:val="003B1BDC"/>
    <w:rsid w:val="003B1C14"/>
    <w:rsid w:val="003B1D40"/>
    <w:rsid w:val="003B1E78"/>
    <w:rsid w:val="003B1F76"/>
    <w:rsid w:val="003B1FA6"/>
    <w:rsid w:val="003B20B3"/>
    <w:rsid w:val="003B21F0"/>
    <w:rsid w:val="003B2218"/>
    <w:rsid w:val="003B22EF"/>
    <w:rsid w:val="003B24C8"/>
    <w:rsid w:val="003B265B"/>
    <w:rsid w:val="003B2762"/>
    <w:rsid w:val="003B279C"/>
    <w:rsid w:val="003B28F7"/>
    <w:rsid w:val="003B2ABC"/>
    <w:rsid w:val="003B2ACF"/>
    <w:rsid w:val="003B2B32"/>
    <w:rsid w:val="003B2BDD"/>
    <w:rsid w:val="003B2BFD"/>
    <w:rsid w:val="003B2C4D"/>
    <w:rsid w:val="003B2CD3"/>
    <w:rsid w:val="003B2DC1"/>
    <w:rsid w:val="003B2E52"/>
    <w:rsid w:val="003B2F56"/>
    <w:rsid w:val="003B2F5A"/>
    <w:rsid w:val="003B2FA9"/>
    <w:rsid w:val="003B3352"/>
    <w:rsid w:val="003B33AD"/>
    <w:rsid w:val="003B34EB"/>
    <w:rsid w:val="003B3598"/>
    <w:rsid w:val="003B376B"/>
    <w:rsid w:val="003B3826"/>
    <w:rsid w:val="003B3B99"/>
    <w:rsid w:val="003B3C95"/>
    <w:rsid w:val="003B3D7C"/>
    <w:rsid w:val="003B3E1D"/>
    <w:rsid w:val="003B3E2D"/>
    <w:rsid w:val="003B3E3A"/>
    <w:rsid w:val="003B3F00"/>
    <w:rsid w:val="003B4044"/>
    <w:rsid w:val="003B421E"/>
    <w:rsid w:val="003B4225"/>
    <w:rsid w:val="003B4354"/>
    <w:rsid w:val="003B437F"/>
    <w:rsid w:val="003B45AE"/>
    <w:rsid w:val="003B45C6"/>
    <w:rsid w:val="003B4C41"/>
    <w:rsid w:val="003B4C74"/>
    <w:rsid w:val="003B4D49"/>
    <w:rsid w:val="003B4D64"/>
    <w:rsid w:val="003B4DAF"/>
    <w:rsid w:val="003B4DD9"/>
    <w:rsid w:val="003B50B3"/>
    <w:rsid w:val="003B51EE"/>
    <w:rsid w:val="003B5247"/>
    <w:rsid w:val="003B5267"/>
    <w:rsid w:val="003B5464"/>
    <w:rsid w:val="003B55B0"/>
    <w:rsid w:val="003B55CB"/>
    <w:rsid w:val="003B5629"/>
    <w:rsid w:val="003B562F"/>
    <w:rsid w:val="003B56C3"/>
    <w:rsid w:val="003B5715"/>
    <w:rsid w:val="003B5855"/>
    <w:rsid w:val="003B5AFF"/>
    <w:rsid w:val="003B5B97"/>
    <w:rsid w:val="003B5BB4"/>
    <w:rsid w:val="003B5D54"/>
    <w:rsid w:val="003B5D62"/>
    <w:rsid w:val="003B5E27"/>
    <w:rsid w:val="003B5E35"/>
    <w:rsid w:val="003B5E63"/>
    <w:rsid w:val="003B5EBA"/>
    <w:rsid w:val="003B5F9A"/>
    <w:rsid w:val="003B5FE5"/>
    <w:rsid w:val="003B6031"/>
    <w:rsid w:val="003B6060"/>
    <w:rsid w:val="003B606A"/>
    <w:rsid w:val="003B60DE"/>
    <w:rsid w:val="003B61C0"/>
    <w:rsid w:val="003B628B"/>
    <w:rsid w:val="003B62D2"/>
    <w:rsid w:val="003B6447"/>
    <w:rsid w:val="003B67C0"/>
    <w:rsid w:val="003B6937"/>
    <w:rsid w:val="003B6B15"/>
    <w:rsid w:val="003B6B34"/>
    <w:rsid w:val="003B6DA4"/>
    <w:rsid w:val="003B6DC1"/>
    <w:rsid w:val="003B6F0E"/>
    <w:rsid w:val="003B701D"/>
    <w:rsid w:val="003B7026"/>
    <w:rsid w:val="003B71E3"/>
    <w:rsid w:val="003B7223"/>
    <w:rsid w:val="003B7289"/>
    <w:rsid w:val="003B735F"/>
    <w:rsid w:val="003B75CF"/>
    <w:rsid w:val="003B7820"/>
    <w:rsid w:val="003B79F3"/>
    <w:rsid w:val="003B7A3D"/>
    <w:rsid w:val="003B7BBD"/>
    <w:rsid w:val="003B7C09"/>
    <w:rsid w:val="003B7C51"/>
    <w:rsid w:val="003B7DF3"/>
    <w:rsid w:val="003B7ECD"/>
    <w:rsid w:val="003B7FDE"/>
    <w:rsid w:val="003C0099"/>
    <w:rsid w:val="003C010E"/>
    <w:rsid w:val="003C014E"/>
    <w:rsid w:val="003C016B"/>
    <w:rsid w:val="003C028B"/>
    <w:rsid w:val="003C02F1"/>
    <w:rsid w:val="003C035B"/>
    <w:rsid w:val="003C0478"/>
    <w:rsid w:val="003C0590"/>
    <w:rsid w:val="003C0602"/>
    <w:rsid w:val="003C062E"/>
    <w:rsid w:val="003C08E7"/>
    <w:rsid w:val="003C094A"/>
    <w:rsid w:val="003C0A9F"/>
    <w:rsid w:val="003C0DA7"/>
    <w:rsid w:val="003C0E05"/>
    <w:rsid w:val="003C0FC7"/>
    <w:rsid w:val="003C10CB"/>
    <w:rsid w:val="003C1122"/>
    <w:rsid w:val="003C1454"/>
    <w:rsid w:val="003C146E"/>
    <w:rsid w:val="003C17B3"/>
    <w:rsid w:val="003C17CC"/>
    <w:rsid w:val="003C19EB"/>
    <w:rsid w:val="003C1B02"/>
    <w:rsid w:val="003C1BCD"/>
    <w:rsid w:val="003C1C06"/>
    <w:rsid w:val="003C1CDD"/>
    <w:rsid w:val="003C1EBE"/>
    <w:rsid w:val="003C2099"/>
    <w:rsid w:val="003C20FE"/>
    <w:rsid w:val="003C21B3"/>
    <w:rsid w:val="003C2300"/>
    <w:rsid w:val="003C23BE"/>
    <w:rsid w:val="003C254F"/>
    <w:rsid w:val="003C2658"/>
    <w:rsid w:val="003C28B0"/>
    <w:rsid w:val="003C29FA"/>
    <w:rsid w:val="003C2A38"/>
    <w:rsid w:val="003C2A98"/>
    <w:rsid w:val="003C2B95"/>
    <w:rsid w:val="003C2D82"/>
    <w:rsid w:val="003C2DC1"/>
    <w:rsid w:val="003C2E5F"/>
    <w:rsid w:val="003C3084"/>
    <w:rsid w:val="003C3109"/>
    <w:rsid w:val="003C3213"/>
    <w:rsid w:val="003C33FB"/>
    <w:rsid w:val="003C35C7"/>
    <w:rsid w:val="003C35D8"/>
    <w:rsid w:val="003C3A03"/>
    <w:rsid w:val="003C3BFA"/>
    <w:rsid w:val="003C3C19"/>
    <w:rsid w:val="003C3DF3"/>
    <w:rsid w:val="003C3DFB"/>
    <w:rsid w:val="003C3DFD"/>
    <w:rsid w:val="003C3E02"/>
    <w:rsid w:val="003C3E83"/>
    <w:rsid w:val="003C3EFA"/>
    <w:rsid w:val="003C406F"/>
    <w:rsid w:val="003C4146"/>
    <w:rsid w:val="003C41F2"/>
    <w:rsid w:val="003C431D"/>
    <w:rsid w:val="003C4604"/>
    <w:rsid w:val="003C4682"/>
    <w:rsid w:val="003C4837"/>
    <w:rsid w:val="003C48E9"/>
    <w:rsid w:val="003C49A0"/>
    <w:rsid w:val="003C49AE"/>
    <w:rsid w:val="003C49C6"/>
    <w:rsid w:val="003C49D7"/>
    <w:rsid w:val="003C4B5A"/>
    <w:rsid w:val="003C4BAF"/>
    <w:rsid w:val="003C4BF4"/>
    <w:rsid w:val="003C4DE9"/>
    <w:rsid w:val="003C4F3C"/>
    <w:rsid w:val="003C4F75"/>
    <w:rsid w:val="003C4F99"/>
    <w:rsid w:val="003C4FEF"/>
    <w:rsid w:val="003C501C"/>
    <w:rsid w:val="003C5070"/>
    <w:rsid w:val="003C5113"/>
    <w:rsid w:val="003C5185"/>
    <w:rsid w:val="003C5235"/>
    <w:rsid w:val="003C523A"/>
    <w:rsid w:val="003C53D1"/>
    <w:rsid w:val="003C55B0"/>
    <w:rsid w:val="003C562F"/>
    <w:rsid w:val="003C567C"/>
    <w:rsid w:val="003C56DF"/>
    <w:rsid w:val="003C5902"/>
    <w:rsid w:val="003C5AB2"/>
    <w:rsid w:val="003C5B48"/>
    <w:rsid w:val="003C5B67"/>
    <w:rsid w:val="003C5B86"/>
    <w:rsid w:val="003C5BCE"/>
    <w:rsid w:val="003C5CEC"/>
    <w:rsid w:val="003C5D13"/>
    <w:rsid w:val="003C5E3B"/>
    <w:rsid w:val="003C5EE8"/>
    <w:rsid w:val="003C616F"/>
    <w:rsid w:val="003C662F"/>
    <w:rsid w:val="003C66A9"/>
    <w:rsid w:val="003C66CC"/>
    <w:rsid w:val="003C6AA0"/>
    <w:rsid w:val="003C6AC3"/>
    <w:rsid w:val="003C6B94"/>
    <w:rsid w:val="003C6C99"/>
    <w:rsid w:val="003C6CC1"/>
    <w:rsid w:val="003C6D24"/>
    <w:rsid w:val="003C6D30"/>
    <w:rsid w:val="003C6D9F"/>
    <w:rsid w:val="003C6E16"/>
    <w:rsid w:val="003C6E97"/>
    <w:rsid w:val="003C703A"/>
    <w:rsid w:val="003C7104"/>
    <w:rsid w:val="003C7210"/>
    <w:rsid w:val="003C72A0"/>
    <w:rsid w:val="003C746B"/>
    <w:rsid w:val="003C75C9"/>
    <w:rsid w:val="003C771C"/>
    <w:rsid w:val="003C775F"/>
    <w:rsid w:val="003C79C1"/>
    <w:rsid w:val="003C7AD8"/>
    <w:rsid w:val="003C7B5F"/>
    <w:rsid w:val="003C7C48"/>
    <w:rsid w:val="003C7E38"/>
    <w:rsid w:val="003C7E5F"/>
    <w:rsid w:val="003D0075"/>
    <w:rsid w:val="003D029E"/>
    <w:rsid w:val="003D0593"/>
    <w:rsid w:val="003D05CE"/>
    <w:rsid w:val="003D076C"/>
    <w:rsid w:val="003D09C3"/>
    <w:rsid w:val="003D09DA"/>
    <w:rsid w:val="003D0A12"/>
    <w:rsid w:val="003D0AAF"/>
    <w:rsid w:val="003D0BC3"/>
    <w:rsid w:val="003D0CCF"/>
    <w:rsid w:val="003D0E54"/>
    <w:rsid w:val="003D11C7"/>
    <w:rsid w:val="003D1584"/>
    <w:rsid w:val="003D159C"/>
    <w:rsid w:val="003D15EB"/>
    <w:rsid w:val="003D15FD"/>
    <w:rsid w:val="003D1764"/>
    <w:rsid w:val="003D1A02"/>
    <w:rsid w:val="003D1A5B"/>
    <w:rsid w:val="003D1B03"/>
    <w:rsid w:val="003D1B44"/>
    <w:rsid w:val="003D1C8D"/>
    <w:rsid w:val="003D1DE9"/>
    <w:rsid w:val="003D1E42"/>
    <w:rsid w:val="003D1FD9"/>
    <w:rsid w:val="003D2038"/>
    <w:rsid w:val="003D2078"/>
    <w:rsid w:val="003D22FE"/>
    <w:rsid w:val="003D2401"/>
    <w:rsid w:val="003D2418"/>
    <w:rsid w:val="003D24DB"/>
    <w:rsid w:val="003D2553"/>
    <w:rsid w:val="003D273C"/>
    <w:rsid w:val="003D2929"/>
    <w:rsid w:val="003D2A41"/>
    <w:rsid w:val="003D2CD9"/>
    <w:rsid w:val="003D2D3D"/>
    <w:rsid w:val="003D2E89"/>
    <w:rsid w:val="003D2EB9"/>
    <w:rsid w:val="003D2FE4"/>
    <w:rsid w:val="003D3006"/>
    <w:rsid w:val="003D33FC"/>
    <w:rsid w:val="003D342D"/>
    <w:rsid w:val="003D3455"/>
    <w:rsid w:val="003D34FC"/>
    <w:rsid w:val="003D3513"/>
    <w:rsid w:val="003D3699"/>
    <w:rsid w:val="003D373E"/>
    <w:rsid w:val="003D37E9"/>
    <w:rsid w:val="003D38EE"/>
    <w:rsid w:val="003D39B2"/>
    <w:rsid w:val="003D3A37"/>
    <w:rsid w:val="003D3AAA"/>
    <w:rsid w:val="003D3AEE"/>
    <w:rsid w:val="003D3B9D"/>
    <w:rsid w:val="003D3BE9"/>
    <w:rsid w:val="003D3EB7"/>
    <w:rsid w:val="003D4032"/>
    <w:rsid w:val="003D4146"/>
    <w:rsid w:val="003D41F0"/>
    <w:rsid w:val="003D4220"/>
    <w:rsid w:val="003D4685"/>
    <w:rsid w:val="003D4808"/>
    <w:rsid w:val="003D48B6"/>
    <w:rsid w:val="003D4B7E"/>
    <w:rsid w:val="003D4C5C"/>
    <w:rsid w:val="003D4CF0"/>
    <w:rsid w:val="003D4DCF"/>
    <w:rsid w:val="003D4E24"/>
    <w:rsid w:val="003D4F1F"/>
    <w:rsid w:val="003D509C"/>
    <w:rsid w:val="003D5118"/>
    <w:rsid w:val="003D5125"/>
    <w:rsid w:val="003D51AC"/>
    <w:rsid w:val="003D5340"/>
    <w:rsid w:val="003D5603"/>
    <w:rsid w:val="003D56BB"/>
    <w:rsid w:val="003D56CB"/>
    <w:rsid w:val="003D56FE"/>
    <w:rsid w:val="003D576D"/>
    <w:rsid w:val="003D5A41"/>
    <w:rsid w:val="003D5A72"/>
    <w:rsid w:val="003D5B7A"/>
    <w:rsid w:val="003D5C50"/>
    <w:rsid w:val="003D5C57"/>
    <w:rsid w:val="003D5CB7"/>
    <w:rsid w:val="003D5D3B"/>
    <w:rsid w:val="003D5DAF"/>
    <w:rsid w:val="003D5E15"/>
    <w:rsid w:val="003D5E23"/>
    <w:rsid w:val="003D5E74"/>
    <w:rsid w:val="003D6031"/>
    <w:rsid w:val="003D6120"/>
    <w:rsid w:val="003D6363"/>
    <w:rsid w:val="003D66E0"/>
    <w:rsid w:val="003D6929"/>
    <w:rsid w:val="003D6CB1"/>
    <w:rsid w:val="003D6CC3"/>
    <w:rsid w:val="003D7040"/>
    <w:rsid w:val="003D7064"/>
    <w:rsid w:val="003D7420"/>
    <w:rsid w:val="003D7775"/>
    <w:rsid w:val="003D77F7"/>
    <w:rsid w:val="003D781B"/>
    <w:rsid w:val="003D789D"/>
    <w:rsid w:val="003D793F"/>
    <w:rsid w:val="003D79FC"/>
    <w:rsid w:val="003D7A95"/>
    <w:rsid w:val="003D7C09"/>
    <w:rsid w:val="003D7CF6"/>
    <w:rsid w:val="003D7D1B"/>
    <w:rsid w:val="003D7D1D"/>
    <w:rsid w:val="003D7D8B"/>
    <w:rsid w:val="003D7FAB"/>
    <w:rsid w:val="003E0081"/>
    <w:rsid w:val="003E0132"/>
    <w:rsid w:val="003E0215"/>
    <w:rsid w:val="003E0254"/>
    <w:rsid w:val="003E02FA"/>
    <w:rsid w:val="003E034C"/>
    <w:rsid w:val="003E068F"/>
    <w:rsid w:val="003E06C8"/>
    <w:rsid w:val="003E073E"/>
    <w:rsid w:val="003E0867"/>
    <w:rsid w:val="003E08A3"/>
    <w:rsid w:val="003E0935"/>
    <w:rsid w:val="003E0941"/>
    <w:rsid w:val="003E0A88"/>
    <w:rsid w:val="003E0BC2"/>
    <w:rsid w:val="003E0DBF"/>
    <w:rsid w:val="003E0EDB"/>
    <w:rsid w:val="003E0F9D"/>
    <w:rsid w:val="003E100E"/>
    <w:rsid w:val="003E1171"/>
    <w:rsid w:val="003E1348"/>
    <w:rsid w:val="003E14BA"/>
    <w:rsid w:val="003E1511"/>
    <w:rsid w:val="003E15D3"/>
    <w:rsid w:val="003E1620"/>
    <w:rsid w:val="003E1904"/>
    <w:rsid w:val="003E1A9F"/>
    <w:rsid w:val="003E1B26"/>
    <w:rsid w:val="003E1BAE"/>
    <w:rsid w:val="003E1D90"/>
    <w:rsid w:val="003E1DCF"/>
    <w:rsid w:val="003E1E35"/>
    <w:rsid w:val="003E1F93"/>
    <w:rsid w:val="003E205E"/>
    <w:rsid w:val="003E2083"/>
    <w:rsid w:val="003E2207"/>
    <w:rsid w:val="003E2310"/>
    <w:rsid w:val="003E2330"/>
    <w:rsid w:val="003E23BE"/>
    <w:rsid w:val="003E240C"/>
    <w:rsid w:val="003E2425"/>
    <w:rsid w:val="003E2602"/>
    <w:rsid w:val="003E2881"/>
    <w:rsid w:val="003E28BF"/>
    <w:rsid w:val="003E2917"/>
    <w:rsid w:val="003E2970"/>
    <w:rsid w:val="003E2AE0"/>
    <w:rsid w:val="003E2BFF"/>
    <w:rsid w:val="003E2D10"/>
    <w:rsid w:val="003E2DD0"/>
    <w:rsid w:val="003E2EFD"/>
    <w:rsid w:val="003E2F0E"/>
    <w:rsid w:val="003E3099"/>
    <w:rsid w:val="003E309F"/>
    <w:rsid w:val="003E33CC"/>
    <w:rsid w:val="003E34D9"/>
    <w:rsid w:val="003E35CA"/>
    <w:rsid w:val="003E37D6"/>
    <w:rsid w:val="003E37EA"/>
    <w:rsid w:val="003E3A2A"/>
    <w:rsid w:val="003E3C9B"/>
    <w:rsid w:val="003E3CA0"/>
    <w:rsid w:val="003E3D02"/>
    <w:rsid w:val="003E3D10"/>
    <w:rsid w:val="003E3E2E"/>
    <w:rsid w:val="003E3E3B"/>
    <w:rsid w:val="003E4022"/>
    <w:rsid w:val="003E4038"/>
    <w:rsid w:val="003E405F"/>
    <w:rsid w:val="003E4156"/>
    <w:rsid w:val="003E418C"/>
    <w:rsid w:val="003E43DD"/>
    <w:rsid w:val="003E44CC"/>
    <w:rsid w:val="003E456A"/>
    <w:rsid w:val="003E45DF"/>
    <w:rsid w:val="003E49A1"/>
    <w:rsid w:val="003E4B8F"/>
    <w:rsid w:val="003E4BB0"/>
    <w:rsid w:val="003E4D7F"/>
    <w:rsid w:val="003E4F21"/>
    <w:rsid w:val="003E4F26"/>
    <w:rsid w:val="003E4FBE"/>
    <w:rsid w:val="003E5003"/>
    <w:rsid w:val="003E52A3"/>
    <w:rsid w:val="003E5383"/>
    <w:rsid w:val="003E565E"/>
    <w:rsid w:val="003E576B"/>
    <w:rsid w:val="003E5802"/>
    <w:rsid w:val="003E5CBC"/>
    <w:rsid w:val="003E5D0E"/>
    <w:rsid w:val="003E5E83"/>
    <w:rsid w:val="003E5F00"/>
    <w:rsid w:val="003E6088"/>
    <w:rsid w:val="003E608D"/>
    <w:rsid w:val="003E61C4"/>
    <w:rsid w:val="003E6212"/>
    <w:rsid w:val="003E6241"/>
    <w:rsid w:val="003E632A"/>
    <w:rsid w:val="003E63F0"/>
    <w:rsid w:val="003E6557"/>
    <w:rsid w:val="003E65DD"/>
    <w:rsid w:val="003E665A"/>
    <w:rsid w:val="003E667C"/>
    <w:rsid w:val="003E66C7"/>
    <w:rsid w:val="003E6801"/>
    <w:rsid w:val="003E6841"/>
    <w:rsid w:val="003E68E9"/>
    <w:rsid w:val="003E6917"/>
    <w:rsid w:val="003E6D90"/>
    <w:rsid w:val="003E6DE4"/>
    <w:rsid w:val="003E703E"/>
    <w:rsid w:val="003E7090"/>
    <w:rsid w:val="003E70DD"/>
    <w:rsid w:val="003E71C5"/>
    <w:rsid w:val="003E7251"/>
    <w:rsid w:val="003E7370"/>
    <w:rsid w:val="003E73B9"/>
    <w:rsid w:val="003E75DA"/>
    <w:rsid w:val="003E7633"/>
    <w:rsid w:val="003E7649"/>
    <w:rsid w:val="003E76CD"/>
    <w:rsid w:val="003E77B0"/>
    <w:rsid w:val="003E79F2"/>
    <w:rsid w:val="003E7A3B"/>
    <w:rsid w:val="003E7AAD"/>
    <w:rsid w:val="003E7AB2"/>
    <w:rsid w:val="003E7B7F"/>
    <w:rsid w:val="003E7D9D"/>
    <w:rsid w:val="003E7DD9"/>
    <w:rsid w:val="003E7E2A"/>
    <w:rsid w:val="003F007C"/>
    <w:rsid w:val="003F0126"/>
    <w:rsid w:val="003F019E"/>
    <w:rsid w:val="003F02F7"/>
    <w:rsid w:val="003F0418"/>
    <w:rsid w:val="003F05BB"/>
    <w:rsid w:val="003F063D"/>
    <w:rsid w:val="003F071C"/>
    <w:rsid w:val="003F0933"/>
    <w:rsid w:val="003F0BD2"/>
    <w:rsid w:val="003F0D0A"/>
    <w:rsid w:val="003F0D1A"/>
    <w:rsid w:val="003F0D66"/>
    <w:rsid w:val="003F0DF1"/>
    <w:rsid w:val="003F0F93"/>
    <w:rsid w:val="003F0FF9"/>
    <w:rsid w:val="003F10BA"/>
    <w:rsid w:val="003F1267"/>
    <w:rsid w:val="003F137C"/>
    <w:rsid w:val="003F13F6"/>
    <w:rsid w:val="003F14D1"/>
    <w:rsid w:val="003F1594"/>
    <w:rsid w:val="003F15E5"/>
    <w:rsid w:val="003F1605"/>
    <w:rsid w:val="003F1901"/>
    <w:rsid w:val="003F191C"/>
    <w:rsid w:val="003F193D"/>
    <w:rsid w:val="003F1C76"/>
    <w:rsid w:val="003F1E63"/>
    <w:rsid w:val="003F1F4E"/>
    <w:rsid w:val="003F1F6A"/>
    <w:rsid w:val="003F203B"/>
    <w:rsid w:val="003F2088"/>
    <w:rsid w:val="003F2110"/>
    <w:rsid w:val="003F2234"/>
    <w:rsid w:val="003F23DA"/>
    <w:rsid w:val="003F23ED"/>
    <w:rsid w:val="003F2413"/>
    <w:rsid w:val="003F24D0"/>
    <w:rsid w:val="003F264A"/>
    <w:rsid w:val="003F2713"/>
    <w:rsid w:val="003F27A9"/>
    <w:rsid w:val="003F27FC"/>
    <w:rsid w:val="003F2922"/>
    <w:rsid w:val="003F2B5D"/>
    <w:rsid w:val="003F2BCB"/>
    <w:rsid w:val="003F2BEF"/>
    <w:rsid w:val="003F2C4F"/>
    <w:rsid w:val="003F2FE9"/>
    <w:rsid w:val="003F316D"/>
    <w:rsid w:val="003F31F6"/>
    <w:rsid w:val="003F3363"/>
    <w:rsid w:val="003F3369"/>
    <w:rsid w:val="003F33A4"/>
    <w:rsid w:val="003F34B5"/>
    <w:rsid w:val="003F3B79"/>
    <w:rsid w:val="003F3C6D"/>
    <w:rsid w:val="003F3CC1"/>
    <w:rsid w:val="003F3CC8"/>
    <w:rsid w:val="003F3D66"/>
    <w:rsid w:val="003F3E3F"/>
    <w:rsid w:val="003F3EF1"/>
    <w:rsid w:val="003F3EF3"/>
    <w:rsid w:val="003F3F38"/>
    <w:rsid w:val="003F3F68"/>
    <w:rsid w:val="003F4276"/>
    <w:rsid w:val="003F42E0"/>
    <w:rsid w:val="003F442E"/>
    <w:rsid w:val="003F446D"/>
    <w:rsid w:val="003F44D6"/>
    <w:rsid w:val="003F4529"/>
    <w:rsid w:val="003F4557"/>
    <w:rsid w:val="003F45B9"/>
    <w:rsid w:val="003F487B"/>
    <w:rsid w:val="003F489E"/>
    <w:rsid w:val="003F48AF"/>
    <w:rsid w:val="003F4A35"/>
    <w:rsid w:val="003F4A6F"/>
    <w:rsid w:val="003F4CBB"/>
    <w:rsid w:val="003F4DE5"/>
    <w:rsid w:val="003F4F12"/>
    <w:rsid w:val="003F5087"/>
    <w:rsid w:val="003F5097"/>
    <w:rsid w:val="003F5537"/>
    <w:rsid w:val="003F5577"/>
    <w:rsid w:val="003F5592"/>
    <w:rsid w:val="003F5719"/>
    <w:rsid w:val="003F57E3"/>
    <w:rsid w:val="003F5A41"/>
    <w:rsid w:val="003F5F9A"/>
    <w:rsid w:val="003F6174"/>
    <w:rsid w:val="003F623C"/>
    <w:rsid w:val="003F62CC"/>
    <w:rsid w:val="003F631C"/>
    <w:rsid w:val="003F69CA"/>
    <w:rsid w:val="003F6A0B"/>
    <w:rsid w:val="003F6A16"/>
    <w:rsid w:val="003F6A7B"/>
    <w:rsid w:val="003F6B95"/>
    <w:rsid w:val="003F6D90"/>
    <w:rsid w:val="003F6EFA"/>
    <w:rsid w:val="003F7025"/>
    <w:rsid w:val="003F713E"/>
    <w:rsid w:val="003F7177"/>
    <w:rsid w:val="003F71C9"/>
    <w:rsid w:val="003F71E2"/>
    <w:rsid w:val="003F71EA"/>
    <w:rsid w:val="003F71ED"/>
    <w:rsid w:val="003F72AE"/>
    <w:rsid w:val="003F7355"/>
    <w:rsid w:val="003F738A"/>
    <w:rsid w:val="003F75F6"/>
    <w:rsid w:val="003F766C"/>
    <w:rsid w:val="003F76CA"/>
    <w:rsid w:val="003F76F1"/>
    <w:rsid w:val="003F7765"/>
    <w:rsid w:val="003F7888"/>
    <w:rsid w:val="003F79E6"/>
    <w:rsid w:val="003F7B02"/>
    <w:rsid w:val="003F7C76"/>
    <w:rsid w:val="003F7D98"/>
    <w:rsid w:val="003F7DEA"/>
    <w:rsid w:val="003F7FAD"/>
    <w:rsid w:val="0040005F"/>
    <w:rsid w:val="00400094"/>
    <w:rsid w:val="0040026F"/>
    <w:rsid w:val="0040034A"/>
    <w:rsid w:val="00400386"/>
    <w:rsid w:val="004003CC"/>
    <w:rsid w:val="00400480"/>
    <w:rsid w:val="004004B5"/>
    <w:rsid w:val="004005A1"/>
    <w:rsid w:val="004005F0"/>
    <w:rsid w:val="004006AF"/>
    <w:rsid w:val="00400956"/>
    <w:rsid w:val="00400AEE"/>
    <w:rsid w:val="00400B2D"/>
    <w:rsid w:val="00400D07"/>
    <w:rsid w:val="00400D21"/>
    <w:rsid w:val="00400F84"/>
    <w:rsid w:val="004010DD"/>
    <w:rsid w:val="004010EC"/>
    <w:rsid w:val="004012C5"/>
    <w:rsid w:val="0040133C"/>
    <w:rsid w:val="00401342"/>
    <w:rsid w:val="0040135E"/>
    <w:rsid w:val="004013AD"/>
    <w:rsid w:val="00401432"/>
    <w:rsid w:val="00401655"/>
    <w:rsid w:val="004016FC"/>
    <w:rsid w:val="00401D73"/>
    <w:rsid w:val="00401FEA"/>
    <w:rsid w:val="00402146"/>
    <w:rsid w:val="00402202"/>
    <w:rsid w:val="0040227D"/>
    <w:rsid w:val="004022B2"/>
    <w:rsid w:val="00402383"/>
    <w:rsid w:val="004023F5"/>
    <w:rsid w:val="0040241B"/>
    <w:rsid w:val="004024EC"/>
    <w:rsid w:val="0040254E"/>
    <w:rsid w:val="00402688"/>
    <w:rsid w:val="00402714"/>
    <w:rsid w:val="0040287C"/>
    <w:rsid w:val="00402906"/>
    <w:rsid w:val="00402A44"/>
    <w:rsid w:val="00402A7E"/>
    <w:rsid w:val="00402D82"/>
    <w:rsid w:val="00402DB4"/>
    <w:rsid w:val="00402FD4"/>
    <w:rsid w:val="0040303C"/>
    <w:rsid w:val="004030E5"/>
    <w:rsid w:val="00403587"/>
    <w:rsid w:val="004036EA"/>
    <w:rsid w:val="00403891"/>
    <w:rsid w:val="004038EE"/>
    <w:rsid w:val="00403A97"/>
    <w:rsid w:val="00403B5B"/>
    <w:rsid w:val="00403C2F"/>
    <w:rsid w:val="00403D76"/>
    <w:rsid w:val="00403F83"/>
    <w:rsid w:val="004040B2"/>
    <w:rsid w:val="004040B5"/>
    <w:rsid w:val="004040BC"/>
    <w:rsid w:val="00404128"/>
    <w:rsid w:val="00404214"/>
    <w:rsid w:val="00404265"/>
    <w:rsid w:val="0040448F"/>
    <w:rsid w:val="00404493"/>
    <w:rsid w:val="0040459F"/>
    <w:rsid w:val="00404613"/>
    <w:rsid w:val="00404798"/>
    <w:rsid w:val="00404A17"/>
    <w:rsid w:val="00404B0D"/>
    <w:rsid w:val="00404B33"/>
    <w:rsid w:val="00404CD1"/>
    <w:rsid w:val="00404D74"/>
    <w:rsid w:val="00404DD0"/>
    <w:rsid w:val="00404E37"/>
    <w:rsid w:val="00404E4B"/>
    <w:rsid w:val="0040500E"/>
    <w:rsid w:val="0040504E"/>
    <w:rsid w:val="0040508D"/>
    <w:rsid w:val="0040519E"/>
    <w:rsid w:val="004051AA"/>
    <w:rsid w:val="00405205"/>
    <w:rsid w:val="00405299"/>
    <w:rsid w:val="00405343"/>
    <w:rsid w:val="004054B8"/>
    <w:rsid w:val="004054F2"/>
    <w:rsid w:val="004056F6"/>
    <w:rsid w:val="0040581A"/>
    <w:rsid w:val="004058A9"/>
    <w:rsid w:val="00405973"/>
    <w:rsid w:val="00405A4A"/>
    <w:rsid w:val="00405A5C"/>
    <w:rsid w:val="00405D04"/>
    <w:rsid w:val="00405D67"/>
    <w:rsid w:val="00405D80"/>
    <w:rsid w:val="00405F08"/>
    <w:rsid w:val="00405F2C"/>
    <w:rsid w:val="00406014"/>
    <w:rsid w:val="0040620E"/>
    <w:rsid w:val="004064B3"/>
    <w:rsid w:val="00406743"/>
    <w:rsid w:val="00406800"/>
    <w:rsid w:val="00406952"/>
    <w:rsid w:val="004069FA"/>
    <w:rsid w:val="00406C3E"/>
    <w:rsid w:val="00406C91"/>
    <w:rsid w:val="00406DC9"/>
    <w:rsid w:val="004071CB"/>
    <w:rsid w:val="0040724C"/>
    <w:rsid w:val="00407258"/>
    <w:rsid w:val="0040729C"/>
    <w:rsid w:val="0040736C"/>
    <w:rsid w:val="004073DB"/>
    <w:rsid w:val="0040740D"/>
    <w:rsid w:val="0040743E"/>
    <w:rsid w:val="00407599"/>
    <w:rsid w:val="00407715"/>
    <w:rsid w:val="0040786B"/>
    <w:rsid w:val="0040788C"/>
    <w:rsid w:val="004078E5"/>
    <w:rsid w:val="0040790A"/>
    <w:rsid w:val="004079A9"/>
    <w:rsid w:val="00407AAB"/>
    <w:rsid w:val="00407B1B"/>
    <w:rsid w:val="00407B62"/>
    <w:rsid w:val="00407BB2"/>
    <w:rsid w:val="00407BB8"/>
    <w:rsid w:val="00407E64"/>
    <w:rsid w:val="00410166"/>
    <w:rsid w:val="00410465"/>
    <w:rsid w:val="00410598"/>
    <w:rsid w:val="004106A8"/>
    <w:rsid w:val="00410760"/>
    <w:rsid w:val="0041089E"/>
    <w:rsid w:val="004108AB"/>
    <w:rsid w:val="00410A3B"/>
    <w:rsid w:val="00410B0B"/>
    <w:rsid w:val="00410CFA"/>
    <w:rsid w:val="00410D52"/>
    <w:rsid w:val="00410F30"/>
    <w:rsid w:val="00410F64"/>
    <w:rsid w:val="00410F7E"/>
    <w:rsid w:val="00411098"/>
    <w:rsid w:val="004112A1"/>
    <w:rsid w:val="004113CA"/>
    <w:rsid w:val="0041158D"/>
    <w:rsid w:val="004115BE"/>
    <w:rsid w:val="004115D9"/>
    <w:rsid w:val="0041169E"/>
    <w:rsid w:val="00411725"/>
    <w:rsid w:val="00411795"/>
    <w:rsid w:val="004118DF"/>
    <w:rsid w:val="00411D65"/>
    <w:rsid w:val="00411D71"/>
    <w:rsid w:val="00411F70"/>
    <w:rsid w:val="00411F7A"/>
    <w:rsid w:val="00411FF1"/>
    <w:rsid w:val="0041206A"/>
    <w:rsid w:val="0041220C"/>
    <w:rsid w:val="00412280"/>
    <w:rsid w:val="0041255C"/>
    <w:rsid w:val="004126D3"/>
    <w:rsid w:val="004129E0"/>
    <w:rsid w:val="004129E9"/>
    <w:rsid w:val="00412A28"/>
    <w:rsid w:val="00412A50"/>
    <w:rsid w:val="00412B24"/>
    <w:rsid w:val="00412CAB"/>
    <w:rsid w:val="00412DD9"/>
    <w:rsid w:val="00412E06"/>
    <w:rsid w:val="00412F33"/>
    <w:rsid w:val="00412F7C"/>
    <w:rsid w:val="00413010"/>
    <w:rsid w:val="004130D8"/>
    <w:rsid w:val="004131F1"/>
    <w:rsid w:val="00413495"/>
    <w:rsid w:val="004134A9"/>
    <w:rsid w:val="00413522"/>
    <w:rsid w:val="004135DA"/>
    <w:rsid w:val="00413665"/>
    <w:rsid w:val="004136B0"/>
    <w:rsid w:val="004138F7"/>
    <w:rsid w:val="00413982"/>
    <w:rsid w:val="0041399F"/>
    <w:rsid w:val="00413B9F"/>
    <w:rsid w:val="00413CB3"/>
    <w:rsid w:val="00413DC5"/>
    <w:rsid w:val="00413DE7"/>
    <w:rsid w:val="00413E8E"/>
    <w:rsid w:val="004140F6"/>
    <w:rsid w:val="00414323"/>
    <w:rsid w:val="004143C4"/>
    <w:rsid w:val="004144D4"/>
    <w:rsid w:val="00414591"/>
    <w:rsid w:val="00414655"/>
    <w:rsid w:val="004146AF"/>
    <w:rsid w:val="0041476B"/>
    <w:rsid w:val="0041478F"/>
    <w:rsid w:val="004147E2"/>
    <w:rsid w:val="0041491F"/>
    <w:rsid w:val="00414ABD"/>
    <w:rsid w:val="00414B4B"/>
    <w:rsid w:val="00414B68"/>
    <w:rsid w:val="00414B92"/>
    <w:rsid w:val="00414BA2"/>
    <w:rsid w:val="00414C93"/>
    <w:rsid w:val="00414CE6"/>
    <w:rsid w:val="00414FB9"/>
    <w:rsid w:val="00415025"/>
    <w:rsid w:val="004151A0"/>
    <w:rsid w:val="0041531A"/>
    <w:rsid w:val="00415390"/>
    <w:rsid w:val="0041541E"/>
    <w:rsid w:val="004155D7"/>
    <w:rsid w:val="00415682"/>
    <w:rsid w:val="004157EC"/>
    <w:rsid w:val="0041582D"/>
    <w:rsid w:val="00415999"/>
    <w:rsid w:val="00415CC8"/>
    <w:rsid w:val="00415DBD"/>
    <w:rsid w:val="00415E66"/>
    <w:rsid w:val="00415E7B"/>
    <w:rsid w:val="00415F32"/>
    <w:rsid w:val="00415FF1"/>
    <w:rsid w:val="00416132"/>
    <w:rsid w:val="004162DF"/>
    <w:rsid w:val="00416405"/>
    <w:rsid w:val="004164DB"/>
    <w:rsid w:val="00416536"/>
    <w:rsid w:val="0041677A"/>
    <w:rsid w:val="004167E6"/>
    <w:rsid w:val="0041687C"/>
    <w:rsid w:val="0041688D"/>
    <w:rsid w:val="0041690C"/>
    <w:rsid w:val="00416A82"/>
    <w:rsid w:val="00416AFF"/>
    <w:rsid w:val="00416C00"/>
    <w:rsid w:val="00416C36"/>
    <w:rsid w:val="00416CB7"/>
    <w:rsid w:val="00416CF1"/>
    <w:rsid w:val="00416D1E"/>
    <w:rsid w:val="00416EED"/>
    <w:rsid w:val="00417006"/>
    <w:rsid w:val="0041702D"/>
    <w:rsid w:val="004171B4"/>
    <w:rsid w:val="004171C2"/>
    <w:rsid w:val="004173C7"/>
    <w:rsid w:val="004174AF"/>
    <w:rsid w:val="0041774C"/>
    <w:rsid w:val="004179E6"/>
    <w:rsid w:val="00417AC5"/>
    <w:rsid w:val="00417AFF"/>
    <w:rsid w:val="00417B1A"/>
    <w:rsid w:val="00417D23"/>
    <w:rsid w:val="00417DE9"/>
    <w:rsid w:val="004200BD"/>
    <w:rsid w:val="00420489"/>
    <w:rsid w:val="004204C5"/>
    <w:rsid w:val="00420848"/>
    <w:rsid w:val="004208ED"/>
    <w:rsid w:val="00420930"/>
    <w:rsid w:val="00420ADB"/>
    <w:rsid w:val="00420B01"/>
    <w:rsid w:val="00420B26"/>
    <w:rsid w:val="00420B8A"/>
    <w:rsid w:val="00420BC0"/>
    <w:rsid w:val="00420E5D"/>
    <w:rsid w:val="00420E88"/>
    <w:rsid w:val="00420EC8"/>
    <w:rsid w:val="00420F11"/>
    <w:rsid w:val="00421087"/>
    <w:rsid w:val="004210BC"/>
    <w:rsid w:val="0042113A"/>
    <w:rsid w:val="00421306"/>
    <w:rsid w:val="0042140E"/>
    <w:rsid w:val="00421459"/>
    <w:rsid w:val="00421505"/>
    <w:rsid w:val="004215C0"/>
    <w:rsid w:val="00421623"/>
    <w:rsid w:val="00421648"/>
    <w:rsid w:val="00421A01"/>
    <w:rsid w:val="00421B35"/>
    <w:rsid w:val="00421C50"/>
    <w:rsid w:val="00421E11"/>
    <w:rsid w:val="00421E55"/>
    <w:rsid w:val="0042205E"/>
    <w:rsid w:val="0042213E"/>
    <w:rsid w:val="004221C6"/>
    <w:rsid w:val="0042221B"/>
    <w:rsid w:val="004226D0"/>
    <w:rsid w:val="004227A3"/>
    <w:rsid w:val="00422C27"/>
    <w:rsid w:val="00422C34"/>
    <w:rsid w:val="00422EB0"/>
    <w:rsid w:val="00422F16"/>
    <w:rsid w:val="00422FB7"/>
    <w:rsid w:val="00423081"/>
    <w:rsid w:val="004230E2"/>
    <w:rsid w:val="00423143"/>
    <w:rsid w:val="0042317E"/>
    <w:rsid w:val="00423342"/>
    <w:rsid w:val="00423386"/>
    <w:rsid w:val="0042338E"/>
    <w:rsid w:val="00423647"/>
    <w:rsid w:val="004236BB"/>
    <w:rsid w:val="004236C1"/>
    <w:rsid w:val="004236FB"/>
    <w:rsid w:val="004237BB"/>
    <w:rsid w:val="0042399B"/>
    <w:rsid w:val="004239BF"/>
    <w:rsid w:val="00423A69"/>
    <w:rsid w:val="00423AA1"/>
    <w:rsid w:val="00423CAB"/>
    <w:rsid w:val="00423EAF"/>
    <w:rsid w:val="00423F6E"/>
    <w:rsid w:val="0042407D"/>
    <w:rsid w:val="004240C6"/>
    <w:rsid w:val="00424299"/>
    <w:rsid w:val="004243FF"/>
    <w:rsid w:val="00424466"/>
    <w:rsid w:val="00424532"/>
    <w:rsid w:val="00424576"/>
    <w:rsid w:val="00424660"/>
    <w:rsid w:val="00424748"/>
    <w:rsid w:val="00424814"/>
    <w:rsid w:val="004248D4"/>
    <w:rsid w:val="00424AEE"/>
    <w:rsid w:val="00424C3C"/>
    <w:rsid w:val="00424D1A"/>
    <w:rsid w:val="00424DC6"/>
    <w:rsid w:val="00424E71"/>
    <w:rsid w:val="00425009"/>
    <w:rsid w:val="004255FA"/>
    <w:rsid w:val="00425948"/>
    <w:rsid w:val="00425B34"/>
    <w:rsid w:val="00425B7F"/>
    <w:rsid w:val="00425FC4"/>
    <w:rsid w:val="0042608D"/>
    <w:rsid w:val="0042615D"/>
    <w:rsid w:val="00426249"/>
    <w:rsid w:val="00426250"/>
    <w:rsid w:val="004262DE"/>
    <w:rsid w:val="004263AA"/>
    <w:rsid w:val="004264C0"/>
    <w:rsid w:val="00426918"/>
    <w:rsid w:val="00426961"/>
    <w:rsid w:val="00426972"/>
    <w:rsid w:val="00426C04"/>
    <w:rsid w:val="00426D1D"/>
    <w:rsid w:val="00426EBB"/>
    <w:rsid w:val="00426FB6"/>
    <w:rsid w:val="0042705C"/>
    <w:rsid w:val="00427080"/>
    <w:rsid w:val="004273BB"/>
    <w:rsid w:val="004276C9"/>
    <w:rsid w:val="00427A7E"/>
    <w:rsid w:val="00427ADF"/>
    <w:rsid w:val="00427B7F"/>
    <w:rsid w:val="00427CE8"/>
    <w:rsid w:val="00427F5C"/>
    <w:rsid w:val="00430020"/>
    <w:rsid w:val="0043029D"/>
    <w:rsid w:val="00430328"/>
    <w:rsid w:val="00430652"/>
    <w:rsid w:val="00430905"/>
    <w:rsid w:val="00430985"/>
    <w:rsid w:val="00430AC2"/>
    <w:rsid w:val="00430AD4"/>
    <w:rsid w:val="00430AE0"/>
    <w:rsid w:val="00430B9D"/>
    <w:rsid w:val="00430D06"/>
    <w:rsid w:val="0043100B"/>
    <w:rsid w:val="0043107B"/>
    <w:rsid w:val="0043121C"/>
    <w:rsid w:val="004313A2"/>
    <w:rsid w:val="00431495"/>
    <w:rsid w:val="004314D6"/>
    <w:rsid w:val="004315B9"/>
    <w:rsid w:val="004315FD"/>
    <w:rsid w:val="00431655"/>
    <w:rsid w:val="00431681"/>
    <w:rsid w:val="00431712"/>
    <w:rsid w:val="00431831"/>
    <w:rsid w:val="00431959"/>
    <w:rsid w:val="00431A01"/>
    <w:rsid w:val="00431ADD"/>
    <w:rsid w:val="00431C1C"/>
    <w:rsid w:val="00431CF8"/>
    <w:rsid w:val="00431F52"/>
    <w:rsid w:val="00431F54"/>
    <w:rsid w:val="00431F63"/>
    <w:rsid w:val="00432001"/>
    <w:rsid w:val="0043215F"/>
    <w:rsid w:val="004321BA"/>
    <w:rsid w:val="00432405"/>
    <w:rsid w:val="00432457"/>
    <w:rsid w:val="0043246A"/>
    <w:rsid w:val="004324C1"/>
    <w:rsid w:val="00432592"/>
    <w:rsid w:val="00432845"/>
    <w:rsid w:val="0043286C"/>
    <w:rsid w:val="004328CB"/>
    <w:rsid w:val="004328D7"/>
    <w:rsid w:val="004329EE"/>
    <w:rsid w:val="00432A66"/>
    <w:rsid w:val="00432D3F"/>
    <w:rsid w:val="00432E01"/>
    <w:rsid w:val="004330C1"/>
    <w:rsid w:val="004330E8"/>
    <w:rsid w:val="00433201"/>
    <w:rsid w:val="004332C2"/>
    <w:rsid w:val="004336D9"/>
    <w:rsid w:val="0043385D"/>
    <w:rsid w:val="00433C80"/>
    <w:rsid w:val="00433C90"/>
    <w:rsid w:val="00433F5A"/>
    <w:rsid w:val="00433FC2"/>
    <w:rsid w:val="004340F5"/>
    <w:rsid w:val="00434125"/>
    <w:rsid w:val="00434191"/>
    <w:rsid w:val="00434274"/>
    <w:rsid w:val="004342D6"/>
    <w:rsid w:val="00434418"/>
    <w:rsid w:val="00434486"/>
    <w:rsid w:val="004344D5"/>
    <w:rsid w:val="00434539"/>
    <w:rsid w:val="004347C6"/>
    <w:rsid w:val="004347CD"/>
    <w:rsid w:val="0043483E"/>
    <w:rsid w:val="004348AE"/>
    <w:rsid w:val="004348CA"/>
    <w:rsid w:val="00434A68"/>
    <w:rsid w:val="00434B05"/>
    <w:rsid w:val="00434B66"/>
    <w:rsid w:val="00434BFD"/>
    <w:rsid w:val="00434C00"/>
    <w:rsid w:val="00434C37"/>
    <w:rsid w:val="00434CC6"/>
    <w:rsid w:val="00434D57"/>
    <w:rsid w:val="00434D7D"/>
    <w:rsid w:val="00434DE2"/>
    <w:rsid w:val="0043505A"/>
    <w:rsid w:val="00435185"/>
    <w:rsid w:val="00435453"/>
    <w:rsid w:val="004354FA"/>
    <w:rsid w:val="00435860"/>
    <w:rsid w:val="004358EE"/>
    <w:rsid w:val="0043593D"/>
    <w:rsid w:val="004359E3"/>
    <w:rsid w:val="00435BD1"/>
    <w:rsid w:val="00435E00"/>
    <w:rsid w:val="00435FA0"/>
    <w:rsid w:val="00436004"/>
    <w:rsid w:val="0043613D"/>
    <w:rsid w:val="00436271"/>
    <w:rsid w:val="0043629B"/>
    <w:rsid w:val="00436337"/>
    <w:rsid w:val="0043639B"/>
    <w:rsid w:val="0043649D"/>
    <w:rsid w:val="00436631"/>
    <w:rsid w:val="00436797"/>
    <w:rsid w:val="004367B5"/>
    <w:rsid w:val="004367E2"/>
    <w:rsid w:val="004369C4"/>
    <w:rsid w:val="00436A99"/>
    <w:rsid w:val="00436ABF"/>
    <w:rsid w:val="00436ACA"/>
    <w:rsid w:val="00436C53"/>
    <w:rsid w:val="00436CF2"/>
    <w:rsid w:val="00436D2E"/>
    <w:rsid w:val="00436FCF"/>
    <w:rsid w:val="00437037"/>
    <w:rsid w:val="00437574"/>
    <w:rsid w:val="00437A66"/>
    <w:rsid w:val="00437AAB"/>
    <w:rsid w:val="00437BDB"/>
    <w:rsid w:val="0044003D"/>
    <w:rsid w:val="004402D7"/>
    <w:rsid w:val="0044035D"/>
    <w:rsid w:val="00440364"/>
    <w:rsid w:val="00440372"/>
    <w:rsid w:val="00440570"/>
    <w:rsid w:val="004405F5"/>
    <w:rsid w:val="00440750"/>
    <w:rsid w:val="004407D2"/>
    <w:rsid w:val="004408B1"/>
    <w:rsid w:val="00440906"/>
    <w:rsid w:val="004409A5"/>
    <w:rsid w:val="00440A70"/>
    <w:rsid w:val="00440C51"/>
    <w:rsid w:val="00440C8C"/>
    <w:rsid w:val="00440F20"/>
    <w:rsid w:val="00441307"/>
    <w:rsid w:val="0044136A"/>
    <w:rsid w:val="004413CC"/>
    <w:rsid w:val="004413F5"/>
    <w:rsid w:val="0044144B"/>
    <w:rsid w:val="004414C5"/>
    <w:rsid w:val="00441537"/>
    <w:rsid w:val="004415B6"/>
    <w:rsid w:val="00441620"/>
    <w:rsid w:val="00441B9B"/>
    <w:rsid w:val="00441D26"/>
    <w:rsid w:val="00441D7E"/>
    <w:rsid w:val="00441E26"/>
    <w:rsid w:val="00441E81"/>
    <w:rsid w:val="00442006"/>
    <w:rsid w:val="00442179"/>
    <w:rsid w:val="00442419"/>
    <w:rsid w:val="004424BB"/>
    <w:rsid w:val="004425F5"/>
    <w:rsid w:val="0044267B"/>
    <w:rsid w:val="00442731"/>
    <w:rsid w:val="00442786"/>
    <w:rsid w:val="004429CD"/>
    <w:rsid w:val="00442AD6"/>
    <w:rsid w:val="0044308A"/>
    <w:rsid w:val="004433CD"/>
    <w:rsid w:val="00443705"/>
    <w:rsid w:val="0044370D"/>
    <w:rsid w:val="004437B3"/>
    <w:rsid w:val="00443B0F"/>
    <w:rsid w:val="00443B16"/>
    <w:rsid w:val="00443C34"/>
    <w:rsid w:val="00443CB2"/>
    <w:rsid w:val="00443DE7"/>
    <w:rsid w:val="00443E4C"/>
    <w:rsid w:val="00443FA7"/>
    <w:rsid w:val="00444004"/>
    <w:rsid w:val="0044407C"/>
    <w:rsid w:val="004440B4"/>
    <w:rsid w:val="004440E1"/>
    <w:rsid w:val="0044413A"/>
    <w:rsid w:val="00444287"/>
    <w:rsid w:val="004442C3"/>
    <w:rsid w:val="00444448"/>
    <w:rsid w:val="004444B6"/>
    <w:rsid w:val="004444F7"/>
    <w:rsid w:val="00444516"/>
    <w:rsid w:val="004446BB"/>
    <w:rsid w:val="004449DA"/>
    <w:rsid w:val="00444AB3"/>
    <w:rsid w:val="00444D06"/>
    <w:rsid w:val="00444D1F"/>
    <w:rsid w:val="00444D4B"/>
    <w:rsid w:val="00444E7D"/>
    <w:rsid w:val="00444E86"/>
    <w:rsid w:val="00444FA0"/>
    <w:rsid w:val="00445149"/>
    <w:rsid w:val="00445200"/>
    <w:rsid w:val="00445245"/>
    <w:rsid w:val="004452C1"/>
    <w:rsid w:val="0044540A"/>
    <w:rsid w:val="0044546B"/>
    <w:rsid w:val="004454D3"/>
    <w:rsid w:val="00445659"/>
    <w:rsid w:val="00445697"/>
    <w:rsid w:val="0044571D"/>
    <w:rsid w:val="00445732"/>
    <w:rsid w:val="0044575D"/>
    <w:rsid w:val="0044576E"/>
    <w:rsid w:val="00445A19"/>
    <w:rsid w:val="00445A94"/>
    <w:rsid w:val="00445B69"/>
    <w:rsid w:val="00445BE6"/>
    <w:rsid w:val="00445C90"/>
    <w:rsid w:val="00445D8D"/>
    <w:rsid w:val="00445E07"/>
    <w:rsid w:val="00445F95"/>
    <w:rsid w:val="00445FB5"/>
    <w:rsid w:val="00446078"/>
    <w:rsid w:val="00446140"/>
    <w:rsid w:val="00446230"/>
    <w:rsid w:val="00446353"/>
    <w:rsid w:val="004463C3"/>
    <w:rsid w:val="004463DF"/>
    <w:rsid w:val="004463EB"/>
    <w:rsid w:val="0044664B"/>
    <w:rsid w:val="004467EE"/>
    <w:rsid w:val="004468FC"/>
    <w:rsid w:val="0044690B"/>
    <w:rsid w:val="00446939"/>
    <w:rsid w:val="00446A27"/>
    <w:rsid w:val="00446A80"/>
    <w:rsid w:val="00446AB9"/>
    <w:rsid w:val="00446AC3"/>
    <w:rsid w:val="00446D19"/>
    <w:rsid w:val="00446D43"/>
    <w:rsid w:val="00446D51"/>
    <w:rsid w:val="00446E10"/>
    <w:rsid w:val="00446E99"/>
    <w:rsid w:val="00446EA5"/>
    <w:rsid w:val="00446F0B"/>
    <w:rsid w:val="00446F55"/>
    <w:rsid w:val="00446F61"/>
    <w:rsid w:val="0044708C"/>
    <w:rsid w:val="00447219"/>
    <w:rsid w:val="004475BB"/>
    <w:rsid w:val="00447687"/>
    <w:rsid w:val="004477CD"/>
    <w:rsid w:val="00447A8D"/>
    <w:rsid w:val="00447B43"/>
    <w:rsid w:val="00447B6B"/>
    <w:rsid w:val="00447F10"/>
    <w:rsid w:val="0045007B"/>
    <w:rsid w:val="00450117"/>
    <w:rsid w:val="0045018A"/>
    <w:rsid w:val="0045019A"/>
    <w:rsid w:val="00450727"/>
    <w:rsid w:val="00450756"/>
    <w:rsid w:val="00450A34"/>
    <w:rsid w:val="00450C0E"/>
    <w:rsid w:val="00450C18"/>
    <w:rsid w:val="00450D22"/>
    <w:rsid w:val="00450D2C"/>
    <w:rsid w:val="00450D5F"/>
    <w:rsid w:val="00450EC3"/>
    <w:rsid w:val="00450F31"/>
    <w:rsid w:val="00450F74"/>
    <w:rsid w:val="00450F79"/>
    <w:rsid w:val="004510CF"/>
    <w:rsid w:val="00451107"/>
    <w:rsid w:val="00451120"/>
    <w:rsid w:val="00451489"/>
    <w:rsid w:val="00451523"/>
    <w:rsid w:val="0045159E"/>
    <w:rsid w:val="00451820"/>
    <w:rsid w:val="0045193F"/>
    <w:rsid w:val="00451A8B"/>
    <w:rsid w:val="00451AAB"/>
    <w:rsid w:val="00451BC9"/>
    <w:rsid w:val="00451C69"/>
    <w:rsid w:val="00451D78"/>
    <w:rsid w:val="00451DC1"/>
    <w:rsid w:val="00451EE9"/>
    <w:rsid w:val="00451EED"/>
    <w:rsid w:val="0045207F"/>
    <w:rsid w:val="004520F3"/>
    <w:rsid w:val="0045216F"/>
    <w:rsid w:val="004523BE"/>
    <w:rsid w:val="00452440"/>
    <w:rsid w:val="00452455"/>
    <w:rsid w:val="00452502"/>
    <w:rsid w:val="0045252C"/>
    <w:rsid w:val="00452586"/>
    <w:rsid w:val="00452655"/>
    <w:rsid w:val="004529DE"/>
    <w:rsid w:val="00452A14"/>
    <w:rsid w:val="00452A5C"/>
    <w:rsid w:val="00452AA0"/>
    <w:rsid w:val="00452B0D"/>
    <w:rsid w:val="00452BC6"/>
    <w:rsid w:val="00452DC6"/>
    <w:rsid w:val="00452E90"/>
    <w:rsid w:val="00452FEB"/>
    <w:rsid w:val="0045306D"/>
    <w:rsid w:val="004530DB"/>
    <w:rsid w:val="00453215"/>
    <w:rsid w:val="0045333F"/>
    <w:rsid w:val="00453434"/>
    <w:rsid w:val="00453451"/>
    <w:rsid w:val="0045345F"/>
    <w:rsid w:val="00453467"/>
    <w:rsid w:val="0045357E"/>
    <w:rsid w:val="004535F5"/>
    <w:rsid w:val="004536A4"/>
    <w:rsid w:val="0045371F"/>
    <w:rsid w:val="004537DD"/>
    <w:rsid w:val="004539FA"/>
    <w:rsid w:val="00453A18"/>
    <w:rsid w:val="00453A82"/>
    <w:rsid w:val="00453C72"/>
    <w:rsid w:val="004540CB"/>
    <w:rsid w:val="00454171"/>
    <w:rsid w:val="0045421A"/>
    <w:rsid w:val="004542ED"/>
    <w:rsid w:val="00454682"/>
    <w:rsid w:val="004546AC"/>
    <w:rsid w:val="004546E0"/>
    <w:rsid w:val="00454AA3"/>
    <w:rsid w:val="00454B9B"/>
    <w:rsid w:val="00454CB8"/>
    <w:rsid w:val="00454CBE"/>
    <w:rsid w:val="004550C7"/>
    <w:rsid w:val="004551EE"/>
    <w:rsid w:val="00455232"/>
    <w:rsid w:val="0045532C"/>
    <w:rsid w:val="00455618"/>
    <w:rsid w:val="00455630"/>
    <w:rsid w:val="00455682"/>
    <w:rsid w:val="00455855"/>
    <w:rsid w:val="0045585C"/>
    <w:rsid w:val="004558D8"/>
    <w:rsid w:val="004559B5"/>
    <w:rsid w:val="00455A73"/>
    <w:rsid w:val="00455DE6"/>
    <w:rsid w:val="00455F58"/>
    <w:rsid w:val="004561E8"/>
    <w:rsid w:val="00456564"/>
    <w:rsid w:val="0045656B"/>
    <w:rsid w:val="004565D4"/>
    <w:rsid w:val="0045662C"/>
    <w:rsid w:val="004567B9"/>
    <w:rsid w:val="004567EC"/>
    <w:rsid w:val="004567F4"/>
    <w:rsid w:val="004568CE"/>
    <w:rsid w:val="00456954"/>
    <w:rsid w:val="00456A6F"/>
    <w:rsid w:val="00456AD3"/>
    <w:rsid w:val="00456AEE"/>
    <w:rsid w:val="00456C36"/>
    <w:rsid w:val="00456CA5"/>
    <w:rsid w:val="00456D5C"/>
    <w:rsid w:val="00456E24"/>
    <w:rsid w:val="00456F5D"/>
    <w:rsid w:val="00457185"/>
    <w:rsid w:val="004572B6"/>
    <w:rsid w:val="004572FC"/>
    <w:rsid w:val="0045738B"/>
    <w:rsid w:val="00457409"/>
    <w:rsid w:val="00457831"/>
    <w:rsid w:val="0045790F"/>
    <w:rsid w:val="00457B69"/>
    <w:rsid w:val="00457C38"/>
    <w:rsid w:val="00457C82"/>
    <w:rsid w:val="00457C93"/>
    <w:rsid w:val="00457CDE"/>
    <w:rsid w:val="00457CE3"/>
    <w:rsid w:val="00457EC1"/>
    <w:rsid w:val="00457EFB"/>
    <w:rsid w:val="00460041"/>
    <w:rsid w:val="00460144"/>
    <w:rsid w:val="00460154"/>
    <w:rsid w:val="004601FA"/>
    <w:rsid w:val="004602AB"/>
    <w:rsid w:val="004602D0"/>
    <w:rsid w:val="004603D8"/>
    <w:rsid w:val="0046053E"/>
    <w:rsid w:val="004605B6"/>
    <w:rsid w:val="00460608"/>
    <w:rsid w:val="004606B3"/>
    <w:rsid w:val="004607B3"/>
    <w:rsid w:val="004607F1"/>
    <w:rsid w:val="00460856"/>
    <w:rsid w:val="0046085C"/>
    <w:rsid w:val="004609AE"/>
    <w:rsid w:val="00460ACA"/>
    <w:rsid w:val="00460BAC"/>
    <w:rsid w:val="00460C38"/>
    <w:rsid w:val="00460C5E"/>
    <w:rsid w:val="00460C61"/>
    <w:rsid w:val="00460EC9"/>
    <w:rsid w:val="00460FE5"/>
    <w:rsid w:val="004610D7"/>
    <w:rsid w:val="004610F4"/>
    <w:rsid w:val="004611EE"/>
    <w:rsid w:val="004612C2"/>
    <w:rsid w:val="00461476"/>
    <w:rsid w:val="0046165C"/>
    <w:rsid w:val="00461670"/>
    <w:rsid w:val="004618DF"/>
    <w:rsid w:val="00461989"/>
    <w:rsid w:val="00461B26"/>
    <w:rsid w:val="00461D66"/>
    <w:rsid w:val="00461F32"/>
    <w:rsid w:val="00462017"/>
    <w:rsid w:val="00462077"/>
    <w:rsid w:val="004620D5"/>
    <w:rsid w:val="004621A7"/>
    <w:rsid w:val="00462291"/>
    <w:rsid w:val="00462394"/>
    <w:rsid w:val="004624B0"/>
    <w:rsid w:val="00462702"/>
    <w:rsid w:val="0046270B"/>
    <w:rsid w:val="00462727"/>
    <w:rsid w:val="00462796"/>
    <w:rsid w:val="004627CC"/>
    <w:rsid w:val="00462884"/>
    <w:rsid w:val="004628B4"/>
    <w:rsid w:val="004628E3"/>
    <w:rsid w:val="0046298D"/>
    <w:rsid w:val="00462A3C"/>
    <w:rsid w:val="00462B07"/>
    <w:rsid w:val="00462B2C"/>
    <w:rsid w:val="00462C39"/>
    <w:rsid w:val="00462C86"/>
    <w:rsid w:val="00463157"/>
    <w:rsid w:val="00463169"/>
    <w:rsid w:val="004635AC"/>
    <w:rsid w:val="004635FE"/>
    <w:rsid w:val="0046395D"/>
    <w:rsid w:val="004639AA"/>
    <w:rsid w:val="004639FB"/>
    <w:rsid w:val="00463C40"/>
    <w:rsid w:val="00463D32"/>
    <w:rsid w:val="00463D48"/>
    <w:rsid w:val="00463EBE"/>
    <w:rsid w:val="00463ECA"/>
    <w:rsid w:val="00463F79"/>
    <w:rsid w:val="00464042"/>
    <w:rsid w:val="00464128"/>
    <w:rsid w:val="0046413C"/>
    <w:rsid w:val="0046426B"/>
    <w:rsid w:val="00464296"/>
    <w:rsid w:val="004642B5"/>
    <w:rsid w:val="00464455"/>
    <w:rsid w:val="00464514"/>
    <w:rsid w:val="00464623"/>
    <w:rsid w:val="00464778"/>
    <w:rsid w:val="0046478C"/>
    <w:rsid w:val="004647A8"/>
    <w:rsid w:val="00464B8D"/>
    <w:rsid w:val="00464BE9"/>
    <w:rsid w:val="00464EE9"/>
    <w:rsid w:val="00464FC4"/>
    <w:rsid w:val="00465104"/>
    <w:rsid w:val="00465228"/>
    <w:rsid w:val="00465445"/>
    <w:rsid w:val="004654C6"/>
    <w:rsid w:val="004654F0"/>
    <w:rsid w:val="00465529"/>
    <w:rsid w:val="00465788"/>
    <w:rsid w:val="004659DC"/>
    <w:rsid w:val="00465B5D"/>
    <w:rsid w:val="00465FD3"/>
    <w:rsid w:val="00465FF8"/>
    <w:rsid w:val="00466174"/>
    <w:rsid w:val="0046620A"/>
    <w:rsid w:val="00466259"/>
    <w:rsid w:val="00466295"/>
    <w:rsid w:val="004664F2"/>
    <w:rsid w:val="004664F9"/>
    <w:rsid w:val="004665BD"/>
    <w:rsid w:val="004666F5"/>
    <w:rsid w:val="0046672E"/>
    <w:rsid w:val="00466816"/>
    <w:rsid w:val="00466818"/>
    <w:rsid w:val="00466832"/>
    <w:rsid w:val="00466855"/>
    <w:rsid w:val="00466858"/>
    <w:rsid w:val="0046687F"/>
    <w:rsid w:val="00466A13"/>
    <w:rsid w:val="00466A46"/>
    <w:rsid w:val="00466AAE"/>
    <w:rsid w:val="00466B8D"/>
    <w:rsid w:val="00466B96"/>
    <w:rsid w:val="00466BAB"/>
    <w:rsid w:val="00466F43"/>
    <w:rsid w:val="0046722F"/>
    <w:rsid w:val="0046723E"/>
    <w:rsid w:val="004672F5"/>
    <w:rsid w:val="00467337"/>
    <w:rsid w:val="00467A0C"/>
    <w:rsid w:val="00467B0B"/>
    <w:rsid w:val="00467C87"/>
    <w:rsid w:val="00467CAA"/>
    <w:rsid w:val="00467E4E"/>
    <w:rsid w:val="00470130"/>
    <w:rsid w:val="004701AF"/>
    <w:rsid w:val="004702B3"/>
    <w:rsid w:val="0047038B"/>
    <w:rsid w:val="00470444"/>
    <w:rsid w:val="00470492"/>
    <w:rsid w:val="0047058E"/>
    <w:rsid w:val="00470632"/>
    <w:rsid w:val="0047086B"/>
    <w:rsid w:val="00470ABC"/>
    <w:rsid w:val="00470B74"/>
    <w:rsid w:val="00470B82"/>
    <w:rsid w:val="00470C04"/>
    <w:rsid w:val="00470D60"/>
    <w:rsid w:val="00470E9F"/>
    <w:rsid w:val="00470F4A"/>
    <w:rsid w:val="00470F9C"/>
    <w:rsid w:val="00471069"/>
    <w:rsid w:val="0047121B"/>
    <w:rsid w:val="00471221"/>
    <w:rsid w:val="0047126C"/>
    <w:rsid w:val="004714E7"/>
    <w:rsid w:val="0047150B"/>
    <w:rsid w:val="0047155C"/>
    <w:rsid w:val="00471567"/>
    <w:rsid w:val="00471590"/>
    <w:rsid w:val="004716D4"/>
    <w:rsid w:val="00471767"/>
    <w:rsid w:val="0047176D"/>
    <w:rsid w:val="00471AFC"/>
    <w:rsid w:val="00471B7E"/>
    <w:rsid w:val="00471BDF"/>
    <w:rsid w:val="00471C0F"/>
    <w:rsid w:val="00471C58"/>
    <w:rsid w:val="00471CBA"/>
    <w:rsid w:val="00471E8A"/>
    <w:rsid w:val="00471F6F"/>
    <w:rsid w:val="00472064"/>
    <w:rsid w:val="00472212"/>
    <w:rsid w:val="004722E9"/>
    <w:rsid w:val="0047245D"/>
    <w:rsid w:val="0047245F"/>
    <w:rsid w:val="0047247A"/>
    <w:rsid w:val="004725AE"/>
    <w:rsid w:val="00472611"/>
    <w:rsid w:val="0047278D"/>
    <w:rsid w:val="00472905"/>
    <w:rsid w:val="00472A9E"/>
    <w:rsid w:val="00472BB0"/>
    <w:rsid w:val="00472BF0"/>
    <w:rsid w:val="00472C25"/>
    <w:rsid w:val="00472D1F"/>
    <w:rsid w:val="00472F44"/>
    <w:rsid w:val="004730E5"/>
    <w:rsid w:val="00473232"/>
    <w:rsid w:val="00473298"/>
    <w:rsid w:val="00473326"/>
    <w:rsid w:val="004733CD"/>
    <w:rsid w:val="004735E4"/>
    <w:rsid w:val="004735F0"/>
    <w:rsid w:val="00473821"/>
    <w:rsid w:val="0047384D"/>
    <w:rsid w:val="00473A0F"/>
    <w:rsid w:val="00473A11"/>
    <w:rsid w:val="00473B33"/>
    <w:rsid w:val="00473CE2"/>
    <w:rsid w:val="00473D20"/>
    <w:rsid w:val="00473E4D"/>
    <w:rsid w:val="00473EA7"/>
    <w:rsid w:val="00474048"/>
    <w:rsid w:val="0047410C"/>
    <w:rsid w:val="0047427B"/>
    <w:rsid w:val="0047441A"/>
    <w:rsid w:val="00474472"/>
    <w:rsid w:val="004745B5"/>
    <w:rsid w:val="004745BD"/>
    <w:rsid w:val="004745C6"/>
    <w:rsid w:val="00474705"/>
    <w:rsid w:val="00474709"/>
    <w:rsid w:val="004749EE"/>
    <w:rsid w:val="004749FB"/>
    <w:rsid w:val="00474A2A"/>
    <w:rsid w:val="00474A4E"/>
    <w:rsid w:val="00474BD4"/>
    <w:rsid w:val="00474C2E"/>
    <w:rsid w:val="00474FA8"/>
    <w:rsid w:val="004750C8"/>
    <w:rsid w:val="004752C8"/>
    <w:rsid w:val="004753A3"/>
    <w:rsid w:val="004755B2"/>
    <w:rsid w:val="004755B9"/>
    <w:rsid w:val="0047561B"/>
    <w:rsid w:val="00475B7F"/>
    <w:rsid w:val="00475BBD"/>
    <w:rsid w:val="00475BD0"/>
    <w:rsid w:val="00475BFE"/>
    <w:rsid w:val="00475D75"/>
    <w:rsid w:val="00475D7B"/>
    <w:rsid w:val="00475DE5"/>
    <w:rsid w:val="00475EBE"/>
    <w:rsid w:val="00475F02"/>
    <w:rsid w:val="00475F85"/>
    <w:rsid w:val="00476109"/>
    <w:rsid w:val="0047612E"/>
    <w:rsid w:val="004763EB"/>
    <w:rsid w:val="00476410"/>
    <w:rsid w:val="004766E8"/>
    <w:rsid w:val="00476779"/>
    <w:rsid w:val="00476840"/>
    <w:rsid w:val="0047685D"/>
    <w:rsid w:val="004768A5"/>
    <w:rsid w:val="00476966"/>
    <w:rsid w:val="00476A0F"/>
    <w:rsid w:val="00476AA0"/>
    <w:rsid w:val="00476CBE"/>
    <w:rsid w:val="00476DDF"/>
    <w:rsid w:val="00476E8C"/>
    <w:rsid w:val="00476F40"/>
    <w:rsid w:val="00476FB0"/>
    <w:rsid w:val="00477039"/>
    <w:rsid w:val="00477107"/>
    <w:rsid w:val="004773C4"/>
    <w:rsid w:val="004774E9"/>
    <w:rsid w:val="004774F7"/>
    <w:rsid w:val="004776F4"/>
    <w:rsid w:val="00477779"/>
    <w:rsid w:val="00477B08"/>
    <w:rsid w:val="00477C3B"/>
    <w:rsid w:val="00477E43"/>
    <w:rsid w:val="00477ED2"/>
    <w:rsid w:val="00477FFE"/>
    <w:rsid w:val="004800DB"/>
    <w:rsid w:val="00480111"/>
    <w:rsid w:val="0048012D"/>
    <w:rsid w:val="0048034A"/>
    <w:rsid w:val="0048043B"/>
    <w:rsid w:val="004805BB"/>
    <w:rsid w:val="004805FF"/>
    <w:rsid w:val="00480645"/>
    <w:rsid w:val="00480736"/>
    <w:rsid w:val="004808AA"/>
    <w:rsid w:val="00480A6D"/>
    <w:rsid w:val="00480B3F"/>
    <w:rsid w:val="00480C26"/>
    <w:rsid w:val="00480CB1"/>
    <w:rsid w:val="00480E4B"/>
    <w:rsid w:val="00480E97"/>
    <w:rsid w:val="004810CD"/>
    <w:rsid w:val="0048116D"/>
    <w:rsid w:val="0048122E"/>
    <w:rsid w:val="0048130D"/>
    <w:rsid w:val="0048153E"/>
    <w:rsid w:val="0048157D"/>
    <w:rsid w:val="004815CB"/>
    <w:rsid w:val="00481707"/>
    <w:rsid w:val="00481945"/>
    <w:rsid w:val="00481D02"/>
    <w:rsid w:val="00481D56"/>
    <w:rsid w:val="00481E89"/>
    <w:rsid w:val="00481FCB"/>
    <w:rsid w:val="00482008"/>
    <w:rsid w:val="00482075"/>
    <w:rsid w:val="00482123"/>
    <w:rsid w:val="00482202"/>
    <w:rsid w:val="00482428"/>
    <w:rsid w:val="0048243C"/>
    <w:rsid w:val="00482500"/>
    <w:rsid w:val="0048261E"/>
    <w:rsid w:val="004826E5"/>
    <w:rsid w:val="004826EA"/>
    <w:rsid w:val="004827D3"/>
    <w:rsid w:val="004828E0"/>
    <w:rsid w:val="004829DA"/>
    <w:rsid w:val="00482A8C"/>
    <w:rsid w:val="00482AEB"/>
    <w:rsid w:val="00482CC5"/>
    <w:rsid w:val="00482D2D"/>
    <w:rsid w:val="00482E3E"/>
    <w:rsid w:val="00482FEB"/>
    <w:rsid w:val="00483025"/>
    <w:rsid w:val="00483034"/>
    <w:rsid w:val="0048303C"/>
    <w:rsid w:val="00483099"/>
    <w:rsid w:val="00483198"/>
    <w:rsid w:val="00483346"/>
    <w:rsid w:val="004837D0"/>
    <w:rsid w:val="0048382A"/>
    <w:rsid w:val="004838BD"/>
    <w:rsid w:val="004838F7"/>
    <w:rsid w:val="0048390E"/>
    <w:rsid w:val="00483A74"/>
    <w:rsid w:val="00483C5D"/>
    <w:rsid w:val="00483CAE"/>
    <w:rsid w:val="00483DD1"/>
    <w:rsid w:val="00483E7F"/>
    <w:rsid w:val="00483F62"/>
    <w:rsid w:val="00484096"/>
    <w:rsid w:val="00484288"/>
    <w:rsid w:val="004843BA"/>
    <w:rsid w:val="004845A1"/>
    <w:rsid w:val="004846F9"/>
    <w:rsid w:val="00484706"/>
    <w:rsid w:val="0048480A"/>
    <w:rsid w:val="00484873"/>
    <w:rsid w:val="0048490E"/>
    <w:rsid w:val="0048494B"/>
    <w:rsid w:val="00484989"/>
    <w:rsid w:val="00484B2B"/>
    <w:rsid w:val="00484E6F"/>
    <w:rsid w:val="00484E86"/>
    <w:rsid w:val="00484EBD"/>
    <w:rsid w:val="00485054"/>
    <w:rsid w:val="00485472"/>
    <w:rsid w:val="004854C8"/>
    <w:rsid w:val="004854D9"/>
    <w:rsid w:val="00485507"/>
    <w:rsid w:val="004855AE"/>
    <w:rsid w:val="004858ED"/>
    <w:rsid w:val="00485959"/>
    <w:rsid w:val="004859D7"/>
    <w:rsid w:val="00485B31"/>
    <w:rsid w:val="00485B8B"/>
    <w:rsid w:val="00485BB0"/>
    <w:rsid w:val="00485D04"/>
    <w:rsid w:val="00485D0F"/>
    <w:rsid w:val="00485E1B"/>
    <w:rsid w:val="00485E7F"/>
    <w:rsid w:val="00485E93"/>
    <w:rsid w:val="00485F58"/>
    <w:rsid w:val="0048604A"/>
    <w:rsid w:val="004860AA"/>
    <w:rsid w:val="00486179"/>
    <w:rsid w:val="004864AF"/>
    <w:rsid w:val="00486650"/>
    <w:rsid w:val="004867DF"/>
    <w:rsid w:val="004868C2"/>
    <w:rsid w:val="00486B65"/>
    <w:rsid w:val="00486D5F"/>
    <w:rsid w:val="00486DC7"/>
    <w:rsid w:val="00486DE4"/>
    <w:rsid w:val="00486E68"/>
    <w:rsid w:val="00486FCB"/>
    <w:rsid w:val="00487099"/>
    <w:rsid w:val="0048714A"/>
    <w:rsid w:val="0048719C"/>
    <w:rsid w:val="00487287"/>
    <w:rsid w:val="004872B0"/>
    <w:rsid w:val="00487353"/>
    <w:rsid w:val="00487477"/>
    <w:rsid w:val="00487731"/>
    <w:rsid w:val="00487788"/>
    <w:rsid w:val="00487801"/>
    <w:rsid w:val="00487866"/>
    <w:rsid w:val="00487911"/>
    <w:rsid w:val="00487AFE"/>
    <w:rsid w:val="00487B23"/>
    <w:rsid w:val="00487CFB"/>
    <w:rsid w:val="00487D38"/>
    <w:rsid w:val="00490254"/>
    <w:rsid w:val="004902B0"/>
    <w:rsid w:val="00490515"/>
    <w:rsid w:val="004905DD"/>
    <w:rsid w:val="00490604"/>
    <w:rsid w:val="0049089A"/>
    <w:rsid w:val="004908E9"/>
    <w:rsid w:val="0049092E"/>
    <w:rsid w:val="004909A3"/>
    <w:rsid w:val="004909CE"/>
    <w:rsid w:val="004909EA"/>
    <w:rsid w:val="00490A8C"/>
    <w:rsid w:val="00490CD2"/>
    <w:rsid w:val="00490DD3"/>
    <w:rsid w:val="00490DF4"/>
    <w:rsid w:val="0049113A"/>
    <w:rsid w:val="00491223"/>
    <w:rsid w:val="00491510"/>
    <w:rsid w:val="00491561"/>
    <w:rsid w:val="0049161B"/>
    <w:rsid w:val="00491673"/>
    <w:rsid w:val="004916D6"/>
    <w:rsid w:val="004916F4"/>
    <w:rsid w:val="00491A76"/>
    <w:rsid w:val="00491B00"/>
    <w:rsid w:val="00491E4F"/>
    <w:rsid w:val="00491F78"/>
    <w:rsid w:val="004922DB"/>
    <w:rsid w:val="0049250C"/>
    <w:rsid w:val="004925AD"/>
    <w:rsid w:val="0049288C"/>
    <w:rsid w:val="00492B2C"/>
    <w:rsid w:val="00493100"/>
    <w:rsid w:val="00493108"/>
    <w:rsid w:val="004933A2"/>
    <w:rsid w:val="00493720"/>
    <w:rsid w:val="0049397B"/>
    <w:rsid w:val="00493AA2"/>
    <w:rsid w:val="00493AD4"/>
    <w:rsid w:val="00493C94"/>
    <w:rsid w:val="00493F06"/>
    <w:rsid w:val="00493F09"/>
    <w:rsid w:val="004940E7"/>
    <w:rsid w:val="0049460E"/>
    <w:rsid w:val="004946F1"/>
    <w:rsid w:val="00494707"/>
    <w:rsid w:val="0049481E"/>
    <w:rsid w:val="00494AF5"/>
    <w:rsid w:val="00494E06"/>
    <w:rsid w:val="00494F28"/>
    <w:rsid w:val="00494FB3"/>
    <w:rsid w:val="00495125"/>
    <w:rsid w:val="00495335"/>
    <w:rsid w:val="004954A8"/>
    <w:rsid w:val="00495538"/>
    <w:rsid w:val="004957CF"/>
    <w:rsid w:val="0049588C"/>
    <w:rsid w:val="004958A6"/>
    <w:rsid w:val="004958F6"/>
    <w:rsid w:val="00495B0F"/>
    <w:rsid w:val="00495BC0"/>
    <w:rsid w:val="00495C6D"/>
    <w:rsid w:val="00495E37"/>
    <w:rsid w:val="00495EF8"/>
    <w:rsid w:val="00495F40"/>
    <w:rsid w:val="00496242"/>
    <w:rsid w:val="00496401"/>
    <w:rsid w:val="00496618"/>
    <w:rsid w:val="004966A2"/>
    <w:rsid w:val="00496704"/>
    <w:rsid w:val="0049670C"/>
    <w:rsid w:val="00496820"/>
    <w:rsid w:val="00496BF6"/>
    <w:rsid w:val="00496D6D"/>
    <w:rsid w:val="00496D9E"/>
    <w:rsid w:val="00496DDF"/>
    <w:rsid w:val="00496E3D"/>
    <w:rsid w:val="00496F70"/>
    <w:rsid w:val="0049700A"/>
    <w:rsid w:val="0049710B"/>
    <w:rsid w:val="00497330"/>
    <w:rsid w:val="004974B5"/>
    <w:rsid w:val="004975DB"/>
    <w:rsid w:val="0049773C"/>
    <w:rsid w:val="00497837"/>
    <w:rsid w:val="004979CB"/>
    <w:rsid w:val="00497BC0"/>
    <w:rsid w:val="00497C1F"/>
    <w:rsid w:val="00497C95"/>
    <w:rsid w:val="00497CBC"/>
    <w:rsid w:val="00497D04"/>
    <w:rsid w:val="00497EB5"/>
    <w:rsid w:val="004A0066"/>
    <w:rsid w:val="004A009C"/>
    <w:rsid w:val="004A00DF"/>
    <w:rsid w:val="004A0437"/>
    <w:rsid w:val="004A059A"/>
    <w:rsid w:val="004A06A4"/>
    <w:rsid w:val="004A0776"/>
    <w:rsid w:val="004A07A6"/>
    <w:rsid w:val="004A0838"/>
    <w:rsid w:val="004A0873"/>
    <w:rsid w:val="004A0879"/>
    <w:rsid w:val="004A09FD"/>
    <w:rsid w:val="004A0B97"/>
    <w:rsid w:val="004A0BCF"/>
    <w:rsid w:val="004A0BE3"/>
    <w:rsid w:val="004A0CF5"/>
    <w:rsid w:val="004A0DC0"/>
    <w:rsid w:val="004A0E1B"/>
    <w:rsid w:val="004A0FA3"/>
    <w:rsid w:val="004A0FDB"/>
    <w:rsid w:val="004A120F"/>
    <w:rsid w:val="004A1311"/>
    <w:rsid w:val="004A1361"/>
    <w:rsid w:val="004A14D9"/>
    <w:rsid w:val="004A188B"/>
    <w:rsid w:val="004A18BB"/>
    <w:rsid w:val="004A18E9"/>
    <w:rsid w:val="004A1AC1"/>
    <w:rsid w:val="004A1B21"/>
    <w:rsid w:val="004A1C35"/>
    <w:rsid w:val="004A1C3C"/>
    <w:rsid w:val="004A1C87"/>
    <w:rsid w:val="004A1EDD"/>
    <w:rsid w:val="004A1FA2"/>
    <w:rsid w:val="004A1FC3"/>
    <w:rsid w:val="004A21D9"/>
    <w:rsid w:val="004A21FA"/>
    <w:rsid w:val="004A21FC"/>
    <w:rsid w:val="004A220A"/>
    <w:rsid w:val="004A2504"/>
    <w:rsid w:val="004A2583"/>
    <w:rsid w:val="004A2698"/>
    <w:rsid w:val="004A26DC"/>
    <w:rsid w:val="004A2729"/>
    <w:rsid w:val="004A27F2"/>
    <w:rsid w:val="004A28DE"/>
    <w:rsid w:val="004A2936"/>
    <w:rsid w:val="004A2952"/>
    <w:rsid w:val="004A2A87"/>
    <w:rsid w:val="004A2AF5"/>
    <w:rsid w:val="004A2B8C"/>
    <w:rsid w:val="004A2C58"/>
    <w:rsid w:val="004A2CA8"/>
    <w:rsid w:val="004A2CC9"/>
    <w:rsid w:val="004A2CF6"/>
    <w:rsid w:val="004A3039"/>
    <w:rsid w:val="004A31AA"/>
    <w:rsid w:val="004A321C"/>
    <w:rsid w:val="004A3413"/>
    <w:rsid w:val="004A3548"/>
    <w:rsid w:val="004A3563"/>
    <w:rsid w:val="004A36BB"/>
    <w:rsid w:val="004A3967"/>
    <w:rsid w:val="004A398C"/>
    <w:rsid w:val="004A3B77"/>
    <w:rsid w:val="004A3BFD"/>
    <w:rsid w:val="004A41F5"/>
    <w:rsid w:val="004A4429"/>
    <w:rsid w:val="004A4520"/>
    <w:rsid w:val="004A4568"/>
    <w:rsid w:val="004A4685"/>
    <w:rsid w:val="004A46A1"/>
    <w:rsid w:val="004A4755"/>
    <w:rsid w:val="004A47CA"/>
    <w:rsid w:val="004A4851"/>
    <w:rsid w:val="004A48E4"/>
    <w:rsid w:val="004A4A5C"/>
    <w:rsid w:val="004A4EB2"/>
    <w:rsid w:val="004A4EC6"/>
    <w:rsid w:val="004A4F4F"/>
    <w:rsid w:val="004A50B5"/>
    <w:rsid w:val="004A50BB"/>
    <w:rsid w:val="004A5150"/>
    <w:rsid w:val="004A517D"/>
    <w:rsid w:val="004A52CB"/>
    <w:rsid w:val="004A52E8"/>
    <w:rsid w:val="004A531F"/>
    <w:rsid w:val="004A540A"/>
    <w:rsid w:val="004A545C"/>
    <w:rsid w:val="004A55A5"/>
    <w:rsid w:val="004A57FD"/>
    <w:rsid w:val="004A59D4"/>
    <w:rsid w:val="004A5A7B"/>
    <w:rsid w:val="004A5B56"/>
    <w:rsid w:val="004A5BE1"/>
    <w:rsid w:val="004A5C2A"/>
    <w:rsid w:val="004A5E7E"/>
    <w:rsid w:val="004A5EA3"/>
    <w:rsid w:val="004A6067"/>
    <w:rsid w:val="004A6089"/>
    <w:rsid w:val="004A6154"/>
    <w:rsid w:val="004A61AE"/>
    <w:rsid w:val="004A62FB"/>
    <w:rsid w:val="004A646C"/>
    <w:rsid w:val="004A6534"/>
    <w:rsid w:val="004A65A0"/>
    <w:rsid w:val="004A6675"/>
    <w:rsid w:val="004A6697"/>
    <w:rsid w:val="004A66AC"/>
    <w:rsid w:val="004A67AC"/>
    <w:rsid w:val="004A67F1"/>
    <w:rsid w:val="004A6866"/>
    <w:rsid w:val="004A69CC"/>
    <w:rsid w:val="004A6A06"/>
    <w:rsid w:val="004A6A16"/>
    <w:rsid w:val="004A6B43"/>
    <w:rsid w:val="004A6B6C"/>
    <w:rsid w:val="004A6E02"/>
    <w:rsid w:val="004A6E8B"/>
    <w:rsid w:val="004A6ECA"/>
    <w:rsid w:val="004A6FB1"/>
    <w:rsid w:val="004A7103"/>
    <w:rsid w:val="004A7139"/>
    <w:rsid w:val="004A71A5"/>
    <w:rsid w:val="004A744B"/>
    <w:rsid w:val="004A7549"/>
    <w:rsid w:val="004A75D3"/>
    <w:rsid w:val="004A76C8"/>
    <w:rsid w:val="004A7712"/>
    <w:rsid w:val="004A77F9"/>
    <w:rsid w:val="004A78AE"/>
    <w:rsid w:val="004A7B0D"/>
    <w:rsid w:val="004A7B90"/>
    <w:rsid w:val="004A7BCB"/>
    <w:rsid w:val="004A7BD9"/>
    <w:rsid w:val="004A7C55"/>
    <w:rsid w:val="004A7D26"/>
    <w:rsid w:val="004A7E3B"/>
    <w:rsid w:val="004A7E9E"/>
    <w:rsid w:val="004A7FFC"/>
    <w:rsid w:val="004B0045"/>
    <w:rsid w:val="004B029B"/>
    <w:rsid w:val="004B07B1"/>
    <w:rsid w:val="004B0AAF"/>
    <w:rsid w:val="004B0BD4"/>
    <w:rsid w:val="004B0C55"/>
    <w:rsid w:val="004B0C81"/>
    <w:rsid w:val="004B0DC9"/>
    <w:rsid w:val="004B0DDF"/>
    <w:rsid w:val="004B0FED"/>
    <w:rsid w:val="004B1268"/>
    <w:rsid w:val="004B1318"/>
    <w:rsid w:val="004B13C5"/>
    <w:rsid w:val="004B1408"/>
    <w:rsid w:val="004B1430"/>
    <w:rsid w:val="004B145E"/>
    <w:rsid w:val="004B153A"/>
    <w:rsid w:val="004B1624"/>
    <w:rsid w:val="004B16A6"/>
    <w:rsid w:val="004B16B5"/>
    <w:rsid w:val="004B1730"/>
    <w:rsid w:val="004B1800"/>
    <w:rsid w:val="004B1839"/>
    <w:rsid w:val="004B18E4"/>
    <w:rsid w:val="004B196F"/>
    <w:rsid w:val="004B1A4F"/>
    <w:rsid w:val="004B1A98"/>
    <w:rsid w:val="004B1B3E"/>
    <w:rsid w:val="004B1BA1"/>
    <w:rsid w:val="004B1C84"/>
    <w:rsid w:val="004B2066"/>
    <w:rsid w:val="004B222A"/>
    <w:rsid w:val="004B2280"/>
    <w:rsid w:val="004B2298"/>
    <w:rsid w:val="004B2311"/>
    <w:rsid w:val="004B232E"/>
    <w:rsid w:val="004B2357"/>
    <w:rsid w:val="004B2360"/>
    <w:rsid w:val="004B236C"/>
    <w:rsid w:val="004B23B4"/>
    <w:rsid w:val="004B259A"/>
    <w:rsid w:val="004B272B"/>
    <w:rsid w:val="004B2840"/>
    <w:rsid w:val="004B2887"/>
    <w:rsid w:val="004B297D"/>
    <w:rsid w:val="004B2992"/>
    <w:rsid w:val="004B29BA"/>
    <w:rsid w:val="004B29DD"/>
    <w:rsid w:val="004B2AA7"/>
    <w:rsid w:val="004B2FC2"/>
    <w:rsid w:val="004B304F"/>
    <w:rsid w:val="004B30CB"/>
    <w:rsid w:val="004B30DC"/>
    <w:rsid w:val="004B3108"/>
    <w:rsid w:val="004B3297"/>
    <w:rsid w:val="004B32D4"/>
    <w:rsid w:val="004B32DE"/>
    <w:rsid w:val="004B350C"/>
    <w:rsid w:val="004B35A7"/>
    <w:rsid w:val="004B3631"/>
    <w:rsid w:val="004B3671"/>
    <w:rsid w:val="004B3688"/>
    <w:rsid w:val="004B36B4"/>
    <w:rsid w:val="004B36BF"/>
    <w:rsid w:val="004B37F1"/>
    <w:rsid w:val="004B3996"/>
    <w:rsid w:val="004B39BA"/>
    <w:rsid w:val="004B39F6"/>
    <w:rsid w:val="004B3A5A"/>
    <w:rsid w:val="004B3CB1"/>
    <w:rsid w:val="004B3F89"/>
    <w:rsid w:val="004B4005"/>
    <w:rsid w:val="004B44F2"/>
    <w:rsid w:val="004B450D"/>
    <w:rsid w:val="004B4592"/>
    <w:rsid w:val="004B4636"/>
    <w:rsid w:val="004B4750"/>
    <w:rsid w:val="004B480F"/>
    <w:rsid w:val="004B4994"/>
    <w:rsid w:val="004B4AED"/>
    <w:rsid w:val="004B4CD3"/>
    <w:rsid w:val="004B4D22"/>
    <w:rsid w:val="004B4DB8"/>
    <w:rsid w:val="004B506F"/>
    <w:rsid w:val="004B50BA"/>
    <w:rsid w:val="004B5177"/>
    <w:rsid w:val="004B52CA"/>
    <w:rsid w:val="004B52DD"/>
    <w:rsid w:val="004B53DD"/>
    <w:rsid w:val="004B5496"/>
    <w:rsid w:val="004B5528"/>
    <w:rsid w:val="004B55C8"/>
    <w:rsid w:val="004B56C9"/>
    <w:rsid w:val="004B5700"/>
    <w:rsid w:val="004B58C7"/>
    <w:rsid w:val="004B5A6A"/>
    <w:rsid w:val="004B5C2A"/>
    <w:rsid w:val="004B5C9B"/>
    <w:rsid w:val="004B5D89"/>
    <w:rsid w:val="004B5EBD"/>
    <w:rsid w:val="004B5F42"/>
    <w:rsid w:val="004B5F82"/>
    <w:rsid w:val="004B5F95"/>
    <w:rsid w:val="004B60CB"/>
    <w:rsid w:val="004B6154"/>
    <w:rsid w:val="004B6190"/>
    <w:rsid w:val="004B619F"/>
    <w:rsid w:val="004B61CB"/>
    <w:rsid w:val="004B61D0"/>
    <w:rsid w:val="004B6334"/>
    <w:rsid w:val="004B657E"/>
    <w:rsid w:val="004B667C"/>
    <w:rsid w:val="004B67FE"/>
    <w:rsid w:val="004B6822"/>
    <w:rsid w:val="004B6951"/>
    <w:rsid w:val="004B69EF"/>
    <w:rsid w:val="004B6AB5"/>
    <w:rsid w:val="004B6D47"/>
    <w:rsid w:val="004B6F25"/>
    <w:rsid w:val="004B6FFE"/>
    <w:rsid w:val="004B7052"/>
    <w:rsid w:val="004B7126"/>
    <w:rsid w:val="004B7261"/>
    <w:rsid w:val="004B7288"/>
    <w:rsid w:val="004B731D"/>
    <w:rsid w:val="004B74CD"/>
    <w:rsid w:val="004B79A5"/>
    <w:rsid w:val="004B7BA8"/>
    <w:rsid w:val="004B7C5E"/>
    <w:rsid w:val="004B7C61"/>
    <w:rsid w:val="004B7CCE"/>
    <w:rsid w:val="004B7E34"/>
    <w:rsid w:val="004C00DB"/>
    <w:rsid w:val="004C010F"/>
    <w:rsid w:val="004C06A0"/>
    <w:rsid w:val="004C0742"/>
    <w:rsid w:val="004C080F"/>
    <w:rsid w:val="004C0871"/>
    <w:rsid w:val="004C08C4"/>
    <w:rsid w:val="004C092E"/>
    <w:rsid w:val="004C0C26"/>
    <w:rsid w:val="004C0DE8"/>
    <w:rsid w:val="004C0E4E"/>
    <w:rsid w:val="004C0F66"/>
    <w:rsid w:val="004C0FB0"/>
    <w:rsid w:val="004C1128"/>
    <w:rsid w:val="004C11A7"/>
    <w:rsid w:val="004C11B9"/>
    <w:rsid w:val="004C141A"/>
    <w:rsid w:val="004C14D7"/>
    <w:rsid w:val="004C1682"/>
    <w:rsid w:val="004C178F"/>
    <w:rsid w:val="004C184E"/>
    <w:rsid w:val="004C1855"/>
    <w:rsid w:val="004C18DE"/>
    <w:rsid w:val="004C1919"/>
    <w:rsid w:val="004C19D3"/>
    <w:rsid w:val="004C1AE4"/>
    <w:rsid w:val="004C1B88"/>
    <w:rsid w:val="004C1C7C"/>
    <w:rsid w:val="004C1CB5"/>
    <w:rsid w:val="004C1D47"/>
    <w:rsid w:val="004C22D6"/>
    <w:rsid w:val="004C2529"/>
    <w:rsid w:val="004C26EA"/>
    <w:rsid w:val="004C2A14"/>
    <w:rsid w:val="004C2A1A"/>
    <w:rsid w:val="004C2A30"/>
    <w:rsid w:val="004C2ACD"/>
    <w:rsid w:val="004C2B60"/>
    <w:rsid w:val="004C2C98"/>
    <w:rsid w:val="004C2CD3"/>
    <w:rsid w:val="004C2DB2"/>
    <w:rsid w:val="004C2DC3"/>
    <w:rsid w:val="004C2F99"/>
    <w:rsid w:val="004C357E"/>
    <w:rsid w:val="004C36F1"/>
    <w:rsid w:val="004C3935"/>
    <w:rsid w:val="004C3938"/>
    <w:rsid w:val="004C39E5"/>
    <w:rsid w:val="004C3A4F"/>
    <w:rsid w:val="004C3AB0"/>
    <w:rsid w:val="004C3C53"/>
    <w:rsid w:val="004C3D0F"/>
    <w:rsid w:val="004C3DDE"/>
    <w:rsid w:val="004C3F1C"/>
    <w:rsid w:val="004C4070"/>
    <w:rsid w:val="004C40F6"/>
    <w:rsid w:val="004C430B"/>
    <w:rsid w:val="004C4354"/>
    <w:rsid w:val="004C4528"/>
    <w:rsid w:val="004C49D4"/>
    <w:rsid w:val="004C4A49"/>
    <w:rsid w:val="004C4AB0"/>
    <w:rsid w:val="004C4AC9"/>
    <w:rsid w:val="004C4B73"/>
    <w:rsid w:val="004C4B96"/>
    <w:rsid w:val="004C4D91"/>
    <w:rsid w:val="004C4E92"/>
    <w:rsid w:val="004C4EB6"/>
    <w:rsid w:val="004C4FDF"/>
    <w:rsid w:val="004C5067"/>
    <w:rsid w:val="004C50DE"/>
    <w:rsid w:val="004C53CE"/>
    <w:rsid w:val="004C53F5"/>
    <w:rsid w:val="004C56BA"/>
    <w:rsid w:val="004C573B"/>
    <w:rsid w:val="004C5811"/>
    <w:rsid w:val="004C5855"/>
    <w:rsid w:val="004C5936"/>
    <w:rsid w:val="004C5A9B"/>
    <w:rsid w:val="004C5B05"/>
    <w:rsid w:val="004C5B89"/>
    <w:rsid w:val="004C5C4B"/>
    <w:rsid w:val="004C5C94"/>
    <w:rsid w:val="004C5D7D"/>
    <w:rsid w:val="004C5EFD"/>
    <w:rsid w:val="004C605C"/>
    <w:rsid w:val="004C61E5"/>
    <w:rsid w:val="004C625A"/>
    <w:rsid w:val="004C62AD"/>
    <w:rsid w:val="004C6345"/>
    <w:rsid w:val="004C6357"/>
    <w:rsid w:val="004C63A4"/>
    <w:rsid w:val="004C63BE"/>
    <w:rsid w:val="004C645C"/>
    <w:rsid w:val="004C65E8"/>
    <w:rsid w:val="004C660D"/>
    <w:rsid w:val="004C66BB"/>
    <w:rsid w:val="004C6743"/>
    <w:rsid w:val="004C6801"/>
    <w:rsid w:val="004C6986"/>
    <w:rsid w:val="004C6BEB"/>
    <w:rsid w:val="004C6D15"/>
    <w:rsid w:val="004C6D6D"/>
    <w:rsid w:val="004C6DEB"/>
    <w:rsid w:val="004C6EA2"/>
    <w:rsid w:val="004C6F18"/>
    <w:rsid w:val="004C6FE9"/>
    <w:rsid w:val="004C6FED"/>
    <w:rsid w:val="004C704A"/>
    <w:rsid w:val="004C70C1"/>
    <w:rsid w:val="004C716A"/>
    <w:rsid w:val="004C73B4"/>
    <w:rsid w:val="004C75E6"/>
    <w:rsid w:val="004C7978"/>
    <w:rsid w:val="004C7A09"/>
    <w:rsid w:val="004C7A9C"/>
    <w:rsid w:val="004C7E10"/>
    <w:rsid w:val="004C7E35"/>
    <w:rsid w:val="004C7EC6"/>
    <w:rsid w:val="004D0104"/>
    <w:rsid w:val="004D0121"/>
    <w:rsid w:val="004D020A"/>
    <w:rsid w:val="004D03C0"/>
    <w:rsid w:val="004D045A"/>
    <w:rsid w:val="004D0501"/>
    <w:rsid w:val="004D0577"/>
    <w:rsid w:val="004D05B6"/>
    <w:rsid w:val="004D05BB"/>
    <w:rsid w:val="004D0606"/>
    <w:rsid w:val="004D06D3"/>
    <w:rsid w:val="004D072C"/>
    <w:rsid w:val="004D0735"/>
    <w:rsid w:val="004D07CB"/>
    <w:rsid w:val="004D0908"/>
    <w:rsid w:val="004D09A3"/>
    <w:rsid w:val="004D09AA"/>
    <w:rsid w:val="004D0A5E"/>
    <w:rsid w:val="004D0CDC"/>
    <w:rsid w:val="004D0E29"/>
    <w:rsid w:val="004D0EB5"/>
    <w:rsid w:val="004D0EBB"/>
    <w:rsid w:val="004D0EC6"/>
    <w:rsid w:val="004D0F7C"/>
    <w:rsid w:val="004D1002"/>
    <w:rsid w:val="004D102E"/>
    <w:rsid w:val="004D10A5"/>
    <w:rsid w:val="004D116A"/>
    <w:rsid w:val="004D1290"/>
    <w:rsid w:val="004D12FF"/>
    <w:rsid w:val="004D13B7"/>
    <w:rsid w:val="004D194E"/>
    <w:rsid w:val="004D1A35"/>
    <w:rsid w:val="004D1C5A"/>
    <w:rsid w:val="004D1CC7"/>
    <w:rsid w:val="004D1DBC"/>
    <w:rsid w:val="004D1F2E"/>
    <w:rsid w:val="004D2224"/>
    <w:rsid w:val="004D243D"/>
    <w:rsid w:val="004D2492"/>
    <w:rsid w:val="004D2596"/>
    <w:rsid w:val="004D26AB"/>
    <w:rsid w:val="004D26F1"/>
    <w:rsid w:val="004D2893"/>
    <w:rsid w:val="004D2910"/>
    <w:rsid w:val="004D2995"/>
    <w:rsid w:val="004D2D52"/>
    <w:rsid w:val="004D2D8D"/>
    <w:rsid w:val="004D2DC8"/>
    <w:rsid w:val="004D2EF2"/>
    <w:rsid w:val="004D2F13"/>
    <w:rsid w:val="004D2F38"/>
    <w:rsid w:val="004D2F8A"/>
    <w:rsid w:val="004D30DE"/>
    <w:rsid w:val="004D34B2"/>
    <w:rsid w:val="004D3732"/>
    <w:rsid w:val="004D3828"/>
    <w:rsid w:val="004D385C"/>
    <w:rsid w:val="004D3A8E"/>
    <w:rsid w:val="004D3DDA"/>
    <w:rsid w:val="004D3E8D"/>
    <w:rsid w:val="004D3EB8"/>
    <w:rsid w:val="004D3F03"/>
    <w:rsid w:val="004D3F34"/>
    <w:rsid w:val="004D40BF"/>
    <w:rsid w:val="004D41A2"/>
    <w:rsid w:val="004D426A"/>
    <w:rsid w:val="004D430F"/>
    <w:rsid w:val="004D434D"/>
    <w:rsid w:val="004D4354"/>
    <w:rsid w:val="004D4508"/>
    <w:rsid w:val="004D4530"/>
    <w:rsid w:val="004D45B1"/>
    <w:rsid w:val="004D45C7"/>
    <w:rsid w:val="004D45F5"/>
    <w:rsid w:val="004D462D"/>
    <w:rsid w:val="004D4650"/>
    <w:rsid w:val="004D46BA"/>
    <w:rsid w:val="004D49E0"/>
    <w:rsid w:val="004D4B31"/>
    <w:rsid w:val="004D4BD1"/>
    <w:rsid w:val="004D4CB1"/>
    <w:rsid w:val="004D506E"/>
    <w:rsid w:val="004D5109"/>
    <w:rsid w:val="004D5127"/>
    <w:rsid w:val="004D518D"/>
    <w:rsid w:val="004D51B8"/>
    <w:rsid w:val="004D528B"/>
    <w:rsid w:val="004D52A3"/>
    <w:rsid w:val="004D539F"/>
    <w:rsid w:val="004D549A"/>
    <w:rsid w:val="004D54F7"/>
    <w:rsid w:val="004D5662"/>
    <w:rsid w:val="004D56E0"/>
    <w:rsid w:val="004D570B"/>
    <w:rsid w:val="004D58DE"/>
    <w:rsid w:val="004D590C"/>
    <w:rsid w:val="004D5979"/>
    <w:rsid w:val="004D5B4B"/>
    <w:rsid w:val="004D5BB1"/>
    <w:rsid w:val="004D5C33"/>
    <w:rsid w:val="004D5DBE"/>
    <w:rsid w:val="004D5DEE"/>
    <w:rsid w:val="004D5E9F"/>
    <w:rsid w:val="004D5F17"/>
    <w:rsid w:val="004D60F8"/>
    <w:rsid w:val="004D629F"/>
    <w:rsid w:val="004D6349"/>
    <w:rsid w:val="004D6868"/>
    <w:rsid w:val="004D69B2"/>
    <w:rsid w:val="004D6BAF"/>
    <w:rsid w:val="004D6BB8"/>
    <w:rsid w:val="004D6D38"/>
    <w:rsid w:val="004D6E1B"/>
    <w:rsid w:val="004D6E4D"/>
    <w:rsid w:val="004D7155"/>
    <w:rsid w:val="004D7171"/>
    <w:rsid w:val="004D71A3"/>
    <w:rsid w:val="004D71E0"/>
    <w:rsid w:val="004D72A8"/>
    <w:rsid w:val="004D72D6"/>
    <w:rsid w:val="004D73DC"/>
    <w:rsid w:val="004D743E"/>
    <w:rsid w:val="004D75FD"/>
    <w:rsid w:val="004D779D"/>
    <w:rsid w:val="004D7868"/>
    <w:rsid w:val="004D7917"/>
    <w:rsid w:val="004D7934"/>
    <w:rsid w:val="004D794F"/>
    <w:rsid w:val="004D7A48"/>
    <w:rsid w:val="004D7A71"/>
    <w:rsid w:val="004D7AC0"/>
    <w:rsid w:val="004D7C0D"/>
    <w:rsid w:val="004D7D90"/>
    <w:rsid w:val="004E0133"/>
    <w:rsid w:val="004E017C"/>
    <w:rsid w:val="004E01AE"/>
    <w:rsid w:val="004E01CE"/>
    <w:rsid w:val="004E0440"/>
    <w:rsid w:val="004E0619"/>
    <w:rsid w:val="004E0698"/>
    <w:rsid w:val="004E06FC"/>
    <w:rsid w:val="004E07A6"/>
    <w:rsid w:val="004E08FC"/>
    <w:rsid w:val="004E0AF7"/>
    <w:rsid w:val="004E0C24"/>
    <w:rsid w:val="004E0D33"/>
    <w:rsid w:val="004E0DFA"/>
    <w:rsid w:val="004E0ECB"/>
    <w:rsid w:val="004E10B6"/>
    <w:rsid w:val="004E1492"/>
    <w:rsid w:val="004E1606"/>
    <w:rsid w:val="004E1634"/>
    <w:rsid w:val="004E163F"/>
    <w:rsid w:val="004E1697"/>
    <w:rsid w:val="004E1771"/>
    <w:rsid w:val="004E1825"/>
    <w:rsid w:val="004E18D6"/>
    <w:rsid w:val="004E18FE"/>
    <w:rsid w:val="004E1B3E"/>
    <w:rsid w:val="004E1B84"/>
    <w:rsid w:val="004E1B8F"/>
    <w:rsid w:val="004E1D95"/>
    <w:rsid w:val="004E1DB0"/>
    <w:rsid w:val="004E1E5F"/>
    <w:rsid w:val="004E1EB1"/>
    <w:rsid w:val="004E1F43"/>
    <w:rsid w:val="004E1F73"/>
    <w:rsid w:val="004E1FBF"/>
    <w:rsid w:val="004E20C0"/>
    <w:rsid w:val="004E221A"/>
    <w:rsid w:val="004E23B9"/>
    <w:rsid w:val="004E23D5"/>
    <w:rsid w:val="004E242C"/>
    <w:rsid w:val="004E2733"/>
    <w:rsid w:val="004E278D"/>
    <w:rsid w:val="004E27F1"/>
    <w:rsid w:val="004E281A"/>
    <w:rsid w:val="004E285B"/>
    <w:rsid w:val="004E29D6"/>
    <w:rsid w:val="004E29E8"/>
    <w:rsid w:val="004E2A56"/>
    <w:rsid w:val="004E2AA6"/>
    <w:rsid w:val="004E2B38"/>
    <w:rsid w:val="004E2B6D"/>
    <w:rsid w:val="004E2BEC"/>
    <w:rsid w:val="004E2C97"/>
    <w:rsid w:val="004E2D3B"/>
    <w:rsid w:val="004E2E4F"/>
    <w:rsid w:val="004E2F04"/>
    <w:rsid w:val="004E303A"/>
    <w:rsid w:val="004E30C9"/>
    <w:rsid w:val="004E32CC"/>
    <w:rsid w:val="004E32EC"/>
    <w:rsid w:val="004E33AC"/>
    <w:rsid w:val="004E33C6"/>
    <w:rsid w:val="004E3522"/>
    <w:rsid w:val="004E359D"/>
    <w:rsid w:val="004E370F"/>
    <w:rsid w:val="004E377A"/>
    <w:rsid w:val="004E3782"/>
    <w:rsid w:val="004E3832"/>
    <w:rsid w:val="004E3A1B"/>
    <w:rsid w:val="004E3AA7"/>
    <w:rsid w:val="004E3C19"/>
    <w:rsid w:val="004E4052"/>
    <w:rsid w:val="004E41A6"/>
    <w:rsid w:val="004E41B7"/>
    <w:rsid w:val="004E4249"/>
    <w:rsid w:val="004E428A"/>
    <w:rsid w:val="004E4699"/>
    <w:rsid w:val="004E47C3"/>
    <w:rsid w:val="004E4B8D"/>
    <w:rsid w:val="004E4C7E"/>
    <w:rsid w:val="004E4D16"/>
    <w:rsid w:val="004E4D21"/>
    <w:rsid w:val="004E504C"/>
    <w:rsid w:val="004E50D0"/>
    <w:rsid w:val="004E52E2"/>
    <w:rsid w:val="004E5595"/>
    <w:rsid w:val="004E55B6"/>
    <w:rsid w:val="004E587C"/>
    <w:rsid w:val="004E5935"/>
    <w:rsid w:val="004E59CD"/>
    <w:rsid w:val="004E5A76"/>
    <w:rsid w:val="004E5AF2"/>
    <w:rsid w:val="004E5E02"/>
    <w:rsid w:val="004E5E9E"/>
    <w:rsid w:val="004E5F0A"/>
    <w:rsid w:val="004E5F6E"/>
    <w:rsid w:val="004E5F85"/>
    <w:rsid w:val="004E60CF"/>
    <w:rsid w:val="004E62B2"/>
    <w:rsid w:val="004E62C2"/>
    <w:rsid w:val="004E62C9"/>
    <w:rsid w:val="004E6415"/>
    <w:rsid w:val="004E6477"/>
    <w:rsid w:val="004E65CA"/>
    <w:rsid w:val="004E65F1"/>
    <w:rsid w:val="004E6682"/>
    <w:rsid w:val="004E6764"/>
    <w:rsid w:val="004E679A"/>
    <w:rsid w:val="004E6846"/>
    <w:rsid w:val="004E6BC8"/>
    <w:rsid w:val="004E6BD3"/>
    <w:rsid w:val="004E6E4A"/>
    <w:rsid w:val="004E6F59"/>
    <w:rsid w:val="004E7095"/>
    <w:rsid w:val="004E7131"/>
    <w:rsid w:val="004E71AC"/>
    <w:rsid w:val="004E74ED"/>
    <w:rsid w:val="004E75EC"/>
    <w:rsid w:val="004E75F9"/>
    <w:rsid w:val="004E75FE"/>
    <w:rsid w:val="004E764D"/>
    <w:rsid w:val="004E76C2"/>
    <w:rsid w:val="004E7783"/>
    <w:rsid w:val="004E79C7"/>
    <w:rsid w:val="004E7AED"/>
    <w:rsid w:val="004E7B0F"/>
    <w:rsid w:val="004E7D02"/>
    <w:rsid w:val="004E7D07"/>
    <w:rsid w:val="004E7E48"/>
    <w:rsid w:val="004F0112"/>
    <w:rsid w:val="004F0172"/>
    <w:rsid w:val="004F01B9"/>
    <w:rsid w:val="004F0652"/>
    <w:rsid w:val="004F0832"/>
    <w:rsid w:val="004F0A8C"/>
    <w:rsid w:val="004F0D67"/>
    <w:rsid w:val="004F0D68"/>
    <w:rsid w:val="004F0D9E"/>
    <w:rsid w:val="004F0E16"/>
    <w:rsid w:val="004F0F45"/>
    <w:rsid w:val="004F1034"/>
    <w:rsid w:val="004F1122"/>
    <w:rsid w:val="004F14BB"/>
    <w:rsid w:val="004F15EA"/>
    <w:rsid w:val="004F1699"/>
    <w:rsid w:val="004F16ED"/>
    <w:rsid w:val="004F172B"/>
    <w:rsid w:val="004F185E"/>
    <w:rsid w:val="004F1A26"/>
    <w:rsid w:val="004F1B60"/>
    <w:rsid w:val="004F1B6D"/>
    <w:rsid w:val="004F1F15"/>
    <w:rsid w:val="004F201F"/>
    <w:rsid w:val="004F21FA"/>
    <w:rsid w:val="004F22D8"/>
    <w:rsid w:val="004F233E"/>
    <w:rsid w:val="004F235F"/>
    <w:rsid w:val="004F2444"/>
    <w:rsid w:val="004F24CF"/>
    <w:rsid w:val="004F250D"/>
    <w:rsid w:val="004F252C"/>
    <w:rsid w:val="004F2960"/>
    <w:rsid w:val="004F2A0F"/>
    <w:rsid w:val="004F2BE5"/>
    <w:rsid w:val="004F2C1A"/>
    <w:rsid w:val="004F2C42"/>
    <w:rsid w:val="004F2D2D"/>
    <w:rsid w:val="004F2E66"/>
    <w:rsid w:val="004F2EBB"/>
    <w:rsid w:val="004F2F46"/>
    <w:rsid w:val="004F30AC"/>
    <w:rsid w:val="004F314C"/>
    <w:rsid w:val="004F31E2"/>
    <w:rsid w:val="004F329A"/>
    <w:rsid w:val="004F338B"/>
    <w:rsid w:val="004F34A8"/>
    <w:rsid w:val="004F356F"/>
    <w:rsid w:val="004F36E8"/>
    <w:rsid w:val="004F3803"/>
    <w:rsid w:val="004F398F"/>
    <w:rsid w:val="004F3A68"/>
    <w:rsid w:val="004F3B2B"/>
    <w:rsid w:val="004F3C48"/>
    <w:rsid w:val="004F3C69"/>
    <w:rsid w:val="004F3D71"/>
    <w:rsid w:val="004F3EB0"/>
    <w:rsid w:val="004F4227"/>
    <w:rsid w:val="004F4615"/>
    <w:rsid w:val="004F46E8"/>
    <w:rsid w:val="004F470E"/>
    <w:rsid w:val="004F4728"/>
    <w:rsid w:val="004F4753"/>
    <w:rsid w:val="004F481F"/>
    <w:rsid w:val="004F4937"/>
    <w:rsid w:val="004F4BCA"/>
    <w:rsid w:val="004F4C9E"/>
    <w:rsid w:val="004F4D0E"/>
    <w:rsid w:val="004F4D6E"/>
    <w:rsid w:val="004F5039"/>
    <w:rsid w:val="004F5148"/>
    <w:rsid w:val="004F5222"/>
    <w:rsid w:val="004F5312"/>
    <w:rsid w:val="004F5314"/>
    <w:rsid w:val="004F5353"/>
    <w:rsid w:val="004F5362"/>
    <w:rsid w:val="004F53D4"/>
    <w:rsid w:val="004F5452"/>
    <w:rsid w:val="004F54F0"/>
    <w:rsid w:val="004F57BA"/>
    <w:rsid w:val="004F58C7"/>
    <w:rsid w:val="004F5B7C"/>
    <w:rsid w:val="004F5B87"/>
    <w:rsid w:val="004F5C1F"/>
    <w:rsid w:val="004F5CCB"/>
    <w:rsid w:val="004F5CE7"/>
    <w:rsid w:val="004F5D79"/>
    <w:rsid w:val="004F5FCA"/>
    <w:rsid w:val="004F5FF1"/>
    <w:rsid w:val="004F6028"/>
    <w:rsid w:val="004F6038"/>
    <w:rsid w:val="004F6046"/>
    <w:rsid w:val="004F6448"/>
    <w:rsid w:val="004F65E1"/>
    <w:rsid w:val="004F65E9"/>
    <w:rsid w:val="004F669C"/>
    <w:rsid w:val="004F66BB"/>
    <w:rsid w:val="004F68FB"/>
    <w:rsid w:val="004F6908"/>
    <w:rsid w:val="004F6E1C"/>
    <w:rsid w:val="004F6E7D"/>
    <w:rsid w:val="004F6E9F"/>
    <w:rsid w:val="004F6FD1"/>
    <w:rsid w:val="004F7143"/>
    <w:rsid w:val="004F72ED"/>
    <w:rsid w:val="004F7687"/>
    <w:rsid w:val="004F76CD"/>
    <w:rsid w:val="004F76E5"/>
    <w:rsid w:val="004F7701"/>
    <w:rsid w:val="004F777E"/>
    <w:rsid w:val="004F7AD7"/>
    <w:rsid w:val="004F7B5B"/>
    <w:rsid w:val="0050016A"/>
    <w:rsid w:val="005001B5"/>
    <w:rsid w:val="00500244"/>
    <w:rsid w:val="0050036C"/>
    <w:rsid w:val="00500370"/>
    <w:rsid w:val="005003F1"/>
    <w:rsid w:val="00500400"/>
    <w:rsid w:val="005004A6"/>
    <w:rsid w:val="00500537"/>
    <w:rsid w:val="00500642"/>
    <w:rsid w:val="005008E3"/>
    <w:rsid w:val="00500AAF"/>
    <w:rsid w:val="00500B93"/>
    <w:rsid w:val="00500C17"/>
    <w:rsid w:val="00500DCD"/>
    <w:rsid w:val="00500EF9"/>
    <w:rsid w:val="00501115"/>
    <w:rsid w:val="00501176"/>
    <w:rsid w:val="005011D3"/>
    <w:rsid w:val="00501371"/>
    <w:rsid w:val="005013CC"/>
    <w:rsid w:val="00501406"/>
    <w:rsid w:val="005014D5"/>
    <w:rsid w:val="005014D6"/>
    <w:rsid w:val="005014E8"/>
    <w:rsid w:val="005015B4"/>
    <w:rsid w:val="00501768"/>
    <w:rsid w:val="005017FB"/>
    <w:rsid w:val="00501919"/>
    <w:rsid w:val="00501987"/>
    <w:rsid w:val="00501A1F"/>
    <w:rsid w:val="00501A42"/>
    <w:rsid w:val="00501BF3"/>
    <w:rsid w:val="00501CEA"/>
    <w:rsid w:val="00501D3A"/>
    <w:rsid w:val="005021A0"/>
    <w:rsid w:val="00502302"/>
    <w:rsid w:val="005023EA"/>
    <w:rsid w:val="005024DA"/>
    <w:rsid w:val="00502700"/>
    <w:rsid w:val="00502960"/>
    <w:rsid w:val="00502A4A"/>
    <w:rsid w:val="00502AA4"/>
    <w:rsid w:val="00502AFB"/>
    <w:rsid w:val="00502B59"/>
    <w:rsid w:val="00502D4A"/>
    <w:rsid w:val="00502DC4"/>
    <w:rsid w:val="00502EDA"/>
    <w:rsid w:val="00502EE4"/>
    <w:rsid w:val="00502F4C"/>
    <w:rsid w:val="00502F5E"/>
    <w:rsid w:val="00502FBF"/>
    <w:rsid w:val="00502FCA"/>
    <w:rsid w:val="00503043"/>
    <w:rsid w:val="005030F7"/>
    <w:rsid w:val="005031A4"/>
    <w:rsid w:val="00503383"/>
    <w:rsid w:val="005035AB"/>
    <w:rsid w:val="005035CB"/>
    <w:rsid w:val="005035E7"/>
    <w:rsid w:val="005036A3"/>
    <w:rsid w:val="0050384A"/>
    <w:rsid w:val="005039FC"/>
    <w:rsid w:val="00503A11"/>
    <w:rsid w:val="00503A55"/>
    <w:rsid w:val="00503A89"/>
    <w:rsid w:val="00503B62"/>
    <w:rsid w:val="00503BE0"/>
    <w:rsid w:val="00503BEF"/>
    <w:rsid w:val="00503C29"/>
    <w:rsid w:val="00503DD0"/>
    <w:rsid w:val="00503EC8"/>
    <w:rsid w:val="00503F42"/>
    <w:rsid w:val="00503FEA"/>
    <w:rsid w:val="00503FEF"/>
    <w:rsid w:val="005041B7"/>
    <w:rsid w:val="005041C2"/>
    <w:rsid w:val="00504613"/>
    <w:rsid w:val="00504705"/>
    <w:rsid w:val="00504891"/>
    <w:rsid w:val="005048AA"/>
    <w:rsid w:val="00504979"/>
    <w:rsid w:val="005049C0"/>
    <w:rsid w:val="00504BB7"/>
    <w:rsid w:val="00504BB8"/>
    <w:rsid w:val="00504D9F"/>
    <w:rsid w:val="0050512E"/>
    <w:rsid w:val="00505589"/>
    <w:rsid w:val="00505814"/>
    <w:rsid w:val="0050591C"/>
    <w:rsid w:val="00505A26"/>
    <w:rsid w:val="00505A83"/>
    <w:rsid w:val="00505A8A"/>
    <w:rsid w:val="00505A8D"/>
    <w:rsid w:val="00505AD1"/>
    <w:rsid w:val="00505B36"/>
    <w:rsid w:val="00505C1C"/>
    <w:rsid w:val="005060AF"/>
    <w:rsid w:val="005061CC"/>
    <w:rsid w:val="005062A2"/>
    <w:rsid w:val="00506474"/>
    <w:rsid w:val="0050664C"/>
    <w:rsid w:val="00506723"/>
    <w:rsid w:val="00506821"/>
    <w:rsid w:val="00506826"/>
    <w:rsid w:val="00506881"/>
    <w:rsid w:val="0050689E"/>
    <w:rsid w:val="00506C2F"/>
    <w:rsid w:val="00506CC0"/>
    <w:rsid w:val="00506D84"/>
    <w:rsid w:val="00506FBD"/>
    <w:rsid w:val="005071B1"/>
    <w:rsid w:val="005072BA"/>
    <w:rsid w:val="00507567"/>
    <w:rsid w:val="0050758E"/>
    <w:rsid w:val="00507615"/>
    <w:rsid w:val="0050764E"/>
    <w:rsid w:val="0050767D"/>
    <w:rsid w:val="005076C0"/>
    <w:rsid w:val="005077D7"/>
    <w:rsid w:val="00507A5D"/>
    <w:rsid w:val="00507ADD"/>
    <w:rsid w:val="00507B1C"/>
    <w:rsid w:val="00507C0F"/>
    <w:rsid w:val="00507CE0"/>
    <w:rsid w:val="00507DF8"/>
    <w:rsid w:val="00507F28"/>
    <w:rsid w:val="0051002B"/>
    <w:rsid w:val="00510183"/>
    <w:rsid w:val="00510234"/>
    <w:rsid w:val="0051023E"/>
    <w:rsid w:val="005102FF"/>
    <w:rsid w:val="0051036A"/>
    <w:rsid w:val="0051038D"/>
    <w:rsid w:val="00510409"/>
    <w:rsid w:val="00510574"/>
    <w:rsid w:val="00510845"/>
    <w:rsid w:val="00510907"/>
    <w:rsid w:val="00510910"/>
    <w:rsid w:val="00510ADF"/>
    <w:rsid w:val="00510B21"/>
    <w:rsid w:val="00510CA9"/>
    <w:rsid w:val="00510CE7"/>
    <w:rsid w:val="00510E89"/>
    <w:rsid w:val="00510E96"/>
    <w:rsid w:val="00510F38"/>
    <w:rsid w:val="00510F3F"/>
    <w:rsid w:val="00510F5F"/>
    <w:rsid w:val="005111AC"/>
    <w:rsid w:val="005111B0"/>
    <w:rsid w:val="0051127B"/>
    <w:rsid w:val="0051130C"/>
    <w:rsid w:val="005113C1"/>
    <w:rsid w:val="0051147D"/>
    <w:rsid w:val="00511547"/>
    <w:rsid w:val="0051154E"/>
    <w:rsid w:val="0051159C"/>
    <w:rsid w:val="005116D4"/>
    <w:rsid w:val="005117E7"/>
    <w:rsid w:val="0051181B"/>
    <w:rsid w:val="005119F5"/>
    <w:rsid w:val="00511A08"/>
    <w:rsid w:val="00511A0F"/>
    <w:rsid w:val="00511A6E"/>
    <w:rsid w:val="00511AFB"/>
    <w:rsid w:val="00511D68"/>
    <w:rsid w:val="00511ED7"/>
    <w:rsid w:val="00511F47"/>
    <w:rsid w:val="00511F53"/>
    <w:rsid w:val="00512153"/>
    <w:rsid w:val="0051228D"/>
    <w:rsid w:val="00512314"/>
    <w:rsid w:val="00512542"/>
    <w:rsid w:val="00512544"/>
    <w:rsid w:val="005125C3"/>
    <w:rsid w:val="0051267C"/>
    <w:rsid w:val="00512683"/>
    <w:rsid w:val="0051286D"/>
    <w:rsid w:val="00512A45"/>
    <w:rsid w:val="00512B54"/>
    <w:rsid w:val="00512CD0"/>
    <w:rsid w:val="00512D31"/>
    <w:rsid w:val="00512DA6"/>
    <w:rsid w:val="00512F34"/>
    <w:rsid w:val="005130C2"/>
    <w:rsid w:val="00513185"/>
    <w:rsid w:val="005133FF"/>
    <w:rsid w:val="005136D2"/>
    <w:rsid w:val="00513702"/>
    <w:rsid w:val="005138D0"/>
    <w:rsid w:val="00513BB0"/>
    <w:rsid w:val="00513BCE"/>
    <w:rsid w:val="00513C92"/>
    <w:rsid w:val="00513D28"/>
    <w:rsid w:val="00513E11"/>
    <w:rsid w:val="0051420D"/>
    <w:rsid w:val="0051422C"/>
    <w:rsid w:val="005144EB"/>
    <w:rsid w:val="0051465F"/>
    <w:rsid w:val="005149C2"/>
    <w:rsid w:val="00514A65"/>
    <w:rsid w:val="00514C77"/>
    <w:rsid w:val="00514D08"/>
    <w:rsid w:val="00515187"/>
    <w:rsid w:val="0051518C"/>
    <w:rsid w:val="005151FF"/>
    <w:rsid w:val="00515200"/>
    <w:rsid w:val="00515278"/>
    <w:rsid w:val="005154CB"/>
    <w:rsid w:val="0051555E"/>
    <w:rsid w:val="00515691"/>
    <w:rsid w:val="00515700"/>
    <w:rsid w:val="00515952"/>
    <w:rsid w:val="0051598B"/>
    <w:rsid w:val="005159A7"/>
    <w:rsid w:val="00515C5E"/>
    <w:rsid w:val="00515E44"/>
    <w:rsid w:val="00515FA1"/>
    <w:rsid w:val="005160C7"/>
    <w:rsid w:val="00516320"/>
    <w:rsid w:val="00516398"/>
    <w:rsid w:val="005165F3"/>
    <w:rsid w:val="005166D1"/>
    <w:rsid w:val="005166D6"/>
    <w:rsid w:val="00516822"/>
    <w:rsid w:val="00516846"/>
    <w:rsid w:val="005168FF"/>
    <w:rsid w:val="005169DB"/>
    <w:rsid w:val="00516A39"/>
    <w:rsid w:val="00516BA0"/>
    <w:rsid w:val="00516C44"/>
    <w:rsid w:val="00516C83"/>
    <w:rsid w:val="00516CFA"/>
    <w:rsid w:val="00516D06"/>
    <w:rsid w:val="00516D48"/>
    <w:rsid w:val="00516E95"/>
    <w:rsid w:val="00516ED0"/>
    <w:rsid w:val="00516FF1"/>
    <w:rsid w:val="005170E1"/>
    <w:rsid w:val="00517122"/>
    <w:rsid w:val="00517131"/>
    <w:rsid w:val="0051716E"/>
    <w:rsid w:val="00517208"/>
    <w:rsid w:val="00517357"/>
    <w:rsid w:val="00517586"/>
    <w:rsid w:val="005175C3"/>
    <w:rsid w:val="0051763E"/>
    <w:rsid w:val="0051777C"/>
    <w:rsid w:val="00517914"/>
    <w:rsid w:val="00517A0A"/>
    <w:rsid w:val="00517A45"/>
    <w:rsid w:val="00517C86"/>
    <w:rsid w:val="00517D2C"/>
    <w:rsid w:val="00517EBB"/>
    <w:rsid w:val="0052003B"/>
    <w:rsid w:val="00520400"/>
    <w:rsid w:val="00520441"/>
    <w:rsid w:val="0052044B"/>
    <w:rsid w:val="0052075F"/>
    <w:rsid w:val="00520767"/>
    <w:rsid w:val="005208E8"/>
    <w:rsid w:val="005209D6"/>
    <w:rsid w:val="00520AE4"/>
    <w:rsid w:val="00520B2F"/>
    <w:rsid w:val="00520CD7"/>
    <w:rsid w:val="00520D3B"/>
    <w:rsid w:val="00520DD7"/>
    <w:rsid w:val="00520EBF"/>
    <w:rsid w:val="00520F3A"/>
    <w:rsid w:val="00520F3E"/>
    <w:rsid w:val="00520FB6"/>
    <w:rsid w:val="00520FBD"/>
    <w:rsid w:val="0052116F"/>
    <w:rsid w:val="0052124F"/>
    <w:rsid w:val="005213B2"/>
    <w:rsid w:val="005213E6"/>
    <w:rsid w:val="005214DA"/>
    <w:rsid w:val="0052158A"/>
    <w:rsid w:val="00521634"/>
    <w:rsid w:val="00521826"/>
    <w:rsid w:val="00521889"/>
    <w:rsid w:val="00521ADD"/>
    <w:rsid w:val="00521B37"/>
    <w:rsid w:val="00521EEB"/>
    <w:rsid w:val="00521EF6"/>
    <w:rsid w:val="00521F3B"/>
    <w:rsid w:val="00521F68"/>
    <w:rsid w:val="00521FAE"/>
    <w:rsid w:val="0052209D"/>
    <w:rsid w:val="005220E2"/>
    <w:rsid w:val="0052226B"/>
    <w:rsid w:val="00522452"/>
    <w:rsid w:val="00522491"/>
    <w:rsid w:val="005226C3"/>
    <w:rsid w:val="00522769"/>
    <w:rsid w:val="0052278A"/>
    <w:rsid w:val="005228AC"/>
    <w:rsid w:val="0052296F"/>
    <w:rsid w:val="0052299F"/>
    <w:rsid w:val="00522BAE"/>
    <w:rsid w:val="00522C56"/>
    <w:rsid w:val="00522DE0"/>
    <w:rsid w:val="00522E46"/>
    <w:rsid w:val="0052311A"/>
    <w:rsid w:val="005232AA"/>
    <w:rsid w:val="005234B3"/>
    <w:rsid w:val="00523521"/>
    <w:rsid w:val="00523527"/>
    <w:rsid w:val="00523629"/>
    <w:rsid w:val="005236DD"/>
    <w:rsid w:val="005239A0"/>
    <w:rsid w:val="00523B0E"/>
    <w:rsid w:val="00523CC6"/>
    <w:rsid w:val="00523D34"/>
    <w:rsid w:val="00523D53"/>
    <w:rsid w:val="00523DB9"/>
    <w:rsid w:val="00523F7A"/>
    <w:rsid w:val="0052401C"/>
    <w:rsid w:val="005242B7"/>
    <w:rsid w:val="005242FA"/>
    <w:rsid w:val="0052432C"/>
    <w:rsid w:val="0052438B"/>
    <w:rsid w:val="005244F9"/>
    <w:rsid w:val="005245EF"/>
    <w:rsid w:val="0052492E"/>
    <w:rsid w:val="0052494D"/>
    <w:rsid w:val="005249E2"/>
    <w:rsid w:val="00524A07"/>
    <w:rsid w:val="00524B3F"/>
    <w:rsid w:val="005250AC"/>
    <w:rsid w:val="00525466"/>
    <w:rsid w:val="005256BD"/>
    <w:rsid w:val="00525711"/>
    <w:rsid w:val="0052579A"/>
    <w:rsid w:val="005259FD"/>
    <w:rsid w:val="00525BAF"/>
    <w:rsid w:val="00525C6F"/>
    <w:rsid w:val="00525C98"/>
    <w:rsid w:val="00525D1C"/>
    <w:rsid w:val="00525EA4"/>
    <w:rsid w:val="00525F95"/>
    <w:rsid w:val="00526337"/>
    <w:rsid w:val="00526677"/>
    <w:rsid w:val="0052668F"/>
    <w:rsid w:val="00526772"/>
    <w:rsid w:val="005267E8"/>
    <w:rsid w:val="00526813"/>
    <w:rsid w:val="00526818"/>
    <w:rsid w:val="0052685F"/>
    <w:rsid w:val="0052692A"/>
    <w:rsid w:val="0052699C"/>
    <w:rsid w:val="005269E3"/>
    <w:rsid w:val="00526B38"/>
    <w:rsid w:val="00526BD9"/>
    <w:rsid w:val="00526BF9"/>
    <w:rsid w:val="00526BFD"/>
    <w:rsid w:val="00526C15"/>
    <w:rsid w:val="00526D84"/>
    <w:rsid w:val="00527158"/>
    <w:rsid w:val="0052715E"/>
    <w:rsid w:val="005271CE"/>
    <w:rsid w:val="00527269"/>
    <w:rsid w:val="005272C3"/>
    <w:rsid w:val="00527364"/>
    <w:rsid w:val="005276C3"/>
    <w:rsid w:val="005276CA"/>
    <w:rsid w:val="005277FD"/>
    <w:rsid w:val="00527806"/>
    <w:rsid w:val="00527893"/>
    <w:rsid w:val="00527A12"/>
    <w:rsid w:val="00527AED"/>
    <w:rsid w:val="00527E48"/>
    <w:rsid w:val="0053014B"/>
    <w:rsid w:val="005301E1"/>
    <w:rsid w:val="00530366"/>
    <w:rsid w:val="00530482"/>
    <w:rsid w:val="005304AF"/>
    <w:rsid w:val="005304D7"/>
    <w:rsid w:val="00530502"/>
    <w:rsid w:val="005305DF"/>
    <w:rsid w:val="005307C9"/>
    <w:rsid w:val="005309E0"/>
    <w:rsid w:val="00530A00"/>
    <w:rsid w:val="00530B31"/>
    <w:rsid w:val="00530C36"/>
    <w:rsid w:val="00530CEA"/>
    <w:rsid w:val="00530E7D"/>
    <w:rsid w:val="00530E9F"/>
    <w:rsid w:val="0053137F"/>
    <w:rsid w:val="00531754"/>
    <w:rsid w:val="0053189B"/>
    <w:rsid w:val="005319EE"/>
    <w:rsid w:val="00531A1F"/>
    <w:rsid w:val="00531A5A"/>
    <w:rsid w:val="00531AE7"/>
    <w:rsid w:val="00531C10"/>
    <w:rsid w:val="00531CFE"/>
    <w:rsid w:val="00531F5D"/>
    <w:rsid w:val="0053225C"/>
    <w:rsid w:val="005322E1"/>
    <w:rsid w:val="00532324"/>
    <w:rsid w:val="00532335"/>
    <w:rsid w:val="00532392"/>
    <w:rsid w:val="005323BE"/>
    <w:rsid w:val="005323D6"/>
    <w:rsid w:val="00532425"/>
    <w:rsid w:val="00532567"/>
    <w:rsid w:val="00532608"/>
    <w:rsid w:val="005326D5"/>
    <w:rsid w:val="0053289D"/>
    <w:rsid w:val="00532AA7"/>
    <w:rsid w:val="00532BAF"/>
    <w:rsid w:val="00532C6B"/>
    <w:rsid w:val="00532F15"/>
    <w:rsid w:val="0053301D"/>
    <w:rsid w:val="0053323D"/>
    <w:rsid w:val="00533271"/>
    <w:rsid w:val="005333BF"/>
    <w:rsid w:val="00533420"/>
    <w:rsid w:val="00533442"/>
    <w:rsid w:val="0053344B"/>
    <w:rsid w:val="00533554"/>
    <w:rsid w:val="005337E8"/>
    <w:rsid w:val="00533944"/>
    <w:rsid w:val="005339BD"/>
    <w:rsid w:val="005339C4"/>
    <w:rsid w:val="00533A36"/>
    <w:rsid w:val="00533B9C"/>
    <w:rsid w:val="00533BDC"/>
    <w:rsid w:val="00533C81"/>
    <w:rsid w:val="00533CEB"/>
    <w:rsid w:val="00533D12"/>
    <w:rsid w:val="0053417B"/>
    <w:rsid w:val="00534431"/>
    <w:rsid w:val="00534582"/>
    <w:rsid w:val="005345C5"/>
    <w:rsid w:val="005346FF"/>
    <w:rsid w:val="005348A9"/>
    <w:rsid w:val="00534BD8"/>
    <w:rsid w:val="00535071"/>
    <w:rsid w:val="00535091"/>
    <w:rsid w:val="00535097"/>
    <w:rsid w:val="0053509E"/>
    <w:rsid w:val="00535207"/>
    <w:rsid w:val="00535298"/>
    <w:rsid w:val="005353C4"/>
    <w:rsid w:val="005353F2"/>
    <w:rsid w:val="0053544F"/>
    <w:rsid w:val="005355BF"/>
    <w:rsid w:val="005355DE"/>
    <w:rsid w:val="00535740"/>
    <w:rsid w:val="00535745"/>
    <w:rsid w:val="005358BE"/>
    <w:rsid w:val="005358E2"/>
    <w:rsid w:val="00535B61"/>
    <w:rsid w:val="00535BBB"/>
    <w:rsid w:val="00535DB1"/>
    <w:rsid w:val="00535E85"/>
    <w:rsid w:val="00535EEF"/>
    <w:rsid w:val="00535FD0"/>
    <w:rsid w:val="00536023"/>
    <w:rsid w:val="005360C5"/>
    <w:rsid w:val="0053633A"/>
    <w:rsid w:val="005363C1"/>
    <w:rsid w:val="005365C6"/>
    <w:rsid w:val="00536779"/>
    <w:rsid w:val="00536851"/>
    <w:rsid w:val="0053692E"/>
    <w:rsid w:val="00536C43"/>
    <w:rsid w:val="00536F23"/>
    <w:rsid w:val="00537170"/>
    <w:rsid w:val="00537297"/>
    <w:rsid w:val="0053746E"/>
    <w:rsid w:val="00537487"/>
    <w:rsid w:val="005374CE"/>
    <w:rsid w:val="005374E2"/>
    <w:rsid w:val="005376B3"/>
    <w:rsid w:val="00537771"/>
    <w:rsid w:val="00537886"/>
    <w:rsid w:val="005378E8"/>
    <w:rsid w:val="00537977"/>
    <w:rsid w:val="005379AF"/>
    <w:rsid w:val="005379B6"/>
    <w:rsid w:val="00537BBB"/>
    <w:rsid w:val="00537C37"/>
    <w:rsid w:val="00537C3E"/>
    <w:rsid w:val="00537D15"/>
    <w:rsid w:val="00537D28"/>
    <w:rsid w:val="00537DA0"/>
    <w:rsid w:val="00537DB3"/>
    <w:rsid w:val="00537F0D"/>
    <w:rsid w:val="00537FA1"/>
    <w:rsid w:val="0054015A"/>
    <w:rsid w:val="00540197"/>
    <w:rsid w:val="005401EB"/>
    <w:rsid w:val="00540287"/>
    <w:rsid w:val="0054030D"/>
    <w:rsid w:val="005403C7"/>
    <w:rsid w:val="00540461"/>
    <w:rsid w:val="00540639"/>
    <w:rsid w:val="0054067E"/>
    <w:rsid w:val="0054070E"/>
    <w:rsid w:val="0054074F"/>
    <w:rsid w:val="005409ED"/>
    <w:rsid w:val="00540A1F"/>
    <w:rsid w:val="00540BCF"/>
    <w:rsid w:val="00540C04"/>
    <w:rsid w:val="00540E28"/>
    <w:rsid w:val="00540E42"/>
    <w:rsid w:val="00540E81"/>
    <w:rsid w:val="00540FE0"/>
    <w:rsid w:val="005410AF"/>
    <w:rsid w:val="00541209"/>
    <w:rsid w:val="00541549"/>
    <w:rsid w:val="0054162C"/>
    <w:rsid w:val="0054164E"/>
    <w:rsid w:val="005416C4"/>
    <w:rsid w:val="00541CB7"/>
    <w:rsid w:val="00541D64"/>
    <w:rsid w:val="00541E23"/>
    <w:rsid w:val="00541EEA"/>
    <w:rsid w:val="0054204E"/>
    <w:rsid w:val="005420A4"/>
    <w:rsid w:val="00542147"/>
    <w:rsid w:val="005422F2"/>
    <w:rsid w:val="005425CC"/>
    <w:rsid w:val="00542635"/>
    <w:rsid w:val="00542642"/>
    <w:rsid w:val="005426C5"/>
    <w:rsid w:val="0054274C"/>
    <w:rsid w:val="005427B1"/>
    <w:rsid w:val="005428F8"/>
    <w:rsid w:val="00542CF5"/>
    <w:rsid w:val="0054320B"/>
    <w:rsid w:val="005433D7"/>
    <w:rsid w:val="005435D6"/>
    <w:rsid w:val="00543653"/>
    <w:rsid w:val="00543671"/>
    <w:rsid w:val="00543679"/>
    <w:rsid w:val="0054373F"/>
    <w:rsid w:val="0054375C"/>
    <w:rsid w:val="0054386C"/>
    <w:rsid w:val="00543A4F"/>
    <w:rsid w:val="00543AA8"/>
    <w:rsid w:val="00543B20"/>
    <w:rsid w:val="00543B6A"/>
    <w:rsid w:val="00543B7D"/>
    <w:rsid w:val="00543C43"/>
    <w:rsid w:val="00543E26"/>
    <w:rsid w:val="00543E9F"/>
    <w:rsid w:val="0054411A"/>
    <w:rsid w:val="005442CB"/>
    <w:rsid w:val="0054430B"/>
    <w:rsid w:val="005445C2"/>
    <w:rsid w:val="00544755"/>
    <w:rsid w:val="00544798"/>
    <w:rsid w:val="0054483F"/>
    <w:rsid w:val="005449FB"/>
    <w:rsid w:val="00544A85"/>
    <w:rsid w:val="00544BB7"/>
    <w:rsid w:val="00544BE4"/>
    <w:rsid w:val="00544C57"/>
    <w:rsid w:val="00544DF5"/>
    <w:rsid w:val="00544EE2"/>
    <w:rsid w:val="00545115"/>
    <w:rsid w:val="00545145"/>
    <w:rsid w:val="005451E8"/>
    <w:rsid w:val="00545379"/>
    <w:rsid w:val="005453D8"/>
    <w:rsid w:val="005456AB"/>
    <w:rsid w:val="0054571C"/>
    <w:rsid w:val="005459F7"/>
    <w:rsid w:val="00545A64"/>
    <w:rsid w:val="00545ACF"/>
    <w:rsid w:val="00545B87"/>
    <w:rsid w:val="00545D4E"/>
    <w:rsid w:val="00545D89"/>
    <w:rsid w:val="00545E5A"/>
    <w:rsid w:val="00545FFF"/>
    <w:rsid w:val="00546031"/>
    <w:rsid w:val="0054606D"/>
    <w:rsid w:val="0054620F"/>
    <w:rsid w:val="0054650F"/>
    <w:rsid w:val="00546571"/>
    <w:rsid w:val="0054661E"/>
    <w:rsid w:val="00546832"/>
    <w:rsid w:val="00546919"/>
    <w:rsid w:val="00546A54"/>
    <w:rsid w:val="00546A76"/>
    <w:rsid w:val="00546B80"/>
    <w:rsid w:val="00546DB1"/>
    <w:rsid w:val="00546DF3"/>
    <w:rsid w:val="00546E92"/>
    <w:rsid w:val="00547431"/>
    <w:rsid w:val="005475CB"/>
    <w:rsid w:val="005476AA"/>
    <w:rsid w:val="005477E3"/>
    <w:rsid w:val="00547873"/>
    <w:rsid w:val="00547874"/>
    <w:rsid w:val="00547D6D"/>
    <w:rsid w:val="00547ED4"/>
    <w:rsid w:val="00547FD3"/>
    <w:rsid w:val="005500D8"/>
    <w:rsid w:val="00550264"/>
    <w:rsid w:val="005502D4"/>
    <w:rsid w:val="0055041C"/>
    <w:rsid w:val="00550454"/>
    <w:rsid w:val="005505E1"/>
    <w:rsid w:val="005506CF"/>
    <w:rsid w:val="00550790"/>
    <w:rsid w:val="00550826"/>
    <w:rsid w:val="00550931"/>
    <w:rsid w:val="00550A21"/>
    <w:rsid w:val="00550A97"/>
    <w:rsid w:val="00550AE5"/>
    <w:rsid w:val="00550B3E"/>
    <w:rsid w:val="00550B40"/>
    <w:rsid w:val="00550D05"/>
    <w:rsid w:val="00550E9A"/>
    <w:rsid w:val="00551066"/>
    <w:rsid w:val="0055106A"/>
    <w:rsid w:val="00551131"/>
    <w:rsid w:val="00551171"/>
    <w:rsid w:val="00551184"/>
    <w:rsid w:val="00551251"/>
    <w:rsid w:val="005512CB"/>
    <w:rsid w:val="005513B1"/>
    <w:rsid w:val="005513F9"/>
    <w:rsid w:val="00551429"/>
    <w:rsid w:val="005514BD"/>
    <w:rsid w:val="00551516"/>
    <w:rsid w:val="00551748"/>
    <w:rsid w:val="00551A4A"/>
    <w:rsid w:val="00551AA5"/>
    <w:rsid w:val="00551E84"/>
    <w:rsid w:val="00552179"/>
    <w:rsid w:val="00552269"/>
    <w:rsid w:val="00552360"/>
    <w:rsid w:val="00552403"/>
    <w:rsid w:val="00552631"/>
    <w:rsid w:val="0055264B"/>
    <w:rsid w:val="005527F9"/>
    <w:rsid w:val="0055280E"/>
    <w:rsid w:val="00552A6D"/>
    <w:rsid w:val="00552D38"/>
    <w:rsid w:val="00552D51"/>
    <w:rsid w:val="00552D83"/>
    <w:rsid w:val="005530F3"/>
    <w:rsid w:val="00553118"/>
    <w:rsid w:val="0055312B"/>
    <w:rsid w:val="00553193"/>
    <w:rsid w:val="0055319B"/>
    <w:rsid w:val="005531B7"/>
    <w:rsid w:val="005532B2"/>
    <w:rsid w:val="00553321"/>
    <w:rsid w:val="00553363"/>
    <w:rsid w:val="005534B3"/>
    <w:rsid w:val="005536C8"/>
    <w:rsid w:val="005536E4"/>
    <w:rsid w:val="00553734"/>
    <w:rsid w:val="00553824"/>
    <w:rsid w:val="00553886"/>
    <w:rsid w:val="005539BA"/>
    <w:rsid w:val="00553CF0"/>
    <w:rsid w:val="00553D5B"/>
    <w:rsid w:val="00553E6E"/>
    <w:rsid w:val="00553F9D"/>
    <w:rsid w:val="00554101"/>
    <w:rsid w:val="005541B6"/>
    <w:rsid w:val="0055428C"/>
    <w:rsid w:val="005542A1"/>
    <w:rsid w:val="005543A6"/>
    <w:rsid w:val="00554450"/>
    <w:rsid w:val="005544BD"/>
    <w:rsid w:val="005545EC"/>
    <w:rsid w:val="0055462B"/>
    <w:rsid w:val="00554867"/>
    <w:rsid w:val="00554A6D"/>
    <w:rsid w:val="00554A93"/>
    <w:rsid w:val="00554BC4"/>
    <w:rsid w:val="00554C51"/>
    <w:rsid w:val="00554DEF"/>
    <w:rsid w:val="00554E09"/>
    <w:rsid w:val="00554E32"/>
    <w:rsid w:val="00554EE5"/>
    <w:rsid w:val="00554F88"/>
    <w:rsid w:val="005550F5"/>
    <w:rsid w:val="0055530A"/>
    <w:rsid w:val="005553AB"/>
    <w:rsid w:val="0055554D"/>
    <w:rsid w:val="00555672"/>
    <w:rsid w:val="00555725"/>
    <w:rsid w:val="00555920"/>
    <w:rsid w:val="00555A49"/>
    <w:rsid w:val="00555AB0"/>
    <w:rsid w:val="00555B56"/>
    <w:rsid w:val="00555C64"/>
    <w:rsid w:val="00555D0D"/>
    <w:rsid w:val="00555F0D"/>
    <w:rsid w:val="00556184"/>
    <w:rsid w:val="005561C7"/>
    <w:rsid w:val="0055623E"/>
    <w:rsid w:val="0055636A"/>
    <w:rsid w:val="0055636E"/>
    <w:rsid w:val="005564C8"/>
    <w:rsid w:val="00556651"/>
    <w:rsid w:val="0055666E"/>
    <w:rsid w:val="005566E9"/>
    <w:rsid w:val="00556731"/>
    <w:rsid w:val="0055694D"/>
    <w:rsid w:val="00556987"/>
    <w:rsid w:val="00556A45"/>
    <w:rsid w:val="00556C47"/>
    <w:rsid w:val="00556CB6"/>
    <w:rsid w:val="005570BE"/>
    <w:rsid w:val="00557156"/>
    <w:rsid w:val="005571AE"/>
    <w:rsid w:val="005571C5"/>
    <w:rsid w:val="005574D5"/>
    <w:rsid w:val="005575E8"/>
    <w:rsid w:val="00557618"/>
    <w:rsid w:val="005577C6"/>
    <w:rsid w:val="00557887"/>
    <w:rsid w:val="00557888"/>
    <w:rsid w:val="005578D2"/>
    <w:rsid w:val="00557B52"/>
    <w:rsid w:val="00557B70"/>
    <w:rsid w:val="00557EAC"/>
    <w:rsid w:val="005600BB"/>
    <w:rsid w:val="00560624"/>
    <w:rsid w:val="005606EB"/>
    <w:rsid w:val="00560855"/>
    <w:rsid w:val="00560A1C"/>
    <w:rsid w:val="00560A24"/>
    <w:rsid w:val="00560A85"/>
    <w:rsid w:val="00560AD9"/>
    <w:rsid w:val="00560AF1"/>
    <w:rsid w:val="00560B90"/>
    <w:rsid w:val="00560C4B"/>
    <w:rsid w:val="00560C56"/>
    <w:rsid w:val="00560D9D"/>
    <w:rsid w:val="00560E72"/>
    <w:rsid w:val="00560EEA"/>
    <w:rsid w:val="00560F16"/>
    <w:rsid w:val="00561071"/>
    <w:rsid w:val="0056110C"/>
    <w:rsid w:val="00561151"/>
    <w:rsid w:val="005611AB"/>
    <w:rsid w:val="00561261"/>
    <w:rsid w:val="00561360"/>
    <w:rsid w:val="005613FF"/>
    <w:rsid w:val="005615C1"/>
    <w:rsid w:val="005619A6"/>
    <w:rsid w:val="005619B4"/>
    <w:rsid w:val="00561A63"/>
    <w:rsid w:val="00561BF1"/>
    <w:rsid w:val="00561D65"/>
    <w:rsid w:val="00561D8E"/>
    <w:rsid w:val="00561DB8"/>
    <w:rsid w:val="005620BC"/>
    <w:rsid w:val="0056224E"/>
    <w:rsid w:val="0056273B"/>
    <w:rsid w:val="00562A5F"/>
    <w:rsid w:val="00562CF6"/>
    <w:rsid w:val="00562D0A"/>
    <w:rsid w:val="00562E49"/>
    <w:rsid w:val="00562EA9"/>
    <w:rsid w:val="00562F6D"/>
    <w:rsid w:val="00562FA5"/>
    <w:rsid w:val="005630F3"/>
    <w:rsid w:val="00563359"/>
    <w:rsid w:val="005633A8"/>
    <w:rsid w:val="005634CB"/>
    <w:rsid w:val="0056359D"/>
    <w:rsid w:val="005636A7"/>
    <w:rsid w:val="0056375A"/>
    <w:rsid w:val="0056379A"/>
    <w:rsid w:val="0056382A"/>
    <w:rsid w:val="00563835"/>
    <w:rsid w:val="00563AD9"/>
    <w:rsid w:val="00563B53"/>
    <w:rsid w:val="00563C70"/>
    <w:rsid w:val="00563F62"/>
    <w:rsid w:val="005640BD"/>
    <w:rsid w:val="005640F4"/>
    <w:rsid w:val="00564107"/>
    <w:rsid w:val="00564160"/>
    <w:rsid w:val="00564161"/>
    <w:rsid w:val="00564185"/>
    <w:rsid w:val="005643E3"/>
    <w:rsid w:val="00564560"/>
    <w:rsid w:val="00564631"/>
    <w:rsid w:val="0056476E"/>
    <w:rsid w:val="005648B9"/>
    <w:rsid w:val="005648F1"/>
    <w:rsid w:val="005648F3"/>
    <w:rsid w:val="00564ABE"/>
    <w:rsid w:val="00564BEB"/>
    <w:rsid w:val="00564C0B"/>
    <w:rsid w:val="00564D73"/>
    <w:rsid w:val="00564F8B"/>
    <w:rsid w:val="005651E7"/>
    <w:rsid w:val="0056529F"/>
    <w:rsid w:val="005653E9"/>
    <w:rsid w:val="0056543C"/>
    <w:rsid w:val="005656DB"/>
    <w:rsid w:val="00565752"/>
    <w:rsid w:val="005659CE"/>
    <w:rsid w:val="005659E5"/>
    <w:rsid w:val="00565D9A"/>
    <w:rsid w:val="00565F1C"/>
    <w:rsid w:val="00565F25"/>
    <w:rsid w:val="00565FDB"/>
    <w:rsid w:val="005660FF"/>
    <w:rsid w:val="00566181"/>
    <w:rsid w:val="005661ED"/>
    <w:rsid w:val="00566254"/>
    <w:rsid w:val="005662DE"/>
    <w:rsid w:val="005662F4"/>
    <w:rsid w:val="005663E6"/>
    <w:rsid w:val="0056641B"/>
    <w:rsid w:val="0056646A"/>
    <w:rsid w:val="00566477"/>
    <w:rsid w:val="00566571"/>
    <w:rsid w:val="005665AD"/>
    <w:rsid w:val="005665B7"/>
    <w:rsid w:val="00566647"/>
    <w:rsid w:val="00566787"/>
    <w:rsid w:val="005667BE"/>
    <w:rsid w:val="00566921"/>
    <w:rsid w:val="00566C37"/>
    <w:rsid w:val="00566C71"/>
    <w:rsid w:val="00566C7B"/>
    <w:rsid w:val="00566CAE"/>
    <w:rsid w:val="00566DD8"/>
    <w:rsid w:val="00566E1D"/>
    <w:rsid w:val="00566E44"/>
    <w:rsid w:val="00566F57"/>
    <w:rsid w:val="00567066"/>
    <w:rsid w:val="005670DB"/>
    <w:rsid w:val="00567272"/>
    <w:rsid w:val="005673EE"/>
    <w:rsid w:val="00567478"/>
    <w:rsid w:val="005674EF"/>
    <w:rsid w:val="005675CF"/>
    <w:rsid w:val="00567643"/>
    <w:rsid w:val="00567670"/>
    <w:rsid w:val="00567786"/>
    <w:rsid w:val="005677A4"/>
    <w:rsid w:val="00567814"/>
    <w:rsid w:val="00567924"/>
    <w:rsid w:val="005679C6"/>
    <w:rsid w:val="00567A9C"/>
    <w:rsid w:val="00567AA2"/>
    <w:rsid w:val="00567AAD"/>
    <w:rsid w:val="00567BA6"/>
    <w:rsid w:val="00567DBF"/>
    <w:rsid w:val="00567DEF"/>
    <w:rsid w:val="00567E6F"/>
    <w:rsid w:val="00567EEC"/>
    <w:rsid w:val="00567FF9"/>
    <w:rsid w:val="00570039"/>
    <w:rsid w:val="005700EF"/>
    <w:rsid w:val="00570128"/>
    <w:rsid w:val="005703BE"/>
    <w:rsid w:val="00570495"/>
    <w:rsid w:val="005704D9"/>
    <w:rsid w:val="00570516"/>
    <w:rsid w:val="005705F7"/>
    <w:rsid w:val="00570661"/>
    <w:rsid w:val="00570669"/>
    <w:rsid w:val="005706A8"/>
    <w:rsid w:val="00570781"/>
    <w:rsid w:val="00570806"/>
    <w:rsid w:val="00570874"/>
    <w:rsid w:val="005708F2"/>
    <w:rsid w:val="0057095A"/>
    <w:rsid w:val="00570B22"/>
    <w:rsid w:val="00570B4A"/>
    <w:rsid w:val="00570C0D"/>
    <w:rsid w:val="00570D7B"/>
    <w:rsid w:val="00570DEA"/>
    <w:rsid w:val="00570E07"/>
    <w:rsid w:val="00570F91"/>
    <w:rsid w:val="00571016"/>
    <w:rsid w:val="005711C3"/>
    <w:rsid w:val="005712CA"/>
    <w:rsid w:val="00571352"/>
    <w:rsid w:val="00571467"/>
    <w:rsid w:val="0057152F"/>
    <w:rsid w:val="00571560"/>
    <w:rsid w:val="005716B0"/>
    <w:rsid w:val="0057184F"/>
    <w:rsid w:val="00571856"/>
    <w:rsid w:val="0057196B"/>
    <w:rsid w:val="005719E4"/>
    <w:rsid w:val="00571A4C"/>
    <w:rsid w:val="00571C08"/>
    <w:rsid w:val="00571DA4"/>
    <w:rsid w:val="00571DD5"/>
    <w:rsid w:val="00571ECD"/>
    <w:rsid w:val="00571FC7"/>
    <w:rsid w:val="00571FF8"/>
    <w:rsid w:val="00572066"/>
    <w:rsid w:val="005720FE"/>
    <w:rsid w:val="0057221B"/>
    <w:rsid w:val="00572223"/>
    <w:rsid w:val="00572301"/>
    <w:rsid w:val="0057235A"/>
    <w:rsid w:val="00572435"/>
    <w:rsid w:val="00572441"/>
    <w:rsid w:val="00572477"/>
    <w:rsid w:val="00572649"/>
    <w:rsid w:val="00572996"/>
    <w:rsid w:val="00572ACB"/>
    <w:rsid w:val="00572B3B"/>
    <w:rsid w:val="00572CB3"/>
    <w:rsid w:val="00572CD6"/>
    <w:rsid w:val="00572EBC"/>
    <w:rsid w:val="00572FE9"/>
    <w:rsid w:val="00572FF1"/>
    <w:rsid w:val="0057318C"/>
    <w:rsid w:val="005732A9"/>
    <w:rsid w:val="005736E4"/>
    <w:rsid w:val="00573723"/>
    <w:rsid w:val="0057376C"/>
    <w:rsid w:val="00573847"/>
    <w:rsid w:val="00573B37"/>
    <w:rsid w:val="00573B8E"/>
    <w:rsid w:val="00573D11"/>
    <w:rsid w:val="00573D30"/>
    <w:rsid w:val="00573EAC"/>
    <w:rsid w:val="00573F69"/>
    <w:rsid w:val="00574045"/>
    <w:rsid w:val="005741BB"/>
    <w:rsid w:val="00574278"/>
    <w:rsid w:val="00574BB4"/>
    <w:rsid w:val="00574C38"/>
    <w:rsid w:val="00574CBD"/>
    <w:rsid w:val="00574EC8"/>
    <w:rsid w:val="00574EC9"/>
    <w:rsid w:val="00574EE2"/>
    <w:rsid w:val="00574F03"/>
    <w:rsid w:val="00574F04"/>
    <w:rsid w:val="00574FFB"/>
    <w:rsid w:val="0057519E"/>
    <w:rsid w:val="00575232"/>
    <w:rsid w:val="0057534A"/>
    <w:rsid w:val="00575386"/>
    <w:rsid w:val="005755E4"/>
    <w:rsid w:val="005755E5"/>
    <w:rsid w:val="005756E4"/>
    <w:rsid w:val="00575A78"/>
    <w:rsid w:val="00575A8F"/>
    <w:rsid w:val="00575B00"/>
    <w:rsid w:val="00575B16"/>
    <w:rsid w:val="00575B90"/>
    <w:rsid w:val="00575D24"/>
    <w:rsid w:val="00575F15"/>
    <w:rsid w:val="00575F54"/>
    <w:rsid w:val="00575F94"/>
    <w:rsid w:val="005760B0"/>
    <w:rsid w:val="00576121"/>
    <w:rsid w:val="005762FF"/>
    <w:rsid w:val="00576410"/>
    <w:rsid w:val="0057659B"/>
    <w:rsid w:val="005765C0"/>
    <w:rsid w:val="00576703"/>
    <w:rsid w:val="005767BA"/>
    <w:rsid w:val="00576887"/>
    <w:rsid w:val="005768A8"/>
    <w:rsid w:val="0057695A"/>
    <w:rsid w:val="0057697B"/>
    <w:rsid w:val="00576B3D"/>
    <w:rsid w:val="00576BCF"/>
    <w:rsid w:val="00576BD5"/>
    <w:rsid w:val="0057705D"/>
    <w:rsid w:val="00577105"/>
    <w:rsid w:val="00577206"/>
    <w:rsid w:val="00577241"/>
    <w:rsid w:val="0057730E"/>
    <w:rsid w:val="00577340"/>
    <w:rsid w:val="005774E3"/>
    <w:rsid w:val="00577525"/>
    <w:rsid w:val="005776BD"/>
    <w:rsid w:val="005777BA"/>
    <w:rsid w:val="0057792C"/>
    <w:rsid w:val="00577AD8"/>
    <w:rsid w:val="00577B99"/>
    <w:rsid w:val="00577D5E"/>
    <w:rsid w:val="00577DEE"/>
    <w:rsid w:val="00577F5B"/>
    <w:rsid w:val="00577F5C"/>
    <w:rsid w:val="0058008D"/>
    <w:rsid w:val="005800D2"/>
    <w:rsid w:val="00580273"/>
    <w:rsid w:val="005802E9"/>
    <w:rsid w:val="005806F4"/>
    <w:rsid w:val="00580770"/>
    <w:rsid w:val="005808D0"/>
    <w:rsid w:val="005809FF"/>
    <w:rsid w:val="00580A5C"/>
    <w:rsid w:val="00580B75"/>
    <w:rsid w:val="00580BBD"/>
    <w:rsid w:val="00580C42"/>
    <w:rsid w:val="00580C4A"/>
    <w:rsid w:val="00580E49"/>
    <w:rsid w:val="00580F0B"/>
    <w:rsid w:val="00580FB9"/>
    <w:rsid w:val="00581050"/>
    <w:rsid w:val="00581202"/>
    <w:rsid w:val="00581323"/>
    <w:rsid w:val="005813A6"/>
    <w:rsid w:val="00581405"/>
    <w:rsid w:val="0058147C"/>
    <w:rsid w:val="0058155C"/>
    <w:rsid w:val="0058160B"/>
    <w:rsid w:val="00581737"/>
    <w:rsid w:val="005819CD"/>
    <w:rsid w:val="00581B36"/>
    <w:rsid w:val="00581BD7"/>
    <w:rsid w:val="00581D27"/>
    <w:rsid w:val="00581D4E"/>
    <w:rsid w:val="0058213A"/>
    <w:rsid w:val="005821F9"/>
    <w:rsid w:val="0058241F"/>
    <w:rsid w:val="005829BD"/>
    <w:rsid w:val="00582A1E"/>
    <w:rsid w:val="00582AAC"/>
    <w:rsid w:val="00582AAE"/>
    <w:rsid w:val="00582B69"/>
    <w:rsid w:val="00582D4C"/>
    <w:rsid w:val="00582D64"/>
    <w:rsid w:val="00582E14"/>
    <w:rsid w:val="00582F72"/>
    <w:rsid w:val="00582FA9"/>
    <w:rsid w:val="00582FAB"/>
    <w:rsid w:val="00582FCE"/>
    <w:rsid w:val="00582FCF"/>
    <w:rsid w:val="005830F0"/>
    <w:rsid w:val="0058312C"/>
    <w:rsid w:val="0058317E"/>
    <w:rsid w:val="005832EA"/>
    <w:rsid w:val="00583328"/>
    <w:rsid w:val="00583433"/>
    <w:rsid w:val="0058356F"/>
    <w:rsid w:val="00583706"/>
    <w:rsid w:val="005838EC"/>
    <w:rsid w:val="005839CC"/>
    <w:rsid w:val="00583CC6"/>
    <w:rsid w:val="00583CE5"/>
    <w:rsid w:val="00583D19"/>
    <w:rsid w:val="00583DFC"/>
    <w:rsid w:val="00583E67"/>
    <w:rsid w:val="00584251"/>
    <w:rsid w:val="005843F5"/>
    <w:rsid w:val="00584414"/>
    <w:rsid w:val="00584460"/>
    <w:rsid w:val="005844B2"/>
    <w:rsid w:val="005848C4"/>
    <w:rsid w:val="00584C35"/>
    <w:rsid w:val="00584D54"/>
    <w:rsid w:val="00584D84"/>
    <w:rsid w:val="00584F22"/>
    <w:rsid w:val="00584F31"/>
    <w:rsid w:val="005850A1"/>
    <w:rsid w:val="005851FE"/>
    <w:rsid w:val="00585201"/>
    <w:rsid w:val="0058538E"/>
    <w:rsid w:val="00585631"/>
    <w:rsid w:val="00585645"/>
    <w:rsid w:val="00585713"/>
    <w:rsid w:val="00585727"/>
    <w:rsid w:val="0058572A"/>
    <w:rsid w:val="005857D7"/>
    <w:rsid w:val="00585812"/>
    <w:rsid w:val="0058583E"/>
    <w:rsid w:val="00585894"/>
    <w:rsid w:val="00585BD9"/>
    <w:rsid w:val="00585C38"/>
    <w:rsid w:val="00585C87"/>
    <w:rsid w:val="00585CE8"/>
    <w:rsid w:val="00585D58"/>
    <w:rsid w:val="00585F88"/>
    <w:rsid w:val="00585FB1"/>
    <w:rsid w:val="00586005"/>
    <w:rsid w:val="0058613F"/>
    <w:rsid w:val="00586214"/>
    <w:rsid w:val="00586391"/>
    <w:rsid w:val="00586402"/>
    <w:rsid w:val="005867D2"/>
    <w:rsid w:val="0058683B"/>
    <w:rsid w:val="00586863"/>
    <w:rsid w:val="00586880"/>
    <w:rsid w:val="00586E07"/>
    <w:rsid w:val="00586E0D"/>
    <w:rsid w:val="00586E8C"/>
    <w:rsid w:val="00587135"/>
    <w:rsid w:val="005871D8"/>
    <w:rsid w:val="0058726C"/>
    <w:rsid w:val="00587326"/>
    <w:rsid w:val="0058736E"/>
    <w:rsid w:val="005874AE"/>
    <w:rsid w:val="00587513"/>
    <w:rsid w:val="00587701"/>
    <w:rsid w:val="005879E9"/>
    <w:rsid w:val="00587BB9"/>
    <w:rsid w:val="00587C63"/>
    <w:rsid w:val="00587D9C"/>
    <w:rsid w:val="00587F15"/>
    <w:rsid w:val="00587F98"/>
    <w:rsid w:val="005900C4"/>
    <w:rsid w:val="00590146"/>
    <w:rsid w:val="00590172"/>
    <w:rsid w:val="00590176"/>
    <w:rsid w:val="00590185"/>
    <w:rsid w:val="0059019E"/>
    <w:rsid w:val="005903A3"/>
    <w:rsid w:val="005903B5"/>
    <w:rsid w:val="005903E2"/>
    <w:rsid w:val="005903E8"/>
    <w:rsid w:val="0059048A"/>
    <w:rsid w:val="0059083E"/>
    <w:rsid w:val="00590898"/>
    <w:rsid w:val="005908FC"/>
    <w:rsid w:val="00590BE8"/>
    <w:rsid w:val="00590BFD"/>
    <w:rsid w:val="00590C86"/>
    <w:rsid w:val="00590D61"/>
    <w:rsid w:val="00590DF6"/>
    <w:rsid w:val="00590E7E"/>
    <w:rsid w:val="00590EC4"/>
    <w:rsid w:val="00591168"/>
    <w:rsid w:val="005911AB"/>
    <w:rsid w:val="00591238"/>
    <w:rsid w:val="00591274"/>
    <w:rsid w:val="0059130C"/>
    <w:rsid w:val="0059134C"/>
    <w:rsid w:val="005914CF"/>
    <w:rsid w:val="005914EC"/>
    <w:rsid w:val="00591693"/>
    <w:rsid w:val="00591706"/>
    <w:rsid w:val="00591722"/>
    <w:rsid w:val="0059195B"/>
    <w:rsid w:val="00591D19"/>
    <w:rsid w:val="00591D24"/>
    <w:rsid w:val="005920B0"/>
    <w:rsid w:val="005920B6"/>
    <w:rsid w:val="005921EE"/>
    <w:rsid w:val="005921F7"/>
    <w:rsid w:val="005922B3"/>
    <w:rsid w:val="0059239C"/>
    <w:rsid w:val="0059239E"/>
    <w:rsid w:val="0059250D"/>
    <w:rsid w:val="00592620"/>
    <w:rsid w:val="00592745"/>
    <w:rsid w:val="005927B3"/>
    <w:rsid w:val="00592803"/>
    <w:rsid w:val="00592A20"/>
    <w:rsid w:val="00592A9C"/>
    <w:rsid w:val="00592AC8"/>
    <w:rsid w:val="00592ADB"/>
    <w:rsid w:val="00592D05"/>
    <w:rsid w:val="00592DE0"/>
    <w:rsid w:val="00592E8A"/>
    <w:rsid w:val="00592F4D"/>
    <w:rsid w:val="0059324F"/>
    <w:rsid w:val="005933A9"/>
    <w:rsid w:val="005933BA"/>
    <w:rsid w:val="00593849"/>
    <w:rsid w:val="00593AA4"/>
    <w:rsid w:val="00593AEB"/>
    <w:rsid w:val="00593C11"/>
    <w:rsid w:val="00593D5D"/>
    <w:rsid w:val="00593D7A"/>
    <w:rsid w:val="00593DBE"/>
    <w:rsid w:val="00593F68"/>
    <w:rsid w:val="00593FCF"/>
    <w:rsid w:val="00593FE8"/>
    <w:rsid w:val="005940D9"/>
    <w:rsid w:val="005943E3"/>
    <w:rsid w:val="00594473"/>
    <w:rsid w:val="00594577"/>
    <w:rsid w:val="00594883"/>
    <w:rsid w:val="00594A21"/>
    <w:rsid w:val="00594AB0"/>
    <w:rsid w:val="00594AC1"/>
    <w:rsid w:val="00594B32"/>
    <w:rsid w:val="00594D1F"/>
    <w:rsid w:val="00594E7E"/>
    <w:rsid w:val="00594EB3"/>
    <w:rsid w:val="00594EF2"/>
    <w:rsid w:val="00594FDB"/>
    <w:rsid w:val="0059500E"/>
    <w:rsid w:val="00595054"/>
    <w:rsid w:val="005951D9"/>
    <w:rsid w:val="00595208"/>
    <w:rsid w:val="00595275"/>
    <w:rsid w:val="005952EA"/>
    <w:rsid w:val="005952F6"/>
    <w:rsid w:val="00595552"/>
    <w:rsid w:val="00595569"/>
    <w:rsid w:val="005956CA"/>
    <w:rsid w:val="0059581B"/>
    <w:rsid w:val="00595A19"/>
    <w:rsid w:val="00595A36"/>
    <w:rsid w:val="00595C4B"/>
    <w:rsid w:val="00595CDE"/>
    <w:rsid w:val="00595D77"/>
    <w:rsid w:val="00595F55"/>
    <w:rsid w:val="00595FCB"/>
    <w:rsid w:val="00595FF0"/>
    <w:rsid w:val="005960AA"/>
    <w:rsid w:val="005960E1"/>
    <w:rsid w:val="0059617F"/>
    <w:rsid w:val="00596194"/>
    <w:rsid w:val="005963D6"/>
    <w:rsid w:val="00596465"/>
    <w:rsid w:val="005964C8"/>
    <w:rsid w:val="005966FF"/>
    <w:rsid w:val="0059679E"/>
    <w:rsid w:val="0059682E"/>
    <w:rsid w:val="005968AC"/>
    <w:rsid w:val="005969C3"/>
    <w:rsid w:val="005969FF"/>
    <w:rsid w:val="00596BF9"/>
    <w:rsid w:val="00596C9E"/>
    <w:rsid w:val="00596CAB"/>
    <w:rsid w:val="00596CDD"/>
    <w:rsid w:val="0059701E"/>
    <w:rsid w:val="00597083"/>
    <w:rsid w:val="0059723F"/>
    <w:rsid w:val="0059727F"/>
    <w:rsid w:val="005972A7"/>
    <w:rsid w:val="005972B2"/>
    <w:rsid w:val="00597516"/>
    <w:rsid w:val="00597542"/>
    <w:rsid w:val="005977E3"/>
    <w:rsid w:val="00597889"/>
    <w:rsid w:val="005979BB"/>
    <w:rsid w:val="005979E2"/>
    <w:rsid w:val="00597AE8"/>
    <w:rsid w:val="00597B24"/>
    <w:rsid w:val="00597B58"/>
    <w:rsid w:val="00597C40"/>
    <w:rsid w:val="00597ED5"/>
    <w:rsid w:val="00597F55"/>
    <w:rsid w:val="005A0034"/>
    <w:rsid w:val="005A0045"/>
    <w:rsid w:val="005A02E5"/>
    <w:rsid w:val="005A04DE"/>
    <w:rsid w:val="005A0994"/>
    <w:rsid w:val="005A0ADB"/>
    <w:rsid w:val="005A0B19"/>
    <w:rsid w:val="005A0BEB"/>
    <w:rsid w:val="005A0D98"/>
    <w:rsid w:val="005A0E88"/>
    <w:rsid w:val="005A0F4D"/>
    <w:rsid w:val="005A1158"/>
    <w:rsid w:val="005A12A5"/>
    <w:rsid w:val="005A15B4"/>
    <w:rsid w:val="005A16DD"/>
    <w:rsid w:val="005A17D4"/>
    <w:rsid w:val="005A1A77"/>
    <w:rsid w:val="005A1B0B"/>
    <w:rsid w:val="005A1B1E"/>
    <w:rsid w:val="005A1B35"/>
    <w:rsid w:val="005A1DF2"/>
    <w:rsid w:val="005A1E29"/>
    <w:rsid w:val="005A1E52"/>
    <w:rsid w:val="005A1FE4"/>
    <w:rsid w:val="005A1FF0"/>
    <w:rsid w:val="005A216B"/>
    <w:rsid w:val="005A2250"/>
    <w:rsid w:val="005A2265"/>
    <w:rsid w:val="005A2398"/>
    <w:rsid w:val="005A23EA"/>
    <w:rsid w:val="005A23EB"/>
    <w:rsid w:val="005A245A"/>
    <w:rsid w:val="005A25B2"/>
    <w:rsid w:val="005A25CA"/>
    <w:rsid w:val="005A25EF"/>
    <w:rsid w:val="005A2611"/>
    <w:rsid w:val="005A2672"/>
    <w:rsid w:val="005A2831"/>
    <w:rsid w:val="005A29C8"/>
    <w:rsid w:val="005A2B18"/>
    <w:rsid w:val="005A2B1B"/>
    <w:rsid w:val="005A2BF8"/>
    <w:rsid w:val="005A2E6A"/>
    <w:rsid w:val="005A2F3A"/>
    <w:rsid w:val="005A2FC9"/>
    <w:rsid w:val="005A30B6"/>
    <w:rsid w:val="005A3314"/>
    <w:rsid w:val="005A3337"/>
    <w:rsid w:val="005A354A"/>
    <w:rsid w:val="005A3586"/>
    <w:rsid w:val="005A35A2"/>
    <w:rsid w:val="005A3810"/>
    <w:rsid w:val="005A382A"/>
    <w:rsid w:val="005A3903"/>
    <w:rsid w:val="005A3928"/>
    <w:rsid w:val="005A3AED"/>
    <w:rsid w:val="005A3CBB"/>
    <w:rsid w:val="005A3E44"/>
    <w:rsid w:val="005A3E65"/>
    <w:rsid w:val="005A3E9F"/>
    <w:rsid w:val="005A3F57"/>
    <w:rsid w:val="005A4024"/>
    <w:rsid w:val="005A4171"/>
    <w:rsid w:val="005A4399"/>
    <w:rsid w:val="005A43BA"/>
    <w:rsid w:val="005A4673"/>
    <w:rsid w:val="005A469D"/>
    <w:rsid w:val="005A46A2"/>
    <w:rsid w:val="005A4714"/>
    <w:rsid w:val="005A4793"/>
    <w:rsid w:val="005A47B3"/>
    <w:rsid w:val="005A4B16"/>
    <w:rsid w:val="005A4B77"/>
    <w:rsid w:val="005A4C15"/>
    <w:rsid w:val="005A4C96"/>
    <w:rsid w:val="005A4ECB"/>
    <w:rsid w:val="005A4F83"/>
    <w:rsid w:val="005A504F"/>
    <w:rsid w:val="005A52DA"/>
    <w:rsid w:val="005A5476"/>
    <w:rsid w:val="005A557A"/>
    <w:rsid w:val="005A55ED"/>
    <w:rsid w:val="005A581C"/>
    <w:rsid w:val="005A5A54"/>
    <w:rsid w:val="005A5A7F"/>
    <w:rsid w:val="005A5AED"/>
    <w:rsid w:val="005A5B3F"/>
    <w:rsid w:val="005A5CA5"/>
    <w:rsid w:val="005A5CE2"/>
    <w:rsid w:val="005A5E06"/>
    <w:rsid w:val="005A5EE7"/>
    <w:rsid w:val="005A61DC"/>
    <w:rsid w:val="005A621B"/>
    <w:rsid w:val="005A636D"/>
    <w:rsid w:val="005A64B2"/>
    <w:rsid w:val="005A6580"/>
    <w:rsid w:val="005A6A1E"/>
    <w:rsid w:val="005A6B46"/>
    <w:rsid w:val="005A6BED"/>
    <w:rsid w:val="005A6C70"/>
    <w:rsid w:val="005A6E65"/>
    <w:rsid w:val="005A6E83"/>
    <w:rsid w:val="005A709A"/>
    <w:rsid w:val="005A70A5"/>
    <w:rsid w:val="005A70D4"/>
    <w:rsid w:val="005A70EF"/>
    <w:rsid w:val="005A7195"/>
    <w:rsid w:val="005A71F1"/>
    <w:rsid w:val="005A7222"/>
    <w:rsid w:val="005A7396"/>
    <w:rsid w:val="005A73CE"/>
    <w:rsid w:val="005A73F4"/>
    <w:rsid w:val="005A7441"/>
    <w:rsid w:val="005A760F"/>
    <w:rsid w:val="005A7711"/>
    <w:rsid w:val="005A7751"/>
    <w:rsid w:val="005A78AB"/>
    <w:rsid w:val="005A78E2"/>
    <w:rsid w:val="005A7944"/>
    <w:rsid w:val="005A795C"/>
    <w:rsid w:val="005A7E1F"/>
    <w:rsid w:val="005A7E96"/>
    <w:rsid w:val="005A7FA2"/>
    <w:rsid w:val="005B0012"/>
    <w:rsid w:val="005B00D0"/>
    <w:rsid w:val="005B016B"/>
    <w:rsid w:val="005B020E"/>
    <w:rsid w:val="005B0252"/>
    <w:rsid w:val="005B0365"/>
    <w:rsid w:val="005B03D4"/>
    <w:rsid w:val="005B0696"/>
    <w:rsid w:val="005B074F"/>
    <w:rsid w:val="005B0920"/>
    <w:rsid w:val="005B096B"/>
    <w:rsid w:val="005B0A27"/>
    <w:rsid w:val="005B0AC3"/>
    <w:rsid w:val="005B0AD7"/>
    <w:rsid w:val="005B0B11"/>
    <w:rsid w:val="005B10DE"/>
    <w:rsid w:val="005B1125"/>
    <w:rsid w:val="005B11B2"/>
    <w:rsid w:val="005B1533"/>
    <w:rsid w:val="005B16CD"/>
    <w:rsid w:val="005B17BB"/>
    <w:rsid w:val="005B19AD"/>
    <w:rsid w:val="005B19DA"/>
    <w:rsid w:val="005B19E6"/>
    <w:rsid w:val="005B1AB2"/>
    <w:rsid w:val="005B1B0C"/>
    <w:rsid w:val="005B1B40"/>
    <w:rsid w:val="005B1E3E"/>
    <w:rsid w:val="005B1EE4"/>
    <w:rsid w:val="005B1F1D"/>
    <w:rsid w:val="005B2025"/>
    <w:rsid w:val="005B20DF"/>
    <w:rsid w:val="005B211A"/>
    <w:rsid w:val="005B2216"/>
    <w:rsid w:val="005B2256"/>
    <w:rsid w:val="005B22AC"/>
    <w:rsid w:val="005B233B"/>
    <w:rsid w:val="005B24E9"/>
    <w:rsid w:val="005B25E1"/>
    <w:rsid w:val="005B260A"/>
    <w:rsid w:val="005B28AD"/>
    <w:rsid w:val="005B2925"/>
    <w:rsid w:val="005B2984"/>
    <w:rsid w:val="005B2A40"/>
    <w:rsid w:val="005B2AA1"/>
    <w:rsid w:val="005B2D72"/>
    <w:rsid w:val="005B2D98"/>
    <w:rsid w:val="005B2E81"/>
    <w:rsid w:val="005B2FEC"/>
    <w:rsid w:val="005B3106"/>
    <w:rsid w:val="005B3117"/>
    <w:rsid w:val="005B3131"/>
    <w:rsid w:val="005B3166"/>
    <w:rsid w:val="005B3171"/>
    <w:rsid w:val="005B33D1"/>
    <w:rsid w:val="005B3626"/>
    <w:rsid w:val="005B369B"/>
    <w:rsid w:val="005B3707"/>
    <w:rsid w:val="005B3874"/>
    <w:rsid w:val="005B39B3"/>
    <w:rsid w:val="005B3A3E"/>
    <w:rsid w:val="005B3B11"/>
    <w:rsid w:val="005B3B8D"/>
    <w:rsid w:val="005B3C8C"/>
    <w:rsid w:val="005B3D99"/>
    <w:rsid w:val="005B3DE3"/>
    <w:rsid w:val="005B3ED5"/>
    <w:rsid w:val="005B40DA"/>
    <w:rsid w:val="005B41A4"/>
    <w:rsid w:val="005B4202"/>
    <w:rsid w:val="005B4321"/>
    <w:rsid w:val="005B43BD"/>
    <w:rsid w:val="005B4425"/>
    <w:rsid w:val="005B442A"/>
    <w:rsid w:val="005B4531"/>
    <w:rsid w:val="005B457D"/>
    <w:rsid w:val="005B45E4"/>
    <w:rsid w:val="005B4A85"/>
    <w:rsid w:val="005B4B0A"/>
    <w:rsid w:val="005B4CED"/>
    <w:rsid w:val="005B4F63"/>
    <w:rsid w:val="005B520C"/>
    <w:rsid w:val="005B5292"/>
    <w:rsid w:val="005B52FB"/>
    <w:rsid w:val="005B5309"/>
    <w:rsid w:val="005B55B1"/>
    <w:rsid w:val="005B55E3"/>
    <w:rsid w:val="005B56E4"/>
    <w:rsid w:val="005B5787"/>
    <w:rsid w:val="005B5807"/>
    <w:rsid w:val="005B58FB"/>
    <w:rsid w:val="005B59C8"/>
    <w:rsid w:val="005B59EE"/>
    <w:rsid w:val="005B5AD7"/>
    <w:rsid w:val="005B5B73"/>
    <w:rsid w:val="005B5CB4"/>
    <w:rsid w:val="005B5D67"/>
    <w:rsid w:val="005B5E15"/>
    <w:rsid w:val="005B5E8E"/>
    <w:rsid w:val="005B5F68"/>
    <w:rsid w:val="005B6023"/>
    <w:rsid w:val="005B6263"/>
    <w:rsid w:val="005B6375"/>
    <w:rsid w:val="005B648E"/>
    <w:rsid w:val="005B667A"/>
    <w:rsid w:val="005B66F0"/>
    <w:rsid w:val="005B67A2"/>
    <w:rsid w:val="005B698F"/>
    <w:rsid w:val="005B6B61"/>
    <w:rsid w:val="005B6BB0"/>
    <w:rsid w:val="005B6C01"/>
    <w:rsid w:val="005B6C11"/>
    <w:rsid w:val="005B6C8D"/>
    <w:rsid w:val="005B6D24"/>
    <w:rsid w:val="005B6DD5"/>
    <w:rsid w:val="005B7029"/>
    <w:rsid w:val="005B7032"/>
    <w:rsid w:val="005B70AA"/>
    <w:rsid w:val="005B7139"/>
    <w:rsid w:val="005B73DE"/>
    <w:rsid w:val="005B7417"/>
    <w:rsid w:val="005B7491"/>
    <w:rsid w:val="005B74BD"/>
    <w:rsid w:val="005B751B"/>
    <w:rsid w:val="005B75AC"/>
    <w:rsid w:val="005B76E4"/>
    <w:rsid w:val="005B78AB"/>
    <w:rsid w:val="005B7979"/>
    <w:rsid w:val="005B79B7"/>
    <w:rsid w:val="005B79E5"/>
    <w:rsid w:val="005B7A4A"/>
    <w:rsid w:val="005B7B7D"/>
    <w:rsid w:val="005B7E42"/>
    <w:rsid w:val="005B7F0C"/>
    <w:rsid w:val="005B7FF1"/>
    <w:rsid w:val="005C00C0"/>
    <w:rsid w:val="005C01B5"/>
    <w:rsid w:val="005C01E7"/>
    <w:rsid w:val="005C01FA"/>
    <w:rsid w:val="005C0482"/>
    <w:rsid w:val="005C0618"/>
    <w:rsid w:val="005C0A9A"/>
    <w:rsid w:val="005C0B71"/>
    <w:rsid w:val="005C0DAB"/>
    <w:rsid w:val="005C0DDB"/>
    <w:rsid w:val="005C0E57"/>
    <w:rsid w:val="005C0EE0"/>
    <w:rsid w:val="005C1210"/>
    <w:rsid w:val="005C12E8"/>
    <w:rsid w:val="005C154C"/>
    <w:rsid w:val="005C1633"/>
    <w:rsid w:val="005C1780"/>
    <w:rsid w:val="005C17CA"/>
    <w:rsid w:val="005C1845"/>
    <w:rsid w:val="005C1A06"/>
    <w:rsid w:val="005C1A2B"/>
    <w:rsid w:val="005C1B02"/>
    <w:rsid w:val="005C1B6D"/>
    <w:rsid w:val="005C1B70"/>
    <w:rsid w:val="005C1C10"/>
    <w:rsid w:val="005C1CBB"/>
    <w:rsid w:val="005C1D16"/>
    <w:rsid w:val="005C1D6C"/>
    <w:rsid w:val="005C1E7F"/>
    <w:rsid w:val="005C1F72"/>
    <w:rsid w:val="005C20FE"/>
    <w:rsid w:val="005C2175"/>
    <w:rsid w:val="005C22C5"/>
    <w:rsid w:val="005C2407"/>
    <w:rsid w:val="005C270F"/>
    <w:rsid w:val="005C2A68"/>
    <w:rsid w:val="005C2AC4"/>
    <w:rsid w:val="005C2BF1"/>
    <w:rsid w:val="005C2D0F"/>
    <w:rsid w:val="005C2DBA"/>
    <w:rsid w:val="005C2ED0"/>
    <w:rsid w:val="005C2FF5"/>
    <w:rsid w:val="005C30A0"/>
    <w:rsid w:val="005C30C7"/>
    <w:rsid w:val="005C3216"/>
    <w:rsid w:val="005C329E"/>
    <w:rsid w:val="005C32B3"/>
    <w:rsid w:val="005C32DE"/>
    <w:rsid w:val="005C3352"/>
    <w:rsid w:val="005C349B"/>
    <w:rsid w:val="005C3631"/>
    <w:rsid w:val="005C36A9"/>
    <w:rsid w:val="005C36E9"/>
    <w:rsid w:val="005C3726"/>
    <w:rsid w:val="005C3786"/>
    <w:rsid w:val="005C378F"/>
    <w:rsid w:val="005C37AD"/>
    <w:rsid w:val="005C384B"/>
    <w:rsid w:val="005C393E"/>
    <w:rsid w:val="005C39F9"/>
    <w:rsid w:val="005C3A68"/>
    <w:rsid w:val="005C3A69"/>
    <w:rsid w:val="005C3B3A"/>
    <w:rsid w:val="005C3C08"/>
    <w:rsid w:val="005C3DA3"/>
    <w:rsid w:val="005C3E3E"/>
    <w:rsid w:val="005C3E80"/>
    <w:rsid w:val="005C3FC0"/>
    <w:rsid w:val="005C4280"/>
    <w:rsid w:val="005C42D1"/>
    <w:rsid w:val="005C437F"/>
    <w:rsid w:val="005C4454"/>
    <w:rsid w:val="005C45FD"/>
    <w:rsid w:val="005C462B"/>
    <w:rsid w:val="005C4780"/>
    <w:rsid w:val="005C4BC4"/>
    <w:rsid w:val="005C4C13"/>
    <w:rsid w:val="005C4CCD"/>
    <w:rsid w:val="005C4D1D"/>
    <w:rsid w:val="005C4D84"/>
    <w:rsid w:val="005C4E45"/>
    <w:rsid w:val="005C4F0A"/>
    <w:rsid w:val="005C4FA3"/>
    <w:rsid w:val="005C5029"/>
    <w:rsid w:val="005C508C"/>
    <w:rsid w:val="005C5097"/>
    <w:rsid w:val="005C5238"/>
    <w:rsid w:val="005C5282"/>
    <w:rsid w:val="005C52FD"/>
    <w:rsid w:val="005C5316"/>
    <w:rsid w:val="005C547A"/>
    <w:rsid w:val="005C54DF"/>
    <w:rsid w:val="005C55BB"/>
    <w:rsid w:val="005C563B"/>
    <w:rsid w:val="005C5666"/>
    <w:rsid w:val="005C57DE"/>
    <w:rsid w:val="005C5905"/>
    <w:rsid w:val="005C5A4F"/>
    <w:rsid w:val="005C5A58"/>
    <w:rsid w:val="005C5AA1"/>
    <w:rsid w:val="005C5AD5"/>
    <w:rsid w:val="005C5DDE"/>
    <w:rsid w:val="005C5DEE"/>
    <w:rsid w:val="005C5EBF"/>
    <w:rsid w:val="005C5F63"/>
    <w:rsid w:val="005C5FC3"/>
    <w:rsid w:val="005C601C"/>
    <w:rsid w:val="005C60BD"/>
    <w:rsid w:val="005C60C3"/>
    <w:rsid w:val="005C60F5"/>
    <w:rsid w:val="005C6534"/>
    <w:rsid w:val="005C65D6"/>
    <w:rsid w:val="005C65ED"/>
    <w:rsid w:val="005C6649"/>
    <w:rsid w:val="005C671C"/>
    <w:rsid w:val="005C67A6"/>
    <w:rsid w:val="005C6810"/>
    <w:rsid w:val="005C6BC7"/>
    <w:rsid w:val="005C6BDA"/>
    <w:rsid w:val="005C6BE2"/>
    <w:rsid w:val="005C6C35"/>
    <w:rsid w:val="005C6CB9"/>
    <w:rsid w:val="005C6DD9"/>
    <w:rsid w:val="005C6F6C"/>
    <w:rsid w:val="005C6F6F"/>
    <w:rsid w:val="005C702B"/>
    <w:rsid w:val="005C7378"/>
    <w:rsid w:val="005C73D8"/>
    <w:rsid w:val="005C73EE"/>
    <w:rsid w:val="005C74BE"/>
    <w:rsid w:val="005C74C5"/>
    <w:rsid w:val="005C74CE"/>
    <w:rsid w:val="005C757C"/>
    <w:rsid w:val="005C76BB"/>
    <w:rsid w:val="005C7B21"/>
    <w:rsid w:val="005C7C88"/>
    <w:rsid w:val="005C7CD7"/>
    <w:rsid w:val="005C7D55"/>
    <w:rsid w:val="005C7E6F"/>
    <w:rsid w:val="005C7F27"/>
    <w:rsid w:val="005C7F68"/>
    <w:rsid w:val="005C7F6F"/>
    <w:rsid w:val="005C7FF8"/>
    <w:rsid w:val="005D013E"/>
    <w:rsid w:val="005D0345"/>
    <w:rsid w:val="005D0420"/>
    <w:rsid w:val="005D05A9"/>
    <w:rsid w:val="005D07AB"/>
    <w:rsid w:val="005D0939"/>
    <w:rsid w:val="005D095A"/>
    <w:rsid w:val="005D0A17"/>
    <w:rsid w:val="005D0A5D"/>
    <w:rsid w:val="005D0A96"/>
    <w:rsid w:val="005D0AEB"/>
    <w:rsid w:val="005D0BA9"/>
    <w:rsid w:val="005D0BFB"/>
    <w:rsid w:val="005D0C95"/>
    <w:rsid w:val="005D0D31"/>
    <w:rsid w:val="005D0E78"/>
    <w:rsid w:val="005D12F1"/>
    <w:rsid w:val="005D176E"/>
    <w:rsid w:val="005D1A1D"/>
    <w:rsid w:val="005D1E40"/>
    <w:rsid w:val="005D1FD9"/>
    <w:rsid w:val="005D211F"/>
    <w:rsid w:val="005D216C"/>
    <w:rsid w:val="005D2326"/>
    <w:rsid w:val="005D2388"/>
    <w:rsid w:val="005D2399"/>
    <w:rsid w:val="005D2423"/>
    <w:rsid w:val="005D24A5"/>
    <w:rsid w:val="005D24FE"/>
    <w:rsid w:val="005D2776"/>
    <w:rsid w:val="005D2867"/>
    <w:rsid w:val="005D2A3F"/>
    <w:rsid w:val="005D2B02"/>
    <w:rsid w:val="005D2C4C"/>
    <w:rsid w:val="005D2F4B"/>
    <w:rsid w:val="005D2F82"/>
    <w:rsid w:val="005D305D"/>
    <w:rsid w:val="005D3064"/>
    <w:rsid w:val="005D3079"/>
    <w:rsid w:val="005D3087"/>
    <w:rsid w:val="005D313B"/>
    <w:rsid w:val="005D31E7"/>
    <w:rsid w:val="005D34B0"/>
    <w:rsid w:val="005D35C9"/>
    <w:rsid w:val="005D361F"/>
    <w:rsid w:val="005D36B3"/>
    <w:rsid w:val="005D3725"/>
    <w:rsid w:val="005D3767"/>
    <w:rsid w:val="005D3783"/>
    <w:rsid w:val="005D3A22"/>
    <w:rsid w:val="005D3B17"/>
    <w:rsid w:val="005D3B2E"/>
    <w:rsid w:val="005D3B9C"/>
    <w:rsid w:val="005D3D3D"/>
    <w:rsid w:val="005D3F9B"/>
    <w:rsid w:val="005D3FA3"/>
    <w:rsid w:val="005D411F"/>
    <w:rsid w:val="005D41A8"/>
    <w:rsid w:val="005D420E"/>
    <w:rsid w:val="005D4283"/>
    <w:rsid w:val="005D43E5"/>
    <w:rsid w:val="005D4401"/>
    <w:rsid w:val="005D442C"/>
    <w:rsid w:val="005D4435"/>
    <w:rsid w:val="005D4715"/>
    <w:rsid w:val="005D492E"/>
    <w:rsid w:val="005D4971"/>
    <w:rsid w:val="005D4D16"/>
    <w:rsid w:val="005D4E05"/>
    <w:rsid w:val="005D4EF6"/>
    <w:rsid w:val="005D4FF8"/>
    <w:rsid w:val="005D50AB"/>
    <w:rsid w:val="005D5176"/>
    <w:rsid w:val="005D5189"/>
    <w:rsid w:val="005D5224"/>
    <w:rsid w:val="005D5418"/>
    <w:rsid w:val="005D5440"/>
    <w:rsid w:val="005D54D3"/>
    <w:rsid w:val="005D57C4"/>
    <w:rsid w:val="005D5908"/>
    <w:rsid w:val="005D590B"/>
    <w:rsid w:val="005D5961"/>
    <w:rsid w:val="005D5A9E"/>
    <w:rsid w:val="005D5C5A"/>
    <w:rsid w:val="005D5E1E"/>
    <w:rsid w:val="005D5FD4"/>
    <w:rsid w:val="005D6207"/>
    <w:rsid w:val="005D6220"/>
    <w:rsid w:val="005D63B8"/>
    <w:rsid w:val="005D63E0"/>
    <w:rsid w:val="005D6699"/>
    <w:rsid w:val="005D67CA"/>
    <w:rsid w:val="005D6887"/>
    <w:rsid w:val="005D69C9"/>
    <w:rsid w:val="005D6A5B"/>
    <w:rsid w:val="005D6AC5"/>
    <w:rsid w:val="005D6B86"/>
    <w:rsid w:val="005D6D21"/>
    <w:rsid w:val="005D6E12"/>
    <w:rsid w:val="005D6E3C"/>
    <w:rsid w:val="005D7014"/>
    <w:rsid w:val="005D7181"/>
    <w:rsid w:val="005D71D0"/>
    <w:rsid w:val="005D7289"/>
    <w:rsid w:val="005D72C3"/>
    <w:rsid w:val="005D763C"/>
    <w:rsid w:val="005D76E8"/>
    <w:rsid w:val="005D7791"/>
    <w:rsid w:val="005D78B1"/>
    <w:rsid w:val="005D7A12"/>
    <w:rsid w:val="005D7A4B"/>
    <w:rsid w:val="005D7A50"/>
    <w:rsid w:val="005D7B20"/>
    <w:rsid w:val="005D7CB8"/>
    <w:rsid w:val="005D7D2B"/>
    <w:rsid w:val="005D7F0B"/>
    <w:rsid w:val="005D7FAB"/>
    <w:rsid w:val="005E0015"/>
    <w:rsid w:val="005E0019"/>
    <w:rsid w:val="005E00B7"/>
    <w:rsid w:val="005E0164"/>
    <w:rsid w:val="005E0192"/>
    <w:rsid w:val="005E0225"/>
    <w:rsid w:val="005E02C3"/>
    <w:rsid w:val="005E034F"/>
    <w:rsid w:val="005E03C6"/>
    <w:rsid w:val="005E05B0"/>
    <w:rsid w:val="005E07D9"/>
    <w:rsid w:val="005E09D9"/>
    <w:rsid w:val="005E0A4A"/>
    <w:rsid w:val="005E0A74"/>
    <w:rsid w:val="005E0C83"/>
    <w:rsid w:val="005E0CD9"/>
    <w:rsid w:val="005E0D60"/>
    <w:rsid w:val="005E0D8A"/>
    <w:rsid w:val="005E0F12"/>
    <w:rsid w:val="005E0F37"/>
    <w:rsid w:val="005E100A"/>
    <w:rsid w:val="005E1019"/>
    <w:rsid w:val="005E1058"/>
    <w:rsid w:val="005E1062"/>
    <w:rsid w:val="005E1092"/>
    <w:rsid w:val="005E11E3"/>
    <w:rsid w:val="005E11FA"/>
    <w:rsid w:val="005E1317"/>
    <w:rsid w:val="005E137A"/>
    <w:rsid w:val="005E1543"/>
    <w:rsid w:val="005E15EC"/>
    <w:rsid w:val="005E1603"/>
    <w:rsid w:val="005E1639"/>
    <w:rsid w:val="005E16D8"/>
    <w:rsid w:val="005E1727"/>
    <w:rsid w:val="005E1769"/>
    <w:rsid w:val="005E1A3E"/>
    <w:rsid w:val="005E1A42"/>
    <w:rsid w:val="005E1D4D"/>
    <w:rsid w:val="005E1D8E"/>
    <w:rsid w:val="005E1E84"/>
    <w:rsid w:val="005E1ECB"/>
    <w:rsid w:val="005E1ECD"/>
    <w:rsid w:val="005E1F67"/>
    <w:rsid w:val="005E202C"/>
    <w:rsid w:val="005E20D8"/>
    <w:rsid w:val="005E22CE"/>
    <w:rsid w:val="005E231D"/>
    <w:rsid w:val="005E25EA"/>
    <w:rsid w:val="005E26C2"/>
    <w:rsid w:val="005E26FB"/>
    <w:rsid w:val="005E27AC"/>
    <w:rsid w:val="005E29CB"/>
    <w:rsid w:val="005E29D6"/>
    <w:rsid w:val="005E2A88"/>
    <w:rsid w:val="005E2BE4"/>
    <w:rsid w:val="005E2BEC"/>
    <w:rsid w:val="005E2C28"/>
    <w:rsid w:val="005E2C6D"/>
    <w:rsid w:val="005E2CB3"/>
    <w:rsid w:val="005E2D92"/>
    <w:rsid w:val="005E2E57"/>
    <w:rsid w:val="005E3049"/>
    <w:rsid w:val="005E309F"/>
    <w:rsid w:val="005E32DB"/>
    <w:rsid w:val="005E3322"/>
    <w:rsid w:val="005E3324"/>
    <w:rsid w:val="005E3379"/>
    <w:rsid w:val="005E3386"/>
    <w:rsid w:val="005E33B1"/>
    <w:rsid w:val="005E34D3"/>
    <w:rsid w:val="005E34F1"/>
    <w:rsid w:val="005E368D"/>
    <w:rsid w:val="005E37DB"/>
    <w:rsid w:val="005E38DF"/>
    <w:rsid w:val="005E3929"/>
    <w:rsid w:val="005E3A4F"/>
    <w:rsid w:val="005E3B51"/>
    <w:rsid w:val="005E3C01"/>
    <w:rsid w:val="005E3D8F"/>
    <w:rsid w:val="005E4106"/>
    <w:rsid w:val="005E4197"/>
    <w:rsid w:val="005E42AC"/>
    <w:rsid w:val="005E42D2"/>
    <w:rsid w:val="005E4364"/>
    <w:rsid w:val="005E43F7"/>
    <w:rsid w:val="005E44CA"/>
    <w:rsid w:val="005E44E3"/>
    <w:rsid w:val="005E466C"/>
    <w:rsid w:val="005E496B"/>
    <w:rsid w:val="005E497B"/>
    <w:rsid w:val="005E499A"/>
    <w:rsid w:val="005E49A6"/>
    <w:rsid w:val="005E4B65"/>
    <w:rsid w:val="005E4B85"/>
    <w:rsid w:val="005E4CE4"/>
    <w:rsid w:val="005E4D24"/>
    <w:rsid w:val="005E4D7A"/>
    <w:rsid w:val="005E4E26"/>
    <w:rsid w:val="005E4E50"/>
    <w:rsid w:val="005E4E91"/>
    <w:rsid w:val="005E4E94"/>
    <w:rsid w:val="005E4F0A"/>
    <w:rsid w:val="005E4FE5"/>
    <w:rsid w:val="005E50E5"/>
    <w:rsid w:val="005E5147"/>
    <w:rsid w:val="005E51A8"/>
    <w:rsid w:val="005E524C"/>
    <w:rsid w:val="005E5403"/>
    <w:rsid w:val="005E543A"/>
    <w:rsid w:val="005E5483"/>
    <w:rsid w:val="005E5780"/>
    <w:rsid w:val="005E59F8"/>
    <w:rsid w:val="005E5BE5"/>
    <w:rsid w:val="005E5DA4"/>
    <w:rsid w:val="005E5E41"/>
    <w:rsid w:val="005E6333"/>
    <w:rsid w:val="005E66C7"/>
    <w:rsid w:val="005E66CF"/>
    <w:rsid w:val="005E67EF"/>
    <w:rsid w:val="005E6B24"/>
    <w:rsid w:val="005E6B48"/>
    <w:rsid w:val="005E6F34"/>
    <w:rsid w:val="005E6F95"/>
    <w:rsid w:val="005E7306"/>
    <w:rsid w:val="005E7697"/>
    <w:rsid w:val="005E7AA2"/>
    <w:rsid w:val="005E7DB1"/>
    <w:rsid w:val="005E7E3D"/>
    <w:rsid w:val="005F0065"/>
    <w:rsid w:val="005F007D"/>
    <w:rsid w:val="005F0114"/>
    <w:rsid w:val="005F01D4"/>
    <w:rsid w:val="005F0377"/>
    <w:rsid w:val="005F0439"/>
    <w:rsid w:val="005F06E2"/>
    <w:rsid w:val="005F096F"/>
    <w:rsid w:val="005F0981"/>
    <w:rsid w:val="005F0A0B"/>
    <w:rsid w:val="005F0A36"/>
    <w:rsid w:val="005F0A58"/>
    <w:rsid w:val="005F0B06"/>
    <w:rsid w:val="005F0BAA"/>
    <w:rsid w:val="005F0C47"/>
    <w:rsid w:val="005F0FA2"/>
    <w:rsid w:val="005F13AB"/>
    <w:rsid w:val="005F1458"/>
    <w:rsid w:val="005F1468"/>
    <w:rsid w:val="005F156C"/>
    <w:rsid w:val="005F161B"/>
    <w:rsid w:val="005F16F6"/>
    <w:rsid w:val="005F170C"/>
    <w:rsid w:val="005F1726"/>
    <w:rsid w:val="005F18F2"/>
    <w:rsid w:val="005F1A3E"/>
    <w:rsid w:val="005F1AE4"/>
    <w:rsid w:val="005F1BA4"/>
    <w:rsid w:val="005F1BFA"/>
    <w:rsid w:val="005F1C29"/>
    <w:rsid w:val="005F1D6B"/>
    <w:rsid w:val="005F1D8D"/>
    <w:rsid w:val="005F1EA0"/>
    <w:rsid w:val="005F2783"/>
    <w:rsid w:val="005F296B"/>
    <w:rsid w:val="005F2A3E"/>
    <w:rsid w:val="005F2BA7"/>
    <w:rsid w:val="005F2C68"/>
    <w:rsid w:val="005F2C83"/>
    <w:rsid w:val="005F2E30"/>
    <w:rsid w:val="005F2F32"/>
    <w:rsid w:val="005F3012"/>
    <w:rsid w:val="005F303F"/>
    <w:rsid w:val="005F3113"/>
    <w:rsid w:val="005F31CD"/>
    <w:rsid w:val="005F3259"/>
    <w:rsid w:val="005F3464"/>
    <w:rsid w:val="005F3500"/>
    <w:rsid w:val="005F357E"/>
    <w:rsid w:val="005F35DF"/>
    <w:rsid w:val="005F3636"/>
    <w:rsid w:val="005F36BC"/>
    <w:rsid w:val="005F378D"/>
    <w:rsid w:val="005F37AE"/>
    <w:rsid w:val="005F3849"/>
    <w:rsid w:val="005F38DB"/>
    <w:rsid w:val="005F3904"/>
    <w:rsid w:val="005F3A38"/>
    <w:rsid w:val="005F3ABD"/>
    <w:rsid w:val="005F3AC9"/>
    <w:rsid w:val="005F3B41"/>
    <w:rsid w:val="005F3C20"/>
    <w:rsid w:val="005F3C2C"/>
    <w:rsid w:val="005F3CB0"/>
    <w:rsid w:val="005F3D4C"/>
    <w:rsid w:val="005F3FCA"/>
    <w:rsid w:val="005F43D8"/>
    <w:rsid w:val="005F44D1"/>
    <w:rsid w:val="005F4593"/>
    <w:rsid w:val="005F4659"/>
    <w:rsid w:val="005F46AB"/>
    <w:rsid w:val="005F473F"/>
    <w:rsid w:val="005F4775"/>
    <w:rsid w:val="005F47EA"/>
    <w:rsid w:val="005F482D"/>
    <w:rsid w:val="005F4944"/>
    <w:rsid w:val="005F499D"/>
    <w:rsid w:val="005F4A91"/>
    <w:rsid w:val="005F4B5B"/>
    <w:rsid w:val="005F4BC7"/>
    <w:rsid w:val="005F4C90"/>
    <w:rsid w:val="005F4D53"/>
    <w:rsid w:val="005F4E4D"/>
    <w:rsid w:val="005F4F24"/>
    <w:rsid w:val="005F502A"/>
    <w:rsid w:val="005F50C3"/>
    <w:rsid w:val="005F528F"/>
    <w:rsid w:val="005F535E"/>
    <w:rsid w:val="005F53A2"/>
    <w:rsid w:val="005F54D0"/>
    <w:rsid w:val="005F5730"/>
    <w:rsid w:val="005F57C1"/>
    <w:rsid w:val="005F5B01"/>
    <w:rsid w:val="005F5CA1"/>
    <w:rsid w:val="005F5D17"/>
    <w:rsid w:val="005F5EE1"/>
    <w:rsid w:val="005F60DD"/>
    <w:rsid w:val="005F6209"/>
    <w:rsid w:val="005F624D"/>
    <w:rsid w:val="005F625C"/>
    <w:rsid w:val="005F6271"/>
    <w:rsid w:val="005F62C9"/>
    <w:rsid w:val="005F62CD"/>
    <w:rsid w:val="005F632C"/>
    <w:rsid w:val="005F63CC"/>
    <w:rsid w:val="005F6608"/>
    <w:rsid w:val="005F6868"/>
    <w:rsid w:val="005F68B9"/>
    <w:rsid w:val="005F68E9"/>
    <w:rsid w:val="005F6962"/>
    <w:rsid w:val="005F6A4E"/>
    <w:rsid w:val="005F6A5B"/>
    <w:rsid w:val="005F6AC4"/>
    <w:rsid w:val="005F6C5A"/>
    <w:rsid w:val="005F70C7"/>
    <w:rsid w:val="005F7344"/>
    <w:rsid w:val="005F7396"/>
    <w:rsid w:val="005F75A7"/>
    <w:rsid w:val="005F7665"/>
    <w:rsid w:val="005F780B"/>
    <w:rsid w:val="005F793C"/>
    <w:rsid w:val="005F7A9E"/>
    <w:rsid w:val="005F7B9F"/>
    <w:rsid w:val="005F7C94"/>
    <w:rsid w:val="005F7CF0"/>
    <w:rsid w:val="005F7F6D"/>
    <w:rsid w:val="00600036"/>
    <w:rsid w:val="00600194"/>
    <w:rsid w:val="00600296"/>
    <w:rsid w:val="00600402"/>
    <w:rsid w:val="00600437"/>
    <w:rsid w:val="00600664"/>
    <w:rsid w:val="006007F3"/>
    <w:rsid w:val="0060081F"/>
    <w:rsid w:val="006008A3"/>
    <w:rsid w:val="00600902"/>
    <w:rsid w:val="00600A94"/>
    <w:rsid w:val="00600B0E"/>
    <w:rsid w:val="00600EA0"/>
    <w:rsid w:val="00600F31"/>
    <w:rsid w:val="00600FF2"/>
    <w:rsid w:val="0060104F"/>
    <w:rsid w:val="0060108E"/>
    <w:rsid w:val="006010CC"/>
    <w:rsid w:val="006010E7"/>
    <w:rsid w:val="0060112E"/>
    <w:rsid w:val="006011B3"/>
    <w:rsid w:val="006011D9"/>
    <w:rsid w:val="0060139D"/>
    <w:rsid w:val="006013D7"/>
    <w:rsid w:val="006014E0"/>
    <w:rsid w:val="00601569"/>
    <w:rsid w:val="0060166F"/>
    <w:rsid w:val="006016DC"/>
    <w:rsid w:val="006019B9"/>
    <w:rsid w:val="00601A87"/>
    <w:rsid w:val="00601C51"/>
    <w:rsid w:val="00601DB6"/>
    <w:rsid w:val="00601E15"/>
    <w:rsid w:val="00601E43"/>
    <w:rsid w:val="00601E76"/>
    <w:rsid w:val="00601EE8"/>
    <w:rsid w:val="006020C3"/>
    <w:rsid w:val="0060224A"/>
    <w:rsid w:val="00602253"/>
    <w:rsid w:val="00602285"/>
    <w:rsid w:val="00602410"/>
    <w:rsid w:val="00602428"/>
    <w:rsid w:val="006024AB"/>
    <w:rsid w:val="00602522"/>
    <w:rsid w:val="0060256D"/>
    <w:rsid w:val="0060257D"/>
    <w:rsid w:val="006025D3"/>
    <w:rsid w:val="006026E5"/>
    <w:rsid w:val="00602930"/>
    <w:rsid w:val="006029D5"/>
    <w:rsid w:val="00602C06"/>
    <w:rsid w:val="00602EDB"/>
    <w:rsid w:val="006030B7"/>
    <w:rsid w:val="00603106"/>
    <w:rsid w:val="006031CD"/>
    <w:rsid w:val="00603264"/>
    <w:rsid w:val="00603277"/>
    <w:rsid w:val="0060331E"/>
    <w:rsid w:val="0060344F"/>
    <w:rsid w:val="00603571"/>
    <w:rsid w:val="00603690"/>
    <w:rsid w:val="006036F2"/>
    <w:rsid w:val="006037BD"/>
    <w:rsid w:val="00603AC1"/>
    <w:rsid w:val="00603AF3"/>
    <w:rsid w:val="00603E50"/>
    <w:rsid w:val="00603EAD"/>
    <w:rsid w:val="0060426C"/>
    <w:rsid w:val="00604278"/>
    <w:rsid w:val="006042DC"/>
    <w:rsid w:val="006043F9"/>
    <w:rsid w:val="00604507"/>
    <w:rsid w:val="00604538"/>
    <w:rsid w:val="006046DE"/>
    <w:rsid w:val="00604AA0"/>
    <w:rsid w:val="00604BC0"/>
    <w:rsid w:val="00604C16"/>
    <w:rsid w:val="00604C21"/>
    <w:rsid w:val="00604C86"/>
    <w:rsid w:val="00604CD3"/>
    <w:rsid w:val="00604E25"/>
    <w:rsid w:val="00604E3A"/>
    <w:rsid w:val="00604F40"/>
    <w:rsid w:val="00604FC7"/>
    <w:rsid w:val="00605401"/>
    <w:rsid w:val="006054C7"/>
    <w:rsid w:val="00605579"/>
    <w:rsid w:val="00605857"/>
    <w:rsid w:val="00605A67"/>
    <w:rsid w:val="00605B95"/>
    <w:rsid w:val="00605BEB"/>
    <w:rsid w:val="00605C01"/>
    <w:rsid w:val="00605CAB"/>
    <w:rsid w:val="00605D02"/>
    <w:rsid w:val="00605DE8"/>
    <w:rsid w:val="00605F24"/>
    <w:rsid w:val="00605FD2"/>
    <w:rsid w:val="0060608A"/>
    <w:rsid w:val="006060C6"/>
    <w:rsid w:val="00606118"/>
    <w:rsid w:val="00606165"/>
    <w:rsid w:val="00606390"/>
    <w:rsid w:val="0060640A"/>
    <w:rsid w:val="00606414"/>
    <w:rsid w:val="006064E2"/>
    <w:rsid w:val="00606532"/>
    <w:rsid w:val="00606586"/>
    <w:rsid w:val="006065A1"/>
    <w:rsid w:val="006067A8"/>
    <w:rsid w:val="00606850"/>
    <w:rsid w:val="00606BA5"/>
    <w:rsid w:val="00606F80"/>
    <w:rsid w:val="006071F9"/>
    <w:rsid w:val="00607350"/>
    <w:rsid w:val="0060744C"/>
    <w:rsid w:val="0060759F"/>
    <w:rsid w:val="00607699"/>
    <w:rsid w:val="0060770F"/>
    <w:rsid w:val="006077C2"/>
    <w:rsid w:val="006078A7"/>
    <w:rsid w:val="0060791A"/>
    <w:rsid w:val="00607AC9"/>
    <w:rsid w:val="00607C89"/>
    <w:rsid w:val="00607D26"/>
    <w:rsid w:val="00607EF3"/>
    <w:rsid w:val="00607FBC"/>
    <w:rsid w:val="006100EF"/>
    <w:rsid w:val="00610453"/>
    <w:rsid w:val="00610463"/>
    <w:rsid w:val="00610676"/>
    <w:rsid w:val="006109F6"/>
    <w:rsid w:val="00610A17"/>
    <w:rsid w:val="00610ACB"/>
    <w:rsid w:val="00610B32"/>
    <w:rsid w:val="00610B6E"/>
    <w:rsid w:val="00610C4D"/>
    <w:rsid w:val="00610CFA"/>
    <w:rsid w:val="00610D3C"/>
    <w:rsid w:val="00610F61"/>
    <w:rsid w:val="00611008"/>
    <w:rsid w:val="006110E2"/>
    <w:rsid w:val="00611153"/>
    <w:rsid w:val="00611223"/>
    <w:rsid w:val="00611301"/>
    <w:rsid w:val="00611440"/>
    <w:rsid w:val="0061150D"/>
    <w:rsid w:val="00611532"/>
    <w:rsid w:val="00611533"/>
    <w:rsid w:val="00611555"/>
    <w:rsid w:val="006115EA"/>
    <w:rsid w:val="00611746"/>
    <w:rsid w:val="0061185C"/>
    <w:rsid w:val="006118B4"/>
    <w:rsid w:val="0061192B"/>
    <w:rsid w:val="00611970"/>
    <w:rsid w:val="006119B9"/>
    <w:rsid w:val="00611A16"/>
    <w:rsid w:val="00611A54"/>
    <w:rsid w:val="00611B08"/>
    <w:rsid w:val="00611C6F"/>
    <w:rsid w:val="00611DA5"/>
    <w:rsid w:val="00611DCC"/>
    <w:rsid w:val="00611E0F"/>
    <w:rsid w:val="00611E27"/>
    <w:rsid w:val="00612034"/>
    <w:rsid w:val="00612325"/>
    <w:rsid w:val="006123B7"/>
    <w:rsid w:val="00612447"/>
    <w:rsid w:val="006124EB"/>
    <w:rsid w:val="006124FF"/>
    <w:rsid w:val="00612592"/>
    <w:rsid w:val="00612647"/>
    <w:rsid w:val="00612678"/>
    <w:rsid w:val="0061270F"/>
    <w:rsid w:val="00612802"/>
    <w:rsid w:val="00612B32"/>
    <w:rsid w:val="00612CD0"/>
    <w:rsid w:val="00612CEC"/>
    <w:rsid w:val="00612D0B"/>
    <w:rsid w:val="00612F56"/>
    <w:rsid w:val="0061305B"/>
    <w:rsid w:val="00613279"/>
    <w:rsid w:val="0061341C"/>
    <w:rsid w:val="00613546"/>
    <w:rsid w:val="0061359E"/>
    <w:rsid w:val="006135D4"/>
    <w:rsid w:val="00613896"/>
    <w:rsid w:val="00613B5C"/>
    <w:rsid w:val="00613EB2"/>
    <w:rsid w:val="00613FF1"/>
    <w:rsid w:val="00614115"/>
    <w:rsid w:val="00614194"/>
    <w:rsid w:val="00614211"/>
    <w:rsid w:val="00614309"/>
    <w:rsid w:val="00614343"/>
    <w:rsid w:val="00614477"/>
    <w:rsid w:val="006145AF"/>
    <w:rsid w:val="006146A7"/>
    <w:rsid w:val="006146D0"/>
    <w:rsid w:val="0061474C"/>
    <w:rsid w:val="00614832"/>
    <w:rsid w:val="00614857"/>
    <w:rsid w:val="006149AB"/>
    <w:rsid w:val="00614A8C"/>
    <w:rsid w:val="00614C9E"/>
    <w:rsid w:val="00614E06"/>
    <w:rsid w:val="00614EB9"/>
    <w:rsid w:val="00614FA5"/>
    <w:rsid w:val="00615209"/>
    <w:rsid w:val="006152FD"/>
    <w:rsid w:val="0061541E"/>
    <w:rsid w:val="006157C8"/>
    <w:rsid w:val="00615865"/>
    <w:rsid w:val="0061586B"/>
    <w:rsid w:val="0061596D"/>
    <w:rsid w:val="00615980"/>
    <w:rsid w:val="00615989"/>
    <w:rsid w:val="00615AEA"/>
    <w:rsid w:val="00615B58"/>
    <w:rsid w:val="00615B95"/>
    <w:rsid w:val="00615C25"/>
    <w:rsid w:val="00615D95"/>
    <w:rsid w:val="00615DCA"/>
    <w:rsid w:val="00615E04"/>
    <w:rsid w:val="00615E87"/>
    <w:rsid w:val="00615F9F"/>
    <w:rsid w:val="00615FCF"/>
    <w:rsid w:val="0061615B"/>
    <w:rsid w:val="0061623E"/>
    <w:rsid w:val="0061624F"/>
    <w:rsid w:val="00616352"/>
    <w:rsid w:val="006163C0"/>
    <w:rsid w:val="0061658C"/>
    <w:rsid w:val="006165E2"/>
    <w:rsid w:val="006165F0"/>
    <w:rsid w:val="00616695"/>
    <w:rsid w:val="006166D9"/>
    <w:rsid w:val="006166EA"/>
    <w:rsid w:val="00616706"/>
    <w:rsid w:val="00616725"/>
    <w:rsid w:val="006168A3"/>
    <w:rsid w:val="00616927"/>
    <w:rsid w:val="00616AD9"/>
    <w:rsid w:val="00616BBC"/>
    <w:rsid w:val="00616CD8"/>
    <w:rsid w:val="00616D0A"/>
    <w:rsid w:val="00616D50"/>
    <w:rsid w:val="00616E7D"/>
    <w:rsid w:val="00616EA1"/>
    <w:rsid w:val="00616F10"/>
    <w:rsid w:val="0061700E"/>
    <w:rsid w:val="006171C5"/>
    <w:rsid w:val="006171DE"/>
    <w:rsid w:val="0061740F"/>
    <w:rsid w:val="00617411"/>
    <w:rsid w:val="00617445"/>
    <w:rsid w:val="0061744E"/>
    <w:rsid w:val="0061752E"/>
    <w:rsid w:val="006175F3"/>
    <w:rsid w:val="00617756"/>
    <w:rsid w:val="00617783"/>
    <w:rsid w:val="0061788D"/>
    <w:rsid w:val="006178C5"/>
    <w:rsid w:val="00617981"/>
    <w:rsid w:val="00617A69"/>
    <w:rsid w:val="00617D21"/>
    <w:rsid w:val="00617E4A"/>
    <w:rsid w:val="00617E59"/>
    <w:rsid w:val="00620026"/>
    <w:rsid w:val="0062003A"/>
    <w:rsid w:val="0062006C"/>
    <w:rsid w:val="006200CD"/>
    <w:rsid w:val="00620161"/>
    <w:rsid w:val="0062027D"/>
    <w:rsid w:val="00620372"/>
    <w:rsid w:val="00620525"/>
    <w:rsid w:val="006205A3"/>
    <w:rsid w:val="0062069C"/>
    <w:rsid w:val="00620791"/>
    <w:rsid w:val="00620866"/>
    <w:rsid w:val="00620973"/>
    <w:rsid w:val="00620A0F"/>
    <w:rsid w:val="00620A8B"/>
    <w:rsid w:val="00620AA3"/>
    <w:rsid w:val="00620ADE"/>
    <w:rsid w:val="00620B19"/>
    <w:rsid w:val="00620D8A"/>
    <w:rsid w:val="00620E1D"/>
    <w:rsid w:val="006210C5"/>
    <w:rsid w:val="00621216"/>
    <w:rsid w:val="0062127C"/>
    <w:rsid w:val="006212B0"/>
    <w:rsid w:val="006213A0"/>
    <w:rsid w:val="006216B0"/>
    <w:rsid w:val="0062173A"/>
    <w:rsid w:val="0062178B"/>
    <w:rsid w:val="006218A6"/>
    <w:rsid w:val="006218A8"/>
    <w:rsid w:val="006219B3"/>
    <w:rsid w:val="006219D9"/>
    <w:rsid w:val="00621B67"/>
    <w:rsid w:val="00621B74"/>
    <w:rsid w:val="00621C7D"/>
    <w:rsid w:val="00621FB8"/>
    <w:rsid w:val="00622017"/>
    <w:rsid w:val="00622230"/>
    <w:rsid w:val="00622358"/>
    <w:rsid w:val="006225F1"/>
    <w:rsid w:val="006227BD"/>
    <w:rsid w:val="00622856"/>
    <w:rsid w:val="006228D8"/>
    <w:rsid w:val="0062295E"/>
    <w:rsid w:val="00622B8F"/>
    <w:rsid w:val="00622CFE"/>
    <w:rsid w:val="00622D10"/>
    <w:rsid w:val="00622FF8"/>
    <w:rsid w:val="006230BF"/>
    <w:rsid w:val="006230D7"/>
    <w:rsid w:val="00623270"/>
    <w:rsid w:val="0062330B"/>
    <w:rsid w:val="006233DE"/>
    <w:rsid w:val="006234A2"/>
    <w:rsid w:val="00623562"/>
    <w:rsid w:val="006236B2"/>
    <w:rsid w:val="006236C8"/>
    <w:rsid w:val="0062376F"/>
    <w:rsid w:val="006238E2"/>
    <w:rsid w:val="006239BB"/>
    <w:rsid w:val="006239F2"/>
    <w:rsid w:val="00623AD4"/>
    <w:rsid w:val="00623BE1"/>
    <w:rsid w:val="00624060"/>
    <w:rsid w:val="00624164"/>
    <w:rsid w:val="00624207"/>
    <w:rsid w:val="00624297"/>
    <w:rsid w:val="006243A7"/>
    <w:rsid w:val="00624426"/>
    <w:rsid w:val="0062450F"/>
    <w:rsid w:val="00624545"/>
    <w:rsid w:val="006247D5"/>
    <w:rsid w:val="0062487C"/>
    <w:rsid w:val="00624885"/>
    <w:rsid w:val="006248D5"/>
    <w:rsid w:val="00624985"/>
    <w:rsid w:val="00624A09"/>
    <w:rsid w:val="00624D3B"/>
    <w:rsid w:val="00624E0A"/>
    <w:rsid w:val="00624FF2"/>
    <w:rsid w:val="006250E3"/>
    <w:rsid w:val="0062518F"/>
    <w:rsid w:val="00625287"/>
    <w:rsid w:val="00625441"/>
    <w:rsid w:val="0062573E"/>
    <w:rsid w:val="006259BC"/>
    <w:rsid w:val="00625A27"/>
    <w:rsid w:val="00625AAF"/>
    <w:rsid w:val="00625B7A"/>
    <w:rsid w:val="00625B83"/>
    <w:rsid w:val="00625CAA"/>
    <w:rsid w:val="00625CD5"/>
    <w:rsid w:val="00625D15"/>
    <w:rsid w:val="00625E94"/>
    <w:rsid w:val="00625EB8"/>
    <w:rsid w:val="00625EE8"/>
    <w:rsid w:val="00626051"/>
    <w:rsid w:val="0062618A"/>
    <w:rsid w:val="006262FA"/>
    <w:rsid w:val="006263D2"/>
    <w:rsid w:val="006264F8"/>
    <w:rsid w:val="0062657A"/>
    <w:rsid w:val="006266D8"/>
    <w:rsid w:val="00626746"/>
    <w:rsid w:val="0062687A"/>
    <w:rsid w:val="006268D0"/>
    <w:rsid w:val="006268F0"/>
    <w:rsid w:val="0062697B"/>
    <w:rsid w:val="0062697C"/>
    <w:rsid w:val="006269BA"/>
    <w:rsid w:val="00626A88"/>
    <w:rsid w:val="00626AFB"/>
    <w:rsid w:val="00626AFE"/>
    <w:rsid w:val="00626B5D"/>
    <w:rsid w:val="00626BFE"/>
    <w:rsid w:val="00626CAF"/>
    <w:rsid w:val="00626D6A"/>
    <w:rsid w:val="00626FBC"/>
    <w:rsid w:val="00627237"/>
    <w:rsid w:val="00627293"/>
    <w:rsid w:val="0062740D"/>
    <w:rsid w:val="006275A2"/>
    <w:rsid w:val="006275A5"/>
    <w:rsid w:val="0062760B"/>
    <w:rsid w:val="006276AE"/>
    <w:rsid w:val="006277E3"/>
    <w:rsid w:val="00627A28"/>
    <w:rsid w:val="00627AF0"/>
    <w:rsid w:val="00627AFC"/>
    <w:rsid w:val="00627B32"/>
    <w:rsid w:val="00627B47"/>
    <w:rsid w:val="00627C17"/>
    <w:rsid w:val="00627EEE"/>
    <w:rsid w:val="00627EF3"/>
    <w:rsid w:val="00627EFB"/>
    <w:rsid w:val="00627FF9"/>
    <w:rsid w:val="006301A2"/>
    <w:rsid w:val="00630223"/>
    <w:rsid w:val="0063022D"/>
    <w:rsid w:val="00630237"/>
    <w:rsid w:val="00630459"/>
    <w:rsid w:val="006304C1"/>
    <w:rsid w:val="006306EE"/>
    <w:rsid w:val="0063087A"/>
    <w:rsid w:val="0063092D"/>
    <w:rsid w:val="00630AA5"/>
    <w:rsid w:val="00630AFD"/>
    <w:rsid w:val="00630B1A"/>
    <w:rsid w:val="00630C39"/>
    <w:rsid w:val="00630C86"/>
    <w:rsid w:val="00630D4C"/>
    <w:rsid w:val="00630D63"/>
    <w:rsid w:val="00630E1A"/>
    <w:rsid w:val="00630E1E"/>
    <w:rsid w:val="00630F61"/>
    <w:rsid w:val="00631020"/>
    <w:rsid w:val="00631100"/>
    <w:rsid w:val="0063116B"/>
    <w:rsid w:val="006311DB"/>
    <w:rsid w:val="006311F7"/>
    <w:rsid w:val="00631269"/>
    <w:rsid w:val="006312B4"/>
    <w:rsid w:val="006312F5"/>
    <w:rsid w:val="0063132E"/>
    <w:rsid w:val="006314BC"/>
    <w:rsid w:val="00631594"/>
    <w:rsid w:val="0063160B"/>
    <w:rsid w:val="006316B9"/>
    <w:rsid w:val="006316D7"/>
    <w:rsid w:val="0063195B"/>
    <w:rsid w:val="00631BF6"/>
    <w:rsid w:val="00631DB2"/>
    <w:rsid w:val="00631F14"/>
    <w:rsid w:val="0063200D"/>
    <w:rsid w:val="00632080"/>
    <w:rsid w:val="0063217F"/>
    <w:rsid w:val="006323AB"/>
    <w:rsid w:val="00632571"/>
    <w:rsid w:val="006327E4"/>
    <w:rsid w:val="00632C10"/>
    <w:rsid w:val="00632C2B"/>
    <w:rsid w:val="00632D27"/>
    <w:rsid w:val="00632DD2"/>
    <w:rsid w:val="00632DFE"/>
    <w:rsid w:val="006331A0"/>
    <w:rsid w:val="006331C0"/>
    <w:rsid w:val="006331E1"/>
    <w:rsid w:val="0063324F"/>
    <w:rsid w:val="00633262"/>
    <w:rsid w:val="0063327A"/>
    <w:rsid w:val="0063345B"/>
    <w:rsid w:val="006334A1"/>
    <w:rsid w:val="006334C5"/>
    <w:rsid w:val="00633506"/>
    <w:rsid w:val="00633766"/>
    <w:rsid w:val="00633997"/>
    <w:rsid w:val="006339E5"/>
    <w:rsid w:val="00633A65"/>
    <w:rsid w:val="00633B88"/>
    <w:rsid w:val="00633D45"/>
    <w:rsid w:val="00633D77"/>
    <w:rsid w:val="00633DD3"/>
    <w:rsid w:val="00634006"/>
    <w:rsid w:val="0063416E"/>
    <w:rsid w:val="00634197"/>
    <w:rsid w:val="00634291"/>
    <w:rsid w:val="00634555"/>
    <w:rsid w:val="00634671"/>
    <w:rsid w:val="0063475B"/>
    <w:rsid w:val="00634828"/>
    <w:rsid w:val="00634829"/>
    <w:rsid w:val="006348D6"/>
    <w:rsid w:val="00634962"/>
    <w:rsid w:val="006349AE"/>
    <w:rsid w:val="00634B39"/>
    <w:rsid w:val="00634B74"/>
    <w:rsid w:val="00634D04"/>
    <w:rsid w:val="00634DA1"/>
    <w:rsid w:val="00634E07"/>
    <w:rsid w:val="00634E1C"/>
    <w:rsid w:val="00634FB5"/>
    <w:rsid w:val="00635058"/>
    <w:rsid w:val="006351B2"/>
    <w:rsid w:val="00635311"/>
    <w:rsid w:val="006353D9"/>
    <w:rsid w:val="006353E9"/>
    <w:rsid w:val="00635476"/>
    <w:rsid w:val="006354E9"/>
    <w:rsid w:val="00635500"/>
    <w:rsid w:val="00635550"/>
    <w:rsid w:val="00635666"/>
    <w:rsid w:val="00635791"/>
    <w:rsid w:val="006359D1"/>
    <w:rsid w:val="00635A12"/>
    <w:rsid w:val="00635A3F"/>
    <w:rsid w:val="00635AD5"/>
    <w:rsid w:val="00635AFE"/>
    <w:rsid w:val="00635B0F"/>
    <w:rsid w:val="00635D71"/>
    <w:rsid w:val="00635E0C"/>
    <w:rsid w:val="00635E37"/>
    <w:rsid w:val="00636098"/>
    <w:rsid w:val="0063630E"/>
    <w:rsid w:val="00636326"/>
    <w:rsid w:val="0063634C"/>
    <w:rsid w:val="00636566"/>
    <w:rsid w:val="0063665D"/>
    <w:rsid w:val="006367EE"/>
    <w:rsid w:val="006369FF"/>
    <w:rsid w:val="00636DA4"/>
    <w:rsid w:val="00636DF9"/>
    <w:rsid w:val="006370CC"/>
    <w:rsid w:val="006370FC"/>
    <w:rsid w:val="006371B6"/>
    <w:rsid w:val="00637215"/>
    <w:rsid w:val="00637376"/>
    <w:rsid w:val="00637436"/>
    <w:rsid w:val="00637444"/>
    <w:rsid w:val="006374C1"/>
    <w:rsid w:val="00637537"/>
    <w:rsid w:val="0063777F"/>
    <w:rsid w:val="006379A5"/>
    <w:rsid w:val="006379DD"/>
    <w:rsid w:val="00637A7E"/>
    <w:rsid w:val="00637C51"/>
    <w:rsid w:val="00637CA8"/>
    <w:rsid w:val="00637D26"/>
    <w:rsid w:val="00637FA7"/>
    <w:rsid w:val="006401E6"/>
    <w:rsid w:val="00640220"/>
    <w:rsid w:val="0064032E"/>
    <w:rsid w:val="00640383"/>
    <w:rsid w:val="006403A7"/>
    <w:rsid w:val="006404B8"/>
    <w:rsid w:val="00640551"/>
    <w:rsid w:val="0064058C"/>
    <w:rsid w:val="006405A5"/>
    <w:rsid w:val="0064066B"/>
    <w:rsid w:val="00640868"/>
    <w:rsid w:val="00640A80"/>
    <w:rsid w:val="00640AB4"/>
    <w:rsid w:val="00640AB6"/>
    <w:rsid w:val="00640D1D"/>
    <w:rsid w:val="00640E92"/>
    <w:rsid w:val="00640FD5"/>
    <w:rsid w:val="006410CB"/>
    <w:rsid w:val="0064110A"/>
    <w:rsid w:val="006412F3"/>
    <w:rsid w:val="00641455"/>
    <w:rsid w:val="0064146E"/>
    <w:rsid w:val="006415FF"/>
    <w:rsid w:val="00641661"/>
    <w:rsid w:val="0064176E"/>
    <w:rsid w:val="00641796"/>
    <w:rsid w:val="006418CA"/>
    <w:rsid w:val="00641AA7"/>
    <w:rsid w:val="00641AB8"/>
    <w:rsid w:val="00641B40"/>
    <w:rsid w:val="00641B80"/>
    <w:rsid w:val="00641CDA"/>
    <w:rsid w:val="00641D4F"/>
    <w:rsid w:val="00641D66"/>
    <w:rsid w:val="00641EF8"/>
    <w:rsid w:val="006420E9"/>
    <w:rsid w:val="006420EF"/>
    <w:rsid w:val="0064212B"/>
    <w:rsid w:val="00642423"/>
    <w:rsid w:val="006424B2"/>
    <w:rsid w:val="00642697"/>
    <w:rsid w:val="006426CA"/>
    <w:rsid w:val="006426DF"/>
    <w:rsid w:val="0064275C"/>
    <w:rsid w:val="006427C3"/>
    <w:rsid w:val="00642925"/>
    <w:rsid w:val="006429D1"/>
    <w:rsid w:val="00642A02"/>
    <w:rsid w:val="00642A70"/>
    <w:rsid w:val="00642BAD"/>
    <w:rsid w:val="00642CD9"/>
    <w:rsid w:val="00642F23"/>
    <w:rsid w:val="00642F95"/>
    <w:rsid w:val="00643049"/>
    <w:rsid w:val="0064317A"/>
    <w:rsid w:val="00643281"/>
    <w:rsid w:val="00643311"/>
    <w:rsid w:val="006434B3"/>
    <w:rsid w:val="0064359F"/>
    <w:rsid w:val="00643684"/>
    <w:rsid w:val="0064368B"/>
    <w:rsid w:val="0064378E"/>
    <w:rsid w:val="00643792"/>
    <w:rsid w:val="006437D4"/>
    <w:rsid w:val="006437F3"/>
    <w:rsid w:val="006438DD"/>
    <w:rsid w:val="00643941"/>
    <w:rsid w:val="006439B6"/>
    <w:rsid w:val="00643A2C"/>
    <w:rsid w:val="00643A6F"/>
    <w:rsid w:val="00643A7A"/>
    <w:rsid w:val="00643B6D"/>
    <w:rsid w:val="00643C9B"/>
    <w:rsid w:val="00643D2A"/>
    <w:rsid w:val="00643D3E"/>
    <w:rsid w:val="00643DA5"/>
    <w:rsid w:val="00643E66"/>
    <w:rsid w:val="00643E8F"/>
    <w:rsid w:val="0064422F"/>
    <w:rsid w:val="00644272"/>
    <w:rsid w:val="006443AB"/>
    <w:rsid w:val="00644409"/>
    <w:rsid w:val="00644425"/>
    <w:rsid w:val="0064442A"/>
    <w:rsid w:val="00644433"/>
    <w:rsid w:val="00644535"/>
    <w:rsid w:val="006446A6"/>
    <w:rsid w:val="00644735"/>
    <w:rsid w:val="00644769"/>
    <w:rsid w:val="006447EC"/>
    <w:rsid w:val="00644841"/>
    <w:rsid w:val="00644901"/>
    <w:rsid w:val="0064491F"/>
    <w:rsid w:val="00644982"/>
    <w:rsid w:val="00644BF1"/>
    <w:rsid w:val="00644F25"/>
    <w:rsid w:val="00644FE0"/>
    <w:rsid w:val="0064500B"/>
    <w:rsid w:val="00645071"/>
    <w:rsid w:val="006452BA"/>
    <w:rsid w:val="006452CA"/>
    <w:rsid w:val="0064538A"/>
    <w:rsid w:val="0064539D"/>
    <w:rsid w:val="00645524"/>
    <w:rsid w:val="006455BA"/>
    <w:rsid w:val="00645804"/>
    <w:rsid w:val="006458E9"/>
    <w:rsid w:val="00645901"/>
    <w:rsid w:val="00645B71"/>
    <w:rsid w:val="00645BE1"/>
    <w:rsid w:val="00645C7B"/>
    <w:rsid w:val="00646044"/>
    <w:rsid w:val="00646175"/>
    <w:rsid w:val="006463BE"/>
    <w:rsid w:val="00646436"/>
    <w:rsid w:val="00646479"/>
    <w:rsid w:val="0064661E"/>
    <w:rsid w:val="0064674A"/>
    <w:rsid w:val="00646786"/>
    <w:rsid w:val="006467EC"/>
    <w:rsid w:val="006468CE"/>
    <w:rsid w:val="00646AD0"/>
    <w:rsid w:val="00646ADE"/>
    <w:rsid w:val="00646B12"/>
    <w:rsid w:val="00646C0B"/>
    <w:rsid w:val="00646CEE"/>
    <w:rsid w:val="00646E30"/>
    <w:rsid w:val="00646E76"/>
    <w:rsid w:val="00647171"/>
    <w:rsid w:val="00647255"/>
    <w:rsid w:val="006472EA"/>
    <w:rsid w:val="00647459"/>
    <w:rsid w:val="0064773F"/>
    <w:rsid w:val="00647742"/>
    <w:rsid w:val="00647940"/>
    <w:rsid w:val="0064798B"/>
    <w:rsid w:val="00647A1E"/>
    <w:rsid w:val="00647B33"/>
    <w:rsid w:val="00647C91"/>
    <w:rsid w:val="00647D5E"/>
    <w:rsid w:val="00647DC1"/>
    <w:rsid w:val="00647E52"/>
    <w:rsid w:val="00647F12"/>
    <w:rsid w:val="00647FB4"/>
    <w:rsid w:val="00647FF3"/>
    <w:rsid w:val="00650042"/>
    <w:rsid w:val="00650061"/>
    <w:rsid w:val="00650117"/>
    <w:rsid w:val="00650151"/>
    <w:rsid w:val="006502D1"/>
    <w:rsid w:val="00650747"/>
    <w:rsid w:val="00650754"/>
    <w:rsid w:val="00650766"/>
    <w:rsid w:val="00650841"/>
    <w:rsid w:val="00650848"/>
    <w:rsid w:val="006508F7"/>
    <w:rsid w:val="00650A6F"/>
    <w:rsid w:val="00650A8F"/>
    <w:rsid w:val="00650BBC"/>
    <w:rsid w:val="00650C24"/>
    <w:rsid w:val="00650C63"/>
    <w:rsid w:val="00650D8A"/>
    <w:rsid w:val="00650DD4"/>
    <w:rsid w:val="00650F99"/>
    <w:rsid w:val="00651045"/>
    <w:rsid w:val="00651116"/>
    <w:rsid w:val="00651179"/>
    <w:rsid w:val="006513EF"/>
    <w:rsid w:val="0065149B"/>
    <w:rsid w:val="006514D6"/>
    <w:rsid w:val="00651518"/>
    <w:rsid w:val="006515C4"/>
    <w:rsid w:val="00651676"/>
    <w:rsid w:val="0065173F"/>
    <w:rsid w:val="006518BC"/>
    <w:rsid w:val="00651902"/>
    <w:rsid w:val="00651A56"/>
    <w:rsid w:val="00651AF0"/>
    <w:rsid w:val="00651B49"/>
    <w:rsid w:val="00651B70"/>
    <w:rsid w:val="00651C6D"/>
    <w:rsid w:val="00651C76"/>
    <w:rsid w:val="00651CDC"/>
    <w:rsid w:val="00651DFC"/>
    <w:rsid w:val="00652090"/>
    <w:rsid w:val="0065211D"/>
    <w:rsid w:val="00652135"/>
    <w:rsid w:val="0065214D"/>
    <w:rsid w:val="006522B1"/>
    <w:rsid w:val="0065231D"/>
    <w:rsid w:val="006526C9"/>
    <w:rsid w:val="006528D9"/>
    <w:rsid w:val="00652994"/>
    <w:rsid w:val="006529D2"/>
    <w:rsid w:val="006529F0"/>
    <w:rsid w:val="00652A08"/>
    <w:rsid w:val="00652A25"/>
    <w:rsid w:val="00652AD3"/>
    <w:rsid w:val="00652BF4"/>
    <w:rsid w:val="00652CCB"/>
    <w:rsid w:val="00652CCF"/>
    <w:rsid w:val="00652D06"/>
    <w:rsid w:val="00653609"/>
    <w:rsid w:val="00653641"/>
    <w:rsid w:val="006536C6"/>
    <w:rsid w:val="00653706"/>
    <w:rsid w:val="0065374B"/>
    <w:rsid w:val="006538B8"/>
    <w:rsid w:val="00653A23"/>
    <w:rsid w:val="00653AD7"/>
    <w:rsid w:val="00653C48"/>
    <w:rsid w:val="00653EB4"/>
    <w:rsid w:val="00653F60"/>
    <w:rsid w:val="00653FC2"/>
    <w:rsid w:val="00653FF9"/>
    <w:rsid w:val="006540C6"/>
    <w:rsid w:val="006540FF"/>
    <w:rsid w:val="006543F5"/>
    <w:rsid w:val="0065440B"/>
    <w:rsid w:val="0065440F"/>
    <w:rsid w:val="00654639"/>
    <w:rsid w:val="00654D4C"/>
    <w:rsid w:val="00654D6B"/>
    <w:rsid w:val="00654D9A"/>
    <w:rsid w:val="00654DCC"/>
    <w:rsid w:val="00654E99"/>
    <w:rsid w:val="00654EC1"/>
    <w:rsid w:val="00655045"/>
    <w:rsid w:val="006550A3"/>
    <w:rsid w:val="00655115"/>
    <w:rsid w:val="00655217"/>
    <w:rsid w:val="00655234"/>
    <w:rsid w:val="00655563"/>
    <w:rsid w:val="00655588"/>
    <w:rsid w:val="00655633"/>
    <w:rsid w:val="00655684"/>
    <w:rsid w:val="00655735"/>
    <w:rsid w:val="0065574F"/>
    <w:rsid w:val="00655870"/>
    <w:rsid w:val="0065589A"/>
    <w:rsid w:val="00655940"/>
    <w:rsid w:val="00655966"/>
    <w:rsid w:val="00655988"/>
    <w:rsid w:val="006559DD"/>
    <w:rsid w:val="00655BD0"/>
    <w:rsid w:val="00655E2E"/>
    <w:rsid w:val="00655F98"/>
    <w:rsid w:val="00655FD0"/>
    <w:rsid w:val="0065620F"/>
    <w:rsid w:val="00656254"/>
    <w:rsid w:val="00656312"/>
    <w:rsid w:val="00656402"/>
    <w:rsid w:val="00656444"/>
    <w:rsid w:val="00656508"/>
    <w:rsid w:val="0065677E"/>
    <w:rsid w:val="006567B0"/>
    <w:rsid w:val="00656804"/>
    <w:rsid w:val="0065680A"/>
    <w:rsid w:val="006568B0"/>
    <w:rsid w:val="006569AF"/>
    <w:rsid w:val="00656A11"/>
    <w:rsid w:val="00656AC7"/>
    <w:rsid w:val="00656B60"/>
    <w:rsid w:val="00656C15"/>
    <w:rsid w:val="00656DC5"/>
    <w:rsid w:val="00656F44"/>
    <w:rsid w:val="0065709B"/>
    <w:rsid w:val="0065711A"/>
    <w:rsid w:val="00657182"/>
    <w:rsid w:val="00657295"/>
    <w:rsid w:val="00657323"/>
    <w:rsid w:val="006573FA"/>
    <w:rsid w:val="006575E4"/>
    <w:rsid w:val="006575E5"/>
    <w:rsid w:val="006575F0"/>
    <w:rsid w:val="00657A1E"/>
    <w:rsid w:val="00657A77"/>
    <w:rsid w:val="00657B1C"/>
    <w:rsid w:val="00657B21"/>
    <w:rsid w:val="00657B43"/>
    <w:rsid w:val="00657C46"/>
    <w:rsid w:val="00657EE3"/>
    <w:rsid w:val="00657EEA"/>
    <w:rsid w:val="006601BE"/>
    <w:rsid w:val="006602AD"/>
    <w:rsid w:val="006602BE"/>
    <w:rsid w:val="00660324"/>
    <w:rsid w:val="006604B4"/>
    <w:rsid w:val="00660583"/>
    <w:rsid w:val="006605C8"/>
    <w:rsid w:val="006606F0"/>
    <w:rsid w:val="00660722"/>
    <w:rsid w:val="00660A09"/>
    <w:rsid w:val="00660A29"/>
    <w:rsid w:val="00660A43"/>
    <w:rsid w:val="00660DD1"/>
    <w:rsid w:val="00660FE5"/>
    <w:rsid w:val="006610F9"/>
    <w:rsid w:val="00661201"/>
    <w:rsid w:val="00661226"/>
    <w:rsid w:val="006614AC"/>
    <w:rsid w:val="00661592"/>
    <w:rsid w:val="00661679"/>
    <w:rsid w:val="006616A5"/>
    <w:rsid w:val="0066181D"/>
    <w:rsid w:val="0066194C"/>
    <w:rsid w:val="00661AFC"/>
    <w:rsid w:val="00661B14"/>
    <w:rsid w:val="00661C12"/>
    <w:rsid w:val="00661C9E"/>
    <w:rsid w:val="00661D11"/>
    <w:rsid w:val="00661E7C"/>
    <w:rsid w:val="00661F22"/>
    <w:rsid w:val="00662029"/>
    <w:rsid w:val="006620A9"/>
    <w:rsid w:val="006620EA"/>
    <w:rsid w:val="00662325"/>
    <w:rsid w:val="00662382"/>
    <w:rsid w:val="006623BC"/>
    <w:rsid w:val="006623FB"/>
    <w:rsid w:val="00662651"/>
    <w:rsid w:val="006626A0"/>
    <w:rsid w:val="006627E3"/>
    <w:rsid w:val="006627FC"/>
    <w:rsid w:val="00662917"/>
    <w:rsid w:val="00662B52"/>
    <w:rsid w:val="00662B66"/>
    <w:rsid w:val="00662C1A"/>
    <w:rsid w:val="00662F37"/>
    <w:rsid w:val="006633F6"/>
    <w:rsid w:val="00663422"/>
    <w:rsid w:val="00663532"/>
    <w:rsid w:val="00663548"/>
    <w:rsid w:val="006635CD"/>
    <w:rsid w:val="0066381D"/>
    <w:rsid w:val="0066392A"/>
    <w:rsid w:val="00663B6A"/>
    <w:rsid w:val="00663DB0"/>
    <w:rsid w:val="00663F2A"/>
    <w:rsid w:val="006640C2"/>
    <w:rsid w:val="006640D1"/>
    <w:rsid w:val="00664126"/>
    <w:rsid w:val="006641CA"/>
    <w:rsid w:val="006642AF"/>
    <w:rsid w:val="006642C6"/>
    <w:rsid w:val="00664307"/>
    <w:rsid w:val="00664347"/>
    <w:rsid w:val="00664364"/>
    <w:rsid w:val="00664381"/>
    <w:rsid w:val="0066447D"/>
    <w:rsid w:val="0066467E"/>
    <w:rsid w:val="00664686"/>
    <w:rsid w:val="00664864"/>
    <w:rsid w:val="0066492D"/>
    <w:rsid w:val="00664A2A"/>
    <w:rsid w:val="00664D69"/>
    <w:rsid w:val="00664DAB"/>
    <w:rsid w:val="00664DCB"/>
    <w:rsid w:val="00664E25"/>
    <w:rsid w:val="00664F1B"/>
    <w:rsid w:val="00664FF5"/>
    <w:rsid w:val="00665102"/>
    <w:rsid w:val="006652E2"/>
    <w:rsid w:val="0066530D"/>
    <w:rsid w:val="00665341"/>
    <w:rsid w:val="006653E1"/>
    <w:rsid w:val="00665444"/>
    <w:rsid w:val="00665597"/>
    <w:rsid w:val="006656EF"/>
    <w:rsid w:val="0066573A"/>
    <w:rsid w:val="00665ABA"/>
    <w:rsid w:val="00665B40"/>
    <w:rsid w:val="00665C94"/>
    <w:rsid w:val="00665D2F"/>
    <w:rsid w:val="00665E27"/>
    <w:rsid w:val="00665F9D"/>
    <w:rsid w:val="0066614D"/>
    <w:rsid w:val="006662F0"/>
    <w:rsid w:val="00666614"/>
    <w:rsid w:val="0066664A"/>
    <w:rsid w:val="006666B8"/>
    <w:rsid w:val="00666A0C"/>
    <w:rsid w:val="00666A24"/>
    <w:rsid w:val="00666BD7"/>
    <w:rsid w:val="00666EA2"/>
    <w:rsid w:val="00666FC9"/>
    <w:rsid w:val="0066708C"/>
    <w:rsid w:val="0066725B"/>
    <w:rsid w:val="00667284"/>
    <w:rsid w:val="00667437"/>
    <w:rsid w:val="00667518"/>
    <w:rsid w:val="006675D3"/>
    <w:rsid w:val="00667672"/>
    <w:rsid w:val="00667707"/>
    <w:rsid w:val="0066780D"/>
    <w:rsid w:val="0066791F"/>
    <w:rsid w:val="00667A4D"/>
    <w:rsid w:val="00670045"/>
    <w:rsid w:val="0067018D"/>
    <w:rsid w:val="006701CB"/>
    <w:rsid w:val="00670273"/>
    <w:rsid w:val="006702FF"/>
    <w:rsid w:val="0067030C"/>
    <w:rsid w:val="0067032D"/>
    <w:rsid w:val="00670380"/>
    <w:rsid w:val="006703E0"/>
    <w:rsid w:val="006706CF"/>
    <w:rsid w:val="0067081C"/>
    <w:rsid w:val="0067089F"/>
    <w:rsid w:val="00670911"/>
    <w:rsid w:val="00670920"/>
    <w:rsid w:val="00670A08"/>
    <w:rsid w:val="00670B77"/>
    <w:rsid w:val="00670C57"/>
    <w:rsid w:val="00670C92"/>
    <w:rsid w:val="00670DA9"/>
    <w:rsid w:val="00670E17"/>
    <w:rsid w:val="00670FAA"/>
    <w:rsid w:val="00671068"/>
    <w:rsid w:val="006710D7"/>
    <w:rsid w:val="00671247"/>
    <w:rsid w:val="00671259"/>
    <w:rsid w:val="006717C5"/>
    <w:rsid w:val="00671897"/>
    <w:rsid w:val="00671967"/>
    <w:rsid w:val="00671A41"/>
    <w:rsid w:val="00671AA7"/>
    <w:rsid w:val="00671AAF"/>
    <w:rsid w:val="00671B3C"/>
    <w:rsid w:val="00671B62"/>
    <w:rsid w:val="00671B9F"/>
    <w:rsid w:val="00671C75"/>
    <w:rsid w:val="00671F41"/>
    <w:rsid w:val="00671F65"/>
    <w:rsid w:val="00671F93"/>
    <w:rsid w:val="00671FF7"/>
    <w:rsid w:val="0067209F"/>
    <w:rsid w:val="00672113"/>
    <w:rsid w:val="006722A7"/>
    <w:rsid w:val="006723A1"/>
    <w:rsid w:val="00672500"/>
    <w:rsid w:val="006725B7"/>
    <w:rsid w:val="00672906"/>
    <w:rsid w:val="00672912"/>
    <w:rsid w:val="006729F3"/>
    <w:rsid w:val="00672A5D"/>
    <w:rsid w:val="00672AEB"/>
    <w:rsid w:val="00672AF1"/>
    <w:rsid w:val="00672D3A"/>
    <w:rsid w:val="00672DC0"/>
    <w:rsid w:val="00672EA2"/>
    <w:rsid w:val="00672F40"/>
    <w:rsid w:val="00672F5D"/>
    <w:rsid w:val="00672FD4"/>
    <w:rsid w:val="0067310F"/>
    <w:rsid w:val="0067316C"/>
    <w:rsid w:val="006731EF"/>
    <w:rsid w:val="00673225"/>
    <w:rsid w:val="006732F4"/>
    <w:rsid w:val="006732F7"/>
    <w:rsid w:val="0067333D"/>
    <w:rsid w:val="006733C2"/>
    <w:rsid w:val="00673421"/>
    <w:rsid w:val="006734F2"/>
    <w:rsid w:val="006736E0"/>
    <w:rsid w:val="006736F8"/>
    <w:rsid w:val="006738DB"/>
    <w:rsid w:val="006739D9"/>
    <w:rsid w:val="00673A3C"/>
    <w:rsid w:val="00673CD5"/>
    <w:rsid w:val="00673DFA"/>
    <w:rsid w:val="00673E14"/>
    <w:rsid w:val="00673E2B"/>
    <w:rsid w:val="00673EF1"/>
    <w:rsid w:val="00673F2A"/>
    <w:rsid w:val="006744EE"/>
    <w:rsid w:val="006747A8"/>
    <w:rsid w:val="00674806"/>
    <w:rsid w:val="00674872"/>
    <w:rsid w:val="006748F3"/>
    <w:rsid w:val="00674A18"/>
    <w:rsid w:val="00674A20"/>
    <w:rsid w:val="00674B12"/>
    <w:rsid w:val="00674BFA"/>
    <w:rsid w:val="00674C33"/>
    <w:rsid w:val="00674DF5"/>
    <w:rsid w:val="00674EA6"/>
    <w:rsid w:val="00675002"/>
    <w:rsid w:val="00675018"/>
    <w:rsid w:val="00675159"/>
    <w:rsid w:val="006751F3"/>
    <w:rsid w:val="006752AA"/>
    <w:rsid w:val="00675309"/>
    <w:rsid w:val="006753E0"/>
    <w:rsid w:val="00675403"/>
    <w:rsid w:val="0067548D"/>
    <w:rsid w:val="0067576E"/>
    <w:rsid w:val="00675ABF"/>
    <w:rsid w:val="00675AEA"/>
    <w:rsid w:val="00675B56"/>
    <w:rsid w:val="00675DA7"/>
    <w:rsid w:val="0067623E"/>
    <w:rsid w:val="006762B1"/>
    <w:rsid w:val="00676366"/>
    <w:rsid w:val="00676448"/>
    <w:rsid w:val="006765A1"/>
    <w:rsid w:val="006766A7"/>
    <w:rsid w:val="006766D6"/>
    <w:rsid w:val="006767B4"/>
    <w:rsid w:val="0067685E"/>
    <w:rsid w:val="006768D9"/>
    <w:rsid w:val="006769C1"/>
    <w:rsid w:val="006769D2"/>
    <w:rsid w:val="00676B3C"/>
    <w:rsid w:val="00676B55"/>
    <w:rsid w:val="00676BCD"/>
    <w:rsid w:val="00676D7D"/>
    <w:rsid w:val="00676DEA"/>
    <w:rsid w:val="00676E0A"/>
    <w:rsid w:val="00676E5A"/>
    <w:rsid w:val="00676E72"/>
    <w:rsid w:val="00676EBB"/>
    <w:rsid w:val="00676FEC"/>
    <w:rsid w:val="0067713B"/>
    <w:rsid w:val="00677274"/>
    <w:rsid w:val="00677281"/>
    <w:rsid w:val="00677323"/>
    <w:rsid w:val="0067739B"/>
    <w:rsid w:val="0067750C"/>
    <w:rsid w:val="00677571"/>
    <w:rsid w:val="006775ED"/>
    <w:rsid w:val="00677638"/>
    <w:rsid w:val="0067796A"/>
    <w:rsid w:val="00677B3E"/>
    <w:rsid w:val="00677B44"/>
    <w:rsid w:val="00677EB9"/>
    <w:rsid w:val="00680052"/>
    <w:rsid w:val="0068016B"/>
    <w:rsid w:val="006801A4"/>
    <w:rsid w:val="006801DF"/>
    <w:rsid w:val="0068020D"/>
    <w:rsid w:val="00680268"/>
    <w:rsid w:val="00680375"/>
    <w:rsid w:val="006803FE"/>
    <w:rsid w:val="0068056B"/>
    <w:rsid w:val="006805B6"/>
    <w:rsid w:val="0068062A"/>
    <w:rsid w:val="00680675"/>
    <w:rsid w:val="0068079E"/>
    <w:rsid w:val="006807A3"/>
    <w:rsid w:val="006807D8"/>
    <w:rsid w:val="006809C0"/>
    <w:rsid w:val="00680AC3"/>
    <w:rsid w:val="00680AF5"/>
    <w:rsid w:val="00680CD5"/>
    <w:rsid w:val="00680CDA"/>
    <w:rsid w:val="00680D58"/>
    <w:rsid w:val="00680DEC"/>
    <w:rsid w:val="00680EB9"/>
    <w:rsid w:val="00680EF2"/>
    <w:rsid w:val="00680F46"/>
    <w:rsid w:val="006810B1"/>
    <w:rsid w:val="00681188"/>
    <w:rsid w:val="00681227"/>
    <w:rsid w:val="006813F6"/>
    <w:rsid w:val="0068147F"/>
    <w:rsid w:val="00681525"/>
    <w:rsid w:val="0068156F"/>
    <w:rsid w:val="006816EE"/>
    <w:rsid w:val="006818FC"/>
    <w:rsid w:val="00681BF3"/>
    <w:rsid w:val="00681BFF"/>
    <w:rsid w:val="00681CCD"/>
    <w:rsid w:val="00681D5C"/>
    <w:rsid w:val="00681D8F"/>
    <w:rsid w:val="00681DE9"/>
    <w:rsid w:val="00681E30"/>
    <w:rsid w:val="00681E94"/>
    <w:rsid w:val="00681FBF"/>
    <w:rsid w:val="0068207C"/>
    <w:rsid w:val="00682188"/>
    <w:rsid w:val="00682728"/>
    <w:rsid w:val="0068280C"/>
    <w:rsid w:val="006828EE"/>
    <w:rsid w:val="00682916"/>
    <w:rsid w:val="0068299A"/>
    <w:rsid w:val="00682A01"/>
    <w:rsid w:val="00682C7F"/>
    <w:rsid w:val="00682E33"/>
    <w:rsid w:val="00682E6D"/>
    <w:rsid w:val="00682F73"/>
    <w:rsid w:val="00682FEE"/>
    <w:rsid w:val="00683157"/>
    <w:rsid w:val="00683249"/>
    <w:rsid w:val="006833BF"/>
    <w:rsid w:val="006834E2"/>
    <w:rsid w:val="00683579"/>
    <w:rsid w:val="0068359C"/>
    <w:rsid w:val="006835A3"/>
    <w:rsid w:val="00683672"/>
    <w:rsid w:val="00683728"/>
    <w:rsid w:val="0068382B"/>
    <w:rsid w:val="0068389F"/>
    <w:rsid w:val="00683927"/>
    <w:rsid w:val="006839AB"/>
    <w:rsid w:val="00683E1F"/>
    <w:rsid w:val="00683FE7"/>
    <w:rsid w:val="0068423D"/>
    <w:rsid w:val="006842EA"/>
    <w:rsid w:val="00684559"/>
    <w:rsid w:val="006848A2"/>
    <w:rsid w:val="00684905"/>
    <w:rsid w:val="00684BAE"/>
    <w:rsid w:val="00684D37"/>
    <w:rsid w:val="00684E16"/>
    <w:rsid w:val="00684ED1"/>
    <w:rsid w:val="00684F00"/>
    <w:rsid w:val="00684FEC"/>
    <w:rsid w:val="0068508D"/>
    <w:rsid w:val="006851D3"/>
    <w:rsid w:val="00685285"/>
    <w:rsid w:val="006852FB"/>
    <w:rsid w:val="0068535A"/>
    <w:rsid w:val="006853CA"/>
    <w:rsid w:val="006853CC"/>
    <w:rsid w:val="00685476"/>
    <w:rsid w:val="0068555F"/>
    <w:rsid w:val="0068559F"/>
    <w:rsid w:val="00685808"/>
    <w:rsid w:val="0068594A"/>
    <w:rsid w:val="00685AC8"/>
    <w:rsid w:val="00685AE6"/>
    <w:rsid w:val="00685AED"/>
    <w:rsid w:val="00685B1B"/>
    <w:rsid w:val="00685BEA"/>
    <w:rsid w:val="00685D49"/>
    <w:rsid w:val="00685D53"/>
    <w:rsid w:val="00685D84"/>
    <w:rsid w:val="00685E87"/>
    <w:rsid w:val="00686009"/>
    <w:rsid w:val="00686106"/>
    <w:rsid w:val="00686149"/>
    <w:rsid w:val="0068618F"/>
    <w:rsid w:val="006861AB"/>
    <w:rsid w:val="00686246"/>
    <w:rsid w:val="00686468"/>
    <w:rsid w:val="006864B7"/>
    <w:rsid w:val="0068665E"/>
    <w:rsid w:val="00686D14"/>
    <w:rsid w:val="00686E83"/>
    <w:rsid w:val="00686E93"/>
    <w:rsid w:val="00686FB7"/>
    <w:rsid w:val="00686FDA"/>
    <w:rsid w:val="00687016"/>
    <w:rsid w:val="00687141"/>
    <w:rsid w:val="0068727E"/>
    <w:rsid w:val="00687287"/>
    <w:rsid w:val="0068729E"/>
    <w:rsid w:val="006872B1"/>
    <w:rsid w:val="0068731F"/>
    <w:rsid w:val="00687472"/>
    <w:rsid w:val="00687502"/>
    <w:rsid w:val="00687572"/>
    <w:rsid w:val="006875A7"/>
    <w:rsid w:val="00687703"/>
    <w:rsid w:val="006877D6"/>
    <w:rsid w:val="00687AA1"/>
    <w:rsid w:val="00687C55"/>
    <w:rsid w:val="00687D3F"/>
    <w:rsid w:val="00687D79"/>
    <w:rsid w:val="00687E92"/>
    <w:rsid w:val="00687EF6"/>
    <w:rsid w:val="00687F33"/>
    <w:rsid w:val="006900D3"/>
    <w:rsid w:val="00690265"/>
    <w:rsid w:val="00690299"/>
    <w:rsid w:val="006902A7"/>
    <w:rsid w:val="00690405"/>
    <w:rsid w:val="006907F0"/>
    <w:rsid w:val="006909F1"/>
    <w:rsid w:val="00690BB7"/>
    <w:rsid w:val="00690C0E"/>
    <w:rsid w:val="00690CB2"/>
    <w:rsid w:val="00690E21"/>
    <w:rsid w:val="0069102F"/>
    <w:rsid w:val="006910F6"/>
    <w:rsid w:val="00691171"/>
    <w:rsid w:val="006913F0"/>
    <w:rsid w:val="00691444"/>
    <w:rsid w:val="006914E6"/>
    <w:rsid w:val="006915C6"/>
    <w:rsid w:val="00691656"/>
    <w:rsid w:val="00691914"/>
    <w:rsid w:val="0069194C"/>
    <w:rsid w:val="00691C60"/>
    <w:rsid w:val="00691CB6"/>
    <w:rsid w:val="00691D95"/>
    <w:rsid w:val="00691E44"/>
    <w:rsid w:val="00691EDD"/>
    <w:rsid w:val="006921BE"/>
    <w:rsid w:val="00692213"/>
    <w:rsid w:val="006922A8"/>
    <w:rsid w:val="0069244A"/>
    <w:rsid w:val="00692532"/>
    <w:rsid w:val="006925F9"/>
    <w:rsid w:val="00692607"/>
    <w:rsid w:val="006927A5"/>
    <w:rsid w:val="006928F5"/>
    <w:rsid w:val="00692995"/>
    <w:rsid w:val="006929A2"/>
    <w:rsid w:val="006929B5"/>
    <w:rsid w:val="00692D86"/>
    <w:rsid w:val="00692DF0"/>
    <w:rsid w:val="00692DF1"/>
    <w:rsid w:val="00692EA5"/>
    <w:rsid w:val="00692ED2"/>
    <w:rsid w:val="00692FAD"/>
    <w:rsid w:val="00693102"/>
    <w:rsid w:val="00693257"/>
    <w:rsid w:val="006932BE"/>
    <w:rsid w:val="00693318"/>
    <w:rsid w:val="0069337C"/>
    <w:rsid w:val="00693493"/>
    <w:rsid w:val="0069351A"/>
    <w:rsid w:val="00693531"/>
    <w:rsid w:val="0069360D"/>
    <w:rsid w:val="0069375D"/>
    <w:rsid w:val="006937A2"/>
    <w:rsid w:val="006938CA"/>
    <w:rsid w:val="0069396C"/>
    <w:rsid w:val="00693A01"/>
    <w:rsid w:val="00693C04"/>
    <w:rsid w:val="00693D68"/>
    <w:rsid w:val="00693ECA"/>
    <w:rsid w:val="00693F33"/>
    <w:rsid w:val="00694291"/>
    <w:rsid w:val="006942EE"/>
    <w:rsid w:val="00694514"/>
    <w:rsid w:val="00694517"/>
    <w:rsid w:val="00694657"/>
    <w:rsid w:val="00694797"/>
    <w:rsid w:val="006947BE"/>
    <w:rsid w:val="0069482F"/>
    <w:rsid w:val="00694834"/>
    <w:rsid w:val="00694A48"/>
    <w:rsid w:val="00694D17"/>
    <w:rsid w:val="00694D68"/>
    <w:rsid w:val="00694E4C"/>
    <w:rsid w:val="00694F7D"/>
    <w:rsid w:val="00694F84"/>
    <w:rsid w:val="00694FE0"/>
    <w:rsid w:val="006950ED"/>
    <w:rsid w:val="00695177"/>
    <w:rsid w:val="0069537D"/>
    <w:rsid w:val="00695387"/>
    <w:rsid w:val="00695450"/>
    <w:rsid w:val="006954CA"/>
    <w:rsid w:val="006955BF"/>
    <w:rsid w:val="0069579A"/>
    <w:rsid w:val="006957E4"/>
    <w:rsid w:val="00695839"/>
    <w:rsid w:val="00695DA3"/>
    <w:rsid w:val="00695DC5"/>
    <w:rsid w:val="00695E26"/>
    <w:rsid w:val="00695E5E"/>
    <w:rsid w:val="006960C5"/>
    <w:rsid w:val="006964DE"/>
    <w:rsid w:val="0069652D"/>
    <w:rsid w:val="00696674"/>
    <w:rsid w:val="00696740"/>
    <w:rsid w:val="00696780"/>
    <w:rsid w:val="0069681D"/>
    <w:rsid w:val="006968AD"/>
    <w:rsid w:val="00696C0E"/>
    <w:rsid w:val="00696C7D"/>
    <w:rsid w:val="00696D56"/>
    <w:rsid w:val="00696DBF"/>
    <w:rsid w:val="00696E34"/>
    <w:rsid w:val="00696FA6"/>
    <w:rsid w:val="0069729E"/>
    <w:rsid w:val="00697347"/>
    <w:rsid w:val="00697381"/>
    <w:rsid w:val="00697440"/>
    <w:rsid w:val="0069746E"/>
    <w:rsid w:val="006974E5"/>
    <w:rsid w:val="006976DD"/>
    <w:rsid w:val="006977E6"/>
    <w:rsid w:val="00697903"/>
    <w:rsid w:val="0069792D"/>
    <w:rsid w:val="00697979"/>
    <w:rsid w:val="0069798E"/>
    <w:rsid w:val="00697B27"/>
    <w:rsid w:val="00697EA0"/>
    <w:rsid w:val="00697F8D"/>
    <w:rsid w:val="00697FCB"/>
    <w:rsid w:val="006A01DB"/>
    <w:rsid w:val="006A026F"/>
    <w:rsid w:val="006A032D"/>
    <w:rsid w:val="006A03AC"/>
    <w:rsid w:val="006A03FB"/>
    <w:rsid w:val="006A068C"/>
    <w:rsid w:val="006A07AE"/>
    <w:rsid w:val="006A086B"/>
    <w:rsid w:val="006A087A"/>
    <w:rsid w:val="006A08CB"/>
    <w:rsid w:val="006A097A"/>
    <w:rsid w:val="006A09E4"/>
    <w:rsid w:val="006A0A7F"/>
    <w:rsid w:val="006A0B2D"/>
    <w:rsid w:val="006A0CF1"/>
    <w:rsid w:val="006A10BE"/>
    <w:rsid w:val="006A1118"/>
    <w:rsid w:val="006A1146"/>
    <w:rsid w:val="006A115A"/>
    <w:rsid w:val="006A13E1"/>
    <w:rsid w:val="006A13F7"/>
    <w:rsid w:val="006A1445"/>
    <w:rsid w:val="006A150D"/>
    <w:rsid w:val="006A1583"/>
    <w:rsid w:val="006A15BF"/>
    <w:rsid w:val="006A17E2"/>
    <w:rsid w:val="006A184C"/>
    <w:rsid w:val="006A18DF"/>
    <w:rsid w:val="006A18EE"/>
    <w:rsid w:val="006A196F"/>
    <w:rsid w:val="006A1BBA"/>
    <w:rsid w:val="006A1EAD"/>
    <w:rsid w:val="006A1F3F"/>
    <w:rsid w:val="006A1F85"/>
    <w:rsid w:val="006A1F9F"/>
    <w:rsid w:val="006A1FBA"/>
    <w:rsid w:val="006A203E"/>
    <w:rsid w:val="006A2232"/>
    <w:rsid w:val="006A22AD"/>
    <w:rsid w:val="006A23B8"/>
    <w:rsid w:val="006A24C4"/>
    <w:rsid w:val="006A24F0"/>
    <w:rsid w:val="006A2586"/>
    <w:rsid w:val="006A25C9"/>
    <w:rsid w:val="006A2665"/>
    <w:rsid w:val="006A270C"/>
    <w:rsid w:val="006A2731"/>
    <w:rsid w:val="006A289D"/>
    <w:rsid w:val="006A28B7"/>
    <w:rsid w:val="006A2990"/>
    <w:rsid w:val="006A29C6"/>
    <w:rsid w:val="006A2A7E"/>
    <w:rsid w:val="006A2AF5"/>
    <w:rsid w:val="006A2C63"/>
    <w:rsid w:val="006A2CF6"/>
    <w:rsid w:val="006A2D3A"/>
    <w:rsid w:val="006A2DA1"/>
    <w:rsid w:val="006A2E4D"/>
    <w:rsid w:val="006A2ED2"/>
    <w:rsid w:val="006A30F1"/>
    <w:rsid w:val="006A310B"/>
    <w:rsid w:val="006A31D2"/>
    <w:rsid w:val="006A31F3"/>
    <w:rsid w:val="006A340F"/>
    <w:rsid w:val="006A3582"/>
    <w:rsid w:val="006A3640"/>
    <w:rsid w:val="006A3745"/>
    <w:rsid w:val="006A3842"/>
    <w:rsid w:val="006A396E"/>
    <w:rsid w:val="006A39DB"/>
    <w:rsid w:val="006A3BBD"/>
    <w:rsid w:val="006A3C48"/>
    <w:rsid w:val="006A3CC0"/>
    <w:rsid w:val="006A3E3E"/>
    <w:rsid w:val="006A3ED9"/>
    <w:rsid w:val="006A3F79"/>
    <w:rsid w:val="006A3F91"/>
    <w:rsid w:val="006A3FB7"/>
    <w:rsid w:val="006A40E8"/>
    <w:rsid w:val="006A419A"/>
    <w:rsid w:val="006A4203"/>
    <w:rsid w:val="006A428D"/>
    <w:rsid w:val="006A4485"/>
    <w:rsid w:val="006A4692"/>
    <w:rsid w:val="006A46A1"/>
    <w:rsid w:val="006A4798"/>
    <w:rsid w:val="006A47AE"/>
    <w:rsid w:val="006A4BED"/>
    <w:rsid w:val="006A4BF8"/>
    <w:rsid w:val="006A4C97"/>
    <w:rsid w:val="006A4CE3"/>
    <w:rsid w:val="006A4D39"/>
    <w:rsid w:val="006A4DFF"/>
    <w:rsid w:val="006A5110"/>
    <w:rsid w:val="006A529D"/>
    <w:rsid w:val="006A52A5"/>
    <w:rsid w:val="006A5326"/>
    <w:rsid w:val="006A5354"/>
    <w:rsid w:val="006A5426"/>
    <w:rsid w:val="006A54D6"/>
    <w:rsid w:val="006A555C"/>
    <w:rsid w:val="006A5994"/>
    <w:rsid w:val="006A5A52"/>
    <w:rsid w:val="006A5AC2"/>
    <w:rsid w:val="006A5DFA"/>
    <w:rsid w:val="006A5E89"/>
    <w:rsid w:val="006A6012"/>
    <w:rsid w:val="006A612B"/>
    <w:rsid w:val="006A6176"/>
    <w:rsid w:val="006A619F"/>
    <w:rsid w:val="006A61C6"/>
    <w:rsid w:val="006A61E3"/>
    <w:rsid w:val="006A65D3"/>
    <w:rsid w:val="006A666C"/>
    <w:rsid w:val="006A6670"/>
    <w:rsid w:val="006A68E1"/>
    <w:rsid w:val="006A698F"/>
    <w:rsid w:val="006A6A4E"/>
    <w:rsid w:val="006A6BDC"/>
    <w:rsid w:val="006A6CF6"/>
    <w:rsid w:val="006A6F19"/>
    <w:rsid w:val="006A6F92"/>
    <w:rsid w:val="006A7025"/>
    <w:rsid w:val="006A7036"/>
    <w:rsid w:val="006A70C0"/>
    <w:rsid w:val="006A7143"/>
    <w:rsid w:val="006A724A"/>
    <w:rsid w:val="006A7292"/>
    <w:rsid w:val="006A73CA"/>
    <w:rsid w:val="006A747C"/>
    <w:rsid w:val="006A74AE"/>
    <w:rsid w:val="006A770C"/>
    <w:rsid w:val="006A78A2"/>
    <w:rsid w:val="006A797A"/>
    <w:rsid w:val="006A7A2F"/>
    <w:rsid w:val="006A7B77"/>
    <w:rsid w:val="006A7C0F"/>
    <w:rsid w:val="006A7C35"/>
    <w:rsid w:val="006A7C4C"/>
    <w:rsid w:val="006A7DBE"/>
    <w:rsid w:val="006A7EBF"/>
    <w:rsid w:val="006A7F25"/>
    <w:rsid w:val="006A7F66"/>
    <w:rsid w:val="006B0047"/>
    <w:rsid w:val="006B007E"/>
    <w:rsid w:val="006B017B"/>
    <w:rsid w:val="006B02E7"/>
    <w:rsid w:val="006B05BA"/>
    <w:rsid w:val="006B073D"/>
    <w:rsid w:val="006B088E"/>
    <w:rsid w:val="006B0A92"/>
    <w:rsid w:val="006B0ACC"/>
    <w:rsid w:val="006B0CD5"/>
    <w:rsid w:val="006B0D5E"/>
    <w:rsid w:val="006B0F40"/>
    <w:rsid w:val="006B0FA0"/>
    <w:rsid w:val="006B0FC7"/>
    <w:rsid w:val="006B1044"/>
    <w:rsid w:val="006B1065"/>
    <w:rsid w:val="006B1155"/>
    <w:rsid w:val="006B1382"/>
    <w:rsid w:val="006B138B"/>
    <w:rsid w:val="006B1584"/>
    <w:rsid w:val="006B163A"/>
    <w:rsid w:val="006B17E5"/>
    <w:rsid w:val="006B19B4"/>
    <w:rsid w:val="006B19BC"/>
    <w:rsid w:val="006B1A58"/>
    <w:rsid w:val="006B1A6C"/>
    <w:rsid w:val="006B1ABB"/>
    <w:rsid w:val="006B1B53"/>
    <w:rsid w:val="006B1C83"/>
    <w:rsid w:val="006B1ED9"/>
    <w:rsid w:val="006B1F59"/>
    <w:rsid w:val="006B2060"/>
    <w:rsid w:val="006B211A"/>
    <w:rsid w:val="006B21E8"/>
    <w:rsid w:val="006B22C3"/>
    <w:rsid w:val="006B2381"/>
    <w:rsid w:val="006B2536"/>
    <w:rsid w:val="006B25EA"/>
    <w:rsid w:val="006B263B"/>
    <w:rsid w:val="006B27E8"/>
    <w:rsid w:val="006B281C"/>
    <w:rsid w:val="006B28CD"/>
    <w:rsid w:val="006B298A"/>
    <w:rsid w:val="006B2A10"/>
    <w:rsid w:val="006B2BEC"/>
    <w:rsid w:val="006B2D01"/>
    <w:rsid w:val="006B2D9B"/>
    <w:rsid w:val="006B2E0E"/>
    <w:rsid w:val="006B2E27"/>
    <w:rsid w:val="006B2FDA"/>
    <w:rsid w:val="006B31F1"/>
    <w:rsid w:val="006B3203"/>
    <w:rsid w:val="006B327A"/>
    <w:rsid w:val="006B3431"/>
    <w:rsid w:val="006B348F"/>
    <w:rsid w:val="006B3694"/>
    <w:rsid w:val="006B36D7"/>
    <w:rsid w:val="006B39E6"/>
    <w:rsid w:val="006B39F3"/>
    <w:rsid w:val="006B3A23"/>
    <w:rsid w:val="006B3B44"/>
    <w:rsid w:val="006B3C52"/>
    <w:rsid w:val="006B3E85"/>
    <w:rsid w:val="006B3E8E"/>
    <w:rsid w:val="006B3F2D"/>
    <w:rsid w:val="006B3F48"/>
    <w:rsid w:val="006B3F6E"/>
    <w:rsid w:val="006B3F7E"/>
    <w:rsid w:val="006B40ED"/>
    <w:rsid w:val="006B4103"/>
    <w:rsid w:val="006B41A2"/>
    <w:rsid w:val="006B41CE"/>
    <w:rsid w:val="006B4345"/>
    <w:rsid w:val="006B43A0"/>
    <w:rsid w:val="006B4446"/>
    <w:rsid w:val="006B4589"/>
    <w:rsid w:val="006B4662"/>
    <w:rsid w:val="006B4680"/>
    <w:rsid w:val="006B4841"/>
    <w:rsid w:val="006B48BC"/>
    <w:rsid w:val="006B4AF0"/>
    <w:rsid w:val="006B4B08"/>
    <w:rsid w:val="006B4C54"/>
    <w:rsid w:val="006B4C72"/>
    <w:rsid w:val="006B4D20"/>
    <w:rsid w:val="006B4DAE"/>
    <w:rsid w:val="006B4ECF"/>
    <w:rsid w:val="006B52EC"/>
    <w:rsid w:val="006B54EE"/>
    <w:rsid w:val="006B5661"/>
    <w:rsid w:val="006B57EA"/>
    <w:rsid w:val="006B594E"/>
    <w:rsid w:val="006B5960"/>
    <w:rsid w:val="006B59A4"/>
    <w:rsid w:val="006B59EC"/>
    <w:rsid w:val="006B5ACC"/>
    <w:rsid w:val="006B5BCD"/>
    <w:rsid w:val="006B5C31"/>
    <w:rsid w:val="006B5CDF"/>
    <w:rsid w:val="006B5D5E"/>
    <w:rsid w:val="006B5E9F"/>
    <w:rsid w:val="006B5FAD"/>
    <w:rsid w:val="006B6031"/>
    <w:rsid w:val="006B6095"/>
    <w:rsid w:val="006B61B9"/>
    <w:rsid w:val="006B6209"/>
    <w:rsid w:val="006B6262"/>
    <w:rsid w:val="006B628B"/>
    <w:rsid w:val="006B6583"/>
    <w:rsid w:val="006B6745"/>
    <w:rsid w:val="006B67CD"/>
    <w:rsid w:val="006B6918"/>
    <w:rsid w:val="006B6986"/>
    <w:rsid w:val="006B69D9"/>
    <w:rsid w:val="006B6A44"/>
    <w:rsid w:val="006B6A88"/>
    <w:rsid w:val="006B6ADA"/>
    <w:rsid w:val="006B6AEC"/>
    <w:rsid w:val="006B6B1C"/>
    <w:rsid w:val="006B6BF8"/>
    <w:rsid w:val="006B6D60"/>
    <w:rsid w:val="006B6DFF"/>
    <w:rsid w:val="006B6F0A"/>
    <w:rsid w:val="006B707C"/>
    <w:rsid w:val="006B7108"/>
    <w:rsid w:val="006B7170"/>
    <w:rsid w:val="006B71B0"/>
    <w:rsid w:val="006B7236"/>
    <w:rsid w:val="006B7358"/>
    <w:rsid w:val="006B7542"/>
    <w:rsid w:val="006B7676"/>
    <w:rsid w:val="006B767B"/>
    <w:rsid w:val="006B77A5"/>
    <w:rsid w:val="006B7950"/>
    <w:rsid w:val="006B7AF7"/>
    <w:rsid w:val="006B7FEF"/>
    <w:rsid w:val="006C0048"/>
    <w:rsid w:val="006C0317"/>
    <w:rsid w:val="006C04D2"/>
    <w:rsid w:val="006C053C"/>
    <w:rsid w:val="006C0570"/>
    <w:rsid w:val="006C05BB"/>
    <w:rsid w:val="006C06BC"/>
    <w:rsid w:val="006C0760"/>
    <w:rsid w:val="006C09DD"/>
    <w:rsid w:val="006C0B4C"/>
    <w:rsid w:val="006C0D9F"/>
    <w:rsid w:val="006C0DB3"/>
    <w:rsid w:val="006C126E"/>
    <w:rsid w:val="006C1276"/>
    <w:rsid w:val="006C14B2"/>
    <w:rsid w:val="006C1595"/>
    <w:rsid w:val="006C1605"/>
    <w:rsid w:val="006C16A7"/>
    <w:rsid w:val="006C1804"/>
    <w:rsid w:val="006C182E"/>
    <w:rsid w:val="006C1859"/>
    <w:rsid w:val="006C19FA"/>
    <w:rsid w:val="006C1B8D"/>
    <w:rsid w:val="006C1C98"/>
    <w:rsid w:val="006C1DBB"/>
    <w:rsid w:val="006C1EF5"/>
    <w:rsid w:val="006C1F73"/>
    <w:rsid w:val="006C20D1"/>
    <w:rsid w:val="006C20D8"/>
    <w:rsid w:val="006C21F8"/>
    <w:rsid w:val="006C2379"/>
    <w:rsid w:val="006C2427"/>
    <w:rsid w:val="006C2429"/>
    <w:rsid w:val="006C26C9"/>
    <w:rsid w:val="006C2719"/>
    <w:rsid w:val="006C2865"/>
    <w:rsid w:val="006C28A4"/>
    <w:rsid w:val="006C29B3"/>
    <w:rsid w:val="006C2A89"/>
    <w:rsid w:val="006C2C17"/>
    <w:rsid w:val="006C2DC4"/>
    <w:rsid w:val="006C2DC5"/>
    <w:rsid w:val="006C300E"/>
    <w:rsid w:val="006C324C"/>
    <w:rsid w:val="006C3252"/>
    <w:rsid w:val="006C326E"/>
    <w:rsid w:val="006C32B6"/>
    <w:rsid w:val="006C3316"/>
    <w:rsid w:val="006C339D"/>
    <w:rsid w:val="006C3734"/>
    <w:rsid w:val="006C3D86"/>
    <w:rsid w:val="006C3E24"/>
    <w:rsid w:val="006C3E9F"/>
    <w:rsid w:val="006C3F04"/>
    <w:rsid w:val="006C3F7E"/>
    <w:rsid w:val="006C3FA6"/>
    <w:rsid w:val="006C4036"/>
    <w:rsid w:val="006C4063"/>
    <w:rsid w:val="006C40F6"/>
    <w:rsid w:val="006C421B"/>
    <w:rsid w:val="006C4220"/>
    <w:rsid w:val="006C4257"/>
    <w:rsid w:val="006C46BF"/>
    <w:rsid w:val="006C4751"/>
    <w:rsid w:val="006C479A"/>
    <w:rsid w:val="006C4921"/>
    <w:rsid w:val="006C4989"/>
    <w:rsid w:val="006C4BFD"/>
    <w:rsid w:val="006C4C40"/>
    <w:rsid w:val="006C4D2A"/>
    <w:rsid w:val="006C4D53"/>
    <w:rsid w:val="006C4DB9"/>
    <w:rsid w:val="006C4E4D"/>
    <w:rsid w:val="006C52D1"/>
    <w:rsid w:val="006C53CE"/>
    <w:rsid w:val="006C554D"/>
    <w:rsid w:val="006C567F"/>
    <w:rsid w:val="006C5767"/>
    <w:rsid w:val="006C586B"/>
    <w:rsid w:val="006C5A27"/>
    <w:rsid w:val="006C5B1C"/>
    <w:rsid w:val="006C5BAE"/>
    <w:rsid w:val="006C5BFC"/>
    <w:rsid w:val="006C5D92"/>
    <w:rsid w:val="006C5D98"/>
    <w:rsid w:val="006C5DF6"/>
    <w:rsid w:val="006C5FFD"/>
    <w:rsid w:val="006C601A"/>
    <w:rsid w:val="006C6028"/>
    <w:rsid w:val="006C6143"/>
    <w:rsid w:val="006C61BF"/>
    <w:rsid w:val="006C624E"/>
    <w:rsid w:val="006C626D"/>
    <w:rsid w:val="006C62BD"/>
    <w:rsid w:val="006C6392"/>
    <w:rsid w:val="006C647F"/>
    <w:rsid w:val="006C64E0"/>
    <w:rsid w:val="006C6505"/>
    <w:rsid w:val="006C6630"/>
    <w:rsid w:val="006C6687"/>
    <w:rsid w:val="006C66D3"/>
    <w:rsid w:val="006C68C1"/>
    <w:rsid w:val="006C69B9"/>
    <w:rsid w:val="006C6A80"/>
    <w:rsid w:val="006C6BC1"/>
    <w:rsid w:val="006C6D8F"/>
    <w:rsid w:val="006C6E2D"/>
    <w:rsid w:val="006C6F28"/>
    <w:rsid w:val="006C6FE6"/>
    <w:rsid w:val="006C701A"/>
    <w:rsid w:val="006C7058"/>
    <w:rsid w:val="006C7073"/>
    <w:rsid w:val="006C7154"/>
    <w:rsid w:val="006C718F"/>
    <w:rsid w:val="006C7247"/>
    <w:rsid w:val="006C738E"/>
    <w:rsid w:val="006C7413"/>
    <w:rsid w:val="006C74FD"/>
    <w:rsid w:val="006C7601"/>
    <w:rsid w:val="006C76B5"/>
    <w:rsid w:val="006C799F"/>
    <w:rsid w:val="006C7C1A"/>
    <w:rsid w:val="006C7D81"/>
    <w:rsid w:val="006C7F1F"/>
    <w:rsid w:val="006D0034"/>
    <w:rsid w:val="006D0046"/>
    <w:rsid w:val="006D0102"/>
    <w:rsid w:val="006D0129"/>
    <w:rsid w:val="006D021D"/>
    <w:rsid w:val="006D024B"/>
    <w:rsid w:val="006D0502"/>
    <w:rsid w:val="006D0615"/>
    <w:rsid w:val="006D062D"/>
    <w:rsid w:val="006D069C"/>
    <w:rsid w:val="006D07BF"/>
    <w:rsid w:val="006D084E"/>
    <w:rsid w:val="006D0A11"/>
    <w:rsid w:val="006D0F34"/>
    <w:rsid w:val="006D1073"/>
    <w:rsid w:val="006D10FD"/>
    <w:rsid w:val="006D111C"/>
    <w:rsid w:val="006D12D1"/>
    <w:rsid w:val="006D1464"/>
    <w:rsid w:val="006D15A7"/>
    <w:rsid w:val="006D1696"/>
    <w:rsid w:val="006D16C4"/>
    <w:rsid w:val="006D171A"/>
    <w:rsid w:val="006D17FB"/>
    <w:rsid w:val="006D180F"/>
    <w:rsid w:val="006D1957"/>
    <w:rsid w:val="006D1974"/>
    <w:rsid w:val="006D1B5E"/>
    <w:rsid w:val="006D1DAE"/>
    <w:rsid w:val="006D1E06"/>
    <w:rsid w:val="006D1E21"/>
    <w:rsid w:val="006D1EB4"/>
    <w:rsid w:val="006D1F12"/>
    <w:rsid w:val="006D213D"/>
    <w:rsid w:val="006D21E0"/>
    <w:rsid w:val="006D239D"/>
    <w:rsid w:val="006D2513"/>
    <w:rsid w:val="006D2525"/>
    <w:rsid w:val="006D2530"/>
    <w:rsid w:val="006D2549"/>
    <w:rsid w:val="006D2611"/>
    <w:rsid w:val="006D28EF"/>
    <w:rsid w:val="006D2A1E"/>
    <w:rsid w:val="006D2B95"/>
    <w:rsid w:val="006D2E83"/>
    <w:rsid w:val="006D2FFF"/>
    <w:rsid w:val="006D3059"/>
    <w:rsid w:val="006D3171"/>
    <w:rsid w:val="006D319A"/>
    <w:rsid w:val="006D3238"/>
    <w:rsid w:val="006D32D1"/>
    <w:rsid w:val="006D3312"/>
    <w:rsid w:val="006D3315"/>
    <w:rsid w:val="006D332F"/>
    <w:rsid w:val="006D33DB"/>
    <w:rsid w:val="006D346D"/>
    <w:rsid w:val="006D353B"/>
    <w:rsid w:val="006D3550"/>
    <w:rsid w:val="006D36DE"/>
    <w:rsid w:val="006D38AB"/>
    <w:rsid w:val="006D3BC1"/>
    <w:rsid w:val="006D3BF5"/>
    <w:rsid w:val="006D3CC4"/>
    <w:rsid w:val="006D3D09"/>
    <w:rsid w:val="006D3E07"/>
    <w:rsid w:val="006D3F3D"/>
    <w:rsid w:val="006D402E"/>
    <w:rsid w:val="006D40EB"/>
    <w:rsid w:val="006D4104"/>
    <w:rsid w:val="006D411F"/>
    <w:rsid w:val="006D423C"/>
    <w:rsid w:val="006D4285"/>
    <w:rsid w:val="006D436D"/>
    <w:rsid w:val="006D4577"/>
    <w:rsid w:val="006D461D"/>
    <w:rsid w:val="006D4659"/>
    <w:rsid w:val="006D47F9"/>
    <w:rsid w:val="006D4815"/>
    <w:rsid w:val="006D4916"/>
    <w:rsid w:val="006D4E0A"/>
    <w:rsid w:val="006D4E77"/>
    <w:rsid w:val="006D5054"/>
    <w:rsid w:val="006D5149"/>
    <w:rsid w:val="006D51D2"/>
    <w:rsid w:val="006D5333"/>
    <w:rsid w:val="006D5402"/>
    <w:rsid w:val="006D553A"/>
    <w:rsid w:val="006D553E"/>
    <w:rsid w:val="006D590B"/>
    <w:rsid w:val="006D5B82"/>
    <w:rsid w:val="006D5FA3"/>
    <w:rsid w:val="006D6058"/>
    <w:rsid w:val="006D60C2"/>
    <w:rsid w:val="006D6138"/>
    <w:rsid w:val="006D616F"/>
    <w:rsid w:val="006D6206"/>
    <w:rsid w:val="006D6335"/>
    <w:rsid w:val="006D669F"/>
    <w:rsid w:val="006D6743"/>
    <w:rsid w:val="006D6885"/>
    <w:rsid w:val="006D6894"/>
    <w:rsid w:val="006D69C3"/>
    <w:rsid w:val="006D6A28"/>
    <w:rsid w:val="006D6AAC"/>
    <w:rsid w:val="006D6B0E"/>
    <w:rsid w:val="006D6B13"/>
    <w:rsid w:val="006D6DA0"/>
    <w:rsid w:val="006D70FF"/>
    <w:rsid w:val="006D7186"/>
    <w:rsid w:val="006D7263"/>
    <w:rsid w:val="006D72BE"/>
    <w:rsid w:val="006D759D"/>
    <w:rsid w:val="006D75AE"/>
    <w:rsid w:val="006D75E2"/>
    <w:rsid w:val="006D7623"/>
    <w:rsid w:val="006D7688"/>
    <w:rsid w:val="006D76D4"/>
    <w:rsid w:val="006D76FA"/>
    <w:rsid w:val="006D77AC"/>
    <w:rsid w:val="006D78FD"/>
    <w:rsid w:val="006D79DE"/>
    <w:rsid w:val="006D7B0F"/>
    <w:rsid w:val="006D7B29"/>
    <w:rsid w:val="006D7C4B"/>
    <w:rsid w:val="006D7F9C"/>
    <w:rsid w:val="006E0086"/>
    <w:rsid w:val="006E0091"/>
    <w:rsid w:val="006E00E2"/>
    <w:rsid w:val="006E01D5"/>
    <w:rsid w:val="006E03F9"/>
    <w:rsid w:val="006E0450"/>
    <w:rsid w:val="006E052B"/>
    <w:rsid w:val="006E05E5"/>
    <w:rsid w:val="006E065A"/>
    <w:rsid w:val="006E0732"/>
    <w:rsid w:val="006E07EA"/>
    <w:rsid w:val="006E0830"/>
    <w:rsid w:val="006E084C"/>
    <w:rsid w:val="006E08AD"/>
    <w:rsid w:val="006E097C"/>
    <w:rsid w:val="006E0BFC"/>
    <w:rsid w:val="006E0C53"/>
    <w:rsid w:val="006E0CBC"/>
    <w:rsid w:val="006E0CD9"/>
    <w:rsid w:val="006E0DC7"/>
    <w:rsid w:val="006E0DEC"/>
    <w:rsid w:val="006E0EEA"/>
    <w:rsid w:val="006E0EF5"/>
    <w:rsid w:val="006E0F9D"/>
    <w:rsid w:val="006E14F4"/>
    <w:rsid w:val="006E15C8"/>
    <w:rsid w:val="006E16F7"/>
    <w:rsid w:val="006E1734"/>
    <w:rsid w:val="006E1755"/>
    <w:rsid w:val="006E190D"/>
    <w:rsid w:val="006E1B4C"/>
    <w:rsid w:val="006E1B84"/>
    <w:rsid w:val="006E1C02"/>
    <w:rsid w:val="006E1C9C"/>
    <w:rsid w:val="006E1CA7"/>
    <w:rsid w:val="006E1E0C"/>
    <w:rsid w:val="006E1EF0"/>
    <w:rsid w:val="006E1F12"/>
    <w:rsid w:val="006E1F16"/>
    <w:rsid w:val="006E2005"/>
    <w:rsid w:val="006E20D7"/>
    <w:rsid w:val="006E210E"/>
    <w:rsid w:val="006E222C"/>
    <w:rsid w:val="006E2353"/>
    <w:rsid w:val="006E250B"/>
    <w:rsid w:val="006E25B2"/>
    <w:rsid w:val="006E25C8"/>
    <w:rsid w:val="006E261F"/>
    <w:rsid w:val="006E26C8"/>
    <w:rsid w:val="006E26F8"/>
    <w:rsid w:val="006E29A7"/>
    <w:rsid w:val="006E2AC4"/>
    <w:rsid w:val="006E2E2D"/>
    <w:rsid w:val="006E2EAC"/>
    <w:rsid w:val="006E2EF5"/>
    <w:rsid w:val="006E301C"/>
    <w:rsid w:val="006E30F8"/>
    <w:rsid w:val="006E325B"/>
    <w:rsid w:val="006E3469"/>
    <w:rsid w:val="006E374C"/>
    <w:rsid w:val="006E3904"/>
    <w:rsid w:val="006E39D9"/>
    <w:rsid w:val="006E3AB3"/>
    <w:rsid w:val="006E3AFB"/>
    <w:rsid w:val="006E3E1F"/>
    <w:rsid w:val="006E416F"/>
    <w:rsid w:val="006E4396"/>
    <w:rsid w:val="006E47E8"/>
    <w:rsid w:val="006E4813"/>
    <w:rsid w:val="006E49D5"/>
    <w:rsid w:val="006E4A78"/>
    <w:rsid w:val="006E4AE0"/>
    <w:rsid w:val="006E4B76"/>
    <w:rsid w:val="006E4C9E"/>
    <w:rsid w:val="006E4DB0"/>
    <w:rsid w:val="006E4F15"/>
    <w:rsid w:val="006E504E"/>
    <w:rsid w:val="006E505B"/>
    <w:rsid w:val="006E5124"/>
    <w:rsid w:val="006E52CA"/>
    <w:rsid w:val="006E52DF"/>
    <w:rsid w:val="006E52E4"/>
    <w:rsid w:val="006E5316"/>
    <w:rsid w:val="006E5329"/>
    <w:rsid w:val="006E5576"/>
    <w:rsid w:val="006E56F3"/>
    <w:rsid w:val="006E5835"/>
    <w:rsid w:val="006E597F"/>
    <w:rsid w:val="006E598E"/>
    <w:rsid w:val="006E59C8"/>
    <w:rsid w:val="006E5AC0"/>
    <w:rsid w:val="006E5AD9"/>
    <w:rsid w:val="006E5B81"/>
    <w:rsid w:val="006E5D90"/>
    <w:rsid w:val="006E5DDD"/>
    <w:rsid w:val="006E5E00"/>
    <w:rsid w:val="006E5F42"/>
    <w:rsid w:val="006E5FA3"/>
    <w:rsid w:val="006E5FA4"/>
    <w:rsid w:val="006E5FCC"/>
    <w:rsid w:val="006E6008"/>
    <w:rsid w:val="006E6069"/>
    <w:rsid w:val="006E6079"/>
    <w:rsid w:val="006E609D"/>
    <w:rsid w:val="006E60CA"/>
    <w:rsid w:val="006E612F"/>
    <w:rsid w:val="006E61CF"/>
    <w:rsid w:val="006E62A0"/>
    <w:rsid w:val="006E6359"/>
    <w:rsid w:val="006E655E"/>
    <w:rsid w:val="006E669B"/>
    <w:rsid w:val="006E66B1"/>
    <w:rsid w:val="006E6872"/>
    <w:rsid w:val="006E68E2"/>
    <w:rsid w:val="006E6959"/>
    <w:rsid w:val="006E6BB6"/>
    <w:rsid w:val="006E6BFA"/>
    <w:rsid w:val="006E6FBC"/>
    <w:rsid w:val="006E70E2"/>
    <w:rsid w:val="006E70FF"/>
    <w:rsid w:val="006E7166"/>
    <w:rsid w:val="006E71B8"/>
    <w:rsid w:val="006E7349"/>
    <w:rsid w:val="006E747F"/>
    <w:rsid w:val="006E74BF"/>
    <w:rsid w:val="006E754F"/>
    <w:rsid w:val="006E76D2"/>
    <w:rsid w:val="006E77CC"/>
    <w:rsid w:val="006E7878"/>
    <w:rsid w:val="006E78F0"/>
    <w:rsid w:val="006E7938"/>
    <w:rsid w:val="006E794D"/>
    <w:rsid w:val="006E7D70"/>
    <w:rsid w:val="006E7F3A"/>
    <w:rsid w:val="006E7F94"/>
    <w:rsid w:val="006E7FA0"/>
    <w:rsid w:val="006F0010"/>
    <w:rsid w:val="006F0017"/>
    <w:rsid w:val="006F001C"/>
    <w:rsid w:val="006F0024"/>
    <w:rsid w:val="006F0230"/>
    <w:rsid w:val="006F0720"/>
    <w:rsid w:val="006F087A"/>
    <w:rsid w:val="006F0975"/>
    <w:rsid w:val="006F09B1"/>
    <w:rsid w:val="006F09C5"/>
    <w:rsid w:val="006F0A04"/>
    <w:rsid w:val="006F0A67"/>
    <w:rsid w:val="006F0AAD"/>
    <w:rsid w:val="006F0B5C"/>
    <w:rsid w:val="006F0C9A"/>
    <w:rsid w:val="006F0CD1"/>
    <w:rsid w:val="006F0DA1"/>
    <w:rsid w:val="006F0DD9"/>
    <w:rsid w:val="006F0E25"/>
    <w:rsid w:val="006F0EF1"/>
    <w:rsid w:val="006F1024"/>
    <w:rsid w:val="006F11E1"/>
    <w:rsid w:val="006F1209"/>
    <w:rsid w:val="006F12A5"/>
    <w:rsid w:val="006F13DB"/>
    <w:rsid w:val="006F16C4"/>
    <w:rsid w:val="006F1771"/>
    <w:rsid w:val="006F1806"/>
    <w:rsid w:val="006F1A7B"/>
    <w:rsid w:val="006F1AAA"/>
    <w:rsid w:val="006F1AB6"/>
    <w:rsid w:val="006F1B60"/>
    <w:rsid w:val="006F1BCD"/>
    <w:rsid w:val="006F1C72"/>
    <w:rsid w:val="006F1CF2"/>
    <w:rsid w:val="006F20CB"/>
    <w:rsid w:val="006F2282"/>
    <w:rsid w:val="006F22C4"/>
    <w:rsid w:val="006F22DB"/>
    <w:rsid w:val="006F236B"/>
    <w:rsid w:val="006F23C1"/>
    <w:rsid w:val="006F2435"/>
    <w:rsid w:val="006F246B"/>
    <w:rsid w:val="006F268D"/>
    <w:rsid w:val="006F26AB"/>
    <w:rsid w:val="006F2710"/>
    <w:rsid w:val="006F2727"/>
    <w:rsid w:val="006F28B2"/>
    <w:rsid w:val="006F29FE"/>
    <w:rsid w:val="006F2AC5"/>
    <w:rsid w:val="006F2BB0"/>
    <w:rsid w:val="006F2C54"/>
    <w:rsid w:val="006F2F2E"/>
    <w:rsid w:val="006F2FFA"/>
    <w:rsid w:val="006F3105"/>
    <w:rsid w:val="006F32D8"/>
    <w:rsid w:val="006F34E5"/>
    <w:rsid w:val="006F35AF"/>
    <w:rsid w:val="006F3647"/>
    <w:rsid w:val="006F36EB"/>
    <w:rsid w:val="006F3723"/>
    <w:rsid w:val="006F3736"/>
    <w:rsid w:val="006F37BC"/>
    <w:rsid w:val="006F3B11"/>
    <w:rsid w:val="006F3B1C"/>
    <w:rsid w:val="006F3D27"/>
    <w:rsid w:val="006F3D38"/>
    <w:rsid w:val="006F3D9E"/>
    <w:rsid w:val="006F3F56"/>
    <w:rsid w:val="006F3FA7"/>
    <w:rsid w:val="006F405D"/>
    <w:rsid w:val="006F4079"/>
    <w:rsid w:val="006F41BF"/>
    <w:rsid w:val="006F4231"/>
    <w:rsid w:val="006F4264"/>
    <w:rsid w:val="006F42E2"/>
    <w:rsid w:val="006F43D6"/>
    <w:rsid w:val="006F444E"/>
    <w:rsid w:val="006F453F"/>
    <w:rsid w:val="006F4542"/>
    <w:rsid w:val="006F4604"/>
    <w:rsid w:val="006F46AD"/>
    <w:rsid w:val="006F4706"/>
    <w:rsid w:val="006F48C3"/>
    <w:rsid w:val="006F4907"/>
    <w:rsid w:val="006F499A"/>
    <w:rsid w:val="006F4A15"/>
    <w:rsid w:val="006F4C98"/>
    <w:rsid w:val="006F4DEB"/>
    <w:rsid w:val="006F501C"/>
    <w:rsid w:val="006F51A9"/>
    <w:rsid w:val="006F51F0"/>
    <w:rsid w:val="006F529A"/>
    <w:rsid w:val="006F5398"/>
    <w:rsid w:val="006F553A"/>
    <w:rsid w:val="006F5699"/>
    <w:rsid w:val="006F56FB"/>
    <w:rsid w:val="006F573D"/>
    <w:rsid w:val="006F57C6"/>
    <w:rsid w:val="006F5853"/>
    <w:rsid w:val="006F5865"/>
    <w:rsid w:val="006F58DD"/>
    <w:rsid w:val="006F5935"/>
    <w:rsid w:val="006F5965"/>
    <w:rsid w:val="006F596C"/>
    <w:rsid w:val="006F5A22"/>
    <w:rsid w:val="006F5A9A"/>
    <w:rsid w:val="006F5ADB"/>
    <w:rsid w:val="006F5CF3"/>
    <w:rsid w:val="006F5F8B"/>
    <w:rsid w:val="006F6076"/>
    <w:rsid w:val="006F60F6"/>
    <w:rsid w:val="006F61BC"/>
    <w:rsid w:val="006F61E0"/>
    <w:rsid w:val="006F62F2"/>
    <w:rsid w:val="006F6404"/>
    <w:rsid w:val="006F64B4"/>
    <w:rsid w:val="006F65DB"/>
    <w:rsid w:val="006F668E"/>
    <w:rsid w:val="006F6773"/>
    <w:rsid w:val="006F68DC"/>
    <w:rsid w:val="006F6A0A"/>
    <w:rsid w:val="006F6A17"/>
    <w:rsid w:val="006F6B62"/>
    <w:rsid w:val="006F6E79"/>
    <w:rsid w:val="006F6F7D"/>
    <w:rsid w:val="006F7109"/>
    <w:rsid w:val="006F7189"/>
    <w:rsid w:val="006F7404"/>
    <w:rsid w:val="006F74C1"/>
    <w:rsid w:val="006F759E"/>
    <w:rsid w:val="006F75A7"/>
    <w:rsid w:val="006F7623"/>
    <w:rsid w:val="006F767A"/>
    <w:rsid w:val="006F779B"/>
    <w:rsid w:val="006F7829"/>
    <w:rsid w:val="006F7995"/>
    <w:rsid w:val="006F7A24"/>
    <w:rsid w:val="006F7A30"/>
    <w:rsid w:val="006F7A4F"/>
    <w:rsid w:val="006F7B8E"/>
    <w:rsid w:val="006F7E00"/>
    <w:rsid w:val="006F7ECF"/>
    <w:rsid w:val="007000AD"/>
    <w:rsid w:val="00700164"/>
    <w:rsid w:val="007001F3"/>
    <w:rsid w:val="007002C3"/>
    <w:rsid w:val="00700318"/>
    <w:rsid w:val="0070033B"/>
    <w:rsid w:val="007003C5"/>
    <w:rsid w:val="007004B2"/>
    <w:rsid w:val="007004B9"/>
    <w:rsid w:val="00700567"/>
    <w:rsid w:val="0070057C"/>
    <w:rsid w:val="00700674"/>
    <w:rsid w:val="0070068C"/>
    <w:rsid w:val="007006ED"/>
    <w:rsid w:val="0070089D"/>
    <w:rsid w:val="007009B6"/>
    <w:rsid w:val="00700A79"/>
    <w:rsid w:val="00700C1F"/>
    <w:rsid w:val="00700DE1"/>
    <w:rsid w:val="00700F33"/>
    <w:rsid w:val="00701013"/>
    <w:rsid w:val="007011B0"/>
    <w:rsid w:val="007012C8"/>
    <w:rsid w:val="0070142D"/>
    <w:rsid w:val="00701483"/>
    <w:rsid w:val="0070153E"/>
    <w:rsid w:val="00701616"/>
    <w:rsid w:val="0070163A"/>
    <w:rsid w:val="0070168B"/>
    <w:rsid w:val="00701814"/>
    <w:rsid w:val="00701847"/>
    <w:rsid w:val="00701863"/>
    <w:rsid w:val="00701997"/>
    <w:rsid w:val="00701A6D"/>
    <w:rsid w:val="00701BC2"/>
    <w:rsid w:val="00701BDF"/>
    <w:rsid w:val="00701C67"/>
    <w:rsid w:val="00701D7A"/>
    <w:rsid w:val="00701E38"/>
    <w:rsid w:val="00701E5B"/>
    <w:rsid w:val="00701EB8"/>
    <w:rsid w:val="0070220E"/>
    <w:rsid w:val="00702283"/>
    <w:rsid w:val="007022CB"/>
    <w:rsid w:val="007022DA"/>
    <w:rsid w:val="007022DD"/>
    <w:rsid w:val="007025DF"/>
    <w:rsid w:val="0070270C"/>
    <w:rsid w:val="00702722"/>
    <w:rsid w:val="007028D6"/>
    <w:rsid w:val="007028E1"/>
    <w:rsid w:val="007029BC"/>
    <w:rsid w:val="00702BFF"/>
    <w:rsid w:val="00702D0C"/>
    <w:rsid w:val="00702E22"/>
    <w:rsid w:val="00702E85"/>
    <w:rsid w:val="00702EE3"/>
    <w:rsid w:val="00702F0B"/>
    <w:rsid w:val="00702FC5"/>
    <w:rsid w:val="007030D7"/>
    <w:rsid w:val="00703115"/>
    <w:rsid w:val="007031AE"/>
    <w:rsid w:val="00703314"/>
    <w:rsid w:val="007034D3"/>
    <w:rsid w:val="0070356D"/>
    <w:rsid w:val="007036BE"/>
    <w:rsid w:val="00703774"/>
    <w:rsid w:val="0070387E"/>
    <w:rsid w:val="007038A0"/>
    <w:rsid w:val="00703C1C"/>
    <w:rsid w:val="00703C46"/>
    <w:rsid w:val="00703D45"/>
    <w:rsid w:val="00703E75"/>
    <w:rsid w:val="00703E7B"/>
    <w:rsid w:val="00703EBB"/>
    <w:rsid w:val="00703EE5"/>
    <w:rsid w:val="00703F3C"/>
    <w:rsid w:val="00703FD1"/>
    <w:rsid w:val="007041D0"/>
    <w:rsid w:val="0070426F"/>
    <w:rsid w:val="007042AF"/>
    <w:rsid w:val="007048D2"/>
    <w:rsid w:val="00704A25"/>
    <w:rsid w:val="00704BAE"/>
    <w:rsid w:val="00704E51"/>
    <w:rsid w:val="00704E95"/>
    <w:rsid w:val="00704ED4"/>
    <w:rsid w:val="00704FF8"/>
    <w:rsid w:val="00705045"/>
    <w:rsid w:val="00705059"/>
    <w:rsid w:val="007050C0"/>
    <w:rsid w:val="007050E5"/>
    <w:rsid w:val="00705265"/>
    <w:rsid w:val="007052F4"/>
    <w:rsid w:val="00705414"/>
    <w:rsid w:val="00705483"/>
    <w:rsid w:val="00705693"/>
    <w:rsid w:val="007057B3"/>
    <w:rsid w:val="00705881"/>
    <w:rsid w:val="00705896"/>
    <w:rsid w:val="007058C3"/>
    <w:rsid w:val="00705903"/>
    <w:rsid w:val="00705D65"/>
    <w:rsid w:val="00705DCA"/>
    <w:rsid w:val="00705DD0"/>
    <w:rsid w:val="00705FA8"/>
    <w:rsid w:val="007064A9"/>
    <w:rsid w:val="007065B6"/>
    <w:rsid w:val="007066EC"/>
    <w:rsid w:val="00706750"/>
    <w:rsid w:val="00706864"/>
    <w:rsid w:val="00706956"/>
    <w:rsid w:val="00706DBA"/>
    <w:rsid w:val="00706DBF"/>
    <w:rsid w:val="00706ECA"/>
    <w:rsid w:val="00706F62"/>
    <w:rsid w:val="00707131"/>
    <w:rsid w:val="007071A5"/>
    <w:rsid w:val="007071B8"/>
    <w:rsid w:val="0070731B"/>
    <w:rsid w:val="007073D4"/>
    <w:rsid w:val="007074F4"/>
    <w:rsid w:val="007076C9"/>
    <w:rsid w:val="007076DF"/>
    <w:rsid w:val="0070773C"/>
    <w:rsid w:val="007077FC"/>
    <w:rsid w:val="00707AB7"/>
    <w:rsid w:val="00707BB9"/>
    <w:rsid w:val="00707BEC"/>
    <w:rsid w:val="00707C9D"/>
    <w:rsid w:val="00707CE8"/>
    <w:rsid w:val="00707CFF"/>
    <w:rsid w:val="00707D4A"/>
    <w:rsid w:val="00707DB1"/>
    <w:rsid w:val="007100A9"/>
    <w:rsid w:val="007101F5"/>
    <w:rsid w:val="0071020A"/>
    <w:rsid w:val="007103F6"/>
    <w:rsid w:val="007104FA"/>
    <w:rsid w:val="00710556"/>
    <w:rsid w:val="00710628"/>
    <w:rsid w:val="00710698"/>
    <w:rsid w:val="00710A8D"/>
    <w:rsid w:val="00710AF2"/>
    <w:rsid w:val="00710B62"/>
    <w:rsid w:val="00710B6E"/>
    <w:rsid w:val="00710C23"/>
    <w:rsid w:val="00710CA0"/>
    <w:rsid w:val="00710D0B"/>
    <w:rsid w:val="00710F16"/>
    <w:rsid w:val="00711131"/>
    <w:rsid w:val="00711294"/>
    <w:rsid w:val="007113BF"/>
    <w:rsid w:val="0071145D"/>
    <w:rsid w:val="00711523"/>
    <w:rsid w:val="00711733"/>
    <w:rsid w:val="007119C2"/>
    <w:rsid w:val="00711A4E"/>
    <w:rsid w:val="00711BA9"/>
    <w:rsid w:val="00711BE2"/>
    <w:rsid w:val="00711C9C"/>
    <w:rsid w:val="00711D4F"/>
    <w:rsid w:val="00711E2B"/>
    <w:rsid w:val="00711F94"/>
    <w:rsid w:val="00712052"/>
    <w:rsid w:val="00712181"/>
    <w:rsid w:val="007121A0"/>
    <w:rsid w:val="007122C4"/>
    <w:rsid w:val="007122D9"/>
    <w:rsid w:val="00712319"/>
    <w:rsid w:val="007123C1"/>
    <w:rsid w:val="00712424"/>
    <w:rsid w:val="0071254F"/>
    <w:rsid w:val="0071256C"/>
    <w:rsid w:val="007127C0"/>
    <w:rsid w:val="007128F1"/>
    <w:rsid w:val="007128FE"/>
    <w:rsid w:val="00712924"/>
    <w:rsid w:val="00712964"/>
    <w:rsid w:val="00712969"/>
    <w:rsid w:val="00712CB2"/>
    <w:rsid w:val="00712DBD"/>
    <w:rsid w:val="00712EC2"/>
    <w:rsid w:val="00712ED1"/>
    <w:rsid w:val="00713200"/>
    <w:rsid w:val="00713235"/>
    <w:rsid w:val="00713313"/>
    <w:rsid w:val="00713341"/>
    <w:rsid w:val="00713364"/>
    <w:rsid w:val="00713622"/>
    <w:rsid w:val="00713678"/>
    <w:rsid w:val="007136A2"/>
    <w:rsid w:val="00713753"/>
    <w:rsid w:val="00713865"/>
    <w:rsid w:val="0071390E"/>
    <w:rsid w:val="007139B5"/>
    <w:rsid w:val="00713A46"/>
    <w:rsid w:val="00713A4C"/>
    <w:rsid w:val="00713CD6"/>
    <w:rsid w:val="00713D03"/>
    <w:rsid w:val="00713DD3"/>
    <w:rsid w:val="00713E2E"/>
    <w:rsid w:val="00713E38"/>
    <w:rsid w:val="00713E52"/>
    <w:rsid w:val="0071411B"/>
    <w:rsid w:val="0071419A"/>
    <w:rsid w:val="00714314"/>
    <w:rsid w:val="00714426"/>
    <w:rsid w:val="0071444C"/>
    <w:rsid w:val="007144BB"/>
    <w:rsid w:val="007144FB"/>
    <w:rsid w:val="0071458A"/>
    <w:rsid w:val="00714606"/>
    <w:rsid w:val="00714689"/>
    <w:rsid w:val="00714695"/>
    <w:rsid w:val="007146B3"/>
    <w:rsid w:val="007146F9"/>
    <w:rsid w:val="007148F0"/>
    <w:rsid w:val="00714A7F"/>
    <w:rsid w:val="00714ACA"/>
    <w:rsid w:val="00714C2E"/>
    <w:rsid w:val="00714D18"/>
    <w:rsid w:val="00714E2E"/>
    <w:rsid w:val="00714E75"/>
    <w:rsid w:val="00714F20"/>
    <w:rsid w:val="007150AC"/>
    <w:rsid w:val="007151DF"/>
    <w:rsid w:val="00715362"/>
    <w:rsid w:val="0071563F"/>
    <w:rsid w:val="0071580F"/>
    <w:rsid w:val="00715CC8"/>
    <w:rsid w:val="00715D3D"/>
    <w:rsid w:val="00715F25"/>
    <w:rsid w:val="007160F7"/>
    <w:rsid w:val="007161A1"/>
    <w:rsid w:val="007161BC"/>
    <w:rsid w:val="00716291"/>
    <w:rsid w:val="007162CC"/>
    <w:rsid w:val="00716336"/>
    <w:rsid w:val="007163AD"/>
    <w:rsid w:val="0071675E"/>
    <w:rsid w:val="00716832"/>
    <w:rsid w:val="00716855"/>
    <w:rsid w:val="00716A0B"/>
    <w:rsid w:val="00716B91"/>
    <w:rsid w:val="00716D2A"/>
    <w:rsid w:val="00716D4F"/>
    <w:rsid w:val="00716E48"/>
    <w:rsid w:val="00716EDF"/>
    <w:rsid w:val="00717147"/>
    <w:rsid w:val="0071716A"/>
    <w:rsid w:val="007171E7"/>
    <w:rsid w:val="00717357"/>
    <w:rsid w:val="00717447"/>
    <w:rsid w:val="0071747E"/>
    <w:rsid w:val="0071757E"/>
    <w:rsid w:val="0071776E"/>
    <w:rsid w:val="007177AF"/>
    <w:rsid w:val="007177D5"/>
    <w:rsid w:val="00717D1A"/>
    <w:rsid w:val="00717DEF"/>
    <w:rsid w:val="00717E00"/>
    <w:rsid w:val="00717E4C"/>
    <w:rsid w:val="00717F7F"/>
    <w:rsid w:val="00717F86"/>
    <w:rsid w:val="007200AB"/>
    <w:rsid w:val="007203B9"/>
    <w:rsid w:val="007205EC"/>
    <w:rsid w:val="007207B0"/>
    <w:rsid w:val="007207DD"/>
    <w:rsid w:val="00720960"/>
    <w:rsid w:val="00720A2A"/>
    <w:rsid w:val="00720A51"/>
    <w:rsid w:val="00720AC1"/>
    <w:rsid w:val="00720B36"/>
    <w:rsid w:val="00720D2B"/>
    <w:rsid w:val="00721097"/>
    <w:rsid w:val="007212C6"/>
    <w:rsid w:val="00721553"/>
    <w:rsid w:val="007215B5"/>
    <w:rsid w:val="00721695"/>
    <w:rsid w:val="007216C5"/>
    <w:rsid w:val="0072174A"/>
    <w:rsid w:val="007217C0"/>
    <w:rsid w:val="00721800"/>
    <w:rsid w:val="00721860"/>
    <w:rsid w:val="0072189D"/>
    <w:rsid w:val="007218D6"/>
    <w:rsid w:val="0072191C"/>
    <w:rsid w:val="00721967"/>
    <w:rsid w:val="0072198E"/>
    <w:rsid w:val="00721F45"/>
    <w:rsid w:val="00721F58"/>
    <w:rsid w:val="00721FBD"/>
    <w:rsid w:val="00722223"/>
    <w:rsid w:val="0072227B"/>
    <w:rsid w:val="007222F7"/>
    <w:rsid w:val="00722388"/>
    <w:rsid w:val="007223D4"/>
    <w:rsid w:val="00722404"/>
    <w:rsid w:val="007224D4"/>
    <w:rsid w:val="0072255E"/>
    <w:rsid w:val="00722602"/>
    <w:rsid w:val="007226B2"/>
    <w:rsid w:val="00722A4B"/>
    <w:rsid w:val="00722B30"/>
    <w:rsid w:val="00722B9D"/>
    <w:rsid w:val="00722BEC"/>
    <w:rsid w:val="00722C10"/>
    <w:rsid w:val="00722D9A"/>
    <w:rsid w:val="00722E47"/>
    <w:rsid w:val="00722ECD"/>
    <w:rsid w:val="00723028"/>
    <w:rsid w:val="007230A8"/>
    <w:rsid w:val="007230F8"/>
    <w:rsid w:val="0072325C"/>
    <w:rsid w:val="00723270"/>
    <w:rsid w:val="0072329D"/>
    <w:rsid w:val="00723331"/>
    <w:rsid w:val="00723342"/>
    <w:rsid w:val="00723531"/>
    <w:rsid w:val="007235A2"/>
    <w:rsid w:val="00723624"/>
    <w:rsid w:val="0072362A"/>
    <w:rsid w:val="00723704"/>
    <w:rsid w:val="00723838"/>
    <w:rsid w:val="00723901"/>
    <w:rsid w:val="00723A8B"/>
    <w:rsid w:val="00723C66"/>
    <w:rsid w:val="00723F48"/>
    <w:rsid w:val="0072438E"/>
    <w:rsid w:val="00724670"/>
    <w:rsid w:val="007246FB"/>
    <w:rsid w:val="00724729"/>
    <w:rsid w:val="00724900"/>
    <w:rsid w:val="0072492D"/>
    <w:rsid w:val="00724BE5"/>
    <w:rsid w:val="00724F7E"/>
    <w:rsid w:val="007250AE"/>
    <w:rsid w:val="007250F5"/>
    <w:rsid w:val="007251D1"/>
    <w:rsid w:val="0072528F"/>
    <w:rsid w:val="00725382"/>
    <w:rsid w:val="00725437"/>
    <w:rsid w:val="007254E6"/>
    <w:rsid w:val="00725587"/>
    <w:rsid w:val="007255B3"/>
    <w:rsid w:val="00725660"/>
    <w:rsid w:val="00725664"/>
    <w:rsid w:val="0072573A"/>
    <w:rsid w:val="00725927"/>
    <w:rsid w:val="007259C8"/>
    <w:rsid w:val="00725AE1"/>
    <w:rsid w:val="00725B27"/>
    <w:rsid w:val="00725B33"/>
    <w:rsid w:val="00725C06"/>
    <w:rsid w:val="00725C44"/>
    <w:rsid w:val="00725FA5"/>
    <w:rsid w:val="007261B1"/>
    <w:rsid w:val="007261BB"/>
    <w:rsid w:val="007261DF"/>
    <w:rsid w:val="007262BE"/>
    <w:rsid w:val="0072630B"/>
    <w:rsid w:val="00726404"/>
    <w:rsid w:val="00726467"/>
    <w:rsid w:val="00726545"/>
    <w:rsid w:val="00726657"/>
    <w:rsid w:val="0072669A"/>
    <w:rsid w:val="00726760"/>
    <w:rsid w:val="00726798"/>
    <w:rsid w:val="007268ED"/>
    <w:rsid w:val="00726901"/>
    <w:rsid w:val="007269C9"/>
    <w:rsid w:val="00726D91"/>
    <w:rsid w:val="00726E1E"/>
    <w:rsid w:val="00726E63"/>
    <w:rsid w:val="00726EB8"/>
    <w:rsid w:val="00726F6F"/>
    <w:rsid w:val="00727328"/>
    <w:rsid w:val="007273D2"/>
    <w:rsid w:val="00727451"/>
    <w:rsid w:val="00727604"/>
    <w:rsid w:val="007278FA"/>
    <w:rsid w:val="00727B76"/>
    <w:rsid w:val="00727BB6"/>
    <w:rsid w:val="00727BE6"/>
    <w:rsid w:val="00727C0F"/>
    <w:rsid w:val="00727D83"/>
    <w:rsid w:val="00727DDF"/>
    <w:rsid w:val="007301E4"/>
    <w:rsid w:val="00730278"/>
    <w:rsid w:val="00730392"/>
    <w:rsid w:val="00730421"/>
    <w:rsid w:val="0073043A"/>
    <w:rsid w:val="00730525"/>
    <w:rsid w:val="00730612"/>
    <w:rsid w:val="00730675"/>
    <w:rsid w:val="0073067F"/>
    <w:rsid w:val="00730732"/>
    <w:rsid w:val="007307A0"/>
    <w:rsid w:val="007307B1"/>
    <w:rsid w:val="007307E2"/>
    <w:rsid w:val="007308A0"/>
    <w:rsid w:val="007309E1"/>
    <w:rsid w:val="00730AF1"/>
    <w:rsid w:val="00730C4D"/>
    <w:rsid w:val="00730CA1"/>
    <w:rsid w:val="00730D92"/>
    <w:rsid w:val="00730EF2"/>
    <w:rsid w:val="0073108E"/>
    <w:rsid w:val="00731179"/>
    <w:rsid w:val="0073125B"/>
    <w:rsid w:val="007312B9"/>
    <w:rsid w:val="007312F6"/>
    <w:rsid w:val="0073131F"/>
    <w:rsid w:val="007313EB"/>
    <w:rsid w:val="007314D5"/>
    <w:rsid w:val="00731561"/>
    <w:rsid w:val="00731563"/>
    <w:rsid w:val="00731838"/>
    <w:rsid w:val="00731A9E"/>
    <w:rsid w:val="00731B0F"/>
    <w:rsid w:val="00731F2F"/>
    <w:rsid w:val="00731FCF"/>
    <w:rsid w:val="007321B5"/>
    <w:rsid w:val="0073225A"/>
    <w:rsid w:val="0073226C"/>
    <w:rsid w:val="00732273"/>
    <w:rsid w:val="007322D6"/>
    <w:rsid w:val="007322D9"/>
    <w:rsid w:val="007322E2"/>
    <w:rsid w:val="00732358"/>
    <w:rsid w:val="00732378"/>
    <w:rsid w:val="00732515"/>
    <w:rsid w:val="00732624"/>
    <w:rsid w:val="00732652"/>
    <w:rsid w:val="007326B0"/>
    <w:rsid w:val="007326BB"/>
    <w:rsid w:val="00732948"/>
    <w:rsid w:val="00732A01"/>
    <w:rsid w:val="00732A5C"/>
    <w:rsid w:val="00732A94"/>
    <w:rsid w:val="00732CBF"/>
    <w:rsid w:val="00732CE3"/>
    <w:rsid w:val="00732E0D"/>
    <w:rsid w:val="00732E67"/>
    <w:rsid w:val="00732F34"/>
    <w:rsid w:val="0073323A"/>
    <w:rsid w:val="00733269"/>
    <w:rsid w:val="00733324"/>
    <w:rsid w:val="0073332E"/>
    <w:rsid w:val="00733453"/>
    <w:rsid w:val="007334E0"/>
    <w:rsid w:val="007335A8"/>
    <w:rsid w:val="007335C3"/>
    <w:rsid w:val="0073375B"/>
    <w:rsid w:val="00733AF3"/>
    <w:rsid w:val="00733BD5"/>
    <w:rsid w:val="00733C93"/>
    <w:rsid w:val="00733EAB"/>
    <w:rsid w:val="00733FD1"/>
    <w:rsid w:val="00734379"/>
    <w:rsid w:val="00734605"/>
    <w:rsid w:val="00734798"/>
    <w:rsid w:val="00734981"/>
    <w:rsid w:val="007349B9"/>
    <w:rsid w:val="00734AB8"/>
    <w:rsid w:val="00734B6D"/>
    <w:rsid w:val="00734B91"/>
    <w:rsid w:val="00734CAB"/>
    <w:rsid w:val="00734CAC"/>
    <w:rsid w:val="00734CFE"/>
    <w:rsid w:val="00734D2A"/>
    <w:rsid w:val="00734D73"/>
    <w:rsid w:val="007352F0"/>
    <w:rsid w:val="007354B4"/>
    <w:rsid w:val="007355D4"/>
    <w:rsid w:val="007355E0"/>
    <w:rsid w:val="00735635"/>
    <w:rsid w:val="007356E2"/>
    <w:rsid w:val="0073599C"/>
    <w:rsid w:val="00735AC4"/>
    <w:rsid w:val="00735BB9"/>
    <w:rsid w:val="00735CE0"/>
    <w:rsid w:val="00735DE7"/>
    <w:rsid w:val="00735DF4"/>
    <w:rsid w:val="007360B3"/>
    <w:rsid w:val="0073610D"/>
    <w:rsid w:val="0073614D"/>
    <w:rsid w:val="00736444"/>
    <w:rsid w:val="007364A6"/>
    <w:rsid w:val="00736570"/>
    <w:rsid w:val="007366B8"/>
    <w:rsid w:val="007366C5"/>
    <w:rsid w:val="007366E0"/>
    <w:rsid w:val="00736793"/>
    <w:rsid w:val="007368B2"/>
    <w:rsid w:val="00736A8C"/>
    <w:rsid w:val="00736B2A"/>
    <w:rsid w:val="00736D89"/>
    <w:rsid w:val="00736EEF"/>
    <w:rsid w:val="00736F97"/>
    <w:rsid w:val="00736FB4"/>
    <w:rsid w:val="007370D5"/>
    <w:rsid w:val="00737126"/>
    <w:rsid w:val="0073717A"/>
    <w:rsid w:val="007371BF"/>
    <w:rsid w:val="007372CF"/>
    <w:rsid w:val="00737315"/>
    <w:rsid w:val="00737341"/>
    <w:rsid w:val="007373EC"/>
    <w:rsid w:val="00737401"/>
    <w:rsid w:val="0073743D"/>
    <w:rsid w:val="00737443"/>
    <w:rsid w:val="00737582"/>
    <w:rsid w:val="007375CE"/>
    <w:rsid w:val="0073788F"/>
    <w:rsid w:val="00737921"/>
    <w:rsid w:val="00737962"/>
    <w:rsid w:val="00737981"/>
    <w:rsid w:val="00737B4E"/>
    <w:rsid w:val="00737C98"/>
    <w:rsid w:val="00737E21"/>
    <w:rsid w:val="00737FA5"/>
    <w:rsid w:val="0074009C"/>
    <w:rsid w:val="007400E4"/>
    <w:rsid w:val="007402B0"/>
    <w:rsid w:val="007403CE"/>
    <w:rsid w:val="0074045F"/>
    <w:rsid w:val="00740690"/>
    <w:rsid w:val="00740693"/>
    <w:rsid w:val="0074084D"/>
    <w:rsid w:val="007409C0"/>
    <w:rsid w:val="00740BBE"/>
    <w:rsid w:val="00740C9D"/>
    <w:rsid w:val="00740CAF"/>
    <w:rsid w:val="00740D1B"/>
    <w:rsid w:val="00740F4B"/>
    <w:rsid w:val="00741180"/>
    <w:rsid w:val="00741185"/>
    <w:rsid w:val="0074126D"/>
    <w:rsid w:val="00741318"/>
    <w:rsid w:val="00741363"/>
    <w:rsid w:val="00741442"/>
    <w:rsid w:val="007414CA"/>
    <w:rsid w:val="0074163B"/>
    <w:rsid w:val="007417C1"/>
    <w:rsid w:val="00741B83"/>
    <w:rsid w:val="00741C27"/>
    <w:rsid w:val="00741D35"/>
    <w:rsid w:val="00741D75"/>
    <w:rsid w:val="00742007"/>
    <w:rsid w:val="007420FD"/>
    <w:rsid w:val="0074212E"/>
    <w:rsid w:val="0074221F"/>
    <w:rsid w:val="0074224D"/>
    <w:rsid w:val="0074225D"/>
    <w:rsid w:val="00742271"/>
    <w:rsid w:val="007422C2"/>
    <w:rsid w:val="007422EE"/>
    <w:rsid w:val="007422FF"/>
    <w:rsid w:val="00742483"/>
    <w:rsid w:val="00742833"/>
    <w:rsid w:val="0074284E"/>
    <w:rsid w:val="00742866"/>
    <w:rsid w:val="00742906"/>
    <w:rsid w:val="00742A3B"/>
    <w:rsid w:val="00742A65"/>
    <w:rsid w:val="00742AA9"/>
    <w:rsid w:val="00742BCC"/>
    <w:rsid w:val="00742C65"/>
    <w:rsid w:val="007430EA"/>
    <w:rsid w:val="007432FF"/>
    <w:rsid w:val="0074336F"/>
    <w:rsid w:val="0074381F"/>
    <w:rsid w:val="007439F3"/>
    <w:rsid w:val="00743AEA"/>
    <w:rsid w:val="00743B17"/>
    <w:rsid w:val="00743BFB"/>
    <w:rsid w:val="00743C82"/>
    <w:rsid w:val="00743EB4"/>
    <w:rsid w:val="00743F31"/>
    <w:rsid w:val="00744228"/>
    <w:rsid w:val="007442A5"/>
    <w:rsid w:val="007444AF"/>
    <w:rsid w:val="007445D4"/>
    <w:rsid w:val="0074461E"/>
    <w:rsid w:val="0074472B"/>
    <w:rsid w:val="0074476E"/>
    <w:rsid w:val="00744A49"/>
    <w:rsid w:val="00744B65"/>
    <w:rsid w:val="00744BB5"/>
    <w:rsid w:val="00744C3D"/>
    <w:rsid w:val="00744E38"/>
    <w:rsid w:val="0074503E"/>
    <w:rsid w:val="0074512F"/>
    <w:rsid w:val="0074521F"/>
    <w:rsid w:val="007454F5"/>
    <w:rsid w:val="0074554C"/>
    <w:rsid w:val="0074560B"/>
    <w:rsid w:val="00745667"/>
    <w:rsid w:val="00745727"/>
    <w:rsid w:val="00745731"/>
    <w:rsid w:val="00745762"/>
    <w:rsid w:val="0074580D"/>
    <w:rsid w:val="0074590C"/>
    <w:rsid w:val="00745CF5"/>
    <w:rsid w:val="00745CFD"/>
    <w:rsid w:val="00745D5A"/>
    <w:rsid w:val="00745DC7"/>
    <w:rsid w:val="00745EEE"/>
    <w:rsid w:val="00746047"/>
    <w:rsid w:val="00746357"/>
    <w:rsid w:val="00746522"/>
    <w:rsid w:val="00746670"/>
    <w:rsid w:val="0074673C"/>
    <w:rsid w:val="007467AF"/>
    <w:rsid w:val="007468E9"/>
    <w:rsid w:val="007468FA"/>
    <w:rsid w:val="007469C1"/>
    <w:rsid w:val="007469C7"/>
    <w:rsid w:val="00746A00"/>
    <w:rsid w:val="00746A89"/>
    <w:rsid w:val="00746C03"/>
    <w:rsid w:val="00746CA9"/>
    <w:rsid w:val="00746D37"/>
    <w:rsid w:val="00746E58"/>
    <w:rsid w:val="00746EF4"/>
    <w:rsid w:val="00746F14"/>
    <w:rsid w:val="0074735C"/>
    <w:rsid w:val="00747620"/>
    <w:rsid w:val="00747721"/>
    <w:rsid w:val="007477EE"/>
    <w:rsid w:val="00747801"/>
    <w:rsid w:val="00747942"/>
    <w:rsid w:val="00747A9E"/>
    <w:rsid w:val="00747ACB"/>
    <w:rsid w:val="00747B84"/>
    <w:rsid w:val="00747D69"/>
    <w:rsid w:val="00747DC9"/>
    <w:rsid w:val="00747DD8"/>
    <w:rsid w:val="00747E6E"/>
    <w:rsid w:val="0075004C"/>
    <w:rsid w:val="00750079"/>
    <w:rsid w:val="0075011E"/>
    <w:rsid w:val="00750145"/>
    <w:rsid w:val="007501E3"/>
    <w:rsid w:val="007502A3"/>
    <w:rsid w:val="007502D0"/>
    <w:rsid w:val="0075038C"/>
    <w:rsid w:val="00750548"/>
    <w:rsid w:val="00750563"/>
    <w:rsid w:val="00750664"/>
    <w:rsid w:val="00750715"/>
    <w:rsid w:val="00750764"/>
    <w:rsid w:val="0075080B"/>
    <w:rsid w:val="00750A74"/>
    <w:rsid w:val="00750ADC"/>
    <w:rsid w:val="00750BAB"/>
    <w:rsid w:val="00750D2D"/>
    <w:rsid w:val="00750E6E"/>
    <w:rsid w:val="00750E90"/>
    <w:rsid w:val="00750F44"/>
    <w:rsid w:val="00750F5B"/>
    <w:rsid w:val="00751210"/>
    <w:rsid w:val="0075135B"/>
    <w:rsid w:val="00751417"/>
    <w:rsid w:val="00751469"/>
    <w:rsid w:val="007516D0"/>
    <w:rsid w:val="0075193D"/>
    <w:rsid w:val="007519A6"/>
    <w:rsid w:val="00751AD8"/>
    <w:rsid w:val="00751AE6"/>
    <w:rsid w:val="00751B16"/>
    <w:rsid w:val="00751BCF"/>
    <w:rsid w:val="00751BE9"/>
    <w:rsid w:val="00751C91"/>
    <w:rsid w:val="00751D88"/>
    <w:rsid w:val="00751E26"/>
    <w:rsid w:val="00751E94"/>
    <w:rsid w:val="00751E9C"/>
    <w:rsid w:val="00752161"/>
    <w:rsid w:val="007521CC"/>
    <w:rsid w:val="0075225D"/>
    <w:rsid w:val="00752344"/>
    <w:rsid w:val="00752369"/>
    <w:rsid w:val="0075249C"/>
    <w:rsid w:val="007525B9"/>
    <w:rsid w:val="00752825"/>
    <w:rsid w:val="00752885"/>
    <w:rsid w:val="007529B8"/>
    <w:rsid w:val="00752CDA"/>
    <w:rsid w:val="00752D63"/>
    <w:rsid w:val="00752E50"/>
    <w:rsid w:val="00752EB0"/>
    <w:rsid w:val="00752ED5"/>
    <w:rsid w:val="00752F27"/>
    <w:rsid w:val="0075315C"/>
    <w:rsid w:val="0075332A"/>
    <w:rsid w:val="00753498"/>
    <w:rsid w:val="007535B0"/>
    <w:rsid w:val="00753653"/>
    <w:rsid w:val="007537D4"/>
    <w:rsid w:val="00753835"/>
    <w:rsid w:val="0075383F"/>
    <w:rsid w:val="00753855"/>
    <w:rsid w:val="007538CF"/>
    <w:rsid w:val="007539C1"/>
    <w:rsid w:val="00753B2E"/>
    <w:rsid w:val="00753BD2"/>
    <w:rsid w:val="00753C52"/>
    <w:rsid w:val="00753C6F"/>
    <w:rsid w:val="00753D9F"/>
    <w:rsid w:val="00753E82"/>
    <w:rsid w:val="00753F10"/>
    <w:rsid w:val="00753FE3"/>
    <w:rsid w:val="00753FFD"/>
    <w:rsid w:val="007540B5"/>
    <w:rsid w:val="007540DA"/>
    <w:rsid w:val="007541AF"/>
    <w:rsid w:val="00754238"/>
    <w:rsid w:val="0075423E"/>
    <w:rsid w:val="0075429F"/>
    <w:rsid w:val="00754380"/>
    <w:rsid w:val="00754475"/>
    <w:rsid w:val="00754512"/>
    <w:rsid w:val="0075451D"/>
    <w:rsid w:val="00754568"/>
    <w:rsid w:val="00754672"/>
    <w:rsid w:val="007547DF"/>
    <w:rsid w:val="007548D8"/>
    <w:rsid w:val="00754901"/>
    <w:rsid w:val="00754914"/>
    <w:rsid w:val="00754A98"/>
    <w:rsid w:val="00754ABD"/>
    <w:rsid w:val="00754AEF"/>
    <w:rsid w:val="00754B20"/>
    <w:rsid w:val="00754BF8"/>
    <w:rsid w:val="00754C35"/>
    <w:rsid w:val="00754C69"/>
    <w:rsid w:val="00754D2B"/>
    <w:rsid w:val="00755131"/>
    <w:rsid w:val="007551DA"/>
    <w:rsid w:val="007552E1"/>
    <w:rsid w:val="007552E4"/>
    <w:rsid w:val="00755310"/>
    <w:rsid w:val="00755382"/>
    <w:rsid w:val="00755427"/>
    <w:rsid w:val="0075549E"/>
    <w:rsid w:val="007554DC"/>
    <w:rsid w:val="007558ED"/>
    <w:rsid w:val="00755916"/>
    <w:rsid w:val="00755A28"/>
    <w:rsid w:val="00755A70"/>
    <w:rsid w:val="00755C5F"/>
    <w:rsid w:val="00755DC5"/>
    <w:rsid w:val="00755DDD"/>
    <w:rsid w:val="00755E20"/>
    <w:rsid w:val="00755F01"/>
    <w:rsid w:val="00755FD4"/>
    <w:rsid w:val="00756130"/>
    <w:rsid w:val="007562D2"/>
    <w:rsid w:val="00756351"/>
    <w:rsid w:val="00756383"/>
    <w:rsid w:val="007565B1"/>
    <w:rsid w:val="007565F9"/>
    <w:rsid w:val="007567B9"/>
    <w:rsid w:val="0075691A"/>
    <w:rsid w:val="00756B03"/>
    <w:rsid w:val="00756C30"/>
    <w:rsid w:val="00756CA4"/>
    <w:rsid w:val="00756CD2"/>
    <w:rsid w:val="00756CE3"/>
    <w:rsid w:val="00756D08"/>
    <w:rsid w:val="00756DA4"/>
    <w:rsid w:val="00756DC8"/>
    <w:rsid w:val="00756E86"/>
    <w:rsid w:val="00756EA0"/>
    <w:rsid w:val="00756EA1"/>
    <w:rsid w:val="00756EA3"/>
    <w:rsid w:val="00756EE5"/>
    <w:rsid w:val="00756FC8"/>
    <w:rsid w:val="00757147"/>
    <w:rsid w:val="007571B5"/>
    <w:rsid w:val="00757304"/>
    <w:rsid w:val="007573C3"/>
    <w:rsid w:val="007574AF"/>
    <w:rsid w:val="007574C8"/>
    <w:rsid w:val="0075751A"/>
    <w:rsid w:val="0075771F"/>
    <w:rsid w:val="00757884"/>
    <w:rsid w:val="007578F5"/>
    <w:rsid w:val="00757C15"/>
    <w:rsid w:val="00757C56"/>
    <w:rsid w:val="00757DAD"/>
    <w:rsid w:val="00757EC6"/>
    <w:rsid w:val="00757ED3"/>
    <w:rsid w:val="00757FA0"/>
    <w:rsid w:val="00760136"/>
    <w:rsid w:val="00760592"/>
    <w:rsid w:val="0076060F"/>
    <w:rsid w:val="0076073B"/>
    <w:rsid w:val="00760854"/>
    <w:rsid w:val="0076090F"/>
    <w:rsid w:val="00760945"/>
    <w:rsid w:val="00760959"/>
    <w:rsid w:val="00760A20"/>
    <w:rsid w:val="00760B73"/>
    <w:rsid w:val="00760BF6"/>
    <w:rsid w:val="00760EB3"/>
    <w:rsid w:val="00760F71"/>
    <w:rsid w:val="00761126"/>
    <w:rsid w:val="007611A1"/>
    <w:rsid w:val="007611B7"/>
    <w:rsid w:val="00761205"/>
    <w:rsid w:val="0076120F"/>
    <w:rsid w:val="00761350"/>
    <w:rsid w:val="0076137C"/>
    <w:rsid w:val="00761566"/>
    <w:rsid w:val="0076160F"/>
    <w:rsid w:val="00761627"/>
    <w:rsid w:val="00761684"/>
    <w:rsid w:val="00761689"/>
    <w:rsid w:val="0076169F"/>
    <w:rsid w:val="007616A5"/>
    <w:rsid w:val="007617A0"/>
    <w:rsid w:val="007617A9"/>
    <w:rsid w:val="007618D1"/>
    <w:rsid w:val="00761958"/>
    <w:rsid w:val="00761A9D"/>
    <w:rsid w:val="00761BAB"/>
    <w:rsid w:val="00761C26"/>
    <w:rsid w:val="00761CD9"/>
    <w:rsid w:val="00761D1B"/>
    <w:rsid w:val="00761E21"/>
    <w:rsid w:val="00761F84"/>
    <w:rsid w:val="00762047"/>
    <w:rsid w:val="00762099"/>
    <w:rsid w:val="00762215"/>
    <w:rsid w:val="00762222"/>
    <w:rsid w:val="00762294"/>
    <w:rsid w:val="007622C8"/>
    <w:rsid w:val="00762321"/>
    <w:rsid w:val="00762384"/>
    <w:rsid w:val="007624E7"/>
    <w:rsid w:val="007625BD"/>
    <w:rsid w:val="00762654"/>
    <w:rsid w:val="00762728"/>
    <w:rsid w:val="0076275A"/>
    <w:rsid w:val="0076277B"/>
    <w:rsid w:val="00762819"/>
    <w:rsid w:val="0076288A"/>
    <w:rsid w:val="007628D2"/>
    <w:rsid w:val="00762A28"/>
    <w:rsid w:val="00762BA2"/>
    <w:rsid w:val="00762C26"/>
    <w:rsid w:val="00762C95"/>
    <w:rsid w:val="00762CFB"/>
    <w:rsid w:val="00762D02"/>
    <w:rsid w:val="00762F69"/>
    <w:rsid w:val="00762FA9"/>
    <w:rsid w:val="00762FAE"/>
    <w:rsid w:val="007630E4"/>
    <w:rsid w:val="00763443"/>
    <w:rsid w:val="00763852"/>
    <w:rsid w:val="0076386F"/>
    <w:rsid w:val="0076389B"/>
    <w:rsid w:val="007638B9"/>
    <w:rsid w:val="0076392F"/>
    <w:rsid w:val="0076397D"/>
    <w:rsid w:val="00763C2B"/>
    <w:rsid w:val="00763C65"/>
    <w:rsid w:val="00763D68"/>
    <w:rsid w:val="00763E37"/>
    <w:rsid w:val="00763F5D"/>
    <w:rsid w:val="00763F9E"/>
    <w:rsid w:val="00764013"/>
    <w:rsid w:val="0076416C"/>
    <w:rsid w:val="0076426D"/>
    <w:rsid w:val="007642F3"/>
    <w:rsid w:val="0076433D"/>
    <w:rsid w:val="00764943"/>
    <w:rsid w:val="00764B63"/>
    <w:rsid w:val="00764BA6"/>
    <w:rsid w:val="00764CF7"/>
    <w:rsid w:val="00764FCB"/>
    <w:rsid w:val="00765016"/>
    <w:rsid w:val="0076505F"/>
    <w:rsid w:val="007650D7"/>
    <w:rsid w:val="00765158"/>
    <w:rsid w:val="00765597"/>
    <w:rsid w:val="00765732"/>
    <w:rsid w:val="00765775"/>
    <w:rsid w:val="007657A0"/>
    <w:rsid w:val="00765885"/>
    <w:rsid w:val="007658CB"/>
    <w:rsid w:val="007658D0"/>
    <w:rsid w:val="007658F1"/>
    <w:rsid w:val="007658F7"/>
    <w:rsid w:val="00765948"/>
    <w:rsid w:val="007659EE"/>
    <w:rsid w:val="00765A50"/>
    <w:rsid w:val="00765AF1"/>
    <w:rsid w:val="00765C76"/>
    <w:rsid w:val="00765D08"/>
    <w:rsid w:val="00765D7A"/>
    <w:rsid w:val="00765EC0"/>
    <w:rsid w:val="00765F04"/>
    <w:rsid w:val="007661D6"/>
    <w:rsid w:val="0076628A"/>
    <w:rsid w:val="00766392"/>
    <w:rsid w:val="0076644F"/>
    <w:rsid w:val="0076650B"/>
    <w:rsid w:val="0076682F"/>
    <w:rsid w:val="00766978"/>
    <w:rsid w:val="00766C36"/>
    <w:rsid w:val="00766C39"/>
    <w:rsid w:val="00766CF2"/>
    <w:rsid w:val="00766D67"/>
    <w:rsid w:val="0076754A"/>
    <w:rsid w:val="00767611"/>
    <w:rsid w:val="0076761C"/>
    <w:rsid w:val="007676B3"/>
    <w:rsid w:val="007677CF"/>
    <w:rsid w:val="00767839"/>
    <w:rsid w:val="007678E5"/>
    <w:rsid w:val="00767A0D"/>
    <w:rsid w:val="00767A2D"/>
    <w:rsid w:val="00767CFE"/>
    <w:rsid w:val="00767D75"/>
    <w:rsid w:val="00767DD9"/>
    <w:rsid w:val="00767E2E"/>
    <w:rsid w:val="00767F06"/>
    <w:rsid w:val="00770055"/>
    <w:rsid w:val="00770158"/>
    <w:rsid w:val="0077021F"/>
    <w:rsid w:val="007704DA"/>
    <w:rsid w:val="00770782"/>
    <w:rsid w:val="0077078B"/>
    <w:rsid w:val="0077080F"/>
    <w:rsid w:val="0077097A"/>
    <w:rsid w:val="00770B54"/>
    <w:rsid w:val="00770B75"/>
    <w:rsid w:val="00770BA3"/>
    <w:rsid w:val="00770BC1"/>
    <w:rsid w:val="00770E2F"/>
    <w:rsid w:val="00770F3C"/>
    <w:rsid w:val="007710AA"/>
    <w:rsid w:val="0077117A"/>
    <w:rsid w:val="007711D4"/>
    <w:rsid w:val="007711F8"/>
    <w:rsid w:val="007712EF"/>
    <w:rsid w:val="0077136A"/>
    <w:rsid w:val="00771385"/>
    <w:rsid w:val="00771515"/>
    <w:rsid w:val="0077158B"/>
    <w:rsid w:val="007716F7"/>
    <w:rsid w:val="0077177D"/>
    <w:rsid w:val="00771921"/>
    <w:rsid w:val="00771D84"/>
    <w:rsid w:val="00771E75"/>
    <w:rsid w:val="007723FF"/>
    <w:rsid w:val="00772567"/>
    <w:rsid w:val="00772638"/>
    <w:rsid w:val="00772697"/>
    <w:rsid w:val="007727C0"/>
    <w:rsid w:val="0077284D"/>
    <w:rsid w:val="0077286A"/>
    <w:rsid w:val="0077287B"/>
    <w:rsid w:val="007728C9"/>
    <w:rsid w:val="007728EA"/>
    <w:rsid w:val="00772943"/>
    <w:rsid w:val="007729E8"/>
    <w:rsid w:val="00772A1C"/>
    <w:rsid w:val="00772A94"/>
    <w:rsid w:val="00772B96"/>
    <w:rsid w:val="00772DEB"/>
    <w:rsid w:val="00772E90"/>
    <w:rsid w:val="00772F18"/>
    <w:rsid w:val="007730B3"/>
    <w:rsid w:val="007730D2"/>
    <w:rsid w:val="00773101"/>
    <w:rsid w:val="0077320D"/>
    <w:rsid w:val="007732B6"/>
    <w:rsid w:val="0077351A"/>
    <w:rsid w:val="007736F4"/>
    <w:rsid w:val="00773721"/>
    <w:rsid w:val="0077391A"/>
    <w:rsid w:val="00773F15"/>
    <w:rsid w:val="00773F63"/>
    <w:rsid w:val="00774046"/>
    <w:rsid w:val="00774063"/>
    <w:rsid w:val="007740F1"/>
    <w:rsid w:val="00774104"/>
    <w:rsid w:val="00774110"/>
    <w:rsid w:val="007741C4"/>
    <w:rsid w:val="00774404"/>
    <w:rsid w:val="0077450D"/>
    <w:rsid w:val="00774576"/>
    <w:rsid w:val="007746FA"/>
    <w:rsid w:val="00774763"/>
    <w:rsid w:val="0077486E"/>
    <w:rsid w:val="00774874"/>
    <w:rsid w:val="00774A26"/>
    <w:rsid w:val="00774B18"/>
    <w:rsid w:val="00774BB1"/>
    <w:rsid w:val="00774BCA"/>
    <w:rsid w:val="00774D4A"/>
    <w:rsid w:val="00774DA1"/>
    <w:rsid w:val="00774DB0"/>
    <w:rsid w:val="00774E4E"/>
    <w:rsid w:val="007751BB"/>
    <w:rsid w:val="0077523F"/>
    <w:rsid w:val="007752B7"/>
    <w:rsid w:val="00775369"/>
    <w:rsid w:val="0077553B"/>
    <w:rsid w:val="0077554B"/>
    <w:rsid w:val="007755F8"/>
    <w:rsid w:val="0077572E"/>
    <w:rsid w:val="00775785"/>
    <w:rsid w:val="00775864"/>
    <w:rsid w:val="00775956"/>
    <w:rsid w:val="007759B7"/>
    <w:rsid w:val="007759D2"/>
    <w:rsid w:val="00775C20"/>
    <w:rsid w:val="00775C3C"/>
    <w:rsid w:val="00775C74"/>
    <w:rsid w:val="00775E46"/>
    <w:rsid w:val="00775E96"/>
    <w:rsid w:val="007760E3"/>
    <w:rsid w:val="0077613F"/>
    <w:rsid w:val="0077622C"/>
    <w:rsid w:val="007762D2"/>
    <w:rsid w:val="0077638A"/>
    <w:rsid w:val="00776408"/>
    <w:rsid w:val="00776479"/>
    <w:rsid w:val="0077649F"/>
    <w:rsid w:val="00776537"/>
    <w:rsid w:val="00776667"/>
    <w:rsid w:val="007767B7"/>
    <w:rsid w:val="00776821"/>
    <w:rsid w:val="0077683E"/>
    <w:rsid w:val="007768BF"/>
    <w:rsid w:val="0077690E"/>
    <w:rsid w:val="007769C3"/>
    <w:rsid w:val="00776AA4"/>
    <w:rsid w:val="00776AAD"/>
    <w:rsid w:val="00776AB1"/>
    <w:rsid w:val="00776B14"/>
    <w:rsid w:val="00776C50"/>
    <w:rsid w:val="00776D36"/>
    <w:rsid w:val="00776E48"/>
    <w:rsid w:val="00776E5F"/>
    <w:rsid w:val="0077732B"/>
    <w:rsid w:val="007773A9"/>
    <w:rsid w:val="0077741B"/>
    <w:rsid w:val="00777488"/>
    <w:rsid w:val="0077751D"/>
    <w:rsid w:val="00777687"/>
    <w:rsid w:val="007776C1"/>
    <w:rsid w:val="00777852"/>
    <w:rsid w:val="007779AA"/>
    <w:rsid w:val="00777BAC"/>
    <w:rsid w:val="00777BCC"/>
    <w:rsid w:val="00777BD9"/>
    <w:rsid w:val="00777BF2"/>
    <w:rsid w:val="00777CED"/>
    <w:rsid w:val="00777DA8"/>
    <w:rsid w:val="00777F90"/>
    <w:rsid w:val="00777FEB"/>
    <w:rsid w:val="00780131"/>
    <w:rsid w:val="00780286"/>
    <w:rsid w:val="00780337"/>
    <w:rsid w:val="00780651"/>
    <w:rsid w:val="00780954"/>
    <w:rsid w:val="00780A3F"/>
    <w:rsid w:val="00780BBA"/>
    <w:rsid w:val="00780E21"/>
    <w:rsid w:val="00780E3C"/>
    <w:rsid w:val="007810F7"/>
    <w:rsid w:val="0078117B"/>
    <w:rsid w:val="00781299"/>
    <w:rsid w:val="00781317"/>
    <w:rsid w:val="007814AB"/>
    <w:rsid w:val="0078153C"/>
    <w:rsid w:val="0078169D"/>
    <w:rsid w:val="00781851"/>
    <w:rsid w:val="007818E2"/>
    <w:rsid w:val="00781B66"/>
    <w:rsid w:val="00781C45"/>
    <w:rsid w:val="00781DAF"/>
    <w:rsid w:val="00781E38"/>
    <w:rsid w:val="00781EEA"/>
    <w:rsid w:val="0078204C"/>
    <w:rsid w:val="007820D3"/>
    <w:rsid w:val="007822F8"/>
    <w:rsid w:val="00782411"/>
    <w:rsid w:val="00782505"/>
    <w:rsid w:val="0078252C"/>
    <w:rsid w:val="00782588"/>
    <w:rsid w:val="00782594"/>
    <w:rsid w:val="007825AC"/>
    <w:rsid w:val="0078286A"/>
    <w:rsid w:val="00782881"/>
    <w:rsid w:val="0078291B"/>
    <w:rsid w:val="0078292F"/>
    <w:rsid w:val="00782D34"/>
    <w:rsid w:val="00782F2F"/>
    <w:rsid w:val="00783206"/>
    <w:rsid w:val="00783275"/>
    <w:rsid w:val="00783285"/>
    <w:rsid w:val="007832BD"/>
    <w:rsid w:val="007833B9"/>
    <w:rsid w:val="0078344C"/>
    <w:rsid w:val="00783531"/>
    <w:rsid w:val="00783592"/>
    <w:rsid w:val="0078362C"/>
    <w:rsid w:val="007836A9"/>
    <w:rsid w:val="00783785"/>
    <w:rsid w:val="007837AD"/>
    <w:rsid w:val="00783918"/>
    <w:rsid w:val="00783936"/>
    <w:rsid w:val="00783BB8"/>
    <w:rsid w:val="00783BFC"/>
    <w:rsid w:val="00783F22"/>
    <w:rsid w:val="00783FB0"/>
    <w:rsid w:val="00783FE5"/>
    <w:rsid w:val="00784090"/>
    <w:rsid w:val="007840EF"/>
    <w:rsid w:val="00784183"/>
    <w:rsid w:val="007841D4"/>
    <w:rsid w:val="00784474"/>
    <w:rsid w:val="0078449E"/>
    <w:rsid w:val="00784557"/>
    <w:rsid w:val="0078469F"/>
    <w:rsid w:val="00784778"/>
    <w:rsid w:val="007847E9"/>
    <w:rsid w:val="007848E3"/>
    <w:rsid w:val="0078495D"/>
    <w:rsid w:val="00784A52"/>
    <w:rsid w:val="00784EF1"/>
    <w:rsid w:val="00784F71"/>
    <w:rsid w:val="007850CC"/>
    <w:rsid w:val="007852BC"/>
    <w:rsid w:val="00785320"/>
    <w:rsid w:val="00785393"/>
    <w:rsid w:val="0078546E"/>
    <w:rsid w:val="00785526"/>
    <w:rsid w:val="00785612"/>
    <w:rsid w:val="00785665"/>
    <w:rsid w:val="0078571A"/>
    <w:rsid w:val="00785765"/>
    <w:rsid w:val="00785826"/>
    <w:rsid w:val="007858BC"/>
    <w:rsid w:val="00785AE3"/>
    <w:rsid w:val="00785ED0"/>
    <w:rsid w:val="00785F8B"/>
    <w:rsid w:val="00785FC0"/>
    <w:rsid w:val="007860A6"/>
    <w:rsid w:val="007860D8"/>
    <w:rsid w:val="00786155"/>
    <w:rsid w:val="00786244"/>
    <w:rsid w:val="00786324"/>
    <w:rsid w:val="0078636D"/>
    <w:rsid w:val="007863D0"/>
    <w:rsid w:val="00786656"/>
    <w:rsid w:val="007866E5"/>
    <w:rsid w:val="007867AC"/>
    <w:rsid w:val="007867CB"/>
    <w:rsid w:val="00786841"/>
    <w:rsid w:val="00786A99"/>
    <w:rsid w:val="00786C23"/>
    <w:rsid w:val="00786C54"/>
    <w:rsid w:val="00786D1D"/>
    <w:rsid w:val="00787287"/>
    <w:rsid w:val="007875E1"/>
    <w:rsid w:val="0078760D"/>
    <w:rsid w:val="0078766D"/>
    <w:rsid w:val="007876EB"/>
    <w:rsid w:val="00787702"/>
    <w:rsid w:val="00787720"/>
    <w:rsid w:val="0078788A"/>
    <w:rsid w:val="00787A08"/>
    <w:rsid w:val="00787B0A"/>
    <w:rsid w:val="00787B5D"/>
    <w:rsid w:val="00787D0A"/>
    <w:rsid w:val="00787D92"/>
    <w:rsid w:val="00787D9F"/>
    <w:rsid w:val="00787DD5"/>
    <w:rsid w:val="00787E56"/>
    <w:rsid w:val="00787F1F"/>
    <w:rsid w:val="00787F89"/>
    <w:rsid w:val="00790269"/>
    <w:rsid w:val="007902A1"/>
    <w:rsid w:val="00790412"/>
    <w:rsid w:val="007904A3"/>
    <w:rsid w:val="007904DF"/>
    <w:rsid w:val="00790544"/>
    <w:rsid w:val="007906E7"/>
    <w:rsid w:val="0079074E"/>
    <w:rsid w:val="00790829"/>
    <w:rsid w:val="0079093C"/>
    <w:rsid w:val="00790A59"/>
    <w:rsid w:val="00790A98"/>
    <w:rsid w:val="00790C33"/>
    <w:rsid w:val="00790D83"/>
    <w:rsid w:val="00790E44"/>
    <w:rsid w:val="00790EF7"/>
    <w:rsid w:val="00790F08"/>
    <w:rsid w:val="007910A6"/>
    <w:rsid w:val="0079133B"/>
    <w:rsid w:val="007913A4"/>
    <w:rsid w:val="0079156A"/>
    <w:rsid w:val="007916B3"/>
    <w:rsid w:val="0079176A"/>
    <w:rsid w:val="007917F5"/>
    <w:rsid w:val="0079192A"/>
    <w:rsid w:val="0079195A"/>
    <w:rsid w:val="00791A10"/>
    <w:rsid w:val="00791BDE"/>
    <w:rsid w:val="00791BE2"/>
    <w:rsid w:val="00791D4C"/>
    <w:rsid w:val="00791D5A"/>
    <w:rsid w:val="00791EF1"/>
    <w:rsid w:val="00791F26"/>
    <w:rsid w:val="0079208C"/>
    <w:rsid w:val="00792242"/>
    <w:rsid w:val="00792303"/>
    <w:rsid w:val="00792536"/>
    <w:rsid w:val="00792578"/>
    <w:rsid w:val="007926FC"/>
    <w:rsid w:val="007927FC"/>
    <w:rsid w:val="00792865"/>
    <w:rsid w:val="007929A2"/>
    <w:rsid w:val="00792ADB"/>
    <w:rsid w:val="00792B3F"/>
    <w:rsid w:val="00792C16"/>
    <w:rsid w:val="00792C49"/>
    <w:rsid w:val="00792C6C"/>
    <w:rsid w:val="00792C7A"/>
    <w:rsid w:val="00792CBE"/>
    <w:rsid w:val="00792D24"/>
    <w:rsid w:val="00792D46"/>
    <w:rsid w:val="00792DD1"/>
    <w:rsid w:val="00792F79"/>
    <w:rsid w:val="00793024"/>
    <w:rsid w:val="0079315D"/>
    <w:rsid w:val="00793218"/>
    <w:rsid w:val="00793360"/>
    <w:rsid w:val="00793428"/>
    <w:rsid w:val="007934A2"/>
    <w:rsid w:val="00793529"/>
    <w:rsid w:val="0079358D"/>
    <w:rsid w:val="007936FE"/>
    <w:rsid w:val="007937D4"/>
    <w:rsid w:val="007937EC"/>
    <w:rsid w:val="007937FE"/>
    <w:rsid w:val="00793832"/>
    <w:rsid w:val="0079383B"/>
    <w:rsid w:val="007938CF"/>
    <w:rsid w:val="00793971"/>
    <w:rsid w:val="007939FE"/>
    <w:rsid w:val="00793D7A"/>
    <w:rsid w:val="00793D94"/>
    <w:rsid w:val="00793E11"/>
    <w:rsid w:val="00794026"/>
    <w:rsid w:val="007941C5"/>
    <w:rsid w:val="00794244"/>
    <w:rsid w:val="0079428E"/>
    <w:rsid w:val="007942CB"/>
    <w:rsid w:val="0079453D"/>
    <w:rsid w:val="00794812"/>
    <w:rsid w:val="00794CC7"/>
    <w:rsid w:val="00794CE9"/>
    <w:rsid w:val="00794D09"/>
    <w:rsid w:val="00794D0B"/>
    <w:rsid w:val="00794EFD"/>
    <w:rsid w:val="00794F92"/>
    <w:rsid w:val="0079501D"/>
    <w:rsid w:val="007951C4"/>
    <w:rsid w:val="007951ED"/>
    <w:rsid w:val="0079535C"/>
    <w:rsid w:val="00795392"/>
    <w:rsid w:val="00795565"/>
    <w:rsid w:val="0079565E"/>
    <w:rsid w:val="0079576A"/>
    <w:rsid w:val="00795780"/>
    <w:rsid w:val="007957CE"/>
    <w:rsid w:val="007958B0"/>
    <w:rsid w:val="00795AE9"/>
    <w:rsid w:val="00795B7F"/>
    <w:rsid w:val="00795DB8"/>
    <w:rsid w:val="00795E13"/>
    <w:rsid w:val="00795F58"/>
    <w:rsid w:val="00795F5E"/>
    <w:rsid w:val="00795F67"/>
    <w:rsid w:val="00796259"/>
    <w:rsid w:val="00796342"/>
    <w:rsid w:val="00796662"/>
    <w:rsid w:val="007967FE"/>
    <w:rsid w:val="00796871"/>
    <w:rsid w:val="00796CAE"/>
    <w:rsid w:val="00796CD0"/>
    <w:rsid w:val="00796D97"/>
    <w:rsid w:val="00796E7B"/>
    <w:rsid w:val="007970CF"/>
    <w:rsid w:val="00797260"/>
    <w:rsid w:val="0079743A"/>
    <w:rsid w:val="0079761B"/>
    <w:rsid w:val="0079768D"/>
    <w:rsid w:val="007976DC"/>
    <w:rsid w:val="00797724"/>
    <w:rsid w:val="007977A8"/>
    <w:rsid w:val="007977FD"/>
    <w:rsid w:val="00797A4A"/>
    <w:rsid w:val="00797B8E"/>
    <w:rsid w:val="00797D6B"/>
    <w:rsid w:val="00797D86"/>
    <w:rsid w:val="00797E6A"/>
    <w:rsid w:val="00797F6D"/>
    <w:rsid w:val="007A01B4"/>
    <w:rsid w:val="007A01ED"/>
    <w:rsid w:val="007A03DA"/>
    <w:rsid w:val="007A05BB"/>
    <w:rsid w:val="007A067B"/>
    <w:rsid w:val="007A0802"/>
    <w:rsid w:val="007A0A4E"/>
    <w:rsid w:val="007A0A63"/>
    <w:rsid w:val="007A0CEA"/>
    <w:rsid w:val="007A0E11"/>
    <w:rsid w:val="007A0EC2"/>
    <w:rsid w:val="007A0F49"/>
    <w:rsid w:val="007A0F6B"/>
    <w:rsid w:val="007A0F7B"/>
    <w:rsid w:val="007A1042"/>
    <w:rsid w:val="007A10EA"/>
    <w:rsid w:val="007A11D5"/>
    <w:rsid w:val="007A1200"/>
    <w:rsid w:val="007A1221"/>
    <w:rsid w:val="007A14B5"/>
    <w:rsid w:val="007A1765"/>
    <w:rsid w:val="007A1A0F"/>
    <w:rsid w:val="007A1D09"/>
    <w:rsid w:val="007A1DAA"/>
    <w:rsid w:val="007A1F26"/>
    <w:rsid w:val="007A1F48"/>
    <w:rsid w:val="007A2009"/>
    <w:rsid w:val="007A2077"/>
    <w:rsid w:val="007A20EB"/>
    <w:rsid w:val="007A227D"/>
    <w:rsid w:val="007A22DA"/>
    <w:rsid w:val="007A2435"/>
    <w:rsid w:val="007A256A"/>
    <w:rsid w:val="007A260C"/>
    <w:rsid w:val="007A26ED"/>
    <w:rsid w:val="007A2750"/>
    <w:rsid w:val="007A27FE"/>
    <w:rsid w:val="007A291D"/>
    <w:rsid w:val="007A29E9"/>
    <w:rsid w:val="007A2A04"/>
    <w:rsid w:val="007A2A7A"/>
    <w:rsid w:val="007A2BD1"/>
    <w:rsid w:val="007A2CAB"/>
    <w:rsid w:val="007A2CB3"/>
    <w:rsid w:val="007A2CBC"/>
    <w:rsid w:val="007A2D09"/>
    <w:rsid w:val="007A2D3C"/>
    <w:rsid w:val="007A2DB2"/>
    <w:rsid w:val="007A2DE3"/>
    <w:rsid w:val="007A2E2C"/>
    <w:rsid w:val="007A2E4D"/>
    <w:rsid w:val="007A2F9A"/>
    <w:rsid w:val="007A3027"/>
    <w:rsid w:val="007A3075"/>
    <w:rsid w:val="007A3221"/>
    <w:rsid w:val="007A3241"/>
    <w:rsid w:val="007A32F1"/>
    <w:rsid w:val="007A3557"/>
    <w:rsid w:val="007A36CD"/>
    <w:rsid w:val="007A385E"/>
    <w:rsid w:val="007A3902"/>
    <w:rsid w:val="007A3942"/>
    <w:rsid w:val="007A39B2"/>
    <w:rsid w:val="007A3CCF"/>
    <w:rsid w:val="007A3D1D"/>
    <w:rsid w:val="007A3E56"/>
    <w:rsid w:val="007A3EE4"/>
    <w:rsid w:val="007A3F1F"/>
    <w:rsid w:val="007A3F4C"/>
    <w:rsid w:val="007A40D8"/>
    <w:rsid w:val="007A41B6"/>
    <w:rsid w:val="007A4215"/>
    <w:rsid w:val="007A429A"/>
    <w:rsid w:val="007A42D5"/>
    <w:rsid w:val="007A4594"/>
    <w:rsid w:val="007A464B"/>
    <w:rsid w:val="007A46A1"/>
    <w:rsid w:val="007A4733"/>
    <w:rsid w:val="007A480A"/>
    <w:rsid w:val="007A48E2"/>
    <w:rsid w:val="007A49CE"/>
    <w:rsid w:val="007A4B29"/>
    <w:rsid w:val="007A4BBB"/>
    <w:rsid w:val="007A4C0A"/>
    <w:rsid w:val="007A4D34"/>
    <w:rsid w:val="007A4D40"/>
    <w:rsid w:val="007A4DC0"/>
    <w:rsid w:val="007A5099"/>
    <w:rsid w:val="007A5154"/>
    <w:rsid w:val="007A51E7"/>
    <w:rsid w:val="007A5264"/>
    <w:rsid w:val="007A5851"/>
    <w:rsid w:val="007A5A1D"/>
    <w:rsid w:val="007A5B24"/>
    <w:rsid w:val="007A5B65"/>
    <w:rsid w:val="007A5BA0"/>
    <w:rsid w:val="007A5BAD"/>
    <w:rsid w:val="007A5C3E"/>
    <w:rsid w:val="007A5C62"/>
    <w:rsid w:val="007A5D3A"/>
    <w:rsid w:val="007A5DEC"/>
    <w:rsid w:val="007A5EBD"/>
    <w:rsid w:val="007A60CE"/>
    <w:rsid w:val="007A60F9"/>
    <w:rsid w:val="007A6115"/>
    <w:rsid w:val="007A61C8"/>
    <w:rsid w:val="007A61E4"/>
    <w:rsid w:val="007A6272"/>
    <w:rsid w:val="007A6283"/>
    <w:rsid w:val="007A63B6"/>
    <w:rsid w:val="007A6557"/>
    <w:rsid w:val="007A65D3"/>
    <w:rsid w:val="007A65ED"/>
    <w:rsid w:val="007A66BA"/>
    <w:rsid w:val="007A6734"/>
    <w:rsid w:val="007A6853"/>
    <w:rsid w:val="007A68C8"/>
    <w:rsid w:val="007A6914"/>
    <w:rsid w:val="007A69CF"/>
    <w:rsid w:val="007A6B70"/>
    <w:rsid w:val="007A6DC7"/>
    <w:rsid w:val="007A6E2F"/>
    <w:rsid w:val="007A6EA5"/>
    <w:rsid w:val="007A6F53"/>
    <w:rsid w:val="007A706D"/>
    <w:rsid w:val="007A7159"/>
    <w:rsid w:val="007A71D6"/>
    <w:rsid w:val="007A7373"/>
    <w:rsid w:val="007A73B3"/>
    <w:rsid w:val="007A73EC"/>
    <w:rsid w:val="007A7480"/>
    <w:rsid w:val="007A7509"/>
    <w:rsid w:val="007A76BC"/>
    <w:rsid w:val="007A7720"/>
    <w:rsid w:val="007A7729"/>
    <w:rsid w:val="007A7852"/>
    <w:rsid w:val="007A786E"/>
    <w:rsid w:val="007A7940"/>
    <w:rsid w:val="007A7A30"/>
    <w:rsid w:val="007A7BB1"/>
    <w:rsid w:val="007A7BDD"/>
    <w:rsid w:val="007A7C4C"/>
    <w:rsid w:val="007A7CD5"/>
    <w:rsid w:val="007A7D6C"/>
    <w:rsid w:val="007A7FAC"/>
    <w:rsid w:val="007B01F4"/>
    <w:rsid w:val="007B020B"/>
    <w:rsid w:val="007B026E"/>
    <w:rsid w:val="007B0395"/>
    <w:rsid w:val="007B03BF"/>
    <w:rsid w:val="007B041F"/>
    <w:rsid w:val="007B0456"/>
    <w:rsid w:val="007B04BE"/>
    <w:rsid w:val="007B0601"/>
    <w:rsid w:val="007B063E"/>
    <w:rsid w:val="007B0820"/>
    <w:rsid w:val="007B09F3"/>
    <w:rsid w:val="007B0A26"/>
    <w:rsid w:val="007B0AB8"/>
    <w:rsid w:val="007B0B81"/>
    <w:rsid w:val="007B0C7A"/>
    <w:rsid w:val="007B0DBF"/>
    <w:rsid w:val="007B1007"/>
    <w:rsid w:val="007B1085"/>
    <w:rsid w:val="007B10B0"/>
    <w:rsid w:val="007B10CB"/>
    <w:rsid w:val="007B10F5"/>
    <w:rsid w:val="007B139A"/>
    <w:rsid w:val="007B14B9"/>
    <w:rsid w:val="007B14ED"/>
    <w:rsid w:val="007B1527"/>
    <w:rsid w:val="007B16D9"/>
    <w:rsid w:val="007B1780"/>
    <w:rsid w:val="007B1821"/>
    <w:rsid w:val="007B182B"/>
    <w:rsid w:val="007B1A71"/>
    <w:rsid w:val="007B1A8F"/>
    <w:rsid w:val="007B1B57"/>
    <w:rsid w:val="007B1CFB"/>
    <w:rsid w:val="007B1DBA"/>
    <w:rsid w:val="007B1DDB"/>
    <w:rsid w:val="007B1E6A"/>
    <w:rsid w:val="007B215F"/>
    <w:rsid w:val="007B21E1"/>
    <w:rsid w:val="007B232A"/>
    <w:rsid w:val="007B2371"/>
    <w:rsid w:val="007B2429"/>
    <w:rsid w:val="007B24BA"/>
    <w:rsid w:val="007B252F"/>
    <w:rsid w:val="007B2591"/>
    <w:rsid w:val="007B2629"/>
    <w:rsid w:val="007B26BE"/>
    <w:rsid w:val="007B2740"/>
    <w:rsid w:val="007B27AB"/>
    <w:rsid w:val="007B27D2"/>
    <w:rsid w:val="007B27F8"/>
    <w:rsid w:val="007B2841"/>
    <w:rsid w:val="007B28FB"/>
    <w:rsid w:val="007B2A5F"/>
    <w:rsid w:val="007B2BB4"/>
    <w:rsid w:val="007B2C04"/>
    <w:rsid w:val="007B2C78"/>
    <w:rsid w:val="007B2DEF"/>
    <w:rsid w:val="007B2EB3"/>
    <w:rsid w:val="007B31DE"/>
    <w:rsid w:val="007B31F9"/>
    <w:rsid w:val="007B3489"/>
    <w:rsid w:val="007B34A0"/>
    <w:rsid w:val="007B34C1"/>
    <w:rsid w:val="007B3530"/>
    <w:rsid w:val="007B364C"/>
    <w:rsid w:val="007B3667"/>
    <w:rsid w:val="007B3816"/>
    <w:rsid w:val="007B3939"/>
    <w:rsid w:val="007B399E"/>
    <w:rsid w:val="007B39E0"/>
    <w:rsid w:val="007B3B62"/>
    <w:rsid w:val="007B3CC7"/>
    <w:rsid w:val="007B3E17"/>
    <w:rsid w:val="007B3EB7"/>
    <w:rsid w:val="007B3EBA"/>
    <w:rsid w:val="007B3F1F"/>
    <w:rsid w:val="007B4079"/>
    <w:rsid w:val="007B40D7"/>
    <w:rsid w:val="007B4274"/>
    <w:rsid w:val="007B431C"/>
    <w:rsid w:val="007B43D4"/>
    <w:rsid w:val="007B4460"/>
    <w:rsid w:val="007B4545"/>
    <w:rsid w:val="007B47B6"/>
    <w:rsid w:val="007B47C4"/>
    <w:rsid w:val="007B49E5"/>
    <w:rsid w:val="007B4A35"/>
    <w:rsid w:val="007B4A94"/>
    <w:rsid w:val="007B4B37"/>
    <w:rsid w:val="007B4B9E"/>
    <w:rsid w:val="007B4EB2"/>
    <w:rsid w:val="007B4ECE"/>
    <w:rsid w:val="007B4F61"/>
    <w:rsid w:val="007B51D6"/>
    <w:rsid w:val="007B52C7"/>
    <w:rsid w:val="007B53C5"/>
    <w:rsid w:val="007B5501"/>
    <w:rsid w:val="007B5640"/>
    <w:rsid w:val="007B56A0"/>
    <w:rsid w:val="007B56B8"/>
    <w:rsid w:val="007B5756"/>
    <w:rsid w:val="007B57B3"/>
    <w:rsid w:val="007B5998"/>
    <w:rsid w:val="007B59F4"/>
    <w:rsid w:val="007B5A7F"/>
    <w:rsid w:val="007B5AC2"/>
    <w:rsid w:val="007B5B03"/>
    <w:rsid w:val="007B5B84"/>
    <w:rsid w:val="007B5C17"/>
    <w:rsid w:val="007B5DBB"/>
    <w:rsid w:val="007B6202"/>
    <w:rsid w:val="007B64EE"/>
    <w:rsid w:val="007B6519"/>
    <w:rsid w:val="007B655D"/>
    <w:rsid w:val="007B67EC"/>
    <w:rsid w:val="007B6864"/>
    <w:rsid w:val="007B6898"/>
    <w:rsid w:val="007B69E9"/>
    <w:rsid w:val="007B6B3B"/>
    <w:rsid w:val="007B6DA6"/>
    <w:rsid w:val="007B6E28"/>
    <w:rsid w:val="007B6E51"/>
    <w:rsid w:val="007B70DC"/>
    <w:rsid w:val="007B7338"/>
    <w:rsid w:val="007B73AC"/>
    <w:rsid w:val="007B7555"/>
    <w:rsid w:val="007B795D"/>
    <w:rsid w:val="007B7AC3"/>
    <w:rsid w:val="007B7B09"/>
    <w:rsid w:val="007B7BA2"/>
    <w:rsid w:val="007B7C65"/>
    <w:rsid w:val="007B7D0E"/>
    <w:rsid w:val="007C0240"/>
    <w:rsid w:val="007C02B7"/>
    <w:rsid w:val="007C02C8"/>
    <w:rsid w:val="007C03E0"/>
    <w:rsid w:val="007C04FA"/>
    <w:rsid w:val="007C08A1"/>
    <w:rsid w:val="007C08BE"/>
    <w:rsid w:val="007C0B21"/>
    <w:rsid w:val="007C0B31"/>
    <w:rsid w:val="007C0C11"/>
    <w:rsid w:val="007C0EF5"/>
    <w:rsid w:val="007C115A"/>
    <w:rsid w:val="007C116D"/>
    <w:rsid w:val="007C140F"/>
    <w:rsid w:val="007C199A"/>
    <w:rsid w:val="007C19A1"/>
    <w:rsid w:val="007C1A08"/>
    <w:rsid w:val="007C1BDC"/>
    <w:rsid w:val="007C1EDA"/>
    <w:rsid w:val="007C229E"/>
    <w:rsid w:val="007C25B7"/>
    <w:rsid w:val="007C29A8"/>
    <w:rsid w:val="007C2A1E"/>
    <w:rsid w:val="007C2C15"/>
    <w:rsid w:val="007C2CD6"/>
    <w:rsid w:val="007C2D66"/>
    <w:rsid w:val="007C2D6C"/>
    <w:rsid w:val="007C2FBA"/>
    <w:rsid w:val="007C31F6"/>
    <w:rsid w:val="007C32FD"/>
    <w:rsid w:val="007C334E"/>
    <w:rsid w:val="007C3350"/>
    <w:rsid w:val="007C338A"/>
    <w:rsid w:val="007C33B3"/>
    <w:rsid w:val="007C3546"/>
    <w:rsid w:val="007C36DB"/>
    <w:rsid w:val="007C3707"/>
    <w:rsid w:val="007C3743"/>
    <w:rsid w:val="007C381F"/>
    <w:rsid w:val="007C3910"/>
    <w:rsid w:val="007C3964"/>
    <w:rsid w:val="007C39C5"/>
    <w:rsid w:val="007C3C33"/>
    <w:rsid w:val="007C3E9F"/>
    <w:rsid w:val="007C3EE2"/>
    <w:rsid w:val="007C4196"/>
    <w:rsid w:val="007C41F9"/>
    <w:rsid w:val="007C4233"/>
    <w:rsid w:val="007C4241"/>
    <w:rsid w:val="007C424C"/>
    <w:rsid w:val="007C426B"/>
    <w:rsid w:val="007C426C"/>
    <w:rsid w:val="007C43F0"/>
    <w:rsid w:val="007C4597"/>
    <w:rsid w:val="007C45B2"/>
    <w:rsid w:val="007C4689"/>
    <w:rsid w:val="007C46BA"/>
    <w:rsid w:val="007C496C"/>
    <w:rsid w:val="007C497A"/>
    <w:rsid w:val="007C4A58"/>
    <w:rsid w:val="007C4BFC"/>
    <w:rsid w:val="007C4D2E"/>
    <w:rsid w:val="007C4D4B"/>
    <w:rsid w:val="007C4F11"/>
    <w:rsid w:val="007C51A5"/>
    <w:rsid w:val="007C525B"/>
    <w:rsid w:val="007C526C"/>
    <w:rsid w:val="007C531D"/>
    <w:rsid w:val="007C54B5"/>
    <w:rsid w:val="007C57B8"/>
    <w:rsid w:val="007C593C"/>
    <w:rsid w:val="007C5A0D"/>
    <w:rsid w:val="007C5A80"/>
    <w:rsid w:val="007C5B9B"/>
    <w:rsid w:val="007C5C6B"/>
    <w:rsid w:val="007C5D09"/>
    <w:rsid w:val="007C6044"/>
    <w:rsid w:val="007C62EB"/>
    <w:rsid w:val="007C63B1"/>
    <w:rsid w:val="007C6566"/>
    <w:rsid w:val="007C65C1"/>
    <w:rsid w:val="007C6680"/>
    <w:rsid w:val="007C6739"/>
    <w:rsid w:val="007C686A"/>
    <w:rsid w:val="007C68BD"/>
    <w:rsid w:val="007C69BE"/>
    <w:rsid w:val="007C69CC"/>
    <w:rsid w:val="007C6B24"/>
    <w:rsid w:val="007C6B53"/>
    <w:rsid w:val="007C6BF9"/>
    <w:rsid w:val="007C6C35"/>
    <w:rsid w:val="007C6C9E"/>
    <w:rsid w:val="007C6D7B"/>
    <w:rsid w:val="007C6D8E"/>
    <w:rsid w:val="007C6E08"/>
    <w:rsid w:val="007C705F"/>
    <w:rsid w:val="007C7077"/>
    <w:rsid w:val="007C70A1"/>
    <w:rsid w:val="007C729E"/>
    <w:rsid w:val="007C7373"/>
    <w:rsid w:val="007C75B2"/>
    <w:rsid w:val="007C7646"/>
    <w:rsid w:val="007C786C"/>
    <w:rsid w:val="007C78EF"/>
    <w:rsid w:val="007C7946"/>
    <w:rsid w:val="007C7999"/>
    <w:rsid w:val="007C79EF"/>
    <w:rsid w:val="007C7A24"/>
    <w:rsid w:val="007C7A8C"/>
    <w:rsid w:val="007C7BC5"/>
    <w:rsid w:val="007C7C49"/>
    <w:rsid w:val="007C7E28"/>
    <w:rsid w:val="007C7EBD"/>
    <w:rsid w:val="007C7F42"/>
    <w:rsid w:val="007D001E"/>
    <w:rsid w:val="007D035E"/>
    <w:rsid w:val="007D03B4"/>
    <w:rsid w:val="007D03F3"/>
    <w:rsid w:val="007D0449"/>
    <w:rsid w:val="007D0559"/>
    <w:rsid w:val="007D05EE"/>
    <w:rsid w:val="007D06BD"/>
    <w:rsid w:val="007D0742"/>
    <w:rsid w:val="007D085D"/>
    <w:rsid w:val="007D0BC1"/>
    <w:rsid w:val="007D0FD5"/>
    <w:rsid w:val="007D0FDB"/>
    <w:rsid w:val="007D1040"/>
    <w:rsid w:val="007D1049"/>
    <w:rsid w:val="007D10A3"/>
    <w:rsid w:val="007D1102"/>
    <w:rsid w:val="007D1249"/>
    <w:rsid w:val="007D12CE"/>
    <w:rsid w:val="007D12F7"/>
    <w:rsid w:val="007D12FD"/>
    <w:rsid w:val="007D14A3"/>
    <w:rsid w:val="007D164B"/>
    <w:rsid w:val="007D1652"/>
    <w:rsid w:val="007D175B"/>
    <w:rsid w:val="007D1792"/>
    <w:rsid w:val="007D19E4"/>
    <w:rsid w:val="007D1A01"/>
    <w:rsid w:val="007D1D84"/>
    <w:rsid w:val="007D1E14"/>
    <w:rsid w:val="007D1E9E"/>
    <w:rsid w:val="007D20A7"/>
    <w:rsid w:val="007D210F"/>
    <w:rsid w:val="007D2352"/>
    <w:rsid w:val="007D2502"/>
    <w:rsid w:val="007D26D8"/>
    <w:rsid w:val="007D2730"/>
    <w:rsid w:val="007D2735"/>
    <w:rsid w:val="007D27BC"/>
    <w:rsid w:val="007D293E"/>
    <w:rsid w:val="007D2AFB"/>
    <w:rsid w:val="007D2B0B"/>
    <w:rsid w:val="007D2BCF"/>
    <w:rsid w:val="007D2C76"/>
    <w:rsid w:val="007D2CBE"/>
    <w:rsid w:val="007D2D78"/>
    <w:rsid w:val="007D2D81"/>
    <w:rsid w:val="007D2DB1"/>
    <w:rsid w:val="007D2EAB"/>
    <w:rsid w:val="007D2EF2"/>
    <w:rsid w:val="007D2F82"/>
    <w:rsid w:val="007D3087"/>
    <w:rsid w:val="007D308C"/>
    <w:rsid w:val="007D3348"/>
    <w:rsid w:val="007D3376"/>
    <w:rsid w:val="007D33F4"/>
    <w:rsid w:val="007D360E"/>
    <w:rsid w:val="007D3634"/>
    <w:rsid w:val="007D3724"/>
    <w:rsid w:val="007D3784"/>
    <w:rsid w:val="007D3844"/>
    <w:rsid w:val="007D3914"/>
    <w:rsid w:val="007D3A17"/>
    <w:rsid w:val="007D4059"/>
    <w:rsid w:val="007D4086"/>
    <w:rsid w:val="007D411F"/>
    <w:rsid w:val="007D41BE"/>
    <w:rsid w:val="007D4261"/>
    <w:rsid w:val="007D448C"/>
    <w:rsid w:val="007D4588"/>
    <w:rsid w:val="007D4607"/>
    <w:rsid w:val="007D46CE"/>
    <w:rsid w:val="007D47A4"/>
    <w:rsid w:val="007D4BBB"/>
    <w:rsid w:val="007D4D4C"/>
    <w:rsid w:val="007D4D98"/>
    <w:rsid w:val="007D4DA4"/>
    <w:rsid w:val="007D4F50"/>
    <w:rsid w:val="007D4F92"/>
    <w:rsid w:val="007D4FC2"/>
    <w:rsid w:val="007D504D"/>
    <w:rsid w:val="007D5094"/>
    <w:rsid w:val="007D5132"/>
    <w:rsid w:val="007D5253"/>
    <w:rsid w:val="007D525B"/>
    <w:rsid w:val="007D5418"/>
    <w:rsid w:val="007D5428"/>
    <w:rsid w:val="007D5445"/>
    <w:rsid w:val="007D54DB"/>
    <w:rsid w:val="007D54F7"/>
    <w:rsid w:val="007D572E"/>
    <w:rsid w:val="007D5A69"/>
    <w:rsid w:val="007D5AB6"/>
    <w:rsid w:val="007D5BA6"/>
    <w:rsid w:val="007D5C55"/>
    <w:rsid w:val="007D5C5A"/>
    <w:rsid w:val="007D6075"/>
    <w:rsid w:val="007D6157"/>
    <w:rsid w:val="007D618F"/>
    <w:rsid w:val="007D6287"/>
    <w:rsid w:val="007D6391"/>
    <w:rsid w:val="007D63FB"/>
    <w:rsid w:val="007D66DA"/>
    <w:rsid w:val="007D6945"/>
    <w:rsid w:val="007D6A46"/>
    <w:rsid w:val="007D6A99"/>
    <w:rsid w:val="007D6B03"/>
    <w:rsid w:val="007D6B8A"/>
    <w:rsid w:val="007D6BAB"/>
    <w:rsid w:val="007D6BEC"/>
    <w:rsid w:val="007D6CDA"/>
    <w:rsid w:val="007D6D95"/>
    <w:rsid w:val="007D6EBA"/>
    <w:rsid w:val="007D6F24"/>
    <w:rsid w:val="007D6FDB"/>
    <w:rsid w:val="007D7009"/>
    <w:rsid w:val="007D70BA"/>
    <w:rsid w:val="007D7131"/>
    <w:rsid w:val="007D7339"/>
    <w:rsid w:val="007D733C"/>
    <w:rsid w:val="007D73BA"/>
    <w:rsid w:val="007D745C"/>
    <w:rsid w:val="007D7490"/>
    <w:rsid w:val="007D7505"/>
    <w:rsid w:val="007D761F"/>
    <w:rsid w:val="007D7681"/>
    <w:rsid w:val="007D76C3"/>
    <w:rsid w:val="007D773D"/>
    <w:rsid w:val="007D78AF"/>
    <w:rsid w:val="007D78CF"/>
    <w:rsid w:val="007D7954"/>
    <w:rsid w:val="007D7955"/>
    <w:rsid w:val="007D79C7"/>
    <w:rsid w:val="007D7A1C"/>
    <w:rsid w:val="007D7B3D"/>
    <w:rsid w:val="007D7C73"/>
    <w:rsid w:val="007D7C75"/>
    <w:rsid w:val="007D7DBC"/>
    <w:rsid w:val="007D7E89"/>
    <w:rsid w:val="007E00C5"/>
    <w:rsid w:val="007E05B9"/>
    <w:rsid w:val="007E0619"/>
    <w:rsid w:val="007E0848"/>
    <w:rsid w:val="007E086D"/>
    <w:rsid w:val="007E0984"/>
    <w:rsid w:val="007E0ACA"/>
    <w:rsid w:val="007E0B23"/>
    <w:rsid w:val="007E0DB4"/>
    <w:rsid w:val="007E0DF8"/>
    <w:rsid w:val="007E0E12"/>
    <w:rsid w:val="007E0E64"/>
    <w:rsid w:val="007E0F77"/>
    <w:rsid w:val="007E1003"/>
    <w:rsid w:val="007E1044"/>
    <w:rsid w:val="007E1191"/>
    <w:rsid w:val="007E1388"/>
    <w:rsid w:val="007E148C"/>
    <w:rsid w:val="007E14E5"/>
    <w:rsid w:val="007E15D1"/>
    <w:rsid w:val="007E19F2"/>
    <w:rsid w:val="007E1A51"/>
    <w:rsid w:val="007E1A85"/>
    <w:rsid w:val="007E1A97"/>
    <w:rsid w:val="007E1B27"/>
    <w:rsid w:val="007E1BD4"/>
    <w:rsid w:val="007E1C5B"/>
    <w:rsid w:val="007E1C99"/>
    <w:rsid w:val="007E1CF8"/>
    <w:rsid w:val="007E1F90"/>
    <w:rsid w:val="007E2171"/>
    <w:rsid w:val="007E23EE"/>
    <w:rsid w:val="007E249D"/>
    <w:rsid w:val="007E254D"/>
    <w:rsid w:val="007E25AD"/>
    <w:rsid w:val="007E270C"/>
    <w:rsid w:val="007E28CF"/>
    <w:rsid w:val="007E29DC"/>
    <w:rsid w:val="007E29EF"/>
    <w:rsid w:val="007E2B96"/>
    <w:rsid w:val="007E2BA2"/>
    <w:rsid w:val="007E2E21"/>
    <w:rsid w:val="007E2EFC"/>
    <w:rsid w:val="007E2F36"/>
    <w:rsid w:val="007E302E"/>
    <w:rsid w:val="007E3142"/>
    <w:rsid w:val="007E324E"/>
    <w:rsid w:val="007E3289"/>
    <w:rsid w:val="007E3464"/>
    <w:rsid w:val="007E3465"/>
    <w:rsid w:val="007E34AA"/>
    <w:rsid w:val="007E364D"/>
    <w:rsid w:val="007E3655"/>
    <w:rsid w:val="007E368E"/>
    <w:rsid w:val="007E38C8"/>
    <w:rsid w:val="007E3AC0"/>
    <w:rsid w:val="007E3C94"/>
    <w:rsid w:val="007E3CB3"/>
    <w:rsid w:val="007E3DB8"/>
    <w:rsid w:val="007E3DD2"/>
    <w:rsid w:val="007E3DFB"/>
    <w:rsid w:val="007E3E5D"/>
    <w:rsid w:val="007E400F"/>
    <w:rsid w:val="007E40C0"/>
    <w:rsid w:val="007E4196"/>
    <w:rsid w:val="007E4480"/>
    <w:rsid w:val="007E4639"/>
    <w:rsid w:val="007E4683"/>
    <w:rsid w:val="007E46B8"/>
    <w:rsid w:val="007E4779"/>
    <w:rsid w:val="007E4C6A"/>
    <w:rsid w:val="007E4C72"/>
    <w:rsid w:val="007E4CE5"/>
    <w:rsid w:val="007E4D4B"/>
    <w:rsid w:val="007E4D8A"/>
    <w:rsid w:val="007E4EB4"/>
    <w:rsid w:val="007E4EB7"/>
    <w:rsid w:val="007E4EE9"/>
    <w:rsid w:val="007E4F1C"/>
    <w:rsid w:val="007E519B"/>
    <w:rsid w:val="007E52BC"/>
    <w:rsid w:val="007E543B"/>
    <w:rsid w:val="007E54D0"/>
    <w:rsid w:val="007E576D"/>
    <w:rsid w:val="007E57EB"/>
    <w:rsid w:val="007E580C"/>
    <w:rsid w:val="007E589C"/>
    <w:rsid w:val="007E599A"/>
    <w:rsid w:val="007E5B32"/>
    <w:rsid w:val="007E5D28"/>
    <w:rsid w:val="007E5D80"/>
    <w:rsid w:val="007E5F7E"/>
    <w:rsid w:val="007E5F84"/>
    <w:rsid w:val="007E5F9C"/>
    <w:rsid w:val="007E6003"/>
    <w:rsid w:val="007E6007"/>
    <w:rsid w:val="007E62BF"/>
    <w:rsid w:val="007E6370"/>
    <w:rsid w:val="007E6414"/>
    <w:rsid w:val="007E656D"/>
    <w:rsid w:val="007E65D0"/>
    <w:rsid w:val="007E6724"/>
    <w:rsid w:val="007E679F"/>
    <w:rsid w:val="007E69BD"/>
    <w:rsid w:val="007E6DBE"/>
    <w:rsid w:val="007E6E85"/>
    <w:rsid w:val="007E6F50"/>
    <w:rsid w:val="007E7030"/>
    <w:rsid w:val="007E7045"/>
    <w:rsid w:val="007E7195"/>
    <w:rsid w:val="007E71F3"/>
    <w:rsid w:val="007E7200"/>
    <w:rsid w:val="007E72D5"/>
    <w:rsid w:val="007E72FC"/>
    <w:rsid w:val="007E7315"/>
    <w:rsid w:val="007E7373"/>
    <w:rsid w:val="007E739B"/>
    <w:rsid w:val="007E761F"/>
    <w:rsid w:val="007E77E0"/>
    <w:rsid w:val="007E77EF"/>
    <w:rsid w:val="007E7A3C"/>
    <w:rsid w:val="007E7C36"/>
    <w:rsid w:val="007E7E10"/>
    <w:rsid w:val="007E7E78"/>
    <w:rsid w:val="007E7E9E"/>
    <w:rsid w:val="007F006B"/>
    <w:rsid w:val="007F00E6"/>
    <w:rsid w:val="007F0101"/>
    <w:rsid w:val="007F0266"/>
    <w:rsid w:val="007F02E1"/>
    <w:rsid w:val="007F0371"/>
    <w:rsid w:val="007F05B1"/>
    <w:rsid w:val="007F05BD"/>
    <w:rsid w:val="007F05EC"/>
    <w:rsid w:val="007F071E"/>
    <w:rsid w:val="007F079B"/>
    <w:rsid w:val="007F08F4"/>
    <w:rsid w:val="007F09B1"/>
    <w:rsid w:val="007F0A2D"/>
    <w:rsid w:val="007F0AB9"/>
    <w:rsid w:val="007F0B37"/>
    <w:rsid w:val="007F0CF5"/>
    <w:rsid w:val="007F0D91"/>
    <w:rsid w:val="007F0DB8"/>
    <w:rsid w:val="007F0E62"/>
    <w:rsid w:val="007F0ED1"/>
    <w:rsid w:val="007F0F85"/>
    <w:rsid w:val="007F10B1"/>
    <w:rsid w:val="007F10B4"/>
    <w:rsid w:val="007F1115"/>
    <w:rsid w:val="007F11F4"/>
    <w:rsid w:val="007F122B"/>
    <w:rsid w:val="007F145B"/>
    <w:rsid w:val="007F1532"/>
    <w:rsid w:val="007F1599"/>
    <w:rsid w:val="007F15F5"/>
    <w:rsid w:val="007F1A11"/>
    <w:rsid w:val="007F1B6E"/>
    <w:rsid w:val="007F1C09"/>
    <w:rsid w:val="007F1C6B"/>
    <w:rsid w:val="007F1CD2"/>
    <w:rsid w:val="007F1E0B"/>
    <w:rsid w:val="007F1E11"/>
    <w:rsid w:val="007F1ECD"/>
    <w:rsid w:val="007F1ED1"/>
    <w:rsid w:val="007F1FA2"/>
    <w:rsid w:val="007F2373"/>
    <w:rsid w:val="007F2401"/>
    <w:rsid w:val="007F250F"/>
    <w:rsid w:val="007F2575"/>
    <w:rsid w:val="007F2590"/>
    <w:rsid w:val="007F2621"/>
    <w:rsid w:val="007F2639"/>
    <w:rsid w:val="007F268A"/>
    <w:rsid w:val="007F2713"/>
    <w:rsid w:val="007F284B"/>
    <w:rsid w:val="007F2852"/>
    <w:rsid w:val="007F286D"/>
    <w:rsid w:val="007F28D2"/>
    <w:rsid w:val="007F2A40"/>
    <w:rsid w:val="007F2B12"/>
    <w:rsid w:val="007F2D10"/>
    <w:rsid w:val="007F2E95"/>
    <w:rsid w:val="007F2FA3"/>
    <w:rsid w:val="007F2FF1"/>
    <w:rsid w:val="007F304C"/>
    <w:rsid w:val="007F317C"/>
    <w:rsid w:val="007F3276"/>
    <w:rsid w:val="007F3285"/>
    <w:rsid w:val="007F32BB"/>
    <w:rsid w:val="007F3333"/>
    <w:rsid w:val="007F34F3"/>
    <w:rsid w:val="007F34FB"/>
    <w:rsid w:val="007F3792"/>
    <w:rsid w:val="007F3909"/>
    <w:rsid w:val="007F3967"/>
    <w:rsid w:val="007F39E6"/>
    <w:rsid w:val="007F3AA8"/>
    <w:rsid w:val="007F3AEE"/>
    <w:rsid w:val="007F3BE8"/>
    <w:rsid w:val="007F3D4F"/>
    <w:rsid w:val="007F3D61"/>
    <w:rsid w:val="007F3D97"/>
    <w:rsid w:val="007F3E6D"/>
    <w:rsid w:val="007F3E70"/>
    <w:rsid w:val="007F3F75"/>
    <w:rsid w:val="007F3F9F"/>
    <w:rsid w:val="007F4154"/>
    <w:rsid w:val="007F4159"/>
    <w:rsid w:val="007F4226"/>
    <w:rsid w:val="007F43DA"/>
    <w:rsid w:val="007F447D"/>
    <w:rsid w:val="007F4492"/>
    <w:rsid w:val="007F4501"/>
    <w:rsid w:val="007F484C"/>
    <w:rsid w:val="007F4887"/>
    <w:rsid w:val="007F4895"/>
    <w:rsid w:val="007F49B7"/>
    <w:rsid w:val="007F4A07"/>
    <w:rsid w:val="007F4A12"/>
    <w:rsid w:val="007F4A48"/>
    <w:rsid w:val="007F4ADA"/>
    <w:rsid w:val="007F4C4C"/>
    <w:rsid w:val="007F4C69"/>
    <w:rsid w:val="007F4E25"/>
    <w:rsid w:val="007F4FBC"/>
    <w:rsid w:val="007F4FC5"/>
    <w:rsid w:val="007F4FDA"/>
    <w:rsid w:val="007F4FEE"/>
    <w:rsid w:val="007F5181"/>
    <w:rsid w:val="007F51D9"/>
    <w:rsid w:val="007F52DD"/>
    <w:rsid w:val="007F540F"/>
    <w:rsid w:val="007F55DA"/>
    <w:rsid w:val="007F5725"/>
    <w:rsid w:val="007F5881"/>
    <w:rsid w:val="007F594F"/>
    <w:rsid w:val="007F5A06"/>
    <w:rsid w:val="007F5AB1"/>
    <w:rsid w:val="007F5BDE"/>
    <w:rsid w:val="007F5F8E"/>
    <w:rsid w:val="007F604A"/>
    <w:rsid w:val="007F615A"/>
    <w:rsid w:val="007F61C8"/>
    <w:rsid w:val="007F6414"/>
    <w:rsid w:val="007F65A4"/>
    <w:rsid w:val="007F6642"/>
    <w:rsid w:val="007F66B2"/>
    <w:rsid w:val="007F6794"/>
    <w:rsid w:val="007F6878"/>
    <w:rsid w:val="007F6881"/>
    <w:rsid w:val="007F6AEB"/>
    <w:rsid w:val="007F6B55"/>
    <w:rsid w:val="007F6BAF"/>
    <w:rsid w:val="007F6BD7"/>
    <w:rsid w:val="007F6D29"/>
    <w:rsid w:val="007F702D"/>
    <w:rsid w:val="007F70A1"/>
    <w:rsid w:val="007F70C3"/>
    <w:rsid w:val="007F70CD"/>
    <w:rsid w:val="007F70DA"/>
    <w:rsid w:val="007F714A"/>
    <w:rsid w:val="007F7158"/>
    <w:rsid w:val="007F7175"/>
    <w:rsid w:val="007F7518"/>
    <w:rsid w:val="007F75B0"/>
    <w:rsid w:val="007F75CE"/>
    <w:rsid w:val="007F76B1"/>
    <w:rsid w:val="007F79A2"/>
    <w:rsid w:val="007F7A29"/>
    <w:rsid w:val="007F7A9B"/>
    <w:rsid w:val="007F7AAF"/>
    <w:rsid w:val="007F7B76"/>
    <w:rsid w:val="007F7BFB"/>
    <w:rsid w:val="007F7D28"/>
    <w:rsid w:val="007F7D2A"/>
    <w:rsid w:val="007F7E6E"/>
    <w:rsid w:val="007F7FAC"/>
    <w:rsid w:val="00800003"/>
    <w:rsid w:val="008000DD"/>
    <w:rsid w:val="008000FB"/>
    <w:rsid w:val="00800168"/>
    <w:rsid w:val="0080019F"/>
    <w:rsid w:val="008004D6"/>
    <w:rsid w:val="00800578"/>
    <w:rsid w:val="00800698"/>
    <w:rsid w:val="00800722"/>
    <w:rsid w:val="008008CD"/>
    <w:rsid w:val="00800A8B"/>
    <w:rsid w:val="00800DAB"/>
    <w:rsid w:val="00800F1B"/>
    <w:rsid w:val="00801022"/>
    <w:rsid w:val="00801092"/>
    <w:rsid w:val="008010AE"/>
    <w:rsid w:val="00801173"/>
    <w:rsid w:val="0080132D"/>
    <w:rsid w:val="00801351"/>
    <w:rsid w:val="00801355"/>
    <w:rsid w:val="008013AC"/>
    <w:rsid w:val="0080156C"/>
    <w:rsid w:val="008017B7"/>
    <w:rsid w:val="0080186F"/>
    <w:rsid w:val="0080196F"/>
    <w:rsid w:val="00801A6F"/>
    <w:rsid w:val="00801B58"/>
    <w:rsid w:val="00801B96"/>
    <w:rsid w:val="00801DF2"/>
    <w:rsid w:val="00801EEB"/>
    <w:rsid w:val="008022B9"/>
    <w:rsid w:val="008022C0"/>
    <w:rsid w:val="008022D3"/>
    <w:rsid w:val="00802504"/>
    <w:rsid w:val="0080250D"/>
    <w:rsid w:val="00802617"/>
    <w:rsid w:val="00802657"/>
    <w:rsid w:val="008027B4"/>
    <w:rsid w:val="008027E8"/>
    <w:rsid w:val="00802823"/>
    <w:rsid w:val="00802961"/>
    <w:rsid w:val="00802ACE"/>
    <w:rsid w:val="00802AD5"/>
    <w:rsid w:val="00802BA1"/>
    <w:rsid w:val="00802DBC"/>
    <w:rsid w:val="00802E58"/>
    <w:rsid w:val="00802EAF"/>
    <w:rsid w:val="00803080"/>
    <w:rsid w:val="008030AC"/>
    <w:rsid w:val="008030B4"/>
    <w:rsid w:val="0080316A"/>
    <w:rsid w:val="00803280"/>
    <w:rsid w:val="00803303"/>
    <w:rsid w:val="00803308"/>
    <w:rsid w:val="0080343F"/>
    <w:rsid w:val="00803671"/>
    <w:rsid w:val="008036D6"/>
    <w:rsid w:val="00803C27"/>
    <w:rsid w:val="00803C3D"/>
    <w:rsid w:val="00803D7D"/>
    <w:rsid w:val="00803DAA"/>
    <w:rsid w:val="00804022"/>
    <w:rsid w:val="008040B6"/>
    <w:rsid w:val="0080411C"/>
    <w:rsid w:val="008043A5"/>
    <w:rsid w:val="008043E5"/>
    <w:rsid w:val="0080448B"/>
    <w:rsid w:val="008044CA"/>
    <w:rsid w:val="0080484C"/>
    <w:rsid w:val="008048AA"/>
    <w:rsid w:val="00804A9E"/>
    <w:rsid w:val="00804BAE"/>
    <w:rsid w:val="00804CCF"/>
    <w:rsid w:val="00804D9D"/>
    <w:rsid w:val="00804ECC"/>
    <w:rsid w:val="00804F29"/>
    <w:rsid w:val="0080510F"/>
    <w:rsid w:val="008051F6"/>
    <w:rsid w:val="00805368"/>
    <w:rsid w:val="008054A0"/>
    <w:rsid w:val="0080578A"/>
    <w:rsid w:val="008058EA"/>
    <w:rsid w:val="00805993"/>
    <w:rsid w:val="00805A34"/>
    <w:rsid w:val="00805A8E"/>
    <w:rsid w:val="00805AB3"/>
    <w:rsid w:val="00805B7E"/>
    <w:rsid w:val="00805C9B"/>
    <w:rsid w:val="00805DE3"/>
    <w:rsid w:val="00805DF1"/>
    <w:rsid w:val="00805FA6"/>
    <w:rsid w:val="00806182"/>
    <w:rsid w:val="008061C5"/>
    <w:rsid w:val="00806309"/>
    <w:rsid w:val="00806335"/>
    <w:rsid w:val="008068AA"/>
    <w:rsid w:val="00806981"/>
    <w:rsid w:val="00806994"/>
    <w:rsid w:val="00806C17"/>
    <w:rsid w:val="00806C9F"/>
    <w:rsid w:val="00806E44"/>
    <w:rsid w:val="00806E7D"/>
    <w:rsid w:val="00806F3C"/>
    <w:rsid w:val="0080710F"/>
    <w:rsid w:val="008074C0"/>
    <w:rsid w:val="008074D4"/>
    <w:rsid w:val="0080761B"/>
    <w:rsid w:val="0080763E"/>
    <w:rsid w:val="0080777E"/>
    <w:rsid w:val="0080783E"/>
    <w:rsid w:val="0080788A"/>
    <w:rsid w:val="00807A76"/>
    <w:rsid w:val="00807BF0"/>
    <w:rsid w:val="00807C58"/>
    <w:rsid w:val="00807D07"/>
    <w:rsid w:val="00807E63"/>
    <w:rsid w:val="008100A7"/>
    <w:rsid w:val="008101F8"/>
    <w:rsid w:val="00810393"/>
    <w:rsid w:val="008104EB"/>
    <w:rsid w:val="00810A9A"/>
    <w:rsid w:val="00810AF7"/>
    <w:rsid w:val="00810B47"/>
    <w:rsid w:val="00810EFC"/>
    <w:rsid w:val="00810F03"/>
    <w:rsid w:val="00810F3E"/>
    <w:rsid w:val="00810F5B"/>
    <w:rsid w:val="00810FA0"/>
    <w:rsid w:val="00811059"/>
    <w:rsid w:val="00811132"/>
    <w:rsid w:val="00811217"/>
    <w:rsid w:val="00811515"/>
    <w:rsid w:val="008115F1"/>
    <w:rsid w:val="008116EE"/>
    <w:rsid w:val="008117F9"/>
    <w:rsid w:val="00811843"/>
    <w:rsid w:val="00811854"/>
    <w:rsid w:val="008119A1"/>
    <w:rsid w:val="008119A5"/>
    <w:rsid w:val="00811DB1"/>
    <w:rsid w:val="00811DBF"/>
    <w:rsid w:val="008120D3"/>
    <w:rsid w:val="00812103"/>
    <w:rsid w:val="0081222A"/>
    <w:rsid w:val="008122DA"/>
    <w:rsid w:val="008123D2"/>
    <w:rsid w:val="008123D3"/>
    <w:rsid w:val="008124D2"/>
    <w:rsid w:val="00812610"/>
    <w:rsid w:val="0081271E"/>
    <w:rsid w:val="008128B8"/>
    <w:rsid w:val="008128C0"/>
    <w:rsid w:val="00812908"/>
    <w:rsid w:val="008129FD"/>
    <w:rsid w:val="00812A9A"/>
    <w:rsid w:val="00812C3E"/>
    <w:rsid w:val="00812C8B"/>
    <w:rsid w:val="00812DF0"/>
    <w:rsid w:val="00812E58"/>
    <w:rsid w:val="00812ED8"/>
    <w:rsid w:val="00812F1A"/>
    <w:rsid w:val="00812FCD"/>
    <w:rsid w:val="0081314F"/>
    <w:rsid w:val="008132B3"/>
    <w:rsid w:val="00813380"/>
    <w:rsid w:val="00813611"/>
    <w:rsid w:val="0081362E"/>
    <w:rsid w:val="00813651"/>
    <w:rsid w:val="0081371D"/>
    <w:rsid w:val="00813751"/>
    <w:rsid w:val="008137C4"/>
    <w:rsid w:val="008138A8"/>
    <w:rsid w:val="00813980"/>
    <w:rsid w:val="00813A94"/>
    <w:rsid w:val="00813B65"/>
    <w:rsid w:val="00813BA8"/>
    <w:rsid w:val="00813BAA"/>
    <w:rsid w:val="00813C44"/>
    <w:rsid w:val="00813E9D"/>
    <w:rsid w:val="00813FD1"/>
    <w:rsid w:val="0081412A"/>
    <w:rsid w:val="00814163"/>
    <w:rsid w:val="008141CB"/>
    <w:rsid w:val="0081421A"/>
    <w:rsid w:val="008142C4"/>
    <w:rsid w:val="0081435B"/>
    <w:rsid w:val="00814434"/>
    <w:rsid w:val="00814498"/>
    <w:rsid w:val="008145D0"/>
    <w:rsid w:val="0081463E"/>
    <w:rsid w:val="00814683"/>
    <w:rsid w:val="008146EE"/>
    <w:rsid w:val="0081476C"/>
    <w:rsid w:val="008147CC"/>
    <w:rsid w:val="00814802"/>
    <w:rsid w:val="0081484E"/>
    <w:rsid w:val="0081485D"/>
    <w:rsid w:val="00814883"/>
    <w:rsid w:val="008148D9"/>
    <w:rsid w:val="008149B0"/>
    <w:rsid w:val="00814A6E"/>
    <w:rsid w:val="00814BFD"/>
    <w:rsid w:val="00814CBA"/>
    <w:rsid w:val="00814DDC"/>
    <w:rsid w:val="00814FBA"/>
    <w:rsid w:val="008150D7"/>
    <w:rsid w:val="00815129"/>
    <w:rsid w:val="0081512D"/>
    <w:rsid w:val="00815196"/>
    <w:rsid w:val="008152AB"/>
    <w:rsid w:val="008153D2"/>
    <w:rsid w:val="00815558"/>
    <w:rsid w:val="00815569"/>
    <w:rsid w:val="00815599"/>
    <w:rsid w:val="008155E4"/>
    <w:rsid w:val="008156B0"/>
    <w:rsid w:val="00815873"/>
    <w:rsid w:val="00815928"/>
    <w:rsid w:val="00815BDE"/>
    <w:rsid w:val="00815C80"/>
    <w:rsid w:val="00815D57"/>
    <w:rsid w:val="00815D62"/>
    <w:rsid w:val="00815EA5"/>
    <w:rsid w:val="0081600B"/>
    <w:rsid w:val="00816397"/>
    <w:rsid w:val="008164EC"/>
    <w:rsid w:val="008167AD"/>
    <w:rsid w:val="00816888"/>
    <w:rsid w:val="00816A28"/>
    <w:rsid w:val="00816ADA"/>
    <w:rsid w:val="00816B21"/>
    <w:rsid w:val="00816ECC"/>
    <w:rsid w:val="00816F67"/>
    <w:rsid w:val="00817115"/>
    <w:rsid w:val="00817120"/>
    <w:rsid w:val="008171D8"/>
    <w:rsid w:val="00817359"/>
    <w:rsid w:val="008173C3"/>
    <w:rsid w:val="008173DC"/>
    <w:rsid w:val="008174A7"/>
    <w:rsid w:val="008178FE"/>
    <w:rsid w:val="00817974"/>
    <w:rsid w:val="00817A5E"/>
    <w:rsid w:val="00817D18"/>
    <w:rsid w:val="00817F0C"/>
    <w:rsid w:val="00817F95"/>
    <w:rsid w:val="008200FA"/>
    <w:rsid w:val="008201AC"/>
    <w:rsid w:val="008202B1"/>
    <w:rsid w:val="008203ED"/>
    <w:rsid w:val="008203F2"/>
    <w:rsid w:val="008204A8"/>
    <w:rsid w:val="0082053D"/>
    <w:rsid w:val="008205D3"/>
    <w:rsid w:val="008205E7"/>
    <w:rsid w:val="008206B7"/>
    <w:rsid w:val="00820769"/>
    <w:rsid w:val="00820855"/>
    <w:rsid w:val="008208C3"/>
    <w:rsid w:val="00820C9C"/>
    <w:rsid w:val="00820DF8"/>
    <w:rsid w:val="00820DFD"/>
    <w:rsid w:val="00820F33"/>
    <w:rsid w:val="00821194"/>
    <w:rsid w:val="00821519"/>
    <w:rsid w:val="00821524"/>
    <w:rsid w:val="00821540"/>
    <w:rsid w:val="00821573"/>
    <w:rsid w:val="008215AA"/>
    <w:rsid w:val="00821716"/>
    <w:rsid w:val="008217C3"/>
    <w:rsid w:val="00821837"/>
    <w:rsid w:val="008219B6"/>
    <w:rsid w:val="00821AC0"/>
    <w:rsid w:val="00821BD2"/>
    <w:rsid w:val="00821CF8"/>
    <w:rsid w:val="00821F4B"/>
    <w:rsid w:val="00821F52"/>
    <w:rsid w:val="008222B0"/>
    <w:rsid w:val="008226A5"/>
    <w:rsid w:val="008226EA"/>
    <w:rsid w:val="0082276E"/>
    <w:rsid w:val="008228FA"/>
    <w:rsid w:val="00822AE3"/>
    <w:rsid w:val="00822AED"/>
    <w:rsid w:val="00822D54"/>
    <w:rsid w:val="00822FB0"/>
    <w:rsid w:val="0082305E"/>
    <w:rsid w:val="0082306D"/>
    <w:rsid w:val="008230AE"/>
    <w:rsid w:val="00823108"/>
    <w:rsid w:val="008232C8"/>
    <w:rsid w:val="008234CF"/>
    <w:rsid w:val="00823689"/>
    <w:rsid w:val="00823993"/>
    <w:rsid w:val="00823A7F"/>
    <w:rsid w:val="00823B51"/>
    <w:rsid w:val="00823D0D"/>
    <w:rsid w:val="00823D23"/>
    <w:rsid w:val="00823DE7"/>
    <w:rsid w:val="00824056"/>
    <w:rsid w:val="008243E0"/>
    <w:rsid w:val="008243F5"/>
    <w:rsid w:val="00824431"/>
    <w:rsid w:val="00824650"/>
    <w:rsid w:val="008247DF"/>
    <w:rsid w:val="008247E4"/>
    <w:rsid w:val="00824903"/>
    <w:rsid w:val="00824989"/>
    <w:rsid w:val="00824AA5"/>
    <w:rsid w:val="00824CD9"/>
    <w:rsid w:val="00824E06"/>
    <w:rsid w:val="00824FAC"/>
    <w:rsid w:val="008250BC"/>
    <w:rsid w:val="0082517D"/>
    <w:rsid w:val="00825256"/>
    <w:rsid w:val="00825388"/>
    <w:rsid w:val="0082550E"/>
    <w:rsid w:val="00825572"/>
    <w:rsid w:val="008255DB"/>
    <w:rsid w:val="008256BC"/>
    <w:rsid w:val="00825855"/>
    <w:rsid w:val="0082594A"/>
    <w:rsid w:val="00825984"/>
    <w:rsid w:val="00825A62"/>
    <w:rsid w:val="00825B37"/>
    <w:rsid w:val="00825B5F"/>
    <w:rsid w:val="00825D0E"/>
    <w:rsid w:val="00825E71"/>
    <w:rsid w:val="00825EA4"/>
    <w:rsid w:val="00825F5B"/>
    <w:rsid w:val="00826047"/>
    <w:rsid w:val="00826166"/>
    <w:rsid w:val="00826429"/>
    <w:rsid w:val="008264FA"/>
    <w:rsid w:val="0082650A"/>
    <w:rsid w:val="00826605"/>
    <w:rsid w:val="008266C0"/>
    <w:rsid w:val="008268FF"/>
    <w:rsid w:val="008269FF"/>
    <w:rsid w:val="00826DF6"/>
    <w:rsid w:val="00826EF3"/>
    <w:rsid w:val="0082711E"/>
    <w:rsid w:val="0082737C"/>
    <w:rsid w:val="008274C8"/>
    <w:rsid w:val="008274EE"/>
    <w:rsid w:val="00827539"/>
    <w:rsid w:val="0082759B"/>
    <w:rsid w:val="008275D8"/>
    <w:rsid w:val="00827604"/>
    <w:rsid w:val="008276BE"/>
    <w:rsid w:val="0082774F"/>
    <w:rsid w:val="00827782"/>
    <w:rsid w:val="0082783B"/>
    <w:rsid w:val="008278FC"/>
    <w:rsid w:val="00827A6F"/>
    <w:rsid w:val="00827BED"/>
    <w:rsid w:val="00827CD4"/>
    <w:rsid w:val="00827F2A"/>
    <w:rsid w:val="00827FA5"/>
    <w:rsid w:val="008300AA"/>
    <w:rsid w:val="00830433"/>
    <w:rsid w:val="0083045A"/>
    <w:rsid w:val="00830628"/>
    <w:rsid w:val="00830635"/>
    <w:rsid w:val="0083063D"/>
    <w:rsid w:val="0083068B"/>
    <w:rsid w:val="008308A1"/>
    <w:rsid w:val="0083092B"/>
    <w:rsid w:val="00830A05"/>
    <w:rsid w:val="00830C6A"/>
    <w:rsid w:val="00830CBC"/>
    <w:rsid w:val="00830D21"/>
    <w:rsid w:val="00830F13"/>
    <w:rsid w:val="00831098"/>
    <w:rsid w:val="0083122F"/>
    <w:rsid w:val="00831266"/>
    <w:rsid w:val="0083132A"/>
    <w:rsid w:val="008313E2"/>
    <w:rsid w:val="00831439"/>
    <w:rsid w:val="0083148D"/>
    <w:rsid w:val="00831622"/>
    <w:rsid w:val="00831666"/>
    <w:rsid w:val="008316B0"/>
    <w:rsid w:val="008319D7"/>
    <w:rsid w:val="00831BAB"/>
    <w:rsid w:val="00831CB2"/>
    <w:rsid w:val="00831D80"/>
    <w:rsid w:val="00831E22"/>
    <w:rsid w:val="00831EF9"/>
    <w:rsid w:val="00832057"/>
    <w:rsid w:val="00832171"/>
    <w:rsid w:val="00832289"/>
    <w:rsid w:val="008322DB"/>
    <w:rsid w:val="0083234C"/>
    <w:rsid w:val="0083236B"/>
    <w:rsid w:val="0083237E"/>
    <w:rsid w:val="00832444"/>
    <w:rsid w:val="00832531"/>
    <w:rsid w:val="00832614"/>
    <w:rsid w:val="00832638"/>
    <w:rsid w:val="008326A3"/>
    <w:rsid w:val="008326E4"/>
    <w:rsid w:val="0083271F"/>
    <w:rsid w:val="0083283E"/>
    <w:rsid w:val="00832874"/>
    <w:rsid w:val="008328C9"/>
    <w:rsid w:val="00832925"/>
    <w:rsid w:val="008329AB"/>
    <w:rsid w:val="00832A60"/>
    <w:rsid w:val="00832B34"/>
    <w:rsid w:val="00832B50"/>
    <w:rsid w:val="00832B6F"/>
    <w:rsid w:val="00832CA9"/>
    <w:rsid w:val="00832D18"/>
    <w:rsid w:val="00832DB2"/>
    <w:rsid w:val="00832DFC"/>
    <w:rsid w:val="0083308C"/>
    <w:rsid w:val="008331CE"/>
    <w:rsid w:val="00833297"/>
    <w:rsid w:val="00833306"/>
    <w:rsid w:val="008333B9"/>
    <w:rsid w:val="008334C5"/>
    <w:rsid w:val="00833580"/>
    <w:rsid w:val="008336D1"/>
    <w:rsid w:val="008339B9"/>
    <w:rsid w:val="00833A64"/>
    <w:rsid w:val="00833A91"/>
    <w:rsid w:val="00833A99"/>
    <w:rsid w:val="00833BF8"/>
    <w:rsid w:val="00833C47"/>
    <w:rsid w:val="00833CF5"/>
    <w:rsid w:val="00833D29"/>
    <w:rsid w:val="00833D40"/>
    <w:rsid w:val="00834087"/>
    <w:rsid w:val="008341B8"/>
    <w:rsid w:val="008342B1"/>
    <w:rsid w:val="00834374"/>
    <w:rsid w:val="0083438E"/>
    <w:rsid w:val="00834422"/>
    <w:rsid w:val="0083452B"/>
    <w:rsid w:val="00834730"/>
    <w:rsid w:val="0083498E"/>
    <w:rsid w:val="008349D2"/>
    <w:rsid w:val="008349E9"/>
    <w:rsid w:val="008349F9"/>
    <w:rsid w:val="00834A0D"/>
    <w:rsid w:val="00834BE8"/>
    <w:rsid w:val="00834C40"/>
    <w:rsid w:val="00834C82"/>
    <w:rsid w:val="00834E17"/>
    <w:rsid w:val="00835022"/>
    <w:rsid w:val="00835086"/>
    <w:rsid w:val="0083528D"/>
    <w:rsid w:val="0083548B"/>
    <w:rsid w:val="0083557F"/>
    <w:rsid w:val="008358C5"/>
    <w:rsid w:val="008358C8"/>
    <w:rsid w:val="00835B0E"/>
    <w:rsid w:val="00835B1C"/>
    <w:rsid w:val="00835B2B"/>
    <w:rsid w:val="00835B40"/>
    <w:rsid w:val="00835C34"/>
    <w:rsid w:val="00835E97"/>
    <w:rsid w:val="00835F29"/>
    <w:rsid w:val="00836073"/>
    <w:rsid w:val="00836449"/>
    <w:rsid w:val="00836548"/>
    <w:rsid w:val="008366E0"/>
    <w:rsid w:val="00836902"/>
    <w:rsid w:val="0083695F"/>
    <w:rsid w:val="00836B01"/>
    <w:rsid w:val="00836B43"/>
    <w:rsid w:val="00836C7D"/>
    <w:rsid w:val="00836EBC"/>
    <w:rsid w:val="00836F24"/>
    <w:rsid w:val="00836F5B"/>
    <w:rsid w:val="0083725C"/>
    <w:rsid w:val="00837289"/>
    <w:rsid w:val="008374AB"/>
    <w:rsid w:val="0083753D"/>
    <w:rsid w:val="0083760B"/>
    <w:rsid w:val="00837770"/>
    <w:rsid w:val="00837808"/>
    <w:rsid w:val="008379DC"/>
    <w:rsid w:val="00837AC8"/>
    <w:rsid w:val="00837BCC"/>
    <w:rsid w:val="00837C29"/>
    <w:rsid w:val="00837E07"/>
    <w:rsid w:val="00837E46"/>
    <w:rsid w:val="0084014B"/>
    <w:rsid w:val="008401CB"/>
    <w:rsid w:val="00840220"/>
    <w:rsid w:val="0084024B"/>
    <w:rsid w:val="00840285"/>
    <w:rsid w:val="008403A8"/>
    <w:rsid w:val="008403BA"/>
    <w:rsid w:val="008403EA"/>
    <w:rsid w:val="00840544"/>
    <w:rsid w:val="008405EF"/>
    <w:rsid w:val="008406A8"/>
    <w:rsid w:val="0084082D"/>
    <w:rsid w:val="00840880"/>
    <w:rsid w:val="00840A65"/>
    <w:rsid w:val="00840ADD"/>
    <w:rsid w:val="00840B1E"/>
    <w:rsid w:val="00840BB1"/>
    <w:rsid w:val="00840FB6"/>
    <w:rsid w:val="0084100A"/>
    <w:rsid w:val="00841066"/>
    <w:rsid w:val="008410A8"/>
    <w:rsid w:val="00841104"/>
    <w:rsid w:val="00841472"/>
    <w:rsid w:val="00841570"/>
    <w:rsid w:val="00841693"/>
    <w:rsid w:val="00841807"/>
    <w:rsid w:val="008418BE"/>
    <w:rsid w:val="00841AAE"/>
    <w:rsid w:val="00841AFE"/>
    <w:rsid w:val="00841B5F"/>
    <w:rsid w:val="00841BC3"/>
    <w:rsid w:val="00841CB2"/>
    <w:rsid w:val="00841F2A"/>
    <w:rsid w:val="00841F55"/>
    <w:rsid w:val="00842198"/>
    <w:rsid w:val="00842273"/>
    <w:rsid w:val="00842329"/>
    <w:rsid w:val="00842408"/>
    <w:rsid w:val="0084242E"/>
    <w:rsid w:val="0084264E"/>
    <w:rsid w:val="008426F0"/>
    <w:rsid w:val="00842809"/>
    <w:rsid w:val="00842888"/>
    <w:rsid w:val="00842A07"/>
    <w:rsid w:val="00842A93"/>
    <w:rsid w:val="00842AE0"/>
    <w:rsid w:val="00842DC7"/>
    <w:rsid w:val="00842E19"/>
    <w:rsid w:val="00843138"/>
    <w:rsid w:val="00843262"/>
    <w:rsid w:val="008433BD"/>
    <w:rsid w:val="008433E5"/>
    <w:rsid w:val="00843652"/>
    <w:rsid w:val="00843710"/>
    <w:rsid w:val="00843819"/>
    <w:rsid w:val="00843893"/>
    <w:rsid w:val="00843937"/>
    <w:rsid w:val="00843A7C"/>
    <w:rsid w:val="00843BC8"/>
    <w:rsid w:val="00843C2A"/>
    <w:rsid w:val="00843C72"/>
    <w:rsid w:val="00843CC2"/>
    <w:rsid w:val="00843CEC"/>
    <w:rsid w:val="00843D87"/>
    <w:rsid w:val="00843D93"/>
    <w:rsid w:val="00843DA6"/>
    <w:rsid w:val="00843E35"/>
    <w:rsid w:val="00843E92"/>
    <w:rsid w:val="00843EEF"/>
    <w:rsid w:val="00843EF9"/>
    <w:rsid w:val="00843F86"/>
    <w:rsid w:val="008441EB"/>
    <w:rsid w:val="00844346"/>
    <w:rsid w:val="0084445A"/>
    <w:rsid w:val="008444D4"/>
    <w:rsid w:val="00844596"/>
    <w:rsid w:val="0084473B"/>
    <w:rsid w:val="008447CF"/>
    <w:rsid w:val="00844954"/>
    <w:rsid w:val="00844BC4"/>
    <w:rsid w:val="00844C38"/>
    <w:rsid w:val="00844E18"/>
    <w:rsid w:val="00844E44"/>
    <w:rsid w:val="00844F73"/>
    <w:rsid w:val="00844FA3"/>
    <w:rsid w:val="008450DD"/>
    <w:rsid w:val="00845162"/>
    <w:rsid w:val="00845233"/>
    <w:rsid w:val="0084537B"/>
    <w:rsid w:val="00845388"/>
    <w:rsid w:val="0084542F"/>
    <w:rsid w:val="0084553E"/>
    <w:rsid w:val="008456EE"/>
    <w:rsid w:val="0084584C"/>
    <w:rsid w:val="00845884"/>
    <w:rsid w:val="008459A9"/>
    <w:rsid w:val="008459EC"/>
    <w:rsid w:val="00845A18"/>
    <w:rsid w:val="00845AC9"/>
    <w:rsid w:val="00845BCB"/>
    <w:rsid w:val="00845CF8"/>
    <w:rsid w:val="00845DE4"/>
    <w:rsid w:val="00845E03"/>
    <w:rsid w:val="00845E6D"/>
    <w:rsid w:val="00845F19"/>
    <w:rsid w:val="00845F69"/>
    <w:rsid w:val="00845FA2"/>
    <w:rsid w:val="0084607E"/>
    <w:rsid w:val="00846081"/>
    <w:rsid w:val="008460AA"/>
    <w:rsid w:val="0084626D"/>
    <w:rsid w:val="008463B1"/>
    <w:rsid w:val="00846508"/>
    <w:rsid w:val="0084653D"/>
    <w:rsid w:val="0084661F"/>
    <w:rsid w:val="008466CD"/>
    <w:rsid w:val="00846741"/>
    <w:rsid w:val="00846881"/>
    <w:rsid w:val="00846BA9"/>
    <w:rsid w:val="00846E1F"/>
    <w:rsid w:val="00847017"/>
    <w:rsid w:val="008470E7"/>
    <w:rsid w:val="0084711F"/>
    <w:rsid w:val="00847123"/>
    <w:rsid w:val="008472F9"/>
    <w:rsid w:val="00847400"/>
    <w:rsid w:val="0084742B"/>
    <w:rsid w:val="0084752D"/>
    <w:rsid w:val="00847642"/>
    <w:rsid w:val="00847810"/>
    <w:rsid w:val="0084786E"/>
    <w:rsid w:val="008479A8"/>
    <w:rsid w:val="00847BF5"/>
    <w:rsid w:val="00847DFD"/>
    <w:rsid w:val="00847F16"/>
    <w:rsid w:val="00847F4F"/>
    <w:rsid w:val="00850063"/>
    <w:rsid w:val="008500D4"/>
    <w:rsid w:val="008501BF"/>
    <w:rsid w:val="00850242"/>
    <w:rsid w:val="00850256"/>
    <w:rsid w:val="00850297"/>
    <w:rsid w:val="00850302"/>
    <w:rsid w:val="00850360"/>
    <w:rsid w:val="0085037A"/>
    <w:rsid w:val="008503DC"/>
    <w:rsid w:val="008504DD"/>
    <w:rsid w:val="0085053F"/>
    <w:rsid w:val="00850653"/>
    <w:rsid w:val="008506D8"/>
    <w:rsid w:val="0085091F"/>
    <w:rsid w:val="00850923"/>
    <w:rsid w:val="00850961"/>
    <w:rsid w:val="008509D4"/>
    <w:rsid w:val="00850A8C"/>
    <w:rsid w:val="00850AF1"/>
    <w:rsid w:val="00850B45"/>
    <w:rsid w:val="00850CD2"/>
    <w:rsid w:val="00850D55"/>
    <w:rsid w:val="00850E2E"/>
    <w:rsid w:val="00850F3C"/>
    <w:rsid w:val="00850F43"/>
    <w:rsid w:val="0085109F"/>
    <w:rsid w:val="00851144"/>
    <w:rsid w:val="008511DE"/>
    <w:rsid w:val="00851209"/>
    <w:rsid w:val="00851222"/>
    <w:rsid w:val="00851417"/>
    <w:rsid w:val="008516A9"/>
    <w:rsid w:val="008516DB"/>
    <w:rsid w:val="0085171D"/>
    <w:rsid w:val="0085171E"/>
    <w:rsid w:val="00851781"/>
    <w:rsid w:val="00851925"/>
    <w:rsid w:val="00851962"/>
    <w:rsid w:val="00851A1C"/>
    <w:rsid w:val="00851B86"/>
    <w:rsid w:val="00851BDE"/>
    <w:rsid w:val="00851CE2"/>
    <w:rsid w:val="00851FA2"/>
    <w:rsid w:val="00852293"/>
    <w:rsid w:val="00852328"/>
    <w:rsid w:val="008523E2"/>
    <w:rsid w:val="00852441"/>
    <w:rsid w:val="0085272D"/>
    <w:rsid w:val="00852880"/>
    <w:rsid w:val="008529A4"/>
    <w:rsid w:val="008529B8"/>
    <w:rsid w:val="00852AD1"/>
    <w:rsid w:val="00852B3A"/>
    <w:rsid w:val="00852CF1"/>
    <w:rsid w:val="00852E9C"/>
    <w:rsid w:val="00852EA6"/>
    <w:rsid w:val="00852F2E"/>
    <w:rsid w:val="00852F5C"/>
    <w:rsid w:val="00852F6D"/>
    <w:rsid w:val="008531F0"/>
    <w:rsid w:val="0085331C"/>
    <w:rsid w:val="008533FA"/>
    <w:rsid w:val="00853422"/>
    <w:rsid w:val="008534C8"/>
    <w:rsid w:val="00853826"/>
    <w:rsid w:val="0085383A"/>
    <w:rsid w:val="0085391F"/>
    <w:rsid w:val="00853A86"/>
    <w:rsid w:val="00853BC5"/>
    <w:rsid w:val="00853C1E"/>
    <w:rsid w:val="00853C46"/>
    <w:rsid w:val="00853CDB"/>
    <w:rsid w:val="0085416D"/>
    <w:rsid w:val="008543D0"/>
    <w:rsid w:val="008545FC"/>
    <w:rsid w:val="00854927"/>
    <w:rsid w:val="00854AC1"/>
    <w:rsid w:val="00854B97"/>
    <w:rsid w:val="00854CB0"/>
    <w:rsid w:val="00854CB1"/>
    <w:rsid w:val="00854D26"/>
    <w:rsid w:val="00854EA8"/>
    <w:rsid w:val="00854FAD"/>
    <w:rsid w:val="00854FF1"/>
    <w:rsid w:val="008553C6"/>
    <w:rsid w:val="0085541D"/>
    <w:rsid w:val="00855548"/>
    <w:rsid w:val="008555D2"/>
    <w:rsid w:val="0085563F"/>
    <w:rsid w:val="008558C1"/>
    <w:rsid w:val="00855940"/>
    <w:rsid w:val="00855994"/>
    <w:rsid w:val="00855B10"/>
    <w:rsid w:val="00855CF3"/>
    <w:rsid w:val="00855CFD"/>
    <w:rsid w:val="00855DAB"/>
    <w:rsid w:val="00855E1A"/>
    <w:rsid w:val="00856048"/>
    <w:rsid w:val="00856118"/>
    <w:rsid w:val="00856208"/>
    <w:rsid w:val="0085646A"/>
    <w:rsid w:val="00856660"/>
    <w:rsid w:val="00856661"/>
    <w:rsid w:val="0085693F"/>
    <w:rsid w:val="008569BA"/>
    <w:rsid w:val="00856AA4"/>
    <w:rsid w:val="00856BE7"/>
    <w:rsid w:val="00856D63"/>
    <w:rsid w:val="00856DE5"/>
    <w:rsid w:val="00856E2F"/>
    <w:rsid w:val="00856F0D"/>
    <w:rsid w:val="00856F4B"/>
    <w:rsid w:val="00856FFF"/>
    <w:rsid w:val="008570E1"/>
    <w:rsid w:val="00857125"/>
    <w:rsid w:val="008571F1"/>
    <w:rsid w:val="00857271"/>
    <w:rsid w:val="00857283"/>
    <w:rsid w:val="008572E8"/>
    <w:rsid w:val="00857483"/>
    <w:rsid w:val="008574A2"/>
    <w:rsid w:val="00857540"/>
    <w:rsid w:val="00857600"/>
    <w:rsid w:val="008576B3"/>
    <w:rsid w:val="008577C8"/>
    <w:rsid w:val="008578DA"/>
    <w:rsid w:val="008579E9"/>
    <w:rsid w:val="00857BEA"/>
    <w:rsid w:val="00857CB1"/>
    <w:rsid w:val="00857E44"/>
    <w:rsid w:val="00860128"/>
    <w:rsid w:val="008602B4"/>
    <w:rsid w:val="008603B7"/>
    <w:rsid w:val="00860547"/>
    <w:rsid w:val="00860666"/>
    <w:rsid w:val="00860705"/>
    <w:rsid w:val="00860779"/>
    <w:rsid w:val="00860AB2"/>
    <w:rsid w:val="00860B08"/>
    <w:rsid w:val="00860B24"/>
    <w:rsid w:val="00860DFA"/>
    <w:rsid w:val="00860F8E"/>
    <w:rsid w:val="00860FEE"/>
    <w:rsid w:val="0086100D"/>
    <w:rsid w:val="00861038"/>
    <w:rsid w:val="00861056"/>
    <w:rsid w:val="00861088"/>
    <w:rsid w:val="0086154B"/>
    <w:rsid w:val="008615C3"/>
    <w:rsid w:val="00861617"/>
    <w:rsid w:val="0086168D"/>
    <w:rsid w:val="00861861"/>
    <w:rsid w:val="00861C67"/>
    <w:rsid w:val="00861D21"/>
    <w:rsid w:val="00861E0B"/>
    <w:rsid w:val="00861E6B"/>
    <w:rsid w:val="00861FB5"/>
    <w:rsid w:val="008620C2"/>
    <w:rsid w:val="00862357"/>
    <w:rsid w:val="008624D8"/>
    <w:rsid w:val="008625F8"/>
    <w:rsid w:val="0086266A"/>
    <w:rsid w:val="008626C2"/>
    <w:rsid w:val="00862816"/>
    <w:rsid w:val="008628AA"/>
    <w:rsid w:val="00862944"/>
    <w:rsid w:val="00862A01"/>
    <w:rsid w:val="00862C04"/>
    <w:rsid w:val="00862C99"/>
    <w:rsid w:val="00862DEC"/>
    <w:rsid w:val="00862EE3"/>
    <w:rsid w:val="00863144"/>
    <w:rsid w:val="00863199"/>
    <w:rsid w:val="00863487"/>
    <w:rsid w:val="008634EF"/>
    <w:rsid w:val="00863530"/>
    <w:rsid w:val="008637A1"/>
    <w:rsid w:val="008637BB"/>
    <w:rsid w:val="00863968"/>
    <w:rsid w:val="00863AC4"/>
    <w:rsid w:val="00863B79"/>
    <w:rsid w:val="00863CF1"/>
    <w:rsid w:val="00864042"/>
    <w:rsid w:val="008641B0"/>
    <w:rsid w:val="00864215"/>
    <w:rsid w:val="00864230"/>
    <w:rsid w:val="00864281"/>
    <w:rsid w:val="0086443E"/>
    <w:rsid w:val="008644AE"/>
    <w:rsid w:val="00864553"/>
    <w:rsid w:val="0086455A"/>
    <w:rsid w:val="008646BE"/>
    <w:rsid w:val="00864762"/>
    <w:rsid w:val="0086476C"/>
    <w:rsid w:val="00864888"/>
    <w:rsid w:val="008648F8"/>
    <w:rsid w:val="00864993"/>
    <w:rsid w:val="0086499A"/>
    <w:rsid w:val="008649DF"/>
    <w:rsid w:val="008649F6"/>
    <w:rsid w:val="00864AF2"/>
    <w:rsid w:val="00864C1B"/>
    <w:rsid w:val="00864D65"/>
    <w:rsid w:val="00864D70"/>
    <w:rsid w:val="00864DA8"/>
    <w:rsid w:val="00864EAC"/>
    <w:rsid w:val="00864EAE"/>
    <w:rsid w:val="00864F55"/>
    <w:rsid w:val="00864F96"/>
    <w:rsid w:val="00865161"/>
    <w:rsid w:val="008652F3"/>
    <w:rsid w:val="008654AD"/>
    <w:rsid w:val="00865547"/>
    <w:rsid w:val="00865790"/>
    <w:rsid w:val="00865AFD"/>
    <w:rsid w:val="00865B4E"/>
    <w:rsid w:val="00865F4C"/>
    <w:rsid w:val="008660BE"/>
    <w:rsid w:val="008662FD"/>
    <w:rsid w:val="00866406"/>
    <w:rsid w:val="0086640B"/>
    <w:rsid w:val="0086645D"/>
    <w:rsid w:val="008664C8"/>
    <w:rsid w:val="008667BF"/>
    <w:rsid w:val="00866A25"/>
    <w:rsid w:val="00866B87"/>
    <w:rsid w:val="00866C6F"/>
    <w:rsid w:val="00866D23"/>
    <w:rsid w:val="00866D34"/>
    <w:rsid w:val="00866E0C"/>
    <w:rsid w:val="00866E48"/>
    <w:rsid w:val="00866EF1"/>
    <w:rsid w:val="00866FB2"/>
    <w:rsid w:val="00866FE1"/>
    <w:rsid w:val="00867064"/>
    <w:rsid w:val="00867304"/>
    <w:rsid w:val="00867324"/>
    <w:rsid w:val="0086747B"/>
    <w:rsid w:val="00867702"/>
    <w:rsid w:val="00867763"/>
    <w:rsid w:val="0086779B"/>
    <w:rsid w:val="00867801"/>
    <w:rsid w:val="0086780B"/>
    <w:rsid w:val="00867914"/>
    <w:rsid w:val="00867963"/>
    <w:rsid w:val="008679D6"/>
    <w:rsid w:val="00867A1C"/>
    <w:rsid w:val="00867A73"/>
    <w:rsid w:val="00867E93"/>
    <w:rsid w:val="00867F3E"/>
    <w:rsid w:val="00867FD8"/>
    <w:rsid w:val="00870008"/>
    <w:rsid w:val="00870066"/>
    <w:rsid w:val="008703FE"/>
    <w:rsid w:val="008705AB"/>
    <w:rsid w:val="008705CB"/>
    <w:rsid w:val="008706F1"/>
    <w:rsid w:val="00870790"/>
    <w:rsid w:val="008707C2"/>
    <w:rsid w:val="008707E4"/>
    <w:rsid w:val="0087087F"/>
    <w:rsid w:val="008708A9"/>
    <w:rsid w:val="008709B4"/>
    <w:rsid w:val="00870ACB"/>
    <w:rsid w:val="00870CB9"/>
    <w:rsid w:val="00870DFB"/>
    <w:rsid w:val="00870F68"/>
    <w:rsid w:val="008712FA"/>
    <w:rsid w:val="0087132D"/>
    <w:rsid w:val="008713BE"/>
    <w:rsid w:val="00871540"/>
    <w:rsid w:val="0087155A"/>
    <w:rsid w:val="008718AF"/>
    <w:rsid w:val="00871A2A"/>
    <w:rsid w:val="00871B09"/>
    <w:rsid w:val="00871B2E"/>
    <w:rsid w:val="00871B30"/>
    <w:rsid w:val="00871B50"/>
    <w:rsid w:val="00871B61"/>
    <w:rsid w:val="00871BD1"/>
    <w:rsid w:val="00871D08"/>
    <w:rsid w:val="00871E7A"/>
    <w:rsid w:val="00872137"/>
    <w:rsid w:val="00872349"/>
    <w:rsid w:val="008724C3"/>
    <w:rsid w:val="008724DA"/>
    <w:rsid w:val="0087251A"/>
    <w:rsid w:val="00872601"/>
    <w:rsid w:val="0087276E"/>
    <w:rsid w:val="00872796"/>
    <w:rsid w:val="008729E9"/>
    <w:rsid w:val="00872A71"/>
    <w:rsid w:val="00872B81"/>
    <w:rsid w:val="00872C04"/>
    <w:rsid w:val="00872C08"/>
    <w:rsid w:val="00872EE0"/>
    <w:rsid w:val="00872F4A"/>
    <w:rsid w:val="008730CC"/>
    <w:rsid w:val="008730D6"/>
    <w:rsid w:val="008733EE"/>
    <w:rsid w:val="00873575"/>
    <w:rsid w:val="008736EC"/>
    <w:rsid w:val="008736F2"/>
    <w:rsid w:val="00873738"/>
    <w:rsid w:val="008737FC"/>
    <w:rsid w:val="00873818"/>
    <w:rsid w:val="0087391F"/>
    <w:rsid w:val="00873C34"/>
    <w:rsid w:val="00873C94"/>
    <w:rsid w:val="00873DBD"/>
    <w:rsid w:val="00873EC2"/>
    <w:rsid w:val="00873F99"/>
    <w:rsid w:val="00873FAC"/>
    <w:rsid w:val="00874018"/>
    <w:rsid w:val="0087407D"/>
    <w:rsid w:val="00874546"/>
    <w:rsid w:val="008745CE"/>
    <w:rsid w:val="008747E7"/>
    <w:rsid w:val="00874A78"/>
    <w:rsid w:val="00874B3D"/>
    <w:rsid w:val="00874BFE"/>
    <w:rsid w:val="00874C07"/>
    <w:rsid w:val="00874E70"/>
    <w:rsid w:val="00874E84"/>
    <w:rsid w:val="00874F76"/>
    <w:rsid w:val="00874F98"/>
    <w:rsid w:val="00875144"/>
    <w:rsid w:val="008751B2"/>
    <w:rsid w:val="00875411"/>
    <w:rsid w:val="00875421"/>
    <w:rsid w:val="00875481"/>
    <w:rsid w:val="008755CD"/>
    <w:rsid w:val="00875748"/>
    <w:rsid w:val="00875794"/>
    <w:rsid w:val="0087596F"/>
    <w:rsid w:val="00875B84"/>
    <w:rsid w:val="00875C10"/>
    <w:rsid w:val="00875CE6"/>
    <w:rsid w:val="00875D37"/>
    <w:rsid w:val="00875D6A"/>
    <w:rsid w:val="00875E1B"/>
    <w:rsid w:val="00875EF7"/>
    <w:rsid w:val="00875FD0"/>
    <w:rsid w:val="00876004"/>
    <w:rsid w:val="00876037"/>
    <w:rsid w:val="008760E8"/>
    <w:rsid w:val="0087627B"/>
    <w:rsid w:val="008762C7"/>
    <w:rsid w:val="00876313"/>
    <w:rsid w:val="0087645A"/>
    <w:rsid w:val="00876495"/>
    <w:rsid w:val="008764B2"/>
    <w:rsid w:val="008764B8"/>
    <w:rsid w:val="00876508"/>
    <w:rsid w:val="008765D8"/>
    <w:rsid w:val="008765EB"/>
    <w:rsid w:val="00876682"/>
    <w:rsid w:val="008766E9"/>
    <w:rsid w:val="008766FD"/>
    <w:rsid w:val="0087679B"/>
    <w:rsid w:val="008768AF"/>
    <w:rsid w:val="008769E0"/>
    <w:rsid w:val="00876ADF"/>
    <w:rsid w:val="00876C07"/>
    <w:rsid w:val="00876C0E"/>
    <w:rsid w:val="00876E29"/>
    <w:rsid w:val="00876E6E"/>
    <w:rsid w:val="00877063"/>
    <w:rsid w:val="00877287"/>
    <w:rsid w:val="008772B4"/>
    <w:rsid w:val="008772D0"/>
    <w:rsid w:val="00877485"/>
    <w:rsid w:val="00877523"/>
    <w:rsid w:val="00877562"/>
    <w:rsid w:val="00877725"/>
    <w:rsid w:val="0087775A"/>
    <w:rsid w:val="008778E6"/>
    <w:rsid w:val="0087796F"/>
    <w:rsid w:val="00877A5B"/>
    <w:rsid w:val="00877B89"/>
    <w:rsid w:val="00877C0D"/>
    <w:rsid w:val="00877CE8"/>
    <w:rsid w:val="00877E6A"/>
    <w:rsid w:val="00877EC2"/>
    <w:rsid w:val="00877EF4"/>
    <w:rsid w:val="0088024A"/>
    <w:rsid w:val="008802CD"/>
    <w:rsid w:val="0088038C"/>
    <w:rsid w:val="008806C3"/>
    <w:rsid w:val="0088070A"/>
    <w:rsid w:val="00880774"/>
    <w:rsid w:val="0088079B"/>
    <w:rsid w:val="008807BB"/>
    <w:rsid w:val="00880899"/>
    <w:rsid w:val="0088099D"/>
    <w:rsid w:val="008809A2"/>
    <w:rsid w:val="00880A1B"/>
    <w:rsid w:val="00880A84"/>
    <w:rsid w:val="00880ACB"/>
    <w:rsid w:val="00880B22"/>
    <w:rsid w:val="00880BE3"/>
    <w:rsid w:val="00880E7F"/>
    <w:rsid w:val="00880EC5"/>
    <w:rsid w:val="00880F1C"/>
    <w:rsid w:val="00880F61"/>
    <w:rsid w:val="008810B1"/>
    <w:rsid w:val="008812F0"/>
    <w:rsid w:val="00881430"/>
    <w:rsid w:val="008815F7"/>
    <w:rsid w:val="00881806"/>
    <w:rsid w:val="008818D5"/>
    <w:rsid w:val="008818F8"/>
    <w:rsid w:val="00881910"/>
    <w:rsid w:val="00881992"/>
    <w:rsid w:val="00881A50"/>
    <w:rsid w:val="00881CF9"/>
    <w:rsid w:val="00881EE3"/>
    <w:rsid w:val="00881F39"/>
    <w:rsid w:val="0088201F"/>
    <w:rsid w:val="00882319"/>
    <w:rsid w:val="0088234D"/>
    <w:rsid w:val="00882369"/>
    <w:rsid w:val="00882408"/>
    <w:rsid w:val="00882512"/>
    <w:rsid w:val="008825A0"/>
    <w:rsid w:val="0088263E"/>
    <w:rsid w:val="008826C1"/>
    <w:rsid w:val="00882770"/>
    <w:rsid w:val="0088278E"/>
    <w:rsid w:val="008827C6"/>
    <w:rsid w:val="0088291C"/>
    <w:rsid w:val="00882950"/>
    <w:rsid w:val="008829E8"/>
    <w:rsid w:val="00882BA7"/>
    <w:rsid w:val="00882CF3"/>
    <w:rsid w:val="00882E23"/>
    <w:rsid w:val="00882E25"/>
    <w:rsid w:val="00882FA8"/>
    <w:rsid w:val="00883329"/>
    <w:rsid w:val="00883330"/>
    <w:rsid w:val="008833C7"/>
    <w:rsid w:val="008833F3"/>
    <w:rsid w:val="00883404"/>
    <w:rsid w:val="00883480"/>
    <w:rsid w:val="00883553"/>
    <w:rsid w:val="00883560"/>
    <w:rsid w:val="0088358F"/>
    <w:rsid w:val="00883760"/>
    <w:rsid w:val="00883783"/>
    <w:rsid w:val="008838C1"/>
    <w:rsid w:val="00883940"/>
    <w:rsid w:val="00883963"/>
    <w:rsid w:val="00883B69"/>
    <w:rsid w:val="00883D9A"/>
    <w:rsid w:val="00883F0A"/>
    <w:rsid w:val="00884069"/>
    <w:rsid w:val="008843FD"/>
    <w:rsid w:val="008844D7"/>
    <w:rsid w:val="00884588"/>
    <w:rsid w:val="008847CF"/>
    <w:rsid w:val="00884825"/>
    <w:rsid w:val="00884833"/>
    <w:rsid w:val="00884A2C"/>
    <w:rsid w:val="00884BE2"/>
    <w:rsid w:val="00884CAF"/>
    <w:rsid w:val="00884E0F"/>
    <w:rsid w:val="00884EE3"/>
    <w:rsid w:val="00884EE4"/>
    <w:rsid w:val="00884F30"/>
    <w:rsid w:val="00884F36"/>
    <w:rsid w:val="00884F6E"/>
    <w:rsid w:val="00885094"/>
    <w:rsid w:val="00885249"/>
    <w:rsid w:val="0088535E"/>
    <w:rsid w:val="008853B7"/>
    <w:rsid w:val="0088543C"/>
    <w:rsid w:val="0088558B"/>
    <w:rsid w:val="008855B4"/>
    <w:rsid w:val="00885879"/>
    <w:rsid w:val="008859F0"/>
    <w:rsid w:val="00885A81"/>
    <w:rsid w:val="00885AA2"/>
    <w:rsid w:val="00885C9F"/>
    <w:rsid w:val="00885CD2"/>
    <w:rsid w:val="00885CE0"/>
    <w:rsid w:val="00885D89"/>
    <w:rsid w:val="00885E52"/>
    <w:rsid w:val="00885F66"/>
    <w:rsid w:val="00885FF8"/>
    <w:rsid w:val="008861E8"/>
    <w:rsid w:val="008862BF"/>
    <w:rsid w:val="0088635E"/>
    <w:rsid w:val="008863D4"/>
    <w:rsid w:val="00886532"/>
    <w:rsid w:val="008866C5"/>
    <w:rsid w:val="00886733"/>
    <w:rsid w:val="00886949"/>
    <w:rsid w:val="00886981"/>
    <w:rsid w:val="00886A59"/>
    <w:rsid w:val="00886A97"/>
    <w:rsid w:val="00886D5A"/>
    <w:rsid w:val="00886D6A"/>
    <w:rsid w:val="00886E50"/>
    <w:rsid w:val="00887271"/>
    <w:rsid w:val="00887370"/>
    <w:rsid w:val="008873BA"/>
    <w:rsid w:val="008874C1"/>
    <w:rsid w:val="008877F4"/>
    <w:rsid w:val="008878E9"/>
    <w:rsid w:val="00887B26"/>
    <w:rsid w:val="00887C45"/>
    <w:rsid w:val="00887CDF"/>
    <w:rsid w:val="00887E87"/>
    <w:rsid w:val="00887F4D"/>
    <w:rsid w:val="008900DA"/>
    <w:rsid w:val="00890266"/>
    <w:rsid w:val="00890270"/>
    <w:rsid w:val="0089047A"/>
    <w:rsid w:val="008904AF"/>
    <w:rsid w:val="008904FF"/>
    <w:rsid w:val="0089076F"/>
    <w:rsid w:val="008907C2"/>
    <w:rsid w:val="008907E1"/>
    <w:rsid w:val="008907F7"/>
    <w:rsid w:val="00890867"/>
    <w:rsid w:val="0089087B"/>
    <w:rsid w:val="00890AC5"/>
    <w:rsid w:val="00890E00"/>
    <w:rsid w:val="00890E1A"/>
    <w:rsid w:val="00890E91"/>
    <w:rsid w:val="00890F1C"/>
    <w:rsid w:val="00890F42"/>
    <w:rsid w:val="008910B4"/>
    <w:rsid w:val="0089111F"/>
    <w:rsid w:val="0089146A"/>
    <w:rsid w:val="008915C2"/>
    <w:rsid w:val="008916FC"/>
    <w:rsid w:val="0089186E"/>
    <w:rsid w:val="00891944"/>
    <w:rsid w:val="00891B66"/>
    <w:rsid w:val="00891C48"/>
    <w:rsid w:val="00891E29"/>
    <w:rsid w:val="00892071"/>
    <w:rsid w:val="008920D9"/>
    <w:rsid w:val="00892270"/>
    <w:rsid w:val="00892415"/>
    <w:rsid w:val="0089243F"/>
    <w:rsid w:val="0089258C"/>
    <w:rsid w:val="008927E9"/>
    <w:rsid w:val="00892830"/>
    <w:rsid w:val="0089296B"/>
    <w:rsid w:val="0089299E"/>
    <w:rsid w:val="008929EA"/>
    <w:rsid w:val="00892A61"/>
    <w:rsid w:val="00892A71"/>
    <w:rsid w:val="00892B63"/>
    <w:rsid w:val="00892B77"/>
    <w:rsid w:val="00892B90"/>
    <w:rsid w:val="00892CB8"/>
    <w:rsid w:val="00892CE2"/>
    <w:rsid w:val="00892D23"/>
    <w:rsid w:val="00892D3E"/>
    <w:rsid w:val="00892E8E"/>
    <w:rsid w:val="00892EE4"/>
    <w:rsid w:val="00892F4A"/>
    <w:rsid w:val="00893096"/>
    <w:rsid w:val="008930CF"/>
    <w:rsid w:val="0089313A"/>
    <w:rsid w:val="00893155"/>
    <w:rsid w:val="0089351C"/>
    <w:rsid w:val="00893576"/>
    <w:rsid w:val="008936C6"/>
    <w:rsid w:val="00893877"/>
    <w:rsid w:val="0089399D"/>
    <w:rsid w:val="008939D0"/>
    <w:rsid w:val="008939FA"/>
    <w:rsid w:val="00893A2F"/>
    <w:rsid w:val="00893AF9"/>
    <w:rsid w:val="00893C2B"/>
    <w:rsid w:val="00893D0B"/>
    <w:rsid w:val="00893E6F"/>
    <w:rsid w:val="00893EF3"/>
    <w:rsid w:val="00893FA4"/>
    <w:rsid w:val="00894043"/>
    <w:rsid w:val="00894067"/>
    <w:rsid w:val="008940BF"/>
    <w:rsid w:val="0089413E"/>
    <w:rsid w:val="00894141"/>
    <w:rsid w:val="00894211"/>
    <w:rsid w:val="00894253"/>
    <w:rsid w:val="00894333"/>
    <w:rsid w:val="00894423"/>
    <w:rsid w:val="00894490"/>
    <w:rsid w:val="00894586"/>
    <w:rsid w:val="008946B1"/>
    <w:rsid w:val="0089472F"/>
    <w:rsid w:val="0089485D"/>
    <w:rsid w:val="00894AFA"/>
    <w:rsid w:val="00894C14"/>
    <w:rsid w:val="00894FEC"/>
    <w:rsid w:val="00895424"/>
    <w:rsid w:val="00895846"/>
    <w:rsid w:val="00895898"/>
    <w:rsid w:val="00895917"/>
    <w:rsid w:val="0089595B"/>
    <w:rsid w:val="00895A8A"/>
    <w:rsid w:val="00895AC4"/>
    <w:rsid w:val="00895BB2"/>
    <w:rsid w:val="00895E6E"/>
    <w:rsid w:val="00895EC5"/>
    <w:rsid w:val="00895F7B"/>
    <w:rsid w:val="00895F98"/>
    <w:rsid w:val="00896008"/>
    <w:rsid w:val="008960D3"/>
    <w:rsid w:val="00896245"/>
    <w:rsid w:val="00896435"/>
    <w:rsid w:val="008965FF"/>
    <w:rsid w:val="00896607"/>
    <w:rsid w:val="008966BC"/>
    <w:rsid w:val="008967D0"/>
    <w:rsid w:val="0089682B"/>
    <w:rsid w:val="00896979"/>
    <w:rsid w:val="00896B4F"/>
    <w:rsid w:val="00896CE7"/>
    <w:rsid w:val="00896E8C"/>
    <w:rsid w:val="00896F5C"/>
    <w:rsid w:val="00896FD0"/>
    <w:rsid w:val="00897061"/>
    <w:rsid w:val="008971BE"/>
    <w:rsid w:val="0089725F"/>
    <w:rsid w:val="00897344"/>
    <w:rsid w:val="0089734C"/>
    <w:rsid w:val="0089742A"/>
    <w:rsid w:val="008975A3"/>
    <w:rsid w:val="008975D7"/>
    <w:rsid w:val="00897725"/>
    <w:rsid w:val="00897822"/>
    <w:rsid w:val="00897833"/>
    <w:rsid w:val="00897957"/>
    <w:rsid w:val="00897B83"/>
    <w:rsid w:val="00897D9C"/>
    <w:rsid w:val="00897DD5"/>
    <w:rsid w:val="00897ED6"/>
    <w:rsid w:val="00897F25"/>
    <w:rsid w:val="00897FCD"/>
    <w:rsid w:val="008A018B"/>
    <w:rsid w:val="008A021E"/>
    <w:rsid w:val="008A028F"/>
    <w:rsid w:val="008A02A2"/>
    <w:rsid w:val="008A05A6"/>
    <w:rsid w:val="008A065A"/>
    <w:rsid w:val="008A07A3"/>
    <w:rsid w:val="008A09A2"/>
    <w:rsid w:val="008A0B65"/>
    <w:rsid w:val="008A0C18"/>
    <w:rsid w:val="008A0D33"/>
    <w:rsid w:val="008A0D55"/>
    <w:rsid w:val="008A0E29"/>
    <w:rsid w:val="008A0E5A"/>
    <w:rsid w:val="008A0F3D"/>
    <w:rsid w:val="008A0F4D"/>
    <w:rsid w:val="008A0FE3"/>
    <w:rsid w:val="008A0FFA"/>
    <w:rsid w:val="008A103C"/>
    <w:rsid w:val="008A1269"/>
    <w:rsid w:val="008A14AA"/>
    <w:rsid w:val="008A1657"/>
    <w:rsid w:val="008A191F"/>
    <w:rsid w:val="008A1AB8"/>
    <w:rsid w:val="008A1AFE"/>
    <w:rsid w:val="008A1B4B"/>
    <w:rsid w:val="008A1B86"/>
    <w:rsid w:val="008A1B9E"/>
    <w:rsid w:val="008A1CD0"/>
    <w:rsid w:val="008A1F4C"/>
    <w:rsid w:val="008A1F9F"/>
    <w:rsid w:val="008A1FE3"/>
    <w:rsid w:val="008A2115"/>
    <w:rsid w:val="008A2191"/>
    <w:rsid w:val="008A2206"/>
    <w:rsid w:val="008A23E4"/>
    <w:rsid w:val="008A246D"/>
    <w:rsid w:val="008A28DD"/>
    <w:rsid w:val="008A2AE2"/>
    <w:rsid w:val="008A2CBE"/>
    <w:rsid w:val="008A2CD3"/>
    <w:rsid w:val="008A2DCF"/>
    <w:rsid w:val="008A2F9E"/>
    <w:rsid w:val="008A3010"/>
    <w:rsid w:val="008A3022"/>
    <w:rsid w:val="008A308E"/>
    <w:rsid w:val="008A3382"/>
    <w:rsid w:val="008A3414"/>
    <w:rsid w:val="008A34BD"/>
    <w:rsid w:val="008A3556"/>
    <w:rsid w:val="008A3582"/>
    <w:rsid w:val="008A3634"/>
    <w:rsid w:val="008A36F4"/>
    <w:rsid w:val="008A3705"/>
    <w:rsid w:val="008A392D"/>
    <w:rsid w:val="008A3BB5"/>
    <w:rsid w:val="008A3C92"/>
    <w:rsid w:val="008A3CF5"/>
    <w:rsid w:val="008A3D5E"/>
    <w:rsid w:val="008A3DD9"/>
    <w:rsid w:val="008A3E81"/>
    <w:rsid w:val="008A404A"/>
    <w:rsid w:val="008A4147"/>
    <w:rsid w:val="008A4282"/>
    <w:rsid w:val="008A4298"/>
    <w:rsid w:val="008A42B7"/>
    <w:rsid w:val="008A43B6"/>
    <w:rsid w:val="008A4573"/>
    <w:rsid w:val="008A4839"/>
    <w:rsid w:val="008A4867"/>
    <w:rsid w:val="008A4ABF"/>
    <w:rsid w:val="008A4ACC"/>
    <w:rsid w:val="008A4AE7"/>
    <w:rsid w:val="008A4AFF"/>
    <w:rsid w:val="008A4C0C"/>
    <w:rsid w:val="008A4EBC"/>
    <w:rsid w:val="008A4FDF"/>
    <w:rsid w:val="008A50F2"/>
    <w:rsid w:val="008A5258"/>
    <w:rsid w:val="008A52BF"/>
    <w:rsid w:val="008A531A"/>
    <w:rsid w:val="008A565E"/>
    <w:rsid w:val="008A5724"/>
    <w:rsid w:val="008A5756"/>
    <w:rsid w:val="008A582E"/>
    <w:rsid w:val="008A5BA3"/>
    <w:rsid w:val="008A5C49"/>
    <w:rsid w:val="008A5CE3"/>
    <w:rsid w:val="008A5E71"/>
    <w:rsid w:val="008A5E84"/>
    <w:rsid w:val="008A5EBD"/>
    <w:rsid w:val="008A5FDA"/>
    <w:rsid w:val="008A6084"/>
    <w:rsid w:val="008A60EC"/>
    <w:rsid w:val="008A6107"/>
    <w:rsid w:val="008A6124"/>
    <w:rsid w:val="008A61B7"/>
    <w:rsid w:val="008A631E"/>
    <w:rsid w:val="008A6400"/>
    <w:rsid w:val="008A6419"/>
    <w:rsid w:val="008A6518"/>
    <w:rsid w:val="008A652E"/>
    <w:rsid w:val="008A6569"/>
    <w:rsid w:val="008A6576"/>
    <w:rsid w:val="008A658E"/>
    <w:rsid w:val="008A68AE"/>
    <w:rsid w:val="008A68F2"/>
    <w:rsid w:val="008A690E"/>
    <w:rsid w:val="008A69C6"/>
    <w:rsid w:val="008A6B6F"/>
    <w:rsid w:val="008A6BD5"/>
    <w:rsid w:val="008A6CFE"/>
    <w:rsid w:val="008A6D71"/>
    <w:rsid w:val="008A6DCD"/>
    <w:rsid w:val="008A6E1A"/>
    <w:rsid w:val="008A7243"/>
    <w:rsid w:val="008A728A"/>
    <w:rsid w:val="008A72A2"/>
    <w:rsid w:val="008A72D7"/>
    <w:rsid w:val="008A72F3"/>
    <w:rsid w:val="008A7412"/>
    <w:rsid w:val="008A7422"/>
    <w:rsid w:val="008A74BC"/>
    <w:rsid w:val="008A74E7"/>
    <w:rsid w:val="008A75F1"/>
    <w:rsid w:val="008A764A"/>
    <w:rsid w:val="008A76C1"/>
    <w:rsid w:val="008A76C7"/>
    <w:rsid w:val="008A78A0"/>
    <w:rsid w:val="008A79F0"/>
    <w:rsid w:val="008A7B2F"/>
    <w:rsid w:val="008A7BB2"/>
    <w:rsid w:val="008A7C52"/>
    <w:rsid w:val="008A7CCF"/>
    <w:rsid w:val="008A7F00"/>
    <w:rsid w:val="008B0175"/>
    <w:rsid w:val="008B01F2"/>
    <w:rsid w:val="008B0424"/>
    <w:rsid w:val="008B04E0"/>
    <w:rsid w:val="008B0549"/>
    <w:rsid w:val="008B0610"/>
    <w:rsid w:val="008B065D"/>
    <w:rsid w:val="008B07FF"/>
    <w:rsid w:val="008B082B"/>
    <w:rsid w:val="008B0841"/>
    <w:rsid w:val="008B0992"/>
    <w:rsid w:val="008B0AF4"/>
    <w:rsid w:val="008B0C23"/>
    <w:rsid w:val="008B0C62"/>
    <w:rsid w:val="008B0C90"/>
    <w:rsid w:val="008B104B"/>
    <w:rsid w:val="008B10F3"/>
    <w:rsid w:val="008B11BF"/>
    <w:rsid w:val="008B11F3"/>
    <w:rsid w:val="008B1299"/>
    <w:rsid w:val="008B134A"/>
    <w:rsid w:val="008B1371"/>
    <w:rsid w:val="008B13C0"/>
    <w:rsid w:val="008B14EF"/>
    <w:rsid w:val="008B1724"/>
    <w:rsid w:val="008B180E"/>
    <w:rsid w:val="008B1868"/>
    <w:rsid w:val="008B1A57"/>
    <w:rsid w:val="008B1AC8"/>
    <w:rsid w:val="008B1B21"/>
    <w:rsid w:val="008B1D11"/>
    <w:rsid w:val="008B1F77"/>
    <w:rsid w:val="008B2030"/>
    <w:rsid w:val="008B2133"/>
    <w:rsid w:val="008B22CF"/>
    <w:rsid w:val="008B23B0"/>
    <w:rsid w:val="008B2418"/>
    <w:rsid w:val="008B255E"/>
    <w:rsid w:val="008B256D"/>
    <w:rsid w:val="008B26B0"/>
    <w:rsid w:val="008B2797"/>
    <w:rsid w:val="008B28CA"/>
    <w:rsid w:val="008B2948"/>
    <w:rsid w:val="008B2B04"/>
    <w:rsid w:val="008B2B13"/>
    <w:rsid w:val="008B2E02"/>
    <w:rsid w:val="008B2E95"/>
    <w:rsid w:val="008B2EFA"/>
    <w:rsid w:val="008B2F63"/>
    <w:rsid w:val="008B3030"/>
    <w:rsid w:val="008B31D4"/>
    <w:rsid w:val="008B3274"/>
    <w:rsid w:val="008B3513"/>
    <w:rsid w:val="008B3516"/>
    <w:rsid w:val="008B372A"/>
    <w:rsid w:val="008B37F3"/>
    <w:rsid w:val="008B381A"/>
    <w:rsid w:val="008B3AC3"/>
    <w:rsid w:val="008B3B71"/>
    <w:rsid w:val="008B3B74"/>
    <w:rsid w:val="008B3C18"/>
    <w:rsid w:val="008B3C38"/>
    <w:rsid w:val="008B3CB7"/>
    <w:rsid w:val="008B3ECC"/>
    <w:rsid w:val="008B40CF"/>
    <w:rsid w:val="008B42B0"/>
    <w:rsid w:val="008B447E"/>
    <w:rsid w:val="008B44B1"/>
    <w:rsid w:val="008B44CE"/>
    <w:rsid w:val="008B4695"/>
    <w:rsid w:val="008B46B1"/>
    <w:rsid w:val="008B48D6"/>
    <w:rsid w:val="008B4A05"/>
    <w:rsid w:val="008B4A48"/>
    <w:rsid w:val="008B4B67"/>
    <w:rsid w:val="008B4B72"/>
    <w:rsid w:val="008B4BEC"/>
    <w:rsid w:val="008B4CB1"/>
    <w:rsid w:val="008B4D5B"/>
    <w:rsid w:val="008B4D76"/>
    <w:rsid w:val="008B4E0D"/>
    <w:rsid w:val="008B503F"/>
    <w:rsid w:val="008B5148"/>
    <w:rsid w:val="008B5287"/>
    <w:rsid w:val="008B53A5"/>
    <w:rsid w:val="008B54FF"/>
    <w:rsid w:val="008B559D"/>
    <w:rsid w:val="008B565E"/>
    <w:rsid w:val="008B5968"/>
    <w:rsid w:val="008B5A02"/>
    <w:rsid w:val="008B5B13"/>
    <w:rsid w:val="008B5C5B"/>
    <w:rsid w:val="008B5D4A"/>
    <w:rsid w:val="008B5DC6"/>
    <w:rsid w:val="008B5FB0"/>
    <w:rsid w:val="008B6155"/>
    <w:rsid w:val="008B61FF"/>
    <w:rsid w:val="008B635E"/>
    <w:rsid w:val="008B644F"/>
    <w:rsid w:val="008B6474"/>
    <w:rsid w:val="008B6792"/>
    <w:rsid w:val="008B67E2"/>
    <w:rsid w:val="008B6959"/>
    <w:rsid w:val="008B6ADA"/>
    <w:rsid w:val="008B6B5F"/>
    <w:rsid w:val="008B6BAF"/>
    <w:rsid w:val="008B6BF4"/>
    <w:rsid w:val="008B6C04"/>
    <w:rsid w:val="008B6C97"/>
    <w:rsid w:val="008B6CB5"/>
    <w:rsid w:val="008B6F0C"/>
    <w:rsid w:val="008B6F61"/>
    <w:rsid w:val="008B70FB"/>
    <w:rsid w:val="008B71E1"/>
    <w:rsid w:val="008B71F3"/>
    <w:rsid w:val="008B7215"/>
    <w:rsid w:val="008B7385"/>
    <w:rsid w:val="008B74AA"/>
    <w:rsid w:val="008B74B4"/>
    <w:rsid w:val="008B750D"/>
    <w:rsid w:val="008B752B"/>
    <w:rsid w:val="008B770F"/>
    <w:rsid w:val="008B782C"/>
    <w:rsid w:val="008B7ABD"/>
    <w:rsid w:val="008B7B11"/>
    <w:rsid w:val="008C036A"/>
    <w:rsid w:val="008C0370"/>
    <w:rsid w:val="008C05B7"/>
    <w:rsid w:val="008C073C"/>
    <w:rsid w:val="008C074D"/>
    <w:rsid w:val="008C0916"/>
    <w:rsid w:val="008C0956"/>
    <w:rsid w:val="008C0A23"/>
    <w:rsid w:val="008C0BC5"/>
    <w:rsid w:val="008C0CF3"/>
    <w:rsid w:val="008C0E28"/>
    <w:rsid w:val="008C0E77"/>
    <w:rsid w:val="008C0FC8"/>
    <w:rsid w:val="008C1074"/>
    <w:rsid w:val="008C1160"/>
    <w:rsid w:val="008C1212"/>
    <w:rsid w:val="008C122D"/>
    <w:rsid w:val="008C137B"/>
    <w:rsid w:val="008C139C"/>
    <w:rsid w:val="008C1452"/>
    <w:rsid w:val="008C159E"/>
    <w:rsid w:val="008C1856"/>
    <w:rsid w:val="008C1947"/>
    <w:rsid w:val="008C1A06"/>
    <w:rsid w:val="008C1A30"/>
    <w:rsid w:val="008C1B9A"/>
    <w:rsid w:val="008C1BC9"/>
    <w:rsid w:val="008C1CC0"/>
    <w:rsid w:val="008C20A3"/>
    <w:rsid w:val="008C2353"/>
    <w:rsid w:val="008C23BF"/>
    <w:rsid w:val="008C2403"/>
    <w:rsid w:val="008C2502"/>
    <w:rsid w:val="008C2572"/>
    <w:rsid w:val="008C26AB"/>
    <w:rsid w:val="008C26E9"/>
    <w:rsid w:val="008C2B53"/>
    <w:rsid w:val="008C2D62"/>
    <w:rsid w:val="008C2DD4"/>
    <w:rsid w:val="008C2E5C"/>
    <w:rsid w:val="008C2F6B"/>
    <w:rsid w:val="008C2F9C"/>
    <w:rsid w:val="008C3245"/>
    <w:rsid w:val="008C3384"/>
    <w:rsid w:val="008C33CD"/>
    <w:rsid w:val="008C34B8"/>
    <w:rsid w:val="008C3708"/>
    <w:rsid w:val="008C37B9"/>
    <w:rsid w:val="008C383F"/>
    <w:rsid w:val="008C388A"/>
    <w:rsid w:val="008C38CA"/>
    <w:rsid w:val="008C3927"/>
    <w:rsid w:val="008C39DD"/>
    <w:rsid w:val="008C3BEC"/>
    <w:rsid w:val="008C3C17"/>
    <w:rsid w:val="008C3E00"/>
    <w:rsid w:val="008C3F43"/>
    <w:rsid w:val="008C3FF2"/>
    <w:rsid w:val="008C45E8"/>
    <w:rsid w:val="008C4637"/>
    <w:rsid w:val="008C47E5"/>
    <w:rsid w:val="008C47E8"/>
    <w:rsid w:val="008C4834"/>
    <w:rsid w:val="008C4909"/>
    <w:rsid w:val="008C4A08"/>
    <w:rsid w:val="008C4A32"/>
    <w:rsid w:val="008C4A45"/>
    <w:rsid w:val="008C4B2E"/>
    <w:rsid w:val="008C5041"/>
    <w:rsid w:val="008C5157"/>
    <w:rsid w:val="008C522A"/>
    <w:rsid w:val="008C53BF"/>
    <w:rsid w:val="008C5672"/>
    <w:rsid w:val="008C56BC"/>
    <w:rsid w:val="008C5815"/>
    <w:rsid w:val="008C5880"/>
    <w:rsid w:val="008C5881"/>
    <w:rsid w:val="008C59D2"/>
    <w:rsid w:val="008C5C45"/>
    <w:rsid w:val="008C5D25"/>
    <w:rsid w:val="008C5DC5"/>
    <w:rsid w:val="008C5F09"/>
    <w:rsid w:val="008C5F0F"/>
    <w:rsid w:val="008C606E"/>
    <w:rsid w:val="008C60F6"/>
    <w:rsid w:val="008C611E"/>
    <w:rsid w:val="008C61DF"/>
    <w:rsid w:val="008C62BD"/>
    <w:rsid w:val="008C6332"/>
    <w:rsid w:val="008C6349"/>
    <w:rsid w:val="008C6425"/>
    <w:rsid w:val="008C6574"/>
    <w:rsid w:val="008C662C"/>
    <w:rsid w:val="008C6709"/>
    <w:rsid w:val="008C6792"/>
    <w:rsid w:val="008C6A10"/>
    <w:rsid w:val="008C6A6C"/>
    <w:rsid w:val="008C6B7A"/>
    <w:rsid w:val="008C6E43"/>
    <w:rsid w:val="008C6ED0"/>
    <w:rsid w:val="008C6F5C"/>
    <w:rsid w:val="008C6FF6"/>
    <w:rsid w:val="008C7005"/>
    <w:rsid w:val="008C7055"/>
    <w:rsid w:val="008C71D4"/>
    <w:rsid w:val="008C727F"/>
    <w:rsid w:val="008C7355"/>
    <w:rsid w:val="008C738E"/>
    <w:rsid w:val="008C7490"/>
    <w:rsid w:val="008C74CC"/>
    <w:rsid w:val="008C751E"/>
    <w:rsid w:val="008C75D9"/>
    <w:rsid w:val="008C762A"/>
    <w:rsid w:val="008C7687"/>
    <w:rsid w:val="008C7747"/>
    <w:rsid w:val="008C7789"/>
    <w:rsid w:val="008C7887"/>
    <w:rsid w:val="008C79CA"/>
    <w:rsid w:val="008C7A6C"/>
    <w:rsid w:val="008C7B57"/>
    <w:rsid w:val="008C7C3A"/>
    <w:rsid w:val="008C7D37"/>
    <w:rsid w:val="008C7DAE"/>
    <w:rsid w:val="008C7E1D"/>
    <w:rsid w:val="008C7F58"/>
    <w:rsid w:val="008C7F78"/>
    <w:rsid w:val="008D014D"/>
    <w:rsid w:val="008D01FA"/>
    <w:rsid w:val="008D02B8"/>
    <w:rsid w:val="008D0424"/>
    <w:rsid w:val="008D04C8"/>
    <w:rsid w:val="008D052C"/>
    <w:rsid w:val="008D0666"/>
    <w:rsid w:val="008D0769"/>
    <w:rsid w:val="008D07EF"/>
    <w:rsid w:val="008D08AB"/>
    <w:rsid w:val="008D0908"/>
    <w:rsid w:val="008D0BFE"/>
    <w:rsid w:val="008D0CED"/>
    <w:rsid w:val="008D0EC5"/>
    <w:rsid w:val="008D0EFC"/>
    <w:rsid w:val="008D0FEB"/>
    <w:rsid w:val="008D10E3"/>
    <w:rsid w:val="008D14B7"/>
    <w:rsid w:val="008D172E"/>
    <w:rsid w:val="008D18E8"/>
    <w:rsid w:val="008D195F"/>
    <w:rsid w:val="008D1983"/>
    <w:rsid w:val="008D1AB5"/>
    <w:rsid w:val="008D1B58"/>
    <w:rsid w:val="008D1C47"/>
    <w:rsid w:val="008D1CEB"/>
    <w:rsid w:val="008D1D7A"/>
    <w:rsid w:val="008D1E29"/>
    <w:rsid w:val="008D1E2C"/>
    <w:rsid w:val="008D1E2F"/>
    <w:rsid w:val="008D1E47"/>
    <w:rsid w:val="008D1EEC"/>
    <w:rsid w:val="008D1FD9"/>
    <w:rsid w:val="008D20C7"/>
    <w:rsid w:val="008D23DE"/>
    <w:rsid w:val="008D248F"/>
    <w:rsid w:val="008D24AC"/>
    <w:rsid w:val="008D24EB"/>
    <w:rsid w:val="008D2584"/>
    <w:rsid w:val="008D2734"/>
    <w:rsid w:val="008D2825"/>
    <w:rsid w:val="008D29D9"/>
    <w:rsid w:val="008D2B19"/>
    <w:rsid w:val="008D2E4B"/>
    <w:rsid w:val="008D2F55"/>
    <w:rsid w:val="008D3090"/>
    <w:rsid w:val="008D31DE"/>
    <w:rsid w:val="008D3309"/>
    <w:rsid w:val="008D3495"/>
    <w:rsid w:val="008D34A2"/>
    <w:rsid w:val="008D35E4"/>
    <w:rsid w:val="008D3606"/>
    <w:rsid w:val="008D361A"/>
    <w:rsid w:val="008D39C9"/>
    <w:rsid w:val="008D3A1D"/>
    <w:rsid w:val="008D3B1D"/>
    <w:rsid w:val="008D3CE3"/>
    <w:rsid w:val="008D3E22"/>
    <w:rsid w:val="008D3FA0"/>
    <w:rsid w:val="008D3FC9"/>
    <w:rsid w:val="008D4131"/>
    <w:rsid w:val="008D4522"/>
    <w:rsid w:val="008D47EC"/>
    <w:rsid w:val="008D4995"/>
    <w:rsid w:val="008D4A31"/>
    <w:rsid w:val="008D4AC0"/>
    <w:rsid w:val="008D4ADC"/>
    <w:rsid w:val="008D4B43"/>
    <w:rsid w:val="008D4BAB"/>
    <w:rsid w:val="008D4C08"/>
    <w:rsid w:val="008D4C5A"/>
    <w:rsid w:val="008D4E78"/>
    <w:rsid w:val="008D4E95"/>
    <w:rsid w:val="008D4ECD"/>
    <w:rsid w:val="008D4ED4"/>
    <w:rsid w:val="008D4F43"/>
    <w:rsid w:val="008D4F8D"/>
    <w:rsid w:val="008D4FA1"/>
    <w:rsid w:val="008D503B"/>
    <w:rsid w:val="008D50C8"/>
    <w:rsid w:val="008D5296"/>
    <w:rsid w:val="008D53DB"/>
    <w:rsid w:val="008D5543"/>
    <w:rsid w:val="008D55B9"/>
    <w:rsid w:val="008D561B"/>
    <w:rsid w:val="008D563E"/>
    <w:rsid w:val="008D5A6A"/>
    <w:rsid w:val="008D5C28"/>
    <w:rsid w:val="008D5C69"/>
    <w:rsid w:val="008D5CA1"/>
    <w:rsid w:val="008D5CD3"/>
    <w:rsid w:val="008D5CFE"/>
    <w:rsid w:val="008D5FD9"/>
    <w:rsid w:val="008D6128"/>
    <w:rsid w:val="008D627E"/>
    <w:rsid w:val="008D644C"/>
    <w:rsid w:val="008D64BB"/>
    <w:rsid w:val="008D64F2"/>
    <w:rsid w:val="008D6528"/>
    <w:rsid w:val="008D6644"/>
    <w:rsid w:val="008D67F0"/>
    <w:rsid w:val="008D6809"/>
    <w:rsid w:val="008D6839"/>
    <w:rsid w:val="008D683A"/>
    <w:rsid w:val="008D6997"/>
    <w:rsid w:val="008D6C60"/>
    <w:rsid w:val="008D6F02"/>
    <w:rsid w:val="008D6FA8"/>
    <w:rsid w:val="008D72D0"/>
    <w:rsid w:val="008D749D"/>
    <w:rsid w:val="008D753D"/>
    <w:rsid w:val="008D757A"/>
    <w:rsid w:val="008D75E3"/>
    <w:rsid w:val="008D7723"/>
    <w:rsid w:val="008D7759"/>
    <w:rsid w:val="008D7B10"/>
    <w:rsid w:val="008D7BD8"/>
    <w:rsid w:val="008D7CBE"/>
    <w:rsid w:val="008D7E59"/>
    <w:rsid w:val="008D7F07"/>
    <w:rsid w:val="008D7F69"/>
    <w:rsid w:val="008D7FD8"/>
    <w:rsid w:val="008E0021"/>
    <w:rsid w:val="008E0143"/>
    <w:rsid w:val="008E01FE"/>
    <w:rsid w:val="008E03E4"/>
    <w:rsid w:val="008E0452"/>
    <w:rsid w:val="008E047D"/>
    <w:rsid w:val="008E055A"/>
    <w:rsid w:val="008E060A"/>
    <w:rsid w:val="008E07CD"/>
    <w:rsid w:val="008E0907"/>
    <w:rsid w:val="008E09EF"/>
    <w:rsid w:val="008E09F8"/>
    <w:rsid w:val="008E0AB8"/>
    <w:rsid w:val="008E0D41"/>
    <w:rsid w:val="008E0DE1"/>
    <w:rsid w:val="008E0E54"/>
    <w:rsid w:val="008E0ECD"/>
    <w:rsid w:val="008E0F12"/>
    <w:rsid w:val="008E0F77"/>
    <w:rsid w:val="008E0FEB"/>
    <w:rsid w:val="008E10CE"/>
    <w:rsid w:val="008E118E"/>
    <w:rsid w:val="008E1620"/>
    <w:rsid w:val="008E1771"/>
    <w:rsid w:val="008E182D"/>
    <w:rsid w:val="008E1975"/>
    <w:rsid w:val="008E19E8"/>
    <w:rsid w:val="008E1A03"/>
    <w:rsid w:val="008E1A2B"/>
    <w:rsid w:val="008E1AAD"/>
    <w:rsid w:val="008E1BB9"/>
    <w:rsid w:val="008E1EA8"/>
    <w:rsid w:val="008E1EFF"/>
    <w:rsid w:val="008E1F43"/>
    <w:rsid w:val="008E207A"/>
    <w:rsid w:val="008E21C1"/>
    <w:rsid w:val="008E2454"/>
    <w:rsid w:val="008E24BA"/>
    <w:rsid w:val="008E24E6"/>
    <w:rsid w:val="008E2538"/>
    <w:rsid w:val="008E2603"/>
    <w:rsid w:val="008E26A1"/>
    <w:rsid w:val="008E2758"/>
    <w:rsid w:val="008E2928"/>
    <w:rsid w:val="008E2946"/>
    <w:rsid w:val="008E297C"/>
    <w:rsid w:val="008E2A6B"/>
    <w:rsid w:val="008E2C16"/>
    <w:rsid w:val="008E2C75"/>
    <w:rsid w:val="008E2D50"/>
    <w:rsid w:val="008E2D78"/>
    <w:rsid w:val="008E2D9E"/>
    <w:rsid w:val="008E2F68"/>
    <w:rsid w:val="008E30C8"/>
    <w:rsid w:val="008E311D"/>
    <w:rsid w:val="008E3132"/>
    <w:rsid w:val="008E3248"/>
    <w:rsid w:val="008E3268"/>
    <w:rsid w:val="008E331C"/>
    <w:rsid w:val="008E3416"/>
    <w:rsid w:val="008E346E"/>
    <w:rsid w:val="008E35D4"/>
    <w:rsid w:val="008E3604"/>
    <w:rsid w:val="008E361B"/>
    <w:rsid w:val="008E3674"/>
    <w:rsid w:val="008E367B"/>
    <w:rsid w:val="008E380A"/>
    <w:rsid w:val="008E38A1"/>
    <w:rsid w:val="008E3A9E"/>
    <w:rsid w:val="008E3AFB"/>
    <w:rsid w:val="008E3BCE"/>
    <w:rsid w:val="008E3D49"/>
    <w:rsid w:val="008E3DC0"/>
    <w:rsid w:val="008E3F6B"/>
    <w:rsid w:val="008E4114"/>
    <w:rsid w:val="008E4144"/>
    <w:rsid w:val="008E4191"/>
    <w:rsid w:val="008E41D4"/>
    <w:rsid w:val="008E43B7"/>
    <w:rsid w:val="008E444E"/>
    <w:rsid w:val="008E4508"/>
    <w:rsid w:val="008E4781"/>
    <w:rsid w:val="008E493C"/>
    <w:rsid w:val="008E49B3"/>
    <w:rsid w:val="008E49B7"/>
    <w:rsid w:val="008E4AA3"/>
    <w:rsid w:val="008E4BE7"/>
    <w:rsid w:val="008E4CA9"/>
    <w:rsid w:val="008E4D7E"/>
    <w:rsid w:val="008E4DA0"/>
    <w:rsid w:val="008E4DD2"/>
    <w:rsid w:val="008E4EFB"/>
    <w:rsid w:val="008E4F8E"/>
    <w:rsid w:val="008E520B"/>
    <w:rsid w:val="008E5393"/>
    <w:rsid w:val="008E5433"/>
    <w:rsid w:val="008E5441"/>
    <w:rsid w:val="008E5459"/>
    <w:rsid w:val="008E561C"/>
    <w:rsid w:val="008E564A"/>
    <w:rsid w:val="008E57D3"/>
    <w:rsid w:val="008E5833"/>
    <w:rsid w:val="008E5934"/>
    <w:rsid w:val="008E5B52"/>
    <w:rsid w:val="008E5DF9"/>
    <w:rsid w:val="008E5E1A"/>
    <w:rsid w:val="008E5ED8"/>
    <w:rsid w:val="008E6022"/>
    <w:rsid w:val="008E607B"/>
    <w:rsid w:val="008E61E2"/>
    <w:rsid w:val="008E6288"/>
    <w:rsid w:val="008E62E2"/>
    <w:rsid w:val="008E6362"/>
    <w:rsid w:val="008E6384"/>
    <w:rsid w:val="008E6400"/>
    <w:rsid w:val="008E656B"/>
    <w:rsid w:val="008E6586"/>
    <w:rsid w:val="008E65D3"/>
    <w:rsid w:val="008E6642"/>
    <w:rsid w:val="008E66B9"/>
    <w:rsid w:val="008E66E5"/>
    <w:rsid w:val="008E6A60"/>
    <w:rsid w:val="008E6A61"/>
    <w:rsid w:val="008E6AE4"/>
    <w:rsid w:val="008E6B14"/>
    <w:rsid w:val="008E6B44"/>
    <w:rsid w:val="008E6B88"/>
    <w:rsid w:val="008E6E0D"/>
    <w:rsid w:val="008E6E22"/>
    <w:rsid w:val="008E6EA1"/>
    <w:rsid w:val="008E6F01"/>
    <w:rsid w:val="008E7046"/>
    <w:rsid w:val="008E707B"/>
    <w:rsid w:val="008E70C0"/>
    <w:rsid w:val="008E712B"/>
    <w:rsid w:val="008E7159"/>
    <w:rsid w:val="008E719C"/>
    <w:rsid w:val="008E71F4"/>
    <w:rsid w:val="008E72A6"/>
    <w:rsid w:val="008E72EC"/>
    <w:rsid w:val="008E72F9"/>
    <w:rsid w:val="008E7307"/>
    <w:rsid w:val="008E737D"/>
    <w:rsid w:val="008E742A"/>
    <w:rsid w:val="008E753F"/>
    <w:rsid w:val="008E779F"/>
    <w:rsid w:val="008E77B6"/>
    <w:rsid w:val="008E77F3"/>
    <w:rsid w:val="008E787B"/>
    <w:rsid w:val="008E78F6"/>
    <w:rsid w:val="008E7978"/>
    <w:rsid w:val="008E7A0C"/>
    <w:rsid w:val="008E7AB2"/>
    <w:rsid w:val="008E7ACD"/>
    <w:rsid w:val="008E7B23"/>
    <w:rsid w:val="008E7BA7"/>
    <w:rsid w:val="008E7CEE"/>
    <w:rsid w:val="008E7D75"/>
    <w:rsid w:val="008F0115"/>
    <w:rsid w:val="008F01CC"/>
    <w:rsid w:val="008F021D"/>
    <w:rsid w:val="008F024A"/>
    <w:rsid w:val="008F0258"/>
    <w:rsid w:val="008F02BB"/>
    <w:rsid w:val="008F0371"/>
    <w:rsid w:val="008F03C9"/>
    <w:rsid w:val="008F03E1"/>
    <w:rsid w:val="008F07B9"/>
    <w:rsid w:val="008F07BA"/>
    <w:rsid w:val="008F0853"/>
    <w:rsid w:val="008F08DD"/>
    <w:rsid w:val="008F0968"/>
    <w:rsid w:val="008F0977"/>
    <w:rsid w:val="008F0A60"/>
    <w:rsid w:val="008F0E43"/>
    <w:rsid w:val="008F0FBA"/>
    <w:rsid w:val="008F105A"/>
    <w:rsid w:val="008F1263"/>
    <w:rsid w:val="008F12AE"/>
    <w:rsid w:val="008F1412"/>
    <w:rsid w:val="008F143C"/>
    <w:rsid w:val="008F15EA"/>
    <w:rsid w:val="008F16B9"/>
    <w:rsid w:val="008F1815"/>
    <w:rsid w:val="008F181D"/>
    <w:rsid w:val="008F1903"/>
    <w:rsid w:val="008F1BCB"/>
    <w:rsid w:val="008F1E84"/>
    <w:rsid w:val="008F201B"/>
    <w:rsid w:val="008F2231"/>
    <w:rsid w:val="008F2334"/>
    <w:rsid w:val="008F2436"/>
    <w:rsid w:val="008F2483"/>
    <w:rsid w:val="008F24FA"/>
    <w:rsid w:val="008F25B4"/>
    <w:rsid w:val="008F2633"/>
    <w:rsid w:val="008F2654"/>
    <w:rsid w:val="008F2707"/>
    <w:rsid w:val="008F27A4"/>
    <w:rsid w:val="008F286E"/>
    <w:rsid w:val="008F2B45"/>
    <w:rsid w:val="008F2B62"/>
    <w:rsid w:val="008F2BE5"/>
    <w:rsid w:val="008F2C25"/>
    <w:rsid w:val="008F2C5C"/>
    <w:rsid w:val="008F2CDD"/>
    <w:rsid w:val="008F2D62"/>
    <w:rsid w:val="008F2EB0"/>
    <w:rsid w:val="008F2FCF"/>
    <w:rsid w:val="008F2FED"/>
    <w:rsid w:val="008F30C1"/>
    <w:rsid w:val="008F3614"/>
    <w:rsid w:val="008F36FA"/>
    <w:rsid w:val="008F3893"/>
    <w:rsid w:val="008F39CC"/>
    <w:rsid w:val="008F3A84"/>
    <w:rsid w:val="008F3B41"/>
    <w:rsid w:val="008F3CEB"/>
    <w:rsid w:val="008F3E42"/>
    <w:rsid w:val="008F3F5D"/>
    <w:rsid w:val="008F406C"/>
    <w:rsid w:val="008F40F4"/>
    <w:rsid w:val="008F4144"/>
    <w:rsid w:val="008F4180"/>
    <w:rsid w:val="008F4243"/>
    <w:rsid w:val="008F42C9"/>
    <w:rsid w:val="008F43C1"/>
    <w:rsid w:val="008F4833"/>
    <w:rsid w:val="008F4961"/>
    <w:rsid w:val="008F4AF1"/>
    <w:rsid w:val="008F4B14"/>
    <w:rsid w:val="008F4DDF"/>
    <w:rsid w:val="008F4E92"/>
    <w:rsid w:val="008F4F1E"/>
    <w:rsid w:val="008F51AD"/>
    <w:rsid w:val="008F5200"/>
    <w:rsid w:val="008F527C"/>
    <w:rsid w:val="008F5282"/>
    <w:rsid w:val="008F5289"/>
    <w:rsid w:val="008F549C"/>
    <w:rsid w:val="008F549D"/>
    <w:rsid w:val="008F5599"/>
    <w:rsid w:val="008F55D0"/>
    <w:rsid w:val="008F573B"/>
    <w:rsid w:val="008F5890"/>
    <w:rsid w:val="008F58B6"/>
    <w:rsid w:val="008F5963"/>
    <w:rsid w:val="008F5992"/>
    <w:rsid w:val="008F5A7E"/>
    <w:rsid w:val="008F5B38"/>
    <w:rsid w:val="008F5B73"/>
    <w:rsid w:val="008F5D48"/>
    <w:rsid w:val="008F5F18"/>
    <w:rsid w:val="008F5F2D"/>
    <w:rsid w:val="008F60FB"/>
    <w:rsid w:val="008F6293"/>
    <w:rsid w:val="008F6426"/>
    <w:rsid w:val="008F6442"/>
    <w:rsid w:val="008F65EB"/>
    <w:rsid w:val="008F6688"/>
    <w:rsid w:val="008F66A4"/>
    <w:rsid w:val="008F689B"/>
    <w:rsid w:val="008F68AC"/>
    <w:rsid w:val="008F6E3A"/>
    <w:rsid w:val="008F6F23"/>
    <w:rsid w:val="008F6F9B"/>
    <w:rsid w:val="008F7005"/>
    <w:rsid w:val="008F7217"/>
    <w:rsid w:val="008F721A"/>
    <w:rsid w:val="008F72E9"/>
    <w:rsid w:val="008F732D"/>
    <w:rsid w:val="008F7346"/>
    <w:rsid w:val="008F749F"/>
    <w:rsid w:val="008F74C8"/>
    <w:rsid w:val="008F764C"/>
    <w:rsid w:val="008F76BD"/>
    <w:rsid w:val="008F775E"/>
    <w:rsid w:val="008F784E"/>
    <w:rsid w:val="008F78EB"/>
    <w:rsid w:val="008F7984"/>
    <w:rsid w:val="008F7A0D"/>
    <w:rsid w:val="008F7A68"/>
    <w:rsid w:val="008F7A7F"/>
    <w:rsid w:val="008F7C7A"/>
    <w:rsid w:val="008F7CDB"/>
    <w:rsid w:val="008F7F7D"/>
    <w:rsid w:val="00900017"/>
    <w:rsid w:val="00900037"/>
    <w:rsid w:val="0090007F"/>
    <w:rsid w:val="00900149"/>
    <w:rsid w:val="00900167"/>
    <w:rsid w:val="009001BB"/>
    <w:rsid w:val="00900287"/>
    <w:rsid w:val="00900298"/>
    <w:rsid w:val="009003EC"/>
    <w:rsid w:val="0090054E"/>
    <w:rsid w:val="0090063F"/>
    <w:rsid w:val="00900658"/>
    <w:rsid w:val="0090065B"/>
    <w:rsid w:val="00900666"/>
    <w:rsid w:val="0090066D"/>
    <w:rsid w:val="009006FB"/>
    <w:rsid w:val="00900892"/>
    <w:rsid w:val="00900959"/>
    <w:rsid w:val="00900996"/>
    <w:rsid w:val="009009CA"/>
    <w:rsid w:val="00900AB1"/>
    <w:rsid w:val="00900B6C"/>
    <w:rsid w:val="00900C96"/>
    <w:rsid w:val="00900D7E"/>
    <w:rsid w:val="00900DDA"/>
    <w:rsid w:val="00900F75"/>
    <w:rsid w:val="0090112C"/>
    <w:rsid w:val="00901173"/>
    <w:rsid w:val="009013B6"/>
    <w:rsid w:val="009015E7"/>
    <w:rsid w:val="00901891"/>
    <w:rsid w:val="009018C8"/>
    <w:rsid w:val="00901A7D"/>
    <w:rsid w:val="00901AC9"/>
    <w:rsid w:val="00901B3B"/>
    <w:rsid w:val="00901BBF"/>
    <w:rsid w:val="00901C7E"/>
    <w:rsid w:val="00901D7D"/>
    <w:rsid w:val="00901F32"/>
    <w:rsid w:val="00901FC0"/>
    <w:rsid w:val="00901FDA"/>
    <w:rsid w:val="0090205E"/>
    <w:rsid w:val="009020B0"/>
    <w:rsid w:val="009021A0"/>
    <w:rsid w:val="00902209"/>
    <w:rsid w:val="00902461"/>
    <w:rsid w:val="009024E0"/>
    <w:rsid w:val="00902690"/>
    <w:rsid w:val="00902694"/>
    <w:rsid w:val="009026B9"/>
    <w:rsid w:val="00902963"/>
    <w:rsid w:val="009029C6"/>
    <w:rsid w:val="00902B76"/>
    <w:rsid w:val="00902BD5"/>
    <w:rsid w:val="00902C76"/>
    <w:rsid w:val="00902F20"/>
    <w:rsid w:val="0090307B"/>
    <w:rsid w:val="00903122"/>
    <w:rsid w:val="009033EA"/>
    <w:rsid w:val="0090342D"/>
    <w:rsid w:val="0090346D"/>
    <w:rsid w:val="00903552"/>
    <w:rsid w:val="0090374C"/>
    <w:rsid w:val="0090377F"/>
    <w:rsid w:val="009037BB"/>
    <w:rsid w:val="009037C0"/>
    <w:rsid w:val="009037D2"/>
    <w:rsid w:val="009037F8"/>
    <w:rsid w:val="0090386C"/>
    <w:rsid w:val="00903959"/>
    <w:rsid w:val="00903A40"/>
    <w:rsid w:val="00903B7E"/>
    <w:rsid w:val="00903E94"/>
    <w:rsid w:val="0090401A"/>
    <w:rsid w:val="00904039"/>
    <w:rsid w:val="00904044"/>
    <w:rsid w:val="009041E5"/>
    <w:rsid w:val="0090427D"/>
    <w:rsid w:val="00904333"/>
    <w:rsid w:val="00904399"/>
    <w:rsid w:val="00904571"/>
    <w:rsid w:val="009045FB"/>
    <w:rsid w:val="0090463D"/>
    <w:rsid w:val="00904735"/>
    <w:rsid w:val="00904849"/>
    <w:rsid w:val="009048CA"/>
    <w:rsid w:val="009049D2"/>
    <w:rsid w:val="00904A1A"/>
    <w:rsid w:val="00904A72"/>
    <w:rsid w:val="00904AD9"/>
    <w:rsid w:val="00904C40"/>
    <w:rsid w:val="00904D48"/>
    <w:rsid w:val="00904E66"/>
    <w:rsid w:val="00904EBC"/>
    <w:rsid w:val="0090511C"/>
    <w:rsid w:val="009051C4"/>
    <w:rsid w:val="00905375"/>
    <w:rsid w:val="00905410"/>
    <w:rsid w:val="00905824"/>
    <w:rsid w:val="00905BF3"/>
    <w:rsid w:val="00905BF6"/>
    <w:rsid w:val="00905E1A"/>
    <w:rsid w:val="00905E35"/>
    <w:rsid w:val="0090626D"/>
    <w:rsid w:val="009062EB"/>
    <w:rsid w:val="0090654B"/>
    <w:rsid w:val="009065EC"/>
    <w:rsid w:val="0090668C"/>
    <w:rsid w:val="00906723"/>
    <w:rsid w:val="00906789"/>
    <w:rsid w:val="00906795"/>
    <w:rsid w:val="00906ABD"/>
    <w:rsid w:val="00906B1A"/>
    <w:rsid w:val="00906B33"/>
    <w:rsid w:val="00906CFA"/>
    <w:rsid w:val="00906F3C"/>
    <w:rsid w:val="0090703C"/>
    <w:rsid w:val="00907077"/>
    <w:rsid w:val="00907267"/>
    <w:rsid w:val="009072C7"/>
    <w:rsid w:val="0090731E"/>
    <w:rsid w:val="009076C4"/>
    <w:rsid w:val="009076E0"/>
    <w:rsid w:val="009078EB"/>
    <w:rsid w:val="009079FD"/>
    <w:rsid w:val="00907A24"/>
    <w:rsid w:val="00907AA1"/>
    <w:rsid w:val="00907AFF"/>
    <w:rsid w:val="00907BBE"/>
    <w:rsid w:val="00907C63"/>
    <w:rsid w:val="00907CF0"/>
    <w:rsid w:val="00907E3D"/>
    <w:rsid w:val="00907F00"/>
    <w:rsid w:val="00907FA2"/>
    <w:rsid w:val="00907FB9"/>
    <w:rsid w:val="009100FD"/>
    <w:rsid w:val="0091014D"/>
    <w:rsid w:val="00910181"/>
    <w:rsid w:val="009101F7"/>
    <w:rsid w:val="00910256"/>
    <w:rsid w:val="0091030C"/>
    <w:rsid w:val="0091056F"/>
    <w:rsid w:val="009105B5"/>
    <w:rsid w:val="00910600"/>
    <w:rsid w:val="00910704"/>
    <w:rsid w:val="0091087D"/>
    <w:rsid w:val="009108B8"/>
    <w:rsid w:val="009108D4"/>
    <w:rsid w:val="009108DC"/>
    <w:rsid w:val="0091090A"/>
    <w:rsid w:val="00910976"/>
    <w:rsid w:val="00910EAE"/>
    <w:rsid w:val="0091128C"/>
    <w:rsid w:val="00911325"/>
    <w:rsid w:val="009113BC"/>
    <w:rsid w:val="00911733"/>
    <w:rsid w:val="009117A3"/>
    <w:rsid w:val="0091192B"/>
    <w:rsid w:val="00911931"/>
    <w:rsid w:val="0091199A"/>
    <w:rsid w:val="00911B9C"/>
    <w:rsid w:val="00911DD2"/>
    <w:rsid w:val="00911E4F"/>
    <w:rsid w:val="00911EB2"/>
    <w:rsid w:val="00912060"/>
    <w:rsid w:val="009121F8"/>
    <w:rsid w:val="00912266"/>
    <w:rsid w:val="0091236E"/>
    <w:rsid w:val="00912422"/>
    <w:rsid w:val="0091257C"/>
    <w:rsid w:val="0091259F"/>
    <w:rsid w:val="009125C1"/>
    <w:rsid w:val="00912605"/>
    <w:rsid w:val="00912634"/>
    <w:rsid w:val="009126E3"/>
    <w:rsid w:val="00912705"/>
    <w:rsid w:val="0091277F"/>
    <w:rsid w:val="009127B6"/>
    <w:rsid w:val="009127D8"/>
    <w:rsid w:val="00912824"/>
    <w:rsid w:val="009129A8"/>
    <w:rsid w:val="009129D8"/>
    <w:rsid w:val="00912A21"/>
    <w:rsid w:val="00912C01"/>
    <w:rsid w:val="00912D9B"/>
    <w:rsid w:val="00912E04"/>
    <w:rsid w:val="00912F48"/>
    <w:rsid w:val="009130F0"/>
    <w:rsid w:val="009131D2"/>
    <w:rsid w:val="00913466"/>
    <w:rsid w:val="009134AC"/>
    <w:rsid w:val="009134DE"/>
    <w:rsid w:val="00913976"/>
    <w:rsid w:val="00913A87"/>
    <w:rsid w:val="00913AA9"/>
    <w:rsid w:val="00913B73"/>
    <w:rsid w:val="00913C26"/>
    <w:rsid w:val="00913D2B"/>
    <w:rsid w:val="00913E35"/>
    <w:rsid w:val="00913E73"/>
    <w:rsid w:val="00913F43"/>
    <w:rsid w:val="00913FC9"/>
    <w:rsid w:val="0091400E"/>
    <w:rsid w:val="009149FF"/>
    <w:rsid w:val="00914C5B"/>
    <w:rsid w:val="00914E95"/>
    <w:rsid w:val="00915360"/>
    <w:rsid w:val="009153EA"/>
    <w:rsid w:val="009155C1"/>
    <w:rsid w:val="009156EB"/>
    <w:rsid w:val="00915878"/>
    <w:rsid w:val="00915962"/>
    <w:rsid w:val="00915971"/>
    <w:rsid w:val="00915982"/>
    <w:rsid w:val="009159E1"/>
    <w:rsid w:val="00915AB3"/>
    <w:rsid w:val="00915DE8"/>
    <w:rsid w:val="00915F33"/>
    <w:rsid w:val="00915F4F"/>
    <w:rsid w:val="00916150"/>
    <w:rsid w:val="00916223"/>
    <w:rsid w:val="00916233"/>
    <w:rsid w:val="00916244"/>
    <w:rsid w:val="0091624B"/>
    <w:rsid w:val="009162EE"/>
    <w:rsid w:val="00916359"/>
    <w:rsid w:val="0091638C"/>
    <w:rsid w:val="00916411"/>
    <w:rsid w:val="009164F9"/>
    <w:rsid w:val="00916652"/>
    <w:rsid w:val="009166D6"/>
    <w:rsid w:val="009166FC"/>
    <w:rsid w:val="00916937"/>
    <w:rsid w:val="009169BA"/>
    <w:rsid w:val="00916B82"/>
    <w:rsid w:val="00916C65"/>
    <w:rsid w:val="00916CF2"/>
    <w:rsid w:val="00916E84"/>
    <w:rsid w:val="00916EC7"/>
    <w:rsid w:val="00917075"/>
    <w:rsid w:val="009171AE"/>
    <w:rsid w:val="0091728C"/>
    <w:rsid w:val="00917328"/>
    <w:rsid w:val="009173D3"/>
    <w:rsid w:val="009174FF"/>
    <w:rsid w:val="0091755C"/>
    <w:rsid w:val="009175D1"/>
    <w:rsid w:val="009176B1"/>
    <w:rsid w:val="0091779A"/>
    <w:rsid w:val="00917A64"/>
    <w:rsid w:val="00917AE6"/>
    <w:rsid w:val="00917B4B"/>
    <w:rsid w:val="00917C41"/>
    <w:rsid w:val="00917D49"/>
    <w:rsid w:val="00917F55"/>
    <w:rsid w:val="00917FD7"/>
    <w:rsid w:val="00920199"/>
    <w:rsid w:val="0092020E"/>
    <w:rsid w:val="00920273"/>
    <w:rsid w:val="009202F1"/>
    <w:rsid w:val="0092031E"/>
    <w:rsid w:val="0092081F"/>
    <w:rsid w:val="009209BF"/>
    <w:rsid w:val="00920A2E"/>
    <w:rsid w:val="00920A5C"/>
    <w:rsid w:val="00920B72"/>
    <w:rsid w:val="00920C26"/>
    <w:rsid w:val="00920C2D"/>
    <w:rsid w:val="00920C2E"/>
    <w:rsid w:val="00920CBD"/>
    <w:rsid w:val="00920E80"/>
    <w:rsid w:val="00920EFC"/>
    <w:rsid w:val="00921027"/>
    <w:rsid w:val="009213CC"/>
    <w:rsid w:val="00921469"/>
    <w:rsid w:val="009214ED"/>
    <w:rsid w:val="00921505"/>
    <w:rsid w:val="0092155C"/>
    <w:rsid w:val="00921657"/>
    <w:rsid w:val="009216D1"/>
    <w:rsid w:val="0092177A"/>
    <w:rsid w:val="009217ED"/>
    <w:rsid w:val="00921886"/>
    <w:rsid w:val="00921910"/>
    <w:rsid w:val="009219B1"/>
    <w:rsid w:val="00921AA2"/>
    <w:rsid w:val="00921E4B"/>
    <w:rsid w:val="00922074"/>
    <w:rsid w:val="0092215E"/>
    <w:rsid w:val="0092232E"/>
    <w:rsid w:val="009223D0"/>
    <w:rsid w:val="0092273A"/>
    <w:rsid w:val="009227B9"/>
    <w:rsid w:val="00922811"/>
    <w:rsid w:val="0092293A"/>
    <w:rsid w:val="00922980"/>
    <w:rsid w:val="00922A0C"/>
    <w:rsid w:val="00922A61"/>
    <w:rsid w:val="00922A76"/>
    <w:rsid w:val="00922AFC"/>
    <w:rsid w:val="00922B16"/>
    <w:rsid w:val="00922C39"/>
    <w:rsid w:val="0092307C"/>
    <w:rsid w:val="0092309D"/>
    <w:rsid w:val="009230CD"/>
    <w:rsid w:val="00923183"/>
    <w:rsid w:val="009231B3"/>
    <w:rsid w:val="009231D6"/>
    <w:rsid w:val="009232DA"/>
    <w:rsid w:val="00923396"/>
    <w:rsid w:val="0092340B"/>
    <w:rsid w:val="00923410"/>
    <w:rsid w:val="00923419"/>
    <w:rsid w:val="009234D8"/>
    <w:rsid w:val="009235DE"/>
    <w:rsid w:val="009236C2"/>
    <w:rsid w:val="0092377F"/>
    <w:rsid w:val="009238F3"/>
    <w:rsid w:val="0092395F"/>
    <w:rsid w:val="009239F7"/>
    <w:rsid w:val="00923BD2"/>
    <w:rsid w:val="00923CD7"/>
    <w:rsid w:val="00923D53"/>
    <w:rsid w:val="00924174"/>
    <w:rsid w:val="0092436D"/>
    <w:rsid w:val="00924527"/>
    <w:rsid w:val="00924530"/>
    <w:rsid w:val="00924561"/>
    <w:rsid w:val="009245E5"/>
    <w:rsid w:val="009245FF"/>
    <w:rsid w:val="00924688"/>
    <w:rsid w:val="009247F6"/>
    <w:rsid w:val="0092481A"/>
    <w:rsid w:val="00924BD5"/>
    <w:rsid w:val="00924BFB"/>
    <w:rsid w:val="0092511A"/>
    <w:rsid w:val="009251C5"/>
    <w:rsid w:val="009253D2"/>
    <w:rsid w:val="0092547E"/>
    <w:rsid w:val="009254F9"/>
    <w:rsid w:val="00925757"/>
    <w:rsid w:val="009257C1"/>
    <w:rsid w:val="00925802"/>
    <w:rsid w:val="0092585C"/>
    <w:rsid w:val="00925962"/>
    <w:rsid w:val="009259C1"/>
    <w:rsid w:val="00925A67"/>
    <w:rsid w:val="00925BF8"/>
    <w:rsid w:val="00925BFF"/>
    <w:rsid w:val="00925CF4"/>
    <w:rsid w:val="00925F16"/>
    <w:rsid w:val="009262BF"/>
    <w:rsid w:val="00926397"/>
    <w:rsid w:val="009264CD"/>
    <w:rsid w:val="0092678A"/>
    <w:rsid w:val="0092682E"/>
    <w:rsid w:val="00926857"/>
    <w:rsid w:val="00926918"/>
    <w:rsid w:val="0092698C"/>
    <w:rsid w:val="00926C41"/>
    <w:rsid w:val="00926C89"/>
    <w:rsid w:val="00926D94"/>
    <w:rsid w:val="00926E19"/>
    <w:rsid w:val="00926E94"/>
    <w:rsid w:val="00926EB7"/>
    <w:rsid w:val="0092718E"/>
    <w:rsid w:val="00927208"/>
    <w:rsid w:val="009272A8"/>
    <w:rsid w:val="009273BE"/>
    <w:rsid w:val="009273C7"/>
    <w:rsid w:val="009273ED"/>
    <w:rsid w:val="00927447"/>
    <w:rsid w:val="009274DD"/>
    <w:rsid w:val="00927530"/>
    <w:rsid w:val="00927692"/>
    <w:rsid w:val="0092793B"/>
    <w:rsid w:val="009279A9"/>
    <w:rsid w:val="00927C06"/>
    <w:rsid w:val="00927C5C"/>
    <w:rsid w:val="00927C78"/>
    <w:rsid w:val="00927C7E"/>
    <w:rsid w:val="00927DEA"/>
    <w:rsid w:val="00927EBC"/>
    <w:rsid w:val="0093004A"/>
    <w:rsid w:val="009300A9"/>
    <w:rsid w:val="009300E1"/>
    <w:rsid w:val="009300FD"/>
    <w:rsid w:val="00930313"/>
    <w:rsid w:val="00930497"/>
    <w:rsid w:val="009305B3"/>
    <w:rsid w:val="00930655"/>
    <w:rsid w:val="009306C8"/>
    <w:rsid w:val="009307B8"/>
    <w:rsid w:val="00930946"/>
    <w:rsid w:val="00930A58"/>
    <w:rsid w:val="00930B2B"/>
    <w:rsid w:val="00930BF3"/>
    <w:rsid w:val="00930C75"/>
    <w:rsid w:val="00930C92"/>
    <w:rsid w:val="00930CC2"/>
    <w:rsid w:val="009310DB"/>
    <w:rsid w:val="00931170"/>
    <w:rsid w:val="009312B2"/>
    <w:rsid w:val="009312DB"/>
    <w:rsid w:val="009313F1"/>
    <w:rsid w:val="009315EF"/>
    <w:rsid w:val="00931600"/>
    <w:rsid w:val="009316F0"/>
    <w:rsid w:val="0093173D"/>
    <w:rsid w:val="0093178B"/>
    <w:rsid w:val="0093178E"/>
    <w:rsid w:val="009318B5"/>
    <w:rsid w:val="009319CA"/>
    <w:rsid w:val="00931A07"/>
    <w:rsid w:val="00931AAB"/>
    <w:rsid w:val="00931CA9"/>
    <w:rsid w:val="00931CCB"/>
    <w:rsid w:val="00931DA2"/>
    <w:rsid w:val="00931E99"/>
    <w:rsid w:val="00931EC9"/>
    <w:rsid w:val="00931F8A"/>
    <w:rsid w:val="0093215F"/>
    <w:rsid w:val="00932390"/>
    <w:rsid w:val="00932494"/>
    <w:rsid w:val="009325E4"/>
    <w:rsid w:val="009326EE"/>
    <w:rsid w:val="0093278A"/>
    <w:rsid w:val="00932861"/>
    <w:rsid w:val="00932A92"/>
    <w:rsid w:val="00932E23"/>
    <w:rsid w:val="00932E5B"/>
    <w:rsid w:val="00932FD4"/>
    <w:rsid w:val="00932FE5"/>
    <w:rsid w:val="009330E5"/>
    <w:rsid w:val="0093315D"/>
    <w:rsid w:val="0093319E"/>
    <w:rsid w:val="009331B4"/>
    <w:rsid w:val="0093328B"/>
    <w:rsid w:val="0093339D"/>
    <w:rsid w:val="0093349E"/>
    <w:rsid w:val="0093355B"/>
    <w:rsid w:val="0093375B"/>
    <w:rsid w:val="00933796"/>
    <w:rsid w:val="00933A29"/>
    <w:rsid w:val="00933A7F"/>
    <w:rsid w:val="00933B07"/>
    <w:rsid w:val="00933C4E"/>
    <w:rsid w:val="00933D3B"/>
    <w:rsid w:val="00933E89"/>
    <w:rsid w:val="00934073"/>
    <w:rsid w:val="009340AB"/>
    <w:rsid w:val="00934132"/>
    <w:rsid w:val="0093434B"/>
    <w:rsid w:val="009343E8"/>
    <w:rsid w:val="009344F7"/>
    <w:rsid w:val="00934678"/>
    <w:rsid w:val="00934718"/>
    <w:rsid w:val="0093474B"/>
    <w:rsid w:val="0093475A"/>
    <w:rsid w:val="00934789"/>
    <w:rsid w:val="00934795"/>
    <w:rsid w:val="009349F6"/>
    <w:rsid w:val="00934B9B"/>
    <w:rsid w:val="00934CDA"/>
    <w:rsid w:val="00934E63"/>
    <w:rsid w:val="00934EB8"/>
    <w:rsid w:val="00935024"/>
    <w:rsid w:val="009350F8"/>
    <w:rsid w:val="0093525B"/>
    <w:rsid w:val="009352B5"/>
    <w:rsid w:val="009353BD"/>
    <w:rsid w:val="00935475"/>
    <w:rsid w:val="009354B2"/>
    <w:rsid w:val="00935511"/>
    <w:rsid w:val="00935628"/>
    <w:rsid w:val="009356AD"/>
    <w:rsid w:val="00935734"/>
    <w:rsid w:val="009357D3"/>
    <w:rsid w:val="00935BA9"/>
    <w:rsid w:val="00935BAC"/>
    <w:rsid w:val="00935C8D"/>
    <w:rsid w:val="00935D62"/>
    <w:rsid w:val="00935E3B"/>
    <w:rsid w:val="00935EF3"/>
    <w:rsid w:val="009361C9"/>
    <w:rsid w:val="0093626F"/>
    <w:rsid w:val="009365A4"/>
    <w:rsid w:val="00936684"/>
    <w:rsid w:val="0093683C"/>
    <w:rsid w:val="009368F6"/>
    <w:rsid w:val="00936989"/>
    <w:rsid w:val="009369AA"/>
    <w:rsid w:val="009369D3"/>
    <w:rsid w:val="009369FF"/>
    <w:rsid w:val="00936AC3"/>
    <w:rsid w:val="00936B88"/>
    <w:rsid w:val="00936B9F"/>
    <w:rsid w:val="00936D12"/>
    <w:rsid w:val="00936D3F"/>
    <w:rsid w:val="00936E44"/>
    <w:rsid w:val="00936EE5"/>
    <w:rsid w:val="00937042"/>
    <w:rsid w:val="009371BE"/>
    <w:rsid w:val="009372CF"/>
    <w:rsid w:val="009373ED"/>
    <w:rsid w:val="00937464"/>
    <w:rsid w:val="00937570"/>
    <w:rsid w:val="00937810"/>
    <w:rsid w:val="00937820"/>
    <w:rsid w:val="00937854"/>
    <w:rsid w:val="00937AB1"/>
    <w:rsid w:val="00937B56"/>
    <w:rsid w:val="00937C11"/>
    <w:rsid w:val="00937C88"/>
    <w:rsid w:val="00937C97"/>
    <w:rsid w:val="00937D13"/>
    <w:rsid w:val="00937D5B"/>
    <w:rsid w:val="00937D68"/>
    <w:rsid w:val="00937F8A"/>
    <w:rsid w:val="00940016"/>
    <w:rsid w:val="00940187"/>
    <w:rsid w:val="009401A6"/>
    <w:rsid w:val="009401AE"/>
    <w:rsid w:val="0094026F"/>
    <w:rsid w:val="00940415"/>
    <w:rsid w:val="00940813"/>
    <w:rsid w:val="0094094A"/>
    <w:rsid w:val="0094097C"/>
    <w:rsid w:val="00940A1C"/>
    <w:rsid w:val="00940C2C"/>
    <w:rsid w:val="00940FE6"/>
    <w:rsid w:val="0094100D"/>
    <w:rsid w:val="00941043"/>
    <w:rsid w:val="00941091"/>
    <w:rsid w:val="009410D7"/>
    <w:rsid w:val="009412A0"/>
    <w:rsid w:val="009412CB"/>
    <w:rsid w:val="009413DA"/>
    <w:rsid w:val="009414F8"/>
    <w:rsid w:val="009415C4"/>
    <w:rsid w:val="00941C9D"/>
    <w:rsid w:val="0094210D"/>
    <w:rsid w:val="0094215A"/>
    <w:rsid w:val="009422D1"/>
    <w:rsid w:val="009425F4"/>
    <w:rsid w:val="00942650"/>
    <w:rsid w:val="00942669"/>
    <w:rsid w:val="009426C0"/>
    <w:rsid w:val="00942705"/>
    <w:rsid w:val="00942719"/>
    <w:rsid w:val="009427D9"/>
    <w:rsid w:val="00942900"/>
    <w:rsid w:val="00942A7C"/>
    <w:rsid w:val="00942AD5"/>
    <w:rsid w:val="00942AF1"/>
    <w:rsid w:val="00942D43"/>
    <w:rsid w:val="00942DFD"/>
    <w:rsid w:val="00942E2C"/>
    <w:rsid w:val="00942E77"/>
    <w:rsid w:val="00942F84"/>
    <w:rsid w:val="00943373"/>
    <w:rsid w:val="0094338F"/>
    <w:rsid w:val="00943434"/>
    <w:rsid w:val="009434BF"/>
    <w:rsid w:val="009434D1"/>
    <w:rsid w:val="009435B4"/>
    <w:rsid w:val="009436E0"/>
    <w:rsid w:val="00943746"/>
    <w:rsid w:val="0094378A"/>
    <w:rsid w:val="009437C5"/>
    <w:rsid w:val="00943854"/>
    <w:rsid w:val="00943F17"/>
    <w:rsid w:val="009440DB"/>
    <w:rsid w:val="00944184"/>
    <w:rsid w:val="00944210"/>
    <w:rsid w:val="009444C9"/>
    <w:rsid w:val="00944520"/>
    <w:rsid w:val="009445DA"/>
    <w:rsid w:val="0094477D"/>
    <w:rsid w:val="009447D7"/>
    <w:rsid w:val="00944A33"/>
    <w:rsid w:val="00944BB1"/>
    <w:rsid w:val="00944CD3"/>
    <w:rsid w:val="00944DAC"/>
    <w:rsid w:val="00944DE8"/>
    <w:rsid w:val="009450B1"/>
    <w:rsid w:val="009451C0"/>
    <w:rsid w:val="00945259"/>
    <w:rsid w:val="0094528D"/>
    <w:rsid w:val="0094560C"/>
    <w:rsid w:val="0094581A"/>
    <w:rsid w:val="009459C8"/>
    <w:rsid w:val="00945AC0"/>
    <w:rsid w:val="00945B34"/>
    <w:rsid w:val="00945BFF"/>
    <w:rsid w:val="00945C0D"/>
    <w:rsid w:val="00945C4E"/>
    <w:rsid w:val="00946059"/>
    <w:rsid w:val="009460FB"/>
    <w:rsid w:val="00946173"/>
    <w:rsid w:val="009461BC"/>
    <w:rsid w:val="00946568"/>
    <w:rsid w:val="009465B8"/>
    <w:rsid w:val="009465FA"/>
    <w:rsid w:val="00946632"/>
    <w:rsid w:val="009466BF"/>
    <w:rsid w:val="009467EB"/>
    <w:rsid w:val="0094685D"/>
    <w:rsid w:val="009468A9"/>
    <w:rsid w:val="0094697A"/>
    <w:rsid w:val="00946A77"/>
    <w:rsid w:val="00946AC1"/>
    <w:rsid w:val="00946B6E"/>
    <w:rsid w:val="00946C05"/>
    <w:rsid w:val="00946D84"/>
    <w:rsid w:val="00947082"/>
    <w:rsid w:val="009470CF"/>
    <w:rsid w:val="00947165"/>
    <w:rsid w:val="009471E2"/>
    <w:rsid w:val="009471FB"/>
    <w:rsid w:val="009472AF"/>
    <w:rsid w:val="00947399"/>
    <w:rsid w:val="009473DC"/>
    <w:rsid w:val="009475B7"/>
    <w:rsid w:val="00947710"/>
    <w:rsid w:val="00947ABE"/>
    <w:rsid w:val="00947BB0"/>
    <w:rsid w:val="00947CEB"/>
    <w:rsid w:val="00947E81"/>
    <w:rsid w:val="00947F6E"/>
    <w:rsid w:val="00947FE3"/>
    <w:rsid w:val="0095021A"/>
    <w:rsid w:val="00950296"/>
    <w:rsid w:val="009502EB"/>
    <w:rsid w:val="00950394"/>
    <w:rsid w:val="009503BB"/>
    <w:rsid w:val="00950696"/>
    <w:rsid w:val="0095074C"/>
    <w:rsid w:val="00950772"/>
    <w:rsid w:val="0095077A"/>
    <w:rsid w:val="00950953"/>
    <w:rsid w:val="00950A37"/>
    <w:rsid w:val="00950ACC"/>
    <w:rsid w:val="00950ADA"/>
    <w:rsid w:val="00950B73"/>
    <w:rsid w:val="00950B8B"/>
    <w:rsid w:val="00950E60"/>
    <w:rsid w:val="00950EE9"/>
    <w:rsid w:val="00950FAB"/>
    <w:rsid w:val="00950FF9"/>
    <w:rsid w:val="00951197"/>
    <w:rsid w:val="009512F5"/>
    <w:rsid w:val="00951360"/>
    <w:rsid w:val="0095165E"/>
    <w:rsid w:val="009516D3"/>
    <w:rsid w:val="0095182D"/>
    <w:rsid w:val="00951832"/>
    <w:rsid w:val="009519E1"/>
    <w:rsid w:val="00951C45"/>
    <w:rsid w:val="00951C93"/>
    <w:rsid w:val="00951F3F"/>
    <w:rsid w:val="00952016"/>
    <w:rsid w:val="0095221F"/>
    <w:rsid w:val="00952384"/>
    <w:rsid w:val="00952512"/>
    <w:rsid w:val="00952544"/>
    <w:rsid w:val="00952587"/>
    <w:rsid w:val="009527EE"/>
    <w:rsid w:val="009527F4"/>
    <w:rsid w:val="009528FA"/>
    <w:rsid w:val="00952949"/>
    <w:rsid w:val="00952A66"/>
    <w:rsid w:val="00952D7B"/>
    <w:rsid w:val="00952EED"/>
    <w:rsid w:val="00952F14"/>
    <w:rsid w:val="00952F31"/>
    <w:rsid w:val="00952F93"/>
    <w:rsid w:val="0095309F"/>
    <w:rsid w:val="0095315A"/>
    <w:rsid w:val="009531D7"/>
    <w:rsid w:val="00953238"/>
    <w:rsid w:val="00953373"/>
    <w:rsid w:val="009535A7"/>
    <w:rsid w:val="00953649"/>
    <w:rsid w:val="0095365C"/>
    <w:rsid w:val="0095368E"/>
    <w:rsid w:val="00953908"/>
    <w:rsid w:val="00953921"/>
    <w:rsid w:val="00953A04"/>
    <w:rsid w:val="00953A2A"/>
    <w:rsid w:val="00953A3B"/>
    <w:rsid w:val="00953AC3"/>
    <w:rsid w:val="00953B30"/>
    <w:rsid w:val="00953BB8"/>
    <w:rsid w:val="00953C1F"/>
    <w:rsid w:val="00954058"/>
    <w:rsid w:val="009541A0"/>
    <w:rsid w:val="009542D6"/>
    <w:rsid w:val="009543ED"/>
    <w:rsid w:val="0095454C"/>
    <w:rsid w:val="00954579"/>
    <w:rsid w:val="00954683"/>
    <w:rsid w:val="009546DA"/>
    <w:rsid w:val="0095471C"/>
    <w:rsid w:val="0095480C"/>
    <w:rsid w:val="0095487D"/>
    <w:rsid w:val="009548D9"/>
    <w:rsid w:val="009549AB"/>
    <w:rsid w:val="009549C8"/>
    <w:rsid w:val="00954B8E"/>
    <w:rsid w:val="00954C04"/>
    <w:rsid w:val="00954D8B"/>
    <w:rsid w:val="00954E0B"/>
    <w:rsid w:val="00954EFC"/>
    <w:rsid w:val="009550DA"/>
    <w:rsid w:val="00955245"/>
    <w:rsid w:val="0095539A"/>
    <w:rsid w:val="009554D9"/>
    <w:rsid w:val="00955523"/>
    <w:rsid w:val="009555E3"/>
    <w:rsid w:val="009555E6"/>
    <w:rsid w:val="00955735"/>
    <w:rsid w:val="0095587C"/>
    <w:rsid w:val="0095593A"/>
    <w:rsid w:val="00955A44"/>
    <w:rsid w:val="00955CDF"/>
    <w:rsid w:val="00955DD2"/>
    <w:rsid w:val="00955DD4"/>
    <w:rsid w:val="00955E8A"/>
    <w:rsid w:val="00955FBD"/>
    <w:rsid w:val="00955FE4"/>
    <w:rsid w:val="0095607E"/>
    <w:rsid w:val="009560C4"/>
    <w:rsid w:val="0095611B"/>
    <w:rsid w:val="0095618F"/>
    <w:rsid w:val="00956193"/>
    <w:rsid w:val="00956303"/>
    <w:rsid w:val="00956453"/>
    <w:rsid w:val="00956496"/>
    <w:rsid w:val="0095654E"/>
    <w:rsid w:val="009568B6"/>
    <w:rsid w:val="00956E11"/>
    <w:rsid w:val="00956EA7"/>
    <w:rsid w:val="00956F9B"/>
    <w:rsid w:val="009576B1"/>
    <w:rsid w:val="009577DA"/>
    <w:rsid w:val="009577F9"/>
    <w:rsid w:val="009579C4"/>
    <w:rsid w:val="00957A3C"/>
    <w:rsid w:val="00957B15"/>
    <w:rsid w:val="00957D88"/>
    <w:rsid w:val="00957DAB"/>
    <w:rsid w:val="00957F52"/>
    <w:rsid w:val="0096000A"/>
    <w:rsid w:val="009601D0"/>
    <w:rsid w:val="0096034E"/>
    <w:rsid w:val="009605E7"/>
    <w:rsid w:val="00960657"/>
    <w:rsid w:val="009606E4"/>
    <w:rsid w:val="00960AA9"/>
    <w:rsid w:val="00960D53"/>
    <w:rsid w:val="00960DAA"/>
    <w:rsid w:val="00960DB2"/>
    <w:rsid w:val="00960E17"/>
    <w:rsid w:val="00960FA9"/>
    <w:rsid w:val="00961347"/>
    <w:rsid w:val="0096150B"/>
    <w:rsid w:val="009615AF"/>
    <w:rsid w:val="00961795"/>
    <w:rsid w:val="009617F5"/>
    <w:rsid w:val="00961814"/>
    <w:rsid w:val="0096193F"/>
    <w:rsid w:val="00961B0C"/>
    <w:rsid w:val="00961B89"/>
    <w:rsid w:val="00961E64"/>
    <w:rsid w:val="009620C7"/>
    <w:rsid w:val="009620E1"/>
    <w:rsid w:val="009621C6"/>
    <w:rsid w:val="009622E6"/>
    <w:rsid w:val="00962450"/>
    <w:rsid w:val="00962451"/>
    <w:rsid w:val="009626A3"/>
    <w:rsid w:val="009626DA"/>
    <w:rsid w:val="0096275B"/>
    <w:rsid w:val="00962866"/>
    <w:rsid w:val="0096288B"/>
    <w:rsid w:val="00962991"/>
    <w:rsid w:val="00962A19"/>
    <w:rsid w:val="00962A6D"/>
    <w:rsid w:val="00962ACE"/>
    <w:rsid w:val="00962C7A"/>
    <w:rsid w:val="00962D6F"/>
    <w:rsid w:val="00962FCF"/>
    <w:rsid w:val="00963049"/>
    <w:rsid w:val="00963051"/>
    <w:rsid w:val="009631A0"/>
    <w:rsid w:val="00963264"/>
    <w:rsid w:val="0096344D"/>
    <w:rsid w:val="009634AA"/>
    <w:rsid w:val="009635EC"/>
    <w:rsid w:val="00963622"/>
    <w:rsid w:val="00963663"/>
    <w:rsid w:val="00963848"/>
    <w:rsid w:val="009638AC"/>
    <w:rsid w:val="009638D1"/>
    <w:rsid w:val="00963960"/>
    <w:rsid w:val="009639E9"/>
    <w:rsid w:val="00963AE0"/>
    <w:rsid w:val="00963AF8"/>
    <w:rsid w:val="00963C61"/>
    <w:rsid w:val="00963F95"/>
    <w:rsid w:val="00963FC9"/>
    <w:rsid w:val="00964137"/>
    <w:rsid w:val="009641E2"/>
    <w:rsid w:val="0096435A"/>
    <w:rsid w:val="0096438C"/>
    <w:rsid w:val="00964498"/>
    <w:rsid w:val="00964548"/>
    <w:rsid w:val="00964604"/>
    <w:rsid w:val="00964632"/>
    <w:rsid w:val="0096465C"/>
    <w:rsid w:val="009647B0"/>
    <w:rsid w:val="0096480C"/>
    <w:rsid w:val="0096481E"/>
    <w:rsid w:val="00964BC2"/>
    <w:rsid w:val="00964CA4"/>
    <w:rsid w:val="00964DCF"/>
    <w:rsid w:val="00964E60"/>
    <w:rsid w:val="009651DB"/>
    <w:rsid w:val="00965354"/>
    <w:rsid w:val="00965359"/>
    <w:rsid w:val="0096540C"/>
    <w:rsid w:val="0096543F"/>
    <w:rsid w:val="0096552E"/>
    <w:rsid w:val="009655A3"/>
    <w:rsid w:val="00965649"/>
    <w:rsid w:val="0096568D"/>
    <w:rsid w:val="00965819"/>
    <w:rsid w:val="009659AA"/>
    <w:rsid w:val="00965AC2"/>
    <w:rsid w:val="00965B8A"/>
    <w:rsid w:val="00965C86"/>
    <w:rsid w:val="00965D63"/>
    <w:rsid w:val="00965E03"/>
    <w:rsid w:val="00965E6E"/>
    <w:rsid w:val="00965ECA"/>
    <w:rsid w:val="00965F73"/>
    <w:rsid w:val="00966173"/>
    <w:rsid w:val="00966188"/>
    <w:rsid w:val="00966206"/>
    <w:rsid w:val="00966345"/>
    <w:rsid w:val="0096667F"/>
    <w:rsid w:val="009666A5"/>
    <w:rsid w:val="0096680D"/>
    <w:rsid w:val="00966871"/>
    <w:rsid w:val="009669C9"/>
    <w:rsid w:val="00966A3D"/>
    <w:rsid w:val="00966A59"/>
    <w:rsid w:val="00966AAF"/>
    <w:rsid w:val="00966ACC"/>
    <w:rsid w:val="00966BE1"/>
    <w:rsid w:val="00966EA9"/>
    <w:rsid w:val="00966F7D"/>
    <w:rsid w:val="00967381"/>
    <w:rsid w:val="0096753B"/>
    <w:rsid w:val="009675F2"/>
    <w:rsid w:val="009676BD"/>
    <w:rsid w:val="00967785"/>
    <w:rsid w:val="009677A6"/>
    <w:rsid w:val="009677E6"/>
    <w:rsid w:val="0096781F"/>
    <w:rsid w:val="0096787C"/>
    <w:rsid w:val="00967977"/>
    <w:rsid w:val="00967AAD"/>
    <w:rsid w:val="00967B85"/>
    <w:rsid w:val="00967BC7"/>
    <w:rsid w:val="00967BDE"/>
    <w:rsid w:val="00967D88"/>
    <w:rsid w:val="00970257"/>
    <w:rsid w:val="009704F7"/>
    <w:rsid w:val="009705DB"/>
    <w:rsid w:val="0097088A"/>
    <w:rsid w:val="009709C4"/>
    <w:rsid w:val="00970A35"/>
    <w:rsid w:val="00970BC2"/>
    <w:rsid w:val="00970DBC"/>
    <w:rsid w:val="00970DCD"/>
    <w:rsid w:val="00970DF8"/>
    <w:rsid w:val="00970DFA"/>
    <w:rsid w:val="00970F85"/>
    <w:rsid w:val="00970FEE"/>
    <w:rsid w:val="009710A0"/>
    <w:rsid w:val="009711AE"/>
    <w:rsid w:val="0097120C"/>
    <w:rsid w:val="009712BA"/>
    <w:rsid w:val="009713C0"/>
    <w:rsid w:val="00971694"/>
    <w:rsid w:val="0097189D"/>
    <w:rsid w:val="00971960"/>
    <w:rsid w:val="00971A5A"/>
    <w:rsid w:val="00971B74"/>
    <w:rsid w:val="00971B8B"/>
    <w:rsid w:val="00971CB4"/>
    <w:rsid w:val="00971D33"/>
    <w:rsid w:val="00971E2E"/>
    <w:rsid w:val="00971EEE"/>
    <w:rsid w:val="0097229D"/>
    <w:rsid w:val="009724EC"/>
    <w:rsid w:val="0097258C"/>
    <w:rsid w:val="0097260E"/>
    <w:rsid w:val="00972796"/>
    <w:rsid w:val="009727DD"/>
    <w:rsid w:val="009727E9"/>
    <w:rsid w:val="00972899"/>
    <w:rsid w:val="00972965"/>
    <w:rsid w:val="009730CD"/>
    <w:rsid w:val="00973155"/>
    <w:rsid w:val="00973184"/>
    <w:rsid w:val="00973218"/>
    <w:rsid w:val="0097323A"/>
    <w:rsid w:val="009732EB"/>
    <w:rsid w:val="009734BE"/>
    <w:rsid w:val="00973532"/>
    <w:rsid w:val="009735D0"/>
    <w:rsid w:val="00973786"/>
    <w:rsid w:val="0097393C"/>
    <w:rsid w:val="00973A15"/>
    <w:rsid w:val="00973A57"/>
    <w:rsid w:val="00973A6C"/>
    <w:rsid w:val="00973A80"/>
    <w:rsid w:val="00973ADB"/>
    <w:rsid w:val="00973CA5"/>
    <w:rsid w:val="00973D6B"/>
    <w:rsid w:val="00973DCC"/>
    <w:rsid w:val="00973F74"/>
    <w:rsid w:val="00973FAE"/>
    <w:rsid w:val="009740A5"/>
    <w:rsid w:val="009740AE"/>
    <w:rsid w:val="009742CC"/>
    <w:rsid w:val="00974497"/>
    <w:rsid w:val="00974591"/>
    <w:rsid w:val="009746A1"/>
    <w:rsid w:val="009747E6"/>
    <w:rsid w:val="00974A13"/>
    <w:rsid w:val="00974A1C"/>
    <w:rsid w:val="00974B0A"/>
    <w:rsid w:val="00974C9B"/>
    <w:rsid w:val="00974D74"/>
    <w:rsid w:val="00974DA5"/>
    <w:rsid w:val="0097510B"/>
    <w:rsid w:val="009754C5"/>
    <w:rsid w:val="00975589"/>
    <w:rsid w:val="0097564B"/>
    <w:rsid w:val="009757F6"/>
    <w:rsid w:val="0097581F"/>
    <w:rsid w:val="009758EF"/>
    <w:rsid w:val="00975920"/>
    <w:rsid w:val="00975B92"/>
    <w:rsid w:val="00975BB4"/>
    <w:rsid w:val="00975C8F"/>
    <w:rsid w:val="00975D86"/>
    <w:rsid w:val="00975E69"/>
    <w:rsid w:val="00975F10"/>
    <w:rsid w:val="00975FD0"/>
    <w:rsid w:val="00975FD1"/>
    <w:rsid w:val="00976021"/>
    <w:rsid w:val="00976126"/>
    <w:rsid w:val="0097622C"/>
    <w:rsid w:val="00976295"/>
    <w:rsid w:val="00976389"/>
    <w:rsid w:val="00976405"/>
    <w:rsid w:val="0097644B"/>
    <w:rsid w:val="0097645A"/>
    <w:rsid w:val="009766C9"/>
    <w:rsid w:val="0097672D"/>
    <w:rsid w:val="009767B7"/>
    <w:rsid w:val="00976851"/>
    <w:rsid w:val="0097685D"/>
    <w:rsid w:val="009768EC"/>
    <w:rsid w:val="00976949"/>
    <w:rsid w:val="00976DF9"/>
    <w:rsid w:val="00976E02"/>
    <w:rsid w:val="00976EB4"/>
    <w:rsid w:val="00976EFB"/>
    <w:rsid w:val="00977080"/>
    <w:rsid w:val="00977096"/>
    <w:rsid w:val="00977105"/>
    <w:rsid w:val="00977141"/>
    <w:rsid w:val="009771D8"/>
    <w:rsid w:val="00977300"/>
    <w:rsid w:val="0097742B"/>
    <w:rsid w:val="009775CE"/>
    <w:rsid w:val="009778DC"/>
    <w:rsid w:val="009778F4"/>
    <w:rsid w:val="00977990"/>
    <w:rsid w:val="009779C5"/>
    <w:rsid w:val="009779DA"/>
    <w:rsid w:val="009779EB"/>
    <w:rsid w:val="00977D60"/>
    <w:rsid w:val="00977FE7"/>
    <w:rsid w:val="00980200"/>
    <w:rsid w:val="0098025E"/>
    <w:rsid w:val="00980326"/>
    <w:rsid w:val="0098050E"/>
    <w:rsid w:val="009805FD"/>
    <w:rsid w:val="00980687"/>
    <w:rsid w:val="009806F4"/>
    <w:rsid w:val="009806FA"/>
    <w:rsid w:val="0098074A"/>
    <w:rsid w:val="0098077E"/>
    <w:rsid w:val="00980793"/>
    <w:rsid w:val="009807A7"/>
    <w:rsid w:val="009808C9"/>
    <w:rsid w:val="00980946"/>
    <w:rsid w:val="009809F7"/>
    <w:rsid w:val="00980C33"/>
    <w:rsid w:val="00980DE7"/>
    <w:rsid w:val="00980E45"/>
    <w:rsid w:val="00981023"/>
    <w:rsid w:val="0098105C"/>
    <w:rsid w:val="009810B9"/>
    <w:rsid w:val="0098125B"/>
    <w:rsid w:val="009815ED"/>
    <w:rsid w:val="0098162A"/>
    <w:rsid w:val="00981669"/>
    <w:rsid w:val="009818E8"/>
    <w:rsid w:val="009818EC"/>
    <w:rsid w:val="0098192E"/>
    <w:rsid w:val="0098199F"/>
    <w:rsid w:val="009819D7"/>
    <w:rsid w:val="00981A19"/>
    <w:rsid w:val="00981A1C"/>
    <w:rsid w:val="00981BA1"/>
    <w:rsid w:val="00982245"/>
    <w:rsid w:val="00982299"/>
    <w:rsid w:val="009822D7"/>
    <w:rsid w:val="00982369"/>
    <w:rsid w:val="009823C7"/>
    <w:rsid w:val="009824B7"/>
    <w:rsid w:val="0098265B"/>
    <w:rsid w:val="0098269B"/>
    <w:rsid w:val="009826F4"/>
    <w:rsid w:val="00982793"/>
    <w:rsid w:val="00982915"/>
    <w:rsid w:val="009829F7"/>
    <w:rsid w:val="009829F8"/>
    <w:rsid w:val="00982A9A"/>
    <w:rsid w:val="00982BEC"/>
    <w:rsid w:val="00982D27"/>
    <w:rsid w:val="00982D3F"/>
    <w:rsid w:val="00982EDA"/>
    <w:rsid w:val="00982FB5"/>
    <w:rsid w:val="0098308B"/>
    <w:rsid w:val="009830A5"/>
    <w:rsid w:val="00983227"/>
    <w:rsid w:val="009832AF"/>
    <w:rsid w:val="009833F6"/>
    <w:rsid w:val="0098356F"/>
    <w:rsid w:val="009835F7"/>
    <w:rsid w:val="0098360C"/>
    <w:rsid w:val="00983846"/>
    <w:rsid w:val="00983B9C"/>
    <w:rsid w:val="00983BE4"/>
    <w:rsid w:val="00983C3F"/>
    <w:rsid w:val="00983DA3"/>
    <w:rsid w:val="00983F3D"/>
    <w:rsid w:val="00983F5F"/>
    <w:rsid w:val="009840A0"/>
    <w:rsid w:val="00984185"/>
    <w:rsid w:val="00984607"/>
    <w:rsid w:val="00984AF4"/>
    <w:rsid w:val="00984D52"/>
    <w:rsid w:val="00985290"/>
    <w:rsid w:val="00985359"/>
    <w:rsid w:val="00985369"/>
    <w:rsid w:val="0098539E"/>
    <w:rsid w:val="009853D0"/>
    <w:rsid w:val="009853FC"/>
    <w:rsid w:val="009857A7"/>
    <w:rsid w:val="0098594A"/>
    <w:rsid w:val="0098597B"/>
    <w:rsid w:val="009859B3"/>
    <w:rsid w:val="00985C88"/>
    <w:rsid w:val="00985D86"/>
    <w:rsid w:val="00985E0B"/>
    <w:rsid w:val="00985E2C"/>
    <w:rsid w:val="00985E36"/>
    <w:rsid w:val="00985F07"/>
    <w:rsid w:val="00986111"/>
    <w:rsid w:val="0098618F"/>
    <w:rsid w:val="00986195"/>
    <w:rsid w:val="00986295"/>
    <w:rsid w:val="0098631B"/>
    <w:rsid w:val="00986516"/>
    <w:rsid w:val="00986842"/>
    <w:rsid w:val="0098685E"/>
    <w:rsid w:val="00986C45"/>
    <w:rsid w:val="00986C51"/>
    <w:rsid w:val="00986CF0"/>
    <w:rsid w:val="00986EF1"/>
    <w:rsid w:val="00987066"/>
    <w:rsid w:val="00987173"/>
    <w:rsid w:val="009871FF"/>
    <w:rsid w:val="009872F8"/>
    <w:rsid w:val="0098734D"/>
    <w:rsid w:val="009873DD"/>
    <w:rsid w:val="00987410"/>
    <w:rsid w:val="009874A2"/>
    <w:rsid w:val="00987503"/>
    <w:rsid w:val="00987532"/>
    <w:rsid w:val="00987586"/>
    <w:rsid w:val="009875C6"/>
    <w:rsid w:val="0098763D"/>
    <w:rsid w:val="009876DA"/>
    <w:rsid w:val="00987A0E"/>
    <w:rsid w:val="00987C37"/>
    <w:rsid w:val="00987CB4"/>
    <w:rsid w:val="00987D4C"/>
    <w:rsid w:val="00987DF6"/>
    <w:rsid w:val="00987E11"/>
    <w:rsid w:val="00987FB6"/>
    <w:rsid w:val="0099008D"/>
    <w:rsid w:val="00990208"/>
    <w:rsid w:val="009904E2"/>
    <w:rsid w:val="0099053D"/>
    <w:rsid w:val="009905B6"/>
    <w:rsid w:val="009905F4"/>
    <w:rsid w:val="0099060D"/>
    <w:rsid w:val="0099062A"/>
    <w:rsid w:val="0099066C"/>
    <w:rsid w:val="0099069F"/>
    <w:rsid w:val="0099078C"/>
    <w:rsid w:val="0099086F"/>
    <w:rsid w:val="00990886"/>
    <w:rsid w:val="00990A8F"/>
    <w:rsid w:val="00990AC6"/>
    <w:rsid w:val="00990BAE"/>
    <w:rsid w:val="00990BB3"/>
    <w:rsid w:val="00990BEC"/>
    <w:rsid w:val="00990D97"/>
    <w:rsid w:val="00990EA4"/>
    <w:rsid w:val="00990FFB"/>
    <w:rsid w:val="0099104B"/>
    <w:rsid w:val="00991253"/>
    <w:rsid w:val="009912DF"/>
    <w:rsid w:val="00991485"/>
    <w:rsid w:val="009915F1"/>
    <w:rsid w:val="009915F5"/>
    <w:rsid w:val="00991AA1"/>
    <w:rsid w:val="00991B11"/>
    <w:rsid w:val="00991B7C"/>
    <w:rsid w:val="00991BDE"/>
    <w:rsid w:val="00991D02"/>
    <w:rsid w:val="00991ECA"/>
    <w:rsid w:val="00991EEC"/>
    <w:rsid w:val="00991FAD"/>
    <w:rsid w:val="00992011"/>
    <w:rsid w:val="00992041"/>
    <w:rsid w:val="009920E3"/>
    <w:rsid w:val="009923C0"/>
    <w:rsid w:val="009925A1"/>
    <w:rsid w:val="009926D0"/>
    <w:rsid w:val="009926FF"/>
    <w:rsid w:val="0099280E"/>
    <w:rsid w:val="00992A3A"/>
    <w:rsid w:val="00992BE1"/>
    <w:rsid w:val="00992D34"/>
    <w:rsid w:val="00992E19"/>
    <w:rsid w:val="00992E27"/>
    <w:rsid w:val="00992EC6"/>
    <w:rsid w:val="00992F02"/>
    <w:rsid w:val="0099314C"/>
    <w:rsid w:val="00993353"/>
    <w:rsid w:val="009933EA"/>
    <w:rsid w:val="00993539"/>
    <w:rsid w:val="00993557"/>
    <w:rsid w:val="00993616"/>
    <w:rsid w:val="009936AC"/>
    <w:rsid w:val="00993873"/>
    <w:rsid w:val="00993A91"/>
    <w:rsid w:val="00993AE6"/>
    <w:rsid w:val="00993B7C"/>
    <w:rsid w:val="00993C19"/>
    <w:rsid w:val="00993CD8"/>
    <w:rsid w:val="00993CF2"/>
    <w:rsid w:val="00993D5E"/>
    <w:rsid w:val="00994016"/>
    <w:rsid w:val="009940C4"/>
    <w:rsid w:val="00994164"/>
    <w:rsid w:val="009941BC"/>
    <w:rsid w:val="00994291"/>
    <w:rsid w:val="009942FA"/>
    <w:rsid w:val="0099430C"/>
    <w:rsid w:val="0099441A"/>
    <w:rsid w:val="0099448D"/>
    <w:rsid w:val="00994494"/>
    <w:rsid w:val="00994551"/>
    <w:rsid w:val="009945AE"/>
    <w:rsid w:val="0099466C"/>
    <w:rsid w:val="009949EF"/>
    <w:rsid w:val="00994B7C"/>
    <w:rsid w:val="00994B9D"/>
    <w:rsid w:val="00994BFF"/>
    <w:rsid w:val="00994D3D"/>
    <w:rsid w:val="00995140"/>
    <w:rsid w:val="00995243"/>
    <w:rsid w:val="0099524A"/>
    <w:rsid w:val="00995289"/>
    <w:rsid w:val="0099542C"/>
    <w:rsid w:val="0099545B"/>
    <w:rsid w:val="00995597"/>
    <w:rsid w:val="009955C3"/>
    <w:rsid w:val="009955D8"/>
    <w:rsid w:val="009955FD"/>
    <w:rsid w:val="00995684"/>
    <w:rsid w:val="00995708"/>
    <w:rsid w:val="00995711"/>
    <w:rsid w:val="00995788"/>
    <w:rsid w:val="0099589F"/>
    <w:rsid w:val="00995C2D"/>
    <w:rsid w:val="00995CDB"/>
    <w:rsid w:val="00995D32"/>
    <w:rsid w:val="00995E90"/>
    <w:rsid w:val="00995F77"/>
    <w:rsid w:val="00995F90"/>
    <w:rsid w:val="00995FE8"/>
    <w:rsid w:val="00996063"/>
    <w:rsid w:val="00996122"/>
    <w:rsid w:val="009963A1"/>
    <w:rsid w:val="009964AB"/>
    <w:rsid w:val="0099683D"/>
    <w:rsid w:val="0099691F"/>
    <w:rsid w:val="009969A2"/>
    <w:rsid w:val="009969F8"/>
    <w:rsid w:val="00996A07"/>
    <w:rsid w:val="00996B79"/>
    <w:rsid w:val="00996BEC"/>
    <w:rsid w:val="00996D42"/>
    <w:rsid w:val="00996F25"/>
    <w:rsid w:val="00996F98"/>
    <w:rsid w:val="00997086"/>
    <w:rsid w:val="0099716D"/>
    <w:rsid w:val="009971E9"/>
    <w:rsid w:val="0099723D"/>
    <w:rsid w:val="009973DF"/>
    <w:rsid w:val="009975DF"/>
    <w:rsid w:val="00997618"/>
    <w:rsid w:val="00997838"/>
    <w:rsid w:val="009978BE"/>
    <w:rsid w:val="00997AE6"/>
    <w:rsid w:val="00997C28"/>
    <w:rsid w:val="00997C6D"/>
    <w:rsid w:val="00997D42"/>
    <w:rsid w:val="00997DD3"/>
    <w:rsid w:val="00997E76"/>
    <w:rsid w:val="00997EB8"/>
    <w:rsid w:val="00997FF5"/>
    <w:rsid w:val="009A001D"/>
    <w:rsid w:val="009A01A3"/>
    <w:rsid w:val="009A0230"/>
    <w:rsid w:val="009A0272"/>
    <w:rsid w:val="009A02D7"/>
    <w:rsid w:val="009A0487"/>
    <w:rsid w:val="009A08D4"/>
    <w:rsid w:val="009A09D9"/>
    <w:rsid w:val="009A0AB1"/>
    <w:rsid w:val="009A0EF8"/>
    <w:rsid w:val="009A0F29"/>
    <w:rsid w:val="009A0F3A"/>
    <w:rsid w:val="009A1089"/>
    <w:rsid w:val="009A108B"/>
    <w:rsid w:val="009A1133"/>
    <w:rsid w:val="009A11EE"/>
    <w:rsid w:val="009A121A"/>
    <w:rsid w:val="009A13A9"/>
    <w:rsid w:val="009A1406"/>
    <w:rsid w:val="009A1514"/>
    <w:rsid w:val="009A151D"/>
    <w:rsid w:val="009A1682"/>
    <w:rsid w:val="009A1A71"/>
    <w:rsid w:val="009A1BC3"/>
    <w:rsid w:val="009A1C5F"/>
    <w:rsid w:val="009A1D11"/>
    <w:rsid w:val="009A22B8"/>
    <w:rsid w:val="009A23CC"/>
    <w:rsid w:val="009A25FA"/>
    <w:rsid w:val="009A27E0"/>
    <w:rsid w:val="009A28C4"/>
    <w:rsid w:val="009A2C40"/>
    <w:rsid w:val="009A2D1D"/>
    <w:rsid w:val="009A2DD9"/>
    <w:rsid w:val="009A2E7A"/>
    <w:rsid w:val="009A2E99"/>
    <w:rsid w:val="009A2FD6"/>
    <w:rsid w:val="009A301C"/>
    <w:rsid w:val="009A3219"/>
    <w:rsid w:val="009A3298"/>
    <w:rsid w:val="009A32A1"/>
    <w:rsid w:val="009A33B0"/>
    <w:rsid w:val="009A358F"/>
    <w:rsid w:val="009A3659"/>
    <w:rsid w:val="009A372F"/>
    <w:rsid w:val="009A37B8"/>
    <w:rsid w:val="009A3961"/>
    <w:rsid w:val="009A3A4D"/>
    <w:rsid w:val="009A3AD6"/>
    <w:rsid w:val="009A3BEF"/>
    <w:rsid w:val="009A3E17"/>
    <w:rsid w:val="009A3E30"/>
    <w:rsid w:val="009A3EBF"/>
    <w:rsid w:val="009A3EEB"/>
    <w:rsid w:val="009A4015"/>
    <w:rsid w:val="009A401B"/>
    <w:rsid w:val="009A42C2"/>
    <w:rsid w:val="009A4450"/>
    <w:rsid w:val="009A4457"/>
    <w:rsid w:val="009A4484"/>
    <w:rsid w:val="009A45C8"/>
    <w:rsid w:val="009A4608"/>
    <w:rsid w:val="009A47CE"/>
    <w:rsid w:val="009A47E2"/>
    <w:rsid w:val="009A4824"/>
    <w:rsid w:val="009A4832"/>
    <w:rsid w:val="009A4969"/>
    <w:rsid w:val="009A49CE"/>
    <w:rsid w:val="009A4B8B"/>
    <w:rsid w:val="009A4BCA"/>
    <w:rsid w:val="009A4CB7"/>
    <w:rsid w:val="009A4D7D"/>
    <w:rsid w:val="009A5045"/>
    <w:rsid w:val="009A51E6"/>
    <w:rsid w:val="009A5292"/>
    <w:rsid w:val="009A532E"/>
    <w:rsid w:val="009A5586"/>
    <w:rsid w:val="009A564F"/>
    <w:rsid w:val="009A5664"/>
    <w:rsid w:val="009A5879"/>
    <w:rsid w:val="009A5888"/>
    <w:rsid w:val="009A5946"/>
    <w:rsid w:val="009A5AC9"/>
    <w:rsid w:val="009A5C36"/>
    <w:rsid w:val="009A5C48"/>
    <w:rsid w:val="009A5D44"/>
    <w:rsid w:val="009A5D89"/>
    <w:rsid w:val="009A5E19"/>
    <w:rsid w:val="009A5E63"/>
    <w:rsid w:val="009A5E87"/>
    <w:rsid w:val="009A5EA1"/>
    <w:rsid w:val="009A5F69"/>
    <w:rsid w:val="009A5FDA"/>
    <w:rsid w:val="009A6085"/>
    <w:rsid w:val="009A60BE"/>
    <w:rsid w:val="009A616D"/>
    <w:rsid w:val="009A6351"/>
    <w:rsid w:val="009A6632"/>
    <w:rsid w:val="009A679D"/>
    <w:rsid w:val="009A68DC"/>
    <w:rsid w:val="009A69F3"/>
    <w:rsid w:val="009A6BD8"/>
    <w:rsid w:val="009A6CD7"/>
    <w:rsid w:val="009A6E32"/>
    <w:rsid w:val="009A6F83"/>
    <w:rsid w:val="009A7004"/>
    <w:rsid w:val="009A70AD"/>
    <w:rsid w:val="009A721C"/>
    <w:rsid w:val="009A72CC"/>
    <w:rsid w:val="009A738E"/>
    <w:rsid w:val="009A7883"/>
    <w:rsid w:val="009A7899"/>
    <w:rsid w:val="009A795E"/>
    <w:rsid w:val="009A7979"/>
    <w:rsid w:val="009A79CE"/>
    <w:rsid w:val="009A7AB3"/>
    <w:rsid w:val="009A7B11"/>
    <w:rsid w:val="009A7C1A"/>
    <w:rsid w:val="009A7C22"/>
    <w:rsid w:val="009A7C39"/>
    <w:rsid w:val="009A7C43"/>
    <w:rsid w:val="009A7E26"/>
    <w:rsid w:val="009A7EBA"/>
    <w:rsid w:val="009A7F87"/>
    <w:rsid w:val="009B012A"/>
    <w:rsid w:val="009B0138"/>
    <w:rsid w:val="009B014C"/>
    <w:rsid w:val="009B019E"/>
    <w:rsid w:val="009B0222"/>
    <w:rsid w:val="009B022A"/>
    <w:rsid w:val="009B03F6"/>
    <w:rsid w:val="009B048A"/>
    <w:rsid w:val="009B074E"/>
    <w:rsid w:val="009B08E8"/>
    <w:rsid w:val="009B08EA"/>
    <w:rsid w:val="009B094C"/>
    <w:rsid w:val="009B0B5E"/>
    <w:rsid w:val="009B0B67"/>
    <w:rsid w:val="009B0BC1"/>
    <w:rsid w:val="009B0BC3"/>
    <w:rsid w:val="009B0C6D"/>
    <w:rsid w:val="009B0CC7"/>
    <w:rsid w:val="009B0CE6"/>
    <w:rsid w:val="009B0D46"/>
    <w:rsid w:val="009B0E64"/>
    <w:rsid w:val="009B0E8B"/>
    <w:rsid w:val="009B0EC9"/>
    <w:rsid w:val="009B0EF9"/>
    <w:rsid w:val="009B129D"/>
    <w:rsid w:val="009B1439"/>
    <w:rsid w:val="009B1468"/>
    <w:rsid w:val="009B16E0"/>
    <w:rsid w:val="009B1737"/>
    <w:rsid w:val="009B17B9"/>
    <w:rsid w:val="009B17FA"/>
    <w:rsid w:val="009B1936"/>
    <w:rsid w:val="009B1956"/>
    <w:rsid w:val="009B19E6"/>
    <w:rsid w:val="009B19FA"/>
    <w:rsid w:val="009B1A1E"/>
    <w:rsid w:val="009B1AF4"/>
    <w:rsid w:val="009B1C4C"/>
    <w:rsid w:val="009B1C9E"/>
    <w:rsid w:val="009B1CB4"/>
    <w:rsid w:val="009B1D9C"/>
    <w:rsid w:val="009B1DB0"/>
    <w:rsid w:val="009B1EC2"/>
    <w:rsid w:val="009B2128"/>
    <w:rsid w:val="009B2295"/>
    <w:rsid w:val="009B23FE"/>
    <w:rsid w:val="009B243C"/>
    <w:rsid w:val="009B2524"/>
    <w:rsid w:val="009B25C8"/>
    <w:rsid w:val="009B25FB"/>
    <w:rsid w:val="009B2608"/>
    <w:rsid w:val="009B2617"/>
    <w:rsid w:val="009B263E"/>
    <w:rsid w:val="009B275E"/>
    <w:rsid w:val="009B29F0"/>
    <w:rsid w:val="009B2B99"/>
    <w:rsid w:val="009B2C1E"/>
    <w:rsid w:val="009B2CDF"/>
    <w:rsid w:val="009B2DFB"/>
    <w:rsid w:val="009B2EC5"/>
    <w:rsid w:val="009B2EC8"/>
    <w:rsid w:val="009B2EDC"/>
    <w:rsid w:val="009B2F01"/>
    <w:rsid w:val="009B2FF5"/>
    <w:rsid w:val="009B306B"/>
    <w:rsid w:val="009B30C2"/>
    <w:rsid w:val="009B3164"/>
    <w:rsid w:val="009B3464"/>
    <w:rsid w:val="009B352A"/>
    <w:rsid w:val="009B38EB"/>
    <w:rsid w:val="009B39A5"/>
    <w:rsid w:val="009B39CC"/>
    <w:rsid w:val="009B39D5"/>
    <w:rsid w:val="009B3A92"/>
    <w:rsid w:val="009B3ACB"/>
    <w:rsid w:val="009B3BD7"/>
    <w:rsid w:val="009B3C0F"/>
    <w:rsid w:val="009B3CF3"/>
    <w:rsid w:val="009B3F68"/>
    <w:rsid w:val="009B4049"/>
    <w:rsid w:val="009B4058"/>
    <w:rsid w:val="009B415E"/>
    <w:rsid w:val="009B424F"/>
    <w:rsid w:val="009B4275"/>
    <w:rsid w:val="009B42BE"/>
    <w:rsid w:val="009B43C1"/>
    <w:rsid w:val="009B43DD"/>
    <w:rsid w:val="009B4594"/>
    <w:rsid w:val="009B46C2"/>
    <w:rsid w:val="009B47BC"/>
    <w:rsid w:val="009B482B"/>
    <w:rsid w:val="009B4A58"/>
    <w:rsid w:val="009B4D5D"/>
    <w:rsid w:val="009B4FD4"/>
    <w:rsid w:val="009B50C7"/>
    <w:rsid w:val="009B51F3"/>
    <w:rsid w:val="009B52B9"/>
    <w:rsid w:val="009B534B"/>
    <w:rsid w:val="009B535E"/>
    <w:rsid w:val="009B54E4"/>
    <w:rsid w:val="009B563F"/>
    <w:rsid w:val="009B5678"/>
    <w:rsid w:val="009B5764"/>
    <w:rsid w:val="009B57D3"/>
    <w:rsid w:val="009B58EA"/>
    <w:rsid w:val="009B5993"/>
    <w:rsid w:val="009B5A54"/>
    <w:rsid w:val="009B5ADB"/>
    <w:rsid w:val="009B5C56"/>
    <w:rsid w:val="009B5D56"/>
    <w:rsid w:val="009B5E60"/>
    <w:rsid w:val="009B5EBC"/>
    <w:rsid w:val="009B60F6"/>
    <w:rsid w:val="009B6127"/>
    <w:rsid w:val="009B6181"/>
    <w:rsid w:val="009B61A6"/>
    <w:rsid w:val="009B638D"/>
    <w:rsid w:val="009B6660"/>
    <w:rsid w:val="009B6B31"/>
    <w:rsid w:val="009B6B95"/>
    <w:rsid w:val="009B6BB5"/>
    <w:rsid w:val="009B6C2A"/>
    <w:rsid w:val="009B6D82"/>
    <w:rsid w:val="009B6DE4"/>
    <w:rsid w:val="009B6E22"/>
    <w:rsid w:val="009B6E85"/>
    <w:rsid w:val="009B6F9B"/>
    <w:rsid w:val="009B70CA"/>
    <w:rsid w:val="009B70EB"/>
    <w:rsid w:val="009B7179"/>
    <w:rsid w:val="009B71D0"/>
    <w:rsid w:val="009B7386"/>
    <w:rsid w:val="009B7618"/>
    <w:rsid w:val="009B7A57"/>
    <w:rsid w:val="009B7B4B"/>
    <w:rsid w:val="009B7C86"/>
    <w:rsid w:val="009B7E04"/>
    <w:rsid w:val="009B7E9E"/>
    <w:rsid w:val="009B7EB8"/>
    <w:rsid w:val="009C0033"/>
    <w:rsid w:val="009C0056"/>
    <w:rsid w:val="009C00F1"/>
    <w:rsid w:val="009C0277"/>
    <w:rsid w:val="009C0295"/>
    <w:rsid w:val="009C03DC"/>
    <w:rsid w:val="009C0431"/>
    <w:rsid w:val="009C0516"/>
    <w:rsid w:val="009C0653"/>
    <w:rsid w:val="009C072F"/>
    <w:rsid w:val="009C07DF"/>
    <w:rsid w:val="009C0815"/>
    <w:rsid w:val="009C0894"/>
    <w:rsid w:val="009C0927"/>
    <w:rsid w:val="009C09A1"/>
    <w:rsid w:val="009C0A1C"/>
    <w:rsid w:val="009C0AC5"/>
    <w:rsid w:val="009C0DEC"/>
    <w:rsid w:val="009C105C"/>
    <w:rsid w:val="009C11FA"/>
    <w:rsid w:val="009C13DE"/>
    <w:rsid w:val="009C13EF"/>
    <w:rsid w:val="009C142B"/>
    <w:rsid w:val="009C1432"/>
    <w:rsid w:val="009C1699"/>
    <w:rsid w:val="009C16B5"/>
    <w:rsid w:val="009C1A5A"/>
    <w:rsid w:val="009C1A71"/>
    <w:rsid w:val="009C1BAE"/>
    <w:rsid w:val="009C1BDB"/>
    <w:rsid w:val="009C1CA3"/>
    <w:rsid w:val="009C1D41"/>
    <w:rsid w:val="009C1E18"/>
    <w:rsid w:val="009C1E7E"/>
    <w:rsid w:val="009C1F24"/>
    <w:rsid w:val="009C201C"/>
    <w:rsid w:val="009C2076"/>
    <w:rsid w:val="009C22D3"/>
    <w:rsid w:val="009C23AB"/>
    <w:rsid w:val="009C24A1"/>
    <w:rsid w:val="009C2544"/>
    <w:rsid w:val="009C2597"/>
    <w:rsid w:val="009C27D3"/>
    <w:rsid w:val="009C27FA"/>
    <w:rsid w:val="009C28A1"/>
    <w:rsid w:val="009C2928"/>
    <w:rsid w:val="009C2A81"/>
    <w:rsid w:val="009C2AA7"/>
    <w:rsid w:val="009C2C76"/>
    <w:rsid w:val="009C2C94"/>
    <w:rsid w:val="009C2CA5"/>
    <w:rsid w:val="009C2CD7"/>
    <w:rsid w:val="009C2E47"/>
    <w:rsid w:val="009C2ED6"/>
    <w:rsid w:val="009C2FEF"/>
    <w:rsid w:val="009C3017"/>
    <w:rsid w:val="009C30BC"/>
    <w:rsid w:val="009C340B"/>
    <w:rsid w:val="009C3429"/>
    <w:rsid w:val="009C3500"/>
    <w:rsid w:val="009C3573"/>
    <w:rsid w:val="009C36B6"/>
    <w:rsid w:val="009C38C1"/>
    <w:rsid w:val="009C39A1"/>
    <w:rsid w:val="009C39E3"/>
    <w:rsid w:val="009C3ADC"/>
    <w:rsid w:val="009C3CEE"/>
    <w:rsid w:val="009C3D66"/>
    <w:rsid w:val="009C3DBF"/>
    <w:rsid w:val="009C3E99"/>
    <w:rsid w:val="009C40E3"/>
    <w:rsid w:val="009C40F4"/>
    <w:rsid w:val="009C411E"/>
    <w:rsid w:val="009C4127"/>
    <w:rsid w:val="009C4139"/>
    <w:rsid w:val="009C4144"/>
    <w:rsid w:val="009C4255"/>
    <w:rsid w:val="009C434C"/>
    <w:rsid w:val="009C43CF"/>
    <w:rsid w:val="009C4484"/>
    <w:rsid w:val="009C4516"/>
    <w:rsid w:val="009C451F"/>
    <w:rsid w:val="009C4618"/>
    <w:rsid w:val="009C47F8"/>
    <w:rsid w:val="009C484C"/>
    <w:rsid w:val="009C48A5"/>
    <w:rsid w:val="009C48A6"/>
    <w:rsid w:val="009C494C"/>
    <w:rsid w:val="009C4AD8"/>
    <w:rsid w:val="009C4B7E"/>
    <w:rsid w:val="009C4C0D"/>
    <w:rsid w:val="009C4D59"/>
    <w:rsid w:val="009C4DB8"/>
    <w:rsid w:val="009C4E03"/>
    <w:rsid w:val="009C50EA"/>
    <w:rsid w:val="009C521E"/>
    <w:rsid w:val="009C523B"/>
    <w:rsid w:val="009C5727"/>
    <w:rsid w:val="009C57D3"/>
    <w:rsid w:val="009C57EB"/>
    <w:rsid w:val="009C586C"/>
    <w:rsid w:val="009C599B"/>
    <w:rsid w:val="009C5A0F"/>
    <w:rsid w:val="009C5A1A"/>
    <w:rsid w:val="009C5B50"/>
    <w:rsid w:val="009C5BAB"/>
    <w:rsid w:val="009C5BF2"/>
    <w:rsid w:val="009C5CD4"/>
    <w:rsid w:val="009C5DC9"/>
    <w:rsid w:val="009C5EF5"/>
    <w:rsid w:val="009C602E"/>
    <w:rsid w:val="009C610D"/>
    <w:rsid w:val="009C6131"/>
    <w:rsid w:val="009C6168"/>
    <w:rsid w:val="009C6199"/>
    <w:rsid w:val="009C624B"/>
    <w:rsid w:val="009C629D"/>
    <w:rsid w:val="009C630B"/>
    <w:rsid w:val="009C634C"/>
    <w:rsid w:val="009C6440"/>
    <w:rsid w:val="009C6464"/>
    <w:rsid w:val="009C6468"/>
    <w:rsid w:val="009C64BA"/>
    <w:rsid w:val="009C68CB"/>
    <w:rsid w:val="009C69B1"/>
    <w:rsid w:val="009C69BB"/>
    <w:rsid w:val="009C69D8"/>
    <w:rsid w:val="009C6AC9"/>
    <w:rsid w:val="009C6D0F"/>
    <w:rsid w:val="009C6D7D"/>
    <w:rsid w:val="009C6F44"/>
    <w:rsid w:val="009C6FB6"/>
    <w:rsid w:val="009C7037"/>
    <w:rsid w:val="009C718C"/>
    <w:rsid w:val="009C7324"/>
    <w:rsid w:val="009C7382"/>
    <w:rsid w:val="009C73CA"/>
    <w:rsid w:val="009C7432"/>
    <w:rsid w:val="009C791D"/>
    <w:rsid w:val="009C796C"/>
    <w:rsid w:val="009C799A"/>
    <w:rsid w:val="009C7E04"/>
    <w:rsid w:val="009D00F1"/>
    <w:rsid w:val="009D0165"/>
    <w:rsid w:val="009D0298"/>
    <w:rsid w:val="009D03E6"/>
    <w:rsid w:val="009D0411"/>
    <w:rsid w:val="009D0420"/>
    <w:rsid w:val="009D04CB"/>
    <w:rsid w:val="009D07AD"/>
    <w:rsid w:val="009D0A51"/>
    <w:rsid w:val="009D0ABA"/>
    <w:rsid w:val="009D0BC7"/>
    <w:rsid w:val="009D0E4B"/>
    <w:rsid w:val="009D0E61"/>
    <w:rsid w:val="009D1016"/>
    <w:rsid w:val="009D1201"/>
    <w:rsid w:val="009D120A"/>
    <w:rsid w:val="009D1377"/>
    <w:rsid w:val="009D1450"/>
    <w:rsid w:val="009D15DD"/>
    <w:rsid w:val="009D160C"/>
    <w:rsid w:val="009D16CB"/>
    <w:rsid w:val="009D1738"/>
    <w:rsid w:val="009D178C"/>
    <w:rsid w:val="009D186D"/>
    <w:rsid w:val="009D18C4"/>
    <w:rsid w:val="009D19A0"/>
    <w:rsid w:val="009D1A15"/>
    <w:rsid w:val="009D1A60"/>
    <w:rsid w:val="009D1B23"/>
    <w:rsid w:val="009D1BA3"/>
    <w:rsid w:val="009D1C61"/>
    <w:rsid w:val="009D1CBA"/>
    <w:rsid w:val="009D1D81"/>
    <w:rsid w:val="009D1DEE"/>
    <w:rsid w:val="009D1F98"/>
    <w:rsid w:val="009D20D2"/>
    <w:rsid w:val="009D2203"/>
    <w:rsid w:val="009D2430"/>
    <w:rsid w:val="009D24BE"/>
    <w:rsid w:val="009D26AF"/>
    <w:rsid w:val="009D27A6"/>
    <w:rsid w:val="009D2905"/>
    <w:rsid w:val="009D2A75"/>
    <w:rsid w:val="009D2C17"/>
    <w:rsid w:val="009D2E02"/>
    <w:rsid w:val="009D348E"/>
    <w:rsid w:val="009D3491"/>
    <w:rsid w:val="009D359B"/>
    <w:rsid w:val="009D3612"/>
    <w:rsid w:val="009D37B1"/>
    <w:rsid w:val="009D39FC"/>
    <w:rsid w:val="009D3B00"/>
    <w:rsid w:val="009D3BA1"/>
    <w:rsid w:val="009D3BB8"/>
    <w:rsid w:val="009D3CB9"/>
    <w:rsid w:val="009D3CF1"/>
    <w:rsid w:val="009D3EDD"/>
    <w:rsid w:val="009D3F35"/>
    <w:rsid w:val="009D4019"/>
    <w:rsid w:val="009D413F"/>
    <w:rsid w:val="009D4167"/>
    <w:rsid w:val="009D41AB"/>
    <w:rsid w:val="009D44B9"/>
    <w:rsid w:val="009D4607"/>
    <w:rsid w:val="009D476F"/>
    <w:rsid w:val="009D4962"/>
    <w:rsid w:val="009D496D"/>
    <w:rsid w:val="009D49A4"/>
    <w:rsid w:val="009D4BB5"/>
    <w:rsid w:val="009D4CAB"/>
    <w:rsid w:val="009D4D3B"/>
    <w:rsid w:val="009D4EA4"/>
    <w:rsid w:val="009D4EB8"/>
    <w:rsid w:val="009D4FC5"/>
    <w:rsid w:val="009D5035"/>
    <w:rsid w:val="009D513C"/>
    <w:rsid w:val="009D5221"/>
    <w:rsid w:val="009D52AA"/>
    <w:rsid w:val="009D537A"/>
    <w:rsid w:val="009D5633"/>
    <w:rsid w:val="009D5662"/>
    <w:rsid w:val="009D575E"/>
    <w:rsid w:val="009D5805"/>
    <w:rsid w:val="009D58FF"/>
    <w:rsid w:val="009D59CC"/>
    <w:rsid w:val="009D5A94"/>
    <w:rsid w:val="009D5C42"/>
    <w:rsid w:val="009D5DF3"/>
    <w:rsid w:val="009D5E70"/>
    <w:rsid w:val="009D60A1"/>
    <w:rsid w:val="009D60CC"/>
    <w:rsid w:val="009D61B4"/>
    <w:rsid w:val="009D6278"/>
    <w:rsid w:val="009D635C"/>
    <w:rsid w:val="009D63B4"/>
    <w:rsid w:val="009D63F3"/>
    <w:rsid w:val="009D6408"/>
    <w:rsid w:val="009D655A"/>
    <w:rsid w:val="009D66AB"/>
    <w:rsid w:val="009D67A3"/>
    <w:rsid w:val="009D6847"/>
    <w:rsid w:val="009D68B6"/>
    <w:rsid w:val="009D69D1"/>
    <w:rsid w:val="009D6A70"/>
    <w:rsid w:val="009D6ADA"/>
    <w:rsid w:val="009D6AFB"/>
    <w:rsid w:val="009D6B43"/>
    <w:rsid w:val="009D6BFD"/>
    <w:rsid w:val="009D6C67"/>
    <w:rsid w:val="009D6D3F"/>
    <w:rsid w:val="009D6DBE"/>
    <w:rsid w:val="009D6EAE"/>
    <w:rsid w:val="009D7057"/>
    <w:rsid w:val="009D7139"/>
    <w:rsid w:val="009D744F"/>
    <w:rsid w:val="009D745D"/>
    <w:rsid w:val="009D7691"/>
    <w:rsid w:val="009D770F"/>
    <w:rsid w:val="009D776D"/>
    <w:rsid w:val="009D7AEB"/>
    <w:rsid w:val="009D7C46"/>
    <w:rsid w:val="009D7CB4"/>
    <w:rsid w:val="009D7D05"/>
    <w:rsid w:val="009D7D5E"/>
    <w:rsid w:val="009D7DAA"/>
    <w:rsid w:val="009D7E48"/>
    <w:rsid w:val="009D7F39"/>
    <w:rsid w:val="009E0027"/>
    <w:rsid w:val="009E003A"/>
    <w:rsid w:val="009E0057"/>
    <w:rsid w:val="009E032E"/>
    <w:rsid w:val="009E053E"/>
    <w:rsid w:val="009E05EE"/>
    <w:rsid w:val="009E072D"/>
    <w:rsid w:val="009E096D"/>
    <w:rsid w:val="009E097D"/>
    <w:rsid w:val="009E0BA5"/>
    <w:rsid w:val="009E0DC9"/>
    <w:rsid w:val="009E0E1C"/>
    <w:rsid w:val="009E0E99"/>
    <w:rsid w:val="009E100A"/>
    <w:rsid w:val="009E10EC"/>
    <w:rsid w:val="009E1210"/>
    <w:rsid w:val="009E1257"/>
    <w:rsid w:val="009E12AC"/>
    <w:rsid w:val="009E12C3"/>
    <w:rsid w:val="009E1385"/>
    <w:rsid w:val="009E13EF"/>
    <w:rsid w:val="009E15BF"/>
    <w:rsid w:val="009E15DD"/>
    <w:rsid w:val="009E1750"/>
    <w:rsid w:val="009E17AF"/>
    <w:rsid w:val="009E17F2"/>
    <w:rsid w:val="009E18FD"/>
    <w:rsid w:val="009E19FA"/>
    <w:rsid w:val="009E1AA3"/>
    <w:rsid w:val="009E1B31"/>
    <w:rsid w:val="009E1E06"/>
    <w:rsid w:val="009E1E0A"/>
    <w:rsid w:val="009E1EB2"/>
    <w:rsid w:val="009E1EF2"/>
    <w:rsid w:val="009E1F5D"/>
    <w:rsid w:val="009E21CF"/>
    <w:rsid w:val="009E25A1"/>
    <w:rsid w:val="009E25C3"/>
    <w:rsid w:val="009E25D9"/>
    <w:rsid w:val="009E2639"/>
    <w:rsid w:val="009E2653"/>
    <w:rsid w:val="009E26B8"/>
    <w:rsid w:val="009E2770"/>
    <w:rsid w:val="009E27B0"/>
    <w:rsid w:val="009E28DD"/>
    <w:rsid w:val="009E2A58"/>
    <w:rsid w:val="009E2AC4"/>
    <w:rsid w:val="009E2B37"/>
    <w:rsid w:val="009E2CC4"/>
    <w:rsid w:val="009E2F8D"/>
    <w:rsid w:val="009E3046"/>
    <w:rsid w:val="009E3413"/>
    <w:rsid w:val="009E344D"/>
    <w:rsid w:val="009E34A2"/>
    <w:rsid w:val="009E3829"/>
    <w:rsid w:val="009E38FD"/>
    <w:rsid w:val="009E396F"/>
    <w:rsid w:val="009E3A22"/>
    <w:rsid w:val="009E3A26"/>
    <w:rsid w:val="009E3B1D"/>
    <w:rsid w:val="009E3B9D"/>
    <w:rsid w:val="009E3C31"/>
    <w:rsid w:val="009E3CD0"/>
    <w:rsid w:val="009E3D2D"/>
    <w:rsid w:val="009E3DB5"/>
    <w:rsid w:val="009E4026"/>
    <w:rsid w:val="009E40FD"/>
    <w:rsid w:val="009E4231"/>
    <w:rsid w:val="009E4288"/>
    <w:rsid w:val="009E4367"/>
    <w:rsid w:val="009E4430"/>
    <w:rsid w:val="009E448A"/>
    <w:rsid w:val="009E44F6"/>
    <w:rsid w:val="009E47B4"/>
    <w:rsid w:val="009E4803"/>
    <w:rsid w:val="009E4880"/>
    <w:rsid w:val="009E48D7"/>
    <w:rsid w:val="009E4A40"/>
    <w:rsid w:val="009E4AD2"/>
    <w:rsid w:val="009E4AF7"/>
    <w:rsid w:val="009E4B74"/>
    <w:rsid w:val="009E4C2E"/>
    <w:rsid w:val="009E4C49"/>
    <w:rsid w:val="009E4C73"/>
    <w:rsid w:val="009E4F94"/>
    <w:rsid w:val="009E5242"/>
    <w:rsid w:val="009E52A9"/>
    <w:rsid w:val="009E52BD"/>
    <w:rsid w:val="009E5310"/>
    <w:rsid w:val="009E5368"/>
    <w:rsid w:val="009E5379"/>
    <w:rsid w:val="009E546A"/>
    <w:rsid w:val="009E548B"/>
    <w:rsid w:val="009E5659"/>
    <w:rsid w:val="009E5749"/>
    <w:rsid w:val="009E587D"/>
    <w:rsid w:val="009E58E6"/>
    <w:rsid w:val="009E5A3E"/>
    <w:rsid w:val="009E5A86"/>
    <w:rsid w:val="009E5AF5"/>
    <w:rsid w:val="009E5BAC"/>
    <w:rsid w:val="009E5BFD"/>
    <w:rsid w:val="009E5C0C"/>
    <w:rsid w:val="009E5C6C"/>
    <w:rsid w:val="009E5D63"/>
    <w:rsid w:val="009E5DB3"/>
    <w:rsid w:val="009E5E2B"/>
    <w:rsid w:val="009E5FF9"/>
    <w:rsid w:val="009E6005"/>
    <w:rsid w:val="009E611E"/>
    <w:rsid w:val="009E6269"/>
    <w:rsid w:val="009E6274"/>
    <w:rsid w:val="009E635C"/>
    <w:rsid w:val="009E6585"/>
    <w:rsid w:val="009E6600"/>
    <w:rsid w:val="009E6677"/>
    <w:rsid w:val="009E6905"/>
    <w:rsid w:val="009E6AC4"/>
    <w:rsid w:val="009E6AD9"/>
    <w:rsid w:val="009E6BBB"/>
    <w:rsid w:val="009E6C2E"/>
    <w:rsid w:val="009E6C70"/>
    <w:rsid w:val="009E6D42"/>
    <w:rsid w:val="009E6DFF"/>
    <w:rsid w:val="009E6E10"/>
    <w:rsid w:val="009E6E43"/>
    <w:rsid w:val="009E6F13"/>
    <w:rsid w:val="009E6F9C"/>
    <w:rsid w:val="009E727F"/>
    <w:rsid w:val="009E72E5"/>
    <w:rsid w:val="009E755C"/>
    <w:rsid w:val="009E75F8"/>
    <w:rsid w:val="009E764D"/>
    <w:rsid w:val="009E76C9"/>
    <w:rsid w:val="009E76F4"/>
    <w:rsid w:val="009E771B"/>
    <w:rsid w:val="009E78EB"/>
    <w:rsid w:val="009E7AF7"/>
    <w:rsid w:val="009E7B2E"/>
    <w:rsid w:val="009E7B97"/>
    <w:rsid w:val="009E7EA0"/>
    <w:rsid w:val="009E7EBF"/>
    <w:rsid w:val="009E7F0C"/>
    <w:rsid w:val="009F00F3"/>
    <w:rsid w:val="009F0432"/>
    <w:rsid w:val="009F04E7"/>
    <w:rsid w:val="009F04F8"/>
    <w:rsid w:val="009F052B"/>
    <w:rsid w:val="009F0552"/>
    <w:rsid w:val="009F08BC"/>
    <w:rsid w:val="009F0930"/>
    <w:rsid w:val="009F0932"/>
    <w:rsid w:val="009F0B0A"/>
    <w:rsid w:val="009F0CA3"/>
    <w:rsid w:val="009F0CBF"/>
    <w:rsid w:val="009F0D72"/>
    <w:rsid w:val="009F0DE6"/>
    <w:rsid w:val="009F0E42"/>
    <w:rsid w:val="009F0FB8"/>
    <w:rsid w:val="009F106E"/>
    <w:rsid w:val="009F1203"/>
    <w:rsid w:val="009F12DE"/>
    <w:rsid w:val="009F12F4"/>
    <w:rsid w:val="009F141D"/>
    <w:rsid w:val="009F1480"/>
    <w:rsid w:val="009F14C4"/>
    <w:rsid w:val="009F169A"/>
    <w:rsid w:val="009F16A3"/>
    <w:rsid w:val="009F1842"/>
    <w:rsid w:val="009F1934"/>
    <w:rsid w:val="009F1DB3"/>
    <w:rsid w:val="009F1E2A"/>
    <w:rsid w:val="009F1F06"/>
    <w:rsid w:val="009F1F55"/>
    <w:rsid w:val="009F1FD4"/>
    <w:rsid w:val="009F21A7"/>
    <w:rsid w:val="009F21FC"/>
    <w:rsid w:val="009F2230"/>
    <w:rsid w:val="009F2257"/>
    <w:rsid w:val="009F230E"/>
    <w:rsid w:val="009F2330"/>
    <w:rsid w:val="009F24DA"/>
    <w:rsid w:val="009F2553"/>
    <w:rsid w:val="009F25B4"/>
    <w:rsid w:val="009F25C9"/>
    <w:rsid w:val="009F268C"/>
    <w:rsid w:val="009F26B6"/>
    <w:rsid w:val="009F26E5"/>
    <w:rsid w:val="009F27CB"/>
    <w:rsid w:val="009F293A"/>
    <w:rsid w:val="009F2B45"/>
    <w:rsid w:val="009F2B5C"/>
    <w:rsid w:val="009F2BB3"/>
    <w:rsid w:val="009F2DDB"/>
    <w:rsid w:val="009F2E2A"/>
    <w:rsid w:val="009F2E4D"/>
    <w:rsid w:val="009F2FB0"/>
    <w:rsid w:val="009F3111"/>
    <w:rsid w:val="009F322E"/>
    <w:rsid w:val="009F3265"/>
    <w:rsid w:val="009F326F"/>
    <w:rsid w:val="009F3940"/>
    <w:rsid w:val="009F3943"/>
    <w:rsid w:val="009F39FA"/>
    <w:rsid w:val="009F3A6D"/>
    <w:rsid w:val="009F3A9D"/>
    <w:rsid w:val="009F3AA0"/>
    <w:rsid w:val="009F3AA1"/>
    <w:rsid w:val="009F3D0E"/>
    <w:rsid w:val="009F3D4B"/>
    <w:rsid w:val="009F3EB9"/>
    <w:rsid w:val="009F40B8"/>
    <w:rsid w:val="009F40E3"/>
    <w:rsid w:val="009F43A8"/>
    <w:rsid w:val="009F4515"/>
    <w:rsid w:val="009F46BC"/>
    <w:rsid w:val="009F4737"/>
    <w:rsid w:val="009F4748"/>
    <w:rsid w:val="009F47CC"/>
    <w:rsid w:val="009F4B5D"/>
    <w:rsid w:val="009F4B92"/>
    <w:rsid w:val="009F4B9B"/>
    <w:rsid w:val="009F4BAB"/>
    <w:rsid w:val="009F4C41"/>
    <w:rsid w:val="009F4C4A"/>
    <w:rsid w:val="009F5092"/>
    <w:rsid w:val="009F52E6"/>
    <w:rsid w:val="009F5346"/>
    <w:rsid w:val="009F54D1"/>
    <w:rsid w:val="009F550F"/>
    <w:rsid w:val="009F55A7"/>
    <w:rsid w:val="009F55DD"/>
    <w:rsid w:val="009F58D9"/>
    <w:rsid w:val="009F5C27"/>
    <w:rsid w:val="009F5D6A"/>
    <w:rsid w:val="009F5DD2"/>
    <w:rsid w:val="009F5E30"/>
    <w:rsid w:val="009F5E92"/>
    <w:rsid w:val="009F5F5F"/>
    <w:rsid w:val="009F6340"/>
    <w:rsid w:val="009F6570"/>
    <w:rsid w:val="009F65C6"/>
    <w:rsid w:val="009F65D8"/>
    <w:rsid w:val="009F6643"/>
    <w:rsid w:val="009F664F"/>
    <w:rsid w:val="009F66C6"/>
    <w:rsid w:val="009F6753"/>
    <w:rsid w:val="009F67FD"/>
    <w:rsid w:val="009F684B"/>
    <w:rsid w:val="009F68CA"/>
    <w:rsid w:val="009F68D1"/>
    <w:rsid w:val="009F6ADD"/>
    <w:rsid w:val="009F6C3F"/>
    <w:rsid w:val="009F6C4A"/>
    <w:rsid w:val="009F6D70"/>
    <w:rsid w:val="009F6DE5"/>
    <w:rsid w:val="009F6E11"/>
    <w:rsid w:val="009F6E7F"/>
    <w:rsid w:val="009F6ED7"/>
    <w:rsid w:val="009F6FD6"/>
    <w:rsid w:val="009F6FE4"/>
    <w:rsid w:val="009F705E"/>
    <w:rsid w:val="009F7219"/>
    <w:rsid w:val="009F73DD"/>
    <w:rsid w:val="009F73EB"/>
    <w:rsid w:val="009F74B2"/>
    <w:rsid w:val="009F78E4"/>
    <w:rsid w:val="009F79F7"/>
    <w:rsid w:val="009F7B13"/>
    <w:rsid w:val="009F7B89"/>
    <w:rsid w:val="009F7C6C"/>
    <w:rsid w:val="009F7D63"/>
    <w:rsid w:val="009F7E2B"/>
    <w:rsid w:val="009F7ECD"/>
    <w:rsid w:val="00A000E5"/>
    <w:rsid w:val="00A00195"/>
    <w:rsid w:val="00A001D8"/>
    <w:rsid w:val="00A00473"/>
    <w:rsid w:val="00A00496"/>
    <w:rsid w:val="00A006C7"/>
    <w:rsid w:val="00A006CE"/>
    <w:rsid w:val="00A00768"/>
    <w:rsid w:val="00A0090C"/>
    <w:rsid w:val="00A00A37"/>
    <w:rsid w:val="00A00BD2"/>
    <w:rsid w:val="00A00C7F"/>
    <w:rsid w:val="00A00CEC"/>
    <w:rsid w:val="00A00E68"/>
    <w:rsid w:val="00A00F2A"/>
    <w:rsid w:val="00A00F9A"/>
    <w:rsid w:val="00A01125"/>
    <w:rsid w:val="00A01415"/>
    <w:rsid w:val="00A01504"/>
    <w:rsid w:val="00A01750"/>
    <w:rsid w:val="00A0181C"/>
    <w:rsid w:val="00A018EB"/>
    <w:rsid w:val="00A019F0"/>
    <w:rsid w:val="00A01A27"/>
    <w:rsid w:val="00A01E3D"/>
    <w:rsid w:val="00A01F22"/>
    <w:rsid w:val="00A01FED"/>
    <w:rsid w:val="00A020A4"/>
    <w:rsid w:val="00A02143"/>
    <w:rsid w:val="00A022B0"/>
    <w:rsid w:val="00A023E7"/>
    <w:rsid w:val="00A02421"/>
    <w:rsid w:val="00A02506"/>
    <w:rsid w:val="00A0256A"/>
    <w:rsid w:val="00A02672"/>
    <w:rsid w:val="00A027EB"/>
    <w:rsid w:val="00A02A5D"/>
    <w:rsid w:val="00A02AEA"/>
    <w:rsid w:val="00A02AFF"/>
    <w:rsid w:val="00A02C38"/>
    <w:rsid w:val="00A02D03"/>
    <w:rsid w:val="00A03014"/>
    <w:rsid w:val="00A03259"/>
    <w:rsid w:val="00A03279"/>
    <w:rsid w:val="00A03369"/>
    <w:rsid w:val="00A0344D"/>
    <w:rsid w:val="00A034B4"/>
    <w:rsid w:val="00A034B5"/>
    <w:rsid w:val="00A034E6"/>
    <w:rsid w:val="00A0350F"/>
    <w:rsid w:val="00A03540"/>
    <w:rsid w:val="00A03903"/>
    <w:rsid w:val="00A03924"/>
    <w:rsid w:val="00A03991"/>
    <w:rsid w:val="00A03A01"/>
    <w:rsid w:val="00A03B9E"/>
    <w:rsid w:val="00A03C66"/>
    <w:rsid w:val="00A03DB3"/>
    <w:rsid w:val="00A03E27"/>
    <w:rsid w:val="00A03F3E"/>
    <w:rsid w:val="00A04134"/>
    <w:rsid w:val="00A0424A"/>
    <w:rsid w:val="00A042C9"/>
    <w:rsid w:val="00A04416"/>
    <w:rsid w:val="00A04527"/>
    <w:rsid w:val="00A04632"/>
    <w:rsid w:val="00A04800"/>
    <w:rsid w:val="00A0487E"/>
    <w:rsid w:val="00A04F7E"/>
    <w:rsid w:val="00A05174"/>
    <w:rsid w:val="00A05213"/>
    <w:rsid w:val="00A052CA"/>
    <w:rsid w:val="00A054B1"/>
    <w:rsid w:val="00A05510"/>
    <w:rsid w:val="00A055B6"/>
    <w:rsid w:val="00A056A2"/>
    <w:rsid w:val="00A0579E"/>
    <w:rsid w:val="00A05946"/>
    <w:rsid w:val="00A0594B"/>
    <w:rsid w:val="00A05A27"/>
    <w:rsid w:val="00A05A92"/>
    <w:rsid w:val="00A05CDA"/>
    <w:rsid w:val="00A05D46"/>
    <w:rsid w:val="00A05D4D"/>
    <w:rsid w:val="00A05E7A"/>
    <w:rsid w:val="00A05EC4"/>
    <w:rsid w:val="00A05FF0"/>
    <w:rsid w:val="00A06060"/>
    <w:rsid w:val="00A0608F"/>
    <w:rsid w:val="00A06204"/>
    <w:rsid w:val="00A062C2"/>
    <w:rsid w:val="00A06384"/>
    <w:rsid w:val="00A06451"/>
    <w:rsid w:val="00A064F6"/>
    <w:rsid w:val="00A065C1"/>
    <w:rsid w:val="00A06737"/>
    <w:rsid w:val="00A067D2"/>
    <w:rsid w:val="00A06829"/>
    <w:rsid w:val="00A06917"/>
    <w:rsid w:val="00A0691F"/>
    <w:rsid w:val="00A06ACF"/>
    <w:rsid w:val="00A06BA8"/>
    <w:rsid w:val="00A06C4A"/>
    <w:rsid w:val="00A06CAE"/>
    <w:rsid w:val="00A06D66"/>
    <w:rsid w:val="00A06DE9"/>
    <w:rsid w:val="00A06E89"/>
    <w:rsid w:val="00A07205"/>
    <w:rsid w:val="00A0721F"/>
    <w:rsid w:val="00A07296"/>
    <w:rsid w:val="00A07309"/>
    <w:rsid w:val="00A07449"/>
    <w:rsid w:val="00A07535"/>
    <w:rsid w:val="00A076D6"/>
    <w:rsid w:val="00A07CB9"/>
    <w:rsid w:val="00A07CF4"/>
    <w:rsid w:val="00A07DB9"/>
    <w:rsid w:val="00A07E4D"/>
    <w:rsid w:val="00A07E5B"/>
    <w:rsid w:val="00A10251"/>
    <w:rsid w:val="00A104B0"/>
    <w:rsid w:val="00A10656"/>
    <w:rsid w:val="00A1066F"/>
    <w:rsid w:val="00A10694"/>
    <w:rsid w:val="00A106C8"/>
    <w:rsid w:val="00A1075D"/>
    <w:rsid w:val="00A10966"/>
    <w:rsid w:val="00A10A7F"/>
    <w:rsid w:val="00A10C1F"/>
    <w:rsid w:val="00A11031"/>
    <w:rsid w:val="00A11074"/>
    <w:rsid w:val="00A1134B"/>
    <w:rsid w:val="00A1156D"/>
    <w:rsid w:val="00A115D3"/>
    <w:rsid w:val="00A11C2E"/>
    <w:rsid w:val="00A11DAC"/>
    <w:rsid w:val="00A12055"/>
    <w:rsid w:val="00A120E6"/>
    <w:rsid w:val="00A12177"/>
    <w:rsid w:val="00A12183"/>
    <w:rsid w:val="00A1218E"/>
    <w:rsid w:val="00A121BA"/>
    <w:rsid w:val="00A121C5"/>
    <w:rsid w:val="00A1225C"/>
    <w:rsid w:val="00A124A3"/>
    <w:rsid w:val="00A12636"/>
    <w:rsid w:val="00A1273F"/>
    <w:rsid w:val="00A1279D"/>
    <w:rsid w:val="00A12834"/>
    <w:rsid w:val="00A12AD1"/>
    <w:rsid w:val="00A12AF9"/>
    <w:rsid w:val="00A12B25"/>
    <w:rsid w:val="00A12B97"/>
    <w:rsid w:val="00A12BB7"/>
    <w:rsid w:val="00A12D1B"/>
    <w:rsid w:val="00A12D29"/>
    <w:rsid w:val="00A12DDB"/>
    <w:rsid w:val="00A1302F"/>
    <w:rsid w:val="00A13092"/>
    <w:rsid w:val="00A13263"/>
    <w:rsid w:val="00A13272"/>
    <w:rsid w:val="00A133D1"/>
    <w:rsid w:val="00A133D6"/>
    <w:rsid w:val="00A133FA"/>
    <w:rsid w:val="00A1342C"/>
    <w:rsid w:val="00A135E7"/>
    <w:rsid w:val="00A136A8"/>
    <w:rsid w:val="00A13A1F"/>
    <w:rsid w:val="00A13D06"/>
    <w:rsid w:val="00A13D17"/>
    <w:rsid w:val="00A1409E"/>
    <w:rsid w:val="00A14178"/>
    <w:rsid w:val="00A1418D"/>
    <w:rsid w:val="00A14217"/>
    <w:rsid w:val="00A142AB"/>
    <w:rsid w:val="00A14302"/>
    <w:rsid w:val="00A1433C"/>
    <w:rsid w:val="00A14538"/>
    <w:rsid w:val="00A147EB"/>
    <w:rsid w:val="00A148DA"/>
    <w:rsid w:val="00A1497A"/>
    <w:rsid w:val="00A14983"/>
    <w:rsid w:val="00A14A10"/>
    <w:rsid w:val="00A14AE7"/>
    <w:rsid w:val="00A14B02"/>
    <w:rsid w:val="00A14B2E"/>
    <w:rsid w:val="00A14C41"/>
    <w:rsid w:val="00A14C71"/>
    <w:rsid w:val="00A14DDA"/>
    <w:rsid w:val="00A1502C"/>
    <w:rsid w:val="00A1512E"/>
    <w:rsid w:val="00A1532A"/>
    <w:rsid w:val="00A153C3"/>
    <w:rsid w:val="00A1542A"/>
    <w:rsid w:val="00A155B7"/>
    <w:rsid w:val="00A156CD"/>
    <w:rsid w:val="00A158A2"/>
    <w:rsid w:val="00A15995"/>
    <w:rsid w:val="00A15A67"/>
    <w:rsid w:val="00A15DAF"/>
    <w:rsid w:val="00A15F5D"/>
    <w:rsid w:val="00A1634F"/>
    <w:rsid w:val="00A1659D"/>
    <w:rsid w:val="00A165A5"/>
    <w:rsid w:val="00A165D6"/>
    <w:rsid w:val="00A165E4"/>
    <w:rsid w:val="00A16688"/>
    <w:rsid w:val="00A16822"/>
    <w:rsid w:val="00A16862"/>
    <w:rsid w:val="00A16BBA"/>
    <w:rsid w:val="00A16BF5"/>
    <w:rsid w:val="00A16C4F"/>
    <w:rsid w:val="00A16D7D"/>
    <w:rsid w:val="00A16DA5"/>
    <w:rsid w:val="00A16DC3"/>
    <w:rsid w:val="00A16E46"/>
    <w:rsid w:val="00A16F81"/>
    <w:rsid w:val="00A16FAD"/>
    <w:rsid w:val="00A170BD"/>
    <w:rsid w:val="00A1712C"/>
    <w:rsid w:val="00A17263"/>
    <w:rsid w:val="00A17441"/>
    <w:rsid w:val="00A17462"/>
    <w:rsid w:val="00A17575"/>
    <w:rsid w:val="00A17604"/>
    <w:rsid w:val="00A1761E"/>
    <w:rsid w:val="00A176C4"/>
    <w:rsid w:val="00A17754"/>
    <w:rsid w:val="00A17B3E"/>
    <w:rsid w:val="00A17BE9"/>
    <w:rsid w:val="00A17C33"/>
    <w:rsid w:val="00A17CB2"/>
    <w:rsid w:val="00A17D82"/>
    <w:rsid w:val="00A17DE4"/>
    <w:rsid w:val="00A17E2C"/>
    <w:rsid w:val="00A17E6C"/>
    <w:rsid w:val="00A200EE"/>
    <w:rsid w:val="00A202CE"/>
    <w:rsid w:val="00A202E4"/>
    <w:rsid w:val="00A20316"/>
    <w:rsid w:val="00A20423"/>
    <w:rsid w:val="00A20672"/>
    <w:rsid w:val="00A20A64"/>
    <w:rsid w:val="00A20D79"/>
    <w:rsid w:val="00A20DAF"/>
    <w:rsid w:val="00A20DFE"/>
    <w:rsid w:val="00A20EC2"/>
    <w:rsid w:val="00A20FA0"/>
    <w:rsid w:val="00A211FA"/>
    <w:rsid w:val="00A21219"/>
    <w:rsid w:val="00A21465"/>
    <w:rsid w:val="00A21584"/>
    <w:rsid w:val="00A2184A"/>
    <w:rsid w:val="00A218B4"/>
    <w:rsid w:val="00A21975"/>
    <w:rsid w:val="00A21A0D"/>
    <w:rsid w:val="00A21ADF"/>
    <w:rsid w:val="00A21C9A"/>
    <w:rsid w:val="00A21D35"/>
    <w:rsid w:val="00A21DA3"/>
    <w:rsid w:val="00A21DC3"/>
    <w:rsid w:val="00A21E4E"/>
    <w:rsid w:val="00A21F14"/>
    <w:rsid w:val="00A21F69"/>
    <w:rsid w:val="00A22004"/>
    <w:rsid w:val="00A220BE"/>
    <w:rsid w:val="00A22503"/>
    <w:rsid w:val="00A225E1"/>
    <w:rsid w:val="00A227E1"/>
    <w:rsid w:val="00A228E5"/>
    <w:rsid w:val="00A22B3C"/>
    <w:rsid w:val="00A22B48"/>
    <w:rsid w:val="00A22B6C"/>
    <w:rsid w:val="00A22BE3"/>
    <w:rsid w:val="00A22C60"/>
    <w:rsid w:val="00A22D71"/>
    <w:rsid w:val="00A22D80"/>
    <w:rsid w:val="00A22F16"/>
    <w:rsid w:val="00A22F63"/>
    <w:rsid w:val="00A22FD9"/>
    <w:rsid w:val="00A231DA"/>
    <w:rsid w:val="00A232BA"/>
    <w:rsid w:val="00A2346A"/>
    <w:rsid w:val="00A23510"/>
    <w:rsid w:val="00A235BA"/>
    <w:rsid w:val="00A236E4"/>
    <w:rsid w:val="00A236E5"/>
    <w:rsid w:val="00A237EE"/>
    <w:rsid w:val="00A23855"/>
    <w:rsid w:val="00A23AAE"/>
    <w:rsid w:val="00A23C7F"/>
    <w:rsid w:val="00A23D26"/>
    <w:rsid w:val="00A23FE1"/>
    <w:rsid w:val="00A24360"/>
    <w:rsid w:val="00A244E4"/>
    <w:rsid w:val="00A24523"/>
    <w:rsid w:val="00A245E6"/>
    <w:rsid w:val="00A24715"/>
    <w:rsid w:val="00A24843"/>
    <w:rsid w:val="00A24A01"/>
    <w:rsid w:val="00A24A7C"/>
    <w:rsid w:val="00A24AE0"/>
    <w:rsid w:val="00A24C4C"/>
    <w:rsid w:val="00A24C84"/>
    <w:rsid w:val="00A24C8C"/>
    <w:rsid w:val="00A24CBF"/>
    <w:rsid w:val="00A24D4B"/>
    <w:rsid w:val="00A24D83"/>
    <w:rsid w:val="00A2504D"/>
    <w:rsid w:val="00A2504F"/>
    <w:rsid w:val="00A25135"/>
    <w:rsid w:val="00A25256"/>
    <w:rsid w:val="00A252E5"/>
    <w:rsid w:val="00A255CD"/>
    <w:rsid w:val="00A255D3"/>
    <w:rsid w:val="00A256C8"/>
    <w:rsid w:val="00A256D5"/>
    <w:rsid w:val="00A257EC"/>
    <w:rsid w:val="00A2582E"/>
    <w:rsid w:val="00A25883"/>
    <w:rsid w:val="00A258FB"/>
    <w:rsid w:val="00A25B1E"/>
    <w:rsid w:val="00A25D0D"/>
    <w:rsid w:val="00A25E65"/>
    <w:rsid w:val="00A25F26"/>
    <w:rsid w:val="00A25F6D"/>
    <w:rsid w:val="00A25F7C"/>
    <w:rsid w:val="00A26256"/>
    <w:rsid w:val="00A263BD"/>
    <w:rsid w:val="00A26600"/>
    <w:rsid w:val="00A26620"/>
    <w:rsid w:val="00A266F1"/>
    <w:rsid w:val="00A26718"/>
    <w:rsid w:val="00A269F1"/>
    <w:rsid w:val="00A26A25"/>
    <w:rsid w:val="00A26C3E"/>
    <w:rsid w:val="00A26D15"/>
    <w:rsid w:val="00A26D6F"/>
    <w:rsid w:val="00A26D99"/>
    <w:rsid w:val="00A26DF6"/>
    <w:rsid w:val="00A26E05"/>
    <w:rsid w:val="00A26E3F"/>
    <w:rsid w:val="00A26F49"/>
    <w:rsid w:val="00A26F96"/>
    <w:rsid w:val="00A26FE5"/>
    <w:rsid w:val="00A27007"/>
    <w:rsid w:val="00A2708B"/>
    <w:rsid w:val="00A2719A"/>
    <w:rsid w:val="00A27247"/>
    <w:rsid w:val="00A2724F"/>
    <w:rsid w:val="00A27268"/>
    <w:rsid w:val="00A27424"/>
    <w:rsid w:val="00A27435"/>
    <w:rsid w:val="00A275CD"/>
    <w:rsid w:val="00A276A1"/>
    <w:rsid w:val="00A276A8"/>
    <w:rsid w:val="00A277AD"/>
    <w:rsid w:val="00A277F1"/>
    <w:rsid w:val="00A2782A"/>
    <w:rsid w:val="00A27839"/>
    <w:rsid w:val="00A2786B"/>
    <w:rsid w:val="00A27879"/>
    <w:rsid w:val="00A27A75"/>
    <w:rsid w:val="00A27C7D"/>
    <w:rsid w:val="00A27D84"/>
    <w:rsid w:val="00A27EF6"/>
    <w:rsid w:val="00A27F5A"/>
    <w:rsid w:val="00A300D4"/>
    <w:rsid w:val="00A30288"/>
    <w:rsid w:val="00A30656"/>
    <w:rsid w:val="00A306BF"/>
    <w:rsid w:val="00A3085D"/>
    <w:rsid w:val="00A308EB"/>
    <w:rsid w:val="00A30912"/>
    <w:rsid w:val="00A3098A"/>
    <w:rsid w:val="00A309A2"/>
    <w:rsid w:val="00A309E9"/>
    <w:rsid w:val="00A30A44"/>
    <w:rsid w:val="00A30D06"/>
    <w:rsid w:val="00A30DBA"/>
    <w:rsid w:val="00A30E5F"/>
    <w:rsid w:val="00A30EDB"/>
    <w:rsid w:val="00A30F3A"/>
    <w:rsid w:val="00A30FC5"/>
    <w:rsid w:val="00A310AA"/>
    <w:rsid w:val="00A310AB"/>
    <w:rsid w:val="00A31302"/>
    <w:rsid w:val="00A3144A"/>
    <w:rsid w:val="00A31475"/>
    <w:rsid w:val="00A31492"/>
    <w:rsid w:val="00A31528"/>
    <w:rsid w:val="00A315A1"/>
    <w:rsid w:val="00A31749"/>
    <w:rsid w:val="00A31779"/>
    <w:rsid w:val="00A317CD"/>
    <w:rsid w:val="00A318C6"/>
    <w:rsid w:val="00A318FB"/>
    <w:rsid w:val="00A31A66"/>
    <w:rsid w:val="00A31A94"/>
    <w:rsid w:val="00A31BDA"/>
    <w:rsid w:val="00A31C4B"/>
    <w:rsid w:val="00A31DA3"/>
    <w:rsid w:val="00A31F39"/>
    <w:rsid w:val="00A32020"/>
    <w:rsid w:val="00A320AA"/>
    <w:rsid w:val="00A32127"/>
    <w:rsid w:val="00A32131"/>
    <w:rsid w:val="00A321C8"/>
    <w:rsid w:val="00A321E9"/>
    <w:rsid w:val="00A324A0"/>
    <w:rsid w:val="00A325FC"/>
    <w:rsid w:val="00A326C7"/>
    <w:rsid w:val="00A3284B"/>
    <w:rsid w:val="00A328F9"/>
    <w:rsid w:val="00A329FF"/>
    <w:rsid w:val="00A32CE3"/>
    <w:rsid w:val="00A32D95"/>
    <w:rsid w:val="00A32E1E"/>
    <w:rsid w:val="00A32E89"/>
    <w:rsid w:val="00A32F8B"/>
    <w:rsid w:val="00A32FFC"/>
    <w:rsid w:val="00A330A8"/>
    <w:rsid w:val="00A331BD"/>
    <w:rsid w:val="00A335CC"/>
    <w:rsid w:val="00A3380C"/>
    <w:rsid w:val="00A338A6"/>
    <w:rsid w:val="00A338D4"/>
    <w:rsid w:val="00A338E7"/>
    <w:rsid w:val="00A33A85"/>
    <w:rsid w:val="00A33AC9"/>
    <w:rsid w:val="00A33B42"/>
    <w:rsid w:val="00A33C08"/>
    <w:rsid w:val="00A33D1F"/>
    <w:rsid w:val="00A34053"/>
    <w:rsid w:val="00A34080"/>
    <w:rsid w:val="00A340B0"/>
    <w:rsid w:val="00A341AC"/>
    <w:rsid w:val="00A34224"/>
    <w:rsid w:val="00A343A9"/>
    <w:rsid w:val="00A3472F"/>
    <w:rsid w:val="00A3498F"/>
    <w:rsid w:val="00A34BF3"/>
    <w:rsid w:val="00A34D39"/>
    <w:rsid w:val="00A34DE2"/>
    <w:rsid w:val="00A34F60"/>
    <w:rsid w:val="00A34FF3"/>
    <w:rsid w:val="00A3501E"/>
    <w:rsid w:val="00A35305"/>
    <w:rsid w:val="00A35604"/>
    <w:rsid w:val="00A3560F"/>
    <w:rsid w:val="00A35675"/>
    <w:rsid w:val="00A35687"/>
    <w:rsid w:val="00A357AB"/>
    <w:rsid w:val="00A359DD"/>
    <w:rsid w:val="00A35A68"/>
    <w:rsid w:val="00A35BBA"/>
    <w:rsid w:val="00A35DC8"/>
    <w:rsid w:val="00A35DE4"/>
    <w:rsid w:val="00A35E6D"/>
    <w:rsid w:val="00A35E8B"/>
    <w:rsid w:val="00A35F35"/>
    <w:rsid w:val="00A35F88"/>
    <w:rsid w:val="00A35FBD"/>
    <w:rsid w:val="00A3604F"/>
    <w:rsid w:val="00A3610D"/>
    <w:rsid w:val="00A36159"/>
    <w:rsid w:val="00A36755"/>
    <w:rsid w:val="00A36943"/>
    <w:rsid w:val="00A36AF9"/>
    <w:rsid w:val="00A36B08"/>
    <w:rsid w:val="00A36B0D"/>
    <w:rsid w:val="00A36B77"/>
    <w:rsid w:val="00A36C4A"/>
    <w:rsid w:val="00A36CD8"/>
    <w:rsid w:val="00A36FC2"/>
    <w:rsid w:val="00A3704B"/>
    <w:rsid w:val="00A370A3"/>
    <w:rsid w:val="00A37158"/>
    <w:rsid w:val="00A37418"/>
    <w:rsid w:val="00A37495"/>
    <w:rsid w:val="00A378DC"/>
    <w:rsid w:val="00A378E2"/>
    <w:rsid w:val="00A378E5"/>
    <w:rsid w:val="00A37A66"/>
    <w:rsid w:val="00A37AB2"/>
    <w:rsid w:val="00A37C5D"/>
    <w:rsid w:val="00A400E3"/>
    <w:rsid w:val="00A400F2"/>
    <w:rsid w:val="00A401E6"/>
    <w:rsid w:val="00A40213"/>
    <w:rsid w:val="00A40276"/>
    <w:rsid w:val="00A40301"/>
    <w:rsid w:val="00A40322"/>
    <w:rsid w:val="00A40C18"/>
    <w:rsid w:val="00A40EEE"/>
    <w:rsid w:val="00A40FDF"/>
    <w:rsid w:val="00A41021"/>
    <w:rsid w:val="00A41132"/>
    <w:rsid w:val="00A41242"/>
    <w:rsid w:val="00A412D6"/>
    <w:rsid w:val="00A414C8"/>
    <w:rsid w:val="00A41628"/>
    <w:rsid w:val="00A4169B"/>
    <w:rsid w:val="00A41752"/>
    <w:rsid w:val="00A41804"/>
    <w:rsid w:val="00A418A2"/>
    <w:rsid w:val="00A41943"/>
    <w:rsid w:val="00A419F1"/>
    <w:rsid w:val="00A41A84"/>
    <w:rsid w:val="00A41BC6"/>
    <w:rsid w:val="00A41CA0"/>
    <w:rsid w:val="00A41D04"/>
    <w:rsid w:val="00A41D62"/>
    <w:rsid w:val="00A41D77"/>
    <w:rsid w:val="00A41F14"/>
    <w:rsid w:val="00A41FCB"/>
    <w:rsid w:val="00A42003"/>
    <w:rsid w:val="00A4200A"/>
    <w:rsid w:val="00A4204C"/>
    <w:rsid w:val="00A42172"/>
    <w:rsid w:val="00A42282"/>
    <w:rsid w:val="00A4229B"/>
    <w:rsid w:val="00A4245A"/>
    <w:rsid w:val="00A4255D"/>
    <w:rsid w:val="00A42579"/>
    <w:rsid w:val="00A425E1"/>
    <w:rsid w:val="00A42609"/>
    <w:rsid w:val="00A42677"/>
    <w:rsid w:val="00A42750"/>
    <w:rsid w:val="00A4286F"/>
    <w:rsid w:val="00A4289B"/>
    <w:rsid w:val="00A428DC"/>
    <w:rsid w:val="00A4297C"/>
    <w:rsid w:val="00A42A5F"/>
    <w:rsid w:val="00A42C87"/>
    <w:rsid w:val="00A42DA0"/>
    <w:rsid w:val="00A42E57"/>
    <w:rsid w:val="00A42EF6"/>
    <w:rsid w:val="00A42F62"/>
    <w:rsid w:val="00A42F68"/>
    <w:rsid w:val="00A42FA6"/>
    <w:rsid w:val="00A43091"/>
    <w:rsid w:val="00A43100"/>
    <w:rsid w:val="00A43125"/>
    <w:rsid w:val="00A43206"/>
    <w:rsid w:val="00A432CA"/>
    <w:rsid w:val="00A434E4"/>
    <w:rsid w:val="00A4350D"/>
    <w:rsid w:val="00A435BA"/>
    <w:rsid w:val="00A435C4"/>
    <w:rsid w:val="00A435E5"/>
    <w:rsid w:val="00A43638"/>
    <w:rsid w:val="00A43643"/>
    <w:rsid w:val="00A4371C"/>
    <w:rsid w:val="00A438FA"/>
    <w:rsid w:val="00A43902"/>
    <w:rsid w:val="00A43957"/>
    <w:rsid w:val="00A43A69"/>
    <w:rsid w:val="00A43AFF"/>
    <w:rsid w:val="00A43C41"/>
    <w:rsid w:val="00A43DF2"/>
    <w:rsid w:val="00A43DF5"/>
    <w:rsid w:val="00A43E27"/>
    <w:rsid w:val="00A43ED6"/>
    <w:rsid w:val="00A43F39"/>
    <w:rsid w:val="00A441E6"/>
    <w:rsid w:val="00A44225"/>
    <w:rsid w:val="00A442AF"/>
    <w:rsid w:val="00A44331"/>
    <w:rsid w:val="00A44359"/>
    <w:rsid w:val="00A443E3"/>
    <w:rsid w:val="00A44497"/>
    <w:rsid w:val="00A444D2"/>
    <w:rsid w:val="00A44529"/>
    <w:rsid w:val="00A44564"/>
    <w:rsid w:val="00A4456A"/>
    <w:rsid w:val="00A445BA"/>
    <w:rsid w:val="00A447B4"/>
    <w:rsid w:val="00A448E2"/>
    <w:rsid w:val="00A449D6"/>
    <w:rsid w:val="00A449F0"/>
    <w:rsid w:val="00A44B8E"/>
    <w:rsid w:val="00A44BBC"/>
    <w:rsid w:val="00A44CDF"/>
    <w:rsid w:val="00A44CE7"/>
    <w:rsid w:val="00A44D54"/>
    <w:rsid w:val="00A44D8F"/>
    <w:rsid w:val="00A44ECA"/>
    <w:rsid w:val="00A44F2A"/>
    <w:rsid w:val="00A4517F"/>
    <w:rsid w:val="00A4532F"/>
    <w:rsid w:val="00A45711"/>
    <w:rsid w:val="00A45721"/>
    <w:rsid w:val="00A45773"/>
    <w:rsid w:val="00A457BD"/>
    <w:rsid w:val="00A457D6"/>
    <w:rsid w:val="00A45C95"/>
    <w:rsid w:val="00A45CF2"/>
    <w:rsid w:val="00A45E16"/>
    <w:rsid w:val="00A46057"/>
    <w:rsid w:val="00A46112"/>
    <w:rsid w:val="00A46163"/>
    <w:rsid w:val="00A46302"/>
    <w:rsid w:val="00A46307"/>
    <w:rsid w:val="00A46352"/>
    <w:rsid w:val="00A463B7"/>
    <w:rsid w:val="00A4641B"/>
    <w:rsid w:val="00A46474"/>
    <w:rsid w:val="00A464F6"/>
    <w:rsid w:val="00A466D9"/>
    <w:rsid w:val="00A46754"/>
    <w:rsid w:val="00A468DC"/>
    <w:rsid w:val="00A46B4A"/>
    <w:rsid w:val="00A46C3D"/>
    <w:rsid w:val="00A46C5B"/>
    <w:rsid w:val="00A46E5E"/>
    <w:rsid w:val="00A46F8E"/>
    <w:rsid w:val="00A46FD7"/>
    <w:rsid w:val="00A4706C"/>
    <w:rsid w:val="00A47072"/>
    <w:rsid w:val="00A471F3"/>
    <w:rsid w:val="00A4724C"/>
    <w:rsid w:val="00A4756F"/>
    <w:rsid w:val="00A47724"/>
    <w:rsid w:val="00A479B7"/>
    <w:rsid w:val="00A479DC"/>
    <w:rsid w:val="00A479FE"/>
    <w:rsid w:val="00A47AC1"/>
    <w:rsid w:val="00A47AC8"/>
    <w:rsid w:val="00A47AD8"/>
    <w:rsid w:val="00A47B6D"/>
    <w:rsid w:val="00A47C0F"/>
    <w:rsid w:val="00A47C24"/>
    <w:rsid w:val="00A47D53"/>
    <w:rsid w:val="00A47F67"/>
    <w:rsid w:val="00A47F87"/>
    <w:rsid w:val="00A50050"/>
    <w:rsid w:val="00A502B2"/>
    <w:rsid w:val="00A503CE"/>
    <w:rsid w:val="00A504CF"/>
    <w:rsid w:val="00A504FA"/>
    <w:rsid w:val="00A50572"/>
    <w:rsid w:val="00A50770"/>
    <w:rsid w:val="00A507A1"/>
    <w:rsid w:val="00A508A9"/>
    <w:rsid w:val="00A50907"/>
    <w:rsid w:val="00A5090E"/>
    <w:rsid w:val="00A50966"/>
    <w:rsid w:val="00A509CB"/>
    <w:rsid w:val="00A50E2F"/>
    <w:rsid w:val="00A50E78"/>
    <w:rsid w:val="00A511E6"/>
    <w:rsid w:val="00A5141D"/>
    <w:rsid w:val="00A516CC"/>
    <w:rsid w:val="00A516EC"/>
    <w:rsid w:val="00A51794"/>
    <w:rsid w:val="00A51825"/>
    <w:rsid w:val="00A51A2F"/>
    <w:rsid w:val="00A51ABB"/>
    <w:rsid w:val="00A51CC4"/>
    <w:rsid w:val="00A51FBE"/>
    <w:rsid w:val="00A51FCA"/>
    <w:rsid w:val="00A520AB"/>
    <w:rsid w:val="00A523AE"/>
    <w:rsid w:val="00A5252C"/>
    <w:rsid w:val="00A525B3"/>
    <w:rsid w:val="00A52738"/>
    <w:rsid w:val="00A52751"/>
    <w:rsid w:val="00A52781"/>
    <w:rsid w:val="00A528BB"/>
    <w:rsid w:val="00A52997"/>
    <w:rsid w:val="00A52B2D"/>
    <w:rsid w:val="00A52C29"/>
    <w:rsid w:val="00A52FE9"/>
    <w:rsid w:val="00A53016"/>
    <w:rsid w:val="00A53066"/>
    <w:rsid w:val="00A53081"/>
    <w:rsid w:val="00A530F1"/>
    <w:rsid w:val="00A532FF"/>
    <w:rsid w:val="00A53425"/>
    <w:rsid w:val="00A53493"/>
    <w:rsid w:val="00A5360E"/>
    <w:rsid w:val="00A53775"/>
    <w:rsid w:val="00A53937"/>
    <w:rsid w:val="00A53D14"/>
    <w:rsid w:val="00A53F93"/>
    <w:rsid w:val="00A54058"/>
    <w:rsid w:val="00A541EE"/>
    <w:rsid w:val="00A5429A"/>
    <w:rsid w:val="00A54416"/>
    <w:rsid w:val="00A54512"/>
    <w:rsid w:val="00A54660"/>
    <w:rsid w:val="00A54876"/>
    <w:rsid w:val="00A549A7"/>
    <w:rsid w:val="00A54A4B"/>
    <w:rsid w:val="00A54AAC"/>
    <w:rsid w:val="00A54EFB"/>
    <w:rsid w:val="00A54F7B"/>
    <w:rsid w:val="00A55049"/>
    <w:rsid w:val="00A556C6"/>
    <w:rsid w:val="00A5573C"/>
    <w:rsid w:val="00A557E6"/>
    <w:rsid w:val="00A558D4"/>
    <w:rsid w:val="00A55ACF"/>
    <w:rsid w:val="00A55BDC"/>
    <w:rsid w:val="00A55D39"/>
    <w:rsid w:val="00A55DA0"/>
    <w:rsid w:val="00A5606A"/>
    <w:rsid w:val="00A5616F"/>
    <w:rsid w:val="00A56431"/>
    <w:rsid w:val="00A565B3"/>
    <w:rsid w:val="00A565F9"/>
    <w:rsid w:val="00A565FD"/>
    <w:rsid w:val="00A56637"/>
    <w:rsid w:val="00A56747"/>
    <w:rsid w:val="00A567AE"/>
    <w:rsid w:val="00A569C0"/>
    <w:rsid w:val="00A569DF"/>
    <w:rsid w:val="00A56B37"/>
    <w:rsid w:val="00A56EA7"/>
    <w:rsid w:val="00A56F3C"/>
    <w:rsid w:val="00A56F94"/>
    <w:rsid w:val="00A56FB1"/>
    <w:rsid w:val="00A570D5"/>
    <w:rsid w:val="00A571F4"/>
    <w:rsid w:val="00A572FC"/>
    <w:rsid w:val="00A574B8"/>
    <w:rsid w:val="00A576B0"/>
    <w:rsid w:val="00A576FD"/>
    <w:rsid w:val="00A57717"/>
    <w:rsid w:val="00A578D2"/>
    <w:rsid w:val="00A5790C"/>
    <w:rsid w:val="00A57AA8"/>
    <w:rsid w:val="00A57D49"/>
    <w:rsid w:val="00A57E29"/>
    <w:rsid w:val="00A57E83"/>
    <w:rsid w:val="00A57FB8"/>
    <w:rsid w:val="00A600A9"/>
    <w:rsid w:val="00A60377"/>
    <w:rsid w:val="00A60723"/>
    <w:rsid w:val="00A60741"/>
    <w:rsid w:val="00A60754"/>
    <w:rsid w:val="00A6078C"/>
    <w:rsid w:val="00A60794"/>
    <w:rsid w:val="00A607ED"/>
    <w:rsid w:val="00A609A6"/>
    <w:rsid w:val="00A609C9"/>
    <w:rsid w:val="00A60C7A"/>
    <w:rsid w:val="00A60CBF"/>
    <w:rsid w:val="00A61098"/>
    <w:rsid w:val="00A6119C"/>
    <w:rsid w:val="00A613B3"/>
    <w:rsid w:val="00A61696"/>
    <w:rsid w:val="00A617FB"/>
    <w:rsid w:val="00A61948"/>
    <w:rsid w:val="00A61BAC"/>
    <w:rsid w:val="00A61BB4"/>
    <w:rsid w:val="00A61C43"/>
    <w:rsid w:val="00A61F48"/>
    <w:rsid w:val="00A61FF5"/>
    <w:rsid w:val="00A62024"/>
    <w:rsid w:val="00A62068"/>
    <w:rsid w:val="00A6210F"/>
    <w:rsid w:val="00A62186"/>
    <w:rsid w:val="00A6221D"/>
    <w:rsid w:val="00A622F2"/>
    <w:rsid w:val="00A623EB"/>
    <w:rsid w:val="00A624AE"/>
    <w:rsid w:val="00A627D9"/>
    <w:rsid w:val="00A6280C"/>
    <w:rsid w:val="00A629B8"/>
    <w:rsid w:val="00A62AC6"/>
    <w:rsid w:val="00A62C80"/>
    <w:rsid w:val="00A62F32"/>
    <w:rsid w:val="00A63074"/>
    <w:rsid w:val="00A63117"/>
    <w:rsid w:val="00A632C7"/>
    <w:rsid w:val="00A63328"/>
    <w:rsid w:val="00A6344B"/>
    <w:rsid w:val="00A634A1"/>
    <w:rsid w:val="00A63630"/>
    <w:rsid w:val="00A6365C"/>
    <w:rsid w:val="00A6391D"/>
    <w:rsid w:val="00A63B90"/>
    <w:rsid w:val="00A63CE1"/>
    <w:rsid w:val="00A63DBA"/>
    <w:rsid w:val="00A6412D"/>
    <w:rsid w:val="00A64147"/>
    <w:rsid w:val="00A641AA"/>
    <w:rsid w:val="00A64340"/>
    <w:rsid w:val="00A643DC"/>
    <w:rsid w:val="00A645B5"/>
    <w:rsid w:val="00A646B1"/>
    <w:rsid w:val="00A646DE"/>
    <w:rsid w:val="00A6478B"/>
    <w:rsid w:val="00A64795"/>
    <w:rsid w:val="00A64896"/>
    <w:rsid w:val="00A64A8A"/>
    <w:rsid w:val="00A64B08"/>
    <w:rsid w:val="00A64B14"/>
    <w:rsid w:val="00A64C16"/>
    <w:rsid w:val="00A64CBD"/>
    <w:rsid w:val="00A64CF0"/>
    <w:rsid w:val="00A64E09"/>
    <w:rsid w:val="00A64F16"/>
    <w:rsid w:val="00A65120"/>
    <w:rsid w:val="00A651F9"/>
    <w:rsid w:val="00A652EE"/>
    <w:rsid w:val="00A65357"/>
    <w:rsid w:val="00A65672"/>
    <w:rsid w:val="00A656FE"/>
    <w:rsid w:val="00A65964"/>
    <w:rsid w:val="00A65998"/>
    <w:rsid w:val="00A659EF"/>
    <w:rsid w:val="00A65C93"/>
    <w:rsid w:val="00A65DB4"/>
    <w:rsid w:val="00A65F44"/>
    <w:rsid w:val="00A65FE0"/>
    <w:rsid w:val="00A66006"/>
    <w:rsid w:val="00A660C7"/>
    <w:rsid w:val="00A661B2"/>
    <w:rsid w:val="00A66681"/>
    <w:rsid w:val="00A666E8"/>
    <w:rsid w:val="00A6678A"/>
    <w:rsid w:val="00A66AC1"/>
    <w:rsid w:val="00A66AEE"/>
    <w:rsid w:val="00A66B81"/>
    <w:rsid w:val="00A66BCC"/>
    <w:rsid w:val="00A66D4B"/>
    <w:rsid w:val="00A66F2F"/>
    <w:rsid w:val="00A6700E"/>
    <w:rsid w:val="00A671F0"/>
    <w:rsid w:val="00A673B2"/>
    <w:rsid w:val="00A67525"/>
    <w:rsid w:val="00A675EF"/>
    <w:rsid w:val="00A67B2B"/>
    <w:rsid w:val="00A67BBA"/>
    <w:rsid w:val="00A67CC1"/>
    <w:rsid w:val="00A67D05"/>
    <w:rsid w:val="00A67D33"/>
    <w:rsid w:val="00A67DD3"/>
    <w:rsid w:val="00A67E8E"/>
    <w:rsid w:val="00A67FB4"/>
    <w:rsid w:val="00A67FD6"/>
    <w:rsid w:val="00A70094"/>
    <w:rsid w:val="00A700C3"/>
    <w:rsid w:val="00A7025B"/>
    <w:rsid w:val="00A70306"/>
    <w:rsid w:val="00A70605"/>
    <w:rsid w:val="00A70B4E"/>
    <w:rsid w:val="00A70BDC"/>
    <w:rsid w:val="00A70C2E"/>
    <w:rsid w:val="00A70CE5"/>
    <w:rsid w:val="00A70CEB"/>
    <w:rsid w:val="00A70DA0"/>
    <w:rsid w:val="00A70E82"/>
    <w:rsid w:val="00A70ED5"/>
    <w:rsid w:val="00A70F14"/>
    <w:rsid w:val="00A70FDC"/>
    <w:rsid w:val="00A710EF"/>
    <w:rsid w:val="00A710FF"/>
    <w:rsid w:val="00A713B7"/>
    <w:rsid w:val="00A71496"/>
    <w:rsid w:val="00A71631"/>
    <w:rsid w:val="00A71653"/>
    <w:rsid w:val="00A717DF"/>
    <w:rsid w:val="00A717E8"/>
    <w:rsid w:val="00A71955"/>
    <w:rsid w:val="00A71B74"/>
    <w:rsid w:val="00A71BCE"/>
    <w:rsid w:val="00A71BF2"/>
    <w:rsid w:val="00A71C94"/>
    <w:rsid w:val="00A71E4E"/>
    <w:rsid w:val="00A7233F"/>
    <w:rsid w:val="00A726DA"/>
    <w:rsid w:val="00A726E6"/>
    <w:rsid w:val="00A72905"/>
    <w:rsid w:val="00A72A06"/>
    <w:rsid w:val="00A72BDE"/>
    <w:rsid w:val="00A72C22"/>
    <w:rsid w:val="00A72C82"/>
    <w:rsid w:val="00A72E06"/>
    <w:rsid w:val="00A72E7D"/>
    <w:rsid w:val="00A72F0A"/>
    <w:rsid w:val="00A73075"/>
    <w:rsid w:val="00A730A7"/>
    <w:rsid w:val="00A731A4"/>
    <w:rsid w:val="00A731AB"/>
    <w:rsid w:val="00A732F4"/>
    <w:rsid w:val="00A733DA"/>
    <w:rsid w:val="00A73408"/>
    <w:rsid w:val="00A734F4"/>
    <w:rsid w:val="00A7358A"/>
    <w:rsid w:val="00A73650"/>
    <w:rsid w:val="00A7370F"/>
    <w:rsid w:val="00A737EF"/>
    <w:rsid w:val="00A738CC"/>
    <w:rsid w:val="00A73AE4"/>
    <w:rsid w:val="00A73B16"/>
    <w:rsid w:val="00A73B2A"/>
    <w:rsid w:val="00A73BE7"/>
    <w:rsid w:val="00A73C9D"/>
    <w:rsid w:val="00A73F32"/>
    <w:rsid w:val="00A73F67"/>
    <w:rsid w:val="00A73FAB"/>
    <w:rsid w:val="00A74118"/>
    <w:rsid w:val="00A7415D"/>
    <w:rsid w:val="00A74193"/>
    <w:rsid w:val="00A74357"/>
    <w:rsid w:val="00A743F1"/>
    <w:rsid w:val="00A7448F"/>
    <w:rsid w:val="00A7452A"/>
    <w:rsid w:val="00A745D8"/>
    <w:rsid w:val="00A74709"/>
    <w:rsid w:val="00A74C68"/>
    <w:rsid w:val="00A74D8D"/>
    <w:rsid w:val="00A74FFE"/>
    <w:rsid w:val="00A7546B"/>
    <w:rsid w:val="00A754AC"/>
    <w:rsid w:val="00A75549"/>
    <w:rsid w:val="00A757FE"/>
    <w:rsid w:val="00A75969"/>
    <w:rsid w:val="00A7599F"/>
    <w:rsid w:val="00A75AB9"/>
    <w:rsid w:val="00A75B00"/>
    <w:rsid w:val="00A75BBC"/>
    <w:rsid w:val="00A75C5A"/>
    <w:rsid w:val="00A75E39"/>
    <w:rsid w:val="00A7602C"/>
    <w:rsid w:val="00A760A5"/>
    <w:rsid w:val="00A76186"/>
    <w:rsid w:val="00A761C3"/>
    <w:rsid w:val="00A761D9"/>
    <w:rsid w:val="00A762D3"/>
    <w:rsid w:val="00A76413"/>
    <w:rsid w:val="00A7644C"/>
    <w:rsid w:val="00A76701"/>
    <w:rsid w:val="00A7677E"/>
    <w:rsid w:val="00A767D5"/>
    <w:rsid w:val="00A76860"/>
    <w:rsid w:val="00A769AF"/>
    <w:rsid w:val="00A76A70"/>
    <w:rsid w:val="00A76AB8"/>
    <w:rsid w:val="00A76AF5"/>
    <w:rsid w:val="00A76BB3"/>
    <w:rsid w:val="00A76F65"/>
    <w:rsid w:val="00A77047"/>
    <w:rsid w:val="00A7708F"/>
    <w:rsid w:val="00A7713F"/>
    <w:rsid w:val="00A771CA"/>
    <w:rsid w:val="00A77233"/>
    <w:rsid w:val="00A772A4"/>
    <w:rsid w:val="00A77405"/>
    <w:rsid w:val="00A77682"/>
    <w:rsid w:val="00A776ED"/>
    <w:rsid w:val="00A77702"/>
    <w:rsid w:val="00A77787"/>
    <w:rsid w:val="00A779E1"/>
    <w:rsid w:val="00A77AB1"/>
    <w:rsid w:val="00A77AE9"/>
    <w:rsid w:val="00A77B21"/>
    <w:rsid w:val="00A77BBC"/>
    <w:rsid w:val="00A77BC3"/>
    <w:rsid w:val="00A77C71"/>
    <w:rsid w:val="00A77D45"/>
    <w:rsid w:val="00A77DEF"/>
    <w:rsid w:val="00A77E8C"/>
    <w:rsid w:val="00A77F6A"/>
    <w:rsid w:val="00A77F8C"/>
    <w:rsid w:val="00A77FEF"/>
    <w:rsid w:val="00A80239"/>
    <w:rsid w:val="00A8050A"/>
    <w:rsid w:val="00A8086E"/>
    <w:rsid w:val="00A808AD"/>
    <w:rsid w:val="00A809C9"/>
    <w:rsid w:val="00A80CBD"/>
    <w:rsid w:val="00A80D60"/>
    <w:rsid w:val="00A80D6B"/>
    <w:rsid w:val="00A80ED8"/>
    <w:rsid w:val="00A80F36"/>
    <w:rsid w:val="00A80F62"/>
    <w:rsid w:val="00A8110B"/>
    <w:rsid w:val="00A811FD"/>
    <w:rsid w:val="00A81300"/>
    <w:rsid w:val="00A81347"/>
    <w:rsid w:val="00A813D7"/>
    <w:rsid w:val="00A815C1"/>
    <w:rsid w:val="00A8160D"/>
    <w:rsid w:val="00A81724"/>
    <w:rsid w:val="00A8188C"/>
    <w:rsid w:val="00A818E4"/>
    <w:rsid w:val="00A81901"/>
    <w:rsid w:val="00A81A35"/>
    <w:rsid w:val="00A81A3F"/>
    <w:rsid w:val="00A81A5A"/>
    <w:rsid w:val="00A81A68"/>
    <w:rsid w:val="00A81A8F"/>
    <w:rsid w:val="00A81B7F"/>
    <w:rsid w:val="00A81C6D"/>
    <w:rsid w:val="00A81CB5"/>
    <w:rsid w:val="00A81E8B"/>
    <w:rsid w:val="00A82006"/>
    <w:rsid w:val="00A82072"/>
    <w:rsid w:val="00A821CA"/>
    <w:rsid w:val="00A82286"/>
    <w:rsid w:val="00A82448"/>
    <w:rsid w:val="00A8265A"/>
    <w:rsid w:val="00A826EF"/>
    <w:rsid w:val="00A8277F"/>
    <w:rsid w:val="00A82902"/>
    <w:rsid w:val="00A829AB"/>
    <w:rsid w:val="00A82A39"/>
    <w:rsid w:val="00A82B9C"/>
    <w:rsid w:val="00A82C3D"/>
    <w:rsid w:val="00A82E06"/>
    <w:rsid w:val="00A82E5A"/>
    <w:rsid w:val="00A82E86"/>
    <w:rsid w:val="00A82FF8"/>
    <w:rsid w:val="00A83003"/>
    <w:rsid w:val="00A832B6"/>
    <w:rsid w:val="00A832D7"/>
    <w:rsid w:val="00A83367"/>
    <w:rsid w:val="00A83368"/>
    <w:rsid w:val="00A833E2"/>
    <w:rsid w:val="00A834AD"/>
    <w:rsid w:val="00A83561"/>
    <w:rsid w:val="00A8356C"/>
    <w:rsid w:val="00A83605"/>
    <w:rsid w:val="00A8365A"/>
    <w:rsid w:val="00A837A8"/>
    <w:rsid w:val="00A838A7"/>
    <w:rsid w:val="00A83937"/>
    <w:rsid w:val="00A839F6"/>
    <w:rsid w:val="00A83C2D"/>
    <w:rsid w:val="00A83E14"/>
    <w:rsid w:val="00A83E2F"/>
    <w:rsid w:val="00A83F36"/>
    <w:rsid w:val="00A83FD2"/>
    <w:rsid w:val="00A840C2"/>
    <w:rsid w:val="00A842B0"/>
    <w:rsid w:val="00A8453C"/>
    <w:rsid w:val="00A8480B"/>
    <w:rsid w:val="00A84916"/>
    <w:rsid w:val="00A84970"/>
    <w:rsid w:val="00A84E17"/>
    <w:rsid w:val="00A84E3E"/>
    <w:rsid w:val="00A84E42"/>
    <w:rsid w:val="00A84EE5"/>
    <w:rsid w:val="00A84F0C"/>
    <w:rsid w:val="00A84FEC"/>
    <w:rsid w:val="00A85005"/>
    <w:rsid w:val="00A850D0"/>
    <w:rsid w:val="00A85187"/>
    <w:rsid w:val="00A85319"/>
    <w:rsid w:val="00A853C2"/>
    <w:rsid w:val="00A85442"/>
    <w:rsid w:val="00A8568C"/>
    <w:rsid w:val="00A8570F"/>
    <w:rsid w:val="00A85714"/>
    <w:rsid w:val="00A85742"/>
    <w:rsid w:val="00A8578C"/>
    <w:rsid w:val="00A857F4"/>
    <w:rsid w:val="00A85820"/>
    <w:rsid w:val="00A85842"/>
    <w:rsid w:val="00A85997"/>
    <w:rsid w:val="00A85D54"/>
    <w:rsid w:val="00A85E63"/>
    <w:rsid w:val="00A85EA8"/>
    <w:rsid w:val="00A85F5D"/>
    <w:rsid w:val="00A86116"/>
    <w:rsid w:val="00A861A4"/>
    <w:rsid w:val="00A861BE"/>
    <w:rsid w:val="00A861BF"/>
    <w:rsid w:val="00A862AB"/>
    <w:rsid w:val="00A8637B"/>
    <w:rsid w:val="00A863DA"/>
    <w:rsid w:val="00A86462"/>
    <w:rsid w:val="00A865D5"/>
    <w:rsid w:val="00A866C0"/>
    <w:rsid w:val="00A867C6"/>
    <w:rsid w:val="00A8682E"/>
    <w:rsid w:val="00A8685C"/>
    <w:rsid w:val="00A86944"/>
    <w:rsid w:val="00A86ABB"/>
    <w:rsid w:val="00A86BE7"/>
    <w:rsid w:val="00A86CBB"/>
    <w:rsid w:val="00A86D44"/>
    <w:rsid w:val="00A86D45"/>
    <w:rsid w:val="00A87082"/>
    <w:rsid w:val="00A870A8"/>
    <w:rsid w:val="00A873BF"/>
    <w:rsid w:val="00A8742E"/>
    <w:rsid w:val="00A874AF"/>
    <w:rsid w:val="00A874C7"/>
    <w:rsid w:val="00A87501"/>
    <w:rsid w:val="00A876AA"/>
    <w:rsid w:val="00A876E3"/>
    <w:rsid w:val="00A87748"/>
    <w:rsid w:val="00A87901"/>
    <w:rsid w:val="00A879BD"/>
    <w:rsid w:val="00A87A35"/>
    <w:rsid w:val="00A87ACE"/>
    <w:rsid w:val="00A87B2E"/>
    <w:rsid w:val="00A87B9F"/>
    <w:rsid w:val="00A901A2"/>
    <w:rsid w:val="00A90287"/>
    <w:rsid w:val="00A902A8"/>
    <w:rsid w:val="00A90351"/>
    <w:rsid w:val="00A90435"/>
    <w:rsid w:val="00A90575"/>
    <w:rsid w:val="00A905E1"/>
    <w:rsid w:val="00A90645"/>
    <w:rsid w:val="00A906A0"/>
    <w:rsid w:val="00A9097E"/>
    <w:rsid w:val="00A909F9"/>
    <w:rsid w:val="00A90B70"/>
    <w:rsid w:val="00A90CA9"/>
    <w:rsid w:val="00A90CC7"/>
    <w:rsid w:val="00A90D75"/>
    <w:rsid w:val="00A90E0A"/>
    <w:rsid w:val="00A90E83"/>
    <w:rsid w:val="00A90EDB"/>
    <w:rsid w:val="00A90EEB"/>
    <w:rsid w:val="00A90EFA"/>
    <w:rsid w:val="00A90F14"/>
    <w:rsid w:val="00A90F37"/>
    <w:rsid w:val="00A910C3"/>
    <w:rsid w:val="00A91114"/>
    <w:rsid w:val="00A9148C"/>
    <w:rsid w:val="00A9163F"/>
    <w:rsid w:val="00A91688"/>
    <w:rsid w:val="00A917B0"/>
    <w:rsid w:val="00A91805"/>
    <w:rsid w:val="00A9183F"/>
    <w:rsid w:val="00A918D0"/>
    <w:rsid w:val="00A918E5"/>
    <w:rsid w:val="00A91C07"/>
    <w:rsid w:val="00A91C29"/>
    <w:rsid w:val="00A91CDF"/>
    <w:rsid w:val="00A91D22"/>
    <w:rsid w:val="00A91EA5"/>
    <w:rsid w:val="00A92106"/>
    <w:rsid w:val="00A92179"/>
    <w:rsid w:val="00A9220B"/>
    <w:rsid w:val="00A9225D"/>
    <w:rsid w:val="00A92265"/>
    <w:rsid w:val="00A923F6"/>
    <w:rsid w:val="00A92423"/>
    <w:rsid w:val="00A9266D"/>
    <w:rsid w:val="00A926C7"/>
    <w:rsid w:val="00A92816"/>
    <w:rsid w:val="00A928D5"/>
    <w:rsid w:val="00A9298A"/>
    <w:rsid w:val="00A929A3"/>
    <w:rsid w:val="00A92A1F"/>
    <w:rsid w:val="00A92BB0"/>
    <w:rsid w:val="00A92CAB"/>
    <w:rsid w:val="00A92D0D"/>
    <w:rsid w:val="00A92E89"/>
    <w:rsid w:val="00A92E8C"/>
    <w:rsid w:val="00A92F6F"/>
    <w:rsid w:val="00A930C0"/>
    <w:rsid w:val="00A93193"/>
    <w:rsid w:val="00A93219"/>
    <w:rsid w:val="00A93228"/>
    <w:rsid w:val="00A9333F"/>
    <w:rsid w:val="00A933B9"/>
    <w:rsid w:val="00A9361A"/>
    <w:rsid w:val="00A937D6"/>
    <w:rsid w:val="00A938D6"/>
    <w:rsid w:val="00A93AFF"/>
    <w:rsid w:val="00A93CBC"/>
    <w:rsid w:val="00A93CD0"/>
    <w:rsid w:val="00A93D07"/>
    <w:rsid w:val="00A93D75"/>
    <w:rsid w:val="00A93DA0"/>
    <w:rsid w:val="00A93E08"/>
    <w:rsid w:val="00A93E23"/>
    <w:rsid w:val="00A93E9C"/>
    <w:rsid w:val="00A93EC6"/>
    <w:rsid w:val="00A93F14"/>
    <w:rsid w:val="00A94005"/>
    <w:rsid w:val="00A94043"/>
    <w:rsid w:val="00A940E8"/>
    <w:rsid w:val="00A94190"/>
    <w:rsid w:val="00A94226"/>
    <w:rsid w:val="00A9429C"/>
    <w:rsid w:val="00A9449C"/>
    <w:rsid w:val="00A944CC"/>
    <w:rsid w:val="00A94556"/>
    <w:rsid w:val="00A94583"/>
    <w:rsid w:val="00A945E2"/>
    <w:rsid w:val="00A94716"/>
    <w:rsid w:val="00A9483F"/>
    <w:rsid w:val="00A94864"/>
    <w:rsid w:val="00A9486C"/>
    <w:rsid w:val="00A9489F"/>
    <w:rsid w:val="00A9491A"/>
    <w:rsid w:val="00A949B6"/>
    <w:rsid w:val="00A94AD9"/>
    <w:rsid w:val="00A94BCA"/>
    <w:rsid w:val="00A94C99"/>
    <w:rsid w:val="00A94D1D"/>
    <w:rsid w:val="00A94E90"/>
    <w:rsid w:val="00A94F44"/>
    <w:rsid w:val="00A94F7F"/>
    <w:rsid w:val="00A9507E"/>
    <w:rsid w:val="00A950BF"/>
    <w:rsid w:val="00A95434"/>
    <w:rsid w:val="00A955B2"/>
    <w:rsid w:val="00A95656"/>
    <w:rsid w:val="00A9568F"/>
    <w:rsid w:val="00A95736"/>
    <w:rsid w:val="00A957EC"/>
    <w:rsid w:val="00A95890"/>
    <w:rsid w:val="00A95B05"/>
    <w:rsid w:val="00A95B24"/>
    <w:rsid w:val="00A95BB8"/>
    <w:rsid w:val="00A95D78"/>
    <w:rsid w:val="00A95FB3"/>
    <w:rsid w:val="00A96024"/>
    <w:rsid w:val="00A96093"/>
    <w:rsid w:val="00A96151"/>
    <w:rsid w:val="00A96369"/>
    <w:rsid w:val="00A9643C"/>
    <w:rsid w:val="00A9644E"/>
    <w:rsid w:val="00A96478"/>
    <w:rsid w:val="00A96540"/>
    <w:rsid w:val="00A966D3"/>
    <w:rsid w:val="00A968D7"/>
    <w:rsid w:val="00A96B27"/>
    <w:rsid w:val="00A96B6A"/>
    <w:rsid w:val="00A96BCE"/>
    <w:rsid w:val="00A96D7B"/>
    <w:rsid w:val="00A96E29"/>
    <w:rsid w:val="00A96E91"/>
    <w:rsid w:val="00A96F3A"/>
    <w:rsid w:val="00A96F52"/>
    <w:rsid w:val="00A96F96"/>
    <w:rsid w:val="00A9722D"/>
    <w:rsid w:val="00A97276"/>
    <w:rsid w:val="00A9728F"/>
    <w:rsid w:val="00A9737A"/>
    <w:rsid w:val="00A973F4"/>
    <w:rsid w:val="00A9765E"/>
    <w:rsid w:val="00A97664"/>
    <w:rsid w:val="00A976FC"/>
    <w:rsid w:val="00A97823"/>
    <w:rsid w:val="00A97952"/>
    <w:rsid w:val="00A97966"/>
    <w:rsid w:val="00A97B2E"/>
    <w:rsid w:val="00A97B77"/>
    <w:rsid w:val="00A97D28"/>
    <w:rsid w:val="00A97E1A"/>
    <w:rsid w:val="00A97E4B"/>
    <w:rsid w:val="00A97E90"/>
    <w:rsid w:val="00AA0043"/>
    <w:rsid w:val="00AA007E"/>
    <w:rsid w:val="00AA0276"/>
    <w:rsid w:val="00AA02B5"/>
    <w:rsid w:val="00AA02E5"/>
    <w:rsid w:val="00AA07AC"/>
    <w:rsid w:val="00AA0977"/>
    <w:rsid w:val="00AA0A59"/>
    <w:rsid w:val="00AA0B01"/>
    <w:rsid w:val="00AA0B58"/>
    <w:rsid w:val="00AA0BC7"/>
    <w:rsid w:val="00AA0C8D"/>
    <w:rsid w:val="00AA0E0E"/>
    <w:rsid w:val="00AA0E64"/>
    <w:rsid w:val="00AA0F13"/>
    <w:rsid w:val="00AA0FE1"/>
    <w:rsid w:val="00AA1026"/>
    <w:rsid w:val="00AA1237"/>
    <w:rsid w:val="00AA12A5"/>
    <w:rsid w:val="00AA12B1"/>
    <w:rsid w:val="00AA1397"/>
    <w:rsid w:val="00AA1433"/>
    <w:rsid w:val="00AA15B2"/>
    <w:rsid w:val="00AA1622"/>
    <w:rsid w:val="00AA17C3"/>
    <w:rsid w:val="00AA185E"/>
    <w:rsid w:val="00AA1877"/>
    <w:rsid w:val="00AA1890"/>
    <w:rsid w:val="00AA1921"/>
    <w:rsid w:val="00AA1B3F"/>
    <w:rsid w:val="00AA1B75"/>
    <w:rsid w:val="00AA1BAA"/>
    <w:rsid w:val="00AA1CBE"/>
    <w:rsid w:val="00AA1F06"/>
    <w:rsid w:val="00AA1F85"/>
    <w:rsid w:val="00AA2065"/>
    <w:rsid w:val="00AA2078"/>
    <w:rsid w:val="00AA2229"/>
    <w:rsid w:val="00AA2340"/>
    <w:rsid w:val="00AA25CC"/>
    <w:rsid w:val="00AA260A"/>
    <w:rsid w:val="00AA286D"/>
    <w:rsid w:val="00AA298E"/>
    <w:rsid w:val="00AA29A1"/>
    <w:rsid w:val="00AA2D81"/>
    <w:rsid w:val="00AA2EFB"/>
    <w:rsid w:val="00AA2F39"/>
    <w:rsid w:val="00AA319E"/>
    <w:rsid w:val="00AA31D4"/>
    <w:rsid w:val="00AA31EA"/>
    <w:rsid w:val="00AA322E"/>
    <w:rsid w:val="00AA337D"/>
    <w:rsid w:val="00AA34B4"/>
    <w:rsid w:val="00AA3824"/>
    <w:rsid w:val="00AA3830"/>
    <w:rsid w:val="00AA394A"/>
    <w:rsid w:val="00AA3972"/>
    <w:rsid w:val="00AA3D08"/>
    <w:rsid w:val="00AA3DEB"/>
    <w:rsid w:val="00AA42C0"/>
    <w:rsid w:val="00AA43C8"/>
    <w:rsid w:val="00AA4471"/>
    <w:rsid w:val="00AA4514"/>
    <w:rsid w:val="00AA466A"/>
    <w:rsid w:val="00AA4738"/>
    <w:rsid w:val="00AA47FF"/>
    <w:rsid w:val="00AA48D6"/>
    <w:rsid w:val="00AA48ED"/>
    <w:rsid w:val="00AA4CC1"/>
    <w:rsid w:val="00AA4F1D"/>
    <w:rsid w:val="00AA500D"/>
    <w:rsid w:val="00AA50B7"/>
    <w:rsid w:val="00AA5216"/>
    <w:rsid w:val="00AA527F"/>
    <w:rsid w:val="00AA52F7"/>
    <w:rsid w:val="00AA5535"/>
    <w:rsid w:val="00AA5539"/>
    <w:rsid w:val="00AA58DD"/>
    <w:rsid w:val="00AA5B20"/>
    <w:rsid w:val="00AA5CC4"/>
    <w:rsid w:val="00AA5CFA"/>
    <w:rsid w:val="00AA5E4E"/>
    <w:rsid w:val="00AA5EDC"/>
    <w:rsid w:val="00AA5F7C"/>
    <w:rsid w:val="00AA6016"/>
    <w:rsid w:val="00AA60C8"/>
    <w:rsid w:val="00AA61A9"/>
    <w:rsid w:val="00AA6229"/>
    <w:rsid w:val="00AA62B5"/>
    <w:rsid w:val="00AA62C2"/>
    <w:rsid w:val="00AA6317"/>
    <w:rsid w:val="00AA638A"/>
    <w:rsid w:val="00AA6434"/>
    <w:rsid w:val="00AA68D2"/>
    <w:rsid w:val="00AA68D7"/>
    <w:rsid w:val="00AA6CA1"/>
    <w:rsid w:val="00AA6DCA"/>
    <w:rsid w:val="00AA6F86"/>
    <w:rsid w:val="00AA6FB9"/>
    <w:rsid w:val="00AA6FC2"/>
    <w:rsid w:val="00AA71D8"/>
    <w:rsid w:val="00AA7220"/>
    <w:rsid w:val="00AA72C8"/>
    <w:rsid w:val="00AA73AA"/>
    <w:rsid w:val="00AA73FB"/>
    <w:rsid w:val="00AA7649"/>
    <w:rsid w:val="00AA7668"/>
    <w:rsid w:val="00AA7709"/>
    <w:rsid w:val="00AA788D"/>
    <w:rsid w:val="00AA78F6"/>
    <w:rsid w:val="00AA79E4"/>
    <w:rsid w:val="00AA7A95"/>
    <w:rsid w:val="00AA7B06"/>
    <w:rsid w:val="00AA7CE4"/>
    <w:rsid w:val="00AA7D41"/>
    <w:rsid w:val="00AA7D88"/>
    <w:rsid w:val="00AA7D96"/>
    <w:rsid w:val="00AA7E8B"/>
    <w:rsid w:val="00AA7EA6"/>
    <w:rsid w:val="00AA7FD3"/>
    <w:rsid w:val="00AA7FE1"/>
    <w:rsid w:val="00AB0065"/>
    <w:rsid w:val="00AB00DB"/>
    <w:rsid w:val="00AB029E"/>
    <w:rsid w:val="00AB050F"/>
    <w:rsid w:val="00AB0556"/>
    <w:rsid w:val="00AB095C"/>
    <w:rsid w:val="00AB0AE1"/>
    <w:rsid w:val="00AB0BF1"/>
    <w:rsid w:val="00AB0C8E"/>
    <w:rsid w:val="00AB0E39"/>
    <w:rsid w:val="00AB0E4B"/>
    <w:rsid w:val="00AB0F28"/>
    <w:rsid w:val="00AB0FA9"/>
    <w:rsid w:val="00AB104A"/>
    <w:rsid w:val="00AB1086"/>
    <w:rsid w:val="00AB113C"/>
    <w:rsid w:val="00AB1289"/>
    <w:rsid w:val="00AB15D9"/>
    <w:rsid w:val="00AB1664"/>
    <w:rsid w:val="00AB16F3"/>
    <w:rsid w:val="00AB1715"/>
    <w:rsid w:val="00AB17A0"/>
    <w:rsid w:val="00AB180C"/>
    <w:rsid w:val="00AB1925"/>
    <w:rsid w:val="00AB194D"/>
    <w:rsid w:val="00AB1A5B"/>
    <w:rsid w:val="00AB1AAF"/>
    <w:rsid w:val="00AB1ABE"/>
    <w:rsid w:val="00AB1DD9"/>
    <w:rsid w:val="00AB1F63"/>
    <w:rsid w:val="00AB20A9"/>
    <w:rsid w:val="00AB221F"/>
    <w:rsid w:val="00AB2340"/>
    <w:rsid w:val="00AB23A6"/>
    <w:rsid w:val="00AB257F"/>
    <w:rsid w:val="00AB259D"/>
    <w:rsid w:val="00AB2688"/>
    <w:rsid w:val="00AB2696"/>
    <w:rsid w:val="00AB2739"/>
    <w:rsid w:val="00AB27B5"/>
    <w:rsid w:val="00AB2803"/>
    <w:rsid w:val="00AB28CC"/>
    <w:rsid w:val="00AB2964"/>
    <w:rsid w:val="00AB2AC7"/>
    <w:rsid w:val="00AB2B83"/>
    <w:rsid w:val="00AB2B8E"/>
    <w:rsid w:val="00AB2DF3"/>
    <w:rsid w:val="00AB2E14"/>
    <w:rsid w:val="00AB2E5C"/>
    <w:rsid w:val="00AB3005"/>
    <w:rsid w:val="00AB30B0"/>
    <w:rsid w:val="00AB3141"/>
    <w:rsid w:val="00AB32B9"/>
    <w:rsid w:val="00AB3525"/>
    <w:rsid w:val="00AB37E4"/>
    <w:rsid w:val="00AB3888"/>
    <w:rsid w:val="00AB38A6"/>
    <w:rsid w:val="00AB38AA"/>
    <w:rsid w:val="00AB3AD1"/>
    <w:rsid w:val="00AB3BA4"/>
    <w:rsid w:val="00AB3C20"/>
    <w:rsid w:val="00AB3DAE"/>
    <w:rsid w:val="00AB3F8D"/>
    <w:rsid w:val="00AB404D"/>
    <w:rsid w:val="00AB4059"/>
    <w:rsid w:val="00AB40D3"/>
    <w:rsid w:val="00AB40FA"/>
    <w:rsid w:val="00AB4122"/>
    <w:rsid w:val="00AB4268"/>
    <w:rsid w:val="00AB427F"/>
    <w:rsid w:val="00AB42BB"/>
    <w:rsid w:val="00AB4446"/>
    <w:rsid w:val="00AB4471"/>
    <w:rsid w:val="00AB44A8"/>
    <w:rsid w:val="00AB4530"/>
    <w:rsid w:val="00AB45B0"/>
    <w:rsid w:val="00AB489C"/>
    <w:rsid w:val="00AB4B62"/>
    <w:rsid w:val="00AB4C8E"/>
    <w:rsid w:val="00AB4DF6"/>
    <w:rsid w:val="00AB4F4F"/>
    <w:rsid w:val="00AB50BC"/>
    <w:rsid w:val="00AB5104"/>
    <w:rsid w:val="00AB529A"/>
    <w:rsid w:val="00AB5415"/>
    <w:rsid w:val="00AB5544"/>
    <w:rsid w:val="00AB5694"/>
    <w:rsid w:val="00AB5695"/>
    <w:rsid w:val="00AB576F"/>
    <w:rsid w:val="00AB577D"/>
    <w:rsid w:val="00AB5801"/>
    <w:rsid w:val="00AB593B"/>
    <w:rsid w:val="00AB5B9B"/>
    <w:rsid w:val="00AB61FD"/>
    <w:rsid w:val="00AB64F6"/>
    <w:rsid w:val="00AB660C"/>
    <w:rsid w:val="00AB66E3"/>
    <w:rsid w:val="00AB6761"/>
    <w:rsid w:val="00AB67EE"/>
    <w:rsid w:val="00AB69A8"/>
    <w:rsid w:val="00AB69DC"/>
    <w:rsid w:val="00AB6ABF"/>
    <w:rsid w:val="00AB6B04"/>
    <w:rsid w:val="00AB6BE3"/>
    <w:rsid w:val="00AB6BEE"/>
    <w:rsid w:val="00AB6E15"/>
    <w:rsid w:val="00AB6E5C"/>
    <w:rsid w:val="00AB6E81"/>
    <w:rsid w:val="00AB6F5C"/>
    <w:rsid w:val="00AB7463"/>
    <w:rsid w:val="00AB7676"/>
    <w:rsid w:val="00AB7684"/>
    <w:rsid w:val="00AB77A8"/>
    <w:rsid w:val="00AB7875"/>
    <w:rsid w:val="00AB788A"/>
    <w:rsid w:val="00AB796E"/>
    <w:rsid w:val="00AB799C"/>
    <w:rsid w:val="00AB79D2"/>
    <w:rsid w:val="00AB7A12"/>
    <w:rsid w:val="00AB7A8C"/>
    <w:rsid w:val="00AB7B43"/>
    <w:rsid w:val="00AB7B6C"/>
    <w:rsid w:val="00AB7B9E"/>
    <w:rsid w:val="00AB7C77"/>
    <w:rsid w:val="00AB7F92"/>
    <w:rsid w:val="00AC0038"/>
    <w:rsid w:val="00AC003E"/>
    <w:rsid w:val="00AC00EC"/>
    <w:rsid w:val="00AC0132"/>
    <w:rsid w:val="00AC0272"/>
    <w:rsid w:val="00AC0369"/>
    <w:rsid w:val="00AC0512"/>
    <w:rsid w:val="00AC05F8"/>
    <w:rsid w:val="00AC068C"/>
    <w:rsid w:val="00AC076A"/>
    <w:rsid w:val="00AC0837"/>
    <w:rsid w:val="00AC0853"/>
    <w:rsid w:val="00AC0923"/>
    <w:rsid w:val="00AC09C1"/>
    <w:rsid w:val="00AC09C3"/>
    <w:rsid w:val="00AC0A96"/>
    <w:rsid w:val="00AC0ADB"/>
    <w:rsid w:val="00AC0B1F"/>
    <w:rsid w:val="00AC0BE4"/>
    <w:rsid w:val="00AC0C4C"/>
    <w:rsid w:val="00AC0C82"/>
    <w:rsid w:val="00AC0D5E"/>
    <w:rsid w:val="00AC0DC3"/>
    <w:rsid w:val="00AC12A3"/>
    <w:rsid w:val="00AC12D7"/>
    <w:rsid w:val="00AC1453"/>
    <w:rsid w:val="00AC145B"/>
    <w:rsid w:val="00AC1469"/>
    <w:rsid w:val="00AC14B7"/>
    <w:rsid w:val="00AC15FE"/>
    <w:rsid w:val="00AC161C"/>
    <w:rsid w:val="00AC1668"/>
    <w:rsid w:val="00AC1776"/>
    <w:rsid w:val="00AC1831"/>
    <w:rsid w:val="00AC19CA"/>
    <w:rsid w:val="00AC19F7"/>
    <w:rsid w:val="00AC1B5D"/>
    <w:rsid w:val="00AC1D57"/>
    <w:rsid w:val="00AC1D61"/>
    <w:rsid w:val="00AC1E24"/>
    <w:rsid w:val="00AC1FC8"/>
    <w:rsid w:val="00AC2150"/>
    <w:rsid w:val="00AC265D"/>
    <w:rsid w:val="00AC2871"/>
    <w:rsid w:val="00AC28B1"/>
    <w:rsid w:val="00AC29FE"/>
    <w:rsid w:val="00AC2A7F"/>
    <w:rsid w:val="00AC2A89"/>
    <w:rsid w:val="00AC2D9C"/>
    <w:rsid w:val="00AC2E38"/>
    <w:rsid w:val="00AC2EF0"/>
    <w:rsid w:val="00AC304E"/>
    <w:rsid w:val="00AC306C"/>
    <w:rsid w:val="00AC310F"/>
    <w:rsid w:val="00AC3228"/>
    <w:rsid w:val="00AC3423"/>
    <w:rsid w:val="00AC34DC"/>
    <w:rsid w:val="00AC366B"/>
    <w:rsid w:val="00AC36A2"/>
    <w:rsid w:val="00AC376B"/>
    <w:rsid w:val="00AC3838"/>
    <w:rsid w:val="00AC3876"/>
    <w:rsid w:val="00AC397B"/>
    <w:rsid w:val="00AC3A4C"/>
    <w:rsid w:val="00AC3AD5"/>
    <w:rsid w:val="00AC3B3F"/>
    <w:rsid w:val="00AC3BA6"/>
    <w:rsid w:val="00AC3BF4"/>
    <w:rsid w:val="00AC3C0B"/>
    <w:rsid w:val="00AC3DA9"/>
    <w:rsid w:val="00AC3FDF"/>
    <w:rsid w:val="00AC4122"/>
    <w:rsid w:val="00AC4214"/>
    <w:rsid w:val="00AC43B0"/>
    <w:rsid w:val="00AC4580"/>
    <w:rsid w:val="00AC466D"/>
    <w:rsid w:val="00AC4756"/>
    <w:rsid w:val="00AC4814"/>
    <w:rsid w:val="00AC4840"/>
    <w:rsid w:val="00AC48A4"/>
    <w:rsid w:val="00AC4B3A"/>
    <w:rsid w:val="00AC4C1F"/>
    <w:rsid w:val="00AC4CC9"/>
    <w:rsid w:val="00AC4CEA"/>
    <w:rsid w:val="00AC4EF7"/>
    <w:rsid w:val="00AC4F5A"/>
    <w:rsid w:val="00AC4F8A"/>
    <w:rsid w:val="00AC4F8C"/>
    <w:rsid w:val="00AC4FAD"/>
    <w:rsid w:val="00AC4FB5"/>
    <w:rsid w:val="00AC5049"/>
    <w:rsid w:val="00AC5081"/>
    <w:rsid w:val="00AC5093"/>
    <w:rsid w:val="00AC50D6"/>
    <w:rsid w:val="00AC51FD"/>
    <w:rsid w:val="00AC53B6"/>
    <w:rsid w:val="00AC53F0"/>
    <w:rsid w:val="00AC5427"/>
    <w:rsid w:val="00AC5694"/>
    <w:rsid w:val="00AC56A7"/>
    <w:rsid w:val="00AC56D7"/>
    <w:rsid w:val="00AC57E3"/>
    <w:rsid w:val="00AC583B"/>
    <w:rsid w:val="00AC586F"/>
    <w:rsid w:val="00AC5BA1"/>
    <w:rsid w:val="00AC5C0F"/>
    <w:rsid w:val="00AC5D64"/>
    <w:rsid w:val="00AC5DCA"/>
    <w:rsid w:val="00AC5DFA"/>
    <w:rsid w:val="00AC5ECD"/>
    <w:rsid w:val="00AC5EE7"/>
    <w:rsid w:val="00AC6050"/>
    <w:rsid w:val="00AC60A3"/>
    <w:rsid w:val="00AC639F"/>
    <w:rsid w:val="00AC63A5"/>
    <w:rsid w:val="00AC6484"/>
    <w:rsid w:val="00AC64AB"/>
    <w:rsid w:val="00AC6500"/>
    <w:rsid w:val="00AC677C"/>
    <w:rsid w:val="00AC689B"/>
    <w:rsid w:val="00AC6949"/>
    <w:rsid w:val="00AC6C17"/>
    <w:rsid w:val="00AC6E24"/>
    <w:rsid w:val="00AC6E8E"/>
    <w:rsid w:val="00AC6F1F"/>
    <w:rsid w:val="00AC6FE6"/>
    <w:rsid w:val="00AC708F"/>
    <w:rsid w:val="00AC71A2"/>
    <w:rsid w:val="00AC71B3"/>
    <w:rsid w:val="00AC71D6"/>
    <w:rsid w:val="00AC7209"/>
    <w:rsid w:val="00AC7368"/>
    <w:rsid w:val="00AC73F6"/>
    <w:rsid w:val="00AC746D"/>
    <w:rsid w:val="00AC74F0"/>
    <w:rsid w:val="00AC75C6"/>
    <w:rsid w:val="00AC7726"/>
    <w:rsid w:val="00AC7A50"/>
    <w:rsid w:val="00AC7AC4"/>
    <w:rsid w:val="00AC7B1D"/>
    <w:rsid w:val="00AC7C67"/>
    <w:rsid w:val="00AC7C7D"/>
    <w:rsid w:val="00AC7CC8"/>
    <w:rsid w:val="00AC7CD7"/>
    <w:rsid w:val="00AC7D85"/>
    <w:rsid w:val="00AD00C7"/>
    <w:rsid w:val="00AD0159"/>
    <w:rsid w:val="00AD0309"/>
    <w:rsid w:val="00AD0369"/>
    <w:rsid w:val="00AD03BB"/>
    <w:rsid w:val="00AD0575"/>
    <w:rsid w:val="00AD05AC"/>
    <w:rsid w:val="00AD06DB"/>
    <w:rsid w:val="00AD073A"/>
    <w:rsid w:val="00AD077B"/>
    <w:rsid w:val="00AD07A0"/>
    <w:rsid w:val="00AD0840"/>
    <w:rsid w:val="00AD087B"/>
    <w:rsid w:val="00AD095C"/>
    <w:rsid w:val="00AD09BD"/>
    <w:rsid w:val="00AD0C6B"/>
    <w:rsid w:val="00AD0E2C"/>
    <w:rsid w:val="00AD137D"/>
    <w:rsid w:val="00AD150A"/>
    <w:rsid w:val="00AD171A"/>
    <w:rsid w:val="00AD18A4"/>
    <w:rsid w:val="00AD198D"/>
    <w:rsid w:val="00AD1A4B"/>
    <w:rsid w:val="00AD1A9B"/>
    <w:rsid w:val="00AD1AA3"/>
    <w:rsid w:val="00AD1C34"/>
    <w:rsid w:val="00AD1D4A"/>
    <w:rsid w:val="00AD1E3A"/>
    <w:rsid w:val="00AD2055"/>
    <w:rsid w:val="00AD20EF"/>
    <w:rsid w:val="00AD239B"/>
    <w:rsid w:val="00AD23AB"/>
    <w:rsid w:val="00AD2407"/>
    <w:rsid w:val="00AD2592"/>
    <w:rsid w:val="00AD2797"/>
    <w:rsid w:val="00AD27EA"/>
    <w:rsid w:val="00AD2ADC"/>
    <w:rsid w:val="00AD2B12"/>
    <w:rsid w:val="00AD2BB9"/>
    <w:rsid w:val="00AD2CD8"/>
    <w:rsid w:val="00AD2D94"/>
    <w:rsid w:val="00AD2DD8"/>
    <w:rsid w:val="00AD2E5E"/>
    <w:rsid w:val="00AD2F34"/>
    <w:rsid w:val="00AD2FAA"/>
    <w:rsid w:val="00AD31DA"/>
    <w:rsid w:val="00AD32C6"/>
    <w:rsid w:val="00AD33E0"/>
    <w:rsid w:val="00AD3432"/>
    <w:rsid w:val="00AD3452"/>
    <w:rsid w:val="00AD35A3"/>
    <w:rsid w:val="00AD3631"/>
    <w:rsid w:val="00AD3A7F"/>
    <w:rsid w:val="00AD3B8A"/>
    <w:rsid w:val="00AD3BB1"/>
    <w:rsid w:val="00AD3CE9"/>
    <w:rsid w:val="00AD3D01"/>
    <w:rsid w:val="00AD3D07"/>
    <w:rsid w:val="00AD3FC9"/>
    <w:rsid w:val="00AD4041"/>
    <w:rsid w:val="00AD447A"/>
    <w:rsid w:val="00AD44D2"/>
    <w:rsid w:val="00AD45AC"/>
    <w:rsid w:val="00AD45CF"/>
    <w:rsid w:val="00AD46A3"/>
    <w:rsid w:val="00AD4774"/>
    <w:rsid w:val="00AD488D"/>
    <w:rsid w:val="00AD48F6"/>
    <w:rsid w:val="00AD4C3F"/>
    <w:rsid w:val="00AD4CD9"/>
    <w:rsid w:val="00AD4DAE"/>
    <w:rsid w:val="00AD4F90"/>
    <w:rsid w:val="00AD4FD1"/>
    <w:rsid w:val="00AD51BE"/>
    <w:rsid w:val="00AD52E1"/>
    <w:rsid w:val="00AD52F6"/>
    <w:rsid w:val="00AD544A"/>
    <w:rsid w:val="00AD55D3"/>
    <w:rsid w:val="00AD5622"/>
    <w:rsid w:val="00AD566E"/>
    <w:rsid w:val="00AD5674"/>
    <w:rsid w:val="00AD56D9"/>
    <w:rsid w:val="00AD5742"/>
    <w:rsid w:val="00AD57A2"/>
    <w:rsid w:val="00AD57C2"/>
    <w:rsid w:val="00AD57D1"/>
    <w:rsid w:val="00AD5920"/>
    <w:rsid w:val="00AD5965"/>
    <w:rsid w:val="00AD5C75"/>
    <w:rsid w:val="00AD5CE1"/>
    <w:rsid w:val="00AD5D19"/>
    <w:rsid w:val="00AD5DFB"/>
    <w:rsid w:val="00AD5EB5"/>
    <w:rsid w:val="00AD5FE8"/>
    <w:rsid w:val="00AD6101"/>
    <w:rsid w:val="00AD6122"/>
    <w:rsid w:val="00AD6198"/>
    <w:rsid w:val="00AD63EE"/>
    <w:rsid w:val="00AD6470"/>
    <w:rsid w:val="00AD64F9"/>
    <w:rsid w:val="00AD6783"/>
    <w:rsid w:val="00AD6A64"/>
    <w:rsid w:val="00AD6C05"/>
    <w:rsid w:val="00AD6E10"/>
    <w:rsid w:val="00AD6FE0"/>
    <w:rsid w:val="00AD71C7"/>
    <w:rsid w:val="00AD7339"/>
    <w:rsid w:val="00AD742E"/>
    <w:rsid w:val="00AD749A"/>
    <w:rsid w:val="00AD75D6"/>
    <w:rsid w:val="00AD7648"/>
    <w:rsid w:val="00AD767E"/>
    <w:rsid w:val="00AD76DF"/>
    <w:rsid w:val="00AD7712"/>
    <w:rsid w:val="00AD7BEE"/>
    <w:rsid w:val="00AD7D3B"/>
    <w:rsid w:val="00AD7E1D"/>
    <w:rsid w:val="00AD7E53"/>
    <w:rsid w:val="00AD7F88"/>
    <w:rsid w:val="00AE008D"/>
    <w:rsid w:val="00AE04C5"/>
    <w:rsid w:val="00AE050D"/>
    <w:rsid w:val="00AE050F"/>
    <w:rsid w:val="00AE05C7"/>
    <w:rsid w:val="00AE0799"/>
    <w:rsid w:val="00AE0850"/>
    <w:rsid w:val="00AE0899"/>
    <w:rsid w:val="00AE08FD"/>
    <w:rsid w:val="00AE0A53"/>
    <w:rsid w:val="00AE0A58"/>
    <w:rsid w:val="00AE0B4C"/>
    <w:rsid w:val="00AE0B9A"/>
    <w:rsid w:val="00AE0C2B"/>
    <w:rsid w:val="00AE0CAF"/>
    <w:rsid w:val="00AE0E24"/>
    <w:rsid w:val="00AE12D6"/>
    <w:rsid w:val="00AE1302"/>
    <w:rsid w:val="00AE1403"/>
    <w:rsid w:val="00AE1498"/>
    <w:rsid w:val="00AE16CB"/>
    <w:rsid w:val="00AE177E"/>
    <w:rsid w:val="00AE1B00"/>
    <w:rsid w:val="00AE1B58"/>
    <w:rsid w:val="00AE1DD9"/>
    <w:rsid w:val="00AE1DF0"/>
    <w:rsid w:val="00AE1EE0"/>
    <w:rsid w:val="00AE1F81"/>
    <w:rsid w:val="00AE2105"/>
    <w:rsid w:val="00AE2235"/>
    <w:rsid w:val="00AE2302"/>
    <w:rsid w:val="00AE2316"/>
    <w:rsid w:val="00AE2423"/>
    <w:rsid w:val="00AE24F9"/>
    <w:rsid w:val="00AE253D"/>
    <w:rsid w:val="00AE25EA"/>
    <w:rsid w:val="00AE2645"/>
    <w:rsid w:val="00AE273E"/>
    <w:rsid w:val="00AE277D"/>
    <w:rsid w:val="00AE2790"/>
    <w:rsid w:val="00AE281F"/>
    <w:rsid w:val="00AE2862"/>
    <w:rsid w:val="00AE28EC"/>
    <w:rsid w:val="00AE2AE0"/>
    <w:rsid w:val="00AE2AF0"/>
    <w:rsid w:val="00AE2C56"/>
    <w:rsid w:val="00AE2EEB"/>
    <w:rsid w:val="00AE2FD6"/>
    <w:rsid w:val="00AE3055"/>
    <w:rsid w:val="00AE31A7"/>
    <w:rsid w:val="00AE3252"/>
    <w:rsid w:val="00AE3392"/>
    <w:rsid w:val="00AE34D7"/>
    <w:rsid w:val="00AE352F"/>
    <w:rsid w:val="00AE3562"/>
    <w:rsid w:val="00AE35F8"/>
    <w:rsid w:val="00AE3616"/>
    <w:rsid w:val="00AE36CE"/>
    <w:rsid w:val="00AE3709"/>
    <w:rsid w:val="00AE37B1"/>
    <w:rsid w:val="00AE3844"/>
    <w:rsid w:val="00AE38DA"/>
    <w:rsid w:val="00AE3977"/>
    <w:rsid w:val="00AE3A64"/>
    <w:rsid w:val="00AE3E08"/>
    <w:rsid w:val="00AE3EC3"/>
    <w:rsid w:val="00AE3F4C"/>
    <w:rsid w:val="00AE3FA0"/>
    <w:rsid w:val="00AE3FE4"/>
    <w:rsid w:val="00AE4027"/>
    <w:rsid w:val="00AE40EB"/>
    <w:rsid w:val="00AE41B0"/>
    <w:rsid w:val="00AE41BD"/>
    <w:rsid w:val="00AE41DF"/>
    <w:rsid w:val="00AE420E"/>
    <w:rsid w:val="00AE439B"/>
    <w:rsid w:val="00AE46AC"/>
    <w:rsid w:val="00AE4881"/>
    <w:rsid w:val="00AE48AF"/>
    <w:rsid w:val="00AE4AEC"/>
    <w:rsid w:val="00AE4BFB"/>
    <w:rsid w:val="00AE4C10"/>
    <w:rsid w:val="00AE4C59"/>
    <w:rsid w:val="00AE4CD3"/>
    <w:rsid w:val="00AE4EDA"/>
    <w:rsid w:val="00AE4F4E"/>
    <w:rsid w:val="00AE4FAF"/>
    <w:rsid w:val="00AE502D"/>
    <w:rsid w:val="00AE515D"/>
    <w:rsid w:val="00AE531A"/>
    <w:rsid w:val="00AE5409"/>
    <w:rsid w:val="00AE541D"/>
    <w:rsid w:val="00AE5447"/>
    <w:rsid w:val="00AE559B"/>
    <w:rsid w:val="00AE5600"/>
    <w:rsid w:val="00AE56BF"/>
    <w:rsid w:val="00AE59B3"/>
    <w:rsid w:val="00AE5C1D"/>
    <w:rsid w:val="00AE5CE3"/>
    <w:rsid w:val="00AE5EE2"/>
    <w:rsid w:val="00AE6112"/>
    <w:rsid w:val="00AE61C8"/>
    <w:rsid w:val="00AE628B"/>
    <w:rsid w:val="00AE628C"/>
    <w:rsid w:val="00AE6360"/>
    <w:rsid w:val="00AE6405"/>
    <w:rsid w:val="00AE6458"/>
    <w:rsid w:val="00AE667C"/>
    <w:rsid w:val="00AE66FC"/>
    <w:rsid w:val="00AE684A"/>
    <w:rsid w:val="00AE687B"/>
    <w:rsid w:val="00AE697F"/>
    <w:rsid w:val="00AE6A21"/>
    <w:rsid w:val="00AE6BEA"/>
    <w:rsid w:val="00AE6CB2"/>
    <w:rsid w:val="00AE6CFB"/>
    <w:rsid w:val="00AE6EC5"/>
    <w:rsid w:val="00AE6F30"/>
    <w:rsid w:val="00AE7126"/>
    <w:rsid w:val="00AE7136"/>
    <w:rsid w:val="00AE72F6"/>
    <w:rsid w:val="00AE73C0"/>
    <w:rsid w:val="00AE747B"/>
    <w:rsid w:val="00AE75EF"/>
    <w:rsid w:val="00AE766A"/>
    <w:rsid w:val="00AE76DF"/>
    <w:rsid w:val="00AE775B"/>
    <w:rsid w:val="00AE77ED"/>
    <w:rsid w:val="00AE79EF"/>
    <w:rsid w:val="00AE7A48"/>
    <w:rsid w:val="00AE7C6F"/>
    <w:rsid w:val="00AE7CE3"/>
    <w:rsid w:val="00AE7DBF"/>
    <w:rsid w:val="00AE7E37"/>
    <w:rsid w:val="00AE7E8F"/>
    <w:rsid w:val="00AF0174"/>
    <w:rsid w:val="00AF0178"/>
    <w:rsid w:val="00AF02BF"/>
    <w:rsid w:val="00AF0379"/>
    <w:rsid w:val="00AF05FD"/>
    <w:rsid w:val="00AF084B"/>
    <w:rsid w:val="00AF0A52"/>
    <w:rsid w:val="00AF0A9F"/>
    <w:rsid w:val="00AF0D27"/>
    <w:rsid w:val="00AF0E43"/>
    <w:rsid w:val="00AF0EBB"/>
    <w:rsid w:val="00AF0F64"/>
    <w:rsid w:val="00AF0FBF"/>
    <w:rsid w:val="00AF113C"/>
    <w:rsid w:val="00AF1234"/>
    <w:rsid w:val="00AF12D2"/>
    <w:rsid w:val="00AF12E0"/>
    <w:rsid w:val="00AF130A"/>
    <w:rsid w:val="00AF1383"/>
    <w:rsid w:val="00AF14F9"/>
    <w:rsid w:val="00AF15D4"/>
    <w:rsid w:val="00AF162A"/>
    <w:rsid w:val="00AF1649"/>
    <w:rsid w:val="00AF16D4"/>
    <w:rsid w:val="00AF16E8"/>
    <w:rsid w:val="00AF1762"/>
    <w:rsid w:val="00AF18F5"/>
    <w:rsid w:val="00AF1ACF"/>
    <w:rsid w:val="00AF1B92"/>
    <w:rsid w:val="00AF1C6F"/>
    <w:rsid w:val="00AF1D56"/>
    <w:rsid w:val="00AF1ED0"/>
    <w:rsid w:val="00AF20A4"/>
    <w:rsid w:val="00AF21D0"/>
    <w:rsid w:val="00AF2413"/>
    <w:rsid w:val="00AF24CA"/>
    <w:rsid w:val="00AF2501"/>
    <w:rsid w:val="00AF25BF"/>
    <w:rsid w:val="00AF2A28"/>
    <w:rsid w:val="00AF2AB0"/>
    <w:rsid w:val="00AF2C8E"/>
    <w:rsid w:val="00AF2CD6"/>
    <w:rsid w:val="00AF2D22"/>
    <w:rsid w:val="00AF2D6E"/>
    <w:rsid w:val="00AF2EC7"/>
    <w:rsid w:val="00AF2EDC"/>
    <w:rsid w:val="00AF3311"/>
    <w:rsid w:val="00AF332F"/>
    <w:rsid w:val="00AF3363"/>
    <w:rsid w:val="00AF3589"/>
    <w:rsid w:val="00AF3768"/>
    <w:rsid w:val="00AF37F8"/>
    <w:rsid w:val="00AF3ACB"/>
    <w:rsid w:val="00AF3BCF"/>
    <w:rsid w:val="00AF3DFE"/>
    <w:rsid w:val="00AF3F20"/>
    <w:rsid w:val="00AF3F8D"/>
    <w:rsid w:val="00AF40AC"/>
    <w:rsid w:val="00AF4132"/>
    <w:rsid w:val="00AF43B5"/>
    <w:rsid w:val="00AF4437"/>
    <w:rsid w:val="00AF46C8"/>
    <w:rsid w:val="00AF48A8"/>
    <w:rsid w:val="00AF4AA3"/>
    <w:rsid w:val="00AF4AD0"/>
    <w:rsid w:val="00AF4B02"/>
    <w:rsid w:val="00AF4F17"/>
    <w:rsid w:val="00AF4F20"/>
    <w:rsid w:val="00AF526A"/>
    <w:rsid w:val="00AF53C8"/>
    <w:rsid w:val="00AF5584"/>
    <w:rsid w:val="00AF55F3"/>
    <w:rsid w:val="00AF565A"/>
    <w:rsid w:val="00AF57D5"/>
    <w:rsid w:val="00AF57D8"/>
    <w:rsid w:val="00AF58A7"/>
    <w:rsid w:val="00AF58B5"/>
    <w:rsid w:val="00AF5AB1"/>
    <w:rsid w:val="00AF5B9F"/>
    <w:rsid w:val="00AF5CFB"/>
    <w:rsid w:val="00AF5F4F"/>
    <w:rsid w:val="00AF6048"/>
    <w:rsid w:val="00AF6053"/>
    <w:rsid w:val="00AF6151"/>
    <w:rsid w:val="00AF6154"/>
    <w:rsid w:val="00AF6253"/>
    <w:rsid w:val="00AF64E8"/>
    <w:rsid w:val="00AF653E"/>
    <w:rsid w:val="00AF663E"/>
    <w:rsid w:val="00AF6738"/>
    <w:rsid w:val="00AF677A"/>
    <w:rsid w:val="00AF6832"/>
    <w:rsid w:val="00AF68AB"/>
    <w:rsid w:val="00AF6993"/>
    <w:rsid w:val="00AF6BAC"/>
    <w:rsid w:val="00AF6D40"/>
    <w:rsid w:val="00AF6E65"/>
    <w:rsid w:val="00AF6EF3"/>
    <w:rsid w:val="00AF701D"/>
    <w:rsid w:val="00AF71EC"/>
    <w:rsid w:val="00AF7282"/>
    <w:rsid w:val="00AF7358"/>
    <w:rsid w:val="00AF7399"/>
    <w:rsid w:val="00AF75AA"/>
    <w:rsid w:val="00AF7983"/>
    <w:rsid w:val="00AF79D0"/>
    <w:rsid w:val="00AF7A08"/>
    <w:rsid w:val="00AF7BD1"/>
    <w:rsid w:val="00AF7CE1"/>
    <w:rsid w:val="00AF7D09"/>
    <w:rsid w:val="00AF7DB9"/>
    <w:rsid w:val="00AF7E2E"/>
    <w:rsid w:val="00AF7F58"/>
    <w:rsid w:val="00AF7FFE"/>
    <w:rsid w:val="00B000F8"/>
    <w:rsid w:val="00B00214"/>
    <w:rsid w:val="00B002CF"/>
    <w:rsid w:val="00B00543"/>
    <w:rsid w:val="00B0068F"/>
    <w:rsid w:val="00B00744"/>
    <w:rsid w:val="00B007CB"/>
    <w:rsid w:val="00B007EB"/>
    <w:rsid w:val="00B008BA"/>
    <w:rsid w:val="00B00926"/>
    <w:rsid w:val="00B0098D"/>
    <w:rsid w:val="00B00ADA"/>
    <w:rsid w:val="00B00BC4"/>
    <w:rsid w:val="00B00C71"/>
    <w:rsid w:val="00B00FA7"/>
    <w:rsid w:val="00B01054"/>
    <w:rsid w:val="00B010CA"/>
    <w:rsid w:val="00B0129E"/>
    <w:rsid w:val="00B012E6"/>
    <w:rsid w:val="00B013DF"/>
    <w:rsid w:val="00B0147A"/>
    <w:rsid w:val="00B01498"/>
    <w:rsid w:val="00B015DD"/>
    <w:rsid w:val="00B015EA"/>
    <w:rsid w:val="00B0170E"/>
    <w:rsid w:val="00B0171C"/>
    <w:rsid w:val="00B01901"/>
    <w:rsid w:val="00B0193B"/>
    <w:rsid w:val="00B019AF"/>
    <w:rsid w:val="00B01A33"/>
    <w:rsid w:val="00B01A53"/>
    <w:rsid w:val="00B01AD6"/>
    <w:rsid w:val="00B01E00"/>
    <w:rsid w:val="00B01E49"/>
    <w:rsid w:val="00B01EB5"/>
    <w:rsid w:val="00B01F3F"/>
    <w:rsid w:val="00B02040"/>
    <w:rsid w:val="00B0212C"/>
    <w:rsid w:val="00B0245B"/>
    <w:rsid w:val="00B025D8"/>
    <w:rsid w:val="00B0265E"/>
    <w:rsid w:val="00B02677"/>
    <w:rsid w:val="00B02940"/>
    <w:rsid w:val="00B02961"/>
    <w:rsid w:val="00B02AF6"/>
    <w:rsid w:val="00B02AFF"/>
    <w:rsid w:val="00B02B47"/>
    <w:rsid w:val="00B02BDB"/>
    <w:rsid w:val="00B02C4D"/>
    <w:rsid w:val="00B02D78"/>
    <w:rsid w:val="00B02DA5"/>
    <w:rsid w:val="00B02DBF"/>
    <w:rsid w:val="00B02E7E"/>
    <w:rsid w:val="00B02FF4"/>
    <w:rsid w:val="00B03504"/>
    <w:rsid w:val="00B0354B"/>
    <w:rsid w:val="00B03705"/>
    <w:rsid w:val="00B03762"/>
    <w:rsid w:val="00B03901"/>
    <w:rsid w:val="00B0398A"/>
    <w:rsid w:val="00B039DA"/>
    <w:rsid w:val="00B03A70"/>
    <w:rsid w:val="00B03AB4"/>
    <w:rsid w:val="00B03B0B"/>
    <w:rsid w:val="00B03B15"/>
    <w:rsid w:val="00B03B93"/>
    <w:rsid w:val="00B03D82"/>
    <w:rsid w:val="00B03D95"/>
    <w:rsid w:val="00B03D9D"/>
    <w:rsid w:val="00B03DAE"/>
    <w:rsid w:val="00B03E6B"/>
    <w:rsid w:val="00B03F2B"/>
    <w:rsid w:val="00B03F87"/>
    <w:rsid w:val="00B0401A"/>
    <w:rsid w:val="00B040FC"/>
    <w:rsid w:val="00B04256"/>
    <w:rsid w:val="00B042EB"/>
    <w:rsid w:val="00B043AE"/>
    <w:rsid w:val="00B043B4"/>
    <w:rsid w:val="00B04479"/>
    <w:rsid w:val="00B046D6"/>
    <w:rsid w:val="00B046E1"/>
    <w:rsid w:val="00B04846"/>
    <w:rsid w:val="00B04983"/>
    <w:rsid w:val="00B04A10"/>
    <w:rsid w:val="00B04B43"/>
    <w:rsid w:val="00B04B62"/>
    <w:rsid w:val="00B04C21"/>
    <w:rsid w:val="00B04D43"/>
    <w:rsid w:val="00B04D93"/>
    <w:rsid w:val="00B04D99"/>
    <w:rsid w:val="00B04DA6"/>
    <w:rsid w:val="00B04E74"/>
    <w:rsid w:val="00B050EB"/>
    <w:rsid w:val="00B0512F"/>
    <w:rsid w:val="00B0530E"/>
    <w:rsid w:val="00B05452"/>
    <w:rsid w:val="00B05478"/>
    <w:rsid w:val="00B0554E"/>
    <w:rsid w:val="00B055C1"/>
    <w:rsid w:val="00B0561D"/>
    <w:rsid w:val="00B056F2"/>
    <w:rsid w:val="00B05829"/>
    <w:rsid w:val="00B05963"/>
    <w:rsid w:val="00B05A88"/>
    <w:rsid w:val="00B05C99"/>
    <w:rsid w:val="00B05CEA"/>
    <w:rsid w:val="00B05E2B"/>
    <w:rsid w:val="00B05F38"/>
    <w:rsid w:val="00B05F41"/>
    <w:rsid w:val="00B05F99"/>
    <w:rsid w:val="00B06049"/>
    <w:rsid w:val="00B06064"/>
    <w:rsid w:val="00B060FE"/>
    <w:rsid w:val="00B0620D"/>
    <w:rsid w:val="00B0638E"/>
    <w:rsid w:val="00B063D8"/>
    <w:rsid w:val="00B06434"/>
    <w:rsid w:val="00B0652F"/>
    <w:rsid w:val="00B06560"/>
    <w:rsid w:val="00B065DB"/>
    <w:rsid w:val="00B065DF"/>
    <w:rsid w:val="00B0666E"/>
    <w:rsid w:val="00B066B0"/>
    <w:rsid w:val="00B06755"/>
    <w:rsid w:val="00B0678E"/>
    <w:rsid w:val="00B067AB"/>
    <w:rsid w:val="00B06951"/>
    <w:rsid w:val="00B06AC7"/>
    <w:rsid w:val="00B06C6B"/>
    <w:rsid w:val="00B06D78"/>
    <w:rsid w:val="00B06D81"/>
    <w:rsid w:val="00B06E53"/>
    <w:rsid w:val="00B07002"/>
    <w:rsid w:val="00B07127"/>
    <w:rsid w:val="00B07277"/>
    <w:rsid w:val="00B072C6"/>
    <w:rsid w:val="00B0748E"/>
    <w:rsid w:val="00B07547"/>
    <w:rsid w:val="00B07644"/>
    <w:rsid w:val="00B0766D"/>
    <w:rsid w:val="00B0778F"/>
    <w:rsid w:val="00B07792"/>
    <w:rsid w:val="00B0783D"/>
    <w:rsid w:val="00B07B36"/>
    <w:rsid w:val="00B07BAF"/>
    <w:rsid w:val="00B07D0B"/>
    <w:rsid w:val="00B07DEF"/>
    <w:rsid w:val="00B07E17"/>
    <w:rsid w:val="00B07E2C"/>
    <w:rsid w:val="00B07E43"/>
    <w:rsid w:val="00B07FBD"/>
    <w:rsid w:val="00B100C2"/>
    <w:rsid w:val="00B1015D"/>
    <w:rsid w:val="00B101A1"/>
    <w:rsid w:val="00B101D8"/>
    <w:rsid w:val="00B1022C"/>
    <w:rsid w:val="00B103EE"/>
    <w:rsid w:val="00B104E9"/>
    <w:rsid w:val="00B1051F"/>
    <w:rsid w:val="00B10578"/>
    <w:rsid w:val="00B1090E"/>
    <w:rsid w:val="00B1097E"/>
    <w:rsid w:val="00B10A30"/>
    <w:rsid w:val="00B10B5C"/>
    <w:rsid w:val="00B10BAA"/>
    <w:rsid w:val="00B10C01"/>
    <w:rsid w:val="00B10C03"/>
    <w:rsid w:val="00B10F0E"/>
    <w:rsid w:val="00B10F55"/>
    <w:rsid w:val="00B10F6A"/>
    <w:rsid w:val="00B10FA6"/>
    <w:rsid w:val="00B11405"/>
    <w:rsid w:val="00B11446"/>
    <w:rsid w:val="00B1149F"/>
    <w:rsid w:val="00B11657"/>
    <w:rsid w:val="00B117A6"/>
    <w:rsid w:val="00B11A76"/>
    <w:rsid w:val="00B11B3A"/>
    <w:rsid w:val="00B11C68"/>
    <w:rsid w:val="00B11C85"/>
    <w:rsid w:val="00B11D96"/>
    <w:rsid w:val="00B11D9D"/>
    <w:rsid w:val="00B11E0F"/>
    <w:rsid w:val="00B11EA4"/>
    <w:rsid w:val="00B11EEF"/>
    <w:rsid w:val="00B120F3"/>
    <w:rsid w:val="00B1211A"/>
    <w:rsid w:val="00B12290"/>
    <w:rsid w:val="00B1230E"/>
    <w:rsid w:val="00B1232B"/>
    <w:rsid w:val="00B12457"/>
    <w:rsid w:val="00B1285D"/>
    <w:rsid w:val="00B12888"/>
    <w:rsid w:val="00B1299E"/>
    <w:rsid w:val="00B12B2A"/>
    <w:rsid w:val="00B12CBB"/>
    <w:rsid w:val="00B12D43"/>
    <w:rsid w:val="00B12EC8"/>
    <w:rsid w:val="00B1317A"/>
    <w:rsid w:val="00B13226"/>
    <w:rsid w:val="00B13242"/>
    <w:rsid w:val="00B133A7"/>
    <w:rsid w:val="00B134E1"/>
    <w:rsid w:val="00B1357D"/>
    <w:rsid w:val="00B13715"/>
    <w:rsid w:val="00B137F8"/>
    <w:rsid w:val="00B138DF"/>
    <w:rsid w:val="00B1390D"/>
    <w:rsid w:val="00B13D27"/>
    <w:rsid w:val="00B13D48"/>
    <w:rsid w:val="00B13D98"/>
    <w:rsid w:val="00B13E65"/>
    <w:rsid w:val="00B13F36"/>
    <w:rsid w:val="00B13F4C"/>
    <w:rsid w:val="00B1403A"/>
    <w:rsid w:val="00B140A2"/>
    <w:rsid w:val="00B140D3"/>
    <w:rsid w:val="00B141E0"/>
    <w:rsid w:val="00B142D7"/>
    <w:rsid w:val="00B143F0"/>
    <w:rsid w:val="00B144F3"/>
    <w:rsid w:val="00B146A6"/>
    <w:rsid w:val="00B146A9"/>
    <w:rsid w:val="00B146FA"/>
    <w:rsid w:val="00B1476F"/>
    <w:rsid w:val="00B1485C"/>
    <w:rsid w:val="00B14EF2"/>
    <w:rsid w:val="00B150D4"/>
    <w:rsid w:val="00B15139"/>
    <w:rsid w:val="00B15238"/>
    <w:rsid w:val="00B15243"/>
    <w:rsid w:val="00B15369"/>
    <w:rsid w:val="00B15484"/>
    <w:rsid w:val="00B1555A"/>
    <w:rsid w:val="00B1556F"/>
    <w:rsid w:val="00B15582"/>
    <w:rsid w:val="00B155FF"/>
    <w:rsid w:val="00B15620"/>
    <w:rsid w:val="00B156E2"/>
    <w:rsid w:val="00B1575A"/>
    <w:rsid w:val="00B1575F"/>
    <w:rsid w:val="00B1587D"/>
    <w:rsid w:val="00B158DA"/>
    <w:rsid w:val="00B1593B"/>
    <w:rsid w:val="00B15956"/>
    <w:rsid w:val="00B159B7"/>
    <w:rsid w:val="00B15D28"/>
    <w:rsid w:val="00B15D59"/>
    <w:rsid w:val="00B15DBB"/>
    <w:rsid w:val="00B15E56"/>
    <w:rsid w:val="00B15E6A"/>
    <w:rsid w:val="00B16189"/>
    <w:rsid w:val="00B161CA"/>
    <w:rsid w:val="00B1630E"/>
    <w:rsid w:val="00B16399"/>
    <w:rsid w:val="00B1642F"/>
    <w:rsid w:val="00B1651F"/>
    <w:rsid w:val="00B1669A"/>
    <w:rsid w:val="00B1673A"/>
    <w:rsid w:val="00B16868"/>
    <w:rsid w:val="00B1692B"/>
    <w:rsid w:val="00B16987"/>
    <w:rsid w:val="00B16988"/>
    <w:rsid w:val="00B169A3"/>
    <w:rsid w:val="00B16A20"/>
    <w:rsid w:val="00B16CB8"/>
    <w:rsid w:val="00B16D33"/>
    <w:rsid w:val="00B16D85"/>
    <w:rsid w:val="00B16ED6"/>
    <w:rsid w:val="00B16F94"/>
    <w:rsid w:val="00B17089"/>
    <w:rsid w:val="00B170A6"/>
    <w:rsid w:val="00B170BD"/>
    <w:rsid w:val="00B17181"/>
    <w:rsid w:val="00B1724F"/>
    <w:rsid w:val="00B1735A"/>
    <w:rsid w:val="00B17408"/>
    <w:rsid w:val="00B17485"/>
    <w:rsid w:val="00B17513"/>
    <w:rsid w:val="00B175C9"/>
    <w:rsid w:val="00B1762B"/>
    <w:rsid w:val="00B17657"/>
    <w:rsid w:val="00B17682"/>
    <w:rsid w:val="00B177E8"/>
    <w:rsid w:val="00B179C1"/>
    <w:rsid w:val="00B179E3"/>
    <w:rsid w:val="00B179EE"/>
    <w:rsid w:val="00B17B33"/>
    <w:rsid w:val="00B17B7E"/>
    <w:rsid w:val="00B17BB4"/>
    <w:rsid w:val="00B17D21"/>
    <w:rsid w:val="00B17D9E"/>
    <w:rsid w:val="00B17DA7"/>
    <w:rsid w:val="00B17DE0"/>
    <w:rsid w:val="00B17DE3"/>
    <w:rsid w:val="00B17E0F"/>
    <w:rsid w:val="00B20065"/>
    <w:rsid w:val="00B20120"/>
    <w:rsid w:val="00B201B3"/>
    <w:rsid w:val="00B20327"/>
    <w:rsid w:val="00B2047A"/>
    <w:rsid w:val="00B2054F"/>
    <w:rsid w:val="00B2085C"/>
    <w:rsid w:val="00B20A18"/>
    <w:rsid w:val="00B20B23"/>
    <w:rsid w:val="00B20B9A"/>
    <w:rsid w:val="00B20BD8"/>
    <w:rsid w:val="00B20E02"/>
    <w:rsid w:val="00B20FD8"/>
    <w:rsid w:val="00B21014"/>
    <w:rsid w:val="00B210D7"/>
    <w:rsid w:val="00B2116F"/>
    <w:rsid w:val="00B211F9"/>
    <w:rsid w:val="00B21225"/>
    <w:rsid w:val="00B21399"/>
    <w:rsid w:val="00B215EE"/>
    <w:rsid w:val="00B2180B"/>
    <w:rsid w:val="00B2192F"/>
    <w:rsid w:val="00B21A19"/>
    <w:rsid w:val="00B21A36"/>
    <w:rsid w:val="00B21AE8"/>
    <w:rsid w:val="00B21C31"/>
    <w:rsid w:val="00B21CBD"/>
    <w:rsid w:val="00B21D3A"/>
    <w:rsid w:val="00B21D8E"/>
    <w:rsid w:val="00B21EE9"/>
    <w:rsid w:val="00B22229"/>
    <w:rsid w:val="00B22246"/>
    <w:rsid w:val="00B2229A"/>
    <w:rsid w:val="00B223A3"/>
    <w:rsid w:val="00B224B8"/>
    <w:rsid w:val="00B22714"/>
    <w:rsid w:val="00B22814"/>
    <w:rsid w:val="00B22BB1"/>
    <w:rsid w:val="00B22DC9"/>
    <w:rsid w:val="00B22F1A"/>
    <w:rsid w:val="00B230B0"/>
    <w:rsid w:val="00B2320C"/>
    <w:rsid w:val="00B233DF"/>
    <w:rsid w:val="00B23787"/>
    <w:rsid w:val="00B23846"/>
    <w:rsid w:val="00B23B9D"/>
    <w:rsid w:val="00B23E20"/>
    <w:rsid w:val="00B23E89"/>
    <w:rsid w:val="00B241C4"/>
    <w:rsid w:val="00B2420D"/>
    <w:rsid w:val="00B24510"/>
    <w:rsid w:val="00B24739"/>
    <w:rsid w:val="00B24823"/>
    <w:rsid w:val="00B24A80"/>
    <w:rsid w:val="00B24B18"/>
    <w:rsid w:val="00B24C04"/>
    <w:rsid w:val="00B24DEC"/>
    <w:rsid w:val="00B24F50"/>
    <w:rsid w:val="00B24F59"/>
    <w:rsid w:val="00B2501F"/>
    <w:rsid w:val="00B25065"/>
    <w:rsid w:val="00B25186"/>
    <w:rsid w:val="00B25239"/>
    <w:rsid w:val="00B25245"/>
    <w:rsid w:val="00B252B3"/>
    <w:rsid w:val="00B25479"/>
    <w:rsid w:val="00B255EB"/>
    <w:rsid w:val="00B25683"/>
    <w:rsid w:val="00B256E7"/>
    <w:rsid w:val="00B256F2"/>
    <w:rsid w:val="00B257AC"/>
    <w:rsid w:val="00B257B0"/>
    <w:rsid w:val="00B25A4B"/>
    <w:rsid w:val="00B25D03"/>
    <w:rsid w:val="00B25DEF"/>
    <w:rsid w:val="00B25E68"/>
    <w:rsid w:val="00B260C9"/>
    <w:rsid w:val="00B261D0"/>
    <w:rsid w:val="00B2637D"/>
    <w:rsid w:val="00B26475"/>
    <w:rsid w:val="00B2649A"/>
    <w:rsid w:val="00B26528"/>
    <w:rsid w:val="00B2656E"/>
    <w:rsid w:val="00B265D4"/>
    <w:rsid w:val="00B26686"/>
    <w:rsid w:val="00B266BF"/>
    <w:rsid w:val="00B26732"/>
    <w:rsid w:val="00B26A23"/>
    <w:rsid w:val="00B26AA0"/>
    <w:rsid w:val="00B26ABF"/>
    <w:rsid w:val="00B26B84"/>
    <w:rsid w:val="00B26C8A"/>
    <w:rsid w:val="00B26CC8"/>
    <w:rsid w:val="00B26CCF"/>
    <w:rsid w:val="00B26D18"/>
    <w:rsid w:val="00B26FBF"/>
    <w:rsid w:val="00B270FF"/>
    <w:rsid w:val="00B27141"/>
    <w:rsid w:val="00B271B1"/>
    <w:rsid w:val="00B2730B"/>
    <w:rsid w:val="00B27344"/>
    <w:rsid w:val="00B27376"/>
    <w:rsid w:val="00B273D5"/>
    <w:rsid w:val="00B2744D"/>
    <w:rsid w:val="00B27467"/>
    <w:rsid w:val="00B27482"/>
    <w:rsid w:val="00B274A9"/>
    <w:rsid w:val="00B27747"/>
    <w:rsid w:val="00B277F3"/>
    <w:rsid w:val="00B2780B"/>
    <w:rsid w:val="00B278A2"/>
    <w:rsid w:val="00B2792A"/>
    <w:rsid w:val="00B27AC0"/>
    <w:rsid w:val="00B27AFC"/>
    <w:rsid w:val="00B27B3D"/>
    <w:rsid w:val="00B27B3F"/>
    <w:rsid w:val="00B27CDA"/>
    <w:rsid w:val="00B27D99"/>
    <w:rsid w:val="00B30127"/>
    <w:rsid w:val="00B301C0"/>
    <w:rsid w:val="00B301EB"/>
    <w:rsid w:val="00B302D3"/>
    <w:rsid w:val="00B3062F"/>
    <w:rsid w:val="00B306B7"/>
    <w:rsid w:val="00B30763"/>
    <w:rsid w:val="00B30997"/>
    <w:rsid w:val="00B309B3"/>
    <w:rsid w:val="00B30BA5"/>
    <w:rsid w:val="00B30C70"/>
    <w:rsid w:val="00B30CC0"/>
    <w:rsid w:val="00B30DC4"/>
    <w:rsid w:val="00B30E84"/>
    <w:rsid w:val="00B30F0A"/>
    <w:rsid w:val="00B30F78"/>
    <w:rsid w:val="00B31048"/>
    <w:rsid w:val="00B31091"/>
    <w:rsid w:val="00B3110C"/>
    <w:rsid w:val="00B311D7"/>
    <w:rsid w:val="00B3126C"/>
    <w:rsid w:val="00B3148D"/>
    <w:rsid w:val="00B314F3"/>
    <w:rsid w:val="00B31532"/>
    <w:rsid w:val="00B3154D"/>
    <w:rsid w:val="00B31579"/>
    <w:rsid w:val="00B31682"/>
    <w:rsid w:val="00B31930"/>
    <w:rsid w:val="00B319C3"/>
    <w:rsid w:val="00B31AD4"/>
    <w:rsid w:val="00B31B0B"/>
    <w:rsid w:val="00B31B81"/>
    <w:rsid w:val="00B31C4B"/>
    <w:rsid w:val="00B31D2F"/>
    <w:rsid w:val="00B31D4D"/>
    <w:rsid w:val="00B3210F"/>
    <w:rsid w:val="00B32121"/>
    <w:rsid w:val="00B32143"/>
    <w:rsid w:val="00B32248"/>
    <w:rsid w:val="00B322C2"/>
    <w:rsid w:val="00B32331"/>
    <w:rsid w:val="00B32471"/>
    <w:rsid w:val="00B32612"/>
    <w:rsid w:val="00B3274F"/>
    <w:rsid w:val="00B32796"/>
    <w:rsid w:val="00B3286B"/>
    <w:rsid w:val="00B328EA"/>
    <w:rsid w:val="00B3293A"/>
    <w:rsid w:val="00B32958"/>
    <w:rsid w:val="00B3298F"/>
    <w:rsid w:val="00B32A9D"/>
    <w:rsid w:val="00B32AEF"/>
    <w:rsid w:val="00B32AFE"/>
    <w:rsid w:val="00B32B31"/>
    <w:rsid w:val="00B32B58"/>
    <w:rsid w:val="00B32B63"/>
    <w:rsid w:val="00B32C55"/>
    <w:rsid w:val="00B32CB9"/>
    <w:rsid w:val="00B32D11"/>
    <w:rsid w:val="00B32E11"/>
    <w:rsid w:val="00B32E67"/>
    <w:rsid w:val="00B32F2D"/>
    <w:rsid w:val="00B331AA"/>
    <w:rsid w:val="00B331D0"/>
    <w:rsid w:val="00B33373"/>
    <w:rsid w:val="00B33560"/>
    <w:rsid w:val="00B33733"/>
    <w:rsid w:val="00B338FC"/>
    <w:rsid w:val="00B3392E"/>
    <w:rsid w:val="00B33A66"/>
    <w:rsid w:val="00B33B48"/>
    <w:rsid w:val="00B33B9D"/>
    <w:rsid w:val="00B33CB6"/>
    <w:rsid w:val="00B33D58"/>
    <w:rsid w:val="00B33F12"/>
    <w:rsid w:val="00B33F4E"/>
    <w:rsid w:val="00B3418D"/>
    <w:rsid w:val="00B34332"/>
    <w:rsid w:val="00B34413"/>
    <w:rsid w:val="00B34438"/>
    <w:rsid w:val="00B3443A"/>
    <w:rsid w:val="00B34465"/>
    <w:rsid w:val="00B34484"/>
    <w:rsid w:val="00B3471A"/>
    <w:rsid w:val="00B347BB"/>
    <w:rsid w:val="00B34858"/>
    <w:rsid w:val="00B34893"/>
    <w:rsid w:val="00B348EC"/>
    <w:rsid w:val="00B349BA"/>
    <w:rsid w:val="00B34B10"/>
    <w:rsid w:val="00B34B67"/>
    <w:rsid w:val="00B34C1D"/>
    <w:rsid w:val="00B34C71"/>
    <w:rsid w:val="00B34D0A"/>
    <w:rsid w:val="00B34E99"/>
    <w:rsid w:val="00B34F69"/>
    <w:rsid w:val="00B34FB9"/>
    <w:rsid w:val="00B351BB"/>
    <w:rsid w:val="00B35265"/>
    <w:rsid w:val="00B353B7"/>
    <w:rsid w:val="00B354B7"/>
    <w:rsid w:val="00B355AD"/>
    <w:rsid w:val="00B3564A"/>
    <w:rsid w:val="00B356A5"/>
    <w:rsid w:val="00B356C8"/>
    <w:rsid w:val="00B35A6E"/>
    <w:rsid w:val="00B35A95"/>
    <w:rsid w:val="00B35B97"/>
    <w:rsid w:val="00B35D1E"/>
    <w:rsid w:val="00B35D9E"/>
    <w:rsid w:val="00B35DDB"/>
    <w:rsid w:val="00B35E89"/>
    <w:rsid w:val="00B35F42"/>
    <w:rsid w:val="00B35F49"/>
    <w:rsid w:val="00B35F69"/>
    <w:rsid w:val="00B35FE1"/>
    <w:rsid w:val="00B3607F"/>
    <w:rsid w:val="00B360CE"/>
    <w:rsid w:val="00B360D7"/>
    <w:rsid w:val="00B361CA"/>
    <w:rsid w:val="00B362FC"/>
    <w:rsid w:val="00B36304"/>
    <w:rsid w:val="00B363E2"/>
    <w:rsid w:val="00B363EF"/>
    <w:rsid w:val="00B367B1"/>
    <w:rsid w:val="00B367F1"/>
    <w:rsid w:val="00B368EB"/>
    <w:rsid w:val="00B36A5B"/>
    <w:rsid w:val="00B36BFB"/>
    <w:rsid w:val="00B36C4B"/>
    <w:rsid w:val="00B36E3C"/>
    <w:rsid w:val="00B36EEC"/>
    <w:rsid w:val="00B36F97"/>
    <w:rsid w:val="00B37007"/>
    <w:rsid w:val="00B3719C"/>
    <w:rsid w:val="00B3743D"/>
    <w:rsid w:val="00B374C6"/>
    <w:rsid w:val="00B3753D"/>
    <w:rsid w:val="00B37667"/>
    <w:rsid w:val="00B376D3"/>
    <w:rsid w:val="00B37978"/>
    <w:rsid w:val="00B37980"/>
    <w:rsid w:val="00B379F1"/>
    <w:rsid w:val="00B37A2B"/>
    <w:rsid w:val="00B37B9E"/>
    <w:rsid w:val="00B37BC0"/>
    <w:rsid w:val="00B37BDC"/>
    <w:rsid w:val="00B37CE5"/>
    <w:rsid w:val="00B37D47"/>
    <w:rsid w:val="00B37F38"/>
    <w:rsid w:val="00B4012D"/>
    <w:rsid w:val="00B40153"/>
    <w:rsid w:val="00B401E7"/>
    <w:rsid w:val="00B4028F"/>
    <w:rsid w:val="00B402BC"/>
    <w:rsid w:val="00B403A4"/>
    <w:rsid w:val="00B403C0"/>
    <w:rsid w:val="00B403E0"/>
    <w:rsid w:val="00B4053F"/>
    <w:rsid w:val="00B405E9"/>
    <w:rsid w:val="00B406AA"/>
    <w:rsid w:val="00B409C4"/>
    <w:rsid w:val="00B40AFD"/>
    <w:rsid w:val="00B40D1C"/>
    <w:rsid w:val="00B40DD3"/>
    <w:rsid w:val="00B41104"/>
    <w:rsid w:val="00B41191"/>
    <w:rsid w:val="00B41202"/>
    <w:rsid w:val="00B414D5"/>
    <w:rsid w:val="00B414E9"/>
    <w:rsid w:val="00B41527"/>
    <w:rsid w:val="00B41534"/>
    <w:rsid w:val="00B41576"/>
    <w:rsid w:val="00B415D7"/>
    <w:rsid w:val="00B4168C"/>
    <w:rsid w:val="00B416BE"/>
    <w:rsid w:val="00B416DE"/>
    <w:rsid w:val="00B417EF"/>
    <w:rsid w:val="00B41833"/>
    <w:rsid w:val="00B41A99"/>
    <w:rsid w:val="00B41CF6"/>
    <w:rsid w:val="00B41D82"/>
    <w:rsid w:val="00B41F3D"/>
    <w:rsid w:val="00B4201E"/>
    <w:rsid w:val="00B4224B"/>
    <w:rsid w:val="00B4241F"/>
    <w:rsid w:val="00B426CB"/>
    <w:rsid w:val="00B429CD"/>
    <w:rsid w:val="00B42A4C"/>
    <w:rsid w:val="00B42B3A"/>
    <w:rsid w:val="00B42C0E"/>
    <w:rsid w:val="00B42CDF"/>
    <w:rsid w:val="00B42DE2"/>
    <w:rsid w:val="00B42E89"/>
    <w:rsid w:val="00B42EE4"/>
    <w:rsid w:val="00B42EE5"/>
    <w:rsid w:val="00B42F4C"/>
    <w:rsid w:val="00B430D8"/>
    <w:rsid w:val="00B4316E"/>
    <w:rsid w:val="00B433B0"/>
    <w:rsid w:val="00B433E3"/>
    <w:rsid w:val="00B4364F"/>
    <w:rsid w:val="00B437AA"/>
    <w:rsid w:val="00B4395F"/>
    <w:rsid w:val="00B43978"/>
    <w:rsid w:val="00B43AF4"/>
    <w:rsid w:val="00B43BED"/>
    <w:rsid w:val="00B43EC9"/>
    <w:rsid w:val="00B4406E"/>
    <w:rsid w:val="00B4410C"/>
    <w:rsid w:val="00B44138"/>
    <w:rsid w:val="00B441C5"/>
    <w:rsid w:val="00B4433F"/>
    <w:rsid w:val="00B443EC"/>
    <w:rsid w:val="00B4465B"/>
    <w:rsid w:val="00B446D2"/>
    <w:rsid w:val="00B4472D"/>
    <w:rsid w:val="00B447FE"/>
    <w:rsid w:val="00B44A16"/>
    <w:rsid w:val="00B44C11"/>
    <w:rsid w:val="00B44C4B"/>
    <w:rsid w:val="00B44CEB"/>
    <w:rsid w:val="00B44D63"/>
    <w:rsid w:val="00B44D8D"/>
    <w:rsid w:val="00B45002"/>
    <w:rsid w:val="00B4500B"/>
    <w:rsid w:val="00B4501C"/>
    <w:rsid w:val="00B4507E"/>
    <w:rsid w:val="00B450B4"/>
    <w:rsid w:val="00B4517B"/>
    <w:rsid w:val="00B45216"/>
    <w:rsid w:val="00B45339"/>
    <w:rsid w:val="00B453B2"/>
    <w:rsid w:val="00B4555C"/>
    <w:rsid w:val="00B455A4"/>
    <w:rsid w:val="00B455DE"/>
    <w:rsid w:val="00B4578B"/>
    <w:rsid w:val="00B4578E"/>
    <w:rsid w:val="00B459CF"/>
    <w:rsid w:val="00B45A0D"/>
    <w:rsid w:val="00B45A40"/>
    <w:rsid w:val="00B45E26"/>
    <w:rsid w:val="00B45E87"/>
    <w:rsid w:val="00B46316"/>
    <w:rsid w:val="00B464EC"/>
    <w:rsid w:val="00B4654D"/>
    <w:rsid w:val="00B465EF"/>
    <w:rsid w:val="00B46709"/>
    <w:rsid w:val="00B46714"/>
    <w:rsid w:val="00B4673E"/>
    <w:rsid w:val="00B4675C"/>
    <w:rsid w:val="00B46805"/>
    <w:rsid w:val="00B46917"/>
    <w:rsid w:val="00B46949"/>
    <w:rsid w:val="00B4698D"/>
    <w:rsid w:val="00B46B74"/>
    <w:rsid w:val="00B46B99"/>
    <w:rsid w:val="00B46E06"/>
    <w:rsid w:val="00B46EFA"/>
    <w:rsid w:val="00B47003"/>
    <w:rsid w:val="00B47045"/>
    <w:rsid w:val="00B470B3"/>
    <w:rsid w:val="00B47104"/>
    <w:rsid w:val="00B47111"/>
    <w:rsid w:val="00B47134"/>
    <w:rsid w:val="00B471DF"/>
    <w:rsid w:val="00B473D8"/>
    <w:rsid w:val="00B47401"/>
    <w:rsid w:val="00B47498"/>
    <w:rsid w:val="00B474FD"/>
    <w:rsid w:val="00B4752B"/>
    <w:rsid w:val="00B4778B"/>
    <w:rsid w:val="00B478DE"/>
    <w:rsid w:val="00B47BE2"/>
    <w:rsid w:val="00B47BE3"/>
    <w:rsid w:val="00B47C6C"/>
    <w:rsid w:val="00B47C72"/>
    <w:rsid w:val="00B47DF8"/>
    <w:rsid w:val="00B47F5E"/>
    <w:rsid w:val="00B5004B"/>
    <w:rsid w:val="00B503C9"/>
    <w:rsid w:val="00B505BD"/>
    <w:rsid w:val="00B505C0"/>
    <w:rsid w:val="00B50676"/>
    <w:rsid w:val="00B5077F"/>
    <w:rsid w:val="00B508D5"/>
    <w:rsid w:val="00B50A76"/>
    <w:rsid w:val="00B50B43"/>
    <w:rsid w:val="00B50C6B"/>
    <w:rsid w:val="00B50ED7"/>
    <w:rsid w:val="00B50FFC"/>
    <w:rsid w:val="00B51016"/>
    <w:rsid w:val="00B51029"/>
    <w:rsid w:val="00B51216"/>
    <w:rsid w:val="00B5141F"/>
    <w:rsid w:val="00B5147D"/>
    <w:rsid w:val="00B51935"/>
    <w:rsid w:val="00B51B3C"/>
    <w:rsid w:val="00B51B99"/>
    <w:rsid w:val="00B51C06"/>
    <w:rsid w:val="00B51C4D"/>
    <w:rsid w:val="00B51CC9"/>
    <w:rsid w:val="00B51D38"/>
    <w:rsid w:val="00B51E45"/>
    <w:rsid w:val="00B51E68"/>
    <w:rsid w:val="00B51EDD"/>
    <w:rsid w:val="00B51F6B"/>
    <w:rsid w:val="00B5223E"/>
    <w:rsid w:val="00B52386"/>
    <w:rsid w:val="00B523F3"/>
    <w:rsid w:val="00B52488"/>
    <w:rsid w:val="00B524A7"/>
    <w:rsid w:val="00B52600"/>
    <w:rsid w:val="00B52674"/>
    <w:rsid w:val="00B5278B"/>
    <w:rsid w:val="00B52967"/>
    <w:rsid w:val="00B52A29"/>
    <w:rsid w:val="00B52B64"/>
    <w:rsid w:val="00B52C1A"/>
    <w:rsid w:val="00B52D56"/>
    <w:rsid w:val="00B52D98"/>
    <w:rsid w:val="00B52DCC"/>
    <w:rsid w:val="00B52FBC"/>
    <w:rsid w:val="00B53074"/>
    <w:rsid w:val="00B53134"/>
    <w:rsid w:val="00B531B4"/>
    <w:rsid w:val="00B5346D"/>
    <w:rsid w:val="00B53638"/>
    <w:rsid w:val="00B53783"/>
    <w:rsid w:val="00B537AC"/>
    <w:rsid w:val="00B53847"/>
    <w:rsid w:val="00B5396D"/>
    <w:rsid w:val="00B53A5A"/>
    <w:rsid w:val="00B53B0C"/>
    <w:rsid w:val="00B53C62"/>
    <w:rsid w:val="00B53D29"/>
    <w:rsid w:val="00B53D55"/>
    <w:rsid w:val="00B53DE0"/>
    <w:rsid w:val="00B53E77"/>
    <w:rsid w:val="00B53EE4"/>
    <w:rsid w:val="00B53F35"/>
    <w:rsid w:val="00B54016"/>
    <w:rsid w:val="00B54135"/>
    <w:rsid w:val="00B5419C"/>
    <w:rsid w:val="00B54279"/>
    <w:rsid w:val="00B544D8"/>
    <w:rsid w:val="00B54524"/>
    <w:rsid w:val="00B549C7"/>
    <w:rsid w:val="00B54B50"/>
    <w:rsid w:val="00B54B73"/>
    <w:rsid w:val="00B54BAC"/>
    <w:rsid w:val="00B54BC7"/>
    <w:rsid w:val="00B54C10"/>
    <w:rsid w:val="00B54C4B"/>
    <w:rsid w:val="00B54C98"/>
    <w:rsid w:val="00B54D17"/>
    <w:rsid w:val="00B54E15"/>
    <w:rsid w:val="00B54F87"/>
    <w:rsid w:val="00B55223"/>
    <w:rsid w:val="00B55262"/>
    <w:rsid w:val="00B552A0"/>
    <w:rsid w:val="00B552A2"/>
    <w:rsid w:val="00B55383"/>
    <w:rsid w:val="00B55397"/>
    <w:rsid w:val="00B55440"/>
    <w:rsid w:val="00B554EA"/>
    <w:rsid w:val="00B55504"/>
    <w:rsid w:val="00B55884"/>
    <w:rsid w:val="00B5590F"/>
    <w:rsid w:val="00B55950"/>
    <w:rsid w:val="00B55A98"/>
    <w:rsid w:val="00B55AF1"/>
    <w:rsid w:val="00B55BA0"/>
    <w:rsid w:val="00B55C06"/>
    <w:rsid w:val="00B55C48"/>
    <w:rsid w:val="00B55D58"/>
    <w:rsid w:val="00B55D83"/>
    <w:rsid w:val="00B55E89"/>
    <w:rsid w:val="00B55FD0"/>
    <w:rsid w:val="00B56084"/>
    <w:rsid w:val="00B561CB"/>
    <w:rsid w:val="00B56215"/>
    <w:rsid w:val="00B5630D"/>
    <w:rsid w:val="00B56333"/>
    <w:rsid w:val="00B56544"/>
    <w:rsid w:val="00B566AC"/>
    <w:rsid w:val="00B56792"/>
    <w:rsid w:val="00B567B6"/>
    <w:rsid w:val="00B567F4"/>
    <w:rsid w:val="00B56B0F"/>
    <w:rsid w:val="00B56B25"/>
    <w:rsid w:val="00B56C1A"/>
    <w:rsid w:val="00B56D4D"/>
    <w:rsid w:val="00B56DD6"/>
    <w:rsid w:val="00B56E97"/>
    <w:rsid w:val="00B56FFF"/>
    <w:rsid w:val="00B573D8"/>
    <w:rsid w:val="00B57445"/>
    <w:rsid w:val="00B574AB"/>
    <w:rsid w:val="00B57550"/>
    <w:rsid w:val="00B5762F"/>
    <w:rsid w:val="00B576C4"/>
    <w:rsid w:val="00B576C6"/>
    <w:rsid w:val="00B57723"/>
    <w:rsid w:val="00B577DD"/>
    <w:rsid w:val="00B57AD4"/>
    <w:rsid w:val="00B57C05"/>
    <w:rsid w:val="00B57C3A"/>
    <w:rsid w:val="00B57D18"/>
    <w:rsid w:val="00B57D3B"/>
    <w:rsid w:val="00B57E10"/>
    <w:rsid w:val="00B57E52"/>
    <w:rsid w:val="00B57EEA"/>
    <w:rsid w:val="00B57F02"/>
    <w:rsid w:val="00B57F65"/>
    <w:rsid w:val="00B57FF2"/>
    <w:rsid w:val="00B60416"/>
    <w:rsid w:val="00B60566"/>
    <w:rsid w:val="00B605E1"/>
    <w:rsid w:val="00B6063B"/>
    <w:rsid w:val="00B60791"/>
    <w:rsid w:val="00B607B4"/>
    <w:rsid w:val="00B607B8"/>
    <w:rsid w:val="00B60916"/>
    <w:rsid w:val="00B609E8"/>
    <w:rsid w:val="00B60C02"/>
    <w:rsid w:val="00B60C82"/>
    <w:rsid w:val="00B60C92"/>
    <w:rsid w:val="00B60CB9"/>
    <w:rsid w:val="00B60D90"/>
    <w:rsid w:val="00B60EC1"/>
    <w:rsid w:val="00B60F19"/>
    <w:rsid w:val="00B6106F"/>
    <w:rsid w:val="00B611B5"/>
    <w:rsid w:val="00B612B1"/>
    <w:rsid w:val="00B61324"/>
    <w:rsid w:val="00B61430"/>
    <w:rsid w:val="00B615C1"/>
    <w:rsid w:val="00B6174A"/>
    <w:rsid w:val="00B617E8"/>
    <w:rsid w:val="00B6182A"/>
    <w:rsid w:val="00B618E8"/>
    <w:rsid w:val="00B619CE"/>
    <w:rsid w:val="00B61A4F"/>
    <w:rsid w:val="00B61AAD"/>
    <w:rsid w:val="00B61BB4"/>
    <w:rsid w:val="00B61E20"/>
    <w:rsid w:val="00B61E43"/>
    <w:rsid w:val="00B61FCB"/>
    <w:rsid w:val="00B620E8"/>
    <w:rsid w:val="00B622AA"/>
    <w:rsid w:val="00B622F7"/>
    <w:rsid w:val="00B62373"/>
    <w:rsid w:val="00B623CE"/>
    <w:rsid w:val="00B624BF"/>
    <w:rsid w:val="00B625D7"/>
    <w:rsid w:val="00B6269E"/>
    <w:rsid w:val="00B626FB"/>
    <w:rsid w:val="00B62761"/>
    <w:rsid w:val="00B62945"/>
    <w:rsid w:val="00B62B51"/>
    <w:rsid w:val="00B62BEE"/>
    <w:rsid w:val="00B62CD2"/>
    <w:rsid w:val="00B63173"/>
    <w:rsid w:val="00B631E8"/>
    <w:rsid w:val="00B63212"/>
    <w:rsid w:val="00B63213"/>
    <w:rsid w:val="00B635BA"/>
    <w:rsid w:val="00B635BF"/>
    <w:rsid w:val="00B6375A"/>
    <w:rsid w:val="00B63806"/>
    <w:rsid w:val="00B638BC"/>
    <w:rsid w:val="00B639DE"/>
    <w:rsid w:val="00B63B73"/>
    <w:rsid w:val="00B63BA6"/>
    <w:rsid w:val="00B63F67"/>
    <w:rsid w:val="00B63FA8"/>
    <w:rsid w:val="00B63FB6"/>
    <w:rsid w:val="00B64001"/>
    <w:rsid w:val="00B64112"/>
    <w:rsid w:val="00B6413D"/>
    <w:rsid w:val="00B64214"/>
    <w:rsid w:val="00B643E0"/>
    <w:rsid w:val="00B64537"/>
    <w:rsid w:val="00B645E4"/>
    <w:rsid w:val="00B646AD"/>
    <w:rsid w:val="00B64701"/>
    <w:rsid w:val="00B64729"/>
    <w:rsid w:val="00B6479D"/>
    <w:rsid w:val="00B6481F"/>
    <w:rsid w:val="00B6486F"/>
    <w:rsid w:val="00B6488B"/>
    <w:rsid w:val="00B64A0F"/>
    <w:rsid w:val="00B64B4B"/>
    <w:rsid w:val="00B64BCC"/>
    <w:rsid w:val="00B64CD9"/>
    <w:rsid w:val="00B64CF1"/>
    <w:rsid w:val="00B64DBB"/>
    <w:rsid w:val="00B64DC7"/>
    <w:rsid w:val="00B64E51"/>
    <w:rsid w:val="00B64EA7"/>
    <w:rsid w:val="00B64FAF"/>
    <w:rsid w:val="00B651AE"/>
    <w:rsid w:val="00B65243"/>
    <w:rsid w:val="00B65297"/>
    <w:rsid w:val="00B65301"/>
    <w:rsid w:val="00B65302"/>
    <w:rsid w:val="00B6534E"/>
    <w:rsid w:val="00B6538B"/>
    <w:rsid w:val="00B655C4"/>
    <w:rsid w:val="00B655F3"/>
    <w:rsid w:val="00B656EB"/>
    <w:rsid w:val="00B657CC"/>
    <w:rsid w:val="00B6583C"/>
    <w:rsid w:val="00B6598A"/>
    <w:rsid w:val="00B659C7"/>
    <w:rsid w:val="00B65AE9"/>
    <w:rsid w:val="00B65B13"/>
    <w:rsid w:val="00B65BCB"/>
    <w:rsid w:val="00B65DAF"/>
    <w:rsid w:val="00B65E83"/>
    <w:rsid w:val="00B65EE8"/>
    <w:rsid w:val="00B661A1"/>
    <w:rsid w:val="00B661D6"/>
    <w:rsid w:val="00B6629F"/>
    <w:rsid w:val="00B662A0"/>
    <w:rsid w:val="00B6630B"/>
    <w:rsid w:val="00B6635A"/>
    <w:rsid w:val="00B66462"/>
    <w:rsid w:val="00B664CF"/>
    <w:rsid w:val="00B66585"/>
    <w:rsid w:val="00B66682"/>
    <w:rsid w:val="00B6687C"/>
    <w:rsid w:val="00B6688A"/>
    <w:rsid w:val="00B66A70"/>
    <w:rsid w:val="00B66B26"/>
    <w:rsid w:val="00B66BA4"/>
    <w:rsid w:val="00B66C92"/>
    <w:rsid w:val="00B66CD6"/>
    <w:rsid w:val="00B66CF4"/>
    <w:rsid w:val="00B66DE0"/>
    <w:rsid w:val="00B66E33"/>
    <w:rsid w:val="00B66EFE"/>
    <w:rsid w:val="00B670BC"/>
    <w:rsid w:val="00B671B3"/>
    <w:rsid w:val="00B67219"/>
    <w:rsid w:val="00B672BC"/>
    <w:rsid w:val="00B673A0"/>
    <w:rsid w:val="00B673FB"/>
    <w:rsid w:val="00B67659"/>
    <w:rsid w:val="00B6784F"/>
    <w:rsid w:val="00B679B0"/>
    <w:rsid w:val="00B67BC4"/>
    <w:rsid w:val="00B67C41"/>
    <w:rsid w:val="00B67C67"/>
    <w:rsid w:val="00B67D61"/>
    <w:rsid w:val="00B700BA"/>
    <w:rsid w:val="00B701D4"/>
    <w:rsid w:val="00B70201"/>
    <w:rsid w:val="00B70440"/>
    <w:rsid w:val="00B704B6"/>
    <w:rsid w:val="00B704D5"/>
    <w:rsid w:val="00B704DE"/>
    <w:rsid w:val="00B70564"/>
    <w:rsid w:val="00B705CC"/>
    <w:rsid w:val="00B70671"/>
    <w:rsid w:val="00B706BA"/>
    <w:rsid w:val="00B70721"/>
    <w:rsid w:val="00B70745"/>
    <w:rsid w:val="00B70749"/>
    <w:rsid w:val="00B708B6"/>
    <w:rsid w:val="00B70920"/>
    <w:rsid w:val="00B70981"/>
    <w:rsid w:val="00B70A24"/>
    <w:rsid w:val="00B70A84"/>
    <w:rsid w:val="00B70B00"/>
    <w:rsid w:val="00B70E5C"/>
    <w:rsid w:val="00B70EF3"/>
    <w:rsid w:val="00B710A6"/>
    <w:rsid w:val="00B7122B"/>
    <w:rsid w:val="00B712D5"/>
    <w:rsid w:val="00B712F7"/>
    <w:rsid w:val="00B71303"/>
    <w:rsid w:val="00B71306"/>
    <w:rsid w:val="00B7144B"/>
    <w:rsid w:val="00B71470"/>
    <w:rsid w:val="00B714DA"/>
    <w:rsid w:val="00B71611"/>
    <w:rsid w:val="00B716EF"/>
    <w:rsid w:val="00B7174B"/>
    <w:rsid w:val="00B7176E"/>
    <w:rsid w:val="00B71772"/>
    <w:rsid w:val="00B71790"/>
    <w:rsid w:val="00B71A25"/>
    <w:rsid w:val="00B71E81"/>
    <w:rsid w:val="00B71F6E"/>
    <w:rsid w:val="00B72145"/>
    <w:rsid w:val="00B72272"/>
    <w:rsid w:val="00B722D4"/>
    <w:rsid w:val="00B72338"/>
    <w:rsid w:val="00B72340"/>
    <w:rsid w:val="00B7249A"/>
    <w:rsid w:val="00B724BD"/>
    <w:rsid w:val="00B72538"/>
    <w:rsid w:val="00B7255F"/>
    <w:rsid w:val="00B72592"/>
    <w:rsid w:val="00B72600"/>
    <w:rsid w:val="00B726A9"/>
    <w:rsid w:val="00B728CD"/>
    <w:rsid w:val="00B728D6"/>
    <w:rsid w:val="00B72A9C"/>
    <w:rsid w:val="00B72B94"/>
    <w:rsid w:val="00B72BDB"/>
    <w:rsid w:val="00B72C2C"/>
    <w:rsid w:val="00B72C7A"/>
    <w:rsid w:val="00B72D95"/>
    <w:rsid w:val="00B72EC6"/>
    <w:rsid w:val="00B72F70"/>
    <w:rsid w:val="00B73010"/>
    <w:rsid w:val="00B730B4"/>
    <w:rsid w:val="00B73123"/>
    <w:rsid w:val="00B73124"/>
    <w:rsid w:val="00B732A3"/>
    <w:rsid w:val="00B732E3"/>
    <w:rsid w:val="00B73302"/>
    <w:rsid w:val="00B73607"/>
    <w:rsid w:val="00B73726"/>
    <w:rsid w:val="00B73761"/>
    <w:rsid w:val="00B73992"/>
    <w:rsid w:val="00B73CC8"/>
    <w:rsid w:val="00B73D99"/>
    <w:rsid w:val="00B73E97"/>
    <w:rsid w:val="00B740C3"/>
    <w:rsid w:val="00B74123"/>
    <w:rsid w:val="00B7414B"/>
    <w:rsid w:val="00B741DF"/>
    <w:rsid w:val="00B7435C"/>
    <w:rsid w:val="00B74448"/>
    <w:rsid w:val="00B74473"/>
    <w:rsid w:val="00B74534"/>
    <w:rsid w:val="00B746F3"/>
    <w:rsid w:val="00B74751"/>
    <w:rsid w:val="00B74855"/>
    <w:rsid w:val="00B748CB"/>
    <w:rsid w:val="00B748CF"/>
    <w:rsid w:val="00B748F0"/>
    <w:rsid w:val="00B74FD7"/>
    <w:rsid w:val="00B75187"/>
    <w:rsid w:val="00B7524B"/>
    <w:rsid w:val="00B75254"/>
    <w:rsid w:val="00B75475"/>
    <w:rsid w:val="00B755FE"/>
    <w:rsid w:val="00B7592C"/>
    <w:rsid w:val="00B75AF7"/>
    <w:rsid w:val="00B75BE1"/>
    <w:rsid w:val="00B75CAC"/>
    <w:rsid w:val="00B75DA0"/>
    <w:rsid w:val="00B75FBE"/>
    <w:rsid w:val="00B75FCF"/>
    <w:rsid w:val="00B75FE9"/>
    <w:rsid w:val="00B7602E"/>
    <w:rsid w:val="00B7627D"/>
    <w:rsid w:val="00B76370"/>
    <w:rsid w:val="00B7637F"/>
    <w:rsid w:val="00B763FF"/>
    <w:rsid w:val="00B7654D"/>
    <w:rsid w:val="00B76596"/>
    <w:rsid w:val="00B7665E"/>
    <w:rsid w:val="00B76744"/>
    <w:rsid w:val="00B76841"/>
    <w:rsid w:val="00B769CA"/>
    <w:rsid w:val="00B76B30"/>
    <w:rsid w:val="00B76FBB"/>
    <w:rsid w:val="00B770A3"/>
    <w:rsid w:val="00B77468"/>
    <w:rsid w:val="00B775B3"/>
    <w:rsid w:val="00B775EF"/>
    <w:rsid w:val="00B77693"/>
    <w:rsid w:val="00B77721"/>
    <w:rsid w:val="00B779A9"/>
    <w:rsid w:val="00B77AC6"/>
    <w:rsid w:val="00B77C9F"/>
    <w:rsid w:val="00B77DE8"/>
    <w:rsid w:val="00B77E4C"/>
    <w:rsid w:val="00B77EA5"/>
    <w:rsid w:val="00B8005D"/>
    <w:rsid w:val="00B8007B"/>
    <w:rsid w:val="00B8050D"/>
    <w:rsid w:val="00B80652"/>
    <w:rsid w:val="00B80719"/>
    <w:rsid w:val="00B807AE"/>
    <w:rsid w:val="00B809C7"/>
    <w:rsid w:val="00B809DB"/>
    <w:rsid w:val="00B809F5"/>
    <w:rsid w:val="00B80B54"/>
    <w:rsid w:val="00B80B87"/>
    <w:rsid w:val="00B80C12"/>
    <w:rsid w:val="00B80C32"/>
    <w:rsid w:val="00B80D87"/>
    <w:rsid w:val="00B80E97"/>
    <w:rsid w:val="00B80F60"/>
    <w:rsid w:val="00B80FE9"/>
    <w:rsid w:val="00B810F9"/>
    <w:rsid w:val="00B81153"/>
    <w:rsid w:val="00B812E2"/>
    <w:rsid w:val="00B81322"/>
    <w:rsid w:val="00B81368"/>
    <w:rsid w:val="00B8136F"/>
    <w:rsid w:val="00B81409"/>
    <w:rsid w:val="00B81595"/>
    <w:rsid w:val="00B815F8"/>
    <w:rsid w:val="00B81652"/>
    <w:rsid w:val="00B816A1"/>
    <w:rsid w:val="00B819EC"/>
    <w:rsid w:val="00B81B7B"/>
    <w:rsid w:val="00B81B87"/>
    <w:rsid w:val="00B82017"/>
    <w:rsid w:val="00B820B7"/>
    <w:rsid w:val="00B821F7"/>
    <w:rsid w:val="00B822DB"/>
    <w:rsid w:val="00B8241F"/>
    <w:rsid w:val="00B824A2"/>
    <w:rsid w:val="00B82919"/>
    <w:rsid w:val="00B82A57"/>
    <w:rsid w:val="00B82AFD"/>
    <w:rsid w:val="00B82C98"/>
    <w:rsid w:val="00B82CB8"/>
    <w:rsid w:val="00B82CD0"/>
    <w:rsid w:val="00B82E5E"/>
    <w:rsid w:val="00B82F6A"/>
    <w:rsid w:val="00B82FBE"/>
    <w:rsid w:val="00B83111"/>
    <w:rsid w:val="00B83138"/>
    <w:rsid w:val="00B832F0"/>
    <w:rsid w:val="00B83348"/>
    <w:rsid w:val="00B83530"/>
    <w:rsid w:val="00B835A1"/>
    <w:rsid w:val="00B83AAC"/>
    <w:rsid w:val="00B83BC6"/>
    <w:rsid w:val="00B83BDF"/>
    <w:rsid w:val="00B83CD5"/>
    <w:rsid w:val="00B83F5F"/>
    <w:rsid w:val="00B83F84"/>
    <w:rsid w:val="00B83F92"/>
    <w:rsid w:val="00B83F97"/>
    <w:rsid w:val="00B84359"/>
    <w:rsid w:val="00B844F3"/>
    <w:rsid w:val="00B84523"/>
    <w:rsid w:val="00B8465E"/>
    <w:rsid w:val="00B84686"/>
    <w:rsid w:val="00B84838"/>
    <w:rsid w:val="00B848B0"/>
    <w:rsid w:val="00B849A0"/>
    <w:rsid w:val="00B849A5"/>
    <w:rsid w:val="00B849AA"/>
    <w:rsid w:val="00B84A4B"/>
    <w:rsid w:val="00B84CD4"/>
    <w:rsid w:val="00B84DDD"/>
    <w:rsid w:val="00B84EB2"/>
    <w:rsid w:val="00B84ECF"/>
    <w:rsid w:val="00B851CB"/>
    <w:rsid w:val="00B85238"/>
    <w:rsid w:val="00B852C2"/>
    <w:rsid w:val="00B853E4"/>
    <w:rsid w:val="00B853E5"/>
    <w:rsid w:val="00B8549D"/>
    <w:rsid w:val="00B854DF"/>
    <w:rsid w:val="00B85679"/>
    <w:rsid w:val="00B85683"/>
    <w:rsid w:val="00B85746"/>
    <w:rsid w:val="00B85751"/>
    <w:rsid w:val="00B857EA"/>
    <w:rsid w:val="00B85823"/>
    <w:rsid w:val="00B859E2"/>
    <w:rsid w:val="00B85A31"/>
    <w:rsid w:val="00B85AEA"/>
    <w:rsid w:val="00B85BA3"/>
    <w:rsid w:val="00B85D04"/>
    <w:rsid w:val="00B85D0D"/>
    <w:rsid w:val="00B85D50"/>
    <w:rsid w:val="00B85DC6"/>
    <w:rsid w:val="00B85DD6"/>
    <w:rsid w:val="00B8612C"/>
    <w:rsid w:val="00B86195"/>
    <w:rsid w:val="00B862B8"/>
    <w:rsid w:val="00B8646A"/>
    <w:rsid w:val="00B8674B"/>
    <w:rsid w:val="00B867B4"/>
    <w:rsid w:val="00B867CF"/>
    <w:rsid w:val="00B8696F"/>
    <w:rsid w:val="00B86B08"/>
    <w:rsid w:val="00B86CB4"/>
    <w:rsid w:val="00B86D6F"/>
    <w:rsid w:val="00B86DA6"/>
    <w:rsid w:val="00B86DAA"/>
    <w:rsid w:val="00B86DBF"/>
    <w:rsid w:val="00B86DE3"/>
    <w:rsid w:val="00B871A0"/>
    <w:rsid w:val="00B873A3"/>
    <w:rsid w:val="00B876DB"/>
    <w:rsid w:val="00B87826"/>
    <w:rsid w:val="00B87851"/>
    <w:rsid w:val="00B878B6"/>
    <w:rsid w:val="00B8799C"/>
    <w:rsid w:val="00B87B0E"/>
    <w:rsid w:val="00B87CE4"/>
    <w:rsid w:val="00B87D60"/>
    <w:rsid w:val="00B87D90"/>
    <w:rsid w:val="00B87DF8"/>
    <w:rsid w:val="00B87F45"/>
    <w:rsid w:val="00B87FEA"/>
    <w:rsid w:val="00B900D7"/>
    <w:rsid w:val="00B900D9"/>
    <w:rsid w:val="00B90104"/>
    <w:rsid w:val="00B90136"/>
    <w:rsid w:val="00B901B0"/>
    <w:rsid w:val="00B902B4"/>
    <w:rsid w:val="00B90386"/>
    <w:rsid w:val="00B904B9"/>
    <w:rsid w:val="00B908C5"/>
    <w:rsid w:val="00B9091F"/>
    <w:rsid w:val="00B9094B"/>
    <w:rsid w:val="00B909A7"/>
    <w:rsid w:val="00B909C1"/>
    <w:rsid w:val="00B90B24"/>
    <w:rsid w:val="00B90D32"/>
    <w:rsid w:val="00B90F0D"/>
    <w:rsid w:val="00B90F6A"/>
    <w:rsid w:val="00B911BA"/>
    <w:rsid w:val="00B911F8"/>
    <w:rsid w:val="00B9124F"/>
    <w:rsid w:val="00B91416"/>
    <w:rsid w:val="00B91656"/>
    <w:rsid w:val="00B918C0"/>
    <w:rsid w:val="00B9193A"/>
    <w:rsid w:val="00B91995"/>
    <w:rsid w:val="00B91A41"/>
    <w:rsid w:val="00B91C21"/>
    <w:rsid w:val="00B91CD1"/>
    <w:rsid w:val="00B91DA3"/>
    <w:rsid w:val="00B92074"/>
    <w:rsid w:val="00B920AF"/>
    <w:rsid w:val="00B92145"/>
    <w:rsid w:val="00B921E5"/>
    <w:rsid w:val="00B92251"/>
    <w:rsid w:val="00B922CB"/>
    <w:rsid w:val="00B9257F"/>
    <w:rsid w:val="00B9269D"/>
    <w:rsid w:val="00B9272B"/>
    <w:rsid w:val="00B9295A"/>
    <w:rsid w:val="00B92CAB"/>
    <w:rsid w:val="00B92DC6"/>
    <w:rsid w:val="00B92DD5"/>
    <w:rsid w:val="00B92E58"/>
    <w:rsid w:val="00B92E5A"/>
    <w:rsid w:val="00B92E65"/>
    <w:rsid w:val="00B92ED4"/>
    <w:rsid w:val="00B92F12"/>
    <w:rsid w:val="00B92F38"/>
    <w:rsid w:val="00B92F49"/>
    <w:rsid w:val="00B92F58"/>
    <w:rsid w:val="00B92FD6"/>
    <w:rsid w:val="00B93154"/>
    <w:rsid w:val="00B932F1"/>
    <w:rsid w:val="00B93672"/>
    <w:rsid w:val="00B93786"/>
    <w:rsid w:val="00B93795"/>
    <w:rsid w:val="00B93ADF"/>
    <w:rsid w:val="00B93CEE"/>
    <w:rsid w:val="00B93CF9"/>
    <w:rsid w:val="00B93E0F"/>
    <w:rsid w:val="00B93F29"/>
    <w:rsid w:val="00B93FC4"/>
    <w:rsid w:val="00B942E3"/>
    <w:rsid w:val="00B943A0"/>
    <w:rsid w:val="00B94609"/>
    <w:rsid w:val="00B94657"/>
    <w:rsid w:val="00B946A0"/>
    <w:rsid w:val="00B94725"/>
    <w:rsid w:val="00B94793"/>
    <w:rsid w:val="00B94834"/>
    <w:rsid w:val="00B94867"/>
    <w:rsid w:val="00B94A17"/>
    <w:rsid w:val="00B94B0B"/>
    <w:rsid w:val="00B94F29"/>
    <w:rsid w:val="00B94FDB"/>
    <w:rsid w:val="00B95002"/>
    <w:rsid w:val="00B95089"/>
    <w:rsid w:val="00B95255"/>
    <w:rsid w:val="00B95290"/>
    <w:rsid w:val="00B9532E"/>
    <w:rsid w:val="00B955A3"/>
    <w:rsid w:val="00B955AC"/>
    <w:rsid w:val="00B9578B"/>
    <w:rsid w:val="00B95861"/>
    <w:rsid w:val="00B958D6"/>
    <w:rsid w:val="00B95998"/>
    <w:rsid w:val="00B95A07"/>
    <w:rsid w:val="00B95A74"/>
    <w:rsid w:val="00B95CC8"/>
    <w:rsid w:val="00B95F2C"/>
    <w:rsid w:val="00B95F78"/>
    <w:rsid w:val="00B95FE9"/>
    <w:rsid w:val="00B960C8"/>
    <w:rsid w:val="00B96270"/>
    <w:rsid w:val="00B96334"/>
    <w:rsid w:val="00B9649A"/>
    <w:rsid w:val="00B966B5"/>
    <w:rsid w:val="00B969A6"/>
    <w:rsid w:val="00B96A2E"/>
    <w:rsid w:val="00B96A8F"/>
    <w:rsid w:val="00B96B9A"/>
    <w:rsid w:val="00B96BEF"/>
    <w:rsid w:val="00B96C84"/>
    <w:rsid w:val="00B96CE8"/>
    <w:rsid w:val="00B96D34"/>
    <w:rsid w:val="00B97024"/>
    <w:rsid w:val="00B97065"/>
    <w:rsid w:val="00B970BB"/>
    <w:rsid w:val="00B9717A"/>
    <w:rsid w:val="00B971B7"/>
    <w:rsid w:val="00B97355"/>
    <w:rsid w:val="00B97462"/>
    <w:rsid w:val="00B974F1"/>
    <w:rsid w:val="00B975E8"/>
    <w:rsid w:val="00B975F7"/>
    <w:rsid w:val="00B97699"/>
    <w:rsid w:val="00B9772E"/>
    <w:rsid w:val="00B977CE"/>
    <w:rsid w:val="00B97807"/>
    <w:rsid w:val="00B97A23"/>
    <w:rsid w:val="00B97C61"/>
    <w:rsid w:val="00B97C9F"/>
    <w:rsid w:val="00B97E08"/>
    <w:rsid w:val="00B97F30"/>
    <w:rsid w:val="00BA0020"/>
    <w:rsid w:val="00BA0079"/>
    <w:rsid w:val="00BA012B"/>
    <w:rsid w:val="00BA065E"/>
    <w:rsid w:val="00BA0848"/>
    <w:rsid w:val="00BA091A"/>
    <w:rsid w:val="00BA0DC6"/>
    <w:rsid w:val="00BA0E16"/>
    <w:rsid w:val="00BA0E5B"/>
    <w:rsid w:val="00BA0F0A"/>
    <w:rsid w:val="00BA0FBE"/>
    <w:rsid w:val="00BA0FEB"/>
    <w:rsid w:val="00BA1049"/>
    <w:rsid w:val="00BA1124"/>
    <w:rsid w:val="00BA119C"/>
    <w:rsid w:val="00BA1396"/>
    <w:rsid w:val="00BA13A0"/>
    <w:rsid w:val="00BA1547"/>
    <w:rsid w:val="00BA168C"/>
    <w:rsid w:val="00BA16DB"/>
    <w:rsid w:val="00BA172D"/>
    <w:rsid w:val="00BA183A"/>
    <w:rsid w:val="00BA1938"/>
    <w:rsid w:val="00BA1946"/>
    <w:rsid w:val="00BA1998"/>
    <w:rsid w:val="00BA1AC7"/>
    <w:rsid w:val="00BA1C9C"/>
    <w:rsid w:val="00BA1DBA"/>
    <w:rsid w:val="00BA2037"/>
    <w:rsid w:val="00BA209C"/>
    <w:rsid w:val="00BA219C"/>
    <w:rsid w:val="00BA21AD"/>
    <w:rsid w:val="00BA21DF"/>
    <w:rsid w:val="00BA2226"/>
    <w:rsid w:val="00BA2252"/>
    <w:rsid w:val="00BA226A"/>
    <w:rsid w:val="00BA23F0"/>
    <w:rsid w:val="00BA23FF"/>
    <w:rsid w:val="00BA249B"/>
    <w:rsid w:val="00BA2680"/>
    <w:rsid w:val="00BA26F1"/>
    <w:rsid w:val="00BA27A1"/>
    <w:rsid w:val="00BA27BF"/>
    <w:rsid w:val="00BA27D8"/>
    <w:rsid w:val="00BA283E"/>
    <w:rsid w:val="00BA2A1C"/>
    <w:rsid w:val="00BA2A83"/>
    <w:rsid w:val="00BA2ACA"/>
    <w:rsid w:val="00BA2B03"/>
    <w:rsid w:val="00BA2E27"/>
    <w:rsid w:val="00BA2E44"/>
    <w:rsid w:val="00BA2F4A"/>
    <w:rsid w:val="00BA2F67"/>
    <w:rsid w:val="00BA2F92"/>
    <w:rsid w:val="00BA3165"/>
    <w:rsid w:val="00BA330A"/>
    <w:rsid w:val="00BA333C"/>
    <w:rsid w:val="00BA3371"/>
    <w:rsid w:val="00BA33CA"/>
    <w:rsid w:val="00BA33F9"/>
    <w:rsid w:val="00BA37E4"/>
    <w:rsid w:val="00BA380B"/>
    <w:rsid w:val="00BA3889"/>
    <w:rsid w:val="00BA38A0"/>
    <w:rsid w:val="00BA399B"/>
    <w:rsid w:val="00BA3A3A"/>
    <w:rsid w:val="00BA3A7C"/>
    <w:rsid w:val="00BA3CAC"/>
    <w:rsid w:val="00BA3D69"/>
    <w:rsid w:val="00BA3E25"/>
    <w:rsid w:val="00BA3ED1"/>
    <w:rsid w:val="00BA4107"/>
    <w:rsid w:val="00BA42EC"/>
    <w:rsid w:val="00BA43D0"/>
    <w:rsid w:val="00BA453C"/>
    <w:rsid w:val="00BA457A"/>
    <w:rsid w:val="00BA45FE"/>
    <w:rsid w:val="00BA46BE"/>
    <w:rsid w:val="00BA4802"/>
    <w:rsid w:val="00BA490B"/>
    <w:rsid w:val="00BA49B9"/>
    <w:rsid w:val="00BA4A9F"/>
    <w:rsid w:val="00BA4AEB"/>
    <w:rsid w:val="00BA4B8F"/>
    <w:rsid w:val="00BA4C53"/>
    <w:rsid w:val="00BA4DC4"/>
    <w:rsid w:val="00BA4E23"/>
    <w:rsid w:val="00BA4ECC"/>
    <w:rsid w:val="00BA51B4"/>
    <w:rsid w:val="00BA51C9"/>
    <w:rsid w:val="00BA5681"/>
    <w:rsid w:val="00BA56EB"/>
    <w:rsid w:val="00BA57D9"/>
    <w:rsid w:val="00BA57DA"/>
    <w:rsid w:val="00BA5881"/>
    <w:rsid w:val="00BA58E0"/>
    <w:rsid w:val="00BA58F5"/>
    <w:rsid w:val="00BA590F"/>
    <w:rsid w:val="00BA59CD"/>
    <w:rsid w:val="00BA5A6E"/>
    <w:rsid w:val="00BA5B14"/>
    <w:rsid w:val="00BA5C9D"/>
    <w:rsid w:val="00BA5D1C"/>
    <w:rsid w:val="00BA5FFB"/>
    <w:rsid w:val="00BA60E2"/>
    <w:rsid w:val="00BA618B"/>
    <w:rsid w:val="00BA61A5"/>
    <w:rsid w:val="00BA6211"/>
    <w:rsid w:val="00BA62F9"/>
    <w:rsid w:val="00BA668F"/>
    <w:rsid w:val="00BA66F9"/>
    <w:rsid w:val="00BA67BD"/>
    <w:rsid w:val="00BA67C4"/>
    <w:rsid w:val="00BA67E4"/>
    <w:rsid w:val="00BA6912"/>
    <w:rsid w:val="00BA698B"/>
    <w:rsid w:val="00BA6ABE"/>
    <w:rsid w:val="00BA6B82"/>
    <w:rsid w:val="00BA6BA6"/>
    <w:rsid w:val="00BA6C3C"/>
    <w:rsid w:val="00BA6E80"/>
    <w:rsid w:val="00BA6FA9"/>
    <w:rsid w:val="00BA7001"/>
    <w:rsid w:val="00BA70E9"/>
    <w:rsid w:val="00BA7240"/>
    <w:rsid w:val="00BA72EF"/>
    <w:rsid w:val="00BA7461"/>
    <w:rsid w:val="00BA791D"/>
    <w:rsid w:val="00BA79B0"/>
    <w:rsid w:val="00BA79B4"/>
    <w:rsid w:val="00BA7CE9"/>
    <w:rsid w:val="00BA7DA4"/>
    <w:rsid w:val="00BA7E07"/>
    <w:rsid w:val="00BA7F25"/>
    <w:rsid w:val="00BB008E"/>
    <w:rsid w:val="00BB0349"/>
    <w:rsid w:val="00BB03DB"/>
    <w:rsid w:val="00BB0744"/>
    <w:rsid w:val="00BB074B"/>
    <w:rsid w:val="00BB07F8"/>
    <w:rsid w:val="00BB097F"/>
    <w:rsid w:val="00BB0A7A"/>
    <w:rsid w:val="00BB0B17"/>
    <w:rsid w:val="00BB1014"/>
    <w:rsid w:val="00BB11A0"/>
    <w:rsid w:val="00BB1392"/>
    <w:rsid w:val="00BB1551"/>
    <w:rsid w:val="00BB162D"/>
    <w:rsid w:val="00BB165C"/>
    <w:rsid w:val="00BB1703"/>
    <w:rsid w:val="00BB18DC"/>
    <w:rsid w:val="00BB1FF4"/>
    <w:rsid w:val="00BB2020"/>
    <w:rsid w:val="00BB2024"/>
    <w:rsid w:val="00BB2226"/>
    <w:rsid w:val="00BB22F8"/>
    <w:rsid w:val="00BB231E"/>
    <w:rsid w:val="00BB246A"/>
    <w:rsid w:val="00BB2503"/>
    <w:rsid w:val="00BB26B3"/>
    <w:rsid w:val="00BB26E3"/>
    <w:rsid w:val="00BB2843"/>
    <w:rsid w:val="00BB294A"/>
    <w:rsid w:val="00BB2A57"/>
    <w:rsid w:val="00BB2B7B"/>
    <w:rsid w:val="00BB2B9E"/>
    <w:rsid w:val="00BB2E26"/>
    <w:rsid w:val="00BB2EA4"/>
    <w:rsid w:val="00BB2EBD"/>
    <w:rsid w:val="00BB31F9"/>
    <w:rsid w:val="00BB3201"/>
    <w:rsid w:val="00BB33DF"/>
    <w:rsid w:val="00BB35CA"/>
    <w:rsid w:val="00BB391C"/>
    <w:rsid w:val="00BB3964"/>
    <w:rsid w:val="00BB3B57"/>
    <w:rsid w:val="00BB3BBE"/>
    <w:rsid w:val="00BB3E78"/>
    <w:rsid w:val="00BB3FB7"/>
    <w:rsid w:val="00BB40B6"/>
    <w:rsid w:val="00BB433F"/>
    <w:rsid w:val="00BB438D"/>
    <w:rsid w:val="00BB474C"/>
    <w:rsid w:val="00BB47E0"/>
    <w:rsid w:val="00BB4949"/>
    <w:rsid w:val="00BB4A5C"/>
    <w:rsid w:val="00BB4B23"/>
    <w:rsid w:val="00BB4D5A"/>
    <w:rsid w:val="00BB5108"/>
    <w:rsid w:val="00BB523F"/>
    <w:rsid w:val="00BB54A2"/>
    <w:rsid w:val="00BB55F9"/>
    <w:rsid w:val="00BB5604"/>
    <w:rsid w:val="00BB5896"/>
    <w:rsid w:val="00BB592F"/>
    <w:rsid w:val="00BB5951"/>
    <w:rsid w:val="00BB59D2"/>
    <w:rsid w:val="00BB5A1A"/>
    <w:rsid w:val="00BB5A9A"/>
    <w:rsid w:val="00BB5B67"/>
    <w:rsid w:val="00BB5C2E"/>
    <w:rsid w:val="00BB5D05"/>
    <w:rsid w:val="00BB5D0D"/>
    <w:rsid w:val="00BB5DD8"/>
    <w:rsid w:val="00BB5E1D"/>
    <w:rsid w:val="00BB5E39"/>
    <w:rsid w:val="00BB600E"/>
    <w:rsid w:val="00BB6066"/>
    <w:rsid w:val="00BB6199"/>
    <w:rsid w:val="00BB6301"/>
    <w:rsid w:val="00BB6331"/>
    <w:rsid w:val="00BB63A2"/>
    <w:rsid w:val="00BB63CA"/>
    <w:rsid w:val="00BB642D"/>
    <w:rsid w:val="00BB6439"/>
    <w:rsid w:val="00BB64DD"/>
    <w:rsid w:val="00BB6531"/>
    <w:rsid w:val="00BB65D7"/>
    <w:rsid w:val="00BB662E"/>
    <w:rsid w:val="00BB66FC"/>
    <w:rsid w:val="00BB6722"/>
    <w:rsid w:val="00BB672B"/>
    <w:rsid w:val="00BB67D4"/>
    <w:rsid w:val="00BB6833"/>
    <w:rsid w:val="00BB68C8"/>
    <w:rsid w:val="00BB68FA"/>
    <w:rsid w:val="00BB6978"/>
    <w:rsid w:val="00BB6A6F"/>
    <w:rsid w:val="00BB6C48"/>
    <w:rsid w:val="00BB6D16"/>
    <w:rsid w:val="00BB6D1C"/>
    <w:rsid w:val="00BB6FF5"/>
    <w:rsid w:val="00BB7153"/>
    <w:rsid w:val="00BB72FB"/>
    <w:rsid w:val="00BB73B1"/>
    <w:rsid w:val="00BB73BD"/>
    <w:rsid w:val="00BB7480"/>
    <w:rsid w:val="00BB75BD"/>
    <w:rsid w:val="00BB764B"/>
    <w:rsid w:val="00BB7689"/>
    <w:rsid w:val="00BB7698"/>
    <w:rsid w:val="00BB77C5"/>
    <w:rsid w:val="00BB7889"/>
    <w:rsid w:val="00BB78C8"/>
    <w:rsid w:val="00BB78FB"/>
    <w:rsid w:val="00BB7922"/>
    <w:rsid w:val="00BB7965"/>
    <w:rsid w:val="00BB7BF3"/>
    <w:rsid w:val="00BB7C92"/>
    <w:rsid w:val="00BB7DA8"/>
    <w:rsid w:val="00BB7DD6"/>
    <w:rsid w:val="00BB7FBF"/>
    <w:rsid w:val="00BC0120"/>
    <w:rsid w:val="00BC0303"/>
    <w:rsid w:val="00BC046E"/>
    <w:rsid w:val="00BC049F"/>
    <w:rsid w:val="00BC06EB"/>
    <w:rsid w:val="00BC092A"/>
    <w:rsid w:val="00BC0C30"/>
    <w:rsid w:val="00BC0EA4"/>
    <w:rsid w:val="00BC0F17"/>
    <w:rsid w:val="00BC0FB8"/>
    <w:rsid w:val="00BC1083"/>
    <w:rsid w:val="00BC119F"/>
    <w:rsid w:val="00BC11FD"/>
    <w:rsid w:val="00BC1284"/>
    <w:rsid w:val="00BC128B"/>
    <w:rsid w:val="00BC13B3"/>
    <w:rsid w:val="00BC13E0"/>
    <w:rsid w:val="00BC1525"/>
    <w:rsid w:val="00BC15E7"/>
    <w:rsid w:val="00BC1645"/>
    <w:rsid w:val="00BC1932"/>
    <w:rsid w:val="00BC1ABA"/>
    <w:rsid w:val="00BC1CC7"/>
    <w:rsid w:val="00BC1D9B"/>
    <w:rsid w:val="00BC1E1E"/>
    <w:rsid w:val="00BC2071"/>
    <w:rsid w:val="00BC213E"/>
    <w:rsid w:val="00BC213F"/>
    <w:rsid w:val="00BC2237"/>
    <w:rsid w:val="00BC2305"/>
    <w:rsid w:val="00BC241D"/>
    <w:rsid w:val="00BC2596"/>
    <w:rsid w:val="00BC2645"/>
    <w:rsid w:val="00BC267F"/>
    <w:rsid w:val="00BC2704"/>
    <w:rsid w:val="00BC2707"/>
    <w:rsid w:val="00BC2738"/>
    <w:rsid w:val="00BC285A"/>
    <w:rsid w:val="00BC28BB"/>
    <w:rsid w:val="00BC2B10"/>
    <w:rsid w:val="00BC2D2C"/>
    <w:rsid w:val="00BC2D73"/>
    <w:rsid w:val="00BC2DEB"/>
    <w:rsid w:val="00BC30A9"/>
    <w:rsid w:val="00BC30B0"/>
    <w:rsid w:val="00BC325F"/>
    <w:rsid w:val="00BC3292"/>
    <w:rsid w:val="00BC3388"/>
    <w:rsid w:val="00BC33C5"/>
    <w:rsid w:val="00BC33C6"/>
    <w:rsid w:val="00BC3838"/>
    <w:rsid w:val="00BC392C"/>
    <w:rsid w:val="00BC396C"/>
    <w:rsid w:val="00BC39CD"/>
    <w:rsid w:val="00BC3B5D"/>
    <w:rsid w:val="00BC3D8D"/>
    <w:rsid w:val="00BC3E75"/>
    <w:rsid w:val="00BC3FCD"/>
    <w:rsid w:val="00BC4144"/>
    <w:rsid w:val="00BC41BD"/>
    <w:rsid w:val="00BC481A"/>
    <w:rsid w:val="00BC4892"/>
    <w:rsid w:val="00BC48E4"/>
    <w:rsid w:val="00BC4982"/>
    <w:rsid w:val="00BC49F8"/>
    <w:rsid w:val="00BC4BE5"/>
    <w:rsid w:val="00BC4C65"/>
    <w:rsid w:val="00BC4E08"/>
    <w:rsid w:val="00BC5064"/>
    <w:rsid w:val="00BC50D5"/>
    <w:rsid w:val="00BC5126"/>
    <w:rsid w:val="00BC524C"/>
    <w:rsid w:val="00BC5348"/>
    <w:rsid w:val="00BC542C"/>
    <w:rsid w:val="00BC545B"/>
    <w:rsid w:val="00BC54AB"/>
    <w:rsid w:val="00BC54B6"/>
    <w:rsid w:val="00BC55D1"/>
    <w:rsid w:val="00BC565A"/>
    <w:rsid w:val="00BC575B"/>
    <w:rsid w:val="00BC5834"/>
    <w:rsid w:val="00BC58BC"/>
    <w:rsid w:val="00BC5A9B"/>
    <w:rsid w:val="00BC5A9E"/>
    <w:rsid w:val="00BC5CFA"/>
    <w:rsid w:val="00BC5E48"/>
    <w:rsid w:val="00BC5E5B"/>
    <w:rsid w:val="00BC5F2B"/>
    <w:rsid w:val="00BC61D3"/>
    <w:rsid w:val="00BC63BB"/>
    <w:rsid w:val="00BC6488"/>
    <w:rsid w:val="00BC6650"/>
    <w:rsid w:val="00BC6667"/>
    <w:rsid w:val="00BC669D"/>
    <w:rsid w:val="00BC67EF"/>
    <w:rsid w:val="00BC6B20"/>
    <w:rsid w:val="00BC6B36"/>
    <w:rsid w:val="00BC6C25"/>
    <w:rsid w:val="00BC7012"/>
    <w:rsid w:val="00BC7077"/>
    <w:rsid w:val="00BC70C8"/>
    <w:rsid w:val="00BC7292"/>
    <w:rsid w:val="00BC729A"/>
    <w:rsid w:val="00BC7431"/>
    <w:rsid w:val="00BC75DC"/>
    <w:rsid w:val="00BC75F8"/>
    <w:rsid w:val="00BC760D"/>
    <w:rsid w:val="00BC7799"/>
    <w:rsid w:val="00BC7812"/>
    <w:rsid w:val="00BC782B"/>
    <w:rsid w:val="00BC78AA"/>
    <w:rsid w:val="00BC7B86"/>
    <w:rsid w:val="00BC7CFB"/>
    <w:rsid w:val="00BC7D51"/>
    <w:rsid w:val="00BC7D79"/>
    <w:rsid w:val="00BC7DE8"/>
    <w:rsid w:val="00BC7EBD"/>
    <w:rsid w:val="00BC7F01"/>
    <w:rsid w:val="00BC7F80"/>
    <w:rsid w:val="00BD00EB"/>
    <w:rsid w:val="00BD0305"/>
    <w:rsid w:val="00BD03A8"/>
    <w:rsid w:val="00BD03D7"/>
    <w:rsid w:val="00BD0484"/>
    <w:rsid w:val="00BD0582"/>
    <w:rsid w:val="00BD068F"/>
    <w:rsid w:val="00BD08AC"/>
    <w:rsid w:val="00BD0949"/>
    <w:rsid w:val="00BD0AC7"/>
    <w:rsid w:val="00BD0B3C"/>
    <w:rsid w:val="00BD0B84"/>
    <w:rsid w:val="00BD0B92"/>
    <w:rsid w:val="00BD0BD4"/>
    <w:rsid w:val="00BD0D5E"/>
    <w:rsid w:val="00BD0E6A"/>
    <w:rsid w:val="00BD0ED1"/>
    <w:rsid w:val="00BD0ED7"/>
    <w:rsid w:val="00BD1152"/>
    <w:rsid w:val="00BD1750"/>
    <w:rsid w:val="00BD17E5"/>
    <w:rsid w:val="00BD181A"/>
    <w:rsid w:val="00BD1ACE"/>
    <w:rsid w:val="00BD203E"/>
    <w:rsid w:val="00BD2098"/>
    <w:rsid w:val="00BD20A0"/>
    <w:rsid w:val="00BD2186"/>
    <w:rsid w:val="00BD222C"/>
    <w:rsid w:val="00BD252F"/>
    <w:rsid w:val="00BD2766"/>
    <w:rsid w:val="00BD28EB"/>
    <w:rsid w:val="00BD2982"/>
    <w:rsid w:val="00BD2BDD"/>
    <w:rsid w:val="00BD2BFE"/>
    <w:rsid w:val="00BD2DE4"/>
    <w:rsid w:val="00BD2F33"/>
    <w:rsid w:val="00BD2FAF"/>
    <w:rsid w:val="00BD30B7"/>
    <w:rsid w:val="00BD32C5"/>
    <w:rsid w:val="00BD33E6"/>
    <w:rsid w:val="00BD3533"/>
    <w:rsid w:val="00BD35E1"/>
    <w:rsid w:val="00BD35F2"/>
    <w:rsid w:val="00BD360A"/>
    <w:rsid w:val="00BD38DF"/>
    <w:rsid w:val="00BD3935"/>
    <w:rsid w:val="00BD3988"/>
    <w:rsid w:val="00BD39B6"/>
    <w:rsid w:val="00BD3B00"/>
    <w:rsid w:val="00BD3E39"/>
    <w:rsid w:val="00BD3F6E"/>
    <w:rsid w:val="00BD434B"/>
    <w:rsid w:val="00BD44A6"/>
    <w:rsid w:val="00BD45D7"/>
    <w:rsid w:val="00BD4600"/>
    <w:rsid w:val="00BD4662"/>
    <w:rsid w:val="00BD46F3"/>
    <w:rsid w:val="00BD4834"/>
    <w:rsid w:val="00BD48DD"/>
    <w:rsid w:val="00BD49B4"/>
    <w:rsid w:val="00BD4E2E"/>
    <w:rsid w:val="00BD4E46"/>
    <w:rsid w:val="00BD4E4E"/>
    <w:rsid w:val="00BD4E72"/>
    <w:rsid w:val="00BD51B7"/>
    <w:rsid w:val="00BD52EC"/>
    <w:rsid w:val="00BD5423"/>
    <w:rsid w:val="00BD5753"/>
    <w:rsid w:val="00BD5790"/>
    <w:rsid w:val="00BD58BB"/>
    <w:rsid w:val="00BD591A"/>
    <w:rsid w:val="00BD59EE"/>
    <w:rsid w:val="00BD5A19"/>
    <w:rsid w:val="00BD5ADF"/>
    <w:rsid w:val="00BD5D79"/>
    <w:rsid w:val="00BD60BB"/>
    <w:rsid w:val="00BD62DD"/>
    <w:rsid w:val="00BD6464"/>
    <w:rsid w:val="00BD6478"/>
    <w:rsid w:val="00BD65DA"/>
    <w:rsid w:val="00BD69FB"/>
    <w:rsid w:val="00BD6A11"/>
    <w:rsid w:val="00BD6B41"/>
    <w:rsid w:val="00BD6F95"/>
    <w:rsid w:val="00BD6F99"/>
    <w:rsid w:val="00BD7026"/>
    <w:rsid w:val="00BD70CB"/>
    <w:rsid w:val="00BD70F2"/>
    <w:rsid w:val="00BD712E"/>
    <w:rsid w:val="00BD7401"/>
    <w:rsid w:val="00BD78D1"/>
    <w:rsid w:val="00BD7A3D"/>
    <w:rsid w:val="00BD7AD8"/>
    <w:rsid w:val="00BD7B47"/>
    <w:rsid w:val="00BD7B96"/>
    <w:rsid w:val="00BD7C8C"/>
    <w:rsid w:val="00BD7D86"/>
    <w:rsid w:val="00BD7E5B"/>
    <w:rsid w:val="00BE0150"/>
    <w:rsid w:val="00BE031B"/>
    <w:rsid w:val="00BE064F"/>
    <w:rsid w:val="00BE0991"/>
    <w:rsid w:val="00BE0DC3"/>
    <w:rsid w:val="00BE0E0B"/>
    <w:rsid w:val="00BE0EB9"/>
    <w:rsid w:val="00BE0EEF"/>
    <w:rsid w:val="00BE1154"/>
    <w:rsid w:val="00BE144D"/>
    <w:rsid w:val="00BE1519"/>
    <w:rsid w:val="00BE1737"/>
    <w:rsid w:val="00BE1943"/>
    <w:rsid w:val="00BE1944"/>
    <w:rsid w:val="00BE1CF8"/>
    <w:rsid w:val="00BE1EAE"/>
    <w:rsid w:val="00BE1FB8"/>
    <w:rsid w:val="00BE2045"/>
    <w:rsid w:val="00BE2191"/>
    <w:rsid w:val="00BE22C6"/>
    <w:rsid w:val="00BE22D0"/>
    <w:rsid w:val="00BE24CD"/>
    <w:rsid w:val="00BE2712"/>
    <w:rsid w:val="00BE280F"/>
    <w:rsid w:val="00BE2AF9"/>
    <w:rsid w:val="00BE2C88"/>
    <w:rsid w:val="00BE2D1B"/>
    <w:rsid w:val="00BE2E7B"/>
    <w:rsid w:val="00BE2EA0"/>
    <w:rsid w:val="00BE2EAA"/>
    <w:rsid w:val="00BE305F"/>
    <w:rsid w:val="00BE31C8"/>
    <w:rsid w:val="00BE31E7"/>
    <w:rsid w:val="00BE3275"/>
    <w:rsid w:val="00BE3327"/>
    <w:rsid w:val="00BE3493"/>
    <w:rsid w:val="00BE35D3"/>
    <w:rsid w:val="00BE37B1"/>
    <w:rsid w:val="00BE3BAA"/>
    <w:rsid w:val="00BE3CA5"/>
    <w:rsid w:val="00BE3EEC"/>
    <w:rsid w:val="00BE4101"/>
    <w:rsid w:val="00BE4135"/>
    <w:rsid w:val="00BE4205"/>
    <w:rsid w:val="00BE4478"/>
    <w:rsid w:val="00BE44D1"/>
    <w:rsid w:val="00BE45A9"/>
    <w:rsid w:val="00BE45BD"/>
    <w:rsid w:val="00BE473B"/>
    <w:rsid w:val="00BE476C"/>
    <w:rsid w:val="00BE47A4"/>
    <w:rsid w:val="00BE489F"/>
    <w:rsid w:val="00BE48E1"/>
    <w:rsid w:val="00BE4987"/>
    <w:rsid w:val="00BE49DB"/>
    <w:rsid w:val="00BE4BD1"/>
    <w:rsid w:val="00BE4C69"/>
    <w:rsid w:val="00BE4C6F"/>
    <w:rsid w:val="00BE4DE9"/>
    <w:rsid w:val="00BE4F35"/>
    <w:rsid w:val="00BE4F8A"/>
    <w:rsid w:val="00BE4FDC"/>
    <w:rsid w:val="00BE5081"/>
    <w:rsid w:val="00BE5285"/>
    <w:rsid w:val="00BE529A"/>
    <w:rsid w:val="00BE542B"/>
    <w:rsid w:val="00BE544F"/>
    <w:rsid w:val="00BE54C2"/>
    <w:rsid w:val="00BE5951"/>
    <w:rsid w:val="00BE59F3"/>
    <w:rsid w:val="00BE5AB1"/>
    <w:rsid w:val="00BE5AFB"/>
    <w:rsid w:val="00BE5B42"/>
    <w:rsid w:val="00BE5C1C"/>
    <w:rsid w:val="00BE5CC1"/>
    <w:rsid w:val="00BE5CDB"/>
    <w:rsid w:val="00BE5D11"/>
    <w:rsid w:val="00BE5D50"/>
    <w:rsid w:val="00BE5D69"/>
    <w:rsid w:val="00BE5F15"/>
    <w:rsid w:val="00BE60B3"/>
    <w:rsid w:val="00BE61AD"/>
    <w:rsid w:val="00BE61B5"/>
    <w:rsid w:val="00BE62CF"/>
    <w:rsid w:val="00BE636F"/>
    <w:rsid w:val="00BE646E"/>
    <w:rsid w:val="00BE6571"/>
    <w:rsid w:val="00BE6688"/>
    <w:rsid w:val="00BE6697"/>
    <w:rsid w:val="00BE69ED"/>
    <w:rsid w:val="00BE6A3B"/>
    <w:rsid w:val="00BE6BD9"/>
    <w:rsid w:val="00BE6D59"/>
    <w:rsid w:val="00BE6DA1"/>
    <w:rsid w:val="00BE6E47"/>
    <w:rsid w:val="00BE6EF7"/>
    <w:rsid w:val="00BE706B"/>
    <w:rsid w:val="00BE7073"/>
    <w:rsid w:val="00BE7177"/>
    <w:rsid w:val="00BE71B9"/>
    <w:rsid w:val="00BE71F0"/>
    <w:rsid w:val="00BE725C"/>
    <w:rsid w:val="00BE726C"/>
    <w:rsid w:val="00BE75E6"/>
    <w:rsid w:val="00BE76AC"/>
    <w:rsid w:val="00BE7741"/>
    <w:rsid w:val="00BE777D"/>
    <w:rsid w:val="00BE77A2"/>
    <w:rsid w:val="00BE783C"/>
    <w:rsid w:val="00BE7872"/>
    <w:rsid w:val="00BE79F0"/>
    <w:rsid w:val="00BE7E48"/>
    <w:rsid w:val="00BE7E5A"/>
    <w:rsid w:val="00BE7F7D"/>
    <w:rsid w:val="00BE7FA1"/>
    <w:rsid w:val="00BF017F"/>
    <w:rsid w:val="00BF01BE"/>
    <w:rsid w:val="00BF01F0"/>
    <w:rsid w:val="00BF0222"/>
    <w:rsid w:val="00BF0326"/>
    <w:rsid w:val="00BF0344"/>
    <w:rsid w:val="00BF03C9"/>
    <w:rsid w:val="00BF045E"/>
    <w:rsid w:val="00BF04E3"/>
    <w:rsid w:val="00BF0642"/>
    <w:rsid w:val="00BF0646"/>
    <w:rsid w:val="00BF06A7"/>
    <w:rsid w:val="00BF06ED"/>
    <w:rsid w:val="00BF07E6"/>
    <w:rsid w:val="00BF0825"/>
    <w:rsid w:val="00BF0891"/>
    <w:rsid w:val="00BF0922"/>
    <w:rsid w:val="00BF0A15"/>
    <w:rsid w:val="00BF0ACB"/>
    <w:rsid w:val="00BF0C4B"/>
    <w:rsid w:val="00BF0C59"/>
    <w:rsid w:val="00BF0E41"/>
    <w:rsid w:val="00BF0EEE"/>
    <w:rsid w:val="00BF11CA"/>
    <w:rsid w:val="00BF11D7"/>
    <w:rsid w:val="00BF11F5"/>
    <w:rsid w:val="00BF1342"/>
    <w:rsid w:val="00BF144B"/>
    <w:rsid w:val="00BF1530"/>
    <w:rsid w:val="00BF15F3"/>
    <w:rsid w:val="00BF1683"/>
    <w:rsid w:val="00BF17ED"/>
    <w:rsid w:val="00BF197E"/>
    <w:rsid w:val="00BF19A1"/>
    <w:rsid w:val="00BF19AE"/>
    <w:rsid w:val="00BF1B22"/>
    <w:rsid w:val="00BF1B66"/>
    <w:rsid w:val="00BF1B98"/>
    <w:rsid w:val="00BF1C71"/>
    <w:rsid w:val="00BF1D56"/>
    <w:rsid w:val="00BF1F57"/>
    <w:rsid w:val="00BF1F74"/>
    <w:rsid w:val="00BF202E"/>
    <w:rsid w:val="00BF20E6"/>
    <w:rsid w:val="00BF21AA"/>
    <w:rsid w:val="00BF22A9"/>
    <w:rsid w:val="00BF22E6"/>
    <w:rsid w:val="00BF232C"/>
    <w:rsid w:val="00BF23BC"/>
    <w:rsid w:val="00BF2498"/>
    <w:rsid w:val="00BF24EE"/>
    <w:rsid w:val="00BF25F8"/>
    <w:rsid w:val="00BF2703"/>
    <w:rsid w:val="00BF2731"/>
    <w:rsid w:val="00BF2771"/>
    <w:rsid w:val="00BF289B"/>
    <w:rsid w:val="00BF290E"/>
    <w:rsid w:val="00BF2953"/>
    <w:rsid w:val="00BF29E7"/>
    <w:rsid w:val="00BF2AB6"/>
    <w:rsid w:val="00BF2BD8"/>
    <w:rsid w:val="00BF2C4E"/>
    <w:rsid w:val="00BF2CA4"/>
    <w:rsid w:val="00BF2CF6"/>
    <w:rsid w:val="00BF2D26"/>
    <w:rsid w:val="00BF2D5F"/>
    <w:rsid w:val="00BF2DAA"/>
    <w:rsid w:val="00BF2E0A"/>
    <w:rsid w:val="00BF2E58"/>
    <w:rsid w:val="00BF2F25"/>
    <w:rsid w:val="00BF32B9"/>
    <w:rsid w:val="00BF331C"/>
    <w:rsid w:val="00BF33DF"/>
    <w:rsid w:val="00BF343B"/>
    <w:rsid w:val="00BF3653"/>
    <w:rsid w:val="00BF385F"/>
    <w:rsid w:val="00BF3879"/>
    <w:rsid w:val="00BF39AA"/>
    <w:rsid w:val="00BF3B01"/>
    <w:rsid w:val="00BF3BC8"/>
    <w:rsid w:val="00BF3DCF"/>
    <w:rsid w:val="00BF44A7"/>
    <w:rsid w:val="00BF4606"/>
    <w:rsid w:val="00BF46EB"/>
    <w:rsid w:val="00BF471B"/>
    <w:rsid w:val="00BF496C"/>
    <w:rsid w:val="00BF4DBB"/>
    <w:rsid w:val="00BF4DD5"/>
    <w:rsid w:val="00BF4E2F"/>
    <w:rsid w:val="00BF4EA8"/>
    <w:rsid w:val="00BF4FCE"/>
    <w:rsid w:val="00BF50F7"/>
    <w:rsid w:val="00BF51F6"/>
    <w:rsid w:val="00BF5283"/>
    <w:rsid w:val="00BF5309"/>
    <w:rsid w:val="00BF53ED"/>
    <w:rsid w:val="00BF5444"/>
    <w:rsid w:val="00BF5457"/>
    <w:rsid w:val="00BF54CB"/>
    <w:rsid w:val="00BF55E8"/>
    <w:rsid w:val="00BF5669"/>
    <w:rsid w:val="00BF56C4"/>
    <w:rsid w:val="00BF574D"/>
    <w:rsid w:val="00BF5809"/>
    <w:rsid w:val="00BF5893"/>
    <w:rsid w:val="00BF5CE4"/>
    <w:rsid w:val="00BF5D66"/>
    <w:rsid w:val="00BF5DC7"/>
    <w:rsid w:val="00BF5E35"/>
    <w:rsid w:val="00BF6022"/>
    <w:rsid w:val="00BF602A"/>
    <w:rsid w:val="00BF6072"/>
    <w:rsid w:val="00BF60BD"/>
    <w:rsid w:val="00BF629F"/>
    <w:rsid w:val="00BF638F"/>
    <w:rsid w:val="00BF639E"/>
    <w:rsid w:val="00BF6455"/>
    <w:rsid w:val="00BF657A"/>
    <w:rsid w:val="00BF667D"/>
    <w:rsid w:val="00BF6697"/>
    <w:rsid w:val="00BF67F0"/>
    <w:rsid w:val="00BF697D"/>
    <w:rsid w:val="00BF6AE7"/>
    <w:rsid w:val="00BF6E14"/>
    <w:rsid w:val="00BF7076"/>
    <w:rsid w:val="00BF70DA"/>
    <w:rsid w:val="00BF70F2"/>
    <w:rsid w:val="00BF7195"/>
    <w:rsid w:val="00BF7344"/>
    <w:rsid w:val="00BF74C6"/>
    <w:rsid w:val="00BF74CA"/>
    <w:rsid w:val="00BF74F1"/>
    <w:rsid w:val="00BF75F8"/>
    <w:rsid w:val="00BF7760"/>
    <w:rsid w:val="00BF77D4"/>
    <w:rsid w:val="00BF7858"/>
    <w:rsid w:val="00BF78BD"/>
    <w:rsid w:val="00BF7ACB"/>
    <w:rsid w:val="00BF7B2D"/>
    <w:rsid w:val="00BF7CBB"/>
    <w:rsid w:val="00BF7E80"/>
    <w:rsid w:val="00C00125"/>
    <w:rsid w:val="00C00171"/>
    <w:rsid w:val="00C001D5"/>
    <w:rsid w:val="00C003D1"/>
    <w:rsid w:val="00C0046B"/>
    <w:rsid w:val="00C00475"/>
    <w:rsid w:val="00C005C7"/>
    <w:rsid w:val="00C00749"/>
    <w:rsid w:val="00C0078F"/>
    <w:rsid w:val="00C007D9"/>
    <w:rsid w:val="00C00BB3"/>
    <w:rsid w:val="00C00E91"/>
    <w:rsid w:val="00C01017"/>
    <w:rsid w:val="00C01078"/>
    <w:rsid w:val="00C01128"/>
    <w:rsid w:val="00C01199"/>
    <w:rsid w:val="00C011B5"/>
    <w:rsid w:val="00C01201"/>
    <w:rsid w:val="00C0124B"/>
    <w:rsid w:val="00C0129A"/>
    <w:rsid w:val="00C0146F"/>
    <w:rsid w:val="00C01471"/>
    <w:rsid w:val="00C01786"/>
    <w:rsid w:val="00C0195A"/>
    <w:rsid w:val="00C01969"/>
    <w:rsid w:val="00C01BD1"/>
    <w:rsid w:val="00C01DDC"/>
    <w:rsid w:val="00C01E2A"/>
    <w:rsid w:val="00C01E71"/>
    <w:rsid w:val="00C02105"/>
    <w:rsid w:val="00C02115"/>
    <w:rsid w:val="00C02208"/>
    <w:rsid w:val="00C02251"/>
    <w:rsid w:val="00C022A7"/>
    <w:rsid w:val="00C02358"/>
    <w:rsid w:val="00C0236D"/>
    <w:rsid w:val="00C02410"/>
    <w:rsid w:val="00C025F1"/>
    <w:rsid w:val="00C0287B"/>
    <w:rsid w:val="00C02B54"/>
    <w:rsid w:val="00C02C17"/>
    <w:rsid w:val="00C02DA1"/>
    <w:rsid w:val="00C02E34"/>
    <w:rsid w:val="00C02E4D"/>
    <w:rsid w:val="00C02E53"/>
    <w:rsid w:val="00C02F47"/>
    <w:rsid w:val="00C03145"/>
    <w:rsid w:val="00C031C1"/>
    <w:rsid w:val="00C03328"/>
    <w:rsid w:val="00C03334"/>
    <w:rsid w:val="00C033DF"/>
    <w:rsid w:val="00C03467"/>
    <w:rsid w:val="00C0364F"/>
    <w:rsid w:val="00C0366F"/>
    <w:rsid w:val="00C037F6"/>
    <w:rsid w:val="00C0389B"/>
    <w:rsid w:val="00C03975"/>
    <w:rsid w:val="00C0399C"/>
    <w:rsid w:val="00C039BC"/>
    <w:rsid w:val="00C03AEB"/>
    <w:rsid w:val="00C03B0E"/>
    <w:rsid w:val="00C03C5C"/>
    <w:rsid w:val="00C03D4C"/>
    <w:rsid w:val="00C03D6D"/>
    <w:rsid w:val="00C03D78"/>
    <w:rsid w:val="00C03E1C"/>
    <w:rsid w:val="00C03ED8"/>
    <w:rsid w:val="00C03F4F"/>
    <w:rsid w:val="00C03FFF"/>
    <w:rsid w:val="00C0415D"/>
    <w:rsid w:val="00C042BF"/>
    <w:rsid w:val="00C042DE"/>
    <w:rsid w:val="00C04460"/>
    <w:rsid w:val="00C045D2"/>
    <w:rsid w:val="00C04609"/>
    <w:rsid w:val="00C04696"/>
    <w:rsid w:val="00C046F9"/>
    <w:rsid w:val="00C047D3"/>
    <w:rsid w:val="00C04815"/>
    <w:rsid w:val="00C04B1B"/>
    <w:rsid w:val="00C04B97"/>
    <w:rsid w:val="00C04C11"/>
    <w:rsid w:val="00C04CE7"/>
    <w:rsid w:val="00C04D9D"/>
    <w:rsid w:val="00C04E55"/>
    <w:rsid w:val="00C04FF4"/>
    <w:rsid w:val="00C05066"/>
    <w:rsid w:val="00C050B5"/>
    <w:rsid w:val="00C050BC"/>
    <w:rsid w:val="00C0524B"/>
    <w:rsid w:val="00C05304"/>
    <w:rsid w:val="00C0543B"/>
    <w:rsid w:val="00C054F0"/>
    <w:rsid w:val="00C05715"/>
    <w:rsid w:val="00C057A8"/>
    <w:rsid w:val="00C05A0F"/>
    <w:rsid w:val="00C05AC3"/>
    <w:rsid w:val="00C05AD4"/>
    <w:rsid w:val="00C05AEB"/>
    <w:rsid w:val="00C05CA9"/>
    <w:rsid w:val="00C05F25"/>
    <w:rsid w:val="00C0607B"/>
    <w:rsid w:val="00C06159"/>
    <w:rsid w:val="00C0624D"/>
    <w:rsid w:val="00C06268"/>
    <w:rsid w:val="00C0640A"/>
    <w:rsid w:val="00C0649B"/>
    <w:rsid w:val="00C065B1"/>
    <w:rsid w:val="00C065F1"/>
    <w:rsid w:val="00C06631"/>
    <w:rsid w:val="00C067EB"/>
    <w:rsid w:val="00C06835"/>
    <w:rsid w:val="00C06918"/>
    <w:rsid w:val="00C06936"/>
    <w:rsid w:val="00C06A2F"/>
    <w:rsid w:val="00C06A82"/>
    <w:rsid w:val="00C06D62"/>
    <w:rsid w:val="00C06D7F"/>
    <w:rsid w:val="00C06E63"/>
    <w:rsid w:val="00C06EB2"/>
    <w:rsid w:val="00C07049"/>
    <w:rsid w:val="00C070B7"/>
    <w:rsid w:val="00C0717E"/>
    <w:rsid w:val="00C07235"/>
    <w:rsid w:val="00C0728D"/>
    <w:rsid w:val="00C075EB"/>
    <w:rsid w:val="00C07762"/>
    <w:rsid w:val="00C077B9"/>
    <w:rsid w:val="00C077C6"/>
    <w:rsid w:val="00C07814"/>
    <w:rsid w:val="00C07842"/>
    <w:rsid w:val="00C07A4C"/>
    <w:rsid w:val="00C07B05"/>
    <w:rsid w:val="00C07B41"/>
    <w:rsid w:val="00C07C7E"/>
    <w:rsid w:val="00C07D3B"/>
    <w:rsid w:val="00C07D8B"/>
    <w:rsid w:val="00C07E5A"/>
    <w:rsid w:val="00C07F39"/>
    <w:rsid w:val="00C1005A"/>
    <w:rsid w:val="00C100AB"/>
    <w:rsid w:val="00C100CE"/>
    <w:rsid w:val="00C100E5"/>
    <w:rsid w:val="00C10114"/>
    <w:rsid w:val="00C106FC"/>
    <w:rsid w:val="00C107B0"/>
    <w:rsid w:val="00C10929"/>
    <w:rsid w:val="00C109A1"/>
    <w:rsid w:val="00C10B01"/>
    <w:rsid w:val="00C10DF3"/>
    <w:rsid w:val="00C10F42"/>
    <w:rsid w:val="00C10FDA"/>
    <w:rsid w:val="00C11061"/>
    <w:rsid w:val="00C11087"/>
    <w:rsid w:val="00C11111"/>
    <w:rsid w:val="00C1119C"/>
    <w:rsid w:val="00C111A6"/>
    <w:rsid w:val="00C111F2"/>
    <w:rsid w:val="00C11248"/>
    <w:rsid w:val="00C112AC"/>
    <w:rsid w:val="00C11302"/>
    <w:rsid w:val="00C114FC"/>
    <w:rsid w:val="00C115CE"/>
    <w:rsid w:val="00C11685"/>
    <w:rsid w:val="00C11891"/>
    <w:rsid w:val="00C119B5"/>
    <w:rsid w:val="00C11B1E"/>
    <w:rsid w:val="00C11B7F"/>
    <w:rsid w:val="00C11BE5"/>
    <w:rsid w:val="00C11C6A"/>
    <w:rsid w:val="00C11CFC"/>
    <w:rsid w:val="00C11D68"/>
    <w:rsid w:val="00C1207D"/>
    <w:rsid w:val="00C120DC"/>
    <w:rsid w:val="00C1247A"/>
    <w:rsid w:val="00C12484"/>
    <w:rsid w:val="00C12580"/>
    <w:rsid w:val="00C126A7"/>
    <w:rsid w:val="00C1273B"/>
    <w:rsid w:val="00C12817"/>
    <w:rsid w:val="00C128A7"/>
    <w:rsid w:val="00C12A1C"/>
    <w:rsid w:val="00C12AC2"/>
    <w:rsid w:val="00C12CBD"/>
    <w:rsid w:val="00C12EBF"/>
    <w:rsid w:val="00C12ED8"/>
    <w:rsid w:val="00C12EDB"/>
    <w:rsid w:val="00C130FE"/>
    <w:rsid w:val="00C13145"/>
    <w:rsid w:val="00C132F1"/>
    <w:rsid w:val="00C133C5"/>
    <w:rsid w:val="00C1340D"/>
    <w:rsid w:val="00C1342C"/>
    <w:rsid w:val="00C13477"/>
    <w:rsid w:val="00C134A0"/>
    <w:rsid w:val="00C1350F"/>
    <w:rsid w:val="00C135CB"/>
    <w:rsid w:val="00C1363A"/>
    <w:rsid w:val="00C1381F"/>
    <w:rsid w:val="00C13837"/>
    <w:rsid w:val="00C139A7"/>
    <w:rsid w:val="00C13A57"/>
    <w:rsid w:val="00C13E8B"/>
    <w:rsid w:val="00C140E3"/>
    <w:rsid w:val="00C144A9"/>
    <w:rsid w:val="00C144B2"/>
    <w:rsid w:val="00C14805"/>
    <w:rsid w:val="00C148A8"/>
    <w:rsid w:val="00C149F3"/>
    <w:rsid w:val="00C14A2C"/>
    <w:rsid w:val="00C14B75"/>
    <w:rsid w:val="00C14CCE"/>
    <w:rsid w:val="00C14F12"/>
    <w:rsid w:val="00C14F14"/>
    <w:rsid w:val="00C14F21"/>
    <w:rsid w:val="00C14F41"/>
    <w:rsid w:val="00C1510D"/>
    <w:rsid w:val="00C15282"/>
    <w:rsid w:val="00C15466"/>
    <w:rsid w:val="00C15626"/>
    <w:rsid w:val="00C15817"/>
    <w:rsid w:val="00C15A49"/>
    <w:rsid w:val="00C15CB5"/>
    <w:rsid w:val="00C15D69"/>
    <w:rsid w:val="00C15E64"/>
    <w:rsid w:val="00C15E76"/>
    <w:rsid w:val="00C15FD4"/>
    <w:rsid w:val="00C160E4"/>
    <w:rsid w:val="00C161A7"/>
    <w:rsid w:val="00C16222"/>
    <w:rsid w:val="00C162F5"/>
    <w:rsid w:val="00C1633E"/>
    <w:rsid w:val="00C163F4"/>
    <w:rsid w:val="00C1681C"/>
    <w:rsid w:val="00C169DE"/>
    <w:rsid w:val="00C16C9C"/>
    <w:rsid w:val="00C16CAD"/>
    <w:rsid w:val="00C16DC5"/>
    <w:rsid w:val="00C16F93"/>
    <w:rsid w:val="00C1706C"/>
    <w:rsid w:val="00C171C4"/>
    <w:rsid w:val="00C172A2"/>
    <w:rsid w:val="00C172BE"/>
    <w:rsid w:val="00C17357"/>
    <w:rsid w:val="00C174E4"/>
    <w:rsid w:val="00C175F8"/>
    <w:rsid w:val="00C1768C"/>
    <w:rsid w:val="00C1771E"/>
    <w:rsid w:val="00C17780"/>
    <w:rsid w:val="00C177D3"/>
    <w:rsid w:val="00C178D8"/>
    <w:rsid w:val="00C1795E"/>
    <w:rsid w:val="00C179AA"/>
    <w:rsid w:val="00C17A11"/>
    <w:rsid w:val="00C17A77"/>
    <w:rsid w:val="00C17B51"/>
    <w:rsid w:val="00C17B76"/>
    <w:rsid w:val="00C17C9E"/>
    <w:rsid w:val="00C17CCF"/>
    <w:rsid w:val="00C17CDB"/>
    <w:rsid w:val="00C17CEB"/>
    <w:rsid w:val="00C17CEE"/>
    <w:rsid w:val="00C17D78"/>
    <w:rsid w:val="00C17D7E"/>
    <w:rsid w:val="00C17DAE"/>
    <w:rsid w:val="00C17F3E"/>
    <w:rsid w:val="00C17F59"/>
    <w:rsid w:val="00C20188"/>
    <w:rsid w:val="00C201DB"/>
    <w:rsid w:val="00C20255"/>
    <w:rsid w:val="00C204C9"/>
    <w:rsid w:val="00C20559"/>
    <w:rsid w:val="00C20584"/>
    <w:rsid w:val="00C20604"/>
    <w:rsid w:val="00C20654"/>
    <w:rsid w:val="00C20A24"/>
    <w:rsid w:val="00C20A90"/>
    <w:rsid w:val="00C20ACD"/>
    <w:rsid w:val="00C20ADA"/>
    <w:rsid w:val="00C20AE6"/>
    <w:rsid w:val="00C20C47"/>
    <w:rsid w:val="00C20CDD"/>
    <w:rsid w:val="00C20D16"/>
    <w:rsid w:val="00C20DC1"/>
    <w:rsid w:val="00C20E80"/>
    <w:rsid w:val="00C20EC0"/>
    <w:rsid w:val="00C20FAF"/>
    <w:rsid w:val="00C210D2"/>
    <w:rsid w:val="00C2129A"/>
    <w:rsid w:val="00C212B5"/>
    <w:rsid w:val="00C212C3"/>
    <w:rsid w:val="00C21320"/>
    <w:rsid w:val="00C213D2"/>
    <w:rsid w:val="00C214B4"/>
    <w:rsid w:val="00C2153A"/>
    <w:rsid w:val="00C21593"/>
    <w:rsid w:val="00C21722"/>
    <w:rsid w:val="00C217DD"/>
    <w:rsid w:val="00C218D8"/>
    <w:rsid w:val="00C219B6"/>
    <w:rsid w:val="00C21CC1"/>
    <w:rsid w:val="00C21FD0"/>
    <w:rsid w:val="00C220D7"/>
    <w:rsid w:val="00C2216A"/>
    <w:rsid w:val="00C222D1"/>
    <w:rsid w:val="00C222F4"/>
    <w:rsid w:val="00C22366"/>
    <w:rsid w:val="00C2241E"/>
    <w:rsid w:val="00C22433"/>
    <w:rsid w:val="00C224E4"/>
    <w:rsid w:val="00C224E6"/>
    <w:rsid w:val="00C2261E"/>
    <w:rsid w:val="00C226B2"/>
    <w:rsid w:val="00C22838"/>
    <w:rsid w:val="00C22876"/>
    <w:rsid w:val="00C2288F"/>
    <w:rsid w:val="00C2292F"/>
    <w:rsid w:val="00C22998"/>
    <w:rsid w:val="00C22C20"/>
    <w:rsid w:val="00C22C3C"/>
    <w:rsid w:val="00C22D32"/>
    <w:rsid w:val="00C22D6F"/>
    <w:rsid w:val="00C22EB9"/>
    <w:rsid w:val="00C22F4B"/>
    <w:rsid w:val="00C22FE0"/>
    <w:rsid w:val="00C23049"/>
    <w:rsid w:val="00C23092"/>
    <w:rsid w:val="00C2326E"/>
    <w:rsid w:val="00C233A9"/>
    <w:rsid w:val="00C23429"/>
    <w:rsid w:val="00C2364D"/>
    <w:rsid w:val="00C2370E"/>
    <w:rsid w:val="00C23763"/>
    <w:rsid w:val="00C237AD"/>
    <w:rsid w:val="00C237C8"/>
    <w:rsid w:val="00C237E3"/>
    <w:rsid w:val="00C23918"/>
    <w:rsid w:val="00C23999"/>
    <w:rsid w:val="00C23A75"/>
    <w:rsid w:val="00C23AFB"/>
    <w:rsid w:val="00C23D0A"/>
    <w:rsid w:val="00C23DD2"/>
    <w:rsid w:val="00C23E61"/>
    <w:rsid w:val="00C23F0F"/>
    <w:rsid w:val="00C23FCA"/>
    <w:rsid w:val="00C2410A"/>
    <w:rsid w:val="00C24223"/>
    <w:rsid w:val="00C24245"/>
    <w:rsid w:val="00C24521"/>
    <w:rsid w:val="00C245FB"/>
    <w:rsid w:val="00C2463B"/>
    <w:rsid w:val="00C247AB"/>
    <w:rsid w:val="00C24B03"/>
    <w:rsid w:val="00C24B3E"/>
    <w:rsid w:val="00C24BA4"/>
    <w:rsid w:val="00C24BB5"/>
    <w:rsid w:val="00C24C1A"/>
    <w:rsid w:val="00C24FC3"/>
    <w:rsid w:val="00C250BD"/>
    <w:rsid w:val="00C250DF"/>
    <w:rsid w:val="00C25110"/>
    <w:rsid w:val="00C25317"/>
    <w:rsid w:val="00C25378"/>
    <w:rsid w:val="00C253B8"/>
    <w:rsid w:val="00C255CF"/>
    <w:rsid w:val="00C2575B"/>
    <w:rsid w:val="00C257A8"/>
    <w:rsid w:val="00C258F3"/>
    <w:rsid w:val="00C2592F"/>
    <w:rsid w:val="00C25A15"/>
    <w:rsid w:val="00C25A1D"/>
    <w:rsid w:val="00C25BA1"/>
    <w:rsid w:val="00C25F2A"/>
    <w:rsid w:val="00C25FA5"/>
    <w:rsid w:val="00C26178"/>
    <w:rsid w:val="00C261DF"/>
    <w:rsid w:val="00C26320"/>
    <w:rsid w:val="00C2658E"/>
    <w:rsid w:val="00C265EC"/>
    <w:rsid w:val="00C2662E"/>
    <w:rsid w:val="00C267D5"/>
    <w:rsid w:val="00C26879"/>
    <w:rsid w:val="00C268F3"/>
    <w:rsid w:val="00C26965"/>
    <w:rsid w:val="00C26A97"/>
    <w:rsid w:val="00C26B28"/>
    <w:rsid w:val="00C26BAD"/>
    <w:rsid w:val="00C26D3F"/>
    <w:rsid w:val="00C26EA6"/>
    <w:rsid w:val="00C27064"/>
    <w:rsid w:val="00C270E4"/>
    <w:rsid w:val="00C270FC"/>
    <w:rsid w:val="00C27182"/>
    <w:rsid w:val="00C271B7"/>
    <w:rsid w:val="00C27276"/>
    <w:rsid w:val="00C2727C"/>
    <w:rsid w:val="00C27454"/>
    <w:rsid w:val="00C274EE"/>
    <w:rsid w:val="00C27527"/>
    <w:rsid w:val="00C27638"/>
    <w:rsid w:val="00C277DA"/>
    <w:rsid w:val="00C27977"/>
    <w:rsid w:val="00C27B38"/>
    <w:rsid w:val="00C27C26"/>
    <w:rsid w:val="00C27E6E"/>
    <w:rsid w:val="00C30085"/>
    <w:rsid w:val="00C301F1"/>
    <w:rsid w:val="00C3055E"/>
    <w:rsid w:val="00C307D3"/>
    <w:rsid w:val="00C30916"/>
    <w:rsid w:val="00C30A41"/>
    <w:rsid w:val="00C30B8A"/>
    <w:rsid w:val="00C30B96"/>
    <w:rsid w:val="00C30BE4"/>
    <w:rsid w:val="00C30C74"/>
    <w:rsid w:val="00C30C9F"/>
    <w:rsid w:val="00C30CD7"/>
    <w:rsid w:val="00C30D81"/>
    <w:rsid w:val="00C30DA2"/>
    <w:rsid w:val="00C30EE4"/>
    <w:rsid w:val="00C30F0F"/>
    <w:rsid w:val="00C31035"/>
    <w:rsid w:val="00C31170"/>
    <w:rsid w:val="00C3121E"/>
    <w:rsid w:val="00C313DF"/>
    <w:rsid w:val="00C3162D"/>
    <w:rsid w:val="00C31781"/>
    <w:rsid w:val="00C317FA"/>
    <w:rsid w:val="00C31B58"/>
    <w:rsid w:val="00C31C72"/>
    <w:rsid w:val="00C31CB9"/>
    <w:rsid w:val="00C31D66"/>
    <w:rsid w:val="00C31D80"/>
    <w:rsid w:val="00C31DAA"/>
    <w:rsid w:val="00C31DD3"/>
    <w:rsid w:val="00C31E4B"/>
    <w:rsid w:val="00C32167"/>
    <w:rsid w:val="00C3217B"/>
    <w:rsid w:val="00C3220B"/>
    <w:rsid w:val="00C32579"/>
    <w:rsid w:val="00C3266A"/>
    <w:rsid w:val="00C326EC"/>
    <w:rsid w:val="00C32724"/>
    <w:rsid w:val="00C329CD"/>
    <w:rsid w:val="00C32B21"/>
    <w:rsid w:val="00C32C37"/>
    <w:rsid w:val="00C32C38"/>
    <w:rsid w:val="00C32CAB"/>
    <w:rsid w:val="00C32DB6"/>
    <w:rsid w:val="00C32E8F"/>
    <w:rsid w:val="00C32F01"/>
    <w:rsid w:val="00C33603"/>
    <w:rsid w:val="00C338CE"/>
    <w:rsid w:val="00C338D7"/>
    <w:rsid w:val="00C339B9"/>
    <w:rsid w:val="00C33A20"/>
    <w:rsid w:val="00C33A69"/>
    <w:rsid w:val="00C33B1F"/>
    <w:rsid w:val="00C33B74"/>
    <w:rsid w:val="00C33BE7"/>
    <w:rsid w:val="00C33C41"/>
    <w:rsid w:val="00C33C5C"/>
    <w:rsid w:val="00C33CB0"/>
    <w:rsid w:val="00C33D39"/>
    <w:rsid w:val="00C33D3C"/>
    <w:rsid w:val="00C33E81"/>
    <w:rsid w:val="00C33EBD"/>
    <w:rsid w:val="00C33F4D"/>
    <w:rsid w:val="00C33FFF"/>
    <w:rsid w:val="00C34289"/>
    <w:rsid w:val="00C343A7"/>
    <w:rsid w:val="00C343C5"/>
    <w:rsid w:val="00C34567"/>
    <w:rsid w:val="00C34823"/>
    <w:rsid w:val="00C34AEF"/>
    <w:rsid w:val="00C34AFA"/>
    <w:rsid w:val="00C34B4D"/>
    <w:rsid w:val="00C34DB6"/>
    <w:rsid w:val="00C34E93"/>
    <w:rsid w:val="00C34EF4"/>
    <w:rsid w:val="00C34F66"/>
    <w:rsid w:val="00C35020"/>
    <w:rsid w:val="00C35180"/>
    <w:rsid w:val="00C351B9"/>
    <w:rsid w:val="00C35379"/>
    <w:rsid w:val="00C35559"/>
    <w:rsid w:val="00C3561E"/>
    <w:rsid w:val="00C35E30"/>
    <w:rsid w:val="00C35F0A"/>
    <w:rsid w:val="00C35F91"/>
    <w:rsid w:val="00C36085"/>
    <w:rsid w:val="00C361A4"/>
    <w:rsid w:val="00C36393"/>
    <w:rsid w:val="00C363CF"/>
    <w:rsid w:val="00C364BF"/>
    <w:rsid w:val="00C366EE"/>
    <w:rsid w:val="00C36A29"/>
    <w:rsid w:val="00C36CF9"/>
    <w:rsid w:val="00C36DF5"/>
    <w:rsid w:val="00C36F70"/>
    <w:rsid w:val="00C36FC0"/>
    <w:rsid w:val="00C37072"/>
    <w:rsid w:val="00C371AB"/>
    <w:rsid w:val="00C372BD"/>
    <w:rsid w:val="00C37326"/>
    <w:rsid w:val="00C3736D"/>
    <w:rsid w:val="00C3762D"/>
    <w:rsid w:val="00C3763B"/>
    <w:rsid w:val="00C3772C"/>
    <w:rsid w:val="00C37947"/>
    <w:rsid w:val="00C37A08"/>
    <w:rsid w:val="00C37A1D"/>
    <w:rsid w:val="00C37A5E"/>
    <w:rsid w:val="00C37AAB"/>
    <w:rsid w:val="00C37AB2"/>
    <w:rsid w:val="00C37B9D"/>
    <w:rsid w:val="00C37C17"/>
    <w:rsid w:val="00C37C34"/>
    <w:rsid w:val="00C37EB4"/>
    <w:rsid w:val="00C37F82"/>
    <w:rsid w:val="00C4005A"/>
    <w:rsid w:val="00C400AD"/>
    <w:rsid w:val="00C400DA"/>
    <w:rsid w:val="00C400EB"/>
    <w:rsid w:val="00C40163"/>
    <w:rsid w:val="00C4054E"/>
    <w:rsid w:val="00C405C8"/>
    <w:rsid w:val="00C40605"/>
    <w:rsid w:val="00C40651"/>
    <w:rsid w:val="00C408F5"/>
    <w:rsid w:val="00C4099F"/>
    <w:rsid w:val="00C409CD"/>
    <w:rsid w:val="00C40A3E"/>
    <w:rsid w:val="00C40A45"/>
    <w:rsid w:val="00C40AA8"/>
    <w:rsid w:val="00C40AF8"/>
    <w:rsid w:val="00C40B05"/>
    <w:rsid w:val="00C40B7B"/>
    <w:rsid w:val="00C40CCC"/>
    <w:rsid w:val="00C40F71"/>
    <w:rsid w:val="00C412C7"/>
    <w:rsid w:val="00C41348"/>
    <w:rsid w:val="00C413D5"/>
    <w:rsid w:val="00C41501"/>
    <w:rsid w:val="00C41588"/>
    <w:rsid w:val="00C41727"/>
    <w:rsid w:val="00C41732"/>
    <w:rsid w:val="00C4178A"/>
    <w:rsid w:val="00C41962"/>
    <w:rsid w:val="00C41978"/>
    <w:rsid w:val="00C41A02"/>
    <w:rsid w:val="00C41A8F"/>
    <w:rsid w:val="00C41DC0"/>
    <w:rsid w:val="00C4221F"/>
    <w:rsid w:val="00C4225B"/>
    <w:rsid w:val="00C42428"/>
    <w:rsid w:val="00C42538"/>
    <w:rsid w:val="00C425EA"/>
    <w:rsid w:val="00C427C2"/>
    <w:rsid w:val="00C427F0"/>
    <w:rsid w:val="00C42949"/>
    <w:rsid w:val="00C42A4C"/>
    <w:rsid w:val="00C42AA0"/>
    <w:rsid w:val="00C42AC7"/>
    <w:rsid w:val="00C42AF3"/>
    <w:rsid w:val="00C42C44"/>
    <w:rsid w:val="00C42C64"/>
    <w:rsid w:val="00C42D19"/>
    <w:rsid w:val="00C42DD1"/>
    <w:rsid w:val="00C43068"/>
    <w:rsid w:val="00C43152"/>
    <w:rsid w:val="00C431CA"/>
    <w:rsid w:val="00C431D0"/>
    <w:rsid w:val="00C431DC"/>
    <w:rsid w:val="00C43378"/>
    <w:rsid w:val="00C4338F"/>
    <w:rsid w:val="00C433BD"/>
    <w:rsid w:val="00C4341F"/>
    <w:rsid w:val="00C435AA"/>
    <w:rsid w:val="00C43620"/>
    <w:rsid w:val="00C436EF"/>
    <w:rsid w:val="00C437A1"/>
    <w:rsid w:val="00C437FE"/>
    <w:rsid w:val="00C43800"/>
    <w:rsid w:val="00C43917"/>
    <w:rsid w:val="00C43BE6"/>
    <w:rsid w:val="00C43E7B"/>
    <w:rsid w:val="00C43ED8"/>
    <w:rsid w:val="00C43EF0"/>
    <w:rsid w:val="00C44046"/>
    <w:rsid w:val="00C44302"/>
    <w:rsid w:val="00C44442"/>
    <w:rsid w:val="00C4446E"/>
    <w:rsid w:val="00C4469B"/>
    <w:rsid w:val="00C447AB"/>
    <w:rsid w:val="00C44863"/>
    <w:rsid w:val="00C44A3C"/>
    <w:rsid w:val="00C44A40"/>
    <w:rsid w:val="00C44AC2"/>
    <w:rsid w:val="00C44AFF"/>
    <w:rsid w:val="00C45050"/>
    <w:rsid w:val="00C451B1"/>
    <w:rsid w:val="00C45232"/>
    <w:rsid w:val="00C45253"/>
    <w:rsid w:val="00C4527B"/>
    <w:rsid w:val="00C45324"/>
    <w:rsid w:val="00C453B8"/>
    <w:rsid w:val="00C455DF"/>
    <w:rsid w:val="00C457E5"/>
    <w:rsid w:val="00C4583C"/>
    <w:rsid w:val="00C458C5"/>
    <w:rsid w:val="00C45A67"/>
    <w:rsid w:val="00C45B37"/>
    <w:rsid w:val="00C45B77"/>
    <w:rsid w:val="00C45BB6"/>
    <w:rsid w:val="00C45C7F"/>
    <w:rsid w:val="00C45D42"/>
    <w:rsid w:val="00C45D5E"/>
    <w:rsid w:val="00C45DD5"/>
    <w:rsid w:val="00C45EC1"/>
    <w:rsid w:val="00C45F8E"/>
    <w:rsid w:val="00C4601A"/>
    <w:rsid w:val="00C460D1"/>
    <w:rsid w:val="00C4617B"/>
    <w:rsid w:val="00C46400"/>
    <w:rsid w:val="00C46474"/>
    <w:rsid w:val="00C464FC"/>
    <w:rsid w:val="00C46564"/>
    <w:rsid w:val="00C46654"/>
    <w:rsid w:val="00C46827"/>
    <w:rsid w:val="00C4685A"/>
    <w:rsid w:val="00C468DB"/>
    <w:rsid w:val="00C46A5A"/>
    <w:rsid w:val="00C46B1F"/>
    <w:rsid w:val="00C46BDD"/>
    <w:rsid w:val="00C46BE6"/>
    <w:rsid w:val="00C46C1A"/>
    <w:rsid w:val="00C46CA5"/>
    <w:rsid w:val="00C46D86"/>
    <w:rsid w:val="00C46EC7"/>
    <w:rsid w:val="00C46F58"/>
    <w:rsid w:val="00C470C1"/>
    <w:rsid w:val="00C47166"/>
    <w:rsid w:val="00C471C5"/>
    <w:rsid w:val="00C47204"/>
    <w:rsid w:val="00C47228"/>
    <w:rsid w:val="00C4726F"/>
    <w:rsid w:val="00C47388"/>
    <w:rsid w:val="00C473F0"/>
    <w:rsid w:val="00C47429"/>
    <w:rsid w:val="00C47568"/>
    <w:rsid w:val="00C47582"/>
    <w:rsid w:val="00C475EA"/>
    <w:rsid w:val="00C47620"/>
    <w:rsid w:val="00C476CB"/>
    <w:rsid w:val="00C476F6"/>
    <w:rsid w:val="00C47749"/>
    <w:rsid w:val="00C4776A"/>
    <w:rsid w:val="00C4778E"/>
    <w:rsid w:val="00C479E6"/>
    <w:rsid w:val="00C47A33"/>
    <w:rsid w:val="00C47AFD"/>
    <w:rsid w:val="00C47B87"/>
    <w:rsid w:val="00C47DD7"/>
    <w:rsid w:val="00C47F01"/>
    <w:rsid w:val="00C47F9A"/>
    <w:rsid w:val="00C50369"/>
    <w:rsid w:val="00C50459"/>
    <w:rsid w:val="00C504F2"/>
    <w:rsid w:val="00C5055C"/>
    <w:rsid w:val="00C50603"/>
    <w:rsid w:val="00C507C1"/>
    <w:rsid w:val="00C50828"/>
    <w:rsid w:val="00C508D4"/>
    <w:rsid w:val="00C50980"/>
    <w:rsid w:val="00C509CC"/>
    <w:rsid w:val="00C50BDE"/>
    <w:rsid w:val="00C50C4A"/>
    <w:rsid w:val="00C50C60"/>
    <w:rsid w:val="00C50D1B"/>
    <w:rsid w:val="00C50D50"/>
    <w:rsid w:val="00C50D91"/>
    <w:rsid w:val="00C5111C"/>
    <w:rsid w:val="00C5113F"/>
    <w:rsid w:val="00C511CA"/>
    <w:rsid w:val="00C51247"/>
    <w:rsid w:val="00C512CF"/>
    <w:rsid w:val="00C51537"/>
    <w:rsid w:val="00C51591"/>
    <w:rsid w:val="00C515A3"/>
    <w:rsid w:val="00C515C0"/>
    <w:rsid w:val="00C518B5"/>
    <w:rsid w:val="00C519D9"/>
    <w:rsid w:val="00C51A84"/>
    <w:rsid w:val="00C51A8E"/>
    <w:rsid w:val="00C51AB6"/>
    <w:rsid w:val="00C51AF7"/>
    <w:rsid w:val="00C51AFA"/>
    <w:rsid w:val="00C51B8C"/>
    <w:rsid w:val="00C51D16"/>
    <w:rsid w:val="00C51DF4"/>
    <w:rsid w:val="00C51E06"/>
    <w:rsid w:val="00C51E0A"/>
    <w:rsid w:val="00C51E83"/>
    <w:rsid w:val="00C52050"/>
    <w:rsid w:val="00C5209B"/>
    <w:rsid w:val="00C52257"/>
    <w:rsid w:val="00C5230B"/>
    <w:rsid w:val="00C52323"/>
    <w:rsid w:val="00C52337"/>
    <w:rsid w:val="00C52375"/>
    <w:rsid w:val="00C523AE"/>
    <w:rsid w:val="00C523C3"/>
    <w:rsid w:val="00C524F4"/>
    <w:rsid w:val="00C5250D"/>
    <w:rsid w:val="00C52607"/>
    <w:rsid w:val="00C5269A"/>
    <w:rsid w:val="00C52705"/>
    <w:rsid w:val="00C5279D"/>
    <w:rsid w:val="00C528E1"/>
    <w:rsid w:val="00C52A82"/>
    <w:rsid w:val="00C52CFE"/>
    <w:rsid w:val="00C52D2D"/>
    <w:rsid w:val="00C52EE0"/>
    <w:rsid w:val="00C52EF3"/>
    <w:rsid w:val="00C53059"/>
    <w:rsid w:val="00C53357"/>
    <w:rsid w:val="00C53359"/>
    <w:rsid w:val="00C534B0"/>
    <w:rsid w:val="00C53597"/>
    <w:rsid w:val="00C5367E"/>
    <w:rsid w:val="00C538EB"/>
    <w:rsid w:val="00C53A4B"/>
    <w:rsid w:val="00C53B03"/>
    <w:rsid w:val="00C53B07"/>
    <w:rsid w:val="00C53CFC"/>
    <w:rsid w:val="00C53D46"/>
    <w:rsid w:val="00C53DC6"/>
    <w:rsid w:val="00C53E50"/>
    <w:rsid w:val="00C53F59"/>
    <w:rsid w:val="00C54115"/>
    <w:rsid w:val="00C5442E"/>
    <w:rsid w:val="00C54479"/>
    <w:rsid w:val="00C54480"/>
    <w:rsid w:val="00C5463E"/>
    <w:rsid w:val="00C5467E"/>
    <w:rsid w:val="00C547BB"/>
    <w:rsid w:val="00C549C9"/>
    <w:rsid w:val="00C54A40"/>
    <w:rsid w:val="00C54A66"/>
    <w:rsid w:val="00C54A9E"/>
    <w:rsid w:val="00C54AE6"/>
    <w:rsid w:val="00C54C9C"/>
    <w:rsid w:val="00C54CB7"/>
    <w:rsid w:val="00C54D29"/>
    <w:rsid w:val="00C54D93"/>
    <w:rsid w:val="00C54ED3"/>
    <w:rsid w:val="00C55017"/>
    <w:rsid w:val="00C55065"/>
    <w:rsid w:val="00C55371"/>
    <w:rsid w:val="00C55376"/>
    <w:rsid w:val="00C55418"/>
    <w:rsid w:val="00C55798"/>
    <w:rsid w:val="00C559F7"/>
    <w:rsid w:val="00C55AD9"/>
    <w:rsid w:val="00C55BD4"/>
    <w:rsid w:val="00C55CB9"/>
    <w:rsid w:val="00C55D4E"/>
    <w:rsid w:val="00C55EBD"/>
    <w:rsid w:val="00C55FFA"/>
    <w:rsid w:val="00C560CD"/>
    <w:rsid w:val="00C56302"/>
    <w:rsid w:val="00C563CE"/>
    <w:rsid w:val="00C56453"/>
    <w:rsid w:val="00C564A3"/>
    <w:rsid w:val="00C56648"/>
    <w:rsid w:val="00C5682B"/>
    <w:rsid w:val="00C5686C"/>
    <w:rsid w:val="00C56980"/>
    <w:rsid w:val="00C569B9"/>
    <w:rsid w:val="00C56A77"/>
    <w:rsid w:val="00C56B4B"/>
    <w:rsid w:val="00C56D1D"/>
    <w:rsid w:val="00C56D5B"/>
    <w:rsid w:val="00C56DEC"/>
    <w:rsid w:val="00C56E35"/>
    <w:rsid w:val="00C56ED3"/>
    <w:rsid w:val="00C56F33"/>
    <w:rsid w:val="00C56F3C"/>
    <w:rsid w:val="00C571E0"/>
    <w:rsid w:val="00C57316"/>
    <w:rsid w:val="00C573A5"/>
    <w:rsid w:val="00C57467"/>
    <w:rsid w:val="00C57471"/>
    <w:rsid w:val="00C57495"/>
    <w:rsid w:val="00C57526"/>
    <w:rsid w:val="00C579BE"/>
    <w:rsid w:val="00C57A3E"/>
    <w:rsid w:val="00C57CA1"/>
    <w:rsid w:val="00C57CA6"/>
    <w:rsid w:val="00C57D65"/>
    <w:rsid w:val="00C57DCE"/>
    <w:rsid w:val="00C57DD2"/>
    <w:rsid w:val="00C57DD8"/>
    <w:rsid w:val="00C57DDF"/>
    <w:rsid w:val="00C57E48"/>
    <w:rsid w:val="00C57EE3"/>
    <w:rsid w:val="00C57F32"/>
    <w:rsid w:val="00C60007"/>
    <w:rsid w:val="00C602A9"/>
    <w:rsid w:val="00C6044F"/>
    <w:rsid w:val="00C6052B"/>
    <w:rsid w:val="00C6059A"/>
    <w:rsid w:val="00C6064D"/>
    <w:rsid w:val="00C60725"/>
    <w:rsid w:val="00C607BC"/>
    <w:rsid w:val="00C6086A"/>
    <w:rsid w:val="00C608D7"/>
    <w:rsid w:val="00C60AB2"/>
    <w:rsid w:val="00C60B33"/>
    <w:rsid w:val="00C60D0D"/>
    <w:rsid w:val="00C60D19"/>
    <w:rsid w:val="00C60E2C"/>
    <w:rsid w:val="00C60E50"/>
    <w:rsid w:val="00C60EC3"/>
    <w:rsid w:val="00C6100E"/>
    <w:rsid w:val="00C6113A"/>
    <w:rsid w:val="00C612A2"/>
    <w:rsid w:val="00C612A8"/>
    <w:rsid w:val="00C61430"/>
    <w:rsid w:val="00C614C0"/>
    <w:rsid w:val="00C616A9"/>
    <w:rsid w:val="00C61750"/>
    <w:rsid w:val="00C6182D"/>
    <w:rsid w:val="00C6183D"/>
    <w:rsid w:val="00C61895"/>
    <w:rsid w:val="00C61A8F"/>
    <w:rsid w:val="00C61B2B"/>
    <w:rsid w:val="00C62239"/>
    <w:rsid w:val="00C6223D"/>
    <w:rsid w:val="00C622EC"/>
    <w:rsid w:val="00C62599"/>
    <w:rsid w:val="00C625D7"/>
    <w:rsid w:val="00C62AF0"/>
    <w:rsid w:val="00C62BD1"/>
    <w:rsid w:val="00C62C87"/>
    <w:rsid w:val="00C62D4D"/>
    <w:rsid w:val="00C62DED"/>
    <w:rsid w:val="00C62EE0"/>
    <w:rsid w:val="00C62F10"/>
    <w:rsid w:val="00C62FE2"/>
    <w:rsid w:val="00C6318F"/>
    <w:rsid w:val="00C63217"/>
    <w:rsid w:val="00C6321B"/>
    <w:rsid w:val="00C63257"/>
    <w:rsid w:val="00C632CE"/>
    <w:rsid w:val="00C63430"/>
    <w:rsid w:val="00C634C1"/>
    <w:rsid w:val="00C636A7"/>
    <w:rsid w:val="00C6370C"/>
    <w:rsid w:val="00C63799"/>
    <w:rsid w:val="00C63901"/>
    <w:rsid w:val="00C63A38"/>
    <w:rsid w:val="00C63AB1"/>
    <w:rsid w:val="00C63B46"/>
    <w:rsid w:val="00C63B4B"/>
    <w:rsid w:val="00C63BEE"/>
    <w:rsid w:val="00C63BFD"/>
    <w:rsid w:val="00C63CF0"/>
    <w:rsid w:val="00C63D38"/>
    <w:rsid w:val="00C63DCA"/>
    <w:rsid w:val="00C63DF7"/>
    <w:rsid w:val="00C63E15"/>
    <w:rsid w:val="00C63F73"/>
    <w:rsid w:val="00C63FEE"/>
    <w:rsid w:val="00C6403C"/>
    <w:rsid w:val="00C6414F"/>
    <w:rsid w:val="00C64163"/>
    <w:rsid w:val="00C64186"/>
    <w:rsid w:val="00C64199"/>
    <w:rsid w:val="00C64297"/>
    <w:rsid w:val="00C6433C"/>
    <w:rsid w:val="00C64349"/>
    <w:rsid w:val="00C6461E"/>
    <w:rsid w:val="00C64966"/>
    <w:rsid w:val="00C649A5"/>
    <w:rsid w:val="00C64BD2"/>
    <w:rsid w:val="00C64D06"/>
    <w:rsid w:val="00C64D63"/>
    <w:rsid w:val="00C64D7D"/>
    <w:rsid w:val="00C6534D"/>
    <w:rsid w:val="00C6545D"/>
    <w:rsid w:val="00C654EB"/>
    <w:rsid w:val="00C658C1"/>
    <w:rsid w:val="00C65983"/>
    <w:rsid w:val="00C659AD"/>
    <w:rsid w:val="00C659D0"/>
    <w:rsid w:val="00C65A5C"/>
    <w:rsid w:val="00C65BAA"/>
    <w:rsid w:val="00C65BFD"/>
    <w:rsid w:val="00C65CC2"/>
    <w:rsid w:val="00C65FEB"/>
    <w:rsid w:val="00C660AA"/>
    <w:rsid w:val="00C660E5"/>
    <w:rsid w:val="00C66250"/>
    <w:rsid w:val="00C662A9"/>
    <w:rsid w:val="00C66374"/>
    <w:rsid w:val="00C664F6"/>
    <w:rsid w:val="00C66AE7"/>
    <w:rsid w:val="00C66B55"/>
    <w:rsid w:val="00C66CD5"/>
    <w:rsid w:val="00C66FDB"/>
    <w:rsid w:val="00C6703B"/>
    <w:rsid w:val="00C671BF"/>
    <w:rsid w:val="00C67306"/>
    <w:rsid w:val="00C6741E"/>
    <w:rsid w:val="00C67484"/>
    <w:rsid w:val="00C67780"/>
    <w:rsid w:val="00C67954"/>
    <w:rsid w:val="00C67A32"/>
    <w:rsid w:val="00C67A5B"/>
    <w:rsid w:val="00C67AE0"/>
    <w:rsid w:val="00C67AFF"/>
    <w:rsid w:val="00C67BC9"/>
    <w:rsid w:val="00C67BF7"/>
    <w:rsid w:val="00C67C1A"/>
    <w:rsid w:val="00C67CCF"/>
    <w:rsid w:val="00C67D88"/>
    <w:rsid w:val="00C67DAF"/>
    <w:rsid w:val="00C67E97"/>
    <w:rsid w:val="00C67EA7"/>
    <w:rsid w:val="00C67EFF"/>
    <w:rsid w:val="00C67FDE"/>
    <w:rsid w:val="00C7001F"/>
    <w:rsid w:val="00C70034"/>
    <w:rsid w:val="00C70123"/>
    <w:rsid w:val="00C7025D"/>
    <w:rsid w:val="00C702CC"/>
    <w:rsid w:val="00C7033E"/>
    <w:rsid w:val="00C706F3"/>
    <w:rsid w:val="00C70833"/>
    <w:rsid w:val="00C708F1"/>
    <w:rsid w:val="00C708FA"/>
    <w:rsid w:val="00C70910"/>
    <w:rsid w:val="00C70928"/>
    <w:rsid w:val="00C70ACA"/>
    <w:rsid w:val="00C70B38"/>
    <w:rsid w:val="00C70B5A"/>
    <w:rsid w:val="00C70D23"/>
    <w:rsid w:val="00C70D9C"/>
    <w:rsid w:val="00C70F9C"/>
    <w:rsid w:val="00C70FC2"/>
    <w:rsid w:val="00C70FDD"/>
    <w:rsid w:val="00C7116E"/>
    <w:rsid w:val="00C7117B"/>
    <w:rsid w:val="00C71252"/>
    <w:rsid w:val="00C71286"/>
    <w:rsid w:val="00C71476"/>
    <w:rsid w:val="00C714D1"/>
    <w:rsid w:val="00C714EC"/>
    <w:rsid w:val="00C71596"/>
    <w:rsid w:val="00C7166E"/>
    <w:rsid w:val="00C71740"/>
    <w:rsid w:val="00C71831"/>
    <w:rsid w:val="00C718C6"/>
    <w:rsid w:val="00C7196F"/>
    <w:rsid w:val="00C719F8"/>
    <w:rsid w:val="00C71A99"/>
    <w:rsid w:val="00C71AD4"/>
    <w:rsid w:val="00C71B00"/>
    <w:rsid w:val="00C71C13"/>
    <w:rsid w:val="00C71C37"/>
    <w:rsid w:val="00C71C8B"/>
    <w:rsid w:val="00C71D10"/>
    <w:rsid w:val="00C71D79"/>
    <w:rsid w:val="00C71E05"/>
    <w:rsid w:val="00C71EC0"/>
    <w:rsid w:val="00C71F50"/>
    <w:rsid w:val="00C72008"/>
    <w:rsid w:val="00C720C6"/>
    <w:rsid w:val="00C722E8"/>
    <w:rsid w:val="00C72360"/>
    <w:rsid w:val="00C72480"/>
    <w:rsid w:val="00C725C6"/>
    <w:rsid w:val="00C725FE"/>
    <w:rsid w:val="00C72621"/>
    <w:rsid w:val="00C72695"/>
    <w:rsid w:val="00C728E1"/>
    <w:rsid w:val="00C729EC"/>
    <w:rsid w:val="00C72A26"/>
    <w:rsid w:val="00C72AE5"/>
    <w:rsid w:val="00C72AF1"/>
    <w:rsid w:val="00C72B44"/>
    <w:rsid w:val="00C72B53"/>
    <w:rsid w:val="00C72CC0"/>
    <w:rsid w:val="00C72E27"/>
    <w:rsid w:val="00C730EE"/>
    <w:rsid w:val="00C731ED"/>
    <w:rsid w:val="00C73207"/>
    <w:rsid w:val="00C733A1"/>
    <w:rsid w:val="00C73614"/>
    <w:rsid w:val="00C736DB"/>
    <w:rsid w:val="00C73717"/>
    <w:rsid w:val="00C737EF"/>
    <w:rsid w:val="00C73899"/>
    <w:rsid w:val="00C739D2"/>
    <w:rsid w:val="00C73B22"/>
    <w:rsid w:val="00C73B75"/>
    <w:rsid w:val="00C73D5D"/>
    <w:rsid w:val="00C73D85"/>
    <w:rsid w:val="00C73E16"/>
    <w:rsid w:val="00C73E9C"/>
    <w:rsid w:val="00C73FBF"/>
    <w:rsid w:val="00C7409A"/>
    <w:rsid w:val="00C74115"/>
    <w:rsid w:val="00C7413C"/>
    <w:rsid w:val="00C7417D"/>
    <w:rsid w:val="00C744DD"/>
    <w:rsid w:val="00C744E6"/>
    <w:rsid w:val="00C744FB"/>
    <w:rsid w:val="00C745EE"/>
    <w:rsid w:val="00C7472D"/>
    <w:rsid w:val="00C7482A"/>
    <w:rsid w:val="00C74A4F"/>
    <w:rsid w:val="00C74D65"/>
    <w:rsid w:val="00C74E62"/>
    <w:rsid w:val="00C74FB8"/>
    <w:rsid w:val="00C75151"/>
    <w:rsid w:val="00C75224"/>
    <w:rsid w:val="00C75306"/>
    <w:rsid w:val="00C7554F"/>
    <w:rsid w:val="00C75611"/>
    <w:rsid w:val="00C758BF"/>
    <w:rsid w:val="00C75950"/>
    <w:rsid w:val="00C75AED"/>
    <w:rsid w:val="00C75B1B"/>
    <w:rsid w:val="00C75E7E"/>
    <w:rsid w:val="00C75E85"/>
    <w:rsid w:val="00C760F5"/>
    <w:rsid w:val="00C76129"/>
    <w:rsid w:val="00C7612C"/>
    <w:rsid w:val="00C76159"/>
    <w:rsid w:val="00C76189"/>
    <w:rsid w:val="00C76290"/>
    <w:rsid w:val="00C762AE"/>
    <w:rsid w:val="00C763DC"/>
    <w:rsid w:val="00C7642C"/>
    <w:rsid w:val="00C76575"/>
    <w:rsid w:val="00C765D0"/>
    <w:rsid w:val="00C765D7"/>
    <w:rsid w:val="00C76679"/>
    <w:rsid w:val="00C76814"/>
    <w:rsid w:val="00C7684E"/>
    <w:rsid w:val="00C7686A"/>
    <w:rsid w:val="00C768D1"/>
    <w:rsid w:val="00C76A4B"/>
    <w:rsid w:val="00C76ABF"/>
    <w:rsid w:val="00C76E92"/>
    <w:rsid w:val="00C76EF5"/>
    <w:rsid w:val="00C76F88"/>
    <w:rsid w:val="00C77045"/>
    <w:rsid w:val="00C77210"/>
    <w:rsid w:val="00C772B3"/>
    <w:rsid w:val="00C7733B"/>
    <w:rsid w:val="00C77350"/>
    <w:rsid w:val="00C77380"/>
    <w:rsid w:val="00C77390"/>
    <w:rsid w:val="00C773DE"/>
    <w:rsid w:val="00C77486"/>
    <w:rsid w:val="00C77719"/>
    <w:rsid w:val="00C77864"/>
    <w:rsid w:val="00C77AFF"/>
    <w:rsid w:val="00C77BEF"/>
    <w:rsid w:val="00C77D35"/>
    <w:rsid w:val="00C77F4B"/>
    <w:rsid w:val="00C77F77"/>
    <w:rsid w:val="00C80009"/>
    <w:rsid w:val="00C80092"/>
    <w:rsid w:val="00C8019B"/>
    <w:rsid w:val="00C801E2"/>
    <w:rsid w:val="00C802CE"/>
    <w:rsid w:val="00C803BA"/>
    <w:rsid w:val="00C803DD"/>
    <w:rsid w:val="00C80489"/>
    <w:rsid w:val="00C8056B"/>
    <w:rsid w:val="00C806DC"/>
    <w:rsid w:val="00C8093C"/>
    <w:rsid w:val="00C80AAC"/>
    <w:rsid w:val="00C80C2D"/>
    <w:rsid w:val="00C80C32"/>
    <w:rsid w:val="00C80D00"/>
    <w:rsid w:val="00C80DE5"/>
    <w:rsid w:val="00C81088"/>
    <w:rsid w:val="00C81137"/>
    <w:rsid w:val="00C81249"/>
    <w:rsid w:val="00C81384"/>
    <w:rsid w:val="00C813A3"/>
    <w:rsid w:val="00C81435"/>
    <w:rsid w:val="00C814A2"/>
    <w:rsid w:val="00C815E3"/>
    <w:rsid w:val="00C815EF"/>
    <w:rsid w:val="00C81698"/>
    <w:rsid w:val="00C81980"/>
    <w:rsid w:val="00C81A64"/>
    <w:rsid w:val="00C81A81"/>
    <w:rsid w:val="00C81B6F"/>
    <w:rsid w:val="00C81D92"/>
    <w:rsid w:val="00C81E1B"/>
    <w:rsid w:val="00C81F03"/>
    <w:rsid w:val="00C820D2"/>
    <w:rsid w:val="00C820DA"/>
    <w:rsid w:val="00C821D1"/>
    <w:rsid w:val="00C8241D"/>
    <w:rsid w:val="00C82800"/>
    <w:rsid w:val="00C82901"/>
    <w:rsid w:val="00C82A5A"/>
    <w:rsid w:val="00C82D7F"/>
    <w:rsid w:val="00C830CA"/>
    <w:rsid w:val="00C8310F"/>
    <w:rsid w:val="00C831DF"/>
    <w:rsid w:val="00C83267"/>
    <w:rsid w:val="00C8329B"/>
    <w:rsid w:val="00C8339B"/>
    <w:rsid w:val="00C83463"/>
    <w:rsid w:val="00C83605"/>
    <w:rsid w:val="00C838D9"/>
    <w:rsid w:val="00C83901"/>
    <w:rsid w:val="00C8394C"/>
    <w:rsid w:val="00C8399B"/>
    <w:rsid w:val="00C839E0"/>
    <w:rsid w:val="00C83B26"/>
    <w:rsid w:val="00C83B94"/>
    <w:rsid w:val="00C83C03"/>
    <w:rsid w:val="00C83E0A"/>
    <w:rsid w:val="00C83E16"/>
    <w:rsid w:val="00C83E39"/>
    <w:rsid w:val="00C83E5C"/>
    <w:rsid w:val="00C840FA"/>
    <w:rsid w:val="00C84154"/>
    <w:rsid w:val="00C842FD"/>
    <w:rsid w:val="00C84329"/>
    <w:rsid w:val="00C8450F"/>
    <w:rsid w:val="00C845BD"/>
    <w:rsid w:val="00C846AE"/>
    <w:rsid w:val="00C847A7"/>
    <w:rsid w:val="00C84947"/>
    <w:rsid w:val="00C849FC"/>
    <w:rsid w:val="00C84A0D"/>
    <w:rsid w:val="00C84C01"/>
    <w:rsid w:val="00C84C0C"/>
    <w:rsid w:val="00C84C79"/>
    <w:rsid w:val="00C84C90"/>
    <w:rsid w:val="00C84D59"/>
    <w:rsid w:val="00C84E94"/>
    <w:rsid w:val="00C851DE"/>
    <w:rsid w:val="00C852C4"/>
    <w:rsid w:val="00C853E2"/>
    <w:rsid w:val="00C854FA"/>
    <w:rsid w:val="00C854FF"/>
    <w:rsid w:val="00C8563A"/>
    <w:rsid w:val="00C856B8"/>
    <w:rsid w:val="00C857CB"/>
    <w:rsid w:val="00C857CF"/>
    <w:rsid w:val="00C85934"/>
    <w:rsid w:val="00C85B06"/>
    <w:rsid w:val="00C85C4B"/>
    <w:rsid w:val="00C861A1"/>
    <w:rsid w:val="00C86213"/>
    <w:rsid w:val="00C86480"/>
    <w:rsid w:val="00C864AD"/>
    <w:rsid w:val="00C86502"/>
    <w:rsid w:val="00C866BA"/>
    <w:rsid w:val="00C8674C"/>
    <w:rsid w:val="00C86962"/>
    <w:rsid w:val="00C86C4D"/>
    <w:rsid w:val="00C86C68"/>
    <w:rsid w:val="00C86D9D"/>
    <w:rsid w:val="00C86DBB"/>
    <w:rsid w:val="00C86E82"/>
    <w:rsid w:val="00C870C4"/>
    <w:rsid w:val="00C871FD"/>
    <w:rsid w:val="00C87316"/>
    <w:rsid w:val="00C87448"/>
    <w:rsid w:val="00C87534"/>
    <w:rsid w:val="00C87693"/>
    <w:rsid w:val="00C87921"/>
    <w:rsid w:val="00C87A3C"/>
    <w:rsid w:val="00C87B32"/>
    <w:rsid w:val="00C87C63"/>
    <w:rsid w:val="00C87D9C"/>
    <w:rsid w:val="00C87E3D"/>
    <w:rsid w:val="00C87E92"/>
    <w:rsid w:val="00C900E6"/>
    <w:rsid w:val="00C9071E"/>
    <w:rsid w:val="00C907C3"/>
    <w:rsid w:val="00C90838"/>
    <w:rsid w:val="00C90871"/>
    <w:rsid w:val="00C908CF"/>
    <w:rsid w:val="00C909B2"/>
    <w:rsid w:val="00C909E6"/>
    <w:rsid w:val="00C90ACB"/>
    <w:rsid w:val="00C90BC9"/>
    <w:rsid w:val="00C90CA7"/>
    <w:rsid w:val="00C90CC0"/>
    <w:rsid w:val="00C90D0C"/>
    <w:rsid w:val="00C90FF7"/>
    <w:rsid w:val="00C910D5"/>
    <w:rsid w:val="00C9119C"/>
    <w:rsid w:val="00C911CC"/>
    <w:rsid w:val="00C9121C"/>
    <w:rsid w:val="00C9123B"/>
    <w:rsid w:val="00C91261"/>
    <w:rsid w:val="00C9156E"/>
    <w:rsid w:val="00C915BF"/>
    <w:rsid w:val="00C9177A"/>
    <w:rsid w:val="00C917B7"/>
    <w:rsid w:val="00C917CE"/>
    <w:rsid w:val="00C91827"/>
    <w:rsid w:val="00C91861"/>
    <w:rsid w:val="00C91897"/>
    <w:rsid w:val="00C9196C"/>
    <w:rsid w:val="00C919BE"/>
    <w:rsid w:val="00C91E42"/>
    <w:rsid w:val="00C91E76"/>
    <w:rsid w:val="00C91E93"/>
    <w:rsid w:val="00C91EA7"/>
    <w:rsid w:val="00C920CD"/>
    <w:rsid w:val="00C920EF"/>
    <w:rsid w:val="00C9217C"/>
    <w:rsid w:val="00C92344"/>
    <w:rsid w:val="00C92387"/>
    <w:rsid w:val="00C9244D"/>
    <w:rsid w:val="00C925F4"/>
    <w:rsid w:val="00C92731"/>
    <w:rsid w:val="00C92788"/>
    <w:rsid w:val="00C927F4"/>
    <w:rsid w:val="00C92A2A"/>
    <w:rsid w:val="00C92A50"/>
    <w:rsid w:val="00C92B58"/>
    <w:rsid w:val="00C92C29"/>
    <w:rsid w:val="00C92C5E"/>
    <w:rsid w:val="00C92D70"/>
    <w:rsid w:val="00C92DFC"/>
    <w:rsid w:val="00C92F66"/>
    <w:rsid w:val="00C92F72"/>
    <w:rsid w:val="00C92F8A"/>
    <w:rsid w:val="00C92FB6"/>
    <w:rsid w:val="00C93030"/>
    <w:rsid w:val="00C9303E"/>
    <w:rsid w:val="00C9307A"/>
    <w:rsid w:val="00C93205"/>
    <w:rsid w:val="00C932CE"/>
    <w:rsid w:val="00C9336B"/>
    <w:rsid w:val="00C93372"/>
    <w:rsid w:val="00C93380"/>
    <w:rsid w:val="00C933CD"/>
    <w:rsid w:val="00C9342C"/>
    <w:rsid w:val="00C93640"/>
    <w:rsid w:val="00C93650"/>
    <w:rsid w:val="00C93693"/>
    <w:rsid w:val="00C93719"/>
    <w:rsid w:val="00C938BD"/>
    <w:rsid w:val="00C938E6"/>
    <w:rsid w:val="00C93A05"/>
    <w:rsid w:val="00C93AEF"/>
    <w:rsid w:val="00C93D18"/>
    <w:rsid w:val="00C93F0D"/>
    <w:rsid w:val="00C93FB7"/>
    <w:rsid w:val="00C94052"/>
    <w:rsid w:val="00C941C8"/>
    <w:rsid w:val="00C941DF"/>
    <w:rsid w:val="00C943C3"/>
    <w:rsid w:val="00C9447A"/>
    <w:rsid w:val="00C94504"/>
    <w:rsid w:val="00C9453A"/>
    <w:rsid w:val="00C945D4"/>
    <w:rsid w:val="00C945F6"/>
    <w:rsid w:val="00C9485C"/>
    <w:rsid w:val="00C94872"/>
    <w:rsid w:val="00C948D9"/>
    <w:rsid w:val="00C94972"/>
    <w:rsid w:val="00C94B0D"/>
    <w:rsid w:val="00C94B83"/>
    <w:rsid w:val="00C94BEA"/>
    <w:rsid w:val="00C94C05"/>
    <w:rsid w:val="00C94C2B"/>
    <w:rsid w:val="00C94C58"/>
    <w:rsid w:val="00C95146"/>
    <w:rsid w:val="00C953A9"/>
    <w:rsid w:val="00C9548A"/>
    <w:rsid w:val="00C954AB"/>
    <w:rsid w:val="00C95615"/>
    <w:rsid w:val="00C95741"/>
    <w:rsid w:val="00C9586C"/>
    <w:rsid w:val="00C959BE"/>
    <w:rsid w:val="00C95B1A"/>
    <w:rsid w:val="00C95C76"/>
    <w:rsid w:val="00C95D3A"/>
    <w:rsid w:val="00C95D50"/>
    <w:rsid w:val="00C95E52"/>
    <w:rsid w:val="00C95EE6"/>
    <w:rsid w:val="00C96008"/>
    <w:rsid w:val="00C961D6"/>
    <w:rsid w:val="00C96242"/>
    <w:rsid w:val="00C96415"/>
    <w:rsid w:val="00C9642D"/>
    <w:rsid w:val="00C967D4"/>
    <w:rsid w:val="00C967F3"/>
    <w:rsid w:val="00C968F5"/>
    <w:rsid w:val="00C9698D"/>
    <w:rsid w:val="00C9699C"/>
    <w:rsid w:val="00C96A3C"/>
    <w:rsid w:val="00C96A95"/>
    <w:rsid w:val="00C96B05"/>
    <w:rsid w:val="00C96B99"/>
    <w:rsid w:val="00C96C7C"/>
    <w:rsid w:val="00C96DCC"/>
    <w:rsid w:val="00C96F6A"/>
    <w:rsid w:val="00C9702E"/>
    <w:rsid w:val="00C972EF"/>
    <w:rsid w:val="00C97460"/>
    <w:rsid w:val="00C9746C"/>
    <w:rsid w:val="00C974D6"/>
    <w:rsid w:val="00C97578"/>
    <w:rsid w:val="00C9772A"/>
    <w:rsid w:val="00C97757"/>
    <w:rsid w:val="00C9790D"/>
    <w:rsid w:val="00C97A10"/>
    <w:rsid w:val="00C97A51"/>
    <w:rsid w:val="00C97A9A"/>
    <w:rsid w:val="00C97AFE"/>
    <w:rsid w:val="00C97C6B"/>
    <w:rsid w:val="00C97CA5"/>
    <w:rsid w:val="00C97E27"/>
    <w:rsid w:val="00C97EFE"/>
    <w:rsid w:val="00C97F07"/>
    <w:rsid w:val="00C97FE4"/>
    <w:rsid w:val="00C97FF2"/>
    <w:rsid w:val="00CA00F4"/>
    <w:rsid w:val="00CA00FB"/>
    <w:rsid w:val="00CA022C"/>
    <w:rsid w:val="00CA035E"/>
    <w:rsid w:val="00CA0433"/>
    <w:rsid w:val="00CA04CB"/>
    <w:rsid w:val="00CA04E2"/>
    <w:rsid w:val="00CA0706"/>
    <w:rsid w:val="00CA07BE"/>
    <w:rsid w:val="00CA085F"/>
    <w:rsid w:val="00CA08E3"/>
    <w:rsid w:val="00CA09FE"/>
    <w:rsid w:val="00CA0A2C"/>
    <w:rsid w:val="00CA0AF6"/>
    <w:rsid w:val="00CA0B12"/>
    <w:rsid w:val="00CA0D9D"/>
    <w:rsid w:val="00CA0DC8"/>
    <w:rsid w:val="00CA0DE0"/>
    <w:rsid w:val="00CA0EE0"/>
    <w:rsid w:val="00CA0F93"/>
    <w:rsid w:val="00CA1088"/>
    <w:rsid w:val="00CA10BB"/>
    <w:rsid w:val="00CA10D7"/>
    <w:rsid w:val="00CA1263"/>
    <w:rsid w:val="00CA12E2"/>
    <w:rsid w:val="00CA1309"/>
    <w:rsid w:val="00CA140A"/>
    <w:rsid w:val="00CA14D8"/>
    <w:rsid w:val="00CA151E"/>
    <w:rsid w:val="00CA1525"/>
    <w:rsid w:val="00CA167B"/>
    <w:rsid w:val="00CA180C"/>
    <w:rsid w:val="00CA1891"/>
    <w:rsid w:val="00CA1920"/>
    <w:rsid w:val="00CA1A81"/>
    <w:rsid w:val="00CA1B9B"/>
    <w:rsid w:val="00CA1BFF"/>
    <w:rsid w:val="00CA1E2F"/>
    <w:rsid w:val="00CA1EF9"/>
    <w:rsid w:val="00CA239E"/>
    <w:rsid w:val="00CA246F"/>
    <w:rsid w:val="00CA25D6"/>
    <w:rsid w:val="00CA2644"/>
    <w:rsid w:val="00CA282A"/>
    <w:rsid w:val="00CA28E8"/>
    <w:rsid w:val="00CA2B14"/>
    <w:rsid w:val="00CA2B6A"/>
    <w:rsid w:val="00CA2BAE"/>
    <w:rsid w:val="00CA2E61"/>
    <w:rsid w:val="00CA2EF0"/>
    <w:rsid w:val="00CA2F65"/>
    <w:rsid w:val="00CA318B"/>
    <w:rsid w:val="00CA3214"/>
    <w:rsid w:val="00CA3221"/>
    <w:rsid w:val="00CA323F"/>
    <w:rsid w:val="00CA3321"/>
    <w:rsid w:val="00CA3431"/>
    <w:rsid w:val="00CA35F5"/>
    <w:rsid w:val="00CA3680"/>
    <w:rsid w:val="00CA3719"/>
    <w:rsid w:val="00CA3845"/>
    <w:rsid w:val="00CA3906"/>
    <w:rsid w:val="00CA3AAA"/>
    <w:rsid w:val="00CA3C3C"/>
    <w:rsid w:val="00CA3FB3"/>
    <w:rsid w:val="00CA40DB"/>
    <w:rsid w:val="00CA4152"/>
    <w:rsid w:val="00CA421A"/>
    <w:rsid w:val="00CA42BD"/>
    <w:rsid w:val="00CA42E2"/>
    <w:rsid w:val="00CA436C"/>
    <w:rsid w:val="00CA43EC"/>
    <w:rsid w:val="00CA4576"/>
    <w:rsid w:val="00CA4654"/>
    <w:rsid w:val="00CA485A"/>
    <w:rsid w:val="00CA4878"/>
    <w:rsid w:val="00CA4A04"/>
    <w:rsid w:val="00CA4ADA"/>
    <w:rsid w:val="00CA4B70"/>
    <w:rsid w:val="00CA4C14"/>
    <w:rsid w:val="00CA4D87"/>
    <w:rsid w:val="00CA4DFB"/>
    <w:rsid w:val="00CA51AB"/>
    <w:rsid w:val="00CA5384"/>
    <w:rsid w:val="00CA53AB"/>
    <w:rsid w:val="00CA57E5"/>
    <w:rsid w:val="00CA5838"/>
    <w:rsid w:val="00CA58C3"/>
    <w:rsid w:val="00CA5939"/>
    <w:rsid w:val="00CA59BA"/>
    <w:rsid w:val="00CA59F0"/>
    <w:rsid w:val="00CA5B0D"/>
    <w:rsid w:val="00CA5D0F"/>
    <w:rsid w:val="00CA5D36"/>
    <w:rsid w:val="00CA5DB4"/>
    <w:rsid w:val="00CA61FD"/>
    <w:rsid w:val="00CA62AA"/>
    <w:rsid w:val="00CA62E8"/>
    <w:rsid w:val="00CA63EA"/>
    <w:rsid w:val="00CA6423"/>
    <w:rsid w:val="00CA6446"/>
    <w:rsid w:val="00CA651A"/>
    <w:rsid w:val="00CA6601"/>
    <w:rsid w:val="00CA6618"/>
    <w:rsid w:val="00CA6620"/>
    <w:rsid w:val="00CA689D"/>
    <w:rsid w:val="00CA6958"/>
    <w:rsid w:val="00CA69A4"/>
    <w:rsid w:val="00CA6B08"/>
    <w:rsid w:val="00CA6B57"/>
    <w:rsid w:val="00CA6BCE"/>
    <w:rsid w:val="00CA6CB5"/>
    <w:rsid w:val="00CA6CD9"/>
    <w:rsid w:val="00CA6D50"/>
    <w:rsid w:val="00CA6D99"/>
    <w:rsid w:val="00CA6E95"/>
    <w:rsid w:val="00CA7153"/>
    <w:rsid w:val="00CA718F"/>
    <w:rsid w:val="00CA71A8"/>
    <w:rsid w:val="00CA7220"/>
    <w:rsid w:val="00CA727F"/>
    <w:rsid w:val="00CA73C1"/>
    <w:rsid w:val="00CA73FE"/>
    <w:rsid w:val="00CA7454"/>
    <w:rsid w:val="00CA7570"/>
    <w:rsid w:val="00CA75F9"/>
    <w:rsid w:val="00CA766B"/>
    <w:rsid w:val="00CA7709"/>
    <w:rsid w:val="00CA783D"/>
    <w:rsid w:val="00CA786E"/>
    <w:rsid w:val="00CA78D4"/>
    <w:rsid w:val="00CA7CF1"/>
    <w:rsid w:val="00CA7E11"/>
    <w:rsid w:val="00CA7F57"/>
    <w:rsid w:val="00CA7F5C"/>
    <w:rsid w:val="00CB0067"/>
    <w:rsid w:val="00CB00DF"/>
    <w:rsid w:val="00CB02CD"/>
    <w:rsid w:val="00CB0495"/>
    <w:rsid w:val="00CB04DD"/>
    <w:rsid w:val="00CB05FE"/>
    <w:rsid w:val="00CB0801"/>
    <w:rsid w:val="00CB0904"/>
    <w:rsid w:val="00CB0993"/>
    <w:rsid w:val="00CB0A68"/>
    <w:rsid w:val="00CB0A99"/>
    <w:rsid w:val="00CB0C8E"/>
    <w:rsid w:val="00CB0E3C"/>
    <w:rsid w:val="00CB0E87"/>
    <w:rsid w:val="00CB0EFF"/>
    <w:rsid w:val="00CB108E"/>
    <w:rsid w:val="00CB1102"/>
    <w:rsid w:val="00CB118D"/>
    <w:rsid w:val="00CB1384"/>
    <w:rsid w:val="00CB145B"/>
    <w:rsid w:val="00CB148D"/>
    <w:rsid w:val="00CB1530"/>
    <w:rsid w:val="00CB159C"/>
    <w:rsid w:val="00CB1763"/>
    <w:rsid w:val="00CB184B"/>
    <w:rsid w:val="00CB1909"/>
    <w:rsid w:val="00CB194D"/>
    <w:rsid w:val="00CB1A58"/>
    <w:rsid w:val="00CB1B55"/>
    <w:rsid w:val="00CB1B79"/>
    <w:rsid w:val="00CB1C27"/>
    <w:rsid w:val="00CB2024"/>
    <w:rsid w:val="00CB2130"/>
    <w:rsid w:val="00CB213F"/>
    <w:rsid w:val="00CB21F7"/>
    <w:rsid w:val="00CB288A"/>
    <w:rsid w:val="00CB294D"/>
    <w:rsid w:val="00CB298B"/>
    <w:rsid w:val="00CB2B1C"/>
    <w:rsid w:val="00CB2CDA"/>
    <w:rsid w:val="00CB2EAC"/>
    <w:rsid w:val="00CB2F3E"/>
    <w:rsid w:val="00CB300F"/>
    <w:rsid w:val="00CB3051"/>
    <w:rsid w:val="00CB306F"/>
    <w:rsid w:val="00CB319C"/>
    <w:rsid w:val="00CB34E2"/>
    <w:rsid w:val="00CB366A"/>
    <w:rsid w:val="00CB3740"/>
    <w:rsid w:val="00CB3878"/>
    <w:rsid w:val="00CB389B"/>
    <w:rsid w:val="00CB39ED"/>
    <w:rsid w:val="00CB3A68"/>
    <w:rsid w:val="00CB3D04"/>
    <w:rsid w:val="00CB3EF9"/>
    <w:rsid w:val="00CB3F32"/>
    <w:rsid w:val="00CB3FE2"/>
    <w:rsid w:val="00CB40E6"/>
    <w:rsid w:val="00CB4267"/>
    <w:rsid w:val="00CB426A"/>
    <w:rsid w:val="00CB448A"/>
    <w:rsid w:val="00CB4495"/>
    <w:rsid w:val="00CB45D4"/>
    <w:rsid w:val="00CB4601"/>
    <w:rsid w:val="00CB469B"/>
    <w:rsid w:val="00CB46E2"/>
    <w:rsid w:val="00CB49E1"/>
    <w:rsid w:val="00CB49EB"/>
    <w:rsid w:val="00CB4AD4"/>
    <w:rsid w:val="00CB4BB1"/>
    <w:rsid w:val="00CB4D8C"/>
    <w:rsid w:val="00CB5021"/>
    <w:rsid w:val="00CB51A2"/>
    <w:rsid w:val="00CB51DD"/>
    <w:rsid w:val="00CB53CC"/>
    <w:rsid w:val="00CB5508"/>
    <w:rsid w:val="00CB570A"/>
    <w:rsid w:val="00CB57B1"/>
    <w:rsid w:val="00CB58D3"/>
    <w:rsid w:val="00CB5973"/>
    <w:rsid w:val="00CB5985"/>
    <w:rsid w:val="00CB59DC"/>
    <w:rsid w:val="00CB59E6"/>
    <w:rsid w:val="00CB5A8D"/>
    <w:rsid w:val="00CB5B08"/>
    <w:rsid w:val="00CB5BAF"/>
    <w:rsid w:val="00CB5C22"/>
    <w:rsid w:val="00CB5CF1"/>
    <w:rsid w:val="00CB5EEB"/>
    <w:rsid w:val="00CB5F08"/>
    <w:rsid w:val="00CB605E"/>
    <w:rsid w:val="00CB610C"/>
    <w:rsid w:val="00CB62F2"/>
    <w:rsid w:val="00CB634C"/>
    <w:rsid w:val="00CB640D"/>
    <w:rsid w:val="00CB646E"/>
    <w:rsid w:val="00CB6472"/>
    <w:rsid w:val="00CB64D1"/>
    <w:rsid w:val="00CB64E0"/>
    <w:rsid w:val="00CB6617"/>
    <w:rsid w:val="00CB661C"/>
    <w:rsid w:val="00CB6648"/>
    <w:rsid w:val="00CB66D8"/>
    <w:rsid w:val="00CB6956"/>
    <w:rsid w:val="00CB6B66"/>
    <w:rsid w:val="00CB6D30"/>
    <w:rsid w:val="00CB6F1A"/>
    <w:rsid w:val="00CB7030"/>
    <w:rsid w:val="00CB7061"/>
    <w:rsid w:val="00CB711B"/>
    <w:rsid w:val="00CB71F7"/>
    <w:rsid w:val="00CB7448"/>
    <w:rsid w:val="00CB7459"/>
    <w:rsid w:val="00CB777E"/>
    <w:rsid w:val="00CB77F9"/>
    <w:rsid w:val="00CB780B"/>
    <w:rsid w:val="00CB780D"/>
    <w:rsid w:val="00CB78DB"/>
    <w:rsid w:val="00CB7947"/>
    <w:rsid w:val="00CB7CF6"/>
    <w:rsid w:val="00CB7D7F"/>
    <w:rsid w:val="00CB7E5E"/>
    <w:rsid w:val="00CB7EBC"/>
    <w:rsid w:val="00CC01B3"/>
    <w:rsid w:val="00CC02DD"/>
    <w:rsid w:val="00CC0347"/>
    <w:rsid w:val="00CC048C"/>
    <w:rsid w:val="00CC0503"/>
    <w:rsid w:val="00CC0606"/>
    <w:rsid w:val="00CC0782"/>
    <w:rsid w:val="00CC0893"/>
    <w:rsid w:val="00CC08CF"/>
    <w:rsid w:val="00CC0B28"/>
    <w:rsid w:val="00CC0C0D"/>
    <w:rsid w:val="00CC0CB4"/>
    <w:rsid w:val="00CC0E0C"/>
    <w:rsid w:val="00CC0EEA"/>
    <w:rsid w:val="00CC10B0"/>
    <w:rsid w:val="00CC1371"/>
    <w:rsid w:val="00CC1582"/>
    <w:rsid w:val="00CC160F"/>
    <w:rsid w:val="00CC1651"/>
    <w:rsid w:val="00CC165F"/>
    <w:rsid w:val="00CC1667"/>
    <w:rsid w:val="00CC1770"/>
    <w:rsid w:val="00CC1877"/>
    <w:rsid w:val="00CC1897"/>
    <w:rsid w:val="00CC193B"/>
    <w:rsid w:val="00CC1AD4"/>
    <w:rsid w:val="00CC1C01"/>
    <w:rsid w:val="00CC1C6E"/>
    <w:rsid w:val="00CC1D89"/>
    <w:rsid w:val="00CC1E0B"/>
    <w:rsid w:val="00CC1E58"/>
    <w:rsid w:val="00CC213B"/>
    <w:rsid w:val="00CC21B9"/>
    <w:rsid w:val="00CC21C1"/>
    <w:rsid w:val="00CC23B8"/>
    <w:rsid w:val="00CC245C"/>
    <w:rsid w:val="00CC2580"/>
    <w:rsid w:val="00CC25E5"/>
    <w:rsid w:val="00CC2607"/>
    <w:rsid w:val="00CC2724"/>
    <w:rsid w:val="00CC272A"/>
    <w:rsid w:val="00CC2823"/>
    <w:rsid w:val="00CC28D9"/>
    <w:rsid w:val="00CC2AB5"/>
    <w:rsid w:val="00CC2B16"/>
    <w:rsid w:val="00CC2BF2"/>
    <w:rsid w:val="00CC2CA6"/>
    <w:rsid w:val="00CC2D91"/>
    <w:rsid w:val="00CC2E56"/>
    <w:rsid w:val="00CC2FBC"/>
    <w:rsid w:val="00CC3147"/>
    <w:rsid w:val="00CC31B7"/>
    <w:rsid w:val="00CC3250"/>
    <w:rsid w:val="00CC3279"/>
    <w:rsid w:val="00CC32D5"/>
    <w:rsid w:val="00CC3394"/>
    <w:rsid w:val="00CC3407"/>
    <w:rsid w:val="00CC34B5"/>
    <w:rsid w:val="00CC34D8"/>
    <w:rsid w:val="00CC34ED"/>
    <w:rsid w:val="00CC358E"/>
    <w:rsid w:val="00CC359F"/>
    <w:rsid w:val="00CC372C"/>
    <w:rsid w:val="00CC3A02"/>
    <w:rsid w:val="00CC3A62"/>
    <w:rsid w:val="00CC3C0B"/>
    <w:rsid w:val="00CC3CAA"/>
    <w:rsid w:val="00CC3F16"/>
    <w:rsid w:val="00CC421C"/>
    <w:rsid w:val="00CC441C"/>
    <w:rsid w:val="00CC4536"/>
    <w:rsid w:val="00CC4578"/>
    <w:rsid w:val="00CC4794"/>
    <w:rsid w:val="00CC4919"/>
    <w:rsid w:val="00CC4991"/>
    <w:rsid w:val="00CC4A42"/>
    <w:rsid w:val="00CC4A56"/>
    <w:rsid w:val="00CC4E22"/>
    <w:rsid w:val="00CC4EA3"/>
    <w:rsid w:val="00CC4F75"/>
    <w:rsid w:val="00CC5205"/>
    <w:rsid w:val="00CC52EC"/>
    <w:rsid w:val="00CC539A"/>
    <w:rsid w:val="00CC5714"/>
    <w:rsid w:val="00CC599A"/>
    <w:rsid w:val="00CC59C4"/>
    <w:rsid w:val="00CC5B39"/>
    <w:rsid w:val="00CC5BB7"/>
    <w:rsid w:val="00CC5BBD"/>
    <w:rsid w:val="00CC5C58"/>
    <w:rsid w:val="00CC5CB7"/>
    <w:rsid w:val="00CC5DC7"/>
    <w:rsid w:val="00CC5E02"/>
    <w:rsid w:val="00CC5E50"/>
    <w:rsid w:val="00CC5E8E"/>
    <w:rsid w:val="00CC5FB1"/>
    <w:rsid w:val="00CC605A"/>
    <w:rsid w:val="00CC6177"/>
    <w:rsid w:val="00CC6205"/>
    <w:rsid w:val="00CC6559"/>
    <w:rsid w:val="00CC65C8"/>
    <w:rsid w:val="00CC65FA"/>
    <w:rsid w:val="00CC6988"/>
    <w:rsid w:val="00CC6AB3"/>
    <w:rsid w:val="00CC6B59"/>
    <w:rsid w:val="00CC6C2C"/>
    <w:rsid w:val="00CC6C6E"/>
    <w:rsid w:val="00CC6DF2"/>
    <w:rsid w:val="00CC6E64"/>
    <w:rsid w:val="00CC6FBB"/>
    <w:rsid w:val="00CC6FCA"/>
    <w:rsid w:val="00CC706C"/>
    <w:rsid w:val="00CC7175"/>
    <w:rsid w:val="00CC73D3"/>
    <w:rsid w:val="00CC765A"/>
    <w:rsid w:val="00CC7665"/>
    <w:rsid w:val="00CC79A0"/>
    <w:rsid w:val="00CC79BF"/>
    <w:rsid w:val="00CC7A2A"/>
    <w:rsid w:val="00CC7A5B"/>
    <w:rsid w:val="00CC7B0E"/>
    <w:rsid w:val="00CC7BDE"/>
    <w:rsid w:val="00CC7C01"/>
    <w:rsid w:val="00CC7C44"/>
    <w:rsid w:val="00CC7C78"/>
    <w:rsid w:val="00CC7D75"/>
    <w:rsid w:val="00CC7D9F"/>
    <w:rsid w:val="00CC7E26"/>
    <w:rsid w:val="00CC7EAE"/>
    <w:rsid w:val="00CC7F5E"/>
    <w:rsid w:val="00CD0001"/>
    <w:rsid w:val="00CD009D"/>
    <w:rsid w:val="00CD00C8"/>
    <w:rsid w:val="00CD01EF"/>
    <w:rsid w:val="00CD025E"/>
    <w:rsid w:val="00CD035C"/>
    <w:rsid w:val="00CD0383"/>
    <w:rsid w:val="00CD0550"/>
    <w:rsid w:val="00CD05A5"/>
    <w:rsid w:val="00CD05C3"/>
    <w:rsid w:val="00CD068B"/>
    <w:rsid w:val="00CD06F0"/>
    <w:rsid w:val="00CD0869"/>
    <w:rsid w:val="00CD087F"/>
    <w:rsid w:val="00CD0A75"/>
    <w:rsid w:val="00CD0B44"/>
    <w:rsid w:val="00CD0BA6"/>
    <w:rsid w:val="00CD0C69"/>
    <w:rsid w:val="00CD0E13"/>
    <w:rsid w:val="00CD0F10"/>
    <w:rsid w:val="00CD0F78"/>
    <w:rsid w:val="00CD0F80"/>
    <w:rsid w:val="00CD10F5"/>
    <w:rsid w:val="00CD1241"/>
    <w:rsid w:val="00CD12FC"/>
    <w:rsid w:val="00CD130F"/>
    <w:rsid w:val="00CD1500"/>
    <w:rsid w:val="00CD1806"/>
    <w:rsid w:val="00CD187C"/>
    <w:rsid w:val="00CD1916"/>
    <w:rsid w:val="00CD1966"/>
    <w:rsid w:val="00CD19D3"/>
    <w:rsid w:val="00CD1D26"/>
    <w:rsid w:val="00CD1D3D"/>
    <w:rsid w:val="00CD1DDB"/>
    <w:rsid w:val="00CD1DFB"/>
    <w:rsid w:val="00CD1E13"/>
    <w:rsid w:val="00CD2098"/>
    <w:rsid w:val="00CD2164"/>
    <w:rsid w:val="00CD24EF"/>
    <w:rsid w:val="00CD2531"/>
    <w:rsid w:val="00CD27FF"/>
    <w:rsid w:val="00CD2B0F"/>
    <w:rsid w:val="00CD2BE1"/>
    <w:rsid w:val="00CD2C64"/>
    <w:rsid w:val="00CD2EDE"/>
    <w:rsid w:val="00CD30C7"/>
    <w:rsid w:val="00CD3160"/>
    <w:rsid w:val="00CD3187"/>
    <w:rsid w:val="00CD334C"/>
    <w:rsid w:val="00CD3441"/>
    <w:rsid w:val="00CD3592"/>
    <w:rsid w:val="00CD36BD"/>
    <w:rsid w:val="00CD375B"/>
    <w:rsid w:val="00CD3783"/>
    <w:rsid w:val="00CD3846"/>
    <w:rsid w:val="00CD39E0"/>
    <w:rsid w:val="00CD3B38"/>
    <w:rsid w:val="00CD3B9F"/>
    <w:rsid w:val="00CD3C59"/>
    <w:rsid w:val="00CD3DB3"/>
    <w:rsid w:val="00CD3F9E"/>
    <w:rsid w:val="00CD402B"/>
    <w:rsid w:val="00CD4064"/>
    <w:rsid w:val="00CD4070"/>
    <w:rsid w:val="00CD410C"/>
    <w:rsid w:val="00CD43E0"/>
    <w:rsid w:val="00CD46D1"/>
    <w:rsid w:val="00CD4835"/>
    <w:rsid w:val="00CD48FB"/>
    <w:rsid w:val="00CD4A17"/>
    <w:rsid w:val="00CD4CAA"/>
    <w:rsid w:val="00CD4D88"/>
    <w:rsid w:val="00CD4D8B"/>
    <w:rsid w:val="00CD4EF3"/>
    <w:rsid w:val="00CD5102"/>
    <w:rsid w:val="00CD514E"/>
    <w:rsid w:val="00CD52AE"/>
    <w:rsid w:val="00CD52E9"/>
    <w:rsid w:val="00CD53BA"/>
    <w:rsid w:val="00CD543F"/>
    <w:rsid w:val="00CD54F6"/>
    <w:rsid w:val="00CD557E"/>
    <w:rsid w:val="00CD5647"/>
    <w:rsid w:val="00CD5663"/>
    <w:rsid w:val="00CD5690"/>
    <w:rsid w:val="00CD575D"/>
    <w:rsid w:val="00CD578F"/>
    <w:rsid w:val="00CD57C4"/>
    <w:rsid w:val="00CD57C6"/>
    <w:rsid w:val="00CD5AFD"/>
    <w:rsid w:val="00CD5B43"/>
    <w:rsid w:val="00CD5CA9"/>
    <w:rsid w:val="00CD5CD2"/>
    <w:rsid w:val="00CD5D48"/>
    <w:rsid w:val="00CD5D4C"/>
    <w:rsid w:val="00CD5DA1"/>
    <w:rsid w:val="00CD5DC8"/>
    <w:rsid w:val="00CD5DF5"/>
    <w:rsid w:val="00CD5EAA"/>
    <w:rsid w:val="00CD5F48"/>
    <w:rsid w:val="00CD6104"/>
    <w:rsid w:val="00CD61D3"/>
    <w:rsid w:val="00CD61D9"/>
    <w:rsid w:val="00CD620F"/>
    <w:rsid w:val="00CD635C"/>
    <w:rsid w:val="00CD639A"/>
    <w:rsid w:val="00CD6413"/>
    <w:rsid w:val="00CD6438"/>
    <w:rsid w:val="00CD6529"/>
    <w:rsid w:val="00CD65BE"/>
    <w:rsid w:val="00CD662F"/>
    <w:rsid w:val="00CD6747"/>
    <w:rsid w:val="00CD6835"/>
    <w:rsid w:val="00CD68BF"/>
    <w:rsid w:val="00CD69E6"/>
    <w:rsid w:val="00CD6A52"/>
    <w:rsid w:val="00CD6AE6"/>
    <w:rsid w:val="00CD6D65"/>
    <w:rsid w:val="00CD6EC7"/>
    <w:rsid w:val="00CD6F03"/>
    <w:rsid w:val="00CD721B"/>
    <w:rsid w:val="00CD72F1"/>
    <w:rsid w:val="00CD72F8"/>
    <w:rsid w:val="00CD73EF"/>
    <w:rsid w:val="00CD74BD"/>
    <w:rsid w:val="00CD74EA"/>
    <w:rsid w:val="00CD74FB"/>
    <w:rsid w:val="00CD7578"/>
    <w:rsid w:val="00CD770B"/>
    <w:rsid w:val="00CD7724"/>
    <w:rsid w:val="00CD776C"/>
    <w:rsid w:val="00CD77BD"/>
    <w:rsid w:val="00CD79F4"/>
    <w:rsid w:val="00CD7A95"/>
    <w:rsid w:val="00CD7C12"/>
    <w:rsid w:val="00CD7D9C"/>
    <w:rsid w:val="00CD7E89"/>
    <w:rsid w:val="00CD7EDC"/>
    <w:rsid w:val="00CD7F37"/>
    <w:rsid w:val="00CD7FC0"/>
    <w:rsid w:val="00CE0004"/>
    <w:rsid w:val="00CE003C"/>
    <w:rsid w:val="00CE004A"/>
    <w:rsid w:val="00CE02D6"/>
    <w:rsid w:val="00CE0494"/>
    <w:rsid w:val="00CE052C"/>
    <w:rsid w:val="00CE058C"/>
    <w:rsid w:val="00CE0666"/>
    <w:rsid w:val="00CE06EE"/>
    <w:rsid w:val="00CE0781"/>
    <w:rsid w:val="00CE0790"/>
    <w:rsid w:val="00CE08CD"/>
    <w:rsid w:val="00CE0A70"/>
    <w:rsid w:val="00CE0AF1"/>
    <w:rsid w:val="00CE0D2C"/>
    <w:rsid w:val="00CE0D7B"/>
    <w:rsid w:val="00CE0D85"/>
    <w:rsid w:val="00CE0DC1"/>
    <w:rsid w:val="00CE0E43"/>
    <w:rsid w:val="00CE0E70"/>
    <w:rsid w:val="00CE103E"/>
    <w:rsid w:val="00CE10A3"/>
    <w:rsid w:val="00CE1285"/>
    <w:rsid w:val="00CE1297"/>
    <w:rsid w:val="00CE12F5"/>
    <w:rsid w:val="00CE1380"/>
    <w:rsid w:val="00CE144A"/>
    <w:rsid w:val="00CE15C0"/>
    <w:rsid w:val="00CE16C3"/>
    <w:rsid w:val="00CE183A"/>
    <w:rsid w:val="00CE19ED"/>
    <w:rsid w:val="00CE1A74"/>
    <w:rsid w:val="00CE1A9E"/>
    <w:rsid w:val="00CE1B99"/>
    <w:rsid w:val="00CE1D0A"/>
    <w:rsid w:val="00CE1D89"/>
    <w:rsid w:val="00CE1DEC"/>
    <w:rsid w:val="00CE1F5A"/>
    <w:rsid w:val="00CE2100"/>
    <w:rsid w:val="00CE2108"/>
    <w:rsid w:val="00CE230C"/>
    <w:rsid w:val="00CE2489"/>
    <w:rsid w:val="00CE2562"/>
    <w:rsid w:val="00CE260A"/>
    <w:rsid w:val="00CE2774"/>
    <w:rsid w:val="00CE2815"/>
    <w:rsid w:val="00CE2A0F"/>
    <w:rsid w:val="00CE2EAF"/>
    <w:rsid w:val="00CE2EEF"/>
    <w:rsid w:val="00CE2F48"/>
    <w:rsid w:val="00CE324C"/>
    <w:rsid w:val="00CE3307"/>
    <w:rsid w:val="00CE3315"/>
    <w:rsid w:val="00CE3509"/>
    <w:rsid w:val="00CE3565"/>
    <w:rsid w:val="00CE3582"/>
    <w:rsid w:val="00CE35CC"/>
    <w:rsid w:val="00CE3633"/>
    <w:rsid w:val="00CE3738"/>
    <w:rsid w:val="00CE37B0"/>
    <w:rsid w:val="00CE398B"/>
    <w:rsid w:val="00CE39D1"/>
    <w:rsid w:val="00CE39F9"/>
    <w:rsid w:val="00CE3AEB"/>
    <w:rsid w:val="00CE3B66"/>
    <w:rsid w:val="00CE3F43"/>
    <w:rsid w:val="00CE40B7"/>
    <w:rsid w:val="00CE40E1"/>
    <w:rsid w:val="00CE4159"/>
    <w:rsid w:val="00CE4188"/>
    <w:rsid w:val="00CE41A8"/>
    <w:rsid w:val="00CE41D0"/>
    <w:rsid w:val="00CE4201"/>
    <w:rsid w:val="00CE4309"/>
    <w:rsid w:val="00CE4350"/>
    <w:rsid w:val="00CE440C"/>
    <w:rsid w:val="00CE452D"/>
    <w:rsid w:val="00CE4554"/>
    <w:rsid w:val="00CE45F6"/>
    <w:rsid w:val="00CE4623"/>
    <w:rsid w:val="00CE46F0"/>
    <w:rsid w:val="00CE477A"/>
    <w:rsid w:val="00CE4845"/>
    <w:rsid w:val="00CE4880"/>
    <w:rsid w:val="00CE489E"/>
    <w:rsid w:val="00CE491C"/>
    <w:rsid w:val="00CE4D72"/>
    <w:rsid w:val="00CE4F3F"/>
    <w:rsid w:val="00CE503D"/>
    <w:rsid w:val="00CE5043"/>
    <w:rsid w:val="00CE52B5"/>
    <w:rsid w:val="00CE5397"/>
    <w:rsid w:val="00CE53CA"/>
    <w:rsid w:val="00CE54DF"/>
    <w:rsid w:val="00CE5560"/>
    <w:rsid w:val="00CE560E"/>
    <w:rsid w:val="00CE566A"/>
    <w:rsid w:val="00CE568C"/>
    <w:rsid w:val="00CE570C"/>
    <w:rsid w:val="00CE5789"/>
    <w:rsid w:val="00CE57FF"/>
    <w:rsid w:val="00CE59D2"/>
    <w:rsid w:val="00CE5A1C"/>
    <w:rsid w:val="00CE5B33"/>
    <w:rsid w:val="00CE5DF3"/>
    <w:rsid w:val="00CE5E3F"/>
    <w:rsid w:val="00CE5E62"/>
    <w:rsid w:val="00CE5FAA"/>
    <w:rsid w:val="00CE5FB6"/>
    <w:rsid w:val="00CE60D1"/>
    <w:rsid w:val="00CE61B3"/>
    <w:rsid w:val="00CE61CB"/>
    <w:rsid w:val="00CE622D"/>
    <w:rsid w:val="00CE6394"/>
    <w:rsid w:val="00CE63FE"/>
    <w:rsid w:val="00CE653B"/>
    <w:rsid w:val="00CE68A4"/>
    <w:rsid w:val="00CE68A8"/>
    <w:rsid w:val="00CE68D5"/>
    <w:rsid w:val="00CE6AF7"/>
    <w:rsid w:val="00CE6FD8"/>
    <w:rsid w:val="00CE70CC"/>
    <w:rsid w:val="00CE711D"/>
    <w:rsid w:val="00CE7194"/>
    <w:rsid w:val="00CE72C0"/>
    <w:rsid w:val="00CE73B1"/>
    <w:rsid w:val="00CE73DC"/>
    <w:rsid w:val="00CE73E0"/>
    <w:rsid w:val="00CE73FF"/>
    <w:rsid w:val="00CE7413"/>
    <w:rsid w:val="00CE7515"/>
    <w:rsid w:val="00CE7518"/>
    <w:rsid w:val="00CE7648"/>
    <w:rsid w:val="00CE7651"/>
    <w:rsid w:val="00CE7730"/>
    <w:rsid w:val="00CE7770"/>
    <w:rsid w:val="00CE77FC"/>
    <w:rsid w:val="00CE7973"/>
    <w:rsid w:val="00CE7A71"/>
    <w:rsid w:val="00CE7AEC"/>
    <w:rsid w:val="00CE7B05"/>
    <w:rsid w:val="00CE7C0B"/>
    <w:rsid w:val="00CE7C6F"/>
    <w:rsid w:val="00CE7D6B"/>
    <w:rsid w:val="00CE7E28"/>
    <w:rsid w:val="00CE7E7F"/>
    <w:rsid w:val="00CE7F46"/>
    <w:rsid w:val="00CE7FDA"/>
    <w:rsid w:val="00CF007B"/>
    <w:rsid w:val="00CF00BC"/>
    <w:rsid w:val="00CF00F1"/>
    <w:rsid w:val="00CF0104"/>
    <w:rsid w:val="00CF0149"/>
    <w:rsid w:val="00CF01F7"/>
    <w:rsid w:val="00CF03A9"/>
    <w:rsid w:val="00CF03AB"/>
    <w:rsid w:val="00CF0413"/>
    <w:rsid w:val="00CF0484"/>
    <w:rsid w:val="00CF0519"/>
    <w:rsid w:val="00CF06AF"/>
    <w:rsid w:val="00CF07E2"/>
    <w:rsid w:val="00CF0A94"/>
    <w:rsid w:val="00CF0B26"/>
    <w:rsid w:val="00CF0C1E"/>
    <w:rsid w:val="00CF0E16"/>
    <w:rsid w:val="00CF107F"/>
    <w:rsid w:val="00CF134F"/>
    <w:rsid w:val="00CF13B9"/>
    <w:rsid w:val="00CF1645"/>
    <w:rsid w:val="00CF16E1"/>
    <w:rsid w:val="00CF18E4"/>
    <w:rsid w:val="00CF195B"/>
    <w:rsid w:val="00CF19D3"/>
    <w:rsid w:val="00CF1ABB"/>
    <w:rsid w:val="00CF1B79"/>
    <w:rsid w:val="00CF1C26"/>
    <w:rsid w:val="00CF1D2D"/>
    <w:rsid w:val="00CF1E2F"/>
    <w:rsid w:val="00CF1F29"/>
    <w:rsid w:val="00CF1F3B"/>
    <w:rsid w:val="00CF20E1"/>
    <w:rsid w:val="00CF2242"/>
    <w:rsid w:val="00CF23D5"/>
    <w:rsid w:val="00CF252A"/>
    <w:rsid w:val="00CF2651"/>
    <w:rsid w:val="00CF26B4"/>
    <w:rsid w:val="00CF2772"/>
    <w:rsid w:val="00CF29D2"/>
    <w:rsid w:val="00CF2A9F"/>
    <w:rsid w:val="00CF2B40"/>
    <w:rsid w:val="00CF2B48"/>
    <w:rsid w:val="00CF2CE7"/>
    <w:rsid w:val="00CF2F43"/>
    <w:rsid w:val="00CF2F80"/>
    <w:rsid w:val="00CF3012"/>
    <w:rsid w:val="00CF3049"/>
    <w:rsid w:val="00CF3288"/>
    <w:rsid w:val="00CF3333"/>
    <w:rsid w:val="00CF351B"/>
    <w:rsid w:val="00CF3568"/>
    <w:rsid w:val="00CF3759"/>
    <w:rsid w:val="00CF378A"/>
    <w:rsid w:val="00CF37B8"/>
    <w:rsid w:val="00CF395A"/>
    <w:rsid w:val="00CF395B"/>
    <w:rsid w:val="00CF39AE"/>
    <w:rsid w:val="00CF39B8"/>
    <w:rsid w:val="00CF3A50"/>
    <w:rsid w:val="00CF3B23"/>
    <w:rsid w:val="00CF3B8D"/>
    <w:rsid w:val="00CF3C09"/>
    <w:rsid w:val="00CF3DE8"/>
    <w:rsid w:val="00CF4007"/>
    <w:rsid w:val="00CF4044"/>
    <w:rsid w:val="00CF40F1"/>
    <w:rsid w:val="00CF415C"/>
    <w:rsid w:val="00CF41DE"/>
    <w:rsid w:val="00CF42D5"/>
    <w:rsid w:val="00CF4374"/>
    <w:rsid w:val="00CF43FF"/>
    <w:rsid w:val="00CF4511"/>
    <w:rsid w:val="00CF4603"/>
    <w:rsid w:val="00CF467F"/>
    <w:rsid w:val="00CF4730"/>
    <w:rsid w:val="00CF47D6"/>
    <w:rsid w:val="00CF4868"/>
    <w:rsid w:val="00CF49EA"/>
    <w:rsid w:val="00CF4A10"/>
    <w:rsid w:val="00CF4B69"/>
    <w:rsid w:val="00CF4BF2"/>
    <w:rsid w:val="00CF4C10"/>
    <w:rsid w:val="00CF4C60"/>
    <w:rsid w:val="00CF4DE0"/>
    <w:rsid w:val="00CF50BB"/>
    <w:rsid w:val="00CF5104"/>
    <w:rsid w:val="00CF51FE"/>
    <w:rsid w:val="00CF540D"/>
    <w:rsid w:val="00CF5538"/>
    <w:rsid w:val="00CF5590"/>
    <w:rsid w:val="00CF55DD"/>
    <w:rsid w:val="00CF593D"/>
    <w:rsid w:val="00CF59BA"/>
    <w:rsid w:val="00CF5B67"/>
    <w:rsid w:val="00CF5C36"/>
    <w:rsid w:val="00CF5E91"/>
    <w:rsid w:val="00CF60D7"/>
    <w:rsid w:val="00CF60E3"/>
    <w:rsid w:val="00CF6123"/>
    <w:rsid w:val="00CF61BA"/>
    <w:rsid w:val="00CF6202"/>
    <w:rsid w:val="00CF634E"/>
    <w:rsid w:val="00CF648B"/>
    <w:rsid w:val="00CF65A2"/>
    <w:rsid w:val="00CF6955"/>
    <w:rsid w:val="00CF6990"/>
    <w:rsid w:val="00CF6AFC"/>
    <w:rsid w:val="00CF6B81"/>
    <w:rsid w:val="00CF6C03"/>
    <w:rsid w:val="00CF6C33"/>
    <w:rsid w:val="00CF6EAC"/>
    <w:rsid w:val="00CF6FF2"/>
    <w:rsid w:val="00CF70D4"/>
    <w:rsid w:val="00CF70DD"/>
    <w:rsid w:val="00CF7218"/>
    <w:rsid w:val="00CF7238"/>
    <w:rsid w:val="00CF72A1"/>
    <w:rsid w:val="00CF73FB"/>
    <w:rsid w:val="00CF74AE"/>
    <w:rsid w:val="00CF7576"/>
    <w:rsid w:val="00CF7599"/>
    <w:rsid w:val="00CF75B6"/>
    <w:rsid w:val="00CF765F"/>
    <w:rsid w:val="00CF76EC"/>
    <w:rsid w:val="00CF772A"/>
    <w:rsid w:val="00CF772C"/>
    <w:rsid w:val="00CF79C6"/>
    <w:rsid w:val="00CF79F4"/>
    <w:rsid w:val="00CF79F8"/>
    <w:rsid w:val="00CF7A9C"/>
    <w:rsid w:val="00CF7B91"/>
    <w:rsid w:val="00CF7CA7"/>
    <w:rsid w:val="00CF7E01"/>
    <w:rsid w:val="00D001F4"/>
    <w:rsid w:val="00D0020C"/>
    <w:rsid w:val="00D002A8"/>
    <w:rsid w:val="00D00529"/>
    <w:rsid w:val="00D0092A"/>
    <w:rsid w:val="00D009BE"/>
    <w:rsid w:val="00D009F9"/>
    <w:rsid w:val="00D00ADA"/>
    <w:rsid w:val="00D00B90"/>
    <w:rsid w:val="00D00C38"/>
    <w:rsid w:val="00D00C67"/>
    <w:rsid w:val="00D00E49"/>
    <w:rsid w:val="00D00E77"/>
    <w:rsid w:val="00D00E9A"/>
    <w:rsid w:val="00D00EE7"/>
    <w:rsid w:val="00D01167"/>
    <w:rsid w:val="00D0138C"/>
    <w:rsid w:val="00D0140D"/>
    <w:rsid w:val="00D014FF"/>
    <w:rsid w:val="00D015F4"/>
    <w:rsid w:val="00D01720"/>
    <w:rsid w:val="00D017D0"/>
    <w:rsid w:val="00D018CD"/>
    <w:rsid w:val="00D01C53"/>
    <w:rsid w:val="00D01C9C"/>
    <w:rsid w:val="00D01CEC"/>
    <w:rsid w:val="00D01CF8"/>
    <w:rsid w:val="00D01D04"/>
    <w:rsid w:val="00D01D7C"/>
    <w:rsid w:val="00D01DB6"/>
    <w:rsid w:val="00D01DDE"/>
    <w:rsid w:val="00D0227D"/>
    <w:rsid w:val="00D02383"/>
    <w:rsid w:val="00D023C9"/>
    <w:rsid w:val="00D024EB"/>
    <w:rsid w:val="00D02608"/>
    <w:rsid w:val="00D0261E"/>
    <w:rsid w:val="00D0263B"/>
    <w:rsid w:val="00D02990"/>
    <w:rsid w:val="00D02AE7"/>
    <w:rsid w:val="00D02BD3"/>
    <w:rsid w:val="00D02F48"/>
    <w:rsid w:val="00D0305F"/>
    <w:rsid w:val="00D0307B"/>
    <w:rsid w:val="00D03124"/>
    <w:rsid w:val="00D0314D"/>
    <w:rsid w:val="00D032A8"/>
    <w:rsid w:val="00D032ED"/>
    <w:rsid w:val="00D034B6"/>
    <w:rsid w:val="00D0361E"/>
    <w:rsid w:val="00D03632"/>
    <w:rsid w:val="00D03745"/>
    <w:rsid w:val="00D037D9"/>
    <w:rsid w:val="00D03A0D"/>
    <w:rsid w:val="00D03E94"/>
    <w:rsid w:val="00D042DB"/>
    <w:rsid w:val="00D045D8"/>
    <w:rsid w:val="00D046B3"/>
    <w:rsid w:val="00D0477C"/>
    <w:rsid w:val="00D047B2"/>
    <w:rsid w:val="00D047FB"/>
    <w:rsid w:val="00D049D8"/>
    <w:rsid w:val="00D049FD"/>
    <w:rsid w:val="00D04AE0"/>
    <w:rsid w:val="00D04B1B"/>
    <w:rsid w:val="00D04C1C"/>
    <w:rsid w:val="00D0506C"/>
    <w:rsid w:val="00D05182"/>
    <w:rsid w:val="00D051F8"/>
    <w:rsid w:val="00D052DD"/>
    <w:rsid w:val="00D0538B"/>
    <w:rsid w:val="00D053AF"/>
    <w:rsid w:val="00D05669"/>
    <w:rsid w:val="00D058A4"/>
    <w:rsid w:val="00D05952"/>
    <w:rsid w:val="00D05957"/>
    <w:rsid w:val="00D05B4C"/>
    <w:rsid w:val="00D05B71"/>
    <w:rsid w:val="00D05C8D"/>
    <w:rsid w:val="00D05CB5"/>
    <w:rsid w:val="00D05D8F"/>
    <w:rsid w:val="00D05E05"/>
    <w:rsid w:val="00D05EC6"/>
    <w:rsid w:val="00D06101"/>
    <w:rsid w:val="00D061EA"/>
    <w:rsid w:val="00D063AB"/>
    <w:rsid w:val="00D063F0"/>
    <w:rsid w:val="00D064F3"/>
    <w:rsid w:val="00D065A9"/>
    <w:rsid w:val="00D065AB"/>
    <w:rsid w:val="00D065DE"/>
    <w:rsid w:val="00D067C4"/>
    <w:rsid w:val="00D0686B"/>
    <w:rsid w:val="00D068C9"/>
    <w:rsid w:val="00D06B26"/>
    <w:rsid w:val="00D06FB3"/>
    <w:rsid w:val="00D06FF6"/>
    <w:rsid w:val="00D07241"/>
    <w:rsid w:val="00D072ED"/>
    <w:rsid w:val="00D0734F"/>
    <w:rsid w:val="00D07371"/>
    <w:rsid w:val="00D073B0"/>
    <w:rsid w:val="00D073E4"/>
    <w:rsid w:val="00D074A6"/>
    <w:rsid w:val="00D075CE"/>
    <w:rsid w:val="00D076D0"/>
    <w:rsid w:val="00D07790"/>
    <w:rsid w:val="00D07896"/>
    <w:rsid w:val="00D07972"/>
    <w:rsid w:val="00D07AC8"/>
    <w:rsid w:val="00D07B06"/>
    <w:rsid w:val="00D07B7E"/>
    <w:rsid w:val="00D07E95"/>
    <w:rsid w:val="00D07EBB"/>
    <w:rsid w:val="00D10044"/>
    <w:rsid w:val="00D10188"/>
    <w:rsid w:val="00D1028E"/>
    <w:rsid w:val="00D1040D"/>
    <w:rsid w:val="00D10437"/>
    <w:rsid w:val="00D1046A"/>
    <w:rsid w:val="00D10523"/>
    <w:rsid w:val="00D106F3"/>
    <w:rsid w:val="00D10707"/>
    <w:rsid w:val="00D1076F"/>
    <w:rsid w:val="00D1078E"/>
    <w:rsid w:val="00D10957"/>
    <w:rsid w:val="00D10962"/>
    <w:rsid w:val="00D109FF"/>
    <w:rsid w:val="00D10A0D"/>
    <w:rsid w:val="00D10AEA"/>
    <w:rsid w:val="00D10B89"/>
    <w:rsid w:val="00D10BEA"/>
    <w:rsid w:val="00D10C7A"/>
    <w:rsid w:val="00D10CAB"/>
    <w:rsid w:val="00D10CC1"/>
    <w:rsid w:val="00D1117C"/>
    <w:rsid w:val="00D112EE"/>
    <w:rsid w:val="00D1155E"/>
    <w:rsid w:val="00D1174A"/>
    <w:rsid w:val="00D1178F"/>
    <w:rsid w:val="00D11949"/>
    <w:rsid w:val="00D1198A"/>
    <w:rsid w:val="00D11A8F"/>
    <w:rsid w:val="00D11CCB"/>
    <w:rsid w:val="00D11D6E"/>
    <w:rsid w:val="00D11D89"/>
    <w:rsid w:val="00D11EDD"/>
    <w:rsid w:val="00D11F29"/>
    <w:rsid w:val="00D11F4D"/>
    <w:rsid w:val="00D12001"/>
    <w:rsid w:val="00D12017"/>
    <w:rsid w:val="00D1224F"/>
    <w:rsid w:val="00D12270"/>
    <w:rsid w:val="00D123BC"/>
    <w:rsid w:val="00D123C8"/>
    <w:rsid w:val="00D124D6"/>
    <w:rsid w:val="00D125D0"/>
    <w:rsid w:val="00D126AA"/>
    <w:rsid w:val="00D1271D"/>
    <w:rsid w:val="00D127AD"/>
    <w:rsid w:val="00D1280B"/>
    <w:rsid w:val="00D12ABA"/>
    <w:rsid w:val="00D12C0A"/>
    <w:rsid w:val="00D12D20"/>
    <w:rsid w:val="00D12DE0"/>
    <w:rsid w:val="00D12F13"/>
    <w:rsid w:val="00D130DC"/>
    <w:rsid w:val="00D1316D"/>
    <w:rsid w:val="00D1340E"/>
    <w:rsid w:val="00D13464"/>
    <w:rsid w:val="00D1351D"/>
    <w:rsid w:val="00D136C8"/>
    <w:rsid w:val="00D13869"/>
    <w:rsid w:val="00D1396D"/>
    <w:rsid w:val="00D13975"/>
    <w:rsid w:val="00D13982"/>
    <w:rsid w:val="00D13B90"/>
    <w:rsid w:val="00D13BCF"/>
    <w:rsid w:val="00D13C62"/>
    <w:rsid w:val="00D13C63"/>
    <w:rsid w:val="00D13D40"/>
    <w:rsid w:val="00D141AC"/>
    <w:rsid w:val="00D141B4"/>
    <w:rsid w:val="00D142BF"/>
    <w:rsid w:val="00D145A6"/>
    <w:rsid w:val="00D145D0"/>
    <w:rsid w:val="00D147D8"/>
    <w:rsid w:val="00D14816"/>
    <w:rsid w:val="00D14865"/>
    <w:rsid w:val="00D148B4"/>
    <w:rsid w:val="00D149EC"/>
    <w:rsid w:val="00D14A1A"/>
    <w:rsid w:val="00D14ACD"/>
    <w:rsid w:val="00D14D90"/>
    <w:rsid w:val="00D14DEB"/>
    <w:rsid w:val="00D14E03"/>
    <w:rsid w:val="00D14F54"/>
    <w:rsid w:val="00D14FEE"/>
    <w:rsid w:val="00D15123"/>
    <w:rsid w:val="00D151AE"/>
    <w:rsid w:val="00D152CC"/>
    <w:rsid w:val="00D1534F"/>
    <w:rsid w:val="00D15494"/>
    <w:rsid w:val="00D15622"/>
    <w:rsid w:val="00D156D0"/>
    <w:rsid w:val="00D157D9"/>
    <w:rsid w:val="00D158DD"/>
    <w:rsid w:val="00D15943"/>
    <w:rsid w:val="00D15BE8"/>
    <w:rsid w:val="00D15E9B"/>
    <w:rsid w:val="00D15FE0"/>
    <w:rsid w:val="00D1621A"/>
    <w:rsid w:val="00D16274"/>
    <w:rsid w:val="00D162B3"/>
    <w:rsid w:val="00D162BA"/>
    <w:rsid w:val="00D1659B"/>
    <w:rsid w:val="00D1685A"/>
    <w:rsid w:val="00D16873"/>
    <w:rsid w:val="00D16880"/>
    <w:rsid w:val="00D16A6C"/>
    <w:rsid w:val="00D16BE1"/>
    <w:rsid w:val="00D16C03"/>
    <w:rsid w:val="00D16C08"/>
    <w:rsid w:val="00D16C52"/>
    <w:rsid w:val="00D16C93"/>
    <w:rsid w:val="00D16E57"/>
    <w:rsid w:val="00D16F87"/>
    <w:rsid w:val="00D1707E"/>
    <w:rsid w:val="00D17086"/>
    <w:rsid w:val="00D17091"/>
    <w:rsid w:val="00D1709C"/>
    <w:rsid w:val="00D171D5"/>
    <w:rsid w:val="00D1726A"/>
    <w:rsid w:val="00D1733C"/>
    <w:rsid w:val="00D17422"/>
    <w:rsid w:val="00D1745B"/>
    <w:rsid w:val="00D1752A"/>
    <w:rsid w:val="00D17692"/>
    <w:rsid w:val="00D17755"/>
    <w:rsid w:val="00D17775"/>
    <w:rsid w:val="00D177B3"/>
    <w:rsid w:val="00D17A48"/>
    <w:rsid w:val="00D17B72"/>
    <w:rsid w:val="00D17CBA"/>
    <w:rsid w:val="00D17D76"/>
    <w:rsid w:val="00D17DE1"/>
    <w:rsid w:val="00D17F0B"/>
    <w:rsid w:val="00D17FB2"/>
    <w:rsid w:val="00D17FD7"/>
    <w:rsid w:val="00D2000B"/>
    <w:rsid w:val="00D20090"/>
    <w:rsid w:val="00D200AC"/>
    <w:rsid w:val="00D200C3"/>
    <w:rsid w:val="00D20177"/>
    <w:rsid w:val="00D20190"/>
    <w:rsid w:val="00D2023E"/>
    <w:rsid w:val="00D2037A"/>
    <w:rsid w:val="00D204BA"/>
    <w:rsid w:val="00D20512"/>
    <w:rsid w:val="00D20761"/>
    <w:rsid w:val="00D2077A"/>
    <w:rsid w:val="00D2085F"/>
    <w:rsid w:val="00D208C8"/>
    <w:rsid w:val="00D208D1"/>
    <w:rsid w:val="00D20A2D"/>
    <w:rsid w:val="00D20B08"/>
    <w:rsid w:val="00D20CAF"/>
    <w:rsid w:val="00D20CB6"/>
    <w:rsid w:val="00D20D50"/>
    <w:rsid w:val="00D20D76"/>
    <w:rsid w:val="00D20E68"/>
    <w:rsid w:val="00D21053"/>
    <w:rsid w:val="00D211C3"/>
    <w:rsid w:val="00D21408"/>
    <w:rsid w:val="00D2155F"/>
    <w:rsid w:val="00D2170E"/>
    <w:rsid w:val="00D21780"/>
    <w:rsid w:val="00D217DF"/>
    <w:rsid w:val="00D217FD"/>
    <w:rsid w:val="00D219C7"/>
    <w:rsid w:val="00D21A62"/>
    <w:rsid w:val="00D21A75"/>
    <w:rsid w:val="00D21A82"/>
    <w:rsid w:val="00D21C00"/>
    <w:rsid w:val="00D21D93"/>
    <w:rsid w:val="00D21DDB"/>
    <w:rsid w:val="00D21F23"/>
    <w:rsid w:val="00D21F88"/>
    <w:rsid w:val="00D21F8A"/>
    <w:rsid w:val="00D21FA2"/>
    <w:rsid w:val="00D21FFD"/>
    <w:rsid w:val="00D221ED"/>
    <w:rsid w:val="00D22215"/>
    <w:rsid w:val="00D223AA"/>
    <w:rsid w:val="00D22A8E"/>
    <w:rsid w:val="00D22ABF"/>
    <w:rsid w:val="00D22B7A"/>
    <w:rsid w:val="00D22B8B"/>
    <w:rsid w:val="00D22CFB"/>
    <w:rsid w:val="00D22DEE"/>
    <w:rsid w:val="00D2302A"/>
    <w:rsid w:val="00D2305C"/>
    <w:rsid w:val="00D23081"/>
    <w:rsid w:val="00D231FC"/>
    <w:rsid w:val="00D234BE"/>
    <w:rsid w:val="00D23593"/>
    <w:rsid w:val="00D237D3"/>
    <w:rsid w:val="00D23933"/>
    <w:rsid w:val="00D23A4D"/>
    <w:rsid w:val="00D23BA7"/>
    <w:rsid w:val="00D23D0C"/>
    <w:rsid w:val="00D23D7C"/>
    <w:rsid w:val="00D24057"/>
    <w:rsid w:val="00D24088"/>
    <w:rsid w:val="00D240AE"/>
    <w:rsid w:val="00D2419F"/>
    <w:rsid w:val="00D2446D"/>
    <w:rsid w:val="00D245A8"/>
    <w:rsid w:val="00D245D3"/>
    <w:rsid w:val="00D248EF"/>
    <w:rsid w:val="00D2491D"/>
    <w:rsid w:val="00D24964"/>
    <w:rsid w:val="00D24993"/>
    <w:rsid w:val="00D24999"/>
    <w:rsid w:val="00D24A38"/>
    <w:rsid w:val="00D24BFE"/>
    <w:rsid w:val="00D24DDF"/>
    <w:rsid w:val="00D24E66"/>
    <w:rsid w:val="00D24F35"/>
    <w:rsid w:val="00D24F7C"/>
    <w:rsid w:val="00D25045"/>
    <w:rsid w:val="00D251B5"/>
    <w:rsid w:val="00D252F7"/>
    <w:rsid w:val="00D256B3"/>
    <w:rsid w:val="00D2575C"/>
    <w:rsid w:val="00D25862"/>
    <w:rsid w:val="00D25867"/>
    <w:rsid w:val="00D25869"/>
    <w:rsid w:val="00D25A57"/>
    <w:rsid w:val="00D25C0E"/>
    <w:rsid w:val="00D25C28"/>
    <w:rsid w:val="00D25E1F"/>
    <w:rsid w:val="00D25E69"/>
    <w:rsid w:val="00D262BE"/>
    <w:rsid w:val="00D26362"/>
    <w:rsid w:val="00D263C8"/>
    <w:rsid w:val="00D26565"/>
    <w:rsid w:val="00D2660D"/>
    <w:rsid w:val="00D26683"/>
    <w:rsid w:val="00D2685A"/>
    <w:rsid w:val="00D26971"/>
    <w:rsid w:val="00D26998"/>
    <w:rsid w:val="00D269A3"/>
    <w:rsid w:val="00D269A8"/>
    <w:rsid w:val="00D26B87"/>
    <w:rsid w:val="00D26E2E"/>
    <w:rsid w:val="00D26EE2"/>
    <w:rsid w:val="00D26F26"/>
    <w:rsid w:val="00D26F87"/>
    <w:rsid w:val="00D270C4"/>
    <w:rsid w:val="00D27106"/>
    <w:rsid w:val="00D2741B"/>
    <w:rsid w:val="00D2745A"/>
    <w:rsid w:val="00D2747D"/>
    <w:rsid w:val="00D27494"/>
    <w:rsid w:val="00D274AE"/>
    <w:rsid w:val="00D2753C"/>
    <w:rsid w:val="00D275DF"/>
    <w:rsid w:val="00D276F0"/>
    <w:rsid w:val="00D27754"/>
    <w:rsid w:val="00D277CB"/>
    <w:rsid w:val="00D2785E"/>
    <w:rsid w:val="00D27B9B"/>
    <w:rsid w:val="00D27C7D"/>
    <w:rsid w:val="00D27CBE"/>
    <w:rsid w:val="00D27EF9"/>
    <w:rsid w:val="00D30262"/>
    <w:rsid w:val="00D302B9"/>
    <w:rsid w:val="00D3041D"/>
    <w:rsid w:val="00D30553"/>
    <w:rsid w:val="00D3061C"/>
    <w:rsid w:val="00D3068A"/>
    <w:rsid w:val="00D30896"/>
    <w:rsid w:val="00D308EA"/>
    <w:rsid w:val="00D309DC"/>
    <w:rsid w:val="00D30B9A"/>
    <w:rsid w:val="00D30CA3"/>
    <w:rsid w:val="00D30D1A"/>
    <w:rsid w:val="00D310E1"/>
    <w:rsid w:val="00D31225"/>
    <w:rsid w:val="00D312E3"/>
    <w:rsid w:val="00D31332"/>
    <w:rsid w:val="00D31464"/>
    <w:rsid w:val="00D315F2"/>
    <w:rsid w:val="00D31715"/>
    <w:rsid w:val="00D31767"/>
    <w:rsid w:val="00D31916"/>
    <w:rsid w:val="00D3191E"/>
    <w:rsid w:val="00D3199F"/>
    <w:rsid w:val="00D31B93"/>
    <w:rsid w:val="00D31B97"/>
    <w:rsid w:val="00D31B99"/>
    <w:rsid w:val="00D31BE2"/>
    <w:rsid w:val="00D31C45"/>
    <w:rsid w:val="00D31F9B"/>
    <w:rsid w:val="00D31FD7"/>
    <w:rsid w:val="00D3207B"/>
    <w:rsid w:val="00D320CC"/>
    <w:rsid w:val="00D32301"/>
    <w:rsid w:val="00D32339"/>
    <w:rsid w:val="00D324ED"/>
    <w:rsid w:val="00D3257B"/>
    <w:rsid w:val="00D32642"/>
    <w:rsid w:val="00D327CC"/>
    <w:rsid w:val="00D3287B"/>
    <w:rsid w:val="00D3287E"/>
    <w:rsid w:val="00D329F5"/>
    <w:rsid w:val="00D32BAF"/>
    <w:rsid w:val="00D32BCA"/>
    <w:rsid w:val="00D32C70"/>
    <w:rsid w:val="00D32D13"/>
    <w:rsid w:val="00D331D1"/>
    <w:rsid w:val="00D334D6"/>
    <w:rsid w:val="00D335FE"/>
    <w:rsid w:val="00D33925"/>
    <w:rsid w:val="00D33A73"/>
    <w:rsid w:val="00D33AFD"/>
    <w:rsid w:val="00D33BA2"/>
    <w:rsid w:val="00D33C07"/>
    <w:rsid w:val="00D33C48"/>
    <w:rsid w:val="00D33C79"/>
    <w:rsid w:val="00D340A0"/>
    <w:rsid w:val="00D343E7"/>
    <w:rsid w:val="00D34747"/>
    <w:rsid w:val="00D34764"/>
    <w:rsid w:val="00D3494A"/>
    <w:rsid w:val="00D34951"/>
    <w:rsid w:val="00D34A45"/>
    <w:rsid w:val="00D34ADD"/>
    <w:rsid w:val="00D34B43"/>
    <w:rsid w:val="00D34BC2"/>
    <w:rsid w:val="00D34C0E"/>
    <w:rsid w:val="00D34CF9"/>
    <w:rsid w:val="00D34D95"/>
    <w:rsid w:val="00D34EC5"/>
    <w:rsid w:val="00D34EF3"/>
    <w:rsid w:val="00D34FC5"/>
    <w:rsid w:val="00D34FF8"/>
    <w:rsid w:val="00D35098"/>
    <w:rsid w:val="00D35159"/>
    <w:rsid w:val="00D352E7"/>
    <w:rsid w:val="00D35333"/>
    <w:rsid w:val="00D35428"/>
    <w:rsid w:val="00D35438"/>
    <w:rsid w:val="00D35473"/>
    <w:rsid w:val="00D3557F"/>
    <w:rsid w:val="00D355AB"/>
    <w:rsid w:val="00D35627"/>
    <w:rsid w:val="00D35644"/>
    <w:rsid w:val="00D356B7"/>
    <w:rsid w:val="00D356E4"/>
    <w:rsid w:val="00D356F6"/>
    <w:rsid w:val="00D3572B"/>
    <w:rsid w:val="00D35807"/>
    <w:rsid w:val="00D3589E"/>
    <w:rsid w:val="00D3592B"/>
    <w:rsid w:val="00D3592D"/>
    <w:rsid w:val="00D3593F"/>
    <w:rsid w:val="00D35BCF"/>
    <w:rsid w:val="00D35E16"/>
    <w:rsid w:val="00D35E6A"/>
    <w:rsid w:val="00D35F4B"/>
    <w:rsid w:val="00D35FE0"/>
    <w:rsid w:val="00D360CA"/>
    <w:rsid w:val="00D36147"/>
    <w:rsid w:val="00D361B9"/>
    <w:rsid w:val="00D36394"/>
    <w:rsid w:val="00D365D8"/>
    <w:rsid w:val="00D365FE"/>
    <w:rsid w:val="00D3665B"/>
    <w:rsid w:val="00D366A6"/>
    <w:rsid w:val="00D3673F"/>
    <w:rsid w:val="00D36761"/>
    <w:rsid w:val="00D36766"/>
    <w:rsid w:val="00D36E3D"/>
    <w:rsid w:val="00D36ED6"/>
    <w:rsid w:val="00D36EDF"/>
    <w:rsid w:val="00D36F5F"/>
    <w:rsid w:val="00D3705B"/>
    <w:rsid w:val="00D3709D"/>
    <w:rsid w:val="00D3723F"/>
    <w:rsid w:val="00D3726E"/>
    <w:rsid w:val="00D372AA"/>
    <w:rsid w:val="00D37321"/>
    <w:rsid w:val="00D3733A"/>
    <w:rsid w:val="00D3733B"/>
    <w:rsid w:val="00D37488"/>
    <w:rsid w:val="00D3750A"/>
    <w:rsid w:val="00D375AA"/>
    <w:rsid w:val="00D37648"/>
    <w:rsid w:val="00D37741"/>
    <w:rsid w:val="00D37757"/>
    <w:rsid w:val="00D37838"/>
    <w:rsid w:val="00D379B0"/>
    <w:rsid w:val="00D37A50"/>
    <w:rsid w:val="00D37C0C"/>
    <w:rsid w:val="00D37DE0"/>
    <w:rsid w:val="00D37FBB"/>
    <w:rsid w:val="00D4008D"/>
    <w:rsid w:val="00D40095"/>
    <w:rsid w:val="00D401CB"/>
    <w:rsid w:val="00D4033A"/>
    <w:rsid w:val="00D403AB"/>
    <w:rsid w:val="00D40485"/>
    <w:rsid w:val="00D404CB"/>
    <w:rsid w:val="00D40553"/>
    <w:rsid w:val="00D40558"/>
    <w:rsid w:val="00D406A7"/>
    <w:rsid w:val="00D407BF"/>
    <w:rsid w:val="00D40895"/>
    <w:rsid w:val="00D4094A"/>
    <w:rsid w:val="00D40A81"/>
    <w:rsid w:val="00D40DFE"/>
    <w:rsid w:val="00D40EFF"/>
    <w:rsid w:val="00D41161"/>
    <w:rsid w:val="00D41177"/>
    <w:rsid w:val="00D41237"/>
    <w:rsid w:val="00D41272"/>
    <w:rsid w:val="00D413B9"/>
    <w:rsid w:val="00D418E3"/>
    <w:rsid w:val="00D41A4B"/>
    <w:rsid w:val="00D41A50"/>
    <w:rsid w:val="00D41AAD"/>
    <w:rsid w:val="00D41B53"/>
    <w:rsid w:val="00D41DEB"/>
    <w:rsid w:val="00D41F3C"/>
    <w:rsid w:val="00D4213C"/>
    <w:rsid w:val="00D42179"/>
    <w:rsid w:val="00D421B1"/>
    <w:rsid w:val="00D4225A"/>
    <w:rsid w:val="00D42361"/>
    <w:rsid w:val="00D4238E"/>
    <w:rsid w:val="00D4246F"/>
    <w:rsid w:val="00D42471"/>
    <w:rsid w:val="00D42585"/>
    <w:rsid w:val="00D42607"/>
    <w:rsid w:val="00D428DA"/>
    <w:rsid w:val="00D42918"/>
    <w:rsid w:val="00D42B20"/>
    <w:rsid w:val="00D42B39"/>
    <w:rsid w:val="00D42B71"/>
    <w:rsid w:val="00D42F34"/>
    <w:rsid w:val="00D42F9F"/>
    <w:rsid w:val="00D430B7"/>
    <w:rsid w:val="00D4331B"/>
    <w:rsid w:val="00D433A0"/>
    <w:rsid w:val="00D43436"/>
    <w:rsid w:val="00D436DA"/>
    <w:rsid w:val="00D436E2"/>
    <w:rsid w:val="00D43710"/>
    <w:rsid w:val="00D4373A"/>
    <w:rsid w:val="00D438DF"/>
    <w:rsid w:val="00D43913"/>
    <w:rsid w:val="00D43C5D"/>
    <w:rsid w:val="00D43EA4"/>
    <w:rsid w:val="00D43EF8"/>
    <w:rsid w:val="00D43FEF"/>
    <w:rsid w:val="00D44003"/>
    <w:rsid w:val="00D4419F"/>
    <w:rsid w:val="00D443B7"/>
    <w:rsid w:val="00D4450C"/>
    <w:rsid w:val="00D445CE"/>
    <w:rsid w:val="00D446DE"/>
    <w:rsid w:val="00D4486C"/>
    <w:rsid w:val="00D44AAE"/>
    <w:rsid w:val="00D44AED"/>
    <w:rsid w:val="00D44CE5"/>
    <w:rsid w:val="00D44E34"/>
    <w:rsid w:val="00D44EB9"/>
    <w:rsid w:val="00D44F76"/>
    <w:rsid w:val="00D45183"/>
    <w:rsid w:val="00D45321"/>
    <w:rsid w:val="00D45426"/>
    <w:rsid w:val="00D45445"/>
    <w:rsid w:val="00D4567C"/>
    <w:rsid w:val="00D456DD"/>
    <w:rsid w:val="00D45707"/>
    <w:rsid w:val="00D457AF"/>
    <w:rsid w:val="00D45887"/>
    <w:rsid w:val="00D459B9"/>
    <w:rsid w:val="00D45A15"/>
    <w:rsid w:val="00D45A89"/>
    <w:rsid w:val="00D45A9F"/>
    <w:rsid w:val="00D45C20"/>
    <w:rsid w:val="00D45D70"/>
    <w:rsid w:val="00D45D9E"/>
    <w:rsid w:val="00D46036"/>
    <w:rsid w:val="00D46291"/>
    <w:rsid w:val="00D4642A"/>
    <w:rsid w:val="00D46445"/>
    <w:rsid w:val="00D4647F"/>
    <w:rsid w:val="00D4648A"/>
    <w:rsid w:val="00D46555"/>
    <w:rsid w:val="00D46675"/>
    <w:rsid w:val="00D468E0"/>
    <w:rsid w:val="00D46D12"/>
    <w:rsid w:val="00D46D3E"/>
    <w:rsid w:val="00D46F80"/>
    <w:rsid w:val="00D46FC4"/>
    <w:rsid w:val="00D471C2"/>
    <w:rsid w:val="00D471F8"/>
    <w:rsid w:val="00D47520"/>
    <w:rsid w:val="00D47649"/>
    <w:rsid w:val="00D47750"/>
    <w:rsid w:val="00D47901"/>
    <w:rsid w:val="00D47AC4"/>
    <w:rsid w:val="00D47D0C"/>
    <w:rsid w:val="00D47DF4"/>
    <w:rsid w:val="00D47EA6"/>
    <w:rsid w:val="00D47F3B"/>
    <w:rsid w:val="00D501A2"/>
    <w:rsid w:val="00D501AD"/>
    <w:rsid w:val="00D501C1"/>
    <w:rsid w:val="00D50578"/>
    <w:rsid w:val="00D505FF"/>
    <w:rsid w:val="00D50AF6"/>
    <w:rsid w:val="00D50B4A"/>
    <w:rsid w:val="00D50D05"/>
    <w:rsid w:val="00D50DF1"/>
    <w:rsid w:val="00D50E18"/>
    <w:rsid w:val="00D50EE1"/>
    <w:rsid w:val="00D50EFE"/>
    <w:rsid w:val="00D511A0"/>
    <w:rsid w:val="00D517A6"/>
    <w:rsid w:val="00D519EA"/>
    <w:rsid w:val="00D51A9D"/>
    <w:rsid w:val="00D51AD6"/>
    <w:rsid w:val="00D51C39"/>
    <w:rsid w:val="00D51CF8"/>
    <w:rsid w:val="00D51D24"/>
    <w:rsid w:val="00D51D3A"/>
    <w:rsid w:val="00D51EBD"/>
    <w:rsid w:val="00D51F5C"/>
    <w:rsid w:val="00D5202F"/>
    <w:rsid w:val="00D52182"/>
    <w:rsid w:val="00D52187"/>
    <w:rsid w:val="00D52416"/>
    <w:rsid w:val="00D52487"/>
    <w:rsid w:val="00D52590"/>
    <w:rsid w:val="00D5259E"/>
    <w:rsid w:val="00D52651"/>
    <w:rsid w:val="00D52714"/>
    <w:rsid w:val="00D527FB"/>
    <w:rsid w:val="00D52878"/>
    <w:rsid w:val="00D52C4C"/>
    <w:rsid w:val="00D52CCD"/>
    <w:rsid w:val="00D52CEB"/>
    <w:rsid w:val="00D52D7C"/>
    <w:rsid w:val="00D52F0F"/>
    <w:rsid w:val="00D5330D"/>
    <w:rsid w:val="00D53701"/>
    <w:rsid w:val="00D53747"/>
    <w:rsid w:val="00D537E3"/>
    <w:rsid w:val="00D53923"/>
    <w:rsid w:val="00D539F7"/>
    <w:rsid w:val="00D53A31"/>
    <w:rsid w:val="00D53AB1"/>
    <w:rsid w:val="00D53B31"/>
    <w:rsid w:val="00D53B6C"/>
    <w:rsid w:val="00D53BB5"/>
    <w:rsid w:val="00D53BBB"/>
    <w:rsid w:val="00D53BDB"/>
    <w:rsid w:val="00D53C7A"/>
    <w:rsid w:val="00D54313"/>
    <w:rsid w:val="00D54374"/>
    <w:rsid w:val="00D543AA"/>
    <w:rsid w:val="00D54470"/>
    <w:rsid w:val="00D544A1"/>
    <w:rsid w:val="00D544BD"/>
    <w:rsid w:val="00D54526"/>
    <w:rsid w:val="00D546A7"/>
    <w:rsid w:val="00D54844"/>
    <w:rsid w:val="00D549D1"/>
    <w:rsid w:val="00D54BD3"/>
    <w:rsid w:val="00D54C09"/>
    <w:rsid w:val="00D54CFA"/>
    <w:rsid w:val="00D54D7F"/>
    <w:rsid w:val="00D54E9E"/>
    <w:rsid w:val="00D55042"/>
    <w:rsid w:val="00D55063"/>
    <w:rsid w:val="00D550C1"/>
    <w:rsid w:val="00D550DE"/>
    <w:rsid w:val="00D55351"/>
    <w:rsid w:val="00D55429"/>
    <w:rsid w:val="00D554BE"/>
    <w:rsid w:val="00D554FD"/>
    <w:rsid w:val="00D557CE"/>
    <w:rsid w:val="00D558DB"/>
    <w:rsid w:val="00D55B34"/>
    <w:rsid w:val="00D55BF6"/>
    <w:rsid w:val="00D55CFE"/>
    <w:rsid w:val="00D55D93"/>
    <w:rsid w:val="00D55DB5"/>
    <w:rsid w:val="00D5602E"/>
    <w:rsid w:val="00D5606C"/>
    <w:rsid w:val="00D5606F"/>
    <w:rsid w:val="00D56090"/>
    <w:rsid w:val="00D560A7"/>
    <w:rsid w:val="00D56387"/>
    <w:rsid w:val="00D563AB"/>
    <w:rsid w:val="00D566AD"/>
    <w:rsid w:val="00D5691A"/>
    <w:rsid w:val="00D56B51"/>
    <w:rsid w:val="00D56B89"/>
    <w:rsid w:val="00D56E5F"/>
    <w:rsid w:val="00D56E80"/>
    <w:rsid w:val="00D56F7D"/>
    <w:rsid w:val="00D56F82"/>
    <w:rsid w:val="00D57241"/>
    <w:rsid w:val="00D5727D"/>
    <w:rsid w:val="00D572CF"/>
    <w:rsid w:val="00D572D7"/>
    <w:rsid w:val="00D573D7"/>
    <w:rsid w:val="00D57876"/>
    <w:rsid w:val="00D578A1"/>
    <w:rsid w:val="00D579DD"/>
    <w:rsid w:val="00D57A6C"/>
    <w:rsid w:val="00D57B89"/>
    <w:rsid w:val="00D57C07"/>
    <w:rsid w:val="00D57CBE"/>
    <w:rsid w:val="00D57DA9"/>
    <w:rsid w:val="00D57E5B"/>
    <w:rsid w:val="00D57FD5"/>
    <w:rsid w:val="00D57FE2"/>
    <w:rsid w:val="00D600FC"/>
    <w:rsid w:val="00D6016A"/>
    <w:rsid w:val="00D6020D"/>
    <w:rsid w:val="00D60272"/>
    <w:rsid w:val="00D60276"/>
    <w:rsid w:val="00D6030E"/>
    <w:rsid w:val="00D606A7"/>
    <w:rsid w:val="00D60785"/>
    <w:rsid w:val="00D60921"/>
    <w:rsid w:val="00D60950"/>
    <w:rsid w:val="00D609B2"/>
    <w:rsid w:val="00D60B77"/>
    <w:rsid w:val="00D60BCD"/>
    <w:rsid w:val="00D60E4F"/>
    <w:rsid w:val="00D60E9C"/>
    <w:rsid w:val="00D60FB7"/>
    <w:rsid w:val="00D61165"/>
    <w:rsid w:val="00D6124D"/>
    <w:rsid w:val="00D612B1"/>
    <w:rsid w:val="00D612BD"/>
    <w:rsid w:val="00D61417"/>
    <w:rsid w:val="00D6148A"/>
    <w:rsid w:val="00D6157D"/>
    <w:rsid w:val="00D61676"/>
    <w:rsid w:val="00D61989"/>
    <w:rsid w:val="00D619A4"/>
    <w:rsid w:val="00D61ADE"/>
    <w:rsid w:val="00D61B34"/>
    <w:rsid w:val="00D61B51"/>
    <w:rsid w:val="00D61C23"/>
    <w:rsid w:val="00D61E6C"/>
    <w:rsid w:val="00D61EC9"/>
    <w:rsid w:val="00D62198"/>
    <w:rsid w:val="00D62306"/>
    <w:rsid w:val="00D62549"/>
    <w:rsid w:val="00D625A1"/>
    <w:rsid w:val="00D6291A"/>
    <w:rsid w:val="00D62AD6"/>
    <w:rsid w:val="00D62B22"/>
    <w:rsid w:val="00D62CB0"/>
    <w:rsid w:val="00D62D53"/>
    <w:rsid w:val="00D62D60"/>
    <w:rsid w:val="00D62D72"/>
    <w:rsid w:val="00D62DB9"/>
    <w:rsid w:val="00D62F6E"/>
    <w:rsid w:val="00D6306D"/>
    <w:rsid w:val="00D6312B"/>
    <w:rsid w:val="00D63149"/>
    <w:rsid w:val="00D63267"/>
    <w:rsid w:val="00D63322"/>
    <w:rsid w:val="00D6337B"/>
    <w:rsid w:val="00D634F9"/>
    <w:rsid w:val="00D6351D"/>
    <w:rsid w:val="00D635A5"/>
    <w:rsid w:val="00D635E2"/>
    <w:rsid w:val="00D637C7"/>
    <w:rsid w:val="00D63856"/>
    <w:rsid w:val="00D638DD"/>
    <w:rsid w:val="00D63C15"/>
    <w:rsid w:val="00D63CE1"/>
    <w:rsid w:val="00D63DC6"/>
    <w:rsid w:val="00D63F70"/>
    <w:rsid w:val="00D63FD2"/>
    <w:rsid w:val="00D64003"/>
    <w:rsid w:val="00D64197"/>
    <w:rsid w:val="00D641EB"/>
    <w:rsid w:val="00D64213"/>
    <w:rsid w:val="00D642F0"/>
    <w:rsid w:val="00D6438D"/>
    <w:rsid w:val="00D643BE"/>
    <w:rsid w:val="00D6444B"/>
    <w:rsid w:val="00D6471E"/>
    <w:rsid w:val="00D647F4"/>
    <w:rsid w:val="00D6481F"/>
    <w:rsid w:val="00D64820"/>
    <w:rsid w:val="00D648A5"/>
    <w:rsid w:val="00D64BA9"/>
    <w:rsid w:val="00D64BE8"/>
    <w:rsid w:val="00D64C99"/>
    <w:rsid w:val="00D64CF7"/>
    <w:rsid w:val="00D64F2F"/>
    <w:rsid w:val="00D6500C"/>
    <w:rsid w:val="00D650EE"/>
    <w:rsid w:val="00D6516D"/>
    <w:rsid w:val="00D651B9"/>
    <w:rsid w:val="00D65369"/>
    <w:rsid w:val="00D653EE"/>
    <w:rsid w:val="00D65551"/>
    <w:rsid w:val="00D6561F"/>
    <w:rsid w:val="00D65630"/>
    <w:rsid w:val="00D65933"/>
    <w:rsid w:val="00D65944"/>
    <w:rsid w:val="00D65B33"/>
    <w:rsid w:val="00D65B47"/>
    <w:rsid w:val="00D65CCF"/>
    <w:rsid w:val="00D66292"/>
    <w:rsid w:val="00D6630C"/>
    <w:rsid w:val="00D66564"/>
    <w:rsid w:val="00D66600"/>
    <w:rsid w:val="00D666BB"/>
    <w:rsid w:val="00D668A7"/>
    <w:rsid w:val="00D66906"/>
    <w:rsid w:val="00D66949"/>
    <w:rsid w:val="00D66C2A"/>
    <w:rsid w:val="00D66C88"/>
    <w:rsid w:val="00D66CCF"/>
    <w:rsid w:val="00D66CFE"/>
    <w:rsid w:val="00D66E1A"/>
    <w:rsid w:val="00D67153"/>
    <w:rsid w:val="00D6721D"/>
    <w:rsid w:val="00D672C8"/>
    <w:rsid w:val="00D677BD"/>
    <w:rsid w:val="00D67917"/>
    <w:rsid w:val="00D67B87"/>
    <w:rsid w:val="00D67C8B"/>
    <w:rsid w:val="00D67CBE"/>
    <w:rsid w:val="00D67D1E"/>
    <w:rsid w:val="00D67E53"/>
    <w:rsid w:val="00D67F22"/>
    <w:rsid w:val="00D70056"/>
    <w:rsid w:val="00D70133"/>
    <w:rsid w:val="00D70150"/>
    <w:rsid w:val="00D7020A"/>
    <w:rsid w:val="00D704C9"/>
    <w:rsid w:val="00D705CA"/>
    <w:rsid w:val="00D70628"/>
    <w:rsid w:val="00D706EF"/>
    <w:rsid w:val="00D707BE"/>
    <w:rsid w:val="00D708F0"/>
    <w:rsid w:val="00D70942"/>
    <w:rsid w:val="00D709B5"/>
    <w:rsid w:val="00D70C55"/>
    <w:rsid w:val="00D70DE6"/>
    <w:rsid w:val="00D70E1A"/>
    <w:rsid w:val="00D70EFE"/>
    <w:rsid w:val="00D70F46"/>
    <w:rsid w:val="00D70FEB"/>
    <w:rsid w:val="00D71023"/>
    <w:rsid w:val="00D71070"/>
    <w:rsid w:val="00D7132F"/>
    <w:rsid w:val="00D71397"/>
    <w:rsid w:val="00D713A7"/>
    <w:rsid w:val="00D71432"/>
    <w:rsid w:val="00D7156A"/>
    <w:rsid w:val="00D715F0"/>
    <w:rsid w:val="00D7161C"/>
    <w:rsid w:val="00D716AB"/>
    <w:rsid w:val="00D716BA"/>
    <w:rsid w:val="00D7170A"/>
    <w:rsid w:val="00D71741"/>
    <w:rsid w:val="00D71885"/>
    <w:rsid w:val="00D71C1F"/>
    <w:rsid w:val="00D71C83"/>
    <w:rsid w:val="00D71CB7"/>
    <w:rsid w:val="00D71DC9"/>
    <w:rsid w:val="00D71DE8"/>
    <w:rsid w:val="00D71F4D"/>
    <w:rsid w:val="00D71F8A"/>
    <w:rsid w:val="00D71FA0"/>
    <w:rsid w:val="00D720E3"/>
    <w:rsid w:val="00D721E2"/>
    <w:rsid w:val="00D721F3"/>
    <w:rsid w:val="00D722AA"/>
    <w:rsid w:val="00D72305"/>
    <w:rsid w:val="00D72357"/>
    <w:rsid w:val="00D72658"/>
    <w:rsid w:val="00D727CF"/>
    <w:rsid w:val="00D72945"/>
    <w:rsid w:val="00D729AA"/>
    <w:rsid w:val="00D72AAB"/>
    <w:rsid w:val="00D72B8F"/>
    <w:rsid w:val="00D72CCA"/>
    <w:rsid w:val="00D72D60"/>
    <w:rsid w:val="00D72D9A"/>
    <w:rsid w:val="00D72DA3"/>
    <w:rsid w:val="00D72E13"/>
    <w:rsid w:val="00D72EAD"/>
    <w:rsid w:val="00D72EE4"/>
    <w:rsid w:val="00D73030"/>
    <w:rsid w:val="00D730CA"/>
    <w:rsid w:val="00D7319C"/>
    <w:rsid w:val="00D73277"/>
    <w:rsid w:val="00D732C1"/>
    <w:rsid w:val="00D73335"/>
    <w:rsid w:val="00D734CF"/>
    <w:rsid w:val="00D7352D"/>
    <w:rsid w:val="00D7353E"/>
    <w:rsid w:val="00D73669"/>
    <w:rsid w:val="00D7372D"/>
    <w:rsid w:val="00D73864"/>
    <w:rsid w:val="00D738C3"/>
    <w:rsid w:val="00D738E6"/>
    <w:rsid w:val="00D73928"/>
    <w:rsid w:val="00D73A05"/>
    <w:rsid w:val="00D73E0D"/>
    <w:rsid w:val="00D73FCE"/>
    <w:rsid w:val="00D7415E"/>
    <w:rsid w:val="00D74252"/>
    <w:rsid w:val="00D74266"/>
    <w:rsid w:val="00D743DD"/>
    <w:rsid w:val="00D7442B"/>
    <w:rsid w:val="00D74530"/>
    <w:rsid w:val="00D745AF"/>
    <w:rsid w:val="00D7463F"/>
    <w:rsid w:val="00D748F1"/>
    <w:rsid w:val="00D74ADD"/>
    <w:rsid w:val="00D74B44"/>
    <w:rsid w:val="00D74BE2"/>
    <w:rsid w:val="00D74C32"/>
    <w:rsid w:val="00D74CB1"/>
    <w:rsid w:val="00D74CDB"/>
    <w:rsid w:val="00D74D66"/>
    <w:rsid w:val="00D750D4"/>
    <w:rsid w:val="00D752D4"/>
    <w:rsid w:val="00D75304"/>
    <w:rsid w:val="00D7533C"/>
    <w:rsid w:val="00D755AF"/>
    <w:rsid w:val="00D755C7"/>
    <w:rsid w:val="00D75600"/>
    <w:rsid w:val="00D75743"/>
    <w:rsid w:val="00D75B1A"/>
    <w:rsid w:val="00D75E54"/>
    <w:rsid w:val="00D75E76"/>
    <w:rsid w:val="00D75F4D"/>
    <w:rsid w:val="00D76175"/>
    <w:rsid w:val="00D762FA"/>
    <w:rsid w:val="00D76346"/>
    <w:rsid w:val="00D767CA"/>
    <w:rsid w:val="00D767D6"/>
    <w:rsid w:val="00D767FD"/>
    <w:rsid w:val="00D76815"/>
    <w:rsid w:val="00D76875"/>
    <w:rsid w:val="00D7695F"/>
    <w:rsid w:val="00D7696A"/>
    <w:rsid w:val="00D76B05"/>
    <w:rsid w:val="00D76D2D"/>
    <w:rsid w:val="00D76D38"/>
    <w:rsid w:val="00D76D8B"/>
    <w:rsid w:val="00D76DB7"/>
    <w:rsid w:val="00D77088"/>
    <w:rsid w:val="00D772A1"/>
    <w:rsid w:val="00D77359"/>
    <w:rsid w:val="00D774AE"/>
    <w:rsid w:val="00D775F5"/>
    <w:rsid w:val="00D7768F"/>
    <w:rsid w:val="00D776E6"/>
    <w:rsid w:val="00D77996"/>
    <w:rsid w:val="00D77A03"/>
    <w:rsid w:val="00D77C60"/>
    <w:rsid w:val="00D77D0B"/>
    <w:rsid w:val="00D77EE3"/>
    <w:rsid w:val="00D80152"/>
    <w:rsid w:val="00D80296"/>
    <w:rsid w:val="00D802FE"/>
    <w:rsid w:val="00D80515"/>
    <w:rsid w:val="00D80606"/>
    <w:rsid w:val="00D80643"/>
    <w:rsid w:val="00D806C5"/>
    <w:rsid w:val="00D80722"/>
    <w:rsid w:val="00D80A1A"/>
    <w:rsid w:val="00D80A7E"/>
    <w:rsid w:val="00D80AD9"/>
    <w:rsid w:val="00D80D2E"/>
    <w:rsid w:val="00D80D3F"/>
    <w:rsid w:val="00D80D7F"/>
    <w:rsid w:val="00D80DE6"/>
    <w:rsid w:val="00D81037"/>
    <w:rsid w:val="00D812C4"/>
    <w:rsid w:val="00D81332"/>
    <w:rsid w:val="00D814C8"/>
    <w:rsid w:val="00D81543"/>
    <w:rsid w:val="00D8154F"/>
    <w:rsid w:val="00D81556"/>
    <w:rsid w:val="00D816A4"/>
    <w:rsid w:val="00D816B0"/>
    <w:rsid w:val="00D816C2"/>
    <w:rsid w:val="00D817E3"/>
    <w:rsid w:val="00D81880"/>
    <w:rsid w:val="00D81B08"/>
    <w:rsid w:val="00D81BD7"/>
    <w:rsid w:val="00D81D8F"/>
    <w:rsid w:val="00D81EDE"/>
    <w:rsid w:val="00D823F6"/>
    <w:rsid w:val="00D823FF"/>
    <w:rsid w:val="00D82479"/>
    <w:rsid w:val="00D825BF"/>
    <w:rsid w:val="00D82661"/>
    <w:rsid w:val="00D82731"/>
    <w:rsid w:val="00D8277E"/>
    <w:rsid w:val="00D827D0"/>
    <w:rsid w:val="00D827DC"/>
    <w:rsid w:val="00D827DE"/>
    <w:rsid w:val="00D828F3"/>
    <w:rsid w:val="00D82962"/>
    <w:rsid w:val="00D82AF9"/>
    <w:rsid w:val="00D82B46"/>
    <w:rsid w:val="00D82BEB"/>
    <w:rsid w:val="00D82CC7"/>
    <w:rsid w:val="00D82DA6"/>
    <w:rsid w:val="00D82ED3"/>
    <w:rsid w:val="00D82F1E"/>
    <w:rsid w:val="00D82FFC"/>
    <w:rsid w:val="00D83005"/>
    <w:rsid w:val="00D8304E"/>
    <w:rsid w:val="00D8308A"/>
    <w:rsid w:val="00D830DA"/>
    <w:rsid w:val="00D830E2"/>
    <w:rsid w:val="00D83160"/>
    <w:rsid w:val="00D833D7"/>
    <w:rsid w:val="00D8346D"/>
    <w:rsid w:val="00D8348D"/>
    <w:rsid w:val="00D83506"/>
    <w:rsid w:val="00D8352C"/>
    <w:rsid w:val="00D8364B"/>
    <w:rsid w:val="00D8383E"/>
    <w:rsid w:val="00D83864"/>
    <w:rsid w:val="00D83A9F"/>
    <w:rsid w:val="00D83D04"/>
    <w:rsid w:val="00D83DA3"/>
    <w:rsid w:val="00D83E6D"/>
    <w:rsid w:val="00D83E83"/>
    <w:rsid w:val="00D83EB3"/>
    <w:rsid w:val="00D83F35"/>
    <w:rsid w:val="00D83F75"/>
    <w:rsid w:val="00D8412D"/>
    <w:rsid w:val="00D84147"/>
    <w:rsid w:val="00D84182"/>
    <w:rsid w:val="00D84269"/>
    <w:rsid w:val="00D842B4"/>
    <w:rsid w:val="00D84505"/>
    <w:rsid w:val="00D8459F"/>
    <w:rsid w:val="00D8479F"/>
    <w:rsid w:val="00D847A7"/>
    <w:rsid w:val="00D8480F"/>
    <w:rsid w:val="00D84CA3"/>
    <w:rsid w:val="00D84CF5"/>
    <w:rsid w:val="00D84DB9"/>
    <w:rsid w:val="00D84DD2"/>
    <w:rsid w:val="00D84E55"/>
    <w:rsid w:val="00D84EE6"/>
    <w:rsid w:val="00D85013"/>
    <w:rsid w:val="00D85236"/>
    <w:rsid w:val="00D85287"/>
    <w:rsid w:val="00D853C6"/>
    <w:rsid w:val="00D856CF"/>
    <w:rsid w:val="00D856FE"/>
    <w:rsid w:val="00D85730"/>
    <w:rsid w:val="00D859D4"/>
    <w:rsid w:val="00D85BD4"/>
    <w:rsid w:val="00D85BF7"/>
    <w:rsid w:val="00D85EAB"/>
    <w:rsid w:val="00D85F80"/>
    <w:rsid w:val="00D85F9D"/>
    <w:rsid w:val="00D86391"/>
    <w:rsid w:val="00D86392"/>
    <w:rsid w:val="00D8641B"/>
    <w:rsid w:val="00D8662B"/>
    <w:rsid w:val="00D86736"/>
    <w:rsid w:val="00D8682D"/>
    <w:rsid w:val="00D869DF"/>
    <w:rsid w:val="00D86ADB"/>
    <w:rsid w:val="00D86CAC"/>
    <w:rsid w:val="00D86CFA"/>
    <w:rsid w:val="00D86D6F"/>
    <w:rsid w:val="00D86E8B"/>
    <w:rsid w:val="00D86E97"/>
    <w:rsid w:val="00D86FAA"/>
    <w:rsid w:val="00D8707F"/>
    <w:rsid w:val="00D87116"/>
    <w:rsid w:val="00D87360"/>
    <w:rsid w:val="00D8746A"/>
    <w:rsid w:val="00D874A0"/>
    <w:rsid w:val="00D87547"/>
    <w:rsid w:val="00D875A3"/>
    <w:rsid w:val="00D87737"/>
    <w:rsid w:val="00D87842"/>
    <w:rsid w:val="00D878EC"/>
    <w:rsid w:val="00D87A62"/>
    <w:rsid w:val="00D87BE0"/>
    <w:rsid w:val="00D87BF7"/>
    <w:rsid w:val="00D87C95"/>
    <w:rsid w:val="00D87FDF"/>
    <w:rsid w:val="00D9003F"/>
    <w:rsid w:val="00D90045"/>
    <w:rsid w:val="00D90134"/>
    <w:rsid w:val="00D90170"/>
    <w:rsid w:val="00D9025A"/>
    <w:rsid w:val="00D903DF"/>
    <w:rsid w:val="00D9048D"/>
    <w:rsid w:val="00D904AF"/>
    <w:rsid w:val="00D904CE"/>
    <w:rsid w:val="00D906C6"/>
    <w:rsid w:val="00D907AC"/>
    <w:rsid w:val="00D908CF"/>
    <w:rsid w:val="00D90966"/>
    <w:rsid w:val="00D90970"/>
    <w:rsid w:val="00D90A44"/>
    <w:rsid w:val="00D90B9A"/>
    <w:rsid w:val="00D90D52"/>
    <w:rsid w:val="00D90EB6"/>
    <w:rsid w:val="00D9137C"/>
    <w:rsid w:val="00D9138E"/>
    <w:rsid w:val="00D918D5"/>
    <w:rsid w:val="00D91ADB"/>
    <w:rsid w:val="00D91BFF"/>
    <w:rsid w:val="00D91C07"/>
    <w:rsid w:val="00D91C16"/>
    <w:rsid w:val="00D91D48"/>
    <w:rsid w:val="00D91EC1"/>
    <w:rsid w:val="00D92063"/>
    <w:rsid w:val="00D92112"/>
    <w:rsid w:val="00D9215D"/>
    <w:rsid w:val="00D9234B"/>
    <w:rsid w:val="00D923B3"/>
    <w:rsid w:val="00D92432"/>
    <w:rsid w:val="00D92565"/>
    <w:rsid w:val="00D92571"/>
    <w:rsid w:val="00D9257C"/>
    <w:rsid w:val="00D92660"/>
    <w:rsid w:val="00D92696"/>
    <w:rsid w:val="00D926D2"/>
    <w:rsid w:val="00D92787"/>
    <w:rsid w:val="00D927E7"/>
    <w:rsid w:val="00D92A31"/>
    <w:rsid w:val="00D92A3B"/>
    <w:rsid w:val="00D92B4F"/>
    <w:rsid w:val="00D92BCE"/>
    <w:rsid w:val="00D92E14"/>
    <w:rsid w:val="00D92F08"/>
    <w:rsid w:val="00D9301C"/>
    <w:rsid w:val="00D93055"/>
    <w:rsid w:val="00D9308A"/>
    <w:rsid w:val="00D9329B"/>
    <w:rsid w:val="00D93349"/>
    <w:rsid w:val="00D93387"/>
    <w:rsid w:val="00D933D1"/>
    <w:rsid w:val="00D9345E"/>
    <w:rsid w:val="00D9357F"/>
    <w:rsid w:val="00D93624"/>
    <w:rsid w:val="00D936E2"/>
    <w:rsid w:val="00D938A0"/>
    <w:rsid w:val="00D93941"/>
    <w:rsid w:val="00D93978"/>
    <w:rsid w:val="00D9399C"/>
    <w:rsid w:val="00D93BC0"/>
    <w:rsid w:val="00D93D4E"/>
    <w:rsid w:val="00D93E1D"/>
    <w:rsid w:val="00D93F15"/>
    <w:rsid w:val="00D93FE2"/>
    <w:rsid w:val="00D94070"/>
    <w:rsid w:val="00D940F7"/>
    <w:rsid w:val="00D943DD"/>
    <w:rsid w:val="00D94453"/>
    <w:rsid w:val="00D94583"/>
    <w:rsid w:val="00D94708"/>
    <w:rsid w:val="00D94790"/>
    <w:rsid w:val="00D947F5"/>
    <w:rsid w:val="00D94A65"/>
    <w:rsid w:val="00D94A87"/>
    <w:rsid w:val="00D94AC8"/>
    <w:rsid w:val="00D94C78"/>
    <w:rsid w:val="00D94CC3"/>
    <w:rsid w:val="00D94D4A"/>
    <w:rsid w:val="00D94F5C"/>
    <w:rsid w:val="00D94FAB"/>
    <w:rsid w:val="00D95067"/>
    <w:rsid w:val="00D950C0"/>
    <w:rsid w:val="00D950F5"/>
    <w:rsid w:val="00D95130"/>
    <w:rsid w:val="00D952BE"/>
    <w:rsid w:val="00D953CB"/>
    <w:rsid w:val="00D95685"/>
    <w:rsid w:val="00D95BD3"/>
    <w:rsid w:val="00D95D00"/>
    <w:rsid w:val="00D95DEC"/>
    <w:rsid w:val="00D95E14"/>
    <w:rsid w:val="00D95F48"/>
    <w:rsid w:val="00D95F70"/>
    <w:rsid w:val="00D95F73"/>
    <w:rsid w:val="00D95FE7"/>
    <w:rsid w:val="00D9624F"/>
    <w:rsid w:val="00D96285"/>
    <w:rsid w:val="00D964C6"/>
    <w:rsid w:val="00D964F3"/>
    <w:rsid w:val="00D9661E"/>
    <w:rsid w:val="00D96819"/>
    <w:rsid w:val="00D96893"/>
    <w:rsid w:val="00D96AA5"/>
    <w:rsid w:val="00D96B3D"/>
    <w:rsid w:val="00D96B7A"/>
    <w:rsid w:val="00D96C66"/>
    <w:rsid w:val="00D96C93"/>
    <w:rsid w:val="00D96E9B"/>
    <w:rsid w:val="00D96EB1"/>
    <w:rsid w:val="00D9706F"/>
    <w:rsid w:val="00D97180"/>
    <w:rsid w:val="00D972E6"/>
    <w:rsid w:val="00D973F4"/>
    <w:rsid w:val="00D9743F"/>
    <w:rsid w:val="00D974FA"/>
    <w:rsid w:val="00D974FD"/>
    <w:rsid w:val="00D975E6"/>
    <w:rsid w:val="00D97626"/>
    <w:rsid w:val="00D97759"/>
    <w:rsid w:val="00D977B8"/>
    <w:rsid w:val="00D97835"/>
    <w:rsid w:val="00D978A1"/>
    <w:rsid w:val="00D978BD"/>
    <w:rsid w:val="00D97928"/>
    <w:rsid w:val="00D97A20"/>
    <w:rsid w:val="00D97A86"/>
    <w:rsid w:val="00D97BE5"/>
    <w:rsid w:val="00D97BFD"/>
    <w:rsid w:val="00D97CAF"/>
    <w:rsid w:val="00D97D38"/>
    <w:rsid w:val="00D97D3C"/>
    <w:rsid w:val="00D97D68"/>
    <w:rsid w:val="00D97E9F"/>
    <w:rsid w:val="00D97F2C"/>
    <w:rsid w:val="00D97F80"/>
    <w:rsid w:val="00D97FCA"/>
    <w:rsid w:val="00DA0051"/>
    <w:rsid w:val="00DA020E"/>
    <w:rsid w:val="00DA02C6"/>
    <w:rsid w:val="00DA0381"/>
    <w:rsid w:val="00DA0389"/>
    <w:rsid w:val="00DA03C6"/>
    <w:rsid w:val="00DA0699"/>
    <w:rsid w:val="00DA06CD"/>
    <w:rsid w:val="00DA092E"/>
    <w:rsid w:val="00DA0A1A"/>
    <w:rsid w:val="00DA0A53"/>
    <w:rsid w:val="00DA0B06"/>
    <w:rsid w:val="00DA0BD5"/>
    <w:rsid w:val="00DA0BEB"/>
    <w:rsid w:val="00DA0D54"/>
    <w:rsid w:val="00DA10DE"/>
    <w:rsid w:val="00DA114B"/>
    <w:rsid w:val="00DA11DC"/>
    <w:rsid w:val="00DA13CF"/>
    <w:rsid w:val="00DA13EE"/>
    <w:rsid w:val="00DA143A"/>
    <w:rsid w:val="00DA1499"/>
    <w:rsid w:val="00DA1531"/>
    <w:rsid w:val="00DA1614"/>
    <w:rsid w:val="00DA1746"/>
    <w:rsid w:val="00DA1782"/>
    <w:rsid w:val="00DA17D5"/>
    <w:rsid w:val="00DA1853"/>
    <w:rsid w:val="00DA197D"/>
    <w:rsid w:val="00DA1B27"/>
    <w:rsid w:val="00DA1B7C"/>
    <w:rsid w:val="00DA1D12"/>
    <w:rsid w:val="00DA1DF9"/>
    <w:rsid w:val="00DA1EB7"/>
    <w:rsid w:val="00DA1F01"/>
    <w:rsid w:val="00DA1FDC"/>
    <w:rsid w:val="00DA20C7"/>
    <w:rsid w:val="00DA215D"/>
    <w:rsid w:val="00DA230C"/>
    <w:rsid w:val="00DA2447"/>
    <w:rsid w:val="00DA24AB"/>
    <w:rsid w:val="00DA24EA"/>
    <w:rsid w:val="00DA254F"/>
    <w:rsid w:val="00DA267D"/>
    <w:rsid w:val="00DA2703"/>
    <w:rsid w:val="00DA27BB"/>
    <w:rsid w:val="00DA283A"/>
    <w:rsid w:val="00DA28EA"/>
    <w:rsid w:val="00DA294E"/>
    <w:rsid w:val="00DA2A1A"/>
    <w:rsid w:val="00DA2C72"/>
    <w:rsid w:val="00DA2D8A"/>
    <w:rsid w:val="00DA2DA9"/>
    <w:rsid w:val="00DA2DB4"/>
    <w:rsid w:val="00DA2E16"/>
    <w:rsid w:val="00DA2F3C"/>
    <w:rsid w:val="00DA3047"/>
    <w:rsid w:val="00DA30B0"/>
    <w:rsid w:val="00DA3288"/>
    <w:rsid w:val="00DA34EA"/>
    <w:rsid w:val="00DA3520"/>
    <w:rsid w:val="00DA363A"/>
    <w:rsid w:val="00DA3653"/>
    <w:rsid w:val="00DA36E2"/>
    <w:rsid w:val="00DA377F"/>
    <w:rsid w:val="00DA37C9"/>
    <w:rsid w:val="00DA382B"/>
    <w:rsid w:val="00DA387D"/>
    <w:rsid w:val="00DA38D4"/>
    <w:rsid w:val="00DA3A31"/>
    <w:rsid w:val="00DA3B69"/>
    <w:rsid w:val="00DA3B8B"/>
    <w:rsid w:val="00DA3CAC"/>
    <w:rsid w:val="00DA3EFE"/>
    <w:rsid w:val="00DA3FD4"/>
    <w:rsid w:val="00DA3FF7"/>
    <w:rsid w:val="00DA4034"/>
    <w:rsid w:val="00DA4093"/>
    <w:rsid w:val="00DA40BD"/>
    <w:rsid w:val="00DA4165"/>
    <w:rsid w:val="00DA41BD"/>
    <w:rsid w:val="00DA4247"/>
    <w:rsid w:val="00DA4390"/>
    <w:rsid w:val="00DA4463"/>
    <w:rsid w:val="00DA448E"/>
    <w:rsid w:val="00DA45F8"/>
    <w:rsid w:val="00DA470E"/>
    <w:rsid w:val="00DA4868"/>
    <w:rsid w:val="00DA4901"/>
    <w:rsid w:val="00DA496D"/>
    <w:rsid w:val="00DA4AAF"/>
    <w:rsid w:val="00DA4B17"/>
    <w:rsid w:val="00DA4C80"/>
    <w:rsid w:val="00DA4C92"/>
    <w:rsid w:val="00DA4DB6"/>
    <w:rsid w:val="00DA4DB8"/>
    <w:rsid w:val="00DA4FF9"/>
    <w:rsid w:val="00DA5348"/>
    <w:rsid w:val="00DA5436"/>
    <w:rsid w:val="00DA560E"/>
    <w:rsid w:val="00DA56A9"/>
    <w:rsid w:val="00DA5712"/>
    <w:rsid w:val="00DA57A1"/>
    <w:rsid w:val="00DA57C5"/>
    <w:rsid w:val="00DA5897"/>
    <w:rsid w:val="00DA5B51"/>
    <w:rsid w:val="00DA5C51"/>
    <w:rsid w:val="00DA5C52"/>
    <w:rsid w:val="00DA5C85"/>
    <w:rsid w:val="00DA5D47"/>
    <w:rsid w:val="00DA5D53"/>
    <w:rsid w:val="00DA5F60"/>
    <w:rsid w:val="00DA6144"/>
    <w:rsid w:val="00DA620F"/>
    <w:rsid w:val="00DA6238"/>
    <w:rsid w:val="00DA6346"/>
    <w:rsid w:val="00DA63CC"/>
    <w:rsid w:val="00DA6469"/>
    <w:rsid w:val="00DA64DC"/>
    <w:rsid w:val="00DA6562"/>
    <w:rsid w:val="00DA6591"/>
    <w:rsid w:val="00DA65CC"/>
    <w:rsid w:val="00DA66DC"/>
    <w:rsid w:val="00DA66DE"/>
    <w:rsid w:val="00DA6739"/>
    <w:rsid w:val="00DA67B1"/>
    <w:rsid w:val="00DA67F4"/>
    <w:rsid w:val="00DA683B"/>
    <w:rsid w:val="00DA6991"/>
    <w:rsid w:val="00DA6995"/>
    <w:rsid w:val="00DA6B42"/>
    <w:rsid w:val="00DA6CB8"/>
    <w:rsid w:val="00DA6D19"/>
    <w:rsid w:val="00DA7205"/>
    <w:rsid w:val="00DA7269"/>
    <w:rsid w:val="00DA73E1"/>
    <w:rsid w:val="00DA75E2"/>
    <w:rsid w:val="00DA76E6"/>
    <w:rsid w:val="00DA79D4"/>
    <w:rsid w:val="00DA7A4A"/>
    <w:rsid w:val="00DA7B62"/>
    <w:rsid w:val="00DA7C92"/>
    <w:rsid w:val="00DA7D27"/>
    <w:rsid w:val="00DA7F77"/>
    <w:rsid w:val="00DA7FA2"/>
    <w:rsid w:val="00DA7FB7"/>
    <w:rsid w:val="00DA7FCB"/>
    <w:rsid w:val="00DA7FED"/>
    <w:rsid w:val="00DB015E"/>
    <w:rsid w:val="00DB0248"/>
    <w:rsid w:val="00DB02FF"/>
    <w:rsid w:val="00DB0332"/>
    <w:rsid w:val="00DB0380"/>
    <w:rsid w:val="00DB05AA"/>
    <w:rsid w:val="00DB0986"/>
    <w:rsid w:val="00DB0B4F"/>
    <w:rsid w:val="00DB0C58"/>
    <w:rsid w:val="00DB0DB0"/>
    <w:rsid w:val="00DB0DBD"/>
    <w:rsid w:val="00DB0EAB"/>
    <w:rsid w:val="00DB1084"/>
    <w:rsid w:val="00DB11B4"/>
    <w:rsid w:val="00DB12D8"/>
    <w:rsid w:val="00DB134C"/>
    <w:rsid w:val="00DB1454"/>
    <w:rsid w:val="00DB1535"/>
    <w:rsid w:val="00DB1602"/>
    <w:rsid w:val="00DB1825"/>
    <w:rsid w:val="00DB18CF"/>
    <w:rsid w:val="00DB198A"/>
    <w:rsid w:val="00DB19E2"/>
    <w:rsid w:val="00DB1A56"/>
    <w:rsid w:val="00DB1B20"/>
    <w:rsid w:val="00DB1B4C"/>
    <w:rsid w:val="00DB1B6B"/>
    <w:rsid w:val="00DB1CF8"/>
    <w:rsid w:val="00DB1D16"/>
    <w:rsid w:val="00DB1D97"/>
    <w:rsid w:val="00DB1DBB"/>
    <w:rsid w:val="00DB1ED8"/>
    <w:rsid w:val="00DB1F5B"/>
    <w:rsid w:val="00DB1F6A"/>
    <w:rsid w:val="00DB1FCC"/>
    <w:rsid w:val="00DB20E8"/>
    <w:rsid w:val="00DB2140"/>
    <w:rsid w:val="00DB22F3"/>
    <w:rsid w:val="00DB248E"/>
    <w:rsid w:val="00DB25DF"/>
    <w:rsid w:val="00DB26FE"/>
    <w:rsid w:val="00DB273F"/>
    <w:rsid w:val="00DB2A41"/>
    <w:rsid w:val="00DB2A4D"/>
    <w:rsid w:val="00DB2A80"/>
    <w:rsid w:val="00DB2AD8"/>
    <w:rsid w:val="00DB2F95"/>
    <w:rsid w:val="00DB30C3"/>
    <w:rsid w:val="00DB31F9"/>
    <w:rsid w:val="00DB3209"/>
    <w:rsid w:val="00DB32E5"/>
    <w:rsid w:val="00DB3307"/>
    <w:rsid w:val="00DB335F"/>
    <w:rsid w:val="00DB3374"/>
    <w:rsid w:val="00DB3554"/>
    <w:rsid w:val="00DB362D"/>
    <w:rsid w:val="00DB39DA"/>
    <w:rsid w:val="00DB3A3D"/>
    <w:rsid w:val="00DB3AE7"/>
    <w:rsid w:val="00DB3B60"/>
    <w:rsid w:val="00DB3B77"/>
    <w:rsid w:val="00DB3C20"/>
    <w:rsid w:val="00DB3C3D"/>
    <w:rsid w:val="00DB3CAF"/>
    <w:rsid w:val="00DB3D59"/>
    <w:rsid w:val="00DB404F"/>
    <w:rsid w:val="00DB4093"/>
    <w:rsid w:val="00DB409B"/>
    <w:rsid w:val="00DB41E1"/>
    <w:rsid w:val="00DB4231"/>
    <w:rsid w:val="00DB43E9"/>
    <w:rsid w:val="00DB45DD"/>
    <w:rsid w:val="00DB45FD"/>
    <w:rsid w:val="00DB475A"/>
    <w:rsid w:val="00DB4D1D"/>
    <w:rsid w:val="00DB4F59"/>
    <w:rsid w:val="00DB4F93"/>
    <w:rsid w:val="00DB5045"/>
    <w:rsid w:val="00DB5046"/>
    <w:rsid w:val="00DB5116"/>
    <w:rsid w:val="00DB5134"/>
    <w:rsid w:val="00DB5286"/>
    <w:rsid w:val="00DB52D6"/>
    <w:rsid w:val="00DB5302"/>
    <w:rsid w:val="00DB550E"/>
    <w:rsid w:val="00DB5651"/>
    <w:rsid w:val="00DB5694"/>
    <w:rsid w:val="00DB570E"/>
    <w:rsid w:val="00DB570F"/>
    <w:rsid w:val="00DB573B"/>
    <w:rsid w:val="00DB57F2"/>
    <w:rsid w:val="00DB58EB"/>
    <w:rsid w:val="00DB5952"/>
    <w:rsid w:val="00DB59B1"/>
    <w:rsid w:val="00DB5B6B"/>
    <w:rsid w:val="00DB5BF9"/>
    <w:rsid w:val="00DB5BFE"/>
    <w:rsid w:val="00DB5C06"/>
    <w:rsid w:val="00DB5C77"/>
    <w:rsid w:val="00DB5D4D"/>
    <w:rsid w:val="00DB5DB0"/>
    <w:rsid w:val="00DB5E4A"/>
    <w:rsid w:val="00DB5EB7"/>
    <w:rsid w:val="00DB5FD7"/>
    <w:rsid w:val="00DB605A"/>
    <w:rsid w:val="00DB6170"/>
    <w:rsid w:val="00DB61E3"/>
    <w:rsid w:val="00DB6254"/>
    <w:rsid w:val="00DB6288"/>
    <w:rsid w:val="00DB62A7"/>
    <w:rsid w:val="00DB64B9"/>
    <w:rsid w:val="00DB64E3"/>
    <w:rsid w:val="00DB6539"/>
    <w:rsid w:val="00DB65EB"/>
    <w:rsid w:val="00DB65FB"/>
    <w:rsid w:val="00DB664E"/>
    <w:rsid w:val="00DB679E"/>
    <w:rsid w:val="00DB6956"/>
    <w:rsid w:val="00DB6A4A"/>
    <w:rsid w:val="00DB6BCB"/>
    <w:rsid w:val="00DB6BD7"/>
    <w:rsid w:val="00DB6C21"/>
    <w:rsid w:val="00DB6C2B"/>
    <w:rsid w:val="00DB6D46"/>
    <w:rsid w:val="00DB6E2B"/>
    <w:rsid w:val="00DB6E65"/>
    <w:rsid w:val="00DB6EF3"/>
    <w:rsid w:val="00DB72A1"/>
    <w:rsid w:val="00DB7395"/>
    <w:rsid w:val="00DB741F"/>
    <w:rsid w:val="00DB74BA"/>
    <w:rsid w:val="00DB7585"/>
    <w:rsid w:val="00DB75DB"/>
    <w:rsid w:val="00DB761E"/>
    <w:rsid w:val="00DB7AB5"/>
    <w:rsid w:val="00DB7ADF"/>
    <w:rsid w:val="00DB7B2D"/>
    <w:rsid w:val="00DB7B59"/>
    <w:rsid w:val="00DB7BAC"/>
    <w:rsid w:val="00DB7C2A"/>
    <w:rsid w:val="00DB7CAC"/>
    <w:rsid w:val="00DB7DAD"/>
    <w:rsid w:val="00DB7EC8"/>
    <w:rsid w:val="00DB7FE6"/>
    <w:rsid w:val="00DC0101"/>
    <w:rsid w:val="00DC016E"/>
    <w:rsid w:val="00DC026C"/>
    <w:rsid w:val="00DC0287"/>
    <w:rsid w:val="00DC031B"/>
    <w:rsid w:val="00DC0358"/>
    <w:rsid w:val="00DC039D"/>
    <w:rsid w:val="00DC061D"/>
    <w:rsid w:val="00DC063B"/>
    <w:rsid w:val="00DC073D"/>
    <w:rsid w:val="00DC077A"/>
    <w:rsid w:val="00DC0940"/>
    <w:rsid w:val="00DC0A05"/>
    <w:rsid w:val="00DC0AE4"/>
    <w:rsid w:val="00DC0B20"/>
    <w:rsid w:val="00DC0B3B"/>
    <w:rsid w:val="00DC0B43"/>
    <w:rsid w:val="00DC0B88"/>
    <w:rsid w:val="00DC0CA2"/>
    <w:rsid w:val="00DC0D25"/>
    <w:rsid w:val="00DC0F1C"/>
    <w:rsid w:val="00DC0F72"/>
    <w:rsid w:val="00DC0F80"/>
    <w:rsid w:val="00DC0F8C"/>
    <w:rsid w:val="00DC144D"/>
    <w:rsid w:val="00DC16F1"/>
    <w:rsid w:val="00DC170F"/>
    <w:rsid w:val="00DC18A4"/>
    <w:rsid w:val="00DC1962"/>
    <w:rsid w:val="00DC1A93"/>
    <w:rsid w:val="00DC1B15"/>
    <w:rsid w:val="00DC1CD6"/>
    <w:rsid w:val="00DC1E6F"/>
    <w:rsid w:val="00DC200C"/>
    <w:rsid w:val="00DC2036"/>
    <w:rsid w:val="00DC2107"/>
    <w:rsid w:val="00DC2405"/>
    <w:rsid w:val="00DC2544"/>
    <w:rsid w:val="00DC26BA"/>
    <w:rsid w:val="00DC2A82"/>
    <w:rsid w:val="00DC2D68"/>
    <w:rsid w:val="00DC2E7B"/>
    <w:rsid w:val="00DC2EB1"/>
    <w:rsid w:val="00DC2F0E"/>
    <w:rsid w:val="00DC3013"/>
    <w:rsid w:val="00DC3067"/>
    <w:rsid w:val="00DC306A"/>
    <w:rsid w:val="00DC3143"/>
    <w:rsid w:val="00DC338F"/>
    <w:rsid w:val="00DC3393"/>
    <w:rsid w:val="00DC345E"/>
    <w:rsid w:val="00DC3674"/>
    <w:rsid w:val="00DC36A8"/>
    <w:rsid w:val="00DC36F7"/>
    <w:rsid w:val="00DC37D7"/>
    <w:rsid w:val="00DC3889"/>
    <w:rsid w:val="00DC3B76"/>
    <w:rsid w:val="00DC3C69"/>
    <w:rsid w:val="00DC3CC0"/>
    <w:rsid w:val="00DC3CF5"/>
    <w:rsid w:val="00DC3CFE"/>
    <w:rsid w:val="00DC3D65"/>
    <w:rsid w:val="00DC3E8A"/>
    <w:rsid w:val="00DC3EBA"/>
    <w:rsid w:val="00DC4009"/>
    <w:rsid w:val="00DC4068"/>
    <w:rsid w:val="00DC4100"/>
    <w:rsid w:val="00DC415C"/>
    <w:rsid w:val="00DC4324"/>
    <w:rsid w:val="00DC4658"/>
    <w:rsid w:val="00DC4782"/>
    <w:rsid w:val="00DC4803"/>
    <w:rsid w:val="00DC4862"/>
    <w:rsid w:val="00DC4BAE"/>
    <w:rsid w:val="00DC4D78"/>
    <w:rsid w:val="00DC4ED7"/>
    <w:rsid w:val="00DC4F21"/>
    <w:rsid w:val="00DC4F92"/>
    <w:rsid w:val="00DC51BD"/>
    <w:rsid w:val="00DC534E"/>
    <w:rsid w:val="00DC5509"/>
    <w:rsid w:val="00DC55D1"/>
    <w:rsid w:val="00DC5847"/>
    <w:rsid w:val="00DC5906"/>
    <w:rsid w:val="00DC5A3B"/>
    <w:rsid w:val="00DC5C12"/>
    <w:rsid w:val="00DC5CDA"/>
    <w:rsid w:val="00DC5D11"/>
    <w:rsid w:val="00DC5D90"/>
    <w:rsid w:val="00DC5DC9"/>
    <w:rsid w:val="00DC5E18"/>
    <w:rsid w:val="00DC6159"/>
    <w:rsid w:val="00DC618A"/>
    <w:rsid w:val="00DC61C4"/>
    <w:rsid w:val="00DC6243"/>
    <w:rsid w:val="00DC62FF"/>
    <w:rsid w:val="00DC630F"/>
    <w:rsid w:val="00DC63ED"/>
    <w:rsid w:val="00DC64F5"/>
    <w:rsid w:val="00DC653B"/>
    <w:rsid w:val="00DC6600"/>
    <w:rsid w:val="00DC6605"/>
    <w:rsid w:val="00DC660F"/>
    <w:rsid w:val="00DC6721"/>
    <w:rsid w:val="00DC6728"/>
    <w:rsid w:val="00DC6856"/>
    <w:rsid w:val="00DC6977"/>
    <w:rsid w:val="00DC6A06"/>
    <w:rsid w:val="00DC6A83"/>
    <w:rsid w:val="00DC6ACB"/>
    <w:rsid w:val="00DC6CCD"/>
    <w:rsid w:val="00DC6D3B"/>
    <w:rsid w:val="00DC6D6F"/>
    <w:rsid w:val="00DC6DF0"/>
    <w:rsid w:val="00DC6F56"/>
    <w:rsid w:val="00DC6F9D"/>
    <w:rsid w:val="00DC71DD"/>
    <w:rsid w:val="00DC728B"/>
    <w:rsid w:val="00DC72CD"/>
    <w:rsid w:val="00DC733E"/>
    <w:rsid w:val="00DC75BB"/>
    <w:rsid w:val="00DC765A"/>
    <w:rsid w:val="00DC77F0"/>
    <w:rsid w:val="00DC783E"/>
    <w:rsid w:val="00DC7A1F"/>
    <w:rsid w:val="00DC7AFF"/>
    <w:rsid w:val="00DC7B60"/>
    <w:rsid w:val="00DC7C8E"/>
    <w:rsid w:val="00DC7FA5"/>
    <w:rsid w:val="00DD02A0"/>
    <w:rsid w:val="00DD031A"/>
    <w:rsid w:val="00DD0977"/>
    <w:rsid w:val="00DD0A44"/>
    <w:rsid w:val="00DD0C75"/>
    <w:rsid w:val="00DD0E14"/>
    <w:rsid w:val="00DD0FDF"/>
    <w:rsid w:val="00DD1097"/>
    <w:rsid w:val="00DD10B3"/>
    <w:rsid w:val="00DD113E"/>
    <w:rsid w:val="00DD1227"/>
    <w:rsid w:val="00DD131A"/>
    <w:rsid w:val="00DD14D6"/>
    <w:rsid w:val="00DD15D2"/>
    <w:rsid w:val="00DD1654"/>
    <w:rsid w:val="00DD1668"/>
    <w:rsid w:val="00DD1734"/>
    <w:rsid w:val="00DD1738"/>
    <w:rsid w:val="00DD17A1"/>
    <w:rsid w:val="00DD17B4"/>
    <w:rsid w:val="00DD17F5"/>
    <w:rsid w:val="00DD1A60"/>
    <w:rsid w:val="00DD1A7D"/>
    <w:rsid w:val="00DD1BC2"/>
    <w:rsid w:val="00DD1C5A"/>
    <w:rsid w:val="00DD1D70"/>
    <w:rsid w:val="00DD1EDA"/>
    <w:rsid w:val="00DD2094"/>
    <w:rsid w:val="00DD20AB"/>
    <w:rsid w:val="00DD213D"/>
    <w:rsid w:val="00DD2284"/>
    <w:rsid w:val="00DD2308"/>
    <w:rsid w:val="00DD23B4"/>
    <w:rsid w:val="00DD240C"/>
    <w:rsid w:val="00DD242F"/>
    <w:rsid w:val="00DD25BC"/>
    <w:rsid w:val="00DD26AD"/>
    <w:rsid w:val="00DD2894"/>
    <w:rsid w:val="00DD2942"/>
    <w:rsid w:val="00DD2956"/>
    <w:rsid w:val="00DD2994"/>
    <w:rsid w:val="00DD2A25"/>
    <w:rsid w:val="00DD2CBE"/>
    <w:rsid w:val="00DD2CE8"/>
    <w:rsid w:val="00DD2D24"/>
    <w:rsid w:val="00DD2DB9"/>
    <w:rsid w:val="00DD2E8D"/>
    <w:rsid w:val="00DD2ED7"/>
    <w:rsid w:val="00DD2EFB"/>
    <w:rsid w:val="00DD30D2"/>
    <w:rsid w:val="00DD32E0"/>
    <w:rsid w:val="00DD32F9"/>
    <w:rsid w:val="00DD34ED"/>
    <w:rsid w:val="00DD3508"/>
    <w:rsid w:val="00DD3558"/>
    <w:rsid w:val="00DD3698"/>
    <w:rsid w:val="00DD37A6"/>
    <w:rsid w:val="00DD39A1"/>
    <w:rsid w:val="00DD3A95"/>
    <w:rsid w:val="00DD3C2A"/>
    <w:rsid w:val="00DD3C78"/>
    <w:rsid w:val="00DD3CA5"/>
    <w:rsid w:val="00DD3D6B"/>
    <w:rsid w:val="00DD3DCE"/>
    <w:rsid w:val="00DD3E24"/>
    <w:rsid w:val="00DD3F28"/>
    <w:rsid w:val="00DD3F4D"/>
    <w:rsid w:val="00DD4039"/>
    <w:rsid w:val="00DD4193"/>
    <w:rsid w:val="00DD4270"/>
    <w:rsid w:val="00DD4377"/>
    <w:rsid w:val="00DD451D"/>
    <w:rsid w:val="00DD45DE"/>
    <w:rsid w:val="00DD478E"/>
    <w:rsid w:val="00DD479F"/>
    <w:rsid w:val="00DD47FF"/>
    <w:rsid w:val="00DD4819"/>
    <w:rsid w:val="00DD48A4"/>
    <w:rsid w:val="00DD497C"/>
    <w:rsid w:val="00DD4990"/>
    <w:rsid w:val="00DD4D0D"/>
    <w:rsid w:val="00DD4E06"/>
    <w:rsid w:val="00DD4E18"/>
    <w:rsid w:val="00DD50F3"/>
    <w:rsid w:val="00DD5230"/>
    <w:rsid w:val="00DD52AE"/>
    <w:rsid w:val="00DD52C3"/>
    <w:rsid w:val="00DD534C"/>
    <w:rsid w:val="00DD53A6"/>
    <w:rsid w:val="00DD5543"/>
    <w:rsid w:val="00DD555E"/>
    <w:rsid w:val="00DD567D"/>
    <w:rsid w:val="00DD584C"/>
    <w:rsid w:val="00DD585F"/>
    <w:rsid w:val="00DD5921"/>
    <w:rsid w:val="00DD595E"/>
    <w:rsid w:val="00DD59D7"/>
    <w:rsid w:val="00DD5B64"/>
    <w:rsid w:val="00DD5BB5"/>
    <w:rsid w:val="00DD5E09"/>
    <w:rsid w:val="00DD5EAA"/>
    <w:rsid w:val="00DD5FAC"/>
    <w:rsid w:val="00DD5FC9"/>
    <w:rsid w:val="00DD60FF"/>
    <w:rsid w:val="00DD615B"/>
    <w:rsid w:val="00DD6173"/>
    <w:rsid w:val="00DD6203"/>
    <w:rsid w:val="00DD62B0"/>
    <w:rsid w:val="00DD6309"/>
    <w:rsid w:val="00DD632D"/>
    <w:rsid w:val="00DD651B"/>
    <w:rsid w:val="00DD6520"/>
    <w:rsid w:val="00DD669F"/>
    <w:rsid w:val="00DD6734"/>
    <w:rsid w:val="00DD67D1"/>
    <w:rsid w:val="00DD6914"/>
    <w:rsid w:val="00DD6996"/>
    <w:rsid w:val="00DD6C9D"/>
    <w:rsid w:val="00DD6CA4"/>
    <w:rsid w:val="00DD6CCD"/>
    <w:rsid w:val="00DD6EF6"/>
    <w:rsid w:val="00DD6FF9"/>
    <w:rsid w:val="00DD7034"/>
    <w:rsid w:val="00DD70ED"/>
    <w:rsid w:val="00DD7300"/>
    <w:rsid w:val="00DD75FC"/>
    <w:rsid w:val="00DD761F"/>
    <w:rsid w:val="00DD78B0"/>
    <w:rsid w:val="00DD7A05"/>
    <w:rsid w:val="00DD7C42"/>
    <w:rsid w:val="00DD7E1B"/>
    <w:rsid w:val="00DD7E2F"/>
    <w:rsid w:val="00DD7EAC"/>
    <w:rsid w:val="00DE0013"/>
    <w:rsid w:val="00DE0115"/>
    <w:rsid w:val="00DE0303"/>
    <w:rsid w:val="00DE04B4"/>
    <w:rsid w:val="00DE0550"/>
    <w:rsid w:val="00DE05C6"/>
    <w:rsid w:val="00DE06A2"/>
    <w:rsid w:val="00DE0981"/>
    <w:rsid w:val="00DE0BF3"/>
    <w:rsid w:val="00DE0D2F"/>
    <w:rsid w:val="00DE0D6E"/>
    <w:rsid w:val="00DE0D88"/>
    <w:rsid w:val="00DE0D95"/>
    <w:rsid w:val="00DE0E68"/>
    <w:rsid w:val="00DE0F7F"/>
    <w:rsid w:val="00DE0FEB"/>
    <w:rsid w:val="00DE0FEC"/>
    <w:rsid w:val="00DE1227"/>
    <w:rsid w:val="00DE1396"/>
    <w:rsid w:val="00DE14C0"/>
    <w:rsid w:val="00DE15C9"/>
    <w:rsid w:val="00DE1806"/>
    <w:rsid w:val="00DE1AF0"/>
    <w:rsid w:val="00DE1B4A"/>
    <w:rsid w:val="00DE1BEC"/>
    <w:rsid w:val="00DE1CAA"/>
    <w:rsid w:val="00DE1CC7"/>
    <w:rsid w:val="00DE1D24"/>
    <w:rsid w:val="00DE1D82"/>
    <w:rsid w:val="00DE1DA7"/>
    <w:rsid w:val="00DE2041"/>
    <w:rsid w:val="00DE215C"/>
    <w:rsid w:val="00DE23A6"/>
    <w:rsid w:val="00DE24A3"/>
    <w:rsid w:val="00DE2678"/>
    <w:rsid w:val="00DE268A"/>
    <w:rsid w:val="00DE2D9A"/>
    <w:rsid w:val="00DE2F89"/>
    <w:rsid w:val="00DE303F"/>
    <w:rsid w:val="00DE3053"/>
    <w:rsid w:val="00DE314A"/>
    <w:rsid w:val="00DE32B9"/>
    <w:rsid w:val="00DE32E1"/>
    <w:rsid w:val="00DE33A7"/>
    <w:rsid w:val="00DE3436"/>
    <w:rsid w:val="00DE3478"/>
    <w:rsid w:val="00DE3589"/>
    <w:rsid w:val="00DE3594"/>
    <w:rsid w:val="00DE35B8"/>
    <w:rsid w:val="00DE3660"/>
    <w:rsid w:val="00DE36C4"/>
    <w:rsid w:val="00DE37D4"/>
    <w:rsid w:val="00DE3826"/>
    <w:rsid w:val="00DE39CA"/>
    <w:rsid w:val="00DE3B28"/>
    <w:rsid w:val="00DE3C31"/>
    <w:rsid w:val="00DE3CDF"/>
    <w:rsid w:val="00DE3D9C"/>
    <w:rsid w:val="00DE3E5A"/>
    <w:rsid w:val="00DE3ECC"/>
    <w:rsid w:val="00DE3F3E"/>
    <w:rsid w:val="00DE4272"/>
    <w:rsid w:val="00DE4311"/>
    <w:rsid w:val="00DE434A"/>
    <w:rsid w:val="00DE4441"/>
    <w:rsid w:val="00DE4518"/>
    <w:rsid w:val="00DE464D"/>
    <w:rsid w:val="00DE46BA"/>
    <w:rsid w:val="00DE4779"/>
    <w:rsid w:val="00DE477B"/>
    <w:rsid w:val="00DE4A14"/>
    <w:rsid w:val="00DE4A24"/>
    <w:rsid w:val="00DE4BA8"/>
    <w:rsid w:val="00DE4C47"/>
    <w:rsid w:val="00DE4F2A"/>
    <w:rsid w:val="00DE5063"/>
    <w:rsid w:val="00DE525F"/>
    <w:rsid w:val="00DE55C3"/>
    <w:rsid w:val="00DE56C8"/>
    <w:rsid w:val="00DE5706"/>
    <w:rsid w:val="00DE5756"/>
    <w:rsid w:val="00DE58DA"/>
    <w:rsid w:val="00DE59C1"/>
    <w:rsid w:val="00DE5ACE"/>
    <w:rsid w:val="00DE5C74"/>
    <w:rsid w:val="00DE5D2F"/>
    <w:rsid w:val="00DE5DBB"/>
    <w:rsid w:val="00DE5DE1"/>
    <w:rsid w:val="00DE5F01"/>
    <w:rsid w:val="00DE5FFF"/>
    <w:rsid w:val="00DE606E"/>
    <w:rsid w:val="00DE60B7"/>
    <w:rsid w:val="00DE6223"/>
    <w:rsid w:val="00DE6224"/>
    <w:rsid w:val="00DE6381"/>
    <w:rsid w:val="00DE63D8"/>
    <w:rsid w:val="00DE6564"/>
    <w:rsid w:val="00DE658F"/>
    <w:rsid w:val="00DE6692"/>
    <w:rsid w:val="00DE66BD"/>
    <w:rsid w:val="00DE685D"/>
    <w:rsid w:val="00DE6938"/>
    <w:rsid w:val="00DE69DD"/>
    <w:rsid w:val="00DE69E1"/>
    <w:rsid w:val="00DE6B84"/>
    <w:rsid w:val="00DE6C32"/>
    <w:rsid w:val="00DE6C4C"/>
    <w:rsid w:val="00DE6DCA"/>
    <w:rsid w:val="00DE6F59"/>
    <w:rsid w:val="00DE7084"/>
    <w:rsid w:val="00DE71CB"/>
    <w:rsid w:val="00DE733B"/>
    <w:rsid w:val="00DE7431"/>
    <w:rsid w:val="00DE7524"/>
    <w:rsid w:val="00DE7540"/>
    <w:rsid w:val="00DE783B"/>
    <w:rsid w:val="00DE7993"/>
    <w:rsid w:val="00DE79A6"/>
    <w:rsid w:val="00DE7A0A"/>
    <w:rsid w:val="00DE7D90"/>
    <w:rsid w:val="00DE7DAB"/>
    <w:rsid w:val="00DE7DE8"/>
    <w:rsid w:val="00DE7E13"/>
    <w:rsid w:val="00DE7EC4"/>
    <w:rsid w:val="00DE7F53"/>
    <w:rsid w:val="00DE7FA8"/>
    <w:rsid w:val="00DE7FC9"/>
    <w:rsid w:val="00DE7FEB"/>
    <w:rsid w:val="00DF0055"/>
    <w:rsid w:val="00DF02CC"/>
    <w:rsid w:val="00DF031D"/>
    <w:rsid w:val="00DF0481"/>
    <w:rsid w:val="00DF04B0"/>
    <w:rsid w:val="00DF07AA"/>
    <w:rsid w:val="00DF09DE"/>
    <w:rsid w:val="00DF09EB"/>
    <w:rsid w:val="00DF0A4A"/>
    <w:rsid w:val="00DF0AD7"/>
    <w:rsid w:val="00DF0AE8"/>
    <w:rsid w:val="00DF0DCF"/>
    <w:rsid w:val="00DF0E00"/>
    <w:rsid w:val="00DF0E4C"/>
    <w:rsid w:val="00DF0FB6"/>
    <w:rsid w:val="00DF11D6"/>
    <w:rsid w:val="00DF126A"/>
    <w:rsid w:val="00DF1352"/>
    <w:rsid w:val="00DF135A"/>
    <w:rsid w:val="00DF1530"/>
    <w:rsid w:val="00DF1537"/>
    <w:rsid w:val="00DF164C"/>
    <w:rsid w:val="00DF1722"/>
    <w:rsid w:val="00DF18AE"/>
    <w:rsid w:val="00DF1EE9"/>
    <w:rsid w:val="00DF21A3"/>
    <w:rsid w:val="00DF21B4"/>
    <w:rsid w:val="00DF21CE"/>
    <w:rsid w:val="00DF220E"/>
    <w:rsid w:val="00DF232C"/>
    <w:rsid w:val="00DF262F"/>
    <w:rsid w:val="00DF2640"/>
    <w:rsid w:val="00DF26AD"/>
    <w:rsid w:val="00DF27AA"/>
    <w:rsid w:val="00DF2803"/>
    <w:rsid w:val="00DF282B"/>
    <w:rsid w:val="00DF28E0"/>
    <w:rsid w:val="00DF29D4"/>
    <w:rsid w:val="00DF29ED"/>
    <w:rsid w:val="00DF2A56"/>
    <w:rsid w:val="00DF2AF3"/>
    <w:rsid w:val="00DF2C01"/>
    <w:rsid w:val="00DF3010"/>
    <w:rsid w:val="00DF3066"/>
    <w:rsid w:val="00DF312D"/>
    <w:rsid w:val="00DF316C"/>
    <w:rsid w:val="00DF328F"/>
    <w:rsid w:val="00DF32C3"/>
    <w:rsid w:val="00DF32F5"/>
    <w:rsid w:val="00DF3475"/>
    <w:rsid w:val="00DF35E7"/>
    <w:rsid w:val="00DF36C5"/>
    <w:rsid w:val="00DF3767"/>
    <w:rsid w:val="00DF3832"/>
    <w:rsid w:val="00DF39EB"/>
    <w:rsid w:val="00DF3B9F"/>
    <w:rsid w:val="00DF3BC1"/>
    <w:rsid w:val="00DF3BC7"/>
    <w:rsid w:val="00DF3C2A"/>
    <w:rsid w:val="00DF3D22"/>
    <w:rsid w:val="00DF3DAB"/>
    <w:rsid w:val="00DF3EDE"/>
    <w:rsid w:val="00DF405D"/>
    <w:rsid w:val="00DF411B"/>
    <w:rsid w:val="00DF415D"/>
    <w:rsid w:val="00DF42FE"/>
    <w:rsid w:val="00DF44D4"/>
    <w:rsid w:val="00DF44D7"/>
    <w:rsid w:val="00DF472F"/>
    <w:rsid w:val="00DF47CF"/>
    <w:rsid w:val="00DF4AFB"/>
    <w:rsid w:val="00DF4B17"/>
    <w:rsid w:val="00DF4B4D"/>
    <w:rsid w:val="00DF4C6A"/>
    <w:rsid w:val="00DF4CDD"/>
    <w:rsid w:val="00DF4F40"/>
    <w:rsid w:val="00DF4FC4"/>
    <w:rsid w:val="00DF5316"/>
    <w:rsid w:val="00DF5496"/>
    <w:rsid w:val="00DF55AE"/>
    <w:rsid w:val="00DF5A2A"/>
    <w:rsid w:val="00DF5AA3"/>
    <w:rsid w:val="00DF5B2C"/>
    <w:rsid w:val="00DF5D80"/>
    <w:rsid w:val="00DF5E44"/>
    <w:rsid w:val="00DF5E6B"/>
    <w:rsid w:val="00DF5EC3"/>
    <w:rsid w:val="00DF602E"/>
    <w:rsid w:val="00DF60E5"/>
    <w:rsid w:val="00DF61B7"/>
    <w:rsid w:val="00DF6423"/>
    <w:rsid w:val="00DF6582"/>
    <w:rsid w:val="00DF6941"/>
    <w:rsid w:val="00DF6949"/>
    <w:rsid w:val="00DF6D02"/>
    <w:rsid w:val="00DF6D4D"/>
    <w:rsid w:val="00DF6EAD"/>
    <w:rsid w:val="00DF6FB1"/>
    <w:rsid w:val="00DF6FFB"/>
    <w:rsid w:val="00DF7163"/>
    <w:rsid w:val="00DF7242"/>
    <w:rsid w:val="00DF72CC"/>
    <w:rsid w:val="00DF7393"/>
    <w:rsid w:val="00DF740C"/>
    <w:rsid w:val="00DF7473"/>
    <w:rsid w:val="00DF74C2"/>
    <w:rsid w:val="00DF7506"/>
    <w:rsid w:val="00DF75EC"/>
    <w:rsid w:val="00DF7712"/>
    <w:rsid w:val="00DF7760"/>
    <w:rsid w:val="00DF7769"/>
    <w:rsid w:val="00DF7774"/>
    <w:rsid w:val="00DF77EF"/>
    <w:rsid w:val="00DF7921"/>
    <w:rsid w:val="00DF7A5E"/>
    <w:rsid w:val="00DF7AD2"/>
    <w:rsid w:val="00DF7AFD"/>
    <w:rsid w:val="00DF7B03"/>
    <w:rsid w:val="00DF7B30"/>
    <w:rsid w:val="00DF7B70"/>
    <w:rsid w:val="00DF7CA5"/>
    <w:rsid w:val="00DF7EFE"/>
    <w:rsid w:val="00E000C5"/>
    <w:rsid w:val="00E000D3"/>
    <w:rsid w:val="00E0010B"/>
    <w:rsid w:val="00E0012F"/>
    <w:rsid w:val="00E001E3"/>
    <w:rsid w:val="00E00321"/>
    <w:rsid w:val="00E003C2"/>
    <w:rsid w:val="00E00656"/>
    <w:rsid w:val="00E006E4"/>
    <w:rsid w:val="00E0081F"/>
    <w:rsid w:val="00E008E0"/>
    <w:rsid w:val="00E009D9"/>
    <w:rsid w:val="00E00B5C"/>
    <w:rsid w:val="00E00C5C"/>
    <w:rsid w:val="00E00CE8"/>
    <w:rsid w:val="00E00D66"/>
    <w:rsid w:val="00E00D91"/>
    <w:rsid w:val="00E00E24"/>
    <w:rsid w:val="00E00EE7"/>
    <w:rsid w:val="00E0129C"/>
    <w:rsid w:val="00E01358"/>
    <w:rsid w:val="00E01433"/>
    <w:rsid w:val="00E01507"/>
    <w:rsid w:val="00E015E8"/>
    <w:rsid w:val="00E016E7"/>
    <w:rsid w:val="00E0181F"/>
    <w:rsid w:val="00E01839"/>
    <w:rsid w:val="00E0189F"/>
    <w:rsid w:val="00E01960"/>
    <w:rsid w:val="00E01ABE"/>
    <w:rsid w:val="00E01C09"/>
    <w:rsid w:val="00E01C79"/>
    <w:rsid w:val="00E01C8F"/>
    <w:rsid w:val="00E01CE9"/>
    <w:rsid w:val="00E01D79"/>
    <w:rsid w:val="00E01D99"/>
    <w:rsid w:val="00E01DCB"/>
    <w:rsid w:val="00E020C0"/>
    <w:rsid w:val="00E020CE"/>
    <w:rsid w:val="00E02140"/>
    <w:rsid w:val="00E0215C"/>
    <w:rsid w:val="00E021F1"/>
    <w:rsid w:val="00E0225F"/>
    <w:rsid w:val="00E024AF"/>
    <w:rsid w:val="00E024D3"/>
    <w:rsid w:val="00E027B3"/>
    <w:rsid w:val="00E02A9D"/>
    <w:rsid w:val="00E02B1B"/>
    <w:rsid w:val="00E02B2C"/>
    <w:rsid w:val="00E02E86"/>
    <w:rsid w:val="00E0314B"/>
    <w:rsid w:val="00E03166"/>
    <w:rsid w:val="00E0319D"/>
    <w:rsid w:val="00E03223"/>
    <w:rsid w:val="00E032F4"/>
    <w:rsid w:val="00E0338C"/>
    <w:rsid w:val="00E033A2"/>
    <w:rsid w:val="00E0342C"/>
    <w:rsid w:val="00E03510"/>
    <w:rsid w:val="00E0351A"/>
    <w:rsid w:val="00E03555"/>
    <w:rsid w:val="00E035A9"/>
    <w:rsid w:val="00E03688"/>
    <w:rsid w:val="00E03821"/>
    <w:rsid w:val="00E0392D"/>
    <w:rsid w:val="00E03A4D"/>
    <w:rsid w:val="00E03BDB"/>
    <w:rsid w:val="00E03C33"/>
    <w:rsid w:val="00E03C77"/>
    <w:rsid w:val="00E03D65"/>
    <w:rsid w:val="00E03DB6"/>
    <w:rsid w:val="00E03ECE"/>
    <w:rsid w:val="00E03F50"/>
    <w:rsid w:val="00E0409E"/>
    <w:rsid w:val="00E0414E"/>
    <w:rsid w:val="00E0434A"/>
    <w:rsid w:val="00E04463"/>
    <w:rsid w:val="00E044C9"/>
    <w:rsid w:val="00E044E0"/>
    <w:rsid w:val="00E0451A"/>
    <w:rsid w:val="00E045E0"/>
    <w:rsid w:val="00E04655"/>
    <w:rsid w:val="00E04681"/>
    <w:rsid w:val="00E046AC"/>
    <w:rsid w:val="00E04781"/>
    <w:rsid w:val="00E0491C"/>
    <w:rsid w:val="00E04A3B"/>
    <w:rsid w:val="00E04A83"/>
    <w:rsid w:val="00E04B74"/>
    <w:rsid w:val="00E04B7E"/>
    <w:rsid w:val="00E04BD7"/>
    <w:rsid w:val="00E04BE8"/>
    <w:rsid w:val="00E04CC3"/>
    <w:rsid w:val="00E04D93"/>
    <w:rsid w:val="00E04E7B"/>
    <w:rsid w:val="00E0500C"/>
    <w:rsid w:val="00E05092"/>
    <w:rsid w:val="00E050D5"/>
    <w:rsid w:val="00E05191"/>
    <w:rsid w:val="00E051A6"/>
    <w:rsid w:val="00E05230"/>
    <w:rsid w:val="00E0574E"/>
    <w:rsid w:val="00E057F5"/>
    <w:rsid w:val="00E05A1B"/>
    <w:rsid w:val="00E05B15"/>
    <w:rsid w:val="00E05B2A"/>
    <w:rsid w:val="00E05DE9"/>
    <w:rsid w:val="00E05E5D"/>
    <w:rsid w:val="00E05E88"/>
    <w:rsid w:val="00E05EC3"/>
    <w:rsid w:val="00E05FCC"/>
    <w:rsid w:val="00E0604F"/>
    <w:rsid w:val="00E0606C"/>
    <w:rsid w:val="00E060FA"/>
    <w:rsid w:val="00E06269"/>
    <w:rsid w:val="00E063A7"/>
    <w:rsid w:val="00E0656E"/>
    <w:rsid w:val="00E0657F"/>
    <w:rsid w:val="00E06675"/>
    <w:rsid w:val="00E066C8"/>
    <w:rsid w:val="00E069BF"/>
    <w:rsid w:val="00E06AC1"/>
    <w:rsid w:val="00E06C5D"/>
    <w:rsid w:val="00E06CC9"/>
    <w:rsid w:val="00E06E87"/>
    <w:rsid w:val="00E06E92"/>
    <w:rsid w:val="00E06F06"/>
    <w:rsid w:val="00E06F8B"/>
    <w:rsid w:val="00E06FBF"/>
    <w:rsid w:val="00E072CD"/>
    <w:rsid w:val="00E07720"/>
    <w:rsid w:val="00E0773B"/>
    <w:rsid w:val="00E078E1"/>
    <w:rsid w:val="00E07917"/>
    <w:rsid w:val="00E079A3"/>
    <w:rsid w:val="00E07A1A"/>
    <w:rsid w:val="00E07A62"/>
    <w:rsid w:val="00E07D4B"/>
    <w:rsid w:val="00E10019"/>
    <w:rsid w:val="00E10575"/>
    <w:rsid w:val="00E10809"/>
    <w:rsid w:val="00E10822"/>
    <w:rsid w:val="00E10A1A"/>
    <w:rsid w:val="00E10B50"/>
    <w:rsid w:val="00E10C25"/>
    <w:rsid w:val="00E10E12"/>
    <w:rsid w:val="00E10E4C"/>
    <w:rsid w:val="00E10F1F"/>
    <w:rsid w:val="00E11005"/>
    <w:rsid w:val="00E11035"/>
    <w:rsid w:val="00E11079"/>
    <w:rsid w:val="00E1135B"/>
    <w:rsid w:val="00E11508"/>
    <w:rsid w:val="00E11599"/>
    <w:rsid w:val="00E115C3"/>
    <w:rsid w:val="00E1169A"/>
    <w:rsid w:val="00E1178B"/>
    <w:rsid w:val="00E117A3"/>
    <w:rsid w:val="00E11816"/>
    <w:rsid w:val="00E11867"/>
    <w:rsid w:val="00E118E8"/>
    <w:rsid w:val="00E119AA"/>
    <w:rsid w:val="00E11A25"/>
    <w:rsid w:val="00E11B2A"/>
    <w:rsid w:val="00E11CB8"/>
    <w:rsid w:val="00E1200D"/>
    <w:rsid w:val="00E120F0"/>
    <w:rsid w:val="00E120F7"/>
    <w:rsid w:val="00E12284"/>
    <w:rsid w:val="00E122C6"/>
    <w:rsid w:val="00E122CA"/>
    <w:rsid w:val="00E12477"/>
    <w:rsid w:val="00E126F9"/>
    <w:rsid w:val="00E1275A"/>
    <w:rsid w:val="00E128C2"/>
    <w:rsid w:val="00E128E7"/>
    <w:rsid w:val="00E12A8B"/>
    <w:rsid w:val="00E12CE4"/>
    <w:rsid w:val="00E12D1D"/>
    <w:rsid w:val="00E12E6E"/>
    <w:rsid w:val="00E12E81"/>
    <w:rsid w:val="00E130EB"/>
    <w:rsid w:val="00E13188"/>
    <w:rsid w:val="00E135A0"/>
    <w:rsid w:val="00E135AB"/>
    <w:rsid w:val="00E135E5"/>
    <w:rsid w:val="00E136E3"/>
    <w:rsid w:val="00E1381F"/>
    <w:rsid w:val="00E1383D"/>
    <w:rsid w:val="00E139E7"/>
    <w:rsid w:val="00E13A4C"/>
    <w:rsid w:val="00E13A5E"/>
    <w:rsid w:val="00E13E7B"/>
    <w:rsid w:val="00E13F5B"/>
    <w:rsid w:val="00E13FF2"/>
    <w:rsid w:val="00E1400F"/>
    <w:rsid w:val="00E140C2"/>
    <w:rsid w:val="00E1410F"/>
    <w:rsid w:val="00E14222"/>
    <w:rsid w:val="00E1428E"/>
    <w:rsid w:val="00E142E7"/>
    <w:rsid w:val="00E14403"/>
    <w:rsid w:val="00E14441"/>
    <w:rsid w:val="00E14495"/>
    <w:rsid w:val="00E14662"/>
    <w:rsid w:val="00E1474E"/>
    <w:rsid w:val="00E148BE"/>
    <w:rsid w:val="00E148F6"/>
    <w:rsid w:val="00E14B3F"/>
    <w:rsid w:val="00E14B5F"/>
    <w:rsid w:val="00E14B6D"/>
    <w:rsid w:val="00E14C1D"/>
    <w:rsid w:val="00E14C3F"/>
    <w:rsid w:val="00E14CE0"/>
    <w:rsid w:val="00E14F51"/>
    <w:rsid w:val="00E14FC7"/>
    <w:rsid w:val="00E15080"/>
    <w:rsid w:val="00E15236"/>
    <w:rsid w:val="00E15418"/>
    <w:rsid w:val="00E15495"/>
    <w:rsid w:val="00E1549C"/>
    <w:rsid w:val="00E15647"/>
    <w:rsid w:val="00E156E1"/>
    <w:rsid w:val="00E1574F"/>
    <w:rsid w:val="00E1577C"/>
    <w:rsid w:val="00E15811"/>
    <w:rsid w:val="00E15A8F"/>
    <w:rsid w:val="00E15B87"/>
    <w:rsid w:val="00E15D1F"/>
    <w:rsid w:val="00E15D97"/>
    <w:rsid w:val="00E15DEC"/>
    <w:rsid w:val="00E15E7E"/>
    <w:rsid w:val="00E15E9C"/>
    <w:rsid w:val="00E15ED5"/>
    <w:rsid w:val="00E15F75"/>
    <w:rsid w:val="00E16197"/>
    <w:rsid w:val="00E161BA"/>
    <w:rsid w:val="00E161C7"/>
    <w:rsid w:val="00E162B1"/>
    <w:rsid w:val="00E1639C"/>
    <w:rsid w:val="00E163E1"/>
    <w:rsid w:val="00E1642A"/>
    <w:rsid w:val="00E164EB"/>
    <w:rsid w:val="00E1655C"/>
    <w:rsid w:val="00E166F7"/>
    <w:rsid w:val="00E16840"/>
    <w:rsid w:val="00E16864"/>
    <w:rsid w:val="00E1688D"/>
    <w:rsid w:val="00E16972"/>
    <w:rsid w:val="00E169AF"/>
    <w:rsid w:val="00E16BBC"/>
    <w:rsid w:val="00E16CCA"/>
    <w:rsid w:val="00E16CFB"/>
    <w:rsid w:val="00E16DDE"/>
    <w:rsid w:val="00E170EE"/>
    <w:rsid w:val="00E17580"/>
    <w:rsid w:val="00E17697"/>
    <w:rsid w:val="00E1787E"/>
    <w:rsid w:val="00E179D5"/>
    <w:rsid w:val="00E17A6B"/>
    <w:rsid w:val="00E17B1F"/>
    <w:rsid w:val="00E17B27"/>
    <w:rsid w:val="00E17C96"/>
    <w:rsid w:val="00E17DAB"/>
    <w:rsid w:val="00E17DB3"/>
    <w:rsid w:val="00E17DE0"/>
    <w:rsid w:val="00E201AA"/>
    <w:rsid w:val="00E20418"/>
    <w:rsid w:val="00E20578"/>
    <w:rsid w:val="00E20670"/>
    <w:rsid w:val="00E20724"/>
    <w:rsid w:val="00E20746"/>
    <w:rsid w:val="00E20905"/>
    <w:rsid w:val="00E20A7F"/>
    <w:rsid w:val="00E20D73"/>
    <w:rsid w:val="00E20EFD"/>
    <w:rsid w:val="00E21045"/>
    <w:rsid w:val="00E2107D"/>
    <w:rsid w:val="00E210EC"/>
    <w:rsid w:val="00E21115"/>
    <w:rsid w:val="00E211A4"/>
    <w:rsid w:val="00E21304"/>
    <w:rsid w:val="00E214C7"/>
    <w:rsid w:val="00E214CF"/>
    <w:rsid w:val="00E21597"/>
    <w:rsid w:val="00E215F6"/>
    <w:rsid w:val="00E21607"/>
    <w:rsid w:val="00E21619"/>
    <w:rsid w:val="00E217A4"/>
    <w:rsid w:val="00E21AD6"/>
    <w:rsid w:val="00E21B44"/>
    <w:rsid w:val="00E21B5D"/>
    <w:rsid w:val="00E21B73"/>
    <w:rsid w:val="00E21BAB"/>
    <w:rsid w:val="00E21CBF"/>
    <w:rsid w:val="00E21F06"/>
    <w:rsid w:val="00E220D4"/>
    <w:rsid w:val="00E221E2"/>
    <w:rsid w:val="00E22457"/>
    <w:rsid w:val="00E22589"/>
    <w:rsid w:val="00E22629"/>
    <w:rsid w:val="00E228CE"/>
    <w:rsid w:val="00E2290A"/>
    <w:rsid w:val="00E229A9"/>
    <w:rsid w:val="00E22A08"/>
    <w:rsid w:val="00E22B24"/>
    <w:rsid w:val="00E22B48"/>
    <w:rsid w:val="00E22B49"/>
    <w:rsid w:val="00E22BD1"/>
    <w:rsid w:val="00E22BF6"/>
    <w:rsid w:val="00E22D12"/>
    <w:rsid w:val="00E22D18"/>
    <w:rsid w:val="00E22D50"/>
    <w:rsid w:val="00E22E5B"/>
    <w:rsid w:val="00E22FAB"/>
    <w:rsid w:val="00E2311C"/>
    <w:rsid w:val="00E23170"/>
    <w:rsid w:val="00E2325B"/>
    <w:rsid w:val="00E232CA"/>
    <w:rsid w:val="00E235B0"/>
    <w:rsid w:val="00E236C5"/>
    <w:rsid w:val="00E23A0A"/>
    <w:rsid w:val="00E23AC3"/>
    <w:rsid w:val="00E23BCE"/>
    <w:rsid w:val="00E23CCC"/>
    <w:rsid w:val="00E23D87"/>
    <w:rsid w:val="00E23E66"/>
    <w:rsid w:val="00E24209"/>
    <w:rsid w:val="00E2433A"/>
    <w:rsid w:val="00E243BC"/>
    <w:rsid w:val="00E244DF"/>
    <w:rsid w:val="00E2468A"/>
    <w:rsid w:val="00E246A0"/>
    <w:rsid w:val="00E2476D"/>
    <w:rsid w:val="00E24831"/>
    <w:rsid w:val="00E24C95"/>
    <w:rsid w:val="00E24CC7"/>
    <w:rsid w:val="00E24DEF"/>
    <w:rsid w:val="00E24E0C"/>
    <w:rsid w:val="00E24FB2"/>
    <w:rsid w:val="00E25023"/>
    <w:rsid w:val="00E25049"/>
    <w:rsid w:val="00E250C6"/>
    <w:rsid w:val="00E250D0"/>
    <w:rsid w:val="00E25142"/>
    <w:rsid w:val="00E252AC"/>
    <w:rsid w:val="00E253CE"/>
    <w:rsid w:val="00E254AD"/>
    <w:rsid w:val="00E255E9"/>
    <w:rsid w:val="00E2561C"/>
    <w:rsid w:val="00E2573A"/>
    <w:rsid w:val="00E2574F"/>
    <w:rsid w:val="00E258DB"/>
    <w:rsid w:val="00E25A43"/>
    <w:rsid w:val="00E25B4B"/>
    <w:rsid w:val="00E25B5E"/>
    <w:rsid w:val="00E25B8C"/>
    <w:rsid w:val="00E25C05"/>
    <w:rsid w:val="00E25C2F"/>
    <w:rsid w:val="00E25C90"/>
    <w:rsid w:val="00E25DAD"/>
    <w:rsid w:val="00E25DB7"/>
    <w:rsid w:val="00E25DDC"/>
    <w:rsid w:val="00E25F77"/>
    <w:rsid w:val="00E261C8"/>
    <w:rsid w:val="00E26211"/>
    <w:rsid w:val="00E26279"/>
    <w:rsid w:val="00E262BC"/>
    <w:rsid w:val="00E2658D"/>
    <w:rsid w:val="00E26866"/>
    <w:rsid w:val="00E26893"/>
    <w:rsid w:val="00E26AA0"/>
    <w:rsid w:val="00E26B5C"/>
    <w:rsid w:val="00E26C99"/>
    <w:rsid w:val="00E26CB6"/>
    <w:rsid w:val="00E26CDC"/>
    <w:rsid w:val="00E27051"/>
    <w:rsid w:val="00E27109"/>
    <w:rsid w:val="00E2710D"/>
    <w:rsid w:val="00E271A9"/>
    <w:rsid w:val="00E277DD"/>
    <w:rsid w:val="00E278ED"/>
    <w:rsid w:val="00E27B3C"/>
    <w:rsid w:val="00E27C18"/>
    <w:rsid w:val="00E27DB9"/>
    <w:rsid w:val="00E27E39"/>
    <w:rsid w:val="00E27E93"/>
    <w:rsid w:val="00E301E2"/>
    <w:rsid w:val="00E30203"/>
    <w:rsid w:val="00E30231"/>
    <w:rsid w:val="00E30271"/>
    <w:rsid w:val="00E30348"/>
    <w:rsid w:val="00E3038D"/>
    <w:rsid w:val="00E303CD"/>
    <w:rsid w:val="00E30474"/>
    <w:rsid w:val="00E30544"/>
    <w:rsid w:val="00E3059D"/>
    <w:rsid w:val="00E305B2"/>
    <w:rsid w:val="00E30621"/>
    <w:rsid w:val="00E3068F"/>
    <w:rsid w:val="00E30739"/>
    <w:rsid w:val="00E3076A"/>
    <w:rsid w:val="00E307A3"/>
    <w:rsid w:val="00E308CB"/>
    <w:rsid w:val="00E309F5"/>
    <w:rsid w:val="00E30A26"/>
    <w:rsid w:val="00E30A2D"/>
    <w:rsid w:val="00E30AD3"/>
    <w:rsid w:val="00E30C2F"/>
    <w:rsid w:val="00E30D00"/>
    <w:rsid w:val="00E30E76"/>
    <w:rsid w:val="00E30F50"/>
    <w:rsid w:val="00E30FBE"/>
    <w:rsid w:val="00E311BD"/>
    <w:rsid w:val="00E31261"/>
    <w:rsid w:val="00E315F5"/>
    <w:rsid w:val="00E3184D"/>
    <w:rsid w:val="00E318EA"/>
    <w:rsid w:val="00E31A6B"/>
    <w:rsid w:val="00E31C2B"/>
    <w:rsid w:val="00E3222F"/>
    <w:rsid w:val="00E32678"/>
    <w:rsid w:val="00E326E4"/>
    <w:rsid w:val="00E32858"/>
    <w:rsid w:val="00E32957"/>
    <w:rsid w:val="00E32AF4"/>
    <w:rsid w:val="00E32BDE"/>
    <w:rsid w:val="00E32CB7"/>
    <w:rsid w:val="00E32DAB"/>
    <w:rsid w:val="00E32FCB"/>
    <w:rsid w:val="00E32FFA"/>
    <w:rsid w:val="00E330A7"/>
    <w:rsid w:val="00E3333C"/>
    <w:rsid w:val="00E333B3"/>
    <w:rsid w:val="00E335DA"/>
    <w:rsid w:val="00E335F9"/>
    <w:rsid w:val="00E33667"/>
    <w:rsid w:val="00E33748"/>
    <w:rsid w:val="00E33833"/>
    <w:rsid w:val="00E33849"/>
    <w:rsid w:val="00E33937"/>
    <w:rsid w:val="00E33B8C"/>
    <w:rsid w:val="00E33C47"/>
    <w:rsid w:val="00E33C9F"/>
    <w:rsid w:val="00E33D04"/>
    <w:rsid w:val="00E33EBB"/>
    <w:rsid w:val="00E33F34"/>
    <w:rsid w:val="00E341E8"/>
    <w:rsid w:val="00E342FB"/>
    <w:rsid w:val="00E34361"/>
    <w:rsid w:val="00E343A0"/>
    <w:rsid w:val="00E344C6"/>
    <w:rsid w:val="00E34569"/>
    <w:rsid w:val="00E3458F"/>
    <w:rsid w:val="00E34594"/>
    <w:rsid w:val="00E345A6"/>
    <w:rsid w:val="00E34683"/>
    <w:rsid w:val="00E34711"/>
    <w:rsid w:val="00E34830"/>
    <w:rsid w:val="00E34841"/>
    <w:rsid w:val="00E3492D"/>
    <w:rsid w:val="00E349BB"/>
    <w:rsid w:val="00E34EF5"/>
    <w:rsid w:val="00E34F20"/>
    <w:rsid w:val="00E34FDA"/>
    <w:rsid w:val="00E350E7"/>
    <w:rsid w:val="00E35151"/>
    <w:rsid w:val="00E3515E"/>
    <w:rsid w:val="00E3544D"/>
    <w:rsid w:val="00E35764"/>
    <w:rsid w:val="00E35B8F"/>
    <w:rsid w:val="00E35C36"/>
    <w:rsid w:val="00E35CEF"/>
    <w:rsid w:val="00E35E25"/>
    <w:rsid w:val="00E35EF8"/>
    <w:rsid w:val="00E3605B"/>
    <w:rsid w:val="00E36243"/>
    <w:rsid w:val="00E362BA"/>
    <w:rsid w:val="00E36300"/>
    <w:rsid w:val="00E36548"/>
    <w:rsid w:val="00E36636"/>
    <w:rsid w:val="00E366E6"/>
    <w:rsid w:val="00E368D7"/>
    <w:rsid w:val="00E368D9"/>
    <w:rsid w:val="00E369B2"/>
    <w:rsid w:val="00E36D49"/>
    <w:rsid w:val="00E3718F"/>
    <w:rsid w:val="00E3719D"/>
    <w:rsid w:val="00E37207"/>
    <w:rsid w:val="00E37348"/>
    <w:rsid w:val="00E37540"/>
    <w:rsid w:val="00E37571"/>
    <w:rsid w:val="00E375D1"/>
    <w:rsid w:val="00E3774E"/>
    <w:rsid w:val="00E3789F"/>
    <w:rsid w:val="00E37A91"/>
    <w:rsid w:val="00E37B04"/>
    <w:rsid w:val="00E37BE9"/>
    <w:rsid w:val="00E37BF9"/>
    <w:rsid w:val="00E37E0A"/>
    <w:rsid w:val="00E37F0F"/>
    <w:rsid w:val="00E37F99"/>
    <w:rsid w:val="00E37FCD"/>
    <w:rsid w:val="00E400B4"/>
    <w:rsid w:val="00E4010E"/>
    <w:rsid w:val="00E402D6"/>
    <w:rsid w:val="00E4032E"/>
    <w:rsid w:val="00E40524"/>
    <w:rsid w:val="00E40946"/>
    <w:rsid w:val="00E40B52"/>
    <w:rsid w:val="00E40B63"/>
    <w:rsid w:val="00E40C15"/>
    <w:rsid w:val="00E40C4F"/>
    <w:rsid w:val="00E40C7D"/>
    <w:rsid w:val="00E40F3F"/>
    <w:rsid w:val="00E40F7C"/>
    <w:rsid w:val="00E41051"/>
    <w:rsid w:val="00E41054"/>
    <w:rsid w:val="00E4107E"/>
    <w:rsid w:val="00E412F8"/>
    <w:rsid w:val="00E4161A"/>
    <w:rsid w:val="00E41655"/>
    <w:rsid w:val="00E41AD2"/>
    <w:rsid w:val="00E41B88"/>
    <w:rsid w:val="00E41C56"/>
    <w:rsid w:val="00E41C9F"/>
    <w:rsid w:val="00E41FCE"/>
    <w:rsid w:val="00E42026"/>
    <w:rsid w:val="00E42124"/>
    <w:rsid w:val="00E42136"/>
    <w:rsid w:val="00E421C2"/>
    <w:rsid w:val="00E4229B"/>
    <w:rsid w:val="00E4247F"/>
    <w:rsid w:val="00E42580"/>
    <w:rsid w:val="00E4266F"/>
    <w:rsid w:val="00E42737"/>
    <w:rsid w:val="00E427AF"/>
    <w:rsid w:val="00E42963"/>
    <w:rsid w:val="00E42DC5"/>
    <w:rsid w:val="00E42EA0"/>
    <w:rsid w:val="00E42F5C"/>
    <w:rsid w:val="00E431C8"/>
    <w:rsid w:val="00E43360"/>
    <w:rsid w:val="00E4361A"/>
    <w:rsid w:val="00E438D7"/>
    <w:rsid w:val="00E43B04"/>
    <w:rsid w:val="00E43D9A"/>
    <w:rsid w:val="00E43E3A"/>
    <w:rsid w:val="00E43EEA"/>
    <w:rsid w:val="00E43F17"/>
    <w:rsid w:val="00E4422E"/>
    <w:rsid w:val="00E442EE"/>
    <w:rsid w:val="00E44311"/>
    <w:rsid w:val="00E4449F"/>
    <w:rsid w:val="00E44515"/>
    <w:rsid w:val="00E44558"/>
    <w:rsid w:val="00E4482A"/>
    <w:rsid w:val="00E44889"/>
    <w:rsid w:val="00E449F8"/>
    <w:rsid w:val="00E44A24"/>
    <w:rsid w:val="00E44A79"/>
    <w:rsid w:val="00E44B00"/>
    <w:rsid w:val="00E44B09"/>
    <w:rsid w:val="00E44BA5"/>
    <w:rsid w:val="00E44BEE"/>
    <w:rsid w:val="00E44DB6"/>
    <w:rsid w:val="00E44E2C"/>
    <w:rsid w:val="00E45218"/>
    <w:rsid w:val="00E453BA"/>
    <w:rsid w:val="00E454E8"/>
    <w:rsid w:val="00E4553D"/>
    <w:rsid w:val="00E45544"/>
    <w:rsid w:val="00E45658"/>
    <w:rsid w:val="00E4578E"/>
    <w:rsid w:val="00E457F9"/>
    <w:rsid w:val="00E4582B"/>
    <w:rsid w:val="00E459C1"/>
    <w:rsid w:val="00E459CC"/>
    <w:rsid w:val="00E45A0B"/>
    <w:rsid w:val="00E45AA0"/>
    <w:rsid w:val="00E45B48"/>
    <w:rsid w:val="00E45CAB"/>
    <w:rsid w:val="00E45DB9"/>
    <w:rsid w:val="00E45DF3"/>
    <w:rsid w:val="00E45ED9"/>
    <w:rsid w:val="00E45FB8"/>
    <w:rsid w:val="00E46166"/>
    <w:rsid w:val="00E4619B"/>
    <w:rsid w:val="00E462A9"/>
    <w:rsid w:val="00E4637C"/>
    <w:rsid w:val="00E4652A"/>
    <w:rsid w:val="00E46573"/>
    <w:rsid w:val="00E46605"/>
    <w:rsid w:val="00E46858"/>
    <w:rsid w:val="00E46881"/>
    <w:rsid w:val="00E4689E"/>
    <w:rsid w:val="00E46AAE"/>
    <w:rsid w:val="00E46B73"/>
    <w:rsid w:val="00E46BD2"/>
    <w:rsid w:val="00E46C6A"/>
    <w:rsid w:val="00E46D5D"/>
    <w:rsid w:val="00E46DB4"/>
    <w:rsid w:val="00E47049"/>
    <w:rsid w:val="00E47065"/>
    <w:rsid w:val="00E4716A"/>
    <w:rsid w:val="00E47173"/>
    <w:rsid w:val="00E47210"/>
    <w:rsid w:val="00E47278"/>
    <w:rsid w:val="00E4739C"/>
    <w:rsid w:val="00E4744D"/>
    <w:rsid w:val="00E47487"/>
    <w:rsid w:val="00E476A5"/>
    <w:rsid w:val="00E479F4"/>
    <w:rsid w:val="00E47CD6"/>
    <w:rsid w:val="00E47DCE"/>
    <w:rsid w:val="00E47DE5"/>
    <w:rsid w:val="00E47E73"/>
    <w:rsid w:val="00E47EF7"/>
    <w:rsid w:val="00E47F2A"/>
    <w:rsid w:val="00E47FB0"/>
    <w:rsid w:val="00E50012"/>
    <w:rsid w:val="00E5007D"/>
    <w:rsid w:val="00E500F5"/>
    <w:rsid w:val="00E500FF"/>
    <w:rsid w:val="00E5022B"/>
    <w:rsid w:val="00E50493"/>
    <w:rsid w:val="00E50634"/>
    <w:rsid w:val="00E50789"/>
    <w:rsid w:val="00E508CC"/>
    <w:rsid w:val="00E50B96"/>
    <w:rsid w:val="00E50BC8"/>
    <w:rsid w:val="00E50CE8"/>
    <w:rsid w:val="00E50FCC"/>
    <w:rsid w:val="00E51216"/>
    <w:rsid w:val="00E51230"/>
    <w:rsid w:val="00E51282"/>
    <w:rsid w:val="00E51423"/>
    <w:rsid w:val="00E5156D"/>
    <w:rsid w:val="00E515E3"/>
    <w:rsid w:val="00E51CCC"/>
    <w:rsid w:val="00E51D52"/>
    <w:rsid w:val="00E51D5A"/>
    <w:rsid w:val="00E51EEF"/>
    <w:rsid w:val="00E522C4"/>
    <w:rsid w:val="00E522FA"/>
    <w:rsid w:val="00E5256A"/>
    <w:rsid w:val="00E52818"/>
    <w:rsid w:val="00E528AB"/>
    <w:rsid w:val="00E5293B"/>
    <w:rsid w:val="00E529CC"/>
    <w:rsid w:val="00E52E64"/>
    <w:rsid w:val="00E52FDB"/>
    <w:rsid w:val="00E532E5"/>
    <w:rsid w:val="00E5344E"/>
    <w:rsid w:val="00E53471"/>
    <w:rsid w:val="00E53474"/>
    <w:rsid w:val="00E53575"/>
    <w:rsid w:val="00E536DA"/>
    <w:rsid w:val="00E5376F"/>
    <w:rsid w:val="00E538C7"/>
    <w:rsid w:val="00E538D1"/>
    <w:rsid w:val="00E538FE"/>
    <w:rsid w:val="00E53AB8"/>
    <w:rsid w:val="00E53AFA"/>
    <w:rsid w:val="00E53B12"/>
    <w:rsid w:val="00E53BEB"/>
    <w:rsid w:val="00E53C4B"/>
    <w:rsid w:val="00E53C8F"/>
    <w:rsid w:val="00E53CA8"/>
    <w:rsid w:val="00E53CDD"/>
    <w:rsid w:val="00E53F36"/>
    <w:rsid w:val="00E53F4E"/>
    <w:rsid w:val="00E5400B"/>
    <w:rsid w:val="00E54065"/>
    <w:rsid w:val="00E5418D"/>
    <w:rsid w:val="00E544F3"/>
    <w:rsid w:val="00E54652"/>
    <w:rsid w:val="00E5466D"/>
    <w:rsid w:val="00E54AFF"/>
    <w:rsid w:val="00E54FF5"/>
    <w:rsid w:val="00E55105"/>
    <w:rsid w:val="00E5511C"/>
    <w:rsid w:val="00E5513F"/>
    <w:rsid w:val="00E5520B"/>
    <w:rsid w:val="00E5523F"/>
    <w:rsid w:val="00E55285"/>
    <w:rsid w:val="00E55436"/>
    <w:rsid w:val="00E55484"/>
    <w:rsid w:val="00E55499"/>
    <w:rsid w:val="00E5551B"/>
    <w:rsid w:val="00E55624"/>
    <w:rsid w:val="00E55761"/>
    <w:rsid w:val="00E55768"/>
    <w:rsid w:val="00E55770"/>
    <w:rsid w:val="00E5582D"/>
    <w:rsid w:val="00E559C4"/>
    <w:rsid w:val="00E55A91"/>
    <w:rsid w:val="00E55B4E"/>
    <w:rsid w:val="00E55B96"/>
    <w:rsid w:val="00E55CD8"/>
    <w:rsid w:val="00E55CE4"/>
    <w:rsid w:val="00E55D55"/>
    <w:rsid w:val="00E55EC2"/>
    <w:rsid w:val="00E55F08"/>
    <w:rsid w:val="00E55F27"/>
    <w:rsid w:val="00E55F6B"/>
    <w:rsid w:val="00E56114"/>
    <w:rsid w:val="00E561B5"/>
    <w:rsid w:val="00E5623A"/>
    <w:rsid w:val="00E5623D"/>
    <w:rsid w:val="00E5664B"/>
    <w:rsid w:val="00E5687F"/>
    <w:rsid w:val="00E56900"/>
    <w:rsid w:val="00E569D2"/>
    <w:rsid w:val="00E569F1"/>
    <w:rsid w:val="00E56B19"/>
    <w:rsid w:val="00E56CD8"/>
    <w:rsid w:val="00E56E3C"/>
    <w:rsid w:val="00E56ED7"/>
    <w:rsid w:val="00E56F93"/>
    <w:rsid w:val="00E56F97"/>
    <w:rsid w:val="00E56FD5"/>
    <w:rsid w:val="00E57405"/>
    <w:rsid w:val="00E57420"/>
    <w:rsid w:val="00E5747B"/>
    <w:rsid w:val="00E5759F"/>
    <w:rsid w:val="00E57747"/>
    <w:rsid w:val="00E5786D"/>
    <w:rsid w:val="00E57878"/>
    <w:rsid w:val="00E578AF"/>
    <w:rsid w:val="00E57A05"/>
    <w:rsid w:val="00E57B51"/>
    <w:rsid w:val="00E57CFE"/>
    <w:rsid w:val="00E57E2A"/>
    <w:rsid w:val="00E57F07"/>
    <w:rsid w:val="00E57F66"/>
    <w:rsid w:val="00E60002"/>
    <w:rsid w:val="00E600CB"/>
    <w:rsid w:val="00E6012A"/>
    <w:rsid w:val="00E601B1"/>
    <w:rsid w:val="00E601C8"/>
    <w:rsid w:val="00E604F5"/>
    <w:rsid w:val="00E60566"/>
    <w:rsid w:val="00E605AB"/>
    <w:rsid w:val="00E60871"/>
    <w:rsid w:val="00E608D2"/>
    <w:rsid w:val="00E60933"/>
    <w:rsid w:val="00E60AFB"/>
    <w:rsid w:val="00E60BB9"/>
    <w:rsid w:val="00E60C30"/>
    <w:rsid w:val="00E60C46"/>
    <w:rsid w:val="00E60CCC"/>
    <w:rsid w:val="00E60D1D"/>
    <w:rsid w:val="00E60EDC"/>
    <w:rsid w:val="00E6103C"/>
    <w:rsid w:val="00E6112C"/>
    <w:rsid w:val="00E6127C"/>
    <w:rsid w:val="00E6134A"/>
    <w:rsid w:val="00E613DA"/>
    <w:rsid w:val="00E6142A"/>
    <w:rsid w:val="00E6147B"/>
    <w:rsid w:val="00E6148B"/>
    <w:rsid w:val="00E614C6"/>
    <w:rsid w:val="00E614DB"/>
    <w:rsid w:val="00E6187C"/>
    <w:rsid w:val="00E6188B"/>
    <w:rsid w:val="00E6195E"/>
    <w:rsid w:val="00E61963"/>
    <w:rsid w:val="00E619CB"/>
    <w:rsid w:val="00E61AAB"/>
    <w:rsid w:val="00E61B10"/>
    <w:rsid w:val="00E61D1D"/>
    <w:rsid w:val="00E61D36"/>
    <w:rsid w:val="00E61DE6"/>
    <w:rsid w:val="00E61EC3"/>
    <w:rsid w:val="00E61EE1"/>
    <w:rsid w:val="00E61F07"/>
    <w:rsid w:val="00E61F70"/>
    <w:rsid w:val="00E620EB"/>
    <w:rsid w:val="00E6212B"/>
    <w:rsid w:val="00E621E3"/>
    <w:rsid w:val="00E621FC"/>
    <w:rsid w:val="00E622CB"/>
    <w:rsid w:val="00E62380"/>
    <w:rsid w:val="00E6281E"/>
    <w:rsid w:val="00E62866"/>
    <w:rsid w:val="00E62874"/>
    <w:rsid w:val="00E6290B"/>
    <w:rsid w:val="00E629BE"/>
    <w:rsid w:val="00E62B8C"/>
    <w:rsid w:val="00E62C00"/>
    <w:rsid w:val="00E62C5C"/>
    <w:rsid w:val="00E62ECB"/>
    <w:rsid w:val="00E63027"/>
    <w:rsid w:val="00E6325F"/>
    <w:rsid w:val="00E633EA"/>
    <w:rsid w:val="00E633FE"/>
    <w:rsid w:val="00E6364F"/>
    <w:rsid w:val="00E636B5"/>
    <w:rsid w:val="00E638DD"/>
    <w:rsid w:val="00E63907"/>
    <w:rsid w:val="00E63B01"/>
    <w:rsid w:val="00E63B3F"/>
    <w:rsid w:val="00E63B62"/>
    <w:rsid w:val="00E63D21"/>
    <w:rsid w:val="00E63D5F"/>
    <w:rsid w:val="00E63E05"/>
    <w:rsid w:val="00E64193"/>
    <w:rsid w:val="00E642BC"/>
    <w:rsid w:val="00E64307"/>
    <w:rsid w:val="00E64330"/>
    <w:rsid w:val="00E645EE"/>
    <w:rsid w:val="00E645FC"/>
    <w:rsid w:val="00E646BA"/>
    <w:rsid w:val="00E64717"/>
    <w:rsid w:val="00E64768"/>
    <w:rsid w:val="00E64848"/>
    <w:rsid w:val="00E6487E"/>
    <w:rsid w:val="00E648DB"/>
    <w:rsid w:val="00E64954"/>
    <w:rsid w:val="00E6495F"/>
    <w:rsid w:val="00E64985"/>
    <w:rsid w:val="00E64C1A"/>
    <w:rsid w:val="00E64C8F"/>
    <w:rsid w:val="00E64E68"/>
    <w:rsid w:val="00E64F41"/>
    <w:rsid w:val="00E650BD"/>
    <w:rsid w:val="00E65395"/>
    <w:rsid w:val="00E65435"/>
    <w:rsid w:val="00E65508"/>
    <w:rsid w:val="00E6578A"/>
    <w:rsid w:val="00E657A4"/>
    <w:rsid w:val="00E658F1"/>
    <w:rsid w:val="00E65A26"/>
    <w:rsid w:val="00E65AD2"/>
    <w:rsid w:val="00E65C13"/>
    <w:rsid w:val="00E65C19"/>
    <w:rsid w:val="00E65C99"/>
    <w:rsid w:val="00E65DE0"/>
    <w:rsid w:val="00E6603A"/>
    <w:rsid w:val="00E660A0"/>
    <w:rsid w:val="00E66106"/>
    <w:rsid w:val="00E661F7"/>
    <w:rsid w:val="00E66265"/>
    <w:rsid w:val="00E662C8"/>
    <w:rsid w:val="00E66300"/>
    <w:rsid w:val="00E66577"/>
    <w:rsid w:val="00E66673"/>
    <w:rsid w:val="00E6668F"/>
    <w:rsid w:val="00E666E7"/>
    <w:rsid w:val="00E6672B"/>
    <w:rsid w:val="00E6681D"/>
    <w:rsid w:val="00E66820"/>
    <w:rsid w:val="00E6693C"/>
    <w:rsid w:val="00E6698D"/>
    <w:rsid w:val="00E669DA"/>
    <w:rsid w:val="00E669F5"/>
    <w:rsid w:val="00E66AF3"/>
    <w:rsid w:val="00E66CF6"/>
    <w:rsid w:val="00E66D71"/>
    <w:rsid w:val="00E66F02"/>
    <w:rsid w:val="00E66F5D"/>
    <w:rsid w:val="00E66FEA"/>
    <w:rsid w:val="00E66FF4"/>
    <w:rsid w:val="00E671AF"/>
    <w:rsid w:val="00E67255"/>
    <w:rsid w:val="00E67406"/>
    <w:rsid w:val="00E6744D"/>
    <w:rsid w:val="00E67589"/>
    <w:rsid w:val="00E6764D"/>
    <w:rsid w:val="00E676FF"/>
    <w:rsid w:val="00E6791B"/>
    <w:rsid w:val="00E67A3A"/>
    <w:rsid w:val="00E67AA5"/>
    <w:rsid w:val="00E67C32"/>
    <w:rsid w:val="00E67C33"/>
    <w:rsid w:val="00E67DBE"/>
    <w:rsid w:val="00E67E68"/>
    <w:rsid w:val="00E70040"/>
    <w:rsid w:val="00E70123"/>
    <w:rsid w:val="00E7019E"/>
    <w:rsid w:val="00E7022F"/>
    <w:rsid w:val="00E70536"/>
    <w:rsid w:val="00E7062A"/>
    <w:rsid w:val="00E706C9"/>
    <w:rsid w:val="00E70868"/>
    <w:rsid w:val="00E70B0D"/>
    <w:rsid w:val="00E70CC5"/>
    <w:rsid w:val="00E70D62"/>
    <w:rsid w:val="00E70D63"/>
    <w:rsid w:val="00E70DE0"/>
    <w:rsid w:val="00E70DEB"/>
    <w:rsid w:val="00E70F56"/>
    <w:rsid w:val="00E71075"/>
    <w:rsid w:val="00E711CA"/>
    <w:rsid w:val="00E714F9"/>
    <w:rsid w:val="00E71558"/>
    <w:rsid w:val="00E7156E"/>
    <w:rsid w:val="00E7157C"/>
    <w:rsid w:val="00E71C49"/>
    <w:rsid w:val="00E71E2B"/>
    <w:rsid w:val="00E71EB4"/>
    <w:rsid w:val="00E71F0A"/>
    <w:rsid w:val="00E72154"/>
    <w:rsid w:val="00E721E7"/>
    <w:rsid w:val="00E7239F"/>
    <w:rsid w:val="00E726E8"/>
    <w:rsid w:val="00E7273C"/>
    <w:rsid w:val="00E728FA"/>
    <w:rsid w:val="00E72912"/>
    <w:rsid w:val="00E72A0E"/>
    <w:rsid w:val="00E72B68"/>
    <w:rsid w:val="00E72E33"/>
    <w:rsid w:val="00E72F4E"/>
    <w:rsid w:val="00E73424"/>
    <w:rsid w:val="00E73549"/>
    <w:rsid w:val="00E73662"/>
    <w:rsid w:val="00E7367D"/>
    <w:rsid w:val="00E738BC"/>
    <w:rsid w:val="00E738F7"/>
    <w:rsid w:val="00E73D77"/>
    <w:rsid w:val="00E73F39"/>
    <w:rsid w:val="00E73F6B"/>
    <w:rsid w:val="00E73FA7"/>
    <w:rsid w:val="00E743C4"/>
    <w:rsid w:val="00E74441"/>
    <w:rsid w:val="00E74443"/>
    <w:rsid w:val="00E74472"/>
    <w:rsid w:val="00E7479E"/>
    <w:rsid w:val="00E74889"/>
    <w:rsid w:val="00E74997"/>
    <w:rsid w:val="00E74BB9"/>
    <w:rsid w:val="00E74E42"/>
    <w:rsid w:val="00E74F2C"/>
    <w:rsid w:val="00E7502F"/>
    <w:rsid w:val="00E75044"/>
    <w:rsid w:val="00E75176"/>
    <w:rsid w:val="00E751E5"/>
    <w:rsid w:val="00E7531A"/>
    <w:rsid w:val="00E75380"/>
    <w:rsid w:val="00E753EA"/>
    <w:rsid w:val="00E7542B"/>
    <w:rsid w:val="00E7547E"/>
    <w:rsid w:val="00E7551D"/>
    <w:rsid w:val="00E756D6"/>
    <w:rsid w:val="00E7584F"/>
    <w:rsid w:val="00E75866"/>
    <w:rsid w:val="00E758B8"/>
    <w:rsid w:val="00E759D8"/>
    <w:rsid w:val="00E75A1F"/>
    <w:rsid w:val="00E75C13"/>
    <w:rsid w:val="00E75DF4"/>
    <w:rsid w:val="00E75E45"/>
    <w:rsid w:val="00E76042"/>
    <w:rsid w:val="00E7622B"/>
    <w:rsid w:val="00E762A4"/>
    <w:rsid w:val="00E763E2"/>
    <w:rsid w:val="00E7658B"/>
    <w:rsid w:val="00E76635"/>
    <w:rsid w:val="00E76875"/>
    <w:rsid w:val="00E76BF1"/>
    <w:rsid w:val="00E76C6A"/>
    <w:rsid w:val="00E76C8A"/>
    <w:rsid w:val="00E76E78"/>
    <w:rsid w:val="00E7741F"/>
    <w:rsid w:val="00E77462"/>
    <w:rsid w:val="00E774DA"/>
    <w:rsid w:val="00E774F7"/>
    <w:rsid w:val="00E77816"/>
    <w:rsid w:val="00E77855"/>
    <w:rsid w:val="00E7787C"/>
    <w:rsid w:val="00E779EA"/>
    <w:rsid w:val="00E779EC"/>
    <w:rsid w:val="00E77A26"/>
    <w:rsid w:val="00E77C6C"/>
    <w:rsid w:val="00E77D2A"/>
    <w:rsid w:val="00E77E86"/>
    <w:rsid w:val="00E77F34"/>
    <w:rsid w:val="00E77F80"/>
    <w:rsid w:val="00E80063"/>
    <w:rsid w:val="00E800A0"/>
    <w:rsid w:val="00E800FC"/>
    <w:rsid w:val="00E800FF"/>
    <w:rsid w:val="00E8015C"/>
    <w:rsid w:val="00E8024D"/>
    <w:rsid w:val="00E8033C"/>
    <w:rsid w:val="00E803BC"/>
    <w:rsid w:val="00E80583"/>
    <w:rsid w:val="00E80631"/>
    <w:rsid w:val="00E806AE"/>
    <w:rsid w:val="00E80711"/>
    <w:rsid w:val="00E8074D"/>
    <w:rsid w:val="00E8098F"/>
    <w:rsid w:val="00E80D05"/>
    <w:rsid w:val="00E80D19"/>
    <w:rsid w:val="00E80D3B"/>
    <w:rsid w:val="00E80FF5"/>
    <w:rsid w:val="00E81061"/>
    <w:rsid w:val="00E81071"/>
    <w:rsid w:val="00E81437"/>
    <w:rsid w:val="00E81447"/>
    <w:rsid w:val="00E814F9"/>
    <w:rsid w:val="00E815C4"/>
    <w:rsid w:val="00E815C9"/>
    <w:rsid w:val="00E815F0"/>
    <w:rsid w:val="00E81821"/>
    <w:rsid w:val="00E81A24"/>
    <w:rsid w:val="00E81B6D"/>
    <w:rsid w:val="00E81C8C"/>
    <w:rsid w:val="00E81C9A"/>
    <w:rsid w:val="00E81F8F"/>
    <w:rsid w:val="00E820AE"/>
    <w:rsid w:val="00E820F5"/>
    <w:rsid w:val="00E82423"/>
    <w:rsid w:val="00E824BA"/>
    <w:rsid w:val="00E825AF"/>
    <w:rsid w:val="00E82648"/>
    <w:rsid w:val="00E8278C"/>
    <w:rsid w:val="00E828C1"/>
    <w:rsid w:val="00E82903"/>
    <w:rsid w:val="00E82916"/>
    <w:rsid w:val="00E82988"/>
    <w:rsid w:val="00E8299B"/>
    <w:rsid w:val="00E82BA9"/>
    <w:rsid w:val="00E82BDE"/>
    <w:rsid w:val="00E82DB5"/>
    <w:rsid w:val="00E82DD4"/>
    <w:rsid w:val="00E82EF7"/>
    <w:rsid w:val="00E82F10"/>
    <w:rsid w:val="00E82F4F"/>
    <w:rsid w:val="00E82FA0"/>
    <w:rsid w:val="00E83134"/>
    <w:rsid w:val="00E831B9"/>
    <w:rsid w:val="00E831CE"/>
    <w:rsid w:val="00E83242"/>
    <w:rsid w:val="00E83284"/>
    <w:rsid w:val="00E832E2"/>
    <w:rsid w:val="00E83327"/>
    <w:rsid w:val="00E833E6"/>
    <w:rsid w:val="00E83526"/>
    <w:rsid w:val="00E8354B"/>
    <w:rsid w:val="00E8358E"/>
    <w:rsid w:val="00E83590"/>
    <w:rsid w:val="00E83611"/>
    <w:rsid w:val="00E83637"/>
    <w:rsid w:val="00E8365F"/>
    <w:rsid w:val="00E8383B"/>
    <w:rsid w:val="00E838AD"/>
    <w:rsid w:val="00E838C0"/>
    <w:rsid w:val="00E839C3"/>
    <w:rsid w:val="00E83A6C"/>
    <w:rsid w:val="00E83B2A"/>
    <w:rsid w:val="00E83BF1"/>
    <w:rsid w:val="00E83C36"/>
    <w:rsid w:val="00E83CB7"/>
    <w:rsid w:val="00E83D75"/>
    <w:rsid w:val="00E83DE6"/>
    <w:rsid w:val="00E83EFA"/>
    <w:rsid w:val="00E84073"/>
    <w:rsid w:val="00E840A4"/>
    <w:rsid w:val="00E840FD"/>
    <w:rsid w:val="00E84129"/>
    <w:rsid w:val="00E84171"/>
    <w:rsid w:val="00E84175"/>
    <w:rsid w:val="00E84320"/>
    <w:rsid w:val="00E84334"/>
    <w:rsid w:val="00E843E0"/>
    <w:rsid w:val="00E84483"/>
    <w:rsid w:val="00E844FB"/>
    <w:rsid w:val="00E84659"/>
    <w:rsid w:val="00E84663"/>
    <w:rsid w:val="00E84829"/>
    <w:rsid w:val="00E84A12"/>
    <w:rsid w:val="00E84A7D"/>
    <w:rsid w:val="00E84C11"/>
    <w:rsid w:val="00E84CDC"/>
    <w:rsid w:val="00E84E3A"/>
    <w:rsid w:val="00E8510B"/>
    <w:rsid w:val="00E853D9"/>
    <w:rsid w:val="00E85496"/>
    <w:rsid w:val="00E855E3"/>
    <w:rsid w:val="00E8560C"/>
    <w:rsid w:val="00E858A3"/>
    <w:rsid w:val="00E85B7B"/>
    <w:rsid w:val="00E85BD6"/>
    <w:rsid w:val="00E85CAC"/>
    <w:rsid w:val="00E85D26"/>
    <w:rsid w:val="00E8601A"/>
    <w:rsid w:val="00E86045"/>
    <w:rsid w:val="00E86059"/>
    <w:rsid w:val="00E86104"/>
    <w:rsid w:val="00E86310"/>
    <w:rsid w:val="00E864E9"/>
    <w:rsid w:val="00E8662C"/>
    <w:rsid w:val="00E86667"/>
    <w:rsid w:val="00E8684E"/>
    <w:rsid w:val="00E8690A"/>
    <w:rsid w:val="00E86B86"/>
    <w:rsid w:val="00E86E6E"/>
    <w:rsid w:val="00E8701C"/>
    <w:rsid w:val="00E872C0"/>
    <w:rsid w:val="00E872C4"/>
    <w:rsid w:val="00E872ED"/>
    <w:rsid w:val="00E87383"/>
    <w:rsid w:val="00E873F8"/>
    <w:rsid w:val="00E874E6"/>
    <w:rsid w:val="00E874F3"/>
    <w:rsid w:val="00E8751A"/>
    <w:rsid w:val="00E877D9"/>
    <w:rsid w:val="00E87802"/>
    <w:rsid w:val="00E8785F"/>
    <w:rsid w:val="00E87954"/>
    <w:rsid w:val="00E8797C"/>
    <w:rsid w:val="00E87ABC"/>
    <w:rsid w:val="00E87B78"/>
    <w:rsid w:val="00E87CA6"/>
    <w:rsid w:val="00E87F01"/>
    <w:rsid w:val="00E87F40"/>
    <w:rsid w:val="00E87F5D"/>
    <w:rsid w:val="00E9016C"/>
    <w:rsid w:val="00E90257"/>
    <w:rsid w:val="00E90294"/>
    <w:rsid w:val="00E902CC"/>
    <w:rsid w:val="00E90632"/>
    <w:rsid w:val="00E9074B"/>
    <w:rsid w:val="00E90887"/>
    <w:rsid w:val="00E909B1"/>
    <w:rsid w:val="00E90A5B"/>
    <w:rsid w:val="00E90C29"/>
    <w:rsid w:val="00E90C60"/>
    <w:rsid w:val="00E90C6F"/>
    <w:rsid w:val="00E912FD"/>
    <w:rsid w:val="00E91318"/>
    <w:rsid w:val="00E915B6"/>
    <w:rsid w:val="00E916A8"/>
    <w:rsid w:val="00E91929"/>
    <w:rsid w:val="00E91984"/>
    <w:rsid w:val="00E91A26"/>
    <w:rsid w:val="00E91BB4"/>
    <w:rsid w:val="00E91BD3"/>
    <w:rsid w:val="00E91DEA"/>
    <w:rsid w:val="00E91E4E"/>
    <w:rsid w:val="00E91F28"/>
    <w:rsid w:val="00E920AF"/>
    <w:rsid w:val="00E92117"/>
    <w:rsid w:val="00E921F0"/>
    <w:rsid w:val="00E92391"/>
    <w:rsid w:val="00E924DA"/>
    <w:rsid w:val="00E925B4"/>
    <w:rsid w:val="00E9262A"/>
    <w:rsid w:val="00E92671"/>
    <w:rsid w:val="00E92689"/>
    <w:rsid w:val="00E928E5"/>
    <w:rsid w:val="00E928ED"/>
    <w:rsid w:val="00E9293C"/>
    <w:rsid w:val="00E92AE8"/>
    <w:rsid w:val="00E92B2B"/>
    <w:rsid w:val="00E92B4E"/>
    <w:rsid w:val="00E92C74"/>
    <w:rsid w:val="00E92E25"/>
    <w:rsid w:val="00E92ED6"/>
    <w:rsid w:val="00E93046"/>
    <w:rsid w:val="00E9311C"/>
    <w:rsid w:val="00E931F6"/>
    <w:rsid w:val="00E9329D"/>
    <w:rsid w:val="00E932D8"/>
    <w:rsid w:val="00E933F9"/>
    <w:rsid w:val="00E9345D"/>
    <w:rsid w:val="00E934FA"/>
    <w:rsid w:val="00E93563"/>
    <w:rsid w:val="00E9368F"/>
    <w:rsid w:val="00E938DD"/>
    <w:rsid w:val="00E938F0"/>
    <w:rsid w:val="00E93B0E"/>
    <w:rsid w:val="00E93C0A"/>
    <w:rsid w:val="00E93D3D"/>
    <w:rsid w:val="00E93D80"/>
    <w:rsid w:val="00E93DC4"/>
    <w:rsid w:val="00E93DF7"/>
    <w:rsid w:val="00E93F52"/>
    <w:rsid w:val="00E94114"/>
    <w:rsid w:val="00E94175"/>
    <w:rsid w:val="00E941F9"/>
    <w:rsid w:val="00E943F5"/>
    <w:rsid w:val="00E9448D"/>
    <w:rsid w:val="00E94497"/>
    <w:rsid w:val="00E945DC"/>
    <w:rsid w:val="00E94C3E"/>
    <w:rsid w:val="00E94E71"/>
    <w:rsid w:val="00E94F8E"/>
    <w:rsid w:val="00E9508A"/>
    <w:rsid w:val="00E950E2"/>
    <w:rsid w:val="00E95301"/>
    <w:rsid w:val="00E953CE"/>
    <w:rsid w:val="00E954F5"/>
    <w:rsid w:val="00E9570C"/>
    <w:rsid w:val="00E95833"/>
    <w:rsid w:val="00E95866"/>
    <w:rsid w:val="00E95B6D"/>
    <w:rsid w:val="00E95C30"/>
    <w:rsid w:val="00E95C88"/>
    <w:rsid w:val="00E95CCD"/>
    <w:rsid w:val="00E95CE7"/>
    <w:rsid w:val="00E95D55"/>
    <w:rsid w:val="00E95EA3"/>
    <w:rsid w:val="00E9607A"/>
    <w:rsid w:val="00E960B3"/>
    <w:rsid w:val="00E9614C"/>
    <w:rsid w:val="00E96211"/>
    <w:rsid w:val="00E96252"/>
    <w:rsid w:val="00E964FF"/>
    <w:rsid w:val="00E965E6"/>
    <w:rsid w:val="00E9661D"/>
    <w:rsid w:val="00E96933"/>
    <w:rsid w:val="00E96AB2"/>
    <w:rsid w:val="00E96AC6"/>
    <w:rsid w:val="00E96B80"/>
    <w:rsid w:val="00E96B8E"/>
    <w:rsid w:val="00E96CCE"/>
    <w:rsid w:val="00E96D1E"/>
    <w:rsid w:val="00E96DBA"/>
    <w:rsid w:val="00E96E7B"/>
    <w:rsid w:val="00E96EB6"/>
    <w:rsid w:val="00E96ED4"/>
    <w:rsid w:val="00E96EE0"/>
    <w:rsid w:val="00E96F07"/>
    <w:rsid w:val="00E96F5E"/>
    <w:rsid w:val="00E97164"/>
    <w:rsid w:val="00E971C5"/>
    <w:rsid w:val="00E9740A"/>
    <w:rsid w:val="00E975A9"/>
    <w:rsid w:val="00E97600"/>
    <w:rsid w:val="00E97763"/>
    <w:rsid w:val="00E97C95"/>
    <w:rsid w:val="00E97D42"/>
    <w:rsid w:val="00E97D84"/>
    <w:rsid w:val="00E97F4D"/>
    <w:rsid w:val="00E97FCD"/>
    <w:rsid w:val="00E97FFB"/>
    <w:rsid w:val="00EA0022"/>
    <w:rsid w:val="00EA00A1"/>
    <w:rsid w:val="00EA016B"/>
    <w:rsid w:val="00EA0177"/>
    <w:rsid w:val="00EA0242"/>
    <w:rsid w:val="00EA04CD"/>
    <w:rsid w:val="00EA05C7"/>
    <w:rsid w:val="00EA068B"/>
    <w:rsid w:val="00EA07C8"/>
    <w:rsid w:val="00EA0809"/>
    <w:rsid w:val="00EA0966"/>
    <w:rsid w:val="00EA0A86"/>
    <w:rsid w:val="00EA0AA4"/>
    <w:rsid w:val="00EA0AAB"/>
    <w:rsid w:val="00EA0BBF"/>
    <w:rsid w:val="00EA0C80"/>
    <w:rsid w:val="00EA0DB0"/>
    <w:rsid w:val="00EA0FE2"/>
    <w:rsid w:val="00EA10F4"/>
    <w:rsid w:val="00EA1165"/>
    <w:rsid w:val="00EA11D1"/>
    <w:rsid w:val="00EA1216"/>
    <w:rsid w:val="00EA13F0"/>
    <w:rsid w:val="00EA1420"/>
    <w:rsid w:val="00EA160D"/>
    <w:rsid w:val="00EA1635"/>
    <w:rsid w:val="00EA1652"/>
    <w:rsid w:val="00EA1784"/>
    <w:rsid w:val="00EA18C0"/>
    <w:rsid w:val="00EA1C76"/>
    <w:rsid w:val="00EA1CF6"/>
    <w:rsid w:val="00EA1DE6"/>
    <w:rsid w:val="00EA1F4E"/>
    <w:rsid w:val="00EA2312"/>
    <w:rsid w:val="00EA23E8"/>
    <w:rsid w:val="00EA242F"/>
    <w:rsid w:val="00EA2534"/>
    <w:rsid w:val="00EA2590"/>
    <w:rsid w:val="00EA25A6"/>
    <w:rsid w:val="00EA27CA"/>
    <w:rsid w:val="00EA2A4D"/>
    <w:rsid w:val="00EA2A59"/>
    <w:rsid w:val="00EA2AEB"/>
    <w:rsid w:val="00EA2BF4"/>
    <w:rsid w:val="00EA2D33"/>
    <w:rsid w:val="00EA30B2"/>
    <w:rsid w:val="00EA30DF"/>
    <w:rsid w:val="00EA30F4"/>
    <w:rsid w:val="00EA3121"/>
    <w:rsid w:val="00EA31A2"/>
    <w:rsid w:val="00EA3204"/>
    <w:rsid w:val="00EA329E"/>
    <w:rsid w:val="00EA3502"/>
    <w:rsid w:val="00EA3563"/>
    <w:rsid w:val="00EA36D1"/>
    <w:rsid w:val="00EA36E5"/>
    <w:rsid w:val="00EA373A"/>
    <w:rsid w:val="00EA3BC6"/>
    <w:rsid w:val="00EA3C42"/>
    <w:rsid w:val="00EA3D6C"/>
    <w:rsid w:val="00EA3DF7"/>
    <w:rsid w:val="00EA3EFB"/>
    <w:rsid w:val="00EA3F28"/>
    <w:rsid w:val="00EA3FBE"/>
    <w:rsid w:val="00EA4197"/>
    <w:rsid w:val="00EA4295"/>
    <w:rsid w:val="00EA4309"/>
    <w:rsid w:val="00EA43B8"/>
    <w:rsid w:val="00EA456D"/>
    <w:rsid w:val="00EA457C"/>
    <w:rsid w:val="00EA4604"/>
    <w:rsid w:val="00EA4713"/>
    <w:rsid w:val="00EA476D"/>
    <w:rsid w:val="00EA4882"/>
    <w:rsid w:val="00EA49CC"/>
    <w:rsid w:val="00EA4B3C"/>
    <w:rsid w:val="00EA4EA6"/>
    <w:rsid w:val="00EA4F37"/>
    <w:rsid w:val="00EA5033"/>
    <w:rsid w:val="00EA50D4"/>
    <w:rsid w:val="00EA5125"/>
    <w:rsid w:val="00EA5222"/>
    <w:rsid w:val="00EA5244"/>
    <w:rsid w:val="00EA5248"/>
    <w:rsid w:val="00EA5251"/>
    <w:rsid w:val="00EA5276"/>
    <w:rsid w:val="00EA52E6"/>
    <w:rsid w:val="00EA5674"/>
    <w:rsid w:val="00EA56ED"/>
    <w:rsid w:val="00EA581E"/>
    <w:rsid w:val="00EA5872"/>
    <w:rsid w:val="00EA5949"/>
    <w:rsid w:val="00EA614B"/>
    <w:rsid w:val="00EA622C"/>
    <w:rsid w:val="00EA62AD"/>
    <w:rsid w:val="00EA62EF"/>
    <w:rsid w:val="00EA6638"/>
    <w:rsid w:val="00EA66B4"/>
    <w:rsid w:val="00EA6711"/>
    <w:rsid w:val="00EA689A"/>
    <w:rsid w:val="00EA693D"/>
    <w:rsid w:val="00EA6A71"/>
    <w:rsid w:val="00EA6B40"/>
    <w:rsid w:val="00EA6FA8"/>
    <w:rsid w:val="00EA7315"/>
    <w:rsid w:val="00EA7356"/>
    <w:rsid w:val="00EA756E"/>
    <w:rsid w:val="00EA75F5"/>
    <w:rsid w:val="00EA7687"/>
    <w:rsid w:val="00EA7753"/>
    <w:rsid w:val="00EA77B2"/>
    <w:rsid w:val="00EA7A5D"/>
    <w:rsid w:val="00EA7B10"/>
    <w:rsid w:val="00EA7E13"/>
    <w:rsid w:val="00EB01F4"/>
    <w:rsid w:val="00EB0277"/>
    <w:rsid w:val="00EB038F"/>
    <w:rsid w:val="00EB0481"/>
    <w:rsid w:val="00EB054B"/>
    <w:rsid w:val="00EB05BB"/>
    <w:rsid w:val="00EB05DA"/>
    <w:rsid w:val="00EB0613"/>
    <w:rsid w:val="00EB0687"/>
    <w:rsid w:val="00EB0895"/>
    <w:rsid w:val="00EB08B9"/>
    <w:rsid w:val="00EB09B4"/>
    <w:rsid w:val="00EB0B4F"/>
    <w:rsid w:val="00EB0EA6"/>
    <w:rsid w:val="00EB0EB2"/>
    <w:rsid w:val="00EB0F42"/>
    <w:rsid w:val="00EB1011"/>
    <w:rsid w:val="00EB118C"/>
    <w:rsid w:val="00EB11D3"/>
    <w:rsid w:val="00EB120C"/>
    <w:rsid w:val="00EB1394"/>
    <w:rsid w:val="00EB13B2"/>
    <w:rsid w:val="00EB145C"/>
    <w:rsid w:val="00EB147C"/>
    <w:rsid w:val="00EB1565"/>
    <w:rsid w:val="00EB1589"/>
    <w:rsid w:val="00EB175F"/>
    <w:rsid w:val="00EB1812"/>
    <w:rsid w:val="00EB18E7"/>
    <w:rsid w:val="00EB1980"/>
    <w:rsid w:val="00EB1C12"/>
    <w:rsid w:val="00EB1CB6"/>
    <w:rsid w:val="00EB1D4F"/>
    <w:rsid w:val="00EB1E27"/>
    <w:rsid w:val="00EB1E5D"/>
    <w:rsid w:val="00EB1ED1"/>
    <w:rsid w:val="00EB204D"/>
    <w:rsid w:val="00EB21EF"/>
    <w:rsid w:val="00EB2410"/>
    <w:rsid w:val="00EB2570"/>
    <w:rsid w:val="00EB29A5"/>
    <w:rsid w:val="00EB2A36"/>
    <w:rsid w:val="00EB2A94"/>
    <w:rsid w:val="00EB2ABA"/>
    <w:rsid w:val="00EB2C1C"/>
    <w:rsid w:val="00EB2C28"/>
    <w:rsid w:val="00EB2CBB"/>
    <w:rsid w:val="00EB2E69"/>
    <w:rsid w:val="00EB3067"/>
    <w:rsid w:val="00EB3162"/>
    <w:rsid w:val="00EB329C"/>
    <w:rsid w:val="00EB32B0"/>
    <w:rsid w:val="00EB3324"/>
    <w:rsid w:val="00EB3449"/>
    <w:rsid w:val="00EB3468"/>
    <w:rsid w:val="00EB359F"/>
    <w:rsid w:val="00EB35FE"/>
    <w:rsid w:val="00EB376A"/>
    <w:rsid w:val="00EB3840"/>
    <w:rsid w:val="00EB3899"/>
    <w:rsid w:val="00EB3D99"/>
    <w:rsid w:val="00EB3DE2"/>
    <w:rsid w:val="00EB3EA9"/>
    <w:rsid w:val="00EB3F46"/>
    <w:rsid w:val="00EB41E9"/>
    <w:rsid w:val="00EB4296"/>
    <w:rsid w:val="00EB429E"/>
    <w:rsid w:val="00EB434F"/>
    <w:rsid w:val="00EB4428"/>
    <w:rsid w:val="00EB442C"/>
    <w:rsid w:val="00EB443B"/>
    <w:rsid w:val="00EB4596"/>
    <w:rsid w:val="00EB4709"/>
    <w:rsid w:val="00EB486C"/>
    <w:rsid w:val="00EB4BCE"/>
    <w:rsid w:val="00EB4D88"/>
    <w:rsid w:val="00EB50E0"/>
    <w:rsid w:val="00EB5184"/>
    <w:rsid w:val="00EB51A5"/>
    <w:rsid w:val="00EB5355"/>
    <w:rsid w:val="00EB542F"/>
    <w:rsid w:val="00EB57E8"/>
    <w:rsid w:val="00EB594D"/>
    <w:rsid w:val="00EB5AEC"/>
    <w:rsid w:val="00EB5C69"/>
    <w:rsid w:val="00EB5DDE"/>
    <w:rsid w:val="00EB605B"/>
    <w:rsid w:val="00EB61F6"/>
    <w:rsid w:val="00EB6280"/>
    <w:rsid w:val="00EB6293"/>
    <w:rsid w:val="00EB62EB"/>
    <w:rsid w:val="00EB64DE"/>
    <w:rsid w:val="00EB650B"/>
    <w:rsid w:val="00EB66ED"/>
    <w:rsid w:val="00EB6772"/>
    <w:rsid w:val="00EB6840"/>
    <w:rsid w:val="00EB6AA3"/>
    <w:rsid w:val="00EB6B28"/>
    <w:rsid w:val="00EB6CC3"/>
    <w:rsid w:val="00EB6CFA"/>
    <w:rsid w:val="00EB6D2F"/>
    <w:rsid w:val="00EB6D83"/>
    <w:rsid w:val="00EB6DA4"/>
    <w:rsid w:val="00EB6E5F"/>
    <w:rsid w:val="00EB6EE9"/>
    <w:rsid w:val="00EB7048"/>
    <w:rsid w:val="00EB70E0"/>
    <w:rsid w:val="00EB717B"/>
    <w:rsid w:val="00EB7251"/>
    <w:rsid w:val="00EB7470"/>
    <w:rsid w:val="00EB74ED"/>
    <w:rsid w:val="00EB753A"/>
    <w:rsid w:val="00EB75E5"/>
    <w:rsid w:val="00EB76B5"/>
    <w:rsid w:val="00EB7748"/>
    <w:rsid w:val="00EB777C"/>
    <w:rsid w:val="00EB77F4"/>
    <w:rsid w:val="00EB78B0"/>
    <w:rsid w:val="00EB79ED"/>
    <w:rsid w:val="00EB7A3C"/>
    <w:rsid w:val="00EB7D33"/>
    <w:rsid w:val="00EB7F06"/>
    <w:rsid w:val="00EB7F10"/>
    <w:rsid w:val="00EB7F2B"/>
    <w:rsid w:val="00EB7F6B"/>
    <w:rsid w:val="00EB7FFD"/>
    <w:rsid w:val="00EC0056"/>
    <w:rsid w:val="00EC0285"/>
    <w:rsid w:val="00EC049C"/>
    <w:rsid w:val="00EC04A0"/>
    <w:rsid w:val="00EC0544"/>
    <w:rsid w:val="00EC05CD"/>
    <w:rsid w:val="00EC07F0"/>
    <w:rsid w:val="00EC0873"/>
    <w:rsid w:val="00EC08A7"/>
    <w:rsid w:val="00EC0A30"/>
    <w:rsid w:val="00EC0C2B"/>
    <w:rsid w:val="00EC0CFC"/>
    <w:rsid w:val="00EC0D7A"/>
    <w:rsid w:val="00EC0E95"/>
    <w:rsid w:val="00EC110B"/>
    <w:rsid w:val="00EC118B"/>
    <w:rsid w:val="00EC11CB"/>
    <w:rsid w:val="00EC1415"/>
    <w:rsid w:val="00EC143C"/>
    <w:rsid w:val="00EC151E"/>
    <w:rsid w:val="00EC164E"/>
    <w:rsid w:val="00EC193B"/>
    <w:rsid w:val="00EC1975"/>
    <w:rsid w:val="00EC1A38"/>
    <w:rsid w:val="00EC1B62"/>
    <w:rsid w:val="00EC1C14"/>
    <w:rsid w:val="00EC1C5C"/>
    <w:rsid w:val="00EC2050"/>
    <w:rsid w:val="00EC20A2"/>
    <w:rsid w:val="00EC214F"/>
    <w:rsid w:val="00EC2185"/>
    <w:rsid w:val="00EC21FC"/>
    <w:rsid w:val="00EC2502"/>
    <w:rsid w:val="00EC2549"/>
    <w:rsid w:val="00EC25E6"/>
    <w:rsid w:val="00EC261B"/>
    <w:rsid w:val="00EC2697"/>
    <w:rsid w:val="00EC275B"/>
    <w:rsid w:val="00EC2AEB"/>
    <w:rsid w:val="00EC2B75"/>
    <w:rsid w:val="00EC2E0D"/>
    <w:rsid w:val="00EC3145"/>
    <w:rsid w:val="00EC3247"/>
    <w:rsid w:val="00EC3249"/>
    <w:rsid w:val="00EC3274"/>
    <w:rsid w:val="00EC32CC"/>
    <w:rsid w:val="00EC32D9"/>
    <w:rsid w:val="00EC3318"/>
    <w:rsid w:val="00EC3441"/>
    <w:rsid w:val="00EC3538"/>
    <w:rsid w:val="00EC3998"/>
    <w:rsid w:val="00EC3ABD"/>
    <w:rsid w:val="00EC3AD8"/>
    <w:rsid w:val="00EC3EFA"/>
    <w:rsid w:val="00EC3F81"/>
    <w:rsid w:val="00EC4046"/>
    <w:rsid w:val="00EC407B"/>
    <w:rsid w:val="00EC423B"/>
    <w:rsid w:val="00EC426C"/>
    <w:rsid w:val="00EC4465"/>
    <w:rsid w:val="00EC4670"/>
    <w:rsid w:val="00EC46D6"/>
    <w:rsid w:val="00EC477C"/>
    <w:rsid w:val="00EC47E8"/>
    <w:rsid w:val="00EC48E5"/>
    <w:rsid w:val="00EC4911"/>
    <w:rsid w:val="00EC49C8"/>
    <w:rsid w:val="00EC49D5"/>
    <w:rsid w:val="00EC4A38"/>
    <w:rsid w:val="00EC4AB4"/>
    <w:rsid w:val="00EC4C4C"/>
    <w:rsid w:val="00EC4CAD"/>
    <w:rsid w:val="00EC5089"/>
    <w:rsid w:val="00EC5134"/>
    <w:rsid w:val="00EC5158"/>
    <w:rsid w:val="00EC5269"/>
    <w:rsid w:val="00EC5517"/>
    <w:rsid w:val="00EC5637"/>
    <w:rsid w:val="00EC5698"/>
    <w:rsid w:val="00EC599A"/>
    <w:rsid w:val="00EC5A34"/>
    <w:rsid w:val="00EC5FF5"/>
    <w:rsid w:val="00EC6115"/>
    <w:rsid w:val="00EC61C1"/>
    <w:rsid w:val="00EC61EE"/>
    <w:rsid w:val="00EC6311"/>
    <w:rsid w:val="00EC63FE"/>
    <w:rsid w:val="00EC65F4"/>
    <w:rsid w:val="00EC65FF"/>
    <w:rsid w:val="00EC6692"/>
    <w:rsid w:val="00EC6701"/>
    <w:rsid w:val="00EC674E"/>
    <w:rsid w:val="00EC6888"/>
    <w:rsid w:val="00EC6970"/>
    <w:rsid w:val="00EC699D"/>
    <w:rsid w:val="00EC6A1F"/>
    <w:rsid w:val="00EC6CB4"/>
    <w:rsid w:val="00EC6CDB"/>
    <w:rsid w:val="00EC6EAB"/>
    <w:rsid w:val="00EC6F63"/>
    <w:rsid w:val="00EC6F67"/>
    <w:rsid w:val="00EC6FDB"/>
    <w:rsid w:val="00EC7064"/>
    <w:rsid w:val="00EC70DE"/>
    <w:rsid w:val="00EC72D6"/>
    <w:rsid w:val="00EC7488"/>
    <w:rsid w:val="00EC749D"/>
    <w:rsid w:val="00EC754B"/>
    <w:rsid w:val="00EC7707"/>
    <w:rsid w:val="00EC776A"/>
    <w:rsid w:val="00EC780C"/>
    <w:rsid w:val="00EC798A"/>
    <w:rsid w:val="00EC7992"/>
    <w:rsid w:val="00EC7C9A"/>
    <w:rsid w:val="00EC7DC1"/>
    <w:rsid w:val="00EC7E6E"/>
    <w:rsid w:val="00EC7EA9"/>
    <w:rsid w:val="00EC7F2D"/>
    <w:rsid w:val="00EC7F63"/>
    <w:rsid w:val="00ED0124"/>
    <w:rsid w:val="00ED01CF"/>
    <w:rsid w:val="00ED01D7"/>
    <w:rsid w:val="00ED0329"/>
    <w:rsid w:val="00ED034C"/>
    <w:rsid w:val="00ED0594"/>
    <w:rsid w:val="00ED059C"/>
    <w:rsid w:val="00ED0648"/>
    <w:rsid w:val="00ED080E"/>
    <w:rsid w:val="00ED0CA3"/>
    <w:rsid w:val="00ED0D62"/>
    <w:rsid w:val="00ED0FA4"/>
    <w:rsid w:val="00ED1269"/>
    <w:rsid w:val="00ED13A7"/>
    <w:rsid w:val="00ED13F9"/>
    <w:rsid w:val="00ED1405"/>
    <w:rsid w:val="00ED143F"/>
    <w:rsid w:val="00ED146F"/>
    <w:rsid w:val="00ED1680"/>
    <w:rsid w:val="00ED1CEA"/>
    <w:rsid w:val="00ED1D59"/>
    <w:rsid w:val="00ED1ED0"/>
    <w:rsid w:val="00ED1F69"/>
    <w:rsid w:val="00ED1FB4"/>
    <w:rsid w:val="00ED1FB8"/>
    <w:rsid w:val="00ED2014"/>
    <w:rsid w:val="00ED2040"/>
    <w:rsid w:val="00ED23D1"/>
    <w:rsid w:val="00ED23FE"/>
    <w:rsid w:val="00ED2496"/>
    <w:rsid w:val="00ED27F1"/>
    <w:rsid w:val="00ED27FC"/>
    <w:rsid w:val="00ED2855"/>
    <w:rsid w:val="00ED29CA"/>
    <w:rsid w:val="00ED2AD4"/>
    <w:rsid w:val="00ED2DC2"/>
    <w:rsid w:val="00ED2F1A"/>
    <w:rsid w:val="00ED3002"/>
    <w:rsid w:val="00ED3046"/>
    <w:rsid w:val="00ED30DC"/>
    <w:rsid w:val="00ED32E5"/>
    <w:rsid w:val="00ED35FD"/>
    <w:rsid w:val="00ED3754"/>
    <w:rsid w:val="00ED38AD"/>
    <w:rsid w:val="00ED38D6"/>
    <w:rsid w:val="00ED3BE2"/>
    <w:rsid w:val="00ED3BF3"/>
    <w:rsid w:val="00ED3C05"/>
    <w:rsid w:val="00ED3EAC"/>
    <w:rsid w:val="00ED4067"/>
    <w:rsid w:val="00ED4069"/>
    <w:rsid w:val="00ED4196"/>
    <w:rsid w:val="00ED456A"/>
    <w:rsid w:val="00ED45A5"/>
    <w:rsid w:val="00ED4685"/>
    <w:rsid w:val="00ED476B"/>
    <w:rsid w:val="00ED48A5"/>
    <w:rsid w:val="00ED48DF"/>
    <w:rsid w:val="00ED4A26"/>
    <w:rsid w:val="00ED4B53"/>
    <w:rsid w:val="00ED4D1B"/>
    <w:rsid w:val="00ED4D7B"/>
    <w:rsid w:val="00ED4D91"/>
    <w:rsid w:val="00ED4E5B"/>
    <w:rsid w:val="00ED4E72"/>
    <w:rsid w:val="00ED4F10"/>
    <w:rsid w:val="00ED4F8F"/>
    <w:rsid w:val="00ED4F9C"/>
    <w:rsid w:val="00ED507B"/>
    <w:rsid w:val="00ED50CC"/>
    <w:rsid w:val="00ED5120"/>
    <w:rsid w:val="00ED5135"/>
    <w:rsid w:val="00ED55B3"/>
    <w:rsid w:val="00ED561B"/>
    <w:rsid w:val="00ED566B"/>
    <w:rsid w:val="00ED58AB"/>
    <w:rsid w:val="00ED5BA7"/>
    <w:rsid w:val="00ED5CF7"/>
    <w:rsid w:val="00ED5DB1"/>
    <w:rsid w:val="00ED6095"/>
    <w:rsid w:val="00ED6189"/>
    <w:rsid w:val="00ED61B3"/>
    <w:rsid w:val="00ED64B9"/>
    <w:rsid w:val="00ED64DD"/>
    <w:rsid w:val="00ED67F3"/>
    <w:rsid w:val="00ED6A64"/>
    <w:rsid w:val="00ED6AED"/>
    <w:rsid w:val="00ED6BB7"/>
    <w:rsid w:val="00ED6BDD"/>
    <w:rsid w:val="00ED6C59"/>
    <w:rsid w:val="00ED6C81"/>
    <w:rsid w:val="00ED6D0C"/>
    <w:rsid w:val="00ED6D62"/>
    <w:rsid w:val="00ED729A"/>
    <w:rsid w:val="00ED72C3"/>
    <w:rsid w:val="00ED730C"/>
    <w:rsid w:val="00ED733A"/>
    <w:rsid w:val="00ED75F6"/>
    <w:rsid w:val="00ED7798"/>
    <w:rsid w:val="00ED78F9"/>
    <w:rsid w:val="00ED7BE2"/>
    <w:rsid w:val="00ED7C4D"/>
    <w:rsid w:val="00ED7C63"/>
    <w:rsid w:val="00ED7CB9"/>
    <w:rsid w:val="00ED7D14"/>
    <w:rsid w:val="00ED7DE6"/>
    <w:rsid w:val="00ED7F55"/>
    <w:rsid w:val="00EE0133"/>
    <w:rsid w:val="00EE038E"/>
    <w:rsid w:val="00EE03F7"/>
    <w:rsid w:val="00EE0528"/>
    <w:rsid w:val="00EE05FB"/>
    <w:rsid w:val="00EE0810"/>
    <w:rsid w:val="00EE0925"/>
    <w:rsid w:val="00EE09DA"/>
    <w:rsid w:val="00EE0AC2"/>
    <w:rsid w:val="00EE0AE3"/>
    <w:rsid w:val="00EE0B37"/>
    <w:rsid w:val="00EE0CE2"/>
    <w:rsid w:val="00EE0D25"/>
    <w:rsid w:val="00EE0D26"/>
    <w:rsid w:val="00EE0D57"/>
    <w:rsid w:val="00EE0E16"/>
    <w:rsid w:val="00EE0F21"/>
    <w:rsid w:val="00EE106D"/>
    <w:rsid w:val="00EE1087"/>
    <w:rsid w:val="00EE10F3"/>
    <w:rsid w:val="00EE1132"/>
    <w:rsid w:val="00EE1146"/>
    <w:rsid w:val="00EE11EC"/>
    <w:rsid w:val="00EE11F5"/>
    <w:rsid w:val="00EE155E"/>
    <w:rsid w:val="00EE1688"/>
    <w:rsid w:val="00EE1702"/>
    <w:rsid w:val="00EE175F"/>
    <w:rsid w:val="00EE17BB"/>
    <w:rsid w:val="00EE17CC"/>
    <w:rsid w:val="00EE1889"/>
    <w:rsid w:val="00EE1B00"/>
    <w:rsid w:val="00EE1C7A"/>
    <w:rsid w:val="00EE1CF4"/>
    <w:rsid w:val="00EE1D11"/>
    <w:rsid w:val="00EE1D47"/>
    <w:rsid w:val="00EE1DDE"/>
    <w:rsid w:val="00EE1F50"/>
    <w:rsid w:val="00EE203E"/>
    <w:rsid w:val="00EE22B9"/>
    <w:rsid w:val="00EE2326"/>
    <w:rsid w:val="00EE23CA"/>
    <w:rsid w:val="00EE2631"/>
    <w:rsid w:val="00EE26F8"/>
    <w:rsid w:val="00EE2B19"/>
    <w:rsid w:val="00EE2B47"/>
    <w:rsid w:val="00EE2D55"/>
    <w:rsid w:val="00EE2E6B"/>
    <w:rsid w:val="00EE2E8A"/>
    <w:rsid w:val="00EE2F20"/>
    <w:rsid w:val="00EE2F82"/>
    <w:rsid w:val="00EE2FED"/>
    <w:rsid w:val="00EE3135"/>
    <w:rsid w:val="00EE333E"/>
    <w:rsid w:val="00EE33AE"/>
    <w:rsid w:val="00EE3634"/>
    <w:rsid w:val="00EE3964"/>
    <w:rsid w:val="00EE3A41"/>
    <w:rsid w:val="00EE3A7D"/>
    <w:rsid w:val="00EE3B5E"/>
    <w:rsid w:val="00EE3BAD"/>
    <w:rsid w:val="00EE3C25"/>
    <w:rsid w:val="00EE3D40"/>
    <w:rsid w:val="00EE3D8B"/>
    <w:rsid w:val="00EE3FF0"/>
    <w:rsid w:val="00EE404E"/>
    <w:rsid w:val="00EE415B"/>
    <w:rsid w:val="00EE4171"/>
    <w:rsid w:val="00EE4258"/>
    <w:rsid w:val="00EE42D1"/>
    <w:rsid w:val="00EE44C4"/>
    <w:rsid w:val="00EE472F"/>
    <w:rsid w:val="00EE4778"/>
    <w:rsid w:val="00EE4794"/>
    <w:rsid w:val="00EE4940"/>
    <w:rsid w:val="00EE49C2"/>
    <w:rsid w:val="00EE49D3"/>
    <w:rsid w:val="00EE4DDF"/>
    <w:rsid w:val="00EE4F7D"/>
    <w:rsid w:val="00EE4F97"/>
    <w:rsid w:val="00EE5048"/>
    <w:rsid w:val="00EE52A4"/>
    <w:rsid w:val="00EE5313"/>
    <w:rsid w:val="00EE537C"/>
    <w:rsid w:val="00EE5413"/>
    <w:rsid w:val="00EE544F"/>
    <w:rsid w:val="00EE54E2"/>
    <w:rsid w:val="00EE5764"/>
    <w:rsid w:val="00EE57E8"/>
    <w:rsid w:val="00EE584D"/>
    <w:rsid w:val="00EE59A0"/>
    <w:rsid w:val="00EE5A9C"/>
    <w:rsid w:val="00EE5C8E"/>
    <w:rsid w:val="00EE5CA4"/>
    <w:rsid w:val="00EE5CCC"/>
    <w:rsid w:val="00EE5D14"/>
    <w:rsid w:val="00EE5E77"/>
    <w:rsid w:val="00EE6106"/>
    <w:rsid w:val="00EE6399"/>
    <w:rsid w:val="00EE65C8"/>
    <w:rsid w:val="00EE6726"/>
    <w:rsid w:val="00EE679B"/>
    <w:rsid w:val="00EE685A"/>
    <w:rsid w:val="00EE6955"/>
    <w:rsid w:val="00EE69BB"/>
    <w:rsid w:val="00EE6A81"/>
    <w:rsid w:val="00EE6B6F"/>
    <w:rsid w:val="00EE6D2A"/>
    <w:rsid w:val="00EE6EB1"/>
    <w:rsid w:val="00EE6F3F"/>
    <w:rsid w:val="00EE7121"/>
    <w:rsid w:val="00EE718B"/>
    <w:rsid w:val="00EE7253"/>
    <w:rsid w:val="00EE72B0"/>
    <w:rsid w:val="00EE741F"/>
    <w:rsid w:val="00EE7583"/>
    <w:rsid w:val="00EE7711"/>
    <w:rsid w:val="00EE77E3"/>
    <w:rsid w:val="00EE7892"/>
    <w:rsid w:val="00EE7C98"/>
    <w:rsid w:val="00EE7D4E"/>
    <w:rsid w:val="00EE7F0B"/>
    <w:rsid w:val="00EF004B"/>
    <w:rsid w:val="00EF00A0"/>
    <w:rsid w:val="00EF00D7"/>
    <w:rsid w:val="00EF017E"/>
    <w:rsid w:val="00EF021C"/>
    <w:rsid w:val="00EF023E"/>
    <w:rsid w:val="00EF0257"/>
    <w:rsid w:val="00EF0294"/>
    <w:rsid w:val="00EF029B"/>
    <w:rsid w:val="00EF030F"/>
    <w:rsid w:val="00EF04EB"/>
    <w:rsid w:val="00EF052A"/>
    <w:rsid w:val="00EF06D5"/>
    <w:rsid w:val="00EF0794"/>
    <w:rsid w:val="00EF08AF"/>
    <w:rsid w:val="00EF0944"/>
    <w:rsid w:val="00EF0BA7"/>
    <w:rsid w:val="00EF0CAA"/>
    <w:rsid w:val="00EF0D53"/>
    <w:rsid w:val="00EF108D"/>
    <w:rsid w:val="00EF11D4"/>
    <w:rsid w:val="00EF14E6"/>
    <w:rsid w:val="00EF153F"/>
    <w:rsid w:val="00EF160B"/>
    <w:rsid w:val="00EF178B"/>
    <w:rsid w:val="00EF179C"/>
    <w:rsid w:val="00EF17C8"/>
    <w:rsid w:val="00EF1875"/>
    <w:rsid w:val="00EF18B4"/>
    <w:rsid w:val="00EF1A53"/>
    <w:rsid w:val="00EF1B86"/>
    <w:rsid w:val="00EF1DBB"/>
    <w:rsid w:val="00EF1DDB"/>
    <w:rsid w:val="00EF2179"/>
    <w:rsid w:val="00EF226D"/>
    <w:rsid w:val="00EF22A1"/>
    <w:rsid w:val="00EF256F"/>
    <w:rsid w:val="00EF2710"/>
    <w:rsid w:val="00EF27EE"/>
    <w:rsid w:val="00EF2808"/>
    <w:rsid w:val="00EF284A"/>
    <w:rsid w:val="00EF2888"/>
    <w:rsid w:val="00EF2B01"/>
    <w:rsid w:val="00EF2D03"/>
    <w:rsid w:val="00EF2E22"/>
    <w:rsid w:val="00EF2E67"/>
    <w:rsid w:val="00EF2EA0"/>
    <w:rsid w:val="00EF2FD3"/>
    <w:rsid w:val="00EF2FFC"/>
    <w:rsid w:val="00EF3136"/>
    <w:rsid w:val="00EF338A"/>
    <w:rsid w:val="00EF33CE"/>
    <w:rsid w:val="00EF36DA"/>
    <w:rsid w:val="00EF371B"/>
    <w:rsid w:val="00EF386A"/>
    <w:rsid w:val="00EF38B9"/>
    <w:rsid w:val="00EF3A9D"/>
    <w:rsid w:val="00EF3AB1"/>
    <w:rsid w:val="00EF3AB2"/>
    <w:rsid w:val="00EF3C2B"/>
    <w:rsid w:val="00EF3CA8"/>
    <w:rsid w:val="00EF3CBB"/>
    <w:rsid w:val="00EF3E0C"/>
    <w:rsid w:val="00EF3E36"/>
    <w:rsid w:val="00EF3F1C"/>
    <w:rsid w:val="00EF4225"/>
    <w:rsid w:val="00EF422B"/>
    <w:rsid w:val="00EF442D"/>
    <w:rsid w:val="00EF44FD"/>
    <w:rsid w:val="00EF451B"/>
    <w:rsid w:val="00EF4612"/>
    <w:rsid w:val="00EF47DB"/>
    <w:rsid w:val="00EF47EC"/>
    <w:rsid w:val="00EF493E"/>
    <w:rsid w:val="00EF4A29"/>
    <w:rsid w:val="00EF4BBE"/>
    <w:rsid w:val="00EF4C47"/>
    <w:rsid w:val="00EF4DB8"/>
    <w:rsid w:val="00EF4F80"/>
    <w:rsid w:val="00EF5097"/>
    <w:rsid w:val="00EF514B"/>
    <w:rsid w:val="00EF51B5"/>
    <w:rsid w:val="00EF5264"/>
    <w:rsid w:val="00EF5335"/>
    <w:rsid w:val="00EF53FB"/>
    <w:rsid w:val="00EF55AD"/>
    <w:rsid w:val="00EF5617"/>
    <w:rsid w:val="00EF57F4"/>
    <w:rsid w:val="00EF57FA"/>
    <w:rsid w:val="00EF5801"/>
    <w:rsid w:val="00EF5D17"/>
    <w:rsid w:val="00EF5E2A"/>
    <w:rsid w:val="00EF5E6E"/>
    <w:rsid w:val="00EF5F0A"/>
    <w:rsid w:val="00EF6119"/>
    <w:rsid w:val="00EF6183"/>
    <w:rsid w:val="00EF619E"/>
    <w:rsid w:val="00EF625F"/>
    <w:rsid w:val="00EF638C"/>
    <w:rsid w:val="00EF663D"/>
    <w:rsid w:val="00EF6642"/>
    <w:rsid w:val="00EF6651"/>
    <w:rsid w:val="00EF69DE"/>
    <w:rsid w:val="00EF6C63"/>
    <w:rsid w:val="00EF6C93"/>
    <w:rsid w:val="00EF6CD6"/>
    <w:rsid w:val="00EF6D36"/>
    <w:rsid w:val="00EF720F"/>
    <w:rsid w:val="00EF7308"/>
    <w:rsid w:val="00EF73B3"/>
    <w:rsid w:val="00EF74AD"/>
    <w:rsid w:val="00EF7564"/>
    <w:rsid w:val="00EF758C"/>
    <w:rsid w:val="00EF7663"/>
    <w:rsid w:val="00EF7666"/>
    <w:rsid w:val="00EF77AD"/>
    <w:rsid w:val="00EF7BA9"/>
    <w:rsid w:val="00EF7C90"/>
    <w:rsid w:val="00EF7DA8"/>
    <w:rsid w:val="00EF7DE3"/>
    <w:rsid w:val="00EF7DED"/>
    <w:rsid w:val="00EF7E06"/>
    <w:rsid w:val="00EF7E51"/>
    <w:rsid w:val="00EF7F8C"/>
    <w:rsid w:val="00F00188"/>
    <w:rsid w:val="00F00293"/>
    <w:rsid w:val="00F002D5"/>
    <w:rsid w:val="00F002D8"/>
    <w:rsid w:val="00F004BC"/>
    <w:rsid w:val="00F00546"/>
    <w:rsid w:val="00F00586"/>
    <w:rsid w:val="00F006BE"/>
    <w:rsid w:val="00F006E0"/>
    <w:rsid w:val="00F006F7"/>
    <w:rsid w:val="00F00815"/>
    <w:rsid w:val="00F00987"/>
    <w:rsid w:val="00F009F4"/>
    <w:rsid w:val="00F00A66"/>
    <w:rsid w:val="00F00B0B"/>
    <w:rsid w:val="00F00B3C"/>
    <w:rsid w:val="00F00B6C"/>
    <w:rsid w:val="00F00CD4"/>
    <w:rsid w:val="00F010AC"/>
    <w:rsid w:val="00F010D4"/>
    <w:rsid w:val="00F01125"/>
    <w:rsid w:val="00F011D8"/>
    <w:rsid w:val="00F0127F"/>
    <w:rsid w:val="00F01365"/>
    <w:rsid w:val="00F01393"/>
    <w:rsid w:val="00F0151C"/>
    <w:rsid w:val="00F01554"/>
    <w:rsid w:val="00F01633"/>
    <w:rsid w:val="00F0166D"/>
    <w:rsid w:val="00F016B8"/>
    <w:rsid w:val="00F01787"/>
    <w:rsid w:val="00F017AA"/>
    <w:rsid w:val="00F01A5C"/>
    <w:rsid w:val="00F01B3F"/>
    <w:rsid w:val="00F01DF4"/>
    <w:rsid w:val="00F01E54"/>
    <w:rsid w:val="00F01F4F"/>
    <w:rsid w:val="00F01F91"/>
    <w:rsid w:val="00F01FB1"/>
    <w:rsid w:val="00F0229A"/>
    <w:rsid w:val="00F0237C"/>
    <w:rsid w:val="00F023A5"/>
    <w:rsid w:val="00F0244F"/>
    <w:rsid w:val="00F0256B"/>
    <w:rsid w:val="00F025E2"/>
    <w:rsid w:val="00F027F1"/>
    <w:rsid w:val="00F0280F"/>
    <w:rsid w:val="00F02876"/>
    <w:rsid w:val="00F028ED"/>
    <w:rsid w:val="00F0295D"/>
    <w:rsid w:val="00F0299C"/>
    <w:rsid w:val="00F029AD"/>
    <w:rsid w:val="00F02BC3"/>
    <w:rsid w:val="00F02C28"/>
    <w:rsid w:val="00F02C86"/>
    <w:rsid w:val="00F02CDB"/>
    <w:rsid w:val="00F02D41"/>
    <w:rsid w:val="00F02D75"/>
    <w:rsid w:val="00F030B7"/>
    <w:rsid w:val="00F0313D"/>
    <w:rsid w:val="00F03148"/>
    <w:rsid w:val="00F031C4"/>
    <w:rsid w:val="00F03298"/>
    <w:rsid w:val="00F032BF"/>
    <w:rsid w:val="00F03358"/>
    <w:rsid w:val="00F033DE"/>
    <w:rsid w:val="00F035E4"/>
    <w:rsid w:val="00F03749"/>
    <w:rsid w:val="00F0392B"/>
    <w:rsid w:val="00F0396C"/>
    <w:rsid w:val="00F03980"/>
    <w:rsid w:val="00F03A36"/>
    <w:rsid w:val="00F03A3A"/>
    <w:rsid w:val="00F03AF2"/>
    <w:rsid w:val="00F03B7B"/>
    <w:rsid w:val="00F03BB1"/>
    <w:rsid w:val="00F03C30"/>
    <w:rsid w:val="00F03EB8"/>
    <w:rsid w:val="00F03F84"/>
    <w:rsid w:val="00F040BE"/>
    <w:rsid w:val="00F04146"/>
    <w:rsid w:val="00F041DA"/>
    <w:rsid w:val="00F04230"/>
    <w:rsid w:val="00F04351"/>
    <w:rsid w:val="00F0449D"/>
    <w:rsid w:val="00F045BB"/>
    <w:rsid w:val="00F04723"/>
    <w:rsid w:val="00F0475B"/>
    <w:rsid w:val="00F0482E"/>
    <w:rsid w:val="00F049DA"/>
    <w:rsid w:val="00F04AD7"/>
    <w:rsid w:val="00F04B91"/>
    <w:rsid w:val="00F04BA5"/>
    <w:rsid w:val="00F04C0E"/>
    <w:rsid w:val="00F04DF3"/>
    <w:rsid w:val="00F04EA1"/>
    <w:rsid w:val="00F05311"/>
    <w:rsid w:val="00F054AF"/>
    <w:rsid w:val="00F054C0"/>
    <w:rsid w:val="00F054CF"/>
    <w:rsid w:val="00F05503"/>
    <w:rsid w:val="00F05517"/>
    <w:rsid w:val="00F057B8"/>
    <w:rsid w:val="00F05894"/>
    <w:rsid w:val="00F05ACB"/>
    <w:rsid w:val="00F05C65"/>
    <w:rsid w:val="00F05D1F"/>
    <w:rsid w:val="00F05D6C"/>
    <w:rsid w:val="00F05DA8"/>
    <w:rsid w:val="00F05DF1"/>
    <w:rsid w:val="00F05EB0"/>
    <w:rsid w:val="00F05EC5"/>
    <w:rsid w:val="00F05FAD"/>
    <w:rsid w:val="00F05FBA"/>
    <w:rsid w:val="00F05FBD"/>
    <w:rsid w:val="00F05FCA"/>
    <w:rsid w:val="00F0601C"/>
    <w:rsid w:val="00F06074"/>
    <w:rsid w:val="00F061BE"/>
    <w:rsid w:val="00F062FB"/>
    <w:rsid w:val="00F0633A"/>
    <w:rsid w:val="00F0647E"/>
    <w:rsid w:val="00F064C0"/>
    <w:rsid w:val="00F065A4"/>
    <w:rsid w:val="00F065C5"/>
    <w:rsid w:val="00F06871"/>
    <w:rsid w:val="00F0689B"/>
    <w:rsid w:val="00F06A5C"/>
    <w:rsid w:val="00F06B05"/>
    <w:rsid w:val="00F06B13"/>
    <w:rsid w:val="00F06BD8"/>
    <w:rsid w:val="00F06C1C"/>
    <w:rsid w:val="00F06C49"/>
    <w:rsid w:val="00F06FFA"/>
    <w:rsid w:val="00F0718C"/>
    <w:rsid w:val="00F07264"/>
    <w:rsid w:val="00F0754C"/>
    <w:rsid w:val="00F075EE"/>
    <w:rsid w:val="00F07607"/>
    <w:rsid w:val="00F07626"/>
    <w:rsid w:val="00F079CA"/>
    <w:rsid w:val="00F07A6D"/>
    <w:rsid w:val="00F07D10"/>
    <w:rsid w:val="00F07E84"/>
    <w:rsid w:val="00F07F3A"/>
    <w:rsid w:val="00F10013"/>
    <w:rsid w:val="00F10182"/>
    <w:rsid w:val="00F101BA"/>
    <w:rsid w:val="00F10285"/>
    <w:rsid w:val="00F10354"/>
    <w:rsid w:val="00F103E6"/>
    <w:rsid w:val="00F1052C"/>
    <w:rsid w:val="00F106E9"/>
    <w:rsid w:val="00F106F1"/>
    <w:rsid w:val="00F10730"/>
    <w:rsid w:val="00F10868"/>
    <w:rsid w:val="00F1092B"/>
    <w:rsid w:val="00F10942"/>
    <w:rsid w:val="00F109E3"/>
    <w:rsid w:val="00F10A5D"/>
    <w:rsid w:val="00F10A9C"/>
    <w:rsid w:val="00F10AD7"/>
    <w:rsid w:val="00F10E18"/>
    <w:rsid w:val="00F10E4C"/>
    <w:rsid w:val="00F1100D"/>
    <w:rsid w:val="00F110D2"/>
    <w:rsid w:val="00F11274"/>
    <w:rsid w:val="00F113AF"/>
    <w:rsid w:val="00F114ED"/>
    <w:rsid w:val="00F11565"/>
    <w:rsid w:val="00F115AC"/>
    <w:rsid w:val="00F115B8"/>
    <w:rsid w:val="00F117BB"/>
    <w:rsid w:val="00F117F1"/>
    <w:rsid w:val="00F11949"/>
    <w:rsid w:val="00F11C08"/>
    <w:rsid w:val="00F11C1B"/>
    <w:rsid w:val="00F11C27"/>
    <w:rsid w:val="00F11CAA"/>
    <w:rsid w:val="00F11CE1"/>
    <w:rsid w:val="00F11FDD"/>
    <w:rsid w:val="00F121E2"/>
    <w:rsid w:val="00F123CC"/>
    <w:rsid w:val="00F123FB"/>
    <w:rsid w:val="00F12452"/>
    <w:rsid w:val="00F124F0"/>
    <w:rsid w:val="00F129E0"/>
    <w:rsid w:val="00F129EB"/>
    <w:rsid w:val="00F12A62"/>
    <w:rsid w:val="00F12EDE"/>
    <w:rsid w:val="00F12EFA"/>
    <w:rsid w:val="00F12FC8"/>
    <w:rsid w:val="00F1300D"/>
    <w:rsid w:val="00F13024"/>
    <w:rsid w:val="00F13026"/>
    <w:rsid w:val="00F13164"/>
    <w:rsid w:val="00F131E3"/>
    <w:rsid w:val="00F13243"/>
    <w:rsid w:val="00F1334A"/>
    <w:rsid w:val="00F139ED"/>
    <w:rsid w:val="00F13A53"/>
    <w:rsid w:val="00F13A87"/>
    <w:rsid w:val="00F13CBF"/>
    <w:rsid w:val="00F13D2E"/>
    <w:rsid w:val="00F13DD8"/>
    <w:rsid w:val="00F13E4F"/>
    <w:rsid w:val="00F13E7C"/>
    <w:rsid w:val="00F13EBD"/>
    <w:rsid w:val="00F1401B"/>
    <w:rsid w:val="00F14027"/>
    <w:rsid w:val="00F14042"/>
    <w:rsid w:val="00F14098"/>
    <w:rsid w:val="00F140C9"/>
    <w:rsid w:val="00F1417B"/>
    <w:rsid w:val="00F145F1"/>
    <w:rsid w:val="00F146BD"/>
    <w:rsid w:val="00F14970"/>
    <w:rsid w:val="00F14A4B"/>
    <w:rsid w:val="00F14A90"/>
    <w:rsid w:val="00F14AAF"/>
    <w:rsid w:val="00F14BE7"/>
    <w:rsid w:val="00F14C61"/>
    <w:rsid w:val="00F14D6F"/>
    <w:rsid w:val="00F14E01"/>
    <w:rsid w:val="00F14F09"/>
    <w:rsid w:val="00F15309"/>
    <w:rsid w:val="00F1549E"/>
    <w:rsid w:val="00F154CB"/>
    <w:rsid w:val="00F15571"/>
    <w:rsid w:val="00F155C1"/>
    <w:rsid w:val="00F155D9"/>
    <w:rsid w:val="00F15618"/>
    <w:rsid w:val="00F1570E"/>
    <w:rsid w:val="00F1576B"/>
    <w:rsid w:val="00F1586D"/>
    <w:rsid w:val="00F15A49"/>
    <w:rsid w:val="00F15A93"/>
    <w:rsid w:val="00F15B75"/>
    <w:rsid w:val="00F15D1F"/>
    <w:rsid w:val="00F15D44"/>
    <w:rsid w:val="00F15EDB"/>
    <w:rsid w:val="00F161A2"/>
    <w:rsid w:val="00F16278"/>
    <w:rsid w:val="00F16360"/>
    <w:rsid w:val="00F16397"/>
    <w:rsid w:val="00F16616"/>
    <w:rsid w:val="00F1666A"/>
    <w:rsid w:val="00F1675A"/>
    <w:rsid w:val="00F16776"/>
    <w:rsid w:val="00F16794"/>
    <w:rsid w:val="00F167A2"/>
    <w:rsid w:val="00F168E0"/>
    <w:rsid w:val="00F16AF9"/>
    <w:rsid w:val="00F16F12"/>
    <w:rsid w:val="00F16F35"/>
    <w:rsid w:val="00F17121"/>
    <w:rsid w:val="00F17157"/>
    <w:rsid w:val="00F1729F"/>
    <w:rsid w:val="00F1733E"/>
    <w:rsid w:val="00F1734D"/>
    <w:rsid w:val="00F173DE"/>
    <w:rsid w:val="00F1753F"/>
    <w:rsid w:val="00F175F1"/>
    <w:rsid w:val="00F17614"/>
    <w:rsid w:val="00F17743"/>
    <w:rsid w:val="00F177C2"/>
    <w:rsid w:val="00F17A09"/>
    <w:rsid w:val="00F17A2C"/>
    <w:rsid w:val="00F17CC3"/>
    <w:rsid w:val="00F17E28"/>
    <w:rsid w:val="00F200D3"/>
    <w:rsid w:val="00F201DA"/>
    <w:rsid w:val="00F20232"/>
    <w:rsid w:val="00F20289"/>
    <w:rsid w:val="00F2030E"/>
    <w:rsid w:val="00F20485"/>
    <w:rsid w:val="00F204B1"/>
    <w:rsid w:val="00F204F5"/>
    <w:rsid w:val="00F206E9"/>
    <w:rsid w:val="00F20716"/>
    <w:rsid w:val="00F208F1"/>
    <w:rsid w:val="00F20A11"/>
    <w:rsid w:val="00F20A2F"/>
    <w:rsid w:val="00F20B9D"/>
    <w:rsid w:val="00F20C13"/>
    <w:rsid w:val="00F20C24"/>
    <w:rsid w:val="00F20CDF"/>
    <w:rsid w:val="00F20CE7"/>
    <w:rsid w:val="00F20DC2"/>
    <w:rsid w:val="00F20DD8"/>
    <w:rsid w:val="00F20E64"/>
    <w:rsid w:val="00F20E82"/>
    <w:rsid w:val="00F21005"/>
    <w:rsid w:val="00F211C2"/>
    <w:rsid w:val="00F212B1"/>
    <w:rsid w:val="00F2132A"/>
    <w:rsid w:val="00F21381"/>
    <w:rsid w:val="00F213AC"/>
    <w:rsid w:val="00F214FF"/>
    <w:rsid w:val="00F21661"/>
    <w:rsid w:val="00F2166E"/>
    <w:rsid w:val="00F21686"/>
    <w:rsid w:val="00F2184E"/>
    <w:rsid w:val="00F21A3E"/>
    <w:rsid w:val="00F21B39"/>
    <w:rsid w:val="00F21CA8"/>
    <w:rsid w:val="00F21E6C"/>
    <w:rsid w:val="00F21EFA"/>
    <w:rsid w:val="00F22042"/>
    <w:rsid w:val="00F22246"/>
    <w:rsid w:val="00F223E0"/>
    <w:rsid w:val="00F224C2"/>
    <w:rsid w:val="00F22747"/>
    <w:rsid w:val="00F2288F"/>
    <w:rsid w:val="00F228B8"/>
    <w:rsid w:val="00F228D6"/>
    <w:rsid w:val="00F22A8F"/>
    <w:rsid w:val="00F22B31"/>
    <w:rsid w:val="00F22BA0"/>
    <w:rsid w:val="00F22BE2"/>
    <w:rsid w:val="00F22C7E"/>
    <w:rsid w:val="00F22CEC"/>
    <w:rsid w:val="00F22E5E"/>
    <w:rsid w:val="00F22F62"/>
    <w:rsid w:val="00F22FE9"/>
    <w:rsid w:val="00F22FFD"/>
    <w:rsid w:val="00F2319B"/>
    <w:rsid w:val="00F23522"/>
    <w:rsid w:val="00F23629"/>
    <w:rsid w:val="00F23692"/>
    <w:rsid w:val="00F237B5"/>
    <w:rsid w:val="00F23878"/>
    <w:rsid w:val="00F23A38"/>
    <w:rsid w:val="00F23A62"/>
    <w:rsid w:val="00F23AA4"/>
    <w:rsid w:val="00F23AD0"/>
    <w:rsid w:val="00F23C0E"/>
    <w:rsid w:val="00F23D88"/>
    <w:rsid w:val="00F2404E"/>
    <w:rsid w:val="00F240EC"/>
    <w:rsid w:val="00F24311"/>
    <w:rsid w:val="00F24329"/>
    <w:rsid w:val="00F2433B"/>
    <w:rsid w:val="00F24400"/>
    <w:rsid w:val="00F244D1"/>
    <w:rsid w:val="00F24547"/>
    <w:rsid w:val="00F24577"/>
    <w:rsid w:val="00F24649"/>
    <w:rsid w:val="00F2468C"/>
    <w:rsid w:val="00F247AB"/>
    <w:rsid w:val="00F24802"/>
    <w:rsid w:val="00F24847"/>
    <w:rsid w:val="00F24868"/>
    <w:rsid w:val="00F24895"/>
    <w:rsid w:val="00F24A58"/>
    <w:rsid w:val="00F24A96"/>
    <w:rsid w:val="00F24AC1"/>
    <w:rsid w:val="00F24D1A"/>
    <w:rsid w:val="00F24D7E"/>
    <w:rsid w:val="00F2500F"/>
    <w:rsid w:val="00F251BD"/>
    <w:rsid w:val="00F2522E"/>
    <w:rsid w:val="00F25284"/>
    <w:rsid w:val="00F25294"/>
    <w:rsid w:val="00F255FC"/>
    <w:rsid w:val="00F25629"/>
    <w:rsid w:val="00F25651"/>
    <w:rsid w:val="00F259B4"/>
    <w:rsid w:val="00F25B95"/>
    <w:rsid w:val="00F25BFC"/>
    <w:rsid w:val="00F25CA5"/>
    <w:rsid w:val="00F25D5C"/>
    <w:rsid w:val="00F25EFC"/>
    <w:rsid w:val="00F25FE6"/>
    <w:rsid w:val="00F25FFA"/>
    <w:rsid w:val="00F261E3"/>
    <w:rsid w:val="00F26278"/>
    <w:rsid w:val="00F2629D"/>
    <w:rsid w:val="00F2631D"/>
    <w:rsid w:val="00F26331"/>
    <w:rsid w:val="00F26465"/>
    <w:rsid w:val="00F267A2"/>
    <w:rsid w:val="00F26891"/>
    <w:rsid w:val="00F26AFB"/>
    <w:rsid w:val="00F26BC1"/>
    <w:rsid w:val="00F26BE5"/>
    <w:rsid w:val="00F26C1E"/>
    <w:rsid w:val="00F26CB2"/>
    <w:rsid w:val="00F26DF7"/>
    <w:rsid w:val="00F26E4A"/>
    <w:rsid w:val="00F26FC6"/>
    <w:rsid w:val="00F26FDC"/>
    <w:rsid w:val="00F2711B"/>
    <w:rsid w:val="00F27177"/>
    <w:rsid w:val="00F27192"/>
    <w:rsid w:val="00F271BA"/>
    <w:rsid w:val="00F27417"/>
    <w:rsid w:val="00F27440"/>
    <w:rsid w:val="00F27509"/>
    <w:rsid w:val="00F276A2"/>
    <w:rsid w:val="00F277E7"/>
    <w:rsid w:val="00F27827"/>
    <w:rsid w:val="00F27A7B"/>
    <w:rsid w:val="00F27ABE"/>
    <w:rsid w:val="00F27B2E"/>
    <w:rsid w:val="00F27BE1"/>
    <w:rsid w:val="00F27C5B"/>
    <w:rsid w:val="00F27C6F"/>
    <w:rsid w:val="00F27CD3"/>
    <w:rsid w:val="00F27CDE"/>
    <w:rsid w:val="00F27E1D"/>
    <w:rsid w:val="00F27F4F"/>
    <w:rsid w:val="00F27F89"/>
    <w:rsid w:val="00F30126"/>
    <w:rsid w:val="00F3013E"/>
    <w:rsid w:val="00F3050A"/>
    <w:rsid w:val="00F3056D"/>
    <w:rsid w:val="00F30618"/>
    <w:rsid w:val="00F307C2"/>
    <w:rsid w:val="00F3096D"/>
    <w:rsid w:val="00F30992"/>
    <w:rsid w:val="00F30D3D"/>
    <w:rsid w:val="00F30D98"/>
    <w:rsid w:val="00F30E83"/>
    <w:rsid w:val="00F31228"/>
    <w:rsid w:val="00F314AC"/>
    <w:rsid w:val="00F31657"/>
    <w:rsid w:val="00F316C3"/>
    <w:rsid w:val="00F3177C"/>
    <w:rsid w:val="00F317A0"/>
    <w:rsid w:val="00F317E4"/>
    <w:rsid w:val="00F317E6"/>
    <w:rsid w:val="00F3189A"/>
    <w:rsid w:val="00F31B33"/>
    <w:rsid w:val="00F31C22"/>
    <w:rsid w:val="00F31C71"/>
    <w:rsid w:val="00F31C7A"/>
    <w:rsid w:val="00F31D71"/>
    <w:rsid w:val="00F31DD3"/>
    <w:rsid w:val="00F31F3E"/>
    <w:rsid w:val="00F31FC3"/>
    <w:rsid w:val="00F320BF"/>
    <w:rsid w:val="00F32141"/>
    <w:rsid w:val="00F321E8"/>
    <w:rsid w:val="00F323B2"/>
    <w:rsid w:val="00F3245D"/>
    <w:rsid w:val="00F3263A"/>
    <w:rsid w:val="00F32709"/>
    <w:rsid w:val="00F3274D"/>
    <w:rsid w:val="00F32988"/>
    <w:rsid w:val="00F329A0"/>
    <w:rsid w:val="00F329A4"/>
    <w:rsid w:val="00F32C8A"/>
    <w:rsid w:val="00F32EF6"/>
    <w:rsid w:val="00F33094"/>
    <w:rsid w:val="00F33111"/>
    <w:rsid w:val="00F3317F"/>
    <w:rsid w:val="00F331DE"/>
    <w:rsid w:val="00F331F9"/>
    <w:rsid w:val="00F33229"/>
    <w:rsid w:val="00F3329F"/>
    <w:rsid w:val="00F3330B"/>
    <w:rsid w:val="00F3331C"/>
    <w:rsid w:val="00F33322"/>
    <w:rsid w:val="00F3380F"/>
    <w:rsid w:val="00F3381E"/>
    <w:rsid w:val="00F33858"/>
    <w:rsid w:val="00F33A06"/>
    <w:rsid w:val="00F33D02"/>
    <w:rsid w:val="00F33D65"/>
    <w:rsid w:val="00F33DAF"/>
    <w:rsid w:val="00F33E17"/>
    <w:rsid w:val="00F33E55"/>
    <w:rsid w:val="00F34110"/>
    <w:rsid w:val="00F34141"/>
    <w:rsid w:val="00F34347"/>
    <w:rsid w:val="00F34418"/>
    <w:rsid w:val="00F3441C"/>
    <w:rsid w:val="00F345A0"/>
    <w:rsid w:val="00F345B3"/>
    <w:rsid w:val="00F34632"/>
    <w:rsid w:val="00F3469E"/>
    <w:rsid w:val="00F3469F"/>
    <w:rsid w:val="00F3497C"/>
    <w:rsid w:val="00F34A4B"/>
    <w:rsid w:val="00F34B28"/>
    <w:rsid w:val="00F34B29"/>
    <w:rsid w:val="00F34D54"/>
    <w:rsid w:val="00F34D57"/>
    <w:rsid w:val="00F34EA3"/>
    <w:rsid w:val="00F350DB"/>
    <w:rsid w:val="00F35155"/>
    <w:rsid w:val="00F3525D"/>
    <w:rsid w:val="00F3538B"/>
    <w:rsid w:val="00F35451"/>
    <w:rsid w:val="00F3546B"/>
    <w:rsid w:val="00F3575A"/>
    <w:rsid w:val="00F358D1"/>
    <w:rsid w:val="00F35933"/>
    <w:rsid w:val="00F35975"/>
    <w:rsid w:val="00F35AF4"/>
    <w:rsid w:val="00F35B41"/>
    <w:rsid w:val="00F35CB1"/>
    <w:rsid w:val="00F35E11"/>
    <w:rsid w:val="00F35FFB"/>
    <w:rsid w:val="00F365C2"/>
    <w:rsid w:val="00F3669F"/>
    <w:rsid w:val="00F36795"/>
    <w:rsid w:val="00F368F1"/>
    <w:rsid w:val="00F3699A"/>
    <w:rsid w:val="00F36A49"/>
    <w:rsid w:val="00F36B28"/>
    <w:rsid w:val="00F36B29"/>
    <w:rsid w:val="00F36B82"/>
    <w:rsid w:val="00F36BD0"/>
    <w:rsid w:val="00F36CB1"/>
    <w:rsid w:val="00F36F25"/>
    <w:rsid w:val="00F36FBD"/>
    <w:rsid w:val="00F3707B"/>
    <w:rsid w:val="00F370E6"/>
    <w:rsid w:val="00F37154"/>
    <w:rsid w:val="00F37168"/>
    <w:rsid w:val="00F371E5"/>
    <w:rsid w:val="00F372B0"/>
    <w:rsid w:val="00F3734B"/>
    <w:rsid w:val="00F37353"/>
    <w:rsid w:val="00F373C4"/>
    <w:rsid w:val="00F373E0"/>
    <w:rsid w:val="00F373F3"/>
    <w:rsid w:val="00F374E2"/>
    <w:rsid w:val="00F37789"/>
    <w:rsid w:val="00F37922"/>
    <w:rsid w:val="00F37C10"/>
    <w:rsid w:val="00F37D20"/>
    <w:rsid w:val="00F37D79"/>
    <w:rsid w:val="00F37DCC"/>
    <w:rsid w:val="00F37E36"/>
    <w:rsid w:val="00F37E57"/>
    <w:rsid w:val="00F37FC0"/>
    <w:rsid w:val="00F4005A"/>
    <w:rsid w:val="00F40190"/>
    <w:rsid w:val="00F401BB"/>
    <w:rsid w:val="00F40483"/>
    <w:rsid w:val="00F405AE"/>
    <w:rsid w:val="00F405C7"/>
    <w:rsid w:val="00F4068C"/>
    <w:rsid w:val="00F406F2"/>
    <w:rsid w:val="00F409B0"/>
    <w:rsid w:val="00F40A2C"/>
    <w:rsid w:val="00F40C0B"/>
    <w:rsid w:val="00F40DF1"/>
    <w:rsid w:val="00F40F58"/>
    <w:rsid w:val="00F410E3"/>
    <w:rsid w:val="00F41206"/>
    <w:rsid w:val="00F412A6"/>
    <w:rsid w:val="00F41383"/>
    <w:rsid w:val="00F413DE"/>
    <w:rsid w:val="00F417CA"/>
    <w:rsid w:val="00F41819"/>
    <w:rsid w:val="00F419AB"/>
    <w:rsid w:val="00F419DB"/>
    <w:rsid w:val="00F41AA6"/>
    <w:rsid w:val="00F41AAD"/>
    <w:rsid w:val="00F41AEF"/>
    <w:rsid w:val="00F41C32"/>
    <w:rsid w:val="00F41D6E"/>
    <w:rsid w:val="00F421F6"/>
    <w:rsid w:val="00F42256"/>
    <w:rsid w:val="00F422A5"/>
    <w:rsid w:val="00F42370"/>
    <w:rsid w:val="00F423AC"/>
    <w:rsid w:val="00F425C9"/>
    <w:rsid w:val="00F42614"/>
    <w:rsid w:val="00F42675"/>
    <w:rsid w:val="00F4267A"/>
    <w:rsid w:val="00F42685"/>
    <w:rsid w:val="00F427BE"/>
    <w:rsid w:val="00F4288F"/>
    <w:rsid w:val="00F42967"/>
    <w:rsid w:val="00F42A1B"/>
    <w:rsid w:val="00F42B06"/>
    <w:rsid w:val="00F42CCC"/>
    <w:rsid w:val="00F42CCE"/>
    <w:rsid w:val="00F42D2D"/>
    <w:rsid w:val="00F42E98"/>
    <w:rsid w:val="00F42F7B"/>
    <w:rsid w:val="00F42FB2"/>
    <w:rsid w:val="00F42FBD"/>
    <w:rsid w:val="00F43000"/>
    <w:rsid w:val="00F430A8"/>
    <w:rsid w:val="00F43131"/>
    <w:rsid w:val="00F43163"/>
    <w:rsid w:val="00F43450"/>
    <w:rsid w:val="00F434B8"/>
    <w:rsid w:val="00F43551"/>
    <w:rsid w:val="00F43873"/>
    <w:rsid w:val="00F43895"/>
    <w:rsid w:val="00F43A38"/>
    <w:rsid w:val="00F43AF1"/>
    <w:rsid w:val="00F43D34"/>
    <w:rsid w:val="00F43E60"/>
    <w:rsid w:val="00F43FBD"/>
    <w:rsid w:val="00F440D1"/>
    <w:rsid w:val="00F440D3"/>
    <w:rsid w:val="00F44290"/>
    <w:rsid w:val="00F444B0"/>
    <w:rsid w:val="00F4455D"/>
    <w:rsid w:val="00F44563"/>
    <w:rsid w:val="00F446C3"/>
    <w:rsid w:val="00F446EE"/>
    <w:rsid w:val="00F44947"/>
    <w:rsid w:val="00F44958"/>
    <w:rsid w:val="00F44985"/>
    <w:rsid w:val="00F449F6"/>
    <w:rsid w:val="00F44A4E"/>
    <w:rsid w:val="00F44B76"/>
    <w:rsid w:val="00F44F7C"/>
    <w:rsid w:val="00F44FAA"/>
    <w:rsid w:val="00F45039"/>
    <w:rsid w:val="00F450E7"/>
    <w:rsid w:val="00F4527B"/>
    <w:rsid w:val="00F45462"/>
    <w:rsid w:val="00F4550D"/>
    <w:rsid w:val="00F455A0"/>
    <w:rsid w:val="00F4563D"/>
    <w:rsid w:val="00F458D2"/>
    <w:rsid w:val="00F45991"/>
    <w:rsid w:val="00F45EEA"/>
    <w:rsid w:val="00F4605C"/>
    <w:rsid w:val="00F4616A"/>
    <w:rsid w:val="00F461CF"/>
    <w:rsid w:val="00F461FA"/>
    <w:rsid w:val="00F4628A"/>
    <w:rsid w:val="00F462D8"/>
    <w:rsid w:val="00F462F3"/>
    <w:rsid w:val="00F463C1"/>
    <w:rsid w:val="00F46617"/>
    <w:rsid w:val="00F46A54"/>
    <w:rsid w:val="00F46B01"/>
    <w:rsid w:val="00F46BFC"/>
    <w:rsid w:val="00F46C41"/>
    <w:rsid w:val="00F46C55"/>
    <w:rsid w:val="00F46E3C"/>
    <w:rsid w:val="00F46EE7"/>
    <w:rsid w:val="00F4721A"/>
    <w:rsid w:val="00F474E0"/>
    <w:rsid w:val="00F47565"/>
    <w:rsid w:val="00F477F8"/>
    <w:rsid w:val="00F4783A"/>
    <w:rsid w:val="00F47928"/>
    <w:rsid w:val="00F47958"/>
    <w:rsid w:val="00F47A26"/>
    <w:rsid w:val="00F47CFB"/>
    <w:rsid w:val="00F47D65"/>
    <w:rsid w:val="00F47DCF"/>
    <w:rsid w:val="00F47E9E"/>
    <w:rsid w:val="00F47F86"/>
    <w:rsid w:val="00F47FF2"/>
    <w:rsid w:val="00F501D0"/>
    <w:rsid w:val="00F50274"/>
    <w:rsid w:val="00F50381"/>
    <w:rsid w:val="00F503D1"/>
    <w:rsid w:val="00F50436"/>
    <w:rsid w:val="00F50505"/>
    <w:rsid w:val="00F505C3"/>
    <w:rsid w:val="00F5077D"/>
    <w:rsid w:val="00F507B5"/>
    <w:rsid w:val="00F5082B"/>
    <w:rsid w:val="00F50859"/>
    <w:rsid w:val="00F509DC"/>
    <w:rsid w:val="00F50A5A"/>
    <w:rsid w:val="00F50DAF"/>
    <w:rsid w:val="00F50DF2"/>
    <w:rsid w:val="00F50E76"/>
    <w:rsid w:val="00F50F48"/>
    <w:rsid w:val="00F510EE"/>
    <w:rsid w:val="00F5117C"/>
    <w:rsid w:val="00F511E8"/>
    <w:rsid w:val="00F512A1"/>
    <w:rsid w:val="00F5144B"/>
    <w:rsid w:val="00F514D2"/>
    <w:rsid w:val="00F5153F"/>
    <w:rsid w:val="00F5190D"/>
    <w:rsid w:val="00F5199F"/>
    <w:rsid w:val="00F51A7F"/>
    <w:rsid w:val="00F51A8B"/>
    <w:rsid w:val="00F51C2A"/>
    <w:rsid w:val="00F51C9D"/>
    <w:rsid w:val="00F51F8B"/>
    <w:rsid w:val="00F52017"/>
    <w:rsid w:val="00F5210F"/>
    <w:rsid w:val="00F52163"/>
    <w:rsid w:val="00F5219E"/>
    <w:rsid w:val="00F5219F"/>
    <w:rsid w:val="00F521B2"/>
    <w:rsid w:val="00F52225"/>
    <w:rsid w:val="00F5222E"/>
    <w:rsid w:val="00F52349"/>
    <w:rsid w:val="00F524C8"/>
    <w:rsid w:val="00F527B8"/>
    <w:rsid w:val="00F528D7"/>
    <w:rsid w:val="00F52940"/>
    <w:rsid w:val="00F52A41"/>
    <w:rsid w:val="00F52A6B"/>
    <w:rsid w:val="00F52B4E"/>
    <w:rsid w:val="00F52B9A"/>
    <w:rsid w:val="00F52BC0"/>
    <w:rsid w:val="00F52C8D"/>
    <w:rsid w:val="00F52D0A"/>
    <w:rsid w:val="00F52D36"/>
    <w:rsid w:val="00F52E63"/>
    <w:rsid w:val="00F52E8B"/>
    <w:rsid w:val="00F52E94"/>
    <w:rsid w:val="00F52FD0"/>
    <w:rsid w:val="00F535FF"/>
    <w:rsid w:val="00F539A2"/>
    <w:rsid w:val="00F539CB"/>
    <w:rsid w:val="00F53BBE"/>
    <w:rsid w:val="00F53C4D"/>
    <w:rsid w:val="00F53C84"/>
    <w:rsid w:val="00F53D0B"/>
    <w:rsid w:val="00F53D42"/>
    <w:rsid w:val="00F53DDD"/>
    <w:rsid w:val="00F53FF5"/>
    <w:rsid w:val="00F54002"/>
    <w:rsid w:val="00F54044"/>
    <w:rsid w:val="00F541C1"/>
    <w:rsid w:val="00F542B9"/>
    <w:rsid w:val="00F5433D"/>
    <w:rsid w:val="00F5468A"/>
    <w:rsid w:val="00F54725"/>
    <w:rsid w:val="00F54752"/>
    <w:rsid w:val="00F548A6"/>
    <w:rsid w:val="00F548B1"/>
    <w:rsid w:val="00F548EC"/>
    <w:rsid w:val="00F54C82"/>
    <w:rsid w:val="00F54D23"/>
    <w:rsid w:val="00F54F0B"/>
    <w:rsid w:val="00F54F6B"/>
    <w:rsid w:val="00F550A3"/>
    <w:rsid w:val="00F55157"/>
    <w:rsid w:val="00F55287"/>
    <w:rsid w:val="00F55503"/>
    <w:rsid w:val="00F55563"/>
    <w:rsid w:val="00F555CB"/>
    <w:rsid w:val="00F555DE"/>
    <w:rsid w:val="00F5562D"/>
    <w:rsid w:val="00F5586D"/>
    <w:rsid w:val="00F559E5"/>
    <w:rsid w:val="00F55A35"/>
    <w:rsid w:val="00F55AEB"/>
    <w:rsid w:val="00F55D07"/>
    <w:rsid w:val="00F55DD7"/>
    <w:rsid w:val="00F55EDC"/>
    <w:rsid w:val="00F5603E"/>
    <w:rsid w:val="00F5606F"/>
    <w:rsid w:val="00F56119"/>
    <w:rsid w:val="00F5612F"/>
    <w:rsid w:val="00F5631D"/>
    <w:rsid w:val="00F5637D"/>
    <w:rsid w:val="00F563D3"/>
    <w:rsid w:val="00F564B1"/>
    <w:rsid w:val="00F564B5"/>
    <w:rsid w:val="00F56837"/>
    <w:rsid w:val="00F56899"/>
    <w:rsid w:val="00F568B8"/>
    <w:rsid w:val="00F56A90"/>
    <w:rsid w:val="00F56C1E"/>
    <w:rsid w:val="00F56D0D"/>
    <w:rsid w:val="00F56D67"/>
    <w:rsid w:val="00F56DB8"/>
    <w:rsid w:val="00F571AD"/>
    <w:rsid w:val="00F571C2"/>
    <w:rsid w:val="00F57294"/>
    <w:rsid w:val="00F57346"/>
    <w:rsid w:val="00F575A6"/>
    <w:rsid w:val="00F575A7"/>
    <w:rsid w:val="00F57CC3"/>
    <w:rsid w:val="00F57CE1"/>
    <w:rsid w:val="00F57EF9"/>
    <w:rsid w:val="00F60078"/>
    <w:rsid w:val="00F601B7"/>
    <w:rsid w:val="00F60261"/>
    <w:rsid w:val="00F602B4"/>
    <w:rsid w:val="00F60491"/>
    <w:rsid w:val="00F604C4"/>
    <w:rsid w:val="00F605D7"/>
    <w:rsid w:val="00F6060D"/>
    <w:rsid w:val="00F606D8"/>
    <w:rsid w:val="00F606F7"/>
    <w:rsid w:val="00F60715"/>
    <w:rsid w:val="00F60A41"/>
    <w:rsid w:val="00F60C8E"/>
    <w:rsid w:val="00F60CDC"/>
    <w:rsid w:val="00F60D18"/>
    <w:rsid w:val="00F60DC7"/>
    <w:rsid w:val="00F60E81"/>
    <w:rsid w:val="00F60FB2"/>
    <w:rsid w:val="00F60FDD"/>
    <w:rsid w:val="00F6108D"/>
    <w:rsid w:val="00F61432"/>
    <w:rsid w:val="00F614E5"/>
    <w:rsid w:val="00F61513"/>
    <w:rsid w:val="00F61670"/>
    <w:rsid w:val="00F616B1"/>
    <w:rsid w:val="00F61726"/>
    <w:rsid w:val="00F61747"/>
    <w:rsid w:val="00F61983"/>
    <w:rsid w:val="00F61A65"/>
    <w:rsid w:val="00F61BDD"/>
    <w:rsid w:val="00F61D64"/>
    <w:rsid w:val="00F61EAB"/>
    <w:rsid w:val="00F61FD2"/>
    <w:rsid w:val="00F61FEC"/>
    <w:rsid w:val="00F6202A"/>
    <w:rsid w:val="00F62179"/>
    <w:rsid w:val="00F6221F"/>
    <w:rsid w:val="00F62440"/>
    <w:rsid w:val="00F624E4"/>
    <w:rsid w:val="00F62536"/>
    <w:rsid w:val="00F62554"/>
    <w:rsid w:val="00F6258F"/>
    <w:rsid w:val="00F625FB"/>
    <w:rsid w:val="00F6263E"/>
    <w:rsid w:val="00F62703"/>
    <w:rsid w:val="00F628E7"/>
    <w:rsid w:val="00F62B1C"/>
    <w:rsid w:val="00F62B93"/>
    <w:rsid w:val="00F62BB1"/>
    <w:rsid w:val="00F62C12"/>
    <w:rsid w:val="00F62D4F"/>
    <w:rsid w:val="00F62E15"/>
    <w:rsid w:val="00F62FCA"/>
    <w:rsid w:val="00F6303F"/>
    <w:rsid w:val="00F63086"/>
    <w:rsid w:val="00F63131"/>
    <w:rsid w:val="00F631CF"/>
    <w:rsid w:val="00F6324C"/>
    <w:rsid w:val="00F63458"/>
    <w:rsid w:val="00F634F8"/>
    <w:rsid w:val="00F63505"/>
    <w:rsid w:val="00F6351E"/>
    <w:rsid w:val="00F63595"/>
    <w:rsid w:val="00F6362A"/>
    <w:rsid w:val="00F63677"/>
    <w:rsid w:val="00F637D8"/>
    <w:rsid w:val="00F6380D"/>
    <w:rsid w:val="00F63874"/>
    <w:rsid w:val="00F6394A"/>
    <w:rsid w:val="00F63961"/>
    <w:rsid w:val="00F6396D"/>
    <w:rsid w:val="00F639D9"/>
    <w:rsid w:val="00F63A7F"/>
    <w:rsid w:val="00F63C52"/>
    <w:rsid w:val="00F64309"/>
    <w:rsid w:val="00F6434B"/>
    <w:rsid w:val="00F643BF"/>
    <w:rsid w:val="00F64437"/>
    <w:rsid w:val="00F6445B"/>
    <w:rsid w:val="00F6459C"/>
    <w:rsid w:val="00F647A5"/>
    <w:rsid w:val="00F647C8"/>
    <w:rsid w:val="00F64A48"/>
    <w:rsid w:val="00F64B01"/>
    <w:rsid w:val="00F64BA9"/>
    <w:rsid w:val="00F64C95"/>
    <w:rsid w:val="00F64CA7"/>
    <w:rsid w:val="00F64D32"/>
    <w:rsid w:val="00F64D37"/>
    <w:rsid w:val="00F64E0D"/>
    <w:rsid w:val="00F64F6A"/>
    <w:rsid w:val="00F65101"/>
    <w:rsid w:val="00F6527B"/>
    <w:rsid w:val="00F65282"/>
    <w:rsid w:val="00F6529E"/>
    <w:rsid w:val="00F6531B"/>
    <w:rsid w:val="00F654EF"/>
    <w:rsid w:val="00F65602"/>
    <w:rsid w:val="00F65690"/>
    <w:rsid w:val="00F656E8"/>
    <w:rsid w:val="00F656EA"/>
    <w:rsid w:val="00F658F0"/>
    <w:rsid w:val="00F65A4D"/>
    <w:rsid w:val="00F65B86"/>
    <w:rsid w:val="00F65BF0"/>
    <w:rsid w:val="00F65D7D"/>
    <w:rsid w:val="00F660BB"/>
    <w:rsid w:val="00F662EB"/>
    <w:rsid w:val="00F66334"/>
    <w:rsid w:val="00F66343"/>
    <w:rsid w:val="00F664F0"/>
    <w:rsid w:val="00F6658F"/>
    <w:rsid w:val="00F66687"/>
    <w:rsid w:val="00F668A2"/>
    <w:rsid w:val="00F6690D"/>
    <w:rsid w:val="00F66A30"/>
    <w:rsid w:val="00F66AEF"/>
    <w:rsid w:val="00F66B3E"/>
    <w:rsid w:val="00F66E71"/>
    <w:rsid w:val="00F66F46"/>
    <w:rsid w:val="00F67220"/>
    <w:rsid w:val="00F673B4"/>
    <w:rsid w:val="00F67427"/>
    <w:rsid w:val="00F67447"/>
    <w:rsid w:val="00F6745E"/>
    <w:rsid w:val="00F67474"/>
    <w:rsid w:val="00F6748E"/>
    <w:rsid w:val="00F674E6"/>
    <w:rsid w:val="00F675EF"/>
    <w:rsid w:val="00F67608"/>
    <w:rsid w:val="00F67677"/>
    <w:rsid w:val="00F678B7"/>
    <w:rsid w:val="00F6793D"/>
    <w:rsid w:val="00F67A9F"/>
    <w:rsid w:val="00F67BCE"/>
    <w:rsid w:val="00F67D1A"/>
    <w:rsid w:val="00F67DAC"/>
    <w:rsid w:val="00F67DF4"/>
    <w:rsid w:val="00F67F71"/>
    <w:rsid w:val="00F70015"/>
    <w:rsid w:val="00F7024D"/>
    <w:rsid w:val="00F70256"/>
    <w:rsid w:val="00F70257"/>
    <w:rsid w:val="00F70510"/>
    <w:rsid w:val="00F7051E"/>
    <w:rsid w:val="00F706AA"/>
    <w:rsid w:val="00F706C2"/>
    <w:rsid w:val="00F70973"/>
    <w:rsid w:val="00F70C74"/>
    <w:rsid w:val="00F70DD5"/>
    <w:rsid w:val="00F71180"/>
    <w:rsid w:val="00F71380"/>
    <w:rsid w:val="00F713E4"/>
    <w:rsid w:val="00F7156B"/>
    <w:rsid w:val="00F715B4"/>
    <w:rsid w:val="00F716E9"/>
    <w:rsid w:val="00F718BA"/>
    <w:rsid w:val="00F7199F"/>
    <w:rsid w:val="00F719F3"/>
    <w:rsid w:val="00F71BA5"/>
    <w:rsid w:val="00F71CB4"/>
    <w:rsid w:val="00F71FB4"/>
    <w:rsid w:val="00F72004"/>
    <w:rsid w:val="00F72243"/>
    <w:rsid w:val="00F72340"/>
    <w:rsid w:val="00F723EF"/>
    <w:rsid w:val="00F72558"/>
    <w:rsid w:val="00F7261A"/>
    <w:rsid w:val="00F72712"/>
    <w:rsid w:val="00F72838"/>
    <w:rsid w:val="00F7283B"/>
    <w:rsid w:val="00F729AB"/>
    <w:rsid w:val="00F72B66"/>
    <w:rsid w:val="00F72C63"/>
    <w:rsid w:val="00F72CA9"/>
    <w:rsid w:val="00F72ED5"/>
    <w:rsid w:val="00F72EDC"/>
    <w:rsid w:val="00F72F9B"/>
    <w:rsid w:val="00F733E9"/>
    <w:rsid w:val="00F7370F"/>
    <w:rsid w:val="00F73710"/>
    <w:rsid w:val="00F7373D"/>
    <w:rsid w:val="00F738D4"/>
    <w:rsid w:val="00F73AA0"/>
    <w:rsid w:val="00F73D0C"/>
    <w:rsid w:val="00F73F3B"/>
    <w:rsid w:val="00F73F69"/>
    <w:rsid w:val="00F73FF6"/>
    <w:rsid w:val="00F74097"/>
    <w:rsid w:val="00F74116"/>
    <w:rsid w:val="00F741A3"/>
    <w:rsid w:val="00F74274"/>
    <w:rsid w:val="00F743A7"/>
    <w:rsid w:val="00F74424"/>
    <w:rsid w:val="00F7442D"/>
    <w:rsid w:val="00F7461F"/>
    <w:rsid w:val="00F74751"/>
    <w:rsid w:val="00F747F4"/>
    <w:rsid w:val="00F74819"/>
    <w:rsid w:val="00F7484F"/>
    <w:rsid w:val="00F748A4"/>
    <w:rsid w:val="00F74A39"/>
    <w:rsid w:val="00F74AE1"/>
    <w:rsid w:val="00F74CCC"/>
    <w:rsid w:val="00F74CE5"/>
    <w:rsid w:val="00F74D4D"/>
    <w:rsid w:val="00F74E22"/>
    <w:rsid w:val="00F74E59"/>
    <w:rsid w:val="00F74ED8"/>
    <w:rsid w:val="00F74F36"/>
    <w:rsid w:val="00F74F70"/>
    <w:rsid w:val="00F74FE9"/>
    <w:rsid w:val="00F7501A"/>
    <w:rsid w:val="00F75250"/>
    <w:rsid w:val="00F75252"/>
    <w:rsid w:val="00F752E0"/>
    <w:rsid w:val="00F75305"/>
    <w:rsid w:val="00F75317"/>
    <w:rsid w:val="00F75339"/>
    <w:rsid w:val="00F75428"/>
    <w:rsid w:val="00F758C4"/>
    <w:rsid w:val="00F758E9"/>
    <w:rsid w:val="00F75920"/>
    <w:rsid w:val="00F75947"/>
    <w:rsid w:val="00F75AD5"/>
    <w:rsid w:val="00F75B6F"/>
    <w:rsid w:val="00F75C34"/>
    <w:rsid w:val="00F76281"/>
    <w:rsid w:val="00F76508"/>
    <w:rsid w:val="00F76530"/>
    <w:rsid w:val="00F76612"/>
    <w:rsid w:val="00F7666C"/>
    <w:rsid w:val="00F76913"/>
    <w:rsid w:val="00F76949"/>
    <w:rsid w:val="00F76AA4"/>
    <w:rsid w:val="00F76B82"/>
    <w:rsid w:val="00F76C13"/>
    <w:rsid w:val="00F76C2A"/>
    <w:rsid w:val="00F76C73"/>
    <w:rsid w:val="00F76F22"/>
    <w:rsid w:val="00F76FF1"/>
    <w:rsid w:val="00F7701C"/>
    <w:rsid w:val="00F77386"/>
    <w:rsid w:val="00F7743B"/>
    <w:rsid w:val="00F77A29"/>
    <w:rsid w:val="00F77B75"/>
    <w:rsid w:val="00F77D03"/>
    <w:rsid w:val="00F77DF1"/>
    <w:rsid w:val="00F77E35"/>
    <w:rsid w:val="00F77E76"/>
    <w:rsid w:val="00F77FF9"/>
    <w:rsid w:val="00F80002"/>
    <w:rsid w:val="00F80021"/>
    <w:rsid w:val="00F80143"/>
    <w:rsid w:val="00F801FD"/>
    <w:rsid w:val="00F8030B"/>
    <w:rsid w:val="00F8034B"/>
    <w:rsid w:val="00F80451"/>
    <w:rsid w:val="00F80475"/>
    <w:rsid w:val="00F804D7"/>
    <w:rsid w:val="00F8085A"/>
    <w:rsid w:val="00F808D5"/>
    <w:rsid w:val="00F80916"/>
    <w:rsid w:val="00F809A3"/>
    <w:rsid w:val="00F80A49"/>
    <w:rsid w:val="00F80BD9"/>
    <w:rsid w:val="00F80D0D"/>
    <w:rsid w:val="00F80D91"/>
    <w:rsid w:val="00F80DA8"/>
    <w:rsid w:val="00F80E4B"/>
    <w:rsid w:val="00F80E7E"/>
    <w:rsid w:val="00F80EFE"/>
    <w:rsid w:val="00F80F0A"/>
    <w:rsid w:val="00F81064"/>
    <w:rsid w:val="00F810BF"/>
    <w:rsid w:val="00F81158"/>
    <w:rsid w:val="00F811EC"/>
    <w:rsid w:val="00F8124F"/>
    <w:rsid w:val="00F81262"/>
    <w:rsid w:val="00F81383"/>
    <w:rsid w:val="00F81478"/>
    <w:rsid w:val="00F814E6"/>
    <w:rsid w:val="00F81593"/>
    <w:rsid w:val="00F81706"/>
    <w:rsid w:val="00F81784"/>
    <w:rsid w:val="00F818C1"/>
    <w:rsid w:val="00F818CC"/>
    <w:rsid w:val="00F81934"/>
    <w:rsid w:val="00F81A91"/>
    <w:rsid w:val="00F81AC9"/>
    <w:rsid w:val="00F81D99"/>
    <w:rsid w:val="00F81F17"/>
    <w:rsid w:val="00F81F46"/>
    <w:rsid w:val="00F820EE"/>
    <w:rsid w:val="00F82213"/>
    <w:rsid w:val="00F82245"/>
    <w:rsid w:val="00F82286"/>
    <w:rsid w:val="00F82292"/>
    <w:rsid w:val="00F8240B"/>
    <w:rsid w:val="00F824D0"/>
    <w:rsid w:val="00F82513"/>
    <w:rsid w:val="00F8256A"/>
    <w:rsid w:val="00F825F9"/>
    <w:rsid w:val="00F82634"/>
    <w:rsid w:val="00F82714"/>
    <w:rsid w:val="00F8285B"/>
    <w:rsid w:val="00F829FF"/>
    <w:rsid w:val="00F82AB2"/>
    <w:rsid w:val="00F82B95"/>
    <w:rsid w:val="00F82D49"/>
    <w:rsid w:val="00F82D6B"/>
    <w:rsid w:val="00F82DA0"/>
    <w:rsid w:val="00F82DCC"/>
    <w:rsid w:val="00F82F38"/>
    <w:rsid w:val="00F83079"/>
    <w:rsid w:val="00F8324D"/>
    <w:rsid w:val="00F832B3"/>
    <w:rsid w:val="00F8333B"/>
    <w:rsid w:val="00F834EE"/>
    <w:rsid w:val="00F83568"/>
    <w:rsid w:val="00F836FB"/>
    <w:rsid w:val="00F8382C"/>
    <w:rsid w:val="00F839B6"/>
    <w:rsid w:val="00F839D0"/>
    <w:rsid w:val="00F83A5B"/>
    <w:rsid w:val="00F83B5A"/>
    <w:rsid w:val="00F83BAC"/>
    <w:rsid w:val="00F83CCF"/>
    <w:rsid w:val="00F83CF4"/>
    <w:rsid w:val="00F83E6D"/>
    <w:rsid w:val="00F8400E"/>
    <w:rsid w:val="00F841A3"/>
    <w:rsid w:val="00F84280"/>
    <w:rsid w:val="00F845CE"/>
    <w:rsid w:val="00F847DD"/>
    <w:rsid w:val="00F84853"/>
    <w:rsid w:val="00F848DB"/>
    <w:rsid w:val="00F84930"/>
    <w:rsid w:val="00F8493C"/>
    <w:rsid w:val="00F849A8"/>
    <w:rsid w:val="00F849DC"/>
    <w:rsid w:val="00F84B7A"/>
    <w:rsid w:val="00F84E99"/>
    <w:rsid w:val="00F84F52"/>
    <w:rsid w:val="00F84FE6"/>
    <w:rsid w:val="00F85035"/>
    <w:rsid w:val="00F850D1"/>
    <w:rsid w:val="00F851DB"/>
    <w:rsid w:val="00F852D6"/>
    <w:rsid w:val="00F852DA"/>
    <w:rsid w:val="00F85329"/>
    <w:rsid w:val="00F8559E"/>
    <w:rsid w:val="00F85659"/>
    <w:rsid w:val="00F856B2"/>
    <w:rsid w:val="00F857EB"/>
    <w:rsid w:val="00F85888"/>
    <w:rsid w:val="00F858B3"/>
    <w:rsid w:val="00F858C4"/>
    <w:rsid w:val="00F8595E"/>
    <w:rsid w:val="00F85AEB"/>
    <w:rsid w:val="00F85CC1"/>
    <w:rsid w:val="00F85EC5"/>
    <w:rsid w:val="00F85EEC"/>
    <w:rsid w:val="00F85F81"/>
    <w:rsid w:val="00F85FC6"/>
    <w:rsid w:val="00F860C5"/>
    <w:rsid w:val="00F860F1"/>
    <w:rsid w:val="00F86150"/>
    <w:rsid w:val="00F86400"/>
    <w:rsid w:val="00F8649D"/>
    <w:rsid w:val="00F864F5"/>
    <w:rsid w:val="00F8678A"/>
    <w:rsid w:val="00F868B9"/>
    <w:rsid w:val="00F8690E"/>
    <w:rsid w:val="00F86958"/>
    <w:rsid w:val="00F86983"/>
    <w:rsid w:val="00F86C1F"/>
    <w:rsid w:val="00F86FB5"/>
    <w:rsid w:val="00F870FA"/>
    <w:rsid w:val="00F87118"/>
    <w:rsid w:val="00F8718C"/>
    <w:rsid w:val="00F8722C"/>
    <w:rsid w:val="00F872B5"/>
    <w:rsid w:val="00F872FA"/>
    <w:rsid w:val="00F87307"/>
    <w:rsid w:val="00F87459"/>
    <w:rsid w:val="00F874DE"/>
    <w:rsid w:val="00F87677"/>
    <w:rsid w:val="00F87789"/>
    <w:rsid w:val="00F8787F"/>
    <w:rsid w:val="00F87AD3"/>
    <w:rsid w:val="00F87CF2"/>
    <w:rsid w:val="00F87E32"/>
    <w:rsid w:val="00F87EA0"/>
    <w:rsid w:val="00F87F05"/>
    <w:rsid w:val="00F90029"/>
    <w:rsid w:val="00F90071"/>
    <w:rsid w:val="00F901E6"/>
    <w:rsid w:val="00F9020B"/>
    <w:rsid w:val="00F90343"/>
    <w:rsid w:val="00F90472"/>
    <w:rsid w:val="00F90631"/>
    <w:rsid w:val="00F9067A"/>
    <w:rsid w:val="00F90725"/>
    <w:rsid w:val="00F90726"/>
    <w:rsid w:val="00F9072A"/>
    <w:rsid w:val="00F908F4"/>
    <w:rsid w:val="00F90AEA"/>
    <w:rsid w:val="00F90C64"/>
    <w:rsid w:val="00F90C83"/>
    <w:rsid w:val="00F90C87"/>
    <w:rsid w:val="00F90E26"/>
    <w:rsid w:val="00F90FFF"/>
    <w:rsid w:val="00F9102F"/>
    <w:rsid w:val="00F9121F"/>
    <w:rsid w:val="00F91239"/>
    <w:rsid w:val="00F913A4"/>
    <w:rsid w:val="00F914C4"/>
    <w:rsid w:val="00F9170B"/>
    <w:rsid w:val="00F91828"/>
    <w:rsid w:val="00F91874"/>
    <w:rsid w:val="00F9187F"/>
    <w:rsid w:val="00F91896"/>
    <w:rsid w:val="00F9194C"/>
    <w:rsid w:val="00F91C69"/>
    <w:rsid w:val="00F91C9C"/>
    <w:rsid w:val="00F91CE2"/>
    <w:rsid w:val="00F91D0D"/>
    <w:rsid w:val="00F91E8B"/>
    <w:rsid w:val="00F91F12"/>
    <w:rsid w:val="00F91F1A"/>
    <w:rsid w:val="00F91FBE"/>
    <w:rsid w:val="00F91FDE"/>
    <w:rsid w:val="00F922A3"/>
    <w:rsid w:val="00F924B9"/>
    <w:rsid w:val="00F9264B"/>
    <w:rsid w:val="00F92753"/>
    <w:rsid w:val="00F927B1"/>
    <w:rsid w:val="00F927FC"/>
    <w:rsid w:val="00F92822"/>
    <w:rsid w:val="00F92865"/>
    <w:rsid w:val="00F92A0F"/>
    <w:rsid w:val="00F92ABF"/>
    <w:rsid w:val="00F92B20"/>
    <w:rsid w:val="00F92B53"/>
    <w:rsid w:val="00F92C64"/>
    <w:rsid w:val="00F92C8B"/>
    <w:rsid w:val="00F92CD0"/>
    <w:rsid w:val="00F92E5B"/>
    <w:rsid w:val="00F93013"/>
    <w:rsid w:val="00F931EA"/>
    <w:rsid w:val="00F93317"/>
    <w:rsid w:val="00F93341"/>
    <w:rsid w:val="00F933D8"/>
    <w:rsid w:val="00F934DF"/>
    <w:rsid w:val="00F936A4"/>
    <w:rsid w:val="00F9381E"/>
    <w:rsid w:val="00F93982"/>
    <w:rsid w:val="00F93CD4"/>
    <w:rsid w:val="00F93CFE"/>
    <w:rsid w:val="00F93E1E"/>
    <w:rsid w:val="00F93ED8"/>
    <w:rsid w:val="00F93F5A"/>
    <w:rsid w:val="00F93FD4"/>
    <w:rsid w:val="00F93FDF"/>
    <w:rsid w:val="00F94070"/>
    <w:rsid w:val="00F940E1"/>
    <w:rsid w:val="00F941C2"/>
    <w:rsid w:val="00F94383"/>
    <w:rsid w:val="00F94498"/>
    <w:rsid w:val="00F947CA"/>
    <w:rsid w:val="00F948F6"/>
    <w:rsid w:val="00F94963"/>
    <w:rsid w:val="00F949E3"/>
    <w:rsid w:val="00F94EDA"/>
    <w:rsid w:val="00F95068"/>
    <w:rsid w:val="00F95127"/>
    <w:rsid w:val="00F952B0"/>
    <w:rsid w:val="00F952E6"/>
    <w:rsid w:val="00F95706"/>
    <w:rsid w:val="00F9579A"/>
    <w:rsid w:val="00F95A67"/>
    <w:rsid w:val="00F95A88"/>
    <w:rsid w:val="00F95BB0"/>
    <w:rsid w:val="00F95CB8"/>
    <w:rsid w:val="00F95F01"/>
    <w:rsid w:val="00F96182"/>
    <w:rsid w:val="00F961B2"/>
    <w:rsid w:val="00F9635D"/>
    <w:rsid w:val="00F963B3"/>
    <w:rsid w:val="00F96423"/>
    <w:rsid w:val="00F96460"/>
    <w:rsid w:val="00F96533"/>
    <w:rsid w:val="00F967D6"/>
    <w:rsid w:val="00F9684B"/>
    <w:rsid w:val="00F9685D"/>
    <w:rsid w:val="00F96867"/>
    <w:rsid w:val="00F968E3"/>
    <w:rsid w:val="00F96BA2"/>
    <w:rsid w:val="00F96BB7"/>
    <w:rsid w:val="00F96F43"/>
    <w:rsid w:val="00F96F49"/>
    <w:rsid w:val="00F9710C"/>
    <w:rsid w:val="00F97286"/>
    <w:rsid w:val="00F974B9"/>
    <w:rsid w:val="00F97A8C"/>
    <w:rsid w:val="00F97AC5"/>
    <w:rsid w:val="00F97C74"/>
    <w:rsid w:val="00F97CC7"/>
    <w:rsid w:val="00F97E5D"/>
    <w:rsid w:val="00F97FE2"/>
    <w:rsid w:val="00FA00F2"/>
    <w:rsid w:val="00FA0144"/>
    <w:rsid w:val="00FA0155"/>
    <w:rsid w:val="00FA032A"/>
    <w:rsid w:val="00FA0373"/>
    <w:rsid w:val="00FA0387"/>
    <w:rsid w:val="00FA0505"/>
    <w:rsid w:val="00FA080B"/>
    <w:rsid w:val="00FA090B"/>
    <w:rsid w:val="00FA0B85"/>
    <w:rsid w:val="00FA0BCA"/>
    <w:rsid w:val="00FA0D5E"/>
    <w:rsid w:val="00FA0D87"/>
    <w:rsid w:val="00FA10C2"/>
    <w:rsid w:val="00FA12C1"/>
    <w:rsid w:val="00FA1592"/>
    <w:rsid w:val="00FA167F"/>
    <w:rsid w:val="00FA16C0"/>
    <w:rsid w:val="00FA16E7"/>
    <w:rsid w:val="00FA1800"/>
    <w:rsid w:val="00FA181A"/>
    <w:rsid w:val="00FA1A3F"/>
    <w:rsid w:val="00FA1AEB"/>
    <w:rsid w:val="00FA1BB9"/>
    <w:rsid w:val="00FA1C66"/>
    <w:rsid w:val="00FA1D0B"/>
    <w:rsid w:val="00FA1D51"/>
    <w:rsid w:val="00FA1F2C"/>
    <w:rsid w:val="00FA2189"/>
    <w:rsid w:val="00FA22E9"/>
    <w:rsid w:val="00FA2360"/>
    <w:rsid w:val="00FA23CE"/>
    <w:rsid w:val="00FA24F3"/>
    <w:rsid w:val="00FA2572"/>
    <w:rsid w:val="00FA26A7"/>
    <w:rsid w:val="00FA2757"/>
    <w:rsid w:val="00FA278C"/>
    <w:rsid w:val="00FA27F6"/>
    <w:rsid w:val="00FA2800"/>
    <w:rsid w:val="00FA29F8"/>
    <w:rsid w:val="00FA2C55"/>
    <w:rsid w:val="00FA2D8D"/>
    <w:rsid w:val="00FA2E72"/>
    <w:rsid w:val="00FA2ED1"/>
    <w:rsid w:val="00FA31B2"/>
    <w:rsid w:val="00FA321E"/>
    <w:rsid w:val="00FA322E"/>
    <w:rsid w:val="00FA326F"/>
    <w:rsid w:val="00FA33B1"/>
    <w:rsid w:val="00FA341C"/>
    <w:rsid w:val="00FA3472"/>
    <w:rsid w:val="00FA34F6"/>
    <w:rsid w:val="00FA3511"/>
    <w:rsid w:val="00FA3518"/>
    <w:rsid w:val="00FA361A"/>
    <w:rsid w:val="00FA3679"/>
    <w:rsid w:val="00FA3BC3"/>
    <w:rsid w:val="00FA3BCE"/>
    <w:rsid w:val="00FA3C4C"/>
    <w:rsid w:val="00FA3C77"/>
    <w:rsid w:val="00FA3CAA"/>
    <w:rsid w:val="00FA3DF5"/>
    <w:rsid w:val="00FA3E87"/>
    <w:rsid w:val="00FA3EA2"/>
    <w:rsid w:val="00FA3EF3"/>
    <w:rsid w:val="00FA3FCE"/>
    <w:rsid w:val="00FA40AE"/>
    <w:rsid w:val="00FA40D7"/>
    <w:rsid w:val="00FA44AA"/>
    <w:rsid w:val="00FA44F2"/>
    <w:rsid w:val="00FA455A"/>
    <w:rsid w:val="00FA4652"/>
    <w:rsid w:val="00FA4828"/>
    <w:rsid w:val="00FA48B5"/>
    <w:rsid w:val="00FA49C7"/>
    <w:rsid w:val="00FA4A39"/>
    <w:rsid w:val="00FA4A45"/>
    <w:rsid w:val="00FA4DAD"/>
    <w:rsid w:val="00FA5061"/>
    <w:rsid w:val="00FA50F2"/>
    <w:rsid w:val="00FA5247"/>
    <w:rsid w:val="00FA52CA"/>
    <w:rsid w:val="00FA5711"/>
    <w:rsid w:val="00FA575C"/>
    <w:rsid w:val="00FA58F1"/>
    <w:rsid w:val="00FA5B61"/>
    <w:rsid w:val="00FA5C8D"/>
    <w:rsid w:val="00FA5D3C"/>
    <w:rsid w:val="00FA5E04"/>
    <w:rsid w:val="00FA5E5A"/>
    <w:rsid w:val="00FA5EB6"/>
    <w:rsid w:val="00FA5EE0"/>
    <w:rsid w:val="00FA603D"/>
    <w:rsid w:val="00FA60BA"/>
    <w:rsid w:val="00FA61FF"/>
    <w:rsid w:val="00FA62B6"/>
    <w:rsid w:val="00FA6401"/>
    <w:rsid w:val="00FA65F3"/>
    <w:rsid w:val="00FA66E5"/>
    <w:rsid w:val="00FA6719"/>
    <w:rsid w:val="00FA6A84"/>
    <w:rsid w:val="00FA6D9F"/>
    <w:rsid w:val="00FA6F47"/>
    <w:rsid w:val="00FA6F5C"/>
    <w:rsid w:val="00FA7000"/>
    <w:rsid w:val="00FA719B"/>
    <w:rsid w:val="00FA739E"/>
    <w:rsid w:val="00FA7462"/>
    <w:rsid w:val="00FA7561"/>
    <w:rsid w:val="00FA7604"/>
    <w:rsid w:val="00FA7754"/>
    <w:rsid w:val="00FA777A"/>
    <w:rsid w:val="00FA77BB"/>
    <w:rsid w:val="00FA7821"/>
    <w:rsid w:val="00FA79DE"/>
    <w:rsid w:val="00FA7AD2"/>
    <w:rsid w:val="00FA7AF4"/>
    <w:rsid w:val="00FA7BA2"/>
    <w:rsid w:val="00FA7DF7"/>
    <w:rsid w:val="00FA7F19"/>
    <w:rsid w:val="00FA7FA1"/>
    <w:rsid w:val="00FB0020"/>
    <w:rsid w:val="00FB0025"/>
    <w:rsid w:val="00FB003F"/>
    <w:rsid w:val="00FB01B3"/>
    <w:rsid w:val="00FB0232"/>
    <w:rsid w:val="00FB02C4"/>
    <w:rsid w:val="00FB032C"/>
    <w:rsid w:val="00FB0345"/>
    <w:rsid w:val="00FB0592"/>
    <w:rsid w:val="00FB06A8"/>
    <w:rsid w:val="00FB06B6"/>
    <w:rsid w:val="00FB07AA"/>
    <w:rsid w:val="00FB090A"/>
    <w:rsid w:val="00FB091C"/>
    <w:rsid w:val="00FB0945"/>
    <w:rsid w:val="00FB0955"/>
    <w:rsid w:val="00FB09CF"/>
    <w:rsid w:val="00FB0A97"/>
    <w:rsid w:val="00FB0B1B"/>
    <w:rsid w:val="00FB0B9B"/>
    <w:rsid w:val="00FB0C72"/>
    <w:rsid w:val="00FB0C92"/>
    <w:rsid w:val="00FB0CF8"/>
    <w:rsid w:val="00FB0D22"/>
    <w:rsid w:val="00FB0E0A"/>
    <w:rsid w:val="00FB0E31"/>
    <w:rsid w:val="00FB0E41"/>
    <w:rsid w:val="00FB0F2A"/>
    <w:rsid w:val="00FB0F7E"/>
    <w:rsid w:val="00FB1030"/>
    <w:rsid w:val="00FB12C4"/>
    <w:rsid w:val="00FB12E2"/>
    <w:rsid w:val="00FB1312"/>
    <w:rsid w:val="00FB13CD"/>
    <w:rsid w:val="00FB13FB"/>
    <w:rsid w:val="00FB144E"/>
    <w:rsid w:val="00FB1656"/>
    <w:rsid w:val="00FB1795"/>
    <w:rsid w:val="00FB1858"/>
    <w:rsid w:val="00FB18D5"/>
    <w:rsid w:val="00FB190F"/>
    <w:rsid w:val="00FB1A3E"/>
    <w:rsid w:val="00FB1AE8"/>
    <w:rsid w:val="00FB1B59"/>
    <w:rsid w:val="00FB1B79"/>
    <w:rsid w:val="00FB1D63"/>
    <w:rsid w:val="00FB1F1F"/>
    <w:rsid w:val="00FB1FF5"/>
    <w:rsid w:val="00FB216E"/>
    <w:rsid w:val="00FB21A1"/>
    <w:rsid w:val="00FB220A"/>
    <w:rsid w:val="00FB2238"/>
    <w:rsid w:val="00FB226A"/>
    <w:rsid w:val="00FB25E9"/>
    <w:rsid w:val="00FB2841"/>
    <w:rsid w:val="00FB285C"/>
    <w:rsid w:val="00FB2889"/>
    <w:rsid w:val="00FB289E"/>
    <w:rsid w:val="00FB2C16"/>
    <w:rsid w:val="00FB2CF8"/>
    <w:rsid w:val="00FB2D37"/>
    <w:rsid w:val="00FB2E6B"/>
    <w:rsid w:val="00FB2FA3"/>
    <w:rsid w:val="00FB319B"/>
    <w:rsid w:val="00FB31BA"/>
    <w:rsid w:val="00FB3260"/>
    <w:rsid w:val="00FB3306"/>
    <w:rsid w:val="00FB3326"/>
    <w:rsid w:val="00FB33DF"/>
    <w:rsid w:val="00FB3420"/>
    <w:rsid w:val="00FB34AB"/>
    <w:rsid w:val="00FB3641"/>
    <w:rsid w:val="00FB368F"/>
    <w:rsid w:val="00FB39E3"/>
    <w:rsid w:val="00FB3A91"/>
    <w:rsid w:val="00FB3C4E"/>
    <w:rsid w:val="00FB428A"/>
    <w:rsid w:val="00FB4424"/>
    <w:rsid w:val="00FB444A"/>
    <w:rsid w:val="00FB4461"/>
    <w:rsid w:val="00FB4544"/>
    <w:rsid w:val="00FB4949"/>
    <w:rsid w:val="00FB4985"/>
    <w:rsid w:val="00FB4C60"/>
    <w:rsid w:val="00FB4D3E"/>
    <w:rsid w:val="00FB4F2A"/>
    <w:rsid w:val="00FB50FF"/>
    <w:rsid w:val="00FB5165"/>
    <w:rsid w:val="00FB529F"/>
    <w:rsid w:val="00FB52D5"/>
    <w:rsid w:val="00FB53B7"/>
    <w:rsid w:val="00FB5506"/>
    <w:rsid w:val="00FB562E"/>
    <w:rsid w:val="00FB564B"/>
    <w:rsid w:val="00FB5815"/>
    <w:rsid w:val="00FB5878"/>
    <w:rsid w:val="00FB5880"/>
    <w:rsid w:val="00FB595C"/>
    <w:rsid w:val="00FB5960"/>
    <w:rsid w:val="00FB59EB"/>
    <w:rsid w:val="00FB5AB8"/>
    <w:rsid w:val="00FB5AE3"/>
    <w:rsid w:val="00FB5DB2"/>
    <w:rsid w:val="00FB5DEB"/>
    <w:rsid w:val="00FB5EA8"/>
    <w:rsid w:val="00FB5F1D"/>
    <w:rsid w:val="00FB5F1F"/>
    <w:rsid w:val="00FB5F84"/>
    <w:rsid w:val="00FB61F7"/>
    <w:rsid w:val="00FB641C"/>
    <w:rsid w:val="00FB642B"/>
    <w:rsid w:val="00FB649A"/>
    <w:rsid w:val="00FB64FF"/>
    <w:rsid w:val="00FB6680"/>
    <w:rsid w:val="00FB6697"/>
    <w:rsid w:val="00FB6735"/>
    <w:rsid w:val="00FB6A7B"/>
    <w:rsid w:val="00FB6D34"/>
    <w:rsid w:val="00FB6D5A"/>
    <w:rsid w:val="00FB6DFA"/>
    <w:rsid w:val="00FB6E32"/>
    <w:rsid w:val="00FB6F20"/>
    <w:rsid w:val="00FB712E"/>
    <w:rsid w:val="00FB718C"/>
    <w:rsid w:val="00FB71C7"/>
    <w:rsid w:val="00FB71FB"/>
    <w:rsid w:val="00FB73B6"/>
    <w:rsid w:val="00FB73F2"/>
    <w:rsid w:val="00FB747D"/>
    <w:rsid w:val="00FB754F"/>
    <w:rsid w:val="00FB78CD"/>
    <w:rsid w:val="00FB7A3B"/>
    <w:rsid w:val="00FB7B75"/>
    <w:rsid w:val="00FB7B80"/>
    <w:rsid w:val="00FB7C5A"/>
    <w:rsid w:val="00FB7EA1"/>
    <w:rsid w:val="00FB7EA6"/>
    <w:rsid w:val="00FC015D"/>
    <w:rsid w:val="00FC02B4"/>
    <w:rsid w:val="00FC0368"/>
    <w:rsid w:val="00FC038D"/>
    <w:rsid w:val="00FC03FE"/>
    <w:rsid w:val="00FC060B"/>
    <w:rsid w:val="00FC062D"/>
    <w:rsid w:val="00FC0707"/>
    <w:rsid w:val="00FC07B8"/>
    <w:rsid w:val="00FC0872"/>
    <w:rsid w:val="00FC08FC"/>
    <w:rsid w:val="00FC0A2D"/>
    <w:rsid w:val="00FC0A80"/>
    <w:rsid w:val="00FC0A83"/>
    <w:rsid w:val="00FC0CDE"/>
    <w:rsid w:val="00FC0E1B"/>
    <w:rsid w:val="00FC0E46"/>
    <w:rsid w:val="00FC12AA"/>
    <w:rsid w:val="00FC135E"/>
    <w:rsid w:val="00FC150A"/>
    <w:rsid w:val="00FC157B"/>
    <w:rsid w:val="00FC1641"/>
    <w:rsid w:val="00FC1800"/>
    <w:rsid w:val="00FC18F3"/>
    <w:rsid w:val="00FC197E"/>
    <w:rsid w:val="00FC19CA"/>
    <w:rsid w:val="00FC1B0C"/>
    <w:rsid w:val="00FC1B7E"/>
    <w:rsid w:val="00FC1BB3"/>
    <w:rsid w:val="00FC1C35"/>
    <w:rsid w:val="00FC1E61"/>
    <w:rsid w:val="00FC1F86"/>
    <w:rsid w:val="00FC1FBF"/>
    <w:rsid w:val="00FC2093"/>
    <w:rsid w:val="00FC21E0"/>
    <w:rsid w:val="00FC236F"/>
    <w:rsid w:val="00FC23C1"/>
    <w:rsid w:val="00FC23EF"/>
    <w:rsid w:val="00FC246F"/>
    <w:rsid w:val="00FC2477"/>
    <w:rsid w:val="00FC24A8"/>
    <w:rsid w:val="00FC24D4"/>
    <w:rsid w:val="00FC2617"/>
    <w:rsid w:val="00FC2631"/>
    <w:rsid w:val="00FC2702"/>
    <w:rsid w:val="00FC2889"/>
    <w:rsid w:val="00FC28DF"/>
    <w:rsid w:val="00FC2A02"/>
    <w:rsid w:val="00FC2A9D"/>
    <w:rsid w:val="00FC2AED"/>
    <w:rsid w:val="00FC2BCD"/>
    <w:rsid w:val="00FC2CD5"/>
    <w:rsid w:val="00FC2D99"/>
    <w:rsid w:val="00FC2DEE"/>
    <w:rsid w:val="00FC2DFF"/>
    <w:rsid w:val="00FC2E7D"/>
    <w:rsid w:val="00FC2EF7"/>
    <w:rsid w:val="00FC2FD2"/>
    <w:rsid w:val="00FC2FD3"/>
    <w:rsid w:val="00FC3070"/>
    <w:rsid w:val="00FC322C"/>
    <w:rsid w:val="00FC3280"/>
    <w:rsid w:val="00FC32AC"/>
    <w:rsid w:val="00FC32BF"/>
    <w:rsid w:val="00FC3345"/>
    <w:rsid w:val="00FC35ED"/>
    <w:rsid w:val="00FC372B"/>
    <w:rsid w:val="00FC37FE"/>
    <w:rsid w:val="00FC38B6"/>
    <w:rsid w:val="00FC39E9"/>
    <w:rsid w:val="00FC3A0A"/>
    <w:rsid w:val="00FC3C65"/>
    <w:rsid w:val="00FC3C76"/>
    <w:rsid w:val="00FC3CC0"/>
    <w:rsid w:val="00FC3CEB"/>
    <w:rsid w:val="00FC3D1F"/>
    <w:rsid w:val="00FC3DCB"/>
    <w:rsid w:val="00FC3F3C"/>
    <w:rsid w:val="00FC3F9C"/>
    <w:rsid w:val="00FC3F9D"/>
    <w:rsid w:val="00FC3FAA"/>
    <w:rsid w:val="00FC408F"/>
    <w:rsid w:val="00FC4170"/>
    <w:rsid w:val="00FC4254"/>
    <w:rsid w:val="00FC42A1"/>
    <w:rsid w:val="00FC42FC"/>
    <w:rsid w:val="00FC42FF"/>
    <w:rsid w:val="00FC43AC"/>
    <w:rsid w:val="00FC4411"/>
    <w:rsid w:val="00FC4536"/>
    <w:rsid w:val="00FC45D0"/>
    <w:rsid w:val="00FC4674"/>
    <w:rsid w:val="00FC4710"/>
    <w:rsid w:val="00FC4FE9"/>
    <w:rsid w:val="00FC4FF0"/>
    <w:rsid w:val="00FC5137"/>
    <w:rsid w:val="00FC53A1"/>
    <w:rsid w:val="00FC5407"/>
    <w:rsid w:val="00FC5431"/>
    <w:rsid w:val="00FC5491"/>
    <w:rsid w:val="00FC55B2"/>
    <w:rsid w:val="00FC56AF"/>
    <w:rsid w:val="00FC5779"/>
    <w:rsid w:val="00FC5973"/>
    <w:rsid w:val="00FC59C0"/>
    <w:rsid w:val="00FC59D9"/>
    <w:rsid w:val="00FC5A4C"/>
    <w:rsid w:val="00FC5A8A"/>
    <w:rsid w:val="00FC5B2D"/>
    <w:rsid w:val="00FC5B9B"/>
    <w:rsid w:val="00FC5D27"/>
    <w:rsid w:val="00FC5D7A"/>
    <w:rsid w:val="00FC5E23"/>
    <w:rsid w:val="00FC5E28"/>
    <w:rsid w:val="00FC5E45"/>
    <w:rsid w:val="00FC5FA0"/>
    <w:rsid w:val="00FC6145"/>
    <w:rsid w:val="00FC61D6"/>
    <w:rsid w:val="00FC6648"/>
    <w:rsid w:val="00FC698C"/>
    <w:rsid w:val="00FC6AD4"/>
    <w:rsid w:val="00FC6C1B"/>
    <w:rsid w:val="00FC6C55"/>
    <w:rsid w:val="00FC70BD"/>
    <w:rsid w:val="00FC71E5"/>
    <w:rsid w:val="00FC71FA"/>
    <w:rsid w:val="00FC747D"/>
    <w:rsid w:val="00FC75CB"/>
    <w:rsid w:val="00FC7650"/>
    <w:rsid w:val="00FC76D5"/>
    <w:rsid w:val="00FC7ABF"/>
    <w:rsid w:val="00FC7AD2"/>
    <w:rsid w:val="00FC7B5B"/>
    <w:rsid w:val="00FC7D0B"/>
    <w:rsid w:val="00FC7D66"/>
    <w:rsid w:val="00FC7EC5"/>
    <w:rsid w:val="00FC7F86"/>
    <w:rsid w:val="00FD0033"/>
    <w:rsid w:val="00FD0060"/>
    <w:rsid w:val="00FD007E"/>
    <w:rsid w:val="00FD023B"/>
    <w:rsid w:val="00FD0411"/>
    <w:rsid w:val="00FD0639"/>
    <w:rsid w:val="00FD07EF"/>
    <w:rsid w:val="00FD081E"/>
    <w:rsid w:val="00FD09E3"/>
    <w:rsid w:val="00FD09F4"/>
    <w:rsid w:val="00FD0AE5"/>
    <w:rsid w:val="00FD0AE9"/>
    <w:rsid w:val="00FD0AF3"/>
    <w:rsid w:val="00FD0CAD"/>
    <w:rsid w:val="00FD0CDC"/>
    <w:rsid w:val="00FD0D64"/>
    <w:rsid w:val="00FD111F"/>
    <w:rsid w:val="00FD1197"/>
    <w:rsid w:val="00FD12D2"/>
    <w:rsid w:val="00FD1340"/>
    <w:rsid w:val="00FD13C1"/>
    <w:rsid w:val="00FD1417"/>
    <w:rsid w:val="00FD14EE"/>
    <w:rsid w:val="00FD1533"/>
    <w:rsid w:val="00FD15AE"/>
    <w:rsid w:val="00FD1632"/>
    <w:rsid w:val="00FD16BB"/>
    <w:rsid w:val="00FD1756"/>
    <w:rsid w:val="00FD17A9"/>
    <w:rsid w:val="00FD180D"/>
    <w:rsid w:val="00FD1822"/>
    <w:rsid w:val="00FD183D"/>
    <w:rsid w:val="00FD19AC"/>
    <w:rsid w:val="00FD1C26"/>
    <w:rsid w:val="00FD1D50"/>
    <w:rsid w:val="00FD1D96"/>
    <w:rsid w:val="00FD1E71"/>
    <w:rsid w:val="00FD1E9E"/>
    <w:rsid w:val="00FD2275"/>
    <w:rsid w:val="00FD2464"/>
    <w:rsid w:val="00FD24FB"/>
    <w:rsid w:val="00FD26CF"/>
    <w:rsid w:val="00FD27D5"/>
    <w:rsid w:val="00FD28E6"/>
    <w:rsid w:val="00FD29E1"/>
    <w:rsid w:val="00FD2AA7"/>
    <w:rsid w:val="00FD2AB1"/>
    <w:rsid w:val="00FD2ACB"/>
    <w:rsid w:val="00FD2ADF"/>
    <w:rsid w:val="00FD3049"/>
    <w:rsid w:val="00FD325B"/>
    <w:rsid w:val="00FD33AA"/>
    <w:rsid w:val="00FD3596"/>
    <w:rsid w:val="00FD35BF"/>
    <w:rsid w:val="00FD3669"/>
    <w:rsid w:val="00FD3766"/>
    <w:rsid w:val="00FD3820"/>
    <w:rsid w:val="00FD3C36"/>
    <w:rsid w:val="00FD4030"/>
    <w:rsid w:val="00FD4082"/>
    <w:rsid w:val="00FD40A8"/>
    <w:rsid w:val="00FD40E8"/>
    <w:rsid w:val="00FD41B8"/>
    <w:rsid w:val="00FD4240"/>
    <w:rsid w:val="00FD42EC"/>
    <w:rsid w:val="00FD4452"/>
    <w:rsid w:val="00FD4577"/>
    <w:rsid w:val="00FD4786"/>
    <w:rsid w:val="00FD47A5"/>
    <w:rsid w:val="00FD4868"/>
    <w:rsid w:val="00FD4AB9"/>
    <w:rsid w:val="00FD4AD7"/>
    <w:rsid w:val="00FD4C37"/>
    <w:rsid w:val="00FD4C6C"/>
    <w:rsid w:val="00FD4C7D"/>
    <w:rsid w:val="00FD4CE2"/>
    <w:rsid w:val="00FD5073"/>
    <w:rsid w:val="00FD5272"/>
    <w:rsid w:val="00FD54B5"/>
    <w:rsid w:val="00FD5582"/>
    <w:rsid w:val="00FD5634"/>
    <w:rsid w:val="00FD5670"/>
    <w:rsid w:val="00FD5708"/>
    <w:rsid w:val="00FD5876"/>
    <w:rsid w:val="00FD58DB"/>
    <w:rsid w:val="00FD5926"/>
    <w:rsid w:val="00FD5EEA"/>
    <w:rsid w:val="00FD5FA4"/>
    <w:rsid w:val="00FD5FE9"/>
    <w:rsid w:val="00FD61B7"/>
    <w:rsid w:val="00FD62CB"/>
    <w:rsid w:val="00FD652F"/>
    <w:rsid w:val="00FD6B63"/>
    <w:rsid w:val="00FD6B75"/>
    <w:rsid w:val="00FD6CB8"/>
    <w:rsid w:val="00FD6D38"/>
    <w:rsid w:val="00FD6FA1"/>
    <w:rsid w:val="00FD71EA"/>
    <w:rsid w:val="00FD72E2"/>
    <w:rsid w:val="00FD72FC"/>
    <w:rsid w:val="00FD737A"/>
    <w:rsid w:val="00FD7590"/>
    <w:rsid w:val="00FD75DE"/>
    <w:rsid w:val="00FD7686"/>
    <w:rsid w:val="00FD76F8"/>
    <w:rsid w:val="00FD78F5"/>
    <w:rsid w:val="00FD79ED"/>
    <w:rsid w:val="00FD7CB1"/>
    <w:rsid w:val="00FD7DB7"/>
    <w:rsid w:val="00FD7DFD"/>
    <w:rsid w:val="00FD7E60"/>
    <w:rsid w:val="00FD7FE8"/>
    <w:rsid w:val="00FE02AB"/>
    <w:rsid w:val="00FE0367"/>
    <w:rsid w:val="00FE0483"/>
    <w:rsid w:val="00FE04F7"/>
    <w:rsid w:val="00FE050D"/>
    <w:rsid w:val="00FE058E"/>
    <w:rsid w:val="00FE0840"/>
    <w:rsid w:val="00FE08B8"/>
    <w:rsid w:val="00FE097F"/>
    <w:rsid w:val="00FE09C4"/>
    <w:rsid w:val="00FE0C11"/>
    <w:rsid w:val="00FE0E26"/>
    <w:rsid w:val="00FE0EAA"/>
    <w:rsid w:val="00FE0F27"/>
    <w:rsid w:val="00FE0FE6"/>
    <w:rsid w:val="00FE11AD"/>
    <w:rsid w:val="00FE1361"/>
    <w:rsid w:val="00FE1407"/>
    <w:rsid w:val="00FE16E4"/>
    <w:rsid w:val="00FE1781"/>
    <w:rsid w:val="00FE1791"/>
    <w:rsid w:val="00FE17B1"/>
    <w:rsid w:val="00FE1B78"/>
    <w:rsid w:val="00FE1BBE"/>
    <w:rsid w:val="00FE1C07"/>
    <w:rsid w:val="00FE1E83"/>
    <w:rsid w:val="00FE1F16"/>
    <w:rsid w:val="00FE1F4C"/>
    <w:rsid w:val="00FE20DE"/>
    <w:rsid w:val="00FE20F5"/>
    <w:rsid w:val="00FE211C"/>
    <w:rsid w:val="00FE212E"/>
    <w:rsid w:val="00FE2269"/>
    <w:rsid w:val="00FE2359"/>
    <w:rsid w:val="00FE2440"/>
    <w:rsid w:val="00FE2544"/>
    <w:rsid w:val="00FE2852"/>
    <w:rsid w:val="00FE2906"/>
    <w:rsid w:val="00FE2919"/>
    <w:rsid w:val="00FE2AAB"/>
    <w:rsid w:val="00FE2AF2"/>
    <w:rsid w:val="00FE2B0D"/>
    <w:rsid w:val="00FE2DD8"/>
    <w:rsid w:val="00FE2DE6"/>
    <w:rsid w:val="00FE2EF8"/>
    <w:rsid w:val="00FE2F55"/>
    <w:rsid w:val="00FE2F5E"/>
    <w:rsid w:val="00FE2F85"/>
    <w:rsid w:val="00FE30F3"/>
    <w:rsid w:val="00FE31F4"/>
    <w:rsid w:val="00FE3209"/>
    <w:rsid w:val="00FE3266"/>
    <w:rsid w:val="00FE335E"/>
    <w:rsid w:val="00FE3472"/>
    <w:rsid w:val="00FE3552"/>
    <w:rsid w:val="00FE363A"/>
    <w:rsid w:val="00FE3767"/>
    <w:rsid w:val="00FE3778"/>
    <w:rsid w:val="00FE37AC"/>
    <w:rsid w:val="00FE3BEA"/>
    <w:rsid w:val="00FE3C51"/>
    <w:rsid w:val="00FE3C62"/>
    <w:rsid w:val="00FE3D10"/>
    <w:rsid w:val="00FE3F65"/>
    <w:rsid w:val="00FE40CC"/>
    <w:rsid w:val="00FE40D6"/>
    <w:rsid w:val="00FE40D8"/>
    <w:rsid w:val="00FE4700"/>
    <w:rsid w:val="00FE4735"/>
    <w:rsid w:val="00FE474F"/>
    <w:rsid w:val="00FE47EB"/>
    <w:rsid w:val="00FE4897"/>
    <w:rsid w:val="00FE4941"/>
    <w:rsid w:val="00FE4A36"/>
    <w:rsid w:val="00FE4E00"/>
    <w:rsid w:val="00FE4E6C"/>
    <w:rsid w:val="00FE4F66"/>
    <w:rsid w:val="00FE5088"/>
    <w:rsid w:val="00FE5109"/>
    <w:rsid w:val="00FE5289"/>
    <w:rsid w:val="00FE5334"/>
    <w:rsid w:val="00FE538B"/>
    <w:rsid w:val="00FE53E8"/>
    <w:rsid w:val="00FE54D2"/>
    <w:rsid w:val="00FE55D0"/>
    <w:rsid w:val="00FE55E5"/>
    <w:rsid w:val="00FE59DA"/>
    <w:rsid w:val="00FE5B99"/>
    <w:rsid w:val="00FE5BAF"/>
    <w:rsid w:val="00FE5C4E"/>
    <w:rsid w:val="00FE5C66"/>
    <w:rsid w:val="00FE5D41"/>
    <w:rsid w:val="00FE5D8B"/>
    <w:rsid w:val="00FE5E33"/>
    <w:rsid w:val="00FE5E41"/>
    <w:rsid w:val="00FE5EF4"/>
    <w:rsid w:val="00FE5F73"/>
    <w:rsid w:val="00FE631B"/>
    <w:rsid w:val="00FE631D"/>
    <w:rsid w:val="00FE63E1"/>
    <w:rsid w:val="00FE654B"/>
    <w:rsid w:val="00FE6560"/>
    <w:rsid w:val="00FE6582"/>
    <w:rsid w:val="00FE66CE"/>
    <w:rsid w:val="00FE67C0"/>
    <w:rsid w:val="00FE695F"/>
    <w:rsid w:val="00FE6B9F"/>
    <w:rsid w:val="00FE6BC9"/>
    <w:rsid w:val="00FE6DDF"/>
    <w:rsid w:val="00FE6EFF"/>
    <w:rsid w:val="00FE6F87"/>
    <w:rsid w:val="00FE6F8E"/>
    <w:rsid w:val="00FE726A"/>
    <w:rsid w:val="00FE74BA"/>
    <w:rsid w:val="00FE74D7"/>
    <w:rsid w:val="00FE754C"/>
    <w:rsid w:val="00FE763F"/>
    <w:rsid w:val="00FE76C0"/>
    <w:rsid w:val="00FE773F"/>
    <w:rsid w:val="00FE7929"/>
    <w:rsid w:val="00FE7CE9"/>
    <w:rsid w:val="00FE7E24"/>
    <w:rsid w:val="00FE7E84"/>
    <w:rsid w:val="00FE7FA0"/>
    <w:rsid w:val="00FF0006"/>
    <w:rsid w:val="00FF00BE"/>
    <w:rsid w:val="00FF0193"/>
    <w:rsid w:val="00FF034A"/>
    <w:rsid w:val="00FF05C3"/>
    <w:rsid w:val="00FF061C"/>
    <w:rsid w:val="00FF062A"/>
    <w:rsid w:val="00FF06F3"/>
    <w:rsid w:val="00FF08B5"/>
    <w:rsid w:val="00FF09FF"/>
    <w:rsid w:val="00FF0AB9"/>
    <w:rsid w:val="00FF0B70"/>
    <w:rsid w:val="00FF0BF4"/>
    <w:rsid w:val="00FF0BFE"/>
    <w:rsid w:val="00FF0C3D"/>
    <w:rsid w:val="00FF0C70"/>
    <w:rsid w:val="00FF0CBB"/>
    <w:rsid w:val="00FF0F46"/>
    <w:rsid w:val="00FF0FC8"/>
    <w:rsid w:val="00FF0FEC"/>
    <w:rsid w:val="00FF1198"/>
    <w:rsid w:val="00FF11B0"/>
    <w:rsid w:val="00FF12F6"/>
    <w:rsid w:val="00FF13FE"/>
    <w:rsid w:val="00FF144B"/>
    <w:rsid w:val="00FF1565"/>
    <w:rsid w:val="00FF1593"/>
    <w:rsid w:val="00FF15F8"/>
    <w:rsid w:val="00FF1753"/>
    <w:rsid w:val="00FF17AF"/>
    <w:rsid w:val="00FF18EB"/>
    <w:rsid w:val="00FF194B"/>
    <w:rsid w:val="00FF1A4C"/>
    <w:rsid w:val="00FF1B7D"/>
    <w:rsid w:val="00FF1B89"/>
    <w:rsid w:val="00FF1D6D"/>
    <w:rsid w:val="00FF1E0D"/>
    <w:rsid w:val="00FF1E73"/>
    <w:rsid w:val="00FF20D5"/>
    <w:rsid w:val="00FF20D9"/>
    <w:rsid w:val="00FF2464"/>
    <w:rsid w:val="00FF24BF"/>
    <w:rsid w:val="00FF25C3"/>
    <w:rsid w:val="00FF25CB"/>
    <w:rsid w:val="00FF25D8"/>
    <w:rsid w:val="00FF263C"/>
    <w:rsid w:val="00FF2A89"/>
    <w:rsid w:val="00FF2BDC"/>
    <w:rsid w:val="00FF2C6B"/>
    <w:rsid w:val="00FF2C77"/>
    <w:rsid w:val="00FF2CFD"/>
    <w:rsid w:val="00FF2D96"/>
    <w:rsid w:val="00FF2DDC"/>
    <w:rsid w:val="00FF2E66"/>
    <w:rsid w:val="00FF304D"/>
    <w:rsid w:val="00FF3079"/>
    <w:rsid w:val="00FF309B"/>
    <w:rsid w:val="00FF30D6"/>
    <w:rsid w:val="00FF3103"/>
    <w:rsid w:val="00FF31EA"/>
    <w:rsid w:val="00FF33B7"/>
    <w:rsid w:val="00FF35D1"/>
    <w:rsid w:val="00FF35DD"/>
    <w:rsid w:val="00FF3699"/>
    <w:rsid w:val="00FF373E"/>
    <w:rsid w:val="00FF37F8"/>
    <w:rsid w:val="00FF37FA"/>
    <w:rsid w:val="00FF3B5D"/>
    <w:rsid w:val="00FF3B85"/>
    <w:rsid w:val="00FF3B92"/>
    <w:rsid w:val="00FF3BAD"/>
    <w:rsid w:val="00FF3CF0"/>
    <w:rsid w:val="00FF3F58"/>
    <w:rsid w:val="00FF40A8"/>
    <w:rsid w:val="00FF4180"/>
    <w:rsid w:val="00FF41D6"/>
    <w:rsid w:val="00FF433A"/>
    <w:rsid w:val="00FF4596"/>
    <w:rsid w:val="00FF461A"/>
    <w:rsid w:val="00FF46E4"/>
    <w:rsid w:val="00FF4754"/>
    <w:rsid w:val="00FF4989"/>
    <w:rsid w:val="00FF49FD"/>
    <w:rsid w:val="00FF4A52"/>
    <w:rsid w:val="00FF4B0C"/>
    <w:rsid w:val="00FF4BEB"/>
    <w:rsid w:val="00FF4CD9"/>
    <w:rsid w:val="00FF4E51"/>
    <w:rsid w:val="00FF4F49"/>
    <w:rsid w:val="00FF5168"/>
    <w:rsid w:val="00FF52C2"/>
    <w:rsid w:val="00FF552E"/>
    <w:rsid w:val="00FF56C3"/>
    <w:rsid w:val="00FF572E"/>
    <w:rsid w:val="00FF5978"/>
    <w:rsid w:val="00FF5A4B"/>
    <w:rsid w:val="00FF5BDF"/>
    <w:rsid w:val="00FF5BE6"/>
    <w:rsid w:val="00FF5CCA"/>
    <w:rsid w:val="00FF5DBA"/>
    <w:rsid w:val="00FF5DF6"/>
    <w:rsid w:val="00FF5F7C"/>
    <w:rsid w:val="00FF6027"/>
    <w:rsid w:val="00FF61C1"/>
    <w:rsid w:val="00FF6233"/>
    <w:rsid w:val="00FF6381"/>
    <w:rsid w:val="00FF64BC"/>
    <w:rsid w:val="00FF6583"/>
    <w:rsid w:val="00FF65A2"/>
    <w:rsid w:val="00FF6781"/>
    <w:rsid w:val="00FF683A"/>
    <w:rsid w:val="00FF68F2"/>
    <w:rsid w:val="00FF6A2F"/>
    <w:rsid w:val="00FF6BE6"/>
    <w:rsid w:val="00FF6C84"/>
    <w:rsid w:val="00FF6E7A"/>
    <w:rsid w:val="00FF6FB7"/>
    <w:rsid w:val="00FF71EE"/>
    <w:rsid w:val="00FF7214"/>
    <w:rsid w:val="00FF7232"/>
    <w:rsid w:val="00FF727F"/>
    <w:rsid w:val="00FF72B3"/>
    <w:rsid w:val="00FF73C1"/>
    <w:rsid w:val="00FF73D7"/>
    <w:rsid w:val="00FF787B"/>
    <w:rsid w:val="00FF78BD"/>
    <w:rsid w:val="00FF79EB"/>
    <w:rsid w:val="00FF7A4A"/>
    <w:rsid w:val="00FF7ADE"/>
    <w:rsid w:val="00FF7BAA"/>
    <w:rsid w:val="00FF7C31"/>
    <w:rsid w:val="00FF7CA7"/>
    <w:rsid w:val="00FF7EA1"/>
    <w:rsid w:val="00FF7F1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22A270"/>
  <w15:docId w15:val="{6FA53A8A-1C10-4727-B8E4-DD6169964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Cs w:val="24"/>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6AB1"/>
    <w:rPr>
      <w:lang w:val="tr-TR"/>
    </w:rPr>
  </w:style>
  <w:style w:type="paragraph" w:styleId="Balk1">
    <w:name w:val="heading 1"/>
    <w:aliases w:val="h1"/>
    <w:basedOn w:val="Normal"/>
    <w:next w:val="Normal"/>
    <w:link w:val="Balk1Char"/>
    <w:qFormat/>
    <w:rsid w:val="002C6E36"/>
    <w:pPr>
      <w:spacing w:before="240"/>
      <w:outlineLvl w:val="0"/>
    </w:pPr>
    <w:rPr>
      <w:rFonts w:ascii="Univers (WN)" w:hAnsi="Univers (WN)"/>
      <w:b/>
      <w:noProof/>
      <w:szCs w:val="20"/>
      <w:u w:val="single"/>
    </w:rPr>
  </w:style>
  <w:style w:type="paragraph" w:styleId="Balk2">
    <w:name w:val="heading 2"/>
    <w:aliases w:val="h2"/>
    <w:basedOn w:val="Normal"/>
    <w:next w:val="Normal"/>
    <w:link w:val="Balk2Char"/>
    <w:qFormat/>
    <w:rsid w:val="002C6E36"/>
    <w:pPr>
      <w:spacing w:before="120"/>
      <w:outlineLvl w:val="1"/>
    </w:pPr>
    <w:rPr>
      <w:rFonts w:ascii="Univers (WN)" w:hAnsi="Univers (WN)"/>
      <w:b/>
      <w:noProof/>
      <w:szCs w:val="20"/>
    </w:rPr>
  </w:style>
  <w:style w:type="paragraph" w:styleId="Balk3">
    <w:name w:val="heading 3"/>
    <w:aliases w:val="h3"/>
    <w:basedOn w:val="Normal"/>
    <w:next w:val="NormalGirinti"/>
    <w:link w:val="Balk3Char"/>
    <w:uiPriority w:val="9"/>
    <w:qFormat/>
    <w:rsid w:val="002C6E36"/>
    <w:pPr>
      <w:ind w:left="360"/>
      <w:outlineLvl w:val="2"/>
    </w:pPr>
    <w:rPr>
      <w:rFonts w:ascii="CG Times (WN)" w:hAnsi="CG Times (WN)"/>
      <w:b/>
      <w:noProof/>
      <w:szCs w:val="20"/>
    </w:rPr>
  </w:style>
  <w:style w:type="paragraph" w:styleId="Balk4">
    <w:name w:val="heading 4"/>
    <w:aliases w:val="h4"/>
    <w:basedOn w:val="Normal"/>
    <w:next w:val="Normal"/>
    <w:link w:val="Balk4Char"/>
    <w:qFormat/>
    <w:rsid w:val="002C6E36"/>
    <w:pPr>
      <w:keepNext/>
      <w:jc w:val="both"/>
      <w:outlineLvl w:val="3"/>
    </w:pPr>
    <w:rPr>
      <w:b/>
      <w:bCs/>
    </w:rPr>
  </w:style>
  <w:style w:type="paragraph" w:styleId="Balk5">
    <w:name w:val="heading 5"/>
    <w:basedOn w:val="Normal"/>
    <w:next w:val="NormalGirinti"/>
    <w:link w:val="Balk5Char"/>
    <w:qFormat/>
    <w:rsid w:val="002C6E36"/>
    <w:pPr>
      <w:ind w:left="720"/>
      <w:outlineLvl w:val="4"/>
    </w:pPr>
    <w:rPr>
      <w:rFonts w:ascii="CG Times (WN)" w:hAnsi="CG Times (WN)"/>
      <w:b/>
      <w:noProof/>
      <w:szCs w:val="20"/>
    </w:rPr>
  </w:style>
  <w:style w:type="paragraph" w:styleId="Balk6">
    <w:name w:val="heading 6"/>
    <w:basedOn w:val="Normal"/>
    <w:next w:val="NormalGirinti"/>
    <w:link w:val="Balk6Char"/>
    <w:qFormat/>
    <w:rsid w:val="002C6E36"/>
    <w:pPr>
      <w:ind w:left="720"/>
      <w:outlineLvl w:val="5"/>
    </w:pPr>
    <w:rPr>
      <w:rFonts w:ascii="CG Times (WN)" w:hAnsi="CG Times (WN)"/>
      <w:noProof/>
      <w:szCs w:val="20"/>
      <w:u w:val="single"/>
    </w:rPr>
  </w:style>
  <w:style w:type="paragraph" w:styleId="Balk7">
    <w:name w:val="heading 7"/>
    <w:basedOn w:val="Normal"/>
    <w:next w:val="NormalGirinti"/>
    <w:link w:val="Balk7Char"/>
    <w:qFormat/>
    <w:rsid w:val="002C6E36"/>
    <w:pPr>
      <w:ind w:left="720"/>
      <w:outlineLvl w:val="6"/>
    </w:pPr>
    <w:rPr>
      <w:rFonts w:ascii="CG Times (WN)" w:hAnsi="CG Times (WN)"/>
      <w:i/>
      <w:noProof/>
      <w:szCs w:val="20"/>
    </w:rPr>
  </w:style>
  <w:style w:type="paragraph" w:styleId="Balk8">
    <w:name w:val="heading 8"/>
    <w:basedOn w:val="Normal"/>
    <w:next w:val="NormalGirinti"/>
    <w:link w:val="Balk8Char"/>
    <w:qFormat/>
    <w:rsid w:val="002C6E36"/>
    <w:pPr>
      <w:ind w:left="720"/>
      <w:outlineLvl w:val="7"/>
    </w:pPr>
    <w:rPr>
      <w:rFonts w:ascii="CG Times (WN)" w:hAnsi="CG Times (WN)"/>
      <w:i/>
      <w:noProof/>
      <w:szCs w:val="20"/>
    </w:rPr>
  </w:style>
  <w:style w:type="paragraph" w:styleId="Balk9">
    <w:name w:val="heading 9"/>
    <w:basedOn w:val="Normal"/>
    <w:next w:val="Normal"/>
    <w:link w:val="Balk9Char"/>
    <w:qFormat/>
    <w:rsid w:val="002C6E36"/>
    <w:pPr>
      <w:keepNext/>
      <w:outlineLvl w:val="8"/>
    </w:pPr>
    <w:rPr>
      <w:b/>
      <w:bCs/>
      <w:sz w:val="18"/>
      <w:szCs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Girinti">
    <w:name w:val="Normal Indent"/>
    <w:basedOn w:val="Normal"/>
    <w:link w:val="NormalGirintiChar"/>
    <w:uiPriority w:val="99"/>
    <w:rsid w:val="002C6E36"/>
    <w:pPr>
      <w:ind w:left="720"/>
    </w:pPr>
    <w:rPr>
      <w:noProof/>
      <w:szCs w:val="20"/>
    </w:rPr>
  </w:style>
  <w:style w:type="paragraph" w:styleId="GvdeMetniGirintisi3">
    <w:name w:val="Body Text Indent 3"/>
    <w:basedOn w:val="Normal"/>
    <w:link w:val="GvdeMetniGirintisi3Char"/>
    <w:rsid w:val="002C6E36"/>
    <w:pPr>
      <w:tabs>
        <w:tab w:val="right" w:pos="5760"/>
        <w:tab w:val="right" w:pos="7320"/>
        <w:tab w:val="right" w:pos="8863"/>
      </w:tabs>
      <w:spacing w:line="230" w:lineRule="auto"/>
      <w:ind w:left="1440" w:hanging="873"/>
      <w:jc w:val="both"/>
    </w:pPr>
    <w:rPr>
      <w:sz w:val="22"/>
    </w:rPr>
  </w:style>
  <w:style w:type="paragraph" w:styleId="DipnotMetni">
    <w:name w:val="footnote text"/>
    <w:basedOn w:val="Normal"/>
    <w:link w:val="DipnotMetniChar"/>
    <w:semiHidden/>
    <w:rsid w:val="002C6E36"/>
    <w:rPr>
      <w:rFonts w:ascii="Courier New" w:hAnsi="Courier New"/>
      <w:szCs w:val="20"/>
      <w:lang w:val="en-AU"/>
    </w:rPr>
  </w:style>
  <w:style w:type="paragraph" w:styleId="GvdeMetniGirintisi">
    <w:name w:val="Body Text Indent"/>
    <w:basedOn w:val="Normal"/>
    <w:link w:val="GvdeMetniGirintisiChar"/>
    <w:rsid w:val="002C6E36"/>
    <w:pPr>
      <w:ind w:firstLine="720"/>
      <w:jc w:val="both"/>
    </w:pPr>
  </w:style>
  <w:style w:type="paragraph" w:styleId="GvdeMetni">
    <w:name w:val="Body Text"/>
    <w:basedOn w:val="Normal"/>
    <w:link w:val="GvdeMetniChar"/>
    <w:uiPriority w:val="99"/>
    <w:rsid w:val="002C6E36"/>
    <w:pPr>
      <w:tabs>
        <w:tab w:val="left" w:pos="0"/>
        <w:tab w:val="left" w:pos="567"/>
        <w:tab w:val="left" w:pos="720"/>
      </w:tabs>
      <w:jc w:val="both"/>
    </w:pPr>
    <w:rPr>
      <w:color w:val="800000"/>
      <w:szCs w:val="20"/>
    </w:rPr>
  </w:style>
  <w:style w:type="paragraph" w:styleId="GvdeMetni3">
    <w:name w:val="Body Text 3"/>
    <w:basedOn w:val="Normal"/>
    <w:link w:val="GvdeMetni3Char"/>
    <w:uiPriority w:val="99"/>
    <w:rsid w:val="002C6E36"/>
    <w:pPr>
      <w:tabs>
        <w:tab w:val="center" w:pos="539"/>
        <w:tab w:val="center" w:pos="5310"/>
        <w:tab w:val="center" w:pos="7560"/>
      </w:tabs>
    </w:pPr>
    <w:rPr>
      <w:bCs/>
      <w:i/>
      <w:iCs/>
      <w:sz w:val="22"/>
      <w:szCs w:val="20"/>
    </w:rPr>
  </w:style>
  <w:style w:type="paragraph" w:customStyle="1" w:styleId="1tipi">
    <w:name w:val="(1) tipi"/>
    <w:basedOn w:val="Normal"/>
    <w:uiPriority w:val="99"/>
    <w:rsid w:val="002C6E36"/>
    <w:pPr>
      <w:tabs>
        <w:tab w:val="left" w:pos="1134"/>
      </w:tabs>
      <w:jc w:val="both"/>
    </w:pPr>
    <w:rPr>
      <w:rFonts w:ascii="Arial" w:hAnsi="Arial"/>
      <w:noProof/>
      <w:snapToGrid w:val="0"/>
      <w:szCs w:val="20"/>
    </w:rPr>
  </w:style>
  <w:style w:type="paragraph" w:styleId="GvdeMetni2">
    <w:name w:val="Body Text 2"/>
    <w:basedOn w:val="Normal"/>
    <w:link w:val="GvdeMetni2Char"/>
    <w:rsid w:val="002C6E36"/>
    <w:pPr>
      <w:jc w:val="both"/>
    </w:pPr>
    <w:rPr>
      <w:b/>
      <w:szCs w:val="20"/>
    </w:rPr>
  </w:style>
  <w:style w:type="character" w:customStyle="1" w:styleId="GvdeMetni2Char">
    <w:name w:val="Gövde Metni 2 Char"/>
    <w:link w:val="GvdeMetni2"/>
    <w:rsid w:val="002C6E36"/>
    <w:rPr>
      <w:b/>
      <w:sz w:val="24"/>
      <w:lang w:val="tr-TR" w:eastAsia="en-US" w:bidi="ar-SA"/>
    </w:rPr>
  </w:style>
  <w:style w:type="paragraph" w:customStyle="1" w:styleId="xl79">
    <w:name w:val="xl79"/>
    <w:basedOn w:val="Normal"/>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rPr>
  </w:style>
  <w:style w:type="paragraph" w:styleId="SonNotMetni">
    <w:name w:val="endnote text"/>
    <w:basedOn w:val="Normal"/>
    <w:link w:val="SonNotMetniChar"/>
    <w:semiHidden/>
    <w:rsid w:val="002C6E36"/>
    <w:rPr>
      <w:szCs w:val="20"/>
    </w:rPr>
  </w:style>
  <w:style w:type="paragraph" w:styleId="GvdeMetniGirintisi2">
    <w:name w:val="Body Text Indent 2"/>
    <w:basedOn w:val="Normal"/>
    <w:link w:val="GvdeMetniGirintisi2Char"/>
    <w:rsid w:val="002C6E36"/>
    <w:pPr>
      <w:ind w:left="426" w:firstLine="708"/>
      <w:jc w:val="both"/>
    </w:pPr>
    <w:rPr>
      <w:noProof/>
      <w:szCs w:val="20"/>
    </w:rPr>
  </w:style>
  <w:style w:type="paragraph" w:styleId="Liste">
    <w:name w:val="List"/>
    <w:basedOn w:val="Normal"/>
    <w:rsid w:val="002C6E36"/>
    <w:pPr>
      <w:ind w:left="283" w:hanging="283"/>
    </w:pPr>
    <w:rPr>
      <w:noProof/>
    </w:rPr>
  </w:style>
  <w:style w:type="paragraph" w:styleId="NormalWeb">
    <w:name w:val="Normal (Web)"/>
    <w:basedOn w:val="Normal"/>
    <w:link w:val="NormalWebChar"/>
    <w:uiPriority w:val="99"/>
    <w:rsid w:val="002C6E36"/>
    <w:pPr>
      <w:spacing w:before="100" w:beforeAutospacing="1" w:after="100" w:afterAutospacing="1"/>
    </w:pPr>
    <w:rPr>
      <w:rFonts w:ascii="Arial Unicode MS" w:eastAsia="Arial Unicode MS" w:hAnsi="Arial Unicode MS" w:cs="Arial Unicode MS"/>
      <w:noProof/>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SayfaNumaras">
    <w:name w:val="page number"/>
    <w:basedOn w:val="VarsaylanParagrafYazTipi"/>
    <w:rsid w:val="002C6E36"/>
  </w:style>
  <w:style w:type="paragraph" w:styleId="AltBilgi">
    <w:name w:val="footer"/>
    <w:aliases w:val="ft"/>
    <w:basedOn w:val="Normal"/>
    <w:link w:val="AltBilgiChar1"/>
    <w:uiPriority w:val="99"/>
    <w:rsid w:val="002C6E36"/>
    <w:pPr>
      <w:tabs>
        <w:tab w:val="center" w:pos="4536"/>
        <w:tab w:val="right" w:pos="9072"/>
      </w:tabs>
    </w:pPr>
    <w:rPr>
      <w:iCs/>
      <w:noProof/>
      <w:szCs w:val="20"/>
    </w:rPr>
  </w:style>
  <w:style w:type="paragraph" w:styleId="stBilgi">
    <w:name w:val="header"/>
    <w:basedOn w:val="Normal"/>
    <w:link w:val="stBilgiChar1"/>
    <w:uiPriority w:val="99"/>
    <w:rsid w:val="002C6E36"/>
    <w:pPr>
      <w:tabs>
        <w:tab w:val="center" w:pos="4536"/>
        <w:tab w:val="right" w:pos="9072"/>
      </w:tabs>
    </w:pPr>
    <w:rPr>
      <w:iCs/>
      <w:noProof/>
      <w:szCs w:val="20"/>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rPr>
  </w:style>
  <w:style w:type="paragraph" w:customStyle="1" w:styleId="WW-BodyText2">
    <w:name w:val="WW-Body Text 2"/>
    <w:basedOn w:val="Normal"/>
    <w:rsid w:val="002C6E36"/>
    <w:pPr>
      <w:suppressAutoHyphens/>
      <w:jc w:val="both"/>
    </w:pPr>
    <w:rPr>
      <w:b/>
      <w:szCs w:val="20"/>
    </w:rPr>
  </w:style>
  <w:style w:type="character" w:styleId="Kpr">
    <w:name w:val="Hyperlink"/>
    <w:rsid w:val="002C6E36"/>
    <w:rPr>
      <w:color w:val="0000FF"/>
      <w:u w:val="single"/>
    </w:rPr>
  </w:style>
  <w:style w:type="character" w:styleId="zlenenKpr">
    <w:name w:val="FollowedHyperlink"/>
    <w:rsid w:val="002C6E36"/>
    <w:rPr>
      <w:color w:val="800080"/>
      <w:u w:val="single"/>
    </w:rPr>
  </w:style>
  <w:style w:type="paragraph" w:styleId="bekMetni">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rPr>
  </w:style>
  <w:style w:type="paragraph" w:customStyle="1" w:styleId="font5">
    <w:name w:val="font5"/>
    <w:basedOn w:val="Normal"/>
    <w:rsid w:val="002C6E36"/>
    <w:pPr>
      <w:spacing w:before="100" w:beforeAutospacing="1" w:after="100" w:afterAutospacing="1"/>
    </w:pPr>
    <w:rPr>
      <w:rFonts w:ascii="Tahoma" w:eastAsia="Arial Unicode MS" w:hAnsi="Tahoma" w:cs="Tahoma"/>
      <w:b/>
      <w:bCs/>
      <w:noProof/>
      <w:color w:val="000000"/>
      <w:sz w:val="16"/>
      <w:szCs w:val="16"/>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rPr>
  </w:style>
  <w:style w:type="paragraph" w:styleId="ResimYazs">
    <w:name w:val="caption"/>
    <w:basedOn w:val="Normal"/>
    <w:next w:val="Normal"/>
    <w:qFormat/>
    <w:rsid w:val="002C6E36"/>
    <w:pPr>
      <w:tabs>
        <w:tab w:val="left" w:pos="720"/>
      </w:tabs>
      <w:jc w:val="both"/>
    </w:pPr>
    <w:rPr>
      <w:b/>
      <w:sz w:val="22"/>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rPr>
  </w:style>
  <w:style w:type="paragraph" w:styleId="KonuBal">
    <w:name w:val="Title"/>
    <w:basedOn w:val="Normal"/>
    <w:link w:val="KonuBalChar"/>
    <w:qFormat/>
    <w:rsid w:val="002C6E36"/>
    <w:pPr>
      <w:tabs>
        <w:tab w:val="center" w:pos="4395"/>
      </w:tabs>
      <w:autoSpaceDE w:val="0"/>
      <w:autoSpaceDN w:val="0"/>
      <w:adjustRightInd w:val="0"/>
      <w:jc w:val="center"/>
    </w:pPr>
    <w:rPr>
      <w:rFonts w:ascii="Arial" w:hAnsi="Arial"/>
      <w:b/>
      <w:sz w:val="40"/>
      <w:szCs w:val="20"/>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uiPriority w:val="99"/>
    <w:rsid w:val="002C6E36"/>
    <w:pPr>
      <w:ind w:left="1702" w:hanging="568"/>
      <w:jc w:val="both"/>
    </w:pPr>
    <w:rPr>
      <w:rFonts w:ascii="Arial" w:hAnsi="Arial"/>
      <w:noProof/>
      <w:snapToGrid w:val="0"/>
      <w:szCs w:val="20"/>
    </w:rPr>
  </w:style>
  <w:style w:type="paragraph" w:styleId="ListeMaddemi">
    <w:name w:val="List Bullet"/>
    <w:basedOn w:val="Normal"/>
    <w:autoRedefine/>
    <w:rsid w:val="002C6E36"/>
    <w:pPr>
      <w:tabs>
        <w:tab w:val="left" w:pos="284"/>
        <w:tab w:val="left" w:pos="1134"/>
      </w:tabs>
      <w:spacing w:line="280" w:lineRule="atLeast"/>
      <w:ind w:left="284" w:hanging="284"/>
    </w:pPr>
    <w:rPr>
      <w:rFonts w:ascii="Arial" w:hAnsi="Arial"/>
      <w:noProof/>
      <w:sz w:val="22"/>
      <w:szCs w:val="20"/>
    </w:rPr>
  </w:style>
  <w:style w:type="paragraph" w:styleId="ListeMaddemi2">
    <w:name w:val="List Bullet 2"/>
    <w:basedOn w:val="Normal"/>
    <w:autoRedefine/>
    <w:rsid w:val="002C6E36"/>
    <w:pPr>
      <w:tabs>
        <w:tab w:val="left" w:pos="567"/>
        <w:tab w:val="left" w:pos="1134"/>
      </w:tabs>
      <w:spacing w:line="280" w:lineRule="atLeast"/>
      <w:ind w:left="851" w:hanging="284"/>
    </w:pPr>
    <w:rPr>
      <w:rFonts w:ascii="Arial" w:hAnsi="Arial"/>
      <w:noProof/>
      <w:sz w:val="22"/>
      <w:szCs w:val="20"/>
    </w:rPr>
  </w:style>
  <w:style w:type="paragraph" w:styleId="ListeMaddemi3">
    <w:name w:val="List Bullet 3"/>
    <w:basedOn w:val="Normal"/>
    <w:autoRedefine/>
    <w:rsid w:val="002C6E36"/>
    <w:pPr>
      <w:tabs>
        <w:tab w:val="left" w:pos="851"/>
        <w:tab w:val="left" w:pos="1134"/>
      </w:tabs>
      <w:spacing w:line="280" w:lineRule="atLeast"/>
      <w:ind w:left="1135" w:hanging="284"/>
    </w:pPr>
    <w:rPr>
      <w:rFonts w:ascii="Arial" w:hAnsi="Arial"/>
      <w:noProof/>
      <w:sz w:val="22"/>
      <w:szCs w:val="20"/>
    </w:rPr>
  </w:style>
  <w:style w:type="paragraph" w:styleId="ListeMaddemi4">
    <w:name w:val="List Bullet 4"/>
    <w:basedOn w:val="Normal"/>
    <w:autoRedefine/>
    <w:rsid w:val="002C6E36"/>
    <w:pPr>
      <w:tabs>
        <w:tab w:val="left" w:pos="1134"/>
      </w:tabs>
      <w:spacing w:line="280" w:lineRule="atLeast"/>
      <w:ind w:left="1418" w:hanging="284"/>
    </w:pPr>
    <w:rPr>
      <w:rFonts w:ascii="Arial" w:hAnsi="Arial"/>
      <w:noProof/>
      <w:sz w:val="22"/>
      <w:szCs w:val="20"/>
    </w:rPr>
  </w:style>
  <w:style w:type="paragraph" w:styleId="ListeNumaras">
    <w:name w:val="List Number"/>
    <w:basedOn w:val="Normal"/>
    <w:rsid w:val="002C6E36"/>
    <w:pPr>
      <w:tabs>
        <w:tab w:val="left" w:pos="284"/>
        <w:tab w:val="left" w:pos="1134"/>
      </w:tabs>
      <w:spacing w:line="280" w:lineRule="atLeast"/>
      <w:ind w:left="284" w:hanging="284"/>
    </w:pPr>
    <w:rPr>
      <w:rFonts w:ascii="Arial" w:hAnsi="Arial"/>
      <w:noProof/>
      <w:sz w:val="22"/>
      <w:szCs w:val="20"/>
    </w:rPr>
  </w:style>
  <w:style w:type="paragraph" w:styleId="ListeNumaras2">
    <w:name w:val="List Number 2"/>
    <w:basedOn w:val="Normal"/>
    <w:rsid w:val="002C6E36"/>
    <w:pPr>
      <w:tabs>
        <w:tab w:val="left" w:pos="567"/>
        <w:tab w:val="left" w:pos="1134"/>
      </w:tabs>
      <w:spacing w:line="280" w:lineRule="atLeast"/>
      <w:ind w:left="851" w:hanging="284"/>
    </w:pPr>
    <w:rPr>
      <w:rFonts w:ascii="Arial" w:hAnsi="Arial"/>
      <w:noProof/>
      <w:sz w:val="22"/>
      <w:szCs w:val="20"/>
    </w:rPr>
  </w:style>
  <w:style w:type="paragraph" w:styleId="ListeNumaras3">
    <w:name w:val="List Number 3"/>
    <w:basedOn w:val="Normal"/>
    <w:rsid w:val="002C6E36"/>
    <w:pPr>
      <w:tabs>
        <w:tab w:val="left" w:pos="851"/>
        <w:tab w:val="left" w:pos="1134"/>
      </w:tabs>
      <w:spacing w:line="280" w:lineRule="atLeast"/>
      <w:ind w:left="1135" w:hanging="284"/>
    </w:pPr>
    <w:rPr>
      <w:rFonts w:ascii="Arial" w:hAnsi="Arial"/>
      <w:noProof/>
      <w:sz w:val="22"/>
      <w:szCs w:val="20"/>
    </w:rPr>
  </w:style>
  <w:style w:type="paragraph" w:styleId="ListeNumaras5">
    <w:name w:val="List Number 5"/>
    <w:basedOn w:val="Normal"/>
    <w:rsid w:val="002C6E36"/>
    <w:pPr>
      <w:tabs>
        <w:tab w:val="left" w:pos="1134"/>
        <w:tab w:val="left" w:pos="1418"/>
      </w:tabs>
      <w:spacing w:line="280" w:lineRule="atLeast"/>
      <w:ind w:left="1418" w:hanging="284"/>
    </w:pPr>
    <w:rPr>
      <w:rFonts w:ascii="Arial" w:hAnsi="Arial"/>
      <w:noProof/>
      <w:sz w:val="22"/>
      <w:szCs w:val="20"/>
    </w:rPr>
  </w:style>
  <w:style w:type="paragraph" w:styleId="ListeNumaras4">
    <w:name w:val="List Number 4"/>
    <w:basedOn w:val="Normal"/>
    <w:rsid w:val="002C6E36"/>
    <w:pPr>
      <w:tabs>
        <w:tab w:val="left" w:pos="1134"/>
        <w:tab w:val="left" w:pos="1418"/>
      </w:tabs>
      <w:spacing w:line="280" w:lineRule="atLeast"/>
      <w:ind w:left="1209" w:hanging="360"/>
    </w:pPr>
    <w:rPr>
      <w:rFonts w:ascii="Arial" w:hAnsi="Arial"/>
      <w:noProof/>
      <w:sz w:val="22"/>
      <w:szCs w:val="20"/>
    </w:rPr>
  </w:style>
  <w:style w:type="paragraph" w:styleId="ListeMaddemi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rPr>
  </w:style>
  <w:style w:type="paragraph" w:customStyle="1" w:styleId="ABLOCKPARA9">
    <w:name w:val="A BLOCK PARA 9"/>
    <w:basedOn w:val="Normal"/>
    <w:rsid w:val="002C6E36"/>
    <w:pPr>
      <w:spacing w:line="200" w:lineRule="exact"/>
    </w:pPr>
    <w:rPr>
      <w:rFonts w:ascii="Book Antiqua" w:hAnsi="Book Antiqua"/>
      <w:noProof/>
      <w:sz w:val="18"/>
      <w:szCs w:val="20"/>
    </w:rPr>
  </w:style>
  <w:style w:type="paragraph" w:customStyle="1" w:styleId="ABLOCKPARA">
    <w:name w:val="A BLOCK PARA"/>
    <w:basedOn w:val="Normal"/>
    <w:rsid w:val="002C6E36"/>
    <w:rPr>
      <w:rFonts w:ascii="Book Antiqua" w:hAnsi="Book Antiqua"/>
      <w:noProof/>
      <w:sz w:val="22"/>
      <w:szCs w:val="20"/>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rPr>
  </w:style>
  <w:style w:type="paragraph" w:styleId="BalonMetni">
    <w:name w:val="Balloon Text"/>
    <w:basedOn w:val="Normal"/>
    <w:link w:val="BalonMetniChar"/>
    <w:uiPriority w:val="99"/>
    <w:semiHidden/>
    <w:rsid w:val="002C6E36"/>
    <w:rPr>
      <w:rFonts w:ascii="Tahoma" w:hAnsi="Tahoma" w:cs="Tahoma"/>
      <w:noProof/>
      <w:sz w:val="16"/>
      <w:szCs w:val="16"/>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rPr>
  </w:style>
  <w:style w:type="paragraph" w:customStyle="1" w:styleId="BodybyBD">
    <w:name w:val="Body.by.BD"/>
    <w:link w:val="BodybyBDChar"/>
    <w:uiPriority w:val="99"/>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Cs w:val="20"/>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DipnotBavurusu">
    <w:name w:val="footnote reference"/>
    <w:semiHidden/>
    <w:rsid w:val="006E0EF5"/>
    <w:rPr>
      <w:vertAlign w:val="superscript"/>
    </w:rPr>
  </w:style>
  <w:style w:type="character" w:styleId="AklamaBavurusu">
    <w:name w:val="annotation reference"/>
    <w:uiPriority w:val="99"/>
    <w:rsid w:val="00A661B2"/>
    <w:rPr>
      <w:sz w:val="16"/>
      <w:szCs w:val="16"/>
    </w:rPr>
  </w:style>
  <w:style w:type="paragraph" w:styleId="AklamaMetni">
    <w:name w:val="annotation text"/>
    <w:basedOn w:val="Normal"/>
    <w:link w:val="AklamaMetniChar"/>
    <w:uiPriority w:val="99"/>
    <w:rsid w:val="00A661B2"/>
    <w:rPr>
      <w:szCs w:val="20"/>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VarsaylanParagrafYazTipi"/>
    <w:rsid w:val="00741D75"/>
  </w:style>
  <w:style w:type="paragraph" w:styleId="BelgeBalantlar">
    <w:name w:val="Document Map"/>
    <w:basedOn w:val="Normal"/>
    <w:link w:val="BelgeBalantlarChar"/>
    <w:semiHidden/>
    <w:rsid w:val="00696E34"/>
    <w:pPr>
      <w:shd w:val="clear" w:color="auto" w:fill="000080"/>
    </w:pPr>
    <w:rPr>
      <w:rFonts w:ascii="Tahoma" w:hAnsi="Tahoma" w:cs="Tahoma"/>
      <w:szCs w:val="20"/>
    </w:rPr>
  </w:style>
  <w:style w:type="paragraph" w:customStyle="1" w:styleId="Biem1">
    <w:name w:val="Biçem1"/>
    <w:basedOn w:val="Normal"/>
    <w:autoRedefine/>
    <w:rsid w:val="0028491B"/>
    <w:pPr>
      <w:jc w:val="both"/>
    </w:pPr>
    <w:rPr>
      <w:color w:val="000000"/>
      <w:szCs w:val="20"/>
    </w:rPr>
  </w:style>
  <w:style w:type="paragraph" w:styleId="AklamaKonusu">
    <w:name w:val="annotation subject"/>
    <w:basedOn w:val="AklamaMetni"/>
    <w:next w:val="AklamaMetni"/>
    <w:link w:val="AklamaKonusuChar"/>
    <w:uiPriority w:val="99"/>
    <w:rsid w:val="00A61C43"/>
    <w:rPr>
      <w:b/>
      <w:bCs/>
    </w:rPr>
  </w:style>
  <w:style w:type="character" w:customStyle="1" w:styleId="AklamaMetniChar">
    <w:name w:val="Açıklama Metni Char"/>
    <w:link w:val="AklamaMetni"/>
    <w:uiPriority w:val="99"/>
    <w:rsid w:val="00A61C43"/>
    <w:rPr>
      <w:lang w:val="tr-TR" w:eastAsia="tr-TR" w:bidi="ar-SA"/>
    </w:rPr>
  </w:style>
  <w:style w:type="character" w:customStyle="1" w:styleId="AklamaKonusuChar">
    <w:name w:val="Açıklama Konusu Char"/>
    <w:basedOn w:val="AklamaMetniChar"/>
    <w:link w:val="AklamaKonusu"/>
    <w:uiPriority w:val="99"/>
    <w:rsid w:val="00A61C43"/>
    <w:rPr>
      <w:lang w:val="tr-TR" w:eastAsia="tr-TR" w:bidi="ar-SA"/>
    </w:rPr>
  </w:style>
  <w:style w:type="paragraph" w:customStyle="1" w:styleId="Default">
    <w:name w:val="Default"/>
    <w:rsid w:val="00470B82"/>
    <w:pPr>
      <w:autoSpaceDE w:val="0"/>
      <w:autoSpaceDN w:val="0"/>
      <w:adjustRightInd w:val="0"/>
    </w:pPr>
    <w:rPr>
      <w:color w:val="000000"/>
      <w:sz w:val="24"/>
      <w:lang w:val="tr-TR" w:eastAsia="tr-TR"/>
    </w:rPr>
  </w:style>
  <w:style w:type="paragraph" w:customStyle="1" w:styleId="Revision1">
    <w:name w:val="Revision1"/>
    <w:hidden/>
    <w:uiPriority w:val="99"/>
    <w:semiHidden/>
    <w:rsid w:val="00B85683"/>
    <w:rPr>
      <w:sz w:val="24"/>
      <w:lang w:val="tr-TR" w:eastAsia="tr-TR"/>
    </w:rPr>
  </w:style>
  <w:style w:type="character" w:customStyle="1" w:styleId="CharChar">
    <w:name w:val="Char Char"/>
    <w:locked/>
    <w:rsid w:val="00D51F5C"/>
    <w:rPr>
      <w:lang w:val="tr-TR" w:eastAsia="tr-TR" w:bidi="ar-SA"/>
    </w:rPr>
  </w:style>
  <w:style w:type="character" w:customStyle="1" w:styleId="GvdeMetniGirintisiChar">
    <w:name w:val="Gövde Metni Girintisi Char"/>
    <w:link w:val="GvdeMetniGirintisi"/>
    <w:locked/>
    <w:rsid w:val="000F21C0"/>
    <w:rPr>
      <w:sz w:val="24"/>
      <w:szCs w:val="24"/>
      <w:lang w:val="tr-TR" w:eastAsia="en-US" w:bidi="ar-SA"/>
    </w:rPr>
  </w:style>
  <w:style w:type="character" w:customStyle="1" w:styleId="BodyText2Char1">
    <w:name w:val="Body Text 2 Char1"/>
    <w:locked/>
    <w:rsid w:val="00F848DB"/>
    <w:rPr>
      <w:rFonts w:cs="Times New Roman"/>
      <w:b/>
      <w:sz w:val="24"/>
      <w:lang w:val="tr-TR" w:eastAsia="en-US" w:bidi="ar-SA"/>
    </w:rPr>
  </w:style>
  <w:style w:type="character" w:customStyle="1" w:styleId="Balk4Char">
    <w:name w:val="Başlık 4 Char"/>
    <w:aliases w:val="h4 Char"/>
    <w:link w:val="Balk4"/>
    <w:locked/>
    <w:rsid w:val="00572ACB"/>
    <w:rPr>
      <w:b/>
      <w:bCs/>
      <w:sz w:val="24"/>
      <w:szCs w:val="24"/>
      <w:lang w:val="tr-TR" w:eastAsia="en-US" w:bidi="ar-SA"/>
    </w:rPr>
  </w:style>
  <w:style w:type="character" w:customStyle="1" w:styleId="Balk9Char">
    <w:name w:val="Başlık 9 Char"/>
    <w:link w:val="Balk9"/>
    <w:locked/>
    <w:rsid w:val="00CC5C58"/>
    <w:rPr>
      <w:b/>
      <w:bCs/>
      <w:sz w:val="18"/>
      <w:szCs w:val="16"/>
      <w:lang w:val="tr-TR" w:eastAsia="en-US" w:bidi="ar-SA"/>
    </w:rPr>
  </w:style>
  <w:style w:type="character" w:customStyle="1" w:styleId="SonNotMetniChar">
    <w:name w:val="Son Not Metni Char"/>
    <w:link w:val="SonNotMetni"/>
    <w:semiHidden/>
    <w:locked/>
    <w:rsid w:val="00CC5C58"/>
    <w:rPr>
      <w:lang w:val="tr-TR" w:eastAsia="en-US" w:bidi="ar-SA"/>
    </w:rPr>
  </w:style>
  <w:style w:type="paragraph" w:customStyle="1" w:styleId="msobodytextindent">
    <w:name w:val="msobodytextindent"/>
    <w:basedOn w:val="Normal"/>
    <w:rsid w:val="00A17575"/>
    <w:pPr>
      <w:ind w:firstLine="720"/>
      <w:jc w:val="both"/>
    </w:pPr>
    <w:rPr>
      <w:rFonts w:eastAsia="Calibri"/>
    </w:rPr>
  </w:style>
  <w:style w:type="paragraph" w:customStyle="1" w:styleId="Dzeltme1">
    <w:name w:val="Düzeltme1"/>
    <w:hidden/>
    <w:semiHidden/>
    <w:rsid w:val="00F42370"/>
    <w:rPr>
      <w:sz w:val="24"/>
      <w:lang w:val="tr-TR" w:eastAsia="tr-TR"/>
    </w:rPr>
  </w:style>
  <w:style w:type="paragraph" w:styleId="Dzeltme">
    <w:name w:val="Revision"/>
    <w:hidden/>
    <w:uiPriority w:val="99"/>
    <w:semiHidden/>
    <w:rsid w:val="00892F4A"/>
    <w:rPr>
      <w:sz w:val="24"/>
      <w:lang w:val="tr-TR" w:eastAsia="tr-TR"/>
    </w:rPr>
  </w:style>
  <w:style w:type="character" w:customStyle="1" w:styleId="KonuBalChar">
    <w:name w:val="Konu Başlığı Char"/>
    <w:link w:val="KonuBal"/>
    <w:rsid w:val="003002BE"/>
    <w:rPr>
      <w:rFonts w:ascii="Arial" w:hAnsi="Arial" w:cs="Arial"/>
      <w:b/>
      <w:sz w:val="40"/>
      <w:lang w:val="tr-TR"/>
    </w:rPr>
  </w:style>
  <w:style w:type="character" w:customStyle="1" w:styleId="Balk2Char">
    <w:name w:val="Başlık 2 Char"/>
    <w:aliases w:val="h2 Char"/>
    <w:link w:val="Balk2"/>
    <w:locked/>
    <w:rsid w:val="000A5066"/>
    <w:rPr>
      <w:rFonts w:ascii="Univers (WN)" w:hAnsi="Univers (WN)"/>
      <w:b/>
      <w:noProof/>
      <w:sz w:val="24"/>
      <w:lang w:eastAsia="en-US"/>
    </w:rPr>
  </w:style>
  <w:style w:type="paragraph" w:styleId="ListeParagraf">
    <w:name w:val="List Paragraph"/>
    <w:aliases w:val="içindekiler vb,AK List num,Bullets"/>
    <w:basedOn w:val="Normal"/>
    <w:link w:val="ListeParagrafChar"/>
    <w:uiPriority w:val="34"/>
    <w:qFormat/>
    <w:rsid w:val="005D3087"/>
    <w:pPr>
      <w:ind w:left="708"/>
    </w:pPr>
  </w:style>
  <w:style w:type="character" w:customStyle="1" w:styleId="AltBilgiChar1">
    <w:name w:val="Alt Bilgi Char1"/>
    <w:aliases w:val="ft Char"/>
    <w:basedOn w:val="VarsaylanParagrafYazTipi"/>
    <w:link w:val="AltBilgi"/>
    <w:uiPriority w:val="99"/>
    <w:rsid w:val="000F327D"/>
    <w:rPr>
      <w:iCs/>
      <w:noProof/>
      <w:sz w:val="24"/>
      <w:lang w:val="tr-TR"/>
    </w:rPr>
  </w:style>
  <w:style w:type="character" w:styleId="Vurgu">
    <w:name w:val="Emphasis"/>
    <w:basedOn w:val="VarsaylanParagrafYazTipi"/>
    <w:qFormat/>
    <w:rsid w:val="003C1454"/>
    <w:rPr>
      <w:b/>
      <w:bCs/>
      <w:i w:val="0"/>
      <w:iCs w:val="0"/>
    </w:rPr>
  </w:style>
  <w:style w:type="table" w:styleId="TabloKlavuzu">
    <w:name w:val="Table Grid"/>
    <w:basedOn w:val="NormalTablo"/>
    <w:uiPriority w:val="3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3Befektler1">
    <w:name w:val="Table 3D effects 1"/>
    <w:basedOn w:val="NormalTablo"/>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oAltBalk1">
    <w:name w:val="Table Subtle 1"/>
    <w:basedOn w:val="NormalTablo"/>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AltBalk2">
    <w:name w:val="Table Subtle 2"/>
    <w:basedOn w:val="NormalTablo"/>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3">
    <w:name w:val="Table 3D effects 3"/>
    <w:basedOn w:val="NormalTablo"/>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2">
    <w:name w:val="Table 3D effects 2"/>
    <w:basedOn w:val="NormalTablo"/>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ltyaz">
    <w:name w:val="Subtitle"/>
    <w:basedOn w:val="Normal"/>
    <w:next w:val="Normal"/>
    <w:link w:val="Altyaz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basedOn w:val="VarsaylanParagrafYazTipi"/>
    <w:link w:val="Altyaz"/>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rsid w:val="00ED4F9C"/>
    <w:pPr>
      <w:widowControl w:val="0"/>
      <w:autoSpaceDE w:val="0"/>
      <w:autoSpaceDN w:val="0"/>
      <w:adjustRightInd w:val="0"/>
      <w:spacing w:line="288" w:lineRule="auto"/>
      <w:textAlignment w:val="center"/>
    </w:pPr>
    <w:rPr>
      <w:rFonts w:ascii="Times-Roman" w:hAnsi="Times-Roman" w:cs="Times-Roman"/>
      <w:color w:val="000000"/>
      <w:lang w:bidi="en-US"/>
    </w:rPr>
  </w:style>
  <w:style w:type="character" w:customStyle="1" w:styleId="stBilgiChar1">
    <w:name w:val="Üst Bilgi Char1"/>
    <w:basedOn w:val="VarsaylanParagrafYazTipi"/>
    <w:link w:val="stBilgi"/>
    <w:uiPriority w:val="99"/>
    <w:rsid w:val="004B5D89"/>
    <w:rPr>
      <w:iCs/>
      <w:noProof/>
      <w:sz w:val="24"/>
      <w:lang w:val="tr-TR"/>
    </w:rPr>
  </w:style>
  <w:style w:type="paragraph" w:customStyle="1" w:styleId="msonormalindent">
    <w:name w:val="msonormalindent"/>
    <w:basedOn w:val="Normal"/>
    <w:rsid w:val="006F1AB6"/>
    <w:pPr>
      <w:ind w:left="720"/>
    </w:pPr>
    <w:rPr>
      <w:noProof/>
      <w:szCs w:val="20"/>
    </w:rPr>
  </w:style>
  <w:style w:type="paragraph" w:customStyle="1" w:styleId="CoverInformation">
    <w:name w:val="Cover Information"/>
    <w:aliases w:val="ci"/>
    <w:basedOn w:val="Normal"/>
    <w:rsid w:val="00BA5D1C"/>
    <w:pPr>
      <w:framePr w:w="4536" w:hSpace="180" w:vSpace="180" w:wrap="auto" w:vAnchor="page" w:hAnchor="page" w:x="3601" w:y="14422"/>
      <w:spacing w:line="260" w:lineRule="exact"/>
      <w:ind w:left="520"/>
    </w:pPr>
    <w:rPr>
      <w:rFonts w:ascii="New York" w:eastAsia="MS Mincho" w:hAnsi="New York"/>
      <w:lang w:val="en-GB"/>
    </w:rPr>
  </w:style>
  <w:style w:type="paragraph" w:customStyle="1" w:styleId="CoverPages">
    <w:name w:val="Cover Pages"/>
    <w:basedOn w:val="Normal"/>
    <w:rsid w:val="00BA5D1C"/>
    <w:pPr>
      <w:framePr w:w="4536" w:hSpace="181" w:vSpace="181" w:wrap="around" w:vAnchor="page" w:hAnchor="page" w:x="3171" w:y="14176"/>
      <w:spacing w:line="260" w:lineRule="exact"/>
      <w:ind w:left="284"/>
    </w:pPr>
    <w:rPr>
      <w:rFonts w:eastAsia="MS Mincho"/>
      <w:i/>
      <w:sz w:val="22"/>
      <w:szCs w:val="20"/>
      <w:lang w:val="en-GB"/>
    </w:rPr>
  </w:style>
  <w:style w:type="paragraph" w:customStyle="1" w:styleId="CoverReference">
    <w:name w:val="Cover Reference"/>
    <w:basedOn w:val="Normal"/>
    <w:rsid w:val="00BA5D1C"/>
    <w:pPr>
      <w:framePr w:w="4536" w:hSpace="181" w:vSpace="181" w:wrap="around" w:vAnchor="page" w:hAnchor="page" w:x="3171" w:y="14176"/>
      <w:spacing w:line="260" w:lineRule="exact"/>
      <w:ind w:left="284"/>
    </w:pPr>
    <w:rPr>
      <w:rFonts w:eastAsia="MS Mincho"/>
      <w:sz w:val="22"/>
      <w:szCs w:val="20"/>
      <w:lang w:val="en-GB"/>
    </w:rPr>
  </w:style>
  <w:style w:type="table" w:customStyle="1" w:styleId="TabloKlavuzu1">
    <w:name w:val="Tablo Kılavuzu1"/>
    <w:basedOn w:val="NormalTablo"/>
    <w:next w:val="TabloKlavuzu"/>
    <w:uiPriority w:val="39"/>
    <w:rsid w:val="00AC4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81485D"/>
    <w:rPr>
      <w:rFonts w:asciiTheme="minorHAnsi" w:eastAsiaTheme="minorEastAsia" w:hAnsiTheme="minorHAnsi" w:cstheme="minorBidi"/>
      <w:sz w:val="22"/>
      <w:szCs w:val="22"/>
      <w:lang w:val="tr-TR" w:eastAsia="tr-TR"/>
    </w:rPr>
    <w:tblPr>
      <w:tblCellMar>
        <w:top w:w="0" w:type="dxa"/>
        <w:left w:w="0" w:type="dxa"/>
        <w:bottom w:w="0" w:type="dxa"/>
        <w:right w:w="0" w:type="dxa"/>
      </w:tblCellMar>
    </w:tblPr>
  </w:style>
  <w:style w:type="character" w:customStyle="1" w:styleId="TTChar11B">
    <w:name w:val="TT_Char_11_B"/>
    <w:basedOn w:val="VarsaylanParagrafYazTipi"/>
    <w:uiPriority w:val="1"/>
    <w:rsid w:val="00066A8E"/>
    <w:rPr>
      <w:rFonts w:ascii="Times New Roman" w:hAnsi="Times New Roman" w:cs="Times New Roman" w:hint="default"/>
      <w:b/>
      <w:bCs/>
    </w:rPr>
  </w:style>
  <w:style w:type="character" w:customStyle="1" w:styleId="apple-converted-space">
    <w:name w:val="apple-converted-space"/>
    <w:basedOn w:val="VarsaylanParagrafYazTipi"/>
    <w:rsid w:val="005F1EA0"/>
  </w:style>
  <w:style w:type="character" w:customStyle="1" w:styleId="apple-tab-span">
    <w:name w:val="apple-tab-span"/>
    <w:basedOn w:val="VarsaylanParagrafYazTipi"/>
    <w:rsid w:val="005F1EA0"/>
  </w:style>
  <w:style w:type="paragraph" w:customStyle="1" w:styleId="RNormal">
    <w:name w:val="RNormal"/>
    <w:basedOn w:val="Normal"/>
    <w:rsid w:val="00196B1E"/>
    <w:pPr>
      <w:jc w:val="both"/>
    </w:pPr>
    <w:rPr>
      <w:sz w:val="22"/>
    </w:rPr>
  </w:style>
  <w:style w:type="paragraph" w:customStyle="1" w:styleId="KAMKNormal">
    <w:name w:val="KAMKNormal"/>
    <w:basedOn w:val="Normal"/>
    <w:link w:val="KAMKNormalChar"/>
    <w:qFormat/>
    <w:rsid w:val="00196B1E"/>
    <w:pPr>
      <w:spacing w:before="120" w:after="120"/>
    </w:pPr>
    <w:rPr>
      <w:rFonts w:ascii="Tahoma" w:hAnsi="Tahoma"/>
      <w:color w:val="000000"/>
      <w:sz w:val="22"/>
    </w:rPr>
  </w:style>
  <w:style w:type="character" w:customStyle="1" w:styleId="KAMKNormalChar">
    <w:name w:val="KAMKNormal Char"/>
    <w:basedOn w:val="VarsaylanParagrafYazTipi"/>
    <w:link w:val="KAMKNormal"/>
    <w:rsid w:val="00196B1E"/>
    <w:rPr>
      <w:rFonts w:ascii="Tahoma" w:hAnsi="Tahoma"/>
      <w:color w:val="000000"/>
      <w:sz w:val="22"/>
      <w:szCs w:val="24"/>
    </w:rPr>
  </w:style>
  <w:style w:type="paragraph" w:customStyle="1" w:styleId="footnotedescription">
    <w:name w:val="footnote description"/>
    <w:next w:val="Normal"/>
    <w:link w:val="footnotedescriptionChar"/>
    <w:hidden/>
    <w:rsid w:val="00D07AC8"/>
    <w:pPr>
      <w:spacing w:after="22" w:line="259" w:lineRule="auto"/>
      <w:ind w:left="509"/>
    </w:pPr>
    <w:rPr>
      <w:color w:val="000000"/>
      <w:sz w:val="16"/>
      <w:szCs w:val="22"/>
      <w:lang w:val="tr-TR" w:eastAsia="tr-TR"/>
    </w:rPr>
  </w:style>
  <w:style w:type="character" w:customStyle="1" w:styleId="footnotedescriptionChar">
    <w:name w:val="footnote description Char"/>
    <w:link w:val="footnotedescription"/>
    <w:rsid w:val="00D07AC8"/>
    <w:rPr>
      <w:color w:val="000000"/>
      <w:sz w:val="16"/>
      <w:szCs w:val="22"/>
      <w:lang w:val="tr-TR" w:eastAsia="tr-TR"/>
    </w:rPr>
  </w:style>
  <w:style w:type="character" w:customStyle="1" w:styleId="footnotemark">
    <w:name w:val="footnote mark"/>
    <w:hidden/>
    <w:rsid w:val="00D07AC8"/>
    <w:rPr>
      <w:rFonts w:ascii="Times New Roman" w:eastAsia="Times New Roman" w:hAnsi="Times New Roman" w:cs="Times New Roman"/>
      <w:color w:val="000000"/>
      <w:sz w:val="16"/>
      <w:vertAlign w:val="superscript"/>
    </w:rPr>
  </w:style>
  <w:style w:type="character" w:customStyle="1" w:styleId="ListeParagrafChar">
    <w:name w:val="Liste Paragraf Char"/>
    <w:aliases w:val="içindekiler vb Char,AK List num Char,Bullets Char"/>
    <w:link w:val="ListeParagraf"/>
    <w:uiPriority w:val="34"/>
    <w:locked/>
    <w:rsid w:val="00237FA4"/>
    <w:rPr>
      <w:sz w:val="24"/>
      <w:szCs w:val="24"/>
      <w:lang w:val="tr-TR" w:eastAsia="tr-TR"/>
    </w:rPr>
  </w:style>
  <w:style w:type="paragraph" w:customStyle="1" w:styleId="Text">
    <w:name w:val="Text"/>
    <w:link w:val="TextChar"/>
    <w:rsid w:val="00626A88"/>
    <w:pPr>
      <w:snapToGrid w:val="0"/>
      <w:spacing w:line="360" w:lineRule="auto"/>
      <w:jc w:val="both"/>
    </w:pPr>
    <w:rPr>
      <w:rFonts w:ascii="Arial" w:hAnsi="Arial"/>
      <w:color w:val="000000"/>
      <w:sz w:val="22"/>
      <w:lang w:val="en-GB" w:eastAsia="de-DE"/>
    </w:rPr>
  </w:style>
  <w:style w:type="paragraph" w:customStyle="1" w:styleId="pumatext">
    <w:name w:val="pumatext"/>
    <w:basedOn w:val="Normal"/>
    <w:rsid w:val="00626A88"/>
    <w:pPr>
      <w:spacing w:before="80" w:after="80" w:line="360" w:lineRule="auto"/>
      <w:ind w:left="567"/>
      <w:jc w:val="both"/>
    </w:pPr>
    <w:rPr>
      <w:rFonts w:ascii="Arial" w:hAnsi="Arial"/>
      <w:snapToGrid w:val="0"/>
      <w:color w:val="000000"/>
      <w:sz w:val="22"/>
      <w:szCs w:val="20"/>
      <w:lang w:val="en-GB" w:eastAsia="de-DE"/>
    </w:rPr>
  </w:style>
  <w:style w:type="character" w:customStyle="1" w:styleId="TextChar">
    <w:name w:val="Text Char"/>
    <w:link w:val="Text"/>
    <w:locked/>
    <w:rsid w:val="00626A88"/>
    <w:rPr>
      <w:rFonts w:ascii="Arial" w:hAnsi="Arial"/>
      <w:color w:val="000000"/>
      <w:sz w:val="22"/>
      <w:lang w:val="en-GB" w:eastAsia="de-DE"/>
    </w:rPr>
  </w:style>
  <w:style w:type="paragraph" w:customStyle="1" w:styleId="CoverTitle">
    <w:name w:val="Cover Title"/>
    <w:aliases w:val="ct"/>
    <w:basedOn w:val="Normal"/>
    <w:rsid w:val="00E90632"/>
    <w:pPr>
      <w:framePr w:w="5999" w:hSpace="180" w:vSpace="180" w:wrap="auto" w:vAnchor="page" w:hAnchor="text" w:xAlign="center" w:y="3797"/>
      <w:spacing w:line="440" w:lineRule="exact"/>
      <w:ind w:left="1720"/>
    </w:pPr>
    <w:rPr>
      <w:rFonts w:ascii="New York" w:eastAsia="Calibri" w:hAnsi="New York"/>
      <w:sz w:val="36"/>
      <w:szCs w:val="20"/>
      <w:lang w:val="en-GB"/>
    </w:rPr>
  </w:style>
  <w:style w:type="character" w:customStyle="1" w:styleId="BodybyBDChar">
    <w:name w:val="Body.by.BD Char"/>
    <w:link w:val="BodybyBD"/>
    <w:uiPriority w:val="99"/>
    <w:locked/>
    <w:rsid w:val="00A12BB7"/>
    <w:rPr>
      <w:sz w:val="22"/>
      <w:lang w:val="tr-TR"/>
    </w:rPr>
  </w:style>
  <w:style w:type="character" w:styleId="zmlenmeyenBahsetme">
    <w:name w:val="Unresolved Mention"/>
    <w:basedOn w:val="VarsaylanParagrafYazTipi"/>
    <w:uiPriority w:val="99"/>
    <w:semiHidden/>
    <w:unhideWhenUsed/>
    <w:rsid w:val="0025172F"/>
    <w:rPr>
      <w:color w:val="605E5C"/>
      <w:shd w:val="clear" w:color="auto" w:fill="E1DFDD"/>
    </w:rPr>
  </w:style>
  <w:style w:type="character" w:customStyle="1" w:styleId="Balk1Char">
    <w:name w:val="Başlık 1 Char"/>
    <w:aliases w:val="h1 Char"/>
    <w:basedOn w:val="VarsaylanParagrafYazTipi"/>
    <w:link w:val="Balk1"/>
    <w:rsid w:val="00E128E7"/>
    <w:rPr>
      <w:rFonts w:ascii="Univers (WN)" w:hAnsi="Univers (WN)"/>
      <w:b/>
      <w:noProof/>
      <w:sz w:val="24"/>
      <w:u w:val="single"/>
      <w:lang w:val="tr-TR"/>
    </w:rPr>
  </w:style>
  <w:style w:type="character" w:customStyle="1" w:styleId="Balk3Char">
    <w:name w:val="Başlık 3 Char"/>
    <w:aliases w:val="h3 Char"/>
    <w:basedOn w:val="VarsaylanParagrafYazTipi"/>
    <w:link w:val="Balk3"/>
    <w:uiPriority w:val="9"/>
    <w:rsid w:val="00E128E7"/>
    <w:rPr>
      <w:rFonts w:ascii="CG Times (WN)" w:hAnsi="CG Times (WN)"/>
      <w:b/>
      <w:noProof/>
      <w:sz w:val="24"/>
      <w:lang w:val="tr-TR"/>
    </w:rPr>
  </w:style>
  <w:style w:type="character" w:customStyle="1" w:styleId="Balk5Char">
    <w:name w:val="Başlık 5 Char"/>
    <w:basedOn w:val="VarsaylanParagrafYazTipi"/>
    <w:link w:val="Balk5"/>
    <w:uiPriority w:val="9"/>
    <w:rsid w:val="00E128E7"/>
    <w:rPr>
      <w:rFonts w:ascii="CG Times (WN)" w:hAnsi="CG Times (WN)"/>
      <w:b/>
      <w:noProof/>
      <w:lang w:val="tr-TR"/>
    </w:rPr>
  </w:style>
  <w:style w:type="character" w:customStyle="1" w:styleId="Balk6Char">
    <w:name w:val="Başlık 6 Char"/>
    <w:basedOn w:val="VarsaylanParagrafYazTipi"/>
    <w:link w:val="Balk6"/>
    <w:rsid w:val="00E128E7"/>
    <w:rPr>
      <w:rFonts w:ascii="CG Times (WN)" w:hAnsi="CG Times (WN)"/>
      <w:noProof/>
      <w:u w:val="single"/>
      <w:lang w:val="tr-TR"/>
    </w:rPr>
  </w:style>
  <w:style w:type="character" w:customStyle="1" w:styleId="Balk7Char">
    <w:name w:val="Başlık 7 Char"/>
    <w:basedOn w:val="VarsaylanParagrafYazTipi"/>
    <w:link w:val="Balk7"/>
    <w:rsid w:val="00E128E7"/>
    <w:rPr>
      <w:rFonts w:ascii="CG Times (WN)" w:hAnsi="CG Times (WN)"/>
      <w:i/>
      <w:noProof/>
      <w:lang w:val="tr-TR"/>
    </w:rPr>
  </w:style>
  <w:style w:type="character" w:customStyle="1" w:styleId="Balk8Char">
    <w:name w:val="Başlık 8 Char"/>
    <w:basedOn w:val="VarsaylanParagrafYazTipi"/>
    <w:link w:val="Balk8"/>
    <w:rsid w:val="00E128E7"/>
    <w:rPr>
      <w:rFonts w:ascii="CG Times (WN)" w:hAnsi="CG Times (WN)"/>
      <w:i/>
      <w:noProof/>
      <w:lang w:val="tr-TR"/>
    </w:rPr>
  </w:style>
  <w:style w:type="character" w:customStyle="1" w:styleId="GvdeMetniGirintisi3Char">
    <w:name w:val="Gövde Metni Girintisi 3 Char"/>
    <w:basedOn w:val="VarsaylanParagrafYazTipi"/>
    <w:link w:val="GvdeMetniGirintisi3"/>
    <w:rsid w:val="00E128E7"/>
    <w:rPr>
      <w:sz w:val="22"/>
      <w:szCs w:val="24"/>
      <w:lang w:val="tr-TR"/>
    </w:rPr>
  </w:style>
  <w:style w:type="character" w:customStyle="1" w:styleId="DipnotMetniChar">
    <w:name w:val="Dipnot Metni Char"/>
    <w:basedOn w:val="VarsaylanParagrafYazTipi"/>
    <w:link w:val="DipnotMetni"/>
    <w:semiHidden/>
    <w:rsid w:val="00E128E7"/>
    <w:rPr>
      <w:rFonts w:ascii="Courier New" w:hAnsi="Courier New"/>
      <w:sz w:val="24"/>
      <w:lang w:val="en-AU"/>
    </w:rPr>
  </w:style>
  <w:style w:type="character" w:customStyle="1" w:styleId="GvdeMetniChar">
    <w:name w:val="Gövde Metni Char"/>
    <w:basedOn w:val="VarsaylanParagrafYazTipi"/>
    <w:link w:val="GvdeMetni"/>
    <w:uiPriority w:val="99"/>
    <w:rsid w:val="00E128E7"/>
    <w:rPr>
      <w:color w:val="800000"/>
      <w:sz w:val="24"/>
      <w:lang w:val="tr-TR"/>
    </w:rPr>
  </w:style>
  <w:style w:type="character" w:customStyle="1" w:styleId="GvdeMetni3Char">
    <w:name w:val="Gövde Metni 3 Char"/>
    <w:basedOn w:val="VarsaylanParagrafYazTipi"/>
    <w:link w:val="GvdeMetni3"/>
    <w:uiPriority w:val="99"/>
    <w:rsid w:val="00E128E7"/>
    <w:rPr>
      <w:bCs/>
      <w:i/>
      <w:iCs/>
      <w:sz w:val="22"/>
      <w:lang w:val="tr-TR"/>
    </w:rPr>
  </w:style>
  <w:style w:type="character" w:customStyle="1" w:styleId="GvdeMetniGirintisi2Char">
    <w:name w:val="Gövde Metni Girintisi 2 Char"/>
    <w:basedOn w:val="VarsaylanParagrafYazTipi"/>
    <w:link w:val="GvdeMetniGirintisi2"/>
    <w:rsid w:val="00E128E7"/>
    <w:rPr>
      <w:noProof/>
      <w:sz w:val="24"/>
      <w:lang w:val="tr-TR"/>
    </w:rPr>
  </w:style>
  <w:style w:type="character" w:customStyle="1" w:styleId="BalonMetniChar">
    <w:name w:val="Balon Metni Char"/>
    <w:basedOn w:val="VarsaylanParagrafYazTipi"/>
    <w:link w:val="BalonMetni"/>
    <w:uiPriority w:val="99"/>
    <w:semiHidden/>
    <w:rsid w:val="00E128E7"/>
    <w:rPr>
      <w:rFonts w:ascii="Tahoma" w:hAnsi="Tahoma" w:cs="Tahoma"/>
      <w:noProof/>
      <w:sz w:val="16"/>
      <w:szCs w:val="16"/>
      <w:lang w:val="tr-TR"/>
    </w:rPr>
  </w:style>
  <w:style w:type="character" w:customStyle="1" w:styleId="BelgeBalantlarChar">
    <w:name w:val="Belge Bağlantıları Char"/>
    <w:basedOn w:val="VarsaylanParagrafYazTipi"/>
    <w:link w:val="BelgeBalantlar"/>
    <w:semiHidden/>
    <w:rsid w:val="00E128E7"/>
    <w:rPr>
      <w:rFonts w:ascii="Tahoma" w:hAnsi="Tahoma" w:cs="Tahoma"/>
      <w:shd w:val="clear" w:color="auto" w:fill="000080"/>
      <w:lang w:val="tr-TR" w:eastAsia="tr-TR"/>
    </w:rPr>
  </w:style>
  <w:style w:type="paragraph" w:customStyle="1" w:styleId="PwCAddress">
    <w:name w:val="PwC Address"/>
    <w:basedOn w:val="Normal"/>
    <w:link w:val="PwCAddressChar"/>
    <w:qFormat/>
    <w:rsid w:val="00235C87"/>
    <w:pPr>
      <w:spacing w:line="200" w:lineRule="atLeast"/>
    </w:pPr>
    <w:rPr>
      <w:rFonts w:ascii="Georgia" w:eastAsiaTheme="minorHAnsi" w:hAnsi="Georgia" w:cstheme="minorBidi"/>
      <w:i/>
      <w:noProof/>
      <w:sz w:val="18"/>
      <w:szCs w:val="22"/>
      <w:lang w:val="en-GB" w:eastAsia="en-GB"/>
    </w:rPr>
  </w:style>
  <w:style w:type="character" w:customStyle="1" w:styleId="PwCAddressChar">
    <w:name w:val="PwC Address Char"/>
    <w:basedOn w:val="VarsaylanParagrafYazTipi"/>
    <w:link w:val="PwCAddress"/>
    <w:rsid w:val="00235C87"/>
    <w:rPr>
      <w:rFonts w:ascii="Georgia" w:eastAsiaTheme="minorHAnsi" w:hAnsi="Georgia" w:cstheme="minorBidi"/>
      <w:i/>
      <w:noProof/>
      <w:sz w:val="18"/>
      <w:szCs w:val="22"/>
      <w:lang w:val="en-GB" w:eastAsia="en-GB"/>
    </w:rPr>
  </w:style>
  <w:style w:type="table" w:customStyle="1" w:styleId="PwCTableFigures2">
    <w:name w:val="PwC Table Figures2"/>
    <w:basedOn w:val="NormalTablo"/>
    <w:uiPriority w:val="99"/>
    <w:qFormat/>
    <w:rsid w:val="006312F5"/>
    <w:rPr>
      <w:rFonts w:ascii="Arial" w:eastAsia="Arial" w:hAnsi="Arial"/>
      <w:color w:val="000000"/>
      <w:lang w:val="en-GB"/>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AralkYok">
    <w:name w:val="No Spacing"/>
    <w:uiPriority w:val="1"/>
    <w:qFormat/>
    <w:rsid w:val="006312F5"/>
    <w:rPr>
      <w:rFonts w:asciiTheme="minorHAnsi" w:eastAsiaTheme="minorHAnsi" w:hAnsiTheme="minorHAnsi" w:cstheme="minorBidi"/>
      <w:sz w:val="22"/>
      <w:szCs w:val="22"/>
    </w:rPr>
  </w:style>
  <w:style w:type="paragraph" w:customStyle="1" w:styleId="Standard1">
    <w:name w:val="Standard1"/>
    <w:rsid w:val="0054067E"/>
    <w:pPr>
      <w:suppressAutoHyphens/>
      <w:autoSpaceDN w:val="0"/>
      <w:textAlignment w:val="baseline"/>
    </w:pPr>
    <w:rPr>
      <w:sz w:val="24"/>
      <w:lang w:val="tr-TR" w:eastAsia="tr-TR"/>
    </w:rPr>
  </w:style>
  <w:style w:type="paragraph" w:customStyle="1" w:styleId="SonnotMetni0">
    <w:name w:val="Sonnot Metni"/>
    <w:basedOn w:val="Normal"/>
    <w:link w:val="SonnotMetniChar0"/>
    <w:rsid w:val="00482A8C"/>
    <w:rPr>
      <w:szCs w:val="20"/>
      <w:lang w:eastAsia="x-none"/>
    </w:rPr>
  </w:style>
  <w:style w:type="paragraph" w:customStyle="1" w:styleId="Altbilgi0">
    <w:name w:val="Altbilgi"/>
    <w:basedOn w:val="Normal"/>
    <w:link w:val="AltbilgiChar"/>
    <w:uiPriority w:val="99"/>
    <w:rsid w:val="00482A8C"/>
    <w:pPr>
      <w:tabs>
        <w:tab w:val="center" w:pos="4536"/>
        <w:tab w:val="right" w:pos="9072"/>
      </w:tabs>
    </w:pPr>
  </w:style>
  <w:style w:type="paragraph" w:customStyle="1" w:styleId="stbilgi0">
    <w:name w:val="Üstbilgi"/>
    <w:basedOn w:val="Normal"/>
    <w:link w:val="stbilgiChar"/>
    <w:uiPriority w:val="99"/>
    <w:rsid w:val="00482A8C"/>
    <w:pPr>
      <w:tabs>
        <w:tab w:val="center" w:pos="4536"/>
        <w:tab w:val="right" w:pos="9072"/>
      </w:tabs>
    </w:pPr>
  </w:style>
  <w:style w:type="paragraph" w:customStyle="1" w:styleId="BodyText21">
    <w:name w:val="Body Text 21"/>
    <w:basedOn w:val="Normal"/>
    <w:rsid w:val="00482A8C"/>
    <w:pPr>
      <w:tabs>
        <w:tab w:val="left" w:pos="720"/>
      </w:tabs>
      <w:jc w:val="both"/>
    </w:pPr>
    <w:rPr>
      <w:rFonts w:ascii="Arial" w:hAnsi="Arial" w:cs="Arial"/>
    </w:rPr>
  </w:style>
  <w:style w:type="paragraph" w:customStyle="1" w:styleId="xl23">
    <w:name w:val="xl23"/>
    <w:basedOn w:val="Normal"/>
    <w:rsid w:val="00482A8C"/>
    <w:pPr>
      <w:pBdr>
        <w:right w:val="single" w:sz="4" w:space="0" w:color="auto"/>
      </w:pBdr>
      <w:spacing w:before="100" w:beforeAutospacing="1" w:after="100" w:afterAutospacing="1"/>
    </w:pPr>
    <w:rPr>
      <w:rFonts w:eastAsia="Arial Unicode MS"/>
      <w:b/>
      <w:bCs/>
      <w:szCs w:val="20"/>
    </w:rPr>
  </w:style>
  <w:style w:type="paragraph" w:customStyle="1" w:styleId="Body">
    <w:name w:val="Body"/>
    <w:aliases w:val="by,BD,bd"/>
    <w:rsid w:val="00482A8C"/>
    <w:pPr>
      <w:keepLines/>
      <w:spacing w:after="130" w:line="260" w:lineRule="exact"/>
      <w:ind w:hanging="810"/>
      <w:jc w:val="both"/>
    </w:pPr>
    <w:rPr>
      <w:rFonts w:ascii="Times" w:hAnsi="Times"/>
      <w:sz w:val="22"/>
      <w:lang w:val="en-GB"/>
    </w:rPr>
  </w:style>
  <w:style w:type="paragraph" w:customStyle="1" w:styleId="Head1">
    <w:name w:val="Head 1"/>
    <w:basedOn w:val="Balk1"/>
    <w:uiPriority w:val="99"/>
    <w:rsid w:val="00482A8C"/>
    <w:pPr>
      <w:keepNext/>
      <w:keepLines/>
      <w:spacing w:before="130" w:after="130" w:line="280" w:lineRule="atLeast"/>
      <w:ind w:hanging="810"/>
    </w:pPr>
    <w:rPr>
      <w:rFonts w:ascii="Times New Roman" w:hAnsi="Times New Roman"/>
      <w:noProof w:val="0"/>
      <w:u w:val="none"/>
    </w:rPr>
  </w:style>
  <w:style w:type="paragraph" w:customStyle="1" w:styleId="Head2">
    <w:name w:val="Head 2"/>
    <w:basedOn w:val="Balk2"/>
    <w:rsid w:val="00482A8C"/>
    <w:pPr>
      <w:keepNext/>
      <w:keepLines/>
      <w:spacing w:before="0" w:after="130" w:line="280" w:lineRule="atLeast"/>
      <w:ind w:hanging="810"/>
    </w:pPr>
    <w:rPr>
      <w:rFonts w:ascii="Times New Roman" w:hAnsi="Times New Roman"/>
      <w:iCs/>
      <w:noProof w:val="0"/>
      <w:sz w:val="22"/>
      <w:lang w:eastAsia="x-none"/>
    </w:rPr>
  </w:style>
  <w:style w:type="paragraph" w:customStyle="1" w:styleId="tableline1">
    <w:name w:val="table line 1"/>
    <w:basedOn w:val="Normal"/>
    <w:rsid w:val="00482A8C"/>
    <w:pPr>
      <w:keepLines/>
      <w:tabs>
        <w:tab w:val="right" w:pos="5130"/>
        <w:tab w:val="right" w:pos="6570"/>
        <w:tab w:val="right" w:pos="8010"/>
      </w:tabs>
      <w:spacing w:line="260" w:lineRule="atLeast"/>
      <w:ind w:left="360" w:hanging="360"/>
      <w:jc w:val="both"/>
    </w:pPr>
    <w:rPr>
      <w:rFonts w:ascii="Times" w:hAnsi="Times"/>
      <w:sz w:val="22"/>
      <w:szCs w:val="20"/>
      <w:lang w:val="en-GB"/>
    </w:rPr>
  </w:style>
  <w:style w:type="paragraph" w:customStyle="1" w:styleId="YAZI">
    <w:name w:val="YAZI"/>
    <w:basedOn w:val="GvdeMetniGirintisi"/>
    <w:link w:val="YAZIChar"/>
    <w:rsid w:val="00482A8C"/>
    <w:pPr>
      <w:tabs>
        <w:tab w:val="left" w:pos="900"/>
      </w:tabs>
      <w:spacing w:after="120" w:line="260" w:lineRule="exact"/>
      <w:ind w:firstLine="0"/>
    </w:pPr>
    <w:rPr>
      <w:noProof/>
      <w:sz w:val="22"/>
      <w:szCs w:val="22"/>
      <w:lang w:eastAsia="tr-TR"/>
    </w:rPr>
  </w:style>
  <w:style w:type="character" w:customStyle="1" w:styleId="YAZIChar">
    <w:name w:val="YAZI Char"/>
    <w:link w:val="YAZI"/>
    <w:locked/>
    <w:rsid w:val="00482A8C"/>
    <w:rPr>
      <w:noProof/>
      <w:sz w:val="22"/>
      <w:szCs w:val="22"/>
      <w:lang w:val="tr-TR" w:eastAsia="tr-TR"/>
    </w:rPr>
  </w:style>
  <w:style w:type="paragraph" w:customStyle="1" w:styleId="BASLIK2">
    <w:name w:val="BASLIK2"/>
    <w:basedOn w:val="Normal"/>
    <w:link w:val="BASLIK2Char"/>
    <w:rsid w:val="00482A8C"/>
    <w:pPr>
      <w:widowControl w:val="0"/>
      <w:spacing w:before="240" w:after="120" w:line="260" w:lineRule="exact"/>
      <w:ind w:hanging="720"/>
      <w:jc w:val="both"/>
    </w:pPr>
    <w:rPr>
      <w:b/>
      <w:bCs/>
      <w:sz w:val="22"/>
      <w:szCs w:val="22"/>
    </w:rPr>
  </w:style>
  <w:style w:type="character" w:customStyle="1" w:styleId="BASLIK2Char">
    <w:name w:val="BASLIK2 Char"/>
    <w:link w:val="BASLIK2"/>
    <w:uiPriority w:val="99"/>
    <w:locked/>
    <w:rsid w:val="00482A8C"/>
    <w:rPr>
      <w:b/>
      <w:bCs/>
      <w:sz w:val="22"/>
      <w:szCs w:val="22"/>
      <w:lang w:val="tr-TR"/>
    </w:rPr>
  </w:style>
  <w:style w:type="paragraph" w:customStyle="1" w:styleId="Head31">
    <w:name w:val="Head3.1"/>
    <w:basedOn w:val="Normal"/>
    <w:rsid w:val="00482A8C"/>
    <w:pPr>
      <w:keepNext/>
      <w:keepLines/>
      <w:spacing w:line="260" w:lineRule="exact"/>
      <w:ind w:hanging="810"/>
      <w:jc w:val="both"/>
    </w:pPr>
    <w:rPr>
      <w:b/>
      <w:bCs/>
      <w:i/>
      <w:iCs/>
      <w:sz w:val="22"/>
      <w:szCs w:val="22"/>
    </w:rPr>
  </w:style>
  <w:style w:type="paragraph" w:customStyle="1" w:styleId="Head3">
    <w:name w:val="Head3"/>
    <w:basedOn w:val="Normal"/>
    <w:link w:val="Head3Char"/>
    <w:rsid w:val="00482A8C"/>
    <w:pPr>
      <w:keepNext/>
      <w:keepLines/>
      <w:spacing w:before="60" w:after="120" w:line="260" w:lineRule="exact"/>
      <w:ind w:right="-45" w:hanging="900"/>
      <w:jc w:val="both"/>
    </w:pPr>
    <w:rPr>
      <w:b/>
      <w:bCs/>
      <w:i/>
      <w:iCs/>
      <w:sz w:val="22"/>
      <w:szCs w:val="22"/>
    </w:rPr>
  </w:style>
  <w:style w:type="character" w:customStyle="1" w:styleId="Head3Char">
    <w:name w:val="Head3 Char"/>
    <w:link w:val="Head3"/>
    <w:locked/>
    <w:rsid w:val="00482A8C"/>
    <w:rPr>
      <w:b/>
      <w:bCs/>
      <w:i/>
      <w:iCs/>
      <w:sz w:val="22"/>
      <w:szCs w:val="22"/>
      <w:lang w:val="tr-TR"/>
    </w:rPr>
  </w:style>
  <w:style w:type="paragraph" w:customStyle="1" w:styleId="BASLIK1">
    <w:name w:val="BASLIK1"/>
    <w:basedOn w:val="GvdeMetniGirintisi"/>
    <w:link w:val="BASLIK1Char"/>
    <w:rsid w:val="00482A8C"/>
    <w:pPr>
      <w:tabs>
        <w:tab w:val="left" w:pos="900"/>
      </w:tabs>
      <w:spacing w:before="240" w:after="120"/>
      <w:ind w:hanging="720"/>
    </w:pPr>
    <w:rPr>
      <w:b/>
      <w:bCs/>
      <w:sz w:val="22"/>
      <w:szCs w:val="22"/>
      <w:lang w:eastAsia="tr-TR"/>
    </w:rPr>
  </w:style>
  <w:style w:type="character" w:customStyle="1" w:styleId="BASLIK1Char">
    <w:name w:val="BASLIK1 Char"/>
    <w:link w:val="BASLIK1"/>
    <w:locked/>
    <w:rsid w:val="00482A8C"/>
    <w:rPr>
      <w:b/>
      <w:bCs/>
      <w:sz w:val="22"/>
      <w:szCs w:val="22"/>
      <w:lang w:val="tr-TR" w:eastAsia="tr-TR"/>
    </w:rPr>
  </w:style>
  <w:style w:type="paragraph" w:customStyle="1" w:styleId="Head4">
    <w:name w:val="Head4"/>
    <w:basedOn w:val="Head3"/>
    <w:rsid w:val="00482A8C"/>
    <w:pPr>
      <w:tabs>
        <w:tab w:val="num" w:pos="340"/>
        <w:tab w:val="num" w:pos="540"/>
      </w:tabs>
      <w:ind w:left="340" w:right="0" w:hanging="340"/>
    </w:pPr>
    <w:rPr>
      <w:b w:val="0"/>
      <w:bCs w:val="0"/>
    </w:rPr>
  </w:style>
  <w:style w:type="paragraph" w:customStyle="1" w:styleId="H2">
    <w:name w:val="H2"/>
    <w:basedOn w:val="Head3"/>
    <w:link w:val="H2Char"/>
    <w:rsid w:val="00482A8C"/>
    <w:pPr>
      <w:keepNext w:val="0"/>
      <w:keepLines w:val="0"/>
      <w:spacing w:before="240" w:line="240" w:lineRule="auto"/>
      <w:ind w:right="0" w:hanging="720"/>
    </w:pPr>
  </w:style>
  <w:style w:type="character" w:customStyle="1" w:styleId="H2Char">
    <w:name w:val="H2 Char"/>
    <w:basedOn w:val="Head3Char"/>
    <w:link w:val="H2"/>
    <w:locked/>
    <w:rsid w:val="00482A8C"/>
    <w:rPr>
      <w:b/>
      <w:bCs/>
      <w:i/>
      <w:iCs/>
      <w:sz w:val="22"/>
      <w:szCs w:val="22"/>
      <w:lang w:val="tr-TR"/>
    </w:rPr>
  </w:style>
  <w:style w:type="paragraph" w:customStyle="1" w:styleId="yazi">
    <w:name w:val="yazi"/>
    <w:basedOn w:val="Normal"/>
    <w:rsid w:val="00482A8C"/>
    <w:pPr>
      <w:spacing w:after="120" w:line="260" w:lineRule="atLeast"/>
      <w:jc w:val="both"/>
    </w:pPr>
    <w:rPr>
      <w:sz w:val="22"/>
      <w:szCs w:val="22"/>
    </w:rPr>
  </w:style>
  <w:style w:type="paragraph" w:styleId="mza">
    <w:name w:val="Signature"/>
    <w:basedOn w:val="Normal"/>
    <w:link w:val="mzaChar"/>
    <w:rsid w:val="00482A8C"/>
    <w:rPr>
      <w:sz w:val="22"/>
      <w:szCs w:val="22"/>
      <w:lang w:val="en-GB"/>
    </w:rPr>
  </w:style>
  <w:style w:type="character" w:customStyle="1" w:styleId="mzaChar">
    <w:name w:val="İmza Char"/>
    <w:basedOn w:val="VarsaylanParagrafYazTipi"/>
    <w:link w:val="mza"/>
    <w:rsid w:val="00482A8C"/>
    <w:rPr>
      <w:sz w:val="22"/>
      <w:szCs w:val="22"/>
      <w:lang w:val="en-GB"/>
    </w:rPr>
  </w:style>
  <w:style w:type="paragraph" w:customStyle="1" w:styleId="head30">
    <w:name w:val="head3"/>
    <w:basedOn w:val="Normal"/>
    <w:rsid w:val="00482A8C"/>
    <w:pPr>
      <w:keepNext/>
      <w:spacing w:before="60" w:after="120" w:line="260" w:lineRule="atLeast"/>
      <w:ind w:right="-45" w:hanging="900"/>
      <w:jc w:val="both"/>
    </w:pPr>
    <w:rPr>
      <w:b/>
      <w:bCs/>
      <w:i/>
      <w:iCs/>
      <w:sz w:val="22"/>
      <w:szCs w:val="22"/>
    </w:rPr>
  </w:style>
  <w:style w:type="paragraph" w:customStyle="1" w:styleId="CoverClientName">
    <w:name w:val="Cover Client Name"/>
    <w:aliases w:val="ccn"/>
    <w:basedOn w:val="Normal"/>
    <w:rsid w:val="00482A8C"/>
    <w:pPr>
      <w:framePr w:w="5999" w:hSpace="180" w:vSpace="180" w:wrap="auto" w:vAnchor="page" w:hAnchor="text" w:xAlign="center" w:y="3841"/>
      <w:tabs>
        <w:tab w:val="left" w:pos="-140"/>
      </w:tabs>
      <w:spacing w:before="80" w:after="520"/>
      <w:ind w:left="1720"/>
    </w:pPr>
    <w:rPr>
      <w:rFonts w:ascii="New York" w:hAnsi="New York"/>
      <w:b/>
      <w:bCs/>
      <w:sz w:val="26"/>
      <w:szCs w:val="26"/>
      <w:lang w:val="en-GB"/>
    </w:rPr>
  </w:style>
  <w:style w:type="paragraph" w:customStyle="1" w:styleId="Head">
    <w:name w:val="Head"/>
    <w:basedOn w:val="Balk2"/>
    <w:rsid w:val="00482A8C"/>
    <w:pPr>
      <w:keepNext/>
      <w:keepLines/>
      <w:numPr>
        <w:ilvl w:val="1"/>
      </w:numPr>
      <w:tabs>
        <w:tab w:val="num" w:pos="1080"/>
      </w:tabs>
      <w:spacing w:before="130" w:line="280" w:lineRule="atLeast"/>
      <w:ind w:left="720"/>
    </w:pPr>
    <w:rPr>
      <w:rFonts w:ascii="Times New Roman" w:hAnsi="Times New Roman"/>
      <w:bCs/>
      <w:noProof w:val="0"/>
      <w:sz w:val="30"/>
      <w:szCs w:val="30"/>
      <w:lang w:eastAsia="x-none"/>
    </w:rPr>
  </w:style>
  <w:style w:type="paragraph" w:customStyle="1" w:styleId="xl22">
    <w:name w:val="xl22"/>
    <w:basedOn w:val="Normal"/>
    <w:rsid w:val="00482A8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Arial Unicode MS"/>
    </w:rPr>
  </w:style>
  <w:style w:type="paragraph" w:customStyle="1" w:styleId="xl24">
    <w:name w:val="xl24"/>
    <w:basedOn w:val="Normal"/>
    <w:rsid w:val="00482A8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Unicode MS" w:eastAsia="Arial Unicode MS" w:hAnsi="Arial Unicode MS"/>
    </w:rPr>
  </w:style>
  <w:style w:type="paragraph" w:customStyle="1" w:styleId="Subhead">
    <w:name w:val="Subhead"/>
    <w:basedOn w:val="Balk2"/>
    <w:rsid w:val="00482A8C"/>
    <w:pPr>
      <w:keepNext/>
      <w:keepLines/>
      <w:numPr>
        <w:ilvl w:val="1"/>
      </w:numPr>
      <w:tabs>
        <w:tab w:val="num" w:pos="1080"/>
      </w:tabs>
      <w:spacing w:before="130" w:line="280" w:lineRule="atLeast"/>
      <w:ind w:left="720"/>
    </w:pPr>
    <w:rPr>
      <w:rFonts w:ascii="Times New Roman" w:hAnsi="Times New Roman"/>
      <w:b w:val="0"/>
      <w:noProof w:val="0"/>
      <w:sz w:val="30"/>
      <w:szCs w:val="30"/>
      <w:lang w:eastAsia="x-none"/>
    </w:rPr>
  </w:style>
  <w:style w:type="paragraph" w:customStyle="1" w:styleId="te">
    <w:name w:val="te"/>
    <w:basedOn w:val="BodybyBD"/>
    <w:rsid w:val="00482A8C"/>
    <w:pPr>
      <w:keepLines w:val="0"/>
      <w:spacing w:before="0" w:after="80" w:line="240" w:lineRule="exact"/>
    </w:pPr>
    <w:rPr>
      <w:sz w:val="18"/>
      <w:szCs w:val="18"/>
    </w:rPr>
  </w:style>
  <w:style w:type="paragraph" w:customStyle="1" w:styleId="bodybybd0">
    <w:name w:val="bodybybd"/>
    <w:basedOn w:val="Normal"/>
    <w:rsid w:val="00482A8C"/>
    <w:pPr>
      <w:spacing w:before="130" w:after="130" w:line="260" w:lineRule="atLeast"/>
      <w:jc w:val="both"/>
    </w:pPr>
    <w:rPr>
      <w:sz w:val="22"/>
      <w:szCs w:val="22"/>
    </w:rPr>
  </w:style>
  <w:style w:type="paragraph" w:customStyle="1" w:styleId="balk">
    <w:name w:val="başlık"/>
    <w:basedOn w:val="BodybyBD"/>
    <w:rsid w:val="00482A8C"/>
    <w:pPr>
      <w:keepNext/>
    </w:pPr>
    <w:rPr>
      <w:i/>
      <w:iCs/>
      <w:szCs w:val="22"/>
    </w:rPr>
  </w:style>
  <w:style w:type="paragraph" w:customStyle="1" w:styleId="H1">
    <w:name w:val="H1"/>
    <w:basedOn w:val="GvdeMetniGirintisi"/>
    <w:rsid w:val="00482A8C"/>
    <w:pPr>
      <w:pageBreakBefore/>
      <w:tabs>
        <w:tab w:val="left" w:pos="900"/>
      </w:tabs>
      <w:spacing w:before="120" w:after="240" w:line="260" w:lineRule="exact"/>
      <w:ind w:hanging="720"/>
      <w:jc w:val="left"/>
    </w:pPr>
    <w:rPr>
      <w:b/>
      <w:bCs/>
      <w:sz w:val="22"/>
      <w:szCs w:val="22"/>
      <w:lang w:eastAsia="tr-TR"/>
    </w:rPr>
  </w:style>
  <w:style w:type="character" w:customStyle="1" w:styleId="BodyTextIndentChar1">
    <w:name w:val="Body Text Indent Char1"/>
    <w:locked/>
    <w:rsid w:val="00482A8C"/>
    <w:rPr>
      <w:rFonts w:cs="Times New Roman"/>
      <w:lang w:val="tr-TR" w:eastAsia="en-US" w:bidi="ar-SA"/>
    </w:rPr>
  </w:style>
  <w:style w:type="paragraph" w:customStyle="1" w:styleId="baslik2">
    <w:name w:val="baslik2"/>
    <w:basedOn w:val="Normal"/>
    <w:rsid w:val="00482A8C"/>
    <w:pPr>
      <w:spacing w:before="240" w:after="120" w:line="260" w:lineRule="atLeast"/>
      <w:ind w:hanging="720"/>
      <w:jc w:val="both"/>
    </w:pPr>
    <w:rPr>
      <w:b/>
      <w:bCs/>
      <w:sz w:val="22"/>
      <w:szCs w:val="22"/>
    </w:rPr>
  </w:style>
  <w:style w:type="paragraph" w:customStyle="1" w:styleId="xl83">
    <w:name w:val="xl83"/>
    <w:basedOn w:val="Normal"/>
    <w:rsid w:val="00482A8C"/>
    <w:pPr>
      <w:pBdr>
        <w:right w:val="single" w:sz="4" w:space="0" w:color="auto"/>
      </w:pBdr>
      <w:spacing w:before="100" w:beforeAutospacing="1" w:after="100" w:afterAutospacing="1"/>
    </w:pPr>
    <w:rPr>
      <w:sz w:val="16"/>
      <w:szCs w:val="16"/>
    </w:rPr>
  </w:style>
  <w:style w:type="paragraph" w:customStyle="1" w:styleId="xl84">
    <w:name w:val="xl84"/>
    <w:basedOn w:val="Normal"/>
    <w:rsid w:val="00482A8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Normal"/>
    <w:rsid w:val="00482A8C"/>
    <w:pPr>
      <w:pBdr>
        <w:left w:val="single" w:sz="4" w:space="0" w:color="auto"/>
      </w:pBdr>
      <w:spacing w:before="100" w:beforeAutospacing="1" w:after="100" w:afterAutospacing="1"/>
    </w:pPr>
    <w:rPr>
      <w:b/>
      <w:bCs/>
      <w:sz w:val="16"/>
      <w:szCs w:val="16"/>
    </w:rPr>
  </w:style>
  <w:style w:type="paragraph" w:customStyle="1" w:styleId="xl86">
    <w:name w:val="xl86"/>
    <w:basedOn w:val="Normal"/>
    <w:rsid w:val="00482A8C"/>
    <w:pPr>
      <w:pBdr>
        <w:right w:val="single" w:sz="4" w:space="0" w:color="auto"/>
      </w:pBdr>
      <w:spacing w:before="100" w:beforeAutospacing="1" w:after="100" w:afterAutospacing="1"/>
    </w:pPr>
    <w:rPr>
      <w:b/>
      <w:bCs/>
      <w:sz w:val="16"/>
      <w:szCs w:val="16"/>
    </w:rPr>
  </w:style>
  <w:style w:type="paragraph" w:customStyle="1" w:styleId="xl87">
    <w:name w:val="xl87"/>
    <w:basedOn w:val="Normal"/>
    <w:rsid w:val="00482A8C"/>
    <w:pPr>
      <w:pBdr>
        <w:top w:val="single" w:sz="4" w:space="0" w:color="auto"/>
        <w:left w:val="dotted" w:sz="4" w:space="0" w:color="auto"/>
        <w:right w:val="dotted" w:sz="4" w:space="0" w:color="auto"/>
      </w:pBdr>
      <w:spacing w:before="100" w:beforeAutospacing="1" w:after="100" w:afterAutospacing="1"/>
    </w:pPr>
    <w:rPr>
      <w:b/>
      <w:bCs/>
      <w:sz w:val="16"/>
      <w:szCs w:val="16"/>
    </w:rPr>
  </w:style>
  <w:style w:type="paragraph" w:customStyle="1" w:styleId="xl88">
    <w:name w:val="xl88"/>
    <w:basedOn w:val="Normal"/>
    <w:rsid w:val="00482A8C"/>
    <w:pPr>
      <w:pBdr>
        <w:top w:val="single" w:sz="4" w:space="0" w:color="auto"/>
        <w:right w:val="dotted" w:sz="4" w:space="0" w:color="auto"/>
      </w:pBdr>
      <w:spacing w:before="100" w:beforeAutospacing="1" w:after="100" w:afterAutospacing="1"/>
    </w:pPr>
    <w:rPr>
      <w:b/>
      <w:bCs/>
      <w:sz w:val="16"/>
      <w:szCs w:val="16"/>
    </w:rPr>
  </w:style>
  <w:style w:type="paragraph" w:customStyle="1" w:styleId="xl89">
    <w:name w:val="xl89"/>
    <w:basedOn w:val="Normal"/>
    <w:rsid w:val="00482A8C"/>
    <w:pPr>
      <w:pBdr>
        <w:top w:val="single" w:sz="4" w:space="0" w:color="auto"/>
      </w:pBdr>
      <w:spacing w:before="100" w:beforeAutospacing="1" w:after="100" w:afterAutospacing="1"/>
    </w:pPr>
    <w:rPr>
      <w:b/>
      <w:bCs/>
      <w:sz w:val="16"/>
      <w:szCs w:val="16"/>
    </w:rPr>
  </w:style>
  <w:style w:type="paragraph" w:customStyle="1" w:styleId="xl90">
    <w:name w:val="xl90"/>
    <w:basedOn w:val="Normal"/>
    <w:rsid w:val="00482A8C"/>
    <w:pPr>
      <w:pBdr>
        <w:top w:val="single" w:sz="4" w:space="0" w:color="auto"/>
        <w:left w:val="dotted" w:sz="4" w:space="0" w:color="auto"/>
      </w:pBdr>
      <w:spacing w:before="100" w:beforeAutospacing="1" w:after="100" w:afterAutospacing="1"/>
    </w:pPr>
    <w:rPr>
      <w:b/>
      <w:bCs/>
      <w:sz w:val="16"/>
      <w:szCs w:val="16"/>
    </w:rPr>
  </w:style>
  <w:style w:type="paragraph" w:customStyle="1" w:styleId="xl91">
    <w:name w:val="xl91"/>
    <w:basedOn w:val="Normal"/>
    <w:rsid w:val="00482A8C"/>
    <w:pPr>
      <w:pBdr>
        <w:left w:val="single" w:sz="4" w:space="0" w:color="auto"/>
        <w:right w:val="single" w:sz="4" w:space="0" w:color="auto"/>
      </w:pBdr>
      <w:spacing w:before="100" w:beforeAutospacing="1" w:after="100" w:afterAutospacing="1"/>
    </w:pPr>
    <w:rPr>
      <w:b/>
      <w:bCs/>
      <w:sz w:val="16"/>
      <w:szCs w:val="16"/>
    </w:rPr>
  </w:style>
  <w:style w:type="paragraph" w:customStyle="1" w:styleId="xl92">
    <w:name w:val="xl92"/>
    <w:basedOn w:val="Normal"/>
    <w:rsid w:val="00482A8C"/>
    <w:pPr>
      <w:pBdr>
        <w:top w:val="single" w:sz="4" w:space="0" w:color="auto"/>
        <w:left w:val="single" w:sz="4" w:space="0" w:color="auto"/>
        <w:right w:val="single" w:sz="4" w:space="0" w:color="auto"/>
      </w:pBdr>
      <w:spacing w:before="100" w:beforeAutospacing="1" w:after="100" w:afterAutospacing="1"/>
    </w:pPr>
    <w:rPr>
      <w:b/>
      <w:bCs/>
      <w:sz w:val="16"/>
      <w:szCs w:val="16"/>
    </w:rPr>
  </w:style>
  <w:style w:type="paragraph" w:customStyle="1" w:styleId="xl93">
    <w:name w:val="xl93"/>
    <w:basedOn w:val="Normal"/>
    <w:rsid w:val="00482A8C"/>
    <w:pPr>
      <w:pBdr>
        <w:top w:val="single" w:sz="4" w:space="0" w:color="auto"/>
        <w:left w:val="single" w:sz="4" w:space="0" w:color="auto"/>
        <w:right w:val="single" w:sz="4" w:space="0" w:color="auto"/>
      </w:pBdr>
      <w:spacing w:before="100" w:beforeAutospacing="1" w:after="100" w:afterAutospacing="1"/>
    </w:pPr>
    <w:rPr>
      <w:b/>
      <w:bCs/>
      <w:sz w:val="16"/>
      <w:szCs w:val="16"/>
    </w:rPr>
  </w:style>
  <w:style w:type="paragraph" w:customStyle="1" w:styleId="xl94">
    <w:name w:val="xl94"/>
    <w:basedOn w:val="Normal"/>
    <w:rsid w:val="00482A8C"/>
    <w:pPr>
      <w:pBdr>
        <w:left w:val="single" w:sz="4" w:space="0" w:color="auto"/>
        <w:bottom w:val="single" w:sz="4" w:space="0" w:color="auto"/>
      </w:pBdr>
      <w:spacing w:before="100" w:beforeAutospacing="1" w:after="100" w:afterAutospacing="1"/>
    </w:pPr>
    <w:rPr>
      <w:sz w:val="16"/>
      <w:szCs w:val="16"/>
    </w:rPr>
  </w:style>
  <w:style w:type="paragraph" w:customStyle="1" w:styleId="xl95">
    <w:name w:val="xl95"/>
    <w:basedOn w:val="Normal"/>
    <w:rsid w:val="00482A8C"/>
    <w:pPr>
      <w:pBdr>
        <w:bottom w:val="single" w:sz="4" w:space="0" w:color="auto"/>
      </w:pBdr>
      <w:spacing w:before="100" w:beforeAutospacing="1" w:after="100" w:afterAutospacing="1"/>
    </w:pPr>
    <w:rPr>
      <w:b/>
      <w:bCs/>
      <w:sz w:val="16"/>
      <w:szCs w:val="16"/>
    </w:rPr>
  </w:style>
  <w:style w:type="paragraph" w:customStyle="1" w:styleId="xl96">
    <w:name w:val="xl96"/>
    <w:basedOn w:val="Normal"/>
    <w:rsid w:val="00482A8C"/>
    <w:pPr>
      <w:pBdr>
        <w:bottom w:val="single" w:sz="4" w:space="0" w:color="auto"/>
        <w:right w:val="single" w:sz="4" w:space="0" w:color="auto"/>
      </w:pBdr>
      <w:spacing w:before="100" w:beforeAutospacing="1" w:after="100" w:afterAutospacing="1"/>
    </w:pPr>
    <w:rPr>
      <w:b/>
      <w:bCs/>
      <w:sz w:val="16"/>
      <w:szCs w:val="16"/>
    </w:rPr>
  </w:style>
  <w:style w:type="paragraph" w:customStyle="1" w:styleId="xl97">
    <w:name w:val="xl97"/>
    <w:basedOn w:val="Normal"/>
    <w:rsid w:val="00482A8C"/>
    <w:pPr>
      <w:pBdr>
        <w:left w:val="single" w:sz="4" w:space="0" w:color="auto"/>
        <w:bottom w:val="single" w:sz="4" w:space="0" w:color="auto"/>
      </w:pBdr>
      <w:spacing w:before="100" w:beforeAutospacing="1" w:after="100" w:afterAutospacing="1"/>
      <w:jc w:val="center"/>
    </w:pPr>
    <w:rPr>
      <w:b/>
      <w:bCs/>
      <w:sz w:val="16"/>
      <w:szCs w:val="16"/>
    </w:rPr>
  </w:style>
  <w:style w:type="paragraph" w:customStyle="1" w:styleId="xl98">
    <w:name w:val="xl98"/>
    <w:basedOn w:val="Normal"/>
    <w:rsid w:val="00482A8C"/>
    <w:pPr>
      <w:pBdr>
        <w:left w:val="dotted" w:sz="4" w:space="0" w:color="auto"/>
        <w:bottom w:val="single" w:sz="4" w:space="0" w:color="auto"/>
        <w:right w:val="dotted" w:sz="4" w:space="0" w:color="auto"/>
      </w:pBdr>
      <w:spacing w:before="100" w:beforeAutospacing="1" w:after="100" w:afterAutospacing="1"/>
    </w:pPr>
    <w:rPr>
      <w:sz w:val="16"/>
      <w:szCs w:val="16"/>
    </w:rPr>
  </w:style>
  <w:style w:type="paragraph" w:customStyle="1" w:styleId="xl99">
    <w:name w:val="xl99"/>
    <w:basedOn w:val="Normal"/>
    <w:rsid w:val="00482A8C"/>
    <w:pPr>
      <w:pBdr>
        <w:bottom w:val="single" w:sz="4" w:space="0" w:color="auto"/>
        <w:right w:val="dotted" w:sz="4" w:space="0" w:color="auto"/>
      </w:pBdr>
      <w:spacing w:before="100" w:beforeAutospacing="1" w:after="100" w:afterAutospacing="1"/>
    </w:pPr>
    <w:rPr>
      <w:sz w:val="16"/>
      <w:szCs w:val="16"/>
    </w:rPr>
  </w:style>
  <w:style w:type="paragraph" w:customStyle="1" w:styleId="xl100">
    <w:name w:val="xl100"/>
    <w:basedOn w:val="Normal"/>
    <w:rsid w:val="00482A8C"/>
    <w:pPr>
      <w:pBdr>
        <w:bottom w:val="single" w:sz="4" w:space="0" w:color="auto"/>
      </w:pBdr>
      <w:spacing w:before="100" w:beforeAutospacing="1" w:after="100" w:afterAutospacing="1"/>
    </w:pPr>
    <w:rPr>
      <w:sz w:val="16"/>
      <w:szCs w:val="16"/>
    </w:rPr>
  </w:style>
  <w:style w:type="paragraph" w:customStyle="1" w:styleId="xl101">
    <w:name w:val="xl101"/>
    <w:basedOn w:val="Normal"/>
    <w:rsid w:val="00482A8C"/>
    <w:pPr>
      <w:pBdr>
        <w:left w:val="dotted" w:sz="4" w:space="0" w:color="auto"/>
        <w:bottom w:val="single" w:sz="4" w:space="0" w:color="auto"/>
      </w:pBdr>
      <w:spacing w:before="100" w:beforeAutospacing="1" w:after="100" w:afterAutospacing="1"/>
    </w:pPr>
    <w:rPr>
      <w:sz w:val="16"/>
      <w:szCs w:val="16"/>
    </w:rPr>
  </w:style>
  <w:style w:type="paragraph" w:customStyle="1" w:styleId="xl102">
    <w:name w:val="xl102"/>
    <w:basedOn w:val="Normal"/>
    <w:rsid w:val="00482A8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3">
    <w:name w:val="xl103"/>
    <w:basedOn w:val="Normal"/>
    <w:rsid w:val="00482A8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4">
    <w:name w:val="xl104"/>
    <w:basedOn w:val="Normal"/>
    <w:rsid w:val="00482A8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5">
    <w:name w:val="xl105"/>
    <w:basedOn w:val="Normal"/>
    <w:rsid w:val="00482A8C"/>
    <w:pPr>
      <w:pBdr>
        <w:right w:val="dotted" w:sz="4" w:space="0" w:color="auto"/>
      </w:pBdr>
      <w:spacing w:before="100" w:beforeAutospacing="1" w:after="100" w:afterAutospacing="1"/>
    </w:pPr>
    <w:rPr>
      <w:b/>
      <w:bCs/>
      <w:sz w:val="16"/>
      <w:szCs w:val="16"/>
    </w:rPr>
  </w:style>
  <w:style w:type="paragraph" w:customStyle="1" w:styleId="xl106">
    <w:name w:val="xl106"/>
    <w:basedOn w:val="Normal"/>
    <w:rsid w:val="00482A8C"/>
    <w:pPr>
      <w:pBdr>
        <w:left w:val="dotted" w:sz="4" w:space="0" w:color="auto"/>
      </w:pBdr>
      <w:spacing w:before="100" w:beforeAutospacing="1" w:after="100" w:afterAutospacing="1"/>
    </w:pPr>
    <w:rPr>
      <w:b/>
      <w:bCs/>
      <w:sz w:val="16"/>
      <w:szCs w:val="16"/>
    </w:rPr>
  </w:style>
  <w:style w:type="paragraph" w:customStyle="1" w:styleId="xl107">
    <w:name w:val="xl107"/>
    <w:basedOn w:val="Normal"/>
    <w:rsid w:val="00482A8C"/>
    <w:pPr>
      <w:pBdr>
        <w:left w:val="single" w:sz="4" w:space="0" w:color="auto"/>
        <w:right w:val="single" w:sz="4" w:space="0" w:color="auto"/>
      </w:pBdr>
      <w:spacing w:before="100" w:beforeAutospacing="1" w:after="100" w:afterAutospacing="1"/>
    </w:pPr>
    <w:rPr>
      <w:b/>
      <w:bCs/>
      <w:sz w:val="16"/>
      <w:szCs w:val="16"/>
    </w:rPr>
  </w:style>
  <w:style w:type="paragraph" w:customStyle="1" w:styleId="xl108">
    <w:name w:val="xl108"/>
    <w:basedOn w:val="Normal"/>
    <w:rsid w:val="00482A8C"/>
    <w:pPr>
      <w:spacing w:before="100" w:beforeAutospacing="1" w:after="100" w:afterAutospacing="1"/>
    </w:pPr>
    <w:rPr>
      <w:sz w:val="16"/>
      <w:szCs w:val="16"/>
    </w:rPr>
  </w:style>
  <w:style w:type="paragraph" w:customStyle="1" w:styleId="xl109">
    <w:name w:val="xl109"/>
    <w:basedOn w:val="Normal"/>
    <w:rsid w:val="00482A8C"/>
    <w:pPr>
      <w:pBdr>
        <w:left w:val="single" w:sz="4" w:space="0" w:color="auto"/>
        <w:bottom w:val="single" w:sz="4" w:space="0" w:color="auto"/>
      </w:pBdr>
      <w:spacing w:before="100" w:beforeAutospacing="1" w:after="100" w:afterAutospacing="1"/>
    </w:pPr>
    <w:rPr>
      <w:b/>
      <w:bCs/>
      <w:sz w:val="16"/>
      <w:szCs w:val="16"/>
    </w:rPr>
  </w:style>
  <w:style w:type="paragraph" w:customStyle="1" w:styleId="xl110">
    <w:name w:val="xl110"/>
    <w:basedOn w:val="Normal"/>
    <w:rsid w:val="00482A8C"/>
    <w:pPr>
      <w:pBdr>
        <w:bottom w:val="single" w:sz="4" w:space="0" w:color="auto"/>
        <w:right w:val="single" w:sz="4" w:space="0" w:color="auto"/>
      </w:pBdr>
      <w:spacing w:before="100" w:beforeAutospacing="1" w:after="100" w:afterAutospacing="1"/>
      <w:jc w:val="both"/>
    </w:pPr>
    <w:rPr>
      <w:b/>
      <w:bCs/>
      <w:sz w:val="16"/>
      <w:szCs w:val="16"/>
    </w:rPr>
  </w:style>
  <w:style w:type="paragraph" w:customStyle="1" w:styleId="xl111">
    <w:name w:val="xl111"/>
    <w:basedOn w:val="Normal"/>
    <w:rsid w:val="00482A8C"/>
    <w:pPr>
      <w:pBdr>
        <w:bottom w:val="single" w:sz="4" w:space="0" w:color="auto"/>
      </w:pBdr>
      <w:spacing w:before="100" w:beforeAutospacing="1" w:after="100" w:afterAutospacing="1"/>
      <w:jc w:val="center"/>
    </w:pPr>
    <w:rPr>
      <w:b/>
      <w:bCs/>
      <w:sz w:val="16"/>
      <w:szCs w:val="16"/>
    </w:rPr>
  </w:style>
  <w:style w:type="paragraph" w:customStyle="1" w:styleId="xl112">
    <w:name w:val="xl112"/>
    <w:basedOn w:val="Normal"/>
    <w:rsid w:val="00482A8C"/>
    <w:pPr>
      <w:pBdr>
        <w:top w:val="single" w:sz="4" w:space="0" w:color="auto"/>
        <w:left w:val="dotted" w:sz="4" w:space="0" w:color="auto"/>
        <w:bottom w:val="single" w:sz="4" w:space="0" w:color="auto"/>
        <w:right w:val="dotted" w:sz="4" w:space="0" w:color="auto"/>
      </w:pBdr>
      <w:spacing w:before="100" w:beforeAutospacing="1" w:after="100" w:afterAutospacing="1"/>
    </w:pPr>
    <w:rPr>
      <w:b/>
      <w:bCs/>
      <w:sz w:val="16"/>
      <w:szCs w:val="16"/>
    </w:rPr>
  </w:style>
  <w:style w:type="paragraph" w:customStyle="1" w:styleId="xl113">
    <w:name w:val="xl113"/>
    <w:basedOn w:val="Normal"/>
    <w:rsid w:val="00482A8C"/>
    <w:pPr>
      <w:pBdr>
        <w:top w:val="single" w:sz="4" w:space="0" w:color="auto"/>
        <w:bottom w:val="single" w:sz="4" w:space="0" w:color="auto"/>
        <w:right w:val="dotted" w:sz="4" w:space="0" w:color="auto"/>
      </w:pBdr>
      <w:spacing w:before="100" w:beforeAutospacing="1" w:after="100" w:afterAutospacing="1"/>
    </w:pPr>
    <w:rPr>
      <w:b/>
      <w:bCs/>
      <w:sz w:val="16"/>
      <w:szCs w:val="16"/>
    </w:rPr>
  </w:style>
  <w:style w:type="paragraph" w:customStyle="1" w:styleId="xl114">
    <w:name w:val="xl114"/>
    <w:basedOn w:val="Normal"/>
    <w:rsid w:val="00482A8C"/>
    <w:pPr>
      <w:pBdr>
        <w:top w:val="single" w:sz="4" w:space="0" w:color="auto"/>
        <w:left w:val="dotted" w:sz="4" w:space="0" w:color="auto"/>
        <w:bottom w:val="single" w:sz="4" w:space="0" w:color="auto"/>
      </w:pBdr>
      <w:spacing w:before="100" w:beforeAutospacing="1" w:after="100" w:afterAutospacing="1"/>
    </w:pPr>
    <w:rPr>
      <w:b/>
      <w:bCs/>
      <w:sz w:val="16"/>
      <w:szCs w:val="16"/>
    </w:rPr>
  </w:style>
  <w:style w:type="paragraph" w:customStyle="1" w:styleId="xl115">
    <w:name w:val="xl115"/>
    <w:basedOn w:val="Normal"/>
    <w:rsid w:val="00482A8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116">
    <w:name w:val="xl116"/>
    <w:basedOn w:val="Normal"/>
    <w:rsid w:val="00482A8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117">
    <w:name w:val="xl117"/>
    <w:basedOn w:val="Normal"/>
    <w:rsid w:val="00482A8C"/>
    <w:pPr>
      <w:spacing w:before="100" w:beforeAutospacing="1" w:after="100" w:afterAutospacing="1"/>
      <w:jc w:val="both"/>
    </w:pPr>
    <w:rPr>
      <w:sz w:val="16"/>
      <w:szCs w:val="16"/>
    </w:rPr>
  </w:style>
  <w:style w:type="paragraph" w:customStyle="1" w:styleId="xl118">
    <w:name w:val="xl118"/>
    <w:basedOn w:val="Normal"/>
    <w:rsid w:val="00482A8C"/>
    <w:pPr>
      <w:spacing w:before="100" w:beforeAutospacing="1" w:after="100" w:afterAutospacing="1"/>
      <w:jc w:val="both"/>
    </w:pPr>
    <w:rPr>
      <w:sz w:val="16"/>
      <w:szCs w:val="16"/>
    </w:rPr>
  </w:style>
  <w:style w:type="paragraph" w:customStyle="1" w:styleId="xl119">
    <w:name w:val="xl119"/>
    <w:basedOn w:val="Normal"/>
    <w:rsid w:val="00482A8C"/>
    <w:pPr>
      <w:pBdr>
        <w:top w:val="single" w:sz="4" w:space="0" w:color="auto"/>
        <w:bottom w:val="single" w:sz="4" w:space="0" w:color="auto"/>
      </w:pBdr>
      <w:spacing w:before="100" w:beforeAutospacing="1" w:after="100" w:afterAutospacing="1"/>
    </w:pPr>
    <w:rPr>
      <w:sz w:val="16"/>
      <w:szCs w:val="16"/>
    </w:rPr>
  </w:style>
  <w:style w:type="paragraph" w:customStyle="1" w:styleId="xl120">
    <w:name w:val="xl120"/>
    <w:basedOn w:val="Normal"/>
    <w:rsid w:val="00482A8C"/>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1">
    <w:name w:val="xl121"/>
    <w:basedOn w:val="Normal"/>
    <w:rsid w:val="00482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2">
    <w:name w:val="xl122"/>
    <w:basedOn w:val="Normal"/>
    <w:rsid w:val="00482A8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23">
    <w:name w:val="xl123"/>
    <w:basedOn w:val="Normal"/>
    <w:rsid w:val="00482A8C"/>
    <w:pPr>
      <w:spacing w:before="100" w:beforeAutospacing="1" w:after="100" w:afterAutospacing="1"/>
    </w:pPr>
    <w:rPr>
      <w:sz w:val="16"/>
      <w:szCs w:val="16"/>
    </w:rPr>
  </w:style>
  <w:style w:type="paragraph" w:customStyle="1" w:styleId="AltKonuBal">
    <w:name w:val="Alt Konu Başlığı"/>
    <w:basedOn w:val="Normal"/>
    <w:qFormat/>
    <w:rsid w:val="00482A8C"/>
    <w:pPr>
      <w:jc w:val="center"/>
    </w:pPr>
    <w:rPr>
      <w:b/>
    </w:rPr>
  </w:style>
  <w:style w:type="paragraph" w:customStyle="1" w:styleId="DefaultParagraphFontParaCharChar">
    <w:name w:val="Default Paragraph Font Para Char Char"/>
    <w:aliases w:val="Default Paragraph Font Para Char Para Char Char"/>
    <w:basedOn w:val="Normal"/>
    <w:rsid w:val="00482A8C"/>
    <w:rPr>
      <w:szCs w:val="20"/>
    </w:rPr>
  </w:style>
  <w:style w:type="paragraph" w:customStyle="1" w:styleId="IASBPrinciple">
    <w:name w:val="IASB Principle"/>
    <w:basedOn w:val="Normal"/>
    <w:rsid w:val="00482A8C"/>
    <w:pPr>
      <w:spacing w:before="100" w:after="100"/>
      <w:jc w:val="both"/>
    </w:pPr>
    <w:rPr>
      <w:b/>
      <w:bCs/>
      <w:sz w:val="22"/>
      <w:szCs w:val="22"/>
    </w:rPr>
  </w:style>
  <w:style w:type="paragraph" w:customStyle="1" w:styleId="1tipi0">
    <w:name w:val="1tipi"/>
    <w:basedOn w:val="Normal"/>
    <w:rsid w:val="00482A8C"/>
    <w:pPr>
      <w:snapToGrid w:val="0"/>
      <w:jc w:val="both"/>
    </w:pPr>
    <w:rPr>
      <w:rFonts w:ascii="Arial" w:hAnsi="Arial" w:cs="Arial"/>
    </w:rPr>
  </w:style>
  <w:style w:type="character" w:styleId="Gl">
    <w:name w:val="Strong"/>
    <w:uiPriority w:val="22"/>
    <w:qFormat/>
    <w:rsid w:val="00482A8C"/>
    <w:rPr>
      <w:rFonts w:ascii="Times New Roman" w:hAnsi="Times New Roman" w:cs="Times New Roman"/>
      <w:b/>
      <w:bCs/>
    </w:rPr>
  </w:style>
  <w:style w:type="paragraph" w:customStyle="1" w:styleId="ListeParagraf1">
    <w:name w:val="Liste Paragraf1"/>
    <w:basedOn w:val="Normal"/>
    <w:qFormat/>
    <w:rsid w:val="00482A8C"/>
    <w:pPr>
      <w:ind w:left="720"/>
      <w:contextualSpacing/>
    </w:pPr>
    <w:rPr>
      <w:szCs w:val="20"/>
    </w:rPr>
  </w:style>
  <w:style w:type="character" w:customStyle="1" w:styleId="SonnotMetniChar0">
    <w:name w:val="Sonnot Metni Char"/>
    <w:link w:val="SonnotMetni0"/>
    <w:locked/>
    <w:rsid w:val="00482A8C"/>
    <w:rPr>
      <w:lang w:val="tr-TR" w:eastAsia="x-none"/>
    </w:rPr>
  </w:style>
  <w:style w:type="character" w:customStyle="1" w:styleId="NormalGirintiChar">
    <w:name w:val="Normal Girinti Char"/>
    <w:link w:val="NormalGirinti"/>
    <w:uiPriority w:val="99"/>
    <w:locked/>
    <w:rsid w:val="00482A8C"/>
    <w:rPr>
      <w:noProof/>
      <w:lang w:val="tr-TR"/>
    </w:rPr>
  </w:style>
  <w:style w:type="paragraph" w:customStyle="1" w:styleId="1tipi00">
    <w:name w:val="1tipi0"/>
    <w:basedOn w:val="Normal"/>
    <w:rsid w:val="00482A8C"/>
    <w:pPr>
      <w:snapToGrid w:val="0"/>
      <w:jc w:val="both"/>
    </w:pPr>
    <w:rPr>
      <w:rFonts w:ascii="Arial" w:hAnsi="Arial" w:cs="Arial"/>
    </w:rPr>
  </w:style>
  <w:style w:type="paragraph" w:customStyle="1" w:styleId="1tipi000">
    <w:name w:val="1tipi00"/>
    <w:basedOn w:val="Normal"/>
    <w:rsid w:val="00482A8C"/>
    <w:pPr>
      <w:snapToGrid w:val="0"/>
      <w:jc w:val="both"/>
    </w:pPr>
    <w:rPr>
      <w:rFonts w:ascii="Arial" w:hAnsi="Arial" w:cs="Arial"/>
    </w:rPr>
  </w:style>
  <w:style w:type="paragraph" w:customStyle="1" w:styleId="Textkrper1">
    <w:name w:val="Textkörper1"/>
    <w:basedOn w:val="Normal"/>
    <w:rsid w:val="00482A8C"/>
    <w:pPr>
      <w:suppressAutoHyphens/>
      <w:autoSpaceDN w:val="0"/>
      <w:spacing w:before="130" w:after="130" w:line="260" w:lineRule="atLeast"/>
      <w:textAlignment w:val="baseline"/>
    </w:pPr>
    <w:rPr>
      <w:sz w:val="22"/>
      <w:szCs w:val="22"/>
      <w:lang w:val="en-GB"/>
    </w:rPr>
  </w:style>
  <w:style w:type="numbering" w:customStyle="1" w:styleId="CurrentList1">
    <w:name w:val="Current List1"/>
    <w:rsid w:val="00482A8C"/>
    <w:pPr>
      <w:numPr>
        <w:numId w:val="11"/>
      </w:numPr>
    </w:pPr>
  </w:style>
  <w:style w:type="numbering" w:customStyle="1" w:styleId="Style2">
    <w:name w:val="Style2"/>
    <w:rsid w:val="00482A8C"/>
    <w:pPr>
      <w:numPr>
        <w:numId w:val="12"/>
      </w:numPr>
    </w:pPr>
  </w:style>
  <w:style w:type="numbering" w:customStyle="1" w:styleId="Style10">
    <w:name w:val="Style10"/>
    <w:rsid w:val="00482A8C"/>
    <w:pPr>
      <w:numPr>
        <w:numId w:val="20"/>
      </w:numPr>
    </w:pPr>
  </w:style>
  <w:style w:type="numbering" w:styleId="1ai">
    <w:name w:val="Outline List 1"/>
    <w:basedOn w:val="ListeYok"/>
    <w:rsid w:val="00482A8C"/>
    <w:pPr>
      <w:numPr>
        <w:numId w:val="16"/>
      </w:numPr>
    </w:pPr>
  </w:style>
  <w:style w:type="numbering" w:customStyle="1" w:styleId="Style5">
    <w:name w:val="Style5"/>
    <w:rsid w:val="00482A8C"/>
    <w:pPr>
      <w:numPr>
        <w:numId w:val="15"/>
      </w:numPr>
    </w:pPr>
  </w:style>
  <w:style w:type="numbering" w:customStyle="1" w:styleId="Style3">
    <w:name w:val="Style3"/>
    <w:rsid w:val="00482A8C"/>
    <w:pPr>
      <w:numPr>
        <w:numId w:val="13"/>
      </w:numPr>
    </w:pPr>
  </w:style>
  <w:style w:type="numbering" w:customStyle="1" w:styleId="Style1">
    <w:name w:val="Style1"/>
    <w:rsid w:val="00482A8C"/>
    <w:pPr>
      <w:numPr>
        <w:numId w:val="10"/>
      </w:numPr>
    </w:pPr>
  </w:style>
  <w:style w:type="numbering" w:customStyle="1" w:styleId="Style4">
    <w:name w:val="Style4"/>
    <w:rsid w:val="00482A8C"/>
    <w:pPr>
      <w:numPr>
        <w:numId w:val="14"/>
      </w:numPr>
    </w:pPr>
  </w:style>
  <w:style w:type="numbering" w:customStyle="1" w:styleId="Style6">
    <w:name w:val="Style6"/>
    <w:rsid w:val="00482A8C"/>
    <w:pPr>
      <w:numPr>
        <w:numId w:val="17"/>
      </w:numPr>
    </w:pPr>
  </w:style>
  <w:style w:type="numbering" w:customStyle="1" w:styleId="Style7">
    <w:name w:val="Style7"/>
    <w:rsid w:val="00482A8C"/>
    <w:pPr>
      <w:numPr>
        <w:numId w:val="18"/>
      </w:numPr>
    </w:pPr>
  </w:style>
  <w:style w:type="numbering" w:customStyle="1" w:styleId="Stil1">
    <w:name w:val="Stil1"/>
    <w:rsid w:val="00482A8C"/>
    <w:pPr>
      <w:numPr>
        <w:numId w:val="21"/>
      </w:numPr>
    </w:pPr>
  </w:style>
  <w:style w:type="numbering" w:customStyle="1" w:styleId="Style9">
    <w:name w:val="Style9"/>
    <w:rsid w:val="00482A8C"/>
    <w:pPr>
      <w:numPr>
        <w:numId w:val="9"/>
      </w:numPr>
    </w:pPr>
  </w:style>
  <w:style w:type="numbering" w:customStyle="1" w:styleId="Style8">
    <w:name w:val="Style8"/>
    <w:rsid w:val="00482A8C"/>
    <w:pPr>
      <w:numPr>
        <w:numId w:val="19"/>
      </w:numPr>
    </w:pPr>
  </w:style>
  <w:style w:type="character" w:customStyle="1" w:styleId="stbilgiChar">
    <w:name w:val="Üstbilgi Char"/>
    <w:link w:val="stbilgi0"/>
    <w:uiPriority w:val="99"/>
    <w:rsid w:val="00482A8C"/>
    <w:rPr>
      <w:sz w:val="24"/>
      <w:szCs w:val="24"/>
    </w:rPr>
  </w:style>
  <w:style w:type="character" w:customStyle="1" w:styleId="AltbilgiChar">
    <w:name w:val="Altbilgi Char"/>
    <w:link w:val="Altbilgi0"/>
    <w:uiPriority w:val="99"/>
    <w:rsid w:val="00482A8C"/>
    <w:rPr>
      <w:sz w:val="24"/>
      <w:szCs w:val="24"/>
    </w:rPr>
  </w:style>
  <w:style w:type="character" w:customStyle="1" w:styleId="FontStyle162">
    <w:name w:val="Font Style162"/>
    <w:uiPriority w:val="99"/>
    <w:rsid w:val="00482A8C"/>
    <w:rPr>
      <w:rFonts w:ascii="Century Gothic" w:hAnsi="Century Gothic" w:cs="Century Gothic"/>
      <w:color w:val="000000"/>
      <w:sz w:val="16"/>
      <w:szCs w:val="16"/>
    </w:rPr>
  </w:style>
  <w:style w:type="paragraph" w:customStyle="1" w:styleId="Style19">
    <w:name w:val="Style19"/>
    <w:basedOn w:val="Normal"/>
    <w:uiPriority w:val="99"/>
    <w:rsid w:val="00482A8C"/>
    <w:pPr>
      <w:widowControl w:val="0"/>
      <w:autoSpaceDE w:val="0"/>
      <w:autoSpaceDN w:val="0"/>
      <w:adjustRightInd w:val="0"/>
      <w:spacing w:line="306" w:lineRule="exact"/>
      <w:jc w:val="both"/>
    </w:pPr>
    <w:rPr>
      <w:rFonts w:ascii="Century Gothic" w:hAnsi="Century Gothic"/>
    </w:rPr>
  </w:style>
  <w:style w:type="paragraph" w:customStyle="1" w:styleId="mcntmsonospacing">
    <w:name w:val="mcntmsonospacing"/>
    <w:basedOn w:val="Normal"/>
    <w:rsid w:val="00482A8C"/>
    <w:pPr>
      <w:spacing w:before="100" w:beforeAutospacing="1" w:after="100" w:afterAutospacing="1"/>
    </w:pPr>
  </w:style>
  <w:style w:type="paragraph" w:customStyle="1" w:styleId="mcntmsonormal">
    <w:name w:val="mcntmsonormal"/>
    <w:basedOn w:val="Normal"/>
    <w:rsid w:val="00482A8C"/>
    <w:pPr>
      <w:spacing w:before="100" w:beforeAutospacing="1" w:after="100" w:afterAutospacing="1"/>
    </w:pPr>
  </w:style>
  <w:style w:type="character" w:customStyle="1" w:styleId="AltBilgiChar0">
    <w:name w:val="Alt Bilgi Char"/>
    <w:basedOn w:val="VarsaylanParagrafYazTipi"/>
    <w:uiPriority w:val="99"/>
    <w:rsid w:val="00482A8C"/>
  </w:style>
  <w:style w:type="character" w:customStyle="1" w:styleId="stBilgiChar0">
    <w:name w:val="Üst Bilgi Char"/>
    <w:basedOn w:val="VarsaylanParagrafYazTipi"/>
    <w:uiPriority w:val="99"/>
    <w:rsid w:val="00482A8C"/>
  </w:style>
  <w:style w:type="character" w:styleId="SatrNumaras">
    <w:name w:val="line number"/>
    <w:basedOn w:val="VarsaylanParagrafYazTipi"/>
    <w:rsid w:val="00482A8C"/>
  </w:style>
  <w:style w:type="paragraph" w:customStyle="1" w:styleId="ListeParagraf2">
    <w:name w:val="Liste Paragraf2"/>
    <w:basedOn w:val="Normal"/>
    <w:qFormat/>
    <w:rsid w:val="00482A8C"/>
    <w:pPr>
      <w:ind w:left="720"/>
      <w:contextualSpacing/>
    </w:pPr>
    <w:rPr>
      <w:szCs w:val="20"/>
    </w:rPr>
  </w:style>
  <w:style w:type="paragraph" w:customStyle="1" w:styleId="berschrift21">
    <w:name w:val="Überschrift 21"/>
    <w:basedOn w:val="Standard1"/>
    <w:next w:val="Standard1"/>
    <w:rsid w:val="00482A8C"/>
    <w:pPr>
      <w:keepNext/>
      <w:spacing w:before="240" w:after="60"/>
      <w:outlineLvl w:val="1"/>
    </w:pPr>
    <w:rPr>
      <w:rFonts w:ascii="Arial" w:hAnsi="Arial"/>
      <w:b/>
      <w:bCs/>
      <w:i/>
      <w:iCs/>
      <w:sz w:val="28"/>
      <w:szCs w:val="28"/>
    </w:rPr>
  </w:style>
  <w:style w:type="character" w:customStyle="1" w:styleId="Absatz-Standardschriftart1">
    <w:name w:val="Absatz-Standardschriftart1"/>
    <w:rsid w:val="00482A8C"/>
  </w:style>
  <w:style w:type="paragraph" w:customStyle="1" w:styleId="Kopfzeile1">
    <w:name w:val="Kopfzeile1"/>
    <w:basedOn w:val="Standard1"/>
    <w:rsid w:val="00482A8C"/>
    <w:pPr>
      <w:tabs>
        <w:tab w:val="center" w:pos="4536"/>
        <w:tab w:val="right" w:pos="9072"/>
      </w:tabs>
    </w:pPr>
    <w:rPr>
      <w:lang w:val="en-US" w:eastAsia="en-US"/>
    </w:rPr>
  </w:style>
  <w:style w:type="paragraph" w:customStyle="1" w:styleId="Fuzeile1">
    <w:name w:val="Fußzeile1"/>
    <w:basedOn w:val="Standard1"/>
    <w:rsid w:val="00482A8C"/>
    <w:pPr>
      <w:tabs>
        <w:tab w:val="center" w:pos="4536"/>
        <w:tab w:val="right" w:pos="9072"/>
      </w:tabs>
    </w:pPr>
    <w:rPr>
      <w:lang w:eastAsia="en-US"/>
    </w:rPr>
  </w:style>
  <w:style w:type="numbering" w:customStyle="1" w:styleId="WWOutlineListStyle">
    <w:name w:val="WW_OutlineListStyle"/>
    <w:basedOn w:val="ListeYok"/>
    <w:rsid w:val="00482A8C"/>
    <w:pPr>
      <w:numPr>
        <w:numId w:val="22"/>
      </w:numPr>
    </w:pPr>
  </w:style>
  <w:style w:type="paragraph" w:customStyle="1" w:styleId="berschrift11">
    <w:name w:val="Überschrift 11"/>
    <w:basedOn w:val="Standard1"/>
    <w:next w:val="Standard1"/>
    <w:rsid w:val="00482A8C"/>
    <w:pPr>
      <w:numPr>
        <w:numId w:val="22"/>
      </w:numPr>
      <w:spacing w:before="240"/>
      <w:outlineLvl w:val="0"/>
    </w:pPr>
    <w:rPr>
      <w:rFonts w:ascii="Univers (WN)" w:hAnsi="Univers (WN)"/>
      <w:b/>
      <w:bCs/>
      <w:u w:val="single"/>
      <w:lang w:val="en-US" w:eastAsia="en-US"/>
    </w:rPr>
  </w:style>
  <w:style w:type="paragraph" w:customStyle="1" w:styleId="berschrift41">
    <w:name w:val="Überschrift 41"/>
    <w:basedOn w:val="Standard1"/>
    <w:next w:val="Standard1"/>
    <w:rsid w:val="00482A8C"/>
    <w:pPr>
      <w:keepNext/>
      <w:numPr>
        <w:ilvl w:val="3"/>
        <w:numId w:val="22"/>
      </w:numPr>
      <w:jc w:val="center"/>
      <w:outlineLvl w:val="3"/>
    </w:pPr>
    <w:rPr>
      <w:b/>
      <w:bCs/>
      <w:lang w:eastAsia="en-US"/>
    </w:rPr>
  </w:style>
  <w:style w:type="paragraph" w:customStyle="1" w:styleId="berschrift71">
    <w:name w:val="Überschrift 71"/>
    <w:basedOn w:val="Standard1"/>
    <w:next w:val="Normal"/>
    <w:rsid w:val="00482A8C"/>
    <w:pPr>
      <w:numPr>
        <w:ilvl w:val="6"/>
        <w:numId w:val="22"/>
      </w:numPr>
      <w:outlineLvl w:val="6"/>
    </w:pPr>
    <w:rPr>
      <w:rFonts w:ascii="CG Times (WN)" w:hAnsi="CG Times (WN)"/>
      <w:i/>
      <w:iCs/>
      <w:sz w:val="20"/>
      <w:szCs w:val="20"/>
      <w:lang w:val="en-US" w:eastAsia="en-US"/>
    </w:rPr>
  </w:style>
  <w:style w:type="paragraph" w:customStyle="1" w:styleId="berschrift81">
    <w:name w:val="Überschrift 81"/>
    <w:basedOn w:val="Standard1"/>
    <w:next w:val="Normal"/>
    <w:rsid w:val="00482A8C"/>
    <w:pPr>
      <w:numPr>
        <w:ilvl w:val="7"/>
        <w:numId w:val="22"/>
      </w:numPr>
      <w:outlineLvl w:val="7"/>
    </w:pPr>
    <w:rPr>
      <w:rFonts w:ascii="CG Times (WN)" w:hAnsi="CG Times (WN)"/>
      <w:i/>
      <w:iCs/>
      <w:sz w:val="20"/>
      <w:szCs w:val="20"/>
      <w:lang w:val="en-US" w:eastAsia="en-US"/>
    </w:rPr>
  </w:style>
  <w:style w:type="paragraph" w:customStyle="1" w:styleId="Textkrper-Einzug31">
    <w:name w:val="Textkörper-Einzug 31"/>
    <w:basedOn w:val="Standard1"/>
    <w:rsid w:val="00482A8C"/>
    <w:pPr>
      <w:spacing w:before="80" w:line="220" w:lineRule="exact"/>
      <w:ind w:firstLine="567"/>
      <w:jc w:val="both"/>
    </w:pPr>
    <w:rPr>
      <w:lang w:val="en-US" w:eastAsia="en-US"/>
    </w:rPr>
  </w:style>
  <w:style w:type="paragraph" w:customStyle="1" w:styleId="Textkrper-Zeileneinzug1">
    <w:name w:val="Textkörper-Zeileneinzug1"/>
    <w:basedOn w:val="Standard1"/>
    <w:rsid w:val="00482A8C"/>
    <w:pPr>
      <w:spacing w:after="120"/>
      <w:ind w:left="283"/>
    </w:pPr>
  </w:style>
  <w:style w:type="paragraph" w:customStyle="1" w:styleId="Beschriftung1">
    <w:name w:val="Beschriftung1"/>
    <w:basedOn w:val="Standard1"/>
    <w:next w:val="Standard1"/>
    <w:rsid w:val="00482A8C"/>
    <w:pPr>
      <w:autoSpaceDE w:val="0"/>
    </w:pPr>
    <w:rPr>
      <w:rFonts w:eastAsia="Arial Unicode MS"/>
      <w:b/>
      <w:bCs/>
      <w:sz w:val="20"/>
      <w:szCs w:val="20"/>
      <w:lang w:eastAsia="en-US"/>
    </w:rPr>
  </w:style>
  <w:style w:type="paragraph" w:customStyle="1" w:styleId="berschrift31">
    <w:name w:val="Überschrift 31"/>
    <w:basedOn w:val="Standard1"/>
    <w:next w:val="Normal"/>
    <w:rsid w:val="00482A8C"/>
    <w:pPr>
      <w:outlineLvl w:val="2"/>
    </w:pPr>
    <w:rPr>
      <w:rFonts w:ascii="CG Times (WN)" w:hAnsi="CG Times (WN)"/>
      <w:b/>
      <w:bCs/>
      <w:lang w:val="en-US" w:eastAsia="en-US"/>
    </w:rPr>
  </w:style>
  <w:style w:type="paragraph" w:customStyle="1" w:styleId="Textkrper31">
    <w:name w:val="Textkörper 31"/>
    <w:basedOn w:val="Standard1"/>
    <w:uiPriority w:val="99"/>
    <w:rsid w:val="00482A8C"/>
    <w:pPr>
      <w:spacing w:after="120"/>
    </w:pPr>
    <w:rPr>
      <w:sz w:val="16"/>
      <w:szCs w:val="16"/>
    </w:rPr>
  </w:style>
  <w:style w:type="paragraph" w:customStyle="1" w:styleId="Listenabsatz1">
    <w:name w:val="Listenabsatz1"/>
    <w:basedOn w:val="Standard1"/>
    <w:rsid w:val="00482A8C"/>
    <w:pPr>
      <w:ind w:left="720"/>
    </w:pPr>
  </w:style>
  <w:style w:type="numbering" w:customStyle="1" w:styleId="LFO2">
    <w:name w:val="LFO2"/>
    <w:basedOn w:val="ListeYok"/>
    <w:rsid w:val="00482A8C"/>
    <w:pPr>
      <w:numPr>
        <w:numId w:val="23"/>
      </w:numPr>
    </w:pPr>
  </w:style>
  <w:style w:type="paragraph" w:customStyle="1" w:styleId="berschrift91">
    <w:name w:val="Überschrift 91"/>
    <w:basedOn w:val="Standard1"/>
    <w:next w:val="Standard1"/>
    <w:rsid w:val="00482A8C"/>
    <w:pPr>
      <w:keepNext/>
      <w:outlineLvl w:val="8"/>
    </w:pPr>
    <w:rPr>
      <w:b/>
      <w:bCs/>
      <w:sz w:val="18"/>
      <w:szCs w:val="18"/>
      <w:lang w:eastAsia="en-US"/>
    </w:rPr>
  </w:style>
  <w:style w:type="paragraph" w:customStyle="1" w:styleId="Standardeinzug1">
    <w:name w:val="Standardeinzug1"/>
    <w:basedOn w:val="Standard1"/>
    <w:rsid w:val="00482A8C"/>
    <w:pPr>
      <w:ind w:left="720"/>
    </w:pPr>
    <w:rPr>
      <w:sz w:val="20"/>
      <w:szCs w:val="20"/>
      <w:lang w:val="en-US" w:eastAsia="en-US"/>
    </w:rPr>
  </w:style>
  <w:style w:type="paragraph" w:customStyle="1" w:styleId="Textkrper-Einzug21">
    <w:name w:val="Textkörper-Einzug 21"/>
    <w:basedOn w:val="Standard1"/>
    <w:rsid w:val="00482A8C"/>
    <w:pPr>
      <w:spacing w:after="120" w:line="480" w:lineRule="auto"/>
      <w:ind w:left="283"/>
    </w:pPr>
  </w:style>
  <w:style w:type="paragraph" w:customStyle="1" w:styleId="Endnotentext1">
    <w:name w:val="Endnotentext1"/>
    <w:basedOn w:val="Standard1"/>
    <w:rsid w:val="00482A8C"/>
    <w:rPr>
      <w:sz w:val="20"/>
      <w:szCs w:val="20"/>
      <w:lang w:eastAsia="en-US"/>
    </w:rPr>
  </w:style>
  <w:style w:type="character" w:customStyle="1" w:styleId="Style9Char">
    <w:name w:val="Style9 Char"/>
    <w:rsid w:val="00482A8C"/>
    <w:rPr>
      <w:rFonts w:ascii="Times New Roman" w:eastAsia="Times New Roman" w:hAnsi="Times New Roman" w:cs="Times New Roman"/>
      <w:b/>
      <w:bCs/>
      <w:color w:val="17365D"/>
      <w:sz w:val="32"/>
      <w:szCs w:val="32"/>
      <w:lang w:eastAsia="tr-TR"/>
    </w:rPr>
  </w:style>
  <w:style w:type="character" w:customStyle="1" w:styleId="zmlenmeyenBahsetme1">
    <w:name w:val="Çözümlenmeyen Bahsetme1"/>
    <w:basedOn w:val="VarsaylanParagrafYazTipi"/>
    <w:uiPriority w:val="99"/>
    <w:semiHidden/>
    <w:unhideWhenUsed/>
    <w:rsid w:val="00482A8C"/>
    <w:rPr>
      <w:color w:val="605E5C"/>
      <w:shd w:val="clear" w:color="auto" w:fill="E1DFDD"/>
    </w:rPr>
  </w:style>
  <w:style w:type="character" w:customStyle="1" w:styleId="ui-provider">
    <w:name w:val="ui-provider"/>
    <w:basedOn w:val="VarsaylanParagrafYazTipi"/>
    <w:rsid w:val="000966BD"/>
  </w:style>
  <w:style w:type="character" w:customStyle="1" w:styleId="fontstyle01">
    <w:name w:val="fontstyle01"/>
    <w:basedOn w:val="VarsaylanParagrafYazTipi"/>
    <w:rsid w:val="00B416BE"/>
    <w:rPr>
      <w:rFonts w:ascii="Calibri" w:hAnsi="Calibri" w:cs="Calibri" w:hint="default"/>
      <w:b w:val="0"/>
      <w:bCs w:val="0"/>
      <w:i w:val="0"/>
      <w:iCs w:val="0"/>
      <w:color w:val="000000"/>
      <w:sz w:val="22"/>
      <w:szCs w:val="22"/>
    </w:rPr>
  </w:style>
  <w:style w:type="character" w:customStyle="1" w:styleId="fontstyle21">
    <w:name w:val="fontstyle21"/>
    <w:basedOn w:val="VarsaylanParagrafYazTipi"/>
    <w:rsid w:val="008B5287"/>
    <w:rPr>
      <w:rFonts w:ascii="DINPro-Medium" w:hAnsi="DINPro-Medium" w:hint="default"/>
      <w:b w:val="0"/>
      <w:bCs w:val="0"/>
      <w:i w:val="0"/>
      <w:iCs w:val="0"/>
      <w:color w:val="000000"/>
      <w:sz w:val="18"/>
      <w:szCs w:val="18"/>
    </w:rPr>
  </w:style>
  <w:style w:type="paragraph" w:customStyle="1" w:styleId="LegalLocalNameAddressFooter">
    <w:name w:val="Legal Local Name Address Footer"/>
    <w:basedOn w:val="Normal"/>
    <w:uiPriority w:val="91"/>
    <w:rsid w:val="006D15A7"/>
    <w:pPr>
      <w:snapToGrid w:val="0"/>
      <w:spacing w:after="300" w:line="276" w:lineRule="auto"/>
      <w:ind w:left="4680"/>
      <w:contextualSpacing/>
    </w:pPr>
    <w:rPr>
      <w:rFonts w:ascii="Georgia" w:hAnsi="Georgia"/>
      <w:sz w:val="18"/>
      <w:szCs w:val="18"/>
      <w:lang w:val="en-US"/>
    </w:rPr>
  </w:style>
  <w:style w:type="paragraph" w:customStyle="1" w:styleId="URL">
    <w:name w:val="URL"/>
    <w:basedOn w:val="Normal"/>
    <w:uiPriority w:val="81"/>
    <w:rsid w:val="006D15A7"/>
    <w:pPr>
      <w:snapToGrid w:val="0"/>
      <w:spacing w:after="300" w:line="360" w:lineRule="auto"/>
      <w:contextualSpacing/>
    </w:pPr>
    <w:rPr>
      <w:rFonts w:ascii="Georgia" w:hAnsi="Georgia"/>
      <w:sz w:val="22"/>
      <w:szCs w:val="18"/>
      <w:lang w:val="en-US"/>
    </w:rPr>
  </w:style>
  <w:style w:type="table" w:customStyle="1" w:styleId="PwCTableFigures21">
    <w:name w:val="PwC Table Figures21"/>
    <w:basedOn w:val="NormalTablo"/>
    <w:uiPriority w:val="99"/>
    <w:qFormat/>
    <w:rsid w:val="006D15A7"/>
    <w:rPr>
      <w:rFonts w:ascii="Arial" w:eastAsia="Arial" w:hAnsi="Arial"/>
      <w:color w:val="000000"/>
      <w:szCs w:val="20"/>
      <w:lang w:val="en-GB"/>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529">
      <w:bodyDiv w:val="1"/>
      <w:marLeft w:val="0"/>
      <w:marRight w:val="0"/>
      <w:marTop w:val="0"/>
      <w:marBottom w:val="0"/>
      <w:divBdr>
        <w:top w:val="none" w:sz="0" w:space="0" w:color="auto"/>
        <w:left w:val="none" w:sz="0" w:space="0" w:color="auto"/>
        <w:bottom w:val="none" w:sz="0" w:space="0" w:color="auto"/>
        <w:right w:val="none" w:sz="0" w:space="0" w:color="auto"/>
      </w:divBdr>
    </w:div>
    <w:div w:id="353845">
      <w:bodyDiv w:val="1"/>
      <w:marLeft w:val="0"/>
      <w:marRight w:val="0"/>
      <w:marTop w:val="0"/>
      <w:marBottom w:val="0"/>
      <w:divBdr>
        <w:top w:val="none" w:sz="0" w:space="0" w:color="auto"/>
        <w:left w:val="none" w:sz="0" w:space="0" w:color="auto"/>
        <w:bottom w:val="none" w:sz="0" w:space="0" w:color="auto"/>
        <w:right w:val="none" w:sz="0" w:space="0" w:color="auto"/>
      </w:divBdr>
    </w:div>
    <w:div w:id="356633">
      <w:bodyDiv w:val="1"/>
      <w:marLeft w:val="0"/>
      <w:marRight w:val="0"/>
      <w:marTop w:val="0"/>
      <w:marBottom w:val="0"/>
      <w:divBdr>
        <w:top w:val="none" w:sz="0" w:space="0" w:color="auto"/>
        <w:left w:val="none" w:sz="0" w:space="0" w:color="auto"/>
        <w:bottom w:val="none" w:sz="0" w:space="0" w:color="auto"/>
        <w:right w:val="none" w:sz="0" w:space="0" w:color="auto"/>
      </w:divBdr>
    </w:div>
    <w:div w:id="402171">
      <w:bodyDiv w:val="1"/>
      <w:marLeft w:val="0"/>
      <w:marRight w:val="0"/>
      <w:marTop w:val="0"/>
      <w:marBottom w:val="0"/>
      <w:divBdr>
        <w:top w:val="none" w:sz="0" w:space="0" w:color="auto"/>
        <w:left w:val="none" w:sz="0" w:space="0" w:color="auto"/>
        <w:bottom w:val="none" w:sz="0" w:space="0" w:color="auto"/>
        <w:right w:val="none" w:sz="0" w:space="0" w:color="auto"/>
      </w:divBdr>
    </w:div>
    <w:div w:id="594824">
      <w:bodyDiv w:val="1"/>
      <w:marLeft w:val="0"/>
      <w:marRight w:val="0"/>
      <w:marTop w:val="0"/>
      <w:marBottom w:val="0"/>
      <w:divBdr>
        <w:top w:val="none" w:sz="0" w:space="0" w:color="auto"/>
        <w:left w:val="none" w:sz="0" w:space="0" w:color="auto"/>
        <w:bottom w:val="none" w:sz="0" w:space="0" w:color="auto"/>
        <w:right w:val="none" w:sz="0" w:space="0" w:color="auto"/>
      </w:divBdr>
    </w:div>
    <w:div w:id="1128570">
      <w:bodyDiv w:val="1"/>
      <w:marLeft w:val="0"/>
      <w:marRight w:val="0"/>
      <w:marTop w:val="0"/>
      <w:marBottom w:val="0"/>
      <w:divBdr>
        <w:top w:val="none" w:sz="0" w:space="0" w:color="auto"/>
        <w:left w:val="none" w:sz="0" w:space="0" w:color="auto"/>
        <w:bottom w:val="none" w:sz="0" w:space="0" w:color="auto"/>
        <w:right w:val="none" w:sz="0" w:space="0" w:color="auto"/>
      </w:divBdr>
    </w:div>
    <w:div w:id="1247475">
      <w:bodyDiv w:val="1"/>
      <w:marLeft w:val="0"/>
      <w:marRight w:val="0"/>
      <w:marTop w:val="0"/>
      <w:marBottom w:val="0"/>
      <w:divBdr>
        <w:top w:val="none" w:sz="0" w:space="0" w:color="auto"/>
        <w:left w:val="none" w:sz="0" w:space="0" w:color="auto"/>
        <w:bottom w:val="none" w:sz="0" w:space="0" w:color="auto"/>
        <w:right w:val="none" w:sz="0" w:space="0" w:color="auto"/>
      </w:divBdr>
    </w:div>
    <w:div w:id="1444903">
      <w:bodyDiv w:val="1"/>
      <w:marLeft w:val="0"/>
      <w:marRight w:val="0"/>
      <w:marTop w:val="0"/>
      <w:marBottom w:val="0"/>
      <w:divBdr>
        <w:top w:val="none" w:sz="0" w:space="0" w:color="auto"/>
        <w:left w:val="none" w:sz="0" w:space="0" w:color="auto"/>
        <w:bottom w:val="none" w:sz="0" w:space="0" w:color="auto"/>
        <w:right w:val="none" w:sz="0" w:space="0" w:color="auto"/>
      </w:divBdr>
    </w:div>
    <w:div w:id="1472910">
      <w:bodyDiv w:val="1"/>
      <w:marLeft w:val="0"/>
      <w:marRight w:val="0"/>
      <w:marTop w:val="0"/>
      <w:marBottom w:val="0"/>
      <w:divBdr>
        <w:top w:val="none" w:sz="0" w:space="0" w:color="auto"/>
        <w:left w:val="none" w:sz="0" w:space="0" w:color="auto"/>
        <w:bottom w:val="none" w:sz="0" w:space="0" w:color="auto"/>
        <w:right w:val="none" w:sz="0" w:space="0" w:color="auto"/>
      </w:divBdr>
    </w:div>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2904319">
      <w:bodyDiv w:val="1"/>
      <w:marLeft w:val="0"/>
      <w:marRight w:val="0"/>
      <w:marTop w:val="0"/>
      <w:marBottom w:val="0"/>
      <w:divBdr>
        <w:top w:val="none" w:sz="0" w:space="0" w:color="auto"/>
        <w:left w:val="none" w:sz="0" w:space="0" w:color="auto"/>
        <w:bottom w:val="none" w:sz="0" w:space="0" w:color="auto"/>
        <w:right w:val="none" w:sz="0" w:space="0" w:color="auto"/>
      </w:divBdr>
    </w:div>
    <w:div w:id="3941438">
      <w:bodyDiv w:val="1"/>
      <w:marLeft w:val="0"/>
      <w:marRight w:val="0"/>
      <w:marTop w:val="0"/>
      <w:marBottom w:val="0"/>
      <w:divBdr>
        <w:top w:val="none" w:sz="0" w:space="0" w:color="auto"/>
        <w:left w:val="none" w:sz="0" w:space="0" w:color="auto"/>
        <w:bottom w:val="none" w:sz="0" w:space="0" w:color="auto"/>
        <w:right w:val="none" w:sz="0" w:space="0" w:color="auto"/>
      </w:divBdr>
    </w:div>
    <w:div w:id="3945847">
      <w:bodyDiv w:val="1"/>
      <w:marLeft w:val="0"/>
      <w:marRight w:val="0"/>
      <w:marTop w:val="0"/>
      <w:marBottom w:val="0"/>
      <w:divBdr>
        <w:top w:val="none" w:sz="0" w:space="0" w:color="auto"/>
        <w:left w:val="none" w:sz="0" w:space="0" w:color="auto"/>
        <w:bottom w:val="none" w:sz="0" w:space="0" w:color="auto"/>
        <w:right w:val="none" w:sz="0" w:space="0" w:color="auto"/>
      </w:divBdr>
    </w:div>
    <w:div w:id="4207396">
      <w:bodyDiv w:val="1"/>
      <w:marLeft w:val="0"/>
      <w:marRight w:val="0"/>
      <w:marTop w:val="0"/>
      <w:marBottom w:val="0"/>
      <w:divBdr>
        <w:top w:val="none" w:sz="0" w:space="0" w:color="auto"/>
        <w:left w:val="none" w:sz="0" w:space="0" w:color="auto"/>
        <w:bottom w:val="none" w:sz="0" w:space="0" w:color="auto"/>
        <w:right w:val="none" w:sz="0" w:space="0" w:color="auto"/>
      </w:divBdr>
    </w:div>
    <w:div w:id="5913244">
      <w:bodyDiv w:val="1"/>
      <w:marLeft w:val="0"/>
      <w:marRight w:val="0"/>
      <w:marTop w:val="0"/>
      <w:marBottom w:val="0"/>
      <w:divBdr>
        <w:top w:val="none" w:sz="0" w:space="0" w:color="auto"/>
        <w:left w:val="none" w:sz="0" w:space="0" w:color="auto"/>
        <w:bottom w:val="none" w:sz="0" w:space="0" w:color="auto"/>
        <w:right w:val="none" w:sz="0" w:space="0" w:color="auto"/>
      </w:divBdr>
    </w:div>
    <w:div w:id="6754546">
      <w:bodyDiv w:val="1"/>
      <w:marLeft w:val="0"/>
      <w:marRight w:val="0"/>
      <w:marTop w:val="0"/>
      <w:marBottom w:val="0"/>
      <w:divBdr>
        <w:top w:val="none" w:sz="0" w:space="0" w:color="auto"/>
        <w:left w:val="none" w:sz="0" w:space="0" w:color="auto"/>
        <w:bottom w:val="none" w:sz="0" w:space="0" w:color="auto"/>
        <w:right w:val="none" w:sz="0" w:space="0" w:color="auto"/>
      </w:divBdr>
    </w:div>
    <w:div w:id="7143682">
      <w:bodyDiv w:val="1"/>
      <w:marLeft w:val="0"/>
      <w:marRight w:val="0"/>
      <w:marTop w:val="0"/>
      <w:marBottom w:val="0"/>
      <w:divBdr>
        <w:top w:val="none" w:sz="0" w:space="0" w:color="auto"/>
        <w:left w:val="none" w:sz="0" w:space="0" w:color="auto"/>
        <w:bottom w:val="none" w:sz="0" w:space="0" w:color="auto"/>
        <w:right w:val="none" w:sz="0" w:space="0" w:color="auto"/>
      </w:divBdr>
    </w:div>
    <w:div w:id="7224225">
      <w:bodyDiv w:val="1"/>
      <w:marLeft w:val="0"/>
      <w:marRight w:val="0"/>
      <w:marTop w:val="0"/>
      <w:marBottom w:val="0"/>
      <w:divBdr>
        <w:top w:val="none" w:sz="0" w:space="0" w:color="auto"/>
        <w:left w:val="none" w:sz="0" w:space="0" w:color="auto"/>
        <w:bottom w:val="none" w:sz="0" w:space="0" w:color="auto"/>
        <w:right w:val="none" w:sz="0" w:space="0" w:color="auto"/>
      </w:divBdr>
    </w:div>
    <w:div w:id="7411954">
      <w:bodyDiv w:val="1"/>
      <w:marLeft w:val="0"/>
      <w:marRight w:val="0"/>
      <w:marTop w:val="0"/>
      <w:marBottom w:val="0"/>
      <w:divBdr>
        <w:top w:val="none" w:sz="0" w:space="0" w:color="auto"/>
        <w:left w:val="none" w:sz="0" w:space="0" w:color="auto"/>
        <w:bottom w:val="none" w:sz="0" w:space="0" w:color="auto"/>
        <w:right w:val="none" w:sz="0" w:space="0" w:color="auto"/>
      </w:divBdr>
    </w:div>
    <w:div w:id="7827702">
      <w:bodyDiv w:val="1"/>
      <w:marLeft w:val="0"/>
      <w:marRight w:val="0"/>
      <w:marTop w:val="0"/>
      <w:marBottom w:val="0"/>
      <w:divBdr>
        <w:top w:val="none" w:sz="0" w:space="0" w:color="auto"/>
        <w:left w:val="none" w:sz="0" w:space="0" w:color="auto"/>
        <w:bottom w:val="none" w:sz="0" w:space="0" w:color="auto"/>
        <w:right w:val="none" w:sz="0" w:space="0" w:color="auto"/>
      </w:divBdr>
    </w:div>
    <w:div w:id="7873234">
      <w:bodyDiv w:val="1"/>
      <w:marLeft w:val="0"/>
      <w:marRight w:val="0"/>
      <w:marTop w:val="0"/>
      <w:marBottom w:val="0"/>
      <w:divBdr>
        <w:top w:val="none" w:sz="0" w:space="0" w:color="auto"/>
        <w:left w:val="none" w:sz="0" w:space="0" w:color="auto"/>
        <w:bottom w:val="none" w:sz="0" w:space="0" w:color="auto"/>
        <w:right w:val="none" w:sz="0" w:space="0" w:color="auto"/>
      </w:divBdr>
    </w:div>
    <w:div w:id="8027072">
      <w:bodyDiv w:val="1"/>
      <w:marLeft w:val="0"/>
      <w:marRight w:val="0"/>
      <w:marTop w:val="0"/>
      <w:marBottom w:val="0"/>
      <w:divBdr>
        <w:top w:val="none" w:sz="0" w:space="0" w:color="auto"/>
        <w:left w:val="none" w:sz="0" w:space="0" w:color="auto"/>
        <w:bottom w:val="none" w:sz="0" w:space="0" w:color="auto"/>
        <w:right w:val="none" w:sz="0" w:space="0" w:color="auto"/>
      </w:divBdr>
    </w:div>
    <w:div w:id="8601856">
      <w:bodyDiv w:val="1"/>
      <w:marLeft w:val="0"/>
      <w:marRight w:val="0"/>
      <w:marTop w:val="0"/>
      <w:marBottom w:val="0"/>
      <w:divBdr>
        <w:top w:val="none" w:sz="0" w:space="0" w:color="auto"/>
        <w:left w:val="none" w:sz="0" w:space="0" w:color="auto"/>
        <w:bottom w:val="none" w:sz="0" w:space="0" w:color="auto"/>
        <w:right w:val="none" w:sz="0" w:space="0" w:color="auto"/>
      </w:divBdr>
    </w:div>
    <w:div w:id="8876710">
      <w:bodyDiv w:val="1"/>
      <w:marLeft w:val="0"/>
      <w:marRight w:val="0"/>
      <w:marTop w:val="0"/>
      <w:marBottom w:val="0"/>
      <w:divBdr>
        <w:top w:val="none" w:sz="0" w:space="0" w:color="auto"/>
        <w:left w:val="none" w:sz="0" w:space="0" w:color="auto"/>
        <w:bottom w:val="none" w:sz="0" w:space="0" w:color="auto"/>
        <w:right w:val="none" w:sz="0" w:space="0" w:color="auto"/>
      </w:divBdr>
    </w:div>
    <w:div w:id="9064506">
      <w:bodyDiv w:val="1"/>
      <w:marLeft w:val="0"/>
      <w:marRight w:val="0"/>
      <w:marTop w:val="0"/>
      <w:marBottom w:val="0"/>
      <w:divBdr>
        <w:top w:val="none" w:sz="0" w:space="0" w:color="auto"/>
        <w:left w:val="none" w:sz="0" w:space="0" w:color="auto"/>
        <w:bottom w:val="none" w:sz="0" w:space="0" w:color="auto"/>
        <w:right w:val="none" w:sz="0" w:space="0" w:color="auto"/>
      </w:divBdr>
    </w:div>
    <w:div w:id="9184135">
      <w:bodyDiv w:val="1"/>
      <w:marLeft w:val="0"/>
      <w:marRight w:val="0"/>
      <w:marTop w:val="0"/>
      <w:marBottom w:val="0"/>
      <w:divBdr>
        <w:top w:val="none" w:sz="0" w:space="0" w:color="auto"/>
        <w:left w:val="none" w:sz="0" w:space="0" w:color="auto"/>
        <w:bottom w:val="none" w:sz="0" w:space="0" w:color="auto"/>
        <w:right w:val="none" w:sz="0" w:space="0" w:color="auto"/>
      </w:divBdr>
    </w:div>
    <w:div w:id="10298715">
      <w:bodyDiv w:val="1"/>
      <w:marLeft w:val="0"/>
      <w:marRight w:val="0"/>
      <w:marTop w:val="0"/>
      <w:marBottom w:val="0"/>
      <w:divBdr>
        <w:top w:val="none" w:sz="0" w:space="0" w:color="auto"/>
        <w:left w:val="none" w:sz="0" w:space="0" w:color="auto"/>
        <w:bottom w:val="none" w:sz="0" w:space="0" w:color="auto"/>
        <w:right w:val="none" w:sz="0" w:space="0" w:color="auto"/>
      </w:divBdr>
    </w:div>
    <w:div w:id="10495022">
      <w:bodyDiv w:val="1"/>
      <w:marLeft w:val="0"/>
      <w:marRight w:val="0"/>
      <w:marTop w:val="0"/>
      <w:marBottom w:val="0"/>
      <w:divBdr>
        <w:top w:val="none" w:sz="0" w:space="0" w:color="auto"/>
        <w:left w:val="none" w:sz="0" w:space="0" w:color="auto"/>
        <w:bottom w:val="none" w:sz="0" w:space="0" w:color="auto"/>
        <w:right w:val="none" w:sz="0" w:space="0" w:color="auto"/>
      </w:divBdr>
    </w:div>
    <w:div w:id="11300988">
      <w:bodyDiv w:val="1"/>
      <w:marLeft w:val="0"/>
      <w:marRight w:val="0"/>
      <w:marTop w:val="0"/>
      <w:marBottom w:val="0"/>
      <w:divBdr>
        <w:top w:val="none" w:sz="0" w:space="0" w:color="auto"/>
        <w:left w:val="none" w:sz="0" w:space="0" w:color="auto"/>
        <w:bottom w:val="none" w:sz="0" w:space="0" w:color="auto"/>
        <w:right w:val="none" w:sz="0" w:space="0" w:color="auto"/>
      </w:divBdr>
    </w:div>
    <w:div w:id="11733857">
      <w:bodyDiv w:val="1"/>
      <w:marLeft w:val="0"/>
      <w:marRight w:val="0"/>
      <w:marTop w:val="0"/>
      <w:marBottom w:val="0"/>
      <w:divBdr>
        <w:top w:val="none" w:sz="0" w:space="0" w:color="auto"/>
        <w:left w:val="none" w:sz="0" w:space="0" w:color="auto"/>
        <w:bottom w:val="none" w:sz="0" w:space="0" w:color="auto"/>
        <w:right w:val="none" w:sz="0" w:space="0" w:color="auto"/>
      </w:divBdr>
    </w:div>
    <w:div w:id="11809581">
      <w:bodyDiv w:val="1"/>
      <w:marLeft w:val="0"/>
      <w:marRight w:val="0"/>
      <w:marTop w:val="0"/>
      <w:marBottom w:val="0"/>
      <w:divBdr>
        <w:top w:val="none" w:sz="0" w:space="0" w:color="auto"/>
        <w:left w:val="none" w:sz="0" w:space="0" w:color="auto"/>
        <w:bottom w:val="none" w:sz="0" w:space="0" w:color="auto"/>
        <w:right w:val="none" w:sz="0" w:space="0" w:color="auto"/>
      </w:divBdr>
    </w:div>
    <w:div w:id="11997305">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2806009">
      <w:bodyDiv w:val="1"/>
      <w:marLeft w:val="0"/>
      <w:marRight w:val="0"/>
      <w:marTop w:val="0"/>
      <w:marBottom w:val="0"/>
      <w:divBdr>
        <w:top w:val="none" w:sz="0" w:space="0" w:color="auto"/>
        <w:left w:val="none" w:sz="0" w:space="0" w:color="auto"/>
        <w:bottom w:val="none" w:sz="0" w:space="0" w:color="auto"/>
        <w:right w:val="none" w:sz="0" w:space="0" w:color="auto"/>
      </w:divBdr>
    </w:div>
    <w:div w:id="12876844">
      <w:bodyDiv w:val="1"/>
      <w:marLeft w:val="0"/>
      <w:marRight w:val="0"/>
      <w:marTop w:val="0"/>
      <w:marBottom w:val="0"/>
      <w:divBdr>
        <w:top w:val="none" w:sz="0" w:space="0" w:color="auto"/>
        <w:left w:val="none" w:sz="0" w:space="0" w:color="auto"/>
        <w:bottom w:val="none" w:sz="0" w:space="0" w:color="auto"/>
        <w:right w:val="none" w:sz="0" w:space="0" w:color="auto"/>
      </w:divBdr>
    </w:div>
    <w:div w:id="13042648">
      <w:bodyDiv w:val="1"/>
      <w:marLeft w:val="0"/>
      <w:marRight w:val="0"/>
      <w:marTop w:val="0"/>
      <w:marBottom w:val="0"/>
      <w:divBdr>
        <w:top w:val="none" w:sz="0" w:space="0" w:color="auto"/>
        <w:left w:val="none" w:sz="0" w:space="0" w:color="auto"/>
        <w:bottom w:val="none" w:sz="0" w:space="0" w:color="auto"/>
        <w:right w:val="none" w:sz="0" w:space="0" w:color="auto"/>
      </w:divBdr>
    </w:div>
    <w:div w:id="13385347">
      <w:bodyDiv w:val="1"/>
      <w:marLeft w:val="0"/>
      <w:marRight w:val="0"/>
      <w:marTop w:val="0"/>
      <w:marBottom w:val="0"/>
      <w:divBdr>
        <w:top w:val="none" w:sz="0" w:space="0" w:color="auto"/>
        <w:left w:val="none" w:sz="0" w:space="0" w:color="auto"/>
        <w:bottom w:val="none" w:sz="0" w:space="0" w:color="auto"/>
        <w:right w:val="none" w:sz="0" w:space="0" w:color="auto"/>
      </w:divBdr>
    </w:div>
    <w:div w:id="13580737">
      <w:bodyDiv w:val="1"/>
      <w:marLeft w:val="0"/>
      <w:marRight w:val="0"/>
      <w:marTop w:val="0"/>
      <w:marBottom w:val="0"/>
      <w:divBdr>
        <w:top w:val="none" w:sz="0" w:space="0" w:color="auto"/>
        <w:left w:val="none" w:sz="0" w:space="0" w:color="auto"/>
        <w:bottom w:val="none" w:sz="0" w:space="0" w:color="auto"/>
        <w:right w:val="none" w:sz="0" w:space="0" w:color="auto"/>
      </w:divBdr>
    </w:div>
    <w:div w:id="13651141">
      <w:bodyDiv w:val="1"/>
      <w:marLeft w:val="0"/>
      <w:marRight w:val="0"/>
      <w:marTop w:val="0"/>
      <w:marBottom w:val="0"/>
      <w:divBdr>
        <w:top w:val="none" w:sz="0" w:space="0" w:color="auto"/>
        <w:left w:val="none" w:sz="0" w:space="0" w:color="auto"/>
        <w:bottom w:val="none" w:sz="0" w:space="0" w:color="auto"/>
        <w:right w:val="none" w:sz="0" w:space="0" w:color="auto"/>
      </w:divBdr>
    </w:div>
    <w:div w:id="13728526">
      <w:bodyDiv w:val="1"/>
      <w:marLeft w:val="0"/>
      <w:marRight w:val="0"/>
      <w:marTop w:val="0"/>
      <w:marBottom w:val="0"/>
      <w:divBdr>
        <w:top w:val="none" w:sz="0" w:space="0" w:color="auto"/>
        <w:left w:val="none" w:sz="0" w:space="0" w:color="auto"/>
        <w:bottom w:val="none" w:sz="0" w:space="0" w:color="auto"/>
        <w:right w:val="none" w:sz="0" w:space="0" w:color="auto"/>
      </w:divBdr>
    </w:div>
    <w:div w:id="14353727">
      <w:bodyDiv w:val="1"/>
      <w:marLeft w:val="0"/>
      <w:marRight w:val="0"/>
      <w:marTop w:val="0"/>
      <w:marBottom w:val="0"/>
      <w:divBdr>
        <w:top w:val="none" w:sz="0" w:space="0" w:color="auto"/>
        <w:left w:val="none" w:sz="0" w:space="0" w:color="auto"/>
        <w:bottom w:val="none" w:sz="0" w:space="0" w:color="auto"/>
        <w:right w:val="none" w:sz="0" w:space="0" w:color="auto"/>
      </w:divBdr>
    </w:div>
    <w:div w:id="14813264">
      <w:bodyDiv w:val="1"/>
      <w:marLeft w:val="0"/>
      <w:marRight w:val="0"/>
      <w:marTop w:val="0"/>
      <w:marBottom w:val="0"/>
      <w:divBdr>
        <w:top w:val="none" w:sz="0" w:space="0" w:color="auto"/>
        <w:left w:val="none" w:sz="0" w:space="0" w:color="auto"/>
        <w:bottom w:val="none" w:sz="0" w:space="0" w:color="auto"/>
        <w:right w:val="none" w:sz="0" w:space="0" w:color="auto"/>
      </w:divBdr>
    </w:div>
    <w:div w:id="15010806">
      <w:bodyDiv w:val="1"/>
      <w:marLeft w:val="0"/>
      <w:marRight w:val="0"/>
      <w:marTop w:val="0"/>
      <w:marBottom w:val="0"/>
      <w:divBdr>
        <w:top w:val="none" w:sz="0" w:space="0" w:color="auto"/>
        <w:left w:val="none" w:sz="0" w:space="0" w:color="auto"/>
        <w:bottom w:val="none" w:sz="0" w:space="0" w:color="auto"/>
        <w:right w:val="none" w:sz="0" w:space="0" w:color="auto"/>
      </w:divBdr>
    </w:div>
    <w:div w:id="15084456">
      <w:bodyDiv w:val="1"/>
      <w:marLeft w:val="0"/>
      <w:marRight w:val="0"/>
      <w:marTop w:val="0"/>
      <w:marBottom w:val="0"/>
      <w:divBdr>
        <w:top w:val="none" w:sz="0" w:space="0" w:color="auto"/>
        <w:left w:val="none" w:sz="0" w:space="0" w:color="auto"/>
        <w:bottom w:val="none" w:sz="0" w:space="0" w:color="auto"/>
        <w:right w:val="none" w:sz="0" w:space="0" w:color="auto"/>
      </w:divBdr>
    </w:div>
    <w:div w:id="15278317">
      <w:bodyDiv w:val="1"/>
      <w:marLeft w:val="0"/>
      <w:marRight w:val="0"/>
      <w:marTop w:val="0"/>
      <w:marBottom w:val="0"/>
      <w:divBdr>
        <w:top w:val="none" w:sz="0" w:space="0" w:color="auto"/>
        <w:left w:val="none" w:sz="0" w:space="0" w:color="auto"/>
        <w:bottom w:val="none" w:sz="0" w:space="0" w:color="auto"/>
        <w:right w:val="none" w:sz="0" w:space="0" w:color="auto"/>
      </w:divBdr>
    </w:div>
    <w:div w:id="15348292">
      <w:bodyDiv w:val="1"/>
      <w:marLeft w:val="0"/>
      <w:marRight w:val="0"/>
      <w:marTop w:val="0"/>
      <w:marBottom w:val="0"/>
      <w:divBdr>
        <w:top w:val="none" w:sz="0" w:space="0" w:color="auto"/>
        <w:left w:val="none" w:sz="0" w:space="0" w:color="auto"/>
        <w:bottom w:val="none" w:sz="0" w:space="0" w:color="auto"/>
        <w:right w:val="none" w:sz="0" w:space="0" w:color="auto"/>
      </w:divBdr>
    </w:div>
    <w:div w:id="15425432">
      <w:bodyDiv w:val="1"/>
      <w:marLeft w:val="0"/>
      <w:marRight w:val="0"/>
      <w:marTop w:val="0"/>
      <w:marBottom w:val="0"/>
      <w:divBdr>
        <w:top w:val="none" w:sz="0" w:space="0" w:color="auto"/>
        <w:left w:val="none" w:sz="0" w:space="0" w:color="auto"/>
        <w:bottom w:val="none" w:sz="0" w:space="0" w:color="auto"/>
        <w:right w:val="none" w:sz="0" w:space="0" w:color="auto"/>
      </w:divBdr>
    </w:div>
    <w:div w:id="16271100">
      <w:bodyDiv w:val="1"/>
      <w:marLeft w:val="0"/>
      <w:marRight w:val="0"/>
      <w:marTop w:val="0"/>
      <w:marBottom w:val="0"/>
      <w:divBdr>
        <w:top w:val="none" w:sz="0" w:space="0" w:color="auto"/>
        <w:left w:val="none" w:sz="0" w:space="0" w:color="auto"/>
        <w:bottom w:val="none" w:sz="0" w:space="0" w:color="auto"/>
        <w:right w:val="none" w:sz="0" w:space="0" w:color="auto"/>
      </w:divBdr>
    </w:div>
    <w:div w:id="16977012">
      <w:bodyDiv w:val="1"/>
      <w:marLeft w:val="0"/>
      <w:marRight w:val="0"/>
      <w:marTop w:val="0"/>
      <w:marBottom w:val="0"/>
      <w:divBdr>
        <w:top w:val="none" w:sz="0" w:space="0" w:color="auto"/>
        <w:left w:val="none" w:sz="0" w:space="0" w:color="auto"/>
        <w:bottom w:val="none" w:sz="0" w:space="0" w:color="auto"/>
        <w:right w:val="none" w:sz="0" w:space="0" w:color="auto"/>
      </w:divBdr>
    </w:div>
    <w:div w:id="17244697">
      <w:bodyDiv w:val="1"/>
      <w:marLeft w:val="0"/>
      <w:marRight w:val="0"/>
      <w:marTop w:val="0"/>
      <w:marBottom w:val="0"/>
      <w:divBdr>
        <w:top w:val="none" w:sz="0" w:space="0" w:color="auto"/>
        <w:left w:val="none" w:sz="0" w:space="0" w:color="auto"/>
        <w:bottom w:val="none" w:sz="0" w:space="0" w:color="auto"/>
        <w:right w:val="none" w:sz="0" w:space="0" w:color="auto"/>
      </w:divBdr>
    </w:div>
    <w:div w:id="17511463">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17901030">
      <w:bodyDiv w:val="1"/>
      <w:marLeft w:val="0"/>
      <w:marRight w:val="0"/>
      <w:marTop w:val="0"/>
      <w:marBottom w:val="0"/>
      <w:divBdr>
        <w:top w:val="none" w:sz="0" w:space="0" w:color="auto"/>
        <w:left w:val="none" w:sz="0" w:space="0" w:color="auto"/>
        <w:bottom w:val="none" w:sz="0" w:space="0" w:color="auto"/>
        <w:right w:val="none" w:sz="0" w:space="0" w:color="auto"/>
      </w:divBdr>
    </w:div>
    <w:div w:id="17977069">
      <w:bodyDiv w:val="1"/>
      <w:marLeft w:val="0"/>
      <w:marRight w:val="0"/>
      <w:marTop w:val="0"/>
      <w:marBottom w:val="0"/>
      <w:divBdr>
        <w:top w:val="none" w:sz="0" w:space="0" w:color="auto"/>
        <w:left w:val="none" w:sz="0" w:space="0" w:color="auto"/>
        <w:bottom w:val="none" w:sz="0" w:space="0" w:color="auto"/>
        <w:right w:val="none" w:sz="0" w:space="0" w:color="auto"/>
      </w:divBdr>
    </w:div>
    <w:div w:id="18043461">
      <w:bodyDiv w:val="1"/>
      <w:marLeft w:val="0"/>
      <w:marRight w:val="0"/>
      <w:marTop w:val="0"/>
      <w:marBottom w:val="0"/>
      <w:divBdr>
        <w:top w:val="none" w:sz="0" w:space="0" w:color="auto"/>
        <w:left w:val="none" w:sz="0" w:space="0" w:color="auto"/>
        <w:bottom w:val="none" w:sz="0" w:space="0" w:color="auto"/>
        <w:right w:val="none" w:sz="0" w:space="0" w:color="auto"/>
      </w:divBdr>
    </w:div>
    <w:div w:id="18050515">
      <w:bodyDiv w:val="1"/>
      <w:marLeft w:val="0"/>
      <w:marRight w:val="0"/>
      <w:marTop w:val="0"/>
      <w:marBottom w:val="0"/>
      <w:divBdr>
        <w:top w:val="none" w:sz="0" w:space="0" w:color="auto"/>
        <w:left w:val="none" w:sz="0" w:space="0" w:color="auto"/>
        <w:bottom w:val="none" w:sz="0" w:space="0" w:color="auto"/>
        <w:right w:val="none" w:sz="0" w:space="0" w:color="auto"/>
      </w:divBdr>
    </w:div>
    <w:div w:id="18357889">
      <w:bodyDiv w:val="1"/>
      <w:marLeft w:val="0"/>
      <w:marRight w:val="0"/>
      <w:marTop w:val="0"/>
      <w:marBottom w:val="0"/>
      <w:divBdr>
        <w:top w:val="none" w:sz="0" w:space="0" w:color="auto"/>
        <w:left w:val="none" w:sz="0" w:space="0" w:color="auto"/>
        <w:bottom w:val="none" w:sz="0" w:space="0" w:color="auto"/>
        <w:right w:val="none" w:sz="0" w:space="0" w:color="auto"/>
      </w:divBdr>
    </w:div>
    <w:div w:id="18550571">
      <w:bodyDiv w:val="1"/>
      <w:marLeft w:val="0"/>
      <w:marRight w:val="0"/>
      <w:marTop w:val="0"/>
      <w:marBottom w:val="0"/>
      <w:divBdr>
        <w:top w:val="none" w:sz="0" w:space="0" w:color="auto"/>
        <w:left w:val="none" w:sz="0" w:space="0" w:color="auto"/>
        <w:bottom w:val="none" w:sz="0" w:space="0" w:color="auto"/>
        <w:right w:val="none" w:sz="0" w:space="0" w:color="auto"/>
      </w:divBdr>
    </w:div>
    <w:div w:id="18552981">
      <w:bodyDiv w:val="1"/>
      <w:marLeft w:val="0"/>
      <w:marRight w:val="0"/>
      <w:marTop w:val="0"/>
      <w:marBottom w:val="0"/>
      <w:divBdr>
        <w:top w:val="none" w:sz="0" w:space="0" w:color="auto"/>
        <w:left w:val="none" w:sz="0" w:space="0" w:color="auto"/>
        <w:bottom w:val="none" w:sz="0" w:space="0" w:color="auto"/>
        <w:right w:val="none" w:sz="0" w:space="0" w:color="auto"/>
      </w:divBdr>
    </w:div>
    <w:div w:id="18623295">
      <w:bodyDiv w:val="1"/>
      <w:marLeft w:val="0"/>
      <w:marRight w:val="0"/>
      <w:marTop w:val="0"/>
      <w:marBottom w:val="0"/>
      <w:divBdr>
        <w:top w:val="none" w:sz="0" w:space="0" w:color="auto"/>
        <w:left w:val="none" w:sz="0" w:space="0" w:color="auto"/>
        <w:bottom w:val="none" w:sz="0" w:space="0" w:color="auto"/>
        <w:right w:val="none" w:sz="0" w:space="0" w:color="auto"/>
      </w:divBdr>
    </w:div>
    <w:div w:id="18744176">
      <w:bodyDiv w:val="1"/>
      <w:marLeft w:val="0"/>
      <w:marRight w:val="0"/>
      <w:marTop w:val="0"/>
      <w:marBottom w:val="0"/>
      <w:divBdr>
        <w:top w:val="none" w:sz="0" w:space="0" w:color="auto"/>
        <w:left w:val="none" w:sz="0" w:space="0" w:color="auto"/>
        <w:bottom w:val="none" w:sz="0" w:space="0" w:color="auto"/>
        <w:right w:val="none" w:sz="0" w:space="0" w:color="auto"/>
      </w:divBdr>
    </w:div>
    <w:div w:id="18818672">
      <w:bodyDiv w:val="1"/>
      <w:marLeft w:val="0"/>
      <w:marRight w:val="0"/>
      <w:marTop w:val="0"/>
      <w:marBottom w:val="0"/>
      <w:divBdr>
        <w:top w:val="none" w:sz="0" w:space="0" w:color="auto"/>
        <w:left w:val="none" w:sz="0" w:space="0" w:color="auto"/>
        <w:bottom w:val="none" w:sz="0" w:space="0" w:color="auto"/>
        <w:right w:val="none" w:sz="0" w:space="0" w:color="auto"/>
      </w:divBdr>
    </w:div>
    <w:div w:id="18967406">
      <w:bodyDiv w:val="1"/>
      <w:marLeft w:val="0"/>
      <w:marRight w:val="0"/>
      <w:marTop w:val="0"/>
      <w:marBottom w:val="0"/>
      <w:divBdr>
        <w:top w:val="none" w:sz="0" w:space="0" w:color="auto"/>
        <w:left w:val="none" w:sz="0" w:space="0" w:color="auto"/>
        <w:bottom w:val="none" w:sz="0" w:space="0" w:color="auto"/>
        <w:right w:val="none" w:sz="0" w:space="0" w:color="auto"/>
      </w:divBdr>
    </w:div>
    <w:div w:id="19403565">
      <w:bodyDiv w:val="1"/>
      <w:marLeft w:val="0"/>
      <w:marRight w:val="0"/>
      <w:marTop w:val="0"/>
      <w:marBottom w:val="0"/>
      <w:divBdr>
        <w:top w:val="none" w:sz="0" w:space="0" w:color="auto"/>
        <w:left w:val="none" w:sz="0" w:space="0" w:color="auto"/>
        <w:bottom w:val="none" w:sz="0" w:space="0" w:color="auto"/>
        <w:right w:val="none" w:sz="0" w:space="0" w:color="auto"/>
      </w:divBdr>
    </w:div>
    <w:div w:id="19626810">
      <w:bodyDiv w:val="1"/>
      <w:marLeft w:val="0"/>
      <w:marRight w:val="0"/>
      <w:marTop w:val="0"/>
      <w:marBottom w:val="0"/>
      <w:divBdr>
        <w:top w:val="none" w:sz="0" w:space="0" w:color="auto"/>
        <w:left w:val="none" w:sz="0" w:space="0" w:color="auto"/>
        <w:bottom w:val="none" w:sz="0" w:space="0" w:color="auto"/>
        <w:right w:val="none" w:sz="0" w:space="0" w:color="auto"/>
      </w:divBdr>
    </w:div>
    <w:div w:id="19674450">
      <w:bodyDiv w:val="1"/>
      <w:marLeft w:val="0"/>
      <w:marRight w:val="0"/>
      <w:marTop w:val="0"/>
      <w:marBottom w:val="0"/>
      <w:divBdr>
        <w:top w:val="none" w:sz="0" w:space="0" w:color="auto"/>
        <w:left w:val="none" w:sz="0" w:space="0" w:color="auto"/>
        <w:bottom w:val="none" w:sz="0" w:space="0" w:color="auto"/>
        <w:right w:val="none" w:sz="0" w:space="0" w:color="auto"/>
      </w:divBdr>
    </w:div>
    <w:div w:id="19818752">
      <w:bodyDiv w:val="1"/>
      <w:marLeft w:val="0"/>
      <w:marRight w:val="0"/>
      <w:marTop w:val="0"/>
      <w:marBottom w:val="0"/>
      <w:divBdr>
        <w:top w:val="none" w:sz="0" w:space="0" w:color="auto"/>
        <w:left w:val="none" w:sz="0" w:space="0" w:color="auto"/>
        <w:bottom w:val="none" w:sz="0" w:space="0" w:color="auto"/>
        <w:right w:val="none" w:sz="0" w:space="0" w:color="auto"/>
      </w:divBdr>
    </w:div>
    <w:div w:id="20207136">
      <w:bodyDiv w:val="1"/>
      <w:marLeft w:val="0"/>
      <w:marRight w:val="0"/>
      <w:marTop w:val="0"/>
      <w:marBottom w:val="0"/>
      <w:divBdr>
        <w:top w:val="none" w:sz="0" w:space="0" w:color="auto"/>
        <w:left w:val="none" w:sz="0" w:space="0" w:color="auto"/>
        <w:bottom w:val="none" w:sz="0" w:space="0" w:color="auto"/>
        <w:right w:val="none" w:sz="0" w:space="0" w:color="auto"/>
      </w:divBdr>
    </w:div>
    <w:div w:id="20665875">
      <w:bodyDiv w:val="1"/>
      <w:marLeft w:val="0"/>
      <w:marRight w:val="0"/>
      <w:marTop w:val="0"/>
      <w:marBottom w:val="0"/>
      <w:divBdr>
        <w:top w:val="none" w:sz="0" w:space="0" w:color="auto"/>
        <w:left w:val="none" w:sz="0" w:space="0" w:color="auto"/>
        <w:bottom w:val="none" w:sz="0" w:space="0" w:color="auto"/>
        <w:right w:val="none" w:sz="0" w:space="0" w:color="auto"/>
      </w:divBdr>
    </w:div>
    <w:div w:id="21052682">
      <w:bodyDiv w:val="1"/>
      <w:marLeft w:val="0"/>
      <w:marRight w:val="0"/>
      <w:marTop w:val="0"/>
      <w:marBottom w:val="0"/>
      <w:divBdr>
        <w:top w:val="none" w:sz="0" w:space="0" w:color="auto"/>
        <w:left w:val="none" w:sz="0" w:space="0" w:color="auto"/>
        <w:bottom w:val="none" w:sz="0" w:space="0" w:color="auto"/>
        <w:right w:val="none" w:sz="0" w:space="0" w:color="auto"/>
      </w:divBdr>
    </w:div>
    <w:div w:id="21169304">
      <w:bodyDiv w:val="1"/>
      <w:marLeft w:val="0"/>
      <w:marRight w:val="0"/>
      <w:marTop w:val="0"/>
      <w:marBottom w:val="0"/>
      <w:divBdr>
        <w:top w:val="none" w:sz="0" w:space="0" w:color="auto"/>
        <w:left w:val="none" w:sz="0" w:space="0" w:color="auto"/>
        <w:bottom w:val="none" w:sz="0" w:space="0" w:color="auto"/>
        <w:right w:val="none" w:sz="0" w:space="0" w:color="auto"/>
      </w:divBdr>
    </w:div>
    <w:div w:id="21707596">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025919">
      <w:bodyDiv w:val="1"/>
      <w:marLeft w:val="0"/>
      <w:marRight w:val="0"/>
      <w:marTop w:val="0"/>
      <w:marBottom w:val="0"/>
      <w:divBdr>
        <w:top w:val="none" w:sz="0" w:space="0" w:color="auto"/>
        <w:left w:val="none" w:sz="0" w:space="0" w:color="auto"/>
        <w:bottom w:val="none" w:sz="0" w:space="0" w:color="auto"/>
        <w:right w:val="none" w:sz="0" w:space="0" w:color="auto"/>
      </w:divBdr>
    </w:div>
    <w:div w:id="22561145">
      <w:bodyDiv w:val="1"/>
      <w:marLeft w:val="0"/>
      <w:marRight w:val="0"/>
      <w:marTop w:val="0"/>
      <w:marBottom w:val="0"/>
      <w:divBdr>
        <w:top w:val="none" w:sz="0" w:space="0" w:color="auto"/>
        <w:left w:val="none" w:sz="0" w:space="0" w:color="auto"/>
        <w:bottom w:val="none" w:sz="0" w:space="0" w:color="auto"/>
        <w:right w:val="none" w:sz="0" w:space="0" w:color="auto"/>
      </w:divBdr>
    </w:div>
    <w:div w:id="22632221">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756151">
      <w:bodyDiv w:val="1"/>
      <w:marLeft w:val="0"/>
      <w:marRight w:val="0"/>
      <w:marTop w:val="0"/>
      <w:marBottom w:val="0"/>
      <w:divBdr>
        <w:top w:val="none" w:sz="0" w:space="0" w:color="auto"/>
        <w:left w:val="none" w:sz="0" w:space="0" w:color="auto"/>
        <w:bottom w:val="none" w:sz="0" w:space="0" w:color="auto"/>
        <w:right w:val="none" w:sz="0" w:space="0" w:color="auto"/>
      </w:divBdr>
    </w:div>
    <w:div w:id="22825502">
      <w:bodyDiv w:val="1"/>
      <w:marLeft w:val="0"/>
      <w:marRight w:val="0"/>
      <w:marTop w:val="0"/>
      <w:marBottom w:val="0"/>
      <w:divBdr>
        <w:top w:val="none" w:sz="0" w:space="0" w:color="auto"/>
        <w:left w:val="none" w:sz="0" w:space="0" w:color="auto"/>
        <w:bottom w:val="none" w:sz="0" w:space="0" w:color="auto"/>
        <w:right w:val="none" w:sz="0" w:space="0" w:color="auto"/>
      </w:divBdr>
    </w:div>
    <w:div w:id="22831176">
      <w:bodyDiv w:val="1"/>
      <w:marLeft w:val="0"/>
      <w:marRight w:val="0"/>
      <w:marTop w:val="0"/>
      <w:marBottom w:val="0"/>
      <w:divBdr>
        <w:top w:val="none" w:sz="0" w:space="0" w:color="auto"/>
        <w:left w:val="none" w:sz="0" w:space="0" w:color="auto"/>
        <w:bottom w:val="none" w:sz="0" w:space="0" w:color="auto"/>
        <w:right w:val="none" w:sz="0" w:space="0" w:color="auto"/>
      </w:divBdr>
    </w:div>
    <w:div w:id="22831896">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023920">
      <w:bodyDiv w:val="1"/>
      <w:marLeft w:val="0"/>
      <w:marRight w:val="0"/>
      <w:marTop w:val="0"/>
      <w:marBottom w:val="0"/>
      <w:divBdr>
        <w:top w:val="none" w:sz="0" w:space="0" w:color="auto"/>
        <w:left w:val="none" w:sz="0" w:space="0" w:color="auto"/>
        <w:bottom w:val="none" w:sz="0" w:space="0" w:color="auto"/>
        <w:right w:val="none" w:sz="0" w:space="0" w:color="auto"/>
      </w:divBdr>
    </w:div>
    <w:div w:id="23096745">
      <w:bodyDiv w:val="1"/>
      <w:marLeft w:val="0"/>
      <w:marRight w:val="0"/>
      <w:marTop w:val="0"/>
      <w:marBottom w:val="0"/>
      <w:divBdr>
        <w:top w:val="none" w:sz="0" w:space="0" w:color="auto"/>
        <w:left w:val="none" w:sz="0" w:space="0" w:color="auto"/>
        <w:bottom w:val="none" w:sz="0" w:space="0" w:color="auto"/>
        <w:right w:val="none" w:sz="0" w:space="0" w:color="auto"/>
      </w:divBdr>
    </w:div>
    <w:div w:id="23218640">
      <w:bodyDiv w:val="1"/>
      <w:marLeft w:val="0"/>
      <w:marRight w:val="0"/>
      <w:marTop w:val="0"/>
      <w:marBottom w:val="0"/>
      <w:divBdr>
        <w:top w:val="none" w:sz="0" w:space="0" w:color="auto"/>
        <w:left w:val="none" w:sz="0" w:space="0" w:color="auto"/>
        <w:bottom w:val="none" w:sz="0" w:space="0" w:color="auto"/>
        <w:right w:val="none" w:sz="0" w:space="0" w:color="auto"/>
      </w:divBdr>
    </w:div>
    <w:div w:id="23333734">
      <w:bodyDiv w:val="1"/>
      <w:marLeft w:val="0"/>
      <w:marRight w:val="0"/>
      <w:marTop w:val="0"/>
      <w:marBottom w:val="0"/>
      <w:divBdr>
        <w:top w:val="none" w:sz="0" w:space="0" w:color="auto"/>
        <w:left w:val="none" w:sz="0" w:space="0" w:color="auto"/>
        <w:bottom w:val="none" w:sz="0" w:space="0" w:color="auto"/>
        <w:right w:val="none" w:sz="0" w:space="0" w:color="auto"/>
      </w:divBdr>
    </w:div>
    <w:div w:id="23411594">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3724289">
      <w:bodyDiv w:val="1"/>
      <w:marLeft w:val="0"/>
      <w:marRight w:val="0"/>
      <w:marTop w:val="0"/>
      <w:marBottom w:val="0"/>
      <w:divBdr>
        <w:top w:val="none" w:sz="0" w:space="0" w:color="auto"/>
        <w:left w:val="none" w:sz="0" w:space="0" w:color="auto"/>
        <w:bottom w:val="none" w:sz="0" w:space="0" w:color="auto"/>
        <w:right w:val="none" w:sz="0" w:space="0" w:color="auto"/>
      </w:divBdr>
    </w:div>
    <w:div w:id="23987068">
      <w:bodyDiv w:val="1"/>
      <w:marLeft w:val="0"/>
      <w:marRight w:val="0"/>
      <w:marTop w:val="0"/>
      <w:marBottom w:val="0"/>
      <w:divBdr>
        <w:top w:val="none" w:sz="0" w:space="0" w:color="auto"/>
        <w:left w:val="none" w:sz="0" w:space="0" w:color="auto"/>
        <w:bottom w:val="none" w:sz="0" w:space="0" w:color="auto"/>
        <w:right w:val="none" w:sz="0" w:space="0" w:color="auto"/>
      </w:divBdr>
    </w:div>
    <w:div w:id="24259848">
      <w:bodyDiv w:val="1"/>
      <w:marLeft w:val="0"/>
      <w:marRight w:val="0"/>
      <w:marTop w:val="0"/>
      <w:marBottom w:val="0"/>
      <w:divBdr>
        <w:top w:val="none" w:sz="0" w:space="0" w:color="auto"/>
        <w:left w:val="none" w:sz="0" w:space="0" w:color="auto"/>
        <w:bottom w:val="none" w:sz="0" w:space="0" w:color="auto"/>
        <w:right w:val="none" w:sz="0" w:space="0" w:color="auto"/>
      </w:divBdr>
    </w:div>
    <w:div w:id="25372179">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26106272">
      <w:bodyDiv w:val="1"/>
      <w:marLeft w:val="0"/>
      <w:marRight w:val="0"/>
      <w:marTop w:val="0"/>
      <w:marBottom w:val="0"/>
      <w:divBdr>
        <w:top w:val="none" w:sz="0" w:space="0" w:color="auto"/>
        <w:left w:val="none" w:sz="0" w:space="0" w:color="auto"/>
        <w:bottom w:val="none" w:sz="0" w:space="0" w:color="auto"/>
        <w:right w:val="none" w:sz="0" w:space="0" w:color="auto"/>
      </w:divBdr>
    </w:div>
    <w:div w:id="26300091">
      <w:bodyDiv w:val="1"/>
      <w:marLeft w:val="0"/>
      <w:marRight w:val="0"/>
      <w:marTop w:val="0"/>
      <w:marBottom w:val="0"/>
      <w:divBdr>
        <w:top w:val="none" w:sz="0" w:space="0" w:color="auto"/>
        <w:left w:val="none" w:sz="0" w:space="0" w:color="auto"/>
        <w:bottom w:val="none" w:sz="0" w:space="0" w:color="auto"/>
        <w:right w:val="none" w:sz="0" w:space="0" w:color="auto"/>
      </w:divBdr>
    </w:div>
    <w:div w:id="27265730">
      <w:bodyDiv w:val="1"/>
      <w:marLeft w:val="0"/>
      <w:marRight w:val="0"/>
      <w:marTop w:val="0"/>
      <w:marBottom w:val="0"/>
      <w:divBdr>
        <w:top w:val="none" w:sz="0" w:space="0" w:color="auto"/>
        <w:left w:val="none" w:sz="0" w:space="0" w:color="auto"/>
        <w:bottom w:val="none" w:sz="0" w:space="0" w:color="auto"/>
        <w:right w:val="none" w:sz="0" w:space="0" w:color="auto"/>
      </w:divBdr>
    </w:div>
    <w:div w:id="27486875">
      <w:bodyDiv w:val="1"/>
      <w:marLeft w:val="0"/>
      <w:marRight w:val="0"/>
      <w:marTop w:val="0"/>
      <w:marBottom w:val="0"/>
      <w:divBdr>
        <w:top w:val="none" w:sz="0" w:space="0" w:color="auto"/>
        <w:left w:val="none" w:sz="0" w:space="0" w:color="auto"/>
        <w:bottom w:val="none" w:sz="0" w:space="0" w:color="auto"/>
        <w:right w:val="none" w:sz="0" w:space="0" w:color="auto"/>
      </w:divBdr>
    </w:div>
    <w:div w:id="27606836">
      <w:bodyDiv w:val="1"/>
      <w:marLeft w:val="0"/>
      <w:marRight w:val="0"/>
      <w:marTop w:val="0"/>
      <w:marBottom w:val="0"/>
      <w:divBdr>
        <w:top w:val="none" w:sz="0" w:space="0" w:color="auto"/>
        <w:left w:val="none" w:sz="0" w:space="0" w:color="auto"/>
        <w:bottom w:val="none" w:sz="0" w:space="0" w:color="auto"/>
        <w:right w:val="none" w:sz="0" w:space="0" w:color="auto"/>
      </w:divBdr>
    </w:div>
    <w:div w:id="27729869">
      <w:bodyDiv w:val="1"/>
      <w:marLeft w:val="0"/>
      <w:marRight w:val="0"/>
      <w:marTop w:val="0"/>
      <w:marBottom w:val="0"/>
      <w:divBdr>
        <w:top w:val="none" w:sz="0" w:space="0" w:color="auto"/>
        <w:left w:val="none" w:sz="0" w:space="0" w:color="auto"/>
        <w:bottom w:val="none" w:sz="0" w:space="0" w:color="auto"/>
        <w:right w:val="none" w:sz="0" w:space="0" w:color="auto"/>
      </w:divBdr>
    </w:div>
    <w:div w:id="27872648">
      <w:bodyDiv w:val="1"/>
      <w:marLeft w:val="0"/>
      <w:marRight w:val="0"/>
      <w:marTop w:val="0"/>
      <w:marBottom w:val="0"/>
      <w:divBdr>
        <w:top w:val="none" w:sz="0" w:space="0" w:color="auto"/>
        <w:left w:val="none" w:sz="0" w:space="0" w:color="auto"/>
        <w:bottom w:val="none" w:sz="0" w:space="0" w:color="auto"/>
        <w:right w:val="none" w:sz="0" w:space="0" w:color="auto"/>
      </w:divBdr>
    </w:div>
    <w:div w:id="28265522">
      <w:bodyDiv w:val="1"/>
      <w:marLeft w:val="0"/>
      <w:marRight w:val="0"/>
      <w:marTop w:val="0"/>
      <w:marBottom w:val="0"/>
      <w:divBdr>
        <w:top w:val="none" w:sz="0" w:space="0" w:color="auto"/>
        <w:left w:val="none" w:sz="0" w:space="0" w:color="auto"/>
        <w:bottom w:val="none" w:sz="0" w:space="0" w:color="auto"/>
        <w:right w:val="none" w:sz="0" w:space="0" w:color="auto"/>
      </w:divBdr>
    </w:div>
    <w:div w:id="28335753">
      <w:bodyDiv w:val="1"/>
      <w:marLeft w:val="0"/>
      <w:marRight w:val="0"/>
      <w:marTop w:val="0"/>
      <w:marBottom w:val="0"/>
      <w:divBdr>
        <w:top w:val="none" w:sz="0" w:space="0" w:color="auto"/>
        <w:left w:val="none" w:sz="0" w:space="0" w:color="auto"/>
        <w:bottom w:val="none" w:sz="0" w:space="0" w:color="auto"/>
        <w:right w:val="none" w:sz="0" w:space="0" w:color="auto"/>
      </w:divBdr>
    </w:div>
    <w:div w:id="28461869">
      <w:bodyDiv w:val="1"/>
      <w:marLeft w:val="0"/>
      <w:marRight w:val="0"/>
      <w:marTop w:val="0"/>
      <w:marBottom w:val="0"/>
      <w:divBdr>
        <w:top w:val="none" w:sz="0" w:space="0" w:color="auto"/>
        <w:left w:val="none" w:sz="0" w:space="0" w:color="auto"/>
        <w:bottom w:val="none" w:sz="0" w:space="0" w:color="auto"/>
        <w:right w:val="none" w:sz="0" w:space="0" w:color="auto"/>
      </w:divBdr>
    </w:div>
    <w:div w:id="28725780">
      <w:bodyDiv w:val="1"/>
      <w:marLeft w:val="0"/>
      <w:marRight w:val="0"/>
      <w:marTop w:val="0"/>
      <w:marBottom w:val="0"/>
      <w:divBdr>
        <w:top w:val="none" w:sz="0" w:space="0" w:color="auto"/>
        <w:left w:val="none" w:sz="0" w:space="0" w:color="auto"/>
        <w:bottom w:val="none" w:sz="0" w:space="0" w:color="auto"/>
        <w:right w:val="none" w:sz="0" w:space="0" w:color="auto"/>
      </w:divBdr>
    </w:div>
    <w:div w:id="28914833">
      <w:bodyDiv w:val="1"/>
      <w:marLeft w:val="0"/>
      <w:marRight w:val="0"/>
      <w:marTop w:val="0"/>
      <w:marBottom w:val="0"/>
      <w:divBdr>
        <w:top w:val="none" w:sz="0" w:space="0" w:color="auto"/>
        <w:left w:val="none" w:sz="0" w:space="0" w:color="auto"/>
        <w:bottom w:val="none" w:sz="0" w:space="0" w:color="auto"/>
        <w:right w:val="none" w:sz="0" w:space="0" w:color="auto"/>
      </w:divBdr>
    </w:div>
    <w:div w:id="28915767">
      <w:bodyDiv w:val="1"/>
      <w:marLeft w:val="0"/>
      <w:marRight w:val="0"/>
      <w:marTop w:val="0"/>
      <w:marBottom w:val="0"/>
      <w:divBdr>
        <w:top w:val="none" w:sz="0" w:space="0" w:color="auto"/>
        <w:left w:val="none" w:sz="0" w:space="0" w:color="auto"/>
        <w:bottom w:val="none" w:sz="0" w:space="0" w:color="auto"/>
        <w:right w:val="none" w:sz="0" w:space="0" w:color="auto"/>
      </w:divBdr>
    </w:div>
    <w:div w:id="28992408">
      <w:bodyDiv w:val="1"/>
      <w:marLeft w:val="0"/>
      <w:marRight w:val="0"/>
      <w:marTop w:val="0"/>
      <w:marBottom w:val="0"/>
      <w:divBdr>
        <w:top w:val="none" w:sz="0" w:space="0" w:color="auto"/>
        <w:left w:val="none" w:sz="0" w:space="0" w:color="auto"/>
        <w:bottom w:val="none" w:sz="0" w:space="0" w:color="auto"/>
        <w:right w:val="none" w:sz="0" w:space="0" w:color="auto"/>
      </w:divBdr>
    </w:div>
    <w:div w:id="29038425">
      <w:bodyDiv w:val="1"/>
      <w:marLeft w:val="0"/>
      <w:marRight w:val="0"/>
      <w:marTop w:val="0"/>
      <w:marBottom w:val="0"/>
      <w:divBdr>
        <w:top w:val="none" w:sz="0" w:space="0" w:color="auto"/>
        <w:left w:val="none" w:sz="0" w:space="0" w:color="auto"/>
        <w:bottom w:val="none" w:sz="0" w:space="0" w:color="auto"/>
        <w:right w:val="none" w:sz="0" w:space="0" w:color="auto"/>
      </w:divBdr>
    </w:div>
    <w:div w:id="29258521">
      <w:bodyDiv w:val="1"/>
      <w:marLeft w:val="0"/>
      <w:marRight w:val="0"/>
      <w:marTop w:val="0"/>
      <w:marBottom w:val="0"/>
      <w:divBdr>
        <w:top w:val="none" w:sz="0" w:space="0" w:color="auto"/>
        <w:left w:val="none" w:sz="0" w:space="0" w:color="auto"/>
        <w:bottom w:val="none" w:sz="0" w:space="0" w:color="auto"/>
        <w:right w:val="none" w:sz="0" w:space="0" w:color="auto"/>
      </w:divBdr>
    </w:div>
    <w:div w:id="29305617">
      <w:bodyDiv w:val="1"/>
      <w:marLeft w:val="0"/>
      <w:marRight w:val="0"/>
      <w:marTop w:val="0"/>
      <w:marBottom w:val="0"/>
      <w:divBdr>
        <w:top w:val="none" w:sz="0" w:space="0" w:color="auto"/>
        <w:left w:val="none" w:sz="0" w:space="0" w:color="auto"/>
        <w:bottom w:val="none" w:sz="0" w:space="0" w:color="auto"/>
        <w:right w:val="none" w:sz="0" w:space="0" w:color="auto"/>
      </w:divBdr>
    </w:div>
    <w:div w:id="29382704">
      <w:bodyDiv w:val="1"/>
      <w:marLeft w:val="0"/>
      <w:marRight w:val="0"/>
      <w:marTop w:val="0"/>
      <w:marBottom w:val="0"/>
      <w:divBdr>
        <w:top w:val="none" w:sz="0" w:space="0" w:color="auto"/>
        <w:left w:val="none" w:sz="0" w:space="0" w:color="auto"/>
        <w:bottom w:val="none" w:sz="0" w:space="0" w:color="auto"/>
        <w:right w:val="none" w:sz="0" w:space="0" w:color="auto"/>
      </w:divBdr>
    </w:div>
    <w:div w:id="29571827">
      <w:bodyDiv w:val="1"/>
      <w:marLeft w:val="0"/>
      <w:marRight w:val="0"/>
      <w:marTop w:val="0"/>
      <w:marBottom w:val="0"/>
      <w:divBdr>
        <w:top w:val="none" w:sz="0" w:space="0" w:color="auto"/>
        <w:left w:val="none" w:sz="0" w:space="0" w:color="auto"/>
        <w:bottom w:val="none" w:sz="0" w:space="0" w:color="auto"/>
        <w:right w:val="none" w:sz="0" w:space="0" w:color="auto"/>
      </w:divBdr>
    </w:div>
    <w:div w:id="29696682">
      <w:bodyDiv w:val="1"/>
      <w:marLeft w:val="0"/>
      <w:marRight w:val="0"/>
      <w:marTop w:val="0"/>
      <w:marBottom w:val="0"/>
      <w:divBdr>
        <w:top w:val="none" w:sz="0" w:space="0" w:color="auto"/>
        <w:left w:val="none" w:sz="0" w:space="0" w:color="auto"/>
        <w:bottom w:val="none" w:sz="0" w:space="0" w:color="auto"/>
        <w:right w:val="none" w:sz="0" w:space="0" w:color="auto"/>
      </w:divBdr>
    </w:div>
    <w:div w:id="30540475">
      <w:bodyDiv w:val="1"/>
      <w:marLeft w:val="0"/>
      <w:marRight w:val="0"/>
      <w:marTop w:val="0"/>
      <w:marBottom w:val="0"/>
      <w:divBdr>
        <w:top w:val="none" w:sz="0" w:space="0" w:color="auto"/>
        <w:left w:val="none" w:sz="0" w:space="0" w:color="auto"/>
        <w:bottom w:val="none" w:sz="0" w:space="0" w:color="auto"/>
        <w:right w:val="none" w:sz="0" w:space="0" w:color="auto"/>
      </w:divBdr>
    </w:div>
    <w:div w:id="30766657">
      <w:bodyDiv w:val="1"/>
      <w:marLeft w:val="0"/>
      <w:marRight w:val="0"/>
      <w:marTop w:val="0"/>
      <w:marBottom w:val="0"/>
      <w:divBdr>
        <w:top w:val="none" w:sz="0" w:space="0" w:color="auto"/>
        <w:left w:val="none" w:sz="0" w:space="0" w:color="auto"/>
        <w:bottom w:val="none" w:sz="0" w:space="0" w:color="auto"/>
        <w:right w:val="none" w:sz="0" w:space="0" w:color="auto"/>
      </w:divBdr>
    </w:div>
    <w:div w:id="30880291">
      <w:bodyDiv w:val="1"/>
      <w:marLeft w:val="0"/>
      <w:marRight w:val="0"/>
      <w:marTop w:val="0"/>
      <w:marBottom w:val="0"/>
      <w:divBdr>
        <w:top w:val="none" w:sz="0" w:space="0" w:color="auto"/>
        <w:left w:val="none" w:sz="0" w:space="0" w:color="auto"/>
        <w:bottom w:val="none" w:sz="0" w:space="0" w:color="auto"/>
        <w:right w:val="none" w:sz="0" w:space="0" w:color="auto"/>
      </w:divBdr>
    </w:div>
    <w:div w:id="30961194">
      <w:bodyDiv w:val="1"/>
      <w:marLeft w:val="0"/>
      <w:marRight w:val="0"/>
      <w:marTop w:val="0"/>
      <w:marBottom w:val="0"/>
      <w:divBdr>
        <w:top w:val="none" w:sz="0" w:space="0" w:color="auto"/>
        <w:left w:val="none" w:sz="0" w:space="0" w:color="auto"/>
        <w:bottom w:val="none" w:sz="0" w:space="0" w:color="auto"/>
        <w:right w:val="none" w:sz="0" w:space="0" w:color="auto"/>
      </w:divBdr>
    </w:div>
    <w:div w:id="31225585">
      <w:bodyDiv w:val="1"/>
      <w:marLeft w:val="0"/>
      <w:marRight w:val="0"/>
      <w:marTop w:val="0"/>
      <w:marBottom w:val="0"/>
      <w:divBdr>
        <w:top w:val="none" w:sz="0" w:space="0" w:color="auto"/>
        <w:left w:val="none" w:sz="0" w:space="0" w:color="auto"/>
        <w:bottom w:val="none" w:sz="0" w:space="0" w:color="auto"/>
        <w:right w:val="none" w:sz="0" w:space="0" w:color="auto"/>
      </w:divBdr>
    </w:div>
    <w:div w:id="31275992">
      <w:bodyDiv w:val="1"/>
      <w:marLeft w:val="0"/>
      <w:marRight w:val="0"/>
      <w:marTop w:val="0"/>
      <w:marBottom w:val="0"/>
      <w:divBdr>
        <w:top w:val="none" w:sz="0" w:space="0" w:color="auto"/>
        <w:left w:val="none" w:sz="0" w:space="0" w:color="auto"/>
        <w:bottom w:val="none" w:sz="0" w:space="0" w:color="auto"/>
        <w:right w:val="none" w:sz="0" w:space="0" w:color="auto"/>
      </w:divBdr>
    </w:div>
    <w:div w:id="31813096">
      <w:bodyDiv w:val="1"/>
      <w:marLeft w:val="0"/>
      <w:marRight w:val="0"/>
      <w:marTop w:val="0"/>
      <w:marBottom w:val="0"/>
      <w:divBdr>
        <w:top w:val="none" w:sz="0" w:space="0" w:color="auto"/>
        <w:left w:val="none" w:sz="0" w:space="0" w:color="auto"/>
        <w:bottom w:val="none" w:sz="0" w:space="0" w:color="auto"/>
        <w:right w:val="none" w:sz="0" w:space="0" w:color="auto"/>
      </w:divBdr>
    </w:div>
    <w:div w:id="32199760">
      <w:bodyDiv w:val="1"/>
      <w:marLeft w:val="0"/>
      <w:marRight w:val="0"/>
      <w:marTop w:val="0"/>
      <w:marBottom w:val="0"/>
      <w:divBdr>
        <w:top w:val="none" w:sz="0" w:space="0" w:color="auto"/>
        <w:left w:val="none" w:sz="0" w:space="0" w:color="auto"/>
        <w:bottom w:val="none" w:sz="0" w:space="0" w:color="auto"/>
        <w:right w:val="none" w:sz="0" w:space="0" w:color="auto"/>
      </w:divBdr>
    </w:div>
    <w:div w:id="32388663">
      <w:bodyDiv w:val="1"/>
      <w:marLeft w:val="0"/>
      <w:marRight w:val="0"/>
      <w:marTop w:val="0"/>
      <w:marBottom w:val="0"/>
      <w:divBdr>
        <w:top w:val="none" w:sz="0" w:space="0" w:color="auto"/>
        <w:left w:val="none" w:sz="0" w:space="0" w:color="auto"/>
        <w:bottom w:val="none" w:sz="0" w:space="0" w:color="auto"/>
        <w:right w:val="none" w:sz="0" w:space="0" w:color="auto"/>
      </w:divBdr>
    </w:div>
    <w:div w:id="32653999">
      <w:bodyDiv w:val="1"/>
      <w:marLeft w:val="0"/>
      <w:marRight w:val="0"/>
      <w:marTop w:val="0"/>
      <w:marBottom w:val="0"/>
      <w:divBdr>
        <w:top w:val="none" w:sz="0" w:space="0" w:color="auto"/>
        <w:left w:val="none" w:sz="0" w:space="0" w:color="auto"/>
        <w:bottom w:val="none" w:sz="0" w:space="0" w:color="auto"/>
        <w:right w:val="none" w:sz="0" w:space="0" w:color="auto"/>
      </w:divBdr>
    </w:div>
    <w:div w:id="33117860">
      <w:bodyDiv w:val="1"/>
      <w:marLeft w:val="0"/>
      <w:marRight w:val="0"/>
      <w:marTop w:val="0"/>
      <w:marBottom w:val="0"/>
      <w:divBdr>
        <w:top w:val="none" w:sz="0" w:space="0" w:color="auto"/>
        <w:left w:val="none" w:sz="0" w:space="0" w:color="auto"/>
        <w:bottom w:val="none" w:sz="0" w:space="0" w:color="auto"/>
        <w:right w:val="none" w:sz="0" w:space="0" w:color="auto"/>
      </w:divBdr>
    </w:div>
    <w:div w:id="33313291">
      <w:bodyDiv w:val="1"/>
      <w:marLeft w:val="0"/>
      <w:marRight w:val="0"/>
      <w:marTop w:val="0"/>
      <w:marBottom w:val="0"/>
      <w:divBdr>
        <w:top w:val="none" w:sz="0" w:space="0" w:color="auto"/>
        <w:left w:val="none" w:sz="0" w:space="0" w:color="auto"/>
        <w:bottom w:val="none" w:sz="0" w:space="0" w:color="auto"/>
        <w:right w:val="none" w:sz="0" w:space="0" w:color="auto"/>
      </w:divBdr>
    </w:div>
    <w:div w:id="33385682">
      <w:bodyDiv w:val="1"/>
      <w:marLeft w:val="0"/>
      <w:marRight w:val="0"/>
      <w:marTop w:val="0"/>
      <w:marBottom w:val="0"/>
      <w:divBdr>
        <w:top w:val="none" w:sz="0" w:space="0" w:color="auto"/>
        <w:left w:val="none" w:sz="0" w:space="0" w:color="auto"/>
        <w:bottom w:val="none" w:sz="0" w:space="0" w:color="auto"/>
        <w:right w:val="none" w:sz="0" w:space="0" w:color="auto"/>
      </w:divBdr>
    </w:div>
    <w:div w:id="33576469">
      <w:bodyDiv w:val="1"/>
      <w:marLeft w:val="0"/>
      <w:marRight w:val="0"/>
      <w:marTop w:val="0"/>
      <w:marBottom w:val="0"/>
      <w:divBdr>
        <w:top w:val="none" w:sz="0" w:space="0" w:color="auto"/>
        <w:left w:val="none" w:sz="0" w:space="0" w:color="auto"/>
        <w:bottom w:val="none" w:sz="0" w:space="0" w:color="auto"/>
        <w:right w:val="none" w:sz="0" w:space="0" w:color="auto"/>
      </w:divBdr>
    </w:div>
    <w:div w:id="34158181">
      <w:bodyDiv w:val="1"/>
      <w:marLeft w:val="0"/>
      <w:marRight w:val="0"/>
      <w:marTop w:val="0"/>
      <w:marBottom w:val="0"/>
      <w:divBdr>
        <w:top w:val="none" w:sz="0" w:space="0" w:color="auto"/>
        <w:left w:val="none" w:sz="0" w:space="0" w:color="auto"/>
        <w:bottom w:val="none" w:sz="0" w:space="0" w:color="auto"/>
        <w:right w:val="none" w:sz="0" w:space="0" w:color="auto"/>
      </w:divBdr>
    </w:div>
    <w:div w:id="34275638">
      <w:bodyDiv w:val="1"/>
      <w:marLeft w:val="0"/>
      <w:marRight w:val="0"/>
      <w:marTop w:val="0"/>
      <w:marBottom w:val="0"/>
      <w:divBdr>
        <w:top w:val="none" w:sz="0" w:space="0" w:color="auto"/>
        <w:left w:val="none" w:sz="0" w:space="0" w:color="auto"/>
        <w:bottom w:val="none" w:sz="0" w:space="0" w:color="auto"/>
        <w:right w:val="none" w:sz="0" w:space="0" w:color="auto"/>
      </w:divBdr>
    </w:div>
    <w:div w:id="34307108">
      <w:bodyDiv w:val="1"/>
      <w:marLeft w:val="0"/>
      <w:marRight w:val="0"/>
      <w:marTop w:val="0"/>
      <w:marBottom w:val="0"/>
      <w:divBdr>
        <w:top w:val="none" w:sz="0" w:space="0" w:color="auto"/>
        <w:left w:val="none" w:sz="0" w:space="0" w:color="auto"/>
        <w:bottom w:val="none" w:sz="0" w:space="0" w:color="auto"/>
        <w:right w:val="none" w:sz="0" w:space="0" w:color="auto"/>
      </w:divBdr>
    </w:div>
    <w:div w:id="34669138">
      <w:bodyDiv w:val="1"/>
      <w:marLeft w:val="0"/>
      <w:marRight w:val="0"/>
      <w:marTop w:val="0"/>
      <w:marBottom w:val="0"/>
      <w:divBdr>
        <w:top w:val="none" w:sz="0" w:space="0" w:color="auto"/>
        <w:left w:val="none" w:sz="0" w:space="0" w:color="auto"/>
        <w:bottom w:val="none" w:sz="0" w:space="0" w:color="auto"/>
        <w:right w:val="none" w:sz="0" w:space="0" w:color="auto"/>
      </w:divBdr>
    </w:div>
    <w:div w:id="34738225">
      <w:bodyDiv w:val="1"/>
      <w:marLeft w:val="0"/>
      <w:marRight w:val="0"/>
      <w:marTop w:val="0"/>
      <w:marBottom w:val="0"/>
      <w:divBdr>
        <w:top w:val="none" w:sz="0" w:space="0" w:color="auto"/>
        <w:left w:val="none" w:sz="0" w:space="0" w:color="auto"/>
        <w:bottom w:val="none" w:sz="0" w:space="0" w:color="auto"/>
        <w:right w:val="none" w:sz="0" w:space="0" w:color="auto"/>
      </w:divBdr>
    </w:div>
    <w:div w:id="34741145">
      <w:bodyDiv w:val="1"/>
      <w:marLeft w:val="0"/>
      <w:marRight w:val="0"/>
      <w:marTop w:val="0"/>
      <w:marBottom w:val="0"/>
      <w:divBdr>
        <w:top w:val="none" w:sz="0" w:space="0" w:color="auto"/>
        <w:left w:val="none" w:sz="0" w:space="0" w:color="auto"/>
        <w:bottom w:val="none" w:sz="0" w:space="0" w:color="auto"/>
        <w:right w:val="none" w:sz="0" w:space="0" w:color="auto"/>
      </w:divBdr>
    </w:div>
    <w:div w:id="34817064">
      <w:bodyDiv w:val="1"/>
      <w:marLeft w:val="0"/>
      <w:marRight w:val="0"/>
      <w:marTop w:val="0"/>
      <w:marBottom w:val="0"/>
      <w:divBdr>
        <w:top w:val="none" w:sz="0" w:space="0" w:color="auto"/>
        <w:left w:val="none" w:sz="0" w:space="0" w:color="auto"/>
        <w:bottom w:val="none" w:sz="0" w:space="0" w:color="auto"/>
        <w:right w:val="none" w:sz="0" w:space="0" w:color="auto"/>
      </w:divBdr>
    </w:div>
    <w:div w:id="35085254">
      <w:bodyDiv w:val="1"/>
      <w:marLeft w:val="0"/>
      <w:marRight w:val="0"/>
      <w:marTop w:val="0"/>
      <w:marBottom w:val="0"/>
      <w:divBdr>
        <w:top w:val="none" w:sz="0" w:space="0" w:color="auto"/>
        <w:left w:val="none" w:sz="0" w:space="0" w:color="auto"/>
        <w:bottom w:val="none" w:sz="0" w:space="0" w:color="auto"/>
        <w:right w:val="none" w:sz="0" w:space="0" w:color="auto"/>
      </w:divBdr>
    </w:div>
    <w:div w:id="35787629">
      <w:bodyDiv w:val="1"/>
      <w:marLeft w:val="0"/>
      <w:marRight w:val="0"/>
      <w:marTop w:val="0"/>
      <w:marBottom w:val="0"/>
      <w:divBdr>
        <w:top w:val="none" w:sz="0" w:space="0" w:color="auto"/>
        <w:left w:val="none" w:sz="0" w:space="0" w:color="auto"/>
        <w:bottom w:val="none" w:sz="0" w:space="0" w:color="auto"/>
        <w:right w:val="none" w:sz="0" w:space="0" w:color="auto"/>
      </w:divBdr>
    </w:div>
    <w:div w:id="36004680">
      <w:bodyDiv w:val="1"/>
      <w:marLeft w:val="0"/>
      <w:marRight w:val="0"/>
      <w:marTop w:val="0"/>
      <w:marBottom w:val="0"/>
      <w:divBdr>
        <w:top w:val="none" w:sz="0" w:space="0" w:color="auto"/>
        <w:left w:val="none" w:sz="0" w:space="0" w:color="auto"/>
        <w:bottom w:val="none" w:sz="0" w:space="0" w:color="auto"/>
        <w:right w:val="none" w:sz="0" w:space="0" w:color="auto"/>
      </w:divBdr>
    </w:div>
    <w:div w:id="36005074">
      <w:bodyDiv w:val="1"/>
      <w:marLeft w:val="0"/>
      <w:marRight w:val="0"/>
      <w:marTop w:val="0"/>
      <w:marBottom w:val="0"/>
      <w:divBdr>
        <w:top w:val="none" w:sz="0" w:space="0" w:color="auto"/>
        <w:left w:val="none" w:sz="0" w:space="0" w:color="auto"/>
        <w:bottom w:val="none" w:sz="0" w:space="0" w:color="auto"/>
        <w:right w:val="none" w:sz="0" w:space="0" w:color="auto"/>
      </w:divBdr>
    </w:div>
    <w:div w:id="36005964">
      <w:bodyDiv w:val="1"/>
      <w:marLeft w:val="0"/>
      <w:marRight w:val="0"/>
      <w:marTop w:val="0"/>
      <w:marBottom w:val="0"/>
      <w:divBdr>
        <w:top w:val="none" w:sz="0" w:space="0" w:color="auto"/>
        <w:left w:val="none" w:sz="0" w:space="0" w:color="auto"/>
        <w:bottom w:val="none" w:sz="0" w:space="0" w:color="auto"/>
        <w:right w:val="none" w:sz="0" w:space="0" w:color="auto"/>
      </w:divBdr>
    </w:div>
    <w:div w:id="36055109">
      <w:bodyDiv w:val="1"/>
      <w:marLeft w:val="0"/>
      <w:marRight w:val="0"/>
      <w:marTop w:val="0"/>
      <w:marBottom w:val="0"/>
      <w:divBdr>
        <w:top w:val="none" w:sz="0" w:space="0" w:color="auto"/>
        <w:left w:val="none" w:sz="0" w:space="0" w:color="auto"/>
        <w:bottom w:val="none" w:sz="0" w:space="0" w:color="auto"/>
        <w:right w:val="none" w:sz="0" w:space="0" w:color="auto"/>
      </w:divBdr>
    </w:div>
    <w:div w:id="36249630">
      <w:bodyDiv w:val="1"/>
      <w:marLeft w:val="0"/>
      <w:marRight w:val="0"/>
      <w:marTop w:val="0"/>
      <w:marBottom w:val="0"/>
      <w:divBdr>
        <w:top w:val="none" w:sz="0" w:space="0" w:color="auto"/>
        <w:left w:val="none" w:sz="0" w:space="0" w:color="auto"/>
        <w:bottom w:val="none" w:sz="0" w:space="0" w:color="auto"/>
        <w:right w:val="none" w:sz="0" w:space="0" w:color="auto"/>
      </w:divBdr>
    </w:div>
    <w:div w:id="36316208">
      <w:bodyDiv w:val="1"/>
      <w:marLeft w:val="0"/>
      <w:marRight w:val="0"/>
      <w:marTop w:val="0"/>
      <w:marBottom w:val="0"/>
      <w:divBdr>
        <w:top w:val="none" w:sz="0" w:space="0" w:color="auto"/>
        <w:left w:val="none" w:sz="0" w:space="0" w:color="auto"/>
        <w:bottom w:val="none" w:sz="0" w:space="0" w:color="auto"/>
        <w:right w:val="none" w:sz="0" w:space="0" w:color="auto"/>
      </w:divBdr>
    </w:div>
    <w:div w:id="36440669">
      <w:bodyDiv w:val="1"/>
      <w:marLeft w:val="0"/>
      <w:marRight w:val="0"/>
      <w:marTop w:val="0"/>
      <w:marBottom w:val="0"/>
      <w:divBdr>
        <w:top w:val="none" w:sz="0" w:space="0" w:color="auto"/>
        <w:left w:val="none" w:sz="0" w:space="0" w:color="auto"/>
        <w:bottom w:val="none" w:sz="0" w:space="0" w:color="auto"/>
        <w:right w:val="none" w:sz="0" w:space="0" w:color="auto"/>
      </w:divBdr>
    </w:div>
    <w:div w:id="37629145">
      <w:bodyDiv w:val="1"/>
      <w:marLeft w:val="0"/>
      <w:marRight w:val="0"/>
      <w:marTop w:val="0"/>
      <w:marBottom w:val="0"/>
      <w:divBdr>
        <w:top w:val="none" w:sz="0" w:space="0" w:color="auto"/>
        <w:left w:val="none" w:sz="0" w:space="0" w:color="auto"/>
        <w:bottom w:val="none" w:sz="0" w:space="0" w:color="auto"/>
        <w:right w:val="none" w:sz="0" w:space="0" w:color="auto"/>
      </w:divBdr>
    </w:div>
    <w:div w:id="37827276">
      <w:bodyDiv w:val="1"/>
      <w:marLeft w:val="0"/>
      <w:marRight w:val="0"/>
      <w:marTop w:val="0"/>
      <w:marBottom w:val="0"/>
      <w:divBdr>
        <w:top w:val="none" w:sz="0" w:space="0" w:color="auto"/>
        <w:left w:val="none" w:sz="0" w:space="0" w:color="auto"/>
        <w:bottom w:val="none" w:sz="0" w:space="0" w:color="auto"/>
        <w:right w:val="none" w:sz="0" w:space="0" w:color="auto"/>
      </w:divBdr>
    </w:div>
    <w:div w:id="37898585">
      <w:bodyDiv w:val="1"/>
      <w:marLeft w:val="0"/>
      <w:marRight w:val="0"/>
      <w:marTop w:val="0"/>
      <w:marBottom w:val="0"/>
      <w:divBdr>
        <w:top w:val="none" w:sz="0" w:space="0" w:color="auto"/>
        <w:left w:val="none" w:sz="0" w:space="0" w:color="auto"/>
        <w:bottom w:val="none" w:sz="0" w:space="0" w:color="auto"/>
        <w:right w:val="none" w:sz="0" w:space="0" w:color="auto"/>
      </w:divBdr>
    </w:div>
    <w:div w:id="38361392">
      <w:bodyDiv w:val="1"/>
      <w:marLeft w:val="0"/>
      <w:marRight w:val="0"/>
      <w:marTop w:val="0"/>
      <w:marBottom w:val="0"/>
      <w:divBdr>
        <w:top w:val="none" w:sz="0" w:space="0" w:color="auto"/>
        <w:left w:val="none" w:sz="0" w:space="0" w:color="auto"/>
        <w:bottom w:val="none" w:sz="0" w:space="0" w:color="auto"/>
        <w:right w:val="none" w:sz="0" w:space="0" w:color="auto"/>
      </w:divBdr>
    </w:div>
    <w:div w:id="38435139">
      <w:bodyDiv w:val="1"/>
      <w:marLeft w:val="0"/>
      <w:marRight w:val="0"/>
      <w:marTop w:val="0"/>
      <w:marBottom w:val="0"/>
      <w:divBdr>
        <w:top w:val="none" w:sz="0" w:space="0" w:color="auto"/>
        <w:left w:val="none" w:sz="0" w:space="0" w:color="auto"/>
        <w:bottom w:val="none" w:sz="0" w:space="0" w:color="auto"/>
        <w:right w:val="none" w:sz="0" w:space="0" w:color="auto"/>
      </w:divBdr>
    </w:div>
    <w:div w:id="38746072">
      <w:bodyDiv w:val="1"/>
      <w:marLeft w:val="0"/>
      <w:marRight w:val="0"/>
      <w:marTop w:val="0"/>
      <w:marBottom w:val="0"/>
      <w:divBdr>
        <w:top w:val="none" w:sz="0" w:space="0" w:color="auto"/>
        <w:left w:val="none" w:sz="0" w:space="0" w:color="auto"/>
        <w:bottom w:val="none" w:sz="0" w:space="0" w:color="auto"/>
        <w:right w:val="none" w:sz="0" w:space="0" w:color="auto"/>
      </w:divBdr>
    </w:div>
    <w:div w:id="38818810">
      <w:bodyDiv w:val="1"/>
      <w:marLeft w:val="0"/>
      <w:marRight w:val="0"/>
      <w:marTop w:val="0"/>
      <w:marBottom w:val="0"/>
      <w:divBdr>
        <w:top w:val="none" w:sz="0" w:space="0" w:color="auto"/>
        <w:left w:val="none" w:sz="0" w:space="0" w:color="auto"/>
        <w:bottom w:val="none" w:sz="0" w:space="0" w:color="auto"/>
        <w:right w:val="none" w:sz="0" w:space="0" w:color="auto"/>
      </w:divBdr>
    </w:div>
    <w:div w:id="38938779">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39089145">
      <w:bodyDiv w:val="1"/>
      <w:marLeft w:val="0"/>
      <w:marRight w:val="0"/>
      <w:marTop w:val="0"/>
      <w:marBottom w:val="0"/>
      <w:divBdr>
        <w:top w:val="none" w:sz="0" w:space="0" w:color="auto"/>
        <w:left w:val="none" w:sz="0" w:space="0" w:color="auto"/>
        <w:bottom w:val="none" w:sz="0" w:space="0" w:color="auto"/>
        <w:right w:val="none" w:sz="0" w:space="0" w:color="auto"/>
      </w:divBdr>
    </w:div>
    <w:div w:id="39131773">
      <w:bodyDiv w:val="1"/>
      <w:marLeft w:val="0"/>
      <w:marRight w:val="0"/>
      <w:marTop w:val="0"/>
      <w:marBottom w:val="0"/>
      <w:divBdr>
        <w:top w:val="none" w:sz="0" w:space="0" w:color="auto"/>
        <w:left w:val="none" w:sz="0" w:space="0" w:color="auto"/>
        <w:bottom w:val="none" w:sz="0" w:space="0" w:color="auto"/>
        <w:right w:val="none" w:sz="0" w:space="0" w:color="auto"/>
      </w:divBdr>
    </w:div>
    <w:div w:id="39134544">
      <w:bodyDiv w:val="1"/>
      <w:marLeft w:val="0"/>
      <w:marRight w:val="0"/>
      <w:marTop w:val="0"/>
      <w:marBottom w:val="0"/>
      <w:divBdr>
        <w:top w:val="none" w:sz="0" w:space="0" w:color="auto"/>
        <w:left w:val="none" w:sz="0" w:space="0" w:color="auto"/>
        <w:bottom w:val="none" w:sz="0" w:space="0" w:color="auto"/>
        <w:right w:val="none" w:sz="0" w:space="0" w:color="auto"/>
      </w:divBdr>
    </w:div>
    <w:div w:id="39209951">
      <w:bodyDiv w:val="1"/>
      <w:marLeft w:val="0"/>
      <w:marRight w:val="0"/>
      <w:marTop w:val="0"/>
      <w:marBottom w:val="0"/>
      <w:divBdr>
        <w:top w:val="none" w:sz="0" w:space="0" w:color="auto"/>
        <w:left w:val="none" w:sz="0" w:space="0" w:color="auto"/>
        <w:bottom w:val="none" w:sz="0" w:space="0" w:color="auto"/>
        <w:right w:val="none" w:sz="0" w:space="0" w:color="auto"/>
      </w:divBdr>
    </w:div>
    <w:div w:id="39518815">
      <w:bodyDiv w:val="1"/>
      <w:marLeft w:val="0"/>
      <w:marRight w:val="0"/>
      <w:marTop w:val="0"/>
      <w:marBottom w:val="0"/>
      <w:divBdr>
        <w:top w:val="none" w:sz="0" w:space="0" w:color="auto"/>
        <w:left w:val="none" w:sz="0" w:space="0" w:color="auto"/>
        <w:bottom w:val="none" w:sz="0" w:space="0" w:color="auto"/>
        <w:right w:val="none" w:sz="0" w:space="0" w:color="auto"/>
      </w:divBdr>
    </w:div>
    <w:div w:id="39519790">
      <w:bodyDiv w:val="1"/>
      <w:marLeft w:val="0"/>
      <w:marRight w:val="0"/>
      <w:marTop w:val="0"/>
      <w:marBottom w:val="0"/>
      <w:divBdr>
        <w:top w:val="none" w:sz="0" w:space="0" w:color="auto"/>
        <w:left w:val="none" w:sz="0" w:space="0" w:color="auto"/>
        <w:bottom w:val="none" w:sz="0" w:space="0" w:color="auto"/>
        <w:right w:val="none" w:sz="0" w:space="0" w:color="auto"/>
      </w:divBdr>
    </w:div>
    <w:div w:id="39598425">
      <w:bodyDiv w:val="1"/>
      <w:marLeft w:val="0"/>
      <w:marRight w:val="0"/>
      <w:marTop w:val="0"/>
      <w:marBottom w:val="0"/>
      <w:divBdr>
        <w:top w:val="none" w:sz="0" w:space="0" w:color="auto"/>
        <w:left w:val="none" w:sz="0" w:space="0" w:color="auto"/>
        <w:bottom w:val="none" w:sz="0" w:space="0" w:color="auto"/>
        <w:right w:val="none" w:sz="0" w:space="0" w:color="auto"/>
      </w:divBdr>
    </w:div>
    <w:div w:id="39717979">
      <w:bodyDiv w:val="1"/>
      <w:marLeft w:val="0"/>
      <w:marRight w:val="0"/>
      <w:marTop w:val="0"/>
      <w:marBottom w:val="0"/>
      <w:divBdr>
        <w:top w:val="none" w:sz="0" w:space="0" w:color="auto"/>
        <w:left w:val="none" w:sz="0" w:space="0" w:color="auto"/>
        <w:bottom w:val="none" w:sz="0" w:space="0" w:color="auto"/>
        <w:right w:val="none" w:sz="0" w:space="0" w:color="auto"/>
      </w:divBdr>
    </w:div>
    <w:div w:id="39786866">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0398154">
      <w:bodyDiv w:val="1"/>
      <w:marLeft w:val="0"/>
      <w:marRight w:val="0"/>
      <w:marTop w:val="0"/>
      <w:marBottom w:val="0"/>
      <w:divBdr>
        <w:top w:val="none" w:sz="0" w:space="0" w:color="auto"/>
        <w:left w:val="none" w:sz="0" w:space="0" w:color="auto"/>
        <w:bottom w:val="none" w:sz="0" w:space="0" w:color="auto"/>
        <w:right w:val="none" w:sz="0" w:space="0" w:color="auto"/>
      </w:divBdr>
    </w:div>
    <w:div w:id="40716858">
      <w:bodyDiv w:val="1"/>
      <w:marLeft w:val="0"/>
      <w:marRight w:val="0"/>
      <w:marTop w:val="0"/>
      <w:marBottom w:val="0"/>
      <w:divBdr>
        <w:top w:val="none" w:sz="0" w:space="0" w:color="auto"/>
        <w:left w:val="none" w:sz="0" w:space="0" w:color="auto"/>
        <w:bottom w:val="none" w:sz="0" w:space="0" w:color="auto"/>
        <w:right w:val="none" w:sz="0" w:space="0" w:color="auto"/>
      </w:divBdr>
    </w:div>
    <w:div w:id="40907879">
      <w:bodyDiv w:val="1"/>
      <w:marLeft w:val="0"/>
      <w:marRight w:val="0"/>
      <w:marTop w:val="0"/>
      <w:marBottom w:val="0"/>
      <w:divBdr>
        <w:top w:val="none" w:sz="0" w:space="0" w:color="auto"/>
        <w:left w:val="none" w:sz="0" w:space="0" w:color="auto"/>
        <w:bottom w:val="none" w:sz="0" w:space="0" w:color="auto"/>
        <w:right w:val="none" w:sz="0" w:space="0" w:color="auto"/>
      </w:divBdr>
    </w:div>
    <w:div w:id="41439701">
      <w:bodyDiv w:val="1"/>
      <w:marLeft w:val="0"/>
      <w:marRight w:val="0"/>
      <w:marTop w:val="0"/>
      <w:marBottom w:val="0"/>
      <w:divBdr>
        <w:top w:val="none" w:sz="0" w:space="0" w:color="auto"/>
        <w:left w:val="none" w:sz="0" w:space="0" w:color="auto"/>
        <w:bottom w:val="none" w:sz="0" w:space="0" w:color="auto"/>
        <w:right w:val="none" w:sz="0" w:space="0" w:color="auto"/>
      </w:divBdr>
    </w:div>
    <w:div w:id="41515893">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1710500">
      <w:bodyDiv w:val="1"/>
      <w:marLeft w:val="0"/>
      <w:marRight w:val="0"/>
      <w:marTop w:val="0"/>
      <w:marBottom w:val="0"/>
      <w:divBdr>
        <w:top w:val="none" w:sz="0" w:space="0" w:color="auto"/>
        <w:left w:val="none" w:sz="0" w:space="0" w:color="auto"/>
        <w:bottom w:val="none" w:sz="0" w:space="0" w:color="auto"/>
        <w:right w:val="none" w:sz="0" w:space="0" w:color="auto"/>
      </w:divBdr>
    </w:div>
    <w:div w:id="41754292">
      <w:bodyDiv w:val="1"/>
      <w:marLeft w:val="0"/>
      <w:marRight w:val="0"/>
      <w:marTop w:val="0"/>
      <w:marBottom w:val="0"/>
      <w:divBdr>
        <w:top w:val="none" w:sz="0" w:space="0" w:color="auto"/>
        <w:left w:val="none" w:sz="0" w:space="0" w:color="auto"/>
        <w:bottom w:val="none" w:sz="0" w:space="0" w:color="auto"/>
        <w:right w:val="none" w:sz="0" w:space="0" w:color="auto"/>
      </w:divBdr>
    </w:div>
    <w:div w:id="41835153">
      <w:bodyDiv w:val="1"/>
      <w:marLeft w:val="0"/>
      <w:marRight w:val="0"/>
      <w:marTop w:val="0"/>
      <w:marBottom w:val="0"/>
      <w:divBdr>
        <w:top w:val="none" w:sz="0" w:space="0" w:color="auto"/>
        <w:left w:val="none" w:sz="0" w:space="0" w:color="auto"/>
        <w:bottom w:val="none" w:sz="0" w:space="0" w:color="auto"/>
        <w:right w:val="none" w:sz="0" w:space="0" w:color="auto"/>
      </w:divBdr>
    </w:div>
    <w:div w:id="42487395">
      <w:bodyDiv w:val="1"/>
      <w:marLeft w:val="0"/>
      <w:marRight w:val="0"/>
      <w:marTop w:val="0"/>
      <w:marBottom w:val="0"/>
      <w:divBdr>
        <w:top w:val="none" w:sz="0" w:space="0" w:color="auto"/>
        <w:left w:val="none" w:sz="0" w:space="0" w:color="auto"/>
        <w:bottom w:val="none" w:sz="0" w:space="0" w:color="auto"/>
        <w:right w:val="none" w:sz="0" w:space="0" w:color="auto"/>
      </w:divBdr>
    </w:div>
    <w:div w:id="42602253">
      <w:bodyDiv w:val="1"/>
      <w:marLeft w:val="0"/>
      <w:marRight w:val="0"/>
      <w:marTop w:val="0"/>
      <w:marBottom w:val="0"/>
      <w:divBdr>
        <w:top w:val="none" w:sz="0" w:space="0" w:color="auto"/>
        <w:left w:val="none" w:sz="0" w:space="0" w:color="auto"/>
        <w:bottom w:val="none" w:sz="0" w:space="0" w:color="auto"/>
        <w:right w:val="none" w:sz="0" w:space="0" w:color="auto"/>
      </w:divBdr>
    </w:div>
    <w:div w:id="42604476">
      <w:bodyDiv w:val="1"/>
      <w:marLeft w:val="0"/>
      <w:marRight w:val="0"/>
      <w:marTop w:val="0"/>
      <w:marBottom w:val="0"/>
      <w:divBdr>
        <w:top w:val="none" w:sz="0" w:space="0" w:color="auto"/>
        <w:left w:val="none" w:sz="0" w:space="0" w:color="auto"/>
        <w:bottom w:val="none" w:sz="0" w:space="0" w:color="auto"/>
        <w:right w:val="none" w:sz="0" w:space="0" w:color="auto"/>
      </w:divBdr>
    </w:div>
    <w:div w:id="42678474">
      <w:bodyDiv w:val="1"/>
      <w:marLeft w:val="0"/>
      <w:marRight w:val="0"/>
      <w:marTop w:val="0"/>
      <w:marBottom w:val="0"/>
      <w:divBdr>
        <w:top w:val="none" w:sz="0" w:space="0" w:color="auto"/>
        <w:left w:val="none" w:sz="0" w:space="0" w:color="auto"/>
        <w:bottom w:val="none" w:sz="0" w:space="0" w:color="auto"/>
        <w:right w:val="none" w:sz="0" w:space="0" w:color="auto"/>
      </w:divBdr>
    </w:div>
    <w:div w:id="42869565">
      <w:bodyDiv w:val="1"/>
      <w:marLeft w:val="0"/>
      <w:marRight w:val="0"/>
      <w:marTop w:val="0"/>
      <w:marBottom w:val="0"/>
      <w:divBdr>
        <w:top w:val="none" w:sz="0" w:space="0" w:color="auto"/>
        <w:left w:val="none" w:sz="0" w:space="0" w:color="auto"/>
        <w:bottom w:val="none" w:sz="0" w:space="0" w:color="auto"/>
        <w:right w:val="none" w:sz="0" w:space="0" w:color="auto"/>
      </w:divBdr>
    </w:div>
    <w:div w:id="43023766">
      <w:bodyDiv w:val="1"/>
      <w:marLeft w:val="0"/>
      <w:marRight w:val="0"/>
      <w:marTop w:val="0"/>
      <w:marBottom w:val="0"/>
      <w:divBdr>
        <w:top w:val="none" w:sz="0" w:space="0" w:color="auto"/>
        <w:left w:val="none" w:sz="0" w:space="0" w:color="auto"/>
        <w:bottom w:val="none" w:sz="0" w:space="0" w:color="auto"/>
        <w:right w:val="none" w:sz="0" w:space="0" w:color="auto"/>
      </w:divBdr>
    </w:div>
    <w:div w:id="43453007">
      <w:bodyDiv w:val="1"/>
      <w:marLeft w:val="0"/>
      <w:marRight w:val="0"/>
      <w:marTop w:val="0"/>
      <w:marBottom w:val="0"/>
      <w:divBdr>
        <w:top w:val="none" w:sz="0" w:space="0" w:color="auto"/>
        <w:left w:val="none" w:sz="0" w:space="0" w:color="auto"/>
        <w:bottom w:val="none" w:sz="0" w:space="0" w:color="auto"/>
        <w:right w:val="none" w:sz="0" w:space="0" w:color="auto"/>
      </w:divBdr>
    </w:div>
    <w:div w:id="43717338">
      <w:bodyDiv w:val="1"/>
      <w:marLeft w:val="0"/>
      <w:marRight w:val="0"/>
      <w:marTop w:val="0"/>
      <w:marBottom w:val="0"/>
      <w:divBdr>
        <w:top w:val="none" w:sz="0" w:space="0" w:color="auto"/>
        <w:left w:val="none" w:sz="0" w:space="0" w:color="auto"/>
        <w:bottom w:val="none" w:sz="0" w:space="0" w:color="auto"/>
        <w:right w:val="none" w:sz="0" w:space="0" w:color="auto"/>
      </w:divBdr>
    </w:div>
    <w:div w:id="43870019">
      <w:bodyDiv w:val="1"/>
      <w:marLeft w:val="0"/>
      <w:marRight w:val="0"/>
      <w:marTop w:val="0"/>
      <w:marBottom w:val="0"/>
      <w:divBdr>
        <w:top w:val="none" w:sz="0" w:space="0" w:color="auto"/>
        <w:left w:val="none" w:sz="0" w:space="0" w:color="auto"/>
        <w:bottom w:val="none" w:sz="0" w:space="0" w:color="auto"/>
        <w:right w:val="none" w:sz="0" w:space="0" w:color="auto"/>
      </w:divBdr>
    </w:div>
    <w:div w:id="43870700">
      <w:bodyDiv w:val="1"/>
      <w:marLeft w:val="0"/>
      <w:marRight w:val="0"/>
      <w:marTop w:val="0"/>
      <w:marBottom w:val="0"/>
      <w:divBdr>
        <w:top w:val="none" w:sz="0" w:space="0" w:color="auto"/>
        <w:left w:val="none" w:sz="0" w:space="0" w:color="auto"/>
        <w:bottom w:val="none" w:sz="0" w:space="0" w:color="auto"/>
        <w:right w:val="none" w:sz="0" w:space="0" w:color="auto"/>
      </w:divBdr>
    </w:div>
    <w:div w:id="44108423">
      <w:bodyDiv w:val="1"/>
      <w:marLeft w:val="0"/>
      <w:marRight w:val="0"/>
      <w:marTop w:val="0"/>
      <w:marBottom w:val="0"/>
      <w:divBdr>
        <w:top w:val="none" w:sz="0" w:space="0" w:color="auto"/>
        <w:left w:val="none" w:sz="0" w:space="0" w:color="auto"/>
        <w:bottom w:val="none" w:sz="0" w:space="0" w:color="auto"/>
        <w:right w:val="none" w:sz="0" w:space="0" w:color="auto"/>
      </w:divBdr>
    </w:div>
    <w:div w:id="44182608">
      <w:bodyDiv w:val="1"/>
      <w:marLeft w:val="0"/>
      <w:marRight w:val="0"/>
      <w:marTop w:val="0"/>
      <w:marBottom w:val="0"/>
      <w:divBdr>
        <w:top w:val="none" w:sz="0" w:space="0" w:color="auto"/>
        <w:left w:val="none" w:sz="0" w:space="0" w:color="auto"/>
        <w:bottom w:val="none" w:sz="0" w:space="0" w:color="auto"/>
        <w:right w:val="none" w:sz="0" w:space="0" w:color="auto"/>
      </w:divBdr>
    </w:div>
    <w:div w:id="44448547">
      <w:bodyDiv w:val="1"/>
      <w:marLeft w:val="0"/>
      <w:marRight w:val="0"/>
      <w:marTop w:val="0"/>
      <w:marBottom w:val="0"/>
      <w:divBdr>
        <w:top w:val="none" w:sz="0" w:space="0" w:color="auto"/>
        <w:left w:val="none" w:sz="0" w:space="0" w:color="auto"/>
        <w:bottom w:val="none" w:sz="0" w:space="0" w:color="auto"/>
        <w:right w:val="none" w:sz="0" w:space="0" w:color="auto"/>
      </w:divBdr>
    </w:div>
    <w:div w:id="45498350">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6146859">
      <w:bodyDiv w:val="1"/>
      <w:marLeft w:val="0"/>
      <w:marRight w:val="0"/>
      <w:marTop w:val="0"/>
      <w:marBottom w:val="0"/>
      <w:divBdr>
        <w:top w:val="none" w:sz="0" w:space="0" w:color="auto"/>
        <w:left w:val="none" w:sz="0" w:space="0" w:color="auto"/>
        <w:bottom w:val="none" w:sz="0" w:space="0" w:color="auto"/>
        <w:right w:val="none" w:sz="0" w:space="0" w:color="auto"/>
      </w:divBdr>
    </w:div>
    <w:div w:id="46686448">
      <w:bodyDiv w:val="1"/>
      <w:marLeft w:val="0"/>
      <w:marRight w:val="0"/>
      <w:marTop w:val="0"/>
      <w:marBottom w:val="0"/>
      <w:divBdr>
        <w:top w:val="none" w:sz="0" w:space="0" w:color="auto"/>
        <w:left w:val="none" w:sz="0" w:space="0" w:color="auto"/>
        <w:bottom w:val="none" w:sz="0" w:space="0" w:color="auto"/>
        <w:right w:val="none" w:sz="0" w:space="0" w:color="auto"/>
      </w:divBdr>
    </w:div>
    <w:div w:id="47145453">
      <w:bodyDiv w:val="1"/>
      <w:marLeft w:val="0"/>
      <w:marRight w:val="0"/>
      <w:marTop w:val="0"/>
      <w:marBottom w:val="0"/>
      <w:divBdr>
        <w:top w:val="none" w:sz="0" w:space="0" w:color="auto"/>
        <w:left w:val="none" w:sz="0" w:space="0" w:color="auto"/>
        <w:bottom w:val="none" w:sz="0" w:space="0" w:color="auto"/>
        <w:right w:val="none" w:sz="0" w:space="0" w:color="auto"/>
      </w:divBdr>
    </w:div>
    <w:div w:id="47841692">
      <w:bodyDiv w:val="1"/>
      <w:marLeft w:val="0"/>
      <w:marRight w:val="0"/>
      <w:marTop w:val="0"/>
      <w:marBottom w:val="0"/>
      <w:divBdr>
        <w:top w:val="none" w:sz="0" w:space="0" w:color="auto"/>
        <w:left w:val="none" w:sz="0" w:space="0" w:color="auto"/>
        <w:bottom w:val="none" w:sz="0" w:space="0" w:color="auto"/>
        <w:right w:val="none" w:sz="0" w:space="0" w:color="auto"/>
      </w:divBdr>
    </w:div>
    <w:div w:id="47995329">
      <w:bodyDiv w:val="1"/>
      <w:marLeft w:val="0"/>
      <w:marRight w:val="0"/>
      <w:marTop w:val="0"/>
      <w:marBottom w:val="0"/>
      <w:divBdr>
        <w:top w:val="none" w:sz="0" w:space="0" w:color="auto"/>
        <w:left w:val="none" w:sz="0" w:space="0" w:color="auto"/>
        <w:bottom w:val="none" w:sz="0" w:space="0" w:color="auto"/>
        <w:right w:val="none" w:sz="0" w:space="0" w:color="auto"/>
      </w:divBdr>
    </w:div>
    <w:div w:id="48000748">
      <w:bodyDiv w:val="1"/>
      <w:marLeft w:val="0"/>
      <w:marRight w:val="0"/>
      <w:marTop w:val="0"/>
      <w:marBottom w:val="0"/>
      <w:divBdr>
        <w:top w:val="none" w:sz="0" w:space="0" w:color="auto"/>
        <w:left w:val="none" w:sz="0" w:space="0" w:color="auto"/>
        <w:bottom w:val="none" w:sz="0" w:space="0" w:color="auto"/>
        <w:right w:val="none" w:sz="0" w:space="0" w:color="auto"/>
      </w:divBdr>
    </w:div>
    <w:div w:id="48261301">
      <w:bodyDiv w:val="1"/>
      <w:marLeft w:val="0"/>
      <w:marRight w:val="0"/>
      <w:marTop w:val="0"/>
      <w:marBottom w:val="0"/>
      <w:divBdr>
        <w:top w:val="none" w:sz="0" w:space="0" w:color="auto"/>
        <w:left w:val="none" w:sz="0" w:space="0" w:color="auto"/>
        <w:bottom w:val="none" w:sz="0" w:space="0" w:color="auto"/>
        <w:right w:val="none" w:sz="0" w:space="0" w:color="auto"/>
      </w:divBdr>
    </w:div>
    <w:div w:id="48461719">
      <w:bodyDiv w:val="1"/>
      <w:marLeft w:val="0"/>
      <w:marRight w:val="0"/>
      <w:marTop w:val="0"/>
      <w:marBottom w:val="0"/>
      <w:divBdr>
        <w:top w:val="none" w:sz="0" w:space="0" w:color="auto"/>
        <w:left w:val="none" w:sz="0" w:space="0" w:color="auto"/>
        <w:bottom w:val="none" w:sz="0" w:space="0" w:color="auto"/>
        <w:right w:val="none" w:sz="0" w:space="0" w:color="auto"/>
      </w:divBdr>
    </w:div>
    <w:div w:id="48768318">
      <w:bodyDiv w:val="1"/>
      <w:marLeft w:val="0"/>
      <w:marRight w:val="0"/>
      <w:marTop w:val="0"/>
      <w:marBottom w:val="0"/>
      <w:divBdr>
        <w:top w:val="none" w:sz="0" w:space="0" w:color="auto"/>
        <w:left w:val="none" w:sz="0" w:space="0" w:color="auto"/>
        <w:bottom w:val="none" w:sz="0" w:space="0" w:color="auto"/>
        <w:right w:val="none" w:sz="0" w:space="0" w:color="auto"/>
      </w:divBdr>
    </w:div>
    <w:div w:id="48768861">
      <w:bodyDiv w:val="1"/>
      <w:marLeft w:val="0"/>
      <w:marRight w:val="0"/>
      <w:marTop w:val="0"/>
      <w:marBottom w:val="0"/>
      <w:divBdr>
        <w:top w:val="none" w:sz="0" w:space="0" w:color="auto"/>
        <w:left w:val="none" w:sz="0" w:space="0" w:color="auto"/>
        <w:bottom w:val="none" w:sz="0" w:space="0" w:color="auto"/>
        <w:right w:val="none" w:sz="0" w:space="0" w:color="auto"/>
      </w:divBdr>
    </w:div>
    <w:div w:id="48962128">
      <w:bodyDiv w:val="1"/>
      <w:marLeft w:val="0"/>
      <w:marRight w:val="0"/>
      <w:marTop w:val="0"/>
      <w:marBottom w:val="0"/>
      <w:divBdr>
        <w:top w:val="none" w:sz="0" w:space="0" w:color="auto"/>
        <w:left w:val="none" w:sz="0" w:space="0" w:color="auto"/>
        <w:bottom w:val="none" w:sz="0" w:space="0" w:color="auto"/>
        <w:right w:val="none" w:sz="0" w:space="0" w:color="auto"/>
      </w:divBdr>
    </w:div>
    <w:div w:id="49497512">
      <w:bodyDiv w:val="1"/>
      <w:marLeft w:val="0"/>
      <w:marRight w:val="0"/>
      <w:marTop w:val="0"/>
      <w:marBottom w:val="0"/>
      <w:divBdr>
        <w:top w:val="none" w:sz="0" w:space="0" w:color="auto"/>
        <w:left w:val="none" w:sz="0" w:space="0" w:color="auto"/>
        <w:bottom w:val="none" w:sz="0" w:space="0" w:color="auto"/>
        <w:right w:val="none" w:sz="0" w:space="0" w:color="auto"/>
      </w:divBdr>
    </w:div>
    <w:div w:id="49619341">
      <w:bodyDiv w:val="1"/>
      <w:marLeft w:val="0"/>
      <w:marRight w:val="0"/>
      <w:marTop w:val="0"/>
      <w:marBottom w:val="0"/>
      <w:divBdr>
        <w:top w:val="none" w:sz="0" w:space="0" w:color="auto"/>
        <w:left w:val="none" w:sz="0" w:space="0" w:color="auto"/>
        <w:bottom w:val="none" w:sz="0" w:space="0" w:color="auto"/>
        <w:right w:val="none" w:sz="0" w:space="0" w:color="auto"/>
      </w:divBdr>
    </w:div>
    <w:div w:id="49808100">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0010182">
      <w:bodyDiv w:val="1"/>
      <w:marLeft w:val="0"/>
      <w:marRight w:val="0"/>
      <w:marTop w:val="0"/>
      <w:marBottom w:val="0"/>
      <w:divBdr>
        <w:top w:val="none" w:sz="0" w:space="0" w:color="auto"/>
        <w:left w:val="none" w:sz="0" w:space="0" w:color="auto"/>
        <w:bottom w:val="none" w:sz="0" w:space="0" w:color="auto"/>
        <w:right w:val="none" w:sz="0" w:space="0" w:color="auto"/>
      </w:divBdr>
    </w:div>
    <w:div w:id="50152735">
      <w:bodyDiv w:val="1"/>
      <w:marLeft w:val="0"/>
      <w:marRight w:val="0"/>
      <w:marTop w:val="0"/>
      <w:marBottom w:val="0"/>
      <w:divBdr>
        <w:top w:val="none" w:sz="0" w:space="0" w:color="auto"/>
        <w:left w:val="none" w:sz="0" w:space="0" w:color="auto"/>
        <w:bottom w:val="none" w:sz="0" w:space="0" w:color="auto"/>
        <w:right w:val="none" w:sz="0" w:space="0" w:color="auto"/>
      </w:divBdr>
    </w:div>
    <w:div w:id="50153377">
      <w:bodyDiv w:val="1"/>
      <w:marLeft w:val="0"/>
      <w:marRight w:val="0"/>
      <w:marTop w:val="0"/>
      <w:marBottom w:val="0"/>
      <w:divBdr>
        <w:top w:val="none" w:sz="0" w:space="0" w:color="auto"/>
        <w:left w:val="none" w:sz="0" w:space="0" w:color="auto"/>
        <w:bottom w:val="none" w:sz="0" w:space="0" w:color="auto"/>
        <w:right w:val="none" w:sz="0" w:space="0" w:color="auto"/>
      </w:divBdr>
    </w:div>
    <w:div w:id="50735743">
      <w:bodyDiv w:val="1"/>
      <w:marLeft w:val="0"/>
      <w:marRight w:val="0"/>
      <w:marTop w:val="0"/>
      <w:marBottom w:val="0"/>
      <w:divBdr>
        <w:top w:val="none" w:sz="0" w:space="0" w:color="auto"/>
        <w:left w:val="none" w:sz="0" w:space="0" w:color="auto"/>
        <w:bottom w:val="none" w:sz="0" w:space="0" w:color="auto"/>
        <w:right w:val="none" w:sz="0" w:space="0" w:color="auto"/>
      </w:divBdr>
    </w:div>
    <w:div w:id="50812970">
      <w:bodyDiv w:val="1"/>
      <w:marLeft w:val="0"/>
      <w:marRight w:val="0"/>
      <w:marTop w:val="0"/>
      <w:marBottom w:val="0"/>
      <w:divBdr>
        <w:top w:val="none" w:sz="0" w:space="0" w:color="auto"/>
        <w:left w:val="none" w:sz="0" w:space="0" w:color="auto"/>
        <w:bottom w:val="none" w:sz="0" w:space="0" w:color="auto"/>
        <w:right w:val="none" w:sz="0" w:space="0" w:color="auto"/>
      </w:divBdr>
    </w:div>
    <w:div w:id="51000248">
      <w:bodyDiv w:val="1"/>
      <w:marLeft w:val="0"/>
      <w:marRight w:val="0"/>
      <w:marTop w:val="0"/>
      <w:marBottom w:val="0"/>
      <w:divBdr>
        <w:top w:val="none" w:sz="0" w:space="0" w:color="auto"/>
        <w:left w:val="none" w:sz="0" w:space="0" w:color="auto"/>
        <w:bottom w:val="none" w:sz="0" w:space="0" w:color="auto"/>
        <w:right w:val="none" w:sz="0" w:space="0" w:color="auto"/>
      </w:divBdr>
    </w:div>
    <w:div w:id="51077139">
      <w:bodyDiv w:val="1"/>
      <w:marLeft w:val="0"/>
      <w:marRight w:val="0"/>
      <w:marTop w:val="0"/>
      <w:marBottom w:val="0"/>
      <w:divBdr>
        <w:top w:val="none" w:sz="0" w:space="0" w:color="auto"/>
        <w:left w:val="none" w:sz="0" w:space="0" w:color="auto"/>
        <w:bottom w:val="none" w:sz="0" w:space="0" w:color="auto"/>
        <w:right w:val="none" w:sz="0" w:space="0" w:color="auto"/>
      </w:divBdr>
    </w:div>
    <w:div w:id="51268893">
      <w:bodyDiv w:val="1"/>
      <w:marLeft w:val="0"/>
      <w:marRight w:val="0"/>
      <w:marTop w:val="0"/>
      <w:marBottom w:val="0"/>
      <w:divBdr>
        <w:top w:val="none" w:sz="0" w:space="0" w:color="auto"/>
        <w:left w:val="none" w:sz="0" w:space="0" w:color="auto"/>
        <w:bottom w:val="none" w:sz="0" w:space="0" w:color="auto"/>
        <w:right w:val="none" w:sz="0" w:space="0" w:color="auto"/>
      </w:divBdr>
    </w:div>
    <w:div w:id="51319505">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1467395">
      <w:bodyDiv w:val="1"/>
      <w:marLeft w:val="0"/>
      <w:marRight w:val="0"/>
      <w:marTop w:val="0"/>
      <w:marBottom w:val="0"/>
      <w:divBdr>
        <w:top w:val="none" w:sz="0" w:space="0" w:color="auto"/>
        <w:left w:val="none" w:sz="0" w:space="0" w:color="auto"/>
        <w:bottom w:val="none" w:sz="0" w:space="0" w:color="auto"/>
        <w:right w:val="none" w:sz="0" w:space="0" w:color="auto"/>
      </w:divBdr>
    </w:div>
    <w:div w:id="51775680">
      <w:bodyDiv w:val="1"/>
      <w:marLeft w:val="0"/>
      <w:marRight w:val="0"/>
      <w:marTop w:val="0"/>
      <w:marBottom w:val="0"/>
      <w:divBdr>
        <w:top w:val="none" w:sz="0" w:space="0" w:color="auto"/>
        <w:left w:val="none" w:sz="0" w:space="0" w:color="auto"/>
        <w:bottom w:val="none" w:sz="0" w:space="0" w:color="auto"/>
        <w:right w:val="none" w:sz="0" w:space="0" w:color="auto"/>
      </w:divBdr>
    </w:div>
    <w:div w:id="51853345">
      <w:bodyDiv w:val="1"/>
      <w:marLeft w:val="0"/>
      <w:marRight w:val="0"/>
      <w:marTop w:val="0"/>
      <w:marBottom w:val="0"/>
      <w:divBdr>
        <w:top w:val="none" w:sz="0" w:space="0" w:color="auto"/>
        <w:left w:val="none" w:sz="0" w:space="0" w:color="auto"/>
        <w:bottom w:val="none" w:sz="0" w:space="0" w:color="auto"/>
        <w:right w:val="none" w:sz="0" w:space="0" w:color="auto"/>
      </w:divBdr>
    </w:div>
    <w:div w:id="51927426">
      <w:bodyDiv w:val="1"/>
      <w:marLeft w:val="0"/>
      <w:marRight w:val="0"/>
      <w:marTop w:val="0"/>
      <w:marBottom w:val="0"/>
      <w:divBdr>
        <w:top w:val="none" w:sz="0" w:space="0" w:color="auto"/>
        <w:left w:val="none" w:sz="0" w:space="0" w:color="auto"/>
        <w:bottom w:val="none" w:sz="0" w:space="0" w:color="auto"/>
        <w:right w:val="none" w:sz="0" w:space="0" w:color="auto"/>
      </w:divBdr>
    </w:div>
    <w:div w:id="52581364">
      <w:bodyDiv w:val="1"/>
      <w:marLeft w:val="0"/>
      <w:marRight w:val="0"/>
      <w:marTop w:val="0"/>
      <w:marBottom w:val="0"/>
      <w:divBdr>
        <w:top w:val="none" w:sz="0" w:space="0" w:color="auto"/>
        <w:left w:val="none" w:sz="0" w:space="0" w:color="auto"/>
        <w:bottom w:val="none" w:sz="0" w:space="0" w:color="auto"/>
        <w:right w:val="none" w:sz="0" w:space="0" w:color="auto"/>
      </w:divBdr>
    </w:div>
    <w:div w:id="52892864">
      <w:bodyDiv w:val="1"/>
      <w:marLeft w:val="0"/>
      <w:marRight w:val="0"/>
      <w:marTop w:val="0"/>
      <w:marBottom w:val="0"/>
      <w:divBdr>
        <w:top w:val="none" w:sz="0" w:space="0" w:color="auto"/>
        <w:left w:val="none" w:sz="0" w:space="0" w:color="auto"/>
        <w:bottom w:val="none" w:sz="0" w:space="0" w:color="auto"/>
        <w:right w:val="none" w:sz="0" w:space="0" w:color="auto"/>
      </w:divBdr>
    </w:div>
    <w:div w:id="52968410">
      <w:bodyDiv w:val="1"/>
      <w:marLeft w:val="0"/>
      <w:marRight w:val="0"/>
      <w:marTop w:val="0"/>
      <w:marBottom w:val="0"/>
      <w:divBdr>
        <w:top w:val="none" w:sz="0" w:space="0" w:color="auto"/>
        <w:left w:val="none" w:sz="0" w:space="0" w:color="auto"/>
        <w:bottom w:val="none" w:sz="0" w:space="0" w:color="auto"/>
        <w:right w:val="none" w:sz="0" w:space="0" w:color="auto"/>
      </w:divBdr>
    </w:div>
    <w:div w:id="53089504">
      <w:bodyDiv w:val="1"/>
      <w:marLeft w:val="0"/>
      <w:marRight w:val="0"/>
      <w:marTop w:val="0"/>
      <w:marBottom w:val="0"/>
      <w:divBdr>
        <w:top w:val="none" w:sz="0" w:space="0" w:color="auto"/>
        <w:left w:val="none" w:sz="0" w:space="0" w:color="auto"/>
        <w:bottom w:val="none" w:sz="0" w:space="0" w:color="auto"/>
        <w:right w:val="none" w:sz="0" w:space="0" w:color="auto"/>
      </w:divBdr>
    </w:div>
    <w:div w:id="53160641">
      <w:bodyDiv w:val="1"/>
      <w:marLeft w:val="0"/>
      <w:marRight w:val="0"/>
      <w:marTop w:val="0"/>
      <w:marBottom w:val="0"/>
      <w:divBdr>
        <w:top w:val="none" w:sz="0" w:space="0" w:color="auto"/>
        <w:left w:val="none" w:sz="0" w:space="0" w:color="auto"/>
        <w:bottom w:val="none" w:sz="0" w:space="0" w:color="auto"/>
        <w:right w:val="none" w:sz="0" w:space="0" w:color="auto"/>
      </w:divBdr>
    </w:div>
    <w:div w:id="53360459">
      <w:bodyDiv w:val="1"/>
      <w:marLeft w:val="0"/>
      <w:marRight w:val="0"/>
      <w:marTop w:val="0"/>
      <w:marBottom w:val="0"/>
      <w:divBdr>
        <w:top w:val="none" w:sz="0" w:space="0" w:color="auto"/>
        <w:left w:val="none" w:sz="0" w:space="0" w:color="auto"/>
        <w:bottom w:val="none" w:sz="0" w:space="0" w:color="auto"/>
        <w:right w:val="none" w:sz="0" w:space="0" w:color="auto"/>
      </w:divBdr>
    </w:div>
    <w:div w:id="54135056">
      <w:bodyDiv w:val="1"/>
      <w:marLeft w:val="0"/>
      <w:marRight w:val="0"/>
      <w:marTop w:val="0"/>
      <w:marBottom w:val="0"/>
      <w:divBdr>
        <w:top w:val="none" w:sz="0" w:space="0" w:color="auto"/>
        <w:left w:val="none" w:sz="0" w:space="0" w:color="auto"/>
        <w:bottom w:val="none" w:sz="0" w:space="0" w:color="auto"/>
        <w:right w:val="none" w:sz="0" w:space="0" w:color="auto"/>
      </w:divBdr>
    </w:div>
    <w:div w:id="54395576">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4621182">
      <w:bodyDiv w:val="1"/>
      <w:marLeft w:val="0"/>
      <w:marRight w:val="0"/>
      <w:marTop w:val="0"/>
      <w:marBottom w:val="0"/>
      <w:divBdr>
        <w:top w:val="none" w:sz="0" w:space="0" w:color="auto"/>
        <w:left w:val="none" w:sz="0" w:space="0" w:color="auto"/>
        <w:bottom w:val="none" w:sz="0" w:space="0" w:color="auto"/>
        <w:right w:val="none" w:sz="0" w:space="0" w:color="auto"/>
      </w:divBdr>
    </w:div>
    <w:div w:id="54738810">
      <w:bodyDiv w:val="1"/>
      <w:marLeft w:val="0"/>
      <w:marRight w:val="0"/>
      <w:marTop w:val="0"/>
      <w:marBottom w:val="0"/>
      <w:divBdr>
        <w:top w:val="none" w:sz="0" w:space="0" w:color="auto"/>
        <w:left w:val="none" w:sz="0" w:space="0" w:color="auto"/>
        <w:bottom w:val="none" w:sz="0" w:space="0" w:color="auto"/>
        <w:right w:val="none" w:sz="0" w:space="0" w:color="auto"/>
      </w:divBdr>
    </w:div>
    <w:div w:id="54857258">
      <w:bodyDiv w:val="1"/>
      <w:marLeft w:val="0"/>
      <w:marRight w:val="0"/>
      <w:marTop w:val="0"/>
      <w:marBottom w:val="0"/>
      <w:divBdr>
        <w:top w:val="none" w:sz="0" w:space="0" w:color="auto"/>
        <w:left w:val="none" w:sz="0" w:space="0" w:color="auto"/>
        <w:bottom w:val="none" w:sz="0" w:space="0" w:color="auto"/>
        <w:right w:val="none" w:sz="0" w:space="0" w:color="auto"/>
      </w:divBdr>
    </w:div>
    <w:div w:id="55010111">
      <w:bodyDiv w:val="1"/>
      <w:marLeft w:val="0"/>
      <w:marRight w:val="0"/>
      <w:marTop w:val="0"/>
      <w:marBottom w:val="0"/>
      <w:divBdr>
        <w:top w:val="none" w:sz="0" w:space="0" w:color="auto"/>
        <w:left w:val="none" w:sz="0" w:space="0" w:color="auto"/>
        <w:bottom w:val="none" w:sz="0" w:space="0" w:color="auto"/>
        <w:right w:val="none" w:sz="0" w:space="0" w:color="auto"/>
      </w:divBdr>
    </w:div>
    <w:div w:id="55202827">
      <w:bodyDiv w:val="1"/>
      <w:marLeft w:val="0"/>
      <w:marRight w:val="0"/>
      <w:marTop w:val="0"/>
      <w:marBottom w:val="0"/>
      <w:divBdr>
        <w:top w:val="none" w:sz="0" w:space="0" w:color="auto"/>
        <w:left w:val="none" w:sz="0" w:space="0" w:color="auto"/>
        <w:bottom w:val="none" w:sz="0" w:space="0" w:color="auto"/>
        <w:right w:val="none" w:sz="0" w:space="0" w:color="auto"/>
      </w:divBdr>
    </w:div>
    <w:div w:id="55246965">
      <w:bodyDiv w:val="1"/>
      <w:marLeft w:val="0"/>
      <w:marRight w:val="0"/>
      <w:marTop w:val="0"/>
      <w:marBottom w:val="0"/>
      <w:divBdr>
        <w:top w:val="none" w:sz="0" w:space="0" w:color="auto"/>
        <w:left w:val="none" w:sz="0" w:space="0" w:color="auto"/>
        <w:bottom w:val="none" w:sz="0" w:space="0" w:color="auto"/>
        <w:right w:val="none" w:sz="0" w:space="0" w:color="auto"/>
      </w:divBdr>
    </w:div>
    <w:div w:id="55278904">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5402657">
      <w:bodyDiv w:val="1"/>
      <w:marLeft w:val="0"/>
      <w:marRight w:val="0"/>
      <w:marTop w:val="0"/>
      <w:marBottom w:val="0"/>
      <w:divBdr>
        <w:top w:val="none" w:sz="0" w:space="0" w:color="auto"/>
        <w:left w:val="none" w:sz="0" w:space="0" w:color="auto"/>
        <w:bottom w:val="none" w:sz="0" w:space="0" w:color="auto"/>
        <w:right w:val="none" w:sz="0" w:space="0" w:color="auto"/>
      </w:divBdr>
    </w:div>
    <w:div w:id="55671279">
      <w:bodyDiv w:val="1"/>
      <w:marLeft w:val="0"/>
      <w:marRight w:val="0"/>
      <w:marTop w:val="0"/>
      <w:marBottom w:val="0"/>
      <w:divBdr>
        <w:top w:val="none" w:sz="0" w:space="0" w:color="auto"/>
        <w:left w:val="none" w:sz="0" w:space="0" w:color="auto"/>
        <w:bottom w:val="none" w:sz="0" w:space="0" w:color="auto"/>
        <w:right w:val="none" w:sz="0" w:space="0" w:color="auto"/>
      </w:divBdr>
    </w:div>
    <w:div w:id="56249931">
      <w:bodyDiv w:val="1"/>
      <w:marLeft w:val="0"/>
      <w:marRight w:val="0"/>
      <w:marTop w:val="0"/>
      <w:marBottom w:val="0"/>
      <w:divBdr>
        <w:top w:val="none" w:sz="0" w:space="0" w:color="auto"/>
        <w:left w:val="none" w:sz="0" w:space="0" w:color="auto"/>
        <w:bottom w:val="none" w:sz="0" w:space="0" w:color="auto"/>
        <w:right w:val="none" w:sz="0" w:space="0" w:color="auto"/>
      </w:divBdr>
    </w:div>
    <w:div w:id="56588337">
      <w:bodyDiv w:val="1"/>
      <w:marLeft w:val="0"/>
      <w:marRight w:val="0"/>
      <w:marTop w:val="0"/>
      <w:marBottom w:val="0"/>
      <w:divBdr>
        <w:top w:val="none" w:sz="0" w:space="0" w:color="auto"/>
        <w:left w:val="none" w:sz="0" w:space="0" w:color="auto"/>
        <w:bottom w:val="none" w:sz="0" w:space="0" w:color="auto"/>
        <w:right w:val="none" w:sz="0" w:space="0" w:color="auto"/>
      </w:divBdr>
    </w:div>
    <w:div w:id="57166799">
      <w:bodyDiv w:val="1"/>
      <w:marLeft w:val="0"/>
      <w:marRight w:val="0"/>
      <w:marTop w:val="0"/>
      <w:marBottom w:val="0"/>
      <w:divBdr>
        <w:top w:val="none" w:sz="0" w:space="0" w:color="auto"/>
        <w:left w:val="none" w:sz="0" w:space="0" w:color="auto"/>
        <w:bottom w:val="none" w:sz="0" w:space="0" w:color="auto"/>
        <w:right w:val="none" w:sz="0" w:space="0" w:color="auto"/>
      </w:divBdr>
    </w:div>
    <w:div w:id="57289231">
      <w:bodyDiv w:val="1"/>
      <w:marLeft w:val="0"/>
      <w:marRight w:val="0"/>
      <w:marTop w:val="0"/>
      <w:marBottom w:val="0"/>
      <w:divBdr>
        <w:top w:val="none" w:sz="0" w:space="0" w:color="auto"/>
        <w:left w:val="none" w:sz="0" w:space="0" w:color="auto"/>
        <w:bottom w:val="none" w:sz="0" w:space="0" w:color="auto"/>
        <w:right w:val="none" w:sz="0" w:space="0" w:color="auto"/>
      </w:divBdr>
    </w:div>
    <w:div w:id="57361733">
      <w:bodyDiv w:val="1"/>
      <w:marLeft w:val="0"/>
      <w:marRight w:val="0"/>
      <w:marTop w:val="0"/>
      <w:marBottom w:val="0"/>
      <w:divBdr>
        <w:top w:val="none" w:sz="0" w:space="0" w:color="auto"/>
        <w:left w:val="none" w:sz="0" w:space="0" w:color="auto"/>
        <w:bottom w:val="none" w:sz="0" w:space="0" w:color="auto"/>
        <w:right w:val="none" w:sz="0" w:space="0" w:color="auto"/>
      </w:divBdr>
    </w:div>
    <w:div w:id="57633008">
      <w:bodyDiv w:val="1"/>
      <w:marLeft w:val="0"/>
      <w:marRight w:val="0"/>
      <w:marTop w:val="0"/>
      <w:marBottom w:val="0"/>
      <w:divBdr>
        <w:top w:val="none" w:sz="0" w:space="0" w:color="auto"/>
        <w:left w:val="none" w:sz="0" w:space="0" w:color="auto"/>
        <w:bottom w:val="none" w:sz="0" w:space="0" w:color="auto"/>
        <w:right w:val="none" w:sz="0" w:space="0" w:color="auto"/>
      </w:divBdr>
    </w:div>
    <w:div w:id="57678002">
      <w:bodyDiv w:val="1"/>
      <w:marLeft w:val="0"/>
      <w:marRight w:val="0"/>
      <w:marTop w:val="0"/>
      <w:marBottom w:val="0"/>
      <w:divBdr>
        <w:top w:val="none" w:sz="0" w:space="0" w:color="auto"/>
        <w:left w:val="none" w:sz="0" w:space="0" w:color="auto"/>
        <w:bottom w:val="none" w:sz="0" w:space="0" w:color="auto"/>
        <w:right w:val="none" w:sz="0" w:space="0" w:color="auto"/>
      </w:divBdr>
    </w:div>
    <w:div w:id="57830524">
      <w:bodyDiv w:val="1"/>
      <w:marLeft w:val="0"/>
      <w:marRight w:val="0"/>
      <w:marTop w:val="0"/>
      <w:marBottom w:val="0"/>
      <w:divBdr>
        <w:top w:val="none" w:sz="0" w:space="0" w:color="auto"/>
        <w:left w:val="none" w:sz="0" w:space="0" w:color="auto"/>
        <w:bottom w:val="none" w:sz="0" w:space="0" w:color="auto"/>
        <w:right w:val="none" w:sz="0" w:space="0" w:color="auto"/>
      </w:divBdr>
    </w:div>
    <w:div w:id="57947807">
      <w:bodyDiv w:val="1"/>
      <w:marLeft w:val="0"/>
      <w:marRight w:val="0"/>
      <w:marTop w:val="0"/>
      <w:marBottom w:val="0"/>
      <w:divBdr>
        <w:top w:val="none" w:sz="0" w:space="0" w:color="auto"/>
        <w:left w:val="none" w:sz="0" w:space="0" w:color="auto"/>
        <w:bottom w:val="none" w:sz="0" w:space="0" w:color="auto"/>
        <w:right w:val="none" w:sz="0" w:space="0" w:color="auto"/>
      </w:divBdr>
    </w:div>
    <w:div w:id="58141224">
      <w:bodyDiv w:val="1"/>
      <w:marLeft w:val="0"/>
      <w:marRight w:val="0"/>
      <w:marTop w:val="0"/>
      <w:marBottom w:val="0"/>
      <w:divBdr>
        <w:top w:val="none" w:sz="0" w:space="0" w:color="auto"/>
        <w:left w:val="none" w:sz="0" w:space="0" w:color="auto"/>
        <w:bottom w:val="none" w:sz="0" w:space="0" w:color="auto"/>
        <w:right w:val="none" w:sz="0" w:space="0" w:color="auto"/>
      </w:divBdr>
    </w:div>
    <w:div w:id="58333030">
      <w:bodyDiv w:val="1"/>
      <w:marLeft w:val="0"/>
      <w:marRight w:val="0"/>
      <w:marTop w:val="0"/>
      <w:marBottom w:val="0"/>
      <w:divBdr>
        <w:top w:val="none" w:sz="0" w:space="0" w:color="auto"/>
        <w:left w:val="none" w:sz="0" w:space="0" w:color="auto"/>
        <w:bottom w:val="none" w:sz="0" w:space="0" w:color="auto"/>
        <w:right w:val="none" w:sz="0" w:space="0" w:color="auto"/>
      </w:divBdr>
    </w:div>
    <w:div w:id="58405435">
      <w:bodyDiv w:val="1"/>
      <w:marLeft w:val="0"/>
      <w:marRight w:val="0"/>
      <w:marTop w:val="0"/>
      <w:marBottom w:val="0"/>
      <w:divBdr>
        <w:top w:val="none" w:sz="0" w:space="0" w:color="auto"/>
        <w:left w:val="none" w:sz="0" w:space="0" w:color="auto"/>
        <w:bottom w:val="none" w:sz="0" w:space="0" w:color="auto"/>
        <w:right w:val="none" w:sz="0" w:space="0" w:color="auto"/>
      </w:divBdr>
    </w:div>
    <w:div w:id="59137959">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182571">
      <w:bodyDiv w:val="1"/>
      <w:marLeft w:val="0"/>
      <w:marRight w:val="0"/>
      <w:marTop w:val="0"/>
      <w:marBottom w:val="0"/>
      <w:divBdr>
        <w:top w:val="none" w:sz="0" w:space="0" w:color="auto"/>
        <w:left w:val="none" w:sz="0" w:space="0" w:color="auto"/>
        <w:bottom w:val="none" w:sz="0" w:space="0" w:color="auto"/>
        <w:right w:val="none" w:sz="0" w:space="0" w:color="auto"/>
      </w:divBdr>
    </w:div>
    <w:div w:id="59208606">
      <w:bodyDiv w:val="1"/>
      <w:marLeft w:val="0"/>
      <w:marRight w:val="0"/>
      <w:marTop w:val="0"/>
      <w:marBottom w:val="0"/>
      <w:divBdr>
        <w:top w:val="none" w:sz="0" w:space="0" w:color="auto"/>
        <w:left w:val="none" w:sz="0" w:space="0" w:color="auto"/>
        <w:bottom w:val="none" w:sz="0" w:space="0" w:color="auto"/>
        <w:right w:val="none" w:sz="0" w:space="0" w:color="auto"/>
      </w:divBdr>
    </w:div>
    <w:div w:id="59326594">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59407640">
      <w:bodyDiv w:val="1"/>
      <w:marLeft w:val="0"/>
      <w:marRight w:val="0"/>
      <w:marTop w:val="0"/>
      <w:marBottom w:val="0"/>
      <w:divBdr>
        <w:top w:val="none" w:sz="0" w:space="0" w:color="auto"/>
        <w:left w:val="none" w:sz="0" w:space="0" w:color="auto"/>
        <w:bottom w:val="none" w:sz="0" w:space="0" w:color="auto"/>
        <w:right w:val="none" w:sz="0" w:space="0" w:color="auto"/>
      </w:divBdr>
    </w:div>
    <w:div w:id="59712119">
      <w:bodyDiv w:val="1"/>
      <w:marLeft w:val="0"/>
      <w:marRight w:val="0"/>
      <w:marTop w:val="0"/>
      <w:marBottom w:val="0"/>
      <w:divBdr>
        <w:top w:val="none" w:sz="0" w:space="0" w:color="auto"/>
        <w:left w:val="none" w:sz="0" w:space="0" w:color="auto"/>
        <w:bottom w:val="none" w:sz="0" w:space="0" w:color="auto"/>
        <w:right w:val="none" w:sz="0" w:space="0" w:color="auto"/>
      </w:divBdr>
    </w:div>
    <w:div w:id="60098538">
      <w:bodyDiv w:val="1"/>
      <w:marLeft w:val="0"/>
      <w:marRight w:val="0"/>
      <w:marTop w:val="0"/>
      <w:marBottom w:val="0"/>
      <w:divBdr>
        <w:top w:val="none" w:sz="0" w:space="0" w:color="auto"/>
        <w:left w:val="none" w:sz="0" w:space="0" w:color="auto"/>
        <w:bottom w:val="none" w:sz="0" w:space="0" w:color="auto"/>
        <w:right w:val="none" w:sz="0" w:space="0" w:color="auto"/>
      </w:divBdr>
    </w:div>
    <w:div w:id="60256186">
      <w:bodyDiv w:val="1"/>
      <w:marLeft w:val="0"/>
      <w:marRight w:val="0"/>
      <w:marTop w:val="0"/>
      <w:marBottom w:val="0"/>
      <w:divBdr>
        <w:top w:val="none" w:sz="0" w:space="0" w:color="auto"/>
        <w:left w:val="none" w:sz="0" w:space="0" w:color="auto"/>
        <w:bottom w:val="none" w:sz="0" w:space="0" w:color="auto"/>
        <w:right w:val="none" w:sz="0" w:space="0" w:color="auto"/>
      </w:divBdr>
    </w:div>
    <w:div w:id="60373914">
      <w:bodyDiv w:val="1"/>
      <w:marLeft w:val="0"/>
      <w:marRight w:val="0"/>
      <w:marTop w:val="0"/>
      <w:marBottom w:val="0"/>
      <w:divBdr>
        <w:top w:val="none" w:sz="0" w:space="0" w:color="auto"/>
        <w:left w:val="none" w:sz="0" w:space="0" w:color="auto"/>
        <w:bottom w:val="none" w:sz="0" w:space="0" w:color="auto"/>
        <w:right w:val="none" w:sz="0" w:space="0" w:color="auto"/>
      </w:divBdr>
    </w:div>
    <w:div w:id="60443225">
      <w:bodyDiv w:val="1"/>
      <w:marLeft w:val="0"/>
      <w:marRight w:val="0"/>
      <w:marTop w:val="0"/>
      <w:marBottom w:val="0"/>
      <w:divBdr>
        <w:top w:val="none" w:sz="0" w:space="0" w:color="auto"/>
        <w:left w:val="none" w:sz="0" w:space="0" w:color="auto"/>
        <w:bottom w:val="none" w:sz="0" w:space="0" w:color="auto"/>
        <w:right w:val="none" w:sz="0" w:space="0" w:color="auto"/>
      </w:divBdr>
    </w:div>
    <w:div w:id="60447847">
      <w:bodyDiv w:val="1"/>
      <w:marLeft w:val="0"/>
      <w:marRight w:val="0"/>
      <w:marTop w:val="0"/>
      <w:marBottom w:val="0"/>
      <w:divBdr>
        <w:top w:val="none" w:sz="0" w:space="0" w:color="auto"/>
        <w:left w:val="none" w:sz="0" w:space="0" w:color="auto"/>
        <w:bottom w:val="none" w:sz="0" w:space="0" w:color="auto"/>
        <w:right w:val="none" w:sz="0" w:space="0" w:color="auto"/>
      </w:divBdr>
    </w:div>
    <w:div w:id="60712455">
      <w:bodyDiv w:val="1"/>
      <w:marLeft w:val="0"/>
      <w:marRight w:val="0"/>
      <w:marTop w:val="0"/>
      <w:marBottom w:val="0"/>
      <w:divBdr>
        <w:top w:val="none" w:sz="0" w:space="0" w:color="auto"/>
        <w:left w:val="none" w:sz="0" w:space="0" w:color="auto"/>
        <w:bottom w:val="none" w:sz="0" w:space="0" w:color="auto"/>
        <w:right w:val="none" w:sz="0" w:space="0" w:color="auto"/>
      </w:divBdr>
    </w:div>
    <w:div w:id="60837069">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0910555">
      <w:bodyDiv w:val="1"/>
      <w:marLeft w:val="0"/>
      <w:marRight w:val="0"/>
      <w:marTop w:val="0"/>
      <w:marBottom w:val="0"/>
      <w:divBdr>
        <w:top w:val="none" w:sz="0" w:space="0" w:color="auto"/>
        <w:left w:val="none" w:sz="0" w:space="0" w:color="auto"/>
        <w:bottom w:val="none" w:sz="0" w:space="0" w:color="auto"/>
        <w:right w:val="none" w:sz="0" w:space="0" w:color="auto"/>
      </w:divBdr>
    </w:div>
    <w:div w:id="61343289">
      <w:bodyDiv w:val="1"/>
      <w:marLeft w:val="0"/>
      <w:marRight w:val="0"/>
      <w:marTop w:val="0"/>
      <w:marBottom w:val="0"/>
      <w:divBdr>
        <w:top w:val="none" w:sz="0" w:space="0" w:color="auto"/>
        <w:left w:val="none" w:sz="0" w:space="0" w:color="auto"/>
        <w:bottom w:val="none" w:sz="0" w:space="0" w:color="auto"/>
        <w:right w:val="none" w:sz="0" w:space="0" w:color="auto"/>
      </w:divBdr>
    </w:div>
    <w:div w:id="61677864">
      <w:bodyDiv w:val="1"/>
      <w:marLeft w:val="0"/>
      <w:marRight w:val="0"/>
      <w:marTop w:val="0"/>
      <w:marBottom w:val="0"/>
      <w:divBdr>
        <w:top w:val="none" w:sz="0" w:space="0" w:color="auto"/>
        <w:left w:val="none" w:sz="0" w:space="0" w:color="auto"/>
        <w:bottom w:val="none" w:sz="0" w:space="0" w:color="auto"/>
        <w:right w:val="none" w:sz="0" w:space="0" w:color="auto"/>
      </w:divBdr>
    </w:div>
    <w:div w:id="62458112">
      <w:bodyDiv w:val="1"/>
      <w:marLeft w:val="0"/>
      <w:marRight w:val="0"/>
      <w:marTop w:val="0"/>
      <w:marBottom w:val="0"/>
      <w:divBdr>
        <w:top w:val="none" w:sz="0" w:space="0" w:color="auto"/>
        <w:left w:val="none" w:sz="0" w:space="0" w:color="auto"/>
        <w:bottom w:val="none" w:sz="0" w:space="0" w:color="auto"/>
        <w:right w:val="none" w:sz="0" w:space="0" w:color="auto"/>
      </w:divBdr>
    </w:div>
    <w:div w:id="62602377">
      <w:bodyDiv w:val="1"/>
      <w:marLeft w:val="0"/>
      <w:marRight w:val="0"/>
      <w:marTop w:val="0"/>
      <w:marBottom w:val="0"/>
      <w:divBdr>
        <w:top w:val="none" w:sz="0" w:space="0" w:color="auto"/>
        <w:left w:val="none" w:sz="0" w:space="0" w:color="auto"/>
        <w:bottom w:val="none" w:sz="0" w:space="0" w:color="auto"/>
        <w:right w:val="none" w:sz="0" w:space="0" w:color="auto"/>
      </w:divBdr>
    </w:div>
    <w:div w:id="62946294">
      <w:bodyDiv w:val="1"/>
      <w:marLeft w:val="0"/>
      <w:marRight w:val="0"/>
      <w:marTop w:val="0"/>
      <w:marBottom w:val="0"/>
      <w:divBdr>
        <w:top w:val="none" w:sz="0" w:space="0" w:color="auto"/>
        <w:left w:val="none" w:sz="0" w:space="0" w:color="auto"/>
        <w:bottom w:val="none" w:sz="0" w:space="0" w:color="auto"/>
        <w:right w:val="none" w:sz="0" w:space="0" w:color="auto"/>
      </w:divBdr>
    </w:div>
    <w:div w:id="63141544">
      <w:bodyDiv w:val="1"/>
      <w:marLeft w:val="0"/>
      <w:marRight w:val="0"/>
      <w:marTop w:val="0"/>
      <w:marBottom w:val="0"/>
      <w:divBdr>
        <w:top w:val="none" w:sz="0" w:space="0" w:color="auto"/>
        <w:left w:val="none" w:sz="0" w:space="0" w:color="auto"/>
        <w:bottom w:val="none" w:sz="0" w:space="0" w:color="auto"/>
        <w:right w:val="none" w:sz="0" w:space="0" w:color="auto"/>
      </w:divBdr>
    </w:div>
    <w:div w:id="63647060">
      <w:bodyDiv w:val="1"/>
      <w:marLeft w:val="0"/>
      <w:marRight w:val="0"/>
      <w:marTop w:val="0"/>
      <w:marBottom w:val="0"/>
      <w:divBdr>
        <w:top w:val="none" w:sz="0" w:space="0" w:color="auto"/>
        <w:left w:val="none" w:sz="0" w:space="0" w:color="auto"/>
        <w:bottom w:val="none" w:sz="0" w:space="0" w:color="auto"/>
        <w:right w:val="none" w:sz="0" w:space="0" w:color="auto"/>
      </w:divBdr>
    </w:div>
    <w:div w:id="64569918">
      <w:bodyDiv w:val="1"/>
      <w:marLeft w:val="0"/>
      <w:marRight w:val="0"/>
      <w:marTop w:val="0"/>
      <w:marBottom w:val="0"/>
      <w:divBdr>
        <w:top w:val="none" w:sz="0" w:space="0" w:color="auto"/>
        <w:left w:val="none" w:sz="0" w:space="0" w:color="auto"/>
        <w:bottom w:val="none" w:sz="0" w:space="0" w:color="auto"/>
        <w:right w:val="none" w:sz="0" w:space="0" w:color="auto"/>
      </w:divBdr>
    </w:div>
    <w:div w:id="64569960">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65030676">
      <w:bodyDiv w:val="1"/>
      <w:marLeft w:val="0"/>
      <w:marRight w:val="0"/>
      <w:marTop w:val="0"/>
      <w:marBottom w:val="0"/>
      <w:divBdr>
        <w:top w:val="none" w:sz="0" w:space="0" w:color="auto"/>
        <w:left w:val="none" w:sz="0" w:space="0" w:color="auto"/>
        <w:bottom w:val="none" w:sz="0" w:space="0" w:color="auto"/>
        <w:right w:val="none" w:sz="0" w:space="0" w:color="auto"/>
      </w:divBdr>
    </w:div>
    <w:div w:id="65105165">
      <w:bodyDiv w:val="1"/>
      <w:marLeft w:val="0"/>
      <w:marRight w:val="0"/>
      <w:marTop w:val="0"/>
      <w:marBottom w:val="0"/>
      <w:divBdr>
        <w:top w:val="none" w:sz="0" w:space="0" w:color="auto"/>
        <w:left w:val="none" w:sz="0" w:space="0" w:color="auto"/>
        <w:bottom w:val="none" w:sz="0" w:space="0" w:color="auto"/>
        <w:right w:val="none" w:sz="0" w:space="0" w:color="auto"/>
      </w:divBdr>
    </w:div>
    <w:div w:id="66654404">
      <w:bodyDiv w:val="1"/>
      <w:marLeft w:val="0"/>
      <w:marRight w:val="0"/>
      <w:marTop w:val="0"/>
      <w:marBottom w:val="0"/>
      <w:divBdr>
        <w:top w:val="none" w:sz="0" w:space="0" w:color="auto"/>
        <w:left w:val="none" w:sz="0" w:space="0" w:color="auto"/>
        <w:bottom w:val="none" w:sz="0" w:space="0" w:color="auto"/>
        <w:right w:val="none" w:sz="0" w:space="0" w:color="auto"/>
      </w:divBdr>
    </w:div>
    <w:div w:id="67192340">
      <w:bodyDiv w:val="1"/>
      <w:marLeft w:val="0"/>
      <w:marRight w:val="0"/>
      <w:marTop w:val="0"/>
      <w:marBottom w:val="0"/>
      <w:divBdr>
        <w:top w:val="none" w:sz="0" w:space="0" w:color="auto"/>
        <w:left w:val="none" w:sz="0" w:space="0" w:color="auto"/>
        <w:bottom w:val="none" w:sz="0" w:space="0" w:color="auto"/>
        <w:right w:val="none" w:sz="0" w:space="0" w:color="auto"/>
      </w:divBdr>
    </w:div>
    <w:div w:id="67194197">
      <w:bodyDiv w:val="1"/>
      <w:marLeft w:val="0"/>
      <w:marRight w:val="0"/>
      <w:marTop w:val="0"/>
      <w:marBottom w:val="0"/>
      <w:divBdr>
        <w:top w:val="none" w:sz="0" w:space="0" w:color="auto"/>
        <w:left w:val="none" w:sz="0" w:space="0" w:color="auto"/>
        <w:bottom w:val="none" w:sz="0" w:space="0" w:color="auto"/>
        <w:right w:val="none" w:sz="0" w:space="0" w:color="auto"/>
      </w:divBdr>
    </w:div>
    <w:div w:id="67196797">
      <w:bodyDiv w:val="1"/>
      <w:marLeft w:val="0"/>
      <w:marRight w:val="0"/>
      <w:marTop w:val="0"/>
      <w:marBottom w:val="0"/>
      <w:divBdr>
        <w:top w:val="none" w:sz="0" w:space="0" w:color="auto"/>
        <w:left w:val="none" w:sz="0" w:space="0" w:color="auto"/>
        <w:bottom w:val="none" w:sz="0" w:space="0" w:color="auto"/>
        <w:right w:val="none" w:sz="0" w:space="0" w:color="auto"/>
      </w:divBdr>
    </w:div>
    <w:div w:id="67844341">
      <w:bodyDiv w:val="1"/>
      <w:marLeft w:val="0"/>
      <w:marRight w:val="0"/>
      <w:marTop w:val="0"/>
      <w:marBottom w:val="0"/>
      <w:divBdr>
        <w:top w:val="none" w:sz="0" w:space="0" w:color="auto"/>
        <w:left w:val="none" w:sz="0" w:space="0" w:color="auto"/>
        <w:bottom w:val="none" w:sz="0" w:space="0" w:color="auto"/>
        <w:right w:val="none" w:sz="0" w:space="0" w:color="auto"/>
      </w:divBdr>
    </w:div>
    <w:div w:id="67895298">
      <w:bodyDiv w:val="1"/>
      <w:marLeft w:val="0"/>
      <w:marRight w:val="0"/>
      <w:marTop w:val="0"/>
      <w:marBottom w:val="0"/>
      <w:divBdr>
        <w:top w:val="none" w:sz="0" w:space="0" w:color="auto"/>
        <w:left w:val="none" w:sz="0" w:space="0" w:color="auto"/>
        <w:bottom w:val="none" w:sz="0" w:space="0" w:color="auto"/>
        <w:right w:val="none" w:sz="0" w:space="0" w:color="auto"/>
      </w:divBdr>
    </w:div>
    <w:div w:id="68121929">
      <w:bodyDiv w:val="1"/>
      <w:marLeft w:val="0"/>
      <w:marRight w:val="0"/>
      <w:marTop w:val="0"/>
      <w:marBottom w:val="0"/>
      <w:divBdr>
        <w:top w:val="none" w:sz="0" w:space="0" w:color="auto"/>
        <w:left w:val="none" w:sz="0" w:space="0" w:color="auto"/>
        <w:bottom w:val="none" w:sz="0" w:space="0" w:color="auto"/>
        <w:right w:val="none" w:sz="0" w:space="0" w:color="auto"/>
      </w:divBdr>
    </w:div>
    <w:div w:id="68819409">
      <w:bodyDiv w:val="1"/>
      <w:marLeft w:val="0"/>
      <w:marRight w:val="0"/>
      <w:marTop w:val="0"/>
      <w:marBottom w:val="0"/>
      <w:divBdr>
        <w:top w:val="none" w:sz="0" w:space="0" w:color="auto"/>
        <w:left w:val="none" w:sz="0" w:space="0" w:color="auto"/>
        <w:bottom w:val="none" w:sz="0" w:space="0" w:color="auto"/>
        <w:right w:val="none" w:sz="0" w:space="0" w:color="auto"/>
      </w:divBdr>
    </w:div>
    <w:div w:id="68888698">
      <w:bodyDiv w:val="1"/>
      <w:marLeft w:val="0"/>
      <w:marRight w:val="0"/>
      <w:marTop w:val="0"/>
      <w:marBottom w:val="0"/>
      <w:divBdr>
        <w:top w:val="none" w:sz="0" w:space="0" w:color="auto"/>
        <w:left w:val="none" w:sz="0" w:space="0" w:color="auto"/>
        <w:bottom w:val="none" w:sz="0" w:space="0" w:color="auto"/>
        <w:right w:val="none" w:sz="0" w:space="0" w:color="auto"/>
      </w:divBdr>
    </w:div>
    <w:div w:id="68961568">
      <w:bodyDiv w:val="1"/>
      <w:marLeft w:val="0"/>
      <w:marRight w:val="0"/>
      <w:marTop w:val="0"/>
      <w:marBottom w:val="0"/>
      <w:divBdr>
        <w:top w:val="none" w:sz="0" w:space="0" w:color="auto"/>
        <w:left w:val="none" w:sz="0" w:space="0" w:color="auto"/>
        <w:bottom w:val="none" w:sz="0" w:space="0" w:color="auto"/>
        <w:right w:val="none" w:sz="0" w:space="0" w:color="auto"/>
      </w:divBdr>
    </w:div>
    <w:div w:id="69011496">
      <w:bodyDiv w:val="1"/>
      <w:marLeft w:val="0"/>
      <w:marRight w:val="0"/>
      <w:marTop w:val="0"/>
      <w:marBottom w:val="0"/>
      <w:divBdr>
        <w:top w:val="none" w:sz="0" w:space="0" w:color="auto"/>
        <w:left w:val="none" w:sz="0" w:space="0" w:color="auto"/>
        <w:bottom w:val="none" w:sz="0" w:space="0" w:color="auto"/>
        <w:right w:val="none" w:sz="0" w:space="0" w:color="auto"/>
      </w:divBdr>
    </w:div>
    <w:div w:id="69036256">
      <w:bodyDiv w:val="1"/>
      <w:marLeft w:val="0"/>
      <w:marRight w:val="0"/>
      <w:marTop w:val="0"/>
      <w:marBottom w:val="0"/>
      <w:divBdr>
        <w:top w:val="none" w:sz="0" w:space="0" w:color="auto"/>
        <w:left w:val="none" w:sz="0" w:space="0" w:color="auto"/>
        <w:bottom w:val="none" w:sz="0" w:space="0" w:color="auto"/>
        <w:right w:val="none" w:sz="0" w:space="0" w:color="auto"/>
      </w:divBdr>
    </w:div>
    <w:div w:id="69079068">
      <w:bodyDiv w:val="1"/>
      <w:marLeft w:val="0"/>
      <w:marRight w:val="0"/>
      <w:marTop w:val="0"/>
      <w:marBottom w:val="0"/>
      <w:divBdr>
        <w:top w:val="none" w:sz="0" w:space="0" w:color="auto"/>
        <w:left w:val="none" w:sz="0" w:space="0" w:color="auto"/>
        <w:bottom w:val="none" w:sz="0" w:space="0" w:color="auto"/>
        <w:right w:val="none" w:sz="0" w:space="0" w:color="auto"/>
      </w:divBdr>
    </w:div>
    <w:div w:id="69154909">
      <w:bodyDiv w:val="1"/>
      <w:marLeft w:val="0"/>
      <w:marRight w:val="0"/>
      <w:marTop w:val="0"/>
      <w:marBottom w:val="0"/>
      <w:divBdr>
        <w:top w:val="none" w:sz="0" w:space="0" w:color="auto"/>
        <w:left w:val="none" w:sz="0" w:space="0" w:color="auto"/>
        <w:bottom w:val="none" w:sz="0" w:space="0" w:color="auto"/>
        <w:right w:val="none" w:sz="0" w:space="0" w:color="auto"/>
      </w:divBdr>
    </w:div>
    <w:div w:id="69161093">
      <w:bodyDiv w:val="1"/>
      <w:marLeft w:val="0"/>
      <w:marRight w:val="0"/>
      <w:marTop w:val="0"/>
      <w:marBottom w:val="0"/>
      <w:divBdr>
        <w:top w:val="none" w:sz="0" w:space="0" w:color="auto"/>
        <w:left w:val="none" w:sz="0" w:space="0" w:color="auto"/>
        <w:bottom w:val="none" w:sz="0" w:space="0" w:color="auto"/>
        <w:right w:val="none" w:sz="0" w:space="0" w:color="auto"/>
      </w:divBdr>
    </w:div>
    <w:div w:id="69697369">
      <w:bodyDiv w:val="1"/>
      <w:marLeft w:val="0"/>
      <w:marRight w:val="0"/>
      <w:marTop w:val="0"/>
      <w:marBottom w:val="0"/>
      <w:divBdr>
        <w:top w:val="none" w:sz="0" w:space="0" w:color="auto"/>
        <w:left w:val="none" w:sz="0" w:space="0" w:color="auto"/>
        <w:bottom w:val="none" w:sz="0" w:space="0" w:color="auto"/>
        <w:right w:val="none" w:sz="0" w:space="0" w:color="auto"/>
      </w:divBdr>
    </w:div>
    <w:div w:id="69889653">
      <w:bodyDiv w:val="1"/>
      <w:marLeft w:val="0"/>
      <w:marRight w:val="0"/>
      <w:marTop w:val="0"/>
      <w:marBottom w:val="0"/>
      <w:divBdr>
        <w:top w:val="none" w:sz="0" w:space="0" w:color="auto"/>
        <w:left w:val="none" w:sz="0" w:space="0" w:color="auto"/>
        <w:bottom w:val="none" w:sz="0" w:space="0" w:color="auto"/>
        <w:right w:val="none" w:sz="0" w:space="0" w:color="auto"/>
      </w:divBdr>
    </w:div>
    <w:div w:id="70126822">
      <w:bodyDiv w:val="1"/>
      <w:marLeft w:val="0"/>
      <w:marRight w:val="0"/>
      <w:marTop w:val="0"/>
      <w:marBottom w:val="0"/>
      <w:divBdr>
        <w:top w:val="none" w:sz="0" w:space="0" w:color="auto"/>
        <w:left w:val="none" w:sz="0" w:space="0" w:color="auto"/>
        <w:bottom w:val="none" w:sz="0" w:space="0" w:color="auto"/>
        <w:right w:val="none" w:sz="0" w:space="0" w:color="auto"/>
      </w:divBdr>
    </w:div>
    <w:div w:id="70201699">
      <w:bodyDiv w:val="1"/>
      <w:marLeft w:val="0"/>
      <w:marRight w:val="0"/>
      <w:marTop w:val="0"/>
      <w:marBottom w:val="0"/>
      <w:divBdr>
        <w:top w:val="none" w:sz="0" w:space="0" w:color="auto"/>
        <w:left w:val="none" w:sz="0" w:space="0" w:color="auto"/>
        <w:bottom w:val="none" w:sz="0" w:space="0" w:color="auto"/>
        <w:right w:val="none" w:sz="0" w:space="0" w:color="auto"/>
      </w:divBdr>
    </w:div>
    <w:div w:id="70781883">
      <w:bodyDiv w:val="1"/>
      <w:marLeft w:val="0"/>
      <w:marRight w:val="0"/>
      <w:marTop w:val="0"/>
      <w:marBottom w:val="0"/>
      <w:divBdr>
        <w:top w:val="none" w:sz="0" w:space="0" w:color="auto"/>
        <w:left w:val="none" w:sz="0" w:space="0" w:color="auto"/>
        <w:bottom w:val="none" w:sz="0" w:space="0" w:color="auto"/>
        <w:right w:val="none" w:sz="0" w:space="0" w:color="auto"/>
      </w:divBdr>
    </w:div>
    <w:div w:id="70928504">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71657627">
      <w:bodyDiv w:val="1"/>
      <w:marLeft w:val="0"/>
      <w:marRight w:val="0"/>
      <w:marTop w:val="0"/>
      <w:marBottom w:val="0"/>
      <w:divBdr>
        <w:top w:val="none" w:sz="0" w:space="0" w:color="auto"/>
        <w:left w:val="none" w:sz="0" w:space="0" w:color="auto"/>
        <w:bottom w:val="none" w:sz="0" w:space="0" w:color="auto"/>
        <w:right w:val="none" w:sz="0" w:space="0" w:color="auto"/>
      </w:divBdr>
    </w:div>
    <w:div w:id="71702594">
      <w:bodyDiv w:val="1"/>
      <w:marLeft w:val="0"/>
      <w:marRight w:val="0"/>
      <w:marTop w:val="0"/>
      <w:marBottom w:val="0"/>
      <w:divBdr>
        <w:top w:val="none" w:sz="0" w:space="0" w:color="auto"/>
        <w:left w:val="none" w:sz="0" w:space="0" w:color="auto"/>
        <w:bottom w:val="none" w:sz="0" w:space="0" w:color="auto"/>
        <w:right w:val="none" w:sz="0" w:space="0" w:color="auto"/>
      </w:divBdr>
    </w:div>
    <w:div w:id="71894571">
      <w:bodyDiv w:val="1"/>
      <w:marLeft w:val="0"/>
      <w:marRight w:val="0"/>
      <w:marTop w:val="0"/>
      <w:marBottom w:val="0"/>
      <w:divBdr>
        <w:top w:val="none" w:sz="0" w:space="0" w:color="auto"/>
        <w:left w:val="none" w:sz="0" w:space="0" w:color="auto"/>
        <w:bottom w:val="none" w:sz="0" w:space="0" w:color="auto"/>
        <w:right w:val="none" w:sz="0" w:space="0" w:color="auto"/>
      </w:divBdr>
    </w:div>
    <w:div w:id="71897537">
      <w:bodyDiv w:val="1"/>
      <w:marLeft w:val="0"/>
      <w:marRight w:val="0"/>
      <w:marTop w:val="0"/>
      <w:marBottom w:val="0"/>
      <w:divBdr>
        <w:top w:val="none" w:sz="0" w:space="0" w:color="auto"/>
        <w:left w:val="none" w:sz="0" w:space="0" w:color="auto"/>
        <w:bottom w:val="none" w:sz="0" w:space="0" w:color="auto"/>
        <w:right w:val="none" w:sz="0" w:space="0" w:color="auto"/>
      </w:divBdr>
    </w:div>
    <w:div w:id="72314015">
      <w:bodyDiv w:val="1"/>
      <w:marLeft w:val="0"/>
      <w:marRight w:val="0"/>
      <w:marTop w:val="0"/>
      <w:marBottom w:val="0"/>
      <w:divBdr>
        <w:top w:val="none" w:sz="0" w:space="0" w:color="auto"/>
        <w:left w:val="none" w:sz="0" w:space="0" w:color="auto"/>
        <w:bottom w:val="none" w:sz="0" w:space="0" w:color="auto"/>
        <w:right w:val="none" w:sz="0" w:space="0" w:color="auto"/>
      </w:divBdr>
    </w:div>
    <w:div w:id="72553409">
      <w:bodyDiv w:val="1"/>
      <w:marLeft w:val="0"/>
      <w:marRight w:val="0"/>
      <w:marTop w:val="0"/>
      <w:marBottom w:val="0"/>
      <w:divBdr>
        <w:top w:val="none" w:sz="0" w:space="0" w:color="auto"/>
        <w:left w:val="none" w:sz="0" w:space="0" w:color="auto"/>
        <w:bottom w:val="none" w:sz="0" w:space="0" w:color="auto"/>
        <w:right w:val="none" w:sz="0" w:space="0" w:color="auto"/>
      </w:divBdr>
    </w:div>
    <w:div w:id="72700746">
      <w:bodyDiv w:val="1"/>
      <w:marLeft w:val="0"/>
      <w:marRight w:val="0"/>
      <w:marTop w:val="0"/>
      <w:marBottom w:val="0"/>
      <w:divBdr>
        <w:top w:val="none" w:sz="0" w:space="0" w:color="auto"/>
        <w:left w:val="none" w:sz="0" w:space="0" w:color="auto"/>
        <w:bottom w:val="none" w:sz="0" w:space="0" w:color="auto"/>
        <w:right w:val="none" w:sz="0" w:space="0" w:color="auto"/>
      </w:divBdr>
    </w:div>
    <w:div w:id="73552690">
      <w:bodyDiv w:val="1"/>
      <w:marLeft w:val="0"/>
      <w:marRight w:val="0"/>
      <w:marTop w:val="0"/>
      <w:marBottom w:val="0"/>
      <w:divBdr>
        <w:top w:val="none" w:sz="0" w:space="0" w:color="auto"/>
        <w:left w:val="none" w:sz="0" w:space="0" w:color="auto"/>
        <w:bottom w:val="none" w:sz="0" w:space="0" w:color="auto"/>
        <w:right w:val="none" w:sz="0" w:space="0" w:color="auto"/>
      </w:divBdr>
    </w:div>
    <w:div w:id="73745395">
      <w:bodyDiv w:val="1"/>
      <w:marLeft w:val="0"/>
      <w:marRight w:val="0"/>
      <w:marTop w:val="0"/>
      <w:marBottom w:val="0"/>
      <w:divBdr>
        <w:top w:val="none" w:sz="0" w:space="0" w:color="auto"/>
        <w:left w:val="none" w:sz="0" w:space="0" w:color="auto"/>
        <w:bottom w:val="none" w:sz="0" w:space="0" w:color="auto"/>
        <w:right w:val="none" w:sz="0" w:space="0" w:color="auto"/>
      </w:divBdr>
    </w:div>
    <w:div w:id="73868349">
      <w:bodyDiv w:val="1"/>
      <w:marLeft w:val="0"/>
      <w:marRight w:val="0"/>
      <w:marTop w:val="0"/>
      <w:marBottom w:val="0"/>
      <w:divBdr>
        <w:top w:val="none" w:sz="0" w:space="0" w:color="auto"/>
        <w:left w:val="none" w:sz="0" w:space="0" w:color="auto"/>
        <w:bottom w:val="none" w:sz="0" w:space="0" w:color="auto"/>
        <w:right w:val="none" w:sz="0" w:space="0" w:color="auto"/>
      </w:divBdr>
    </w:div>
    <w:div w:id="74012478">
      <w:bodyDiv w:val="1"/>
      <w:marLeft w:val="0"/>
      <w:marRight w:val="0"/>
      <w:marTop w:val="0"/>
      <w:marBottom w:val="0"/>
      <w:divBdr>
        <w:top w:val="none" w:sz="0" w:space="0" w:color="auto"/>
        <w:left w:val="none" w:sz="0" w:space="0" w:color="auto"/>
        <w:bottom w:val="none" w:sz="0" w:space="0" w:color="auto"/>
        <w:right w:val="none" w:sz="0" w:space="0" w:color="auto"/>
      </w:divBdr>
    </w:div>
    <w:div w:id="74055900">
      <w:bodyDiv w:val="1"/>
      <w:marLeft w:val="0"/>
      <w:marRight w:val="0"/>
      <w:marTop w:val="0"/>
      <w:marBottom w:val="0"/>
      <w:divBdr>
        <w:top w:val="none" w:sz="0" w:space="0" w:color="auto"/>
        <w:left w:val="none" w:sz="0" w:space="0" w:color="auto"/>
        <w:bottom w:val="none" w:sz="0" w:space="0" w:color="auto"/>
        <w:right w:val="none" w:sz="0" w:space="0" w:color="auto"/>
      </w:divBdr>
    </w:div>
    <w:div w:id="74790420">
      <w:bodyDiv w:val="1"/>
      <w:marLeft w:val="0"/>
      <w:marRight w:val="0"/>
      <w:marTop w:val="0"/>
      <w:marBottom w:val="0"/>
      <w:divBdr>
        <w:top w:val="none" w:sz="0" w:space="0" w:color="auto"/>
        <w:left w:val="none" w:sz="0" w:space="0" w:color="auto"/>
        <w:bottom w:val="none" w:sz="0" w:space="0" w:color="auto"/>
        <w:right w:val="none" w:sz="0" w:space="0" w:color="auto"/>
      </w:divBdr>
    </w:div>
    <w:div w:id="74859395">
      <w:bodyDiv w:val="1"/>
      <w:marLeft w:val="0"/>
      <w:marRight w:val="0"/>
      <w:marTop w:val="0"/>
      <w:marBottom w:val="0"/>
      <w:divBdr>
        <w:top w:val="none" w:sz="0" w:space="0" w:color="auto"/>
        <w:left w:val="none" w:sz="0" w:space="0" w:color="auto"/>
        <w:bottom w:val="none" w:sz="0" w:space="0" w:color="auto"/>
        <w:right w:val="none" w:sz="0" w:space="0" w:color="auto"/>
      </w:divBdr>
    </w:div>
    <w:div w:id="74863566">
      <w:bodyDiv w:val="1"/>
      <w:marLeft w:val="0"/>
      <w:marRight w:val="0"/>
      <w:marTop w:val="0"/>
      <w:marBottom w:val="0"/>
      <w:divBdr>
        <w:top w:val="none" w:sz="0" w:space="0" w:color="auto"/>
        <w:left w:val="none" w:sz="0" w:space="0" w:color="auto"/>
        <w:bottom w:val="none" w:sz="0" w:space="0" w:color="auto"/>
        <w:right w:val="none" w:sz="0" w:space="0" w:color="auto"/>
      </w:divBdr>
    </w:div>
    <w:div w:id="75640539">
      <w:bodyDiv w:val="1"/>
      <w:marLeft w:val="0"/>
      <w:marRight w:val="0"/>
      <w:marTop w:val="0"/>
      <w:marBottom w:val="0"/>
      <w:divBdr>
        <w:top w:val="none" w:sz="0" w:space="0" w:color="auto"/>
        <w:left w:val="none" w:sz="0" w:space="0" w:color="auto"/>
        <w:bottom w:val="none" w:sz="0" w:space="0" w:color="auto"/>
        <w:right w:val="none" w:sz="0" w:space="0" w:color="auto"/>
      </w:divBdr>
    </w:div>
    <w:div w:id="75983603">
      <w:bodyDiv w:val="1"/>
      <w:marLeft w:val="0"/>
      <w:marRight w:val="0"/>
      <w:marTop w:val="0"/>
      <w:marBottom w:val="0"/>
      <w:divBdr>
        <w:top w:val="none" w:sz="0" w:space="0" w:color="auto"/>
        <w:left w:val="none" w:sz="0" w:space="0" w:color="auto"/>
        <w:bottom w:val="none" w:sz="0" w:space="0" w:color="auto"/>
        <w:right w:val="none" w:sz="0" w:space="0" w:color="auto"/>
      </w:divBdr>
    </w:div>
    <w:div w:id="77020026">
      <w:bodyDiv w:val="1"/>
      <w:marLeft w:val="0"/>
      <w:marRight w:val="0"/>
      <w:marTop w:val="0"/>
      <w:marBottom w:val="0"/>
      <w:divBdr>
        <w:top w:val="none" w:sz="0" w:space="0" w:color="auto"/>
        <w:left w:val="none" w:sz="0" w:space="0" w:color="auto"/>
        <w:bottom w:val="none" w:sz="0" w:space="0" w:color="auto"/>
        <w:right w:val="none" w:sz="0" w:space="0" w:color="auto"/>
      </w:divBdr>
    </w:div>
    <w:div w:id="77093426">
      <w:bodyDiv w:val="1"/>
      <w:marLeft w:val="0"/>
      <w:marRight w:val="0"/>
      <w:marTop w:val="0"/>
      <w:marBottom w:val="0"/>
      <w:divBdr>
        <w:top w:val="none" w:sz="0" w:space="0" w:color="auto"/>
        <w:left w:val="none" w:sz="0" w:space="0" w:color="auto"/>
        <w:bottom w:val="none" w:sz="0" w:space="0" w:color="auto"/>
        <w:right w:val="none" w:sz="0" w:space="0" w:color="auto"/>
      </w:divBdr>
    </w:div>
    <w:div w:id="77141803">
      <w:bodyDiv w:val="1"/>
      <w:marLeft w:val="0"/>
      <w:marRight w:val="0"/>
      <w:marTop w:val="0"/>
      <w:marBottom w:val="0"/>
      <w:divBdr>
        <w:top w:val="none" w:sz="0" w:space="0" w:color="auto"/>
        <w:left w:val="none" w:sz="0" w:space="0" w:color="auto"/>
        <w:bottom w:val="none" w:sz="0" w:space="0" w:color="auto"/>
        <w:right w:val="none" w:sz="0" w:space="0" w:color="auto"/>
      </w:divBdr>
    </w:div>
    <w:div w:id="77219052">
      <w:bodyDiv w:val="1"/>
      <w:marLeft w:val="0"/>
      <w:marRight w:val="0"/>
      <w:marTop w:val="0"/>
      <w:marBottom w:val="0"/>
      <w:divBdr>
        <w:top w:val="none" w:sz="0" w:space="0" w:color="auto"/>
        <w:left w:val="none" w:sz="0" w:space="0" w:color="auto"/>
        <w:bottom w:val="none" w:sz="0" w:space="0" w:color="auto"/>
        <w:right w:val="none" w:sz="0" w:space="0" w:color="auto"/>
      </w:divBdr>
    </w:div>
    <w:div w:id="77292318">
      <w:bodyDiv w:val="1"/>
      <w:marLeft w:val="0"/>
      <w:marRight w:val="0"/>
      <w:marTop w:val="0"/>
      <w:marBottom w:val="0"/>
      <w:divBdr>
        <w:top w:val="none" w:sz="0" w:space="0" w:color="auto"/>
        <w:left w:val="none" w:sz="0" w:space="0" w:color="auto"/>
        <w:bottom w:val="none" w:sz="0" w:space="0" w:color="auto"/>
        <w:right w:val="none" w:sz="0" w:space="0" w:color="auto"/>
      </w:divBdr>
    </w:div>
    <w:div w:id="77334753">
      <w:bodyDiv w:val="1"/>
      <w:marLeft w:val="0"/>
      <w:marRight w:val="0"/>
      <w:marTop w:val="0"/>
      <w:marBottom w:val="0"/>
      <w:divBdr>
        <w:top w:val="none" w:sz="0" w:space="0" w:color="auto"/>
        <w:left w:val="none" w:sz="0" w:space="0" w:color="auto"/>
        <w:bottom w:val="none" w:sz="0" w:space="0" w:color="auto"/>
        <w:right w:val="none" w:sz="0" w:space="0" w:color="auto"/>
      </w:divBdr>
    </w:div>
    <w:div w:id="77750435">
      <w:bodyDiv w:val="1"/>
      <w:marLeft w:val="0"/>
      <w:marRight w:val="0"/>
      <w:marTop w:val="0"/>
      <w:marBottom w:val="0"/>
      <w:divBdr>
        <w:top w:val="none" w:sz="0" w:space="0" w:color="auto"/>
        <w:left w:val="none" w:sz="0" w:space="0" w:color="auto"/>
        <w:bottom w:val="none" w:sz="0" w:space="0" w:color="auto"/>
        <w:right w:val="none" w:sz="0" w:space="0" w:color="auto"/>
      </w:divBdr>
    </w:div>
    <w:div w:id="77867172">
      <w:bodyDiv w:val="1"/>
      <w:marLeft w:val="0"/>
      <w:marRight w:val="0"/>
      <w:marTop w:val="0"/>
      <w:marBottom w:val="0"/>
      <w:divBdr>
        <w:top w:val="none" w:sz="0" w:space="0" w:color="auto"/>
        <w:left w:val="none" w:sz="0" w:space="0" w:color="auto"/>
        <w:bottom w:val="none" w:sz="0" w:space="0" w:color="auto"/>
        <w:right w:val="none" w:sz="0" w:space="0" w:color="auto"/>
      </w:divBdr>
    </w:div>
    <w:div w:id="77993263">
      <w:bodyDiv w:val="1"/>
      <w:marLeft w:val="0"/>
      <w:marRight w:val="0"/>
      <w:marTop w:val="0"/>
      <w:marBottom w:val="0"/>
      <w:divBdr>
        <w:top w:val="none" w:sz="0" w:space="0" w:color="auto"/>
        <w:left w:val="none" w:sz="0" w:space="0" w:color="auto"/>
        <w:bottom w:val="none" w:sz="0" w:space="0" w:color="auto"/>
        <w:right w:val="none" w:sz="0" w:space="0" w:color="auto"/>
      </w:divBdr>
    </w:div>
    <w:div w:id="78019089">
      <w:bodyDiv w:val="1"/>
      <w:marLeft w:val="0"/>
      <w:marRight w:val="0"/>
      <w:marTop w:val="0"/>
      <w:marBottom w:val="0"/>
      <w:divBdr>
        <w:top w:val="none" w:sz="0" w:space="0" w:color="auto"/>
        <w:left w:val="none" w:sz="0" w:space="0" w:color="auto"/>
        <w:bottom w:val="none" w:sz="0" w:space="0" w:color="auto"/>
        <w:right w:val="none" w:sz="0" w:space="0" w:color="auto"/>
      </w:divBdr>
    </w:div>
    <w:div w:id="78255078">
      <w:bodyDiv w:val="1"/>
      <w:marLeft w:val="0"/>
      <w:marRight w:val="0"/>
      <w:marTop w:val="0"/>
      <w:marBottom w:val="0"/>
      <w:divBdr>
        <w:top w:val="none" w:sz="0" w:space="0" w:color="auto"/>
        <w:left w:val="none" w:sz="0" w:space="0" w:color="auto"/>
        <w:bottom w:val="none" w:sz="0" w:space="0" w:color="auto"/>
        <w:right w:val="none" w:sz="0" w:space="0" w:color="auto"/>
      </w:divBdr>
    </w:div>
    <w:div w:id="78336292">
      <w:bodyDiv w:val="1"/>
      <w:marLeft w:val="0"/>
      <w:marRight w:val="0"/>
      <w:marTop w:val="0"/>
      <w:marBottom w:val="0"/>
      <w:divBdr>
        <w:top w:val="none" w:sz="0" w:space="0" w:color="auto"/>
        <w:left w:val="none" w:sz="0" w:space="0" w:color="auto"/>
        <w:bottom w:val="none" w:sz="0" w:space="0" w:color="auto"/>
        <w:right w:val="none" w:sz="0" w:space="0" w:color="auto"/>
      </w:divBdr>
    </w:div>
    <w:div w:id="78412186">
      <w:bodyDiv w:val="1"/>
      <w:marLeft w:val="0"/>
      <w:marRight w:val="0"/>
      <w:marTop w:val="0"/>
      <w:marBottom w:val="0"/>
      <w:divBdr>
        <w:top w:val="none" w:sz="0" w:space="0" w:color="auto"/>
        <w:left w:val="none" w:sz="0" w:space="0" w:color="auto"/>
        <w:bottom w:val="none" w:sz="0" w:space="0" w:color="auto"/>
        <w:right w:val="none" w:sz="0" w:space="0" w:color="auto"/>
      </w:divBdr>
    </w:div>
    <w:div w:id="78528289">
      <w:bodyDiv w:val="1"/>
      <w:marLeft w:val="0"/>
      <w:marRight w:val="0"/>
      <w:marTop w:val="0"/>
      <w:marBottom w:val="0"/>
      <w:divBdr>
        <w:top w:val="none" w:sz="0" w:space="0" w:color="auto"/>
        <w:left w:val="none" w:sz="0" w:space="0" w:color="auto"/>
        <w:bottom w:val="none" w:sz="0" w:space="0" w:color="auto"/>
        <w:right w:val="none" w:sz="0" w:space="0" w:color="auto"/>
      </w:divBdr>
    </w:div>
    <w:div w:id="79329494">
      <w:bodyDiv w:val="1"/>
      <w:marLeft w:val="0"/>
      <w:marRight w:val="0"/>
      <w:marTop w:val="0"/>
      <w:marBottom w:val="0"/>
      <w:divBdr>
        <w:top w:val="none" w:sz="0" w:space="0" w:color="auto"/>
        <w:left w:val="none" w:sz="0" w:space="0" w:color="auto"/>
        <w:bottom w:val="none" w:sz="0" w:space="0" w:color="auto"/>
        <w:right w:val="none" w:sz="0" w:space="0" w:color="auto"/>
      </w:divBdr>
    </w:div>
    <w:div w:id="79376991">
      <w:bodyDiv w:val="1"/>
      <w:marLeft w:val="0"/>
      <w:marRight w:val="0"/>
      <w:marTop w:val="0"/>
      <w:marBottom w:val="0"/>
      <w:divBdr>
        <w:top w:val="none" w:sz="0" w:space="0" w:color="auto"/>
        <w:left w:val="none" w:sz="0" w:space="0" w:color="auto"/>
        <w:bottom w:val="none" w:sz="0" w:space="0" w:color="auto"/>
        <w:right w:val="none" w:sz="0" w:space="0" w:color="auto"/>
      </w:divBdr>
    </w:div>
    <w:div w:id="79451692">
      <w:bodyDiv w:val="1"/>
      <w:marLeft w:val="0"/>
      <w:marRight w:val="0"/>
      <w:marTop w:val="0"/>
      <w:marBottom w:val="0"/>
      <w:divBdr>
        <w:top w:val="none" w:sz="0" w:space="0" w:color="auto"/>
        <w:left w:val="none" w:sz="0" w:space="0" w:color="auto"/>
        <w:bottom w:val="none" w:sz="0" w:space="0" w:color="auto"/>
        <w:right w:val="none" w:sz="0" w:space="0" w:color="auto"/>
      </w:divBdr>
    </w:div>
    <w:div w:id="79718838">
      <w:bodyDiv w:val="1"/>
      <w:marLeft w:val="0"/>
      <w:marRight w:val="0"/>
      <w:marTop w:val="0"/>
      <w:marBottom w:val="0"/>
      <w:divBdr>
        <w:top w:val="none" w:sz="0" w:space="0" w:color="auto"/>
        <w:left w:val="none" w:sz="0" w:space="0" w:color="auto"/>
        <w:bottom w:val="none" w:sz="0" w:space="0" w:color="auto"/>
        <w:right w:val="none" w:sz="0" w:space="0" w:color="auto"/>
      </w:divBdr>
    </w:div>
    <w:div w:id="80025428">
      <w:bodyDiv w:val="1"/>
      <w:marLeft w:val="0"/>
      <w:marRight w:val="0"/>
      <w:marTop w:val="0"/>
      <w:marBottom w:val="0"/>
      <w:divBdr>
        <w:top w:val="none" w:sz="0" w:space="0" w:color="auto"/>
        <w:left w:val="none" w:sz="0" w:space="0" w:color="auto"/>
        <w:bottom w:val="none" w:sz="0" w:space="0" w:color="auto"/>
        <w:right w:val="none" w:sz="0" w:space="0" w:color="auto"/>
      </w:divBdr>
    </w:div>
    <w:div w:id="80178345">
      <w:bodyDiv w:val="1"/>
      <w:marLeft w:val="0"/>
      <w:marRight w:val="0"/>
      <w:marTop w:val="0"/>
      <w:marBottom w:val="0"/>
      <w:divBdr>
        <w:top w:val="none" w:sz="0" w:space="0" w:color="auto"/>
        <w:left w:val="none" w:sz="0" w:space="0" w:color="auto"/>
        <w:bottom w:val="none" w:sz="0" w:space="0" w:color="auto"/>
        <w:right w:val="none" w:sz="0" w:space="0" w:color="auto"/>
      </w:divBdr>
    </w:div>
    <w:div w:id="80378486">
      <w:bodyDiv w:val="1"/>
      <w:marLeft w:val="0"/>
      <w:marRight w:val="0"/>
      <w:marTop w:val="0"/>
      <w:marBottom w:val="0"/>
      <w:divBdr>
        <w:top w:val="none" w:sz="0" w:space="0" w:color="auto"/>
        <w:left w:val="none" w:sz="0" w:space="0" w:color="auto"/>
        <w:bottom w:val="none" w:sz="0" w:space="0" w:color="auto"/>
        <w:right w:val="none" w:sz="0" w:space="0" w:color="auto"/>
      </w:divBdr>
      <w:divsChild>
        <w:div w:id="343097552">
          <w:marLeft w:val="0"/>
          <w:marRight w:val="0"/>
          <w:marTop w:val="0"/>
          <w:marBottom w:val="0"/>
          <w:divBdr>
            <w:top w:val="none" w:sz="0" w:space="0" w:color="auto"/>
            <w:left w:val="none" w:sz="0" w:space="0" w:color="auto"/>
            <w:bottom w:val="none" w:sz="0" w:space="0" w:color="auto"/>
            <w:right w:val="none" w:sz="0" w:space="0" w:color="auto"/>
          </w:divBdr>
        </w:div>
      </w:divsChild>
    </w:div>
    <w:div w:id="80496002">
      <w:bodyDiv w:val="1"/>
      <w:marLeft w:val="0"/>
      <w:marRight w:val="0"/>
      <w:marTop w:val="0"/>
      <w:marBottom w:val="0"/>
      <w:divBdr>
        <w:top w:val="none" w:sz="0" w:space="0" w:color="auto"/>
        <w:left w:val="none" w:sz="0" w:space="0" w:color="auto"/>
        <w:bottom w:val="none" w:sz="0" w:space="0" w:color="auto"/>
        <w:right w:val="none" w:sz="0" w:space="0" w:color="auto"/>
      </w:divBdr>
    </w:div>
    <w:div w:id="80571788">
      <w:bodyDiv w:val="1"/>
      <w:marLeft w:val="0"/>
      <w:marRight w:val="0"/>
      <w:marTop w:val="0"/>
      <w:marBottom w:val="0"/>
      <w:divBdr>
        <w:top w:val="none" w:sz="0" w:space="0" w:color="auto"/>
        <w:left w:val="none" w:sz="0" w:space="0" w:color="auto"/>
        <w:bottom w:val="none" w:sz="0" w:space="0" w:color="auto"/>
        <w:right w:val="none" w:sz="0" w:space="0" w:color="auto"/>
      </w:divBdr>
    </w:div>
    <w:div w:id="80685768">
      <w:bodyDiv w:val="1"/>
      <w:marLeft w:val="0"/>
      <w:marRight w:val="0"/>
      <w:marTop w:val="0"/>
      <w:marBottom w:val="0"/>
      <w:divBdr>
        <w:top w:val="none" w:sz="0" w:space="0" w:color="auto"/>
        <w:left w:val="none" w:sz="0" w:space="0" w:color="auto"/>
        <w:bottom w:val="none" w:sz="0" w:space="0" w:color="auto"/>
        <w:right w:val="none" w:sz="0" w:space="0" w:color="auto"/>
      </w:divBdr>
    </w:div>
    <w:div w:id="80831233">
      <w:bodyDiv w:val="1"/>
      <w:marLeft w:val="0"/>
      <w:marRight w:val="0"/>
      <w:marTop w:val="0"/>
      <w:marBottom w:val="0"/>
      <w:divBdr>
        <w:top w:val="none" w:sz="0" w:space="0" w:color="auto"/>
        <w:left w:val="none" w:sz="0" w:space="0" w:color="auto"/>
        <w:bottom w:val="none" w:sz="0" w:space="0" w:color="auto"/>
        <w:right w:val="none" w:sz="0" w:space="0" w:color="auto"/>
      </w:divBdr>
    </w:div>
    <w:div w:id="80877583">
      <w:bodyDiv w:val="1"/>
      <w:marLeft w:val="0"/>
      <w:marRight w:val="0"/>
      <w:marTop w:val="0"/>
      <w:marBottom w:val="0"/>
      <w:divBdr>
        <w:top w:val="none" w:sz="0" w:space="0" w:color="auto"/>
        <w:left w:val="none" w:sz="0" w:space="0" w:color="auto"/>
        <w:bottom w:val="none" w:sz="0" w:space="0" w:color="auto"/>
        <w:right w:val="none" w:sz="0" w:space="0" w:color="auto"/>
      </w:divBdr>
    </w:div>
    <w:div w:id="81028870">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1218385">
      <w:bodyDiv w:val="1"/>
      <w:marLeft w:val="0"/>
      <w:marRight w:val="0"/>
      <w:marTop w:val="0"/>
      <w:marBottom w:val="0"/>
      <w:divBdr>
        <w:top w:val="none" w:sz="0" w:space="0" w:color="auto"/>
        <w:left w:val="none" w:sz="0" w:space="0" w:color="auto"/>
        <w:bottom w:val="none" w:sz="0" w:space="0" w:color="auto"/>
        <w:right w:val="none" w:sz="0" w:space="0" w:color="auto"/>
      </w:divBdr>
    </w:div>
    <w:div w:id="81420675">
      <w:bodyDiv w:val="1"/>
      <w:marLeft w:val="0"/>
      <w:marRight w:val="0"/>
      <w:marTop w:val="0"/>
      <w:marBottom w:val="0"/>
      <w:divBdr>
        <w:top w:val="none" w:sz="0" w:space="0" w:color="auto"/>
        <w:left w:val="none" w:sz="0" w:space="0" w:color="auto"/>
        <w:bottom w:val="none" w:sz="0" w:space="0" w:color="auto"/>
        <w:right w:val="none" w:sz="0" w:space="0" w:color="auto"/>
      </w:divBdr>
    </w:div>
    <w:div w:id="81531446">
      <w:bodyDiv w:val="1"/>
      <w:marLeft w:val="0"/>
      <w:marRight w:val="0"/>
      <w:marTop w:val="0"/>
      <w:marBottom w:val="0"/>
      <w:divBdr>
        <w:top w:val="none" w:sz="0" w:space="0" w:color="auto"/>
        <w:left w:val="none" w:sz="0" w:space="0" w:color="auto"/>
        <w:bottom w:val="none" w:sz="0" w:space="0" w:color="auto"/>
        <w:right w:val="none" w:sz="0" w:space="0" w:color="auto"/>
      </w:divBdr>
    </w:div>
    <w:div w:id="82341351">
      <w:bodyDiv w:val="1"/>
      <w:marLeft w:val="0"/>
      <w:marRight w:val="0"/>
      <w:marTop w:val="0"/>
      <w:marBottom w:val="0"/>
      <w:divBdr>
        <w:top w:val="none" w:sz="0" w:space="0" w:color="auto"/>
        <w:left w:val="none" w:sz="0" w:space="0" w:color="auto"/>
        <w:bottom w:val="none" w:sz="0" w:space="0" w:color="auto"/>
        <w:right w:val="none" w:sz="0" w:space="0" w:color="auto"/>
      </w:divBdr>
    </w:div>
    <w:div w:id="82579649">
      <w:bodyDiv w:val="1"/>
      <w:marLeft w:val="0"/>
      <w:marRight w:val="0"/>
      <w:marTop w:val="0"/>
      <w:marBottom w:val="0"/>
      <w:divBdr>
        <w:top w:val="none" w:sz="0" w:space="0" w:color="auto"/>
        <w:left w:val="none" w:sz="0" w:space="0" w:color="auto"/>
        <w:bottom w:val="none" w:sz="0" w:space="0" w:color="auto"/>
        <w:right w:val="none" w:sz="0" w:space="0" w:color="auto"/>
      </w:divBdr>
    </w:div>
    <w:div w:id="82651448">
      <w:bodyDiv w:val="1"/>
      <w:marLeft w:val="0"/>
      <w:marRight w:val="0"/>
      <w:marTop w:val="0"/>
      <w:marBottom w:val="0"/>
      <w:divBdr>
        <w:top w:val="none" w:sz="0" w:space="0" w:color="auto"/>
        <w:left w:val="none" w:sz="0" w:space="0" w:color="auto"/>
        <w:bottom w:val="none" w:sz="0" w:space="0" w:color="auto"/>
        <w:right w:val="none" w:sz="0" w:space="0" w:color="auto"/>
      </w:divBdr>
    </w:div>
    <w:div w:id="83231701">
      <w:bodyDiv w:val="1"/>
      <w:marLeft w:val="0"/>
      <w:marRight w:val="0"/>
      <w:marTop w:val="0"/>
      <w:marBottom w:val="0"/>
      <w:divBdr>
        <w:top w:val="none" w:sz="0" w:space="0" w:color="auto"/>
        <w:left w:val="none" w:sz="0" w:space="0" w:color="auto"/>
        <w:bottom w:val="none" w:sz="0" w:space="0" w:color="auto"/>
        <w:right w:val="none" w:sz="0" w:space="0" w:color="auto"/>
      </w:divBdr>
    </w:div>
    <w:div w:id="83302655">
      <w:bodyDiv w:val="1"/>
      <w:marLeft w:val="0"/>
      <w:marRight w:val="0"/>
      <w:marTop w:val="0"/>
      <w:marBottom w:val="0"/>
      <w:divBdr>
        <w:top w:val="none" w:sz="0" w:space="0" w:color="auto"/>
        <w:left w:val="none" w:sz="0" w:space="0" w:color="auto"/>
        <w:bottom w:val="none" w:sz="0" w:space="0" w:color="auto"/>
        <w:right w:val="none" w:sz="0" w:space="0" w:color="auto"/>
      </w:divBdr>
    </w:div>
    <w:div w:id="83386483">
      <w:bodyDiv w:val="1"/>
      <w:marLeft w:val="0"/>
      <w:marRight w:val="0"/>
      <w:marTop w:val="0"/>
      <w:marBottom w:val="0"/>
      <w:divBdr>
        <w:top w:val="none" w:sz="0" w:space="0" w:color="auto"/>
        <w:left w:val="none" w:sz="0" w:space="0" w:color="auto"/>
        <w:bottom w:val="none" w:sz="0" w:space="0" w:color="auto"/>
        <w:right w:val="none" w:sz="0" w:space="0" w:color="auto"/>
      </w:divBdr>
    </w:div>
    <w:div w:id="83452527">
      <w:bodyDiv w:val="1"/>
      <w:marLeft w:val="0"/>
      <w:marRight w:val="0"/>
      <w:marTop w:val="0"/>
      <w:marBottom w:val="0"/>
      <w:divBdr>
        <w:top w:val="none" w:sz="0" w:space="0" w:color="auto"/>
        <w:left w:val="none" w:sz="0" w:space="0" w:color="auto"/>
        <w:bottom w:val="none" w:sz="0" w:space="0" w:color="auto"/>
        <w:right w:val="none" w:sz="0" w:space="0" w:color="auto"/>
      </w:divBdr>
    </w:div>
    <w:div w:id="84352020">
      <w:bodyDiv w:val="1"/>
      <w:marLeft w:val="0"/>
      <w:marRight w:val="0"/>
      <w:marTop w:val="0"/>
      <w:marBottom w:val="0"/>
      <w:divBdr>
        <w:top w:val="none" w:sz="0" w:space="0" w:color="auto"/>
        <w:left w:val="none" w:sz="0" w:space="0" w:color="auto"/>
        <w:bottom w:val="none" w:sz="0" w:space="0" w:color="auto"/>
        <w:right w:val="none" w:sz="0" w:space="0" w:color="auto"/>
      </w:divBdr>
    </w:div>
    <w:div w:id="84764193">
      <w:bodyDiv w:val="1"/>
      <w:marLeft w:val="0"/>
      <w:marRight w:val="0"/>
      <w:marTop w:val="0"/>
      <w:marBottom w:val="0"/>
      <w:divBdr>
        <w:top w:val="none" w:sz="0" w:space="0" w:color="auto"/>
        <w:left w:val="none" w:sz="0" w:space="0" w:color="auto"/>
        <w:bottom w:val="none" w:sz="0" w:space="0" w:color="auto"/>
        <w:right w:val="none" w:sz="0" w:space="0" w:color="auto"/>
      </w:divBdr>
    </w:div>
    <w:div w:id="85081492">
      <w:bodyDiv w:val="1"/>
      <w:marLeft w:val="0"/>
      <w:marRight w:val="0"/>
      <w:marTop w:val="0"/>
      <w:marBottom w:val="0"/>
      <w:divBdr>
        <w:top w:val="none" w:sz="0" w:space="0" w:color="auto"/>
        <w:left w:val="none" w:sz="0" w:space="0" w:color="auto"/>
        <w:bottom w:val="none" w:sz="0" w:space="0" w:color="auto"/>
        <w:right w:val="none" w:sz="0" w:space="0" w:color="auto"/>
      </w:divBdr>
    </w:div>
    <w:div w:id="85224924">
      <w:bodyDiv w:val="1"/>
      <w:marLeft w:val="0"/>
      <w:marRight w:val="0"/>
      <w:marTop w:val="0"/>
      <w:marBottom w:val="0"/>
      <w:divBdr>
        <w:top w:val="none" w:sz="0" w:space="0" w:color="auto"/>
        <w:left w:val="none" w:sz="0" w:space="0" w:color="auto"/>
        <w:bottom w:val="none" w:sz="0" w:space="0" w:color="auto"/>
        <w:right w:val="none" w:sz="0" w:space="0" w:color="auto"/>
      </w:divBdr>
    </w:div>
    <w:div w:id="85276472">
      <w:bodyDiv w:val="1"/>
      <w:marLeft w:val="0"/>
      <w:marRight w:val="0"/>
      <w:marTop w:val="0"/>
      <w:marBottom w:val="0"/>
      <w:divBdr>
        <w:top w:val="none" w:sz="0" w:space="0" w:color="auto"/>
        <w:left w:val="none" w:sz="0" w:space="0" w:color="auto"/>
        <w:bottom w:val="none" w:sz="0" w:space="0" w:color="auto"/>
        <w:right w:val="none" w:sz="0" w:space="0" w:color="auto"/>
      </w:divBdr>
    </w:div>
    <w:div w:id="85612487">
      <w:bodyDiv w:val="1"/>
      <w:marLeft w:val="0"/>
      <w:marRight w:val="0"/>
      <w:marTop w:val="0"/>
      <w:marBottom w:val="0"/>
      <w:divBdr>
        <w:top w:val="none" w:sz="0" w:space="0" w:color="auto"/>
        <w:left w:val="none" w:sz="0" w:space="0" w:color="auto"/>
        <w:bottom w:val="none" w:sz="0" w:space="0" w:color="auto"/>
        <w:right w:val="none" w:sz="0" w:space="0" w:color="auto"/>
      </w:divBdr>
    </w:div>
    <w:div w:id="85810228">
      <w:bodyDiv w:val="1"/>
      <w:marLeft w:val="0"/>
      <w:marRight w:val="0"/>
      <w:marTop w:val="0"/>
      <w:marBottom w:val="0"/>
      <w:divBdr>
        <w:top w:val="none" w:sz="0" w:space="0" w:color="auto"/>
        <w:left w:val="none" w:sz="0" w:space="0" w:color="auto"/>
        <w:bottom w:val="none" w:sz="0" w:space="0" w:color="auto"/>
        <w:right w:val="none" w:sz="0" w:space="0" w:color="auto"/>
      </w:divBdr>
    </w:div>
    <w:div w:id="85852397">
      <w:bodyDiv w:val="1"/>
      <w:marLeft w:val="0"/>
      <w:marRight w:val="0"/>
      <w:marTop w:val="0"/>
      <w:marBottom w:val="0"/>
      <w:divBdr>
        <w:top w:val="none" w:sz="0" w:space="0" w:color="auto"/>
        <w:left w:val="none" w:sz="0" w:space="0" w:color="auto"/>
        <w:bottom w:val="none" w:sz="0" w:space="0" w:color="auto"/>
        <w:right w:val="none" w:sz="0" w:space="0" w:color="auto"/>
      </w:divBdr>
    </w:div>
    <w:div w:id="86119738">
      <w:bodyDiv w:val="1"/>
      <w:marLeft w:val="0"/>
      <w:marRight w:val="0"/>
      <w:marTop w:val="0"/>
      <w:marBottom w:val="0"/>
      <w:divBdr>
        <w:top w:val="none" w:sz="0" w:space="0" w:color="auto"/>
        <w:left w:val="none" w:sz="0" w:space="0" w:color="auto"/>
        <w:bottom w:val="none" w:sz="0" w:space="0" w:color="auto"/>
        <w:right w:val="none" w:sz="0" w:space="0" w:color="auto"/>
      </w:divBdr>
    </w:div>
    <w:div w:id="86196581">
      <w:bodyDiv w:val="1"/>
      <w:marLeft w:val="0"/>
      <w:marRight w:val="0"/>
      <w:marTop w:val="0"/>
      <w:marBottom w:val="0"/>
      <w:divBdr>
        <w:top w:val="none" w:sz="0" w:space="0" w:color="auto"/>
        <w:left w:val="none" w:sz="0" w:space="0" w:color="auto"/>
        <w:bottom w:val="none" w:sz="0" w:space="0" w:color="auto"/>
        <w:right w:val="none" w:sz="0" w:space="0" w:color="auto"/>
      </w:divBdr>
    </w:div>
    <w:div w:id="86313546">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86582446">
      <w:bodyDiv w:val="1"/>
      <w:marLeft w:val="0"/>
      <w:marRight w:val="0"/>
      <w:marTop w:val="0"/>
      <w:marBottom w:val="0"/>
      <w:divBdr>
        <w:top w:val="none" w:sz="0" w:space="0" w:color="auto"/>
        <w:left w:val="none" w:sz="0" w:space="0" w:color="auto"/>
        <w:bottom w:val="none" w:sz="0" w:space="0" w:color="auto"/>
        <w:right w:val="none" w:sz="0" w:space="0" w:color="auto"/>
      </w:divBdr>
    </w:div>
    <w:div w:id="87165867">
      <w:bodyDiv w:val="1"/>
      <w:marLeft w:val="0"/>
      <w:marRight w:val="0"/>
      <w:marTop w:val="0"/>
      <w:marBottom w:val="0"/>
      <w:divBdr>
        <w:top w:val="none" w:sz="0" w:space="0" w:color="auto"/>
        <w:left w:val="none" w:sz="0" w:space="0" w:color="auto"/>
        <w:bottom w:val="none" w:sz="0" w:space="0" w:color="auto"/>
        <w:right w:val="none" w:sz="0" w:space="0" w:color="auto"/>
      </w:divBdr>
    </w:div>
    <w:div w:id="87623148">
      <w:bodyDiv w:val="1"/>
      <w:marLeft w:val="0"/>
      <w:marRight w:val="0"/>
      <w:marTop w:val="0"/>
      <w:marBottom w:val="0"/>
      <w:divBdr>
        <w:top w:val="none" w:sz="0" w:space="0" w:color="auto"/>
        <w:left w:val="none" w:sz="0" w:space="0" w:color="auto"/>
        <w:bottom w:val="none" w:sz="0" w:space="0" w:color="auto"/>
        <w:right w:val="none" w:sz="0" w:space="0" w:color="auto"/>
      </w:divBdr>
    </w:div>
    <w:div w:id="87698938">
      <w:bodyDiv w:val="1"/>
      <w:marLeft w:val="0"/>
      <w:marRight w:val="0"/>
      <w:marTop w:val="0"/>
      <w:marBottom w:val="0"/>
      <w:divBdr>
        <w:top w:val="none" w:sz="0" w:space="0" w:color="auto"/>
        <w:left w:val="none" w:sz="0" w:space="0" w:color="auto"/>
        <w:bottom w:val="none" w:sz="0" w:space="0" w:color="auto"/>
        <w:right w:val="none" w:sz="0" w:space="0" w:color="auto"/>
      </w:divBdr>
    </w:div>
    <w:div w:id="87966102">
      <w:bodyDiv w:val="1"/>
      <w:marLeft w:val="0"/>
      <w:marRight w:val="0"/>
      <w:marTop w:val="0"/>
      <w:marBottom w:val="0"/>
      <w:divBdr>
        <w:top w:val="none" w:sz="0" w:space="0" w:color="auto"/>
        <w:left w:val="none" w:sz="0" w:space="0" w:color="auto"/>
        <w:bottom w:val="none" w:sz="0" w:space="0" w:color="auto"/>
        <w:right w:val="none" w:sz="0" w:space="0" w:color="auto"/>
      </w:divBdr>
    </w:div>
    <w:div w:id="88551622">
      <w:bodyDiv w:val="1"/>
      <w:marLeft w:val="0"/>
      <w:marRight w:val="0"/>
      <w:marTop w:val="0"/>
      <w:marBottom w:val="0"/>
      <w:divBdr>
        <w:top w:val="none" w:sz="0" w:space="0" w:color="auto"/>
        <w:left w:val="none" w:sz="0" w:space="0" w:color="auto"/>
        <w:bottom w:val="none" w:sz="0" w:space="0" w:color="auto"/>
        <w:right w:val="none" w:sz="0" w:space="0" w:color="auto"/>
      </w:divBdr>
    </w:div>
    <w:div w:id="88622955">
      <w:bodyDiv w:val="1"/>
      <w:marLeft w:val="0"/>
      <w:marRight w:val="0"/>
      <w:marTop w:val="0"/>
      <w:marBottom w:val="0"/>
      <w:divBdr>
        <w:top w:val="none" w:sz="0" w:space="0" w:color="auto"/>
        <w:left w:val="none" w:sz="0" w:space="0" w:color="auto"/>
        <w:bottom w:val="none" w:sz="0" w:space="0" w:color="auto"/>
        <w:right w:val="none" w:sz="0" w:space="0" w:color="auto"/>
      </w:divBdr>
    </w:div>
    <w:div w:id="88746160">
      <w:bodyDiv w:val="1"/>
      <w:marLeft w:val="0"/>
      <w:marRight w:val="0"/>
      <w:marTop w:val="0"/>
      <w:marBottom w:val="0"/>
      <w:divBdr>
        <w:top w:val="none" w:sz="0" w:space="0" w:color="auto"/>
        <w:left w:val="none" w:sz="0" w:space="0" w:color="auto"/>
        <w:bottom w:val="none" w:sz="0" w:space="0" w:color="auto"/>
        <w:right w:val="none" w:sz="0" w:space="0" w:color="auto"/>
      </w:divBdr>
    </w:div>
    <w:div w:id="88821613">
      <w:bodyDiv w:val="1"/>
      <w:marLeft w:val="0"/>
      <w:marRight w:val="0"/>
      <w:marTop w:val="0"/>
      <w:marBottom w:val="0"/>
      <w:divBdr>
        <w:top w:val="none" w:sz="0" w:space="0" w:color="auto"/>
        <w:left w:val="none" w:sz="0" w:space="0" w:color="auto"/>
        <w:bottom w:val="none" w:sz="0" w:space="0" w:color="auto"/>
        <w:right w:val="none" w:sz="0" w:space="0" w:color="auto"/>
      </w:divBdr>
    </w:div>
    <w:div w:id="89158320">
      <w:bodyDiv w:val="1"/>
      <w:marLeft w:val="0"/>
      <w:marRight w:val="0"/>
      <w:marTop w:val="0"/>
      <w:marBottom w:val="0"/>
      <w:divBdr>
        <w:top w:val="none" w:sz="0" w:space="0" w:color="auto"/>
        <w:left w:val="none" w:sz="0" w:space="0" w:color="auto"/>
        <w:bottom w:val="none" w:sz="0" w:space="0" w:color="auto"/>
        <w:right w:val="none" w:sz="0" w:space="0" w:color="auto"/>
      </w:divBdr>
    </w:div>
    <w:div w:id="89741731">
      <w:bodyDiv w:val="1"/>
      <w:marLeft w:val="0"/>
      <w:marRight w:val="0"/>
      <w:marTop w:val="0"/>
      <w:marBottom w:val="0"/>
      <w:divBdr>
        <w:top w:val="none" w:sz="0" w:space="0" w:color="auto"/>
        <w:left w:val="none" w:sz="0" w:space="0" w:color="auto"/>
        <w:bottom w:val="none" w:sz="0" w:space="0" w:color="auto"/>
        <w:right w:val="none" w:sz="0" w:space="0" w:color="auto"/>
      </w:divBdr>
    </w:div>
    <w:div w:id="90013566">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90324505">
      <w:bodyDiv w:val="1"/>
      <w:marLeft w:val="0"/>
      <w:marRight w:val="0"/>
      <w:marTop w:val="0"/>
      <w:marBottom w:val="0"/>
      <w:divBdr>
        <w:top w:val="none" w:sz="0" w:space="0" w:color="auto"/>
        <w:left w:val="none" w:sz="0" w:space="0" w:color="auto"/>
        <w:bottom w:val="none" w:sz="0" w:space="0" w:color="auto"/>
        <w:right w:val="none" w:sz="0" w:space="0" w:color="auto"/>
      </w:divBdr>
    </w:div>
    <w:div w:id="90391913">
      <w:bodyDiv w:val="1"/>
      <w:marLeft w:val="0"/>
      <w:marRight w:val="0"/>
      <w:marTop w:val="0"/>
      <w:marBottom w:val="0"/>
      <w:divBdr>
        <w:top w:val="none" w:sz="0" w:space="0" w:color="auto"/>
        <w:left w:val="none" w:sz="0" w:space="0" w:color="auto"/>
        <w:bottom w:val="none" w:sz="0" w:space="0" w:color="auto"/>
        <w:right w:val="none" w:sz="0" w:space="0" w:color="auto"/>
      </w:divBdr>
    </w:div>
    <w:div w:id="90509793">
      <w:bodyDiv w:val="1"/>
      <w:marLeft w:val="0"/>
      <w:marRight w:val="0"/>
      <w:marTop w:val="0"/>
      <w:marBottom w:val="0"/>
      <w:divBdr>
        <w:top w:val="none" w:sz="0" w:space="0" w:color="auto"/>
        <w:left w:val="none" w:sz="0" w:space="0" w:color="auto"/>
        <w:bottom w:val="none" w:sz="0" w:space="0" w:color="auto"/>
        <w:right w:val="none" w:sz="0" w:space="0" w:color="auto"/>
      </w:divBdr>
    </w:div>
    <w:div w:id="90514967">
      <w:bodyDiv w:val="1"/>
      <w:marLeft w:val="0"/>
      <w:marRight w:val="0"/>
      <w:marTop w:val="0"/>
      <w:marBottom w:val="0"/>
      <w:divBdr>
        <w:top w:val="none" w:sz="0" w:space="0" w:color="auto"/>
        <w:left w:val="none" w:sz="0" w:space="0" w:color="auto"/>
        <w:bottom w:val="none" w:sz="0" w:space="0" w:color="auto"/>
        <w:right w:val="none" w:sz="0" w:space="0" w:color="auto"/>
      </w:divBdr>
    </w:div>
    <w:div w:id="90900291">
      <w:bodyDiv w:val="1"/>
      <w:marLeft w:val="0"/>
      <w:marRight w:val="0"/>
      <w:marTop w:val="0"/>
      <w:marBottom w:val="0"/>
      <w:divBdr>
        <w:top w:val="none" w:sz="0" w:space="0" w:color="auto"/>
        <w:left w:val="none" w:sz="0" w:space="0" w:color="auto"/>
        <w:bottom w:val="none" w:sz="0" w:space="0" w:color="auto"/>
        <w:right w:val="none" w:sz="0" w:space="0" w:color="auto"/>
      </w:divBdr>
    </w:div>
    <w:div w:id="91047005">
      <w:bodyDiv w:val="1"/>
      <w:marLeft w:val="0"/>
      <w:marRight w:val="0"/>
      <w:marTop w:val="0"/>
      <w:marBottom w:val="0"/>
      <w:divBdr>
        <w:top w:val="none" w:sz="0" w:space="0" w:color="auto"/>
        <w:left w:val="none" w:sz="0" w:space="0" w:color="auto"/>
        <w:bottom w:val="none" w:sz="0" w:space="0" w:color="auto"/>
        <w:right w:val="none" w:sz="0" w:space="0" w:color="auto"/>
      </w:divBdr>
    </w:div>
    <w:div w:id="91242560">
      <w:bodyDiv w:val="1"/>
      <w:marLeft w:val="0"/>
      <w:marRight w:val="0"/>
      <w:marTop w:val="0"/>
      <w:marBottom w:val="0"/>
      <w:divBdr>
        <w:top w:val="none" w:sz="0" w:space="0" w:color="auto"/>
        <w:left w:val="none" w:sz="0" w:space="0" w:color="auto"/>
        <w:bottom w:val="none" w:sz="0" w:space="0" w:color="auto"/>
        <w:right w:val="none" w:sz="0" w:space="0" w:color="auto"/>
      </w:divBdr>
    </w:div>
    <w:div w:id="91509550">
      <w:bodyDiv w:val="1"/>
      <w:marLeft w:val="0"/>
      <w:marRight w:val="0"/>
      <w:marTop w:val="0"/>
      <w:marBottom w:val="0"/>
      <w:divBdr>
        <w:top w:val="none" w:sz="0" w:space="0" w:color="auto"/>
        <w:left w:val="none" w:sz="0" w:space="0" w:color="auto"/>
        <w:bottom w:val="none" w:sz="0" w:space="0" w:color="auto"/>
        <w:right w:val="none" w:sz="0" w:space="0" w:color="auto"/>
      </w:divBdr>
    </w:div>
    <w:div w:id="91895524">
      <w:bodyDiv w:val="1"/>
      <w:marLeft w:val="0"/>
      <w:marRight w:val="0"/>
      <w:marTop w:val="0"/>
      <w:marBottom w:val="0"/>
      <w:divBdr>
        <w:top w:val="none" w:sz="0" w:space="0" w:color="auto"/>
        <w:left w:val="none" w:sz="0" w:space="0" w:color="auto"/>
        <w:bottom w:val="none" w:sz="0" w:space="0" w:color="auto"/>
        <w:right w:val="none" w:sz="0" w:space="0" w:color="auto"/>
      </w:divBdr>
    </w:div>
    <w:div w:id="91975312">
      <w:bodyDiv w:val="1"/>
      <w:marLeft w:val="0"/>
      <w:marRight w:val="0"/>
      <w:marTop w:val="0"/>
      <w:marBottom w:val="0"/>
      <w:divBdr>
        <w:top w:val="none" w:sz="0" w:space="0" w:color="auto"/>
        <w:left w:val="none" w:sz="0" w:space="0" w:color="auto"/>
        <w:bottom w:val="none" w:sz="0" w:space="0" w:color="auto"/>
        <w:right w:val="none" w:sz="0" w:space="0" w:color="auto"/>
      </w:divBdr>
    </w:div>
    <w:div w:id="92095823">
      <w:bodyDiv w:val="1"/>
      <w:marLeft w:val="0"/>
      <w:marRight w:val="0"/>
      <w:marTop w:val="0"/>
      <w:marBottom w:val="0"/>
      <w:divBdr>
        <w:top w:val="none" w:sz="0" w:space="0" w:color="auto"/>
        <w:left w:val="none" w:sz="0" w:space="0" w:color="auto"/>
        <w:bottom w:val="none" w:sz="0" w:space="0" w:color="auto"/>
        <w:right w:val="none" w:sz="0" w:space="0" w:color="auto"/>
      </w:divBdr>
    </w:div>
    <w:div w:id="92550983">
      <w:bodyDiv w:val="1"/>
      <w:marLeft w:val="0"/>
      <w:marRight w:val="0"/>
      <w:marTop w:val="0"/>
      <w:marBottom w:val="0"/>
      <w:divBdr>
        <w:top w:val="none" w:sz="0" w:space="0" w:color="auto"/>
        <w:left w:val="none" w:sz="0" w:space="0" w:color="auto"/>
        <w:bottom w:val="none" w:sz="0" w:space="0" w:color="auto"/>
        <w:right w:val="none" w:sz="0" w:space="0" w:color="auto"/>
      </w:divBdr>
    </w:div>
    <w:div w:id="93013091">
      <w:bodyDiv w:val="1"/>
      <w:marLeft w:val="0"/>
      <w:marRight w:val="0"/>
      <w:marTop w:val="0"/>
      <w:marBottom w:val="0"/>
      <w:divBdr>
        <w:top w:val="none" w:sz="0" w:space="0" w:color="auto"/>
        <w:left w:val="none" w:sz="0" w:space="0" w:color="auto"/>
        <w:bottom w:val="none" w:sz="0" w:space="0" w:color="auto"/>
        <w:right w:val="none" w:sz="0" w:space="0" w:color="auto"/>
      </w:divBdr>
    </w:div>
    <w:div w:id="93401796">
      <w:bodyDiv w:val="1"/>
      <w:marLeft w:val="0"/>
      <w:marRight w:val="0"/>
      <w:marTop w:val="0"/>
      <w:marBottom w:val="0"/>
      <w:divBdr>
        <w:top w:val="none" w:sz="0" w:space="0" w:color="auto"/>
        <w:left w:val="none" w:sz="0" w:space="0" w:color="auto"/>
        <w:bottom w:val="none" w:sz="0" w:space="0" w:color="auto"/>
        <w:right w:val="none" w:sz="0" w:space="0" w:color="auto"/>
      </w:divBdr>
    </w:div>
    <w:div w:id="93408153">
      <w:bodyDiv w:val="1"/>
      <w:marLeft w:val="0"/>
      <w:marRight w:val="0"/>
      <w:marTop w:val="0"/>
      <w:marBottom w:val="0"/>
      <w:divBdr>
        <w:top w:val="none" w:sz="0" w:space="0" w:color="auto"/>
        <w:left w:val="none" w:sz="0" w:space="0" w:color="auto"/>
        <w:bottom w:val="none" w:sz="0" w:space="0" w:color="auto"/>
        <w:right w:val="none" w:sz="0" w:space="0" w:color="auto"/>
      </w:divBdr>
    </w:div>
    <w:div w:id="93673883">
      <w:bodyDiv w:val="1"/>
      <w:marLeft w:val="0"/>
      <w:marRight w:val="0"/>
      <w:marTop w:val="0"/>
      <w:marBottom w:val="0"/>
      <w:divBdr>
        <w:top w:val="none" w:sz="0" w:space="0" w:color="auto"/>
        <w:left w:val="none" w:sz="0" w:space="0" w:color="auto"/>
        <w:bottom w:val="none" w:sz="0" w:space="0" w:color="auto"/>
        <w:right w:val="none" w:sz="0" w:space="0" w:color="auto"/>
      </w:divBdr>
    </w:div>
    <w:div w:id="94177629">
      <w:bodyDiv w:val="1"/>
      <w:marLeft w:val="0"/>
      <w:marRight w:val="0"/>
      <w:marTop w:val="0"/>
      <w:marBottom w:val="0"/>
      <w:divBdr>
        <w:top w:val="none" w:sz="0" w:space="0" w:color="auto"/>
        <w:left w:val="none" w:sz="0" w:space="0" w:color="auto"/>
        <w:bottom w:val="none" w:sz="0" w:space="0" w:color="auto"/>
        <w:right w:val="none" w:sz="0" w:space="0" w:color="auto"/>
      </w:divBdr>
    </w:div>
    <w:div w:id="94402744">
      <w:bodyDiv w:val="1"/>
      <w:marLeft w:val="0"/>
      <w:marRight w:val="0"/>
      <w:marTop w:val="0"/>
      <w:marBottom w:val="0"/>
      <w:divBdr>
        <w:top w:val="none" w:sz="0" w:space="0" w:color="auto"/>
        <w:left w:val="none" w:sz="0" w:space="0" w:color="auto"/>
        <w:bottom w:val="none" w:sz="0" w:space="0" w:color="auto"/>
        <w:right w:val="none" w:sz="0" w:space="0" w:color="auto"/>
      </w:divBdr>
    </w:div>
    <w:div w:id="94594514">
      <w:bodyDiv w:val="1"/>
      <w:marLeft w:val="0"/>
      <w:marRight w:val="0"/>
      <w:marTop w:val="0"/>
      <w:marBottom w:val="0"/>
      <w:divBdr>
        <w:top w:val="none" w:sz="0" w:space="0" w:color="auto"/>
        <w:left w:val="none" w:sz="0" w:space="0" w:color="auto"/>
        <w:bottom w:val="none" w:sz="0" w:space="0" w:color="auto"/>
        <w:right w:val="none" w:sz="0" w:space="0" w:color="auto"/>
      </w:divBdr>
    </w:div>
    <w:div w:id="95711206">
      <w:bodyDiv w:val="1"/>
      <w:marLeft w:val="0"/>
      <w:marRight w:val="0"/>
      <w:marTop w:val="0"/>
      <w:marBottom w:val="0"/>
      <w:divBdr>
        <w:top w:val="none" w:sz="0" w:space="0" w:color="auto"/>
        <w:left w:val="none" w:sz="0" w:space="0" w:color="auto"/>
        <w:bottom w:val="none" w:sz="0" w:space="0" w:color="auto"/>
        <w:right w:val="none" w:sz="0" w:space="0" w:color="auto"/>
      </w:divBdr>
    </w:div>
    <w:div w:id="96491655">
      <w:bodyDiv w:val="1"/>
      <w:marLeft w:val="0"/>
      <w:marRight w:val="0"/>
      <w:marTop w:val="0"/>
      <w:marBottom w:val="0"/>
      <w:divBdr>
        <w:top w:val="none" w:sz="0" w:space="0" w:color="auto"/>
        <w:left w:val="none" w:sz="0" w:space="0" w:color="auto"/>
        <w:bottom w:val="none" w:sz="0" w:space="0" w:color="auto"/>
        <w:right w:val="none" w:sz="0" w:space="0" w:color="auto"/>
      </w:divBdr>
    </w:div>
    <w:div w:id="96680575">
      <w:bodyDiv w:val="1"/>
      <w:marLeft w:val="0"/>
      <w:marRight w:val="0"/>
      <w:marTop w:val="0"/>
      <w:marBottom w:val="0"/>
      <w:divBdr>
        <w:top w:val="none" w:sz="0" w:space="0" w:color="auto"/>
        <w:left w:val="none" w:sz="0" w:space="0" w:color="auto"/>
        <w:bottom w:val="none" w:sz="0" w:space="0" w:color="auto"/>
        <w:right w:val="none" w:sz="0" w:space="0" w:color="auto"/>
      </w:divBdr>
    </w:div>
    <w:div w:id="96953260">
      <w:bodyDiv w:val="1"/>
      <w:marLeft w:val="0"/>
      <w:marRight w:val="0"/>
      <w:marTop w:val="0"/>
      <w:marBottom w:val="0"/>
      <w:divBdr>
        <w:top w:val="none" w:sz="0" w:space="0" w:color="auto"/>
        <w:left w:val="none" w:sz="0" w:space="0" w:color="auto"/>
        <w:bottom w:val="none" w:sz="0" w:space="0" w:color="auto"/>
        <w:right w:val="none" w:sz="0" w:space="0" w:color="auto"/>
      </w:divBdr>
    </w:div>
    <w:div w:id="96994901">
      <w:bodyDiv w:val="1"/>
      <w:marLeft w:val="0"/>
      <w:marRight w:val="0"/>
      <w:marTop w:val="0"/>
      <w:marBottom w:val="0"/>
      <w:divBdr>
        <w:top w:val="none" w:sz="0" w:space="0" w:color="auto"/>
        <w:left w:val="none" w:sz="0" w:space="0" w:color="auto"/>
        <w:bottom w:val="none" w:sz="0" w:space="0" w:color="auto"/>
        <w:right w:val="none" w:sz="0" w:space="0" w:color="auto"/>
      </w:divBdr>
    </w:div>
    <w:div w:id="97406374">
      <w:bodyDiv w:val="1"/>
      <w:marLeft w:val="0"/>
      <w:marRight w:val="0"/>
      <w:marTop w:val="0"/>
      <w:marBottom w:val="0"/>
      <w:divBdr>
        <w:top w:val="none" w:sz="0" w:space="0" w:color="auto"/>
        <w:left w:val="none" w:sz="0" w:space="0" w:color="auto"/>
        <w:bottom w:val="none" w:sz="0" w:space="0" w:color="auto"/>
        <w:right w:val="none" w:sz="0" w:space="0" w:color="auto"/>
      </w:divBdr>
    </w:div>
    <w:div w:id="97601707">
      <w:bodyDiv w:val="1"/>
      <w:marLeft w:val="0"/>
      <w:marRight w:val="0"/>
      <w:marTop w:val="0"/>
      <w:marBottom w:val="0"/>
      <w:divBdr>
        <w:top w:val="none" w:sz="0" w:space="0" w:color="auto"/>
        <w:left w:val="none" w:sz="0" w:space="0" w:color="auto"/>
        <w:bottom w:val="none" w:sz="0" w:space="0" w:color="auto"/>
        <w:right w:val="none" w:sz="0" w:space="0" w:color="auto"/>
      </w:divBdr>
    </w:div>
    <w:div w:id="98062176">
      <w:bodyDiv w:val="1"/>
      <w:marLeft w:val="0"/>
      <w:marRight w:val="0"/>
      <w:marTop w:val="0"/>
      <w:marBottom w:val="0"/>
      <w:divBdr>
        <w:top w:val="none" w:sz="0" w:space="0" w:color="auto"/>
        <w:left w:val="none" w:sz="0" w:space="0" w:color="auto"/>
        <w:bottom w:val="none" w:sz="0" w:space="0" w:color="auto"/>
        <w:right w:val="none" w:sz="0" w:space="0" w:color="auto"/>
      </w:divBdr>
    </w:div>
    <w:div w:id="98382240">
      <w:bodyDiv w:val="1"/>
      <w:marLeft w:val="0"/>
      <w:marRight w:val="0"/>
      <w:marTop w:val="0"/>
      <w:marBottom w:val="0"/>
      <w:divBdr>
        <w:top w:val="none" w:sz="0" w:space="0" w:color="auto"/>
        <w:left w:val="none" w:sz="0" w:space="0" w:color="auto"/>
        <w:bottom w:val="none" w:sz="0" w:space="0" w:color="auto"/>
        <w:right w:val="none" w:sz="0" w:space="0" w:color="auto"/>
      </w:divBdr>
    </w:div>
    <w:div w:id="98723647">
      <w:bodyDiv w:val="1"/>
      <w:marLeft w:val="0"/>
      <w:marRight w:val="0"/>
      <w:marTop w:val="0"/>
      <w:marBottom w:val="0"/>
      <w:divBdr>
        <w:top w:val="none" w:sz="0" w:space="0" w:color="auto"/>
        <w:left w:val="none" w:sz="0" w:space="0" w:color="auto"/>
        <w:bottom w:val="none" w:sz="0" w:space="0" w:color="auto"/>
        <w:right w:val="none" w:sz="0" w:space="0" w:color="auto"/>
      </w:divBdr>
    </w:div>
    <w:div w:id="99229869">
      <w:bodyDiv w:val="1"/>
      <w:marLeft w:val="0"/>
      <w:marRight w:val="0"/>
      <w:marTop w:val="0"/>
      <w:marBottom w:val="0"/>
      <w:divBdr>
        <w:top w:val="none" w:sz="0" w:space="0" w:color="auto"/>
        <w:left w:val="none" w:sz="0" w:space="0" w:color="auto"/>
        <w:bottom w:val="none" w:sz="0" w:space="0" w:color="auto"/>
        <w:right w:val="none" w:sz="0" w:space="0" w:color="auto"/>
      </w:divBdr>
    </w:div>
    <w:div w:id="99572668">
      <w:bodyDiv w:val="1"/>
      <w:marLeft w:val="0"/>
      <w:marRight w:val="0"/>
      <w:marTop w:val="0"/>
      <w:marBottom w:val="0"/>
      <w:divBdr>
        <w:top w:val="none" w:sz="0" w:space="0" w:color="auto"/>
        <w:left w:val="none" w:sz="0" w:space="0" w:color="auto"/>
        <w:bottom w:val="none" w:sz="0" w:space="0" w:color="auto"/>
        <w:right w:val="none" w:sz="0" w:space="0" w:color="auto"/>
      </w:divBdr>
    </w:div>
    <w:div w:id="99759203">
      <w:bodyDiv w:val="1"/>
      <w:marLeft w:val="0"/>
      <w:marRight w:val="0"/>
      <w:marTop w:val="0"/>
      <w:marBottom w:val="0"/>
      <w:divBdr>
        <w:top w:val="none" w:sz="0" w:space="0" w:color="auto"/>
        <w:left w:val="none" w:sz="0" w:space="0" w:color="auto"/>
        <w:bottom w:val="none" w:sz="0" w:space="0" w:color="auto"/>
        <w:right w:val="none" w:sz="0" w:space="0" w:color="auto"/>
      </w:divBdr>
    </w:div>
    <w:div w:id="99768038">
      <w:bodyDiv w:val="1"/>
      <w:marLeft w:val="0"/>
      <w:marRight w:val="0"/>
      <w:marTop w:val="0"/>
      <w:marBottom w:val="0"/>
      <w:divBdr>
        <w:top w:val="none" w:sz="0" w:space="0" w:color="auto"/>
        <w:left w:val="none" w:sz="0" w:space="0" w:color="auto"/>
        <w:bottom w:val="none" w:sz="0" w:space="0" w:color="auto"/>
        <w:right w:val="none" w:sz="0" w:space="0" w:color="auto"/>
      </w:divBdr>
    </w:div>
    <w:div w:id="99952506">
      <w:bodyDiv w:val="1"/>
      <w:marLeft w:val="0"/>
      <w:marRight w:val="0"/>
      <w:marTop w:val="0"/>
      <w:marBottom w:val="0"/>
      <w:divBdr>
        <w:top w:val="none" w:sz="0" w:space="0" w:color="auto"/>
        <w:left w:val="none" w:sz="0" w:space="0" w:color="auto"/>
        <w:bottom w:val="none" w:sz="0" w:space="0" w:color="auto"/>
        <w:right w:val="none" w:sz="0" w:space="0" w:color="auto"/>
      </w:divBdr>
    </w:div>
    <w:div w:id="100491553">
      <w:bodyDiv w:val="1"/>
      <w:marLeft w:val="0"/>
      <w:marRight w:val="0"/>
      <w:marTop w:val="0"/>
      <w:marBottom w:val="0"/>
      <w:divBdr>
        <w:top w:val="none" w:sz="0" w:space="0" w:color="auto"/>
        <w:left w:val="none" w:sz="0" w:space="0" w:color="auto"/>
        <w:bottom w:val="none" w:sz="0" w:space="0" w:color="auto"/>
        <w:right w:val="none" w:sz="0" w:space="0" w:color="auto"/>
      </w:divBdr>
    </w:div>
    <w:div w:id="100540170">
      <w:bodyDiv w:val="1"/>
      <w:marLeft w:val="0"/>
      <w:marRight w:val="0"/>
      <w:marTop w:val="0"/>
      <w:marBottom w:val="0"/>
      <w:divBdr>
        <w:top w:val="none" w:sz="0" w:space="0" w:color="auto"/>
        <w:left w:val="none" w:sz="0" w:space="0" w:color="auto"/>
        <w:bottom w:val="none" w:sz="0" w:space="0" w:color="auto"/>
        <w:right w:val="none" w:sz="0" w:space="0" w:color="auto"/>
      </w:divBdr>
    </w:div>
    <w:div w:id="100682945">
      <w:bodyDiv w:val="1"/>
      <w:marLeft w:val="0"/>
      <w:marRight w:val="0"/>
      <w:marTop w:val="0"/>
      <w:marBottom w:val="0"/>
      <w:divBdr>
        <w:top w:val="none" w:sz="0" w:space="0" w:color="auto"/>
        <w:left w:val="none" w:sz="0" w:space="0" w:color="auto"/>
        <w:bottom w:val="none" w:sz="0" w:space="0" w:color="auto"/>
        <w:right w:val="none" w:sz="0" w:space="0" w:color="auto"/>
      </w:divBdr>
    </w:div>
    <w:div w:id="100952643">
      <w:bodyDiv w:val="1"/>
      <w:marLeft w:val="0"/>
      <w:marRight w:val="0"/>
      <w:marTop w:val="0"/>
      <w:marBottom w:val="0"/>
      <w:divBdr>
        <w:top w:val="none" w:sz="0" w:space="0" w:color="auto"/>
        <w:left w:val="none" w:sz="0" w:space="0" w:color="auto"/>
        <w:bottom w:val="none" w:sz="0" w:space="0" w:color="auto"/>
        <w:right w:val="none" w:sz="0" w:space="0" w:color="auto"/>
      </w:divBdr>
    </w:div>
    <w:div w:id="101003176">
      <w:bodyDiv w:val="1"/>
      <w:marLeft w:val="0"/>
      <w:marRight w:val="0"/>
      <w:marTop w:val="0"/>
      <w:marBottom w:val="0"/>
      <w:divBdr>
        <w:top w:val="none" w:sz="0" w:space="0" w:color="auto"/>
        <w:left w:val="none" w:sz="0" w:space="0" w:color="auto"/>
        <w:bottom w:val="none" w:sz="0" w:space="0" w:color="auto"/>
        <w:right w:val="none" w:sz="0" w:space="0" w:color="auto"/>
      </w:divBdr>
    </w:div>
    <w:div w:id="101070562">
      <w:bodyDiv w:val="1"/>
      <w:marLeft w:val="0"/>
      <w:marRight w:val="0"/>
      <w:marTop w:val="0"/>
      <w:marBottom w:val="0"/>
      <w:divBdr>
        <w:top w:val="none" w:sz="0" w:space="0" w:color="auto"/>
        <w:left w:val="none" w:sz="0" w:space="0" w:color="auto"/>
        <w:bottom w:val="none" w:sz="0" w:space="0" w:color="auto"/>
        <w:right w:val="none" w:sz="0" w:space="0" w:color="auto"/>
      </w:divBdr>
    </w:div>
    <w:div w:id="101148666">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2268865">
      <w:bodyDiv w:val="1"/>
      <w:marLeft w:val="0"/>
      <w:marRight w:val="0"/>
      <w:marTop w:val="0"/>
      <w:marBottom w:val="0"/>
      <w:divBdr>
        <w:top w:val="none" w:sz="0" w:space="0" w:color="auto"/>
        <w:left w:val="none" w:sz="0" w:space="0" w:color="auto"/>
        <w:bottom w:val="none" w:sz="0" w:space="0" w:color="auto"/>
        <w:right w:val="none" w:sz="0" w:space="0" w:color="auto"/>
      </w:divBdr>
    </w:div>
    <w:div w:id="102383886">
      <w:bodyDiv w:val="1"/>
      <w:marLeft w:val="0"/>
      <w:marRight w:val="0"/>
      <w:marTop w:val="0"/>
      <w:marBottom w:val="0"/>
      <w:divBdr>
        <w:top w:val="none" w:sz="0" w:space="0" w:color="auto"/>
        <w:left w:val="none" w:sz="0" w:space="0" w:color="auto"/>
        <w:bottom w:val="none" w:sz="0" w:space="0" w:color="auto"/>
        <w:right w:val="none" w:sz="0" w:space="0" w:color="auto"/>
      </w:divBdr>
    </w:div>
    <w:div w:id="102892530">
      <w:bodyDiv w:val="1"/>
      <w:marLeft w:val="0"/>
      <w:marRight w:val="0"/>
      <w:marTop w:val="0"/>
      <w:marBottom w:val="0"/>
      <w:divBdr>
        <w:top w:val="none" w:sz="0" w:space="0" w:color="auto"/>
        <w:left w:val="none" w:sz="0" w:space="0" w:color="auto"/>
        <w:bottom w:val="none" w:sz="0" w:space="0" w:color="auto"/>
        <w:right w:val="none" w:sz="0" w:space="0" w:color="auto"/>
      </w:divBdr>
    </w:div>
    <w:div w:id="102963212">
      <w:bodyDiv w:val="1"/>
      <w:marLeft w:val="0"/>
      <w:marRight w:val="0"/>
      <w:marTop w:val="0"/>
      <w:marBottom w:val="0"/>
      <w:divBdr>
        <w:top w:val="none" w:sz="0" w:space="0" w:color="auto"/>
        <w:left w:val="none" w:sz="0" w:space="0" w:color="auto"/>
        <w:bottom w:val="none" w:sz="0" w:space="0" w:color="auto"/>
        <w:right w:val="none" w:sz="0" w:space="0" w:color="auto"/>
      </w:divBdr>
    </w:div>
    <w:div w:id="103228905">
      <w:bodyDiv w:val="1"/>
      <w:marLeft w:val="0"/>
      <w:marRight w:val="0"/>
      <w:marTop w:val="0"/>
      <w:marBottom w:val="0"/>
      <w:divBdr>
        <w:top w:val="none" w:sz="0" w:space="0" w:color="auto"/>
        <w:left w:val="none" w:sz="0" w:space="0" w:color="auto"/>
        <w:bottom w:val="none" w:sz="0" w:space="0" w:color="auto"/>
        <w:right w:val="none" w:sz="0" w:space="0" w:color="auto"/>
      </w:divBdr>
    </w:div>
    <w:div w:id="103578700">
      <w:bodyDiv w:val="1"/>
      <w:marLeft w:val="0"/>
      <w:marRight w:val="0"/>
      <w:marTop w:val="0"/>
      <w:marBottom w:val="0"/>
      <w:divBdr>
        <w:top w:val="none" w:sz="0" w:space="0" w:color="auto"/>
        <w:left w:val="none" w:sz="0" w:space="0" w:color="auto"/>
        <w:bottom w:val="none" w:sz="0" w:space="0" w:color="auto"/>
        <w:right w:val="none" w:sz="0" w:space="0" w:color="auto"/>
      </w:divBdr>
    </w:div>
    <w:div w:id="103693895">
      <w:bodyDiv w:val="1"/>
      <w:marLeft w:val="0"/>
      <w:marRight w:val="0"/>
      <w:marTop w:val="0"/>
      <w:marBottom w:val="0"/>
      <w:divBdr>
        <w:top w:val="none" w:sz="0" w:space="0" w:color="auto"/>
        <w:left w:val="none" w:sz="0" w:space="0" w:color="auto"/>
        <w:bottom w:val="none" w:sz="0" w:space="0" w:color="auto"/>
        <w:right w:val="none" w:sz="0" w:space="0" w:color="auto"/>
      </w:divBdr>
    </w:div>
    <w:div w:id="103815750">
      <w:bodyDiv w:val="1"/>
      <w:marLeft w:val="0"/>
      <w:marRight w:val="0"/>
      <w:marTop w:val="0"/>
      <w:marBottom w:val="0"/>
      <w:divBdr>
        <w:top w:val="none" w:sz="0" w:space="0" w:color="auto"/>
        <w:left w:val="none" w:sz="0" w:space="0" w:color="auto"/>
        <w:bottom w:val="none" w:sz="0" w:space="0" w:color="auto"/>
        <w:right w:val="none" w:sz="0" w:space="0" w:color="auto"/>
      </w:divBdr>
    </w:div>
    <w:div w:id="104735057">
      <w:bodyDiv w:val="1"/>
      <w:marLeft w:val="0"/>
      <w:marRight w:val="0"/>
      <w:marTop w:val="0"/>
      <w:marBottom w:val="0"/>
      <w:divBdr>
        <w:top w:val="none" w:sz="0" w:space="0" w:color="auto"/>
        <w:left w:val="none" w:sz="0" w:space="0" w:color="auto"/>
        <w:bottom w:val="none" w:sz="0" w:space="0" w:color="auto"/>
        <w:right w:val="none" w:sz="0" w:space="0" w:color="auto"/>
      </w:divBdr>
    </w:div>
    <w:div w:id="104886991">
      <w:bodyDiv w:val="1"/>
      <w:marLeft w:val="0"/>
      <w:marRight w:val="0"/>
      <w:marTop w:val="0"/>
      <w:marBottom w:val="0"/>
      <w:divBdr>
        <w:top w:val="none" w:sz="0" w:space="0" w:color="auto"/>
        <w:left w:val="none" w:sz="0" w:space="0" w:color="auto"/>
        <w:bottom w:val="none" w:sz="0" w:space="0" w:color="auto"/>
        <w:right w:val="none" w:sz="0" w:space="0" w:color="auto"/>
      </w:divBdr>
    </w:div>
    <w:div w:id="105203260">
      <w:bodyDiv w:val="1"/>
      <w:marLeft w:val="0"/>
      <w:marRight w:val="0"/>
      <w:marTop w:val="0"/>
      <w:marBottom w:val="0"/>
      <w:divBdr>
        <w:top w:val="none" w:sz="0" w:space="0" w:color="auto"/>
        <w:left w:val="none" w:sz="0" w:space="0" w:color="auto"/>
        <w:bottom w:val="none" w:sz="0" w:space="0" w:color="auto"/>
        <w:right w:val="none" w:sz="0" w:space="0" w:color="auto"/>
      </w:divBdr>
    </w:div>
    <w:div w:id="105388683">
      <w:bodyDiv w:val="1"/>
      <w:marLeft w:val="0"/>
      <w:marRight w:val="0"/>
      <w:marTop w:val="0"/>
      <w:marBottom w:val="0"/>
      <w:divBdr>
        <w:top w:val="none" w:sz="0" w:space="0" w:color="auto"/>
        <w:left w:val="none" w:sz="0" w:space="0" w:color="auto"/>
        <w:bottom w:val="none" w:sz="0" w:space="0" w:color="auto"/>
        <w:right w:val="none" w:sz="0" w:space="0" w:color="auto"/>
      </w:divBdr>
    </w:div>
    <w:div w:id="105395979">
      <w:bodyDiv w:val="1"/>
      <w:marLeft w:val="0"/>
      <w:marRight w:val="0"/>
      <w:marTop w:val="0"/>
      <w:marBottom w:val="0"/>
      <w:divBdr>
        <w:top w:val="none" w:sz="0" w:space="0" w:color="auto"/>
        <w:left w:val="none" w:sz="0" w:space="0" w:color="auto"/>
        <w:bottom w:val="none" w:sz="0" w:space="0" w:color="auto"/>
        <w:right w:val="none" w:sz="0" w:space="0" w:color="auto"/>
      </w:divBdr>
    </w:div>
    <w:div w:id="105463578">
      <w:bodyDiv w:val="1"/>
      <w:marLeft w:val="0"/>
      <w:marRight w:val="0"/>
      <w:marTop w:val="0"/>
      <w:marBottom w:val="0"/>
      <w:divBdr>
        <w:top w:val="none" w:sz="0" w:space="0" w:color="auto"/>
        <w:left w:val="none" w:sz="0" w:space="0" w:color="auto"/>
        <w:bottom w:val="none" w:sz="0" w:space="0" w:color="auto"/>
        <w:right w:val="none" w:sz="0" w:space="0" w:color="auto"/>
      </w:divBdr>
    </w:div>
    <w:div w:id="105661631">
      <w:bodyDiv w:val="1"/>
      <w:marLeft w:val="0"/>
      <w:marRight w:val="0"/>
      <w:marTop w:val="0"/>
      <w:marBottom w:val="0"/>
      <w:divBdr>
        <w:top w:val="none" w:sz="0" w:space="0" w:color="auto"/>
        <w:left w:val="none" w:sz="0" w:space="0" w:color="auto"/>
        <w:bottom w:val="none" w:sz="0" w:space="0" w:color="auto"/>
        <w:right w:val="none" w:sz="0" w:space="0" w:color="auto"/>
      </w:divBdr>
    </w:div>
    <w:div w:id="105925443">
      <w:bodyDiv w:val="1"/>
      <w:marLeft w:val="0"/>
      <w:marRight w:val="0"/>
      <w:marTop w:val="0"/>
      <w:marBottom w:val="0"/>
      <w:divBdr>
        <w:top w:val="none" w:sz="0" w:space="0" w:color="auto"/>
        <w:left w:val="none" w:sz="0" w:space="0" w:color="auto"/>
        <w:bottom w:val="none" w:sz="0" w:space="0" w:color="auto"/>
        <w:right w:val="none" w:sz="0" w:space="0" w:color="auto"/>
      </w:divBdr>
    </w:div>
    <w:div w:id="105973763">
      <w:bodyDiv w:val="1"/>
      <w:marLeft w:val="0"/>
      <w:marRight w:val="0"/>
      <w:marTop w:val="0"/>
      <w:marBottom w:val="0"/>
      <w:divBdr>
        <w:top w:val="none" w:sz="0" w:space="0" w:color="auto"/>
        <w:left w:val="none" w:sz="0" w:space="0" w:color="auto"/>
        <w:bottom w:val="none" w:sz="0" w:space="0" w:color="auto"/>
        <w:right w:val="none" w:sz="0" w:space="0" w:color="auto"/>
      </w:divBdr>
    </w:div>
    <w:div w:id="106200653">
      <w:bodyDiv w:val="1"/>
      <w:marLeft w:val="0"/>
      <w:marRight w:val="0"/>
      <w:marTop w:val="0"/>
      <w:marBottom w:val="0"/>
      <w:divBdr>
        <w:top w:val="none" w:sz="0" w:space="0" w:color="auto"/>
        <w:left w:val="none" w:sz="0" w:space="0" w:color="auto"/>
        <w:bottom w:val="none" w:sz="0" w:space="0" w:color="auto"/>
        <w:right w:val="none" w:sz="0" w:space="0" w:color="auto"/>
      </w:divBdr>
    </w:div>
    <w:div w:id="106657157">
      <w:bodyDiv w:val="1"/>
      <w:marLeft w:val="0"/>
      <w:marRight w:val="0"/>
      <w:marTop w:val="0"/>
      <w:marBottom w:val="0"/>
      <w:divBdr>
        <w:top w:val="none" w:sz="0" w:space="0" w:color="auto"/>
        <w:left w:val="none" w:sz="0" w:space="0" w:color="auto"/>
        <w:bottom w:val="none" w:sz="0" w:space="0" w:color="auto"/>
        <w:right w:val="none" w:sz="0" w:space="0" w:color="auto"/>
      </w:divBdr>
    </w:div>
    <w:div w:id="106973133">
      <w:bodyDiv w:val="1"/>
      <w:marLeft w:val="0"/>
      <w:marRight w:val="0"/>
      <w:marTop w:val="0"/>
      <w:marBottom w:val="0"/>
      <w:divBdr>
        <w:top w:val="none" w:sz="0" w:space="0" w:color="auto"/>
        <w:left w:val="none" w:sz="0" w:space="0" w:color="auto"/>
        <w:bottom w:val="none" w:sz="0" w:space="0" w:color="auto"/>
        <w:right w:val="none" w:sz="0" w:space="0" w:color="auto"/>
      </w:divBdr>
    </w:div>
    <w:div w:id="107354609">
      <w:bodyDiv w:val="1"/>
      <w:marLeft w:val="0"/>
      <w:marRight w:val="0"/>
      <w:marTop w:val="0"/>
      <w:marBottom w:val="0"/>
      <w:divBdr>
        <w:top w:val="none" w:sz="0" w:space="0" w:color="auto"/>
        <w:left w:val="none" w:sz="0" w:space="0" w:color="auto"/>
        <w:bottom w:val="none" w:sz="0" w:space="0" w:color="auto"/>
        <w:right w:val="none" w:sz="0" w:space="0" w:color="auto"/>
      </w:divBdr>
    </w:div>
    <w:div w:id="107359465">
      <w:bodyDiv w:val="1"/>
      <w:marLeft w:val="0"/>
      <w:marRight w:val="0"/>
      <w:marTop w:val="0"/>
      <w:marBottom w:val="0"/>
      <w:divBdr>
        <w:top w:val="none" w:sz="0" w:space="0" w:color="auto"/>
        <w:left w:val="none" w:sz="0" w:space="0" w:color="auto"/>
        <w:bottom w:val="none" w:sz="0" w:space="0" w:color="auto"/>
        <w:right w:val="none" w:sz="0" w:space="0" w:color="auto"/>
      </w:divBdr>
    </w:div>
    <w:div w:id="107622556">
      <w:bodyDiv w:val="1"/>
      <w:marLeft w:val="0"/>
      <w:marRight w:val="0"/>
      <w:marTop w:val="0"/>
      <w:marBottom w:val="0"/>
      <w:divBdr>
        <w:top w:val="none" w:sz="0" w:space="0" w:color="auto"/>
        <w:left w:val="none" w:sz="0" w:space="0" w:color="auto"/>
        <w:bottom w:val="none" w:sz="0" w:space="0" w:color="auto"/>
        <w:right w:val="none" w:sz="0" w:space="0" w:color="auto"/>
      </w:divBdr>
    </w:div>
    <w:div w:id="107744955">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8014307">
      <w:bodyDiv w:val="1"/>
      <w:marLeft w:val="0"/>
      <w:marRight w:val="0"/>
      <w:marTop w:val="0"/>
      <w:marBottom w:val="0"/>
      <w:divBdr>
        <w:top w:val="none" w:sz="0" w:space="0" w:color="auto"/>
        <w:left w:val="none" w:sz="0" w:space="0" w:color="auto"/>
        <w:bottom w:val="none" w:sz="0" w:space="0" w:color="auto"/>
        <w:right w:val="none" w:sz="0" w:space="0" w:color="auto"/>
      </w:divBdr>
    </w:div>
    <w:div w:id="108159734">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132688">
      <w:bodyDiv w:val="1"/>
      <w:marLeft w:val="0"/>
      <w:marRight w:val="0"/>
      <w:marTop w:val="0"/>
      <w:marBottom w:val="0"/>
      <w:divBdr>
        <w:top w:val="none" w:sz="0" w:space="0" w:color="auto"/>
        <w:left w:val="none" w:sz="0" w:space="0" w:color="auto"/>
        <w:bottom w:val="none" w:sz="0" w:space="0" w:color="auto"/>
        <w:right w:val="none" w:sz="0" w:space="0" w:color="auto"/>
      </w:divBdr>
    </w:div>
    <w:div w:id="109399795">
      <w:bodyDiv w:val="1"/>
      <w:marLeft w:val="0"/>
      <w:marRight w:val="0"/>
      <w:marTop w:val="0"/>
      <w:marBottom w:val="0"/>
      <w:divBdr>
        <w:top w:val="none" w:sz="0" w:space="0" w:color="auto"/>
        <w:left w:val="none" w:sz="0" w:space="0" w:color="auto"/>
        <w:bottom w:val="none" w:sz="0" w:space="0" w:color="auto"/>
        <w:right w:val="none" w:sz="0" w:space="0" w:color="auto"/>
      </w:divBdr>
    </w:div>
    <w:div w:id="109471396">
      <w:bodyDiv w:val="1"/>
      <w:marLeft w:val="0"/>
      <w:marRight w:val="0"/>
      <w:marTop w:val="0"/>
      <w:marBottom w:val="0"/>
      <w:divBdr>
        <w:top w:val="none" w:sz="0" w:space="0" w:color="auto"/>
        <w:left w:val="none" w:sz="0" w:space="0" w:color="auto"/>
        <w:bottom w:val="none" w:sz="0" w:space="0" w:color="auto"/>
        <w:right w:val="none" w:sz="0" w:space="0" w:color="auto"/>
      </w:divBdr>
    </w:div>
    <w:div w:id="109595022">
      <w:bodyDiv w:val="1"/>
      <w:marLeft w:val="0"/>
      <w:marRight w:val="0"/>
      <w:marTop w:val="0"/>
      <w:marBottom w:val="0"/>
      <w:divBdr>
        <w:top w:val="none" w:sz="0" w:space="0" w:color="auto"/>
        <w:left w:val="none" w:sz="0" w:space="0" w:color="auto"/>
        <w:bottom w:val="none" w:sz="0" w:space="0" w:color="auto"/>
        <w:right w:val="none" w:sz="0" w:space="0" w:color="auto"/>
      </w:divBdr>
    </w:div>
    <w:div w:id="109667440">
      <w:bodyDiv w:val="1"/>
      <w:marLeft w:val="0"/>
      <w:marRight w:val="0"/>
      <w:marTop w:val="0"/>
      <w:marBottom w:val="0"/>
      <w:divBdr>
        <w:top w:val="none" w:sz="0" w:space="0" w:color="auto"/>
        <w:left w:val="none" w:sz="0" w:space="0" w:color="auto"/>
        <w:bottom w:val="none" w:sz="0" w:space="0" w:color="auto"/>
        <w:right w:val="none" w:sz="0" w:space="0" w:color="auto"/>
      </w:divBdr>
    </w:div>
    <w:div w:id="109787050">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0444915">
      <w:bodyDiv w:val="1"/>
      <w:marLeft w:val="0"/>
      <w:marRight w:val="0"/>
      <w:marTop w:val="0"/>
      <w:marBottom w:val="0"/>
      <w:divBdr>
        <w:top w:val="none" w:sz="0" w:space="0" w:color="auto"/>
        <w:left w:val="none" w:sz="0" w:space="0" w:color="auto"/>
        <w:bottom w:val="none" w:sz="0" w:space="0" w:color="auto"/>
        <w:right w:val="none" w:sz="0" w:space="0" w:color="auto"/>
      </w:divBdr>
    </w:div>
    <w:div w:id="110980690">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1634633">
      <w:bodyDiv w:val="1"/>
      <w:marLeft w:val="0"/>
      <w:marRight w:val="0"/>
      <w:marTop w:val="0"/>
      <w:marBottom w:val="0"/>
      <w:divBdr>
        <w:top w:val="none" w:sz="0" w:space="0" w:color="auto"/>
        <w:left w:val="none" w:sz="0" w:space="0" w:color="auto"/>
        <w:bottom w:val="none" w:sz="0" w:space="0" w:color="auto"/>
        <w:right w:val="none" w:sz="0" w:space="0" w:color="auto"/>
      </w:divBdr>
    </w:div>
    <w:div w:id="111751734">
      <w:bodyDiv w:val="1"/>
      <w:marLeft w:val="0"/>
      <w:marRight w:val="0"/>
      <w:marTop w:val="0"/>
      <w:marBottom w:val="0"/>
      <w:divBdr>
        <w:top w:val="none" w:sz="0" w:space="0" w:color="auto"/>
        <w:left w:val="none" w:sz="0" w:space="0" w:color="auto"/>
        <w:bottom w:val="none" w:sz="0" w:space="0" w:color="auto"/>
        <w:right w:val="none" w:sz="0" w:space="0" w:color="auto"/>
      </w:divBdr>
    </w:div>
    <w:div w:id="111754372">
      <w:bodyDiv w:val="1"/>
      <w:marLeft w:val="0"/>
      <w:marRight w:val="0"/>
      <w:marTop w:val="0"/>
      <w:marBottom w:val="0"/>
      <w:divBdr>
        <w:top w:val="none" w:sz="0" w:space="0" w:color="auto"/>
        <w:left w:val="none" w:sz="0" w:space="0" w:color="auto"/>
        <w:bottom w:val="none" w:sz="0" w:space="0" w:color="auto"/>
        <w:right w:val="none" w:sz="0" w:space="0" w:color="auto"/>
      </w:divBdr>
    </w:div>
    <w:div w:id="112024636">
      <w:bodyDiv w:val="1"/>
      <w:marLeft w:val="0"/>
      <w:marRight w:val="0"/>
      <w:marTop w:val="0"/>
      <w:marBottom w:val="0"/>
      <w:divBdr>
        <w:top w:val="none" w:sz="0" w:space="0" w:color="auto"/>
        <w:left w:val="none" w:sz="0" w:space="0" w:color="auto"/>
        <w:bottom w:val="none" w:sz="0" w:space="0" w:color="auto"/>
        <w:right w:val="none" w:sz="0" w:space="0" w:color="auto"/>
      </w:divBdr>
    </w:div>
    <w:div w:id="112212153">
      <w:bodyDiv w:val="1"/>
      <w:marLeft w:val="0"/>
      <w:marRight w:val="0"/>
      <w:marTop w:val="0"/>
      <w:marBottom w:val="0"/>
      <w:divBdr>
        <w:top w:val="none" w:sz="0" w:space="0" w:color="auto"/>
        <w:left w:val="none" w:sz="0" w:space="0" w:color="auto"/>
        <w:bottom w:val="none" w:sz="0" w:space="0" w:color="auto"/>
        <w:right w:val="none" w:sz="0" w:space="0" w:color="auto"/>
      </w:divBdr>
    </w:div>
    <w:div w:id="112290258">
      <w:bodyDiv w:val="1"/>
      <w:marLeft w:val="0"/>
      <w:marRight w:val="0"/>
      <w:marTop w:val="0"/>
      <w:marBottom w:val="0"/>
      <w:divBdr>
        <w:top w:val="none" w:sz="0" w:space="0" w:color="auto"/>
        <w:left w:val="none" w:sz="0" w:space="0" w:color="auto"/>
        <w:bottom w:val="none" w:sz="0" w:space="0" w:color="auto"/>
        <w:right w:val="none" w:sz="0" w:space="0" w:color="auto"/>
      </w:divBdr>
    </w:div>
    <w:div w:id="112477886">
      <w:bodyDiv w:val="1"/>
      <w:marLeft w:val="0"/>
      <w:marRight w:val="0"/>
      <w:marTop w:val="0"/>
      <w:marBottom w:val="0"/>
      <w:divBdr>
        <w:top w:val="none" w:sz="0" w:space="0" w:color="auto"/>
        <w:left w:val="none" w:sz="0" w:space="0" w:color="auto"/>
        <w:bottom w:val="none" w:sz="0" w:space="0" w:color="auto"/>
        <w:right w:val="none" w:sz="0" w:space="0" w:color="auto"/>
      </w:divBdr>
    </w:div>
    <w:div w:id="112675772">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3715892">
      <w:bodyDiv w:val="1"/>
      <w:marLeft w:val="0"/>
      <w:marRight w:val="0"/>
      <w:marTop w:val="0"/>
      <w:marBottom w:val="0"/>
      <w:divBdr>
        <w:top w:val="none" w:sz="0" w:space="0" w:color="auto"/>
        <w:left w:val="none" w:sz="0" w:space="0" w:color="auto"/>
        <w:bottom w:val="none" w:sz="0" w:space="0" w:color="auto"/>
        <w:right w:val="none" w:sz="0" w:space="0" w:color="auto"/>
      </w:divBdr>
    </w:div>
    <w:div w:id="114056634">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4298034">
      <w:bodyDiv w:val="1"/>
      <w:marLeft w:val="0"/>
      <w:marRight w:val="0"/>
      <w:marTop w:val="0"/>
      <w:marBottom w:val="0"/>
      <w:divBdr>
        <w:top w:val="none" w:sz="0" w:space="0" w:color="auto"/>
        <w:left w:val="none" w:sz="0" w:space="0" w:color="auto"/>
        <w:bottom w:val="none" w:sz="0" w:space="0" w:color="auto"/>
        <w:right w:val="none" w:sz="0" w:space="0" w:color="auto"/>
      </w:divBdr>
    </w:div>
    <w:div w:id="114639187">
      <w:bodyDiv w:val="1"/>
      <w:marLeft w:val="0"/>
      <w:marRight w:val="0"/>
      <w:marTop w:val="0"/>
      <w:marBottom w:val="0"/>
      <w:divBdr>
        <w:top w:val="none" w:sz="0" w:space="0" w:color="auto"/>
        <w:left w:val="none" w:sz="0" w:space="0" w:color="auto"/>
        <w:bottom w:val="none" w:sz="0" w:space="0" w:color="auto"/>
        <w:right w:val="none" w:sz="0" w:space="0" w:color="auto"/>
      </w:divBdr>
    </w:div>
    <w:div w:id="114907892">
      <w:bodyDiv w:val="1"/>
      <w:marLeft w:val="0"/>
      <w:marRight w:val="0"/>
      <w:marTop w:val="0"/>
      <w:marBottom w:val="0"/>
      <w:divBdr>
        <w:top w:val="none" w:sz="0" w:space="0" w:color="auto"/>
        <w:left w:val="none" w:sz="0" w:space="0" w:color="auto"/>
        <w:bottom w:val="none" w:sz="0" w:space="0" w:color="auto"/>
        <w:right w:val="none" w:sz="0" w:space="0" w:color="auto"/>
      </w:divBdr>
    </w:div>
    <w:div w:id="115028877">
      <w:bodyDiv w:val="1"/>
      <w:marLeft w:val="0"/>
      <w:marRight w:val="0"/>
      <w:marTop w:val="0"/>
      <w:marBottom w:val="0"/>
      <w:divBdr>
        <w:top w:val="none" w:sz="0" w:space="0" w:color="auto"/>
        <w:left w:val="none" w:sz="0" w:space="0" w:color="auto"/>
        <w:bottom w:val="none" w:sz="0" w:space="0" w:color="auto"/>
        <w:right w:val="none" w:sz="0" w:space="0" w:color="auto"/>
      </w:divBdr>
    </w:div>
    <w:div w:id="115831765">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5881405">
      <w:bodyDiv w:val="1"/>
      <w:marLeft w:val="0"/>
      <w:marRight w:val="0"/>
      <w:marTop w:val="0"/>
      <w:marBottom w:val="0"/>
      <w:divBdr>
        <w:top w:val="none" w:sz="0" w:space="0" w:color="auto"/>
        <w:left w:val="none" w:sz="0" w:space="0" w:color="auto"/>
        <w:bottom w:val="none" w:sz="0" w:space="0" w:color="auto"/>
        <w:right w:val="none" w:sz="0" w:space="0" w:color="auto"/>
      </w:divBdr>
    </w:div>
    <w:div w:id="116292069">
      <w:bodyDiv w:val="1"/>
      <w:marLeft w:val="0"/>
      <w:marRight w:val="0"/>
      <w:marTop w:val="0"/>
      <w:marBottom w:val="0"/>
      <w:divBdr>
        <w:top w:val="none" w:sz="0" w:space="0" w:color="auto"/>
        <w:left w:val="none" w:sz="0" w:space="0" w:color="auto"/>
        <w:bottom w:val="none" w:sz="0" w:space="0" w:color="auto"/>
        <w:right w:val="none" w:sz="0" w:space="0" w:color="auto"/>
      </w:divBdr>
    </w:div>
    <w:div w:id="116605133">
      <w:bodyDiv w:val="1"/>
      <w:marLeft w:val="0"/>
      <w:marRight w:val="0"/>
      <w:marTop w:val="0"/>
      <w:marBottom w:val="0"/>
      <w:divBdr>
        <w:top w:val="none" w:sz="0" w:space="0" w:color="auto"/>
        <w:left w:val="none" w:sz="0" w:space="0" w:color="auto"/>
        <w:bottom w:val="none" w:sz="0" w:space="0" w:color="auto"/>
        <w:right w:val="none" w:sz="0" w:space="0" w:color="auto"/>
      </w:divBdr>
    </w:div>
    <w:div w:id="117141200">
      <w:bodyDiv w:val="1"/>
      <w:marLeft w:val="0"/>
      <w:marRight w:val="0"/>
      <w:marTop w:val="0"/>
      <w:marBottom w:val="0"/>
      <w:divBdr>
        <w:top w:val="none" w:sz="0" w:space="0" w:color="auto"/>
        <w:left w:val="none" w:sz="0" w:space="0" w:color="auto"/>
        <w:bottom w:val="none" w:sz="0" w:space="0" w:color="auto"/>
        <w:right w:val="none" w:sz="0" w:space="0" w:color="auto"/>
      </w:divBdr>
    </w:div>
    <w:div w:id="117535906">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18183822">
      <w:bodyDiv w:val="1"/>
      <w:marLeft w:val="0"/>
      <w:marRight w:val="0"/>
      <w:marTop w:val="0"/>
      <w:marBottom w:val="0"/>
      <w:divBdr>
        <w:top w:val="none" w:sz="0" w:space="0" w:color="auto"/>
        <w:left w:val="none" w:sz="0" w:space="0" w:color="auto"/>
        <w:bottom w:val="none" w:sz="0" w:space="0" w:color="auto"/>
        <w:right w:val="none" w:sz="0" w:space="0" w:color="auto"/>
      </w:divBdr>
    </w:div>
    <w:div w:id="118767505">
      <w:bodyDiv w:val="1"/>
      <w:marLeft w:val="0"/>
      <w:marRight w:val="0"/>
      <w:marTop w:val="0"/>
      <w:marBottom w:val="0"/>
      <w:divBdr>
        <w:top w:val="none" w:sz="0" w:space="0" w:color="auto"/>
        <w:left w:val="none" w:sz="0" w:space="0" w:color="auto"/>
        <w:bottom w:val="none" w:sz="0" w:space="0" w:color="auto"/>
        <w:right w:val="none" w:sz="0" w:space="0" w:color="auto"/>
      </w:divBdr>
    </w:div>
    <w:div w:id="118959397">
      <w:bodyDiv w:val="1"/>
      <w:marLeft w:val="0"/>
      <w:marRight w:val="0"/>
      <w:marTop w:val="0"/>
      <w:marBottom w:val="0"/>
      <w:divBdr>
        <w:top w:val="none" w:sz="0" w:space="0" w:color="auto"/>
        <w:left w:val="none" w:sz="0" w:space="0" w:color="auto"/>
        <w:bottom w:val="none" w:sz="0" w:space="0" w:color="auto"/>
        <w:right w:val="none" w:sz="0" w:space="0" w:color="auto"/>
      </w:divBdr>
    </w:div>
    <w:div w:id="119542176">
      <w:bodyDiv w:val="1"/>
      <w:marLeft w:val="0"/>
      <w:marRight w:val="0"/>
      <w:marTop w:val="0"/>
      <w:marBottom w:val="0"/>
      <w:divBdr>
        <w:top w:val="none" w:sz="0" w:space="0" w:color="auto"/>
        <w:left w:val="none" w:sz="0" w:space="0" w:color="auto"/>
        <w:bottom w:val="none" w:sz="0" w:space="0" w:color="auto"/>
        <w:right w:val="none" w:sz="0" w:space="0" w:color="auto"/>
      </w:divBdr>
    </w:div>
    <w:div w:id="119765458">
      <w:bodyDiv w:val="1"/>
      <w:marLeft w:val="0"/>
      <w:marRight w:val="0"/>
      <w:marTop w:val="0"/>
      <w:marBottom w:val="0"/>
      <w:divBdr>
        <w:top w:val="none" w:sz="0" w:space="0" w:color="auto"/>
        <w:left w:val="none" w:sz="0" w:space="0" w:color="auto"/>
        <w:bottom w:val="none" w:sz="0" w:space="0" w:color="auto"/>
        <w:right w:val="none" w:sz="0" w:space="0" w:color="auto"/>
      </w:divBdr>
    </w:div>
    <w:div w:id="119959566">
      <w:bodyDiv w:val="1"/>
      <w:marLeft w:val="0"/>
      <w:marRight w:val="0"/>
      <w:marTop w:val="0"/>
      <w:marBottom w:val="0"/>
      <w:divBdr>
        <w:top w:val="none" w:sz="0" w:space="0" w:color="auto"/>
        <w:left w:val="none" w:sz="0" w:space="0" w:color="auto"/>
        <w:bottom w:val="none" w:sz="0" w:space="0" w:color="auto"/>
        <w:right w:val="none" w:sz="0" w:space="0" w:color="auto"/>
      </w:divBdr>
    </w:div>
    <w:div w:id="119961612">
      <w:bodyDiv w:val="1"/>
      <w:marLeft w:val="0"/>
      <w:marRight w:val="0"/>
      <w:marTop w:val="0"/>
      <w:marBottom w:val="0"/>
      <w:divBdr>
        <w:top w:val="none" w:sz="0" w:space="0" w:color="auto"/>
        <w:left w:val="none" w:sz="0" w:space="0" w:color="auto"/>
        <w:bottom w:val="none" w:sz="0" w:space="0" w:color="auto"/>
        <w:right w:val="none" w:sz="0" w:space="0" w:color="auto"/>
      </w:divBdr>
    </w:div>
    <w:div w:id="120265585">
      <w:bodyDiv w:val="1"/>
      <w:marLeft w:val="0"/>
      <w:marRight w:val="0"/>
      <w:marTop w:val="0"/>
      <w:marBottom w:val="0"/>
      <w:divBdr>
        <w:top w:val="none" w:sz="0" w:space="0" w:color="auto"/>
        <w:left w:val="none" w:sz="0" w:space="0" w:color="auto"/>
        <w:bottom w:val="none" w:sz="0" w:space="0" w:color="auto"/>
        <w:right w:val="none" w:sz="0" w:space="0" w:color="auto"/>
      </w:divBdr>
    </w:div>
    <w:div w:id="120272614">
      <w:bodyDiv w:val="1"/>
      <w:marLeft w:val="0"/>
      <w:marRight w:val="0"/>
      <w:marTop w:val="0"/>
      <w:marBottom w:val="0"/>
      <w:divBdr>
        <w:top w:val="none" w:sz="0" w:space="0" w:color="auto"/>
        <w:left w:val="none" w:sz="0" w:space="0" w:color="auto"/>
        <w:bottom w:val="none" w:sz="0" w:space="0" w:color="auto"/>
        <w:right w:val="none" w:sz="0" w:space="0" w:color="auto"/>
      </w:divBdr>
    </w:div>
    <w:div w:id="120347397">
      <w:bodyDiv w:val="1"/>
      <w:marLeft w:val="0"/>
      <w:marRight w:val="0"/>
      <w:marTop w:val="0"/>
      <w:marBottom w:val="0"/>
      <w:divBdr>
        <w:top w:val="none" w:sz="0" w:space="0" w:color="auto"/>
        <w:left w:val="none" w:sz="0" w:space="0" w:color="auto"/>
        <w:bottom w:val="none" w:sz="0" w:space="0" w:color="auto"/>
        <w:right w:val="none" w:sz="0" w:space="0" w:color="auto"/>
      </w:divBdr>
    </w:div>
    <w:div w:id="120616221">
      <w:bodyDiv w:val="1"/>
      <w:marLeft w:val="0"/>
      <w:marRight w:val="0"/>
      <w:marTop w:val="0"/>
      <w:marBottom w:val="0"/>
      <w:divBdr>
        <w:top w:val="none" w:sz="0" w:space="0" w:color="auto"/>
        <w:left w:val="none" w:sz="0" w:space="0" w:color="auto"/>
        <w:bottom w:val="none" w:sz="0" w:space="0" w:color="auto"/>
        <w:right w:val="none" w:sz="0" w:space="0" w:color="auto"/>
      </w:divBdr>
    </w:div>
    <w:div w:id="121192140">
      <w:bodyDiv w:val="1"/>
      <w:marLeft w:val="0"/>
      <w:marRight w:val="0"/>
      <w:marTop w:val="0"/>
      <w:marBottom w:val="0"/>
      <w:divBdr>
        <w:top w:val="none" w:sz="0" w:space="0" w:color="auto"/>
        <w:left w:val="none" w:sz="0" w:space="0" w:color="auto"/>
        <w:bottom w:val="none" w:sz="0" w:space="0" w:color="auto"/>
        <w:right w:val="none" w:sz="0" w:space="0" w:color="auto"/>
      </w:divBdr>
    </w:div>
    <w:div w:id="121847131">
      <w:bodyDiv w:val="1"/>
      <w:marLeft w:val="0"/>
      <w:marRight w:val="0"/>
      <w:marTop w:val="0"/>
      <w:marBottom w:val="0"/>
      <w:divBdr>
        <w:top w:val="none" w:sz="0" w:space="0" w:color="auto"/>
        <w:left w:val="none" w:sz="0" w:space="0" w:color="auto"/>
        <w:bottom w:val="none" w:sz="0" w:space="0" w:color="auto"/>
        <w:right w:val="none" w:sz="0" w:space="0" w:color="auto"/>
      </w:divBdr>
    </w:div>
    <w:div w:id="121969618">
      <w:bodyDiv w:val="1"/>
      <w:marLeft w:val="0"/>
      <w:marRight w:val="0"/>
      <w:marTop w:val="0"/>
      <w:marBottom w:val="0"/>
      <w:divBdr>
        <w:top w:val="none" w:sz="0" w:space="0" w:color="auto"/>
        <w:left w:val="none" w:sz="0" w:space="0" w:color="auto"/>
        <w:bottom w:val="none" w:sz="0" w:space="0" w:color="auto"/>
        <w:right w:val="none" w:sz="0" w:space="0" w:color="auto"/>
      </w:divBdr>
    </w:div>
    <w:div w:id="122232865">
      <w:bodyDiv w:val="1"/>
      <w:marLeft w:val="0"/>
      <w:marRight w:val="0"/>
      <w:marTop w:val="0"/>
      <w:marBottom w:val="0"/>
      <w:divBdr>
        <w:top w:val="none" w:sz="0" w:space="0" w:color="auto"/>
        <w:left w:val="none" w:sz="0" w:space="0" w:color="auto"/>
        <w:bottom w:val="none" w:sz="0" w:space="0" w:color="auto"/>
        <w:right w:val="none" w:sz="0" w:space="0" w:color="auto"/>
      </w:divBdr>
    </w:div>
    <w:div w:id="122311476">
      <w:bodyDiv w:val="1"/>
      <w:marLeft w:val="0"/>
      <w:marRight w:val="0"/>
      <w:marTop w:val="0"/>
      <w:marBottom w:val="0"/>
      <w:divBdr>
        <w:top w:val="none" w:sz="0" w:space="0" w:color="auto"/>
        <w:left w:val="none" w:sz="0" w:space="0" w:color="auto"/>
        <w:bottom w:val="none" w:sz="0" w:space="0" w:color="auto"/>
        <w:right w:val="none" w:sz="0" w:space="0" w:color="auto"/>
      </w:divBdr>
    </w:div>
    <w:div w:id="122426148">
      <w:bodyDiv w:val="1"/>
      <w:marLeft w:val="0"/>
      <w:marRight w:val="0"/>
      <w:marTop w:val="0"/>
      <w:marBottom w:val="0"/>
      <w:divBdr>
        <w:top w:val="none" w:sz="0" w:space="0" w:color="auto"/>
        <w:left w:val="none" w:sz="0" w:space="0" w:color="auto"/>
        <w:bottom w:val="none" w:sz="0" w:space="0" w:color="auto"/>
        <w:right w:val="none" w:sz="0" w:space="0" w:color="auto"/>
      </w:divBdr>
    </w:div>
    <w:div w:id="122433178">
      <w:bodyDiv w:val="1"/>
      <w:marLeft w:val="0"/>
      <w:marRight w:val="0"/>
      <w:marTop w:val="0"/>
      <w:marBottom w:val="0"/>
      <w:divBdr>
        <w:top w:val="none" w:sz="0" w:space="0" w:color="auto"/>
        <w:left w:val="none" w:sz="0" w:space="0" w:color="auto"/>
        <w:bottom w:val="none" w:sz="0" w:space="0" w:color="auto"/>
        <w:right w:val="none" w:sz="0" w:space="0" w:color="auto"/>
      </w:divBdr>
    </w:div>
    <w:div w:id="122696049">
      <w:bodyDiv w:val="1"/>
      <w:marLeft w:val="0"/>
      <w:marRight w:val="0"/>
      <w:marTop w:val="0"/>
      <w:marBottom w:val="0"/>
      <w:divBdr>
        <w:top w:val="none" w:sz="0" w:space="0" w:color="auto"/>
        <w:left w:val="none" w:sz="0" w:space="0" w:color="auto"/>
        <w:bottom w:val="none" w:sz="0" w:space="0" w:color="auto"/>
        <w:right w:val="none" w:sz="0" w:space="0" w:color="auto"/>
      </w:divBdr>
    </w:div>
    <w:div w:id="123082731">
      <w:bodyDiv w:val="1"/>
      <w:marLeft w:val="0"/>
      <w:marRight w:val="0"/>
      <w:marTop w:val="0"/>
      <w:marBottom w:val="0"/>
      <w:divBdr>
        <w:top w:val="none" w:sz="0" w:space="0" w:color="auto"/>
        <w:left w:val="none" w:sz="0" w:space="0" w:color="auto"/>
        <w:bottom w:val="none" w:sz="0" w:space="0" w:color="auto"/>
        <w:right w:val="none" w:sz="0" w:space="0" w:color="auto"/>
      </w:divBdr>
    </w:div>
    <w:div w:id="123084681">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4811759">
      <w:bodyDiv w:val="1"/>
      <w:marLeft w:val="0"/>
      <w:marRight w:val="0"/>
      <w:marTop w:val="0"/>
      <w:marBottom w:val="0"/>
      <w:divBdr>
        <w:top w:val="none" w:sz="0" w:space="0" w:color="auto"/>
        <w:left w:val="none" w:sz="0" w:space="0" w:color="auto"/>
        <w:bottom w:val="none" w:sz="0" w:space="0" w:color="auto"/>
        <w:right w:val="none" w:sz="0" w:space="0" w:color="auto"/>
      </w:divBdr>
    </w:div>
    <w:div w:id="125438807">
      <w:bodyDiv w:val="1"/>
      <w:marLeft w:val="0"/>
      <w:marRight w:val="0"/>
      <w:marTop w:val="0"/>
      <w:marBottom w:val="0"/>
      <w:divBdr>
        <w:top w:val="none" w:sz="0" w:space="0" w:color="auto"/>
        <w:left w:val="none" w:sz="0" w:space="0" w:color="auto"/>
        <w:bottom w:val="none" w:sz="0" w:space="0" w:color="auto"/>
        <w:right w:val="none" w:sz="0" w:space="0" w:color="auto"/>
      </w:divBdr>
    </w:div>
    <w:div w:id="125507950">
      <w:bodyDiv w:val="1"/>
      <w:marLeft w:val="0"/>
      <w:marRight w:val="0"/>
      <w:marTop w:val="0"/>
      <w:marBottom w:val="0"/>
      <w:divBdr>
        <w:top w:val="none" w:sz="0" w:space="0" w:color="auto"/>
        <w:left w:val="none" w:sz="0" w:space="0" w:color="auto"/>
        <w:bottom w:val="none" w:sz="0" w:space="0" w:color="auto"/>
        <w:right w:val="none" w:sz="0" w:space="0" w:color="auto"/>
      </w:divBdr>
    </w:div>
    <w:div w:id="126516023">
      <w:bodyDiv w:val="1"/>
      <w:marLeft w:val="0"/>
      <w:marRight w:val="0"/>
      <w:marTop w:val="0"/>
      <w:marBottom w:val="0"/>
      <w:divBdr>
        <w:top w:val="none" w:sz="0" w:space="0" w:color="auto"/>
        <w:left w:val="none" w:sz="0" w:space="0" w:color="auto"/>
        <w:bottom w:val="none" w:sz="0" w:space="0" w:color="auto"/>
        <w:right w:val="none" w:sz="0" w:space="0" w:color="auto"/>
      </w:divBdr>
    </w:div>
    <w:div w:id="126704424">
      <w:bodyDiv w:val="1"/>
      <w:marLeft w:val="0"/>
      <w:marRight w:val="0"/>
      <w:marTop w:val="0"/>
      <w:marBottom w:val="0"/>
      <w:divBdr>
        <w:top w:val="none" w:sz="0" w:space="0" w:color="auto"/>
        <w:left w:val="none" w:sz="0" w:space="0" w:color="auto"/>
        <w:bottom w:val="none" w:sz="0" w:space="0" w:color="auto"/>
        <w:right w:val="none" w:sz="0" w:space="0" w:color="auto"/>
      </w:divBdr>
    </w:div>
    <w:div w:id="126971418">
      <w:bodyDiv w:val="1"/>
      <w:marLeft w:val="0"/>
      <w:marRight w:val="0"/>
      <w:marTop w:val="0"/>
      <w:marBottom w:val="0"/>
      <w:divBdr>
        <w:top w:val="none" w:sz="0" w:space="0" w:color="auto"/>
        <w:left w:val="none" w:sz="0" w:space="0" w:color="auto"/>
        <w:bottom w:val="none" w:sz="0" w:space="0" w:color="auto"/>
        <w:right w:val="none" w:sz="0" w:space="0" w:color="auto"/>
      </w:divBdr>
    </w:div>
    <w:div w:id="126975331">
      <w:bodyDiv w:val="1"/>
      <w:marLeft w:val="0"/>
      <w:marRight w:val="0"/>
      <w:marTop w:val="0"/>
      <w:marBottom w:val="0"/>
      <w:divBdr>
        <w:top w:val="none" w:sz="0" w:space="0" w:color="auto"/>
        <w:left w:val="none" w:sz="0" w:space="0" w:color="auto"/>
        <w:bottom w:val="none" w:sz="0" w:space="0" w:color="auto"/>
        <w:right w:val="none" w:sz="0" w:space="0" w:color="auto"/>
      </w:divBdr>
    </w:div>
    <w:div w:id="127088229">
      <w:bodyDiv w:val="1"/>
      <w:marLeft w:val="0"/>
      <w:marRight w:val="0"/>
      <w:marTop w:val="0"/>
      <w:marBottom w:val="0"/>
      <w:divBdr>
        <w:top w:val="none" w:sz="0" w:space="0" w:color="auto"/>
        <w:left w:val="none" w:sz="0" w:space="0" w:color="auto"/>
        <w:bottom w:val="none" w:sz="0" w:space="0" w:color="auto"/>
        <w:right w:val="none" w:sz="0" w:space="0" w:color="auto"/>
      </w:divBdr>
    </w:div>
    <w:div w:id="127093341">
      <w:bodyDiv w:val="1"/>
      <w:marLeft w:val="0"/>
      <w:marRight w:val="0"/>
      <w:marTop w:val="0"/>
      <w:marBottom w:val="0"/>
      <w:divBdr>
        <w:top w:val="none" w:sz="0" w:space="0" w:color="auto"/>
        <w:left w:val="none" w:sz="0" w:space="0" w:color="auto"/>
        <w:bottom w:val="none" w:sz="0" w:space="0" w:color="auto"/>
        <w:right w:val="none" w:sz="0" w:space="0" w:color="auto"/>
      </w:divBdr>
    </w:div>
    <w:div w:id="127285033">
      <w:bodyDiv w:val="1"/>
      <w:marLeft w:val="0"/>
      <w:marRight w:val="0"/>
      <w:marTop w:val="0"/>
      <w:marBottom w:val="0"/>
      <w:divBdr>
        <w:top w:val="none" w:sz="0" w:space="0" w:color="auto"/>
        <w:left w:val="none" w:sz="0" w:space="0" w:color="auto"/>
        <w:bottom w:val="none" w:sz="0" w:space="0" w:color="auto"/>
        <w:right w:val="none" w:sz="0" w:space="0" w:color="auto"/>
      </w:divBdr>
    </w:div>
    <w:div w:id="127406835">
      <w:bodyDiv w:val="1"/>
      <w:marLeft w:val="0"/>
      <w:marRight w:val="0"/>
      <w:marTop w:val="0"/>
      <w:marBottom w:val="0"/>
      <w:divBdr>
        <w:top w:val="none" w:sz="0" w:space="0" w:color="auto"/>
        <w:left w:val="none" w:sz="0" w:space="0" w:color="auto"/>
        <w:bottom w:val="none" w:sz="0" w:space="0" w:color="auto"/>
        <w:right w:val="none" w:sz="0" w:space="0" w:color="auto"/>
      </w:divBdr>
    </w:div>
    <w:div w:id="127820751">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8207019">
      <w:bodyDiv w:val="1"/>
      <w:marLeft w:val="0"/>
      <w:marRight w:val="0"/>
      <w:marTop w:val="0"/>
      <w:marBottom w:val="0"/>
      <w:divBdr>
        <w:top w:val="none" w:sz="0" w:space="0" w:color="auto"/>
        <w:left w:val="none" w:sz="0" w:space="0" w:color="auto"/>
        <w:bottom w:val="none" w:sz="0" w:space="0" w:color="auto"/>
        <w:right w:val="none" w:sz="0" w:space="0" w:color="auto"/>
      </w:divBdr>
    </w:div>
    <w:div w:id="128254774">
      <w:bodyDiv w:val="1"/>
      <w:marLeft w:val="0"/>
      <w:marRight w:val="0"/>
      <w:marTop w:val="0"/>
      <w:marBottom w:val="0"/>
      <w:divBdr>
        <w:top w:val="none" w:sz="0" w:space="0" w:color="auto"/>
        <w:left w:val="none" w:sz="0" w:space="0" w:color="auto"/>
        <w:bottom w:val="none" w:sz="0" w:space="0" w:color="auto"/>
        <w:right w:val="none" w:sz="0" w:space="0" w:color="auto"/>
      </w:divBdr>
    </w:div>
    <w:div w:id="128401661">
      <w:bodyDiv w:val="1"/>
      <w:marLeft w:val="0"/>
      <w:marRight w:val="0"/>
      <w:marTop w:val="0"/>
      <w:marBottom w:val="0"/>
      <w:divBdr>
        <w:top w:val="none" w:sz="0" w:space="0" w:color="auto"/>
        <w:left w:val="none" w:sz="0" w:space="0" w:color="auto"/>
        <w:bottom w:val="none" w:sz="0" w:space="0" w:color="auto"/>
        <w:right w:val="none" w:sz="0" w:space="0" w:color="auto"/>
      </w:divBdr>
    </w:div>
    <w:div w:id="128524384">
      <w:bodyDiv w:val="1"/>
      <w:marLeft w:val="0"/>
      <w:marRight w:val="0"/>
      <w:marTop w:val="0"/>
      <w:marBottom w:val="0"/>
      <w:divBdr>
        <w:top w:val="none" w:sz="0" w:space="0" w:color="auto"/>
        <w:left w:val="none" w:sz="0" w:space="0" w:color="auto"/>
        <w:bottom w:val="none" w:sz="0" w:space="0" w:color="auto"/>
        <w:right w:val="none" w:sz="0" w:space="0" w:color="auto"/>
      </w:divBdr>
    </w:div>
    <w:div w:id="128595109">
      <w:bodyDiv w:val="1"/>
      <w:marLeft w:val="0"/>
      <w:marRight w:val="0"/>
      <w:marTop w:val="0"/>
      <w:marBottom w:val="0"/>
      <w:divBdr>
        <w:top w:val="none" w:sz="0" w:space="0" w:color="auto"/>
        <w:left w:val="none" w:sz="0" w:space="0" w:color="auto"/>
        <w:bottom w:val="none" w:sz="0" w:space="0" w:color="auto"/>
        <w:right w:val="none" w:sz="0" w:space="0" w:color="auto"/>
      </w:divBdr>
    </w:div>
    <w:div w:id="128714560">
      <w:bodyDiv w:val="1"/>
      <w:marLeft w:val="0"/>
      <w:marRight w:val="0"/>
      <w:marTop w:val="0"/>
      <w:marBottom w:val="0"/>
      <w:divBdr>
        <w:top w:val="none" w:sz="0" w:space="0" w:color="auto"/>
        <w:left w:val="none" w:sz="0" w:space="0" w:color="auto"/>
        <w:bottom w:val="none" w:sz="0" w:space="0" w:color="auto"/>
        <w:right w:val="none" w:sz="0" w:space="0" w:color="auto"/>
      </w:divBdr>
    </w:div>
    <w:div w:id="128787939">
      <w:bodyDiv w:val="1"/>
      <w:marLeft w:val="0"/>
      <w:marRight w:val="0"/>
      <w:marTop w:val="0"/>
      <w:marBottom w:val="0"/>
      <w:divBdr>
        <w:top w:val="none" w:sz="0" w:space="0" w:color="auto"/>
        <w:left w:val="none" w:sz="0" w:space="0" w:color="auto"/>
        <w:bottom w:val="none" w:sz="0" w:space="0" w:color="auto"/>
        <w:right w:val="none" w:sz="0" w:space="0" w:color="auto"/>
      </w:divBdr>
    </w:div>
    <w:div w:id="128985685">
      <w:bodyDiv w:val="1"/>
      <w:marLeft w:val="0"/>
      <w:marRight w:val="0"/>
      <w:marTop w:val="0"/>
      <w:marBottom w:val="0"/>
      <w:divBdr>
        <w:top w:val="none" w:sz="0" w:space="0" w:color="auto"/>
        <w:left w:val="none" w:sz="0" w:space="0" w:color="auto"/>
        <w:bottom w:val="none" w:sz="0" w:space="0" w:color="auto"/>
        <w:right w:val="none" w:sz="0" w:space="0" w:color="auto"/>
      </w:divBdr>
    </w:div>
    <w:div w:id="129129481">
      <w:bodyDiv w:val="1"/>
      <w:marLeft w:val="0"/>
      <w:marRight w:val="0"/>
      <w:marTop w:val="0"/>
      <w:marBottom w:val="0"/>
      <w:divBdr>
        <w:top w:val="none" w:sz="0" w:space="0" w:color="auto"/>
        <w:left w:val="none" w:sz="0" w:space="0" w:color="auto"/>
        <w:bottom w:val="none" w:sz="0" w:space="0" w:color="auto"/>
        <w:right w:val="none" w:sz="0" w:space="0" w:color="auto"/>
      </w:divBdr>
    </w:div>
    <w:div w:id="129251341">
      <w:bodyDiv w:val="1"/>
      <w:marLeft w:val="0"/>
      <w:marRight w:val="0"/>
      <w:marTop w:val="0"/>
      <w:marBottom w:val="0"/>
      <w:divBdr>
        <w:top w:val="none" w:sz="0" w:space="0" w:color="auto"/>
        <w:left w:val="none" w:sz="0" w:space="0" w:color="auto"/>
        <w:bottom w:val="none" w:sz="0" w:space="0" w:color="auto"/>
        <w:right w:val="none" w:sz="0" w:space="0" w:color="auto"/>
      </w:divBdr>
    </w:div>
    <w:div w:id="129321116">
      <w:bodyDiv w:val="1"/>
      <w:marLeft w:val="0"/>
      <w:marRight w:val="0"/>
      <w:marTop w:val="0"/>
      <w:marBottom w:val="0"/>
      <w:divBdr>
        <w:top w:val="none" w:sz="0" w:space="0" w:color="auto"/>
        <w:left w:val="none" w:sz="0" w:space="0" w:color="auto"/>
        <w:bottom w:val="none" w:sz="0" w:space="0" w:color="auto"/>
        <w:right w:val="none" w:sz="0" w:space="0" w:color="auto"/>
      </w:divBdr>
    </w:div>
    <w:div w:id="129370600">
      <w:bodyDiv w:val="1"/>
      <w:marLeft w:val="0"/>
      <w:marRight w:val="0"/>
      <w:marTop w:val="0"/>
      <w:marBottom w:val="0"/>
      <w:divBdr>
        <w:top w:val="none" w:sz="0" w:space="0" w:color="auto"/>
        <w:left w:val="none" w:sz="0" w:space="0" w:color="auto"/>
        <w:bottom w:val="none" w:sz="0" w:space="0" w:color="auto"/>
        <w:right w:val="none" w:sz="0" w:space="0" w:color="auto"/>
      </w:divBdr>
    </w:div>
    <w:div w:id="129632272">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29785023">
      <w:bodyDiv w:val="1"/>
      <w:marLeft w:val="0"/>
      <w:marRight w:val="0"/>
      <w:marTop w:val="0"/>
      <w:marBottom w:val="0"/>
      <w:divBdr>
        <w:top w:val="none" w:sz="0" w:space="0" w:color="auto"/>
        <w:left w:val="none" w:sz="0" w:space="0" w:color="auto"/>
        <w:bottom w:val="none" w:sz="0" w:space="0" w:color="auto"/>
        <w:right w:val="none" w:sz="0" w:space="0" w:color="auto"/>
      </w:divBdr>
    </w:div>
    <w:div w:id="130095033">
      <w:bodyDiv w:val="1"/>
      <w:marLeft w:val="0"/>
      <w:marRight w:val="0"/>
      <w:marTop w:val="0"/>
      <w:marBottom w:val="0"/>
      <w:divBdr>
        <w:top w:val="none" w:sz="0" w:space="0" w:color="auto"/>
        <w:left w:val="none" w:sz="0" w:space="0" w:color="auto"/>
        <w:bottom w:val="none" w:sz="0" w:space="0" w:color="auto"/>
        <w:right w:val="none" w:sz="0" w:space="0" w:color="auto"/>
      </w:divBdr>
    </w:div>
    <w:div w:id="130368096">
      <w:bodyDiv w:val="1"/>
      <w:marLeft w:val="0"/>
      <w:marRight w:val="0"/>
      <w:marTop w:val="0"/>
      <w:marBottom w:val="0"/>
      <w:divBdr>
        <w:top w:val="none" w:sz="0" w:space="0" w:color="auto"/>
        <w:left w:val="none" w:sz="0" w:space="0" w:color="auto"/>
        <w:bottom w:val="none" w:sz="0" w:space="0" w:color="auto"/>
        <w:right w:val="none" w:sz="0" w:space="0" w:color="auto"/>
      </w:divBdr>
    </w:div>
    <w:div w:id="130370599">
      <w:bodyDiv w:val="1"/>
      <w:marLeft w:val="0"/>
      <w:marRight w:val="0"/>
      <w:marTop w:val="0"/>
      <w:marBottom w:val="0"/>
      <w:divBdr>
        <w:top w:val="none" w:sz="0" w:space="0" w:color="auto"/>
        <w:left w:val="none" w:sz="0" w:space="0" w:color="auto"/>
        <w:bottom w:val="none" w:sz="0" w:space="0" w:color="auto"/>
        <w:right w:val="none" w:sz="0" w:space="0" w:color="auto"/>
      </w:divBdr>
    </w:div>
    <w:div w:id="130557260">
      <w:bodyDiv w:val="1"/>
      <w:marLeft w:val="0"/>
      <w:marRight w:val="0"/>
      <w:marTop w:val="0"/>
      <w:marBottom w:val="0"/>
      <w:divBdr>
        <w:top w:val="none" w:sz="0" w:space="0" w:color="auto"/>
        <w:left w:val="none" w:sz="0" w:space="0" w:color="auto"/>
        <w:bottom w:val="none" w:sz="0" w:space="0" w:color="auto"/>
        <w:right w:val="none" w:sz="0" w:space="0" w:color="auto"/>
      </w:divBdr>
    </w:div>
    <w:div w:id="130828259">
      <w:bodyDiv w:val="1"/>
      <w:marLeft w:val="0"/>
      <w:marRight w:val="0"/>
      <w:marTop w:val="0"/>
      <w:marBottom w:val="0"/>
      <w:divBdr>
        <w:top w:val="none" w:sz="0" w:space="0" w:color="auto"/>
        <w:left w:val="none" w:sz="0" w:space="0" w:color="auto"/>
        <w:bottom w:val="none" w:sz="0" w:space="0" w:color="auto"/>
        <w:right w:val="none" w:sz="0" w:space="0" w:color="auto"/>
      </w:divBdr>
    </w:div>
    <w:div w:id="131139123">
      <w:bodyDiv w:val="1"/>
      <w:marLeft w:val="0"/>
      <w:marRight w:val="0"/>
      <w:marTop w:val="0"/>
      <w:marBottom w:val="0"/>
      <w:divBdr>
        <w:top w:val="none" w:sz="0" w:space="0" w:color="auto"/>
        <w:left w:val="none" w:sz="0" w:space="0" w:color="auto"/>
        <w:bottom w:val="none" w:sz="0" w:space="0" w:color="auto"/>
        <w:right w:val="none" w:sz="0" w:space="0" w:color="auto"/>
      </w:divBdr>
    </w:div>
    <w:div w:id="131410424">
      <w:bodyDiv w:val="1"/>
      <w:marLeft w:val="0"/>
      <w:marRight w:val="0"/>
      <w:marTop w:val="0"/>
      <w:marBottom w:val="0"/>
      <w:divBdr>
        <w:top w:val="none" w:sz="0" w:space="0" w:color="auto"/>
        <w:left w:val="none" w:sz="0" w:space="0" w:color="auto"/>
        <w:bottom w:val="none" w:sz="0" w:space="0" w:color="auto"/>
        <w:right w:val="none" w:sz="0" w:space="0" w:color="auto"/>
      </w:divBdr>
    </w:div>
    <w:div w:id="131481326">
      <w:bodyDiv w:val="1"/>
      <w:marLeft w:val="0"/>
      <w:marRight w:val="0"/>
      <w:marTop w:val="0"/>
      <w:marBottom w:val="0"/>
      <w:divBdr>
        <w:top w:val="none" w:sz="0" w:space="0" w:color="auto"/>
        <w:left w:val="none" w:sz="0" w:space="0" w:color="auto"/>
        <w:bottom w:val="none" w:sz="0" w:space="0" w:color="auto"/>
        <w:right w:val="none" w:sz="0" w:space="0" w:color="auto"/>
      </w:divBdr>
    </w:div>
    <w:div w:id="131558818">
      <w:bodyDiv w:val="1"/>
      <w:marLeft w:val="0"/>
      <w:marRight w:val="0"/>
      <w:marTop w:val="0"/>
      <w:marBottom w:val="0"/>
      <w:divBdr>
        <w:top w:val="none" w:sz="0" w:space="0" w:color="auto"/>
        <w:left w:val="none" w:sz="0" w:space="0" w:color="auto"/>
        <w:bottom w:val="none" w:sz="0" w:space="0" w:color="auto"/>
        <w:right w:val="none" w:sz="0" w:space="0" w:color="auto"/>
      </w:divBdr>
    </w:div>
    <w:div w:id="131562552">
      <w:bodyDiv w:val="1"/>
      <w:marLeft w:val="0"/>
      <w:marRight w:val="0"/>
      <w:marTop w:val="0"/>
      <w:marBottom w:val="0"/>
      <w:divBdr>
        <w:top w:val="none" w:sz="0" w:space="0" w:color="auto"/>
        <w:left w:val="none" w:sz="0" w:space="0" w:color="auto"/>
        <w:bottom w:val="none" w:sz="0" w:space="0" w:color="auto"/>
        <w:right w:val="none" w:sz="0" w:space="0" w:color="auto"/>
      </w:divBdr>
    </w:div>
    <w:div w:id="131602989">
      <w:bodyDiv w:val="1"/>
      <w:marLeft w:val="0"/>
      <w:marRight w:val="0"/>
      <w:marTop w:val="0"/>
      <w:marBottom w:val="0"/>
      <w:divBdr>
        <w:top w:val="none" w:sz="0" w:space="0" w:color="auto"/>
        <w:left w:val="none" w:sz="0" w:space="0" w:color="auto"/>
        <w:bottom w:val="none" w:sz="0" w:space="0" w:color="auto"/>
        <w:right w:val="none" w:sz="0" w:space="0" w:color="auto"/>
      </w:divBdr>
    </w:div>
    <w:div w:id="131604685">
      <w:bodyDiv w:val="1"/>
      <w:marLeft w:val="0"/>
      <w:marRight w:val="0"/>
      <w:marTop w:val="0"/>
      <w:marBottom w:val="0"/>
      <w:divBdr>
        <w:top w:val="none" w:sz="0" w:space="0" w:color="auto"/>
        <w:left w:val="none" w:sz="0" w:space="0" w:color="auto"/>
        <w:bottom w:val="none" w:sz="0" w:space="0" w:color="auto"/>
        <w:right w:val="none" w:sz="0" w:space="0" w:color="auto"/>
      </w:divBdr>
    </w:div>
    <w:div w:id="131796582">
      <w:bodyDiv w:val="1"/>
      <w:marLeft w:val="0"/>
      <w:marRight w:val="0"/>
      <w:marTop w:val="0"/>
      <w:marBottom w:val="0"/>
      <w:divBdr>
        <w:top w:val="none" w:sz="0" w:space="0" w:color="auto"/>
        <w:left w:val="none" w:sz="0" w:space="0" w:color="auto"/>
        <w:bottom w:val="none" w:sz="0" w:space="0" w:color="auto"/>
        <w:right w:val="none" w:sz="0" w:space="0" w:color="auto"/>
      </w:divBdr>
    </w:div>
    <w:div w:id="131989768">
      <w:bodyDiv w:val="1"/>
      <w:marLeft w:val="0"/>
      <w:marRight w:val="0"/>
      <w:marTop w:val="0"/>
      <w:marBottom w:val="0"/>
      <w:divBdr>
        <w:top w:val="none" w:sz="0" w:space="0" w:color="auto"/>
        <w:left w:val="none" w:sz="0" w:space="0" w:color="auto"/>
        <w:bottom w:val="none" w:sz="0" w:space="0" w:color="auto"/>
        <w:right w:val="none" w:sz="0" w:space="0" w:color="auto"/>
      </w:divBdr>
    </w:div>
    <w:div w:id="132061171">
      <w:bodyDiv w:val="1"/>
      <w:marLeft w:val="0"/>
      <w:marRight w:val="0"/>
      <w:marTop w:val="0"/>
      <w:marBottom w:val="0"/>
      <w:divBdr>
        <w:top w:val="none" w:sz="0" w:space="0" w:color="auto"/>
        <w:left w:val="none" w:sz="0" w:space="0" w:color="auto"/>
        <w:bottom w:val="none" w:sz="0" w:space="0" w:color="auto"/>
        <w:right w:val="none" w:sz="0" w:space="0" w:color="auto"/>
      </w:divBdr>
    </w:div>
    <w:div w:id="132254291">
      <w:bodyDiv w:val="1"/>
      <w:marLeft w:val="0"/>
      <w:marRight w:val="0"/>
      <w:marTop w:val="0"/>
      <w:marBottom w:val="0"/>
      <w:divBdr>
        <w:top w:val="none" w:sz="0" w:space="0" w:color="auto"/>
        <w:left w:val="none" w:sz="0" w:space="0" w:color="auto"/>
        <w:bottom w:val="none" w:sz="0" w:space="0" w:color="auto"/>
        <w:right w:val="none" w:sz="0" w:space="0" w:color="auto"/>
      </w:divBdr>
    </w:div>
    <w:div w:id="132333346">
      <w:bodyDiv w:val="1"/>
      <w:marLeft w:val="0"/>
      <w:marRight w:val="0"/>
      <w:marTop w:val="0"/>
      <w:marBottom w:val="0"/>
      <w:divBdr>
        <w:top w:val="none" w:sz="0" w:space="0" w:color="auto"/>
        <w:left w:val="none" w:sz="0" w:space="0" w:color="auto"/>
        <w:bottom w:val="none" w:sz="0" w:space="0" w:color="auto"/>
        <w:right w:val="none" w:sz="0" w:space="0" w:color="auto"/>
      </w:divBdr>
    </w:div>
    <w:div w:id="132336497">
      <w:bodyDiv w:val="1"/>
      <w:marLeft w:val="0"/>
      <w:marRight w:val="0"/>
      <w:marTop w:val="0"/>
      <w:marBottom w:val="0"/>
      <w:divBdr>
        <w:top w:val="none" w:sz="0" w:space="0" w:color="auto"/>
        <w:left w:val="none" w:sz="0" w:space="0" w:color="auto"/>
        <w:bottom w:val="none" w:sz="0" w:space="0" w:color="auto"/>
        <w:right w:val="none" w:sz="0" w:space="0" w:color="auto"/>
      </w:divBdr>
    </w:div>
    <w:div w:id="132407304">
      <w:bodyDiv w:val="1"/>
      <w:marLeft w:val="0"/>
      <w:marRight w:val="0"/>
      <w:marTop w:val="0"/>
      <w:marBottom w:val="0"/>
      <w:divBdr>
        <w:top w:val="none" w:sz="0" w:space="0" w:color="auto"/>
        <w:left w:val="none" w:sz="0" w:space="0" w:color="auto"/>
        <w:bottom w:val="none" w:sz="0" w:space="0" w:color="auto"/>
        <w:right w:val="none" w:sz="0" w:space="0" w:color="auto"/>
      </w:divBdr>
    </w:div>
    <w:div w:id="132409517">
      <w:bodyDiv w:val="1"/>
      <w:marLeft w:val="0"/>
      <w:marRight w:val="0"/>
      <w:marTop w:val="0"/>
      <w:marBottom w:val="0"/>
      <w:divBdr>
        <w:top w:val="none" w:sz="0" w:space="0" w:color="auto"/>
        <w:left w:val="none" w:sz="0" w:space="0" w:color="auto"/>
        <w:bottom w:val="none" w:sz="0" w:space="0" w:color="auto"/>
        <w:right w:val="none" w:sz="0" w:space="0" w:color="auto"/>
      </w:divBdr>
    </w:div>
    <w:div w:id="132604019">
      <w:bodyDiv w:val="1"/>
      <w:marLeft w:val="0"/>
      <w:marRight w:val="0"/>
      <w:marTop w:val="0"/>
      <w:marBottom w:val="0"/>
      <w:divBdr>
        <w:top w:val="none" w:sz="0" w:space="0" w:color="auto"/>
        <w:left w:val="none" w:sz="0" w:space="0" w:color="auto"/>
        <w:bottom w:val="none" w:sz="0" w:space="0" w:color="auto"/>
        <w:right w:val="none" w:sz="0" w:space="0" w:color="auto"/>
      </w:divBdr>
    </w:div>
    <w:div w:id="132866428">
      <w:bodyDiv w:val="1"/>
      <w:marLeft w:val="0"/>
      <w:marRight w:val="0"/>
      <w:marTop w:val="0"/>
      <w:marBottom w:val="0"/>
      <w:divBdr>
        <w:top w:val="none" w:sz="0" w:space="0" w:color="auto"/>
        <w:left w:val="none" w:sz="0" w:space="0" w:color="auto"/>
        <w:bottom w:val="none" w:sz="0" w:space="0" w:color="auto"/>
        <w:right w:val="none" w:sz="0" w:space="0" w:color="auto"/>
      </w:divBdr>
    </w:div>
    <w:div w:id="133183413">
      <w:bodyDiv w:val="1"/>
      <w:marLeft w:val="0"/>
      <w:marRight w:val="0"/>
      <w:marTop w:val="0"/>
      <w:marBottom w:val="0"/>
      <w:divBdr>
        <w:top w:val="none" w:sz="0" w:space="0" w:color="auto"/>
        <w:left w:val="none" w:sz="0" w:space="0" w:color="auto"/>
        <w:bottom w:val="none" w:sz="0" w:space="0" w:color="auto"/>
        <w:right w:val="none" w:sz="0" w:space="0" w:color="auto"/>
      </w:divBdr>
    </w:div>
    <w:div w:id="133838310">
      <w:bodyDiv w:val="1"/>
      <w:marLeft w:val="0"/>
      <w:marRight w:val="0"/>
      <w:marTop w:val="0"/>
      <w:marBottom w:val="0"/>
      <w:divBdr>
        <w:top w:val="none" w:sz="0" w:space="0" w:color="auto"/>
        <w:left w:val="none" w:sz="0" w:space="0" w:color="auto"/>
        <w:bottom w:val="none" w:sz="0" w:space="0" w:color="auto"/>
        <w:right w:val="none" w:sz="0" w:space="0" w:color="auto"/>
      </w:divBdr>
    </w:div>
    <w:div w:id="134640715">
      <w:bodyDiv w:val="1"/>
      <w:marLeft w:val="0"/>
      <w:marRight w:val="0"/>
      <w:marTop w:val="0"/>
      <w:marBottom w:val="0"/>
      <w:divBdr>
        <w:top w:val="none" w:sz="0" w:space="0" w:color="auto"/>
        <w:left w:val="none" w:sz="0" w:space="0" w:color="auto"/>
        <w:bottom w:val="none" w:sz="0" w:space="0" w:color="auto"/>
        <w:right w:val="none" w:sz="0" w:space="0" w:color="auto"/>
      </w:divBdr>
    </w:div>
    <w:div w:id="134952840">
      <w:bodyDiv w:val="1"/>
      <w:marLeft w:val="0"/>
      <w:marRight w:val="0"/>
      <w:marTop w:val="0"/>
      <w:marBottom w:val="0"/>
      <w:divBdr>
        <w:top w:val="none" w:sz="0" w:space="0" w:color="auto"/>
        <w:left w:val="none" w:sz="0" w:space="0" w:color="auto"/>
        <w:bottom w:val="none" w:sz="0" w:space="0" w:color="auto"/>
        <w:right w:val="none" w:sz="0" w:space="0" w:color="auto"/>
      </w:divBdr>
    </w:div>
    <w:div w:id="135030828">
      <w:bodyDiv w:val="1"/>
      <w:marLeft w:val="0"/>
      <w:marRight w:val="0"/>
      <w:marTop w:val="0"/>
      <w:marBottom w:val="0"/>
      <w:divBdr>
        <w:top w:val="none" w:sz="0" w:space="0" w:color="auto"/>
        <w:left w:val="none" w:sz="0" w:space="0" w:color="auto"/>
        <w:bottom w:val="none" w:sz="0" w:space="0" w:color="auto"/>
        <w:right w:val="none" w:sz="0" w:space="0" w:color="auto"/>
      </w:divBdr>
    </w:div>
    <w:div w:id="135071127">
      <w:bodyDiv w:val="1"/>
      <w:marLeft w:val="0"/>
      <w:marRight w:val="0"/>
      <w:marTop w:val="0"/>
      <w:marBottom w:val="0"/>
      <w:divBdr>
        <w:top w:val="none" w:sz="0" w:space="0" w:color="auto"/>
        <w:left w:val="none" w:sz="0" w:space="0" w:color="auto"/>
        <w:bottom w:val="none" w:sz="0" w:space="0" w:color="auto"/>
        <w:right w:val="none" w:sz="0" w:space="0" w:color="auto"/>
      </w:divBdr>
    </w:div>
    <w:div w:id="135073936">
      <w:bodyDiv w:val="1"/>
      <w:marLeft w:val="0"/>
      <w:marRight w:val="0"/>
      <w:marTop w:val="0"/>
      <w:marBottom w:val="0"/>
      <w:divBdr>
        <w:top w:val="none" w:sz="0" w:space="0" w:color="auto"/>
        <w:left w:val="none" w:sz="0" w:space="0" w:color="auto"/>
        <w:bottom w:val="none" w:sz="0" w:space="0" w:color="auto"/>
        <w:right w:val="none" w:sz="0" w:space="0" w:color="auto"/>
      </w:divBdr>
    </w:div>
    <w:div w:id="135345818">
      <w:bodyDiv w:val="1"/>
      <w:marLeft w:val="0"/>
      <w:marRight w:val="0"/>
      <w:marTop w:val="0"/>
      <w:marBottom w:val="0"/>
      <w:divBdr>
        <w:top w:val="none" w:sz="0" w:space="0" w:color="auto"/>
        <w:left w:val="none" w:sz="0" w:space="0" w:color="auto"/>
        <w:bottom w:val="none" w:sz="0" w:space="0" w:color="auto"/>
        <w:right w:val="none" w:sz="0" w:space="0" w:color="auto"/>
      </w:divBdr>
    </w:div>
    <w:div w:id="135802660">
      <w:bodyDiv w:val="1"/>
      <w:marLeft w:val="0"/>
      <w:marRight w:val="0"/>
      <w:marTop w:val="0"/>
      <w:marBottom w:val="0"/>
      <w:divBdr>
        <w:top w:val="none" w:sz="0" w:space="0" w:color="auto"/>
        <w:left w:val="none" w:sz="0" w:space="0" w:color="auto"/>
        <w:bottom w:val="none" w:sz="0" w:space="0" w:color="auto"/>
        <w:right w:val="none" w:sz="0" w:space="0" w:color="auto"/>
      </w:divBdr>
    </w:div>
    <w:div w:id="136192006">
      <w:bodyDiv w:val="1"/>
      <w:marLeft w:val="0"/>
      <w:marRight w:val="0"/>
      <w:marTop w:val="0"/>
      <w:marBottom w:val="0"/>
      <w:divBdr>
        <w:top w:val="none" w:sz="0" w:space="0" w:color="auto"/>
        <w:left w:val="none" w:sz="0" w:space="0" w:color="auto"/>
        <w:bottom w:val="none" w:sz="0" w:space="0" w:color="auto"/>
        <w:right w:val="none" w:sz="0" w:space="0" w:color="auto"/>
      </w:divBdr>
    </w:div>
    <w:div w:id="136340377">
      <w:bodyDiv w:val="1"/>
      <w:marLeft w:val="0"/>
      <w:marRight w:val="0"/>
      <w:marTop w:val="0"/>
      <w:marBottom w:val="0"/>
      <w:divBdr>
        <w:top w:val="none" w:sz="0" w:space="0" w:color="auto"/>
        <w:left w:val="none" w:sz="0" w:space="0" w:color="auto"/>
        <w:bottom w:val="none" w:sz="0" w:space="0" w:color="auto"/>
        <w:right w:val="none" w:sz="0" w:space="0" w:color="auto"/>
      </w:divBdr>
    </w:div>
    <w:div w:id="136456518">
      <w:bodyDiv w:val="1"/>
      <w:marLeft w:val="0"/>
      <w:marRight w:val="0"/>
      <w:marTop w:val="0"/>
      <w:marBottom w:val="0"/>
      <w:divBdr>
        <w:top w:val="none" w:sz="0" w:space="0" w:color="auto"/>
        <w:left w:val="none" w:sz="0" w:space="0" w:color="auto"/>
        <w:bottom w:val="none" w:sz="0" w:space="0" w:color="auto"/>
        <w:right w:val="none" w:sz="0" w:space="0" w:color="auto"/>
      </w:divBdr>
    </w:div>
    <w:div w:id="136651222">
      <w:bodyDiv w:val="1"/>
      <w:marLeft w:val="0"/>
      <w:marRight w:val="0"/>
      <w:marTop w:val="0"/>
      <w:marBottom w:val="0"/>
      <w:divBdr>
        <w:top w:val="none" w:sz="0" w:space="0" w:color="auto"/>
        <w:left w:val="none" w:sz="0" w:space="0" w:color="auto"/>
        <w:bottom w:val="none" w:sz="0" w:space="0" w:color="auto"/>
        <w:right w:val="none" w:sz="0" w:space="0" w:color="auto"/>
      </w:divBdr>
    </w:div>
    <w:div w:id="136843578">
      <w:bodyDiv w:val="1"/>
      <w:marLeft w:val="0"/>
      <w:marRight w:val="0"/>
      <w:marTop w:val="0"/>
      <w:marBottom w:val="0"/>
      <w:divBdr>
        <w:top w:val="none" w:sz="0" w:space="0" w:color="auto"/>
        <w:left w:val="none" w:sz="0" w:space="0" w:color="auto"/>
        <w:bottom w:val="none" w:sz="0" w:space="0" w:color="auto"/>
        <w:right w:val="none" w:sz="0" w:space="0" w:color="auto"/>
      </w:divBdr>
    </w:div>
    <w:div w:id="136999819">
      <w:bodyDiv w:val="1"/>
      <w:marLeft w:val="0"/>
      <w:marRight w:val="0"/>
      <w:marTop w:val="0"/>
      <w:marBottom w:val="0"/>
      <w:divBdr>
        <w:top w:val="none" w:sz="0" w:space="0" w:color="auto"/>
        <w:left w:val="none" w:sz="0" w:space="0" w:color="auto"/>
        <w:bottom w:val="none" w:sz="0" w:space="0" w:color="auto"/>
        <w:right w:val="none" w:sz="0" w:space="0" w:color="auto"/>
      </w:divBdr>
    </w:div>
    <w:div w:id="137381718">
      <w:bodyDiv w:val="1"/>
      <w:marLeft w:val="0"/>
      <w:marRight w:val="0"/>
      <w:marTop w:val="0"/>
      <w:marBottom w:val="0"/>
      <w:divBdr>
        <w:top w:val="none" w:sz="0" w:space="0" w:color="auto"/>
        <w:left w:val="none" w:sz="0" w:space="0" w:color="auto"/>
        <w:bottom w:val="none" w:sz="0" w:space="0" w:color="auto"/>
        <w:right w:val="none" w:sz="0" w:space="0" w:color="auto"/>
      </w:divBdr>
    </w:div>
    <w:div w:id="137574463">
      <w:bodyDiv w:val="1"/>
      <w:marLeft w:val="0"/>
      <w:marRight w:val="0"/>
      <w:marTop w:val="0"/>
      <w:marBottom w:val="0"/>
      <w:divBdr>
        <w:top w:val="none" w:sz="0" w:space="0" w:color="auto"/>
        <w:left w:val="none" w:sz="0" w:space="0" w:color="auto"/>
        <w:bottom w:val="none" w:sz="0" w:space="0" w:color="auto"/>
        <w:right w:val="none" w:sz="0" w:space="0" w:color="auto"/>
      </w:divBdr>
    </w:div>
    <w:div w:id="137647130">
      <w:bodyDiv w:val="1"/>
      <w:marLeft w:val="0"/>
      <w:marRight w:val="0"/>
      <w:marTop w:val="0"/>
      <w:marBottom w:val="0"/>
      <w:divBdr>
        <w:top w:val="none" w:sz="0" w:space="0" w:color="auto"/>
        <w:left w:val="none" w:sz="0" w:space="0" w:color="auto"/>
        <w:bottom w:val="none" w:sz="0" w:space="0" w:color="auto"/>
        <w:right w:val="none" w:sz="0" w:space="0" w:color="auto"/>
      </w:divBdr>
    </w:div>
    <w:div w:id="137654129">
      <w:bodyDiv w:val="1"/>
      <w:marLeft w:val="0"/>
      <w:marRight w:val="0"/>
      <w:marTop w:val="0"/>
      <w:marBottom w:val="0"/>
      <w:divBdr>
        <w:top w:val="none" w:sz="0" w:space="0" w:color="auto"/>
        <w:left w:val="none" w:sz="0" w:space="0" w:color="auto"/>
        <w:bottom w:val="none" w:sz="0" w:space="0" w:color="auto"/>
        <w:right w:val="none" w:sz="0" w:space="0" w:color="auto"/>
      </w:divBdr>
    </w:div>
    <w:div w:id="138038975">
      <w:bodyDiv w:val="1"/>
      <w:marLeft w:val="0"/>
      <w:marRight w:val="0"/>
      <w:marTop w:val="0"/>
      <w:marBottom w:val="0"/>
      <w:divBdr>
        <w:top w:val="none" w:sz="0" w:space="0" w:color="auto"/>
        <w:left w:val="none" w:sz="0" w:space="0" w:color="auto"/>
        <w:bottom w:val="none" w:sz="0" w:space="0" w:color="auto"/>
        <w:right w:val="none" w:sz="0" w:space="0" w:color="auto"/>
      </w:divBdr>
    </w:div>
    <w:div w:id="138813407">
      <w:bodyDiv w:val="1"/>
      <w:marLeft w:val="0"/>
      <w:marRight w:val="0"/>
      <w:marTop w:val="0"/>
      <w:marBottom w:val="0"/>
      <w:divBdr>
        <w:top w:val="none" w:sz="0" w:space="0" w:color="auto"/>
        <w:left w:val="none" w:sz="0" w:space="0" w:color="auto"/>
        <w:bottom w:val="none" w:sz="0" w:space="0" w:color="auto"/>
        <w:right w:val="none" w:sz="0" w:space="0" w:color="auto"/>
      </w:divBdr>
    </w:div>
    <w:div w:id="139079458">
      <w:bodyDiv w:val="1"/>
      <w:marLeft w:val="0"/>
      <w:marRight w:val="0"/>
      <w:marTop w:val="0"/>
      <w:marBottom w:val="0"/>
      <w:divBdr>
        <w:top w:val="none" w:sz="0" w:space="0" w:color="auto"/>
        <w:left w:val="none" w:sz="0" w:space="0" w:color="auto"/>
        <w:bottom w:val="none" w:sz="0" w:space="0" w:color="auto"/>
        <w:right w:val="none" w:sz="0" w:space="0" w:color="auto"/>
      </w:divBdr>
    </w:div>
    <w:div w:id="139157839">
      <w:bodyDiv w:val="1"/>
      <w:marLeft w:val="0"/>
      <w:marRight w:val="0"/>
      <w:marTop w:val="0"/>
      <w:marBottom w:val="0"/>
      <w:divBdr>
        <w:top w:val="none" w:sz="0" w:space="0" w:color="auto"/>
        <w:left w:val="none" w:sz="0" w:space="0" w:color="auto"/>
        <w:bottom w:val="none" w:sz="0" w:space="0" w:color="auto"/>
        <w:right w:val="none" w:sz="0" w:space="0" w:color="auto"/>
      </w:divBdr>
    </w:div>
    <w:div w:id="139347576">
      <w:bodyDiv w:val="1"/>
      <w:marLeft w:val="0"/>
      <w:marRight w:val="0"/>
      <w:marTop w:val="0"/>
      <w:marBottom w:val="0"/>
      <w:divBdr>
        <w:top w:val="none" w:sz="0" w:space="0" w:color="auto"/>
        <w:left w:val="none" w:sz="0" w:space="0" w:color="auto"/>
        <w:bottom w:val="none" w:sz="0" w:space="0" w:color="auto"/>
        <w:right w:val="none" w:sz="0" w:space="0" w:color="auto"/>
      </w:divBdr>
    </w:div>
    <w:div w:id="139470192">
      <w:bodyDiv w:val="1"/>
      <w:marLeft w:val="0"/>
      <w:marRight w:val="0"/>
      <w:marTop w:val="0"/>
      <w:marBottom w:val="0"/>
      <w:divBdr>
        <w:top w:val="none" w:sz="0" w:space="0" w:color="auto"/>
        <w:left w:val="none" w:sz="0" w:space="0" w:color="auto"/>
        <w:bottom w:val="none" w:sz="0" w:space="0" w:color="auto"/>
        <w:right w:val="none" w:sz="0" w:space="0" w:color="auto"/>
      </w:divBdr>
    </w:div>
    <w:div w:id="140002448">
      <w:bodyDiv w:val="1"/>
      <w:marLeft w:val="0"/>
      <w:marRight w:val="0"/>
      <w:marTop w:val="0"/>
      <w:marBottom w:val="0"/>
      <w:divBdr>
        <w:top w:val="none" w:sz="0" w:space="0" w:color="auto"/>
        <w:left w:val="none" w:sz="0" w:space="0" w:color="auto"/>
        <w:bottom w:val="none" w:sz="0" w:space="0" w:color="auto"/>
        <w:right w:val="none" w:sz="0" w:space="0" w:color="auto"/>
      </w:divBdr>
    </w:div>
    <w:div w:id="140117687">
      <w:bodyDiv w:val="1"/>
      <w:marLeft w:val="0"/>
      <w:marRight w:val="0"/>
      <w:marTop w:val="0"/>
      <w:marBottom w:val="0"/>
      <w:divBdr>
        <w:top w:val="none" w:sz="0" w:space="0" w:color="auto"/>
        <w:left w:val="none" w:sz="0" w:space="0" w:color="auto"/>
        <w:bottom w:val="none" w:sz="0" w:space="0" w:color="auto"/>
        <w:right w:val="none" w:sz="0" w:space="0" w:color="auto"/>
      </w:divBdr>
    </w:div>
    <w:div w:id="140661740">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0774917">
      <w:bodyDiv w:val="1"/>
      <w:marLeft w:val="0"/>
      <w:marRight w:val="0"/>
      <w:marTop w:val="0"/>
      <w:marBottom w:val="0"/>
      <w:divBdr>
        <w:top w:val="none" w:sz="0" w:space="0" w:color="auto"/>
        <w:left w:val="none" w:sz="0" w:space="0" w:color="auto"/>
        <w:bottom w:val="none" w:sz="0" w:space="0" w:color="auto"/>
        <w:right w:val="none" w:sz="0" w:space="0" w:color="auto"/>
      </w:divBdr>
    </w:div>
    <w:div w:id="141313830">
      <w:bodyDiv w:val="1"/>
      <w:marLeft w:val="0"/>
      <w:marRight w:val="0"/>
      <w:marTop w:val="0"/>
      <w:marBottom w:val="0"/>
      <w:divBdr>
        <w:top w:val="none" w:sz="0" w:space="0" w:color="auto"/>
        <w:left w:val="none" w:sz="0" w:space="0" w:color="auto"/>
        <w:bottom w:val="none" w:sz="0" w:space="0" w:color="auto"/>
        <w:right w:val="none" w:sz="0" w:space="0" w:color="auto"/>
      </w:divBdr>
    </w:div>
    <w:div w:id="141774422">
      <w:bodyDiv w:val="1"/>
      <w:marLeft w:val="0"/>
      <w:marRight w:val="0"/>
      <w:marTop w:val="0"/>
      <w:marBottom w:val="0"/>
      <w:divBdr>
        <w:top w:val="none" w:sz="0" w:space="0" w:color="auto"/>
        <w:left w:val="none" w:sz="0" w:space="0" w:color="auto"/>
        <w:bottom w:val="none" w:sz="0" w:space="0" w:color="auto"/>
        <w:right w:val="none" w:sz="0" w:space="0" w:color="auto"/>
      </w:divBdr>
    </w:div>
    <w:div w:id="141776341">
      <w:bodyDiv w:val="1"/>
      <w:marLeft w:val="0"/>
      <w:marRight w:val="0"/>
      <w:marTop w:val="0"/>
      <w:marBottom w:val="0"/>
      <w:divBdr>
        <w:top w:val="none" w:sz="0" w:space="0" w:color="auto"/>
        <w:left w:val="none" w:sz="0" w:space="0" w:color="auto"/>
        <w:bottom w:val="none" w:sz="0" w:space="0" w:color="auto"/>
        <w:right w:val="none" w:sz="0" w:space="0" w:color="auto"/>
      </w:divBdr>
    </w:div>
    <w:div w:id="142280943">
      <w:bodyDiv w:val="1"/>
      <w:marLeft w:val="0"/>
      <w:marRight w:val="0"/>
      <w:marTop w:val="0"/>
      <w:marBottom w:val="0"/>
      <w:divBdr>
        <w:top w:val="none" w:sz="0" w:space="0" w:color="auto"/>
        <w:left w:val="none" w:sz="0" w:space="0" w:color="auto"/>
        <w:bottom w:val="none" w:sz="0" w:space="0" w:color="auto"/>
        <w:right w:val="none" w:sz="0" w:space="0" w:color="auto"/>
      </w:divBdr>
    </w:div>
    <w:div w:id="142353469">
      <w:bodyDiv w:val="1"/>
      <w:marLeft w:val="0"/>
      <w:marRight w:val="0"/>
      <w:marTop w:val="0"/>
      <w:marBottom w:val="0"/>
      <w:divBdr>
        <w:top w:val="none" w:sz="0" w:space="0" w:color="auto"/>
        <w:left w:val="none" w:sz="0" w:space="0" w:color="auto"/>
        <w:bottom w:val="none" w:sz="0" w:space="0" w:color="auto"/>
        <w:right w:val="none" w:sz="0" w:space="0" w:color="auto"/>
      </w:divBdr>
    </w:div>
    <w:div w:id="142433614">
      <w:bodyDiv w:val="1"/>
      <w:marLeft w:val="0"/>
      <w:marRight w:val="0"/>
      <w:marTop w:val="0"/>
      <w:marBottom w:val="0"/>
      <w:divBdr>
        <w:top w:val="none" w:sz="0" w:space="0" w:color="auto"/>
        <w:left w:val="none" w:sz="0" w:space="0" w:color="auto"/>
        <w:bottom w:val="none" w:sz="0" w:space="0" w:color="auto"/>
        <w:right w:val="none" w:sz="0" w:space="0" w:color="auto"/>
      </w:divBdr>
    </w:div>
    <w:div w:id="142548162">
      <w:bodyDiv w:val="1"/>
      <w:marLeft w:val="0"/>
      <w:marRight w:val="0"/>
      <w:marTop w:val="0"/>
      <w:marBottom w:val="0"/>
      <w:divBdr>
        <w:top w:val="none" w:sz="0" w:space="0" w:color="auto"/>
        <w:left w:val="none" w:sz="0" w:space="0" w:color="auto"/>
        <w:bottom w:val="none" w:sz="0" w:space="0" w:color="auto"/>
        <w:right w:val="none" w:sz="0" w:space="0" w:color="auto"/>
      </w:divBdr>
    </w:div>
    <w:div w:id="142740043">
      <w:bodyDiv w:val="1"/>
      <w:marLeft w:val="0"/>
      <w:marRight w:val="0"/>
      <w:marTop w:val="0"/>
      <w:marBottom w:val="0"/>
      <w:divBdr>
        <w:top w:val="none" w:sz="0" w:space="0" w:color="auto"/>
        <w:left w:val="none" w:sz="0" w:space="0" w:color="auto"/>
        <w:bottom w:val="none" w:sz="0" w:space="0" w:color="auto"/>
        <w:right w:val="none" w:sz="0" w:space="0" w:color="auto"/>
      </w:divBdr>
    </w:div>
    <w:div w:id="142890617">
      <w:bodyDiv w:val="1"/>
      <w:marLeft w:val="0"/>
      <w:marRight w:val="0"/>
      <w:marTop w:val="0"/>
      <w:marBottom w:val="0"/>
      <w:divBdr>
        <w:top w:val="none" w:sz="0" w:space="0" w:color="auto"/>
        <w:left w:val="none" w:sz="0" w:space="0" w:color="auto"/>
        <w:bottom w:val="none" w:sz="0" w:space="0" w:color="auto"/>
        <w:right w:val="none" w:sz="0" w:space="0" w:color="auto"/>
      </w:divBdr>
    </w:div>
    <w:div w:id="143090928">
      <w:bodyDiv w:val="1"/>
      <w:marLeft w:val="0"/>
      <w:marRight w:val="0"/>
      <w:marTop w:val="0"/>
      <w:marBottom w:val="0"/>
      <w:divBdr>
        <w:top w:val="none" w:sz="0" w:space="0" w:color="auto"/>
        <w:left w:val="none" w:sz="0" w:space="0" w:color="auto"/>
        <w:bottom w:val="none" w:sz="0" w:space="0" w:color="auto"/>
        <w:right w:val="none" w:sz="0" w:space="0" w:color="auto"/>
      </w:divBdr>
    </w:div>
    <w:div w:id="143205562">
      <w:bodyDiv w:val="1"/>
      <w:marLeft w:val="0"/>
      <w:marRight w:val="0"/>
      <w:marTop w:val="0"/>
      <w:marBottom w:val="0"/>
      <w:divBdr>
        <w:top w:val="none" w:sz="0" w:space="0" w:color="auto"/>
        <w:left w:val="none" w:sz="0" w:space="0" w:color="auto"/>
        <w:bottom w:val="none" w:sz="0" w:space="0" w:color="auto"/>
        <w:right w:val="none" w:sz="0" w:space="0" w:color="auto"/>
      </w:divBdr>
    </w:div>
    <w:div w:id="143396868">
      <w:bodyDiv w:val="1"/>
      <w:marLeft w:val="0"/>
      <w:marRight w:val="0"/>
      <w:marTop w:val="0"/>
      <w:marBottom w:val="0"/>
      <w:divBdr>
        <w:top w:val="none" w:sz="0" w:space="0" w:color="auto"/>
        <w:left w:val="none" w:sz="0" w:space="0" w:color="auto"/>
        <w:bottom w:val="none" w:sz="0" w:space="0" w:color="auto"/>
        <w:right w:val="none" w:sz="0" w:space="0" w:color="auto"/>
      </w:divBdr>
    </w:div>
    <w:div w:id="143939026">
      <w:bodyDiv w:val="1"/>
      <w:marLeft w:val="0"/>
      <w:marRight w:val="0"/>
      <w:marTop w:val="0"/>
      <w:marBottom w:val="0"/>
      <w:divBdr>
        <w:top w:val="none" w:sz="0" w:space="0" w:color="auto"/>
        <w:left w:val="none" w:sz="0" w:space="0" w:color="auto"/>
        <w:bottom w:val="none" w:sz="0" w:space="0" w:color="auto"/>
        <w:right w:val="none" w:sz="0" w:space="0" w:color="auto"/>
      </w:divBdr>
    </w:div>
    <w:div w:id="144128363">
      <w:bodyDiv w:val="1"/>
      <w:marLeft w:val="0"/>
      <w:marRight w:val="0"/>
      <w:marTop w:val="0"/>
      <w:marBottom w:val="0"/>
      <w:divBdr>
        <w:top w:val="none" w:sz="0" w:space="0" w:color="auto"/>
        <w:left w:val="none" w:sz="0" w:space="0" w:color="auto"/>
        <w:bottom w:val="none" w:sz="0" w:space="0" w:color="auto"/>
        <w:right w:val="none" w:sz="0" w:space="0" w:color="auto"/>
      </w:divBdr>
    </w:div>
    <w:div w:id="144518828">
      <w:bodyDiv w:val="1"/>
      <w:marLeft w:val="0"/>
      <w:marRight w:val="0"/>
      <w:marTop w:val="0"/>
      <w:marBottom w:val="0"/>
      <w:divBdr>
        <w:top w:val="none" w:sz="0" w:space="0" w:color="auto"/>
        <w:left w:val="none" w:sz="0" w:space="0" w:color="auto"/>
        <w:bottom w:val="none" w:sz="0" w:space="0" w:color="auto"/>
        <w:right w:val="none" w:sz="0" w:space="0" w:color="auto"/>
      </w:divBdr>
    </w:div>
    <w:div w:id="144784578">
      <w:bodyDiv w:val="1"/>
      <w:marLeft w:val="0"/>
      <w:marRight w:val="0"/>
      <w:marTop w:val="0"/>
      <w:marBottom w:val="0"/>
      <w:divBdr>
        <w:top w:val="none" w:sz="0" w:space="0" w:color="auto"/>
        <w:left w:val="none" w:sz="0" w:space="0" w:color="auto"/>
        <w:bottom w:val="none" w:sz="0" w:space="0" w:color="auto"/>
        <w:right w:val="none" w:sz="0" w:space="0" w:color="auto"/>
      </w:divBdr>
    </w:div>
    <w:div w:id="145052606">
      <w:bodyDiv w:val="1"/>
      <w:marLeft w:val="0"/>
      <w:marRight w:val="0"/>
      <w:marTop w:val="0"/>
      <w:marBottom w:val="0"/>
      <w:divBdr>
        <w:top w:val="none" w:sz="0" w:space="0" w:color="auto"/>
        <w:left w:val="none" w:sz="0" w:space="0" w:color="auto"/>
        <w:bottom w:val="none" w:sz="0" w:space="0" w:color="auto"/>
        <w:right w:val="none" w:sz="0" w:space="0" w:color="auto"/>
      </w:divBdr>
    </w:div>
    <w:div w:id="145055965">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5362561">
      <w:bodyDiv w:val="1"/>
      <w:marLeft w:val="0"/>
      <w:marRight w:val="0"/>
      <w:marTop w:val="0"/>
      <w:marBottom w:val="0"/>
      <w:divBdr>
        <w:top w:val="none" w:sz="0" w:space="0" w:color="auto"/>
        <w:left w:val="none" w:sz="0" w:space="0" w:color="auto"/>
        <w:bottom w:val="none" w:sz="0" w:space="0" w:color="auto"/>
        <w:right w:val="none" w:sz="0" w:space="0" w:color="auto"/>
      </w:divBdr>
    </w:div>
    <w:div w:id="145436609">
      <w:bodyDiv w:val="1"/>
      <w:marLeft w:val="0"/>
      <w:marRight w:val="0"/>
      <w:marTop w:val="0"/>
      <w:marBottom w:val="0"/>
      <w:divBdr>
        <w:top w:val="none" w:sz="0" w:space="0" w:color="auto"/>
        <w:left w:val="none" w:sz="0" w:space="0" w:color="auto"/>
        <w:bottom w:val="none" w:sz="0" w:space="0" w:color="auto"/>
        <w:right w:val="none" w:sz="0" w:space="0" w:color="auto"/>
      </w:divBdr>
    </w:div>
    <w:div w:id="145900829">
      <w:bodyDiv w:val="1"/>
      <w:marLeft w:val="0"/>
      <w:marRight w:val="0"/>
      <w:marTop w:val="0"/>
      <w:marBottom w:val="0"/>
      <w:divBdr>
        <w:top w:val="none" w:sz="0" w:space="0" w:color="auto"/>
        <w:left w:val="none" w:sz="0" w:space="0" w:color="auto"/>
        <w:bottom w:val="none" w:sz="0" w:space="0" w:color="auto"/>
        <w:right w:val="none" w:sz="0" w:space="0" w:color="auto"/>
      </w:divBdr>
    </w:div>
    <w:div w:id="146669904">
      <w:bodyDiv w:val="1"/>
      <w:marLeft w:val="0"/>
      <w:marRight w:val="0"/>
      <w:marTop w:val="0"/>
      <w:marBottom w:val="0"/>
      <w:divBdr>
        <w:top w:val="none" w:sz="0" w:space="0" w:color="auto"/>
        <w:left w:val="none" w:sz="0" w:space="0" w:color="auto"/>
        <w:bottom w:val="none" w:sz="0" w:space="0" w:color="auto"/>
        <w:right w:val="none" w:sz="0" w:space="0" w:color="auto"/>
      </w:divBdr>
    </w:div>
    <w:div w:id="147481951">
      <w:bodyDiv w:val="1"/>
      <w:marLeft w:val="0"/>
      <w:marRight w:val="0"/>
      <w:marTop w:val="0"/>
      <w:marBottom w:val="0"/>
      <w:divBdr>
        <w:top w:val="none" w:sz="0" w:space="0" w:color="auto"/>
        <w:left w:val="none" w:sz="0" w:space="0" w:color="auto"/>
        <w:bottom w:val="none" w:sz="0" w:space="0" w:color="auto"/>
        <w:right w:val="none" w:sz="0" w:space="0" w:color="auto"/>
      </w:divBdr>
    </w:div>
    <w:div w:id="147862391">
      <w:bodyDiv w:val="1"/>
      <w:marLeft w:val="0"/>
      <w:marRight w:val="0"/>
      <w:marTop w:val="0"/>
      <w:marBottom w:val="0"/>
      <w:divBdr>
        <w:top w:val="none" w:sz="0" w:space="0" w:color="auto"/>
        <w:left w:val="none" w:sz="0" w:space="0" w:color="auto"/>
        <w:bottom w:val="none" w:sz="0" w:space="0" w:color="auto"/>
        <w:right w:val="none" w:sz="0" w:space="0" w:color="auto"/>
      </w:divBdr>
    </w:div>
    <w:div w:id="148060885">
      <w:bodyDiv w:val="1"/>
      <w:marLeft w:val="0"/>
      <w:marRight w:val="0"/>
      <w:marTop w:val="0"/>
      <w:marBottom w:val="0"/>
      <w:divBdr>
        <w:top w:val="none" w:sz="0" w:space="0" w:color="auto"/>
        <w:left w:val="none" w:sz="0" w:space="0" w:color="auto"/>
        <w:bottom w:val="none" w:sz="0" w:space="0" w:color="auto"/>
        <w:right w:val="none" w:sz="0" w:space="0" w:color="auto"/>
      </w:divBdr>
    </w:div>
    <w:div w:id="148443649">
      <w:bodyDiv w:val="1"/>
      <w:marLeft w:val="0"/>
      <w:marRight w:val="0"/>
      <w:marTop w:val="0"/>
      <w:marBottom w:val="0"/>
      <w:divBdr>
        <w:top w:val="none" w:sz="0" w:space="0" w:color="auto"/>
        <w:left w:val="none" w:sz="0" w:space="0" w:color="auto"/>
        <w:bottom w:val="none" w:sz="0" w:space="0" w:color="auto"/>
        <w:right w:val="none" w:sz="0" w:space="0" w:color="auto"/>
      </w:divBdr>
    </w:div>
    <w:div w:id="148445875">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49947769">
      <w:bodyDiv w:val="1"/>
      <w:marLeft w:val="0"/>
      <w:marRight w:val="0"/>
      <w:marTop w:val="0"/>
      <w:marBottom w:val="0"/>
      <w:divBdr>
        <w:top w:val="none" w:sz="0" w:space="0" w:color="auto"/>
        <w:left w:val="none" w:sz="0" w:space="0" w:color="auto"/>
        <w:bottom w:val="none" w:sz="0" w:space="0" w:color="auto"/>
        <w:right w:val="none" w:sz="0" w:space="0" w:color="auto"/>
      </w:divBdr>
    </w:div>
    <w:div w:id="150175119">
      <w:bodyDiv w:val="1"/>
      <w:marLeft w:val="0"/>
      <w:marRight w:val="0"/>
      <w:marTop w:val="0"/>
      <w:marBottom w:val="0"/>
      <w:divBdr>
        <w:top w:val="none" w:sz="0" w:space="0" w:color="auto"/>
        <w:left w:val="none" w:sz="0" w:space="0" w:color="auto"/>
        <w:bottom w:val="none" w:sz="0" w:space="0" w:color="auto"/>
        <w:right w:val="none" w:sz="0" w:space="0" w:color="auto"/>
      </w:divBdr>
    </w:div>
    <w:div w:id="150561232">
      <w:bodyDiv w:val="1"/>
      <w:marLeft w:val="0"/>
      <w:marRight w:val="0"/>
      <w:marTop w:val="0"/>
      <w:marBottom w:val="0"/>
      <w:divBdr>
        <w:top w:val="none" w:sz="0" w:space="0" w:color="auto"/>
        <w:left w:val="none" w:sz="0" w:space="0" w:color="auto"/>
        <w:bottom w:val="none" w:sz="0" w:space="0" w:color="auto"/>
        <w:right w:val="none" w:sz="0" w:space="0" w:color="auto"/>
      </w:divBdr>
    </w:div>
    <w:div w:id="150603923">
      <w:bodyDiv w:val="1"/>
      <w:marLeft w:val="0"/>
      <w:marRight w:val="0"/>
      <w:marTop w:val="0"/>
      <w:marBottom w:val="0"/>
      <w:divBdr>
        <w:top w:val="none" w:sz="0" w:space="0" w:color="auto"/>
        <w:left w:val="none" w:sz="0" w:space="0" w:color="auto"/>
        <w:bottom w:val="none" w:sz="0" w:space="0" w:color="auto"/>
        <w:right w:val="none" w:sz="0" w:space="0" w:color="auto"/>
      </w:divBdr>
    </w:div>
    <w:div w:id="150951978">
      <w:bodyDiv w:val="1"/>
      <w:marLeft w:val="0"/>
      <w:marRight w:val="0"/>
      <w:marTop w:val="0"/>
      <w:marBottom w:val="0"/>
      <w:divBdr>
        <w:top w:val="none" w:sz="0" w:space="0" w:color="auto"/>
        <w:left w:val="none" w:sz="0" w:space="0" w:color="auto"/>
        <w:bottom w:val="none" w:sz="0" w:space="0" w:color="auto"/>
        <w:right w:val="none" w:sz="0" w:space="0" w:color="auto"/>
      </w:divBdr>
    </w:div>
    <w:div w:id="151141627">
      <w:bodyDiv w:val="1"/>
      <w:marLeft w:val="0"/>
      <w:marRight w:val="0"/>
      <w:marTop w:val="0"/>
      <w:marBottom w:val="0"/>
      <w:divBdr>
        <w:top w:val="none" w:sz="0" w:space="0" w:color="auto"/>
        <w:left w:val="none" w:sz="0" w:space="0" w:color="auto"/>
        <w:bottom w:val="none" w:sz="0" w:space="0" w:color="auto"/>
        <w:right w:val="none" w:sz="0" w:space="0" w:color="auto"/>
      </w:divBdr>
    </w:div>
    <w:div w:id="151409409">
      <w:bodyDiv w:val="1"/>
      <w:marLeft w:val="0"/>
      <w:marRight w:val="0"/>
      <w:marTop w:val="0"/>
      <w:marBottom w:val="0"/>
      <w:divBdr>
        <w:top w:val="none" w:sz="0" w:space="0" w:color="auto"/>
        <w:left w:val="none" w:sz="0" w:space="0" w:color="auto"/>
        <w:bottom w:val="none" w:sz="0" w:space="0" w:color="auto"/>
        <w:right w:val="none" w:sz="0" w:space="0" w:color="auto"/>
      </w:divBdr>
    </w:div>
    <w:div w:id="151722680">
      <w:bodyDiv w:val="1"/>
      <w:marLeft w:val="0"/>
      <w:marRight w:val="0"/>
      <w:marTop w:val="0"/>
      <w:marBottom w:val="0"/>
      <w:divBdr>
        <w:top w:val="none" w:sz="0" w:space="0" w:color="auto"/>
        <w:left w:val="none" w:sz="0" w:space="0" w:color="auto"/>
        <w:bottom w:val="none" w:sz="0" w:space="0" w:color="auto"/>
        <w:right w:val="none" w:sz="0" w:space="0" w:color="auto"/>
      </w:divBdr>
    </w:div>
    <w:div w:id="152573232">
      <w:bodyDiv w:val="1"/>
      <w:marLeft w:val="0"/>
      <w:marRight w:val="0"/>
      <w:marTop w:val="0"/>
      <w:marBottom w:val="0"/>
      <w:divBdr>
        <w:top w:val="none" w:sz="0" w:space="0" w:color="auto"/>
        <w:left w:val="none" w:sz="0" w:space="0" w:color="auto"/>
        <w:bottom w:val="none" w:sz="0" w:space="0" w:color="auto"/>
        <w:right w:val="none" w:sz="0" w:space="0" w:color="auto"/>
      </w:divBdr>
    </w:div>
    <w:div w:id="152645869">
      <w:bodyDiv w:val="1"/>
      <w:marLeft w:val="0"/>
      <w:marRight w:val="0"/>
      <w:marTop w:val="0"/>
      <w:marBottom w:val="0"/>
      <w:divBdr>
        <w:top w:val="none" w:sz="0" w:space="0" w:color="auto"/>
        <w:left w:val="none" w:sz="0" w:space="0" w:color="auto"/>
        <w:bottom w:val="none" w:sz="0" w:space="0" w:color="auto"/>
        <w:right w:val="none" w:sz="0" w:space="0" w:color="auto"/>
      </w:divBdr>
    </w:div>
    <w:div w:id="152725004">
      <w:bodyDiv w:val="1"/>
      <w:marLeft w:val="0"/>
      <w:marRight w:val="0"/>
      <w:marTop w:val="0"/>
      <w:marBottom w:val="0"/>
      <w:divBdr>
        <w:top w:val="none" w:sz="0" w:space="0" w:color="auto"/>
        <w:left w:val="none" w:sz="0" w:space="0" w:color="auto"/>
        <w:bottom w:val="none" w:sz="0" w:space="0" w:color="auto"/>
        <w:right w:val="none" w:sz="0" w:space="0" w:color="auto"/>
      </w:divBdr>
    </w:div>
    <w:div w:id="152838165">
      <w:bodyDiv w:val="1"/>
      <w:marLeft w:val="0"/>
      <w:marRight w:val="0"/>
      <w:marTop w:val="0"/>
      <w:marBottom w:val="0"/>
      <w:divBdr>
        <w:top w:val="none" w:sz="0" w:space="0" w:color="auto"/>
        <w:left w:val="none" w:sz="0" w:space="0" w:color="auto"/>
        <w:bottom w:val="none" w:sz="0" w:space="0" w:color="auto"/>
        <w:right w:val="none" w:sz="0" w:space="0" w:color="auto"/>
      </w:divBdr>
    </w:div>
    <w:div w:id="153299881">
      <w:bodyDiv w:val="1"/>
      <w:marLeft w:val="0"/>
      <w:marRight w:val="0"/>
      <w:marTop w:val="0"/>
      <w:marBottom w:val="0"/>
      <w:divBdr>
        <w:top w:val="none" w:sz="0" w:space="0" w:color="auto"/>
        <w:left w:val="none" w:sz="0" w:space="0" w:color="auto"/>
        <w:bottom w:val="none" w:sz="0" w:space="0" w:color="auto"/>
        <w:right w:val="none" w:sz="0" w:space="0" w:color="auto"/>
      </w:divBdr>
    </w:div>
    <w:div w:id="153886216">
      <w:bodyDiv w:val="1"/>
      <w:marLeft w:val="0"/>
      <w:marRight w:val="0"/>
      <w:marTop w:val="0"/>
      <w:marBottom w:val="0"/>
      <w:divBdr>
        <w:top w:val="none" w:sz="0" w:space="0" w:color="auto"/>
        <w:left w:val="none" w:sz="0" w:space="0" w:color="auto"/>
        <w:bottom w:val="none" w:sz="0" w:space="0" w:color="auto"/>
        <w:right w:val="none" w:sz="0" w:space="0" w:color="auto"/>
      </w:divBdr>
    </w:div>
    <w:div w:id="154031766">
      <w:bodyDiv w:val="1"/>
      <w:marLeft w:val="0"/>
      <w:marRight w:val="0"/>
      <w:marTop w:val="0"/>
      <w:marBottom w:val="0"/>
      <w:divBdr>
        <w:top w:val="none" w:sz="0" w:space="0" w:color="auto"/>
        <w:left w:val="none" w:sz="0" w:space="0" w:color="auto"/>
        <w:bottom w:val="none" w:sz="0" w:space="0" w:color="auto"/>
        <w:right w:val="none" w:sz="0" w:space="0" w:color="auto"/>
      </w:divBdr>
    </w:div>
    <w:div w:id="154348673">
      <w:bodyDiv w:val="1"/>
      <w:marLeft w:val="0"/>
      <w:marRight w:val="0"/>
      <w:marTop w:val="0"/>
      <w:marBottom w:val="0"/>
      <w:divBdr>
        <w:top w:val="none" w:sz="0" w:space="0" w:color="auto"/>
        <w:left w:val="none" w:sz="0" w:space="0" w:color="auto"/>
        <w:bottom w:val="none" w:sz="0" w:space="0" w:color="auto"/>
        <w:right w:val="none" w:sz="0" w:space="0" w:color="auto"/>
      </w:divBdr>
    </w:div>
    <w:div w:id="154421248">
      <w:bodyDiv w:val="1"/>
      <w:marLeft w:val="0"/>
      <w:marRight w:val="0"/>
      <w:marTop w:val="0"/>
      <w:marBottom w:val="0"/>
      <w:divBdr>
        <w:top w:val="none" w:sz="0" w:space="0" w:color="auto"/>
        <w:left w:val="none" w:sz="0" w:space="0" w:color="auto"/>
        <w:bottom w:val="none" w:sz="0" w:space="0" w:color="auto"/>
        <w:right w:val="none" w:sz="0" w:space="0" w:color="auto"/>
      </w:divBdr>
    </w:div>
    <w:div w:id="154998561">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539590">
      <w:bodyDiv w:val="1"/>
      <w:marLeft w:val="0"/>
      <w:marRight w:val="0"/>
      <w:marTop w:val="0"/>
      <w:marBottom w:val="0"/>
      <w:divBdr>
        <w:top w:val="none" w:sz="0" w:space="0" w:color="auto"/>
        <w:left w:val="none" w:sz="0" w:space="0" w:color="auto"/>
        <w:bottom w:val="none" w:sz="0" w:space="0" w:color="auto"/>
        <w:right w:val="none" w:sz="0" w:space="0" w:color="auto"/>
      </w:divBdr>
    </w:div>
    <w:div w:id="155583856">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55658515">
      <w:bodyDiv w:val="1"/>
      <w:marLeft w:val="0"/>
      <w:marRight w:val="0"/>
      <w:marTop w:val="0"/>
      <w:marBottom w:val="0"/>
      <w:divBdr>
        <w:top w:val="none" w:sz="0" w:space="0" w:color="auto"/>
        <w:left w:val="none" w:sz="0" w:space="0" w:color="auto"/>
        <w:bottom w:val="none" w:sz="0" w:space="0" w:color="auto"/>
        <w:right w:val="none" w:sz="0" w:space="0" w:color="auto"/>
      </w:divBdr>
    </w:div>
    <w:div w:id="155876339">
      <w:bodyDiv w:val="1"/>
      <w:marLeft w:val="0"/>
      <w:marRight w:val="0"/>
      <w:marTop w:val="0"/>
      <w:marBottom w:val="0"/>
      <w:divBdr>
        <w:top w:val="none" w:sz="0" w:space="0" w:color="auto"/>
        <w:left w:val="none" w:sz="0" w:space="0" w:color="auto"/>
        <w:bottom w:val="none" w:sz="0" w:space="0" w:color="auto"/>
        <w:right w:val="none" w:sz="0" w:space="0" w:color="auto"/>
      </w:divBdr>
    </w:div>
    <w:div w:id="156119505">
      <w:bodyDiv w:val="1"/>
      <w:marLeft w:val="0"/>
      <w:marRight w:val="0"/>
      <w:marTop w:val="0"/>
      <w:marBottom w:val="0"/>
      <w:divBdr>
        <w:top w:val="none" w:sz="0" w:space="0" w:color="auto"/>
        <w:left w:val="none" w:sz="0" w:space="0" w:color="auto"/>
        <w:bottom w:val="none" w:sz="0" w:space="0" w:color="auto"/>
        <w:right w:val="none" w:sz="0" w:space="0" w:color="auto"/>
      </w:divBdr>
    </w:div>
    <w:div w:id="156269209">
      <w:bodyDiv w:val="1"/>
      <w:marLeft w:val="0"/>
      <w:marRight w:val="0"/>
      <w:marTop w:val="0"/>
      <w:marBottom w:val="0"/>
      <w:divBdr>
        <w:top w:val="none" w:sz="0" w:space="0" w:color="auto"/>
        <w:left w:val="none" w:sz="0" w:space="0" w:color="auto"/>
        <w:bottom w:val="none" w:sz="0" w:space="0" w:color="auto"/>
        <w:right w:val="none" w:sz="0" w:space="0" w:color="auto"/>
      </w:divBdr>
    </w:div>
    <w:div w:id="156506027">
      <w:bodyDiv w:val="1"/>
      <w:marLeft w:val="0"/>
      <w:marRight w:val="0"/>
      <w:marTop w:val="0"/>
      <w:marBottom w:val="0"/>
      <w:divBdr>
        <w:top w:val="none" w:sz="0" w:space="0" w:color="auto"/>
        <w:left w:val="none" w:sz="0" w:space="0" w:color="auto"/>
        <w:bottom w:val="none" w:sz="0" w:space="0" w:color="auto"/>
        <w:right w:val="none" w:sz="0" w:space="0" w:color="auto"/>
      </w:divBdr>
    </w:div>
    <w:div w:id="156969307">
      <w:bodyDiv w:val="1"/>
      <w:marLeft w:val="0"/>
      <w:marRight w:val="0"/>
      <w:marTop w:val="0"/>
      <w:marBottom w:val="0"/>
      <w:divBdr>
        <w:top w:val="none" w:sz="0" w:space="0" w:color="auto"/>
        <w:left w:val="none" w:sz="0" w:space="0" w:color="auto"/>
        <w:bottom w:val="none" w:sz="0" w:space="0" w:color="auto"/>
        <w:right w:val="none" w:sz="0" w:space="0" w:color="auto"/>
      </w:divBdr>
    </w:div>
    <w:div w:id="157042217">
      <w:bodyDiv w:val="1"/>
      <w:marLeft w:val="0"/>
      <w:marRight w:val="0"/>
      <w:marTop w:val="0"/>
      <w:marBottom w:val="0"/>
      <w:divBdr>
        <w:top w:val="none" w:sz="0" w:space="0" w:color="auto"/>
        <w:left w:val="none" w:sz="0" w:space="0" w:color="auto"/>
        <w:bottom w:val="none" w:sz="0" w:space="0" w:color="auto"/>
        <w:right w:val="none" w:sz="0" w:space="0" w:color="auto"/>
      </w:divBdr>
    </w:div>
    <w:div w:id="157575758">
      <w:bodyDiv w:val="1"/>
      <w:marLeft w:val="0"/>
      <w:marRight w:val="0"/>
      <w:marTop w:val="0"/>
      <w:marBottom w:val="0"/>
      <w:divBdr>
        <w:top w:val="none" w:sz="0" w:space="0" w:color="auto"/>
        <w:left w:val="none" w:sz="0" w:space="0" w:color="auto"/>
        <w:bottom w:val="none" w:sz="0" w:space="0" w:color="auto"/>
        <w:right w:val="none" w:sz="0" w:space="0" w:color="auto"/>
      </w:divBdr>
    </w:div>
    <w:div w:id="157620333">
      <w:bodyDiv w:val="1"/>
      <w:marLeft w:val="0"/>
      <w:marRight w:val="0"/>
      <w:marTop w:val="0"/>
      <w:marBottom w:val="0"/>
      <w:divBdr>
        <w:top w:val="none" w:sz="0" w:space="0" w:color="auto"/>
        <w:left w:val="none" w:sz="0" w:space="0" w:color="auto"/>
        <w:bottom w:val="none" w:sz="0" w:space="0" w:color="auto"/>
        <w:right w:val="none" w:sz="0" w:space="0" w:color="auto"/>
      </w:divBdr>
    </w:div>
    <w:div w:id="157770250">
      <w:bodyDiv w:val="1"/>
      <w:marLeft w:val="0"/>
      <w:marRight w:val="0"/>
      <w:marTop w:val="0"/>
      <w:marBottom w:val="0"/>
      <w:divBdr>
        <w:top w:val="none" w:sz="0" w:space="0" w:color="auto"/>
        <w:left w:val="none" w:sz="0" w:space="0" w:color="auto"/>
        <w:bottom w:val="none" w:sz="0" w:space="0" w:color="auto"/>
        <w:right w:val="none" w:sz="0" w:space="0" w:color="auto"/>
      </w:divBdr>
    </w:div>
    <w:div w:id="157889483">
      <w:bodyDiv w:val="1"/>
      <w:marLeft w:val="0"/>
      <w:marRight w:val="0"/>
      <w:marTop w:val="0"/>
      <w:marBottom w:val="0"/>
      <w:divBdr>
        <w:top w:val="none" w:sz="0" w:space="0" w:color="auto"/>
        <w:left w:val="none" w:sz="0" w:space="0" w:color="auto"/>
        <w:bottom w:val="none" w:sz="0" w:space="0" w:color="auto"/>
        <w:right w:val="none" w:sz="0" w:space="0" w:color="auto"/>
      </w:divBdr>
    </w:div>
    <w:div w:id="158009123">
      <w:bodyDiv w:val="1"/>
      <w:marLeft w:val="0"/>
      <w:marRight w:val="0"/>
      <w:marTop w:val="0"/>
      <w:marBottom w:val="0"/>
      <w:divBdr>
        <w:top w:val="none" w:sz="0" w:space="0" w:color="auto"/>
        <w:left w:val="none" w:sz="0" w:space="0" w:color="auto"/>
        <w:bottom w:val="none" w:sz="0" w:space="0" w:color="auto"/>
        <w:right w:val="none" w:sz="0" w:space="0" w:color="auto"/>
      </w:divBdr>
    </w:div>
    <w:div w:id="158086475">
      <w:bodyDiv w:val="1"/>
      <w:marLeft w:val="0"/>
      <w:marRight w:val="0"/>
      <w:marTop w:val="0"/>
      <w:marBottom w:val="0"/>
      <w:divBdr>
        <w:top w:val="none" w:sz="0" w:space="0" w:color="auto"/>
        <w:left w:val="none" w:sz="0" w:space="0" w:color="auto"/>
        <w:bottom w:val="none" w:sz="0" w:space="0" w:color="auto"/>
        <w:right w:val="none" w:sz="0" w:space="0" w:color="auto"/>
      </w:divBdr>
    </w:div>
    <w:div w:id="158155017">
      <w:bodyDiv w:val="1"/>
      <w:marLeft w:val="0"/>
      <w:marRight w:val="0"/>
      <w:marTop w:val="0"/>
      <w:marBottom w:val="0"/>
      <w:divBdr>
        <w:top w:val="none" w:sz="0" w:space="0" w:color="auto"/>
        <w:left w:val="none" w:sz="0" w:space="0" w:color="auto"/>
        <w:bottom w:val="none" w:sz="0" w:space="0" w:color="auto"/>
        <w:right w:val="none" w:sz="0" w:space="0" w:color="auto"/>
      </w:divBdr>
    </w:div>
    <w:div w:id="158427262">
      <w:bodyDiv w:val="1"/>
      <w:marLeft w:val="0"/>
      <w:marRight w:val="0"/>
      <w:marTop w:val="0"/>
      <w:marBottom w:val="0"/>
      <w:divBdr>
        <w:top w:val="none" w:sz="0" w:space="0" w:color="auto"/>
        <w:left w:val="none" w:sz="0" w:space="0" w:color="auto"/>
        <w:bottom w:val="none" w:sz="0" w:space="0" w:color="auto"/>
        <w:right w:val="none" w:sz="0" w:space="0" w:color="auto"/>
      </w:divBdr>
    </w:div>
    <w:div w:id="158539455">
      <w:bodyDiv w:val="1"/>
      <w:marLeft w:val="0"/>
      <w:marRight w:val="0"/>
      <w:marTop w:val="0"/>
      <w:marBottom w:val="0"/>
      <w:divBdr>
        <w:top w:val="none" w:sz="0" w:space="0" w:color="auto"/>
        <w:left w:val="none" w:sz="0" w:space="0" w:color="auto"/>
        <w:bottom w:val="none" w:sz="0" w:space="0" w:color="auto"/>
        <w:right w:val="none" w:sz="0" w:space="0" w:color="auto"/>
      </w:divBdr>
    </w:div>
    <w:div w:id="159127702">
      <w:bodyDiv w:val="1"/>
      <w:marLeft w:val="0"/>
      <w:marRight w:val="0"/>
      <w:marTop w:val="0"/>
      <w:marBottom w:val="0"/>
      <w:divBdr>
        <w:top w:val="none" w:sz="0" w:space="0" w:color="auto"/>
        <w:left w:val="none" w:sz="0" w:space="0" w:color="auto"/>
        <w:bottom w:val="none" w:sz="0" w:space="0" w:color="auto"/>
        <w:right w:val="none" w:sz="0" w:space="0" w:color="auto"/>
      </w:divBdr>
    </w:div>
    <w:div w:id="159153521">
      <w:bodyDiv w:val="1"/>
      <w:marLeft w:val="0"/>
      <w:marRight w:val="0"/>
      <w:marTop w:val="0"/>
      <w:marBottom w:val="0"/>
      <w:divBdr>
        <w:top w:val="none" w:sz="0" w:space="0" w:color="auto"/>
        <w:left w:val="none" w:sz="0" w:space="0" w:color="auto"/>
        <w:bottom w:val="none" w:sz="0" w:space="0" w:color="auto"/>
        <w:right w:val="none" w:sz="0" w:space="0" w:color="auto"/>
      </w:divBdr>
    </w:div>
    <w:div w:id="159274999">
      <w:bodyDiv w:val="1"/>
      <w:marLeft w:val="0"/>
      <w:marRight w:val="0"/>
      <w:marTop w:val="0"/>
      <w:marBottom w:val="0"/>
      <w:divBdr>
        <w:top w:val="none" w:sz="0" w:space="0" w:color="auto"/>
        <w:left w:val="none" w:sz="0" w:space="0" w:color="auto"/>
        <w:bottom w:val="none" w:sz="0" w:space="0" w:color="auto"/>
        <w:right w:val="none" w:sz="0" w:space="0" w:color="auto"/>
      </w:divBdr>
    </w:div>
    <w:div w:id="159463954">
      <w:bodyDiv w:val="1"/>
      <w:marLeft w:val="0"/>
      <w:marRight w:val="0"/>
      <w:marTop w:val="0"/>
      <w:marBottom w:val="0"/>
      <w:divBdr>
        <w:top w:val="none" w:sz="0" w:space="0" w:color="auto"/>
        <w:left w:val="none" w:sz="0" w:space="0" w:color="auto"/>
        <w:bottom w:val="none" w:sz="0" w:space="0" w:color="auto"/>
        <w:right w:val="none" w:sz="0" w:space="0" w:color="auto"/>
      </w:divBdr>
    </w:div>
    <w:div w:id="159464797">
      <w:bodyDiv w:val="1"/>
      <w:marLeft w:val="0"/>
      <w:marRight w:val="0"/>
      <w:marTop w:val="0"/>
      <w:marBottom w:val="0"/>
      <w:divBdr>
        <w:top w:val="none" w:sz="0" w:space="0" w:color="auto"/>
        <w:left w:val="none" w:sz="0" w:space="0" w:color="auto"/>
        <w:bottom w:val="none" w:sz="0" w:space="0" w:color="auto"/>
        <w:right w:val="none" w:sz="0" w:space="0" w:color="auto"/>
      </w:divBdr>
    </w:div>
    <w:div w:id="159665032">
      <w:bodyDiv w:val="1"/>
      <w:marLeft w:val="0"/>
      <w:marRight w:val="0"/>
      <w:marTop w:val="0"/>
      <w:marBottom w:val="0"/>
      <w:divBdr>
        <w:top w:val="none" w:sz="0" w:space="0" w:color="auto"/>
        <w:left w:val="none" w:sz="0" w:space="0" w:color="auto"/>
        <w:bottom w:val="none" w:sz="0" w:space="0" w:color="auto"/>
        <w:right w:val="none" w:sz="0" w:space="0" w:color="auto"/>
      </w:divBdr>
    </w:div>
    <w:div w:id="159736766">
      <w:bodyDiv w:val="1"/>
      <w:marLeft w:val="0"/>
      <w:marRight w:val="0"/>
      <w:marTop w:val="0"/>
      <w:marBottom w:val="0"/>
      <w:divBdr>
        <w:top w:val="none" w:sz="0" w:space="0" w:color="auto"/>
        <w:left w:val="none" w:sz="0" w:space="0" w:color="auto"/>
        <w:bottom w:val="none" w:sz="0" w:space="0" w:color="auto"/>
        <w:right w:val="none" w:sz="0" w:space="0" w:color="auto"/>
      </w:divBdr>
    </w:div>
    <w:div w:id="159925435">
      <w:bodyDiv w:val="1"/>
      <w:marLeft w:val="0"/>
      <w:marRight w:val="0"/>
      <w:marTop w:val="0"/>
      <w:marBottom w:val="0"/>
      <w:divBdr>
        <w:top w:val="none" w:sz="0" w:space="0" w:color="auto"/>
        <w:left w:val="none" w:sz="0" w:space="0" w:color="auto"/>
        <w:bottom w:val="none" w:sz="0" w:space="0" w:color="auto"/>
        <w:right w:val="none" w:sz="0" w:space="0" w:color="auto"/>
      </w:divBdr>
    </w:div>
    <w:div w:id="159932318">
      <w:bodyDiv w:val="1"/>
      <w:marLeft w:val="0"/>
      <w:marRight w:val="0"/>
      <w:marTop w:val="0"/>
      <w:marBottom w:val="0"/>
      <w:divBdr>
        <w:top w:val="none" w:sz="0" w:space="0" w:color="auto"/>
        <w:left w:val="none" w:sz="0" w:space="0" w:color="auto"/>
        <w:bottom w:val="none" w:sz="0" w:space="0" w:color="auto"/>
        <w:right w:val="none" w:sz="0" w:space="0" w:color="auto"/>
      </w:divBdr>
    </w:div>
    <w:div w:id="160392246">
      <w:bodyDiv w:val="1"/>
      <w:marLeft w:val="0"/>
      <w:marRight w:val="0"/>
      <w:marTop w:val="0"/>
      <w:marBottom w:val="0"/>
      <w:divBdr>
        <w:top w:val="none" w:sz="0" w:space="0" w:color="auto"/>
        <w:left w:val="none" w:sz="0" w:space="0" w:color="auto"/>
        <w:bottom w:val="none" w:sz="0" w:space="0" w:color="auto"/>
        <w:right w:val="none" w:sz="0" w:space="0" w:color="auto"/>
      </w:divBdr>
    </w:div>
    <w:div w:id="160464364">
      <w:bodyDiv w:val="1"/>
      <w:marLeft w:val="0"/>
      <w:marRight w:val="0"/>
      <w:marTop w:val="0"/>
      <w:marBottom w:val="0"/>
      <w:divBdr>
        <w:top w:val="none" w:sz="0" w:space="0" w:color="auto"/>
        <w:left w:val="none" w:sz="0" w:space="0" w:color="auto"/>
        <w:bottom w:val="none" w:sz="0" w:space="0" w:color="auto"/>
        <w:right w:val="none" w:sz="0" w:space="0" w:color="auto"/>
      </w:divBdr>
    </w:div>
    <w:div w:id="160631018">
      <w:bodyDiv w:val="1"/>
      <w:marLeft w:val="0"/>
      <w:marRight w:val="0"/>
      <w:marTop w:val="0"/>
      <w:marBottom w:val="0"/>
      <w:divBdr>
        <w:top w:val="none" w:sz="0" w:space="0" w:color="auto"/>
        <w:left w:val="none" w:sz="0" w:space="0" w:color="auto"/>
        <w:bottom w:val="none" w:sz="0" w:space="0" w:color="auto"/>
        <w:right w:val="none" w:sz="0" w:space="0" w:color="auto"/>
      </w:divBdr>
    </w:div>
    <w:div w:id="160858050">
      <w:bodyDiv w:val="1"/>
      <w:marLeft w:val="0"/>
      <w:marRight w:val="0"/>
      <w:marTop w:val="0"/>
      <w:marBottom w:val="0"/>
      <w:divBdr>
        <w:top w:val="none" w:sz="0" w:space="0" w:color="auto"/>
        <w:left w:val="none" w:sz="0" w:space="0" w:color="auto"/>
        <w:bottom w:val="none" w:sz="0" w:space="0" w:color="auto"/>
        <w:right w:val="none" w:sz="0" w:space="0" w:color="auto"/>
      </w:divBdr>
    </w:div>
    <w:div w:id="161164786">
      <w:bodyDiv w:val="1"/>
      <w:marLeft w:val="0"/>
      <w:marRight w:val="0"/>
      <w:marTop w:val="0"/>
      <w:marBottom w:val="0"/>
      <w:divBdr>
        <w:top w:val="none" w:sz="0" w:space="0" w:color="auto"/>
        <w:left w:val="none" w:sz="0" w:space="0" w:color="auto"/>
        <w:bottom w:val="none" w:sz="0" w:space="0" w:color="auto"/>
        <w:right w:val="none" w:sz="0" w:space="0" w:color="auto"/>
      </w:divBdr>
    </w:div>
    <w:div w:id="161243406">
      <w:bodyDiv w:val="1"/>
      <w:marLeft w:val="0"/>
      <w:marRight w:val="0"/>
      <w:marTop w:val="0"/>
      <w:marBottom w:val="0"/>
      <w:divBdr>
        <w:top w:val="none" w:sz="0" w:space="0" w:color="auto"/>
        <w:left w:val="none" w:sz="0" w:space="0" w:color="auto"/>
        <w:bottom w:val="none" w:sz="0" w:space="0" w:color="auto"/>
        <w:right w:val="none" w:sz="0" w:space="0" w:color="auto"/>
      </w:divBdr>
    </w:div>
    <w:div w:id="161627108">
      <w:bodyDiv w:val="1"/>
      <w:marLeft w:val="0"/>
      <w:marRight w:val="0"/>
      <w:marTop w:val="0"/>
      <w:marBottom w:val="0"/>
      <w:divBdr>
        <w:top w:val="none" w:sz="0" w:space="0" w:color="auto"/>
        <w:left w:val="none" w:sz="0" w:space="0" w:color="auto"/>
        <w:bottom w:val="none" w:sz="0" w:space="0" w:color="auto"/>
        <w:right w:val="none" w:sz="0" w:space="0" w:color="auto"/>
      </w:divBdr>
    </w:div>
    <w:div w:id="161894376">
      <w:bodyDiv w:val="1"/>
      <w:marLeft w:val="0"/>
      <w:marRight w:val="0"/>
      <w:marTop w:val="0"/>
      <w:marBottom w:val="0"/>
      <w:divBdr>
        <w:top w:val="none" w:sz="0" w:space="0" w:color="auto"/>
        <w:left w:val="none" w:sz="0" w:space="0" w:color="auto"/>
        <w:bottom w:val="none" w:sz="0" w:space="0" w:color="auto"/>
        <w:right w:val="none" w:sz="0" w:space="0" w:color="auto"/>
      </w:divBdr>
    </w:div>
    <w:div w:id="161898856">
      <w:bodyDiv w:val="1"/>
      <w:marLeft w:val="0"/>
      <w:marRight w:val="0"/>
      <w:marTop w:val="0"/>
      <w:marBottom w:val="0"/>
      <w:divBdr>
        <w:top w:val="none" w:sz="0" w:space="0" w:color="auto"/>
        <w:left w:val="none" w:sz="0" w:space="0" w:color="auto"/>
        <w:bottom w:val="none" w:sz="0" w:space="0" w:color="auto"/>
        <w:right w:val="none" w:sz="0" w:space="0" w:color="auto"/>
      </w:divBdr>
    </w:div>
    <w:div w:id="161967948">
      <w:bodyDiv w:val="1"/>
      <w:marLeft w:val="0"/>
      <w:marRight w:val="0"/>
      <w:marTop w:val="0"/>
      <w:marBottom w:val="0"/>
      <w:divBdr>
        <w:top w:val="none" w:sz="0" w:space="0" w:color="auto"/>
        <w:left w:val="none" w:sz="0" w:space="0" w:color="auto"/>
        <w:bottom w:val="none" w:sz="0" w:space="0" w:color="auto"/>
        <w:right w:val="none" w:sz="0" w:space="0" w:color="auto"/>
      </w:divBdr>
    </w:div>
    <w:div w:id="162136509">
      <w:bodyDiv w:val="1"/>
      <w:marLeft w:val="0"/>
      <w:marRight w:val="0"/>
      <w:marTop w:val="0"/>
      <w:marBottom w:val="0"/>
      <w:divBdr>
        <w:top w:val="none" w:sz="0" w:space="0" w:color="auto"/>
        <w:left w:val="none" w:sz="0" w:space="0" w:color="auto"/>
        <w:bottom w:val="none" w:sz="0" w:space="0" w:color="auto"/>
        <w:right w:val="none" w:sz="0" w:space="0" w:color="auto"/>
      </w:divBdr>
    </w:div>
    <w:div w:id="162624350">
      <w:bodyDiv w:val="1"/>
      <w:marLeft w:val="0"/>
      <w:marRight w:val="0"/>
      <w:marTop w:val="0"/>
      <w:marBottom w:val="0"/>
      <w:divBdr>
        <w:top w:val="none" w:sz="0" w:space="0" w:color="auto"/>
        <w:left w:val="none" w:sz="0" w:space="0" w:color="auto"/>
        <w:bottom w:val="none" w:sz="0" w:space="0" w:color="auto"/>
        <w:right w:val="none" w:sz="0" w:space="0" w:color="auto"/>
      </w:divBdr>
    </w:div>
    <w:div w:id="162866384">
      <w:bodyDiv w:val="1"/>
      <w:marLeft w:val="0"/>
      <w:marRight w:val="0"/>
      <w:marTop w:val="0"/>
      <w:marBottom w:val="0"/>
      <w:divBdr>
        <w:top w:val="none" w:sz="0" w:space="0" w:color="auto"/>
        <w:left w:val="none" w:sz="0" w:space="0" w:color="auto"/>
        <w:bottom w:val="none" w:sz="0" w:space="0" w:color="auto"/>
        <w:right w:val="none" w:sz="0" w:space="0" w:color="auto"/>
      </w:divBdr>
    </w:div>
    <w:div w:id="163058742">
      <w:bodyDiv w:val="1"/>
      <w:marLeft w:val="0"/>
      <w:marRight w:val="0"/>
      <w:marTop w:val="0"/>
      <w:marBottom w:val="0"/>
      <w:divBdr>
        <w:top w:val="none" w:sz="0" w:space="0" w:color="auto"/>
        <w:left w:val="none" w:sz="0" w:space="0" w:color="auto"/>
        <w:bottom w:val="none" w:sz="0" w:space="0" w:color="auto"/>
        <w:right w:val="none" w:sz="0" w:space="0" w:color="auto"/>
      </w:divBdr>
    </w:div>
    <w:div w:id="163132658">
      <w:bodyDiv w:val="1"/>
      <w:marLeft w:val="0"/>
      <w:marRight w:val="0"/>
      <w:marTop w:val="0"/>
      <w:marBottom w:val="0"/>
      <w:divBdr>
        <w:top w:val="none" w:sz="0" w:space="0" w:color="auto"/>
        <w:left w:val="none" w:sz="0" w:space="0" w:color="auto"/>
        <w:bottom w:val="none" w:sz="0" w:space="0" w:color="auto"/>
        <w:right w:val="none" w:sz="0" w:space="0" w:color="auto"/>
      </w:divBdr>
    </w:div>
    <w:div w:id="163208712">
      <w:bodyDiv w:val="1"/>
      <w:marLeft w:val="0"/>
      <w:marRight w:val="0"/>
      <w:marTop w:val="0"/>
      <w:marBottom w:val="0"/>
      <w:divBdr>
        <w:top w:val="none" w:sz="0" w:space="0" w:color="auto"/>
        <w:left w:val="none" w:sz="0" w:space="0" w:color="auto"/>
        <w:bottom w:val="none" w:sz="0" w:space="0" w:color="auto"/>
        <w:right w:val="none" w:sz="0" w:space="0" w:color="auto"/>
      </w:divBdr>
    </w:div>
    <w:div w:id="163282130">
      <w:bodyDiv w:val="1"/>
      <w:marLeft w:val="0"/>
      <w:marRight w:val="0"/>
      <w:marTop w:val="0"/>
      <w:marBottom w:val="0"/>
      <w:divBdr>
        <w:top w:val="none" w:sz="0" w:space="0" w:color="auto"/>
        <w:left w:val="none" w:sz="0" w:space="0" w:color="auto"/>
        <w:bottom w:val="none" w:sz="0" w:space="0" w:color="auto"/>
        <w:right w:val="none" w:sz="0" w:space="0" w:color="auto"/>
      </w:divBdr>
    </w:div>
    <w:div w:id="163327415">
      <w:bodyDiv w:val="1"/>
      <w:marLeft w:val="0"/>
      <w:marRight w:val="0"/>
      <w:marTop w:val="0"/>
      <w:marBottom w:val="0"/>
      <w:divBdr>
        <w:top w:val="none" w:sz="0" w:space="0" w:color="auto"/>
        <w:left w:val="none" w:sz="0" w:space="0" w:color="auto"/>
        <w:bottom w:val="none" w:sz="0" w:space="0" w:color="auto"/>
        <w:right w:val="none" w:sz="0" w:space="0" w:color="auto"/>
      </w:divBdr>
    </w:div>
    <w:div w:id="163592809">
      <w:bodyDiv w:val="1"/>
      <w:marLeft w:val="0"/>
      <w:marRight w:val="0"/>
      <w:marTop w:val="0"/>
      <w:marBottom w:val="0"/>
      <w:divBdr>
        <w:top w:val="none" w:sz="0" w:space="0" w:color="auto"/>
        <w:left w:val="none" w:sz="0" w:space="0" w:color="auto"/>
        <w:bottom w:val="none" w:sz="0" w:space="0" w:color="auto"/>
        <w:right w:val="none" w:sz="0" w:space="0" w:color="auto"/>
      </w:divBdr>
    </w:div>
    <w:div w:id="163711646">
      <w:bodyDiv w:val="1"/>
      <w:marLeft w:val="0"/>
      <w:marRight w:val="0"/>
      <w:marTop w:val="0"/>
      <w:marBottom w:val="0"/>
      <w:divBdr>
        <w:top w:val="none" w:sz="0" w:space="0" w:color="auto"/>
        <w:left w:val="none" w:sz="0" w:space="0" w:color="auto"/>
        <w:bottom w:val="none" w:sz="0" w:space="0" w:color="auto"/>
        <w:right w:val="none" w:sz="0" w:space="0" w:color="auto"/>
      </w:divBdr>
    </w:div>
    <w:div w:id="163713483">
      <w:bodyDiv w:val="1"/>
      <w:marLeft w:val="0"/>
      <w:marRight w:val="0"/>
      <w:marTop w:val="0"/>
      <w:marBottom w:val="0"/>
      <w:divBdr>
        <w:top w:val="none" w:sz="0" w:space="0" w:color="auto"/>
        <w:left w:val="none" w:sz="0" w:space="0" w:color="auto"/>
        <w:bottom w:val="none" w:sz="0" w:space="0" w:color="auto"/>
        <w:right w:val="none" w:sz="0" w:space="0" w:color="auto"/>
      </w:divBdr>
    </w:div>
    <w:div w:id="163857486">
      <w:bodyDiv w:val="1"/>
      <w:marLeft w:val="0"/>
      <w:marRight w:val="0"/>
      <w:marTop w:val="0"/>
      <w:marBottom w:val="0"/>
      <w:divBdr>
        <w:top w:val="none" w:sz="0" w:space="0" w:color="auto"/>
        <w:left w:val="none" w:sz="0" w:space="0" w:color="auto"/>
        <w:bottom w:val="none" w:sz="0" w:space="0" w:color="auto"/>
        <w:right w:val="none" w:sz="0" w:space="0" w:color="auto"/>
      </w:divBdr>
    </w:div>
    <w:div w:id="163906085">
      <w:bodyDiv w:val="1"/>
      <w:marLeft w:val="0"/>
      <w:marRight w:val="0"/>
      <w:marTop w:val="0"/>
      <w:marBottom w:val="0"/>
      <w:divBdr>
        <w:top w:val="none" w:sz="0" w:space="0" w:color="auto"/>
        <w:left w:val="none" w:sz="0" w:space="0" w:color="auto"/>
        <w:bottom w:val="none" w:sz="0" w:space="0" w:color="auto"/>
        <w:right w:val="none" w:sz="0" w:space="0" w:color="auto"/>
      </w:divBdr>
    </w:div>
    <w:div w:id="164521383">
      <w:bodyDiv w:val="1"/>
      <w:marLeft w:val="0"/>
      <w:marRight w:val="0"/>
      <w:marTop w:val="0"/>
      <w:marBottom w:val="0"/>
      <w:divBdr>
        <w:top w:val="none" w:sz="0" w:space="0" w:color="auto"/>
        <w:left w:val="none" w:sz="0" w:space="0" w:color="auto"/>
        <w:bottom w:val="none" w:sz="0" w:space="0" w:color="auto"/>
        <w:right w:val="none" w:sz="0" w:space="0" w:color="auto"/>
      </w:divBdr>
    </w:div>
    <w:div w:id="164714220">
      <w:bodyDiv w:val="1"/>
      <w:marLeft w:val="0"/>
      <w:marRight w:val="0"/>
      <w:marTop w:val="0"/>
      <w:marBottom w:val="0"/>
      <w:divBdr>
        <w:top w:val="none" w:sz="0" w:space="0" w:color="auto"/>
        <w:left w:val="none" w:sz="0" w:space="0" w:color="auto"/>
        <w:bottom w:val="none" w:sz="0" w:space="0" w:color="auto"/>
        <w:right w:val="none" w:sz="0" w:space="0" w:color="auto"/>
      </w:divBdr>
    </w:div>
    <w:div w:id="164907934">
      <w:bodyDiv w:val="1"/>
      <w:marLeft w:val="0"/>
      <w:marRight w:val="0"/>
      <w:marTop w:val="0"/>
      <w:marBottom w:val="0"/>
      <w:divBdr>
        <w:top w:val="none" w:sz="0" w:space="0" w:color="auto"/>
        <w:left w:val="none" w:sz="0" w:space="0" w:color="auto"/>
        <w:bottom w:val="none" w:sz="0" w:space="0" w:color="auto"/>
        <w:right w:val="none" w:sz="0" w:space="0" w:color="auto"/>
      </w:divBdr>
    </w:div>
    <w:div w:id="165247670">
      <w:bodyDiv w:val="1"/>
      <w:marLeft w:val="0"/>
      <w:marRight w:val="0"/>
      <w:marTop w:val="0"/>
      <w:marBottom w:val="0"/>
      <w:divBdr>
        <w:top w:val="none" w:sz="0" w:space="0" w:color="auto"/>
        <w:left w:val="none" w:sz="0" w:space="0" w:color="auto"/>
        <w:bottom w:val="none" w:sz="0" w:space="0" w:color="auto"/>
        <w:right w:val="none" w:sz="0" w:space="0" w:color="auto"/>
      </w:divBdr>
    </w:div>
    <w:div w:id="165445112">
      <w:bodyDiv w:val="1"/>
      <w:marLeft w:val="0"/>
      <w:marRight w:val="0"/>
      <w:marTop w:val="0"/>
      <w:marBottom w:val="0"/>
      <w:divBdr>
        <w:top w:val="none" w:sz="0" w:space="0" w:color="auto"/>
        <w:left w:val="none" w:sz="0" w:space="0" w:color="auto"/>
        <w:bottom w:val="none" w:sz="0" w:space="0" w:color="auto"/>
        <w:right w:val="none" w:sz="0" w:space="0" w:color="auto"/>
      </w:divBdr>
    </w:div>
    <w:div w:id="166291831">
      <w:bodyDiv w:val="1"/>
      <w:marLeft w:val="0"/>
      <w:marRight w:val="0"/>
      <w:marTop w:val="0"/>
      <w:marBottom w:val="0"/>
      <w:divBdr>
        <w:top w:val="none" w:sz="0" w:space="0" w:color="auto"/>
        <w:left w:val="none" w:sz="0" w:space="0" w:color="auto"/>
        <w:bottom w:val="none" w:sz="0" w:space="0" w:color="auto"/>
        <w:right w:val="none" w:sz="0" w:space="0" w:color="auto"/>
      </w:divBdr>
    </w:div>
    <w:div w:id="166671925">
      <w:bodyDiv w:val="1"/>
      <w:marLeft w:val="0"/>
      <w:marRight w:val="0"/>
      <w:marTop w:val="0"/>
      <w:marBottom w:val="0"/>
      <w:divBdr>
        <w:top w:val="none" w:sz="0" w:space="0" w:color="auto"/>
        <w:left w:val="none" w:sz="0" w:space="0" w:color="auto"/>
        <w:bottom w:val="none" w:sz="0" w:space="0" w:color="auto"/>
        <w:right w:val="none" w:sz="0" w:space="0" w:color="auto"/>
      </w:divBdr>
    </w:div>
    <w:div w:id="166754193">
      <w:bodyDiv w:val="1"/>
      <w:marLeft w:val="0"/>
      <w:marRight w:val="0"/>
      <w:marTop w:val="0"/>
      <w:marBottom w:val="0"/>
      <w:divBdr>
        <w:top w:val="none" w:sz="0" w:space="0" w:color="auto"/>
        <w:left w:val="none" w:sz="0" w:space="0" w:color="auto"/>
        <w:bottom w:val="none" w:sz="0" w:space="0" w:color="auto"/>
        <w:right w:val="none" w:sz="0" w:space="0" w:color="auto"/>
      </w:divBdr>
    </w:div>
    <w:div w:id="167406369">
      <w:bodyDiv w:val="1"/>
      <w:marLeft w:val="0"/>
      <w:marRight w:val="0"/>
      <w:marTop w:val="0"/>
      <w:marBottom w:val="0"/>
      <w:divBdr>
        <w:top w:val="none" w:sz="0" w:space="0" w:color="auto"/>
        <w:left w:val="none" w:sz="0" w:space="0" w:color="auto"/>
        <w:bottom w:val="none" w:sz="0" w:space="0" w:color="auto"/>
        <w:right w:val="none" w:sz="0" w:space="0" w:color="auto"/>
      </w:divBdr>
    </w:div>
    <w:div w:id="167407277">
      <w:bodyDiv w:val="1"/>
      <w:marLeft w:val="0"/>
      <w:marRight w:val="0"/>
      <w:marTop w:val="0"/>
      <w:marBottom w:val="0"/>
      <w:divBdr>
        <w:top w:val="none" w:sz="0" w:space="0" w:color="auto"/>
        <w:left w:val="none" w:sz="0" w:space="0" w:color="auto"/>
        <w:bottom w:val="none" w:sz="0" w:space="0" w:color="auto"/>
        <w:right w:val="none" w:sz="0" w:space="0" w:color="auto"/>
      </w:divBdr>
    </w:div>
    <w:div w:id="167453290">
      <w:bodyDiv w:val="1"/>
      <w:marLeft w:val="0"/>
      <w:marRight w:val="0"/>
      <w:marTop w:val="0"/>
      <w:marBottom w:val="0"/>
      <w:divBdr>
        <w:top w:val="none" w:sz="0" w:space="0" w:color="auto"/>
        <w:left w:val="none" w:sz="0" w:space="0" w:color="auto"/>
        <w:bottom w:val="none" w:sz="0" w:space="0" w:color="auto"/>
        <w:right w:val="none" w:sz="0" w:space="0" w:color="auto"/>
      </w:divBdr>
    </w:div>
    <w:div w:id="167713979">
      <w:bodyDiv w:val="1"/>
      <w:marLeft w:val="0"/>
      <w:marRight w:val="0"/>
      <w:marTop w:val="0"/>
      <w:marBottom w:val="0"/>
      <w:divBdr>
        <w:top w:val="none" w:sz="0" w:space="0" w:color="auto"/>
        <w:left w:val="none" w:sz="0" w:space="0" w:color="auto"/>
        <w:bottom w:val="none" w:sz="0" w:space="0" w:color="auto"/>
        <w:right w:val="none" w:sz="0" w:space="0" w:color="auto"/>
      </w:divBdr>
    </w:div>
    <w:div w:id="167907063">
      <w:bodyDiv w:val="1"/>
      <w:marLeft w:val="0"/>
      <w:marRight w:val="0"/>
      <w:marTop w:val="0"/>
      <w:marBottom w:val="0"/>
      <w:divBdr>
        <w:top w:val="none" w:sz="0" w:space="0" w:color="auto"/>
        <w:left w:val="none" w:sz="0" w:space="0" w:color="auto"/>
        <w:bottom w:val="none" w:sz="0" w:space="0" w:color="auto"/>
        <w:right w:val="none" w:sz="0" w:space="0" w:color="auto"/>
      </w:divBdr>
    </w:div>
    <w:div w:id="168371800">
      <w:bodyDiv w:val="1"/>
      <w:marLeft w:val="0"/>
      <w:marRight w:val="0"/>
      <w:marTop w:val="0"/>
      <w:marBottom w:val="0"/>
      <w:divBdr>
        <w:top w:val="none" w:sz="0" w:space="0" w:color="auto"/>
        <w:left w:val="none" w:sz="0" w:space="0" w:color="auto"/>
        <w:bottom w:val="none" w:sz="0" w:space="0" w:color="auto"/>
        <w:right w:val="none" w:sz="0" w:space="0" w:color="auto"/>
      </w:divBdr>
    </w:div>
    <w:div w:id="168495298">
      <w:bodyDiv w:val="1"/>
      <w:marLeft w:val="0"/>
      <w:marRight w:val="0"/>
      <w:marTop w:val="0"/>
      <w:marBottom w:val="0"/>
      <w:divBdr>
        <w:top w:val="none" w:sz="0" w:space="0" w:color="auto"/>
        <w:left w:val="none" w:sz="0" w:space="0" w:color="auto"/>
        <w:bottom w:val="none" w:sz="0" w:space="0" w:color="auto"/>
        <w:right w:val="none" w:sz="0" w:space="0" w:color="auto"/>
      </w:divBdr>
    </w:div>
    <w:div w:id="168562727">
      <w:bodyDiv w:val="1"/>
      <w:marLeft w:val="0"/>
      <w:marRight w:val="0"/>
      <w:marTop w:val="0"/>
      <w:marBottom w:val="0"/>
      <w:divBdr>
        <w:top w:val="none" w:sz="0" w:space="0" w:color="auto"/>
        <w:left w:val="none" w:sz="0" w:space="0" w:color="auto"/>
        <w:bottom w:val="none" w:sz="0" w:space="0" w:color="auto"/>
        <w:right w:val="none" w:sz="0" w:space="0" w:color="auto"/>
      </w:divBdr>
    </w:div>
    <w:div w:id="168640443">
      <w:bodyDiv w:val="1"/>
      <w:marLeft w:val="0"/>
      <w:marRight w:val="0"/>
      <w:marTop w:val="0"/>
      <w:marBottom w:val="0"/>
      <w:divBdr>
        <w:top w:val="none" w:sz="0" w:space="0" w:color="auto"/>
        <w:left w:val="none" w:sz="0" w:space="0" w:color="auto"/>
        <w:bottom w:val="none" w:sz="0" w:space="0" w:color="auto"/>
        <w:right w:val="none" w:sz="0" w:space="0" w:color="auto"/>
      </w:divBdr>
    </w:div>
    <w:div w:id="168833549">
      <w:bodyDiv w:val="1"/>
      <w:marLeft w:val="0"/>
      <w:marRight w:val="0"/>
      <w:marTop w:val="0"/>
      <w:marBottom w:val="0"/>
      <w:divBdr>
        <w:top w:val="none" w:sz="0" w:space="0" w:color="auto"/>
        <w:left w:val="none" w:sz="0" w:space="0" w:color="auto"/>
        <w:bottom w:val="none" w:sz="0" w:space="0" w:color="auto"/>
        <w:right w:val="none" w:sz="0" w:space="0" w:color="auto"/>
      </w:divBdr>
    </w:div>
    <w:div w:id="169150730">
      <w:bodyDiv w:val="1"/>
      <w:marLeft w:val="0"/>
      <w:marRight w:val="0"/>
      <w:marTop w:val="0"/>
      <w:marBottom w:val="0"/>
      <w:divBdr>
        <w:top w:val="none" w:sz="0" w:space="0" w:color="auto"/>
        <w:left w:val="none" w:sz="0" w:space="0" w:color="auto"/>
        <w:bottom w:val="none" w:sz="0" w:space="0" w:color="auto"/>
        <w:right w:val="none" w:sz="0" w:space="0" w:color="auto"/>
      </w:divBdr>
    </w:div>
    <w:div w:id="169611426">
      <w:bodyDiv w:val="1"/>
      <w:marLeft w:val="0"/>
      <w:marRight w:val="0"/>
      <w:marTop w:val="0"/>
      <w:marBottom w:val="0"/>
      <w:divBdr>
        <w:top w:val="none" w:sz="0" w:space="0" w:color="auto"/>
        <w:left w:val="none" w:sz="0" w:space="0" w:color="auto"/>
        <w:bottom w:val="none" w:sz="0" w:space="0" w:color="auto"/>
        <w:right w:val="none" w:sz="0" w:space="0" w:color="auto"/>
      </w:divBdr>
    </w:div>
    <w:div w:id="169879441">
      <w:bodyDiv w:val="1"/>
      <w:marLeft w:val="0"/>
      <w:marRight w:val="0"/>
      <w:marTop w:val="0"/>
      <w:marBottom w:val="0"/>
      <w:divBdr>
        <w:top w:val="none" w:sz="0" w:space="0" w:color="auto"/>
        <w:left w:val="none" w:sz="0" w:space="0" w:color="auto"/>
        <w:bottom w:val="none" w:sz="0" w:space="0" w:color="auto"/>
        <w:right w:val="none" w:sz="0" w:space="0" w:color="auto"/>
      </w:divBdr>
    </w:div>
    <w:div w:id="169951115">
      <w:bodyDiv w:val="1"/>
      <w:marLeft w:val="0"/>
      <w:marRight w:val="0"/>
      <w:marTop w:val="0"/>
      <w:marBottom w:val="0"/>
      <w:divBdr>
        <w:top w:val="none" w:sz="0" w:space="0" w:color="auto"/>
        <w:left w:val="none" w:sz="0" w:space="0" w:color="auto"/>
        <w:bottom w:val="none" w:sz="0" w:space="0" w:color="auto"/>
        <w:right w:val="none" w:sz="0" w:space="0" w:color="auto"/>
      </w:divBdr>
    </w:div>
    <w:div w:id="170416424">
      <w:bodyDiv w:val="1"/>
      <w:marLeft w:val="0"/>
      <w:marRight w:val="0"/>
      <w:marTop w:val="0"/>
      <w:marBottom w:val="0"/>
      <w:divBdr>
        <w:top w:val="none" w:sz="0" w:space="0" w:color="auto"/>
        <w:left w:val="none" w:sz="0" w:space="0" w:color="auto"/>
        <w:bottom w:val="none" w:sz="0" w:space="0" w:color="auto"/>
        <w:right w:val="none" w:sz="0" w:space="0" w:color="auto"/>
      </w:divBdr>
    </w:div>
    <w:div w:id="170612200">
      <w:bodyDiv w:val="1"/>
      <w:marLeft w:val="0"/>
      <w:marRight w:val="0"/>
      <w:marTop w:val="0"/>
      <w:marBottom w:val="0"/>
      <w:divBdr>
        <w:top w:val="none" w:sz="0" w:space="0" w:color="auto"/>
        <w:left w:val="none" w:sz="0" w:space="0" w:color="auto"/>
        <w:bottom w:val="none" w:sz="0" w:space="0" w:color="auto"/>
        <w:right w:val="none" w:sz="0" w:space="0" w:color="auto"/>
      </w:divBdr>
    </w:div>
    <w:div w:id="170998181">
      <w:bodyDiv w:val="1"/>
      <w:marLeft w:val="0"/>
      <w:marRight w:val="0"/>
      <w:marTop w:val="0"/>
      <w:marBottom w:val="0"/>
      <w:divBdr>
        <w:top w:val="none" w:sz="0" w:space="0" w:color="auto"/>
        <w:left w:val="none" w:sz="0" w:space="0" w:color="auto"/>
        <w:bottom w:val="none" w:sz="0" w:space="0" w:color="auto"/>
        <w:right w:val="none" w:sz="0" w:space="0" w:color="auto"/>
      </w:divBdr>
    </w:div>
    <w:div w:id="171067165">
      <w:bodyDiv w:val="1"/>
      <w:marLeft w:val="0"/>
      <w:marRight w:val="0"/>
      <w:marTop w:val="0"/>
      <w:marBottom w:val="0"/>
      <w:divBdr>
        <w:top w:val="none" w:sz="0" w:space="0" w:color="auto"/>
        <w:left w:val="none" w:sz="0" w:space="0" w:color="auto"/>
        <w:bottom w:val="none" w:sz="0" w:space="0" w:color="auto"/>
        <w:right w:val="none" w:sz="0" w:space="0" w:color="auto"/>
      </w:divBdr>
    </w:div>
    <w:div w:id="171725362">
      <w:bodyDiv w:val="1"/>
      <w:marLeft w:val="0"/>
      <w:marRight w:val="0"/>
      <w:marTop w:val="0"/>
      <w:marBottom w:val="0"/>
      <w:divBdr>
        <w:top w:val="none" w:sz="0" w:space="0" w:color="auto"/>
        <w:left w:val="none" w:sz="0" w:space="0" w:color="auto"/>
        <w:bottom w:val="none" w:sz="0" w:space="0" w:color="auto"/>
        <w:right w:val="none" w:sz="0" w:space="0" w:color="auto"/>
      </w:divBdr>
    </w:div>
    <w:div w:id="172426017">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2652765">
      <w:bodyDiv w:val="1"/>
      <w:marLeft w:val="0"/>
      <w:marRight w:val="0"/>
      <w:marTop w:val="0"/>
      <w:marBottom w:val="0"/>
      <w:divBdr>
        <w:top w:val="none" w:sz="0" w:space="0" w:color="auto"/>
        <w:left w:val="none" w:sz="0" w:space="0" w:color="auto"/>
        <w:bottom w:val="none" w:sz="0" w:space="0" w:color="auto"/>
        <w:right w:val="none" w:sz="0" w:space="0" w:color="auto"/>
      </w:divBdr>
    </w:div>
    <w:div w:id="173033144">
      <w:bodyDiv w:val="1"/>
      <w:marLeft w:val="0"/>
      <w:marRight w:val="0"/>
      <w:marTop w:val="0"/>
      <w:marBottom w:val="0"/>
      <w:divBdr>
        <w:top w:val="none" w:sz="0" w:space="0" w:color="auto"/>
        <w:left w:val="none" w:sz="0" w:space="0" w:color="auto"/>
        <w:bottom w:val="none" w:sz="0" w:space="0" w:color="auto"/>
        <w:right w:val="none" w:sz="0" w:space="0" w:color="auto"/>
      </w:divBdr>
    </w:div>
    <w:div w:id="173497760">
      <w:bodyDiv w:val="1"/>
      <w:marLeft w:val="0"/>
      <w:marRight w:val="0"/>
      <w:marTop w:val="0"/>
      <w:marBottom w:val="0"/>
      <w:divBdr>
        <w:top w:val="none" w:sz="0" w:space="0" w:color="auto"/>
        <w:left w:val="none" w:sz="0" w:space="0" w:color="auto"/>
        <w:bottom w:val="none" w:sz="0" w:space="0" w:color="auto"/>
        <w:right w:val="none" w:sz="0" w:space="0" w:color="auto"/>
      </w:divBdr>
    </w:div>
    <w:div w:id="173542406">
      <w:bodyDiv w:val="1"/>
      <w:marLeft w:val="0"/>
      <w:marRight w:val="0"/>
      <w:marTop w:val="0"/>
      <w:marBottom w:val="0"/>
      <w:divBdr>
        <w:top w:val="none" w:sz="0" w:space="0" w:color="auto"/>
        <w:left w:val="none" w:sz="0" w:space="0" w:color="auto"/>
        <w:bottom w:val="none" w:sz="0" w:space="0" w:color="auto"/>
        <w:right w:val="none" w:sz="0" w:space="0" w:color="auto"/>
      </w:divBdr>
    </w:div>
    <w:div w:id="173570366">
      <w:bodyDiv w:val="1"/>
      <w:marLeft w:val="0"/>
      <w:marRight w:val="0"/>
      <w:marTop w:val="0"/>
      <w:marBottom w:val="0"/>
      <w:divBdr>
        <w:top w:val="none" w:sz="0" w:space="0" w:color="auto"/>
        <w:left w:val="none" w:sz="0" w:space="0" w:color="auto"/>
        <w:bottom w:val="none" w:sz="0" w:space="0" w:color="auto"/>
        <w:right w:val="none" w:sz="0" w:space="0" w:color="auto"/>
      </w:divBdr>
    </w:div>
    <w:div w:id="173570437">
      <w:bodyDiv w:val="1"/>
      <w:marLeft w:val="0"/>
      <w:marRight w:val="0"/>
      <w:marTop w:val="0"/>
      <w:marBottom w:val="0"/>
      <w:divBdr>
        <w:top w:val="none" w:sz="0" w:space="0" w:color="auto"/>
        <w:left w:val="none" w:sz="0" w:space="0" w:color="auto"/>
        <w:bottom w:val="none" w:sz="0" w:space="0" w:color="auto"/>
        <w:right w:val="none" w:sz="0" w:space="0" w:color="auto"/>
      </w:divBdr>
    </w:div>
    <w:div w:id="174152919">
      <w:bodyDiv w:val="1"/>
      <w:marLeft w:val="0"/>
      <w:marRight w:val="0"/>
      <w:marTop w:val="0"/>
      <w:marBottom w:val="0"/>
      <w:divBdr>
        <w:top w:val="none" w:sz="0" w:space="0" w:color="auto"/>
        <w:left w:val="none" w:sz="0" w:space="0" w:color="auto"/>
        <w:bottom w:val="none" w:sz="0" w:space="0" w:color="auto"/>
        <w:right w:val="none" w:sz="0" w:space="0" w:color="auto"/>
      </w:divBdr>
    </w:div>
    <w:div w:id="174198231">
      <w:bodyDiv w:val="1"/>
      <w:marLeft w:val="0"/>
      <w:marRight w:val="0"/>
      <w:marTop w:val="0"/>
      <w:marBottom w:val="0"/>
      <w:divBdr>
        <w:top w:val="none" w:sz="0" w:space="0" w:color="auto"/>
        <w:left w:val="none" w:sz="0" w:space="0" w:color="auto"/>
        <w:bottom w:val="none" w:sz="0" w:space="0" w:color="auto"/>
        <w:right w:val="none" w:sz="0" w:space="0" w:color="auto"/>
      </w:divBdr>
    </w:div>
    <w:div w:id="174347014">
      <w:bodyDiv w:val="1"/>
      <w:marLeft w:val="0"/>
      <w:marRight w:val="0"/>
      <w:marTop w:val="0"/>
      <w:marBottom w:val="0"/>
      <w:divBdr>
        <w:top w:val="none" w:sz="0" w:space="0" w:color="auto"/>
        <w:left w:val="none" w:sz="0" w:space="0" w:color="auto"/>
        <w:bottom w:val="none" w:sz="0" w:space="0" w:color="auto"/>
        <w:right w:val="none" w:sz="0" w:space="0" w:color="auto"/>
      </w:divBdr>
    </w:div>
    <w:div w:id="174542584">
      <w:bodyDiv w:val="1"/>
      <w:marLeft w:val="0"/>
      <w:marRight w:val="0"/>
      <w:marTop w:val="0"/>
      <w:marBottom w:val="0"/>
      <w:divBdr>
        <w:top w:val="none" w:sz="0" w:space="0" w:color="auto"/>
        <w:left w:val="none" w:sz="0" w:space="0" w:color="auto"/>
        <w:bottom w:val="none" w:sz="0" w:space="0" w:color="auto"/>
        <w:right w:val="none" w:sz="0" w:space="0" w:color="auto"/>
      </w:divBdr>
    </w:div>
    <w:div w:id="174619108">
      <w:bodyDiv w:val="1"/>
      <w:marLeft w:val="0"/>
      <w:marRight w:val="0"/>
      <w:marTop w:val="0"/>
      <w:marBottom w:val="0"/>
      <w:divBdr>
        <w:top w:val="none" w:sz="0" w:space="0" w:color="auto"/>
        <w:left w:val="none" w:sz="0" w:space="0" w:color="auto"/>
        <w:bottom w:val="none" w:sz="0" w:space="0" w:color="auto"/>
        <w:right w:val="none" w:sz="0" w:space="0" w:color="auto"/>
      </w:divBdr>
    </w:div>
    <w:div w:id="174733338">
      <w:bodyDiv w:val="1"/>
      <w:marLeft w:val="0"/>
      <w:marRight w:val="0"/>
      <w:marTop w:val="0"/>
      <w:marBottom w:val="0"/>
      <w:divBdr>
        <w:top w:val="none" w:sz="0" w:space="0" w:color="auto"/>
        <w:left w:val="none" w:sz="0" w:space="0" w:color="auto"/>
        <w:bottom w:val="none" w:sz="0" w:space="0" w:color="auto"/>
        <w:right w:val="none" w:sz="0" w:space="0" w:color="auto"/>
      </w:divBdr>
    </w:div>
    <w:div w:id="174736307">
      <w:bodyDiv w:val="1"/>
      <w:marLeft w:val="0"/>
      <w:marRight w:val="0"/>
      <w:marTop w:val="0"/>
      <w:marBottom w:val="0"/>
      <w:divBdr>
        <w:top w:val="none" w:sz="0" w:space="0" w:color="auto"/>
        <w:left w:val="none" w:sz="0" w:space="0" w:color="auto"/>
        <w:bottom w:val="none" w:sz="0" w:space="0" w:color="auto"/>
        <w:right w:val="none" w:sz="0" w:space="0" w:color="auto"/>
      </w:divBdr>
    </w:div>
    <w:div w:id="175270321">
      <w:bodyDiv w:val="1"/>
      <w:marLeft w:val="0"/>
      <w:marRight w:val="0"/>
      <w:marTop w:val="0"/>
      <w:marBottom w:val="0"/>
      <w:divBdr>
        <w:top w:val="none" w:sz="0" w:space="0" w:color="auto"/>
        <w:left w:val="none" w:sz="0" w:space="0" w:color="auto"/>
        <w:bottom w:val="none" w:sz="0" w:space="0" w:color="auto"/>
        <w:right w:val="none" w:sz="0" w:space="0" w:color="auto"/>
      </w:divBdr>
    </w:div>
    <w:div w:id="176308587">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6890658">
      <w:bodyDiv w:val="1"/>
      <w:marLeft w:val="0"/>
      <w:marRight w:val="0"/>
      <w:marTop w:val="0"/>
      <w:marBottom w:val="0"/>
      <w:divBdr>
        <w:top w:val="none" w:sz="0" w:space="0" w:color="auto"/>
        <w:left w:val="none" w:sz="0" w:space="0" w:color="auto"/>
        <w:bottom w:val="none" w:sz="0" w:space="0" w:color="auto"/>
        <w:right w:val="none" w:sz="0" w:space="0" w:color="auto"/>
      </w:divBdr>
    </w:div>
    <w:div w:id="177084388">
      <w:bodyDiv w:val="1"/>
      <w:marLeft w:val="0"/>
      <w:marRight w:val="0"/>
      <w:marTop w:val="0"/>
      <w:marBottom w:val="0"/>
      <w:divBdr>
        <w:top w:val="none" w:sz="0" w:space="0" w:color="auto"/>
        <w:left w:val="none" w:sz="0" w:space="0" w:color="auto"/>
        <w:bottom w:val="none" w:sz="0" w:space="0" w:color="auto"/>
        <w:right w:val="none" w:sz="0" w:space="0" w:color="auto"/>
      </w:divBdr>
    </w:div>
    <w:div w:id="177352498">
      <w:bodyDiv w:val="1"/>
      <w:marLeft w:val="0"/>
      <w:marRight w:val="0"/>
      <w:marTop w:val="0"/>
      <w:marBottom w:val="0"/>
      <w:divBdr>
        <w:top w:val="none" w:sz="0" w:space="0" w:color="auto"/>
        <w:left w:val="none" w:sz="0" w:space="0" w:color="auto"/>
        <w:bottom w:val="none" w:sz="0" w:space="0" w:color="auto"/>
        <w:right w:val="none" w:sz="0" w:space="0" w:color="auto"/>
      </w:divBdr>
    </w:div>
    <w:div w:id="177695236">
      <w:bodyDiv w:val="1"/>
      <w:marLeft w:val="0"/>
      <w:marRight w:val="0"/>
      <w:marTop w:val="0"/>
      <w:marBottom w:val="0"/>
      <w:divBdr>
        <w:top w:val="none" w:sz="0" w:space="0" w:color="auto"/>
        <w:left w:val="none" w:sz="0" w:space="0" w:color="auto"/>
        <w:bottom w:val="none" w:sz="0" w:space="0" w:color="auto"/>
        <w:right w:val="none" w:sz="0" w:space="0" w:color="auto"/>
      </w:divBdr>
    </w:div>
    <w:div w:id="178005171">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78272932">
      <w:bodyDiv w:val="1"/>
      <w:marLeft w:val="0"/>
      <w:marRight w:val="0"/>
      <w:marTop w:val="0"/>
      <w:marBottom w:val="0"/>
      <w:divBdr>
        <w:top w:val="none" w:sz="0" w:space="0" w:color="auto"/>
        <w:left w:val="none" w:sz="0" w:space="0" w:color="auto"/>
        <w:bottom w:val="none" w:sz="0" w:space="0" w:color="auto"/>
        <w:right w:val="none" w:sz="0" w:space="0" w:color="auto"/>
      </w:divBdr>
    </w:div>
    <w:div w:id="178278831">
      <w:bodyDiv w:val="1"/>
      <w:marLeft w:val="0"/>
      <w:marRight w:val="0"/>
      <w:marTop w:val="0"/>
      <w:marBottom w:val="0"/>
      <w:divBdr>
        <w:top w:val="none" w:sz="0" w:space="0" w:color="auto"/>
        <w:left w:val="none" w:sz="0" w:space="0" w:color="auto"/>
        <w:bottom w:val="none" w:sz="0" w:space="0" w:color="auto"/>
        <w:right w:val="none" w:sz="0" w:space="0" w:color="auto"/>
      </w:divBdr>
    </w:div>
    <w:div w:id="178355425">
      <w:bodyDiv w:val="1"/>
      <w:marLeft w:val="0"/>
      <w:marRight w:val="0"/>
      <w:marTop w:val="0"/>
      <w:marBottom w:val="0"/>
      <w:divBdr>
        <w:top w:val="none" w:sz="0" w:space="0" w:color="auto"/>
        <w:left w:val="none" w:sz="0" w:space="0" w:color="auto"/>
        <w:bottom w:val="none" w:sz="0" w:space="0" w:color="auto"/>
        <w:right w:val="none" w:sz="0" w:space="0" w:color="auto"/>
      </w:divBdr>
    </w:div>
    <w:div w:id="178397851">
      <w:bodyDiv w:val="1"/>
      <w:marLeft w:val="0"/>
      <w:marRight w:val="0"/>
      <w:marTop w:val="0"/>
      <w:marBottom w:val="0"/>
      <w:divBdr>
        <w:top w:val="none" w:sz="0" w:space="0" w:color="auto"/>
        <w:left w:val="none" w:sz="0" w:space="0" w:color="auto"/>
        <w:bottom w:val="none" w:sz="0" w:space="0" w:color="auto"/>
        <w:right w:val="none" w:sz="0" w:space="0" w:color="auto"/>
      </w:divBdr>
    </w:div>
    <w:div w:id="179009215">
      <w:bodyDiv w:val="1"/>
      <w:marLeft w:val="0"/>
      <w:marRight w:val="0"/>
      <w:marTop w:val="0"/>
      <w:marBottom w:val="0"/>
      <w:divBdr>
        <w:top w:val="none" w:sz="0" w:space="0" w:color="auto"/>
        <w:left w:val="none" w:sz="0" w:space="0" w:color="auto"/>
        <w:bottom w:val="none" w:sz="0" w:space="0" w:color="auto"/>
        <w:right w:val="none" w:sz="0" w:space="0" w:color="auto"/>
      </w:divBdr>
    </w:div>
    <w:div w:id="179786226">
      <w:bodyDiv w:val="1"/>
      <w:marLeft w:val="0"/>
      <w:marRight w:val="0"/>
      <w:marTop w:val="0"/>
      <w:marBottom w:val="0"/>
      <w:divBdr>
        <w:top w:val="none" w:sz="0" w:space="0" w:color="auto"/>
        <w:left w:val="none" w:sz="0" w:space="0" w:color="auto"/>
        <w:bottom w:val="none" w:sz="0" w:space="0" w:color="auto"/>
        <w:right w:val="none" w:sz="0" w:space="0" w:color="auto"/>
      </w:divBdr>
    </w:div>
    <w:div w:id="179902770">
      <w:bodyDiv w:val="1"/>
      <w:marLeft w:val="0"/>
      <w:marRight w:val="0"/>
      <w:marTop w:val="0"/>
      <w:marBottom w:val="0"/>
      <w:divBdr>
        <w:top w:val="none" w:sz="0" w:space="0" w:color="auto"/>
        <w:left w:val="none" w:sz="0" w:space="0" w:color="auto"/>
        <w:bottom w:val="none" w:sz="0" w:space="0" w:color="auto"/>
        <w:right w:val="none" w:sz="0" w:space="0" w:color="auto"/>
      </w:divBdr>
    </w:div>
    <w:div w:id="180094935">
      <w:bodyDiv w:val="1"/>
      <w:marLeft w:val="0"/>
      <w:marRight w:val="0"/>
      <w:marTop w:val="0"/>
      <w:marBottom w:val="0"/>
      <w:divBdr>
        <w:top w:val="none" w:sz="0" w:space="0" w:color="auto"/>
        <w:left w:val="none" w:sz="0" w:space="0" w:color="auto"/>
        <w:bottom w:val="none" w:sz="0" w:space="0" w:color="auto"/>
        <w:right w:val="none" w:sz="0" w:space="0" w:color="auto"/>
      </w:divBdr>
    </w:div>
    <w:div w:id="180361619">
      <w:bodyDiv w:val="1"/>
      <w:marLeft w:val="0"/>
      <w:marRight w:val="0"/>
      <w:marTop w:val="0"/>
      <w:marBottom w:val="0"/>
      <w:divBdr>
        <w:top w:val="none" w:sz="0" w:space="0" w:color="auto"/>
        <w:left w:val="none" w:sz="0" w:space="0" w:color="auto"/>
        <w:bottom w:val="none" w:sz="0" w:space="0" w:color="auto"/>
        <w:right w:val="none" w:sz="0" w:space="0" w:color="auto"/>
      </w:divBdr>
    </w:div>
    <w:div w:id="180823648">
      <w:bodyDiv w:val="1"/>
      <w:marLeft w:val="0"/>
      <w:marRight w:val="0"/>
      <w:marTop w:val="0"/>
      <w:marBottom w:val="0"/>
      <w:divBdr>
        <w:top w:val="none" w:sz="0" w:space="0" w:color="auto"/>
        <w:left w:val="none" w:sz="0" w:space="0" w:color="auto"/>
        <w:bottom w:val="none" w:sz="0" w:space="0" w:color="auto"/>
        <w:right w:val="none" w:sz="0" w:space="0" w:color="auto"/>
      </w:divBdr>
    </w:div>
    <w:div w:id="180825345">
      <w:bodyDiv w:val="1"/>
      <w:marLeft w:val="0"/>
      <w:marRight w:val="0"/>
      <w:marTop w:val="0"/>
      <w:marBottom w:val="0"/>
      <w:divBdr>
        <w:top w:val="none" w:sz="0" w:space="0" w:color="auto"/>
        <w:left w:val="none" w:sz="0" w:space="0" w:color="auto"/>
        <w:bottom w:val="none" w:sz="0" w:space="0" w:color="auto"/>
        <w:right w:val="none" w:sz="0" w:space="0" w:color="auto"/>
      </w:divBdr>
    </w:div>
    <w:div w:id="180895143">
      <w:bodyDiv w:val="1"/>
      <w:marLeft w:val="0"/>
      <w:marRight w:val="0"/>
      <w:marTop w:val="0"/>
      <w:marBottom w:val="0"/>
      <w:divBdr>
        <w:top w:val="none" w:sz="0" w:space="0" w:color="auto"/>
        <w:left w:val="none" w:sz="0" w:space="0" w:color="auto"/>
        <w:bottom w:val="none" w:sz="0" w:space="0" w:color="auto"/>
        <w:right w:val="none" w:sz="0" w:space="0" w:color="auto"/>
      </w:divBdr>
    </w:div>
    <w:div w:id="181405101">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1671233">
      <w:bodyDiv w:val="1"/>
      <w:marLeft w:val="0"/>
      <w:marRight w:val="0"/>
      <w:marTop w:val="0"/>
      <w:marBottom w:val="0"/>
      <w:divBdr>
        <w:top w:val="none" w:sz="0" w:space="0" w:color="auto"/>
        <w:left w:val="none" w:sz="0" w:space="0" w:color="auto"/>
        <w:bottom w:val="none" w:sz="0" w:space="0" w:color="auto"/>
        <w:right w:val="none" w:sz="0" w:space="0" w:color="auto"/>
      </w:divBdr>
    </w:div>
    <w:div w:id="181743208">
      <w:bodyDiv w:val="1"/>
      <w:marLeft w:val="0"/>
      <w:marRight w:val="0"/>
      <w:marTop w:val="0"/>
      <w:marBottom w:val="0"/>
      <w:divBdr>
        <w:top w:val="none" w:sz="0" w:space="0" w:color="auto"/>
        <w:left w:val="none" w:sz="0" w:space="0" w:color="auto"/>
        <w:bottom w:val="none" w:sz="0" w:space="0" w:color="auto"/>
        <w:right w:val="none" w:sz="0" w:space="0" w:color="auto"/>
      </w:divBdr>
    </w:div>
    <w:div w:id="182479691">
      <w:bodyDiv w:val="1"/>
      <w:marLeft w:val="0"/>
      <w:marRight w:val="0"/>
      <w:marTop w:val="0"/>
      <w:marBottom w:val="0"/>
      <w:divBdr>
        <w:top w:val="none" w:sz="0" w:space="0" w:color="auto"/>
        <w:left w:val="none" w:sz="0" w:space="0" w:color="auto"/>
        <w:bottom w:val="none" w:sz="0" w:space="0" w:color="auto"/>
        <w:right w:val="none" w:sz="0" w:space="0" w:color="auto"/>
      </w:divBdr>
    </w:div>
    <w:div w:id="182745059">
      <w:bodyDiv w:val="1"/>
      <w:marLeft w:val="0"/>
      <w:marRight w:val="0"/>
      <w:marTop w:val="0"/>
      <w:marBottom w:val="0"/>
      <w:divBdr>
        <w:top w:val="none" w:sz="0" w:space="0" w:color="auto"/>
        <w:left w:val="none" w:sz="0" w:space="0" w:color="auto"/>
        <w:bottom w:val="none" w:sz="0" w:space="0" w:color="auto"/>
        <w:right w:val="none" w:sz="0" w:space="0" w:color="auto"/>
      </w:divBdr>
    </w:div>
    <w:div w:id="182785615">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3982533">
      <w:bodyDiv w:val="1"/>
      <w:marLeft w:val="0"/>
      <w:marRight w:val="0"/>
      <w:marTop w:val="0"/>
      <w:marBottom w:val="0"/>
      <w:divBdr>
        <w:top w:val="none" w:sz="0" w:space="0" w:color="auto"/>
        <w:left w:val="none" w:sz="0" w:space="0" w:color="auto"/>
        <w:bottom w:val="none" w:sz="0" w:space="0" w:color="auto"/>
        <w:right w:val="none" w:sz="0" w:space="0" w:color="auto"/>
      </w:divBdr>
    </w:div>
    <w:div w:id="184288267">
      <w:bodyDiv w:val="1"/>
      <w:marLeft w:val="0"/>
      <w:marRight w:val="0"/>
      <w:marTop w:val="0"/>
      <w:marBottom w:val="0"/>
      <w:divBdr>
        <w:top w:val="none" w:sz="0" w:space="0" w:color="auto"/>
        <w:left w:val="none" w:sz="0" w:space="0" w:color="auto"/>
        <w:bottom w:val="none" w:sz="0" w:space="0" w:color="auto"/>
        <w:right w:val="none" w:sz="0" w:space="0" w:color="auto"/>
      </w:divBdr>
    </w:div>
    <w:div w:id="184488115">
      <w:bodyDiv w:val="1"/>
      <w:marLeft w:val="0"/>
      <w:marRight w:val="0"/>
      <w:marTop w:val="0"/>
      <w:marBottom w:val="0"/>
      <w:divBdr>
        <w:top w:val="none" w:sz="0" w:space="0" w:color="auto"/>
        <w:left w:val="none" w:sz="0" w:space="0" w:color="auto"/>
        <w:bottom w:val="none" w:sz="0" w:space="0" w:color="auto"/>
        <w:right w:val="none" w:sz="0" w:space="0" w:color="auto"/>
      </w:divBdr>
    </w:div>
    <w:div w:id="184489767">
      <w:bodyDiv w:val="1"/>
      <w:marLeft w:val="0"/>
      <w:marRight w:val="0"/>
      <w:marTop w:val="0"/>
      <w:marBottom w:val="0"/>
      <w:divBdr>
        <w:top w:val="none" w:sz="0" w:space="0" w:color="auto"/>
        <w:left w:val="none" w:sz="0" w:space="0" w:color="auto"/>
        <w:bottom w:val="none" w:sz="0" w:space="0" w:color="auto"/>
        <w:right w:val="none" w:sz="0" w:space="0" w:color="auto"/>
      </w:divBdr>
    </w:div>
    <w:div w:id="184640413">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85602676">
      <w:bodyDiv w:val="1"/>
      <w:marLeft w:val="0"/>
      <w:marRight w:val="0"/>
      <w:marTop w:val="0"/>
      <w:marBottom w:val="0"/>
      <w:divBdr>
        <w:top w:val="none" w:sz="0" w:space="0" w:color="auto"/>
        <w:left w:val="none" w:sz="0" w:space="0" w:color="auto"/>
        <w:bottom w:val="none" w:sz="0" w:space="0" w:color="auto"/>
        <w:right w:val="none" w:sz="0" w:space="0" w:color="auto"/>
      </w:divBdr>
    </w:div>
    <w:div w:id="185755940">
      <w:bodyDiv w:val="1"/>
      <w:marLeft w:val="0"/>
      <w:marRight w:val="0"/>
      <w:marTop w:val="0"/>
      <w:marBottom w:val="0"/>
      <w:divBdr>
        <w:top w:val="none" w:sz="0" w:space="0" w:color="auto"/>
        <w:left w:val="none" w:sz="0" w:space="0" w:color="auto"/>
        <w:bottom w:val="none" w:sz="0" w:space="0" w:color="auto"/>
        <w:right w:val="none" w:sz="0" w:space="0" w:color="auto"/>
      </w:divBdr>
    </w:div>
    <w:div w:id="186136446">
      <w:bodyDiv w:val="1"/>
      <w:marLeft w:val="0"/>
      <w:marRight w:val="0"/>
      <w:marTop w:val="0"/>
      <w:marBottom w:val="0"/>
      <w:divBdr>
        <w:top w:val="none" w:sz="0" w:space="0" w:color="auto"/>
        <w:left w:val="none" w:sz="0" w:space="0" w:color="auto"/>
        <w:bottom w:val="none" w:sz="0" w:space="0" w:color="auto"/>
        <w:right w:val="none" w:sz="0" w:space="0" w:color="auto"/>
      </w:divBdr>
    </w:div>
    <w:div w:id="186215836">
      <w:bodyDiv w:val="1"/>
      <w:marLeft w:val="0"/>
      <w:marRight w:val="0"/>
      <w:marTop w:val="0"/>
      <w:marBottom w:val="0"/>
      <w:divBdr>
        <w:top w:val="none" w:sz="0" w:space="0" w:color="auto"/>
        <w:left w:val="none" w:sz="0" w:space="0" w:color="auto"/>
        <w:bottom w:val="none" w:sz="0" w:space="0" w:color="auto"/>
        <w:right w:val="none" w:sz="0" w:space="0" w:color="auto"/>
      </w:divBdr>
    </w:div>
    <w:div w:id="186604777">
      <w:bodyDiv w:val="1"/>
      <w:marLeft w:val="0"/>
      <w:marRight w:val="0"/>
      <w:marTop w:val="0"/>
      <w:marBottom w:val="0"/>
      <w:divBdr>
        <w:top w:val="none" w:sz="0" w:space="0" w:color="auto"/>
        <w:left w:val="none" w:sz="0" w:space="0" w:color="auto"/>
        <w:bottom w:val="none" w:sz="0" w:space="0" w:color="auto"/>
        <w:right w:val="none" w:sz="0" w:space="0" w:color="auto"/>
      </w:divBdr>
    </w:div>
    <w:div w:id="186716719">
      <w:bodyDiv w:val="1"/>
      <w:marLeft w:val="0"/>
      <w:marRight w:val="0"/>
      <w:marTop w:val="0"/>
      <w:marBottom w:val="0"/>
      <w:divBdr>
        <w:top w:val="none" w:sz="0" w:space="0" w:color="auto"/>
        <w:left w:val="none" w:sz="0" w:space="0" w:color="auto"/>
        <w:bottom w:val="none" w:sz="0" w:space="0" w:color="auto"/>
        <w:right w:val="none" w:sz="0" w:space="0" w:color="auto"/>
      </w:divBdr>
    </w:div>
    <w:div w:id="186987368">
      <w:bodyDiv w:val="1"/>
      <w:marLeft w:val="0"/>
      <w:marRight w:val="0"/>
      <w:marTop w:val="0"/>
      <w:marBottom w:val="0"/>
      <w:divBdr>
        <w:top w:val="none" w:sz="0" w:space="0" w:color="auto"/>
        <w:left w:val="none" w:sz="0" w:space="0" w:color="auto"/>
        <w:bottom w:val="none" w:sz="0" w:space="0" w:color="auto"/>
        <w:right w:val="none" w:sz="0" w:space="0" w:color="auto"/>
      </w:divBdr>
    </w:div>
    <w:div w:id="187065749">
      <w:bodyDiv w:val="1"/>
      <w:marLeft w:val="0"/>
      <w:marRight w:val="0"/>
      <w:marTop w:val="0"/>
      <w:marBottom w:val="0"/>
      <w:divBdr>
        <w:top w:val="none" w:sz="0" w:space="0" w:color="auto"/>
        <w:left w:val="none" w:sz="0" w:space="0" w:color="auto"/>
        <w:bottom w:val="none" w:sz="0" w:space="0" w:color="auto"/>
        <w:right w:val="none" w:sz="0" w:space="0" w:color="auto"/>
      </w:divBdr>
    </w:div>
    <w:div w:id="187178313">
      <w:bodyDiv w:val="1"/>
      <w:marLeft w:val="0"/>
      <w:marRight w:val="0"/>
      <w:marTop w:val="0"/>
      <w:marBottom w:val="0"/>
      <w:divBdr>
        <w:top w:val="none" w:sz="0" w:space="0" w:color="auto"/>
        <w:left w:val="none" w:sz="0" w:space="0" w:color="auto"/>
        <w:bottom w:val="none" w:sz="0" w:space="0" w:color="auto"/>
        <w:right w:val="none" w:sz="0" w:space="0" w:color="auto"/>
      </w:divBdr>
    </w:div>
    <w:div w:id="187180390">
      <w:bodyDiv w:val="1"/>
      <w:marLeft w:val="0"/>
      <w:marRight w:val="0"/>
      <w:marTop w:val="0"/>
      <w:marBottom w:val="0"/>
      <w:divBdr>
        <w:top w:val="none" w:sz="0" w:space="0" w:color="auto"/>
        <w:left w:val="none" w:sz="0" w:space="0" w:color="auto"/>
        <w:bottom w:val="none" w:sz="0" w:space="0" w:color="auto"/>
        <w:right w:val="none" w:sz="0" w:space="0" w:color="auto"/>
      </w:divBdr>
    </w:div>
    <w:div w:id="187332631">
      <w:bodyDiv w:val="1"/>
      <w:marLeft w:val="0"/>
      <w:marRight w:val="0"/>
      <w:marTop w:val="0"/>
      <w:marBottom w:val="0"/>
      <w:divBdr>
        <w:top w:val="none" w:sz="0" w:space="0" w:color="auto"/>
        <w:left w:val="none" w:sz="0" w:space="0" w:color="auto"/>
        <w:bottom w:val="none" w:sz="0" w:space="0" w:color="auto"/>
        <w:right w:val="none" w:sz="0" w:space="0" w:color="auto"/>
      </w:divBdr>
    </w:div>
    <w:div w:id="187570856">
      <w:bodyDiv w:val="1"/>
      <w:marLeft w:val="0"/>
      <w:marRight w:val="0"/>
      <w:marTop w:val="0"/>
      <w:marBottom w:val="0"/>
      <w:divBdr>
        <w:top w:val="none" w:sz="0" w:space="0" w:color="auto"/>
        <w:left w:val="none" w:sz="0" w:space="0" w:color="auto"/>
        <w:bottom w:val="none" w:sz="0" w:space="0" w:color="auto"/>
        <w:right w:val="none" w:sz="0" w:space="0" w:color="auto"/>
      </w:divBdr>
    </w:div>
    <w:div w:id="188952047">
      <w:bodyDiv w:val="1"/>
      <w:marLeft w:val="0"/>
      <w:marRight w:val="0"/>
      <w:marTop w:val="0"/>
      <w:marBottom w:val="0"/>
      <w:divBdr>
        <w:top w:val="none" w:sz="0" w:space="0" w:color="auto"/>
        <w:left w:val="none" w:sz="0" w:space="0" w:color="auto"/>
        <w:bottom w:val="none" w:sz="0" w:space="0" w:color="auto"/>
        <w:right w:val="none" w:sz="0" w:space="0" w:color="auto"/>
      </w:divBdr>
    </w:div>
    <w:div w:id="189076177">
      <w:bodyDiv w:val="1"/>
      <w:marLeft w:val="0"/>
      <w:marRight w:val="0"/>
      <w:marTop w:val="0"/>
      <w:marBottom w:val="0"/>
      <w:divBdr>
        <w:top w:val="none" w:sz="0" w:space="0" w:color="auto"/>
        <w:left w:val="none" w:sz="0" w:space="0" w:color="auto"/>
        <w:bottom w:val="none" w:sz="0" w:space="0" w:color="auto"/>
        <w:right w:val="none" w:sz="0" w:space="0" w:color="auto"/>
      </w:divBdr>
    </w:div>
    <w:div w:id="189145389">
      <w:bodyDiv w:val="1"/>
      <w:marLeft w:val="0"/>
      <w:marRight w:val="0"/>
      <w:marTop w:val="0"/>
      <w:marBottom w:val="0"/>
      <w:divBdr>
        <w:top w:val="none" w:sz="0" w:space="0" w:color="auto"/>
        <w:left w:val="none" w:sz="0" w:space="0" w:color="auto"/>
        <w:bottom w:val="none" w:sz="0" w:space="0" w:color="auto"/>
        <w:right w:val="none" w:sz="0" w:space="0" w:color="auto"/>
      </w:divBdr>
    </w:div>
    <w:div w:id="189684877">
      <w:bodyDiv w:val="1"/>
      <w:marLeft w:val="0"/>
      <w:marRight w:val="0"/>
      <w:marTop w:val="0"/>
      <w:marBottom w:val="0"/>
      <w:divBdr>
        <w:top w:val="none" w:sz="0" w:space="0" w:color="auto"/>
        <w:left w:val="none" w:sz="0" w:space="0" w:color="auto"/>
        <w:bottom w:val="none" w:sz="0" w:space="0" w:color="auto"/>
        <w:right w:val="none" w:sz="0" w:space="0" w:color="auto"/>
      </w:divBdr>
    </w:div>
    <w:div w:id="189686200">
      <w:bodyDiv w:val="1"/>
      <w:marLeft w:val="0"/>
      <w:marRight w:val="0"/>
      <w:marTop w:val="0"/>
      <w:marBottom w:val="0"/>
      <w:divBdr>
        <w:top w:val="none" w:sz="0" w:space="0" w:color="auto"/>
        <w:left w:val="none" w:sz="0" w:space="0" w:color="auto"/>
        <w:bottom w:val="none" w:sz="0" w:space="0" w:color="auto"/>
        <w:right w:val="none" w:sz="0" w:space="0" w:color="auto"/>
      </w:divBdr>
    </w:div>
    <w:div w:id="189733241">
      <w:bodyDiv w:val="1"/>
      <w:marLeft w:val="0"/>
      <w:marRight w:val="0"/>
      <w:marTop w:val="0"/>
      <w:marBottom w:val="0"/>
      <w:divBdr>
        <w:top w:val="none" w:sz="0" w:space="0" w:color="auto"/>
        <w:left w:val="none" w:sz="0" w:space="0" w:color="auto"/>
        <w:bottom w:val="none" w:sz="0" w:space="0" w:color="auto"/>
        <w:right w:val="none" w:sz="0" w:space="0" w:color="auto"/>
      </w:divBdr>
    </w:div>
    <w:div w:id="189803589">
      <w:bodyDiv w:val="1"/>
      <w:marLeft w:val="0"/>
      <w:marRight w:val="0"/>
      <w:marTop w:val="0"/>
      <w:marBottom w:val="0"/>
      <w:divBdr>
        <w:top w:val="none" w:sz="0" w:space="0" w:color="auto"/>
        <w:left w:val="none" w:sz="0" w:space="0" w:color="auto"/>
        <w:bottom w:val="none" w:sz="0" w:space="0" w:color="auto"/>
        <w:right w:val="none" w:sz="0" w:space="0" w:color="auto"/>
      </w:divBdr>
    </w:div>
    <w:div w:id="190340952">
      <w:bodyDiv w:val="1"/>
      <w:marLeft w:val="0"/>
      <w:marRight w:val="0"/>
      <w:marTop w:val="0"/>
      <w:marBottom w:val="0"/>
      <w:divBdr>
        <w:top w:val="none" w:sz="0" w:space="0" w:color="auto"/>
        <w:left w:val="none" w:sz="0" w:space="0" w:color="auto"/>
        <w:bottom w:val="none" w:sz="0" w:space="0" w:color="auto"/>
        <w:right w:val="none" w:sz="0" w:space="0" w:color="auto"/>
      </w:divBdr>
    </w:div>
    <w:div w:id="190461235">
      <w:bodyDiv w:val="1"/>
      <w:marLeft w:val="0"/>
      <w:marRight w:val="0"/>
      <w:marTop w:val="0"/>
      <w:marBottom w:val="0"/>
      <w:divBdr>
        <w:top w:val="none" w:sz="0" w:space="0" w:color="auto"/>
        <w:left w:val="none" w:sz="0" w:space="0" w:color="auto"/>
        <w:bottom w:val="none" w:sz="0" w:space="0" w:color="auto"/>
        <w:right w:val="none" w:sz="0" w:space="0" w:color="auto"/>
      </w:divBdr>
    </w:div>
    <w:div w:id="190806868">
      <w:bodyDiv w:val="1"/>
      <w:marLeft w:val="0"/>
      <w:marRight w:val="0"/>
      <w:marTop w:val="0"/>
      <w:marBottom w:val="0"/>
      <w:divBdr>
        <w:top w:val="none" w:sz="0" w:space="0" w:color="auto"/>
        <w:left w:val="none" w:sz="0" w:space="0" w:color="auto"/>
        <w:bottom w:val="none" w:sz="0" w:space="0" w:color="auto"/>
        <w:right w:val="none" w:sz="0" w:space="0" w:color="auto"/>
      </w:divBdr>
    </w:div>
    <w:div w:id="191117511">
      <w:bodyDiv w:val="1"/>
      <w:marLeft w:val="0"/>
      <w:marRight w:val="0"/>
      <w:marTop w:val="0"/>
      <w:marBottom w:val="0"/>
      <w:divBdr>
        <w:top w:val="none" w:sz="0" w:space="0" w:color="auto"/>
        <w:left w:val="none" w:sz="0" w:space="0" w:color="auto"/>
        <w:bottom w:val="none" w:sz="0" w:space="0" w:color="auto"/>
        <w:right w:val="none" w:sz="0" w:space="0" w:color="auto"/>
      </w:divBdr>
    </w:div>
    <w:div w:id="191571986">
      <w:bodyDiv w:val="1"/>
      <w:marLeft w:val="0"/>
      <w:marRight w:val="0"/>
      <w:marTop w:val="0"/>
      <w:marBottom w:val="0"/>
      <w:divBdr>
        <w:top w:val="none" w:sz="0" w:space="0" w:color="auto"/>
        <w:left w:val="none" w:sz="0" w:space="0" w:color="auto"/>
        <w:bottom w:val="none" w:sz="0" w:space="0" w:color="auto"/>
        <w:right w:val="none" w:sz="0" w:space="0" w:color="auto"/>
      </w:divBdr>
    </w:div>
    <w:div w:id="191647797">
      <w:bodyDiv w:val="1"/>
      <w:marLeft w:val="0"/>
      <w:marRight w:val="0"/>
      <w:marTop w:val="0"/>
      <w:marBottom w:val="0"/>
      <w:divBdr>
        <w:top w:val="none" w:sz="0" w:space="0" w:color="auto"/>
        <w:left w:val="none" w:sz="0" w:space="0" w:color="auto"/>
        <w:bottom w:val="none" w:sz="0" w:space="0" w:color="auto"/>
        <w:right w:val="none" w:sz="0" w:space="0" w:color="auto"/>
      </w:divBdr>
    </w:div>
    <w:div w:id="191697151">
      <w:bodyDiv w:val="1"/>
      <w:marLeft w:val="0"/>
      <w:marRight w:val="0"/>
      <w:marTop w:val="0"/>
      <w:marBottom w:val="0"/>
      <w:divBdr>
        <w:top w:val="none" w:sz="0" w:space="0" w:color="auto"/>
        <w:left w:val="none" w:sz="0" w:space="0" w:color="auto"/>
        <w:bottom w:val="none" w:sz="0" w:space="0" w:color="auto"/>
        <w:right w:val="none" w:sz="0" w:space="0" w:color="auto"/>
      </w:divBdr>
    </w:div>
    <w:div w:id="191960255">
      <w:bodyDiv w:val="1"/>
      <w:marLeft w:val="0"/>
      <w:marRight w:val="0"/>
      <w:marTop w:val="0"/>
      <w:marBottom w:val="0"/>
      <w:divBdr>
        <w:top w:val="none" w:sz="0" w:space="0" w:color="auto"/>
        <w:left w:val="none" w:sz="0" w:space="0" w:color="auto"/>
        <w:bottom w:val="none" w:sz="0" w:space="0" w:color="auto"/>
        <w:right w:val="none" w:sz="0" w:space="0" w:color="auto"/>
      </w:divBdr>
    </w:div>
    <w:div w:id="192159177">
      <w:bodyDiv w:val="1"/>
      <w:marLeft w:val="0"/>
      <w:marRight w:val="0"/>
      <w:marTop w:val="0"/>
      <w:marBottom w:val="0"/>
      <w:divBdr>
        <w:top w:val="none" w:sz="0" w:space="0" w:color="auto"/>
        <w:left w:val="none" w:sz="0" w:space="0" w:color="auto"/>
        <w:bottom w:val="none" w:sz="0" w:space="0" w:color="auto"/>
        <w:right w:val="none" w:sz="0" w:space="0" w:color="auto"/>
      </w:divBdr>
    </w:div>
    <w:div w:id="192698577">
      <w:bodyDiv w:val="1"/>
      <w:marLeft w:val="0"/>
      <w:marRight w:val="0"/>
      <w:marTop w:val="0"/>
      <w:marBottom w:val="0"/>
      <w:divBdr>
        <w:top w:val="none" w:sz="0" w:space="0" w:color="auto"/>
        <w:left w:val="none" w:sz="0" w:space="0" w:color="auto"/>
        <w:bottom w:val="none" w:sz="0" w:space="0" w:color="auto"/>
        <w:right w:val="none" w:sz="0" w:space="0" w:color="auto"/>
      </w:divBdr>
    </w:div>
    <w:div w:id="192964560">
      <w:bodyDiv w:val="1"/>
      <w:marLeft w:val="0"/>
      <w:marRight w:val="0"/>
      <w:marTop w:val="0"/>
      <w:marBottom w:val="0"/>
      <w:divBdr>
        <w:top w:val="none" w:sz="0" w:space="0" w:color="auto"/>
        <w:left w:val="none" w:sz="0" w:space="0" w:color="auto"/>
        <w:bottom w:val="none" w:sz="0" w:space="0" w:color="auto"/>
        <w:right w:val="none" w:sz="0" w:space="0" w:color="auto"/>
      </w:divBdr>
    </w:div>
    <w:div w:id="193076570">
      <w:bodyDiv w:val="1"/>
      <w:marLeft w:val="0"/>
      <w:marRight w:val="0"/>
      <w:marTop w:val="0"/>
      <w:marBottom w:val="0"/>
      <w:divBdr>
        <w:top w:val="none" w:sz="0" w:space="0" w:color="auto"/>
        <w:left w:val="none" w:sz="0" w:space="0" w:color="auto"/>
        <w:bottom w:val="none" w:sz="0" w:space="0" w:color="auto"/>
        <w:right w:val="none" w:sz="0" w:space="0" w:color="auto"/>
      </w:divBdr>
    </w:div>
    <w:div w:id="193269949">
      <w:bodyDiv w:val="1"/>
      <w:marLeft w:val="0"/>
      <w:marRight w:val="0"/>
      <w:marTop w:val="0"/>
      <w:marBottom w:val="0"/>
      <w:divBdr>
        <w:top w:val="none" w:sz="0" w:space="0" w:color="auto"/>
        <w:left w:val="none" w:sz="0" w:space="0" w:color="auto"/>
        <w:bottom w:val="none" w:sz="0" w:space="0" w:color="auto"/>
        <w:right w:val="none" w:sz="0" w:space="0" w:color="auto"/>
      </w:divBdr>
    </w:div>
    <w:div w:id="194469823">
      <w:bodyDiv w:val="1"/>
      <w:marLeft w:val="0"/>
      <w:marRight w:val="0"/>
      <w:marTop w:val="0"/>
      <w:marBottom w:val="0"/>
      <w:divBdr>
        <w:top w:val="none" w:sz="0" w:space="0" w:color="auto"/>
        <w:left w:val="none" w:sz="0" w:space="0" w:color="auto"/>
        <w:bottom w:val="none" w:sz="0" w:space="0" w:color="auto"/>
        <w:right w:val="none" w:sz="0" w:space="0" w:color="auto"/>
      </w:divBdr>
    </w:div>
    <w:div w:id="194735569">
      <w:bodyDiv w:val="1"/>
      <w:marLeft w:val="0"/>
      <w:marRight w:val="0"/>
      <w:marTop w:val="0"/>
      <w:marBottom w:val="0"/>
      <w:divBdr>
        <w:top w:val="none" w:sz="0" w:space="0" w:color="auto"/>
        <w:left w:val="none" w:sz="0" w:space="0" w:color="auto"/>
        <w:bottom w:val="none" w:sz="0" w:space="0" w:color="auto"/>
        <w:right w:val="none" w:sz="0" w:space="0" w:color="auto"/>
      </w:divBdr>
    </w:div>
    <w:div w:id="195316673">
      <w:bodyDiv w:val="1"/>
      <w:marLeft w:val="0"/>
      <w:marRight w:val="0"/>
      <w:marTop w:val="0"/>
      <w:marBottom w:val="0"/>
      <w:divBdr>
        <w:top w:val="none" w:sz="0" w:space="0" w:color="auto"/>
        <w:left w:val="none" w:sz="0" w:space="0" w:color="auto"/>
        <w:bottom w:val="none" w:sz="0" w:space="0" w:color="auto"/>
        <w:right w:val="none" w:sz="0" w:space="0" w:color="auto"/>
      </w:divBdr>
    </w:div>
    <w:div w:id="195822702">
      <w:bodyDiv w:val="1"/>
      <w:marLeft w:val="0"/>
      <w:marRight w:val="0"/>
      <w:marTop w:val="0"/>
      <w:marBottom w:val="0"/>
      <w:divBdr>
        <w:top w:val="none" w:sz="0" w:space="0" w:color="auto"/>
        <w:left w:val="none" w:sz="0" w:space="0" w:color="auto"/>
        <w:bottom w:val="none" w:sz="0" w:space="0" w:color="auto"/>
        <w:right w:val="none" w:sz="0" w:space="0" w:color="auto"/>
      </w:divBdr>
    </w:div>
    <w:div w:id="196160436">
      <w:bodyDiv w:val="1"/>
      <w:marLeft w:val="0"/>
      <w:marRight w:val="0"/>
      <w:marTop w:val="0"/>
      <w:marBottom w:val="0"/>
      <w:divBdr>
        <w:top w:val="none" w:sz="0" w:space="0" w:color="auto"/>
        <w:left w:val="none" w:sz="0" w:space="0" w:color="auto"/>
        <w:bottom w:val="none" w:sz="0" w:space="0" w:color="auto"/>
        <w:right w:val="none" w:sz="0" w:space="0" w:color="auto"/>
      </w:divBdr>
    </w:div>
    <w:div w:id="196285789">
      <w:bodyDiv w:val="1"/>
      <w:marLeft w:val="0"/>
      <w:marRight w:val="0"/>
      <w:marTop w:val="0"/>
      <w:marBottom w:val="0"/>
      <w:divBdr>
        <w:top w:val="none" w:sz="0" w:space="0" w:color="auto"/>
        <w:left w:val="none" w:sz="0" w:space="0" w:color="auto"/>
        <w:bottom w:val="none" w:sz="0" w:space="0" w:color="auto"/>
        <w:right w:val="none" w:sz="0" w:space="0" w:color="auto"/>
      </w:divBdr>
    </w:div>
    <w:div w:id="196745853">
      <w:bodyDiv w:val="1"/>
      <w:marLeft w:val="0"/>
      <w:marRight w:val="0"/>
      <w:marTop w:val="0"/>
      <w:marBottom w:val="0"/>
      <w:divBdr>
        <w:top w:val="none" w:sz="0" w:space="0" w:color="auto"/>
        <w:left w:val="none" w:sz="0" w:space="0" w:color="auto"/>
        <w:bottom w:val="none" w:sz="0" w:space="0" w:color="auto"/>
        <w:right w:val="none" w:sz="0" w:space="0" w:color="auto"/>
      </w:divBdr>
    </w:div>
    <w:div w:id="197355470">
      <w:bodyDiv w:val="1"/>
      <w:marLeft w:val="0"/>
      <w:marRight w:val="0"/>
      <w:marTop w:val="0"/>
      <w:marBottom w:val="0"/>
      <w:divBdr>
        <w:top w:val="none" w:sz="0" w:space="0" w:color="auto"/>
        <w:left w:val="none" w:sz="0" w:space="0" w:color="auto"/>
        <w:bottom w:val="none" w:sz="0" w:space="0" w:color="auto"/>
        <w:right w:val="none" w:sz="0" w:space="0" w:color="auto"/>
      </w:divBdr>
    </w:div>
    <w:div w:id="197592032">
      <w:bodyDiv w:val="1"/>
      <w:marLeft w:val="0"/>
      <w:marRight w:val="0"/>
      <w:marTop w:val="0"/>
      <w:marBottom w:val="0"/>
      <w:divBdr>
        <w:top w:val="none" w:sz="0" w:space="0" w:color="auto"/>
        <w:left w:val="none" w:sz="0" w:space="0" w:color="auto"/>
        <w:bottom w:val="none" w:sz="0" w:space="0" w:color="auto"/>
        <w:right w:val="none" w:sz="0" w:space="0" w:color="auto"/>
      </w:divBdr>
    </w:div>
    <w:div w:id="197818840">
      <w:bodyDiv w:val="1"/>
      <w:marLeft w:val="0"/>
      <w:marRight w:val="0"/>
      <w:marTop w:val="0"/>
      <w:marBottom w:val="0"/>
      <w:divBdr>
        <w:top w:val="none" w:sz="0" w:space="0" w:color="auto"/>
        <w:left w:val="none" w:sz="0" w:space="0" w:color="auto"/>
        <w:bottom w:val="none" w:sz="0" w:space="0" w:color="auto"/>
        <w:right w:val="none" w:sz="0" w:space="0" w:color="auto"/>
      </w:divBdr>
    </w:div>
    <w:div w:id="197931808">
      <w:bodyDiv w:val="1"/>
      <w:marLeft w:val="0"/>
      <w:marRight w:val="0"/>
      <w:marTop w:val="0"/>
      <w:marBottom w:val="0"/>
      <w:divBdr>
        <w:top w:val="none" w:sz="0" w:space="0" w:color="auto"/>
        <w:left w:val="none" w:sz="0" w:space="0" w:color="auto"/>
        <w:bottom w:val="none" w:sz="0" w:space="0" w:color="auto"/>
        <w:right w:val="none" w:sz="0" w:space="0" w:color="auto"/>
      </w:divBdr>
    </w:div>
    <w:div w:id="198326453">
      <w:bodyDiv w:val="1"/>
      <w:marLeft w:val="0"/>
      <w:marRight w:val="0"/>
      <w:marTop w:val="0"/>
      <w:marBottom w:val="0"/>
      <w:divBdr>
        <w:top w:val="none" w:sz="0" w:space="0" w:color="auto"/>
        <w:left w:val="none" w:sz="0" w:space="0" w:color="auto"/>
        <w:bottom w:val="none" w:sz="0" w:space="0" w:color="auto"/>
        <w:right w:val="none" w:sz="0" w:space="0" w:color="auto"/>
      </w:divBdr>
    </w:div>
    <w:div w:id="198587698">
      <w:bodyDiv w:val="1"/>
      <w:marLeft w:val="0"/>
      <w:marRight w:val="0"/>
      <w:marTop w:val="0"/>
      <w:marBottom w:val="0"/>
      <w:divBdr>
        <w:top w:val="none" w:sz="0" w:space="0" w:color="auto"/>
        <w:left w:val="none" w:sz="0" w:space="0" w:color="auto"/>
        <w:bottom w:val="none" w:sz="0" w:space="0" w:color="auto"/>
        <w:right w:val="none" w:sz="0" w:space="0" w:color="auto"/>
      </w:divBdr>
    </w:div>
    <w:div w:id="198662282">
      <w:bodyDiv w:val="1"/>
      <w:marLeft w:val="0"/>
      <w:marRight w:val="0"/>
      <w:marTop w:val="0"/>
      <w:marBottom w:val="0"/>
      <w:divBdr>
        <w:top w:val="none" w:sz="0" w:space="0" w:color="auto"/>
        <w:left w:val="none" w:sz="0" w:space="0" w:color="auto"/>
        <w:bottom w:val="none" w:sz="0" w:space="0" w:color="auto"/>
        <w:right w:val="none" w:sz="0" w:space="0" w:color="auto"/>
      </w:divBdr>
    </w:div>
    <w:div w:id="198902666">
      <w:bodyDiv w:val="1"/>
      <w:marLeft w:val="0"/>
      <w:marRight w:val="0"/>
      <w:marTop w:val="0"/>
      <w:marBottom w:val="0"/>
      <w:divBdr>
        <w:top w:val="none" w:sz="0" w:space="0" w:color="auto"/>
        <w:left w:val="none" w:sz="0" w:space="0" w:color="auto"/>
        <w:bottom w:val="none" w:sz="0" w:space="0" w:color="auto"/>
        <w:right w:val="none" w:sz="0" w:space="0" w:color="auto"/>
      </w:divBdr>
    </w:div>
    <w:div w:id="199049458">
      <w:bodyDiv w:val="1"/>
      <w:marLeft w:val="0"/>
      <w:marRight w:val="0"/>
      <w:marTop w:val="0"/>
      <w:marBottom w:val="0"/>
      <w:divBdr>
        <w:top w:val="none" w:sz="0" w:space="0" w:color="auto"/>
        <w:left w:val="none" w:sz="0" w:space="0" w:color="auto"/>
        <w:bottom w:val="none" w:sz="0" w:space="0" w:color="auto"/>
        <w:right w:val="none" w:sz="0" w:space="0" w:color="auto"/>
      </w:divBdr>
    </w:div>
    <w:div w:id="199049530">
      <w:bodyDiv w:val="1"/>
      <w:marLeft w:val="0"/>
      <w:marRight w:val="0"/>
      <w:marTop w:val="0"/>
      <w:marBottom w:val="0"/>
      <w:divBdr>
        <w:top w:val="none" w:sz="0" w:space="0" w:color="auto"/>
        <w:left w:val="none" w:sz="0" w:space="0" w:color="auto"/>
        <w:bottom w:val="none" w:sz="0" w:space="0" w:color="auto"/>
        <w:right w:val="none" w:sz="0" w:space="0" w:color="auto"/>
      </w:divBdr>
    </w:div>
    <w:div w:id="199321410">
      <w:bodyDiv w:val="1"/>
      <w:marLeft w:val="0"/>
      <w:marRight w:val="0"/>
      <w:marTop w:val="0"/>
      <w:marBottom w:val="0"/>
      <w:divBdr>
        <w:top w:val="none" w:sz="0" w:space="0" w:color="auto"/>
        <w:left w:val="none" w:sz="0" w:space="0" w:color="auto"/>
        <w:bottom w:val="none" w:sz="0" w:space="0" w:color="auto"/>
        <w:right w:val="none" w:sz="0" w:space="0" w:color="auto"/>
      </w:divBdr>
    </w:div>
    <w:div w:id="199392380">
      <w:bodyDiv w:val="1"/>
      <w:marLeft w:val="0"/>
      <w:marRight w:val="0"/>
      <w:marTop w:val="0"/>
      <w:marBottom w:val="0"/>
      <w:divBdr>
        <w:top w:val="none" w:sz="0" w:space="0" w:color="auto"/>
        <w:left w:val="none" w:sz="0" w:space="0" w:color="auto"/>
        <w:bottom w:val="none" w:sz="0" w:space="0" w:color="auto"/>
        <w:right w:val="none" w:sz="0" w:space="0" w:color="auto"/>
      </w:divBdr>
    </w:div>
    <w:div w:id="199589200">
      <w:bodyDiv w:val="1"/>
      <w:marLeft w:val="0"/>
      <w:marRight w:val="0"/>
      <w:marTop w:val="0"/>
      <w:marBottom w:val="0"/>
      <w:divBdr>
        <w:top w:val="none" w:sz="0" w:space="0" w:color="auto"/>
        <w:left w:val="none" w:sz="0" w:space="0" w:color="auto"/>
        <w:bottom w:val="none" w:sz="0" w:space="0" w:color="auto"/>
        <w:right w:val="none" w:sz="0" w:space="0" w:color="auto"/>
      </w:divBdr>
    </w:div>
    <w:div w:id="199704253">
      <w:bodyDiv w:val="1"/>
      <w:marLeft w:val="0"/>
      <w:marRight w:val="0"/>
      <w:marTop w:val="0"/>
      <w:marBottom w:val="0"/>
      <w:divBdr>
        <w:top w:val="none" w:sz="0" w:space="0" w:color="auto"/>
        <w:left w:val="none" w:sz="0" w:space="0" w:color="auto"/>
        <w:bottom w:val="none" w:sz="0" w:space="0" w:color="auto"/>
        <w:right w:val="none" w:sz="0" w:space="0" w:color="auto"/>
      </w:divBdr>
    </w:div>
    <w:div w:id="199829854">
      <w:bodyDiv w:val="1"/>
      <w:marLeft w:val="0"/>
      <w:marRight w:val="0"/>
      <w:marTop w:val="0"/>
      <w:marBottom w:val="0"/>
      <w:divBdr>
        <w:top w:val="none" w:sz="0" w:space="0" w:color="auto"/>
        <w:left w:val="none" w:sz="0" w:space="0" w:color="auto"/>
        <w:bottom w:val="none" w:sz="0" w:space="0" w:color="auto"/>
        <w:right w:val="none" w:sz="0" w:space="0" w:color="auto"/>
      </w:divBdr>
    </w:div>
    <w:div w:id="199973213">
      <w:bodyDiv w:val="1"/>
      <w:marLeft w:val="0"/>
      <w:marRight w:val="0"/>
      <w:marTop w:val="0"/>
      <w:marBottom w:val="0"/>
      <w:divBdr>
        <w:top w:val="none" w:sz="0" w:space="0" w:color="auto"/>
        <w:left w:val="none" w:sz="0" w:space="0" w:color="auto"/>
        <w:bottom w:val="none" w:sz="0" w:space="0" w:color="auto"/>
        <w:right w:val="none" w:sz="0" w:space="0" w:color="auto"/>
      </w:divBdr>
    </w:div>
    <w:div w:id="199979352">
      <w:bodyDiv w:val="1"/>
      <w:marLeft w:val="0"/>
      <w:marRight w:val="0"/>
      <w:marTop w:val="0"/>
      <w:marBottom w:val="0"/>
      <w:divBdr>
        <w:top w:val="none" w:sz="0" w:space="0" w:color="auto"/>
        <w:left w:val="none" w:sz="0" w:space="0" w:color="auto"/>
        <w:bottom w:val="none" w:sz="0" w:space="0" w:color="auto"/>
        <w:right w:val="none" w:sz="0" w:space="0" w:color="auto"/>
      </w:divBdr>
    </w:div>
    <w:div w:id="200363237">
      <w:bodyDiv w:val="1"/>
      <w:marLeft w:val="0"/>
      <w:marRight w:val="0"/>
      <w:marTop w:val="0"/>
      <w:marBottom w:val="0"/>
      <w:divBdr>
        <w:top w:val="none" w:sz="0" w:space="0" w:color="auto"/>
        <w:left w:val="none" w:sz="0" w:space="0" w:color="auto"/>
        <w:bottom w:val="none" w:sz="0" w:space="0" w:color="auto"/>
        <w:right w:val="none" w:sz="0" w:space="0" w:color="auto"/>
      </w:divBdr>
    </w:div>
    <w:div w:id="200944408">
      <w:bodyDiv w:val="1"/>
      <w:marLeft w:val="0"/>
      <w:marRight w:val="0"/>
      <w:marTop w:val="0"/>
      <w:marBottom w:val="0"/>
      <w:divBdr>
        <w:top w:val="none" w:sz="0" w:space="0" w:color="auto"/>
        <w:left w:val="none" w:sz="0" w:space="0" w:color="auto"/>
        <w:bottom w:val="none" w:sz="0" w:space="0" w:color="auto"/>
        <w:right w:val="none" w:sz="0" w:space="0" w:color="auto"/>
      </w:divBdr>
    </w:div>
    <w:div w:id="201286766">
      <w:bodyDiv w:val="1"/>
      <w:marLeft w:val="0"/>
      <w:marRight w:val="0"/>
      <w:marTop w:val="0"/>
      <w:marBottom w:val="0"/>
      <w:divBdr>
        <w:top w:val="none" w:sz="0" w:space="0" w:color="auto"/>
        <w:left w:val="none" w:sz="0" w:space="0" w:color="auto"/>
        <w:bottom w:val="none" w:sz="0" w:space="0" w:color="auto"/>
        <w:right w:val="none" w:sz="0" w:space="0" w:color="auto"/>
      </w:divBdr>
    </w:div>
    <w:div w:id="201406063">
      <w:bodyDiv w:val="1"/>
      <w:marLeft w:val="0"/>
      <w:marRight w:val="0"/>
      <w:marTop w:val="0"/>
      <w:marBottom w:val="0"/>
      <w:divBdr>
        <w:top w:val="none" w:sz="0" w:space="0" w:color="auto"/>
        <w:left w:val="none" w:sz="0" w:space="0" w:color="auto"/>
        <w:bottom w:val="none" w:sz="0" w:space="0" w:color="auto"/>
        <w:right w:val="none" w:sz="0" w:space="0" w:color="auto"/>
      </w:divBdr>
    </w:div>
    <w:div w:id="202518387">
      <w:bodyDiv w:val="1"/>
      <w:marLeft w:val="0"/>
      <w:marRight w:val="0"/>
      <w:marTop w:val="0"/>
      <w:marBottom w:val="0"/>
      <w:divBdr>
        <w:top w:val="none" w:sz="0" w:space="0" w:color="auto"/>
        <w:left w:val="none" w:sz="0" w:space="0" w:color="auto"/>
        <w:bottom w:val="none" w:sz="0" w:space="0" w:color="auto"/>
        <w:right w:val="none" w:sz="0" w:space="0" w:color="auto"/>
      </w:divBdr>
    </w:div>
    <w:div w:id="202525799">
      <w:bodyDiv w:val="1"/>
      <w:marLeft w:val="0"/>
      <w:marRight w:val="0"/>
      <w:marTop w:val="0"/>
      <w:marBottom w:val="0"/>
      <w:divBdr>
        <w:top w:val="none" w:sz="0" w:space="0" w:color="auto"/>
        <w:left w:val="none" w:sz="0" w:space="0" w:color="auto"/>
        <w:bottom w:val="none" w:sz="0" w:space="0" w:color="auto"/>
        <w:right w:val="none" w:sz="0" w:space="0" w:color="auto"/>
      </w:divBdr>
    </w:div>
    <w:div w:id="202525958">
      <w:bodyDiv w:val="1"/>
      <w:marLeft w:val="0"/>
      <w:marRight w:val="0"/>
      <w:marTop w:val="0"/>
      <w:marBottom w:val="0"/>
      <w:divBdr>
        <w:top w:val="none" w:sz="0" w:space="0" w:color="auto"/>
        <w:left w:val="none" w:sz="0" w:space="0" w:color="auto"/>
        <w:bottom w:val="none" w:sz="0" w:space="0" w:color="auto"/>
        <w:right w:val="none" w:sz="0" w:space="0" w:color="auto"/>
      </w:divBdr>
    </w:div>
    <w:div w:id="202596714">
      <w:bodyDiv w:val="1"/>
      <w:marLeft w:val="0"/>
      <w:marRight w:val="0"/>
      <w:marTop w:val="0"/>
      <w:marBottom w:val="0"/>
      <w:divBdr>
        <w:top w:val="none" w:sz="0" w:space="0" w:color="auto"/>
        <w:left w:val="none" w:sz="0" w:space="0" w:color="auto"/>
        <w:bottom w:val="none" w:sz="0" w:space="0" w:color="auto"/>
        <w:right w:val="none" w:sz="0" w:space="0" w:color="auto"/>
      </w:divBdr>
    </w:div>
    <w:div w:id="202838850">
      <w:bodyDiv w:val="1"/>
      <w:marLeft w:val="0"/>
      <w:marRight w:val="0"/>
      <w:marTop w:val="0"/>
      <w:marBottom w:val="0"/>
      <w:divBdr>
        <w:top w:val="none" w:sz="0" w:space="0" w:color="auto"/>
        <w:left w:val="none" w:sz="0" w:space="0" w:color="auto"/>
        <w:bottom w:val="none" w:sz="0" w:space="0" w:color="auto"/>
        <w:right w:val="none" w:sz="0" w:space="0" w:color="auto"/>
      </w:divBdr>
    </w:div>
    <w:div w:id="203057757">
      <w:bodyDiv w:val="1"/>
      <w:marLeft w:val="0"/>
      <w:marRight w:val="0"/>
      <w:marTop w:val="0"/>
      <w:marBottom w:val="0"/>
      <w:divBdr>
        <w:top w:val="none" w:sz="0" w:space="0" w:color="auto"/>
        <w:left w:val="none" w:sz="0" w:space="0" w:color="auto"/>
        <w:bottom w:val="none" w:sz="0" w:space="0" w:color="auto"/>
        <w:right w:val="none" w:sz="0" w:space="0" w:color="auto"/>
      </w:divBdr>
    </w:div>
    <w:div w:id="203098420">
      <w:bodyDiv w:val="1"/>
      <w:marLeft w:val="0"/>
      <w:marRight w:val="0"/>
      <w:marTop w:val="0"/>
      <w:marBottom w:val="0"/>
      <w:divBdr>
        <w:top w:val="none" w:sz="0" w:space="0" w:color="auto"/>
        <w:left w:val="none" w:sz="0" w:space="0" w:color="auto"/>
        <w:bottom w:val="none" w:sz="0" w:space="0" w:color="auto"/>
        <w:right w:val="none" w:sz="0" w:space="0" w:color="auto"/>
      </w:divBdr>
    </w:div>
    <w:div w:id="203294153">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03908272">
      <w:bodyDiv w:val="1"/>
      <w:marLeft w:val="0"/>
      <w:marRight w:val="0"/>
      <w:marTop w:val="0"/>
      <w:marBottom w:val="0"/>
      <w:divBdr>
        <w:top w:val="none" w:sz="0" w:space="0" w:color="auto"/>
        <w:left w:val="none" w:sz="0" w:space="0" w:color="auto"/>
        <w:bottom w:val="none" w:sz="0" w:space="0" w:color="auto"/>
        <w:right w:val="none" w:sz="0" w:space="0" w:color="auto"/>
      </w:divBdr>
    </w:div>
    <w:div w:id="204292440">
      <w:bodyDiv w:val="1"/>
      <w:marLeft w:val="0"/>
      <w:marRight w:val="0"/>
      <w:marTop w:val="0"/>
      <w:marBottom w:val="0"/>
      <w:divBdr>
        <w:top w:val="none" w:sz="0" w:space="0" w:color="auto"/>
        <w:left w:val="none" w:sz="0" w:space="0" w:color="auto"/>
        <w:bottom w:val="none" w:sz="0" w:space="0" w:color="auto"/>
        <w:right w:val="none" w:sz="0" w:space="0" w:color="auto"/>
      </w:divBdr>
    </w:div>
    <w:div w:id="204483705">
      <w:bodyDiv w:val="1"/>
      <w:marLeft w:val="0"/>
      <w:marRight w:val="0"/>
      <w:marTop w:val="0"/>
      <w:marBottom w:val="0"/>
      <w:divBdr>
        <w:top w:val="none" w:sz="0" w:space="0" w:color="auto"/>
        <w:left w:val="none" w:sz="0" w:space="0" w:color="auto"/>
        <w:bottom w:val="none" w:sz="0" w:space="0" w:color="auto"/>
        <w:right w:val="none" w:sz="0" w:space="0" w:color="auto"/>
      </w:divBdr>
    </w:div>
    <w:div w:id="204490930">
      <w:bodyDiv w:val="1"/>
      <w:marLeft w:val="0"/>
      <w:marRight w:val="0"/>
      <w:marTop w:val="0"/>
      <w:marBottom w:val="0"/>
      <w:divBdr>
        <w:top w:val="none" w:sz="0" w:space="0" w:color="auto"/>
        <w:left w:val="none" w:sz="0" w:space="0" w:color="auto"/>
        <w:bottom w:val="none" w:sz="0" w:space="0" w:color="auto"/>
        <w:right w:val="none" w:sz="0" w:space="0" w:color="auto"/>
      </w:divBdr>
    </w:div>
    <w:div w:id="204685424">
      <w:bodyDiv w:val="1"/>
      <w:marLeft w:val="0"/>
      <w:marRight w:val="0"/>
      <w:marTop w:val="0"/>
      <w:marBottom w:val="0"/>
      <w:divBdr>
        <w:top w:val="none" w:sz="0" w:space="0" w:color="auto"/>
        <w:left w:val="none" w:sz="0" w:space="0" w:color="auto"/>
        <w:bottom w:val="none" w:sz="0" w:space="0" w:color="auto"/>
        <w:right w:val="none" w:sz="0" w:space="0" w:color="auto"/>
      </w:divBdr>
    </w:div>
    <w:div w:id="205604398">
      <w:bodyDiv w:val="1"/>
      <w:marLeft w:val="0"/>
      <w:marRight w:val="0"/>
      <w:marTop w:val="0"/>
      <w:marBottom w:val="0"/>
      <w:divBdr>
        <w:top w:val="none" w:sz="0" w:space="0" w:color="auto"/>
        <w:left w:val="none" w:sz="0" w:space="0" w:color="auto"/>
        <w:bottom w:val="none" w:sz="0" w:space="0" w:color="auto"/>
        <w:right w:val="none" w:sz="0" w:space="0" w:color="auto"/>
      </w:divBdr>
    </w:div>
    <w:div w:id="205795116">
      <w:bodyDiv w:val="1"/>
      <w:marLeft w:val="0"/>
      <w:marRight w:val="0"/>
      <w:marTop w:val="0"/>
      <w:marBottom w:val="0"/>
      <w:divBdr>
        <w:top w:val="none" w:sz="0" w:space="0" w:color="auto"/>
        <w:left w:val="none" w:sz="0" w:space="0" w:color="auto"/>
        <w:bottom w:val="none" w:sz="0" w:space="0" w:color="auto"/>
        <w:right w:val="none" w:sz="0" w:space="0" w:color="auto"/>
      </w:divBdr>
    </w:div>
    <w:div w:id="205870573">
      <w:bodyDiv w:val="1"/>
      <w:marLeft w:val="0"/>
      <w:marRight w:val="0"/>
      <w:marTop w:val="0"/>
      <w:marBottom w:val="0"/>
      <w:divBdr>
        <w:top w:val="none" w:sz="0" w:space="0" w:color="auto"/>
        <w:left w:val="none" w:sz="0" w:space="0" w:color="auto"/>
        <w:bottom w:val="none" w:sz="0" w:space="0" w:color="auto"/>
        <w:right w:val="none" w:sz="0" w:space="0" w:color="auto"/>
      </w:divBdr>
    </w:div>
    <w:div w:id="206381883">
      <w:bodyDiv w:val="1"/>
      <w:marLeft w:val="0"/>
      <w:marRight w:val="0"/>
      <w:marTop w:val="0"/>
      <w:marBottom w:val="0"/>
      <w:divBdr>
        <w:top w:val="none" w:sz="0" w:space="0" w:color="auto"/>
        <w:left w:val="none" w:sz="0" w:space="0" w:color="auto"/>
        <w:bottom w:val="none" w:sz="0" w:space="0" w:color="auto"/>
        <w:right w:val="none" w:sz="0" w:space="0" w:color="auto"/>
      </w:divBdr>
    </w:div>
    <w:div w:id="206644703">
      <w:bodyDiv w:val="1"/>
      <w:marLeft w:val="0"/>
      <w:marRight w:val="0"/>
      <w:marTop w:val="0"/>
      <w:marBottom w:val="0"/>
      <w:divBdr>
        <w:top w:val="none" w:sz="0" w:space="0" w:color="auto"/>
        <w:left w:val="none" w:sz="0" w:space="0" w:color="auto"/>
        <w:bottom w:val="none" w:sz="0" w:space="0" w:color="auto"/>
        <w:right w:val="none" w:sz="0" w:space="0" w:color="auto"/>
      </w:divBdr>
    </w:div>
    <w:div w:id="206651668">
      <w:bodyDiv w:val="1"/>
      <w:marLeft w:val="0"/>
      <w:marRight w:val="0"/>
      <w:marTop w:val="0"/>
      <w:marBottom w:val="0"/>
      <w:divBdr>
        <w:top w:val="none" w:sz="0" w:space="0" w:color="auto"/>
        <w:left w:val="none" w:sz="0" w:space="0" w:color="auto"/>
        <w:bottom w:val="none" w:sz="0" w:space="0" w:color="auto"/>
        <w:right w:val="none" w:sz="0" w:space="0" w:color="auto"/>
      </w:divBdr>
    </w:div>
    <w:div w:id="206726345">
      <w:bodyDiv w:val="1"/>
      <w:marLeft w:val="0"/>
      <w:marRight w:val="0"/>
      <w:marTop w:val="0"/>
      <w:marBottom w:val="0"/>
      <w:divBdr>
        <w:top w:val="none" w:sz="0" w:space="0" w:color="auto"/>
        <w:left w:val="none" w:sz="0" w:space="0" w:color="auto"/>
        <w:bottom w:val="none" w:sz="0" w:space="0" w:color="auto"/>
        <w:right w:val="none" w:sz="0" w:space="0" w:color="auto"/>
      </w:divBdr>
    </w:div>
    <w:div w:id="207494476">
      <w:bodyDiv w:val="1"/>
      <w:marLeft w:val="0"/>
      <w:marRight w:val="0"/>
      <w:marTop w:val="0"/>
      <w:marBottom w:val="0"/>
      <w:divBdr>
        <w:top w:val="none" w:sz="0" w:space="0" w:color="auto"/>
        <w:left w:val="none" w:sz="0" w:space="0" w:color="auto"/>
        <w:bottom w:val="none" w:sz="0" w:space="0" w:color="auto"/>
        <w:right w:val="none" w:sz="0" w:space="0" w:color="auto"/>
      </w:divBdr>
    </w:div>
    <w:div w:id="208498451">
      <w:bodyDiv w:val="1"/>
      <w:marLeft w:val="0"/>
      <w:marRight w:val="0"/>
      <w:marTop w:val="0"/>
      <w:marBottom w:val="0"/>
      <w:divBdr>
        <w:top w:val="none" w:sz="0" w:space="0" w:color="auto"/>
        <w:left w:val="none" w:sz="0" w:space="0" w:color="auto"/>
        <w:bottom w:val="none" w:sz="0" w:space="0" w:color="auto"/>
        <w:right w:val="none" w:sz="0" w:space="0" w:color="auto"/>
      </w:divBdr>
    </w:div>
    <w:div w:id="208499552">
      <w:bodyDiv w:val="1"/>
      <w:marLeft w:val="0"/>
      <w:marRight w:val="0"/>
      <w:marTop w:val="0"/>
      <w:marBottom w:val="0"/>
      <w:divBdr>
        <w:top w:val="none" w:sz="0" w:space="0" w:color="auto"/>
        <w:left w:val="none" w:sz="0" w:space="0" w:color="auto"/>
        <w:bottom w:val="none" w:sz="0" w:space="0" w:color="auto"/>
        <w:right w:val="none" w:sz="0" w:space="0" w:color="auto"/>
      </w:divBdr>
    </w:div>
    <w:div w:id="208760637">
      <w:bodyDiv w:val="1"/>
      <w:marLeft w:val="0"/>
      <w:marRight w:val="0"/>
      <w:marTop w:val="0"/>
      <w:marBottom w:val="0"/>
      <w:divBdr>
        <w:top w:val="none" w:sz="0" w:space="0" w:color="auto"/>
        <w:left w:val="none" w:sz="0" w:space="0" w:color="auto"/>
        <w:bottom w:val="none" w:sz="0" w:space="0" w:color="auto"/>
        <w:right w:val="none" w:sz="0" w:space="0" w:color="auto"/>
      </w:divBdr>
    </w:div>
    <w:div w:id="209193732">
      <w:bodyDiv w:val="1"/>
      <w:marLeft w:val="0"/>
      <w:marRight w:val="0"/>
      <w:marTop w:val="0"/>
      <w:marBottom w:val="0"/>
      <w:divBdr>
        <w:top w:val="none" w:sz="0" w:space="0" w:color="auto"/>
        <w:left w:val="none" w:sz="0" w:space="0" w:color="auto"/>
        <w:bottom w:val="none" w:sz="0" w:space="0" w:color="auto"/>
        <w:right w:val="none" w:sz="0" w:space="0" w:color="auto"/>
      </w:divBdr>
    </w:div>
    <w:div w:id="209195849">
      <w:bodyDiv w:val="1"/>
      <w:marLeft w:val="0"/>
      <w:marRight w:val="0"/>
      <w:marTop w:val="0"/>
      <w:marBottom w:val="0"/>
      <w:divBdr>
        <w:top w:val="none" w:sz="0" w:space="0" w:color="auto"/>
        <w:left w:val="none" w:sz="0" w:space="0" w:color="auto"/>
        <w:bottom w:val="none" w:sz="0" w:space="0" w:color="auto"/>
        <w:right w:val="none" w:sz="0" w:space="0" w:color="auto"/>
      </w:divBdr>
    </w:div>
    <w:div w:id="209340723">
      <w:bodyDiv w:val="1"/>
      <w:marLeft w:val="0"/>
      <w:marRight w:val="0"/>
      <w:marTop w:val="0"/>
      <w:marBottom w:val="0"/>
      <w:divBdr>
        <w:top w:val="none" w:sz="0" w:space="0" w:color="auto"/>
        <w:left w:val="none" w:sz="0" w:space="0" w:color="auto"/>
        <w:bottom w:val="none" w:sz="0" w:space="0" w:color="auto"/>
        <w:right w:val="none" w:sz="0" w:space="0" w:color="auto"/>
      </w:divBdr>
    </w:div>
    <w:div w:id="209651450">
      <w:bodyDiv w:val="1"/>
      <w:marLeft w:val="0"/>
      <w:marRight w:val="0"/>
      <w:marTop w:val="0"/>
      <w:marBottom w:val="0"/>
      <w:divBdr>
        <w:top w:val="none" w:sz="0" w:space="0" w:color="auto"/>
        <w:left w:val="none" w:sz="0" w:space="0" w:color="auto"/>
        <w:bottom w:val="none" w:sz="0" w:space="0" w:color="auto"/>
        <w:right w:val="none" w:sz="0" w:space="0" w:color="auto"/>
      </w:divBdr>
    </w:div>
    <w:div w:id="209807252">
      <w:bodyDiv w:val="1"/>
      <w:marLeft w:val="0"/>
      <w:marRight w:val="0"/>
      <w:marTop w:val="0"/>
      <w:marBottom w:val="0"/>
      <w:divBdr>
        <w:top w:val="none" w:sz="0" w:space="0" w:color="auto"/>
        <w:left w:val="none" w:sz="0" w:space="0" w:color="auto"/>
        <w:bottom w:val="none" w:sz="0" w:space="0" w:color="auto"/>
        <w:right w:val="none" w:sz="0" w:space="0" w:color="auto"/>
      </w:divBdr>
    </w:div>
    <w:div w:id="209807457">
      <w:bodyDiv w:val="1"/>
      <w:marLeft w:val="0"/>
      <w:marRight w:val="0"/>
      <w:marTop w:val="0"/>
      <w:marBottom w:val="0"/>
      <w:divBdr>
        <w:top w:val="none" w:sz="0" w:space="0" w:color="auto"/>
        <w:left w:val="none" w:sz="0" w:space="0" w:color="auto"/>
        <w:bottom w:val="none" w:sz="0" w:space="0" w:color="auto"/>
        <w:right w:val="none" w:sz="0" w:space="0" w:color="auto"/>
      </w:divBdr>
    </w:div>
    <w:div w:id="211112083">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11305189">
      <w:bodyDiv w:val="1"/>
      <w:marLeft w:val="0"/>
      <w:marRight w:val="0"/>
      <w:marTop w:val="0"/>
      <w:marBottom w:val="0"/>
      <w:divBdr>
        <w:top w:val="none" w:sz="0" w:space="0" w:color="auto"/>
        <w:left w:val="none" w:sz="0" w:space="0" w:color="auto"/>
        <w:bottom w:val="none" w:sz="0" w:space="0" w:color="auto"/>
        <w:right w:val="none" w:sz="0" w:space="0" w:color="auto"/>
      </w:divBdr>
    </w:div>
    <w:div w:id="211306106">
      <w:bodyDiv w:val="1"/>
      <w:marLeft w:val="0"/>
      <w:marRight w:val="0"/>
      <w:marTop w:val="0"/>
      <w:marBottom w:val="0"/>
      <w:divBdr>
        <w:top w:val="none" w:sz="0" w:space="0" w:color="auto"/>
        <w:left w:val="none" w:sz="0" w:space="0" w:color="auto"/>
        <w:bottom w:val="none" w:sz="0" w:space="0" w:color="auto"/>
        <w:right w:val="none" w:sz="0" w:space="0" w:color="auto"/>
      </w:divBdr>
    </w:div>
    <w:div w:id="211306490">
      <w:bodyDiv w:val="1"/>
      <w:marLeft w:val="0"/>
      <w:marRight w:val="0"/>
      <w:marTop w:val="0"/>
      <w:marBottom w:val="0"/>
      <w:divBdr>
        <w:top w:val="none" w:sz="0" w:space="0" w:color="auto"/>
        <w:left w:val="none" w:sz="0" w:space="0" w:color="auto"/>
        <w:bottom w:val="none" w:sz="0" w:space="0" w:color="auto"/>
        <w:right w:val="none" w:sz="0" w:space="0" w:color="auto"/>
      </w:divBdr>
    </w:div>
    <w:div w:id="211424296">
      <w:bodyDiv w:val="1"/>
      <w:marLeft w:val="0"/>
      <w:marRight w:val="0"/>
      <w:marTop w:val="0"/>
      <w:marBottom w:val="0"/>
      <w:divBdr>
        <w:top w:val="none" w:sz="0" w:space="0" w:color="auto"/>
        <w:left w:val="none" w:sz="0" w:space="0" w:color="auto"/>
        <w:bottom w:val="none" w:sz="0" w:space="0" w:color="auto"/>
        <w:right w:val="none" w:sz="0" w:space="0" w:color="auto"/>
      </w:divBdr>
    </w:div>
    <w:div w:id="211431463">
      <w:bodyDiv w:val="1"/>
      <w:marLeft w:val="0"/>
      <w:marRight w:val="0"/>
      <w:marTop w:val="0"/>
      <w:marBottom w:val="0"/>
      <w:divBdr>
        <w:top w:val="none" w:sz="0" w:space="0" w:color="auto"/>
        <w:left w:val="none" w:sz="0" w:space="0" w:color="auto"/>
        <w:bottom w:val="none" w:sz="0" w:space="0" w:color="auto"/>
        <w:right w:val="none" w:sz="0" w:space="0" w:color="auto"/>
      </w:divBdr>
    </w:div>
    <w:div w:id="211616991">
      <w:bodyDiv w:val="1"/>
      <w:marLeft w:val="0"/>
      <w:marRight w:val="0"/>
      <w:marTop w:val="0"/>
      <w:marBottom w:val="0"/>
      <w:divBdr>
        <w:top w:val="none" w:sz="0" w:space="0" w:color="auto"/>
        <w:left w:val="none" w:sz="0" w:space="0" w:color="auto"/>
        <w:bottom w:val="none" w:sz="0" w:space="0" w:color="auto"/>
        <w:right w:val="none" w:sz="0" w:space="0" w:color="auto"/>
      </w:divBdr>
    </w:div>
    <w:div w:id="212081888">
      <w:bodyDiv w:val="1"/>
      <w:marLeft w:val="0"/>
      <w:marRight w:val="0"/>
      <w:marTop w:val="0"/>
      <w:marBottom w:val="0"/>
      <w:divBdr>
        <w:top w:val="none" w:sz="0" w:space="0" w:color="auto"/>
        <w:left w:val="none" w:sz="0" w:space="0" w:color="auto"/>
        <w:bottom w:val="none" w:sz="0" w:space="0" w:color="auto"/>
        <w:right w:val="none" w:sz="0" w:space="0" w:color="auto"/>
      </w:divBdr>
    </w:div>
    <w:div w:id="212467795">
      <w:bodyDiv w:val="1"/>
      <w:marLeft w:val="0"/>
      <w:marRight w:val="0"/>
      <w:marTop w:val="0"/>
      <w:marBottom w:val="0"/>
      <w:divBdr>
        <w:top w:val="none" w:sz="0" w:space="0" w:color="auto"/>
        <w:left w:val="none" w:sz="0" w:space="0" w:color="auto"/>
        <w:bottom w:val="none" w:sz="0" w:space="0" w:color="auto"/>
        <w:right w:val="none" w:sz="0" w:space="0" w:color="auto"/>
      </w:divBdr>
    </w:div>
    <w:div w:id="212472480">
      <w:bodyDiv w:val="1"/>
      <w:marLeft w:val="0"/>
      <w:marRight w:val="0"/>
      <w:marTop w:val="0"/>
      <w:marBottom w:val="0"/>
      <w:divBdr>
        <w:top w:val="none" w:sz="0" w:space="0" w:color="auto"/>
        <w:left w:val="none" w:sz="0" w:space="0" w:color="auto"/>
        <w:bottom w:val="none" w:sz="0" w:space="0" w:color="auto"/>
        <w:right w:val="none" w:sz="0" w:space="0" w:color="auto"/>
      </w:divBdr>
    </w:div>
    <w:div w:id="213080161">
      <w:bodyDiv w:val="1"/>
      <w:marLeft w:val="0"/>
      <w:marRight w:val="0"/>
      <w:marTop w:val="0"/>
      <w:marBottom w:val="0"/>
      <w:divBdr>
        <w:top w:val="none" w:sz="0" w:space="0" w:color="auto"/>
        <w:left w:val="none" w:sz="0" w:space="0" w:color="auto"/>
        <w:bottom w:val="none" w:sz="0" w:space="0" w:color="auto"/>
        <w:right w:val="none" w:sz="0" w:space="0" w:color="auto"/>
      </w:divBdr>
    </w:div>
    <w:div w:id="213126553">
      <w:bodyDiv w:val="1"/>
      <w:marLeft w:val="0"/>
      <w:marRight w:val="0"/>
      <w:marTop w:val="0"/>
      <w:marBottom w:val="0"/>
      <w:divBdr>
        <w:top w:val="none" w:sz="0" w:space="0" w:color="auto"/>
        <w:left w:val="none" w:sz="0" w:space="0" w:color="auto"/>
        <w:bottom w:val="none" w:sz="0" w:space="0" w:color="auto"/>
        <w:right w:val="none" w:sz="0" w:space="0" w:color="auto"/>
      </w:divBdr>
    </w:div>
    <w:div w:id="214045431">
      <w:bodyDiv w:val="1"/>
      <w:marLeft w:val="0"/>
      <w:marRight w:val="0"/>
      <w:marTop w:val="0"/>
      <w:marBottom w:val="0"/>
      <w:divBdr>
        <w:top w:val="none" w:sz="0" w:space="0" w:color="auto"/>
        <w:left w:val="none" w:sz="0" w:space="0" w:color="auto"/>
        <w:bottom w:val="none" w:sz="0" w:space="0" w:color="auto"/>
        <w:right w:val="none" w:sz="0" w:space="0" w:color="auto"/>
      </w:divBdr>
    </w:div>
    <w:div w:id="214435868">
      <w:bodyDiv w:val="1"/>
      <w:marLeft w:val="0"/>
      <w:marRight w:val="0"/>
      <w:marTop w:val="0"/>
      <w:marBottom w:val="0"/>
      <w:divBdr>
        <w:top w:val="none" w:sz="0" w:space="0" w:color="auto"/>
        <w:left w:val="none" w:sz="0" w:space="0" w:color="auto"/>
        <w:bottom w:val="none" w:sz="0" w:space="0" w:color="auto"/>
        <w:right w:val="none" w:sz="0" w:space="0" w:color="auto"/>
      </w:divBdr>
    </w:div>
    <w:div w:id="214512124">
      <w:bodyDiv w:val="1"/>
      <w:marLeft w:val="0"/>
      <w:marRight w:val="0"/>
      <w:marTop w:val="0"/>
      <w:marBottom w:val="0"/>
      <w:divBdr>
        <w:top w:val="none" w:sz="0" w:space="0" w:color="auto"/>
        <w:left w:val="none" w:sz="0" w:space="0" w:color="auto"/>
        <w:bottom w:val="none" w:sz="0" w:space="0" w:color="auto"/>
        <w:right w:val="none" w:sz="0" w:space="0" w:color="auto"/>
      </w:divBdr>
    </w:div>
    <w:div w:id="214778568">
      <w:bodyDiv w:val="1"/>
      <w:marLeft w:val="0"/>
      <w:marRight w:val="0"/>
      <w:marTop w:val="0"/>
      <w:marBottom w:val="0"/>
      <w:divBdr>
        <w:top w:val="none" w:sz="0" w:space="0" w:color="auto"/>
        <w:left w:val="none" w:sz="0" w:space="0" w:color="auto"/>
        <w:bottom w:val="none" w:sz="0" w:space="0" w:color="auto"/>
        <w:right w:val="none" w:sz="0" w:space="0" w:color="auto"/>
      </w:divBdr>
    </w:div>
    <w:div w:id="214894834">
      <w:bodyDiv w:val="1"/>
      <w:marLeft w:val="0"/>
      <w:marRight w:val="0"/>
      <w:marTop w:val="0"/>
      <w:marBottom w:val="0"/>
      <w:divBdr>
        <w:top w:val="none" w:sz="0" w:space="0" w:color="auto"/>
        <w:left w:val="none" w:sz="0" w:space="0" w:color="auto"/>
        <w:bottom w:val="none" w:sz="0" w:space="0" w:color="auto"/>
        <w:right w:val="none" w:sz="0" w:space="0" w:color="auto"/>
      </w:divBdr>
    </w:div>
    <w:div w:id="215430599">
      <w:bodyDiv w:val="1"/>
      <w:marLeft w:val="0"/>
      <w:marRight w:val="0"/>
      <w:marTop w:val="0"/>
      <w:marBottom w:val="0"/>
      <w:divBdr>
        <w:top w:val="none" w:sz="0" w:space="0" w:color="auto"/>
        <w:left w:val="none" w:sz="0" w:space="0" w:color="auto"/>
        <w:bottom w:val="none" w:sz="0" w:space="0" w:color="auto"/>
        <w:right w:val="none" w:sz="0" w:space="0" w:color="auto"/>
      </w:divBdr>
    </w:div>
    <w:div w:id="215432252">
      <w:bodyDiv w:val="1"/>
      <w:marLeft w:val="0"/>
      <w:marRight w:val="0"/>
      <w:marTop w:val="0"/>
      <w:marBottom w:val="0"/>
      <w:divBdr>
        <w:top w:val="none" w:sz="0" w:space="0" w:color="auto"/>
        <w:left w:val="none" w:sz="0" w:space="0" w:color="auto"/>
        <w:bottom w:val="none" w:sz="0" w:space="0" w:color="auto"/>
        <w:right w:val="none" w:sz="0" w:space="0" w:color="auto"/>
      </w:divBdr>
    </w:div>
    <w:div w:id="215747593">
      <w:bodyDiv w:val="1"/>
      <w:marLeft w:val="0"/>
      <w:marRight w:val="0"/>
      <w:marTop w:val="0"/>
      <w:marBottom w:val="0"/>
      <w:divBdr>
        <w:top w:val="none" w:sz="0" w:space="0" w:color="auto"/>
        <w:left w:val="none" w:sz="0" w:space="0" w:color="auto"/>
        <w:bottom w:val="none" w:sz="0" w:space="0" w:color="auto"/>
        <w:right w:val="none" w:sz="0" w:space="0" w:color="auto"/>
      </w:divBdr>
    </w:div>
    <w:div w:id="215774777">
      <w:bodyDiv w:val="1"/>
      <w:marLeft w:val="0"/>
      <w:marRight w:val="0"/>
      <w:marTop w:val="0"/>
      <w:marBottom w:val="0"/>
      <w:divBdr>
        <w:top w:val="none" w:sz="0" w:space="0" w:color="auto"/>
        <w:left w:val="none" w:sz="0" w:space="0" w:color="auto"/>
        <w:bottom w:val="none" w:sz="0" w:space="0" w:color="auto"/>
        <w:right w:val="none" w:sz="0" w:space="0" w:color="auto"/>
      </w:divBdr>
    </w:div>
    <w:div w:id="215894099">
      <w:bodyDiv w:val="1"/>
      <w:marLeft w:val="0"/>
      <w:marRight w:val="0"/>
      <w:marTop w:val="0"/>
      <w:marBottom w:val="0"/>
      <w:divBdr>
        <w:top w:val="none" w:sz="0" w:space="0" w:color="auto"/>
        <w:left w:val="none" w:sz="0" w:space="0" w:color="auto"/>
        <w:bottom w:val="none" w:sz="0" w:space="0" w:color="auto"/>
        <w:right w:val="none" w:sz="0" w:space="0" w:color="auto"/>
      </w:divBdr>
    </w:div>
    <w:div w:id="216555918">
      <w:bodyDiv w:val="1"/>
      <w:marLeft w:val="0"/>
      <w:marRight w:val="0"/>
      <w:marTop w:val="0"/>
      <w:marBottom w:val="0"/>
      <w:divBdr>
        <w:top w:val="none" w:sz="0" w:space="0" w:color="auto"/>
        <w:left w:val="none" w:sz="0" w:space="0" w:color="auto"/>
        <w:bottom w:val="none" w:sz="0" w:space="0" w:color="auto"/>
        <w:right w:val="none" w:sz="0" w:space="0" w:color="auto"/>
      </w:divBdr>
    </w:div>
    <w:div w:id="216936892">
      <w:bodyDiv w:val="1"/>
      <w:marLeft w:val="0"/>
      <w:marRight w:val="0"/>
      <w:marTop w:val="0"/>
      <w:marBottom w:val="0"/>
      <w:divBdr>
        <w:top w:val="none" w:sz="0" w:space="0" w:color="auto"/>
        <w:left w:val="none" w:sz="0" w:space="0" w:color="auto"/>
        <w:bottom w:val="none" w:sz="0" w:space="0" w:color="auto"/>
        <w:right w:val="none" w:sz="0" w:space="0" w:color="auto"/>
      </w:divBdr>
    </w:div>
    <w:div w:id="217009789">
      <w:bodyDiv w:val="1"/>
      <w:marLeft w:val="0"/>
      <w:marRight w:val="0"/>
      <w:marTop w:val="0"/>
      <w:marBottom w:val="0"/>
      <w:divBdr>
        <w:top w:val="none" w:sz="0" w:space="0" w:color="auto"/>
        <w:left w:val="none" w:sz="0" w:space="0" w:color="auto"/>
        <w:bottom w:val="none" w:sz="0" w:space="0" w:color="auto"/>
        <w:right w:val="none" w:sz="0" w:space="0" w:color="auto"/>
      </w:divBdr>
    </w:div>
    <w:div w:id="217056976">
      <w:bodyDiv w:val="1"/>
      <w:marLeft w:val="0"/>
      <w:marRight w:val="0"/>
      <w:marTop w:val="0"/>
      <w:marBottom w:val="0"/>
      <w:divBdr>
        <w:top w:val="none" w:sz="0" w:space="0" w:color="auto"/>
        <w:left w:val="none" w:sz="0" w:space="0" w:color="auto"/>
        <w:bottom w:val="none" w:sz="0" w:space="0" w:color="auto"/>
        <w:right w:val="none" w:sz="0" w:space="0" w:color="auto"/>
      </w:divBdr>
    </w:div>
    <w:div w:id="217135228">
      <w:bodyDiv w:val="1"/>
      <w:marLeft w:val="0"/>
      <w:marRight w:val="0"/>
      <w:marTop w:val="0"/>
      <w:marBottom w:val="0"/>
      <w:divBdr>
        <w:top w:val="none" w:sz="0" w:space="0" w:color="auto"/>
        <w:left w:val="none" w:sz="0" w:space="0" w:color="auto"/>
        <w:bottom w:val="none" w:sz="0" w:space="0" w:color="auto"/>
        <w:right w:val="none" w:sz="0" w:space="0" w:color="auto"/>
      </w:divBdr>
    </w:div>
    <w:div w:id="217323862">
      <w:bodyDiv w:val="1"/>
      <w:marLeft w:val="0"/>
      <w:marRight w:val="0"/>
      <w:marTop w:val="0"/>
      <w:marBottom w:val="0"/>
      <w:divBdr>
        <w:top w:val="none" w:sz="0" w:space="0" w:color="auto"/>
        <w:left w:val="none" w:sz="0" w:space="0" w:color="auto"/>
        <w:bottom w:val="none" w:sz="0" w:space="0" w:color="auto"/>
        <w:right w:val="none" w:sz="0" w:space="0" w:color="auto"/>
      </w:divBdr>
    </w:div>
    <w:div w:id="217474769">
      <w:bodyDiv w:val="1"/>
      <w:marLeft w:val="0"/>
      <w:marRight w:val="0"/>
      <w:marTop w:val="0"/>
      <w:marBottom w:val="0"/>
      <w:divBdr>
        <w:top w:val="none" w:sz="0" w:space="0" w:color="auto"/>
        <w:left w:val="none" w:sz="0" w:space="0" w:color="auto"/>
        <w:bottom w:val="none" w:sz="0" w:space="0" w:color="auto"/>
        <w:right w:val="none" w:sz="0" w:space="0" w:color="auto"/>
      </w:divBdr>
    </w:div>
    <w:div w:id="217477687">
      <w:bodyDiv w:val="1"/>
      <w:marLeft w:val="0"/>
      <w:marRight w:val="0"/>
      <w:marTop w:val="0"/>
      <w:marBottom w:val="0"/>
      <w:divBdr>
        <w:top w:val="none" w:sz="0" w:space="0" w:color="auto"/>
        <w:left w:val="none" w:sz="0" w:space="0" w:color="auto"/>
        <w:bottom w:val="none" w:sz="0" w:space="0" w:color="auto"/>
        <w:right w:val="none" w:sz="0" w:space="0" w:color="auto"/>
      </w:divBdr>
    </w:div>
    <w:div w:id="217595857">
      <w:bodyDiv w:val="1"/>
      <w:marLeft w:val="0"/>
      <w:marRight w:val="0"/>
      <w:marTop w:val="0"/>
      <w:marBottom w:val="0"/>
      <w:divBdr>
        <w:top w:val="none" w:sz="0" w:space="0" w:color="auto"/>
        <w:left w:val="none" w:sz="0" w:space="0" w:color="auto"/>
        <w:bottom w:val="none" w:sz="0" w:space="0" w:color="auto"/>
        <w:right w:val="none" w:sz="0" w:space="0" w:color="auto"/>
      </w:divBdr>
    </w:div>
    <w:div w:id="218134297">
      <w:bodyDiv w:val="1"/>
      <w:marLeft w:val="0"/>
      <w:marRight w:val="0"/>
      <w:marTop w:val="0"/>
      <w:marBottom w:val="0"/>
      <w:divBdr>
        <w:top w:val="none" w:sz="0" w:space="0" w:color="auto"/>
        <w:left w:val="none" w:sz="0" w:space="0" w:color="auto"/>
        <w:bottom w:val="none" w:sz="0" w:space="0" w:color="auto"/>
        <w:right w:val="none" w:sz="0" w:space="0" w:color="auto"/>
      </w:divBdr>
    </w:div>
    <w:div w:id="218135365">
      <w:bodyDiv w:val="1"/>
      <w:marLeft w:val="0"/>
      <w:marRight w:val="0"/>
      <w:marTop w:val="0"/>
      <w:marBottom w:val="0"/>
      <w:divBdr>
        <w:top w:val="none" w:sz="0" w:space="0" w:color="auto"/>
        <w:left w:val="none" w:sz="0" w:space="0" w:color="auto"/>
        <w:bottom w:val="none" w:sz="0" w:space="0" w:color="auto"/>
        <w:right w:val="none" w:sz="0" w:space="0" w:color="auto"/>
      </w:divBdr>
    </w:div>
    <w:div w:id="218443845">
      <w:bodyDiv w:val="1"/>
      <w:marLeft w:val="0"/>
      <w:marRight w:val="0"/>
      <w:marTop w:val="0"/>
      <w:marBottom w:val="0"/>
      <w:divBdr>
        <w:top w:val="none" w:sz="0" w:space="0" w:color="auto"/>
        <w:left w:val="none" w:sz="0" w:space="0" w:color="auto"/>
        <w:bottom w:val="none" w:sz="0" w:space="0" w:color="auto"/>
        <w:right w:val="none" w:sz="0" w:space="0" w:color="auto"/>
      </w:divBdr>
    </w:div>
    <w:div w:id="218562752">
      <w:bodyDiv w:val="1"/>
      <w:marLeft w:val="0"/>
      <w:marRight w:val="0"/>
      <w:marTop w:val="0"/>
      <w:marBottom w:val="0"/>
      <w:divBdr>
        <w:top w:val="none" w:sz="0" w:space="0" w:color="auto"/>
        <w:left w:val="none" w:sz="0" w:space="0" w:color="auto"/>
        <w:bottom w:val="none" w:sz="0" w:space="0" w:color="auto"/>
        <w:right w:val="none" w:sz="0" w:space="0" w:color="auto"/>
      </w:divBdr>
    </w:div>
    <w:div w:id="219171971">
      <w:bodyDiv w:val="1"/>
      <w:marLeft w:val="0"/>
      <w:marRight w:val="0"/>
      <w:marTop w:val="0"/>
      <w:marBottom w:val="0"/>
      <w:divBdr>
        <w:top w:val="none" w:sz="0" w:space="0" w:color="auto"/>
        <w:left w:val="none" w:sz="0" w:space="0" w:color="auto"/>
        <w:bottom w:val="none" w:sz="0" w:space="0" w:color="auto"/>
        <w:right w:val="none" w:sz="0" w:space="0" w:color="auto"/>
      </w:divBdr>
    </w:div>
    <w:div w:id="219175454">
      <w:bodyDiv w:val="1"/>
      <w:marLeft w:val="0"/>
      <w:marRight w:val="0"/>
      <w:marTop w:val="0"/>
      <w:marBottom w:val="0"/>
      <w:divBdr>
        <w:top w:val="none" w:sz="0" w:space="0" w:color="auto"/>
        <w:left w:val="none" w:sz="0" w:space="0" w:color="auto"/>
        <w:bottom w:val="none" w:sz="0" w:space="0" w:color="auto"/>
        <w:right w:val="none" w:sz="0" w:space="0" w:color="auto"/>
      </w:divBdr>
    </w:div>
    <w:div w:id="219244501">
      <w:bodyDiv w:val="1"/>
      <w:marLeft w:val="0"/>
      <w:marRight w:val="0"/>
      <w:marTop w:val="0"/>
      <w:marBottom w:val="0"/>
      <w:divBdr>
        <w:top w:val="none" w:sz="0" w:space="0" w:color="auto"/>
        <w:left w:val="none" w:sz="0" w:space="0" w:color="auto"/>
        <w:bottom w:val="none" w:sz="0" w:space="0" w:color="auto"/>
        <w:right w:val="none" w:sz="0" w:space="0" w:color="auto"/>
      </w:divBdr>
    </w:div>
    <w:div w:id="219286768">
      <w:bodyDiv w:val="1"/>
      <w:marLeft w:val="0"/>
      <w:marRight w:val="0"/>
      <w:marTop w:val="0"/>
      <w:marBottom w:val="0"/>
      <w:divBdr>
        <w:top w:val="none" w:sz="0" w:space="0" w:color="auto"/>
        <w:left w:val="none" w:sz="0" w:space="0" w:color="auto"/>
        <w:bottom w:val="none" w:sz="0" w:space="0" w:color="auto"/>
        <w:right w:val="none" w:sz="0" w:space="0" w:color="auto"/>
      </w:divBdr>
    </w:div>
    <w:div w:id="219483982">
      <w:bodyDiv w:val="1"/>
      <w:marLeft w:val="0"/>
      <w:marRight w:val="0"/>
      <w:marTop w:val="0"/>
      <w:marBottom w:val="0"/>
      <w:divBdr>
        <w:top w:val="none" w:sz="0" w:space="0" w:color="auto"/>
        <w:left w:val="none" w:sz="0" w:space="0" w:color="auto"/>
        <w:bottom w:val="none" w:sz="0" w:space="0" w:color="auto"/>
        <w:right w:val="none" w:sz="0" w:space="0" w:color="auto"/>
      </w:divBdr>
    </w:div>
    <w:div w:id="219634719">
      <w:bodyDiv w:val="1"/>
      <w:marLeft w:val="0"/>
      <w:marRight w:val="0"/>
      <w:marTop w:val="0"/>
      <w:marBottom w:val="0"/>
      <w:divBdr>
        <w:top w:val="none" w:sz="0" w:space="0" w:color="auto"/>
        <w:left w:val="none" w:sz="0" w:space="0" w:color="auto"/>
        <w:bottom w:val="none" w:sz="0" w:space="0" w:color="auto"/>
        <w:right w:val="none" w:sz="0" w:space="0" w:color="auto"/>
      </w:divBdr>
    </w:div>
    <w:div w:id="220097233">
      <w:bodyDiv w:val="1"/>
      <w:marLeft w:val="0"/>
      <w:marRight w:val="0"/>
      <w:marTop w:val="0"/>
      <w:marBottom w:val="0"/>
      <w:divBdr>
        <w:top w:val="none" w:sz="0" w:space="0" w:color="auto"/>
        <w:left w:val="none" w:sz="0" w:space="0" w:color="auto"/>
        <w:bottom w:val="none" w:sz="0" w:space="0" w:color="auto"/>
        <w:right w:val="none" w:sz="0" w:space="0" w:color="auto"/>
      </w:divBdr>
    </w:div>
    <w:div w:id="220097316">
      <w:bodyDiv w:val="1"/>
      <w:marLeft w:val="0"/>
      <w:marRight w:val="0"/>
      <w:marTop w:val="0"/>
      <w:marBottom w:val="0"/>
      <w:divBdr>
        <w:top w:val="none" w:sz="0" w:space="0" w:color="auto"/>
        <w:left w:val="none" w:sz="0" w:space="0" w:color="auto"/>
        <w:bottom w:val="none" w:sz="0" w:space="0" w:color="auto"/>
        <w:right w:val="none" w:sz="0" w:space="0" w:color="auto"/>
      </w:divBdr>
    </w:div>
    <w:div w:id="220486686">
      <w:bodyDiv w:val="1"/>
      <w:marLeft w:val="0"/>
      <w:marRight w:val="0"/>
      <w:marTop w:val="0"/>
      <w:marBottom w:val="0"/>
      <w:divBdr>
        <w:top w:val="none" w:sz="0" w:space="0" w:color="auto"/>
        <w:left w:val="none" w:sz="0" w:space="0" w:color="auto"/>
        <w:bottom w:val="none" w:sz="0" w:space="0" w:color="auto"/>
        <w:right w:val="none" w:sz="0" w:space="0" w:color="auto"/>
      </w:divBdr>
    </w:div>
    <w:div w:id="220676741">
      <w:bodyDiv w:val="1"/>
      <w:marLeft w:val="0"/>
      <w:marRight w:val="0"/>
      <w:marTop w:val="0"/>
      <w:marBottom w:val="0"/>
      <w:divBdr>
        <w:top w:val="none" w:sz="0" w:space="0" w:color="auto"/>
        <w:left w:val="none" w:sz="0" w:space="0" w:color="auto"/>
        <w:bottom w:val="none" w:sz="0" w:space="0" w:color="auto"/>
        <w:right w:val="none" w:sz="0" w:space="0" w:color="auto"/>
      </w:divBdr>
    </w:div>
    <w:div w:id="220752438">
      <w:bodyDiv w:val="1"/>
      <w:marLeft w:val="0"/>
      <w:marRight w:val="0"/>
      <w:marTop w:val="0"/>
      <w:marBottom w:val="0"/>
      <w:divBdr>
        <w:top w:val="none" w:sz="0" w:space="0" w:color="auto"/>
        <w:left w:val="none" w:sz="0" w:space="0" w:color="auto"/>
        <w:bottom w:val="none" w:sz="0" w:space="0" w:color="auto"/>
        <w:right w:val="none" w:sz="0" w:space="0" w:color="auto"/>
      </w:divBdr>
    </w:div>
    <w:div w:id="220755027">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21137079">
      <w:bodyDiv w:val="1"/>
      <w:marLeft w:val="0"/>
      <w:marRight w:val="0"/>
      <w:marTop w:val="0"/>
      <w:marBottom w:val="0"/>
      <w:divBdr>
        <w:top w:val="none" w:sz="0" w:space="0" w:color="auto"/>
        <w:left w:val="none" w:sz="0" w:space="0" w:color="auto"/>
        <w:bottom w:val="none" w:sz="0" w:space="0" w:color="auto"/>
        <w:right w:val="none" w:sz="0" w:space="0" w:color="auto"/>
      </w:divBdr>
    </w:div>
    <w:div w:id="221328215">
      <w:bodyDiv w:val="1"/>
      <w:marLeft w:val="0"/>
      <w:marRight w:val="0"/>
      <w:marTop w:val="0"/>
      <w:marBottom w:val="0"/>
      <w:divBdr>
        <w:top w:val="none" w:sz="0" w:space="0" w:color="auto"/>
        <w:left w:val="none" w:sz="0" w:space="0" w:color="auto"/>
        <w:bottom w:val="none" w:sz="0" w:space="0" w:color="auto"/>
        <w:right w:val="none" w:sz="0" w:space="0" w:color="auto"/>
      </w:divBdr>
    </w:div>
    <w:div w:id="221673830">
      <w:bodyDiv w:val="1"/>
      <w:marLeft w:val="0"/>
      <w:marRight w:val="0"/>
      <w:marTop w:val="0"/>
      <w:marBottom w:val="0"/>
      <w:divBdr>
        <w:top w:val="none" w:sz="0" w:space="0" w:color="auto"/>
        <w:left w:val="none" w:sz="0" w:space="0" w:color="auto"/>
        <w:bottom w:val="none" w:sz="0" w:space="0" w:color="auto"/>
        <w:right w:val="none" w:sz="0" w:space="0" w:color="auto"/>
      </w:divBdr>
    </w:div>
    <w:div w:id="221714938">
      <w:bodyDiv w:val="1"/>
      <w:marLeft w:val="0"/>
      <w:marRight w:val="0"/>
      <w:marTop w:val="0"/>
      <w:marBottom w:val="0"/>
      <w:divBdr>
        <w:top w:val="none" w:sz="0" w:space="0" w:color="auto"/>
        <w:left w:val="none" w:sz="0" w:space="0" w:color="auto"/>
        <w:bottom w:val="none" w:sz="0" w:space="0" w:color="auto"/>
        <w:right w:val="none" w:sz="0" w:space="0" w:color="auto"/>
      </w:divBdr>
    </w:div>
    <w:div w:id="221715876">
      <w:bodyDiv w:val="1"/>
      <w:marLeft w:val="0"/>
      <w:marRight w:val="0"/>
      <w:marTop w:val="0"/>
      <w:marBottom w:val="0"/>
      <w:divBdr>
        <w:top w:val="none" w:sz="0" w:space="0" w:color="auto"/>
        <w:left w:val="none" w:sz="0" w:space="0" w:color="auto"/>
        <w:bottom w:val="none" w:sz="0" w:space="0" w:color="auto"/>
        <w:right w:val="none" w:sz="0" w:space="0" w:color="auto"/>
      </w:divBdr>
    </w:div>
    <w:div w:id="221716252">
      <w:bodyDiv w:val="1"/>
      <w:marLeft w:val="0"/>
      <w:marRight w:val="0"/>
      <w:marTop w:val="0"/>
      <w:marBottom w:val="0"/>
      <w:divBdr>
        <w:top w:val="none" w:sz="0" w:space="0" w:color="auto"/>
        <w:left w:val="none" w:sz="0" w:space="0" w:color="auto"/>
        <w:bottom w:val="none" w:sz="0" w:space="0" w:color="auto"/>
        <w:right w:val="none" w:sz="0" w:space="0" w:color="auto"/>
      </w:divBdr>
    </w:div>
    <w:div w:id="222105586">
      <w:bodyDiv w:val="1"/>
      <w:marLeft w:val="0"/>
      <w:marRight w:val="0"/>
      <w:marTop w:val="0"/>
      <w:marBottom w:val="0"/>
      <w:divBdr>
        <w:top w:val="none" w:sz="0" w:space="0" w:color="auto"/>
        <w:left w:val="none" w:sz="0" w:space="0" w:color="auto"/>
        <w:bottom w:val="none" w:sz="0" w:space="0" w:color="auto"/>
        <w:right w:val="none" w:sz="0" w:space="0" w:color="auto"/>
      </w:divBdr>
    </w:div>
    <w:div w:id="222524022">
      <w:bodyDiv w:val="1"/>
      <w:marLeft w:val="0"/>
      <w:marRight w:val="0"/>
      <w:marTop w:val="0"/>
      <w:marBottom w:val="0"/>
      <w:divBdr>
        <w:top w:val="none" w:sz="0" w:space="0" w:color="auto"/>
        <w:left w:val="none" w:sz="0" w:space="0" w:color="auto"/>
        <w:bottom w:val="none" w:sz="0" w:space="0" w:color="auto"/>
        <w:right w:val="none" w:sz="0" w:space="0" w:color="auto"/>
      </w:divBdr>
    </w:div>
    <w:div w:id="222957953">
      <w:bodyDiv w:val="1"/>
      <w:marLeft w:val="0"/>
      <w:marRight w:val="0"/>
      <w:marTop w:val="0"/>
      <w:marBottom w:val="0"/>
      <w:divBdr>
        <w:top w:val="none" w:sz="0" w:space="0" w:color="auto"/>
        <w:left w:val="none" w:sz="0" w:space="0" w:color="auto"/>
        <w:bottom w:val="none" w:sz="0" w:space="0" w:color="auto"/>
        <w:right w:val="none" w:sz="0" w:space="0" w:color="auto"/>
      </w:divBdr>
    </w:div>
    <w:div w:id="224070791">
      <w:bodyDiv w:val="1"/>
      <w:marLeft w:val="0"/>
      <w:marRight w:val="0"/>
      <w:marTop w:val="0"/>
      <w:marBottom w:val="0"/>
      <w:divBdr>
        <w:top w:val="none" w:sz="0" w:space="0" w:color="auto"/>
        <w:left w:val="none" w:sz="0" w:space="0" w:color="auto"/>
        <w:bottom w:val="none" w:sz="0" w:space="0" w:color="auto"/>
        <w:right w:val="none" w:sz="0" w:space="0" w:color="auto"/>
      </w:divBdr>
    </w:div>
    <w:div w:id="224680391">
      <w:bodyDiv w:val="1"/>
      <w:marLeft w:val="0"/>
      <w:marRight w:val="0"/>
      <w:marTop w:val="0"/>
      <w:marBottom w:val="0"/>
      <w:divBdr>
        <w:top w:val="none" w:sz="0" w:space="0" w:color="auto"/>
        <w:left w:val="none" w:sz="0" w:space="0" w:color="auto"/>
        <w:bottom w:val="none" w:sz="0" w:space="0" w:color="auto"/>
        <w:right w:val="none" w:sz="0" w:space="0" w:color="auto"/>
      </w:divBdr>
    </w:div>
    <w:div w:id="225457854">
      <w:bodyDiv w:val="1"/>
      <w:marLeft w:val="0"/>
      <w:marRight w:val="0"/>
      <w:marTop w:val="0"/>
      <w:marBottom w:val="0"/>
      <w:divBdr>
        <w:top w:val="none" w:sz="0" w:space="0" w:color="auto"/>
        <w:left w:val="none" w:sz="0" w:space="0" w:color="auto"/>
        <w:bottom w:val="none" w:sz="0" w:space="0" w:color="auto"/>
        <w:right w:val="none" w:sz="0" w:space="0" w:color="auto"/>
      </w:divBdr>
    </w:div>
    <w:div w:id="225800167">
      <w:bodyDiv w:val="1"/>
      <w:marLeft w:val="0"/>
      <w:marRight w:val="0"/>
      <w:marTop w:val="0"/>
      <w:marBottom w:val="0"/>
      <w:divBdr>
        <w:top w:val="none" w:sz="0" w:space="0" w:color="auto"/>
        <w:left w:val="none" w:sz="0" w:space="0" w:color="auto"/>
        <w:bottom w:val="none" w:sz="0" w:space="0" w:color="auto"/>
        <w:right w:val="none" w:sz="0" w:space="0" w:color="auto"/>
      </w:divBdr>
    </w:div>
    <w:div w:id="226110563">
      <w:bodyDiv w:val="1"/>
      <w:marLeft w:val="0"/>
      <w:marRight w:val="0"/>
      <w:marTop w:val="0"/>
      <w:marBottom w:val="0"/>
      <w:divBdr>
        <w:top w:val="none" w:sz="0" w:space="0" w:color="auto"/>
        <w:left w:val="none" w:sz="0" w:space="0" w:color="auto"/>
        <w:bottom w:val="none" w:sz="0" w:space="0" w:color="auto"/>
        <w:right w:val="none" w:sz="0" w:space="0" w:color="auto"/>
      </w:divBdr>
    </w:div>
    <w:div w:id="228006706">
      <w:bodyDiv w:val="1"/>
      <w:marLeft w:val="0"/>
      <w:marRight w:val="0"/>
      <w:marTop w:val="0"/>
      <w:marBottom w:val="0"/>
      <w:divBdr>
        <w:top w:val="none" w:sz="0" w:space="0" w:color="auto"/>
        <w:left w:val="none" w:sz="0" w:space="0" w:color="auto"/>
        <w:bottom w:val="none" w:sz="0" w:space="0" w:color="auto"/>
        <w:right w:val="none" w:sz="0" w:space="0" w:color="auto"/>
      </w:divBdr>
    </w:div>
    <w:div w:id="228224752">
      <w:bodyDiv w:val="1"/>
      <w:marLeft w:val="0"/>
      <w:marRight w:val="0"/>
      <w:marTop w:val="0"/>
      <w:marBottom w:val="0"/>
      <w:divBdr>
        <w:top w:val="none" w:sz="0" w:space="0" w:color="auto"/>
        <w:left w:val="none" w:sz="0" w:space="0" w:color="auto"/>
        <w:bottom w:val="none" w:sz="0" w:space="0" w:color="auto"/>
        <w:right w:val="none" w:sz="0" w:space="0" w:color="auto"/>
      </w:divBdr>
    </w:div>
    <w:div w:id="228349434">
      <w:bodyDiv w:val="1"/>
      <w:marLeft w:val="0"/>
      <w:marRight w:val="0"/>
      <w:marTop w:val="0"/>
      <w:marBottom w:val="0"/>
      <w:divBdr>
        <w:top w:val="none" w:sz="0" w:space="0" w:color="auto"/>
        <w:left w:val="none" w:sz="0" w:space="0" w:color="auto"/>
        <w:bottom w:val="none" w:sz="0" w:space="0" w:color="auto"/>
        <w:right w:val="none" w:sz="0" w:space="0" w:color="auto"/>
      </w:divBdr>
    </w:div>
    <w:div w:id="228417337">
      <w:bodyDiv w:val="1"/>
      <w:marLeft w:val="0"/>
      <w:marRight w:val="0"/>
      <w:marTop w:val="0"/>
      <w:marBottom w:val="0"/>
      <w:divBdr>
        <w:top w:val="none" w:sz="0" w:space="0" w:color="auto"/>
        <w:left w:val="none" w:sz="0" w:space="0" w:color="auto"/>
        <w:bottom w:val="none" w:sz="0" w:space="0" w:color="auto"/>
        <w:right w:val="none" w:sz="0" w:space="0" w:color="auto"/>
      </w:divBdr>
    </w:div>
    <w:div w:id="228613553">
      <w:bodyDiv w:val="1"/>
      <w:marLeft w:val="0"/>
      <w:marRight w:val="0"/>
      <w:marTop w:val="0"/>
      <w:marBottom w:val="0"/>
      <w:divBdr>
        <w:top w:val="none" w:sz="0" w:space="0" w:color="auto"/>
        <w:left w:val="none" w:sz="0" w:space="0" w:color="auto"/>
        <w:bottom w:val="none" w:sz="0" w:space="0" w:color="auto"/>
        <w:right w:val="none" w:sz="0" w:space="0" w:color="auto"/>
      </w:divBdr>
    </w:div>
    <w:div w:id="228618716">
      <w:bodyDiv w:val="1"/>
      <w:marLeft w:val="0"/>
      <w:marRight w:val="0"/>
      <w:marTop w:val="0"/>
      <w:marBottom w:val="0"/>
      <w:divBdr>
        <w:top w:val="none" w:sz="0" w:space="0" w:color="auto"/>
        <w:left w:val="none" w:sz="0" w:space="0" w:color="auto"/>
        <w:bottom w:val="none" w:sz="0" w:space="0" w:color="auto"/>
        <w:right w:val="none" w:sz="0" w:space="0" w:color="auto"/>
      </w:divBdr>
    </w:div>
    <w:div w:id="228929113">
      <w:bodyDiv w:val="1"/>
      <w:marLeft w:val="0"/>
      <w:marRight w:val="0"/>
      <w:marTop w:val="0"/>
      <w:marBottom w:val="0"/>
      <w:divBdr>
        <w:top w:val="none" w:sz="0" w:space="0" w:color="auto"/>
        <w:left w:val="none" w:sz="0" w:space="0" w:color="auto"/>
        <w:bottom w:val="none" w:sz="0" w:space="0" w:color="auto"/>
        <w:right w:val="none" w:sz="0" w:space="0" w:color="auto"/>
      </w:divBdr>
    </w:div>
    <w:div w:id="229004425">
      <w:bodyDiv w:val="1"/>
      <w:marLeft w:val="0"/>
      <w:marRight w:val="0"/>
      <w:marTop w:val="0"/>
      <w:marBottom w:val="0"/>
      <w:divBdr>
        <w:top w:val="none" w:sz="0" w:space="0" w:color="auto"/>
        <w:left w:val="none" w:sz="0" w:space="0" w:color="auto"/>
        <w:bottom w:val="none" w:sz="0" w:space="0" w:color="auto"/>
        <w:right w:val="none" w:sz="0" w:space="0" w:color="auto"/>
      </w:divBdr>
    </w:div>
    <w:div w:id="229191912">
      <w:bodyDiv w:val="1"/>
      <w:marLeft w:val="0"/>
      <w:marRight w:val="0"/>
      <w:marTop w:val="0"/>
      <w:marBottom w:val="0"/>
      <w:divBdr>
        <w:top w:val="none" w:sz="0" w:space="0" w:color="auto"/>
        <w:left w:val="none" w:sz="0" w:space="0" w:color="auto"/>
        <w:bottom w:val="none" w:sz="0" w:space="0" w:color="auto"/>
        <w:right w:val="none" w:sz="0" w:space="0" w:color="auto"/>
      </w:divBdr>
    </w:div>
    <w:div w:id="229269430">
      <w:bodyDiv w:val="1"/>
      <w:marLeft w:val="0"/>
      <w:marRight w:val="0"/>
      <w:marTop w:val="0"/>
      <w:marBottom w:val="0"/>
      <w:divBdr>
        <w:top w:val="none" w:sz="0" w:space="0" w:color="auto"/>
        <w:left w:val="none" w:sz="0" w:space="0" w:color="auto"/>
        <w:bottom w:val="none" w:sz="0" w:space="0" w:color="auto"/>
        <w:right w:val="none" w:sz="0" w:space="0" w:color="auto"/>
      </w:divBdr>
    </w:div>
    <w:div w:id="229465810">
      <w:bodyDiv w:val="1"/>
      <w:marLeft w:val="0"/>
      <w:marRight w:val="0"/>
      <w:marTop w:val="0"/>
      <w:marBottom w:val="0"/>
      <w:divBdr>
        <w:top w:val="none" w:sz="0" w:space="0" w:color="auto"/>
        <w:left w:val="none" w:sz="0" w:space="0" w:color="auto"/>
        <w:bottom w:val="none" w:sz="0" w:space="0" w:color="auto"/>
        <w:right w:val="none" w:sz="0" w:space="0" w:color="auto"/>
      </w:divBdr>
    </w:div>
    <w:div w:id="229773551">
      <w:bodyDiv w:val="1"/>
      <w:marLeft w:val="0"/>
      <w:marRight w:val="0"/>
      <w:marTop w:val="0"/>
      <w:marBottom w:val="0"/>
      <w:divBdr>
        <w:top w:val="none" w:sz="0" w:space="0" w:color="auto"/>
        <w:left w:val="none" w:sz="0" w:space="0" w:color="auto"/>
        <w:bottom w:val="none" w:sz="0" w:space="0" w:color="auto"/>
        <w:right w:val="none" w:sz="0" w:space="0" w:color="auto"/>
      </w:divBdr>
    </w:div>
    <w:div w:id="230236665">
      <w:bodyDiv w:val="1"/>
      <w:marLeft w:val="0"/>
      <w:marRight w:val="0"/>
      <w:marTop w:val="0"/>
      <w:marBottom w:val="0"/>
      <w:divBdr>
        <w:top w:val="none" w:sz="0" w:space="0" w:color="auto"/>
        <w:left w:val="none" w:sz="0" w:space="0" w:color="auto"/>
        <w:bottom w:val="none" w:sz="0" w:space="0" w:color="auto"/>
        <w:right w:val="none" w:sz="0" w:space="0" w:color="auto"/>
      </w:divBdr>
    </w:div>
    <w:div w:id="230506071">
      <w:bodyDiv w:val="1"/>
      <w:marLeft w:val="0"/>
      <w:marRight w:val="0"/>
      <w:marTop w:val="0"/>
      <w:marBottom w:val="0"/>
      <w:divBdr>
        <w:top w:val="none" w:sz="0" w:space="0" w:color="auto"/>
        <w:left w:val="none" w:sz="0" w:space="0" w:color="auto"/>
        <w:bottom w:val="none" w:sz="0" w:space="0" w:color="auto"/>
        <w:right w:val="none" w:sz="0" w:space="0" w:color="auto"/>
      </w:divBdr>
    </w:div>
    <w:div w:id="230700994">
      <w:bodyDiv w:val="1"/>
      <w:marLeft w:val="0"/>
      <w:marRight w:val="0"/>
      <w:marTop w:val="0"/>
      <w:marBottom w:val="0"/>
      <w:divBdr>
        <w:top w:val="none" w:sz="0" w:space="0" w:color="auto"/>
        <w:left w:val="none" w:sz="0" w:space="0" w:color="auto"/>
        <w:bottom w:val="none" w:sz="0" w:space="0" w:color="auto"/>
        <w:right w:val="none" w:sz="0" w:space="0" w:color="auto"/>
      </w:divBdr>
    </w:div>
    <w:div w:id="231040964">
      <w:bodyDiv w:val="1"/>
      <w:marLeft w:val="0"/>
      <w:marRight w:val="0"/>
      <w:marTop w:val="0"/>
      <w:marBottom w:val="0"/>
      <w:divBdr>
        <w:top w:val="none" w:sz="0" w:space="0" w:color="auto"/>
        <w:left w:val="none" w:sz="0" w:space="0" w:color="auto"/>
        <w:bottom w:val="none" w:sz="0" w:space="0" w:color="auto"/>
        <w:right w:val="none" w:sz="0" w:space="0" w:color="auto"/>
      </w:divBdr>
    </w:div>
    <w:div w:id="231042411">
      <w:bodyDiv w:val="1"/>
      <w:marLeft w:val="0"/>
      <w:marRight w:val="0"/>
      <w:marTop w:val="0"/>
      <w:marBottom w:val="0"/>
      <w:divBdr>
        <w:top w:val="none" w:sz="0" w:space="0" w:color="auto"/>
        <w:left w:val="none" w:sz="0" w:space="0" w:color="auto"/>
        <w:bottom w:val="none" w:sz="0" w:space="0" w:color="auto"/>
        <w:right w:val="none" w:sz="0" w:space="0" w:color="auto"/>
      </w:divBdr>
    </w:div>
    <w:div w:id="231744956">
      <w:bodyDiv w:val="1"/>
      <w:marLeft w:val="0"/>
      <w:marRight w:val="0"/>
      <w:marTop w:val="0"/>
      <w:marBottom w:val="0"/>
      <w:divBdr>
        <w:top w:val="none" w:sz="0" w:space="0" w:color="auto"/>
        <w:left w:val="none" w:sz="0" w:space="0" w:color="auto"/>
        <w:bottom w:val="none" w:sz="0" w:space="0" w:color="auto"/>
        <w:right w:val="none" w:sz="0" w:space="0" w:color="auto"/>
      </w:divBdr>
    </w:div>
    <w:div w:id="231932058">
      <w:bodyDiv w:val="1"/>
      <w:marLeft w:val="0"/>
      <w:marRight w:val="0"/>
      <w:marTop w:val="0"/>
      <w:marBottom w:val="0"/>
      <w:divBdr>
        <w:top w:val="none" w:sz="0" w:space="0" w:color="auto"/>
        <w:left w:val="none" w:sz="0" w:space="0" w:color="auto"/>
        <w:bottom w:val="none" w:sz="0" w:space="0" w:color="auto"/>
        <w:right w:val="none" w:sz="0" w:space="0" w:color="auto"/>
      </w:divBdr>
    </w:div>
    <w:div w:id="232155718">
      <w:bodyDiv w:val="1"/>
      <w:marLeft w:val="0"/>
      <w:marRight w:val="0"/>
      <w:marTop w:val="0"/>
      <w:marBottom w:val="0"/>
      <w:divBdr>
        <w:top w:val="none" w:sz="0" w:space="0" w:color="auto"/>
        <w:left w:val="none" w:sz="0" w:space="0" w:color="auto"/>
        <w:bottom w:val="none" w:sz="0" w:space="0" w:color="auto"/>
        <w:right w:val="none" w:sz="0" w:space="0" w:color="auto"/>
      </w:divBdr>
    </w:div>
    <w:div w:id="232203079">
      <w:bodyDiv w:val="1"/>
      <w:marLeft w:val="0"/>
      <w:marRight w:val="0"/>
      <w:marTop w:val="0"/>
      <w:marBottom w:val="0"/>
      <w:divBdr>
        <w:top w:val="none" w:sz="0" w:space="0" w:color="auto"/>
        <w:left w:val="none" w:sz="0" w:space="0" w:color="auto"/>
        <w:bottom w:val="none" w:sz="0" w:space="0" w:color="auto"/>
        <w:right w:val="none" w:sz="0" w:space="0" w:color="auto"/>
      </w:divBdr>
    </w:div>
    <w:div w:id="232667216">
      <w:bodyDiv w:val="1"/>
      <w:marLeft w:val="0"/>
      <w:marRight w:val="0"/>
      <w:marTop w:val="0"/>
      <w:marBottom w:val="0"/>
      <w:divBdr>
        <w:top w:val="none" w:sz="0" w:space="0" w:color="auto"/>
        <w:left w:val="none" w:sz="0" w:space="0" w:color="auto"/>
        <w:bottom w:val="none" w:sz="0" w:space="0" w:color="auto"/>
        <w:right w:val="none" w:sz="0" w:space="0" w:color="auto"/>
      </w:divBdr>
    </w:div>
    <w:div w:id="232856636">
      <w:bodyDiv w:val="1"/>
      <w:marLeft w:val="0"/>
      <w:marRight w:val="0"/>
      <w:marTop w:val="0"/>
      <w:marBottom w:val="0"/>
      <w:divBdr>
        <w:top w:val="none" w:sz="0" w:space="0" w:color="auto"/>
        <w:left w:val="none" w:sz="0" w:space="0" w:color="auto"/>
        <w:bottom w:val="none" w:sz="0" w:space="0" w:color="auto"/>
        <w:right w:val="none" w:sz="0" w:space="0" w:color="auto"/>
      </w:divBdr>
    </w:div>
    <w:div w:id="233006298">
      <w:bodyDiv w:val="1"/>
      <w:marLeft w:val="0"/>
      <w:marRight w:val="0"/>
      <w:marTop w:val="0"/>
      <w:marBottom w:val="0"/>
      <w:divBdr>
        <w:top w:val="none" w:sz="0" w:space="0" w:color="auto"/>
        <w:left w:val="none" w:sz="0" w:space="0" w:color="auto"/>
        <w:bottom w:val="none" w:sz="0" w:space="0" w:color="auto"/>
        <w:right w:val="none" w:sz="0" w:space="0" w:color="auto"/>
      </w:divBdr>
    </w:div>
    <w:div w:id="233205989">
      <w:bodyDiv w:val="1"/>
      <w:marLeft w:val="0"/>
      <w:marRight w:val="0"/>
      <w:marTop w:val="0"/>
      <w:marBottom w:val="0"/>
      <w:divBdr>
        <w:top w:val="none" w:sz="0" w:space="0" w:color="auto"/>
        <w:left w:val="none" w:sz="0" w:space="0" w:color="auto"/>
        <w:bottom w:val="none" w:sz="0" w:space="0" w:color="auto"/>
        <w:right w:val="none" w:sz="0" w:space="0" w:color="auto"/>
      </w:divBdr>
    </w:div>
    <w:div w:id="233515395">
      <w:bodyDiv w:val="1"/>
      <w:marLeft w:val="0"/>
      <w:marRight w:val="0"/>
      <w:marTop w:val="0"/>
      <w:marBottom w:val="0"/>
      <w:divBdr>
        <w:top w:val="none" w:sz="0" w:space="0" w:color="auto"/>
        <w:left w:val="none" w:sz="0" w:space="0" w:color="auto"/>
        <w:bottom w:val="none" w:sz="0" w:space="0" w:color="auto"/>
        <w:right w:val="none" w:sz="0" w:space="0" w:color="auto"/>
      </w:divBdr>
    </w:div>
    <w:div w:id="234435022">
      <w:bodyDiv w:val="1"/>
      <w:marLeft w:val="0"/>
      <w:marRight w:val="0"/>
      <w:marTop w:val="0"/>
      <w:marBottom w:val="0"/>
      <w:divBdr>
        <w:top w:val="none" w:sz="0" w:space="0" w:color="auto"/>
        <w:left w:val="none" w:sz="0" w:space="0" w:color="auto"/>
        <w:bottom w:val="none" w:sz="0" w:space="0" w:color="auto"/>
        <w:right w:val="none" w:sz="0" w:space="0" w:color="auto"/>
      </w:divBdr>
    </w:div>
    <w:div w:id="234901801">
      <w:bodyDiv w:val="1"/>
      <w:marLeft w:val="0"/>
      <w:marRight w:val="0"/>
      <w:marTop w:val="0"/>
      <w:marBottom w:val="0"/>
      <w:divBdr>
        <w:top w:val="none" w:sz="0" w:space="0" w:color="auto"/>
        <w:left w:val="none" w:sz="0" w:space="0" w:color="auto"/>
        <w:bottom w:val="none" w:sz="0" w:space="0" w:color="auto"/>
        <w:right w:val="none" w:sz="0" w:space="0" w:color="auto"/>
      </w:divBdr>
    </w:div>
    <w:div w:id="234903821">
      <w:bodyDiv w:val="1"/>
      <w:marLeft w:val="0"/>
      <w:marRight w:val="0"/>
      <w:marTop w:val="0"/>
      <w:marBottom w:val="0"/>
      <w:divBdr>
        <w:top w:val="none" w:sz="0" w:space="0" w:color="auto"/>
        <w:left w:val="none" w:sz="0" w:space="0" w:color="auto"/>
        <w:bottom w:val="none" w:sz="0" w:space="0" w:color="auto"/>
        <w:right w:val="none" w:sz="0" w:space="0" w:color="auto"/>
      </w:divBdr>
    </w:div>
    <w:div w:id="235096717">
      <w:bodyDiv w:val="1"/>
      <w:marLeft w:val="0"/>
      <w:marRight w:val="0"/>
      <w:marTop w:val="0"/>
      <w:marBottom w:val="0"/>
      <w:divBdr>
        <w:top w:val="none" w:sz="0" w:space="0" w:color="auto"/>
        <w:left w:val="none" w:sz="0" w:space="0" w:color="auto"/>
        <w:bottom w:val="none" w:sz="0" w:space="0" w:color="auto"/>
        <w:right w:val="none" w:sz="0" w:space="0" w:color="auto"/>
      </w:divBdr>
    </w:div>
    <w:div w:id="235365659">
      <w:bodyDiv w:val="1"/>
      <w:marLeft w:val="0"/>
      <w:marRight w:val="0"/>
      <w:marTop w:val="0"/>
      <w:marBottom w:val="0"/>
      <w:divBdr>
        <w:top w:val="none" w:sz="0" w:space="0" w:color="auto"/>
        <w:left w:val="none" w:sz="0" w:space="0" w:color="auto"/>
        <w:bottom w:val="none" w:sz="0" w:space="0" w:color="auto"/>
        <w:right w:val="none" w:sz="0" w:space="0" w:color="auto"/>
      </w:divBdr>
    </w:div>
    <w:div w:id="235434973">
      <w:bodyDiv w:val="1"/>
      <w:marLeft w:val="0"/>
      <w:marRight w:val="0"/>
      <w:marTop w:val="0"/>
      <w:marBottom w:val="0"/>
      <w:divBdr>
        <w:top w:val="none" w:sz="0" w:space="0" w:color="auto"/>
        <w:left w:val="none" w:sz="0" w:space="0" w:color="auto"/>
        <w:bottom w:val="none" w:sz="0" w:space="0" w:color="auto"/>
        <w:right w:val="none" w:sz="0" w:space="0" w:color="auto"/>
      </w:divBdr>
    </w:div>
    <w:div w:id="236135603">
      <w:bodyDiv w:val="1"/>
      <w:marLeft w:val="0"/>
      <w:marRight w:val="0"/>
      <w:marTop w:val="0"/>
      <w:marBottom w:val="0"/>
      <w:divBdr>
        <w:top w:val="none" w:sz="0" w:space="0" w:color="auto"/>
        <w:left w:val="none" w:sz="0" w:space="0" w:color="auto"/>
        <w:bottom w:val="none" w:sz="0" w:space="0" w:color="auto"/>
        <w:right w:val="none" w:sz="0" w:space="0" w:color="auto"/>
      </w:divBdr>
    </w:div>
    <w:div w:id="236136853">
      <w:bodyDiv w:val="1"/>
      <w:marLeft w:val="0"/>
      <w:marRight w:val="0"/>
      <w:marTop w:val="0"/>
      <w:marBottom w:val="0"/>
      <w:divBdr>
        <w:top w:val="none" w:sz="0" w:space="0" w:color="auto"/>
        <w:left w:val="none" w:sz="0" w:space="0" w:color="auto"/>
        <w:bottom w:val="none" w:sz="0" w:space="0" w:color="auto"/>
        <w:right w:val="none" w:sz="0" w:space="0" w:color="auto"/>
      </w:divBdr>
    </w:div>
    <w:div w:id="236865287">
      <w:bodyDiv w:val="1"/>
      <w:marLeft w:val="0"/>
      <w:marRight w:val="0"/>
      <w:marTop w:val="0"/>
      <w:marBottom w:val="0"/>
      <w:divBdr>
        <w:top w:val="none" w:sz="0" w:space="0" w:color="auto"/>
        <w:left w:val="none" w:sz="0" w:space="0" w:color="auto"/>
        <w:bottom w:val="none" w:sz="0" w:space="0" w:color="auto"/>
        <w:right w:val="none" w:sz="0" w:space="0" w:color="auto"/>
      </w:divBdr>
    </w:div>
    <w:div w:id="236937783">
      <w:bodyDiv w:val="1"/>
      <w:marLeft w:val="0"/>
      <w:marRight w:val="0"/>
      <w:marTop w:val="0"/>
      <w:marBottom w:val="0"/>
      <w:divBdr>
        <w:top w:val="none" w:sz="0" w:space="0" w:color="auto"/>
        <w:left w:val="none" w:sz="0" w:space="0" w:color="auto"/>
        <w:bottom w:val="none" w:sz="0" w:space="0" w:color="auto"/>
        <w:right w:val="none" w:sz="0" w:space="0" w:color="auto"/>
      </w:divBdr>
    </w:div>
    <w:div w:id="237374288">
      <w:bodyDiv w:val="1"/>
      <w:marLeft w:val="0"/>
      <w:marRight w:val="0"/>
      <w:marTop w:val="0"/>
      <w:marBottom w:val="0"/>
      <w:divBdr>
        <w:top w:val="none" w:sz="0" w:space="0" w:color="auto"/>
        <w:left w:val="none" w:sz="0" w:space="0" w:color="auto"/>
        <w:bottom w:val="none" w:sz="0" w:space="0" w:color="auto"/>
        <w:right w:val="none" w:sz="0" w:space="0" w:color="auto"/>
      </w:divBdr>
    </w:div>
    <w:div w:id="238029229">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38448370">
      <w:bodyDiv w:val="1"/>
      <w:marLeft w:val="0"/>
      <w:marRight w:val="0"/>
      <w:marTop w:val="0"/>
      <w:marBottom w:val="0"/>
      <w:divBdr>
        <w:top w:val="none" w:sz="0" w:space="0" w:color="auto"/>
        <w:left w:val="none" w:sz="0" w:space="0" w:color="auto"/>
        <w:bottom w:val="none" w:sz="0" w:space="0" w:color="auto"/>
        <w:right w:val="none" w:sz="0" w:space="0" w:color="auto"/>
      </w:divBdr>
    </w:div>
    <w:div w:id="238565761">
      <w:bodyDiv w:val="1"/>
      <w:marLeft w:val="0"/>
      <w:marRight w:val="0"/>
      <w:marTop w:val="0"/>
      <w:marBottom w:val="0"/>
      <w:divBdr>
        <w:top w:val="none" w:sz="0" w:space="0" w:color="auto"/>
        <w:left w:val="none" w:sz="0" w:space="0" w:color="auto"/>
        <w:bottom w:val="none" w:sz="0" w:space="0" w:color="auto"/>
        <w:right w:val="none" w:sz="0" w:space="0" w:color="auto"/>
      </w:divBdr>
    </w:div>
    <w:div w:id="239366637">
      <w:bodyDiv w:val="1"/>
      <w:marLeft w:val="0"/>
      <w:marRight w:val="0"/>
      <w:marTop w:val="0"/>
      <w:marBottom w:val="0"/>
      <w:divBdr>
        <w:top w:val="none" w:sz="0" w:space="0" w:color="auto"/>
        <w:left w:val="none" w:sz="0" w:space="0" w:color="auto"/>
        <w:bottom w:val="none" w:sz="0" w:space="0" w:color="auto"/>
        <w:right w:val="none" w:sz="0" w:space="0" w:color="auto"/>
      </w:divBdr>
    </w:div>
    <w:div w:id="239682731">
      <w:bodyDiv w:val="1"/>
      <w:marLeft w:val="0"/>
      <w:marRight w:val="0"/>
      <w:marTop w:val="0"/>
      <w:marBottom w:val="0"/>
      <w:divBdr>
        <w:top w:val="none" w:sz="0" w:space="0" w:color="auto"/>
        <w:left w:val="none" w:sz="0" w:space="0" w:color="auto"/>
        <w:bottom w:val="none" w:sz="0" w:space="0" w:color="auto"/>
        <w:right w:val="none" w:sz="0" w:space="0" w:color="auto"/>
      </w:divBdr>
    </w:div>
    <w:div w:id="240141175">
      <w:bodyDiv w:val="1"/>
      <w:marLeft w:val="0"/>
      <w:marRight w:val="0"/>
      <w:marTop w:val="0"/>
      <w:marBottom w:val="0"/>
      <w:divBdr>
        <w:top w:val="none" w:sz="0" w:space="0" w:color="auto"/>
        <w:left w:val="none" w:sz="0" w:space="0" w:color="auto"/>
        <w:bottom w:val="none" w:sz="0" w:space="0" w:color="auto"/>
        <w:right w:val="none" w:sz="0" w:space="0" w:color="auto"/>
      </w:divBdr>
    </w:div>
    <w:div w:id="240724244">
      <w:bodyDiv w:val="1"/>
      <w:marLeft w:val="0"/>
      <w:marRight w:val="0"/>
      <w:marTop w:val="0"/>
      <w:marBottom w:val="0"/>
      <w:divBdr>
        <w:top w:val="none" w:sz="0" w:space="0" w:color="auto"/>
        <w:left w:val="none" w:sz="0" w:space="0" w:color="auto"/>
        <w:bottom w:val="none" w:sz="0" w:space="0" w:color="auto"/>
        <w:right w:val="none" w:sz="0" w:space="0" w:color="auto"/>
      </w:divBdr>
    </w:div>
    <w:div w:id="240871639">
      <w:bodyDiv w:val="1"/>
      <w:marLeft w:val="0"/>
      <w:marRight w:val="0"/>
      <w:marTop w:val="0"/>
      <w:marBottom w:val="0"/>
      <w:divBdr>
        <w:top w:val="none" w:sz="0" w:space="0" w:color="auto"/>
        <w:left w:val="none" w:sz="0" w:space="0" w:color="auto"/>
        <w:bottom w:val="none" w:sz="0" w:space="0" w:color="auto"/>
        <w:right w:val="none" w:sz="0" w:space="0" w:color="auto"/>
      </w:divBdr>
    </w:div>
    <w:div w:id="240915077">
      <w:bodyDiv w:val="1"/>
      <w:marLeft w:val="0"/>
      <w:marRight w:val="0"/>
      <w:marTop w:val="0"/>
      <w:marBottom w:val="0"/>
      <w:divBdr>
        <w:top w:val="none" w:sz="0" w:space="0" w:color="auto"/>
        <w:left w:val="none" w:sz="0" w:space="0" w:color="auto"/>
        <w:bottom w:val="none" w:sz="0" w:space="0" w:color="auto"/>
        <w:right w:val="none" w:sz="0" w:space="0" w:color="auto"/>
      </w:divBdr>
    </w:div>
    <w:div w:id="241379746">
      <w:bodyDiv w:val="1"/>
      <w:marLeft w:val="0"/>
      <w:marRight w:val="0"/>
      <w:marTop w:val="0"/>
      <w:marBottom w:val="0"/>
      <w:divBdr>
        <w:top w:val="none" w:sz="0" w:space="0" w:color="auto"/>
        <w:left w:val="none" w:sz="0" w:space="0" w:color="auto"/>
        <w:bottom w:val="none" w:sz="0" w:space="0" w:color="auto"/>
        <w:right w:val="none" w:sz="0" w:space="0" w:color="auto"/>
      </w:divBdr>
    </w:div>
    <w:div w:id="242616765">
      <w:bodyDiv w:val="1"/>
      <w:marLeft w:val="0"/>
      <w:marRight w:val="0"/>
      <w:marTop w:val="0"/>
      <w:marBottom w:val="0"/>
      <w:divBdr>
        <w:top w:val="none" w:sz="0" w:space="0" w:color="auto"/>
        <w:left w:val="none" w:sz="0" w:space="0" w:color="auto"/>
        <w:bottom w:val="none" w:sz="0" w:space="0" w:color="auto"/>
        <w:right w:val="none" w:sz="0" w:space="0" w:color="auto"/>
      </w:divBdr>
    </w:div>
    <w:div w:id="242883962">
      <w:bodyDiv w:val="1"/>
      <w:marLeft w:val="0"/>
      <w:marRight w:val="0"/>
      <w:marTop w:val="0"/>
      <w:marBottom w:val="0"/>
      <w:divBdr>
        <w:top w:val="none" w:sz="0" w:space="0" w:color="auto"/>
        <w:left w:val="none" w:sz="0" w:space="0" w:color="auto"/>
        <w:bottom w:val="none" w:sz="0" w:space="0" w:color="auto"/>
        <w:right w:val="none" w:sz="0" w:space="0" w:color="auto"/>
      </w:divBdr>
    </w:div>
    <w:div w:id="243027658">
      <w:bodyDiv w:val="1"/>
      <w:marLeft w:val="0"/>
      <w:marRight w:val="0"/>
      <w:marTop w:val="0"/>
      <w:marBottom w:val="0"/>
      <w:divBdr>
        <w:top w:val="none" w:sz="0" w:space="0" w:color="auto"/>
        <w:left w:val="none" w:sz="0" w:space="0" w:color="auto"/>
        <w:bottom w:val="none" w:sz="0" w:space="0" w:color="auto"/>
        <w:right w:val="none" w:sz="0" w:space="0" w:color="auto"/>
      </w:divBdr>
    </w:div>
    <w:div w:id="243270298">
      <w:bodyDiv w:val="1"/>
      <w:marLeft w:val="0"/>
      <w:marRight w:val="0"/>
      <w:marTop w:val="0"/>
      <w:marBottom w:val="0"/>
      <w:divBdr>
        <w:top w:val="none" w:sz="0" w:space="0" w:color="auto"/>
        <w:left w:val="none" w:sz="0" w:space="0" w:color="auto"/>
        <w:bottom w:val="none" w:sz="0" w:space="0" w:color="auto"/>
        <w:right w:val="none" w:sz="0" w:space="0" w:color="auto"/>
      </w:divBdr>
    </w:div>
    <w:div w:id="244268761">
      <w:bodyDiv w:val="1"/>
      <w:marLeft w:val="0"/>
      <w:marRight w:val="0"/>
      <w:marTop w:val="0"/>
      <w:marBottom w:val="0"/>
      <w:divBdr>
        <w:top w:val="none" w:sz="0" w:space="0" w:color="auto"/>
        <w:left w:val="none" w:sz="0" w:space="0" w:color="auto"/>
        <w:bottom w:val="none" w:sz="0" w:space="0" w:color="auto"/>
        <w:right w:val="none" w:sz="0" w:space="0" w:color="auto"/>
      </w:divBdr>
    </w:div>
    <w:div w:id="244338022">
      <w:bodyDiv w:val="1"/>
      <w:marLeft w:val="0"/>
      <w:marRight w:val="0"/>
      <w:marTop w:val="0"/>
      <w:marBottom w:val="0"/>
      <w:divBdr>
        <w:top w:val="none" w:sz="0" w:space="0" w:color="auto"/>
        <w:left w:val="none" w:sz="0" w:space="0" w:color="auto"/>
        <w:bottom w:val="none" w:sz="0" w:space="0" w:color="auto"/>
        <w:right w:val="none" w:sz="0" w:space="0" w:color="auto"/>
      </w:divBdr>
    </w:div>
    <w:div w:id="244842630">
      <w:bodyDiv w:val="1"/>
      <w:marLeft w:val="0"/>
      <w:marRight w:val="0"/>
      <w:marTop w:val="0"/>
      <w:marBottom w:val="0"/>
      <w:divBdr>
        <w:top w:val="none" w:sz="0" w:space="0" w:color="auto"/>
        <w:left w:val="none" w:sz="0" w:space="0" w:color="auto"/>
        <w:bottom w:val="none" w:sz="0" w:space="0" w:color="auto"/>
        <w:right w:val="none" w:sz="0" w:space="0" w:color="auto"/>
      </w:divBdr>
    </w:div>
    <w:div w:id="245044612">
      <w:bodyDiv w:val="1"/>
      <w:marLeft w:val="0"/>
      <w:marRight w:val="0"/>
      <w:marTop w:val="0"/>
      <w:marBottom w:val="0"/>
      <w:divBdr>
        <w:top w:val="none" w:sz="0" w:space="0" w:color="auto"/>
        <w:left w:val="none" w:sz="0" w:space="0" w:color="auto"/>
        <w:bottom w:val="none" w:sz="0" w:space="0" w:color="auto"/>
        <w:right w:val="none" w:sz="0" w:space="0" w:color="auto"/>
      </w:divBdr>
    </w:div>
    <w:div w:id="245190089">
      <w:bodyDiv w:val="1"/>
      <w:marLeft w:val="0"/>
      <w:marRight w:val="0"/>
      <w:marTop w:val="0"/>
      <w:marBottom w:val="0"/>
      <w:divBdr>
        <w:top w:val="none" w:sz="0" w:space="0" w:color="auto"/>
        <w:left w:val="none" w:sz="0" w:space="0" w:color="auto"/>
        <w:bottom w:val="none" w:sz="0" w:space="0" w:color="auto"/>
        <w:right w:val="none" w:sz="0" w:space="0" w:color="auto"/>
      </w:divBdr>
    </w:div>
    <w:div w:id="245652929">
      <w:bodyDiv w:val="1"/>
      <w:marLeft w:val="0"/>
      <w:marRight w:val="0"/>
      <w:marTop w:val="0"/>
      <w:marBottom w:val="0"/>
      <w:divBdr>
        <w:top w:val="none" w:sz="0" w:space="0" w:color="auto"/>
        <w:left w:val="none" w:sz="0" w:space="0" w:color="auto"/>
        <w:bottom w:val="none" w:sz="0" w:space="0" w:color="auto"/>
        <w:right w:val="none" w:sz="0" w:space="0" w:color="auto"/>
      </w:divBdr>
    </w:div>
    <w:div w:id="245698978">
      <w:bodyDiv w:val="1"/>
      <w:marLeft w:val="0"/>
      <w:marRight w:val="0"/>
      <w:marTop w:val="0"/>
      <w:marBottom w:val="0"/>
      <w:divBdr>
        <w:top w:val="none" w:sz="0" w:space="0" w:color="auto"/>
        <w:left w:val="none" w:sz="0" w:space="0" w:color="auto"/>
        <w:bottom w:val="none" w:sz="0" w:space="0" w:color="auto"/>
        <w:right w:val="none" w:sz="0" w:space="0" w:color="auto"/>
      </w:divBdr>
    </w:div>
    <w:div w:id="245961564">
      <w:bodyDiv w:val="1"/>
      <w:marLeft w:val="0"/>
      <w:marRight w:val="0"/>
      <w:marTop w:val="0"/>
      <w:marBottom w:val="0"/>
      <w:divBdr>
        <w:top w:val="none" w:sz="0" w:space="0" w:color="auto"/>
        <w:left w:val="none" w:sz="0" w:space="0" w:color="auto"/>
        <w:bottom w:val="none" w:sz="0" w:space="0" w:color="auto"/>
        <w:right w:val="none" w:sz="0" w:space="0" w:color="auto"/>
      </w:divBdr>
    </w:div>
    <w:div w:id="245968512">
      <w:bodyDiv w:val="1"/>
      <w:marLeft w:val="0"/>
      <w:marRight w:val="0"/>
      <w:marTop w:val="0"/>
      <w:marBottom w:val="0"/>
      <w:divBdr>
        <w:top w:val="none" w:sz="0" w:space="0" w:color="auto"/>
        <w:left w:val="none" w:sz="0" w:space="0" w:color="auto"/>
        <w:bottom w:val="none" w:sz="0" w:space="0" w:color="auto"/>
        <w:right w:val="none" w:sz="0" w:space="0" w:color="auto"/>
      </w:divBdr>
    </w:div>
    <w:div w:id="246034774">
      <w:bodyDiv w:val="1"/>
      <w:marLeft w:val="0"/>
      <w:marRight w:val="0"/>
      <w:marTop w:val="0"/>
      <w:marBottom w:val="0"/>
      <w:divBdr>
        <w:top w:val="none" w:sz="0" w:space="0" w:color="auto"/>
        <w:left w:val="none" w:sz="0" w:space="0" w:color="auto"/>
        <w:bottom w:val="none" w:sz="0" w:space="0" w:color="auto"/>
        <w:right w:val="none" w:sz="0" w:space="0" w:color="auto"/>
      </w:divBdr>
    </w:div>
    <w:div w:id="246110377">
      <w:bodyDiv w:val="1"/>
      <w:marLeft w:val="0"/>
      <w:marRight w:val="0"/>
      <w:marTop w:val="0"/>
      <w:marBottom w:val="0"/>
      <w:divBdr>
        <w:top w:val="none" w:sz="0" w:space="0" w:color="auto"/>
        <w:left w:val="none" w:sz="0" w:space="0" w:color="auto"/>
        <w:bottom w:val="none" w:sz="0" w:space="0" w:color="auto"/>
        <w:right w:val="none" w:sz="0" w:space="0" w:color="auto"/>
      </w:divBdr>
    </w:div>
    <w:div w:id="246305981">
      <w:bodyDiv w:val="1"/>
      <w:marLeft w:val="0"/>
      <w:marRight w:val="0"/>
      <w:marTop w:val="0"/>
      <w:marBottom w:val="0"/>
      <w:divBdr>
        <w:top w:val="none" w:sz="0" w:space="0" w:color="auto"/>
        <w:left w:val="none" w:sz="0" w:space="0" w:color="auto"/>
        <w:bottom w:val="none" w:sz="0" w:space="0" w:color="auto"/>
        <w:right w:val="none" w:sz="0" w:space="0" w:color="auto"/>
      </w:divBdr>
    </w:div>
    <w:div w:id="246496735">
      <w:bodyDiv w:val="1"/>
      <w:marLeft w:val="0"/>
      <w:marRight w:val="0"/>
      <w:marTop w:val="0"/>
      <w:marBottom w:val="0"/>
      <w:divBdr>
        <w:top w:val="none" w:sz="0" w:space="0" w:color="auto"/>
        <w:left w:val="none" w:sz="0" w:space="0" w:color="auto"/>
        <w:bottom w:val="none" w:sz="0" w:space="0" w:color="auto"/>
        <w:right w:val="none" w:sz="0" w:space="0" w:color="auto"/>
      </w:divBdr>
    </w:div>
    <w:div w:id="246499811">
      <w:bodyDiv w:val="1"/>
      <w:marLeft w:val="0"/>
      <w:marRight w:val="0"/>
      <w:marTop w:val="0"/>
      <w:marBottom w:val="0"/>
      <w:divBdr>
        <w:top w:val="none" w:sz="0" w:space="0" w:color="auto"/>
        <w:left w:val="none" w:sz="0" w:space="0" w:color="auto"/>
        <w:bottom w:val="none" w:sz="0" w:space="0" w:color="auto"/>
        <w:right w:val="none" w:sz="0" w:space="0" w:color="auto"/>
      </w:divBdr>
    </w:div>
    <w:div w:id="246546600">
      <w:bodyDiv w:val="1"/>
      <w:marLeft w:val="0"/>
      <w:marRight w:val="0"/>
      <w:marTop w:val="0"/>
      <w:marBottom w:val="0"/>
      <w:divBdr>
        <w:top w:val="none" w:sz="0" w:space="0" w:color="auto"/>
        <w:left w:val="none" w:sz="0" w:space="0" w:color="auto"/>
        <w:bottom w:val="none" w:sz="0" w:space="0" w:color="auto"/>
        <w:right w:val="none" w:sz="0" w:space="0" w:color="auto"/>
      </w:divBdr>
    </w:div>
    <w:div w:id="247158898">
      <w:bodyDiv w:val="1"/>
      <w:marLeft w:val="0"/>
      <w:marRight w:val="0"/>
      <w:marTop w:val="0"/>
      <w:marBottom w:val="0"/>
      <w:divBdr>
        <w:top w:val="none" w:sz="0" w:space="0" w:color="auto"/>
        <w:left w:val="none" w:sz="0" w:space="0" w:color="auto"/>
        <w:bottom w:val="none" w:sz="0" w:space="0" w:color="auto"/>
        <w:right w:val="none" w:sz="0" w:space="0" w:color="auto"/>
      </w:divBdr>
    </w:div>
    <w:div w:id="247622478">
      <w:bodyDiv w:val="1"/>
      <w:marLeft w:val="0"/>
      <w:marRight w:val="0"/>
      <w:marTop w:val="0"/>
      <w:marBottom w:val="0"/>
      <w:divBdr>
        <w:top w:val="none" w:sz="0" w:space="0" w:color="auto"/>
        <w:left w:val="none" w:sz="0" w:space="0" w:color="auto"/>
        <w:bottom w:val="none" w:sz="0" w:space="0" w:color="auto"/>
        <w:right w:val="none" w:sz="0" w:space="0" w:color="auto"/>
      </w:divBdr>
    </w:div>
    <w:div w:id="247813492">
      <w:bodyDiv w:val="1"/>
      <w:marLeft w:val="0"/>
      <w:marRight w:val="0"/>
      <w:marTop w:val="0"/>
      <w:marBottom w:val="0"/>
      <w:divBdr>
        <w:top w:val="none" w:sz="0" w:space="0" w:color="auto"/>
        <w:left w:val="none" w:sz="0" w:space="0" w:color="auto"/>
        <w:bottom w:val="none" w:sz="0" w:space="0" w:color="auto"/>
        <w:right w:val="none" w:sz="0" w:space="0" w:color="auto"/>
      </w:divBdr>
    </w:div>
    <w:div w:id="247857694">
      <w:bodyDiv w:val="1"/>
      <w:marLeft w:val="0"/>
      <w:marRight w:val="0"/>
      <w:marTop w:val="0"/>
      <w:marBottom w:val="0"/>
      <w:divBdr>
        <w:top w:val="none" w:sz="0" w:space="0" w:color="auto"/>
        <w:left w:val="none" w:sz="0" w:space="0" w:color="auto"/>
        <w:bottom w:val="none" w:sz="0" w:space="0" w:color="auto"/>
        <w:right w:val="none" w:sz="0" w:space="0" w:color="auto"/>
      </w:divBdr>
    </w:div>
    <w:div w:id="248076486">
      <w:bodyDiv w:val="1"/>
      <w:marLeft w:val="0"/>
      <w:marRight w:val="0"/>
      <w:marTop w:val="0"/>
      <w:marBottom w:val="0"/>
      <w:divBdr>
        <w:top w:val="none" w:sz="0" w:space="0" w:color="auto"/>
        <w:left w:val="none" w:sz="0" w:space="0" w:color="auto"/>
        <w:bottom w:val="none" w:sz="0" w:space="0" w:color="auto"/>
        <w:right w:val="none" w:sz="0" w:space="0" w:color="auto"/>
      </w:divBdr>
    </w:div>
    <w:div w:id="248122920">
      <w:bodyDiv w:val="1"/>
      <w:marLeft w:val="0"/>
      <w:marRight w:val="0"/>
      <w:marTop w:val="0"/>
      <w:marBottom w:val="0"/>
      <w:divBdr>
        <w:top w:val="none" w:sz="0" w:space="0" w:color="auto"/>
        <w:left w:val="none" w:sz="0" w:space="0" w:color="auto"/>
        <w:bottom w:val="none" w:sz="0" w:space="0" w:color="auto"/>
        <w:right w:val="none" w:sz="0" w:space="0" w:color="auto"/>
      </w:divBdr>
    </w:div>
    <w:div w:id="248195830">
      <w:bodyDiv w:val="1"/>
      <w:marLeft w:val="0"/>
      <w:marRight w:val="0"/>
      <w:marTop w:val="0"/>
      <w:marBottom w:val="0"/>
      <w:divBdr>
        <w:top w:val="none" w:sz="0" w:space="0" w:color="auto"/>
        <w:left w:val="none" w:sz="0" w:space="0" w:color="auto"/>
        <w:bottom w:val="none" w:sz="0" w:space="0" w:color="auto"/>
        <w:right w:val="none" w:sz="0" w:space="0" w:color="auto"/>
      </w:divBdr>
    </w:div>
    <w:div w:id="248275170">
      <w:bodyDiv w:val="1"/>
      <w:marLeft w:val="0"/>
      <w:marRight w:val="0"/>
      <w:marTop w:val="0"/>
      <w:marBottom w:val="0"/>
      <w:divBdr>
        <w:top w:val="none" w:sz="0" w:space="0" w:color="auto"/>
        <w:left w:val="none" w:sz="0" w:space="0" w:color="auto"/>
        <w:bottom w:val="none" w:sz="0" w:space="0" w:color="auto"/>
        <w:right w:val="none" w:sz="0" w:space="0" w:color="auto"/>
      </w:divBdr>
    </w:div>
    <w:div w:id="248924750">
      <w:bodyDiv w:val="1"/>
      <w:marLeft w:val="0"/>
      <w:marRight w:val="0"/>
      <w:marTop w:val="0"/>
      <w:marBottom w:val="0"/>
      <w:divBdr>
        <w:top w:val="none" w:sz="0" w:space="0" w:color="auto"/>
        <w:left w:val="none" w:sz="0" w:space="0" w:color="auto"/>
        <w:bottom w:val="none" w:sz="0" w:space="0" w:color="auto"/>
        <w:right w:val="none" w:sz="0" w:space="0" w:color="auto"/>
      </w:divBdr>
    </w:div>
    <w:div w:id="249192736">
      <w:bodyDiv w:val="1"/>
      <w:marLeft w:val="0"/>
      <w:marRight w:val="0"/>
      <w:marTop w:val="0"/>
      <w:marBottom w:val="0"/>
      <w:divBdr>
        <w:top w:val="none" w:sz="0" w:space="0" w:color="auto"/>
        <w:left w:val="none" w:sz="0" w:space="0" w:color="auto"/>
        <w:bottom w:val="none" w:sz="0" w:space="0" w:color="auto"/>
        <w:right w:val="none" w:sz="0" w:space="0" w:color="auto"/>
      </w:divBdr>
    </w:div>
    <w:div w:id="250312885">
      <w:bodyDiv w:val="1"/>
      <w:marLeft w:val="0"/>
      <w:marRight w:val="0"/>
      <w:marTop w:val="0"/>
      <w:marBottom w:val="0"/>
      <w:divBdr>
        <w:top w:val="none" w:sz="0" w:space="0" w:color="auto"/>
        <w:left w:val="none" w:sz="0" w:space="0" w:color="auto"/>
        <w:bottom w:val="none" w:sz="0" w:space="0" w:color="auto"/>
        <w:right w:val="none" w:sz="0" w:space="0" w:color="auto"/>
      </w:divBdr>
    </w:div>
    <w:div w:id="250507504">
      <w:bodyDiv w:val="1"/>
      <w:marLeft w:val="0"/>
      <w:marRight w:val="0"/>
      <w:marTop w:val="0"/>
      <w:marBottom w:val="0"/>
      <w:divBdr>
        <w:top w:val="none" w:sz="0" w:space="0" w:color="auto"/>
        <w:left w:val="none" w:sz="0" w:space="0" w:color="auto"/>
        <w:bottom w:val="none" w:sz="0" w:space="0" w:color="auto"/>
        <w:right w:val="none" w:sz="0" w:space="0" w:color="auto"/>
      </w:divBdr>
    </w:div>
    <w:div w:id="250699956">
      <w:bodyDiv w:val="1"/>
      <w:marLeft w:val="0"/>
      <w:marRight w:val="0"/>
      <w:marTop w:val="0"/>
      <w:marBottom w:val="0"/>
      <w:divBdr>
        <w:top w:val="none" w:sz="0" w:space="0" w:color="auto"/>
        <w:left w:val="none" w:sz="0" w:space="0" w:color="auto"/>
        <w:bottom w:val="none" w:sz="0" w:space="0" w:color="auto"/>
        <w:right w:val="none" w:sz="0" w:space="0" w:color="auto"/>
      </w:divBdr>
    </w:div>
    <w:div w:id="251402739">
      <w:bodyDiv w:val="1"/>
      <w:marLeft w:val="0"/>
      <w:marRight w:val="0"/>
      <w:marTop w:val="0"/>
      <w:marBottom w:val="0"/>
      <w:divBdr>
        <w:top w:val="none" w:sz="0" w:space="0" w:color="auto"/>
        <w:left w:val="none" w:sz="0" w:space="0" w:color="auto"/>
        <w:bottom w:val="none" w:sz="0" w:space="0" w:color="auto"/>
        <w:right w:val="none" w:sz="0" w:space="0" w:color="auto"/>
      </w:divBdr>
    </w:div>
    <w:div w:id="251470128">
      <w:bodyDiv w:val="1"/>
      <w:marLeft w:val="0"/>
      <w:marRight w:val="0"/>
      <w:marTop w:val="0"/>
      <w:marBottom w:val="0"/>
      <w:divBdr>
        <w:top w:val="none" w:sz="0" w:space="0" w:color="auto"/>
        <w:left w:val="none" w:sz="0" w:space="0" w:color="auto"/>
        <w:bottom w:val="none" w:sz="0" w:space="0" w:color="auto"/>
        <w:right w:val="none" w:sz="0" w:space="0" w:color="auto"/>
      </w:divBdr>
    </w:div>
    <w:div w:id="251476040">
      <w:bodyDiv w:val="1"/>
      <w:marLeft w:val="0"/>
      <w:marRight w:val="0"/>
      <w:marTop w:val="0"/>
      <w:marBottom w:val="0"/>
      <w:divBdr>
        <w:top w:val="none" w:sz="0" w:space="0" w:color="auto"/>
        <w:left w:val="none" w:sz="0" w:space="0" w:color="auto"/>
        <w:bottom w:val="none" w:sz="0" w:space="0" w:color="auto"/>
        <w:right w:val="none" w:sz="0" w:space="0" w:color="auto"/>
      </w:divBdr>
    </w:div>
    <w:div w:id="251622469">
      <w:bodyDiv w:val="1"/>
      <w:marLeft w:val="0"/>
      <w:marRight w:val="0"/>
      <w:marTop w:val="0"/>
      <w:marBottom w:val="0"/>
      <w:divBdr>
        <w:top w:val="none" w:sz="0" w:space="0" w:color="auto"/>
        <w:left w:val="none" w:sz="0" w:space="0" w:color="auto"/>
        <w:bottom w:val="none" w:sz="0" w:space="0" w:color="auto"/>
        <w:right w:val="none" w:sz="0" w:space="0" w:color="auto"/>
      </w:divBdr>
      <w:divsChild>
        <w:div w:id="1378816747">
          <w:marLeft w:val="0"/>
          <w:marRight w:val="0"/>
          <w:marTop w:val="0"/>
          <w:marBottom w:val="0"/>
          <w:divBdr>
            <w:top w:val="none" w:sz="0" w:space="0" w:color="auto"/>
            <w:left w:val="none" w:sz="0" w:space="0" w:color="auto"/>
            <w:bottom w:val="none" w:sz="0" w:space="0" w:color="auto"/>
            <w:right w:val="none" w:sz="0" w:space="0" w:color="auto"/>
          </w:divBdr>
        </w:div>
      </w:divsChild>
    </w:div>
    <w:div w:id="251664477">
      <w:bodyDiv w:val="1"/>
      <w:marLeft w:val="0"/>
      <w:marRight w:val="0"/>
      <w:marTop w:val="0"/>
      <w:marBottom w:val="0"/>
      <w:divBdr>
        <w:top w:val="none" w:sz="0" w:space="0" w:color="auto"/>
        <w:left w:val="none" w:sz="0" w:space="0" w:color="auto"/>
        <w:bottom w:val="none" w:sz="0" w:space="0" w:color="auto"/>
        <w:right w:val="none" w:sz="0" w:space="0" w:color="auto"/>
      </w:divBdr>
    </w:div>
    <w:div w:id="251857025">
      <w:bodyDiv w:val="1"/>
      <w:marLeft w:val="0"/>
      <w:marRight w:val="0"/>
      <w:marTop w:val="0"/>
      <w:marBottom w:val="0"/>
      <w:divBdr>
        <w:top w:val="none" w:sz="0" w:space="0" w:color="auto"/>
        <w:left w:val="none" w:sz="0" w:space="0" w:color="auto"/>
        <w:bottom w:val="none" w:sz="0" w:space="0" w:color="auto"/>
        <w:right w:val="none" w:sz="0" w:space="0" w:color="auto"/>
      </w:divBdr>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2445341">
      <w:bodyDiv w:val="1"/>
      <w:marLeft w:val="0"/>
      <w:marRight w:val="0"/>
      <w:marTop w:val="0"/>
      <w:marBottom w:val="0"/>
      <w:divBdr>
        <w:top w:val="none" w:sz="0" w:space="0" w:color="auto"/>
        <w:left w:val="none" w:sz="0" w:space="0" w:color="auto"/>
        <w:bottom w:val="none" w:sz="0" w:space="0" w:color="auto"/>
        <w:right w:val="none" w:sz="0" w:space="0" w:color="auto"/>
      </w:divBdr>
    </w:div>
    <w:div w:id="252668434">
      <w:bodyDiv w:val="1"/>
      <w:marLeft w:val="0"/>
      <w:marRight w:val="0"/>
      <w:marTop w:val="0"/>
      <w:marBottom w:val="0"/>
      <w:divBdr>
        <w:top w:val="none" w:sz="0" w:space="0" w:color="auto"/>
        <w:left w:val="none" w:sz="0" w:space="0" w:color="auto"/>
        <w:bottom w:val="none" w:sz="0" w:space="0" w:color="auto"/>
        <w:right w:val="none" w:sz="0" w:space="0" w:color="auto"/>
      </w:divBdr>
    </w:div>
    <w:div w:id="252670445">
      <w:bodyDiv w:val="1"/>
      <w:marLeft w:val="0"/>
      <w:marRight w:val="0"/>
      <w:marTop w:val="0"/>
      <w:marBottom w:val="0"/>
      <w:divBdr>
        <w:top w:val="none" w:sz="0" w:space="0" w:color="auto"/>
        <w:left w:val="none" w:sz="0" w:space="0" w:color="auto"/>
        <w:bottom w:val="none" w:sz="0" w:space="0" w:color="auto"/>
        <w:right w:val="none" w:sz="0" w:space="0" w:color="auto"/>
      </w:divBdr>
    </w:div>
    <w:div w:id="252782075">
      <w:bodyDiv w:val="1"/>
      <w:marLeft w:val="0"/>
      <w:marRight w:val="0"/>
      <w:marTop w:val="0"/>
      <w:marBottom w:val="0"/>
      <w:divBdr>
        <w:top w:val="none" w:sz="0" w:space="0" w:color="auto"/>
        <w:left w:val="none" w:sz="0" w:space="0" w:color="auto"/>
        <w:bottom w:val="none" w:sz="0" w:space="0" w:color="auto"/>
        <w:right w:val="none" w:sz="0" w:space="0" w:color="auto"/>
      </w:divBdr>
    </w:div>
    <w:div w:id="253247692">
      <w:bodyDiv w:val="1"/>
      <w:marLeft w:val="0"/>
      <w:marRight w:val="0"/>
      <w:marTop w:val="0"/>
      <w:marBottom w:val="0"/>
      <w:divBdr>
        <w:top w:val="none" w:sz="0" w:space="0" w:color="auto"/>
        <w:left w:val="none" w:sz="0" w:space="0" w:color="auto"/>
        <w:bottom w:val="none" w:sz="0" w:space="0" w:color="auto"/>
        <w:right w:val="none" w:sz="0" w:space="0" w:color="auto"/>
      </w:divBdr>
    </w:div>
    <w:div w:id="253440932">
      <w:bodyDiv w:val="1"/>
      <w:marLeft w:val="0"/>
      <w:marRight w:val="0"/>
      <w:marTop w:val="0"/>
      <w:marBottom w:val="0"/>
      <w:divBdr>
        <w:top w:val="none" w:sz="0" w:space="0" w:color="auto"/>
        <w:left w:val="none" w:sz="0" w:space="0" w:color="auto"/>
        <w:bottom w:val="none" w:sz="0" w:space="0" w:color="auto"/>
        <w:right w:val="none" w:sz="0" w:space="0" w:color="auto"/>
      </w:divBdr>
    </w:div>
    <w:div w:id="253587130">
      <w:bodyDiv w:val="1"/>
      <w:marLeft w:val="0"/>
      <w:marRight w:val="0"/>
      <w:marTop w:val="0"/>
      <w:marBottom w:val="0"/>
      <w:divBdr>
        <w:top w:val="none" w:sz="0" w:space="0" w:color="auto"/>
        <w:left w:val="none" w:sz="0" w:space="0" w:color="auto"/>
        <w:bottom w:val="none" w:sz="0" w:space="0" w:color="auto"/>
        <w:right w:val="none" w:sz="0" w:space="0" w:color="auto"/>
      </w:divBdr>
    </w:div>
    <w:div w:id="253632291">
      <w:bodyDiv w:val="1"/>
      <w:marLeft w:val="0"/>
      <w:marRight w:val="0"/>
      <w:marTop w:val="0"/>
      <w:marBottom w:val="0"/>
      <w:divBdr>
        <w:top w:val="none" w:sz="0" w:space="0" w:color="auto"/>
        <w:left w:val="none" w:sz="0" w:space="0" w:color="auto"/>
        <w:bottom w:val="none" w:sz="0" w:space="0" w:color="auto"/>
        <w:right w:val="none" w:sz="0" w:space="0" w:color="auto"/>
      </w:divBdr>
    </w:div>
    <w:div w:id="253636254">
      <w:bodyDiv w:val="1"/>
      <w:marLeft w:val="0"/>
      <w:marRight w:val="0"/>
      <w:marTop w:val="0"/>
      <w:marBottom w:val="0"/>
      <w:divBdr>
        <w:top w:val="none" w:sz="0" w:space="0" w:color="auto"/>
        <w:left w:val="none" w:sz="0" w:space="0" w:color="auto"/>
        <w:bottom w:val="none" w:sz="0" w:space="0" w:color="auto"/>
        <w:right w:val="none" w:sz="0" w:space="0" w:color="auto"/>
      </w:divBdr>
    </w:div>
    <w:div w:id="253637621">
      <w:bodyDiv w:val="1"/>
      <w:marLeft w:val="0"/>
      <w:marRight w:val="0"/>
      <w:marTop w:val="0"/>
      <w:marBottom w:val="0"/>
      <w:divBdr>
        <w:top w:val="none" w:sz="0" w:space="0" w:color="auto"/>
        <w:left w:val="none" w:sz="0" w:space="0" w:color="auto"/>
        <w:bottom w:val="none" w:sz="0" w:space="0" w:color="auto"/>
        <w:right w:val="none" w:sz="0" w:space="0" w:color="auto"/>
      </w:divBdr>
    </w:div>
    <w:div w:id="253781195">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4364070">
      <w:bodyDiv w:val="1"/>
      <w:marLeft w:val="0"/>
      <w:marRight w:val="0"/>
      <w:marTop w:val="0"/>
      <w:marBottom w:val="0"/>
      <w:divBdr>
        <w:top w:val="none" w:sz="0" w:space="0" w:color="auto"/>
        <w:left w:val="none" w:sz="0" w:space="0" w:color="auto"/>
        <w:bottom w:val="none" w:sz="0" w:space="0" w:color="auto"/>
        <w:right w:val="none" w:sz="0" w:space="0" w:color="auto"/>
      </w:divBdr>
    </w:div>
    <w:div w:id="254635233">
      <w:bodyDiv w:val="1"/>
      <w:marLeft w:val="0"/>
      <w:marRight w:val="0"/>
      <w:marTop w:val="0"/>
      <w:marBottom w:val="0"/>
      <w:divBdr>
        <w:top w:val="none" w:sz="0" w:space="0" w:color="auto"/>
        <w:left w:val="none" w:sz="0" w:space="0" w:color="auto"/>
        <w:bottom w:val="none" w:sz="0" w:space="0" w:color="auto"/>
        <w:right w:val="none" w:sz="0" w:space="0" w:color="auto"/>
      </w:divBdr>
    </w:div>
    <w:div w:id="254823450">
      <w:bodyDiv w:val="1"/>
      <w:marLeft w:val="0"/>
      <w:marRight w:val="0"/>
      <w:marTop w:val="0"/>
      <w:marBottom w:val="0"/>
      <w:divBdr>
        <w:top w:val="none" w:sz="0" w:space="0" w:color="auto"/>
        <w:left w:val="none" w:sz="0" w:space="0" w:color="auto"/>
        <w:bottom w:val="none" w:sz="0" w:space="0" w:color="auto"/>
        <w:right w:val="none" w:sz="0" w:space="0" w:color="auto"/>
      </w:divBdr>
    </w:div>
    <w:div w:id="255097426">
      <w:bodyDiv w:val="1"/>
      <w:marLeft w:val="0"/>
      <w:marRight w:val="0"/>
      <w:marTop w:val="0"/>
      <w:marBottom w:val="0"/>
      <w:divBdr>
        <w:top w:val="none" w:sz="0" w:space="0" w:color="auto"/>
        <w:left w:val="none" w:sz="0" w:space="0" w:color="auto"/>
        <w:bottom w:val="none" w:sz="0" w:space="0" w:color="auto"/>
        <w:right w:val="none" w:sz="0" w:space="0" w:color="auto"/>
      </w:divBdr>
    </w:div>
    <w:div w:id="255405596">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5483321">
      <w:bodyDiv w:val="1"/>
      <w:marLeft w:val="0"/>
      <w:marRight w:val="0"/>
      <w:marTop w:val="0"/>
      <w:marBottom w:val="0"/>
      <w:divBdr>
        <w:top w:val="none" w:sz="0" w:space="0" w:color="auto"/>
        <w:left w:val="none" w:sz="0" w:space="0" w:color="auto"/>
        <w:bottom w:val="none" w:sz="0" w:space="0" w:color="auto"/>
        <w:right w:val="none" w:sz="0" w:space="0" w:color="auto"/>
      </w:divBdr>
    </w:div>
    <w:div w:id="255526269">
      <w:bodyDiv w:val="1"/>
      <w:marLeft w:val="0"/>
      <w:marRight w:val="0"/>
      <w:marTop w:val="0"/>
      <w:marBottom w:val="0"/>
      <w:divBdr>
        <w:top w:val="none" w:sz="0" w:space="0" w:color="auto"/>
        <w:left w:val="none" w:sz="0" w:space="0" w:color="auto"/>
        <w:bottom w:val="none" w:sz="0" w:space="0" w:color="auto"/>
        <w:right w:val="none" w:sz="0" w:space="0" w:color="auto"/>
      </w:divBdr>
    </w:div>
    <w:div w:id="255595303">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11862">
      <w:bodyDiv w:val="1"/>
      <w:marLeft w:val="0"/>
      <w:marRight w:val="0"/>
      <w:marTop w:val="0"/>
      <w:marBottom w:val="0"/>
      <w:divBdr>
        <w:top w:val="none" w:sz="0" w:space="0" w:color="auto"/>
        <w:left w:val="none" w:sz="0" w:space="0" w:color="auto"/>
        <w:bottom w:val="none" w:sz="0" w:space="0" w:color="auto"/>
        <w:right w:val="none" w:sz="0" w:space="0" w:color="auto"/>
      </w:divBdr>
    </w:div>
    <w:div w:id="25678792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295233">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7637958">
      <w:bodyDiv w:val="1"/>
      <w:marLeft w:val="0"/>
      <w:marRight w:val="0"/>
      <w:marTop w:val="0"/>
      <w:marBottom w:val="0"/>
      <w:divBdr>
        <w:top w:val="none" w:sz="0" w:space="0" w:color="auto"/>
        <w:left w:val="none" w:sz="0" w:space="0" w:color="auto"/>
        <w:bottom w:val="none" w:sz="0" w:space="0" w:color="auto"/>
        <w:right w:val="none" w:sz="0" w:space="0" w:color="auto"/>
      </w:divBdr>
    </w:div>
    <w:div w:id="258099037">
      <w:bodyDiv w:val="1"/>
      <w:marLeft w:val="0"/>
      <w:marRight w:val="0"/>
      <w:marTop w:val="0"/>
      <w:marBottom w:val="0"/>
      <w:divBdr>
        <w:top w:val="none" w:sz="0" w:space="0" w:color="auto"/>
        <w:left w:val="none" w:sz="0" w:space="0" w:color="auto"/>
        <w:bottom w:val="none" w:sz="0" w:space="0" w:color="auto"/>
        <w:right w:val="none" w:sz="0" w:space="0" w:color="auto"/>
      </w:divBdr>
    </w:div>
    <w:div w:id="258147167">
      <w:bodyDiv w:val="1"/>
      <w:marLeft w:val="0"/>
      <w:marRight w:val="0"/>
      <w:marTop w:val="0"/>
      <w:marBottom w:val="0"/>
      <w:divBdr>
        <w:top w:val="none" w:sz="0" w:space="0" w:color="auto"/>
        <w:left w:val="none" w:sz="0" w:space="0" w:color="auto"/>
        <w:bottom w:val="none" w:sz="0" w:space="0" w:color="auto"/>
        <w:right w:val="none" w:sz="0" w:space="0" w:color="auto"/>
      </w:divBdr>
    </w:div>
    <w:div w:id="258297300">
      <w:bodyDiv w:val="1"/>
      <w:marLeft w:val="0"/>
      <w:marRight w:val="0"/>
      <w:marTop w:val="0"/>
      <w:marBottom w:val="0"/>
      <w:divBdr>
        <w:top w:val="none" w:sz="0" w:space="0" w:color="auto"/>
        <w:left w:val="none" w:sz="0" w:space="0" w:color="auto"/>
        <w:bottom w:val="none" w:sz="0" w:space="0" w:color="auto"/>
        <w:right w:val="none" w:sz="0" w:space="0" w:color="auto"/>
      </w:divBdr>
    </w:div>
    <w:div w:id="258373309">
      <w:bodyDiv w:val="1"/>
      <w:marLeft w:val="0"/>
      <w:marRight w:val="0"/>
      <w:marTop w:val="0"/>
      <w:marBottom w:val="0"/>
      <w:divBdr>
        <w:top w:val="none" w:sz="0" w:space="0" w:color="auto"/>
        <w:left w:val="none" w:sz="0" w:space="0" w:color="auto"/>
        <w:bottom w:val="none" w:sz="0" w:space="0" w:color="auto"/>
        <w:right w:val="none" w:sz="0" w:space="0" w:color="auto"/>
      </w:divBdr>
    </w:div>
    <w:div w:id="258562977">
      <w:bodyDiv w:val="1"/>
      <w:marLeft w:val="0"/>
      <w:marRight w:val="0"/>
      <w:marTop w:val="0"/>
      <w:marBottom w:val="0"/>
      <w:divBdr>
        <w:top w:val="none" w:sz="0" w:space="0" w:color="auto"/>
        <w:left w:val="none" w:sz="0" w:space="0" w:color="auto"/>
        <w:bottom w:val="none" w:sz="0" w:space="0" w:color="auto"/>
        <w:right w:val="none" w:sz="0" w:space="0" w:color="auto"/>
      </w:divBdr>
    </w:div>
    <w:div w:id="259030948">
      <w:bodyDiv w:val="1"/>
      <w:marLeft w:val="0"/>
      <w:marRight w:val="0"/>
      <w:marTop w:val="0"/>
      <w:marBottom w:val="0"/>
      <w:divBdr>
        <w:top w:val="none" w:sz="0" w:space="0" w:color="auto"/>
        <w:left w:val="none" w:sz="0" w:space="0" w:color="auto"/>
        <w:bottom w:val="none" w:sz="0" w:space="0" w:color="auto"/>
        <w:right w:val="none" w:sz="0" w:space="0" w:color="auto"/>
      </w:divBdr>
    </w:div>
    <w:div w:id="259065837">
      <w:bodyDiv w:val="1"/>
      <w:marLeft w:val="0"/>
      <w:marRight w:val="0"/>
      <w:marTop w:val="0"/>
      <w:marBottom w:val="0"/>
      <w:divBdr>
        <w:top w:val="none" w:sz="0" w:space="0" w:color="auto"/>
        <w:left w:val="none" w:sz="0" w:space="0" w:color="auto"/>
        <w:bottom w:val="none" w:sz="0" w:space="0" w:color="auto"/>
        <w:right w:val="none" w:sz="0" w:space="0" w:color="auto"/>
      </w:divBdr>
    </w:div>
    <w:div w:id="259067287">
      <w:bodyDiv w:val="1"/>
      <w:marLeft w:val="0"/>
      <w:marRight w:val="0"/>
      <w:marTop w:val="0"/>
      <w:marBottom w:val="0"/>
      <w:divBdr>
        <w:top w:val="none" w:sz="0" w:space="0" w:color="auto"/>
        <w:left w:val="none" w:sz="0" w:space="0" w:color="auto"/>
        <w:bottom w:val="none" w:sz="0" w:space="0" w:color="auto"/>
        <w:right w:val="none" w:sz="0" w:space="0" w:color="auto"/>
      </w:divBdr>
    </w:div>
    <w:div w:id="259069028">
      <w:bodyDiv w:val="1"/>
      <w:marLeft w:val="0"/>
      <w:marRight w:val="0"/>
      <w:marTop w:val="0"/>
      <w:marBottom w:val="0"/>
      <w:divBdr>
        <w:top w:val="none" w:sz="0" w:space="0" w:color="auto"/>
        <w:left w:val="none" w:sz="0" w:space="0" w:color="auto"/>
        <w:bottom w:val="none" w:sz="0" w:space="0" w:color="auto"/>
        <w:right w:val="none" w:sz="0" w:space="0" w:color="auto"/>
      </w:divBdr>
    </w:div>
    <w:div w:id="259221135">
      <w:bodyDiv w:val="1"/>
      <w:marLeft w:val="0"/>
      <w:marRight w:val="0"/>
      <w:marTop w:val="0"/>
      <w:marBottom w:val="0"/>
      <w:divBdr>
        <w:top w:val="none" w:sz="0" w:space="0" w:color="auto"/>
        <w:left w:val="none" w:sz="0" w:space="0" w:color="auto"/>
        <w:bottom w:val="none" w:sz="0" w:space="0" w:color="auto"/>
        <w:right w:val="none" w:sz="0" w:space="0" w:color="auto"/>
      </w:divBdr>
    </w:div>
    <w:div w:id="259458677">
      <w:bodyDiv w:val="1"/>
      <w:marLeft w:val="0"/>
      <w:marRight w:val="0"/>
      <w:marTop w:val="0"/>
      <w:marBottom w:val="0"/>
      <w:divBdr>
        <w:top w:val="none" w:sz="0" w:space="0" w:color="auto"/>
        <w:left w:val="none" w:sz="0" w:space="0" w:color="auto"/>
        <w:bottom w:val="none" w:sz="0" w:space="0" w:color="auto"/>
        <w:right w:val="none" w:sz="0" w:space="0" w:color="auto"/>
      </w:divBdr>
    </w:div>
    <w:div w:id="259531156">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59921222">
      <w:bodyDiv w:val="1"/>
      <w:marLeft w:val="0"/>
      <w:marRight w:val="0"/>
      <w:marTop w:val="0"/>
      <w:marBottom w:val="0"/>
      <w:divBdr>
        <w:top w:val="none" w:sz="0" w:space="0" w:color="auto"/>
        <w:left w:val="none" w:sz="0" w:space="0" w:color="auto"/>
        <w:bottom w:val="none" w:sz="0" w:space="0" w:color="auto"/>
        <w:right w:val="none" w:sz="0" w:space="0" w:color="auto"/>
      </w:divBdr>
    </w:div>
    <w:div w:id="259993560">
      <w:bodyDiv w:val="1"/>
      <w:marLeft w:val="0"/>
      <w:marRight w:val="0"/>
      <w:marTop w:val="0"/>
      <w:marBottom w:val="0"/>
      <w:divBdr>
        <w:top w:val="none" w:sz="0" w:space="0" w:color="auto"/>
        <w:left w:val="none" w:sz="0" w:space="0" w:color="auto"/>
        <w:bottom w:val="none" w:sz="0" w:space="0" w:color="auto"/>
        <w:right w:val="none" w:sz="0" w:space="0" w:color="auto"/>
      </w:divBdr>
    </w:div>
    <w:div w:id="260332945">
      <w:bodyDiv w:val="1"/>
      <w:marLeft w:val="0"/>
      <w:marRight w:val="0"/>
      <w:marTop w:val="0"/>
      <w:marBottom w:val="0"/>
      <w:divBdr>
        <w:top w:val="none" w:sz="0" w:space="0" w:color="auto"/>
        <w:left w:val="none" w:sz="0" w:space="0" w:color="auto"/>
        <w:bottom w:val="none" w:sz="0" w:space="0" w:color="auto"/>
        <w:right w:val="none" w:sz="0" w:space="0" w:color="auto"/>
      </w:divBdr>
    </w:div>
    <w:div w:id="260530621">
      <w:bodyDiv w:val="1"/>
      <w:marLeft w:val="0"/>
      <w:marRight w:val="0"/>
      <w:marTop w:val="0"/>
      <w:marBottom w:val="0"/>
      <w:divBdr>
        <w:top w:val="none" w:sz="0" w:space="0" w:color="auto"/>
        <w:left w:val="none" w:sz="0" w:space="0" w:color="auto"/>
        <w:bottom w:val="none" w:sz="0" w:space="0" w:color="auto"/>
        <w:right w:val="none" w:sz="0" w:space="0" w:color="auto"/>
      </w:divBdr>
    </w:div>
    <w:div w:id="260647367">
      <w:bodyDiv w:val="1"/>
      <w:marLeft w:val="0"/>
      <w:marRight w:val="0"/>
      <w:marTop w:val="0"/>
      <w:marBottom w:val="0"/>
      <w:divBdr>
        <w:top w:val="none" w:sz="0" w:space="0" w:color="auto"/>
        <w:left w:val="none" w:sz="0" w:space="0" w:color="auto"/>
        <w:bottom w:val="none" w:sz="0" w:space="0" w:color="auto"/>
        <w:right w:val="none" w:sz="0" w:space="0" w:color="auto"/>
      </w:divBdr>
    </w:div>
    <w:div w:id="260771115">
      <w:bodyDiv w:val="1"/>
      <w:marLeft w:val="0"/>
      <w:marRight w:val="0"/>
      <w:marTop w:val="0"/>
      <w:marBottom w:val="0"/>
      <w:divBdr>
        <w:top w:val="none" w:sz="0" w:space="0" w:color="auto"/>
        <w:left w:val="none" w:sz="0" w:space="0" w:color="auto"/>
        <w:bottom w:val="none" w:sz="0" w:space="0" w:color="auto"/>
        <w:right w:val="none" w:sz="0" w:space="0" w:color="auto"/>
      </w:divBdr>
    </w:div>
    <w:div w:id="261227431">
      <w:bodyDiv w:val="1"/>
      <w:marLeft w:val="0"/>
      <w:marRight w:val="0"/>
      <w:marTop w:val="0"/>
      <w:marBottom w:val="0"/>
      <w:divBdr>
        <w:top w:val="none" w:sz="0" w:space="0" w:color="auto"/>
        <w:left w:val="none" w:sz="0" w:space="0" w:color="auto"/>
        <w:bottom w:val="none" w:sz="0" w:space="0" w:color="auto"/>
        <w:right w:val="none" w:sz="0" w:space="0" w:color="auto"/>
      </w:divBdr>
    </w:div>
    <w:div w:id="261228092">
      <w:bodyDiv w:val="1"/>
      <w:marLeft w:val="0"/>
      <w:marRight w:val="0"/>
      <w:marTop w:val="0"/>
      <w:marBottom w:val="0"/>
      <w:divBdr>
        <w:top w:val="none" w:sz="0" w:space="0" w:color="auto"/>
        <w:left w:val="none" w:sz="0" w:space="0" w:color="auto"/>
        <w:bottom w:val="none" w:sz="0" w:space="0" w:color="auto"/>
        <w:right w:val="none" w:sz="0" w:space="0" w:color="auto"/>
      </w:divBdr>
    </w:div>
    <w:div w:id="261301768">
      <w:bodyDiv w:val="1"/>
      <w:marLeft w:val="0"/>
      <w:marRight w:val="0"/>
      <w:marTop w:val="0"/>
      <w:marBottom w:val="0"/>
      <w:divBdr>
        <w:top w:val="none" w:sz="0" w:space="0" w:color="auto"/>
        <w:left w:val="none" w:sz="0" w:space="0" w:color="auto"/>
        <w:bottom w:val="none" w:sz="0" w:space="0" w:color="auto"/>
        <w:right w:val="none" w:sz="0" w:space="0" w:color="auto"/>
      </w:divBdr>
    </w:div>
    <w:div w:id="262422593">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2955380">
      <w:bodyDiv w:val="1"/>
      <w:marLeft w:val="0"/>
      <w:marRight w:val="0"/>
      <w:marTop w:val="0"/>
      <w:marBottom w:val="0"/>
      <w:divBdr>
        <w:top w:val="none" w:sz="0" w:space="0" w:color="auto"/>
        <w:left w:val="none" w:sz="0" w:space="0" w:color="auto"/>
        <w:bottom w:val="none" w:sz="0" w:space="0" w:color="auto"/>
        <w:right w:val="none" w:sz="0" w:space="0" w:color="auto"/>
      </w:divBdr>
    </w:div>
    <w:div w:id="263194900">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4507962">
      <w:bodyDiv w:val="1"/>
      <w:marLeft w:val="0"/>
      <w:marRight w:val="0"/>
      <w:marTop w:val="0"/>
      <w:marBottom w:val="0"/>
      <w:divBdr>
        <w:top w:val="none" w:sz="0" w:space="0" w:color="auto"/>
        <w:left w:val="none" w:sz="0" w:space="0" w:color="auto"/>
        <w:bottom w:val="none" w:sz="0" w:space="0" w:color="auto"/>
        <w:right w:val="none" w:sz="0" w:space="0" w:color="auto"/>
      </w:divBdr>
    </w:div>
    <w:div w:id="264535254">
      <w:bodyDiv w:val="1"/>
      <w:marLeft w:val="0"/>
      <w:marRight w:val="0"/>
      <w:marTop w:val="0"/>
      <w:marBottom w:val="0"/>
      <w:divBdr>
        <w:top w:val="none" w:sz="0" w:space="0" w:color="auto"/>
        <w:left w:val="none" w:sz="0" w:space="0" w:color="auto"/>
        <w:bottom w:val="none" w:sz="0" w:space="0" w:color="auto"/>
        <w:right w:val="none" w:sz="0" w:space="0" w:color="auto"/>
      </w:divBdr>
    </w:div>
    <w:div w:id="265163674">
      <w:bodyDiv w:val="1"/>
      <w:marLeft w:val="0"/>
      <w:marRight w:val="0"/>
      <w:marTop w:val="0"/>
      <w:marBottom w:val="0"/>
      <w:divBdr>
        <w:top w:val="none" w:sz="0" w:space="0" w:color="auto"/>
        <w:left w:val="none" w:sz="0" w:space="0" w:color="auto"/>
        <w:bottom w:val="none" w:sz="0" w:space="0" w:color="auto"/>
        <w:right w:val="none" w:sz="0" w:space="0" w:color="auto"/>
      </w:divBdr>
    </w:div>
    <w:div w:id="265313159">
      <w:bodyDiv w:val="1"/>
      <w:marLeft w:val="0"/>
      <w:marRight w:val="0"/>
      <w:marTop w:val="0"/>
      <w:marBottom w:val="0"/>
      <w:divBdr>
        <w:top w:val="none" w:sz="0" w:space="0" w:color="auto"/>
        <w:left w:val="none" w:sz="0" w:space="0" w:color="auto"/>
        <w:bottom w:val="none" w:sz="0" w:space="0" w:color="auto"/>
        <w:right w:val="none" w:sz="0" w:space="0" w:color="auto"/>
      </w:divBdr>
    </w:div>
    <w:div w:id="265701598">
      <w:bodyDiv w:val="1"/>
      <w:marLeft w:val="0"/>
      <w:marRight w:val="0"/>
      <w:marTop w:val="0"/>
      <w:marBottom w:val="0"/>
      <w:divBdr>
        <w:top w:val="none" w:sz="0" w:space="0" w:color="auto"/>
        <w:left w:val="none" w:sz="0" w:space="0" w:color="auto"/>
        <w:bottom w:val="none" w:sz="0" w:space="0" w:color="auto"/>
        <w:right w:val="none" w:sz="0" w:space="0" w:color="auto"/>
      </w:divBdr>
    </w:div>
    <w:div w:id="265815396">
      <w:bodyDiv w:val="1"/>
      <w:marLeft w:val="0"/>
      <w:marRight w:val="0"/>
      <w:marTop w:val="0"/>
      <w:marBottom w:val="0"/>
      <w:divBdr>
        <w:top w:val="none" w:sz="0" w:space="0" w:color="auto"/>
        <w:left w:val="none" w:sz="0" w:space="0" w:color="auto"/>
        <w:bottom w:val="none" w:sz="0" w:space="0" w:color="auto"/>
        <w:right w:val="none" w:sz="0" w:space="0" w:color="auto"/>
      </w:divBdr>
    </w:div>
    <w:div w:id="265816861">
      <w:bodyDiv w:val="1"/>
      <w:marLeft w:val="0"/>
      <w:marRight w:val="0"/>
      <w:marTop w:val="0"/>
      <w:marBottom w:val="0"/>
      <w:divBdr>
        <w:top w:val="none" w:sz="0" w:space="0" w:color="auto"/>
        <w:left w:val="none" w:sz="0" w:space="0" w:color="auto"/>
        <w:bottom w:val="none" w:sz="0" w:space="0" w:color="auto"/>
        <w:right w:val="none" w:sz="0" w:space="0" w:color="auto"/>
      </w:divBdr>
    </w:div>
    <w:div w:id="266158238">
      <w:bodyDiv w:val="1"/>
      <w:marLeft w:val="0"/>
      <w:marRight w:val="0"/>
      <w:marTop w:val="0"/>
      <w:marBottom w:val="0"/>
      <w:divBdr>
        <w:top w:val="none" w:sz="0" w:space="0" w:color="auto"/>
        <w:left w:val="none" w:sz="0" w:space="0" w:color="auto"/>
        <w:bottom w:val="none" w:sz="0" w:space="0" w:color="auto"/>
        <w:right w:val="none" w:sz="0" w:space="0" w:color="auto"/>
      </w:divBdr>
    </w:div>
    <w:div w:id="266276769">
      <w:bodyDiv w:val="1"/>
      <w:marLeft w:val="0"/>
      <w:marRight w:val="0"/>
      <w:marTop w:val="0"/>
      <w:marBottom w:val="0"/>
      <w:divBdr>
        <w:top w:val="none" w:sz="0" w:space="0" w:color="auto"/>
        <w:left w:val="none" w:sz="0" w:space="0" w:color="auto"/>
        <w:bottom w:val="none" w:sz="0" w:space="0" w:color="auto"/>
        <w:right w:val="none" w:sz="0" w:space="0" w:color="auto"/>
      </w:divBdr>
    </w:div>
    <w:div w:id="266696225">
      <w:bodyDiv w:val="1"/>
      <w:marLeft w:val="0"/>
      <w:marRight w:val="0"/>
      <w:marTop w:val="0"/>
      <w:marBottom w:val="0"/>
      <w:divBdr>
        <w:top w:val="none" w:sz="0" w:space="0" w:color="auto"/>
        <w:left w:val="none" w:sz="0" w:space="0" w:color="auto"/>
        <w:bottom w:val="none" w:sz="0" w:space="0" w:color="auto"/>
        <w:right w:val="none" w:sz="0" w:space="0" w:color="auto"/>
      </w:divBdr>
    </w:div>
    <w:div w:id="266928804">
      <w:bodyDiv w:val="1"/>
      <w:marLeft w:val="0"/>
      <w:marRight w:val="0"/>
      <w:marTop w:val="0"/>
      <w:marBottom w:val="0"/>
      <w:divBdr>
        <w:top w:val="none" w:sz="0" w:space="0" w:color="auto"/>
        <w:left w:val="none" w:sz="0" w:space="0" w:color="auto"/>
        <w:bottom w:val="none" w:sz="0" w:space="0" w:color="auto"/>
        <w:right w:val="none" w:sz="0" w:space="0" w:color="auto"/>
      </w:divBdr>
    </w:div>
    <w:div w:id="267083491">
      <w:bodyDiv w:val="1"/>
      <w:marLeft w:val="0"/>
      <w:marRight w:val="0"/>
      <w:marTop w:val="0"/>
      <w:marBottom w:val="0"/>
      <w:divBdr>
        <w:top w:val="none" w:sz="0" w:space="0" w:color="auto"/>
        <w:left w:val="none" w:sz="0" w:space="0" w:color="auto"/>
        <w:bottom w:val="none" w:sz="0" w:space="0" w:color="auto"/>
        <w:right w:val="none" w:sz="0" w:space="0" w:color="auto"/>
      </w:divBdr>
    </w:div>
    <w:div w:id="267277394">
      <w:bodyDiv w:val="1"/>
      <w:marLeft w:val="0"/>
      <w:marRight w:val="0"/>
      <w:marTop w:val="0"/>
      <w:marBottom w:val="0"/>
      <w:divBdr>
        <w:top w:val="none" w:sz="0" w:space="0" w:color="auto"/>
        <w:left w:val="none" w:sz="0" w:space="0" w:color="auto"/>
        <w:bottom w:val="none" w:sz="0" w:space="0" w:color="auto"/>
        <w:right w:val="none" w:sz="0" w:space="0" w:color="auto"/>
      </w:divBdr>
    </w:div>
    <w:div w:id="267398052">
      <w:bodyDiv w:val="1"/>
      <w:marLeft w:val="0"/>
      <w:marRight w:val="0"/>
      <w:marTop w:val="0"/>
      <w:marBottom w:val="0"/>
      <w:divBdr>
        <w:top w:val="none" w:sz="0" w:space="0" w:color="auto"/>
        <w:left w:val="none" w:sz="0" w:space="0" w:color="auto"/>
        <w:bottom w:val="none" w:sz="0" w:space="0" w:color="auto"/>
        <w:right w:val="none" w:sz="0" w:space="0" w:color="auto"/>
      </w:divBdr>
    </w:div>
    <w:div w:id="267541979">
      <w:bodyDiv w:val="1"/>
      <w:marLeft w:val="0"/>
      <w:marRight w:val="0"/>
      <w:marTop w:val="0"/>
      <w:marBottom w:val="0"/>
      <w:divBdr>
        <w:top w:val="none" w:sz="0" w:space="0" w:color="auto"/>
        <w:left w:val="none" w:sz="0" w:space="0" w:color="auto"/>
        <w:bottom w:val="none" w:sz="0" w:space="0" w:color="auto"/>
        <w:right w:val="none" w:sz="0" w:space="0" w:color="auto"/>
      </w:divBdr>
    </w:div>
    <w:div w:id="267740685">
      <w:bodyDiv w:val="1"/>
      <w:marLeft w:val="0"/>
      <w:marRight w:val="0"/>
      <w:marTop w:val="0"/>
      <w:marBottom w:val="0"/>
      <w:divBdr>
        <w:top w:val="none" w:sz="0" w:space="0" w:color="auto"/>
        <w:left w:val="none" w:sz="0" w:space="0" w:color="auto"/>
        <w:bottom w:val="none" w:sz="0" w:space="0" w:color="auto"/>
        <w:right w:val="none" w:sz="0" w:space="0" w:color="auto"/>
      </w:divBdr>
    </w:div>
    <w:div w:id="268395432">
      <w:bodyDiv w:val="1"/>
      <w:marLeft w:val="0"/>
      <w:marRight w:val="0"/>
      <w:marTop w:val="0"/>
      <w:marBottom w:val="0"/>
      <w:divBdr>
        <w:top w:val="none" w:sz="0" w:space="0" w:color="auto"/>
        <w:left w:val="none" w:sz="0" w:space="0" w:color="auto"/>
        <w:bottom w:val="none" w:sz="0" w:space="0" w:color="auto"/>
        <w:right w:val="none" w:sz="0" w:space="0" w:color="auto"/>
      </w:divBdr>
    </w:div>
    <w:div w:id="268902422">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69168574">
      <w:bodyDiv w:val="1"/>
      <w:marLeft w:val="0"/>
      <w:marRight w:val="0"/>
      <w:marTop w:val="0"/>
      <w:marBottom w:val="0"/>
      <w:divBdr>
        <w:top w:val="none" w:sz="0" w:space="0" w:color="auto"/>
        <w:left w:val="none" w:sz="0" w:space="0" w:color="auto"/>
        <w:bottom w:val="none" w:sz="0" w:space="0" w:color="auto"/>
        <w:right w:val="none" w:sz="0" w:space="0" w:color="auto"/>
      </w:divBdr>
    </w:div>
    <w:div w:id="269239894">
      <w:bodyDiv w:val="1"/>
      <w:marLeft w:val="0"/>
      <w:marRight w:val="0"/>
      <w:marTop w:val="0"/>
      <w:marBottom w:val="0"/>
      <w:divBdr>
        <w:top w:val="none" w:sz="0" w:space="0" w:color="auto"/>
        <w:left w:val="none" w:sz="0" w:space="0" w:color="auto"/>
        <w:bottom w:val="none" w:sz="0" w:space="0" w:color="auto"/>
        <w:right w:val="none" w:sz="0" w:space="0" w:color="auto"/>
      </w:divBdr>
    </w:div>
    <w:div w:id="269436970">
      <w:bodyDiv w:val="1"/>
      <w:marLeft w:val="0"/>
      <w:marRight w:val="0"/>
      <w:marTop w:val="0"/>
      <w:marBottom w:val="0"/>
      <w:divBdr>
        <w:top w:val="none" w:sz="0" w:space="0" w:color="auto"/>
        <w:left w:val="none" w:sz="0" w:space="0" w:color="auto"/>
        <w:bottom w:val="none" w:sz="0" w:space="0" w:color="auto"/>
        <w:right w:val="none" w:sz="0" w:space="0" w:color="auto"/>
      </w:divBdr>
    </w:div>
    <w:div w:id="269513104">
      <w:bodyDiv w:val="1"/>
      <w:marLeft w:val="0"/>
      <w:marRight w:val="0"/>
      <w:marTop w:val="0"/>
      <w:marBottom w:val="0"/>
      <w:divBdr>
        <w:top w:val="none" w:sz="0" w:space="0" w:color="auto"/>
        <w:left w:val="none" w:sz="0" w:space="0" w:color="auto"/>
        <w:bottom w:val="none" w:sz="0" w:space="0" w:color="auto"/>
        <w:right w:val="none" w:sz="0" w:space="0" w:color="auto"/>
      </w:divBdr>
    </w:div>
    <w:div w:id="269969562">
      <w:bodyDiv w:val="1"/>
      <w:marLeft w:val="0"/>
      <w:marRight w:val="0"/>
      <w:marTop w:val="0"/>
      <w:marBottom w:val="0"/>
      <w:divBdr>
        <w:top w:val="none" w:sz="0" w:space="0" w:color="auto"/>
        <w:left w:val="none" w:sz="0" w:space="0" w:color="auto"/>
        <w:bottom w:val="none" w:sz="0" w:space="0" w:color="auto"/>
        <w:right w:val="none" w:sz="0" w:space="0" w:color="auto"/>
      </w:divBdr>
    </w:div>
    <w:div w:id="270095555">
      <w:bodyDiv w:val="1"/>
      <w:marLeft w:val="0"/>
      <w:marRight w:val="0"/>
      <w:marTop w:val="0"/>
      <w:marBottom w:val="0"/>
      <w:divBdr>
        <w:top w:val="none" w:sz="0" w:space="0" w:color="auto"/>
        <w:left w:val="none" w:sz="0" w:space="0" w:color="auto"/>
        <w:bottom w:val="none" w:sz="0" w:space="0" w:color="auto"/>
        <w:right w:val="none" w:sz="0" w:space="0" w:color="auto"/>
      </w:divBdr>
    </w:div>
    <w:div w:id="270402911">
      <w:bodyDiv w:val="1"/>
      <w:marLeft w:val="0"/>
      <w:marRight w:val="0"/>
      <w:marTop w:val="0"/>
      <w:marBottom w:val="0"/>
      <w:divBdr>
        <w:top w:val="none" w:sz="0" w:space="0" w:color="auto"/>
        <w:left w:val="none" w:sz="0" w:space="0" w:color="auto"/>
        <w:bottom w:val="none" w:sz="0" w:space="0" w:color="auto"/>
        <w:right w:val="none" w:sz="0" w:space="0" w:color="auto"/>
      </w:divBdr>
    </w:div>
    <w:div w:id="270745732">
      <w:bodyDiv w:val="1"/>
      <w:marLeft w:val="0"/>
      <w:marRight w:val="0"/>
      <w:marTop w:val="0"/>
      <w:marBottom w:val="0"/>
      <w:divBdr>
        <w:top w:val="none" w:sz="0" w:space="0" w:color="auto"/>
        <w:left w:val="none" w:sz="0" w:space="0" w:color="auto"/>
        <w:bottom w:val="none" w:sz="0" w:space="0" w:color="auto"/>
        <w:right w:val="none" w:sz="0" w:space="0" w:color="auto"/>
      </w:divBdr>
    </w:div>
    <w:div w:id="271016996">
      <w:bodyDiv w:val="1"/>
      <w:marLeft w:val="0"/>
      <w:marRight w:val="0"/>
      <w:marTop w:val="0"/>
      <w:marBottom w:val="0"/>
      <w:divBdr>
        <w:top w:val="none" w:sz="0" w:space="0" w:color="auto"/>
        <w:left w:val="none" w:sz="0" w:space="0" w:color="auto"/>
        <w:bottom w:val="none" w:sz="0" w:space="0" w:color="auto"/>
        <w:right w:val="none" w:sz="0" w:space="0" w:color="auto"/>
      </w:divBdr>
    </w:div>
    <w:div w:id="271397009">
      <w:bodyDiv w:val="1"/>
      <w:marLeft w:val="0"/>
      <w:marRight w:val="0"/>
      <w:marTop w:val="0"/>
      <w:marBottom w:val="0"/>
      <w:divBdr>
        <w:top w:val="none" w:sz="0" w:space="0" w:color="auto"/>
        <w:left w:val="none" w:sz="0" w:space="0" w:color="auto"/>
        <w:bottom w:val="none" w:sz="0" w:space="0" w:color="auto"/>
        <w:right w:val="none" w:sz="0" w:space="0" w:color="auto"/>
      </w:divBdr>
    </w:div>
    <w:div w:id="271403989">
      <w:bodyDiv w:val="1"/>
      <w:marLeft w:val="0"/>
      <w:marRight w:val="0"/>
      <w:marTop w:val="0"/>
      <w:marBottom w:val="0"/>
      <w:divBdr>
        <w:top w:val="none" w:sz="0" w:space="0" w:color="auto"/>
        <w:left w:val="none" w:sz="0" w:space="0" w:color="auto"/>
        <w:bottom w:val="none" w:sz="0" w:space="0" w:color="auto"/>
        <w:right w:val="none" w:sz="0" w:space="0" w:color="auto"/>
      </w:divBdr>
    </w:div>
    <w:div w:id="271594212">
      <w:bodyDiv w:val="1"/>
      <w:marLeft w:val="0"/>
      <w:marRight w:val="0"/>
      <w:marTop w:val="0"/>
      <w:marBottom w:val="0"/>
      <w:divBdr>
        <w:top w:val="none" w:sz="0" w:space="0" w:color="auto"/>
        <w:left w:val="none" w:sz="0" w:space="0" w:color="auto"/>
        <w:bottom w:val="none" w:sz="0" w:space="0" w:color="auto"/>
        <w:right w:val="none" w:sz="0" w:space="0" w:color="auto"/>
      </w:divBdr>
    </w:div>
    <w:div w:id="271741517">
      <w:bodyDiv w:val="1"/>
      <w:marLeft w:val="0"/>
      <w:marRight w:val="0"/>
      <w:marTop w:val="0"/>
      <w:marBottom w:val="0"/>
      <w:divBdr>
        <w:top w:val="none" w:sz="0" w:space="0" w:color="auto"/>
        <w:left w:val="none" w:sz="0" w:space="0" w:color="auto"/>
        <w:bottom w:val="none" w:sz="0" w:space="0" w:color="auto"/>
        <w:right w:val="none" w:sz="0" w:space="0" w:color="auto"/>
      </w:divBdr>
    </w:div>
    <w:div w:id="271743956">
      <w:bodyDiv w:val="1"/>
      <w:marLeft w:val="0"/>
      <w:marRight w:val="0"/>
      <w:marTop w:val="0"/>
      <w:marBottom w:val="0"/>
      <w:divBdr>
        <w:top w:val="none" w:sz="0" w:space="0" w:color="auto"/>
        <w:left w:val="none" w:sz="0" w:space="0" w:color="auto"/>
        <w:bottom w:val="none" w:sz="0" w:space="0" w:color="auto"/>
        <w:right w:val="none" w:sz="0" w:space="0" w:color="auto"/>
      </w:divBdr>
    </w:div>
    <w:div w:id="271982645">
      <w:bodyDiv w:val="1"/>
      <w:marLeft w:val="0"/>
      <w:marRight w:val="0"/>
      <w:marTop w:val="0"/>
      <w:marBottom w:val="0"/>
      <w:divBdr>
        <w:top w:val="none" w:sz="0" w:space="0" w:color="auto"/>
        <w:left w:val="none" w:sz="0" w:space="0" w:color="auto"/>
        <w:bottom w:val="none" w:sz="0" w:space="0" w:color="auto"/>
        <w:right w:val="none" w:sz="0" w:space="0" w:color="auto"/>
      </w:divBdr>
    </w:div>
    <w:div w:id="272983139">
      <w:bodyDiv w:val="1"/>
      <w:marLeft w:val="0"/>
      <w:marRight w:val="0"/>
      <w:marTop w:val="0"/>
      <w:marBottom w:val="0"/>
      <w:divBdr>
        <w:top w:val="none" w:sz="0" w:space="0" w:color="auto"/>
        <w:left w:val="none" w:sz="0" w:space="0" w:color="auto"/>
        <w:bottom w:val="none" w:sz="0" w:space="0" w:color="auto"/>
        <w:right w:val="none" w:sz="0" w:space="0" w:color="auto"/>
      </w:divBdr>
    </w:div>
    <w:div w:id="273171229">
      <w:bodyDiv w:val="1"/>
      <w:marLeft w:val="0"/>
      <w:marRight w:val="0"/>
      <w:marTop w:val="0"/>
      <w:marBottom w:val="0"/>
      <w:divBdr>
        <w:top w:val="none" w:sz="0" w:space="0" w:color="auto"/>
        <w:left w:val="none" w:sz="0" w:space="0" w:color="auto"/>
        <w:bottom w:val="none" w:sz="0" w:space="0" w:color="auto"/>
        <w:right w:val="none" w:sz="0" w:space="0" w:color="auto"/>
      </w:divBdr>
    </w:div>
    <w:div w:id="273483074">
      <w:bodyDiv w:val="1"/>
      <w:marLeft w:val="0"/>
      <w:marRight w:val="0"/>
      <w:marTop w:val="0"/>
      <w:marBottom w:val="0"/>
      <w:divBdr>
        <w:top w:val="none" w:sz="0" w:space="0" w:color="auto"/>
        <w:left w:val="none" w:sz="0" w:space="0" w:color="auto"/>
        <w:bottom w:val="none" w:sz="0" w:space="0" w:color="auto"/>
        <w:right w:val="none" w:sz="0" w:space="0" w:color="auto"/>
      </w:divBdr>
    </w:div>
    <w:div w:id="273488234">
      <w:bodyDiv w:val="1"/>
      <w:marLeft w:val="0"/>
      <w:marRight w:val="0"/>
      <w:marTop w:val="0"/>
      <w:marBottom w:val="0"/>
      <w:divBdr>
        <w:top w:val="none" w:sz="0" w:space="0" w:color="auto"/>
        <w:left w:val="none" w:sz="0" w:space="0" w:color="auto"/>
        <w:bottom w:val="none" w:sz="0" w:space="0" w:color="auto"/>
        <w:right w:val="none" w:sz="0" w:space="0" w:color="auto"/>
      </w:divBdr>
    </w:div>
    <w:div w:id="273630915">
      <w:bodyDiv w:val="1"/>
      <w:marLeft w:val="0"/>
      <w:marRight w:val="0"/>
      <w:marTop w:val="0"/>
      <w:marBottom w:val="0"/>
      <w:divBdr>
        <w:top w:val="none" w:sz="0" w:space="0" w:color="auto"/>
        <w:left w:val="none" w:sz="0" w:space="0" w:color="auto"/>
        <w:bottom w:val="none" w:sz="0" w:space="0" w:color="auto"/>
        <w:right w:val="none" w:sz="0" w:space="0" w:color="auto"/>
      </w:divBdr>
    </w:div>
    <w:div w:id="273679303">
      <w:bodyDiv w:val="1"/>
      <w:marLeft w:val="0"/>
      <w:marRight w:val="0"/>
      <w:marTop w:val="0"/>
      <w:marBottom w:val="0"/>
      <w:divBdr>
        <w:top w:val="none" w:sz="0" w:space="0" w:color="auto"/>
        <w:left w:val="none" w:sz="0" w:space="0" w:color="auto"/>
        <w:bottom w:val="none" w:sz="0" w:space="0" w:color="auto"/>
        <w:right w:val="none" w:sz="0" w:space="0" w:color="auto"/>
      </w:divBdr>
    </w:div>
    <w:div w:id="273708954">
      <w:bodyDiv w:val="1"/>
      <w:marLeft w:val="0"/>
      <w:marRight w:val="0"/>
      <w:marTop w:val="0"/>
      <w:marBottom w:val="0"/>
      <w:divBdr>
        <w:top w:val="none" w:sz="0" w:space="0" w:color="auto"/>
        <w:left w:val="none" w:sz="0" w:space="0" w:color="auto"/>
        <w:bottom w:val="none" w:sz="0" w:space="0" w:color="auto"/>
        <w:right w:val="none" w:sz="0" w:space="0" w:color="auto"/>
      </w:divBdr>
    </w:div>
    <w:div w:id="273830944">
      <w:bodyDiv w:val="1"/>
      <w:marLeft w:val="0"/>
      <w:marRight w:val="0"/>
      <w:marTop w:val="0"/>
      <w:marBottom w:val="0"/>
      <w:divBdr>
        <w:top w:val="none" w:sz="0" w:space="0" w:color="auto"/>
        <w:left w:val="none" w:sz="0" w:space="0" w:color="auto"/>
        <w:bottom w:val="none" w:sz="0" w:space="0" w:color="auto"/>
        <w:right w:val="none" w:sz="0" w:space="0" w:color="auto"/>
      </w:divBdr>
    </w:div>
    <w:div w:id="273833312">
      <w:bodyDiv w:val="1"/>
      <w:marLeft w:val="0"/>
      <w:marRight w:val="0"/>
      <w:marTop w:val="0"/>
      <w:marBottom w:val="0"/>
      <w:divBdr>
        <w:top w:val="none" w:sz="0" w:space="0" w:color="auto"/>
        <w:left w:val="none" w:sz="0" w:space="0" w:color="auto"/>
        <w:bottom w:val="none" w:sz="0" w:space="0" w:color="auto"/>
        <w:right w:val="none" w:sz="0" w:space="0" w:color="auto"/>
      </w:divBdr>
    </w:div>
    <w:div w:id="274021270">
      <w:bodyDiv w:val="1"/>
      <w:marLeft w:val="0"/>
      <w:marRight w:val="0"/>
      <w:marTop w:val="0"/>
      <w:marBottom w:val="0"/>
      <w:divBdr>
        <w:top w:val="none" w:sz="0" w:space="0" w:color="auto"/>
        <w:left w:val="none" w:sz="0" w:space="0" w:color="auto"/>
        <w:bottom w:val="none" w:sz="0" w:space="0" w:color="auto"/>
        <w:right w:val="none" w:sz="0" w:space="0" w:color="auto"/>
      </w:divBdr>
    </w:div>
    <w:div w:id="274213539">
      <w:bodyDiv w:val="1"/>
      <w:marLeft w:val="0"/>
      <w:marRight w:val="0"/>
      <w:marTop w:val="0"/>
      <w:marBottom w:val="0"/>
      <w:divBdr>
        <w:top w:val="none" w:sz="0" w:space="0" w:color="auto"/>
        <w:left w:val="none" w:sz="0" w:space="0" w:color="auto"/>
        <w:bottom w:val="none" w:sz="0" w:space="0" w:color="auto"/>
        <w:right w:val="none" w:sz="0" w:space="0" w:color="auto"/>
      </w:divBdr>
    </w:div>
    <w:div w:id="274409614">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4867343">
      <w:bodyDiv w:val="1"/>
      <w:marLeft w:val="0"/>
      <w:marRight w:val="0"/>
      <w:marTop w:val="0"/>
      <w:marBottom w:val="0"/>
      <w:divBdr>
        <w:top w:val="none" w:sz="0" w:space="0" w:color="auto"/>
        <w:left w:val="none" w:sz="0" w:space="0" w:color="auto"/>
        <w:bottom w:val="none" w:sz="0" w:space="0" w:color="auto"/>
        <w:right w:val="none" w:sz="0" w:space="0" w:color="auto"/>
      </w:divBdr>
    </w:div>
    <w:div w:id="274992544">
      <w:bodyDiv w:val="1"/>
      <w:marLeft w:val="0"/>
      <w:marRight w:val="0"/>
      <w:marTop w:val="0"/>
      <w:marBottom w:val="0"/>
      <w:divBdr>
        <w:top w:val="none" w:sz="0" w:space="0" w:color="auto"/>
        <w:left w:val="none" w:sz="0" w:space="0" w:color="auto"/>
        <w:bottom w:val="none" w:sz="0" w:space="0" w:color="auto"/>
        <w:right w:val="none" w:sz="0" w:space="0" w:color="auto"/>
      </w:divBdr>
    </w:div>
    <w:div w:id="275253024">
      <w:bodyDiv w:val="1"/>
      <w:marLeft w:val="0"/>
      <w:marRight w:val="0"/>
      <w:marTop w:val="0"/>
      <w:marBottom w:val="0"/>
      <w:divBdr>
        <w:top w:val="none" w:sz="0" w:space="0" w:color="auto"/>
        <w:left w:val="none" w:sz="0" w:space="0" w:color="auto"/>
        <w:bottom w:val="none" w:sz="0" w:space="0" w:color="auto"/>
        <w:right w:val="none" w:sz="0" w:space="0" w:color="auto"/>
      </w:divBdr>
    </w:div>
    <w:div w:id="275408653">
      <w:bodyDiv w:val="1"/>
      <w:marLeft w:val="0"/>
      <w:marRight w:val="0"/>
      <w:marTop w:val="0"/>
      <w:marBottom w:val="0"/>
      <w:divBdr>
        <w:top w:val="none" w:sz="0" w:space="0" w:color="auto"/>
        <w:left w:val="none" w:sz="0" w:space="0" w:color="auto"/>
        <w:bottom w:val="none" w:sz="0" w:space="0" w:color="auto"/>
        <w:right w:val="none" w:sz="0" w:space="0" w:color="auto"/>
      </w:divBdr>
    </w:div>
    <w:div w:id="275528366">
      <w:bodyDiv w:val="1"/>
      <w:marLeft w:val="0"/>
      <w:marRight w:val="0"/>
      <w:marTop w:val="0"/>
      <w:marBottom w:val="0"/>
      <w:divBdr>
        <w:top w:val="none" w:sz="0" w:space="0" w:color="auto"/>
        <w:left w:val="none" w:sz="0" w:space="0" w:color="auto"/>
        <w:bottom w:val="none" w:sz="0" w:space="0" w:color="auto"/>
        <w:right w:val="none" w:sz="0" w:space="0" w:color="auto"/>
      </w:divBdr>
    </w:div>
    <w:div w:id="275605553">
      <w:bodyDiv w:val="1"/>
      <w:marLeft w:val="0"/>
      <w:marRight w:val="0"/>
      <w:marTop w:val="0"/>
      <w:marBottom w:val="0"/>
      <w:divBdr>
        <w:top w:val="none" w:sz="0" w:space="0" w:color="auto"/>
        <w:left w:val="none" w:sz="0" w:space="0" w:color="auto"/>
        <w:bottom w:val="none" w:sz="0" w:space="0" w:color="auto"/>
        <w:right w:val="none" w:sz="0" w:space="0" w:color="auto"/>
      </w:divBdr>
    </w:div>
    <w:div w:id="275648616">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77106323">
      <w:bodyDiv w:val="1"/>
      <w:marLeft w:val="0"/>
      <w:marRight w:val="0"/>
      <w:marTop w:val="0"/>
      <w:marBottom w:val="0"/>
      <w:divBdr>
        <w:top w:val="none" w:sz="0" w:space="0" w:color="auto"/>
        <w:left w:val="none" w:sz="0" w:space="0" w:color="auto"/>
        <w:bottom w:val="none" w:sz="0" w:space="0" w:color="auto"/>
        <w:right w:val="none" w:sz="0" w:space="0" w:color="auto"/>
      </w:divBdr>
    </w:div>
    <w:div w:id="277219310">
      <w:bodyDiv w:val="1"/>
      <w:marLeft w:val="0"/>
      <w:marRight w:val="0"/>
      <w:marTop w:val="0"/>
      <w:marBottom w:val="0"/>
      <w:divBdr>
        <w:top w:val="none" w:sz="0" w:space="0" w:color="auto"/>
        <w:left w:val="none" w:sz="0" w:space="0" w:color="auto"/>
        <w:bottom w:val="none" w:sz="0" w:space="0" w:color="auto"/>
        <w:right w:val="none" w:sz="0" w:space="0" w:color="auto"/>
      </w:divBdr>
    </w:div>
    <w:div w:id="277220284">
      <w:bodyDiv w:val="1"/>
      <w:marLeft w:val="0"/>
      <w:marRight w:val="0"/>
      <w:marTop w:val="0"/>
      <w:marBottom w:val="0"/>
      <w:divBdr>
        <w:top w:val="none" w:sz="0" w:space="0" w:color="auto"/>
        <w:left w:val="none" w:sz="0" w:space="0" w:color="auto"/>
        <w:bottom w:val="none" w:sz="0" w:space="0" w:color="auto"/>
        <w:right w:val="none" w:sz="0" w:space="0" w:color="auto"/>
      </w:divBdr>
    </w:div>
    <w:div w:id="278033782">
      <w:bodyDiv w:val="1"/>
      <w:marLeft w:val="0"/>
      <w:marRight w:val="0"/>
      <w:marTop w:val="0"/>
      <w:marBottom w:val="0"/>
      <w:divBdr>
        <w:top w:val="none" w:sz="0" w:space="0" w:color="auto"/>
        <w:left w:val="none" w:sz="0" w:space="0" w:color="auto"/>
        <w:bottom w:val="none" w:sz="0" w:space="0" w:color="auto"/>
        <w:right w:val="none" w:sz="0" w:space="0" w:color="auto"/>
      </w:divBdr>
    </w:div>
    <w:div w:id="278801833">
      <w:bodyDiv w:val="1"/>
      <w:marLeft w:val="0"/>
      <w:marRight w:val="0"/>
      <w:marTop w:val="0"/>
      <w:marBottom w:val="0"/>
      <w:divBdr>
        <w:top w:val="none" w:sz="0" w:space="0" w:color="auto"/>
        <w:left w:val="none" w:sz="0" w:space="0" w:color="auto"/>
        <w:bottom w:val="none" w:sz="0" w:space="0" w:color="auto"/>
        <w:right w:val="none" w:sz="0" w:space="0" w:color="auto"/>
      </w:divBdr>
    </w:div>
    <w:div w:id="278993667">
      <w:bodyDiv w:val="1"/>
      <w:marLeft w:val="0"/>
      <w:marRight w:val="0"/>
      <w:marTop w:val="0"/>
      <w:marBottom w:val="0"/>
      <w:divBdr>
        <w:top w:val="none" w:sz="0" w:space="0" w:color="auto"/>
        <w:left w:val="none" w:sz="0" w:space="0" w:color="auto"/>
        <w:bottom w:val="none" w:sz="0" w:space="0" w:color="auto"/>
        <w:right w:val="none" w:sz="0" w:space="0" w:color="auto"/>
      </w:divBdr>
    </w:div>
    <w:div w:id="279263179">
      <w:bodyDiv w:val="1"/>
      <w:marLeft w:val="0"/>
      <w:marRight w:val="0"/>
      <w:marTop w:val="0"/>
      <w:marBottom w:val="0"/>
      <w:divBdr>
        <w:top w:val="none" w:sz="0" w:space="0" w:color="auto"/>
        <w:left w:val="none" w:sz="0" w:space="0" w:color="auto"/>
        <w:bottom w:val="none" w:sz="0" w:space="0" w:color="auto"/>
        <w:right w:val="none" w:sz="0" w:space="0" w:color="auto"/>
      </w:divBdr>
    </w:div>
    <w:div w:id="279380943">
      <w:bodyDiv w:val="1"/>
      <w:marLeft w:val="0"/>
      <w:marRight w:val="0"/>
      <w:marTop w:val="0"/>
      <w:marBottom w:val="0"/>
      <w:divBdr>
        <w:top w:val="none" w:sz="0" w:space="0" w:color="auto"/>
        <w:left w:val="none" w:sz="0" w:space="0" w:color="auto"/>
        <w:bottom w:val="none" w:sz="0" w:space="0" w:color="auto"/>
        <w:right w:val="none" w:sz="0" w:space="0" w:color="auto"/>
      </w:divBdr>
    </w:div>
    <w:div w:id="279455109">
      <w:bodyDiv w:val="1"/>
      <w:marLeft w:val="0"/>
      <w:marRight w:val="0"/>
      <w:marTop w:val="0"/>
      <w:marBottom w:val="0"/>
      <w:divBdr>
        <w:top w:val="none" w:sz="0" w:space="0" w:color="auto"/>
        <w:left w:val="none" w:sz="0" w:space="0" w:color="auto"/>
        <w:bottom w:val="none" w:sz="0" w:space="0" w:color="auto"/>
        <w:right w:val="none" w:sz="0" w:space="0" w:color="auto"/>
      </w:divBdr>
    </w:div>
    <w:div w:id="279459847">
      <w:bodyDiv w:val="1"/>
      <w:marLeft w:val="0"/>
      <w:marRight w:val="0"/>
      <w:marTop w:val="0"/>
      <w:marBottom w:val="0"/>
      <w:divBdr>
        <w:top w:val="none" w:sz="0" w:space="0" w:color="auto"/>
        <w:left w:val="none" w:sz="0" w:space="0" w:color="auto"/>
        <w:bottom w:val="none" w:sz="0" w:space="0" w:color="auto"/>
        <w:right w:val="none" w:sz="0" w:space="0" w:color="auto"/>
      </w:divBdr>
    </w:div>
    <w:div w:id="279529329">
      <w:bodyDiv w:val="1"/>
      <w:marLeft w:val="0"/>
      <w:marRight w:val="0"/>
      <w:marTop w:val="0"/>
      <w:marBottom w:val="0"/>
      <w:divBdr>
        <w:top w:val="none" w:sz="0" w:space="0" w:color="auto"/>
        <w:left w:val="none" w:sz="0" w:space="0" w:color="auto"/>
        <w:bottom w:val="none" w:sz="0" w:space="0" w:color="auto"/>
        <w:right w:val="none" w:sz="0" w:space="0" w:color="auto"/>
      </w:divBdr>
    </w:div>
    <w:div w:id="279723158">
      <w:bodyDiv w:val="1"/>
      <w:marLeft w:val="0"/>
      <w:marRight w:val="0"/>
      <w:marTop w:val="0"/>
      <w:marBottom w:val="0"/>
      <w:divBdr>
        <w:top w:val="none" w:sz="0" w:space="0" w:color="auto"/>
        <w:left w:val="none" w:sz="0" w:space="0" w:color="auto"/>
        <w:bottom w:val="none" w:sz="0" w:space="0" w:color="auto"/>
        <w:right w:val="none" w:sz="0" w:space="0" w:color="auto"/>
      </w:divBdr>
    </w:div>
    <w:div w:id="279918055">
      <w:bodyDiv w:val="1"/>
      <w:marLeft w:val="0"/>
      <w:marRight w:val="0"/>
      <w:marTop w:val="0"/>
      <w:marBottom w:val="0"/>
      <w:divBdr>
        <w:top w:val="none" w:sz="0" w:space="0" w:color="auto"/>
        <w:left w:val="none" w:sz="0" w:space="0" w:color="auto"/>
        <w:bottom w:val="none" w:sz="0" w:space="0" w:color="auto"/>
        <w:right w:val="none" w:sz="0" w:space="0" w:color="auto"/>
      </w:divBdr>
    </w:div>
    <w:div w:id="279919303">
      <w:bodyDiv w:val="1"/>
      <w:marLeft w:val="0"/>
      <w:marRight w:val="0"/>
      <w:marTop w:val="0"/>
      <w:marBottom w:val="0"/>
      <w:divBdr>
        <w:top w:val="none" w:sz="0" w:space="0" w:color="auto"/>
        <w:left w:val="none" w:sz="0" w:space="0" w:color="auto"/>
        <w:bottom w:val="none" w:sz="0" w:space="0" w:color="auto"/>
        <w:right w:val="none" w:sz="0" w:space="0" w:color="auto"/>
      </w:divBdr>
    </w:div>
    <w:div w:id="279991550">
      <w:bodyDiv w:val="1"/>
      <w:marLeft w:val="0"/>
      <w:marRight w:val="0"/>
      <w:marTop w:val="0"/>
      <w:marBottom w:val="0"/>
      <w:divBdr>
        <w:top w:val="none" w:sz="0" w:space="0" w:color="auto"/>
        <w:left w:val="none" w:sz="0" w:space="0" w:color="auto"/>
        <w:bottom w:val="none" w:sz="0" w:space="0" w:color="auto"/>
        <w:right w:val="none" w:sz="0" w:space="0" w:color="auto"/>
      </w:divBdr>
    </w:div>
    <w:div w:id="279991934">
      <w:bodyDiv w:val="1"/>
      <w:marLeft w:val="0"/>
      <w:marRight w:val="0"/>
      <w:marTop w:val="0"/>
      <w:marBottom w:val="0"/>
      <w:divBdr>
        <w:top w:val="none" w:sz="0" w:space="0" w:color="auto"/>
        <w:left w:val="none" w:sz="0" w:space="0" w:color="auto"/>
        <w:bottom w:val="none" w:sz="0" w:space="0" w:color="auto"/>
        <w:right w:val="none" w:sz="0" w:space="0" w:color="auto"/>
      </w:divBdr>
    </w:div>
    <w:div w:id="280458609">
      <w:bodyDiv w:val="1"/>
      <w:marLeft w:val="0"/>
      <w:marRight w:val="0"/>
      <w:marTop w:val="0"/>
      <w:marBottom w:val="0"/>
      <w:divBdr>
        <w:top w:val="none" w:sz="0" w:space="0" w:color="auto"/>
        <w:left w:val="none" w:sz="0" w:space="0" w:color="auto"/>
        <w:bottom w:val="none" w:sz="0" w:space="0" w:color="auto"/>
        <w:right w:val="none" w:sz="0" w:space="0" w:color="auto"/>
      </w:divBdr>
    </w:div>
    <w:div w:id="280575686">
      <w:bodyDiv w:val="1"/>
      <w:marLeft w:val="0"/>
      <w:marRight w:val="0"/>
      <w:marTop w:val="0"/>
      <w:marBottom w:val="0"/>
      <w:divBdr>
        <w:top w:val="none" w:sz="0" w:space="0" w:color="auto"/>
        <w:left w:val="none" w:sz="0" w:space="0" w:color="auto"/>
        <w:bottom w:val="none" w:sz="0" w:space="0" w:color="auto"/>
        <w:right w:val="none" w:sz="0" w:space="0" w:color="auto"/>
      </w:divBdr>
    </w:div>
    <w:div w:id="280579724">
      <w:bodyDiv w:val="1"/>
      <w:marLeft w:val="0"/>
      <w:marRight w:val="0"/>
      <w:marTop w:val="0"/>
      <w:marBottom w:val="0"/>
      <w:divBdr>
        <w:top w:val="none" w:sz="0" w:space="0" w:color="auto"/>
        <w:left w:val="none" w:sz="0" w:space="0" w:color="auto"/>
        <w:bottom w:val="none" w:sz="0" w:space="0" w:color="auto"/>
        <w:right w:val="none" w:sz="0" w:space="0" w:color="auto"/>
      </w:divBdr>
    </w:div>
    <w:div w:id="281033356">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1226528">
      <w:bodyDiv w:val="1"/>
      <w:marLeft w:val="0"/>
      <w:marRight w:val="0"/>
      <w:marTop w:val="0"/>
      <w:marBottom w:val="0"/>
      <w:divBdr>
        <w:top w:val="none" w:sz="0" w:space="0" w:color="auto"/>
        <w:left w:val="none" w:sz="0" w:space="0" w:color="auto"/>
        <w:bottom w:val="none" w:sz="0" w:space="0" w:color="auto"/>
        <w:right w:val="none" w:sz="0" w:space="0" w:color="auto"/>
      </w:divBdr>
    </w:div>
    <w:div w:id="281234591">
      <w:bodyDiv w:val="1"/>
      <w:marLeft w:val="0"/>
      <w:marRight w:val="0"/>
      <w:marTop w:val="0"/>
      <w:marBottom w:val="0"/>
      <w:divBdr>
        <w:top w:val="none" w:sz="0" w:space="0" w:color="auto"/>
        <w:left w:val="none" w:sz="0" w:space="0" w:color="auto"/>
        <w:bottom w:val="none" w:sz="0" w:space="0" w:color="auto"/>
        <w:right w:val="none" w:sz="0" w:space="0" w:color="auto"/>
      </w:divBdr>
    </w:div>
    <w:div w:id="281304393">
      <w:bodyDiv w:val="1"/>
      <w:marLeft w:val="0"/>
      <w:marRight w:val="0"/>
      <w:marTop w:val="0"/>
      <w:marBottom w:val="0"/>
      <w:divBdr>
        <w:top w:val="none" w:sz="0" w:space="0" w:color="auto"/>
        <w:left w:val="none" w:sz="0" w:space="0" w:color="auto"/>
        <w:bottom w:val="none" w:sz="0" w:space="0" w:color="auto"/>
        <w:right w:val="none" w:sz="0" w:space="0" w:color="auto"/>
      </w:divBdr>
    </w:div>
    <w:div w:id="281377843">
      <w:bodyDiv w:val="1"/>
      <w:marLeft w:val="0"/>
      <w:marRight w:val="0"/>
      <w:marTop w:val="0"/>
      <w:marBottom w:val="0"/>
      <w:divBdr>
        <w:top w:val="none" w:sz="0" w:space="0" w:color="auto"/>
        <w:left w:val="none" w:sz="0" w:space="0" w:color="auto"/>
        <w:bottom w:val="none" w:sz="0" w:space="0" w:color="auto"/>
        <w:right w:val="none" w:sz="0" w:space="0" w:color="auto"/>
      </w:divBdr>
    </w:div>
    <w:div w:id="281805621">
      <w:bodyDiv w:val="1"/>
      <w:marLeft w:val="0"/>
      <w:marRight w:val="0"/>
      <w:marTop w:val="0"/>
      <w:marBottom w:val="0"/>
      <w:divBdr>
        <w:top w:val="none" w:sz="0" w:space="0" w:color="auto"/>
        <w:left w:val="none" w:sz="0" w:space="0" w:color="auto"/>
        <w:bottom w:val="none" w:sz="0" w:space="0" w:color="auto"/>
        <w:right w:val="none" w:sz="0" w:space="0" w:color="auto"/>
      </w:divBdr>
    </w:div>
    <w:div w:id="281815026">
      <w:bodyDiv w:val="1"/>
      <w:marLeft w:val="0"/>
      <w:marRight w:val="0"/>
      <w:marTop w:val="0"/>
      <w:marBottom w:val="0"/>
      <w:divBdr>
        <w:top w:val="none" w:sz="0" w:space="0" w:color="auto"/>
        <w:left w:val="none" w:sz="0" w:space="0" w:color="auto"/>
        <w:bottom w:val="none" w:sz="0" w:space="0" w:color="auto"/>
        <w:right w:val="none" w:sz="0" w:space="0" w:color="auto"/>
      </w:divBdr>
    </w:div>
    <w:div w:id="281882429">
      <w:bodyDiv w:val="1"/>
      <w:marLeft w:val="0"/>
      <w:marRight w:val="0"/>
      <w:marTop w:val="0"/>
      <w:marBottom w:val="0"/>
      <w:divBdr>
        <w:top w:val="none" w:sz="0" w:space="0" w:color="auto"/>
        <w:left w:val="none" w:sz="0" w:space="0" w:color="auto"/>
        <w:bottom w:val="none" w:sz="0" w:space="0" w:color="auto"/>
        <w:right w:val="none" w:sz="0" w:space="0" w:color="auto"/>
      </w:divBdr>
    </w:div>
    <w:div w:id="282268838">
      <w:bodyDiv w:val="1"/>
      <w:marLeft w:val="0"/>
      <w:marRight w:val="0"/>
      <w:marTop w:val="0"/>
      <w:marBottom w:val="0"/>
      <w:divBdr>
        <w:top w:val="none" w:sz="0" w:space="0" w:color="auto"/>
        <w:left w:val="none" w:sz="0" w:space="0" w:color="auto"/>
        <w:bottom w:val="none" w:sz="0" w:space="0" w:color="auto"/>
        <w:right w:val="none" w:sz="0" w:space="0" w:color="auto"/>
      </w:divBdr>
    </w:div>
    <w:div w:id="282344115">
      <w:bodyDiv w:val="1"/>
      <w:marLeft w:val="0"/>
      <w:marRight w:val="0"/>
      <w:marTop w:val="0"/>
      <w:marBottom w:val="0"/>
      <w:divBdr>
        <w:top w:val="none" w:sz="0" w:space="0" w:color="auto"/>
        <w:left w:val="none" w:sz="0" w:space="0" w:color="auto"/>
        <w:bottom w:val="none" w:sz="0" w:space="0" w:color="auto"/>
        <w:right w:val="none" w:sz="0" w:space="0" w:color="auto"/>
      </w:divBdr>
    </w:div>
    <w:div w:id="282418270">
      <w:bodyDiv w:val="1"/>
      <w:marLeft w:val="0"/>
      <w:marRight w:val="0"/>
      <w:marTop w:val="0"/>
      <w:marBottom w:val="0"/>
      <w:divBdr>
        <w:top w:val="none" w:sz="0" w:space="0" w:color="auto"/>
        <w:left w:val="none" w:sz="0" w:space="0" w:color="auto"/>
        <w:bottom w:val="none" w:sz="0" w:space="0" w:color="auto"/>
        <w:right w:val="none" w:sz="0" w:space="0" w:color="auto"/>
      </w:divBdr>
    </w:div>
    <w:div w:id="282420731">
      <w:bodyDiv w:val="1"/>
      <w:marLeft w:val="0"/>
      <w:marRight w:val="0"/>
      <w:marTop w:val="0"/>
      <w:marBottom w:val="0"/>
      <w:divBdr>
        <w:top w:val="none" w:sz="0" w:space="0" w:color="auto"/>
        <w:left w:val="none" w:sz="0" w:space="0" w:color="auto"/>
        <w:bottom w:val="none" w:sz="0" w:space="0" w:color="auto"/>
        <w:right w:val="none" w:sz="0" w:space="0" w:color="auto"/>
      </w:divBdr>
    </w:div>
    <w:div w:id="282467830">
      <w:bodyDiv w:val="1"/>
      <w:marLeft w:val="0"/>
      <w:marRight w:val="0"/>
      <w:marTop w:val="0"/>
      <w:marBottom w:val="0"/>
      <w:divBdr>
        <w:top w:val="none" w:sz="0" w:space="0" w:color="auto"/>
        <w:left w:val="none" w:sz="0" w:space="0" w:color="auto"/>
        <w:bottom w:val="none" w:sz="0" w:space="0" w:color="auto"/>
        <w:right w:val="none" w:sz="0" w:space="0" w:color="auto"/>
      </w:divBdr>
    </w:div>
    <w:div w:id="282657315">
      <w:bodyDiv w:val="1"/>
      <w:marLeft w:val="0"/>
      <w:marRight w:val="0"/>
      <w:marTop w:val="0"/>
      <w:marBottom w:val="0"/>
      <w:divBdr>
        <w:top w:val="none" w:sz="0" w:space="0" w:color="auto"/>
        <w:left w:val="none" w:sz="0" w:space="0" w:color="auto"/>
        <w:bottom w:val="none" w:sz="0" w:space="0" w:color="auto"/>
        <w:right w:val="none" w:sz="0" w:space="0" w:color="auto"/>
      </w:divBdr>
    </w:div>
    <w:div w:id="282806219">
      <w:bodyDiv w:val="1"/>
      <w:marLeft w:val="0"/>
      <w:marRight w:val="0"/>
      <w:marTop w:val="0"/>
      <w:marBottom w:val="0"/>
      <w:divBdr>
        <w:top w:val="none" w:sz="0" w:space="0" w:color="auto"/>
        <w:left w:val="none" w:sz="0" w:space="0" w:color="auto"/>
        <w:bottom w:val="none" w:sz="0" w:space="0" w:color="auto"/>
        <w:right w:val="none" w:sz="0" w:space="0" w:color="auto"/>
      </w:divBdr>
    </w:div>
    <w:div w:id="283001207">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3658353">
      <w:bodyDiv w:val="1"/>
      <w:marLeft w:val="0"/>
      <w:marRight w:val="0"/>
      <w:marTop w:val="0"/>
      <w:marBottom w:val="0"/>
      <w:divBdr>
        <w:top w:val="none" w:sz="0" w:space="0" w:color="auto"/>
        <w:left w:val="none" w:sz="0" w:space="0" w:color="auto"/>
        <w:bottom w:val="none" w:sz="0" w:space="0" w:color="auto"/>
        <w:right w:val="none" w:sz="0" w:space="0" w:color="auto"/>
      </w:divBdr>
    </w:div>
    <w:div w:id="283662466">
      <w:bodyDiv w:val="1"/>
      <w:marLeft w:val="0"/>
      <w:marRight w:val="0"/>
      <w:marTop w:val="0"/>
      <w:marBottom w:val="0"/>
      <w:divBdr>
        <w:top w:val="none" w:sz="0" w:space="0" w:color="auto"/>
        <w:left w:val="none" w:sz="0" w:space="0" w:color="auto"/>
        <w:bottom w:val="none" w:sz="0" w:space="0" w:color="auto"/>
        <w:right w:val="none" w:sz="0" w:space="0" w:color="auto"/>
      </w:divBdr>
    </w:div>
    <w:div w:id="284391178">
      <w:bodyDiv w:val="1"/>
      <w:marLeft w:val="0"/>
      <w:marRight w:val="0"/>
      <w:marTop w:val="0"/>
      <w:marBottom w:val="0"/>
      <w:divBdr>
        <w:top w:val="none" w:sz="0" w:space="0" w:color="auto"/>
        <w:left w:val="none" w:sz="0" w:space="0" w:color="auto"/>
        <w:bottom w:val="none" w:sz="0" w:space="0" w:color="auto"/>
        <w:right w:val="none" w:sz="0" w:space="0" w:color="auto"/>
      </w:divBdr>
    </w:div>
    <w:div w:id="284391535">
      <w:bodyDiv w:val="1"/>
      <w:marLeft w:val="0"/>
      <w:marRight w:val="0"/>
      <w:marTop w:val="0"/>
      <w:marBottom w:val="0"/>
      <w:divBdr>
        <w:top w:val="none" w:sz="0" w:space="0" w:color="auto"/>
        <w:left w:val="none" w:sz="0" w:space="0" w:color="auto"/>
        <w:bottom w:val="none" w:sz="0" w:space="0" w:color="auto"/>
        <w:right w:val="none" w:sz="0" w:space="0" w:color="auto"/>
      </w:divBdr>
    </w:div>
    <w:div w:id="284434153">
      <w:bodyDiv w:val="1"/>
      <w:marLeft w:val="0"/>
      <w:marRight w:val="0"/>
      <w:marTop w:val="0"/>
      <w:marBottom w:val="0"/>
      <w:divBdr>
        <w:top w:val="none" w:sz="0" w:space="0" w:color="auto"/>
        <w:left w:val="none" w:sz="0" w:space="0" w:color="auto"/>
        <w:bottom w:val="none" w:sz="0" w:space="0" w:color="auto"/>
        <w:right w:val="none" w:sz="0" w:space="0" w:color="auto"/>
      </w:divBdr>
    </w:div>
    <w:div w:id="284435079">
      <w:bodyDiv w:val="1"/>
      <w:marLeft w:val="0"/>
      <w:marRight w:val="0"/>
      <w:marTop w:val="0"/>
      <w:marBottom w:val="0"/>
      <w:divBdr>
        <w:top w:val="none" w:sz="0" w:space="0" w:color="auto"/>
        <w:left w:val="none" w:sz="0" w:space="0" w:color="auto"/>
        <w:bottom w:val="none" w:sz="0" w:space="0" w:color="auto"/>
        <w:right w:val="none" w:sz="0" w:space="0" w:color="auto"/>
      </w:divBdr>
    </w:div>
    <w:div w:id="284510978">
      <w:bodyDiv w:val="1"/>
      <w:marLeft w:val="0"/>
      <w:marRight w:val="0"/>
      <w:marTop w:val="0"/>
      <w:marBottom w:val="0"/>
      <w:divBdr>
        <w:top w:val="none" w:sz="0" w:space="0" w:color="auto"/>
        <w:left w:val="none" w:sz="0" w:space="0" w:color="auto"/>
        <w:bottom w:val="none" w:sz="0" w:space="0" w:color="auto"/>
        <w:right w:val="none" w:sz="0" w:space="0" w:color="auto"/>
      </w:divBdr>
    </w:div>
    <w:div w:id="285087446">
      <w:bodyDiv w:val="1"/>
      <w:marLeft w:val="0"/>
      <w:marRight w:val="0"/>
      <w:marTop w:val="0"/>
      <w:marBottom w:val="0"/>
      <w:divBdr>
        <w:top w:val="none" w:sz="0" w:space="0" w:color="auto"/>
        <w:left w:val="none" w:sz="0" w:space="0" w:color="auto"/>
        <w:bottom w:val="none" w:sz="0" w:space="0" w:color="auto"/>
        <w:right w:val="none" w:sz="0" w:space="0" w:color="auto"/>
      </w:divBdr>
    </w:div>
    <w:div w:id="285234926">
      <w:bodyDiv w:val="1"/>
      <w:marLeft w:val="0"/>
      <w:marRight w:val="0"/>
      <w:marTop w:val="0"/>
      <w:marBottom w:val="0"/>
      <w:divBdr>
        <w:top w:val="none" w:sz="0" w:space="0" w:color="auto"/>
        <w:left w:val="none" w:sz="0" w:space="0" w:color="auto"/>
        <w:bottom w:val="none" w:sz="0" w:space="0" w:color="auto"/>
        <w:right w:val="none" w:sz="0" w:space="0" w:color="auto"/>
      </w:divBdr>
    </w:div>
    <w:div w:id="285351583">
      <w:bodyDiv w:val="1"/>
      <w:marLeft w:val="0"/>
      <w:marRight w:val="0"/>
      <w:marTop w:val="0"/>
      <w:marBottom w:val="0"/>
      <w:divBdr>
        <w:top w:val="none" w:sz="0" w:space="0" w:color="auto"/>
        <w:left w:val="none" w:sz="0" w:space="0" w:color="auto"/>
        <w:bottom w:val="none" w:sz="0" w:space="0" w:color="auto"/>
        <w:right w:val="none" w:sz="0" w:space="0" w:color="auto"/>
      </w:divBdr>
    </w:div>
    <w:div w:id="285507505">
      <w:bodyDiv w:val="1"/>
      <w:marLeft w:val="0"/>
      <w:marRight w:val="0"/>
      <w:marTop w:val="0"/>
      <w:marBottom w:val="0"/>
      <w:divBdr>
        <w:top w:val="none" w:sz="0" w:space="0" w:color="auto"/>
        <w:left w:val="none" w:sz="0" w:space="0" w:color="auto"/>
        <w:bottom w:val="none" w:sz="0" w:space="0" w:color="auto"/>
        <w:right w:val="none" w:sz="0" w:space="0" w:color="auto"/>
      </w:divBdr>
    </w:div>
    <w:div w:id="285815416">
      <w:bodyDiv w:val="1"/>
      <w:marLeft w:val="0"/>
      <w:marRight w:val="0"/>
      <w:marTop w:val="0"/>
      <w:marBottom w:val="0"/>
      <w:divBdr>
        <w:top w:val="none" w:sz="0" w:space="0" w:color="auto"/>
        <w:left w:val="none" w:sz="0" w:space="0" w:color="auto"/>
        <w:bottom w:val="none" w:sz="0" w:space="0" w:color="auto"/>
        <w:right w:val="none" w:sz="0" w:space="0" w:color="auto"/>
      </w:divBdr>
    </w:div>
    <w:div w:id="285890732">
      <w:bodyDiv w:val="1"/>
      <w:marLeft w:val="0"/>
      <w:marRight w:val="0"/>
      <w:marTop w:val="0"/>
      <w:marBottom w:val="0"/>
      <w:divBdr>
        <w:top w:val="none" w:sz="0" w:space="0" w:color="auto"/>
        <w:left w:val="none" w:sz="0" w:space="0" w:color="auto"/>
        <w:bottom w:val="none" w:sz="0" w:space="0" w:color="auto"/>
        <w:right w:val="none" w:sz="0" w:space="0" w:color="auto"/>
      </w:divBdr>
    </w:div>
    <w:div w:id="286007259">
      <w:bodyDiv w:val="1"/>
      <w:marLeft w:val="0"/>
      <w:marRight w:val="0"/>
      <w:marTop w:val="0"/>
      <w:marBottom w:val="0"/>
      <w:divBdr>
        <w:top w:val="none" w:sz="0" w:space="0" w:color="auto"/>
        <w:left w:val="none" w:sz="0" w:space="0" w:color="auto"/>
        <w:bottom w:val="none" w:sz="0" w:space="0" w:color="auto"/>
        <w:right w:val="none" w:sz="0" w:space="0" w:color="auto"/>
      </w:divBdr>
    </w:div>
    <w:div w:id="286401505">
      <w:bodyDiv w:val="1"/>
      <w:marLeft w:val="0"/>
      <w:marRight w:val="0"/>
      <w:marTop w:val="0"/>
      <w:marBottom w:val="0"/>
      <w:divBdr>
        <w:top w:val="none" w:sz="0" w:space="0" w:color="auto"/>
        <w:left w:val="none" w:sz="0" w:space="0" w:color="auto"/>
        <w:bottom w:val="none" w:sz="0" w:space="0" w:color="auto"/>
        <w:right w:val="none" w:sz="0" w:space="0" w:color="auto"/>
      </w:divBdr>
    </w:div>
    <w:div w:id="286550900">
      <w:bodyDiv w:val="1"/>
      <w:marLeft w:val="0"/>
      <w:marRight w:val="0"/>
      <w:marTop w:val="0"/>
      <w:marBottom w:val="0"/>
      <w:divBdr>
        <w:top w:val="none" w:sz="0" w:space="0" w:color="auto"/>
        <w:left w:val="none" w:sz="0" w:space="0" w:color="auto"/>
        <w:bottom w:val="none" w:sz="0" w:space="0" w:color="auto"/>
        <w:right w:val="none" w:sz="0" w:space="0" w:color="auto"/>
      </w:divBdr>
    </w:div>
    <w:div w:id="286812214">
      <w:bodyDiv w:val="1"/>
      <w:marLeft w:val="0"/>
      <w:marRight w:val="0"/>
      <w:marTop w:val="0"/>
      <w:marBottom w:val="0"/>
      <w:divBdr>
        <w:top w:val="none" w:sz="0" w:space="0" w:color="auto"/>
        <w:left w:val="none" w:sz="0" w:space="0" w:color="auto"/>
        <w:bottom w:val="none" w:sz="0" w:space="0" w:color="auto"/>
        <w:right w:val="none" w:sz="0" w:space="0" w:color="auto"/>
      </w:divBdr>
    </w:div>
    <w:div w:id="286857077">
      <w:bodyDiv w:val="1"/>
      <w:marLeft w:val="0"/>
      <w:marRight w:val="0"/>
      <w:marTop w:val="0"/>
      <w:marBottom w:val="0"/>
      <w:divBdr>
        <w:top w:val="none" w:sz="0" w:space="0" w:color="auto"/>
        <w:left w:val="none" w:sz="0" w:space="0" w:color="auto"/>
        <w:bottom w:val="none" w:sz="0" w:space="0" w:color="auto"/>
        <w:right w:val="none" w:sz="0" w:space="0" w:color="auto"/>
      </w:divBdr>
    </w:div>
    <w:div w:id="287008213">
      <w:bodyDiv w:val="1"/>
      <w:marLeft w:val="0"/>
      <w:marRight w:val="0"/>
      <w:marTop w:val="0"/>
      <w:marBottom w:val="0"/>
      <w:divBdr>
        <w:top w:val="none" w:sz="0" w:space="0" w:color="auto"/>
        <w:left w:val="none" w:sz="0" w:space="0" w:color="auto"/>
        <w:bottom w:val="none" w:sz="0" w:space="0" w:color="auto"/>
        <w:right w:val="none" w:sz="0" w:space="0" w:color="auto"/>
      </w:divBdr>
      <w:divsChild>
        <w:div w:id="348026134">
          <w:marLeft w:val="0"/>
          <w:marRight w:val="0"/>
          <w:marTop w:val="0"/>
          <w:marBottom w:val="0"/>
          <w:divBdr>
            <w:top w:val="none" w:sz="0" w:space="0" w:color="auto"/>
            <w:left w:val="none" w:sz="0" w:space="0" w:color="auto"/>
            <w:bottom w:val="none" w:sz="0" w:space="0" w:color="auto"/>
            <w:right w:val="none" w:sz="0" w:space="0" w:color="auto"/>
          </w:divBdr>
        </w:div>
        <w:div w:id="432214649">
          <w:marLeft w:val="0"/>
          <w:marRight w:val="0"/>
          <w:marTop w:val="0"/>
          <w:marBottom w:val="0"/>
          <w:divBdr>
            <w:top w:val="none" w:sz="0" w:space="0" w:color="auto"/>
            <w:left w:val="none" w:sz="0" w:space="0" w:color="auto"/>
            <w:bottom w:val="none" w:sz="0" w:space="0" w:color="auto"/>
            <w:right w:val="none" w:sz="0" w:space="0" w:color="auto"/>
          </w:divBdr>
        </w:div>
        <w:div w:id="1084381815">
          <w:marLeft w:val="0"/>
          <w:marRight w:val="0"/>
          <w:marTop w:val="0"/>
          <w:marBottom w:val="0"/>
          <w:divBdr>
            <w:top w:val="none" w:sz="0" w:space="0" w:color="auto"/>
            <w:left w:val="none" w:sz="0" w:space="0" w:color="auto"/>
            <w:bottom w:val="none" w:sz="0" w:space="0" w:color="auto"/>
            <w:right w:val="none" w:sz="0" w:space="0" w:color="auto"/>
          </w:divBdr>
        </w:div>
        <w:div w:id="1182352689">
          <w:marLeft w:val="0"/>
          <w:marRight w:val="0"/>
          <w:marTop w:val="0"/>
          <w:marBottom w:val="0"/>
          <w:divBdr>
            <w:top w:val="none" w:sz="0" w:space="0" w:color="auto"/>
            <w:left w:val="none" w:sz="0" w:space="0" w:color="auto"/>
            <w:bottom w:val="none" w:sz="0" w:space="0" w:color="auto"/>
            <w:right w:val="none" w:sz="0" w:space="0" w:color="auto"/>
          </w:divBdr>
        </w:div>
        <w:div w:id="1599369249">
          <w:marLeft w:val="0"/>
          <w:marRight w:val="0"/>
          <w:marTop w:val="0"/>
          <w:marBottom w:val="0"/>
          <w:divBdr>
            <w:top w:val="none" w:sz="0" w:space="0" w:color="auto"/>
            <w:left w:val="none" w:sz="0" w:space="0" w:color="auto"/>
            <w:bottom w:val="none" w:sz="0" w:space="0" w:color="auto"/>
            <w:right w:val="none" w:sz="0" w:space="0" w:color="auto"/>
          </w:divBdr>
        </w:div>
        <w:div w:id="1731884967">
          <w:marLeft w:val="0"/>
          <w:marRight w:val="0"/>
          <w:marTop w:val="0"/>
          <w:marBottom w:val="0"/>
          <w:divBdr>
            <w:top w:val="none" w:sz="0" w:space="0" w:color="auto"/>
            <w:left w:val="none" w:sz="0" w:space="0" w:color="auto"/>
            <w:bottom w:val="none" w:sz="0" w:space="0" w:color="auto"/>
            <w:right w:val="none" w:sz="0" w:space="0" w:color="auto"/>
          </w:divBdr>
        </w:div>
      </w:divsChild>
    </w:div>
    <w:div w:id="287011015">
      <w:bodyDiv w:val="1"/>
      <w:marLeft w:val="0"/>
      <w:marRight w:val="0"/>
      <w:marTop w:val="0"/>
      <w:marBottom w:val="0"/>
      <w:divBdr>
        <w:top w:val="none" w:sz="0" w:space="0" w:color="auto"/>
        <w:left w:val="none" w:sz="0" w:space="0" w:color="auto"/>
        <w:bottom w:val="none" w:sz="0" w:space="0" w:color="auto"/>
        <w:right w:val="none" w:sz="0" w:space="0" w:color="auto"/>
      </w:divBdr>
    </w:div>
    <w:div w:id="287250227">
      <w:bodyDiv w:val="1"/>
      <w:marLeft w:val="0"/>
      <w:marRight w:val="0"/>
      <w:marTop w:val="0"/>
      <w:marBottom w:val="0"/>
      <w:divBdr>
        <w:top w:val="none" w:sz="0" w:space="0" w:color="auto"/>
        <w:left w:val="none" w:sz="0" w:space="0" w:color="auto"/>
        <w:bottom w:val="none" w:sz="0" w:space="0" w:color="auto"/>
        <w:right w:val="none" w:sz="0" w:space="0" w:color="auto"/>
      </w:divBdr>
    </w:div>
    <w:div w:id="287592741">
      <w:bodyDiv w:val="1"/>
      <w:marLeft w:val="0"/>
      <w:marRight w:val="0"/>
      <w:marTop w:val="0"/>
      <w:marBottom w:val="0"/>
      <w:divBdr>
        <w:top w:val="none" w:sz="0" w:space="0" w:color="auto"/>
        <w:left w:val="none" w:sz="0" w:space="0" w:color="auto"/>
        <w:bottom w:val="none" w:sz="0" w:space="0" w:color="auto"/>
        <w:right w:val="none" w:sz="0" w:space="0" w:color="auto"/>
      </w:divBdr>
    </w:div>
    <w:div w:id="287780335">
      <w:bodyDiv w:val="1"/>
      <w:marLeft w:val="0"/>
      <w:marRight w:val="0"/>
      <w:marTop w:val="0"/>
      <w:marBottom w:val="0"/>
      <w:divBdr>
        <w:top w:val="none" w:sz="0" w:space="0" w:color="auto"/>
        <w:left w:val="none" w:sz="0" w:space="0" w:color="auto"/>
        <w:bottom w:val="none" w:sz="0" w:space="0" w:color="auto"/>
        <w:right w:val="none" w:sz="0" w:space="0" w:color="auto"/>
      </w:divBdr>
    </w:div>
    <w:div w:id="288560690">
      <w:bodyDiv w:val="1"/>
      <w:marLeft w:val="0"/>
      <w:marRight w:val="0"/>
      <w:marTop w:val="0"/>
      <w:marBottom w:val="0"/>
      <w:divBdr>
        <w:top w:val="none" w:sz="0" w:space="0" w:color="auto"/>
        <w:left w:val="none" w:sz="0" w:space="0" w:color="auto"/>
        <w:bottom w:val="none" w:sz="0" w:space="0" w:color="auto"/>
        <w:right w:val="none" w:sz="0" w:space="0" w:color="auto"/>
      </w:divBdr>
    </w:div>
    <w:div w:id="288826318">
      <w:bodyDiv w:val="1"/>
      <w:marLeft w:val="0"/>
      <w:marRight w:val="0"/>
      <w:marTop w:val="0"/>
      <w:marBottom w:val="0"/>
      <w:divBdr>
        <w:top w:val="none" w:sz="0" w:space="0" w:color="auto"/>
        <w:left w:val="none" w:sz="0" w:space="0" w:color="auto"/>
        <w:bottom w:val="none" w:sz="0" w:space="0" w:color="auto"/>
        <w:right w:val="none" w:sz="0" w:space="0" w:color="auto"/>
      </w:divBdr>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8974007">
      <w:bodyDiv w:val="1"/>
      <w:marLeft w:val="0"/>
      <w:marRight w:val="0"/>
      <w:marTop w:val="0"/>
      <w:marBottom w:val="0"/>
      <w:divBdr>
        <w:top w:val="none" w:sz="0" w:space="0" w:color="auto"/>
        <w:left w:val="none" w:sz="0" w:space="0" w:color="auto"/>
        <w:bottom w:val="none" w:sz="0" w:space="0" w:color="auto"/>
        <w:right w:val="none" w:sz="0" w:space="0" w:color="auto"/>
      </w:divBdr>
    </w:div>
    <w:div w:id="289088833">
      <w:bodyDiv w:val="1"/>
      <w:marLeft w:val="0"/>
      <w:marRight w:val="0"/>
      <w:marTop w:val="0"/>
      <w:marBottom w:val="0"/>
      <w:divBdr>
        <w:top w:val="none" w:sz="0" w:space="0" w:color="auto"/>
        <w:left w:val="none" w:sz="0" w:space="0" w:color="auto"/>
        <w:bottom w:val="none" w:sz="0" w:space="0" w:color="auto"/>
        <w:right w:val="none" w:sz="0" w:space="0" w:color="auto"/>
      </w:divBdr>
    </w:div>
    <w:div w:id="289554075">
      <w:bodyDiv w:val="1"/>
      <w:marLeft w:val="0"/>
      <w:marRight w:val="0"/>
      <w:marTop w:val="0"/>
      <w:marBottom w:val="0"/>
      <w:divBdr>
        <w:top w:val="none" w:sz="0" w:space="0" w:color="auto"/>
        <w:left w:val="none" w:sz="0" w:space="0" w:color="auto"/>
        <w:bottom w:val="none" w:sz="0" w:space="0" w:color="auto"/>
        <w:right w:val="none" w:sz="0" w:space="0" w:color="auto"/>
      </w:divBdr>
    </w:div>
    <w:div w:id="289676994">
      <w:bodyDiv w:val="1"/>
      <w:marLeft w:val="0"/>
      <w:marRight w:val="0"/>
      <w:marTop w:val="0"/>
      <w:marBottom w:val="0"/>
      <w:divBdr>
        <w:top w:val="none" w:sz="0" w:space="0" w:color="auto"/>
        <w:left w:val="none" w:sz="0" w:space="0" w:color="auto"/>
        <w:bottom w:val="none" w:sz="0" w:space="0" w:color="auto"/>
        <w:right w:val="none" w:sz="0" w:space="0" w:color="auto"/>
      </w:divBdr>
    </w:div>
    <w:div w:id="289826596">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290333582">
      <w:bodyDiv w:val="1"/>
      <w:marLeft w:val="0"/>
      <w:marRight w:val="0"/>
      <w:marTop w:val="0"/>
      <w:marBottom w:val="0"/>
      <w:divBdr>
        <w:top w:val="none" w:sz="0" w:space="0" w:color="auto"/>
        <w:left w:val="none" w:sz="0" w:space="0" w:color="auto"/>
        <w:bottom w:val="none" w:sz="0" w:space="0" w:color="auto"/>
        <w:right w:val="none" w:sz="0" w:space="0" w:color="auto"/>
      </w:divBdr>
    </w:div>
    <w:div w:id="290407849">
      <w:bodyDiv w:val="1"/>
      <w:marLeft w:val="0"/>
      <w:marRight w:val="0"/>
      <w:marTop w:val="0"/>
      <w:marBottom w:val="0"/>
      <w:divBdr>
        <w:top w:val="none" w:sz="0" w:space="0" w:color="auto"/>
        <w:left w:val="none" w:sz="0" w:space="0" w:color="auto"/>
        <w:bottom w:val="none" w:sz="0" w:space="0" w:color="auto"/>
        <w:right w:val="none" w:sz="0" w:space="0" w:color="auto"/>
      </w:divBdr>
    </w:div>
    <w:div w:id="290479482">
      <w:bodyDiv w:val="1"/>
      <w:marLeft w:val="0"/>
      <w:marRight w:val="0"/>
      <w:marTop w:val="0"/>
      <w:marBottom w:val="0"/>
      <w:divBdr>
        <w:top w:val="none" w:sz="0" w:space="0" w:color="auto"/>
        <w:left w:val="none" w:sz="0" w:space="0" w:color="auto"/>
        <w:bottom w:val="none" w:sz="0" w:space="0" w:color="auto"/>
        <w:right w:val="none" w:sz="0" w:space="0" w:color="auto"/>
      </w:divBdr>
    </w:div>
    <w:div w:id="290790354">
      <w:bodyDiv w:val="1"/>
      <w:marLeft w:val="0"/>
      <w:marRight w:val="0"/>
      <w:marTop w:val="0"/>
      <w:marBottom w:val="0"/>
      <w:divBdr>
        <w:top w:val="none" w:sz="0" w:space="0" w:color="auto"/>
        <w:left w:val="none" w:sz="0" w:space="0" w:color="auto"/>
        <w:bottom w:val="none" w:sz="0" w:space="0" w:color="auto"/>
        <w:right w:val="none" w:sz="0" w:space="0" w:color="auto"/>
      </w:divBdr>
    </w:div>
    <w:div w:id="291135473">
      <w:bodyDiv w:val="1"/>
      <w:marLeft w:val="0"/>
      <w:marRight w:val="0"/>
      <w:marTop w:val="0"/>
      <w:marBottom w:val="0"/>
      <w:divBdr>
        <w:top w:val="none" w:sz="0" w:space="0" w:color="auto"/>
        <w:left w:val="none" w:sz="0" w:space="0" w:color="auto"/>
        <w:bottom w:val="none" w:sz="0" w:space="0" w:color="auto"/>
        <w:right w:val="none" w:sz="0" w:space="0" w:color="auto"/>
      </w:divBdr>
    </w:div>
    <w:div w:id="291400866">
      <w:bodyDiv w:val="1"/>
      <w:marLeft w:val="0"/>
      <w:marRight w:val="0"/>
      <w:marTop w:val="0"/>
      <w:marBottom w:val="0"/>
      <w:divBdr>
        <w:top w:val="none" w:sz="0" w:space="0" w:color="auto"/>
        <w:left w:val="none" w:sz="0" w:space="0" w:color="auto"/>
        <w:bottom w:val="none" w:sz="0" w:space="0" w:color="auto"/>
        <w:right w:val="none" w:sz="0" w:space="0" w:color="auto"/>
      </w:divBdr>
    </w:div>
    <w:div w:id="291600959">
      <w:bodyDiv w:val="1"/>
      <w:marLeft w:val="0"/>
      <w:marRight w:val="0"/>
      <w:marTop w:val="0"/>
      <w:marBottom w:val="0"/>
      <w:divBdr>
        <w:top w:val="none" w:sz="0" w:space="0" w:color="auto"/>
        <w:left w:val="none" w:sz="0" w:space="0" w:color="auto"/>
        <w:bottom w:val="none" w:sz="0" w:space="0" w:color="auto"/>
        <w:right w:val="none" w:sz="0" w:space="0" w:color="auto"/>
      </w:divBdr>
    </w:div>
    <w:div w:id="292566077">
      <w:bodyDiv w:val="1"/>
      <w:marLeft w:val="0"/>
      <w:marRight w:val="0"/>
      <w:marTop w:val="0"/>
      <w:marBottom w:val="0"/>
      <w:divBdr>
        <w:top w:val="none" w:sz="0" w:space="0" w:color="auto"/>
        <w:left w:val="none" w:sz="0" w:space="0" w:color="auto"/>
        <w:bottom w:val="none" w:sz="0" w:space="0" w:color="auto"/>
        <w:right w:val="none" w:sz="0" w:space="0" w:color="auto"/>
      </w:divBdr>
    </w:div>
    <w:div w:id="292684511">
      <w:bodyDiv w:val="1"/>
      <w:marLeft w:val="0"/>
      <w:marRight w:val="0"/>
      <w:marTop w:val="0"/>
      <w:marBottom w:val="0"/>
      <w:divBdr>
        <w:top w:val="none" w:sz="0" w:space="0" w:color="auto"/>
        <w:left w:val="none" w:sz="0" w:space="0" w:color="auto"/>
        <w:bottom w:val="none" w:sz="0" w:space="0" w:color="auto"/>
        <w:right w:val="none" w:sz="0" w:space="0" w:color="auto"/>
      </w:divBdr>
    </w:div>
    <w:div w:id="292760418">
      <w:bodyDiv w:val="1"/>
      <w:marLeft w:val="0"/>
      <w:marRight w:val="0"/>
      <w:marTop w:val="0"/>
      <w:marBottom w:val="0"/>
      <w:divBdr>
        <w:top w:val="none" w:sz="0" w:space="0" w:color="auto"/>
        <w:left w:val="none" w:sz="0" w:space="0" w:color="auto"/>
        <w:bottom w:val="none" w:sz="0" w:space="0" w:color="auto"/>
        <w:right w:val="none" w:sz="0" w:space="0" w:color="auto"/>
      </w:divBdr>
    </w:div>
    <w:div w:id="292761174">
      <w:bodyDiv w:val="1"/>
      <w:marLeft w:val="0"/>
      <w:marRight w:val="0"/>
      <w:marTop w:val="0"/>
      <w:marBottom w:val="0"/>
      <w:divBdr>
        <w:top w:val="none" w:sz="0" w:space="0" w:color="auto"/>
        <w:left w:val="none" w:sz="0" w:space="0" w:color="auto"/>
        <w:bottom w:val="none" w:sz="0" w:space="0" w:color="auto"/>
        <w:right w:val="none" w:sz="0" w:space="0" w:color="auto"/>
      </w:divBdr>
    </w:div>
    <w:div w:id="292836038">
      <w:bodyDiv w:val="1"/>
      <w:marLeft w:val="0"/>
      <w:marRight w:val="0"/>
      <w:marTop w:val="0"/>
      <w:marBottom w:val="0"/>
      <w:divBdr>
        <w:top w:val="none" w:sz="0" w:space="0" w:color="auto"/>
        <w:left w:val="none" w:sz="0" w:space="0" w:color="auto"/>
        <w:bottom w:val="none" w:sz="0" w:space="0" w:color="auto"/>
        <w:right w:val="none" w:sz="0" w:space="0" w:color="auto"/>
      </w:divBdr>
    </w:div>
    <w:div w:id="293096844">
      <w:bodyDiv w:val="1"/>
      <w:marLeft w:val="0"/>
      <w:marRight w:val="0"/>
      <w:marTop w:val="0"/>
      <w:marBottom w:val="0"/>
      <w:divBdr>
        <w:top w:val="none" w:sz="0" w:space="0" w:color="auto"/>
        <w:left w:val="none" w:sz="0" w:space="0" w:color="auto"/>
        <w:bottom w:val="none" w:sz="0" w:space="0" w:color="auto"/>
        <w:right w:val="none" w:sz="0" w:space="0" w:color="auto"/>
      </w:divBdr>
    </w:div>
    <w:div w:id="293147298">
      <w:bodyDiv w:val="1"/>
      <w:marLeft w:val="0"/>
      <w:marRight w:val="0"/>
      <w:marTop w:val="0"/>
      <w:marBottom w:val="0"/>
      <w:divBdr>
        <w:top w:val="none" w:sz="0" w:space="0" w:color="auto"/>
        <w:left w:val="none" w:sz="0" w:space="0" w:color="auto"/>
        <w:bottom w:val="none" w:sz="0" w:space="0" w:color="auto"/>
        <w:right w:val="none" w:sz="0" w:space="0" w:color="auto"/>
      </w:divBdr>
    </w:div>
    <w:div w:id="293221534">
      <w:bodyDiv w:val="1"/>
      <w:marLeft w:val="0"/>
      <w:marRight w:val="0"/>
      <w:marTop w:val="0"/>
      <w:marBottom w:val="0"/>
      <w:divBdr>
        <w:top w:val="none" w:sz="0" w:space="0" w:color="auto"/>
        <w:left w:val="none" w:sz="0" w:space="0" w:color="auto"/>
        <w:bottom w:val="none" w:sz="0" w:space="0" w:color="auto"/>
        <w:right w:val="none" w:sz="0" w:space="0" w:color="auto"/>
      </w:divBdr>
    </w:div>
    <w:div w:id="293415781">
      <w:bodyDiv w:val="1"/>
      <w:marLeft w:val="0"/>
      <w:marRight w:val="0"/>
      <w:marTop w:val="0"/>
      <w:marBottom w:val="0"/>
      <w:divBdr>
        <w:top w:val="none" w:sz="0" w:space="0" w:color="auto"/>
        <w:left w:val="none" w:sz="0" w:space="0" w:color="auto"/>
        <w:bottom w:val="none" w:sz="0" w:space="0" w:color="auto"/>
        <w:right w:val="none" w:sz="0" w:space="0" w:color="auto"/>
      </w:divBdr>
    </w:div>
    <w:div w:id="293484083">
      <w:bodyDiv w:val="1"/>
      <w:marLeft w:val="0"/>
      <w:marRight w:val="0"/>
      <w:marTop w:val="0"/>
      <w:marBottom w:val="0"/>
      <w:divBdr>
        <w:top w:val="none" w:sz="0" w:space="0" w:color="auto"/>
        <w:left w:val="none" w:sz="0" w:space="0" w:color="auto"/>
        <w:bottom w:val="none" w:sz="0" w:space="0" w:color="auto"/>
        <w:right w:val="none" w:sz="0" w:space="0" w:color="auto"/>
      </w:divBdr>
    </w:div>
    <w:div w:id="293486811">
      <w:bodyDiv w:val="1"/>
      <w:marLeft w:val="0"/>
      <w:marRight w:val="0"/>
      <w:marTop w:val="0"/>
      <w:marBottom w:val="0"/>
      <w:divBdr>
        <w:top w:val="none" w:sz="0" w:space="0" w:color="auto"/>
        <w:left w:val="none" w:sz="0" w:space="0" w:color="auto"/>
        <w:bottom w:val="none" w:sz="0" w:space="0" w:color="auto"/>
        <w:right w:val="none" w:sz="0" w:space="0" w:color="auto"/>
      </w:divBdr>
    </w:div>
    <w:div w:id="294410550">
      <w:bodyDiv w:val="1"/>
      <w:marLeft w:val="0"/>
      <w:marRight w:val="0"/>
      <w:marTop w:val="0"/>
      <w:marBottom w:val="0"/>
      <w:divBdr>
        <w:top w:val="none" w:sz="0" w:space="0" w:color="auto"/>
        <w:left w:val="none" w:sz="0" w:space="0" w:color="auto"/>
        <w:bottom w:val="none" w:sz="0" w:space="0" w:color="auto"/>
        <w:right w:val="none" w:sz="0" w:space="0" w:color="auto"/>
      </w:divBdr>
    </w:div>
    <w:div w:id="294529091">
      <w:bodyDiv w:val="1"/>
      <w:marLeft w:val="0"/>
      <w:marRight w:val="0"/>
      <w:marTop w:val="0"/>
      <w:marBottom w:val="0"/>
      <w:divBdr>
        <w:top w:val="none" w:sz="0" w:space="0" w:color="auto"/>
        <w:left w:val="none" w:sz="0" w:space="0" w:color="auto"/>
        <w:bottom w:val="none" w:sz="0" w:space="0" w:color="auto"/>
        <w:right w:val="none" w:sz="0" w:space="0" w:color="auto"/>
      </w:divBdr>
    </w:div>
    <w:div w:id="294725825">
      <w:bodyDiv w:val="1"/>
      <w:marLeft w:val="0"/>
      <w:marRight w:val="0"/>
      <w:marTop w:val="0"/>
      <w:marBottom w:val="0"/>
      <w:divBdr>
        <w:top w:val="none" w:sz="0" w:space="0" w:color="auto"/>
        <w:left w:val="none" w:sz="0" w:space="0" w:color="auto"/>
        <w:bottom w:val="none" w:sz="0" w:space="0" w:color="auto"/>
        <w:right w:val="none" w:sz="0" w:space="0" w:color="auto"/>
      </w:divBdr>
    </w:div>
    <w:div w:id="294989906">
      <w:bodyDiv w:val="1"/>
      <w:marLeft w:val="0"/>
      <w:marRight w:val="0"/>
      <w:marTop w:val="0"/>
      <w:marBottom w:val="0"/>
      <w:divBdr>
        <w:top w:val="none" w:sz="0" w:space="0" w:color="auto"/>
        <w:left w:val="none" w:sz="0" w:space="0" w:color="auto"/>
        <w:bottom w:val="none" w:sz="0" w:space="0" w:color="auto"/>
        <w:right w:val="none" w:sz="0" w:space="0" w:color="auto"/>
      </w:divBdr>
    </w:div>
    <w:div w:id="295262941">
      <w:bodyDiv w:val="1"/>
      <w:marLeft w:val="0"/>
      <w:marRight w:val="0"/>
      <w:marTop w:val="0"/>
      <w:marBottom w:val="0"/>
      <w:divBdr>
        <w:top w:val="none" w:sz="0" w:space="0" w:color="auto"/>
        <w:left w:val="none" w:sz="0" w:space="0" w:color="auto"/>
        <w:bottom w:val="none" w:sz="0" w:space="0" w:color="auto"/>
        <w:right w:val="none" w:sz="0" w:space="0" w:color="auto"/>
      </w:divBdr>
    </w:div>
    <w:div w:id="295532061">
      <w:bodyDiv w:val="1"/>
      <w:marLeft w:val="0"/>
      <w:marRight w:val="0"/>
      <w:marTop w:val="0"/>
      <w:marBottom w:val="0"/>
      <w:divBdr>
        <w:top w:val="none" w:sz="0" w:space="0" w:color="auto"/>
        <w:left w:val="none" w:sz="0" w:space="0" w:color="auto"/>
        <w:bottom w:val="none" w:sz="0" w:space="0" w:color="auto"/>
        <w:right w:val="none" w:sz="0" w:space="0" w:color="auto"/>
      </w:divBdr>
    </w:div>
    <w:div w:id="296037723">
      <w:bodyDiv w:val="1"/>
      <w:marLeft w:val="0"/>
      <w:marRight w:val="0"/>
      <w:marTop w:val="0"/>
      <w:marBottom w:val="0"/>
      <w:divBdr>
        <w:top w:val="none" w:sz="0" w:space="0" w:color="auto"/>
        <w:left w:val="none" w:sz="0" w:space="0" w:color="auto"/>
        <w:bottom w:val="none" w:sz="0" w:space="0" w:color="auto"/>
        <w:right w:val="none" w:sz="0" w:space="0" w:color="auto"/>
      </w:divBdr>
    </w:div>
    <w:div w:id="296760747">
      <w:bodyDiv w:val="1"/>
      <w:marLeft w:val="0"/>
      <w:marRight w:val="0"/>
      <w:marTop w:val="0"/>
      <w:marBottom w:val="0"/>
      <w:divBdr>
        <w:top w:val="none" w:sz="0" w:space="0" w:color="auto"/>
        <w:left w:val="none" w:sz="0" w:space="0" w:color="auto"/>
        <w:bottom w:val="none" w:sz="0" w:space="0" w:color="auto"/>
        <w:right w:val="none" w:sz="0" w:space="0" w:color="auto"/>
      </w:divBdr>
    </w:div>
    <w:div w:id="296886292">
      <w:bodyDiv w:val="1"/>
      <w:marLeft w:val="0"/>
      <w:marRight w:val="0"/>
      <w:marTop w:val="0"/>
      <w:marBottom w:val="0"/>
      <w:divBdr>
        <w:top w:val="none" w:sz="0" w:space="0" w:color="auto"/>
        <w:left w:val="none" w:sz="0" w:space="0" w:color="auto"/>
        <w:bottom w:val="none" w:sz="0" w:space="0" w:color="auto"/>
        <w:right w:val="none" w:sz="0" w:space="0" w:color="auto"/>
      </w:divBdr>
    </w:div>
    <w:div w:id="297103860">
      <w:bodyDiv w:val="1"/>
      <w:marLeft w:val="0"/>
      <w:marRight w:val="0"/>
      <w:marTop w:val="0"/>
      <w:marBottom w:val="0"/>
      <w:divBdr>
        <w:top w:val="none" w:sz="0" w:space="0" w:color="auto"/>
        <w:left w:val="none" w:sz="0" w:space="0" w:color="auto"/>
        <w:bottom w:val="none" w:sz="0" w:space="0" w:color="auto"/>
        <w:right w:val="none" w:sz="0" w:space="0" w:color="auto"/>
      </w:divBdr>
    </w:div>
    <w:div w:id="297227796">
      <w:bodyDiv w:val="1"/>
      <w:marLeft w:val="0"/>
      <w:marRight w:val="0"/>
      <w:marTop w:val="0"/>
      <w:marBottom w:val="0"/>
      <w:divBdr>
        <w:top w:val="none" w:sz="0" w:space="0" w:color="auto"/>
        <w:left w:val="none" w:sz="0" w:space="0" w:color="auto"/>
        <w:bottom w:val="none" w:sz="0" w:space="0" w:color="auto"/>
        <w:right w:val="none" w:sz="0" w:space="0" w:color="auto"/>
      </w:divBdr>
    </w:div>
    <w:div w:id="297494021">
      <w:bodyDiv w:val="1"/>
      <w:marLeft w:val="0"/>
      <w:marRight w:val="0"/>
      <w:marTop w:val="0"/>
      <w:marBottom w:val="0"/>
      <w:divBdr>
        <w:top w:val="none" w:sz="0" w:space="0" w:color="auto"/>
        <w:left w:val="none" w:sz="0" w:space="0" w:color="auto"/>
        <w:bottom w:val="none" w:sz="0" w:space="0" w:color="auto"/>
        <w:right w:val="none" w:sz="0" w:space="0" w:color="auto"/>
      </w:divBdr>
    </w:div>
    <w:div w:id="297876985">
      <w:bodyDiv w:val="1"/>
      <w:marLeft w:val="0"/>
      <w:marRight w:val="0"/>
      <w:marTop w:val="0"/>
      <w:marBottom w:val="0"/>
      <w:divBdr>
        <w:top w:val="none" w:sz="0" w:space="0" w:color="auto"/>
        <w:left w:val="none" w:sz="0" w:space="0" w:color="auto"/>
        <w:bottom w:val="none" w:sz="0" w:space="0" w:color="auto"/>
        <w:right w:val="none" w:sz="0" w:space="0" w:color="auto"/>
      </w:divBdr>
    </w:div>
    <w:div w:id="298610862">
      <w:bodyDiv w:val="1"/>
      <w:marLeft w:val="0"/>
      <w:marRight w:val="0"/>
      <w:marTop w:val="0"/>
      <w:marBottom w:val="0"/>
      <w:divBdr>
        <w:top w:val="none" w:sz="0" w:space="0" w:color="auto"/>
        <w:left w:val="none" w:sz="0" w:space="0" w:color="auto"/>
        <w:bottom w:val="none" w:sz="0" w:space="0" w:color="auto"/>
        <w:right w:val="none" w:sz="0" w:space="0" w:color="auto"/>
      </w:divBdr>
    </w:div>
    <w:div w:id="298654006">
      <w:bodyDiv w:val="1"/>
      <w:marLeft w:val="0"/>
      <w:marRight w:val="0"/>
      <w:marTop w:val="0"/>
      <w:marBottom w:val="0"/>
      <w:divBdr>
        <w:top w:val="none" w:sz="0" w:space="0" w:color="auto"/>
        <w:left w:val="none" w:sz="0" w:space="0" w:color="auto"/>
        <w:bottom w:val="none" w:sz="0" w:space="0" w:color="auto"/>
        <w:right w:val="none" w:sz="0" w:space="0" w:color="auto"/>
      </w:divBdr>
    </w:div>
    <w:div w:id="298802533">
      <w:bodyDiv w:val="1"/>
      <w:marLeft w:val="0"/>
      <w:marRight w:val="0"/>
      <w:marTop w:val="0"/>
      <w:marBottom w:val="0"/>
      <w:divBdr>
        <w:top w:val="none" w:sz="0" w:space="0" w:color="auto"/>
        <w:left w:val="none" w:sz="0" w:space="0" w:color="auto"/>
        <w:bottom w:val="none" w:sz="0" w:space="0" w:color="auto"/>
        <w:right w:val="none" w:sz="0" w:space="0" w:color="auto"/>
      </w:divBdr>
    </w:div>
    <w:div w:id="299043988">
      <w:bodyDiv w:val="1"/>
      <w:marLeft w:val="0"/>
      <w:marRight w:val="0"/>
      <w:marTop w:val="0"/>
      <w:marBottom w:val="0"/>
      <w:divBdr>
        <w:top w:val="none" w:sz="0" w:space="0" w:color="auto"/>
        <w:left w:val="none" w:sz="0" w:space="0" w:color="auto"/>
        <w:bottom w:val="none" w:sz="0" w:space="0" w:color="auto"/>
        <w:right w:val="none" w:sz="0" w:space="0" w:color="auto"/>
      </w:divBdr>
    </w:div>
    <w:div w:id="299117982">
      <w:bodyDiv w:val="1"/>
      <w:marLeft w:val="0"/>
      <w:marRight w:val="0"/>
      <w:marTop w:val="0"/>
      <w:marBottom w:val="0"/>
      <w:divBdr>
        <w:top w:val="none" w:sz="0" w:space="0" w:color="auto"/>
        <w:left w:val="none" w:sz="0" w:space="0" w:color="auto"/>
        <w:bottom w:val="none" w:sz="0" w:space="0" w:color="auto"/>
        <w:right w:val="none" w:sz="0" w:space="0" w:color="auto"/>
      </w:divBdr>
    </w:div>
    <w:div w:id="299504684">
      <w:bodyDiv w:val="1"/>
      <w:marLeft w:val="0"/>
      <w:marRight w:val="0"/>
      <w:marTop w:val="0"/>
      <w:marBottom w:val="0"/>
      <w:divBdr>
        <w:top w:val="none" w:sz="0" w:space="0" w:color="auto"/>
        <w:left w:val="none" w:sz="0" w:space="0" w:color="auto"/>
        <w:bottom w:val="none" w:sz="0" w:space="0" w:color="auto"/>
        <w:right w:val="none" w:sz="0" w:space="0" w:color="auto"/>
      </w:divBdr>
    </w:div>
    <w:div w:id="300157106">
      <w:bodyDiv w:val="1"/>
      <w:marLeft w:val="0"/>
      <w:marRight w:val="0"/>
      <w:marTop w:val="0"/>
      <w:marBottom w:val="0"/>
      <w:divBdr>
        <w:top w:val="none" w:sz="0" w:space="0" w:color="auto"/>
        <w:left w:val="none" w:sz="0" w:space="0" w:color="auto"/>
        <w:bottom w:val="none" w:sz="0" w:space="0" w:color="auto"/>
        <w:right w:val="none" w:sz="0" w:space="0" w:color="auto"/>
      </w:divBdr>
    </w:div>
    <w:div w:id="300158700">
      <w:bodyDiv w:val="1"/>
      <w:marLeft w:val="0"/>
      <w:marRight w:val="0"/>
      <w:marTop w:val="0"/>
      <w:marBottom w:val="0"/>
      <w:divBdr>
        <w:top w:val="none" w:sz="0" w:space="0" w:color="auto"/>
        <w:left w:val="none" w:sz="0" w:space="0" w:color="auto"/>
        <w:bottom w:val="none" w:sz="0" w:space="0" w:color="auto"/>
        <w:right w:val="none" w:sz="0" w:space="0" w:color="auto"/>
      </w:divBdr>
    </w:div>
    <w:div w:id="300304128">
      <w:bodyDiv w:val="1"/>
      <w:marLeft w:val="0"/>
      <w:marRight w:val="0"/>
      <w:marTop w:val="0"/>
      <w:marBottom w:val="0"/>
      <w:divBdr>
        <w:top w:val="none" w:sz="0" w:space="0" w:color="auto"/>
        <w:left w:val="none" w:sz="0" w:space="0" w:color="auto"/>
        <w:bottom w:val="none" w:sz="0" w:space="0" w:color="auto"/>
        <w:right w:val="none" w:sz="0" w:space="0" w:color="auto"/>
      </w:divBdr>
    </w:div>
    <w:div w:id="300430755">
      <w:bodyDiv w:val="1"/>
      <w:marLeft w:val="0"/>
      <w:marRight w:val="0"/>
      <w:marTop w:val="0"/>
      <w:marBottom w:val="0"/>
      <w:divBdr>
        <w:top w:val="none" w:sz="0" w:space="0" w:color="auto"/>
        <w:left w:val="none" w:sz="0" w:space="0" w:color="auto"/>
        <w:bottom w:val="none" w:sz="0" w:space="0" w:color="auto"/>
        <w:right w:val="none" w:sz="0" w:space="0" w:color="auto"/>
      </w:divBdr>
    </w:div>
    <w:div w:id="300499135">
      <w:bodyDiv w:val="1"/>
      <w:marLeft w:val="0"/>
      <w:marRight w:val="0"/>
      <w:marTop w:val="0"/>
      <w:marBottom w:val="0"/>
      <w:divBdr>
        <w:top w:val="none" w:sz="0" w:space="0" w:color="auto"/>
        <w:left w:val="none" w:sz="0" w:space="0" w:color="auto"/>
        <w:bottom w:val="none" w:sz="0" w:space="0" w:color="auto"/>
        <w:right w:val="none" w:sz="0" w:space="0" w:color="auto"/>
      </w:divBdr>
    </w:div>
    <w:div w:id="300965301">
      <w:bodyDiv w:val="1"/>
      <w:marLeft w:val="0"/>
      <w:marRight w:val="0"/>
      <w:marTop w:val="0"/>
      <w:marBottom w:val="0"/>
      <w:divBdr>
        <w:top w:val="none" w:sz="0" w:space="0" w:color="auto"/>
        <w:left w:val="none" w:sz="0" w:space="0" w:color="auto"/>
        <w:bottom w:val="none" w:sz="0" w:space="0" w:color="auto"/>
        <w:right w:val="none" w:sz="0" w:space="0" w:color="auto"/>
      </w:divBdr>
    </w:div>
    <w:div w:id="301085029">
      <w:bodyDiv w:val="1"/>
      <w:marLeft w:val="0"/>
      <w:marRight w:val="0"/>
      <w:marTop w:val="0"/>
      <w:marBottom w:val="0"/>
      <w:divBdr>
        <w:top w:val="none" w:sz="0" w:space="0" w:color="auto"/>
        <w:left w:val="none" w:sz="0" w:space="0" w:color="auto"/>
        <w:bottom w:val="none" w:sz="0" w:space="0" w:color="auto"/>
        <w:right w:val="none" w:sz="0" w:space="0" w:color="auto"/>
      </w:divBdr>
    </w:div>
    <w:div w:id="301153877">
      <w:bodyDiv w:val="1"/>
      <w:marLeft w:val="0"/>
      <w:marRight w:val="0"/>
      <w:marTop w:val="0"/>
      <w:marBottom w:val="0"/>
      <w:divBdr>
        <w:top w:val="none" w:sz="0" w:space="0" w:color="auto"/>
        <w:left w:val="none" w:sz="0" w:space="0" w:color="auto"/>
        <w:bottom w:val="none" w:sz="0" w:space="0" w:color="auto"/>
        <w:right w:val="none" w:sz="0" w:space="0" w:color="auto"/>
      </w:divBdr>
    </w:div>
    <w:div w:id="301545771">
      <w:bodyDiv w:val="1"/>
      <w:marLeft w:val="0"/>
      <w:marRight w:val="0"/>
      <w:marTop w:val="0"/>
      <w:marBottom w:val="0"/>
      <w:divBdr>
        <w:top w:val="none" w:sz="0" w:space="0" w:color="auto"/>
        <w:left w:val="none" w:sz="0" w:space="0" w:color="auto"/>
        <w:bottom w:val="none" w:sz="0" w:space="0" w:color="auto"/>
        <w:right w:val="none" w:sz="0" w:space="0" w:color="auto"/>
      </w:divBdr>
    </w:div>
    <w:div w:id="301622844">
      <w:bodyDiv w:val="1"/>
      <w:marLeft w:val="0"/>
      <w:marRight w:val="0"/>
      <w:marTop w:val="0"/>
      <w:marBottom w:val="0"/>
      <w:divBdr>
        <w:top w:val="none" w:sz="0" w:space="0" w:color="auto"/>
        <w:left w:val="none" w:sz="0" w:space="0" w:color="auto"/>
        <w:bottom w:val="none" w:sz="0" w:space="0" w:color="auto"/>
        <w:right w:val="none" w:sz="0" w:space="0" w:color="auto"/>
      </w:divBdr>
    </w:div>
    <w:div w:id="303463448">
      <w:bodyDiv w:val="1"/>
      <w:marLeft w:val="0"/>
      <w:marRight w:val="0"/>
      <w:marTop w:val="0"/>
      <w:marBottom w:val="0"/>
      <w:divBdr>
        <w:top w:val="none" w:sz="0" w:space="0" w:color="auto"/>
        <w:left w:val="none" w:sz="0" w:space="0" w:color="auto"/>
        <w:bottom w:val="none" w:sz="0" w:space="0" w:color="auto"/>
        <w:right w:val="none" w:sz="0" w:space="0" w:color="auto"/>
      </w:divBdr>
    </w:div>
    <w:div w:id="303855221">
      <w:bodyDiv w:val="1"/>
      <w:marLeft w:val="0"/>
      <w:marRight w:val="0"/>
      <w:marTop w:val="0"/>
      <w:marBottom w:val="0"/>
      <w:divBdr>
        <w:top w:val="none" w:sz="0" w:space="0" w:color="auto"/>
        <w:left w:val="none" w:sz="0" w:space="0" w:color="auto"/>
        <w:bottom w:val="none" w:sz="0" w:space="0" w:color="auto"/>
        <w:right w:val="none" w:sz="0" w:space="0" w:color="auto"/>
      </w:divBdr>
    </w:div>
    <w:div w:id="304236064">
      <w:bodyDiv w:val="1"/>
      <w:marLeft w:val="0"/>
      <w:marRight w:val="0"/>
      <w:marTop w:val="0"/>
      <w:marBottom w:val="0"/>
      <w:divBdr>
        <w:top w:val="none" w:sz="0" w:space="0" w:color="auto"/>
        <w:left w:val="none" w:sz="0" w:space="0" w:color="auto"/>
        <w:bottom w:val="none" w:sz="0" w:space="0" w:color="auto"/>
        <w:right w:val="none" w:sz="0" w:space="0" w:color="auto"/>
      </w:divBdr>
    </w:div>
    <w:div w:id="304627869">
      <w:bodyDiv w:val="1"/>
      <w:marLeft w:val="0"/>
      <w:marRight w:val="0"/>
      <w:marTop w:val="0"/>
      <w:marBottom w:val="0"/>
      <w:divBdr>
        <w:top w:val="none" w:sz="0" w:space="0" w:color="auto"/>
        <w:left w:val="none" w:sz="0" w:space="0" w:color="auto"/>
        <w:bottom w:val="none" w:sz="0" w:space="0" w:color="auto"/>
        <w:right w:val="none" w:sz="0" w:space="0" w:color="auto"/>
      </w:divBdr>
    </w:div>
    <w:div w:id="304899242">
      <w:bodyDiv w:val="1"/>
      <w:marLeft w:val="0"/>
      <w:marRight w:val="0"/>
      <w:marTop w:val="0"/>
      <w:marBottom w:val="0"/>
      <w:divBdr>
        <w:top w:val="none" w:sz="0" w:space="0" w:color="auto"/>
        <w:left w:val="none" w:sz="0" w:space="0" w:color="auto"/>
        <w:bottom w:val="none" w:sz="0" w:space="0" w:color="auto"/>
        <w:right w:val="none" w:sz="0" w:space="0" w:color="auto"/>
      </w:divBdr>
    </w:div>
    <w:div w:id="305135772">
      <w:bodyDiv w:val="1"/>
      <w:marLeft w:val="0"/>
      <w:marRight w:val="0"/>
      <w:marTop w:val="0"/>
      <w:marBottom w:val="0"/>
      <w:divBdr>
        <w:top w:val="none" w:sz="0" w:space="0" w:color="auto"/>
        <w:left w:val="none" w:sz="0" w:space="0" w:color="auto"/>
        <w:bottom w:val="none" w:sz="0" w:space="0" w:color="auto"/>
        <w:right w:val="none" w:sz="0" w:space="0" w:color="auto"/>
      </w:divBdr>
    </w:div>
    <w:div w:id="305283934">
      <w:bodyDiv w:val="1"/>
      <w:marLeft w:val="0"/>
      <w:marRight w:val="0"/>
      <w:marTop w:val="0"/>
      <w:marBottom w:val="0"/>
      <w:divBdr>
        <w:top w:val="none" w:sz="0" w:space="0" w:color="auto"/>
        <w:left w:val="none" w:sz="0" w:space="0" w:color="auto"/>
        <w:bottom w:val="none" w:sz="0" w:space="0" w:color="auto"/>
        <w:right w:val="none" w:sz="0" w:space="0" w:color="auto"/>
      </w:divBdr>
    </w:div>
    <w:div w:id="305356990">
      <w:bodyDiv w:val="1"/>
      <w:marLeft w:val="0"/>
      <w:marRight w:val="0"/>
      <w:marTop w:val="0"/>
      <w:marBottom w:val="0"/>
      <w:divBdr>
        <w:top w:val="none" w:sz="0" w:space="0" w:color="auto"/>
        <w:left w:val="none" w:sz="0" w:space="0" w:color="auto"/>
        <w:bottom w:val="none" w:sz="0" w:space="0" w:color="auto"/>
        <w:right w:val="none" w:sz="0" w:space="0" w:color="auto"/>
      </w:divBdr>
    </w:div>
    <w:div w:id="305739444">
      <w:bodyDiv w:val="1"/>
      <w:marLeft w:val="0"/>
      <w:marRight w:val="0"/>
      <w:marTop w:val="0"/>
      <w:marBottom w:val="0"/>
      <w:divBdr>
        <w:top w:val="none" w:sz="0" w:space="0" w:color="auto"/>
        <w:left w:val="none" w:sz="0" w:space="0" w:color="auto"/>
        <w:bottom w:val="none" w:sz="0" w:space="0" w:color="auto"/>
        <w:right w:val="none" w:sz="0" w:space="0" w:color="auto"/>
      </w:divBdr>
    </w:div>
    <w:div w:id="305739611">
      <w:bodyDiv w:val="1"/>
      <w:marLeft w:val="0"/>
      <w:marRight w:val="0"/>
      <w:marTop w:val="0"/>
      <w:marBottom w:val="0"/>
      <w:divBdr>
        <w:top w:val="none" w:sz="0" w:space="0" w:color="auto"/>
        <w:left w:val="none" w:sz="0" w:space="0" w:color="auto"/>
        <w:bottom w:val="none" w:sz="0" w:space="0" w:color="auto"/>
        <w:right w:val="none" w:sz="0" w:space="0" w:color="auto"/>
      </w:divBdr>
    </w:div>
    <w:div w:id="305748484">
      <w:bodyDiv w:val="1"/>
      <w:marLeft w:val="0"/>
      <w:marRight w:val="0"/>
      <w:marTop w:val="0"/>
      <w:marBottom w:val="0"/>
      <w:divBdr>
        <w:top w:val="none" w:sz="0" w:space="0" w:color="auto"/>
        <w:left w:val="none" w:sz="0" w:space="0" w:color="auto"/>
        <w:bottom w:val="none" w:sz="0" w:space="0" w:color="auto"/>
        <w:right w:val="none" w:sz="0" w:space="0" w:color="auto"/>
      </w:divBdr>
    </w:div>
    <w:div w:id="305858040">
      <w:bodyDiv w:val="1"/>
      <w:marLeft w:val="0"/>
      <w:marRight w:val="0"/>
      <w:marTop w:val="0"/>
      <w:marBottom w:val="0"/>
      <w:divBdr>
        <w:top w:val="none" w:sz="0" w:space="0" w:color="auto"/>
        <w:left w:val="none" w:sz="0" w:space="0" w:color="auto"/>
        <w:bottom w:val="none" w:sz="0" w:space="0" w:color="auto"/>
        <w:right w:val="none" w:sz="0" w:space="0" w:color="auto"/>
      </w:divBdr>
    </w:div>
    <w:div w:id="306056184">
      <w:bodyDiv w:val="1"/>
      <w:marLeft w:val="0"/>
      <w:marRight w:val="0"/>
      <w:marTop w:val="0"/>
      <w:marBottom w:val="0"/>
      <w:divBdr>
        <w:top w:val="none" w:sz="0" w:space="0" w:color="auto"/>
        <w:left w:val="none" w:sz="0" w:space="0" w:color="auto"/>
        <w:bottom w:val="none" w:sz="0" w:space="0" w:color="auto"/>
        <w:right w:val="none" w:sz="0" w:space="0" w:color="auto"/>
      </w:divBdr>
    </w:div>
    <w:div w:id="306789192">
      <w:bodyDiv w:val="1"/>
      <w:marLeft w:val="0"/>
      <w:marRight w:val="0"/>
      <w:marTop w:val="0"/>
      <w:marBottom w:val="0"/>
      <w:divBdr>
        <w:top w:val="none" w:sz="0" w:space="0" w:color="auto"/>
        <w:left w:val="none" w:sz="0" w:space="0" w:color="auto"/>
        <w:bottom w:val="none" w:sz="0" w:space="0" w:color="auto"/>
        <w:right w:val="none" w:sz="0" w:space="0" w:color="auto"/>
      </w:divBdr>
    </w:div>
    <w:div w:id="307514323">
      <w:bodyDiv w:val="1"/>
      <w:marLeft w:val="0"/>
      <w:marRight w:val="0"/>
      <w:marTop w:val="0"/>
      <w:marBottom w:val="0"/>
      <w:divBdr>
        <w:top w:val="none" w:sz="0" w:space="0" w:color="auto"/>
        <w:left w:val="none" w:sz="0" w:space="0" w:color="auto"/>
        <w:bottom w:val="none" w:sz="0" w:space="0" w:color="auto"/>
        <w:right w:val="none" w:sz="0" w:space="0" w:color="auto"/>
      </w:divBdr>
    </w:div>
    <w:div w:id="307561274">
      <w:bodyDiv w:val="1"/>
      <w:marLeft w:val="0"/>
      <w:marRight w:val="0"/>
      <w:marTop w:val="0"/>
      <w:marBottom w:val="0"/>
      <w:divBdr>
        <w:top w:val="none" w:sz="0" w:space="0" w:color="auto"/>
        <w:left w:val="none" w:sz="0" w:space="0" w:color="auto"/>
        <w:bottom w:val="none" w:sz="0" w:space="0" w:color="auto"/>
        <w:right w:val="none" w:sz="0" w:space="0" w:color="auto"/>
      </w:divBdr>
    </w:div>
    <w:div w:id="307832318">
      <w:bodyDiv w:val="1"/>
      <w:marLeft w:val="0"/>
      <w:marRight w:val="0"/>
      <w:marTop w:val="0"/>
      <w:marBottom w:val="0"/>
      <w:divBdr>
        <w:top w:val="none" w:sz="0" w:space="0" w:color="auto"/>
        <w:left w:val="none" w:sz="0" w:space="0" w:color="auto"/>
        <w:bottom w:val="none" w:sz="0" w:space="0" w:color="auto"/>
        <w:right w:val="none" w:sz="0" w:space="0" w:color="auto"/>
      </w:divBdr>
    </w:div>
    <w:div w:id="308092170">
      <w:bodyDiv w:val="1"/>
      <w:marLeft w:val="0"/>
      <w:marRight w:val="0"/>
      <w:marTop w:val="0"/>
      <w:marBottom w:val="0"/>
      <w:divBdr>
        <w:top w:val="none" w:sz="0" w:space="0" w:color="auto"/>
        <w:left w:val="none" w:sz="0" w:space="0" w:color="auto"/>
        <w:bottom w:val="none" w:sz="0" w:space="0" w:color="auto"/>
        <w:right w:val="none" w:sz="0" w:space="0" w:color="auto"/>
      </w:divBdr>
    </w:div>
    <w:div w:id="308293928">
      <w:bodyDiv w:val="1"/>
      <w:marLeft w:val="0"/>
      <w:marRight w:val="0"/>
      <w:marTop w:val="0"/>
      <w:marBottom w:val="0"/>
      <w:divBdr>
        <w:top w:val="none" w:sz="0" w:space="0" w:color="auto"/>
        <w:left w:val="none" w:sz="0" w:space="0" w:color="auto"/>
        <w:bottom w:val="none" w:sz="0" w:space="0" w:color="auto"/>
        <w:right w:val="none" w:sz="0" w:space="0" w:color="auto"/>
      </w:divBdr>
    </w:div>
    <w:div w:id="308367623">
      <w:bodyDiv w:val="1"/>
      <w:marLeft w:val="0"/>
      <w:marRight w:val="0"/>
      <w:marTop w:val="0"/>
      <w:marBottom w:val="0"/>
      <w:divBdr>
        <w:top w:val="none" w:sz="0" w:space="0" w:color="auto"/>
        <w:left w:val="none" w:sz="0" w:space="0" w:color="auto"/>
        <w:bottom w:val="none" w:sz="0" w:space="0" w:color="auto"/>
        <w:right w:val="none" w:sz="0" w:space="0" w:color="auto"/>
      </w:divBdr>
    </w:div>
    <w:div w:id="308482343">
      <w:bodyDiv w:val="1"/>
      <w:marLeft w:val="0"/>
      <w:marRight w:val="0"/>
      <w:marTop w:val="0"/>
      <w:marBottom w:val="0"/>
      <w:divBdr>
        <w:top w:val="none" w:sz="0" w:space="0" w:color="auto"/>
        <w:left w:val="none" w:sz="0" w:space="0" w:color="auto"/>
        <w:bottom w:val="none" w:sz="0" w:space="0" w:color="auto"/>
        <w:right w:val="none" w:sz="0" w:space="0" w:color="auto"/>
      </w:divBdr>
    </w:div>
    <w:div w:id="308484168">
      <w:bodyDiv w:val="1"/>
      <w:marLeft w:val="0"/>
      <w:marRight w:val="0"/>
      <w:marTop w:val="0"/>
      <w:marBottom w:val="0"/>
      <w:divBdr>
        <w:top w:val="none" w:sz="0" w:space="0" w:color="auto"/>
        <w:left w:val="none" w:sz="0" w:space="0" w:color="auto"/>
        <w:bottom w:val="none" w:sz="0" w:space="0" w:color="auto"/>
        <w:right w:val="none" w:sz="0" w:space="0" w:color="auto"/>
      </w:divBdr>
    </w:div>
    <w:div w:id="308637538">
      <w:bodyDiv w:val="1"/>
      <w:marLeft w:val="0"/>
      <w:marRight w:val="0"/>
      <w:marTop w:val="0"/>
      <w:marBottom w:val="0"/>
      <w:divBdr>
        <w:top w:val="none" w:sz="0" w:space="0" w:color="auto"/>
        <w:left w:val="none" w:sz="0" w:space="0" w:color="auto"/>
        <w:bottom w:val="none" w:sz="0" w:space="0" w:color="auto"/>
        <w:right w:val="none" w:sz="0" w:space="0" w:color="auto"/>
      </w:divBdr>
    </w:div>
    <w:div w:id="308825079">
      <w:bodyDiv w:val="1"/>
      <w:marLeft w:val="0"/>
      <w:marRight w:val="0"/>
      <w:marTop w:val="0"/>
      <w:marBottom w:val="0"/>
      <w:divBdr>
        <w:top w:val="none" w:sz="0" w:space="0" w:color="auto"/>
        <w:left w:val="none" w:sz="0" w:space="0" w:color="auto"/>
        <w:bottom w:val="none" w:sz="0" w:space="0" w:color="auto"/>
        <w:right w:val="none" w:sz="0" w:space="0" w:color="auto"/>
      </w:divBdr>
    </w:div>
    <w:div w:id="308897950">
      <w:bodyDiv w:val="1"/>
      <w:marLeft w:val="0"/>
      <w:marRight w:val="0"/>
      <w:marTop w:val="0"/>
      <w:marBottom w:val="0"/>
      <w:divBdr>
        <w:top w:val="none" w:sz="0" w:space="0" w:color="auto"/>
        <w:left w:val="none" w:sz="0" w:space="0" w:color="auto"/>
        <w:bottom w:val="none" w:sz="0" w:space="0" w:color="auto"/>
        <w:right w:val="none" w:sz="0" w:space="0" w:color="auto"/>
      </w:divBdr>
    </w:div>
    <w:div w:id="308942786">
      <w:bodyDiv w:val="1"/>
      <w:marLeft w:val="0"/>
      <w:marRight w:val="0"/>
      <w:marTop w:val="0"/>
      <w:marBottom w:val="0"/>
      <w:divBdr>
        <w:top w:val="none" w:sz="0" w:space="0" w:color="auto"/>
        <w:left w:val="none" w:sz="0" w:space="0" w:color="auto"/>
        <w:bottom w:val="none" w:sz="0" w:space="0" w:color="auto"/>
        <w:right w:val="none" w:sz="0" w:space="0" w:color="auto"/>
      </w:divBdr>
    </w:div>
    <w:div w:id="309873794">
      <w:bodyDiv w:val="1"/>
      <w:marLeft w:val="0"/>
      <w:marRight w:val="0"/>
      <w:marTop w:val="0"/>
      <w:marBottom w:val="0"/>
      <w:divBdr>
        <w:top w:val="none" w:sz="0" w:space="0" w:color="auto"/>
        <w:left w:val="none" w:sz="0" w:space="0" w:color="auto"/>
        <w:bottom w:val="none" w:sz="0" w:space="0" w:color="auto"/>
        <w:right w:val="none" w:sz="0" w:space="0" w:color="auto"/>
      </w:divBdr>
    </w:div>
    <w:div w:id="310713117">
      <w:bodyDiv w:val="1"/>
      <w:marLeft w:val="0"/>
      <w:marRight w:val="0"/>
      <w:marTop w:val="0"/>
      <w:marBottom w:val="0"/>
      <w:divBdr>
        <w:top w:val="none" w:sz="0" w:space="0" w:color="auto"/>
        <w:left w:val="none" w:sz="0" w:space="0" w:color="auto"/>
        <w:bottom w:val="none" w:sz="0" w:space="0" w:color="auto"/>
        <w:right w:val="none" w:sz="0" w:space="0" w:color="auto"/>
      </w:divBdr>
    </w:div>
    <w:div w:id="310989318">
      <w:bodyDiv w:val="1"/>
      <w:marLeft w:val="0"/>
      <w:marRight w:val="0"/>
      <w:marTop w:val="0"/>
      <w:marBottom w:val="0"/>
      <w:divBdr>
        <w:top w:val="none" w:sz="0" w:space="0" w:color="auto"/>
        <w:left w:val="none" w:sz="0" w:space="0" w:color="auto"/>
        <w:bottom w:val="none" w:sz="0" w:space="0" w:color="auto"/>
        <w:right w:val="none" w:sz="0" w:space="0" w:color="auto"/>
      </w:divBdr>
    </w:div>
    <w:div w:id="311717726">
      <w:bodyDiv w:val="1"/>
      <w:marLeft w:val="0"/>
      <w:marRight w:val="0"/>
      <w:marTop w:val="0"/>
      <w:marBottom w:val="0"/>
      <w:divBdr>
        <w:top w:val="none" w:sz="0" w:space="0" w:color="auto"/>
        <w:left w:val="none" w:sz="0" w:space="0" w:color="auto"/>
        <w:bottom w:val="none" w:sz="0" w:space="0" w:color="auto"/>
        <w:right w:val="none" w:sz="0" w:space="0" w:color="auto"/>
      </w:divBdr>
    </w:div>
    <w:div w:id="311761184">
      <w:bodyDiv w:val="1"/>
      <w:marLeft w:val="0"/>
      <w:marRight w:val="0"/>
      <w:marTop w:val="0"/>
      <w:marBottom w:val="0"/>
      <w:divBdr>
        <w:top w:val="none" w:sz="0" w:space="0" w:color="auto"/>
        <w:left w:val="none" w:sz="0" w:space="0" w:color="auto"/>
        <w:bottom w:val="none" w:sz="0" w:space="0" w:color="auto"/>
        <w:right w:val="none" w:sz="0" w:space="0" w:color="auto"/>
      </w:divBdr>
    </w:div>
    <w:div w:id="311914314">
      <w:bodyDiv w:val="1"/>
      <w:marLeft w:val="0"/>
      <w:marRight w:val="0"/>
      <w:marTop w:val="0"/>
      <w:marBottom w:val="0"/>
      <w:divBdr>
        <w:top w:val="none" w:sz="0" w:space="0" w:color="auto"/>
        <w:left w:val="none" w:sz="0" w:space="0" w:color="auto"/>
        <w:bottom w:val="none" w:sz="0" w:space="0" w:color="auto"/>
        <w:right w:val="none" w:sz="0" w:space="0" w:color="auto"/>
      </w:divBdr>
    </w:div>
    <w:div w:id="312220209">
      <w:bodyDiv w:val="1"/>
      <w:marLeft w:val="0"/>
      <w:marRight w:val="0"/>
      <w:marTop w:val="0"/>
      <w:marBottom w:val="0"/>
      <w:divBdr>
        <w:top w:val="none" w:sz="0" w:space="0" w:color="auto"/>
        <w:left w:val="none" w:sz="0" w:space="0" w:color="auto"/>
        <w:bottom w:val="none" w:sz="0" w:space="0" w:color="auto"/>
        <w:right w:val="none" w:sz="0" w:space="0" w:color="auto"/>
      </w:divBdr>
    </w:div>
    <w:div w:id="312374555">
      <w:bodyDiv w:val="1"/>
      <w:marLeft w:val="0"/>
      <w:marRight w:val="0"/>
      <w:marTop w:val="0"/>
      <w:marBottom w:val="0"/>
      <w:divBdr>
        <w:top w:val="none" w:sz="0" w:space="0" w:color="auto"/>
        <w:left w:val="none" w:sz="0" w:space="0" w:color="auto"/>
        <w:bottom w:val="none" w:sz="0" w:space="0" w:color="auto"/>
        <w:right w:val="none" w:sz="0" w:space="0" w:color="auto"/>
      </w:divBdr>
    </w:div>
    <w:div w:id="312611634">
      <w:bodyDiv w:val="1"/>
      <w:marLeft w:val="0"/>
      <w:marRight w:val="0"/>
      <w:marTop w:val="0"/>
      <w:marBottom w:val="0"/>
      <w:divBdr>
        <w:top w:val="none" w:sz="0" w:space="0" w:color="auto"/>
        <w:left w:val="none" w:sz="0" w:space="0" w:color="auto"/>
        <w:bottom w:val="none" w:sz="0" w:space="0" w:color="auto"/>
        <w:right w:val="none" w:sz="0" w:space="0" w:color="auto"/>
      </w:divBdr>
    </w:div>
    <w:div w:id="313341179">
      <w:bodyDiv w:val="1"/>
      <w:marLeft w:val="0"/>
      <w:marRight w:val="0"/>
      <w:marTop w:val="0"/>
      <w:marBottom w:val="0"/>
      <w:divBdr>
        <w:top w:val="none" w:sz="0" w:space="0" w:color="auto"/>
        <w:left w:val="none" w:sz="0" w:space="0" w:color="auto"/>
        <w:bottom w:val="none" w:sz="0" w:space="0" w:color="auto"/>
        <w:right w:val="none" w:sz="0" w:space="0" w:color="auto"/>
      </w:divBdr>
    </w:div>
    <w:div w:id="313879288">
      <w:bodyDiv w:val="1"/>
      <w:marLeft w:val="0"/>
      <w:marRight w:val="0"/>
      <w:marTop w:val="0"/>
      <w:marBottom w:val="0"/>
      <w:divBdr>
        <w:top w:val="none" w:sz="0" w:space="0" w:color="auto"/>
        <w:left w:val="none" w:sz="0" w:space="0" w:color="auto"/>
        <w:bottom w:val="none" w:sz="0" w:space="0" w:color="auto"/>
        <w:right w:val="none" w:sz="0" w:space="0" w:color="auto"/>
      </w:divBdr>
    </w:div>
    <w:div w:id="313918624">
      <w:bodyDiv w:val="1"/>
      <w:marLeft w:val="0"/>
      <w:marRight w:val="0"/>
      <w:marTop w:val="0"/>
      <w:marBottom w:val="0"/>
      <w:divBdr>
        <w:top w:val="none" w:sz="0" w:space="0" w:color="auto"/>
        <w:left w:val="none" w:sz="0" w:space="0" w:color="auto"/>
        <w:bottom w:val="none" w:sz="0" w:space="0" w:color="auto"/>
        <w:right w:val="none" w:sz="0" w:space="0" w:color="auto"/>
      </w:divBdr>
    </w:div>
    <w:div w:id="314114196">
      <w:bodyDiv w:val="1"/>
      <w:marLeft w:val="0"/>
      <w:marRight w:val="0"/>
      <w:marTop w:val="0"/>
      <w:marBottom w:val="0"/>
      <w:divBdr>
        <w:top w:val="none" w:sz="0" w:space="0" w:color="auto"/>
        <w:left w:val="none" w:sz="0" w:space="0" w:color="auto"/>
        <w:bottom w:val="none" w:sz="0" w:space="0" w:color="auto"/>
        <w:right w:val="none" w:sz="0" w:space="0" w:color="auto"/>
      </w:divBdr>
    </w:div>
    <w:div w:id="314144991">
      <w:bodyDiv w:val="1"/>
      <w:marLeft w:val="0"/>
      <w:marRight w:val="0"/>
      <w:marTop w:val="0"/>
      <w:marBottom w:val="0"/>
      <w:divBdr>
        <w:top w:val="none" w:sz="0" w:space="0" w:color="auto"/>
        <w:left w:val="none" w:sz="0" w:space="0" w:color="auto"/>
        <w:bottom w:val="none" w:sz="0" w:space="0" w:color="auto"/>
        <w:right w:val="none" w:sz="0" w:space="0" w:color="auto"/>
      </w:divBdr>
    </w:div>
    <w:div w:id="314184826">
      <w:bodyDiv w:val="1"/>
      <w:marLeft w:val="0"/>
      <w:marRight w:val="0"/>
      <w:marTop w:val="0"/>
      <w:marBottom w:val="0"/>
      <w:divBdr>
        <w:top w:val="none" w:sz="0" w:space="0" w:color="auto"/>
        <w:left w:val="none" w:sz="0" w:space="0" w:color="auto"/>
        <w:bottom w:val="none" w:sz="0" w:space="0" w:color="auto"/>
        <w:right w:val="none" w:sz="0" w:space="0" w:color="auto"/>
      </w:divBdr>
    </w:div>
    <w:div w:id="314801785">
      <w:bodyDiv w:val="1"/>
      <w:marLeft w:val="0"/>
      <w:marRight w:val="0"/>
      <w:marTop w:val="0"/>
      <w:marBottom w:val="0"/>
      <w:divBdr>
        <w:top w:val="none" w:sz="0" w:space="0" w:color="auto"/>
        <w:left w:val="none" w:sz="0" w:space="0" w:color="auto"/>
        <w:bottom w:val="none" w:sz="0" w:space="0" w:color="auto"/>
        <w:right w:val="none" w:sz="0" w:space="0" w:color="auto"/>
      </w:divBdr>
    </w:div>
    <w:div w:id="315185687">
      <w:bodyDiv w:val="1"/>
      <w:marLeft w:val="0"/>
      <w:marRight w:val="0"/>
      <w:marTop w:val="0"/>
      <w:marBottom w:val="0"/>
      <w:divBdr>
        <w:top w:val="none" w:sz="0" w:space="0" w:color="auto"/>
        <w:left w:val="none" w:sz="0" w:space="0" w:color="auto"/>
        <w:bottom w:val="none" w:sz="0" w:space="0" w:color="auto"/>
        <w:right w:val="none" w:sz="0" w:space="0" w:color="auto"/>
      </w:divBdr>
    </w:div>
    <w:div w:id="315189034">
      <w:bodyDiv w:val="1"/>
      <w:marLeft w:val="0"/>
      <w:marRight w:val="0"/>
      <w:marTop w:val="0"/>
      <w:marBottom w:val="0"/>
      <w:divBdr>
        <w:top w:val="none" w:sz="0" w:space="0" w:color="auto"/>
        <w:left w:val="none" w:sz="0" w:space="0" w:color="auto"/>
        <w:bottom w:val="none" w:sz="0" w:space="0" w:color="auto"/>
        <w:right w:val="none" w:sz="0" w:space="0" w:color="auto"/>
      </w:divBdr>
    </w:div>
    <w:div w:id="316031059">
      <w:bodyDiv w:val="1"/>
      <w:marLeft w:val="0"/>
      <w:marRight w:val="0"/>
      <w:marTop w:val="0"/>
      <w:marBottom w:val="0"/>
      <w:divBdr>
        <w:top w:val="none" w:sz="0" w:space="0" w:color="auto"/>
        <w:left w:val="none" w:sz="0" w:space="0" w:color="auto"/>
        <w:bottom w:val="none" w:sz="0" w:space="0" w:color="auto"/>
        <w:right w:val="none" w:sz="0" w:space="0" w:color="auto"/>
      </w:divBdr>
    </w:div>
    <w:div w:id="316038725">
      <w:bodyDiv w:val="1"/>
      <w:marLeft w:val="0"/>
      <w:marRight w:val="0"/>
      <w:marTop w:val="0"/>
      <w:marBottom w:val="0"/>
      <w:divBdr>
        <w:top w:val="none" w:sz="0" w:space="0" w:color="auto"/>
        <w:left w:val="none" w:sz="0" w:space="0" w:color="auto"/>
        <w:bottom w:val="none" w:sz="0" w:space="0" w:color="auto"/>
        <w:right w:val="none" w:sz="0" w:space="0" w:color="auto"/>
      </w:divBdr>
    </w:div>
    <w:div w:id="316766695">
      <w:bodyDiv w:val="1"/>
      <w:marLeft w:val="0"/>
      <w:marRight w:val="0"/>
      <w:marTop w:val="0"/>
      <w:marBottom w:val="0"/>
      <w:divBdr>
        <w:top w:val="none" w:sz="0" w:space="0" w:color="auto"/>
        <w:left w:val="none" w:sz="0" w:space="0" w:color="auto"/>
        <w:bottom w:val="none" w:sz="0" w:space="0" w:color="auto"/>
        <w:right w:val="none" w:sz="0" w:space="0" w:color="auto"/>
      </w:divBdr>
    </w:div>
    <w:div w:id="317392279">
      <w:bodyDiv w:val="1"/>
      <w:marLeft w:val="0"/>
      <w:marRight w:val="0"/>
      <w:marTop w:val="0"/>
      <w:marBottom w:val="0"/>
      <w:divBdr>
        <w:top w:val="none" w:sz="0" w:space="0" w:color="auto"/>
        <w:left w:val="none" w:sz="0" w:space="0" w:color="auto"/>
        <w:bottom w:val="none" w:sz="0" w:space="0" w:color="auto"/>
        <w:right w:val="none" w:sz="0" w:space="0" w:color="auto"/>
      </w:divBdr>
    </w:div>
    <w:div w:id="317615739">
      <w:bodyDiv w:val="1"/>
      <w:marLeft w:val="0"/>
      <w:marRight w:val="0"/>
      <w:marTop w:val="0"/>
      <w:marBottom w:val="0"/>
      <w:divBdr>
        <w:top w:val="none" w:sz="0" w:space="0" w:color="auto"/>
        <w:left w:val="none" w:sz="0" w:space="0" w:color="auto"/>
        <w:bottom w:val="none" w:sz="0" w:space="0" w:color="auto"/>
        <w:right w:val="none" w:sz="0" w:space="0" w:color="auto"/>
      </w:divBdr>
    </w:div>
    <w:div w:id="318071618">
      <w:bodyDiv w:val="1"/>
      <w:marLeft w:val="0"/>
      <w:marRight w:val="0"/>
      <w:marTop w:val="0"/>
      <w:marBottom w:val="0"/>
      <w:divBdr>
        <w:top w:val="none" w:sz="0" w:space="0" w:color="auto"/>
        <w:left w:val="none" w:sz="0" w:space="0" w:color="auto"/>
        <w:bottom w:val="none" w:sz="0" w:space="0" w:color="auto"/>
        <w:right w:val="none" w:sz="0" w:space="0" w:color="auto"/>
      </w:divBdr>
    </w:div>
    <w:div w:id="318192718">
      <w:bodyDiv w:val="1"/>
      <w:marLeft w:val="0"/>
      <w:marRight w:val="0"/>
      <w:marTop w:val="0"/>
      <w:marBottom w:val="0"/>
      <w:divBdr>
        <w:top w:val="none" w:sz="0" w:space="0" w:color="auto"/>
        <w:left w:val="none" w:sz="0" w:space="0" w:color="auto"/>
        <w:bottom w:val="none" w:sz="0" w:space="0" w:color="auto"/>
        <w:right w:val="none" w:sz="0" w:space="0" w:color="auto"/>
      </w:divBdr>
    </w:div>
    <w:div w:id="318195459">
      <w:bodyDiv w:val="1"/>
      <w:marLeft w:val="0"/>
      <w:marRight w:val="0"/>
      <w:marTop w:val="0"/>
      <w:marBottom w:val="0"/>
      <w:divBdr>
        <w:top w:val="none" w:sz="0" w:space="0" w:color="auto"/>
        <w:left w:val="none" w:sz="0" w:space="0" w:color="auto"/>
        <w:bottom w:val="none" w:sz="0" w:space="0" w:color="auto"/>
        <w:right w:val="none" w:sz="0" w:space="0" w:color="auto"/>
      </w:divBdr>
    </w:div>
    <w:div w:id="318505688">
      <w:bodyDiv w:val="1"/>
      <w:marLeft w:val="0"/>
      <w:marRight w:val="0"/>
      <w:marTop w:val="0"/>
      <w:marBottom w:val="0"/>
      <w:divBdr>
        <w:top w:val="none" w:sz="0" w:space="0" w:color="auto"/>
        <w:left w:val="none" w:sz="0" w:space="0" w:color="auto"/>
        <w:bottom w:val="none" w:sz="0" w:space="0" w:color="auto"/>
        <w:right w:val="none" w:sz="0" w:space="0" w:color="auto"/>
      </w:divBdr>
    </w:div>
    <w:div w:id="318651950">
      <w:bodyDiv w:val="1"/>
      <w:marLeft w:val="0"/>
      <w:marRight w:val="0"/>
      <w:marTop w:val="0"/>
      <w:marBottom w:val="0"/>
      <w:divBdr>
        <w:top w:val="none" w:sz="0" w:space="0" w:color="auto"/>
        <w:left w:val="none" w:sz="0" w:space="0" w:color="auto"/>
        <w:bottom w:val="none" w:sz="0" w:space="0" w:color="auto"/>
        <w:right w:val="none" w:sz="0" w:space="0" w:color="auto"/>
      </w:divBdr>
    </w:div>
    <w:div w:id="318654155">
      <w:bodyDiv w:val="1"/>
      <w:marLeft w:val="0"/>
      <w:marRight w:val="0"/>
      <w:marTop w:val="0"/>
      <w:marBottom w:val="0"/>
      <w:divBdr>
        <w:top w:val="none" w:sz="0" w:space="0" w:color="auto"/>
        <w:left w:val="none" w:sz="0" w:space="0" w:color="auto"/>
        <w:bottom w:val="none" w:sz="0" w:space="0" w:color="auto"/>
        <w:right w:val="none" w:sz="0" w:space="0" w:color="auto"/>
      </w:divBdr>
    </w:div>
    <w:div w:id="319045780">
      <w:bodyDiv w:val="1"/>
      <w:marLeft w:val="0"/>
      <w:marRight w:val="0"/>
      <w:marTop w:val="0"/>
      <w:marBottom w:val="0"/>
      <w:divBdr>
        <w:top w:val="none" w:sz="0" w:space="0" w:color="auto"/>
        <w:left w:val="none" w:sz="0" w:space="0" w:color="auto"/>
        <w:bottom w:val="none" w:sz="0" w:space="0" w:color="auto"/>
        <w:right w:val="none" w:sz="0" w:space="0" w:color="auto"/>
      </w:divBdr>
    </w:div>
    <w:div w:id="319233358">
      <w:bodyDiv w:val="1"/>
      <w:marLeft w:val="0"/>
      <w:marRight w:val="0"/>
      <w:marTop w:val="0"/>
      <w:marBottom w:val="0"/>
      <w:divBdr>
        <w:top w:val="none" w:sz="0" w:space="0" w:color="auto"/>
        <w:left w:val="none" w:sz="0" w:space="0" w:color="auto"/>
        <w:bottom w:val="none" w:sz="0" w:space="0" w:color="auto"/>
        <w:right w:val="none" w:sz="0" w:space="0" w:color="auto"/>
      </w:divBdr>
    </w:div>
    <w:div w:id="319499764">
      <w:bodyDiv w:val="1"/>
      <w:marLeft w:val="0"/>
      <w:marRight w:val="0"/>
      <w:marTop w:val="0"/>
      <w:marBottom w:val="0"/>
      <w:divBdr>
        <w:top w:val="none" w:sz="0" w:space="0" w:color="auto"/>
        <w:left w:val="none" w:sz="0" w:space="0" w:color="auto"/>
        <w:bottom w:val="none" w:sz="0" w:space="0" w:color="auto"/>
        <w:right w:val="none" w:sz="0" w:space="0" w:color="auto"/>
      </w:divBdr>
    </w:div>
    <w:div w:id="320037966">
      <w:bodyDiv w:val="1"/>
      <w:marLeft w:val="0"/>
      <w:marRight w:val="0"/>
      <w:marTop w:val="0"/>
      <w:marBottom w:val="0"/>
      <w:divBdr>
        <w:top w:val="none" w:sz="0" w:space="0" w:color="auto"/>
        <w:left w:val="none" w:sz="0" w:space="0" w:color="auto"/>
        <w:bottom w:val="none" w:sz="0" w:space="0" w:color="auto"/>
        <w:right w:val="none" w:sz="0" w:space="0" w:color="auto"/>
      </w:divBdr>
    </w:div>
    <w:div w:id="320080222">
      <w:bodyDiv w:val="1"/>
      <w:marLeft w:val="0"/>
      <w:marRight w:val="0"/>
      <w:marTop w:val="0"/>
      <w:marBottom w:val="0"/>
      <w:divBdr>
        <w:top w:val="none" w:sz="0" w:space="0" w:color="auto"/>
        <w:left w:val="none" w:sz="0" w:space="0" w:color="auto"/>
        <w:bottom w:val="none" w:sz="0" w:space="0" w:color="auto"/>
        <w:right w:val="none" w:sz="0" w:space="0" w:color="auto"/>
      </w:divBdr>
    </w:div>
    <w:div w:id="320081069">
      <w:bodyDiv w:val="1"/>
      <w:marLeft w:val="0"/>
      <w:marRight w:val="0"/>
      <w:marTop w:val="0"/>
      <w:marBottom w:val="0"/>
      <w:divBdr>
        <w:top w:val="none" w:sz="0" w:space="0" w:color="auto"/>
        <w:left w:val="none" w:sz="0" w:space="0" w:color="auto"/>
        <w:bottom w:val="none" w:sz="0" w:space="0" w:color="auto"/>
        <w:right w:val="none" w:sz="0" w:space="0" w:color="auto"/>
      </w:divBdr>
    </w:div>
    <w:div w:id="320356588">
      <w:bodyDiv w:val="1"/>
      <w:marLeft w:val="0"/>
      <w:marRight w:val="0"/>
      <w:marTop w:val="0"/>
      <w:marBottom w:val="0"/>
      <w:divBdr>
        <w:top w:val="none" w:sz="0" w:space="0" w:color="auto"/>
        <w:left w:val="none" w:sz="0" w:space="0" w:color="auto"/>
        <w:bottom w:val="none" w:sz="0" w:space="0" w:color="auto"/>
        <w:right w:val="none" w:sz="0" w:space="0" w:color="auto"/>
      </w:divBdr>
    </w:div>
    <w:div w:id="320932768">
      <w:bodyDiv w:val="1"/>
      <w:marLeft w:val="0"/>
      <w:marRight w:val="0"/>
      <w:marTop w:val="0"/>
      <w:marBottom w:val="0"/>
      <w:divBdr>
        <w:top w:val="none" w:sz="0" w:space="0" w:color="auto"/>
        <w:left w:val="none" w:sz="0" w:space="0" w:color="auto"/>
        <w:bottom w:val="none" w:sz="0" w:space="0" w:color="auto"/>
        <w:right w:val="none" w:sz="0" w:space="0" w:color="auto"/>
      </w:divBdr>
    </w:div>
    <w:div w:id="321156943">
      <w:bodyDiv w:val="1"/>
      <w:marLeft w:val="0"/>
      <w:marRight w:val="0"/>
      <w:marTop w:val="0"/>
      <w:marBottom w:val="0"/>
      <w:divBdr>
        <w:top w:val="none" w:sz="0" w:space="0" w:color="auto"/>
        <w:left w:val="none" w:sz="0" w:space="0" w:color="auto"/>
        <w:bottom w:val="none" w:sz="0" w:space="0" w:color="auto"/>
        <w:right w:val="none" w:sz="0" w:space="0" w:color="auto"/>
      </w:divBdr>
    </w:div>
    <w:div w:id="321275352">
      <w:bodyDiv w:val="1"/>
      <w:marLeft w:val="0"/>
      <w:marRight w:val="0"/>
      <w:marTop w:val="0"/>
      <w:marBottom w:val="0"/>
      <w:divBdr>
        <w:top w:val="none" w:sz="0" w:space="0" w:color="auto"/>
        <w:left w:val="none" w:sz="0" w:space="0" w:color="auto"/>
        <w:bottom w:val="none" w:sz="0" w:space="0" w:color="auto"/>
        <w:right w:val="none" w:sz="0" w:space="0" w:color="auto"/>
      </w:divBdr>
    </w:div>
    <w:div w:id="321661970">
      <w:bodyDiv w:val="1"/>
      <w:marLeft w:val="0"/>
      <w:marRight w:val="0"/>
      <w:marTop w:val="0"/>
      <w:marBottom w:val="0"/>
      <w:divBdr>
        <w:top w:val="none" w:sz="0" w:space="0" w:color="auto"/>
        <w:left w:val="none" w:sz="0" w:space="0" w:color="auto"/>
        <w:bottom w:val="none" w:sz="0" w:space="0" w:color="auto"/>
        <w:right w:val="none" w:sz="0" w:space="0" w:color="auto"/>
      </w:divBdr>
    </w:div>
    <w:div w:id="321735056">
      <w:bodyDiv w:val="1"/>
      <w:marLeft w:val="0"/>
      <w:marRight w:val="0"/>
      <w:marTop w:val="0"/>
      <w:marBottom w:val="0"/>
      <w:divBdr>
        <w:top w:val="none" w:sz="0" w:space="0" w:color="auto"/>
        <w:left w:val="none" w:sz="0" w:space="0" w:color="auto"/>
        <w:bottom w:val="none" w:sz="0" w:space="0" w:color="auto"/>
        <w:right w:val="none" w:sz="0" w:space="0" w:color="auto"/>
      </w:divBdr>
    </w:div>
    <w:div w:id="321743933">
      <w:bodyDiv w:val="1"/>
      <w:marLeft w:val="0"/>
      <w:marRight w:val="0"/>
      <w:marTop w:val="0"/>
      <w:marBottom w:val="0"/>
      <w:divBdr>
        <w:top w:val="none" w:sz="0" w:space="0" w:color="auto"/>
        <w:left w:val="none" w:sz="0" w:space="0" w:color="auto"/>
        <w:bottom w:val="none" w:sz="0" w:space="0" w:color="auto"/>
        <w:right w:val="none" w:sz="0" w:space="0" w:color="auto"/>
      </w:divBdr>
    </w:div>
    <w:div w:id="321855857">
      <w:bodyDiv w:val="1"/>
      <w:marLeft w:val="0"/>
      <w:marRight w:val="0"/>
      <w:marTop w:val="0"/>
      <w:marBottom w:val="0"/>
      <w:divBdr>
        <w:top w:val="none" w:sz="0" w:space="0" w:color="auto"/>
        <w:left w:val="none" w:sz="0" w:space="0" w:color="auto"/>
        <w:bottom w:val="none" w:sz="0" w:space="0" w:color="auto"/>
        <w:right w:val="none" w:sz="0" w:space="0" w:color="auto"/>
      </w:divBdr>
    </w:div>
    <w:div w:id="321928358">
      <w:bodyDiv w:val="1"/>
      <w:marLeft w:val="0"/>
      <w:marRight w:val="0"/>
      <w:marTop w:val="0"/>
      <w:marBottom w:val="0"/>
      <w:divBdr>
        <w:top w:val="none" w:sz="0" w:space="0" w:color="auto"/>
        <w:left w:val="none" w:sz="0" w:space="0" w:color="auto"/>
        <w:bottom w:val="none" w:sz="0" w:space="0" w:color="auto"/>
        <w:right w:val="none" w:sz="0" w:space="0" w:color="auto"/>
      </w:divBdr>
    </w:div>
    <w:div w:id="322271944">
      <w:bodyDiv w:val="1"/>
      <w:marLeft w:val="0"/>
      <w:marRight w:val="0"/>
      <w:marTop w:val="0"/>
      <w:marBottom w:val="0"/>
      <w:divBdr>
        <w:top w:val="none" w:sz="0" w:space="0" w:color="auto"/>
        <w:left w:val="none" w:sz="0" w:space="0" w:color="auto"/>
        <w:bottom w:val="none" w:sz="0" w:space="0" w:color="auto"/>
        <w:right w:val="none" w:sz="0" w:space="0" w:color="auto"/>
      </w:divBdr>
    </w:div>
    <w:div w:id="322441253">
      <w:bodyDiv w:val="1"/>
      <w:marLeft w:val="0"/>
      <w:marRight w:val="0"/>
      <w:marTop w:val="0"/>
      <w:marBottom w:val="0"/>
      <w:divBdr>
        <w:top w:val="none" w:sz="0" w:space="0" w:color="auto"/>
        <w:left w:val="none" w:sz="0" w:space="0" w:color="auto"/>
        <w:bottom w:val="none" w:sz="0" w:space="0" w:color="auto"/>
        <w:right w:val="none" w:sz="0" w:space="0" w:color="auto"/>
      </w:divBdr>
    </w:div>
    <w:div w:id="322902063">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23051339">
      <w:bodyDiv w:val="1"/>
      <w:marLeft w:val="0"/>
      <w:marRight w:val="0"/>
      <w:marTop w:val="0"/>
      <w:marBottom w:val="0"/>
      <w:divBdr>
        <w:top w:val="none" w:sz="0" w:space="0" w:color="auto"/>
        <w:left w:val="none" w:sz="0" w:space="0" w:color="auto"/>
        <w:bottom w:val="none" w:sz="0" w:space="0" w:color="auto"/>
        <w:right w:val="none" w:sz="0" w:space="0" w:color="auto"/>
      </w:divBdr>
    </w:div>
    <w:div w:id="323361767">
      <w:bodyDiv w:val="1"/>
      <w:marLeft w:val="0"/>
      <w:marRight w:val="0"/>
      <w:marTop w:val="0"/>
      <w:marBottom w:val="0"/>
      <w:divBdr>
        <w:top w:val="none" w:sz="0" w:space="0" w:color="auto"/>
        <w:left w:val="none" w:sz="0" w:space="0" w:color="auto"/>
        <w:bottom w:val="none" w:sz="0" w:space="0" w:color="auto"/>
        <w:right w:val="none" w:sz="0" w:space="0" w:color="auto"/>
      </w:divBdr>
    </w:div>
    <w:div w:id="324477069">
      <w:bodyDiv w:val="1"/>
      <w:marLeft w:val="0"/>
      <w:marRight w:val="0"/>
      <w:marTop w:val="0"/>
      <w:marBottom w:val="0"/>
      <w:divBdr>
        <w:top w:val="none" w:sz="0" w:space="0" w:color="auto"/>
        <w:left w:val="none" w:sz="0" w:space="0" w:color="auto"/>
        <w:bottom w:val="none" w:sz="0" w:space="0" w:color="auto"/>
        <w:right w:val="none" w:sz="0" w:space="0" w:color="auto"/>
      </w:divBdr>
    </w:div>
    <w:div w:id="324939520">
      <w:bodyDiv w:val="1"/>
      <w:marLeft w:val="0"/>
      <w:marRight w:val="0"/>
      <w:marTop w:val="0"/>
      <w:marBottom w:val="0"/>
      <w:divBdr>
        <w:top w:val="none" w:sz="0" w:space="0" w:color="auto"/>
        <w:left w:val="none" w:sz="0" w:space="0" w:color="auto"/>
        <w:bottom w:val="none" w:sz="0" w:space="0" w:color="auto"/>
        <w:right w:val="none" w:sz="0" w:space="0" w:color="auto"/>
      </w:divBdr>
    </w:div>
    <w:div w:id="324940039">
      <w:bodyDiv w:val="1"/>
      <w:marLeft w:val="0"/>
      <w:marRight w:val="0"/>
      <w:marTop w:val="0"/>
      <w:marBottom w:val="0"/>
      <w:divBdr>
        <w:top w:val="none" w:sz="0" w:space="0" w:color="auto"/>
        <w:left w:val="none" w:sz="0" w:space="0" w:color="auto"/>
        <w:bottom w:val="none" w:sz="0" w:space="0" w:color="auto"/>
        <w:right w:val="none" w:sz="0" w:space="0" w:color="auto"/>
      </w:divBdr>
    </w:div>
    <w:div w:id="325285879">
      <w:bodyDiv w:val="1"/>
      <w:marLeft w:val="0"/>
      <w:marRight w:val="0"/>
      <w:marTop w:val="0"/>
      <w:marBottom w:val="0"/>
      <w:divBdr>
        <w:top w:val="none" w:sz="0" w:space="0" w:color="auto"/>
        <w:left w:val="none" w:sz="0" w:space="0" w:color="auto"/>
        <w:bottom w:val="none" w:sz="0" w:space="0" w:color="auto"/>
        <w:right w:val="none" w:sz="0" w:space="0" w:color="auto"/>
      </w:divBdr>
    </w:div>
    <w:div w:id="325745463">
      <w:bodyDiv w:val="1"/>
      <w:marLeft w:val="0"/>
      <w:marRight w:val="0"/>
      <w:marTop w:val="0"/>
      <w:marBottom w:val="0"/>
      <w:divBdr>
        <w:top w:val="none" w:sz="0" w:space="0" w:color="auto"/>
        <w:left w:val="none" w:sz="0" w:space="0" w:color="auto"/>
        <w:bottom w:val="none" w:sz="0" w:space="0" w:color="auto"/>
        <w:right w:val="none" w:sz="0" w:space="0" w:color="auto"/>
      </w:divBdr>
    </w:div>
    <w:div w:id="325746026">
      <w:bodyDiv w:val="1"/>
      <w:marLeft w:val="0"/>
      <w:marRight w:val="0"/>
      <w:marTop w:val="0"/>
      <w:marBottom w:val="0"/>
      <w:divBdr>
        <w:top w:val="none" w:sz="0" w:space="0" w:color="auto"/>
        <w:left w:val="none" w:sz="0" w:space="0" w:color="auto"/>
        <w:bottom w:val="none" w:sz="0" w:space="0" w:color="auto"/>
        <w:right w:val="none" w:sz="0" w:space="0" w:color="auto"/>
      </w:divBdr>
    </w:div>
    <w:div w:id="326062073">
      <w:bodyDiv w:val="1"/>
      <w:marLeft w:val="0"/>
      <w:marRight w:val="0"/>
      <w:marTop w:val="0"/>
      <w:marBottom w:val="0"/>
      <w:divBdr>
        <w:top w:val="none" w:sz="0" w:space="0" w:color="auto"/>
        <w:left w:val="none" w:sz="0" w:space="0" w:color="auto"/>
        <w:bottom w:val="none" w:sz="0" w:space="0" w:color="auto"/>
        <w:right w:val="none" w:sz="0" w:space="0" w:color="auto"/>
      </w:divBdr>
    </w:div>
    <w:div w:id="326172740">
      <w:bodyDiv w:val="1"/>
      <w:marLeft w:val="0"/>
      <w:marRight w:val="0"/>
      <w:marTop w:val="0"/>
      <w:marBottom w:val="0"/>
      <w:divBdr>
        <w:top w:val="none" w:sz="0" w:space="0" w:color="auto"/>
        <w:left w:val="none" w:sz="0" w:space="0" w:color="auto"/>
        <w:bottom w:val="none" w:sz="0" w:space="0" w:color="auto"/>
        <w:right w:val="none" w:sz="0" w:space="0" w:color="auto"/>
      </w:divBdr>
    </w:div>
    <w:div w:id="326639375">
      <w:bodyDiv w:val="1"/>
      <w:marLeft w:val="0"/>
      <w:marRight w:val="0"/>
      <w:marTop w:val="0"/>
      <w:marBottom w:val="0"/>
      <w:divBdr>
        <w:top w:val="none" w:sz="0" w:space="0" w:color="auto"/>
        <w:left w:val="none" w:sz="0" w:space="0" w:color="auto"/>
        <w:bottom w:val="none" w:sz="0" w:space="0" w:color="auto"/>
        <w:right w:val="none" w:sz="0" w:space="0" w:color="auto"/>
      </w:divBdr>
    </w:div>
    <w:div w:id="326641019">
      <w:bodyDiv w:val="1"/>
      <w:marLeft w:val="0"/>
      <w:marRight w:val="0"/>
      <w:marTop w:val="0"/>
      <w:marBottom w:val="0"/>
      <w:divBdr>
        <w:top w:val="none" w:sz="0" w:space="0" w:color="auto"/>
        <w:left w:val="none" w:sz="0" w:space="0" w:color="auto"/>
        <w:bottom w:val="none" w:sz="0" w:space="0" w:color="auto"/>
        <w:right w:val="none" w:sz="0" w:space="0" w:color="auto"/>
      </w:divBdr>
    </w:div>
    <w:div w:id="326785723">
      <w:bodyDiv w:val="1"/>
      <w:marLeft w:val="0"/>
      <w:marRight w:val="0"/>
      <w:marTop w:val="0"/>
      <w:marBottom w:val="0"/>
      <w:divBdr>
        <w:top w:val="none" w:sz="0" w:space="0" w:color="auto"/>
        <w:left w:val="none" w:sz="0" w:space="0" w:color="auto"/>
        <w:bottom w:val="none" w:sz="0" w:space="0" w:color="auto"/>
        <w:right w:val="none" w:sz="0" w:space="0" w:color="auto"/>
      </w:divBdr>
    </w:div>
    <w:div w:id="327444969">
      <w:bodyDiv w:val="1"/>
      <w:marLeft w:val="0"/>
      <w:marRight w:val="0"/>
      <w:marTop w:val="0"/>
      <w:marBottom w:val="0"/>
      <w:divBdr>
        <w:top w:val="none" w:sz="0" w:space="0" w:color="auto"/>
        <w:left w:val="none" w:sz="0" w:space="0" w:color="auto"/>
        <w:bottom w:val="none" w:sz="0" w:space="0" w:color="auto"/>
        <w:right w:val="none" w:sz="0" w:space="0" w:color="auto"/>
      </w:divBdr>
    </w:div>
    <w:div w:id="327641310">
      <w:bodyDiv w:val="1"/>
      <w:marLeft w:val="0"/>
      <w:marRight w:val="0"/>
      <w:marTop w:val="0"/>
      <w:marBottom w:val="0"/>
      <w:divBdr>
        <w:top w:val="none" w:sz="0" w:space="0" w:color="auto"/>
        <w:left w:val="none" w:sz="0" w:space="0" w:color="auto"/>
        <w:bottom w:val="none" w:sz="0" w:space="0" w:color="auto"/>
        <w:right w:val="none" w:sz="0" w:space="0" w:color="auto"/>
      </w:divBdr>
    </w:div>
    <w:div w:id="327681620">
      <w:bodyDiv w:val="1"/>
      <w:marLeft w:val="0"/>
      <w:marRight w:val="0"/>
      <w:marTop w:val="0"/>
      <w:marBottom w:val="0"/>
      <w:divBdr>
        <w:top w:val="none" w:sz="0" w:space="0" w:color="auto"/>
        <w:left w:val="none" w:sz="0" w:space="0" w:color="auto"/>
        <w:bottom w:val="none" w:sz="0" w:space="0" w:color="auto"/>
        <w:right w:val="none" w:sz="0" w:space="0" w:color="auto"/>
      </w:divBdr>
    </w:div>
    <w:div w:id="327754020">
      <w:bodyDiv w:val="1"/>
      <w:marLeft w:val="0"/>
      <w:marRight w:val="0"/>
      <w:marTop w:val="0"/>
      <w:marBottom w:val="0"/>
      <w:divBdr>
        <w:top w:val="none" w:sz="0" w:space="0" w:color="auto"/>
        <w:left w:val="none" w:sz="0" w:space="0" w:color="auto"/>
        <w:bottom w:val="none" w:sz="0" w:space="0" w:color="auto"/>
        <w:right w:val="none" w:sz="0" w:space="0" w:color="auto"/>
      </w:divBdr>
    </w:div>
    <w:div w:id="327829605">
      <w:bodyDiv w:val="1"/>
      <w:marLeft w:val="0"/>
      <w:marRight w:val="0"/>
      <w:marTop w:val="0"/>
      <w:marBottom w:val="0"/>
      <w:divBdr>
        <w:top w:val="none" w:sz="0" w:space="0" w:color="auto"/>
        <w:left w:val="none" w:sz="0" w:space="0" w:color="auto"/>
        <w:bottom w:val="none" w:sz="0" w:space="0" w:color="auto"/>
        <w:right w:val="none" w:sz="0" w:space="0" w:color="auto"/>
      </w:divBdr>
    </w:div>
    <w:div w:id="327945978">
      <w:bodyDiv w:val="1"/>
      <w:marLeft w:val="0"/>
      <w:marRight w:val="0"/>
      <w:marTop w:val="0"/>
      <w:marBottom w:val="0"/>
      <w:divBdr>
        <w:top w:val="none" w:sz="0" w:space="0" w:color="auto"/>
        <w:left w:val="none" w:sz="0" w:space="0" w:color="auto"/>
        <w:bottom w:val="none" w:sz="0" w:space="0" w:color="auto"/>
        <w:right w:val="none" w:sz="0" w:space="0" w:color="auto"/>
      </w:divBdr>
    </w:div>
    <w:div w:id="328138908">
      <w:bodyDiv w:val="1"/>
      <w:marLeft w:val="0"/>
      <w:marRight w:val="0"/>
      <w:marTop w:val="0"/>
      <w:marBottom w:val="0"/>
      <w:divBdr>
        <w:top w:val="none" w:sz="0" w:space="0" w:color="auto"/>
        <w:left w:val="none" w:sz="0" w:space="0" w:color="auto"/>
        <w:bottom w:val="none" w:sz="0" w:space="0" w:color="auto"/>
        <w:right w:val="none" w:sz="0" w:space="0" w:color="auto"/>
      </w:divBdr>
    </w:div>
    <w:div w:id="329140158">
      <w:bodyDiv w:val="1"/>
      <w:marLeft w:val="0"/>
      <w:marRight w:val="0"/>
      <w:marTop w:val="0"/>
      <w:marBottom w:val="0"/>
      <w:divBdr>
        <w:top w:val="none" w:sz="0" w:space="0" w:color="auto"/>
        <w:left w:val="none" w:sz="0" w:space="0" w:color="auto"/>
        <w:bottom w:val="none" w:sz="0" w:space="0" w:color="auto"/>
        <w:right w:val="none" w:sz="0" w:space="0" w:color="auto"/>
      </w:divBdr>
    </w:div>
    <w:div w:id="329260698">
      <w:bodyDiv w:val="1"/>
      <w:marLeft w:val="0"/>
      <w:marRight w:val="0"/>
      <w:marTop w:val="0"/>
      <w:marBottom w:val="0"/>
      <w:divBdr>
        <w:top w:val="none" w:sz="0" w:space="0" w:color="auto"/>
        <w:left w:val="none" w:sz="0" w:space="0" w:color="auto"/>
        <w:bottom w:val="none" w:sz="0" w:space="0" w:color="auto"/>
        <w:right w:val="none" w:sz="0" w:space="0" w:color="auto"/>
      </w:divBdr>
    </w:div>
    <w:div w:id="329406450">
      <w:bodyDiv w:val="1"/>
      <w:marLeft w:val="0"/>
      <w:marRight w:val="0"/>
      <w:marTop w:val="0"/>
      <w:marBottom w:val="0"/>
      <w:divBdr>
        <w:top w:val="none" w:sz="0" w:space="0" w:color="auto"/>
        <w:left w:val="none" w:sz="0" w:space="0" w:color="auto"/>
        <w:bottom w:val="none" w:sz="0" w:space="0" w:color="auto"/>
        <w:right w:val="none" w:sz="0" w:space="0" w:color="auto"/>
      </w:divBdr>
    </w:div>
    <w:div w:id="329525423">
      <w:bodyDiv w:val="1"/>
      <w:marLeft w:val="0"/>
      <w:marRight w:val="0"/>
      <w:marTop w:val="0"/>
      <w:marBottom w:val="0"/>
      <w:divBdr>
        <w:top w:val="none" w:sz="0" w:space="0" w:color="auto"/>
        <w:left w:val="none" w:sz="0" w:space="0" w:color="auto"/>
        <w:bottom w:val="none" w:sz="0" w:space="0" w:color="auto"/>
        <w:right w:val="none" w:sz="0" w:space="0" w:color="auto"/>
      </w:divBdr>
    </w:div>
    <w:div w:id="329908862">
      <w:bodyDiv w:val="1"/>
      <w:marLeft w:val="0"/>
      <w:marRight w:val="0"/>
      <w:marTop w:val="0"/>
      <w:marBottom w:val="0"/>
      <w:divBdr>
        <w:top w:val="none" w:sz="0" w:space="0" w:color="auto"/>
        <w:left w:val="none" w:sz="0" w:space="0" w:color="auto"/>
        <w:bottom w:val="none" w:sz="0" w:space="0" w:color="auto"/>
        <w:right w:val="none" w:sz="0" w:space="0" w:color="auto"/>
      </w:divBdr>
    </w:div>
    <w:div w:id="329988732">
      <w:bodyDiv w:val="1"/>
      <w:marLeft w:val="0"/>
      <w:marRight w:val="0"/>
      <w:marTop w:val="0"/>
      <w:marBottom w:val="0"/>
      <w:divBdr>
        <w:top w:val="none" w:sz="0" w:space="0" w:color="auto"/>
        <w:left w:val="none" w:sz="0" w:space="0" w:color="auto"/>
        <w:bottom w:val="none" w:sz="0" w:space="0" w:color="auto"/>
        <w:right w:val="none" w:sz="0" w:space="0" w:color="auto"/>
      </w:divBdr>
    </w:div>
    <w:div w:id="330107036">
      <w:bodyDiv w:val="1"/>
      <w:marLeft w:val="0"/>
      <w:marRight w:val="0"/>
      <w:marTop w:val="0"/>
      <w:marBottom w:val="0"/>
      <w:divBdr>
        <w:top w:val="none" w:sz="0" w:space="0" w:color="auto"/>
        <w:left w:val="none" w:sz="0" w:space="0" w:color="auto"/>
        <w:bottom w:val="none" w:sz="0" w:space="0" w:color="auto"/>
        <w:right w:val="none" w:sz="0" w:space="0" w:color="auto"/>
      </w:divBdr>
    </w:div>
    <w:div w:id="330257115">
      <w:bodyDiv w:val="1"/>
      <w:marLeft w:val="0"/>
      <w:marRight w:val="0"/>
      <w:marTop w:val="0"/>
      <w:marBottom w:val="0"/>
      <w:divBdr>
        <w:top w:val="none" w:sz="0" w:space="0" w:color="auto"/>
        <w:left w:val="none" w:sz="0" w:space="0" w:color="auto"/>
        <w:bottom w:val="none" w:sz="0" w:space="0" w:color="auto"/>
        <w:right w:val="none" w:sz="0" w:space="0" w:color="auto"/>
      </w:divBdr>
    </w:div>
    <w:div w:id="330642360">
      <w:bodyDiv w:val="1"/>
      <w:marLeft w:val="0"/>
      <w:marRight w:val="0"/>
      <w:marTop w:val="0"/>
      <w:marBottom w:val="0"/>
      <w:divBdr>
        <w:top w:val="none" w:sz="0" w:space="0" w:color="auto"/>
        <w:left w:val="none" w:sz="0" w:space="0" w:color="auto"/>
        <w:bottom w:val="none" w:sz="0" w:space="0" w:color="auto"/>
        <w:right w:val="none" w:sz="0" w:space="0" w:color="auto"/>
      </w:divBdr>
    </w:div>
    <w:div w:id="331176762">
      <w:bodyDiv w:val="1"/>
      <w:marLeft w:val="0"/>
      <w:marRight w:val="0"/>
      <w:marTop w:val="0"/>
      <w:marBottom w:val="0"/>
      <w:divBdr>
        <w:top w:val="none" w:sz="0" w:space="0" w:color="auto"/>
        <w:left w:val="none" w:sz="0" w:space="0" w:color="auto"/>
        <w:bottom w:val="none" w:sz="0" w:space="0" w:color="auto"/>
        <w:right w:val="none" w:sz="0" w:space="0" w:color="auto"/>
      </w:divBdr>
    </w:div>
    <w:div w:id="331564321">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2340395">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2607989">
      <w:bodyDiv w:val="1"/>
      <w:marLeft w:val="0"/>
      <w:marRight w:val="0"/>
      <w:marTop w:val="0"/>
      <w:marBottom w:val="0"/>
      <w:divBdr>
        <w:top w:val="none" w:sz="0" w:space="0" w:color="auto"/>
        <w:left w:val="none" w:sz="0" w:space="0" w:color="auto"/>
        <w:bottom w:val="none" w:sz="0" w:space="0" w:color="auto"/>
        <w:right w:val="none" w:sz="0" w:space="0" w:color="auto"/>
      </w:divBdr>
    </w:div>
    <w:div w:id="332612061">
      <w:bodyDiv w:val="1"/>
      <w:marLeft w:val="0"/>
      <w:marRight w:val="0"/>
      <w:marTop w:val="0"/>
      <w:marBottom w:val="0"/>
      <w:divBdr>
        <w:top w:val="none" w:sz="0" w:space="0" w:color="auto"/>
        <w:left w:val="none" w:sz="0" w:space="0" w:color="auto"/>
        <w:bottom w:val="none" w:sz="0" w:space="0" w:color="auto"/>
        <w:right w:val="none" w:sz="0" w:space="0" w:color="auto"/>
      </w:divBdr>
    </w:div>
    <w:div w:id="333386018">
      <w:bodyDiv w:val="1"/>
      <w:marLeft w:val="0"/>
      <w:marRight w:val="0"/>
      <w:marTop w:val="0"/>
      <w:marBottom w:val="0"/>
      <w:divBdr>
        <w:top w:val="none" w:sz="0" w:space="0" w:color="auto"/>
        <w:left w:val="none" w:sz="0" w:space="0" w:color="auto"/>
        <w:bottom w:val="none" w:sz="0" w:space="0" w:color="auto"/>
        <w:right w:val="none" w:sz="0" w:space="0" w:color="auto"/>
      </w:divBdr>
    </w:div>
    <w:div w:id="333724165">
      <w:bodyDiv w:val="1"/>
      <w:marLeft w:val="0"/>
      <w:marRight w:val="0"/>
      <w:marTop w:val="0"/>
      <w:marBottom w:val="0"/>
      <w:divBdr>
        <w:top w:val="none" w:sz="0" w:space="0" w:color="auto"/>
        <w:left w:val="none" w:sz="0" w:space="0" w:color="auto"/>
        <w:bottom w:val="none" w:sz="0" w:space="0" w:color="auto"/>
        <w:right w:val="none" w:sz="0" w:space="0" w:color="auto"/>
      </w:divBdr>
    </w:div>
    <w:div w:id="333805020">
      <w:bodyDiv w:val="1"/>
      <w:marLeft w:val="0"/>
      <w:marRight w:val="0"/>
      <w:marTop w:val="0"/>
      <w:marBottom w:val="0"/>
      <w:divBdr>
        <w:top w:val="none" w:sz="0" w:space="0" w:color="auto"/>
        <w:left w:val="none" w:sz="0" w:space="0" w:color="auto"/>
        <w:bottom w:val="none" w:sz="0" w:space="0" w:color="auto"/>
        <w:right w:val="none" w:sz="0" w:space="0" w:color="auto"/>
      </w:divBdr>
    </w:div>
    <w:div w:id="333992936">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4116884">
      <w:bodyDiv w:val="1"/>
      <w:marLeft w:val="0"/>
      <w:marRight w:val="0"/>
      <w:marTop w:val="0"/>
      <w:marBottom w:val="0"/>
      <w:divBdr>
        <w:top w:val="none" w:sz="0" w:space="0" w:color="auto"/>
        <w:left w:val="none" w:sz="0" w:space="0" w:color="auto"/>
        <w:bottom w:val="none" w:sz="0" w:space="0" w:color="auto"/>
        <w:right w:val="none" w:sz="0" w:space="0" w:color="auto"/>
      </w:divBdr>
    </w:div>
    <w:div w:id="334190035">
      <w:bodyDiv w:val="1"/>
      <w:marLeft w:val="0"/>
      <w:marRight w:val="0"/>
      <w:marTop w:val="0"/>
      <w:marBottom w:val="0"/>
      <w:divBdr>
        <w:top w:val="none" w:sz="0" w:space="0" w:color="auto"/>
        <w:left w:val="none" w:sz="0" w:space="0" w:color="auto"/>
        <w:bottom w:val="none" w:sz="0" w:space="0" w:color="auto"/>
        <w:right w:val="none" w:sz="0" w:space="0" w:color="auto"/>
      </w:divBdr>
    </w:div>
    <w:div w:id="334306896">
      <w:bodyDiv w:val="1"/>
      <w:marLeft w:val="0"/>
      <w:marRight w:val="0"/>
      <w:marTop w:val="0"/>
      <w:marBottom w:val="0"/>
      <w:divBdr>
        <w:top w:val="none" w:sz="0" w:space="0" w:color="auto"/>
        <w:left w:val="none" w:sz="0" w:space="0" w:color="auto"/>
        <w:bottom w:val="none" w:sz="0" w:space="0" w:color="auto"/>
        <w:right w:val="none" w:sz="0" w:space="0" w:color="auto"/>
      </w:divBdr>
    </w:div>
    <w:div w:id="334308094">
      <w:bodyDiv w:val="1"/>
      <w:marLeft w:val="0"/>
      <w:marRight w:val="0"/>
      <w:marTop w:val="0"/>
      <w:marBottom w:val="0"/>
      <w:divBdr>
        <w:top w:val="none" w:sz="0" w:space="0" w:color="auto"/>
        <w:left w:val="none" w:sz="0" w:space="0" w:color="auto"/>
        <w:bottom w:val="none" w:sz="0" w:space="0" w:color="auto"/>
        <w:right w:val="none" w:sz="0" w:space="0" w:color="auto"/>
      </w:divBdr>
    </w:div>
    <w:div w:id="334916096">
      <w:bodyDiv w:val="1"/>
      <w:marLeft w:val="0"/>
      <w:marRight w:val="0"/>
      <w:marTop w:val="0"/>
      <w:marBottom w:val="0"/>
      <w:divBdr>
        <w:top w:val="none" w:sz="0" w:space="0" w:color="auto"/>
        <w:left w:val="none" w:sz="0" w:space="0" w:color="auto"/>
        <w:bottom w:val="none" w:sz="0" w:space="0" w:color="auto"/>
        <w:right w:val="none" w:sz="0" w:space="0" w:color="auto"/>
      </w:divBdr>
    </w:div>
    <w:div w:id="335039941">
      <w:bodyDiv w:val="1"/>
      <w:marLeft w:val="0"/>
      <w:marRight w:val="0"/>
      <w:marTop w:val="0"/>
      <w:marBottom w:val="0"/>
      <w:divBdr>
        <w:top w:val="none" w:sz="0" w:space="0" w:color="auto"/>
        <w:left w:val="none" w:sz="0" w:space="0" w:color="auto"/>
        <w:bottom w:val="none" w:sz="0" w:space="0" w:color="auto"/>
        <w:right w:val="none" w:sz="0" w:space="0" w:color="auto"/>
      </w:divBdr>
    </w:div>
    <w:div w:id="335501482">
      <w:bodyDiv w:val="1"/>
      <w:marLeft w:val="0"/>
      <w:marRight w:val="0"/>
      <w:marTop w:val="0"/>
      <w:marBottom w:val="0"/>
      <w:divBdr>
        <w:top w:val="none" w:sz="0" w:space="0" w:color="auto"/>
        <w:left w:val="none" w:sz="0" w:space="0" w:color="auto"/>
        <w:bottom w:val="none" w:sz="0" w:space="0" w:color="auto"/>
        <w:right w:val="none" w:sz="0" w:space="0" w:color="auto"/>
      </w:divBdr>
    </w:div>
    <w:div w:id="335691051">
      <w:bodyDiv w:val="1"/>
      <w:marLeft w:val="0"/>
      <w:marRight w:val="0"/>
      <w:marTop w:val="0"/>
      <w:marBottom w:val="0"/>
      <w:divBdr>
        <w:top w:val="none" w:sz="0" w:space="0" w:color="auto"/>
        <w:left w:val="none" w:sz="0" w:space="0" w:color="auto"/>
        <w:bottom w:val="none" w:sz="0" w:space="0" w:color="auto"/>
        <w:right w:val="none" w:sz="0" w:space="0" w:color="auto"/>
      </w:divBdr>
    </w:div>
    <w:div w:id="335695259">
      <w:bodyDiv w:val="1"/>
      <w:marLeft w:val="0"/>
      <w:marRight w:val="0"/>
      <w:marTop w:val="0"/>
      <w:marBottom w:val="0"/>
      <w:divBdr>
        <w:top w:val="none" w:sz="0" w:space="0" w:color="auto"/>
        <w:left w:val="none" w:sz="0" w:space="0" w:color="auto"/>
        <w:bottom w:val="none" w:sz="0" w:space="0" w:color="auto"/>
        <w:right w:val="none" w:sz="0" w:space="0" w:color="auto"/>
      </w:divBdr>
    </w:div>
    <w:div w:id="335766628">
      <w:bodyDiv w:val="1"/>
      <w:marLeft w:val="0"/>
      <w:marRight w:val="0"/>
      <w:marTop w:val="0"/>
      <w:marBottom w:val="0"/>
      <w:divBdr>
        <w:top w:val="none" w:sz="0" w:space="0" w:color="auto"/>
        <w:left w:val="none" w:sz="0" w:space="0" w:color="auto"/>
        <w:bottom w:val="none" w:sz="0" w:space="0" w:color="auto"/>
        <w:right w:val="none" w:sz="0" w:space="0" w:color="auto"/>
      </w:divBdr>
    </w:div>
    <w:div w:id="335839214">
      <w:bodyDiv w:val="1"/>
      <w:marLeft w:val="0"/>
      <w:marRight w:val="0"/>
      <w:marTop w:val="0"/>
      <w:marBottom w:val="0"/>
      <w:divBdr>
        <w:top w:val="none" w:sz="0" w:space="0" w:color="auto"/>
        <w:left w:val="none" w:sz="0" w:space="0" w:color="auto"/>
        <w:bottom w:val="none" w:sz="0" w:space="0" w:color="auto"/>
        <w:right w:val="none" w:sz="0" w:space="0" w:color="auto"/>
      </w:divBdr>
    </w:div>
    <w:div w:id="335958977">
      <w:bodyDiv w:val="1"/>
      <w:marLeft w:val="0"/>
      <w:marRight w:val="0"/>
      <w:marTop w:val="0"/>
      <w:marBottom w:val="0"/>
      <w:divBdr>
        <w:top w:val="none" w:sz="0" w:space="0" w:color="auto"/>
        <w:left w:val="none" w:sz="0" w:space="0" w:color="auto"/>
        <w:bottom w:val="none" w:sz="0" w:space="0" w:color="auto"/>
        <w:right w:val="none" w:sz="0" w:space="0" w:color="auto"/>
      </w:divBdr>
    </w:div>
    <w:div w:id="335966049">
      <w:bodyDiv w:val="1"/>
      <w:marLeft w:val="0"/>
      <w:marRight w:val="0"/>
      <w:marTop w:val="0"/>
      <w:marBottom w:val="0"/>
      <w:divBdr>
        <w:top w:val="none" w:sz="0" w:space="0" w:color="auto"/>
        <w:left w:val="none" w:sz="0" w:space="0" w:color="auto"/>
        <w:bottom w:val="none" w:sz="0" w:space="0" w:color="auto"/>
        <w:right w:val="none" w:sz="0" w:space="0" w:color="auto"/>
      </w:divBdr>
    </w:div>
    <w:div w:id="336008492">
      <w:bodyDiv w:val="1"/>
      <w:marLeft w:val="0"/>
      <w:marRight w:val="0"/>
      <w:marTop w:val="0"/>
      <w:marBottom w:val="0"/>
      <w:divBdr>
        <w:top w:val="none" w:sz="0" w:space="0" w:color="auto"/>
        <w:left w:val="none" w:sz="0" w:space="0" w:color="auto"/>
        <w:bottom w:val="none" w:sz="0" w:space="0" w:color="auto"/>
        <w:right w:val="none" w:sz="0" w:space="0" w:color="auto"/>
      </w:divBdr>
    </w:div>
    <w:div w:id="336201543">
      <w:bodyDiv w:val="1"/>
      <w:marLeft w:val="0"/>
      <w:marRight w:val="0"/>
      <w:marTop w:val="0"/>
      <w:marBottom w:val="0"/>
      <w:divBdr>
        <w:top w:val="none" w:sz="0" w:space="0" w:color="auto"/>
        <w:left w:val="none" w:sz="0" w:space="0" w:color="auto"/>
        <w:bottom w:val="none" w:sz="0" w:space="0" w:color="auto"/>
        <w:right w:val="none" w:sz="0" w:space="0" w:color="auto"/>
      </w:divBdr>
    </w:div>
    <w:div w:id="336232438">
      <w:bodyDiv w:val="1"/>
      <w:marLeft w:val="0"/>
      <w:marRight w:val="0"/>
      <w:marTop w:val="0"/>
      <w:marBottom w:val="0"/>
      <w:divBdr>
        <w:top w:val="none" w:sz="0" w:space="0" w:color="auto"/>
        <w:left w:val="none" w:sz="0" w:space="0" w:color="auto"/>
        <w:bottom w:val="none" w:sz="0" w:space="0" w:color="auto"/>
        <w:right w:val="none" w:sz="0" w:space="0" w:color="auto"/>
      </w:divBdr>
    </w:div>
    <w:div w:id="336346357">
      <w:bodyDiv w:val="1"/>
      <w:marLeft w:val="0"/>
      <w:marRight w:val="0"/>
      <w:marTop w:val="0"/>
      <w:marBottom w:val="0"/>
      <w:divBdr>
        <w:top w:val="none" w:sz="0" w:space="0" w:color="auto"/>
        <w:left w:val="none" w:sz="0" w:space="0" w:color="auto"/>
        <w:bottom w:val="none" w:sz="0" w:space="0" w:color="auto"/>
        <w:right w:val="none" w:sz="0" w:space="0" w:color="auto"/>
      </w:divBdr>
    </w:div>
    <w:div w:id="336468477">
      <w:bodyDiv w:val="1"/>
      <w:marLeft w:val="0"/>
      <w:marRight w:val="0"/>
      <w:marTop w:val="0"/>
      <w:marBottom w:val="0"/>
      <w:divBdr>
        <w:top w:val="none" w:sz="0" w:space="0" w:color="auto"/>
        <w:left w:val="none" w:sz="0" w:space="0" w:color="auto"/>
        <w:bottom w:val="none" w:sz="0" w:space="0" w:color="auto"/>
        <w:right w:val="none" w:sz="0" w:space="0" w:color="auto"/>
      </w:divBdr>
    </w:div>
    <w:div w:id="336663777">
      <w:bodyDiv w:val="1"/>
      <w:marLeft w:val="0"/>
      <w:marRight w:val="0"/>
      <w:marTop w:val="0"/>
      <w:marBottom w:val="0"/>
      <w:divBdr>
        <w:top w:val="none" w:sz="0" w:space="0" w:color="auto"/>
        <w:left w:val="none" w:sz="0" w:space="0" w:color="auto"/>
        <w:bottom w:val="none" w:sz="0" w:space="0" w:color="auto"/>
        <w:right w:val="none" w:sz="0" w:space="0" w:color="auto"/>
      </w:divBdr>
    </w:div>
    <w:div w:id="336689436">
      <w:bodyDiv w:val="1"/>
      <w:marLeft w:val="0"/>
      <w:marRight w:val="0"/>
      <w:marTop w:val="0"/>
      <w:marBottom w:val="0"/>
      <w:divBdr>
        <w:top w:val="none" w:sz="0" w:space="0" w:color="auto"/>
        <w:left w:val="none" w:sz="0" w:space="0" w:color="auto"/>
        <w:bottom w:val="none" w:sz="0" w:space="0" w:color="auto"/>
        <w:right w:val="none" w:sz="0" w:space="0" w:color="auto"/>
      </w:divBdr>
    </w:div>
    <w:div w:id="336886436">
      <w:bodyDiv w:val="1"/>
      <w:marLeft w:val="0"/>
      <w:marRight w:val="0"/>
      <w:marTop w:val="0"/>
      <w:marBottom w:val="0"/>
      <w:divBdr>
        <w:top w:val="none" w:sz="0" w:space="0" w:color="auto"/>
        <w:left w:val="none" w:sz="0" w:space="0" w:color="auto"/>
        <w:bottom w:val="none" w:sz="0" w:space="0" w:color="auto"/>
        <w:right w:val="none" w:sz="0" w:space="0" w:color="auto"/>
      </w:divBdr>
    </w:div>
    <w:div w:id="337079755">
      <w:bodyDiv w:val="1"/>
      <w:marLeft w:val="0"/>
      <w:marRight w:val="0"/>
      <w:marTop w:val="0"/>
      <w:marBottom w:val="0"/>
      <w:divBdr>
        <w:top w:val="none" w:sz="0" w:space="0" w:color="auto"/>
        <w:left w:val="none" w:sz="0" w:space="0" w:color="auto"/>
        <w:bottom w:val="none" w:sz="0" w:space="0" w:color="auto"/>
        <w:right w:val="none" w:sz="0" w:space="0" w:color="auto"/>
      </w:divBdr>
    </w:div>
    <w:div w:id="337274198">
      <w:bodyDiv w:val="1"/>
      <w:marLeft w:val="0"/>
      <w:marRight w:val="0"/>
      <w:marTop w:val="0"/>
      <w:marBottom w:val="0"/>
      <w:divBdr>
        <w:top w:val="none" w:sz="0" w:space="0" w:color="auto"/>
        <w:left w:val="none" w:sz="0" w:space="0" w:color="auto"/>
        <w:bottom w:val="none" w:sz="0" w:space="0" w:color="auto"/>
        <w:right w:val="none" w:sz="0" w:space="0" w:color="auto"/>
      </w:divBdr>
    </w:div>
    <w:div w:id="337317370">
      <w:bodyDiv w:val="1"/>
      <w:marLeft w:val="0"/>
      <w:marRight w:val="0"/>
      <w:marTop w:val="0"/>
      <w:marBottom w:val="0"/>
      <w:divBdr>
        <w:top w:val="none" w:sz="0" w:space="0" w:color="auto"/>
        <w:left w:val="none" w:sz="0" w:space="0" w:color="auto"/>
        <w:bottom w:val="none" w:sz="0" w:space="0" w:color="auto"/>
        <w:right w:val="none" w:sz="0" w:space="0" w:color="auto"/>
      </w:divBdr>
    </w:div>
    <w:div w:id="337393019">
      <w:bodyDiv w:val="1"/>
      <w:marLeft w:val="0"/>
      <w:marRight w:val="0"/>
      <w:marTop w:val="0"/>
      <w:marBottom w:val="0"/>
      <w:divBdr>
        <w:top w:val="none" w:sz="0" w:space="0" w:color="auto"/>
        <w:left w:val="none" w:sz="0" w:space="0" w:color="auto"/>
        <w:bottom w:val="none" w:sz="0" w:space="0" w:color="auto"/>
        <w:right w:val="none" w:sz="0" w:space="0" w:color="auto"/>
      </w:divBdr>
    </w:div>
    <w:div w:id="337775961">
      <w:bodyDiv w:val="1"/>
      <w:marLeft w:val="0"/>
      <w:marRight w:val="0"/>
      <w:marTop w:val="0"/>
      <w:marBottom w:val="0"/>
      <w:divBdr>
        <w:top w:val="none" w:sz="0" w:space="0" w:color="auto"/>
        <w:left w:val="none" w:sz="0" w:space="0" w:color="auto"/>
        <w:bottom w:val="none" w:sz="0" w:space="0" w:color="auto"/>
        <w:right w:val="none" w:sz="0" w:space="0" w:color="auto"/>
      </w:divBdr>
    </w:div>
    <w:div w:id="337853690">
      <w:bodyDiv w:val="1"/>
      <w:marLeft w:val="0"/>
      <w:marRight w:val="0"/>
      <w:marTop w:val="0"/>
      <w:marBottom w:val="0"/>
      <w:divBdr>
        <w:top w:val="none" w:sz="0" w:space="0" w:color="auto"/>
        <w:left w:val="none" w:sz="0" w:space="0" w:color="auto"/>
        <w:bottom w:val="none" w:sz="0" w:space="0" w:color="auto"/>
        <w:right w:val="none" w:sz="0" w:space="0" w:color="auto"/>
      </w:divBdr>
    </w:div>
    <w:div w:id="337928692">
      <w:bodyDiv w:val="1"/>
      <w:marLeft w:val="0"/>
      <w:marRight w:val="0"/>
      <w:marTop w:val="0"/>
      <w:marBottom w:val="0"/>
      <w:divBdr>
        <w:top w:val="none" w:sz="0" w:space="0" w:color="auto"/>
        <w:left w:val="none" w:sz="0" w:space="0" w:color="auto"/>
        <w:bottom w:val="none" w:sz="0" w:space="0" w:color="auto"/>
        <w:right w:val="none" w:sz="0" w:space="0" w:color="auto"/>
      </w:divBdr>
    </w:div>
    <w:div w:id="337973755">
      <w:bodyDiv w:val="1"/>
      <w:marLeft w:val="0"/>
      <w:marRight w:val="0"/>
      <w:marTop w:val="0"/>
      <w:marBottom w:val="0"/>
      <w:divBdr>
        <w:top w:val="none" w:sz="0" w:space="0" w:color="auto"/>
        <w:left w:val="none" w:sz="0" w:space="0" w:color="auto"/>
        <w:bottom w:val="none" w:sz="0" w:space="0" w:color="auto"/>
        <w:right w:val="none" w:sz="0" w:space="0" w:color="auto"/>
      </w:divBdr>
    </w:div>
    <w:div w:id="338125441">
      <w:bodyDiv w:val="1"/>
      <w:marLeft w:val="0"/>
      <w:marRight w:val="0"/>
      <w:marTop w:val="0"/>
      <w:marBottom w:val="0"/>
      <w:divBdr>
        <w:top w:val="none" w:sz="0" w:space="0" w:color="auto"/>
        <w:left w:val="none" w:sz="0" w:space="0" w:color="auto"/>
        <w:bottom w:val="none" w:sz="0" w:space="0" w:color="auto"/>
        <w:right w:val="none" w:sz="0" w:space="0" w:color="auto"/>
      </w:divBdr>
    </w:div>
    <w:div w:id="338823438">
      <w:bodyDiv w:val="1"/>
      <w:marLeft w:val="0"/>
      <w:marRight w:val="0"/>
      <w:marTop w:val="0"/>
      <w:marBottom w:val="0"/>
      <w:divBdr>
        <w:top w:val="none" w:sz="0" w:space="0" w:color="auto"/>
        <w:left w:val="none" w:sz="0" w:space="0" w:color="auto"/>
        <w:bottom w:val="none" w:sz="0" w:space="0" w:color="auto"/>
        <w:right w:val="none" w:sz="0" w:space="0" w:color="auto"/>
      </w:divBdr>
    </w:div>
    <w:div w:id="338847875">
      <w:bodyDiv w:val="1"/>
      <w:marLeft w:val="0"/>
      <w:marRight w:val="0"/>
      <w:marTop w:val="0"/>
      <w:marBottom w:val="0"/>
      <w:divBdr>
        <w:top w:val="none" w:sz="0" w:space="0" w:color="auto"/>
        <w:left w:val="none" w:sz="0" w:space="0" w:color="auto"/>
        <w:bottom w:val="none" w:sz="0" w:space="0" w:color="auto"/>
        <w:right w:val="none" w:sz="0" w:space="0" w:color="auto"/>
      </w:divBdr>
    </w:div>
    <w:div w:id="338965174">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39354897">
      <w:bodyDiv w:val="1"/>
      <w:marLeft w:val="0"/>
      <w:marRight w:val="0"/>
      <w:marTop w:val="0"/>
      <w:marBottom w:val="0"/>
      <w:divBdr>
        <w:top w:val="none" w:sz="0" w:space="0" w:color="auto"/>
        <w:left w:val="none" w:sz="0" w:space="0" w:color="auto"/>
        <w:bottom w:val="none" w:sz="0" w:space="0" w:color="auto"/>
        <w:right w:val="none" w:sz="0" w:space="0" w:color="auto"/>
      </w:divBdr>
    </w:div>
    <w:div w:id="339428592">
      <w:bodyDiv w:val="1"/>
      <w:marLeft w:val="0"/>
      <w:marRight w:val="0"/>
      <w:marTop w:val="0"/>
      <w:marBottom w:val="0"/>
      <w:divBdr>
        <w:top w:val="none" w:sz="0" w:space="0" w:color="auto"/>
        <w:left w:val="none" w:sz="0" w:space="0" w:color="auto"/>
        <w:bottom w:val="none" w:sz="0" w:space="0" w:color="auto"/>
        <w:right w:val="none" w:sz="0" w:space="0" w:color="auto"/>
      </w:divBdr>
    </w:div>
    <w:div w:id="339433887">
      <w:bodyDiv w:val="1"/>
      <w:marLeft w:val="0"/>
      <w:marRight w:val="0"/>
      <w:marTop w:val="0"/>
      <w:marBottom w:val="0"/>
      <w:divBdr>
        <w:top w:val="none" w:sz="0" w:space="0" w:color="auto"/>
        <w:left w:val="none" w:sz="0" w:space="0" w:color="auto"/>
        <w:bottom w:val="none" w:sz="0" w:space="0" w:color="auto"/>
        <w:right w:val="none" w:sz="0" w:space="0" w:color="auto"/>
      </w:divBdr>
    </w:div>
    <w:div w:id="339620192">
      <w:bodyDiv w:val="1"/>
      <w:marLeft w:val="0"/>
      <w:marRight w:val="0"/>
      <w:marTop w:val="0"/>
      <w:marBottom w:val="0"/>
      <w:divBdr>
        <w:top w:val="none" w:sz="0" w:space="0" w:color="auto"/>
        <w:left w:val="none" w:sz="0" w:space="0" w:color="auto"/>
        <w:bottom w:val="none" w:sz="0" w:space="0" w:color="auto"/>
        <w:right w:val="none" w:sz="0" w:space="0" w:color="auto"/>
      </w:divBdr>
    </w:div>
    <w:div w:id="339940664">
      <w:bodyDiv w:val="1"/>
      <w:marLeft w:val="0"/>
      <w:marRight w:val="0"/>
      <w:marTop w:val="0"/>
      <w:marBottom w:val="0"/>
      <w:divBdr>
        <w:top w:val="none" w:sz="0" w:space="0" w:color="auto"/>
        <w:left w:val="none" w:sz="0" w:space="0" w:color="auto"/>
        <w:bottom w:val="none" w:sz="0" w:space="0" w:color="auto"/>
        <w:right w:val="none" w:sz="0" w:space="0" w:color="auto"/>
      </w:divBdr>
    </w:div>
    <w:div w:id="339966366">
      <w:bodyDiv w:val="1"/>
      <w:marLeft w:val="0"/>
      <w:marRight w:val="0"/>
      <w:marTop w:val="0"/>
      <w:marBottom w:val="0"/>
      <w:divBdr>
        <w:top w:val="none" w:sz="0" w:space="0" w:color="auto"/>
        <w:left w:val="none" w:sz="0" w:space="0" w:color="auto"/>
        <w:bottom w:val="none" w:sz="0" w:space="0" w:color="auto"/>
        <w:right w:val="none" w:sz="0" w:space="0" w:color="auto"/>
      </w:divBdr>
    </w:div>
    <w:div w:id="340278363">
      <w:bodyDiv w:val="1"/>
      <w:marLeft w:val="0"/>
      <w:marRight w:val="0"/>
      <w:marTop w:val="0"/>
      <w:marBottom w:val="0"/>
      <w:divBdr>
        <w:top w:val="none" w:sz="0" w:space="0" w:color="auto"/>
        <w:left w:val="none" w:sz="0" w:space="0" w:color="auto"/>
        <w:bottom w:val="none" w:sz="0" w:space="0" w:color="auto"/>
        <w:right w:val="none" w:sz="0" w:space="0" w:color="auto"/>
      </w:divBdr>
    </w:div>
    <w:div w:id="340394204">
      <w:bodyDiv w:val="1"/>
      <w:marLeft w:val="0"/>
      <w:marRight w:val="0"/>
      <w:marTop w:val="0"/>
      <w:marBottom w:val="0"/>
      <w:divBdr>
        <w:top w:val="none" w:sz="0" w:space="0" w:color="auto"/>
        <w:left w:val="none" w:sz="0" w:space="0" w:color="auto"/>
        <w:bottom w:val="none" w:sz="0" w:space="0" w:color="auto"/>
        <w:right w:val="none" w:sz="0" w:space="0" w:color="auto"/>
      </w:divBdr>
    </w:div>
    <w:div w:id="340740279">
      <w:bodyDiv w:val="1"/>
      <w:marLeft w:val="0"/>
      <w:marRight w:val="0"/>
      <w:marTop w:val="0"/>
      <w:marBottom w:val="0"/>
      <w:divBdr>
        <w:top w:val="none" w:sz="0" w:space="0" w:color="auto"/>
        <w:left w:val="none" w:sz="0" w:space="0" w:color="auto"/>
        <w:bottom w:val="none" w:sz="0" w:space="0" w:color="auto"/>
        <w:right w:val="none" w:sz="0" w:space="0" w:color="auto"/>
      </w:divBdr>
    </w:div>
    <w:div w:id="340856996">
      <w:bodyDiv w:val="1"/>
      <w:marLeft w:val="0"/>
      <w:marRight w:val="0"/>
      <w:marTop w:val="0"/>
      <w:marBottom w:val="0"/>
      <w:divBdr>
        <w:top w:val="none" w:sz="0" w:space="0" w:color="auto"/>
        <w:left w:val="none" w:sz="0" w:space="0" w:color="auto"/>
        <w:bottom w:val="none" w:sz="0" w:space="0" w:color="auto"/>
        <w:right w:val="none" w:sz="0" w:space="0" w:color="auto"/>
      </w:divBdr>
    </w:div>
    <w:div w:id="341247413">
      <w:bodyDiv w:val="1"/>
      <w:marLeft w:val="0"/>
      <w:marRight w:val="0"/>
      <w:marTop w:val="0"/>
      <w:marBottom w:val="0"/>
      <w:divBdr>
        <w:top w:val="none" w:sz="0" w:space="0" w:color="auto"/>
        <w:left w:val="none" w:sz="0" w:space="0" w:color="auto"/>
        <w:bottom w:val="none" w:sz="0" w:space="0" w:color="auto"/>
        <w:right w:val="none" w:sz="0" w:space="0" w:color="auto"/>
      </w:divBdr>
    </w:div>
    <w:div w:id="341706242">
      <w:bodyDiv w:val="1"/>
      <w:marLeft w:val="0"/>
      <w:marRight w:val="0"/>
      <w:marTop w:val="0"/>
      <w:marBottom w:val="0"/>
      <w:divBdr>
        <w:top w:val="none" w:sz="0" w:space="0" w:color="auto"/>
        <w:left w:val="none" w:sz="0" w:space="0" w:color="auto"/>
        <w:bottom w:val="none" w:sz="0" w:space="0" w:color="auto"/>
        <w:right w:val="none" w:sz="0" w:space="0" w:color="auto"/>
      </w:divBdr>
    </w:div>
    <w:div w:id="341980270">
      <w:bodyDiv w:val="1"/>
      <w:marLeft w:val="0"/>
      <w:marRight w:val="0"/>
      <w:marTop w:val="0"/>
      <w:marBottom w:val="0"/>
      <w:divBdr>
        <w:top w:val="none" w:sz="0" w:space="0" w:color="auto"/>
        <w:left w:val="none" w:sz="0" w:space="0" w:color="auto"/>
        <w:bottom w:val="none" w:sz="0" w:space="0" w:color="auto"/>
        <w:right w:val="none" w:sz="0" w:space="0" w:color="auto"/>
      </w:divBdr>
    </w:div>
    <w:div w:id="343242769">
      <w:bodyDiv w:val="1"/>
      <w:marLeft w:val="0"/>
      <w:marRight w:val="0"/>
      <w:marTop w:val="0"/>
      <w:marBottom w:val="0"/>
      <w:divBdr>
        <w:top w:val="none" w:sz="0" w:space="0" w:color="auto"/>
        <w:left w:val="none" w:sz="0" w:space="0" w:color="auto"/>
        <w:bottom w:val="none" w:sz="0" w:space="0" w:color="auto"/>
        <w:right w:val="none" w:sz="0" w:space="0" w:color="auto"/>
      </w:divBdr>
    </w:div>
    <w:div w:id="343627139">
      <w:bodyDiv w:val="1"/>
      <w:marLeft w:val="0"/>
      <w:marRight w:val="0"/>
      <w:marTop w:val="0"/>
      <w:marBottom w:val="0"/>
      <w:divBdr>
        <w:top w:val="none" w:sz="0" w:space="0" w:color="auto"/>
        <w:left w:val="none" w:sz="0" w:space="0" w:color="auto"/>
        <w:bottom w:val="none" w:sz="0" w:space="0" w:color="auto"/>
        <w:right w:val="none" w:sz="0" w:space="0" w:color="auto"/>
      </w:divBdr>
    </w:div>
    <w:div w:id="343822719">
      <w:bodyDiv w:val="1"/>
      <w:marLeft w:val="0"/>
      <w:marRight w:val="0"/>
      <w:marTop w:val="0"/>
      <w:marBottom w:val="0"/>
      <w:divBdr>
        <w:top w:val="none" w:sz="0" w:space="0" w:color="auto"/>
        <w:left w:val="none" w:sz="0" w:space="0" w:color="auto"/>
        <w:bottom w:val="none" w:sz="0" w:space="0" w:color="auto"/>
        <w:right w:val="none" w:sz="0" w:space="0" w:color="auto"/>
      </w:divBdr>
    </w:div>
    <w:div w:id="343869111">
      <w:bodyDiv w:val="1"/>
      <w:marLeft w:val="0"/>
      <w:marRight w:val="0"/>
      <w:marTop w:val="0"/>
      <w:marBottom w:val="0"/>
      <w:divBdr>
        <w:top w:val="none" w:sz="0" w:space="0" w:color="auto"/>
        <w:left w:val="none" w:sz="0" w:space="0" w:color="auto"/>
        <w:bottom w:val="none" w:sz="0" w:space="0" w:color="auto"/>
        <w:right w:val="none" w:sz="0" w:space="0" w:color="auto"/>
      </w:divBdr>
    </w:div>
    <w:div w:id="344526535">
      <w:bodyDiv w:val="1"/>
      <w:marLeft w:val="0"/>
      <w:marRight w:val="0"/>
      <w:marTop w:val="0"/>
      <w:marBottom w:val="0"/>
      <w:divBdr>
        <w:top w:val="none" w:sz="0" w:space="0" w:color="auto"/>
        <w:left w:val="none" w:sz="0" w:space="0" w:color="auto"/>
        <w:bottom w:val="none" w:sz="0" w:space="0" w:color="auto"/>
        <w:right w:val="none" w:sz="0" w:space="0" w:color="auto"/>
      </w:divBdr>
    </w:div>
    <w:div w:id="344668925">
      <w:bodyDiv w:val="1"/>
      <w:marLeft w:val="0"/>
      <w:marRight w:val="0"/>
      <w:marTop w:val="0"/>
      <w:marBottom w:val="0"/>
      <w:divBdr>
        <w:top w:val="none" w:sz="0" w:space="0" w:color="auto"/>
        <w:left w:val="none" w:sz="0" w:space="0" w:color="auto"/>
        <w:bottom w:val="none" w:sz="0" w:space="0" w:color="auto"/>
        <w:right w:val="none" w:sz="0" w:space="0" w:color="auto"/>
      </w:divBdr>
    </w:div>
    <w:div w:id="344673173">
      <w:bodyDiv w:val="1"/>
      <w:marLeft w:val="0"/>
      <w:marRight w:val="0"/>
      <w:marTop w:val="0"/>
      <w:marBottom w:val="0"/>
      <w:divBdr>
        <w:top w:val="none" w:sz="0" w:space="0" w:color="auto"/>
        <w:left w:val="none" w:sz="0" w:space="0" w:color="auto"/>
        <w:bottom w:val="none" w:sz="0" w:space="0" w:color="auto"/>
        <w:right w:val="none" w:sz="0" w:space="0" w:color="auto"/>
      </w:divBdr>
    </w:div>
    <w:div w:id="344789257">
      <w:bodyDiv w:val="1"/>
      <w:marLeft w:val="0"/>
      <w:marRight w:val="0"/>
      <w:marTop w:val="0"/>
      <w:marBottom w:val="0"/>
      <w:divBdr>
        <w:top w:val="none" w:sz="0" w:space="0" w:color="auto"/>
        <w:left w:val="none" w:sz="0" w:space="0" w:color="auto"/>
        <w:bottom w:val="none" w:sz="0" w:space="0" w:color="auto"/>
        <w:right w:val="none" w:sz="0" w:space="0" w:color="auto"/>
      </w:divBdr>
    </w:div>
    <w:div w:id="345139125">
      <w:bodyDiv w:val="1"/>
      <w:marLeft w:val="0"/>
      <w:marRight w:val="0"/>
      <w:marTop w:val="0"/>
      <w:marBottom w:val="0"/>
      <w:divBdr>
        <w:top w:val="none" w:sz="0" w:space="0" w:color="auto"/>
        <w:left w:val="none" w:sz="0" w:space="0" w:color="auto"/>
        <w:bottom w:val="none" w:sz="0" w:space="0" w:color="auto"/>
        <w:right w:val="none" w:sz="0" w:space="0" w:color="auto"/>
      </w:divBdr>
    </w:div>
    <w:div w:id="345180547">
      <w:bodyDiv w:val="1"/>
      <w:marLeft w:val="0"/>
      <w:marRight w:val="0"/>
      <w:marTop w:val="0"/>
      <w:marBottom w:val="0"/>
      <w:divBdr>
        <w:top w:val="none" w:sz="0" w:space="0" w:color="auto"/>
        <w:left w:val="none" w:sz="0" w:space="0" w:color="auto"/>
        <w:bottom w:val="none" w:sz="0" w:space="0" w:color="auto"/>
        <w:right w:val="none" w:sz="0" w:space="0" w:color="auto"/>
      </w:divBdr>
    </w:div>
    <w:div w:id="345447566">
      <w:bodyDiv w:val="1"/>
      <w:marLeft w:val="0"/>
      <w:marRight w:val="0"/>
      <w:marTop w:val="0"/>
      <w:marBottom w:val="0"/>
      <w:divBdr>
        <w:top w:val="none" w:sz="0" w:space="0" w:color="auto"/>
        <w:left w:val="none" w:sz="0" w:space="0" w:color="auto"/>
        <w:bottom w:val="none" w:sz="0" w:space="0" w:color="auto"/>
        <w:right w:val="none" w:sz="0" w:space="0" w:color="auto"/>
      </w:divBdr>
    </w:div>
    <w:div w:id="345713034">
      <w:bodyDiv w:val="1"/>
      <w:marLeft w:val="0"/>
      <w:marRight w:val="0"/>
      <w:marTop w:val="0"/>
      <w:marBottom w:val="0"/>
      <w:divBdr>
        <w:top w:val="none" w:sz="0" w:space="0" w:color="auto"/>
        <w:left w:val="none" w:sz="0" w:space="0" w:color="auto"/>
        <w:bottom w:val="none" w:sz="0" w:space="0" w:color="auto"/>
        <w:right w:val="none" w:sz="0" w:space="0" w:color="auto"/>
      </w:divBdr>
    </w:div>
    <w:div w:id="346445116">
      <w:bodyDiv w:val="1"/>
      <w:marLeft w:val="0"/>
      <w:marRight w:val="0"/>
      <w:marTop w:val="0"/>
      <w:marBottom w:val="0"/>
      <w:divBdr>
        <w:top w:val="none" w:sz="0" w:space="0" w:color="auto"/>
        <w:left w:val="none" w:sz="0" w:space="0" w:color="auto"/>
        <w:bottom w:val="none" w:sz="0" w:space="0" w:color="auto"/>
        <w:right w:val="none" w:sz="0" w:space="0" w:color="auto"/>
      </w:divBdr>
    </w:div>
    <w:div w:id="346489948">
      <w:bodyDiv w:val="1"/>
      <w:marLeft w:val="0"/>
      <w:marRight w:val="0"/>
      <w:marTop w:val="0"/>
      <w:marBottom w:val="0"/>
      <w:divBdr>
        <w:top w:val="none" w:sz="0" w:space="0" w:color="auto"/>
        <w:left w:val="none" w:sz="0" w:space="0" w:color="auto"/>
        <w:bottom w:val="none" w:sz="0" w:space="0" w:color="auto"/>
        <w:right w:val="none" w:sz="0" w:space="0" w:color="auto"/>
      </w:divBdr>
    </w:div>
    <w:div w:id="347755584">
      <w:bodyDiv w:val="1"/>
      <w:marLeft w:val="0"/>
      <w:marRight w:val="0"/>
      <w:marTop w:val="0"/>
      <w:marBottom w:val="0"/>
      <w:divBdr>
        <w:top w:val="none" w:sz="0" w:space="0" w:color="auto"/>
        <w:left w:val="none" w:sz="0" w:space="0" w:color="auto"/>
        <w:bottom w:val="none" w:sz="0" w:space="0" w:color="auto"/>
        <w:right w:val="none" w:sz="0" w:space="0" w:color="auto"/>
      </w:divBdr>
    </w:div>
    <w:div w:id="347872173">
      <w:bodyDiv w:val="1"/>
      <w:marLeft w:val="0"/>
      <w:marRight w:val="0"/>
      <w:marTop w:val="0"/>
      <w:marBottom w:val="0"/>
      <w:divBdr>
        <w:top w:val="none" w:sz="0" w:space="0" w:color="auto"/>
        <w:left w:val="none" w:sz="0" w:space="0" w:color="auto"/>
        <w:bottom w:val="none" w:sz="0" w:space="0" w:color="auto"/>
        <w:right w:val="none" w:sz="0" w:space="0" w:color="auto"/>
      </w:divBdr>
    </w:div>
    <w:div w:id="348147994">
      <w:bodyDiv w:val="1"/>
      <w:marLeft w:val="0"/>
      <w:marRight w:val="0"/>
      <w:marTop w:val="0"/>
      <w:marBottom w:val="0"/>
      <w:divBdr>
        <w:top w:val="none" w:sz="0" w:space="0" w:color="auto"/>
        <w:left w:val="none" w:sz="0" w:space="0" w:color="auto"/>
        <w:bottom w:val="none" w:sz="0" w:space="0" w:color="auto"/>
        <w:right w:val="none" w:sz="0" w:space="0" w:color="auto"/>
      </w:divBdr>
    </w:div>
    <w:div w:id="349337459">
      <w:bodyDiv w:val="1"/>
      <w:marLeft w:val="0"/>
      <w:marRight w:val="0"/>
      <w:marTop w:val="0"/>
      <w:marBottom w:val="0"/>
      <w:divBdr>
        <w:top w:val="none" w:sz="0" w:space="0" w:color="auto"/>
        <w:left w:val="none" w:sz="0" w:space="0" w:color="auto"/>
        <w:bottom w:val="none" w:sz="0" w:space="0" w:color="auto"/>
        <w:right w:val="none" w:sz="0" w:space="0" w:color="auto"/>
      </w:divBdr>
    </w:div>
    <w:div w:id="349575736">
      <w:bodyDiv w:val="1"/>
      <w:marLeft w:val="0"/>
      <w:marRight w:val="0"/>
      <w:marTop w:val="0"/>
      <w:marBottom w:val="0"/>
      <w:divBdr>
        <w:top w:val="none" w:sz="0" w:space="0" w:color="auto"/>
        <w:left w:val="none" w:sz="0" w:space="0" w:color="auto"/>
        <w:bottom w:val="none" w:sz="0" w:space="0" w:color="auto"/>
        <w:right w:val="none" w:sz="0" w:space="0" w:color="auto"/>
      </w:divBdr>
    </w:div>
    <w:div w:id="349647450">
      <w:bodyDiv w:val="1"/>
      <w:marLeft w:val="0"/>
      <w:marRight w:val="0"/>
      <w:marTop w:val="0"/>
      <w:marBottom w:val="0"/>
      <w:divBdr>
        <w:top w:val="none" w:sz="0" w:space="0" w:color="auto"/>
        <w:left w:val="none" w:sz="0" w:space="0" w:color="auto"/>
        <w:bottom w:val="none" w:sz="0" w:space="0" w:color="auto"/>
        <w:right w:val="none" w:sz="0" w:space="0" w:color="auto"/>
      </w:divBdr>
    </w:div>
    <w:div w:id="349843363">
      <w:bodyDiv w:val="1"/>
      <w:marLeft w:val="0"/>
      <w:marRight w:val="0"/>
      <w:marTop w:val="0"/>
      <w:marBottom w:val="0"/>
      <w:divBdr>
        <w:top w:val="none" w:sz="0" w:space="0" w:color="auto"/>
        <w:left w:val="none" w:sz="0" w:space="0" w:color="auto"/>
        <w:bottom w:val="none" w:sz="0" w:space="0" w:color="auto"/>
        <w:right w:val="none" w:sz="0" w:space="0" w:color="auto"/>
      </w:divBdr>
    </w:div>
    <w:div w:id="350104487">
      <w:bodyDiv w:val="1"/>
      <w:marLeft w:val="0"/>
      <w:marRight w:val="0"/>
      <w:marTop w:val="0"/>
      <w:marBottom w:val="0"/>
      <w:divBdr>
        <w:top w:val="none" w:sz="0" w:space="0" w:color="auto"/>
        <w:left w:val="none" w:sz="0" w:space="0" w:color="auto"/>
        <w:bottom w:val="none" w:sz="0" w:space="0" w:color="auto"/>
        <w:right w:val="none" w:sz="0" w:space="0" w:color="auto"/>
      </w:divBdr>
    </w:div>
    <w:div w:id="350111248">
      <w:bodyDiv w:val="1"/>
      <w:marLeft w:val="0"/>
      <w:marRight w:val="0"/>
      <w:marTop w:val="0"/>
      <w:marBottom w:val="0"/>
      <w:divBdr>
        <w:top w:val="none" w:sz="0" w:space="0" w:color="auto"/>
        <w:left w:val="none" w:sz="0" w:space="0" w:color="auto"/>
        <w:bottom w:val="none" w:sz="0" w:space="0" w:color="auto"/>
        <w:right w:val="none" w:sz="0" w:space="0" w:color="auto"/>
      </w:divBdr>
    </w:div>
    <w:div w:id="350566445">
      <w:bodyDiv w:val="1"/>
      <w:marLeft w:val="0"/>
      <w:marRight w:val="0"/>
      <w:marTop w:val="0"/>
      <w:marBottom w:val="0"/>
      <w:divBdr>
        <w:top w:val="none" w:sz="0" w:space="0" w:color="auto"/>
        <w:left w:val="none" w:sz="0" w:space="0" w:color="auto"/>
        <w:bottom w:val="none" w:sz="0" w:space="0" w:color="auto"/>
        <w:right w:val="none" w:sz="0" w:space="0" w:color="auto"/>
      </w:divBdr>
    </w:div>
    <w:div w:id="350885180">
      <w:bodyDiv w:val="1"/>
      <w:marLeft w:val="0"/>
      <w:marRight w:val="0"/>
      <w:marTop w:val="0"/>
      <w:marBottom w:val="0"/>
      <w:divBdr>
        <w:top w:val="none" w:sz="0" w:space="0" w:color="auto"/>
        <w:left w:val="none" w:sz="0" w:space="0" w:color="auto"/>
        <w:bottom w:val="none" w:sz="0" w:space="0" w:color="auto"/>
        <w:right w:val="none" w:sz="0" w:space="0" w:color="auto"/>
      </w:divBdr>
    </w:div>
    <w:div w:id="351152719">
      <w:bodyDiv w:val="1"/>
      <w:marLeft w:val="0"/>
      <w:marRight w:val="0"/>
      <w:marTop w:val="0"/>
      <w:marBottom w:val="0"/>
      <w:divBdr>
        <w:top w:val="none" w:sz="0" w:space="0" w:color="auto"/>
        <w:left w:val="none" w:sz="0" w:space="0" w:color="auto"/>
        <w:bottom w:val="none" w:sz="0" w:space="0" w:color="auto"/>
        <w:right w:val="none" w:sz="0" w:space="0" w:color="auto"/>
      </w:divBdr>
    </w:div>
    <w:div w:id="351422942">
      <w:bodyDiv w:val="1"/>
      <w:marLeft w:val="0"/>
      <w:marRight w:val="0"/>
      <w:marTop w:val="0"/>
      <w:marBottom w:val="0"/>
      <w:divBdr>
        <w:top w:val="none" w:sz="0" w:space="0" w:color="auto"/>
        <w:left w:val="none" w:sz="0" w:space="0" w:color="auto"/>
        <w:bottom w:val="none" w:sz="0" w:space="0" w:color="auto"/>
        <w:right w:val="none" w:sz="0" w:space="0" w:color="auto"/>
      </w:divBdr>
    </w:div>
    <w:div w:id="351807092">
      <w:bodyDiv w:val="1"/>
      <w:marLeft w:val="0"/>
      <w:marRight w:val="0"/>
      <w:marTop w:val="0"/>
      <w:marBottom w:val="0"/>
      <w:divBdr>
        <w:top w:val="none" w:sz="0" w:space="0" w:color="auto"/>
        <w:left w:val="none" w:sz="0" w:space="0" w:color="auto"/>
        <w:bottom w:val="none" w:sz="0" w:space="0" w:color="auto"/>
        <w:right w:val="none" w:sz="0" w:space="0" w:color="auto"/>
      </w:divBdr>
    </w:div>
    <w:div w:id="351885613">
      <w:bodyDiv w:val="1"/>
      <w:marLeft w:val="0"/>
      <w:marRight w:val="0"/>
      <w:marTop w:val="0"/>
      <w:marBottom w:val="0"/>
      <w:divBdr>
        <w:top w:val="none" w:sz="0" w:space="0" w:color="auto"/>
        <w:left w:val="none" w:sz="0" w:space="0" w:color="auto"/>
        <w:bottom w:val="none" w:sz="0" w:space="0" w:color="auto"/>
        <w:right w:val="none" w:sz="0" w:space="0" w:color="auto"/>
      </w:divBdr>
    </w:div>
    <w:div w:id="352264843">
      <w:bodyDiv w:val="1"/>
      <w:marLeft w:val="0"/>
      <w:marRight w:val="0"/>
      <w:marTop w:val="0"/>
      <w:marBottom w:val="0"/>
      <w:divBdr>
        <w:top w:val="none" w:sz="0" w:space="0" w:color="auto"/>
        <w:left w:val="none" w:sz="0" w:space="0" w:color="auto"/>
        <w:bottom w:val="none" w:sz="0" w:space="0" w:color="auto"/>
        <w:right w:val="none" w:sz="0" w:space="0" w:color="auto"/>
      </w:divBdr>
    </w:div>
    <w:div w:id="352609296">
      <w:bodyDiv w:val="1"/>
      <w:marLeft w:val="0"/>
      <w:marRight w:val="0"/>
      <w:marTop w:val="0"/>
      <w:marBottom w:val="0"/>
      <w:divBdr>
        <w:top w:val="none" w:sz="0" w:space="0" w:color="auto"/>
        <w:left w:val="none" w:sz="0" w:space="0" w:color="auto"/>
        <w:bottom w:val="none" w:sz="0" w:space="0" w:color="auto"/>
        <w:right w:val="none" w:sz="0" w:space="0" w:color="auto"/>
      </w:divBdr>
    </w:div>
    <w:div w:id="352657057">
      <w:bodyDiv w:val="1"/>
      <w:marLeft w:val="0"/>
      <w:marRight w:val="0"/>
      <w:marTop w:val="0"/>
      <w:marBottom w:val="0"/>
      <w:divBdr>
        <w:top w:val="none" w:sz="0" w:space="0" w:color="auto"/>
        <w:left w:val="none" w:sz="0" w:space="0" w:color="auto"/>
        <w:bottom w:val="none" w:sz="0" w:space="0" w:color="auto"/>
        <w:right w:val="none" w:sz="0" w:space="0" w:color="auto"/>
      </w:divBdr>
    </w:div>
    <w:div w:id="352658706">
      <w:bodyDiv w:val="1"/>
      <w:marLeft w:val="0"/>
      <w:marRight w:val="0"/>
      <w:marTop w:val="0"/>
      <w:marBottom w:val="0"/>
      <w:divBdr>
        <w:top w:val="none" w:sz="0" w:space="0" w:color="auto"/>
        <w:left w:val="none" w:sz="0" w:space="0" w:color="auto"/>
        <w:bottom w:val="none" w:sz="0" w:space="0" w:color="auto"/>
        <w:right w:val="none" w:sz="0" w:space="0" w:color="auto"/>
      </w:divBdr>
    </w:div>
    <w:div w:id="353003548">
      <w:bodyDiv w:val="1"/>
      <w:marLeft w:val="0"/>
      <w:marRight w:val="0"/>
      <w:marTop w:val="0"/>
      <w:marBottom w:val="0"/>
      <w:divBdr>
        <w:top w:val="none" w:sz="0" w:space="0" w:color="auto"/>
        <w:left w:val="none" w:sz="0" w:space="0" w:color="auto"/>
        <w:bottom w:val="none" w:sz="0" w:space="0" w:color="auto"/>
        <w:right w:val="none" w:sz="0" w:space="0" w:color="auto"/>
      </w:divBdr>
    </w:div>
    <w:div w:id="353119528">
      <w:bodyDiv w:val="1"/>
      <w:marLeft w:val="0"/>
      <w:marRight w:val="0"/>
      <w:marTop w:val="0"/>
      <w:marBottom w:val="0"/>
      <w:divBdr>
        <w:top w:val="none" w:sz="0" w:space="0" w:color="auto"/>
        <w:left w:val="none" w:sz="0" w:space="0" w:color="auto"/>
        <w:bottom w:val="none" w:sz="0" w:space="0" w:color="auto"/>
        <w:right w:val="none" w:sz="0" w:space="0" w:color="auto"/>
      </w:divBdr>
    </w:div>
    <w:div w:id="353698978">
      <w:bodyDiv w:val="1"/>
      <w:marLeft w:val="0"/>
      <w:marRight w:val="0"/>
      <w:marTop w:val="0"/>
      <w:marBottom w:val="0"/>
      <w:divBdr>
        <w:top w:val="none" w:sz="0" w:space="0" w:color="auto"/>
        <w:left w:val="none" w:sz="0" w:space="0" w:color="auto"/>
        <w:bottom w:val="none" w:sz="0" w:space="0" w:color="auto"/>
        <w:right w:val="none" w:sz="0" w:space="0" w:color="auto"/>
      </w:divBdr>
    </w:div>
    <w:div w:id="353843205">
      <w:bodyDiv w:val="1"/>
      <w:marLeft w:val="0"/>
      <w:marRight w:val="0"/>
      <w:marTop w:val="0"/>
      <w:marBottom w:val="0"/>
      <w:divBdr>
        <w:top w:val="none" w:sz="0" w:space="0" w:color="auto"/>
        <w:left w:val="none" w:sz="0" w:space="0" w:color="auto"/>
        <w:bottom w:val="none" w:sz="0" w:space="0" w:color="auto"/>
        <w:right w:val="none" w:sz="0" w:space="0" w:color="auto"/>
      </w:divBdr>
    </w:div>
    <w:div w:id="353968981">
      <w:bodyDiv w:val="1"/>
      <w:marLeft w:val="0"/>
      <w:marRight w:val="0"/>
      <w:marTop w:val="0"/>
      <w:marBottom w:val="0"/>
      <w:divBdr>
        <w:top w:val="none" w:sz="0" w:space="0" w:color="auto"/>
        <w:left w:val="none" w:sz="0" w:space="0" w:color="auto"/>
        <w:bottom w:val="none" w:sz="0" w:space="0" w:color="auto"/>
        <w:right w:val="none" w:sz="0" w:space="0" w:color="auto"/>
      </w:divBdr>
    </w:div>
    <w:div w:id="354232393">
      <w:bodyDiv w:val="1"/>
      <w:marLeft w:val="0"/>
      <w:marRight w:val="0"/>
      <w:marTop w:val="0"/>
      <w:marBottom w:val="0"/>
      <w:divBdr>
        <w:top w:val="none" w:sz="0" w:space="0" w:color="auto"/>
        <w:left w:val="none" w:sz="0" w:space="0" w:color="auto"/>
        <w:bottom w:val="none" w:sz="0" w:space="0" w:color="auto"/>
        <w:right w:val="none" w:sz="0" w:space="0" w:color="auto"/>
      </w:divBdr>
    </w:div>
    <w:div w:id="354575587">
      <w:bodyDiv w:val="1"/>
      <w:marLeft w:val="0"/>
      <w:marRight w:val="0"/>
      <w:marTop w:val="0"/>
      <w:marBottom w:val="0"/>
      <w:divBdr>
        <w:top w:val="none" w:sz="0" w:space="0" w:color="auto"/>
        <w:left w:val="none" w:sz="0" w:space="0" w:color="auto"/>
        <w:bottom w:val="none" w:sz="0" w:space="0" w:color="auto"/>
        <w:right w:val="none" w:sz="0" w:space="0" w:color="auto"/>
      </w:divBdr>
    </w:div>
    <w:div w:id="355037106">
      <w:bodyDiv w:val="1"/>
      <w:marLeft w:val="0"/>
      <w:marRight w:val="0"/>
      <w:marTop w:val="0"/>
      <w:marBottom w:val="0"/>
      <w:divBdr>
        <w:top w:val="none" w:sz="0" w:space="0" w:color="auto"/>
        <w:left w:val="none" w:sz="0" w:space="0" w:color="auto"/>
        <w:bottom w:val="none" w:sz="0" w:space="0" w:color="auto"/>
        <w:right w:val="none" w:sz="0" w:space="0" w:color="auto"/>
      </w:divBdr>
    </w:div>
    <w:div w:id="355350363">
      <w:bodyDiv w:val="1"/>
      <w:marLeft w:val="0"/>
      <w:marRight w:val="0"/>
      <w:marTop w:val="0"/>
      <w:marBottom w:val="0"/>
      <w:divBdr>
        <w:top w:val="none" w:sz="0" w:space="0" w:color="auto"/>
        <w:left w:val="none" w:sz="0" w:space="0" w:color="auto"/>
        <w:bottom w:val="none" w:sz="0" w:space="0" w:color="auto"/>
        <w:right w:val="none" w:sz="0" w:space="0" w:color="auto"/>
      </w:divBdr>
    </w:div>
    <w:div w:id="355693858">
      <w:bodyDiv w:val="1"/>
      <w:marLeft w:val="0"/>
      <w:marRight w:val="0"/>
      <w:marTop w:val="0"/>
      <w:marBottom w:val="0"/>
      <w:divBdr>
        <w:top w:val="none" w:sz="0" w:space="0" w:color="auto"/>
        <w:left w:val="none" w:sz="0" w:space="0" w:color="auto"/>
        <w:bottom w:val="none" w:sz="0" w:space="0" w:color="auto"/>
        <w:right w:val="none" w:sz="0" w:space="0" w:color="auto"/>
      </w:divBdr>
    </w:div>
    <w:div w:id="355934173">
      <w:bodyDiv w:val="1"/>
      <w:marLeft w:val="0"/>
      <w:marRight w:val="0"/>
      <w:marTop w:val="0"/>
      <w:marBottom w:val="0"/>
      <w:divBdr>
        <w:top w:val="none" w:sz="0" w:space="0" w:color="auto"/>
        <w:left w:val="none" w:sz="0" w:space="0" w:color="auto"/>
        <w:bottom w:val="none" w:sz="0" w:space="0" w:color="auto"/>
        <w:right w:val="none" w:sz="0" w:space="0" w:color="auto"/>
      </w:divBdr>
    </w:div>
    <w:div w:id="356348988">
      <w:bodyDiv w:val="1"/>
      <w:marLeft w:val="0"/>
      <w:marRight w:val="0"/>
      <w:marTop w:val="0"/>
      <w:marBottom w:val="0"/>
      <w:divBdr>
        <w:top w:val="none" w:sz="0" w:space="0" w:color="auto"/>
        <w:left w:val="none" w:sz="0" w:space="0" w:color="auto"/>
        <w:bottom w:val="none" w:sz="0" w:space="0" w:color="auto"/>
        <w:right w:val="none" w:sz="0" w:space="0" w:color="auto"/>
      </w:divBdr>
    </w:div>
    <w:div w:id="356660819">
      <w:bodyDiv w:val="1"/>
      <w:marLeft w:val="0"/>
      <w:marRight w:val="0"/>
      <w:marTop w:val="0"/>
      <w:marBottom w:val="0"/>
      <w:divBdr>
        <w:top w:val="none" w:sz="0" w:space="0" w:color="auto"/>
        <w:left w:val="none" w:sz="0" w:space="0" w:color="auto"/>
        <w:bottom w:val="none" w:sz="0" w:space="0" w:color="auto"/>
        <w:right w:val="none" w:sz="0" w:space="0" w:color="auto"/>
      </w:divBdr>
    </w:div>
    <w:div w:id="356741571">
      <w:bodyDiv w:val="1"/>
      <w:marLeft w:val="0"/>
      <w:marRight w:val="0"/>
      <w:marTop w:val="0"/>
      <w:marBottom w:val="0"/>
      <w:divBdr>
        <w:top w:val="none" w:sz="0" w:space="0" w:color="auto"/>
        <w:left w:val="none" w:sz="0" w:space="0" w:color="auto"/>
        <w:bottom w:val="none" w:sz="0" w:space="0" w:color="auto"/>
        <w:right w:val="none" w:sz="0" w:space="0" w:color="auto"/>
      </w:divBdr>
    </w:div>
    <w:div w:id="356852005">
      <w:bodyDiv w:val="1"/>
      <w:marLeft w:val="0"/>
      <w:marRight w:val="0"/>
      <w:marTop w:val="0"/>
      <w:marBottom w:val="0"/>
      <w:divBdr>
        <w:top w:val="none" w:sz="0" w:space="0" w:color="auto"/>
        <w:left w:val="none" w:sz="0" w:space="0" w:color="auto"/>
        <w:bottom w:val="none" w:sz="0" w:space="0" w:color="auto"/>
        <w:right w:val="none" w:sz="0" w:space="0" w:color="auto"/>
      </w:divBdr>
    </w:div>
    <w:div w:id="356929937">
      <w:bodyDiv w:val="1"/>
      <w:marLeft w:val="0"/>
      <w:marRight w:val="0"/>
      <w:marTop w:val="0"/>
      <w:marBottom w:val="0"/>
      <w:divBdr>
        <w:top w:val="none" w:sz="0" w:space="0" w:color="auto"/>
        <w:left w:val="none" w:sz="0" w:space="0" w:color="auto"/>
        <w:bottom w:val="none" w:sz="0" w:space="0" w:color="auto"/>
        <w:right w:val="none" w:sz="0" w:space="0" w:color="auto"/>
      </w:divBdr>
    </w:div>
    <w:div w:id="357051940">
      <w:bodyDiv w:val="1"/>
      <w:marLeft w:val="0"/>
      <w:marRight w:val="0"/>
      <w:marTop w:val="0"/>
      <w:marBottom w:val="0"/>
      <w:divBdr>
        <w:top w:val="none" w:sz="0" w:space="0" w:color="auto"/>
        <w:left w:val="none" w:sz="0" w:space="0" w:color="auto"/>
        <w:bottom w:val="none" w:sz="0" w:space="0" w:color="auto"/>
        <w:right w:val="none" w:sz="0" w:space="0" w:color="auto"/>
      </w:divBdr>
    </w:div>
    <w:div w:id="357506364">
      <w:bodyDiv w:val="1"/>
      <w:marLeft w:val="0"/>
      <w:marRight w:val="0"/>
      <w:marTop w:val="0"/>
      <w:marBottom w:val="0"/>
      <w:divBdr>
        <w:top w:val="none" w:sz="0" w:space="0" w:color="auto"/>
        <w:left w:val="none" w:sz="0" w:space="0" w:color="auto"/>
        <w:bottom w:val="none" w:sz="0" w:space="0" w:color="auto"/>
        <w:right w:val="none" w:sz="0" w:space="0" w:color="auto"/>
      </w:divBdr>
    </w:div>
    <w:div w:id="357974283">
      <w:bodyDiv w:val="1"/>
      <w:marLeft w:val="0"/>
      <w:marRight w:val="0"/>
      <w:marTop w:val="0"/>
      <w:marBottom w:val="0"/>
      <w:divBdr>
        <w:top w:val="none" w:sz="0" w:space="0" w:color="auto"/>
        <w:left w:val="none" w:sz="0" w:space="0" w:color="auto"/>
        <w:bottom w:val="none" w:sz="0" w:space="0" w:color="auto"/>
        <w:right w:val="none" w:sz="0" w:space="0" w:color="auto"/>
      </w:divBdr>
    </w:div>
    <w:div w:id="358121277">
      <w:bodyDiv w:val="1"/>
      <w:marLeft w:val="0"/>
      <w:marRight w:val="0"/>
      <w:marTop w:val="0"/>
      <w:marBottom w:val="0"/>
      <w:divBdr>
        <w:top w:val="none" w:sz="0" w:space="0" w:color="auto"/>
        <w:left w:val="none" w:sz="0" w:space="0" w:color="auto"/>
        <w:bottom w:val="none" w:sz="0" w:space="0" w:color="auto"/>
        <w:right w:val="none" w:sz="0" w:space="0" w:color="auto"/>
      </w:divBdr>
    </w:div>
    <w:div w:id="358167202">
      <w:bodyDiv w:val="1"/>
      <w:marLeft w:val="0"/>
      <w:marRight w:val="0"/>
      <w:marTop w:val="0"/>
      <w:marBottom w:val="0"/>
      <w:divBdr>
        <w:top w:val="none" w:sz="0" w:space="0" w:color="auto"/>
        <w:left w:val="none" w:sz="0" w:space="0" w:color="auto"/>
        <w:bottom w:val="none" w:sz="0" w:space="0" w:color="auto"/>
        <w:right w:val="none" w:sz="0" w:space="0" w:color="auto"/>
      </w:divBdr>
    </w:div>
    <w:div w:id="358168532">
      <w:bodyDiv w:val="1"/>
      <w:marLeft w:val="0"/>
      <w:marRight w:val="0"/>
      <w:marTop w:val="0"/>
      <w:marBottom w:val="0"/>
      <w:divBdr>
        <w:top w:val="none" w:sz="0" w:space="0" w:color="auto"/>
        <w:left w:val="none" w:sz="0" w:space="0" w:color="auto"/>
        <w:bottom w:val="none" w:sz="0" w:space="0" w:color="auto"/>
        <w:right w:val="none" w:sz="0" w:space="0" w:color="auto"/>
      </w:divBdr>
    </w:div>
    <w:div w:id="358359262">
      <w:bodyDiv w:val="1"/>
      <w:marLeft w:val="0"/>
      <w:marRight w:val="0"/>
      <w:marTop w:val="0"/>
      <w:marBottom w:val="0"/>
      <w:divBdr>
        <w:top w:val="none" w:sz="0" w:space="0" w:color="auto"/>
        <w:left w:val="none" w:sz="0" w:space="0" w:color="auto"/>
        <w:bottom w:val="none" w:sz="0" w:space="0" w:color="auto"/>
        <w:right w:val="none" w:sz="0" w:space="0" w:color="auto"/>
      </w:divBdr>
    </w:div>
    <w:div w:id="358506638">
      <w:bodyDiv w:val="1"/>
      <w:marLeft w:val="0"/>
      <w:marRight w:val="0"/>
      <w:marTop w:val="0"/>
      <w:marBottom w:val="0"/>
      <w:divBdr>
        <w:top w:val="none" w:sz="0" w:space="0" w:color="auto"/>
        <w:left w:val="none" w:sz="0" w:space="0" w:color="auto"/>
        <w:bottom w:val="none" w:sz="0" w:space="0" w:color="auto"/>
        <w:right w:val="none" w:sz="0" w:space="0" w:color="auto"/>
      </w:divBdr>
    </w:div>
    <w:div w:id="358700384">
      <w:bodyDiv w:val="1"/>
      <w:marLeft w:val="0"/>
      <w:marRight w:val="0"/>
      <w:marTop w:val="0"/>
      <w:marBottom w:val="0"/>
      <w:divBdr>
        <w:top w:val="none" w:sz="0" w:space="0" w:color="auto"/>
        <w:left w:val="none" w:sz="0" w:space="0" w:color="auto"/>
        <w:bottom w:val="none" w:sz="0" w:space="0" w:color="auto"/>
        <w:right w:val="none" w:sz="0" w:space="0" w:color="auto"/>
      </w:divBdr>
    </w:div>
    <w:div w:id="358823543">
      <w:bodyDiv w:val="1"/>
      <w:marLeft w:val="0"/>
      <w:marRight w:val="0"/>
      <w:marTop w:val="0"/>
      <w:marBottom w:val="0"/>
      <w:divBdr>
        <w:top w:val="none" w:sz="0" w:space="0" w:color="auto"/>
        <w:left w:val="none" w:sz="0" w:space="0" w:color="auto"/>
        <w:bottom w:val="none" w:sz="0" w:space="0" w:color="auto"/>
        <w:right w:val="none" w:sz="0" w:space="0" w:color="auto"/>
      </w:divBdr>
    </w:div>
    <w:div w:id="359009676">
      <w:bodyDiv w:val="1"/>
      <w:marLeft w:val="0"/>
      <w:marRight w:val="0"/>
      <w:marTop w:val="0"/>
      <w:marBottom w:val="0"/>
      <w:divBdr>
        <w:top w:val="none" w:sz="0" w:space="0" w:color="auto"/>
        <w:left w:val="none" w:sz="0" w:space="0" w:color="auto"/>
        <w:bottom w:val="none" w:sz="0" w:space="0" w:color="auto"/>
        <w:right w:val="none" w:sz="0" w:space="0" w:color="auto"/>
      </w:divBdr>
    </w:div>
    <w:div w:id="359085339">
      <w:bodyDiv w:val="1"/>
      <w:marLeft w:val="0"/>
      <w:marRight w:val="0"/>
      <w:marTop w:val="0"/>
      <w:marBottom w:val="0"/>
      <w:divBdr>
        <w:top w:val="none" w:sz="0" w:space="0" w:color="auto"/>
        <w:left w:val="none" w:sz="0" w:space="0" w:color="auto"/>
        <w:bottom w:val="none" w:sz="0" w:space="0" w:color="auto"/>
        <w:right w:val="none" w:sz="0" w:space="0" w:color="auto"/>
      </w:divBdr>
    </w:div>
    <w:div w:id="359163506">
      <w:bodyDiv w:val="1"/>
      <w:marLeft w:val="0"/>
      <w:marRight w:val="0"/>
      <w:marTop w:val="0"/>
      <w:marBottom w:val="0"/>
      <w:divBdr>
        <w:top w:val="none" w:sz="0" w:space="0" w:color="auto"/>
        <w:left w:val="none" w:sz="0" w:space="0" w:color="auto"/>
        <w:bottom w:val="none" w:sz="0" w:space="0" w:color="auto"/>
        <w:right w:val="none" w:sz="0" w:space="0" w:color="auto"/>
      </w:divBdr>
    </w:div>
    <w:div w:id="359206801">
      <w:bodyDiv w:val="1"/>
      <w:marLeft w:val="0"/>
      <w:marRight w:val="0"/>
      <w:marTop w:val="0"/>
      <w:marBottom w:val="0"/>
      <w:divBdr>
        <w:top w:val="none" w:sz="0" w:space="0" w:color="auto"/>
        <w:left w:val="none" w:sz="0" w:space="0" w:color="auto"/>
        <w:bottom w:val="none" w:sz="0" w:space="0" w:color="auto"/>
        <w:right w:val="none" w:sz="0" w:space="0" w:color="auto"/>
      </w:divBdr>
    </w:div>
    <w:div w:id="359207153">
      <w:bodyDiv w:val="1"/>
      <w:marLeft w:val="0"/>
      <w:marRight w:val="0"/>
      <w:marTop w:val="0"/>
      <w:marBottom w:val="0"/>
      <w:divBdr>
        <w:top w:val="none" w:sz="0" w:space="0" w:color="auto"/>
        <w:left w:val="none" w:sz="0" w:space="0" w:color="auto"/>
        <w:bottom w:val="none" w:sz="0" w:space="0" w:color="auto"/>
        <w:right w:val="none" w:sz="0" w:space="0" w:color="auto"/>
      </w:divBdr>
    </w:div>
    <w:div w:id="359554168">
      <w:bodyDiv w:val="1"/>
      <w:marLeft w:val="0"/>
      <w:marRight w:val="0"/>
      <w:marTop w:val="0"/>
      <w:marBottom w:val="0"/>
      <w:divBdr>
        <w:top w:val="none" w:sz="0" w:space="0" w:color="auto"/>
        <w:left w:val="none" w:sz="0" w:space="0" w:color="auto"/>
        <w:bottom w:val="none" w:sz="0" w:space="0" w:color="auto"/>
        <w:right w:val="none" w:sz="0" w:space="0" w:color="auto"/>
      </w:divBdr>
    </w:div>
    <w:div w:id="359822848">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0282275">
      <w:bodyDiv w:val="1"/>
      <w:marLeft w:val="0"/>
      <w:marRight w:val="0"/>
      <w:marTop w:val="0"/>
      <w:marBottom w:val="0"/>
      <w:divBdr>
        <w:top w:val="none" w:sz="0" w:space="0" w:color="auto"/>
        <w:left w:val="none" w:sz="0" w:space="0" w:color="auto"/>
        <w:bottom w:val="none" w:sz="0" w:space="0" w:color="auto"/>
        <w:right w:val="none" w:sz="0" w:space="0" w:color="auto"/>
      </w:divBdr>
    </w:div>
    <w:div w:id="360323962">
      <w:bodyDiv w:val="1"/>
      <w:marLeft w:val="0"/>
      <w:marRight w:val="0"/>
      <w:marTop w:val="0"/>
      <w:marBottom w:val="0"/>
      <w:divBdr>
        <w:top w:val="none" w:sz="0" w:space="0" w:color="auto"/>
        <w:left w:val="none" w:sz="0" w:space="0" w:color="auto"/>
        <w:bottom w:val="none" w:sz="0" w:space="0" w:color="auto"/>
        <w:right w:val="none" w:sz="0" w:space="0" w:color="auto"/>
      </w:divBdr>
    </w:div>
    <w:div w:id="360329394">
      <w:bodyDiv w:val="1"/>
      <w:marLeft w:val="0"/>
      <w:marRight w:val="0"/>
      <w:marTop w:val="0"/>
      <w:marBottom w:val="0"/>
      <w:divBdr>
        <w:top w:val="none" w:sz="0" w:space="0" w:color="auto"/>
        <w:left w:val="none" w:sz="0" w:space="0" w:color="auto"/>
        <w:bottom w:val="none" w:sz="0" w:space="0" w:color="auto"/>
        <w:right w:val="none" w:sz="0" w:space="0" w:color="auto"/>
      </w:divBdr>
    </w:div>
    <w:div w:id="360396206">
      <w:bodyDiv w:val="1"/>
      <w:marLeft w:val="0"/>
      <w:marRight w:val="0"/>
      <w:marTop w:val="0"/>
      <w:marBottom w:val="0"/>
      <w:divBdr>
        <w:top w:val="none" w:sz="0" w:space="0" w:color="auto"/>
        <w:left w:val="none" w:sz="0" w:space="0" w:color="auto"/>
        <w:bottom w:val="none" w:sz="0" w:space="0" w:color="auto"/>
        <w:right w:val="none" w:sz="0" w:space="0" w:color="auto"/>
      </w:divBdr>
    </w:div>
    <w:div w:id="360672189">
      <w:bodyDiv w:val="1"/>
      <w:marLeft w:val="0"/>
      <w:marRight w:val="0"/>
      <w:marTop w:val="0"/>
      <w:marBottom w:val="0"/>
      <w:divBdr>
        <w:top w:val="none" w:sz="0" w:space="0" w:color="auto"/>
        <w:left w:val="none" w:sz="0" w:space="0" w:color="auto"/>
        <w:bottom w:val="none" w:sz="0" w:space="0" w:color="auto"/>
        <w:right w:val="none" w:sz="0" w:space="0" w:color="auto"/>
      </w:divBdr>
    </w:div>
    <w:div w:id="360672309">
      <w:bodyDiv w:val="1"/>
      <w:marLeft w:val="0"/>
      <w:marRight w:val="0"/>
      <w:marTop w:val="0"/>
      <w:marBottom w:val="0"/>
      <w:divBdr>
        <w:top w:val="none" w:sz="0" w:space="0" w:color="auto"/>
        <w:left w:val="none" w:sz="0" w:space="0" w:color="auto"/>
        <w:bottom w:val="none" w:sz="0" w:space="0" w:color="auto"/>
        <w:right w:val="none" w:sz="0" w:space="0" w:color="auto"/>
      </w:divBdr>
    </w:div>
    <w:div w:id="360740217">
      <w:bodyDiv w:val="1"/>
      <w:marLeft w:val="0"/>
      <w:marRight w:val="0"/>
      <w:marTop w:val="0"/>
      <w:marBottom w:val="0"/>
      <w:divBdr>
        <w:top w:val="none" w:sz="0" w:space="0" w:color="auto"/>
        <w:left w:val="none" w:sz="0" w:space="0" w:color="auto"/>
        <w:bottom w:val="none" w:sz="0" w:space="0" w:color="auto"/>
        <w:right w:val="none" w:sz="0" w:space="0" w:color="auto"/>
      </w:divBdr>
    </w:div>
    <w:div w:id="360783316">
      <w:bodyDiv w:val="1"/>
      <w:marLeft w:val="0"/>
      <w:marRight w:val="0"/>
      <w:marTop w:val="0"/>
      <w:marBottom w:val="0"/>
      <w:divBdr>
        <w:top w:val="none" w:sz="0" w:space="0" w:color="auto"/>
        <w:left w:val="none" w:sz="0" w:space="0" w:color="auto"/>
        <w:bottom w:val="none" w:sz="0" w:space="0" w:color="auto"/>
        <w:right w:val="none" w:sz="0" w:space="0" w:color="auto"/>
      </w:divBdr>
    </w:div>
    <w:div w:id="360784957">
      <w:bodyDiv w:val="1"/>
      <w:marLeft w:val="0"/>
      <w:marRight w:val="0"/>
      <w:marTop w:val="0"/>
      <w:marBottom w:val="0"/>
      <w:divBdr>
        <w:top w:val="none" w:sz="0" w:space="0" w:color="auto"/>
        <w:left w:val="none" w:sz="0" w:space="0" w:color="auto"/>
        <w:bottom w:val="none" w:sz="0" w:space="0" w:color="auto"/>
        <w:right w:val="none" w:sz="0" w:space="0" w:color="auto"/>
      </w:divBdr>
    </w:div>
    <w:div w:id="360864572">
      <w:bodyDiv w:val="1"/>
      <w:marLeft w:val="0"/>
      <w:marRight w:val="0"/>
      <w:marTop w:val="0"/>
      <w:marBottom w:val="0"/>
      <w:divBdr>
        <w:top w:val="none" w:sz="0" w:space="0" w:color="auto"/>
        <w:left w:val="none" w:sz="0" w:space="0" w:color="auto"/>
        <w:bottom w:val="none" w:sz="0" w:space="0" w:color="auto"/>
        <w:right w:val="none" w:sz="0" w:space="0" w:color="auto"/>
      </w:divBdr>
    </w:div>
    <w:div w:id="360984170">
      <w:bodyDiv w:val="1"/>
      <w:marLeft w:val="0"/>
      <w:marRight w:val="0"/>
      <w:marTop w:val="0"/>
      <w:marBottom w:val="0"/>
      <w:divBdr>
        <w:top w:val="none" w:sz="0" w:space="0" w:color="auto"/>
        <w:left w:val="none" w:sz="0" w:space="0" w:color="auto"/>
        <w:bottom w:val="none" w:sz="0" w:space="0" w:color="auto"/>
        <w:right w:val="none" w:sz="0" w:space="0" w:color="auto"/>
      </w:divBdr>
    </w:div>
    <w:div w:id="361134865">
      <w:bodyDiv w:val="1"/>
      <w:marLeft w:val="0"/>
      <w:marRight w:val="0"/>
      <w:marTop w:val="0"/>
      <w:marBottom w:val="0"/>
      <w:divBdr>
        <w:top w:val="none" w:sz="0" w:space="0" w:color="auto"/>
        <w:left w:val="none" w:sz="0" w:space="0" w:color="auto"/>
        <w:bottom w:val="none" w:sz="0" w:space="0" w:color="auto"/>
        <w:right w:val="none" w:sz="0" w:space="0" w:color="auto"/>
      </w:divBdr>
    </w:div>
    <w:div w:id="361175442">
      <w:bodyDiv w:val="1"/>
      <w:marLeft w:val="0"/>
      <w:marRight w:val="0"/>
      <w:marTop w:val="0"/>
      <w:marBottom w:val="0"/>
      <w:divBdr>
        <w:top w:val="none" w:sz="0" w:space="0" w:color="auto"/>
        <w:left w:val="none" w:sz="0" w:space="0" w:color="auto"/>
        <w:bottom w:val="none" w:sz="0" w:space="0" w:color="auto"/>
        <w:right w:val="none" w:sz="0" w:space="0" w:color="auto"/>
      </w:divBdr>
    </w:div>
    <w:div w:id="361177401">
      <w:bodyDiv w:val="1"/>
      <w:marLeft w:val="0"/>
      <w:marRight w:val="0"/>
      <w:marTop w:val="0"/>
      <w:marBottom w:val="0"/>
      <w:divBdr>
        <w:top w:val="none" w:sz="0" w:space="0" w:color="auto"/>
        <w:left w:val="none" w:sz="0" w:space="0" w:color="auto"/>
        <w:bottom w:val="none" w:sz="0" w:space="0" w:color="auto"/>
        <w:right w:val="none" w:sz="0" w:space="0" w:color="auto"/>
      </w:divBdr>
    </w:div>
    <w:div w:id="361512424">
      <w:bodyDiv w:val="1"/>
      <w:marLeft w:val="0"/>
      <w:marRight w:val="0"/>
      <w:marTop w:val="0"/>
      <w:marBottom w:val="0"/>
      <w:divBdr>
        <w:top w:val="none" w:sz="0" w:space="0" w:color="auto"/>
        <w:left w:val="none" w:sz="0" w:space="0" w:color="auto"/>
        <w:bottom w:val="none" w:sz="0" w:space="0" w:color="auto"/>
        <w:right w:val="none" w:sz="0" w:space="0" w:color="auto"/>
      </w:divBdr>
    </w:div>
    <w:div w:id="361516842">
      <w:bodyDiv w:val="1"/>
      <w:marLeft w:val="0"/>
      <w:marRight w:val="0"/>
      <w:marTop w:val="0"/>
      <w:marBottom w:val="0"/>
      <w:divBdr>
        <w:top w:val="none" w:sz="0" w:space="0" w:color="auto"/>
        <w:left w:val="none" w:sz="0" w:space="0" w:color="auto"/>
        <w:bottom w:val="none" w:sz="0" w:space="0" w:color="auto"/>
        <w:right w:val="none" w:sz="0" w:space="0" w:color="auto"/>
      </w:divBdr>
    </w:div>
    <w:div w:id="361563771">
      <w:bodyDiv w:val="1"/>
      <w:marLeft w:val="0"/>
      <w:marRight w:val="0"/>
      <w:marTop w:val="0"/>
      <w:marBottom w:val="0"/>
      <w:divBdr>
        <w:top w:val="none" w:sz="0" w:space="0" w:color="auto"/>
        <w:left w:val="none" w:sz="0" w:space="0" w:color="auto"/>
        <w:bottom w:val="none" w:sz="0" w:space="0" w:color="auto"/>
        <w:right w:val="none" w:sz="0" w:space="0" w:color="auto"/>
      </w:divBdr>
    </w:div>
    <w:div w:id="362217670">
      <w:bodyDiv w:val="1"/>
      <w:marLeft w:val="0"/>
      <w:marRight w:val="0"/>
      <w:marTop w:val="0"/>
      <w:marBottom w:val="0"/>
      <w:divBdr>
        <w:top w:val="none" w:sz="0" w:space="0" w:color="auto"/>
        <w:left w:val="none" w:sz="0" w:space="0" w:color="auto"/>
        <w:bottom w:val="none" w:sz="0" w:space="0" w:color="auto"/>
        <w:right w:val="none" w:sz="0" w:space="0" w:color="auto"/>
      </w:divBdr>
    </w:div>
    <w:div w:id="362360950">
      <w:bodyDiv w:val="1"/>
      <w:marLeft w:val="0"/>
      <w:marRight w:val="0"/>
      <w:marTop w:val="0"/>
      <w:marBottom w:val="0"/>
      <w:divBdr>
        <w:top w:val="none" w:sz="0" w:space="0" w:color="auto"/>
        <w:left w:val="none" w:sz="0" w:space="0" w:color="auto"/>
        <w:bottom w:val="none" w:sz="0" w:space="0" w:color="auto"/>
        <w:right w:val="none" w:sz="0" w:space="0" w:color="auto"/>
      </w:divBdr>
    </w:div>
    <w:div w:id="362631580">
      <w:bodyDiv w:val="1"/>
      <w:marLeft w:val="0"/>
      <w:marRight w:val="0"/>
      <w:marTop w:val="0"/>
      <w:marBottom w:val="0"/>
      <w:divBdr>
        <w:top w:val="none" w:sz="0" w:space="0" w:color="auto"/>
        <w:left w:val="none" w:sz="0" w:space="0" w:color="auto"/>
        <w:bottom w:val="none" w:sz="0" w:space="0" w:color="auto"/>
        <w:right w:val="none" w:sz="0" w:space="0" w:color="auto"/>
      </w:divBdr>
    </w:div>
    <w:div w:id="362823913">
      <w:bodyDiv w:val="1"/>
      <w:marLeft w:val="0"/>
      <w:marRight w:val="0"/>
      <w:marTop w:val="0"/>
      <w:marBottom w:val="0"/>
      <w:divBdr>
        <w:top w:val="none" w:sz="0" w:space="0" w:color="auto"/>
        <w:left w:val="none" w:sz="0" w:space="0" w:color="auto"/>
        <w:bottom w:val="none" w:sz="0" w:space="0" w:color="auto"/>
        <w:right w:val="none" w:sz="0" w:space="0" w:color="auto"/>
      </w:divBdr>
    </w:div>
    <w:div w:id="362831668">
      <w:bodyDiv w:val="1"/>
      <w:marLeft w:val="0"/>
      <w:marRight w:val="0"/>
      <w:marTop w:val="0"/>
      <w:marBottom w:val="0"/>
      <w:divBdr>
        <w:top w:val="none" w:sz="0" w:space="0" w:color="auto"/>
        <w:left w:val="none" w:sz="0" w:space="0" w:color="auto"/>
        <w:bottom w:val="none" w:sz="0" w:space="0" w:color="auto"/>
        <w:right w:val="none" w:sz="0" w:space="0" w:color="auto"/>
      </w:divBdr>
    </w:div>
    <w:div w:id="362942864">
      <w:bodyDiv w:val="1"/>
      <w:marLeft w:val="0"/>
      <w:marRight w:val="0"/>
      <w:marTop w:val="0"/>
      <w:marBottom w:val="0"/>
      <w:divBdr>
        <w:top w:val="none" w:sz="0" w:space="0" w:color="auto"/>
        <w:left w:val="none" w:sz="0" w:space="0" w:color="auto"/>
        <w:bottom w:val="none" w:sz="0" w:space="0" w:color="auto"/>
        <w:right w:val="none" w:sz="0" w:space="0" w:color="auto"/>
      </w:divBdr>
    </w:div>
    <w:div w:id="363095265">
      <w:bodyDiv w:val="1"/>
      <w:marLeft w:val="0"/>
      <w:marRight w:val="0"/>
      <w:marTop w:val="0"/>
      <w:marBottom w:val="0"/>
      <w:divBdr>
        <w:top w:val="none" w:sz="0" w:space="0" w:color="auto"/>
        <w:left w:val="none" w:sz="0" w:space="0" w:color="auto"/>
        <w:bottom w:val="none" w:sz="0" w:space="0" w:color="auto"/>
        <w:right w:val="none" w:sz="0" w:space="0" w:color="auto"/>
      </w:divBdr>
    </w:div>
    <w:div w:id="363217956">
      <w:bodyDiv w:val="1"/>
      <w:marLeft w:val="0"/>
      <w:marRight w:val="0"/>
      <w:marTop w:val="0"/>
      <w:marBottom w:val="0"/>
      <w:divBdr>
        <w:top w:val="none" w:sz="0" w:space="0" w:color="auto"/>
        <w:left w:val="none" w:sz="0" w:space="0" w:color="auto"/>
        <w:bottom w:val="none" w:sz="0" w:space="0" w:color="auto"/>
        <w:right w:val="none" w:sz="0" w:space="0" w:color="auto"/>
      </w:divBdr>
    </w:div>
    <w:div w:id="363361553">
      <w:bodyDiv w:val="1"/>
      <w:marLeft w:val="0"/>
      <w:marRight w:val="0"/>
      <w:marTop w:val="0"/>
      <w:marBottom w:val="0"/>
      <w:divBdr>
        <w:top w:val="none" w:sz="0" w:space="0" w:color="auto"/>
        <w:left w:val="none" w:sz="0" w:space="0" w:color="auto"/>
        <w:bottom w:val="none" w:sz="0" w:space="0" w:color="auto"/>
        <w:right w:val="none" w:sz="0" w:space="0" w:color="auto"/>
      </w:divBdr>
    </w:div>
    <w:div w:id="364453209">
      <w:bodyDiv w:val="1"/>
      <w:marLeft w:val="0"/>
      <w:marRight w:val="0"/>
      <w:marTop w:val="0"/>
      <w:marBottom w:val="0"/>
      <w:divBdr>
        <w:top w:val="none" w:sz="0" w:space="0" w:color="auto"/>
        <w:left w:val="none" w:sz="0" w:space="0" w:color="auto"/>
        <w:bottom w:val="none" w:sz="0" w:space="0" w:color="auto"/>
        <w:right w:val="none" w:sz="0" w:space="0" w:color="auto"/>
      </w:divBdr>
    </w:div>
    <w:div w:id="364643061">
      <w:bodyDiv w:val="1"/>
      <w:marLeft w:val="0"/>
      <w:marRight w:val="0"/>
      <w:marTop w:val="0"/>
      <w:marBottom w:val="0"/>
      <w:divBdr>
        <w:top w:val="none" w:sz="0" w:space="0" w:color="auto"/>
        <w:left w:val="none" w:sz="0" w:space="0" w:color="auto"/>
        <w:bottom w:val="none" w:sz="0" w:space="0" w:color="auto"/>
        <w:right w:val="none" w:sz="0" w:space="0" w:color="auto"/>
      </w:divBdr>
    </w:div>
    <w:div w:id="365180362">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221024">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66954059">
      <w:bodyDiv w:val="1"/>
      <w:marLeft w:val="0"/>
      <w:marRight w:val="0"/>
      <w:marTop w:val="0"/>
      <w:marBottom w:val="0"/>
      <w:divBdr>
        <w:top w:val="none" w:sz="0" w:space="0" w:color="auto"/>
        <w:left w:val="none" w:sz="0" w:space="0" w:color="auto"/>
        <w:bottom w:val="none" w:sz="0" w:space="0" w:color="auto"/>
        <w:right w:val="none" w:sz="0" w:space="0" w:color="auto"/>
      </w:divBdr>
    </w:div>
    <w:div w:id="367222015">
      <w:bodyDiv w:val="1"/>
      <w:marLeft w:val="0"/>
      <w:marRight w:val="0"/>
      <w:marTop w:val="0"/>
      <w:marBottom w:val="0"/>
      <w:divBdr>
        <w:top w:val="none" w:sz="0" w:space="0" w:color="auto"/>
        <w:left w:val="none" w:sz="0" w:space="0" w:color="auto"/>
        <w:bottom w:val="none" w:sz="0" w:space="0" w:color="auto"/>
        <w:right w:val="none" w:sz="0" w:space="0" w:color="auto"/>
      </w:divBdr>
    </w:div>
    <w:div w:id="367342684">
      <w:bodyDiv w:val="1"/>
      <w:marLeft w:val="0"/>
      <w:marRight w:val="0"/>
      <w:marTop w:val="0"/>
      <w:marBottom w:val="0"/>
      <w:divBdr>
        <w:top w:val="none" w:sz="0" w:space="0" w:color="auto"/>
        <w:left w:val="none" w:sz="0" w:space="0" w:color="auto"/>
        <w:bottom w:val="none" w:sz="0" w:space="0" w:color="auto"/>
        <w:right w:val="none" w:sz="0" w:space="0" w:color="auto"/>
      </w:divBdr>
    </w:div>
    <w:div w:id="367343674">
      <w:bodyDiv w:val="1"/>
      <w:marLeft w:val="0"/>
      <w:marRight w:val="0"/>
      <w:marTop w:val="0"/>
      <w:marBottom w:val="0"/>
      <w:divBdr>
        <w:top w:val="none" w:sz="0" w:space="0" w:color="auto"/>
        <w:left w:val="none" w:sz="0" w:space="0" w:color="auto"/>
        <w:bottom w:val="none" w:sz="0" w:space="0" w:color="auto"/>
        <w:right w:val="none" w:sz="0" w:space="0" w:color="auto"/>
      </w:divBdr>
    </w:div>
    <w:div w:id="367605154">
      <w:bodyDiv w:val="1"/>
      <w:marLeft w:val="0"/>
      <w:marRight w:val="0"/>
      <w:marTop w:val="0"/>
      <w:marBottom w:val="0"/>
      <w:divBdr>
        <w:top w:val="none" w:sz="0" w:space="0" w:color="auto"/>
        <w:left w:val="none" w:sz="0" w:space="0" w:color="auto"/>
        <w:bottom w:val="none" w:sz="0" w:space="0" w:color="auto"/>
        <w:right w:val="none" w:sz="0" w:space="0" w:color="auto"/>
      </w:divBdr>
    </w:div>
    <w:div w:id="367951458">
      <w:bodyDiv w:val="1"/>
      <w:marLeft w:val="0"/>
      <w:marRight w:val="0"/>
      <w:marTop w:val="0"/>
      <w:marBottom w:val="0"/>
      <w:divBdr>
        <w:top w:val="none" w:sz="0" w:space="0" w:color="auto"/>
        <w:left w:val="none" w:sz="0" w:space="0" w:color="auto"/>
        <w:bottom w:val="none" w:sz="0" w:space="0" w:color="auto"/>
        <w:right w:val="none" w:sz="0" w:space="0" w:color="auto"/>
      </w:divBdr>
    </w:div>
    <w:div w:id="368144840">
      <w:bodyDiv w:val="1"/>
      <w:marLeft w:val="0"/>
      <w:marRight w:val="0"/>
      <w:marTop w:val="0"/>
      <w:marBottom w:val="0"/>
      <w:divBdr>
        <w:top w:val="none" w:sz="0" w:space="0" w:color="auto"/>
        <w:left w:val="none" w:sz="0" w:space="0" w:color="auto"/>
        <w:bottom w:val="none" w:sz="0" w:space="0" w:color="auto"/>
        <w:right w:val="none" w:sz="0" w:space="0" w:color="auto"/>
      </w:divBdr>
    </w:div>
    <w:div w:id="368335139">
      <w:bodyDiv w:val="1"/>
      <w:marLeft w:val="0"/>
      <w:marRight w:val="0"/>
      <w:marTop w:val="0"/>
      <w:marBottom w:val="0"/>
      <w:divBdr>
        <w:top w:val="none" w:sz="0" w:space="0" w:color="auto"/>
        <w:left w:val="none" w:sz="0" w:space="0" w:color="auto"/>
        <w:bottom w:val="none" w:sz="0" w:space="0" w:color="auto"/>
        <w:right w:val="none" w:sz="0" w:space="0" w:color="auto"/>
      </w:divBdr>
    </w:div>
    <w:div w:id="368340286">
      <w:bodyDiv w:val="1"/>
      <w:marLeft w:val="0"/>
      <w:marRight w:val="0"/>
      <w:marTop w:val="0"/>
      <w:marBottom w:val="0"/>
      <w:divBdr>
        <w:top w:val="none" w:sz="0" w:space="0" w:color="auto"/>
        <w:left w:val="none" w:sz="0" w:space="0" w:color="auto"/>
        <w:bottom w:val="none" w:sz="0" w:space="0" w:color="auto"/>
        <w:right w:val="none" w:sz="0" w:space="0" w:color="auto"/>
      </w:divBdr>
    </w:div>
    <w:div w:id="368381551">
      <w:bodyDiv w:val="1"/>
      <w:marLeft w:val="0"/>
      <w:marRight w:val="0"/>
      <w:marTop w:val="0"/>
      <w:marBottom w:val="0"/>
      <w:divBdr>
        <w:top w:val="none" w:sz="0" w:space="0" w:color="auto"/>
        <w:left w:val="none" w:sz="0" w:space="0" w:color="auto"/>
        <w:bottom w:val="none" w:sz="0" w:space="0" w:color="auto"/>
        <w:right w:val="none" w:sz="0" w:space="0" w:color="auto"/>
      </w:divBdr>
    </w:div>
    <w:div w:id="368451925">
      <w:bodyDiv w:val="1"/>
      <w:marLeft w:val="0"/>
      <w:marRight w:val="0"/>
      <w:marTop w:val="0"/>
      <w:marBottom w:val="0"/>
      <w:divBdr>
        <w:top w:val="none" w:sz="0" w:space="0" w:color="auto"/>
        <w:left w:val="none" w:sz="0" w:space="0" w:color="auto"/>
        <w:bottom w:val="none" w:sz="0" w:space="0" w:color="auto"/>
        <w:right w:val="none" w:sz="0" w:space="0" w:color="auto"/>
      </w:divBdr>
    </w:div>
    <w:div w:id="368646577">
      <w:bodyDiv w:val="1"/>
      <w:marLeft w:val="0"/>
      <w:marRight w:val="0"/>
      <w:marTop w:val="0"/>
      <w:marBottom w:val="0"/>
      <w:divBdr>
        <w:top w:val="none" w:sz="0" w:space="0" w:color="auto"/>
        <w:left w:val="none" w:sz="0" w:space="0" w:color="auto"/>
        <w:bottom w:val="none" w:sz="0" w:space="0" w:color="auto"/>
        <w:right w:val="none" w:sz="0" w:space="0" w:color="auto"/>
      </w:divBdr>
    </w:div>
    <w:div w:id="368847163">
      <w:bodyDiv w:val="1"/>
      <w:marLeft w:val="0"/>
      <w:marRight w:val="0"/>
      <w:marTop w:val="0"/>
      <w:marBottom w:val="0"/>
      <w:divBdr>
        <w:top w:val="none" w:sz="0" w:space="0" w:color="auto"/>
        <w:left w:val="none" w:sz="0" w:space="0" w:color="auto"/>
        <w:bottom w:val="none" w:sz="0" w:space="0" w:color="auto"/>
        <w:right w:val="none" w:sz="0" w:space="0" w:color="auto"/>
      </w:divBdr>
    </w:div>
    <w:div w:id="369113902">
      <w:bodyDiv w:val="1"/>
      <w:marLeft w:val="0"/>
      <w:marRight w:val="0"/>
      <w:marTop w:val="0"/>
      <w:marBottom w:val="0"/>
      <w:divBdr>
        <w:top w:val="none" w:sz="0" w:space="0" w:color="auto"/>
        <w:left w:val="none" w:sz="0" w:space="0" w:color="auto"/>
        <w:bottom w:val="none" w:sz="0" w:space="0" w:color="auto"/>
        <w:right w:val="none" w:sz="0" w:space="0" w:color="auto"/>
      </w:divBdr>
    </w:div>
    <w:div w:id="369690690">
      <w:bodyDiv w:val="1"/>
      <w:marLeft w:val="0"/>
      <w:marRight w:val="0"/>
      <w:marTop w:val="0"/>
      <w:marBottom w:val="0"/>
      <w:divBdr>
        <w:top w:val="none" w:sz="0" w:space="0" w:color="auto"/>
        <w:left w:val="none" w:sz="0" w:space="0" w:color="auto"/>
        <w:bottom w:val="none" w:sz="0" w:space="0" w:color="auto"/>
        <w:right w:val="none" w:sz="0" w:space="0" w:color="auto"/>
      </w:divBdr>
    </w:div>
    <w:div w:id="369914197">
      <w:bodyDiv w:val="1"/>
      <w:marLeft w:val="0"/>
      <w:marRight w:val="0"/>
      <w:marTop w:val="0"/>
      <w:marBottom w:val="0"/>
      <w:divBdr>
        <w:top w:val="none" w:sz="0" w:space="0" w:color="auto"/>
        <w:left w:val="none" w:sz="0" w:space="0" w:color="auto"/>
        <w:bottom w:val="none" w:sz="0" w:space="0" w:color="auto"/>
        <w:right w:val="none" w:sz="0" w:space="0" w:color="auto"/>
      </w:divBdr>
    </w:div>
    <w:div w:id="369956638">
      <w:bodyDiv w:val="1"/>
      <w:marLeft w:val="0"/>
      <w:marRight w:val="0"/>
      <w:marTop w:val="0"/>
      <w:marBottom w:val="0"/>
      <w:divBdr>
        <w:top w:val="none" w:sz="0" w:space="0" w:color="auto"/>
        <w:left w:val="none" w:sz="0" w:space="0" w:color="auto"/>
        <w:bottom w:val="none" w:sz="0" w:space="0" w:color="auto"/>
        <w:right w:val="none" w:sz="0" w:space="0" w:color="auto"/>
      </w:divBdr>
    </w:div>
    <w:div w:id="370349334">
      <w:bodyDiv w:val="1"/>
      <w:marLeft w:val="0"/>
      <w:marRight w:val="0"/>
      <w:marTop w:val="0"/>
      <w:marBottom w:val="0"/>
      <w:divBdr>
        <w:top w:val="none" w:sz="0" w:space="0" w:color="auto"/>
        <w:left w:val="none" w:sz="0" w:space="0" w:color="auto"/>
        <w:bottom w:val="none" w:sz="0" w:space="0" w:color="auto"/>
        <w:right w:val="none" w:sz="0" w:space="0" w:color="auto"/>
      </w:divBdr>
    </w:div>
    <w:div w:id="370616374">
      <w:bodyDiv w:val="1"/>
      <w:marLeft w:val="0"/>
      <w:marRight w:val="0"/>
      <w:marTop w:val="0"/>
      <w:marBottom w:val="0"/>
      <w:divBdr>
        <w:top w:val="none" w:sz="0" w:space="0" w:color="auto"/>
        <w:left w:val="none" w:sz="0" w:space="0" w:color="auto"/>
        <w:bottom w:val="none" w:sz="0" w:space="0" w:color="auto"/>
        <w:right w:val="none" w:sz="0" w:space="0" w:color="auto"/>
      </w:divBdr>
    </w:div>
    <w:div w:id="370959773">
      <w:bodyDiv w:val="1"/>
      <w:marLeft w:val="0"/>
      <w:marRight w:val="0"/>
      <w:marTop w:val="0"/>
      <w:marBottom w:val="0"/>
      <w:divBdr>
        <w:top w:val="none" w:sz="0" w:space="0" w:color="auto"/>
        <w:left w:val="none" w:sz="0" w:space="0" w:color="auto"/>
        <w:bottom w:val="none" w:sz="0" w:space="0" w:color="auto"/>
        <w:right w:val="none" w:sz="0" w:space="0" w:color="auto"/>
      </w:divBdr>
    </w:div>
    <w:div w:id="371656039">
      <w:bodyDiv w:val="1"/>
      <w:marLeft w:val="0"/>
      <w:marRight w:val="0"/>
      <w:marTop w:val="0"/>
      <w:marBottom w:val="0"/>
      <w:divBdr>
        <w:top w:val="none" w:sz="0" w:space="0" w:color="auto"/>
        <w:left w:val="none" w:sz="0" w:space="0" w:color="auto"/>
        <w:bottom w:val="none" w:sz="0" w:space="0" w:color="auto"/>
        <w:right w:val="none" w:sz="0" w:space="0" w:color="auto"/>
      </w:divBdr>
    </w:div>
    <w:div w:id="371731107">
      <w:bodyDiv w:val="1"/>
      <w:marLeft w:val="0"/>
      <w:marRight w:val="0"/>
      <w:marTop w:val="0"/>
      <w:marBottom w:val="0"/>
      <w:divBdr>
        <w:top w:val="none" w:sz="0" w:space="0" w:color="auto"/>
        <w:left w:val="none" w:sz="0" w:space="0" w:color="auto"/>
        <w:bottom w:val="none" w:sz="0" w:space="0" w:color="auto"/>
        <w:right w:val="none" w:sz="0" w:space="0" w:color="auto"/>
      </w:divBdr>
    </w:div>
    <w:div w:id="371852599">
      <w:bodyDiv w:val="1"/>
      <w:marLeft w:val="0"/>
      <w:marRight w:val="0"/>
      <w:marTop w:val="0"/>
      <w:marBottom w:val="0"/>
      <w:divBdr>
        <w:top w:val="none" w:sz="0" w:space="0" w:color="auto"/>
        <w:left w:val="none" w:sz="0" w:space="0" w:color="auto"/>
        <w:bottom w:val="none" w:sz="0" w:space="0" w:color="auto"/>
        <w:right w:val="none" w:sz="0" w:space="0" w:color="auto"/>
      </w:divBdr>
    </w:div>
    <w:div w:id="371879793">
      <w:bodyDiv w:val="1"/>
      <w:marLeft w:val="0"/>
      <w:marRight w:val="0"/>
      <w:marTop w:val="0"/>
      <w:marBottom w:val="0"/>
      <w:divBdr>
        <w:top w:val="none" w:sz="0" w:space="0" w:color="auto"/>
        <w:left w:val="none" w:sz="0" w:space="0" w:color="auto"/>
        <w:bottom w:val="none" w:sz="0" w:space="0" w:color="auto"/>
        <w:right w:val="none" w:sz="0" w:space="0" w:color="auto"/>
      </w:divBdr>
    </w:div>
    <w:div w:id="372079958">
      <w:bodyDiv w:val="1"/>
      <w:marLeft w:val="0"/>
      <w:marRight w:val="0"/>
      <w:marTop w:val="0"/>
      <w:marBottom w:val="0"/>
      <w:divBdr>
        <w:top w:val="none" w:sz="0" w:space="0" w:color="auto"/>
        <w:left w:val="none" w:sz="0" w:space="0" w:color="auto"/>
        <w:bottom w:val="none" w:sz="0" w:space="0" w:color="auto"/>
        <w:right w:val="none" w:sz="0" w:space="0" w:color="auto"/>
      </w:divBdr>
    </w:div>
    <w:div w:id="372392697">
      <w:bodyDiv w:val="1"/>
      <w:marLeft w:val="0"/>
      <w:marRight w:val="0"/>
      <w:marTop w:val="0"/>
      <w:marBottom w:val="0"/>
      <w:divBdr>
        <w:top w:val="none" w:sz="0" w:space="0" w:color="auto"/>
        <w:left w:val="none" w:sz="0" w:space="0" w:color="auto"/>
        <w:bottom w:val="none" w:sz="0" w:space="0" w:color="auto"/>
        <w:right w:val="none" w:sz="0" w:space="0" w:color="auto"/>
      </w:divBdr>
    </w:div>
    <w:div w:id="372847812">
      <w:bodyDiv w:val="1"/>
      <w:marLeft w:val="0"/>
      <w:marRight w:val="0"/>
      <w:marTop w:val="0"/>
      <w:marBottom w:val="0"/>
      <w:divBdr>
        <w:top w:val="none" w:sz="0" w:space="0" w:color="auto"/>
        <w:left w:val="none" w:sz="0" w:space="0" w:color="auto"/>
        <w:bottom w:val="none" w:sz="0" w:space="0" w:color="auto"/>
        <w:right w:val="none" w:sz="0" w:space="0" w:color="auto"/>
      </w:divBdr>
    </w:div>
    <w:div w:id="373164385">
      <w:bodyDiv w:val="1"/>
      <w:marLeft w:val="0"/>
      <w:marRight w:val="0"/>
      <w:marTop w:val="0"/>
      <w:marBottom w:val="0"/>
      <w:divBdr>
        <w:top w:val="none" w:sz="0" w:space="0" w:color="auto"/>
        <w:left w:val="none" w:sz="0" w:space="0" w:color="auto"/>
        <w:bottom w:val="none" w:sz="0" w:space="0" w:color="auto"/>
        <w:right w:val="none" w:sz="0" w:space="0" w:color="auto"/>
      </w:divBdr>
    </w:div>
    <w:div w:id="373237306">
      <w:bodyDiv w:val="1"/>
      <w:marLeft w:val="0"/>
      <w:marRight w:val="0"/>
      <w:marTop w:val="0"/>
      <w:marBottom w:val="0"/>
      <w:divBdr>
        <w:top w:val="none" w:sz="0" w:space="0" w:color="auto"/>
        <w:left w:val="none" w:sz="0" w:space="0" w:color="auto"/>
        <w:bottom w:val="none" w:sz="0" w:space="0" w:color="auto"/>
        <w:right w:val="none" w:sz="0" w:space="0" w:color="auto"/>
      </w:divBdr>
    </w:div>
    <w:div w:id="373387794">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3697964">
      <w:bodyDiv w:val="1"/>
      <w:marLeft w:val="0"/>
      <w:marRight w:val="0"/>
      <w:marTop w:val="0"/>
      <w:marBottom w:val="0"/>
      <w:divBdr>
        <w:top w:val="none" w:sz="0" w:space="0" w:color="auto"/>
        <w:left w:val="none" w:sz="0" w:space="0" w:color="auto"/>
        <w:bottom w:val="none" w:sz="0" w:space="0" w:color="auto"/>
        <w:right w:val="none" w:sz="0" w:space="0" w:color="auto"/>
      </w:divBdr>
    </w:div>
    <w:div w:id="374043792">
      <w:bodyDiv w:val="1"/>
      <w:marLeft w:val="0"/>
      <w:marRight w:val="0"/>
      <w:marTop w:val="0"/>
      <w:marBottom w:val="0"/>
      <w:divBdr>
        <w:top w:val="none" w:sz="0" w:space="0" w:color="auto"/>
        <w:left w:val="none" w:sz="0" w:space="0" w:color="auto"/>
        <w:bottom w:val="none" w:sz="0" w:space="0" w:color="auto"/>
        <w:right w:val="none" w:sz="0" w:space="0" w:color="auto"/>
      </w:divBdr>
    </w:div>
    <w:div w:id="374045024">
      <w:bodyDiv w:val="1"/>
      <w:marLeft w:val="0"/>
      <w:marRight w:val="0"/>
      <w:marTop w:val="0"/>
      <w:marBottom w:val="0"/>
      <w:divBdr>
        <w:top w:val="none" w:sz="0" w:space="0" w:color="auto"/>
        <w:left w:val="none" w:sz="0" w:space="0" w:color="auto"/>
        <w:bottom w:val="none" w:sz="0" w:space="0" w:color="auto"/>
        <w:right w:val="none" w:sz="0" w:space="0" w:color="auto"/>
      </w:divBdr>
    </w:div>
    <w:div w:id="374429469">
      <w:bodyDiv w:val="1"/>
      <w:marLeft w:val="0"/>
      <w:marRight w:val="0"/>
      <w:marTop w:val="0"/>
      <w:marBottom w:val="0"/>
      <w:divBdr>
        <w:top w:val="none" w:sz="0" w:space="0" w:color="auto"/>
        <w:left w:val="none" w:sz="0" w:space="0" w:color="auto"/>
        <w:bottom w:val="none" w:sz="0" w:space="0" w:color="auto"/>
        <w:right w:val="none" w:sz="0" w:space="0" w:color="auto"/>
      </w:divBdr>
    </w:div>
    <w:div w:id="375088761">
      <w:bodyDiv w:val="1"/>
      <w:marLeft w:val="0"/>
      <w:marRight w:val="0"/>
      <w:marTop w:val="0"/>
      <w:marBottom w:val="0"/>
      <w:divBdr>
        <w:top w:val="none" w:sz="0" w:space="0" w:color="auto"/>
        <w:left w:val="none" w:sz="0" w:space="0" w:color="auto"/>
        <w:bottom w:val="none" w:sz="0" w:space="0" w:color="auto"/>
        <w:right w:val="none" w:sz="0" w:space="0" w:color="auto"/>
      </w:divBdr>
    </w:div>
    <w:div w:id="375198235">
      <w:bodyDiv w:val="1"/>
      <w:marLeft w:val="0"/>
      <w:marRight w:val="0"/>
      <w:marTop w:val="0"/>
      <w:marBottom w:val="0"/>
      <w:divBdr>
        <w:top w:val="none" w:sz="0" w:space="0" w:color="auto"/>
        <w:left w:val="none" w:sz="0" w:space="0" w:color="auto"/>
        <w:bottom w:val="none" w:sz="0" w:space="0" w:color="auto"/>
        <w:right w:val="none" w:sz="0" w:space="0" w:color="auto"/>
      </w:divBdr>
    </w:div>
    <w:div w:id="375350158">
      <w:bodyDiv w:val="1"/>
      <w:marLeft w:val="0"/>
      <w:marRight w:val="0"/>
      <w:marTop w:val="0"/>
      <w:marBottom w:val="0"/>
      <w:divBdr>
        <w:top w:val="none" w:sz="0" w:space="0" w:color="auto"/>
        <w:left w:val="none" w:sz="0" w:space="0" w:color="auto"/>
        <w:bottom w:val="none" w:sz="0" w:space="0" w:color="auto"/>
        <w:right w:val="none" w:sz="0" w:space="0" w:color="auto"/>
      </w:divBdr>
    </w:div>
    <w:div w:id="375545740">
      <w:bodyDiv w:val="1"/>
      <w:marLeft w:val="0"/>
      <w:marRight w:val="0"/>
      <w:marTop w:val="0"/>
      <w:marBottom w:val="0"/>
      <w:divBdr>
        <w:top w:val="none" w:sz="0" w:space="0" w:color="auto"/>
        <w:left w:val="none" w:sz="0" w:space="0" w:color="auto"/>
        <w:bottom w:val="none" w:sz="0" w:space="0" w:color="auto"/>
        <w:right w:val="none" w:sz="0" w:space="0" w:color="auto"/>
      </w:divBdr>
    </w:div>
    <w:div w:id="375550217">
      <w:bodyDiv w:val="1"/>
      <w:marLeft w:val="0"/>
      <w:marRight w:val="0"/>
      <w:marTop w:val="0"/>
      <w:marBottom w:val="0"/>
      <w:divBdr>
        <w:top w:val="none" w:sz="0" w:space="0" w:color="auto"/>
        <w:left w:val="none" w:sz="0" w:space="0" w:color="auto"/>
        <w:bottom w:val="none" w:sz="0" w:space="0" w:color="auto"/>
        <w:right w:val="none" w:sz="0" w:space="0" w:color="auto"/>
      </w:divBdr>
    </w:div>
    <w:div w:id="375662680">
      <w:bodyDiv w:val="1"/>
      <w:marLeft w:val="0"/>
      <w:marRight w:val="0"/>
      <w:marTop w:val="0"/>
      <w:marBottom w:val="0"/>
      <w:divBdr>
        <w:top w:val="none" w:sz="0" w:space="0" w:color="auto"/>
        <w:left w:val="none" w:sz="0" w:space="0" w:color="auto"/>
        <w:bottom w:val="none" w:sz="0" w:space="0" w:color="auto"/>
        <w:right w:val="none" w:sz="0" w:space="0" w:color="auto"/>
      </w:divBdr>
    </w:div>
    <w:div w:id="375744041">
      <w:bodyDiv w:val="1"/>
      <w:marLeft w:val="0"/>
      <w:marRight w:val="0"/>
      <w:marTop w:val="0"/>
      <w:marBottom w:val="0"/>
      <w:divBdr>
        <w:top w:val="none" w:sz="0" w:space="0" w:color="auto"/>
        <w:left w:val="none" w:sz="0" w:space="0" w:color="auto"/>
        <w:bottom w:val="none" w:sz="0" w:space="0" w:color="auto"/>
        <w:right w:val="none" w:sz="0" w:space="0" w:color="auto"/>
      </w:divBdr>
    </w:div>
    <w:div w:id="375812328">
      <w:bodyDiv w:val="1"/>
      <w:marLeft w:val="0"/>
      <w:marRight w:val="0"/>
      <w:marTop w:val="0"/>
      <w:marBottom w:val="0"/>
      <w:divBdr>
        <w:top w:val="none" w:sz="0" w:space="0" w:color="auto"/>
        <w:left w:val="none" w:sz="0" w:space="0" w:color="auto"/>
        <w:bottom w:val="none" w:sz="0" w:space="0" w:color="auto"/>
        <w:right w:val="none" w:sz="0" w:space="0" w:color="auto"/>
      </w:divBdr>
    </w:div>
    <w:div w:id="376514172">
      <w:bodyDiv w:val="1"/>
      <w:marLeft w:val="0"/>
      <w:marRight w:val="0"/>
      <w:marTop w:val="0"/>
      <w:marBottom w:val="0"/>
      <w:divBdr>
        <w:top w:val="none" w:sz="0" w:space="0" w:color="auto"/>
        <w:left w:val="none" w:sz="0" w:space="0" w:color="auto"/>
        <w:bottom w:val="none" w:sz="0" w:space="0" w:color="auto"/>
        <w:right w:val="none" w:sz="0" w:space="0" w:color="auto"/>
      </w:divBdr>
    </w:div>
    <w:div w:id="376591203">
      <w:bodyDiv w:val="1"/>
      <w:marLeft w:val="0"/>
      <w:marRight w:val="0"/>
      <w:marTop w:val="0"/>
      <w:marBottom w:val="0"/>
      <w:divBdr>
        <w:top w:val="none" w:sz="0" w:space="0" w:color="auto"/>
        <w:left w:val="none" w:sz="0" w:space="0" w:color="auto"/>
        <w:bottom w:val="none" w:sz="0" w:space="0" w:color="auto"/>
        <w:right w:val="none" w:sz="0" w:space="0" w:color="auto"/>
      </w:divBdr>
    </w:div>
    <w:div w:id="376706575">
      <w:bodyDiv w:val="1"/>
      <w:marLeft w:val="0"/>
      <w:marRight w:val="0"/>
      <w:marTop w:val="0"/>
      <w:marBottom w:val="0"/>
      <w:divBdr>
        <w:top w:val="none" w:sz="0" w:space="0" w:color="auto"/>
        <w:left w:val="none" w:sz="0" w:space="0" w:color="auto"/>
        <w:bottom w:val="none" w:sz="0" w:space="0" w:color="auto"/>
        <w:right w:val="none" w:sz="0" w:space="0" w:color="auto"/>
      </w:divBdr>
    </w:div>
    <w:div w:id="376857176">
      <w:bodyDiv w:val="1"/>
      <w:marLeft w:val="0"/>
      <w:marRight w:val="0"/>
      <w:marTop w:val="0"/>
      <w:marBottom w:val="0"/>
      <w:divBdr>
        <w:top w:val="none" w:sz="0" w:space="0" w:color="auto"/>
        <w:left w:val="none" w:sz="0" w:space="0" w:color="auto"/>
        <w:bottom w:val="none" w:sz="0" w:space="0" w:color="auto"/>
        <w:right w:val="none" w:sz="0" w:space="0" w:color="auto"/>
      </w:divBdr>
    </w:div>
    <w:div w:id="377314560">
      <w:bodyDiv w:val="1"/>
      <w:marLeft w:val="0"/>
      <w:marRight w:val="0"/>
      <w:marTop w:val="0"/>
      <w:marBottom w:val="0"/>
      <w:divBdr>
        <w:top w:val="none" w:sz="0" w:space="0" w:color="auto"/>
        <w:left w:val="none" w:sz="0" w:space="0" w:color="auto"/>
        <w:bottom w:val="none" w:sz="0" w:space="0" w:color="auto"/>
        <w:right w:val="none" w:sz="0" w:space="0" w:color="auto"/>
      </w:divBdr>
    </w:div>
    <w:div w:id="377357350">
      <w:bodyDiv w:val="1"/>
      <w:marLeft w:val="0"/>
      <w:marRight w:val="0"/>
      <w:marTop w:val="0"/>
      <w:marBottom w:val="0"/>
      <w:divBdr>
        <w:top w:val="none" w:sz="0" w:space="0" w:color="auto"/>
        <w:left w:val="none" w:sz="0" w:space="0" w:color="auto"/>
        <w:bottom w:val="none" w:sz="0" w:space="0" w:color="auto"/>
        <w:right w:val="none" w:sz="0" w:space="0" w:color="auto"/>
      </w:divBdr>
    </w:div>
    <w:div w:id="377510179">
      <w:bodyDiv w:val="1"/>
      <w:marLeft w:val="0"/>
      <w:marRight w:val="0"/>
      <w:marTop w:val="0"/>
      <w:marBottom w:val="0"/>
      <w:divBdr>
        <w:top w:val="none" w:sz="0" w:space="0" w:color="auto"/>
        <w:left w:val="none" w:sz="0" w:space="0" w:color="auto"/>
        <w:bottom w:val="none" w:sz="0" w:space="0" w:color="auto"/>
        <w:right w:val="none" w:sz="0" w:space="0" w:color="auto"/>
      </w:divBdr>
    </w:div>
    <w:div w:id="377583212">
      <w:bodyDiv w:val="1"/>
      <w:marLeft w:val="0"/>
      <w:marRight w:val="0"/>
      <w:marTop w:val="0"/>
      <w:marBottom w:val="0"/>
      <w:divBdr>
        <w:top w:val="none" w:sz="0" w:space="0" w:color="auto"/>
        <w:left w:val="none" w:sz="0" w:space="0" w:color="auto"/>
        <w:bottom w:val="none" w:sz="0" w:space="0" w:color="auto"/>
        <w:right w:val="none" w:sz="0" w:space="0" w:color="auto"/>
      </w:divBdr>
    </w:div>
    <w:div w:id="377633970">
      <w:bodyDiv w:val="1"/>
      <w:marLeft w:val="0"/>
      <w:marRight w:val="0"/>
      <w:marTop w:val="0"/>
      <w:marBottom w:val="0"/>
      <w:divBdr>
        <w:top w:val="none" w:sz="0" w:space="0" w:color="auto"/>
        <w:left w:val="none" w:sz="0" w:space="0" w:color="auto"/>
        <w:bottom w:val="none" w:sz="0" w:space="0" w:color="auto"/>
        <w:right w:val="none" w:sz="0" w:space="0" w:color="auto"/>
      </w:divBdr>
    </w:div>
    <w:div w:id="377895946">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78092252">
      <w:bodyDiv w:val="1"/>
      <w:marLeft w:val="0"/>
      <w:marRight w:val="0"/>
      <w:marTop w:val="0"/>
      <w:marBottom w:val="0"/>
      <w:divBdr>
        <w:top w:val="none" w:sz="0" w:space="0" w:color="auto"/>
        <w:left w:val="none" w:sz="0" w:space="0" w:color="auto"/>
        <w:bottom w:val="none" w:sz="0" w:space="0" w:color="auto"/>
        <w:right w:val="none" w:sz="0" w:space="0" w:color="auto"/>
      </w:divBdr>
    </w:div>
    <w:div w:id="378095614">
      <w:bodyDiv w:val="1"/>
      <w:marLeft w:val="0"/>
      <w:marRight w:val="0"/>
      <w:marTop w:val="0"/>
      <w:marBottom w:val="0"/>
      <w:divBdr>
        <w:top w:val="none" w:sz="0" w:space="0" w:color="auto"/>
        <w:left w:val="none" w:sz="0" w:space="0" w:color="auto"/>
        <w:bottom w:val="none" w:sz="0" w:space="0" w:color="auto"/>
        <w:right w:val="none" w:sz="0" w:space="0" w:color="auto"/>
      </w:divBdr>
    </w:div>
    <w:div w:id="378361589">
      <w:bodyDiv w:val="1"/>
      <w:marLeft w:val="0"/>
      <w:marRight w:val="0"/>
      <w:marTop w:val="0"/>
      <w:marBottom w:val="0"/>
      <w:divBdr>
        <w:top w:val="none" w:sz="0" w:space="0" w:color="auto"/>
        <w:left w:val="none" w:sz="0" w:space="0" w:color="auto"/>
        <w:bottom w:val="none" w:sz="0" w:space="0" w:color="auto"/>
        <w:right w:val="none" w:sz="0" w:space="0" w:color="auto"/>
      </w:divBdr>
    </w:div>
    <w:div w:id="378436854">
      <w:bodyDiv w:val="1"/>
      <w:marLeft w:val="0"/>
      <w:marRight w:val="0"/>
      <w:marTop w:val="0"/>
      <w:marBottom w:val="0"/>
      <w:divBdr>
        <w:top w:val="none" w:sz="0" w:space="0" w:color="auto"/>
        <w:left w:val="none" w:sz="0" w:space="0" w:color="auto"/>
        <w:bottom w:val="none" w:sz="0" w:space="0" w:color="auto"/>
        <w:right w:val="none" w:sz="0" w:space="0" w:color="auto"/>
      </w:divBdr>
    </w:div>
    <w:div w:id="378477492">
      <w:bodyDiv w:val="1"/>
      <w:marLeft w:val="0"/>
      <w:marRight w:val="0"/>
      <w:marTop w:val="0"/>
      <w:marBottom w:val="0"/>
      <w:divBdr>
        <w:top w:val="none" w:sz="0" w:space="0" w:color="auto"/>
        <w:left w:val="none" w:sz="0" w:space="0" w:color="auto"/>
        <w:bottom w:val="none" w:sz="0" w:space="0" w:color="auto"/>
        <w:right w:val="none" w:sz="0" w:space="0" w:color="auto"/>
      </w:divBdr>
    </w:div>
    <w:div w:id="378552733">
      <w:bodyDiv w:val="1"/>
      <w:marLeft w:val="0"/>
      <w:marRight w:val="0"/>
      <w:marTop w:val="0"/>
      <w:marBottom w:val="0"/>
      <w:divBdr>
        <w:top w:val="none" w:sz="0" w:space="0" w:color="auto"/>
        <w:left w:val="none" w:sz="0" w:space="0" w:color="auto"/>
        <w:bottom w:val="none" w:sz="0" w:space="0" w:color="auto"/>
        <w:right w:val="none" w:sz="0" w:space="0" w:color="auto"/>
      </w:divBdr>
    </w:div>
    <w:div w:id="378673529">
      <w:bodyDiv w:val="1"/>
      <w:marLeft w:val="0"/>
      <w:marRight w:val="0"/>
      <w:marTop w:val="0"/>
      <w:marBottom w:val="0"/>
      <w:divBdr>
        <w:top w:val="none" w:sz="0" w:space="0" w:color="auto"/>
        <w:left w:val="none" w:sz="0" w:space="0" w:color="auto"/>
        <w:bottom w:val="none" w:sz="0" w:space="0" w:color="auto"/>
        <w:right w:val="none" w:sz="0" w:space="0" w:color="auto"/>
      </w:divBdr>
    </w:div>
    <w:div w:id="379210991">
      <w:bodyDiv w:val="1"/>
      <w:marLeft w:val="0"/>
      <w:marRight w:val="0"/>
      <w:marTop w:val="0"/>
      <w:marBottom w:val="0"/>
      <w:divBdr>
        <w:top w:val="none" w:sz="0" w:space="0" w:color="auto"/>
        <w:left w:val="none" w:sz="0" w:space="0" w:color="auto"/>
        <w:bottom w:val="none" w:sz="0" w:space="0" w:color="auto"/>
        <w:right w:val="none" w:sz="0" w:space="0" w:color="auto"/>
      </w:divBdr>
    </w:div>
    <w:div w:id="379211179">
      <w:bodyDiv w:val="1"/>
      <w:marLeft w:val="0"/>
      <w:marRight w:val="0"/>
      <w:marTop w:val="0"/>
      <w:marBottom w:val="0"/>
      <w:divBdr>
        <w:top w:val="none" w:sz="0" w:space="0" w:color="auto"/>
        <w:left w:val="none" w:sz="0" w:space="0" w:color="auto"/>
        <w:bottom w:val="none" w:sz="0" w:space="0" w:color="auto"/>
        <w:right w:val="none" w:sz="0" w:space="0" w:color="auto"/>
      </w:divBdr>
    </w:div>
    <w:div w:id="379863738">
      <w:bodyDiv w:val="1"/>
      <w:marLeft w:val="0"/>
      <w:marRight w:val="0"/>
      <w:marTop w:val="0"/>
      <w:marBottom w:val="0"/>
      <w:divBdr>
        <w:top w:val="none" w:sz="0" w:space="0" w:color="auto"/>
        <w:left w:val="none" w:sz="0" w:space="0" w:color="auto"/>
        <w:bottom w:val="none" w:sz="0" w:space="0" w:color="auto"/>
        <w:right w:val="none" w:sz="0" w:space="0" w:color="auto"/>
      </w:divBdr>
    </w:div>
    <w:div w:id="379866885">
      <w:bodyDiv w:val="1"/>
      <w:marLeft w:val="0"/>
      <w:marRight w:val="0"/>
      <w:marTop w:val="0"/>
      <w:marBottom w:val="0"/>
      <w:divBdr>
        <w:top w:val="none" w:sz="0" w:space="0" w:color="auto"/>
        <w:left w:val="none" w:sz="0" w:space="0" w:color="auto"/>
        <w:bottom w:val="none" w:sz="0" w:space="0" w:color="auto"/>
        <w:right w:val="none" w:sz="0" w:space="0" w:color="auto"/>
      </w:divBdr>
    </w:div>
    <w:div w:id="380251955">
      <w:bodyDiv w:val="1"/>
      <w:marLeft w:val="0"/>
      <w:marRight w:val="0"/>
      <w:marTop w:val="0"/>
      <w:marBottom w:val="0"/>
      <w:divBdr>
        <w:top w:val="none" w:sz="0" w:space="0" w:color="auto"/>
        <w:left w:val="none" w:sz="0" w:space="0" w:color="auto"/>
        <w:bottom w:val="none" w:sz="0" w:space="0" w:color="auto"/>
        <w:right w:val="none" w:sz="0" w:space="0" w:color="auto"/>
      </w:divBdr>
    </w:div>
    <w:div w:id="380324217">
      <w:bodyDiv w:val="1"/>
      <w:marLeft w:val="0"/>
      <w:marRight w:val="0"/>
      <w:marTop w:val="0"/>
      <w:marBottom w:val="0"/>
      <w:divBdr>
        <w:top w:val="none" w:sz="0" w:space="0" w:color="auto"/>
        <w:left w:val="none" w:sz="0" w:space="0" w:color="auto"/>
        <w:bottom w:val="none" w:sz="0" w:space="0" w:color="auto"/>
        <w:right w:val="none" w:sz="0" w:space="0" w:color="auto"/>
      </w:divBdr>
    </w:div>
    <w:div w:id="380329314">
      <w:bodyDiv w:val="1"/>
      <w:marLeft w:val="0"/>
      <w:marRight w:val="0"/>
      <w:marTop w:val="0"/>
      <w:marBottom w:val="0"/>
      <w:divBdr>
        <w:top w:val="none" w:sz="0" w:space="0" w:color="auto"/>
        <w:left w:val="none" w:sz="0" w:space="0" w:color="auto"/>
        <w:bottom w:val="none" w:sz="0" w:space="0" w:color="auto"/>
        <w:right w:val="none" w:sz="0" w:space="0" w:color="auto"/>
      </w:divBdr>
    </w:div>
    <w:div w:id="380591369">
      <w:bodyDiv w:val="1"/>
      <w:marLeft w:val="0"/>
      <w:marRight w:val="0"/>
      <w:marTop w:val="0"/>
      <w:marBottom w:val="0"/>
      <w:divBdr>
        <w:top w:val="none" w:sz="0" w:space="0" w:color="auto"/>
        <w:left w:val="none" w:sz="0" w:space="0" w:color="auto"/>
        <w:bottom w:val="none" w:sz="0" w:space="0" w:color="auto"/>
        <w:right w:val="none" w:sz="0" w:space="0" w:color="auto"/>
      </w:divBdr>
    </w:div>
    <w:div w:id="380639784">
      <w:bodyDiv w:val="1"/>
      <w:marLeft w:val="0"/>
      <w:marRight w:val="0"/>
      <w:marTop w:val="0"/>
      <w:marBottom w:val="0"/>
      <w:divBdr>
        <w:top w:val="none" w:sz="0" w:space="0" w:color="auto"/>
        <w:left w:val="none" w:sz="0" w:space="0" w:color="auto"/>
        <w:bottom w:val="none" w:sz="0" w:space="0" w:color="auto"/>
        <w:right w:val="none" w:sz="0" w:space="0" w:color="auto"/>
      </w:divBdr>
    </w:div>
    <w:div w:id="381439226">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1952647">
      <w:bodyDiv w:val="1"/>
      <w:marLeft w:val="0"/>
      <w:marRight w:val="0"/>
      <w:marTop w:val="0"/>
      <w:marBottom w:val="0"/>
      <w:divBdr>
        <w:top w:val="none" w:sz="0" w:space="0" w:color="auto"/>
        <w:left w:val="none" w:sz="0" w:space="0" w:color="auto"/>
        <w:bottom w:val="none" w:sz="0" w:space="0" w:color="auto"/>
        <w:right w:val="none" w:sz="0" w:space="0" w:color="auto"/>
      </w:divBdr>
    </w:div>
    <w:div w:id="382145715">
      <w:bodyDiv w:val="1"/>
      <w:marLeft w:val="0"/>
      <w:marRight w:val="0"/>
      <w:marTop w:val="0"/>
      <w:marBottom w:val="0"/>
      <w:divBdr>
        <w:top w:val="none" w:sz="0" w:space="0" w:color="auto"/>
        <w:left w:val="none" w:sz="0" w:space="0" w:color="auto"/>
        <w:bottom w:val="none" w:sz="0" w:space="0" w:color="auto"/>
        <w:right w:val="none" w:sz="0" w:space="0" w:color="auto"/>
      </w:divBdr>
    </w:div>
    <w:div w:id="382485678">
      <w:bodyDiv w:val="1"/>
      <w:marLeft w:val="0"/>
      <w:marRight w:val="0"/>
      <w:marTop w:val="0"/>
      <w:marBottom w:val="0"/>
      <w:divBdr>
        <w:top w:val="none" w:sz="0" w:space="0" w:color="auto"/>
        <w:left w:val="none" w:sz="0" w:space="0" w:color="auto"/>
        <w:bottom w:val="none" w:sz="0" w:space="0" w:color="auto"/>
        <w:right w:val="none" w:sz="0" w:space="0" w:color="auto"/>
      </w:divBdr>
    </w:div>
    <w:div w:id="382872155">
      <w:bodyDiv w:val="1"/>
      <w:marLeft w:val="0"/>
      <w:marRight w:val="0"/>
      <w:marTop w:val="0"/>
      <w:marBottom w:val="0"/>
      <w:divBdr>
        <w:top w:val="none" w:sz="0" w:space="0" w:color="auto"/>
        <w:left w:val="none" w:sz="0" w:space="0" w:color="auto"/>
        <w:bottom w:val="none" w:sz="0" w:space="0" w:color="auto"/>
        <w:right w:val="none" w:sz="0" w:space="0" w:color="auto"/>
      </w:divBdr>
    </w:div>
    <w:div w:id="383024634">
      <w:bodyDiv w:val="1"/>
      <w:marLeft w:val="0"/>
      <w:marRight w:val="0"/>
      <w:marTop w:val="0"/>
      <w:marBottom w:val="0"/>
      <w:divBdr>
        <w:top w:val="none" w:sz="0" w:space="0" w:color="auto"/>
        <w:left w:val="none" w:sz="0" w:space="0" w:color="auto"/>
        <w:bottom w:val="none" w:sz="0" w:space="0" w:color="auto"/>
        <w:right w:val="none" w:sz="0" w:space="0" w:color="auto"/>
      </w:divBdr>
    </w:div>
    <w:div w:id="383070292">
      <w:bodyDiv w:val="1"/>
      <w:marLeft w:val="0"/>
      <w:marRight w:val="0"/>
      <w:marTop w:val="0"/>
      <w:marBottom w:val="0"/>
      <w:divBdr>
        <w:top w:val="none" w:sz="0" w:space="0" w:color="auto"/>
        <w:left w:val="none" w:sz="0" w:space="0" w:color="auto"/>
        <w:bottom w:val="none" w:sz="0" w:space="0" w:color="auto"/>
        <w:right w:val="none" w:sz="0" w:space="0" w:color="auto"/>
      </w:divBdr>
    </w:div>
    <w:div w:id="383259524">
      <w:bodyDiv w:val="1"/>
      <w:marLeft w:val="0"/>
      <w:marRight w:val="0"/>
      <w:marTop w:val="0"/>
      <w:marBottom w:val="0"/>
      <w:divBdr>
        <w:top w:val="none" w:sz="0" w:space="0" w:color="auto"/>
        <w:left w:val="none" w:sz="0" w:space="0" w:color="auto"/>
        <w:bottom w:val="none" w:sz="0" w:space="0" w:color="auto"/>
        <w:right w:val="none" w:sz="0" w:space="0" w:color="auto"/>
      </w:divBdr>
    </w:div>
    <w:div w:id="383260634">
      <w:bodyDiv w:val="1"/>
      <w:marLeft w:val="0"/>
      <w:marRight w:val="0"/>
      <w:marTop w:val="0"/>
      <w:marBottom w:val="0"/>
      <w:divBdr>
        <w:top w:val="none" w:sz="0" w:space="0" w:color="auto"/>
        <w:left w:val="none" w:sz="0" w:space="0" w:color="auto"/>
        <w:bottom w:val="none" w:sz="0" w:space="0" w:color="auto"/>
        <w:right w:val="none" w:sz="0" w:space="0" w:color="auto"/>
      </w:divBdr>
    </w:div>
    <w:div w:id="383452223">
      <w:bodyDiv w:val="1"/>
      <w:marLeft w:val="0"/>
      <w:marRight w:val="0"/>
      <w:marTop w:val="0"/>
      <w:marBottom w:val="0"/>
      <w:divBdr>
        <w:top w:val="none" w:sz="0" w:space="0" w:color="auto"/>
        <w:left w:val="none" w:sz="0" w:space="0" w:color="auto"/>
        <w:bottom w:val="none" w:sz="0" w:space="0" w:color="auto"/>
        <w:right w:val="none" w:sz="0" w:space="0" w:color="auto"/>
      </w:divBdr>
    </w:div>
    <w:div w:id="384376361">
      <w:bodyDiv w:val="1"/>
      <w:marLeft w:val="0"/>
      <w:marRight w:val="0"/>
      <w:marTop w:val="0"/>
      <w:marBottom w:val="0"/>
      <w:divBdr>
        <w:top w:val="none" w:sz="0" w:space="0" w:color="auto"/>
        <w:left w:val="none" w:sz="0" w:space="0" w:color="auto"/>
        <w:bottom w:val="none" w:sz="0" w:space="0" w:color="auto"/>
        <w:right w:val="none" w:sz="0" w:space="0" w:color="auto"/>
      </w:divBdr>
    </w:div>
    <w:div w:id="384379891">
      <w:bodyDiv w:val="1"/>
      <w:marLeft w:val="0"/>
      <w:marRight w:val="0"/>
      <w:marTop w:val="0"/>
      <w:marBottom w:val="0"/>
      <w:divBdr>
        <w:top w:val="none" w:sz="0" w:space="0" w:color="auto"/>
        <w:left w:val="none" w:sz="0" w:space="0" w:color="auto"/>
        <w:bottom w:val="none" w:sz="0" w:space="0" w:color="auto"/>
        <w:right w:val="none" w:sz="0" w:space="0" w:color="auto"/>
      </w:divBdr>
    </w:div>
    <w:div w:id="384572899">
      <w:bodyDiv w:val="1"/>
      <w:marLeft w:val="0"/>
      <w:marRight w:val="0"/>
      <w:marTop w:val="0"/>
      <w:marBottom w:val="0"/>
      <w:divBdr>
        <w:top w:val="none" w:sz="0" w:space="0" w:color="auto"/>
        <w:left w:val="none" w:sz="0" w:space="0" w:color="auto"/>
        <w:bottom w:val="none" w:sz="0" w:space="0" w:color="auto"/>
        <w:right w:val="none" w:sz="0" w:space="0" w:color="auto"/>
      </w:divBdr>
    </w:div>
    <w:div w:id="384838561">
      <w:bodyDiv w:val="1"/>
      <w:marLeft w:val="0"/>
      <w:marRight w:val="0"/>
      <w:marTop w:val="0"/>
      <w:marBottom w:val="0"/>
      <w:divBdr>
        <w:top w:val="none" w:sz="0" w:space="0" w:color="auto"/>
        <w:left w:val="none" w:sz="0" w:space="0" w:color="auto"/>
        <w:bottom w:val="none" w:sz="0" w:space="0" w:color="auto"/>
        <w:right w:val="none" w:sz="0" w:space="0" w:color="auto"/>
      </w:divBdr>
    </w:div>
    <w:div w:id="384985267">
      <w:bodyDiv w:val="1"/>
      <w:marLeft w:val="0"/>
      <w:marRight w:val="0"/>
      <w:marTop w:val="0"/>
      <w:marBottom w:val="0"/>
      <w:divBdr>
        <w:top w:val="none" w:sz="0" w:space="0" w:color="auto"/>
        <w:left w:val="none" w:sz="0" w:space="0" w:color="auto"/>
        <w:bottom w:val="none" w:sz="0" w:space="0" w:color="auto"/>
        <w:right w:val="none" w:sz="0" w:space="0" w:color="auto"/>
      </w:divBdr>
    </w:div>
    <w:div w:id="385102408">
      <w:bodyDiv w:val="1"/>
      <w:marLeft w:val="0"/>
      <w:marRight w:val="0"/>
      <w:marTop w:val="0"/>
      <w:marBottom w:val="0"/>
      <w:divBdr>
        <w:top w:val="none" w:sz="0" w:space="0" w:color="auto"/>
        <w:left w:val="none" w:sz="0" w:space="0" w:color="auto"/>
        <w:bottom w:val="none" w:sz="0" w:space="0" w:color="auto"/>
        <w:right w:val="none" w:sz="0" w:space="0" w:color="auto"/>
      </w:divBdr>
    </w:div>
    <w:div w:id="385225559">
      <w:bodyDiv w:val="1"/>
      <w:marLeft w:val="0"/>
      <w:marRight w:val="0"/>
      <w:marTop w:val="0"/>
      <w:marBottom w:val="0"/>
      <w:divBdr>
        <w:top w:val="none" w:sz="0" w:space="0" w:color="auto"/>
        <w:left w:val="none" w:sz="0" w:space="0" w:color="auto"/>
        <w:bottom w:val="none" w:sz="0" w:space="0" w:color="auto"/>
        <w:right w:val="none" w:sz="0" w:space="0" w:color="auto"/>
      </w:divBdr>
    </w:div>
    <w:div w:id="385567606">
      <w:bodyDiv w:val="1"/>
      <w:marLeft w:val="0"/>
      <w:marRight w:val="0"/>
      <w:marTop w:val="0"/>
      <w:marBottom w:val="0"/>
      <w:divBdr>
        <w:top w:val="none" w:sz="0" w:space="0" w:color="auto"/>
        <w:left w:val="none" w:sz="0" w:space="0" w:color="auto"/>
        <w:bottom w:val="none" w:sz="0" w:space="0" w:color="auto"/>
        <w:right w:val="none" w:sz="0" w:space="0" w:color="auto"/>
      </w:divBdr>
    </w:div>
    <w:div w:id="386030898">
      <w:bodyDiv w:val="1"/>
      <w:marLeft w:val="0"/>
      <w:marRight w:val="0"/>
      <w:marTop w:val="0"/>
      <w:marBottom w:val="0"/>
      <w:divBdr>
        <w:top w:val="none" w:sz="0" w:space="0" w:color="auto"/>
        <w:left w:val="none" w:sz="0" w:space="0" w:color="auto"/>
        <w:bottom w:val="none" w:sz="0" w:space="0" w:color="auto"/>
        <w:right w:val="none" w:sz="0" w:space="0" w:color="auto"/>
      </w:divBdr>
    </w:div>
    <w:div w:id="386151198">
      <w:bodyDiv w:val="1"/>
      <w:marLeft w:val="0"/>
      <w:marRight w:val="0"/>
      <w:marTop w:val="0"/>
      <w:marBottom w:val="0"/>
      <w:divBdr>
        <w:top w:val="none" w:sz="0" w:space="0" w:color="auto"/>
        <w:left w:val="none" w:sz="0" w:space="0" w:color="auto"/>
        <w:bottom w:val="none" w:sz="0" w:space="0" w:color="auto"/>
        <w:right w:val="none" w:sz="0" w:space="0" w:color="auto"/>
      </w:divBdr>
    </w:div>
    <w:div w:id="386488937">
      <w:bodyDiv w:val="1"/>
      <w:marLeft w:val="0"/>
      <w:marRight w:val="0"/>
      <w:marTop w:val="0"/>
      <w:marBottom w:val="0"/>
      <w:divBdr>
        <w:top w:val="none" w:sz="0" w:space="0" w:color="auto"/>
        <w:left w:val="none" w:sz="0" w:space="0" w:color="auto"/>
        <w:bottom w:val="none" w:sz="0" w:space="0" w:color="auto"/>
        <w:right w:val="none" w:sz="0" w:space="0" w:color="auto"/>
      </w:divBdr>
    </w:div>
    <w:div w:id="386492389">
      <w:bodyDiv w:val="1"/>
      <w:marLeft w:val="0"/>
      <w:marRight w:val="0"/>
      <w:marTop w:val="0"/>
      <w:marBottom w:val="0"/>
      <w:divBdr>
        <w:top w:val="none" w:sz="0" w:space="0" w:color="auto"/>
        <w:left w:val="none" w:sz="0" w:space="0" w:color="auto"/>
        <w:bottom w:val="none" w:sz="0" w:space="0" w:color="auto"/>
        <w:right w:val="none" w:sz="0" w:space="0" w:color="auto"/>
      </w:divBdr>
    </w:div>
    <w:div w:id="386605842">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87804345">
      <w:bodyDiv w:val="1"/>
      <w:marLeft w:val="0"/>
      <w:marRight w:val="0"/>
      <w:marTop w:val="0"/>
      <w:marBottom w:val="0"/>
      <w:divBdr>
        <w:top w:val="none" w:sz="0" w:space="0" w:color="auto"/>
        <w:left w:val="none" w:sz="0" w:space="0" w:color="auto"/>
        <w:bottom w:val="none" w:sz="0" w:space="0" w:color="auto"/>
        <w:right w:val="none" w:sz="0" w:space="0" w:color="auto"/>
      </w:divBdr>
    </w:div>
    <w:div w:id="388696996">
      <w:bodyDiv w:val="1"/>
      <w:marLeft w:val="0"/>
      <w:marRight w:val="0"/>
      <w:marTop w:val="0"/>
      <w:marBottom w:val="0"/>
      <w:divBdr>
        <w:top w:val="none" w:sz="0" w:space="0" w:color="auto"/>
        <w:left w:val="none" w:sz="0" w:space="0" w:color="auto"/>
        <w:bottom w:val="none" w:sz="0" w:space="0" w:color="auto"/>
        <w:right w:val="none" w:sz="0" w:space="0" w:color="auto"/>
      </w:divBdr>
    </w:div>
    <w:div w:id="388771256">
      <w:bodyDiv w:val="1"/>
      <w:marLeft w:val="0"/>
      <w:marRight w:val="0"/>
      <w:marTop w:val="0"/>
      <w:marBottom w:val="0"/>
      <w:divBdr>
        <w:top w:val="none" w:sz="0" w:space="0" w:color="auto"/>
        <w:left w:val="none" w:sz="0" w:space="0" w:color="auto"/>
        <w:bottom w:val="none" w:sz="0" w:space="0" w:color="auto"/>
        <w:right w:val="none" w:sz="0" w:space="0" w:color="auto"/>
      </w:divBdr>
    </w:div>
    <w:div w:id="389233445">
      <w:bodyDiv w:val="1"/>
      <w:marLeft w:val="0"/>
      <w:marRight w:val="0"/>
      <w:marTop w:val="0"/>
      <w:marBottom w:val="0"/>
      <w:divBdr>
        <w:top w:val="none" w:sz="0" w:space="0" w:color="auto"/>
        <w:left w:val="none" w:sz="0" w:space="0" w:color="auto"/>
        <w:bottom w:val="none" w:sz="0" w:space="0" w:color="auto"/>
        <w:right w:val="none" w:sz="0" w:space="0" w:color="auto"/>
      </w:divBdr>
    </w:div>
    <w:div w:id="389502807">
      <w:bodyDiv w:val="1"/>
      <w:marLeft w:val="0"/>
      <w:marRight w:val="0"/>
      <w:marTop w:val="0"/>
      <w:marBottom w:val="0"/>
      <w:divBdr>
        <w:top w:val="none" w:sz="0" w:space="0" w:color="auto"/>
        <w:left w:val="none" w:sz="0" w:space="0" w:color="auto"/>
        <w:bottom w:val="none" w:sz="0" w:space="0" w:color="auto"/>
        <w:right w:val="none" w:sz="0" w:space="0" w:color="auto"/>
      </w:divBdr>
    </w:div>
    <w:div w:id="390152995">
      <w:bodyDiv w:val="1"/>
      <w:marLeft w:val="0"/>
      <w:marRight w:val="0"/>
      <w:marTop w:val="0"/>
      <w:marBottom w:val="0"/>
      <w:divBdr>
        <w:top w:val="none" w:sz="0" w:space="0" w:color="auto"/>
        <w:left w:val="none" w:sz="0" w:space="0" w:color="auto"/>
        <w:bottom w:val="none" w:sz="0" w:space="0" w:color="auto"/>
        <w:right w:val="none" w:sz="0" w:space="0" w:color="auto"/>
      </w:divBdr>
    </w:div>
    <w:div w:id="390271022">
      <w:bodyDiv w:val="1"/>
      <w:marLeft w:val="0"/>
      <w:marRight w:val="0"/>
      <w:marTop w:val="0"/>
      <w:marBottom w:val="0"/>
      <w:divBdr>
        <w:top w:val="none" w:sz="0" w:space="0" w:color="auto"/>
        <w:left w:val="none" w:sz="0" w:space="0" w:color="auto"/>
        <w:bottom w:val="none" w:sz="0" w:space="0" w:color="auto"/>
        <w:right w:val="none" w:sz="0" w:space="0" w:color="auto"/>
      </w:divBdr>
    </w:div>
    <w:div w:id="390345031">
      <w:bodyDiv w:val="1"/>
      <w:marLeft w:val="0"/>
      <w:marRight w:val="0"/>
      <w:marTop w:val="0"/>
      <w:marBottom w:val="0"/>
      <w:divBdr>
        <w:top w:val="none" w:sz="0" w:space="0" w:color="auto"/>
        <w:left w:val="none" w:sz="0" w:space="0" w:color="auto"/>
        <w:bottom w:val="none" w:sz="0" w:space="0" w:color="auto"/>
        <w:right w:val="none" w:sz="0" w:space="0" w:color="auto"/>
      </w:divBdr>
    </w:div>
    <w:div w:id="390736934">
      <w:bodyDiv w:val="1"/>
      <w:marLeft w:val="0"/>
      <w:marRight w:val="0"/>
      <w:marTop w:val="0"/>
      <w:marBottom w:val="0"/>
      <w:divBdr>
        <w:top w:val="none" w:sz="0" w:space="0" w:color="auto"/>
        <w:left w:val="none" w:sz="0" w:space="0" w:color="auto"/>
        <w:bottom w:val="none" w:sz="0" w:space="0" w:color="auto"/>
        <w:right w:val="none" w:sz="0" w:space="0" w:color="auto"/>
      </w:divBdr>
    </w:div>
    <w:div w:id="391003506">
      <w:bodyDiv w:val="1"/>
      <w:marLeft w:val="0"/>
      <w:marRight w:val="0"/>
      <w:marTop w:val="0"/>
      <w:marBottom w:val="0"/>
      <w:divBdr>
        <w:top w:val="none" w:sz="0" w:space="0" w:color="auto"/>
        <w:left w:val="none" w:sz="0" w:space="0" w:color="auto"/>
        <w:bottom w:val="none" w:sz="0" w:space="0" w:color="auto"/>
        <w:right w:val="none" w:sz="0" w:space="0" w:color="auto"/>
      </w:divBdr>
    </w:div>
    <w:div w:id="391199651">
      <w:bodyDiv w:val="1"/>
      <w:marLeft w:val="0"/>
      <w:marRight w:val="0"/>
      <w:marTop w:val="0"/>
      <w:marBottom w:val="0"/>
      <w:divBdr>
        <w:top w:val="none" w:sz="0" w:space="0" w:color="auto"/>
        <w:left w:val="none" w:sz="0" w:space="0" w:color="auto"/>
        <w:bottom w:val="none" w:sz="0" w:space="0" w:color="auto"/>
        <w:right w:val="none" w:sz="0" w:space="0" w:color="auto"/>
      </w:divBdr>
    </w:div>
    <w:div w:id="391584038">
      <w:bodyDiv w:val="1"/>
      <w:marLeft w:val="0"/>
      <w:marRight w:val="0"/>
      <w:marTop w:val="0"/>
      <w:marBottom w:val="0"/>
      <w:divBdr>
        <w:top w:val="none" w:sz="0" w:space="0" w:color="auto"/>
        <w:left w:val="none" w:sz="0" w:space="0" w:color="auto"/>
        <w:bottom w:val="none" w:sz="0" w:space="0" w:color="auto"/>
        <w:right w:val="none" w:sz="0" w:space="0" w:color="auto"/>
      </w:divBdr>
    </w:div>
    <w:div w:id="391657004">
      <w:bodyDiv w:val="1"/>
      <w:marLeft w:val="0"/>
      <w:marRight w:val="0"/>
      <w:marTop w:val="0"/>
      <w:marBottom w:val="0"/>
      <w:divBdr>
        <w:top w:val="none" w:sz="0" w:space="0" w:color="auto"/>
        <w:left w:val="none" w:sz="0" w:space="0" w:color="auto"/>
        <w:bottom w:val="none" w:sz="0" w:space="0" w:color="auto"/>
        <w:right w:val="none" w:sz="0" w:space="0" w:color="auto"/>
      </w:divBdr>
    </w:div>
    <w:div w:id="391662684">
      <w:bodyDiv w:val="1"/>
      <w:marLeft w:val="0"/>
      <w:marRight w:val="0"/>
      <w:marTop w:val="0"/>
      <w:marBottom w:val="0"/>
      <w:divBdr>
        <w:top w:val="none" w:sz="0" w:space="0" w:color="auto"/>
        <w:left w:val="none" w:sz="0" w:space="0" w:color="auto"/>
        <w:bottom w:val="none" w:sz="0" w:space="0" w:color="auto"/>
        <w:right w:val="none" w:sz="0" w:space="0" w:color="auto"/>
      </w:divBdr>
    </w:div>
    <w:div w:id="391971572">
      <w:bodyDiv w:val="1"/>
      <w:marLeft w:val="0"/>
      <w:marRight w:val="0"/>
      <w:marTop w:val="0"/>
      <w:marBottom w:val="0"/>
      <w:divBdr>
        <w:top w:val="none" w:sz="0" w:space="0" w:color="auto"/>
        <w:left w:val="none" w:sz="0" w:space="0" w:color="auto"/>
        <w:bottom w:val="none" w:sz="0" w:space="0" w:color="auto"/>
        <w:right w:val="none" w:sz="0" w:space="0" w:color="auto"/>
      </w:divBdr>
    </w:div>
    <w:div w:id="392313115">
      <w:bodyDiv w:val="1"/>
      <w:marLeft w:val="0"/>
      <w:marRight w:val="0"/>
      <w:marTop w:val="0"/>
      <w:marBottom w:val="0"/>
      <w:divBdr>
        <w:top w:val="none" w:sz="0" w:space="0" w:color="auto"/>
        <w:left w:val="none" w:sz="0" w:space="0" w:color="auto"/>
        <w:bottom w:val="none" w:sz="0" w:space="0" w:color="auto"/>
        <w:right w:val="none" w:sz="0" w:space="0" w:color="auto"/>
      </w:divBdr>
    </w:div>
    <w:div w:id="393159685">
      <w:bodyDiv w:val="1"/>
      <w:marLeft w:val="0"/>
      <w:marRight w:val="0"/>
      <w:marTop w:val="0"/>
      <w:marBottom w:val="0"/>
      <w:divBdr>
        <w:top w:val="none" w:sz="0" w:space="0" w:color="auto"/>
        <w:left w:val="none" w:sz="0" w:space="0" w:color="auto"/>
        <w:bottom w:val="none" w:sz="0" w:space="0" w:color="auto"/>
        <w:right w:val="none" w:sz="0" w:space="0" w:color="auto"/>
      </w:divBdr>
    </w:div>
    <w:div w:id="393161104">
      <w:bodyDiv w:val="1"/>
      <w:marLeft w:val="0"/>
      <w:marRight w:val="0"/>
      <w:marTop w:val="0"/>
      <w:marBottom w:val="0"/>
      <w:divBdr>
        <w:top w:val="none" w:sz="0" w:space="0" w:color="auto"/>
        <w:left w:val="none" w:sz="0" w:space="0" w:color="auto"/>
        <w:bottom w:val="none" w:sz="0" w:space="0" w:color="auto"/>
        <w:right w:val="none" w:sz="0" w:space="0" w:color="auto"/>
      </w:divBdr>
    </w:div>
    <w:div w:id="393358610">
      <w:bodyDiv w:val="1"/>
      <w:marLeft w:val="0"/>
      <w:marRight w:val="0"/>
      <w:marTop w:val="0"/>
      <w:marBottom w:val="0"/>
      <w:divBdr>
        <w:top w:val="none" w:sz="0" w:space="0" w:color="auto"/>
        <w:left w:val="none" w:sz="0" w:space="0" w:color="auto"/>
        <w:bottom w:val="none" w:sz="0" w:space="0" w:color="auto"/>
        <w:right w:val="none" w:sz="0" w:space="0" w:color="auto"/>
      </w:divBdr>
    </w:div>
    <w:div w:id="393429392">
      <w:bodyDiv w:val="1"/>
      <w:marLeft w:val="0"/>
      <w:marRight w:val="0"/>
      <w:marTop w:val="0"/>
      <w:marBottom w:val="0"/>
      <w:divBdr>
        <w:top w:val="none" w:sz="0" w:space="0" w:color="auto"/>
        <w:left w:val="none" w:sz="0" w:space="0" w:color="auto"/>
        <w:bottom w:val="none" w:sz="0" w:space="0" w:color="auto"/>
        <w:right w:val="none" w:sz="0" w:space="0" w:color="auto"/>
      </w:divBdr>
    </w:div>
    <w:div w:id="393628908">
      <w:bodyDiv w:val="1"/>
      <w:marLeft w:val="0"/>
      <w:marRight w:val="0"/>
      <w:marTop w:val="0"/>
      <w:marBottom w:val="0"/>
      <w:divBdr>
        <w:top w:val="none" w:sz="0" w:space="0" w:color="auto"/>
        <w:left w:val="none" w:sz="0" w:space="0" w:color="auto"/>
        <w:bottom w:val="none" w:sz="0" w:space="0" w:color="auto"/>
        <w:right w:val="none" w:sz="0" w:space="0" w:color="auto"/>
      </w:divBdr>
    </w:div>
    <w:div w:id="393890448">
      <w:bodyDiv w:val="1"/>
      <w:marLeft w:val="0"/>
      <w:marRight w:val="0"/>
      <w:marTop w:val="0"/>
      <w:marBottom w:val="0"/>
      <w:divBdr>
        <w:top w:val="none" w:sz="0" w:space="0" w:color="auto"/>
        <w:left w:val="none" w:sz="0" w:space="0" w:color="auto"/>
        <w:bottom w:val="none" w:sz="0" w:space="0" w:color="auto"/>
        <w:right w:val="none" w:sz="0" w:space="0" w:color="auto"/>
      </w:divBdr>
    </w:div>
    <w:div w:id="393897908">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394281672">
      <w:bodyDiv w:val="1"/>
      <w:marLeft w:val="0"/>
      <w:marRight w:val="0"/>
      <w:marTop w:val="0"/>
      <w:marBottom w:val="0"/>
      <w:divBdr>
        <w:top w:val="none" w:sz="0" w:space="0" w:color="auto"/>
        <w:left w:val="none" w:sz="0" w:space="0" w:color="auto"/>
        <w:bottom w:val="none" w:sz="0" w:space="0" w:color="auto"/>
        <w:right w:val="none" w:sz="0" w:space="0" w:color="auto"/>
      </w:divBdr>
    </w:div>
    <w:div w:id="394478655">
      <w:bodyDiv w:val="1"/>
      <w:marLeft w:val="0"/>
      <w:marRight w:val="0"/>
      <w:marTop w:val="0"/>
      <w:marBottom w:val="0"/>
      <w:divBdr>
        <w:top w:val="none" w:sz="0" w:space="0" w:color="auto"/>
        <w:left w:val="none" w:sz="0" w:space="0" w:color="auto"/>
        <w:bottom w:val="none" w:sz="0" w:space="0" w:color="auto"/>
        <w:right w:val="none" w:sz="0" w:space="0" w:color="auto"/>
      </w:divBdr>
    </w:div>
    <w:div w:id="394663082">
      <w:bodyDiv w:val="1"/>
      <w:marLeft w:val="0"/>
      <w:marRight w:val="0"/>
      <w:marTop w:val="0"/>
      <w:marBottom w:val="0"/>
      <w:divBdr>
        <w:top w:val="none" w:sz="0" w:space="0" w:color="auto"/>
        <w:left w:val="none" w:sz="0" w:space="0" w:color="auto"/>
        <w:bottom w:val="none" w:sz="0" w:space="0" w:color="auto"/>
        <w:right w:val="none" w:sz="0" w:space="0" w:color="auto"/>
      </w:divBdr>
    </w:div>
    <w:div w:id="394668595">
      <w:bodyDiv w:val="1"/>
      <w:marLeft w:val="0"/>
      <w:marRight w:val="0"/>
      <w:marTop w:val="0"/>
      <w:marBottom w:val="0"/>
      <w:divBdr>
        <w:top w:val="none" w:sz="0" w:space="0" w:color="auto"/>
        <w:left w:val="none" w:sz="0" w:space="0" w:color="auto"/>
        <w:bottom w:val="none" w:sz="0" w:space="0" w:color="auto"/>
        <w:right w:val="none" w:sz="0" w:space="0" w:color="auto"/>
      </w:divBdr>
    </w:div>
    <w:div w:id="395130767">
      <w:bodyDiv w:val="1"/>
      <w:marLeft w:val="0"/>
      <w:marRight w:val="0"/>
      <w:marTop w:val="0"/>
      <w:marBottom w:val="0"/>
      <w:divBdr>
        <w:top w:val="none" w:sz="0" w:space="0" w:color="auto"/>
        <w:left w:val="none" w:sz="0" w:space="0" w:color="auto"/>
        <w:bottom w:val="none" w:sz="0" w:space="0" w:color="auto"/>
        <w:right w:val="none" w:sz="0" w:space="0" w:color="auto"/>
      </w:divBdr>
    </w:div>
    <w:div w:id="395932032">
      <w:bodyDiv w:val="1"/>
      <w:marLeft w:val="0"/>
      <w:marRight w:val="0"/>
      <w:marTop w:val="0"/>
      <w:marBottom w:val="0"/>
      <w:divBdr>
        <w:top w:val="none" w:sz="0" w:space="0" w:color="auto"/>
        <w:left w:val="none" w:sz="0" w:space="0" w:color="auto"/>
        <w:bottom w:val="none" w:sz="0" w:space="0" w:color="auto"/>
        <w:right w:val="none" w:sz="0" w:space="0" w:color="auto"/>
      </w:divBdr>
    </w:div>
    <w:div w:id="396057672">
      <w:bodyDiv w:val="1"/>
      <w:marLeft w:val="0"/>
      <w:marRight w:val="0"/>
      <w:marTop w:val="0"/>
      <w:marBottom w:val="0"/>
      <w:divBdr>
        <w:top w:val="none" w:sz="0" w:space="0" w:color="auto"/>
        <w:left w:val="none" w:sz="0" w:space="0" w:color="auto"/>
        <w:bottom w:val="none" w:sz="0" w:space="0" w:color="auto"/>
        <w:right w:val="none" w:sz="0" w:space="0" w:color="auto"/>
      </w:divBdr>
    </w:div>
    <w:div w:id="396316948">
      <w:bodyDiv w:val="1"/>
      <w:marLeft w:val="0"/>
      <w:marRight w:val="0"/>
      <w:marTop w:val="0"/>
      <w:marBottom w:val="0"/>
      <w:divBdr>
        <w:top w:val="none" w:sz="0" w:space="0" w:color="auto"/>
        <w:left w:val="none" w:sz="0" w:space="0" w:color="auto"/>
        <w:bottom w:val="none" w:sz="0" w:space="0" w:color="auto"/>
        <w:right w:val="none" w:sz="0" w:space="0" w:color="auto"/>
      </w:divBdr>
    </w:div>
    <w:div w:id="396712581">
      <w:bodyDiv w:val="1"/>
      <w:marLeft w:val="0"/>
      <w:marRight w:val="0"/>
      <w:marTop w:val="0"/>
      <w:marBottom w:val="0"/>
      <w:divBdr>
        <w:top w:val="none" w:sz="0" w:space="0" w:color="auto"/>
        <w:left w:val="none" w:sz="0" w:space="0" w:color="auto"/>
        <w:bottom w:val="none" w:sz="0" w:space="0" w:color="auto"/>
        <w:right w:val="none" w:sz="0" w:space="0" w:color="auto"/>
      </w:divBdr>
    </w:div>
    <w:div w:id="397479967">
      <w:bodyDiv w:val="1"/>
      <w:marLeft w:val="0"/>
      <w:marRight w:val="0"/>
      <w:marTop w:val="0"/>
      <w:marBottom w:val="0"/>
      <w:divBdr>
        <w:top w:val="none" w:sz="0" w:space="0" w:color="auto"/>
        <w:left w:val="none" w:sz="0" w:space="0" w:color="auto"/>
        <w:bottom w:val="none" w:sz="0" w:space="0" w:color="auto"/>
        <w:right w:val="none" w:sz="0" w:space="0" w:color="auto"/>
      </w:divBdr>
    </w:div>
    <w:div w:id="397634181">
      <w:bodyDiv w:val="1"/>
      <w:marLeft w:val="0"/>
      <w:marRight w:val="0"/>
      <w:marTop w:val="0"/>
      <w:marBottom w:val="0"/>
      <w:divBdr>
        <w:top w:val="none" w:sz="0" w:space="0" w:color="auto"/>
        <w:left w:val="none" w:sz="0" w:space="0" w:color="auto"/>
        <w:bottom w:val="none" w:sz="0" w:space="0" w:color="auto"/>
        <w:right w:val="none" w:sz="0" w:space="0" w:color="auto"/>
      </w:divBdr>
    </w:div>
    <w:div w:id="397748324">
      <w:bodyDiv w:val="1"/>
      <w:marLeft w:val="0"/>
      <w:marRight w:val="0"/>
      <w:marTop w:val="0"/>
      <w:marBottom w:val="0"/>
      <w:divBdr>
        <w:top w:val="none" w:sz="0" w:space="0" w:color="auto"/>
        <w:left w:val="none" w:sz="0" w:space="0" w:color="auto"/>
        <w:bottom w:val="none" w:sz="0" w:space="0" w:color="auto"/>
        <w:right w:val="none" w:sz="0" w:space="0" w:color="auto"/>
      </w:divBdr>
    </w:div>
    <w:div w:id="398284733">
      <w:bodyDiv w:val="1"/>
      <w:marLeft w:val="0"/>
      <w:marRight w:val="0"/>
      <w:marTop w:val="0"/>
      <w:marBottom w:val="0"/>
      <w:divBdr>
        <w:top w:val="none" w:sz="0" w:space="0" w:color="auto"/>
        <w:left w:val="none" w:sz="0" w:space="0" w:color="auto"/>
        <w:bottom w:val="none" w:sz="0" w:space="0" w:color="auto"/>
        <w:right w:val="none" w:sz="0" w:space="0" w:color="auto"/>
      </w:divBdr>
    </w:div>
    <w:div w:id="398359500">
      <w:bodyDiv w:val="1"/>
      <w:marLeft w:val="0"/>
      <w:marRight w:val="0"/>
      <w:marTop w:val="0"/>
      <w:marBottom w:val="0"/>
      <w:divBdr>
        <w:top w:val="none" w:sz="0" w:space="0" w:color="auto"/>
        <w:left w:val="none" w:sz="0" w:space="0" w:color="auto"/>
        <w:bottom w:val="none" w:sz="0" w:space="0" w:color="auto"/>
        <w:right w:val="none" w:sz="0" w:space="0" w:color="auto"/>
      </w:divBdr>
    </w:div>
    <w:div w:id="398552781">
      <w:bodyDiv w:val="1"/>
      <w:marLeft w:val="0"/>
      <w:marRight w:val="0"/>
      <w:marTop w:val="0"/>
      <w:marBottom w:val="0"/>
      <w:divBdr>
        <w:top w:val="none" w:sz="0" w:space="0" w:color="auto"/>
        <w:left w:val="none" w:sz="0" w:space="0" w:color="auto"/>
        <w:bottom w:val="none" w:sz="0" w:space="0" w:color="auto"/>
        <w:right w:val="none" w:sz="0" w:space="0" w:color="auto"/>
      </w:divBdr>
    </w:div>
    <w:div w:id="398866243">
      <w:bodyDiv w:val="1"/>
      <w:marLeft w:val="0"/>
      <w:marRight w:val="0"/>
      <w:marTop w:val="0"/>
      <w:marBottom w:val="0"/>
      <w:divBdr>
        <w:top w:val="none" w:sz="0" w:space="0" w:color="auto"/>
        <w:left w:val="none" w:sz="0" w:space="0" w:color="auto"/>
        <w:bottom w:val="none" w:sz="0" w:space="0" w:color="auto"/>
        <w:right w:val="none" w:sz="0" w:space="0" w:color="auto"/>
      </w:divBdr>
    </w:div>
    <w:div w:id="399711595">
      <w:bodyDiv w:val="1"/>
      <w:marLeft w:val="0"/>
      <w:marRight w:val="0"/>
      <w:marTop w:val="0"/>
      <w:marBottom w:val="0"/>
      <w:divBdr>
        <w:top w:val="none" w:sz="0" w:space="0" w:color="auto"/>
        <w:left w:val="none" w:sz="0" w:space="0" w:color="auto"/>
        <w:bottom w:val="none" w:sz="0" w:space="0" w:color="auto"/>
        <w:right w:val="none" w:sz="0" w:space="0" w:color="auto"/>
      </w:divBdr>
    </w:div>
    <w:div w:id="399914188">
      <w:bodyDiv w:val="1"/>
      <w:marLeft w:val="0"/>
      <w:marRight w:val="0"/>
      <w:marTop w:val="0"/>
      <w:marBottom w:val="0"/>
      <w:divBdr>
        <w:top w:val="none" w:sz="0" w:space="0" w:color="auto"/>
        <w:left w:val="none" w:sz="0" w:space="0" w:color="auto"/>
        <w:bottom w:val="none" w:sz="0" w:space="0" w:color="auto"/>
        <w:right w:val="none" w:sz="0" w:space="0" w:color="auto"/>
      </w:divBdr>
    </w:div>
    <w:div w:id="400639152">
      <w:bodyDiv w:val="1"/>
      <w:marLeft w:val="0"/>
      <w:marRight w:val="0"/>
      <w:marTop w:val="0"/>
      <w:marBottom w:val="0"/>
      <w:divBdr>
        <w:top w:val="none" w:sz="0" w:space="0" w:color="auto"/>
        <w:left w:val="none" w:sz="0" w:space="0" w:color="auto"/>
        <w:bottom w:val="none" w:sz="0" w:space="0" w:color="auto"/>
        <w:right w:val="none" w:sz="0" w:space="0" w:color="auto"/>
      </w:divBdr>
    </w:div>
    <w:div w:id="400837307">
      <w:bodyDiv w:val="1"/>
      <w:marLeft w:val="0"/>
      <w:marRight w:val="0"/>
      <w:marTop w:val="0"/>
      <w:marBottom w:val="0"/>
      <w:divBdr>
        <w:top w:val="none" w:sz="0" w:space="0" w:color="auto"/>
        <w:left w:val="none" w:sz="0" w:space="0" w:color="auto"/>
        <w:bottom w:val="none" w:sz="0" w:space="0" w:color="auto"/>
        <w:right w:val="none" w:sz="0" w:space="0" w:color="auto"/>
      </w:divBdr>
    </w:div>
    <w:div w:id="401296206">
      <w:bodyDiv w:val="1"/>
      <w:marLeft w:val="0"/>
      <w:marRight w:val="0"/>
      <w:marTop w:val="0"/>
      <w:marBottom w:val="0"/>
      <w:divBdr>
        <w:top w:val="none" w:sz="0" w:space="0" w:color="auto"/>
        <w:left w:val="none" w:sz="0" w:space="0" w:color="auto"/>
        <w:bottom w:val="none" w:sz="0" w:space="0" w:color="auto"/>
        <w:right w:val="none" w:sz="0" w:space="0" w:color="auto"/>
      </w:divBdr>
    </w:div>
    <w:div w:id="401297132">
      <w:bodyDiv w:val="1"/>
      <w:marLeft w:val="0"/>
      <w:marRight w:val="0"/>
      <w:marTop w:val="0"/>
      <w:marBottom w:val="0"/>
      <w:divBdr>
        <w:top w:val="none" w:sz="0" w:space="0" w:color="auto"/>
        <w:left w:val="none" w:sz="0" w:space="0" w:color="auto"/>
        <w:bottom w:val="none" w:sz="0" w:space="0" w:color="auto"/>
        <w:right w:val="none" w:sz="0" w:space="0" w:color="auto"/>
      </w:divBdr>
    </w:div>
    <w:div w:id="401955095">
      <w:bodyDiv w:val="1"/>
      <w:marLeft w:val="0"/>
      <w:marRight w:val="0"/>
      <w:marTop w:val="0"/>
      <w:marBottom w:val="0"/>
      <w:divBdr>
        <w:top w:val="none" w:sz="0" w:space="0" w:color="auto"/>
        <w:left w:val="none" w:sz="0" w:space="0" w:color="auto"/>
        <w:bottom w:val="none" w:sz="0" w:space="0" w:color="auto"/>
        <w:right w:val="none" w:sz="0" w:space="0" w:color="auto"/>
      </w:divBdr>
    </w:div>
    <w:div w:id="403265310">
      <w:bodyDiv w:val="1"/>
      <w:marLeft w:val="0"/>
      <w:marRight w:val="0"/>
      <w:marTop w:val="0"/>
      <w:marBottom w:val="0"/>
      <w:divBdr>
        <w:top w:val="none" w:sz="0" w:space="0" w:color="auto"/>
        <w:left w:val="none" w:sz="0" w:space="0" w:color="auto"/>
        <w:bottom w:val="none" w:sz="0" w:space="0" w:color="auto"/>
        <w:right w:val="none" w:sz="0" w:space="0" w:color="auto"/>
      </w:divBdr>
    </w:div>
    <w:div w:id="403770143">
      <w:bodyDiv w:val="1"/>
      <w:marLeft w:val="0"/>
      <w:marRight w:val="0"/>
      <w:marTop w:val="0"/>
      <w:marBottom w:val="0"/>
      <w:divBdr>
        <w:top w:val="none" w:sz="0" w:space="0" w:color="auto"/>
        <w:left w:val="none" w:sz="0" w:space="0" w:color="auto"/>
        <w:bottom w:val="none" w:sz="0" w:space="0" w:color="auto"/>
        <w:right w:val="none" w:sz="0" w:space="0" w:color="auto"/>
      </w:divBdr>
    </w:div>
    <w:div w:id="403844444">
      <w:bodyDiv w:val="1"/>
      <w:marLeft w:val="0"/>
      <w:marRight w:val="0"/>
      <w:marTop w:val="0"/>
      <w:marBottom w:val="0"/>
      <w:divBdr>
        <w:top w:val="none" w:sz="0" w:space="0" w:color="auto"/>
        <w:left w:val="none" w:sz="0" w:space="0" w:color="auto"/>
        <w:bottom w:val="none" w:sz="0" w:space="0" w:color="auto"/>
        <w:right w:val="none" w:sz="0" w:space="0" w:color="auto"/>
      </w:divBdr>
    </w:div>
    <w:div w:id="404646527">
      <w:bodyDiv w:val="1"/>
      <w:marLeft w:val="0"/>
      <w:marRight w:val="0"/>
      <w:marTop w:val="0"/>
      <w:marBottom w:val="0"/>
      <w:divBdr>
        <w:top w:val="none" w:sz="0" w:space="0" w:color="auto"/>
        <w:left w:val="none" w:sz="0" w:space="0" w:color="auto"/>
        <w:bottom w:val="none" w:sz="0" w:space="0" w:color="auto"/>
        <w:right w:val="none" w:sz="0" w:space="0" w:color="auto"/>
      </w:divBdr>
    </w:div>
    <w:div w:id="405146728">
      <w:bodyDiv w:val="1"/>
      <w:marLeft w:val="0"/>
      <w:marRight w:val="0"/>
      <w:marTop w:val="0"/>
      <w:marBottom w:val="0"/>
      <w:divBdr>
        <w:top w:val="none" w:sz="0" w:space="0" w:color="auto"/>
        <w:left w:val="none" w:sz="0" w:space="0" w:color="auto"/>
        <w:bottom w:val="none" w:sz="0" w:space="0" w:color="auto"/>
        <w:right w:val="none" w:sz="0" w:space="0" w:color="auto"/>
      </w:divBdr>
    </w:div>
    <w:div w:id="405341429">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05804737">
      <w:bodyDiv w:val="1"/>
      <w:marLeft w:val="0"/>
      <w:marRight w:val="0"/>
      <w:marTop w:val="0"/>
      <w:marBottom w:val="0"/>
      <w:divBdr>
        <w:top w:val="none" w:sz="0" w:space="0" w:color="auto"/>
        <w:left w:val="none" w:sz="0" w:space="0" w:color="auto"/>
        <w:bottom w:val="none" w:sz="0" w:space="0" w:color="auto"/>
        <w:right w:val="none" w:sz="0" w:space="0" w:color="auto"/>
      </w:divBdr>
    </w:div>
    <w:div w:id="405807661">
      <w:bodyDiv w:val="1"/>
      <w:marLeft w:val="0"/>
      <w:marRight w:val="0"/>
      <w:marTop w:val="0"/>
      <w:marBottom w:val="0"/>
      <w:divBdr>
        <w:top w:val="none" w:sz="0" w:space="0" w:color="auto"/>
        <w:left w:val="none" w:sz="0" w:space="0" w:color="auto"/>
        <w:bottom w:val="none" w:sz="0" w:space="0" w:color="auto"/>
        <w:right w:val="none" w:sz="0" w:space="0" w:color="auto"/>
      </w:divBdr>
    </w:div>
    <w:div w:id="405954938">
      <w:bodyDiv w:val="1"/>
      <w:marLeft w:val="0"/>
      <w:marRight w:val="0"/>
      <w:marTop w:val="0"/>
      <w:marBottom w:val="0"/>
      <w:divBdr>
        <w:top w:val="none" w:sz="0" w:space="0" w:color="auto"/>
        <w:left w:val="none" w:sz="0" w:space="0" w:color="auto"/>
        <w:bottom w:val="none" w:sz="0" w:space="0" w:color="auto"/>
        <w:right w:val="none" w:sz="0" w:space="0" w:color="auto"/>
      </w:divBdr>
    </w:div>
    <w:div w:id="405957111">
      <w:bodyDiv w:val="1"/>
      <w:marLeft w:val="0"/>
      <w:marRight w:val="0"/>
      <w:marTop w:val="0"/>
      <w:marBottom w:val="0"/>
      <w:divBdr>
        <w:top w:val="none" w:sz="0" w:space="0" w:color="auto"/>
        <w:left w:val="none" w:sz="0" w:space="0" w:color="auto"/>
        <w:bottom w:val="none" w:sz="0" w:space="0" w:color="auto"/>
        <w:right w:val="none" w:sz="0" w:space="0" w:color="auto"/>
      </w:divBdr>
    </w:div>
    <w:div w:id="406028135">
      <w:bodyDiv w:val="1"/>
      <w:marLeft w:val="0"/>
      <w:marRight w:val="0"/>
      <w:marTop w:val="0"/>
      <w:marBottom w:val="0"/>
      <w:divBdr>
        <w:top w:val="none" w:sz="0" w:space="0" w:color="auto"/>
        <w:left w:val="none" w:sz="0" w:space="0" w:color="auto"/>
        <w:bottom w:val="none" w:sz="0" w:space="0" w:color="auto"/>
        <w:right w:val="none" w:sz="0" w:space="0" w:color="auto"/>
      </w:divBdr>
    </w:div>
    <w:div w:id="406154164">
      <w:bodyDiv w:val="1"/>
      <w:marLeft w:val="0"/>
      <w:marRight w:val="0"/>
      <w:marTop w:val="0"/>
      <w:marBottom w:val="0"/>
      <w:divBdr>
        <w:top w:val="none" w:sz="0" w:space="0" w:color="auto"/>
        <w:left w:val="none" w:sz="0" w:space="0" w:color="auto"/>
        <w:bottom w:val="none" w:sz="0" w:space="0" w:color="auto"/>
        <w:right w:val="none" w:sz="0" w:space="0" w:color="auto"/>
      </w:divBdr>
    </w:div>
    <w:div w:id="406617447">
      <w:bodyDiv w:val="1"/>
      <w:marLeft w:val="0"/>
      <w:marRight w:val="0"/>
      <w:marTop w:val="0"/>
      <w:marBottom w:val="0"/>
      <w:divBdr>
        <w:top w:val="none" w:sz="0" w:space="0" w:color="auto"/>
        <w:left w:val="none" w:sz="0" w:space="0" w:color="auto"/>
        <w:bottom w:val="none" w:sz="0" w:space="0" w:color="auto"/>
        <w:right w:val="none" w:sz="0" w:space="0" w:color="auto"/>
      </w:divBdr>
    </w:div>
    <w:div w:id="407263510">
      <w:bodyDiv w:val="1"/>
      <w:marLeft w:val="0"/>
      <w:marRight w:val="0"/>
      <w:marTop w:val="0"/>
      <w:marBottom w:val="0"/>
      <w:divBdr>
        <w:top w:val="none" w:sz="0" w:space="0" w:color="auto"/>
        <w:left w:val="none" w:sz="0" w:space="0" w:color="auto"/>
        <w:bottom w:val="none" w:sz="0" w:space="0" w:color="auto"/>
        <w:right w:val="none" w:sz="0" w:space="0" w:color="auto"/>
      </w:divBdr>
    </w:div>
    <w:div w:id="407582081">
      <w:bodyDiv w:val="1"/>
      <w:marLeft w:val="0"/>
      <w:marRight w:val="0"/>
      <w:marTop w:val="0"/>
      <w:marBottom w:val="0"/>
      <w:divBdr>
        <w:top w:val="none" w:sz="0" w:space="0" w:color="auto"/>
        <w:left w:val="none" w:sz="0" w:space="0" w:color="auto"/>
        <w:bottom w:val="none" w:sz="0" w:space="0" w:color="auto"/>
        <w:right w:val="none" w:sz="0" w:space="0" w:color="auto"/>
      </w:divBdr>
    </w:div>
    <w:div w:id="408117348">
      <w:bodyDiv w:val="1"/>
      <w:marLeft w:val="0"/>
      <w:marRight w:val="0"/>
      <w:marTop w:val="0"/>
      <w:marBottom w:val="0"/>
      <w:divBdr>
        <w:top w:val="none" w:sz="0" w:space="0" w:color="auto"/>
        <w:left w:val="none" w:sz="0" w:space="0" w:color="auto"/>
        <w:bottom w:val="none" w:sz="0" w:space="0" w:color="auto"/>
        <w:right w:val="none" w:sz="0" w:space="0" w:color="auto"/>
      </w:divBdr>
    </w:div>
    <w:div w:id="408649099">
      <w:bodyDiv w:val="1"/>
      <w:marLeft w:val="0"/>
      <w:marRight w:val="0"/>
      <w:marTop w:val="0"/>
      <w:marBottom w:val="0"/>
      <w:divBdr>
        <w:top w:val="none" w:sz="0" w:space="0" w:color="auto"/>
        <w:left w:val="none" w:sz="0" w:space="0" w:color="auto"/>
        <w:bottom w:val="none" w:sz="0" w:space="0" w:color="auto"/>
        <w:right w:val="none" w:sz="0" w:space="0" w:color="auto"/>
      </w:divBdr>
    </w:div>
    <w:div w:id="408818531">
      <w:bodyDiv w:val="1"/>
      <w:marLeft w:val="0"/>
      <w:marRight w:val="0"/>
      <w:marTop w:val="0"/>
      <w:marBottom w:val="0"/>
      <w:divBdr>
        <w:top w:val="none" w:sz="0" w:space="0" w:color="auto"/>
        <w:left w:val="none" w:sz="0" w:space="0" w:color="auto"/>
        <w:bottom w:val="none" w:sz="0" w:space="0" w:color="auto"/>
        <w:right w:val="none" w:sz="0" w:space="0" w:color="auto"/>
      </w:divBdr>
    </w:div>
    <w:div w:id="409231887">
      <w:bodyDiv w:val="1"/>
      <w:marLeft w:val="0"/>
      <w:marRight w:val="0"/>
      <w:marTop w:val="0"/>
      <w:marBottom w:val="0"/>
      <w:divBdr>
        <w:top w:val="none" w:sz="0" w:space="0" w:color="auto"/>
        <w:left w:val="none" w:sz="0" w:space="0" w:color="auto"/>
        <w:bottom w:val="none" w:sz="0" w:space="0" w:color="auto"/>
        <w:right w:val="none" w:sz="0" w:space="0" w:color="auto"/>
      </w:divBdr>
    </w:div>
    <w:div w:id="411244595">
      <w:bodyDiv w:val="1"/>
      <w:marLeft w:val="0"/>
      <w:marRight w:val="0"/>
      <w:marTop w:val="0"/>
      <w:marBottom w:val="0"/>
      <w:divBdr>
        <w:top w:val="none" w:sz="0" w:space="0" w:color="auto"/>
        <w:left w:val="none" w:sz="0" w:space="0" w:color="auto"/>
        <w:bottom w:val="none" w:sz="0" w:space="0" w:color="auto"/>
        <w:right w:val="none" w:sz="0" w:space="0" w:color="auto"/>
      </w:divBdr>
    </w:div>
    <w:div w:id="411589374">
      <w:bodyDiv w:val="1"/>
      <w:marLeft w:val="0"/>
      <w:marRight w:val="0"/>
      <w:marTop w:val="0"/>
      <w:marBottom w:val="0"/>
      <w:divBdr>
        <w:top w:val="none" w:sz="0" w:space="0" w:color="auto"/>
        <w:left w:val="none" w:sz="0" w:space="0" w:color="auto"/>
        <w:bottom w:val="none" w:sz="0" w:space="0" w:color="auto"/>
        <w:right w:val="none" w:sz="0" w:space="0" w:color="auto"/>
      </w:divBdr>
    </w:div>
    <w:div w:id="411856059">
      <w:bodyDiv w:val="1"/>
      <w:marLeft w:val="0"/>
      <w:marRight w:val="0"/>
      <w:marTop w:val="0"/>
      <w:marBottom w:val="0"/>
      <w:divBdr>
        <w:top w:val="none" w:sz="0" w:space="0" w:color="auto"/>
        <w:left w:val="none" w:sz="0" w:space="0" w:color="auto"/>
        <w:bottom w:val="none" w:sz="0" w:space="0" w:color="auto"/>
        <w:right w:val="none" w:sz="0" w:space="0" w:color="auto"/>
      </w:divBdr>
    </w:div>
    <w:div w:id="411897359">
      <w:bodyDiv w:val="1"/>
      <w:marLeft w:val="0"/>
      <w:marRight w:val="0"/>
      <w:marTop w:val="0"/>
      <w:marBottom w:val="0"/>
      <w:divBdr>
        <w:top w:val="none" w:sz="0" w:space="0" w:color="auto"/>
        <w:left w:val="none" w:sz="0" w:space="0" w:color="auto"/>
        <w:bottom w:val="none" w:sz="0" w:space="0" w:color="auto"/>
        <w:right w:val="none" w:sz="0" w:space="0" w:color="auto"/>
      </w:divBdr>
    </w:div>
    <w:div w:id="411973839">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2359158">
      <w:bodyDiv w:val="1"/>
      <w:marLeft w:val="0"/>
      <w:marRight w:val="0"/>
      <w:marTop w:val="0"/>
      <w:marBottom w:val="0"/>
      <w:divBdr>
        <w:top w:val="none" w:sz="0" w:space="0" w:color="auto"/>
        <w:left w:val="none" w:sz="0" w:space="0" w:color="auto"/>
        <w:bottom w:val="none" w:sz="0" w:space="0" w:color="auto"/>
        <w:right w:val="none" w:sz="0" w:space="0" w:color="auto"/>
      </w:divBdr>
    </w:div>
    <w:div w:id="412893778">
      <w:bodyDiv w:val="1"/>
      <w:marLeft w:val="0"/>
      <w:marRight w:val="0"/>
      <w:marTop w:val="0"/>
      <w:marBottom w:val="0"/>
      <w:divBdr>
        <w:top w:val="none" w:sz="0" w:space="0" w:color="auto"/>
        <w:left w:val="none" w:sz="0" w:space="0" w:color="auto"/>
        <w:bottom w:val="none" w:sz="0" w:space="0" w:color="auto"/>
        <w:right w:val="none" w:sz="0" w:space="0" w:color="auto"/>
      </w:divBdr>
    </w:div>
    <w:div w:id="412901409">
      <w:bodyDiv w:val="1"/>
      <w:marLeft w:val="0"/>
      <w:marRight w:val="0"/>
      <w:marTop w:val="0"/>
      <w:marBottom w:val="0"/>
      <w:divBdr>
        <w:top w:val="none" w:sz="0" w:space="0" w:color="auto"/>
        <w:left w:val="none" w:sz="0" w:space="0" w:color="auto"/>
        <w:bottom w:val="none" w:sz="0" w:space="0" w:color="auto"/>
        <w:right w:val="none" w:sz="0" w:space="0" w:color="auto"/>
      </w:divBdr>
    </w:div>
    <w:div w:id="413212197">
      <w:bodyDiv w:val="1"/>
      <w:marLeft w:val="0"/>
      <w:marRight w:val="0"/>
      <w:marTop w:val="0"/>
      <w:marBottom w:val="0"/>
      <w:divBdr>
        <w:top w:val="none" w:sz="0" w:space="0" w:color="auto"/>
        <w:left w:val="none" w:sz="0" w:space="0" w:color="auto"/>
        <w:bottom w:val="none" w:sz="0" w:space="0" w:color="auto"/>
        <w:right w:val="none" w:sz="0" w:space="0" w:color="auto"/>
      </w:divBdr>
    </w:div>
    <w:div w:id="413402621">
      <w:bodyDiv w:val="1"/>
      <w:marLeft w:val="0"/>
      <w:marRight w:val="0"/>
      <w:marTop w:val="0"/>
      <w:marBottom w:val="0"/>
      <w:divBdr>
        <w:top w:val="none" w:sz="0" w:space="0" w:color="auto"/>
        <w:left w:val="none" w:sz="0" w:space="0" w:color="auto"/>
        <w:bottom w:val="none" w:sz="0" w:space="0" w:color="auto"/>
        <w:right w:val="none" w:sz="0" w:space="0" w:color="auto"/>
      </w:divBdr>
    </w:div>
    <w:div w:id="413432318">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3747100">
      <w:bodyDiv w:val="1"/>
      <w:marLeft w:val="0"/>
      <w:marRight w:val="0"/>
      <w:marTop w:val="0"/>
      <w:marBottom w:val="0"/>
      <w:divBdr>
        <w:top w:val="none" w:sz="0" w:space="0" w:color="auto"/>
        <w:left w:val="none" w:sz="0" w:space="0" w:color="auto"/>
        <w:bottom w:val="none" w:sz="0" w:space="0" w:color="auto"/>
        <w:right w:val="none" w:sz="0" w:space="0" w:color="auto"/>
      </w:divBdr>
    </w:div>
    <w:div w:id="413942603">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4128213">
      <w:bodyDiv w:val="1"/>
      <w:marLeft w:val="0"/>
      <w:marRight w:val="0"/>
      <w:marTop w:val="0"/>
      <w:marBottom w:val="0"/>
      <w:divBdr>
        <w:top w:val="none" w:sz="0" w:space="0" w:color="auto"/>
        <w:left w:val="none" w:sz="0" w:space="0" w:color="auto"/>
        <w:bottom w:val="none" w:sz="0" w:space="0" w:color="auto"/>
        <w:right w:val="none" w:sz="0" w:space="0" w:color="auto"/>
      </w:divBdr>
    </w:div>
    <w:div w:id="414285103">
      <w:bodyDiv w:val="1"/>
      <w:marLeft w:val="0"/>
      <w:marRight w:val="0"/>
      <w:marTop w:val="0"/>
      <w:marBottom w:val="0"/>
      <w:divBdr>
        <w:top w:val="none" w:sz="0" w:space="0" w:color="auto"/>
        <w:left w:val="none" w:sz="0" w:space="0" w:color="auto"/>
        <w:bottom w:val="none" w:sz="0" w:space="0" w:color="auto"/>
        <w:right w:val="none" w:sz="0" w:space="0" w:color="auto"/>
      </w:divBdr>
    </w:div>
    <w:div w:id="414328540">
      <w:bodyDiv w:val="1"/>
      <w:marLeft w:val="0"/>
      <w:marRight w:val="0"/>
      <w:marTop w:val="0"/>
      <w:marBottom w:val="0"/>
      <w:divBdr>
        <w:top w:val="none" w:sz="0" w:space="0" w:color="auto"/>
        <w:left w:val="none" w:sz="0" w:space="0" w:color="auto"/>
        <w:bottom w:val="none" w:sz="0" w:space="0" w:color="auto"/>
        <w:right w:val="none" w:sz="0" w:space="0" w:color="auto"/>
      </w:divBdr>
    </w:div>
    <w:div w:id="414515702">
      <w:bodyDiv w:val="1"/>
      <w:marLeft w:val="0"/>
      <w:marRight w:val="0"/>
      <w:marTop w:val="0"/>
      <w:marBottom w:val="0"/>
      <w:divBdr>
        <w:top w:val="none" w:sz="0" w:space="0" w:color="auto"/>
        <w:left w:val="none" w:sz="0" w:space="0" w:color="auto"/>
        <w:bottom w:val="none" w:sz="0" w:space="0" w:color="auto"/>
        <w:right w:val="none" w:sz="0" w:space="0" w:color="auto"/>
      </w:divBdr>
    </w:div>
    <w:div w:id="414592358">
      <w:bodyDiv w:val="1"/>
      <w:marLeft w:val="0"/>
      <w:marRight w:val="0"/>
      <w:marTop w:val="0"/>
      <w:marBottom w:val="0"/>
      <w:divBdr>
        <w:top w:val="none" w:sz="0" w:space="0" w:color="auto"/>
        <w:left w:val="none" w:sz="0" w:space="0" w:color="auto"/>
        <w:bottom w:val="none" w:sz="0" w:space="0" w:color="auto"/>
        <w:right w:val="none" w:sz="0" w:space="0" w:color="auto"/>
      </w:divBdr>
    </w:div>
    <w:div w:id="414784333">
      <w:bodyDiv w:val="1"/>
      <w:marLeft w:val="0"/>
      <w:marRight w:val="0"/>
      <w:marTop w:val="0"/>
      <w:marBottom w:val="0"/>
      <w:divBdr>
        <w:top w:val="none" w:sz="0" w:space="0" w:color="auto"/>
        <w:left w:val="none" w:sz="0" w:space="0" w:color="auto"/>
        <w:bottom w:val="none" w:sz="0" w:space="0" w:color="auto"/>
        <w:right w:val="none" w:sz="0" w:space="0" w:color="auto"/>
      </w:divBdr>
    </w:div>
    <w:div w:id="415442587">
      <w:bodyDiv w:val="1"/>
      <w:marLeft w:val="0"/>
      <w:marRight w:val="0"/>
      <w:marTop w:val="0"/>
      <w:marBottom w:val="0"/>
      <w:divBdr>
        <w:top w:val="none" w:sz="0" w:space="0" w:color="auto"/>
        <w:left w:val="none" w:sz="0" w:space="0" w:color="auto"/>
        <w:bottom w:val="none" w:sz="0" w:space="0" w:color="auto"/>
        <w:right w:val="none" w:sz="0" w:space="0" w:color="auto"/>
      </w:divBdr>
    </w:div>
    <w:div w:id="416563263">
      <w:bodyDiv w:val="1"/>
      <w:marLeft w:val="0"/>
      <w:marRight w:val="0"/>
      <w:marTop w:val="0"/>
      <w:marBottom w:val="0"/>
      <w:divBdr>
        <w:top w:val="none" w:sz="0" w:space="0" w:color="auto"/>
        <w:left w:val="none" w:sz="0" w:space="0" w:color="auto"/>
        <w:bottom w:val="none" w:sz="0" w:space="0" w:color="auto"/>
        <w:right w:val="none" w:sz="0" w:space="0" w:color="auto"/>
      </w:divBdr>
    </w:div>
    <w:div w:id="416633987">
      <w:bodyDiv w:val="1"/>
      <w:marLeft w:val="0"/>
      <w:marRight w:val="0"/>
      <w:marTop w:val="0"/>
      <w:marBottom w:val="0"/>
      <w:divBdr>
        <w:top w:val="none" w:sz="0" w:space="0" w:color="auto"/>
        <w:left w:val="none" w:sz="0" w:space="0" w:color="auto"/>
        <w:bottom w:val="none" w:sz="0" w:space="0" w:color="auto"/>
        <w:right w:val="none" w:sz="0" w:space="0" w:color="auto"/>
      </w:divBdr>
    </w:div>
    <w:div w:id="416951150">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7556860">
      <w:bodyDiv w:val="1"/>
      <w:marLeft w:val="0"/>
      <w:marRight w:val="0"/>
      <w:marTop w:val="0"/>
      <w:marBottom w:val="0"/>
      <w:divBdr>
        <w:top w:val="none" w:sz="0" w:space="0" w:color="auto"/>
        <w:left w:val="none" w:sz="0" w:space="0" w:color="auto"/>
        <w:bottom w:val="none" w:sz="0" w:space="0" w:color="auto"/>
        <w:right w:val="none" w:sz="0" w:space="0" w:color="auto"/>
      </w:divBdr>
    </w:div>
    <w:div w:id="417603684">
      <w:bodyDiv w:val="1"/>
      <w:marLeft w:val="0"/>
      <w:marRight w:val="0"/>
      <w:marTop w:val="0"/>
      <w:marBottom w:val="0"/>
      <w:divBdr>
        <w:top w:val="none" w:sz="0" w:space="0" w:color="auto"/>
        <w:left w:val="none" w:sz="0" w:space="0" w:color="auto"/>
        <w:bottom w:val="none" w:sz="0" w:space="0" w:color="auto"/>
        <w:right w:val="none" w:sz="0" w:space="0" w:color="auto"/>
      </w:divBdr>
    </w:div>
    <w:div w:id="417947112">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18791099">
      <w:bodyDiv w:val="1"/>
      <w:marLeft w:val="0"/>
      <w:marRight w:val="0"/>
      <w:marTop w:val="0"/>
      <w:marBottom w:val="0"/>
      <w:divBdr>
        <w:top w:val="none" w:sz="0" w:space="0" w:color="auto"/>
        <w:left w:val="none" w:sz="0" w:space="0" w:color="auto"/>
        <w:bottom w:val="none" w:sz="0" w:space="0" w:color="auto"/>
        <w:right w:val="none" w:sz="0" w:space="0" w:color="auto"/>
      </w:divBdr>
    </w:div>
    <w:div w:id="418792764">
      <w:bodyDiv w:val="1"/>
      <w:marLeft w:val="0"/>
      <w:marRight w:val="0"/>
      <w:marTop w:val="0"/>
      <w:marBottom w:val="0"/>
      <w:divBdr>
        <w:top w:val="none" w:sz="0" w:space="0" w:color="auto"/>
        <w:left w:val="none" w:sz="0" w:space="0" w:color="auto"/>
        <w:bottom w:val="none" w:sz="0" w:space="0" w:color="auto"/>
        <w:right w:val="none" w:sz="0" w:space="0" w:color="auto"/>
      </w:divBdr>
    </w:div>
    <w:div w:id="418914350">
      <w:bodyDiv w:val="1"/>
      <w:marLeft w:val="0"/>
      <w:marRight w:val="0"/>
      <w:marTop w:val="0"/>
      <w:marBottom w:val="0"/>
      <w:divBdr>
        <w:top w:val="none" w:sz="0" w:space="0" w:color="auto"/>
        <w:left w:val="none" w:sz="0" w:space="0" w:color="auto"/>
        <w:bottom w:val="none" w:sz="0" w:space="0" w:color="auto"/>
        <w:right w:val="none" w:sz="0" w:space="0" w:color="auto"/>
      </w:divBdr>
    </w:div>
    <w:div w:id="418916858">
      <w:bodyDiv w:val="1"/>
      <w:marLeft w:val="0"/>
      <w:marRight w:val="0"/>
      <w:marTop w:val="0"/>
      <w:marBottom w:val="0"/>
      <w:divBdr>
        <w:top w:val="none" w:sz="0" w:space="0" w:color="auto"/>
        <w:left w:val="none" w:sz="0" w:space="0" w:color="auto"/>
        <w:bottom w:val="none" w:sz="0" w:space="0" w:color="auto"/>
        <w:right w:val="none" w:sz="0" w:space="0" w:color="auto"/>
      </w:divBdr>
    </w:div>
    <w:div w:id="419177592">
      <w:bodyDiv w:val="1"/>
      <w:marLeft w:val="0"/>
      <w:marRight w:val="0"/>
      <w:marTop w:val="0"/>
      <w:marBottom w:val="0"/>
      <w:divBdr>
        <w:top w:val="none" w:sz="0" w:space="0" w:color="auto"/>
        <w:left w:val="none" w:sz="0" w:space="0" w:color="auto"/>
        <w:bottom w:val="none" w:sz="0" w:space="0" w:color="auto"/>
        <w:right w:val="none" w:sz="0" w:space="0" w:color="auto"/>
      </w:divBdr>
    </w:div>
    <w:div w:id="419445233">
      <w:bodyDiv w:val="1"/>
      <w:marLeft w:val="0"/>
      <w:marRight w:val="0"/>
      <w:marTop w:val="0"/>
      <w:marBottom w:val="0"/>
      <w:divBdr>
        <w:top w:val="none" w:sz="0" w:space="0" w:color="auto"/>
        <w:left w:val="none" w:sz="0" w:space="0" w:color="auto"/>
        <w:bottom w:val="none" w:sz="0" w:space="0" w:color="auto"/>
        <w:right w:val="none" w:sz="0" w:space="0" w:color="auto"/>
      </w:divBdr>
    </w:div>
    <w:div w:id="419566466">
      <w:bodyDiv w:val="1"/>
      <w:marLeft w:val="0"/>
      <w:marRight w:val="0"/>
      <w:marTop w:val="0"/>
      <w:marBottom w:val="0"/>
      <w:divBdr>
        <w:top w:val="none" w:sz="0" w:space="0" w:color="auto"/>
        <w:left w:val="none" w:sz="0" w:space="0" w:color="auto"/>
        <w:bottom w:val="none" w:sz="0" w:space="0" w:color="auto"/>
        <w:right w:val="none" w:sz="0" w:space="0" w:color="auto"/>
      </w:divBdr>
    </w:div>
    <w:div w:id="419908554">
      <w:bodyDiv w:val="1"/>
      <w:marLeft w:val="0"/>
      <w:marRight w:val="0"/>
      <w:marTop w:val="0"/>
      <w:marBottom w:val="0"/>
      <w:divBdr>
        <w:top w:val="none" w:sz="0" w:space="0" w:color="auto"/>
        <w:left w:val="none" w:sz="0" w:space="0" w:color="auto"/>
        <w:bottom w:val="none" w:sz="0" w:space="0" w:color="auto"/>
        <w:right w:val="none" w:sz="0" w:space="0" w:color="auto"/>
      </w:divBdr>
    </w:div>
    <w:div w:id="420105731">
      <w:bodyDiv w:val="1"/>
      <w:marLeft w:val="0"/>
      <w:marRight w:val="0"/>
      <w:marTop w:val="0"/>
      <w:marBottom w:val="0"/>
      <w:divBdr>
        <w:top w:val="none" w:sz="0" w:space="0" w:color="auto"/>
        <w:left w:val="none" w:sz="0" w:space="0" w:color="auto"/>
        <w:bottom w:val="none" w:sz="0" w:space="0" w:color="auto"/>
        <w:right w:val="none" w:sz="0" w:space="0" w:color="auto"/>
      </w:divBdr>
    </w:div>
    <w:div w:id="420954380">
      <w:bodyDiv w:val="1"/>
      <w:marLeft w:val="0"/>
      <w:marRight w:val="0"/>
      <w:marTop w:val="0"/>
      <w:marBottom w:val="0"/>
      <w:divBdr>
        <w:top w:val="none" w:sz="0" w:space="0" w:color="auto"/>
        <w:left w:val="none" w:sz="0" w:space="0" w:color="auto"/>
        <w:bottom w:val="none" w:sz="0" w:space="0" w:color="auto"/>
        <w:right w:val="none" w:sz="0" w:space="0" w:color="auto"/>
      </w:divBdr>
    </w:div>
    <w:div w:id="421146091">
      <w:bodyDiv w:val="1"/>
      <w:marLeft w:val="0"/>
      <w:marRight w:val="0"/>
      <w:marTop w:val="0"/>
      <w:marBottom w:val="0"/>
      <w:divBdr>
        <w:top w:val="none" w:sz="0" w:space="0" w:color="auto"/>
        <w:left w:val="none" w:sz="0" w:space="0" w:color="auto"/>
        <w:bottom w:val="none" w:sz="0" w:space="0" w:color="auto"/>
        <w:right w:val="none" w:sz="0" w:space="0" w:color="auto"/>
      </w:divBdr>
    </w:div>
    <w:div w:id="421268931">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2454388">
      <w:bodyDiv w:val="1"/>
      <w:marLeft w:val="0"/>
      <w:marRight w:val="0"/>
      <w:marTop w:val="0"/>
      <w:marBottom w:val="0"/>
      <w:divBdr>
        <w:top w:val="none" w:sz="0" w:space="0" w:color="auto"/>
        <w:left w:val="none" w:sz="0" w:space="0" w:color="auto"/>
        <w:bottom w:val="none" w:sz="0" w:space="0" w:color="auto"/>
        <w:right w:val="none" w:sz="0" w:space="0" w:color="auto"/>
      </w:divBdr>
    </w:div>
    <w:div w:id="422803280">
      <w:bodyDiv w:val="1"/>
      <w:marLeft w:val="0"/>
      <w:marRight w:val="0"/>
      <w:marTop w:val="0"/>
      <w:marBottom w:val="0"/>
      <w:divBdr>
        <w:top w:val="none" w:sz="0" w:space="0" w:color="auto"/>
        <w:left w:val="none" w:sz="0" w:space="0" w:color="auto"/>
        <w:bottom w:val="none" w:sz="0" w:space="0" w:color="auto"/>
        <w:right w:val="none" w:sz="0" w:space="0" w:color="auto"/>
      </w:divBdr>
    </w:div>
    <w:div w:id="422996022">
      <w:bodyDiv w:val="1"/>
      <w:marLeft w:val="0"/>
      <w:marRight w:val="0"/>
      <w:marTop w:val="0"/>
      <w:marBottom w:val="0"/>
      <w:divBdr>
        <w:top w:val="none" w:sz="0" w:space="0" w:color="auto"/>
        <w:left w:val="none" w:sz="0" w:space="0" w:color="auto"/>
        <w:bottom w:val="none" w:sz="0" w:space="0" w:color="auto"/>
        <w:right w:val="none" w:sz="0" w:space="0" w:color="auto"/>
      </w:divBdr>
    </w:div>
    <w:div w:id="423234291">
      <w:bodyDiv w:val="1"/>
      <w:marLeft w:val="0"/>
      <w:marRight w:val="0"/>
      <w:marTop w:val="0"/>
      <w:marBottom w:val="0"/>
      <w:divBdr>
        <w:top w:val="none" w:sz="0" w:space="0" w:color="auto"/>
        <w:left w:val="none" w:sz="0" w:space="0" w:color="auto"/>
        <w:bottom w:val="none" w:sz="0" w:space="0" w:color="auto"/>
        <w:right w:val="none" w:sz="0" w:space="0" w:color="auto"/>
      </w:divBdr>
    </w:div>
    <w:div w:id="423502941">
      <w:bodyDiv w:val="1"/>
      <w:marLeft w:val="0"/>
      <w:marRight w:val="0"/>
      <w:marTop w:val="0"/>
      <w:marBottom w:val="0"/>
      <w:divBdr>
        <w:top w:val="none" w:sz="0" w:space="0" w:color="auto"/>
        <w:left w:val="none" w:sz="0" w:space="0" w:color="auto"/>
        <w:bottom w:val="none" w:sz="0" w:space="0" w:color="auto"/>
        <w:right w:val="none" w:sz="0" w:space="0" w:color="auto"/>
      </w:divBdr>
    </w:div>
    <w:div w:id="423645576">
      <w:bodyDiv w:val="1"/>
      <w:marLeft w:val="0"/>
      <w:marRight w:val="0"/>
      <w:marTop w:val="0"/>
      <w:marBottom w:val="0"/>
      <w:divBdr>
        <w:top w:val="none" w:sz="0" w:space="0" w:color="auto"/>
        <w:left w:val="none" w:sz="0" w:space="0" w:color="auto"/>
        <w:bottom w:val="none" w:sz="0" w:space="0" w:color="auto"/>
        <w:right w:val="none" w:sz="0" w:space="0" w:color="auto"/>
      </w:divBdr>
    </w:div>
    <w:div w:id="425226098">
      <w:bodyDiv w:val="1"/>
      <w:marLeft w:val="0"/>
      <w:marRight w:val="0"/>
      <w:marTop w:val="0"/>
      <w:marBottom w:val="0"/>
      <w:divBdr>
        <w:top w:val="none" w:sz="0" w:space="0" w:color="auto"/>
        <w:left w:val="none" w:sz="0" w:space="0" w:color="auto"/>
        <w:bottom w:val="none" w:sz="0" w:space="0" w:color="auto"/>
        <w:right w:val="none" w:sz="0" w:space="0" w:color="auto"/>
      </w:divBdr>
    </w:div>
    <w:div w:id="425661202">
      <w:bodyDiv w:val="1"/>
      <w:marLeft w:val="0"/>
      <w:marRight w:val="0"/>
      <w:marTop w:val="0"/>
      <w:marBottom w:val="0"/>
      <w:divBdr>
        <w:top w:val="none" w:sz="0" w:space="0" w:color="auto"/>
        <w:left w:val="none" w:sz="0" w:space="0" w:color="auto"/>
        <w:bottom w:val="none" w:sz="0" w:space="0" w:color="auto"/>
        <w:right w:val="none" w:sz="0" w:space="0" w:color="auto"/>
      </w:divBdr>
    </w:div>
    <w:div w:id="425728752">
      <w:bodyDiv w:val="1"/>
      <w:marLeft w:val="0"/>
      <w:marRight w:val="0"/>
      <w:marTop w:val="0"/>
      <w:marBottom w:val="0"/>
      <w:divBdr>
        <w:top w:val="none" w:sz="0" w:space="0" w:color="auto"/>
        <w:left w:val="none" w:sz="0" w:space="0" w:color="auto"/>
        <w:bottom w:val="none" w:sz="0" w:space="0" w:color="auto"/>
        <w:right w:val="none" w:sz="0" w:space="0" w:color="auto"/>
      </w:divBdr>
    </w:div>
    <w:div w:id="425733656">
      <w:bodyDiv w:val="1"/>
      <w:marLeft w:val="0"/>
      <w:marRight w:val="0"/>
      <w:marTop w:val="0"/>
      <w:marBottom w:val="0"/>
      <w:divBdr>
        <w:top w:val="none" w:sz="0" w:space="0" w:color="auto"/>
        <w:left w:val="none" w:sz="0" w:space="0" w:color="auto"/>
        <w:bottom w:val="none" w:sz="0" w:space="0" w:color="auto"/>
        <w:right w:val="none" w:sz="0" w:space="0" w:color="auto"/>
      </w:divBdr>
    </w:div>
    <w:div w:id="425882730">
      <w:bodyDiv w:val="1"/>
      <w:marLeft w:val="0"/>
      <w:marRight w:val="0"/>
      <w:marTop w:val="0"/>
      <w:marBottom w:val="0"/>
      <w:divBdr>
        <w:top w:val="none" w:sz="0" w:space="0" w:color="auto"/>
        <w:left w:val="none" w:sz="0" w:space="0" w:color="auto"/>
        <w:bottom w:val="none" w:sz="0" w:space="0" w:color="auto"/>
        <w:right w:val="none" w:sz="0" w:space="0" w:color="auto"/>
      </w:divBdr>
    </w:div>
    <w:div w:id="426080939">
      <w:bodyDiv w:val="1"/>
      <w:marLeft w:val="0"/>
      <w:marRight w:val="0"/>
      <w:marTop w:val="0"/>
      <w:marBottom w:val="0"/>
      <w:divBdr>
        <w:top w:val="none" w:sz="0" w:space="0" w:color="auto"/>
        <w:left w:val="none" w:sz="0" w:space="0" w:color="auto"/>
        <w:bottom w:val="none" w:sz="0" w:space="0" w:color="auto"/>
        <w:right w:val="none" w:sz="0" w:space="0" w:color="auto"/>
      </w:divBdr>
    </w:div>
    <w:div w:id="426385507">
      <w:bodyDiv w:val="1"/>
      <w:marLeft w:val="0"/>
      <w:marRight w:val="0"/>
      <w:marTop w:val="0"/>
      <w:marBottom w:val="0"/>
      <w:divBdr>
        <w:top w:val="none" w:sz="0" w:space="0" w:color="auto"/>
        <w:left w:val="none" w:sz="0" w:space="0" w:color="auto"/>
        <w:bottom w:val="none" w:sz="0" w:space="0" w:color="auto"/>
        <w:right w:val="none" w:sz="0" w:space="0" w:color="auto"/>
      </w:divBdr>
    </w:div>
    <w:div w:id="426508708">
      <w:bodyDiv w:val="1"/>
      <w:marLeft w:val="0"/>
      <w:marRight w:val="0"/>
      <w:marTop w:val="0"/>
      <w:marBottom w:val="0"/>
      <w:divBdr>
        <w:top w:val="none" w:sz="0" w:space="0" w:color="auto"/>
        <w:left w:val="none" w:sz="0" w:space="0" w:color="auto"/>
        <w:bottom w:val="none" w:sz="0" w:space="0" w:color="auto"/>
        <w:right w:val="none" w:sz="0" w:space="0" w:color="auto"/>
      </w:divBdr>
    </w:div>
    <w:div w:id="426922747">
      <w:bodyDiv w:val="1"/>
      <w:marLeft w:val="0"/>
      <w:marRight w:val="0"/>
      <w:marTop w:val="0"/>
      <w:marBottom w:val="0"/>
      <w:divBdr>
        <w:top w:val="none" w:sz="0" w:space="0" w:color="auto"/>
        <w:left w:val="none" w:sz="0" w:space="0" w:color="auto"/>
        <w:bottom w:val="none" w:sz="0" w:space="0" w:color="auto"/>
        <w:right w:val="none" w:sz="0" w:space="0" w:color="auto"/>
      </w:divBdr>
    </w:div>
    <w:div w:id="427117121">
      <w:bodyDiv w:val="1"/>
      <w:marLeft w:val="0"/>
      <w:marRight w:val="0"/>
      <w:marTop w:val="0"/>
      <w:marBottom w:val="0"/>
      <w:divBdr>
        <w:top w:val="none" w:sz="0" w:space="0" w:color="auto"/>
        <w:left w:val="none" w:sz="0" w:space="0" w:color="auto"/>
        <w:bottom w:val="none" w:sz="0" w:space="0" w:color="auto"/>
        <w:right w:val="none" w:sz="0" w:space="0" w:color="auto"/>
      </w:divBdr>
    </w:div>
    <w:div w:id="427192229">
      <w:bodyDiv w:val="1"/>
      <w:marLeft w:val="0"/>
      <w:marRight w:val="0"/>
      <w:marTop w:val="0"/>
      <w:marBottom w:val="0"/>
      <w:divBdr>
        <w:top w:val="none" w:sz="0" w:space="0" w:color="auto"/>
        <w:left w:val="none" w:sz="0" w:space="0" w:color="auto"/>
        <w:bottom w:val="none" w:sz="0" w:space="0" w:color="auto"/>
        <w:right w:val="none" w:sz="0" w:space="0" w:color="auto"/>
      </w:divBdr>
    </w:div>
    <w:div w:id="427313077">
      <w:bodyDiv w:val="1"/>
      <w:marLeft w:val="0"/>
      <w:marRight w:val="0"/>
      <w:marTop w:val="0"/>
      <w:marBottom w:val="0"/>
      <w:divBdr>
        <w:top w:val="none" w:sz="0" w:space="0" w:color="auto"/>
        <w:left w:val="none" w:sz="0" w:space="0" w:color="auto"/>
        <w:bottom w:val="none" w:sz="0" w:space="0" w:color="auto"/>
        <w:right w:val="none" w:sz="0" w:space="0" w:color="auto"/>
      </w:divBdr>
    </w:div>
    <w:div w:id="427389032">
      <w:bodyDiv w:val="1"/>
      <w:marLeft w:val="0"/>
      <w:marRight w:val="0"/>
      <w:marTop w:val="0"/>
      <w:marBottom w:val="0"/>
      <w:divBdr>
        <w:top w:val="none" w:sz="0" w:space="0" w:color="auto"/>
        <w:left w:val="none" w:sz="0" w:space="0" w:color="auto"/>
        <w:bottom w:val="none" w:sz="0" w:space="0" w:color="auto"/>
        <w:right w:val="none" w:sz="0" w:space="0" w:color="auto"/>
      </w:divBdr>
    </w:div>
    <w:div w:id="428702371">
      <w:bodyDiv w:val="1"/>
      <w:marLeft w:val="0"/>
      <w:marRight w:val="0"/>
      <w:marTop w:val="0"/>
      <w:marBottom w:val="0"/>
      <w:divBdr>
        <w:top w:val="none" w:sz="0" w:space="0" w:color="auto"/>
        <w:left w:val="none" w:sz="0" w:space="0" w:color="auto"/>
        <w:bottom w:val="none" w:sz="0" w:space="0" w:color="auto"/>
        <w:right w:val="none" w:sz="0" w:space="0" w:color="auto"/>
      </w:divBdr>
    </w:div>
    <w:div w:id="428937761">
      <w:bodyDiv w:val="1"/>
      <w:marLeft w:val="0"/>
      <w:marRight w:val="0"/>
      <w:marTop w:val="0"/>
      <w:marBottom w:val="0"/>
      <w:divBdr>
        <w:top w:val="none" w:sz="0" w:space="0" w:color="auto"/>
        <w:left w:val="none" w:sz="0" w:space="0" w:color="auto"/>
        <w:bottom w:val="none" w:sz="0" w:space="0" w:color="auto"/>
        <w:right w:val="none" w:sz="0" w:space="0" w:color="auto"/>
      </w:divBdr>
    </w:div>
    <w:div w:id="429005103">
      <w:bodyDiv w:val="1"/>
      <w:marLeft w:val="0"/>
      <w:marRight w:val="0"/>
      <w:marTop w:val="0"/>
      <w:marBottom w:val="0"/>
      <w:divBdr>
        <w:top w:val="none" w:sz="0" w:space="0" w:color="auto"/>
        <w:left w:val="none" w:sz="0" w:space="0" w:color="auto"/>
        <w:bottom w:val="none" w:sz="0" w:space="0" w:color="auto"/>
        <w:right w:val="none" w:sz="0" w:space="0" w:color="auto"/>
      </w:divBdr>
    </w:div>
    <w:div w:id="429158627">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29815970">
      <w:bodyDiv w:val="1"/>
      <w:marLeft w:val="0"/>
      <w:marRight w:val="0"/>
      <w:marTop w:val="0"/>
      <w:marBottom w:val="0"/>
      <w:divBdr>
        <w:top w:val="none" w:sz="0" w:space="0" w:color="auto"/>
        <w:left w:val="none" w:sz="0" w:space="0" w:color="auto"/>
        <w:bottom w:val="none" w:sz="0" w:space="0" w:color="auto"/>
        <w:right w:val="none" w:sz="0" w:space="0" w:color="auto"/>
      </w:divBdr>
    </w:div>
    <w:div w:id="430245460">
      <w:bodyDiv w:val="1"/>
      <w:marLeft w:val="0"/>
      <w:marRight w:val="0"/>
      <w:marTop w:val="0"/>
      <w:marBottom w:val="0"/>
      <w:divBdr>
        <w:top w:val="none" w:sz="0" w:space="0" w:color="auto"/>
        <w:left w:val="none" w:sz="0" w:space="0" w:color="auto"/>
        <w:bottom w:val="none" w:sz="0" w:space="0" w:color="auto"/>
        <w:right w:val="none" w:sz="0" w:space="0" w:color="auto"/>
      </w:divBdr>
    </w:div>
    <w:div w:id="430276388">
      <w:bodyDiv w:val="1"/>
      <w:marLeft w:val="0"/>
      <w:marRight w:val="0"/>
      <w:marTop w:val="0"/>
      <w:marBottom w:val="0"/>
      <w:divBdr>
        <w:top w:val="none" w:sz="0" w:space="0" w:color="auto"/>
        <w:left w:val="none" w:sz="0" w:space="0" w:color="auto"/>
        <w:bottom w:val="none" w:sz="0" w:space="0" w:color="auto"/>
        <w:right w:val="none" w:sz="0" w:space="0" w:color="auto"/>
      </w:divBdr>
    </w:div>
    <w:div w:id="430466842">
      <w:bodyDiv w:val="1"/>
      <w:marLeft w:val="0"/>
      <w:marRight w:val="0"/>
      <w:marTop w:val="0"/>
      <w:marBottom w:val="0"/>
      <w:divBdr>
        <w:top w:val="none" w:sz="0" w:space="0" w:color="auto"/>
        <w:left w:val="none" w:sz="0" w:space="0" w:color="auto"/>
        <w:bottom w:val="none" w:sz="0" w:space="0" w:color="auto"/>
        <w:right w:val="none" w:sz="0" w:space="0" w:color="auto"/>
      </w:divBdr>
    </w:div>
    <w:div w:id="430471675">
      <w:bodyDiv w:val="1"/>
      <w:marLeft w:val="0"/>
      <w:marRight w:val="0"/>
      <w:marTop w:val="0"/>
      <w:marBottom w:val="0"/>
      <w:divBdr>
        <w:top w:val="none" w:sz="0" w:space="0" w:color="auto"/>
        <w:left w:val="none" w:sz="0" w:space="0" w:color="auto"/>
        <w:bottom w:val="none" w:sz="0" w:space="0" w:color="auto"/>
        <w:right w:val="none" w:sz="0" w:space="0" w:color="auto"/>
      </w:divBdr>
    </w:div>
    <w:div w:id="430586762">
      <w:bodyDiv w:val="1"/>
      <w:marLeft w:val="0"/>
      <w:marRight w:val="0"/>
      <w:marTop w:val="0"/>
      <w:marBottom w:val="0"/>
      <w:divBdr>
        <w:top w:val="none" w:sz="0" w:space="0" w:color="auto"/>
        <w:left w:val="none" w:sz="0" w:space="0" w:color="auto"/>
        <w:bottom w:val="none" w:sz="0" w:space="0" w:color="auto"/>
        <w:right w:val="none" w:sz="0" w:space="0" w:color="auto"/>
      </w:divBdr>
    </w:div>
    <w:div w:id="431128181">
      <w:bodyDiv w:val="1"/>
      <w:marLeft w:val="0"/>
      <w:marRight w:val="0"/>
      <w:marTop w:val="0"/>
      <w:marBottom w:val="0"/>
      <w:divBdr>
        <w:top w:val="none" w:sz="0" w:space="0" w:color="auto"/>
        <w:left w:val="none" w:sz="0" w:space="0" w:color="auto"/>
        <w:bottom w:val="none" w:sz="0" w:space="0" w:color="auto"/>
        <w:right w:val="none" w:sz="0" w:space="0" w:color="auto"/>
      </w:divBdr>
    </w:div>
    <w:div w:id="431517677">
      <w:bodyDiv w:val="1"/>
      <w:marLeft w:val="0"/>
      <w:marRight w:val="0"/>
      <w:marTop w:val="0"/>
      <w:marBottom w:val="0"/>
      <w:divBdr>
        <w:top w:val="none" w:sz="0" w:space="0" w:color="auto"/>
        <w:left w:val="none" w:sz="0" w:space="0" w:color="auto"/>
        <w:bottom w:val="none" w:sz="0" w:space="0" w:color="auto"/>
        <w:right w:val="none" w:sz="0" w:space="0" w:color="auto"/>
      </w:divBdr>
    </w:div>
    <w:div w:id="431558595">
      <w:bodyDiv w:val="1"/>
      <w:marLeft w:val="0"/>
      <w:marRight w:val="0"/>
      <w:marTop w:val="0"/>
      <w:marBottom w:val="0"/>
      <w:divBdr>
        <w:top w:val="none" w:sz="0" w:space="0" w:color="auto"/>
        <w:left w:val="none" w:sz="0" w:space="0" w:color="auto"/>
        <w:bottom w:val="none" w:sz="0" w:space="0" w:color="auto"/>
        <w:right w:val="none" w:sz="0" w:space="0" w:color="auto"/>
      </w:divBdr>
    </w:div>
    <w:div w:id="432287090">
      <w:bodyDiv w:val="1"/>
      <w:marLeft w:val="0"/>
      <w:marRight w:val="0"/>
      <w:marTop w:val="0"/>
      <w:marBottom w:val="0"/>
      <w:divBdr>
        <w:top w:val="none" w:sz="0" w:space="0" w:color="auto"/>
        <w:left w:val="none" w:sz="0" w:space="0" w:color="auto"/>
        <w:bottom w:val="none" w:sz="0" w:space="0" w:color="auto"/>
        <w:right w:val="none" w:sz="0" w:space="0" w:color="auto"/>
      </w:divBdr>
    </w:div>
    <w:div w:id="432482780">
      <w:bodyDiv w:val="1"/>
      <w:marLeft w:val="0"/>
      <w:marRight w:val="0"/>
      <w:marTop w:val="0"/>
      <w:marBottom w:val="0"/>
      <w:divBdr>
        <w:top w:val="none" w:sz="0" w:space="0" w:color="auto"/>
        <w:left w:val="none" w:sz="0" w:space="0" w:color="auto"/>
        <w:bottom w:val="none" w:sz="0" w:space="0" w:color="auto"/>
        <w:right w:val="none" w:sz="0" w:space="0" w:color="auto"/>
      </w:divBdr>
    </w:div>
    <w:div w:id="432556703">
      <w:bodyDiv w:val="1"/>
      <w:marLeft w:val="0"/>
      <w:marRight w:val="0"/>
      <w:marTop w:val="0"/>
      <w:marBottom w:val="0"/>
      <w:divBdr>
        <w:top w:val="none" w:sz="0" w:space="0" w:color="auto"/>
        <w:left w:val="none" w:sz="0" w:space="0" w:color="auto"/>
        <w:bottom w:val="none" w:sz="0" w:space="0" w:color="auto"/>
        <w:right w:val="none" w:sz="0" w:space="0" w:color="auto"/>
      </w:divBdr>
    </w:div>
    <w:div w:id="432945559">
      <w:bodyDiv w:val="1"/>
      <w:marLeft w:val="0"/>
      <w:marRight w:val="0"/>
      <w:marTop w:val="0"/>
      <w:marBottom w:val="0"/>
      <w:divBdr>
        <w:top w:val="none" w:sz="0" w:space="0" w:color="auto"/>
        <w:left w:val="none" w:sz="0" w:space="0" w:color="auto"/>
        <w:bottom w:val="none" w:sz="0" w:space="0" w:color="auto"/>
        <w:right w:val="none" w:sz="0" w:space="0" w:color="auto"/>
      </w:divBdr>
    </w:div>
    <w:div w:id="433331039">
      <w:bodyDiv w:val="1"/>
      <w:marLeft w:val="0"/>
      <w:marRight w:val="0"/>
      <w:marTop w:val="0"/>
      <w:marBottom w:val="0"/>
      <w:divBdr>
        <w:top w:val="none" w:sz="0" w:space="0" w:color="auto"/>
        <w:left w:val="none" w:sz="0" w:space="0" w:color="auto"/>
        <w:bottom w:val="none" w:sz="0" w:space="0" w:color="auto"/>
        <w:right w:val="none" w:sz="0" w:space="0" w:color="auto"/>
      </w:divBdr>
    </w:div>
    <w:div w:id="433482842">
      <w:bodyDiv w:val="1"/>
      <w:marLeft w:val="0"/>
      <w:marRight w:val="0"/>
      <w:marTop w:val="0"/>
      <w:marBottom w:val="0"/>
      <w:divBdr>
        <w:top w:val="none" w:sz="0" w:space="0" w:color="auto"/>
        <w:left w:val="none" w:sz="0" w:space="0" w:color="auto"/>
        <w:bottom w:val="none" w:sz="0" w:space="0" w:color="auto"/>
        <w:right w:val="none" w:sz="0" w:space="0" w:color="auto"/>
      </w:divBdr>
    </w:div>
    <w:div w:id="433521983">
      <w:bodyDiv w:val="1"/>
      <w:marLeft w:val="0"/>
      <w:marRight w:val="0"/>
      <w:marTop w:val="0"/>
      <w:marBottom w:val="0"/>
      <w:divBdr>
        <w:top w:val="none" w:sz="0" w:space="0" w:color="auto"/>
        <w:left w:val="none" w:sz="0" w:space="0" w:color="auto"/>
        <w:bottom w:val="none" w:sz="0" w:space="0" w:color="auto"/>
        <w:right w:val="none" w:sz="0" w:space="0" w:color="auto"/>
      </w:divBdr>
    </w:div>
    <w:div w:id="433550878">
      <w:bodyDiv w:val="1"/>
      <w:marLeft w:val="0"/>
      <w:marRight w:val="0"/>
      <w:marTop w:val="0"/>
      <w:marBottom w:val="0"/>
      <w:divBdr>
        <w:top w:val="none" w:sz="0" w:space="0" w:color="auto"/>
        <w:left w:val="none" w:sz="0" w:space="0" w:color="auto"/>
        <w:bottom w:val="none" w:sz="0" w:space="0" w:color="auto"/>
        <w:right w:val="none" w:sz="0" w:space="0" w:color="auto"/>
      </w:divBdr>
    </w:div>
    <w:div w:id="433551116">
      <w:bodyDiv w:val="1"/>
      <w:marLeft w:val="0"/>
      <w:marRight w:val="0"/>
      <w:marTop w:val="0"/>
      <w:marBottom w:val="0"/>
      <w:divBdr>
        <w:top w:val="none" w:sz="0" w:space="0" w:color="auto"/>
        <w:left w:val="none" w:sz="0" w:space="0" w:color="auto"/>
        <w:bottom w:val="none" w:sz="0" w:space="0" w:color="auto"/>
        <w:right w:val="none" w:sz="0" w:space="0" w:color="auto"/>
      </w:divBdr>
    </w:div>
    <w:div w:id="433749615">
      <w:bodyDiv w:val="1"/>
      <w:marLeft w:val="0"/>
      <w:marRight w:val="0"/>
      <w:marTop w:val="0"/>
      <w:marBottom w:val="0"/>
      <w:divBdr>
        <w:top w:val="none" w:sz="0" w:space="0" w:color="auto"/>
        <w:left w:val="none" w:sz="0" w:space="0" w:color="auto"/>
        <w:bottom w:val="none" w:sz="0" w:space="0" w:color="auto"/>
        <w:right w:val="none" w:sz="0" w:space="0" w:color="auto"/>
      </w:divBdr>
    </w:div>
    <w:div w:id="433788279">
      <w:bodyDiv w:val="1"/>
      <w:marLeft w:val="0"/>
      <w:marRight w:val="0"/>
      <w:marTop w:val="0"/>
      <w:marBottom w:val="0"/>
      <w:divBdr>
        <w:top w:val="none" w:sz="0" w:space="0" w:color="auto"/>
        <w:left w:val="none" w:sz="0" w:space="0" w:color="auto"/>
        <w:bottom w:val="none" w:sz="0" w:space="0" w:color="auto"/>
        <w:right w:val="none" w:sz="0" w:space="0" w:color="auto"/>
      </w:divBdr>
    </w:div>
    <w:div w:id="433788543">
      <w:bodyDiv w:val="1"/>
      <w:marLeft w:val="0"/>
      <w:marRight w:val="0"/>
      <w:marTop w:val="0"/>
      <w:marBottom w:val="0"/>
      <w:divBdr>
        <w:top w:val="none" w:sz="0" w:space="0" w:color="auto"/>
        <w:left w:val="none" w:sz="0" w:space="0" w:color="auto"/>
        <w:bottom w:val="none" w:sz="0" w:space="0" w:color="auto"/>
        <w:right w:val="none" w:sz="0" w:space="0" w:color="auto"/>
      </w:divBdr>
    </w:div>
    <w:div w:id="433794651">
      <w:bodyDiv w:val="1"/>
      <w:marLeft w:val="0"/>
      <w:marRight w:val="0"/>
      <w:marTop w:val="0"/>
      <w:marBottom w:val="0"/>
      <w:divBdr>
        <w:top w:val="none" w:sz="0" w:space="0" w:color="auto"/>
        <w:left w:val="none" w:sz="0" w:space="0" w:color="auto"/>
        <w:bottom w:val="none" w:sz="0" w:space="0" w:color="auto"/>
        <w:right w:val="none" w:sz="0" w:space="0" w:color="auto"/>
      </w:divBdr>
    </w:div>
    <w:div w:id="434176728">
      <w:bodyDiv w:val="1"/>
      <w:marLeft w:val="0"/>
      <w:marRight w:val="0"/>
      <w:marTop w:val="0"/>
      <w:marBottom w:val="0"/>
      <w:divBdr>
        <w:top w:val="none" w:sz="0" w:space="0" w:color="auto"/>
        <w:left w:val="none" w:sz="0" w:space="0" w:color="auto"/>
        <w:bottom w:val="none" w:sz="0" w:space="0" w:color="auto"/>
        <w:right w:val="none" w:sz="0" w:space="0" w:color="auto"/>
      </w:divBdr>
    </w:div>
    <w:div w:id="434205962">
      <w:bodyDiv w:val="1"/>
      <w:marLeft w:val="0"/>
      <w:marRight w:val="0"/>
      <w:marTop w:val="0"/>
      <w:marBottom w:val="0"/>
      <w:divBdr>
        <w:top w:val="none" w:sz="0" w:space="0" w:color="auto"/>
        <w:left w:val="none" w:sz="0" w:space="0" w:color="auto"/>
        <w:bottom w:val="none" w:sz="0" w:space="0" w:color="auto"/>
        <w:right w:val="none" w:sz="0" w:space="0" w:color="auto"/>
      </w:divBdr>
    </w:div>
    <w:div w:id="434636781">
      <w:bodyDiv w:val="1"/>
      <w:marLeft w:val="0"/>
      <w:marRight w:val="0"/>
      <w:marTop w:val="0"/>
      <w:marBottom w:val="0"/>
      <w:divBdr>
        <w:top w:val="none" w:sz="0" w:space="0" w:color="auto"/>
        <w:left w:val="none" w:sz="0" w:space="0" w:color="auto"/>
        <w:bottom w:val="none" w:sz="0" w:space="0" w:color="auto"/>
        <w:right w:val="none" w:sz="0" w:space="0" w:color="auto"/>
      </w:divBdr>
    </w:div>
    <w:div w:id="434638393">
      <w:bodyDiv w:val="1"/>
      <w:marLeft w:val="0"/>
      <w:marRight w:val="0"/>
      <w:marTop w:val="0"/>
      <w:marBottom w:val="0"/>
      <w:divBdr>
        <w:top w:val="none" w:sz="0" w:space="0" w:color="auto"/>
        <w:left w:val="none" w:sz="0" w:space="0" w:color="auto"/>
        <w:bottom w:val="none" w:sz="0" w:space="0" w:color="auto"/>
        <w:right w:val="none" w:sz="0" w:space="0" w:color="auto"/>
      </w:divBdr>
    </w:div>
    <w:div w:id="434639711">
      <w:bodyDiv w:val="1"/>
      <w:marLeft w:val="0"/>
      <w:marRight w:val="0"/>
      <w:marTop w:val="0"/>
      <w:marBottom w:val="0"/>
      <w:divBdr>
        <w:top w:val="none" w:sz="0" w:space="0" w:color="auto"/>
        <w:left w:val="none" w:sz="0" w:space="0" w:color="auto"/>
        <w:bottom w:val="none" w:sz="0" w:space="0" w:color="auto"/>
        <w:right w:val="none" w:sz="0" w:space="0" w:color="auto"/>
      </w:divBdr>
    </w:div>
    <w:div w:id="435831126">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6097462">
      <w:bodyDiv w:val="1"/>
      <w:marLeft w:val="0"/>
      <w:marRight w:val="0"/>
      <w:marTop w:val="0"/>
      <w:marBottom w:val="0"/>
      <w:divBdr>
        <w:top w:val="none" w:sz="0" w:space="0" w:color="auto"/>
        <w:left w:val="none" w:sz="0" w:space="0" w:color="auto"/>
        <w:bottom w:val="none" w:sz="0" w:space="0" w:color="auto"/>
        <w:right w:val="none" w:sz="0" w:space="0" w:color="auto"/>
      </w:divBdr>
    </w:div>
    <w:div w:id="436143506">
      <w:bodyDiv w:val="1"/>
      <w:marLeft w:val="0"/>
      <w:marRight w:val="0"/>
      <w:marTop w:val="0"/>
      <w:marBottom w:val="0"/>
      <w:divBdr>
        <w:top w:val="none" w:sz="0" w:space="0" w:color="auto"/>
        <w:left w:val="none" w:sz="0" w:space="0" w:color="auto"/>
        <w:bottom w:val="none" w:sz="0" w:space="0" w:color="auto"/>
        <w:right w:val="none" w:sz="0" w:space="0" w:color="auto"/>
      </w:divBdr>
    </w:div>
    <w:div w:id="436486992">
      <w:bodyDiv w:val="1"/>
      <w:marLeft w:val="0"/>
      <w:marRight w:val="0"/>
      <w:marTop w:val="0"/>
      <w:marBottom w:val="0"/>
      <w:divBdr>
        <w:top w:val="none" w:sz="0" w:space="0" w:color="auto"/>
        <w:left w:val="none" w:sz="0" w:space="0" w:color="auto"/>
        <w:bottom w:val="none" w:sz="0" w:space="0" w:color="auto"/>
        <w:right w:val="none" w:sz="0" w:space="0" w:color="auto"/>
      </w:divBdr>
    </w:div>
    <w:div w:id="436602159">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7870183">
      <w:bodyDiv w:val="1"/>
      <w:marLeft w:val="0"/>
      <w:marRight w:val="0"/>
      <w:marTop w:val="0"/>
      <w:marBottom w:val="0"/>
      <w:divBdr>
        <w:top w:val="none" w:sz="0" w:space="0" w:color="auto"/>
        <w:left w:val="none" w:sz="0" w:space="0" w:color="auto"/>
        <w:bottom w:val="none" w:sz="0" w:space="0" w:color="auto"/>
        <w:right w:val="none" w:sz="0" w:space="0" w:color="auto"/>
      </w:divBdr>
    </w:div>
    <w:div w:id="438909565">
      <w:bodyDiv w:val="1"/>
      <w:marLeft w:val="0"/>
      <w:marRight w:val="0"/>
      <w:marTop w:val="0"/>
      <w:marBottom w:val="0"/>
      <w:divBdr>
        <w:top w:val="none" w:sz="0" w:space="0" w:color="auto"/>
        <w:left w:val="none" w:sz="0" w:space="0" w:color="auto"/>
        <w:bottom w:val="none" w:sz="0" w:space="0" w:color="auto"/>
        <w:right w:val="none" w:sz="0" w:space="0" w:color="auto"/>
      </w:divBdr>
    </w:div>
    <w:div w:id="439035043">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39230144">
      <w:bodyDiv w:val="1"/>
      <w:marLeft w:val="0"/>
      <w:marRight w:val="0"/>
      <w:marTop w:val="0"/>
      <w:marBottom w:val="0"/>
      <w:divBdr>
        <w:top w:val="none" w:sz="0" w:space="0" w:color="auto"/>
        <w:left w:val="none" w:sz="0" w:space="0" w:color="auto"/>
        <w:bottom w:val="none" w:sz="0" w:space="0" w:color="auto"/>
        <w:right w:val="none" w:sz="0" w:space="0" w:color="auto"/>
      </w:divBdr>
    </w:div>
    <w:div w:id="439492484">
      <w:bodyDiv w:val="1"/>
      <w:marLeft w:val="0"/>
      <w:marRight w:val="0"/>
      <w:marTop w:val="0"/>
      <w:marBottom w:val="0"/>
      <w:divBdr>
        <w:top w:val="none" w:sz="0" w:space="0" w:color="auto"/>
        <w:left w:val="none" w:sz="0" w:space="0" w:color="auto"/>
        <w:bottom w:val="none" w:sz="0" w:space="0" w:color="auto"/>
        <w:right w:val="none" w:sz="0" w:space="0" w:color="auto"/>
      </w:divBdr>
    </w:div>
    <w:div w:id="439688197">
      <w:bodyDiv w:val="1"/>
      <w:marLeft w:val="0"/>
      <w:marRight w:val="0"/>
      <w:marTop w:val="0"/>
      <w:marBottom w:val="0"/>
      <w:divBdr>
        <w:top w:val="none" w:sz="0" w:space="0" w:color="auto"/>
        <w:left w:val="none" w:sz="0" w:space="0" w:color="auto"/>
        <w:bottom w:val="none" w:sz="0" w:space="0" w:color="auto"/>
        <w:right w:val="none" w:sz="0" w:space="0" w:color="auto"/>
      </w:divBdr>
    </w:div>
    <w:div w:id="440421417">
      <w:bodyDiv w:val="1"/>
      <w:marLeft w:val="0"/>
      <w:marRight w:val="0"/>
      <w:marTop w:val="0"/>
      <w:marBottom w:val="0"/>
      <w:divBdr>
        <w:top w:val="none" w:sz="0" w:space="0" w:color="auto"/>
        <w:left w:val="none" w:sz="0" w:space="0" w:color="auto"/>
        <w:bottom w:val="none" w:sz="0" w:space="0" w:color="auto"/>
        <w:right w:val="none" w:sz="0" w:space="0" w:color="auto"/>
      </w:divBdr>
    </w:div>
    <w:div w:id="440610018">
      <w:bodyDiv w:val="1"/>
      <w:marLeft w:val="0"/>
      <w:marRight w:val="0"/>
      <w:marTop w:val="0"/>
      <w:marBottom w:val="0"/>
      <w:divBdr>
        <w:top w:val="none" w:sz="0" w:space="0" w:color="auto"/>
        <w:left w:val="none" w:sz="0" w:space="0" w:color="auto"/>
        <w:bottom w:val="none" w:sz="0" w:space="0" w:color="auto"/>
        <w:right w:val="none" w:sz="0" w:space="0" w:color="auto"/>
      </w:divBdr>
    </w:div>
    <w:div w:id="441582387">
      <w:bodyDiv w:val="1"/>
      <w:marLeft w:val="0"/>
      <w:marRight w:val="0"/>
      <w:marTop w:val="0"/>
      <w:marBottom w:val="0"/>
      <w:divBdr>
        <w:top w:val="none" w:sz="0" w:space="0" w:color="auto"/>
        <w:left w:val="none" w:sz="0" w:space="0" w:color="auto"/>
        <w:bottom w:val="none" w:sz="0" w:space="0" w:color="auto"/>
        <w:right w:val="none" w:sz="0" w:space="0" w:color="auto"/>
      </w:divBdr>
    </w:div>
    <w:div w:id="441806880">
      <w:bodyDiv w:val="1"/>
      <w:marLeft w:val="0"/>
      <w:marRight w:val="0"/>
      <w:marTop w:val="0"/>
      <w:marBottom w:val="0"/>
      <w:divBdr>
        <w:top w:val="none" w:sz="0" w:space="0" w:color="auto"/>
        <w:left w:val="none" w:sz="0" w:space="0" w:color="auto"/>
        <w:bottom w:val="none" w:sz="0" w:space="0" w:color="auto"/>
        <w:right w:val="none" w:sz="0" w:space="0" w:color="auto"/>
      </w:divBdr>
    </w:div>
    <w:div w:id="441846664">
      <w:bodyDiv w:val="1"/>
      <w:marLeft w:val="0"/>
      <w:marRight w:val="0"/>
      <w:marTop w:val="0"/>
      <w:marBottom w:val="0"/>
      <w:divBdr>
        <w:top w:val="none" w:sz="0" w:space="0" w:color="auto"/>
        <w:left w:val="none" w:sz="0" w:space="0" w:color="auto"/>
        <w:bottom w:val="none" w:sz="0" w:space="0" w:color="auto"/>
        <w:right w:val="none" w:sz="0" w:space="0" w:color="auto"/>
      </w:divBdr>
    </w:div>
    <w:div w:id="442072905">
      <w:bodyDiv w:val="1"/>
      <w:marLeft w:val="0"/>
      <w:marRight w:val="0"/>
      <w:marTop w:val="0"/>
      <w:marBottom w:val="0"/>
      <w:divBdr>
        <w:top w:val="none" w:sz="0" w:space="0" w:color="auto"/>
        <w:left w:val="none" w:sz="0" w:space="0" w:color="auto"/>
        <w:bottom w:val="none" w:sz="0" w:space="0" w:color="auto"/>
        <w:right w:val="none" w:sz="0" w:space="0" w:color="auto"/>
      </w:divBdr>
    </w:div>
    <w:div w:id="442115333">
      <w:bodyDiv w:val="1"/>
      <w:marLeft w:val="0"/>
      <w:marRight w:val="0"/>
      <w:marTop w:val="0"/>
      <w:marBottom w:val="0"/>
      <w:divBdr>
        <w:top w:val="none" w:sz="0" w:space="0" w:color="auto"/>
        <w:left w:val="none" w:sz="0" w:space="0" w:color="auto"/>
        <w:bottom w:val="none" w:sz="0" w:space="0" w:color="auto"/>
        <w:right w:val="none" w:sz="0" w:space="0" w:color="auto"/>
      </w:divBdr>
    </w:div>
    <w:div w:id="442458198">
      <w:bodyDiv w:val="1"/>
      <w:marLeft w:val="0"/>
      <w:marRight w:val="0"/>
      <w:marTop w:val="0"/>
      <w:marBottom w:val="0"/>
      <w:divBdr>
        <w:top w:val="none" w:sz="0" w:space="0" w:color="auto"/>
        <w:left w:val="none" w:sz="0" w:space="0" w:color="auto"/>
        <w:bottom w:val="none" w:sz="0" w:space="0" w:color="auto"/>
        <w:right w:val="none" w:sz="0" w:space="0" w:color="auto"/>
      </w:divBdr>
    </w:div>
    <w:div w:id="442919430">
      <w:bodyDiv w:val="1"/>
      <w:marLeft w:val="0"/>
      <w:marRight w:val="0"/>
      <w:marTop w:val="0"/>
      <w:marBottom w:val="0"/>
      <w:divBdr>
        <w:top w:val="none" w:sz="0" w:space="0" w:color="auto"/>
        <w:left w:val="none" w:sz="0" w:space="0" w:color="auto"/>
        <w:bottom w:val="none" w:sz="0" w:space="0" w:color="auto"/>
        <w:right w:val="none" w:sz="0" w:space="0" w:color="auto"/>
      </w:divBdr>
    </w:div>
    <w:div w:id="442963536">
      <w:bodyDiv w:val="1"/>
      <w:marLeft w:val="0"/>
      <w:marRight w:val="0"/>
      <w:marTop w:val="0"/>
      <w:marBottom w:val="0"/>
      <w:divBdr>
        <w:top w:val="none" w:sz="0" w:space="0" w:color="auto"/>
        <w:left w:val="none" w:sz="0" w:space="0" w:color="auto"/>
        <w:bottom w:val="none" w:sz="0" w:space="0" w:color="auto"/>
        <w:right w:val="none" w:sz="0" w:space="0" w:color="auto"/>
      </w:divBdr>
    </w:div>
    <w:div w:id="443691827">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4621581">
      <w:bodyDiv w:val="1"/>
      <w:marLeft w:val="0"/>
      <w:marRight w:val="0"/>
      <w:marTop w:val="0"/>
      <w:marBottom w:val="0"/>
      <w:divBdr>
        <w:top w:val="none" w:sz="0" w:space="0" w:color="auto"/>
        <w:left w:val="none" w:sz="0" w:space="0" w:color="auto"/>
        <w:bottom w:val="none" w:sz="0" w:space="0" w:color="auto"/>
        <w:right w:val="none" w:sz="0" w:space="0" w:color="auto"/>
      </w:divBdr>
    </w:div>
    <w:div w:id="445078753">
      <w:bodyDiv w:val="1"/>
      <w:marLeft w:val="0"/>
      <w:marRight w:val="0"/>
      <w:marTop w:val="0"/>
      <w:marBottom w:val="0"/>
      <w:divBdr>
        <w:top w:val="none" w:sz="0" w:space="0" w:color="auto"/>
        <w:left w:val="none" w:sz="0" w:space="0" w:color="auto"/>
        <w:bottom w:val="none" w:sz="0" w:space="0" w:color="auto"/>
        <w:right w:val="none" w:sz="0" w:space="0" w:color="auto"/>
      </w:divBdr>
    </w:div>
    <w:div w:id="445317229">
      <w:bodyDiv w:val="1"/>
      <w:marLeft w:val="0"/>
      <w:marRight w:val="0"/>
      <w:marTop w:val="0"/>
      <w:marBottom w:val="0"/>
      <w:divBdr>
        <w:top w:val="none" w:sz="0" w:space="0" w:color="auto"/>
        <w:left w:val="none" w:sz="0" w:space="0" w:color="auto"/>
        <w:bottom w:val="none" w:sz="0" w:space="0" w:color="auto"/>
        <w:right w:val="none" w:sz="0" w:space="0" w:color="auto"/>
      </w:divBdr>
    </w:div>
    <w:div w:id="445396099">
      <w:bodyDiv w:val="1"/>
      <w:marLeft w:val="0"/>
      <w:marRight w:val="0"/>
      <w:marTop w:val="0"/>
      <w:marBottom w:val="0"/>
      <w:divBdr>
        <w:top w:val="none" w:sz="0" w:space="0" w:color="auto"/>
        <w:left w:val="none" w:sz="0" w:space="0" w:color="auto"/>
        <w:bottom w:val="none" w:sz="0" w:space="0" w:color="auto"/>
        <w:right w:val="none" w:sz="0" w:space="0" w:color="auto"/>
      </w:divBdr>
    </w:div>
    <w:div w:id="445857496">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198990">
      <w:bodyDiv w:val="1"/>
      <w:marLeft w:val="0"/>
      <w:marRight w:val="0"/>
      <w:marTop w:val="0"/>
      <w:marBottom w:val="0"/>
      <w:divBdr>
        <w:top w:val="none" w:sz="0" w:space="0" w:color="auto"/>
        <w:left w:val="none" w:sz="0" w:space="0" w:color="auto"/>
        <w:bottom w:val="none" w:sz="0" w:space="0" w:color="auto"/>
        <w:right w:val="none" w:sz="0" w:space="0" w:color="auto"/>
      </w:divBdr>
    </w:div>
    <w:div w:id="446311984">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46776620">
      <w:bodyDiv w:val="1"/>
      <w:marLeft w:val="0"/>
      <w:marRight w:val="0"/>
      <w:marTop w:val="0"/>
      <w:marBottom w:val="0"/>
      <w:divBdr>
        <w:top w:val="none" w:sz="0" w:space="0" w:color="auto"/>
        <w:left w:val="none" w:sz="0" w:space="0" w:color="auto"/>
        <w:bottom w:val="none" w:sz="0" w:space="0" w:color="auto"/>
        <w:right w:val="none" w:sz="0" w:space="0" w:color="auto"/>
      </w:divBdr>
    </w:div>
    <w:div w:id="447313137">
      <w:bodyDiv w:val="1"/>
      <w:marLeft w:val="0"/>
      <w:marRight w:val="0"/>
      <w:marTop w:val="0"/>
      <w:marBottom w:val="0"/>
      <w:divBdr>
        <w:top w:val="none" w:sz="0" w:space="0" w:color="auto"/>
        <w:left w:val="none" w:sz="0" w:space="0" w:color="auto"/>
        <w:bottom w:val="none" w:sz="0" w:space="0" w:color="auto"/>
        <w:right w:val="none" w:sz="0" w:space="0" w:color="auto"/>
      </w:divBdr>
    </w:div>
    <w:div w:id="447551341">
      <w:bodyDiv w:val="1"/>
      <w:marLeft w:val="0"/>
      <w:marRight w:val="0"/>
      <w:marTop w:val="0"/>
      <w:marBottom w:val="0"/>
      <w:divBdr>
        <w:top w:val="none" w:sz="0" w:space="0" w:color="auto"/>
        <w:left w:val="none" w:sz="0" w:space="0" w:color="auto"/>
        <w:bottom w:val="none" w:sz="0" w:space="0" w:color="auto"/>
        <w:right w:val="none" w:sz="0" w:space="0" w:color="auto"/>
      </w:divBdr>
    </w:div>
    <w:div w:id="447701640">
      <w:bodyDiv w:val="1"/>
      <w:marLeft w:val="0"/>
      <w:marRight w:val="0"/>
      <w:marTop w:val="0"/>
      <w:marBottom w:val="0"/>
      <w:divBdr>
        <w:top w:val="none" w:sz="0" w:space="0" w:color="auto"/>
        <w:left w:val="none" w:sz="0" w:space="0" w:color="auto"/>
        <w:bottom w:val="none" w:sz="0" w:space="0" w:color="auto"/>
        <w:right w:val="none" w:sz="0" w:space="0" w:color="auto"/>
      </w:divBdr>
    </w:div>
    <w:div w:id="447746072">
      <w:bodyDiv w:val="1"/>
      <w:marLeft w:val="0"/>
      <w:marRight w:val="0"/>
      <w:marTop w:val="0"/>
      <w:marBottom w:val="0"/>
      <w:divBdr>
        <w:top w:val="none" w:sz="0" w:space="0" w:color="auto"/>
        <w:left w:val="none" w:sz="0" w:space="0" w:color="auto"/>
        <w:bottom w:val="none" w:sz="0" w:space="0" w:color="auto"/>
        <w:right w:val="none" w:sz="0" w:space="0" w:color="auto"/>
      </w:divBdr>
    </w:div>
    <w:div w:id="448281900">
      <w:bodyDiv w:val="1"/>
      <w:marLeft w:val="0"/>
      <w:marRight w:val="0"/>
      <w:marTop w:val="0"/>
      <w:marBottom w:val="0"/>
      <w:divBdr>
        <w:top w:val="none" w:sz="0" w:space="0" w:color="auto"/>
        <w:left w:val="none" w:sz="0" w:space="0" w:color="auto"/>
        <w:bottom w:val="none" w:sz="0" w:space="0" w:color="auto"/>
        <w:right w:val="none" w:sz="0" w:space="0" w:color="auto"/>
      </w:divBdr>
    </w:div>
    <w:div w:id="448429550">
      <w:bodyDiv w:val="1"/>
      <w:marLeft w:val="0"/>
      <w:marRight w:val="0"/>
      <w:marTop w:val="0"/>
      <w:marBottom w:val="0"/>
      <w:divBdr>
        <w:top w:val="none" w:sz="0" w:space="0" w:color="auto"/>
        <w:left w:val="none" w:sz="0" w:space="0" w:color="auto"/>
        <w:bottom w:val="none" w:sz="0" w:space="0" w:color="auto"/>
        <w:right w:val="none" w:sz="0" w:space="0" w:color="auto"/>
      </w:divBdr>
    </w:div>
    <w:div w:id="449469091">
      <w:bodyDiv w:val="1"/>
      <w:marLeft w:val="0"/>
      <w:marRight w:val="0"/>
      <w:marTop w:val="0"/>
      <w:marBottom w:val="0"/>
      <w:divBdr>
        <w:top w:val="none" w:sz="0" w:space="0" w:color="auto"/>
        <w:left w:val="none" w:sz="0" w:space="0" w:color="auto"/>
        <w:bottom w:val="none" w:sz="0" w:space="0" w:color="auto"/>
        <w:right w:val="none" w:sz="0" w:space="0" w:color="auto"/>
      </w:divBdr>
    </w:div>
    <w:div w:id="450169583">
      <w:bodyDiv w:val="1"/>
      <w:marLeft w:val="0"/>
      <w:marRight w:val="0"/>
      <w:marTop w:val="0"/>
      <w:marBottom w:val="0"/>
      <w:divBdr>
        <w:top w:val="none" w:sz="0" w:space="0" w:color="auto"/>
        <w:left w:val="none" w:sz="0" w:space="0" w:color="auto"/>
        <w:bottom w:val="none" w:sz="0" w:space="0" w:color="auto"/>
        <w:right w:val="none" w:sz="0" w:space="0" w:color="auto"/>
      </w:divBdr>
    </w:div>
    <w:div w:id="450638055">
      <w:bodyDiv w:val="1"/>
      <w:marLeft w:val="0"/>
      <w:marRight w:val="0"/>
      <w:marTop w:val="0"/>
      <w:marBottom w:val="0"/>
      <w:divBdr>
        <w:top w:val="none" w:sz="0" w:space="0" w:color="auto"/>
        <w:left w:val="none" w:sz="0" w:space="0" w:color="auto"/>
        <w:bottom w:val="none" w:sz="0" w:space="0" w:color="auto"/>
        <w:right w:val="none" w:sz="0" w:space="0" w:color="auto"/>
      </w:divBdr>
    </w:div>
    <w:div w:id="451753080">
      <w:bodyDiv w:val="1"/>
      <w:marLeft w:val="0"/>
      <w:marRight w:val="0"/>
      <w:marTop w:val="0"/>
      <w:marBottom w:val="0"/>
      <w:divBdr>
        <w:top w:val="none" w:sz="0" w:space="0" w:color="auto"/>
        <w:left w:val="none" w:sz="0" w:space="0" w:color="auto"/>
        <w:bottom w:val="none" w:sz="0" w:space="0" w:color="auto"/>
        <w:right w:val="none" w:sz="0" w:space="0" w:color="auto"/>
      </w:divBdr>
    </w:div>
    <w:div w:id="452208628">
      <w:bodyDiv w:val="1"/>
      <w:marLeft w:val="0"/>
      <w:marRight w:val="0"/>
      <w:marTop w:val="0"/>
      <w:marBottom w:val="0"/>
      <w:divBdr>
        <w:top w:val="none" w:sz="0" w:space="0" w:color="auto"/>
        <w:left w:val="none" w:sz="0" w:space="0" w:color="auto"/>
        <w:bottom w:val="none" w:sz="0" w:space="0" w:color="auto"/>
        <w:right w:val="none" w:sz="0" w:space="0" w:color="auto"/>
      </w:divBdr>
    </w:div>
    <w:div w:id="452330741">
      <w:bodyDiv w:val="1"/>
      <w:marLeft w:val="0"/>
      <w:marRight w:val="0"/>
      <w:marTop w:val="0"/>
      <w:marBottom w:val="0"/>
      <w:divBdr>
        <w:top w:val="none" w:sz="0" w:space="0" w:color="auto"/>
        <w:left w:val="none" w:sz="0" w:space="0" w:color="auto"/>
        <w:bottom w:val="none" w:sz="0" w:space="0" w:color="auto"/>
        <w:right w:val="none" w:sz="0" w:space="0" w:color="auto"/>
      </w:divBdr>
    </w:div>
    <w:div w:id="452408421">
      <w:bodyDiv w:val="1"/>
      <w:marLeft w:val="0"/>
      <w:marRight w:val="0"/>
      <w:marTop w:val="0"/>
      <w:marBottom w:val="0"/>
      <w:divBdr>
        <w:top w:val="none" w:sz="0" w:space="0" w:color="auto"/>
        <w:left w:val="none" w:sz="0" w:space="0" w:color="auto"/>
        <w:bottom w:val="none" w:sz="0" w:space="0" w:color="auto"/>
        <w:right w:val="none" w:sz="0" w:space="0" w:color="auto"/>
      </w:divBdr>
    </w:div>
    <w:div w:id="452753084">
      <w:bodyDiv w:val="1"/>
      <w:marLeft w:val="0"/>
      <w:marRight w:val="0"/>
      <w:marTop w:val="0"/>
      <w:marBottom w:val="0"/>
      <w:divBdr>
        <w:top w:val="none" w:sz="0" w:space="0" w:color="auto"/>
        <w:left w:val="none" w:sz="0" w:space="0" w:color="auto"/>
        <w:bottom w:val="none" w:sz="0" w:space="0" w:color="auto"/>
        <w:right w:val="none" w:sz="0" w:space="0" w:color="auto"/>
      </w:divBdr>
    </w:div>
    <w:div w:id="452788796">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3445420">
      <w:bodyDiv w:val="1"/>
      <w:marLeft w:val="0"/>
      <w:marRight w:val="0"/>
      <w:marTop w:val="0"/>
      <w:marBottom w:val="0"/>
      <w:divBdr>
        <w:top w:val="none" w:sz="0" w:space="0" w:color="auto"/>
        <w:left w:val="none" w:sz="0" w:space="0" w:color="auto"/>
        <w:bottom w:val="none" w:sz="0" w:space="0" w:color="auto"/>
        <w:right w:val="none" w:sz="0" w:space="0" w:color="auto"/>
      </w:divBdr>
    </w:div>
    <w:div w:id="453646275">
      <w:bodyDiv w:val="1"/>
      <w:marLeft w:val="0"/>
      <w:marRight w:val="0"/>
      <w:marTop w:val="0"/>
      <w:marBottom w:val="0"/>
      <w:divBdr>
        <w:top w:val="none" w:sz="0" w:space="0" w:color="auto"/>
        <w:left w:val="none" w:sz="0" w:space="0" w:color="auto"/>
        <w:bottom w:val="none" w:sz="0" w:space="0" w:color="auto"/>
        <w:right w:val="none" w:sz="0" w:space="0" w:color="auto"/>
      </w:divBdr>
    </w:div>
    <w:div w:id="453795377">
      <w:bodyDiv w:val="1"/>
      <w:marLeft w:val="0"/>
      <w:marRight w:val="0"/>
      <w:marTop w:val="0"/>
      <w:marBottom w:val="0"/>
      <w:divBdr>
        <w:top w:val="none" w:sz="0" w:space="0" w:color="auto"/>
        <w:left w:val="none" w:sz="0" w:space="0" w:color="auto"/>
        <w:bottom w:val="none" w:sz="0" w:space="0" w:color="auto"/>
        <w:right w:val="none" w:sz="0" w:space="0" w:color="auto"/>
      </w:divBdr>
    </w:div>
    <w:div w:id="453863456">
      <w:bodyDiv w:val="1"/>
      <w:marLeft w:val="0"/>
      <w:marRight w:val="0"/>
      <w:marTop w:val="0"/>
      <w:marBottom w:val="0"/>
      <w:divBdr>
        <w:top w:val="none" w:sz="0" w:space="0" w:color="auto"/>
        <w:left w:val="none" w:sz="0" w:space="0" w:color="auto"/>
        <w:bottom w:val="none" w:sz="0" w:space="0" w:color="auto"/>
        <w:right w:val="none" w:sz="0" w:space="0" w:color="auto"/>
      </w:divBdr>
    </w:div>
    <w:div w:id="454058193">
      <w:bodyDiv w:val="1"/>
      <w:marLeft w:val="0"/>
      <w:marRight w:val="0"/>
      <w:marTop w:val="0"/>
      <w:marBottom w:val="0"/>
      <w:divBdr>
        <w:top w:val="none" w:sz="0" w:space="0" w:color="auto"/>
        <w:left w:val="none" w:sz="0" w:space="0" w:color="auto"/>
        <w:bottom w:val="none" w:sz="0" w:space="0" w:color="auto"/>
        <w:right w:val="none" w:sz="0" w:space="0" w:color="auto"/>
      </w:divBdr>
    </w:div>
    <w:div w:id="454251605">
      <w:bodyDiv w:val="1"/>
      <w:marLeft w:val="0"/>
      <w:marRight w:val="0"/>
      <w:marTop w:val="0"/>
      <w:marBottom w:val="0"/>
      <w:divBdr>
        <w:top w:val="none" w:sz="0" w:space="0" w:color="auto"/>
        <w:left w:val="none" w:sz="0" w:space="0" w:color="auto"/>
        <w:bottom w:val="none" w:sz="0" w:space="0" w:color="auto"/>
        <w:right w:val="none" w:sz="0" w:space="0" w:color="auto"/>
      </w:divBdr>
    </w:div>
    <w:div w:id="454835175">
      <w:bodyDiv w:val="1"/>
      <w:marLeft w:val="0"/>
      <w:marRight w:val="0"/>
      <w:marTop w:val="0"/>
      <w:marBottom w:val="0"/>
      <w:divBdr>
        <w:top w:val="none" w:sz="0" w:space="0" w:color="auto"/>
        <w:left w:val="none" w:sz="0" w:space="0" w:color="auto"/>
        <w:bottom w:val="none" w:sz="0" w:space="0" w:color="auto"/>
        <w:right w:val="none" w:sz="0" w:space="0" w:color="auto"/>
      </w:divBdr>
    </w:div>
    <w:div w:id="455222348">
      <w:bodyDiv w:val="1"/>
      <w:marLeft w:val="0"/>
      <w:marRight w:val="0"/>
      <w:marTop w:val="0"/>
      <w:marBottom w:val="0"/>
      <w:divBdr>
        <w:top w:val="none" w:sz="0" w:space="0" w:color="auto"/>
        <w:left w:val="none" w:sz="0" w:space="0" w:color="auto"/>
        <w:bottom w:val="none" w:sz="0" w:space="0" w:color="auto"/>
        <w:right w:val="none" w:sz="0" w:space="0" w:color="auto"/>
      </w:divBdr>
    </w:div>
    <w:div w:id="455294533">
      <w:bodyDiv w:val="1"/>
      <w:marLeft w:val="0"/>
      <w:marRight w:val="0"/>
      <w:marTop w:val="0"/>
      <w:marBottom w:val="0"/>
      <w:divBdr>
        <w:top w:val="none" w:sz="0" w:space="0" w:color="auto"/>
        <w:left w:val="none" w:sz="0" w:space="0" w:color="auto"/>
        <w:bottom w:val="none" w:sz="0" w:space="0" w:color="auto"/>
        <w:right w:val="none" w:sz="0" w:space="0" w:color="auto"/>
      </w:divBdr>
    </w:div>
    <w:div w:id="455488709">
      <w:bodyDiv w:val="1"/>
      <w:marLeft w:val="0"/>
      <w:marRight w:val="0"/>
      <w:marTop w:val="0"/>
      <w:marBottom w:val="0"/>
      <w:divBdr>
        <w:top w:val="none" w:sz="0" w:space="0" w:color="auto"/>
        <w:left w:val="none" w:sz="0" w:space="0" w:color="auto"/>
        <w:bottom w:val="none" w:sz="0" w:space="0" w:color="auto"/>
        <w:right w:val="none" w:sz="0" w:space="0" w:color="auto"/>
      </w:divBdr>
    </w:div>
    <w:div w:id="455682201">
      <w:bodyDiv w:val="1"/>
      <w:marLeft w:val="0"/>
      <w:marRight w:val="0"/>
      <w:marTop w:val="0"/>
      <w:marBottom w:val="0"/>
      <w:divBdr>
        <w:top w:val="none" w:sz="0" w:space="0" w:color="auto"/>
        <w:left w:val="none" w:sz="0" w:space="0" w:color="auto"/>
        <w:bottom w:val="none" w:sz="0" w:space="0" w:color="auto"/>
        <w:right w:val="none" w:sz="0" w:space="0" w:color="auto"/>
      </w:divBdr>
    </w:div>
    <w:div w:id="456068973">
      <w:bodyDiv w:val="1"/>
      <w:marLeft w:val="0"/>
      <w:marRight w:val="0"/>
      <w:marTop w:val="0"/>
      <w:marBottom w:val="0"/>
      <w:divBdr>
        <w:top w:val="none" w:sz="0" w:space="0" w:color="auto"/>
        <w:left w:val="none" w:sz="0" w:space="0" w:color="auto"/>
        <w:bottom w:val="none" w:sz="0" w:space="0" w:color="auto"/>
        <w:right w:val="none" w:sz="0" w:space="0" w:color="auto"/>
      </w:divBdr>
    </w:div>
    <w:div w:id="456292937">
      <w:bodyDiv w:val="1"/>
      <w:marLeft w:val="0"/>
      <w:marRight w:val="0"/>
      <w:marTop w:val="0"/>
      <w:marBottom w:val="0"/>
      <w:divBdr>
        <w:top w:val="none" w:sz="0" w:space="0" w:color="auto"/>
        <w:left w:val="none" w:sz="0" w:space="0" w:color="auto"/>
        <w:bottom w:val="none" w:sz="0" w:space="0" w:color="auto"/>
        <w:right w:val="none" w:sz="0" w:space="0" w:color="auto"/>
      </w:divBdr>
    </w:div>
    <w:div w:id="456338090">
      <w:bodyDiv w:val="1"/>
      <w:marLeft w:val="0"/>
      <w:marRight w:val="0"/>
      <w:marTop w:val="0"/>
      <w:marBottom w:val="0"/>
      <w:divBdr>
        <w:top w:val="none" w:sz="0" w:space="0" w:color="auto"/>
        <w:left w:val="none" w:sz="0" w:space="0" w:color="auto"/>
        <w:bottom w:val="none" w:sz="0" w:space="0" w:color="auto"/>
        <w:right w:val="none" w:sz="0" w:space="0" w:color="auto"/>
      </w:divBdr>
    </w:div>
    <w:div w:id="456677278">
      <w:bodyDiv w:val="1"/>
      <w:marLeft w:val="0"/>
      <w:marRight w:val="0"/>
      <w:marTop w:val="0"/>
      <w:marBottom w:val="0"/>
      <w:divBdr>
        <w:top w:val="none" w:sz="0" w:space="0" w:color="auto"/>
        <w:left w:val="none" w:sz="0" w:space="0" w:color="auto"/>
        <w:bottom w:val="none" w:sz="0" w:space="0" w:color="auto"/>
        <w:right w:val="none" w:sz="0" w:space="0" w:color="auto"/>
      </w:divBdr>
    </w:div>
    <w:div w:id="457261018">
      <w:bodyDiv w:val="1"/>
      <w:marLeft w:val="0"/>
      <w:marRight w:val="0"/>
      <w:marTop w:val="0"/>
      <w:marBottom w:val="0"/>
      <w:divBdr>
        <w:top w:val="none" w:sz="0" w:space="0" w:color="auto"/>
        <w:left w:val="none" w:sz="0" w:space="0" w:color="auto"/>
        <w:bottom w:val="none" w:sz="0" w:space="0" w:color="auto"/>
        <w:right w:val="none" w:sz="0" w:space="0" w:color="auto"/>
      </w:divBdr>
    </w:div>
    <w:div w:id="457334404">
      <w:bodyDiv w:val="1"/>
      <w:marLeft w:val="0"/>
      <w:marRight w:val="0"/>
      <w:marTop w:val="0"/>
      <w:marBottom w:val="0"/>
      <w:divBdr>
        <w:top w:val="none" w:sz="0" w:space="0" w:color="auto"/>
        <w:left w:val="none" w:sz="0" w:space="0" w:color="auto"/>
        <w:bottom w:val="none" w:sz="0" w:space="0" w:color="auto"/>
        <w:right w:val="none" w:sz="0" w:space="0" w:color="auto"/>
      </w:divBdr>
    </w:div>
    <w:div w:id="457377752">
      <w:bodyDiv w:val="1"/>
      <w:marLeft w:val="0"/>
      <w:marRight w:val="0"/>
      <w:marTop w:val="0"/>
      <w:marBottom w:val="0"/>
      <w:divBdr>
        <w:top w:val="none" w:sz="0" w:space="0" w:color="auto"/>
        <w:left w:val="none" w:sz="0" w:space="0" w:color="auto"/>
        <w:bottom w:val="none" w:sz="0" w:space="0" w:color="auto"/>
        <w:right w:val="none" w:sz="0" w:space="0" w:color="auto"/>
      </w:divBdr>
    </w:div>
    <w:div w:id="457384085">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57800697">
      <w:bodyDiv w:val="1"/>
      <w:marLeft w:val="0"/>
      <w:marRight w:val="0"/>
      <w:marTop w:val="0"/>
      <w:marBottom w:val="0"/>
      <w:divBdr>
        <w:top w:val="none" w:sz="0" w:space="0" w:color="auto"/>
        <w:left w:val="none" w:sz="0" w:space="0" w:color="auto"/>
        <w:bottom w:val="none" w:sz="0" w:space="0" w:color="auto"/>
        <w:right w:val="none" w:sz="0" w:space="0" w:color="auto"/>
      </w:divBdr>
    </w:div>
    <w:div w:id="457843887">
      <w:bodyDiv w:val="1"/>
      <w:marLeft w:val="0"/>
      <w:marRight w:val="0"/>
      <w:marTop w:val="0"/>
      <w:marBottom w:val="0"/>
      <w:divBdr>
        <w:top w:val="none" w:sz="0" w:space="0" w:color="auto"/>
        <w:left w:val="none" w:sz="0" w:space="0" w:color="auto"/>
        <w:bottom w:val="none" w:sz="0" w:space="0" w:color="auto"/>
        <w:right w:val="none" w:sz="0" w:space="0" w:color="auto"/>
      </w:divBdr>
    </w:div>
    <w:div w:id="458574192">
      <w:bodyDiv w:val="1"/>
      <w:marLeft w:val="0"/>
      <w:marRight w:val="0"/>
      <w:marTop w:val="0"/>
      <w:marBottom w:val="0"/>
      <w:divBdr>
        <w:top w:val="none" w:sz="0" w:space="0" w:color="auto"/>
        <w:left w:val="none" w:sz="0" w:space="0" w:color="auto"/>
        <w:bottom w:val="none" w:sz="0" w:space="0" w:color="auto"/>
        <w:right w:val="none" w:sz="0" w:space="0" w:color="auto"/>
      </w:divBdr>
    </w:div>
    <w:div w:id="458644927">
      <w:bodyDiv w:val="1"/>
      <w:marLeft w:val="0"/>
      <w:marRight w:val="0"/>
      <w:marTop w:val="0"/>
      <w:marBottom w:val="0"/>
      <w:divBdr>
        <w:top w:val="none" w:sz="0" w:space="0" w:color="auto"/>
        <w:left w:val="none" w:sz="0" w:space="0" w:color="auto"/>
        <w:bottom w:val="none" w:sz="0" w:space="0" w:color="auto"/>
        <w:right w:val="none" w:sz="0" w:space="0" w:color="auto"/>
      </w:divBdr>
    </w:div>
    <w:div w:id="459348377">
      <w:bodyDiv w:val="1"/>
      <w:marLeft w:val="0"/>
      <w:marRight w:val="0"/>
      <w:marTop w:val="0"/>
      <w:marBottom w:val="0"/>
      <w:divBdr>
        <w:top w:val="none" w:sz="0" w:space="0" w:color="auto"/>
        <w:left w:val="none" w:sz="0" w:space="0" w:color="auto"/>
        <w:bottom w:val="none" w:sz="0" w:space="0" w:color="auto"/>
        <w:right w:val="none" w:sz="0" w:space="0" w:color="auto"/>
      </w:divBdr>
    </w:div>
    <w:div w:id="459420550">
      <w:bodyDiv w:val="1"/>
      <w:marLeft w:val="0"/>
      <w:marRight w:val="0"/>
      <w:marTop w:val="0"/>
      <w:marBottom w:val="0"/>
      <w:divBdr>
        <w:top w:val="none" w:sz="0" w:space="0" w:color="auto"/>
        <w:left w:val="none" w:sz="0" w:space="0" w:color="auto"/>
        <w:bottom w:val="none" w:sz="0" w:space="0" w:color="auto"/>
        <w:right w:val="none" w:sz="0" w:space="0" w:color="auto"/>
      </w:divBdr>
    </w:div>
    <w:div w:id="459687826">
      <w:bodyDiv w:val="1"/>
      <w:marLeft w:val="0"/>
      <w:marRight w:val="0"/>
      <w:marTop w:val="0"/>
      <w:marBottom w:val="0"/>
      <w:divBdr>
        <w:top w:val="none" w:sz="0" w:space="0" w:color="auto"/>
        <w:left w:val="none" w:sz="0" w:space="0" w:color="auto"/>
        <w:bottom w:val="none" w:sz="0" w:space="0" w:color="auto"/>
        <w:right w:val="none" w:sz="0" w:space="0" w:color="auto"/>
      </w:divBdr>
    </w:div>
    <w:div w:id="460001687">
      <w:bodyDiv w:val="1"/>
      <w:marLeft w:val="0"/>
      <w:marRight w:val="0"/>
      <w:marTop w:val="0"/>
      <w:marBottom w:val="0"/>
      <w:divBdr>
        <w:top w:val="none" w:sz="0" w:space="0" w:color="auto"/>
        <w:left w:val="none" w:sz="0" w:space="0" w:color="auto"/>
        <w:bottom w:val="none" w:sz="0" w:space="0" w:color="auto"/>
        <w:right w:val="none" w:sz="0" w:space="0" w:color="auto"/>
      </w:divBdr>
    </w:div>
    <w:div w:id="460077414">
      <w:bodyDiv w:val="1"/>
      <w:marLeft w:val="0"/>
      <w:marRight w:val="0"/>
      <w:marTop w:val="0"/>
      <w:marBottom w:val="0"/>
      <w:divBdr>
        <w:top w:val="none" w:sz="0" w:space="0" w:color="auto"/>
        <w:left w:val="none" w:sz="0" w:space="0" w:color="auto"/>
        <w:bottom w:val="none" w:sz="0" w:space="0" w:color="auto"/>
        <w:right w:val="none" w:sz="0" w:space="0" w:color="auto"/>
      </w:divBdr>
    </w:div>
    <w:div w:id="460150072">
      <w:bodyDiv w:val="1"/>
      <w:marLeft w:val="0"/>
      <w:marRight w:val="0"/>
      <w:marTop w:val="0"/>
      <w:marBottom w:val="0"/>
      <w:divBdr>
        <w:top w:val="none" w:sz="0" w:space="0" w:color="auto"/>
        <w:left w:val="none" w:sz="0" w:space="0" w:color="auto"/>
        <w:bottom w:val="none" w:sz="0" w:space="0" w:color="auto"/>
        <w:right w:val="none" w:sz="0" w:space="0" w:color="auto"/>
      </w:divBdr>
    </w:div>
    <w:div w:id="460462024">
      <w:bodyDiv w:val="1"/>
      <w:marLeft w:val="0"/>
      <w:marRight w:val="0"/>
      <w:marTop w:val="0"/>
      <w:marBottom w:val="0"/>
      <w:divBdr>
        <w:top w:val="none" w:sz="0" w:space="0" w:color="auto"/>
        <w:left w:val="none" w:sz="0" w:space="0" w:color="auto"/>
        <w:bottom w:val="none" w:sz="0" w:space="0" w:color="auto"/>
        <w:right w:val="none" w:sz="0" w:space="0" w:color="auto"/>
      </w:divBdr>
    </w:div>
    <w:div w:id="460995797">
      <w:bodyDiv w:val="1"/>
      <w:marLeft w:val="0"/>
      <w:marRight w:val="0"/>
      <w:marTop w:val="0"/>
      <w:marBottom w:val="0"/>
      <w:divBdr>
        <w:top w:val="none" w:sz="0" w:space="0" w:color="auto"/>
        <w:left w:val="none" w:sz="0" w:space="0" w:color="auto"/>
        <w:bottom w:val="none" w:sz="0" w:space="0" w:color="auto"/>
        <w:right w:val="none" w:sz="0" w:space="0" w:color="auto"/>
      </w:divBdr>
    </w:div>
    <w:div w:id="461462687">
      <w:bodyDiv w:val="1"/>
      <w:marLeft w:val="0"/>
      <w:marRight w:val="0"/>
      <w:marTop w:val="0"/>
      <w:marBottom w:val="0"/>
      <w:divBdr>
        <w:top w:val="none" w:sz="0" w:space="0" w:color="auto"/>
        <w:left w:val="none" w:sz="0" w:space="0" w:color="auto"/>
        <w:bottom w:val="none" w:sz="0" w:space="0" w:color="auto"/>
        <w:right w:val="none" w:sz="0" w:space="0" w:color="auto"/>
      </w:divBdr>
    </w:div>
    <w:div w:id="461775741">
      <w:bodyDiv w:val="1"/>
      <w:marLeft w:val="0"/>
      <w:marRight w:val="0"/>
      <w:marTop w:val="0"/>
      <w:marBottom w:val="0"/>
      <w:divBdr>
        <w:top w:val="none" w:sz="0" w:space="0" w:color="auto"/>
        <w:left w:val="none" w:sz="0" w:space="0" w:color="auto"/>
        <w:bottom w:val="none" w:sz="0" w:space="0" w:color="auto"/>
        <w:right w:val="none" w:sz="0" w:space="0" w:color="auto"/>
      </w:divBdr>
    </w:div>
    <w:div w:id="462119925">
      <w:bodyDiv w:val="1"/>
      <w:marLeft w:val="0"/>
      <w:marRight w:val="0"/>
      <w:marTop w:val="0"/>
      <w:marBottom w:val="0"/>
      <w:divBdr>
        <w:top w:val="none" w:sz="0" w:space="0" w:color="auto"/>
        <w:left w:val="none" w:sz="0" w:space="0" w:color="auto"/>
        <w:bottom w:val="none" w:sz="0" w:space="0" w:color="auto"/>
        <w:right w:val="none" w:sz="0" w:space="0" w:color="auto"/>
      </w:divBdr>
    </w:div>
    <w:div w:id="462233638">
      <w:bodyDiv w:val="1"/>
      <w:marLeft w:val="0"/>
      <w:marRight w:val="0"/>
      <w:marTop w:val="0"/>
      <w:marBottom w:val="0"/>
      <w:divBdr>
        <w:top w:val="none" w:sz="0" w:space="0" w:color="auto"/>
        <w:left w:val="none" w:sz="0" w:space="0" w:color="auto"/>
        <w:bottom w:val="none" w:sz="0" w:space="0" w:color="auto"/>
        <w:right w:val="none" w:sz="0" w:space="0" w:color="auto"/>
      </w:divBdr>
    </w:div>
    <w:div w:id="462307513">
      <w:bodyDiv w:val="1"/>
      <w:marLeft w:val="0"/>
      <w:marRight w:val="0"/>
      <w:marTop w:val="0"/>
      <w:marBottom w:val="0"/>
      <w:divBdr>
        <w:top w:val="none" w:sz="0" w:space="0" w:color="auto"/>
        <w:left w:val="none" w:sz="0" w:space="0" w:color="auto"/>
        <w:bottom w:val="none" w:sz="0" w:space="0" w:color="auto"/>
        <w:right w:val="none" w:sz="0" w:space="0" w:color="auto"/>
      </w:divBdr>
    </w:div>
    <w:div w:id="462431657">
      <w:bodyDiv w:val="1"/>
      <w:marLeft w:val="0"/>
      <w:marRight w:val="0"/>
      <w:marTop w:val="0"/>
      <w:marBottom w:val="0"/>
      <w:divBdr>
        <w:top w:val="none" w:sz="0" w:space="0" w:color="auto"/>
        <w:left w:val="none" w:sz="0" w:space="0" w:color="auto"/>
        <w:bottom w:val="none" w:sz="0" w:space="0" w:color="auto"/>
        <w:right w:val="none" w:sz="0" w:space="0" w:color="auto"/>
      </w:divBdr>
    </w:div>
    <w:div w:id="462579251">
      <w:bodyDiv w:val="1"/>
      <w:marLeft w:val="0"/>
      <w:marRight w:val="0"/>
      <w:marTop w:val="0"/>
      <w:marBottom w:val="0"/>
      <w:divBdr>
        <w:top w:val="none" w:sz="0" w:space="0" w:color="auto"/>
        <w:left w:val="none" w:sz="0" w:space="0" w:color="auto"/>
        <w:bottom w:val="none" w:sz="0" w:space="0" w:color="auto"/>
        <w:right w:val="none" w:sz="0" w:space="0" w:color="auto"/>
      </w:divBdr>
    </w:div>
    <w:div w:id="462650879">
      <w:bodyDiv w:val="1"/>
      <w:marLeft w:val="0"/>
      <w:marRight w:val="0"/>
      <w:marTop w:val="0"/>
      <w:marBottom w:val="0"/>
      <w:divBdr>
        <w:top w:val="none" w:sz="0" w:space="0" w:color="auto"/>
        <w:left w:val="none" w:sz="0" w:space="0" w:color="auto"/>
        <w:bottom w:val="none" w:sz="0" w:space="0" w:color="auto"/>
        <w:right w:val="none" w:sz="0" w:space="0" w:color="auto"/>
      </w:divBdr>
    </w:div>
    <w:div w:id="462651286">
      <w:bodyDiv w:val="1"/>
      <w:marLeft w:val="0"/>
      <w:marRight w:val="0"/>
      <w:marTop w:val="0"/>
      <w:marBottom w:val="0"/>
      <w:divBdr>
        <w:top w:val="none" w:sz="0" w:space="0" w:color="auto"/>
        <w:left w:val="none" w:sz="0" w:space="0" w:color="auto"/>
        <w:bottom w:val="none" w:sz="0" w:space="0" w:color="auto"/>
        <w:right w:val="none" w:sz="0" w:space="0" w:color="auto"/>
      </w:divBdr>
    </w:div>
    <w:div w:id="462845843">
      <w:bodyDiv w:val="1"/>
      <w:marLeft w:val="0"/>
      <w:marRight w:val="0"/>
      <w:marTop w:val="0"/>
      <w:marBottom w:val="0"/>
      <w:divBdr>
        <w:top w:val="none" w:sz="0" w:space="0" w:color="auto"/>
        <w:left w:val="none" w:sz="0" w:space="0" w:color="auto"/>
        <w:bottom w:val="none" w:sz="0" w:space="0" w:color="auto"/>
        <w:right w:val="none" w:sz="0" w:space="0" w:color="auto"/>
      </w:divBdr>
    </w:div>
    <w:div w:id="463079276">
      <w:bodyDiv w:val="1"/>
      <w:marLeft w:val="0"/>
      <w:marRight w:val="0"/>
      <w:marTop w:val="0"/>
      <w:marBottom w:val="0"/>
      <w:divBdr>
        <w:top w:val="none" w:sz="0" w:space="0" w:color="auto"/>
        <w:left w:val="none" w:sz="0" w:space="0" w:color="auto"/>
        <w:bottom w:val="none" w:sz="0" w:space="0" w:color="auto"/>
        <w:right w:val="none" w:sz="0" w:space="0" w:color="auto"/>
      </w:divBdr>
    </w:div>
    <w:div w:id="463161700">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3818140">
      <w:bodyDiv w:val="1"/>
      <w:marLeft w:val="0"/>
      <w:marRight w:val="0"/>
      <w:marTop w:val="0"/>
      <w:marBottom w:val="0"/>
      <w:divBdr>
        <w:top w:val="none" w:sz="0" w:space="0" w:color="auto"/>
        <w:left w:val="none" w:sz="0" w:space="0" w:color="auto"/>
        <w:bottom w:val="none" w:sz="0" w:space="0" w:color="auto"/>
        <w:right w:val="none" w:sz="0" w:space="0" w:color="auto"/>
      </w:divBdr>
    </w:div>
    <w:div w:id="463890114">
      <w:bodyDiv w:val="1"/>
      <w:marLeft w:val="0"/>
      <w:marRight w:val="0"/>
      <w:marTop w:val="0"/>
      <w:marBottom w:val="0"/>
      <w:divBdr>
        <w:top w:val="none" w:sz="0" w:space="0" w:color="auto"/>
        <w:left w:val="none" w:sz="0" w:space="0" w:color="auto"/>
        <w:bottom w:val="none" w:sz="0" w:space="0" w:color="auto"/>
        <w:right w:val="none" w:sz="0" w:space="0" w:color="auto"/>
      </w:divBdr>
    </w:div>
    <w:div w:id="463891649">
      <w:bodyDiv w:val="1"/>
      <w:marLeft w:val="0"/>
      <w:marRight w:val="0"/>
      <w:marTop w:val="0"/>
      <w:marBottom w:val="0"/>
      <w:divBdr>
        <w:top w:val="none" w:sz="0" w:space="0" w:color="auto"/>
        <w:left w:val="none" w:sz="0" w:space="0" w:color="auto"/>
        <w:bottom w:val="none" w:sz="0" w:space="0" w:color="auto"/>
        <w:right w:val="none" w:sz="0" w:space="0" w:color="auto"/>
      </w:divBdr>
    </w:div>
    <w:div w:id="464273658">
      <w:bodyDiv w:val="1"/>
      <w:marLeft w:val="0"/>
      <w:marRight w:val="0"/>
      <w:marTop w:val="0"/>
      <w:marBottom w:val="0"/>
      <w:divBdr>
        <w:top w:val="none" w:sz="0" w:space="0" w:color="auto"/>
        <w:left w:val="none" w:sz="0" w:space="0" w:color="auto"/>
        <w:bottom w:val="none" w:sz="0" w:space="0" w:color="auto"/>
        <w:right w:val="none" w:sz="0" w:space="0" w:color="auto"/>
      </w:divBdr>
    </w:div>
    <w:div w:id="464466230">
      <w:bodyDiv w:val="1"/>
      <w:marLeft w:val="0"/>
      <w:marRight w:val="0"/>
      <w:marTop w:val="0"/>
      <w:marBottom w:val="0"/>
      <w:divBdr>
        <w:top w:val="none" w:sz="0" w:space="0" w:color="auto"/>
        <w:left w:val="none" w:sz="0" w:space="0" w:color="auto"/>
        <w:bottom w:val="none" w:sz="0" w:space="0" w:color="auto"/>
        <w:right w:val="none" w:sz="0" w:space="0" w:color="auto"/>
      </w:divBdr>
    </w:div>
    <w:div w:id="466435061">
      <w:bodyDiv w:val="1"/>
      <w:marLeft w:val="0"/>
      <w:marRight w:val="0"/>
      <w:marTop w:val="0"/>
      <w:marBottom w:val="0"/>
      <w:divBdr>
        <w:top w:val="none" w:sz="0" w:space="0" w:color="auto"/>
        <w:left w:val="none" w:sz="0" w:space="0" w:color="auto"/>
        <w:bottom w:val="none" w:sz="0" w:space="0" w:color="auto"/>
        <w:right w:val="none" w:sz="0" w:space="0" w:color="auto"/>
      </w:divBdr>
    </w:div>
    <w:div w:id="466778942">
      <w:bodyDiv w:val="1"/>
      <w:marLeft w:val="0"/>
      <w:marRight w:val="0"/>
      <w:marTop w:val="0"/>
      <w:marBottom w:val="0"/>
      <w:divBdr>
        <w:top w:val="none" w:sz="0" w:space="0" w:color="auto"/>
        <w:left w:val="none" w:sz="0" w:space="0" w:color="auto"/>
        <w:bottom w:val="none" w:sz="0" w:space="0" w:color="auto"/>
        <w:right w:val="none" w:sz="0" w:space="0" w:color="auto"/>
      </w:divBdr>
    </w:div>
    <w:div w:id="467893380">
      <w:bodyDiv w:val="1"/>
      <w:marLeft w:val="0"/>
      <w:marRight w:val="0"/>
      <w:marTop w:val="0"/>
      <w:marBottom w:val="0"/>
      <w:divBdr>
        <w:top w:val="none" w:sz="0" w:space="0" w:color="auto"/>
        <w:left w:val="none" w:sz="0" w:space="0" w:color="auto"/>
        <w:bottom w:val="none" w:sz="0" w:space="0" w:color="auto"/>
        <w:right w:val="none" w:sz="0" w:space="0" w:color="auto"/>
      </w:divBdr>
    </w:div>
    <w:div w:id="468060098">
      <w:bodyDiv w:val="1"/>
      <w:marLeft w:val="0"/>
      <w:marRight w:val="0"/>
      <w:marTop w:val="0"/>
      <w:marBottom w:val="0"/>
      <w:divBdr>
        <w:top w:val="none" w:sz="0" w:space="0" w:color="auto"/>
        <w:left w:val="none" w:sz="0" w:space="0" w:color="auto"/>
        <w:bottom w:val="none" w:sz="0" w:space="0" w:color="auto"/>
        <w:right w:val="none" w:sz="0" w:space="0" w:color="auto"/>
      </w:divBdr>
    </w:div>
    <w:div w:id="468133726">
      <w:bodyDiv w:val="1"/>
      <w:marLeft w:val="0"/>
      <w:marRight w:val="0"/>
      <w:marTop w:val="0"/>
      <w:marBottom w:val="0"/>
      <w:divBdr>
        <w:top w:val="none" w:sz="0" w:space="0" w:color="auto"/>
        <w:left w:val="none" w:sz="0" w:space="0" w:color="auto"/>
        <w:bottom w:val="none" w:sz="0" w:space="0" w:color="auto"/>
        <w:right w:val="none" w:sz="0" w:space="0" w:color="auto"/>
      </w:divBdr>
    </w:div>
    <w:div w:id="468591862">
      <w:bodyDiv w:val="1"/>
      <w:marLeft w:val="0"/>
      <w:marRight w:val="0"/>
      <w:marTop w:val="0"/>
      <w:marBottom w:val="0"/>
      <w:divBdr>
        <w:top w:val="none" w:sz="0" w:space="0" w:color="auto"/>
        <w:left w:val="none" w:sz="0" w:space="0" w:color="auto"/>
        <w:bottom w:val="none" w:sz="0" w:space="0" w:color="auto"/>
        <w:right w:val="none" w:sz="0" w:space="0" w:color="auto"/>
      </w:divBdr>
    </w:div>
    <w:div w:id="469129513">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69520756">
      <w:bodyDiv w:val="1"/>
      <w:marLeft w:val="0"/>
      <w:marRight w:val="0"/>
      <w:marTop w:val="0"/>
      <w:marBottom w:val="0"/>
      <w:divBdr>
        <w:top w:val="none" w:sz="0" w:space="0" w:color="auto"/>
        <w:left w:val="none" w:sz="0" w:space="0" w:color="auto"/>
        <w:bottom w:val="none" w:sz="0" w:space="0" w:color="auto"/>
        <w:right w:val="none" w:sz="0" w:space="0" w:color="auto"/>
      </w:divBdr>
    </w:div>
    <w:div w:id="469589574">
      <w:bodyDiv w:val="1"/>
      <w:marLeft w:val="0"/>
      <w:marRight w:val="0"/>
      <w:marTop w:val="0"/>
      <w:marBottom w:val="0"/>
      <w:divBdr>
        <w:top w:val="none" w:sz="0" w:space="0" w:color="auto"/>
        <w:left w:val="none" w:sz="0" w:space="0" w:color="auto"/>
        <w:bottom w:val="none" w:sz="0" w:space="0" w:color="auto"/>
        <w:right w:val="none" w:sz="0" w:space="0" w:color="auto"/>
      </w:divBdr>
    </w:div>
    <w:div w:id="469859209">
      <w:bodyDiv w:val="1"/>
      <w:marLeft w:val="0"/>
      <w:marRight w:val="0"/>
      <w:marTop w:val="0"/>
      <w:marBottom w:val="0"/>
      <w:divBdr>
        <w:top w:val="none" w:sz="0" w:space="0" w:color="auto"/>
        <w:left w:val="none" w:sz="0" w:space="0" w:color="auto"/>
        <w:bottom w:val="none" w:sz="0" w:space="0" w:color="auto"/>
        <w:right w:val="none" w:sz="0" w:space="0" w:color="auto"/>
      </w:divBdr>
    </w:div>
    <w:div w:id="469905273">
      <w:bodyDiv w:val="1"/>
      <w:marLeft w:val="0"/>
      <w:marRight w:val="0"/>
      <w:marTop w:val="0"/>
      <w:marBottom w:val="0"/>
      <w:divBdr>
        <w:top w:val="none" w:sz="0" w:space="0" w:color="auto"/>
        <w:left w:val="none" w:sz="0" w:space="0" w:color="auto"/>
        <w:bottom w:val="none" w:sz="0" w:space="0" w:color="auto"/>
        <w:right w:val="none" w:sz="0" w:space="0" w:color="auto"/>
      </w:divBdr>
    </w:div>
    <w:div w:id="470446409">
      <w:bodyDiv w:val="1"/>
      <w:marLeft w:val="0"/>
      <w:marRight w:val="0"/>
      <w:marTop w:val="0"/>
      <w:marBottom w:val="0"/>
      <w:divBdr>
        <w:top w:val="none" w:sz="0" w:space="0" w:color="auto"/>
        <w:left w:val="none" w:sz="0" w:space="0" w:color="auto"/>
        <w:bottom w:val="none" w:sz="0" w:space="0" w:color="auto"/>
        <w:right w:val="none" w:sz="0" w:space="0" w:color="auto"/>
      </w:divBdr>
    </w:div>
    <w:div w:id="470555662">
      <w:bodyDiv w:val="1"/>
      <w:marLeft w:val="0"/>
      <w:marRight w:val="0"/>
      <w:marTop w:val="0"/>
      <w:marBottom w:val="0"/>
      <w:divBdr>
        <w:top w:val="none" w:sz="0" w:space="0" w:color="auto"/>
        <w:left w:val="none" w:sz="0" w:space="0" w:color="auto"/>
        <w:bottom w:val="none" w:sz="0" w:space="0" w:color="auto"/>
        <w:right w:val="none" w:sz="0" w:space="0" w:color="auto"/>
      </w:divBdr>
    </w:div>
    <w:div w:id="471410752">
      <w:bodyDiv w:val="1"/>
      <w:marLeft w:val="0"/>
      <w:marRight w:val="0"/>
      <w:marTop w:val="0"/>
      <w:marBottom w:val="0"/>
      <w:divBdr>
        <w:top w:val="none" w:sz="0" w:space="0" w:color="auto"/>
        <w:left w:val="none" w:sz="0" w:space="0" w:color="auto"/>
        <w:bottom w:val="none" w:sz="0" w:space="0" w:color="auto"/>
        <w:right w:val="none" w:sz="0" w:space="0" w:color="auto"/>
      </w:divBdr>
    </w:div>
    <w:div w:id="471676118">
      <w:bodyDiv w:val="1"/>
      <w:marLeft w:val="0"/>
      <w:marRight w:val="0"/>
      <w:marTop w:val="0"/>
      <w:marBottom w:val="0"/>
      <w:divBdr>
        <w:top w:val="none" w:sz="0" w:space="0" w:color="auto"/>
        <w:left w:val="none" w:sz="0" w:space="0" w:color="auto"/>
        <w:bottom w:val="none" w:sz="0" w:space="0" w:color="auto"/>
        <w:right w:val="none" w:sz="0" w:space="0" w:color="auto"/>
      </w:divBdr>
    </w:div>
    <w:div w:id="472602474">
      <w:bodyDiv w:val="1"/>
      <w:marLeft w:val="0"/>
      <w:marRight w:val="0"/>
      <w:marTop w:val="0"/>
      <w:marBottom w:val="0"/>
      <w:divBdr>
        <w:top w:val="none" w:sz="0" w:space="0" w:color="auto"/>
        <w:left w:val="none" w:sz="0" w:space="0" w:color="auto"/>
        <w:bottom w:val="none" w:sz="0" w:space="0" w:color="auto"/>
        <w:right w:val="none" w:sz="0" w:space="0" w:color="auto"/>
      </w:divBdr>
    </w:div>
    <w:div w:id="472718335">
      <w:bodyDiv w:val="1"/>
      <w:marLeft w:val="0"/>
      <w:marRight w:val="0"/>
      <w:marTop w:val="0"/>
      <w:marBottom w:val="0"/>
      <w:divBdr>
        <w:top w:val="none" w:sz="0" w:space="0" w:color="auto"/>
        <w:left w:val="none" w:sz="0" w:space="0" w:color="auto"/>
        <w:bottom w:val="none" w:sz="0" w:space="0" w:color="auto"/>
        <w:right w:val="none" w:sz="0" w:space="0" w:color="auto"/>
      </w:divBdr>
    </w:div>
    <w:div w:id="472721269">
      <w:bodyDiv w:val="1"/>
      <w:marLeft w:val="0"/>
      <w:marRight w:val="0"/>
      <w:marTop w:val="0"/>
      <w:marBottom w:val="0"/>
      <w:divBdr>
        <w:top w:val="none" w:sz="0" w:space="0" w:color="auto"/>
        <w:left w:val="none" w:sz="0" w:space="0" w:color="auto"/>
        <w:bottom w:val="none" w:sz="0" w:space="0" w:color="auto"/>
        <w:right w:val="none" w:sz="0" w:space="0" w:color="auto"/>
      </w:divBdr>
    </w:div>
    <w:div w:id="473521674">
      <w:bodyDiv w:val="1"/>
      <w:marLeft w:val="0"/>
      <w:marRight w:val="0"/>
      <w:marTop w:val="0"/>
      <w:marBottom w:val="0"/>
      <w:divBdr>
        <w:top w:val="none" w:sz="0" w:space="0" w:color="auto"/>
        <w:left w:val="none" w:sz="0" w:space="0" w:color="auto"/>
        <w:bottom w:val="none" w:sz="0" w:space="0" w:color="auto"/>
        <w:right w:val="none" w:sz="0" w:space="0" w:color="auto"/>
      </w:divBdr>
    </w:div>
    <w:div w:id="473527434">
      <w:bodyDiv w:val="1"/>
      <w:marLeft w:val="0"/>
      <w:marRight w:val="0"/>
      <w:marTop w:val="0"/>
      <w:marBottom w:val="0"/>
      <w:divBdr>
        <w:top w:val="none" w:sz="0" w:space="0" w:color="auto"/>
        <w:left w:val="none" w:sz="0" w:space="0" w:color="auto"/>
        <w:bottom w:val="none" w:sz="0" w:space="0" w:color="auto"/>
        <w:right w:val="none" w:sz="0" w:space="0" w:color="auto"/>
      </w:divBdr>
    </w:div>
    <w:div w:id="473641631">
      <w:bodyDiv w:val="1"/>
      <w:marLeft w:val="0"/>
      <w:marRight w:val="0"/>
      <w:marTop w:val="0"/>
      <w:marBottom w:val="0"/>
      <w:divBdr>
        <w:top w:val="none" w:sz="0" w:space="0" w:color="auto"/>
        <w:left w:val="none" w:sz="0" w:space="0" w:color="auto"/>
        <w:bottom w:val="none" w:sz="0" w:space="0" w:color="auto"/>
        <w:right w:val="none" w:sz="0" w:space="0" w:color="auto"/>
      </w:divBdr>
    </w:div>
    <w:div w:id="473914747">
      <w:bodyDiv w:val="1"/>
      <w:marLeft w:val="0"/>
      <w:marRight w:val="0"/>
      <w:marTop w:val="0"/>
      <w:marBottom w:val="0"/>
      <w:divBdr>
        <w:top w:val="none" w:sz="0" w:space="0" w:color="auto"/>
        <w:left w:val="none" w:sz="0" w:space="0" w:color="auto"/>
        <w:bottom w:val="none" w:sz="0" w:space="0" w:color="auto"/>
        <w:right w:val="none" w:sz="0" w:space="0" w:color="auto"/>
      </w:divBdr>
    </w:div>
    <w:div w:id="473986898">
      <w:bodyDiv w:val="1"/>
      <w:marLeft w:val="0"/>
      <w:marRight w:val="0"/>
      <w:marTop w:val="0"/>
      <w:marBottom w:val="0"/>
      <w:divBdr>
        <w:top w:val="none" w:sz="0" w:space="0" w:color="auto"/>
        <w:left w:val="none" w:sz="0" w:space="0" w:color="auto"/>
        <w:bottom w:val="none" w:sz="0" w:space="0" w:color="auto"/>
        <w:right w:val="none" w:sz="0" w:space="0" w:color="auto"/>
      </w:divBdr>
    </w:div>
    <w:div w:id="474028372">
      <w:bodyDiv w:val="1"/>
      <w:marLeft w:val="0"/>
      <w:marRight w:val="0"/>
      <w:marTop w:val="0"/>
      <w:marBottom w:val="0"/>
      <w:divBdr>
        <w:top w:val="none" w:sz="0" w:space="0" w:color="auto"/>
        <w:left w:val="none" w:sz="0" w:space="0" w:color="auto"/>
        <w:bottom w:val="none" w:sz="0" w:space="0" w:color="auto"/>
        <w:right w:val="none" w:sz="0" w:space="0" w:color="auto"/>
      </w:divBdr>
    </w:div>
    <w:div w:id="474103315">
      <w:bodyDiv w:val="1"/>
      <w:marLeft w:val="0"/>
      <w:marRight w:val="0"/>
      <w:marTop w:val="0"/>
      <w:marBottom w:val="0"/>
      <w:divBdr>
        <w:top w:val="none" w:sz="0" w:space="0" w:color="auto"/>
        <w:left w:val="none" w:sz="0" w:space="0" w:color="auto"/>
        <w:bottom w:val="none" w:sz="0" w:space="0" w:color="auto"/>
        <w:right w:val="none" w:sz="0" w:space="0" w:color="auto"/>
      </w:divBdr>
    </w:div>
    <w:div w:id="474371225">
      <w:bodyDiv w:val="1"/>
      <w:marLeft w:val="0"/>
      <w:marRight w:val="0"/>
      <w:marTop w:val="0"/>
      <w:marBottom w:val="0"/>
      <w:divBdr>
        <w:top w:val="none" w:sz="0" w:space="0" w:color="auto"/>
        <w:left w:val="none" w:sz="0" w:space="0" w:color="auto"/>
        <w:bottom w:val="none" w:sz="0" w:space="0" w:color="auto"/>
        <w:right w:val="none" w:sz="0" w:space="0" w:color="auto"/>
      </w:divBdr>
    </w:div>
    <w:div w:id="474420199">
      <w:bodyDiv w:val="1"/>
      <w:marLeft w:val="0"/>
      <w:marRight w:val="0"/>
      <w:marTop w:val="0"/>
      <w:marBottom w:val="0"/>
      <w:divBdr>
        <w:top w:val="none" w:sz="0" w:space="0" w:color="auto"/>
        <w:left w:val="none" w:sz="0" w:space="0" w:color="auto"/>
        <w:bottom w:val="none" w:sz="0" w:space="0" w:color="auto"/>
        <w:right w:val="none" w:sz="0" w:space="0" w:color="auto"/>
      </w:divBdr>
    </w:div>
    <w:div w:id="474880062">
      <w:bodyDiv w:val="1"/>
      <w:marLeft w:val="0"/>
      <w:marRight w:val="0"/>
      <w:marTop w:val="0"/>
      <w:marBottom w:val="0"/>
      <w:divBdr>
        <w:top w:val="none" w:sz="0" w:space="0" w:color="auto"/>
        <w:left w:val="none" w:sz="0" w:space="0" w:color="auto"/>
        <w:bottom w:val="none" w:sz="0" w:space="0" w:color="auto"/>
        <w:right w:val="none" w:sz="0" w:space="0" w:color="auto"/>
      </w:divBdr>
    </w:div>
    <w:div w:id="475144921">
      <w:bodyDiv w:val="1"/>
      <w:marLeft w:val="0"/>
      <w:marRight w:val="0"/>
      <w:marTop w:val="0"/>
      <w:marBottom w:val="0"/>
      <w:divBdr>
        <w:top w:val="none" w:sz="0" w:space="0" w:color="auto"/>
        <w:left w:val="none" w:sz="0" w:space="0" w:color="auto"/>
        <w:bottom w:val="none" w:sz="0" w:space="0" w:color="auto"/>
        <w:right w:val="none" w:sz="0" w:space="0" w:color="auto"/>
      </w:divBdr>
    </w:div>
    <w:div w:id="475493641">
      <w:bodyDiv w:val="1"/>
      <w:marLeft w:val="0"/>
      <w:marRight w:val="0"/>
      <w:marTop w:val="0"/>
      <w:marBottom w:val="0"/>
      <w:divBdr>
        <w:top w:val="none" w:sz="0" w:space="0" w:color="auto"/>
        <w:left w:val="none" w:sz="0" w:space="0" w:color="auto"/>
        <w:bottom w:val="none" w:sz="0" w:space="0" w:color="auto"/>
        <w:right w:val="none" w:sz="0" w:space="0" w:color="auto"/>
      </w:divBdr>
    </w:div>
    <w:div w:id="475726106">
      <w:bodyDiv w:val="1"/>
      <w:marLeft w:val="0"/>
      <w:marRight w:val="0"/>
      <w:marTop w:val="0"/>
      <w:marBottom w:val="0"/>
      <w:divBdr>
        <w:top w:val="none" w:sz="0" w:space="0" w:color="auto"/>
        <w:left w:val="none" w:sz="0" w:space="0" w:color="auto"/>
        <w:bottom w:val="none" w:sz="0" w:space="0" w:color="auto"/>
        <w:right w:val="none" w:sz="0" w:space="0" w:color="auto"/>
      </w:divBdr>
    </w:div>
    <w:div w:id="475950845">
      <w:bodyDiv w:val="1"/>
      <w:marLeft w:val="0"/>
      <w:marRight w:val="0"/>
      <w:marTop w:val="0"/>
      <w:marBottom w:val="0"/>
      <w:divBdr>
        <w:top w:val="none" w:sz="0" w:space="0" w:color="auto"/>
        <w:left w:val="none" w:sz="0" w:space="0" w:color="auto"/>
        <w:bottom w:val="none" w:sz="0" w:space="0" w:color="auto"/>
        <w:right w:val="none" w:sz="0" w:space="0" w:color="auto"/>
      </w:divBdr>
    </w:div>
    <w:div w:id="475954784">
      <w:bodyDiv w:val="1"/>
      <w:marLeft w:val="0"/>
      <w:marRight w:val="0"/>
      <w:marTop w:val="0"/>
      <w:marBottom w:val="0"/>
      <w:divBdr>
        <w:top w:val="none" w:sz="0" w:space="0" w:color="auto"/>
        <w:left w:val="none" w:sz="0" w:space="0" w:color="auto"/>
        <w:bottom w:val="none" w:sz="0" w:space="0" w:color="auto"/>
        <w:right w:val="none" w:sz="0" w:space="0" w:color="auto"/>
      </w:divBdr>
    </w:div>
    <w:div w:id="475993053">
      <w:bodyDiv w:val="1"/>
      <w:marLeft w:val="0"/>
      <w:marRight w:val="0"/>
      <w:marTop w:val="0"/>
      <w:marBottom w:val="0"/>
      <w:divBdr>
        <w:top w:val="none" w:sz="0" w:space="0" w:color="auto"/>
        <w:left w:val="none" w:sz="0" w:space="0" w:color="auto"/>
        <w:bottom w:val="none" w:sz="0" w:space="0" w:color="auto"/>
        <w:right w:val="none" w:sz="0" w:space="0" w:color="auto"/>
      </w:divBdr>
    </w:div>
    <w:div w:id="476070149">
      <w:bodyDiv w:val="1"/>
      <w:marLeft w:val="0"/>
      <w:marRight w:val="0"/>
      <w:marTop w:val="0"/>
      <w:marBottom w:val="0"/>
      <w:divBdr>
        <w:top w:val="none" w:sz="0" w:space="0" w:color="auto"/>
        <w:left w:val="none" w:sz="0" w:space="0" w:color="auto"/>
        <w:bottom w:val="none" w:sz="0" w:space="0" w:color="auto"/>
        <w:right w:val="none" w:sz="0" w:space="0" w:color="auto"/>
      </w:divBdr>
    </w:div>
    <w:div w:id="476073998">
      <w:bodyDiv w:val="1"/>
      <w:marLeft w:val="0"/>
      <w:marRight w:val="0"/>
      <w:marTop w:val="0"/>
      <w:marBottom w:val="0"/>
      <w:divBdr>
        <w:top w:val="none" w:sz="0" w:space="0" w:color="auto"/>
        <w:left w:val="none" w:sz="0" w:space="0" w:color="auto"/>
        <w:bottom w:val="none" w:sz="0" w:space="0" w:color="auto"/>
        <w:right w:val="none" w:sz="0" w:space="0" w:color="auto"/>
      </w:divBdr>
    </w:div>
    <w:div w:id="477184071">
      <w:bodyDiv w:val="1"/>
      <w:marLeft w:val="0"/>
      <w:marRight w:val="0"/>
      <w:marTop w:val="0"/>
      <w:marBottom w:val="0"/>
      <w:divBdr>
        <w:top w:val="none" w:sz="0" w:space="0" w:color="auto"/>
        <w:left w:val="none" w:sz="0" w:space="0" w:color="auto"/>
        <w:bottom w:val="none" w:sz="0" w:space="0" w:color="auto"/>
        <w:right w:val="none" w:sz="0" w:space="0" w:color="auto"/>
      </w:divBdr>
    </w:div>
    <w:div w:id="477192618">
      <w:bodyDiv w:val="1"/>
      <w:marLeft w:val="0"/>
      <w:marRight w:val="0"/>
      <w:marTop w:val="0"/>
      <w:marBottom w:val="0"/>
      <w:divBdr>
        <w:top w:val="none" w:sz="0" w:space="0" w:color="auto"/>
        <w:left w:val="none" w:sz="0" w:space="0" w:color="auto"/>
        <w:bottom w:val="none" w:sz="0" w:space="0" w:color="auto"/>
        <w:right w:val="none" w:sz="0" w:space="0" w:color="auto"/>
      </w:divBdr>
    </w:div>
    <w:div w:id="477379438">
      <w:bodyDiv w:val="1"/>
      <w:marLeft w:val="0"/>
      <w:marRight w:val="0"/>
      <w:marTop w:val="0"/>
      <w:marBottom w:val="0"/>
      <w:divBdr>
        <w:top w:val="none" w:sz="0" w:space="0" w:color="auto"/>
        <w:left w:val="none" w:sz="0" w:space="0" w:color="auto"/>
        <w:bottom w:val="none" w:sz="0" w:space="0" w:color="auto"/>
        <w:right w:val="none" w:sz="0" w:space="0" w:color="auto"/>
      </w:divBdr>
    </w:div>
    <w:div w:id="477695837">
      <w:bodyDiv w:val="1"/>
      <w:marLeft w:val="0"/>
      <w:marRight w:val="0"/>
      <w:marTop w:val="0"/>
      <w:marBottom w:val="0"/>
      <w:divBdr>
        <w:top w:val="none" w:sz="0" w:space="0" w:color="auto"/>
        <w:left w:val="none" w:sz="0" w:space="0" w:color="auto"/>
        <w:bottom w:val="none" w:sz="0" w:space="0" w:color="auto"/>
        <w:right w:val="none" w:sz="0" w:space="0" w:color="auto"/>
      </w:divBdr>
    </w:div>
    <w:div w:id="477723495">
      <w:bodyDiv w:val="1"/>
      <w:marLeft w:val="0"/>
      <w:marRight w:val="0"/>
      <w:marTop w:val="0"/>
      <w:marBottom w:val="0"/>
      <w:divBdr>
        <w:top w:val="none" w:sz="0" w:space="0" w:color="auto"/>
        <w:left w:val="none" w:sz="0" w:space="0" w:color="auto"/>
        <w:bottom w:val="none" w:sz="0" w:space="0" w:color="auto"/>
        <w:right w:val="none" w:sz="0" w:space="0" w:color="auto"/>
      </w:divBdr>
    </w:div>
    <w:div w:id="478570377">
      <w:bodyDiv w:val="1"/>
      <w:marLeft w:val="0"/>
      <w:marRight w:val="0"/>
      <w:marTop w:val="0"/>
      <w:marBottom w:val="0"/>
      <w:divBdr>
        <w:top w:val="none" w:sz="0" w:space="0" w:color="auto"/>
        <w:left w:val="none" w:sz="0" w:space="0" w:color="auto"/>
        <w:bottom w:val="none" w:sz="0" w:space="0" w:color="auto"/>
        <w:right w:val="none" w:sz="0" w:space="0" w:color="auto"/>
      </w:divBdr>
    </w:div>
    <w:div w:id="478690952">
      <w:bodyDiv w:val="1"/>
      <w:marLeft w:val="0"/>
      <w:marRight w:val="0"/>
      <w:marTop w:val="0"/>
      <w:marBottom w:val="0"/>
      <w:divBdr>
        <w:top w:val="none" w:sz="0" w:space="0" w:color="auto"/>
        <w:left w:val="none" w:sz="0" w:space="0" w:color="auto"/>
        <w:bottom w:val="none" w:sz="0" w:space="0" w:color="auto"/>
        <w:right w:val="none" w:sz="0" w:space="0" w:color="auto"/>
      </w:divBdr>
    </w:div>
    <w:div w:id="478765873">
      <w:bodyDiv w:val="1"/>
      <w:marLeft w:val="0"/>
      <w:marRight w:val="0"/>
      <w:marTop w:val="0"/>
      <w:marBottom w:val="0"/>
      <w:divBdr>
        <w:top w:val="none" w:sz="0" w:space="0" w:color="auto"/>
        <w:left w:val="none" w:sz="0" w:space="0" w:color="auto"/>
        <w:bottom w:val="none" w:sz="0" w:space="0" w:color="auto"/>
        <w:right w:val="none" w:sz="0" w:space="0" w:color="auto"/>
      </w:divBdr>
    </w:div>
    <w:div w:id="478958960">
      <w:bodyDiv w:val="1"/>
      <w:marLeft w:val="0"/>
      <w:marRight w:val="0"/>
      <w:marTop w:val="0"/>
      <w:marBottom w:val="0"/>
      <w:divBdr>
        <w:top w:val="none" w:sz="0" w:space="0" w:color="auto"/>
        <w:left w:val="none" w:sz="0" w:space="0" w:color="auto"/>
        <w:bottom w:val="none" w:sz="0" w:space="0" w:color="auto"/>
        <w:right w:val="none" w:sz="0" w:space="0" w:color="auto"/>
      </w:divBdr>
    </w:div>
    <w:div w:id="479658830">
      <w:bodyDiv w:val="1"/>
      <w:marLeft w:val="0"/>
      <w:marRight w:val="0"/>
      <w:marTop w:val="0"/>
      <w:marBottom w:val="0"/>
      <w:divBdr>
        <w:top w:val="none" w:sz="0" w:space="0" w:color="auto"/>
        <w:left w:val="none" w:sz="0" w:space="0" w:color="auto"/>
        <w:bottom w:val="none" w:sz="0" w:space="0" w:color="auto"/>
        <w:right w:val="none" w:sz="0" w:space="0" w:color="auto"/>
      </w:divBdr>
    </w:div>
    <w:div w:id="479690141">
      <w:bodyDiv w:val="1"/>
      <w:marLeft w:val="0"/>
      <w:marRight w:val="0"/>
      <w:marTop w:val="0"/>
      <w:marBottom w:val="0"/>
      <w:divBdr>
        <w:top w:val="none" w:sz="0" w:space="0" w:color="auto"/>
        <w:left w:val="none" w:sz="0" w:space="0" w:color="auto"/>
        <w:bottom w:val="none" w:sz="0" w:space="0" w:color="auto"/>
        <w:right w:val="none" w:sz="0" w:space="0" w:color="auto"/>
      </w:divBdr>
    </w:div>
    <w:div w:id="479886128">
      <w:bodyDiv w:val="1"/>
      <w:marLeft w:val="0"/>
      <w:marRight w:val="0"/>
      <w:marTop w:val="0"/>
      <w:marBottom w:val="0"/>
      <w:divBdr>
        <w:top w:val="none" w:sz="0" w:space="0" w:color="auto"/>
        <w:left w:val="none" w:sz="0" w:space="0" w:color="auto"/>
        <w:bottom w:val="none" w:sz="0" w:space="0" w:color="auto"/>
        <w:right w:val="none" w:sz="0" w:space="0" w:color="auto"/>
      </w:divBdr>
    </w:div>
    <w:div w:id="479927627">
      <w:bodyDiv w:val="1"/>
      <w:marLeft w:val="0"/>
      <w:marRight w:val="0"/>
      <w:marTop w:val="0"/>
      <w:marBottom w:val="0"/>
      <w:divBdr>
        <w:top w:val="none" w:sz="0" w:space="0" w:color="auto"/>
        <w:left w:val="none" w:sz="0" w:space="0" w:color="auto"/>
        <w:bottom w:val="none" w:sz="0" w:space="0" w:color="auto"/>
        <w:right w:val="none" w:sz="0" w:space="0" w:color="auto"/>
      </w:divBdr>
    </w:div>
    <w:div w:id="480195729">
      <w:bodyDiv w:val="1"/>
      <w:marLeft w:val="0"/>
      <w:marRight w:val="0"/>
      <w:marTop w:val="0"/>
      <w:marBottom w:val="0"/>
      <w:divBdr>
        <w:top w:val="none" w:sz="0" w:space="0" w:color="auto"/>
        <w:left w:val="none" w:sz="0" w:space="0" w:color="auto"/>
        <w:bottom w:val="none" w:sz="0" w:space="0" w:color="auto"/>
        <w:right w:val="none" w:sz="0" w:space="0" w:color="auto"/>
      </w:divBdr>
    </w:div>
    <w:div w:id="480272925">
      <w:bodyDiv w:val="1"/>
      <w:marLeft w:val="0"/>
      <w:marRight w:val="0"/>
      <w:marTop w:val="0"/>
      <w:marBottom w:val="0"/>
      <w:divBdr>
        <w:top w:val="none" w:sz="0" w:space="0" w:color="auto"/>
        <w:left w:val="none" w:sz="0" w:space="0" w:color="auto"/>
        <w:bottom w:val="none" w:sz="0" w:space="0" w:color="auto"/>
        <w:right w:val="none" w:sz="0" w:space="0" w:color="auto"/>
      </w:divBdr>
    </w:div>
    <w:div w:id="480853117">
      <w:bodyDiv w:val="1"/>
      <w:marLeft w:val="0"/>
      <w:marRight w:val="0"/>
      <w:marTop w:val="0"/>
      <w:marBottom w:val="0"/>
      <w:divBdr>
        <w:top w:val="none" w:sz="0" w:space="0" w:color="auto"/>
        <w:left w:val="none" w:sz="0" w:space="0" w:color="auto"/>
        <w:bottom w:val="none" w:sz="0" w:space="0" w:color="auto"/>
        <w:right w:val="none" w:sz="0" w:space="0" w:color="auto"/>
      </w:divBdr>
    </w:div>
    <w:div w:id="481119561">
      <w:bodyDiv w:val="1"/>
      <w:marLeft w:val="0"/>
      <w:marRight w:val="0"/>
      <w:marTop w:val="0"/>
      <w:marBottom w:val="0"/>
      <w:divBdr>
        <w:top w:val="none" w:sz="0" w:space="0" w:color="auto"/>
        <w:left w:val="none" w:sz="0" w:space="0" w:color="auto"/>
        <w:bottom w:val="none" w:sz="0" w:space="0" w:color="auto"/>
        <w:right w:val="none" w:sz="0" w:space="0" w:color="auto"/>
      </w:divBdr>
    </w:div>
    <w:div w:id="481197213">
      <w:bodyDiv w:val="1"/>
      <w:marLeft w:val="0"/>
      <w:marRight w:val="0"/>
      <w:marTop w:val="0"/>
      <w:marBottom w:val="0"/>
      <w:divBdr>
        <w:top w:val="none" w:sz="0" w:space="0" w:color="auto"/>
        <w:left w:val="none" w:sz="0" w:space="0" w:color="auto"/>
        <w:bottom w:val="none" w:sz="0" w:space="0" w:color="auto"/>
        <w:right w:val="none" w:sz="0" w:space="0" w:color="auto"/>
      </w:divBdr>
    </w:div>
    <w:div w:id="481313549">
      <w:bodyDiv w:val="1"/>
      <w:marLeft w:val="0"/>
      <w:marRight w:val="0"/>
      <w:marTop w:val="0"/>
      <w:marBottom w:val="0"/>
      <w:divBdr>
        <w:top w:val="none" w:sz="0" w:space="0" w:color="auto"/>
        <w:left w:val="none" w:sz="0" w:space="0" w:color="auto"/>
        <w:bottom w:val="none" w:sz="0" w:space="0" w:color="auto"/>
        <w:right w:val="none" w:sz="0" w:space="0" w:color="auto"/>
      </w:divBdr>
    </w:div>
    <w:div w:id="481432313">
      <w:bodyDiv w:val="1"/>
      <w:marLeft w:val="0"/>
      <w:marRight w:val="0"/>
      <w:marTop w:val="0"/>
      <w:marBottom w:val="0"/>
      <w:divBdr>
        <w:top w:val="none" w:sz="0" w:space="0" w:color="auto"/>
        <w:left w:val="none" w:sz="0" w:space="0" w:color="auto"/>
        <w:bottom w:val="none" w:sz="0" w:space="0" w:color="auto"/>
        <w:right w:val="none" w:sz="0" w:space="0" w:color="auto"/>
      </w:divBdr>
    </w:div>
    <w:div w:id="482088715">
      <w:bodyDiv w:val="1"/>
      <w:marLeft w:val="0"/>
      <w:marRight w:val="0"/>
      <w:marTop w:val="0"/>
      <w:marBottom w:val="0"/>
      <w:divBdr>
        <w:top w:val="none" w:sz="0" w:space="0" w:color="auto"/>
        <w:left w:val="none" w:sz="0" w:space="0" w:color="auto"/>
        <w:bottom w:val="none" w:sz="0" w:space="0" w:color="auto"/>
        <w:right w:val="none" w:sz="0" w:space="0" w:color="auto"/>
      </w:divBdr>
    </w:div>
    <w:div w:id="482238741">
      <w:bodyDiv w:val="1"/>
      <w:marLeft w:val="0"/>
      <w:marRight w:val="0"/>
      <w:marTop w:val="0"/>
      <w:marBottom w:val="0"/>
      <w:divBdr>
        <w:top w:val="none" w:sz="0" w:space="0" w:color="auto"/>
        <w:left w:val="none" w:sz="0" w:space="0" w:color="auto"/>
        <w:bottom w:val="none" w:sz="0" w:space="0" w:color="auto"/>
        <w:right w:val="none" w:sz="0" w:space="0" w:color="auto"/>
      </w:divBdr>
    </w:div>
    <w:div w:id="482357036">
      <w:bodyDiv w:val="1"/>
      <w:marLeft w:val="0"/>
      <w:marRight w:val="0"/>
      <w:marTop w:val="0"/>
      <w:marBottom w:val="0"/>
      <w:divBdr>
        <w:top w:val="none" w:sz="0" w:space="0" w:color="auto"/>
        <w:left w:val="none" w:sz="0" w:space="0" w:color="auto"/>
        <w:bottom w:val="none" w:sz="0" w:space="0" w:color="auto"/>
        <w:right w:val="none" w:sz="0" w:space="0" w:color="auto"/>
      </w:divBdr>
    </w:div>
    <w:div w:id="482426970">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2624300">
      <w:bodyDiv w:val="1"/>
      <w:marLeft w:val="0"/>
      <w:marRight w:val="0"/>
      <w:marTop w:val="0"/>
      <w:marBottom w:val="0"/>
      <w:divBdr>
        <w:top w:val="none" w:sz="0" w:space="0" w:color="auto"/>
        <w:left w:val="none" w:sz="0" w:space="0" w:color="auto"/>
        <w:bottom w:val="none" w:sz="0" w:space="0" w:color="auto"/>
        <w:right w:val="none" w:sz="0" w:space="0" w:color="auto"/>
      </w:divBdr>
    </w:div>
    <w:div w:id="482695304">
      <w:bodyDiv w:val="1"/>
      <w:marLeft w:val="0"/>
      <w:marRight w:val="0"/>
      <w:marTop w:val="0"/>
      <w:marBottom w:val="0"/>
      <w:divBdr>
        <w:top w:val="none" w:sz="0" w:space="0" w:color="auto"/>
        <w:left w:val="none" w:sz="0" w:space="0" w:color="auto"/>
        <w:bottom w:val="none" w:sz="0" w:space="0" w:color="auto"/>
        <w:right w:val="none" w:sz="0" w:space="0" w:color="auto"/>
      </w:divBdr>
    </w:div>
    <w:div w:id="482964267">
      <w:bodyDiv w:val="1"/>
      <w:marLeft w:val="0"/>
      <w:marRight w:val="0"/>
      <w:marTop w:val="0"/>
      <w:marBottom w:val="0"/>
      <w:divBdr>
        <w:top w:val="none" w:sz="0" w:space="0" w:color="auto"/>
        <w:left w:val="none" w:sz="0" w:space="0" w:color="auto"/>
        <w:bottom w:val="none" w:sz="0" w:space="0" w:color="auto"/>
        <w:right w:val="none" w:sz="0" w:space="0" w:color="auto"/>
      </w:divBdr>
    </w:div>
    <w:div w:id="483201063">
      <w:bodyDiv w:val="1"/>
      <w:marLeft w:val="0"/>
      <w:marRight w:val="0"/>
      <w:marTop w:val="0"/>
      <w:marBottom w:val="0"/>
      <w:divBdr>
        <w:top w:val="none" w:sz="0" w:space="0" w:color="auto"/>
        <w:left w:val="none" w:sz="0" w:space="0" w:color="auto"/>
        <w:bottom w:val="none" w:sz="0" w:space="0" w:color="auto"/>
        <w:right w:val="none" w:sz="0" w:space="0" w:color="auto"/>
      </w:divBdr>
    </w:div>
    <w:div w:id="483204853">
      <w:bodyDiv w:val="1"/>
      <w:marLeft w:val="0"/>
      <w:marRight w:val="0"/>
      <w:marTop w:val="0"/>
      <w:marBottom w:val="0"/>
      <w:divBdr>
        <w:top w:val="none" w:sz="0" w:space="0" w:color="auto"/>
        <w:left w:val="none" w:sz="0" w:space="0" w:color="auto"/>
        <w:bottom w:val="none" w:sz="0" w:space="0" w:color="auto"/>
        <w:right w:val="none" w:sz="0" w:space="0" w:color="auto"/>
      </w:divBdr>
    </w:div>
    <w:div w:id="483396355">
      <w:bodyDiv w:val="1"/>
      <w:marLeft w:val="0"/>
      <w:marRight w:val="0"/>
      <w:marTop w:val="0"/>
      <w:marBottom w:val="0"/>
      <w:divBdr>
        <w:top w:val="none" w:sz="0" w:space="0" w:color="auto"/>
        <w:left w:val="none" w:sz="0" w:space="0" w:color="auto"/>
        <w:bottom w:val="none" w:sz="0" w:space="0" w:color="auto"/>
        <w:right w:val="none" w:sz="0" w:space="0" w:color="auto"/>
      </w:divBdr>
    </w:div>
    <w:div w:id="483818091">
      <w:bodyDiv w:val="1"/>
      <w:marLeft w:val="0"/>
      <w:marRight w:val="0"/>
      <w:marTop w:val="0"/>
      <w:marBottom w:val="0"/>
      <w:divBdr>
        <w:top w:val="none" w:sz="0" w:space="0" w:color="auto"/>
        <w:left w:val="none" w:sz="0" w:space="0" w:color="auto"/>
        <w:bottom w:val="none" w:sz="0" w:space="0" w:color="auto"/>
        <w:right w:val="none" w:sz="0" w:space="0" w:color="auto"/>
      </w:divBdr>
    </w:div>
    <w:div w:id="484051497">
      <w:bodyDiv w:val="1"/>
      <w:marLeft w:val="0"/>
      <w:marRight w:val="0"/>
      <w:marTop w:val="0"/>
      <w:marBottom w:val="0"/>
      <w:divBdr>
        <w:top w:val="none" w:sz="0" w:space="0" w:color="auto"/>
        <w:left w:val="none" w:sz="0" w:space="0" w:color="auto"/>
        <w:bottom w:val="none" w:sz="0" w:space="0" w:color="auto"/>
        <w:right w:val="none" w:sz="0" w:space="0" w:color="auto"/>
      </w:divBdr>
    </w:div>
    <w:div w:id="484126406">
      <w:bodyDiv w:val="1"/>
      <w:marLeft w:val="0"/>
      <w:marRight w:val="0"/>
      <w:marTop w:val="0"/>
      <w:marBottom w:val="0"/>
      <w:divBdr>
        <w:top w:val="none" w:sz="0" w:space="0" w:color="auto"/>
        <w:left w:val="none" w:sz="0" w:space="0" w:color="auto"/>
        <w:bottom w:val="none" w:sz="0" w:space="0" w:color="auto"/>
        <w:right w:val="none" w:sz="0" w:space="0" w:color="auto"/>
      </w:divBdr>
    </w:div>
    <w:div w:id="484469301">
      <w:bodyDiv w:val="1"/>
      <w:marLeft w:val="0"/>
      <w:marRight w:val="0"/>
      <w:marTop w:val="0"/>
      <w:marBottom w:val="0"/>
      <w:divBdr>
        <w:top w:val="none" w:sz="0" w:space="0" w:color="auto"/>
        <w:left w:val="none" w:sz="0" w:space="0" w:color="auto"/>
        <w:bottom w:val="none" w:sz="0" w:space="0" w:color="auto"/>
        <w:right w:val="none" w:sz="0" w:space="0" w:color="auto"/>
      </w:divBdr>
    </w:div>
    <w:div w:id="484586607">
      <w:bodyDiv w:val="1"/>
      <w:marLeft w:val="0"/>
      <w:marRight w:val="0"/>
      <w:marTop w:val="0"/>
      <w:marBottom w:val="0"/>
      <w:divBdr>
        <w:top w:val="none" w:sz="0" w:space="0" w:color="auto"/>
        <w:left w:val="none" w:sz="0" w:space="0" w:color="auto"/>
        <w:bottom w:val="none" w:sz="0" w:space="0" w:color="auto"/>
        <w:right w:val="none" w:sz="0" w:space="0" w:color="auto"/>
      </w:divBdr>
    </w:div>
    <w:div w:id="484704873">
      <w:bodyDiv w:val="1"/>
      <w:marLeft w:val="0"/>
      <w:marRight w:val="0"/>
      <w:marTop w:val="0"/>
      <w:marBottom w:val="0"/>
      <w:divBdr>
        <w:top w:val="none" w:sz="0" w:space="0" w:color="auto"/>
        <w:left w:val="none" w:sz="0" w:space="0" w:color="auto"/>
        <w:bottom w:val="none" w:sz="0" w:space="0" w:color="auto"/>
        <w:right w:val="none" w:sz="0" w:space="0" w:color="auto"/>
      </w:divBdr>
    </w:div>
    <w:div w:id="484779395">
      <w:bodyDiv w:val="1"/>
      <w:marLeft w:val="0"/>
      <w:marRight w:val="0"/>
      <w:marTop w:val="0"/>
      <w:marBottom w:val="0"/>
      <w:divBdr>
        <w:top w:val="none" w:sz="0" w:space="0" w:color="auto"/>
        <w:left w:val="none" w:sz="0" w:space="0" w:color="auto"/>
        <w:bottom w:val="none" w:sz="0" w:space="0" w:color="auto"/>
        <w:right w:val="none" w:sz="0" w:space="0" w:color="auto"/>
      </w:divBdr>
    </w:div>
    <w:div w:id="484904855">
      <w:bodyDiv w:val="1"/>
      <w:marLeft w:val="0"/>
      <w:marRight w:val="0"/>
      <w:marTop w:val="0"/>
      <w:marBottom w:val="0"/>
      <w:divBdr>
        <w:top w:val="none" w:sz="0" w:space="0" w:color="auto"/>
        <w:left w:val="none" w:sz="0" w:space="0" w:color="auto"/>
        <w:bottom w:val="none" w:sz="0" w:space="0" w:color="auto"/>
        <w:right w:val="none" w:sz="0" w:space="0" w:color="auto"/>
      </w:divBdr>
    </w:div>
    <w:div w:id="484978097">
      <w:bodyDiv w:val="1"/>
      <w:marLeft w:val="0"/>
      <w:marRight w:val="0"/>
      <w:marTop w:val="0"/>
      <w:marBottom w:val="0"/>
      <w:divBdr>
        <w:top w:val="none" w:sz="0" w:space="0" w:color="auto"/>
        <w:left w:val="none" w:sz="0" w:space="0" w:color="auto"/>
        <w:bottom w:val="none" w:sz="0" w:space="0" w:color="auto"/>
        <w:right w:val="none" w:sz="0" w:space="0" w:color="auto"/>
      </w:divBdr>
    </w:div>
    <w:div w:id="485098408">
      <w:bodyDiv w:val="1"/>
      <w:marLeft w:val="0"/>
      <w:marRight w:val="0"/>
      <w:marTop w:val="0"/>
      <w:marBottom w:val="0"/>
      <w:divBdr>
        <w:top w:val="none" w:sz="0" w:space="0" w:color="auto"/>
        <w:left w:val="none" w:sz="0" w:space="0" w:color="auto"/>
        <w:bottom w:val="none" w:sz="0" w:space="0" w:color="auto"/>
        <w:right w:val="none" w:sz="0" w:space="0" w:color="auto"/>
      </w:divBdr>
    </w:div>
    <w:div w:id="485241367">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44319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486093780">
      <w:bodyDiv w:val="1"/>
      <w:marLeft w:val="0"/>
      <w:marRight w:val="0"/>
      <w:marTop w:val="0"/>
      <w:marBottom w:val="0"/>
      <w:divBdr>
        <w:top w:val="none" w:sz="0" w:space="0" w:color="auto"/>
        <w:left w:val="none" w:sz="0" w:space="0" w:color="auto"/>
        <w:bottom w:val="none" w:sz="0" w:space="0" w:color="auto"/>
        <w:right w:val="none" w:sz="0" w:space="0" w:color="auto"/>
      </w:divBdr>
    </w:div>
    <w:div w:id="486164629">
      <w:bodyDiv w:val="1"/>
      <w:marLeft w:val="0"/>
      <w:marRight w:val="0"/>
      <w:marTop w:val="0"/>
      <w:marBottom w:val="0"/>
      <w:divBdr>
        <w:top w:val="none" w:sz="0" w:space="0" w:color="auto"/>
        <w:left w:val="none" w:sz="0" w:space="0" w:color="auto"/>
        <w:bottom w:val="none" w:sz="0" w:space="0" w:color="auto"/>
        <w:right w:val="none" w:sz="0" w:space="0" w:color="auto"/>
      </w:divBdr>
    </w:div>
    <w:div w:id="486166787">
      <w:bodyDiv w:val="1"/>
      <w:marLeft w:val="0"/>
      <w:marRight w:val="0"/>
      <w:marTop w:val="0"/>
      <w:marBottom w:val="0"/>
      <w:divBdr>
        <w:top w:val="none" w:sz="0" w:space="0" w:color="auto"/>
        <w:left w:val="none" w:sz="0" w:space="0" w:color="auto"/>
        <w:bottom w:val="none" w:sz="0" w:space="0" w:color="auto"/>
        <w:right w:val="none" w:sz="0" w:space="0" w:color="auto"/>
      </w:divBdr>
    </w:div>
    <w:div w:id="486282789">
      <w:bodyDiv w:val="1"/>
      <w:marLeft w:val="0"/>
      <w:marRight w:val="0"/>
      <w:marTop w:val="0"/>
      <w:marBottom w:val="0"/>
      <w:divBdr>
        <w:top w:val="none" w:sz="0" w:space="0" w:color="auto"/>
        <w:left w:val="none" w:sz="0" w:space="0" w:color="auto"/>
        <w:bottom w:val="none" w:sz="0" w:space="0" w:color="auto"/>
        <w:right w:val="none" w:sz="0" w:space="0" w:color="auto"/>
      </w:divBdr>
    </w:div>
    <w:div w:id="486287034">
      <w:bodyDiv w:val="1"/>
      <w:marLeft w:val="0"/>
      <w:marRight w:val="0"/>
      <w:marTop w:val="0"/>
      <w:marBottom w:val="0"/>
      <w:divBdr>
        <w:top w:val="none" w:sz="0" w:space="0" w:color="auto"/>
        <w:left w:val="none" w:sz="0" w:space="0" w:color="auto"/>
        <w:bottom w:val="none" w:sz="0" w:space="0" w:color="auto"/>
        <w:right w:val="none" w:sz="0" w:space="0" w:color="auto"/>
      </w:divBdr>
    </w:div>
    <w:div w:id="486408453">
      <w:bodyDiv w:val="1"/>
      <w:marLeft w:val="0"/>
      <w:marRight w:val="0"/>
      <w:marTop w:val="0"/>
      <w:marBottom w:val="0"/>
      <w:divBdr>
        <w:top w:val="none" w:sz="0" w:space="0" w:color="auto"/>
        <w:left w:val="none" w:sz="0" w:space="0" w:color="auto"/>
        <w:bottom w:val="none" w:sz="0" w:space="0" w:color="auto"/>
        <w:right w:val="none" w:sz="0" w:space="0" w:color="auto"/>
      </w:divBdr>
    </w:div>
    <w:div w:id="486895579">
      <w:bodyDiv w:val="1"/>
      <w:marLeft w:val="0"/>
      <w:marRight w:val="0"/>
      <w:marTop w:val="0"/>
      <w:marBottom w:val="0"/>
      <w:divBdr>
        <w:top w:val="none" w:sz="0" w:space="0" w:color="auto"/>
        <w:left w:val="none" w:sz="0" w:space="0" w:color="auto"/>
        <w:bottom w:val="none" w:sz="0" w:space="0" w:color="auto"/>
        <w:right w:val="none" w:sz="0" w:space="0" w:color="auto"/>
      </w:divBdr>
    </w:div>
    <w:div w:id="487325924">
      <w:bodyDiv w:val="1"/>
      <w:marLeft w:val="0"/>
      <w:marRight w:val="0"/>
      <w:marTop w:val="0"/>
      <w:marBottom w:val="0"/>
      <w:divBdr>
        <w:top w:val="none" w:sz="0" w:space="0" w:color="auto"/>
        <w:left w:val="none" w:sz="0" w:space="0" w:color="auto"/>
        <w:bottom w:val="none" w:sz="0" w:space="0" w:color="auto"/>
        <w:right w:val="none" w:sz="0" w:space="0" w:color="auto"/>
      </w:divBdr>
    </w:div>
    <w:div w:id="487551313">
      <w:bodyDiv w:val="1"/>
      <w:marLeft w:val="0"/>
      <w:marRight w:val="0"/>
      <w:marTop w:val="0"/>
      <w:marBottom w:val="0"/>
      <w:divBdr>
        <w:top w:val="none" w:sz="0" w:space="0" w:color="auto"/>
        <w:left w:val="none" w:sz="0" w:space="0" w:color="auto"/>
        <w:bottom w:val="none" w:sz="0" w:space="0" w:color="auto"/>
        <w:right w:val="none" w:sz="0" w:space="0" w:color="auto"/>
      </w:divBdr>
    </w:div>
    <w:div w:id="487795330">
      <w:bodyDiv w:val="1"/>
      <w:marLeft w:val="0"/>
      <w:marRight w:val="0"/>
      <w:marTop w:val="0"/>
      <w:marBottom w:val="0"/>
      <w:divBdr>
        <w:top w:val="none" w:sz="0" w:space="0" w:color="auto"/>
        <w:left w:val="none" w:sz="0" w:space="0" w:color="auto"/>
        <w:bottom w:val="none" w:sz="0" w:space="0" w:color="auto"/>
        <w:right w:val="none" w:sz="0" w:space="0" w:color="auto"/>
      </w:divBdr>
    </w:div>
    <w:div w:id="487862503">
      <w:bodyDiv w:val="1"/>
      <w:marLeft w:val="0"/>
      <w:marRight w:val="0"/>
      <w:marTop w:val="0"/>
      <w:marBottom w:val="0"/>
      <w:divBdr>
        <w:top w:val="none" w:sz="0" w:space="0" w:color="auto"/>
        <w:left w:val="none" w:sz="0" w:space="0" w:color="auto"/>
        <w:bottom w:val="none" w:sz="0" w:space="0" w:color="auto"/>
        <w:right w:val="none" w:sz="0" w:space="0" w:color="auto"/>
      </w:divBdr>
    </w:div>
    <w:div w:id="488443737">
      <w:bodyDiv w:val="1"/>
      <w:marLeft w:val="0"/>
      <w:marRight w:val="0"/>
      <w:marTop w:val="0"/>
      <w:marBottom w:val="0"/>
      <w:divBdr>
        <w:top w:val="none" w:sz="0" w:space="0" w:color="auto"/>
        <w:left w:val="none" w:sz="0" w:space="0" w:color="auto"/>
        <w:bottom w:val="none" w:sz="0" w:space="0" w:color="auto"/>
        <w:right w:val="none" w:sz="0" w:space="0" w:color="auto"/>
      </w:divBdr>
    </w:div>
    <w:div w:id="488637213">
      <w:bodyDiv w:val="1"/>
      <w:marLeft w:val="0"/>
      <w:marRight w:val="0"/>
      <w:marTop w:val="0"/>
      <w:marBottom w:val="0"/>
      <w:divBdr>
        <w:top w:val="none" w:sz="0" w:space="0" w:color="auto"/>
        <w:left w:val="none" w:sz="0" w:space="0" w:color="auto"/>
        <w:bottom w:val="none" w:sz="0" w:space="0" w:color="auto"/>
        <w:right w:val="none" w:sz="0" w:space="0" w:color="auto"/>
      </w:divBdr>
    </w:div>
    <w:div w:id="488793247">
      <w:bodyDiv w:val="1"/>
      <w:marLeft w:val="0"/>
      <w:marRight w:val="0"/>
      <w:marTop w:val="0"/>
      <w:marBottom w:val="0"/>
      <w:divBdr>
        <w:top w:val="none" w:sz="0" w:space="0" w:color="auto"/>
        <w:left w:val="none" w:sz="0" w:space="0" w:color="auto"/>
        <w:bottom w:val="none" w:sz="0" w:space="0" w:color="auto"/>
        <w:right w:val="none" w:sz="0" w:space="0" w:color="auto"/>
      </w:divBdr>
    </w:div>
    <w:div w:id="488834209">
      <w:bodyDiv w:val="1"/>
      <w:marLeft w:val="0"/>
      <w:marRight w:val="0"/>
      <w:marTop w:val="0"/>
      <w:marBottom w:val="0"/>
      <w:divBdr>
        <w:top w:val="none" w:sz="0" w:space="0" w:color="auto"/>
        <w:left w:val="none" w:sz="0" w:space="0" w:color="auto"/>
        <w:bottom w:val="none" w:sz="0" w:space="0" w:color="auto"/>
        <w:right w:val="none" w:sz="0" w:space="0" w:color="auto"/>
      </w:divBdr>
    </w:div>
    <w:div w:id="488987195">
      <w:bodyDiv w:val="1"/>
      <w:marLeft w:val="0"/>
      <w:marRight w:val="0"/>
      <w:marTop w:val="0"/>
      <w:marBottom w:val="0"/>
      <w:divBdr>
        <w:top w:val="none" w:sz="0" w:space="0" w:color="auto"/>
        <w:left w:val="none" w:sz="0" w:space="0" w:color="auto"/>
        <w:bottom w:val="none" w:sz="0" w:space="0" w:color="auto"/>
        <w:right w:val="none" w:sz="0" w:space="0" w:color="auto"/>
      </w:divBdr>
    </w:div>
    <w:div w:id="489098295">
      <w:bodyDiv w:val="1"/>
      <w:marLeft w:val="0"/>
      <w:marRight w:val="0"/>
      <w:marTop w:val="0"/>
      <w:marBottom w:val="0"/>
      <w:divBdr>
        <w:top w:val="none" w:sz="0" w:space="0" w:color="auto"/>
        <w:left w:val="none" w:sz="0" w:space="0" w:color="auto"/>
        <w:bottom w:val="none" w:sz="0" w:space="0" w:color="auto"/>
        <w:right w:val="none" w:sz="0" w:space="0" w:color="auto"/>
      </w:divBdr>
    </w:div>
    <w:div w:id="489102121">
      <w:bodyDiv w:val="1"/>
      <w:marLeft w:val="0"/>
      <w:marRight w:val="0"/>
      <w:marTop w:val="0"/>
      <w:marBottom w:val="0"/>
      <w:divBdr>
        <w:top w:val="none" w:sz="0" w:space="0" w:color="auto"/>
        <w:left w:val="none" w:sz="0" w:space="0" w:color="auto"/>
        <w:bottom w:val="none" w:sz="0" w:space="0" w:color="auto"/>
        <w:right w:val="none" w:sz="0" w:space="0" w:color="auto"/>
      </w:divBdr>
    </w:div>
    <w:div w:id="489172436">
      <w:bodyDiv w:val="1"/>
      <w:marLeft w:val="0"/>
      <w:marRight w:val="0"/>
      <w:marTop w:val="0"/>
      <w:marBottom w:val="0"/>
      <w:divBdr>
        <w:top w:val="none" w:sz="0" w:space="0" w:color="auto"/>
        <w:left w:val="none" w:sz="0" w:space="0" w:color="auto"/>
        <w:bottom w:val="none" w:sz="0" w:space="0" w:color="auto"/>
        <w:right w:val="none" w:sz="0" w:space="0" w:color="auto"/>
      </w:divBdr>
    </w:div>
    <w:div w:id="489370659">
      <w:bodyDiv w:val="1"/>
      <w:marLeft w:val="0"/>
      <w:marRight w:val="0"/>
      <w:marTop w:val="0"/>
      <w:marBottom w:val="0"/>
      <w:divBdr>
        <w:top w:val="none" w:sz="0" w:space="0" w:color="auto"/>
        <w:left w:val="none" w:sz="0" w:space="0" w:color="auto"/>
        <w:bottom w:val="none" w:sz="0" w:space="0" w:color="auto"/>
        <w:right w:val="none" w:sz="0" w:space="0" w:color="auto"/>
      </w:divBdr>
    </w:div>
    <w:div w:id="489371183">
      <w:bodyDiv w:val="1"/>
      <w:marLeft w:val="0"/>
      <w:marRight w:val="0"/>
      <w:marTop w:val="0"/>
      <w:marBottom w:val="0"/>
      <w:divBdr>
        <w:top w:val="none" w:sz="0" w:space="0" w:color="auto"/>
        <w:left w:val="none" w:sz="0" w:space="0" w:color="auto"/>
        <w:bottom w:val="none" w:sz="0" w:space="0" w:color="auto"/>
        <w:right w:val="none" w:sz="0" w:space="0" w:color="auto"/>
      </w:divBdr>
    </w:div>
    <w:div w:id="489374556">
      <w:bodyDiv w:val="1"/>
      <w:marLeft w:val="0"/>
      <w:marRight w:val="0"/>
      <w:marTop w:val="0"/>
      <w:marBottom w:val="0"/>
      <w:divBdr>
        <w:top w:val="none" w:sz="0" w:space="0" w:color="auto"/>
        <w:left w:val="none" w:sz="0" w:space="0" w:color="auto"/>
        <w:bottom w:val="none" w:sz="0" w:space="0" w:color="auto"/>
        <w:right w:val="none" w:sz="0" w:space="0" w:color="auto"/>
      </w:divBdr>
    </w:div>
    <w:div w:id="489950092">
      <w:bodyDiv w:val="1"/>
      <w:marLeft w:val="0"/>
      <w:marRight w:val="0"/>
      <w:marTop w:val="0"/>
      <w:marBottom w:val="0"/>
      <w:divBdr>
        <w:top w:val="none" w:sz="0" w:space="0" w:color="auto"/>
        <w:left w:val="none" w:sz="0" w:space="0" w:color="auto"/>
        <w:bottom w:val="none" w:sz="0" w:space="0" w:color="auto"/>
        <w:right w:val="none" w:sz="0" w:space="0" w:color="auto"/>
      </w:divBdr>
    </w:div>
    <w:div w:id="490213850">
      <w:bodyDiv w:val="1"/>
      <w:marLeft w:val="0"/>
      <w:marRight w:val="0"/>
      <w:marTop w:val="0"/>
      <w:marBottom w:val="0"/>
      <w:divBdr>
        <w:top w:val="none" w:sz="0" w:space="0" w:color="auto"/>
        <w:left w:val="none" w:sz="0" w:space="0" w:color="auto"/>
        <w:bottom w:val="none" w:sz="0" w:space="0" w:color="auto"/>
        <w:right w:val="none" w:sz="0" w:space="0" w:color="auto"/>
      </w:divBdr>
    </w:div>
    <w:div w:id="490370452">
      <w:bodyDiv w:val="1"/>
      <w:marLeft w:val="0"/>
      <w:marRight w:val="0"/>
      <w:marTop w:val="0"/>
      <w:marBottom w:val="0"/>
      <w:divBdr>
        <w:top w:val="none" w:sz="0" w:space="0" w:color="auto"/>
        <w:left w:val="none" w:sz="0" w:space="0" w:color="auto"/>
        <w:bottom w:val="none" w:sz="0" w:space="0" w:color="auto"/>
        <w:right w:val="none" w:sz="0" w:space="0" w:color="auto"/>
      </w:divBdr>
    </w:div>
    <w:div w:id="490606878">
      <w:bodyDiv w:val="1"/>
      <w:marLeft w:val="0"/>
      <w:marRight w:val="0"/>
      <w:marTop w:val="0"/>
      <w:marBottom w:val="0"/>
      <w:divBdr>
        <w:top w:val="none" w:sz="0" w:space="0" w:color="auto"/>
        <w:left w:val="none" w:sz="0" w:space="0" w:color="auto"/>
        <w:bottom w:val="none" w:sz="0" w:space="0" w:color="auto"/>
        <w:right w:val="none" w:sz="0" w:space="0" w:color="auto"/>
      </w:divBdr>
    </w:div>
    <w:div w:id="491409964">
      <w:bodyDiv w:val="1"/>
      <w:marLeft w:val="0"/>
      <w:marRight w:val="0"/>
      <w:marTop w:val="0"/>
      <w:marBottom w:val="0"/>
      <w:divBdr>
        <w:top w:val="none" w:sz="0" w:space="0" w:color="auto"/>
        <w:left w:val="none" w:sz="0" w:space="0" w:color="auto"/>
        <w:bottom w:val="none" w:sz="0" w:space="0" w:color="auto"/>
        <w:right w:val="none" w:sz="0" w:space="0" w:color="auto"/>
      </w:divBdr>
    </w:div>
    <w:div w:id="491457929">
      <w:bodyDiv w:val="1"/>
      <w:marLeft w:val="0"/>
      <w:marRight w:val="0"/>
      <w:marTop w:val="0"/>
      <w:marBottom w:val="0"/>
      <w:divBdr>
        <w:top w:val="none" w:sz="0" w:space="0" w:color="auto"/>
        <w:left w:val="none" w:sz="0" w:space="0" w:color="auto"/>
        <w:bottom w:val="none" w:sz="0" w:space="0" w:color="auto"/>
        <w:right w:val="none" w:sz="0" w:space="0" w:color="auto"/>
      </w:divBdr>
    </w:div>
    <w:div w:id="491682628">
      <w:bodyDiv w:val="1"/>
      <w:marLeft w:val="0"/>
      <w:marRight w:val="0"/>
      <w:marTop w:val="0"/>
      <w:marBottom w:val="0"/>
      <w:divBdr>
        <w:top w:val="none" w:sz="0" w:space="0" w:color="auto"/>
        <w:left w:val="none" w:sz="0" w:space="0" w:color="auto"/>
        <w:bottom w:val="none" w:sz="0" w:space="0" w:color="auto"/>
        <w:right w:val="none" w:sz="0" w:space="0" w:color="auto"/>
      </w:divBdr>
    </w:div>
    <w:div w:id="491793881">
      <w:bodyDiv w:val="1"/>
      <w:marLeft w:val="0"/>
      <w:marRight w:val="0"/>
      <w:marTop w:val="0"/>
      <w:marBottom w:val="0"/>
      <w:divBdr>
        <w:top w:val="none" w:sz="0" w:space="0" w:color="auto"/>
        <w:left w:val="none" w:sz="0" w:space="0" w:color="auto"/>
        <w:bottom w:val="none" w:sz="0" w:space="0" w:color="auto"/>
        <w:right w:val="none" w:sz="0" w:space="0" w:color="auto"/>
      </w:divBdr>
    </w:div>
    <w:div w:id="492071036">
      <w:bodyDiv w:val="1"/>
      <w:marLeft w:val="0"/>
      <w:marRight w:val="0"/>
      <w:marTop w:val="0"/>
      <w:marBottom w:val="0"/>
      <w:divBdr>
        <w:top w:val="none" w:sz="0" w:space="0" w:color="auto"/>
        <w:left w:val="none" w:sz="0" w:space="0" w:color="auto"/>
        <w:bottom w:val="none" w:sz="0" w:space="0" w:color="auto"/>
        <w:right w:val="none" w:sz="0" w:space="0" w:color="auto"/>
      </w:divBdr>
    </w:div>
    <w:div w:id="492188637">
      <w:bodyDiv w:val="1"/>
      <w:marLeft w:val="0"/>
      <w:marRight w:val="0"/>
      <w:marTop w:val="0"/>
      <w:marBottom w:val="0"/>
      <w:divBdr>
        <w:top w:val="none" w:sz="0" w:space="0" w:color="auto"/>
        <w:left w:val="none" w:sz="0" w:space="0" w:color="auto"/>
        <w:bottom w:val="none" w:sz="0" w:space="0" w:color="auto"/>
        <w:right w:val="none" w:sz="0" w:space="0" w:color="auto"/>
      </w:divBdr>
    </w:div>
    <w:div w:id="492642103">
      <w:bodyDiv w:val="1"/>
      <w:marLeft w:val="0"/>
      <w:marRight w:val="0"/>
      <w:marTop w:val="0"/>
      <w:marBottom w:val="0"/>
      <w:divBdr>
        <w:top w:val="none" w:sz="0" w:space="0" w:color="auto"/>
        <w:left w:val="none" w:sz="0" w:space="0" w:color="auto"/>
        <w:bottom w:val="none" w:sz="0" w:space="0" w:color="auto"/>
        <w:right w:val="none" w:sz="0" w:space="0" w:color="auto"/>
      </w:divBdr>
    </w:div>
    <w:div w:id="492765912">
      <w:bodyDiv w:val="1"/>
      <w:marLeft w:val="0"/>
      <w:marRight w:val="0"/>
      <w:marTop w:val="0"/>
      <w:marBottom w:val="0"/>
      <w:divBdr>
        <w:top w:val="none" w:sz="0" w:space="0" w:color="auto"/>
        <w:left w:val="none" w:sz="0" w:space="0" w:color="auto"/>
        <w:bottom w:val="none" w:sz="0" w:space="0" w:color="auto"/>
        <w:right w:val="none" w:sz="0" w:space="0" w:color="auto"/>
      </w:divBdr>
    </w:div>
    <w:div w:id="492985925">
      <w:bodyDiv w:val="1"/>
      <w:marLeft w:val="0"/>
      <w:marRight w:val="0"/>
      <w:marTop w:val="0"/>
      <w:marBottom w:val="0"/>
      <w:divBdr>
        <w:top w:val="none" w:sz="0" w:space="0" w:color="auto"/>
        <w:left w:val="none" w:sz="0" w:space="0" w:color="auto"/>
        <w:bottom w:val="none" w:sz="0" w:space="0" w:color="auto"/>
        <w:right w:val="none" w:sz="0" w:space="0" w:color="auto"/>
      </w:divBdr>
    </w:div>
    <w:div w:id="493495823">
      <w:bodyDiv w:val="1"/>
      <w:marLeft w:val="0"/>
      <w:marRight w:val="0"/>
      <w:marTop w:val="0"/>
      <w:marBottom w:val="0"/>
      <w:divBdr>
        <w:top w:val="none" w:sz="0" w:space="0" w:color="auto"/>
        <w:left w:val="none" w:sz="0" w:space="0" w:color="auto"/>
        <w:bottom w:val="none" w:sz="0" w:space="0" w:color="auto"/>
        <w:right w:val="none" w:sz="0" w:space="0" w:color="auto"/>
      </w:divBdr>
    </w:div>
    <w:div w:id="493572793">
      <w:bodyDiv w:val="1"/>
      <w:marLeft w:val="0"/>
      <w:marRight w:val="0"/>
      <w:marTop w:val="0"/>
      <w:marBottom w:val="0"/>
      <w:divBdr>
        <w:top w:val="none" w:sz="0" w:space="0" w:color="auto"/>
        <w:left w:val="none" w:sz="0" w:space="0" w:color="auto"/>
        <w:bottom w:val="none" w:sz="0" w:space="0" w:color="auto"/>
        <w:right w:val="none" w:sz="0" w:space="0" w:color="auto"/>
      </w:divBdr>
    </w:div>
    <w:div w:id="493572895">
      <w:bodyDiv w:val="1"/>
      <w:marLeft w:val="0"/>
      <w:marRight w:val="0"/>
      <w:marTop w:val="0"/>
      <w:marBottom w:val="0"/>
      <w:divBdr>
        <w:top w:val="none" w:sz="0" w:space="0" w:color="auto"/>
        <w:left w:val="none" w:sz="0" w:space="0" w:color="auto"/>
        <w:bottom w:val="none" w:sz="0" w:space="0" w:color="auto"/>
        <w:right w:val="none" w:sz="0" w:space="0" w:color="auto"/>
      </w:divBdr>
    </w:div>
    <w:div w:id="493684966">
      <w:bodyDiv w:val="1"/>
      <w:marLeft w:val="0"/>
      <w:marRight w:val="0"/>
      <w:marTop w:val="0"/>
      <w:marBottom w:val="0"/>
      <w:divBdr>
        <w:top w:val="none" w:sz="0" w:space="0" w:color="auto"/>
        <w:left w:val="none" w:sz="0" w:space="0" w:color="auto"/>
        <w:bottom w:val="none" w:sz="0" w:space="0" w:color="auto"/>
        <w:right w:val="none" w:sz="0" w:space="0" w:color="auto"/>
      </w:divBdr>
    </w:div>
    <w:div w:id="494075936">
      <w:bodyDiv w:val="1"/>
      <w:marLeft w:val="0"/>
      <w:marRight w:val="0"/>
      <w:marTop w:val="0"/>
      <w:marBottom w:val="0"/>
      <w:divBdr>
        <w:top w:val="none" w:sz="0" w:space="0" w:color="auto"/>
        <w:left w:val="none" w:sz="0" w:space="0" w:color="auto"/>
        <w:bottom w:val="none" w:sz="0" w:space="0" w:color="auto"/>
        <w:right w:val="none" w:sz="0" w:space="0" w:color="auto"/>
      </w:divBdr>
    </w:div>
    <w:div w:id="494417576">
      <w:bodyDiv w:val="1"/>
      <w:marLeft w:val="0"/>
      <w:marRight w:val="0"/>
      <w:marTop w:val="0"/>
      <w:marBottom w:val="0"/>
      <w:divBdr>
        <w:top w:val="none" w:sz="0" w:space="0" w:color="auto"/>
        <w:left w:val="none" w:sz="0" w:space="0" w:color="auto"/>
        <w:bottom w:val="none" w:sz="0" w:space="0" w:color="auto"/>
        <w:right w:val="none" w:sz="0" w:space="0" w:color="auto"/>
      </w:divBdr>
    </w:div>
    <w:div w:id="494612028">
      <w:bodyDiv w:val="1"/>
      <w:marLeft w:val="0"/>
      <w:marRight w:val="0"/>
      <w:marTop w:val="0"/>
      <w:marBottom w:val="0"/>
      <w:divBdr>
        <w:top w:val="none" w:sz="0" w:space="0" w:color="auto"/>
        <w:left w:val="none" w:sz="0" w:space="0" w:color="auto"/>
        <w:bottom w:val="none" w:sz="0" w:space="0" w:color="auto"/>
        <w:right w:val="none" w:sz="0" w:space="0" w:color="auto"/>
      </w:divBdr>
    </w:div>
    <w:div w:id="494685429">
      <w:bodyDiv w:val="1"/>
      <w:marLeft w:val="0"/>
      <w:marRight w:val="0"/>
      <w:marTop w:val="0"/>
      <w:marBottom w:val="0"/>
      <w:divBdr>
        <w:top w:val="none" w:sz="0" w:space="0" w:color="auto"/>
        <w:left w:val="none" w:sz="0" w:space="0" w:color="auto"/>
        <w:bottom w:val="none" w:sz="0" w:space="0" w:color="auto"/>
        <w:right w:val="none" w:sz="0" w:space="0" w:color="auto"/>
      </w:divBdr>
    </w:div>
    <w:div w:id="494732966">
      <w:bodyDiv w:val="1"/>
      <w:marLeft w:val="0"/>
      <w:marRight w:val="0"/>
      <w:marTop w:val="0"/>
      <w:marBottom w:val="0"/>
      <w:divBdr>
        <w:top w:val="none" w:sz="0" w:space="0" w:color="auto"/>
        <w:left w:val="none" w:sz="0" w:space="0" w:color="auto"/>
        <w:bottom w:val="none" w:sz="0" w:space="0" w:color="auto"/>
        <w:right w:val="none" w:sz="0" w:space="0" w:color="auto"/>
      </w:divBdr>
    </w:div>
    <w:div w:id="494760275">
      <w:bodyDiv w:val="1"/>
      <w:marLeft w:val="0"/>
      <w:marRight w:val="0"/>
      <w:marTop w:val="0"/>
      <w:marBottom w:val="0"/>
      <w:divBdr>
        <w:top w:val="none" w:sz="0" w:space="0" w:color="auto"/>
        <w:left w:val="none" w:sz="0" w:space="0" w:color="auto"/>
        <w:bottom w:val="none" w:sz="0" w:space="0" w:color="auto"/>
        <w:right w:val="none" w:sz="0" w:space="0" w:color="auto"/>
      </w:divBdr>
    </w:div>
    <w:div w:id="494761448">
      <w:bodyDiv w:val="1"/>
      <w:marLeft w:val="0"/>
      <w:marRight w:val="0"/>
      <w:marTop w:val="0"/>
      <w:marBottom w:val="0"/>
      <w:divBdr>
        <w:top w:val="none" w:sz="0" w:space="0" w:color="auto"/>
        <w:left w:val="none" w:sz="0" w:space="0" w:color="auto"/>
        <w:bottom w:val="none" w:sz="0" w:space="0" w:color="auto"/>
        <w:right w:val="none" w:sz="0" w:space="0" w:color="auto"/>
      </w:divBdr>
    </w:div>
    <w:div w:id="494995090">
      <w:bodyDiv w:val="1"/>
      <w:marLeft w:val="0"/>
      <w:marRight w:val="0"/>
      <w:marTop w:val="0"/>
      <w:marBottom w:val="0"/>
      <w:divBdr>
        <w:top w:val="none" w:sz="0" w:space="0" w:color="auto"/>
        <w:left w:val="none" w:sz="0" w:space="0" w:color="auto"/>
        <w:bottom w:val="none" w:sz="0" w:space="0" w:color="auto"/>
        <w:right w:val="none" w:sz="0" w:space="0" w:color="auto"/>
      </w:divBdr>
    </w:div>
    <w:div w:id="495342190">
      <w:bodyDiv w:val="1"/>
      <w:marLeft w:val="0"/>
      <w:marRight w:val="0"/>
      <w:marTop w:val="0"/>
      <w:marBottom w:val="0"/>
      <w:divBdr>
        <w:top w:val="none" w:sz="0" w:space="0" w:color="auto"/>
        <w:left w:val="none" w:sz="0" w:space="0" w:color="auto"/>
        <w:bottom w:val="none" w:sz="0" w:space="0" w:color="auto"/>
        <w:right w:val="none" w:sz="0" w:space="0" w:color="auto"/>
      </w:divBdr>
    </w:div>
    <w:div w:id="496196041">
      <w:bodyDiv w:val="1"/>
      <w:marLeft w:val="0"/>
      <w:marRight w:val="0"/>
      <w:marTop w:val="0"/>
      <w:marBottom w:val="0"/>
      <w:divBdr>
        <w:top w:val="none" w:sz="0" w:space="0" w:color="auto"/>
        <w:left w:val="none" w:sz="0" w:space="0" w:color="auto"/>
        <w:bottom w:val="none" w:sz="0" w:space="0" w:color="auto"/>
        <w:right w:val="none" w:sz="0" w:space="0" w:color="auto"/>
      </w:divBdr>
    </w:div>
    <w:div w:id="496269935">
      <w:bodyDiv w:val="1"/>
      <w:marLeft w:val="0"/>
      <w:marRight w:val="0"/>
      <w:marTop w:val="0"/>
      <w:marBottom w:val="0"/>
      <w:divBdr>
        <w:top w:val="none" w:sz="0" w:space="0" w:color="auto"/>
        <w:left w:val="none" w:sz="0" w:space="0" w:color="auto"/>
        <w:bottom w:val="none" w:sz="0" w:space="0" w:color="auto"/>
        <w:right w:val="none" w:sz="0" w:space="0" w:color="auto"/>
      </w:divBdr>
    </w:div>
    <w:div w:id="496385244">
      <w:bodyDiv w:val="1"/>
      <w:marLeft w:val="0"/>
      <w:marRight w:val="0"/>
      <w:marTop w:val="0"/>
      <w:marBottom w:val="0"/>
      <w:divBdr>
        <w:top w:val="none" w:sz="0" w:space="0" w:color="auto"/>
        <w:left w:val="none" w:sz="0" w:space="0" w:color="auto"/>
        <w:bottom w:val="none" w:sz="0" w:space="0" w:color="auto"/>
        <w:right w:val="none" w:sz="0" w:space="0" w:color="auto"/>
      </w:divBdr>
    </w:div>
    <w:div w:id="497119041">
      <w:bodyDiv w:val="1"/>
      <w:marLeft w:val="0"/>
      <w:marRight w:val="0"/>
      <w:marTop w:val="0"/>
      <w:marBottom w:val="0"/>
      <w:divBdr>
        <w:top w:val="none" w:sz="0" w:space="0" w:color="auto"/>
        <w:left w:val="none" w:sz="0" w:space="0" w:color="auto"/>
        <w:bottom w:val="none" w:sz="0" w:space="0" w:color="auto"/>
        <w:right w:val="none" w:sz="0" w:space="0" w:color="auto"/>
      </w:divBdr>
    </w:div>
    <w:div w:id="497233203">
      <w:bodyDiv w:val="1"/>
      <w:marLeft w:val="0"/>
      <w:marRight w:val="0"/>
      <w:marTop w:val="0"/>
      <w:marBottom w:val="0"/>
      <w:divBdr>
        <w:top w:val="none" w:sz="0" w:space="0" w:color="auto"/>
        <w:left w:val="none" w:sz="0" w:space="0" w:color="auto"/>
        <w:bottom w:val="none" w:sz="0" w:space="0" w:color="auto"/>
        <w:right w:val="none" w:sz="0" w:space="0" w:color="auto"/>
      </w:divBdr>
    </w:div>
    <w:div w:id="497423408">
      <w:bodyDiv w:val="1"/>
      <w:marLeft w:val="0"/>
      <w:marRight w:val="0"/>
      <w:marTop w:val="0"/>
      <w:marBottom w:val="0"/>
      <w:divBdr>
        <w:top w:val="none" w:sz="0" w:space="0" w:color="auto"/>
        <w:left w:val="none" w:sz="0" w:space="0" w:color="auto"/>
        <w:bottom w:val="none" w:sz="0" w:space="0" w:color="auto"/>
        <w:right w:val="none" w:sz="0" w:space="0" w:color="auto"/>
      </w:divBdr>
    </w:div>
    <w:div w:id="497814703">
      <w:bodyDiv w:val="1"/>
      <w:marLeft w:val="0"/>
      <w:marRight w:val="0"/>
      <w:marTop w:val="0"/>
      <w:marBottom w:val="0"/>
      <w:divBdr>
        <w:top w:val="none" w:sz="0" w:space="0" w:color="auto"/>
        <w:left w:val="none" w:sz="0" w:space="0" w:color="auto"/>
        <w:bottom w:val="none" w:sz="0" w:space="0" w:color="auto"/>
        <w:right w:val="none" w:sz="0" w:space="0" w:color="auto"/>
      </w:divBdr>
    </w:div>
    <w:div w:id="498085554">
      <w:bodyDiv w:val="1"/>
      <w:marLeft w:val="0"/>
      <w:marRight w:val="0"/>
      <w:marTop w:val="0"/>
      <w:marBottom w:val="0"/>
      <w:divBdr>
        <w:top w:val="none" w:sz="0" w:space="0" w:color="auto"/>
        <w:left w:val="none" w:sz="0" w:space="0" w:color="auto"/>
        <w:bottom w:val="none" w:sz="0" w:space="0" w:color="auto"/>
        <w:right w:val="none" w:sz="0" w:space="0" w:color="auto"/>
      </w:divBdr>
    </w:div>
    <w:div w:id="499082903">
      <w:bodyDiv w:val="1"/>
      <w:marLeft w:val="0"/>
      <w:marRight w:val="0"/>
      <w:marTop w:val="0"/>
      <w:marBottom w:val="0"/>
      <w:divBdr>
        <w:top w:val="none" w:sz="0" w:space="0" w:color="auto"/>
        <w:left w:val="none" w:sz="0" w:space="0" w:color="auto"/>
        <w:bottom w:val="none" w:sz="0" w:space="0" w:color="auto"/>
        <w:right w:val="none" w:sz="0" w:space="0" w:color="auto"/>
      </w:divBdr>
    </w:div>
    <w:div w:id="499273885">
      <w:bodyDiv w:val="1"/>
      <w:marLeft w:val="0"/>
      <w:marRight w:val="0"/>
      <w:marTop w:val="0"/>
      <w:marBottom w:val="0"/>
      <w:divBdr>
        <w:top w:val="none" w:sz="0" w:space="0" w:color="auto"/>
        <w:left w:val="none" w:sz="0" w:space="0" w:color="auto"/>
        <w:bottom w:val="none" w:sz="0" w:space="0" w:color="auto"/>
        <w:right w:val="none" w:sz="0" w:space="0" w:color="auto"/>
      </w:divBdr>
    </w:div>
    <w:div w:id="499348020">
      <w:bodyDiv w:val="1"/>
      <w:marLeft w:val="0"/>
      <w:marRight w:val="0"/>
      <w:marTop w:val="0"/>
      <w:marBottom w:val="0"/>
      <w:divBdr>
        <w:top w:val="none" w:sz="0" w:space="0" w:color="auto"/>
        <w:left w:val="none" w:sz="0" w:space="0" w:color="auto"/>
        <w:bottom w:val="none" w:sz="0" w:space="0" w:color="auto"/>
        <w:right w:val="none" w:sz="0" w:space="0" w:color="auto"/>
      </w:divBdr>
    </w:div>
    <w:div w:id="499544870">
      <w:bodyDiv w:val="1"/>
      <w:marLeft w:val="0"/>
      <w:marRight w:val="0"/>
      <w:marTop w:val="0"/>
      <w:marBottom w:val="0"/>
      <w:divBdr>
        <w:top w:val="none" w:sz="0" w:space="0" w:color="auto"/>
        <w:left w:val="none" w:sz="0" w:space="0" w:color="auto"/>
        <w:bottom w:val="none" w:sz="0" w:space="0" w:color="auto"/>
        <w:right w:val="none" w:sz="0" w:space="0" w:color="auto"/>
      </w:divBdr>
    </w:div>
    <w:div w:id="500125031">
      <w:bodyDiv w:val="1"/>
      <w:marLeft w:val="0"/>
      <w:marRight w:val="0"/>
      <w:marTop w:val="0"/>
      <w:marBottom w:val="0"/>
      <w:divBdr>
        <w:top w:val="none" w:sz="0" w:space="0" w:color="auto"/>
        <w:left w:val="none" w:sz="0" w:space="0" w:color="auto"/>
        <w:bottom w:val="none" w:sz="0" w:space="0" w:color="auto"/>
        <w:right w:val="none" w:sz="0" w:space="0" w:color="auto"/>
      </w:divBdr>
    </w:div>
    <w:div w:id="500201652">
      <w:bodyDiv w:val="1"/>
      <w:marLeft w:val="0"/>
      <w:marRight w:val="0"/>
      <w:marTop w:val="0"/>
      <w:marBottom w:val="0"/>
      <w:divBdr>
        <w:top w:val="none" w:sz="0" w:space="0" w:color="auto"/>
        <w:left w:val="none" w:sz="0" w:space="0" w:color="auto"/>
        <w:bottom w:val="none" w:sz="0" w:space="0" w:color="auto"/>
        <w:right w:val="none" w:sz="0" w:space="0" w:color="auto"/>
      </w:divBdr>
    </w:div>
    <w:div w:id="500661474">
      <w:bodyDiv w:val="1"/>
      <w:marLeft w:val="0"/>
      <w:marRight w:val="0"/>
      <w:marTop w:val="0"/>
      <w:marBottom w:val="0"/>
      <w:divBdr>
        <w:top w:val="none" w:sz="0" w:space="0" w:color="auto"/>
        <w:left w:val="none" w:sz="0" w:space="0" w:color="auto"/>
        <w:bottom w:val="none" w:sz="0" w:space="0" w:color="auto"/>
        <w:right w:val="none" w:sz="0" w:space="0" w:color="auto"/>
      </w:divBdr>
    </w:div>
    <w:div w:id="500698876">
      <w:bodyDiv w:val="1"/>
      <w:marLeft w:val="0"/>
      <w:marRight w:val="0"/>
      <w:marTop w:val="0"/>
      <w:marBottom w:val="0"/>
      <w:divBdr>
        <w:top w:val="none" w:sz="0" w:space="0" w:color="auto"/>
        <w:left w:val="none" w:sz="0" w:space="0" w:color="auto"/>
        <w:bottom w:val="none" w:sz="0" w:space="0" w:color="auto"/>
        <w:right w:val="none" w:sz="0" w:space="0" w:color="auto"/>
      </w:divBdr>
    </w:div>
    <w:div w:id="500853582">
      <w:bodyDiv w:val="1"/>
      <w:marLeft w:val="0"/>
      <w:marRight w:val="0"/>
      <w:marTop w:val="0"/>
      <w:marBottom w:val="0"/>
      <w:divBdr>
        <w:top w:val="none" w:sz="0" w:space="0" w:color="auto"/>
        <w:left w:val="none" w:sz="0" w:space="0" w:color="auto"/>
        <w:bottom w:val="none" w:sz="0" w:space="0" w:color="auto"/>
        <w:right w:val="none" w:sz="0" w:space="0" w:color="auto"/>
      </w:divBdr>
    </w:div>
    <w:div w:id="501047852">
      <w:bodyDiv w:val="1"/>
      <w:marLeft w:val="0"/>
      <w:marRight w:val="0"/>
      <w:marTop w:val="0"/>
      <w:marBottom w:val="0"/>
      <w:divBdr>
        <w:top w:val="none" w:sz="0" w:space="0" w:color="auto"/>
        <w:left w:val="none" w:sz="0" w:space="0" w:color="auto"/>
        <w:bottom w:val="none" w:sz="0" w:space="0" w:color="auto"/>
        <w:right w:val="none" w:sz="0" w:space="0" w:color="auto"/>
      </w:divBdr>
    </w:div>
    <w:div w:id="501428776">
      <w:bodyDiv w:val="1"/>
      <w:marLeft w:val="0"/>
      <w:marRight w:val="0"/>
      <w:marTop w:val="0"/>
      <w:marBottom w:val="0"/>
      <w:divBdr>
        <w:top w:val="none" w:sz="0" w:space="0" w:color="auto"/>
        <w:left w:val="none" w:sz="0" w:space="0" w:color="auto"/>
        <w:bottom w:val="none" w:sz="0" w:space="0" w:color="auto"/>
        <w:right w:val="none" w:sz="0" w:space="0" w:color="auto"/>
      </w:divBdr>
    </w:div>
    <w:div w:id="502202794">
      <w:bodyDiv w:val="1"/>
      <w:marLeft w:val="0"/>
      <w:marRight w:val="0"/>
      <w:marTop w:val="0"/>
      <w:marBottom w:val="0"/>
      <w:divBdr>
        <w:top w:val="none" w:sz="0" w:space="0" w:color="auto"/>
        <w:left w:val="none" w:sz="0" w:space="0" w:color="auto"/>
        <w:bottom w:val="none" w:sz="0" w:space="0" w:color="auto"/>
        <w:right w:val="none" w:sz="0" w:space="0" w:color="auto"/>
      </w:divBdr>
    </w:div>
    <w:div w:id="502211092">
      <w:bodyDiv w:val="1"/>
      <w:marLeft w:val="0"/>
      <w:marRight w:val="0"/>
      <w:marTop w:val="0"/>
      <w:marBottom w:val="0"/>
      <w:divBdr>
        <w:top w:val="none" w:sz="0" w:space="0" w:color="auto"/>
        <w:left w:val="none" w:sz="0" w:space="0" w:color="auto"/>
        <w:bottom w:val="none" w:sz="0" w:space="0" w:color="auto"/>
        <w:right w:val="none" w:sz="0" w:space="0" w:color="auto"/>
      </w:divBdr>
    </w:div>
    <w:div w:id="502360338">
      <w:bodyDiv w:val="1"/>
      <w:marLeft w:val="0"/>
      <w:marRight w:val="0"/>
      <w:marTop w:val="0"/>
      <w:marBottom w:val="0"/>
      <w:divBdr>
        <w:top w:val="none" w:sz="0" w:space="0" w:color="auto"/>
        <w:left w:val="none" w:sz="0" w:space="0" w:color="auto"/>
        <w:bottom w:val="none" w:sz="0" w:space="0" w:color="auto"/>
        <w:right w:val="none" w:sz="0" w:space="0" w:color="auto"/>
      </w:divBdr>
    </w:div>
    <w:div w:id="502474202">
      <w:bodyDiv w:val="1"/>
      <w:marLeft w:val="0"/>
      <w:marRight w:val="0"/>
      <w:marTop w:val="0"/>
      <w:marBottom w:val="0"/>
      <w:divBdr>
        <w:top w:val="none" w:sz="0" w:space="0" w:color="auto"/>
        <w:left w:val="none" w:sz="0" w:space="0" w:color="auto"/>
        <w:bottom w:val="none" w:sz="0" w:space="0" w:color="auto"/>
        <w:right w:val="none" w:sz="0" w:space="0" w:color="auto"/>
      </w:divBdr>
    </w:div>
    <w:div w:id="502865207">
      <w:bodyDiv w:val="1"/>
      <w:marLeft w:val="0"/>
      <w:marRight w:val="0"/>
      <w:marTop w:val="0"/>
      <w:marBottom w:val="0"/>
      <w:divBdr>
        <w:top w:val="none" w:sz="0" w:space="0" w:color="auto"/>
        <w:left w:val="none" w:sz="0" w:space="0" w:color="auto"/>
        <w:bottom w:val="none" w:sz="0" w:space="0" w:color="auto"/>
        <w:right w:val="none" w:sz="0" w:space="0" w:color="auto"/>
      </w:divBdr>
    </w:div>
    <w:div w:id="502866896">
      <w:bodyDiv w:val="1"/>
      <w:marLeft w:val="0"/>
      <w:marRight w:val="0"/>
      <w:marTop w:val="0"/>
      <w:marBottom w:val="0"/>
      <w:divBdr>
        <w:top w:val="none" w:sz="0" w:space="0" w:color="auto"/>
        <w:left w:val="none" w:sz="0" w:space="0" w:color="auto"/>
        <w:bottom w:val="none" w:sz="0" w:space="0" w:color="auto"/>
        <w:right w:val="none" w:sz="0" w:space="0" w:color="auto"/>
      </w:divBdr>
    </w:div>
    <w:div w:id="503134300">
      <w:bodyDiv w:val="1"/>
      <w:marLeft w:val="0"/>
      <w:marRight w:val="0"/>
      <w:marTop w:val="0"/>
      <w:marBottom w:val="0"/>
      <w:divBdr>
        <w:top w:val="none" w:sz="0" w:space="0" w:color="auto"/>
        <w:left w:val="none" w:sz="0" w:space="0" w:color="auto"/>
        <w:bottom w:val="none" w:sz="0" w:space="0" w:color="auto"/>
        <w:right w:val="none" w:sz="0" w:space="0" w:color="auto"/>
      </w:divBdr>
    </w:div>
    <w:div w:id="503134359">
      <w:bodyDiv w:val="1"/>
      <w:marLeft w:val="0"/>
      <w:marRight w:val="0"/>
      <w:marTop w:val="0"/>
      <w:marBottom w:val="0"/>
      <w:divBdr>
        <w:top w:val="none" w:sz="0" w:space="0" w:color="auto"/>
        <w:left w:val="none" w:sz="0" w:space="0" w:color="auto"/>
        <w:bottom w:val="none" w:sz="0" w:space="0" w:color="auto"/>
        <w:right w:val="none" w:sz="0" w:space="0" w:color="auto"/>
      </w:divBdr>
    </w:div>
    <w:div w:id="503206827">
      <w:bodyDiv w:val="1"/>
      <w:marLeft w:val="0"/>
      <w:marRight w:val="0"/>
      <w:marTop w:val="0"/>
      <w:marBottom w:val="0"/>
      <w:divBdr>
        <w:top w:val="none" w:sz="0" w:space="0" w:color="auto"/>
        <w:left w:val="none" w:sz="0" w:space="0" w:color="auto"/>
        <w:bottom w:val="none" w:sz="0" w:space="0" w:color="auto"/>
        <w:right w:val="none" w:sz="0" w:space="0" w:color="auto"/>
      </w:divBdr>
    </w:div>
    <w:div w:id="503663213">
      <w:bodyDiv w:val="1"/>
      <w:marLeft w:val="0"/>
      <w:marRight w:val="0"/>
      <w:marTop w:val="0"/>
      <w:marBottom w:val="0"/>
      <w:divBdr>
        <w:top w:val="none" w:sz="0" w:space="0" w:color="auto"/>
        <w:left w:val="none" w:sz="0" w:space="0" w:color="auto"/>
        <w:bottom w:val="none" w:sz="0" w:space="0" w:color="auto"/>
        <w:right w:val="none" w:sz="0" w:space="0" w:color="auto"/>
      </w:divBdr>
    </w:div>
    <w:div w:id="503782966">
      <w:bodyDiv w:val="1"/>
      <w:marLeft w:val="0"/>
      <w:marRight w:val="0"/>
      <w:marTop w:val="0"/>
      <w:marBottom w:val="0"/>
      <w:divBdr>
        <w:top w:val="none" w:sz="0" w:space="0" w:color="auto"/>
        <w:left w:val="none" w:sz="0" w:space="0" w:color="auto"/>
        <w:bottom w:val="none" w:sz="0" w:space="0" w:color="auto"/>
        <w:right w:val="none" w:sz="0" w:space="0" w:color="auto"/>
      </w:divBdr>
    </w:div>
    <w:div w:id="503785284">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04370511">
      <w:bodyDiv w:val="1"/>
      <w:marLeft w:val="0"/>
      <w:marRight w:val="0"/>
      <w:marTop w:val="0"/>
      <w:marBottom w:val="0"/>
      <w:divBdr>
        <w:top w:val="none" w:sz="0" w:space="0" w:color="auto"/>
        <w:left w:val="none" w:sz="0" w:space="0" w:color="auto"/>
        <w:bottom w:val="none" w:sz="0" w:space="0" w:color="auto"/>
        <w:right w:val="none" w:sz="0" w:space="0" w:color="auto"/>
      </w:divBdr>
    </w:div>
    <w:div w:id="504825491">
      <w:bodyDiv w:val="1"/>
      <w:marLeft w:val="0"/>
      <w:marRight w:val="0"/>
      <w:marTop w:val="0"/>
      <w:marBottom w:val="0"/>
      <w:divBdr>
        <w:top w:val="none" w:sz="0" w:space="0" w:color="auto"/>
        <w:left w:val="none" w:sz="0" w:space="0" w:color="auto"/>
        <w:bottom w:val="none" w:sz="0" w:space="0" w:color="auto"/>
        <w:right w:val="none" w:sz="0" w:space="0" w:color="auto"/>
      </w:divBdr>
    </w:div>
    <w:div w:id="505755215">
      <w:bodyDiv w:val="1"/>
      <w:marLeft w:val="0"/>
      <w:marRight w:val="0"/>
      <w:marTop w:val="0"/>
      <w:marBottom w:val="0"/>
      <w:divBdr>
        <w:top w:val="none" w:sz="0" w:space="0" w:color="auto"/>
        <w:left w:val="none" w:sz="0" w:space="0" w:color="auto"/>
        <w:bottom w:val="none" w:sz="0" w:space="0" w:color="auto"/>
        <w:right w:val="none" w:sz="0" w:space="0" w:color="auto"/>
      </w:divBdr>
    </w:div>
    <w:div w:id="506137602">
      <w:bodyDiv w:val="1"/>
      <w:marLeft w:val="0"/>
      <w:marRight w:val="0"/>
      <w:marTop w:val="0"/>
      <w:marBottom w:val="0"/>
      <w:divBdr>
        <w:top w:val="none" w:sz="0" w:space="0" w:color="auto"/>
        <w:left w:val="none" w:sz="0" w:space="0" w:color="auto"/>
        <w:bottom w:val="none" w:sz="0" w:space="0" w:color="auto"/>
        <w:right w:val="none" w:sz="0" w:space="0" w:color="auto"/>
      </w:divBdr>
    </w:div>
    <w:div w:id="506291120">
      <w:bodyDiv w:val="1"/>
      <w:marLeft w:val="0"/>
      <w:marRight w:val="0"/>
      <w:marTop w:val="0"/>
      <w:marBottom w:val="0"/>
      <w:divBdr>
        <w:top w:val="none" w:sz="0" w:space="0" w:color="auto"/>
        <w:left w:val="none" w:sz="0" w:space="0" w:color="auto"/>
        <w:bottom w:val="none" w:sz="0" w:space="0" w:color="auto"/>
        <w:right w:val="none" w:sz="0" w:space="0" w:color="auto"/>
      </w:divBdr>
    </w:div>
    <w:div w:id="506484674">
      <w:bodyDiv w:val="1"/>
      <w:marLeft w:val="0"/>
      <w:marRight w:val="0"/>
      <w:marTop w:val="0"/>
      <w:marBottom w:val="0"/>
      <w:divBdr>
        <w:top w:val="none" w:sz="0" w:space="0" w:color="auto"/>
        <w:left w:val="none" w:sz="0" w:space="0" w:color="auto"/>
        <w:bottom w:val="none" w:sz="0" w:space="0" w:color="auto"/>
        <w:right w:val="none" w:sz="0" w:space="0" w:color="auto"/>
      </w:divBdr>
    </w:div>
    <w:div w:id="506559668">
      <w:bodyDiv w:val="1"/>
      <w:marLeft w:val="0"/>
      <w:marRight w:val="0"/>
      <w:marTop w:val="0"/>
      <w:marBottom w:val="0"/>
      <w:divBdr>
        <w:top w:val="none" w:sz="0" w:space="0" w:color="auto"/>
        <w:left w:val="none" w:sz="0" w:space="0" w:color="auto"/>
        <w:bottom w:val="none" w:sz="0" w:space="0" w:color="auto"/>
        <w:right w:val="none" w:sz="0" w:space="0" w:color="auto"/>
      </w:divBdr>
    </w:div>
    <w:div w:id="506679489">
      <w:bodyDiv w:val="1"/>
      <w:marLeft w:val="0"/>
      <w:marRight w:val="0"/>
      <w:marTop w:val="0"/>
      <w:marBottom w:val="0"/>
      <w:divBdr>
        <w:top w:val="none" w:sz="0" w:space="0" w:color="auto"/>
        <w:left w:val="none" w:sz="0" w:space="0" w:color="auto"/>
        <w:bottom w:val="none" w:sz="0" w:space="0" w:color="auto"/>
        <w:right w:val="none" w:sz="0" w:space="0" w:color="auto"/>
      </w:divBdr>
    </w:div>
    <w:div w:id="506795980">
      <w:bodyDiv w:val="1"/>
      <w:marLeft w:val="0"/>
      <w:marRight w:val="0"/>
      <w:marTop w:val="0"/>
      <w:marBottom w:val="0"/>
      <w:divBdr>
        <w:top w:val="none" w:sz="0" w:space="0" w:color="auto"/>
        <w:left w:val="none" w:sz="0" w:space="0" w:color="auto"/>
        <w:bottom w:val="none" w:sz="0" w:space="0" w:color="auto"/>
        <w:right w:val="none" w:sz="0" w:space="0" w:color="auto"/>
      </w:divBdr>
    </w:div>
    <w:div w:id="507058874">
      <w:bodyDiv w:val="1"/>
      <w:marLeft w:val="0"/>
      <w:marRight w:val="0"/>
      <w:marTop w:val="0"/>
      <w:marBottom w:val="0"/>
      <w:divBdr>
        <w:top w:val="none" w:sz="0" w:space="0" w:color="auto"/>
        <w:left w:val="none" w:sz="0" w:space="0" w:color="auto"/>
        <w:bottom w:val="none" w:sz="0" w:space="0" w:color="auto"/>
        <w:right w:val="none" w:sz="0" w:space="0" w:color="auto"/>
      </w:divBdr>
    </w:div>
    <w:div w:id="507060459">
      <w:bodyDiv w:val="1"/>
      <w:marLeft w:val="0"/>
      <w:marRight w:val="0"/>
      <w:marTop w:val="0"/>
      <w:marBottom w:val="0"/>
      <w:divBdr>
        <w:top w:val="none" w:sz="0" w:space="0" w:color="auto"/>
        <w:left w:val="none" w:sz="0" w:space="0" w:color="auto"/>
        <w:bottom w:val="none" w:sz="0" w:space="0" w:color="auto"/>
        <w:right w:val="none" w:sz="0" w:space="0" w:color="auto"/>
      </w:divBdr>
    </w:div>
    <w:div w:id="507328960">
      <w:bodyDiv w:val="1"/>
      <w:marLeft w:val="0"/>
      <w:marRight w:val="0"/>
      <w:marTop w:val="0"/>
      <w:marBottom w:val="0"/>
      <w:divBdr>
        <w:top w:val="none" w:sz="0" w:space="0" w:color="auto"/>
        <w:left w:val="none" w:sz="0" w:space="0" w:color="auto"/>
        <w:bottom w:val="none" w:sz="0" w:space="0" w:color="auto"/>
        <w:right w:val="none" w:sz="0" w:space="0" w:color="auto"/>
      </w:divBdr>
    </w:div>
    <w:div w:id="507451035">
      <w:bodyDiv w:val="1"/>
      <w:marLeft w:val="0"/>
      <w:marRight w:val="0"/>
      <w:marTop w:val="0"/>
      <w:marBottom w:val="0"/>
      <w:divBdr>
        <w:top w:val="none" w:sz="0" w:space="0" w:color="auto"/>
        <w:left w:val="none" w:sz="0" w:space="0" w:color="auto"/>
        <w:bottom w:val="none" w:sz="0" w:space="0" w:color="auto"/>
        <w:right w:val="none" w:sz="0" w:space="0" w:color="auto"/>
      </w:divBdr>
    </w:div>
    <w:div w:id="507909165">
      <w:bodyDiv w:val="1"/>
      <w:marLeft w:val="0"/>
      <w:marRight w:val="0"/>
      <w:marTop w:val="0"/>
      <w:marBottom w:val="0"/>
      <w:divBdr>
        <w:top w:val="none" w:sz="0" w:space="0" w:color="auto"/>
        <w:left w:val="none" w:sz="0" w:space="0" w:color="auto"/>
        <w:bottom w:val="none" w:sz="0" w:space="0" w:color="auto"/>
        <w:right w:val="none" w:sz="0" w:space="0" w:color="auto"/>
      </w:divBdr>
    </w:div>
    <w:div w:id="508299090">
      <w:bodyDiv w:val="1"/>
      <w:marLeft w:val="0"/>
      <w:marRight w:val="0"/>
      <w:marTop w:val="0"/>
      <w:marBottom w:val="0"/>
      <w:divBdr>
        <w:top w:val="none" w:sz="0" w:space="0" w:color="auto"/>
        <w:left w:val="none" w:sz="0" w:space="0" w:color="auto"/>
        <w:bottom w:val="none" w:sz="0" w:space="0" w:color="auto"/>
        <w:right w:val="none" w:sz="0" w:space="0" w:color="auto"/>
      </w:divBdr>
    </w:div>
    <w:div w:id="508907016">
      <w:bodyDiv w:val="1"/>
      <w:marLeft w:val="0"/>
      <w:marRight w:val="0"/>
      <w:marTop w:val="0"/>
      <w:marBottom w:val="0"/>
      <w:divBdr>
        <w:top w:val="none" w:sz="0" w:space="0" w:color="auto"/>
        <w:left w:val="none" w:sz="0" w:space="0" w:color="auto"/>
        <w:bottom w:val="none" w:sz="0" w:space="0" w:color="auto"/>
        <w:right w:val="none" w:sz="0" w:space="0" w:color="auto"/>
      </w:divBdr>
    </w:div>
    <w:div w:id="509224541">
      <w:bodyDiv w:val="1"/>
      <w:marLeft w:val="0"/>
      <w:marRight w:val="0"/>
      <w:marTop w:val="0"/>
      <w:marBottom w:val="0"/>
      <w:divBdr>
        <w:top w:val="none" w:sz="0" w:space="0" w:color="auto"/>
        <w:left w:val="none" w:sz="0" w:space="0" w:color="auto"/>
        <w:bottom w:val="none" w:sz="0" w:space="0" w:color="auto"/>
        <w:right w:val="none" w:sz="0" w:space="0" w:color="auto"/>
      </w:divBdr>
    </w:div>
    <w:div w:id="509494631">
      <w:bodyDiv w:val="1"/>
      <w:marLeft w:val="0"/>
      <w:marRight w:val="0"/>
      <w:marTop w:val="0"/>
      <w:marBottom w:val="0"/>
      <w:divBdr>
        <w:top w:val="none" w:sz="0" w:space="0" w:color="auto"/>
        <w:left w:val="none" w:sz="0" w:space="0" w:color="auto"/>
        <w:bottom w:val="none" w:sz="0" w:space="0" w:color="auto"/>
        <w:right w:val="none" w:sz="0" w:space="0" w:color="auto"/>
      </w:divBdr>
    </w:div>
    <w:div w:id="509685970">
      <w:bodyDiv w:val="1"/>
      <w:marLeft w:val="0"/>
      <w:marRight w:val="0"/>
      <w:marTop w:val="0"/>
      <w:marBottom w:val="0"/>
      <w:divBdr>
        <w:top w:val="none" w:sz="0" w:space="0" w:color="auto"/>
        <w:left w:val="none" w:sz="0" w:space="0" w:color="auto"/>
        <w:bottom w:val="none" w:sz="0" w:space="0" w:color="auto"/>
        <w:right w:val="none" w:sz="0" w:space="0" w:color="auto"/>
      </w:divBdr>
    </w:div>
    <w:div w:id="510722155">
      <w:bodyDiv w:val="1"/>
      <w:marLeft w:val="0"/>
      <w:marRight w:val="0"/>
      <w:marTop w:val="0"/>
      <w:marBottom w:val="0"/>
      <w:divBdr>
        <w:top w:val="none" w:sz="0" w:space="0" w:color="auto"/>
        <w:left w:val="none" w:sz="0" w:space="0" w:color="auto"/>
        <w:bottom w:val="none" w:sz="0" w:space="0" w:color="auto"/>
        <w:right w:val="none" w:sz="0" w:space="0" w:color="auto"/>
      </w:divBdr>
    </w:div>
    <w:div w:id="511653033">
      <w:bodyDiv w:val="1"/>
      <w:marLeft w:val="0"/>
      <w:marRight w:val="0"/>
      <w:marTop w:val="0"/>
      <w:marBottom w:val="0"/>
      <w:divBdr>
        <w:top w:val="none" w:sz="0" w:space="0" w:color="auto"/>
        <w:left w:val="none" w:sz="0" w:space="0" w:color="auto"/>
        <w:bottom w:val="none" w:sz="0" w:space="0" w:color="auto"/>
        <w:right w:val="none" w:sz="0" w:space="0" w:color="auto"/>
      </w:divBdr>
    </w:div>
    <w:div w:id="512650924">
      <w:bodyDiv w:val="1"/>
      <w:marLeft w:val="0"/>
      <w:marRight w:val="0"/>
      <w:marTop w:val="0"/>
      <w:marBottom w:val="0"/>
      <w:divBdr>
        <w:top w:val="none" w:sz="0" w:space="0" w:color="auto"/>
        <w:left w:val="none" w:sz="0" w:space="0" w:color="auto"/>
        <w:bottom w:val="none" w:sz="0" w:space="0" w:color="auto"/>
        <w:right w:val="none" w:sz="0" w:space="0" w:color="auto"/>
      </w:divBdr>
    </w:div>
    <w:div w:id="512689261">
      <w:bodyDiv w:val="1"/>
      <w:marLeft w:val="0"/>
      <w:marRight w:val="0"/>
      <w:marTop w:val="0"/>
      <w:marBottom w:val="0"/>
      <w:divBdr>
        <w:top w:val="none" w:sz="0" w:space="0" w:color="auto"/>
        <w:left w:val="none" w:sz="0" w:space="0" w:color="auto"/>
        <w:bottom w:val="none" w:sz="0" w:space="0" w:color="auto"/>
        <w:right w:val="none" w:sz="0" w:space="0" w:color="auto"/>
      </w:divBdr>
    </w:div>
    <w:div w:id="513375631">
      <w:bodyDiv w:val="1"/>
      <w:marLeft w:val="0"/>
      <w:marRight w:val="0"/>
      <w:marTop w:val="0"/>
      <w:marBottom w:val="0"/>
      <w:divBdr>
        <w:top w:val="none" w:sz="0" w:space="0" w:color="auto"/>
        <w:left w:val="none" w:sz="0" w:space="0" w:color="auto"/>
        <w:bottom w:val="none" w:sz="0" w:space="0" w:color="auto"/>
        <w:right w:val="none" w:sz="0" w:space="0" w:color="auto"/>
      </w:divBdr>
    </w:div>
    <w:div w:id="513420447">
      <w:bodyDiv w:val="1"/>
      <w:marLeft w:val="0"/>
      <w:marRight w:val="0"/>
      <w:marTop w:val="0"/>
      <w:marBottom w:val="0"/>
      <w:divBdr>
        <w:top w:val="none" w:sz="0" w:space="0" w:color="auto"/>
        <w:left w:val="none" w:sz="0" w:space="0" w:color="auto"/>
        <w:bottom w:val="none" w:sz="0" w:space="0" w:color="auto"/>
        <w:right w:val="none" w:sz="0" w:space="0" w:color="auto"/>
      </w:divBdr>
    </w:div>
    <w:div w:id="513881180">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15727252">
      <w:bodyDiv w:val="1"/>
      <w:marLeft w:val="0"/>
      <w:marRight w:val="0"/>
      <w:marTop w:val="0"/>
      <w:marBottom w:val="0"/>
      <w:divBdr>
        <w:top w:val="none" w:sz="0" w:space="0" w:color="auto"/>
        <w:left w:val="none" w:sz="0" w:space="0" w:color="auto"/>
        <w:bottom w:val="none" w:sz="0" w:space="0" w:color="auto"/>
        <w:right w:val="none" w:sz="0" w:space="0" w:color="auto"/>
      </w:divBdr>
    </w:div>
    <w:div w:id="516040132">
      <w:bodyDiv w:val="1"/>
      <w:marLeft w:val="0"/>
      <w:marRight w:val="0"/>
      <w:marTop w:val="0"/>
      <w:marBottom w:val="0"/>
      <w:divBdr>
        <w:top w:val="none" w:sz="0" w:space="0" w:color="auto"/>
        <w:left w:val="none" w:sz="0" w:space="0" w:color="auto"/>
        <w:bottom w:val="none" w:sz="0" w:space="0" w:color="auto"/>
        <w:right w:val="none" w:sz="0" w:space="0" w:color="auto"/>
      </w:divBdr>
    </w:div>
    <w:div w:id="516583444">
      <w:bodyDiv w:val="1"/>
      <w:marLeft w:val="0"/>
      <w:marRight w:val="0"/>
      <w:marTop w:val="0"/>
      <w:marBottom w:val="0"/>
      <w:divBdr>
        <w:top w:val="none" w:sz="0" w:space="0" w:color="auto"/>
        <w:left w:val="none" w:sz="0" w:space="0" w:color="auto"/>
        <w:bottom w:val="none" w:sz="0" w:space="0" w:color="auto"/>
        <w:right w:val="none" w:sz="0" w:space="0" w:color="auto"/>
      </w:divBdr>
    </w:div>
    <w:div w:id="516584158">
      <w:bodyDiv w:val="1"/>
      <w:marLeft w:val="0"/>
      <w:marRight w:val="0"/>
      <w:marTop w:val="0"/>
      <w:marBottom w:val="0"/>
      <w:divBdr>
        <w:top w:val="none" w:sz="0" w:space="0" w:color="auto"/>
        <w:left w:val="none" w:sz="0" w:space="0" w:color="auto"/>
        <w:bottom w:val="none" w:sz="0" w:space="0" w:color="auto"/>
        <w:right w:val="none" w:sz="0" w:space="0" w:color="auto"/>
      </w:divBdr>
    </w:div>
    <w:div w:id="516820192">
      <w:bodyDiv w:val="1"/>
      <w:marLeft w:val="0"/>
      <w:marRight w:val="0"/>
      <w:marTop w:val="0"/>
      <w:marBottom w:val="0"/>
      <w:divBdr>
        <w:top w:val="none" w:sz="0" w:space="0" w:color="auto"/>
        <w:left w:val="none" w:sz="0" w:space="0" w:color="auto"/>
        <w:bottom w:val="none" w:sz="0" w:space="0" w:color="auto"/>
        <w:right w:val="none" w:sz="0" w:space="0" w:color="auto"/>
      </w:divBdr>
    </w:div>
    <w:div w:id="516847226">
      <w:bodyDiv w:val="1"/>
      <w:marLeft w:val="0"/>
      <w:marRight w:val="0"/>
      <w:marTop w:val="0"/>
      <w:marBottom w:val="0"/>
      <w:divBdr>
        <w:top w:val="none" w:sz="0" w:space="0" w:color="auto"/>
        <w:left w:val="none" w:sz="0" w:space="0" w:color="auto"/>
        <w:bottom w:val="none" w:sz="0" w:space="0" w:color="auto"/>
        <w:right w:val="none" w:sz="0" w:space="0" w:color="auto"/>
      </w:divBdr>
    </w:div>
    <w:div w:id="517161291">
      <w:bodyDiv w:val="1"/>
      <w:marLeft w:val="0"/>
      <w:marRight w:val="0"/>
      <w:marTop w:val="0"/>
      <w:marBottom w:val="0"/>
      <w:divBdr>
        <w:top w:val="none" w:sz="0" w:space="0" w:color="auto"/>
        <w:left w:val="none" w:sz="0" w:space="0" w:color="auto"/>
        <w:bottom w:val="none" w:sz="0" w:space="0" w:color="auto"/>
        <w:right w:val="none" w:sz="0" w:space="0" w:color="auto"/>
      </w:divBdr>
    </w:div>
    <w:div w:id="517546199">
      <w:bodyDiv w:val="1"/>
      <w:marLeft w:val="0"/>
      <w:marRight w:val="0"/>
      <w:marTop w:val="0"/>
      <w:marBottom w:val="0"/>
      <w:divBdr>
        <w:top w:val="none" w:sz="0" w:space="0" w:color="auto"/>
        <w:left w:val="none" w:sz="0" w:space="0" w:color="auto"/>
        <w:bottom w:val="none" w:sz="0" w:space="0" w:color="auto"/>
        <w:right w:val="none" w:sz="0" w:space="0" w:color="auto"/>
      </w:divBdr>
    </w:div>
    <w:div w:id="517694530">
      <w:bodyDiv w:val="1"/>
      <w:marLeft w:val="0"/>
      <w:marRight w:val="0"/>
      <w:marTop w:val="0"/>
      <w:marBottom w:val="0"/>
      <w:divBdr>
        <w:top w:val="none" w:sz="0" w:space="0" w:color="auto"/>
        <w:left w:val="none" w:sz="0" w:space="0" w:color="auto"/>
        <w:bottom w:val="none" w:sz="0" w:space="0" w:color="auto"/>
        <w:right w:val="none" w:sz="0" w:space="0" w:color="auto"/>
      </w:divBdr>
    </w:div>
    <w:div w:id="517699904">
      <w:bodyDiv w:val="1"/>
      <w:marLeft w:val="0"/>
      <w:marRight w:val="0"/>
      <w:marTop w:val="0"/>
      <w:marBottom w:val="0"/>
      <w:divBdr>
        <w:top w:val="none" w:sz="0" w:space="0" w:color="auto"/>
        <w:left w:val="none" w:sz="0" w:space="0" w:color="auto"/>
        <w:bottom w:val="none" w:sz="0" w:space="0" w:color="auto"/>
        <w:right w:val="none" w:sz="0" w:space="0" w:color="auto"/>
      </w:divBdr>
    </w:div>
    <w:div w:id="517736868">
      <w:bodyDiv w:val="1"/>
      <w:marLeft w:val="0"/>
      <w:marRight w:val="0"/>
      <w:marTop w:val="0"/>
      <w:marBottom w:val="0"/>
      <w:divBdr>
        <w:top w:val="none" w:sz="0" w:space="0" w:color="auto"/>
        <w:left w:val="none" w:sz="0" w:space="0" w:color="auto"/>
        <w:bottom w:val="none" w:sz="0" w:space="0" w:color="auto"/>
        <w:right w:val="none" w:sz="0" w:space="0" w:color="auto"/>
      </w:divBdr>
    </w:div>
    <w:div w:id="518009906">
      <w:bodyDiv w:val="1"/>
      <w:marLeft w:val="0"/>
      <w:marRight w:val="0"/>
      <w:marTop w:val="0"/>
      <w:marBottom w:val="0"/>
      <w:divBdr>
        <w:top w:val="none" w:sz="0" w:space="0" w:color="auto"/>
        <w:left w:val="none" w:sz="0" w:space="0" w:color="auto"/>
        <w:bottom w:val="none" w:sz="0" w:space="0" w:color="auto"/>
        <w:right w:val="none" w:sz="0" w:space="0" w:color="auto"/>
      </w:divBdr>
    </w:div>
    <w:div w:id="518662209">
      <w:bodyDiv w:val="1"/>
      <w:marLeft w:val="0"/>
      <w:marRight w:val="0"/>
      <w:marTop w:val="0"/>
      <w:marBottom w:val="0"/>
      <w:divBdr>
        <w:top w:val="none" w:sz="0" w:space="0" w:color="auto"/>
        <w:left w:val="none" w:sz="0" w:space="0" w:color="auto"/>
        <w:bottom w:val="none" w:sz="0" w:space="0" w:color="auto"/>
        <w:right w:val="none" w:sz="0" w:space="0" w:color="auto"/>
      </w:divBdr>
    </w:div>
    <w:div w:id="519009254">
      <w:bodyDiv w:val="1"/>
      <w:marLeft w:val="0"/>
      <w:marRight w:val="0"/>
      <w:marTop w:val="0"/>
      <w:marBottom w:val="0"/>
      <w:divBdr>
        <w:top w:val="none" w:sz="0" w:space="0" w:color="auto"/>
        <w:left w:val="none" w:sz="0" w:space="0" w:color="auto"/>
        <w:bottom w:val="none" w:sz="0" w:space="0" w:color="auto"/>
        <w:right w:val="none" w:sz="0" w:space="0" w:color="auto"/>
      </w:divBdr>
    </w:div>
    <w:div w:id="519468152">
      <w:bodyDiv w:val="1"/>
      <w:marLeft w:val="0"/>
      <w:marRight w:val="0"/>
      <w:marTop w:val="0"/>
      <w:marBottom w:val="0"/>
      <w:divBdr>
        <w:top w:val="none" w:sz="0" w:space="0" w:color="auto"/>
        <w:left w:val="none" w:sz="0" w:space="0" w:color="auto"/>
        <w:bottom w:val="none" w:sz="0" w:space="0" w:color="auto"/>
        <w:right w:val="none" w:sz="0" w:space="0" w:color="auto"/>
      </w:divBdr>
    </w:div>
    <w:div w:id="519854089">
      <w:bodyDiv w:val="1"/>
      <w:marLeft w:val="0"/>
      <w:marRight w:val="0"/>
      <w:marTop w:val="0"/>
      <w:marBottom w:val="0"/>
      <w:divBdr>
        <w:top w:val="none" w:sz="0" w:space="0" w:color="auto"/>
        <w:left w:val="none" w:sz="0" w:space="0" w:color="auto"/>
        <w:bottom w:val="none" w:sz="0" w:space="0" w:color="auto"/>
        <w:right w:val="none" w:sz="0" w:space="0" w:color="auto"/>
      </w:divBdr>
    </w:div>
    <w:div w:id="519855290">
      <w:bodyDiv w:val="1"/>
      <w:marLeft w:val="0"/>
      <w:marRight w:val="0"/>
      <w:marTop w:val="0"/>
      <w:marBottom w:val="0"/>
      <w:divBdr>
        <w:top w:val="none" w:sz="0" w:space="0" w:color="auto"/>
        <w:left w:val="none" w:sz="0" w:space="0" w:color="auto"/>
        <w:bottom w:val="none" w:sz="0" w:space="0" w:color="auto"/>
        <w:right w:val="none" w:sz="0" w:space="0" w:color="auto"/>
      </w:divBdr>
    </w:div>
    <w:div w:id="520314520">
      <w:bodyDiv w:val="1"/>
      <w:marLeft w:val="0"/>
      <w:marRight w:val="0"/>
      <w:marTop w:val="0"/>
      <w:marBottom w:val="0"/>
      <w:divBdr>
        <w:top w:val="none" w:sz="0" w:space="0" w:color="auto"/>
        <w:left w:val="none" w:sz="0" w:space="0" w:color="auto"/>
        <w:bottom w:val="none" w:sz="0" w:space="0" w:color="auto"/>
        <w:right w:val="none" w:sz="0" w:space="0" w:color="auto"/>
      </w:divBdr>
    </w:div>
    <w:div w:id="520363775">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0818243">
      <w:bodyDiv w:val="1"/>
      <w:marLeft w:val="0"/>
      <w:marRight w:val="0"/>
      <w:marTop w:val="0"/>
      <w:marBottom w:val="0"/>
      <w:divBdr>
        <w:top w:val="none" w:sz="0" w:space="0" w:color="auto"/>
        <w:left w:val="none" w:sz="0" w:space="0" w:color="auto"/>
        <w:bottom w:val="none" w:sz="0" w:space="0" w:color="auto"/>
        <w:right w:val="none" w:sz="0" w:space="0" w:color="auto"/>
      </w:divBdr>
    </w:div>
    <w:div w:id="521088615">
      <w:bodyDiv w:val="1"/>
      <w:marLeft w:val="0"/>
      <w:marRight w:val="0"/>
      <w:marTop w:val="0"/>
      <w:marBottom w:val="0"/>
      <w:divBdr>
        <w:top w:val="none" w:sz="0" w:space="0" w:color="auto"/>
        <w:left w:val="none" w:sz="0" w:space="0" w:color="auto"/>
        <w:bottom w:val="none" w:sz="0" w:space="0" w:color="auto"/>
        <w:right w:val="none" w:sz="0" w:space="0" w:color="auto"/>
      </w:divBdr>
    </w:div>
    <w:div w:id="521164044">
      <w:bodyDiv w:val="1"/>
      <w:marLeft w:val="0"/>
      <w:marRight w:val="0"/>
      <w:marTop w:val="0"/>
      <w:marBottom w:val="0"/>
      <w:divBdr>
        <w:top w:val="none" w:sz="0" w:space="0" w:color="auto"/>
        <w:left w:val="none" w:sz="0" w:space="0" w:color="auto"/>
        <w:bottom w:val="none" w:sz="0" w:space="0" w:color="auto"/>
        <w:right w:val="none" w:sz="0" w:space="0" w:color="auto"/>
      </w:divBdr>
    </w:div>
    <w:div w:id="521212615">
      <w:bodyDiv w:val="1"/>
      <w:marLeft w:val="0"/>
      <w:marRight w:val="0"/>
      <w:marTop w:val="0"/>
      <w:marBottom w:val="0"/>
      <w:divBdr>
        <w:top w:val="none" w:sz="0" w:space="0" w:color="auto"/>
        <w:left w:val="none" w:sz="0" w:space="0" w:color="auto"/>
        <w:bottom w:val="none" w:sz="0" w:space="0" w:color="auto"/>
        <w:right w:val="none" w:sz="0" w:space="0" w:color="auto"/>
      </w:divBdr>
    </w:div>
    <w:div w:id="521675480">
      <w:bodyDiv w:val="1"/>
      <w:marLeft w:val="0"/>
      <w:marRight w:val="0"/>
      <w:marTop w:val="0"/>
      <w:marBottom w:val="0"/>
      <w:divBdr>
        <w:top w:val="none" w:sz="0" w:space="0" w:color="auto"/>
        <w:left w:val="none" w:sz="0" w:space="0" w:color="auto"/>
        <w:bottom w:val="none" w:sz="0" w:space="0" w:color="auto"/>
        <w:right w:val="none" w:sz="0" w:space="0" w:color="auto"/>
      </w:divBdr>
    </w:div>
    <w:div w:id="521825186">
      <w:bodyDiv w:val="1"/>
      <w:marLeft w:val="0"/>
      <w:marRight w:val="0"/>
      <w:marTop w:val="0"/>
      <w:marBottom w:val="0"/>
      <w:divBdr>
        <w:top w:val="none" w:sz="0" w:space="0" w:color="auto"/>
        <w:left w:val="none" w:sz="0" w:space="0" w:color="auto"/>
        <w:bottom w:val="none" w:sz="0" w:space="0" w:color="auto"/>
        <w:right w:val="none" w:sz="0" w:space="0" w:color="auto"/>
      </w:divBdr>
    </w:div>
    <w:div w:id="522135261">
      <w:bodyDiv w:val="1"/>
      <w:marLeft w:val="0"/>
      <w:marRight w:val="0"/>
      <w:marTop w:val="0"/>
      <w:marBottom w:val="0"/>
      <w:divBdr>
        <w:top w:val="none" w:sz="0" w:space="0" w:color="auto"/>
        <w:left w:val="none" w:sz="0" w:space="0" w:color="auto"/>
        <w:bottom w:val="none" w:sz="0" w:space="0" w:color="auto"/>
        <w:right w:val="none" w:sz="0" w:space="0" w:color="auto"/>
      </w:divBdr>
    </w:div>
    <w:div w:id="522404484">
      <w:bodyDiv w:val="1"/>
      <w:marLeft w:val="0"/>
      <w:marRight w:val="0"/>
      <w:marTop w:val="0"/>
      <w:marBottom w:val="0"/>
      <w:divBdr>
        <w:top w:val="none" w:sz="0" w:space="0" w:color="auto"/>
        <w:left w:val="none" w:sz="0" w:space="0" w:color="auto"/>
        <w:bottom w:val="none" w:sz="0" w:space="0" w:color="auto"/>
        <w:right w:val="none" w:sz="0" w:space="0" w:color="auto"/>
      </w:divBdr>
    </w:div>
    <w:div w:id="522788061">
      <w:bodyDiv w:val="1"/>
      <w:marLeft w:val="0"/>
      <w:marRight w:val="0"/>
      <w:marTop w:val="0"/>
      <w:marBottom w:val="0"/>
      <w:divBdr>
        <w:top w:val="none" w:sz="0" w:space="0" w:color="auto"/>
        <w:left w:val="none" w:sz="0" w:space="0" w:color="auto"/>
        <w:bottom w:val="none" w:sz="0" w:space="0" w:color="auto"/>
        <w:right w:val="none" w:sz="0" w:space="0" w:color="auto"/>
      </w:divBdr>
    </w:div>
    <w:div w:id="523174448">
      <w:bodyDiv w:val="1"/>
      <w:marLeft w:val="0"/>
      <w:marRight w:val="0"/>
      <w:marTop w:val="0"/>
      <w:marBottom w:val="0"/>
      <w:divBdr>
        <w:top w:val="none" w:sz="0" w:space="0" w:color="auto"/>
        <w:left w:val="none" w:sz="0" w:space="0" w:color="auto"/>
        <w:bottom w:val="none" w:sz="0" w:space="0" w:color="auto"/>
        <w:right w:val="none" w:sz="0" w:space="0" w:color="auto"/>
      </w:divBdr>
    </w:div>
    <w:div w:id="523174805">
      <w:bodyDiv w:val="1"/>
      <w:marLeft w:val="0"/>
      <w:marRight w:val="0"/>
      <w:marTop w:val="0"/>
      <w:marBottom w:val="0"/>
      <w:divBdr>
        <w:top w:val="none" w:sz="0" w:space="0" w:color="auto"/>
        <w:left w:val="none" w:sz="0" w:space="0" w:color="auto"/>
        <w:bottom w:val="none" w:sz="0" w:space="0" w:color="auto"/>
        <w:right w:val="none" w:sz="0" w:space="0" w:color="auto"/>
      </w:divBdr>
    </w:div>
    <w:div w:id="523175793">
      <w:bodyDiv w:val="1"/>
      <w:marLeft w:val="0"/>
      <w:marRight w:val="0"/>
      <w:marTop w:val="0"/>
      <w:marBottom w:val="0"/>
      <w:divBdr>
        <w:top w:val="none" w:sz="0" w:space="0" w:color="auto"/>
        <w:left w:val="none" w:sz="0" w:space="0" w:color="auto"/>
        <w:bottom w:val="none" w:sz="0" w:space="0" w:color="auto"/>
        <w:right w:val="none" w:sz="0" w:space="0" w:color="auto"/>
      </w:divBdr>
    </w:div>
    <w:div w:id="523179288">
      <w:bodyDiv w:val="1"/>
      <w:marLeft w:val="0"/>
      <w:marRight w:val="0"/>
      <w:marTop w:val="0"/>
      <w:marBottom w:val="0"/>
      <w:divBdr>
        <w:top w:val="none" w:sz="0" w:space="0" w:color="auto"/>
        <w:left w:val="none" w:sz="0" w:space="0" w:color="auto"/>
        <w:bottom w:val="none" w:sz="0" w:space="0" w:color="auto"/>
        <w:right w:val="none" w:sz="0" w:space="0" w:color="auto"/>
      </w:divBdr>
    </w:div>
    <w:div w:id="523251356">
      <w:bodyDiv w:val="1"/>
      <w:marLeft w:val="0"/>
      <w:marRight w:val="0"/>
      <w:marTop w:val="0"/>
      <w:marBottom w:val="0"/>
      <w:divBdr>
        <w:top w:val="none" w:sz="0" w:space="0" w:color="auto"/>
        <w:left w:val="none" w:sz="0" w:space="0" w:color="auto"/>
        <w:bottom w:val="none" w:sz="0" w:space="0" w:color="auto"/>
        <w:right w:val="none" w:sz="0" w:space="0" w:color="auto"/>
      </w:divBdr>
    </w:div>
    <w:div w:id="523326468">
      <w:bodyDiv w:val="1"/>
      <w:marLeft w:val="0"/>
      <w:marRight w:val="0"/>
      <w:marTop w:val="0"/>
      <w:marBottom w:val="0"/>
      <w:divBdr>
        <w:top w:val="none" w:sz="0" w:space="0" w:color="auto"/>
        <w:left w:val="none" w:sz="0" w:space="0" w:color="auto"/>
        <w:bottom w:val="none" w:sz="0" w:space="0" w:color="auto"/>
        <w:right w:val="none" w:sz="0" w:space="0" w:color="auto"/>
      </w:divBdr>
    </w:div>
    <w:div w:id="523446030">
      <w:bodyDiv w:val="1"/>
      <w:marLeft w:val="0"/>
      <w:marRight w:val="0"/>
      <w:marTop w:val="0"/>
      <w:marBottom w:val="0"/>
      <w:divBdr>
        <w:top w:val="none" w:sz="0" w:space="0" w:color="auto"/>
        <w:left w:val="none" w:sz="0" w:space="0" w:color="auto"/>
        <w:bottom w:val="none" w:sz="0" w:space="0" w:color="auto"/>
        <w:right w:val="none" w:sz="0" w:space="0" w:color="auto"/>
      </w:divBdr>
    </w:div>
    <w:div w:id="523714646">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3985163">
      <w:bodyDiv w:val="1"/>
      <w:marLeft w:val="0"/>
      <w:marRight w:val="0"/>
      <w:marTop w:val="0"/>
      <w:marBottom w:val="0"/>
      <w:divBdr>
        <w:top w:val="none" w:sz="0" w:space="0" w:color="auto"/>
        <w:left w:val="none" w:sz="0" w:space="0" w:color="auto"/>
        <w:bottom w:val="none" w:sz="0" w:space="0" w:color="auto"/>
        <w:right w:val="none" w:sz="0" w:space="0" w:color="auto"/>
      </w:divBdr>
    </w:div>
    <w:div w:id="524489846">
      <w:bodyDiv w:val="1"/>
      <w:marLeft w:val="0"/>
      <w:marRight w:val="0"/>
      <w:marTop w:val="0"/>
      <w:marBottom w:val="0"/>
      <w:divBdr>
        <w:top w:val="none" w:sz="0" w:space="0" w:color="auto"/>
        <w:left w:val="none" w:sz="0" w:space="0" w:color="auto"/>
        <w:bottom w:val="none" w:sz="0" w:space="0" w:color="auto"/>
        <w:right w:val="none" w:sz="0" w:space="0" w:color="auto"/>
      </w:divBdr>
    </w:div>
    <w:div w:id="524834536">
      <w:bodyDiv w:val="1"/>
      <w:marLeft w:val="0"/>
      <w:marRight w:val="0"/>
      <w:marTop w:val="0"/>
      <w:marBottom w:val="0"/>
      <w:divBdr>
        <w:top w:val="none" w:sz="0" w:space="0" w:color="auto"/>
        <w:left w:val="none" w:sz="0" w:space="0" w:color="auto"/>
        <w:bottom w:val="none" w:sz="0" w:space="0" w:color="auto"/>
        <w:right w:val="none" w:sz="0" w:space="0" w:color="auto"/>
      </w:divBdr>
    </w:div>
    <w:div w:id="525171842">
      <w:bodyDiv w:val="1"/>
      <w:marLeft w:val="0"/>
      <w:marRight w:val="0"/>
      <w:marTop w:val="0"/>
      <w:marBottom w:val="0"/>
      <w:divBdr>
        <w:top w:val="none" w:sz="0" w:space="0" w:color="auto"/>
        <w:left w:val="none" w:sz="0" w:space="0" w:color="auto"/>
        <w:bottom w:val="none" w:sz="0" w:space="0" w:color="auto"/>
        <w:right w:val="none" w:sz="0" w:space="0" w:color="auto"/>
      </w:divBdr>
    </w:div>
    <w:div w:id="525338352">
      <w:bodyDiv w:val="1"/>
      <w:marLeft w:val="0"/>
      <w:marRight w:val="0"/>
      <w:marTop w:val="0"/>
      <w:marBottom w:val="0"/>
      <w:divBdr>
        <w:top w:val="none" w:sz="0" w:space="0" w:color="auto"/>
        <w:left w:val="none" w:sz="0" w:space="0" w:color="auto"/>
        <w:bottom w:val="none" w:sz="0" w:space="0" w:color="auto"/>
        <w:right w:val="none" w:sz="0" w:space="0" w:color="auto"/>
      </w:divBdr>
    </w:div>
    <w:div w:id="526407098">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6455484">
      <w:bodyDiv w:val="1"/>
      <w:marLeft w:val="0"/>
      <w:marRight w:val="0"/>
      <w:marTop w:val="0"/>
      <w:marBottom w:val="0"/>
      <w:divBdr>
        <w:top w:val="none" w:sz="0" w:space="0" w:color="auto"/>
        <w:left w:val="none" w:sz="0" w:space="0" w:color="auto"/>
        <w:bottom w:val="none" w:sz="0" w:space="0" w:color="auto"/>
        <w:right w:val="none" w:sz="0" w:space="0" w:color="auto"/>
      </w:divBdr>
    </w:div>
    <w:div w:id="526527017">
      <w:bodyDiv w:val="1"/>
      <w:marLeft w:val="0"/>
      <w:marRight w:val="0"/>
      <w:marTop w:val="0"/>
      <w:marBottom w:val="0"/>
      <w:divBdr>
        <w:top w:val="none" w:sz="0" w:space="0" w:color="auto"/>
        <w:left w:val="none" w:sz="0" w:space="0" w:color="auto"/>
        <w:bottom w:val="none" w:sz="0" w:space="0" w:color="auto"/>
        <w:right w:val="none" w:sz="0" w:space="0" w:color="auto"/>
      </w:divBdr>
    </w:div>
    <w:div w:id="526600485">
      <w:bodyDiv w:val="1"/>
      <w:marLeft w:val="0"/>
      <w:marRight w:val="0"/>
      <w:marTop w:val="0"/>
      <w:marBottom w:val="0"/>
      <w:divBdr>
        <w:top w:val="none" w:sz="0" w:space="0" w:color="auto"/>
        <w:left w:val="none" w:sz="0" w:space="0" w:color="auto"/>
        <w:bottom w:val="none" w:sz="0" w:space="0" w:color="auto"/>
        <w:right w:val="none" w:sz="0" w:space="0" w:color="auto"/>
      </w:divBdr>
    </w:div>
    <w:div w:id="526871008">
      <w:bodyDiv w:val="1"/>
      <w:marLeft w:val="0"/>
      <w:marRight w:val="0"/>
      <w:marTop w:val="0"/>
      <w:marBottom w:val="0"/>
      <w:divBdr>
        <w:top w:val="none" w:sz="0" w:space="0" w:color="auto"/>
        <w:left w:val="none" w:sz="0" w:space="0" w:color="auto"/>
        <w:bottom w:val="none" w:sz="0" w:space="0" w:color="auto"/>
        <w:right w:val="none" w:sz="0" w:space="0" w:color="auto"/>
      </w:divBdr>
    </w:div>
    <w:div w:id="526918284">
      <w:bodyDiv w:val="1"/>
      <w:marLeft w:val="0"/>
      <w:marRight w:val="0"/>
      <w:marTop w:val="0"/>
      <w:marBottom w:val="0"/>
      <w:divBdr>
        <w:top w:val="none" w:sz="0" w:space="0" w:color="auto"/>
        <w:left w:val="none" w:sz="0" w:space="0" w:color="auto"/>
        <w:bottom w:val="none" w:sz="0" w:space="0" w:color="auto"/>
        <w:right w:val="none" w:sz="0" w:space="0" w:color="auto"/>
      </w:divBdr>
    </w:div>
    <w:div w:id="527260467">
      <w:bodyDiv w:val="1"/>
      <w:marLeft w:val="0"/>
      <w:marRight w:val="0"/>
      <w:marTop w:val="0"/>
      <w:marBottom w:val="0"/>
      <w:divBdr>
        <w:top w:val="none" w:sz="0" w:space="0" w:color="auto"/>
        <w:left w:val="none" w:sz="0" w:space="0" w:color="auto"/>
        <w:bottom w:val="none" w:sz="0" w:space="0" w:color="auto"/>
        <w:right w:val="none" w:sz="0" w:space="0" w:color="auto"/>
      </w:divBdr>
    </w:div>
    <w:div w:id="527333097">
      <w:bodyDiv w:val="1"/>
      <w:marLeft w:val="0"/>
      <w:marRight w:val="0"/>
      <w:marTop w:val="0"/>
      <w:marBottom w:val="0"/>
      <w:divBdr>
        <w:top w:val="none" w:sz="0" w:space="0" w:color="auto"/>
        <w:left w:val="none" w:sz="0" w:space="0" w:color="auto"/>
        <w:bottom w:val="none" w:sz="0" w:space="0" w:color="auto"/>
        <w:right w:val="none" w:sz="0" w:space="0" w:color="auto"/>
      </w:divBdr>
    </w:div>
    <w:div w:id="527838307">
      <w:bodyDiv w:val="1"/>
      <w:marLeft w:val="0"/>
      <w:marRight w:val="0"/>
      <w:marTop w:val="0"/>
      <w:marBottom w:val="0"/>
      <w:divBdr>
        <w:top w:val="none" w:sz="0" w:space="0" w:color="auto"/>
        <w:left w:val="none" w:sz="0" w:space="0" w:color="auto"/>
        <w:bottom w:val="none" w:sz="0" w:space="0" w:color="auto"/>
        <w:right w:val="none" w:sz="0" w:space="0" w:color="auto"/>
      </w:divBdr>
    </w:div>
    <w:div w:id="527913159">
      <w:bodyDiv w:val="1"/>
      <w:marLeft w:val="0"/>
      <w:marRight w:val="0"/>
      <w:marTop w:val="0"/>
      <w:marBottom w:val="0"/>
      <w:divBdr>
        <w:top w:val="none" w:sz="0" w:space="0" w:color="auto"/>
        <w:left w:val="none" w:sz="0" w:space="0" w:color="auto"/>
        <w:bottom w:val="none" w:sz="0" w:space="0" w:color="auto"/>
        <w:right w:val="none" w:sz="0" w:space="0" w:color="auto"/>
      </w:divBdr>
    </w:div>
    <w:div w:id="528102387">
      <w:bodyDiv w:val="1"/>
      <w:marLeft w:val="0"/>
      <w:marRight w:val="0"/>
      <w:marTop w:val="0"/>
      <w:marBottom w:val="0"/>
      <w:divBdr>
        <w:top w:val="none" w:sz="0" w:space="0" w:color="auto"/>
        <w:left w:val="none" w:sz="0" w:space="0" w:color="auto"/>
        <w:bottom w:val="none" w:sz="0" w:space="0" w:color="auto"/>
        <w:right w:val="none" w:sz="0" w:space="0" w:color="auto"/>
      </w:divBdr>
    </w:div>
    <w:div w:id="528107447">
      <w:bodyDiv w:val="1"/>
      <w:marLeft w:val="0"/>
      <w:marRight w:val="0"/>
      <w:marTop w:val="0"/>
      <w:marBottom w:val="0"/>
      <w:divBdr>
        <w:top w:val="none" w:sz="0" w:space="0" w:color="auto"/>
        <w:left w:val="none" w:sz="0" w:space="0" w:color="auto"/>
        <w:bottom w:val="none" w:sz="0" w:space="0" w:color="auto"/>
        <w:right w:val="none" w:sz="0" w:space="0" w:color="auto"/>
      </w:divBdr>
    </w:div>
    <w:div w:id="528613890">
      <w:bodyDiv w:val="1"/>
      <w:marLeft w:val="0"/>
      <w:marRight w:val="0"/>
      <w:marTop w:val="0"/>
      <w:marBottom w:val="0"/>
      <w:divBdr>
        <w:top w:val="none" w:sz="0" w:space="0" w:color="auto"/>
        <w:left w:val="none" w:sz="0" w:space="0" w:color="auto"/>
        <w:bottom w:val="none" w:sz="0" w:space="0" w:color="auto"/>
        <w:right w:val="none" w:sz="0" w:space="0" w:color="auto"/>
      </w:divBdr>
    </w:div>
    <w:div w:id="528952569">
      <w:bodyDiv w:val="1"/>
      <w:marLeft w:val="0"/>
      <w:marRight w:val="0"/>
      <w:marTop w:val="0"/>
      <w:marBottom w:val="0"/>
      <w:divBdr>
        <w:top w:val="none" w:sz="0" w:space="0" w:color="auto"/>
        <w:left w:val="none" w:sz="0" w:space="0" w:color="auto"/>
        <w:bottom w:val="none" w:sz="0" w:space="0" w:color="auto"/>
        <w:right w:val="none" w:sz="0" w:space="0" w:color="auto"/>
      </w:divBdr>
    </w:div>
    <w:div w:id="529074852">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30337919">
      <w:bodyDiv w:val="1"/>
      <w:marLeft w:val="0"/>
      <w:marRight w:val="0"/>
      <w:marTop w:val="0"/>
      <w:marBottom w:val="0"/>
      <w:divBdr>
        <w:top w:val="none" w:sz="0" w:space="0" w:color="auto"/>
        <w:left w:val="none" w:sz="0" w:space="0" w:color="auto"/>
        <w:bottom w:val="none" w:sz="0" w:space="0" w:color="auto"/>
        <w:right w:val="none" w:sz="0" w:space="0" w:color="auto"/>
      </w:divBdr>
    </w:div>
    <w:div w:id="530647759">
      <w:bodyDiv w:val="1"/>
      <w:marLeft w:val="0"/>
      <w:marRight w:val="0"/>
      <w:marTop w:val="0"/>
      <w:marBottom w:val="0"/>
      <w:divBdr>
        <w:top w:val="none" w:sz="0" w:space="0" w:color="auto"/>
        <w:left w:val="none" w:sz="0" w:space="0" w:color="auto"/>
        <w:bottom w:val="none" w:sz="0" w:space="0" w:color="auto"/>
        <w:right w:val="none" w:sz="0" w:space="0" w:color="auto"/>
      </w:divBdr>
    </w:div>
    <w:div w:id="531117867">
      <w:bodyDiv w:val="1"/>
      <w:marLeft w:val="0"/>
      <w:marRight w:val="0"/>
      <w:marTop w:val="0"/>
      <w:marBottom w:val="0"/>
      <w:divBdr>
        <w:top w:val="none" w:sz="0" w:space="0" w:color="auto"/>
        <w:left w:val="none" w:sz="0" w:space="0" w:color="auto"/>
        <w:bottom w:val="none" w:sz="0" w:space="0" w:color="auto"/>
        <w:right w:val="none" w:sz="0" w:space="0" w:color="auto"/>
      </w:divBdr>
    </w:div>
    <w:div w:id="531501044">
      <w:bodyDiv w:val="1"/>
      <w:marLeft w:val="0"/>
      <w:marRight w:val="0"/>
      <w:marTop w:val="0"/>
      <w:marBottom w:val="0"/>
      <w:divBdr>
        <w:top w:val="none" w:sz="0" w:space="0" w:color="auto"/>
        <w:left w:val="none" w:sz="0" w:space="0" w:color="auto"/>
        <w:bottom w:val="none" w:sz="0" w:space="0" w:color="auto"/>
        <w:right w:val="none" w:sz="0" w:space="0" w:color="auto"/>
      </w:divBdr>
    </w:div>
    <w:div w:id="531579453">
      <w:bodyDiv w:val="1"/>
      <w:marLeft w:val="0"/>
      <w:marRight w:val="0"/>
      <w:marTop w:val="0"/>
      <w:marBottom w:val="0"/>
      <w:divBdr>
        <w:top w:val="none" w:sz="0" w:space="0" w:color="auto"/>
        <w:left w:val="none" w:sz="0" w:space="0" w:color="auto"/>
        <w:bottom w:val="none" w:sz="0" w:space="0" w:color="auto"/>
        <w:right w:val="none" w:sz="0" w:space="0" w:color="auto"/>
      </w:divBdr>
    </w:div>
    <w:div w:id="531916455">
      <w:bodyDiv w:val="1"/>
      <w:marLeft w:val="0"/>
      <w:marRight w:val="0"/>
      <w:marTop w:val="0"/>
      <w:marBottom w:val="0"/>
      <w:divBdr>
        <w:top w:val="none" w:sz="0" w:space="0" w:color="auto"/>
        <w:left w:val="none" w:sz="0" w:space="0" w:color="auto"/>
        <w:bottom w:val="none" w:sz="0" w:space="0" w:color="auto"/>
        <w:right w:val="none" w:sz="0" w:space="0" w:color="auto"/>
      </w:divBdr>
    </w:div>
    <w:div w:id="531958706">
      <w:bodyDiv w:val="1"/>
      <w:marLeft w:val="0"/>
      <w:marRight w:val="0"/>
      <w:marTop w:val="0"/>
      <w:marBottom w:val="0"/>
      <w:divBdr>
        <w:top w:val="none" w:sz="0" w:space="0" w:color="auto"/>
        <w:left w:val="none" w:sz="0" w:space="0" w:color="auto"/>
        <w:bottom w:val="none" w:sz="0" w:space="0" w:color="auto"/>
        <w:right w:val="none" w:sz="0" w:space="0" w:color="auto"/>
      </w:divBdr>
    </w:div>
    <w:div w:id="532421196">
      <w:bodyDiv w:val="1"/>
      <w:marLeft w:val="0"/>
      <w:marRight w:val="0"/>
      <w:marTop w:val="0"/>
      <w:marBottom w:val="0"/>
      <w:divBdr>
        <w:top w:val="none" w:sz="0" w:space="0" w:color="auto"/>
        <w:left w:val="none" w:sz="0" w:space="0" w:color="auto"/>
        <w:bottom w:val="none" w:sz="0" w:space="0" w:color="auto"/>
        <w:right w:val="none" w:sz="0" w:space="0" w:color="auto"/>
      </w:divBdr>
    </w:div>
    <w:div w:id="532811629">
      <w:bodyDiv w:val="1"/>
      <w:marLeft w:val="0"/>
      <w:marRight w:val="0"/>
      <w:marTop w:val="0"/>
      <w:marBottom w:val="0"/>
      <w:divBdr>
        <w:top w:val="none" w:sz="0" w:space="0" w:color="auto"/>
        <w:left w:val="none" w:sz="0" w:space="0" w:color="auto"/>
        <w:bottom w:val="none" w:sz="0" w:space="0" w:color="auto"/>
        <w:right w:val="none" w:sz="0" w:space="0" w:color="auto"/>
      </w:divBdr>
    </w:div>
    <w:div w:id="533036137">
      <w:bodyDiv w:val="1"/>
      <w:marLeft w:val="0"/>
      <w:marRight w:val="0"/>
      <w:marTop w:val="0"/>
      <w:marBottom w:val="0"/>
      <w:divBdr>
        <w:top w:val="none" w:sz="0" w:space="0" w:color="auto"/>
        <w:left w:val="none" w:sz="0" w:space="0" w:color="auto"/>
        <w:bottom w:val="none" w:sz="0" w:space="0" w:color="auto"/>
        <w:right w:val="none" w:sz="0" w:space="0" w:color="auto"/>
      </w:divBdr>
    </w:div>
    <w:div w:id="533083229">
      <w:bodyDiv w:val="1"/>
      <w:marLeft w:val="0"/>
      <w:marRight w:val="0"/>
      <w:marTop w:val="0"/>
      <w:marBottom w:val="0"/>
      <w:divBdr>
        <w:top w:val="none" w:sz="0" w:space="0" w:color="auto"/>
        <w:left w:val="none" w:sz="0" w:space="0" w:color="auto"/>
        <w:bottom w:val="none" w:sz="0" w:space="0" w:color="auto"/>
        <w:right w:val="none" w:sz="0" w:space="0" w:color="auto"/>
      </w:divBdr>
    </w:div>
    <w:div w:id="534317224">
      <w:bodyDiv w:val="1"/>
      <w:marLeft w:val="0"/>
      <w:marRight w:val="0"/>
      <w:marTop w:val="0"/>
      <w:marBottom w:val="0"/>
      <w:divBdr>
        <w:top w:val="none" w:sz="0" w:space="0" w:color="auto"/>
        <w:left w:val="none" w:sz="0" w:space="0" w:color="auto"/>
        <w:bottom w:val="none" w:sz="0" w:space="0" w:color="auto"/>
        <w:right w:val="none" w:sz="0" w:space="0" w:color="auto"/>
      </w:divBdr>
    </w:div>
    <w:div w:id="534344164">
      <w:bodyDiv w:val="1"/>
      <w:marLeft w:val="0"/>
      <w:marRight w:val="0"/>
      <w:marTop w:val="0"/>
      <w:marBottom w:val="0"/>
      <w:divBdr>
        <w:top w:val="none" w:sz="0" w:space="0" w:color="auto"/>
        <w:left w:val="none" w:sz="0" w:space="0" w:color="auto"/>
        <w:bottom w:val="none" w:sz="0" w:space="0" w:color="auto"/>
        <w:right w:val="none" w:sz="0" w:space="0" w:color="auto"/>
      </w:divBdr>
    </w:div>
    <w:div w:id="534850441">
      <w:bodyDiv w:val="1"/>
      <w:marLeft w:val="0"/>
      <w:marRight w:val="0"/>
      <w:marTop w:val="0"/>
      <w:marBottom w:val="0"/>
      <w:divBdr>
        <w:top w:val="none" w:sz="0" w:space="0" w:color="auto"/>
        <w:left w:val="none" w:sz="0" w:space="0" w:color="auto"/>
        <w:bottom w:val="none" w:sz="0" w:space="0" w:color="auto"/>
        <w:right w:val="none" w:sz="0" w:space="0" w:color="auto"/>
      </w:divBdr>
    </w:div>
    <w:div w:id="534931217">
      <w:bodyDiv w:val="1"/>
      <w:marLeft w:val="0"/>
      <w:marRight w:val="0"/>
      <w:marTop w:val="0"/>
      <w:marBottom w:val="0"/>
      <w:divBdr>
        <w:top w:val="none" w:sz="0" w:space="0" w:color="auto"/>
        <w:left w:val="none" w:sz="0" w:space="0" w:color="auto"/>
        <w:bottom w:val="none" w:sz="0" w:space="0" w:color="auto"/>
        <w:right w:val="none" w:sz="0" w:space="0" w:color="auto"/>
      </w:divBdr>
    </w:div>
    <w:div w:id="535312646">
      <w:bodyDiv w:val="1"/>
      <w:marLeft w:val="0"/>
      <w:marRight w:val="0"/>
      <w:marTop w:val="0"/>
      <w:marBottom w:val="0"/>
      <w:divBdr>
        <w:top w:val="none" w:sz="0" w:space="0" w:color="auto"/>
        <w:left w:val="none" w:sz="0" w:space="0" w:color="auto"/>
        <w:bottom w:val="none" w:sz="0" w:space="0" w:color="auto"/>
        <w:right w:val="none" w:sz="0" w:space="0" w:color="auto"/>
      </w:divBdr>
    </w:div>
    <w:div w:id="535312720">
      <w:bodyDiv w:val="1"/>
      <w:marLeft w:val="0"/>
      <w:marRight w:val="0"/>
      <w:marTop w:val="0"/>
      <w:marBottom w:val="0"/>
      <w:divBdr>
        <w:top w:val="none" w:sz="0" w:space="0" w:color="auto"/>
        <w:left w:val="none" w:sz="0" w:space="0" w:color="auto"/>
        <w:bottom w:val="none" w:sz="0" w:space="0" w:color="auto"/>
        <w:right w:val="none" w:sz="0" w:space="0" w:color="auto"/>
      </w:divBdr>
    </w:div>
    <w:div w:id="535313148">
      <w:bodyDiv w:val="1"/>
      <w:marLeft w:val="0"/>
      <w:marRight w:val="0"/>
      <w:marTop w:val="0"/>
      <w:marBottom w:val="0"/>
      <w:divBdr>
        <w:top w:val="none" w:sz="0" w:space="0" w:color="auto"/>
        <w:left w:val="none" w:sz="0" w:space="0" w:color="auto"/>
        <w:bottom w:val="none" w:sz="0" w:space="0" w:color="auto"/>
        <w:right w:val="none" w:sz="0" w:space="0" w:color="auto"/>
      </w:divBdr>
    </w:div>
    <w:div w:id="535430382">
      <w:bodyDiv w:val="1"/>
      <w:marLeft w:val="0"/>
      <w:marRight w:val="0"/>
      <w:marTop w:val="0"/>
      <w:marBottom w:val="0"/>
      <w:divBdr>
        <w:top w:val="none" w:sz="0" w:space="0" w:color="auto"/>
        <w:left w:val="none" w:sz="0" w:space="0" w:color="auto"/>
        <w:bottom w:val="none" w:sz="0" w:space="0" w:color="auto"/>
        <w:right w:val="none" w:sz="0" w:space="0" w:color="auto"/>
      </w:divBdr>
    </w:div>
    <w:div w:id="535774788">
      <w:bodyDiv w:val="1"/>
      <w:marLeft w:val="0"/>
      <w:marRight w:val="0"/>
      <w:marTop w:val="0"/>
      <w:marBottom w:val="0"/>
      <w:divBdr>
        <w:top w:val="none" w:sz="0" w:space="0" w:color="auto"/>
        <w:left w:val="none" w:sz="0" w:space="0" w:color="auto"/>
        <w:bottom w:val="none" w:sz="0" w:space="0" w:color="auto"/>
        <w:right w:val="none" w:sz="0" w:space="0" w:color="auto"/>
      </w:divBdr>
    </w:div>
    <w:div w:id="536048442">
      <w:bodyDiv w:val="1"/>
      <w:marLeft w:val="0"/>
      <w:marRight w:val="0"/>
      <w:marTop w:val="0"/>
      <w:marBottom w:val="0"/>
      <w:divBdr>
        <w:top w:val="none" w:sz="0" w:space="0" w:color="auto"/>
        <w:left w:val="none" w:sz="0" w:space="0" w:color="auto"/>
        <w:bottom w:val="none" w:sz="0" w:space="0" w:color="auto"/>
        <w:right w:val="none" w:sz="0" w:space="0" w:color="auto"/>
      </w:divBdr>
    </w:div>
    <w:div w:id="536164658">
      <w:bodyDiv w:val="1"/>
      <w:marLeft w:val="0"/>
      <w:marRight w:val="0"/>
      <w:marTop w:val="0"/>
      <w:marBottom w:val="0"/>
      <w:divBdr>
        <w:top w:val="none" w:sz="0" w:space="0" w:color="auto"/>
        <w:left w:val="none" w:sz="0" w:space="0" w:color="auto"/>
        <w:bottom w:val="none" w:sz="0" w:space="0" w:color="auto"/>
        <w:right w:val="none" w:sz="0" w:space="0" w:color="auto"/>
      </w:divBdr>
    </w:div>
    <w:div w:id="536282563">
      <w:bodyDiv w:val="1"/>
      <w:marLeft w:val="0"/>
      <w:marRight w:val="0"/>
      <w:marTop w:val="0"/>
      <w:marBottom w:val="0"/>
      <w:divBdr>
        <w:top w:val="none" w:sz="0" w:space="0" w:color="auto"/>
        <w:left w:val="none" w:sz="0" w:space="0" w:color="auto"/>
        <w:bottom w:val="none" w:sz="0" w:space="0" w:color="auto"/>
        <w:right w:val="none" w:sz="0" w:space="0" w:color="auto"/>
      </w:divBdr>
    </w:div>
    <w:div w:id="536351218">
      <w:bodyDiv w:val="1"/>
      <w:marLeft w:val="0"/>
      <w:marRight w:val="0"/>
      <w:marTop w:val="0"/>
      <w:marBottom w:val="0"/>
      <w:divBdr>
        <w:top w:val="none" w:sz="0" w:space="0" w:color="auto"/>
        <w:left w:val="none" w:sz="0" w:space="0" w:color="auto"/>
        <w:bottom w:val="none" w:sz="0" w:space="0" w:color="auto"/>
        <w:right w:val="none" w:sz="0" w:space="0" w:color="auto"/>
      </w:divBdr>
    </w:div>
    <w:div w:id="536545474">
      <w:bodyDiv w:val="1"/>
      <w:marLeft w:val="0"/>
      <w:marRight w:val="0"/>
      <w:marTop w:val="0"/>
      <w:marBottom w:val="0"/>
      <w:divBdr>
        <w:top w:val="none" w:sz="0" w:space="0" w:color="auto"/>
        <w:left w:val="none" w:sz="0" w:space="0" w:color="auto"/>
        <w:bottom w:val="none" w:sz="0" w:space="0" w:color="auto"/>
        <w:right w:val="none" w:sz="0" w:space="0" w:color="auto"/>
      </w:divBdr>
    </w:div>
    <w:div w:id="536628899">
      <w:bodyDiv w:val="1"/>
      <w:marLeft w:val="0"/>
      <w:marRight w:val="0"/>
      <w:marTop w:val="0"/>
      <w:marBottom w:val="0"/>
      <w:divBdr>
        <w:top w:val="none" w:sz="0" w:space="0" w:color="auto"/>
        <w:left w:val="none" w:sz="0" w:space="0" w:color="auto"/>
        <w:bottom w:val="none" w:sz="0" w:space="0" w:color="auto"/>
        <w:right w:val="none" w:sz="0" w:space="0" w:color="auto"/>
      </w:divBdr>
    </w:div>
    <w:div w:id="536702358">
      <w:bodyDiv w:val="1"/>
      <w:marLeft w:val="0"/>
      <w:marRight w:val="0"/>
      <w:marTop w:val="0"/>
      <w:marBottom w:val="0"/>
      <w:divBdr>
        <w:top w:val="none" w:sz="0" w:space="0" w:color="auto"/>
        <w:left w:val="none" w:sz="0" w:space="0" w:color="auto"/>
        <w:bottom w:val="none" w:sz="0" w:space="0" w:color="auto"/>
        <w:right w:val="none" w:sz="0" w:space="0" w:color="auto"/>
      </w:divBdr>
    </w:div>
    <w:div w:id="536703745">
      <w:bodyDiv w:val="1"/>
      <w:marLeft w:val="0"/>
      <w:marRight w:val="0"/>
      <w:marTop w:val="0"/>
      <w:marBottom w:val="0"/>
      <w:divBdr>
        <w:top w:val="none" w:sz="0" w:space="0" w:color="auto"/>
        <w:left w:val="none" w:sz="0" w:space="0" w:color="auto"/>
        <w:bottom w:val="none" w:sz="0" w:space="0" w:color="auto"/>
        <w:right w:val="none" w:sz="0" w:space="0" w:color="auto"/>
      </w:divBdr>
    </w:div>
    <w:div w:id="536704066">
      <w:bodyDiv w:val="1"/>
      <w:marLeft w:val="0"/>
      <w:marRight w:val="0"/>
      <w:marTop w:val="0"/>
      <w:marBottom w:val="0"/>
      <w:divBdr>
        <w:top w:val="none" w:sz="0" w:space="0" w:color="auto"/>
        <w:left w:val="none" w:sz="0" w:space="0" w:color="auto"/>
        <w:bottom w:val="none" w:sz="0" w:space="0" w:color="auto"/>
        <w:right w:val="none" w:sz="0" w:space="0" w:color="auto"/>
      </w:divBdr>
    </w:div>
    <w:div w:id="537619997">
      <w:bodyDiv w:val="1"/>
      <w:marLeft w:val="0"/>
      <w:marRight w:val="0"/>
      <w:marTop w:val="0"/>
      <w:marBottom w:val="0"/>
      <w:divBdr>
        <w:top w:val="none" w:sz="0" w:space="0" w:color="auto"/>
        <w:left w:val="none" w:sz="0" w:space="0" w:color="auto"/>
        <w:bottom w:val="none" w:sz="0" w:space="0" w:color="auto"/>
        <w:right w:val="none" w:sz="0" w:space="0" w:color="auto"/>
      </w:divBdr>
    </w:div>
    <w:div w:id="538326155">
      <w:bodyDiv w:val="1"/>
      <w:marLeft w:val="0"/>
      <w:marRight w:val="0"/>
      <w:marTop w:val="0"/>
      <w:marBottom w:val="0"/>
      <w:divBdr>
        <w:top w:val="none" w:sz="0" w:space="0" w:color="auto"/>
        <w:left w:val="none" w:sz="0" w:space="0" w:color="auto"/>
        <w:bottom w:val="none" w:sz="0" w:space="0" w:color="auto"/>
        <w:right w:val="none" w:sz="0" w:space="0" w:color="auto"/>
      </w:divBdr>
    </w:div>
    <w:div w:id="538474307">
      <w:bodyDiv w:val="1"/>
      <w:marLeft w:val="0"/>
      <w:marRight w:val="0"/>
      <w:marTop w:val="0"/>
      <w:marBottom w:val="0"/>
      <w:divBdr>
        <w:top w:val="none" w:sz="0" w:space="0" w:color="auto"/>
        <w:left w:val="none" w:sz="0" w:space="0" w:color="auto"/>
        <w:bottom w:val="none" w:sz="0" w:space="0" w:color="auto"/>
        <w:right w:val="none" w:sz="0" w:space="0" w:color="auto"/>
      </w:divBdr>
    </w:div>
    <w:div w:id="538586221">
      <w:bodyDiv w:val="1"/>
      <w:marLeft w:val="0"/>
      <w:marRight w:val="0"/>
      <w:marTop w:val="0"/>
      <w:marBottom w:val="0"/>
      <w:divBdr>
        <w:top w:val="none" w:sz="0" w:space="0" w:color="auto"/>
        <w:left w:val="none" w:sz="0" w:space="0" w:color="auto"/>
        <w:bottom w:val="none" w:sz="0" w:space="0" w:color="auto"/>
        <w:right w:val="none" w:sz="0" w:space="0" w:color="auto"/>
      </w:divBdr>
    </w:div>
    <w:div w:id="538862715">
      <w:bodyDiv w:val="1"/>
      <w:marLeft w:val="0"/>
      <w:marRight w:val="0"/>
      <w:marTop w:val="0"/>
      <w:marBottom w:val="0"/>
      <w:divBdr>
        <w:top w:val="none" w:sz="0" w:space="0" w:color="auto"/>
        <w:left w:val="none" w:sz="0" w:space="0" w:color="auto"/>
        <w:bottom w:val="none" w:sz="0" w:space="0" w:color="auto"/>
        <w:right w:val="none" w:sz="0" w:space="0" w:color="auto"/>
      </w:divBdr>
    </w:div>
    <w:div w:id="538972302">
      <w:bodyDiv w:val="1"/>
      <w:marLeft w:val="0"/>
      <w:marRight w:val="0"/>
      <w:marTop w:val="0"/>
      <w:marBottom w:val="0"/>
      <w:divBdr>
        <w:top w:val="none" w:sz="0" w:space="0" w:color="auto"/>
        <w:left w:val="none" w:sz="0" w:space="0" w:color="auto"/>
        <w:bottom w:val="none" w:sz="0" w:space="0" w:color="auto"/>
        <w:right w:val="none" w:sz="0" w:space="0" w:color="auto"/>
      </w:divBdr>
    </w:div>
    <w:div w:id="539126631">
      <w:bodyDiv w:val="1"/>
      <w:marLeft w:val="0"/>
      <w:marRight w:val="0"/>
      <w:marTop w:val="0"/>
      <w:marBottom w:val="0"/>
      <w:divBdr>
        <w:top w:val="none" w:sz="0" w:space="0" w:color="auto"/>
        <w:left w:val="none" w:sz="0" w:space="0" w:color="auto"/>
        <w:bottom w:val="none" w:sz="0" w:space="0" w:color="auto"/>
        <w:right w:val="none" w:sz="0" w:space="0" w:color="auto"/>
      </w:divBdr>
    </w:div>
    <w:div w:id="539126779">
      <w:bodyDiv w:val="1"/>
      <w:marLeft w:val="0"/>
      <w:marRight w:val="0"/>
      <w:marTop w:val="0"/>
      <w:marBottom w:val="0"/>
      <w:divBdr>
        <w:top w:val="none" w:sz="0" w:space="0" w:color="auto"/>
        <w:left w:val="none" w:sz="0" w:space="0" w:color="auto"/>
        <w:bottom w:val="none" w:sz="0" w:space="0" w:color="auto"/>
        <w:right w:val="none" w:sz="0" w:space="0" w:color="auto"/>
      </w:divBdr>
    </w:div>
    <w:div w:id="539905256">
      <w:bodyDiv w:val="1"/>
      <w:marLeft w:val="0"/>
      <w:marRight w:val="0"/>
      <w:marTop w:val="0"/>
      <w:marBottom w:val="0"/>
      <w:divBdr>
        <w:top w:val="none" w:sz="0" w:space="0" w:color="auto"/>
        <w:left w:val="none" w:sz="0" w:space="0" w:color="auto"/>
        <w:bottom w:val="none" w:sz="0" w:space="0" w:color="auto"/>
        <w:right w:val="none" w:sz="0" w:space="0" w:color="auto"/>
      </w:divBdr>
    </w:div>
    <w:div w:id="540017347">
      <w:bodyDiv w:val="1"/>
      <w:marLeft w:val="0"/>
      <w:marRight w:val="0"/>
      <w:marTop w:val="0"/>
      <w:marBottom w:val="0"/>
      <w:divBdr>
        <w:top w:val="none" w:sz="0" w:space="0" w:color="auto"/>
        <w:left w:val="none" w:sz="0" w:space="0" w:color="auto"/>
        <w:bottom w:val="none" w:sz="0" w:space="0" w:color="auto"/>
        <w:right w:val="none" w:sz="0" w:space="0" w:color="auto"/>
      </w:divBdr>
    </w:div>
    <w:div w:id="540047484">
      <w:bodyDiv w:val="1"/>
      <w:marLeft w:val="0"/>
      <w:marRight w:val="0"/>
      <w:marTop w:val="0"/>
      <w:marBottom w:val="0"/>
      <w:divBdr>
        <w:top w:val="none" w:sz="0" w:space="0" w:color="auto"/>
        <w:left w:val="none" w:sz="0" w:space="0" w:color="auto"/>
        <w:bottom w:val="none" w:sz="0" w:space="0" w:color="auto"/>
        <w:right w:val="none" w:sz="0" w:space="0" w:color="auto"/>
      </w:divBdr>
    </w:div>
    <w:div w:id="540287443">
      <w:bodyDiv w:val="1"/>
      <w:marLeft w:val="0"/>
      <w:marRight w:val="0"/>
      <w:marTop w:val="0"/>
      <w:marBottom w:val="0"/>
      <w:divBdr>
        <w:top w:val="none" w:sz="0" w:space="0" w:color="auto"/>
        <w:left w:val="none" w:sz="0" w:space="0" w:color="auto"/>
        <w:bottom w:val="none" w:sz="0" w:space="0" w:color="auto"/>
        <w:right w:val="none" w:sz="0" w:space="0" w:color="auto"/>
      </w:divBdr>
    </w:div>
    <w:div w:id="540436309">
      <w:bodyDiv w:val="1"/>
      <w:marLeft w:val="0"/>
      <w:marRight w:val="0"/>
      <w:marTop w:val="0"/>
      <w:marBottom w:val="0"/>
      <w:divBdr>
        <w:top w:val="none" w:sz="0" w:space="0" w:color="auto"/>
        <w:left w:val="none" w:sz="0" w:space="0" w:color="auto"/>
        <w:bottom w:val="none" w:sz="0" w:space="0" w:color="auto"/>
        <w:right w:val="none" w:sz="0" w:space="0" w:color="auto"/>
      </w:divBdr>
    </w:div>
    <w:div w:id="540438564">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1091318">
      <w:bodyDiv w:val="1"/>
      <w:marLeft w:val="0"/>
      <w:marRight w:val="0"/>
      <w:marTop w:val="0"/>
      <w:marBottom w:val="0"/>
      <w:divBdr>
        <w:top w:val="none" w:sz="0" w:space="0" w:color="auto"/>
        <w:left w:val="none" w:sz="0" w:space="0" w:color="auto"/>
        <w:bottom w:val="none" w:sz="0" w:space="0" w:color="auto"/>
        <w:right w:val="none" w:sz="0" w:space="0" w:color="auto"/>
      </w:divBdr>
    </w:div>
    <w:div w:id="541479652">
      <w:bodyDiv w:val="1"/>
      <w:marLeft w:val="0"/>
      <w:marRight w:val="0"/>
      <w:marTop w:val="0"/>
      <w:marBottom w:val="0"/>
      <w:divBdr>
        <w:top w:val="none" w:sz="0" w:space="0" w:color="auto"/>
        <w:left w:val="none" w:sz="0" w:space="0" w:color="auto"/>
        <w:bottom w:val="none" w:sz="0" w:space="0" w:color="auto"/>
        <w:right w:val="none" w:sz="0" w:space="0" w:color="auto"/>
      </w:divBdr>
    </w:div>
    <w:div w:id="541750653">
      <w:bodyDiv w:val="1"/>
      <w:marLeft w:val="0"/>
      <w:marRight w:val="0"/>
      <w:marTop w:val="0"/>
      <w:marBottom w:val="0"/>
      <w:divBdr>
        <w:top w:val="none" w:sz="0" w:space="0" w:color="auto"/>
        <w:left w:val="none" w:sz="0" w:space="0" w:color="auto"/>
        <w:bottom w:val="none" w:sz="0" w:space="0" w:color="auto"/>
        <w:right w:val="none" w:sz="0" w:space="0" w:color="auto"/>
      </w:divBdr>
    </w:div>
    <w:div w:id="541863693">
      <w:bodyDiv w:val="1"/>
      <w:marLeft w:val="0"/>
      <w:marRight w:val="0"/>
      <w:marTop w:val="0"/>
      <w:marBottom w:val="0"/>
      <w:divBdr>
        <w:top w:val="none" w:sz="0" w:space="0" w:color="auto"/>
        <w:left w:val="none" w:sz="0" w:space="0" w:color="auto"/>
        <w:bottom w:val="none" w:sz="0" w:space="0" w:color="auto"/>
        <w:right w:val="none" w:sz="0" w:space="0" w:color="auto"/>
      </w:divBdr>
    </w:div>
    <w:div w:id="542525551">
      <w:bodyDiv w:val="1"/>
      <w:marLeft w:val="0"/>
      <w:marRight w:val="0"/>
      <w:marTop w:val="0"/>
      <w:marBottom w:val="0"/>
      <w:divBdr>
        <w:top w:val="none" w:sz="0" w:space="0" w:color="auto"/>
        <w:left w:val="none" w:sz="0" w:space="0" w:color="auto"/>
        <w:bottom w:val="none" w:sz="0" w:space="0" w:color="auto"/>
        <w:right w:val="none" w:sz="0" w:space="0" w:color="auto"/>
      </w:divBdr>
    </w:div>
    <w:div w:id="542866507">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3713237">
      <w:bodyDiv w:val="1"/>
      <w:marLeft w:val="0"/>
      <w:marRight w:val="0"/>
      <w:marTop w:val="0"/>
      <w:marBottom w:val="0"/>
      <w:divBdr>
        <w:top w:val="none" w:sz="0" w:space="0" w:color="auto"/>
        <w:left w:val="none" w:sz="0" w:space="0" w:color="auto"/>
        <w:bottom w:val="none" w:sz="0" w:space="0" w:color="auto"/>
        <w:right w:val="none" w:sz="0" w:space="0" w:color="auto"/>
      </w:divBdr>
    </w:div>
    <w:div w:id="543715401">
      <w:bodyDiv w:val="1"/>
      <w:marLeft w:val="0"/>
      <w:marRight w:val="0"/>
      <w:marTop w:val="0"/>
      <w:marBottom w:val="0"/>
      <w:divBdr>
        <w:top w:val="none" w:sz="0" w:space="0" w:color="auto"/>
        <w:left w:val="none" w:sz="0" w:space="0" w:color="auto"/>
        <w:bottom w:val="none" w:sz="0" w:space="0" w:color="auto"/>
        <w:right w:val="none" w:sz="0" w:space="0" w:color="auto"/>
      </w:divBdr>
    </w:div>
    <w:div w:id="544103905">
      <w:bodyDiv w:val="1"/>
      <w:marLeft w:val="0"/>
      <w:marRight w:val="0"/>
      <w:marTop w:val="0"/>
      <w:marBottom w:val="0"/>
      <w:divBdr>
        <w:top w:val="none" w:sz="0" w:space="0" w:color="auto"/>
        <w:left w:val="none" w:sz="0" w:space="0" w:color="auto"/>
        <w:bottom w:val="none" w:sz="0" w:space="0" w:color="auto"/>
        <w:right w:val="none" w:sz="0" w:space="0" w:color="auto"/>
      </w:divBdr>
    </w:div>
    <w:div w:id="544560409">
      <w:bodyDiv w:val="1"/>
      <w:marLeft w:val="0"/>
      <w:marRight w:val="0"/>
      <w:marTop w:val="0"/>
      <w:marBottom w:val="0"/>
      <w:divBdr>
        <w:top w:val="none" w:sz="0" w:space="0" w:color="auto"/>
        <w:left w:val="none" w:sz="0" w:space="0" w:color="auto"/>
        <w:bottom w:val="none" w:sz="0" w:space="0" w:color="auto"/>
        <w:right w:val="none" w:sz="0" w:space="0" w:color="auto"/>
      </w:divBdr>
    </w:div>
    <w:div w:id="544683319">
      <w:bodyDiv w:val="1"/>
      <w:marLeft w:val="0"/>
      <w:marRight w:val="0"/>
      <w:marTop w:val="0"/>
      <w:marBottom w:val="0"/>
      <w:divBdr>
        <w:top w:val="none" w:sz="0" w:space="0" w:color="auto"/>
        <w:left w:val="none" w:sz="0" w:space="0" w:color="auto"/>
        <w:bottom w:val="none" w:sz="0" w:space="0" w:color="auto"/>
        <w:right w:val="none" w:sz="0" w:space="0" w:color="auto"/>
      </w:divBdr>
    </w:div>
    <w:div w:id="545456614">
      <w:bodyDiv w:val="1"/>
      <w:marLeft w:val="0"/>
      <w:marRight w:val="0"/>
      <w:marTop w:val="0"/>
      <w:marBottom w:val="0"/>
      <w:divBdr>
        <w:top w:val="none" w:sz="0" w:space="0" w:color="auto"/>
        <w:left w:val="none" w:sz="0" w:space="0" w:color="auto"/>
        <w:bottom w:val="none" w:sz="0" w:space="0" w:color="auto"/>
        <w:right w:val="none" w:sz="0" w:space="0" w:color="auto"/>
      </w:divBdr>
    </w:div>
    <w:div w:id="545485369">
      <w:bodyDiv w:val="1"/>
      <w:marLeft w:val="0"/>
      <w:marRight w:val="0"/>
      <w:marTop w:val="0"/>
      <w:marBottom w:val="0"/>
      <w:divBdr>
        <w:top w:val="none" w:sz="0" w:space="0" w:color="auto"/>
        <w:left w:val="none" w:sz="0" w:space="0" w:color="auto"/>
        <w:bottom w:val="none" w:sz="0" w:space="0" w:color="auto"/>
        <w:right w:val="none" w:sz="0" w:space="0" w:color="auto"/>
      </w:divBdr>
    </w:div>
    <w:div w:id="545720638">
      <w:bodyDiv w:val="1"/>
      <w:marLeft w:val="0"/>
      <w:marRight w:val="0"/>
      <w:marTop w:val="0"/>
      <w:marBottom w:val="0"/>
      <w:divBdr>
        <w:top w:val="none" w:sz="0" w:space="0" w:color="auto"/>
        <w:left w:val="none" w:sz="0" w:space="0" w:color="auto"/>
        <w:bottom w:val="none" w:sz="0" w:space="0" w:color="auto"/>
        <w:right w:val="none" w:sz="0" w:space="0" w:color="auto"/>
      </w:divBdr>
    </w:div>
    <w:div w:id="545724045">
      <w:bodyDiv w:val="1"/>
      <w:marLeft w:val="0"/>
      <w:marRight w:val="0"/>
      <w:marTop w:val="0"/>
      <w:marBottom w:val="0"/>
      <w:divBdr>
        <w:top w:val="none" w:sz="0" w:space="0" w:color="auto"/>
        <w:left w:val="none" w:sz="0" w:space="0" w:color="auto"/>
        <w:bottom w:val="none" w:sz="0" w:space="0" w:color="auto"/>
        <w:right w:val="none" w:sz="0" w:space="0" w:color="auto"/>
      </w:divBdr>
    </w:div>
    <w:div w:id="545794523">
      <w:bodyDiv w:val="1"/>
      <w:marLeft w:val="0"/>
      <w:marRight w:val="0"/>
      <w:marTop w:val="0"/>
      <w:marBottom w:val="0"/>
      <w:divBdr>
        <w:top w:val="none" w:sz="0" w:space="0" w:color="auto"/>
        <w:left w:val="none" w:sz="0" w:space="0" w:color="auto"/>
        <w:bottom w:val="none" w:sz="0" w:space="0" w:color="auto"/>
        <w:right w:val="none" w:sz="0" w:space="0" w:color="auto"/>
      </w:divBdr>
    </w:div>
    <w:div w:id="546574344">
      <w:bodyDiv w:val="1"/>
      <w:marLeft w:val="0"/>
      <w:marRight w:val="0"/>
      <w:marTop w:val="0"/>
      <w:marBottom w:val="0"/>
      <w:divBdr>
        <w:top w:val="none" w:sz="0" w:space="0" w:color="auto"/>
        <w:left w:val="none" w:sz="0" w:space="0" w:color="auto"/>
        <w:bottom w:val="none" w:sz="0" w:space="0" w:color="auto"/>
        <w:right w:val="none" w:sz="0" w:space="0" w:color="auto"/>
      </w:divBdr>
    </w:div>
    <w:div w:id="546844651">
      <w:bodyDiv w:val="1"/>
      <w:marLeft w:val="0"/>
      <w:marRight w:val="0"/>
      <w:marTop w:val="0"/>
      <w:marBottom w:val="0"/>
      <w:divBdr>
        <w:top w:val="none" w:sz="0" w:space="0" w:color="auto"/>
        <w:left w:val="none" w:sz="0" w:space="0" w:color="auto"/>
        <w:bottom w:val="none" w:sz="0" w:space="0" w:color="auto"/>
        <w:right w:val="none" w:sz="0" w:space="0" w:color="auto"/>
      </w:divBdr>
    </w:div>
    <w:div w:id="546918057">
      <w:bodyDiv w:val="1"/>
      <w:marLeft w:val="0"/>
      <w:marRight w:val="0"/>
      <w:marTop w:val="0"/>
      <w:marBottom w:val="0"/>
      <w:divBdr>
        <w:top w:val="none" w:sz="0" w:space="0" w:color="auto"/>
        <w:left w:val="none" w:sz="0" w:space="0" w:color="auto"/>
        <w:bottom w:val="none" w:sz="0" w:space="0" w:color="auto"/>
        <w:right w:val="none" w:sz="0" w:space="0" w:color="auto"/>
      </w:divBdr>
    </w:div>
    <w:div w:id="547381309">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8033438">
      <w:bodyDiv w:val="1"/>
      <w:marLeft w:val="0"/>
      <w:marRight w:val="0"/>
      <w:marTop w:val="0"/>
      <w:marBottom w:val="0"/>
      <w:divBdr>
        <w:top w:val="none" w:sz="0" w:space="0" w:color="auto"/>
        <w:left w:val="none" w:sz="0" w:space="0" w:color="auto"/>
        <w:bottom w:val="none" w:sz="0" w:space="0" w:color="auto"/>
        <w:right w:val="none" w:sz="0" w:space="0" w:color="auto"/>
      </w:divBdr>
    </w:div>
    <w:div w:id="548078039">
      <w:bodyDiv w:val="1"/>
      <w:marLeft w:val="0"/>
      <w:marRight w:val="0"/>
      <w:marTop w:val="0"/>
      <w:marBottom w:val="0"/>
      <w:divBdr>
        <w:top w:val="none" w:sz="0" w:space="0" w:color="auto"/>
        <w:left w:val="none" w:sz="0" w:space="0" w:color="auto"/>
        <w:bottom w:val="none" w:sz="0" w:space="0" w:color="auto"/>
        <w:right w:val="none" w:sz="0" w:space="0" w:color="auto"/>
      </w:divBdr>
    </w:div>
    <w:div w:id="548803509">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49460449">
      <w:bodyDiv w:val="1"/>
      <w:marLeft w:val="0"/>
      <w:marRight w:val="0"/>
      <w:marTop w:val="0"/>
      <w:marBottom w:val="0"/>
      <w:divBdr>
        <w:top w:val="none" w:sz="0" w:space="0" w:color="auto"/>
        <w:left w:val="none" w:sz="0" w:space="0" w:color="auto"/>
        <w:bottom w:val="none" w:sz="0" w:space="0" w:color="auto"/>
        <w:right w:val="none" w:sz="0" w:space="0" w:color="auto"/>
      </w:divBdr>
    </w:div>
    <w:div w:id="549610750">
      <w:bodyDiv w:val="1"/>
      <w:marLeft w:val="0"/>
      <w:marRight w:val="0"/>
      <w:marTop w:val="0"/>
      <w:marBottom w:val="0"/>
      <w:divBdr>
        <w:top w:val="none" w:sz="0" w:space="0" w:color="auto"/>
        <w:left w:val="none" w:sz="0" w:space="0" w:color="auto"/>
        <w:bottom w:val="none" w:sz="0" w:space="0" w:color="auto"/>
        <w:right w:val="none" w:sz="0" w:space="0" w:color="auto"/>
      </w:divBdr>
    </w:div>
    <w:div w:id="549806946">
      <w:bodyDiv w:val="1"/>
      <w:marLeft w:val="0"/>
      <w:marRight w:val="0"/>
      <w:marTop w:val="0"/>
      <w:marBottom w:val="0"/>
      <w:divBdr>
        <w:top w:val="none" w:sz="0" w:space="0" w:color="auto"/>
        <w:left w:val="none" w:sz="0" w:space="0" w:color="auto"/>
        <w:bottom w:val="none" w:sz="0" w:space="0" w:color="auto"/>
        <w:right w:val="none" w:sz="0" w:space="0" w:color="auto"/>
      </w:divBdr>
    </w:div>
    <w:div w:id="550044074">
      <w:bodyDiv w:val="1"/>
      <w:marLeft w:val="0"/>
      <w:marRight w:val="0"/>
      <w:marTop w:val="0"/>
      <w:marBottom w:val="0"/>
      <w:divBdr>
        <w:top w:val="none" w:sz="0" w:space="0" w:color="auto"/>
        <w:left w:val="none" w:sz="0" w:space="0" w:color="auto"/>
        <w:bottom w:val="none" w:sz="0" w:space="0" w:color="auto"/>
        <w:right w:val="none" w:sz="0" w:space="0" w:color="auto"/>
      </w:divBdr>
    </w:div>
    <w:div w:id="550112282">
      <w:bodyDiv w:val="1"/>
      <w:marLeft w:val="0"/>
      <w:marRight w:val="0"/>
      <w:marTop w:val="0"/>
      <w:marBottom w:val="0"/>
      <w:divBdr>
        <w:top w:val="none" w:sz="0" w:space="0" w:color="auto"/>
        <w:left w:val="none" w:sz="0" w:space="0" w:color="auto"/>
        <w:bottom w:val="none" w:sz="0" w:space="0" w:color="auto"/>
        <w:right w:val="none" w:sz="0" w:space="0" w:color="auto"/>
      </w:divBdr>
    </w:div>
    <w:div w:id="550188828">
      <w:bodyDiv w:val="1"/>
      <w:marLeft w:val="0"/>
      <w:marRight w:val="0"/>
      <w:marTop w:val="0"/>
      <w:marBottom w:val="0"/>
      <w:divBdr>
        <w:top w:val="none" w:sz="0" w:space="0" w:color="auto"/>
        <w:left w:val="none" w:sz="0" w:space="0" w:color="auto"/>
        <w:bottom w:val="none" w:sz="0" w:space="0" w:color="auto"/>
        <w:right w:val="none" w:sz="0" w:space="0" w:color="auto"/>
      </w:divBdr>
    </w:div>
    <w:div w:id="550388127">
      <w:bodyDiv w:val="1"/>
      <w:marLeft w:val="0"/>
      <w:marRight w:val="0"/>
      <w:marTop w:val="0"/>
      <w:marBottom w:val="0"/>
      <w:divBdr>
        <w:top w:val="none" w:sz="0" w:space="0" w:color="auto"/>
        <w:left w:val="none" w:sz="0" w:space="0" w:color="auto"/>
        <w:bottom w:val="none" w:sz="0" w:space="0" w:color="auto"/>
        <w:right w:val="none" w:sz="0" w:space="0" w:color="auto"/>
      </w:divBdr>
    </w:div>
    <w:div w:id="550465270">
      <w:bodyDiv w:val="1"/>
      <w:marLeft w:val="0"/>
      <w:marRight w:val="0"/>
      <w:marTop w:val="0"/>
      <w:marBottom w:val="0"/>
      <w:divBdr>
        <w:top w:val="none" w:sz="0" w:space="0" w:color="auto"/>
        <w:left w:val="none" w:sz="0" w:space="0" w:color="auto"/>
        <w:bottom w:val="none" w:sz="0" w:space="0" w:color="auto"/>
        <w:right w:val="none" w:sz="0" w:space="0" w:color="auto"/>
      </w:divBdr>
    </w:div>
    <w:div w:id="550505707">
      <w:bodyDiv w:val="1"/>
      <w:marLeft w:val="0"/>
      <w:marRight w:val="0"/>
      <w:marTop w:val="0"/>
      <w:marBottom w:val="0"/>
      <w:divBdr>
        <w:top w:val="none" w:sz="0" w:space="0" w:color="auto"/>
        <w:left w:val="none" w:sz="0" w:space="0" w:color="auto"/>
        <w:bottom w:val="none" w:sz="0" w:space="0" w:color="auto"/>
        <w:right w:val="none" w:sz="0" w:space="0" w:color="auto"/>
      </w:divBdr>
    </w:div>
    <w:div w:id="551695325">
      <w:bodyDiv w:val="1"/>
      <w:marLeft w:val="0"/>
      <w:marRight w:val="0"/>
      <w:marTop w:val="0"/>
      <w:marBottom w:val="0"/>
      <w:divBdr>
        <w:top w:val="none" w:sz="0" w:space="0" w:color="auto"/>
        <w:left w:val="none" w:sz="0" w:space="0" w:color="auto"/>
        <w:bottom w:val="none" w:sz="0" w:space="0" w:color="auto"/>
        <w:right w:val="none" w:sz="0" w:space="0" w:color="auto"/>
      </w:divBdr>
    </w:div>
    <w:div w:id="552346732">
      <w:bodyDiv w:val="1"/>
      <w:marLeft w:val="0"/>
      <w:marRight w:val="0"/>
      <w:marTop w:val="0"/>
      <w:marBottom w:val="0"/>
      <w:divBdr>
        <w:top w:val="none" w:sz="0" w:space="0" w:color="auto"/>
        <w:left w:val="none" w:sz="0" w:space="0" w:color="auto"/>
        <w:bottom w:val="none" w:sz="0" w:space="0" w:color="auto"/>
        <w:right w:val="none" w:sz="0" w:space="0" w:color="auto"/>
      </w:divBdr>
    </w:div>
    <w:div w:id="552349016">
      <w:bodyDiv w:val="1"/>
      <w:marLeft w:val="0"/>
      <w:marRight w:val="0"/>
      <w:marTop w:val="0"/>
      <w:marBottom w:val="0"/>
      <w:divBdr>
        <w:top w:val="none" w:sz="0" w:space="0" w:color="auto"/>
        <w:left w:val="none" w:sz="0" w:space="0" w:color="auto"/>
        <w:bottom w:val="none" w:sz="0" w:space="0" w:color="auto"/>
        <w:right w:val="none" w:sz="0" w:space="0" w:color="auto"/>
      </w:divBdr>
    </w:div>
    <w:div w:id="552354591">
      <w:bodyDiv w:val="1"/>
      <w:marLeft w:val="0"/>
      <w:marRight w:val="0"/>
      <w:marTop w:val="0"/>
      <w:marBottom w:val="0"/>
      <w:divBdr>
        <w:top w:val="none" w:sz="0" w:space="0" w:color="auto"/>
        <w:left w:val="none" w:sz="0" w:space="0" w:color="auto"/>
        <w:bottom w:val="none" w:sz="0" w:space="0" w:color="auto"/>
        <w:right w:val="none" w:sz="0" w:space="0" w:color="auto"/>
      </w:divBdr>
    </w:div>
    <w:div w:id="552497691">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3201024">
      <w:bodyDiv w:val="1"/>
      <w:marLeft w:val="0"/>
      <w:marRight w:val="0"/>
      <w:marTop w:val="0"/>
      <w:marBottom w:val="0"/>
      <w:divBdr>
        <w:top w:val="none" w:sz="0" w:space="0" w:color="auto"/>
        <w:left w:val="none" w:sz="0" w:space="0" w:color="auto"/>
        <w:bottom w:val="none" w:sz="0" w:space="0" w:color="auto"/>
        <w:right w:val="none" w:sz="0" w:space="0" w:color="auto"/>
      </w:divBdr>
    </w:div>
    <w:div w:id="553270787">
      <w:bodyDiv w:val="1"/>
      <w:marLeft w:val="0"/>
      <w:marRight w:val="0"/>
      <w:marTop w:val="0"/>
      <w:marBottom w:val="0"/>
      <w:divBdr>
        <w:top w:val="none" w:sz="0" w:space="0" w:color="auto"/>
        <w:left w:val="none" w:sz="0" w:space="0" w:color="auto"/>
        <w:bottom w:val="none" w:sz="0" w:space="0" w:color="auto"/>
        <w:right w:val="none" w:sz="0" w:space="0" w:color="auto"/>
      </w:divBdr>
    </w:div>
    <w:div w:id="554243635">
      <w:bodyDiv w:val="1"/>
      <w:marLeft w:val="0"/>
      <w:marRight w:val="0"/>
      <w:marTop w:val="0"/>
      <w:marBottom w:val="0"/>
      <w:divBdr>
        <w:top w:val="none" w:sz="0" w:space="0" w:color="auto"/>
        <w:left w:val="none" w:sz="0" w:space="0" w:color="auto"/>
        <w:bottom w:val="none" w:sz="0" w:space="0" w:color="auto"/>
        <w:right w:val="none" w:sz="0" w:space="0" w:color="auto"/>
      </w:divBdr>
    </w:div>
    <w:div w:id="554269710">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4317712">
      <w:bodyDiv w:val="1"/>
      <w:marLeft w:val="0"/>
      <w:marRight w:val="0"/>
      <w:marTop w:val="0"/>
      <w:marBottom w:val="0"/>
      <w:divBdr>
        <w:top w:val="none" w:sz="0" w:space="0" w:color="auto"/>
        <w:left w:val="none" w:sz="0" w:space="0" w:color="auto"/>
        <w:bottom w:val="none" w:sz="0" w:space="0" w:color="auto"/>
        <w:right w:val="none" w:sz="0" w:space="0" w:color="auto"/>
      </w:divBdr>
    </w:div>
    <w:div w:id="554387722">
      <w:bodyDiv w:val="1"/>
      <w:marLeft w:val="0"/>
      <w:marRight w:val="0"/>
      <w:marTop w:val="0"/>
      <w:marBottom w:val="0"/>
      <w:divBdr>
        <w:top w:val="none" w:sz="0" w:space="0" w:color="auto"/>
        <w:left w:val="none" w:sz="0" w:space="0" w:color="auto"/>
        <w:bottom w:val="none" w:sz="0" w:space="0" w:color="auto"/>
        <w:right w:val="none" w:sz="0" w:space="0" w:color="auto"/>
      </w:divBdr>
    </w:div>
    <w:div w:id="554507065">
      <w:bodyDiv w:val="1"/>
      <w:marLeft w:val="0"/>
      <w:marRight w:val="0"/>
      <w:marTop w:val="0"/>
      <w:marBottom w:val="0"/>
      <w:divBdr>
        <w:top w:val="none" w:sz="0" w:space="0" w:color="auto"/>
        <w:left w:val="none" w:sz="0" w:space="0" w:color="auto"/>
        <w:bottom w:val="none" w:sz="0" w:space="0" w:color="auto"/>
        <w:right w:val="none" w:sz="0" w:space="0" w:color="auto"/>
      </w:divBdr>
    </w:div>
    <w:div w:id="554899775">
      <w:bodyDiv w:val="1"/>
      <w:marLeft w:val="0"/>
      <w:marRight w:val="0"/>
      <w:marTop w:val="0"/>
      <w:marBottom w:val="0"/>
      <w:divBdr>
        <w:top w:val="none" w:sz="0" w:space="0" w:color="auto"/>
        <w:left w:val="none" w:sz="0" w:space="0" w:color="auto"/>
        <w:bottom w:val="none" w:sz="0" w:space="0" w:color="auto"/>
        <w:right w:val="none" w:sz="0" w:space="0" w:color="auto"/>
      </w:divBdr>
    </w:div>
    <w:div w:id="554974657">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5548812">
      <w:bodyDiv w:val="1"/>
      <w:marLeft w:val="0"/>
      <w:marRight w:val="0"/>
      <w:marTop w:val="0"/>
      <w:marBottom w:val="0"/>
      <w:divBdr>
        <w:top w:val="none" w:sz="0" w:space="0" w:color="auto"/>
        <w:left w:val="none" w:sz="0" w:space="0" w:color="auto"/>
        <w:bottom w:val="none" w:sz="0" w:space="0" w:color="auto"/>
        <w:right w:val="none" w:sz="0" w:space="0" w:color="auto"/>
      </w:divBdr>
    </w:div>
    <w:div w:id="555898427">
      <w:bodyDiv w:val="1"/>
      <w:marLeft w:val="0"/>
      <w:marRight w:val="0"/>
      <w:marTop w:val="0"/>
      <w:marBottom w:val="0"/>
      <w:divBdr>
        <w:top w:val="none" w:sz="0" w:space="0" w:color="auto"/>
        <w:left w:val="none" w:sz="0" w:space="0" w:color="auto"/>
        <w:bottom w:val="none" w:sz="0" w:space="0" w:color="auto"/>
        <w:right w:val="none" w:sz="0" w:space="0" w:color="auto"/>
      </w:divBdr>
    </w:div>
    <w:div w:id="555899231">
      <w:bodyDiv w:val="1"/>
      <w:marLeft w:val="0"/>
      <w:marRight w:val="0"/>
      <w:marTop w:val="0"/>
      <w:marBottom w:val="0"/>
      <w:divBdr>
        <w:top w:val="none" w:sz="0" w:space="0" w:color="auto"/>
        <w:left w:val="none" w:sz="0" w:space="0" w:color="auto"/>
        <w:bottom w:val="none" w:sz="0" w:space="0" w:color="auto"/>
        <w:right w:val="none" w:sz="0" w:space="0" w:color="auto"/>
      </w:divBdr>
    </w:div>
    <w:div w:id="556017132">
      <w:bodyDiv w:val="1"/>
      <w:marLeft w:val="0"/>
      <w:marRight w:val="0"/>
      <w:marTop w:val="0"/>
      <w:marBottom w:val="0"/>
      <w:divBdr>
        <w:top w:val="none" w:sz="0" w:space="0" w:color="auto"/>
        <w:left w:val="none" w:sz="0" w:space="0" w:color="auto"/>
        <w:bottom w:val="none" w:sz="0" w:space="0" w:color="auto"/>
        <w:right w:val="none" w:sz="0" w:space="0" w:color="auto"/>
      </w:divBdr>
    </w:div>
    <w:div w:id="556356685">
      <w:bodyDiv w:val="1"/>
      <w:marLeft w:val="0"/>
      <w:marRight w:val="0"/>
      <w:marTop w:val="0"/>
      <w:marBottom w:val="0"/>
      <w:divBdr>
        <w:top w:val="none" w:sz="0" w:space="0" w:color="auto"/>
        <w:left w:val="none" w:sz="0" w:space="0" w:color="auto"/>
        <w:bottom w:val="none" w:sz="0" w:space="0" w:color="auto"/>
        <w:right w:val="none" w:sz="0" w:space="0" w:color="auto"/>
      </w:divBdr>
    </w:div>
    <w:div w:id="556552063">
      <w:bodyDiv w:val="1"/>
      <w:marLeft w:val="0"/>
      <w:marRight w:val="0"/>
      <w:marTop w:val="0"/>
      <w:marBottom w:val="0"/>
      <w:divBdr>
        <w:top w:val="none" w:sz="0" w:space="0" w:color="auto"/>
        <w:left w:val="none" w:sz="0" w:space="0" w:color="auto"/>
        <w:bottom w:val="none" w:sz="0" w:space="0" w:color="auto"/>
        <w:right w:val="none" w:sz="0" w:space="0" w:color="auto"/>
      </w:divBdr>
    </w:div>
    <w:div w:id="557324335">
      <w:bodyDiv w:val="1"/>
      <w:marLeft w:val="0"/>
      <w:marRight w:val="0"/>
      <w:marTop w:val="0"/>
      <w:marBottom w:val="0"/>
      <w:divBdr>
        <w:top w:val="none" w:sz="0" w:space="0" w:color="auto"/>
        <w:left w:val="none" w:sz="0" w:space="0" w:color="auto"/>
        <w:bottom w:val="none" w:sz="0" w:space="0" w:color="auto"/>
        <w:right w:val="none" w:sz="0" w:space="0" w:color="auto"/>
      </w:divBdr>
    </w:div>
    <w:div w:id="557865670">
      <w:bodyDiv w:val="1"/>
      <w:marLeft w:val="0"/>
      <w:marRight w:val="0"/>
      <w:marTop w:val="0"/>
      <w:marBottom w:val="0"/>
      <w:divBdr>
        <w:top w:val="none" w:sz="0" w:space="0" w:color="auto"/>
        <w:left w:val="none" w:sz="0" w:space="0" w:color="auto"/>
        <w:bottom w:val="none" w:sz="0" w:space="0" w:color="auto"/>
        <w:right w:val="none" w:sz="0" w:space="0" w:color="auto"/>
      </w:divBdr>
    </w:div>
    <w:div w:id="558053811">
      <w:bodyDiv w:val="1"/>
      <w:marLeft w:val="0"/>
      <w:marRight w:val="0"/>
      <w:marTop w:val="0"/>
      <w:marBottom w:val="0"/>
      <w:divBdr>
        <w:top w:val="none" w:sz="0" w:space="0" w:color="auto"/>
        <w:left w:val="none" w:sz="0" w:space="0" w:color="auto"/>
        <w:bottom w:val="none" w:sz="0" w:space="0" w:color="auto"/>
        <w:right w:val="none" w:sz="0" w:space="0" w:color="auto"/>
      </w:divBdr>
    </w:div>
    <w:div w:id="558055133">
      <w:bodyDiv w:val="1"/>
      <w:marLeft w:val="0"/>
      <w:marRight w:val="0"/>
      <w:marTop w:val="0"/>
      <w:marBottom w:val="0"/>
      <w:divBdr>
        <w:top w:val="none" w:sz="0" w:space="0" w:color="auto"/>
        <w:left w:val="none" w:sz="0" w:space="0" w:color="auto"/>
        <w:bottom w:val="none" w:sz="0" w:space="0" w:color="auto"/>
        <w:right w:val="none" w:sz="0" w:space="0" w:color="auto"/>
      </w:divBdr>
    </w:div>
    <w:div w:id="558127505">
      <w:bodyDiv w:val="1"/>
      <w:marLeft w:val="0"/>
      <w:marRight w:val="0"/>
      <w:marTop w:val="0"/>
      <w:marBottom w:val="0"/>
      <w:divBdr>
        <w:top w:val="none" w:sz="0" w:space="0" w:color="auto"/>
        <w:left w:val="none" w:sz="0" w:space="0" w:color="auto"/>
        <w:bottom w:val="none" w:sz="0" w:space="0" w:color="auto"/>
        <w:right w:val="none" w:sz="0" w:space="0" w:color="auto"/>
      </w:divBdr>
    </w:div>
    <w:div w:id="558710939">
      <w:bodyDiv w:val="1"/>
      <w:marLeft w:val="0"/>
      <w:marRight w:val="0"/>
      <w:marTop w:val="0"/>
      <w:marBottom w:val="0"/>
      <w:divBdr>
        <w:top w:val="none" w:sz="0" w:space="0" w:color="auto"/>
        <w:left w:val="none" w:sz="0" w:space="0" w:color="auto"/>
        <w:bottom w:val="none" w:sz="0" w:space="0" w:color="auto"/>
        <w:right w:val="none" w:sz="0" w:space="0" w:color="auto"/>
      </w:divBdr>
    </w:div>
    <w:div w:id="559481456">
      <w:bodyDiv w:val="1"/>
      <w:marLeft w:val="0"/>
      <w:marRight w:val="0"/>
      <w:marTop w:val="0"/>
      <w:marBottom w:val="0"/>
      <w:divBdr>
        <w:top w:val="none" w:sz="0" w:space="0" w:color="auto"/>
        <w:left w:val="none" w:sz="0" w:space="0" w:color="auto"/>
        <w:bottom w:val="none" w:sz="0" w:space="0" w:color="auto"/>
        <w:right w:val="none" w:sz="0" w:space="0" w:color="auto"/>
      </w:divBdr>
    </w:div>
    <w:div w:id="559487128">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59945495">
      <w:bodyDiv w:val="1"/>
      <w:marLeft w:val="0"/>
      <w:marRight w:val="0"/>
      <w:marTop w:val="0"/>
      <w:marBottom w:val="0"/>
      <w:divBdr>
        <w:top w:val="none" w:sz="0" w:space="0" w:color="auto"/>
        <w:left w:val="none" w:sz="0" w:space="0" w:color="auto"/>
        <w:bottom w:val="none" w:sz="0" w:space="0" w:color="auto"/>
        <w:right w:val="none" w:sz="0" w:space="0" w:color="auto"/>
      </w:divBdr>
    </w:div>
    <w:div w:id="560218136">
      <w:bodyDiv w:val="1"/>
      <w:marLeft w:val="0"/>
      <w:marRight w:val="0"/>
      <w:marTop w:val="0"/>
      <w:marBottom w:val="0"/>
      <w:divBdr>
        <w:top w:val="none" w:sz="0" w:space="0" w:color="auto"/>
        <w:left w:val="none" w:sz="0" w:space="0" w:color="auto"/>
        <w:bottom w:val="none" w:sz="0" w:space="0" w:color="auto"/>
        <w:right w:val="none" w:sz="0" w:space="0" w:color="auto"/>
      </w:divBdr>
    </w:div>
    <w:div w:id="560336823">
      <w:bodyDiv w:val="1"/>
      <w:marLeft w:val="0"/>
      <w:marRight w:val="0"/>
      <w:marTop w:val="0"/>
      <w:marBottom w:val="0"/>
      <w:divBdr>
        <w:top w:val="none" w:sz="0" w:space="0" w:color="auto"/>
        <w:left w:val="none" w:sz="0" w:space="0" w:color="auto"/>
        <w:bottom w:val="none" w:sz="0" w:space="0" w:color="auto"/>
        <w:right w:val="none" w:sz="0" w:space="0" w:color="auto"/>
      </w:divBdr>
    </w:div>
    <w:div w:id="560947763">
      <w:bodyDiv w:val="1"/>
      <w:marLeft w:val="0"/>
      <w:marRight w:val="0"/>
      <w:marTop w:val="0"/>
      <w:marBottom w:val="0"/>
      <w:divBdr>
        <w:top w:val="none" w:sz="0" w:space="0" w:color="auto"/>
        <w:left w:val="none" w:sz="0" w:space="0" w:color="auto"/>
        <w:bottom w:val="none" w:sz="0" w:space="0" w:color="auto"/>
        <w:right w:val="none" w:sz="0" w:space="0" w:color="auto"/>
      </w:divBdr>
    </w:div>
    <w:div w:id="561644943">
      <w:bodyDiv w:val="1"/>
      <w:marLeft w:val="0"/>
      <w:marRight w:val="0"/>
      <w:marTop w:val="0"/>
      <w:marBottom w:val="0"/>
      <w:divBdr>
        <w:top w:val="none" w:sz="0" w:space="0" w:color="auto"/>
        <w:left w:val="none" w:sz="0" w:space="0" w:color="auto"/>
        <w:bottom w:val="none" w:sz="0" w:space="0" w:color="auto"/>
        <w:right w:val="none" w:sz="0" w:space="0" w:color="auto"/>
      </w:divBdr>
    </w:div>
    <w:div w:id="562064128">
      <w:bodyDiv w:val="1"/>
      <w:marLeft w:val="0"/>
      <w:marRight w:val="0"/>
      <w:marTop w:val="0"/>
      <w:marBottom w:val="0"/>
      <w:divBdr>
        <w:top w:val="none" w:sz="0" w:space="0" w:color="auto"/>
        <w:left w:val="none" w:sz="0" w:space="0" w:color="auto"/>
        <w:bottom w:val="none" w:sz="0" w:space="0" w:color="auto"/>
        <w:right w:val="none" w:sz="0" w:space="0" w:color="auto"/>
      </w:divBdr>
    </w:div>
    <w:div w:id="562109530">
      <w:bodyDiv w:val="1"/>
      <w:marLeft w:val="0"/>
      <w:marRight w:val="0"/>
      <w:marTop w:val="0"/>
      <w:marBottom w:val="0"/>
      <w:divBdr>
        <w:top w:val="none" w:sz="0" w:space="0" w:color="auto"/>
        <w:left w:val="none" w:sz="0" w:space="0" w:color="auto"/>
        <w:bottom w:val="none" w:sz="0" w:space="0" w:color="auto"/>
        <w:right w:val="none" w:sz="0" w:space="0" w:color="auto"/>
      </w:divBdr>
    </w:div>
    <w:div w:id="562522057">
      <w:bodyDiv w:val="1"/>
      <w:marLeft w:val="0"/>
      <w:marRight w:val="0"/>
      <w:marTop w:val="0"/>
      <w:marBottom w:val="0"/>
      <w:divBdr>
        <w:top w:val="none" w:sz="0" w:space="0" w:color="auto"/>
        <w:left w:val="none" w:sz="0" w:space="0" w:color="auto"/>
        <w:bottom w:val="none" w:sz="0" w:space="0" w:color="auto"/>
        <w:right w:val="none" w:sz="0" w:space="0" w:color="auto"/>
      </w:divBdr>
    </w:div>
    <w:div w:id="562831576">
      <w:bodyDiv w:val="1"/>
      <w:marLeft w:val="0"/>
      <w:marRight w:val="0"/>
      <w:marTop w:val="0"/>
      <w:marBottom w:val="0"/>
      <w:divBdr>
        <w:top w:val="none" w:sz="0" w:space="0" w:color="auto"/>
        <w:left w:val="none" w:sz="0" w:space="0" w:color="auto"/>
        <w:bottom w:val="none" w:sz="0" w:space="0" w:color="auto"/>
        <w:right w:val="none" w:sz="0" w:space="0" w:color="auto"/>
      </w:divBdr>
    </w:div>
    <w:div w:id="563024103">
      <w:bodyDiv w:val="1"/>
      <w:marLeft w:val="0"/>
      <w:marRight w:val="0"/>
      <w:marTop w:val="0"/>
      <w:marBottom w:val="0"/>
      <w:divBdr>
        <w:top w:val="none" w:sz="0" w:space="0" w:color="auto"/>
        <w:left w:val="none" w:sz="0" w:space="0" w:color="auto"/>
        <w:bottom w:val="none" w:sz="0" w:space="0" w:color="auto"/>
        <w:right w:val="none" w:sz="0" w:space="0" w:color="auto"/>
      </w:divBdr>
    </w:div>
    <w:div w:id="563220885">
      <w:bodyDiv w:val="1"/>
      <w:marLeft w:val="0"/>
      <w:marRight w:val="0"/>
      <w:marTop w:val="0"/>
      <w:marBottom w:val="0"/>
      <w:divBdr>
        <w:top w:val="none" w:sz="0" w:space="0" w:color="auto"/>
        <w:left w:val="none" w:sz="0" w:space="0" w:color="auto"/>
        <w:bottom w:val="none" w:sz="0" w:space="0" w:color="auto"/>
        <w:right w:val="none" w:sz="0" w:space="0" w:color="auto"/>
      </w:divBdr>
    </w:div>
    <w:div w:id="563611313">
      <w:bodyDiv w:val="1"/>
      <w:marLeft w:val="0"/>
      <w:marRight w:val="0"/>
      <w:marTop w:val="0"/>
      <w:marBottom w:val="0"/>
      <w:divBdr>
        <w:top w:val="none" w:sz="0" w:space="0" w:color="auto"/>
        <w:left w:val="none" w:sz="0" w:space="0" w:color="auto"/>
        <w:bottom w:val="none" w:sz="0" w:space="0" w:color="auto"/>
        <w:right w:val="none" w:sz="0" w:space="0" w:color="auto"/>
      </w:divBdr>
    </w:div>
    <w:div w:id="563612808">
      <w:bodyDiv w:val="1"/>
      <w:marLeft w:val="0"/>
      <w:marRight w:val="0"/>
      <w:marTop w:val="0"/>
      <w:marBottom w:val="0"/>
      <w:divBdr>
        <w:top w:val="none" w:sz="0" w:space="0" w:color="auto"/>
        <w:left w:val="none" w:sz="0" w:space="0" w:color="auto"/>
        <w:bottom w:val="none" w:sz="0" w:space="0" w:color="auto"/>
        <w:right w:val="none" w:sz="0" w:space="0" w:color="auto"/>
      </w:divBdr>
    </w:div>
    <w:div w:id="563951060">
      <w:bodyDiv w:val="1"/>
      <w:marLeft w:val="0"/>
      <w:marRight w:val="0"/>
      <w:marTop w:val="0"/>
      <w:marBottom w:val="0"/>
      <w:divBdr>
        <w:top w:val="none" w:sz="0" w:space="0" w:color="auto"/>
        <w:left w:val="none" w:sz="0" w:space="0" w:color="auto"/>
        <w:bottom w:val="none" w:sz="0" w:space="0" w:color="auto"/>
        <w:right w:val="none" w:sz="0" w:space="0" w:color="auto"/>
      </w:divBdr>
    </w:div>
    <w:div w:id="564023501">
      <w:bodyDiv w:val="1"/>
      <w:marLeft w:val="0"/>
      <w:marRight w:val="0"/>
      <w:marTop w:val="0"/>
      <w:marBottom w:val="0"/>
      <w:divBdr>
        <w:top w:val="none" w:sz="0" w:space="0" w:color="auto"/>
        <w:left w:val="none" w:sz="0" w:space="0" w:color="auto"/>
        <w:bottom w:val="none" w:sz="0" w:space="0" w:color="auto"/>
        <w:right w:val="none" w:sz="0" w:space="0" w:color="auto"/>
      </w:divBdr>
    </w:div>
    <w:div w:id="564607408">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4948637">
      <w:bodyDiv w:val="1"/>
      <w:marLeft w:val="0"/>
      <w:marRight w:val="0"/>
      <w:marTop w:val="0"/>
      <w:marBottom w:val="0"/>
      <w:divBdr>
        <w:top w:val="none" w:sz="0" w:space="0" w:color="auto"/>
        <w:left w:val="none" w:sz="0" w:space="0" w:color="auto"/>
        <w:bottom w:val="none" w:sz="0" w:space="0" w:color="auto"/>
        <w:right w:val="none" w:sz="0" w:space="0" w:color="auto"/>
      </w:divBdr>
    </w:div>
    <w:div w:id="565380627">
      <w:bodyDiv w:val="1"/>
      <w:marLeft w:val="0"/>
      <w:marRight w:val="0"/>
      <w:marTop w:val="0"/>
      <w:marBottom w:val="0"/>
      <w:divBdr>
        <w:top w:val="none" w:sz="0" w:space="0" w:color="auto"/>
        <w:left w:val="none" w:sz="0" w:space="0" w:color="auto"/>
        <w:bottom w:val="none" w:sz="0" w:space="0" w:color="auto"/>
        <w:right w:val="none" w:sz="0" w:space="0" w:color="auto"/>
      </w:divBdr>
    </w:div>
    <w:div w:id="567151846">
      <w:bodyDiv w:val="1"/>
      <w:marLeft w:val="0"/>
      <w:marRight w:val="0"/>
      <w:marTop w:val="0"/>
      <w:marBottom w:val="0"/>
      <w:divBdr>
        <w:top w:val="none" w:sz="0" w:space="0" w:color="auto"/>
        <w:left w:val="none" w:sz="0" w:space="0" w:color="auto"/>
        <w:bottom w:val="none" w:sz="0" w:space="0" w:color="auto"/>
        <w:right w:val="none" w:sz="0" w:space="0" w:color="auto"/>
      </w:divBdr>
    </w:div>
    <w:div w:id="567154066">
      <w:bodyDiv w:val="1"/>
      <w:marLeft w:val="0"/>
      <w:marRight w:val="0"/>
      <w:marTop w:val="0"/>
      <w:marBottom w:val="0"/>
      <w:divBdr>
        <w:top w:val="none" w:sz="0" w:space="0" w:color="auto"/>
        <w:left w:val="none" w:sz="0" w:space="0" w:color="auto"/>
        <w:bottom w:val="none" w:sz="0" w:space="0" w:color="auto"/>
        <w:right w:val="none" w:sz="0" w:space="0" w:color="auto"/>
      </w:divBdr>
    </w:div>
    <w:div w:id="567498902">
      <w:bodyDiv w:val="1"/>
      <w:marLeft w:val="0"/>
      <w:marRight w:val="0"/>
      <w:marTop w:val="0"/>
      <w:marBottom w:val="0"/>
      <w:divBdr>
        <w:top w:val="none" w:sz="0" w:space="0" w:color="auto"/>
        <w:left w:val="none" w:sz="0" w:space="0" w:color="auto"/>
        <w:bottom w:val="none" w:sz="0" w:space="0" w:color="auto"/>
        <w:right w:val="none" w:sz="0" w:space="0" w:color="auto"/>
      </w:divBdr>
    </w:div>
    <w:div w:id="567572473">
      <w:bodyDiv w:val="1"/>
      <w:marLeft w:val="0"/>
      <w:marRight w:val="0"/>
      <w:marTop w:val="0"/>
      <w:marBottom w:val="0"/>
      <w:divBdr>
        <w:top w:val="none" w:sz="0" w:space="0" w:color="auto"/>
        <w:left w:val="none" w:sz="0" w:space="0" w:color="auto"/>
        <w:bottom w:val="none" w:sz="0" w:space="0" w:color="auto"/>
        <w:right w:val="none" w:sz="0" w:space="0" w:color="auto"/>
      </w:divBdr>
    </w:div>
    <w:div w:id="567691990">
      <w:bodyDiv w:val="1"/>
      <w:marLeft w:val="0"/>
      <w:marRight w:val="0"/>
      <w:marTop w:val="0"/>
      <w:marBottom w:val="0"/>
      <w:divBdr>
        <w:top w:val="none" w:sz="0" w:space="0" w:color="auto"/>
        <w:left w:val="none" w:sz="0" w:space="0" w:color="auto"/>
        <w:bottom w:val="none" w:sz="0" w:space="0" w:color="auto"/>
        <w:right w:val="none" w:sz="0" w:space="0" w:color="auto"/>
      </w:divBdr>
    </w:div>
    <w:div w:id="568033240">
      <w:bodyDiv w:val="1"/>
      <w:marLeft w:val="0"/>
      <w:marRight w:val="0"/>
      <w:marTop w:val="0"/>
      <w:marBottom w:val="0"/>
      <w:divBdr>
        <w:top w:val="none" w:sz="0" w:space="0" w:color="auto"/>
        <w:left w:val="none" w:sz="0" w:space="0" w:color="auto"/>
        <w:bottom w:val="none" w:sz="0" w:space="0" w:color="auto"/>
        <w:right w:val="none" w:sz="0" w:space="0" w:color="auto"/>
      </w:divBdr>
    </w:div>
    <w:div w:id="568466690">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68928615">
      <w:bodyDiv w:val="1"/>
      <w:marLeft w:val="0"/>
      <w:marRight w:val="0"/>
      <w:marTop w:val="0"/>
      <w:marBottom w:val="0"/>
      <w:divBdr>
        <w:top w:val="none" w:sz="0" w:space="0" w:color="auto"/>
        <w:left w:val="none" w:sz="0" w:space="0" w:color="auto"/>
        <w:bottom w:val="none" w:sz="0" w:space="0" w:color="auto"/>
        <w:right w:val="none" w:sz="0" w:space="0" w:color="auto"/>
      </w:divBdr>
    </w:div>
    <w:div w:id="569005049">
      <w:bodyDiv w:val="1"/>
      <w:marLeft w:val="0"/>
      <w:marRight w:val="0"/>
      <w:marTop w:val="0"/>
      <w:marBottom w:val="0"/>
      <w:divBdr>
        <w:top w:val="none" w:sz="0" w:space="0" w:color="auto"/>
        <w:left w:val="none" w:sz="0" w:space="0" w:color="auto"/>
        <w:bottom w:val="none" w:sz="0" w:space="0" w:color="auto"/>
        <w:right w:val="none" w:sz="0" w:space="0" w:color="auto"/>
      </w:divBdr>
    </w:div>
    <w:div w:id="569118362">
      <w:bodyDiv w:val="1"/>
      <w:marLeft w:val="0"/>
      <w:marRight w:val="0"/>
      <w:marTop w:val="0"/>
      <w:marBottom w:val="0"/>
      <w:divBdr>
        <w:top w:val="none" w:sz="0" w:space="0" w:color="auto"/>
        <w:left w:val="none" w:sz="0" w:space="0" w:color="auto"/>
        <w:bottom w:val="none" w:sz="0" w:space="0" w:color="auto"/>
        <w:right w:val="none" w:sz="0" w:space="0" w:color="auto"/>
      </w:divBdr>
    </w:div>
    <w:div w:id="569273608">
      <w:bodyDiv w:val="1"/>
      <w:marLeft w:val="0"/>
      <w:marRight w:val="0"/>
      <w:marTop w:val="0"/>
      <w:marBottom w:val="0"/>
      <w:divBdr>
        <w:top w:val="none" w:sz="0" w:space="0" w:color="auto"/>
        <w:left w:val="none" w:sz="0" w:space="0" w:color="auto"/>
        <w:bottom w:val="none" w:sz="0" w:space="0" w:color="auto"/>
        <w:right w:val="none" w:sz="0" w:space="0" w:color="auto"/>
      </w:divBdr>
    </w:div>
    <w:div w:id="569463289">
      <w:bodyDiv w:val="1"/>
      <w:marLeft w:val="0"/>
      <w:marRight w:val="0"/>
      <w:marTop w:val="0"/>
      <w:marBottom w:val="0"/>
      <w:divBdr>
        <w:top w:val="none" w:sz="0" w:space="0" w:color="auto"/>
        <w:left w:val="none" w:sz="0" w:space="0" w:color="auto"/>
        <w:bottom w:val="none" w:sz="0" w:space="0" w:color="auto"/>
        <w:right w:val="none" w:sz="0" w:space="0" w:color="auto"/>
      </w:divBdr>
    </w:div>
    <w:div w:id="569968199">
      <w:bodyDiv w:val="1"/>
      <w:marLeft w:val="0"/>
      <w:marRight w:val="0"/>
      <w:marTop w:val="0"/>
      <w:marBottom w:val="0"/>
      <w:divBdr>
        <w:top w:val="none" w:sz="0" w:space="0" w:color="auto"/>
        <w:left w:val="none" w:sz="0" w:space="0" w:color="auto"/>
        <w:bottom w:val="none" w:sz="0" w:space="0" w:color="auto"/>
        <w:right w:val="none" w:sz="0" w:space="0" w:color="auto"/>
      </w:divBdr>
    </w:div>
    <w:div w:id="570308068">
      <w:bodyDiv w:val="1"/>
      <w:marLeft w:val="0"/>
      <w:marRight w:val="0"/>
      <w:marTop w:val="0"/>
      <w:marBottom w:val="0"/>
      <w:divBdr>
        <w:top w:val="none" w:sz="0" w:space="0" w:color="auto"/>
        <w:left w:val="none" w:sz="0" w:space="0" w:color="auto"/>
        <w:bottom w:val="none" w:sz="0" w:space="0" w:color="auto"/>
        <w:right w:val="none" w:sz="0" w:space="0" w:color="auto"/>
      </w:divBdr>
    </w:div>
    <w:div w:id="570316243">
      <w:bodyDiv w:val="1"/>
      <w:marLeft w:val="0"/>
      <w:marRight w:val="0"/>
      <w:marTop w:val="0"/>
      <w:marBottom w:val="0"/>
      <w:divBdr>
        <w:top w:val="none" w:sz="0" w:space="0" w:color="auto"/>
        <w:left w:val="none" w:sz="0" w:space="0" w:color="auto"/>
        <w:bottom w:val="none" w:sz="0" w:space="0" w:color="auto"/>
        <w:right w:val="none" w:sz="0" w:space="0" w:color="auto"/>
      </w:divBdr>
    </w:div>
    <w:div w:id="570625203">
      <w:bodyDiv w:val="1"/>
      <w:marLeft w:val="0"/>
      <w:marRight w:val="0"/>
      <w:marTop w:val="0"/>
      <w:marBottom w:val="0"/>
      <w:divBdr>
        <w:top w:val="none" w:sz="0" w:space="0" w:color="auto"/>
        <w:left w:val="none" w:sz="0" w:space="0" w:color="auto"/>
        <w:bottom w:val="none" w:sz="0" w:space="0" w:color="auto"/>
        <w:right w:val="none" w:sz="0" w:space="0" w:color="auto"/>
      </w:divBdr>
    </w:div>
    <w:div w:id="570625722">
      <w:bodyDiv w:val="1"/>
      <w:marLeft w:val="0"/>
      <w:marRight w:val="0"/>
      <w:marTop w:val="0"/>
      <w:marBottom w:val="0"/>
      <w:divBdr>
        <w:top w:val="none" w:sz="0" w:space="0" w:color="auto"/>
        <w:left w:val="none" w:sz="0" w:space="0" w:color="auto"/>
        <w:bottom w:val="none" w:sz="0" w:space="0" w:color="auto"/>
        <w:right w:val="none" w:sz="0" w:space="0" w:color="auto"/>
      </w:divBdr>
    </w:div>
    <w:div w:id="571157887">
      <w:bodyDiv w:val="1"/>
      <w:marLeft w:val="0"/>
      <w:marRight w:val="0"/>
      <w:marTop w:val="0"/>
      <w:marBottom w:val="0"/>
      <w:divBdr>
        <w:top w:val="none" w:sz="0" w:space="0" w:color="auto"/>
        <w:left w:val="none" w:sz="0" w:space="0" w:color="auto"/>
        <w:bottom w:val="none" w:sz="0" w:space="0" w:color="auto"/>
        <w:right w:val="none" w:sz="0" w:space="0" w:color="auto"/>
      </w:divBdr>
    </w:div>
    <w:div w:id="571282922">
      <w:bodyDiv w:val="1"/>
      <w:marLeft w:val="0"/>
      <w:marRight w:val="0"/>
      <w:marTop w:val="0"/>
      <w:marBottom w:val="0"/>
      <w:divBdr>
        <w:top w:val="none" w:sz="0" w:space="0" w:color="auto"/>
        <w:left w:val="none" w:sz="0" w:space="0" w:color="auto"/>
        <w:bottom w:val="none" w:sz="0" w:space="0" w:color="auto"/>
        <w:right w:val="none" w:sz="0" w:space="0" w:color="auto"/>
      </w:divBdr>
    </w:div>
    <w:div w:id="571625743">
      <w:bodyDiv w:val="1"/>
      <w:marLeft w:val="0"/>
      <w:marRight w:val="0"/>
      <w:marTop w:val="0"/>
      <w:marBottom w:val="0"/>
      <w:divBdr>
        <w:top w:val="none" w:sz="0" w:space="0" w:color="auto"/>
        <w:left w:val="none" w:sz="0" w:space="0" w:color="auto"/>
        <w:bottom w:val="none" w:sz="0" w:space="0" w:color="auto"/>
        <w:right w:val="none" w:sz="0" w:space="0" w:color="auto"/>
      </w:divBdr>
    </w:div>
    <w:div w:id="571937564">
      <w:bodyDiv w:val="1"/>
      <w:marLeft w:val="0"/>
      <w:marRight w:val="0"/>
      <w:marTop w:val="0"/>
      <w:marBottom w:val="0"/>
      <w:divBdr>
        <w:top w:val="none" w:sz="0" w:space="0" w:color="auto"/>
        <w:left w:val="none" w:sz="0" w:space="0" w:color="auto"/>
        <w:bottom w:val="none" w:sz="0" w:space="0" w:color="auto"/>
        <w:right w:val="none" w:sz="0" w:space="0" w:color="auto"/>
      </w:divBdr>
    </w:div>
    <w:div w:id="572200257">
      <w:bodyDiv w:val="1"/>
      <w:marLeft w:val="0"/>
      <w:marRight w:val="0"/>
      <w:marTop w:val="0"/>
      <w:marBottom w:val="0"/>
      <w:divBdr>
        <w:top w:val="none" w:sz="0" w:space="0" w:color="auto"/>
        <w:left w:val="none" w:sz="0" w:space="0" w:color="auto"/>
        <w:bottom w:val="none" w:sz="0" w:space="0" w:color="auto"/>
        <w:right w:val="none" w:sz="0" w:space="0" w:color="auto"/>
      </w:divBdr>
    </w:div>
    <w:div w:id="572424117">
      <w:bodyDiv w:val="1"/>
      <w:marLeft w:val="0"/>
      <w:marRight w:val="0"/>
      <w:marTop w:val="0"/>
      <w:marBottom w:val="0"/>
      <w:divBdr>
        <w:top w:val="none" w:sz="0" w:space="0" w:color="auto"/>
        <w:left w:val="none" w:sz="0" w:space="0" w:color="auto"/>
        <w:bottom w:val="none" w:sz="0" w:space="0" w:color="auto"/>
        <w:right w:val="none" w:sz="0" w:space="0" w:color="auto"/>
      </w:divBdr>
    </w:div>
    <w:div w:id="572592434">
      <w:bodyDiv w:val="1"/>
      <w:marLeft w:val="0"/>
      <w:marRight w:val="0"/>
      <w:marTop w:val="0"/>
      <w:marBottom w:val="0"/>
      <w:divBdr>
        <w:top w:val="none" w:sz="0" w:space="0" w:color="auto"/>
        <w:left w:val="none" w:sz="0" w:space="0" w:color="auto"/>
        <w:bottom w:val="none" w:sz="0" w:space="0" w:color="auto"/>
        <w:right w:val="none" w:sz="0" w:space="0" w:color="auto"/>
      </w:divBdr>
    </w:div>
    <w:div w:id="572785283">
      <w:bodyDiv w:val="1"/>
      <w:marLeft w:val="0"/>
      <w:marRight w:val="0"/>
      <w:marTop w:val="0"/>
      <w:marBottom w:val="0"/>
      <w:divBdr>
        <w:top w:val="none" w:sz="0" w:space="0" w:color="auto"/>
        <w:left w:val="none" w:sz="0" w:space="0" w:color="auto"/>
        <w:bottom w:val="none" w:sz="0" w:space="0" w:color="auto"/>
        <w:right w:val="none" w:sz="0" w:space="0" w:color="auto"/>
      </w:divBdr>
    </w:div>
    <w:div w:id="573397821">
      <w:bodyDiv w:val="1"/>
      <w:marLeft w:val="0"/>
      <w:marRight w:val="0"/>
      <w:marTop w:val="0"/>
      <w:marBottom w:val="0"/>
      <w:divBdr>
        <w:top w:val="none" w:sz="0" w:space="0" w:color="auto"/>
        <w:left w:val="none" w:sz="0" w:space="0" w:color="auto"/>
        <w:bottom w:val="none" w:sz="0" w:space="0" w:color="auto"/>
        <w:right w:val="none" w:sz="0" w:space="0" w:color="auto"/>
      </w:divBdr>
    </w:div>
    <w:div w:id="573515741">
      <w:bodyDiv w:val="1"/>
      <w:marLeft w:val="0"/>
      <w:marRight w:val="0"/>
      <w:marTop w:val="0"/>
      <w:marBottom w:val="0"/>
      <w:divBdr>
        <w:top w:val="none" w:sz="0" w:space="0" w:color="auto"/>
        <w:left w:val="none" w:sz="0" w:space="0" w:color="auto"/>
        <w:bottom w:val="none" w:sz="0" w:space="0" w:color="auto"/>
        <w:right w:val="none" w:sz="0" w:space="0" w:color="auto"/>
      </w:divBdr>
    </w:div>
    <w:div w:id="573587053">
      <w:bodyDiv w:val="1"/>
      <w:marLeft w:val="0"/>
      <w:marRight w:val="0"/>
      <w:marTop w:val="0"/>
      <w:marBottom w:val="0"/>
      <w:divBdr>
        <w:top w:val="none" w:sz="0" w:space="0" w:color="auto"/>
        <w:left w:val="none" w:sz="0" w:space="0" w:color="auto"/>
        <w:bottom w:val="none" w:sz="0" w:space="0" w:color="auto"/>
        <w:right w:val="none" w:sz="0" w:space="0" w:color="auto"/>
      </w:divBdr>
    </w:div>
    <w:div w:id="573592380">
      <w:bodyDiv w:val="1"/>
      <w:marLeft w:val="0"/>
      <w:marRight w:val="0"/>
      <w:marTop w:val="0"/>
      <w:marBottom w:val="0"/>
      <w:divBdr>
        <w:top w:val="none" w:sz="0" w:space="0" w:color="auto"/>
        <w:left w:val="none" w:sz="0" w:space="0" w:color="auto"/>
        <w:bottom w:val="none" w:sz="0" w:space="0" w:color="auto"/>
        <w:right w:val="none" w:sz="0" w:space="0" w:color="auto"/>
      </w:divBdr>
    </w:div>
    <w:div w:id="574047504">
      <w:bodyDiv w:val="1"/>
      <w:marLeft w:val="0"/>
      <w:marRight w:val="0"/>
      <w:marTop w:val="0"/>
      <w:marBottom w:val="0"/>
      <w:divBdr>
        <w:top w:val="none" w:sz="0" w:space="0" w:color="auto"/>
        <w:left w:val="none" w:sz="0" w:space="0" w:color="auto"/>
        <w:bottom w:val="none" w:sz="0" w:space="0" w:color="auto"/>
        <w:right w:val="none" w:sz="0" w:space="0" w:color="auto"/>
      </w:divBdr>
    </w:div>
    <w:div w:id="574628219">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5432836">
      <w:bodyDiv w:val="1"/>
      <w:marLeft w:val="0"/>
      <w:marRight w:val="0"/>
      <w:marTop w:val="0"/>
      <w:marBottom w:val="0"/>
      <w:divBdr>
        <w:top w:val="none" w:sz="0" w:space="0" w:color="auto"/>
        <w:left w:val="none" w:sz="0" w:space="0" w:color="auto"/>
        <w:bottom w:val="none" w:sz="0" w:space="0" w:color="auto"/>
        <w:right w:val="none" w:sz="0" w:space="0" w:color="auto"/>
      </w:divBdr>
    </w:div>
    <w:div w:id="575551624">
      <w:bodyDiv w:val="1"/>
      <w:marLeft w:val="0"/>
      <w:marRight w:val="0"/>
      <w:marTop w:val="0"/>
      <w:marBottom w:val="0"/>
      <w:divBdr>
        <w:top w:val="none" w:sz="0" w:space="0" w:color="auto"/>
        <w:left w:val="none" w:sz="0" w:space="0" w:color="auto"/>
        <w:bottom w:val="none" w:sz="0" w:space="0" w:color="auto"/>
        <w:right w:val="none" w:sz="0" w:space="0" w:color="auto"/>
      </w:divBdr>
    </w:div>
    <w:div w:id="575672612">
      <w:bodyDiv w:val="1"/>
      <w:marLeft w:val="0"/>
      <w:marRight w:val="0"/>
      <w:marTop w:val="0"/>
      <w:marBottom w:val="0"/>
      <w:divBdr>
        <w:top w:val="none" w:sz="0" w:space="0" w:color="auto"/>
        <w:left w:val="none" w:sz="0" w:space="0" w:color="auto"/>
        <w:bottom w:val="none" w:sz="0" w:space="0" w:color="auto"/>
        <w:right w:val="none" w:sz="0" w:space="0" w:color="auto"/>
      </w:divBdr>
    </w:div>
    <w:div w:id="575866634">
      <w:bodyDiv w:val="1"/>
      <w:marLeft w:val="0"/>
      <w:marRight w:val="0"/>
      <w:marTop w:val="0"/>
      <w:marBottom w:val="0"/>
      <w:divBdr>
        <w:top w:val="none" w:sz="0" w:space="0" w:color="auto"/>
        <w:left w:val="none" w:sz="0" w:space="0" w:color="auto"/>
        <w:bottom w:val="none" w:sz="0" w:space="0" w:color="auto"/>
        <w:right w:val="none" w:sz="0" w:space="0" w:color="auto"/>
      </w:divBdr>
    </w:div>
    <w:div w:id="576017006">
      <w:bodyDiv w:val="1"/>
      <w:marLeft w:val="0"/>
      <w:marRight w:val="0"/>
      <w:marTop w:val="0"/>
      <w:marBottom w:val="0"/>
      <w:divBdr>
        <w:top w:val="none" w:sz="0" w:space="0" w:color="auto"/>
        <w:left w:val="none" w:sz="0" w:space="0" w:color="auto"/>
        <w:bottom w:val="none" w:sz="0" w:space="0" w:color="auto"/>
        <w:right w:val="none" w:sz="0" w:space="0" w:color="auto"/>
      </w:divBdr>
    </w:div>
    <w:div w:id="576134026">
      <w:bodyDiv w:val="1"/>
      <w:marLeft w:val="0"/>
      <w:marRight w:val="0"/>
      <w:marTop w:val="0"/>
      <w:marBottom w:val="0"/>
      <w:divBdr>
        <w:top w:val="none" w:sz="0" w:space="0" w:color="auto"/>
        <w:left w:val="none" w:sz="0" w:space="0" w:color="auto"/>
        <w:bottom w:val="none" w:sz="0" w:space="0" w:color="auto"/>
        <w:right w:val="none" w:sz="0" w:space="0" w:color="auto"/>
      </w:divBdr>
    </w:div>
    <w:div w:id="577709701">
      <w:bodyDiv w:val="1"/>
      <w:marLeft w:val="0"/>
      <w:marRight w:val="0"/>
      <w:marTop w:val="0"/>
      <w:marBottom w:val="0"/>
      <w:divBdr>
        <w:top w:val="none" w:sz="0" w:space="0" w:color="auto"/>
        <w:left w:val="none" w:sz="0" w:space="0" w:color="auto"/>
        <w:bottom w:val="none" w:sz="0" w:space="0" w:color="auto"/>
        <w:right w:val="none" w:sz="0" w:space="0" w:color="auto"/>
      </w:divBdr>
    </w:div>
    <w:div w:id="578095197">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8558450">
      <w:bodyDiv w:val="1"/>
      <w:marLeft w:val="0"/>
      <w:marRight w:val="0"/>
      <w:marTop w:val="0"/>
      <w:marBottom w:val="0"/>
      <w:divBdr>
        <w:top w:val="none" w:sz="0" w:space="0" w:color="auto"/>
        <w:left w:val="none" w:sz="0" w:space="0" w:color="auto"/>
        <w:bottom w:val="none" w:sz="0" w:space="0" w:color="auto"/>
        <w:right w:val="none" w:sz="0" w:space="0" w:color="auto"/>
      </w:divBdr>
    </w:div>
    <w:div w:id="579022239">
      <w:bodyDiv w:val="1"/>
      <w:marLeft w:val="0"/>
      <w:marRight w:val="0"/>
      <w:marTop w:val="0"/>
      <w:marBottom w:val="0"/>
      <w:divBdr>
        <w:top w:val="none" w:sz="0" w:space="0" w:color="auto"/>
        <w:left w:val="none" w:sz="0" w:space="0" w:color="auto"/>
        <w:bottom w:val="none" w:sz="0" w:space="0" w:color="auto"/>
        <w:right w:val="none" w:sz="0" w:space="0" w:color="auto"/>
      </w:divBdr>
    </w:div>
    <w:div w:id="579102412">
      <w:bodyDiv w:val="1"/>
      <w:marLeft w:val="0"/>
      <w:marRight w:val="0"/>
      <w:marTop w:val="0"/>
      <w:marBottom w:val="0"/>
      <w:divBdr>
        <w:top w:val="none" w:sz="0" w:space="0" w:color="auto"/>
        <w:left w:val="none" w:sz="0" w:space="0" w:color="auto"/>
        <w:bottom w:val="none" w:sz="0" w:space="0" w:color="auto"/>
        <w:right w:val="none" w:sz="0" w:space="0" w:color="auto"/>
      </w:divBdr>
    </w:div>
    <w:div w:id="579142518">
      <w:bodyDiv w:val="1"/>
      <w:marLeft w:val="0"/>
      <w:marRight w:val="0"/>
      <w:marTop w:val="0"/>
      <w:marBottom w:val="0"/>
      <w:divBdr>
        <w:top w:val="none" w:sz="0" w:space="0" w:color="auto"/>
        <w:left w:val="none" w:sz="0" w:space="0" w:color="auto"/>
        <w:bottom w:val="none" w:sz="0" w:space="0" w:color="auto"/>
        <w:right w:val="none" w:sz="0" w:space="0" w:color="auto"/>
      </w:divBdr>
    </w:div>
    <w:div w:id="579170960">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79484122">
      <w:bodyDiv w:val="1"/>
      <w:marLeft w:val="0"/>
      <w:marRight w:val="0"/>
      <w:marTop w:val="0"/>
      <w:marBottom w:val="0"/>
      <w:divBdr>
        <w:top w:val="none" w:sz="0" w:space="0" w:color="auto"/>
        <w:left w:val="none" w:sz="0" w:space="0" w:color="auto"/>
        <w:bottom w:val="none" w:sz="0" w:space="0" w:color="auto"/>
        <w:right w:val="none" w:sz="0" w:space="0" w:color="auto"/>
      </w:divBdr>
    </w:div>
    <w:div w:id="579560789">
      <w:bodyDiv w:val="1"/>
      <w:marLeft w:val="0"/>
      <w:marRight w:val="0"/>
      <w:marTop w:val="0"/>
      <w:marBottom w:val="0"/>
      <w:divBdr>
        <w:top w:val="none" w:sz="0" w:space="0" w:color="auto"/>
        <w:left w:val="none" w:sz="0" w:space="0" w:color="auto"/>
        <w:bottom w:val="none" w:sz="0" w:space="0" w:color="auto"/>
        <w:right w:val="none" w:sz="0" w:space="0" w:color="auto"/>
      </w:divBdr>
    </w:div>
    <w:div w:id="579753412">
      <w:bodyDiv w:val="1"/>
      <w:marLeft w:val="0"/>
      <w:marRight w:val="0"/>
      <w:marTop w:val="0"/>
      <w:marBottom w:val="0"/>
      <w:divBdr>
        <w:top w:val="none" w:sz="0" w:space="0" w:color="auto"/>
        <w:left w:val="none" w:sz="0" w:space="0" w:color="auto"/>
        <w:bottom w:val="none" w:sz="0" w:space="0" w:color="auto"/>
        <w:right w:val="none" w:sz="0" w:space="0" w:color="auto"/>
      </w:divBdr>
    </w:div>
    <w:div w:id="580061727">
      <w:bodyDiv w:val="1"/>
      <w:marLeft w:val="0"/>
      <w:marRight w:val="0"/>
      <w:marTop w:val="0"/>
      <w:marBottom w:val="0"/>
      <w:divBdr>
        <w:top w:val="none" w:sz="0" w:space="0" w:color="auto"/>
        <w:left w:val="none" w:sz="0" w:space="0" w:color="auto"/>
        <w:bottom w:val="none" w:sz="0" w:space="0" w:color="auto"/>
        <w:right w:val="none" w:sz="0" w:space="0" w:color="auto"/>
      </w:divBdr>
    </w:div>
    <w:div w:id="580412875">
      <w:bodyDiv w:val="1"/>
      <w:marLeft w:val="0"/>
      <w:marRight w:val="0"/>
      <w:marTop w:val="0"/>
      <w:marBottom w:val="0"/>
      <w:divBdr>
        <w:top w:val="none" w:sz="0" w:space="0" w:color="auto"/>
        <w:left w:val="none" w:sz="0" w:space="0" w:color="auto"/>
        <w:bottom w:val="none" w:sz="0" w:space="0" w:color="auto"/>
        <w:right w:val="none" w:sz="0" w:space="0" w:color="auto"/>
      </w:divBdr>
    </w:div>
    <w:div w:id="580456579">
      <w:bodyDiv w:val="1"/>
      <w:marLeft w:val="0"/>
      <w:marRight w:val="0"/>
      <w:marTop w:val="0"/>
      <w:marBottom w:val="0"/>
      <w:divBdr>
        <w:top w:val="none" w:sz="0" w:space="0" w:color="auto"/>
        <w:left w:val="none" w:sz="0" w:space="0" w:color="auto"/>
        <w:bottom w:val="none" w:sz="0" w:space="0" w:color="auto"/>
        <w:right w:val="none" w:sz="0" w:space="0" w:color="auto"/>
      </w:divBdr>
    </w:div>
    <w:div w:id="580675850">
      <w:bodyDiv w:val="1"/>
      <w:marLeft w:val="0"/>
      <w:marRight w:val="0"/>
      <w:marTop w:val="0"/>
      <w:marBottom w:val="0"/>
      <w:divBdr>
        <w:top w:val="none" w:sz="0" w:space="0" w:color="auto"/>
        <w:left w:val="none" w:sz="0" w:space="0" w:color="auto"/>
        <w:bottom w:val="none" w:sz="0" w:space="0" w:color="auto"/>
        <w:right w:val="none" w:sz="0" w:space="0" w:color="auto"/>
      </w:divBdr>
    </w:div>
    <w:div w:id="580716652">
      <w:bodyDiv w:val="1"/>
      <w:marLeft w:val="0"/>
      <w:marRight w:val="0"/>
      <w:marTop w:val="0"/>
      <w:marBottom w:val="0"/>
      <w:divBdr>
        <w:top w:val="none" w:sz="0" w:space="0" w:color="auto"/>
        <w:left w:val="none" w:sz="0" w:space="0" w:color="auto"/>
        <w:bottom w:val="none" w:sz="0" w:space="0" w:color="auto"/>
        <w:right w:val="none" w:sz="0" w:space="0" w:color="auto"/>
      </w:divBdr>
    </w:div>
    <w:div w:id="580917410">
      <w:bodyDiv w:val="1"/>
      <w:marLeft w:val="0"/>
      <w:marRight w:val="0"/>
      <w:marTop w:val="0"/>
      <w:marBottom w:val="0"/>
      <w:divBdr>
        <w:top w:val="none" w:sz="0" w:space="0" w:color="auto"/>
        <w:left w:val="none" w:sz="0" w:space="0" w:color="auto"/>
        <w:bottom w:val="none" w:sz="0" w:space="0" w:color="auto"/>
        <w:right w:val="none" w:sz="0" w:space="0" w:color="auto"/>
      </w:divBdr>
    </w:div>
    <w:div w:id="581454227">
      <w:bodyDiv w:val="1"/>
      <w:marLeft w:val="0"/>
      <w:marRight w:val="0"/>
      <w:marTop w:val="0"/>
      <w:marBottom w:val="0"/>
      <w:divBdr>
        <w:top w:val="none" w:sz="0" w:space="0" w:color="auto"/>
        <w:left w:val="none" w:sz="0" w:space="0" w:color="auto"/>
        <w:bottom w:val="none" w:sz="0" w:space="0" w:color="auto"/>
        <w:right w:val="none" w:sz="0" w:space="0" w:color="auto"/>
      </w:divBdr>
    </w:div>
    <w:div w:id="581528466">
      <w:bodyDiv w:val="1"/>
      <w:marLeft w:val="0"/>
      <w:marRight w:val="0"/>
      <w:marTop w:val="0"/>
      <w:marBottom w:val="0"/>
      <w:divBdr>
        <w:top w:val="none" w:sz="0" w:space="0" w:color="auto"/>
        <w:left w:val="none" w:sz="0" w:space="0" w:color="auto"/>
        <w:bottom w:val="none" w:sz="0" w:space="0" w:color="auto"/>
        <w:right w:val="none" w:sz="0" w:space="0" w:color="auto"/>
      </w:divBdr>
    </w:div>
    <w:div w:id="581717306">
      <w:bodyDiv w:val="1"/>
      <w:marLeft w:val="0"/>
      <w:marRight w:val="0"/>
      <w:marTop w:val="0"/>
      <w:marBottom w:val="0"/>
      <w:divBdr>
        <w:top w:val="none" w:sz="0" w:space="0" w:color="auto"/>
        <w:left w:val="none" w:sz="0" w:space="0" w:color="auto"/>
        <w:bottom w:val="none" w:sz="0" w:space="0" w:color="auto"/>
        <w:right w:val="none" w:sz="0" w:space="0" w:color="auto"/>
      </w:divBdr>
    </w:div>
    <w:div w:id="581909101">
      <w:bodyDiv w:val="1"/>
      <w:marLeft w:val="0"/>
      <w:marRight w:val="0"/>
      <w:marTop w:val="0"/>
      <w:marBottom w:val="0"/>
      <w:divBdr>
        <w:top w:val="none" w:sz="0" w:space="0" w:color="auto"/>
        <w:left w:val="none" w:sz="0" w:space="0" w:color="auto"/>
        <w:bottom w:val="none" w:sz="0" w:space="0" w:color="auto"/>
        <w:right w:val="none" w:sz="0" w:space="0" w:color="auto"/>
      </w:divBdr>
    </w:div>
    <w:div w:id="582568400">
      <w:bodyDiv w:val="1"/>
      <w:marLeft w:val="0"/>
      <w:marRight w:val="0"/>
      <w:marTop w:val="0"/>
      <w:marBottom w:val="0"/>
      <w:divBdr>
        <w:top w:val="none" w:sz="0" w:space="0" w:color="auto"/>
        <w:left w:val="none" w:sz="0" w:space="0" w:color="auto"/>
        <w:bottom w:val="none" w:sz="0" w:space="0" w:color="auto"/>
        <w:right w:val="none" w:sz="0" w:space="0" w:color="auto"/>
      </w:divBdr>
    </w:div>
    <w:div w:id="582757403">
      <w:bodyDiv w:val="1"/>
      <w:marLeft w:val="0"/>
      <w:marRight w:val="0"/>
      <w:marTop w:val="0"/>
      <w:marBottom w:val="0"/>
      <w:divBdr>
        <w:top w:val="none" w:sz="0" w:space="0" w:color="auto"/>
        <w:left w:val="none" w:sz="0" w:space="0" w:color="auto"/>
        <w:bottom w:val="none" w:sz="0" w:space="0" w:color="auto"/>
        <w:right w:val="none" w:sz="0" w:space="0" w:color="auto"/>
      </w:divBdr>
    </w:div>
    <w:div w:id="582883543">
      <w:bodyDiv w:val="1"/>
      <w:marLeft w:val="0"/>
      <w:marRight w:val="0"/>
      <w:marTop w:val="0"/>
      <w:marBottom w:val="0"/>
      <w:divBdr>
        <w:top w:val="none" w:sz="0" w:space="0" w:color="auto"/>
        <w:left w:val="none" w:sz="0" w:space="0" w:color="auto"/>
        <w:bottom w:val="none" w:sz="0" w:space="0" w:color="auto"/>
        <w:right w:val="none" w:sz="0" w:space="0" w:color="auto"/>
      </w:divBdr>
    </w:div>
    <w:div w:id="583026642">
      <w:bodyDiv w:val="1"/>
      <w:marLeft w:val="0"/>
      <w:marRight w:val="0"/>
      <w:marTop w:val="0"/>
      <w:marBottom w:val="0"/>
      <w:divBdr>
        <w:top w:val="none" w:sz="0" w:space="0" w:color="auto"/>
        <w:left w:val="none" w:sz="0" w:space="0" w:color="auto"/>
        <w:bottom w:val="none" w:sz="0" w:space="0" w:color="auto"/>
        <w:right w:val="none" w:sz="0" w:space="0" w:color="auto"/>
      </w:divBdr>
    </w:div>
    <w:div w:id="583565237">
      <w:bodyDiv w:val="1"/>
      <w:marLeft w:val="0"/>
      <w:marRight w:val="0"/>
      <w:marTop w:val="0"/>
      <w:marBottom w:val="0"/>
      <w:divBdr>
        <w:top w:val="none" w:sz="0" w:space="0" w:color="auto"/>
        <w:left w:val="none" w:sz="0" w:space="0" w:color="auto"/>
        <w:bottom w:val="none" w:sz="0" w:space="0" w:color="auto"/>
        <w:right w:val="none" w:sz="0" w:space="0" w:color="auto"/>
      </w:divBdr>
    </w:div>
    <w:div w:id="583685455">
      <w:bodyDiv w:val="1"/>
      <w:marLeft w:val="0"/>
      <w:marRight w:val="0"/>
      <w:marTop w:val="0"/>
      <w:marBottom w:val="0"/>
      <w:divBdr>
        <w:top w:val="none" w:sz="0" w:space="0" w:color="auto"/>
        <w:left w:val="none" w:sz="0" w:space="0" w:color="auto"/>
        <w:bottom w:val="none" w:sz="0" w:space="0" w:color="auto"/>
        <w:right w:val="none" w:sz="0" w:space="0" w:color="auto"/>
      </w:divBdr>
    </w:div>
    <w:div w:id="583807559">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83950520">
      <w:bodyDiv w:val="1"/>
      <w:marLeft w:val="0"/>
      <w:marRight w:val="0"/>
      <w:marTop w:val="0"/>
      <w:marBottom w:val="0"/>
      <w:divBdr>
        <w:top w:val="none" w:sz="0" w:space="0" w:color="auto"/>
        <w:left w:val="none" w:sz="0" w:space="0" w:color="auto"/>
        <w:bottom w:val="none" w:sz="0" w:space="0" w:color="auto"/>
        <w:right w:val="none" w:sz="0" w:space="0" w:color="auto"/>
      </w:divBdr>
    </w:div>
    <w:div w:id="584268576">
      <w:bodyDiv w:val="1"/>
      <w:marLeft w:val="0"/>
      <w:marRight w:val="0"/>
      <w:marTop w:val="0"/>
      <w:marBottom w:val="0"/>
      <w:divBdr>
        <w:top w:val="none" w:sz="0" w:space="0" w:color="auto"/>
        <w:left w:val="none" w:sz="0" w:space="0" w:color="auto"/>
        <w:bottom w:val="none" w:sz="0" w:space="0" w:color="auto"/>
        <w:right w:val="none" w:sz="0" w:space="0" w:color="auto"/>
      </w:divBdr>
    </w:div>
    <w:div w:id="584531681">
      <w:bodyDiv w:val="1"/>
      <w:marLeft w:val="0"/>
      <w:marRight w:val="0"/>
      <w:marTop w:val="0"/>
      <w:marBottom w:val="0"/>
      <w:divBdr>
        <w:top w:val="none" w:sz="0" w:space="0" w:color="auto"/>
        <w:left w:val="none" w:sz="0" w:space="0" w:color="auto"/>
        <w:bottom w:val="none" w:sz="0" w:space="0" w:color="auto"/>
        <w:right w:val="none" w:sz="0" w:space="0" w:color="auto"/>
      </w:divBdr>
    </w:div>
    <w:div w:id="584607694">
      <w:bodyDiv w:val="1"/>
      <w:marLeft w:val="0"/>
      <w:marRight w:val="0"/>
      <w:marTop w:val="0"/>
      <w:marBottom w:val="0"/>
      <w:divBdr>
        <w:top w:val="none" w:sz="0" w:space="0" w:color="auto"/>
        <w:left w:val="none" w:sz="0" w:space="0" w:color="auto"/>
        <w:bottom w:val="none" w:sz="0" w:space="0" w:color="auto"/>
        <w:right w:val="none" w:sz="0" w:space="0" w:color="auto"/>
      </w:divBdr>
    </w:div>
    <w:div w:id="585188583">
      <w:bodyDiv w:val="1"/>
      <w:marLeft w:val="0"/>
      <w:marRight w:val="0"/>
      <w:marTop w:val="0"/>
      <w:marBottom w:val="0"/>
      <w:divBdr>
        <w:top w:val="none" w:sz="0" w:space="0" w:color="auto"/>
        <w:left w:val="none" w:sz="0" w:space="0" w:color="auto"/>
        <w:bottom w:val="none" w:sz="0" w:space="0" w:color="auto"/>
        <w:right w:val="none" w:sz="0" w:space="0" w:color="auto"/>
      </w:divBdr>
    </w:div>
    <w:div w:id="585462480">
      <w:bodyDiv w:val="1"/>
      <w:marLeft w:val="0"/>
      <w:marRight w:val="0"/>
      <w:marTop w:val="0"/>
      <w:marBottom w:val="0"/>
      <w:divBdr>
        <w:top w:val="none" w:sz="0" w:space="0" w:color="auto"/>
        <w:left w:val="none" w:sz="0" w:space="0" w:color="auto"/>
        <w:bottom w:val="none" w:sz="0" w:space="0" w:color="auto"/>
        <w:right w:val="none" w:sz="0" w:space="0" w:color="auto"/>
      </w:divBdr>
    </w:div>
    <w:div w:id="585502518">
      <w:bodyDiv w:val="1"/>
      <w:marLeft w:val="0"/>
      <w:marRight w:val="0"/>
      <w:marTop w:val="0"/>
      <w:marBottom w:val="0"/>
      <w:divBdr>
        <w:top w:val="none" w:sz="0" w:space="0" w:color="auto"/>
        <w:left w:val="none" w:sz="0" w:space="0" w:color="auto"/>
        <w:bottom w:val="none" w:sz="0" w:space="0" w:color="auto"/>
        <w:right w:val="none" w:sz="0" w:space="0" w:color="auto"/>
      </w:divBdr>
    </w:div>
    <w:div w:id="585765561">
      <w:bodyDiv w:val="1"/>
      <w:marLeft w:val="0"/>
      <w:marRight w:val="0"/>
      <w:marTop w:val="0"/>
      <w:marBottom w:val="0"/>
      <w:divBdr>
        <w:top w:val="none" w:sz="0" w:space="0" w:color="auto"/>
        <w:left w:val="none" w:sz="0" w:space="0" w:color="auto"/>
        <w:bottom w:val="none" w:sz="0" w:space="0" w:color="auto"/>
        <w:right w:val="none" w:sz="0" w:space="0" w:color="auto"/>
      </w:divBdr>
    </w:div>
    <w:div w:id="586111650">
      <w:bodyDiv w:val="1"/>
      <w:marLeft w:val="0"/>
      <w:marRight w:val="0"/>
      <w:marTop w:val="0"/>
      <w:marBottom w:val="0"/>
      <w:divBdr>
        <w:top w:val="none" w:sz="0" w:space="0" w:color="auto"/>
        <w:left w:val="none" w:sz="0" w:space="0" w:color="auto"/>
        <w:bottom w:val="none" w:sz="0" w:space="0" w:color="auto"/>
        <w:right w:val="none" w:sz="0" w:space="0" w:color="auto"/>
      </w:divBdr>
    </w:div>
    <w:div w:id="586113135">
      <w:bodyDiv w:val="1"/>
      <w:marLeft w:val="0"/>
      <w:marRight w:val="0"/>
      <w:marTop w:val="0"/>
      <w:marBottom w:val="0"/>
      <w:divBdr>
        <w:top w:val="none" w:sz="0" w:space="0" w:color="auto"/>
        <w:left w:val="none" w:sz="0" w:space="0" w:color="auto"/>
        <w:bottom w:val="none" w:sz="0" w:space="0" w:color="auto"/>
        <w:right w:val="none" w:sz="0" w:space="0" w:color="auto"/>
      </w:divBdr>
    </w:div>
    <w:div w:id="586154632">
      <w:bodyDiv w:val="1"/>
      <w:marLeft w:val="0"/>
      <w:marRight w:val="0"/>
      <w:marTop w:val="0"/>
      <w:marBottom w:val="0"/>
      <w:divBdr>
        <w:top w:val="none" w:sz="0" w:space="0" w:color="auto"/>
        <w:left w:val="none" w:sz="0" w:space="0" w:color="auto"/>
        <w:bottom w:val="none" w:sz="0" w:space="0" w:color="auto"/>
        <w:right w:val="none" w:sz="0" w:space="0" w:color="auto"/>
      </w:divBdr>
    </w:div>
    <w:div w:id="586307574">
      <w:bodyDiv w:val="1"/>
      <w:marLeft w:val="0"/>
      <w:marRight w:val="0"/>
      <w:marTop w:val="0"/>
      <w:marBottom w:val="0"/>
      <w:divBdr>
        <w:top w:val="none" w:sz="0" w:space="0" w:color="auto"/>
        <w:left w:val="none" w:sz="0" w:space="0" w:color="auto"/>
        <w:bottom w:val="none" w:sz="0" w:space="0" w:color="auto"/>
        <w:right w:val="none" w:sz="0" w:space="0" w:color="auto"/>
      </w:divBdr>
    </w:div>
    <w:div w:id="586505367">
      <w:bodyDiv w:val="1"/>
      <w:marLeft w:val="0"/>
      <w:marRight w:val="0"/>
      <w:marTop w:val="0"/>
      <w:marBottom w:val="0"/>
      <w:divBdr>
        <w:top w:val="none" w:sz="0" w:space="0" w:color="auto"/>
        <w:left w:val="none" w:sz="0" w:space="0" w:color="auto"/>
        <w:bottom w:val="none" w:sz="0" w:space="0" w:color="auto"/>
        <w:right w:val="none" w:sz="0" w:space="0" w:color="auto"/>
      </w:divBdr>
    </w:div>
    <w:div w:id="586621132">
      <w:bodyDiv w:val="1"/>
      <w:marLeft w:val="0"/>
      <w:marRight w:val="0"/>
      <w:marTop w:val="0"/>
      <w:marBottom w:val="0"/>
      <w:divBdr>
        <w:top w:val="none" w:sz="0" w:space="0" w:color="auto"/>
        <w:left w:val="none" w:sz="0" w:space="0" w:color="auto"/>
        <w:bottom w:val="none" w:sz="0" w:space="0" w:color="auto"/>
        <w:right w:val="none" w:sz="0" w:space="0" w:color="auto"/>
      </w:divBdr>
    </w:div>
    <w:div w:id="587077264">
      <w:bodyDiv w:val="1"/>
      <w:marLeft w:val="0"/>
      <w:marRight w:val="0"/>
      <w:marTop w:val="0"/>
      <w:marBottom w:val="0"/>
      <w:divBdr>
        <w:top w:val="none" w:sz="0" w:space="0" w:color="auto"/>
        <w:left w:val="none" w:sz="0" w:space="0" w:color="auto"/>
        <w:bottom w:val="none" w:sz="0" w:space="0" w:color="auto"/>
        <w:right w:val="none" w:sz="0" w:space="0" w:color="auto"/>
      </w:divBdr>
    </w:div>
    <w:div w:id="587345148">
      <w:bodyDiv w:val="1"/>
      <w:marLeft w:val="0"/>
      <w:marRight w:val="0"/>
      <w:marTop w:val="0"/>
      <w:marBottom w:val="0"/>
      <w:divBdr>
        <w:top w:val="none" w:sz="0" w:space="0" w:color="auto"/>
        <w:left w:val="none" w:sz="0" w:space="0" w:color="auto"/>
        <w:bottom w:val="none" w:sz="0" w:space="0" w:color="auto"/>
        <w:right w:val="none" w:sz="0" w:space="0" w:color="auto"/>
      </w:divBdr>
    </w:div>
    <w:div w:id="587688775">
      <w:bodyDiv w:val="1"/>
      <w:marLeft w:val="0"/>
      <w:marRight w:val="0"/>
      <w:marTop w:val="0"/>
      <w:marBottom w:val="0"/>
      <w:divBdr>
        <w:top w:val="none" w:sz="0" w:space="0" w:color="auto"/>
        <w:left w:val="none" w:sz="0" w:space="0" w:color="auto"/>
        <w:bottom w:val="none" w:sz="0" w:space="0" w:color="auto"/>
        <w:right w:val="none" w:sz="0" w:space="0" w:color="auto"/>
      </w:divBdr>
    </w:div>
    <w:div w:id="588200771">
      <w:bodyDiv w:val="1"/>
      <w:marLeft w:val="0"/>
      <w:marRight w:val="0"/>
      <w:marTop w:val="0"/>
      <w:marBottom w:val="0"/>
      <w:divBdr>
        <w:top w:val="none" w:sz="0" w:space="0" w:color="auto"/>
        <w:left w:val="none" w:sz="0" w:space="0" w:color="auto"/>
        <w:bottom w:val="none" w:sz="0" w:space="0" w:color="auto"/>
        <w:right w:val="none" w:sz="0" w:space="0" w:color="auto"/>
      </w:divBdr>
    </w:div>
    <w:div w:id="588277251">
      <w:bodyDiv w:val="1"/>
      <w:marLeft w:val="0"/>
      <w:marRight w:val="0"/>
      <w:marTop w:val="0"/>
      <w:marBottom w:val="0"/>
      <w:divBdr>
        <w:top w:val="none" w:sz="0" w:space="0" w:color="auto"/>
        <w:left w:val="none" w:sz="0" w:space="0" w:color="auto"/>
        <w:bottom w:val="none" w:sz="0" w:space="0" w:color="auto"/>
        <w:right w:val="none" w:sz="0" w:space="0" w:color="auto"/>
      </w:divBdr>
    </w:div>
    <w:div w:id="588319937">
      <w:bodyDiv w:val="1"/>
      <w:marLeft w:val="0"/>
      <w:marRight w:val="0"/>
      <w:marTop w:val="0"/>
      <w:marBottom w:val="0"/>
      <w:divBdr>
        <w:top w:val="none" w:sz="0" w:space="0" w:color="auto"/>
        <w:left w:val="none" w:sz="0" w:space="0" w:color="auto"/>
        <w:bottom w:val="none" w:sz="0" w:space="0" w:color="auto"/>
        <w:right w:val="none" w:sz="0" w:space="0" w:color="auto"/>
      </w:divBdr>
    </w:div>
    <w:div w:id="588388249">
      <w:bodyDiv w:val="1"/>
      <w:marLeft w:val="0"/>
      <w:marRight w:val="0"/>
      <w:marTop w:val="0"/>
      <w:marBottom w:val="0"/>
      <w:divBdr>
        <w:top w:val="none" w:sz="0" w:space="0" w:color="auto"/>
        <w:left w:val="none" w:sz="0" w:space="0" w:color="auto"/>
        <w:bottom w:val="none" w:sz="0" w:space="0" w:color="auto"/>
        <w:right w:val="none" w:sz="0" w:space="0" w:color="auto"/>
      </w:divBdr>
    </w:div>
    <w:div w:id="588734660">
      <w:bodyDiv w:val="1"/>
      <w:marLeft w:val="0"/>
      <w:marRight w:val="0"/>
      <w:marTop w:val="0"/>
      <w:marBottom w:val="0"/>
      <w:divBdr>
        <w:top w:val="none" w:sz="0" w:space="0" w:color="auto"/>
        <w:left w:val="none" w:sz="0" w:space="0" w:color="auto"/>
        <w:bottom w:val="none" w:sz="0" w:space="0" w:color="auto"/>
        <w:right w:val="none" w:sz="0" w:space="0" w:color="auto"/>
      </w:divBdr>
    </w:div>
    <w:div w:id="588854640">
      <w:bodyDiv w:val="1"/>
      <w:marLeft w:val="0"/>
      <w:marRight w:val="0"/>
      <w:marTop w:val="0"/>
      <w:marBottom w:val="0"/>
      <w:divBdr>
        <w:top w:val="none" w:sz="0" w:space="0" w:color="auto"/>
        <w:left w:val="none" w:sz="0" w:space="0" w:color="auto"/>
        <w:bottom w:val="none" w:sz="0" w:space="0" w:color="auto"/>
        <w:right w:val="none" w:sz="0" w:space="0" w:color="auto"/>
      </w:divBdr>
    </w:div>
    <w:div w:id="588931194">
      <w:bodyDiv w:val="1"/>
      <w:marLeft w:val="0"/>
      <w:marRight w:val="0"/>
      <w:marTop w:val="0"/>
      <w:marBottom w:val="0"/>
      <w:divBdr>
        <w:top w:val="none" w:sz="0" w:space="0" w:color="auto"/>
        <w:left w:val="none" w:sz="0" w:space="0" w:color="auto"/>
        <w:bottom w:val="none" w:sz="0" w:space="0" w:color="auto"/>
        <w:right w:val="none" w:sz="0" w:space="0" w:color="auto"/>
      </w:divBdr>
    </w:div>
    <w:div w:id="589047116">
      <w:bodyDiv w:val="1"/>
      <w:marLeft w:val="0"/>
      <w:marRight w:val="0"/>
      <w:marTop w:val="0"/>
      <w:marBottom w:val="0"/>
      <w:divBdr>
        <w:top w:val="none" w:sz="0" w:space="0" w:color="auto"/>
        <w:left w:val="none" w:sz="0" w:space="0" w:color="auto"/>
        <w:bottom w:val="none" w:sz="0" w:space="0" w:color="auto"/>
        <w:right w:val="none" w:sz="0" w:space="0" w:color="auto"/>
      </w:divBdr>
    </w:div>
    <w:div w:id="589780529">
      <w:bodyDiv w:val="1"/>
      <w:marLeft w:val="0"/>
      <w:marRight w:val="0"/>
      <w:marTop w:val="0"/>
      <w:marBottom w:val="0"/>
      <w:divBdr>
        <w:top w:val="none" w:sz="0" w:space="0" w:color="auto"/>
        <w:left w:val="none" w:sz="0" w:space="0" w:color="auto"/>
        <w:bottom w:val="none" w:sz="0" w:space="0" w:color="auto"/>
        <w:right w:val="none" w:sz="0" w:space="0" w:color="auto"/>
      </w:divBdr>
    </w:div>
    <w:div w:id="589898128">
      <w:bodyDiv w:val="1"/>
      <w:marLeft w:val="0"/>
      <w:marRight w:val="0"/>
      <w:marTop w:val="0"/>
      <w:marBottom w:val="0"/>
      <w:divBdr>
        <w:top w:val="none" w:sz="0" w:space="0" w:color="auto"/>
        <w:left w:val="none" w:sz="0" w:space="0" w:color="auto"/>
        <w:bottom w:val="none" w:sz="0" w:space="0" w:color="auto"/>
        <w:right w:val="none" w:sz="0" w:space="0" w:color="auto"/>
      </w:divBdr>
    </w:div>
    <w:div w:id="590045646">
      <w:bodyDiv w:val="1"/>
      <w:marLeft w:val="0"/>
      <w:marRight w:val="0"/>
      <w:marTop w:val="0"/>
      <w:marBottom w:val="0"/>
      <w:divBdr>
        <w:top w:val="none" w:sz="0" w:space="0" w:color="auto"/>
        <w:left w:val="none" w:sz="0" w:space="0" w:color="auto"/>
        <w:bottom w:val="none" w:sz="0" w:space="0" w:color="auto"/>
        <w:right w:val="none" w:sz="0" w:space="0" w:color="auto"/>
      </w:divBdr>
    </w:div>
    <w:div w:id="590160474">
      <w:bodyDiv w:val="1"/>
      <w:marLeft w:val="0"/>
      <w:marRight w:val="0"/>
      <w:marTop w:val="0"/>
      <w:marBottom w:val="0"/>
      <w:divBdr>
        <w:top w:val="none" w:sz="0" w:space="0" w:color="auto"/>
        <w:left w:val="none" w:sz="0" w:space="0" w:color="auto"/>
        <w:bottom w:val="none" w:sz="0" w:space="0" w:color="auto"/>
        <w:right w:val="none" w:sz="0" w:space="0" w:color="auto"/>
      </w:divBdr>
    </w:div>
    <w:div w:id="590357849">
      <w:bodyDiv w:val="1"/>
      <w:marLeft w:val="0"/>
      <w:marRight w:val="0"/>
      <w:marTop w:val="0"/>
      <w:marBottom w:val="0"/>
      <w:divBdr>
        <w:top w:val="none" w:sz="0" w:space="0" w:color="auto"/>
        <w:left w:val="none" w:sz="0" w:space="0" w:color="auto"/>
        <w:bottom w:val="none" w:sz="0" w:space="0" w:color="auto"/>
        <w:right w:val="none" w:sz="0" w:space="0" w:color="auto"/>
      </w:divBdr>
    </w:div>
    <w:div w:id="591201129">
      <w:bodyDiv w:val="1"/>
      <w:marLeft w:val="0"/>
      <w:marRight w:val="0"/>
      <w:marTop w:val="0"/>
      <w:marBottom w:val="0"/>
      <w:divBdr>
        <w:top w:val="none" w:sz="0" w:space="0" w:color="auto"/>
        <w:left w:val="none" w:sz="0" w:space="0" w:color="auto"/>
        <w:bottom w:val="none" w:sz="0" w:space="0" w:color="auto"/>
        <w:right w:val="none" w:sz="0" w:space="0" w:color="auto"/>
      </w:divBdr>
    </w:div>
    <w:div w:id="591209513">
      <w:bodyDiv w:val="1"/>
      <w:marLeft w:val="0"/>
      <w:marRight w:val="0"/>
      <w:marTop w:val="0"/>
      <w:marBottom w:val="0"/>
      <w:divBdr>
        <w:top w:val="none" w:sz="0" w:space="0" w:color="auto"/>
        <w:left w:val="none" w:sz="0" w:space="0" w:color="auto"/>
        <w:bottom w:val="none" w:sz="0" w:space="0" w:color="auto"/>
        <w:right w:val="none" w:sz="0" w:space="0" w:color="auto"/>
      </w:divBdr>
    </w:div>
    <w:div w:id="591427211">
      <w:bodyDiv w:val="1"/>
      <w:marLeft w:val="0"/>
      <w:marRight w:val="0"/>
      <w:marTop w:val="0"/>
      <w:marBottom w:val="0"/>
      <w:divBdr>
        <w:top w:val="none" w:sz="0" w:space="0" w:color="auto"/>
        <w:left w:val="none" w:sz="0" w:space="0" w:color="auto"/>
        <w:bottom w:val="none" w:sz="0" w:space="0" w:color="auto"/>
        <w:right w:val="none" w:sz="0" w:space="0" w:color="auto"/>
      </w:divBdr>
    </w:div>
    <w:div w:id="591663647">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591668006">
      <w:bodyDiv w:val="1"/>
      <w:marLeft w:val="0"/>
      <w:marRight w:val="0"/>
      <w:marTop w:val="0"/>
      <w:marBottom w:val="0"/>
      <w:divBdr>
        <w:top w:val="none" w:sz="0" w:space="0" w:color="auto"/>
        <w:left w:val="none" w:sz="0" w:space="0" w:color="auto"/>
        <w:bottom w:val="none" w:sz="0" w:space="0" w:color="auto"/>
        <w:right w:val="none" w:sz="0" w:space="0" w:color="auto"/>
      </w:divBdr>
    </w:div>
    <w:div w:id="591670438">
      <w:bodyDiv w:val="1"/>
      <w:marLeft w:val="0"/>
      <w:marRight w:val="0"/>
      <w:marTop w:val="0"/>
      <w:marBottom w:val="0"/>
      <w:divBdr>
        <w:top w:val="none" w:sz="0" w:space="0" w:color="auto"/>
        <w:left w:val="none" w:sz="0" w:space="0" w:color="auto"/>
        <w:bottom w:val="none" w:sz="0" w:space="0" w:color="auto"/>
        <w:right w:val="none" w:sz="0" w:space="0" w:color="auto"/>
      </w:divBdr>
    </w:div>
    <w:div w:id="592015045">
      <w:bodyDiv w:val="1"/>
      <w:marLeft w:val="0"/>
      <w:marRight w:val="0"/>
      <w:marTop w:val="0"/>
      <w:marBottom w:val="0"/>
      <w:divBdr>
        <w:top w:val="none" w:sz="0" w:space="0" w:color="auto"/>
        <w:left w:val="none" w:sz="0" w:space="0" w:color="auto"/>
        <w:bottom w:val="none" w:sz="0" w:space="0" w:color="auto"/>
        <w:right w:val="none" w:sz="0" w:space="0" w:color="auto"/>
      </w:divBdr>
    </w:div>
    <w:div w:id="592130914">
      <w:bodyDiv w:val="1"/>
      <w:marLeft w:val="0"/>
      <w:marRight w:val="0"/>
      <w:marTop w:val="0"/>
      <w:marBottom w:val="0"/>
      <w:divBdr>
        <w:top w:val="none" w:sz="0" w:space="0" w:color="auto"/>
        <w:left w:val="none" w:sz="0" w:space="0" w:color="auto"/>
        <w:bottom w:val="none" w:sz="0" w:space="0" w:color="auto"/>
        <w:right w:val="none" w:sz="0" w:space="0" w:color="auto"/>
      </w:divBdr>
    </w:div>
    <w:div w:id="592520113">
      <w:bodyDiv w:val="1"/>
      <w:marLeft w:val="0"/>
      <w:marRight w:val="0"/>
      <w:marTop w:val="0"/>
      <w:marBottom w:val="0"/>
      <w:divBdr>
        <w:top w:val="none" w:sz="0" w:space="0" w:color="auto"/>
        <w:left w:val="none" w:sz="0" w:space="0" w:color="auto"/>
        <w:bottom w:val="none" w:sz="0" w:space="0" w:color="auto"/>
        <w:right w:val="none" w:sz="0" w:space="0" w:color="auto"/>
      </w:divBdr>
    </w:div>
    <w:div w:id="592668713">
      <w:bodyDiv w:val="1"/>
      <w:marLeft w:val="0"/>
      <w:marRight w:val="0"/>
      <w:marTop w:val="0"/>
      <w:marBottom w:val="0"/>
      <w:divBdr>
        <w:top w:val="none" w:sz="0" w:space="0" w:color="auto"/>
        <w:left w:val="none" w:sz="0" w:space="0" w:color="auto"/>
        <w:bottom w:val="none" w:sz="0" w:space="0" w:color="auto"/>
        <w:right w:val="none" w:sz="0" w:space="0" w:color="auto"/>
      </w:divBdr>
    </w:div>
    <w:div w:id="592739283">
      <w:bodyDiv w:val="1"/>
      <w:marLeft w:val="0"/>
      <w:marRight w:val="0"/>
      <w:marTop w:val="0"/>
      <w:marBottom w:val="0"/>
      <w:divBdr>
        <w:top w:val="none" w:sz="0" w:space="0" w:color="auto"/>
        <w:left w:val="none" w:sz="0" w:space="0" w:color="auto"/>
        <w:bottom w:val="none" w:sz="0" w:space="0" w:color="auto"/>
        <w:right w:val="none" w:sz="0" w:space="0" w:color="auto"/>
      </w:divBdr>
    </w:div>
    <w:div w:id="592859187">
      <w:bodyDiv w:val="1"/>
      <w:marLeft w:val="0"/>
      <w:marRight w:val="0"/>
      <w:marTop w:val="0"/>
      <w:marBottom w:val="0"/>
      <w:divBdr>
        <w:top w:val="none" w:sz="0" w:space="0" w:color="auto"/>
        <w:left w:val="none" w:sz="0" w:space="0" w:color="auto"/>
        <w:bottom w:val="none" w:sz="0" w:space="0" w:color="auto"/>
        <w:right w:val="none" w:sz="0" w:space="0" w:color="auto"/>
      </w:divBdr>
    </w:div>
    <w:div w:id="593126659">
      <w:bodyDiv w:val="1"/>
      <w:marLeft w:val="0"/>
      <w:marRight w:val="0"/>
      <w:marTop w:val="0"/>
      <w:marBottom w:val="0"/>
      <w:divBdr>
        <w:top w:val="none" w:sz="0" w:space="0" w:color="auto"/>
        <w:left w:val="none" w:sz="0" w:space="0" w:color="auto"/>
        <w:bottom w:val="none" w:sz="0" w:space="0" w:color="auto"/>
        <w:right w:val="none" w:sz="0" w:space="0" w:color="auto"/>
      </w:divBdr>
    </w:div>
    <w:div w:id="593780281">
      <w:bodyDiv w:val="1"/>
      <w:marLeft w:val="0"/>
      <w:marRight w:val="0"/>
      <w:marTop w:val="0"/>
      <w:marBottom w:val="0"/>
      <w:divBdr>
        <w:top w:val="none" w:sz="0" w:space="0" w:color="auto"/>
        <w:left w:val="none" w:sz="0" w:space="0" w:color="auto"/>
        <w:bottom w:val="none" w:sz="0" w:space="0" w:color="auto"/>
        <w:right w:val="none" w:sz="0" w:space="0" w:color="auto"/>
      </w:divBdr>
    </w:div>
    <w:div w:id="593785180">
      <w:bodyDiv w:val="1"/>
      <w:marLeft w:val="0"/>
      <w:marRight w:val="0"/>
      <w:marTop w:val="0"/>
      <w:marBottom w:val="0"/>
      <w:divBdr>
        <w:top w:val="none" w:sz="0" w:space="0" w:color="auto"/>
        <w:left w:val="none" w:sz="0" w:space="0" w:color="auto"/>
        <w:bottom w:val="none" w:sz="0" w:space="0" w:color="auto"/>
        <w:right w:val="none" w:sz="0" w:space="0" w:color="auto"/>
      </w:divBdr>
    </w:div>
    <w:div w:id="594287313">
      <w:bodyDiv w:val="1"/>
      <w:marLeft w:val="0"/>
      <w:marRight w:val="0"/>
      <w:marTop w:val="0"/>
      <w:marBottom w:val="0"/>
      <w:divBdr>
        <w:top w:val="none" w:sz="0" w:space="0" w:color="auto"/>
        <w:left w:val="none" w:sz="0" w:space="0" w:color="auto"/>
        <w:bottom w:val="none" w:sz="0" w:space="0" w:color="auto"/>
        <w:right w:val="none" w:sz="0" w:space="0" w:color="auto"/>
      </w:divBdr>
    </w:div>
    <w:div w:id="594559965">
      <w:bodyDiv w:val="1"/>
      <w:marLeft w:val="0"/>
      <w:marRight w:val="0"/>
      <w:marTop w:val="0"/>
      <w:marBottom w:val="0"/>
      <w:divBdr>
        <w:top w:val="none" w:sz="0" w:space="0" w:color="auto"/>
        <w:left w:val="none" w:sz="0" w:space="0" w:color="auto"/>
        <w:bottom w:val="none" w:sz="0" w:space="0" w:color="auto"/>
        <w:right w:val="none" w:sz="0" w:space="0" w:color="auto"/>
      </w:divBdr>
    </w:div>
    <w:div w:id="594630592">
      <w:bodyDiv w:val="1"/>
      <w:marLeft w:val="0"/>
      <w:marRight w:val="0"/>
      <w:marTop w:val="0"/>
      <w:marBottom w:val="0"/>
      <w:divBdr>
        <w:top w:val="none" w:sz="0" w:space="0" w:color="auto"/>
        <w:left w:val="none" w:sz="0" w:space="0" w:color="auto"/>
        <w:bottom w:val="none" w:sz="0" w:space="0" w:color="auto"/>
        <w:right w:val="none" w:sz="0" w:space="0" w:color="auto"/>
      </w:divBdr>
    </w:div>
    <w:div w:id="594826630">
      <w:bodyDiv w:val="1"/>
      <w:marLeft w:val="0"/>
      <w:marRight w:val="0"/>
      <w:marTop w:val="0"/>
      <w:marBottom w:val="0"/>
      <w:divBdr>
        <w:top w:val="none" w:sz="0" w:space="0" w:color="auto"/>
        <w:left w:val="none" w:sz="0" w:space="0" w:color="auto"/>
        <w:bottom w:val="none" w:sz="0" w:space="0" w:color="auto"/>
        <w:right w:val="none" w:sz="0" w:space="0" w:color="auto"/>
      </w:divBdr>
    </w:div>
    <w:div w:id="595014660">
      <w:bodyDiv w:val="1"/>
      <w:marLeft w:val="0"/>
      <w:marRight w:val="0"/>
      <w:marTop w:val="0"/>
      <w:marBottom w:val="0"/>
      <w:divBdr>
        <w:top w:val="none" w:sz="0" w:space="0" w:color="auto"/>
        <w:left w:val="none" w:sz="0" w:space="0" w:color="auto"/>
        <w:bottom w:val="none" w:sz="0" w:space="0" w:color="auto"/>
        <w:right w:val="none" w:sz="0" w:space="0" w:color="auto"/>
      </w:divBdr>
    </w:div>
    <w:div w:id="595212067">
      <w:bodyDiv w:val="1"/>
      <w:marLeft w:val="0"/>
      <w:marRight w:val="0"/>
      <w:marTop w:val="0"/>
      <w:marBottom w:val="0"/>
      <w:divBdr>
        <w:top w:val="none" w:sz="0" w:space="0" w:color="auto"/>
        <w:left w:val="none" w:sz="0" w:space="0" w:color="auto"/>
        <w:bottom w:val="none" w:sz="0" w:space="0" w:color="auto"/>
        <w:right w:val="none" w:sz="0" w:space="0" w:color="auto"/>
      </w:divBdr>
    </w:div>
    <w:div w:id="595334561">
      <w:bodyDiv w:val="1"/>
      <w:marLeft w:val="0"/>
      <w:marRight w:val="0"/>
      <w:marTop w:val="0"/>
      <w:marBottom w:val="0"/>
      <w:divBdr>
        <w:top w:val="none" w:sz="0" w:space="0" w:color="auto"/>
        <w:left w:val="none" w:sz="0" w:space="0" w:color="auto"/>
        <w:bottom w:val="none" w:sz="0" w:space="0" w:color="auto"/>
        <w:right w:val="none" w:sz="0" w:space="0" w:color="auto"/>
      </w:divBdr>
    </w:div>
    <w:div w:id="595477057">
      <w:bodyDiv w:val="1"/>
      <w:marLeft w:val="0"/>
      <w:marRight w:val="0"/>
      <w:marTop w:val="0"/>
      <w:marBottom w:val="0"/>
      <w:divBdr>
        <w:top w:val="none" w:sz="0" w:space="0" w:color="auto"/>
        <w:left w:val="none" w:sz="0" w:space="0" w:color="auto"/>
        <w:bottom w:val="none" w:sz="0" w:space="0" w:color="auto"/>
        <w:right w:val="none" w:sz="0" w:space="0" w:color="auto"/>
      </w:divBdr>
    </w:div>
    <w:div w:id="596063187">
      <w:bodyDiv w:val="1"/>
      <w:marLeft w:val="0"/>
      <w:marRight w:val="0"/>
      <w:marTop w:val="0"/>
      <w:marBottom w:val="0"/>
      <w:divBdr>
        <w:top w:val="none" w:sz="0" w:space="0" w:color="auto"/>
        <w:left w:val="none" w:sz="0" w:space="0" w:color="auto"/>
        <w:bottom w:val="none" w:sz="0" w:space="0" w:color="auto"/>
        <w:right w:val="none" w:sz="0" w:space="0" w:color="auto"/>
      </w:divBdr>
    </w:div>
    <w:div w:id="596593939">
      <w:bodyDiv w:val="1"/>
      <w:marLeft w:val="0"/>
      <w:marRight w:val="0"/>
      <w:marTop w:val="0"/>
      <w:marBottom w:val="0"/>
      <w:divBdr>
        <w:top w:val="none" w:sz="0" w:space="0" w:color="auto"/>
        <w:left w:val="none" w:sz="0" w:space="0" w:color="auto"/>
        <w:bottom w:val="none" w:sz="0" w:space="0" w:color="auto"/>
        <w:right w:val="none" w:sz="0" w:space="0" w:color="auto"/>
      </w:divBdr>
    </w:div>
    <w:div w:id="596789166">
      <w:bodyDiv w:val="1"/>
      <w:marLeft w:val="0"/>
      <w:marRight w:val="0"/>
      <w:marTop w:val="0"/>
      <w:marBottom w:val="0"/>
      <w:divBdr>
        <w:top w:val="none" w:sz="0" w:space="0" w:color="auto"/>
        <w:left w:val="none" w:sz="0" w:space="0" w:color="auto"/>
        <w:bottom w:val="none" w:sz="0" w:space="0" w:color="auto"/>
        <w:right w:val="none" w:sz="0" w:space="0" w:color="auto"/>
      </w:divBdr>
    </w:div>
    <w:div w:id="597636761">
      <w:bodyDiv w:val="1"/>
      <w:marLeft w:val="0"/>
      <w:marRight w:val="0"/>
      <w:marTop w:val="0"/>
      <w:marBottom w:val="0"/>
      <w:divBdr>
        <w:top w:val="none" w:sz="0" w:space="0" w:color="auto"/>
        <w:left w:val="none" w:sz="0" w:space="0" w:color="auto"/>
        <w:bottom w:val="none" w:sz="0" w:space="0" w:color="auto"/>
        <w:right w:val="none" w:sz="0" w:space="0" w:color="auto"/>
      </w:divBdr>
    </w:div>
    <w:div w:id="597953725">
      <w:bodyDiv w:val="1"/>
      <w:marLeft w:val="0"/>
      <w:marRight w:val="0"/>
      <w:marTop w:val="0"/>
      <w:marBottom w:val="0"/>
      <w:divBdr>
        <w:top w:val="none" w:sz="0" w:space="0" w:color="auto"/>
        <w:left w:val="none" w:sz="0" w:space="0" w:color="auto"/>
        <w:bottom w:val="none" w:sz="0" w:space="0" w:color="auto"/>
        <w:right w:val="none" w:sz="0" w:space="0" w:color="auto"/>
      </w:divBdr>
    </w:div>
    <w:div w:id="598373391">
      <w:bodyDiv w:val="1"/>
      <w:marLeft w:val="0"/>
      <w:marRight w:val="0"/>
      <w:marTop w:val="0"/>
      <w:marBottom w:val="0"/>
      <w:divBdr>
        <w:top w:val="none" w:sz="0" w:space="0" w:color="auto"/>
        <w:left w:val="none" w:sz="0" w:space="0" w:color="auto"/>
        <w:bottom w:val="none" w:sz="0" w:space="0" w:color="auto"/>
        <w:right w:val="none" w:sz="0" w:space="0" w:color="auto"/>
      </w:divBdr>
    </w:div>
    <w:div w:id="598410679">
      <w:bodyDiv w:val="1"/>
      <w:marLeft w:val="0"/>
      <w:marRight w:val="0"/>
      <w:marTop w:val="0"/>
      <w:marBottom w:val="0"/>
      <w:divBdr>
        <w:top w:val="none" w:sz="0" w:space="0" w:color="auto"/>
        <w:left w:val="none" w:sz="0" w:space="0" w:color="auto"/>
        <w:bottom w:val="none" w:sz="0" w:space="0" w:color="auto"/>
        <w:right w:val="none" w:sz="0" w:space="0" w:color="auto"/>
      </w:divBdr>
    </w:div>
    <w:div w:id="599139507">
      <w:bodyDiv w:val="1"/>
      <w:marLeft w:val="0"/>
      <w:marRight w:val="0"/>
      <w:marTop w:val="0"/>
      <w:marBottom w:val="0"/>
      <w:divBdr>
        <w:top w:val="none" w:sz="0" w:space="0" w:color="auto"/>
        <w:left w:val="none" w:sz="0" w:space="0" w:color="auto"/>
        <w:bottom w:val="none" w:sz="0" w:space="0" w:color="auto"/>
        <w:right w:val="none" w:sz="0" w:space="0" w:color="auto"/>
      </w:divBdr>
    </w:div>
    <w:div w:id="599987817">
      <w:bodyDiv w:val="1"/>
      <w:marLeft w:val="0"/>
      <w:marRight w:val="0"/>
      <w:marTop w:val="0"/>
      <w:marBottom w:val="0"/>
      <w:divBdr>
        <w:top w:val="none" w:sz="0" w:space="0" w:color="auto"/>
        <w:left w:val="none" w:sz="0" w:space="0" w:color="auto"/>
        <w:bottom w:val="none" w:sz="0" w:space="0" w:color="auto"/>
        <w:right w:val="none" w:sz="0" w:space="0" w:color="auto"/>
      </w:divBdr>
    </w:div>
    <w:div w:id="600114344">
      <w:bodyDiv w:val="1"/>
      <w:marLeft w:val="0"/>
      <w:marRight w:val="0"/>
      <w:marTop w:val="0"/>
      <w:marBottom w:val="0"/>
      <w:divBdr>
        <w:top w:val="none" w:sz="0" w:space="0" w:color="auto"/>
        <w:left w:val="none" w:sz="0" w:space="0" w:color="auto"/>
        <w:bottom w:val="none" w:sz="0" w:space="0" w:color="auto"/>
        <w:right w:val="none" w:sz="0" w:space="0" w:color="auto"/>
      </w:divBdr>
    </w:div>
    <w:div w:id="600181127">
      <w:bodyDiv w:val="1"/>
      <w:marLeft w:val="0"/>
      <w:marRight w:val="0"/>
      <w:marTop w:val="0"/>
      <w:marBottom w:val="0"/>
      <w:divBdr>
        <w:top w:val="none" w:sz="0" w:space="0" w:color="auto"/>
        <w:left w:val="none" w:sz="0" w:space="0" w:color="auto"/>
        <w:bottom w:val="none" w:sz="0" w:space="0" w:color="auto"/>
        <w:right w:val="none" w:sz="0" w:space="0" w:color="auto"/>
      </w:divBdr>
    </w:div>
    <w:div w:id="600338062">
      <w:bodyDiv w:val="1"/>
      <w:marLeft w:val="0"/>
      <w:marRight w:val="0"/>
      <w:marTop w:val="0"/>
      <w:marBottom w:val="0"/>
      <w:divBdr>
        <w:top w:val="none" w:sz="0" w:space="0" w:color="auto"/>
        <w:left w:val="none" w:sz="0" w:space="0" w:color="auto"/>
        <w:bottom w:val="none" w:sz="0" w:space="0" w:color="auto"/>
        <w:right w:val="none" w:sz="0" w:space="0" w:color="auto"/>
      </w:divBdr>
    </w:div>
    <w:div w:id="600375727">
      <w:bodyDiv w:val="1"/>
      <w:marLeft w:val="0"/>
      <w:marRight w:val="0"/>
      <w:marTop w:val="0"/>
      <w:marBottom w:val="0"/>
      <w:divBdr>
        <w:top w:val="none" w:sz="0" w:space="0" w:color="auto"/>
        <w:left w:val="none" w:sz="0" w:space="0" w:color="auto"/>
        <w:bottom w:val="none" w:sz="0" w:space="0" w:color="auto"/>
        <w:right w:val="none" w:sz="0" w:space="0" w:color="auto"/>
      </w:divBdr>
    </w:div>
    <w:div w:id="601256510">
      <w:bodyDiv w:val="1"/>
      <w:marLeft w:val="0"/>
      <w:marRight w:val="0"/>
      <w:marTop w:val="0"/>
      <w:marBottom w:val="0"/>
      <w:divBdr>
        <w:top w:val="none" w:sz="0" w:space="0" w:color="auto"/>
        <w:left w:val="none" w:sz="0" w:space="0" w:color="auto"/>
        <w:bottom w:val="none" w:sz="0" w:space="0" w:color="auto"/>
        <w:right w:val="none" w:sz="0" w:space="0" w:color="auto"/>
      </w:divBdr>
    </w:div>
    <w:div w:id="601256938">
      <w:bodyDiv w:val="1"/>
      <w:marLeft w:val="0"/>
      <w:marRight w:val="0"/>
      <w:marTop w:val="0"/>
      <w:marBottom w:val="0"/>
      <w:divBdr>
        <w:top w:val="none" w:sz="0" w:space="0" w:color="auto"/>
        <w:left w:val="none" w:sz="0" w:space="0" w:color="auto"/>
        <w:bottom w:val="none" w:sz="0" w:space="0" w:color="auto"/>
        <w:right w:val="none" w:sz="0" w:space="0" w:color="auto"/>
      </w:divBdr>
    </w:div>
    <w:div w:id="601498852">
      <w:bodyDiv w:val="1"/>
      <w:marLeft w:val="0"/>
      <w:marRight w:val="0"/>
      <w:marTop w:val="0"/>
      <w:marBottom w:val="0"/>
      <w:divBdr>
        <w:top w:val="none" w:sz="0" w:space="0" w:color="auto"/>
        <w:left w:val="none" w:sz="0" w:space="0" w:color="auto"/>
        <w:bottom w:val="none" w:sz="0" w:space="0" w:color="auto"/>
        <w:right w:val="none" w:sz="0" w:space="0" w:color="auto"/>
      </w:divBdr>
    </w:div>
    <w:div w:id="601649206">
      <w:bodyDiv w:val="1"/>
      <w:marLeft w:val="0"/>
      <w:marRight w:val="0"/>
      <w:marTop w:val="0"/>
      <w:marBottom w:val="0"/>
      <w:divBdr>
        <w:top w:val="none" w:sz="0" w:space="0" w:color="auto"/>
        <w:left w:val="none" w:sz="0" w:space="0" w:color="auto"/>
        <w:bottom w:val="none" w:sz="0" w:space="0" w:color="auto"/>
        <w:right w:val="none" w:sz="0" w:space="0" w:color="auto"/>
      </w:divBdr>
    </w:div>
    <w:div w:id="603150302">
      <w:bodyDiv w:val="1"/>
      <w:marLeft w:val="0"/>
      <w:marRight w:val="0"/>
      <w:marTop w:val="0"/>
      <w:marBottom w:val="0"/>
      <w:divBdr>
        <w:top w:val="none" w:sz="0" w:space="0" w:color="auto"/>
        <w:left w:val="none" w:sz="0" w:space="0" w:color="auto"/>
        <w:bottom w:val="none" w:sz="0" w:space="0" w:color="auto"/>
        <w:right w:val="none" w:sz="0" w:space="0" w:color="auto"/>
      </w:divBdr>
    </w:div>
    <w:div w:id="603152975">
      <w:bodyDiv w:val="1"/>
      <w:marLeft w:val="0"/>
      <w:marRight w:val="0"/>
      <w:marTop w:val="0"/>
      <w:marBottom w:val="0"/>
      <w:divBdr>
        <w:top w:val="none" w:sz="0" w:space="0" w:color="auto"/>
        <w:left w:val="none" w:sz="0" w:space="0" w:color="auto"/>
        <w:bottom w:val="none" w:sz="0" w:space="0" w:color="auto"/>
        <w:right w:val="none" w:sz="0" w:space="0" w:color="auto"/>
      </w:divBdr>
    </w:div>
    <w:div w:id="603923850">
      <w:bodyDiv w:val="1"/>
      <w:marLeft w:val="0"/>
      <w:marRight w:val="0"/>
      <w:marTop w:val="0"/>
      <w:marBottom w:val="0"/>
      <w:divBdr>
        <w:top w:val="none" w:sz="0" w:space="0" w:color="auto"/>
        <w:left w:val="none" w:sz="0" w:space="0" w:color="auto"/>
        <w:bottom w:val="none" w:sz="0" w:space="0" w:color="auto"/>
        <w:right w:val="none" w:sz="0" w:space="0" w:color="auto"/>
      </w:divBdr>
    </w:div>
    <w:div w:id="605114395">
      <w:bodyDiv w:val="1"/>
      <w:marLeft w:val="0"/>
      <w:marRight w:val="0"/>
      <w:marTop w:val="0"/>
      <w:marBottom w:val="0"/>
      <w:divBdr>
        <w:top w:val="none" w:sz="0" w:space="0" w:color="auto"/>
        <w:left w:val="none" w:sz="0" w:space="0" w:color="auto"/>
        <w:bottom w:val="none" w:sz="0" w:space="0" w:color="auto"/>
        <w:right w:val="none" w:sz="0" w:space="0" w:color="auto"/>
      </w:divBdr>
    </w:div>
    <w:div w:id="605121596">
      <w:bodyDiv w:val="1"/>
      <w:marLeft w:val="0"/>
      <w:marRight w:val="0"/>
      <w:marTop w:val="0"/>
      <w:marBottom w:val="0"/>
      <w:divBdr>
        <w:top w:val="none" w:sz="0" w:space="0" w:color="auto"/>
        <w:left w:val="none" w:sz="0" w:space="0" w:color="auto"/>
        <w:bottom w:val="none" w:sz="0" w:space="0" w:color="auto"/>
        <w:right w:val="none" w:sz="0" w:space="0" w:color="auto"/>
      </w:divBdr>
    </w:div>
    <w:div w:id="605501058">
      <w:bodyDiv w:val="1"/>
      <w:marLeft w:val="0"/>
      <w:marRight w:val="0"/>
      <w:marTop w:val="0"/>
      <w:marBottom w:val="0"/>
      <w:divBdr>
        <w:top w:val="none" w:sz="0" w:space="0" w:color="auto"/>
        <w:left w:val="none" w:sz="0" w:space="0" w:color="auto"/>
        <w:bottom w:val="none" w:sz="0" w:space="0" w:color="auto"/>
        <w:right w:val="none" w:sz="0" w:space="0" w:color="auto"/>
      </w:divBdr>
    </w:div>
    <w:div w:id="605817487">
      <w:bodyDiv w:val="1"/>
      <w:marLeft w:val="0"/>
      <w:marRight w:val="0"/>
      <w:marTop w:val="0"/>
      <w:marBottom w:val="0"/>
      <w:divBdr>
        <w:top w:val="none" w:sz="0" w:space="0" w:color="auto"/>
        <w:left w:val="none" w:sz="0" w:space="0" w:color="auto"/>
        <w:bottom w:val="none" w:sz="0" w:space="0" w:color="auto"/>
        <w:right w:val="none" w:sz="0" w:space="0" w:color="auto"/>
      </w:divBdr>
    </w:div>
    <w:div w:id="605888086">
      <w:bodyDiv w:val="1"/>
      <w:marLeft w:val="0"/>
      <w:marRight w:val="0"/>
      <w:marTop w:val="0"/>
      <w:marBottom w:val="0"/>
      <w:divBdr>
        <w:top w:val="none" w:sz="0" w:space="0" w:color="auto"/>
        <w:left w:val="none" w:sz="0" w:space="0" w:color="auto"/>
        <w:bottom w:val="none" w:sz="0" w:space="0" w:color="auto"/>
        <w:right w:val="none" w:sz="0" w:space="0" w:color="auto"/>
      </w:divBdr>
    </w:div>
    <w:div w:id="605964474">
      <w:bodyDiv w:val="1"/>
      <w:marLeft w:val="0"/>
      <w:marRight w:val="0"/>
      <w:marTop w:val="0"/>
      <w:marBottom w:val="0"/>
      <w:divBdr>
        <w:top w:val="none" w:sz="0" w:space="0" w:color="auto"/>
        <w:left w:val="none" w:sz="0" w:space="0" w:color="auto"/>
        <w:bottom w:val="none" w:sz="0" w:space="0" w:color="auto"/>
        <w:right w:val="none" w:sz="0" w:space="0" w:color="auto"/>
      </w:divBdr>
    </w:div>
    <w:div w:id="606036270">
      <w:bodyDiv w:val="1"/>
      <w:marLeft w:val="0"/>
      <w:marRight w:val="0"/>
      <w:marTop w:val="0"/>
      <w:marBottom w:val="0"/>
      <w:divBdr>
        <w:top w:val="none" w:sz="0" w:space="0" w:color="auto"/>
        <w:left w:val="none" w:sz="0" w:space="0" w:color="auto"/>
        <w:bottom w:val="none" w:sz="0" w:space="0" w:color="auto"/>
        <w:right w:val="none" w:sz="0" w:space="0" w:color="auto"/>
      </w:divBdr>
    </w:div>
    <w:div w:id="606037774">
      <w:bodyDiv w:val="1"/>
      <w:marLeft w:val="0"/>
      <w:marRight w:val="0"/>
      <w:marTop w:val="0"/>
      <w:marBottom w:val="0"/>
      <w:divBdr>
        <w:top w:val="none" w:sz="0" w:space="0" w:color="auto"/>
        <w:left w:val="none" w:sz="0" w:space="0" w:color="auto"/>
        <w:bottom w:val="none" w:sz="0" w:space="0" w:color="auto"/>
        <w:right w:val="none" w:sz="0" w:space="0" w:color="auto"/>
      </w:divBdr>
    </w:div>
    <w:div w:id="606545681">
      <w:bodyDiv w:val="1"/>
      <w:marLeft w:val="0"/>
      <w:marRight w:val="0"/>
      <w:marTop w:val="0"/>
      <w:marBottom w:val="0"/>
      <w:divBdr>
        <w:top w:val="none" w:sz="0" w:space="0" w:color="auto"/>
        <w:left w:val="none" w:sz="0" w:space="0" w:color="auto"/>
        <w:bottom w:val="none" w:sz="0" w:space="0" w:color="auto"/>
        <w:right w:val="none" w:sz="0" w:space="0" w:color="auto"/>
      </w:divBdr>
    </w:div>
    <w:div w:id="606667187">
      <w:bodyDiv w:val="1"/>
      <w:marLeft w:val="0"/>
      <w:marRight w:val="0"/>
      <w:marTop w:val="0"/>
      <w:marBottom w:val="0"/>
      <w:divBdr>
        <w:top w:val="none" w:sz="0" w:space="0" w:color="auto"/>
        <w:left w:val="none" w:sz="0" w:space="0" w:color="auto"/>
        <w:bottom w:val="none" w:sz="0" w:space="0" w:color="auto"/>
        <w:right w:val="none" w:sz="0" w:space="0" w:color="auto"/>
      </w:divBdr>
    </w:div>
    <w:div w:id="607197924">
      <w:bodyDiv w:val="1"/>
      <w:marLeft w:val="0"/>
      <w:marRight w:val="0"/>
      <w:marTop w:val="0"/>
      <w:marBottom w:val="0"/>
      <w:divBdr>
        <w:top w:val="none" w:sz="0" w:space="0" w:color="auto"/>
        <w:left w:val="none" w:sz="0" w:space="0" w:color="auto"/>
        <w:bottom w:val="none" w:sz="0" w:space="0" w:color="auto"/>
        <w:right w:val="none" w:sz="0" w:space="0" w:color="auto"/>
      </w:divBdr>
    </w:div>
    <w:div w:id="607271587">
      <w:bodyDiv w:val="1"/>
      <w:marLeft w:val="0"/>
      <w:marRight w:val="0"/>
      <w:marTop w:val="0"/>
      <w:marBottom w:val="0"/>
      <w:divBdr>
        <w:top w:val="none" w:sz="0" w:space="0" w:color="auto"/>
        <w:left w:val="none" w:sz="0" w:space="0" w:color="auto"/>
        <w:bottom w:val="none" w:sz="0" w:space="0" w:color="auto"/>
        <w:right w:val="none" w:sz="0" w:space="0" w:color="auto"/>
      </w:divBdr>
    </w:div>
    <w:div w:id="607784131">
      <w:bodyDiv w:val="1"/>
      <w:marLeft w:val="0"/>
      <w:marRight w:val="0"/>
      <w:marTop w:val="0"/>
      <w:marBottom w:val="0"/>
      <w:divBdr>
        <w:top w:val="none" w:sz="0" w:space="0" w:color="auto"/>
        <w:left w:val="none" w:sz="0" w:space="0" w:color="auto"/>
        <w:bottom w:val="none" w:sz="0" w:space="0" w:color="auto"/>
        <w:right w:val="none" w:sz="0" w:space="0" w:color="auto"/>
      </w:divBdr>
    </w:div>
    <w:div w:id="607813613">
      <w:bodyDiv w:val="1"/>
      <w:marLeft w:val="0"/>
      <w:marRight w:val="0"/>
      <w:marTop w:val="0"/>
      <w:marBottom w:val="0"/>
      <w:divBdr>
        <w:top w:val="none" w:sz="0" w:space="0" w:color="auto"/>
        <w:left w:val="none" w:sz="0" w:space="0" w:color="auto"/>
        <w:bottom w:val="none" w:sz="0" w:space="0" w:color="auto"/>
        <w:right w:val="none" w:sz="0" w:space="0" w:color="auto"/>
      </w:divBdr>
    </w:div>
    <w:div w:id="608196293">
      <w:bodyDiv w:val="1"/>
      <w:marLeft w:val="0"/>
      <w:marRight w:val="0"/>
      <w:marTop w:val="0"/>
      <w:marBottom w:val="0"/>
      <w:divBdr>
        <w:top w:val="none" w:sz="0" w:space="0" w:color="auto"/>
        <w:left w:val="none" w:sz="0" w:space="0" w:color="auto"/>
        <w:bottom w:val="none" w:sz="0" w:space="0" w:color="auto"/>
        <w:right w:val="none" w:sz="0" w:space="0" w:color="auto"/>
      </w:divBdr>
    </w:div>
    <w:div w:id="608315892">
      <w:bodyDiv w:val="1"/>
      <w:marLeft w:val="0"/>
      <w:marRight w:val="0"/>
      <w:marTop w:val="0"/>
      <w:marBottom w:val="0"/>
      <w:divBdr>
        <w:top w:val="none" w:sz="0" w:space="0" w:color="auto"/>
        <w:left w:val="none" w:sz="0" w:space="0" w:color="auto"/>
        <w:bottom w:val="none" w:sz="0" w:space="0" w:color="auto"/>
        <w:right w:val="none" w:sz="0" w:space="0" w:color="auto"/>
      </w:divBdr>
    </w:div>
    <w:div w:id="608396058">
      <w:bodyDiv w:val="1"/>
      <w:marLeft w:val="0"/>
      <w:marRight w:val="0"/>
      <w:marTop w:val="0"/>
      <w:marBottom w:val="0"/>
      <w:divBdr>
        <w:top w:val="none" w:sz="0" w:space="0" w:color="auto"/>
        <w:left w:val="none" w:sz="0" w:space="0" w:color="auto"/>
        <w:bottom w:val="none" w:sz="0" w:space="0" w:color="auto"/>
        <w:right w:val="none" w:sz="0" w:space="0" w:color="auto"/>
      </w:divBdr>
    </w:div>
    <w:div w:id="608438977">
      <w:bodyDiv w:val="1"/>
      <w:marLeft w:val="0"/>
      <w:marRight w:val="0"/>
      <w:marTop w:val="0"/>
      <w:marBottom w:val="0"/>
      <w:divBdr>
        <w:top w:val="none" w:sz="0" w:space="0" w:color="auto"/>
        <w:left w:val="none" w:sz="0" w:space="0" w:color="auto"/>
        <w:bottom w:val="none" w:sz="0" w:space="0" w:color="auto"/>
        <w:right w:val="none" w:sz="0" w:space="0" w:color="auto"/>
      </w:divBdr>
    </w:div>
    <w:div w:id="608467926">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08584591">
      <w:bodyDiv w:val="1"/>
      <w:marLeft w:val="0"/>
      <w:marRight w:val="0"/>
      <w:marTop w:val="0"/>
      <w:marBottom w:val="0"/>
      <w:divBdr>
        <w:top w:val="none" w:sz="0" w:space="0" w:color="auto"/>
        <w:left w:val="none" w:sz="0" w:space="0" w:color="auto"/>
        <w:bottom w:val="none" w:sz="0" w:space="0" w:color="auto"/>
        <w:right w:val="none" w:sz="0" w:space="0" w:color="auto"/>
      </w:divBdr>
    </w:div>
    <w:div w:id="608586871">
      <w:bodyDiv w:val="1"/>
      <w:marLeft w:val="0"/>
      <w:marRight w:val="0"/>
      <w:marTop w:val="0"/>
      <w:marBottom w:val="0"/>
      <w:divBdr>
        <w:top w:val="none" w:sz="0" w:space="0" w:color="auto"/>
        <w:left w:val="none" w:sz="0" w:space="0" w:color="auto"/>
        <w:bottom w:val="none" w:sz="0" w:space="0" w:color="auto"/>
        <w:right w:val="none" w:sz="0" w:space="0" w:color="auto"/>
      </w:divBdr>
    </w:div>
    <w:div w:id="608856371">
      <w:bodyDiv w:val="1"/>
      <w:marLeft w:val="0"/>
      <w:marRight w:val="0"/>
      <w:marTop w:val="0"/>
      <w:marBottom w:val="0"/>
      <w:divBdr>
        <w:top w:val="none" w:sz="0" w:space="0" w:color="auto"/>
        <w:left w:val="none" w:sz="0" w:space="0" w:color="auto"/>
        <w:bottom w:val="none" w:sz="0" w:space="0" w:color="auto"/>
        <w:right w:val="none" w:sz="0" w:space="0" w:color="auto"/>
      </w:divBdr>
    </w:div>
    <w:div w:id="609120241">
      <w:bodyDiv w:val="1"/>
      <w:marLeft w:val="0"/>
      <w:marRight w:val="0"/>
      <w:marTop w:val="0"/>
      <w:marBottom w:val="0"/>
      <w:divBdr>
        <w:top w:val="none" w:sz="0" w:space="0" w:color="auto"/>
        <w:left w:val="none" w:sz="0" w:space="0" w:color="auto"/>
        <w:bottom w:val="none" w:sz="0" w:space="0" w:color="auto"/>
        <w:right w:val="none" w:sz="0" w:space="0" w:color="auto"/>
      </w:divBdr>
    </w:div>
    <w:div w:id="609313851">
      <w:bodyDiv w:val="1"/>
      <w:marLeft w:val="0"/>
      <w:marRight w:val="0"/>
      <w:marTop w:val="0"/>
      <w:marBottom w:val="0"/>
      <w:divBdr>
        <w:top w:val="none" w:sz="0" w:space="0" w:color="auto"/>
        <w:left w:val="none" w:sz="0" w:space="0" w:color="auto"/>
        <w:bottom w:val="none" w:sz="0" w:space="0" w:color="auto"/>
        <w:right w:val="none" w:sz="0" w:space="0" w:color="auto"/>
      </w:divBdr>
    </w:div>
    <w:div w:id="609552393">
      <w:bodyDiv w:val="1"/>
      <w:marLeft w:val="0"/>
      <w:marRight w:val="0"/>
      <w:marTop w:val="0"/>
      <w:marBottom w:val="0"/>
      <w:divBdr>
        <w:top w:val="none" w:sz="0" w:space="0" w:color="auto"/>
        <w:left w:val="none" w:sz="0" w:space="0" w:color="auto"/>
        <w:bottom w:val="none" w:sz="0" w:space="0" w:color="auto"/>
        <w:right w:val="none" w:sz="0" w:space="0" w:color="auto"/>
      </w:divBdr>
    </w:div>
    <w:div w:id="609701240">
      <w:bodyDiv w:val="1"/>
      <w:marLeft w:val="0"/>
      <w:marRight w:val="0"/>
      <w:marTop w:val="0"/>
      <w:marBottom w:val="0"/>
      <w:divBdr>
        <w:top w:val="none" w:sz="0" w:space="0" w:color="auto"/>
        <w:left w:val="none" w:sz="0" w:space="0" w:color="auto"/>
        <w:bottom w:val="none" w:sz="0" w:space="0" w:color="auto"/>
        <w:right w:val="none" w:sz="0" w:space="0" w:color="auto"/>
      </w:divBdr>
    </w:div>
    <w:div w:id="609706697">
      <w:bodyDiv w:val="1"/>
      <w:marLeft w:val="0"/>
      <w:marRight w:val="0"/>
      <w:marTop w:val="0"/>
      <w:marBottom w:val="0"/>
      <w:divBdr>
        <w:top w:val="none" w:sz="0" w:space="0" w:color="auto"/>
        <w:left w:val="none" w:sz="0" w:space="0" w:color="auto"/>
        <w:bottom w:val="none" w:sz="0" w:space="0" w:color="auto"/>
        <w:right w:val="none" w:sz="0" w:space="0" w:color="auto"/>
      </w:divBdr>
    </w:div>
    <w:div w:id="609748951">
      <w:bodyDiv w:val="1"/>
      <w:marLeft w:val="0"/>
      <w:marRight w:val="0"/>
      <w:marTop w:val="0"/>
      <w:marBottom w:val="0"/>
      <w:divBdr>
        <w:top w:val="none" w:sz="0" w:space="0" w:color="auto"/>
        <w:left w:val="none" w:sz="0" w:space="0" w:color="auto"/>
        <w:bottom w:val="none" w:sz="0" w:space="0" w:color="auto"/>
        <w:right w:val="none" w:sz="0" w:space="0" w:color="auto"/>
      </w:divBdr>
    </w:div>
    <w:div w:id="610162807">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10429880">
      <w:bodyDiv w:val="1"/>
      <w:marLeft w:val="0"/>
      <w:marRight w:val="0"/>
      <w:marTop w:val="0"/>
      <w:marBottom w:val="0"/>
      <w:divBdr>
        <w:top w:val="none" w:sz="0" w:space="0" w:color="auto"/>
        <w:left w:val="none" w:sz="0" w:space="0" w:color="auto"/>
        <w:bottom w:val="none" w:sz="0" w:space="0" w:color="auto"/>
        <w:right w:val="none" w:sz="0" w:space="0" w:color="auto"/>
      </w:divBdr>
    </w:div>
    <w:div w:id="610666201">
      <w:bodyDiv w:val="1"/>
      <w:marLeft w:val="0"/>
      <w:marRight w:val="0"/>
      <w:marTop w:val="0"/>
      <w:marBottom w:val="0"/>
      <w:divBdr>
        <w:top w:val="none" w:sz="0" w:space="0" w:color="auto"/>
        <w:left w:val="none" w:sz="0" w:space="0" w:color="auto"/>
        <w:bottom w:val="none" w:sz="0" w:space="0" w:color="auto"/>
        <w:right w:val="none" w:sz="0" w:space="0" w:color="auto"/>
      </w:divBdr>
    </w:div>
    <w:div w:id="610867729">
      <w:bodyDiv w:val="1"/>
      <w:marLeft w:val="0"/>
      <w:marRight w:val="0"/>
      <w:marTop w:val="0"/>
      <w:marBottom w:val="0"/>
      <w:divBdr>
        <w:top w:val="none" w:sz="0" w:space="0" w:color="auto"/>
        <w:left w:val="none" w:sz="0" w:space="0" w:color="auto"/>
        <w:bottom w:val="none" w:sz="0" w:space="0" w:color="auto"/>
        <w:right w:val="none" w:sz="0" w:space="0" w:color="auto"/>
      </w:divBdr>
    </w:div>
    <w:div w:id="611203280">
      <w:bodyDiv w:val="1"/>
      <w:marLeft w:val="0"/>
      <w:marRight w:val="0"/>
      <w:marTop w:val="0"/>
      <w:marBottom w:val="0"/>
      <w:divBdr>
        <w:top w:val="none" w:sz="0" w:space="0" w:color="auto"/>
        <w:left w:val="none" w:sz="0" w:space="0" w:color="auto"/>
        <w:bottom w:val="none" w:sz="0" w:space="0" w:color="auto"/>
        <w:right w:val="none" w:sz="0" w:space="0" w:color="auto"/>
      </w:divBdr>
    </w:div>
    <w:div w:id="611283497">
      <w:bodyDiv w:val="1"/>
      <w:marLeft w:val="0"/>
      <w:marRight w:val="0"/>
      <w:marTop w:val="0"/>
      <w:marBottom w:val="0"/>
      <w:divBdr>
        <w:top w:val="none" w:sz="0" w:space="0" w:color="auto"/>
        <w:left w:val="none" w:sz="0" w:space="0" w:color="auto"/>
        <w:bottom w:val="none" w:sz="0" w:space="0" w:color="auto"/>
        <w:right w:val="none" w:sz="0" w:space="0" w:color="auto"/>
      </w:divBdr>
    </w:div>
    <w:div w:id="611399087">
      <w:bodyDiv w:val="1"/>
      <w:marLeft w:val="0"/>
      <w:marRight w:val="0"/>
      <w:marTop w:val="0"/>
      <w:marBottom w:val="0"/>
      <w:divBdr>
        <w:top w:val="none" w:sz="0" w:space="0" w:color="auto"/>
        <w:left w:val="none" w:sz="0" w:space="0" w:color="auto"/>
        <w:bottom w:val="none" w:sz="0" w:space="0" w:color="auto"/>
        <w:right w:val="none" w:sz="0" w:space="0" w:color="auto"/>
      </w:divBdr>
    </w:div>
    <w:div w:id="611478155">
      <w:bodyDiv w:val="1"/>
      <w:marLeft w:val="0"/>
      <w:marRight w:val="0"/>
      <w:marTop w:val="0"/>
      <w:marBottom w:val="0"/>
      <w:divBdr>
        <w:top w:val="none" w:sz="0" w:space="0" w:color="auto"/>
        <w:left w:val="none" w:sz="0" w:space="0" w:color="auto"/>
        <w:bottom w:val="none" w:sz="0" w:space="0" w:color="auto"/>
        <w:right w:val="none" w:sz="0" w:space="0" w:color="auto"/>
      </w:divBdr>
    </w:div>
    <w:div w:id="612172442">
      <w:bodyDiv w:val="1"/>
      <w:marLeft w:val="0"/>
      <w:marRight w:val="0"/>
      <w:marTop w:val="0"/>
      <w:marBottom w:val="0"/>
      <w:divBdr>
        <w:top w:val="none" w:sz="0" w:space="0" w:color="auto"/>
        <w:left w:val="none" w:sz="0" w:space="0" w:color="auto"/>
        <w:bottom w:val="none" w:sz="0" w:space="0" w:color="auto"/>
        <w:right w:val="none" w:sz="0" w:space="0" w:color="auto"/>
      </w:divBdr>
    </w:div>
    <w:div w:id="613025502">
      <w:bodyDiv w:val="1"/>
      <w:marLeft w:val="0"/>
      <w:marRight w:val="0"/>
      <w:marTop w:val="0"/>
      <w:marBottom w:val="0"/>
      <w:divBdr>
        <w:top w:val="none" w:sz="0" w:space="0" w:color="auto"/>
        <w:left w:val="none" w:sz="0" w:space="0" w:color="auto"/>
        <w:bottom w:val="none" w:sz="0" w:space="0" w:color="auto"/>
        <w:right w:val="none" w:sz="0" w:space="0" w:color="auto"/>
      </w:divBdr>
    </w:div>
    <w:div w:id="613293469">
      <w:bodyDiv w:val="1"/>
      <w:marLeft w:val="0"/>
      <w:marRight w:val="0"/>
      <w:marTop w:val="0"/>
      <w:marBottom w:val="0"/>
      <w:divBdr>
        <w:top w:val="none" w:sz="0" w:space="0" w:color="auto"/>
        <w:left w:val="none" w:sz="0" w:space="0" w:color="auto"/>
        <w:bottom w:val="none" w:sz="0" w:space="0" w:color="auto"/>
        <w:right w:val="none" w:sz="0" w:space="0" w:color="auto"/>
      </w:divBdr>
    </w:div>
    <w:div w:id="613364619">
      <w:bodyDiv w:val="1"/>
      <w:marLeft w:val="0"/>
      <w:marRight w:val="0"/>
      <w:marTop w:val="0"/>
      <w:marBottom w:val="0"/>
      <w:divBdr>
        <w:top w:val="none" w:sz="0" w:space="0" w:color="auto"/>
        <w:left w:val="none" w:sz="0" w:space="0" w:color="auto"/>
        <w:bottom w:val="none" w:sz="0" w:space="0" w:color="auto"/>
        <w:right w:val="none" w:sz="0" w:space="0" w:color="auto"/>
      </w:divBdr>
    </w:div>
    <w:div w:id="613825375">
      <w:bodyDiv w:val="1"/>
      <w:marLeft w:val="0"/>
      <w:marRight w:val="0"/>
      <w:marTop w:val="0"/>
      <w:marBottom w:val="0"/>
      <w:divBdr>
        <w:top w:val="none" w:sz="0" w:space="0" w:color="auto"/>
        <w:left w:val="none" w:sz="0" w:space="0" w:color="auto"/>
        <w:bottom w:val="none" w:sz="0" w:space="0" w:color="auto"/>
        <w:right w:val="none" w:sz="0" w:space="0" w:color="auto"/>
      </w:divBdr>
    </w:div>
    <w:div w:id="613833102">
      <w:bodyDiv w:val="1"/>
      <w:marLeft w:val="0"/>
      <w:marRight w:val="0"/>
      <w:marTop w:val="0"/>
      <w:marBottom w:val="0"/>
      <w:divBdr>
        <w:top w:val="none" w:sz="0" w:space="0" w:color="auto"/>
        <w:left w:val="none" w:sz="0" w:space="0" w:color="auto"/>
        <w:bottom w:val="none" w:sz="0" w:space="0" w:color="auto"/>
        <w:right w:val="none" w:sz="0" w:space="0" w:color="auto"/>
      </w:divBdr>
    </w:div>
    <w:div w:id="613900757">
      <w:bodyDiv w:val="1"/>
      <w:marLeft w:val="0"/>
      <w:marRight w:val="0"/>
      <w:marTop w:val="0"/>
      <w:marBottom w:val="0"/>
      <w:divBdr>
        <w:top w:val="none" w:sz="0" w:space="0" w:color="auto"/>
        <w:left w:val="none" w:sz="0" w:space="0" w:color="auto"/>
        <w:bottom w:val="none" w:sz="0" w:space="0" w:color="auto"/>
        <w:right w:val="none" w:sz="0" w:space="0" w:color="auto"/>
      </w:divBdr>
    </w:div>
    <w:div w:id="614094701">
      <w:bodyDiv w:val="1"/>
      <w:marLeft w:val="0"/>
      <w:marRight w:val="0"/>
      <w:marTop w:val="0"/>
      <w:marBottom w:val="0"/>
      <w:divBdr>
        <w:top w:val="none" w:sz="0" w:space="0" w:color="auto"/>
        <w:left w:val="none" w:sz="0" w:space="0" w:color="auto"/>
        <w:bottom w:val="none" w:sz="0" w:space="0" w:color="auto"/>
        <w:right w:val="none" w:sz="0" w:space="0" w:color="auto"/>
      </w:divBdr>
    </w:div>
    <w:div w:id="614287620">
      <w:bodyDiv w:val="1"/>
      <w:marLeft w:val="0"/>
      <w:marRight w:val="0"/>
      <w:marTop w:val="0"/>
      <w:marBottom w:val="0"/>
      <w:divBdr>
        <w:top w:val="none" w:sz="0" w:space="0" w:color="auto"/>
        <w:left w:val="none" w:sz="0" w:space="0" w:color="auto"/>
        <w:bottom w:val="none" w:sz="0" w:space="0" w:color="auto"/>
        <w:right w:val="none" w:sz="0" w:space="0" w:color="auto"/>
      </w:divBdr>
    </w:div>
    <w:div w:id="614482185">
      <w:bodyDiv w:val="1"/>
      <w:marLeft w:val="0"/>
      <w:marRight w:val="0"/>
      <w:marTop w:val="0"/>
      <w:marBottom w:val="0"/>
      <w:divBdr>
        <w:top w:val="none" w:sz="0" w:space="0" w:color="auto"/>
        <w:left w:val="none" w:sz="0" w:space="0" w:color="auto"/>
        <w:bottom w:val="none" w:sz="0" w:space="0" w:color="auto"/>
        <w:right w:val="none" w:sz="0" w:space="0" w:color="auto"/>
      </w:divBdr>
    </w:div>
    <w:div w:id="614562933">
      <w:bodyDiv w:val="1"/>
      <w:marLeft w:val="0"/>
      <w:marRight w:val="0"/>
      <w:marTop w:val="0"/>
      <w:marBottom w:val="0"/>
      <w:divBdr>
        <w:top w:val="none" w:sz="0" w:space="0" w:color="auto"/>
        <w:left w:val="none" w:sz="0" w:space="0" w:color="auto"/>
        <w:bottom w:val="none" w:sz="0" w:space="0" w:color="auto"/>
        <w:right w:val="none" w:sz="0" w:space="0" w:color="auto"/>
      </w:divBdr>
    </w:div>
    <w:div w:id="614600363">
      <w:bodyDiv w:val="1"/>
      <w:marLeft w:val="0"/>
      <w:marRight w:val="0"/>
      <w:marTop w:val="0"/>
      <w:marBottom w:val="0"/>
      <w:divBdr>
        <w:top w:val="none" w:sz="0" w:space="0" w:color="auto"/>
        <w:left w:val="none" w:sz="0" w:space="0" w:color="auto"/>
        <w:bottom w:val="none" w:sz="0" w:space="0" w:color="auto"/>
        <w:right w:val="none" w:sz="0" w:space="0" w:color="auto"/>
      </w:divBdr>
    </w:div>
    <w:div w:id="614680035">
      <w:bodyDiv w:val="1"/>
      <w:marLeft w:val="0"/>
      <w:marRight w:val="0"/>
      <w:marTop w:val="0"/>
      <w:marBottom w:val="0"/>
      <w:divBdr>
        <w:top w:val="none" w:sz="0" w:space="0" w:color="auto"/>
        <w:left w:val="none" w:sz="0" w:space="0" w:color="auto"/>
        <w:bottom w:val="none" w:sz="0" w:space="0" w:color="auto"/>
        <w:right w:val="none" w:sz="0" w:space="0" w:color="auto"/>
      </w:divBdr>
    </w:div>
    <w:div w:id="615451306">
      <w:bodyDiv w:val="1"/>
      <w:marLeft w:val="0"/>
      <w:marRight w:val="0"/>
      <w:marTop w:val="0"/>
      <w:marBottom w:val="0"/>
      <w:divBdr>
        <w:top w:val="none" w:sz="0" w:space="0" w:color="auto"/>
        <w:left w:val="none" w:sz="0" w:space="0" w:color="auto"/>
        <w:bottom w:val="none" w:sz="0" w:space="0" w:color="auto"/>
        <w:right w:val="none" w:sz="0" w:space="0" w:color="auto"/>
      </w:divBdr>
    </w:div>
    <w:div w:id="615527748">
      <w:bodyDiv w:val="1"/>
      <w:marLeft w:val="0"/>
      <w:marRight w:val="0"/>
      <w:marTop w:val="0"/>
      <w:marBottom w:val="0"/>
      <w:divBdr>
        <w:top w:val="none" w:sz="0" w:space="0" w:color="auto"/>
        <w:left w:val="none" w:sz="0" w:space="0" w:color="auto"/>
        <w:bottom w:val="none" w:sz="0" w:space="0" w:color="auto"/>
        <w:right w:val="none" w:sz="0" w:space="0" w:color="auto"/>
      </w:divBdr>
    </w:div>
    <w:div w:id="615986213">
      <w:bodyDiv w:val="1"/>
      <w:marLeft w:val="0"/>
      <w:marRight w:val="0"/>
      <w:marTop w:val="0"/>
      <w:marBottom w:val="0"/>
      <w:divBdr>
        <w:top w:val="none" w:sz="0" w:space="0" w:color="auto"/>
        <w:left w:val="none" w:sz="0" w:space="0" w:color="auto"/>
        <w:bottom w:val="none" w:sz="0" w:space="0" w:color="auto"/>
        <w:right w:val="none" w:sz="0" w:space="0" w:color="auto"/>
      </w:divBdr>
    </w:div>
    <w:div w:id="616108649">
      <w:bodyDiv w:val="1"/>
      <w:marLeft w:val="0"/>
      <w:marRight w:val="0"/>
      <w:marTop w:val="0"/>
      <w:marBottom w:val="0"/>
      <w:divBdr>
        <w:top w:val="none" w:sz="0" w:space="0" w:color="auto"/>
        <w:left w:val="none" w:sz="0" w:space="0" w:color="auto"/>
        <w:bottom w:val="none" w:sz="0" w:space="0" w:color="auto"/>
        <w:right w:val="none" w:sz="0" w:space="0" w:color="auto"/>
      </w:divBdr>
    </w:div>
    <w:div w:id="616378473">
      <w:bodyDiv w:val="1"/>
      <w:marLeft w:val="0"/>
      <w:marRight w:val="0"/>
      <w:marTop w:val="0"/>
      <w:marBottom w:val="0"/>
      <w:divBdr>
        <w:top w:val="none" w:sz="0" w:space="0" w:color="auto"/>
        <w:left w:val="none" w:sz="0" w:space="0" w:color="auto"/>
        <w:bottom w:val="none" w:sz="0" w:space="0" w:color="auto"/>
        <w:right w:val="none" w:sz="0" w:space="0" w:color="auto"/>
      </w:divBdr>
    </w:div>
    <w:div w:id="616764834">
      <w:bodyDiv w:val="1"/>
      <w:marLeft w:val="0"/>
      <w:marRight w:val="0"/>
      <w:marTop w:val="0"/>
      <w:marBottom w:val="0"/>
      <w:divBdr>
        <w:top w:val="none" w:sz="0" w:space="0" w:color="auto"/>
        <w:left w:val="none" w:sz="0" w:space="0" w:color="auto"/>
        <w:bottom w:val="none" w:sz="0" w:space="0" w:color="auto"/>
        <w:right w:val="none" w:sz="0" w:space="0" w:color="auto"/>
      </w:divBdr>
    </w:div>
    <w:div w:id="616834949">
      <w:bodyDiv w:val="1"/>
      <w:marLeft w:val="0"/>
      <w:marRight w:val="0"/>
      <w:marTop w:val="0"/>
      <w:marBottom w:val="0"/>
      <w:divBdr>
        <w:top w:val="none" w:sz="0" w:space="0" w:color="auto"/>
        <w:left w:val="none" w:sz="0" w:space="0" w:color="auto"/>
        <w:bottom w:val="none" w:sz="0" w:space="0" w:color="auto"/>
        <w:right w:val="none" w:sz="0" w:space="0" w:color="auto"/>
      </w:divBdr>
    </w:div>
    <w:div w:id="616837860">
      <w:bodyDiv w:val="1"/>
      <w:marLeft w:val="0"/>
      <w:marRight w:val="0"/>
      <w:marTop w:val="0"/>
      <w:marBottom w:val="0"/>
      <w:divBdr>
        <w:top w:val="none" w:sz="0" w:space="0" w:color="auto"/>
        <w:left w:val="none" w:sz="0" w:space="0" w:color="auto"/>
        <w:bottom w:val="none" w:sz="0" w:space="0" w:color="auto"/>
        <w:right w:val="none" w:sz="0" w:space="0" w:color="auto"/>
      </w:divBdr>
    </w:div>
    <w:div w:id="617026926">
      <w:bodyDiv w:val="1"/>
      <w:marLeft w:val="0"/>
      <w:marRight w:val="0"/>
      <w:marTop w:val="0"/>
      <w:marBottom w:val="0"/>
      <w:divBdr>
        <w:top w:val="none" w:sz="0" w:space="0" w:color="auto"/>
        <w:left w:val="none" w:sz="0" w:space="0" w:color="auto"/>
        <w:bottom w:val="none" w:sz="0" w:space="0" w:color="auto"/>
        <w:right w:val="none" w:sz="0" w:space="0" w:color="auto"/>
      </w:divBdr>
    </w:div>
    <w:div w:id="617029391">
      <w:bodyDiv w:val="1"/>
      <w:marLeft w:val="0"/>
      <w:marRight w:val="0"/>
      <w:marTop w:val="0"/>
      <w:marBottom w:val="0"/>
      <w:divBdr>
        <w:top w:val="none" w:sz="0" w:space="0" w:color="auto"/>
        <w:left w:val="none" w:sz="0" w:space="0" w:color="auto"/>
        <w:bottom w:val="none" w:sz="0" w:space="0" w:color="auto"/>
        <w:right w:val="none" w:sz="0" w:space="0" w:color="auto"/>
      </w:divBdr>
    </w:div>
    <w:div w:id="617034059">
      <w:bodyDiv w:val="1"/>
      <w:marLeft w:val="0"/>
      <w:marRight w:val="0"/>
      <w:marTop w:val="0"/>
      <w:marBottom w:val="0"/>
      <w:divBdr>
        <w:top w:val="none" w:sz="0" w:space="0" w:color="auto"/>
        <w:left w:val="none" w:sz="0" w:space="0" w:color="auto"/>
        <w:bottom w:val="none" w:sz="0" w:space="0" w:color="auto"/>
        <w:right w:val="none" w:sz="0" w:space="0" w:color="auto"/>
      </w:divBdr>
    </w:div>
    <w:div w:id="617221782">
      <w:bodyDiv w:val="1"/>
      <w:marLeft w:val="0"/>
      <w:marRight w:val="0"/>
      <w:marTop w:val="0"/>
      <w:marBottom w:val="0"/>
      <w:divBdr>
        <w:top w:val="none" w:sz="0" w:space="0" w:color="auto"/>
        <w:left w:val="none" w:sz="0" w:space="0" w:color="auto"/>
        <w:bottom w:val="none" w:sz="0" w:space="0" w:color="auto"/>
        <w:right w:val="none" w:sz="0" w:space="0" w:color="auto"/>
      </w:divBdr>
    </w:div>
    <w:div w:id="617420404">
      <w:bodyDiv w:val="1"/>
      <w:marLeft w:val="0"/>
      <w:marRight w:val="0"/>
      <w:marTop w:val="0"/>
      <w:marBottom w:val="0"/>
      <w:divBdr>
        <w:top w:val="none" w:sz="0" w:space="0" w:color="auto"/>
        <w:left w:val="none" w:sz="0" w:space="0" w:color="auto"/>
        <w:bottom w:val="none" w:sz="0" w:space="0" w:color="auto"/>
        <w:right w:val="none" w:sz="0" w:space="0" w:color="auto"/>
      </w:divBdr>
    </w:div>
    <w:div w:id="617488270">
      <w:bodyDiv w:val="1"/>
      <w:marLeft w:val="0"/>
      <w:marRight w:val="0"/>
      <w:marTop w:val="0"/>
      <w:marBottom w:val="0"/>
      <w:divBdr>
        <w:top w:val="none" w:sz="0" w:space="0" w:color="auto"/>
        <w:left w:val="none" w:sz="0" w:space="0" w:color="auto"/>
        <w:bottom w:val="none" w:sz="0" w:space="0" w:color="auto"/>
        <w:right w:val="none" w:sz="0" w:space="0" w:color="auto"/>
      </w:divBdr>
    </w:div>
    <w:div w:id="617493881">
      <w:bodyDiv w:val="1"/>
      <w:marLeft w:val="0"/>
      <w:marRight w:val="0"/>
      <w:marTop w:val="0"/>
      <w:marBottom w:val="0"/>
      <w:divBdr>
        <w:top w:val="none" w:sz="0" w:space="0" w:color="auto"/>
        <w:left w:val="none" w:sz="0" w:space="0" w:color="auto"/>
        <w:bottom w:val="none" w:sz="0" w:space="0" w:color="auto"/>
        <w:right w:val="none" w:sz="0" w:space="0" w:color="auto"/>
      </w:divBdr>
    </w:div>
    <w:div w:id="617643424">
      <w:bodyDiv w:val="1"/>
      <w:marLeft w:val="0"/>
      <w:marRight w:val="0"/>
      <w:marTop w:val="0"/>
      <w:marBottom w:val="0"/>
      <w:divBdr>
        <w:top w:val="none" w:sz="0" w:space="0" w:color="auto"/>
        <w:left w:val="none" w:sz="0" w:space="0" w:color="auto"/>
        <w:bottom w:val="none" w:sz="0" w:space="0" w:color="auto"/>
        <w:right w:val="none" w:sz="0" w:space="0" w:color="auto"/>
      </w:divBdr>
    </w:div>
    <w:div w:id="618295660">
      <w:bodyDiv w:val="1"/>
      <w:marLeft w:val="0"/>
      <w:marRight w:val="0"/>
      <w:marTop w:val="0"/>
      <w:marBottom w:val="0"/>
      <w:divBdr>
        <w:top w:val="none" w:sz="0" w:space="0" w:color="auto"/>
        <w:left w:val="none" w:sz="0" w:space="0" w:color="auto"/>
        <w:bottom w:val="none" w:sz="0" w:space="0" w:color="auto"/>
        <w:right w:val="none" w:sz="0" w:space="0" w:color="auto"/>
      </w:divBdr>
    </w:div>
    <w:div w:id="619072745">
      <w:bodyDiv w:val="1"/>
      <w:marLeft w:val="0"/>
      <w:marRight w:val="0"/>
      <w:marTop w:val="0"/>
      <w:marBottom w:val="0"/>
      <w:divBdr>
        <w:top w:val="none" w:sz="0" w:space="0" w:color="auto"/>
        <w:left w:val="none" w:sz="0" w:space="0" w:color="auto"/>
        <w:bottom w:val="none" w:sz="0" w:space="0" w:color="auto"/>
        <w:right w:val="none" w:sz="0" w:space="0" w:color="auto"/>
      </w:divBdr>
    </w:div>
    <w:div w:id="619075195">
      <w:bodyDiv w:val="1"/>
      <w:marLeft w:val="0"/>
      <w:marRight w:val="0"/>
      <w:marTop w:val="0"/>
      <w:marBottom w:val="0"/>
      <w:divBdr>
        <w:top w:val="none" w:sz="0" w:space="0" w:color="auto"/>
        <w:left w:val="none" w:sz="0" w:space="0" w:color="auto"/>
        <w:bottom w:val="none" w:sz="0" w:space="0" w:color="auto"/>
        <w:right w:val="none" w:sz="0" w:space="0" w:color="auto"/>
      </w:divBdr>
    </w:div>
    <w:div w:id="619147728">
      <w:bodyDiv w:val="1"/>
      <w:marLeft w:val="0"/>
      <w:marRight w:val="0"/>
      <w:marTop w:val="0"/>
      <w:marBottom w:val="0"/>
      <w:divBdr>
        <w:top w:val="none" w:sz="0" w:space="0" w:color="auto"/>
        <w:left w:val="none" w:sz="0" w:space="0" w:color="auto"/>
        <w:bottom w:val="none" w:sz="0" w:space="0" w:color="auto"/>
        <w:right w:val="none" w:sz="0" w:space="0" w:color="auto"/>
      </w:divBdr>
    </w:div>
    <w:div w:id="619605691">
      <w:bodyDiv w:val="1"/>
      <w:marLeft w:val="0"/>
      <w:marRight w:val="0"/>
      <w:marTop w:val="0"/>
      <w:marBottom w:val="0"/>
      <w:divBdr>
        <w:top w:val="none" w:sz="0" w:space="0" w:color="auto"/>
        <w:left w:val="none" w:sz="0" w:space="0" w:color="auto"/>
        <w:bottom w:val="none" w:sz="0" w:space="0" w:color="auto"/>
        <w:right w:val="none" w:sz="0" w:space="0" w:color="auto"/>
      </w:divBdr>
    </w:div>
    <w:div w:id="620109171">
      <w:bodyDiv w:val="1"/>
      <w:marLeft w:val="0"/>
      <w:marRight w:val="0"/>
      <w:marTop w:val="0"/>
      <w:marBottom w:val="0"/>
      <w:divBdr>
        <w:top w:val="none" w:sz="0" w:space="0" w:color="auto"/>
        <w:left w:val="none" w:sz="0" w:space="0" w:color="auto"/>
        <w:bottom w:val="none" w:sz="0" w:space="0" w:color="auto"/>
        <w:right w:val="none" w:sz="0" w:space="0" w:color="auto"/>
      </w:divBdr>
    </w:div>
    <w:div w:id="620233606">
      <w:bodyDiv w:val="1"/>
      <w:marLeft w:val="0"/>
      <w:marRight w:val="0"/>
      <w:marTop w:val="0"/>
      <w:marBottom w:val="0"/>
      <w:divBdr>
        <w:top w:val="none" w:sz="0" w:space="0" w:color="auto"/>
        <w:left w:val="none" w:sz="0" w:space="0" w:color="auto"/>
        <w:bottom w:val="none" w:sz="0" w:space="0" w:color="auto"/>
        <w:right w:val="none" w:sz="0" w:space="0" w:color="auto"/>
      </w:divBdr>
    </w:div>
    <w:div w:id="620307089">
      <w:bodyDiv w:val="1"/>
      <w:marLeft w:val="0"/>
      <w:marRight w:val="0"/>
      <w:marTop w:val="0"/>
      <w:marBottom w:val="0"/>
      <w:divBdr>
        <w:top w:val="none" w:sz="0" w:space="0" w:color="auto"/>
        <w:left w:val="none" w:sz="0" w:space="0" w:color="auto"/>
        <w:bottom w:val="none" w:sz="0" w:space="0" w:color="auto"/>
        <w:right w:val="none" w:sz="0" w:space="0" w:color="auto"/>
      </w:divBdr>
    </w:div>
    <w:div w:id="620307514">
      <w:bodyDiv w:val="1"/>
      <w:marLeft w:val="0"/>
      <w:marRight w:val="0"/>
      <w:marTop w:val="0"/>
      <w:marBottom w:val="0"/>
      <w:divBdr>
        <w:top w:val="none" w:sz="0" w:space="0" w:color="auto"/>
        <w:left w:val="none" w:sz="0" w:space="0" w:color="auto"/>
        <w:bottom w:val="none" w:sz="0" w:space="0" w:color="auto"/>
        <w:right w:val="none" w:sz="0" w:space="0" w:color="auto"/>
      </w:divBdr>
    </w:div>
    <w:div w:id="620889155">
      <w:bodyDiv w:val="1"/>
      <w:marLeft w:val="0"/>
      <w:marRight w:val="0"/>
      <w:marTop w:val="0"/>
      <w:marBottom w:val="0"/>
      <w:divBdr>
        <w:top w:val="none" w:sz="0" w:space="0" w:color="auto"/>
        <w:left w:val="none" w:sz="0" w:space="0" w:color="auto"/>
        <w:bottom w:val="none" w:sz="0" w:space="0" w:color="auto"/>
        <w:right w:val="none" w:sz="0" w:space="0" w:color="auto"/>
      </w:divBdr>
    </w:div>
    <w:div w:id="621300579">
      <w:bodyDiv w:val="1"/>
      <w:marLeft w:val="0"/>
      <w:marRight w:val="0"/>
      <w:marTop w:val="0"/>
      <w:marBottom w:val="0"/>
      <w:divBdr>
        <w:top w:val="none" w:sz="0" w:space="0" w:color="auto"/>
        <w:left w:val="none" w:sz="0" w:space="0" w:color="auto"/>
        <w:bottom w:val="none" w:sz="0" w:space="0" w:color="auto"/>
        <w:right w:val="none" w:sz="0" w:space="0" w:color="auto"/>
      </w:divBdr>
    </w:div>
    <w:div w:id="621687344">
      <w:bodyDiv w:val="1"/>
      <w:marLeft w:val="0"/>
      <w:marRight w:val="0"/>
      <w:marTop w:val="0"/>
      <w:marBottom w:val="0"/>
      <w:divBdr>
        <w:top w:val="none" w:sz="0" w:space="0" w:color="auto"/>
        <w:left w:val="none" w:sz="0" w:space="0" w:color="auto"/>
        <w:bottom w:val="none" w:sz="0" w:space="0" w:color="auto"/>
        <w:right w:val="none" w:sz="0" w:space="0" w:color="auto"/>
      </w:divBdr>
    </w:div>
    <w:div w:id="622155084">
      <w:bodyDiv w:val="1"/>
      <w:marLeft w:val="0"/>
      <w:marRight w:val="0"/>
      <w:marTop w:val="0"/>
      <w:marBottom w:val="0"/>
      <w:divBdr>
        <w:top w:val="none" w:sz="0" w:space="0" w:color="auto"/>
        <w:left w:val="none" w:sz="0" w:space="0" w:color="auto"/>
        <w:bottom w:val="none" w:sz="0" w:space="0" w:color="auto"/>
        <w:right w:val="none" w:sz="0" w:space="0" w:color="auto"/>
      </w:divBdr>
    </w:div>
    <w:div w:id="622275273">
      <w:bodyDiv w:val="1"/>
      <w:marLeft w:val="0"/>
      <w:marRight w:val="0"/>
      <w:marTop w:val="0"/>
      <w:marBottom w:val="0"/>
      <w:divBdr>
        <w:top w:val="none" w:sz="0" w:space="0" w:color="auto"/>
        <w:left w:val="none" w:sz="0" w:space="0" w:color="auto"/>
        <w:bottom w:val="none" w:sz="0" w:space="0" w:color="auto"/>
        <w:right w:val="none" w:sz="0" w:space="0" w:color="auto"/>
      </w:divBdr>
    </w:div>
    <w:div w:id="622348834">
      <w:bodyDiv w:val="1"/>
      <w:marLeft w:val="0"/>
      <w:marRight w:val="0"/>
      <w:marTop w:val="0"/>
      <w:marBottom w:val="0"/>
      <w:divBdr>
        <w:top w:val="none" w:sz="0" w:space="0" w:color="auto"/>
        <w:left w:val="none" w:sz="0" w:space="0" w:color="auto"/>
        <w:bottom w:val="none" w:sz="0" w:space="0" w:color="auto"/>
        <w:right w:val="none" w:sz="0" w:space="0" w:color="auto"/>
      </w:divBdr>
    </w:div>
    <w:div w:id="622540157">
      <w:bodyDiv w:val="1"/>
      <w:marLeft w:val="0"/>
      <w:marRight w:val="0"/>
      <w:marTop w:val="0"/>
      <w:marBottom w:val="0"/>
      <w:divBdr>
        <w:top w:val="none" w:sz="0" w:space="0" w:color="auto"/>
        <w:left w:val="none" w:sz="0" w:space="0" w:color="auto"/>
        <w:bottom w:val="none" w:sz="0" w:space="0" w:color="auto"/>
        <w:right w:val="none" w:sz="0" w:space="0" w:color="auto"/>
      </w:divBdr>
    </w:div>
    <w:div w:id="622809921">
      <w:bodyDiv w:val="1"/>
      <w:marLeft w:val="0"/>
      <w:marRight w:val="0"/>
      <w:marTop w:val="0"/>
      <w:marBottom w:val="0"/>
      <w:divBdr>
        <w:top w:val="none" w:sz="0" w:space="0" w:color="auto"/>
        <w:left w:val="none" w:sz="0" w:space="0" w:color="auto"/>
        <w:bottom w:val="none" w:sz="0" w:space="0" w:color="auto"/>
        <w:right w:val="none" w:sz="0" w:space="0" w:color="auto"/>
      </w:divBdr>
    </w:div>
    <w:div w:id="622856198">
      <w:bodyDiv w:val="1"/>
      <w:marLeft w:val="0"/>
      <w:marRight w:val="0"/>
      <w:marTop w:val="0"/>
      <w:marBottom w:val="0"/>
      <w:divBdr>
        <w:top w:val="none" w:sz="0" w:space="0" w:color="auto"/>
        <w:left w:val="none" w:sz="0" w:space="0" w:color="auto"/>
        <w:bottom w:val="none" w:sz="0" w:space="0" w:color="auto"/>
        <w:right w:val="none" w:sz="0" w:space="0" w:color="auto"/>
      </w:divBdr>
    </w:div>
    <w:div w:id="623198709">
      <w:bodyDiv w:val="1"/>
      <w:marLeft w:val="0"/>
      <w:marRight w:val="0"/>
      <w:marTop w:val="0"/>
      <w:marBottom w:val="0"/>
      <w:divBdr>
        <w:top w:val="none" w:sz="0" w:space="0" w:color="auto"/>
        <w:left w:val="none" w:sz="0" w:space="0" w:color="auto"/>
        <w:bottom w:val="none" w:sz="0" w:space="0" w:color="auto"/>
        <w:right w:val="none" w:sz="0" w:space="0" w:color="auto"/>
      </w:divBdr>
    </w:div>
    <w:div w:id="623198946">
      <w:bodyDiv w:val="1"/>
      <w:marLeft w:val="0"/>
      <w:marRight w:val="0"/>
      <w:marTop w:val="0"/>
      <w:marBottom w:val="0"/>
      <w:divBdr>
        <w:top w:val="none" w:sz="0" w:space="0" w:color="auto"/>
        <w:left w:val="none" w:sz="0" w:space="0" w:color="auto"/>
        <w:bottom w:val="none" w:sz="0" w:space="0" w:color="auto"/>
        <w:right w:val="none" w:sz="0" w:space="0" w:color="auto"/>
      </w:divBdr>
    </w:div>
    <w:div w:id="623466433">
      <w:bodyDiv w:val="1"/>
      <w:marLeft w:val="0"/>
      <w:marRight w:val="0"/>
      <w:marTop w:val="0"/>
      <w:marBottom w:val="0"/>
      <w:divBdr>
        <w:top w:val="none" w:sz="0" w:space="0" w:color="auto"/>
        <w:left w:val="none" w:sz="0" w:space="0" w:color="auto"/>
        <w:bottom w:val="none" w:sz="0" w:space="0" w:color="auto"/>
        <w:right w:val="none" w:sz="0" w:space="0" w:color="auto"/>
      </w:divBdr>
    </w:div>
    <w:div w:id="623655153">
      <w:bodyDiv w:val="1"/>
      <w:marLeft w:val="0"/>
      <w:marRight w:val="0"/>
      <w:marTop w:val="0"/>
      <w:marBottom w:val="0"/>
      <w:divBdr>
        <w:top w:val="none" w:sz="0" w:space="0" w:color="auto"/>
        <w:left w:val="none" w:sz="0" w:space="0" w:color="auto"/>
        <w:bottom w:val="none" w:sz="0" w:space="0" w:color="auto"/>
        <w:right w:val="none" w:sz="0" w:space="0" w:color="auto"/>
      </w:divBdr>
    </w:div>
    <w:div w:id="623848795">
      <w:bodyDiv w:val="1"/>
      <w:marLeft w:val="0"/>
      <w:marRight w:val="0"/>
      <w:marTop w:val="0"/>
      <w:marBottom w:val="0"/>
      <w:divBdr>
        <w:top w:val="none" w:sz="0" w:space="0" w:color="auto"/>
        <w:left w:val="none" w:sz="0" w:space="0" w:color="auto"/>
        <w:bottom w:val="none" w:sz="0" w:space="0" w:color="auto"/>
        <w:right w:val="none" w:sz="0" w:space="0" w:color="auto"/>
      </w:divBdr>
    </w:div>
    <w:div w:id="624043903">
      <w:bodyDiv w:val="1"/>
      <w:marLeft w:val="0"/>
      <w:marRight w:val="0"/>
      <w:marTop w:val="0"/>
      <w:marBottom w:val="0"/>
      <w:divBdr>
        <w:top w:val="none" w:sz="0" w:space="0" w:color="auto"/>
        <w:left w:val="none" w:sz="0" w:space="0" w:color="auto"/>
        <w:bottom w:val="none" w:sz="0" w:space="0" w:color="auto"/>
        <w:right w:val="none" w:sz="0" w:space="0" w:color="auto"/>
      </w:divBdr>
    </w:div>
    <w:div w:id="624120995">
      <w:bodyDiv w:val="1"/>
      <w:marLeft w:val="0"/>
      <w:marRight w:val="0"/>
      <w:marTop w:val="0"/>
      <w:marBottom w:val="0"/>
      <w:divBdr>
        <w:top w:val="none" w:sz="0" w:space="0" w:color="auto"/>
        <w:left w:val="none" w:sz="0" w:space="0" w:color="auto"/>
        <w:bottom w:val="none" w:sz="0" w:space="0" w:color="auto"/>
        <w:right w:val="none" w:sz="0" w:space="0" w:color="auto"/>
      </w:divBdr>
    </w:div>
    <w:div w:id="624123738">
      <w:bodyDiv w:val="1"/>
      <w:marLeft w:val="0"/>
      <w:marRight w:val="0"/>
      <w:marTop w:val="0"/>
      <w:marBottom w:val="0"/>
      <w:divBdr>
        <w:top w:val="none" w:sz="0" w:space="0" w:color="auto"/>
        <w:left w:val="none" w:sz="0" w:space="0" w:color="auto"/>
        <w:bottom w:val="none" w:sz="0" w:space="0" w:color="auto"/>
        <w:right w:val="none" w:sz="0" w:space="0" w:color="auto"/>
      </w:divBdr>
    </w:div>
    <w:div w:id="624166813">
      <w:bodyDiv w:val="1"/>
      <w:marLeft w:val="0"/>
      <w:marRight w:val="0"/>
      <w:marTop w:val="0"/>
      <w:marBottom w:val="0"/>
      <w:divBdr>
        <w:top w:val="none" w:sz="0" w:space="0" w:color="auto"/>
        <w:left w:val="none" w:sz="0" w:space="0" w:color="auto"/>
        <w:bottom w:val="none" w:sz="0" w:space="0" w:color="auto"/>
        <w:right w:val="none" w:sz="0" w:space="0" w:color="auto"/>
      </w:divBdr>
    </w:div>
    <w:div w:id="624190615">
      <w:bodyDiv w:val="1"/>
      <w:marLeft w:val="0"/>
      <w:marRight w:val="0"/>
      <w:marTop w:val="0"/>
      <w:marBottom w:val="0"/>
      <w:divBdr>
        <w:top w:val="none" w:sz="0" w:space="0" w:color="auto"/>
        <w:left w:val="none" w:sz="0" w:space="0" w:color="auto"/>
        <w:bottom w:val="none" w:sz="0" w:space="0" w:color="auto"/>
        <w:right w:val="none" w:sz="0" w:space="0" w:color="auto"/>
      </w:divBdr>
    </w:div>
    <w:div w:id="624311863">
      <w:bodyDiv w:val="1"/>
      <w:marLeft w:val="0"/>
      <w:marRight w:val="0"/>
      <w:marTop w:val="0"/>
      <w:marBottom w:val="0"/>
      <w:divBdr>
        <w:top w:val="none" w:sz="0" w:space="0" w:color="auto"/>
        <w:left w:val="none" w:sz="0" w:space="0" w:color="auto"/>
        <w:bottom w:val="none" w:sz="0" w:space="0" w:color="auto"/>
        <w:right w:val="none" w:sz="0" w:space="0" w:color="auto"/>
      </w:divBdr>
    </w:div>
    <w:div w:id="624387775">
      <w:bodyDiv w:val="1"/>
      <w:marLeft w:val="0"/>
      <w:marRight w:val="0"/>
      <w:marTop w:val="0"/>
      <w:marBottom w:val="0"/>
      <w:divBdr>
        <w:top w:val="none" w:sz="0" w:space="0" w:color="auto"/>
        <w:left w:val="none" w:sz="0" w:space="0" w:color="auto"/>
        <w:bottom w:val="none" w:sz="0" w:space="0" w:color="auto"/>
        <w:right w:val="none" w:sz="0" w:space="0" w:color="auto"/>
      </w:divBdr>
    </w:div>
    <w:div w:id="624654937">
      <w:bodyDiv w:val="1"/>
      <w:marLeft w:val="0"/>
      <w:marRight w:val="0"/>
      <w:marTop w:val="0"/>
      <w:marBottom w:val="0"/>
      <w:divBdr>
        <w:top w:val="none" w:sz="0" w:space="0" w:color="auto"/>
        <w:left w:val="none" w:sz="0" w:space="0" w:color="auto"/>
        <w:bottom w:val="none" w:sz="0" w:space="0" w:color="auto"/>
        <w:right w:val="none" w:sz="0" w:space="0" w:color="auto"/>
      </w:divBdr>
    </w:div>
    <w:div w:id="624695848">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24970127">
      <w:bodyDiv w:val="1"/>
      <w:marLeft w:val="0"/>
      <w:marRight w:val="0"/>
      <w:marTop w:val="0"/>
      <w:marBottom w:val="0"/>
      <w:divBdr>
        <w:top w:val="none" w:sz="0" w:space="0" w:color="auto"/>
        <w:left w:val="none" w:sz="0" w:space="0" w:color="auto"/>
        <w:bottom w:val="none" w:sz="0" w:space="0" w:color="auto"/>
        <w:right w:val="none" w:sz="0" w:space="0" w:color="auto"/>
      </w:divBdr>
    </w:div>
    <w:div w:id="625241561">
      <w:bodyDiv w:val="1"/>
      <w:marLeft w:val="0"/>
      <w:marRight w:val="0"/>
      <w:marTop w:val="0"/>
      <w:marBottom w:val="0"/>
      <w:divBdr>
        <w:top w:val="none" w:sz="0" w:space="0" w:color="auto"/>
        <w:left w:val="none" w:sz="0" w:space="0" w:color="auto"/>
        <w:bottom w:val="none" w:sz="0" w:space="0" w:color="auto"/>
        <w:right w:val="none" w:sz="0" w:space="0" w:color="auto"/>
      </w:divBdr>
    </w:div>
    <w:div w:id="625543813">
      <w:bodyDiv w:val="1"/>
      <w:marLeft w:val="0"/>
      <w:marRight w:val="0"/>
      <w:marTop w:val="0"/>
      <w:marBottom w:val="0"/>
      <w:divBdr>
        <w:top w:val="none" w:sz="0" w:space="0" w:color="auto"/>
        <w:left w:val="none" w:sz="0" w:space="0" w:color="auto"/>
        <w:bottom w:val="none" w:sz="0" w:space="0" w:color="auto"/>
        <w:right w:val="none" w:sz="0" w:space="0" w:color="auto"/>
      </w:divBdr>
    </w:div>
    <w:div w:id="625546322">
      <w:bodyDiv w:val="1"/>
      <w:marLeft w:val="0"/>
      <w:marRight w:val="0"/>
      <w:marTop w:val="0"/>
      <w:marBottom w:val="0"/>
      <w:divBdr>
        <w:top w:val="none" w:sz="0" w:space="0" w:color="auto"/>
        <w:left w:val="none" w:sz="0" w:space="0" w:color="auto"/>
        <w:bottom w:val="none" w:sz="0" w:space="0" w:color="auto"/>
        <w:right w:val="none" w:sz="0" w:space="0" w:color="auto"/>
      </w:divBdr>
    </w:div>
    <w:div w:id="626592981">
      <w:bodyDiv w:val="1"/>
      <w:marLeft w:val="0"/>
      <w:marRight w:val="0"/>
      <w:marTop w:val="0"/>
      <w:marBottom w:val="0"/>
      <w:divBdr>
        <w:top w:val="none" w:sz="0" w:space="0" w:color="auto"/>
        <w:left w:val="none" w:sz="0" w:space="0" w:color="auto"/>
        <w:bottom w:val="none" w:sz="0" w:space="0" w:color="auto"/>
        <w:right w:val="none" w:sz="0" w:space="0" w:color="auto"/>
      </w:divBdr>
    </w:div>
    <w:div w:id="626811791">
      <w:bodyDiv w:val="1"/>
      <w:marLeft w:val="0"/>
      <w:marRight w:val="0"/>
      <w:marTop w:val="0"/>
      <w:marBottom w:val="0"/>
      <w:divBdr>
        <w:top w:val="none" w:sz="0" w:space="0" w:color="auto"/>
        <w:left w:val="none" w:sz="0" w:space="0" w:color="auto"/>
        <w:bottom w:val="none" w:sz="0" w:space="0" w:color="auto"/>
        <w:right w:val="none" w:sz="0" w:space="0" w:color="auto"/>
      </w:divBdr>
    </w:div>
    <w:div w:id="626861234">
      <w:bodyDiv w:val="1"/>
      <w:marLeft w:val="0"/>
      <w:marRight w:val="0"/>
      <w:marTop w:val="0"/>
      <w:marBottom w:val="0"/>
      <w:divBdr>
        <w:top w:val="none" w:sz="0" w:space="0" w:color="auto"/>
        <w:left w:val="none" w:sz="0" w:space="0" w:color="auto"/>
        <w:bottom w:val="none" w:sz="0" w:space="0" w:color="auto"/>
        <w:right w:val="none" w:sz="0" w:space="0" w:color="auto"/>
      </w:divBdr>
    </w:div>
    <w:div w:id="627080572">
      <w:bodyDiv w:val="1"/>
      <w:marLeft w:val="0"/>
      <w:marRight w:val="0"/>
      <w:marTop w:val="0"/>
      <w:marBottom w:val="0"/>
      <w:divBdr>
        <w:top w:val="none" w:sz="0" w:space="0" w:color="auto"/>
        <w:left w:val="none" w:sz="0" w:space="0" w:color="auto"/>
        <w:bottom w:val="none" w:sz="0" w:space="0" w:color="auto"/>
        <w:right w:val="none" w:sz="0" w:space="0" w:color="auto"/>
      </w:divBdr>
    </w:div>
    <w:div w:id="627324750">
      <w:bodyDiv w:val="1"/>
      <w:marLeft w:val="0"/>
      <w:marRight w:val="0"/>
      <w:marTop w:val="0"/>
      <w:marBottom w:val="0"/>
      <w:divBdr>
        <w:top w:val="none" w:sz="0" w:space="0" w:color="auto"/>
        <w:left w:val="none" w:sz="0" w:space="0" w:color="auto"/>
        <w:bottom w:val="none" w:sz="0" w:space="0" w:color="auto"/>
        <w:right w:val="none" w:sz="0" w:space="0" w:color="auto"/>
      </w:divBdr>
    </w:div>
    <w:div w:id="627705912">
      <w:bodyDiv w:val="1"/>
      <w:marLeft w:val="0"/>
      <w:marRight w:val="0"/>
      <w:marTop w:val="0"/>
      <w:marBottom w:val="0"/>
      <w:divBdr>
        <w:top w:val="none" w:sz="0" w:space="0" w:color="auto"/>
        <w:left w:val="none" w:sz="0" w:space="0" w:color="auto"/>
        <w:bottom w:val="none" w:sz="0" w:space="0" w:color="auto"/>
        <w:right w:val="none" w:sz="0" w:space="0" w:color="auto"/>
      </w:divBdr>
    </w:div>
    <w:div w:id="628049415">
      <w:bodyDiv w:val="1"/>
      <w:marLeft w:val="0"/>
      <w:marRight w:val="0"/>
      <w:marTop w:val="0"/>
      <w:marBottom w:val="0"/>
      <w:divBdr>
        <w:top w:val="none" w:sz="0" w:space="0" w:color="auto"/>
        <w:left w:val="none" w:sz="0" w:space="0" w:color="auto"/>
        <w:bottom w:val="none" w:sz="0" w:space="0" w:color="auto"/>
        <w:right w:val="none" w:sz="0" w:space="0" w:color="auto"/>
      </w:divBdr>
    </w:div>
    <w:div w:id="628243178">
      <w:bodyDiv w:val="1"/>
      <w:marLeft w:val="0"/>
      <w:marRight w:val="0"/>
      <w:marTop w:val="0"/>
      <w:marBottom w:val="0"/>
      <w:divBdr>
        <w:top w:val="none" w:sz="0" w:space="0" w:color="auto"/>
        <w:left w:val="none" w:sz="0" w:space="0" w:color="auto"/>
        <w:bottom w:val="none" w:sz="0" w:space="0" w:color="auto"/>
        <w:right w:val="none" w:sz="0" w:space="0" w:color="auto"/>
      </w:divBdr>
    </w:div>
    <w:div w:id="628361466">
      <w:bodyDiv w:val="1"/>
      <w:marLeft w:val="0"/>
      <w:marRight w:val="0"/>
      <w:marTop w:val="0"/>
      <w:marBottom w:val="0"/>
      <w:divBdr>
        <w:top w:val="none" w:sz="0" w:space="0" w:color="auto"/>
        <w:left w:val="none" w:sz="0" w:space="0" w:color="auto"/>
        <w:bottom w:val="none" w:sz="0" w:space="0" w:color="auto"/>
        <w:right w:val="none" w:sz="0" w:space="0" w:color="auto"/>
      </w:divBdr>
    </w:div>
    <w:div w:id="628440193">
      <w:bodyDiv w:val="1"/>
      <w:marLeft w:val="0"/>
      <w:marRight w:val="0"/>
      <w:marTop w:val="0"/>
      <w:marBottom w:val="0"/>
      <w:divBdr>
        <w:top w:val="none" w:sz="0" w:space="0" w:color="auto"/>
        <w:left w:val="none" w:sz="0" w:space="0" w:color="auto"/>
        <w:bottom w:val="none" w:sz="0" w:space="0" w:color="auto"/>
        <w:right w:val="none" w:sz="0" w:space="0" w:color="auto"/>
      </w:divBdr>
    </w:div>
    <w:div w:id="628441757">
      <w:bodyDiv w:val="1"/>
      <w:marLeft w:val="0"/>
      <w:marRight w:val="0"/>
      <w:marTop w:val="0"/>
      <w:marBottom w:val="0"/>
      <w:divBdr>
        <w:top w:val="none" w:sz="0" w:space="0" w:color="auto"/>
        <w:left w:val="none" w:sz="0" w:space="0" w:color="auto"/>
        <w:bottom w:val="none" w:sz="0" w:space="0" w:color="auto"/>
        <w:right w:val="none" w:sz="0" w:space="0" w:color="auto"/>
      </w:divBdr>
    </w:div>
    <w:div w:id="628626589">
      <w:bodyDiv w:val="1"/>
      <w:marLeft w:val="0"/>
      <w:marRight w:val="0"/>
      <w:marTop w:val="0"/>
      <w:marBottom w:val="0"/>
      <w:divBdr>
        <w:top w:val="none" w:sz="0" w:space="0" w:color="auto"/>
        <w:left w:val="none" w:sz="0" w:space="0" w:color="auto"/>
        <w:bottom w:val="none" w:sz="0" w:space="0" w:color="auto"/>
        <w:right w:val="none" w:sz="0" w:space="0" w:color="auto"/>
      </w:divBdr>
    </w:div>
    <w:div w:id="628971462">
      <w:bodyDiv w:val="1"/>
      <w:marLeft w:val="0"/>
      <w:marRight w:val="0"/>
      <w:marTop w:val="0"/>
      <w:marBottom w:val="0"/>
      <w:divBdr>
        <w:top w:val="none" w:sz="0" w:space="0" w:color="auto"/>
        <w:left w:val="none" w:sz="0" w:space="0" w:color="auto"/>
        <w:bottom w:val="none" w:sz="0" w:space="0" w:color="auto"/>
        <w:right w:val="none" w:sz="0" w:space="0" w:color="auto"/>
      </w:divBdr>
    </w:div>
    <w:div w:id="629937000">
      <w:bodyDiv w:val="1"/>
      <w:marLeft w:val="0"/>
      <w:marRight w:val="0"/>
      <w:marTop w:val="0"/>
      <w:marBottom w:val="0"/>
      <w:divBdr>
        <w:top w:val="none" w:sz="0" w:space="0" w:color="auto"/>
        <w:left w:val="none" w:sz="0" w:space="0" w:color="auto"/>
        <w:bottom w:val="none" w:sz="0" w:space="0" w:color="auto"/>
        <w:right w:val="none" w:sz="0" w:space="0" w:color="auto"/>
      </w:divBdr>
    </w:div>
    <w:div w:id="630016506">
      <w:bodyDiv w:val="1"/>
      <w:marLeft w:val="0"/>
      <w:marRight w:val="0"/>
      <w:marTop w:val="0"/>
      <w:marBottom w:val="0"/>
      <w:divBdr>
        <w:top w:val="none" w:sz="0" w:space="0" w:color="auto"/>
        <w:left w:val="none" w:sz="0" w:space="0" w:color="auto"/>
        <w:bottom w:val="none" w:sz="0" w:space="0" w:color="auto"/>
        <w:right w:val="none" w:sz="0" w:space="0" w:color="auto"/>
      </w:divBdr>
    </w:div>
    <w:div w:id="630087863">
      <w:bodyDiv w:val="1"/>
      <w:marLeft w:val="0"/>
      <w:marRight w:val="0"/>
      <w:marTop w:val="0"/>
      <w:marBottom w:val="0"/>
      <w:divBdr>
        <w:top w:val="none" w:sz="0" w:space="0" w:color="auto"/>
        <w:left w:val="none" w:sz="0" w:space="0" w:color="auto"/>
        <w:bottom w:val="none" w:sz="0" w:space="0" w:color="auto"/>
        <w:right w:val="none" w:sz="0" w:space="0" w:color="auto"/>
      </w:divBdr>
    </w:div>
    <w:div w:id="630479891">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0747788">
      <w:bodyDiv w:val="1"/>
      <w:marLeft w:val="0"/>
      <w:marRight w:val="0"/>
      <w:marTop w:val="0"/>
      <w:marBottom w:val="0"/>
      <w:divBdr>
        <w:top w:val="none" w:sz="0" w:space="0" w:color="auto"/>
        <w:left w:val="none" w:sz="0" w:space="0" w:color="auto"/>
        <w:bottom w:val="none" w:sz="0" w:space="0" w:color="auto"/>
        <w:right w:val="none" w:sz="0" w:space="0" w:color="auto"/>
      </w:divBdr>
    </w:div>
    <w:div w:id="631404329">
      <w:bodyDiv w:val="1"/>
      <w:marLeft w:val="0"/>
      <w:marRight w:val="0"/>
      <w:marTop w:val="0"/>
      <w:marBottom w:val="0"/>
      <w:divBdr>
        <w:top w:val="none" w:sz="0" w:space="0" w:color="auto"/>
        <w:left w:val="none" w:sz="0" w:space="0" w:color="auto"/>
        <w:bottom w:val="none" w:sz="0" w:space="0" w:color="auto"/>
        <w:right w:val="none" w:sz="0" w:space="0" w:color="auto"/>
      </w:divBdr>
    </w:div>
    <w:div w:id="631903855">
      <w:bodyDiv w:val="1"/>
      <w:marLeft w:val="0"/>
      <w:marRight w:val="0"/>
      <w:marTop w:val="0"/>
      <w:marBottom w:val="0"/>
      <w:divBdr>
        <w:top w:val="none" w:sz="0" w:space="0" w:color="auto"/>
        <w:left w:val="none" w:sz="0" w:space="0" w:color="auto"/>
        <w:bottom w:val="none" w:sz="0" w:space="0" w:color="auto"/>
        <w:right w:val="none" w:sz="0" w:space="0" w:color="auto"/>
      </w:divBdr>
    </w:div>
    <w:div w:id="632100081">
      <w:bodyDiv w:val="1"/>
      <w:marLeft w:val="0"/>
      <w:marRight w:val="0"/>
      <w:marTop w:val="0"/>
      <w:marBottom w:val="0"/>
      <w:divBdr>
        <w:top w:val="none" w:sz="0" w:space="0" w:color="auto"/>
        <w:left w:val="none" w:sz="0" w:space="0" w:color="auto"/>
        <w:bottom w:val="none" w:sz="0" w:space="0" w:color="auto"/>
        <w:right w:val="none" w:sz="0" w:space="0" w:color="auto"/>
      </w:divBdr>
    </w:div>
    <w:div w:id="632520325">
      <w:bodyDiv w:val="1"/>
      <w:marLeft w:val="0"/>
      <w:marRight w:val="0"/>
      <w:marTop w:val="0"/>
      <w:marBottom w:val="0"/>
      <w:divBdr>
        <w:top w:val="none" w:sz="0" w:space="0" w:color="auto"/>
        <w:left w:val="none" w:sz="0" w:space="0" w:color="auto"/>
        <w:bottom w:val="none" w:sz="0" w:space="0" w:color="auto"/>
        <w:right w:val="none" w:sz="0" w:space="0" w:color="auto"/>
      </w:divBdr>
    </w:div>
    <w:div w:id="632563387">
      <w:bodyDiv w:val="1"/>
      <w:marLeft w:val="0"/>
      <w:marRight w:val="0"/>
      <w:marTop w:val="0"/>
      <w:marBottom w:val="0"/>
      <w:divBdr>
        <w:top w:val="none" w:sz="0" w:space="0" w:color="auto"/>
        <w:left w:val="none" w:sz="0" w:space="0" w:color="auto"/>
        <w:bottom w:val="none" w:sz="0" w:space="0" w:color="auto"/>
        <w:right w:val="none" w:sz="0" w:space="0" w:color="auto"/>
      </w:divBdr>
    </w:div>
    <w:div w:id="632640312">
      <w:bodyDiv w:val="1"/>
      <w:marLeft w:val="0"/>
      <w:marRight w:val="0"/>
      <w:marTop w:val="0"/>
      <w:marBottom w:val="0"/>
      <w:divBdr>
        <w:top w:val="none" w:sz="0" w:space="0" w:color="auto"/>
        <w:left w:val="none" w:sz="0" w:space="0" w:color="auto"/>
        <w:bottom w:val="none" w:sz="0" w:space="0" w:color="auto"/>
        <w:right w:val="none" w:sz="0" w:space="0" w:color="auto"/>
      </w:divBdr>
    </w:div>
    <w:div w:id="632710822">
      <w:bodyDiv w:val="1"/>
      <w:marLeft w:val="0"/>
      <w:marRight w:val="0"/>
      <w:marTop w:val="0"/>
      <w:marBottom w:val="0"/>
      <w:divBdr>
        <w:top w:val="none" w:sz="0" w:space="0" w:color="auto"/>
        <w:left w:val="none" w:sz="0" w:space="0" w:color="auto"/>
        <w:bottom w:val="none" w:sz="0" w:space="0" w:color="auto"/>
        <w:right w:val="none" w:sz="0" w:space="0" w:color="auto"/>
      </w:divBdr>
    </w:div>
    <w:div w:id="632911355">
      <w:bodyDiv w:val="1"/>
      <w:marLeft w:val="0"/>
      <w:marRight w:val="0"/>
      <w:marTop w:val="0"/>
      <w:marBottom w:val="0"/>
      <w:divBdr>
        <w:top w:val="none" w:sz="0" w:space="0" w:color="auto"/>
        <w:left w:val="none" w:sz="0" w:space="0" w:color="auto"/>
        <w:bottom w:val="none" w:sz="0" w:space="0" w:color="auto"/>
        <w:right w:val="none" w:sz="0" w:space="0" w:color="auto"/>
      </w:divBdr>
    </w:div>
    <w:div w:id="633829447">
      <w:bodyDiv w:val="1"/>
      <w:marLeft w:val="0"/>
      <w:marRight w:val="0"/>
      <w:marTop w:val="0"/>
      <w:marBottom w:val="0"/>
      <w:divBdr>
        <w:top w:val="none" w:sz="0" w:space="0" w:color="auto"/>
        <w:left w:val="none" w:sz="0" w:space="0" w:color="auto"/>
        <w:bottom w:val="none" w:sz="0" w:space="0" w:color="auto"/>
        <w:right w:val="none" w:sz="0" w:space="0" w:color="auto"/>
      </w:divBdr>
    </w:div>
    <w:div w:id="634214067">
      <w:bodyDiv w:val="1"/>
      <w:marLeft w:val="0"/>
      <w:marRight w:val="0"/>
      <w:marTop w:val="0"/>
      <w:marBottom w:val="0"/>
      <w:divBdr>
        <w:top w:val="none" w:sz="0" w:space="0" w:color="auto"/>
        <w:left w:val="none" w:sz="0" w:space="0" w:color="auto"/>
        <w:bottom w:val="none" w:sz="0" w:space="0" w:color="auto"/>
        <w:right w:val="none" w:sz="0" w:space="0" w:color="auto"/>
      </w:divBdr>
    </w:div>
    <w:div w:id="634523669">
      <w:bodyDiv w:val="1"/>
      <w:marLeft w:val="0"/>
      <w:marRight w:val="0"/>
      <w:marTop w:val="0"/>
      <w:marBottom w:val="0"/>
      <w:divBdr>
        <w:top w:val="none" w:sz="0" w:space="0" w:color="auto"/>
        <w:left w:val="none" w:sz="0" w:space="0" w:color="auto"/>
        <w:bottom w:val="none" w:sz="0" w:space="0" w:color="auto"/>
        <w:right w:val="none" w:sz="0" w:space="0" w:color="auto"/>
      </w:divBdr>
    </w:div>
    <w:div w:id="634526435">
      <w:bodyDiv w:val="1"/>
      <w:marLeft w:val="0"/>
      <w:marRight w:val="0"/>
      <w:marTop w:val="0"/>
      <w:marBottom w:val="0"/>
      <w:divBdr>
        <w:top w:val="none" w:sz="0" w:space="0" w:color="auto"/>
        <w:left w:val="none" w:sz="0" w:space="0" w:color="auto"/>
        <w:bottom w:val="none" w:sz="0" w:space="0" w:color="auto"/>
        <w:right w:val="none" w:sz="0" w:space="0" w:color="auto"/>
      </w:divBdr>
    </w:div>
    <w:div w:id="634603593">
      <w:bodyDiv w:val="1"/>
      <w:marLeft w:val="0"/>
      <w:marRight w:val="0"/>
      <w:marTop w:val="0"/>
      <w:marBottom w:val="0"/>
      <w:divBdr>
        <w:top w:val="none" w:sz="0" w:space="0" w:color="auto"/>
        <w:left w:val="none" w:sz="0" w:space="0" w:color="auto"/>
        <w:bottom w:val="none" w:sz="0" w:space="0" w:color="auto"/>
        <w:right w:val="none" w:sz="0" w:space="0" w:color="auto"/>
      </w:divBdr>
    </w:div>
    <w:div w:id="634801186">
      <w:bodyDiv w:val="1"/>
      <w:marLeft w:val="0"/>
      <w:marRight w:val="0"/>
      <w:marTop w:val="0"/>
      <w:marBottom w:val="0"/>
      <w:divBdr>
        <w:top w:val="none" w:sz="0" w:space="0" w:color="auto"/>
        <w:left w:val="none" w:sz="0" w:space="0" w:color="auto"/>
        <w:bottom w:val="none" w:sz="0" w:space="0" w:color="auto"/>
        <w:right w:val="none" w:sz="0" w:space="0" w:color="auto"/>
      </w:divBdr>
    </w:div>
    <w:div w:id="635449073">
      <w:bodyDiv w:val="1"/>
      <w:marLeft w:val="0"/>
      <w:marRight w:val="0"/>
      <w:marTop w:val="0"/>
      <w:marBottom w:val="0"/>
      <w:divBdr>
        <w:top w:val="none" w:sz="0" w:space="0" w:color="auto"/>
        <w:left w:val="none" w:sz="0" w:space="0" w:color="auto"/>
        <w:bottom w:val="none" w:sz="0" w:space="0" w:color="auto"/>
        <w:right w:val="none" w:sz="0" w:space="0" w:color="auto"/>
      </w:divBdr>
    </w:div>
    <w:div w:id="635453647">
      <w:bodyDiv w:val="1"/>
      <w:marLeft w:val="0"/>
      <w:marRight w:val="0"/>
      <w:marTop w:val="0"/>
      <w:marBottom w:val="0"/>
      <w:divBdr>
        <w:top w:val="none" w:sz="0" w:space="0" w:color="auto"/>
        <w:left w:val="none" w:sz="0" w:space="0" w:color="auto"/>
        <w:bottom w:val="none" w:sz="0" w:space="0" w:color="auto"/>
        <w:right w:val="none" w:sz="0" w:space="0" w:color="auto"/>
      </w:divBdr>
    </w:div>
    <w:div w:id="635722671">
      <w:bodyDiv w:val="1"/>
      <w:marLeft w:val="0"/>
      <w:marRight w:val="0"/>
      <w:marTop w:val="0"/>
      <w:marBottom w:val="0"/>
      <w:divBdr>
        <w:top w:val="none" w:sz="0" w:space="0" w:color="auto"/>
        <w:left w:val="none" w:sz="0" w:space="0" w:color="auto"/>
        <w:bottom w:val="none" w:sz="0" w:space="0" w:color="auto"/>
        <w:right w:val="none" w:sz="0" w:space="0" w:color="auto"/>
      </w:divBdr>
    </w:div>
    <w:div w:id="635723916">
      <w:bodyDiv w:val="1"/>
      <w:marLeft w:val="0"/>
      <w:marRight w:val="0"/>
      <w:marTop w:val="0"/>
      <w:marBottom w:val="0"/>
      <w:divBdr>
        <w:top w:val="none" w:sz="0" w:space="0" w:color="auto"/>
        <w:left w:val="none" w:sz="0" w:space="0" w:color="auto"/>
        <w:bottom w:val="none" w:sz="0" w:space="0" w:color="auto"/>
        <w:right w:val="none" w:sz="0" w:space="0" w:color="auto"/>
      </w:divBdr>
    </w:div>
    <w:div w:id="636111744">
      <w:bodyDiv w:val="1"/>
      <w:marLeft w:val="0"/>
      <w:marRight w:val="0"/>
      <w:marTop w:val="0"/>
      <w:marBottom w:val="0"/>
      <w:divBdr>
        <w:top w:val="none" w:sz="0" w:space="0" w:color="auto"/>
        <w:left w:val="none" w:sz="0" w:space="0" w:color="auto"/>
        <w:bottom w:val="none" w:sz="0" w:space="0" w:color="auto"/>
        <w:right w:val="none" w:sz="0" w:space="0" w:color="auto"/>
      </w:divBdr>
    </w:div>
    <w:div w:id="636301967">
      <w:bodyDiv w:val="1"/>
      <w:marLeft w:val="0"/>
      <w:marRight w:val="0"/>
      <w:marTop w:val="0"/>
      <w:marBottom w:val="0"/>
      <w:divBdr>
        <w:top w:val="none" w:sz="0" w:space="0" w:color="auto"/>
        <w:left w:val="none" w:sz="0" w:space="0" w:color="auto"/>
        <w:bottom w:val="none" w:sz="0" w:space="0" w:color="auto"/>
        <w:right w:val="none" w:sz="0" w:space="0" w:color="auto"/>
      </w:divBdr>
    </w:div>
    <w:div w:id="636451596">
      <w:bodyDiv w:val="1"/>
      <w:marLeft w:val="0"/>
      <w:marRight w:val="0"/>
      <w:marTop w:val="0"/>
      <w:marBottom w:val="0"/>
      <w:divBdr>
        <w:top w:val="none" w:sz="0" w:space="0" w:color="auto"/>
        <w:left w:val="none" w:sz="0" w:space="0" w:color="auto"/>
        <w:bottom w:val="none" w:sz="0" w:space="0" w:color="auto"/>
        <w:right w:val="none" w:sz="0" w:space="0" w:color="auto"/>
      </w:divBdr>
    </w:div>
    <w:div w:id="636835751">
      <w:bodyDiv w:val="1"/>
      <w:marLeft w:val="0"/>
      <w:marRight w:val="0"/>
      <w:marTop w:val="0"/>
      <w:marBottom w:val="0"/>
      <w:divBdr>
        <w:top w:val="none" w:sz="0" w:space="0" w:color="auto"/>
        <w:left w:val="none" w:sz="0" w:space="0" w:color="auto"/>
        <w:bottom w:val="none" w:sz="0" w:space="0" w:color="auto"/>
        <w:right w:val="none" w:sz="0" w:space="0" w:color="auto"/>
      </w:divBdr>
    </w:div>
    <w:div w:id="637301885">
      <w:bodyDiv w:val="1"/>
      <w:marLeft w:val="0"/>
      <w:marRight w:val="0"/>
      <w:marTop w:val="0"/>
      <w:marBottom w:val="0"/>
      <w:divBdr>
        <w:top w:val="none" w:sz="0" w:space="0" w:color="auto"/>
        <w:left w:val="none" w:sz="0" w:space="0" w:color="auto"/>
        <w:bottom w:val="none" w:sz="0" w:space="0" w:color="auto"/>
        <w:right w:val="none" w:sz="0" w:space="0" w:color="auto"/>
      </w:divBdr>
    </w:div>
    <w:div w:id="637757625">
      <w:bodyDiv w:val="1"/>
      <w:marLeft w:val="0"/>
      <w:marRight w:val="0"/>
      <w:marTop w:val="0"/>
      <w:marBottom w:val="0"/>
      <w:divBdr>
        <w:top w:val="none" w:sz="0" w:space="0" w:color="auto"/>
        <w:left w:val="none" w:sz="0" w:space="0" w:color="auto"/>
        <w:bottom w:val="none" w:sz="0" w:space="0" w:color="auto"/>
        <w:right w:val="none" w:sz="0" w:space="0" w:color="auto"/>
      </w:divBdr>
    </w:div>
    <w:div w:id="637881586">
      <w:bodyDiv w:val="1"/>
      <w:marLeft w:val="0"/>
      <w:marRight w:val="0"/>
      <w:marTop w:val="0"/>
      <w:marBottom w:val="0"/>
      <w:divBdr>
        <w:top w:val="none" w:sz="0" w:space="0" w:color="auto"/>
        <w:left w:val="none" w:sz="0" w:space="0" w:color="auto"/>
        <w:bottom w:val="none" w:sz="0" w:space="0" w:color="auto"/>
        <w:right w:val="none" w:sz="0" w:space="0" w:color="auto"/>
      </w:divBdr>
    </w:div>
    <w:div w:id="637956861">
      <w:bodyDiv w:val="1"/>
      <w:marLeft w:val="0"/>
      <w:marRight w:val="0"/>
      <w:marTop w:val="0"/>
      <w:marBottom w:val="0"/>
      <w:divBdr>
        <w:top w:val="none" w:sz="0" w:space="0" w:color="auto"/>
        <w:left w:val="none" w:sz="0" w:space="0" w:color="auto"/>
        <w:bottom w:val="none" w:sz="0" w:space="0" w:color="auto"/>
        <w:right w:val="none" w:sz="0" w:space="0" w:color="auto"/>
      </w:divBdr>
    </w:div>
    <w:div w:id="637998068">
      <w:bodyDiv w:val="1"/>
      <w:marLeft w:val="0"/>
      <w:marRight w:val="0"/>
      <w:marTop w:val="0"/>
      <w:marBottom w:val="0"/>
      <w:divBdr>
        <w:top w:val="none" w:sz="0" w:space="0" w:color="auto"/>
        <w:left w:val="none" w:sz="0" w:space="0" w:color="auto"/>
        <w:bottom w:val="none" w:sz="0" w:space="0" w:color="auto"/>
        <w:right w:val="none" w:sz="0" w:space="0" w:color="auto"/>
      </w:divBdr>
    </w:div>
    <w:div w:id="638265803">
      <w:bodyDiv w:val="1"/>
      <w:marLeft w:val="0"/>
      <w:marRight w:val="0"/>
      <w:marTop w:val="0"/>
      <w:marBottom w:val="0"/>
      <w:divBdr>
        <w:top w:val="none" w:sz="0" w:space="0" w:color="auto"/>
        <w:left w:val="none" w:sz="0" w:space="0" w:color="auto"/>
        <w:bottom w:val="none" w:sz="0" w:space="0" w:color="auto"/>
        <w:right w:val="none" w:sz="0" w:space="0" w:color="auto"/>
      </w:divBdr>
    </w:div>
    <w:div w:id="638339662">
      <w:bodyDiv w:val="1"/>
      <w:marLeft w:val="0"/>
      <w:marRight w:val="0"/>
      <w:marTop w:val="0"/>
      <w:marBottom w:val="0"/>
      <w:divBdr>
        <w:top w:val="none" w:sz="0" w:space="0" w:color="auto"/>
        <w:left w:val="none" w:sz="0" w:space="0" w:color="auto"/>
        <w:bottom w:val="none" w:sz="0" w:space="0" w:color="auto"/>
        <w:right w:val="none" w:sz="0" w:space="0" w:color="auto"/>
      </w:divBdr>
    </w:div>
    <w:div w:id="638725277">
      <w:bodyDiv w:val="1"/>
      <w:marLeft w:val="0"/>
      <w:marRight w:val="0"/>
      <w:marTop w:val="0"/>
      <w:marBottom w:val="0"/>
      <w:divBdr>
        <w:top w:val="none" w:sz="0" w:space="0" w:color="auto"/>
        <w:left w:val="none" w:sz="0" w:space="0" w:color="auto"/>
        <w:bottom w:val="none" w:sz="0" w:space="0" w:color="auto"/>
        <w:right w:val="none" w:sz="0" w:space="0" w:color="auto"/>
      </w:divBdr>
    </w:div>
    <w:div w:id="638845999">
      <w:bodyDiv w:val="1"/>
      <w:marLeft w:val="0"/>
      <w:marRight w:val="0"/>
      <w:marTop w:val="0"/>
      <w:marBottom w:val="0"/>
      <w:divBdr>
        <w:top w:val="none" w:sz="0" w:space="0" w:color="auto"/>
        <w:left w:val="none" w:sz="0" w:space="0" w:color="auto"/>
        <w:bottom w:val="none" w:sz="0" w:space="0" w:color="auto"/>
        <w:right w:val="none" w:sz="0" w:space="0" w:color="auto"/>
      </w:divBdr>
    </w:div>
    <w:div w:id="638918037">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40161860">
      <w:bodyDiv w:val="1"/>
      <w:marLeft w:val="0"/>
      <w:marRight w:val="0"/>
      <w:marTop w:val="0"/>
      <w:marBottom w:val="0"/>
      <w:divBdr>
        <w:top w:val="none" w:sz="0" w:space="0" w:color="auto"/>
        <w:left w:val="none" w:sz="0" w:space="0" w:color="auto"/>
        <w:bottom w:val="none" w:sz="0" w:space="0" w:color="auto"/>
        <w:right w:val="none" w:sz="0" w:space="0" w:color="auto"/>
      </w:divBdr>
    </w:div>
    <w:div w:id="640312489">
      <w:bodyDiv w:val="1"/>
      <w:marLeft w:val="0"/>
      <w:marRight w:val="0"/>
      <w:marTop w:val="0"/>
      <w:marBottom w:val="0"/>
      <w:divBdr>
        <w:top w:val="none" w:sz="0" w:space="0" w:color="auto"/>
        <w:left w:val="none" w:sz="0" w:space="0" w:color="auto"/>
        <w:bottom w:val="none" w:sz="0" w:space="0" w:color="auto"/>
        <w:right w:val="none" w:sz="0" w:space="0" w:color="auto"/>
      </w:divBdr>
    </w:div>
    <w:div w:id="640383123">
      <w:bodyDiv w:val="1"/>
      <w:marLeft w:val="0"/>
      <w:marRight w:val="0"/>
      <w:marTop w:val="0"/>
      <w:marBottom w:val="0"/>
      <w:divBdr>
        <w:top w:val="none" w:sz="0" w:space="0" w:color="auto"/>
        <w:left w:val="none" w:sz="0" w:space="0" w:color="auto"/>
        <w:bottom w:val="none" w:sz="0" w:space="0" w:color="auto"/>
        <w:right w:val="none" w:sz="0" w:space="0" w:color="auto"/>
      </w:divBdr>
    </w:div>
    <w:div w:id="640623533">
      <w:bodyDiv w:val="1"/>
      <w:marLeft w:val="0"/>
      <w:marRight w:val="0"/>
      <w:marTop w:val="0"/>
      <w:marBottom w:val="0"/>
      <w:divBdr>
        <w:top w:val="none" w:sz="0" w:space="0" w:color="auto"/>
        <w:left w:val="none" w:sz="0" w:space="0" w:color="auto"/>
        <w:bottom w:val="none" w:sz="0" w:space="0" w:color="auto"/>
        <w:right w:val="none" w:sz="0" w:space="0" w:color="auto"/>
      </w:divBdr>
    </w:div>
    <w:div w:id="641424295">
      <w:bodyDiv w:val="1"/>
      <w:marLeft w:val="0"/>
      <w:marRight w:val="0"/>
      <w:marTop w:val="0"/>
      <w:marBottom w:val="0"/>
      <w:divBdr>
        <w:top w:val="none" w:sz="0" w:space="0" w:color="auto"/>
        <w:left w:val="none" w:sz="0" w:space="0" w:color="auto"/>
        <w:bottom w:val="none" w:sz="0" w:space="0" w:color="auto"/>
        <w:right w:val="none" w:sz="0" w:space="0" w:color="auto"/>
      </w:divBdr>
    </w:div>
    <w:div w:id="641468725">
      <w:bodyDiv w:val="1"/>
      <w:marLeft w:val="0"/>
      <w:marRight w:val="0"/>
      <w:marTop w:val="0"/>
      <w:marBottom w:val="0"/>
      <w:divBdr>
        <w:top w:val="none" w:sz="0" w:space="0" w:color="auto"/>
        <w:left w:val="none" w:sz="0" w:space="0" w:color="auto"/>
        <w:bottom w:val="none" w:sz="0" w:space="0" w:color="auto"/>
        <w:right w:val="none" w:sz="0" w:space="0" w:color="auto"/>
      </w:divBdr>
    </w:div>
    <w:div w:id="641542950">
      <w:bodyDiv w:val="1"/>
      <w:marLeft w:val="0"/>
      <w:marRight w:val="0"/>
      <w:marTop w:val="0"/>
      <w:marBottom w:val="0"/>
      <w:divBdr>
        <w:top w:val="none" w:sz="0" w:space="0" w:color="auto"/>
        <w:left w:val="none" w:sz="0" w:space="0" w:color="auto"/>
        <w:bottom w:val="none" w:sz="0" w:space="0" w:color="auto"/>
        <w:right w:val="none" w:sz="0" w:space="0" w:color="auto"/>
      </w:divBdr>
    </w:div>
    <w:div w:id="642540555">
      <w:bodyDiv w:val="1"/>
      <w:marLeft w:val="0"/>
      <w:marRight w:val="0"/>
      <w:marTop w:val="0"/>
      <w:marBottom w:val="0"/>
      <w:divBdr>
        <w:top w:val="none" w:sz="0" w:space="0" w:color="auto"/>
        <w:left w:val="none" w:sz="0" w:space="0" w:color="auto"/>
        <w:bottom w:val="none" w:sz="0" w:space="0" w:color="auto"/>
        <w:right w:val="none" w:sz="0" w:space="0" w:color="auto"/>
      </w:divBdr>
    </w:div>
    <w:div w:id="642585369">
      <w:bodyDiv w:val="1"/>
      <w:marLeft w:val="0"/>
      <w:marRight w:val="0"/>
      <w:marTop w:val="0"/>
      <w:marBottom w:val="0"/>
      <w:divBdr>
        <w:top w:val="none" w:sz="0" w:space="0" w:color="auto"/>
        <w:left w:val="none" w:sz="0" w:space="0" w:color="auto"/>
        <w:bottom w:val="none" w:sz="0" w:space="0" w:color="auto"/>
        <w:right w:val="none" w:sz="0" w:space="0" w:color="auto"/>
      </w:divBdr>
    </w:div>
    <w:div w:id="642808789">
      <w:bodyDiv w:val="1"/>
      <w:marLeft w:val="0"/>
      <w:marRight w:val="0"/>
      <w:marTop w:val="0"/>
      <w:marBottom w:val="0"/>
      <w:divBdr>
        <w:top w:val="none" w:sz="0" w:space="0" w:color="auto"/>
        <w:left w:val="none" w:sz="0" w:space="0" w:color="auto"/>
        <w:bottom w:val="none" w:sz="0" w:space="0" w:color="auto"/>
        <w:right w:val="none" w:sz="0" w:space="0" w:color="auto"/>
      </w:divBdr>
    </w:div>
    <w:div w:id="642928507">
      <w:bodyDiv w:val="1"/>
      <w:marLeft w:val="0"/>
      <w:marRight w:val="0"/>
      <w:marTop w:val="0"/>
      <w:marBottom w:val="0"/>
      <w:divBdr>
        <w:top w:val="none" w:sz="0" w:space="0" w:color="auto"/>
        <w:left w:val="none" w:sz="0" w:space="0" w:color="auto"/>
        <w:bottom w:val="none" w:sz="0" w:space="0" w:color="auto"/>
        <w:right w:val="none" w:sz="0" w:space="0" w:color="auto"/>
      </w:divBdr>
    </w:div>
    <w:div w:id="643117637">
      <w:bodyDiv w:val="1"/>
      <w:marLeft w:val="0"/>
      <w:marRight w:val="0"/>
      <w:marTop w:val="0"/>
      <w:marBottom w:val="0"/>
      <w:divBdr>
        <w:top w:val="none" w:sz="0" w:space="0" w:color="auto"/>
        <w:left w:val="none" w:sz="0" w:space="0" w:color="auto"/>
        <w:bottom w:val="none" w:sz="0" w:space="0" w:color="auto"/>
        <w:right w:val="none" w:sz="0" w:space="0" w:color="auto"/>
      </w:divBdr>
    </w:div>
    <w:div w:id="643658300">
      <w:bodyDiv w:val="1"/>
      <w:marLeft w:val="0"/>
      <w:marRight w:val="0"/>
      <w:marTop w:val="0"/>
      <w:marBottom w:val="0"/>
      <w:divBdr>
        <w:top w:val="none" w:sz="0" w:space="0" w:color="auto"/>
        <w:left w:val="none" w:sz="0" w:space="0" w:color="auto"/>
        <w:bottom w:val="none" w:sz="0" w:space="0" w:color="auto"/>
        <w:right w:val="none" w:sz="0" w:space="0" w:color="auto"/>
      </w:divBdr>
    </w:div>
    <w:div w:id="643851292">
      <w:bodyDiv w:val="1"/>
      <w:marLeft w:val="0"/>
      <w:marRight w:val="0"/>
      <w:marTop w:val="0"/>
      <w:marBottom w:val="0"/>
      <w:divBdr>
        <w:top w:val="none" w:sz="0" w:space="0" w:color="auto"/>
        <w:left w:val="none" w:sz="0" w:space="0" w:color="auto"/>
        <w:bottom w:val="none" w:sz="0" w:space="0" w:color="auto"/>
        <w:right w:val="none" w:sz="0" w:space="0" w:color="auto"/>
      </w:divBdr>
    </w:div>
    <w:div w:id="643891439">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44630259">
      <w:bodyDiv w:val="1"/>
      <w:marLeft w:val="0"/>
      <w:marRight w:val="0"/>
      <w:marTop w:val="0"/>
      <w:marBottom w:val="0"/>
      <w:divBdr>
        <w:top w:val="none" w:sz="0" w:space="0" w:color="auto"/>
        <w:left w:val="none" w:sz="0" w:space="0" w:color="auto"/>
        <w:bottom w:val="none" w:sz="0" w:space="0" w:color="auto"/>
        <w:right w:val="none" w:sz="0" w:space="0" w:color="auto"/>
      </w:divBdr>
    </w:div>
    <w:div w:id="644895783">
      <w:bodyDiv w:val="1"/>
      <w:marLeft w:val="0"/>
      <w:marRight w:val="0"/>
      <w:marTop w:val="0"/>
      <w:marBottom w:val="0"/>
      <w:divBdr>
        <w:top w:val="none" w:sz="0" w:space="0" w:color="auto"/>
        <w:left w:val="none" w:sz="0" w:space="0" w:color="auto"/>
        <w:bottom w:val="none" w:sz="0" w:space="0" w:color="auto"/>
        <w:right w:val="none" w:sz="0" w:space="0" w:color="auto"/>
      </w:divBdr>
    </w:div>
    <w:div w:id="645092645">
      <w:bodyDiv w:val="1"/>
      <w:marLeft w:val="0"/>
      <w:marRight w:val="0"/>
      <w:marTop w:val="0"/>
      <w:marBottom w:val="0"/>
      <w:divBdr>
        <w:top w:val="none" w:sz="0" w:space="0" w:color="auto"/>
        <w:left w:val="none" w:sz="0" w:space="0" w:color="auto"/>
        <w:bottom w:val="none" w:sz="0" w:space="0" w:color="auto"/>
        <w:right w:val="none" w:sz="0" w:space="0" w:color="auto"/>
      </w:divBdr>
    </w:div>
    <w:div w:id="645428742">
      <w:bodyDiv w:val="1"/>
      <w:marLeft w:val="0"/>
      <w:marRight w:val="0"/>
      <w:marTop w:val="0"/>
      <w:marBottom w:val="0"/>
      <w:divBdr>
        <w:top w:val="none" w:sz="0" w:space="0" w:color="auto"/>
        <w:left w:val="none" w:sz="0" w:space="0" w:color="auto"/>
        <w:bottom w:val="none" w:sz="0" w:space="0" w:color="auto"/>
        <w:right w:val="none" w:sz="0" w:space="0" w:color="auto"/>
      </w:divBdr>
    </w:div>
    <w:div w:id="645474663">
      <w:bodyDiv w:val="1"/>
      <w:marLeft w:val="0"/>
      <w:marRight w:val="0"/>
      <w:marTop w:val="0"/>
      <w:marBottom w:val="0"/>
      <w:divBdr>
        <w:top w:val="none" w:sz="0" w:space="0" w:color="auto"/>
        <w:left w:val="none" w:sz="0" w:space="0" w:color="auto"/>
        <w:bottom w:val="none" w:sz="0" w:space="0" w:color="auto"/>
        <w:right w:val="none" w:sz="0" w:space="0" w:color="auto"/>
      </w:divBdr>
    </w:div>
    <w:div w:id="645549097">
      <w:bodyDiv w:val="1"/>
      <w:marLeft w:val="0"/>
      <w:marRight w:val="0"/>
      <w:marTop w:val="0"/>
      <w:marBottom w:val="0"/>
      <w:divBdr>
        <w:top w:val="none" w:sz="0" w:space="0" w:color="auto"/>
        <w:left w:val="none" w:sz="0" w:space="0" w:color="auto"/>
        <w:bottom w:val="none" w:sz="0" w:space="0" w:color="auto"/>
        <w:right w:val="none" w:sz="0" w:space="0" w:color="auto"/>
      </w:divBdr>
    </w:div>
    <w:div w:id="645939424">
      <w:bodyDiv w:val="1"/>
      <w:marLeft w:val="0"/>
      <w:marRight w:val="0"/>
      <w:marTop w:val="0"/>
      <w:marBottom w:val="0"/>
      <w:divBdr>
        <w:top w:val="none" w:sz="0" w:space="0" w:color="auto"/>
        <w:left w:val="none" w:sz="0" w:space="0" w:color="auto"/>
        <w:bottom w:val="none" w:sz="0" w:space="0" w:color="auto"/>
        <w:right w:val="none" w:sz="0" w:space="0" w:color="auto"/>
      </w:divBdr>
    </w:div>
    <w:div w:id="646128405">
      <w:bodyDiv w:val="1"/>
      <w:marLeft w:val="0"/>
      <w:marRight w:val="0"/>
      <w:marTop w:val="0"/>
      <w:marBottom w:val="0"/>
      <w:divBdr>
        <w:top w:val="none" w:sz="0" w:space="0" w:color="auto"/>
        <w:left w:val="none" w:sz="0" w:space="0" w:color="auto"/>
        <w:bottom w:val="none" w:sz="0" w:space="0" w:color="auto"/>
        <w:right w:val="none" w:sz="0" w:space="0" w:color="auto"/>
      </w:divBdr>
    </w:div>
    <w:div w:id="646321545">
      <w:bodyDiv w:val="1"/>
      <w:marLeft w:val="0"/>
      <w:marRight w:val="0"/>
      <w:marTop w:val="0"/>
      <w:marBottom w:val="0"/>
      <w:divBdr>
        <w:top w:val="none" w:sz="0" w:space="0" w:color="auto"/>
        <w:left w:val="none" w:sz="0" w:space="0" w:color="auto"/>
        <w:bottom w:val="none" w:sz="0" w:space="0" w:color="auto"/>
        <w:right w:val="none" w:sz="0" w:space="0" w:color="auto"/>
      </w:divBdr>
    </w:div>
    <w:div w:id="646470321">
      <w:bodyDiv w:val="1"/>
      <w:marLeft w:val="0"/>
      <w:marRight w:val="0"/>
      <w:marTop w:val="0"/>
      <w:marBottom w:val="0"/>
      <w:divBdr>
        <w:top w:val="none" w:sz="0" w:space="0" w:color="auto"/>
        <w:left w:val="none" w:sz="0" w:space="0" w:color="auto"/>
        <w:bottom w:val="none" w:sz="0" w:space="0" w:color="auto"/>
        <w:right w:val="none" w:sz="0" w:space="0" w:color="auto"/>
      </w:divBdr>
    </w:div>
    <w:div w:id="646713542">
      <w:bodyDiv w:val="1"/>
      <w:marLeft w:val="0"/>
      <w:marRight w:val="0"/>
      <w:marTop w:val="0"/>
      <w:marBottom w:val="0"/>
      <w:divBdr>
        <w:top w:val="none" w:sz="0" w:space="0" w:color="auto"/>
        <w:left w:val="none" w:sz="0" w:space="0" w:color="auto"/>
        <w:bottom w:val="none" w:sz="0" w:space="0" w:color="auto"/>
        <w:right w:val="none" w:sz="0" w:space="0" w:color="auto"/>
      </w:divBdr>
    </w:div>
    <w:div w:id="647050089">
      <w:bodyDiv w:val="1"/>
      <w:marLeft w:val="0"/>
      <w:marRight w:val="0"/>
      <w:marTop w:val="0"/>
      <w:marBottom w:val="0"/>
      <w:divBdr>
        <w:top w:val="none" w:sz="0" w:space="0" w:color="auto"/>
        <w:left w:val="none" w:sz="0" w:space="0" w:color="auto"/>
        <w:bottom w:val="none" w:sz="0" w:space="0" w:color="auto"/>
        <w:right w:val="none" w:sz="0" w:space="0" w:color="auto"/>
      </w:divBdr>
    </w:div>
    <w:div w:id="647055272">
      <w:bodyDiv w:val="1"/>
      <w:marLeft w:val="0"/>
      <w:marRight w:val="0"/>
      <w:marTop w:val="0"/>
      <w:marBottom w:val="0"/>
      <w:divBdr>
        <w:top w:val="none" w:sz="0" w:space="0" w:color="auto"/>
        <w:left w:val="none" w:sz="0" w:space="0" w:color="auto"/>
        <w:bottom w:val="none" w:sz="0" w:space="0" w:color="auto"/>
        <w:right w:val="none" w:sz="0" w:space="0" w:color="auto"/>
      </w:divBdr>
    </w:div>
    <w:div w:id="647586621">
      <w:bodyDiv w:val="1"/>
      <w:marLeft w:val="0"/>
      <w:marRight w:val="0"/>
      <w:marTop w:val="0"/>
      <w:marBottom w:val="0"/>
      <w:divBdr>
        <w:top w:val="none" w:sz="0" w:space="0" w:color="auto"/>
        <w:left w:val="none" w:sz="0" w:space="0" w:color="auto"/>
        <w:bottom w:val="none" w:sz="0" w:space="0" w:color="auto"/>
        <w:right w:val="none" w:sz="0" w:space="0" w:color="auto"/>
      </w:divBdr>
    </w:div>
    <w:div w:id="647586932">
      <w:bodyDiv w:val="1"/>
      <w:marLeft w:val="0"/>
      <w:marRight w:val="0"/>
      <w:marTop w:val="0"/>
      <w:marBottom w:val="0"/>
      <w:divBdr>
        <w:top w:val="none" w:sz="0" w:space="0" w:color="auto"/>
        <w:left w:val="none" w:sz="0" w:space="0" w:color="auto"/>
        <w:bottom w:val="none" w:sz="0" w:space="0" w:color="auto"/>
        <w:right w:val="none" w:sz="0" w:space="0" w:color="auto"/>
      </w:divBdr>
    </w:div>
    <w:div w:id="647785386">
      <w:bodyDiv w:val="1"/>
      <w:marLeft w:val="0"/>
      <w:marRight w:val="0"/>
      <w:marTop w:val="0"/>
      <w:marBottom w:val="0"/>
      <w:divBdr>
        <w:top w:val="none" w:sz="0" w:space="0" w:color="auto"/>
        <w:left w:val="none" w:sz="0" w:space="0" w:color="auto"/>
        <w:bottom w:val="none" w:sz="0" w:space="0" w:color="auto"/>
        <w:right w:val="none" w:sz="0" w:space="0" w:color="auto"/>
      </w:divBdr>
    </w:div>
    <w:div w:id="648022692">
      <w:bodyDiv w:val="1"/>
      <w:marLeft w:val="0"/>
      <w:marRight w:val="0"/>
      <w:marTop w:val="0"/>
      <w:marBottom w:val="0"/>
      <w:divBdr>
        <w:top w:val="none" w:sz="0" w:space="0" w:color="auto"/>
        <w:left w:val="none" w:sz="0" w:space="0" w:color="auto"/>
        <w:bottom w:val="none" w:sz="0" w:space="0" w:color="auto"/>
        <w:right w:val="none" w:sz="0" w:space="0" w:color="auto"/>
      </w:divBdr>
    </w:div>
    <w:div w:id="648753072">
      <w:bodyDiv w:val="1"/>
      <w:marLeft w:val="0"/>
      <w:marRight w:val="0"/>
      <w:marTop w:val="0"/>
      <w:marBottom w:val="0"/>
      <w:divBdr>
        <w:top w:val="none" w:sz="0" w:space="0" w:color="auto"/>
        <w:left w:val="none" w:sz="0" w:space="0" w:color="auto"/>
        <w:bottom w:val="none" w:sz="0" w:space="0" w:color="auto"/>
        <w:right w:val="none" w:sz="0" w:space="0" w:color="auto"/>
      </w:divBdr>
    </w:div>
    <w:div w:id="648942075">
      <w:bodyDiv w:val="1"/>
      <w:marLeft w:val="0"/>
      <w:marRight w:val="0"/>
      <w:marTop w:val="0"/>
      <w:marBottom w:val="0"/>
      <w:divBdr>
        <w:top w:val="none" w:sz="0" w:space="0" w:color="auto"/>
        <w:left w:val="none" w:sz="0" w:space="0" w:color="auto"/>
        <w:bottom w:val="none" w:sz="0" w:space="0" w:color="auto"/>
        <w:right w:val="none" w:sz="0" w:space="0" w:color="auto"/>
      </w:divBdr>
    </w:div>
    <w:div w:id="649600117">
      <w:bodyDiv w:val="1"/>
      <w:marLeft w:val="0"/>
      <w:marRight w:val="0"/>
      <w:marTop w:val="0"/>
      <w:marBottom w:val="0"/>
      <w:divBdr>
        <w:top w:val="none" w:sz="0" w:space="0" w:color="auto"/>
        <w:left w:val="none" w:sz="0" w:space="0" w:color="auto"/>
        <w:bottom w:val="none" w:sz="0" w:space="0" w:color="auto"/>
        <w:right w:val="none" w:sz="0" w:space="0" w:color="auto"/>
      </w:divBdr>
    </w:div>
    <w:div w:id="649672795">
      <w:bodyDiv w:val="1"/>
      <w:marLeft w:val="0"/>
      <w:marRight w:val="0"/>
      <w:marTop w:val="0"/>
      <w:marBottom w:val="0"/>
      <w:divBdr>
        <w:top w:val="none" w:sz="0" w:space="0" w:color="auto"/>
        <w:left w:val="none" w:sz="0" w:space="0" w:color="auto"/>
        <w:bottom w:val="none" w:sz="0" w:space="0" w:color="auto"/>
        <w:right w:val="none" w:sz="0" w:space="0" w:color="auto"/>
      </w:divBdr>
    </w:div>
    <w:div w:id="650058703">
      <w:bodyDiv w:val="1"/>
      <w:marLeft w:val="0"/>
      <w:marRight w:val="0"/>
      <w:marTop w:val="0"/>
      <w:marBottom w:val="0"/>
      <w:divBdr>
        <w:top w:val="none" w:sz="0" w:space="0" w:color="auto"/>
        <w:left w:val="none" w:sz="0" w:space="0" w:color="auto"/>
        <w:bottom w:val="none" w:sz="0" w:space="0" w:color="auto"/>
        <w:right w:val="none" w:sz="0" w:space="0" w:color="auto"/>
      </w:divBdr>
    </w:div>
    <w:div w:id="650137015">
      <w:bodyDiv w:val="1"/>
      <w:marLeft w:val="0"/>
      <w:marRight w:val="0"/>
      <w:marTop w:val="0"/>
      <w:marBottom w:val="0"/>
      <w:divBdr>
        <w:top w:val="none" w:sz="0" w:space="0" w:color="auto"/>
        <w:left w:val="none" w:sz="0" w:space="0" w:color="auto"/>
        <w:bottom w:val="none" w:sz="0" w:space="0" w:color="auto"/>
        <w:right w:val="none" w:sz="0" w:space="0" w:color="auto"/>
      </w:divBdr>
    </w:div>
    <w:div w:id="650447208">
      <w:bodyDiv w:val="1"/>
      <w:marLeft w:val="0"/>
      <w:marRight w:val="0"/>
      <w:marTop w:val="0"/>
      <w:marBottom w:val="0"/>
      <w:divBdr>
        <w:top w:val="none" w:sz="0" w:space="0" w:color="auto"/>
        <w:left w:val="none" w:sz="0" w:space="0" w:color="auto"/>
        <w:bottom w:val="none" w:sz="0" w:space="0" w:color="auto"/>
        <w:right w:val="none" w:sz="0" w:space="0" w:color="auto"/>
      </w:divBdr>
    </w:div>
    <w:div w:id="651061257">
      <w:bodyDiv w:val="1"/>
      <w:marLeft w:val="0"/>
      <w:marRight w:val="0"/>
      <w:marTop w:val="0"/>
      <w:marBottom w:val="0"/>
      <w:divBdr>
        <w:top w:val="none" w:sz="0" w:space="0" w:color="auto"/>
        <w:left w:val="none" w:sz="0" w:space="0" w:color="auto"/>
        <w:bottom w:val="none" w:sz="0" w:space="0" w:color="auto"/>
        <w:right w:val="none" w:sz="0" w:space="0" w:color="auto"/>
      </w:divBdr>
    </w:div>
    <w:div w:id="651174371">
      <w:bodyDiv w:val="1"/>
      <w:marLeft w:val="0"/>
      <w:marRight w:val="0"/>
      <w:marTop w:val="0"/>
      <w:marBottom w:val="0"/>
      <w:divBdr>
        <w:top w:val="none" w:sz="0" w:space="0" w:color="auto"/>
        <w:left w:val="none" w:sz="0" w:space="0" w:color="auto"/>
        <w:bottom w:val="none" w:sz="0" w:space="0" w:color="auto"/>
        <w:right w:val="none" w:sz="0" w:space="0" w:color="auto"/>
      </w:divBdr>
    </w:div>
    <w:div w:id="651298243">
      <w:bodyDiv w:val="1"/>
      <w:marLeft w:val="0"/>
      <w:marRight w:val="0"/>
      <w:marTop w:val="0"/>
      <w:marBottom w:val="0"/>
      <w:divBdr>
        <w:top w:val="none" w:sz="0" w:space="0" w:color="auto"/>
        <w:left w:val="none" w:sz="0" w:space="0" w:color="auto"/>
        <w:bottom w:val="none" w:sz="0" w:space="0" w:color="auto"/>
        <w:right w:val="none" w:sz="0" w:space="0" w:color="auto"/>
      </w:divBdr>
    </w:div>
    <w:div w:id="651837286">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2680647">
      <w:bodyDiv w:val="1"/>
      <w:marLeft w:val="0"/>
      <w:marRight w:val="0"/>
      <w:marTop w:val="0"/>
      <w:marBottom w:val="0"/>
      <w:divBdr>
        <w:top w:val="none" w:sz="0" w:space="0" w:color="auto"/>
        <w:left w:val="none" w:sz="0" w:space="0" w:color="auto"/>
        <w:bottom w:val="none" w:sz="0" w:space="0" w:color="auto"/>
        <w:right w:val="none" w:sz="0" w:space="0" w:color="auto"/>
      </w:divBdr>
    </w:div>
    <w:div w:id="652755249">
      <w:bodyDiv w:val="1"/>
      <w:marLeft w:val="0"/>
      <w:marRight w:val="0"/>
      <w:marTop w:val="0"/>
      <w:marBottom w:val="0"/>
      <w:divBdr>
        <w:top w:val="none" w:sz="0" w:space="0" w:color="auto"/>
        <w:left w:val="none" w:sz="0" w:space="0" w:color="auto"/>
        <w:bottom w:val="none" w:sz="0" w:space="0" w:color="auto"/>
        <w:right w:val="none" w:sz="0" w:space="0" w:color="auto"/>
      </w:divBdr>
    </w:div>
    <w:div w:id="653028724">
      <w:bodyDiv w:val="1"/>
      <w:marLeft w:val="0"/>
      <w:marRight w:val="0"/>
      <w:marTop w:val="0"/>
      <w:marBottom w:val="0"/>
      <w:divBdr>
        <w:top w:val="none" w:sz="0" w:space="0" w:color="auto"/>
        <w:left w:val="none" w:sz="0" w:space="0" w:color="auto"/>
        <w:bottom w:val="none" w:sz="0" w:space="0" w:color="auto"/>
        <w:right w:val="none" w:sz="0" w:space="0" w:color="auto"/>
      </w:divBdr>
    </w:div>
    <w:div w:id="653067796">
      <w:bodyDiv w:val="1"/>
      <w:marLeft w:val="0"/>
      <w:marRight w:val="0"/>
      <w:marTop w:val="0"/>
      <w:marBottom w:val="0"/>
      <w:divBdr>
        <w:top w:val="none" w:sz="0" w:space="0" w:color="auto"/>
        <w:left w:val="none" w:sz="0" w:space="0" w:color="auto"/>
        <w:bottom w:val="none" w:sz="0" w:space="0" w:color="auto"/>
        <w:right w:val="none" w:sz="0" w:space="0" w:color="auto"/>
      </w:divBdr>
    </w:div>
    <w:div w:id="653143221">
      <w:bodyDiv w:val="1"/>
      <w:marLeft w:val="0"/>
      <w:marRight w:val="0"/>
      <w:marTop w:val="0"/>
      <w:marBottom w:val="0"/>
      <w:divBdr>
        <w:top w:val="none" w:sz="0" w:space="0" w:color="auto"/>
        <w:left w:val="none" w:sz="0" w:space="0" w:color="auto"/>
        <w:bottom w:val="none" w:sz="0" w:space="0" w:color="auto"/>
        <w:right w:val="none" w:sz="0" w:space="0" w:color="auto"/>
      </w:divBdr>
    </w:div>
    <w:div w:id="653336141">
      <w:bodyDiv w:val="1"/>
      <w:marLeft w:val="0"/>
      <w:marRight w:val="0"/>
      <w:marTop w:val="0"/>
      <w:marBottom w:val="0"/>
      <w:divBdr>
        <w:top w:val="none" w:sz="0" w:space="0" w:color="auto"/>
        <w:left w:val="none" w:sz="0" w:space="0" w:color="auto"/>
        <w:bottom w:val="none" w:sz="0" w:space="0" w:color="auto"/>
        <w:right w:val="none" w:sz="0" w:space="0" w:color="auto"/>
      </w:divBdr>
    </w:div>
    <w:div w:id="653677439">
      <w:bodyDiv w:val="1"/>
      <w:marLeft w:val="0"/>
      <w:marRight w:val="0"/>
      <w:marTop w:val="0"/>
      <w:marBottom w:val="0"/>
      <w:divBdr>
        <w:top w:val="none" w:sz="0" w:space="0" w:color="auto"/>
        <w:left w:val="none" w:sz="0" w:space="0" w:color="auto"/>
        <w:bottom w:val="none" w:sz="0" w:space="0" w:color="auto"/>
        <w:right w:val="none" w:sz="0" w:space="0" w:color="auto"/>
      </w:divBdr>
    </w:div>
    <w:div w:id="653727015">
      <w:bodyDiv w:val="1"/>
      <w:marLeft w:val="0"/>
      <w:marRight w:val="0"/>
      <w:marTop w:val="0"/>
      <w:marBottom w:val="0"/>
      <w:divBdr>
        <w:top w:val="none" w:sz="0" w:space="0" w:color="auto"/>
        <w:left w:val="none" w:sz="0" w:space="0" w:color="auto"/>
        <w:bottom w:val="none" w:sz="0" w:space="0" w:color="auto"/>
        <w:right w:val="none" w:sz="0" w:space="0" w:color="auto"/>
      </w:divBdr>
    </w:div>
    <w:div w:id="653799181">
      <w:bodyDiv w:val="1"/>
      <w:marLeft w:val="0"/>
      <w:marRight w:val="0"/>
      <w:marTop w:val="0"/>
      <w:marBottom w:val="0"/>
      <w:divBdr>
        <w:top w:val="none" w:sz="0" w:space="0" w:color="auto"/>
        <w:left w:val="none" w:sz="0" w:space="0" w:color="auto"/>
        <w:bottom w:val="none" w:sz="0" w:space="0" w:color="auto"/>
        <w:right w:val="none" w:sz="0" w:space="0" w:color="auto"/>
      </w:divBdr>
    </w:div>
    <w:div w:id="653802174">
      <w:bodyDiv w:val="1"/>
      <w:marLeft w:val="0"/>
      <w:marRight w:val="0"/>
      <w:marTop w:val="0"/>
      <w:marBottom w:val="0"/>
      <w:divBdr>
        <w:top w:val="none" w:sz="0" w:space="0" w:color="auto"/>
        <w:left w:val="none" w:sz="0" w:space="0" w:color="auto"/>
        <w:bottom w:val="none" w:sz="0" w:space="0" w:color="auto"/>
        <w:right w:val="none" w:sz="0" w:space="0" w:color="auto"/>
      </w:divBdr>
    </w:div>
    <w:div w:id="655764799">
      <w:bodyDiv w:val="1"/>
      <w:marLeft w:val="0"/>
      <w:marRight w:val="0"/>
      <w:marTop w:val="0"/>
      <w:marBottom w:val="0"/>
      <w:divBdr>
        <w:top w:val="none" w:sz="0" w:space="0" w:color="auto"/>
        <w:left w:val="none" w:sz="0" w:space="0" w:color="auto"/>
        <w:bottom w:val="none" w:sz="0" w:space="0" w:color="auto"/>
        <w:right w:val="none" w:sz="0" w:space="0" w:color="auto"/>
      </w:divBdr>
    </w:div>
    <w:div w:id="655769991">
      <w:bodyDiv w:val="1"/>
      <w:marLeft w:val="0"/>
      <w:marRight w:val="0"/>
      <w:marTop w:val="0"/>
      <w:marBottom w:val="0"/>
      <w:divBdr>
        <w:top w:val="none" w:sz="0" w:space="0" w:color="auto"/>
        <w:left w:val="none" w:sz="0" w:space="0" w:color="auto"/>
        <w:bottom w:val="none" w:sz="0" w:space="0" w:color="auto"/>
        <w:right w:val="none" w:sz="0" w:space="0" w:color="auto"/>
      </w:divBdr>
    </w:div>
    <w:div w:id="655843834">
      <w:bodyDiv w:val="1"/>
      <w:marLeft w:val="0"/>
      <w:marRight w:val="0"/>
      <w:marTop w:val="0"/>
      <w:marBottom w:val="0"/>
      <w:divBdr>
        <w:top w:val="none" w:sz="0" w:space="0" w:color="auto"/>
        <w:left w:val="none" w:sz="0" w:space="0" w:color="auto"/>
        <w:bottom w:val="none" w:sz="0" w:space="0" w:color="auto"/>
        <w:right w:val="none" w:sz="0" w:space="0" w:color="auto"/>
      </w:divBdr>
    </w:div>
    <w:div w:id="655961815">
      <w:bodyDiv w:val="1"/>
      <w:marLeft w:val="0"/>
      <w:marRight w:val="0"/>
      <w:marTop w:val="0"/>
      <w:marBottom w:val="0"/>
      <w:divBdr>
        <w:top w:val="none" w:sz="0" w:space="0" w:color="auto"/>
        <w:left w:val="none" w:sz="0" w:space="0" w:color="auto"/>
        <w:bottom w:val="none" w:sz="0" w:space="0" w:color="auto"/>
        <w:right w:val="none" w:sz="0" w:space="0" w:color="auto"/>
      </w:divBdr>
    </w:div>
    <w:div w:id="656038886">
      <w:bodyDiv w:val="1"/>
      <w:marLeft w:val="0"/>
      <w:marRight w:val="0"/>
      <w:marTop w:val="0"/>
      <w:marBottom w:val="0"/>
      <w:divBdr>
        <w:top w:val="none" w:sz="0" w:space="0" w:color="auto"/>
        <w:left w:val="none" w:sz="0" w:space="0" w:color="auto"/>
        <w:bottom w:val="none" w:sz="0" w:space="0" w:color="auto"/>
        <w:right w:val="none" w:sz="0" w:space="0" w:color="auto"/>
      </w:divBdr>
    </w:div>
    <w:div w:id="656111788">
      <w:bodyDiv w:val="1"/>
      <w:marLeft w:val="0"/>
      <w:marRight w:val="0"/>
      <w:marTop w:val="0"/>
      <w:marBottom w:val="0"/>
      <w:divBdr>
        <w:top w:val="none" w:sz="0" w:space="0" w:color="auto"/>
        <w:left w:val="none" w:sz="0" w:space="0" w:color="auto"/>
        <w:bottom w:val="none" w:sz="0" w:space="0" w:color="auto"/>
        <w:right w:val="none" w:sz="0" w:space="0" w:color="auto"/>
      </w:divBdr>
    </w:div>
    <w:div w:id="656615438">
      <w:bodyDiv w:val="1"/>
      <w:marLeft w:val="0"/>
      <w:marRight w:val="0"/>
      <w:marTop w:val="0"/>
      <w:marBottom w:val="0"/>
      <w:divBdr>
        <w:top w:val="none" w:sz="0" w:space="0" w:color="auto"/>
        <w:left w:val="none" w:sz="0" w:space="0" w:color="auto"/>
        <w:bottom w:val="none" w:sz="0" w:space="0" w:color="auto"/>
        <w:right w:val="none" w:sz="0" w:space="0" w:color="auto"/>
      </w:divBdr>
    </w:div>
    <w:div w:id="656883336">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56963066">
      <w:bodyDiv w:val="1"/>
      <w:marLeft w:val="0"/>
      <w:marRight w:val="0"/>
      <w:marTop w:val="0"/>
      <w:marBottom w:val="0"/>
      <w:divBdr>
        <w:top w:val="none" w:sz="0" w:space="0" w:color="auto"/>
        <w:left w:val="none" w:sz="0" w:space="0" w:color="auto"/>
        <w:bottom w:val="none" w:sz="0" w:space="0" w:color="auto"/>
        <w:right w:val="none" w:sz="0" w:space="0" w:color="auto"/>
      </w:divBdr>
    </w:div>
    <w:div w:id="657152759">
      <w:bodyDiv w:val="1"/>
      <w:marLeft w:val="0"/>
      <w:marRight w:val="0"/>
      <w:marTop w:val="0"/>
      <w:marBottom w:val="0"/>
      <w:divBdr>
        <w:top w:val="none" w:sz="0" w:space="0" w:color="auto"/>
        <w:left w:val="none" w:sz="0" w:space="0" w:color="auto"/>
        <w:bottom w:val="none" w:sz="0" w:space="0" w:color="auto"/>
        <w:right w:val="none" w:sz="0" w:space="0" w:color="auto"/>
      </w:divBdr>
    </w:div>
    <w:div w:id="658385877">
      <w:bodyDiv w:val="1"/>
      <w:marLeft w:val="0"/>
      <w:marRight w:val="0"/>
      <w:marTop w:val="0"/>
      <w:marBottom w:val="0"/>
      <w:divBdr>
        <w:top w:val="none" w:sz="0" w:space="0" w:color="auto"/>
        <w:left w:val="none" w:sz="0" w:space="0" w:color="auto"/>
        <w:bottom w:val="none" w:sz="0" w:space="0" w:color="auto"/>
        <w:right w:val="none" w:sz="0" w:space="0" w:color="auto"/>
      </w:divBdr>
    </w:div>
    <w:div w:id="658387410">
      <w:bodyDiv w:val="1"/>
      <w:marLeft w:val="0"/>
      <w:marRight w:val="0"/>
      <w:marTop w:val="0"/>
      <w:marBottom w:val="0"/>
      <w:divBdr>
        <w:top w:val="none" w:sz="0" w:space="0" w:color="auto"/>
        <w:left w:val="none" w:sz="0" w:space="0" w:color="auto"/>
        <w:bottom w:val="none" w:sz="0" w:space="0" w:color="auto"/>
        <w:right w:val="none" w:sz="0" w:space="0" w:color="auto"/>
      </w:divBdr>
    </w:div>
    <w:div w:id="658533651">
      <w:bodyDiv w:val="1"/>
      <w:marLeft w:val="0"/>
      <w:marRight w:val="0"/>
      <w:marTop w:val="0"/>
      <w:marBottom w:val="0"/>
      <w:divBdr>
        <w:top w:val="none" w:sz="0" w:space="0" w:color="auto"/>
        <w:left w:val="none" w:sz="0" w:space="0" w:color="auto"/>
        <w:bottom w:val="none" w:sz="0" w:space="0" w:color="auto"/>
        <w:right w:val="none" w:sz="0" w:space="0" w:color="auto"/>
      </w:divBdr>
    </w:div>
    <w:div w:id="658772734">
      <w:bodyDiv w:val="1"/>
      <w:marLeft w:val="0"/>
      <w:marRight w:val="0"/>
      <w:marTop w:val="0"/>
      <w:marBottom w:val="0"/>
      <w:divBdr>
        <w:top w:val="none" w:sz="0" w:space="0" w:color="auto"/>
        <w:left w:val="none" w:sz="0" w:space="0" w:color="auto"/>
        <w:bottom w:val="none" w:sz="0" w:space="0" w:color="auto"/>
        <w:right w:val="none" w:sz="0" w:space="0" w:color="auto"/>
      </w:divBdr>
    </w:div>
    <w:div w:id="658970318">
      <w:bodyDiv w:val="1"/>
      <w:marLeft w:val="0"/>
      <w:marRight w:val="0"/>
      <w:marTop w:val="0"/>
      <w:marBottom w:val="0"/>
      <w:divBdr>
        <w:top w:val="none" w:sz="0" w:space="0" w:color="auto"/>
        <w:left w:val="none" w:sz="0" w:space="0" w:color="auto"/>
        <w:bottom w:val="none" w:sz="0" w:space="0" w:color="auto"/>
        <w:right w:val="none" w:sz="0" w:space="0" w:color="auto"/>
      </w:divBdr>
    </w:div>
    <w:div w:id="659505004">
      <w:bodyDiv w:val="1"/>
      <w:marLeft w:val="0"/>
      <w:marRight w:val="0"/>
      <w:marTop w:val="0"/>
      <w:marBottom w:val="0"/>
      <w:divBdr>
        <w:top w:val="none" w:sz="0" w:space="0" w:color="auto"/>
        <w:left w:val="none" w:sz="0" w:space="0" w:color="auto"/>
        <w:bottom w:val="none" w:sz="0" w:space="0" w:color="auto"/>
        <w:right w:val="none" w:sz="0" w:space="0" w:color="auto"/>
      </w:divBdr>
    </w:div>
    <w:div w:id="659695327">
      <w:bodyDiv w:val="1"/>
      <w:marLeft w:val="0"/>
      <w:marRight w:val="0"/>
      <w:marTop w:val="0"/>
      <w:marBottom w:val="0"/>
      <w:divBdr>
        <w:top w:val="none" w:sz="0" w:space="0" w:color="auto"/>
        <w:left w:val="none" w:sz="0" w:space="0" w:color="auto"/>
        <w:bottom w:val="none" w:sz="0" w:space="0" w:color="auto"/>
        <w:right w:val="none" w:sz="0" w:space="0" w:color="auto"/>
      </w:divBdr>
    </w:div>
    <w:div w:id="660040735">
      <w:bodyDiv w:val="1"/>
      <w:marLeft w:val="0"/>
      <w:marRight w:val="0"/>
      <w:marTop w:val="0"/>
      <w:marBottom w:val="0"/>
      <w:divBdr>
        <w:top w:val="none" w:sz="0" w:space="0" w:color="auto"/>
        <w:left w:val="none" w:sz="0" w:space="0" w:color="auto"/>
        <w:bottom w:val="none" w:sz="0" w:space="0" w:color="auto"/>
        <w:right w:val="none" w:sz="0" w:space="0" w:color="auto"/>
      </w:divBdr>
    </w:div>
    <w:div w:id="660079608">
      <w:bodyDiv w:val="1"/>
      <w:marLeft w:val="0"/>
      <w:marRight w:val="0"/>
      <w:marTop w:val="0"/>
      <w:marBottom w:val="0"/>
      <w:divBdr>
        <w:top w:val="none" w:sz="0" w:space="0" w:color="auto"/>
        <w:left w:val="none" w:sz="0" w:space="0" w:color="auto"/>
        <w:bottom w:val="none" w:sz="0" w:space="0" w:color="auto"/>
        <w:right w:val="none" w:sz="0" w:space="0" w:color="auto"/>
      </w:divBdr>
    </w:div>
    <w:div w:id="660086842">
      <w:bodyDiv w:val="1"/>
      <w:marLeft w:val="0"/>
      <w:marRight w:val="0"/>
      <w:marTop w:val="0"/>
      <w:marBottom w:val="0"/>
      <w:divBdr>
        <w:top w:val="none" w:sz="0" w:space="0" w:color="auto"/>
        <w:left w:val="none" w:sz="0" w:space="0" w:color="auto"/>
        <w:bottom w:val="none" w:sz="0" w:space="0" w:color="auto"/>
        <w:right w:val="none" w:sz="0" w:space="0" w:color="auto"/>
      </w:divBdr>
    </w:div>
    <w:div w:id="660280221">
      <w:bodyDiv w:val="1"/>
      <w:marLeft w:val="0"/>
      <w:marRight w:val="0"/>
      <w:marTop w:val="0"/>
      <w:marBottom w:val="0"/>
      <w:divBdr>
        <w:top w:val="none" w:sz="0" w:space="0" w:color="auto"/>
        <w:left w:val="none" w:sz="0" w:space="0" w:color="auto"/>
        <w:bottom w:val="none" w:sz="0" w:space="0" w:color="auto"/>
        <w:right w:val="none" w:sz="0" w:space="0" w:color="auto"/>
      </w:divBdr>
    </w:div>
    <w:div w:id="660625405">
      <w:bodyDiv w:val="1"/>
      <w:marLeft w:val="0"/>
      <w:marRight w:val="0"/>
      <w:marTop w:val="0"/>
      <w:marBottom w:val="0"/>
      <w:divBdr>
        <w:top w:val="none" w:sz="0" w:space="0" w:color="auto"/>
        <w:left w:val="none" w:sz="0" w:space="0" w:color="auto"/>
        <w:bottom w:val="none" w:sz="0" w:space="0" w:color="auto"/>
        <w:right w:val="none" w:sz="0" w:space="0" w:color="auto"/>
      </w:divBdr>
    </w:div>
    <w:div w:id="660932809">
      <w:bodyDiv w:val="1"/>
      <w:marLeft w:val="0"/>
      <w:marRight w:val="0"/>
      <w:marTop w:val="0"/>
      <w:marBottom w:val="0"/>
      <w:divBdr>
        <w:top w:val="none" w:sz="0" w:space="0" w:color="auto"/>
        <w:left w:val="none" w:sz="0" w:space="0" w:color="auto"/>
        <w:bottom w:val="none" w:sz="0" w:space="0" w:color="auto"/>
        <w:right w:val="none" w:sz="0" w:space="0" w:color="auto"/>
      </w:divBdr>
    </w:div>
    <w:div w:id="661010953">
      <w:bodyDiv w:val="1"/>
      <w:marLeft w:val="0"/>
      <w:marRight w:val="0"/>
      <w:marTop w:val="0"/>
      <w:marBottom w:val="0"/>
      <w:divBdr>
        <w:top w:val="none" w:sz="0" w:space="0" w:color="auto"/>
        <w:left w:val="none" w:sz="0" w:space="0" w:color="auto"/>
        <w:bottom w:val="none" w:sz="0" w:space="0" w:color="auto"/>
        <w:right w:val="none" w:sz="0" w:space="0" w:color="auto"/>
      </w:divBdr>
    </w:div>
    <w:div w:id="661347599">
      <w:bodyDiv w:val="1"/>
      <w:marLeft w:val="0"/>
      <w:marRight w:val="0"/>
      <w:marTop w:val="0"/>
      <w:marBottom w:val="0"/>
      <w:divBdr>
        <w:top w:val="none" w:sz="0" w:space="0" w:color="auto"/>
        <w:left w:val="none" w:sz="0" w:space="0" w:color="auto"/>
        <w:bottom w:val="none" w:sz="0" w:space="0" w:color="auto"/>
        <w:right w:val="none" w:sz="0" w:space="0" w:color="auto"/>
      </w:divBdr>
    </w:div>
    <w:div w:id="661932096">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196841">
      <w:bodyDiv w:val="1"/>
      <w:marLeft w:val="0"/>
      <w:marRight w:val="0"/>
      <w:marTop w:val="0"/>
      <w:marBottom w:val="0"/>
      <w:divBdr>
        <w:top w:val="none" w:sz="0" w:space="0" w:color="auto"/>
        <w:left w:val="none" w:sz="0" w:space="0" w:color="auto"/>
        <w:bottom w:val="none" w:sz="0" w:space="0" w:color="auto"/>
        <w:right w:val="none" w:sz="0" w:space="0" w:color="auto"/>
      </w:divBdr>
    </w:div>
    <w:div w:id="662242709">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3558441">
      <w:bodyDiv w:val="1"/>
      <w:marLeft w:val="0"/>
      <w:marRight w:val="0"/>
      <w:marTop w:val="0"/>
      <w:marBottom w:val="0"/>
      <w:divBdr>
        <w:top w:val="none" w:sz="0" w:space="0" w:color="auto"/>
        <w:left w:val="none" w:sz="0" w:space="0" w:color="auto"/>
        <w:bottom w:val="none" w:sz="0" w:space="0" w:color="auto"/>
        <w:right w:val="none" w:sz="0" w:space="0" w:color="auto"/>
      </w:divBdr>
    </w:div>
    <w:div w:id="663632513">
      <w:bodyDiv w:val="1"/>
      <w:marLeft w:val="0"/>
      <w:marRight w:val="0"/>
      <w:marTop w:val="0"/>
      <w:marBottom w:val="0"/>
      <w:divBdr>
        <w:top w:val="none" w:sz="0" w:space="0" w:color="auto"/>
        <w:left w:val="none" w:sz="0" w:space="0" w:color="auto"/>
        <w:bottom w:val="none" w:sz="0" w:space="0" w:color="auto"/>
        <w:right w:val="none" w:sz="0" w:space="0" w:color="auto"/>
      </w:divBdr>
    </w:div>
    <w:div w:id="663703949">
      <w:bodyDiv w:val="1"/>
      <w:marLeft w:val="0"/>
      <w:marRight w:val="0"/>
      <w:marTop w:val="0"/>
      <w:marBottom w:val="0"/>
      <w:divBdr>
        <w:top w:val="none" w:sz="0" w:space="0" w:color="auto"/>
        <w:left w:val="none" w:sz="0" w:space="0" w:color="auto"/>
        <w:bottom w:val="none" w:sz="0" w:space="0" w:color="auto"/>
        <w:right w:val="none" w:sz="0" w:space="0" w:color="auto"/>
      </w:divBdr>
    </w:div>
    <w:div w:id="663972914">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4745487">
      <w:bodyDiv w:val="1"/>
      <w:marLeft w:val="0"/>
      <w:marRight w:val="0"/>
      <w:marTop w:val="0"/>
      <w:marBottom w:val="0"/>
      <w:divBdr>
        <w:top w:val="none" w:sz="0" w:space="0" w:color="auto"/>
        <w:left w:val="none" w:sz="0" w:space="0" w:color="auto"/>
        <w:bottom w:val="none" w:sz="0" w:space="0" w:color="auto"/>
        <w:right w:val="none" w:sz="0" w:space="0" w:color="auto"/>
      </w:divBdr>
    </w:div>
    <w:div w:id="664822443">
      <w:bodyDiv w:val="1"/>
      <w:marLeft w:val="0"/>
      <w:marRight w:val="0"/>
      <w:marTop w:val="0"/>
      <w:marBottom w:val="0"/>
      <w:divBdr>
        <w:top w:val="none" w:sz="0" w:space="0" w:color="auto"/>
        <w:left w:val="none" w:sz="0" w:space="0" w:color="auto"/>
        <w:bottom w:val="none" w:sz="0" w:space="0" w:color="auto"/>
        <w:right w:val="none" w:sz="0" w:space="0" w:color="auto"/>
      </w:divBdr>
    </w:div>
    <w:div w:id="664894815">
      <w:bodyDiv w:val="1"/>
      <w:marLeft w:val="0"/>
      <w:marRight w:val="0"/>
      <w:marTop w:val="0"/>
      <w:marBottom w:val="0"/>
      <w:divBdr>
        <w:top w:val="none" w:sz="0" w:space="0" w:color="auto"/>
        <w:left w:val="none" w:sz="0" w:space="0" w:color="auto"/>
        <w:bottom w:val="none" w:sz="0" w:space="0" w:color="auto"/>
        <w:right w:val="none" w:sz="0" w:space="0" w:color="auto"/>
      </w:divBdr>
    </w:div>
    <w:div w:id="664937642">
      <w:bodyDiv w:val="1"/>
      <w:marLeft w:val="0"/>
      <w:marRight w:val="0"/>
      <w:marTop w:val="0"/>
      <w:marBottom w:val="0"/>
      <w:divBdr>
        <w:top w:val="none" w:sz="0" w:space="0" w:color="auto"/>
        <w:left w:val="none" w:sz="0" w:space="0" w:color="auto"/>
        <w:bottom w:val="none" w:sz="0" w:space="0" w:color="auto"/>
        <w:right w:val="none" w:sz="0" w:space="0" w:color="auto"/>
      </w:divBdr>
    </w:div>
    <w:div w:id="665091478">
      <w:bodyDiv w:val="1"/>
      <w:marLeft w:val="0"/>
      <w:marRight w:val="0"/>
      <w:marTop w:val="0"/>
      <w:marBottom w:val="0"/>
      <w:divBdr>
        <w:top w:val="none" w:sz="0" w:space="0" w:color="auto"/>
        <w:left w:val="none" w:sz="0" w:space="0" w:color="auto"/>
        <w:bottom w:val="none" w:sz="0" w:space="0" w:color="auto"/>
        <w:right w:val="none" w:sz="0" w:space="0" w:color="auto"/>
      </w:divBdr>
    </w:div>
    <w:div w:id="665282599">
      <w:bodyDiv w:val="1"/>
      <w:marLeft w:val="0"/>
      <w:marRight w:val="0"/>
      <w:marTop w:val="0"/>
      <w:marBottom w:val="0"/>
      <w:divBdr>
        <w:top w:val="none" w:sz="0" w:space="0" w:color="auto"/>
        <w:left w:val="none" w:sz="0" w:space="0" w:color="auto"/>
        <w:bottom w:val="none" w:sz="0" w:space="0" w:color="auto"/>
        <w:right w:val="none" w:sz="0" w:space="0" w:color="auto"/>
      </w:divBdr>
    </w:div>
    <w:div w:id="665741237">
      <w:bodyDiv w:val="1"/>
      <w:marLeft w:val="0"/>
      <w:marRight w:val="0"/>
      <w:marTop w:val="0"/>
      <w:marBottom w:val="0"/>
      <w:divBdr>
        <w:top w:val="none" w:sz="0" w:space="0" w:color="auto"/>
        <w:left w:val="none" w:sz="0" w:space="0" w:color="auto"/>
        <w:bottom w:val="none" w:sz="0" w:space="0" w:color="auto"/>
        <w:right w:val="none" w:sz="0" w:space="0" w:color="auto"/>
      </w:divBdr>
    </w:div>
    <w:div w:id="666130357">
      <w:bodyDiv w:val="1"/>
      <w:marLeft w:val="0"/>
      <w:marRight w:val="0"/>
      <w:marTop w:val="0"/>
      <w:marBottom w:val="0"/>
      <w:divBdr>
        <w:top w:val="none" w:sz="0" w:space="0" w:color="auto"/>
        <w:left w:val="none" w:sz="0" w:space="0" w:color="auto"/>
        <w:bottom w:val="none" w:sz="0" w:space="0" w:color="auto"/>
        <w:right w:val="none" w:sz="0" w:space="0" w:color="auto"/>
      </w:divBdr>
    </w:div>
    <w:div w:id="666205370">
      <w:bodyDiv w:val="1"/>
      <w:marLeft w:val="0"/>
      <w:marRight w:val="0"/>
      <w:marTop w:val="0"/>
      <w:marBottom w:val="0"/>
      <w:divBdr>
        <w:top w:val="none" w:sz="0" w:space="0" w:color="auto"/>
        <w:left w:val="none" w:sz="0" w:space="0" w:color="auto"/>
        <w:bottom w:val="none" w:sz="0" w:space="0" w:color="auto"/>
        <w:right w:val="none" w:sz="0" w:space="0" w:color="auto"/>
      </w:divBdr>
    </w:div>
    <w:div w:id="666247462">
      <w:bodyDiv w:val="1"/>
      <w:marLeft w:val="0"/>
      <w:marRight w:val="0"/>
      <w:marTop w:val="0"/>
      <w:marBottom w:val="0"/>
      <w:divBdr>
        <w:top w:val="none" w:sz="0" w:space="0" w:color="auto"/>
        <w:left w:val="none" w:sz="0" w:space="0" w:color="auto"/>
        <w:bottom w:val="none" w:sz="0" w:space="0" w:color="auto"/>
        <w:right w:val="none" w:sz="0" w:space="0" w:color="auto"/>
      </w:divBdr>
    </w:div>
    <w:div w:id="666399208">
      <w:bodyDiv w:val="1"/>
      <w:marLeft w:val="0"/>
      <w:marRight w:val="0"/>
      <w:marTop w:val="0"/>
      <w:marBottom w:val="0"/>
      <w:divBdr>
        <w:top w:val="none" w:sz="0" w:space="0" w:color="auto"/>
        <w:left w:val="none" w:sz="0" w:space="0" w:color="auto"/>
        <w:bottom w:val="none" w:sz="0" w:space="0" w:color="auto"/>
        <w:right w:val="none" w:sz="0" w:space="0" w:color="auto"/>
      </w:divBdr>
    </w:div>
    <w:div w:id="666400854">
      <w:bodyDiv w:val="1"/>
      <w:marLeft w:val="0"/>
      <w:marRight w:val="0"/>
      <w:marTop w:val="0"/>
      <w:marBottom w:val="0"/>
      <w:divBdr>
        <w:top w:val="none" w:sz="0" w:space="0" w:color="auto"/>
        <w:left w:val="none" w:sz="0" w:space="0" w:color="auto"/>
        <w:bottom w:val="none" w:sz="0" w:space="0" w:color="auto"/>
        <w:right w:val="none" w:sz="0" w:space="0" w:color="auto"/>
      </w:divBdr>
    </w:div>
    <w:div w:id="666444954">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66784357">
      <w:bodyDiv w:val="1"/>
      <w:marLeft w:val="0"/>
      <w:marRight w:val="0"/>
      <w:marTop w:val="0"/>
      <w:marBottom w:val="0"/>
      <w:divBdr>
        <w:top w:val="none" w:sz="0" w:space="0" w:color="auto"/>
        <w:left w:val="none" w:sz="0" w:space="0" w:color="auto"/>
        <w:bottom w:val="none" w:sz="0" w:space="0" w:color="auto"/>
        <w:right w:val="none" w:sz="0" w:space="0" w:color="auto"/>
      </w:divBdr>
    </w:div>
    <w:div w:id="666909710">
      <w:bodyDiv w:val="1"/>
      <w:marLeft w:val="0"/>
      <w:marRight w:val="0"/>
      <w:marTop w:val="0"/>
      <w:marBottom w:val="0"/>
      <w:divBdr>
        <w:top w:val="none" w:sz="0" w:space="0" w:color="auto"/>
        <w:left w:val="none" w:sz="0" w:space="0" w:color="auto"/>
        <w:bottom w:val="none" w:sz="0" w:space="0" w:color="auto"/>
        <w:right w:val="none" w:sz="0" w:space="0" w:color="auto"/>
      </w:divBdr>
    </w:div>
    <w:div w:id="667098897">
      <w:bodyDiv w:val="1"/>
      <w:marLeft w:val="0"/>
      <w:marRight w:val="0"/>
      <w:marTop w:val="0"/>
      <w:marBottom w:val="0"/>
      <w:divBdr>
        <w:top w:val="none" w:sz="0" w:space="0" w:color="auto"/>
        <w:left w:val="none" w:sz="0" w:space="0" w:color="auto"/>
        <w:bottom w:val="none" w:sz="0" w:space="0" w:color="auto"/>
        <w:right w:val="none" w:sz="0" w:space="0" w:color="auto"/>
      </w:divBdr>
    </w:div>
    <w:div w:id="667363368">
      <w:bodyDiv w:val="1"/>
      <w:marLeft w:val="0"/>
      <w:marRight w:val="0"/>
      <w:marTop w:val="0"/>
      <w:marBottom w:val="0"/>
      <w:divBdr>
        <w:top w:val="none" w:sz="0" w:space="0" w:color="auto"/>
        <w:left w:val="none" w:sz="0" w:space="0" w:color="auto"/>
        <w:bottom w:val="none" w:sz="0" w:space="0" w:color="auto"/>
        <w:right w:val="none" w:sz="0" w:space="0" w:color="auto"/>
      </w:divBdr>
    </w:div>
    <w:div w:id="667441986">
      <w:bodyDiv w:val="1"/>
      <w:marLeft w:val="0"/>
      <w:marRight w:val="0"/>
      <w:marTop w:val="0"/>
      <w:marBottom w:val="0"/>
      <w:divBdr>
        <w:top w:val="none" w:sz="0" w:space="0" w:color="auto"/>
        <w:left w:val="none" w:sz="0" w:space="0" w:color="auto"/>
        <w:bottom w:val="none" w:sz="0" w:space="0" w:color="auto"/>
        <w:right w:val="none" w:sz="0" w:space="0" w:color="auto"/>
      </w:divBdr>
    </w:div>
    <w:div w:id="667632778">
      <w:bodyDiv w:val="1"/>
      <w:marLeft w:val="0"/>
      <w:marRight w:val="0"/>
      <w:marTop w:val="0"/>
      <w:marBottom w:val="0"/>
      <w:divBdr>
        <w:top w:val="none" w:sz="0" w:space="0" w:color="auto"/>
        <w:left w:val="none" w:sz="0" w:space="0" w:color="auto"/>
        <w:bottom w:val="none" w:sz="0" w:space="0" w:color="auto"/>
        <w:right w:val="none" w:sz="0" w:space="0" w:color="auto"/>
      </w:divBdr>
    </w:div>
    <w:div w:id="667753053">
      <w:bodyDiv w:val="1"/>
      <w:marLeft w:val="0"/>
      <w:marRight w:val="0"/>
      <w:marTop w:val="0"/>
      <w:marBottom w:val="0"/>
      <w:divBdr>
        <w:top w:val="none" w:sz="0" w:space="0" w:color="auto"/>
        <w:left w:val="none" w:sz="0" w:space="0" w:color="auto"/>
        <w:bottom w:val="none" w:sz="0" w:space="0" w:color="auto"/>
        <w:right w:val="none" w:sz="0" w:space="0" w:color="auto"/>
      </w:divBdr>
    </w:div>
    <w:div w:id="667909059">
      <w:bodyDiv w:val="1"/>
      <w:marLeft w:val="0"/>
      <w:marRight w:val="0"/>
      <w:marTop w:val="0"/>
      <w:marBottom w:val="0"/>
      <w:divBdr>
        <w:top w:val="none" w:sz="0" w:space="0" w:color="auto"/>
        <w:left w:val="none" w:sz="0" w:space="0" w:color="auto"/>
        <w:bottom w:val="none" w:sz="0" w:space="0" w:color="auto"/>
        <w:right w:val="none" w:sz="0" w:space="0" w:color="auto"/>
      </w:divBdr>
    </w:div>
    <w:div w:id="667951042">
      <w:bodyDiv w:val="1"/>
      <w:marLeft w:val="0"/>
      <w:marRight w:val="0"/>
      <w:marTop w:val="0"/>
      <w:marBottom w:val="0"/>
      <w:divBdr>
        <w:top w:val="none" w:sz="0" w:space="0" w:color="auto"/>
        <w:left w:val="none" w:sz="0" w:space="0" w:color="auto"/>
        <w:bottom w:val="none" w:sz="0" w:space="0" w:color="auto"/>
        <w:right w:val="none" w:sz="0" w:space="0" w:color="auto"/>
      </w:divBdr>
    </w:div>
    <w:div w:id="668099791">
      <w:bodyDiv w:val="1"/>
      <w:marLeft w:val="0"/>
      <w:marRight w:val="0"/>
      <w:marTop w:val="0"/>
      <w:marBottom w:val="0"/>
      <w:divBdr>
        <w:top w:val="none" w:sz="0" w:space="0" w:color="auto"/>
        <w:left w:val="none" w:sz="0" w:space="0" w:color="auto"/>
        <w:bottom w:val="none" w:sz="0" w:space="0" w:color="auto"/>
        <w:right w:val="none" w:sz="0" w:space="0" w:color="auto"/>
      </w:divBdr>
    </w:div>
    <w:div w:id="668362745">
      <w:bodyDiv w:val="1"/>
      <w:marLeft w:val="0"/>
      <w:marRight w:val="0"/>
      <w:marTop w:val="0"/>
      <w:marBottom w:val="0"/>
      <w:divBdr>
        <w:top w:val="none" w:sz="0" w:space="0" w:color="auto"/>
        <w:left w:val="none" w:sz="0" w:space="0" w:color="auto"/>
        <w:bottom w:val="none" w:sz="0" w:space="0" w:color="auto"/>
        <w:right w:val="none" w:sz="0" w:space="0" w:color="auto"/>
      </w:divBdr>
    </w:div>
    <w:div w:id="668363472">
      <w:bodyDiv w:val="1"/>
      <w:marLeft w:val="0"/>
      <w:marRight w:val="0"/>
      <w:marTop w:val="0"/>
      <w:marBottom w:val="0"/>
      <w:divBdr>
        <w:top w:val="none" w:sz="0" w:space="0" w:color="auto"/>
        <w:left w:val="none" w:sz="0" w:space="0" w:color="auto"/>
        <w:bottom w:val="none" w:sz="0" w:space="0" w:color="auto"/>
        <w:right w:val="none" w:sz="0" w:space="0" w:color="auto"/>
      </w:divBdr>
    </w:div>
    <w:div w:id="668603336">
      <w:bodyDiv w:val="1"/>
      <w:marLeft w:val="0"/>
      <w:marRight w:val="0"/>
      <w:marTop w:val="0"/>
      <w:marBottom w:val="0"/>
      <w:divBdr>
        <w:top w:val="none" w:sz="0" w:space="0" w:color="auto"/>
        <w:left w:val="none" w:sz="0" w:space="0" w:color="auto"/>
        <w:bottom w:val="none" w:sz="0" w:space="0" w:color="auto"/>
        <w:right w:val="none" w:sz="0" w:space="0" w:color="auto"/>
      </w:divBdr>
    </w:div>
    <w:div w:id="668799659">
      <w:bodyDiv w:val="1"/>
      <w:marLeft w:val="0"/>
      <w:marRight w:val="0"/>
      <w:marTop w:val="0"/>
      <w:marBottom w:val="0"/>
      <w:divBdr>
        <w:top w:val="none" w:sz="0" w:space="0" w:color="auto"/>
        <w:left w:val="none" w:sz="0" w:space="0" w:color="auto"/>
        <w:bottom w:val="none" w:sz="0" w:space="0" w:color="auto"/>
        <w:right w:val="none" w:sz="0" w:space="0" w:color="auto"/>
      </w:divBdr>
    </w:div>
    <w:div w:id="668873528">
      <w:bodyDiv w:val="1"/>
      <w:marLeft w:val="0"/>
      <w:marRight w:val="0"/>
      <w:marTop w:val="0"/>
      <w:marBottom w:val="0"/>
      <w:divBdr>
        <w:top w:val="none" w:sz="0" w:space="0" w:color="auto"/>
        <w:left w:val="none" w:sz="0" w:space="0" w:color="auto"/>
        <w:bottom w:val="none" w:sz="0" w:space="0" w:color="auto"/>
        <w:right w:val="none" w:sz="0" w:space="0" w:color="auto"/>
      </w:divBdr>
    </w:div>
    <w:div w:id="668875618">
      <w:bodyDiv w:val="1"/>
      <w:marLeft w:val="0"/>
      <w:marRight w:val="0"/>
      <w:marTop w:val="0"/>
      <w:marBottom w:val="0"/>
      <w:divBdr>
        <w:top w:val="none" w:sz="0" w:space="0" w:color="auto"/>
        <w:left w:val="none" w:sz="0" w:space="0" w:color="auto"/>
        <w:bottom w:val="none" w:sz="0" w:space="0" w:color="auto"/>
        <w:right w:val="none" w:sz="0" w:space="0" w:color="auto"/>
      </w:divBdr>
    </w:div>
    <w:div w:id="669068556">
      <w:bodyDiv w:val="1"/>
      <w:marLeft w:val="0"/>
      <w:marRight w:val="0"/>
      <w:marTop w:val="0"/>
      <w:marBottom w:val="0"/>
      <w:divBdr>
        <w:top w:val="none" w:sz="0" w:space="0" w:color="auto"/>
        <w:left w:val="none" w:sz="0" w:space="0" w:color="auto"/>
        <w:bottom w:val="none" w:sz="0" w:space="0" w:color="auto"/>
        <w:right w:val="none" w:sz="0" w:space="0" w:color="auto"/>
      </w:divBdr>
    </w:div>
    <w:div w:id="669405895">
      <w:bodyDiv w:val="1"/>
      <w:marLeft w:val="0"/>
      <w:marRight w:val="0"/>
      <w:marTop w:val="0"/>
      <w:marBottom w:val="0"/>
      <w:divBdr>
        <w:top w:val="none" w:sz="0" w:space="0" w:color="auto"/>
        <w:left w:val="none" w:sz="0" w:space="0" w:color="auto"/>
        <w:bottom w:val="none" w:sz="0" w:space="0" w:color="auto"/>
        <w:right w:val="none" w:sz="0" w:space="0" w:color="auto"/>
      </w:divBdr>
    </w:div>
    <w:div w:id="669453518">
      <w:bodyDiv w:val="1"/>
      <w:marLeft w:val="0"/>
      <w:marRight w:val="0"/>
      <w:marTop w:val="0"/>
      <w:marBottom w:val="0"/>
      <w:divBdr>
        <w:top w:val="none" w:sz="0" w:space="0" w:color="auto"/>
        <w:left w:val="none" w:sz="0" w:space="0" w:color="auto"/>
        <w:bottom w:val="none" w:sz="0" w:space="0" w:color="auto"/>
        <w:right w:val="none" w:sz="0" w:space="0" w:color="auto"/>
      </w:divBdr>
    </w:div>
    <w:div w:id="669525828">
      <w:bodyDiv w:val="1"/>
      <w:marLeft w:val="0"/>
      <w:marRight w:val="0"/>
      <w:marTop w:val="0"/>
      <w:marBottom w:val="0"/>
      <w:divBdr>
        <w:top w:val="none" w:sz="0" w:space="0" w:color="auto"/>
        <w:left w:val="none" w:sz="0" w:space="0" w:color="auto"/>
        <w:bottom w:val="none" w:sz="0" w:space="0" w:color="auto"/>
        <w:right w:val="none" w:sz="0" w:space="0" w:color="auto"/>
      </w:divBdr>
    </w:div>
    <w:div w:id="669719445">
      <w:bodyDiv w:val="1"/>
      <w:marLeft w:val="0"/>
      <w:marRight w:val="0"/>
      <w:marTop w:val="0"/>
      <w:marBottom w:val="0"/>
      <w:divBdr>
        <w:top w:val="none" w:sz="0" w:space="0" w:color="auto"/>
        <w:left w:val="none" w:sz="0" w:space="0" w:color="auto"/>
        <w:bottom w:val="none" w:sz="0" w:space="0" w:color="auto"/>
        <w:right w:val="none" w:sz="0" w:space="0" w:color="auto"/>
      </w:divBdr>
    </w:div>
    <w:div w:id="670302650">
      <w:bodyDiv w:val="1"/>
      <w:marLeft w:val="0"/>
      <w:marRight w:val="0"/>
      <w:marTop w:val="0"/>
      <w:marBottom w:val="0"/>
      <w:divBdr>
        <w:top w:val="none" w:sz="0" w:space="0" w:color="auto"/>
        <w:left w:val="none" w:sz="0" w:space="0" w:color="auto"/>
        <w:bottom w:val="none" w:sz="0" w:space="0" w:color="auto"/>
        <w:right w:val="none" w:sz="0" w:space="0" w:color="auto"/>
      </w:divBdr>
    </w:div>
    <w:div w:id="670303871">
      <w:bodyDiv w:val="1"/>
      <w:marLeft w:val="0"/>
      <w:marRight w:val="0"/>
      <w:marTop w:val="0"/>
      <w:marBottom w:val="0"/>
      <w:divBdr>
        <w:top w:val="none" w:sz="0" w:space="0" w:color="auto"/>
        <w:left w:val="none" w:sz="0" w:space="0" w:color="auto"/>
        <w:bottom w:val="none" w:sz="0" w:space="0" w:color="auto"/>
        <w:right w:val="none" w:sz="0" w:space="0" w:color="auto"/>
      </w:divBdr>
    </w:div>
    <w:div w:id="670451878">
      <w:bodyDiv w:val="1"/>
      <w:marLeft w:val="0"/>
      <w:marRight w:val="0"/>
      <w:marTop w:val="0"/>
      <w:marBottom w:val="0"/>
      <w:divBdr>
        <w:top w:val="none" w:sz="0" w:space="0" w:color="auto"/>
        <w:left w:val="none" w:sz="0" w:space="0" w:color="auto"/>
        <w:bottom w:val="none" w:sz="0" w:space="0" w:color="auto"/>
        <w:right w:val="none" w:sz="0" w:space="0" w:color="auto"/>
      </w:divBdr>
    </w:div>
    <w:div w:id="670568422">
      <w:bodyDiv w:val="1"/>
      <w:marLeft w:val="0"/>
      <w:marRight w:val="0"/>
      <w:marTop w:val="0"/>
      <w:marBottom w:val="0"/>
      <w:divBdr>
        <w:top w:val="none" w:sz="0" w:space="0" w:color="auto"/>
        <w:left w:val="none" w:sz="0" w:space="0" w:color="auto"/>
        <w:bottom w:val="none" w:sz="0" w:space="0" w:color="auto"/>
        <w:right w:val="none" w:sz="0" w:space="0" w:color="auto"/>
      </w:divBdr>
    </w:div>
    <w:div w:id="670645748">
      <w:bodyDiv w:val="1"/>
      <w:marLeft w:val="0"/>
      <w:marRight w:val="0"/>
      <w:marTop w:val="0"/>
      <w:marBottom w:val="0"/>
      <w:divBdr>
        <w:top w:val="none" w:sz="0" w:space="0" w:color="auto"/>
        <w:left w:val="none" w:sz="0" w:space="0" w:color="auto"/>
        <w:bottom w:val="none" w:sz="0" w:space="0" w:color="auto"/>
        <w:right w:val="none" w:sz="0" w:space="0" w:color="auto"/>
      </w:divBdr>
    </w:div>
    <w:div w:id="670986026">
      <w:bodyDiv w:val="1"/>
      <w:marLeft w:val="0"/>
      <w:marRight w:val="0"/>
      <w:marTop w:val="0"/>
      <w:marBottom w:val="0"/>
      <w:divBdr>
        <w:top w:val="none" w:sz="0" w:space="0" w:color="auto"/>
        <w:left w:val="none" w:sz="0" w:space="0" w:color="auto"/>
        <w:bottom w:val="none" w:sz="0" w:space="0" w:color="auto"/>
        <w:right w:val="none" w:sz="0" w:space="0" w:color="auto"/>
      </w:divBdr>
    </w:div>
    <w:div w:id="671223622">
      <w:bodyDiv w:val="1"/>
      <w:marLeft w:val="0"/>
      <w:marRight w:val="0"/>
      <w:marTop w:val="0"/>
      <w:marBottom w:val="0"/>
      <w:divBdr>
        <w:top w:val="none" w:sz="0" w:space="0" w:color="auto"/>
        <w:left w:val="none" w:sz="0" w:space="0" w:color="auto"/>
        <w:bottom w:val="none" w:sz="0" w:space="0" w:color="auto"/>
        <w:right w:val="none" w:sz="0" w:space="0" w:color="auto"/>
      </w:divBdr>
    </w:div>
    <w:div w:id="671228120">
      <w:bodyDiv w:val="1"/>
      <w:marLeft w:val="0"/>
      <w:marRight w:val="0"/>
      <w:marTop w:val="0"/>
      <w:marBottom w:val="0"/>
      <w:divBdr>
        <w:top w:val="none" w:sz="0" w:space="0" w:color="auto"/>
        <w:left w:val="none" w:sz="0" w:space="0" w:color="auto"/>
        <w:bottom w:val="none" w:sz="0" w:space="0" w:color="auto"/>
        <w:right w:val="none" w:sz="0" w:space="0" w:color="auto"/>
      </w:divBdr>
    </w:div>
    <w:div w:id="671379133">
      <w:bodyDiv w:val="1"/>
      <w:marLeft w:val="0"/>
      <w:marRight w:val="0"/>
      <w:marTop w:val="0"/>
      <w:marBottom w:val="0"/>
      <w:divBdr>
        <w:top w:val="none" w:sz="0" w:space="0" w:color="auto"/>
        <w:left w:val="none" w:sz="0" w:space="0" w:color="auto"/>
        <w:bottom w:val="none" w:sz="0" w:space="0" w:color="auto"/>
        <w:right w:val="none" w:sz="0" w:space="0" w:color="auto"/>
      </w:divBdr>
    </w:div>
    <w:div w:id="671567383">
      <w:bodyDiv w:val="1"/>
      <w:marLeft w:val="0"/>
      <w:marRight w:val="0"/>
      <w:marTop w:val="0"/>
      <w:marBottom w:val="0"/>
      <w:divBdr>
        <w:top w:val="none" w:sz="0" w:space="0" w:color="auto"/>
        <w:left w:val="none" w:sz="0" w:space="0" w:color="auto"/>
        <w:bottom w:val="none" w:sz="0" w:space="0" w:color="auto"/>
        <w:right w:val="none" w:sz="0" w:space="0" w:color="auto"/>
      </w:divBdr>
    </w:div>
    <w:div w:id="672269637">
      <w:bodyDiv w:val="1"/>
      <w:marLeft w:val="0"/>
      <w:marRight w:val="0"/>
      <w:marTop w:val="0"/>
      <w:marBottom w:val="0"/>
      <w:divBdr>
        <w:top w:val="none" w:sz="0" w:space="0" w:color="auto"/>
        <w:left w:val="none" w:sz="0" w:space="0" w:color="auto"/>
        <w:bottom w:val="none" w:sz="0" w:space="0" w:color="auto"/>
        <w:right w:val="none" w:sz="0" w:space="0" w:color="auto"/>
      </w:divBdr>
    </w:div>
    <w:div w:id="672536081">
      <w:bodyDiv w:val="1"/>
      <w:marLeft w:val="0"/>
      <w:marRight w:val="0"/>
      <w:marTop w:val="0"/>
      <w:marBottom w:val="0"/>
      <w:divBdr>
        <w:top w:val="none" w:sz="0" w:space="0" w:color="auto"/>
        <w:left w:val="none" w:sz="0" w:space="0" w:color="auto"/>
        <w:bottom w:val="none" w:sz="0" w:space="0" w:color="auto"/>
        <w:right w:val="none" w:sz="0" w:space="0" w:color="auto"/>
      </w:divBdr>
    </w:div>
    <w:div w:id="672608498">
      <w:bodyDiv w:val="1"/>
      <w:marLeft w:val="0"/>
      <w:marRight w:val="0"/>
      <w:marTop w:val="0"/>
      <w:marBottom w:val="0"/>
      <w:divBdr>
        <w:top w:val="none" w:sz="0" w:space="0" w:color="auto"/>
        <w:left w:val="none" w:sz="0" w:space="0" w:color="auto"/>
        <w:bottom w:val="none" w:sz="0" w:space="0" w:color="auto"/>
        <w:right w:val="none" w:sz="0" w:space="0" w:color="auto"/>
      </w:divBdr>
    </w:div>
    <w:div w:id="672807516">
      <w:bodyDiv w:val="1"/>
      <w:marLeft w:val="0"/>
      <w:marRight w:val="0"/>
      <w:marTop w:val="0"/>
      <w:marBottom w:val="0"/>
      <w:divBdr>
        <w:top w:val="none" w:sz="0" w:space="0" w:color="auto"/>
        <w:left w:val="none" w:sz="0" w:space="0" w:color="auto"/>
        <w:bottom w:val="none" w:sz="0" w:space="0" w:color="auto"/>
        <w:right w:val="none" w:sz="0" w:space="0" w:color="auto"/>
      </w:divBdr>
    </w:div>
    <w:div w:id="672876275">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73146559">
      <w:bodyDiv w:val="1"/>
      <w:marLeft w:val="0"/>
      <w:marRight w:val="0"/>
      <w:marTop w:val="0"/>
      <w:marBottom w:val="0"/>
      <w:divBdr>
        <w:top w:val="none" w:sz="0" w:space="0" w:color="auto"/>
        <w:left w:val="none" w:sz="0" w:space="0" w:color="auto"/>
        <w:bottom w:val="none" w:sz="0" w:space="0" w:color="auto"/>
        <w:right w:val="none" w:sz="0" w:space="0" w:color="auto"/>
      </w:divBdr>
    </w:div>
    <w:div w:id="673462347">
      <w:bodyDiv w:val="1"/>
      <w:marLeft w:val="0"/>
      <w:marRight w:val="0"/>
      <w:marTop w:val="0"/>
      <w:marBottom w:val="0"/>
      <w:divBdr>
        <w:top w:val="none" w:sz="0" w:space="0" w:color="auto"/>
        <w:left w:val="none" w:sz="0" w:space="0" w:color="auto"/>
        <w:bottom w:val="none" w:sz="0" w:space="0" w:color="auto"/>
        <w:right w:val="none" w:sz="0" w:space="0" w:color="auto"/>
      </w:divBdr>
    </w:div>
    <w:div w:id="673606012">
      <w:bodyDiv w:val="1"/>
      <w:marLeft w:val="0"/>
      <w:marRight w:val="0"/>
      <w:marTop w:val="0"/>
      <w:marBottom w:val="0"/>
      <w:divBdr>
        <w:top w:val="none" w:sz="0" w:space="0" w:color="auto"/>
        <w:left w:val="none" w:sz="0" w:space="0" w:color="auto"/>
        <w:bottom w:val="none" w:sz="0" w:space="0" w:color="auto"/>
        <w:right w:val="none" w:sz="0" w:space="0" w:color="auto"/>
      </w:divBdr>
    </w:div>
    <w:div w:id="673648152">
      <w:bodyDiv w:val="1"/>
      <w:marLeft w:val="0"/>
      <w:marRight w:val="0"/>
      <w:marTop w:val="0"/>
      <w:marBottom w:val="0"/>
      <w:divBdr>
        <w:top w:val="none" w:sz="0" w:space="0" w:color="auto"/>
        <w:left w:val="none" w:sz="0" w:space="0" w:color="auto"/>
        <w:bottom w:val="none" w:sz="0" w:space="0" w:color="auto"/>
        <w:right w:val="none" w:sz="0" w:space="0" w:color="auto"/>
      </w:divBdr>
    </w:div>
    <w:div w:id="673728212">
      <w:bodyDiv w:val="1"/>
      <w:marLeft w:val="0"/>
      <w:marRight w:val="0"/>
      <w:marTop w:val="0"/>
      <w:marBottom w:val="0"/>
      <w:divBdr>
        <w:top w:val="none" w:sz="0" w:space="0" w:color="auto"/>
        <w:left w:val="none" w:sz="0" w:space="0" w:color="auto"/>
        <w:bottom w:val="none" w:sz="0" w:space="0" w:color="auto"/>
        <w:right w:val="none" w:sz="0" w:space="0" w:color="auto"/>
      </w:divBdr>
    </w:div>
    <w:div w:id="673805426">
      <w:bodyDiv w:val="1"/>
      <w:marLeft w:val="0"/>
      <w:marRight w:val="0"/>
      <w:marTop w:val="0"/>
      <w:marBottom w:val="0"/>
      <w:divBdr>
        <w:top w:val="none" w:sz="0" w:space="0" w:color="auto"/>
        <w:left w:val="none" w:sz="0" w:space="0" w:color="auto"/>
        <w:bottom w:val="none" w:sz="0" w:space="0" w:color="auto"/>
        <w:right w:val="none" w:sz="0" w:space="0" w:color="auto"/>
      </w:divBdr>
    </w:div>
    <w:div w:id="674067340">
      <w:bodyDiv w:val="1"/>
      <w:marLeft w:val="0"/>
      <w:marRight w:val="0"/>
      <w:marTop w:val="0"/>
      <w:marBottom w:val="0"/>
      <w:divBdr>
        <w:top w:val="none" w:sz="0" w:space="0" w:color="auto"/>
        <w:left w:val="none" w:sz="0" w:space="0" w:color="auto"/>
        <w:bottom w:val="none" w:sz="0" w:space="0" w:color="auto"/>
        <w:right w:val="none" w:sz="0" w:space="0" w:color="auto"/>
      </w:divBdr>
    </w:div>
    <w:div w:id="674117096">
      <w:bodyDiv w:val="1"/>
      <w:marLeft w:val="0"/>
      <w:marRight w:val="0"/>
      <w:marTop w:val="0"/>
      <w:marBottom w:val="0"/>
      <w:divBdr>
        <w:top w:val="none" w:sz="0" w:space="0" w:color="auto"/>
        <w:left w:val="none" w:sz="0" w:space="0" w:color="auto"/>
        <w:bottom w:val="none" w:sz="0" w:space="0" w:color="auto"/>
        <w:right w:val="none" w:sz="0" w:space="0" w:color="auto"/>
      </w:divBdr>
    </w:div>
    <w:div w:id="674304551">
      <w:bodyDiv w:val="1"/>
      <w:marLeft w:val="0"/>
      <w:marRight w:val="0"/>
      <w:marTop w:val="0"/>
      <w:marBottom w:val="0"/>
      <w:divBdr>
        <w:top w:val="none" w:sz="0" w:space="0" w:color="auto"/>
        <w:left w:val="none" w:sz="0" w:space="0" w:color="auto"/>
        <w:bottom w:val="none" w:sz="0" w:space="0" w:color="auto"/>
        <w:right w:val="none" w:sz="0" w:space="0" w:color="auto"/>
      </w:divBdr>
    </w:div>
    <w:div w:id="674570417">
      <w:bodyDiv w:val="1"/>
      <w:marLeft w:val="0"/>
      <w:marRight w:val="0"/>
      <w:marTop w:val="0"/>
      <w:marBottom w:val="0"/>
      <w:divBdr>
        <w:top w:val="none" w:sz="0" w:space="0" w:color="auto"/>
        <w:left w:val="none" w:sz="0" w:space="0" w:color="auto"/>
        <w:bottom w:val="none" w:sz="0" w:space="0" w:color="auto"/>
        <w:right w:val="none" w:sz="0" w:space="0" w:color="auto"/>
      </w:divBdr>
    </w:div>
    <w:div w:id="674764427">
      <w:bodyDiv w:val="1"/>
      <w:marLeft w:val="0"/>
      <w:marRight w:val="0"/>
      <w:marTop w:val="0"/>
      <w:marBottom w:val="0"/>
      <w:divBdr>
        <w:top w:val="none" w:sz="0" w:space="0" w:color="auto"/>
        <w:left w:val="none" w:sz="0" w:space="0" w:color="auto"/>
        <w:bottom w:val="none" w:sz="0" w:space="0" w:color="auto"/>
        <w:right w:val="none" w:sz="0" w:space="0" w:color="auto"/>
      </w:divBdr>
    </w:div>
    <w:div w:id="675353041">
      <w:bodyDiv w:val="1"/>
      <w:marLeft w:val="0"/>
      <w:marRight w:val="0"/>
      <w:marTop w:val="0"/>
      <w:marBottom w:val="0"/>
      <w:divBdr>
        <w:top w:val="none" w:sz="0" w:space="0" w:color="auto"/>
        <w:left w:val="none" w:sz="0" w:space="0" w:color="auto"/>
        <w:bottom w:val="none" w:sz="0" w:space="0" w:color="auto"/>
        <w:right w:val="none" w:sz="0" w:space="0" w:color="auto"/>
      </w:divBdr>
    </w:div>
    <w:div w:id="676031645">
      <w:bodyDiv w:val="1"/>
      <w:marLeft w:val="0"/>
      <w:marRight w:val="0"/>
      <w:marTop w:val="0"/>
      <w:marBottom w:val="0"/>
      <w:divBdr>
        <w:top w:val="none" w:sz="0" w:space="0" w:color="auto"/>
        <w:left w:val="none" w:sz="0" w:space="0" w:color="auto"/>
        <w:bottom w:val="none" w:sz="0" w:space="0" w:color="auto"/>
        <w:right w:val="none" w:sz="0" w:space="0" w:color="auto"/>
      </w:divBdr>
    </w:div>
    <w:div w:id="676151832">
      <w:bodyDiv w:val="1"/>
      <w:marLeft w:val="0"/>
      <w:marRight w:val="0"/>
      <w:marTop w:val="0"/>
      <w:marBottom w:val="0"/>
      <w:divBdr>
        <w:top w:val="none" w:sz="0" w:space="0" w:color="auto"/>
        <w:left w:val="none" w:sz="0" w:space="0" w:color="auto"/>
        <w:bottom w:val="none" w:sz="0" w:space="0" w:color="auto"/>
        <w:right w:val="none" w:sz="0" w:space="0" w:color="auto"/>
      </w:divBdr>
    </w:div>
    <w:div w:id="676152451">
      <w:bodyDiv w:val="1"/>
      <w:marLeft w:val="0"/>
      <w:marRight w:val="0"/>
      <w:marTop w:val="0"/>
      <w:marBottom w:val="0"/>
      <w:divBdr>
        <w:top w:val="none" w:sz="0" w:space="0" w:color="auto"/>
        <w:left w:val="none" w:sz="0" w:space="0" w:color="auto"/>
        <w:bottom w:val="none" w:sz="0" w:space="0" w:color="auto"/>
        <w:right w:val="none" w:sz="0" w:space="0" w:color="auto"/>
      </w:divBdr>
    </w:div>
    <w:div w:id="676152953">
      <w:bodyDiv w:val="1"/>
      <w:marLeft w:val="0"/>
      <w:marRight w:val="0"/>
      <w:marTop w:val="0"/>
      <w:marBottom w:val="0"/>
      <w:divBdr>
        <w:top w:val="none" w:sz="0" w:space="0" w:color="auto"/>
        <w:left w:val="none" w:sz="0" w:space="0" w:color="auto"/>
        <w:bottom w:val="none" w:sz="0" w:space="0" w:color="auto"/>
        <w:right w:val="none" w:sz="0" w:space="0" w:color="auto"/>
      </w:divBdr>
    </w:div>
    <w:div w:id="676154632">
      <w:bodyDiv w:val="1"/>
      <w:marLeft w:val="0"/>
      <w:marRight w:val="0"/>
      <w:marTop w:val="0"/>
      <w:marBottom w:val="0"/>
      <w:divBdr>
        <w:top w:val="none" w:sz="0" w:space="0" w:color="auto"/>
        <w:left w:val="none" w:sz="0" w:space="0" w:color="auto"/>
        <w:bottom w:val="none" w:sz="0" w:space="0" w:color="auto"/>
        <w:right w:val="none" w:sz="0" w:space="0" w:color="auto"/>
      </w:divBdr>
    </w:div>
    <w:div w:id="676618633">
      <w:bodyDiv w:val="1"/>
      <w:marLeft w:val="0"/>
      <w:marRight w:val="0"/>
      <w:marTop w:val="0"/>
      <w:marBottom w:val="0"/>
      <w:divBdr>
        <w:top w:val="none" w:sz="0" w:space="0" w:color="auto"/>
        <w:left w:val="none" w:sz="0" w:space="0" w:color="auto"/>
        <w:bottom w:val="none" w:sz="0" w:space="0" w:color="auto"/>
        <w:right w:val="none" w:sz="0" w:space="0" w:color="auto"/>
      </w:divBdr>
    </w:div>
    <w:div w:id="677122328">
      <w:bodyDiv w:val="1"/>
      <w:marLeft w:val="0"/>
      <w:marRight w:val="0"/>
      <w:marTop w:val="0"/>
      <w:marBottom w:val="0"/>
      <w:divBdr>
        <w:top w:val="none" w:sz="0" w:space="0" w:color="auto"/>
        <w:left w:val="none" w:sz="0" w:space="0" w:color="auto"/>
        <w:bottom w:val="none" w:sz="0" w:space="0" w:color="auto"/>
        <w:right w:val="none" w:sz="0" w:space="0" w:color="auto"/>
      </w:divBdr>
    </w:div>
    <w:div w:id="677276582">
      <w:bodyDiv w:val="1"/>
      <w:marLeft w:val="0"/>
      <w:marRight w:val="0"/>
      <w:marTop w:val="0"/>
      <w:marBottom w:val="0"/>
      <w:divBdr>
        <w:top w:val="none" w:sz="0" w:space="0" w:color="auto"/>
        <w:left w:val="none" w:sz="0" w:space="0" w:color="auto"/>
        <w:bottom w:val="none" w:sz="0" w:space="0" w:color="auto"/>
        <w:right w:val="none" w:sz="0" w:space="0" w:color="auto"/>
      </w:divBdr>
    </w:div>
    <w:div w:id="677315025">
      <w:bodyDiv w:val="1"/>
      <w:marLeft w:val="0"/>
      <w:marRight w:val="0"/>
      <w:marTop w:val="0"/>
      <w:marBottom w:val="0"/>
      <w:divBdr>
        <w:top w:val="none" w:sz="0" w:space="0" w:color="auto"/>
        <w:left w:val="none" w:sz="0" w:space="0" w:color="auto"/>
        <w:bottom w:val="none" w:sz="0" w:space="0" w:color="auto"/>
        <w:right w:val="none" w:sz="0" w:space="0" w:color="auto"/>
      </w:divBdr>
    </w:div>
    <w:div w:id="677465549">
      <w:bodyDiv w:val="1"/>
      <w:marLeft w:val="0"/>
      <w:marRight w:val="0"/>
      <w:marTop w:val="0"/>
      <w:marBottom w:val="0"/>
      <w:divBdr>
        <w:top w:val="none" w:sz="0" w:space="0" w:color="auto"/>
        <w:left w:val="none" w:sz="0" w:space="0" w:color="auto"/>
        <w:bottom w:val="none" w:sz="0" w:space="0" w:color="auto"/>
        <w:right w:val="none" w:sz="0" w:space="0" w:color="auto"/>
      </w:divBdr>
    </w:div>
    <w:div w:id="677535475">
      <w:bodyDiv w:val="1"/>
      <w:marLeft w:val="0"/>
      <w:marRight w:val="0"/>
      <w:marTop w:val="0"/>
      <w:marBottom w:val="0"/>
      <w:divBdr>
        <w:top w:val="none" w:sz="0" w:space="0" w:color="auto"/>
        <w:left w:val="none" w:sz="0" w:space="0" w:color="auto"/>
        <w:bottom w:val="none" w:sz="0" w:space="0" w:color="auto"/>
        <w:right w:val="none" w:sz="0" w:space="0" w:color="auto"/>
      </w:divBdr>
    </w:div>
    <w:div w:id="677540758">
      <w:bodyDiv w:val="1"/>
      <w:marLeft w:val="0"/>
      <w:marRight w:val="0"/>
      <w:marTop w:val="0"/>
      <w:marBottom w:val="0"/>
      <w:divBdr>
        <w:top w:val="none" w:sz="0" w:space="0" w:color="auto"/>
        <w:left w:val="none" w:sz="0" w:space="0" w:color="auto"/>
        <w:bottom w:val="none" w:sz="0" w:space="0" w:color="auto"/>
        <w:right w:val="none" w:sz="0" w:space="0" w:color="auto"/>
      </w:divBdr>
    </w:div>
    <w:div w:id="677586643">
      <w:bodyDiv w:val="1"/>
      <w:marLeft w:val="0"/>
      <w:marRight w:val="0"/>
      <w:marTop w:val="0"/>
      <w:marBottom w:val="0"/>
      <w:divBdr>
        <w:top w:val="none" w:sz="0" w:space="0" w:color="auto"/>
        <w:left w:val="none" w:sz="0" w:space="0" w:color="auto"/>
        <w:bottom w:val="none" w:sz="0" w:space="0" w:color="auto"/>
        <w:right w:val="none" w:sz="0" w:space="0" w:color="auto"/>
      </w:divBdr>
    </w:div>
    <w:div w:id="679040832">
      <w:bodyDiv w:val="1"/>
      <w:marLeft w:val="0"/>
      <w:marRight w:val="0"/>
      <w:marTop w:val="0"/>
      <w:marBottom w:val="0"/>
      <w:divBdr>
        <w:top w:val="none" w:sz="0" w:space="0" w:color="auto"/>
        <w:left w:val="none" w:sz="0" w:space="0" w:color="auto"/>
        <w:bottom w:val="none" w:sz="0" w:space="0" w:color="auto"/>
        <w:right w:val="none" w:sz="0" w:space="0" w:color="auto"/>
      </w:divBdr>
    </w:div>
    <w:div w:id="679241571">
      <w:bodyDiv w:val="1"/>
      <w:marLeft w:val="0"/>
      <w:marRight w:val="0"/>
      <w:marTop w:val="0"/>
      <w:marBottom w:val="0"/>
      <w:divBdr>
        <w:top w:val="none" w:sz="0" w:space="0" w:color="auto"/>
        <w:left w:val="none" w:sz="0" w:space="0" w:color="auto"/>
        <w:bottom w:val="none" w:sz="0" w:space="0" w:color="auto"/>
        <w:right w:val="none" w:sz="0" w:space="0" w:color="auto"/>
      </w:divBdr>
    </w:div>
    <w:div w:id="679281120">
      <w:bodyDiv w:val="1"/>
      <w:marLeft w:val="0"/>
      <w:marRight w:val="0"/>
      <w:marTop w:val="0"/>
      <w:marBottom w:val="0"/>
      <w:divBdr>
        <w:top w:val="none" w:sz="0" w:space="0" w:color="auto"/>
        <w:left w:val="none" w:sz="0" w:space="0" w:color="auto"/>
        <w:bottom w:val="none" w:sz="0" w:space="0" w:color="auto"/>
        <w:right w:val="none" w:sz="0" w:space="0" w:color="auto"/>
      </w:divBdr>
    </w:div>
    <w:div w:id="679282112">
      <w:bodyDiv w:val="1"/>
      <w:marLeft w:val="0"/>
      <w:marRight w:val="0"/>
      <w:marTop w:val="0"/>
      <w:marBottom w:val="0"/>
      <w:divBdr>
        <w:top w:val="none" w:sz="0" w:space="0" w:color="auto"/>
        <w:left w:val="none" w:sz="0" w:space="0" w:color="auto"/>
        <w:bottom w:val="none" w:sz="0" w:space="0" w:color="auto"/>
        <w:right w:val="none" w:sz="0" w:space="0" w:color="auto"/>
      </w:divBdr>
    </w:div>
    <w:div w:id="679509407">
      <w:bodyDiv w:val="1"/>
      <w:marLeft w:val="0"/>
      <w:marRight w:val="0"/>
      <w:marTop w:val="0"/>
      <w:marBottom w:val="0"/>
      <w:divBdr>
        <w:top w:val="none" w:sz="0" w:space="0" w:color="auto"/>
        <w:left w:val="none" w:sz="0" w:space="0" w:color="auto"/>
        <w:bottom w:val="none" w:sz="0" w:space="0" w:color="auto"/>
        <w:right w:val="none" w:sz="0" w:space="0" w:color="auto"/>
      </w:divBdr>
    </w:div>
    <w:div w:id="679702248">
      <w:bodyDiv w:val="1"/>
      <w:marLeft w:val="0"/>
      <w:marRight w:val="0"/>
      <w:marTop w:val="0"/>
      <w:marBottom w:val="0"/>
      <w:divBdr>
        <w:top w:val="none" w:sz="0" w:space="0" w:color="auto"/>
        <w:left w:val="none" w:sz="0" w:space="0" w:color="auto"/>
        <w:bottom w:val="none" w:sz="0" w:space="0" w:color="auto"/>
        <w:right w:val="none" w:sz="0" w:space="0" w:color="auto"/>
      </w:divBdr>
    </w:div>
    <w:div w:id="679741408">
      <w:bodyDiv w:val="1"/>
      <w:marLeft w:val="0"/>
      <w:marRight w:val="0"/>
      <w:marTop w:val="0"/>
      <w:marBottom w:val="0"/>
      <w:divBdr>
        <w:top w:val="none" w:sz="0" w:space="0" w:color="auto"/>
        <w:left w:val="none" w:sz="0" w:space="0" w:color="auto"/>
        <w:bottom w:val="none" w:sz="0" w:space="0" w:color="auto"/>
        <w:right w:val="none" w:sz="0" w:space="0" w:color="auto"/>
      </w:divBdr>
    </w:div>
    <w:div w:id="679937147">
      <w:bodyDiv w:val="1"/>
      <w:marLeft w:val="0"/>
      <w:marRight w:val="0"/>
      <w:marTop w:val="0"/>
      <w:marBottom w:val="0"/>
      <w:divBdr>
        <w:top w:val="none" w:sz="0" w:space="0" w:color="auto"/>
        <w:left w:val="none" w:sz="0" w:space="0" w:color="auto"/>
        <w:bottom w:val="none" w:sz="0" w:space="0" w:color="auto"/>
        <w:right w:val="none" w:sz="0" w:space="0" w:color="auto"/>
      </w:divBdr>
    </w:div>
    <w:div w:id="680159622">
      <w:bodyDiv w:val="1"/>
      <w:marLeft w:val="0"/>
      <w:marRight w:val="0"/>
      <w:marTop w:val="0"/>
      <w:marBottom w:val="0"/>
      <w:divBdr>
        <w:top w:val="none" w:sz="0" w:space="0" w:color="auto"/>
        <w:left w:val="none" w:sz="0" w:space="0" w:color="auto"/>
        <w:bottom w:val="none" w:sz="0" w:space="0" w:color="auto"/>
        <w:right w:val="none" w:sz="0" w:space="0" w:color="auto"/>
      </w:divBdr>
    </w:div>
    <w:div w:id="680358991">
      <w:bodyDiv w:val="1"/>
      <w:marLeft w:val="0"/>
      <w:marRight w:val="0"/>
      <w:marTop w:val="0"/>
      <w:marBottom w:val="0"/>
      <w:divBdr>
        <w:top w:val="none" w:sz="0" w:space="0" w:color="auto"/>
        <w:left w:val="none" w:sz="0" w:space="0" w:color="auto"/>
        <w:bottom w:val="none" w:sz="0" w:space="0" w:color="auto"/>
        <w:right w:val="none" w:sz="0" w:space="0" w:color="auto"/>
      </w:divBdr>
    </w:div>
    <w:div w:id="680670385">
      <w:bodyDiv w:val="1"/>
      <w:marLeft w:val="0"/>
      <w:marRight w:val="0"/>
      <w:marTop w:val="0"/>
      <w:marBottom w:val="0"/>
      <w:divBdr>
        <w:top w:val="none" w:sz="0" w:space="0" w:color="auto"/>
        <w:left w:val="none" w:sz="0" w:space="0" w:color="auto"/>
        <w:bottom w:val="none" w:sz="0" w:space="0" w:color="auto"/>
        <w:right w:val="none" w:sz="0" w:space="0" w:color="auto"/>
      </w:divBdr>
    </w:div>
    <w:div w:id="680737170">
      <w:bodyDiv w:val="1"/>
      <w:marLeft w:val="0"/>
      <w:marRight w:val="0"/>
      <w:marTop w:val="0"/>
      <w:marBottom w:val="0"/>
      <w:divBdr>
        <w:top w:val="none" w:sz="0" w:space="0" w:color="auto"/>
        <w:left w:val="none" w:sz="0" w:space="0" w:color="auto"/>
        <w:bottom w:val="none" w:sz="0" w:space="0" w:color="auto"/>
        <w:right w:val="none" w:sz="0" w:space="0" w:color="auto"/>
      </w:divBdr>
    </w:div>
    <w:div w:id="680938990">
      <w:bodyDiv w:val="1"/>
      <w:marLeft w:val="0"/>
      <w:marRight w:val="0"/>
      <w:marTop w:val="0"/>
      <w:marBottom w:val="0"/>
      <w:divBdr>
        <w:top w:val="none" w:sz="0" w:space="0" w:color="auto"/>
        <w:left w:val="none" w:sz="0" w:space="0" w:color="auto"/>
        <w:bottom w:val="none" w:sz="0" w:space="0" w:color="auto"/>
        <w:right w:val="none" w:sz="0" w:space="0" w:color="auto"/>
      </w:divBdr>
    </w:div>
    <w:div w:id="681326087">
      <w:bodyDiv w:val="1"/>
      <w:marLeft w:val="0"/>
      <w:marRight w:val="0"/>
      <w:marTop w:val="0"/>
      <w:marBottom w:val="0"/>
      <w:divBdr>
        <w:top w:val="none" w:sz="0" w:space="0" w:color="auto"/>
        <w:left w:val="none" w:sz="0" w:space="0" w:color="auto"/>
        <w:bottom w:val="none" w:sz="0" w:space="0" w:color="auto"/>
        <w:right w:val="none" w:sz="0" w:space="0" w:color="auto"/>
      </w:divBdr>
    </w:div>
    <w:div w:id="681400049">
      <w:bodyDiv w:val="1"/>
      <w:marLeft w:val="0"/>
      <w:marRight w:val="0"/>
      <w:marTop w:val="0"/>
      <w:marBottom w:val="0"/>
      <w:divBdr>
        <w:top w:val="none" w:sz="0" w:space="0" w:color="auto"/>
        <w:left w:val="none" w:sz="0" w:space="0" w:color="auto"/>
        <w:bottom w:val="none" w:sz="0" w:space="0" w:color="auto"/>
        <w:right w:val="none" w:sz="0" w:space="0" w:color="auto"/>
      </w:divBdr>
    </w:div>
    <w:div w:id="682130309">
      <w:bodyDiv w:val="1"/>
      <w:marLeft w:val="0"/>
      <w:marRight w:val="0"/>
      <w:marTop w:val="0"/>
      <w:marBottom w:val="0"/>
      <w:divBdr>
        <w:top w:val="none" w:sz="0" w:space="0" w:color="auto"/>
        <w:left w:val="none" w:sz="0" w:space="0" w:color="auto"/>
        <w:bottom w:val="none" w:sz="0" w:space="0" w:color="auto"/>
        <w:right w:val="none" w:sz="0" w:space="0" w:color="auto"/>
      </w:divBdr>
    </w:div>
    <w:div w:id="682241261">
      <w:bodyDiv w:val="1"/>
      <w:marLeft w:val="0"/>
      <w:marRight w:val="0"/>
      <w:marTop w:val="0"/>
      <w:marBottom w:val="0"/>
      <w:divBdr>
        <w:top w:val="none" w:sz="0" w:space="0" w:color="auto"/>
        <w:left w:val="none" w:sz="0" w:space="0" w:color="auto"/>
        <w:bottom w:val="none" w:sz="0" w:space="0" w:color="auto"/>
        <w:right w:val="none" w:sz="0" w:space="0" w:color="auto"/>
      </w:divBdr>
    </w:div>
    <w:div w:id="682899615">
      <w:bodyDiv w:val="1"/>
      <w:marLeft w:val="0"/>
      <w:marRight w:val="0"/>
      <w:marTop w:val="0"/>
      <w:marBottom w:val="0"/>
      <w:divBdr>
        <w:top w:val="none" w:sz="0" w:space="0" w:color="auto"/>
        <w:left w:val="none" w:sz="0" w:space="0" w:color="auto"/>
        <w:bottom w:val="none" w:sz="0" w:space="0" w:color="auto"/>
        <w:right w:val="none" w:sz="0" w:space="0" w:color="auto"/>
      </w:divBdr>
    </w:div>
    <w:div w:id="683214539">
      <w:bodyDiv w:val="1"/>
      <w:marLeft w:val="0"/>
      <w:marRight w:val="0"/>
      <w:marTop w:val="0"/>
      <w:marBottom w:val="0"/>
      <w:divBdr>
        <w:top w:val="none" w:sz="0" w:space="0" w:color="auto"/>
        <w:left w:val="none" w:sz="0" w:space="0" w:color="auto"/>
        <w:bottom w:val="none" w:sz="0" w:space="0" w:color="auto"/>
        <w:right w:val="none" w:sz="0" w:space="0" w:color="auto"/>
      </w:divBdr>
    </w:div>
    <w:div w:id="683363525">
      <w:bodyDiv w:val="1"/>
      <w:marLeft w:val="0"/>
      <w:marRight w:val="0"/>
      <w:marTop w:val="0"/>
      <w:marBottom w:val="0"/>
      <w:divBdr>
        <w:top w:val="none" w:sz="0" w:space="0" w:color="auto"/>
        <w:left w:val="none" w:sz="0" w:space="0" w:color="auto"/>
        <w:bottom w:val="none" w:sz="0" w:space="0" w:color="auto"/>
        <w:right w:val="none" w:sz="0" w:space="0" w:color="auto"/>
      </w:divBdr>
    </w:div>
    <w:div w:id="683434587">
      <w:bodyDiv w:val="1"/>
      <w:marLeft w:val="0"/>
      <w:marRight w:val="0"/>
      <w:marTop w:val="0"/>
      <w:marBottom w:val="0"/>
      <w:divBdr>
        <w:top w:val="none" w:sz="0" w:space="0" w:color="auto"/>
        <w:left w:val="none" w:sz="0" w:space="0" w:color="auto"/>
        <w:bottom w:val="none" w:sz="0" w:space="0" w:color="auto"/>
        <w:right w:val="none" w:sz="0" w:space="0" w:color="auto"/>
      </w:divBdr>
    </w:div>
    <w:div w:id="683559883">
      <w:bodyDiv w:val="1"/>
      <w:marLeft w:val="0"/>
      <w:marRight w:val="0"/>
      <w:marTop w:val="0"/>
      <w:marBottom w:val="0"/>
      <w:divBdr>
        <w:top w:val="none" w:sz="0" w:space="0" w:color="auto"/>
        <w:left w:val="none" w:sz="0" w:space="0" w:color="auto"/>
        <w:bottom w:val="none" w:sz="0" w:space="0" w:color="auto"/>
        <w:right w:val="none" w:sz="0" w:space="0" w:color="auto"/>
      </w:divBdr>
    </w:div>
    <w:div w:id="683630763">
      <w:bodyDiv w:val="1"/>
      <w:marLeft w:val="0"/>
      <w:marRight w:val="0"/>
      <w:marTop w:val="0"/>
      <w:marBottom w:val="0"/>
      <w:divBdr>
        <w:top w:val="none" w:sz="0" w:space="0" w:color="auto"/>
        <w:left w:val="none" w:sz="0" w:space="0" w:color="auto"/>
        <w:bottom w:val="none" w:sz="0" w:space="0" w:color="auto"/>
        <w:right w:val="none" w:sz="0" w:space="0" w:color="auto"/>
      </w:divBdr>
    </w:div>
    <w:div w:id="683938819">
      <w:bodyDiv w:val="1"/>
      <w:marLeft w:val="0"/>
      <w:marRight w:val="0"/>
      <w:marTop w:val="0"/>
      <w:marBottom w:val="0"/>
      <w:divBdr>
        <w:top w:val="none" w:sz="0" w:space="0" w:color="auto"/>
        <w:left w:val="none" w:sz="0" w:space="0" w:color="auto"/>
        <w:bottom w:val="none" w:sz="0" w:space="0" w:color="auto"/>
        <w:right w:val="none" w:sz="0" w:space="0" w:color="auto"/>
      </w:divBdr>
    </w:div>
    <w:div w:id="684552062">
      <w:bodyDiv w:val="1"/>
      <w:marLeft w:val="0"/>
      <w:marRight w:val="0"/>
      <w:marTop w:val="0"/>
      <w:marBottom w:val="0"/>
      <w:divBdr>
        <w:top w:val="none" w:sz="0" w:space="0" w:color="auto"/>
        <w:left w:val="none" w:sz="0" w:space="0" w:color="auto"/>
        <w:bottom w:val="none" w:sz="0" w:space="0" w:color="auto"/>
        <w:right w:val="none" w:sz="0" w:space="0" w:color="auto"/>
      </w:divBdr>
    </w:div>
    <w:div w:id="684793649">
      <w:bodyDiv w:val="1"/>
      <w:marLeft w:val="0"/>
      <w:marRight w:val="0"/>
      <w:marTop w:val="0"/>
      <w:marBottom w:val="0"/>
      <w:divBdr>
        <w:top w:val="none" w:sz="0" w:space="0" w:color="auto"/>
        <w:left w:val="none" w:sz="0" w:space="0" w:color="auto"/>
        <w:bottom w:val="none" w:sz="0" w:space="0" w:color="auto"/>
        <w:right w:val="none" w:sz="0" w:space="0" w:color="auto"/>
      </w:divBdr>
    </w:div>
    <w:div w:id="685063400">
      <w:bodyDiv w:val="1"/>
      <w:marLeft w:val="0"/>
      <w:marRight w:val="0"/>
      <w:marTop w:val="0"/>
      <w:marBottom w:val="0"/>
      <w:divBdr>
        <w:top w:val="none" w:sz="0" w:space="0" w:color="auto"/>
        <w:left w:val="none" w:sz="0" w:space="0" w:color="auto"/>
        <w:bottom w:val="none" w:sz="0" w:space="0" w:color="auto"/>
        <w:right w:val="none" w:sz="0" w:space="0" w:color="auto"/>
      </w:divBdr>
    </w:div>
    <w:div w:id="685181756">
      <w:bodyDiv w:val="1"/>
      <w:marLeft w:val="0"/>
      <w:marRight w:val="0"/>
      <w:marTop w:val="0"/>
      <w:marBottom w:val="0"/>
      <w:divBdr>
        <w:top w:val="none" w:sz="0" w:space="0" w:color="auto"/>
        <w:left w:val="none" w:sz="0" w:space="0" w:color="auto"/>
        <w:bottom w:val="none" w:sz="0" w:space="0" w:color="auto"/>
        <w:right w:val="none" w:sz="0" w:space="0" w:color="auto"/>
      </w:divBdr>
    </w:div>
    <w:div w:id="685207993">
      <w:bodyDiv w:val="1"/>
      <w:marLeft w:val="0"/>
      <w:marRight w:val="0"/>
      <w:marTop w:val="0"/>
      <w:marBottom w:val="0"/>
      <w:divBdr>
        <w:top w:val="none" w:sz="0" w:space="0" w:color="auto"/>
        <w:left w:val="none" w:sz="0" w:space="0" w:color="auto"/>
        <w:bottom w:val="none" w:sz="0" w:space="0" w:color="auto"/>
        <w:right w:val="none" w:sz="0" w:space="0" w:color="auto"/>
      </w:divBdr>
    </w:div>
    <w:div w:id="685324936">
      <w:bodyDiv w:val="1"/>
      <w:marLeft w:val="0"/>
      <w:marRight w:val="0"/>
      <w:marTop w:val="0"/>
      <w:marBottom w:val="0"/>
      <w:divBdr>
        <w:top w:val="none" w:sz="0" w:space="0" w:color="auto"/>
        <w:left w:val="none" w:sz="0" w:space="0" w:color="auto"/>
        <w:bottom w:val="none" w:sz="0" w:space="0" w:color="auto"/>
        <w:right w:val="none" w:sz="0" w:space="0" w:color="auto"/>
      </w:divBdr>
    </w:div>
    <w:div w:id="685442103">
      <w:bodyDiv w:val="1"/>
      <w:marLeft w:val="0"/>
      <w:marRight w:val="0"/>
      <w:marTop w:val="0"/>
      <w:marBottom w:val="0"/>
      <w:divBdr>
        <w:top w:val="none" w:sz="0" w:space="0" w:color="auto"/>
        <w:left w:val="none" w:sz="0" w:space="0" w:color="auto"/>
        <w:bottom w:val="none" w:sz="0" w:space="0" w:color="auto"/>
        <w:right w:val="none" w:sz="0" w:space="0" w:color="auto"/>
      </w:divBdr>
    </w:div>
    <w:div w:id="685592083">
      <w:bodyDiv w:val="1"/>
      <w:marLeft w:val="0"/>
      <w:marRight w:val="0"/>
      <w:marTop w:val="0"/>
      <w:marBottom w:val="0"/>
      <w:divBdr>
        <w:top w:val="none" w:sz="0" w:space="0" w:color="auto"/>
        <w:left w:val="none" w:sz="0" w:space="0" w:color="auto"/>
        <w:bottom w:val="none" w:sz="0" w:space="0" w:color="auto"/>
        <w:right w:val="none" w:sz="0" w:space="0" w:color="auto"/>
      </w:divBdr>
    </w:div>
    <w:div w:id="685593279">
      <w:bodyDiv w:val="1"/>
      <w:marLeft w:val="0"/>
      <w:marRight w:val="0"/>
      <w:marTop w:val="0"/>
      <w:marBottom w:val="0"/>
      <w:divBdr>
        <w:top w:val="none" w:sz="0" w:space="0" w:color="auto"/>
        <w:left w:val="none" w:sz="0" w:space="0" w:color="auto"/>
        <w:bottom w:val="none" w:sz="0" w:space="0" w:color="auto"/>
        <w:right w:val="none" w:sz="0" w:space="0" w:color="auto"/>
      </w:divBdr>
    </w:div>
    <w:div w:id="685599825">
      <w:bodyDiv w:val="1"/>
      <w:marLeft w:val="0"/>
      <w:marRight w:val="0"/>
      <w:marTop w:val="0"/>
      <w:marBottom w:val="0"/>
      <w:divBdr>
        <w:top w:val="none" w:sz="0" w:space="0" w:color="auto"/>
        <w:left w:val="none" w:sz="0" w:space="0" w:color="auto"/>
        <w:bottom w:val="none" w:sz="0" w:space="0" w:color="auto"/>
        <w:right w:val="none" w:sz="0" w:space="0" w:color="auto"/>
      </w:divBdr>
    </w:div>
    <w:div w:id="685786754">
      <w:bodyDiv w:val="1"/>
      <w:marLeft w:val="0"/>
      <w:marRight w:val="0"/>
      <w:marTop w:val="0"/>
      <w:marBottom w:val="0"/>
      <w:divBdr>
        <w:top w:val="none" w:sz="0" w:space="0" w:color="auto"/>
        <w:left w:val="none" w:sz="0" w:space="0" w:color="auto"/>
        <w:bottom w:val="none" w:sz="0" w:space="0" w:color="auto"/>
        <w:right w:val="none" w:sz="0" w:space="0" w:color="auto"/>
      </w:divBdr>
    </w:div>
    <w:div w:id="685836821">
      <w:bodyDiv w:val="1"/>
      <w:marLeft w:val="0"/>
      <w:marRight w:val="0"/>
      <w:marTop w:val="0"/>
      <w:marBottom w:val="0"/>
      <w:divBdr>
        <w:top w:val="none" w:sz="0" w:space="0" w:color="auto"/>
        <w:left w:val="none" w:sz="0" w:space="0" w:color="auto"/>
        <w:bottom w:val="none" w:sz="0" w:space="0" w:color="auto"/>
        <w:right w:val="none" w:sz="0" w:space="0" w:color="auto"/>
      </w:divBdr>
    </w:div>
    <w:div w:id="685982146">
      <w:bodyDiv w:val="1"/>
      <w:marLeft w:val="0"/>
      <w:marRight w:val="0"/>
      <w:marTop w:val="0"/>
      <w:marBottom w:val="0"/>
      <w:divBdr>
        <w:top w:val="none" w:sz="0" w:space="0" w:color="auto"/>
        <w:left w:val="none" w:sz="0" w:space="0" w:color="auto"/>
        <w:bottom w:val="none" w:sz="0" w:space="0" w:color="auto"/>
        <w:right w:val="none" w:sz="0" w:space="0" w:color="auto"/>
      </w:divBdr>
    </w:div>
    <w:div w:id="685987814">
      <w:bodyDiv w:val="1"/>
      <w:marLeft w:val="0"/>
      <w:marRight w:val="0"/>
      <w:marTop w:val="0"/>
      <w:marBottom w:val="0"/>
      <w:divBdr>
        <w:top w:val="none" w:sz="0" w:space="0" w:color="auto"/>
        <w:left w:val="none" w:sz="0" w:space="0" w:color="auto"/>
        <w:bottom w:val="none" w:sz="0" w:space="0" w:color="auto"/>
        <w:right w:val="none" w:sz="0" w:space="0" w:color="auto"/>
      </w:divBdr>
    </w:div>
    <w:div w:id="686176852">
      <w:bodyDiv w:val="1"/>
      <w:marLeft w:val="0"/>
      <w:marRight w:val="0"/>
      <w:marTop w:val="0"/>
      <w:marBottom w:val="0"/>
      <w:divBdr>
        <w:top w:val="none" w:sz="0" w:space="0" w:color="auto"/>
        <w:left w:val="none" w:sz="0" w:space="0" w:color="auto"/>
        <w:bottom w:val="none" w:sz="0" w:space="0" w:color="auto"/>
        <w:right w:val="none" w:sz="0" w:space="0" w:color="auto"/>
      </w:divBdr>
    </w:div>
    <w:div w:id="686521358">
      <w:bodyDiv w:val="1"/>
      <w:marLeft w:val="0"/>
      <w:marRight w:val="0"/>
      <w:marTop w:val="0"/>
      <w:marBottom w:val="0"/>
      <w:divBdr>
        <w:top w:val="none" w:sz="0" w:space="0" w:color="auto"/>
        <w:left w:val="none" w:sz="0" w:space="0" w:color="auto"/>
        <w:bottom w:val="none" w:sz="0" w:space="0" w:color="auto"/>
        <w:right w:val="none" w:sz="0" w:space="0" w:color="auto"/>
      </w:divBdr>
    </w:div>
    <w:div w:id="686831427">
      <w:bodyDiv w:val="1"/>
      <w:marLeft w:val="0"/>
      <w:marRight w:val="0"/>
      <w:marTop w:val="0"/>
      <w:marBottom w:val="0"/>
      <w:divBdr>
        <w:top w:val="none" w:sz="0" w:space="0" w:color="auto"/>
        <w:left w:val="none" w:sz="0" w:space="0" w:color="auto"/>
        <w:bottom w:val="none" w:sz="0" w:space="0" w:color="auto"/>
        <w:right w:val="none" w:sz="0" w:space="0" w:color="auto"/>
      </w:divBdr>
    </w:div>
    <w:div w:id="687171518">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87605573">
      <w:bodyDiv w:val="1"/>
      <w:marLeft w:val="0"/>
      <w:marRight w:val="0"/>
      <w:marTop w:val="0"/>
      <w:marBottom w:val="0"/>
      <w:divBdr>
        <w:top w:val="none" w:sz="0" w:space="0" w:color="auto"/>
        <w:left w:val="none" w:sz="0" w:space="0" w:color="auto"/>
        <w:bottom w:val="none" w:sz="0" w:space="0" w:color="auto"/>
        <w:right w:val="none" w:sz="0" w:space="0" w:color="auto"/>
      </w:divBdr>
    </w:div>
    <w:div w:id="687634234">
      <w:bodyDiv w:val="1"/>
      <w:marLeft w:val="0"/>
      <w:marRight w:val="0"/>
      <w:marTop w:val="0"/>
      <w:marBottom w:val="0"/>
      <w:divBdr>
        <w:top w:val="none" w:sz="0" w:space="0" w:color="auto"/>
        <w:left w:val="none" w:sz="0" w:space="0" w:color="auto"/>
        <w:bottom w:val="none" w:sz="0" w:space="0" w:color="auto"/>
        <w:right w:val="none" w:sz="0" w:space="0" w:color="auto"/>
      </w:divBdr>
    </w:div>
    <w:div w:id="687878340">
      <w:bodyDiv w:val="1"/>
      <w:marLeft w:val="0"/>
      <w:marRight w:val="0"/>
      <w:marTop w:val="0"/>
      <w:marBottom w:val="0"/>
      <w:divBdr>
        <w:top w:val="none" w:sz="0" w:space="0" w:color="auto"/>
        <w:left w:val="none" w:sz="0" w:space="0" w:color="auto"/>
        <w:bottom w:val="none" w:sz="0" w:space="0" w:color="auto"/>
        <w:right w:val="none" w:sz="0" w:space="0" w:color="auto"/>
      </w:divBdr>
    </w:div>
    <w:div w:id="688725359">
      <w:bodyDiv w:val="1"/>
      <w:marLeft w:val="0"/>
      <w:marRight w:val="0"/>
      <w:marTop w:val="0"/>
      <w:marBottom w:val="0"/>
      <w:divBdr>
        <w:top w:val="none" w:sz="0" w:space="0" w:color="auto"/>
        <w:left w:val="none" w:sz="0" w:space="0" w:color="auto"/>
        <w:bottom w:val="none" w:sz="0" w:space="0" w:color="auto"/>
        <w:right w:val="none" w:sz="0" w:space="0" w:color="auto"/>
      </w:divBdr>
    </w:div>
    <w:div w:id="688798591">
      <w:bodyDiv w:val="1"/>
      <w:marLeft w:val="0"/>
      <w:marRight w:val="0"/>
      <w:marTop w:val="0"/>
      <w:marBottom w:val="0"/>
      <w:divBdr>
        <w:top w:val="none" w:sz="0" w:space="0" w:color="auto"/>
        <w:left w:val="none" w:sz="0" w:space="0" w:color="auto"/>
        <w:bottom w:val="none" w:sz="0" w:space="0" w:color="auto"/>
        <w:right w:val="none" w:sz="0" w:space="0" w:color="auto"/>
      </w:divBdr>
    </w:div>
    <w:div w:id="689139485">
      <w:bodyDiv w:val="1"/>
      <w:marLeft w:val="0"/>
      <w:marRight w:val="0"/>
      <w:marTop w:val="0"/>
      <w:marBottom w:val="0"/>
      <w:divBdr>
        <w:top w:val="none" w:sz="0" w:space="0" w:color="auto"/>
        <w:left w:val="none" w:sz="0" w:space="0" w:color="auto"/>
        <w:bottom w:val="none" w:sz="0" w:space="0" w:color="auto"/>
        <w:right w:val="none" w:sz="0" w:space="0" w:color="auto"/>
      </w:divBdr>
    </w:div>
    <w:div w:id="689184178">
      <w:bodyDiv w:val="1"/>
      <w:marLeft w:val="0"/>
      <w:marRight w:val="0"/>
      <w:marTop w:val="0"/>
      <w:marBottom w:val="0"/>
      <w:divBdr>
        <w:top w:val="none" w:sz="0" w:space="0" w:color="auto"/>
        <w:left w:val="none" w:sz="0" w:space="0" w:color="auto"/>
        <w:bottom w:val="none" w:sz="0" w:space="0" w:color="auto"/>
        <w:right w:val="none" w:sz="0" w:space="0" w:color="auto"/>
      </w:divBdr>
    </w:div>
    <w:div w:id="689448848">
      <w:bodyDiv w:val="1"/>
      <w:marLeft w:val="0"/>
      <w:marRight w:val="0"/>
      <w:marTop w:val="0"/>
      <w:marBottom w:val="0"/>
      <w:divBdr>
        <w:top w:val="none" w:sz="0" w:space="0" w:color="auto"/>
        <w:left w:val="none" w:sz="0" w:space="0" w:color="auto"/>
        <w:bottom w:val="none" w:sz="0" w:space="0" w:color="auto"/>
        <w:right w:val="none" w:sz="0" w:space="0" w:color="auto"/>
      </w:divBdr>
    </w:div>
    <w:div w:id="689575866">
      <w:bodyDiv w:val="1"/>
      <w:marLeft w:val="0"/>
      <w:marRight w:val="0"/>
      <w:marTop w:val="0"/>
      <w:marBottom w:val="0"/>
      <w:divBdr>
        <w:top w:val="none" w:sz="0" w:space="0" w:color="auto"/>
        <w:left w:val="none" w:sz="0" w:space="0" w:color="auto"/>
        <w:bottom w:val="none" w:sz="0" w:space="0" w:color="auto"/>
        <w:right w:val="none" w:sz="0" w:space="0" w:color="auto"/>
      </w:divBdr>
    </w:div>
    <w:div w:id="689642907">
      <w:bodyDiv w:val="1"/>
      <w:marLeft w:val="0"/>
      <w:marRight w:val="0"/>
      <w:marTop w:val="0"/>
      <w:marBottom w:val="0"/>
      <w:divBdr>
        <w:top w:val="none" w:sz="0" w:space="0" w:color="auto"/>
        <w:left w:val="none" w:sz="0" w:space="0" w:color="auto"/>
        <w:bottom w:val="none" w:sz="0" w:space="0" w:color="auto"/>
        <w:right w:val="none" w:sz="0" w:space="0" w:color="auto"/>
      </w:divBdr>
    </w:div>
    <w:div w:id="689918809">
      <w:bodyDiv w:val="1"/>
      <w:marLeft w:val="0"/>
      <w:marRight w:val="0"/>
      <w:marTop w:val="0"/>
      <w:marBottom w:val="0"/>
      <w:divBdr>
        <w:top w:val="none" w:sz="0" w:space="0" w:color="auto"/>
        <w:left w:val="none" w:sz="0" w:space="0" w:color="auto"/>
        <w:bottom w:val="none" w:sz="0" w:space="0" w:color="auto"/>
        <w:right w:val="none" w:sz="0" w:space="0" w:color="auto"/>
      </w:divBdr>
    </w:div>
    <w:div w:id="690648692">
      <w:bodyDiv w:val="1"/>
      <w:marLeft w:val="0"/>
      <w:marRight w:val="0"/>
      <w:marTop w:val="0"/>
      <w:marBottom w:val="0"/>
      <w:divBdr>
        <w:top w:val="none" w:sz="0" w:space="0" w:color="auto"/>
        <w:left w:val="none" w:sz="0" w:space="0" w:color="auto"/>
        <w:bottom w:val="none" w:sz="0" w:space="0" w:color="auto"/>
        <w:right w:val="none" w:sz="0" w:space="0" w:color="auto"/>
      </w:divBdr>
    </w:div>
    <w:div w:id="690684651">
      <w:bodyDiv w:val="1"/>
      <w:marLeft w:val="0"/>
      <w:marRight w:val="0"/>
      <w:marTop w:val="0"/>
      <w:marBottom w:val="0"/>
      <w:divBdr>
        <w:top w:val="none" w:sz="0" w:space="0" w:color="auto"/>
        <w:left w:val="none" w:sz="0" w:space="0" w:color="auto"/>
        <w:bottom w:val="none" w:sz="0" w:space="0" w:color="auto"/>
        <w:right w:val="none" w:sz="0" w:space="0" w:color="auto"/>
      </w:divBdr>
    </w:div>
    <w:div w:id="690835477">
      <w:bodyDiv w:val="1"/>
      <w:marLeft w:val="0"/>
      <w:marRight w:val="0"/>
      <w:marTop w:val="0"/>
      <w:marBottom w:val="0"/>
      <w:divBdr>
        <w:top w:val="none" w:sz="0" w:space="0" w:color="auto"/>
        <w:left w:val="none" w:sz="0" w:space="0" w:color="auto"/>
        <w:bottom w:val="none" w:sz="0" w:space="0" w:color="auto"/>
        <w:right w:val="none" w:sz="0" w:space="0" w:color="auto"/>
      </w:divBdr>
    </w:div>
    <w:div w:id="690953572">
      <w:bodyDiv w:val="1"/>
      <w:marLeft w:val="0"/>
      <w:marRight w:val="0"/>
      <w:marTop w:val="0"/>
      <w:marBottom w:val="0"/>
      <w:divBdr>
        <w:top w:val="none" w:sz="0" w:space="0" w:color="auto"/>
        <w:left w:val="none" w:sz="0" w:space="0" w:color="auto"/>
        <w:bottom w:val="none" w:sz="0" w:space="0" w:color="auto"/>
        <w:right w:val="none" w:sz="0" w:space="0" w:color="auto"/>
      </w:divBdr>
    </w:div>
    <w:div w:id="691077298">
      <w:bodyDiv w:val="1"/>
      <w:marLeft w:val="0"/>
      <w:marRight w:val="0"/>
      <w:marTop w:val="0"/>
      <w:marBottom w:val="0"/>
      <w:divBdr>
        <w:top w:val="none" w:sz="0" w:space="0" w:color="auto"/>
        <w:left w:val="none" w:sz="0" w:space="0" w:color="auto"/>
        <w:bottom w:val="none" w:sz="0" w:space="0" w:color="auto"/>
        <w:right w:val="none" w:sz="0" w:space="0" w:color="auto"/>
      </w:divBdr>
    </w:div>
    <w:div w:id="691078195">
      <w:bodyDiv w:val="1"/>
      <w:marLeft w:val="0"/>
      <w:marRight w:val="0"/>
      <w:marTop w:val="0"/>
      <w:marBottom w:val="0"/>
      <w:divBdr>
        <w:top w:val="none" w:sz="0" w:space="0" w:color="auto"/>
        <w:left w:val="none" w:sz="0" w:space="0" w:color="auto"/>
        <w:bottom w:val="none" w:sz="0" w:space="0" w:color="auto"/>
        <w:right w:val="none" w:sz="0" w:space="0" w:color="auto"/>
      </w:divBdr>
    </w:div>
    <w:div w:id="691535879">
      <w:bodyDiv w:val="1"/>
      <w:marLeft w:val="0"/>
      <w:marRight w:val="0"/>
      <w:marTop w:val="0"/>
      <w:marBottom w:val="0"/>
      <w:divBdr>
        <w:top w:val="none" w:sz="0" w:space="0" w:color="auto"/>
        <w:left w:val="none" w:sz="0" w:space="0" w:color="auto"/>
        <w:bottom w:val="none" w:sz="0" w:space="0" w:color="auto"/>
        <w:right w:val="none" w:sz="0" w:space="0" w:color="auto"/>
      </w:divBdr>
    </w:div>
    <w:div w:id="691806828">
      <w:bodyDiv w:val="1"/>
      <w:marLeft w:val="0"/>
      <w:marRight w:val="0"/>
      <w:marTop w:val="0"/>
      <w:marBottom w:val="0"/>
      <w:divBdr>
        <w:top w:val="none" w:sz="0" w:space="0" w:color="auto"/>
        <w:left w:val="none" w:sz="0" w:space="0" w:color="auto"/>
        <w:bottom w:val="none" w:sz="0" w:space="0" w:color="auto"/>
        <w:right w:val="none" w:sz="0" w:space="0" w:color="auto"/>
      </w:divBdr>
    </w:div>
    <w:div w:id="691952597">
      <w:bodyDiv w:val="1"/>
      <w:marLeft w:val="0"/>
      <w:marRight w:val="0"/>
      <w:marTop w:val="0"/>
      <w:marBottom w:val="0"/>
      <w:divBdr>
        <w:top w:val="none" w:sz="0" w:space="0" w:color="auto"/>
        <w:left w:val="none" w:sz="0" w:space="0" w:color="auto"/>
        <w:bottom w:val="none" w:sz="0" w:space="0" w:color="auto"/>
        <w:right w:val="none" w:sz="0" w:space="0" w:color="auto"/>
      </w:divBdr>
    </w:div>
    <w:div w:id="692145998">
      <w:bodyDiv w:val="1"/>
      <w:marLeft w:val="0"/>
      <w:marRight w:val="0"/>
      <w:marTop w:val="0"/>
      <w:marBottom w:val="0"/>
      <w:divBdr>
        <w:top w:val="none" w:sz="0" w:space="0" w:color="auto"/>
        <w:left w:val="none" w:sz="0" w:space="0" w:color="auto"/>
        <w:bottom w:val="none" w:sz="0" w:space="0" w:color="auto"/>
        <w:right w:val="none" w:sz="0" w:space="0" w:color="auto"/>
      </w:divBdr>
    </w:div>
    <w:div w:id="692268868">
      <w:bodyDiv w:val="1"/>
      <w:marLeft w:val="0"/>
      <w:marRight w:val="0"/>
      <w:marTop w:val="0"/>
      <w:marBottom w:val="0"/>
      <w:divBdr>
        <w:top w:val="none" w:sz="0" w:space="0" w:color="auto"/>
        <w:left w:val="none" w:sz="0" w:space="0" w:color="auto"/>
        <w:bottom w:val="none" w:sz="0" w:space="0" w:color="auto"/>
        <w:right w:val="none" w:sz="0" w:space="0" w:color="auto"/>
      </w:divBdr>
    </w:div>
    <w:div w:id="692997317">
      <w:bodyDiv w:val="1"/>
      <w:marLeft w:val="0"/>
      <w:marRight w:val="0"/>
      <w:marTop w:val="0"/>
      <w:marBottom w:val="0"/>
      <w:divBdr>
        <w:top w:val="none" w:sz="0" w:space="0" w:color="auto"/>
        <w:left w:val="none" w:sz="0" w:space="0" w:color="auto"/>
        <w:bottom w:val="none" w:sz="0" w:space="0" w:color="auto"/>
        <w:right w:val="none" w:sz="0" w:space="0" w:color="auto"/>
      </w:divBdr>
    </w:div>
    <w:div w:id="693070410">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3189696">
      <w:bodyDiv w:val="1"/>
      <w:marLeft w:val="0"/>
      <w:marRight w:val="0"/>
      <w:marTop w:val="0"/>
      <w:marBottom w:val="0"/>
      <w:divBdr>
        <w:top w:val="none" w:sz="0" w:space="0" w:color="auto"/>
        <w:left w:val="none" w:sz="0" w:space="0" w:color="auto"/>
        <w:bottom w:val="none" w:sz="0" w:space="0" w:color="auto"/>
        <w:right w:val="none" w:sz="0" w:space="0" w:color="auto"/>
      </w:divBdr>
    </w:div>
    <w:div w:id="693192949">
      <w:bodyDiv w:val="1"/>
      <w:marLeft w:val="0"/>
      <w:marRight w:val="0"/>
      <w:marTop w:val="0"/>
      <w:marBottom w:val="0"/>
      <w:divBdr>
        <w:top w:val="none" w:sz="0" w:space="0" w:color="auto"/>
        <w:left w:val="none" w:sz="0" w:space="0" w:color="auto"/>
        <w:bottom w:val="none" w:sz="0" w:space="0" w:color="auto"/>
        <w:right w:val="none" w:sz="0" w:space="0" w:color="auto"/>
      </w:divBdr>
    </w:div>
    <w:div w:id="693306422">
      <w:bodyDiv w:val="1"/>
      <w:marLeft w:val="0"/>
      <w:marRight w:val="0"/>
      <w:marTop w:val="0"/>
      <w:marBottom w:val="0"/>
      <w:divBdr>
        <w:top w:val="none" w:sz="0" w:space="0" w:color="auto"/>
        <w:left w:val="none" w:sz="0" w:space="0" w:color="auto"/>
        <w:bottom w:val="none" w:sz="0" w:space="0" w:color="auto"/>
        <w:right w:val="none" w:sz="0" w:space="0" w:color="auto"/>
      </w:divBdr>
    </w:div>
    <w:div w:id="693455316">
      <w:bodyDiv w:val="1"/>
      <w:marLeft w:val="0"/>
      <w:marRight w:val="0"/>
      <w:marTop w:val="0"/>
      <w:marBottom w:val="0"/>
      <w:divBdr>
        <w:top w:val="none" w:sz="0" w:space="0" w:color="auto"/>
        <w:left w:val="none" w:sz="0" w:space="0" w:color="auto"/>
        <w:bottom w:val="none" w:sz="0" w:space="0" w:color="auto"/>
        <w:right w:val="none" w:sz="0" w:space="0" w:color="auto"/>
      </w:divBdr>
    </w:div>
    <w:div w:id="693533661">
      <w:bodyDiv w:val="1"/>
      <w:marLeft w:val="0"/>
      <w:marRight w:val="0"/>
      <w:marTop w:val="0"/>
      <w:marBottom w:val="0"/>
      <w:divBdr>
        <w:top w:val="none" w:sz="0" w:space="0" w:color="auto"/>
        <w:left w:val="none" w:sz="0" w:space="0" w:color="auto"/>
        <w:bottom w:val="none" w:sz="0" w:space="0" w:color="auto"/>
        <w:right w:val="none" w:sz="0" w:space="0" w:color="auto"/>
      </w:divBdr>
    </w:div>
    <w:div w:id="693649114">
      <w:bodyDiv w:val="1"/>
      <w:marLeft w:val="0"/>
      <w:marRight w:val="0"/>
      <w:marTop w:val="0"/>
      <w:marBottom w:val="0"/>
      <w:divBdr>
        <w:top w:val="none" w:sz="0" w:space="0" w:color="auto"/>
        <w:left w:val="none" w:sz="0" w:space="0" w:color="auto"/>
        <w:bottom w:val="none" w:sz="0" w:space="0" w:color="auto"/>
        <w:right w:val="none" w:sz="0" w:space="0" w:color="auto"/>
      </w:divBdr>
    </w:div>
    <w:div w:id="694310734">
      <w:bodyDiv w:val="1"/>
      <w:marLeft w:val="0"/>
      <w:marRight w:val="0"/>
      <w:marTop w:val="0"/>
      <w:marBottom w:val="0"/>
      <w:divBdr>
        <w:top w:val="none" w:sz="0" w:space="0" w:color="auto"/>
        <w:left w:val="none" w:sz="0" w:space="0" w:color="auto"/>
        <w:bottom w:val="none" w:sz="0" w:space="0" w:color="auto"/>
        <w:right w:val="none" w:sz="0" w:space="0" w:color="auto"/>
      </w:divBdr>
    </w:div>
    <w:div w:id="694506504">
      <w:bodyDiv w:val="1"/>
      <w:marLeft w:val="0"/>
      <w:marRight w:val="0"/>
      <w:marTop w:val="0"/>
      <w:marBottom w:val="0"/>
      <w:divBdr>
        <w:top w:val="none" w:sz="0" w:space="0" w:color="auto"/>
        <w:left w:val="none" w:sz="0" w:space="0" w:color="auto"/>
        <w:bottom w:val="none" w:sz="0" w:space="0" w:color="auto"/>
        <w:right w:val="none" w:sz="0" w:space="0" w:color="auto"/>
      </w:divBdr>
    </w:div>
    <w:div w:id="694813056">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696004701">
      <w:bodyDiv w:val="1"/>
      <w:marLeft w:val="0"/>
      <w:marRight w:val="0"/>
      <w:marTop w:val="0"/>
      <w:marBottom w:val="0"/>
      <w:divBdr>
        <w:top w:val="none" w:sz="0" w:space="0" w:color="auto"/>
        <w:left w:val="none" w:sz="0" w:space="0" w:color="auto"/>
        <w:bottom w:val="none" w:sz="0" w:space="0" w:color="auto"/>
        <w:right w:val="none" w:sz="0" w:space="0" w:color="auto"/>
      </w:divBdr>
    </w:div>
    <w:div w:id="696201948">
      <w:bodyDiv w:val="1"/>
      <w:marLeft w:val="0"/>
      <w:marRight w:val="0"/>
      <w:marTop w:val="0"/>
      <w:marBottom w:val="0"/>
      <w:divBdr>
        <w:top w:val="none" w:sz="0" w:space="0" w:color="auto"/>
        <w:left w:val="none" w:sz="0" w:space="0" w:color="auto"/>
        <w:bottom w:val="none" w:sz="0" w:space="0" w:color="auto"/>
        <w:right w:val="none" w:sz="0" w:space="0" w:color="auto"/>
      </w:divBdr>
    </w:div>
    <w:div w:id="696587372">
      <w:bodyDiv w:val="1"/>
      <w:marLeft w:val="0"/>
      <w:marRight w:val="0"/>
      <w:marTop w:val="0"/>
      <w:marBottom w:val="0"/>
      <w:divBdr>
        <w:top w:val="none" w:sz="0" w:space="0" w:color="auto"/>
        <w:left w:val="none" w:sz="0" w:space="0" w:color="auto"/>
        <w:bottom w:val="none" w:sz="0" w:space="0" w:color="auto"/>
        <w:right w:val="none" w:sz="0" w:space="0" w:color="auto"/>
      </w:divBdr>
    </w:div>
    <w:div w:id="696781205">
      <w:bodyDiv w:val="1"/>
      <w:marLeft w:val="0"/>
      <w:marRight w:val="0"/>
      <w:marTop w:val="0"/>
      <w:marBottom w:val="0"/>
      <w:divBdr>
        <w:top w:val="none" w:sz="0" w:space="0" w:color="auto"/>
        <w:left w:val="none" w:sz="0" w:space="0" w:color="auto"/>
        <w:bottom w:val="none" w:sz="0" w:space="0" w:color="auto"/>
        <w:right w:val="none" w:sz="0" w:space="0" w:color="auto"/>
      </w:divBdr>
    </w:div>
    <w:div w:id="696854055">
      <w:bodyDiv w:val="1"/>
      <w:marLeft w:val="0"/>
      <w:marRight w:val="0"/>
      <w:marTop w:val="0"/>
      <w:marBottom w:val="0"/>
      <w:divBdr>
        <w:top w:val="none" w:sz="0" w:space="0" w:color="auto"/>
        <w:left w:val="none" w:sz="0" w:space="0" w:color="auto"/>
        <w:bottom w:val="none" w:sz="0" w:space="0" w:color="auto"/>
        <w:right w:val="none" w:sz="0" w:space="0" w:color="auto"/>
      </w:divBdr>
    </w:div>
    <w:div w:id="696854587">
      <w:bodyDiv w:val="1"/>
      <w:marLeft w:val="0"/>
      <w:marRight w:val="0"/>
      <w:marTop w:val="0"/>
      <w:marBottom w:val="0"/>
      <w:divBdr>
        <w:top w:val="none" w:sz="0" w:space="0" w:color="auto"/>
        <w:left w:val="none" w:sz="0" w:space="0" w:color="auto"/>
        <w:bottom w:val="none" w:sz="0" w:space="0" w:color="auto"/>
        <w:right w:val="none" w:sz="0" w:space="0" w:color="auto"/>
      </w:divBdr>
    </w:div>
    <w:div w:id="697124394">
      <w:bodyDiv w:val="1"/>
      <w:marLeft w:val="0"/>
      <w:marRight w:val="0"/>
      <w:marTop w:val="0"/>
      <w:marBottom w:val="0"/>
      <w:divBdr>
        <w:top w:val="none" w:sz="0" w:space="0" w:color="auto"/>
        <w:left w:val="none" w:sz="0" w:space="0" w:color="auto"/>
        <w:bottom w:val="none" w:sz="0" w:space="0" w:color="auto"/>
        <w:right w:val="none" w:sz="0" w:space="0" w:color="auto"/>
      </w:divBdr>
    </w:div>
    <w:div w:id="697511654">
      <w:bodyDiv w:val="1"/>
      <w:marLeft w:val="0"/>
      <w:marRight w:val="0"/>
      <w:marTop w:val="0"/>
      <w:marBottom w:val="0"/>
      <w:divBdr>
        <w:top w:val="none" w:sz="0" w:space="0" w:color="auto"/>
        <w:left w:val="none" w:sz="0" w:space="0" w:color="auto"/>
        <w:bottom w:val="none" w:sz="0" w:space="0" w:color="auto"/>
        <w:right w:val="none" w:sz="0" w:space="0" w:color="auto"/>
      </w:divBdr>
    </w:div>
    <w:div w:id="697582004">
      <w:bodyDiv w:val="1"/>
      <w:marLeft w:val="0"/>
      <w:marRight w:val="0"/>
      <w:marTop w:val="0"/>
      <w:marBottom w:val="0"/>
      <w:divBdr>
        <w:top w:val="none" w:sz="0" w:space="0" w:color="auto"/>
        <w:left w:val="none" w:sz="0" w:space="0" w:color="auto"/>
        <w:bottom w:val="none" w:sz="0" w:space="0" w:color="auto"/>
        <w:right w:val="none" w:sz="0" w:space="0" w:color="auto"/>
      </w:divBdr>
    </w:div>
    <w:div w:id="697589861">
      <w:bodyDiv w:val="1"/>
      <w:marLeft w:val="0"/>
      <w:marRight w:val="0"/>
      <w:marTop w:val="0"/>
      <w:marBottom w:val="0"/>
      <w:divBdr>
        <w:top w:val="none" w:sz="0" w:space="0" w:color="auto"/>
        <w:left w:val="none" w:sz="0" w:space="0" w:color="auto"/>
        <w:bottom w:val="none" w:sz="0" w:space="0" w:color="auto"/>
        <w:right w:val="none" w:sz="0" w:space="0" w:color="auto"/>
      </w:divBdr>
    </w:div>
    <w:div w:id="697702018">
      <w:bodyDiv w:val="1"/>
      <w:marLeft w:val="0"/>
      <w:marRight w:val="0"/>
      <w:marTop w:val="0"/>
      <w:marBottom w:val="0"/>
      <w:divBdr>
        <w:top w:val="none" w:sz="0" w:space="0" w:color="auto"/>
        <w:left w:val="none" w:sz="0" w:space="0" w:color="auto"/>
        <w:bottom w:val="none" w:sz="0" w:space="0" w:color="auto"/>
        <w:right w:val="none" w:sz="0" w:space="0" w:color="auto"/>
      </w:divBdr>
    </w:div>
    <w:div w:id="698046241">
      <w:bodyDiv w:val="1"/>
      <w:marLeft w:val="0"/>
      <w:marRight w:val="0"/>
      <w:marTop w:val="0"/>
      <w:marBottom w:val="0"/>
      <w:divBdr>
        <w:top w:val="none" w:sz="0" w:space="0" w:color="auto"/>
        <w:left w:val="none" w:sz="0" w:space="0" w:color="auto"/>
        <w:bottom w:val="none" w:sz="0" w:space="0" w:color="auto"/>
        <w:right w:val="none" w:sz="0" w:space="0" w:color="auto"/>
      </w:divBdr>
    </w:div>
    <w:div w:id="698286911">
      <w:bodyDiv w:val="1"/>
      <w:marLeft w:val="0"/>
      <w:marRight w:val="0"/>
      <w:marTop w:val="0"/>
      <w:marBottom w:val="0"/>
      <w:divBdr>
        <w:top w:val="none" w:sz="0" w:space="0" w:color="auto"/>
        <w:left w:val="none" w:sz="0" w:space="0" w:color="auto"/>
        <w:bottom w:val="none" w:sz="0" w:space="0" w:color="auto"/>
        <w:right w:val="none" w:sz="0" w:space="0" w:color="auto"/>
      </w:divBdr>
    </w:div>
    <w:div w:id="698360281">
      <w:bodyDiv w:val="1"/>
      <w:marLeft w:val="0"/>
      <w:marRight w:val="0"/>
      <w:marTop w:val="0"/>
      <w:marBottom w:val="0"/>
      <w:divBdr>
        <w:top w:val="none" w:sz="0" w:space="0" w:color="auto"/>
        <w:left w:val="none" w:sz="0" w:space="0" w:color="auto"/>
        <w:bottom w:val="none" w:sz="0" w:space="0" w:color="auto"/>
        <w:right w:val="none" w:sz="0" w:space="0" w:color="auto"/>
      </w:divBdr>
    </w:div>
    <w:div w:id="698624690">
      <w:bodyDiv w:val="1"/>
      <w:marLeft w:val="0"/>
      <w:marRight w:val="0"/>
      <w:marTop w:val="0"/>
      <w:marBottom w:val="0"/>
      <w:divBdr>
        <w:top w:val="none" w:sz="0" w:space="0" w:color="auto"/>
        <w:left w:val="none" w:sz="0" w:space="0" w:color="auto"/>
        <w:bottom w:val="none" w:sz="0" w:space="0" w:color="auto"/>
        <w:right w:val="none" w:sz="0" w:space="0" w:color="auto"/>
      </w:divBdr>
    </w:div>
    <w:div w:id="699597626">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0474634">
      <w:bodyDiv w:val="1"/>
      <w:marLeft w:val="0"/>
      <w:marRight w:val="0"/>
      <w:marTop w:val="0"/>
      <w:marBottom w:val="0"/>
      <w:divBdr>
        <w:top w:val="none" w:sz="0" w:space="0" w:color="auto"/>
        <w:left w:val="none" w:sz="0" w:space="0" w:color="auto"/>
        <w:bottom w:val="none" w:sz="0" w:space="0" w:color="auto"/>
        <w:right w:val="none" w:sz="0" w:space="0" w:color="auto"/>
      </w:divBdr>
    </w:div>
    <w:div w:id="700590717">
      <w:bodyDiv w:val="1"/>
      <w:marLeft w:val="0"/>
      <w:marRight w:val="0"/>
      <w:marTop w:val="0"/>
      <w:marBottom w:val="0"/>
      <w:divBdr>
        <w:top w:val="none" w:sz="0" w:space="0" w:color="auto"/>
        <w:left w:val="none" w:sz="0" w:space="0" w:color="auto"/>
        <w:bottom w:val="none" w:sz="0" w:space="0" w:color="auto"/>
        <w:right w:val="none" w:sz="0" w:space="0" w:color="auto"/>
      </w:divBdr>
    </w:div>
    <w:div w:id="700711559">
      <w:bodyDiv w:val="1"/>
      <w:marLeft w:val="0"/>
      <w:marRight w:val="0"/>
      <w:marTop w:val="0"/>
      <w:marBottom w:val="0"/>
      <w:divBdr>
        <w:top w:val="none" w:sz="0" w:space="0" w:color="auto"/>
        <w:left w:val="none" w:sz="0" w:space="0" w:color="auto"/>
        <w:bottom w:val="none" w:sz="0" w:space="0" w:color="auto"/>
        <w:right w:val="none" w:sz="0" w:space="0" w:color="auto"/>
      </w:divBdr>
    </w:div>
    <w:div w:id="700714356">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1437831">
      <w:bodyDiv w:val="1"/>
      <w:marLeft w:val="0"/>
      <w:marRight w:val="0"/>
      <w:marTop w:val="0"/>
      <w:marBottom w:val="0"/>
      <w:divBdr>
        <w:top w:val="none" w:sz="0" w:space="0" w:color="auto"/>
        <w:left w:val="none" w:sz="0" w:space="0" w:color="auto"/>
        <w:bottom w:val="none" w:sz="0" w:space="0" w:color="auto"/>
        <w:right w:val="none" w:sz="0" w:space="0" w:color="auto"/>
      </w:divBdr>
    </w:div>
    <w:div w:id="701588390">
      <w:bodyDiv w:val="1"/>
      <w:marLeft w:val="0"/>
      <w:marRight w:val="0"/>
      <w:marTop w:val="0"/>
      <w:marBottom w:val="0"/>
      <w:divBdr>
        <w:top w:val="none" w:sz="0" w:space="0" w:color="auto"/>
        <w:left w:val="none" w:sz="0" w:space="0" w:color="auto"/>
        <w:bottom w:val="none" w:sz="0" w:space="0" w:color="auto"/>
        <w:right w:val="none" w:sz="0" w:space="0" w:color="auto"/>
      </w:divBdr>
    </w:div>
    <w:div w:id="701708130">
      <w:bodyDiv w:val="1"/>
      <w:marLeft w:val="0"/>
      <w:marRight w:val="0"/>
      <w:marTop w:val="0"/>
      <w:marBottom w:val="0"/>
      <w:divBdr>
        <w:top w:val="none" w:sz="0" w:space="0" w:color="auto"/>
        <w:left w:val="none" w:sz="0" w:space="0" w:color="auto"/>
        <w:bottom w:val="none" w:sz="0" w:space="0" w:color="auto"/>
        <w:right w:val="none" w:sz="0" w:space="0" w:color="auto"/>
      </w:divBdr>
    </w:div>
    <w:div w:id="701826836">
      <w:bodyDiv w:val="1"/>
      <w:marLeft w:val="0"/>
      <w:marRight w:val="0"/>
      <w:marTop w:val="0"/>
      <w:marBottom w:val="0"/>
      <w:divBdr>
        <w:top w:val="none" w:sz="0" w:space="0" w:color="auto"/>
        <w:left w:val="none" w:sz="0" w:space="0" w:color="auto"/>
        <w:bottom w:val="none" w:sz="0" w:space="0" w:color="auto"/>
        <w:right w:val="none" w:sz="0" w:space="0" w:color="auto"/>
      </w:divBdr>
    </w:div>
    <w:div w:id="702050540">
      <w:bodyDiv w:val="1"/>
      <w:marLeft w:val="0"/>
      <w:marRight w:val="0"/>
      <w:marTop w:val="0"/>
      <w:marBottom w:val="0"/>
      <w:divBdr>
        <w:top w:val="none" w:sz="0" w:space="0" w:color="auto"/>
        <w:left w:val="none" w:sz="0" w:space="0" w:color="auto"/>
        <w:bottom w:val="none" w:sz="0" w:space="0" w:color="auto"/>
        <w:right w:val="none" w:sz="0" w:space="0" w:color="auto"/>
      </w:divBdr>
    </w:div>
    <w:div w:id="702167151">
      <w:bodyDiv w:val="1"/>
      <w:marLeft w:val="0"/>
      <w:marRight w:val="0"/>
      <w:marTop w:val="0"/>
      <w:marBottom w:val="0"/>
      <w:divBdr>
        <w:top w:val="none" w:sz="0" w:space="0" w:color="auto"/>
        <w:left w:val="none" w:sz="0" w:space="0" w:color="auto"/>
        <w:bottom w:val="none" w:sz="0" w:space="0" w:color="auto"/>
        <w:right w:val="none" w:sz="0" w:space="0" w:color="auto"/>
      </w:divBdr>
    </w:div>
    <w:div w:id="702169664">
      <w:bodyDiv w:val="1"/>
      <w:marLeft w:val="0"/>
      <w:marRight w:val="0"/>
      <w:marTop w:val="0"/>
      <w:marBottom w:val="0"/>
      <w:divBdr>
        <w:top w:val="none" w:sz="0" w:space="0" w:color="auto"/>
        <w:left w:val="none" w:sz="0" w:space="0" w:color="auto"/>
        <w:bottom w:val="none" w:sz="0" w:space="0" w:color="auto"/>
        <w:right w:val="none" w:sz="0" w:space="0" w:color="auto"/>
      </w:divBdr>
    </w:div>
    <w:div w:id="702289067">
      <w:bodyDiv w:val="1"/>
      <w:marLeft w:val="0"/>
      <w:marRight w:val="0"/>
      <w:marTop w:val="0"/>
      <w:marBottom w:val="0"/>
      <w:divBdr>
        <w:top w:val="none" w:sz="0" w:space="0" w:color="auto"/>
        <w:left w:val="none" w:sz="0" w:space="0" w:color="auto"/>
        <w:bottom w:val="none" w:sz="0" w:space="0" w:color="auto"/>
        <w:right w:val="none" w:sz="0" w:space="0" w:color="auto"/>
      </w:divBdr>
    </w:div>
    <w:div w:id="702442360">
      <w:bodyDiv w:val="1"/>
      <w:marLeft w:val="0"/>
      <w:marRight w:val="0"/>
      <w:marTop w:val="0"/>
      <w:marBottom w:val="0"/>
      <w:divBdr>
        <w:top w:val="none" w:sz="0" w:space="0" w:color="auto"/>
        <w:left w:val="none" w:sz="0" w:space="0" w:color="auto"/>
        <w:bottom w:val="none" w:sz="0" w:space="0" w:color="auto"/>
        <w:right w:val="none" w:sz="0" w:space="0" w:color="auto"/>
      </w:divBdr>
    </w:div>
    <w:div w:id="702445016">
      <w:bodyDiv w:val="1"/>
      <w:marLeft w:val="0"/>
      <w:marRight w:val="0"/>
      <w:marTop w:val="0"/>
      <w:marBottom w:val="0"/>
      <w:divBdr>
        <w:top w:val="none" w:sz="0" w:space="0" w:color="auto"/>
        <w:left w:val="none" w:sz="0" w:space="0" w:color="auto"/>
        <w:bottom w:val="none" w:sz="0" w:space="0" w:color="auto"/>
        <w:right w:val="none" w:sz="0" w:space="0" w:color="auto"/>
      </w:divBdr>
    </w:div>
    <w:div w:id="702629149">
      <w:bodyDiv w:val="1"/>
      <w:marLeft w:val="0"/>
      <w:marRight w:val="0"/>
      <w:marTop w:val="0"/>
      <w:marBottom w:val="0"/>
      <w:divBdr>
        <w:top w:val="none" w:sz="0" w:space="0" w:color="auto"/>
        <w:left w:val="none" w:sz="0" w:space="0" w:color="auto"/>
        <w:bottom w:val="none" w:sz="0" w:space="0" w:color="auto"/>
        <w:right w:val="none" w:sz="0" w:space="0" w:color="auto"/>
      </w:divBdr>
    </w:div>
    <w:div w:id="702751917">
      <w:bodyDiv w:val="1"/>
      <w:marLeft w:val="0"/>
      <w:marRight w:val="0"/>
      <w:marTop w:val="0"/>
      <w:marBottom w:val="0"/>
      <w:divBdr>
        <w:top w:val="none" w:sz="0" w:space="0" w:color="auto"/>
        <w:left w:val="none" w:sz="0" w:space="0" w:color="auto"/>
        <w:bottom w:val="none" w:sz="0" w:space="0" w:color="auto"/>
        <w:right w:val="none" w:sz="0" w:space="0" w:color="auto"/>
      </w:divBdr>
    </w:div>
    <w:div w:id="702904376">
      <w:bodyDiv w:val="1"/>
      <w:marLeft w:val="0"/>
      <w:marRight w:val="0"/>
      <w:marTop w:val="0"/>
      <w:marBottom w:val="0"/>
      <w:divBdr>
        <w:top w:val="none" w:sz="0" w:space="0" w:color="auto"/>
        <w:left w:val="none" w:sz="0" w:space="0" w:color="auto"/>
        <w:bottom w:val="none" w:sz="0" w:space="0" w:color="auto"/>
        <w:right w:val="none" w:sz="0" w:space="0" w:color="auto"/>
      </w:divBdr>
    </w:div>
    <w:div w:id="703137777">
      <w:bodyDiv w:val="1"/>
      <w:marLeft w:val="0"/>
      <w:marRight w:val="0"/>
      <w:marTop w:val="0"/>
      <w:marBottom w:val="0"/>
      <w:divBdr>
        <w:top w:val="none" w:sz="0" w:space="0" w:color="auto"/>
        <w:left w:val="none" w:sz="0" w:space="0" w:color="auto"/>
        <w:bottom w:val="none" w:sz="0" w:space="0" w:color="auto"/>
        <w:right w:val="none" w:sz="0" w:space="0" w:color="auto"/>
      </w:divBdr>
    </w:div>
    <w:div w:id="704134111">
      <w:bodyDiv w:val="1"/>
      <w:marLeft w:val="0"/>
      <w:marRight w:val="0"/>
      <w:marTop w:val="0"/>
      <w:marBottom w:val="0"/>
      <w:divBdr>
        <w:top w:val="none" w:sz="0" w:space="0" w:color="auto"/>
        <w:left w:val="none" w:sz="0" w:space="0" w:color="auto"/>
        <w:bottom w:val="none" w:sz="0" w:space="0" w:color="auto"/>
        <w:right w:val="none" w:sz="0" w:space="0" w:color="auto"/>
      </w:divBdr>
    </w:div>
    <w:div w:id="704521382">
      <w:bodyDiv w:val="1"/>
      <w:marLeft w:val="0"/>
      <w:marRight w:val="0"/>
      <w:marTop w:val="0"/>
      <w:marBottom w:val="0"/>
      <w:divBdr>
        <w:top w:val="none" w:sz="0" w:space="0" w:color="auto"/>
        <w:left w:val="none" w:sz="0" w:space="0" w:color="auto"/>
        <w:bottom w:val="none" w:sz="0" w:space="0" w:color="auto"/>
        <w:right w:val="none" w:sz="0" w:space="0" w:color="auto"/>
      </w:divBdr>
    </w:div>
    <w:div w:id="704715495">
      <w:bodyDiv w:val="1"/>
      <w:marLeft w:val="0"/>
      <w:marRight w:val="0"/>
      <w:marTop w:val="0"/>
      <w:marBottom w:val="0"/>
      <w:divBdr>
        <w:top w:val="none" w:sz="0" w:space="0" w:color="auto"/>
        <w:left w:val="none" w:sz="0" w:space="0" w:color="auto"/>
        <w:bottom w:val="none" w:sz="0" w:space="0" w:color="auto"/>
        <w:right w:val="none" w:sz="0" w:space="0" w:color="auto"/>
      </w:divBdr>
    </w:div>
    <w:div w:id="704981380">
      <w:bodyDiv w:val="1"/>
      <w:marLeft w:val="0"/>
      <w:marRight w:val="0"/>
      <w:marTop w:val="0"/>
      <w:marBottom w:val="0"/>
      <w:divBdr>
        <w:top w:val="none" w:sz="0" w:space="0" w:color="auto"/>
        <w:left w:val="none" w:sz="0" w:space="0" w:color="auto"/>
        <w:bottom w:val="none" w:sz="0" w:space="0" w:color="auto"/>
        <w:right w:val="none" w:sz="0" w:space="0" w:color="auto"/>
      </w:divBdr>
    </w:div>
    <w:div w:id="705183897">
      <w:bodyDiv w:val="1"/>
      <w:marLeft w:val="0"/>
      <w:marRight w:val="0"/>
      <w:marTop w:val="0"/>
      <w:marBottom w:val="0"/>
      <w:divBdr>
        <w:top w:val="none" w:sz="0" w:space="0" w:color="auto"/>
        <w:left w:val="none" w:sz="0" w:space="0" w:color="auto"/>
        <w:bottom w:val="none" w:sz="0" w:space="0" w:color="auto"/>
        <w:right w:val="none" w:sz="0" w:space="0" w:color="auto"/>
      </w:divBdr>
    </w:div>
    <w:div w:id="705562082">
      <w:bodyDiv w:val="1"/>
      <w:marLeft w:val="0"/>
      <w:marRight w:val="0"/>
      <w:marTop w:val="0"/>
      <w:marBottom w:val="0"/>
      <w:divBdr>
        <w:top w:val="none" w:sz="0" w:space="0" w:color="auto"/>
        <w:left w:val="none" w:sz="0" w:space="0" w:color="auto"/>
        <w:bottom w:val="none" w:sz="0" w:space="0" w:color="auto"/>
        <w:right w:val="none" w:sz="0" w:space="0" w:color="auto"/>
      </w:divBdr>
    </w:div>
    <w:div w:id="705839594">
      <w:bodyDiv w:val="1"/>
      <w:marLeft w:val="0"/>
      <w:marRight w:val="0"/>
      <w:marTop w:val="0"/>
      <w:marBottom w:val="0"/>
      <w:divBdr>
        <w:top w:val="none" w:sz="0" w:space="0" w:color="auto"/>
        <w:left w:val="none" w:sz="0" w:space="0" w:color="auto"/>
        <w:bottom w:val="none" w:sz="0" w:space="0" w:color="auto"/>
        <w:right w:val="none" w:sz="0" w:space="0" w:color="auto"/>
      </w:divBdr>
    </w:div>
    <w:div w:id="705912342">
      <w:bodyDiv w:val="1"/>
      <w:marLeft w:val="0"/>
      <w:marRight w:val="0"/>
      <w:marTop w:val="0"/>
      <w:marBottom w:val="0"/>
      <w:divBdr>
        <w:top w:val="none" w:sz="0" w:space="0" w:color="auto"/>
        <w:left w:val="none" w:sz="0" w:space="0" w:color="auto"/>
        <w:bottom w:val="none" w:sz="0" w:space="0" w:color="auto"/>
        <w:right w:val="none" w:sz="0" w:space="0" w:color="auto"/>
      </w:divBdr>
    </w:div>
    <w:div w:id="706494226">
      <w:bodyDiv w:val="1"/>
      <w:marLeft w:val="0"/>
      <w:marRight w:val="0"/>
      <w:marTop w:val="0"/>
      <w:marBottom w:val="0"/>
      <w:divBdr>
        <w:top w:val="none" w:sz="0" w:space="0" w:color="auto"/>
        <w:left w:val="none" w:sz="0" w:space="0" w:color="auto"/>
        <w:bottom w:val="none" w:sz="0" w:space="0" w:color="auto"/>
        <w:right w:val="none" w:sz="0" w:space="0" w:color="auto"/>
      </w:divBdr>
    </w:div>
    <w:div w:id="706636784">
      <w:bodyDiv w:val="1"/>
      <w:marLeft w:val="0"/>
      <w:marRight w:val="0"/>
      <w:marTop w:val="0"/>
      <w:marBottom w:val="0"/>
      <w:divBdr>
        <w:top w:val="none" w:sz="0" w:space="0" w:color="auto"/>
        <w:left w:val="none" w:sz="0" w:space="0" w:color="auto"/>
        <w:bottom w:val="none" w:sz="0" w:space="0" w:color="auto"/>
        <w:right w:val="none" w:sz="0" w:space="0" w:color="auto"/>
      </w:divBdr>
    </w:div>
    <w:div w:id="706754060">
      <w:bodyDiv w:val="1"/>
      <w:marLeft w:val="0"/>
      <w:marRight w:val="0"/>
      <w:marTop w:val="0"/>
      <w:marBottom w:val="0"/>
      <w:divBdr>
        <w:top w:val="none" w:sz="0" w:space="0" w:color="auto"/>
        <w:left w:val="none" w:sz="0" w:space="0" w:color="auto"/>
        <w:bottom w:val="none" w:sz="0" w:space="0" w:color="auto"/>
        <w:right w:val="none" w:sz="0" w:space="0" w:color="auto"/>
      </w:divBdr>
    </w:div>
    <w:div w:id="707098129">
      <w:bodyDiv w:val="1"/>
      <w:marLeft w:val="0"/>
      <w:marRight w:val="0"/>
      <w:marTop w:val="0"/>
      <w:marBottom w:val="0"/>
      <w:divBdr>
        <w:top w:val="none" w:sz="0" w:space="0" w:color="auto"/>
        <w:left w:val="none" w:sz="0" w:space="0" w:color="auto"/>
        <w:bottom w:val="none" w:sz="0" w:space="0" w:color="auto"/>
        <w:right w:val="none" w:sz="0" w:space="0" w:color="auto"/>
      </w:divBdr>
    </w:div>
    <w:div w:id="707144169">
      <w:bodyDiv w:val="1"/>
      <w:marLeft w:val="0"/>
      <w:marRight w:val="0"/>
      <w:marTop w:val="0"/>
      <w:marBottom w:val="0"/>
      <w:divBdr>
        <w:top w:val="none" w:sz="0" w:space="0" w:color="auto"/>
        <w:left w:val="none" w:sz="0" w:space="0" w:color="auto"/>
        <w:bottom w:val="none" w:sz="0" w:space="0" w:color="auto"/>
        <w:right w:val="none" w:sz="0" w:space="0" w:color="auto"/>
      </w:divBdr>
    </w:div>
    <w:div w:id="708336014">
      <w:bodyDiv w:val="1"/>
      <w:marLeft w:val="0"/>
      <w:marRight w:val="0"/>
      <w:marTop w:val="0"/>
      <w:marBottom w:val="0"/>
      <w:divBdr>
        <w:top w:val="none" w:sz="0" w:space="0" w:color="auto"/>
        <w:left w:val="none" w:sz="0" w:space="0" w:color="auto"/>
        <w:bottom w:val="none" w:sz="0" w:space="0" w:color="auto"/>
        <w:right w:val="none" w:sz="0" w:space="0" w:color="auto"/>
      </w:divBdr>
    </w:div>
    <w:div w:id="708341669">
      <w:bodyDiv w:val="1"/>
      <w:marLeft w:val="0"/>
      <w:marRight w:val="0"/>
      <w:marTop w:val="0"/>
      <w:marBottom w:val="0"/>
      <w:divBdr>
        <w:top w:val="none" w:sz="0" w:space="0" w:color="auto"/>
        <w:left w:val="none" w:sz="0" w:space="0" w:color="auto"/>
        <w:bottom w:val="none" w:sz="0" w:space="0" w:color="auto"/>
        <w:right w:val="none" w:sz="0" w:space="0" w:color="auto"/>
      </w:divBdr>
    </w:div>
    <w:div w:id="708722794">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09653422">
      <w:bodyDiv w:val="1"/>
      <w:marLeft w:val="0"/>
      <w:marRight w:val="0"/>
      <w:marTop w:val="0"/>
      <w:marBottom w:val="0"/>
      <w:divBdr>
        <w:top w:val="none" w:sz="0" w:space="0" w:color="auto"/>
        <w:left w:val="none" w:sz="0" w:space="0" w:color="auto"/>
        <w:bottom w:val="none" w:sz="0" w:space="0" w:color="auto"/>
        <w:right w:val="none" w:sz="0" w:space="0" w:color="auto"/>
      </w:divBdr>
    </w:div>
    <w:div w:id="709691853">
      <w:bodyDiv w:val="1"/>
      <w:marLeft w:val="0"/>
      <w:marRight w:val="0"/>
      <w:marTop w:val="0"/>
      <w:marBottom w:val="0"/>
      <w:divBdr>
        <w:top w:val="none" w:sz="0" w:space="0" w:color="auto"/>
        <w:left w:val="none" w:sz="0" w:space="0" w:color="auto"/>
        <w:bottom w:val="none" w:sz="0" w:space="0" w:color="auto"/>
        <w:right w:val="none" w:sz="0" w:space="0" w:color="auto"/>
      </w:divBdr>
    </w:div>
    <w:div w:id="709692396">
      <w:bodyDiv w:val="1"/>
      <w:marLeft w:val="0"/>
      <w:marRight w:val="0"/>
      <w:marTop w:val="0"/>
      <w:marBottom w:val="0"/>
      <w:divBdr>
        <w:top w:val="none" w:sz="0" w:space="0" w:color="auto"/>
        <w:left w:val="none" w:sz="0" w:space="0" w:color="auto"/>
        <w:bottom w:val="none" w:sz="0" w:space="0" w:color="auto"/>
        <w:right w:val="none" w:sz="0" w:space="0" w:color="auto"/>
      </w:divBdr>
    </w:div>
    <w:div w:id="709692875">
      <w:bodyDiv w:val="1"/>
      <w:marLeft w:val="0"/>
      <w:marRight w:val="0"/>
      <w:marTop w:val="0"/>
      <w:marBottom w:val="0"/>
      <w:divBdr>
        <w:top w:val="none" w:sz="0" w:space="0" w:color="auto"/>
        <w:left w:val="none" w:sz="0" w:space="0" w:color="auto"/>
        <w:bottom w:val="none" w:sz="0" w:space="0" w:color="auto"/>
        <w:right w:val="none" w:sz="0" w:space="0" w:color="auto"/>
      </w:divBdr>
    </w:div>
    <w:div w:id="709766189">
      <w:bodyDiv w:val="1"/>
      <w:marLeft w:val="0"/>
      <w:marRight w:val="0"/>
      <w:marTop w:val="0"/>
      <w:marBottom w:val="0"/>
      <w:divBdr>
        <w:top w:val="none" w:sz="0" w:space="0" w:color="auto"/>
        <w:left w:val="none" w:sz="0" w:space="0" w:color="auto"/>
        <w:bottom w:val="none" w:sz="0" w:space="0" w:color="auto"/>
        <w:right w:val="none" w:sz="0" w:space="0" w:color="auto"/>
      </w:divBdr>
    </w:div>
    <w:div w:id="709845379">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1535786">
      <w:bodyDiv w:val="1"/>
      <w:marLeft w:val="0"/>
      <w:marRight w:val="0"/>
      <w:marTop w:val="0"/>
      <w:marBottom w:val="0"/>
      <w:divBdr>
        <w:top w:val="none" w:sz="0" w:space="0" w:color="auto"/>
        <w:left w:val="none" w:sz="0" w:space="0" w:color="auto"/>
        <w:bottom w:val="none" w:sz="0" w:space="0" w:color="auto"/>
        <w:right w:val="none" w:sz="0" w:space="0" w:color="auto"/>
      </w:divBdr>
    </w:div>
    <w:div w:id="711930456">
      <w:bodyDiv w:val="1"/>
      <w:marLeft w:val="0"/>
      <w:marRight w:val="0"/>
      <w:marTop w:val="0"/>
      <w:marBottom w:val="0"/>
      <w:divBdr>
        <w:top w:val="none" w:sz="0" w:space="0" w:color="auto"/>
        <w:left w:val="none" w:sz="0" w:space="0" w:color="auto"/>
        <w:bottom w:val="none" w:sz="0" w:space="0" w:color="auto"/>
        <w:right w:val="none" w:sz="0" w:space="0" w:color="auto"/>
      </w:divBdr>
    </w:div>
    <w:div w:id="712316243">
      <w:bodyDiv w:val="1"/>
      <w:marLeft w:val="0"/>
      <w:marRight w:val="0"/>
      <w:marTop w:val="0"/>
      <w:marBottom w:val="0"/>
      <w:divBdr>
        <w:top w:val="none" w:sz="0" w:space="0" w:color="auto"/>
        <w:left w:val="none" w:sz="0" w:space="0" w:color="auto"/>
        <w:bottom w:val="none" w:sz="0" w:space="0" w:color="auto"/>
        <w:right w:val="none" w:sz="0" w:space="0" w:color="auto"/>
      </w:divBdr>
    </w:div>
    <w:div w:id="712654769">
      <w:bodyDiv w:val="1"/>
      <w:marLeft w:val="0"/>
      <w:marRight w:val="0"/>
      <w:marTop w:val="0"/>
      <w:marBottom w:val="0"/>
      <w:divBdr>
        <w:top w:val="none" w:sz="0" w:space="0" w:color="auto"/>
        <w:left w:val="none" w:sz="0" w:space="0" w:color="auto"/>
        <w:bottom w:val="none" w:sz="0" w:space="0" w:color="auto"/>
        <w:right w:val="none" w:sz="0" w:space="0" w:color="auto"/>
      </w:divBdr>
    </w:div>
    <w:div w:id="712774870">
      <w:bodyDiv w:val="1"/>
      <w:marLeft w:val="0"/>
      <w:marRight w:val="0"/>
      <w:marTop w:val="0"/>
      <w:marBottom w:val="0"/>
      <w:divBdr>
        <w:top w:val="none" w:sz="0" w:space="0" w:color="auto"/>
        <w:left w:val="none" w:sz="0" w:space="0" w:color="auto"/>
        <w:bottom w:val="none" w:sz="0" w:space="0" w:color="auto"/>
        <w:right w:val="none" w:sz="0" w:space="0" w:color="auto"/>
      </w:divBdr>
    </w:div>
    <w:div w:id="712920306">
      <w:bodyDiv w:val="1"/>
      <w:marLeft w:val="0"/>
      <w:marRight w:val="0"/>
      <w:marTop w:val="0"/>
      <w:marBottom w:val="0"/>
      <w:divBdr>
        <w:top w:val="none" w:sz="0" w:space="0" w:color="auto"/>
        <w:left w:val="none" w:sz="0" w:space="0" w:color="auto"/>
        <w:bottom w:val="none" w:sz="0" w:space="0" w:color="auto"/>
        <w:right w:val="none" w:sz="0" w:space="0" w:color="auto"/>
      </w:divBdr>
    </w:div>
    <w:div w:id="713163589">
      <w:bodyDiv w:val="1"/>
      <w:marLeft w:val="0"/>
      <w:marRight w:val="0"/>
      <w:marTop w:val="0"/>
      <w:marBottom w:val="0"/>
      <w:divBdr>
        <w:top w:val="none" w:sz="0" w:space="0" w:color="auto"/>
        <w:left w:val="none" w:sz="0" w:space="0" w:color="auto"/>
        <w:bottom w:val="none" w:sz="0" w:space="0" w:color="auto"/>
        <w:right w:val="none" w:sz="0" w:space="0" w:color="auto"/>
      </w:divBdr>
    </w:div>
    <w:div w:id="713232741">
      <w:bodyDiv w:val="1"/>
      <w:marLeft w:val="0"/>
      <w:marRight w:val="0"/>
      <w:marTop w:val="0"/>
      <w:marBottom w:val="0"/>
      <w:divBdr>
        <w:top w:val="none" w:sz="0" w:space="0" w:color="auto"/>
        <w:left w:val="none" w:sz="0" w:space="0" w:color="auto"/>
        <w:bottom w:val="none" w:sz="0" w:space="0" w:color="auto"/>
        <w:right w:val="none" w:sz="0" w:space="0" w:color="auto"/>
      </w:divBdr>
    </w:div>
    <w:div w:id="713579110">
      <w:bodyDiv w:val="1"/>
      <w:marLeft w:val="0"/>
      <w:marRight w:val="0"/>
      <w:marTop w:val="0"/>
      <w:marBottom w:val="0"/>
      <w:divBdr>
        <w:top w:val="none" w:sz="0" w:space="0" w:color="auto"/>
        <w:left w:val="none" w:sz="0" w:space="0" w:color="auto"/>
        <w:bottom w:val="none" w:sz="0" w:space="0" w:color="auto"/>
        <w:right w:val="none" w:sz="0" w:space="0" w:color="auto"/>
      </w:divBdr>
    </w:div>
    <w:div w:id="713892689">
      <w:bodyDiv w:val="1"/>
      <w:marLeft w:val="0"/>
      <w:marRight w:val="0"/>
      <w:marTop w:val="0"/>
      <w:marBottom w:val="0"/>
      <w:divBdr>
        <w:top w:val="none" w:sz="0" w:space="0" w:color="auto"/>
        <w:left w:val="none" w:sz="0" w:space="0" w:color="auto"/>
        <w:bottom w:val="none" w:sz="0" w:space="0" w:color="auto"/>
        <w:right w:val="none" w:sz="0" w:space="0" w:color="auto"/>
      </w:divBdr>
    </w:div>
    <w:div w:id="714278080">
      <w:bodyDiv w:val="1"/>
      <w:marLeft w:val="0"/>
      <w:marRight w:val="0"/>
      <w:marTop w:val="0"/>
      <w:marBottom w:val="0"/>
      <w:divBdr>
        <w:top w:val="none" w:sz="0" w:space="0" w:color="auto"/>
        <w:left w:val="none" w:sz="0" w:space="0" w:color="auto"/>
        <w:bottom w:val="none" w:sz="0" w:space="0" w:color="auto"/>
        <w:right w:val="none" w:sz="0" w:space="0" w:color="auto"/>
      </w:divBdr>
    </w:div>
    <w:div w:id="714623511">
      <w:bodyDiv w:val="1"/>
      <w:marLeft w:val="0"/>
      <w:marRight w:val="0"/>
      <w:marTop w:val="0"/>
      <w:marBottom w:val="0"/>
      <w:divBdr>
        <w:top w:val="none" w:sz="0" w:space="0" w:color="auto"/>
        <w:left w:val="none" w:sz="0" w:space="0" w:color="auto"/>
        <w:bottom w:val="none" w:sz="0" w:space="0" w:color="auto"/>
        <w:right w:val="none" w:sz="0" w:space="0" w:color="auto"/>
      </w:divBdr>
    </w:div>
    <w:div w:id="714692739">
      <w:bodyDiv w:val="1"/>
      <w:marLeft w:val="0"/>
      <w:marRight w:val="0"/>
      <w:marTop w:val="0"/>
      <w:marBottom w:val="0"/>
      <w:divBdr>
        <w:top w:val="none" w:sz="0" w:space="0" w:color="auto"/>
        <w:left w:val="none" w:sz="0" w:space="0" w:color="auto"/>
        <w:bottom w:val="none" w:sz="0" w:space="0" w:color="auto"/>
        <w:right w:val="none" w:sz="0" w:space="0" w:color="auto"/>
      </w:divBdr>
    </w:div>
    <w:div w:id="714742854">
      <w:bodyDiv w:val="1"/>
      <w:marLeft w:val="0"/>
      <w:marRight w:val="0"/>
      <w:marTop w:val="0"/>
      <w:marBottom w:val="0"/>
      <w:divBdr>
        <w:top w:val="none" w:sz="0" w:space="0" w:color="auto"/>
        <w:left w:val="none" w:sz="0" w:space="0" w:color="auto"/>
        <w:bottom w:val="none" w:sz="0" w:space="0" w:color="auto"/>
        <w:right w:val="none" w:sz="0" w:space="0" w:color="auto"/>
      </w:divBdr>
    </w:div>
    <w:div w:id="715470775">
      <w:bodyDiv w:val="1"/>
      <w:marLeft w:val="0"/>
      <w:marRight w:val="0"/>
      <w:marTop w:val="0"/>
      <w:marBottom w:val="0"/>
      <w:divBdr>
        <w:top w:val="none" w:sz="0" w:space="0" w:color="auto"/>
        <w:left w:val="none" w:sz="0" w:space="0" w:color="auto"/>
        <w:bottom w:val="none" w:sz="0" w:space="0" w:color="auto"/>
        <w:right w:val="none" w:sz="0" w:space="0" w:color="auto"/>
      </w:divBdr>
    </w:div>
    <w:div w:id="715668555">
      <w:bodyDiv w:val="1"/>
      <w:marLeft w:val="0"/>
      <w:marRight w:val="0"/>
      <w:marTop w:val="0"/>
      <w:marBottom w:val="0"/>
      <w:divBdr>
        <w:top w:val="none" w:sz="0" w:space="0" w:color="auto"/>
        <w:left w:val="none" w:sz="0" w:space="0" w:color="auto"/>
        <w:bottom w:val="none" w:sz="0" w:space="0" w:color="auto"/>
        <w:right w:val="none" w:sz="0" w:space="0" w:color="auto"/>
      </w:divBdr>
    </w:div>
    <w:div w:id="716012035">
      <w:bodyDiv w:val="1"/>
      <w:marLeft w:val="0"/>
      <w:marRight w:val="0"/>
      <w:marTop w:val="0"/>
      <w:marBottom w:val="0"/>
      <w:divBdr>
        <w:top w:val="none" w:sz="0" w:space="0" w:color="auto"/>
        <w:left w:val="none" w:sz="0" w:space="0" w:color="auto"/>
        <w:bottom w:val="none" w:sz="0" w:space="0" w:color="auto"/>
        <w:right w:val="none" w:sz="0" w:space="0" w:color="auto"/>
      </w:divBdr>
    </w:div>
    <w:div w:id="716054029">
      <w:bodyDiv w:val="1"/>
      <w:marLeft w:val="0"/>
      <w:marRight w:val="0"/>
      <w:marTop w:val="0"/>
      <w:marBottom w:val="0"/>
      <w:divBdr>
        <w:top w:val="none" w:sz="0" w:space="0" w:color="auto"/>
        <w:left w:val="none" w:sz="0" w:space="0" w:color="auto"/>
        <w:bottom w:val="none" w:sz="0" w:space="0" w:color="auto"/>
        <w:right w:val="none" w:sz="0" w:space="0" w:color="auto"/>
      </w:divBdr>
    </w:div>
    <w:div w:id="716469362">
      <w:bodyDiv w:val="1"/>
      <w:marLeft w:val="0"/>
      <w:marRight w:val="0"/>
      <w:marTop w:val="0"/>
      <w:marBottom w:val="0"/>
      <w:divBdr>
        <w:top w:val="none" w:sz="0" w:space="0" w:color="auto"/>
        <w:left w:val="none" w:sz="0" w:space="0" w:color="auto"/>
        <w:bottom w:val="none" w:sz="0" w:space="0" w:color="auto"/>
        <w:right w:val="none" w:sz="0" w:space="0" w:color="auto"/>
      </w:divBdr>
    </w:div>
    <w:div w:id="716666851">
      <w:bodyDiv w:val="1"/>
      <w:marLeft w:val="0"/>
      <w:marRight w:val="0"/>
      <w:marTop w:val="0"/>
      <w:marBottom w:val="0"/>
      <w:divBdr>
        <w:top w:val="none" w:sz="0" w:space="0" w:color="auto"/>
        <w:left w:val="none" w:sz="0" w:space="0" w:color="auto"/>
        <w:bottom w:val="none" w:sz="0" w:space="0" w:color="auto"/>
        <w:right w:val="none" w:sz="0" w:space="0" w:color="auto"/>
      </w:divBdr>
    </w:div>
    <w:div w:id="716928710">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17512125">
      <w:bodyDiv w:val="1"/>
      <w:marLeft w:val="0"/>
      <w:marRight w:val="0"/>
      <w:marTop w:val="0"/>
      <w:marBottom w:val="0"/>
      <w:divBdr>
        <w:top w:val="none" w:sz="0" w:space="0" w:color="auto"/>
        <w:left w:val="none" w:sz="0" w:space="0" w:color="auto"/>
        <w:bottom w:val="none" w:sz="0" w:space="0" w:color="auto"/>
        <w:right w:val="none" w:sz="0" w:space="0" w:color="auto"/>
      </w:divBdr>
    </w:div>
    <w:div w:id="717977395">
      <w:bodyDiv w:val="1"/>
      <w:marLeft w:val="0"/>
      <w:marRight w:val="0"/>
      <w:marTop w:val="0"/>
      <w:marBottom w:val="0"/>
      <w:divBdr>
        <w:top w:val="none" w:sz="0" w:space="0" w:color="auto"/>
        <w:left w:val="none" w:sz="0" w:space="0" w:color="auto"/>
        <w:bottom w:val="none" w:sz="0" w:space="0" w:color="auto"/>
        <w:right w:val="none" w:sz="0" w:space="0" w:color="auto"/>
      </w:divBdr>
    </w:div>
    <w:div w:id="718281498">
      <w:bodyDiv w:val="1"/>
      <w:marLeft w:val="0"/>
      <w:marRight w:val="0"/>
      <w:marTop w:val="0"/>
      <w:marBottom w:val="0"/>
      <w:divBdr>
        <w:top w:val="none" w:sz="0" w:space="0" w:color="auto"/>
        <w:left w:val="none" w:sz="0" w:space="0" w:color="auto"/>
        <w:bottom w:val="none" w:sz="0" w:space="0" w:color="auto"/>
        <w:right w:val="none" w:sz="0" w:space="0" w:color="auto"/>
      </w:divBdr>
    </w:div>
    <w:div w:id="718289212">
      <w:bodyDiv w:val="1"/>
      <w:marLeft w:val="0"/>
      <w:marRight w:val="0"/>
      <w:marTop w:val="0"/>
      <w:marBottom w:val="0"/>
      <w:divBdr>
        <w:top w:val="none" w:sz="0" w:space="0" w:color="auto"/>
        <w:left w:val="none" w:sz="0" w:space="0" w:color="auto"/>
        <w:bottom w:val="none" w:sz="0" w:space="0" w:color="auto"/>
        <w:right w:val="none" w:sz="0" w:space="0" w:color="auto"/>
      </w:divBdr>
    </w:div>
    <w:div w:id="718631925">
      <w:bodyDiv w:val="1"/>
      <w:marLeft w:val="0"/>
      <w:marRight w:val="0"/>
      <w:marTop w:val="0"/>
      <w:marBottom w:val="0"/>
      <w:divBdr>
        <w:top w:val="none" w:sz="0" w:space="0" w:color="auto"/>
        <w:left w:val="none" w:sz="0" w:space="0" w:color="auto"/>
        <w:bottom w:val="none" w:sz="0" w:space="0" w:color="auto"/>
        <w:right w:val="none" w:sz="0" w:space="0" w:color="auto"/>
      </w:divBdr>
    </w:div>
    <w:div w:id="718751047">
      <w:bodyDiv w:val="1"/>
      <w:marLeft w:val="0"/>
      <w:marRight w:val="0"/>
      <w:marTop w:val="0"/>
      <w:marBottom w:val="0"/>
      <w:divBdr>
        <w:top w:val="none" w:sz="0" w:space="0" w:color="auto"/>
        <w:left w:val="none" w:sz="0" w:space="0" w:color="auto"/>
        <w:bottom w:val="none" w:sz="0" w:space="0" w:color="auto"/>
        <w:right w:val="none" w:sz="0" w:space="0" w:color="auto"/>
      </w:divBdr>
    </w:div>
    <w:div w:id="718893392">
      <w:bodyDiv w:val="1"/>
      <w:marLeft w:val="0"/>
      <w:marRight w:val="0"/>
      <w:marTop w:val="0"/>
      <w:marBottom w:val="0"/>
      <w:divBdr>
        <w:top w:val="none" w:sz="0" w:space="0" w:color="auto"/>
        <w:left w:val="none" w:sz="0" w:space="0" w:color="auto"/>
        <w:bottom w:val="none" w:sz="0" w:space="0" w:color="auto"/>
        <w:right w:val="none" w:sz="0" w:space="0" w:color="auto"/>
      </w:divBdr>
    </w:div>
    <w:div w:id="719600212">
      <w:bodyDiv w:val="1"/>
      <w:marLeft w:val="0"/>
      <w:marRight w:val="0"/>
      <w:marTop w:val="0"/>
      <w:marBottom w:val="0"/>
      <w:divBdr>
        <w:top w:val="none" w:sz="0" w:space="0" w:color="auto"/>
        <w:left w:val="none" w:sz="0" w:space="0" w:color="auto"/>
        <w:bottom w:val="none" w:sz="0" w:space="0" w:color="auto"/>
        <w:right w:val="none" w:sz="0" w:space="0" w:color="auto"/>
      </w:divBdr>
    </w:div>
    <w:div w:id="720059817">
      <w:bodyDiv w:val="1"/>
      <w:marLeft w:val="0"/>
      <w:marRight w:val="0"/>
      <w:marTop w:val="0"/>
      <w:marBottom w:val="0"/>
      <w:divBdr>
        <w:top w:val="none" w:sz="0" w:space="0" w:color="auto"/>
        <w:left w:val="none" w:sz="0" w:space="0" w:color="auto"/>
        <w:bottom w:val="none" w:sz="0" w:space="0" w:color="auto"/>
        <w:right w:val="none" w:sz="0" w:space="0" w:color="auto"/>
      </w:divBdr>
    </w:div>
    <w:div w:id="720447670">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0789738">
      <w:bodyDiv w:val="1"/>
      <w:marLeft w:val="0"/>
      <w:marRight w:val="0"/>
      <w:marTop w:val="0"/>
      <w:marBottom w:val="0"/>
      <w:divBdr>
        <w:top w:val="none" w:sz="0" w:space="0" w:color="auto"/>
        <w:left w:val="none" w:sz="0" w:space="0" w:color="auto"/>
        <w:bottom w:val="none" w:sz="0" w:space="0" w:color="auto"/>
        <w:right w:val="none" w:sz="0" w:space="0" w:color="auto"/>
      </w:divBdr>
    </w:div>
    <w:div w:id="721177624">
      <w:bodyDiv w:val="1"/>
      <w:marLeft w:val="0"/>
      <w:marRight w:val="0"/>
      <w:marTop w:val="0"/>
      <w:marBottom w:val="0"/>
      <w:divBdr>
        <w:top w:val="none" w:sz="0" w:space="0" w:color="auto"/>
        <w:left w:val="none" w:sz="0" w:space="0" w:color="auto"/>
        <w:bottom w:val="none" w:sz="0" w:space="0" w:color="auto"/>
        <w:right w:val="none" w:sz="0" w:space="0" w:color="auto"/>
      </w:divBdr>
    </w:div>
    <w:div w:id="721757691">
      <w:bodyDiv w:val="1"/>
      <w:marLeft w:val="0"/>
      <w:marRight w:val="0"/>
      <w:marTop w:val="0"/>
      <w:marBottom w:val="0"/>
      <w:divBdr>
        <w:top w:val="none" w:sz="0" w:space="0" w:color="auto"/>
        <w:left w:val="none" w:sz="0" w:space="0" w:color="auto"/>
        <w:bottom w:val="none" w:sz="0" w:space="0" w:color="auto"/>
        <w:right w:val="none" w:sz="0" w:space="0" w:color="auto"/>
      </w:divBdr>
    </w:div>
    <w:div w:id="721828394">
      <w:bodyDiv w:val="1"/>
      <w:marLeft w:val="0"/>
      <w:marRight w:val="0"/>
      <w:marTop w:val="0"/>
      <w:marBottom w:val="0"/>
      <w:divBdr>
        <w:top w:val="none" w:sz="0" w:space="0" w:color="auto"/>
        <w:left w:val="none" w:sz="0" w:space="0" w:color="auto"/>
        <w:bottom w:val="none" w:sz="0" w:space="0" w:color="auto"/>
        <w:right w:val="none" w:sz="0" w:space="0" w:color="auto"/>
      </w:divBdr>
    </w:div>
    <w:div w:id="722212287">
      <w:bodyDiv w:val="1"/>
      <w:marLeft w:val="0"/>
      <w:marRight w:val="0"/>
      <w:marTop w:val="0"/>
      <w:marBottom w:val="0"/>
      <w:divBdr>
        <w:top w:val="none" w:sz="0" w:space="0" w:color="auto"/>
        <w:left w:val="none" w:sz="0" w:space="0" w:color="auto"/>
        <w:bottom w:val="none" w:sz="0" w:space="0" w:color="auto"/>
        <w:right w:val="none" w:sz="0" w:space="0" w:color="auto"/>
      </w:divBdr>
    </w:div>
    <w:div w:id="722294233">
      <w:bodyDiv w:val="1"/>
      <w:marLeft w:val="0"/>
      <w:marRight w:val="0"/>
      <w:marTop w:val="0"/>
      <w:marBottom w:val="0"/>
      <w:divBdr>
        <w:top w:val="none" w:sz="0" w:space="0" w:color="auto"/>
        <w:left w:val="none" w:sz="0" w:space="0" w:color="auto"/>
        <w:bottom w:val="none" w:sz="0" w:space="0" w:color="auto"/>
        <w:right w:val="none" w:sz="0" w:space="0" w:color="auto"/>
      </w:divBdr>
    </w:div>
    <w:div w:id="722868488">
      <w:bodyDiv w:val="1"/>
      <w:marLeft w:val="0"/>
      <w:marRight w:val="0"/>
      <w:marTop w:val="0"/>
      <w:marBottom w:val="0"/>
      <w:divBdr>
        <w:top w:val="none" w:sz="0" w:space="0" w:color="auto"/>
        <w:left w:val="none" w:sz="0" w:space="0" w:color="auto"/>
        <w:bottom w:val="none" w:sz="0" w:space="0" w:color="auto"/>
        <w:right w:val="none" w:sz="0" w:space="0" w:color="auto"/>
      </w:divBdr>
    </w:div>
    <w:div w:id="723139556">
      <w:bodyDiv w:val="1"/>
      <w:marLeft w:val="0"/>
      <w:marRight w:val="0"/>
      <w:marTop w:val="0"/>
      <w:marBottom w:val="0"/>
      <w:divBdr>
        <w:top w:val="none" w:sz="0" w:space="0" w:color="auto"/>
        <w:left w:val="none" w:sz="0" w:space="0" w:color="auto"/>
        <w:bottom w:val="none" w:sz="0" w:space="0" w:color="auto"/>
        <w:right w:val="none" w:sz="0" w:space="0" w:color="auto"/>
      </w:divBdr>
    </w:div>
    <w:div w:id="723256097">
      <w:bodyDiv w:val="1"/>
      <w:marLeft w:val="0"/>
      <w:marRight w:val="0"/>
      <w:marTop w:val="0"/>
      <w:marBottom w:val="0"/>
      <w:divBdr>
        <w:top w:val="none" w:sz="0" w:space="0" w:color="auto"/>
        <w:left w:val="none" w:sz="0" w:space="0" w:color="auto"/>
        <w:bottom w:val="none" w:sz="0" w:space="0" w:color="auto"/>
        <w:right w:val="none" w:sz="0" w:space="0" w:color="auto"/>
      </w:divBdr>
    </w:div>
    <w:div w:id="723604955">
      <w:bodyDiv w:val="1"/>
      <w:marLeft w:val="0"/>
      <w:marRight w:val="0"/>
      <w:marTop w:val="0"/>
      <w:marBottom w:val="0"/>
      <w:divBdr>
        <w:top w:val="none" w:sz="0" w:space="0" w:color="auto"/>
        <w:left w:val="none" w:sz="0" w:space="0" w:color="auto"/>
        <w:bottom w:val="none" w:sz="0" w:space="0" w:color="auto"/>
        <w:right w:val="none" w:sz="0" w:space="0" w:color="auto"/>
      </w:divBdr>
    </w:div>
    <w:div w:id="724522608">
      <w:bodyDiv w:val="1"/>
      <w:marLeft w:val="0"/>
      <w:marRight w:val="0"/>
      <w:marTop w:val="0"/>
      <w:marBottom w:val="0"/>
      <w:divBdr>
        <w:top w:val="none" w:sz="0" w:space="0" w:color="auto"/>
        <w:left w:val="none" w:sz="0" w:space="0" w:color="auto"/>
        <w:bottom w:val="none" w:sz="0" w:space="0" w:color="auto"/>
        <w:right w:val="none" w:sz="0" w:space="0" w:color="auto"/>
      </w:divBdr>
    </w:div>
    <w:div w:id="724573443">
      <w:bodyDiv w:val="1"/>
      <w:marLeft w:val="0"/>
      <w:marRight w:val="0"/>
      <w:marTop w:val="0"/>
      <w:marBottom w:val="0"/>
      <w:divBdr>
        <w:top w:val="none" w:sz="0" w:space="0" w:color="auto"/>
        <w:left w:val="none" w:sz="0" w:space="0" w:color="auto"/>
        <w:bottom w:val="none" w:sz="0" w:space="0" w:color="auto"/>
        <w:right w:val="none" w:sz="0" w:space="0" w:color="auto"/>
      </w:divBdr>
    </w:div>
    <w:div w:id="724763025">
      <w:bodyDiv w:val="1"/>
      <w:marLeft w:val="0"/>
      <w:marRight w:val="0"/>
      <w:marTop w:val="0"/>
      <w:marBottom w:val="0"/>
      <w:divBdr>
        <w:top w:val="none" w:sz="0" w:space="0" w:color="auto"/>
        <w:left w:val="none" w:sz="0" w:space="0" w:color="auto"/>
        <w:bottom w:val="none" w:sz="0" w:space="0" w:color="auto"/>
        <w:right w:val="none" w:sz="0" w:space="0" w:color="auto"/>
      </w:divBdr>
    </w:div>
    <w:div w:id="724790317">
      <w:bodyDiv w:val="1"/>
      <w:marLeft w:val="0"/>
      <w:marRight w:val="0"/>
      <w:marTop w:val="0"/>
      <w:marBottom w:val="0"/>
      <w:divBdr>
        <w:top w:val="none" w:sz="0" w:space="0" w:color="auto"/>
        <w:left w:val="none" w:sz="0" w:space="0" w:color="auto"/>
        <w:bottom w:val="none" w:sz="0" w:space="0" w:color="auto"/>
        <w:right w:val="none" w:sz="0" w:space="0" w:color="auto"/>
      </w:divBdr>
    </w:div>
    <w:div w:id="724842538">
      <w:bodyDiv w:val="1"/>
      <w:marLeft w:val="0"/>
      <w:marRight w:val="0"/>
      <w:marTop w:val="0"/>
      <w:marBottom w:val="0"/>
      <w:divBdr>
        <w:top w:val="none" w:sz="0" w:space="0" w:color="auto"/>
        <w:left w:val="none" w:sz="0" w:space="0" w:color="auto"/>
        <w:bottom w:val="none" w:sz="0" w:space="0" w:color="auto"/>
        <w:right w:val="none" w:sz="0" w:space="0" w:color="auto"/>
      </w:divBdr>
    </w:div>
    <w:div w:id="725302366">
      <w:bodyDiv w:val="1"/>
      <w:marLeft w:val="0"/>
      <w:marRight w:val="0"/>
      <w:marTop w:val="0"/>
      <w:marBottom w:val="0"/>
      <w:divBdr>
        <w:top w:val="none" w:sz="0" w:space="0" w:color="auto"/>
        <w:left w:val="none" w:sz="0" w:space="0" w:color="auto"/>
        <w:bottom w:val="none" w:sz="0" w:space="0" w:color="auto"/>
        <w:right w:val="none" w:sz="0" w:space="0" w:color="auto"/>
      </w:divBdr>
    </w:div>
    <w:div w:id="725563914">
      <w:bodyDiv w:val="1"/>
      <w:marLeft w:val="0"/>
      <w:marRight w:val="0"/>
      <w:marTop w:val="0"/>
      <w:marBottom w:val="0"/>
      <w:divBdr>
        <w:top w:val="none" w:sz="0" w:space="0" w:color="auto"/>
        <w:left w:val="none" w:sz="0" w:space="0" w:color="auto"/>
        <w:bottom w:val="none" w:sz="0" w:space="0" w:color="auto"/>
        <w:right w:val="none" w:sz="0" w:space="0" w:color="auto"/>
      </w:divBdr>
    </w:div>
    <w:div w:id="725761829">
      <w:bodyDiv w:val="1"/>
      <w:marLeft w:val="0"/>
      <w:marRight w:val="0"/>
      <w:marTop w:val="0"/>
      <w:marBottom w:val="0"/>
      <w:divBdr>
        <w:top w:val="none" w:sz="0" w:space="0" w:color="auto"/>
        <w:left w:val="none" w:sz="0" w:space="0" w:color="auto"/>
        <w:bottom w:val="none" w:sz="0" w:space="0" w:color="auto"/>
        <w:right w:val="none" w:sz="0" w:space="0" w:color="auto"/>
      </w:divBdr>
    </w:div>
    <w:div w:id="725882206">
      <w:bodyDiv w:val="1"/>
      <w:marLeft w:val="0"/>
      <w:marRight w:val="0"/>
      <w:marTop w:val="0"/>
      <w:marBottom w:val="0"/>
      <w:divBdr>
        <w:top w:val="none" w:sz="0" w:space="0" w:color="auto"/>
        <w:left w:val="none" w:sz="0" w:space="0" w:color="auto"/>
        <w:bottom w:val="none" w:sz="0" w:space="0" w:color="auto"/>
        <w:right w:val="none" w:sz="0" w:space="0" w:color="auto"/>
      </w:divBdr>
    </w:div>
    <w:div w:id="726297719">
      <w:bodyDiv w:val="1"/>
      <w:marLeft w:val="0"/>
      <w:marRight w:val="0"/>
      <w:marTop w:val="0"/>
      <w:marBottom w:val="0"/>
      <w:divBdr>
        <w:top w:val="none" w:sz="0" w:space="0" w:color="auto"/>
        <w:left w:val="none" w:sz="0" w:space="0" w:color="auto"/>
        <w:bottom w:val="none" w:sz="0" w:space="0" w:color="auto"/>
        <w:right w:val="none" w:sz="0" w:space="0" w:color="auto"/>
      </w:divBdr>
    </w:div>
    <w:div w:id="726686862">
      <w:bodyDiv w:val="1"/>
      <w:marLeft w:val="0"/>
      <w:marRight w:val="0"/>
      <w:marTop w:val="0"/>
      <w:marBottom w:val="0"/>
      <w:divBdr>
        <w:top w:val="none" w:sz="0" w:space="0" w:color="auto"/>
        <w:left w:val="none" w:sz="0" w:space="0" w:color="auto"/>
        <w:bottom w:val="none" w:sz="0" w:space="0" w:color="auto"/>
        <w:right w:val="none" w:sz="0" w:space="0" w:color="auto"/>
      </w:divBdr>
    </w:div>
    <w:div w:id="726730471">
      <w:bodyDiv w:val="1"/>
      <w:marLeft w:val="0"/>
      <w:marRight w:val="0"/>
      <w:marTop w:val="0"/>
      <w:marBottom w:val="0"/>
      <w:divBdr>
        <w:top w:val="none" w:sz="0" w:space="0" w:color="auto"/>
        <w:left w:val="none" w:sz="0" w:space="0" w:color="auto"/>
        <w:bottom w:val="none" w:sz="0" w:space="0" w:color="auto"/>
        <w:right w:val="none" w:sz="0" w:space="0" w:color="auto"/>
      </w:divBdr>
    </w:div>
    <w:div w:id="726998331">
      <w:bodyDiv w:val="1"/>
      <w:marLeft w:val="0"/>
      <w:marRight w:val="0"/>
      <w:marTop w:val="0"/>
      <w:marBottom w:val="0"/>
      <w:divBdr>
        <w:top w:val="none" w:sz="0" w:space="0" w:color="auto"/>
        <w:left w:val="none" w:sz="0" w:space="0" w:color="auto"/>
        <w:bottom w:val="none" w:sz="0" w:space="0" w:color="auto"/>
        <w:right w:val="none" w:sz="0" w:space="0" w:color="auto"/>
      </w:divBdr>
    </w:div>
    <w:div w:id="727656416">
      <w:bodyDiv w:val="1"/>
      <w:marLeft w:val="0"/>
      <w:marRight w:val="0"/>
      <w:marTop w:val="0"/>
      <w:marBottom w:val="0"/>
      <w:divBdr>
        <w:top w:val="none" w:sz="0" w:space="0" w:color="auto"/>
        <w:left w:val="none" w:sz="0" w:space="0" w:color="auto"/>
        <w:bottom w:val="none" w:sz="0" w:space="0" w:color="auto"/>
        <w:right w:val="none" w:sz="0" w:space="0" w:color="auto"/>
      </w:divBdr>
    </w:div>
    <w:div w:id="728115794">
      <w:bodyDiv w:val="1"/>
      <w:marLeft w:val="0"/>
      <w:marRight w:val="0"/>
      <w:marTop w:val="0"/>
      <w:marBottom w:val="0"/>
      <w:divBdr>
        <w:top w:val="none" w:sz="0" w:space="0" w:color="auto"/>
        <w:left w:val="none" w:sz="0" w:space="0" w:color="auto"/>
        <w:bottom w:val="none" w:sz="0" w:space="0" w:color="auto"/>
        <w:right w:val="none" w:sz="0" w:space="0" w:color="auto"/>
      </w:divBdr>
    </w:div>
    <w:div w:id="728260841">
      <w:bodyDiv w:val="1"/>
      <w:marLeft w:val="0"/>
      <w:marRight w:val="0"/>
      <w:marTop w:val="0"/>
      <w:marBottom w:val="0"/>
      <w:divBdr>
        <w:top w:val="none" w:sz="0" w:space="0" w:color="auto"/>
        <w:left w:val="none" w:sz="0" w:space="0" w:color="auto"/>
        <w:bottom w:val="none" w:sz="0" w:space="0" w:color="auto"/>
        <w:right w:val="none" w:sz="0" w:space="0" w:color="auto"/>
      </w:divBdr>
    </w:div>
    <w:div w:id="729233580">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29810394">
      <w:bodyDiv w:val="1"/>
      <w:marLeft w:val="0"/>
      <w:marRight w:val="0"/>
      <w:marTop w:val="0"/>
      <w:marBottom w:val="0"/>
      <w:divBdr>
        <w:top w:val="none" w:sz="0" w:space="0" w:color="auto"/>
        <w:left w:val="none" w:sz="0" w:space="0" w:color="auto"/>
        <w:bottom w:val="none" w:sz="0" w:space="0" w:color="auto"/>
        <w:right w:val="none" w:sz="0" w:space="0" w:color="auto"/>
      </w:divBdr>
    </w:div>
    <w:div w:id="729811958">
      <w:bodyDiv w:val="1"/>
      <w:marLeft w:val="0"/>
      <w:marRight w:val="0"/>
      <w:marTop w:val="0"/>
      <w:marBottom w:val="0"/>
      <w:divBdr>
        <w:top w:val="none" w:sz="0" w:space="0" w:color="auto"/>
        <w:left w:val="none" w:sz="0" w:space="0" w:color="auto"/>
        <w:bottom w:val="none" w:sz="0" w:space="0" w:color="auto"/>
        <w:right w:val="none" w:sz="0" w:space="0" w:color="auto"/>
      </w:divBdr>
    </w:div>
    <w:div w:id="729961339">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0425187">
      <w:bodyDiv w:val="1"/>
      <w:marLeft w:val="0"/>
      <w:marRight w:val="0"/>
      <w:marTop w:val="0"/>
      <w:marBottom w:val="0"/>
      <w:divBdr>
        <w:top w:val="none" w:sz="0" w:space="0" w:color="auto"/>
        <w:left w:val="none" w:sz="0" w:space="0" w:color="auto"/>
        <w:bottom w:val="none" w:sz="0" w:space="0" w:color="auto"/>
        <w:right w:val="none" w:sz="0" w:space="0" w:color="auto"/>
      </w:divBdr>
    </w:div>
    <w:div w:id="730427667">
      <w:bodyDiv w:val="1"/>
      <w:marLeft w:val="0"/>
      <w:marRight w:val="0"/>
      <w:marTop w:val="0"/>
      <w:marBottom w:val="0"/>
      <w:divBdr>
        <w:top w:val="none" w:sz="0" w:space="0" w:color="auto"/>
        <w:left w:val="none" w:sz="0" w:space="0" w:color="auto"/>
        <w:bottom w:val="none" w:sz="0" w:space="0" w:color="auto"/>
        <w:right w:val="none" w:sz="0" w:space="0" w:color="auto"/>
      </w:divBdr>
    </w:div>
    <w:div w:id="730428333">
      <w:bodyDiv w:val="1"/>
      <w:marLeft w:val="0"/>
      <w:marRight w:val="0"/>
      <w:marTop w:val="0"/>
      <w:marBottom w:val="0"/>
      <w:divBdr>
        <w:top w:val="none" w:sz="0" w:space="0" w:color="auto"/>
        <w:left w:val="none" w:sz="0" w:space="0" w:color="auto"/>
        <w:bottom w:val="none" w:sz="0" w:space="0" w:color="auto"/>
        <w:right w:val="none" w:sz="0" w:space="0" w:color="auto"/>
      </w:divBdr>
    </w:div>
    <w:div w:id="730466280">
      <w:bodyDiv w:val="1"/>
      <w:marLeft w:val="0"/>
      <w:marRight w:val="0"/>
      <w:marTop w:val="0"/>
      <w:marBottom w:val="0"/>
      <w:divBdr>
        <w:top w:val="none" w:sz="0" w:space="0" w:color="auto"/>
        <w:left w:val="none" w:sz="0" w:space="0" w:color="auto"/>
        <w:bottom w:val="none" w:sz="0" w:space="0" w:color="auto"/>
        <w:right w:val="none" w:sz="0" w:space="0" w:color="auto"/>
      </w:divBdr>
    </w:div>
    <w:div w:id="730546380">
      <w:bodyDiv w:val="1"/>
      <w:marLeft w:val="0"/>
      <w:marRight w:val="0"/>
      <w:marTop w:val="0"/>
      <w:marBottom w:val="0"/>
      <w:divBdr>
        <w:top w:val="none" w:sz="0" w:space="0" w:color="auto"/>
        <w:left w:val="none" w:sz="0" w:space="0" w:color="auto"/>
        <w:bottom w:val="none" w:sz="0" w:space="0" w:color="auto"/>
        <w:right w:val="none" w:sz="0" w:space="0" w:color="auto"/>
      </w:divBdr>
    </w:div>
    <w:div w:id="732116455">
      <w:bodyDiv w:val="1"/>
      <w:marLeft w:val="0"/>
      <w:marRight w:val="0"/>
      <w:marTop w:val="0"/>
      <w:marBottom w:val="0"/>
      <w:divBdr>
        <w:top w:val="none" w:sz="0" w:space="0" w:color="auto"/>
        <w:left w:val="none" w:sz="0" w:space="0" w:color="auto"/>
        <w:bottom w:val="none" w:sz="0" w:space="0" w:color="auto"/>
        <w:right w:val="none" w:sz="0" w:space="0" w:color="auto"/>
      </w:divBdr>
    </w:div>
    <w:div w:id="732117007">
      <w:bodyDiv w:val="1"/>
      <w:marLeft w:val="0"/>
      <w:marRight w:val="0"/>
      <w:marTop w:val="0"/>
      <w:marBottom w:val="0"/>
      <w:divBdr>
        <w:top w:val="none" w:sz="0" w:space="0" w:color="auto"/>
        <w:left w:val="none" w:sz="0" w:space="0" w:color="auto"/>
        <w:bottom w:val="none" w:sz="0" w:space="0" w:color="auto"/>
        <w:right w:val="none" w:sz="0" w:space="0" w:color="auto"/>
      </w:divBdr>
    </w:div>
    <w:div w:id="732124939">
      <w:bodyDiv w:val="1"/>
      <w:marLeft w:val="0"/>
      <w:marRight w:val="0"/>
      <w:marTop w:val="0"/>
      <w:marBottom w:val="0"/>
      <w:divBdr>
        <w:top w:val="none" w:sz="0" w:space="0" w:color="auto"/>
        <w:left w:val="none" w:sz="0" w:space="0" w:color="auto"/>
        <w:bottom w:val="none" w:sz="0" w:space="0" w:color="auto"/>
        <w:right w:val="none" w:sz="0" w:space="0" w:color="auto"/>
      </w:divBdr>
    </w:div>
    <w:div w:id="732654654">
      <w:bodyDiv w:val="1"/>
      <w:marLeft w:val="0"/>
      <w:marRight w:val="0"/>
      <w:marTop w:val="0"/>
      <w:marBottom w:val="0"/>
      <w:divBdr>
        <w:top w:val="none" w:sz="0" w:space="0" w:color="auto"/>
        <w:left w:val="none" w:sz="0" w:space="0" w:color="auto"/>
        <w:bottom w:val="none" w:sz="0" w:space="0" w:color="auto"/>
        <w:right w:val="none" w:sz="0" w:space="0" w:color="auto"/>
      </w:divBdr>
    </w:div>
    <w:div w:id="732703202">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3049563">
      <w:bodyDiv w:val="1"/>
      <w:marLeft w:val="0"/>
      <w:marRight w:val="0"/>
      <w:marTop w:val="0"/>
      <w:marBottom w:val="0"/>
      <w:divBdr>
        <w:top w:val="none" w:sz="0" w:space="0" w:color="auto"/>
        <w:left w:val="none" w:sz="0" w:space="0" w:color="auto"/>
        <w:bottom w:val="none" w:sz="0" w:space="0" w:color="auto"/>
        <w:right w:val="none" w:sz="0" w:space="0" w:color="auto"/>
      </w:divBdr>
    </w:div>
    <w:div w:id="733161754">
      <w:bodyDiv w:val="1"/>
      <w:marLeft w:val="0"/>
      <w:marRight w:val="0"/>
      <w:marTop w:val="0"/>
      <w:marBottom w:val="0"/>
      <w:divBdr>
        <w:top w:val="none" w:sz="0" w:space="0" w:color="auto"/>
        <w:left w:val="none" w:sz="0" w:space="0" w:color="auto"/>
        <w:bottom w:val="none" w:sz="0" w:space="0" w:color="auto"/>
        <w:right w:val="none" w:sz="0" w:space="0" w:color="auto"/>
      </w:divBdr>
    </w:div>
    <w:div w:id="733626553">
      <w:bodyDiv w:val="1"/>
      <w:marLeft w:val="0"/>
      <w:marRight w:val="0"/>
      <w:marTop w:val="0"/>
      <w:marBottom w:val="0"/>
      <w:divBdr>
        <w:top w:val="none" w:sz="0" w:space="0" w:color="auto"/>
        <w:left w:val="none" w:sz="0" w:space="0" w:color="auto"/>
        <w:bottom w:val="none" w:sz="0" w:space="0" w:color="auto"/>
        <w:right w:val="none" w:sz="0" w:space="0" w:color="auto"/>
      </w:divBdr>
    </w:div>
    <w:div w:id="733696827">
      <w:bodyDiv w:val="1"/>
      <w:marLeft w:val="0"/>
      <w:marRight w:val="0"/>
      <w:marTop w:val="0"/>
      <w:marBottom w:val="0"/>
      <w:divBdr>
        <w:top w:val="none" w:sz="0" w:space="0" w:color="auto"/>
        <w:left w:val="none" w:sz="0" w:space="0" w:color="auto"/>
        <w:bottom w:val="none" w:sz="0" w:space="0" w:color="auto"/>
        <w:right w:val="none" w:sz="0" w:space="0" w:color="auto"/>
      </w:divBdr>
    </w:div>
    <w:div w:id="733746333">
      <w:bodyDiv w:val="1"/>
      <w:marLeft w:val="0"/>
      <w:marRight w:val="0"/>
      <w:marTop w:val="0"/>
      <w:marBottom w:val="0"/>
      <w:divBdr>
        <w:top w:val="none" w:sz="0" w:space="0" w:color="auto"/>
        <w:left w:val="none" w:sz="0" w:space="0" w:color="auto"/>
        <w:bottom w:val="none" w:sz="0" w:space="0" w:color="auto"/>
        <w:right w:val="none" w:sz="0" w:space="0" w:color="auto"/>
      </w:divBdr>
    </w:div>
    <w:div w:id="734082926">
      <w:bodyDiv w:val="1"/>
      <w:marLeft w:val="0"/>
      <w:marRight w:val="0"/>
      <w:marTop w:val="0"/>
      <w:marBottom w:val="0"/>
      <w:divBdr>
        <w:top w:val="none" w:sz="0" w:space="0" w:color="auto"/>
        <w:left w:val="none" w:sz="0" w:space="0" w:color="auto"/>
        <w:bottom w:val="none" w:sz="0" w:space="0" w:color="auto"/>
        <w:right w:val="none" w:sz="0" w:space="0" w:color="auto"/>
      </w:divBdr>
    </w:div>
    <w:div w:id="734469523">
      <w:bodyDiv w:val="1"/>
      <w:marLeft w:val="0"/>
      <w:marRight w:val="0"/>
      <w:marTop w:val="0"/>
      <w:marBottom w:val="0"/>
      <w:divBdr>
        <w:top w:val="none" w:sz="0" w:space="0" w:color="auto"/>
        <w:left w:val="none" w:sz="0" w:space="0" w:color="auto"/>
        <w:bottom w:val="none" w:sz="0" w:space="0" w:color="auto"/>
        <w:right w:val="none" w:sz="0" w:space="0" w:color="auto"/>
      </w:divBdr>
    </w:div>
    <w:div w:id="734548871">
      <w:bodyDiv w:val="1"/>
      <w:marLeft w:val="0"/>
      <w:marRight w:val="0"/>
      <w:marTop w:val="0"/>
      <w:marBottom w:val="0"/>
      <w:divBdr>
        <w:top w:val="none" w:sz="0" w:space="0" w:color="auto"/>
        <w:left w:val="none" w:sz="0" w:space="0" w:color="auto"/>
        <w:bottom w:val="none" w:sz="0" w:space="0" w:color="auto"/>
        <w:right w:val="none" w:sz="0" w:space="0" w:color="auto"/>
      </w:divBdr>
    </w:div>
    <w:div w:id="734665986">
      <w:bodyDiv w:val="1"/>
      <w:marLeft w:val="0"/>
      <w:marRight w:val="0"/>
      <w:marTop w:val="0"/>
      <w:marBottom w:val="0"/>
      <w:divBdr>
        <w:top w:val="none" w:sz="0" w:space="0" w:color="auto"/>
        <w:left w:val="none" w:sz="0" w:space="0" w:color="auto"/>
        <w:bottom w:val="none" w:sz="0" w:space="0" w:color="auto"/>
        <w:right w:val="none" w:sz="0" w:space="0" w:color="auto"/>
      </w:divBdr>
    </w:div>
    <w:div w:id="735051879">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5512738">
      <w:bodyDiv w:val="1"/>
      <w:marLeft w:val="0"/>
      <w:marRight w:val="0"/>
      <w:marTop w:val="0"/>
      <w:marBottom w:val="0"/>
      <w:divBdr>
        <w:top w:val="none" w:sz="0" w:space="0" w:color="auto"/>
        <w:left w:val="none" w:sz="0" w:space="0" w:color="auto"/>
        <w:bottom w:val="none" w:sz="0" w:space="0" w:color="auto"/>
        <w:right w:val="none" w:sz="0" w:space="0" w:color="auto"/>
      </w:divBdr>
    </w:div>
    <w:div w:id="735518871">
      <w:bodyDiv w:val="1"/>
      <w:marLeft w:val="0"/>
      <w:marRight w:val="0"/>
      <w:marTop w:val="0"/>
      <w:marBottom w:val="0"/>
      <w:divBdr>
        <w:top w:val="none" w:sz="0" w:space="0" w:color="auto"/>
        <w:left w:val="none" w:sz="0" w:space="0" w:color="auto"/>
        <w:bottom w:val="none" w:sz="0" w:space="0" w:color="auto"/>
        <w:right w:val="none" w:sz="0" w:space="0" w:color="auto"/>
      </w:divBdr>
    </w:div>
    <w:div w:id="735739381">
      <w:bodyDiv w:val="1"/>
      <w:marLeft w:val="0"/>
      <w:marRight w:val="0"/>
      <w:marTop w:val="0"/>
      <w:marBottom w:val="0"/>
      <w:divBdr>
        <w:top w:val="none" w:sz="0" w:space="0" w:color="auto"/>
        <w:left w:val="none" w:sz="0" w:space="0" w:color="auto"/>
        <w:bottom w:val="none" w:sz="0" w:space="0" w:color="auto"/>
        <w:right w:val="none" w:sz="0" w:space="0" w:color="auto"/>
      </w:divBdr>
    </w:div>
    <w:div w:id="736123601">
      <w:bodyDiv w:val="1"/>
      <w:marLeft w:val="0"/>
      <w:marRight w:val="0"/>
      <w:marTop w:val="0"/>
      <w:marBottom w:val="0"/>
      <w:divBdr>
        <w:top w:val="none" w:sz="0" w:space="0" w:color="auto"/>
        <w:left w:val="none" w:sz="0" w:space="0" w:color="auto"/>
        <w:bottom w:val="none" w:sz="0" w:space="0" w:color="auto"/>
        <w:right w:val="none" w:sz="0" w:space="0" w:color="auto"/>
      </w:divBdr>
    </w:div>
    <w:div w:id="736174781">
      <w:bodyDiv w:val="1"/>
      <w:marLeft w:val="0"/>
      <w:marRight w:val="0"/>
      <w:marTop w:val="0"/>
      <w:marBottom w:val="0"/>
      <w:divBdr>
        <w:top w:val="none" w:sz="0" w:space="0" w:color="auto"/>
        <w:left w:val="none" w:sz="0" w:space="0" w:color="auto"/>
        <w:bottom w:val="none" w:sz="0" w:space="0" w:color="auto"/>
        <w:right w:val="none" w:sz="0" w:space="0" w:color="auto"/>
      </w:divBdr>
    </w:div>
    <w:div w:id="737438987">
      <w:bodyDiv w:val="1"/>
      <w:marLeft w:val="0"/>
      <w:marRight w:val="0"/>
      <w:marTop w:val="0"/>
      <w:marBottom w:val="0"/>
      <w:divBdr>
        <w:top w:val="none" w:sz="0" w:space="0" w:color="auto"/>
        <w:left w:val="none" w:sz="0" w:space="0" w:color="auto"/>
        <w:bottom w:val="none" w:sz="0" w:space="0" w:color="auto"/>
        <w:right w:val="none" w:sz="0" w:space="0" w:color="auto"/>
      </w:divBdr>
    </w:div>
    <w:div w:id="737634984">
      <w:bodyDiv w:val="1"/>
      <w:marLeft w:val="0"/>
      <w:marRight w:val="0"/>
      <w:marTop w:val="0"/>
      <w:marBottom w:val="0"/>
      <w:divBdr>
        <w:top w:val="none" w:sz="0" w:space="0" w:color="auto"/>
        <w:left w:val="none" w:sz="0" w:space="0" w:color="auto"/>
        <w:bottom w:val="none" w:sz="0" w:space="0" w:color="auto"/>
        <w:right w:val="none" w:sz="0" w:space="0" w:color="auto"/>
      </w:divBdr>
    </w:div>
    <w:div w:id="737898306">
      <w:bodyDiv w:val="1"/>
      <w:marLeft w:val="0"/>
      <w:marRight w:val="0"/>
      <w:marTop w:val="0"/>
      <w:marBottom w:val="0"/>
      <w:divBdr>
        <w:top w:val="none" w:sz="0" w:space="0" w:color="auto"/>
        <w:left w:val="none" w:sz="0" w:space="0" w:color="auto"/>
        <w:bottom w:val="none" w:sz="0" w:space="0" w:color="auto"/>
        <w:right w:val="none" w:sz="0" w:space="0" w:color="auto"/>
      </w:divBdr>
    </w:div>
    <w:div w:id="737944349">
      <w:bodyDiv w:val="1"/>
      <w:marLeft w:val="0"/>
      <w:marRight w:val="0"/>
      <w:marTop w:val="0"/>
      <w:marBottom w:val="0"/>
      <w:divBdr>
        <w:top w:val="none" w:sz="0" w:space="0" w:color="auto"/>
        <w:left w:val="none" w:sz="0" w:space="0" w:color="auto"/>
        <w:bottom w:val="none" w:sz="0" w:space="0" w:color="auto"/>
        <w:right w:val="none" w:sz="0" w:space="0" w:color="auto"/>
      </w:divBdr>
    </w:div>
    <w:div w:id="738357681">
      <w:bodyDiv w:val="1"/>
      <w:marLeft w:val="0"/>
      <w:marRight w:val="0"/>
      <w:marTop w:val="0"/>
      <w:marBottom w:val="0"/>
      <w:divBdr>
        <w:top w:val="none" w:sz="0" w:space="0" w:color="auto"/>
        <w:left w:val="none" w:sz="0" w:space="0" w:color="auto"/>
        <w:bottom w:val="none" w:sz="0" w:space="0" w:color="auto"/>
        <w:right w:val="none" w:sz="0" w:space="0" w:color="auto"/>
      </w:divBdr>
    </w:div>
    <w:div w:id="738475684">
      <w:bodyDiv w:val="1"/>
      <w:marLeft w:val="0"/>
      <w:marRight w:val="0"/>
      <w:marTop w:val="0"/>
      <w:marBottom w:val="0"/>
      <w:divBdr>
        <w:top w:val="none" w:sz="0" w:space="0" w:color="auto"/>
        <w:left w:val="none" w:sz="0" w:space="0" w:color="auto"/>
        <w:bottom w:val="none" w:sz="0" w:space="0" w:color="auto"/>
        <w:right w:val="none" w:sz="0" w:space="0" w:color="auto"/>
      </w:divBdr>
    </w:div>
    <w:div w:id="738478932">
      <w:bodyDiv w:val="1"/>
      <w:marLeft w:val="0"/>
      <w:marRight w:val="0"/>
      <w:marTop w:val="0"/>
      <w:marBottom w:val="0"/>
      <w:divBdr>
        <w:top w:val="none" w:sz="0" w:space="0" w:color="auto"/>
        <w:left w:val="none" w:sz="0" w:space="0" w:color="auto"/>
        <w:bottom w:val="none" w:sz="0" w:space="0" w:color="auto"/>
        <w:right w:val="none" w:sz="0" w:space="0" w:color="auto"/>
      </w:divBdr>
    </w:div>
    <w:div w:id="738482624">
      <w:bodyDiv w:val="1"/>
      <w:marLeft w:val="0"/>
      <w:marRight w:val="0"/>
      <w:marTop w:val="0"/>
      <w:marBottom w:val="0"/>
      <w:divBdr>
        <w:top w:val="none" w:sz="0" w:space="0" w:color="auto"/>
        <w:left w:val="none" w:sz="0" w:space="0" w:color="auto"/>
        <w:bottom w:val="none" w:sz="0" w:space="0" w:color="auto"/>
        <w:right w:val="none" w:sz="0" w:space="0" w:color="auto"/>
      </w:divBdr>
    </w:div>
    <w:div w:id="738747537">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016313">
      <w:bodyDiv w:val="1"/>
      <w:marLeft w:val="0"/>
      <w:marRight w:val="0"/>
      <w:marTop w:val="0"/>
      <w:marBottom w:val="0"/>
      <w:divBdr>
        <w:top w:val="none" w:sz="0" w:space="0" w:color="auto"/>
        <w:left w:val="none" w:sz="0" w:space="0" w:color="auto"/>
        <w:bottom w:val="none" w:sz="0" w:space="0" w:color="auto"/>
        <w:right w:val="none" w:sz="0" w:space="0" w:color="auto"/>
      </w:divBdr>
    </w:div>
    <w:div w:id="739406497">
      <w:bodyDiv w:val="1"/>
      <w:marLeft w:val="0"/>
      <w:marRight w:val="0"/>
      <w:marTop w:val="0"/>
      <w:marBottom w:val="0"/>
      <w:divBdr>
        <w:top w:val="none" w:sz="0" w:space="0" w:color="auto"/>
        <w:left w:val="none" w:sz="0" w:space="0" w:color="auto"/>
        <w:bottom w:val="none" w:sz="0" w:space="0" w:color="auto"/>
        <w:right w:val="none" w:sz="0" w:space="0" w:color="auto"/>
      </w:divBdr>
    </w:div>
    <w:div w:id="739443502">
      <w:bodyDiv w:val="1"/>
      <w:marLeft w:val="0"/>
      <w:marRight w:val="0"/>
      <w:marTop w:val="0"/>
      <w:marBottom w:val="0"/>
      <w:divBdr>
        <w:top w:val="none" w:sz="0" w:space="0" w:color="auto"/>
        <w:left w:val="none" w:sz="0" w:space="0" w:color="auto"/>
        <w:bottom w:val="none" w:sz="0" w:space="0" w:color="auto"/>
        <w:right w:val="none" w:sz="0" w:space="0" w:color="auto"/>
      </w:divBdr>
    </w:div>
    <w:div w:id="739710657">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39861630">
      <w:bodyDiv w:val="1"/>
      <w:marLeft w:val="0"/>
      <w:marRight w:val="0"/>
      <w:marTop w:val="0"/>
      <w:marBottom w:val="0"/>
      <w:divBdr>
        <w:top w:val="none" w:sz="0" w:space="0" w:color="auto"/>
        <w:left w:val="none" w:sz="0" w:space="0" w:color="auto"/>
        <w:bottom w:val="none" w:sz="0" w:space="0" w:color="auto"/>
        <w:right w:val="none" w:sz="0" w:space="0" w:color="auto"/>
      </w:divBdr>
    </w:div>
    <w:div w:id="739986336">
      <w:bodyDiv w:val="1"/>
      <w:marLeft w:val="0"/>
      <w:marRight w:val="0"/>
      <w:marTop w:val="0"/>
      <w:marBottom w:val="0"/>
      <w:divBdr>
        <w:top w:val="none" w:sz="0" w:space="0" w:color="auto"/>
        <w:left w:val="none" w:sz="0" w:space="0" w:color="auto"/>
        <w:bottom w:val="none" w:sz="0" w:space="0" w:color="auto"/>
        <w:right w:val="none" w:sz="0" w:space="0" w:color="auto"/>
      </w:divBdr>
    </w:div>
    <w:div w:id="740252414">
      <w:bodyDiv w:val="1"/>
      <w:marLeft w:val="0"/>
      <w:marRight w:val="0"/>
      <w:marTop w:val="0"/>
      <w:marBottom w:val="0"/>
      <w:divBdr>
        <w:top w:val="none" w:sz="0" w:space="0" w:color="auto"/>
        <w:left w:val="none" w:sz="0" w:space="0" w:color="auto"/>
        <w:bottom w:val="none" w:sz="0" w:space="0" w:color="auto"/>
        <w:right w:val="none" w:sz="0" w:space="0" w:color="auto"/>
      </w:divBdr>
    </w:div>
    <w:div w:id="740563556">
      <w:bodyDiv w:val="1"/>
      <w:marLeft w:val="0"/>
      <w:marRight w:val="0"/>
      <w:marTop w:val="0"/>
      <w:marBottom w:val="0"/>
      <w:divBdr>
        <w:top w:val="none" w:sz="0" w:space="0" w:color="auto"/>
        <w:left w:val="none" w:sz="0" w:space="0" w:color="auto"/>
        <w:bottom w:val="none" w:sz="0" w:space="0" w:color="auto"/>
        <w:right w:val="none" w:sz="0" w:space="0" w:color="auto"/>
      </w:divBdr>
    </w:div>
    <w:div w:id="740827970">
      <w:bodyDiv w:val="1"/>
      <w:marLeft w:val="0"/>
      <w:marRight w:val="0"/>
      <w:marTop w:val="0"/>
      <w:marBottom w:val="0"/>
      <w:divBdr>
        <w:top w:val="none" w:sz="0" w:space="0" w:color="auto"/>
        <w:left w:val="none" w:sz="0" w:space="0" w:color="auto"/>
        <w:bottom w:val="none" w:sz="0" w:space="0" w:color="auto"/>
        <w:right w:val="none" w:sz="0" w:space="0" w:color="auto"/>
      </w:divBdr>
    </w:div>
    <w:div w:id="740830487">
      <w:bodyDiv w:val="1"/>
      <w:marLeft w:val="0"/>
      <w:marRight w:val="0"/>
      <w:marTop w:val="0"/>
      <w:marBottom w:val="0"/>
      <w:divBdr>
        <w:top w:val="none" w:sz="0" w:space="0" w:color="auto"/>
        <w:left w:val="none" w:sz="0" w:space="0" w:color="auto"/>
        <w:bottom w:val="none" w:sz="0" w:space="0" w:color="auto"/>
        <w:right w:val="none" w:sz="0" w:space="0" w:color="auto"/>
      </w:divBdr>
    </w:div>
    <w:div w:id="740831693">
      <w:bodyDiv w:val="1"/>
      <w:marLeft w:val="0"/>
      <w:marRight w:val="0"/>
      <w:marTop w:val="0"/>
      <w:marBottom w:val="0"/>
      <w:divBdr>
        <w:top w:val="none" w:sz="0" w:space="0" w:color="auto"/>
        <w:left w:val="none" w:sz="0" w:space="0" w:color="auto"/>
        <w:bottom w:val="none" w:sz="0" w:space="0" w:color="auto"/>
        <w:right w:val="none" w:sz="0" w:space="0" w:color="auto"/>
      </w:divBdr>
    </w:div>
    <w:div w:id="740835763">
      <w:bodyDiv w:val="1"/>
      <w:marLeft w:val="0"/>
      <w:marRight w:val="0"/>
      <w:marTop w:val="0"/>
      <w:marBottom w:val="0"/>
      <w:divBdr>
        <w:top w:val="none" w:sz="0" w:space="0" w:color="auto"/>
        <w:left w:val="none" w:sz="0" w:space="0" w:color="auto"/>
        <w:bottom w:val="none" w:sz="0" w:space="0" w:color="auto"/>
        <w:right w:val="none" w:sz="0" w:space="0" w:color="auto"/>
      </w:divBdr>
    </w:div>
    <w:div w:id="741021520">
      <w:bodyDiv w:val="1"/>
      <w:marLeft w:val="0"/>
      <w:marRight w:val="0"/>
      <w:marTop w:val="0"/>
      <w:marBottom w:val="0"/>
      <w:divBdr>
        <w:top w:val="none" w:sz="0" w:space="0" w:color="auto"/>
        <w:left w:val="none" w:sz="0" w:space="0" w:color="auto"/>
        <w:bottom w:val="none" w:sz="0" w:space="0" w:color="auto"/>
        <w:right w:val="none" w:sz="0" w:space="0" w:color="auto"/>
      </w:divBdr>
    </w:div>
    <w:div w:id="741105055">
      <w:bodyDiv w:val="1"/>
      <w:marLeft w:val="0"/>
      <w:marRight w:val="0"/>
      <w:marTop w:val="0"/>
      <w:marBottom w:val="0"/>
      <w:divBdr>
        <w:top w:val="none" w:sz="0" w:space="0" w:color="auto"/>
        <w:left w:val="none" w:sz="0" w:space="0" w:color="auto"/>
        <w:bottom w:val="none" w:sz="0" w:space="0" w:color="auto"/>
        <w:right w:val="none" w:sz="0" w:space="0" w:color="auto"/>
      </w:divBdr>
    </w:div>
    <w:div w:id="742027773">
      <w:bodyDiv w:val="1"/>
      <w:marLeft w:val="0"/>
      <w:marRight w:val="0"/>
      <w:marTop w:val="0"/>
      <w:marBottom w:val="0"/>
      <w:divBdr>
        <w:top w:val="none" w:sz="0" w:space="0" w:color="auto"/>
        <w:left w:val="none" w:sz="0" w:space="0" w:color="auto"/>
        <w:bottom w:val="none" w:sz="0" w:space="0" w:color="auto"/>
        <w:right w:val="none" w:sz="0" w:space="0" w:color="auto"/>
      </w:divBdr>
    </w:div>
    <w:div w:id="742413209">
      <w:bodyDiv w:val="1"/>
      <w:marLeft w:val="0"/>
      <w:marRight w:val="0"/>
      <w:marTop w:val="0"/>
      <w:marBottom w:val="0"/>
      <w:divBdr>
        <w:top w:val="none" w:sz="0" w:space="0" w:color="auto"/>
        <w:left w:val="none" w:sz="0" w:space="0" w:color="auto"/>
        <w:bottom w:val="none" w:sz="0" w:space="0" w:color="auto"/>
        <w:right w:val="none" w:sz="0" w:space="0" w:color="auto"/>
      </w:divBdr>
    </w:div>
    <w:div w:id="742875602">
      <w:bodyDiv w:val="1"/>
      <w:marLeft w:val="0"/>
      <w:marRight w:val="0"/>
      <w:marTop w:val="0"/>
      <w:marBottom w:val="0"/>
      <w:divBdr>
        <w:top w:val="none" w:sz="0" w:space="0" w:color="auto"/>
        <w:left w:val="none" w:sz="0" w:space="0" w:color="auto"/>
        <w:bottom w:val="none" w:sz="0" w:space="0" w:color="auto"/>
        <w:right w:val="none" w:sz="0" w:space="0" w:color="auto"/>
      </w:divBdr>
    </w:div>
    <w:div w:id="743144938">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3576263">
      <w:bodyDiv w:val="1"/>
      <w:marLeft w:val="0"/>
      <w:marRight w:val="0"/>
      <w:marTop w:val="0"/>
      <w:marBottom w:val="0"/>
      <w:divBdr>
        <w:top w:val="none" w:sz="0" w:space="0" w:color="auto"/>
        <w:left w:val="none" w:sz="0" w:space="0" w:color="auto"/>
        <w:bottom w:val="none" w:sz="0" w:space="0" w:color="auto"/>
        <w:right w:val="none" w:sz="0" w:space="0" w:color="auto"/>
      </w:divBdr>
    </w:div>
    <w:div w:id="743602879">
      <w:bodyDiv w:val="1"/>
      <w:marLeft w:val="0"/>
      <w:marRight w:val="0"/>
      <w:marTop w:val="0"/>
      <w:marBottom w:val="0"/>
      <w:divBdr>
        <w:top w:val="none" w:sz="0" w:space="0" w:color="auto"/>
        <w:left w:val="none" w:sz="0" w:space="0" w:color="auto"/>
        <w:bottom w:val="none" w:sz="0" w:space="0" w:color="auto"/>
        <w:right w:val="none" w:sz="0" w:space="0" w:color="auto"/>
      </w:divBdr>
    </w:div>
    <w:div w:id="743723878">
      <w:bodyDiv w:val="1"/>
      <w:marLeft w:val="0"/>
      <w:marRight w:val="0"/>
      <w:marTop w:val="0"/>
      <w:marBottom w:val="0"/>
      <w:divBdr>
        <w:top w:val="none" w:sz="0" w:space="0" w:color="auto"/>
        <w:left w:val="none" w:sz="0" w:space="0" w:color="auto"/>
        <w:bottom w:val="none" w:sz="0" w:space="0" w:color="auto"/>
        <w:right w:val="none" w:sz="0" w:space="0" w:color="auto"/>
      </w:divBdr>
    </w:div>
    <w:div w:id="744452046">
      <w:bodyDiv w:val="1"/>
      <w:marLeft w:val="0"/>
      <w:marRight w:val="0"/>
      <w:marTop w:val="0"/>
      <w:marBottom w:val="0"/>
      <w:divBdr>
        <w:top w:val="none" w:sz="0" w:space="0" w:color="auto"/>
        <w:left w:val="none" w:sz="0" w:space="0" w:color="auto"/>
        <w:bottom w:val="none" w:sz="0" w:space="0" w:color="auto"/>
        <w:right w:val="none" w:sz="0" w:space="0" w:color="auto"/>
      </w:divBdr>
    </w:div>
    <w:div w:id="744499492">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44644440">
      <w:bodyDiv w:val="1"/>
      <w:marLeft w:val="0"/>
      <w:marRight w:val="0"/>
      <w:marTop w:val="0"/>
      <w:marBottom w:val="0"/>
      <w:divBdr>
        <w:top w:val="none" w:sz="0" w:space="0" w:color="auto"/>
        <w:left w:val="none" w:sz="0" w:space="0" w:color="auto"/>
        <w:bottom w:val="none" w:sz="0" w:space="0" w:color="auto"/>
        <w:right w:val="none" w:sz="0" w:space="0" w:color="auto"/>
      </w:divBdr>
    </w:div>
    <w:div w:id="744760164">
      <w:bodyDiv w:val="1"/>
      <w:marLeft w:val="0"/>
      <w:marRight w:val="0"/>
      <w:marTop w:val="0"/>
      <w:marBottom w:val="0"/>
      <w:divBdr>
        <w:top w:val="none" w:sz="0" w:space="0" w:color="auto"/>
        <w:left w:val="none" w:sz="0" w:space="0" w:color="auto"/>
        <w:bottom w:val="none" w:sz="0" w:space="0" w:color="auto"/>
        <w:right w:val="none" w:sz="0" w:space="0" w:color="auto"/>
      </w:divBdr>
    </w:div>
    <w:div w:id="744886755">
      <w:bodyDiv w:val="1"/>
      <w:marLeft w:val="0"/>
      <w:marRight w:val="0"/>
      <w:marTop w:val="0"/>
      <w:marBottom w:val="0"/>
      <w:divBdr>
        <w:top w:val="none" w:sz="0" w:space="0" w:color="auto"/>
        <w:left w:val="none" w:sz="0" w:space="0" w:color="auto"/>
        <w:bottom w:val="none" w:sz="0" w:space="0" w:color="auto"/>
        <w:right w:val="none" w:sz="0" w:space="0" w:color="auto"/>
      </w:divBdr>
    </w:div>
    <w:div w:id="745685816">
      <w:bodyDiv w:val="1"/>
      <w:marLeft w:val="0"/>
      <w:marRight w:val="0"/>
      <w:marTop w:val="0"/>
      <w:marBottom w:val="0"/>
      <w:divBdr>
        <w:top w:val="none" w:sz="0" w:space="0" w:color="auto"/>
        <w:left w:val="none" w:sz="0" w:space="0" w:color="auto"/>
        <w:bottom w:val="none" w:sz="0" w:space="0" w:color="auto"/>
        <w:right w:val="none" w:sz="0" w:space="0" w:color="auto"/>
      </w:divBdr>
    </w:div>
    <w:div w:id="745691226">
      <w:bodyDiv w:val="1"/>
      <w:marLeft w:val="0"/>
      <w:marRight w:val="0"/>
      <w:marTop w:val="0"/>
      <w:marBottom w:val="0"/>
      <w:divBdr>
        <w:top w:val="none" w:sz="0" w:space="0" w:color="auto"/>
        <w:left w:val="none" w:sz="0" w:space="0" w:color="auto"/>
        <w:bottom w:val="none" w:sz="0" w:space="0" w:color="auto"/>
        <w:right w:val="none" w:sz="0" w:space="0" w:color="auto"/>
      </w:divBdr>
    </w:div>
    <w:div w:id="745691380">
      <w:bodyDiv w:val="1"/>
      <w:marLeft w:val="0"/>
      <w:marRight w:val="0"/>
      <w:marTop w:val="0"/>
      <w:marBottom w:val="0"/>
      <w:divBdr>
        <w:top w:val="none" w:sz="0" w:space="0" w:color="auto"/>
        <w:left w:val="none" w:sz="0" w:space="0" w:color="auto"/>
        <w:bottom w:val="none" w:sz="0" w:space="0" w:color="auto"/>
        <w:right w:val="none" w:sz="0" w:space="0" w:color="auto"/>
      </w:divBdr>
    </w:div>
    <w:div w:id="745761205">
      <w:bodyDiv w:val="1"/>
      <w:marLeft w:val="0"/>
      <w:marRight w:val="0"/>
      <w:marTop w:val="0"/>
      <w:marBottom w:val="0"/>
      <w:divBdr>
        <w:top w:val="none" w:sz="0" w:space="0" w:color="auto"/>
        <w:left w:val="none" w:sz="0" w:space="0" w:color="auto"/>
        <w:bottom w:val="none" w:sz="0" w:space="0" w:color="auto"/>
        <w:right w:val="none" w:sz="0" w:space="0" w:color="auto"/>
      </w:divBdr>
    </w:div>
    <w:div w:id="745804426">
      <w:bodyDiv w:val="1"/>
      <w:marLeft w:val="0"/>
      <w:marRight w:val="0"/>
      <w:marTop w:val="0"/>
      <w:marBottom w:val="0"/>
      <w:divBdr>
        <w:top w:val="none" w:sz="0" w:space="0" w:color="auto"/>
        <w:left w:val="none" w:sz="0" w:space="0" w:color="auto"/>
        <w:bottom w:val="none" w:sz="0" w:space="0" w:color="auto"/>
        <w:right w:val="none" w:sz="0" w:space="0" w:color="auto"/>
      </w:divBdr>
    </w:div>
    <w:div w:id="745804720">
      <w:bodyDiv w:val="1"/>
      <w:marLeft w:val="0"/>
      <w:marRight w:val="0"/>
      <w:marTop w:val="0"/>
      <w:marBottom w:val="0"/>
      <w:divBdr>
        <w:top w:val="none" w:sz="0" w:space="0" w:color="auto"/>
        <w:left w:val="none" w:sz="0" w:space="0" w:color="auto"/>
        <w:bottom w:val="none" w:sz="0" w:space="0" w:color="auto"/>
        <w:right w:val="none" w:sz="0" w:space="0" w:color="auto"/>
      </w:divBdr>
    </w:div>
    <w:div w:id="745881012">
      <w:bodyDiv w:val="1"/>
      <w:marLeft w:val="0"/>
      <w:marRight w:val="0"/>
      <w:marTop w:val="0"/>
      <w:marBottom w:val="0"/>
      <w:divBdr>
        <w:top w:val="none" w:sz="0" w:space="0" w:color="auto"/>
        <w:left w:val="none" w:sz="0" w:space="0" w:color="auto"/>
        <w:bottom w:val="none" w:sz="0" w:space="0" w:color="auto"/>
        <w:right w:val="none" w:sz="0" w:space="0" w:color="auto"/>
      </w:divBdr>
    </w:div>
    <w:div w:id="745956828">
      <w:bodyDiv w:val="1"/>
      <w:marLeft w:val="0"/>
      <w:marRight w:val="0"/>
      <w:marTop w:val="0"/>
      <w:marBottom w:val="0"/>
      <w:divBdr>
        <w:top w:val="none" w:sz="0" w:space="0" w:color="auto"/>
        <w:left w:val="none" w:sz="0" w:space="0" w:color="auto"/>
        <w:bottom w:val="none" w:sz="0" w:space="0" w:color="auto"/>
        <w:right w:val="none" w:sz="0" w:space="0" w:color="auto"/>
      </w:divBdr>
    </w:div>
    <w:div w:id="745998143">
      <w:bodyDiv w:val="1"/>
      <w:marLeft w:val="0"/>
      <w:marRight w:val="0"/>
      <w:marTop w:val="0"/>
      <w:marBottom w:val="0"/>
      <w:divBdr>
        <w:top w:val="none" w:sz="0" w:space="0" w:color="auto"/>
        <w:left w:val="none" w:sz="0" w:space="0" w:color="auto"/>
        <w:bottom w:val="none" w:sz="0" w:space="0" w:color="auto"/>
        <w:right w:val="none" w:sz="0" w:space="0" w:color="auto"/>
      </w:divBdr>
    </w:div>
    <w:div w:id="746004398">
      <w:bodyDiv w:val="1"/>
      <w:marLeft w:val="0"/>
      <w:marRight w:val="0"/>
      <w:marTop w:val="0"/>
      <w:marBottom w:val="0"/>
      <w:divBdr>
        <w:top w:val="none" w:sz="0" w:space="0" w:color="auto"/>
        <w:left w:val="none" w:sz="0" w:space="0" w:color="auto"/>
        <w:bottom w:val="none" w:sz="0" w:space="0" w:color="auto"/>
        <w:right w:val="none" w:sz="0" w:space="0" w:color="auto"/>
      </w:divBdr>
    </w:div>
    <w:div w:id="747115938">
      <w:bodyDiv w:val="1"/>
      <w:marLeft w:val="0"/>
      <w:marRight w:val="0"/>
      <w:marTop w:val="0"/>
      <w:marBottom w:val="0"/>
      <w:divBdr>
        <w:top w:val="none" w:sz="0" w:space="0" w:color="auto"/>
        <w:left w:val="none" w:sz="0" w:space="0" w:color="auto"/>
        <w:bottom w:val="none" w:sz="0" w:space="0" w:color="auto"/>
        <w:right w:val="none" w:sz="0" w:space="0" w:color="auto"/>
      </w:divBdr>
    </w:div>
    <w:div w:id="748111801">
      <w:bodyDiv w:val="1"/>
      <w:marLeft w:val="0"/>
      <w:marRight w:val="0"/>
      <w:marTop w:val="0"/>
      <w:marBottom w:val="0"/>
      <w:divBdr>
        <w:top w:val="none" w:sz="0" w:space="0" w:color="auto"/>
        <w:left w:val="none" w:sz="0" w:space="0" w:color="auto"/>
        <w:bottom w:val="none" w:sz="0" w:space="0" w:color="auto"/>
        <w:right w:val="none" w:sz="0" w:space="0" w:color="auto"/>
      </w:divBdr>
    </w:div>
    <w:div w:id="748625431">
      <w:bodyDiv w:val="1"/>
      <w:marLeft w:val="0"/>
      <w:marRight w:val="0"/>
      <w:marTop w:val="0"/>
      <w:marBottom w:val="0"/>
      <w:divBdr>
        <w:top w:val="none" w:sz="0" w:space="0" w:color="auto"/>
        <w:left w:val="none" w:sz="0" w:space="0" w:color="auto"/>
        <w:bottom w:val="none" w:sz="0" w:space="0" w:color="auto"/>
        <w:right w:val="none" w:sz="0" w:space="0" w:color="auto"/>
      </w:divBdr>
    </w:div>
    <w:div w:id="748889084">
      <w:bodyDiv w:val="1"/>
      <w:marLeft w:val="0"/>
      <w:marRight w:val="0"/>
      <w:marTop w:val="0"/>
      <w:marBottom w:val="0"/>
      <w:divBdr>
        <w:top w:val="none" w:sz="0" w:space="0" w:color="auto"/>
        <w:left w:val="none" w:sz="0" w:space="0" w:color="auto"/>
        <w:bottom w:val="none" w:sz="0" w:space="0" w:color="auto"/>
        <w:right w:val="none" w:sz="0" w:space="0" w:color="auto"/>
      </w:divBdr>
    </w:div>
    <w:div w:id="749279258">
      <w:bodyDiv w:val="1"/>
      <w:marLeft w:val="0"/>
      <w:marRight w:val="0"/>
      <w:marTop w:val="0"/>
      <w:marBottom w:val="0"/>
      <w:divBdr>
        <w:top w:val="none" w:sz="0" w:space="0" w:color="auto"/>
        <w:left w:val="none" w:sz="0" w:space="0" w:color="auto"/>
        <w:bottom w:val="none" w:sz="0" w:space="0" w:color="auto"/>
        <w:right w:val="none" w:sz="0" w:space="0" w:color="auto"/>
      </w:divBdr>
    </w:div>
    <w:div w:id="749543641">
      <w:bodyDiv w:val="1"/>
      <w:marLeft w:val="0"/>
      <w:marRight w:val="0"/>
      <w:marTop w:val="0"/>
      <w:marBottom w:val="0"/>
      <w:divBdr>
        <w:top w:val="none" w:sz="0" w:space="0" w:color="auto"/>
        <w:left w:val="none" w:sz="0" w:space="0" w:color="auto"/>
        <w:bottom w:val="none" w:sz="0" w:space="0" w:color="auto"/>
        <w:right w:val="none" w:sz="0" w:space="0" w:color="auto"/>
      </w:divBdr>
    </w:div>
    <w:div w:id="749622973">
      <w:bodyDiv w:val="1"/>
      <w:marLeft w:val="0"/>
      <w:marRight w:val="0"/>
      <w:marTop w:val="0"/>
      <w:marBottom w:val="0"/>
      <w:divBdr>
        <w:top w:val="none" w:sz="0" w:space="0" w:color="auto"/>
        <w:left w:val="none" w:sz="0" w:space="0" w:color="auto"/>
        <w:bottom w:val="none" w:sz="0" w:space="0" w:color="auto"/>
        <w:right w:val="none" w:sz="0" w:space="0" w:color="auto"/>
      </w:divBdr>
    </w:div>
    <w:div w:id="749696925">
      <w:bodyDiv w:val="1"/>
      <w:marLeft w:val="0"/>
      <w:marRight w:val="0"/>
      <w:marTop w:val="0"/>
      <w:marBottom w:val="0"/>
      <w:divBdr>
        <w:top w:val="none" w:sz="0" w:space="0" w:color="auto"/>
        <w:left w:val="none" w:sz="0" w:space="0" w:color="auto"/>
        <w:bottom w:val="none" w:sz="0" w:space="0" w:color="auto"/>
        <w:right w:val="none" w:sz="0" w:space="0" w:color="auto"/>
      </w:divBdr>
    </w:div>
    <w:div w:id="749814693">
      <w:bodyDiv w:val="1"/>
      <w:marLeft w:val="0"/>
      <w:marRight w:val="0"/>
      <w:marTop w:val="0"/>
      <w:marBottom w:val="0"/>
      <w:divBdr>
        <w:top w:val="none" w:sz="0" w:space="0" w:color="auto"/>
        <w:left w:val="none" w:sz="0" w:space="0" w:color="auto"/>
        <w:bottom w:val="none" w:sz="0" w:space="0" w:color="auto"/>
        <w:right w:val="none" w:sz="0" w:space="0" w:color="auto"/>
      </w:divBdr>
    </w:div>
    <w:div w:id="750277297">
      <w:bodyDiv w:val="1"/>
      <w:marLeft w:val="0"/>
      <w:marRight w:val="0"/>
      <w:marTop w:val="0"/>
      <w:marBottom w:val="0"/>
      <w:divBdr>
        <w:top w:val="none" w:sz="0" w:space="0" w:color="auto"/>
        <w:left w:val="none" w:sz="0" w:space="0" w:color="auto"/>
        <w:bottom w:val="none" w:sz="0" w:space="0" w:color="auto"/>
        <w:right w:val="none" w:sz="0" w:space="0" w:color="auto"/>
      </w:divBdr>
    </w:div>
    <w:div w:id="750393083">
      <w:bodyDiv w:val="1"/>
      <w:marLeft w:val="0"/>
      <w:marRight w:val="0"/>
      <w:marTop w:val="0"/>
      <w:marBottom w:val="0"/>
      <w:divBdr>
        <w:top w:val="none" w:sz="0" w:space="0" w:color="auto"/>
        <w:left w:val="none" w:sz="0" w:space="0" w:color="auto"/>
        <w:bottom w:val="none" w:sz="0" w:space="0" w:color="auto"/>
        <w:right w:val="none" w:sz="0" w:space="0" w:color="auto"/>
      </w:divBdr>
    </w:div>
    <w:div w:id="750464169">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1435919">
      <w:bodyDiv w:val="1"/>
      <w:marLeft w:val="0"/>
      <w:marRight w:val="0"/>
      <w:marTop w:val="0"/>
      <w:marBottom w:val="0"/>
      <w:divBdr>
        <w:top w:val="none" w:sz="0" w:space="0" w:color="auto"/>
        <w:left w:val="none" w:sz="0" w:space="0" w:color="auto"/>
        <w:bottom w:val="none" w:sz="0" w:space="0" w:color="auto"/>
        <w:right w:val="none" w:sz="0" w:space="0" w:color="auto"/>
      </w:divBdr>
    </w:div>
    <w:div w:id="751662317">
      <w:bodyDiv w:val="1"/>
      <w:marLeft w:val="0"/>
      <w:marRight w:val="0"/>
      <w:marTop w:val="0"/>
      <w:marBottom w:val="0"/>
      <w:divBdr>
        <w:top w:val="none" w:sz="0" w:space="0" w:color="auto"/>
        <w:left w:val="none" w:sz="0" w:space="0" w:color="auto"/>
        <w:bottom w:val="none" w:sz="0" w:space="0" w:color="auto"/>
        <w:right w:val="none" w:sz="0" w:space="0" w:color="auto"/>
      </w:divBdr>
    </w:div>
    <w:div w:id="752435757">
      <w:bodyDiv w:val="1"/>
      <w:marLeft w:val="0"/>
      <w:marRight w:val="0"/>
      <w:marTop w:val="0"/>
      <w:marBottom w:val="0"/>
      <w:divBdr>
        <w:top w:val="none" w:sz="0" w:space="0" w:color="auto"/>
        <w:left w:val="none" w:sz="0" w:space="0" w:color="auto"/>
        <w:bottom w:val="none" w:sz="0" w:space="0" w:color="auto"/>
        <w:right w:val="none" w:sz="0" w:space="0" w:color="auto"/>
      </w:divBdr>
    </w:div>
    <w:div w:id="752626057">
      <w:bodyDiv w:val="1"/>
      <w:marLeft w:val="0"/>
      <w:marRight w:val="0"/>
      <w:marTop w:val="0"/>
      <w:marBottom w:val="0"/>
      <w:divBdr>
        <w:top w:val="none" w:sz="0" w:space="0" w:color="auto"/>
        <w:left w:val="none" w:sz="0" w:space="0" w:color="auto"/>
        <w:bottom w:val="none" w:sz="0" w:space="0" w:color="auto"/>
        <w:right w:val="none" w:sz="0" w:space="0" w:color="auto"/>
      </w:divBdr>
    </w:div>
    <w:div w:id="752698416">
      <w:bodyDiv w:val="1"/>
      <w:marLeft w:val="0"/>
      <w:marRight w:val="0"/>
      <w:marTop w:val="0"/>
      <w:marBottom w:val="0"/>
      <w:divBdr>
        <w:top w:val="none" w:sz="0" w:space="0" w:color="auto"/>
        <w:left w:val="none" w:sz="0" w:space="0" w:color="auto"/>
        <w:bottom w:val="none" w:sz="0" w:space="0" w:color="auto"/>
        <w:right w:val="none" w:sz="0" w:space="0" w:color="auto"/>
      </w:divBdr>
    </w:div>
    <w:div w:id="752819078">
      <w:bodyDiv w:val="1"/>
      <w:marLeft w:val="0"/>
      <w:marRight w:val="0"/>
      <w:marTop w:val="0"/>
      <w:marBottom w:val="0"/>
      <w:divBdr>
        <w:top w:val="none" w:sz="0" w:space="0" w:color="auto"/>
        <w:left w:val="none" w:sz="0" w:space="0" w:color="auto"/>
        <w:bottom w:val="none" w:sz="0" w:space="0" w:color="auto"/>
        <w:right w:val="none" w:sz="0" w:space="0" w:color="auto"/>
      </w:divBdr>
    </w:div>
    <w:div w:id="753166260">
      <w:bodyDiv w:val="1"/>
      <w:marLeft w:val="0"/>
      <w:marRight w:val="0"/>
      <w:marTop w:val="0"/>
      <w:marBottom w:val="0"/>
      <w:divBdr>
        <w:top w:val="none" w:sz="0" w:space="0" w:color="auto"/>
        <w:left w:val="none" w:sz="0" w:space="0" w:color="auto"/>
        <w:bottom w:val="none" w:sz="0" w:space="0" w:color="auto"/>
        <w:right w:val="none" w:sz="0" w:space="0" w:color="auto"/>
      </w:divBdr>
    </w:div>
    <w:div w:id="753891547">
      <w:bodyDiv w:val="1"/>
      <w:marLeft w:val="0"/>
      <w:marRight w:val="0"/>
      <w:marTop w:val="0"/>
      <w:marBottom w:val="0"/>
      <w:divBdr>
        <w:top w:val="none" w:sz="0" w:space="0" w:color="auto"/>
        <w:left w:val="none" w:sz="0" w:space="0" w:color="auto"/>
        <w:bottom w:val="none" w:sz="0" w:space="0" w:color="auto"/>
        <w:right w:val="none" w:sz="0" w:space="0" w:color="auto"/>
      </w:divBdr>
    </w:div>
    <w:div w:id="754059000">
      <w:bodyDiv w:val="1"/>
      <w:marLeft w:val="0"/>
      <w:marRight w:val="0"/>
      <w:marTop w:val="0"/>
      <w:marBottom w:val="0"/>
      <w:divBdr>
        <w:top w:val="none" w:sz="0" w:space="0" w:color="auto"/>
        <w:left w:val="none" w:sz="0" w:space="0" w:color="auto"/>
        <w:bottom w:val="none" w:sz="0" w:space="0" w:color="auto"/>
        <w:right w:val="none" w:sz="0" w:space="0" w:color="auto"/>
      </w:divBdr>
    </w:div>
    <w:div w:id="754209469">
      <w:bodyDiv w:val="1"/>
      <w:marLeft w:val="0"/>
      <w:marRight w:val="0"/>
      <w:marTop w:val="0"/>
      <w:marBottom w:val="0"/>
      <w:divBdr>
        <w:top w:val="none" w:sz="0" w:space="0" w:color="auto"/>
        <w:left w:val="none" w:sz="0" w:space="0" w:color="auto"/>
        <w:bottom w:val="none" w:sz="0" w:space="0" w:color="auto"/>
        <w:right w:val="none" w:sz="0" w:space="0" w:color="auto"/>
      </w:divBdr>
    </w:div>
    <w:div w:id="754211358">
      <w:bodyDiv w:val="1"/>
      <w:marLeft w:val="0"/>
      <w:marRight w:val="0"/>
      <w:marTop w:val="0"/>
      <w:marBottom w:val="0"/>
      <w:divBdr>
        <w:top w:val="none" w:sz="0" w:space="0" w:color="auto"/>
        <w:left w:val="none" w:sz="0" w:space="0" w:color="auto"/>
        <w:bottom w:val="none" w:sz="0" w:space="0" w:color="auto"/>
        <w:right w:val="none" w:sz="0" w:space="0" w:color="auto"/>
      </w:divBdr>
    </w:div>
    <w:div w:id="754788800">
      <w:bodyDiv w:val="1"/>
      <w:marLeft w:val="0"/>
      <w:marRight w:val="0"/>
      <w:marTop w:val="0"/>
      <w:marBottom w:val="0"/>
      <w:divBdr>
        <w:top w:val="none" w:sz="0" w:space="0" w:color="auto"/>
        <w:left w:val="none" w:sz="0" w:space="0" w:color="auto"/>
        <w:bottom w:val="none" w:sz="0" w:space="0" w:color="auto"/>
        <w:right w:val="none" w:sz="0" w:space="0" w:color="auto"/>
      </w:divBdr>
    </w:div>
    <w:div w:id="754909367">
      <w:bodyDiv w:val="1"/>
      <w:marLeft w:val="0"/>
      <w:marRight w:val="0"/>
      <w:marTop w:val="0"/>
      <w:marBottom w:val="0"/>
      <w:divBdr>
        <w:top w:val="none" w:sz="0" w:space="0" w:color="auto"/>
        <w:left w:val="none" w:sz="0" w:space="0" w:color="auto"/>
        <w:bottom w:val="none" w:sz="0" w:space="0" w:color="auto"/>
        <w:right w:val="none" w:sz="0" w:space="0" w:color="auto"/>
      </w:divBdr>
    </w:div>
    <w:div w:id="755057559">
      <w:bodyDiv w:val="1"/>
      <w:marLeft w:val="0"/>
      <w:marRight w:val="0"/>
      <w:marTop w:val="0"/>
      <w:marBottom w:val="0"/>
      <w:divBdr>
        <w:top w:val="none" w:sz="0" w:space="0" w:color="auto"/>
        <w:left w:val="none" w:sz="0" w:space="0" w:color="auto"/>
        <w:bottom w:val="none" w:sz="0" w:space="0" w:color="auto"/>
        <w:right w:val="none" w:sz="0" w:space="0" w:color="auto"/>
      </w:divBdr>
    </w:div>
    <w:div w:id="755906600">
      <w:bodyDiv w:val="1"/>
      <w:marLeft w:val="0"/>
      <w:marRight w:val="0"/>
      <w:marTop w:val="0"/>
      <w:marBottom w:val="0"/>
      <w:divBdr>
        <w:top w:val="none" w:sz="0" w:space="0" w:color="auto"/>
        <w:left w:val="none" w:sz="0" w:space="0" w:color="auto"/>
        <w:bottom w:val="none" w:sz="0" w:space="0" w:color="auto"/>
        <w:right w:val="none" w:sz="0" w:space="0" w:color="auto"/>
      </w:divBdr>
    </w:div>
    <w:div w:id="756099832">
      <w:bodyDiv w:val="1"/>
      <w:marLeft w:val="0"/>
      <w:marRight w:val="0"/>
      <w:marTop w:val="0"/>
      <w:marBottom w:val="0"/>
      <w:divBdr>
        <w:top w:val="none" w:sz="0" w:space="0" w:color="auto"/>
        <w:left w:val="none" w:sz="0" w:space="0" w:color="auto"/>
        <w:bottom w:val="none" w:sz="0" w:space="0" w:color="auto"/>
        <w:right w:val="none" w:sz="0" w:space="0" w:color="auto"/>
      </w:divBdr>
    </w:div>
    <w:div w:id="756446148">
      <w:bodyDiv w:val="1"/>
      <w:marLeft w:val="0"/>
      <w:marRight w:val="0"/>
      <w:marTop w:val="0"/>
      <w:marBottom w:val="0"/>
      <w:divBdr>
        <w:top w:val="none" w:sz="0" w:space="0" w:color="auto"/>
        <w:left w:val="none" w:sz="0" w:space="0" w:color="auto"/>
        <w:bottom w:val="none" w:sz="0" w:space="0" w:color="auto"/>
        <w:right w:val="none" w:sz="0" w:space="0" w:color="auto"/>
      </w:divBdr>
    </w:div>
    <w:div w:id="756562932">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7093038">
      <w:bodyDiv w:val="1"/>
      <w:marLeft w:val="0"/>
      <w:marRight w:val="0"/>
      <w:marTop w:val="0"/>
      <w:marBottom w:val="0"/>
      <w:divBdr>
        <w:top w:val="none" w:sz="0" w:space="0" w:color="auto"/>
        <w:left w:val="none" w:sz="0" w:space="0" w:color="auto"/>
        <w:bottom w:val="none" w:sz="0" w:space="0" w:color="auto"/>
        <w:right w:val="none" w:sz="0" w:space="0" w:color="auto"/>
      </w:divBdr>
    </w:div>
    <w:div w:id="757101301">
      <w:bodyDiv w:val="1"/>
      <w:marLeft w:val="0"/>
      <w:marRight w:val="0"/>
      <w:marTop w:val="0"/>
      <w:marBottom w:val="0"/>
      <w:divBdr>
        <w:top w:val="none" w:sz="0" w:space="0" w:color="auto"/>
        <w:left w:val="none" w:sz="0" w:space="0" w:color="auto"/>
        <w:bottom w:val="none" w:sz="0" w:space="0" w:color="auto"/>
        <w:right w:val="none" w:sz="0" w:space="0" w:color="auto"/>
      </w:divBdr>
    </w:div>
    <w:div w:id="757213615">
      <w:bodyDiv w:val="1"/>
      <w:marLeft w:val="0"/>
      <w:marRight w:val="0"/>
      <w:marTop w:val="0"/>
      <w:marBottom w:val="0"/>
      <w:divBdr>
        <w:top w:val="none" w:sz="0" w:space="0" w:color="auto"/>
        <w:left w:val="none" w:sz="0" w:space="0" w:color="auto"/>
        <w:bottom w:val="none" w:sz="0" w:space="0" w:color="auto"/>
        <w:right w:val="none" w:sz="0" w:space="0" w:color="auto"/>
      </w:divBdr>
    </w:div>
    <w:div w:id="757363280">
      <w:bodyDiv w:val="1"/>
      <w:marLeft w:val="0"/>
      <w:marRight w:val="0"/>
      <w:marTop w:val="0"/>
      <w:marBottom w:val="0"/>
      <w:divBdr>
        <w:top w:val="none" w:sz="0" w:space="0" w:color="auto"/>
        <w:left w:val="none" w:sz="0" w:space="0" w:color="auto"/>
        <w:bottom w:val="none" w:sz="0" w:space="0" w:color="auto"/>
        <w:right w:val="none" w:sz="0" w:space="0" w:color="auto"/>
      </w:divBdr>
    </w:div>
    <w:div w:id="757482324">
      <w:bodyDiv w:val="1"/>
      <w:marLeft w:val="0"/>
      <w:marRight w:val="0"/>
      <w:marTop w:val="0"/>
      <w:marBottom w:val="0"/>
      <w:divBdr>
        <w:top w:val="none" w:sz="0" w:space="0" w:color="auto"/>
        <w:left w:val="none" w:sz="0" w:space="0" w:color="auto"/>
        <w:bottom w:val="none" w:sz="0" w:space="0" w:color="auto"/>
        <w:right w:val="none" w:sz="0" w:space="0" w:color="auto"/>
      </w:divBdr>
    </w:div>
    <w:div w:id="757678845">
      <w:bodyDiv w:val="1"/>
      <w:marLeft w:val="0"/>
      <w:marRight w:val="0"/>
      <w:marTop w:val="0"/>
      <w:marBottom w:val="0"/>
      <w:divBdr>
        <w:top w:val="none" w:sz="0" w:space="0" w:color="auto"/>
        <w:left w:val="none" w:sz="0" w:space="0" w:color="auto"/>
        <w:bottom w:val="none" w:sz="0" w:space="0" w:color="auto"/>
        <w:right w:val="none" w:sz="0" w:space="0" w:color="auto"/>
      </w:divBdr>
    </w:div>
    <w:div w:id="757825184">
      <w:bodyDiv w:val="1"/>
      <w:marLeft w:val="0"/>
      <w:marRight w:val="0"/>
      <w:marTop w:val="0"/>
      <w:marBottom w:val="0"/>
      <w:divBdr>
        <w:top w:val="none" w:sz="0" w:space="0" w:color="auto"/>
        <w:left w:val="none" w:sz="0" w:space="0" w:color="auto"/>
        <w:bottom w:val="none" w:sz="0" w:space="0" w:color="auto"/>
        <w:right w:val="none" w:sz="0" w:space="0" w:color="auto"/>
      </w:divBdr>
    </w:div>
    <w:div w:id="758063995">
      <w:bodyDiv w:val="1"/>
      <w:marLeft w:val="0"/>
      <w:marRight w:val="0"/>
      <w:marTop w:val="0"/>
      <w:marBottom w:val="0"/>
      <w:divBdr>
        <w:top w:val="none" w:sz="0" w:space="0" w:color="auto"/>
        <w:left w:val="none" w:sz="0" w:space="0" w:color="auto"/>
        <w:bottom w:val="none" w:sz="0" w:space="0" w:color="auto"/>
        <w:right w:val="none" w:sz="0" w:space="0" w:color="auto"/>
      </w:divBdr>
    </w:div>
    <w:div w:id="758210685">
      <w:bodyDiv w:val="1"/>
      <w:marLeft w:val="0"/>
      <w:marRight w:val="0"/>
      <w:marTop w:val="0"/>
      <w:marBottom w:val="0"/>
      <w:divBdr>
        <w:top w:val="none" w:sz="0" w:space="0" w:color="auto"/>
        <w:left w:val="none" w:sz="0" w:space="0" w:color="auto"/>
        <w:bottom w:val="none" w:sz="0" w:space="0" w:color="auto"/>
        <w:right w:val="none" w:sz="0" w:space="0" w:color="auto"/>
      </w:divBdr>
    </w:div>
    <w:div w:id="758410951">
      <w:bodyDiv w:val="1"/>
      <w:marLeft w:val="0"/>
      <w:marRight w:val="0"/>
      <w:marTop w:val="0"/>
      <w:marBottom w:val="0"/>
      <w:divBdr>
        <w:top w:val="none" w:sz="0" w:space="0" w:color="auto"/>
        <w:left w:val="none" w:sz="0" w:space="0" w:color="auto"/>
        <w:bottom w:val="none" w:sz="0" w:space="0" w:color="auto"/>
        <w:right w:val="none" w:sz="0" w:space="0" w:color="auto"/>
      </w:divBdr>
    </w:div>
    <w:div w:id="758985442">
      <w:bodyDiv w:val="1"/>
      <w:marLeft w:val="0"/>
      <w:marRight w:val="0"/>
      <w:marTop w:val="0"/>
      <w:marBottom w:val="0"/>
      <w:divBdr>
        <w:top w:val="none" w:sz="0" w:space="0" w:color="auto"/>
        <w:left w:val="none" w:sz="0" w:space="0" w:color="auto"/>
        <w:bottom w:val="none" w:sz="0" w:space="0" w:color="auto"/>
        <w:right w:val="none" w:sz="0" w:space="0" w:color="auto"/>
      </w:divBdr>
    </w:div>
    <w:div w:id="759178743">
      <w:bodyDiv w:val="1"/>
      <w:marLeft w:val="0"/>
      <w:marRight w:val="0"/>
      <w:marTop w:val="0"/>
      <w:marBottom w:val="0"/>
      <w:divBdr>
        <w:top w:val="none" w:sz="0" w:space="0" w:color="auto"/>
        <w:left w:val="none" w:sz="0" w:space="0" w:color="auto"/>
        <w:bottom w:val="none" w:sz="0" w:space="0" w:color="auto"/>
        <w:right w:val="none" w:sz="0" w:space="0" w:color="auto"/>
      </w:divBdr>
    </w:div>
    <w:div w:id="760102797">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0567330">
      <w:bodyDiv w:val="1"/>
      <w:marLeft w:val="0"/>
      <w:marRight w:val="0"/>
      <w:marTop w:val="0"/>
      <w:marBottom w:val="0"/>
      <w:divBdr>
        <w:top w:val="none" w:sz="0" w:space="0" w:color="auto"/>
        <w:left w:val="none" w:sz="0" w:space="0" w:color="auto"/>
        <w:bottom w:val="none" w:sz="0" w:space="0" w:color="auto"/>
        <w:right w:val="none" w:sz="0" w:space="0" w:color="auto"/>
      </w:divBdr>
    </w:div>
    <w:div w:id="761074631">
      <w:bodyDiv w:val="1"/>
      <w:marLeft w:val="0"/>
      <w:marRight w:val="0"/>
      <w:marTop w:val="0"/>
      <w:marBottom w:val="0"/>
      <w:divBdr>
        <w:top w:val="none" w:sz="0" w:space="0" w:color="auto"/>
        <w:left w:val="none" w:sz="0" w:space="0" w:color="auto"/>
        <w:bottom w:val="none" w:sz="0" w:space="0" w:color="auto"/>
        <w:right w:val="none" w:sz="0" w:space="0" w:color="auto"/>
      </w:divBdr>
    </w:div>
    <w:div w:id="761337713">
      <w:bodyDiv w:val="1"/>
      <w:marLeft w:val="0"/>
      <w:marRight w:val="0"/>
      <w:marTop w:val="0"/>
      <w:marBottom w:val="0"/>
      <w:divBdr>
        <w:top w:val="none" w:sz="0" w:space="0" w:color="auto"/>
        <w:left w:val="none" w:sz="0" w:space="0" w:color="auto"/>
        <w:bottom w:val="none" w:sz="0" w:space="0" w:color="auto"/>
        <w:right w:val="none" w:sz="0" w:space="0" w:color="auto"/>
      </w:divBdr>
    </w:div>
    <w:div w:id="761490082">
      <w:bodyDiv w:val="1"/>
      <w:marLeft w:val="0"/>
      <w:marRight w:val="0"/>
      <w:marTop w:val="0"/>
      <w:marBottom w:val="0"/>
      <w:divBdr>
        <w:top w:val="none" w:sz="0" w:space="0" w:color="auto"/>
        <w:left w:val="none" w:sz="0" w:space="0" w:color="auto"/>
        <w:bottom w:val="none" w:sz="0" w:space="0" w:color="auto"/>
        <w:right w:val="none" w:sz="0" w:space="0" w:color="auto"/>
      </w:divBdr>
    </w:div>
    <w:div w:id="761608508">
      <w:bodyDiv w:val="1"/>
      <w:marLeft w:val="0"/>
      <w:marRight w:val="0"/>
      <w:marTop w:val="0"/>
      <w:marBottom w:val="0"/>
      <w:divBdr>
        <w:top w:val="none" w:sz="0" w:space="0" w:color="auto"/>
        <w:left w:val="none" w:sz="0" w:space="0" w:color="auto"/>
        <w:bottom w:val="none" w:sz="0" w:space="0" w:color="auto"/>
        <w:right w:val="none" w:sz="0" w:space="0" w:color="auto"/>
      </w:divBdr>
    </w:div>
    <w:div w:id="761881604">
      <w:bodyDiv w:val="1"/>
      <w:marLeft w:val="0"/>
      <w:marRight w:val="0"/>
      <w:marTop w:val="0"/>
      <w:marBottom w:val="0"/>
      <w:divBdr>
        <w:top w:val="none" w:sz="0" w:space="0" w:color="auto"/>
        <w:left w:val="none" w:sz="0" w:space="0" w:color="auto"/>
        <w:bottom w:val="none" w:sz="0" w:space="0" w:color="auto"/>
        <w:right w:val="none" w:sz="0" w:space="0" w:color="auto"/>
      </w:divBdr>
    </w:div>
    <w:div w:id="761993785">
      <w:bodyDiv w:val="1"/>
      <w:marLeft w:val="0"/>
      <w:marRight w:val="0"/>
      <w:marTop w:val="0"/>
      <w:marBottom w:val="0"/>
      <w:divBdr>
        <w:top w:val="none" w:sz="0" w:space="0" w:color="auto"/>
        <w:left w:val="none" w:sz="0" w:space="0" w:color="auto"/>
        <w:bottom w:val="none" w:sz="0" w:space="0" w:color="auto"/>
        <w:right w:val="none" w:sz="0" w:space="0" w:color="auto"/>
      </w:divBdr>
    </w:div>
    <w:div w:id="762068225">
      <w:bodyDiv w:val="1"/>
      <w:marLeft w:val="0"/>
      <w:marRight w:val="0"/>
      <w:marTop w:val="0"/>
      <w:marBottom w:val="0"/>
      <w:divBdr>
        <w:top w:val="none" w:sz="0" w:space="0" w:color="auto"/>
        <w:left w:val="none" w:sz="0" w:space="0" w:color="auto"/>
        <w:bottom w:val="none" w:sz="0" w:space="0" w:color="auto"/>
        <w:right w:val="none" w:sz="0" w:space="0" w:color="auto"/>
      </w:divBdr>
    </w:div>
    <w:div w:id="762334463">
      <w:bodyDiv w:val="1"/>
      <w:marLeft w:val="0"/>
      <w:marRight w:val="0"/>
      <w:marTop w:val="0"/>
      <w:marBottom w:val="0"/>
      <w:divBdr>
        <w:top w:val="none" w:sz="0" w:space="0" w:color="auto"/>
        <w:left w:val="none" w:sz="0" w:space="0" w:color="auto"/>
        <w:bottom w:val="none" w:sz="0" w:space="0" w:color="auto"/>
        <w:right w:val="none" w:sz="0" w:space="0" w:color="auto"/>
      </w:divBdr>
    </w:div>
    <w:div w:id="763185543">
      <w:bodyDiv w:val="1"/>
      <w:marLeft w:val="0"/>
      <w:marRight w:val="0"/>
      <w:marTop w:val="0"/>
      <w:marBottom w:val="0"/>
      <w:divBdr>
        <w:top w:val="none" w:sz="0" w:space="0" w:color="auto"/>
        <w:left w:val="none" w:sz="0" w:space="0" w:color="auto"/>
        <w:bottom w:val="none" w:sz="0" w:space="0" w:color="auto"/>
        <w:right w:val="none" w:sz="0" w:space="0" w:color="auto"/>
      </w:divBdr>
    </w:div>
    <w:div w:id="763190776">
      <w:bodyDiv w:val="1"/>
      <w:marLeft w:val="0"/>
      <w:marRight w:val="0"/>
      <w:marTop w:val="0"/>
      <w:marBottom w:val="0"/>
      <w:divBdr>
        <w:top w:val="none" w:sz="0" w:space="0" w:color="auto"/>
        <w:left w:val="none" w:sz="0" w:space="0" w:color="auto"/>
        <w:bottom w:val="none" w:sz="0" w:space="0" w:color="auto"/>
        <w:right w:val="none" w:sz="0" w:space="0" w:color="auto"/>
      </w:divBdr>
    </w:div>
    <w:div w:id="763375750">
      <w:bodyDiv w:val="1"/>
      <w:marLeft w:val="0"/>
      <w:marRight w:val="0"/>
      <w:marTop w:val="0"/>
      <w:marBottom w:val="0"/>
      <w:divBdr>
        <w:top w:val="none" w:sz="0" w:space="0" w:color="auto"/>
        <w:left w:val="none" w:sz="0" w:space="0" w:color="auto"/>
        <w:bottom w:val="none" w:sz="0" w:space="0" w:color="auto"/>
        <w:right w:val="none" w:sz="0" w:space="0" w:color="auto"/>
      </w:divBdr>
    </w:div>
    <w:div w:id="764613560">
      <w:bodyDiv w:val="1"/>
      <w:marLeft w:val="0"/>
      <w:marRight w:val="0"/>
      <w:marTop w:val="0"/>
      <w:marBottom w:val="0"/>
      <w:divBdr>
        <w:top w:val="none" w:sz="0" w:space="0" w:color="auto"/>
        <w:left w:val="none" w:sz="0" w:space="0" w:color="auto"/>
        <w:bottom w:val="none" w:sz="0" w:space="0" w:color="auto"/>
        <w:right w:val="none" w:sz="0" w:space="0" w:color="auto"/>
      </w:divBdr>
    </w:div>
    <w:div w:id="764883311">
      <w:bodyDiv w:val="1"/>
      <w:marLeft w:val="0"/>
      <w:marRight w:val="0"/>
      <w:marTop w:val="0"/>
      <w:marBottom w:val="0"/>
      <w:divBdr>
        <w:top w:val="none" w:sz="0" w:space="0" w:color="auto"/>
        <w:left w:val="none" w:sz="0" w:space="0" w:color="auto"/>
        <w:bottom w:val="none" w:sz="0" w:space="0" w:color="auto"/>
        <w:right w:val="none" w:sz="0" w:space="0" w:color="auto"/>
      </w:divBdr>
    </w:div>
    <w:div w:id="765005973">
      <w:bodyDiv w:val="1"/>
      <w:marLeft w:val="0"/>
      <w:marRight w:val="0"/>
      <w:marTop w:val="0"/>
      <w:marBottom w:val="0"/>
      <w:divBdr>
        <w:top w:val="none" w:sz="0" w:space="0" w:color="auto"/>
        <w:left w:val="none" w:sz="0" w:space="0" w:color="auto"/>
        <w:bottom w:val="none" w:sz="0" w:space="0" w:color="auto"/>
        <w:right w:val="none" w:sz="0" w:space="0" w:color="auto"/>
      </w:divBdr>
    </w:div>
    <w:div w:id="765269850">
      <w:bodyDiv w:val="1"/>
      <w:marLeft w:val="0"/>
      <w:marRight w:val="0"/>
      <w:marTop w:val="0"/>
      <w:marBottom w:val="0"/>
      <w:divBdr>
        <w:top w:val="none" w:sz="0" w:space="0" w:color="auto"/>
        <w:left w:val="none" w:sz="0" w:space="0" w:color="auto"/>
        <w:bottom w:val="none" w:sz="0" w:space="0" w:color="auto"/>
        <w:right w:val="none" w:sz="0" w:space="0" w:color="auto"/>
      </w:divBdr>
    </w:div>
    <w:div w:id="765538625">
      <w:bodyDiv w:val="1"/>
      <w:marLeft w:val="0"/>
      <w:marRight w:val="0"/>
      <w:marTop w:val="0"/>
      <w:marBottom w:val="0"/>
      <w:divBdr>
        <w:top w:val="none" w:sz="0" w:space="0" w:color="auto"/>
        <w:left w:val="none" w:sz="0" w:space="0" w:color="auto"/>
        <w:bottom w:val="none" w:sz="0" w:space="0" w:color="auto"/>
        <w:right w:val="none" w:sz="0" w:space="0" w:color="auto"/>
      </w:divBdr>
    </w:div>
    <w:div w:id="765805233">
      <w:bodyDiv w:val="1"/>
      <w:marLeft w:val="0"/>
      <w:marRight w:val="0"/>
      <w:marTop w:val="0"/>
      <w:marBottom w:val="0"/>
      <w:divBdr>
        <w:top w:val="none" w:sz="0" w:space="0" w:color="auto"/>
        <w:left w:val="none" w:sz="0" w:space="0" w:color="auto"/>
        <w:bottom w:val="none" w:sz="0" w:space="0" w:color="auto"/>
        <w:right w:val="none" w:sz="0" w:space="0" w:color="auto"/>
      </w:divBdr>
    </w:div>
    <w:div w:id="765810152">
      <w:bodyDiv w:val="1"/>
      <w:marLeft w:val="0"/>
      <w:marRight w:val="0"/>
      <w:marTop w:val="0"/>
      <w:marBottom w:val="0"/>
      <w:divBdr>
        <w:top w:val="none" w:sz="0" w:space="0" w:color="auto"/>
        <w:left w:val="none" w:sz="0" w:space="0" w:color="auto"/>
        <w:bottom w:val="none" w:sz="0" w:space="0" w:color="auto"/>
        <w:right w:val="none" w:sz="0" w:space="0" w:color="auto"/>
      </w:divBdr>
    </w:div>
    <w:div w:id="765928225">
      <w:bodyDiv w:val="1"/>
      <w:marLeft w:val="0"/>
      <w:marRight w:val="0"/>
      <w:marTop w:val="0"/>
      <w:marBottom w:val="0"/>
      <w:divBdr>
        <w:top w:val="none" w:sz="0" w:space="0" w:color="auto"/>
        <w:left w:val="none" w:sz="0" w:space="0" w:color="auto"/>
        <w:bottom w:val="none" w:sz="0" w:space="0" w:color="auto"/>
        <w:right w:val="none" w:sz="0" w:space="0" w:color="auto"/>
      </w:divBdr>
    </w:div>
    <w:div w:id="766076815">
      <w:bodyDiv w:val="1"/>
      <w:marLeft w:val="0"/>
      <w:marRight w:val="0"/>
      <w:marTop w:val="0"/>
      <w:marBottom w:val="0"/>
      <w:divBdr>
        <w:top w:val="none" w:sz="0" w:space="0" w:color="auto"/>
        <w:left w:val="none" w:sz="0" w:space="0" w:color="auto"/>
        <w:bottom w:val="none" w:sz="0" w:space="0" w:color="auto"/>
        <w:right w:val="none" w:sz="0" w:space="0" w:color="auto"/>
      </w:divBdr>
    </w:div>
    <w:div w:id="766313690">
      <w:bodyDiv w:val="1"/>
      <w:marLeft w:val="0"/>
      <w:marRight w:val="0"/>
      <w:marTop w:val="0"/>
      <w:marBottom w:val="0"/>
      <w:divBdr>
        <w:top w:val="none" w:sz="0" w:space="0" w:color="auto"/>
        <w:left w:val="none" w:sz="0" w:space="0" w:color="auto"/>
        <w:bottom w:val="none" w:sz="0" w:space="0" w:color="auto"/>
        <w:right w:val="none" w:sz="0" w:space="0" w:color="auto"/>
      </w:divBdr>
    </w:div>
    <w:div w:id="766462293">
      <w:bodyDiv w:val="1"/>
      <w:marLeft w:val="0"/>
      <w:marRight w:val="0"/>
      <w:marTop w:val="0"/>
      <w:marBottom w:val="0"/>
      <w:divBdr>
        <w:top w:val="none" w:sz="0" w:space="0" w:color="auto"/>
        <w:left w:val="none" w:sz="0" w:space="0" w:color="auto"/>
        <w:bottom w:val="none" w:sz="0" w:space="0" w:color="auto"/>
        <w:right w:val="none" w:sz="0" w:space="0" w:color="auto"/>
      </w:divBdr>
    </w:div>
    <w:div w:id="766581460">
      <w:bodyDiv w:val="1"/>
      <w:marLeft w:val="0"/>
      <w:marRight w:val="0"/>
      <w:marTop w:val="0"/>
      <w:marBottom w:val="0"/>
      <w:divBdr>
        <w:top w:val="none" w:sz="0" w:space="0" w:color="auto"/>
        <w:left w:val="none" w:sz="0" w:space="0" w:color="auto"/>
        <w:bottom w:val="none" w:sz="0" w:space="0" w:color="auto"/>
        <w:right w:val="none" w:sz="0" w:space="0" w:color="auto"/>
      </w:divBdr>
    </w:div>
    <w:div w:id="767892571">
      <w:bodyDiv w:val="1"/>
      <w:marLeft w:val="0"/>
      <w:marRight w:val="0"/>
      <w:marTop w:val="0"/>
      <w:marBottom w:val="0"/>
      <w:divBdr>
        <w:top w:val="none" w:sz="0" w:space="0" w:color="auto"/>
        <w:left w:val="none" w:sz="0" w:space="0" w:color="auto"/>
        <w:bottom w:val="none" w:sz="0" w:space="0" w:color="auto"/>
        <w:right w:val="none" w:sz="0" w:space="0" w:color="auto"/>
      </w:divBdr>
    </w:div>
    <w:div w:id="767964289">
      <w:bodyDiv w:val="1"/>
      <w:marLeft w:val="0"/>
      <w:marRight w:val="0"/>
      <w:marTop w:val="0"/>
      <w:marBottom w:val="0"/>
      <w:divBdr>
        <w:top w:val="none" w:sz="0" w:space="0" w:color="auto"/>
        <w:left w:val="none" w:sz="0" w:space="0" w:color="auto"/>
        <w:bottom w:val="none" w:sz="0" w:space="0" w:color="auto"/>
        <w:right w:val="none" w:sz="0" w:space="0" w:color="auto"/>
      </w:divBdr>
    </w:div>
    <w:div w:id="768358737">
      <w:bodyDiv w:val="1"/>
      <w:marLeft w:val="0"/>
      <w:marRight w:val="0"/>
      <w:marTop w:val="0"/>
      <w:marBottom w:val="0"/>
      <w:divBdr>
        <w:top w:val="none" w:sz="0" w:space="0" w:color="auto"/>
        <w:left w:val="none" w:sz="0" w:space="0" w:color="auto"/>
        <w:bottom w:val="none" w:sz="0" w:space="0" w:color="auto"/>
        <w:right w:val="none" w:sz="0" w:space="0" w:color="auto"/>
      </w:divBdr>
    </w:div>
    <w:div w:id="769131126">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354652">
      <w:bodyDiv w:val="1"/>
      <w:marLeft w:val="0"/>
      <w:marRight w:val="0"/>
      <w:marTop w:val="0"/>
      <w:marBottom w:val="0"/>
      <w:divBdr>
        <w:top w:val="none" w:sz="0" w:space="0" w:color="auto"/>
        <w:left w:val="none" w:sz="0" w:space="0" w:color="auto"/>
        <w:bottom w:val="none" w:sz="0" w:space="0" w:color="auto"/>
        <w:right w:val="none" w:sz="0" w:space="0" w:color="auto"/>
      </w:divBdr>
    </w:div>
    <w:div w:id="769355448">
      <w:bodyDiv w:val="1"/>
      <w:marLeft w:val="0"/>
      <w:marRight w:val="0"/>
      <w:marTop w:val="0"/>
      <w:marBottom w:val="0"/>
      <w:divBdr>
        <w:top w:val="none" w:sz="0" w:space="0" w:color="auto"/>
        <w:left w:val="none" w:sz="0" w:space="0" w:color="auto"/>
        <w:bottom w:val="none" w:sz="0" w:space="0" w:color="auto"/>
        <w:right w:val="none" w:sz="0" w:space="0" w:color="auto"/>
      </w:divBdr>
    </w:div>
    <w:div w:id="769543766">
      <w:bodyDiv w:val="1"/>
      <w:marLeft w:val="0"/>
      <w:marRight w:val="0"/>
      <w:marTop w:val="0"/>
      <w:marBottom w:val="0"/>
      <w:divBdr>
        <w:top w:val="none" w:sz="0" w:space="0" w:color="auto"/>
        <w:left w:val="none" w:sz="0" w:space="0" w:color="auto"/>
        <w:bottom w:val="none" w:sz="0" w:space="0" w:color="auto"/>
        <w:right w:val="none" w:sz="0" w:space="0" w:color="auto"/>
      </w:divBdr>
    </w:div>
    <w:div w:id="769659871">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69742053">
      <w:bodyDiv w:val="1"/>
      <w:marLeft w:val="0"/>
      <w:marRight w:val="0"/>
      <w:marTop w:val="0"/>
      <w:marBottom w:val="0"/>
      <w:divBdr>
        <w:top w:val="none" w:sz="0" w:space="0" w:color="auto"/>
        <w:left w:val="none" w:sz="0" w:space="0" w:color="auto"/>
        <w:bottom w:val="none" w:sz="0" w:space="0" w:color="auto"/>
        <w:right w:val="none" w:sz="0" w:space="0" w:color="auto"/>
      </w:divBdr>
    </w:div>
    <w:div w:id="769935865">
      <w:bodyDiv w:val="1"/>
      <w:marLeft w:val="0"/>
      <w:marRight w:val="0"/>
      <w:marTop w:val="0"/>
      <w:marBottom w:val="0"/>
      <w:divBdr>
        <w:top w:val="none" w:sz="0" w:space="0" w:color="auto"/>
        <w:left w:val="none" w:sz="0" w:space="0" w:color="auto"/>
        <w:bottom w:val="none" w:sz="0" w:space="0" w:color="auto"/>
        <w:right w:val="none" w:sz="0" w:space="0" w:color="auto"/>
      </w:divBdr>
    </w:div>
    <w:div w:id="770197415">
      <w:bodyDiv w:val="1"/>
      <w:marLeft w:val="0"/>
      <w:marRight w:val="0"/>
      <w:marTop w:val="0"/>
      <w:marBottom w:val="0"/>
      <w:divBdr>
        <w:top w:val="none" w:sz="0" w:space="0" w:color="auto"/>
        <w:left w:val="none" w:sz="0" w:space="0" w:color="auto"/>
        <w:bottom w:val="none" w:sz="0" w:space="0" w:color="auto"/>
        <w:right w:val="none" w:sz="0" w:space="0" w:color="auto"/>
      </w:divBdr>
    </w:div>
    <w:div w:id="770205296">
      <w:bodyDiv w:val="1"/>
      <w:marLeft w:val="0"/>
      <w:marRight w:val="0"/>
      <w:marTop w:val="0"/>
      <w:marBottom w:val="0"/>
      <w:divBdr>
        <w:top w:val="none" w:sz="0" w:space="0" w:color="auto"/>
        <w:left w:val="none" w:sz="0" w:space="0" w:color="auto"/>
        <w:bottom w:val="none" w:sz="0" w:space="0" w:color="auto"/>
        <w:right w:val="none" w:sz="0" w:space="0" w:color="auto"/>
      </w:divBdr>
    </w:div>
    <w:div w:id="770315442">
      <w:bodyDiv w:val="1"/>
      <w:marLeft w:val="0"/>
      <w:marRight w:val="0"/>
      <w:marTop w:val="0"/>
      <w:marBottom w:val="0"/>
      <w:divBdr>
        <w:top w:val="none" w:sz="0" w:space="0" w:color="auto"/>
        <w:left w:val="none" w:sz="0" w:space="0" w:color="auto"/>
        <w:bottom w:val="none" w:sz="0" w:space="0" w:color="auto"/>
        <w:right w:val="none" w:sz="0" w:space="0" w:color="auto"/>
      </w:divBdr>
    </w:div>
    <w:div w:id="770592197">
      <w:bodyDiv w:val="1"/>
      <w:marLeft w:val="0"/>
      <w:marRight w:val="0"/>
      <w:marTop w:val="0"/>
      <w:marBottom w:val="0"/>
      <w:divBdr>
        <w:top w:val="none" w:sz="0" w:space="0" w:color="auto"/>
        <w:left w:val="none" w:sz="0" w:space="0" w:color="auto"/>
        <w:bottom w:val="none" w:sz="0" w:space="0" w:color="auto"/>
        <w:right w:val="none" w:sz="0" w:space="0" w:color="auto"/>
      </w:divBdr>
    </w:div>
    <w:div w:id="770668370">
      <w:bodyDiv w:val="1"/>
      <w:marLeft w:val="0"/>
      <w:marRight w:val="0"/>
      <w:marTop w:val="0"/>
      <w:marBottom w:val="0"/>
      <w:divBdr>
        <w:top w:val="none" w:sz="0" w:space="0" w:color="auto"/>
        <w:left w:val="none" w:sz="0" w:space="0" w:color="auto"/>
        <w:bottom w:val="none" w:sz="0" w:space="0" w:color="auto"/>
        <w:right w:val="none" w:sz="0" w:space="0" w:color="auto"/>
      </w:divBdr>
    </w:div>
    <w:div w:id="770856028">
      <w:bodyDiv w:val="1"/>
      <w:marLeft w:val="0"/>
      <w:marRight w:val="0"/>
      <w:marTop w:val="0"/>
      <w:marBottom w:val="0"/>
      <w:divBdr>
        <w:top w:val="none" w:sz="0" w:space="0" w:color="auto"/>
        <w:left w:val="none" w:sz="0" w:space="0" w:color="auto"/>
        <w:bottom w:val="none" w:sz="0" w:space="0" w:color="auto"/>
        <w:right w:val="none" w:sz="0" w:space="0" w:color="auto"/>
      </w:divBdr>
    </w:div>
    <w:div w:id="770930192">
      <w:bodyDiv w:val="1"/>
      <w:marLeft w:val="0"/>
      <w:marRight w:val="0"/>
      <w:marTop w:val="0"/>
      <w:marBottom w:val="0"/>
      <w:divBdr>
        <w:top w:val="none" w:sz="0" w:space="0" w:color="auto"/>
        <w:left w:val="none" w:sz="0" w:space="0" w:color="auto"/>
        <w:bottom w:val="none" w:sz="0" w:space="0" w:color="auto"/>
        <w:right w:val="none" w:sz="0" w:space="0" w:color="auto"/>
      </w:divBdr>
    </w:div>
    <w:div w:id="770930410">
      <w:bodyDiv w:val="1"/>
      <w:marLeft w:val="0"/>
      <w:marRight w:val="0"/>
      <w:marTop w:val="0"/>
      <w:marBottom w:val="0"/>
      <w:divBdr>
        <w:top w:val="none" w:sz="0" w:space="0" w:color="auto"/>
        <w:left w:val="none" w:sz="0" w:space="0" w:color="auto"/>
        <w:bottom w:val="none" w:sz="0" w:space="0" w:color="auto"/>
        <w:right w:val="none" w:sz="0" w:space="0" w:color="auto"/>
      </w:divBdr>
    </w:div>
    <w:div w:id="770972968">
      <w:bodyDiv w:val="1"/>
      <w:marLeft w:val="0"/>
      <w:marRight w:val="0"/>
      <w:marTop w:val="0"/>
      <w:marBottom w:val="0"/>
      <w:divBdr>
        <w:top w:val="none" w:sz="0" w:space="0" w:color="auto"/>
        <w:left w:val="none" w:sz="0" w:space="0" w:color="auto"/>
        <w:bottom w:val="none" w:sz="0" w:space="0" w:color="auto"/>
        <w:right w:val="none" w:sz="0" w:space="0" w:color="auto"/>
      </w:divBdr>
    </w:div>
    <w:div w:id="771046013">
      <w:bodyDiv w:val="1"/>
      <w:marLeft w:val="0"/>
      <w:marRight w:val="0"/>
      <w:marTop w:val="0"/>
      <w:marBottom w:val="0"/>
      <w:divBdr>
        <w:top w:val="none" w:sz="0" w:space="0" w:color="auto"/>
        <w:left w:val="none" w:sz="0" w:space="0" w:color="auto"/>
        <w:bottom w:val="none" w:sz="0" w:space="0" w:color="auto"/>
        <w:right w:val="none" w:sz="0" w:space="0" w:color="auto"/>
      </w:divBdr>
    </w:div>
    <w:div w:id="771167008">
      <w:bodyDiv w:val="1"/>
      <w:marLeft w:val="0"/>
      <w:marRight w:val="0"/>
      <w:marTop w:val="0"/>
      <w:marBottom w:val="0"/>
      <w:divBdr>
        <w:top w:val="none" w:sz="0" w:space="0" w:color="auto"/>
        <w:left w:val="none" w:sz="0" w:space="0" w:color="auto"/>
        <w:bottom w:val="none" w:sz="0" w:space="0" w:color="auto"/>
        <w:right w:val="none" w:sz="0" w:space="0" w:color="auto"/>
      </w:divBdr>
    </w:div>
    <w:div w:id="771363544">
      <w:bodyDiv w:val="1"/>
      <w:marLeft w:val="0"/>
      <w:marRight w:val="0"/>
      <w:marTop w:val="0"/>
      <w:marBottom w:val="0"/>
      <w:divBdr>
        <w:top w:val="none" w:sz="0" w:space="0" w:color="auto"/>
        <w:left w:val="none" w:sz="0" w:space="0" w:color="auto"/>
        <w:bottom w:val="none" w:sz="0" w:space="0" w:color="auto"/>
        <w:right w:val="none" w:sz="0" w:space="0" w:color="auto"/>
      </w:divBdr>
    </w:div>
    <w:div w:id="771514340">
      <w:bodyDiv w:val="1"/>
      <w:marLeft w:val="0"/>
      <w:marRight w:val="0"/>
      <w:marTop w:val="0"/>
      <w:marBottom w:val="0"/>
      <w:divBdr>
        <w:top w:val="none" w:sz="0" w:space="0" w:color="auto"/>
        <w:left w:val="none" w:sz="0" w:space="0" w:color="auto"/>
        <w:bottom w:val="none" w:sz="0" w:space="0" w:color="auto"/>
        <w:right w:val="none" w:sz="0" w:space="0" w:color="auto"/>
      </w:divBdr>
    </w:div>
    <w:div w:id="771902516">
      <w:bodyDiv w:val="1"/>
      <w:marLeft w:val="0"/>
      <w:marRight w:val="0"/>
      <w:marTop w:val="0"/>
      <w:marBottom w:val="0"/>
      <w:divBdr>
        <w:top w:val="none" w:sz="0" w:space="0" w:color="auto"/>
        <w:left w:val="none" w:sz="0" w:space="0" w:color="auto"/>
        <w:bottom w:val="none" w:sz="0" w:space="0" w:color="auto"/>
        <w:right w:val="none" w:sz="0" w:space="0" w:color="auto"/>
      </w:divBdr>
    </w:div>
    <w:div w:id="771974902">
      <w:bodyDiv w:val="1"/>
      <w:marLeft w:val="0"/>
      <w:marRight w:val="0"/>
      <w:marTop w:val="0"/>
      <w:marBottom w:val="0"/>
      <w:divBdr>
        <w:top w:val="none" w:sz="0" w:space="0" w:color="auto"/>
        <w:left w:val="none" w:sz="0" w:space="0" w:color="auto"/>
        <w:bottom w:val="none" w:sz="0" w:space="0" w:color="auto"/>
        <w:right w:val="none" w:sz="0" w:space="0" w:color="auto"/>
      </w:divBdr>
    </w:div>
    <w:div w:id="771975297">
      <w:bodyDiv w:val="1"/>
      <w:marLeft w:val="0"/>
      <w:marRight w:val="0"/>
      <w:marTop w:val="0"/>
      <w:marBottom w:val="0"/>
      <w:divBdr>
        <w:top w:val="none" w:sz="0" w:space="0" w:color="auto"/>
        <w:left w:val="none" w:sz="0" w:space="0" w:color="auto"/>
        <w:bottom w:val="none" w:sz="0" w:space="0" w:color="auto"/>
        <w:right w:val="none" w:sz="0" w:space="0" w:color="auto"/>
      </w:divBdr>
    </w:div>
    <w:div w:id="772095577">
      <w:bodyDiv w:val="1"/>
      <w:marLeft w:val="0"/>
      <w:marRight w:val="0"/>
      <w:marTop w:val="0"/>
      <w:marBottom w:val="0"/>
      <w:divBdr>
        <w:top w:val="none" w:sz="0" w:space="0" w:color="auto"/>
        <w:left w:val="none" w:sz="0" w:space="0" w:color="auto"/>
        <w:bottom w:val="none" w:sz="0" w:space="0" w:color="auto"/>
        <w:right w:val="none" w:sz="0" w:space="0" w:color="auto"/>
      </w:divBdr>
    </w:div>
    <w:div w:id="772290272">
      <w:bodyDiv w:val="1"/>
      <w:marLeft w:val="0"/>
      <w:marRight w:val="0"/>
      <w:marTop w:val="0"/>
      <w:marBottom w:val="0"/>
      <w:divBdr>
        <w:top w:val="none" w:sz="0" w:space="0" w:color="auto"/>
        <w:left w:val="none" w:sz="0" w:space="0" w:color="auto"/>
        <w:bottom w:val="none" w:sz="0" w:space="0" w:color="auto"/>
        <w:right w:val="none" w:sz="0" w:space="0" w:color="auto"/>
      </w:divBdr>
    </w:div>
    <w:div w:id="773018022">
      <w:bodyDiv w:val="1"/>
      <w:marLeft w:val="0"/>
      <w:marRight w:val="0"/>
      <w:marTop w:val="0"/>
      <w:marBottom w:val="0"/>
      <w:divBdr>
        <w:top w:val="none" w:sz="0" w:space="0" w:color="auto"/>
        <w:left w:val="none" w:sz="0" w:space="0" w:color="auto"/>
        <w:bottom w:val="none" w:sz="0" w:space="0" w:color="auto"/>
        <w:right w:val="none" w:sz="0" w:space="0" w:color="auto"/>
      </w:divBdr>
    </w:div>
    <w:div w:id="773130550">
      <w:bodyDiv w:val="1"/>
      <w:marLeft w:val="0"/>
      <w:marRight w:val="0"/>
      <w:marTop w:val="0"/>
      <w:marBottom w:val="0"/>
      <w:divBdr>
        <w:top w:val="none" w:sz="0" w:space="0" w:color="auto"/>
        <w:left w:val="none" w:sz="0" w:space="0" w:color="auto"/>
        <w:bottom w:val="none" w:sz="0" w:space="0" w:color="auto"/>
        <w:right w:val="none" w:sz="0" w:space="0" w:color="auto"/>
      </w:divBdr>
    </w:div>
    <w:div w:id="773209157">
      <w:bodyDiv w:val="1"/>
      <w:marLeft w:val="0"/>
      <w:marRight w:val="0"/>
      <w:marTop w:val="0"/>
      <w:marBottom w:val="0"/>
      <w:divBdr>
        <w:top w:val="none" w:sz="0" w:space="0" w:color="auto"/>
        <w:left w:val="none" w:sz="0" w:space="0" w:color="auto"/>
        <w:bottom w:val="none" w:sz="0" w:space="0" w:color="auto"/>
        <w:right w:val="none" w:sz="0" w:space="0" w:color="auto"/>
      </w:divBdr>
    </w:div>
    <w:div w:id="773325506">
      <w:bodyDiv w:val="1"/>
      <w:marLeft w:val="0"/>
      <w:marRight w:val="0"/>
      <w:marTop w:val="0"/>
      <w:marBottom w:val="0"/>
      <w:divBdr>
        <w:top w:val="none" w:sz="0" w:space="0" w:color="auto"/>
        <w:left w:val="none" w:sz="0" w:space="0" w:color="auto"/>
        <w:bottom w:val="none" w:sz="0" w:space="0" w:color="auto"/>
        <w:right w:val="none" w:sz="0" w:space="0" w:color="auto"/>
      </w:divBdr>
    </w:div>
    <w:div w:id="773523967">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73864772">
      <w:bodyDiv w:val="1"/>
      <w:marLeft w:val="0"/>
      <w:marRight w:val="0"/>
      <w:marTop w:val="0"/>
      <w:marBottom w:val="0"/>
      <w:divBdr>
        <w:top w:val="none" w:sz="0" w:space="0" w:color="auto"/>
        <w:left w:val="none" w:sz="0" w:space="0" w:color="auto"/>
        <w:bottom w:val="none" w:sz="0" w:space="0" w:color="auto"/>
        <w:right w:val="none" w:sz="0" w:space="0" w:color="auto"/>
      </w:divBdr>
    </w:div>
    <w:div w:id="773983645">
      <w:bodyDiv w:val="1"/>
      <w:marLeft w:val="0"/>
      <w:marRight w:val="0"/>
      <w:marTop w:val="0"/>
      <w:marBottom w:val="0"/>
      <w:divBdr>
        <w:top w:val="none" w:sz="0" w:space="0" w:color="auto"/>
        <w:left w:val="none" w:sz="0" w:space="0" w:color="auto"/>
        <w:bottom w:val="none" w:sz="0" w:space="0" w:color="auto"/>
        <w:right w:val="none" w:sz="0" w:space="0" w:color="auto"/>
      </w:divBdr>
    </w:div>
    <w:div w:id="774255538">
      <w:bodyDiv w:val="1"/>
      <w:marLeft w:val="0"/>
      <w:marRight w:val="0"/>
      <w:marTop w:val="0"/>
      <w:marBottom w:val="0"/>
      <w:divBdr>
        <w:top w:val="none" w:sz="0" w:space="0" w:color="auto"/>
        <w:left w:val="none" w:sz="0" w:space="0" w:color="auto"/>
        <w:bottom w:val="none" w:sz="0" w:space="0" w:color="auto"/>
        <w:right w:val="none" w:sz="0" w:space="0" w:color="auto"/>
      </w:divBdr>
    </w:div>
    <w:div w:id="774639822">
      <w:bodyDiv w:val="1"/>
      <w:marLeft w:val="0"/>
      <w:marRight w:val="0"/>
      <w:marTop w:val="0"/>
      <w:marBottom w:val="0"/>
      <w:divBdr>
        <w:top w:val="none" w:sz="0" w:space="0" w:color="auto"/>
        <w:left w:val="none" w:sz="0" w:space="0" w:color="auto"/>
        <w:bottom w:val="none" w:sz="0" w:space="0" w:color="auto"/>
        <w:right w:val="none" w:sz="0" w:space="0" w:color="auto"/>
      </w:divBdr>
    </w:div>
    <w:div w:id="774904054">
      <w:bodyDiv w:val="1"/>
      <w:marLeft w:val="0"/>
      <w:marRight w:val="0"/>
      <w:marTop w:val="0"/>
      <w:marBottom w:val="0"/>
      <w:divBdr>
        <w:top w:val="none" w:sz="0" w:space="0" w:color="auto"/>
        <w:left w:val="none" w:sz="0" w:space="0" w:color="auto"/>
        <w:bottom w:val="none" w:sz="0" w:space="0" w:color="auto"/>
        <w:right w:val="none" w:sz="0" w:space="0" w:color="auto"/>
      </w:divBdr>
    </w:div>
    <w:div w:id="775178259">
      <w:bodyDiv w:val="1"/>
      <w:marLeft w:val="0"/>
      <w:marRight w:val="0"/>
      <w:marTop w:val="0"/>
      <w:marBottom w:val="0"/>
      <w:divBdr>
        <w:top w:val="none" w:sz="0" w:space="0" w:color="auto"/>
        <w:left w:val="none" w:sz="0" w:space="0" w:color="auto"/>
        <w:bottom w:val="none" w:sz="0" w:space="0" w:color="auto"/>
        <w:right w:val="none" w:sz="0" w:space="0" w:color="auto"/>
      </w:divBdr>
    </w:div>
    <w:div w:id="775372906">
      <w:bodyDiv w:val="1"/>
      <w:marLeft w:val="0"/>
      <w:marRight w:val="0"/>
      <w:marTop w:val="0"/>
      <w:marBottom w:val="0"/>
      <w:divBdr>
        <w:top w:val="none" w:sz="0" w:space="0" w:color="auto"/>
        <w:left w:val="none" w:sz="0" w:space="0" w:color="auto"/>
        <w:bottom w:val="none" w:sz="0" w:space="0" w:color="auto"/>
        <w:right w:val="none" w:sz="0" w:space="0" w:color="auto"/>
      </w:divBdr>
    </w:div>
    <w:div w:id="775952905">
      <w:bodyDiv w:val="1"/>
      <w:marLeft w:val="0"/>
      <w:marRight w:val="0"/>
      <w:marTop w:val="0"/>
      <w:marBottom w:val="0"/>
      <w:divBdr>
        <w:top w:val="none" w:sz="0" w:space="0" w:color="auto"/>
        <w:left w:val="none" w:sz="0" w:space="0" w:color="auto"/>
        <w:bottom w:val="none" w:sz="0" w:space="0" w:color="auto"/>
        <w:right w:val="none" w:sz="0" w:space="0" w:color="auto"/>
      </w:divBdr>
    </w:div>
    <w:div w:id="775978204">
      <w:bodyDiv w:val="1"/>
      <w:marLeft w:val="0"/>
      <w:marRight w:val="0"/>
      <w:marTop w:val="0"/>
      <w:marBottom w:val="0"/>
      <w:divBdr>
        <w:top w:val="none" w:sz="0" w:space="0" w:color="auto"/>
        <w:left w:val="none" w:sz="0" w:space="0" w:color="auto"/>
        <w:bottom w:val="none" w:sz="0" w:space="0" w:color="auto"/>
        <w:right w:val="none" w:sz="0" w:space="0" w:color="auto"/>
      </w:divBdr>
    </w:div>
    <w:div w:id="776372167">
      <w:bodyDiv w:val="1"/>
      <w:marLeft w:val="0"/>
      <w:marRight w:val="0"/>
      <w:marTop w:val="0"/>
      <w:marBottom w:val="0"/>
      <w:divBdr>
        <w:top w:val="none" w:sz="0" w:space="0" w:color="auto"/>
        <w:left w:val="none" w:sz="0" w:space="0" w:color="auto"/>
        <w:bottom w:val="none" w:sz="0" w:space="0" w:color="auto"/>
        <w:right w:val="none" w:sz="0" w:space="0" w:color="auto"/>
      </w:divBdr>
    </w:div>
    <w:div w:id="776799728">
      <w:bodyDiv w:val="1"/>
      <w:marLeft w:val="0"/>
      <w:marRight w:val="0"/>
      <w:marTop w:val="0"/>
      <w:marBottom w:val="0"/>
      <w:divBdr>
        <w:top w:val="none" w:sz="0" w:space="0" w:color="auto"/>
        <w:left w:val="none" w:sz="0" w:space="0" w:color="auto"/>
        <w:bottom w:val="none" w:sz="0" w:space="0" w:color="auto"/>
        <w:right w:val="none" w:sz="0" w:space="0" w:color="auto"/>
      </w:divBdr>
    </w:div>
    <w:div w:id="777061114">
      <w:bodyDiv w:val="1"/>
      <w:marLeft w:val="0"/>
      <w:marRight w:val="0"/>
      <w:marTop w:val="0"/>
      <w:marBottom w:val="0"/>
      <w:divBdr>
        <w:top w:val="none" w:sz="0" w:space="0" w:color="auto"/>
        <w:left w:val="none" w:sz="0" w:space="0" w:color="auto"/>
        <w:bottom w:val="none" w:sz="0" w:space="0" w:color="auto"/>
        <w:right w:val="none" w:sz="0" w:space="0" w:color="auto"/>
      </w:divBdr>
    </w:div>
    <w:div w:id="777675414">
      <w:bodyDiv w:val="1"/>
      <w:marLeft w:val="0"/>
      <w:marRight w:val="0"/>
      <w:marTop w:val="0"/>
      <w:marBottom w:val="0"/>
      <w:divBdr>
        <w:top w:val="none" w:sz="0" w:space="0" w:color="auto"/>
        <w:left w:val="none" w:sz="0" w:space="0" w:color="auto"/>
        <w:bottom w:val="none" w:sz="0" w:space="0" w:color="auto"/>
        <w:right w:val="none" w:sz="0" w:space="0" w:color="auto"/>
      </w:divBdr>
    </w:div>
    <w:div w:id="777717231">
      <w:bodyDiv w:val="1"/>
      <w:marLeft w:val="0"/>
      <w:marRight w:val="0"/>
      <w:marTop w:val="0"/>
      <w:marBottom w:val="0"/>
      <w:divBdr>
        <w:top w:val="none" w:sz="0" w:space="0" w:color="auto"/>
        <w:left w:val="none" w:sz="0" w:space="0" w:color="auto"/>
        <w:bottom w:val="none" w:sz="0" w:space="0" w:color="auto"/>
        <w:right w:val="none" w:sz="0" w:space="0" w:color="auto"/>
      </w:divBdr>
    </w:div>
    <w:div w:id="777726022">
      <w:bodyDiv w:val="1"/>
      <w:marLeft w:val="0"/>
      <w:marRight w:val="0"/>
      <w:marTop w:val="0"/>
      <w:marBottom w:val="0"/>
      <w:divBdr>
        <w:top w:val="none" w:sz="0" w:space="0" w:color="auto"/>
        <w:left w:val="none" w:sz="0" w:space="0" w:color="auto"/>
        <w:bottom w:val="none" w:sz="0" w:space="0" w:color="auto"/>
        <w:right w:val="none" w:sz="0" w:space="0" w:color="auto"/>
      </w:divBdr>
    </w:div>
    <w:div w:id="777992085">
      <w:bodyDiv w:val="1"/>
      <w:marLeft w:val="0"/>
      <w:marRight w:val="0"/>
      <w:marTop w:val="0"/>
      <w:marBottom w:val="0"/>
      <w:divBdr>
        <w:top w:val="none" w:sz="0" w:space="0" w:color="auto"/>
        <w:left w:val="none" w:sz="0" w:space="0" w:color="auto"/>
        <w:bottom w:val="none" w:sz="0" w:space="0" w:color="auto"/>
        <w:right w:val="none" w:sz="0" w:space="0" w:color="auto"/>
      </w:divBdr>
    </w:div>
    <w:div w:id="778138238">
      <w:bodyDiv w:val="1"/>
      <w:marLeft w:val="0"/>
      <w:marRight w:val="0"/>
      <w:marTop w:val="0"/>
      <w:marBottom w:val="0"/>
      <w:divBdr>
        <w:top w:val="none" w:sz="0" w:space="0" w:color="auto"/>
        <w:left w:val="none" w:sz="0" w:space="0" w:color="auto"/>
        <w:bottom w:val="none" w:sz="0" w:space="0" w:color="auto"/>
        <w:right w:val="none" w:sz="0" w:space="0" w:color="auto"/>
      </w:divBdr>
    </w:div>
    <w:div w:id="778449213">
      <w:bodyDiv w:val="1"/>
      <w:marLeft w:val="0"/>
      <w:marRight w:val="0"/>
      <w:marTop w:val="0"/>
      <w:marBottom w:val="0"/>
      <w:divBdr>
        <w:top w:val="none" w:sz="0" w:space="0" w:color="auto"/>
        <w:left w:val="none" w:sz="0" w:space="0" w:color="auto"/>
        <w:bottom w:val="none" w:sz="0" w:space="0" w:color="auto"/>
        <w:right w:val="none" w:sz="0" w:space="0" w:color="auto"/>
      </w:divBdr>
    </w:div>
    <w:div w:id="778987981">
      <w:bodyDiv w:val="1"/>
      <w:marLeft w:val="0"/>
      <w:marRight w:val="0"/>
      <w:marTop w:val="0"/>
      <w:marBottom w:val="0"/>
      <w:divBdr>
        <w:top w:val="none" w:sz="0" w:space="0" w:color="auto"/>
        <w:left w:val="none" w:sz="0" w:space="0" w:color="auto"/>
        <w:bottom w:val="none" w:sz="0" w:space="0" w:color="auto"/>
        <w:right w:val="none" w:sz="0" w:space="0" w:color="auto"/>
      </w:divBdr>
    </w:div>
    <w:div w:id="779686674">
      <w:bodyDiv w:val="1"/>
      <w:marLeft w:val="0"/>
      <w:marRight w:val="0"/>
      <w:marTop w:val="0"/>
      <w:marBottom w:val="0"/>
      <w:divBdr>
        <w:top w:val="none" w:sz="0" w:space="0" w:color="auto"/>
        <w:left w:val="none" w:sz="0" w:space="0" w:color="auto"/>
        <w:bottom w:val="none" w:sz="0" w:space="0" w:color="auto"/>
        <w:right w:val="none" w:sz="0" w:space="0" w:color="auto"/>
      </w:divBdr>
    </w:div>
    <w:div w:id="779910250">
      <w:bodyDiv w:val="1"/>
      <w:marLeft w:val="0"/>
      <w:marRight w:val="0"/>
      <w:marTop w:val="0"/>
      <w:marBottom w:val="0"/>
      <w:divBdr>
        <w:top w:val="none" w:sz="0" w:space="0" w:color="auto"/>
        <w:left w:val="none" w:sz="0" w:space="0" w:color="auto"/>
        <w:bottom w:val="none" w:sz="0" w:space="0" w:color="auto"/>
        <w:right w:val="none" w:sz="0" w:space="0" w:color="auto"/>
      </w:divBdr>
    </w:div>
    <w:div w:id="780151290">
      <w:bodyDiv w:val="1"/>
      <w:marLeft w:val="0"/>
      <w:marRight w:val="0"/>
      <w:marTop w:val="0"/>
      <w:marBottom w:val="0"/>
      <w:divBdr>
        <w:top w:val="none" w:sz="0" w:space="0" w:color="auto"/>
        <w:left w:val="none" w:sz="0" w:space="0" w:color="auto"/>
        <w:bottom w:val="none" w:sz="0" w:space="0" w:color="auto"/>
        <w:right w:val="none" w:sz="0" w:space="0" w:color="auto"/>
      </w:divBdr>
    </w:div>
    <w:div w:id="780226652">
      <w:bodyDiv w:val="1"/>
      <w:marLeft w:val="0"/>
      <w:marRight w:val="0"/>
      <w:marTop w:val="0"/>
      <w:marBottom w:val="0"/>
      <w:divBdr>
        <w:top w:val="none" w:sz="0" w:space="0" w:color="auto"/>
        <w:left w:val="none" w:sz="0" w:space="0" w:color="auto"/>
        <w:bottom w:val="none" w:sz="0" w:space="0" w:color="auto"/>
        <w:right w:val="none" w:sz="0" w:space="0" w:color="auto"/>
      </w:divBdr>
    </w:div>
    <w:div w:id="780536740">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0959312">
      <w:bodyDiv w:val="1"/>
      <w:marLeft w:val="0"/>
      <w:marRight w:val="0"/>
      <w:marTop w:val="0"/>
      <w:marBottom w:val="0"/>
      <w:divBdr>
        <w:top w:val="none" w:sz="0" w:space="0" w:color="auto"/>
        <w:left w:val="none" w:sz="0" w:space="0" w:color="auto"/>
        <w:bottom w:val="none" w:sz="0" w:space="0" w:color="auto"/>
        <w:right w:val="none" w:sz="0" w:space="0" w:color="auto"/>
      </w:divBdr>
    </w:div>
    <w:div w:id="781267764">
      <w:bodyDiv w:val="1"/>
      <w:marLeft w:val="0"/>
      <w:marRight w:val="0"/>
      <w:marTop w:val="0"/>
      <w:marBottom w:val="0"/>
      <w:divBdr>
        <w:top w:val="none" w:sz="0" w:space="0" w:color="auto"/>
        <w:left w:val="none" w:sz="0" w:space="0" w:color="auto"/>
        <w:bottom w:val="none" w:sz="0" w:space="0" w:color="auto"/>
        <w:right w:val="none" w:sz="0" w:space="0" w:color="auto"/>
      </w:divBdr>
    </w:div>
    <w:div w:id="781269184">
      <w:bodyDiv w:val="1"/>
      <w:marLeft w:val="0"/>
      <w:marRight w:val="0"/>
      <w:marTop w:val="0"/>
      <w:marBottom w:val="0"/>
      <w:divBdr>
        <w:top w:val="none" w:sz="0" w:space="0" w:color="auto"/>
        <w:left w:val="none" w:sz="0" w:space="0" w:color="auto"/>
        <w:bottom w:val="none" w:sz="0" w:space="0" w:color="auto"/>
        <w:right w:val="none" w:sz="0" w:space="0" w:color="auto"/>
      </w:divBdr>
    </w:div>
    <w:div w:id="781415268">
      <w:bodyDiv w:val="1"/>
      <w:marLeft w:val="0"/>
      <w:marRight w:val="0"/>
      <w:marTop w:val="0"/>
      <w:marBottom w:val="0"/>
      <w:divBdr>
        <w:top w:val="none" w:sz="0" w:space="0" w:color="auto"/>
        <w:left w:val="none" w:sz="0" w:space="0" w:color="auto"/>
        <w:bottom w:val="none" w:sz="0" w:space="0" w:color="auto"/>
        <w:right w:val="none" w:sz="0" w:space="0" w:color="auto"/>
      </w:divBdr>
    </w:div>
    <w:div w:id="781416548">
      <w:bodyDiv w:val="1"/>
      <w:marLeft w:val="0"/>
      <w:marRight w:val="0"/>
      <w:marTop w:val="0"/>
      <w:marBottom w:val="0"/>
      <w:divBdr>
        <w:top w:val="none" w:sz="0" w:space="0" w:color="auto"/>
        <w:left w:val="none" w:sz="0" w:space="0" w:color="auto"/>
        <w:bottom w:val="none" w:sz="0" w:space="0" w:color="auto"/>
        <w:right w:val="none" w:sz="0" w:space="0" w:color="auto"/>
      </w:divBdr>
    </w:div>
    <w:div w:id="781463759">
      <w:bodyDiv w:val="1"/>
      <w:marLeft w:val="0"/>
      <w:marRight w:val="0"/>
      <w:marTop w:val="0"/>
      <w:marBottom w:val="0"/>
      <w:divBdr>
        <w:top w:val="none" w:sz="0" w:space="0" w:color="auto"/>
        <w:left w:val="none" w:sz="0" w:space="0" w:color="auto"/>
        <w:bottom w:val="none" w:sz="0" w:space="0" w:color="auto"/>
        <w:right w:val="none" w:sz="0" w:space="0" w:color="auto"/>
      </w:divBdr>
    </w:div>
    <w:div w:id="781850604">
      <w:bodyDiv w:val="1"/>
      <w:marLeft w:val="0"/>
      <w:marRight w:val="0"/>
      <w:marTop w:val="0"/>
      <w:marBottom w:val="0"/>
      <w:divBdr>
        <w:top w:val="none" w:sz="0" w:space="0" w:color="auto"/>
        <w:left w:val="none" w:sz="0" w:space="0" w:color="auto"/>
        <w:bottom w:val="none" w:sz="0" w:space="0" w:color="auto"/>
        <w:right w:val="none" w:sz="0" w:space="0" w:color="auto"/>
      </w:divBdr>
    </w:div>
    <w:div w:id="782118865">
      <w:bodyDiv w:val="1"/>
      <w:marLeft w:val="0"/>
      <w:marRight w:val="0"/>
      <w:marTop w:val="0"/>
      <w:marBottom w:val="0"/>
      <w:divBdr>
        <w:top w:val="none" w:sz="0" w:space="0" w:color="auto"/>
        <w:left w:val="none" w:sz="0" w:space="0" w:color="auto"/>
        <w:bottom w:val="none" w:sz="0" w:space="0" w:color="auto"/>
        <w:right w:val="none" w:sz="0" w:space="0" w:color="auto"/>
      </w:divBdr>
    </w:div>
    <w:div w:id="782190173">
      <w:bodyDiv w:val="1"/>
      <w:marLeft w:val="0"/>
      <w:marRight w:val="0"/>
      <w:marTop w:val="0"/>
      <w:marBottom w:val="0"/>
      <w:divBdr>
        <w:top w:val="none" w:sz="0" w:space="0" w:color="auto"/>
        <w:left w:val="none" w:sz="0" w:space="0" w:color="auto"/>
        <w:bottom w:val="none" w:sz="0" w:space="0" w:color="auto"/>
        <w:right w:val="none" w:sz="0" w:space="0" w:color="auto"/>
      </w:divBdr>
    </w:div>
    <w:div w:id="782382827">
      <w:bodyDiv w:val="1"/>
      <w:marLeft w:val="0"/>
      <w:marRight w:val="0"/>
      <w:marTop w:val="0"/>
      <w:marBottom w:val="0"/>
      <w:divBdr>
        <w:top w:val="none" w:sz="0" w:space="0" w:color="auto"/>
        <w:left w:val="none" w:sz="0" w:space="0" w:color="auto"/>
        <w:bottom w:val="none" w:sz="0" w:space="0" w:color="auto"/>
        <w:right w:val="none" w:sz="0" w:space="0" w:color="auto"/>
      </w:divBdr>
    </w:div>
    <w:div w:id="782578505">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2919849">
      <w:bodyDiv w:val="1"/>
      <w:marLeft w:val="0"/>
      <w:marRight w:val="0"/>
      <w:marTop w:val="0"/>
      <w:marBottom w:val="0"/>
      <w:divBdr>
        <w:top w:val="none" w:sz="0" w:space="0" w:color="auto"/>
        <w:left w:val="none" w:sz="0" w:space="0" w:color="auto"/>
        <w:bottom w:val="none" w:sz="0" w:space="0" w:color="auto"/>
        <w:right w:val="none" w:sz="0" w:space="0" w:color="auto"/>
      </w:divBdr>
    </w:div>
    <w:div w:id="783236610">
      <w:bodyDiv w:val="1"/>
      <w:marLeft w:val="0"/>
      <w:marRight w:val="0"/>
      <w:marTop w:val="0"/>
      <w:marBottom w:val="0"/>
      <w:divBdr>
        <w:top w:val="none" w:sz="0" w:space="0" w:color="auto"/>
        <w:left w:val="none" w:sz="0" w:space="0" w:color="auto"/>
        <w:bottom w:val="none" w:sz="0" w:space="0" w:color="auto"/>
        <w:right w:val="none" w:sz="0" w:space="0" w:color="auto"/>
      </w:divBdr>
    </w:div>
    <w:div w:id="783690943">
      <w:bodyDiv w:val="1"/>
      <w:marLeft w:val="0"/>
      <w:marRight w:val="0"/>
      <w:marTop w:val="0"/>
      <w:marBottom w:val="0"/>
      <w:divBdr>
        <w:top w:val="none" w:sz="0" w:space="0" w:color="auto"/>
        <w:left w:val="none" w:sz="0" w:space="0" w:color="auto"/>
        <w:bottom w:val="none" w:sz="0" w:space="0" w:color="auto"/>
        <w:right w:val="none" w:sz="0" w:space="0" w:color="auto"/>
      </w:divBdr>
    </w:div>
    <w:div w:id="783696088">
      <w:bodyDiv w:val="1"/>
      <w:marLeft w:val="0"/>
      <w:marRight w:val="0"/>
      <w:marTop w:val="0"/>
      <w:marBottom w:val="0"/>
      <w:divBdr>
        <w:top w:val="none" w:sz="0" w:space="0" w:color="auto"/>
        <w:left w:val="none" w:sz="0" w:space="0" w:color="auto"/>
        <w:bottom w:val="none" w:sz="0" w:space="0" w:color="auto"/>
        <w:right w:val="none" w:sz="0" w:space="0" w:color="auto"/>
      </w:divBdr>
    </w:div>
    <w:div w:id="784350947">
      <w:bodyDiv w:val="1"/>
      <w:marLeft w:val="0"/>
      <w:marRight w:val="0"/>
      <w:marTop w:val="0"/>
      <w:marBottom w:val="0"/>
      <w:divBdr>
        <w:top w:val="none" w:sz="0" w:space="0" w:color="auto"/>
        <w:left w:val="none" w:sz="0" w:space="0" w:color="auto"/>
        <w:bottom w:val="none" w:sz="0" w:space="0" w:color="auto"/>
        <w:right w:val="none" w:sz="0" w:space="0" w:color="auto"/>
      </w:divBdr>
    </w:div>
    <w:div w:id="784422510">
      <w:bodyDiv w:val="1"/>
      <w:marLeft w:val="0"/>
      <w:marRight w:val="0"/>
      <w:marTop w:val="0"/>
      <w:marBottom w:val="0"/>
      <w:divBdr>
        <w:top w:val="none" w:sz="0" w:space="0" w:color="auto"/>
        <w:left w:val="none" w:sz="0" w:space="0" w:color="auto"/>
        <w:bottom w:val="none" w:sz="0" w:space="0" w:color="auto"/>
        <w:right w:val="none" w:sz="0" w:space="0" w:color="auto"/>
      </w:divBdr>
    </w:div>
    <w:div w:id="785002858">
      <w:bodyDiv w:val="1"/>
      <w:marLeft w:val="0"/>
      <w:marRight w:val="0"/>
      <w:marTop w:val="0"/>
      <w:marBottom w:val="0"/>
      <w:divBdr>
        <w:top w:val="none" w:sz="0" w:space="0" w:color="auto"/>
        <w:left w:val="none" w:sz="0" w:space="0" w:color="auto"/>
        <w:bottom w:val="none" w:sz="0" w:space="0" w:color="auto"/>
        <w:right w:val="none" w:sz="0" w:space="0" w:color="auto"/>
      </w:divBdr>
    </w:div>
    <w:div w:id="785273037">
      <w:bodyDiv w:val="1"/>
      <w:marLeft w:val="0"/>
      <w:marRight w:val="0"/>
      <w:marTop w:val="0"/>
      <w:marBottom w:val="0"/>
      <w:divBdr>
        <w:top w:val="none" w:sz="0" w:space="0" w:color="auto"/>
        <w:left w:val="none" w:sz="0" w:space="0" w:color="auto"/>
        <w:bottom w:val="none" w:sz="0" w:space="0" w:color="auto"/>
        <w:right w:val="none" w:sz="0" w:space="0" w:color="auto"/>
      </w:divBdr>
    </w:div>
    <w:div w:id="785466689">
      <w:bodyDiv w:val="1"/>
      <w:marLeft w:val="0"/>
      <w:marRight w:val="0"/>
      <w:marTop w:val="0"/>
      <w:marBottom w:val="0"/>
      <w:divBdr>
        <w:top w:val="none" w:sz="0" w:space="0" w:color="auto"/>
        <w:left w:val="none" w:sz="0" w:space="0" w:color="auto"/>
        <w:bottom w:val="none" w:sz="0" w:space="0" w:color="auto"/>
        <w:right w:val="none" w:sz="0" w:space="0" w:color="auto"/>
      </w:divBdr>
    </w:div>
    <w:div w:id="785655431">
      <w:bodyDiv w:val="1"/>
      <w:marLeft w:val="0"/>
      <w:marRight w:val="0"/>
      <w:marTop w:val="0"/>
      <w:marBottom w:val="0"/>
      <w:divBdr>
        <w:top w:val="none" w:sz="0" w:space="0" w:color="auto"/>
        <w:left w:val="none" w:sz="0" w:space="0" w:color="auto"/>
        <w:bottom w:val="none" w:sz="0" w:space="0" w:color="auto"/>
        <w:right w:val="none" w:sz="0" w:space="0" w:color="auto"/>
      </w:divBdr>
    </w:div>
    <w:div w:id="785735489">
      <w:bodyDiv w:val="1"/>
      <w:marLeft w:val="0"/>
      <w:marRight w:val="0"/>
      <w:marTop w:val="0"/>
      <w:marBottom w:val="0"/>
      <w:divBdr>
        <w:top w:val="none" w:sz="0" w:space="0" w:color="auto"/>
        <w:left w:val="none" w:sz="0" w:space="0" w:color="auto"/>
        <w:bottom w:val="none" w:sz="0" w:space="0" w:color="auto"/>
        <w:right w:val="none" w:sz="0" w:space="0" w:color="auto"/>
      </w:divBdr>
    </w:div>
    <w:div w:id="785928333">
      <w:bodyDiv w:val="1"/>
      <w:marLeft w:val="0"/>
      <w:marRight w:val="0"/>
      <w:marTop w:val="0"/>
      <w:marBottom w:val="0"/>
      <w:divBdr>
        <w:top w:val="none" w:sz="0" w:space="0" w:color="auto"/>
        <w:left w:val="none" w:sz="0" w:space="0" w:color="auto"/>
        <w:bottom w:val="none" w:sz="0" w:space="0" w:color="auto"/>
        <w:right w:val="none" w:sz="0" w:space="0" w:color="auto"/>
      </w:divBdr>
    </w:div>
    <w:div w:id="786587614">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7239651">
      <w:bodyDiv w:val="1"/>
      <w:marLeft w:val="0"/>
      <w:marRight w:val="0"/>
      <w:marTop w:val="0"/>
      <w:marBottom w:val="0"/>
      <w:divBdr>
        <w:top w:val="none" w:sz="0" w:space="0" w:color="auto"/>
        <w:left w:val="none" w:sz="0" w:space="0" w:color="auto"/>
        <w:bottom w:val="none" w:sz="0" w:space="0" w:color="auto"/>
        <w:right w:val="none" w:sz="0" w:space="0" w:color="auto"/>
      </w:divBdr>
    </w:div>
    <w:div w:id="787285509">
      <w:bodyDiv w:val="1"/>
      <w:marLeft w:val="0"/>
      <w:marRight w:val="0"/>
      <w:marTop w:val="0"/>
      <w:marBottom w:val="0"/>
      <w:divBdr>
        <w:top w:val="none" w:sz="0" w:space="0" w:color="auto"/>
        <w:left w:val="none" w:sz="0" w:space="0" w:color="auto"/>
        <w:bottom w:val="none" w:sz="0" w:space="0" w:color="auto"/>
        <w:right w:val="none" w:sz="0" w:space="0" w:color="auto"/>
      </w:divBdr>
    </w:div>
    <w:div w:id="787578316">
      <w:bodyDiv w:val="1"/>
      <w:marLeft w:val="0"/>
      <w:marRight w:val="0"/>
      <w:marTop w:val="0"/>
      <w:marBottom w:val="0"/>
      <w:divBdr>
        <w:top w:val="none" w:sz="0" w:space="0" w:color="auto"/>
        <w:left w:val="none" w:sz="0" w:space="0" w:color="auto"/>
        <w:bottom w:val="none" w:sz="0" w:space="0" w:color="auto"/>
        <w:right w:val="none" w:sz="0" w:space="0" w:color="auto"/>
      </w:divBdr>
    </w:div>
    <w:div w:id="787815187">
      <w:bodyDiv w:val="1"/>
      <w:marLeft w:val="0"/>
      <w:marRight w:val="0"/>
      <w:marTop w:val="0"/>
      <w:marBottom w:val="0"/>
      <w:divBdr>
        <w:top w:val="none" w:sz="0" w:space="0" w:color="auto"/>
        <w:left w:val="none" w:sz="0" w:space="0" w:color="auto"/>
        <w:bottom w:val="none" w:sz="0" w:space="0" w:color="auto"/>
        <w:right w:val="none" w:sz="0" w:space="0" w:color="auto"/>
      </w:divBdr>
    </w:div>
    <w:div w:id="788477324">
      <w:bodyDiv w:val="1"/>
      <w:marLeft w:val="0"/>
      <w:marRight w:val="0"/>
      <w:marTop w:val="0"/>
      <w:marBottom w:val="0"/>
      <w:divBdr>
        <w:top w:val="none" w:sz="0" w:space="0" w:color="auto"/>
        <w:left w:val="none" w:sz="0" w:space="0" w:color="auto"/>
        <w:bottom w:val="none" w:sz="0" w:space="0" w:color="auto"/>
        <w:right w:val="none" w:sz="0" w:space="0" w:color="auto"/>
      </w:divBdr>
    </w:div>
    <w:div w:id="788551659">
      <w:bodyDiv w:val="1"/>
      <w:marLeft w:val="0"/>
      <w:marRight w:val="0"/>
      <w:marTop w:val="0"/>
      <w:marBottom w:val="0"/>
      <w:divBdr>
        <w:top w:val="none" w:sz="0" w:space="0" w:color="auto"/>
        <w:left w:val="none" w:sz="0" w:space="0" w:color="auto"/>
        <w:bottom w:val="none" w:sz="0" w:space="0" w:color="auto"/>
        <w:right w:val="none" w:sz="0" w:space="0" w:color="auto"/>
      </w:divBdr>
    </w:div>
    <w:div w:id="788553225">
      <w:bodyDiv w:val="1"/>
      <w:marLeft w:val="0"/>
      <w:marRight w:val="0"/>
      <w:marTop w:val="0"/>
      <w:marBottom w:val="0"/>
      <w:divBdr>
        <w:top w:val="none" w:sz="0" w:space="0" w:color="auto"/>
        <w:left w:val="none" w:sz="0" w:space="0" w:color="auto"/>
        <w:bottom w:val="none" w:sz="0" w:space="0" w:color="auto"/>
        <w:right w:val="none" w:sz="0" w:space="0" w:color="auto"/>
      </w:divBdr>
    </w:div>
    <w:div w:id="788862443">
      <w:bodyDiv w:val="1"/>
      <w:marLeft w:val="0"/>
      <w:marRight w:val="0"/>
      <w:marTop w:val="0"/>
      <w:marBottom w:val="0"/>
      <w:divBdr>
        <w:top w:val="none" w:sz="0" w:space="0" w:color="auto"/>
        <w:left w:val="none" w:sz="0" w:space="0" w:color="auto"/>
        <w:bottom w:val="none" w:sz="0" w:space="0" w:color="auto"/>
        <w:right w:val="none" w:sz="0" w:space="0" w:color="auto"/>
      </w:divBdr>
    </w:div>
    <w:div w:id="789475990">
      <w:bodyDiv w:val="1"/>
      <w:marLeft w:val="0"/>
      <w:marRight w:val="0"/>
      <w:marTop w:val="0"/>
      <w:marBottom w:val="0"/>
      <w:divBdr>
        <w:top w:val="none" w:sz="0" w:space="0" w:color="auto"/>
        <w:left w:val="none" w:sz="0" w:space="0" w:color="auto"/>
        <w:bottom w:val="none" w:sz="0" w:space="0" w:color="auto"/>
        <w:right w:val="none" w:sz="0" w:space="0" w:color="auto"/>
      </w:divBdr>
    </w:div>
    <w:div w:id="789783031">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790633573">
      <w:bodyDiv w:val="1"/>
      <w:marLeft w:val="0"/>
      <w:marRight w:val="0"/>
      <w:marTop w:val="0"/>
      <w:marBottom w:val="0"/>
      <w:divBdr>
        <w:top w:val="none" w:sz="0" w:space="0" w:color="auto"/>
        <w:left w:val="none" w:sz="0" w:space="0" w:color="auto"/>
        <w:bottom w:val="none" w:sz="0" w:space="0" w:color="auto"/>
        <w:right w:val="none" w:sz="0" w:space="0" w:color="auto"/>
      </w:divBdr>
    </w:div>
    <w:div w:id="790637732">
      <w:bodyDiv w:val="1"/>
      <w:marLeft w:val="0"/>
      <w:marRight w:val="0"/>
      <w:marTop w:val="0"/>
      <w:marBottom w:val="0"/>
      <w:divBdr>
        <w:top w:val="none" w:sz="0" w:space="0" w:color="auto"/>
        <w:left w:val="none" w:sz="0" w:space="0" w:color="auto"/>
        <w:bottom w:val="none" w:sz="0" w:space="0" w:color="auto"/>
        <w:right w:val="none" w:sz="0" w:space="0" w:color="auto"/>
      </w:divBdr>
    </w:div>
    <w:div w:id="790904972">
      <w:bodyDiv w:val="1"/>
      <w:marLeft w:val="0"/>
      <w:marRight w:val="0"/>
      <w:marTop w:val="0"/>
      <w:marBottom w:val="0"/>
      <w:divBdr>
        <w:top w:val="none" w:sz="0" w:space="0" w:color="auto"/>
        <w:left w:val="none" w:sz="0" w:space="0" w:color="auto"/>
        <w:bottom w:val="none" w:sz="0" w:space="0" w:color="auto"/>
        <w:right w:val="none" w:sz="0" w:space="0" w:color="auto"/>
      </w:divBdr>
    </w:div>
    <w:div w:id="791095859">
      <w:bodyDiv w:val="1"/>
      <w:marLeft w:val="0"/>
      <w:marRight w:val="0"/>
      <w:marTop w:val="0"/>
      <w:marBottom w:val="0"/>
      <w:divBdr>
        <w:top w:val="none" w:sz="0" w:space="0" w:color="auto"/>
        <w:left w:val="none" w:sz="0" w:space="0" w:color="auto"/>
        <w:bottom w:val="none" w:sz="0" w:space="0" w:color="auto"/>
        <w:right w:val="none" w:sz="0" w:space="0" w:color="auto"/>
      </w:divBdr>
    </w:div>
    <w:div w:id="791284000">
      <w:bodyDiv w:val="1"/>
      <w:marLeft w:val="0"/>
      <w:marRight w:val="0"/>
      <w:marTop w:val="0"/>
      <w:marBottom w:val="0"/>
      <w:divBdr>
        <w:top w:val="none" w:sz="0" w:space="0" w:color="auto"/>
        <w:left w:val="none" w:sz="0" w:space="0" w:color="auto"/>
        <w:bottom w:val="none" w:sz="0" w:space="0" w:color="auto"/>
        <w:right w:val="none" w:sz="0" w:space="0" w:color="auto"/>
      </w:divBdr>
    </w:div>
    <w:div w:id="791478788">
      <w:bodyDiv w:val="1"/>
      <w:marLeft w:val="0"/>
      <w:marRight w:val="0"/>
      <w:marTop w:val="0"/>
      <w:marBottom w:val="0"/>
      <w:divBdr>
        <w:top w:val="none" w:sz="0" w:space="0" w:color="auto"/>
        <w:left w:val="none" w:sz="0" w:space="0" w:color="auto"/>
        <w:bottom w:val="none" w:sz="0" w:space="0" w:color="auto"/>
        <w:right w:val="none" w:sz="0" w:space="0" w:color="auto"/>
      </w:divBdr>
    </w:div>
    <w:div w:id="791945897">
      <w:bodyDiv w:val="1"/>
      <w:marLeft w:val="0"/>
      <w:marRight w:val="0"/>
      <w:marTop w:val="0"/>
      <w:marBottom w:val="0"/>
      <w:divBdr>
        <w:top w:val="none" w:sz="0" w:space="0" w:color="auto"/>
        <w:left w:val="none" w:sz="0" w:space="0" w:color="auto"/>
        <w:bottom w:val="none" w:sz="0" w:space="0" w:color="auto"/>
        <w:right w:val="none" w:sz="0" w:space="0" w:color="auto"/>
      </w:divBdr>
    </w:div>
    <w:div w:id="792092745">
      <w:bodyDiv w:val="1"/>
      <w:marLeft w:val="0"/>
      <w:marRight w:val="0"/>
      <w:marTop w:val="0"/>
      <w:marBottom w:val="0"/>
      <w:divBdr>
        <w:top w:val="none" w:sz="0" w:space="0" w:color="auto"/>
        <w:left w:val="none" w:sz="0" w:space="0" w:color="auto"/>
        <w:bottom w:val="none" w:sz="0" w:space="0" w:color="auto"/>
        <w:right w:val="none" w:sz="0" w:space="0" w:color="auto"/>
      </w:divBdr>
    </w:div>
    <w:div w:id="792595804">
      <w:bodyDiv w:val="1"/>
      <w:marLeft w:val="0"/>
      <w:marRight w:val="0"/>
      <w:marTop w:val="0"/>
      <w:marBottom w:val="0"/>
      <w:divBdr>
        <w:top w:val="none" w:sz="0" w:space="0" w:color="auto"/>
        <w:left w:val="none" w:sz="0" w:space="0" w:color="auto"/>
        <w:bottom w:val="none" w:sz="0" w:space="0" w:color="auto"/>
        <w:right w:val="none" w:sz="0" w:space="0" w:color="auto"/>
      </w:divBdr>
    </w:div>
    <w:div w:id="793211930">
      <w:bodyDiv w:val="1"/>
      <w:marLeft w:val="0"/>
      <w:marRight w:val="0"/>
      <w:marTop w:val="0"/>
      <w:marBottom w:val="0"/>
      <w:divBdr>
        <w:top w:val="none" w:sz="0" w:space="0" w:color="auto"/>
        <w:left w:val="none" w:sz="0" w:space="0" w:color="auto"/>
        <w:bottom w:val="none" w:sz="0" w:space="0" w:color="auto"/>
        <w:right w:val="none" w:sz="0" w:space="0" w:color="auto"/>
      </w:divBdr>
    </w:div>
    <w:div w:id="793525832">
      <w:bodyDiv w:val="1"/>
      <w:marLeft w:val="0"/>
      <w:marRight w:val="0"/>
      <w:marTop w:val="0"/>
      <w:marBottom w:val="0"/>
      <w:divBdr>
        <w:top w:val="none" w:sz="0" w:space="0" w:color="auto"/>
        <w:left w:val="none" w:sz="0" w:space="0" w:color="auto"/>
        <w:bottom w:val="none" w:sz="0" w:space="0" w:color="auto"/>
        <w:right w:val="none" w:sz="0" w:space="0" w:color="auto"/>
      </w:divBdr>
    </w:div>
    <w:div w:id="793599712">
      <w:bodyDiv w:val="1"/>
      <w:marLeft w:val="0"/>
      <w:marRight w:val="0"/>
      <w:marTop w:val="0"/>
      <w:marBottom w:val="0"/>
      <w:divBdr>
        <w:top w:val="none" w:sz="0" w:space="0" w:color="auto"/>
        <w:left w:val="none" w:sz="0" w:space="0" w:color="auto"/>
        <w:bottom w:val="none" w:sz="0" w:space="0" w:color="auto"/>
        <w:right w:val="none" w:sz="0" w:space="0" w:color="auto"/>
      </w:divBdr>
    </w:div>
    <w:div w:id="794328149">
      <w:bodyDiv w:val="1"/>
      <w:marLeft w:val="0"/>
      <w:marRight w:val="0"/>
      <w:marTop w:val="0"/>
      <w:marBottom w:val="0"/>
      <w:divBdr>
        <w:top w:val="none" w:sz="0" w:space="0" w:color="auto"/>
        <w:left w:val="none" w:sz="0" w:space="0" w:color="auto"/>
        <w:bottom w:val="none" w:sz="0" w:space="0" w:color="auto"/>
        <w:right w:val="none" w:sz="0" w:space="0" w:color="auto"/>
      </w:divBdr>
    </w:div>
    <w:div w:id="794635944">
      <w:bodyDiv w:val="1"/>
      <w:marLeft w:val="0"/>
      <w:marRight w:val="0"/>
      <w:marTop w:val="0"/>
      <w:marBottom w:val="0"/>
      <w:divBdr>
        <w:top w:val="none" w:sz="0" w:space="0" w:color="auto"/>
        <w:left w:val="none" w:sz="0" w:space="0" w:color="auto"/>
        <w:bottom w:val="none" w:sz="0" w:space="0" w:color="auto"/>
        <w:right w:val="none" w:sz="0" w:space="0" w:color="auto"/>
      </w:divBdr>
    </w:div>
    <w:div w:id="794907584">
      <w:bodyDiv w:val="1"/>
      <w:marLeft w:val="0"/>
      <w:marRight w:val="0"/>
      <w:marTop w:val="0"/>
      <w:marBottom w:val="0"/>
      <w:divBdr>
        <w:top w:val="none" w:sz="0" w:space="0" w:color="auto"/>
        <w:left w:val="none" w:sz="0" w:space="0" w:color="auto"/>
        <w:bottom w:val="none" w:sz="0" w:space="0" w:color="auto"/>
        <w:right w:val="none" w:sz="0" w:space="0" w:color="auto"/>
      </w:divBdr>
    </w:div>
    <w:div w:id="795023332">
      <w:bodyDiv w:val="1"/>
      <w:marLeft w:val="0"/>
      <w:marRight w:val="0"/>
      <w:marTop w:val="0"/>
      <w:marBottom w:val="0"/>
      <w:divBdr>
        <w:top w:val="none" w:sz="0" w:space="0" w:color="auto"/>
        <w:left w:val="none" w:sz="0" w:space="0" w:color="auto"/>
        <w:bottom w:val="none" w:sz="0" w:space="0" w:color="auto"/>
        <w:right w:val="none" w:sz="0" w:space="0" w:color="auto"/>
      </w:divBdr>
    </w:div>
    <w:div w:id="795100518">
      <w:bodyDiv w:val="1"/>
      <w:marLeft w:val="0"/>
      <w:marRight w:val="0"/>
      <w:marTop w:val="0"/>
      <w:marBottom w:val="0"/>
      <w:divBdr>
        <w:top w:val="none" w:sz="0" w:space="0" w:color="auto"/>
        <w:left w:val="none" w:sz="0" w:space="0" w:color="auto"/>
        <w:bottom w:val="none" w:sz="0" w:space="0" w:color="auto"/>
        <w:right w:val="none" w:sz="0" w:space="0" w:color="auto"/>
      </w:divBdr>
    </w:div>
    <w:div w:id="795752535">
      <w:bodyDiv w:val="1"/>
      <w:marLeft w:val="0"/>
      <w:marRight w:val="0"/>
      <w:marTop w:val="0"/>
      <w:marBottom w:val="0"/>
      <w:divBdr>
        <w:top w:val="none" w:sz="0" w:space="0" w:color="auto"/>
        <w:left w:val="none" w:sz="0" w:space="0" w:color="auto"/>
        <w:bottom w:val="none" w:sz="0" w:space="0" w:color="auto"/>
        <w:right w:val="none" w:sz="0" w:space="0" w:color="auto"/>
      </w:divBdr>
    </w:div>
    <w:div w:id="795946943">
      <w:bodyDiv w:val="1"/>
      <w:marLeft w:val="0"/>
      <w:marRight w:val="0"/>
      <w:marTop w:val="0"/>
      <w:marBottom w:val="0"/>
      <w:divBdr>
        <w:top w:val="none" w:sz="0" w:space="0" w:color="auto"/>
        <w:left w:val="none" w:sz="0" w:space="0" w:color="auto"/>
        <w:bottom w:val="none" w:sz="0" w:space="0" w:color="auto"/>
        <w:right w:val="none" w:sz="0" w:space="0" w:color="auto"/>
      </w:divBdr>
    </w:div>
    <w:div w:id="795952773">
      <w:bodyDiv w:val="1"/>
      <w:marLeft w:val="0"/>
      <w:marRight w:val="0"/>
      <w:marTop w:val="0"/>
      <w:marBottom w:val="0"/>
      <w:divBdr>
        <w:top w:val="none" w:sz="0" w:space="0" w:color="auto"/>
        <w:left w:val="none" w:sz="0" w:space="0" w:color="auto"/>
        <w:bottom w:val="none" w:sz="0" w:space="0" w:color="auto"/>
        <w:right w:val="none" w:sz="0" w:space="0" w:color="auto"/>
      </w:divBdr>
    </w:div>
    <w:div w:id="796027666">
      <w:bodyDiv w:val="1"/>
      <w:marLeft w:val="0"/>
      <w:marRight w:val="0"/>
      <w:marTop w:val="0"/>
      <w:marBottom w:val="0"/>
      <w:divBdr>
        <w:top w:val="none" w:sz="0" w:space="0" w:color="auto"/>
        <w:left w:val="none" w:sz="0" w:space="0" w:color="auto"/>
        <w:bottom w:val="none" w:sz="0" w:space="0" w:color="auto"/>
        <w:right w:val="none" w:sz="0" w:space="0" w:color="auto"/>
      </w:divBdr>
    </w:div>
    <w:div w:id="796414729">
      <w:bodyDiv w:val="1"/>
      <w:marLeft w:val="0"/>
      <w:marRight w:val="0"/>
      <w:marTop w:val="0"/>
      <w:marBottom w:val="0"/>
      <w:divBdr>
        <w:top w:val="none" w:sz="0" w:space="0" w:color="auto"/>
        <w:left w:val="none" w:sz="0" w:space="0" w:color="auto"/>
        <w:bottom w:val="none" w:sz="0" w:space="0" w:color="auto"/>
        <w:right w:val="none" w:sz="0" w:space="0" w:color="auto"/>
      </w:divBdr>
    </w:div>
    <w:div w:id="796528434">
      <w:bodyDiv w:val="1"/>
      <w:marLeft w:val="0"/>
      <w:marRight w:val="0"/>
      <w:marTop w:val="0"/>
      <w:marBottom w:val="0"/>
      <w:divBdr>
        <w:top w:val="none" w:sz="0" w:space="0" w:color="auto"/>
        <w:left w:val="none" w:sz="0" w:space="0" w:color="auto"/>
        <w:bottom w:val="none" w:sz="0" w:space="0" w:color="auto"/>
        <w:right w:val="none" w:sz="0" w:space="0" w:color="auto"/>
      </w:divBdr>
    </w:div>
    <w:div w:id="796996239">
      <w:bodyDiv w:val="1"/>
      <w:marLeft w:val="0"/>
      <w:marRight w:val="0"/>
      <w:marTop w:val="0"/>
      <w:marBottom w:val="0"/>
      <w:divBdr>
        <w:top w:val="none" w:sz="0" w:space="0" w:color="auto"/>
        <w:left w:val="none" w:sz="0" w:space="0" w:color="auto"/>
        <w:bottom w:val="none" w:sz="0" w:space="0" w:color="auto"/>
        <w:right w:val="none" w:sz="0" w:space="0" w:color="auto"/>
      </w:divBdr>
    </w:div>
    <w:div w:id="797143678">
      <w:bodyDiv w:val="1"/>
      <w:marLeft w:val="0"/>
      <w:marRight w:val="0"/>
      <w:marTop w:val="0"/>
      <w:marBottom w:val="0"/>
      <w:divBdr>
        <w:top w:val="none" w:sz="0" w:space="0" w:color="auto"/>
        <w:left w:val="none" w:sz="0" w:space="0" w:color="auto"/>
        <w:bottom w:val="none" w:sz="0" w:space="0" w:color="auto"/>
        <w:right w:val="none" w:sz="0" w:space="0" w:color="auto"/>
      </w:divBdr>
    </w:div>
    <w:div w:id="797645410">
      <w:bodyDiv w:val="1"/>
      <w:marLeft w:val="0"/>
      <w:marRight w:val="0"/>
      <w:marTop w:val="0"/>
      <w:marBottom w:val="0"/>
      <w:divBdr>
        <w:top w:val="none" w:sz="0" w:space="0" w:color="auto"/>
        <w:left w:val="none" w:sz="0" w:space="0" w:color="auto"/>
        <w:bottom w:val="none" w:sz="0" w:space="0" w:color="auto"/>
        <w:right w:val="none" w:sz="0" w:space="0" w:color="auto"/>
      </w:divBdr>
    </w:div>
    <w:div w:id="798064173">
      <w:bodyDiv w:val="1"/>
      <w:marLeft w:val="0"/>
      <w:marRight w:val="0"/>
      <w:marTop w:val="0"/>
      <w:marBottom w:val="0"/>
      <w:divBdr>
        <w:top w:val="none" w:sz="0" w:space="0" w:color="auto"/>
        <w:left w:val="none" w:sz="0" w:space="0" w:color="auto"/>
        <w:bottom w:val="none" w:sz="0" w:space="0" w:color="auto"/>
        <w:right w:val="none" w:sz="0" w:space="0" w:color="auto"/>
      </w:divBdr>
    </w:div>
    <w:div w:id="798105157">
      <w:bodyDiv w:val="1"/>
      <w:marLeft w:val="0"/>
      <w:marRight w:val="0"/>
      <w:marTop w:val="0"/>
      <w:marBottom w:val="0"/>
      <w:divBdr>
        <w:top w:val="none" w:sz="0" w:space="0" w:color="auto"/>
        <w:left w:val="none" w:sz="0" w:space="0" w:color="auto"/>
        <w:bottom w:val="none" w:sz="0" w:space="0" w:color="auto"/>
        <w:right w:val="none" w:sz="0" w:space="0" w:color="auto"/>
      </w:divBdr>
    </w:div>
    <w:div w:id="798375409">
      <w:bodyDiv w:val="1"/>
      <w:marLeft w:val="0"/>
      <w:marRight w:val="0"/>
      <w:marTop w:val="0"/>
      <w:marBottom w:val="0"/>
      <w:divBdr>
        <w:top w:val="none" w:sz="0" w:space="0" w:color="auto"/>
        <w:left w:val="none" w:sz="0" w:space="0" w:color="auto"/>
        <w:bottom w:val="none" w:sz="0" w:space="0" w:color="auto"/>
        <w:right w:val="none" w:sz="0" w:space="0" w:color="auto"/>
      </w:divBdr>
    </w:div>
    <w:div w:id="798493272">
      <w:bodyDiv w:val="1"/>
      <w:marLeft w:val="0"/>
      <w:marRight w:val="0"/>
      <w:marTop w:val="0"/>
      <w:marBottom w:val="0"/>
      <w:divBdr>
        <w:top w:val="none" w:sz="0" w:space="0" w:color="auto"/>
        <w:left w:val="none" w:sz="0" w:space="0" w:color="auto"/>
        <w:bottom w:val="none" w:sz="0" w:space="0" w:color="auto"/>
        <w:right w:val="none" w:sz="0" w:space="0" w:color="auto"/>
      </w:divBdr>
    </w:div>
    <w:div w:id="799033355">
      <w:bodyDiv w:val="1"/>
      <w:marLeft w:val="0"/>
      <w:marRight w:val="0"/>
      <w:marTop w:val="0"/>
      <w:marBottom w:val="0"/>
      <w:divBdr>
        <w:top w:val="none" w:sz="0" w:space="0" w:color="auto"/>
        <w:left w:val="none" w:sz="0" w:space="0" w:color="auto"/>
        <w:bottom w:val="none" w:sz="0" w:space="0" w:color="auto"/>
        <w:right w:val="none" w:sz="0" w:space="0" w:color="auto"/>
      </w:divBdr>
    </w:div>
    <w:div w:id="799223147">
      <w:bodyDiv w:val="1"/>
      <w:marLeft w:val="0"/>
      <w:marRight w:val="0"/>
      <w:marTop w:val="0"/>
      <w:marBottom w:val="0"/>
      <w:divBdr>
        <w:top w:val="none" w:sz="0" w:space="0" w:color="auto"/>
        <w:left w:val="none" w:sz="0" w:space="0" w:color="auto"/>
        <w:bottom w:val="none" w:sz="0" w:space="0" w:color="auto"/>
        <w:right w:val="none" w:sz="0" w:space="0" w:color="auto"/>
      </w:divBdr>
    </w:div>
    <w:div w:id="799618249">
      <w:bodyDiv w:val="1"/>
      <w:marLeft w:val="0"/>
      <w:marRight w:val="0"/>
      <w:marTop w:val="0"/>
      <w:marBottom w:val="0"/>
      <w:divBdr>
        <w:top w:val="none" w:sz="0" w:space="0" w:color="auto"/>
        <w:left w:val="none" w:sz="0" w:space="0" w:color="auto"/>
        <w:bottom w:val="none" w:sz="0" w:space="0" w:color="auto"/>
        <w:right w:val="none" w:sz="0" w:space="0" w:color="auto"/>
      </w:divBdr>
    </w:div>
    <w:div w:id="799885629">
      <w:bodyDiv w:val="1"/>
      <w:marLeft w:val="0"/>
      <w:marRight w:val="0"/>
      <w:marTop w:val="0"/>
      <w:marBottom w:val="0"/>
      <w:divBdr>
        <w:top w:val="none" w:sz="0" w:space="0" w:color="auto"/>
        <w:left w:val="none" w:sz="0" w:space="0" w:color="auto"/>
        <w:bottom w:val="none" w:sz="0" w:space="0" w:color="auto"/>
        <w:right w:val="none" w:sz="0" w:space="0" w:color="auto"/>
      </w:divBdr>
    </w:div>
    <w:div w:id="799959491">
      <w:bodyDiv w:val="1"/>
      <w:marLeft w:val="0"/>
      <w:marRight w:val="0"/>
      <w:marTop w:val="0"/>
      <w:marBottom w:val="0"/>
      <w:divBdr>
        <w:top w:val="none" w:sz="0" w:space="0" w:color="auto"/>
        <w:left w:val="none" w:sz="0" w:space="0" w:color="auto"/>
        <w:bottom w:val="none" w:sz="0" w:space="0" w:color="auto"/>
        <w:right w:val="none" w:sz="0" w:space="0" w:color="auto"/>
      </w:divBdr>
    </w:div>
    <w:div w:id="800076238">
      <w:bodyDiv w:val="1"/>
      <w:marLeft w:val="0"/>
      <w:marRight w:val="0"/>
      <w:marTop w:val="0"/>
      <w:marBottom w:val="0"/>
      <w:divBdr>
        <w:top w:val="none" w:sz="0" w:space="0" w:color="auto"/>
        <w:left w:val="none" w:sz="0" w:space="0" w:color="auto"/>
        <w:bottom w:val="none" w:sz="0" w:space="0" w:color="auto"/>
        <w:right w:val="none" w:sz="0" w:space="0" w:color="auto"/>
      </w:divBdr>
    </w:div>
    <w:div w:id="800684542">
      <w:bodyDiv w:val="1"/>
      <w:marLeft w:val="0"/>
      <w:marRight w:val="0"/>
      <w:marTop w:val="0"/>
      <w:marBottom w:val="0"/>
      <w:divBdr>
        <w:top w:val="none" w:sz="0" w:space="0" w:color="auto"/>
        <w:left w:val="none" w:sz="0" w:space="0" w:color="auto"/>
        <w:bottom w:val="none" w:sz="0" w:space="0" w:color="auto"/>
        <w:right w:val="none" w:sz="0" w:space="0" w:color="auto"/>
      </w:divBdr>
    </w:div>
    <w:div w:id="800685401">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1072758">
      <w:bodyDiv w:val="1"/>
      <w:marLeft w:val="0"/>
      <w:marRight w:val="0"/>
      <w:marTop w:val="0"/>
      <w:marBottom w:val="0"/>
      <w:divBdr>
        <w:top w:val="none" w:sz="0" w:space="0" w:color="auto"/>
        <w:left w:val="none" w:sz="0" w:space="0" w:color="auto"/>
        <w:bottom w:val="none" w:sz="0" w:space="0" w:color="auto"/>
        <w:right w:val="none" w:sz="0" w:space="0" w:color="auto"/>
      </w:divBdr>
    </w:div>
    <w:div w:id="803037146">
      <w:bodyDiv w:val="1"/>
      <w:marLeft w:val="0"/>
      <w:marRight w:val="0"/>
      <w:marTop w:val="0"/>
      <w:marBottom w:val="0"/>
      <w:divBdr>
        <w:top w:val="none" w:sz="0" w:space="0" w:color="auto"/>
        <w:left w:val="none" w:sz="0" w:space="0" w:color="auto"/>
        <w:bottom w:val="none" w:sz="0" w:space="0" w:color="auto"/>
        <w:right w:val="none" w:sz="0" w:space="0" w:color="auto"/>
      </w:divBdr>
    </w:div>
    <w:div w:id="803081027">
      <w:bodyDiv w:val="1"/>
      <w:marLeft w:val="0"/>
      <w:marRight w:val="0"/>
      <w:marTop w:val="0"/>
      <w:marBottom w:val="0"/>
      <w:divBdr>
        <w:top w:val="none" w:sz="0" w:space="0" w:color="auto"/>
        <w:left w:val="none" w:sz="0" w:space="0" w:color="auto"/>
        <w:bottom w:val="none" w:sz="0" w:space="0" w:color="auto"/>
        <w:right w:val="none" w:sz="0" w:space="0" w:color="auto"/>
      </w:divBdr>
    </w:div>
    <w:div w:id="803081847">
      <w:bodyDiv w:val="1"/>
      <w:marLeft w:val="0"/>
      <w:marRight w:val="0"/>
      <w:marTop w:val="0"/>
      <w:marBottom w:val="0"/>
      <w:divBdr>
        <w:top w:val="none" w:sz="0" w:space="0" w:color="auto"/>
        <w:left w:val="none" w:sz="0" w:space="0" w:color="auto"/>
        <w:bottom w:val="none" w:sz="0" w:space="0" w:color="auto"/>
        <w:right w:val="none" w:sz="0" w:space="0" w:color="auto"/>
      </w:divBdr>
    </w:div>
    <w:div w:id="803692279">
      <w:bodyDiv w:val="1"/>
      <w:marLeft w:val="0"/>
      <w:marRight w:val="0"/>
      <w:marTop w:val="0"/>
      <w:marBottom w:val="0"/>
      <w:divBdr>
        <w:top w:val="none" w:sz="0" w:space="0" w:color="auto"/>
        <w:left w:val="none" w:sz="0" w:space="0" w:color="auto"/>
        <w:bottom w:val="none" w:sz="0" w:space="0" w:color="auto"/>
        <w:right w:val="none" w:sz="0" w:space="0" w:color="auto"/>
      </w:divBdr>
    </w:div>
    <w:div w:id="803933881">
      <w:bodyDiv w:val="1"/>
      <w:marLeft w:val="0"/>
      <w:marRight w:val="0"/>
      <w:marTop w:val="0"/>
      <w:marBottom w:val="0"/>
      <w:divBdr>
        <w:top w:val="none" w:sz="0" w:space="0" w:color="auto"/>
        <w:left w:val="none" w:sz="0" w:space="0" w:color="auto"/>
        <w:bottom w:val="none" w:sz="0" w:space="0" w:color="auto"/>
        <w:right w:val="none" w:sz="0" w:space="0" w:color="auto"/>
      </w:divBdr>
    </w:div>
    <w:div w:id="804009511">
      <w:bodyDiv w:val="1"/>
      <w:marLeft w:val="0"/>
      <w:marRight w:val="0"/>
      <w:marTop w:val="0"/>
      <w:marBottom w:val="0"/>
      <w:divBdr>
        <w:top w:val="none" w:sz="0" w:space="0" w:color="auto"/>
        <w:left w:val="none" w:sz="0" w:space="0" w:color="auto"/>
        <w:bottom w:val="none" w:sz="0" w:space="0" w:color="auto"/>
        <w:right w:val="none" w:sz="0" w:space="0" w:color="auto"/>
      </w:divBdr>
    </w:div>
    <w:div w:id="804466059">
      <w:bodyDiv w:val="1"/>
      <w:marLeft w:val="0"/>
      <w:marRight w:val="0"/>
      <w:marTop w:val="0"/>
      <w:marBottom w:val="0"/>
      <w:divBdr>
        <w:top w:val="none" w:sz="0" w:space="0" w:color="auto"/>
        <w:left w:val="none" w:sz="0" w:space="0" w:color="auto"/>
        <w:bottom w:val="none" w:sz="0" w:space="0" w:color="auto"/>
        <w:right w:val="none" w:sz="0" w:space="0" w:color="auto"/>
      </w:divBdr>
    </w:div>
    <w:div w:id="804617112">
      <w:bodyDiv w:val="1"/>
      <w:marLeft w:val="0"/>
      <w:marRight w:val="0"/>
      <w:marTop w:val="0"/>
      <w:marBottom w:val="0"/>
      <w:divBdr>
        <w:top w:val="none" w:sz="0" w:space="0" w:color="auto"/>
        <w:left w:val="none" w:sz="0" w:space="0" w:color="auto"/>
        <w:bottom w:val="none" w:sz="0" w:space="0" w:color="auto"/>
        <w:right w:val="none" w:sz="0" w:space="0" w:color="auto"/>
      </w:divBdr>
    </w:div>
    <w:div w:id="804739161">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6436087">
      <w:bodyDiv w:val="1"/>
      <w:marLeft w:val="0"/>
      <w:marRight w:val="0"/>
      <w:marTop w:val="0"/>
      <w:marBottom w:val="0"/>
      <w:divBdr>
        <w:top w:val="none" w:sz="0" w:space="0" w:color="auto"/>
        <w:left w:val="none" w:sz="0" w:space="0" w:color="auto"/>
        <w:bottom w:val="none" w:sz="0" w:space="0" w:color="auto"/>
        <w:right w:val="none" w:sz="0" w:space="0" w:color="auto"/>
      </w:divBdr>
    </w:div>
    <w:div w:id="807018001">
      <w:bodyDiv w:val="1"/>
      <w:marLeft w:val="0"/>
      <w:marRight w:val="0"/>
      <w:marTop w:val="0"/>
      <w:marBottom w:val="0"/>
      <w:divBdr>
        <w:top w:val="none" w:sz="0" w:space="0" w:color="auto"/>
        <w:left w:val="none" w:sz="0" w:space="0" w:color="auto"/>
        <w:bottom w:val="none" w:sz="0" w:space="0" w:color="auto"/>
        <w:right w:val="none" w:sz="0" w:space="0" w:color="auto"/>
      </w:divBdr>
    </w:div>
    <w:div w:id="807210060">
      <w:bodyDiv w:val="1"/>
      <w:marLeft w:val="0"/>
      <w:marRight w:val="0"/>
      <w:marTop w:val="0"/>
      <w:marBottom w:val="0"/>
      <w:divBdr>
        <w:top w:val="none" w:sz="0" w:space="0" w:color="auto"/>
        <w:left w:val="none" w:sz="0" w:space="0" w:color="auto"/>
        <w:bottom w:val="none" w:sz="0" w:space="0" w:color="auto"/>
        <w:right w:val="none" w:sz="0" w:space="0" w:color="auto"/>
      </w:divBdr>
    </w:div>
    <w:div w:id="807629209">
      <w:bodyDiv w:val="1"/>
      <w:marLeft w:val="0"/>
      <w:marRight w:val="0"/>
      <w:marTop w:val="0"/>
      <w:marBottom w:val="0"/>
      <w:divBdr>
        <w:top w:val="none" w:sz="0" w:space="0" w:color="auto"/>
        <w:left w:val="none" w:sz="0" w:space="0" w:color="auto"/>
        <w:bottom w:val="none" w:sz="0" w:space="0" w:color="auto"/>
        <w:right w:val="none" w:sz="0" w:space="0" w:color="auto"/>
      </w:divBdr>
    </w:div>
    <w:div w:id="808596122">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8742088">
      <w:bodyDiv w:val="1"/>
      <w:marLeft w:val="0"/>
      <w:marRight w:val="0"/>
      <w:marTop w:val="0"/>
      <w:marBottom w:val="0"/>
      <w:divBdr>
        <w:top w:val="none" w:sz="0" w:space="0" w:color="auto"/>
        <w:left w:val="none" w:sz="0" w:space="0" w:color="auto"/>
        <w:bottom w:val="none" w:sz="0" w:space="0" w:color="auto"/>
        <w:right w:val="none" w:sz="0" w:space="0" w:color="auto"/>
      </w:divBdr>
    </w:div>
    <w:div w:id="808867317">
      <w:bodyDiv w:val="1"/>
      <w:marLeft w:val="0"/>
      <w:marRight w:val="0"/>
      <w:marTop w:val="0"/>
      <w:marBottom w:val="0"/>
      <w:divBdr>
        <w:top w:val="none" w:sz="0" w:space="0" w:color="auto"/>
        <w:left w:val="none" w:sz="0" w:space="0" w:color="auto"/>
        <w:bottom w:val="none" w:sz="0" w:space="0" w:color="auto"/>
        <w:right w:val="none" w:sz="0" w:space="0" w:color="auto"/>
      </w:divBdr>
    </w:div>
    <w:div w:id="80912769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09515028">
      <w:bodyDiv w:val="1"/>
      <w:marLeft w:val="0"/>
      <w:marRight w:val="0"/>
      <w:marTop w:val="0"/>
      <w:marBottom w:val="0"/>
      <w:divBdr>
        <w:top w:val="none" w:sz="0" w:space="0" w:color="auto"/>
        <w:left w:val="none" w:sz="0" w:space="0" w:color="auto"/>
        <w:bottom w:val="none" w:sz="0" w:space="0" w:color="auto"/>
        <w:right w:val="none" w:sz="0" w:space="0" w:color="auto"/>
      </w:divBdr>
    </w:div>
    <w:div w:id="809517221">
      <w:bodyDiv w:val="1"/>
      <w:marLeft w:val="0"/>
      <w:marRight w:val="0"/>
      <w:marTop w:val="0"/>
      <w:marBottom w:val="0"/>
      <w:divBdr>
        <w:top w:val="none" w:sz="0" w:space="0" w:color="auto"/>
        <w:left w:val="none" w:sz="0" w:space="0" w:color="auto"/>
        <w:bottom w:val="none" w:sz="0" w:space="0" w:color="auto"/>
        <w:right w:val="none" w:sz="0" w:space="0" w:color="auto"/>
      </w:divBdr>
    </w:div>
    <w:div w:id="809908594">
      <w:bodyDiv w:val="1"/>
      <w:marLeft w:val="0"/>
      <w:marRight w:val="0"/>
      <w:marTop w:val="0"/>
      <w:marBottom w:val="0"/>
      <w:divBdr>
        <w:top w:val="none" w:sz="0" w:space="0" w:color="auto"/>
        <w:left w:val="none" w:sz="0" w:space="0" w:color="auto"/>
        <w:bottom w:val="none" w:sz="0" w:space="0" w:color="auto"/>
        <w:right w:val="none" w:sz="0" w:space="0" w:color="auto"/>
      </w:divBdr>
    </w:div>
    <w:div w:id="810248862">
      <w:bodyDiv w:val="1"/>
      <w:marLeft w:val="0"/>
      <w:marRight w:val="0"/>
      <w:marTop w:val="0"/>
      <w:marBottom w:val="0"/>
      <w:divBdr>
        <w:top w:val="none" w:sz="0" w:space="0" w:color="auto"/>
        <w:left w:val="none" w:sz="0" w:space="0" w:color="auto"/>
        <w:bottom w:val="none" w:sz="0" w:space="0" w:color="auto"/>
        <w:right w:val="none" w:sz="0" w:space="0" w:color="auto"/>
      </w:divBdr>
    </w:div>
    <w:div w:id="810370634">
      <w:bodyDiv w:val="1"/>
      <w:marLeft w:val="0"/>
      <w:marRight w:val="0"/>
      <w:marTop w:val="0"/>
      <w:marBottom w:val="0"/>
      <w:divBdr>
        <w:top w:val="none" w:sz="0" w:space="0" w:color="auto"/>
        <w:left w:val="none" w:sz="0" w:space="0" w:color="auto"/>
        <w:bottom w:val="none" w:sz="0" w:space="0" w:color="auto"/>
        <w:right w:val="none" w:sz="0" w:space="0" w:color="auto"/>
      </w:divBdr>
    </w:div>
    <w:div w:id="810512567">
      <w:bodyDiv w:val="1"/>
      <w:marLeft w:val="0"/>
      <w:marRight w:val="0"/>
      <w:marTop w:val="0"/>
      <w:marBottom w:val="0"/>
      <w:divBdr>
        <w:top w:val="none" w:sz="0" w:space="0" w:color="auto"/>
        <w:left w:val="none" w:sz="0" w:space="0" w:color="auto"/>
        <w:bottom w:val="none" w:sz="0" w:space="0" w:color="auto"/>
        <w:right w:val="none" w:sz="0" w:space="0" w:color="auto"/>
      </w:divBdr>
    </w:div>
    <w:div w:id="810750824">
      <w:bodyDiv w:val="1"/>
      <w:marLeft w:val="0"/>
      <w:marRight w:val="0"/>
      <w:marTop w:val="0"/>
      <w:marBottom w:val="0"/>
      <w:divBdr>
        <w:top w:val="none" w:sz="0" w:space="0" w:color="auto"/>
        <w:left w:val="none" w:sz="0" w:space="0" w:color="auto"/>
        <w:bottom w:val="none" w:sz="0" w:space="0" w:color="auto"/>
        <w:right w:val="none" w:sz="0" w:space="0" w:color="auto"/>
      </w:divBdr>
    </w:div>
    <w:div w:id="810754851">
      <w:bodyDiv w:val="1"/>
      <w:marLeft w:val="0"/>
      <w:marRight w:val="0"/>
      <w:marTop w:val="0"/>
      <w:marBottom w:val="0"/>
      <w:divBdr>
        <w:top w:val="none" w:sz="0" w:space="0" w:color="auto"/>
        <w:left w:val="none" w:sz="0" w:space="0" w:color="auto"/>
        <w:bottom w:val="none" w:sz="0" w:space="0" w:color="auto"/>
        <w:right w:val="none" w:sz="0" w:space="0" w:color="auto"/>
      </w:divBdr>
    </w:div>
    <w:div w:id="810945874">
      <w:bodyDiv w:val="1"/>
      <w:marLeft w:val="0"/>
      <w:marRight w:val="0"/>
      <w:marTop w:val="0"/>
      <w:marBottom w:val="0"/>
      <w:divBdr>
        <w:top w:val="none" w:sz="0" w:space="0" w:color="auto"/>
        <w:left w:val="none" w:sz="0" w:space="0" w:color="auto"/>
        <w:bottom w:val="none" w:sz="0" w:space="0" w:color="auto"/>
        <w:right w:val="none" w:sz="0" w:space="0" w:color="auto"/>
      </w:divBdr>
    </w:div>
    <w:div w:id="811219607">
      <w:bodyDiv w:val="1"/>
      <w:marLeft w:val="0"/>
      <w:marRight w:val="0"/>
      <w:marTop w:val="0"/>
      <w:marBottom w:val="0"/>
      <w:divBdr>
        <w:top w:val="none" w:sz="0" w:space="0" w:color="auto"/>
        <w:left w:val="none" w:sz="0" w:space="0" w:color="auto"/>
        <w:bottom w:val="none" w:sz="0" w:space="0" w:color="auto"/>
        <w:right w:val="none" w:sz="0" w:space="0" w:color="auto"/>
      </w:divBdr>
    </w:div>
    <w:div w:id="811291742">
      <w:bodyDiv w:val="1"/>
      <w:marLeft w:val="0"/>
      <w:marRight w:val="0"/>
      <w:marTop w:val="0"/>
      <w:marBottom w:val="0"/>
      <w:divBdr>
        <w:top w:val="none" w:sz="0" w:space="0" w:color="auto"/>
        <w:left w:val="none" w:sz="0" w:space="0" w:color="auto"/>
        <w:bottom w:val="none" w:sz="0" w:space="0" w:color="auto"/>
        <w:right w:val="none" w:sz="0" w:space="0" w:color="auto"/>
      </w:divBdr>
    </w:div>
    <w:div w:id="811364790">
      <w:bodyDiv w:val="1"/>
      <w:marLeft w:val="0"/>
      <w:marRight w:val="0"/>
      <w:marTop w:val="0"/>
      <w:marBottom w:val="0"/>
      <w:divBdr>
        <w:top w:val="none" w:sz="0" w:space="0" w:color="auto"/>
        <w:left w:val="none" w:sz="0" w:space="0" w:color="auto"/>
        <w:bottom w:val="none" w:sz="0" w:space="0" w:color="auto"/>
        <w:right w:val="none" w:sz="0" w:space="0" w:color="auto"/>
      </w:divBdr>
    </w:div>
    <w:div w:id="811555996">
      <w:bodyDiv w:val="1"/>
      <w:marLeft w:val="0"/>
      <w:marRight w:val="0"/>
      <w:marTop w:val="0"/>
      <w:marBottom w:val="0"/>
      <w:divBdr>
        <w:top w:val="none" w:sz="0" w:space="0" w:color="auto"/>
        <w:left w:val="none" w:sz="0" w:space="0" w:color="auto"/>
        <w:bottom w:val="none" w:sz="0" w:space="0" w:color="auto"/>
        <w:right w:val="none" w:sz="0" w:space="0" w:color="auto"/>
      </w:divBdr>
    </w:div>
    <w:div w:id="811673871">
      <w:bodyDiv w:val="1"/>
      <w:marLeft w:val="0"/>
      <w:marRight w:val="0"/>
      <w:marTop w:val="0"/>
      <w:marBottom w:val="0"/>
      <w:divBdr>
        <w:top w:val="none" w:sz="0" w:space="0" w:color="auto"/>
        <w:left w:val="none" w:sz="0" w:space="0" w:color="auto"/>
        <w:bottom w:val="none" w:sz="0" w:space="0" w:color="auto"/>
        <w:right w:val="none" w:sz="0" w:space="0" w:color="auto"/>
      </w:divBdr>
    </w:div>
    <w:div w:id="812064628">
      <w:bodyDiv w:val="1"/>
      <w:marLeft w:val="0"/>
      <w:marRight w:val="0"/>
      <w:marTop w:val="0"/>
      <w:marBottom w:val="0"/>
      <w:divBdr>
        <w:top w:val="none" w:sz="0" w:space="0" w:color="auto"/>
        <w:left w:val="none" w:sz="0" w:space="0" w:color="auto"/>
        <w:bottom w:val="none" w:sz="0" w:space="0" w:color="auto"/>
        <w:right w:val="none" w:sz="0" w:space="0" w:color="auto"/>
      </w:divBdr>
    </w:div>
    <w:div w:id="812257626">
      <w:bodyDiv w:val="1"/>
      <w:marLeft w:val="0"/>
      <w:marRight w:val="0"/>
      <w:marTop w:val="0"/>
      <w:marBottom w:val="0"/>
      <w:divBdr>
        <w:top w:val="none" w:sz="0" w:space="0" w:color="auto"/>
        <w:left w:val="none" w:sz="0" w:space="0" w:color="auto"/>
        <w:bottom w:val="none" w:sz="0" w:space="0" w:color="auto"/>
        <w:right w:val="none" w:sz="0" w:space="0" w:color="auto"/>
      </w:divBdr>
    </w:div>
    <w:div w:id="813177018">
      <w:bodyDiv w:val="1"/>
      <w:marLeft w:val="0"/>
      <w:marRight w:val="0"/>
      <w:marTop w:val="0"/>
      <w:marBottom w:val="0"/>
      <w:divBdr>
        <w:top w:val="none" w:sz="0" w:space="0" w:color="auto"/>
        <w:left w:val="none" w:sz="0" w:space="0" w:color="auto"/>
        <w:bottom w:val="none" w:sz="0" w:space="0" w:color="auto"/>
        <w:right w:val="none" w:sz="0" w:space="0" w:color="auto"/>
      </w:divBdr>
    </w:div>
    <w:div w:id="813523166">
      <w:bodyDiv w:val="1"/>
      <w:marLeft w:val="0"/>
      <w:marRight w:val="0"/>
      <w:marTop w:val="0"/>
      <w:marBottom w:val="0"/>
      <w:divBdr>
        <w:top w:val="none" w:sz="0" w:space="0" w:color="auto"/>
        <w:left w:val="none" w:sz="0" w:space="0" w:color="auto"/>
        <w:bottom w:val="none" w:sz="0" w:space="0" w:color="auto"/>
        <w:right w:val="none" w:sz="0" w:space="0" w:color="auto"/>
      </w:divBdr>
    </w:div>
    <w:div w:id="814645019">
      <w:bodyDiv w:val="1"/>
      <w:marLeft w:val="0"/>
      <w:marRight w:val="0"/>
      <w:marTop w:val="0"/>
      <w:marBottom w:val="0"/>
      <w:divBdr>
        <w:top w:val="none" w:sz="0" w:space="0" w:color="auto"/>
        <w:left w:val="none" w:sz="0" w:space="0" w:color="auto"/>
        <w:bottom w:val="none" w:sz="0" w:space="0" w:color="auto"/>
        <w:right w:val="none" w:sz="0" w:space="0" w:color="auto"/>
      </w:divBdr>
    </w:div>
    <w:div w:id="814685832">
      <w:bodyDiv w:val="1"/>
      <w:marLeft w:val="0"/>
      <w:marRight w:val="0"/>
      <w:marTop w:val="0"/>
      <w:marBottom w:val="0"/>
      <w:divBdr>
        <w:top w:val="none" w:sz="0" w:space="0" w:color="auto"/>
        <w:left w:val="none" w:sz="0" w:space="0" w:color="auto"/>
        <w:bottom w:val="none" w:sz="0" w:space="0" w:color="auto"/>
        <w:right w:val="none" w:sz="0" w:space="0" w:color="auto"/>
      </w:divBdr>
    </w:div>
    <w:div w:id="815294009">
      <w:bodyDiv w:val="1"/>
      <w:marLeft w:val="0"/>
      <w:marRight w:val="0"/>
      <w:marTop w:val="0"/>
      <w:marBottom w:val="0"/>
      <w:divBdr>
        <w:top w:val="none" w:sz="0" w:space="0" w:color="auto"/>
        <w:left w:val="none" w:sz="0" w:space="0" w:color="auto"/>
        <w:bottom w:val="none" w:sz="0" w:space="0" w:color="auto"/>
        <w:right w:val="none" w:sz="0" w:space="0" w:color="auto"/>
      </w:divBdr>
    </w:div>
    <w:div w:id="815417579">
      <w:bodyDiv w:val="1"/>
      <w:marLeft w:val="0"/>
      <w:marRight w:val="0"/>
      <w:marTop w:val="0"/>
      <w:marBottom w:val="0"/>
      <w:divBdr>
        <w:top w:val="none" w:sz="0" w:space="0" w:color="auto"/>
        <w:left w:val="none" w:sz="0" w:space="0" w:color="auto"/>
        <w:bottom w:val="none" w:sz="0" w:space="0" w:color="auto"/>
        <w:right w:val="none" w:sz="0" w:space="0" w:color="auto"/>
      </w:divBdr>
    </w:div>
    <w:div w:id="815486742">
      <w:bodyDiv w:val="1"/>
      <w:marLeft w:val="0"/>
      <w:marRight w:val="0"/>
      <w:marTop w:val="0"/>
      <w:marBottom w:val="0"/>
      <w:divBdr>
        <w:top w:val="none" w:sz="0" w:space="0" w:color="auto"/>
        <w:left w:val="none" w:sz="0" w:space="0" w:color="auto"/>
        <w:bottom w:val="none" w:sz="0" w:space="0" w:color="auto"/>
        <w:right w:val="none" w:sz="0" w:space="0" w:color="auto"/>
      </w:divBdr>
    </w:div>
    <w:div w:id="815804510">
      <w:bodyDiv w:val="1"/>
      <w:marLeft w:val="0"/>
      <w:marRight w:val="0"/>
      <w:marTop w:val="0"/>
      <w:marBottom w:val="0"/>
      <w:divBdr>
        <w:top w:val="none" w:sz="0" w:space="0" w:color="auto"/>
        <w:left w:val="none" w:sz="0" w:space="0" w:color="auto"/>
        <w:bottom w:val="none" w:sz="0" w:space="0" w:color="auto"/>
        <w:right w:val="none" w:sz="0" w:space="0" w:color="auto"/>
      </w:divBdr>
    </w:div>
    <w:div w:id="816066113">
      <w:bodyDiv w:val="1"/>
      <w:marLeft w:val="0"/>
      <w:marRight w:val="0"/>
      <w:marTop w:val="0"/>
      <w:marBottom w:val="0"/>
      <w:divBdr>
        <w:top w:val="none" w:sz="0" w:space="0" w:color="auto"/>
        <w:left w:val="none" w:sz="0" w:space="0" w:color="auto"/>
        <w:bottom w:val="none" w:sz="0" w:space="0" w:color="auto"/>
        <w:right w:val="none" w:sz="0" w:space="0" w:color="auto"/>
      </w:divBdr>
    </w:div>
    <w:div w:id="816191039">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16723119">
      <w:bodyDiv w:val="1"/>
      <w:marLeft w:val="0"/>
      <w:marRight w:val="0"/>
      <w:marTop w:val="0"/>
      <w:marBottom w:val="0"/>
      <w:divBdr>
        <w:top w:val="none" w:sz="0" w:space="0" w:color="auto"/>
        <w:left w:val="none" w:sz="0" w:space="0" w:color="auto"/>
        <w:bottom w:val="none" w:sz="0" w:space="0" w:color="auto"/>
        <w:right w:val="none" w:sz="0" w:space="0" w:color="auto"/>
      </w:divBdr>
    </w:div>
    <w:div w:id="817184869">
      <w:bodyDiv w:val="1"/>
      <w:marLeft w:val="0"/>
      <w:marRight w:val="0"/>
      <w:marTop w:val="0"/>
      <w:marBottom w:val="0"/>
      <w:divBdr>
        <w:top w:val="none" w:sz="0" w:space="0" w:color="auto"/>
        <w:left w:val="none" w:sz="0" w:space="0" w:color="auto"/>
        <w:bottom w:val="none" w:sz="0" w:space="0" w:color="auto"/>
        <w:right w:val="none" w:sz="0" w:space="0" w:color="auto"/>
      </w:divBdr>
    </w:div>
    <w:div w:id="817190403">
      <w:bodyDiv w:val="1"/>
      <w:marLeft w:val="0"/>
      <w:marRight w:val="0"/>
      <w:marTop w:val="0"/>
      <w:marBottom w:val="0"/>
      <w:divBdr>
        <w:top w:val="none" w:sz="0" w:space="0" w:color="auto"/>
        <w:left w:val="none" w:sz="0" w:space="0" w:color="auto"/>
        <w:bottom w:val="none" w:sz="0" w:space="0" w:color="auto"/>
        <w:right w:val="none" w:sz="0" w:space="0" w:color="auto"/>
      </w:divBdr>
    </w:div>
    <w:div w:id="818423595">
      <w:bodyDiv w:val="1"/>
      <w:marLeft w:val="0"/>
      <w:marRight w:val="0"/>
      <w:marTop w:val="0"/>
      <w:marBottom w:val="0"/>
      <w:divBdr>
        <w:top w:val="none" w:sz="0" w:space="0" w:color="auto"/>
        <w:left w:val="none" w:sz="0" w:space="0" w:color="auto"/>
        <w:bottom w:val="none" w:sz="0" w:space="0" w:color="auto"/>
        <w:right w:val="none" w:sz="0" w:space="0" w:color="auto"/>
      </w:divBdr>
    </w:div>
    <w:div w:id="818616495">
      <w:bodyDiv w:val="1"/>
      <w:marLeft w:val="0"/>
      <w:marRight w:val="0"/>
      <w:marTop w:val="0"/>
      <w:marBottom w:val="0"/>
      <w:divBdr>
        <w:top w:val="none" w:sz="0" w:space="0" w:color="auto"/>
        <w:left w:val="none" w:sz="0" w:space="0" w:color="auto"/>
        <w:bottom w:val="none" w:sz="0" w:space="0" w:color="auto"/>
        <w:right w:val="none" w:sz="0" w:space="0" w:color="auto"/>
      </w:divBdr>
    </w:div>
    <w:div w:id="818616913">
      <w:bodyDiv w:val="1"/>
      <w:marLeft w:val="0"/>
      <w:marRight w:val="0"/>
      <w:marTop w:val="0"/>
      <w:marBottom w:val="0"/>
      <w:divBdr>
        <w:top w:val="none" w:sz="0" w:space="0" w:color="auto"/>
        <w:left w:val="none" w:sz="0" w:space="0" w:color="auto"/>
        <w:bottom w:val="none" w:sz="0" w:space="0" w:color="auto"/>
        <w:right w:val="none" w:sz="0" w:space="0" w:color="auto"/>
      </w:divBdr>
    </w:div>
    <w:div w:id="818692090">
      <w:bodyDiv w:val="1"/>
      <w:marLeft w:val="0"/>
      <w:marRight w:val="0"/>
      <w:marTop w:val="0"/>
      <w:marBottom w:val="0"/>
      <w:divBdr>
        <w:top w:val="none" w:sz="0" w:space="0" w:color="auto"/>
        <w:left w:val="none" w:sz="0" w:space="0" w:color="auto"/>
        <w:bottom w:val="none" w:sz="0" w:space="0" w:color="auto"/>
        <w:right w:val="none" w:sz="0" w:space="0" w:color="auto"/>
      </w:divBdr>
    </w:div>
    <w:div w:id="818888292">
      <w:bodyDiv w:val="1"/>
      <w:marLeft w:val="0"/>
      <w:marRight w:val="0"/>
      <w:marTop w:val="0"/>
      <w:marBottom w:val="0"/>
      <w:divBdr>
        <w:top w:val="none" w:sz="0" w:space="0" w:color="auto"/>
        <w:left w:val="none" w:sz="0" w:space="0" w:color="auto"/>
        <w:bottom w:val="none" w:sz="0" w:space="0" w:color="auto"/>
        <w:right w:val="none" w:sz="0" w:space="0" w:color="auto"/>
      </w:divBdr>
    </w:div>
    <w:div w:id="819423688">
      <w:bodyDiv w:val="1"/>
      <w:marLeft w:val="0"/>
      <w:marRight w:val="0"/>
      <w:marTop w:val="0"/>
      <w:marBottom w:val="0"/>
      <w:divBdr>
        <w:top w:val="none" w:sz="0" w:space="0" w:color="auto"/>
        <w:left w:val="none" w:sz="0" w:space="0" w:color="auto"/>
        <w:bottom w:val="none" w:sz="0" w:space="0" w:color="auto"/>
        <w:right w:val="none" w:sz="0" w:space="0" w:color="auto"/>
      </w:divBdr>
    </w:div>
    <w:div w:id="819883590">
      <w:bodyDiv w:val="1"/>
      <w:marLeft w:val="0"/>
      <w:marRight w:val="0"/>
      <w:marTop w:val="0"/>
      <w:marBottom w:val="0"/>
      <w:divBdr>
        <w:top w:val="none" w:sz="0" w:space="0" w:color="auto"/>
        <w:left w:val="none" w:sz="0" w:space="0" w:color="auto"/>
        <w:bottom w:val="none" w:sz="0" w:space="0" w:color="auto"/>
        <w:right w:val="none" w:sz="0" w:space="0" w:color="auto"/>
      </w:divBdr>
    </w:div>
    <w:div w:id="819924339">
      <w:bodyDiv w:val="1"/>
      <w:marLeft w:val="0"/>
      <w:marRight w:val="0"/>
      <w:marTop w:val="0"/>
      <w:marBottom w:val="0"/>
      <w:divBdr>
        <w:top w:val="none" w:sz="0" w:space="0" w:color="auto"/>
        <w:left w:val="none" w:sz="0" w:space="0" w:color="auto"/>
        <w:bottom w:val="none" w:sz="0" w:space="0" w:color="auto"/>
        <w:right w:val="none" w:sz="0" w:space="0" w:color="auto"/>
      </w:divBdr>
    </w:div>
    <w:div w:id="820389983">
      <w:bodyDiv w:val="1"/>
      <w:marLeft w:val="0"/>
      <w:marRight w:val="0"/>
      <w:marTop w:val="0"/>
      <w:marBottom w:val="0"/>
      <w:divBdr>
        <w:top w:val="none" w:sz="0" w:space="0" w:color="auto"/>
        <w:left w:val="none" w:sz="0" w:space="0" w:color="auto"/>
        <w:bottom w:val="none" w:sz="0" w:space="0" w:color="auto"/>
        <w:right w:val="none" w:sz="0" w:space="0" w:color="auto"/>
      </w:divBdr>
    </w:div>
    <w:div w:id="820393521">
      <w:bodyDiv w:val="1"/>
      <w:marLeft w:val="0"/>
      <w:marRight w:val="0"/>
      <w:marTop w:val="0"/>
      <w:marBottom w:val="0"/>
      <w:divBdr>
        <w:top w:val="none" w:sz="0" w:space="0" w:color="auto"/>
        <w:left w:val="none" w:sz="0" w:space="0" w:color="auto"/>
        <w:bottom w:val="none" w:sz="0" w:space="0" w:color="auto"/>
        <w:right w:val="none" w:sz="0" w:space="0" w:color="auto"/>
      </w:divBdr>
    </w:div>
    <w:div w:id="820580399">
      <w:bodyDiv w:val="1"/>
      <w:marLeft w:val="0"/>
      <w:marRight w:val="0"/>
      <w:marTop w:val="0"/>
      <w:marBottom w:val="0"/>
      <w:divBdr>
        <w:top w:val="none" w:sz="0" w:space="0" w:color="auto"/>
        <w:left w:val="none" w:sz="0" w:space="0" w:color="auto"/>
        <w:bottom w:val="none" w:sz="0" w:space="0" w:color="auto"/>
        <w:right w:val="none" w:sz="0" w:space="0" w:color="auto"/>
      </w:divBdr>
    </w:div>
    <w:div w:id="820652899">
      <w:bodyDiv w:val="1"/>
      <w:marLeft w:val="0"/>
      <w:marRight w:val="0"/>
      <w:marTop w:val="0"/>
      <w:marBottom w:val="0"/>
      <w:divBdr>
        <w:top w:val="none" w:sz="0" w:space="0" w:color="auto"/>
        <w:left w:val="none" w:sz="0" w:space="0" w:color="auto"/>
        <w:bottom w:val="none" w:sz="0" w:space="0" w:color="auto"/>
        <w:right w:val="none" w:sz="0" w:space="0" w:color="auto"/>
      </w:divBdr>
    </w:div>
    <w:div w:id="820729866">
      <w:bodyDiv w:val="1"/>
      <w:marLeft w:val="0"/>
      <w:marRight w:val="0"/>
      <w:marTop w:val="0"/>
      <w:marBottom w:val="0"/>
      <w:divBdr>
        <w:top w:val="none" w:sz="0" w:space="0" w:color="auto"/>
        <w:left w:val="none" w:sz="0" w:space="0" w:color="auto"/>
        <w:bottom w:val="none" w:sz="0" w:space="0" w:color="auto"/>
        <w:right w:val="none" w:sz="0" w:space="0" w:color="auto"/>
      </w:divBdr>
    </w:div>
    <w:div w:id="820732691">
      <w:bodyDiv w:val="1"/>
      <w:marLeft w:val="0"/>
      <w:marRight w:val="0"/>
      <w:marTop w:val="0"/>
      <w:marBottom w:val="0"/>
      <w:divBdr>
        <w:top w:val="none" w:sz="0" w:space="0" w:color="auto"/>
        <w:left w:val="none" w:sz="0" w:space="0" w:color="auto"/>
        <w:bottom w:val="none" w:sz="0" w:space="0" w:color="auto"/>
        <w:right w:val="none" w:sz="0" w:space="0" w:color="auto"/>
      </w:divBdr>
    </w:div>
    <w:div w:id="820736992">
      <w:bodyDiv w:val="1"/>
      <w:marLeft w:val="0"/>
      <w:marRight w:val="0"/>
      <w:marTop w:val="0"/>
      <w:marBottom w:val="0"/>
      <w:divBdr>
        <w:top w:val="none" w:sz="0" w:space="0" w:color="auto"/>
        <w:left w:val="none" w:sz="0" w:space="0" w:color="auto"/>
        <w:bottom w:val="none" w:sz="0" w:space="0" w:color="auto"/>
        <w:right w:val="none" w:sz="0" w:space="0" w:color="auto"/>
      </w:divBdr>
    </w:div>
    <w:div w:id="820996990">
      <w:bodyDiv w:val="1"/>
      <w:marLeft w:val="0"/>
      <w:marRight w:val="0"/>
      <w:marTop w:val="0"/>
      <w:marBottom w:val="0"/>
      <w:divBdr>
        <w:top w:val="none" w:sz="0" w:space="0" w:color="auto"/>
        <w:left w:val="none" w:sz="0" w:space="0" w:color="auto"/>
        <w:bottom w:val="none" w:sz="0" w:space="0" w:color="auto"/>
        <w:right w:val="none" w:sz="0" w:space="0" w:color="auto"/>
      </w:divBdr>
    </w:div>
    <w:div w:id="821431302">
      <w:bodyDiv w:val="1"/>
      <w:marLeft w:val="0"/>
      <w:marRight w:val="0"/>
      <w:marTop w:val="0"/>
      <w:marBottom w:val="0"/>
      <w:divBdr>
        <w:top w:val="none" w:sz="0" w:space="0" w:color="auto"/>
        <w:left w:val="none" w:sz="0" w:space="0" w:color="auto"/>
        <w:bottom w:val="none" w:sz="0" w:space="0" w:color="auto"/>
        <w:right w:val="none" w:sz="0" w:space="0" w:color="auto"/>
      </w:divBdr>
    </w:div>
    <w:div w:id="821652453">
      <w:bodyDiv w:val="1"/>
      <w:marLeft w:val="0"/>
      <w:marRight w:val="0"/>
      <w:marTop w:val="0"/>
      <w:marBottom w:val="0"/>
      <w:divBdr>
        <w:top w:val="none" w:sz="0" w:space="0" w:color="auto"/>
        <w:left w:val="none" w:sz="0" w:space="0" w:color="auto"/>
        <w:bottom w:val="none" w:sz="0" w:space="0" w:color="auto"/>
        <w:right w:val="none" w:sz="0" w:space="0" w:color="auto"/>
      </w:divBdr>
    </w:div>
    <w:div w:id="821894787">
      <w:bodyDiv w:val="1"/>
      <w:marLeft w:val="0"/>
      <w:marRight w:val="0"/>
      <w:marTop w:val="0"/>
      <w:marBottom w:val="0"/>
      <w:divBdr>
        <w:top w:val="none" w:sz="0" w:space="0" w:color="auto"/>
        <w:left w:val="none" w:sz="0" w:space="0" w:color="auto"/>
        <w:bottom w:val="none" w:sz="0" w:space="0" w:color="auto"/>
        <w:right w:val="none" w:sz="0" w:space="0" w:color="auto"/>
      </w:divBdr>
    </w:div>
    <w:div w:id="822090516">
      <w:bodyDiv w:val="1"/>
      <w:marLeft w:val="0"/>
      <w:marRight w:val="0"/>
      <w:marTop w:val="0"/>
      <w:marBottom w:val="0"/>
      <w:divBdr>
        <w:top w:val="none" w:sz="0" w:space="0" w:color="auto"/>
        <w:left w:val="none" w:sz="0" w:space="0" w:color="auto"/>
        <w:bottom w:val="none" w:sz="0" w:space="0" w:color="auto"/>
        <w:right w:val="none" w:sz="0" w:space="0" w:color="auto"/>
      </w:divBdr>
    </w:div>
    <w:div w:id="822350243">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2620300">
      <w:bodyDiv w:val="1"/>
      <w:marLeft w:val="0"/>
      <w:marRight w:val="0"/>
      <w:marTop w:val="0"/>
      <w:marBottom w:val="0"/>
      <w:divBdr>
        <w:top w:val="none" w:sz="0" w:space="0" w:color="auto"/>
        <w:left w:val="none" w:sz="0" w:space="0" w:color="auto"/>
        <w:bottom w:val="none" w:sz="0" w:space="0" w:color="auto"/>
        <w:right w:val="none" w:sz="0" w:space="0" w:color="auto"/>
      </w:divBdr>
    </w:div>
    <w:div w:id="823280870">
      <w:bodyDiv w:val="1"/>
      <w:marLeft w:val="0"/>
      <w:marRight w:val="0"/>
      <w:marTop w:val="0"/>
      <w:marBottom w:val="0"/>
      <w:divBdr>
        <w:top w:val="none" w:sz="0" w:space="0" w:color="auto"/>
        <w:left w:val="none" w:sz="0" w:space="0" w:color="auto"/>
        <w:bottom w:val="none" w:sz="0" w:space="0" w:color="auto"/>
        <w:right w:val="none" w:sz="0" w:space="0" w:color="auto"/>
      </w:divBdr>
    </w:div>
    <w:div w:id="823354671">
      <w:bodyDiv w:val="1"/>
      <w:marLeft w:val="0"/>
      <w:marRight w:val="0"/>
      <w:marTop w:val="0"/>
      <w:marBottom w:val="0"/>
      <w:divBdr>
        <w:top w:val="none" w:sz="0" w:space="0" w:color="auto"/>
        <w:left w:val="none" w:sz="0" w:space="0" w:color="auto"/>
        <w:bottom w:val="none" w:sz="0" w:space="0" w:color="auto"/>
        <w:right w:val="none" w:sz="0" w:space="0" w:color="auto"/>
      </w:divBdr>
    </w:div>
    <w:div w:id="823543147">
      <w:bodyDiv w:val="1"/>
      <w:marLeft w:val="0"/>
      <w:marRight w:val="0"/>
      <w:marTop w:val="0"/>
      <w:marBottom w:val="0"/>
      <w:divBdr>
        <w:top w:val="none" w:sz="0" w:space="0" w:color="auto"/>
        <w:left w:val="none" w:sz="0" w:space="0" w:color="auto"/>
        <w:bottom w:val="none" w:sz="0" w:space="0" w:color="auto"/>
        <w:right w:val="none" w:sz="0" w:space="0" w:color="auto"/>
      </w:divBdr>
    </w:div>
    <w:div w:id="823621421">
      <w:bodyDiv w:val="1"/>
      <w:marLeft w:val="0"/>
      <w:marRight w:val="0"/>
      <w:marTop w:val="0"/>
      <w:marBottom w:val="0"/>
      <w:divBdr>
        <w:top w:val="none" w:sz="0" w:space="0" w:color="auto"/>
        <w:left w:val="none" w:sz="0" w:space="0" w:color="auto"/>
        <w:bottom w:val="none" w:sz="0" w:space="0" w:color="auto"/>
        <w:right w:val="none" w:sz="0" w:space="0" w:color="auto"/>
      </w:divBdr>
    </w:div>
    <w:div w:id="823815027">
      <w:bodyDiv w:val="1"/>
      <w:marLeft w:val="0"/>
      <w:marRight w:val="0"/>
      <w:marTop w:val="0"/>
      <w:marBottom w:val="0"/>
      <w:divBdr>
        <w:top w:val="none" w:sz="0" w:space="0" w:color="auto"/>
        <w:left w:val="none" w:sz="0" w:space="0" w:color="auto"/>
        <w:bottom w:val="none" w:sz="0" w:space="0" w:color="auto"/>
        <w:right w:val="none" w:sz="0" w:space="0" w:color="auto"/>
      </w:divBdr>
    </w:div>
    <w:div w:id="824051893">
      <w:bodyDiv w:val="1"/>
      <w:marLeft w:val="0"/>
      <w:marRight w:val="0"/>
      <w:marTop w:val="0"/>
      <w:marBottom w:val="0"/>
      <w:divBdr>
        <w:top w:val="none" w:sz="0" w:space="0" w:color="auto"/>
        <w:left w:val="none" w:sz="0" w:space="0" w:color="auto"/>
        <w:bottom w:val="none" w:sz="0" w:space="0" w:color="auto"/>
        <w:right w:val="none" w:sz="0" w:space="0" w:color="auto"/>
      </w:divBdr>
    </w:div>
    <w:div w:id="824126701">
      <w:bodyDiv w:val="1"/>
      <w:marLeft w:val="0"/>
      <w:marRight w:val="0"/>
      <w:marTop w:val="0"/>
      <w:marBottom w:val="0"/>
      <w:divBdr>
        <w:top w:val="none" w:sz="0" w:space="0" w:color="auto"/>
        <w:left w:val="none" w:sz="0" w:space="0" w:color="auto"/>
        <w:bottom w:val="none" w:sz="0" w:space="0" w:color="auto"/>
        <w:right w:val="none" w:sz="0" w:space="0" w:color="auto"/>
      </w:divBdr>
    </w:div>
    <w:div w:id="824399820">
      <w:bodyDiv w:val="1"/>
      <w:marLeft w:val="0"/>
      <w:marRight w:val="0"/>
      <w:marTop w:val="0"/>
      <w:marBottom w:val="0"/>
      <w:divBdr>
        <w:top w:val="none" w:sz="0" w:space="0" w:color="auto"/>
        <w:left w:val="none" w:sz="0" w:space="0" w:color="auto"/>
        <w:bottom w:val="none" w:sz="0" w:space="0" w:color="auto"/>
        <w:right w:val="none" w:sz="0" w:space="0" w:color="auto"/>
      </w:divBdr>
    </w:div>
    <w:div w:id="824587823">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4709837">
      <w:bodyDiv w:val="1"/>
      <w:marLeft w:val="0"/>
      <w:marRight w:val="0"/>
      <w:marTop w:val="0"/>
      <w:marBottom w:val="0"/>
      <w:divBdr>
        <w:top w:val="none" w:sz="0" w:space="0" w:color="auto"/>
        <w:left w:val="none" w:sz="0" w:space="0" w:color="auto"/>
        <w:bottom w:val="none" w:sz="0" w:space="0" w:color="auto"/>
        <w:right w:val="none" w:sz="0" w:space="0" w:color="auto"/>
      </w:divBdr>
    </w:div>
    <w:div w:id="824784048">
      <w:bodyDiv w:val="1"/>
      <w:marLeft w:val="0"/>
      <w:marRight w:val="0"/>
      <w:marTop w:val="0"/>
      <w:marBottom w:val="0"/>
      <w:divBdr>
        <w:top w:val="none" w:sz="0" w:space="0" w:color="auto"/>
        <w:left w:val="none" w:sz="0" w:space="0" w:color="auto"/>
        <w:bottom w:val="none" w:sz="0" w:space="0" w:color="auto"/>
        <w:right w:val="none" w:sz="0" w:space="0" w:color="auto"/>
      </w:divBdr>
    </w:div>
    <w:div w:id="825166634">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6171762">
      <w:bodyDiv w:val="1"/>
      <w:marLeft w:val="0"/>
      <w:marRight w:val="0"/>
      <w:marTop w:val="0"/>
      <w:marBottom w:val="0"/>
      <w:divBdr>
        <w:top w:val="none" w:sz="0" w:space="0" w:color="auto"/>
        <w:left w:val="none" w:sz="0" w:space="0" w:color="auto"/>
        <w:bottom w:val="none" w:sz="0" w:space="0" w:color="auto"/>
        <w:right w:val="none" w:sz="0" w:space="0" w:color="auto"/>
      </w:divBdr>
    </w:div>
    <w:div w:id="826284973">
      <w:bodyDiv w:val="1"/>
      <w:marLeft w:val="0"/>
      <w:marRight w:val="0"/>
      <w:marTop w:val="0"/>
      <w:marBottom w:val="0"/>
      <w:divBdr>
        <w:top w:val="none" w:sz="0" w:space="0" w:color="auto"/>
        <w:left w:val="none" w:sz="0" w:space="0" w:color="auto"/>
        <w:bottom w:val="none" w:sz="0" w:space="0" w:color="auto"/>
        <w:right w:val="none" w:sz="0" w:space="0" w:color="auto"/>
      </w:divBdr>
    </w:div>
    <w:div w:id="826435840">
      <w:bodyDiv w:val="1"/>
      <w:marLeft w:val="0"/>
      <w:marRight w:val="0"/>
      <w:marTop w:val="0"/>
      <w:marBottom w:val="0"/>
      <w:divBdr>
        <w:top w:val="none" w:sz="0" w:space="0" w:color="auto"/>
        <w:left w:val="none" w:sz="0" w:space="0" w:color="auto"/>
        <w:bottom w:val="none" w:sz="0" w:space="0" w:color="auto"/>
        <w:right w:val="none" w:sz="0" w:space="0" w:color="auto"/>
      </w:divBdr>
    </w:div>
    <w:div w:id="827092590">
      <w:bodyDiv w:val="1"/>
      <w:marLeft w:val="0"/>
      <w:marRight w:val="0"/>
      <w:marTop w:val="0"/>
      <w:marBottom w:val="0"/>
      <w:divBdr>
        <w:top w:val="none" w:sz="0" w:space="0" w:color="auto"/>
        <w:left w:val="none" w:sz="0" w:space="0" w:color="auto"/>
        <w:bottom w:val="none" w:sz="0" w:space="0" w:color="auto"/>
        <w:right w:val="none" w:sz="0" w:space="0" w:color="auto"/>
      </w:divBdr>
    </w:div>
    <w:div w:id="828790097">
      <w:bodyDiv w:val="1"/>
      <w:marLeft w:val="0"/>
      <w:marRight w:val="0"/>
      <w:marTop w:val="0"/>
      <w:marBottom w:val="0"/>
      <w:divBdr>
        <w:top w:val="none" w:sz="0" w:space="0" w:color="auto"/>
        <w:left w:val="none" w:sz="0" w:space="0" w:color="auto"/>
        <w:bottom w:val="none" w:sz="0" w:space="0" w:color="auto"/>
        <w:right w:val="none" w:sz="0" w:space="0" w:color="auto"/>
      </w:divBdr>
    </w:div>
    <w:div w:id="828907641">
      <w:bodyDiv w:val="1"/>
      <w:marLeft w:val="0"/>
      <w:marRight w:val="0"/>
      <w:marTop w:val="0"/>
      <w:marBottom w:val="0"/>
      <w:divBdr>
        <w:top w:val="none" w:sz="0" w:space="0" w:color="auto"/>
        <w:left w:val="none" w:sz="0" w:space="0" w:color="auto"/>
        <w:bottom w:val="none" w:sz="0" w:space="0" w:color="auto"/>
        <w:right w:val="none" w:sz="0" w:space="0" w:color="auto"/>
      </w:divBdr>
    </w:div>
    <w:div w:id="828908575">
      <w:bodyDiv w:val="1"/>
      <w:marLeft w:val="0"/>
      <w:marRight w:val="0"/>
      <w:marTop w:val="0"/>
      <w:marBottom w:val="0"/>
      <w:divBdr>
        <w:top w:val="none" w:sz="0" w:space="0" w:color="auto"/>
        <w:left w:val="none" w:sz="0" w:space="0" w:color="auto"/>
        <w:bottom w:val="none" w:sz="0" w:space="0" w:color="auto"/>
        <w:right w:val="none" w:sz="0" w:space="0" w:color="auto"/>
      </w:divBdr>
    </w:div>
    <w:div w:id="828987289">
      <w:bodyDiv w:val="1"/>
      <w:marLeft w:val="0"/>
      <w:marRight w:val="0"/>
      <w:marTop w:val="0"/>
      <w:marBottom w:val="0"/>
      <w:divBdr>
        <w:top w:val="none" w:sz="0" w:space="0" w:color="auto"/>
        <w:left w:val="none" w:sz="0" w:space="0" w:color="auto"/>
        <w:bottom w:val="none" w:sz="0" w:space="0" w:color="auto"/>
        <w:right w:val="none" w:sz="0" w:space="0" w:color="auto"/>
      </w:divBdr>
    </w:div>
    <w:div w:id="829058831">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29373260">
      <w:bodyDiv w:val="1"/>
      <w:marLeft w:val="0"/>
      <w:marRight w:val="0"/>
      <w:marTop w:val="0"/>
      <w:marBottom w:val="0"/>
      <w:divBdr>
        <w:top w:val="none" w:sz="0" w:space="0" w:color="auto"/>
        <w:left w:val="none" w:sz="0" w:space="0" w:color="auto"/>
        <w:bottom w:val="none" w:sz="0" w:space="0" w:color="auto"/>
        <w:right w:val="none" w:sz="0" w:space="0" w:color="auto"/>
      </w:divBdr>
    </w:div>
    <w:div w:id="829909366">
      <w:bodyDiv w:val="1"/>
      <w:marLeft w:val="0"/>
      <w:marRight w:val="0"/>
      <w:marTop w:val="0"/>
      <w:marBottom w:val="0"/>
      <w:divBdr>
        <w:top w:val="none" w:sz="0" w:space="0" w:color="auto"/>
        <w:left w:val="none" w:sz="0" w:space="0" w:color="auto"/>
        <w:bottom w:val="none" w:sz="0" w:space="0" w:color="auto"/>
        <w:right w:val="none" w:sz="0" w:space="0" w:color="auto"/>
      </w:divBdr>
    </w:div>
    <w:div w:id="830216169">
      <w:bodyDiv w:val="1"/>
      <w:marLeft w:val="0"/>
      <w:marRight w:val="0"/>
      <w:marTop w:val="0"/>
      <w:marBottom w:val="0"/>
      <w:divBdr>
        <w:top w:val="none" w:sz="0" w:space="0" w:color="auto"/>
        <w:left w:val="none" w:sz="0" w:space="0" w:color="auto"/>
        <w:bottom w:val="none" w:sz="0" w:space="0" w:color="auto"/>
        <w:right w:val="none" w:sz="0" w:space="0" w:color="auto"/>
      </w:divBdr>
    </w:div>
    <w:div w:id="830293053">
      <w:bodyDiv w:val="1"/>
      <w:marLeft w:val="0"/>
      <w:marRight w:val="0"/>
      <w:marTop w:val="0"/>
      <w:marBottom w:val="0"/>
      <w:divBdr>
        <w:top w:val="none" w:sz="0" w:space="0" w:color="auto"/>
        <w:left w:val="none" w:sz="0" w:space="0" w:color="auto"/>
        <w:bottom w:val="none" w:sz="0" w:space="0" w:color="auto"/>
        <w:right w:val="none" w:sz="0" w:space="0" w:color="auto"/>
      </w:divBdr>
    </w:div>
    <w:div w:id="830560841">
      <w:bodyDiv w:val="1"/>
      <w:marLeft w:val="0"/>
      <w:marRight w:val="0"/>
      <w:marTop w:val="0"/>
      <w:marBottom w:val="0"/>
      <w:divBdr>
        <w:top w:val="none" w:sz="0" w:space="0" w:color="auto"/>
        <w:left w:val="none" w:sz="0" w:space="0" w:color="auto"/>
        <w:bottom w:val="none" w:sz="0" w:space="0" w:color="auto"/>
        <w:right w:val="none" w:sz="0" w:space="0" w:color="auto"/>
      </w:divBdr>
    </w:div>
    <w:div w:id="830566741">
      <w:bodyDiv w:val="1"/>
      <w:marLeft w:val="0"/>
      <w:marRight w:val="0"/>
      <w:marTop w:val="0"/>
      <w:marBottom w:val="0"/>
      <w:divBdr>
        <w:top w:val="none" w:sz="0" w:space="0" w:color="auto"/>
        <w:left w:val="none" w:sz="0" w:space="0" w:color="auto"/>
        <w:bottom w:val="none" w:sz="0" w:space="0" w:color="auto"/>
        <w:right w:val="none" w:sz="0" w:space="0" w:color="auto"/>
      </w:divBdr>
    </w:div>
    <w:div w:id="830635673">
      <w:bodyDiv w:val="1"/>
      <w:marLeft w:val="0"/>
      <w:marRight w:val="0"/>
      <w:marTop w:val="0"/>
      <w:marBottom w:val="0"/>
      <w:divBdr>
        <w:top w:val="none" w:sz="0" w:space="0" w:color="auto"/>
        <w:left w:val="none" w:sz="0" w:space="0" w:color="auto"/>
        <w:bottom w:val="none" w:sz="0" w:space="0" w:color="auto"/>
        <w:right w:val="none" w:sz="0" w:space="0" w:color="auto"/>
      </w:divBdr>
    </w:div>
    <w:div w:id="830759297">
      <w:bodyDiv w:val="1"/>
      <w:marLeft w:val="0"/>
      <w:marRight w:val="0"/>
      <w:marTop w:val="0"/>
      <w:marBottom w:val="0"/>
      <w:divBdr>
        <w:top w:val="none" w:sz="0" w:space="0" w:color="auto"/>
        <w:left w:val="none" w:sz="0" w:space="0" w:color="auto"/>
        <w:bottom w:val="none" w:sz="0" w:space="0" w:color="auto"/>
        <w:right w:val="none" w:sz="0" w:space="0" w:color="auto"/>
      </w:divBdr>
    </w:div>
    <w:div w:id="831218880">
      <w:bodyDiv w:val="1"/>
      <w:marLeft w:val="0"/>
      <w:marRight w:val="0"/>
      <w:marTop w:val="0"/>
      <w:marBottom w:val="0"/>
      <w:divBdr>
        <w:top w:val="none" w:sz="0" w:space="0" w:color="auto"/>
        <w:left w:val="none" w:sz="0" w:space="0" w:color="auto"/>
        <w:bottom w:val="none" w:sz="0" w:space="0" w:color="auto"/>
        <w:right w:val="none" w:sz="0" w:space="0" w:color="auto"/>
      </w:divBdr>
    </w:div>
    <w:div w:id="831288349">
      <w:bodyDiv w:val="1"/>
      <w:marLeft w:val="0"/>
      <w:marRight w:val="0"/>
      <w:marTop w:val="0"/>
      <w:marBottom w:val="0"/>
      <w:divBdr>
        <w:top w:val="none" w:sz="0" w:space="0" w:color="auto"/>
        <w:left w:val="none" w:sz="0" w:space="0" w:color="auto"/>
        <w:bottom w:val="none" w:sz="0" w:space="0" w:color="auto"/>
        <w:right w:val="none" w:sz="0" w:space="0" w:color="auto"/>
      </w:divBdr>
    </w:div>
    <w:div w:id="831288464">
      <w:bodyDiv w:val="1"/>
      <w:marLeft w:val="0"/>
      <w:marRight w:val="0"/>
      <w:marTop w:val="0"/>
      <w:marBottom w:val="0"/>
      <w:divBdr>
        <w:top w:val="none" w:sz="0" w:space="0" w:color="auto"/>
        <w:left w:val="none" w:sz="0" w:space="0" w:color="auto"/>
        <w:bottom w:val="none" w:sz="0" w:space="0" w:color="auto"/>
        <w:right w:val="none" w:sz="0" w:space="0" w:color="auto"/>
      </w:divBdr>
    </w:div>
    <w:div w:id="831331376">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31993972">
      <w:bodyDiv w:val="1"/>
      <w:marLeft w:val="0"/>
      <w:marRight w:val="0"/>
      <w:marTop w:val="0"/>
      <w:marBottom w:val="0"/>
      <w:divBdr>
        <w:top w:val="none" w:sz="0" w:space="0" w:color="auto"/>
        <w:left w:val="none" w:sz="0" w:space="0" w:color="auto"/>
        <w:bottom w:val="none" w:sz="0" w:space="0" w:color="auto"/>
        <w:right w:val="none" w:sz="0" w:space="0" w:color="auto"/>
      </w:divBdr>
    </w:div>
    <w:div w:id="832139206">
      <w:bodyDiv w:val="1"/>
      <w:marLeft w:val="0"/>
      <w:marRight w:val="0"/>
      <w:marTop w:val="0"/>
      <w:marBottom w:val="0"/>
      <w:divBdr>
        <w:top w:val="none" w:sz="0" w:space="0" w:color="auto"/>
        <w:left w:val="none" w:sz="0" w:space="0" w:color="auto"/>
        <w:bottom w:val="none" w:sz="0" w:space="0" w:color="auto"/>
        <w:right w:val="none" w:sz="0" w:space="0" w:color="auto"/>
      </w:divBdr>
    </w:div>
    <w:div w:id="832183437">
      <w:bodyDiv w:val="1"/>
      <w:marLeft w:val="0"/>
      <w:marRight w:val="0"/>
      <w:marTop w:val="0"/>
      <w:marBottom w:val="0"/>
      <w:divBdr>
        <w:top w:val="none" w:sz="0" w:space="0" w:color="auto"/>
        <w:left w:val="none" w:sz="0" w:space="0" w:color="auto"/>
        <w:bottom w:val="none" w:sz="0" w:space="0" w:color="auto"/>
        <w:right w:val="none" w:sz="0" w:space="0" w:color="auto"/>
      </w:divBdr>
    </w:div>
    <w:div w:id="832333359">
      <w:bodyDiv w:val="1"/>
      <w:marLeft w:val="0"/>
      <w:marRight w:val="0"/>
      <w:marTop w:val="0"/>
      <w:marBottom w:val="0"/>
      <w:divBdr>
        <w:top w:val="none" w:sz="0" w:space="0" w:color="auto"/>
        <w:left w:val="none" w:sz="0" w:space="0" w:color="auto"/>
        <w:bottom w:val="none" w:sz="0" w:space="0" w:color="auto"/>
        <w:right w:val="none" w:sz="0" w:space="0" w:color="auto"/>
      </w:divBdr>
    </w:div>
    <w:div w:id="832843525">
      <w:bodyDiv w:val="1"/>
      <w:marLeft w:val="0"/>
      <w:marRight w:val="0"/>
      <w:marTop w:val="0"/>
      <w:marBottom w:val="0"/>
      <w:divBdr>
        <w:top w:val="none" w:sz="0" w:space="0" w:color="auto"/>
        <w:left w:val="none" w:sz="0" w:space="0" w:color="auto"/>
        <w:bottom w:val="none" w:sz="0" w:space="0" w:color="auto"/>
        <w:right w:val="none" w:sz="0" w:space="0" w:color="auto"/>
      </w:divBdr>
    </w:div>
    <w:div w:id="833107852">
      <w:bodyDiv w:val="1"/>
      <w:marLeft w:val="0"/>
      <w:marRight w:val="0"/>
      <w:marTop w:val="0"/>
      <w:marBottom w:val="0"/>
      <w:divBdr>
        <w:top w:val="none" w:sz="0" w:space="0" w:color="auto"/>
        <w:left w:val="none" w:sz="0" w:space="0" w:color="auto"/>
        <w:bottom w:val="none" w:sz="0" w:space="0" w:color="auto"/>
        <w:right w:val="none" w:sz="0" w:space="0" w:color="auto"/>
      </w:divBdr>
    </w:div>
    <w:div w:id="833644567">
      <w:bodyDiv w:val="1"/>
      <w:marLeft w:val="0"/>
      <w:marRight w:val="0"/>
      <w:marTop w:val="0"/>
      <w:marBottom w:val="0"/>
      <w:divBdr>
        <w:top w:val="none" w:sz="0" w:space="0" w:color="auto"/>
        <w:left w:val="none" w:sz="0" w:space="0" w:color="auto"/>
        <w:bottom w:val="none" w:sz="0" w:space="0" w:color="auto"/>
        <w:right w:val="none" w:sz="0" w:space="0" w:color="auto"/>
      </w:divBdr>
    </w:div>
    <w:div w:id="834227831">
      <w:bodyDiv w:val="1"/>
      <w:marLeft w:val="0"/>
      <w:marRight w:val="0"/>
      <w:marTop w:val="0"/>
      <w:marBottom w:val="0"/>
      <w:divBdr>
        <w:top w:val="none" w:sz="0" w:space="0" w:color="auto"/>
        <w:left w:val="none" w:sz="0" w:space="0" w:color="auto"/>
        <w:bottom w:val="none" w:sz="0" w:space="0" w:color="auto"/>
        <w:right w:val="none" w:sz="0" w:space="0" w:color="auto"/>
      </w:divBdr>
    </w:div>
    <w:div w:id="834564498">
      <w:bodyDiv w:val="1"/>
      <w:marLeft w:val="0"/>
      <w:marRight w:val="0"/>
      <w:marTop w:val="0"/>
      <w:marBottom w:val="0"/>
      <w:divBdr>
        <w:top w:val="none" w:sz="0" w:space="0" w:color="auto"/>
        <w:left w:val="none" w:sz="0" w:space="0" w:color="auto"/>
        <w:bottom w:val="none" w:sz="0" w:space="0" w:color="auto"/>
        <w:right w:val="none" w:sz="0" w:space="0" w:color="auto"/>
      </w:divBdr>
    </w:div>
    <w:div w:id="834880546">
      <w:bodyDiv w:val="1"/>
      <w:marLeft w:val="0"/>
      <w:marRight w:val="0"/>
      <w:marTop w:val="0"/>
      <w:marBottom w:val="0"/>
      <w:divBdr>
        <w:top w:val="none" w:sz="0" w:space="0" w:color="auto"/>
        <w:left w:val="none" w:sz="0" w:space="0" w:color="auto"/>
        <w:bottom w:val="none" w:sz="0" w:space="0" w:color="auto"/>
        <w:right w:val="none" w:sz="0" w:space="0" w:color="auto"/>
      </w:divBdr>
    </w:div>
    <w:div w:id="834959166">
      <w:bodyDiv w:val="1"/>
      <w:marLeft w:val="0"/>
      <w:marRight w:val="0"/>
      <w:marTop w:val="0"/>
      <w:marBottom w:val="0"/>
      <w:divBdr>
        <w:top w:val="none" w:sz="0" w:space="0" w:color="auto"/>
        <w:left w:val="none" w:sz="0" w:space="0" w:color="auto"/>
        <w:bottom w:val="none" w:sz="0" w:space="0" w:color="auto"/>
        <w:right w:val="none" w:sz="0" w:space="0" w:color="auto"/>
      </w:divBdr>
    </w:div>
    <w:div w:id="835458059">
      <w:bodyDiv w:val="1"/>
      <w:marLeft w:val="0"/>
      <w:marRight w:val="0"/>
      <w:marTop w:val="0"/>
      <w:marBottom w:val="0"/>
      <w:divBdr>
        <w:top w:val="none" w:sz="0" w:space="0" w:color="auto"/>
        <w:left w:val="none" w:sz="0" w:space="0" w:color="auto"/>
        <w:bottom w:val="none" w:sz="0" w:space="0" w:color="auto"/>
        <w:right w:val="none" w:sz="0" w:space="0" w:color="auto"/>
      </w:divBdr>
    </w:div>
    <w:div w:id="835804684">
      <w:bodyDiv w:val="1"/>
      <w:marLeft w:val="0"/>
      <w:marRight w:val="0"/>
      <w:marTop w:val="0"/>
      <w:marBottom w:val="0"/>
      <w:divBdr>
        <w:top w:val="none" w:sz="0" w:space="0" w:color="auto"/>
        <w:left w:val="none" w:sz="0" w:space="0" w:color="auto"/>
        <w:bottom w:val="none" w:sz="0" w:space="0" w:color="auto"/>
        <w:right w:val="none" w:sz="0" w:space="0" w:color="auto"/>
      </w:divBdr>
    </w:div>
    <w:div w:id="835878564">
      <w:bodyDiv w:val="1"/>
      <w:marLeft w:val="0"/>
      <w:marRight w:val="0"/>
      <w:marTop w:val="0"/>
      <w:marBottom w:val="0"/>
      <w:divBdr>
        <w:top w:val="none" w:sz="0" w:space="0" w:color="auto"/>
        <w:left w:val="none" w:sz="0" w:space="0" w:color="auto"/>
        <w:bottom w:val="none" w:sz="0" w:space="0" w:color="auto"/>
        <w:right w:val="none" w:sz="0" w:space="0" w:color="auto"/>
      </w:divBdr>
    </w:div>
    <w:div w:id="835993023">
      <w:bodyDiv w:val="1"/>
      <w:marLeft w:val="0"/>
      <w:marRight w:val="0"/>
      <w:marTop w:val="0"/>
      <w:marBottom w:val="0"/>
      <w:divBdr>
        <w:top w:val="none" w:sz="0" w:space="0" w:color="auto"/>
        <w:left w:val="none" w:sz="0" w:space="0" w:color="auto"/>
        <w:bottom w:val="none" w:sz="0" w:space="0" w:color="auto"/>
        <w:right w:val="none" w:sz="0" w:space="0" w:color="auto"/>
      </w:divBdr>
    </w:div>
    <w:div w:id="836069384">
      <w:bodyDiv w:val="1"/>
      <w:marLeft w:val="0"/>
      <w:marRight w:val="0"/>
      <w:marTop w:val="0"/>
      <w:marBottom w:val="0"/>
      <w:divBdr>
        <w:top w:val="none" w:sz="0" w:space="0" w:color="auto"/>
        <w:left w:val="none" w:sz="0" w:space="0" w:color="auto"/>
        <w:bottom w:val="none" w:sz="0" w:space="0" w:color="auto"/>
        <w:right w:val="none" w:sz="0" w:space="0" w:color="auto"/>
      </w:divBdr>
    </w:div>
    <w:div w:id="836503819">
      <w:bodyDiv w:val="1"/>
      <w:marLeft w:val="0"/>
      <w:marRight w:val="0"/>
      <w:marTop w:val="0"/>
      <w:marBottom w:val="0"/>
      <w:divBdr>
        <w:top w:val="none" w:sz="0" w:space="0" w:color="auto"/>
        <w:left w:val="none" w:sz="0" w:space="0" w:color="auto"/>
        <w:bottom w:val="none" w:sz="0" w:space="0" w:color="auto"/>
        <w:right w:val="none" w:sz="0" w:space="0" w:color="auto"/>
      </w:divBdr>
    </w:div>
    <w:div w:id="836918586">
      <w:bodyDiv w:val="1"/>
      <w:marLeft w:val="0"/>
      <w:marRight w:val="0"/>
      <w:marTop w:val="0"/>
      <w:marBottom w:val="0"/>
      <w:divBdr>
        <w:top w:val="none" w:sz="0" w:space="0" w:color="auto"/>
        <w:left w:val="none" w:sz="0" w:space="0" w:color="auto"/>
        <w:bottom w:val="none" w:sz="0" w:space="0" w:color="auto"/>
        <w:right w:val="none" w:sz="0" w:space="0" w:color="auto"/>
      </w:divBdr>
    </w:div>
    <w:div w:id="837116153">
      <w:bodyDiv w:val="1"/>
      <w:marLeft w:val="0"/>
      <w:marRight w:val="0"/>
      <w:marTop w:val="0"/>
      <w:marBottom w:val="0"/>
      <w:divBdr>
        <w:top w:val="none" w:sz="0" w:space="0" w:color="auto"/>
        <w:left w:val="none" w:sz="0" w:space="0" w:color="auto"/>
        <w:bottom w:val="none" w:sz="0" w:space="0" w:color="auto"/>
        <w:right w:val="none" w:sz="0" w:space="0" w:color="auto"/>
      </w:divBdr>
    </w:div>
    <w:div w:id="837499048">
      <w:bodyDiv w:val="1"/>
      <w:marLeft w:val="0"/>
      <w:marRight w:val="0"/>
      <w:marTop w:val="0"/>
      <w:marBottom w:val="0"/>
      <w:divBdr>
        <w:top w:val="none" w:sz="0" w:space="0" w:color="auto"/>
        <w:left w:val="none" w:sz="0" w:space="0" w:color="auto"/>
        <w:bottom w:val="none" w:sz="0" w:space="0" w:color="auto"/>
        <w:right w:val="none" w:sz="0" w:space="0" w:color="auto"/>
      </w:divBdr>
    </w:div>
    <w:div w:id="837771447">
      <w:bodyDiv w:val="1"/>
      <w:marLeft w:val="0"/>
      <w:marRight w:val="0"/>
      <w:marTop w:val="0"/>
      <w:marBottom w:val="0"/>
      <w:divBdr>
        <w:top w:val="none" w:sz="0" w:space="0" w:color="auto"/>
        <w:left w:val="none" w:sz="0" w:space="0" w:color="auto"/>
        <w:bottom w:val="none" w:sz="0" w:space="0" w:color="auto"/>
        <w:right w:val="none" w:sz="0" w:space="0" w:color="auto"/>
      </w:divBdr>
    </w:div>
    <w:div w:id="837966532">
      <w:bodyDiv w:val="1"/>
      <w:marLeft w:val="0"/>
      <w:marRight w:val="0"/>
      <w:marTop w:val="0"/>
      <w:marBottom w:val="0"/>
      <w:divBdr>
        <w:top w:val="none" w:sz="0" w:space="0" w:color="auto"/>
        <w:left w:val="none" w:sz="0" w:space="0" w:color="auto"/>
        <w:bottom w:val="none" w:sz="0" w:space="0" w:color="auto"/>
        <w:right w:val="none" w:sz="0" w:space="0" w:color="auto"/>
      </w:divBdr>
    </w:div>
    <w:div w:id="839004475">
      <w:bodyDiv w:val="1"/>
      <w:marLeft w:val="0"/>
      <w:marRight w:val="0"/>
      <w:marTop w:val="0"/>
      <w:marBottom w:val="0"/>
      <w:divBdr>
        <w:top w:val="none" w:sz="0" w:space="0" w:color="auto"/>
        <w:left w:val="none" w:sz="0" w:space="0" w:color="auto"/>
        <w:bottom w:val="none" w:sz="0" w:space="0" w:color="auto"/>
        <w:right w:val="none" w:sz="0" w:space="0" w:color="auto"/>
      </w:divBdr>
    </w:div>
    <w:div w:id="839154624">
      <w:bodyDiv w:val="1"/>
      <w:marLeft w:val="0"/>
      <w:marRight w:val="0"/>
      <w:marTop w:val="0"/>
      <w:marBottom w:val="0"/>
      <w:divBdr>
        <w:top w:val="none" w:sz="0" w:space="0" w:color="auto"/>
        <w:left w:val="none" w:sz="0" w:space="0" w:color="auto"/>
        <w:bottom w:val="none" w:sz="0" w:space="0" w:color="auto"/>
        <w:right w:val="none" w:sz="0" w:space="0" w:color="auto"/>
      </w:divBdr>
    </w:div>
    <w:div w:id="839198174">
      <w:bodyDiv w:val="1"/>
      <w:marLeft w:val="0"/>
      <w:marRight w:val="0"/>
      <w:marTop w:val="0"/>
      <w:marBottom w:val="0"/>
      <w:divBdr>
        <w:top w:val="none" w:sz="0" w:space="0" w:color="auto"/>
        <w:left w:val="none" w:sz="0" w:space="0" w:color="auto"/>
        <w:bottom w:val="none" w:sz="0" w:space="0" w:color="auto"/>
        <w:right w:val="none" w:sz="0" w:space="0" w:color="auto"/>
      </w:divBdr>
    </w:div>
    <w:div w:id="839392923">
      <w:bodyDiv w:val="1"/>
      <w:marLeft w:val="0"/>
      <w:marRight w:val="0"/>
      <w:marTop w:val="0"/>
      <w:marBottom w:val="0"/>
      <w:divBdr>
        <w:top w:val="none" w:sz="0" w:space="0" w:color="auto"/>
        <w:left w:val="none" w:sz="0" w:space="0" w:color="auto"/>
        <w:bottom w:val="none" w:sz="0" w:space="0" w:color="auto"/>
        <w:right w:val="none" w:sz="0" w:space="0" w:color="auto"/>
      </w:divBdr>
    </w:div>
    <w:div w:id="839659262">
      <w:bodyDiv w:val="1"/>
      <w:marLeft w:val="0"/>
      <w:marRight w:val="0"/>
      <w:marTop w:val="0"/>
      <w:marBottom w:val="0"/>
      <w:divBdr>
        <w:top w:val="none" w:sz="0" w:space="0" w:color="auto"/>
        <w:left w:val="none" w:sz="0" w:space="0" w:color="auto"/>
        <w:bottom w:val="none" w:sz="0" w:space="0" w:color="auto"/>
        <w:right w:val="none" w:sz="0" w:space="0" w:color="auto"/>
      </w:divBdr>
    </w:div>
    <w:div w:id="840003089">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0437075">
      <w:bodyDiv w:val="1"/>
      <w:marLeft w:val="0"/>
      <w:marRight w:val="0"/>
      <w:marTop w:val="0"/>
      <w:marBottom w:val="0"/>
      <w:divBdr>
        <w:top w:val="none" w:sz="0" w:space="0" w:color="auto"/>
        <w:left w:val="none" w:sz="0" w:space="0" w:color="auto"/>
        <w:bottom w:val="none" w:sz="0" w:space="0" w:color="auto"/>
        <w:right w:val="none" w:sz="0" w:space="0" w:color="auto"/>
      </w:divBdr>
    </w:div>
    <w:div w:id="840972207">
      <w:bodyDiv w:val="1"/>
      <w:marLeft w:val="0"/>
      <w:marRight w:val="0"/>
      <w:marTop w:val="0"/>
      <w:marBottom w:val="0"/>
      <w:divBdr>
        <w:top w:val="none" w:sz="0" w:space="0" w:color="auto"/>
        <w:left w:val="none" w:sz="0" w:space="0" w:color="auto"/>
        <w:bottom w:val="none" w:sz="0" w:space="0" w:color="auto"/>
        <w:right w:val="none" w:sz="0" w:space="0" w:color="auto"/>
      </w:divBdr>
    </w:div>
    <w:div w:id="841357655">
      <w:bodyDiv w:val="1"/>
      <w:marLeft w:val="0"/>
      <w:marRight w:val="0"/>
      <w:marTop w:val="0"/>
      <w:marBottom w:val="0"/>
      <w:divBdr>
        <w:top w:val="none" w:sz="0" w:space="0" w:color="auto"/>
        <w:left w:val="none" w:sz="0" w:space="0" w:color="auto"/>
        <w:bottom w:val="none" w:sz="0" w:space="0" w:color="auto"/>
        <w:right w:val="none" w:sz="0" w:space="0" w:color="auto"/>
      </w:divBdr>
    </w:div>
    <w:div w:id="842203702">
      <w:bodyDiv w:val="1"/>
      <w:marLeft w:val="0"/>
      <w:marRight w:val="0"/>
      <w:marTop w:val="0"/>
      <w:marBottom w:val="0"/>
      <w:divBdr>
        <w:top w:val="none" w:sz="0" w:space="0" w:color="auto"/>
        <w:left w:val="none" w:sz="0" w:space="0" w:color="auto"/>
        <w:bottom w:val="none" w:sz="0" w:space="0" w:color="auto"/>
        <w:right w:val="none" w:sz="0" w:space="0" w:color="auto"/>
      </w:divBdr>
    </w:div>
    <w:div w:id="842476879">
      <w:bodyDiv w:val="1"/>
      <w:marLeft w:val="0"/>
      <w:marRight w:val="0"/>
      <w:marTop w:val="0"/>
      <w:marBottom w:val="0"/>
      <w:divBdr>
        <w:top w:val="none" w:sz="0" w:space="0" w:color="auto"/>
        <w:left w:val="none" w:sz="0" w:space="0" w:color="auto"/>
        <w:bottom w:val="none" w:sz="0" w:space="0" w:color="auto"/>
        <w:right w:val="none" w:sz="0" w:space="0" w:color="auto"/>
      </w:divBdr>
    </w:div>
    <w:div w:id="842625386">
      <w:bodyDiv w:val="1"/>
      <w:marLeft w:val="0"/>
      <w:marRight w:val="0"/>
      <w:marTop w:val="0"/>
      <w:marBottom w:val="0"/>
      <w:divBdr>
        <w:top w:val="none" w:sz="0" w:space="0" w:color="auto"/>
        <w:left w:val="none" w:sz="0" w:space="0" w:color="auto"/>
        <w:bottom w:val="none" w:sz="0" w:space="0" w:color="auto"/>
        <w:right w:val="none" w:sz="0" w:space="0" w:color="auto"/>
      </w:divBdr>
    </w:div>
    <w:div w:id="843132013">
      <w:bodyDiv w:val="1"/>
      <w:marLeft w:val="0"/>
      <w:marRight w:val="0"/>
      <w:marTop w:val="0"/>
      <w:marBottom w:val="0"/>
      <w:divBdr>
        <w:top w:val="none" w:sz="0" w:space="0" w:color="auto"/>
        <w:left w:val="none" w:sz="0" w:space="0" w:color="auto"/>
        <w:bottom w:val="none" w:sz="0" w:space="0" w:color="auto"/>
        <w:right w:val="none" w:sz="0" w:space="0" w:color="auto"/>
      </w:divBdr>
    </w:div>
    <w:div w:id="843469978">
      <w:bodyDiv w:val="1"/>
      <w:marLeft w:val="0"/>
      <w:marRight w:val="0"/>
      <w:marTop w:val="0"/>
      <w:marBottom w:val="0"/>
      <w:divBdr>
        <w:top w:val="none" w:sz="0" w:space="0" w:color="auto"/>
        <w:left w:val="none" w:sz="0" w:space="0" w:color="auto"/>
        <w:bottom w:val="none" w:sz="0" w:space="0" w:color="auto"/>
        <w:right w:val="none" w:sz="0" w:space="0" w:color="auto"/>
      </w:divBdr>
    </w:div>
    <w:div w:id="843591910">
      <w:bodyDiv w:val="1"/>
      <w:marLeft w:val="0"/>
      <w:marRight w:val="0"/>
      <w:marTop w:val="0"/>
      <w:marBottom w:val="0"/>
      <w:divBdr>
        <w:top w:val="none" w:sz="0" w:space="0" w:color="auto"/>
        <w:left w:val="none" w:sz="0" w:space="0" w:color="auto"/>
        <w:bottom w:val="none" w:sz="0" w:space="0" w:color="auto"/>
        <w:right w:val="none" w:sz="0" w:space="0" w:color="auto"/>
      </w:divBdr>
    </w:div>
    <w:div w:id="844200288">
      <w:bodyDiv w:val="1"/>
      <w:marLeft w:val="0"/>
      <w:marRight w:val="0"/>
      <w:marTop w:val="0"/>
      <w:marBottom w:val="0"/>
      <w:divBdr>
        <w:top w:val="none" w:sz="0" w:space="0" w:color="auto"/>
        <w:left w:val="none" w:sz="0" w:space="0" w:color="auto"/>
        <w:bottom w:val="none" w:sz="0" w:space="0" w:color="auto"/>
        <w:right w:val="none" w:sz="0" w:space="0" w:color="auto"/>
      </w:divBdr>
    </w:div>
    <w:div w:id="844438270">
      <w:bodyDiv w:val="1"/>
      <w:marLeft w:val="0"/>
      <w:marRight w:val="0"/>
      <w:marTop w:val="0"/>
      <w:marBottom w:val="0"/>
      <w:divBdr>
        <w:top w:val="none" w:sz="0" w:space="0" w:color="auto"/>
        <w:left w:val="none" w:sz="0" w:space="0" w:color="auto"/>
        <w:bottom w:val="none" w:sz="0" w:space="0" w:color="auto"/>
        <w:right w:val="none" w:sz="0" w:space="0" w:color="auto"/>
      </w:divBdr>
    </w:div>
    <w:div w:id="845168802">
      <w:bodyDiv w:val="1"/>
      <w:marLeft w:val="0"/>
      <w:marRight w:val="0"/>
      <w:marTop w:val="0"/>
      <w:marBottom w:val="0"/>
      <w:divBdr>
        <w:top w:val="none" w:sz="0" w:space="0" w:color="auto"/>
        <w:left w:val="none" w:sz="0" w:space="0" w:color="auto"/>
        <w:bottom w:val="none" w:sz="0" w:space="0" w:color="auto"/>
        <w:right w:val="none" w:sz="0" w:space="0" w:color="auto"/>
      </w:divBdr>
    </w:div>
    <w:div w:id="845369258">
      <w:bodyDiv w:val="1"/>
      <w:marLeft w:val="0"/>
      <w:marRight w:val="0"/>
      <w:marTop w:val="0"/>
      <w:marBottom w:val="0"/>
      <w:divBdr>
        <w:top w:val="none" w:sz="0" w:space="0" w:color="auto"/>
        <w:left w:val="none" w:sz="0" w:space="0" w:color="auto"/>
        <w:bottom w:val="none" w:sz="0" w:space="0" w:color="auto"/>
        <w:right w:val="none" w:sz="0" w:space="0" w:color="auto"/>
      </w:divBdr>
    </w:div>
    <w:div w:id="845747083">
      <w:bodyDiv w:val="1"/>
      <w:marLeft w:val="0"/>
      <w:marRight w:val="0"/>
      <w:marTop w:val="0"/>
      <w:marBottom w:val="0"/>
      <w:divBdr>
        <w:top w:val="none" w:sz="0" w:space="0" w:color="auto"/>
        <w:left w:val="none" w:sz="0" w:space="0" w:color="auto"/>
        <w:bottom w:val="none" w:sz="0" w:space="0" w:color="auto"/>
        <w:right w:val="none" w:sz="0" w:space="0" w:color="auto"/>
      </w:divBdr>
    </w:div>
    <w:div w:id="846362496">
      <w:bodyDiv w:val="1"/>
      <w:marLeft w:val="0"/>
      <w:marRight w:val="0"/>
      <w:marTop w:val="0"/>
      <w:marBottom w:val="0"/>
      <w:divBdr>
        <w:top w:val="none" w:sz="0" w:space="0" w:color="auto"/>
        <w:left w:val="none" w:sz="0" w:space="0" w:color="auto"/>
        <w:bottom w:val="none" w:sz="0" w:space="0" w:color="auto"/>
        <w:right w:val="none" w:sz="0" w:space="0" w:color="auto"/>
      </w:divBdr>
    </w:div>
    <w:div w:id="846677472">
      <w:bodyDiv w:val="1"/>
      <w:marLeft w:val="0"/>
      <w:marRight w:val="0"/>
      <w:marTop w:val="0"/>
      <w:marBottom w:val="0"/>
      <w:divBdr>
        <w:top w:val="none" w:sz="0" w:space="0" w:color="auto"/>
        <w:left w:val="none" w:sz="0" w:space="0" w:color="auto"/>
        <w:bottom w:val="none" w:sz="0" w:space="0" w:color="auto"/>
        <w:right w:val="none" w:sz="0" w:space="0" w:color="auto"/>
      </w:divBdr>
    </w:div>
    <w:div w:id="846864391">
      <w:bodyDiv w:val="1"/>
      <w:marLeft w:val="0"/>
      <w:marRight w:val="0"/>
      <w:marTop w:val="0"/>
      <w:marBottom w:val="0"/>
      <w:divBdr>
        <w:top w:val="none" w:sz="0" w:space="0" w:color="auto"/>
        <w:left w:val="none" w:sz="0" w:space="0" w:color="auto"/>
        <w:bottom w:val="none" w:sz="0" w:space="0" w:color="auto"/>
        <w:right w:val="none" w:sz="0" w:space="0" w:color="auto"/>
      </w:divBdr>
    </w:div>
    <w:div w:id="847863772">
      <w:bodyDiv w:val="1"/>
      <w:marLeft w:val="0"/>
      <w:marRight w:val="0"/>
      <w:marTop w:val="0"/>
      <w:marBottom w:val="0"/>
      <w:divBdr>
        <w:top w:val="none" w:sz="0" w:space="0" w:color="auto"/>
        <w:left w:val="none" w:sz="0" w:space="0" w:color="auto"/>
        <w:bottom w:val="none" w:sz="0" w:space="0" w:color="auto"/>
        <w:right w:val="none" w:sz="0" w:space="0" w:color="auto"/>
      </w:divBdr>
    </w:div>
    <w:div w:id="848180316">
      <w:bodyDiv w:val="1"/>
      <w:marLeft w:val="0"/>
      <w:marRight w:val="0"/>
      <w:marTop w:val="0"/>
      <w:marBottom w:val="0"/>
      <w:divBdr>
        <w:top w:val="none" w:sz="0" w:space="0" w:color="auto"/>
        <w:left w:val="none" w:sz="0" w:space="0" w:color="auto"/>
        <w:bottom w:val="none" w:sz="0" w:space="0" w:color="auto"/>
        <w:right w:val="none" w:sz="0" w:space="0" w:color="auto"/>
      </w:divBdr>
    </w:div>
    <w:div w:id="848450212">
      <w:bodyDiv w:val="1"/>
      <w:marLeft w:val="0"/>
      <w:marRight w:val="0"/>
      <w:marTop w:val="0"/>
      <w:marBottom w:val="0"/>
      <w:divBdr>
        <w:top w:val="none" w:sz="0" w:space="0" w:color="auto"/>
        <w:left w:val="none" w:sz="0" w:space="0" w:color="auto"/>
        <w:bottom w:val="none" w:sz="0" w:space="0" w:color="auto"/>
        <w:right w:val="none" w:sz="0" w:space="0" w:color="auto"/>
      </w:divBdr>
    </w:div>
    <w:div w:id="848640924">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54463">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49175695">
      <w:bodyDiv w:val="1"/>
      <w:marLeft w:val="0"/>
      <w:marRight w:val="0"/>
      <w:marTop w:val="0"/>
      <w:marBottom w:val="0"/>
      <w:divBdr>
        <w:top w:val="none" w:sz="0" w:space="0" w:color="auto"/>
        <w:left w:val="none" w:sz="0" w:space="0" w:color="auto"/>
        <w:bottom w:val="none" w:sz="0" w:space="0" w:color="auto"/>
        <w:right w:val="none" w:sz="0" w:space="0" w:color="auto"/>
      </w:divBdr>
    </w:div>
    <w:div w:id="849368562">
      <w:bodyDiv w:val="1"/>
      <w:marLeft w:val="0"/>
      <w:marRight w:val="0"/>
      <w:marTop w:val="0"/>
      <w:marBottom w:val="0"/>
      <w:divBdr>
        <w:top w:val="none" w:sz="0" w:space="0" w:color="auto"/>
        <w:left w:val="none" w:sz="0" w:space="0" w:color="auto"/>
        <w:bottom w:val="none" w:sz="0" w:space="0" w:color="auto"/>
        <w:right w:val="none" w:sz="0" w:space="0" w:color="auto"/>
      </w:divBdr>
    </w:div>
    <w:div w:id="849372088">
      <w:bodyDiv w:val="1"/>
      <w:marLeft w:val="0"/>
      <w:marRight w:val="0"/>
      <w:marTop w:val="0"/>
      <w:marBottom w:val="0"/>
      <w:divBdr>
        <w:top w:val="none" w:sz="0" w:space="0" w:color="auto"/>
        <w:left w:val="none" w:sz="0" w:space="0" w:color="auto"/>
        <w:bottom w:val="none" w:sz="0" w:space="0" w:color="auto"/>
        <w:right w:val="none" w:sz="0" w:space="0" w:color="auto"/>
      </w:divBdr>
    </w:div>
    <w:div w:id="849611477">
      <w:bodyDiv w:val="1"/>
      <w:marLeft w:val="0"/>
      <w:marRight w:val="0"/>
      <w:marTop w:val="0"/>
      <w:marBottom w:val="0"/>
      <w:divBdr>
        <w:top w:val="none" w:sz="0" w:space="0" w:color="auto"/>
        <w:left w:val="none" w:sz="0" w:space="0" w:color="auto"/>
        <w:bottom w:val="none" w:sz="0" w:space="0" w:color="auto"/>
        <w:right w:val="none" w:sz="0" w:space="0" w:color="auto"/>
      </w:divBdr>
    </w:div>
    <w:div w:id="849759933">
      <w:bodyDiv w:val="1"/>
      <w:marLeft w:val="0"/>
      <w:marRight w:val="0"/>
      <w:marTop w:val="0"/>
      <w:marBottom w:val="0"/>
      <w:divBdr>
        <w:top w:val="none" w:sz="0" w:space="0" w:color="auto"/>
        <w:left w:val="none" w:sz="0" w:space="0" w:color="auto"/>
        <w:bottom w:val="none" w:sz="0" w:space="0" w:color="auto"/>
        <w:right w:val="none" w:sz="0" w:space="0" w:color="auto"/>
      </w:divBdr>
    </w:div>
    <w:div w:id="850485496">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51064071">
      <w:bodyDiv w:val="1"/>
      <w:marLeft w:val="0"/>
      <w:marRight w:val="0"/>
      <w:marTop w:val="0"/>
      <w:marBottom w:val="0"/>
      <w:divBdr>
        <w:top w:val="none" w:sz="0" w:space="0" w:color="auto"/>
        <w:left w:val="none" w:sz="0" w:space="0" w:color="auto"/>
        <w:bottom w:val="none" w:sz="0" w:space="0" w:color="auto"/>
        <w:right w:val="none" w:sz="0" w:space="0" w:color="auto"/>
      </w:divBdr>
    </w:div>
    <w:div w:id="851341870">
      <w:bodyDiv w:val="1"/>
      <w:marLeft w:val="0"/>
      <w:marRight w:val="0"/>
      <w:marTop w:val="0"/>
      <w:marBottom w:val="0"/>
      <w:divBdr>
        <w:top w:val="none" w:sz="0" w:space="0" w:color="auto"/>
        <w:left w:val="none" w:sz="0" w:space="0" w:color="auto"/>
        <w:bottom w:val="none" w:sz="0" w:space="0" w:color="auto"/>
        <w:right w:val="none" w:sz="0" w:space="0" w:color="auto"/>
      </w:divBdr>
    </w:div>
    <w:div w:id="851601246">
      <w:bodyDiv w:val="1"/>
      <w:marLeft w:val="0"/>
      <w:marRight w:val="0"/>
      <w:marTop w:val="0"/>
      <w:marBottom w:val="0"/>
      <w:divBdr>
        <w:top w:val="none" w:sz="0" w:space="0" w:color="auto"/>
        <w:left w:val="none" w:sz="0" w:space="0" w:color="auto"/>
        <w:bottom w:val="none" w:sz="0" w:space="0" w:color="auto"/>
        <w:right w:val="none" w:sz="0" w:space="0" w:color="auto"/>
      </w:divBdr>
    </w:div>
    <w:div w:id="851842821">
      <w:bodyDiv w:val="1"/>
      <w:marLeft w:val="0"/>
      <w:marRight w:val="0"/>
      <w:marTop w:val="0"/>
      <w:marBottom w:val="0"/>
      <w:divBdr>
        <w:top w:val="none" w:sz="0" w:space="0" w:color="auto"/>
        <w:left w:val="none" w:sz="0" w:space="0" w:color="auto"/>
        <w:bottom w:val="none" w:sz="0" w:space="0" w:color="auto"/>
        <w:right w:val="none" w:sz="0" w:space="0" w:color="auto"/>
      </w:divBdr>
    </w:div>
    <w:div w:id="852261929">
      <w:bodyDiv w:val="1"/>
      <w:marLeft w:val="0"/>
      <w:marRight w:val="0"/>
      <w:marTop w:val="0"/>
      <w:marBottom w:val="0"/>
      <w:divBdr>
        <w:top w:val="none" w:sz="0" w:space="0" w:color="auto"/>
        <w:left w:val="none" w:sz="0" w:space="0" w:color="auto"/>
        <w:bottom w:val="none" w:sz="0" w:space="0" w:color="auto"/>
        <w:right w:val="none" w:sz="0" w:space="0" w:color="auto"/>
      </w:divBdr>
    </w:div>
    <w:div w:id="852887074">
      <w:bodyDiv w:val="1"/>
      <w:marLeft w:val="0"/>
      <w:marRight w:val="0"/>
      <w:marTop w:val="0"/>
      <w:marBottom w:val="0"/>
      <w:divBdr>
        <w:top w:val="none" w:sz="0" w:space="0" w:color="auto"/>
        <w:left w:val="none" w:sz="0" w:space="0" w:color="auto"/>
        <w:bottom w:val="none" w:sz="0" w:space="0" w:color="auto"/>
        <w:right w:val="none" w:sz="0" w:space="0" w:color="auto"/>
      </w:divBdr>
    </w:div>
    <w:div w:id="853498973">
      <w:bodyDiv w:val="1"/>
      <w:marLeft w:val="0"/>
      <w:marRight w:val="0"/>
      <w:marTop w:val="0"/>
      <w:marBottom w:val="0"/>
      <w:divBdr>
        <w:top w:val="none" w:sz="0" w:space="0" w:color="auto"/>
        <w:left w:val="none" w:sz="0" w:space="0" w:color="auto"/>
        <w:bottom w:val="none" w:sz="0" w:space="0" w:color="auto"/>
        <w:right w:val="none" w:sz="0" w:space="0" w:color="auto"/>
      </w:divBdr>
    </w:div>
    <w:div w:id="853884744">
      <w:bodyDiv w:val="1"/>
      <w:marLeft w:val="0"/>
      <w:marRight w:val="0"/>
      <w:marTop w:val="0"/>
      <w:marBottom w:val="0"/>
      <w:divBdr>
        <w:top w:val="none" w:sz="0" w:space="0" w:color="auto"/>
        <w:left w:val="none" w:sz="0" w:space="0" w:color="auto"/>
        <w:bottom w:val="none" w:sz="0" w:space="0" w:color="auto"/>
        <w:right w:val="none" w:sz="0" w:space="0" w:color="auto"/>
      </w:divBdr>
    </w:div>
    <w:div w:id="853959445">
      <w:bodyDiv w:val="1"/>
      <w:marLeft w:val="0"/>
      <w:marRight w:val="0"/>
      <w:marTop w:val="0"/>
      <w:marBottom w:val="0"/>
      <w:divBdr>
        <w:top w:val="none" w:sz="0" w:space="0" w:color="auto"/>
        <w:left w:val="none" w:sz="0" w:space="0" w:color="auto"/>
        <w:bottom w:val="none" w:sz="0" w:space="0" w:color="auto"/>
        <w:right w:val="none" w:sz="0" w:space="0" w:color="auto"/>
      </w:divBdr>
    </w:div>
    <w:div w:id="854268806">
      <w:bodyDiv w:val="1"/>
      <w:marLeft w:val="0"/>
      <w:marRight w:val="0"/>
      <w:marTop w:val="0"/>
      <w:marBottom w:val="0"/>
      <w:divBdr>
        <w:top w:val="none" w:sz="0" w:space="0" w:color="auto"/>
        <w:left w:val="none" w:sz="0" w:space="0" w:color="auto"/>
        <w:bottom w:val="none" w:sz="0" w:space="0" w:color="auto"/>
        <w:right w:val="none" w:sz="0" w:space="0" w:color="auto"/>
      </w:divBdr>
    </w:div>
    <w:div w:id="854345174">
      <w:bodyDiv w:val="1"/>
      <w:marLeft w:val="0"/>
      <w:marRight w:val="0"/>
      <w:marTop w:val="0"/>
      <w:marBottom w:val="0"/>
      <w:divBdr>
        <w:top w:val="none" w:sz="0" w:space="0" w:color="auto"/>
        <w:left w:val="none" w:sz="0" w:space="0" w:color="auto"/>
        <w:bottom w:val="none" w:sz="0" w:space="0" w:color="auto"/>
        <w:right w:val="none" w:sz="0" w:space="0" w:color="auto"/>
      </w:divBdr>
    </w:div>
    <w:div w:id="854349075">
      <w:bodyDiv w:val="1"/>
      <w:marLeft w:val="0"/>
      <w:marRight w:val="0"/>
      <w:marTop w:val="0"/>
      <w:marBottom w:val="0"/>
      <w:divBdr>
        <w:top w:val="none" w:sz="0" w:space="0" w:color="auto"/>
        <w:left w:val="none" w:sz="0" w:space="0" w:color="auto"/>
        <w:bottom w:val="none" w:sz="0" w:space="0" w:color="auto"/>
        <w:right w:val="none" w:sz="0" w:space="0" w:color="auto"/>
      </w:divBdr>
    </w:div>
    <w:div w:id="854467324">
      <w:bodyDiv w:val="1"/>
      <w:marLeft w:val="0"/>
      <w:marRight w:val="0"/>
      <w:marTop w:val="0"/>
      <w:marBottom w:val="0"/>
      <w:divBdr>
        <w:top w:val="none" w:sz="0" w:space="0" w:color="auto"/>
        <w:left w:val="none" w:sz="0" w:space="0" w:color="auto"/>
        <w:bottom w:val="none" w:sz="0" w:space="0" w:color="auto"/>
        <w:right w:val="none" w:sz="0" w:space="0" w:color="auto"/>
      </w:divBdr>
    </w:div>
    <w:div w:id="854851900">
      <w:bodyDiv w:val="1"/>
      <w:marLeft w:val="0"/>
      <w:marRight w:val="0"/>
      <w:marTop w:val="0"/>
      <w:marBottom w:val="0"/>
      <w:divBdr>
        <w:top w:val="none" w:sz="0" w:space="0" w:color="auto"/>
        <w:left w:val="none" w:sz="0" w:space="0" w:color="auto"/>
        <w:bottom w:val="none" w:sz="0" w:space="0" w:color="auto"/>
        <w:right w:val="none" w:sz="0" w:space="0" w:color="auto"/>
      </w:divBdr>
    </w:div>
    <w:div w:id="855271202">
      <w:bodyDiv w:val="1"/>
      <w:marLeft w:val="0"/>
      <w:marRight w:val="0"/>
      <w:marTop w:val="0"/>
      <w:marBottom w:val="0"/>
      <w:divBdr>
        <w:top w:val="none" w:sz="0" w:space="0" w:color="auto"/>
        <w:left w:val="none" w:sz="0" w:space="0" w:color="auto"/>
        <w:bottom w:val="none" w:sz="0" w:space="0" w:color="auto"/>
        <w:right w:val="none" w:sz="0" w:space="0" w:color="auto"/>
      </w:divBdr>
    </w:div>
    <w:div w:id="855385590">
      <w:bodyDiv w:val="1"/>
      <w:marLeft w:val="0"/>
      <w:marRight w:val="0"/>
      <w:marTop w:val="0"/>
      <w:marBottom w:val="0"/>
      <w:divBdr>
        <w:top w:val="none" w:sz="0" w:space="0" w:color="auto"/>
        <w:left w:val="none" w:sz="0" w:space="0" w:color="auto"/>
        <w:bottom w:val="none" w:sz="0" w:space="0" w:color="auto"/>
        <w:right w:val="none" w:sz="0" w:space="0" w:color="auto"/>
      </w:divBdr>
    </w:div>
    <w:div w:id="855774485">
      <w:bodyDiv w:val="1"/>
      <w:marLeft w:val="0"/>
      <w:marRight w:val="0"/>
      <w:marTop w:val="0"/>
      <w:marBottom w:val="0"/>
      <w:divBdr>
        <w:top w:val="none" w:sz="0" w:space="0" w:color="auto"/>
        <w:left w:val="none" w:sz="0" w:space="0" w:color="auto"/>
        <w:bottom w:val="none" w:sz="0" w:space="0" w:color="auto"/>
        <w:right w:val="none" w:sz="0" w:space="0" w:color="auto"/>
      </w:divBdr>
    </w:div>
    <w:div w:id="855921827">
      <w:bodyDiv w:val="1"/>
      <w:marLeft w:val="0"/>
      <w:marRight w:val="0"/>
      <w:marTop w:val="0"/>
      <w:marBottom w:val="0"/>
      <w:divBdr>
        <w:top w:val="none" w:sz="0" w:space="0" w:color="auto"/>
        <w:left w:val="none" w:sz="0" w:space="0" w:color="auto"/>
        <w:bottom w:val="none" w:sz="0" w:space="0" w:color="auto"/>
        <w:right w:val="none" w:sz="0" w:space="0" w:color="auto"/>
      </w:divBdr>
    </w:div>
    <w:div w:id="855996440">
      <w:bodyDiv w:val="1"/>
      <w:marLeft w:val="0"/>
      <w:marRight w:val="0"/>
      <w:marTop w:val="0"/>
      <w:marBottom w:val="0"/>
      <w:divBdr>
        <w:top w:val="none" w:sz="0" w:space="0" w:color="auto"/>
        <w:left w:val="none" w:sz="0" w:space="0" w:color="auto"/>
        <w:bottom w:val="none" w:sz="0" w:space="0" w:color="auto"/>
        <w:right w:val="none" w:sz="0" w:space="0" w:color="auto"/>
      </w:divBdr>
    </w:div>
    <w:div w:id="856162697">
      <w:bodyDiv w:val="1"/>
      <w:marLeft w:val="0"/>
      <w:marRight w:val="0"/>
      <w:marTop w:val="0"/>
      <w:marBottom w:val="0"/>
      <w:divBdr>
        <w:top w:val="none" w:sz="0" w:space="0" w:color="auto"/>
        <w:left w:val="none" w:sz="0" w:space="0" w:color="auto"/>
        <w:bottom w:val="none" w:sz="0" w:space="0" w:color="auto"/>
        <w:right w:val="none" w:sz="0" w:space="0" w:color="auto"/>
      </w:divBdr>
    </w:div>
    <w:div w:id="857350763">
      <w:bodyDiv w:val="1"/>
      <w:marLeft w:val="0"/>
      <w:marRight w:val="0"/>
      <w:marTop w:val="0"/>
      <w:marBottom w:val="0"/>
      <w:divBdr>
        <w:top w:val="none" w:sz="0" w:space="0" w:color="auto"/>
        <w:left w:val="none" w:sz="0" w:space="0" w:color="auto"/>
        <w:bottom w:val="none" w:sz="0" w:space="0" w:color="auto"/>
        <w:right w:val="none" w:sz="0" w:space="0" w:color="auto"/>
      </w:divBdr>
    </w:div>
    <w:div w:id="857474730">
      <w:bodyDiv w:val="1"/>
      <w:marLeft w:val="0"/>
      <w:marRight w:val="0"/>
      <w:marTop w:val="0"/>
      <w:marBottom w:val="0"/>
      <w:divBdr>
        <w:top w:val="none" w:sz="0" w:space="0" w:color="auto"/>
        <w:left w:val="none" w:sz="0" w:space="0" w:color="auto"/>
        <w:bottom w:val="none" w:sz="0" w:space="0" w:color="auto"/>
        <w:right w:val="none" w:sz="0" w:space="0" w:color="auto"/>
      </w:divBdr>
    </w:div>
    <w:div w:id="858159165">
      <w:bodyDiv w:val="1"/>
      <w:marLeft w:val="0"/>
      <w:marRight w:val="0"/>
      <w:marTop w:val="0"/>
      <w:marBottom w:val="0"/>
      <w:divBdr>
        <w:top w:val="none" w:sz="0" w:space="0" w:color="auto"/>
        <w:left w:val="none" w:sz="0" w:space="0" w:color="auto"/>
        <w:bottom w:val="none" w:sz="0" w:space="0" w:color="auto"/>
        <w:right w:val="none" w:sz="0" w:space="0" w:color="auto"/>
      </w:divBdr>
    </w:div>
    <w:div w:id="858201203">
      <w:bodyDiv w:val="1"/>
      <w:marLeft w:val="0"/>
      <w:marRight w:val="0"/>
      <w:marTop w:val="0"/>
      <w:marBottom w:val="0"/>
      <w:divBdr>
        <w:top w:val="none" w:sz="0" w:space="0" w:color="auto"/>
        <w:left w:val="none" w:sz="0" w:space="0" w:color="auto"/>
        <w:bottom w:val="none" w:sz="0" w:space="0" w:color="auto"/>
        <w:right w:val="none" w:sz="0" w:space="0" w:color="auto"/>
      </w:divBdr>
    </w:div>
    <w:div w:id="858203799">
      <w:bodyDiv w:val="1"/>
      <w:marLeft w:val="0"/>
      <w:marRight w:val="0"/>
      <w:marTop w:val="0"/>
      <w:marBottom w:val="0"/>
      <w:divBdr>
        <w:top w:val="none" w:sz="0" w:space="0" w:color="auto"/>
        <w:left w:val="none" w:sz="0" w:space="0" w:color="auto"/>
        <w:bottom w:val="none" w:sz="0" w:space="0" w:color="auto"/>
        <w:right w:val="none" w:sz="0" w:space="0" w:color="auto"/>
      </w:divBdr>
    </w:div>
    <w:div w:id="858664734">
      <w:bodyDiv w:val="1"/>
      <w:marLeft w:val="0"/>
      <w:marRight w:val="0"/>
      <w:marTop w:val="0"/>
      <w:marBottom w:val="0"/>
      <w:divBdr>
        <w:top w:val="none" w:sz="0" w:space="0" w:color="auto"/>
        <w:left w:val="none" w:sz="0" w:space="0" w:color="auto"/>
        <w:bottom w:val="none" w:sz="0" w:space="0" w:color="auto"/>
        <w:right w:val="none" w:sz="0" w:space="0" w:color="auto"/>
      </w:divBdr>
    </w:div>
    <w:div w:id="859009327">
      <w:bodyDiv w:val="1"/>
      <w:marLeft w:val="0"/>
      <w:marRight w:val="0"/>
      <w:marTop w:val="0"/>
      <w:marBottom w:val="0"/>
      <w:divBdr>
        <w:top w:val="none" w:sz="0" w:space="0" w:color="auto"/>
        <w:left w:val="none" w:sz="0" w:space="0" w:color="auto"/>
        <w:bottom w:val="none" w:sz="0" w:space="0" w:color="auto"/>
        <w:right w:val="none" w:sz="0" w:space="0" w:color="auto"/>
      </w:divBdr>
    </w:div>
    <w:div w:id="859389404">
      <w:bodyDiv w:val="1"/>
      <w:marLeft w:val="0"/>
      <w:marRight w:val="0"/>
      <w:marTop w:val="0"/>
      <w:marBottom w:val="0"/>
      <w:divBdr>
        <w:top w:val="none" w:sz="0" w:space="0" w:color="auto"/>
        <w:left w:val="none" w:sz="0" w:space="0" w:color="auto"/>
        <w:bottom w:val="none" w:sz="0" w:space="0" w:color="auto"/>
        <w:right w:val="none" w:sz="0" w:space="0" w:color="auto"/>
      </w:divBdr>
    </w:div>
    <w:div w:id="859703146">
      <w:bodyDiv w:val="1"/>
      <w:marLeft w:val="0"/>
      <w:marRight w:val="0"/>
      <w:marTop w:val="0"/>
      <w:marBottom w:val="0"/>
      <w:divBdr>
        <w:top w:val="none" w:sz="0" w:space="0" w:color="auto"/>
        <w:left w:val="none" w:sz="0" w:space="0" w:color="auto"/>
        <w:bottom w:val="none" w:sz="0" w:space="0" w:color="auto"/>
        <w:right w:val="none" w:sz="0" w:space="0" w:color="auto"/>
      </w:divBdr>
    </w:div>
    <w:div w:id="859930564">
      <w:bodyDiv w:val="1"/>
      <w:marLeft w:val="0"/>
      <w:marRight w:val="0"/>
      <w:marTop w:val="0"/>
      <w:marBottom w:val="0"/>
      <w:divBdr>
        <w:top w:val="none" w:sz="0" w:space="0" w:color="auto"/>
        <w:left w:val="none" w:sz="0" w:space="0" w:color="auto"/>
        <w:bottom w:val="none" w:sz="0" w:space="0" w:color="auto"/>
        <w:right w:val="none" w:sz="0" w:space="0" w:color="auto"/>
      </w:divBdr>
    </w:div>
    <w:div w:id="860124855">
      <w:bodyDiv w:val="1"/>
      <w:marLeft w:val="0"/>
      <w:marRight w:val="0"/>
      <w:marTop w:val="0"/>
      <w:marBottom w:val="0"/>
      <w:divBdr>
        <w:top w:val="none" w:sz="0" w:space="0" w:color="auto"/>
        <w:left w:val="none" w:sz="0" w:space="0" w:color="auto"/>
        <w:bottom w:val="none" w:sz="0" w:space="0" w:color="auto"/>
        <w:right w:val="none" w:sz="0" w:space="0" w:color="auto"/>
      </w:divBdr>
    </w:div>
    <w:div w:id="860317013">
      <w:bodyDiv w:val="1"/>
      <w:marLeft w:val="0"/>
      <w:marRight w:val="0"/>
      <w:marTop w:val="0"/>
      <w:marBottom w:val="0"/>
      <w:divBdr>
        <w:top w:val="none" w:sz="0" w:space="0" w:color="auto"/>
        <w:left w:val="none" w:sz="0" w:space="0" w:color="auto"/>
        <w:bottom w:val="none" w:sz="0" w:space="0" w:color="auto"/>
        <w:right w:val="none" w:sz="0" w:space="0" w:color="auto"/>
      </w:divBdr>
    </w:div>
    <w:div w:id="860706237">
      <w:bodyDiv w:val="1"/>
      <w:marLeft w:val="0"/>
      <w:marRight w:val="0"/>
      <w:marTop w:val="0"/>
      <w:marBottom w:val="0"/>
      <w:divBdr>
        <w:top w:val="none" w:sz="0" w:space="0" w:color="auto"/>
        <w:left w:val="none" w:sz="0" w:space="0" w:color="auto"/>
        <w:bottom w:val="none" w:sz="0" w:space="0" w:color="auto"/>
        <w:right w:val="none" w:sz="0" w:space="0" w:color="auto"/>
      </w:divBdr>
    </w:div>
    <w:div w:id="860707528">
      <w:bodyDiv w:val="1"/>
      <w:marLeft w:val="0"/>
      <w:marRight w:val="0"/>
      <w:marTop w:val="0"/>
      <w:marBottom w:val="0"/>
      <w:divBdr>
        <w:top w:val="none" w:sz="0" w:space="0" w:color="auto"/>
        <w:left w:val="none" w:sz="0" w:space="0" w:color="auto"/>
        <w:bottom w:val="none" w:sz="0" w:space="0" w:color="auto"/>
        <w:right w:val="none" w:sz="0" w:space="0" w:color="auto"/>
      </w:divBdr>
    </w:div>
    <w:div w:id="860777045">
      <w:bodyDiv w:val="1"/>
      <w:marLeft w:val="0"/>
      <w:marRight w:val="0"/>
      <w:marTop w:val="0"/>
      <w:marBottom w:val="0"/>
      <w:divBdr>
        <w:top w:val="none" w:sz="0" w:space="0" w:color="auto"/>
        <w:left w:val="none" w:sz="0" w:space="0" w:color="auto"/>
        <w:bottom w:val="none" w:sz="0" w:space="0" w:color="auto"/>
        <w:right w:val="none" w:sz="0" w:space="0" w:color="auto"/>
      </w:divBdr>
    </w:div>
    <w:div w:id="860902288">
      <w:bodyDiv w:val="1"/>
      <w:marLeft w:val="0"/>
      <w:marRight w:val="0"/>
      <w:marTop w:val="0"/>
      <w:marBottom w:val="0"/>
      <w:divBdr>
        <w:top w:val="none" w:sz="0" w:space="0" w:color="auto"/>
        <w:left w:val="none" w:sz="0" w:space="0" w:color="auto"/>
        <w:bottom w:val="none" w:sz="0" w:space="0" w:color="auto"/>
        <w:right w:val="none" w:sz="0" w:space="0" w:color="auto"/>
      </w:divBdr>
    </w:div>
    <w:div w:id="860973443">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1361591">
      <w:bodyDiv w:val="1"/>
      <w:marLeft w:val="0"/>
      <w:marRight w:val="0"/>
      <w:marTop w:val="0"/>
      <w:marBottom w:val="0"/>
      <w:divBdr>
        <w:top w:val="none" w:sz="0" w:space="0" w:color="auto"/>
        <w:left w:val="none" w:sz="0" w:space="0" w:color="auto"/>
        <w:bottom w:val="none" w:sz="0" w:space="0" w:color="auto"/>
        <w:right w:val="none" w:sz="0" w:space="0" w:color="auto"/>
      </w:divBdr>
    </w:div>
    <w:div w:id="862015943">
      <w:bodyDiv w:val="1"/>
      <w:marLeft w:val="0"/>
      <w:marRight w:val="0"/>
      <w:marTop w:val="0"/>
      <w:marBottom w:val="0"/>
      <w:divBdr>
        <w:top w:val="none" w:sz="0" w:space="0" w:color="auto"/>
        <w:left w:val="none" w:sz="0" w:space="0" w:color="auto"/>
        <w:bottom w:val="none" w:sz="0" w:space="0" w:color="auto"/>
        <w:right w:val="none" w:sz="0" w:space="0" w:color="auto"/>
      </w:divBdr>
    </w:div>
    <w:div w:id="862864374">
      <w:bodyDiv w:val="1"/>
      <w:marLeft w:val="0"/>
      <w:marRight w:val="0"/>
      <w:marTop w:val="0"/>
      <w:marBottom w:val="0"/>
      <w:divBdr>
        <w:top w:val="none" w:sz="0" w:space="0" w:color="auto"/>
        <w:left w:val="none" w:sz="0" w:space="0" w:color="auto"/>
        <w:bottom w:val="none" w:sz="0" w:space="0" w:color="auto"/>
        <w:right w:val="none" w:sz="0" w:space="0" w:color="auto"/>
      </w:divBdr>
    </w:div>
    <w:div w:id="862865879">
      <w:bodyDiv w:val="1"/>
      <w:marLeft w:val="0"/>
      <w:marRight w:val="0"/>
      <w:marTop w:val="0"/>
      <w:marBottom w:val="0"/>
      <w:divBdr>
        <w:top w:val="none" w:sz="0" w:space="0" w:color="auto"/>
        <w:left w:val="none" w:sz="0" w:space="0" w:color="auto"/>
        <w:bottom w:val="none" w:sz="0" w:space="0" w:color="auto"/>
        <w:right w:val="none" w:sz="0" w:space="0" w:color="auto"/>
      </w:divBdr>
    </w:div>
    <w:div w:id="863177453">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63522079">
      <w:bodyDiv w:val="1"/>
      <w:marLeft w:val="0"/>
      <w:marRight w:val="0"/>
      <w:marTop w:val="0"/>
      <w:marBottom w:val="0"/>
      <w:divBdr>
        <w:top w:val="none" w:sz="0" w:space="0" w:color="auto"/>
        <w:left w:val="none" w:sz="0" w:space="0" w:color="auto"/>
        <w:bottom w:val="none" w:sz="0" w:space="0" w:color="auto"/>
        <w:right w:val="none" w:sz="0" w:space="0" w:color="auto"/>
      </w:divBdr>
    </w:div>
    <w:div w:id="863634995">
      <w:bodyDiv w:val="1"/>
      <w:marLeft w:val="0"/>
      <w:marRight w:val="0"/>
      <w:marTop w:val="0"/>
      <w:marBottom w:val="0"/>
      <w:divBdr>
        <w:top w:val="none" w:sz="0" w:space="0" w:color="auto"/>
        <w:left w:val="none" w:sz="0" w:space="0" w:color="auto"/>
        <w:bottom w:val="none" w:sz="0" w:space="0" w:color="auto"/>
        <w:right w:val="none" w:sz="0" w:space="0" w:color="auto"/>
      </w:divBdr>
    </w:div>
    <w:div w:id="864293519">
      <w:bodyDiv w:val="1"/>
      <w:marLeft w:val="0"/>
      <w:marRight w:val="0"/>
      <w:marTop w:val="0"/>
      <w:marBottom w:val="0"/>
      <w:divBdr>
        <w:top w:val="none" w:sz="0" w:space="0" w:color="auto"/>
        <w:left w:val="none" w:sz="0" w:space="0" w:color="auto"/>
        <w:bottom w:val="none" w:sz="0" w:space="0" w:color="auto"/>
        <w:right w:val="none" w:sz="0" w:space="0" w:color="auto"/>
      </w:divBdr>
    </w:div>
    <w:div w:id="864320375">
      <w:bodyDiv w:val="1"/>
      <w:marLeft w:val="0"/>
      <w:marRight w:val="0"/>
      <w:marTop w:val="0"/>
      <w:marBottom w:val="0"/>
      <w:divBdr>
        <w:top w:val="none" w:sz="0" w:space="0" w:color="auto"/>
        <w:left w:val="none" w:sz="0" w:space="0" w:color="auto"/>
        <w:bottom w:val="none" w:sz="0" w:space="0" w:color="auto"/>
        <w:right w:val="none" w:sz="0" w:space="0" w:color="auto"/>
      </w:divBdr>
    </w:div>
    <w:div w:id="864707104">
      <w:bodyDiv w:val="1"/>
      <w:marLeft w:val="0"/>
      <w:marRight w:val="0"/>
      <w:marTop w:val="0"/>
      <w:marBottom w:val="0"/>
      <w:divBdr>
        <w:top w:val="none" w:sz="0" w:space="0" w:color="auto"/>
        <w:left w:val="none" w:sz="0" w:space="0" w:color="auto"/>
        <w:bottom w:val="none" w:sz="0" w:space="0" w:color="auto"/>
        <w:right w:val="none" w:sz="0" w:space="0" w:color="auto"/>
      </w:divBdr>
    </w:div>
    <w:div w:id="864904460">
      <w:bodyDiv w:val="1"/>
      <w:marLeft w:val="0"/>
      <w:marRight w:val="0"/>
      <w:marTop w:val="0"/>
      <w:marBottom w:val="0"/>
      <w:divBdr>
        <w:top w:val="none" w:sz="0" w:space="0" w:color="auto"/>
        <w:left w:val="none" w:sz="0" w:space="0" w:color="auto"/>
        <w:bottom w:val="none" w:sz="0" w:space="0" w:color="auto"/>
        <w:right w:val="none" w:sz="0" w:space="0" w:color="auto"/>
      </w:divBdr>
    </w:div>
    <w:div w:id="865020037">
      <w:bodyDiv w:val="1"/>
      <w:marLeft w:val="0"/>
      <w:marRight w:val="0"/>
      <w:marTop w:val="0"/>
      <w:marBottom w:val="0"/>
      <w:divBdr>
        <w:top w:val="none" w:sz="0" w:space="0" w:color="auto"/>
        <w:left w:val="none" w:sz="0" w:space="0" w:color="auto"/>
        <w:bottom w:val="none" w:sz="0" w:space="0" w:color="auto"/>
        <w:right w:val="none" w:sz="0" w:space="0" w:color="auto"/>
      </w:divBdr>
    </w:div>
    <w:div w:id="865093525">
      <w:bodyDiv w:val="1"/>
      <w:marLeft w:val="0"/>
      <w:marRight w:val="0"/>
      <w:marTop w:val="0"/>
      <w:marBottom w:val="0"/>
      <w:divBdr>
        <w:top w:val="none" w:sz="0" w:space="0" w:color="auto"/>
        <w:left w:val="none" w:sz="0" w:space="0" w:color="auto"/>
        <w:bottom w:val="none" w:sz="0" w:space="0" w:color="auto"/>
        <w:right w:val="none" w:sz="0" w:space="0" w:color="auto"/>
      </w:divBdr>
    </w:div>
    <w:div w:id="865867129">
      <w:bodyDiv w:val="1"/>
      <w:marLeft w:val="0"/>
      <w:marRight w:val="0"/>
      <w:marTop w:val="0"/>
      <w:marBottom w:val="0"/>
      <w:divBdr>
        <w:top w:val="none" w:sz="0" w:space="0" w:color="auto"/>
        <w:left w:val="none" w:sz="0" w:space="0" w:color="auto"/>
        <w:bottom w:val="none" w:sz="0" w:space="0" w:color="auto"/>
        <w:right w:val="none" w:sz="0" w:space="0" w:color="auto"/>
      </w:divBdr>
    </w:div>
    <w:div w:id="865950316">
      <w:bodyDiv w:val="1"/>
      <w:marLeft w:val="0"/>
      <w:marRight w:val="0"/>
      <w:marTop w:val="0"/>
      <w:marBottom w:val="0"/>
      <w:divBdr>
        <w:top w:val="none" w:sz="0" w:space="0" w:color="auto"/>
        <w:left w:val="none" w:sz="0" w:space="0" w:color="auto"/>
        <w:bottom w:val="none" w:sz="0" w:space="0" w:color="auto"/>
        <w:right w:val="none" w:sz="0" w:space="0" w:color="auto"/>
      </w:divBdr>
    </w:div>
    <w:div w:id="866409871">
      <w:bodyDiv w:val="1"/>
      <w:marLeft w:val="0"/>
      <w:marRight w:val="0"/>
      <w:marTop w:val="0"/>
      <w:marBottom w:val="0"/>
      <w:divBdr>
        <w:top w:val="none" w:sz="0" w:space="0" w:color="auto"/>
        <w:left w:val="none" w:sz="0" w:space="0" w:color="auto"/>
        <w:bottom w:val="none" w:sz="0" w:space="0" w:color="auto"/>
        <w:right w:val="none" w:sz="0" w:space="0" w:color="auto"/>
      </w:divBdr>
    </w:div>
    <w:div w:id="866942343">
      <w:bodyDiv w:val="1"/>
      <w:marLeft w:val="0"/>
      <w:marRight w:val="0"/>
      <w:marTop w:val="0"/>
      <w:marBottom w:val="0"/>
      <w:divBdr>
        <w:top w:val="none" w:sz="0" w:space="0" w:color="auto"/>
        <w:left w:val="none" w:sz="0" w:space="0" w:color="auto"/>
        <w:bottom w:val="none" w:sz="0" w:space="0" w:color="auto"/>
        <w:right w:val="none" w:sz="0" w:space="0" w:color="auto"/>
      </w:divBdr>
    </w:div>
    <w:div w:id="866984631">
      <w:bodyDiv w:val="1"/>
      <w:marLeft w:val="0"/>
      <w:marRight w:val="0"/>
      <w:marTop w:val="0"/>
      <w:marBottom w:val="0"/>
      <w:divBdr>
        <w:top w:val="none" w:sz="0" w:space="0" w:color="auto"/>
        <w:left w:val="none" w:sz="0" w:space="0" w:color="auto"/>
        <w:bottom w:val="none" w:sz="0" w:space="0" w:color="auto"/>
        <w:right w:val="none" w:sz="0" w:space="0" w:color="auto"/>
      </w:divBdr>
    </w:div>
    <w:div w:id="867107265">
      <w:bodyDiv w:val="1"/>
      <w:marLeft w:val="0"/>
      <w:marRight w:val="0"/>
      <w:marTop w:val="0"/>
      <w:marBottom w:val="0"/>
      <w:divBdr>
        <w:top w:val="none" w:sz="0" w:space="0" w:color="auto"/>
        <w:left w:val="none" w:sz="0" w:space="0" w:color="auto"/>
        <w:bottom w:val="none" w:sz="0" w:space="0" w:color="auto"/>
        <w:right w:val="none" w:sz="0" w:space="0" w:color="auto"/>
      </w:divBdr>
    </w:div>
    <w:div w:id="867135059">
      <w:bodyDiv w:val="1"/>
      <w:marLeft w:val="0"/>
      <w:marRight w:val="0"/>
      <w:marTop w:val="0"/>
      <w:marBottom w:val="0"/>
      <w:divBdr>
        <w:top w:val="none" w:sz="0" w:space="0" w:color="auto"/>
        <w:left w:val="none" w:sz="0" w:space="0" w:color="auto"/>
        <w:bottom w:val="none" w:sz="0" w:space="0" w:color="auto"/>
        <w:right w:val="none" w:sz="0" w:space="0" w:color="auto"/>
      </w:divBdr>
    </w:div>
    <w:div w:id="867261790">
      <w:bodyDiv w:val="1"/>
      <w:marLeft w:val="0"/>
      <w:marRight w:val="0"/>
      <w:marTop w:val="0"/>
      <w:marBottom w:val="0"/>
      <w:divBdr>
        <w:top w:val="none" w:sz="0" w:space="0" w:color="auto"/>
        <w:left w:val="none" w:sz="0" w:space="0" w:color="auto"/>
        <w:bottom w:val="none" w:sz="0" w:space="0" w:color="auto"/>
        <w:right w:val="none" w:sz="0" w:space="0" w:color="auto"/>
      </w:divBdr>
    </w:div>
    <w:div w:id="867644733">
      <w:bodyDiv w:val="1"/>
      <w:marLeft w:val="0"/>
      <w:marRight w:val="0"/>
      <w:marTop w:val="0"/>
      <w:marBottom w:val="0"/>
      <w:divBdr>
        <w:top w:val="none" w:sz="0" w:space="0" w:color="auto"/>
        <w:left w:val="none" w:sz="0" w:space="0" w:color="auto"/>
        <w:bottom w:val="none" w:sz="0" w:space="0" w:color="auto"/>
        <w:right w:val="none" w:sz="0" w:space="0" w:color="auto"/>
      </w:divBdr>
    </w:div>
    <w:div w:id="867721686">
      <w:bodyDiv w:val="1"/>
      <w:marLeft w:val="0"/>
      <w:marRight w:val="0"/>
      <w:marTop w:val="0"/>
      <w:marBottom w:val="0"/>
      <w:divBdr>
        <w:top w:val="none" w:sz="0" w:space="0" w:color="auto"/>
        <w:left w:val="none" w:sz="0" w:space="0" w:color="auto"/>
        <w:bottom w:val="none" w:sz="0" w:space="0" w:color="auto"/>
        <w:right w:val="none" w:sz="0" w:space="0" w:color="auto"/>
      </w:divBdr>
    </w:div>
    <w:div w:id="867983451">
      <w:bodyDiv w:val="1"/>
      <w:marLeft w:val="0"/>
      <w:marRight w:val="0"/>
      <w:marTop w:val="0"/>
      <w:marBottom w:val="0"/>
      <w:divBdr>
        <w:top w:val="none" w:sz="0" w:space="0" w:color="auto"/>
        <w:left w:val="none" w:sz="0" w:space="0" w:color="auto"/>
        <w:bottom w:val="none" w:sz="0" w:space="0" w:color="auto"/>
        <w:right w:val="none" w:sz="0" w:space="0" w:color="auto"/>
      </w:divBdr>
    </w:div>
    <w:div w:id="868302509">
      <w:bodyDiv w:val="1"/>
      <w:marLeft w:val="0"/>
      <w:marRight w:val="0"/>
      <w:marTop w:val="0"/>
      <w:marBottom w:val="0"/>
      <w:divBdr>
        <w:top w:val="none" w:sz="0" w:space="0" w:color="auto"/>
        <w:left w:val="none" w:sz="0" w:space="0" w:color="auto"/>
        <w:bottom w:val="none" w:sz="0" w:space="0" w:color="auto"/>
        <w:right w:val="none" w:sz="0" w:space="0" w:color="auto"/>
      </w:divBdr>
    </w:div>
    <w:div w:id="868303504">
      <w:bodyDiv w:val="1"/>
      <w:marLeft w:val="0"/>
      <w:marRight w:val="0"/>
      <w:marTop w:val="0"/>
      <w:marBottom w:val="0"/>
      <w:divBdr>
        <w:top w:val="none" w:sz="0" w:space="0" w:color="auto"/>
        <w:left w:val="none" w:sz="0" w:space="0" w:color="auto"/>
        <w:bottom w:val="none" w:sz="0" w:space="0" w:color="auto"/>
        <w:right w:val="none" w:sz="0" w:space="0" w:color="auto"/>
      </w:divBdr>
    </w:div>
    <w:div w:id="868373765">
      <w:bodyDiv w:val="1"/>
      <w:marLeft w:val="0"/>
      <w:marRight w:val="0"/>
      <w:marTop w:val="0"/>
      <w:marBottom w:val="0"/>
      <w:divBdr>
        <w:top w:val="none" w:sz="0" w:space="0" w:color="auto"/>
        <w:left w:val="none" w:sz="0" w:space="0" w:color="auto"/>
        <w:bottom w:val="none" w:sz="0" w:space="0" w:color="auto"/>
        <w:right w:val="none" w:sz="0" w:space="0" w:color="auto"/>
      </w:divBdr>
    </w:div>
    <w:div w:id="868377047">
      <w:bodyDiv w:val="1"/>
      <w:marLeft w:val="0"/>
      <w:marRight w:val="0"/>
      <w:marTop w:val="0"/>
      <w:marBottom w:val="0"/>
      <w:divBdr>
        <w:top w:val="none" w:sz="0" w:space="0" w:color="auto"/>
        <w:left w:val="none" w:sz="0" w:space="0" w:color="auto"/>
        <w:bottom w:val="none" w:sz="0" w:space="0" w:color="auto"/>
        <w:right w:val="none" w:sz="0" w:space="0" w:color="auto"/>
      </w:divBdr>
    </w:div>
    <w:div w:id="868878838">
      <w:bodyDiv w:val="1"/>
      <w:marLeft w:val="0"/>
      <w:marRight w:val="0"/>
      <w:marTop w:val="0"/>
      <w:marBottom w:val="0"/>
      <w:divBdr>
        <w:top w:val="none" w:sz="0" w:space="0" w:color="auto"/>
        <w:left w:val="none" w:sz="0" w:space="0" w:color="auto"/>
        <w:bottom w:val="none" w:sz="0" w:space="0" w:color="auto"/>
        <w:right w:val="none" w:sz="0" w:space="0" w:color="auto"/>
      </w:divBdr>
    </w:div>
    <w:div w:id="868951307">
      <w:bodyDiv w:val="1"/>
      <w:marLeft w:val="0"/>
      <w:marRight w:val="0"/>
      <w:marTop w:val="0"/>
      <w:marBottom w:val="0"/>
      <w:divBdr>
        <w:top w:val="none" w:sz="0" w:space="0" w:color="auto"/>
        <w:left w:val="none" w:sz="0" w:space="0" w:color="auto"/>
        <w:bottom w:val="none" w:sz="0" w:space="0" w:color="auto"/>
        <w:right w:val="none" w:sz="0" w:space="0" w:color="auto"/>
      </w:divBdr>
    </w:div>
    <w:div w:id="869339203">
      <w:bodyDiv w:val="1"/>
      <w:marLeft w:val="0"/>
      <w:marRight w:val="0"/>
      <w:marTop w:val="0"/>
      <w:marBottom w:val="0"/>
      <w:divBdr>
        <w:top w:val="none" w:sz="0" w:space="0" w:color="auto"/>
        <w:left w:val="none" w:sz="0" w:space="0" w:color="auto"/>
        <w:bottom w:val="none" w:sz="0" w:space="0" w:color="auto"/>
        <w:right w:val="none" w:sz="0" w:space="0" w:color="auto"/>
      </w:divBdr>
    </w:div>
    <w:div w:id="869798680">
      <w:bodyDiv w:val="1"/>
      <w:marLeft w:val="0"/>
      <w:marRight w:val="0"/>
      <w:marTop w:val="0"/>
      <w:marBottom w:val="0"/>
      <w:divBdr>
        <w:top w:val="none" w:sz="0" w:space="0" w:color="auto"/>
        <w:left w:val="none" w:sz="0" w:space="0" w:color="auto"/>
        <w:bottom w:val="none" w:sz="0" w:space="0" w:color="auto"/>
        <w:right w:val="none" w:sz="0" w:space="0" w:color="auto"/>
      </w:divBdr>
    </w:div>
    <w:div w:id="869877546">
      <w:bodyDiv w:val="1"/>
      <w:marLeft w:val="0"/>
      <w:marRight w:val="0"/>
      <w:marTop w:val="0"/>
      <w:marBottom w:val="0"/>
      <w:divBdr>
        <w:top w:val="none" w:sz="0" w:space="0" w:color="auto"/>
        <w:left w:val="none" w:sz="0" w:space="0" w:color="auto"/>
        <w:bottom w:val="none" w:sz="0" w:space="0" w:color="auto"/>
        <w:right w:val="none" w:sz="0" w:space="0" w:color="auto"/>
      </w:divBdr>
    </w:div>
    <w:div w:id="869951586">
      <w:bodyDiv w:val="1"/>
      <w:marLeft w:val="0"/>
      <w:marRight w:val="0"/>
      <w:marTop w:val="0"/>
      <w:marBottom w:val="0"/>
      <w:divBdr>
        <w:top w:val="none" w:sz="0" w:space="0" w:color="auto"/>
        <w:left w:val="none" w:sz="0" w:space="0" w:color="auto"/>
        <w:bottom w:val="none" w:sz="0" w:space="0" w:color="auto"/>
        <w:right w:val="none" w:sz="0" w:space="0" w:color="auto"/>
      </w:divBdr>
    </w:div>
    <w:div w:id="869953891">
      <w:bodyDiv w:val="1"/>
      <w:marLeft w:val="0"/>
      <w:marRight w:val="0"/>
      <w:marTop w:val="0"/>
      <w:marBottom w:val="0"/>
      <w:divBdr>
        <w:top w:val="none" w:sz="0" w:space="0" w:color="auto"/>
        <w:left w:val="none" w:sz="0" w:space="0" w:color="auto"/>
        <w:bottom w:val="none" w:sz="0" w:space="0" w:color="auto"/>
        <w:right w:val="none" w:sz="0" w:space="0" w:color="auto"/>
      </w:divBdr>
    </w:div>
    <w:div w:id="870268963">
      <w:bodyDiv w:val="1"/>
      <w:marLeft w:val="0"/>
      <w:marRight w:val="0"/>
      <w:marTop w:val="0"/>
      <w:marBottom w:val="0"/>
      <w:divBdr>
        <w:top w:val="none" w:sz="0" w:space="0" w:color="auto"/>
        <w:left w:val="none" w:sz="0" w:space="0" w:color="auto"/>
        <w:bottom w:val="none" w:sz="0" w:space="0" w:color="auto"/>
        <w:right w:val="none" w:sz="0" w:space="0" w:color="auto"/>
      </w:divBdr>
    </w:div>
    <w:div w:id="870612175">
      <w:bodyDiv w:val="1"/>
      <w:marLeft w:val="0"/>
      <w:marRight w:val="0"/>
      <w:marTop w:val="0"/>
      <w:marBottom w:val="0"/>
      <w:divBdr>
        <w:top w:val="none" w:sz="0" w:space="0" w:color="auto"/>
        <w:left w:val="none" w:sz="0" w:space="0" w:color="auto"/>
        <w:bottom w:val="none" w:sz="0" w:space="0" w:color="auto"/>
        <w:right w:val="none" w:sz="0" w:space="0" w:color="auto"/>
      </w:divBdr>
    </w:div>
    <w:div w:id="870655620">
      <w:bodyDiv w:val="1"/>
      <w:marLeft w:val="0"/>
      <w:marRight w:val="0"/>
      <w:marTop w:val="0"/>
      <w:marBottom w:val="0"/>
      <w:divBdr>
        <w:top w:val="none" w:sz="0" w:space="0" w:color="auto"/>
        <w:left w:val="none" w:sz="0" w:space="0" w:color="auto"/>
        <w:bottom w:val="none" w:sz="0" w:space="0" w:color="auto"/>
        <w:right w:val="none" w:sz="0" w:space="0" w:color="auto"/>
      </w:divBdr>
    </w:div>
    <w:div w:id="870727739">
      <w:bodyDiv w:val="1"/>
      <w:marLeft w:val="0"/>
      <w:marRight w:val="0"/>
      <w:marTop w:val="0"/>
      <w:marBottom w:val="0"/>
      <w:divBdr>
        <w:top w:val="none" w:sz="0" w:space="0" w:color="auto"/>
        <w:left w:val="none" w:sz="0" w:space="0" w:color="auto"/>
        <w:bottom w:val="none" w:sz="0" w:space="0" w:color="auto"/>
        <w:right w:val="none" w:sz="0" w:space="0" w:color="auto"/>
      </w:divBdr>
    </w:div>
    <w:div w:id="871460736">
      <w:bodyDiv w:val="1"/>
      <w:marLeft w:val="0"/>
      <w:marRight w:val="0"/>
      <w:marTop w:val="0"/>
      <w:marBottom w:val="0"/>
      <w:divBdr>
        <w:top w:val="none" w:sz="0" w:space="0" w:color="auto"/>
        <w:left w:val="none" w:sz="0" w:space="0" w:color="auto"/>
        <w:bottom w:val="none" w:sz="0" w:space="0" w:color="auto"/>
        <w:right w:val="none" w:sz="0" w:space="0" w:color="auto"/>
      </w:divBdr>
    </w:div>
    <w:div w:id="872112823">
      <w:bodyDiv w:val="1"/>
      <w:marLeft w:val="0"/>
      <w:marRight w:val="0"/>
      <w:marTop w:val="0"/>
      <w:marBottom w:val="0"/>
      <w:divBdr>
        <w:top w:val="none" w:sz="0" w:space="0" w:color="auto"/>
        <w:left w:val="none" w:sz="0" w:space="0" w:color="auto"/>
        <w:bottom w:val="none" w:sz="0" w:space="0" w:color="auto"/>
        <w:right w:val="none" w:sz="0" w:space="0" w:color="auto"/>
      </w:divBdr>
    </w:div>
    <w:div w:id="872116518">
      <w:bodyDiv w:val="1"/>
      <w:marLeft w:val="0"/>
      <w:marRight w:val="0"/>
      <w:marTop w:val="0"/>
      <w:marBottom w:val="0"/>
      <w:divBdr>
        <w:top w:val="none" w:sz="0" w:space="0" w:color="auto"/>
        <w:left w:val="none" w:sz="0" w:space="0" w:color="auto"/>
        <w:bottom w:val="none" w:sz="0" w:space="0" w:color="auto"/>
        <w:right w:val="none" w:sz="0" w:space="0" w:color="auto"/>
      </w:divBdr>
    </w:div>
    <w:div w:id="872228108">
      <w:bodyDiv w:val="1"/>
      <w:marLeft w:val="0"/>
      <w:marRight w:val="0"/>
      <w:marTop w:val="0"/>
      <w:marBottom w:val="0"/>
      <w:divBdr>
        <w:top w:val="none" w:sz="0" w:space="0" w:color="auto"/>
        <w:left w:val="none" w:sz="0" w:space="0" w:color="auto"/>
        <w:bottom w:val="none" w:sz="0" w:space="0" w:color="auto"/>
        <w:right w:val="none" w:sz="0" w:space="0" w:color="auto"/>
      </w:divBdr>
    </w:div>
    <w:div w:id="872770155">
      <w:bodyDiv w:val="1"/>
      <w:marLeft w:val="0"/>
      <w:marRight w:val="0"/>
      <w:marTop w:val="0"/>
      <w:marBottom w:val="0"/>
      <w:divBdr>
        <w:top w:val="none" w:sz="0" w:space="0" w:color="auto"/>
        <w:left w:val="none" w:sz="0" w:space="0" w:color="auto"/>
        <w:bottom w:val="none" w:sz="0" w:space="0" w:color="auto"/>
        <w:right w:val="none" w:sz="0" w:space="0" w:color="auto"/>
      </w:divBdr>
    </w:div>
    <w:div w:id="872811984">
      <w:bodyDiv w:val="1"/>
      <w:marLeft w:val="0"/>
      <w:marRight w:val="0"/>
      <w:marTop w:val="0"/>
      <w:marBottom w:val="0"/>
      <w:divBdr>
        <w:top w:val="none" w:sz="0" w:space="0" w:color="auto"/>
        <w:left w:val="none" w:sz="0" w:space="0" w:color="auto"/>
        <w:bottom w:val="none" w:sz="0" w:space="0" w:color="auto"/>
        <w:right w:val="none" w:sz="0" w:space="0" w:color="auto"/>
      </w:divBdr>
    </w:div>
    <w:div w:id="873034645">
      <w:bodyDiv w:val="1"/>
      <w:marLeft w:val="0"/>
      <w:marRight w:val="0"/>
      <w:marTop w:val="0"/>
      <w:marBottom w:val="0"/>
      <w:divBdr>
        <w:top w:val="none" w:sz="0" w:space="0" w:color="auto"/>
        <w:left w:val="none" w:sz="0" w:space="0" w:color="auto"/>
        <w:bottom w:val="none" w:sz="0" w:space="0" w:color="auto"/>
        <w:right w:val="none" w:sz="0" w:space="0" w:color="auto"/>
      </w:divBdr>
    </w:div>
    <w:div w:id="873231610">
      <w:bodyDiv w:val="1"/>
      <w:marLeft w:val="0"/>
      <w:marRight w:val="0"/>
      <w:marTop w:val="0"/>
      <w:marBottom w:val="0"/>
      <w:divBdr>
        <w:top w:val="none" w:sz="0" w:space="0" w:color="auto"/>
        <w:left w:val="none" w:sz="0" w:space="0" w:color="auto"/>
        <w:bottom w:val="none" w:sz="0" w:space="0" w:color="auto"/>
        <w:right w:val="none" w:sz="0" w:space="0" w:color="auto"/>
      </w:divBdr>
    </w:div>
    <w:div w:id="873268782">
      <w:bodyDiv w:val="1"/>
      <w:marLeft w:val="0"/>
      <w:marRight w:val="0"/>
      <w:marTop w:val="0"/>
      <w:marBottom w:val="0"/>
      <w:divBdr>
        <w:top w:val="none" w:sz="0" w:space="0" w:color="auto"/>
        <w:left w:val="none" w:sz="0" w:space="0" w:color="auto"/>
        <w:bottom w:val="none" w:sz="0" w:space="0" w:color="auto"/>
        <w:right w:val="none" w:sz="0" w:space="0" w:color="auto"/>
      </w:divBdr>
    </w:div>
    <w:div w:id="873539800">
      <w:bodyDiv w:val="1"/>
      <w:marLeft w:val="0"/>
      <w:marRight w:val="0"/>
      <w:marTop w:val="0"/>
      <w:marBottom w:val="0"/>
      <w:divBdr>
        <w:top w:val="none" w:sz="0" w:space="0" w:color="auto"/>
        <w:left w:val="none" w:sz="0" w:space="0" w:color="auto"/>
        <w:bottom w:val="none" w:sz="0" w:space="0" w:color="auto"/>
        <w:right w:val="none" w:sz="0" w:space="0" w:color="auto"/>
      </w:divBdr>
    </w:div>
    <w:div w:id="873926467">
      <w:bodyDiv w:val="1"/>
      <w:marLeft w:val="0"/>
      <w:marRight w:val="0"/>
      <w:marTop w:val="0"/>
      <w:marBottom w:val="0"/>
      <w:divBdr>
        <w:top w:val="none" w:sz="0" w:space="0" w:color="auto"/>
        <w:left w:val="none" w:sz="0" w:space="0" w:color="auto"/>
        <w:bottom w:val="none" w:sz="0" w:space="0" w:color="auto"/>
        <w:right w:val="none" w:sz="0" w:space="0" w:color="auto"/>
      </w:divBdr>
    </w:div>
    <w:div w:id="874197932">
      <w:bodyDiv w:val="1"/>
      <w:marLeft w:val="0"/>
      <w:marRight w:val="0"/>
      <w:marTop w:val="0"/>
      <w:marBottom w:val="0"/>
      <w:divBdr>
        <w:top w:val="none" w:sz="0" w:space="0" w:color="auto"/>
        <w:left w:val="none" w:sz="0" w:space="0" w:color="auto"/>
        <w:bottom w:val="none" w:sz="0" w:space="0" w:color="auto"/>
        <w:right w:val="none" w:sz="0" w:space="0" w:color="auto"/>
      </w:divBdr>
    </w:div>
    <w:div w:id="874389325">
      <w:bodyDiv w:val="1"/>
      <w:marLeft w:val="0"/>
      <w:marRight w:val="0"/>
      <w:marTop w:val="0"/>
      <w:marBottom w:val="0"/>
      <w:divBdr>
        <w:top w:val="none" w:sz="0" w:space="0" w:color="auto"/>
        <w:left w:val="none" w:sz="0" w:space="0" w:color="auto"/>
        <w:bottom w:val="none" w:sz="0" w:space="0" w:color="auto"/>
        <w:right w:val="none" w:sz="0" w:space="0" w:color="auto"/>
      </w:divBdr>
    </w:div>
    <w:div w:id="874585192">
      <w:bodyDiv w:val="1"/>
      <w:marLeft w:val="0"/>
      <w:marRight w:val="0"/>
      <w:marTop w:val="0"/>
      <w:marBottom w:val="0"/>
      <w:divBdr>
        <w:top w:val="none" w:sz="0" w:space="0" w:color="auto"/>
        <w:left w:val="none" w:sz="0" w:space="0" w:color="auto"/>
        <w:bottom w:val="none" w:sz="0" w:space="0" w:color="auto"/>
        <w:right w:val="none" w:sz="0" w:space="0" w:color="auto"/>
      </w:divBdr>
    </w:div>
    <w:div w:id="874927553">
      <w:bodyDiv w:val="1"/>
      <w:marLeft w:val="0"/>
      <w:marRight w:val="0"/>
      <w:marTop w:val="0"/>
      <w:marBottom w:val="0"/>
      <w:divBdr>
        <w:top w:val="none" w:sz="0" w:space="0" w:color="auto"/>
        <w:left w:val="none" w:sz="0" w:space="0" w:color="auto"/>
        <w:bottom w:val="none" w:sz="0" w:space="0" w:color="auto"/>
        <w:right w:val="none" w:sz="0" w:space="0" w:color="auto"/>
      </w:divBdr>
    </w:div>
    <w:div w:id="875312061">
      <w:bodyDiv w:val="1"/>
      <w:marLeft w:val="0"/>
      <w:marRight w:val="0"/>
      <w:marTop w:val="0"/>
      <w:marBottom w:val="0"/>
      <w:divBdr>
        <w:top w:val="none" w:sz="0" w:space="0" w:color="auto"/>
        <w:left w:val="none" w:sz="0" w:space="0" w:color="auto"/>
        <w:bottom w:val="none" w:sz="0" w:space="0" w:color="auto"/>
        <w:right w:val="none" w:sz="0" w:space="0" w:color="auto"/>
      </w:divBdr>
    </w:div>
    <w:div w:id="875435924">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5771021">
      <w:bodyDiv w:val="1"/>
      <w:marLeft w:val="0"/>
      <w:marRight w:val="0"/>
      <w:marTop w:val="0"/>
      <w:marBottom w:val="0"/>
      <w:divBdr>
        <w:top w:val="none" w:sz="0" w:space="0" w:color="auto"/>
        <w:left w:val="none" w:sz="0" w:space="0" w:color="auto"/>
        <w:bottom w:val="none" w:sz="0" w:space="0" w:color="auto"/>
        <w:right w:val="none" w:sz="0" w:space="0" w:color="auto"/>
      </w:divBdr>
    </w:div>
    <w:div w:id="875778862">
      <w:bodyDiv w:val="1"/>
      <w:marLeft w:val="0"/>
      <w:marRight w:val="0"/>
      <w:marTop w:val="0"/>
      <w:marBottom w:val="0"/>
      <w:divBdr>
        <w:top w:val="none" w:sz="0" w:space="0" w:color="auto"/>
        <w:left w:val="none" w:sz="0" w:space="0" w:color="auto"/>
        <w:bottom w:val="none" w:sz="0" w:space="0" w:color="auto"/>
        <w:right w:val="none" w:sz="0" w:space="0" w:color="auto"/>
      </w:divBdr>
    </w:div>
    <w:div w:id="875779595">
      <w:bodyDiv w:val="1"/>
      <w:marLeft w:val="0"/>
      <w:marRight w:val="0"/>
      <w:marTop w:val="0"/>
      <w:marBottom w:val="0"/>
      <w:divBdr>
        <w:top w:val="none" w:sz="0" w:space="0" w:color="auto"/>
        <w:left w:val="none" w:sz="0" w:space="0" w:color="auto"/>
        <w:bottom w:val="none" w:sz="0" w:space="0" w:color="auto"/>
        <w:right w:val="none" w:sz="0" w:space="0" w:color="auto"/>
      </w:divBdr>
    </w:div>
    <w:div w:id="876158169">
      <w:bodyDiv w:val="1"/>
      <w:marLeft w:val="0"/>
      <w:marRight w:val="0"/>
      <w:marTop w:val="0"/>
      <w:marBottom w:val="0"/>
      <w:divBdr>
        <w:top w:val="none" w:sz="0" w:space="0" w:color="auto"/>
        <w:left w:val="none" w:sz="0" w:space="0" w:color="auto"/>
        <w:bottom w:val="none" w:sz="0" w:space="0" w:color="auto"/>
        <w:right w:val="none" w:sz="0" w:space="0" w:color="auto"/>
      </w:divBdr>
    </w:div>
    <w:div w:id="876234674">
      <w:bodyDiv w:val="1"/>
      <w:marLeft w:val="0"/>
      <w:marRight w:val="0"/>
      <w:marTop w:val="0"/>
      <w:marBottom w:val="0"/>
      <w:divBdr>
        <w:top w:val="none" w:sz="0" w:space="0" w:color="auto"/>
        <w:left w:val="none" w:sz="0" w:space="0" w:color="auto"/>
        <w:bottom w:val="none" w:sz="0" w:space="0" w:color="auto"/>
        <w:right w:val="none" w:sz="0" w:space="0" w:color="auto"/>
      </w:divBdr>
    </w:div>
    <w:div w:id="876429878">
      <w:bodyDiv w:val="1"/>
      <w:marLeft w:val="0"/>
      <w:marRight w:val="0"/>
      <w:marTop w:val="0"/>
      <w:marBottom w:val="0"/>
      <w:divBdr>
        <w:top w:val="none" w:sz="0" w:space="0" w:color="auto"/>
        <w:left w:val="none" w:sz="0" w:space="0" w:color="auto"/>
        <w:bottom w:val="none" w:sz="0" w:space="0" w:color="auto"/>
        <w:right w:val="none" w:sz="0" w:space="0" w:color="auto"/>
      </w:divBdr>
    </w:div>
    <w:div w:id="876506042">
      <w:bodyDiv w:val="1"/>
      <w:marLeft w:val="0"/>
      <w:marRight w:val="0"/>
      <w:marTop w:val="0"/>
      <w:marBottom w:val="0"/>
      <w:divBdr>
        <w:top w:val="none" w:sz="0" w:space="0" w:color="auto"/>
        <w:left w:val="none" w:sz="0" w:space="0" w:color="auto"/>
        <w:bottom w:val="none" w:sz="0" w:space="0" w:color="auto"/>
        <w:right w:val="none" w:sz="0" w:space="0" w:color="auto"/>
      </w:divBdr>
    </w:div>
    <w:div w:id="876820931">
      <w:bodyDiv w:val="1"/>
      <w:marLeft w:val="0"/>
      <w:marRight w:val="0"/>
      <w:marTop w:val="0"/>
      <w:marBottom w:val="0"/>
      <w:divBdr>
        <w:top w:val="none" w:sz="0" w:space="0" w:color="auto"/>
        <w:left w:val="none" w:sz="0" w:space="0" w:color="auto"/>
        <w:bottom w:val="none" w:sz="0" w:space="0" w:color="auto"/>
        <w:right w:val="none" w:sz="0" w:space="0" w:color="auto"/>
      </w:divBdr>
    </w:div>
    <w:div w:id="877088292">
      <w:bodyDiv w:val="1"/>
      <w:marLeft w:val="0"/>
      <w:marRight w:val="0"/>
      <w:marTop w:val="0"/>
      <w:marBottom w:val="0"/>
      <w:divBdr>
        <w:top w:val="none" w:sz="0" w:space="0" w:color="auto"/>
        <w:left w:val="none" w:sz="0" w:space="0" w:color="auto"/>
        <w:bottom w:val="none" w:sz="0" w:space="0" w:color="auto"/>
        <w:right w:val="none" w:sz="0" w:space="0" w:color="auto"/>
      </w:divBdr>
    </w:div>
    <w:div w:id="877274545">
      <w:bodyDiv w:val="1"/>
      <w:marLeft w:val="0"/>
      <w:marRight w:val="0"/>
      <w:marTop w:val="0"/>
      <w:marBottom w:val="0"/>
      <w:divBdr>
        <w:top w:val="none" w:sz="0" w:space="0" w:color="auto"/>
        <w:left w:val="none" w:sz="0" w:space="0" w:color="auto"/>
        <w:bottom w:val="none" w:sz="0" w:space="0" w:color="auto"/>
        <w:right w:val="none" w:sz="0" w:space="0" w:color="auto"/>
      </w:divBdr>
    </w:div>
    <w:div w:id="877401313">
      <w:bodyDiv w:val="1"/>
      <w:marLeft w:val="0"/>
      <w:marRight w:val="0"/>
      <w:marTop w:val="0"/>
      <w:marBottom w:val="0"/>
      <w:divBdr>
        <w:top w:val="none" w:sz="0" w:space="0" w:color="auto"/>
        <w:left w:val="none" w:sz="0" w:space="0" w:color="auto"/>
        <w:bottom w:val="none" w:sz="0" w:space="0" w:color="auto"/>
        <w:right w:val="none" w:sz="0" w:space="0" w:color="auto"/>
      </w:divBdr>
    </w:div>
    <w:div w:id="877468851">
      <w:bodyDiv w:val="1"/>
      <w:marLeft w:val="0"/>
      <w:marRight w:val="0"/>
      <w:marTop w:val="0"/>
      <w:marBottom w:val="0"/>
      <w:divBdr>
        <w:top w:val="none" w:sz="0" w:space="0" w:color="auto"/>
        <w:left w:val="none" w:sz="0" w:space="0" w:color="auto"/>
        <w:bottom w:val="none" w:sz="0" w:space="0" w:color="auto"/>
        <w:right w:val="none" w:sz="0" w:space="0" w:color="auto"/>
      </w:divBdr>
    </w:div>
    <w:div w:id="877551388">
      <w:bodyDiv w:val="1"/>
      <w:marLeft w:val="0"/>
      <w:marRight w:val="0"/>
      <w:marTop w:val="0"/>
      <w:marBottom w:val="0"/>
      <w:divBdr>
        <w:top w:val="none" w:sz="0" w:space="0" w:color="auto"/>
        <w:left w:val="none" w:sz="0" w:space="0" w:color="auto"/>
        <w:bottom w:val="none" w:sz="0" w:space="0" w:color="auto"/>
        <w:right w:val="none" w:sz="0" w:space="0" w:color="auto"/>
      </w:divBdr>
    </w:div>
    <w:div w:id="877816510">
      <w:bodyDiv w:val="1"/>
      <w:marLeft w:val="0"/>
      <w:marRight w:val="0"/>
      <w:marTop w:val="0"/>
      <w:marBottom w:val="0"/>
      <w:divBdr>
        <w:top w:val="none" w:sz="0" w:space="0" w:color="auto"/>
        <w:left w:val="none" w:sz="0" w:space="0" w:color="auto"/>
        <w:bottom w:val="none" w:sz="0" w:space="0" w:color="auto"/>
        <w:right w:val="none" w:sz="0" w:space="0" w:color="auto"/>
      </w:divBdr>
    </w:div>
    <w:div w:id="878127552">
      <w:bodyDiv w:val="1"/>
      <w:marLeft w:val="0"/>
      <w:marRight w:val="0"/>
      <w:marTop w:val="0"/>
      <w:marBottom w:val="0"/>
      <w:divBdr>
        <w:top w:val="none" w:sz="0" w:space="0" w:color="auto"/>
        <w:left w:val="none" w:sz="0" w:space="0" w:color="auto"/>
        <w:bottom w:val="none" w:sz="0" w:space="0" w:color="auto"/>
        <w:right w:val="none" w:sz="0" w:space="0" w:color="auto"/>
      </w:divBdr>
    </w:div>
    <w:div w:id="878514370">
      <w:bodyDiv w:val="1"/>
      <w:marLeft w:val="0"/>
      <w:marRight w:val="0"/>
      <w:marTop w:val="0"/>
      <w:marBottom w:val="0"/>
      <w:divBdr>
        <w:top w:val="none" w:sz="0" w:space="0" w:color="auto"/>
        <w:left w:val="none" w:sz="0" w:space="0" w:color="auto"/>
        <w:bottom w:val="none" w:sz="0" w:space="0" w:color="auto"/>
        <w:right w:val="none" w:sz="0" w:space="0" w:color="auto"/>
      </w:divBdr>
    </w:div>
    <w:div w:id="878854589">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80215366">
      <w:bodyDiv w:val="1"/>
      <w:marLeft w:val="0"/>
      <w:marRight w:val="0"/>
      <w:marTop w:val="0"/>
      <w:marBottom w:val="0"/>
      <w:divBdr>
        <w:top w:val="none" w:sz="0" w:space="0" w:color="auto"/>
        <w:left w:val="none" w:sz="0" w:space="0" w:color="auto"/>
        <w:bottom w:val="none" w:sz="0" w:space="0" w:color="auto"/>
        <w:right w:val="none" w:sz="0" w:space="0" w:color="auto"/>
      </w:divBdr>
    </w:div>
    <w:div w:id="880554648">
      <w:bodyDiv w:val="1"/>
      <w:marLeft w:val="0"/>
      <w:marRight w:val="0"/>
      <w:marTop w:val="0"/>
      <w:marBottom w:val="0"/>
      <w:divBdr>
        <w:top w:val="none" w:sz="0" w:space="0" w:color="auto"/>
        <w:left w:val="none" w:sz="0" w:space="0" w:color="auto"/>
        <w:bottom w:val="none" w:sz="0" w:space="0" w:color="auto"/>
        <w:right w:val="none" w:sz="0" w:space="0" w:color="auto"/>
      </w:divBdr>
    </w:div>
    <w:div w:id="880627757">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0829199">
      <w:bodyDiv w:val="1"/>
      <w:marLeft w:val="0"/>
      <w:marRight w:val="0"/>
      <w:marTop w:val="0"/>
      <w:marBottom w:val="0"/>
      <w:divBdr>
        <w:top w:val="none" w:sz="0" w:space="0" w:color="auto"/>
        <w:left w:val="none" w:sz="0" w:space="0" w:color="auto"/>
        <w:bottom w:val="none" w:sz="0" w:space="0" w:color="auto"/>
        <w:right w:val="none" w:sz="0" w:space="0" w:color="auto"/>
      </w:divBdr>
    </w:div>
    <w:div w:id="880871589">
      <w:bodyDiv w:val="1"/>
      <w:marLeft w:val="0"/>
      <w:marRight w:val="0"/>
      <w:marTop w:val="0"/>
      <w:marBottom w:val="0"/>
      <w:divBdr>
        <w:top w:val="none" w:sz="0" w:space="0" w:color="auto"/>
        <w:left w:val="none" w:sz="0" w:space="0" w:color="auto"/>
        <w:bottom w:val="none" w:sz="0" w:space="0" w:color="auto"/>
        <w:right w:val="none" w:sz="0" w:space="0" w:color="auto"/>
      </w:divBdr>
    </w:div>
    <w:div w:id="880937823">
      <w:bodyDiv w:val="1"/>
      <w:marLeft w:val="0"/>
      <w:marRight w:val="0"/>
      <w:marTop w:val="0"/>
      <w:marBottom w:val="0"/>
      <w:divBdr>
        <w:top w:val="none" w:sz="0" w:space="0" w:color="auto"/>
        <w:left w:val="none" w:sz="0" w:space="0" w:color="auto"/>
        <w:bottom w:val="none" w:sz="0" w:space="0" w:color="auto"/>
        <w:right w:val="none" w:sz="0" w:space="0" w:color="auto"/>
      </w:divBdr>
    </w:div>
    <w:div w:id="881022305">
      <w:bodyDiv w:val="1"/>
      <w:marLeft w:val="0"/>
      <w:marRight w:val="0"/>
      <w:marTop w:val="0"/>
      <w:marBottom w:val="0"/>
      <w:divBdr>
        <w:top w:val="none" w:sz="0" w:space="0" w:color="auto"/>
        <w:left w:val="none" w:sz="0" w:space="0" w:color="auto"/>
        <w:bottom w:val="none" w:sz="0" w:space="0" w:color="auto"/>
        <w:right w:val="none" w:sz="0" w:space="0" w:color="auto"/>
      </w:divBdr>
    </w:div>
    <w:div w:id="881331337">
      <w:bodyDiv w:val="1"/>
      <w:marLeft w:val="0"/>
      <w:marRight w:val="0"/>
      <w:marTop w:val="0"/>
      <w:marBottom w:val="0"/>
      <w:divBdr>
        <w:top w:val="none" w:sz="0" w:space="0" w:color="auto"/>
        <w:left w:val="none" w:sz="0" w:space="0" w:color="auto"/>
        <w:bottom w:val="none" w:sz="0" w:space="0" w:color="auto"/>
        <w:right w:val="none" w:sz="0" w:space="0" w:color="auto"/>
      </w:divBdr>
    </w:div>
    <w:div w:id="881400350">
      <w:bodyDiv w:val="1"/>
      <w:marLeft w:val="0"/>
      <w:marRight w:val="0"/>
      <w:marTop w:val="0"/>
      <w:marBottom w:val="0"/>
      <w:divBdr>
        <w:top w:val="none" w:sz="0" w:space="0" w:color="auto"/>
        <w:left w:val="none" w:sz="0" w:space="0" w:color="auto"/>
        <w:bottom w:val="none" w:sz="0" w:space="0" w:color="auto"/>
        <w:right w:val="none" w:sz="0" w:space="0" w:color="auto"/>
      </w:divBdr>
    </w:div>
    <w:div w:id="881403257">
      <w:bodyDiv w:val="1"/>
      <w:marLeft w:val="0"/>
      <w:marRight w:val="0"/>
      <w:marTop w:val="0"/>
      <w:marBottom w:val="0"/>
      <w:divBdr>
        <w:top w:val="none" w:sz="0" w:space="0" w:color="auto"/>
        <w:left w:val="none" w:sz="0" w:space="0" w:color="auto"/>
        <w:bottom w:val="none" w:sz="0" w:space="0" w:color="auto"/>
        <w:right w:val="none" w:sz="0" w:space="0" w:color="auto"/>
      </w:divBdr>
    </w:div>
    <w:div w:id="881864632">
      <w:bodyDiv w:val="1"/>
      <w:marLeft w:val="0"/>
      <w:marRight w:val="0"/>
      <w:marTop w:val="0"/>
      <w:marBottom w:val="0"/>
      <w:divBdr>
        <w:top w:val="none" w:sz="0" w:space="0" w:color="auto"/>
        <w:left w:val="none" w:sz="0" w:space="0" w:color="auto"/>
        <w:bottom w:val="none" w:sz="0" w:space="0" w:color="auto"/>
        <w:right w:val="none" w:sz="0" w:space="0" w:color="auto"/>
      </w:divBdr>
    </w:div>
    <w:div w:id="882137095">
      <w:bodyDiv w:val="1"/>
      <w:marLeft w:val="0"/>
      <w:marRight w:val="0"/>
      <w:marTop w:val="0"/>
      <w:marBottom w:val="0"/>
      <w:divBdr>
        <w:top w:val="none" w:sz="0" w:space="0" w:color="auto"/>
        <w:left w:val="none" w:sz="0" w:space="0" w:color="auto"/>
        <w:bottom w:val="none" w:sz="0" w:space="0" w:color="auto"/>
        <w:right w:val="none" w:sz="0" w:space="0" w:color="auto"/>
      </w:divBdr>
    </w:div>
    <w:div w:id="882793200">
      <w:bodyDiv w:val="1"/>
      <w:marLeft w:val="0"/>
      <w:marRight w:val="0"/>
      <w:marTop w:val="0"/>
      <w:marBottom w:val="0"/>
      <w:divBdr>
        <w:top w:val="none" w:sz="0" w:space="0" w:color="auto"/>
        <w:left w:val="none" w:sz="0" w:space="0" w:color="auto"/>
        <w:bottom w:val="none" w:sz="0" w:space="0" w:color="auto"/>
        <w:right w:val="none" w:sz="0" w:space="0" w:color="auto"/>
      </w:divBdr>
    </w:div>
    <w:div w:id="882904032">
      <w:bodyDiv w:val="1"/>
      <w:marLeft w:val="0"/>
      <w:marRight w:val="0"/>
      <w:marTop w:val="0"/>
      <w:marBottom w:val="0"/>
      <w:divBdr>
        <w:top w:val="none" w:sz="0" w:space="0" w:color="auto"/>
        <w:left w:val="none" w:sz="0" w:space="0" w:color="auto"/>
        <w:bottom w:val="none" w:sz="0" w:space="0" w:color="auto"/>
        <w:right w:val="none" w:sz="0" w:space="0" w:color="auto"/>
      </w:divBdr>
    </w:div>
    <w:div w:id="883251074">
      <w:bodyDiv w:val="1"/>
      <w:marLeft w:val="0"/>
      <w:marRight w:val="0"/>
      <w:marTop w:val="0"/>
      <w:marBottom w:val="0"/>
      <w:divBdr>
        <w:top w:val="none" w:sz="0" w:space="0" w:color="auto"/>
        <w:left w:val="none" w:sz="0" w:space="0" w:color="auto"/>
        <w:bottom w:val="none" w:sz="0" w:space="0" w:color="auto"/>
        <w:right w:val="none" w:sz="0" w:space="0" w:color="auto"/>
      </w:divBdr>
    </w:div>
    <w:div w:id="883371222">
      <w:bodyDiv w:val="1"/>
      <w:marLeft w:val="0"/>
      <w:marRight w:val="0"/>
      <w:marTop w:val="0"/>
      <w:marBottom w:val="0"/>
      <w:divBdr>
        <w:top w:val="none" w:sz="0" w:space="0" w:color="auto"/>
        <w:left w:val="none" w:sz="0" w:space="0" w:color="auto"/>
        <w:bottom w:val="none" w:sz="0" w:space="0" w:color="auto"/>
        <w:right w:val="none" w:sz="0" w:space="0" w:color="auto"/>
      </w:divBdr>
    </w:div>
    <w:div w:id="883519158">
      <w:bodyDiv w:val="1"/>
      <w:marLeft w:val="0"/>
      <w:marRight w:val="0"/>
      <w:marTop w:val="0"/>
      <w:marBottom w:val="0"/>
      <w:divBdr>
        <w:top w:val="none" w:sz="0" w:space="0" w:color="auto"/>
        <w:left w:val="none" w:sz="0" w:space="0" w:color="auto"/>
        <w:bottom w:val="none" w:sz="0" w:space="0" w:color="auto"/>
        <w:right w:val="none" w:sz="0" w:space="0" w:color="auto"/>
      </w:divBdr>
    </w:div>
    <w:div w:id="883753356">
      <w:bodyDiv w:val="1"/>
      <w:marLeft w:val="0"/>
      <w:marRight w:val="0"/>
      <w:marTop w:val="0"/>
      <w:marBottom w:val="0"/>
      <w:divBdr>
        <w:top w:val="none" w:sz="0" w:space="0" w:color="auto"/>
        <w:left w:val="none" w:sz="0" w:space="0" w:color="auto"/>
        <w:bottom w:val="none" w:sz="0" w:space="0" w:color="auto"/>
        <w:right w:val="none" w:sz="0" w:space="0" w:color="auto"/>
      </w:divBdr>
    </w:div>
    <w:div w:id="884492076">
      <w:bodyDiv w:val="1"/>
      <w:marLeft w:val="0"/>
      <w:marRight w:val="0"/>
      <w:marTop w:val="0"/>
      <w:marBottom w:val="0"/>
      <w:divBdr>
        <w:top w:val="none" w:sz="0" w:space="0" w:color="auto"/>
        <w:left w:val="none" w:sz="0" w:space="0" w:color="auto"/>
        <w:bottom w:val="none" w:sz="0" w:space="0" w:color="auto"/>
        <w:right w:val="none" w:sz="0" w:space="0" w:color="auto"/>
      </w:divBdr>
    </w:div>
    <w:div w:id="885222307">
      <w:bodyDiv w:val="1"/>
      <w:marLeft w:val="0"/>
      <w:marRight w:val="0"/>
      <w:marTop w:val="0"/>
      <w:marBottom w:val="0"/>
      <w:divBdr>
        <w:top w:val="none" w:sz="0" w:space="0" w:color="auto"/>
        <w:left w:val="none" w:sz="0" w:space="0" w:color="auto"/>
        <w:bottom w:val="none" w:sz="0" w:space="0" w:color="auto"/>
        <w:right w:val="none" w:sz="0" w:space="0" w:color="auto"/>
      </w:divBdr>
    </w:div>
    <w:div w:id="885289221">
      <w:bodyDiv w:val="1"/>
      <w:marLeft w:val="0"/>
      <w:marRight w:val="0"/>
      <w:marTop w:val="0"/>
      <w:marBottom w:val="0"/>
      <w:divBdr>
        <w:top w:val="none" w:sz="0" w:space="0" w:color="auto"/>
        <w:left w:val="none" w:sz="0" w:space="0" w:color="auto"/>
        <w:bottom w:val="none" w:sz="0" w:space="0" w:color="auto"/>
        <w:right w:val="none" w:sz="0" w:space="0" w:color="auto"/>
      </w:divBdr>
    </w:div>
    <w:div w:id="885340319">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85526053">
      <w:bodyDiv w:val="1"/>
      <w:marLeft w:val="0"/>
      <w:marRight w:val="0"/>
      <w:marTop w:val="0"/>
      <w:marBottom w:val="0"/>
      <w:divBdr>
        <w:top w:val="none" w:sz="0" w:space="0" w:color="auto"/>
        <w:left w:val="none" w:sz="0" w:space="0" w:color="auto"/>
        <w:bottom w:val="none" w:sz="0" w:space="0" w:color="auto"/>
        <w:right w:val="none" w:sz="0" w:space="0" w:color="auto"/>
      </w:divBdr>
    </w:div>
    <w:div w:id="885533169">
      <w:bodyDiv w:val="1"/>
      <w:marLeft w:val="0"/>
      <w:marRight w:val="0"/>
      <w:marTop w:val="0"/>
      <w:marBottom w:val="0"/>
      <w:divBdr>
        <w:top w:val="none" w:sz="0" w:space="0" w:color="auto"/>
        <w:left w:val="none" w:sz="0" w:space="0" w:color="auto"/>
        <w:bottom w:val="none" w:sz="0" w:space="0" w:color="auto"/>
        <w:right w:val="none" w:sz="0" w:space="0" w:color="auto"/>
      </w:divBdr>
    </w:div>
    <w:div w:id="886256811">
      <w:bodyDiv w:val="1"/>
      <w:marLeft w:val="0"/>
      <w:marRight w:val="0"/>
      <w:marTop w:val="0"/>
      <w:marBottom w:val="0"/>
      <w:divBdr>
        <w:top w:val="none" w:sz="0" w:space="0" w:color="auto"/>
        <w:left w:val="none" w:sz="0" w:space="0" w:color="auto"/>
        <w:bottom w:val="none" w:sz="0" w:space="0" w:color="auto"/>
        <w:right w:val="none" w:sz="0" w:space="0" w:color="auto"/>
      </w:divBdr>
    </w:div>
    <w:div w:id="886339224">
      <w:bodyDiv w:val="1"/>
      <w:marLeft w:val="0"/>
      <w:marRight w:val="0"/>
      <w:marTop w:val="0"/>
      <w:marBottom w:val="0"/>
      <w:divBdr>
        <w:top w:val="none" w:sz="0" w:space="0" w:color="auto"/>
        <w:left w:val="none" w:sz="0" w:space="0" w:color="auto"/>
        <w:bottom w:val="none" w:sz="0" w:space="0" w:color="auto"/>
        <w:right w:val="none" w:sz="0" w:space="0" w:color="auto"/>
      </w:divBdr>
    </w:div>
    <w:div w:id="886381994">
      <w:bodyDiv w:val="1"/>
      <w:marLeft w:val="0"/>
      <w:marRight w:val="0"/>
      <w:marTop w:val="0"/>
      <w:marBottom w:val="0"/>
      <w:divBdr>
        <w:top w:val="none" w:sz="0" w:space="0" w:color="auto"/>
        <w:left w:val="none" w:sz="0" w:space="0" w:color="auto"/>
        <w:bottom w:val="none" w:sz="0" w:space="0" w:color="auto"/>
        <w:right w:val="none" w:sz="0" w:space="0" w:color="auto"/>
      </w:divBdr>
    </w:div>
    <w:div w:id="886986649">
      <w:bodyDiv w:val="1"/>
      <w:marLeft w:val="0"/>
      <w:marRight w:val="0"/>
      <w:marTop w:val="0"/>
      <w:marBottom w:val="0"/>
      <w:divBdr>
        <w:top w:val="none" w:sz="0" w:space="0" w:color="auto"/>
        <w:left w:val="none" w:sz="0" w:space="0" w:color="auto"/>
        <w:bottom w:val="none" w:sz="0" w:space="0" w:color="auto"/>
        <w:right w:val="none" w:sz="0" w:space="0" w:color="auto"/>
      </w:divBdr>
    </w:div>
    <w:div w:id="887453245">
      <w:bodyDiv w:val="1"/>
      <w:marLeft w:val="0"/>
      <w:marRight w:val="0"/>
      <w:marTop w:val="0"/>
      <w:marBottom w:val="0"/>
      <w:divBdr>
        <w:top w:val="none" w:sz="0" w:space="0" w:color="auto"/>
        <w:left w:val="none" w:sz="0" w:space="0" w:color="auto"/>
        <w:bottom w:val="none" w:sz="0" w:space="0" w:color="auto"/>
        <w:right w:val="none" w:sz="0" w:space="0" w:color="auto"/>
      </w:divBdr>
    </w:div>
    <w:div w:id="887765340">
      <w:bodyDiv w:val="1"/>
      <w:marLeft w:val="0"/>
      <w:marRight w:val="0"/>
      <w:marTop w:val="0"/>
      <w:marBottom w:val="0"/>
      <w:divBdr>
        <w:top w:val="none" w:sz="0" w:space="0" w:color="auto"/>
        <w:left w:val="none" w:sz="0" w:space="0" w:color="auto"/>
        <w:bottom w:val="none" w:sz="0" w:space="0" w:color="auto"/>
        <w:right w:val="none" w:sz="0" w:space="0" w:color="auto"/>
      </w:divBdr>
    </w:div>
    <w:div w:id="887840538">
      <w:bodyDiv w:val="1"/>
      <w:marLeft w:val="0"/>
      <w:marRight w:val="0"/>
      <w:marTop w:val="0"/>
      <w:marBottom w:val="0"/>
      <w:divBdr>
        <w:top w:val="none" w:sz="0" w:space="0" w:color="auto"/>
        <w:left w:val="none" w:sz="0" w:space="0" w:color="auto"/>
        <w:bottom w:val="none" w:sz="0" w:space="0" w:color="auto"/>
        <w:right w:val="none" w:sz="0" w:space="0" w:color="auto"/>
      </w:divBdr>
    </w:div>
    <w:div w:id="888610438">
      <w:bodyDiv w:val="1"/>
      <w:marLeft w:val="0"/>
      <w:marRight w:val="0"/>
      <w:marTop w:val="0"/>
      <w:marBottom w:val="0"/>
      <w:divBdr>
        <w:top w:val="none" w:sz="0" w:space="0" w:color="auto"/>
        <w:left w:val="none" w:sz="0" w:space="0" w:color="auto"/>
        <w:bottom w:val="none" w:sz="0" w:space="0" w:color="auto"/>
        <w:right w:val="none" w:sz="0" w:space="0" w:color="auto"/>
      </w:divBdr>
    </w:div>
    <w:div w:id="888884917">
      <w:bodyDiv w:val="1"/>
      <w:marLeft w:val="0"/>
      <w:marRight w:val="0"/>
      <w:marTop w:val="0"/>
      <w:marBottom w:val="0"/>
      <w:divBdr>
        <w:top w:val="none" w:sz="0" w:space="0" w:color="auto"/>
        <w:left w:val="none" w:sz="0" w:space="0" w:color="auto"/>
        <w:bottom w:val="none" w:sz="0" w:space="0" w:color="auto"/>
        <w:right w:val="none" w:sz="0" w:space="0" w:color="auto"/>
      </w:divBdr>
    </w:div>
    <w:div w:id="889149367">
      <w:bodyDiv w:val="1"/>
      <w:marLeft w:val="0"/>
      <w:marRight w:val="0"/>
      <w:marTop w:val="0"/>
      <w:marBottom w:val="0"/>
      <w:divBdr>
        <w:top w:val="none" w:sz="0" w:space="0" w:color="auto"/>
        <w:left w:val="none" w:sz="0" w:space="0" w:color="auto"/>
        <w:bottom w:val="none" w:sz="0" w:space="0" w:color="auto"/>
        <w:right w:val="none" w:sz="0" w:space="0" w:color="auto"/>
      </w:divBdr>
    </w:div>
    <w:div w:id="889343727">
      <w:bodyDiv w:val="1"/>
      <w:marLeft w:val="0"/>
      <w:marRight w:val="0"/>
      <w:marTop w:val="0"/>
      <w:marBottom w:val="0"/>
      <w:divBdr>
        <w:top w:val="none" w:sz="0" w:space="0" w:color="auto"/>
        <w:left w:val="none" w:sz="0" w:space="0" w:color="auto"/>
        <w:bottom w:val="none" w:sz="0" w:space="0" w:color="auto"/>
        <w:right w:val="none" w:sz="0" w:space="0" w:color="auto"/>
      </w:divBdr>
    </w:div>
    <w:div w:id="889733431">
      <w:bodyDiv w:val="1"/>
      <w:marLeft w:val="0"/>
      <w:marRight w:val="0"/>
      <w:marTop w:val="0"/>
      <w:marBottom w:val="0"/>
      <w:divBdr>
        <w:top w:val="none" w:sz="0" w:space="0" w:color="auto"/>
        <w:left w:val="none" w:sz="0" w:space="0" w:color="auto"/>
        <w:bottom w:val="none" w:sz="0" w:space="0" w:color="auto"/>
        <w:right w:val="none" w:sz="0" w:space="0" w:color="auto"/>
      </w:divBdr>
    </w:div>
    <w:div w:id="889733980">
      <w:bodyDiv w:val="1"/>
      <w:marLeft w:val="0"/>
      <w:marRight w:val="0"/>
      <w:marTop w:val="0"/>
      <w:marBottom w:val="0"/>
      <w:divBdr>
        <w:top w:val="none" w:sz="0" w:space="0" w:color="auto"/>
        <w:left w:val="none" w:sz="0" w:space="0" w:color="auto"/>
        <w:bottom w:val="none" w:sz="0" w:space="0" w:color="auto"/>
        <w:right w:val="none" w:sz="0" w:space="0" w:color="auto"/>
      </w:divBdr>
    </w:div>
    <w:div w:id="890193773">
      <w:bodyDiv w:val="1"/>
      <w:marLeft w:val="0"/>
      <w:marRight w:val="0"/>
      <w:marTop w:val="0"/>
      <w:marBottom w:val="0"/>
      <w:divBdr>
        <w:top w:val="none" w:sz="0" w:space="0" w:color="auto"/>
        <w:left w:val="none" w:sz="0" w:space="0" w:color="auto"/>
        <w:bottom w:val="none" w:sz="0" w:space="0" w:color="auto"/>
        <w:right w:val="none" w:sz="0" w:space="0" w:color="auto"/>
      </w:divBdr>
    </w:div>
    <w:div w:id="890337669">
      <w:bodyDiv w:val="1"/>
      <w:marLeft w:val="0"/>
      <w:marRight w:val="0"/>
      <w:marTop w:val="0"/>
      <w:marBottom w:val="0"/>
      <w:divBdr>
        <w:top w:val="none" w:sz="0" w:space="0" w:color="auto"/>
        <w:left w:val="none" w:sz="0" w:space="0" w:color="auto"/>
        <w:bottom w:val="none" w:sz="0" w:space="0" w:color="auto"/>
        <w:right w:val="none" w:sz="0" w:space="0" w:color="auto"/>
      </w:divBdr>
    </w:div>
    <w:div w:id="890964194">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2228246">
      <w:bodyDiv w:val="1"/>
      <w:marLeft w:val="0"/>
      <w:marRight w:val="0"/>
      <w:marTop w:val="0"/>
      <w:marBottom w:val="0"/>
      <w:divBdr>
        <w:top w:val="none" w:sz="0" w:space="0" w:color="auto"/>
        <w:left w:val="none" w:sz="0" w:space="0" w:color="auto"/>
        <w:bottom w:val="none" w:sz="0" w:space="0" w:color="auto"/>
        <w:right w:val="none" w:sz="0" w:space="0" w:color="auto"/>
      </w:divBdr>
    </w:div>
    <w:div w:id="892276474">
      <w:bodyDiv w:val="1"/>
      <w:marLeft w:val="0"/>
      <w:marRight w:val="0"/>
      <w:marTop w:val="0"/>
      <w:marBottom w:val="0"/>
      <w:divBdr>
        <w:top w:val="none" w:sz="0" w:space="0" w:color="auto"/>
        <w:left w:val="none" w:sz="0" w:space="0" w:color="auto"/>
        <w:bottom w:val="none" w:sz="0" w:space="0" w:color="auto"/>
        <w:right w:val="none" w:sz="0" w:space="0" w:color="auto"/>
      </w:divBdr>
    </w:div>
    <w:div w:id="892933433">
      <w:bodyDiv w:val="1"/>
      <w:marLeft w:val="0"/>
      <w:marRight w:val="0"/>
      <w:marTop w:val="0"/>
      <w:marBottom w:val="0"/>
      <w:divBdr>
        <w:top w:val="none" w:sz="0" w:space="0" w:color="auto"/>
        <w:left w:val="none" w:sz="0" w:space="0" w:color="auto"/>
        <w:bottom w:val="none" w:sz="0" w:space="0" w:color="auto"/>
        <w:right w:val="none" w:sz="0" w:space="0" w:color="auto"/>
      </w:divBdr>
    </w:div>
    <w:div w:id="893078426">
      <w:bodyDiv w:val="1"/>
      <w:marLeft w:val="0"/>
      <w:marRight w:val="0"/>
      <w:marTop w:val="0"/>
      <w:marBottom w:val="0"/>
      <w:divBdr>
        <w:top w:val="none" w:sz="0" w:space="0" w:color="auto"/>
        <w:left w:val="none" w:sz="0" w:space="0" w:color="auto"/>
        <w:bottom w:val="none" w:sz="0" w:space="0" w:color="auto"/>
        <w:right w:val="none" w:sz="0" w:space="0" w:color="auto"/>
      </w:divBdr>
    </w:div>
    <w:div w:id="893658329">
      <w:bodyDiv w:val="1"/>
      <w:marLeft w:val="0"/>
      <w:marRight w:val="0"/>
      <w:marTop w:val="0"/>
      <w:marBottom w:val="0"/>
      <w:divBdr>
        <w:top w:val="none" w:sz="0" w:space="0" w:color="auto"/>
        <w:left w:val="none" w:sz="0" w:space="0" w:color="auto"/>
        <w:bottom w:val="none" w:sz="0" w:space="0" w:color="auto"/>
        <w:right w:val="none" w:sz="0" w:space="0" w:color="auto"/>
      </w:divBdr>
    </w:div>
    <w:div w:id="893781307">
      <w:bodyDiv w:val="1"/>
      <w:marLeft w:val="0"/>
      <w:marRight w:val="0"/>
      <w:marTop w:val="0"/>
      <w:marBottom w:val="0"/>
      <w:divBdr>
        <w:top w:val="none" w:sz="0" w:space="0" w:color="auto"/>
        <w:left w:val="none" w:sz="0" w:space="0" w:color="auto"/>
        <w:bottom w:val="none" w:sz="0" w:space="0" w:color="auto"/>
        <w:right w:val="none" w:sz="0" w:space="0" w:color="auto"/>
      </w:divBdr>
    </w:div>
    <w:div w:id="893810662">
      <w:bodyDiv w:val="1"/>
      <w:marLeft w:val="0"/>
      <w:marRight w:val="0"/>
      <w:marTop w:val="0"/>
      <w:marBottom w:val="0"/>
      <w:divBdr>
        <w:top w:val="none" w:sz="0" w:space="0" w:color="auto"/>
        <w:left w:val="none" w:sz="0" w:space="0" w:color="auto"/>
        <w:bottom w:val="none" w:sz="0" w:space="0" w:color="auto"/>
        <w:right w:val="none" w:sz="0" w:space="0" w:color="auto"/>
      </w:divBdr>
    </w:div>
    <w:div w:id="894002063">
      <w:bodyDiv w:val="1"/>
      <w:marLeft w:val="0"/>
      <w:marRight w:val="0"/>
      <w:marTop w:val="0"/>
      <w:marBottom w:val="0"/>
      <w:divBdr>
        <w:top w:val="none" w:sz="0" w:space="0" w:color="auto"/>
        <w:left w:val="none" w:sz="0" w:space="0" w:color="auto"/>
        <w:bottom w:val="none" w:sz="0" w:space="0" w:color="auto"/>
        <w:right w:val="none" w:sz="0" w:space="0" w:color="auto"/>
      </w:divBdr>
    </w:div>
    <w:div w:id="894244343">
      <w:bodyDiv w:val="1"/>
      <w:marLeft w:val="0"/>
      <w:marRight w:val="0"/>
      <w:marTop w:val="0"/>
      <w:marBottom w:val="0"/>
      <w:divBdr>
        <w:top w:val="none" w:sz="0" w:space="0" w:color="auto"/>
        <w:left w:val="none" w:sz="0" w:space="0" w:color="auto"/>
        <w:bottom w:val="none" w:sz="0" w:space="0" w:color="auto"/>
        <w:right w:val="none" w:sz="0" w:space="0" w:color="auto"/>
      </w:divBdr>
    </w:div>
    <w:div w:id="894270853">
      <w:bodyDiv w:val="1"/>
      <w:marLeft w:val="0"/>
      <w:marRight w:val="0"/>
      <w:marTop w:val="0"/>
      <w:marBottom w:val="0"/>
      <w:divBdr>
        <w:top w:val="none" w:sz="0" w:space="0" w:color="auto"/>
        <w:left w:val="none" w:sz="0" w:space="0" w:color="auto"/>
        <w:bottom w:val="none" w:sz="0" w:space="0" w:color="auto"/>
        <w:right w:val="none" w:sz="0" w:space="0" w:color="auto"/>
      </w:divBdr>
    </w:div>
    <w:div w:id="894774444">
      <w:bodyDiv w:val="1"/>
      <w:marLeft w:val="0"/>
      <w:marRight w:val="0"/>
      <w:marTop w:val="0"/>
      <w:marBottom w:val="0"/>
      <w:divBdr>
        <w:top w:val="none" w:sz="0" w:space="0" w:color="auto"/>
        <w:left w:val="none" w:sz="0" w:space="0" w:color="auto"/>
        <w:bottom w:val="none" w:sz="0" w:space="0" w:color="auto"/>
        <w:right w:val="none" w:sz="0" w:space="0" w:color="auto"/>
      </w:divBdr>
    </w:div>
    <w:div w:id="894900642">
      <w:bodyDiv w:val="1"/>
      <w:marLeft w:val="0"/>
      <w:marRight w:val="0"/>
      <w:marTop w:val="0"/>
      <w:marBottom w:val="0"/>
      <w:divBdr>
        <w:top w:val="none" w:sz="0" w:space="0" w:color="auto"/>
        <w:left w:val="none" w:sz="0" w:space="0" w:color="auto"/>
        <w:bottom w:val="none" w:sz="0" w:space="0" w:color="auto"/>
        <w:right w:val="none" w:sz="0" w:space="0" w:color="auto"/>
      </w:divBdr>
    </w:div>
    <w:div w:id="895119839">
      <w:bodyDiv w:val="1"/>
      <w:marLeft w:val="0"/>
      <w:marRight w:val="0"/>
      <w:marTop w:val="0"/>
      <w:marBottom w:val="0"/>
      <w:divBdr>
        <w:top w:val="none" w:sz="0" w:space="0" w:color="auto"/>
        <w:left w:val="none" w:sz="0" w:space="0" w:color="auto"/>
        <w:bottom w:val="none" w:sz="0" w:space="0" w:color="auto"/>
        <w:right w:val="none" w:sz="0" w:space="0" w:color="auto"/>
      </w:divBdr>
    </w:div>
    <w:div w:id="895312683">
      <w:bodyDiv w:val="1"/>
      <w:marLeft w:val="0"/>
      <w:marRight w:val="0"/>
      <w:marTop w:val="0"/>
      <w:marBottom w:val="0"/>
      <w:divBdr>
        <w:top w:val="none" w:sz="0" w:space="0" w:color="auto"/>
        <w:left w:val="none" w:sz="0" w:space="0" w:color="auto"/>
        <w:bottom w:val="none" w:sz="0" w:space="0" w:color="auto"/>
        <w:right w:val="none" w:sz="0" w:space="0" w:color="auto"/>
      </w:divBdr>
    </w:div>
    <w:div w:id="895433345">
      <w:bodyDiv w:val="1"/>
      <w:marLeft w:val="0"/>
      <w:marRight w:val="0"/>
      <w:marTop w:val="0"/>
      <w:marBottom w:val="0"/>
      <w:divBdr>
        <w:top w:val="none" w:sz="0" w:space="0" w:color="auto"/>
        <w:left w:val="none" w:sz="0" w:space="0" w:color="auto"/>
        <w:bottom w:val="none" w:sz="0" w:space="0" w:color="auto"/>
        <w:right w:val="none" w:sz="0" w:space="0" w:color="auto"/>
      </w:divBdr>
    </w:div>
    <w:div w:id="895899262">
      <w:bodyDiv w:val="1"/>
      <w:marLeft w:val="0"/>
      <w:marRight w:val="0"/>
      <w:marTop w:val="0"/>
      <w:marBottom w:val="0"/>
      <w:divBdr>
        <w:top w:val="none" w:sz="0" w:space="0" w:color="auto"/>
        <w:left w:val="none" w:sz="0" w:space="0" w:color="auto"/>
        <w:bottom w:val="none" w:sz="0" w:space="0" w:color="auto"/>
        <w:right w:val="none" w:sz="0" w:space="0" w:color="auto"/>
      </w:divBdr>
    </w:div>
    <w:div w:id="896089364">
      <w:bodyDiv w:val="1"/>
      <w:marLeft w:val="0"/>
      <w:marRight w:val="0"/>
      <w:marTop w:val="0"/>
      <w:marBottom w:val="0"/>
      <w:divBdr>
        <w:top w:val="none" w:sz="0" w:space="0" w:color="auto"/>
        <w:left w:val="none" w:sz="0" w:space="0" w:color="auto"/>
        <w:bottom w:val="none" w:sz="0" w:space="0" w:color="auto"/>
        <w:right w:val="none" w:sz="0" w:space="0" w:color="auto"/>
      </w:divBdr>
    </w:div>
    <w:div w:id="896208819">
      <w:bodyDiv w:val="1"/>
      <w:marLeft w:val="0"/>
      <w:marRight w:val="0"/>
      <w:marTop w:val="0"/>
      <w:marBottom w:val="0"/>
      <w:divBdr>
        <w:top w:val="none" w:sz="0" w:space="0" w:color="auto"/>
        <w:left w:val="none" w:sz="0" w:space="0" w:color="auto"/>
        <w:bottom w:val="none" w:sz="0" w:space="0" w:color="auto"/>
        <w:right w:val="none" w:sz="0" w:space="0" w:color="auto"/>
      </w:divBdr>
    </w:div>
    <w:div w:id="896673675">
      <w:bodyDiv w:val="1"/>
      <w:marLeft w:val="0"/>
      <w:marRight w:val="0"/>
      <w:marTop w:val="0"/>
      <w:marBottom w:val="0"/>
      <w:divBdr>
        <w:top w:val="none" w:sz="0" w:space="0" w:color="auto"/>
        <w:left w:val="none" w:sz="0" w:space="0" w:color="auto"/>
        <w:bottom w:val="none" w:sz="0" w:space="0" w:color="auto"/>
        <w:right w:val="none" w:sz="0" w:space="0" w:color="auto"/>
      </w:divBdr>
    </w:div>
    <w:div w:id="896818547">
      <w:bodyDiv w:val="1"/>
      <w:marLeft w:val="0"/>
      <w:marRight w:val="0"/>
      <w:marTop w:val="0"/>
      <w:marBottom w:val="0"/>
      <w:divBdr>
        <w:top w:val="none" w:sz="0" w:space="0" w:color="auto"/>
        <w:left w:val="none" w:sz="0" w:space="0" w:color="auto"/>
        <w:bottom w:val="none" w:sz="0" w:space="0" w:color="auto"/>
        <w:right w:val="none" w:sz="0" w:space="0" w:color="auto"/>
      </w:divBdr>
    </w:div>
    <w:div w:id="897013612">
      <w:bodyDiv w:val="1"/>
      <w:marLeft w:val="0"/>
      <w:marRight w:val="0"/>
      <w:marTop w:val="0"/>
      <w:marBottom w:val="0"/>
      <w:divBdr>
        <w:top w:val="none" w:sz="0" w:space="0" w:color="auto"/>
        <w:left w:val="none" w:sz="0" w:space="0" w:color="auto"/>
        <w:bottom w:val="none" w:sz="0" w:space="0" w:color="auto"/>
        <w:right w:val="none" w:sz="0" w:space="0" w:color="auto"/>
      </w:divBdr>
    </w:div>
    <w:div w:id="897201267">
      <w:bodyDiv w:val="1"/>
      <w:marLeft w:val="0"/>
      <w:marRight w:val="0"/>
      <w:marTop w:val="0"/>
      <w:marBottom w:val="0"/>
      <w:divBdr>
        <w:top w:val="none" w:sz="0" w:space="0" w:color="auto"/>
        <w:left w:val="none" w:sz="0" w:space="0" w:color="auto"/>
        <w:bottom w:val="none" w:sz="0" w:space="0" w:color="auto"/>
        <w:right w:val="none" w:sz="0" w:space="0" w:color="auto"/>
      </w:divBdr>
    </w:div>
    <w:div w:id="897595297">
      <w:bodyDiv w:val="1"/>
      <w:marLeft w:val="0"/>
      <w:marRight w:val="0"/>
      <w:marTop w:val="0"/>
      <w:marBottom w:val="0"/>
      <w:divBdr>
        <w:top w:val="none" w:sz="0" w:space="0" w:color="auto"/>
        <w:left w:val="none" w:sz="0" w:space="0" w:color="auto"/>
        <w:bottom w:val="none" w:sz="0" w:space="0" w:color="auto"/>
        <w:right w:val="none" w:sz="0" w:space="0" w:color="auto"/>
      </w:divBdr>
    </w:div>
    <w:div w:id="897667525">
      <w:bodyDiv w:val="1"/>
      <w:marLeft w:val="0"/>
      <w:marRight w:val="0"/>
      <w:marTop w:val="0"/>
      <w:marBottom w:val="0"/>
      <w:divBdr>
        <w:top w:val="none" w:sz="0" w:space="0" w:color="auto"/>
        <w:left w:val="none" w:sz="0" w:space="0" w:color="auto"/>
        <w:bottom w:val="none" w:sz="0" w:space="0" w:color="auto"/>
        <w:right w:val="none" w:sz="0" w:space="0" w:color="auto"/>
      </w:divBdr>
    </w:div>
    <w:div w:id="897788984">
      <w:bodyDiv w:val="1"/>
      <w:marLeft w:val="0"/>
      <w:marRight w:val="0"/>
      <w:marTop w:val="0"/>
      <w:marBottom w:val="0"/>
      <w:divBdr>
        <w:top w:val="none" w:sz="0" w:space="0" w:color="auto"/>
        <w:left w:val="none" w:sz="0" w:space="0" w:color="auto"/>
        <w:bottom w:val="none" w:sz="0" w:space="0" w:color="auto"/>
        <w:right w:val="none" w:sz="0" w:space="0" w:color="auto"/>
      </w:divBdr>
    </w:div>
    <w:div w:id="898131059">
      <w:bodyDiv w:val="1"/>
      <w:marLeft w:val="0"/>
      <w:marRight w:val="0"/>
      <w:marTop w:val="0"/>
      <w:marBottom w:val="0"/>
      <w:divBdr>
        <w:top w:val="none" w:sz="0" w:space="0" w:color="auto"/>
        <w:left w:val="none" w:sz="0" w:space="0" w:color="auto"/>
        <w:bottom w:val="none" w:sz="0" w:space="0" w:color="auto"/>
        <w:right w:val="none" w:sz="0" w:space="0" w:color="auto"/>
      </w:divBdr>
    </w:div>
    <w:div w:id="898707128">
      <w:bodyDiv w:val="1"/>
      <w:marLeft w:val="0"/>
      <w:marRight w:val="0"/>
      <w:marTop w:val="0"/>
      <w:marBottom w:val="0"/>
      <w:divBdr>
        <w:top w:val="none" w:sz="0" w:space="0" w:color="auto"/>
        <w:left w:val="none" w:sz="0" w:space="0" w:color="auto"/>
        <w:bottom w:val="none" w:sz="0" w:space="0" w:color="auto"/>
        <w:right w:val="none" w:sz="0" w:space="0" w:color="auto"/>
      </w:divBdr>
    </w:div>
    <w:div w:id="898709082">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099198">
      <w:bodyDiv w:val="1"/>
      <w:marLeft w:val="0"/>
      <w:marRight w:val="0"/>
      <w:marTop w:val="0"/>
      <w:marBottom w:val="0"/>
      <w:divBdr>
        <w:top w:val="none" w:sz="0" w:space="0" w:color="auto"/>
        <w:left w:val="none" w:sz="0" w:space="0" w:color="auto"/>
        <w:bottom w:val="none" w:sz="0" w:space="0" w:color="auto"/>
        <w:right w:val="none" w:sz="0" w:space="0" w:color="auto"/>
      </w:divBdr>
    </w:div>
    <w:div w:id="899293422">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899827381">
      <w:bodyDiv w:val="1"/>
      <w:marLeft w:val="0"/>
      <w:marRight w:val="0"/>
      <w:marTop w:val="0"/>
      <w:marBottom w:val="0"/>
      <w:divBdr>
        <w:top w:val="none" w:sz="0" w:space="0" w:color="auto"/>
        <w:left w:val="none" w:sz="0" w:space="0" w:color="auto"/>
        <w:bottom w:val="none" w:sz="0" w:space="0" w:color="auto"/>
        <w:right w:val="none" w:sz="0" w:space="0" w:color="auto"/>
      </w:divBdr>
    </w:div>
    <w:div w:id="900404083">
      <w:bodyDiv w:val="1"/>
      <w:marLeft w:val="0"/>
      <w:marRight w:val="0"/>
      <w:marTop w:val="0"/>
      <w:marBottom w:val="0"/>
      <w:divBdr>
        <w:top w:val="none" w:sz="0" w:space="0" w:color="auto"/>
        <w:left w:val="none" w:sz="0" w:space="0" w:color="auto"/>
        <w:bottom w:val="none" w:sz="0" w:space="0" w:color="auto"/>
        <w:right w:val="none" w:sz="0" w:space="0" w:color="auto"/>
      </w:divBdr>
    </w:div>
    <w:div w:id="900864838">
      <w:bodyDiv w:val="1"/>
      <w:marLeft w:val="0"/>
      <w:marRight w:val="0"/>
      <w:marTop w:val="0"/>
      <w:marBottom w:val="0"/>
      <w:divBdr>
        <w:top w:val="none" w:sz="0" w:space="0" w:color="auto"/>
        <w:left w:val="none" w:sz="0" w:space="0" w:color="auto"/>
        <w:bottom w:val="none" w:sz="0" w:space="0" w:color="auto"/>
        <w:right w:val="none" w:sz="0" w:space="0" w:color="auto"/>
      </w:divBdr>
    </w:div>
    <w:div w:id="901215787">
      <w:bodyDiv w:val="1"/>
      <w:marLeft w:val="0"/>
      <w:marRight w:val="0"/>
      <w:marTop w:val="0"/>
      <w:marBottom w:val="0"/>
      <w:divBdr>
        <w:top w:val="none" w:sz="0" w:space="0" w:color="auto"/>
        <w:left w:val="none" w:sz="0" w:space="0" w:color="auto"/>
        <w:bottom w:val="none" w:sz="0" w:space="0" w:color="auto"/>
        <w:right w:val="none" w:sz="0" w:space="0" w:color="auto"/>
      </w:divBdr>
    </w:div>
    <w:div w:id="901256128">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01715375">
      <w:bodyDiv w:val="1"/>
      <w:marLeft w:val="0"/>
      <w:marRight w:val="0"/>
      <w:marTop w:val="0"/>
      <w:marBottom w:val="0"/>
      <w:divBdr>
        <w:top w:val="none" w:sz="0" w:space="0" w:color="auto"/>
        <w:left w:val="none" w:sz="0" w:space="0" w:color="auto"/>
        <w:bottom w:val="none" w:sz="0" w:space="0" w:color="auto"/>
        <w:right w:val="none" w:sz="0" w:space="0" w:color="auto"/>
      </w:divBdr>
    </w:div>
    <w:div w:id="902065505">
      <w:bodyDiv w:val="1"/>
      <w:marLeft w:val="0"/>
      <w:marRight w:val="0"/>
      <w:marTop w:val="0"/>
      <w:marBottom w:val="0"/>
      <w:divBdr>
        <w:top w:val="none" w:sz="0" w:space="0" w:color="auto"/>
        <w:left w:val="none" w:sz="0" w:space="0" w:color="auto"/>
        <w:bottom w:val="none" w:sz="0" w:space="0" w:color="auto"/>
        <w:right w:val="none" w:sz="0" w:space="0" w:color="auto"/>
      </w:divBdr>
    </w:div>
    <w:div w:id="902374630">
      <w:bodyDiv w:val="1"/>
      <w:marLeft w:val="0"/>
      <w:marRight w:val="0"/>
      <w:marTop w:val="0"/>
      <w:marBottom w:val="0"/>
      <w:divBdr>
        <w:top w:val="none" w:sz="0" w:space="0" w:color="auto"/>
        <w:left w:val="none" w:sz="0" w:space="0" w:color="auto"/>
        <w:bottom w:val="none" w:sz="0" w:space="0" w:color="auto"/>
        <w:right w:val="none" w:sz="0" w:space="0" w:color="auto"/>
      </w:divBdr>
    </w:div>
    <w:div w:id="902569212">
      <w:bodyDiv w:val="1"/>
      <w:marLeft w:val="0"/>
      <w:marRight w:val="0"/>
      <w:marTop w:val="0"/>
      <w:marBottom w:val="0"/>
      <w:divBdr>
        <w:top w:val="none" w:sz="0" w:space="0" w:color="auto"/>
        <w:left w:val="none" w:sz="0" w:space="0" w:color="auto"/>
        <w:bottom w:val="none" w:sz="0" w:space="0" w:color="auto"/>
        <w:right w:val="none" w:sz="0" w:space="0" w:color="auto"/>
      </w:divBdr>
    </w:div>
    <w:div w:id="902980795">
      <w:bodyDiv w:val="1"/>
      <w:marLeft w:val="0"/>
      <w:marRight w:val="0"/>
      <w:marTop w:val="0"/>
      <w:marBottom w:val="0"/>
      <w:divBdr>
        <w:top w:val="none" w:sz="0" w:space="0" w:color="auto"/>
        <w:left w:val="none" w:sz="0" w:space="0" w:color="auto"/>
        <w:bottom w:val="none" w:sz="0" w:space="0" w:color="auto"/>
        <w:right w:val="none" w:sz="0" w:space="0" w:color="auto"/>
      </w:divBdr>
    </w:div>
    <w:div w:id="903028252">
      <w:bodyDiv w:val="1"/>
      <w:marLeft w:val="0"/>
      <w:marRight w:val="0"/>
      <w:marTop w:val="0"/>
      <w:marBottom w:val="0"/>
      <w:divBdr>
        <w:top w:val="none" w:sz="0" w:space="0" w:color="auto"/>
        <w:left w:val="none" w:sz="0" w:space="0" w:color="auto"/>
        <w:bottom w:val="none" w:sz="0" w:space="0" w:color="auto"/>
        <w:right w:val="none" w:sz="0" w:space="0" w:color="auto"/>
      </w:divBdr>
    </w:div>
    <w:div w:id="903639620">
      <w:bodyDiv w:val="1"/>
      <w:marLeft w:val="0"/>
      <w:marRight w:val="0"/>
      <w:marTop w:val="0"/>
      <w:marBottom w:val="0"/>
      <w:divBdr>
        <w:top w:val="none" w:sz="0" w:space="0" w:color="auto"/>
        <w:left w:val="none" w:sz="0" w:space="0" w:color="auto"/>
        <w:bottom w:val="none" w:sz="0" w:space="0" w:color="auto"/>
        <w:right w:val="none" w:sz="0" w:space="0" w:color="auto"/>
      </w:divBdr>
    </w:div>
    <w:div w:id="904031983">
      <w:bodyDiv w:val="1"/>
      <w:marLeft w:val="0"/>
      <w:marRight w:val="0"/>
      <w:marTop w:val="0"/>
      <w:marBottom w:val="0"/>
      <w:divBdr>
        <w:top w:val="none" w:sz="0" w:space="0" w:color="auto"/>
        <w:left w:val="none" w:sz="0" w:space="0" w:color="auto"/>
        <w:bottom w:val="none" w:sz="0" w:space="0" w:color="auto"/>
        <w:right w:val="none" w:sz="0" w:space="0" w:color="auto"/>
      </w:divBdr>
    </w:div>
    <w:div w:id="904798852">
      <w:bodyDiv w:val="1"/>
      <w:marLeft w:val="0"/>
      <w:marRight w:val="0"/>
      <w:marTop w:val="0"/>
      <w:marBottom w:val="0"/>
      <w:divBdr>
        <w:top w:val="none" w:sz="0" w:space="0" w:color="auto"/>
        <w:left w:val="none" w:sz="0" w:space="0" w:color="auto"/>
        <w:bottom w:val="none" w:sz="0" w:space="0" w:color="auto"/>
        <w:right w:val="none" w:sz="0" w:space="0" w:color="auto"/>
      </w:divBdr>
    </w:div>
    <w:div w:id="904994575">
      <w:bodyDiv w:val="1"/>
      <w:marLeft w:val="0"/>
      <w:marRight w:val="0"/>
      <w:marTop w:val="0"/>
      <w:marBottom w:val="0"/>
      <w:divBdr>
        <w:top w:val="none" w:sz="0" w:space="0" w:color="auto"/>
        <w:left w:val="none" w:sz="0" w:space="0" w:color="auto"/>
        <w:bottom w:val="none" w:sz="0" w:space="0" w:color="auto"/>
        <w:right w:val="none" w:sz="0" w:space="0" w:color="auto"/>
      </w:divBdr>
    </w:div>
    <w:div w:id="905451895">
      <w:bodyDiv w:val="1"/>
      <w:marLeft w:val="0"/>
      <w:marRight w:val="0"/>
      <w:marTop w:val="0"/>
      <w:marBottom w:val="0"/>
      <w:divBdr>
        <w:top w:val="none" w:sz="0" w:space="0" w:color="auto"/>
        <w:left w:val="none" w:sz="0" w:space="0" w:color="auto"/>
        <w:bottom w:val="none" w:sz="0" w:space="0" w:color="auto"/>
        <w:right w:val="none" w:sz="0" w:space="0" w:color="auto"/>
      </w:divBdr>
    </w:div>
    <w:div w:id="906457417">
      <w:bodyDiv w:val="1"/>
      <w:marLeft w:val="0"/>
      <w:marRight w:val="0"/>
      <w:marTop w:val="0"/>
      <w:marBottom w:val="0"/>
      <w:divBdr>
        <w:top w:val="none" w:sz="0" w:space="0" w:color="auto"/>
        <w:left w:val="none" w:sz="0" w:space="0" w:color="auto"/>
        <w:bottom w:val="none" w:sz="0" w:space="0" w:color="auto"/>
        <w:right w:val="none" w:sz="0" w:space="0" w:color="auto"/>
      </w:divBdr>
    </w:div>
    <w:div w:id="906574344">
      <w:bodyDiv w:val="1"/>
      <w:marLeft w:val="0"/>
      <w:marRight w:val="0"/>
      <w:marTop w:val="0"/>
      <w:marBottom w:val="0"/>
      <w:divBdr>
        <w:top w:val="none" w:sz="0" w:space="0" w:color="auto"/>
        <w:left w:val="none" w:sz="0" w:space="0" w:color="auto"/>
        <w:bottom w:val="none" w:sz="0" w:space="0" w:color="auto"/>
        <w:right w:val="none" w:sz="0" w:space="0" w:color="auto"/>
      </w:divBdr>
    </w:div>
    <w:div w:id="906643993">
      <w:bodyDiv w:val="1"/>
      <w:marLeft w:val="0"/>
      <w:marRight w:val="0"/>
      <w:marTop w:val="0"/>
      <w:marBottom w:val="0"/>
      <w:divBdr>
        <w:top w:val="none" w:sz="0" w:space="0" w:color="auto"/>
        <w:left w:val="none" w:sz="0" w:space="0" w:color="auto"/>
        <w:bottom w:val="none" w:sz="0" w:space="0" w:color="auto"/>
        <w:right w:val="none" w:sz="0" w:space="0" w:color="auto"/>
      </w:divBdr>
    </w:div>
    <w:div w:id="907575047">
      <w:bodyDiv w:val="1"/>
      <w:marLeft w:val="0"/>
      <w:marRight w:val="0"/>
      <w:marTop w:val="0"/>
      <w:marBottom w:val="0"/>
      <w:divBdr>
        <w:top w:val="none" w:sz="0" w:space="0" w:color="auto"/>
        <w:left w:val="none" w:sz="0" w:space="0" w:color="auto"/>
        <w:bottom w:val="none" w:sz="0" w:space="0" w:color="auto"/>
        <w:right w:val="none" w:sz="0" w:space="0" w:color="auto"/>
      </w:divBdr>
    </w:div>
    <w:div w:id="907804746">
      <w:bodyDiv w:val="1"/>
      <w:marLeft w:val="0"/>
      <w:marRight w:val="0"/>
      <w:marTop w:val="0"/>
      <w:marBottom w:val="0"/>
      <w:divBdr>
        <w:top w:val="none" w:sz="0" w:space="0" w:color="auto"/>
        <w:left w:val="none" w:sz="0" w:space="0" w:color="auto"/>
        <w:bottom w:val="none" w:sz="0" w:space="0" w:color="auto"/>
        <w:right w:val="none" w:sz="0" w:space="0" w:color="auto"/>
      </w:divBdr>
    </w:div>
    <w:div w:id="907807647">
      <w:bodyDiv w:val="1"/>
      <w:marLeft w:val="0"/>
      <w:marRight w:val="0"/>
      <w:marTop w:val="0"/>
      <w:marBottom w:val="0"/>
      <w:divBdr>
        <w:top w:val="none" w:sz="0" w:space="0" w:color="auto"/>
        <w:left w:val="none" w:sz="0" w:space="0" w:color="auto"/>
        <w:bottom w:val="none" w:sz="0" w:space="0" w:color="auto"/>
        <w:right w:val="none" w:sz="0" w:space="0" w:color="auto"/>
      </w:divBdr>
    </w:div>
    <w:div w:id="908736959">
      <w:bodyDiv w:val="1"/>
      <w:marLeft w:val="0"/>
      <w:marRight w:val="0"/>
      <w:marTop w:val="0"/>
      <w:marBottom w:val="0"/>
      <w:divBdr>
        <w:top w:val="none" w:sz="0" w:space="0" w:color="auto"/>
        <w:left w:val="none" w:sz="0" w:space="0" w:color="auto"/>
        <w:bottom w:val="none" w:sz="0" w:space="0" w:color="auto"/>
        <w:right w:val="none" w:sz="0" w:space="0" w:color="auto"/>
      </w:divBdr>
    </w:div>
    <w:div w:id="909772625">
      <w:bodyDiv w:val="1"/>
      <w:marLeft w:val="0"/>
      <w:marRight w:val="0"/>
      <w:marTop w:val="0"/>
      <w:marBottom w:val="0"/>
      <w:divBdr>
        <w:top w:val="none" w:sz="0" w:space="0" w:color="auto"/>
        <w:left w:val="none" w:sz="0" w:space="0" w:color="auto"/>
        <w:bottom w:val="none" w:sz="0" w:space="0" w:color="auto"/>
        <w:right w:val="none" w:sz="0" w:space="0" w:color="auto"/>
      </w:divBdr>
    </w:div>
    <w:div w:id="909996216">
      <w:bodyDiv w:val="1"/>
      <w:marLeft w:val="0"/>
      <w:marRight w:val="0"/>
      <w:marTop w:val="0"/>
      <w:marBottom w:val="0"/>
      <w:divBdr>
        <w:top w:val="none" w:sz="0" w:space="0" w:color="auto"/>
        <w:left w:val="none" w:sz="0" w:space="0" w:color="auto"/>
        <w:bottom w:val="none" w:sz="0" w:space="0" w:color="auto"/>
        <w:right w:val="none" w:sz="0" w:space="0" w:color="auto"/>
      </w:divBdr>
    </w:div>
    <w:div w:id="909997746">
      <w:bodyDiv w:val="1"/>
      <w:marLeft w:val="0"/>
      <w:marRight w:val="0"/>
      <w:marTop w:val="0"/>
      <w:marBottom w:val="0"/>
      <w:divBdr>
        <w:top w:val="none" w:sz="0" w:space="0" w:color="auto"/>
        <w:left w:val="none" w:sz="0" w:space="0" w:color="auto"/>
        <w:bottom w:val="none" w:sz="0" w:space="0" w:color="auto"/>
        <w:right w:val="none" w:sz="0" w:space="0" w:color="auto"/>
      </w:divBdr>
    </w:div>
    <w:div w:id="910195407">
      <w:bodyDiv w:val="1"/>
      <w:marLeft w:val="0"/>
      <w:marRight w:val="0"/>
      <w:marTop w:val="0"/>
      <w:marBottom w:val="0"/>
      <w:divBdr>
        <w:top w:val="none" w:sz="0" w:space="0" w:color="auto"/>
        <w:left w:val="none" w:sz="0" w:space="0" w:color="auto"/>
        <w:bottom w:val="none" w:sz="0" w:space="0" w:color="auto"/>
        <w:right w:val="none" w:sz="0" w:space="0" w:color="auto"/>
      </w:divBdr>
    </w:div>
    <w:div w:id="910387766">
      <w:bodyDiv w:val="1"/>
      <w:marLeft w:val="0"/>
      <w:marRight w:val="0"/>
      <w:marTop w:val="0"/>
      <w:marBottom w:val="0"/>
      <w:divBdr>
        <w:top w:val="none" w:sz="0" w:space="0" w:color="auto"/>
        <w:left w:val="none" w:sz="0" w:space="0" w:color="auto"/>
        <w:bottom w:val="none" w:sz="0" w:space="0" w:color="auto"/>
        <w:right w:val="none" w:sz="0" w:space="0" w:color="auto"/>
      </w:divBdr>
    </w:div>
    <w:div w:id="910966262">
      <w:bodyDiv w:val="1"/>
      <w:marLeft w:val="0"/>
      <w:marRight w:val="0"/>
      <w:marTop w:val="0"/>
      <w:marBottom w:val="0"/>
      <w:divBdr>
        <w:top w:val="none" w:sz="0" w:space="0" w:color="auto"/>
        <w:left w:val="none" w:sz="0" w:space="0" w:color="auto"/>
        <w:bottom w:val="none" w:sz="0" w:space="0" w:color="auto"/>
        <w:right w:val="none" w:sz="0" w:space="0" w:color="auto"/>
      </w:divBdr>
    </w:div>
    <w:div w:id="911353835">
      <w:bodyDiv w:val="1"/>
      <w:marLeft w:val="0"/>
      <w:marRight w:val="0"/>
      <w:marTop w:val="0"/>
      <w:marBottom w:val="0"/>
      <w:divBdr>
        <w:top w:val="none" w:sz="0" w:space="0" w:color="auto"/>
        <w:left w:val="none" w:sz="0" w:space="0" w:color="auto"/>
        <w:bottom w:val="none" w:sz="0" w:space="0" w:color="auto"/>
        <w:right w:val="none" w:sz="0" w:space="0" w:color="auto"/>
      </w:divBdr>
    </w:div>
    <w:div w:id="911550274">
      <w:bodyDiv w:val="1"/>
      <w:marLeft w:val="0"/>
      <w:marRight w:val="0"/>
      <w:marTop w:val="0"/>
      <w:marBottom w:val="0"/>
      <w:divBdr>
        <w:top w:val="none" w:sz="0" w:space="0" w:color="auto"/>
        <w:left w:val="none" w:sz="0" w:space="0" w:color="auto"/>
        <w:bottom w:val="none" w:sz="0" w:space="0" w:color="auto"/>
        <w:right w:val="none" w:sz="0" w:space="0" w:color="auto"/>
      </w:divBdr>
    </w:div>
    <w:div w:id="911694532">
      <w:bodyDiv w:val="1"/>
      <w:marLeft w:val="0"/>
      <w:marRight w:val="0"/>
      <w:marTop w:val="0"/>
      <w:marBottom w:val="0"/>
      <w:divBdr>
        <w:top w:val="none" w:sz="0" w:space="0" w:color="auto"/>
        <w:left w:val="none" w:sz="0" w:space="0" w:color="auto"/>
        <w:bottom w:val="none" w:sz="0" w:space="0" w:color="auto"/>
        <w:right w:val="none" w:sz="0" w:space="0" w:color="auto"/>
      </w:divBdr>
    </w:div>
    <w:div w:id="911699939">
      <w:bodyDiv w:val="1"/>
      <w:marLeft w:val="0"/>
      <w:marRight w:val="0"/>
      <w:marTop w:val="0"/>
      <w:marBottom w:val="0"/>
      <w:divBdr>
        <w:top w:val="none" w:sz="0" w:space="0" w:color="auto"/>
        <w:left w:val="none" w:sz="0" w:space="0" w:color="auto"/>
        <w:bottom w:val="none" w:sz="0" w:space="0" w:color="auto"/>
        <w:right w:val="none" w:sz="0" w:space="0" w:color="auto"/>
      </w:divBdr>
    </w:div>
    <w:div w:id="911812211">
      <w:bodyDiv w:val="1"/>
      <w:marLeft w:val="0"/>
      <w:marRight w:val="0"/>
      <w:marTop w:val="0"/>
      <w:marBottom w:val="0"/>
      <w:divBdr>
        <w:top w:val="none" w:sz="0" w:space="0" w:color="auto"/>
        <w:left w:val="none" w:sz="0" w:space="0" w:color="auto"/>
        <w:bottom w:val="none" w:sz="0" w:space="0" w:color="auto"/>
        <w:right w:val="none" w:sz="0" w:space="0" w:color="auto"/>
      </w:divBdr>
    </w:div>
    <w:div w:id="911815372">
      <w:bodyDiv w:val="1"/>
      <w:marLeft w:val="0"/>
      <w:marRight w:val="0"/>
      <w:marTop w:val="0"/>
      <w:marBottom w:val="0"/>
      <w:divBdr>
        <w:top w:val="none" w:sz="0" w:space="0" w:color="auto"/>
        <w:left w:val="none" w:sz="0" w:space="0" w:color="auto"/>
        <w:bottom w:val="none" w:sz="0" w:space="0" w:color="auto"/>
        <w:right w:val="none" w:sz="0" w:space="0" w:color="auto"/>
      </w:divBdr>
    </w:div>
    <w:div w:id="911887468">
      <w:bodyDiv w:val="1"/>
      <w:marLeft w:val="0"/>
      <w:marRight w:val="0"/>
      <w:marTop w:val="0"/>
      <w:marBottom w:val="0"/>
      <w:divBdr>
        <w:top w:val="none" w:sz="0" w:space="0" w:color="auto"/>
        <w:left w:val="none" w:sz="0" w:space="0" w:color="auto"/>
        <w:bottom w:val="none" w:sz="0" w:space="0" w:color="auto"/>
        <w:right w:val="none" w:sz="0" w:space="0" w:color="auto"/>
      </w:divBdr>
    </w:div>
    <w:div w:id="912082873">
      <w:bodyDiv w:val="1"/>
      <w:marLeft w:val="0"/>
      <w:marRight w:val="0"/>
      <w:marTop w:val="0"/>
      <w:marBottom w:val="0"/>
      <w:divBdr>
        <w:top w:val="none" w:sz="0" w:space="0" w:color="auto"/>
        <w:left w:val="none" w:sz="0" w:space="0" w:color="auto"/>
        <w:bottom w:val="none" w:sz="0" w:space="0" w:color="auto"/>
        <w:right w:val="none" w:sz="0" w:space="0" w:color="auto"/>
      </w:divBdr>
    </w:div>
    <w:div w:id="912933174">
      <w:bodyDiv w:val="1"/>
      <w:marLeft w:val="0"/>
      <w:marRight w:val="0"/>
      <w:marTop w:val="0"/>
      <w:marBottom w:val="0"/>
      <w:divBdr>
        <w:top w:val="none" w:sz="0" w:space="0" w:color="auto"/>
        <w:left w:val="none" w:sz="0" w:space="0" w:color="auto"/>
        <w:bottom w:val="none" w:sz="0" w:space="0" w:color="auto"/>
        <w:right w:val="none" w:sz="0" w:space="0" w:color="auto"/>
      </w:divBdr>
    </w:div>
    <w:div w:id="913006463">
      <w:bodyDiv w:val="1"/>
      <w:marLeft w:val="0"/>
      <w:marRight w:val="0"/>
      <w:marTop w:val="0"/>
      <w:marBottom w:val="0"/>
      <w:divBdr>
        <w:top w:val="none" w:sz="0" w:space="0" w:color="auto"/>
        <w:left w:val="none" w:sz="0" w:space="0" w:color="auto"/>
        <w:bottom w:val="none" w:sz="0" w:space="0" w:color="auto"/>
        <w:right w:val="none" w:sz="0" w:space="0" w:color="auto"/>
      </w:divBdr>
    </w:div>
    <w:div w:id="913129398">
      <w:bodyDiv w:val="1"/>
      <w:marLeft w:val="0"/>
      <w:marRight w:val="0"/>
      <w:marTop w:val="0"/>
      <w:marBottom w:val="0"/>
      <w:divBdr>
        <w:top w:val="none" w:sz="0" w:space="0" w:color="auto"/>
        <w:left w:val="none" w:sz="0" w:space="0" w:color="auto"/>
        <w:bottom w:val="none" w:sz="0" w:space="0" w:color="auto"/>
        <w:right w:val="none" w:sz="0" w:space="0" w:color="auto"/>
      </w:divBdr>
    </w:div>
    <w:div w:id="913274853">
      <w:bodyDiv w:val="1"/>
      <w:marLeft w:val="0"/>
      <w:marRight w:val="0"/>
      <w:marTop w:val="0"/>
      <w:marBottom w:val="0"/>
      <w:divBdr>
        <w:top w:val="none" w:sz="0" w:space="0" w:color="auto"/>
        <w:left w:val="none" w:sz="0" w:space="0" w:color="auto"/>
        <w:bottom w:val="none" w:sz="0" w:space="0" w:color="auto"/>
        <w:right w:val="none" w:sz="0" w:space="0" w:color="auto"/>
      </w:divBdr>
    </w:div>
    <w:div w:id="913469413">
      <w:bodyDiv w:val="1"/>
      <w:marLeft w:val="0"/>
      <w:marRight w:val="0"/>
      <w:marTop w:val="0"/>
      <w:marBottom w:val="0"/>
      <w:divBdr>
        <w:top w:val="none" w:sz="0" w:space="0" w:color="auto"/>
        <w:left w:val="none" w:sz="0" w:space="0" w:color="auto"/>
        <w:bottom w:val="none" w:sz="0" w:space="0" w:color="auto"/>
        <w:right w:val="none" w:sz="0" w:space="0" w:color="auto"/>
      </w:divBdr>
    </w:div>
    <w:div w:id="913704256">
      <w:bodyDiv w:val="1"/>
      <w:marLeft w:val="0"/>
      <w:marRight w:val="0"/>
      <w:marTop w:val="0"/>
      <w:marBottom w:val="0"/>
      <w:divBdr>
        <w:top w:val="none" w:sz="0" w:space="0" w:color="auto"/>
        <w:left w:val="none" w:sz="0" w:space="0" w:color="auto"/>
        <w:bottom w:val="none" w:sz="0" w:space="0" w:color="auto"/>
        <w:right w:val="none" w:sz="0" w:space="0" w:color="auto"/>
      </w:divBdr>
    </w:div>
    <w:div w:id="913930131">
      <w:bodyDiv w:val="1"/>
      <w:marLeft w:val="0"/>
      <w:marRight w:val="0"/>
      <w:marTop w:val="0"/>
      <w:marBottom w:val="0"/>
      <w:divBdr>
        <w:top w:val="none" w:sz="0" w:space="0" w:color="auto"/>
        <w:left w:val="none" w:sz="0" w:space="0" w:color="auto"/>
        <w:bottom w:val="none" w:sz="0" w:space="0" w:color="auto"/>
        <w:right w:val="none" w:sz="0" w:space="0" w:color="auto"/>
      </w:divBdr>
    </w:div>
    <w:div w:id="914241953">
      <w:bodyDiv w:val="1"/>
      <w:marLeft w:val="0"/>
      <w:marRight w:val="0"/>
      <w:marTop w:val="0"/>
      <w:marBottom w:val="0"/>
      <w:divBdr>
        <w:top w:val="none" w:sz="0" w:space="0" w:color="auto"/>
        <w:left w:val="none" w:sz="0" w:space="0" w:color="auto"/>
        <w:bottom w:val="none" w:sz="0" w:space="0" w:color="auto"/>
        <w:right w:val="none" w:sz="0" w:space="0" w:color="auto"/>
      </w:divBdr>
    </w:div>
    <w:div w:id="914317358">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5017708">
      <w:bodyDiv w:val="1"/>
      <w:marLeft w:val="0"/>
      <w:marRight w:val="0"/>
      <w:marTop w:val="0"/>
      <w:marBottom w:val="0"/>
      <w:divBdr>
        <w:top w:val="none" w:sz="0" w:space="0" w:color="auto"/>
        <w:left w:val="none" w:sz="0" w:space="0" w:color="auto"/>
        <w:bottom w:val="none" w:sz="0" w:space="0" w:color="auto"/>
        <w:right w:val="none" w:sz="0" w:space="0" w:color="auto"/>
      </w:divBdr>
    </w:div>
    <w:div w:id="915020289">
      <w:bodyDiv w:val="1"/>
      <w:marLeft w:val="0"/>
      <w:marRight w:val="0"/>
      <w:marTop w:val="0"/>
      <w:marBottom w:val="0"/>
      <w:divBdr>
        <w:top w:val="none" w:sz="0" w:space="0" w:color="auto"/>
        <w:left w:val="none" w:sz="0" w:space="0" w:color="auto"/>
        <w:bottom w:val="none" w:sz="0" w:space="0" w:color="auto"/>
        <w:right w:val="none" w:sz="0" w:space="0" w:color="auto"/>
      </w:divBdr>
    </w:div>
    <w:div w:id="915211285">
      <w:bodyDiv w:val="1"/>
      <w:marLeft w:val="0"/>
      <w:marRight w:val="0"/>
      <w:marTop w:val="0"/>
      <w:marBottom w:val="0"/>
      <w:divBdr>
        <w:top w:val="none" w:sz="0" w:space="0" w:color="auto"/>
        <w:left w:val="none" w:sz="0" w:space="0" w:color="auto"/>
        <w:bottom w:val="none" w:sz="0" w:space="0" w:color="auto"/>
        <w:right w:val="none" w:sz="0" w:space="0" w:color="auto"/>
      </w:divBdr>
    </w:div>
    <w:div w:id="915239378">
      <w:bodyDiv w:val="1"/>
      <w:marLeft w:val="0"/>
      <w:marRight w:val="0"/>
      <w:marTop w:val="0"/>
      <w:marBottom w:val="0"/>
      <w:divBdr>
        <w:top w:val="none" w:sz="0" w:space="0" w:color="auto"/>
        <w:left w:val="none" w:sz="0" w:space="0" w:color="auto"/>
        <w:bottom w:val="none" w:sz="0" w:space="0" w:color="auto"/>
        <w:right w:val="none" w:sz="0" w:space="0" w:color="auto"/>
      </w:divBdr>
    </w:div>
    <w:div w:id="915434968">
      <w:bodyDiv w:val="1"/>
      <w:marLeft w:val="0"/>
      <w:marRight w:val="0"/>
      <w:marTop w:val="0"/>
      <w:marBottom w:val="0"/>
      <w:divBdr>
        <w:top w:val="none" w:sz="0" w:space="0" w:color="auto"/>
        <w:left w:val="none" w:sz="0" w:space="0" w:color="auto"/>
        <w:bottom w:val="none" w:sz="0" w:space="0" w:color="auto"/>
        <w:right w:val="none" w:sz="0" w:space="0" w:color="auto"/>
      </w:divBdr>
    </w:div>
    <w:div w:id="915746808">
      <w:bodyDiv w:val="1"/>
      <w:marLeft w:val="0"/>
      <w:marRight w:val="0"/>
      <w:marTop w:val="0"/>
      <w:marBottom w:val="0"/>
      <w:divBdr>
        <w:top w:val="none" w:sz="0" w:space="0" w:color="auto"/>
        <w:left w:val="none" w:sz="0" w:space="0" w:color="auto"/>
        <w:bottom w:val="none" w:sz="0" w:space="0" w:color="auto"/>
        <w:right w:val="none" w:sz="0" w:space="0" w:color="auto"/>
      </w:divBdr>
    </w:div>
    <w:div w:id="915868374">
      <w:bodyDiv w:val="1"/>
      <w:marLeft w:val="0"/>
      <w:marRight w:val="0"/>
      <w:marTop w:val="0"/>
      <w:marBottom w:val="0"/>
      <w:divBdr>
        <w:top w:val="none" w:sz="0" w:space="0" w:color="auto"/>
        <w:left w:val="none" w:sz="0" w:space="0" w:color="auto"/>
        <w:bottom w:val="none" w:sz="0" w:space="0" w:color="auto"/>
        <w:right w:val="none" w:sz="0" w:space="0" w:color="auto"/>
      </w:divBdr>
    </w:div>
    <w:div w:id="916210499">
      <w:bodyDiv w:val="1"/>
      <w:marLeft w:val="0"/>
      <w:marRight w:val="0"/>
      <w:marTop w:val="0"/>
      <w:marBottom w:val="0"/>
      <w:divBdr>
        <w:top w:val="none" w:sz="0" w:space="0" w:color="auto"/>
        <w:left w:val="none" w:sz="0" w:space="0" w:color="auto"/>
        <w:bottom w:val="none" w:sz="0" w:space="0" w:color="auto"/>
        <w:right w:val="none" w:sz="0" w:space="0" w:color="auto"/>
      </w:divBdr>
    </w:div>
    <w:div w:id="916482289">
      <w:bodyDiv w:val="1"/>
      <w:marLeft w:val="0"/>
      <w:marRight w:val="0"/>
      <w:marTop w:val="0"/>
      <w:marBottom w:val="0"/>
      <w:divBdr>
        <w:top w:val="none" w:sz="0" w:space="0" w:color="auto"/>
        <w:left w:val="none" w:sz="0" w:space="0" w:color="auto"/>
        <w:bottom w:val="none" w:sz="0" w:space="0" w:color="auto"/>
        <w:right w:val="none" w:sz="0" w:space="0" w:color="auto"/>
      </w:divBdr>
    </w:div>
    <w:div w:id="916938610">
      <w:bodyDiv w:val="1"/>
      <w:marLeft w:val="0"/>
      <w:marRight w:val="0"/>
      <w:marTop w:val="0"/>
      <w:marBottom w:val="0"/>
      <w:divBdr>
        <w:top w:val="none" w:sz="0" w:space="0" w:color="auto"/>
        <w:left w:val="none" w:sz="0" w:space="0" w:color="auto"/>
        <w:bottom w:val="none" w:sz="0" w:space="0" w:color="auto"/>
        <w:right w:val="none" w:sz="0" w:space="0" w:color="auto"/>
      </w:divBdr>
    </w:div>
    <w:div w:id="916944223">
      <w:bodyDiv w:val="1"/>
      <w:marLeft w:val="0"/>
      <w:marRight w:val="0"/>
      <w:marTop w:val="0"/>
      <w:marBottom w:val="0"/>
      <w:divBdr>
        <w:top w:val="none" w:sz="0" w:space="0" w:color="auto"/>
        <w:left w:val="none" w:sz="0" w:space="0" w:color="auto"/>
        <w:bottom w:val="none" w:sz="0" w:space="0" w:color="auto"/>
        <w:right w:val="none" w:sz="0" w:space="0" w:color="auto"/>
      </w:divBdr>
    </w:div>
    <w:div w:id="917208814">
      <w:bodyDiv w:val="1"/>
      <w:marLeft w:val="0"/>
      <w:marRight w:val="0"/>
      <w:marTop w:val="0"/>
      <w:marBottom w:val="0"/>
      <w:divBdr>
        <w:top w:val="none" w:sz="0" w:space="0" w:color="auto"/>
        <w:left w:val="none" w:sz="0" w:space="0" w:color="auto"/>
        <w:bottom w:val="none" w:sz="0" w:space="0" w:color="auto"/>
        <w:right w:val="none" w:sz="0" w:space="0" w:color="auto"/>
      </w:divBdr>
    </w:div>
    <w:div w:id="917403897">
      <w:bodyDiv w:val="1"/>
      <w:marLeft w:val="0"/>
      <w:marRight w:val="0"/>
      <w:marTop w:val="0"/>
      <w:marBottom w:val="0"/>
      <w:divBdr>
        <w:top w:val="none" w:sz="0" w:space="0" w:color="auto"/>
        <w:left w:val="none" w:sz="0" w:space="0" w:color="auto"/>
        <w:bottom w:val="none" w:sz="0" w:space="0" w:color="auto"/>
        <w:right w:val="none" w:sz="0" w:space="0" w:color="auto"/>
      </w:divBdr>
    </w:div>
    <w:div w:id="917405641">
      <w:bodyDiv w:val="1"/>
      <w:marLeft w:val="0"/>
      <w:marRight w:val="0"/>
      <w:marTop w:val="0"/>
      <w:marBottom w:val="0"/>
      <w:divBdr>
        <w:top w:val="none" w:sz="0" w:space="0" w:color="auto"/>
        <w:left w:val="none" w:sz="0" w:space="0" w:color="auto"/>
        <w:bottom w:val="none" w:sz="0" w:space="0" w:color="auto"/>
        <w:right w:val="none" w:sz="0" w:space="0" w:color="auto"/>
      </w:divBdr>
    </w:div>
    <w:div w:id="917640107">
      <w:bodyDiv w:val="1"/>
      <w:marLeft w:val="0"/>
      <w:marRight w:val="0"/>
      <w:marTop w:val="0"/>
      <w:marBottom w:val="0"/>
      <w:divBdr>
        <w:top w:val="none" w:sz="0" w:space="0" w:color="auto"/>
        <w:left w:val="none" w:sz="0" w:space="0" w:color="auto"/>
        <w:bottom w:val="none" w:sz="0" w:space="0" w:color="auto"/>
        <w:right w:val="none" w:sz="0" w:space="0" w:color="auto"/>
      </w:divBdr>
    </w:div>
    <w:div w:id="917833230">
      <w:bodyDiv w:val="1"/>
      <w:marLeft w:val="0"/>
      <w:marRight w:val="0"/>
      <w:marTop w:val="0"/>
      <w:marBottom w:val="0"/>
      <w:divBdr>
        <w:top w:val="none" w:sz="0" w:space="0" w:color="auto"/>
        <w:left w:val="none" w:sz="0" w:space="0" w:color="auto"/>
        <w:bottom w:val="none" w:sz="0" w:space="0" w:color="auto"/>
        <w:right w:val="none" w:sz="0" w:space="0" w:color="auto"/>
      </w:divBdr>
    </w:div>
    <w:div w:id="918103054">
      <w:bodyDiv w:val="1"/>
      <w:marLeft w:val="0"/>
      <w:marRight w:val="0"/>
      <w:marTop w:val="0"/>
      <w:marBottom w:val="0"/>
      <w:divBdr>
        <w:top w:val="none" w:sz="0" w:space="0" w:color="auto"/>
        <w:left w:val="none" w:sz="0" w:space="0" w:color="auto"/>
        <w:bottom w:val="none" w:sz="0" w:space="0" w:color="auto"/>
        <w:right w:val="none" w:sz="0" w:space="0" w:color="auto"/>
      </w:divBdr>
    </w:div>
    <w:div w:id="918103995">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18516881">
      <w:bodyDiv w:val="1"/>
      <w:marLeft w:val="0"/>
      <w:marRight w:val="0"/>
      <w:marTop w:val="0"/>
      <w:marBottom w:val="0"/>
      <w:divBdr>
        <w:top w:val="none" w:sz="0" w:space="0" w:color="auto"/>
        <w:left w:val="none" w:sz="0" w:space="0" w:color="auto"/>
        <w:bottom w:val="none" w:sz="0" w:space="0" w:color="auto"/>
        <w:right w:val="none" w:sz="0" w:space="0" w:color="auto"/>
      </w:divBdr>
    </w:div>
    <w:div w:id="918564917">
      <w:bodyDiv w:val="1"/>
      <w:marLeft w:val="0"/>
      <w:marRight w:val="0"/>
      <w:marTop w:val="0"/>
      <w:marBottom w:val="0"/>
      <w:divBdr>
        <w:top w:val="none" w:sz="0" w:space="0" w:color="auto"/>
        <w:left w:val="none" w:sz="0" w:space="0" w:color="auto"/>
        <w:bottom w:val="none" w:sz="0" w:space="0" w:color="auto"/>
        <w:right w:val="none" w:sz="0" w:space="0" w:color="auto"/>
      </w:divBdr>
    </w:div>
    <w:div w:id="918947026">
      <w:bodyDiv w:val="1"/>
      <w:marLeft w:val="0"/>
      <w:marRight w:val="0"/>
      <w:marTop w:val="0"/>
      <w:marBottom w:val="0"/>
      <w:divBdr>
        <w:top w:val="none" w:sz="0" w:space="0" w:color="auto"/>
        <w:left w:val="none" w:sz="0" w:space="0" w:color="auto"/>
        <w:bottom w:val="none" w:sz="0" w:space="0" w:color="auto"/>
        <w:right w:val="none" w:sz="0" w:space="0" w:color="auto"/>
      </w:divBdr>
    </w:div>
    <w:div w:id="918952736">
      <w:bodyDiv w:val="1"/>
      <w:marLeft w:val="0"/>
      <w:marRight w:val="0"/>
      <w:marTop w:val="0"/>
      <w:marBottom w:val="0"/>
      <w:divBdr>
        <w:top w:val="none" w:sz="0" w:space="0" w:color="auto"/>
        <w:left w:val="none" w:sz="0" w:space="0" w:color="auto"/>
        <w:bottom w:val="none" w:sz="0" w:space="0" w:color="auto"/>
        <w:right w:val="none" w:sz="0" w:space="0" w:color="auto"/>
      </w:divBdr>
    </w:div>
    <w:div w:id="919874156">
      <w:bodyDiv w:val="1"/>
      <w:marLeft w:val="0"/>
      <w:marRight w:val="0"/>
      <w:marTop w:val="0"/>
      <w:marBottom w:val="0"/>
      <w:divBdr>
        <w:top w:val="none" w:sz="0" w:space="0" w:color="auto"/>
        <w:left w:val="none" w:sz="0" w:space="0" w:color="auto"/>
        <w:bottom w:val="none" w:sz="0" w:space="0" w:color="auto"/>
        <w:right w:val="none" w:sz="0" w:space="0" w:color="auto"/>
      </w:divBdr>
    </w:div>
    <w:div w:id="920337501">
      <w:bodyDiv w:val="1"/>
      <w:marLeft w:val="0"/>
      <w:marRight w:val="0"/>
      <w:marTop w:val="0"/>
      <w:marBottom w:val="0"/>
      <w:divBdr>
        <w:top w:val="none" w:sz="0" w:space="0" w:color="auto"/>
        <w:left w:val="none" w:sz="0" w:space="0" w:color="auto"/>
        <w:bottom w:val="none" w:sz="0" w:space="0" w:color="auto"/>
        <w:right w:val="none" w:sz="0" w:space="0" w:color="auto"/>
      </w:divBdr>
    </w:div>
    <w:div w:id="920798011">
      <w:bodyDiv w:val="1"/>
      <w:marLeft w:val="0"/>
      <w:marRight w:val="0"/>
      <w:marTop w:val="0"/>
      <w:marBottom w:val="0"/>
      <w:divBdr>
        <w:top w:val="none" w:sz="0" w:space="0" w:color="auto"/>
        <w:left w:val="none" w:sz="0" w:space="0" w:color="auto"/>
        <w:bottom w:val="none" w:sz="0" w:space="0" w:color="auto"/>
        <w:right w:val="none" w:sz="0" w:space="0" w:color="auto"/>
      </w:divBdr>
    </w:div>
    <w:div w:id="921912532">
      <w:bodyDiv w:val="1"/>
      <w:marLeft w:val="0"/>
      <w:marRight w:val="0"/>
      <w:marTop w:val="0"/>
      <w:marBottom w:val="0"/>
      <w:divBdr>
        <w:top w:val="none" w:sz="0" w:space="0" w:color="auto"/>
        <w:left w:val="none" w:sz="0" w:space="0" w:color="auto"/>
        <w:bottom w:val="none" w:sz="0" w:space="0" w:color="auto"/>
        <w:right w:val="none" w:sz="0" w:space="0" w:color="auto"/>
      </w:divBdr>
    </w:div>
    <w:div w:id="921960485">
      <w:bodyDiv w:val="1"/>
      <w:marLeft w:val="0"/>
      <w:marRight w:val="0"/>
      <w:marTop w:val="0"/>
      <w:marBottom w:val="0"/>
      <w:divBdr>
        <w:top w:val="none" w:sz="0" w:space="0" w:color="auto"/>
        <w:left w:val="none" w:sz="0" w:space="0" w:color="auto"/>
        <w:bottom w:val="none" w:sz="0" w:space="0" w:color="auto"/>
        <w:right w:val="none" w:sz="0" w:space="0" w:color="auto"/>
      </w:divBdr>
    </w:div>
    <w:div w:id="922226464">
      <w:bodyDiv w:val="1"/>
      <w:marLeft w:val="0"/>
      <w:marRight w:val="0"/>
      <w:marTop w:val="0"/>
      <w:marBottom w:val="0"/>
      <w:divBdr>
        <w:top w:val="none" w:sz="0" w:space="0" w:color="auto"/>
        <w:left w:val="none" w:sz="0" w:space="0" w:color="auto"/>
        <w:bottom w:val="none" w:sz="0" w:space="0" w:color="auto"/>
        <w:right w:val="none" w:sz="0" w:space="0" w:color="auto"/>
      </w:divBdr>
    </w:div>
    <w:div w:id="922226544">
      <w:bodyDiv w:val="1"/>
      <w:marLeft w:val="0"/>
      <w:marRight w:val="0"/>
      <w:marTop w:val="0"/>
      <w:marBottom w:val="0"/>
      <w:divBdr>
        <w:top w:val="none" w:sz="0" w:space="0" w:color="auto"/>
        <w:left w:val="none" w:sz="0" w:space="0" w:color="auto"/>
        <w:bottom w:val="none" w:sz="0" w:space="0" w:color="auto"/>
        <w:right w:val="none" w:sz="0" w:space="0" w:color="auto"/>
      </w:divBdr>
    </w:div>
    <w:div w:id="922295044">
      <w:bodyDiv w:val="1"/>
      <w:marLeft w:val="0"/>
      <w:marRight w:val="0"/>
      <w:marTop w:val="0"/>
      <w:marBottom w:val="0"/>
      <w:divBdr>
        <w:top w:val="none" w:sz="0" w:space="0" w:color="auto"/>
        <w:left w:val="none" w:sz="0" w:space="0" w:color="auto"/>
        <w:bottom w:val="none" w:sz="0" w:space="0" w:color="auto"/>
        <w:right w:val="none" w:sz="0" w:space="0" w:color="auto"/>
      </w:divBdr>
    </w:div>
    <w:div w:id="922566624">
      <w:bodyDiv w:val="1"/>
      <w:marLeft w:val="0"/>
      <w:marRight w:val="0"/>
      <w:marTop w:val="0"/>
      <w:marBottom w:val="0"/>
      <w:divBdr>
        <w:top w:val="none" w:sz="0" w:space="0" w:color="auto"/>
        <w:left w:val="none" w:sz="0" w:space="0" w:color="auto"/>
        <w:bottom w:val="none" w:sz="0" w:space="0" w:color="auto"/>
        <w:right w:val="none" w:sz="0" w:space="0" w:color="auto"/>
      </w:divBdr>
    </w:div>
    <w:div w:id="922571257">
      <w:bodyDiv w:val="1"/>
      <w:marLeft w:val="0"/>
      <w:marRight w:val="0"/>
      <w:marTop w:val="0"/>
      <w:marBottom w:val="0"/>
      <w:divBdr>
        <w:top w:val="none" w:sz="0" w:space="0" w:color="auto"/>
        <w:left w:val="none" w:sz="0" w:space="0" w:color="auto"/>
        <w:bottom w:val="none" w:sz="0" w:space="0" w:color="auto"/>
        <w:right w:val="none" w:sz="0" w:space="0" w:color="auto"/>
      </w:divBdr>
    </w:div>
    <w:div w:id="923222772">
      <w:bodyDiv w:val="1"/>
      <w:marLeft w:val="0"/>
      <w:marRight w:val="0"/>
      <w:marTop w:val="0"/>
      <w:marBottom w:val="0"/>
      <w:divBdr>
        <w:top w:val="none" w:sz="0" w:space="0" w:color="auto"/>
        <w:left w:val="none" w:sz="0" w:space="0" w:color="auto"/>
        <w:bottom w:val="none" w:sz="0" w:space="0" w:color="auto"/>
        <w:right w:val="none" w:sz="0" w:space="0" w:color="auto"/>
      </w:divBdr>
    </w:div>
    <w:div w:id="923228416">
      <w:bodyDiv w:val="1"/>
      <w:marLeft w:val="0"/>
      <w:marRight w:val="0"/>
      <w:marTop w:val="0"/>
      <w:marBottom w:val="0"/>
      <w:divBdr>
        <w:top w:val="none" w:sz="0" w:space="0" w:color="auto"/>
        <w:left w:val="none" w:sz="0" w:space="0" w:color="auto"/>
        <w:bottom w:val="none" w:sz="0" w:space="0" w:color="auto"/>
        <w:right w:val="none" w:sz="0" w:space="0" w:color="auto"/>
      </w:divBdr>
    </w:div>
    <w:div w:id="923294788">
      <w:bodyDiv w:val="1"/>
      <w:marLeft w:val="0"/>
      <w:marRight w:val="0"/>
      <w:marTop w:val="0"/>
      <w:marBottom w:val="0"/>
      <w:divBdr>
        <w:top w:val="none" w:sz="0" w:space="0" w:color="auto"/>
        <w:left w:val="none" w:sz="0" w:space="0" w:color="auto"/>
        <w:bottom w:val="none" w:sz="0" w:space="0" w:color="auto"/>
        <w:right w:val="none" w:sz="0" w:space="0" w:color="auto"/>
      </w:divBdr>
    </w:div>
    <w:div w:id="923295915">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4799791">
      <w:bodyDiv w:val="1"/>
      <w:marLeft w:val="0"/>
      <w:marRight w:val="0"/>
      <w:marTop w:val="0"/>
      <w:marBottom w:val="0"/>
      <w:divBdr>
        <w:top w:val="none" w:sz="0" w:space="0" w:color="auto"/>
        <w:left w:val="none" w:sz="0" w:space="0" w:color="auto"/>
        <w:bottom w:val="none" w:sz="0" w:space="0" w:color="auto"/>
        <w:right w:val="none" w:sz="0" w:space="0" w:color="auto"/>
      </w:divBdr>
    </w:div>
    <w:div w:id="925847833">
      <w:bodyDiv w:val="1"/>
      <w:marLeft w:val="0"/>
      <w:marRight w:val="0"/>
      <w:marTop w:val="0"/>
      <w:marBottom w:val="0"/>
      <w:divBdr>
        <w:top w:val="none" w:sz="0" w:space="0" w:color="auto"/>
        <w:left w:val="none" w:sz="0" w:space="0" w:color="auto"/>
        <w:bottom w:val="none" w:sz="0" w:space="0" w:color="auto"/>
        <w:right w:val="none" w:sz="0" w:space="0" w:color="auto"/>
      </w:divBdr>
    </w:div>
    <w:div w:id="925924318">
      <w:bodyDiv w:val="1"/>
      <w:marLeft w:val="0"/>
      <w:marRight w:val="0"/>
      <w:marTop w:val="0"/>
      <w:marBottom w:val="0"/>
      <w:divBdr>
        <w:top w:val="none" w:sz="0" w:space="0" w:color="auto"/>
        <w:left w:val="none" w:sz="0" w:space="0" w:color="auto"/>
        <w:bottom w:val="none" w:sz="0" w:space="0" w:color="auto"/>
        <w:right w:val="none" w:sz="0" w:space="0" w:color="auto"/>
      </w:divBdr>
    </w:div>
    <w:div w:id="926618441">
      <w:bodyDiv w:val="1"/>
      <w:marLeft w:val="0"/>
      <w:marRight w:val="0"/>
      <w:marTop w:val="0"/>
      <w:marBottom w:val="0"/>
      <w:divBdr>
        <w:top w:val="none" w:sz="0" w:space="0" w:color="auto"/>
        <w:left w:val="none" w:sz="0" w:space="0" w:color="auto"/>
        <w:bottom w:val="none" w:sz="0" w:space="0" w:color="auto"/>
        <w:right w:val="none" w:sz="0" w:space="0" w:color="auto"/>
      </w:divBdr>
    </w:div>
    <w:div w:id="926689098">
      <w:bodyDiv w:val="1"/>
      <w:marLeft w:val="0"/>
      <w:marRight w:val="0"/>
      <w:marTop w:val="0"/>
      <w:marBottom w:val="0"/>
      <w:divBdr>
        <w:top w:val="none" w:sz="0" w:space="0" w:color="auto"/>
        <w:left w:val="none" w:sz="0" w:space="0" w:color="auto"/>
        <w:bottom w:val="none" w:sz="0" w:space="0" w:color="auto"/>
        <w:right w:val="none" w:sz="0" w:space="0" w:color="auto"/>
      </w:divBdr>
    </w:div>
    <w:div w:id="926696455">
      <w:bodyDiv w:val="1"/>
      <w:marLeft w:val="0"/>
      <w:marRight w:val="0"/>
      <w:marTop w:val="0"/>
      <w:marBottom w:val="0"/>
      <w:divBdr>
        <w:top w:val="none" w:sz="0" w:space="0" w:color="auto"/>
        <w:left w:val="none" w:sz="0" w:space="0" w:color="auto"/>
        <w:bottom w:val="none" w:sz="0" w:space="0" w:color="auto"/>
        <w:right w:val="none" w:sz="0" w:space="0" w:color="auto"/>
      </w:divBdr>
    </w:div>
    <w:div w:id="926888105">
      <w:bodyDiv w:val="1"/>
      <w:marLeft w:val="0"/>
      <w:marRight w:val="0"/>
      <w:marTop w:val="0"/>
      <w:marBottom w:val="0"/>
      <w:divBdr>
        <w:top w:val="none" w:sz="0" w:space="0" w:color="auto"/>
        <w:left w:val="none" w:sz="0" w:space="0" w:color="auto"/>
        <w:bottom w:val="none" w:sz="0" w:space="0" w:color="auto"/>
        <w:right w:val="none" w:sz="0" w:space="0" w:color="auto"/>
      </w:divBdr>
    </w:div>
    <w:div w:id="927231653">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27353424">
      <w:bodyDiv w:val="1"/>
      <w:marLeft w:val="0"/>
      <w:marRight w:val="0"/>
      <w:marTop w:val="0"/>
      <w:marBottom w:val="0"/>
      <w:divBdr>
        <w:top w:val="none" w:sz="0" w:space="0" w:color="auto"/>
        <w:left w:val="none" w:sz="0" w:space="0" w:color="auto"/>
        <w:bottom w:val="none" w:sz="0" w:space="0" w:color="auto"/>
        <w:right w:val="none" w:sz="0" w:space="0" w:color="auto"/>
      </w:divBdr>
    </w:div>
    <w:div w:id="927690877">
      <w:bodyDiv w:val="1"/>
      <w:marLeft w:val="0"/>
      <w:marRight w:val="0"/>
      <w:marTop w:val="0"/>
      <w:marBottom w:val="0"/>
      <w:divBdr>
        <w:top w:val="none" w:sz="0" w:space="0" w:color="auto"/>
        <w:left w:val="none" w:sz="0" w:space="0" w:color="auto"/>
        <w:bottom w:val="none" w:sz="0" w:space="0" w:color="auto"/>
        <w:right w:val="none" w:sz="0" w:space="0" w:color="auto"/>
      </w:divBdr>
    </w:div>
    <w:div w:id="927732339">
      <w:bodyDiv w:val="1"/>
      <w:marLeft w:val="0"/>
      <w:marRight w:val="0"/>
      <w:marTop w:val="0"/>
      <w:marBottom w:val="0"/>
      <w:divBdr>
        <w:top w:val="none" w:sz="0" w:space="0" w:color="auto"/>
        <w:left w:val="none" w:sz="0" w:space="0" w:color="auto"/>
        <w:bottom w:val="none" w:sz="0" w:space="0" w:color="auto"/>
        <w:right w:val="none" w:sz="0" w:space="0" w:color="auto"/>
      </w:divBdr>
    </w:div>
    <w:div w:id="927883724">
      <w:bodyDiv w:val="1"/>
      <w:marLeft w:val="0"/>
      <w:marRight w:val="0"/>
      <w:marTop w:val="0"/>
      <w:marBottom w:val="0"/>
      <w:divBdr>
        <w:top w:val="none" w:sz="0" w:space="0" w:color="auto"/>
        <w:left w:val="none" w:sz="0" w:space="0" w:color="auto"/>
        <w:bottom w:val="none" w:sz="0" w:space="0" w:color="auto"/>
        <w:right w:val="none" w:sz="0" w:space="0" w:color="auto"/>
      </w:divBdr>
    </w:div>
    <w:div w:id="927924394">
      <w:bodyDiv w:val="1"/>
      <w:marLeft w:val="0"/>
      <w:marRight w:val="0"/>
      <w:marTop w:val="0"/>
      <w:marBottom w:val="0"/>
      <w:divBdr>
        <w:top w:val="none" w:sz="0" w:space="0" w:color="auto"/>
        <w:left w:val="none" w:sz="0" w:space="0" w:color="auto"/>
        <w:bottom w:val="none" w:sz="0" w:space="0" w:color="auto"/>
        <w:right w:val="none" w:sz="0" w:space="0" w:color="auto"/>
      </w:divBdr>
    </w:div>
    <w:div w:id="928276676">
      <w:bodyDiv w:val="1"/>
      <w:marLeft w:val="0"/>
      <w:marRight w:val="0"/>
      <w:marTop w:val="0"/>
      <w:marBottom w:val="0"/>
      <w:divBdr>
        <w:top w:val="none" w:sz="0" w:space="0" w:color="auto"/>
        <w:left w:val="none" w:sz="0" w:space="0" w:color="auto"/>
        <w:bottom w:val="none" w:sz="0" w:space="0" w:color="auto"/>
        <w:right w:val="none" w:sz="0" w:space="0" w:color="auto"/>
      </w:divBdr>
    </w:div>
    <w:div w:id="928391605">
      <w:bodyDiv w:val="1"/>
      <w:marLeft w:val="0"/>
      <w:marRight w:val="0"/>
      <w:marTop w:val="0"/>
      <w:marBottom w:val="0"/>
      <w:divBdr>
        <w:top w:val="none" w:sz="0" w:space="0" w:color="auto"/>
        <w:left w:val="none" w:sz="0" w:space="0" w:color="auto"/>
        <w:bottom w:val="none" w:sz="0" w:space="0" w:color="auto"/>
        <w:right w:val="none" w:sz="0" w:space="0" w:color="auto"/>
      </w:divBdr>
    </w:div>
    <w:div w:id="928656879">
      <w:bodyDiv w:val="1"/>
      <w:marLeft w:val="0"/>
      <w:marRight w:val="0"/>
      <w:marTop w:val="0"/>
      <w:marBottom w:val="0"/>
      <w:divBdr>
        <w:top w:val="none" w:sz="0" w:space="0" w:color="auto"/>
        <w:left w:val="none" w:sz="0" w:space="0" w:color="auto"/>
        <w:bottom w:val="none" w:sz="0" w:space="0" w:color="auto"/>
        <w:right w:val="none" w:sz="0" w:space="0" w:color="auto"/>
      </w:divBdr>
    </w:div>
    <w:div w:id="929117708">
      <w:bodyDiv w:val="1"/>
      <w:marLeft w:val="0"/>
      <w:marRight w:val="0"/>
      <w:marTop w:val="0"/>
      <w:marBottom w:val="0"/>
      <w:divBdr>
        <w:top w:val="none" w:sz="0" w:space="0" w:color="auto"/>
        <w:left w:val="none" w:sz="0" w:space="0" w:color="auto"/>
        <w:bottom w:val="none" w:sz="0" w:space="0" w:color="auto"/>
        <w:right w:val="none" w:sz="0" w:space="0" w:color="auto"/>
      </w:divBdr>
    </w:div>
    <w:div w:id="929387599">
      <w:bodyDiv w:val="1"/>
      <w:marLeft w:val="0"/>
      <w:marRight w:val="0"/>
      <w:marTop w:val="0"/>
      <w:marBottom w:val="0"/>
      <w:divBdr>
        <w:top w:val="none" w:sz="0" w:space="0" w:color="auto"/>
        <w:left w:val="none" w:sz="0" w:space="0" w:color="auto"/>
        <w:bottom w:val="none" w:sz="0" w:space="0" w:color="auto"/>
        <w:right w:val="none" w:sz="0" w:space="0" w:color="auto"/>
      </w:divBdr>
    </w:div>
    <w:div w:id="930623623">
      <w:bodyDiv w:val="1"/>
      <w:marLeft w:val="0"/>
      <w:marRight w:val="0"/>
      <w:marTop w:val="0"/>
      <w:marBottom w:val="0"/>
      <w:divBdr>
        <w:top w:val="none" w:sz="0" w:space="0" w:color="auto"/>
        <w:left w:val="none" w:sz="0" w:space="0" w:color="auto"/>
        <w:bottom w:val="none" w:sz="0" w:space="0" w:color="auto"/>
        <w:right w:val="none" w:sz="0" w:space="0" w:color="auto"/>
      </w:divBdr>
    </w:div>
    <w:div w:id="930699221">
      <w:bodyDiv w:val="1"/>
      <w:marLeft w:val="0"/>
      <w:marRight w:val="0"/>
      <w:marTop w:val="0"/>
      <w:marBottom w:val="0"/>
      <w:divBdr>
        <w:top w:val="none" w:sz="0" w:space="0" w:color="auto"/>
        <w:left w:val="none" w:sz="0" w:space="0" w:color="auto"/>
        <w:bottom w:val="none" w:sz="0" w:space="0" w:color="auto"/>
        <w:right w:val="none" w:sz="0" w:space="0" w:color="auto"/>
      </w:divBdr>
    </w:div>
    <w:div w:id="931202879">
      <w:bodyDiv w:val="1"/>
      <w:marLeft w:val="0"/>
      <w:marRight w:val="0"/>
      <w:marTop w:val="0"/>
      <w:marBottom w:val="0"/>
      <w:divBdr>
        <w:top w:val="none" w:sz="0" w:space="0" w:color="auto"/>
        <w:left w:val="none" w:sz="0" w:space="0" w:color="auto"/>
        <w:bottom w:val="none" w:sz="0" w:space="0" w:color="auto"/>
        <w:right w:val="none" w:sz="0" w:space="0" w:color="auto"/>
      </w:divBdr>
    </w:div>
    <w:div w:id="931935626">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2010356">
      <w:bodyDiv w:val="1"/>
      <w:marLeft w:val="0"/>
      <w:marRight w:val="0"/>
      <w:marTop w:val="0"/>
      <w:marBottom w:val="0"/>
      <w:divBdr>
        <w:top w:val="none" w:sz="0" w:space="0" w:color="auto"/>
        <w:left w:val="none" w:sz="0" w:space="0" w:color="auto"/>
        <w:bottom w:val="none" w:sz="0" w:space="0" w:color="auto"/>
        <w:right w:val="none" w:sz="0" w:space="0" w:color="auto"/>
      </w:divBdr>
    </w:div>
    <w:div w:id="932978341">
      <w:bodyDiv w:val="1"/>
      <w:marLeft w:val="0"/>
      <w:marRight w:val="0"/>
      <w:marTop w:val="0"/>
      <w:marBottom w:val="0"/>
      <w:divBdr>
        <w:top w:val="none" w:sz="0" w:space="0" w:color="auto"/>
        <w:left w:val="none" w:sz="0" w:space="0" w:color="auto"/>
        <w:bottom w:val="none" w:sz="0" w:space="0" w:color="auto"/>
        <w:right w:val="none" w:sz="0" w:space="0" w:color="auto"/>
      </w:divBdr>
    </w:div>
    <w:div w:id="934165541">
      <w:bodyDiv w:val="1"/>
      <w:marLeft w:val="0"/>
      <w:marRight w:val="0"/>
      <w:marTop w:val="0"/>
      <w:marBottom w:val="0"/>
      <w:divBdr>
        <w:top w:val="none" w:sz="0" w:space="0" w:color="auto"/>
        <w:left w:val="none" w:sz="0" w:space="0" w:color="auto"/>
        <w:bottom w:val="none" w:sz="0" w:space="0" w:color="auto"/>
        <w:right w:val="none" w:sz="0" w:space="0" w:color="auto"/>
      </w:divBdr>
    </w:div>
    <w:div w:id="934822858">
      <w:bodyDiv w:val="1"/>
      <w:marLeft w:val="0"/>
      <w:marRight w:val="0"/>
      <w:marTop w:val="0"/>
      <w:marBottom w:val="0"/>
      <w:divBdr>
        <w:top w:val="none" w:sz="0" w:space="0" w:color="auto"/>
        <w:left w:val="none" w:sz="0" w:space="0" w:color="auto"/>
        <w:bottom w:val="none" w:sz="0" w:space="0" w:color="auto"/>
        <w:right w:val="none" w:sz="0" w:space="0" w:color="auto"/>
      </w:divBdr>
    </w:div>
    <w:div w:id="934945889">
      <w:bodyDiv w:val="1"/>
      <w:marLeft w:val="0"/>
      <w:marRight w:val="0"/>
      <w:marTop w:val="0"/>
      <w:marBottom w:val="0"/>
      <w:divBdr>
        <w:top w:val="none" w:sz="0" w:space="0" w:color="auto"/>
        <w:left w:val="none" w:sz="0" w:space="0" w:color="auto"/>
        <w:bottom w:val="none" w:sz="0" w:space="0" w:color="auto"/>
        <w:right w:val="none" w:sz="0" w:space="0" w:color="auto"/>
      </w:divBdr>
    </w:div>
    <w:div w:id="935097400">
      <w:bodyDiv w:val="1"/>
      <w:marLeft w:val="0"/>
      <w:marRight w:val="0"/>
      <w:marTop w:val="0"/>
      <w:marBottom w:val="0"/>
      <w:divBdr>
        <w:top w:val="none" w:sz="0" w:space="0" w:color="auto"/>
        <w:left w:val="none" w:sz="0" w:space="0" w:color="auto"/>
        <w:bottom w:val="none" w:sz="0" w:space="0" w:color="auto"/>
        <w:right w:val="none" w:sz="0" w:space="0" w:color="auto"/>
      </w:divBdr>
    </w:div>
    <w:div w:id="935750816">
      <w:bodyDiv w:val="1"/>
      <w:marLeft w:val="0"/>
      <w:marRight w:val="0"/>
      <w:marTop w:val="0"/>
      <w:marBottom w:val="0"/>
      <w:divBdr>
        <w:top w:val="none" w:sz="0" w:space="0" w:color="auto"/>
        <w:left w:val="none" w:sz="0" w:space="0" w:color="auto"/>
        <w:bottom w:val="none" w:sz="0" w:space="0" w:color="auto"/>
        <w:right w:val="none" w:sz="0" w:space="0" w:color="auto"/>
      </w:divBdr>
    </w:div>
    <w:div w:id="936134346">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408692">
      <w:bodyDiv w:val="1"/>
      <w:marLeft w:val="0"/>
      <w:marRight w:val="0"/>
      <w:marTop w:val="0"/>
      <w:marBottom w:val="0"/>
      <w:divBdr>
        <w:top w:val="none" w:sz="0" w:space="0" w:color="auto"/>
        <w:left w:val="none" w:sz="0" w:space="0" w:color="auto"/>
        <w:bottom w:val="none" w:sz="0" w:space="0" w:color="auto"/>
        <w:right w:val="none" w:sz="0" w:space="0" w:color="auto"/>
      </w:divBdr>
    </w:div>
    <w:div w:id="936447021">
      <w:bodyDiv w:val="1"/>
      <w:marLeft w:val="0"/>
      <w:marRight w:val="0"/>
      <w:marTop w:val="0"/>
      <w:marBottom w:val="0"/>
      <w:divBdr>
        <w:top w:val="none" w:sz="0" w:space="0" w:color="auto"/>
        <w:left w:val="none" w:sz="0" w:space="0" w:color="auto"/>
        <w:bottom w:val="none" w:sz="0" w:space="0" w:color="auto"/>
        <w:right w:val="none" w:sz="0" w:space="0" w:color="auto"/>
      </w:divBdr>
    </w:div>
    <w:div w:id="936524840">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641049">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37373850">
      <w:bodyDiv w:val="1"/>
      <w:marLeft w:val="0"/>
      <w:marRight w:val="0"/>
      <w:marTop w:val="0"/>
      <w:marBottom w:val="0"/>
      <w:divBdr>
        <w:top w:val="none" w:sz="0" w:space="0" w:color="auto"/>
        <w:left w:val="none" w:sz="0" w:space="0" w:color="auto"/>
        <w:bottom w:val="none" w:sz="0" w:space="0" w:color="auto"/>
        <w:right w:val="none" w:sz="0" w:space="0" w:color="auto"/>
      </w:divBdr>
    </w:div>
    <w:div w:id="937444013">
      <w:bodyDiv w:val="1"/>
      <w:marLeft w:val="0"/>
      <w:marRight w:val="0"/>
      <w:marTop w:val="0"/>
      <w:marBottom w:val="0"/>
      <w:divBdr>
        <w:top w:val="none" w:sz="0" w:space="0" w:color="auto"/>
        <w:left w:val="none" w:sz="0" w:space="0" w:color="auto"/>
        <w:bottom w:val="none" w:sz="0" w:space="0" w:color="auto"/>
        <w:right w:val="none" w:sz="0" w:space="0" w:color="auto"/>
      </w:divBdr>
    </w:div>
    <w:div w:id="937449817">
      <w:bodyDiv w:val="1"/>
      <w:marLeft w:val="0"/>
      <w:marRight w:val="0"/>
      <w:marTop w:val="0"/>
      <w:marBottom w:val="0"/>
      <w:divBdr>
        <w:top w:val="none" w:sz="0" w:space="0" w:color="auto"/>
        <w:left w:val="none" w:sz="0" w:space="0" w:color="auto"/>
        <w:bottom w:val="none" w:sz="0" w:space="0" w:color="auto"/>
        <w:right w:val="none" w:sz="0" w:space="0" w:color="auto"/>
      </w:divBdr>
    </w:div>
    <w:div w:id="937451018">
      <w:bodyDiv w:val="1"/>
      <w:marLeft w:val="0"/>
      <w:marRight w:val="0"/>
      <w:marTop w:val="0"/>
      <w:marBottom w:val="0"/>
      <w:divBdr>
        <w:top w:val="none" w:sz="0" w:space="0" w:color="auto"/>
        <w:left w:val="none" w:sz="0" w:space="0" w:color="auto"/>
        <w:bottom w:val="none" w:sz="0" w:space="0" w:color="auto"/>
        <w:right w:val="none" w:sz="0" w:space="0" w:color="auto"/>
      </w:divBdr>
    </w:div>
    <w:div w:id="938371823">
      <w:bodyDiv w:val="1"/>
      <w:marLeft w:val="0"/>
      <w:marRight w:val="0"/>
      <w:marTop w:val="0"/>
      <w:marBottom w:val="0"/>
      <w:divBdr>
        <w:top w:val="none" w:sz="0" w:space="0" w:color="auto"/>
        <w:left w:val="none" w:sz="0" w:space="0" w:color="auto"/>
        <w:bottom w:val="none" w:sz="0" w:space="0" w:color="auto"/>
        <w:right w:val="none" w:sz="0" w:space="0" w:color="auto"/>
      </w:divBdr>
    </w:div>
    <w:div w:id="938871699">
      <w:bodyDiv w:val="1"/>
      <w:marLeft w:val="0"/>
      <w:marRight w:val="0"/>
      <w:marTop w:val="0"/>
      <w:marBottom w:val="0"/>
      <w:divBdr>
        <w:top w:val="none" w:sz="0" w:space="0" w:color="auto"/>
        <w:left w:val="none" w:sz="0" w:space="0" w:color="auto"/>
        <w:bottom w:val="none" w:sz="0" w:space="0" w:color="auto"/>
        <w:right w:val="none" w:sz="0" w:space="0" w:color="auto"/>
      </w:divBdr>
    </w:div>
    <w:div w:id="938876496">
      <w:bodyDiv w:val="1"/>
      <w:marLeft w:val="0"/>
      <w:marRight w:val="0"/>
      <w:marTop w:val="0"/>
      <w:marBottom w:val="0"/>
      <w:divBdr>
        <w:top w:val="none" w:sz="0" w:space="0" w:color="auto"/>
        <w:left w:val="none" w:sz="0" w:space="0" w:color="auto"/>
        <w:bottom w:val="none" w:sz="0" w:space="0" w:color="auto"/>
        <w:right w:val="none" w:sz="0" w:space="0" w:color="auto"/>
      </w:divBdr>
    </w:div>
    <w:div w:id="938877303">
      <w:bodyDiv w:val="1"/>
      <w:marLeft w:val="0"/>
      <w:marRight w:val="0"/>
      <w:marTop w:val="0"/>
      <w:marBottom w:val="0"/>
      <w:divBdr>
        <w:top w:val="none" w:sz="0" w:space="0" w:color="auto"/>
        <w:left w:val="none" w:sz="0" w:space="0" w:color="auto"/>
        <w:bottom w:val="none" w:sz="0" w:space="0" w:color="auto"/>
        <w:right w:val="none" w:sz="0" w:space="0" w:color="auto"/>
      </w:divBdr>
    </w:div>
    <w:div w:id="938878512">
      <w:bodyDiv w:val="1"/>
      <w:marLeft w:val="0"/>
      <w:marRight w:val="0"/>
      <w:marTop w:val="0"/>
      <w:marBottom w:val="0"/>
      <w:divBdr>
        <w:top w:val="none" w:sz="0" w:space="0" w:color="auto"/>
        <w:left w:val="none" w:sz="0" w:space="0" w:color="auto"/>
        <w:bottom w:val="none" w:sz="0" w:space="0" w:color="auto"/>
        <w:right w:val="none" w:sz="0" w:space="0" w:color="auto"/>
      </w:divBdr>
    </w:div>
    <w:div w:id="938950163">
      <w:bodyDiv w:val="1"/>
      <w:marLeft w:val="0"/>
      <w:marRight w:val="0"/>
      <w:marTop w:val="0"/>
      <w:marBottom w:val="0"/>
      <w:divBdr>
        <w:top w:val="none" w:sz="0" w:space="0" w:color="auto"/>
        <w:left w:val="none" w:sz="0" w:space="0" w:color="auto"/>
        <w:bottom w:val="none" w:sz="0" w:space="0" w:color="auto"/>
        <w:right w:val="none" w:sz="0" w:space="0" w:color="auto"/>
      </w:divBdr>
    </w:div>
    <w:div w:id="939141240">
      <w:bodyDiv w:val="1"/>
      <w:marLeft w:val="0"/>
      <w:marRight w:val="0"/>
      <w:marTop w:val="0"/>
      <w:marBottom w:val="0"/>
      <w:divBdr>
        <w:top w:val="none" w:sz="0" w:space="0" w:color="auto"/>
        <w:left w:val="none" w:sz="0" w:space="0" w:color="auto"/>
        <w:bottom w:val="none" w:sz="0" w:space="0" w:color="auto"/>
        <w:right w:val="none" w:sz="0" w:space="0" w:color="auto"/>
      </w:divBdr>
    </w:div>
    <w:div w:id="939414628">
      <w:bodyDiv w:val="1"/>
      <w:marLeft w:val="0"/>
      <w:marRight w:val="0"/>
      <w:marTop w:val="0"/>
      <w:marBottom w:val="0"/>
      <w:divBdr>
        <w:top w:val="none" w:sz="0" w:space="0" w:color="auto"/>
        <w:left w:val="none" w:sz="0" w:space="0" w:color="auto"/>
        <w:bottom w:val="none" w:sz="0" w:space="0" w:color="auto"/>
        <w:right w:val="none" w:sz="0" w:space="0" w:color="auto"/>
      </w:divBdr>
    </w:div>
    <w:div w:id="939416119">
      <w:bodyDiv w:val="1"/>
      <w:marLeft w:val="0"/>
      <w:marRight w:val="0"/>
      <w:marTop w:val="0"/>
      <w:marBottom w:val="0"/>
      <w:divBdr>
        <w:top w:val="none" w:sz="0" w:space="0" w:color="auto"/>
        <w:left w:val="none" w:sz="0" w:space="0" w:color="auto"/>
        <w:bottom w:val="none" w:sz="0" w:space="0" w:color="auto"/>
        <w:right w:val="none" w:sz="0" w:space="0" w:color="auto"/>
      </w:divBdr>
    </w:div>
    <w:div w:id="939683678">
      <w:bodyDiv w:val="1"/>
      <w:marLeft w:val="0"/>
      <w:marRight w:val="0"/>
      <w:marTop w:val="0"/>
      <w:marBottom w:val="0"/>
      <w:divBdr>
        <w:top w:val="none" w:sz="0" w:space="0" w:color="auto"/>
        <w:left w:val="none" w:sz="0" w:space="0" w:color="auto"/>
        <w:bottom w:val="none" w:sz="0" w:space="0" w:color="auto"/>
        <w:right w:val="none" w:sz="0" w:space="0" w:color="auto"/>
      </w:divBdr>
    </w:div>
    <w:div w:id="939683734">
      <w:bodyDiv w:val="1"/>
      <w:marLeft w:val="0"/>
      <w:marRight w:val="0"/>
      <w:marTop w:val="0"/>
      <w:marBottom w:val="0"/>
      <w:divBdr>
        <w:top w:val="none" w:sz="0" w:space="0" w:color="auto"/>
        <w:left w:val="none" w:sz="0" w:space="0" w:color="auto"/>
        <w:bottom w:val="none" w:sz="0" w:space="0" w:color="auto"/>
        <w:right w:val="none" w:sz="0" w:space="0" w:color="auto"/>
      </w:divBdr>
    </w:div>
    <w:div w:id="940070678">
      <w:bodyDiv w:val="1"/>
      <w:marLeft w:val="0"/>
      <w:marRight w:val="0"/>
      <w:marTop w:val="0"/>
      <w:marBottom w:val="0"/>
      <w:divBdr>
        <w:top w:val="none" w:sz="0" w:space="0" w:color="auto"/>
        <w:left w:val="none" w:sz="0" w:space="0" w:color="auto"/>
        <w:bottom w:val="none" w:sz="0" w:space="0" w:color="auto"/>
        <w:right w:val="none" w:sz="0" w:space="0" w:color="auto"/>
      </w:divBdr>
    </w:div>
    <w:div w:id="940257426">
      <w:bodyDiv w:val="1"/>
      <w:marLeft w:val="0"/>
      <w:marRight w:val="0"/>
      <w:marTop w:val="0"/>
      <w:marBottom w:val="0"/>
      <w:divBdr>
        <w:top w:val="none" w:sz="0" w:space="0" w:color="auto"/>
        <w:left w:val="none" w:sz="0" w:space="0" w:color="auto"/>
        <w:bottom w:val="none" w:sz="0" w:space="0" w:color="auto"/>
        <w:right w:val="none" w:sz="0" w:space="0" w:color="auto"/>
      </w:divBdr>
    </w:div>
    <w:div w:id="940604766">
      <w:bodyDiv w:val="1"/>
      <w:marLeft w:val="0"/>
      <w:marRight w:val="0"/>
      <w:marTop w:val="0"/>
      <w:marBottom w:val="0"/>
      <w:divBdr>
        <w:top w:val="none" w:sz="0" w:space="0" w:color="auto"/>
        <w:left w:val="none" w:sz="0" w:space="0" w:color="auto"/>
        <w:bottom w:val="none" w:sz="0" w:space="0" w:color="auto"/>
        <w:right w:val="none" w:sz="0" w:space="0" w:color="auto"/>
      </w:divBdr>
    </w:div>
    <w:div w:id="940987148">
      <w:bodyDiv w:val="1"/>
      <w:marLeft w:val="0"/>
      <w:marRight w:val="0"/>
      <w:marTop w:val="0"/>
      <w:marBottom w:val="0"/>
      <w:divBdr>
        <w:top w:val="none" w:sz="0" w:space="0" w:color="auto"/>
        <w:left w:val="none" w:sz="0" w:space="0" w:color="auto"/>
        <w:bottom w:val="none" w:sz="0" w:space="0" w:color="auto"/>
        <w:right w:val="none" w:sz="0" w:space="0" w:color="auto"/>
      </w:divBdr>
    </w:div>
    <w:div w:id="941186309">
      <w:bodyDiv w:val="1"/>
      <w:marLeft w:val="0"/>
      <w:marRight w:val="0"/>
      <w:marTop w:val="0"/>
      <w:marBottom w:val="0"/>
      <w:divBdr>
        <w:top w:val="none" w:sz="0" w:space="0" w:color="auto"/>
        <w:left w:val="none" w:sz="0" w:space="0" w:color="auto"/>
        <w:bottom w:val="none" w:sz="0" w:space="0" w:color="auto"/>
        <w:right w:val="none" w:sz="0" w:space="0" w:color="auto"/>
      </w:divBdr>
    </w:div>
    <w:div w:id="941492648">
      <w:bodyDiv w:val="1"/>
      <w:marLeft w:val="0"/>
      <w:marRight w:val="0"/>
      <w:marTop w:val="0"/>
      <w:marBottom w:val="0"/>
      <w:divBdr>
        <w:top w:val="none" w:sz="0" w:space="0" w:color="auto"/>
        <w:left w:val="none" w:sz="0" w:space="0" w:color="auto"/>
        <w:bottom w:val="none" w:sz="0" w:space="0" w:color="auto"/>
        <w:right w:val="none" w:sz="0" w:space="0" w:color="auto"/>
      </w:divBdr>
    </w:div>
    <w:div w:id="942155258">
      <w:bodyDiv w:val="1"/>
      <w:marLeft w:val="0"/>
      <w:marRight w:val="0"/>
      <w:marTop w:val="0"/>
      <w:marBottom w:val="0"/>
      <w:divBdr>
        <w:top w:val="none" w:sz="0" w:space="0" w:color="auto"/>
        <w:left w:val="none" w:sz="0" w:space="0" w:color="auto"/>
        <w:bottom w:val="none" w:sz="0" w:space="0" w:color="auto"/>
        <w:right w:val="none" w:sz="0" w:space="0" w:color="auto"/>
      </w:divBdr>
    </w:div>
    <w:div w:id="942224261">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43734420">
      <w:bodyDiv w:val="1"/>
      <w:marLeft w:val="0"/>
      <w:marRight w:val="0"/>
      <w:marTop w:val="0"/>
      <w:marBottom w:val="0"/>
      <w:divBdr>
        <w:top w:val="none" w:sz="0" w:space="0" w:color="auto"/>
        <w:left w:val="none" w:sz="0" w:space="0" w:color="auto"/>
        <w:bottom w:val="none" w:sz="0" w:space="0" w:color="auto"/>
        <w:right w:val="none" w:sz="0" w:space="0" w:color="auto"/>
      </w:divBdr>
    </w:div>
    <w:div w:id="943849481">
      <w:bodyDiv w:val="1"/>
      <w:marLeft w:val="0"/>
      <w:marRight w:val="0"/>
      <w:marTop w:val="0"/>
      <w:marBottom w:val="0"/>
      <w:divBdr>
        <w:top w:val="none" w:sz="0" w:space="0" w:color="auto"/>
        <w:left w:val="none" w:sz="0" w:space="0" w:color="auto"/>
        <w:bottom w:val="none" w:sz="0" w:space="0" w:color="auto"/>
        <w:right w:val="none" w:sz="0" w:space="0" w:color="auto"/>
      </w:divBdr>
    </w:div>
    <w:div w:id="943920410">
      <w:bodyDiv w:val="1"/>
      <w:marLeft w:val="0"/>
      <w:marRight w:val="0"/>
      <w:marTop w:val="0"/>
      <w:marBottom w:val="0"/>
      <w:divBdr>
        <w:top w:val="none" w:sz="0" w:space="0" w:color="auto"/>
        <w:left w:val="none" w:sz="0" w:space="0" w:color="auto"/>
        <w:bottom w:val="none" w:sz="0" w:space="0" w:color="auto"/>
        <w:right w:val="none" w:sz="0" w:space="0" w:color="auto"/>
      </w:divBdr>
    </w:div>
    <w:div w:id="944002397">
      <w:bodyDiv w:val="1"/>
      <w:marLeft w:val="0"/>
      <w:marRight w:val="0"/>
      <w:marTop w:val="0"/>
      <w:marBottom w:val="0"/>
      <w:divBdr>
        <w:top w:val="none" w:sz="0" w:space="0" w:color="auto"/>
        <w:left w:val="none" w:sz="0" w:space="0" w:color="auto"/>
        <w:bottom w:val="none" w:sz="0" w:space="0" w:color="auto"/>
        <w:right w:val="none" w:sz="0" w:space="0" w:color="auto"/>
      </w:divBdr>
    </w:div>
    <w:div w:id="944003524">
      <w:bodyDiv w:val="1"/>
      <w:marLeft w:val="0"/>
      <w:marRight w:val="0"/>
      <w:marTop w:val="0"/>
      <w:marBottom w:val="0"/>
      <w:divBdr>
        <w:top w:val="none" w:sz="0" w:space="0" w:color="auto"/>
        <w:left w:val="none" w:sz="0" w:space="0" w:color="auto"/>
        <w:bottom w:val="none" w:sz="0" w:space="0" w:color="auto"/>
        <w:right w:val="none" w:sz="0" w:space="0" w:color="auto"/>
      </w:divBdr>
    </w:div>
    <w:div w:id="944269524">
      <w:bodyDiv w:val="1"/>
      <w:marLeft w:val="0"/>
      <w:marRight w:val="0"/>
      <w:marTop w:val="0"/>
      <w:marBottom w:val="0"/>
      <w:divBdr>
        <w:top w:val="none" w:sz="0" w:space="0" w:color="auto"/>
        <w:left w:val="none" w:sz="0" w:space="0" w:color="auto"/>
        <w:bottom w:val="none" w:sz="0" w:space="0" w:color="auto"/>
        <w:right w:val="none" w:sz="0" w:space="0" w:color="auto"/>
      </w:divBdr>
    </w:div>
    <w:div w:id="944381155">
      <w:bodyDiv w:val="1"/>
      <w:marLeft w:val="0"/>
      <w:marRight w:val="0"/>
      <w:marTop w:val="0"/>
      <w:marBottom w:val="0"/>
      <w:divBdr>
        <w:top w:val="none" w:sz="0" w:space="0" w:color="auto"/>
        <w:left w:val="none" w:sz="0" w:space="0" w:color="auto"/>
        <w:bottom w:val="none" w:sz="0" w:space="0" w:color="auto"/>
        <w:right w:val="none" w:sz="0" w:space="0" w:color="auto"/>
      </w:divBdr>
    </w:div>
    <w:div w:id="944456205">
      <w:bodyDiv w:val="1"/>
      <w:marLeft w:val="0"/>
      <w:marRight w:val="0"/>
      <w:marTop w:val="0"/>
      <w:marBottom w:val="0"/>
      <w:divBdr>
        <w:top w:val="none" w:sz="0" w:space="0" w:color="auto"/>
        <w:left w:val="none" w:sz="0" w:space="0" w:color="auto"/>
        <w:bottom w:val="none" w:sz="0" w:space="0" w:color="auto"/>
        <w:right w:val="none" w:sz="0" w:space="0" w:color="auto"/>
      </w:divBdr>
    </w:div>
    <w:div w:id="944465782">
      <w:bodyDiv w:val="1"/>
      <w:marLeft w:val="0"/>
      <w:marRight w:val="0"/>
      <w:marTop w:val="0"/>
      <w:marBottom w:val="0"/>
      <w:divBdr>
        <w:top w:val="none" w:sz="0" w:space="0" w:color="auto"/>
        <w:left w:val="none" w:sz="0" w:space="0" w:color="auto"/>
        <w:bottom w:val="none" w:sz="0" w:space="0" w:color="auto"/>
        <w:right w:val="none" w:sz="0" w:space="0" w:color="auto"/>
      </w:divBdr>
    </w:div>
    <w:div w:id="945237537">
      <w:bodyDiv w:val="1"/>
      <w:marLeft w:val="0"/>
      <w:marRight w:val="0"/>
      <w:marTop w:val="0"/>
      <w:marBottom w:val="0"/>
      <w:divBdr>
        <w:top w:val="none" w:sz="0" w:space="0" w:color="auto"/>
        <w:left w:val="none" w:sz="0" w:space="0" w:color="auto"/>
        <w:bottom w:val="none" w:sz="0" w:space="0" w:color="auto"/>
        <w:right w:val="none" w:sz="0" w:space="0" w:color="auto"/>
      </w:divBdr>
    </w:div>
    <w:div w:id="945698854">
      <w:bodyDiv w:val="1"/>
      <w:marLeft w:val="0"/>
      <w:marRight w:val="0"/>
      <w:marTop w:val="0"/>
      <w:marBottom w:val="0"/>
      <w:divBdr>
        <w:top w:val="none" w:sz="0" w:space="0" w:color="auto"/>
        <w:left w:val="none" w:sz="0" w:space="0" w:color="auto"/>
        <w:bottom w:val="none" w:sz="0" w:space="0" w:color="auto"/>
        <w:right w:val="none" w:sz="0" w:space="0" w:color="auto"/>
      </w:divBdr>
    </w:div>
    <w:div w:id="945846693">
      <w:bodyDiv w:val="1"/>
      <w:marLeft w:val="0"/>
      <w:marRight w:val="0"/>
      <w:marTop w:val="0"/>
      <w:marBottom w:val="0"/>
      <w:divBdr>
        <w:top w:val="none" w:sz="0" w:space="0" w:color="auto"/>
        <w:left w:val="none" w:sz="0" w:space="0" w:color="auto"/>
        <w:bottom w:val="none" w:sz="0" w:space="0" w:color="auto"/>
        <w:right w:val="none" w:sz="0" w:space="0" w:color="auto"/>
      </w:divBdr>
    </w:div>
    <w:div w:id="946472134">
      <w:bodyDiv w:val="1"/>
      <w:marLeft w:val="0"/>
      <w:marRight w:val="0"/>
      <w:marTop w:val="0"/>
      <w:marBottom w:val="0"/>
      <w:divBdr>
        <w:top w:val="none" w:sz="0" w:space="0" w:color="auto"/>
        <w:left w:val="none" w:sz="0" w:space="0" w:color="auto"/>
        <w:bottom w:val="none" w:sz="0" w:space="0" w:color="auto"/>
        <w:right w:val="none" w:sz="0" w:space="0" w:color="auto"/>
      </w:divBdr>
    </w:div>
    <w:div w:id="947077693">
      <w:bodyDiv w:val="1"/>
      <w:marLeft w:val="0"/>
      <w:marRight w:val="0"/>
      <w:marTop w:val="0"/>
      <w:marBottom w:val="0"/>
      <w:divBdr>
        <w:top w:val="none" w:sz="0" w:space="0" w:color="auto"/>
        <w:left w:val="none" w:sz="0" w:space="0" w:color="auto"/>
        <w:bottom w:val="none" w:sz="0" w:space="0" w:color="auto"/>
        <w:right w:val="none" w:sz="0" w:space="0" w:color="auto"/>
      </w:divBdr>
    </w:div>
    <w:div w:id="947126312">
      <w:bodyDiv w:val="1"/>
      <w:marLeft w:val="0"/>
      <w:marRight w:val="0"/>
      <w:marTop w:val="0"/>
      <w:marBottom w:val="0"/>
      <w:divBdr>
        <w:top w:val="none" w:sz="0" w:space="0" w:color="auto"/>
        <w:left w:val="none" w:sz="0" w:space="0" w:color="auto"/>
        <w:bottom w:val="none" w:sz="0" w:space="0" w:color="auto"/>
        <w:right w:val="none" w:sz="0" w:space="0" w:color="auto"/>
      </w:divBdr>
    </w:div>
    <w:div w:id="947391760">
      <w:bodyDiv w:val="1"/>
      <w:marLeft w:val="0"/>
      <w:marRight w:val="0"/>
      <w:marTop w:val="0"/>
      <w:marBottom w:val="0"/>
      <w:divBdr>
        <w:top w:val="none" w:sz="0" w:space="0" w:color="auto"/>
        <w:left w:val="none" w:sz="0" w:space="0" w:color="auto"/>
        <w:bottom w:val="none" w:sz="0" w:space="0" w:color="auto"/>
        <w:right w:val="none" w:sz="0" w:space="0" w:color="auto"/>
      </w:divBdr>
    </w:div>
    <w:div w:id="947659791">
      <w:bodyDiv w:val="1"/>
      <w:marLeft w:val="0"/>
      <w:marRight w:val="0"/>
      <w:marTop w:val="0"/>
      <w:marBottom w:val="0"/>
      <w:divBdr>
        <w:top w:val="none" w:sz="0" w:space="0" w:color="auto"/>
        <w:left w:val="none" w:sz="0" w:space="0" w:color="auto"/>
        <w:bottom w:val="none" w:sz="0" w:space="0" w:color="auto"/>
        <w:right w:val="none" w:sz="0" w:space="0" w:color="auto"/>
      </w:divBdr>
    </w:div>
    <w:div w:id="948508718">
      <w:bodyDiv w:val="1"/>
      <w:marLeft w:val="0"/>
      <w:marRight w:val="0"/>
      <w:marTop w:val="0"/>
      <w:marBottom w:val="0"/>
      <w:divBdr>
        <w:top w:val="none" w:sz="0" w:space="0" w:color="auto"/>
        <w:left w:val="none" w:sz="0" w:space="0" w:color="auto"/>
        <w:bottom w:val="none" w:sz="0" w:space="0" w:color="auto"/>
        <w:right w:val="none" w:sz="0" w:space="0" w:color="auto"/>
      </w:divBdr>
    </w:div>
    <w:div w:id="948704969">
      <w:bodyDiv w:val="1"/>
      <w:marLeft w:val="0"/>
      <w:marRight w:val="0"/>
      <w:marTop w:val="0"/>
      <w:marBottom w:val="0"/>
      <w:divBdr>
        <w:top w:val="none" w:sz="0" w:space="0" w:color="auto"/>
        <w:left w:val="none" w:sz="0" w:space="0" w:color="auto"/>
        <w:bottom w:val="none" w:sz="0" w:space="0" w:color="auto"/>
        <w:right w:val="none" w:sz="0" w:space="0" w:color="auto"/>
      </w:divBdr>
    </w:div>
    <w:div w:id="948976074">
      <w:bodyDiv w:val="1"/>
      <w:marLeft w:val="0"/>
      <w:marRight w:val="0"/>
      <w:marTop w:val="0"/>
      <w:marBottom w:val="0"/>
      <w:divBdr>
        <w:top w:val="none" w:sz="0" w:space="0" w:color="auto"/>
        <w:left w:val="none" w:sz="0" w:space="0" w:color="auto"/>
        <w:bottom w:val="none" w:sz="0" w:space="0" w:color="auto"/>
        <w:right w:val="none" w:sz="0" w:space="0" w:color="auto"/>
      </w:divBdr>
    </w:div>
    <w:div w:id="949166692">
      <w:bodyDiv w:val="1"/>
      <w:marLeft w:val="0"/>
      <w:marRight w:val="0"/>
      <w:marTop w:val="0"/>
      <w:marBottom w:val="0"/>
      <w:divBdr>
        <w:top w:val="none" w:sz="0" w:space="0" w:color="auto"/>
        <w:left w:val="none" w:sz="0" w:space="0" w:color="auto"/>
        <w:bottom w:val="none" w:sz="0" w:space="0" w:color="auto"/>
        <w:right w:val="none" w:sz="0" w:space="0" w:color="auto"/>
      </w:divBdr>
    </w:div>
    <w:div w:id="949358991">
      <w:bodyDiv w:val="1"/>
      <w:marLeft w:val="0"/>
      <w:marRight w:val="0"/>
      <w:marTop w:val="0"/>
      <w:marBottom w:val="0"/>
      <w:divBdr>
        <w:top w:val="none" w:sz="0" w:space="0" w:color="auto"/>
        <w:left w:val="none" w:sz="0" w:space="0" w:color="auto"/>
        <w:bottom w:val="none" w:sz="0" w:space="0" w:color="auto"/>
        <w:right w:val="none" w:sz="0" w:space="0" w:color="auto"/>
      </w:divBdr>
    </w:div>
    <w:div w:id="949433205">
      <w:bodyDiv w:val="1"/>
      <w:marLeft w:val="0"/>
      <w:marRight w:val="0"/>
      <w:marTop w:val="0"/>
      <w:marBottom w:val="0"/>
      <w:divBdr>
        <w:top w:val="none" w:sz="0" w:space="0" w:color="auto"/>
        <w:left w:val="none" w:sz="0" w:space="0" w:color="auto"/>
        <w:bottom w:val="none" w:sz="0" w:space="0" w:color="auto"/>
        <w:right w:val="none" w:sz="0" w:space="0" w:color="auto"/>
      </w:divBdr>
    </w:div>
    <w:div w:id="949899935">
      <w:bodyDiv w:val="1"/>
      <w:marLeft w:val="0"/>
      <w:marRight w:val="0"/>
      <w:marTop w:val="0"/>
      <w:marBottom w:val="0"/>
      <w:divBdr>
        <w:top w:val="none" w:sz="0" w:space="0" w:color="auto"/>
        <w:left w:val="none" w:sz="0" w:space="0" w:color="auto"/>
        <w:bottom w:val="none" w:sz="0" w:space="0" w:color="auto"/>
        <w:right w:val="none" w:sz="0" w:space="0" w:color="auto"/>
      </w:divBdr>
    </w:div>
    <w:div w:id="950666618">
      <w:bodyDiv w:val="1"/>
      <w:marLeft w:val="0"/>
      <w:marRight w:val="0"/>
      <w:marTop w:val="0"/>
      <w:marBottom w:val="0"/>
      <w:divBdr>
        <w:top w:val="none" w:sz="0" w:space="0" w:color="auto"/>
        <w:left w:val="none" w:sz="0" w:space="0" w:color="auto"/>
        <w:bottom w:val="none" w:sz="0" w:space="0" w:color="auto"/>
        <w:right w:val="none" w:sz="0" w:space="0" w:color="auto"/>
      </w:divBdr>
    </w:div>
    <w:div w:id="951205147">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1324386">
      <w:bodyDiv w:val="1"/>
      <w:marLeft w:val="0"/>
      <w:marRight w:val="0"/>
      <w:marTop w:val="0"/>
      <w:marBottom w:val="0"/>
      <w:divBdr>
        <w:top w:val="none" w:sz="0" w:space="0" w:color="auto"/>
        <w:left w:val="none" w:sz="0" w:space="0" w:color="auto"/>
        <w:bottom w:val="none" w:sz="0" w:space="0" w:color="auto"/>
        <w:right w:val="none" w:sz="0" w:space="0" w:color="auto"/>
      </w:divBdr>
    </w:div>
    <w:div w:id="951396484">
      <w:bodyDiv w:val="1"/>
      <w:marLeft w:val="0"/>
      <w:marRight w:val="0"/>
      <w:marTop w:val="0"/>
      <w:marBottom w:val="0"/>
      <w:divBdr>
        <w:top w:val="none" w:sz="0" w:space="0" w:color="auto"/>
        <w:left w:val="none" w:sz="0" w:space="0" w:color="auto"/>
        <w:bottom w:val="none" w:sz="0" w:space="0" w:color="auto"/>
        <w:right w:val="none" w:sz="0" w:space="0" w:color="auto"/>
      </w:divBdr>
    </w:div>
    <w:div w:id="951404807">
      <w:bodyDiv w:val="1"/>
      <w:marLeft w:val="0"/>
      <w:marRight w:val="0"/>
      <w:marTop w:val="0"/>
      <w:marBottom w:val="0"/>
      <w:divBdr>
        <w:top w:val="none" w:sz="0" w:space="0" w:color="auto"/>
        <w:left w:val="none" w:sz="0" w:space="0" w:color="auto"/>
        <w:bottom w:val="none" w:sz="0" w:space="0" w:color="auto"/>
        <w:right w:val="none" w:sz="0" w:space="0" w:color="auto"/>
      </w:divBdr>
    </w:div>
    <w:div w:id="952008305">
      <w:bodyDiv w:val="1"/>
      <w:marLeft w:val="0"/>
      <w:marRight w:val="0"/>
      <w:marTop w:val="0"/>
      <w:marBottom w:val="0"/>
      <w:divBdr>
        <w:top w:val="none" w:sz="0" w:space="0" w:color="auto"/>
        <w:left w:val="none" w:sz="0" w:space="0" w:color="auto"/>
        <w:bottom w:val="none" w:sz="0" w:space="0" w:color="auto"/>
        <w:right w:val="none" w:sz="0" w:space="0" w:color="auto"/>
      </w:divBdr>
    </w:div>
    <w:div w:id="952175990">
      <w:bodyDiv w:val="1"/>
      <w:marLeft w:val="0"/>
      <w:marRight w:val="0"/>
      <w:marTop w:val="0"/>
      <w:marBottom w:val="0"/>
      <w:divBdr>
        <w:top w:val="none" w:sz="0" w:space="0" w:color="auto"/>
        <w:left w:val="none" w:sz="0" w:space="0" w:color="auto"/>
        <w:bottom w:val="none" w:sz="0" w:space="0" w:color="auto"/>
        <w:right w:val="none" w:sz="0" w:space="0" w:color="auto"/>
      </w:divBdr>
    </w:div>
    <w:div w:id="952400811">
      <w:bodyDiv w:val="1"/>
      <w:marLeft w:val="0"/>
      <w:marRight w:val="0"/>
      <w:marTop w:val="0"/>
      <w:marBottom w:val="0"/>
      <w:divBdr>
        <w:top w:val="none" w:sz="0" w:space="0" w:color="auto"/>
        <w:left w:val="none" w:sz="0" w:space="0" w:color="auto"/>
        <w:bottom w:val="none" w:sz="0" w:space="0" w:color="auto"/>
        <w:right w:val="none" w:sz="0" w:space="0" w:color="auto"/>
      </w:divBdr>
    </w:div>
    <w:div w:id="952856709">
      <w:bodyDiv w:val="1"/>
      <w:marLeft w:val="0"/>
      <w:marRight w:val="0"/>
      <w:marTop w:val="0"/>
      <w:marBottom w:val="0"/>
      <w:divBdr>
        <w:top w:val="none" w:sz="0" w:space="0" w:color="auto"/>
        <w:left w:val="none" w:sz="0" w:space="0" w:color="auto"/>
        <w:bottom w:val="none" w:sz="0" w:space="0" w:color="auto"/>
        <w:right w:val="none" w:sz="0" w:space="0" w:color="auto"/>
      </w:divBdr>
    </w:div>
    <w:div w:id="953288062">
      <w:bodyDiv w:val="1"/>
      <w:marLeft w:val="0"/>
      <w:marRight w:val="0"/>
      <w:marTop w:val="0"/>
      <w:marBottom w:val="0"/>
      <w:divBdr>
        <w:top w:val="none" w:sz="0" w:space="0" w:color="auto"/>
        <w:left w:val="none" w:sz="0" w:space="0" w:color="auto"/>
        <w:bottom w:val="none" w:sz="0" w:space="0" w:color="auto"/>
        <w:right w:val="none" w:sz="0" w:space="0" w:color="auto"/>
      </w:divBdr>
    </w:div>
    <w:div w:id="953753360">
      <w:bodyDiv w:val="1"/>
      <w:marLeft w:val="0"/>
      <w:marRight w:val="0"/>
      <w:marTop w:val="0"/>
      <w:marBottom w:val="0"/>
      <w:divBdr>
        <w:top w:val="none" w:sz="0" w:space="0" w:color="auto"/>
        <w:left w:val="none" w:sz="0" w:space="0" w:color="auto"/>
        <w:bottom w:val="none" w:sz="0" w:space="0" w:color="auto"/>
        <w:right w:val="none" w:sz="0" w:space="0" w:color="auto"/>
      </w:divBdr>
    </w:div>
    <w:div w:id="953899698">
      <w:bodyDiv w:val="1"/>
      <w:marLeft w:val="0"/>
      <w:marRight w:val="0"/>
      <w:marTop w:val="0"/>
      <w:marBottom w:val="0"/>
      <w:divBdr>
        <w:top w:val="none" w:sz="0" w:space="0" w:color="auto"/>
        <w:left w:val="none" w:sz="0" w:space="0" w:color="auto"/>
        <w:bottom w:val="none" w:sz="0" w:space="0" w:color="auto"/>
        <w:right w:val="none" w:sz="0" w:space="0" w:color="auto"/>
      </w:divBdr>
    </w:div>
    <w:div w:id="953900101">
      <w:bodyDiv w:val="1"/>
      <w:marLeft w:val="0"/>
      <w:marRight w:val="0"/>
      <w:marTop w:val="0"/>
      <w:marBottom w:val="0"/>
      <w:divBdr>
        <w:top w:val="none" w:sz="0" w:space="0" w:color="auto"/>
        <w:left w:val="none" w:sz="0" w:space="0" w:color="auto"/>
        <w:bottom w:val="none" w:sz="0" w:space="0" w:color="auto"/>
        <w:right w:val="none" w:sz="0" w:space="0" w:color="auto"/>
      </w:divBdr>
    </w:div>
    <w:div w:id="954213195">
      <w:bodyDiv w:val="1"/>
      <w:marLeft w:val="0"/>
      <w:marRight w:val="0"/>
      <w:marTop w:val="0"/>
      <w:marBottom w:val="0"/>
      <w:divBdr>
        <w:top w:val="none" w:sz="0" w:space="0" w:color="auto"/>
        <w:left w:val="none" w:sz="0" w:space="0" w:color="auto"/>
        <w:bottom w:val="none" w:sz="0" w:space="0" w:color="auto"/>
        <w:right w:val="none" w:sz="0" w:space="0" w:color="auto"/>
      </w:divBdr>
    </w:div>
    <w:div w:id="954217180">
      <w:bodyDiv w:val="1"/>
      <w:marLeft w:val="0"/>
      <w:marRight w:val="0"/>
      <w:marTop w:val="0"/>
      <w:marBottom w:val="0"/>
      <w:divBdr>
        <w:top w:val="none" w:sz="0" w:space="0" w:color="auto"/>
        <w:left w:val="none" w:sz="0" w:space="0" w:color="auto"/>
        <w:bottom w:val="none" w:sz="0" w:space="0" w:color="auto"/>
        <w:right w:val="none" w:sz="0" w:space="0" w:color="auto"/>
      </w:divBdr>
    </w:div>
    <w:div w:id="954287319">
      <w:bodyDiv w:val="1"/>
      <w:marLeft w:val="0"/>
      <w:marRight w:val="0"/>
      <w:marTop w:val="0"/>
      <w:marBottom w:val="0"/>
      <w:divBdr>
        <w:top w:val="none" w:sz="0" w:space="0" w:color="auto"/>
        <w:left w:val="none" w:sz="0" w:space="0" w:color="auto"/>
        <w:bottom w:val="none" w:sz="0" w:space="0" w:color="auto"/>
        <w:right w:val="none" w:sz="0" w:space="0" w:color="auto"/>
      </w:divBdr>
    </w:div>
    <w:div w:id="954559122">
      <w:bodyDiv w:val="1"/>
      <w:marLeft w:val="0"/>
      <w:marRight w:val="0"/>
      <w:marTop w:val="0"/>
      <w:marBottom w:val="0"/>
      <w:divBdr>
        <w:top w:val="none" w:sz="0" w:space="0" w:color="auto"/>
        <w:left w:val="none" w:sz="0" w:space="0" w:color="auto"/>
        <w:bottom w:val="none" w:sz="0" w:space="0" w:color="auto"/>
        <w:right w:val="none" w:sz="0" w:space="0" w:color="auto"/>
      </w:divBdr>
    </w:div>
    <w:div w:id="955599519">
      <w:bodyDiv w:val="1"/>
      <w:marLeft w:val="0"/>
      <w:marRight w:val="0"/>
      <w:marTop w:val="0"/>
      <w:marBottom w:val="0"/>
      <w:divBdr>
        <w:top w:val="none" w:sz="0" w:space="0" w:color="auto"/>
        <w:left w:val="none" w:sz="0" w:space="0" w:color="auto"/>
        <w:bottom w:val="none" w:sz="0" w:space="0" w:color="auto"/>
        <w:right w:val="none" w:sz="0" w:space="0" w:color="auto"/>
      </w:divBdr>
    </w:div>
    <w:div w:id="955908156">
      <w:bodyDiv w:val="1"/>
      <w:marLeft w:val="0"/>
      <w:marRight w:val="0"/>
      <w:marTop w:val="0"/>
      <w:marBottom w:val="0"/>
      <w:divBdr>
        <w:top w:val="none" w:sz="0" w:space="0" w:color="auto"/>
        <w:left w:val="none" w:sz="0" w:space="0" w:color="auto"/>
        <w:bottom w:val="none" w:sz="0" w:space="0" w:color="auto"/>
        <w:right w:val="none" w:sz="0" w:space="0" w:color="auto"/>
      </w:divBdr>
    </w:div>
    <w:div w:id="956134589">
      <w:bodyDiv w:val="1"/>
      <w:marLeft w:val="0"/>
      <w:marRight w:val="0"/>
      <w:marTop w:val="0"/>
      <w:marBottom w:val="0"/>
      <w:divBdr>
        <w:top w:val="none" w:sz="0" w:space="0" w:color="auto"/>
        <w:left w:val="none" w:sz="0" w:space="0" w:color="auto"/>
        <w:bottom w:val="none" w:sz="0" w:space="0" w:color="auto"/>
        <w:right w:val="none" w:sz="0" w:space="0" w:color="auto"/>
      </w:divBdr>
    </w:div>
    <w:div w:id="956135183">
      <w:bodyDiv w:val="1"/>
      <w:marLeft w:val="0"/>
      <w:marRight w:val="0"/>
      <w:marTop w:val="0"/>
      <w:marBottom w:val="0"/>
      <w:divBdr>
        <w:top w:val="none" w:sz="0" w:space="0" w:color="auto"/>
        <w:left w:val="none" w:sz="0" w:space="0" w:color="auto"/>
        <w:bottom w:val="none" w:sz="0" w:space="0" w:color="auto"/>
        <w:right w:val="none" w:sz="0" w:space="0" w:color="auto"/>
      </w:divBdr>
    </w:div>
    <w:div w:id="956373082">
      <w:bodyDiv w:val="1"/>
      <w:marLeft w:val="0"/>
      <w:marRight w:val="0"/>
      <w:marTop w:val="0"/>
      <w:marBottom w:val="0"/>
      <w:divBdr>
        <w:top w:val="none" w:sz="0" w:space="0" w:color="auto"/>
        <w:left w:val="none" w:sz="0" w:space="0" w:color="auto"/>
        <w:bottom w:val="none" w:sz="0" w:space="0" w:color="auto"/>
        <w:right w:val="none" w:sz="0" w:space="0" w:color="auto"/>
      </w:divBdr>
    </w:div>
    <w:div w:id="956571889">
      <w:bodyDiv w:val="1"/>
      <w:marLeft w:val="0"/>
      <w:marRight w:val="0"/>
      <w:marTop w:val="0"/>
      <w:marBottom w:val="0"/>
      <w:divBdr>
        <w:top w:val="none" w:sz="0" w:space="0" w:color="auto"/>
        <w:left w:val="none" w:sz="0" w:space="0" w:color="auto"/>
        <w:bottom w:val="none" w:sz="0" w:space="0" w:color="auto"/>
        <w:right w:val="none" w:sz="0" w:space="0" w:color="auto"/>
      </w:divBdr>
    </w:div>
    <w:div w:id="956835660">
      <w:bodyDiv w:val="1"/>
      <w:marLeft w:val="0"/>
      <w:marRight w:val="0"/>
      <w:marTop w:val="0"/>
      <w:marBottom w:val="0"/>
      <w:divBdr>
        <w:top w:val="none" w:sz="0" w:space="0" w:color="auto"/>
        <w:left w:val="none" w:sz="0" w:space="0" w:color="auto"/>
        <w:bottom w:val="none" w:sz="0" w:space="0" w:color="auto"/>
        <w:right w:val="none" w:sz="0" w:space="0" w:color="auto"/>
      </w:divBdr>
    </w:div>
    <w:div w:id="957369929">
      <w:bodyDiv w:val="1"/>
      <w:marLeft w:val="0"/>
      <w:marRight w:val="0"/>
      <w:marTop w:val="0"/>
      <w:marBottom w:val="0"/>
      <w:divBdr>
        <w:top w:val="none" w:sz="0" w:space="0" w:color="auto"/>
        <w:left w:val="none" w:sz="0" w:space="0" w:color="auto"/>
        <w:bottom w:val="none" w:sz="0" w:space="0" w:color="auto"/>
        <w:right w:val="none" w:sz="0" w:space="0" w:color="auto"/>
      </w:divBdr>
    </w:div>
    <w:div w:id="957832584">
      <w:bodyDiv w:val="1"/>
      <w:marLeft w:val="0"/>
      <w:marRight w:val="0"/>
      <w:marTop w:val="0"/>
      <w:marBottom w:val="0"/>
      <w:divBdr>
        <w:top w:val="none" w:sz="0" w:space="0" w:color="auto"/>
        <w:left w:val="none" w:sz="0" w:space="0" w:color="auto"/>
        <w:bottom w:val="none" w:sz="0" w:space="0" w:color="auto"/>
        <w:right w:val="none" w:sz="0" w:space="0" w:color="auto"/>
      </w:divBdr>
    </w:div>
    <w:div w:id="958025451">
      <w:bodyDiv w:val="1"/>
      <w:marLeft w:val="0"/>
      <w:marRight w:val="0"/>
      <w:marTop w:val="0"/>
      <w:marBottom w:val="0"/>
      <w:divBdr>
        <w:top w:val="none" w:sz="0" w:space="0" w:color="auto"/>
        <w:left w:val="none" w:sz="0" w:space="0" w:color="auto"/>
        <w:bottom w:val="none" w:sz="0" w:space="0" w:color="auto"/>
        <w:right w:val="none" w:sz="0" w:space="0" w:color="auto"/>
      </w:divBdr>
    </w:div>
    <w:div w:id="958030113">
      <w:bodyDiv w:val="1"/>
      <w:marLeft w:val="0"/>
      <w:marRight w:val="0"/>
      <w:marTop w:val="0"/>
      <w:marBottom w:val="0"/>
      <w:divBdr>
        <w:top w:val="none" w:sz="0" w:space="0" w:color="auto"/>
        <w:left w:val="none" w:sz="0" w:space="0" w:color="auto"/>
        <w:bottom w:val="none" w:sz="0" w:space="0" w:color="auto"/>
        <w:right w:val="none" w:sz="0" w:space="0" w:color="auto"/>
      </w:divBdr>
    </w:div>
    <w:div w:id="958074837">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8412428">
      <w:bodyDiv w:val="1"/>
      <w:marLeft w:val="0"/>
      <w:marRight w:val="0"/>
      <w:marTop w:val="0"/>
      <w:marBottom w:val="0"/>
      <w:divBdr>
        <w:top w:val="none" w:sz="0" w:space="0" w:color="auto"/>
        <w:left w:val="none" w:sz="0" w:space="0" w:color="auto"/>
        <w:bottom w:val="none" w:sz="0" w:space="0" w:color="auto"/>
        <w:right w:val="none" w:sz="0" w:space="0" w:color="auto"/>
      </w:divBdr>
    </w:div>
    <w:div w:id="958491595">
      <w:bodyDiv w:val="1"/>
      <w:marLeft w:val="0"/>
      <w:marRight w:val="0"/>
      <w:marTop w:val="0"/>
      <w:marBottom w:val="0"/>
      <w:divBdr>
        <w:top w:val="none" w:sz="0" w:space="0" w:color="auto"/>
        <w:left w:val="none" w:sz="0" w:space="0" w:color="auto"/>
        <w:bottom w:val="none" w:sz="0" w:space="0" w:color="auto"/>
        <w:right w:val="none" w:sz="0" w:space="0" w:color="auto"/>
      </w:divBdr>
    </w:div>
    <w:div w:id="959260710">
      <w:bodyDiv w:val="1"/>
      <w:marLeft w:val="0"/>
      <w:marRight w:val="0"/>
      <w:marTop w:val="0"/>
      <w:marBottom w:val="0"/>
      <w:divBdr>
        <w:top w:val="none" w:sz="0" w:space="0" w:color="auto"/>
        <w:left w:val="none" w:sz="0" w:space="0" w:color="auto"/>
        <w:bottom w:val="none" w:sz="0" w:space="0" w:color="auto"/>
        <w:right w:val="none" w:sz="0" w:space="0" w:color="auto"/>
      </w:divBdr>
    </w:div>
    <w:div w:id="959335753">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59650373">
      <w:bodyDiv w:val="1"/>
      <w:marLeft w:val="0"/>
      <w:marRight w:val="0"/>
      <w:marTop w:val="0"/>
      <w:marBottom w:val="0"/>
      <w:divBdr>
        <w:top w:val="none" w:sz="0" w:space="0" w:color="auto"/>
        <w:left w:val="none" w:sz="0" w:space="0" w:color="auto"/>
        <w:bottom w:val="none" w:sz="0" w:space="0" w:color="auto"/>
        <w:right w:val="none" w:sz="0" w:space="0" w:color="auto"/>
      </w:divBdr>
    </w:div>
    <w:div w:id="959915402">
      <w:bodyDiv w:val="1"/>
      <w:marLeft w:val="0"/>
      <w:marRight w:val="0"/>
      <w:marTop w:val="0"/>
      <w:marBottom w:val="0"/>
      <w:divBdr>
        <w:top w:val="none" w:sz="0" w:space="0" w:color="auto"/>
        <w:left w:val="none" w:sz="0" w:space="0" w:color="auto"/>
        <w:bottom w:val="none" w:sz="0" w:space="0" w:color="auto"/>
        <w:right w:val="none" w:sz="0" w:space="0" w:color="auto"/>
      </w:divBdr>
    </w:div>
    <w:div w:id="960498534">
      <w:bodyDiv w:val="1"/>
      <w:marLeft w:val="0"/>
      <w:marRight w:val="0"/>
      <w:marTop w:val="0"/>
      <w:marBottom w:val="0"/>
      <w:divBdr>
        <w:top w:val="none" w:sz="0" w:space="0" w:color="auto"/>
        <w:left w:val="none" w:sz="0" w:space="0" w:color="auto"/>
        <w:bottom w:val="none" w:sz="0" w:space="0" w:color="auto"/>
        <w:right w:val="none" w:sz="0" w:space="0" w:color="auto"/>
      </w:divBdr>
    </w:div>
    <w:div w:id="960502623">
      <w:bodyDiv w:val="1"/>
      <w:marLeft w:val="0"/>
      <w:marRight w:val="0"/>
      <w:marTop w:val="0"/>
      <w:marBottom w:val="0"/>
      <w:divBdr>
        <w:top w:val="none" w:sz="0" w:space="0" w:color="auto"/>
        <w:left w:val="none" w:sz="0" w:space="0" w:color="auto"/>
        <w:bottom w:val="none" w:sz="0" w:space="0" w:color="auto"/>
        <w:right w:val="none" w:sz="0" w:space="0" w:color="auto"/>
      </w:divBdr>
    </w:div>
    <w:div w:id="960577640">
      <w:bodyDiv w:val="1"/>
      <w:marLeft w:val="0"/>
      <w:marRight w:val="0"/>
      <w:marTop w:val="0"/>
      <w:marBottom w:val="0"/>
      <w:divBdr>
        <w:top w:val="none" w:sz="0" w:space="0" w:color="auto"/>
        <w:left w:val="none" w:sz="0" w:space="0" w:color="auto"/>
        <w:bottom w:val="none" w:sz="0" w:space="0" w:color="auto"/>
        <w:right w:val="none" w:sz="0" w:space="0" w:color="auto"/>
      </w:divBdr>
    </w:div>
    <w:div w:id="960765492">
      <w:bodyDiv w:val="1"/>
      <w:marLeft w:val="0"/>
      <w:marRight w:val="0"/>
      <w:marTop w:val="0"/>
      <w:marBottom w:val="0"/>
      <w:divBdr>
        <w:top w:val="none" w:sz="0" w:space="0" w:color="auto"/>
        <w:left w:val="none" w:sz="0" w:space="0" w:color="auto"/>
        <w:bottom w:val="none" w:sz="0" w:space="0" w:color="auto"/>
        <w:right w:val="none" w:sz="0" w:space="0" w:color="auto"/>
      </w:divBdr>
    </w:div>
    <w:div w:id="960765872">
      <w:bodyDiv w:val="1"/>
      <w:marLeft w:val="0"/>
      <w:marRight w:val="0"/>
      <w:marTop w:val="0"/>
      <w:marBottom w:val="0"/>
      <w:divBdr>
        <w:top w:val="none" w:sz="0" w:space="0" w:color="auto"/>
        <w:left w:val="none" w:sz="0" w:space="0" w:color="auto"/>
        <w:bottom w:val="none" w:sz="0" w:space="0" w:color="auto"/>
        <w:right w:val="none" w:sz="0" w:space="0" w:color="auto"/>
      </w:divBdr>
    </w:div>
    <w:div w:id="960957965">
      <w:bodyDiv w:val="1"/>
      <w:marLeft w:val="0"/>
      <w:marRight w:val="0"/>
      <w:marTop w:val="0"/>
      <w:marBottom w:val="0"/>
      <w:divBdr>
        <w:top w:val="none" w:sz="0" w:space="0" w:color="auto"/>
        <w:left w:val="none" w:sz="0" w:space="0" w:color="auto"/>
        <w:bottom w:val="none" w:sz="0" w:space="0" w:color="auto"/>
        <w:right w:val="none" w:sz="0" w:space="0" w:color="auto"/>
      </w:divBdr>
    </w:div>
    <w:div w:id="961494725">
      <w:bodyDiv w:val="1"/>
      <w:marLeft w:val="0"/>
      <w:marRight w:val="0"/>
      <w:marTop w:val="0"/>
      <w:marBottom w:val="0"/>
      <w:divBdr>
        <w:top w:val="none" w:sz="0" w:space="0" w:color="auto"/>
        <w:left w:val="none" w:sz="0" w:space="0" w:color="auto"/>
        <w:bottom w:val="none" w:sz="0" w:space="0" w:color="auto"/>
        <w:right w:val="none" w:sz="0" w:space="0" w:color="auto"/>
      </w:divBdr>
    </w:div>
    <w:div w:id="961501539">
      <w:bodyDiv w:val="1"/>
      <w:marLeft w:val="0"/>
      <w:marRight w:val="0"/>
      <w:marTop w:val="0"/>
      <w:marBottom w:val="0"/>
      <w:divBdr>
        <w:top w:val="none" w:sz="0" w:space="0" w:color="auto"/>
        <w:left w:val="none" w:sz="0" w:space="0" w:color="auto"/>
        <w:bottom w:val="none" w:sz="0" w:space="0" w:color="auto"/>
        <w:right w:val="none" w:sz="0" w:space="0" w:color="auto"/>
      </w:divBdr>
    </w:div>
    <w:div w:id="961689941">
      <w:bodyDiv w:val="1"/>
      <w:marLeft w:val="0"/>
      <w:marRight w:val="0"/>
      <w:marTop w:val="0"/>
      <w:marBottom w:val="0"/>
      <w:divBdr>
        <w:top w:val="none" w:sz="0" w:space="0" w:color="auto"/>
        <w:left w:val="none" w:sz="0" w:space="0" w:color="auto"/>
        <w:bottom w:val="none" w:sz="0" w:space="0" w:color="auto"/>
        <w:right w:val="none" w:sz="0" w:space="0" w:color="auto"/>
      </w:divBdr>
    </w:div>
    <w:div w:id="961695693">
      <w:bodyDiv w:val="1"/>
      <w:marLeft w:val="0"/>
      <w:marRight w:val="0"/>
      <w:marTop w:val="0"/>
      <w:marBottom w:val="0"/>
      <w:divBdr>
        <w:top w:val="none" w:sz="0" w:space="0" w:color="auto"/>
        <w:left w:val="none" w:sz="0" w:space="0" w:color="auto"/>
        <w:bottom w:val="none" w:sz="0" w:space="0" w:color="auto"/>
        <w:right w:val="none" w:sz="0" w:space="0" w:color="auto"/>
      </w:divBdr>
    </w:div>
    <w:div w:id="962078101">
      <w:bodyDiv w:val="1"/>
      <w:marLeft w:val="0"/>
      <w:marRight w:val="0"/>
      <w:marTop w:val="0"/>
      <w:marBottom w:val="0"/>
      <w:divBdr>
        <w:top w:val="none" w:sz="0" w:space="0" w:color="auto"/>
        <w:left w:val="none" w:sz="0" w:space="0" w:color="auto"/>
        <w:bottom w:val="none" w:sz="0" w:space="0" w:color="auto"/>
        <w:right w:val="none" w:sz="0" w:space="0" w:color="auto"/>
      </w:divBdr>
    </w:div>
    <w:div w:id="962616067">
      <w:bodyDiv w:val="1"/>
      <w:marLeft w:val="0"/>
      <w:marRight w:val="0"/>
      <w:marTop w:val="0"/>
      <w:marBottom w:val="0"/>
      <w:divBdr>
        <w:top w:val="none" w:sz="0" w:space="0" w:color="auto"/>
        <w:left w:val="none" w:sz="0" w:space="0" w:color="auto"/>
        <w:bottom w:val="none" w:sz="0" w:space="0" w:color="auto"/>
        <w:right w:val="none" w:sz="0" w:space="0" w:color="auto"/>
      </w:divBdr>
    </w:div>
    <w:div w:id="962687989">
      <w:bodyDiv w:val="1"/>
      <w:marLeft w:val="0"/>
      <w:marRight w:val="0"/>
      <w:marTop w:val="0"/>
      <w:marBottom w:val="0"/>
      <w:divBdr>
        <w:top w:val="none" w:sz="0" w:space="0" w:color="auto"/>
        <w:left w:val="none" w:sz="0" w:space="0" w:color="auto"/>
        <w:bottom w:val="none" w:sz="0" w:space="0" w:color="auto"/>
        <w:right w:val="none" w:sz="0" w:space="0" w:color="auto"/>
      </w:divBdr>
    </w:div>
    <w:div w:id="962809192">
      <w:bodyDiv w:val="1"/>
      <w:marLeft w:val="0"/>
      <w:marRight w:val="0"/>
      <w:marTop w:val="0"/>
      <w:marBottom w:val="0"/>
      <w:divBdr>
        <w:top w:val="none" w:sz="0" w:space="0" w:color="auto"/>
        <w:left w:val="none" w:sz="0" w:space="0" w:color="auto"/>
        <w:bottom w:val="none" w:sz="0" w:space="0" w:color="auto"/>
        <w:right w:val="none" w:sz="0" w:space="0" w:color="auto"/>
      </w:divBdr>
    </w:div>
    <w:div w:id="963194479">
      <w:bodyDiv w:val="1"/>
      <w:marLeft w:val="0"/>
      <w:marRight w:val="0"/>
      <w:marTop w:val="0"/>
      <w:marBottom w:val="0"/>
      <w:divBdr>
        <w:top w:val="none" w:sz="0" w:space="0" w:color="auto"/>
        <w:left w:val="none" w:sz="0" w:space="0" w:color="auto"/>
        <w:bottom w:val="none" w:sz="0" w:space="0" w:color="auto"/>
        <w:right w:val="none" w:sz="0" w:space="0" w:color="auto"/>
      </w:divBdr>
    </w:div>
    <w:div w:id="963273108">
      <w:bodyDiv w:val="1"/>
      <w:marLeft w:val="0"/>
      <w:marRight w:val="0"/>
      <w:marTop w:val="0"/>
      <w:marBottom w:val="0"/>
      <w:divBdr>
        <w:top w:val="none" w:sz="0" w:space="0" w:color="auto"/>
        <w:left w:val="none" w:sz="0" w:space="0" w:color="auto"/>
        <w:bottom w:val="none" w:sz="0" w:space="0" w:color="auto"/>
        <w:right w:val="none" w:sz="0" w:space="0" w:color="auto"/>
      </w:divBdr>
    </w:div>
    <w:div w:id="963316933">
      <w:bodyDiv w:val="1"/>
      <w:marLeft w:val="0"/>
      <w:marRight w:val="0"/>
      <w:marTop w:val="0"/>
      <w:marBottom w:val="0"/>
      <w:divBdr>
        <w:top w:val="none" w:sz="0" w:space="0" w:color="auto"/>
        <w:left w:val="none" w:sz="0" w:space="0" w:color="auto"/>
        <w:bottom w:val="none" w:sz="0" w:space="0" w:color="auto"/>
        <w:right w:val="none" w:sz="0" w:space="0" w:color="auto"/>
      </w:divBdr>
    </w:div>
    <w:div w:id="964116714">
      <w:bodyDiv w:val="1"/>
      <w:marLeft w:val="0"/>
      <w:marRight w:val="0"/>
      <w:marTop w:val="0"/>
      <w:marBottom w:val="0"/>
      <w:divBdr>
        <w:top w:val="none" w:sz="0" w:space="0" w:color="auto"/>
        <w:left w:val="none" w:sz="0" w:space="0" w:color="auto"/>
        <w:bottom w:val="none" w:sz="0" w:space="0" w:color="auto"/>
        <w:right w:val="none" w:sz="0" w:space="0" w:color="auto"/>
      </w:divBdr>
    </w:div>
    <w:div w:id="964237446">
      <w:bodyDiv w:val="1"/>
      <w:marLeft w:val="0"/>
      <w:marRight w:val="0"/>
      <w:marTop w:val="0"/>
      <w:marBottom w:val="0"/>
      <w:divBdr>
        <w:top w:val="none" w:sz="0" w:space="0" w:color="auto"/>
        <w:left w:val="none" w:sz="0" w:space="0" w:color="auto"/>
        <w:bottom w:val="none" w:sz="0" w:space="0" w:color="auto"/>
        <w:right w:val="none" w:sz="0" w:space="0" w:color="auto"/>
      </w:divBdr>
    </w:div>
    <w:div w:id="964507794">
      <w:bodyDiv w:val="1"/>
      <w:marLeft w:val="0"/>
      <w:marRight w:val="0"/>
      <w:marTop w:val="0"/>
      <w:marBottom w:val="0"/>
      <w:divBdr>
        <w:top w:val="none" w:sz="0" w:space="0" w:color="auto"/>
        <w:left w:val="none" w:sz="0" w:space="0" w:color="auto"/>
        <w:bottom w:val="none" w:sz="0" w:space="0" w:color="auto"/>
        <w:right w:val="none" w:sz="0" w:space="0" w:color="auto"/>
      </w:divBdr>
    </w:div>
    <w:div w:id="964848154">
      <w:bodyDiv w:val="1"/>
      <w:marLeft w:val="0"/>
      <w:marRight w:val="0"/>
      <w:marTop w:val="0"/>
      <w:marBottom w:val="0"/>
      <w:divBdr>
        <w:top w:val="none" w:sz="0" w:space="0" w:color="auto"/>
        <w:left w:val="none" w:sz="0" w:space="0" w:color="auto"/>
        <w:bottom w:val="none" w:sz="0" w:space="0" w:color="auto"/>
        <w:right w:val="none" w:sz="0" w:space="0" w:color="auto"/>
      </w:divBdr>
    </w:div>
    <w:div w:id="964896450">
      <w:bodyDiv w:val="1"/>
      <w:marLeft w:val="0"/>
      <w:marRight w:val="0"/>
      <w:marTop w:val="0"/>
      <w:marBottom w:val="0"/>
      <w:divBdr>
        <w:top w:val="none" w:sz="0" w:space="0" w:color="auto"/>
        <w:left w:val="none" w:sz="0" w:space="0" w:color="auto"/>
        <w:bottom w:val="none" w:sz="0" w:space="0" w:color="auto"/>
        <w:right w:val="none" w:sz="0" w:space="0" w:color="auto"/>
      </w:divBdr>
    </w:div>
    <w:div w:id="965089750">
      <w:bodyDiv w:val="1"/>
      <w:marLeft w:val="0"/>
      <w:marRight w:val="0"/>
      <w:marTop w:val="0"/>
      <w:marBottom w:val="0"/>
      <w:divBdr>
        <w:top w:val="none" w:sz="0" w:space="0" w:color="auto"/>
        <w:left w:val="none" w:sz="0" w:space="0" w:color="auto"/>
        <w:bottom w:val="none" w:sz="0" w:space="0" w:color="auto"/>
        <w:right w:val="none" w:sz="0" w:space="0" w:color="auto"/>
      </w:divBdr>
    </w:div>
    <w:div w:id="965162714">
      <w:bodyDiv w:val="1"/>
      <w:marLeft w:val="0"/>
      <w:marRight w:val="0"/>
      <w:marTop w:val="0"/>
      <w:marBottom w:val="0"/>
      <w:divBdr>
        <w:top w:val="none" w:sz="0" w:space="0" w:color="auto"/>
        <w:left w:val="none" w:sz="0" w:space="0" w:color="auto"/>
        <w:bottom w:val="none" w:sz="0" w:space="0" w:color="auto"/>
        <w:right w:val="none" w:sz="0" w:space="0" w:color="auto"/>
      </w:divBdr>
    </w:div>
    <w:div w:id="965963449">
      <w:bodyDiv w:val="1"/>
      <w:marLeft w:val="0"/>
      <w:marRight w:val="0"/>
      <w:marTop w:val="0"/>
      <w:marBottom w:val="0"/>
      <w:divBdr>
        <w:top w:val="none" w:sz="0" w:space="0" w:color="auto"/>
        <w:left w:val="none" w:sz="0" w:space="0" w:color="auto"/>
        <w:bottom w:val="none" w:sz="0" w:space="0" w:color="auto"/>
        <w:right w:val="none" w:sz="0" w:space="0" w:color="auto"/>
      </w:divBdr>
    </w:div>
    <w:div w:id="966008237">
      <w:bodyDiv w:val="1"/>
      <w:marLeft w:val="0"/>
      <w:marRight w:val="0"/>
      <w:marTop w:val="0"/>
      <w:marBottom w:val="0"/>
      <w:divBdr>
        <w:top w:val="none" w:sz="0" w:space="0" w:color="auto"/>
        <w:left w:val="none" w:sz="0" w:space="0" w:color="auto"/>
        <w:bottom w:val="none" w:sz="0" w:space="0" w:color="auto"/>
        <w:right w:val="none" w:sz="0" w:space="0" w:color="auto"/>
      </w:divBdr>
    </w:div>
    <w:div w:id="966008354">
      <w:bodyDiv w:val="1"/>
      <w:marLeft w:val="0"/>
      <w:marRight w:val="0"/>
      <w:marTop w:val="0"/>
      <w:marBottom w:val="0"/>
      <w:divBdr>
        <w:top w:val="none" w:sz="0" w:space="0" w:color="auto"/>
        <w:left w:val="none" w:sz="0" w:space="0" w:color="auto"/>
        <w:bottom w:val="none" w:sz="0" w:space="0" w:color="auto"/>
        <w:right w:val="none" w:sz="0" w:space="0" w:color="auto"/>
      </w:divBdr>
    </w:div>
    <w:div w:id="966274261">
      <w:bodyDiv w:val="1"/>
      <w:marLeft w:val="0"/>
      <w:marRight w:val="0"/>
      <w:marTop w:val="0"/>
      <w:marBottom w:val="0"/>
      <w:divBdr>
        <w:top w:val="none" w:sz="0" w:space="0" w:color="auto"/>
        <w:left w:val="none" w:sz="0" w:space="0" w:color="auto"/>
        <w:bottom w:val="none" w:sz="0" w:space="0" w:color="auto"/>
        <w:right w:val="none" w:sz="0" w:space="0" w:color="auto"/>
      </w:divBdr>
    </w:div>
    <w:div w:id="966541868">
      <w:bodyDiv w:val="1"/>
      <w:marLeft w:val="0"/>
      <w:marRight w:val="0"/>
      <w:marTop w:val="0"/>
      <w:marBottom w:val="0"/>
      <w:divBdr>
        <w:top w:val="none" w:sz="0" w:space="0" w:color="auto"/>
        <w:left w:val="none" w:sz="0" w:space="0" w:color="auto"/>
        <w:bottom w:val="none" w:sz="0" w:space="0" w:color="auto"/>
        <w:right w:val="none" w:sz="0" w:space="0" w:color="auto"/>
      </w:divBdr>
    </w:div>
    <w:div w:id="966617761">
      <w:bodyDiv w:val="1"/>
      <w:marLeft w:val="0"/>
      <w:marRight w:val="0"/>
      <w:marTop w:val="0"/>
      <w:marBottom w:val="0"/>
      <w:divBdr>
        <w:top w:val="none" w:sz="0" w:space="0" w:color="auto"/>
        <w:left w:val="none" w:sz="0" w:space="0" w:color="auto"/>
        <w:bottom w:val="none" w:sz="0" w:space="0" w:color="auto"/>
        <w:right w:val="none" w:sz="0" w:space="0" w:color="auto"/>
      </w:divBdr>
    </w:div>
    <w:div w:id="966623150">
      <w:bodyDiv w:val="1"/>
      <w:marLeft w:val="0"/>
      <w:marRight w:val="0"/>
      <w:marTop w:val="0"/>
      <w:marBottom w:val="0"/>
      <w:divBdr>
        <w:top w:val="none" w:sz="0" w:space="0" w:color="auto"/>
        <w:left w:val="none" w:sz="0" w:space="0" w:color="auto"/>
        <w:bottom w:val="none" w:sz="0" w:space="0" w:color="auto"/>
        <w:right w:val="none" w:sz="0" w:space="0" w:color="auto"/>
      </w:divBdr>
    </w:div>
    <w:div w:id="966664319">
      <w:bodyDiv w:val="1"/>
      <w:marLeft w:val="0"/>
      <w:marRight w:val="0"/>
      <w:marTop w:val="0"/>
      <w:marBottom w:val="0"/>
      <w:divBdr>
        <w:top w:val="none" w:sz="0" w:space="0" w:color="auto"/>
        <w:left w:val="none" w:sz="0" w:space="0" w:color="auto"/>
        <w:bottom w:val="none" w:sz="0" w:space="0" w:color="auto"/>
        <w:right w:val="none" w:sz="0" w:space="0" w:color="auto"/>
      </w:divBdr>
    </w:div>
    <w:div w:id="966931143">
      <w:bodyDiv w:val="1"/>
      <w:marLeft w:val="0"/>
      <w:marRight w:val="0"/>
      <w:marTop w:val="0"/>
      <w:marBottom w:val="0"/>
      <w:divBdr>
        <w:top w:val="none" w:sz="0" w:space="0" w:color="auto"/>
        <w:left w:val="none" w:sz="0" w:space="0" w:color="auto"/>
        <w:bottom w:val="none" w:sz="0" w:space="0" w:color="auto"/>
        <w:right w:val="none" w:sz="0" w:space="0" w:color="auto"/>
      </w:divBdr>
    </w:div>
    <w:div w:id="967006059">
      <w:bodyDiv w:val="1"/>
      <w:marLeft w:val="0"/>
      <w:marRight w:val="0"/>
      <w:marTop w:val="0"/>
      <w:marBottom w:val="0"/>
      <w:divBdr>
        <w:top w:val="none" w:sz="0" w:space="0" w:color="auto"/>
        <w:left w:val="none" w:sz="0" w:space="0" w:color="auto"/>
        <w:bottom w:val="none" w:sz="0" w:space="0" w:color="auto"/>
        <w:right w:val="none" w:sz="0" w:space="0" w:color="auto"/>
      </w:divBdr>
    </w:div>
    <w:div w:id="967592353">
      <w:bodyDiv w:val="1"/>
      <w:marLeft w:val="0"/>
      <w:marRight w:val="0"/>
      <w:marTop w:val="0"/>
      <w:marBottom w:val="0"/>
      <w:divBdr>
        <w:top w:val="none" w:sz="0" w:space="0" w:color="auto"/>
        <w:left w:val="none" w:sz="0" w:space="0" w:color="auto"/>
        <w:bottom w:val="none" w:sz="0" w:space="0" w:color="auto"/>
        <w:right w:val="none" w:sz="0" w:space="0" w:color="auto"/>
      </w:divBdr>
    </w:div>
    <w:div w:id="967709579">
      <w:bodyDiv w:val="1"/>
      <w:marLeft w:val="0"/>
      <w:marRight w:val="0"/>
      <w:marTop w:val="0"/>
      <w:marBottom w:val="0"/>
      <w:divBdr>
        <w:top w:val="none" w:sz="0" w:space="0" w:color="auto"/>
        <w:left w:val="none" w:sz="0" w:space="0" w:color="auto"/>
        <w:bottom w:val="none" w:sz="0" w:space="0" w:color="auto"/>
        <w:right w:val="none" w:sz="0" w:space="0" w:color="auto"/>
      </w:divBdr>
    </w:div>
    <w:div w:id="967903818">
      <w:bodyDiv w:val="1"/>
      <w:marLeft w:val="0"/>
      <w:marRight w:val="0"/>
      <w:marTop w:val="0"/>
      <w:marBottom w:val="0"/>
      <w:divBdr>
        <w:top w:val="none" w:sz="0" w:space="0" w:color="auto"/>
        <w:left w:val="none" w:sz="0" w:space="0" w:color="auto"/>
        <w:bottom w:val="none" w:sz="0" w:space="0" w:color="auto"/>
        <w:right w:val="none" w:sz="0" w:space="0" w:color="auto"/>
      </w:divBdr>
    </w:div>
    <w:div w:id="967927999">
      <w:bodyDiv w:val="1"/>
      <w:marLeft w:val="0"/>
      <w:marRight w:val="0"/>
      <w:marTop w:val="0"/>
      <w:marBottom w:val="0"/>
      <w:divBdr>
        <w:top w:val="none" w:sz="0" w:space="0" w:color="auto"/>
        <w:left w:val="none" w:sz="0" w:space="0" w:color="auto"/>
        <w:bottom w:val="none" w:sz="0" w:space="0" w:color="auto"/>
        <w:right w:val="none" w:sz="0" w:space="0" w:color="auto"/>
      </w:divBdr>
    </w:div>
    <w:div w:id="968588784">
      <w:bodyDiv w:val="1"/>
      <w:marLeft w:val="0"/>
      <w:marRight w:val="0"/>
      <w:marTop w:val="0"/>
      <w:marBottom w:val="0"/>
      <w:divBdr>
        <w:top w:val="none" w:sz="0" w:space="0" w:color="auto"/>
        <w:left w:val="none" w:sz="0" w:space="0" w:color="auto"/>
        <w:bottom w:val="none" w:sz="0" w:space="0" w:color="auto"/>
        <w:right w:val="none" w:sz="0" w:space="0" w:color="auto"/>
      </w:divBdr>
    </w:div>
    <w:div w:id="969284539">
      <w:bodyDiv w:val="1"/>
      <w:marLeft w:val="0"/>
      <w:marRight w:val="0"/>
      <w:marTop w:val="0"/>
      <w:marBottom w:val="0"/>
      <w:divBdr>
        <w:top w:val="none" w:sz="0" w:space="0" w:color="auto"/>
        <w:left w:val="none" w:sz="0" w:space="0" w:color="auto"/>
        <w:bottom w:val="none" w:sz="0" w:space="0" w:color="auto"/>
        <w:right w:val="none" w:sz="0" w:space="0" w:color="auto"/>
      </w:divBdr>
    </w:div>
    <w:div w:id="969287385">
      <w:bodyDiv w:val="1"/>
      <w:marLeft w:val="0"/>
      <w:marRight w:val="0"/>
      <w:marTop w:val="0"/>
      <w:marBottom w:val="0"/>
      <w:divBdr>
        <w:top w:val="none" w:sz="0" w:space="0" w:color="auto"/>
        <w:left w:val="none" w:sz="0" w:space="0" w:color="auto"/>
        <w:bottom w:val="none" w:sz="0" w:space="0" w:color="auto"/>
        <w:right w:val="none" w:sz="0" w:space="0" w:color="auto"/>
      </w:divBdr>
    </w:div>
    <w:div w:id="969432759">
      <w:bodyDiv w:val="1"/>
      <w:marLeft w:val="0"/>
      <w:marRight w:val="0"/>
      <w:marTop w:val="0"/>
      <w:marBottom w:val="0"/>
      <w:divBdr>
        <w:top w:val="none" w:sz="0" w:space="0" w:color="auto"/>
        <w:left w:val="none" w:sz="0" w:space="0" w:color="auto"/>
        <w:bottom w:val="none" w:sz="0" w:space="0" w:color="auto"/>
        <w:right w:val="none" w:sz="0" w:space="0" w:color="auto"/>
      </w:divBdr>
    </w:div>
    <w:div w:id="969940584">
      <w:bodyDiv w:val="1"/>
      <w:marLeft w:val="0"/>
      <w:marRight w:val="0"/>
      <w:marTop w:val="0"/>
      <w:marBottom w:val="0"/>
      <w:divBdr>
        <w:top w:val="none" w:sz="0" w:space="0" w:color="auto"/>
        <w:left w:val="none" w:sz="0" w:space="0" w:color="auto"/>
        <w:bottom w:val="none" w:sz="0" w:space="0" w:color="auto"/>
        <w:right w:val="none" w:sz="0" w:space="0" w:color="auto"/>
      </w:divBdr>
    </w:div>
    <w:div w:id="970326172">
      <w:bodyDiv w:val="1"/>
      <w:marLeft w:val="0"/>
      <w:marRight w:val="0"/>
      <w:marTop w:val="0"/>
      <w:marBottom w:val="0"/>
      <w:divBdr>
        <w:top w:val="none" w:sz="0" w:space="0" w:color="auto"/>
        <w:left w:val="none" w:sz="0" w:space="0" w:color="auto"/>
        <w:bottom w:val="none" w:sz="0" w:space="0" w:color="auto"/>
        <w:right w:val="none" w:sz="0" w:space="0" w:color="auto"/>
      </w:divBdr>
    </w:div>
    <w:div w:id="970599222">
      <w:bodyDiv w:val="1"/>
      <w:marLeft w:val="0"/>
      <w:marRight w:val="0"/>
      <w:marTop w:val="0"/>
      <w:marBottom w:val="0"/>
      <w:divBdr>
        <w:top w:val="none" w:sz="0" w:space="0" w:color="auto"/>
        <w:left w:val="none" w:sz="0" w:space="0" w:color="auto"/>
        <w:bottom w:val="none" w:sz="0" w:space="0" w:color="auto"/>
        <w:right w:val="none" w:sz="0" w:space="0" w:color="auto"/>
      </w:divBdr>
    </w:div>
    <w:div w:id="970670357">
      <w:bodyDiv w:val="1"/>
      <w:marLeft w:val="0"/>
      <w:marRight w:val="0"/>
      <w:marTop w:val="0"/>
      <w:marBottom w:val="0"/>
      <w:divBdr>
        <w:top w:val="none" w:sz="0" w:space="0" w:color="auto"/>
        <w:left w:val="none" w:sz="0" w:space="0" w:color="auto"/>
        <w:bottom w:val="none" w:sz="0" w:space="0" w:color="auto"/>
        <w:right w:val="none" w:sz="0" w:space="0" w:color="auto"/>
      </w:divBdr>
    </w:div>
    <w:div w:id="970786029">
      <w:bodyDiv w:val="1"/>
      <w:marLeft w:val="0"/>
      <w:marRight w:val="0"/>
      <w:marTop w:val="0"/>
      <w:marBottom w:val="0"/>
      <w:divBdr>
        <w:top w:val="none" w:sz="0" w:space="0" w:color="auto"/>
        <w:left w:val="none" w:sz="0" w:space="0" w:color="auto"/>
        <w:bottom w:val="none" w:sz="0" w:space="0" w:color="auto"/>
        <w:right w:val="none" w:sz="0" w:space="0" w:color="auto"/>
      </w:divBdr>
    </w:div>
    <w:div w:id="970788463">
      <w:bodyDiv w:val="1"/>
      <w:marLeft w:val="0"/>
      <w:marRight w:val="0"/>
      <w:marTop w:val="0"/>
      <w:marBottom w:val="0"/>
      <w:divBdr>
        <w:top w:val="none" w:sz="0" w:space="0" w:color="auto"/>
        <w:left w:val="none" w:sz="0" w:space="0" w:color="auto"/>
        <w:bottom w:val="none" w:sz="0" w:space="0" w:color="auto"/>
        <w:right w:val="none" w:sz="0" w:space="0" w:color="auto"/>
      </w:divBdr>
    </w:div>
    <w:div w:id="971060355">
      <w:bodyDiv w:val="1"/>
      <w:marLeft w:val="0"/>
      <w:marRight w:val="0"/>
      <w:marTop w:val="0"/>
      <w:marBottom w:val="0"/>
      <w:divBdr>
        <w:top w:val="none" w:sz="0" w:space="0" w:color="auto"/>
        <w:left w:val="none" w:sz="0" w:space="0" w:color="auto"/>
        <w:bottom w:val="none" w:sz="0" w:space="0" w:color="auto"/>
        <w:right w:val="none" w:sz="0" w:space="0" w:color="auto"/>
      </w:divBdr>
    </w:div>
    <w:div w:id="971207251">
      <w:bodyDiv w:val="1"/>
      <w:marLeft w:val="0"/>
      <w:marRight w:val="0"/>
      <w:marTop w:val="0"/>
      <w:marBottom w:val="0"/>
      <w:divBdr>
        <w:top w:val="none" w:sz="0" w:space="0" w:color="auto"/>
        <w:left w:val="none" w:sz="0" w:space="0" w:color="auto"/>
        <w:bottom w:val="none" w:sz="0" w:space="0" w:color="auto"/>
        <w:right w:val="none" w:sz="0" w:space="0" w:color="auto"/>
      </w:divBdr>
    </w:div>
    <w:div w:id="971668060">
      <w:bodyDiv w:val="1"/>
      <w:marLeft w:val="0"/>
      <w:marRight w:val="0"/>
      <w:marTop w:val="0"/>
      <w:marBottom w:val="0"/>
      <w:divBdr>
        <w:top w:val="none" w:sz="0" w:space="0" w:color="auto"/>
        <w:left w:val="none" w:sz="0" w:space="0" w:color="auto"/>
        <w:bottom w:val="none" w:sz="0" w:space="0" w:color="auto"/>
        <w:right w:val="none" w:sz="0" w:space="0" w:color="auto"/>
      </w:divBdr>
    </w:div>
    <w:div w:id="972053761">
      <w:bodyDiv w:val="1"/>
      <w:marLeft w:val="0"/>
      <w:marRight w:val="0"/>
      <w:marTop w:val="0"/>
      <w:marBottom w:val="0"/>
      <w:divBdr>
        <w:top w:val="none" w:sz="0" w:space="0" w:color="auto"/>
        <w:left w:val="none" w:sz="0" w:space="0" w:color="auto"/>
        <w:bottom w:val="none" w:sz="0" w:space="0" w:color="auto"/>
        <w:right w:val="none" w:sz="0" w:space="0" w:color="auto"/>
      </w:divBdr>
    </w:div>
    <w:div w:id="972060693">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72515579">
      <w:bodyDiv w:val="1"/>
      <w:marLeft w:val="0"/>
      <w:marRight w:val="0"/>
      <w:marTop w:val="0"/>
      <w:marBottom w:val="0"/>
      <w:divBdr>
        <w:top w:val="none" w:sz="0" w:space="0" w:color="auto"/>
        <w:left w:val="none" w:sz="0" w:space="0" w:color="auto"/>
        <w:bottom w:val="none" w:sz="0" w:space="0" w:color="auto"/>
        <w:right w:val="none" w:sz="0" w:space="0" w:color="auto"/>
      </w:divBdr>
    </w:div>
    <w:div w:id="972637984">
      <w:bodyDiv w:val="1"/>
      <w:marLeft w:val="0"/>
      <w:marRight w:val="0"/>
      <w:marTop w:val="0"/>
      <w:marBottom w:val="0"/>
      <w:divBdr>
        <w:top w:val="none" w:sz="0" w:space="0" w:color="auto"/>
        <w:left w:val="none" w:sz="0" w:space="0" w:color="auto"/>
        <w:bottom w:val="none" w:sz="0" w:space="0" w:color="auto"/>
        <w:right w:val="none" w:sz="0" w:space="0" w:color="auto"/>
      </w:divBdr>
    </w:div>
    <w:div w:id="972757367">
      <w:bodyDiv w:val="1"/>
      <w:marLeft w:val="0"/>
      <w:marRight w:val="0"/>
      <w:marTop w:val="0"/>
      <w:marBottom w:val="0"/>
      <w:divBdr>
        <w:top w:val="none" w:sz="0" w:space="0" w:color="auto"/>
        <w:left w:val="none" w:sz="0" w:space="0" w:color="auto"/>
        <w:bottom w:val="none" w:sz="0" w:space="0" w:color="auto"/>
        <w:right w:val="none" w:sz="0" w:space="0" w:color="auto"/>
      </w:divBdr>
    </w:div>
    <w:div w:id="972953563">
      <w:bodyDiv w:val="1"/>
      <w:marLeft w:val="0"/>
      <w:marRight w:val="0"/>
      <w:marTop w:val="0"/>
      <w:marBottom w:val="0"/>
      <w:divBdr>
        <w:top w:val="none" w:sz="0" w:space="0" w:color="auto"/>
        <w:left w:val="none" w:sz="0" w:space="0" w:color="auto"/>
        <w:bottom w:val="none" w:sz="0" w:space="0" w:color="auto"/>
        <w:right w:val="none" w:sz="0" w:space="0" w:color="auto"/>
      </w:divBdr>
    </w:div>
    <w:div w:id="973023077">
      <w:bodyDiv w:val="1"/>
      <w:marLeft w:val="0"/>
      <w:marRight w:val="0"/>
      <w:marTop w:val="0"/>
      <w:marBottom w:val="0"/>
      <w:divBdr>
        <w:top w:val="none" w:sz="0" w:space="0" w:color="auto"/>
        <w:left w:val="none" w:sz="0" w:space="0" w:color="auto"/>
        <w:bottom w:val="none" w:sz="0" w:space="0" w:color="auto"/>
        <w:right w:val="none" w:sz="0" w:space="0" w:color="auto"/>
      </w:divBdr>
    </w:div>
    <w:div w:id="973292089">
      <w:bodyDiv w:val="1"/>
      <w:marLeft w:val="0"/>
      <w:marRight w:val="0"/>
      <w:marTop w:val="0"/>
      <w:marBottom w:val="0"/>
      <w:divBdr>
        <w:top w:val="none" w:sz="0" w:space="0" w:color="auto"/>
        <w:left w:val="none" w:sz="0" w:space="0" w:color="auto"/>
        <w:bottom w:val="none" w:sz="0" w:space="0" w:color="auto"/>
        <w:right w:val="none" w:sz="0" w:space="0" w:color="auto"/>
      </w:divBdr>
    </w:div>
    <w:div w:id="973484897">
      <w:bodyDiv w:val="1"/>
      <w:marLeft w:val="0"/>
      <w:marRight w:val="0"/>
      <w:marTop w:val="0"/>
      <w:marBottom w:val="0"/>
      <w:divBdr>
        <w:top w:val="none" w:sz="0" w:space="0" w:color="auto"/>
        <w:left w:val="none" w:sz="0" w:space="0" w:color="auto"/>
        <w:bottom w:val="none" w:sz="0" w:space="0" w:color="auto"/>
        <w:right w:val="none" w:sz="0" w:space="0" w:color="auto"/>
      </w:divBdr>
    </w:div>
    <w:div w:id="973950764">
      <w:bodyDiv w:val="1"/>
      <w:marLeft w:val="0"/>
      <w:marRight w:val="0"/>
      <w:marTop w:val="0"/>
      <w:marBottom w:val="0"/>
      <w:divBdr>
        <w:top w:val="none" w:sz="0" w:space="0" w:color="auto"/>
        <w:left w:val="none" w:sz="0" w:space="0" w:color="auto"/>
        <w:bottom w:val="none" w:sz="0" w:space="0" w:color="auto"/>
        <w:right w:val="none" w:sz="0" w:space="0" w:color="auto"/>
      </w:divBdr>
    </w:div>
    <w:div w:id="973950894">
      <w:bodyDiv w:val="1"/>
      <w:marLeft w:val="0"/>
      <w:marRight w:val="0"/>
      <w:marTop w:val="0"/>
      <w:marBottom w:val="0"/>
      <w:divBdr>
        <w:top w:val="none" w:sz="0" w:space="0" w:color="auto"/>
        <w:left w:val="none" w:sz="0" w:space="0" w:color="auto"/>
        <w:bottom w:val="none" w:sz="0" w:space="0" w:color="auto"/>
        <w:right w:val="none" w:sz="0" w:space="0" w:color="auto"/>
      </w:divBdr>
    </w:div>
    <w:div w:id="974526736">
      <w:bodyDiv w:val="1"/>
      <w:marLeft w:val="0"/>
      <w:marRight w:val="0"/>
      <w:marTop w:val="0"/>
      <w:marBottom w:val="0"/>
      <w:divBdr>
        <w:top w:val="none" w:sz="0" w:space="0" w:color="auto"/>
        <w:left w:val="none" w:sz="0" w:space="0" w:color="auto"/>
        <w:bottom w:val="none" w:sz="0" w:space="0" w:color="auto"/>
        <w:right w:val="none" w:sz="0" w:space="0" w:color="auto"/>
      </w:divBdr>
    </w:div>
    <w:div w:id="974724194">
      <w:bodyDiv w:val="1"/>
      <w:marLeft w:val="0"/>
      <w:marRight w:val="0"/>
      <w:marTop w:val="0"/>
      <w:marBottom w:val="0"/>
      <w:divBdr>
        <w:top w:val="none" w:sz="0" w:space="0" w:color="auto"/>
        <w:left w:val="none" w:sz="0" w:space="0" w:color="auto"/>
        <w:bottom w:val="none" w:sz="0" w:space="0" w:color="auto"/>
        <w:right w:val="none" w:sz="0" w:space="0" w:color="auto"/>
      </w:divBdr>
    </w:div>
    <w:div w:id="974985836">
      <w:bodyDiv w:val="1"/>
      <w:marLeft w:val="0"/>
      <w:marRight w:val="0"/>
      <w:marTop w:val="0"/>
      <w:marBottom w:val="0"/>
      <w:divBdr>
        <w:top w:val="none" w:sz="0" w:space="0" w:color="auto"/>
        <w:left w:val="none" w:sz="0" w:space="0" w:color="auto"/>
        <w:bottom w:val="none" w:sz="0" w:space="0" w:color="auto"/>
        <w:right w:val="none" w:sz="0" w:space="0" w:color="auto"/>
      </w:divBdr>
    </w:div>
    <w:div w:id="975178632">
      <w:bodyDiv w:val="1"/>
      <w:marLeft w:val="0"/>
      <w:marRight w:val="0"/>
      <w:marTop w:val="0"/>
      <w:marBottom w:val="0"/>
      <w:divBdr>
        <w:top w:val="none" w:sz="0" w:space="0" w:color="auto"/>
        <w:left w:val="none" w:sz="0" w:space="0" w:color="auto"/>
        <w:bottom w:val="none" w:sz="0" w:space="0" w:color="auto"/>
        <w:right w:val="none" w:sz="0" w:space="0" w:color="auto"/>
      </w:divBdr>
    </w:div>
    <w:div w:id="975526943">
      <w:bodyDiv w:val="1"/>
      <w:marLeft w:val="0"/>
      <w:marRight w:val="0"/>
      <w:marTop w:val="0"/>
      <w:marBottom w:val="0"/>
      <w:divBdr>
        <w:top w:val="none" w:sz="0" w:space="0" w:color="auto"/>
        <w:left w:val="none" w:sz="0" w:space="0" w:color="auto"/>
        <w:bottom w:val="none" w:sz="0" w:space="0" w:color="auto"/>
        <w:right w:val="none" w:sz="0" w:space="0" w:color="auto"/>
      </w:divBdr>
    </w:div>
    <w:div w:id="975722997">
      <w:bodyDiv w:val="1"/>
      <w:marLeft w:val="0"/>
      <w:marRight w:val="0"/>
      <w:marTop w:val="0"/>
      <w:marBottom w:val="0"/>
      <w:divBdr>
        <w:top w:val="none" w:sz="0" w:space="0" w:color="auto"/>
        <w:left w:val="none" w:sz="0" w:space="0" w:color="auto"/>
        <w:bottom w:val="none" w:sz="0" w:space="0" w:color="auto"/>
        <w:right w:val="none" w:sz="0" w:space="0" w:color="auto"/>
      </w:divBdr>
    </w:div>
    <w:div w:id="976379914">
      <w:bodyDiv w:val="1"/>
      <w:marLeft w:val="0"/>
      <w:marRight w:val="0"/>
      <w:marTop w:val="0"/>
      <w:marBottom w:val="0"/>
      <w:divBdr>
        <w:top w:val="none" w:sz="0" w:space="0" w:color="auto"/>
        <w:left w:val="none" w:sz="0" w:space="0" w:color="auto"/>
        <w:bottom w:val="none" w:sz="0" w:space="0" w:color="auto"/>
        <w:right w:val="none" w:sz="0" w:space="0" w:color="auto"/>
      </w:divBdr>
    </w:div>
    <w:div w:id="976451940">
      <w:bodyDiv w:val="1"/>
      <w:marLeft w:val="0"/>
      <w:marRight w:val="0"/>
      <w:marTop w:val="0"/>
      <w:marBottom w:val="0"/>
      <w:divBdr>
        <w:top w:val="none" w:sz="0" w:space="0" w:color="auto"/>
        <w:left w:val="none" w:sz="0" w:space="0" w:color="auto"/>
        <w:bottom w:val="none" w:sz="0" w:space="0" w:color="auto"/>
        <w:right w:val="none" w:sz="0" w:space="0" w:color="auto"/>
      </w:divBdr>
    </w:div>
    <w:div w:id="976567715">
      <w:bodyDiv w:val="1"/>
      <w:marLeft w:val="0"/>
      <w:marRight w:val="0"/>
      <w:marTop w:val="0"/>
      <w:marBottom w:val="0"/>
      <w:divBdr>
        <w:top w:val="none" w:sz="0" w:space="0" w:color="auto"/>
        <w:left w:val="none" w:sz="0" w:space="0" w:color="auto"/>
        <w:bottom w:val="none" w:sz="0" w:space="0" w:color="auto"/>
        <w:right w:val="none" w:sz="0" w:space="0" w:color="auto"/>
      </w:divBdr>
    </w:div>
    <w:div w:id="977108585">
      <w:bodyDiv w:val="1"/>
      <w:marLeft w:val="0"/>
      <w:marRight w:val="0"/>
      <w:marTop w:val="0"/>
      <w:marBottom w:val="0"/>
      <w:divBdr>
        <w:top w:val="none" w:sz="0" w:space="0" w:color="auto"/>
        <w:left w:val="none" w:sz="0" w:space="0" w:color="auto"/>
        <w:bottom w:val="none" w:sz="0" w:space="0" w:color="auto"/>
        <w:right w:val="none" w:sz="0" w:space="0" w:color="auto"/>
      </w:divBdr>
    </w:div>
    <w:div w:id="977685894">
      <w:bodyDiv w:val="1"/>
      <w:marLeft w:val="0"/>
      <w:marRight w:val="0"/>
      <w:marTop w:val="0"/>
      <w:marBottom w:val="0"/>
      <w:divBdr>
        <w:top w:val="none" w:sz="0" w:space="0" w:color="auto"/>
        <w:left w:val="none" w:sz="0" w:space="0" w:color="auto"/>
        <w:bottom w:val="none" w:sz="0" w:space="0" w:color="auto"/>
        <w:right w:val="none" w:sz="0" w:space="0" w:color="auto"/>
      </w:divBdr>
    </w:div>
    <w:div w:id="977688502">
      <w:bodyDiv w:val="1"/>
      <w:marLeft w:val="0"/>
      <w:marRight w:val="0"/>
      <w:marTop w:val="0"/>
      <w:marBottom w:val="0"/>
      <w:divBdr>
        <w:top w:val="none" w:sz="0" w:space="0" w:color="auto"/>
        <w:left w:val="none" w:sz="0" w:space="0" w:color="auto"/>
        <w:bottom w:val="none" w:sz="0" w:space="0" w:color="auto"/>
        <w:right w:val="none" w:sz="0" w:space="0" w:color="auto"/>
      </w:divBdr>
    </w:div>
    <w:div w:id="977807521">
      <w:bodyDiv w:val="1"/>
      <w:marLeft w:val="0"/>
      <w:marRight w:val="0"/>
      <w:marTop w:val="0"/>
      <w:marBottom w:val="0"/>
      <w:divBdr>
        <w:top w:val="none" w:sz="0" w:space="0" w:color="auto"/>
        <w:left w:val="none" w:sz="0" w:space="0" w:color="auto"/>
        <w:bottom w:val="none" w:sz="0" w:space="0" w:color="auto"/>
        <w:right w:val="none" w:sz="0" w:space="0" w:color="auto"/>
      </w:divBdr>
    </w:div>
    <w:div w:id="978000889">
      <w:bodyDiv w:val="1"/>
      <w:marLeft w:val="0"/>
      <w:marRight w:val="0"/>
      <w:marTop w:val="0"/>
      <w:marBottom w:val="0"/>
      <w:divBdr>
        <w:top w:val="none" w:sz="0" w:space="0" w:color="auto"/>
        <w:left w:val="none" w:sz="0" w:space="0" w:color="auto"/>
        <w:bottom w:val="none" w:sz="0" w:space="0" w:color="auto"/>
        <w:right w:val="none" w:sz="0" w:space="0" w:color="auto"/>
      </w:divBdr>
    </w:div>
    <w:div w:id="978072249">
      <w:bodyDiv w:val="1"/>
      <w:marLeft w:val="0"/>
      <w:marRight w:val="0"/>
      <w:marTop w:val="0"/>
      <w:marBottom w:val="0"/>
      <w:divBdr>
        <w:top w:val="none" w:sz="0" w:space="0" w:color="auto"/>
        <w:left w:val="none" w:sz="0" w:space="0" w:color="auto"/>
        <w:bottom w:val="none" w:sz="0" w:space="0" w:color="auto"/>
        <w:right w:val="none" w:sz="0" w:space="0" w:color="auto"/>
      </w:divBdr>
    </w:div>
    <w:div w:id="978143553">
      <w:bodyDiv w:val="1"/>
      <w:marLeft w:val="0"/>
      <w:marRight w:val="0"/>
      <w:marTop w:val="0"/>
      <w:marBottom w:val="0"/>
      <w:divBdr>
        <w:top w:val="none" w:sz="0" w:space="0" w:color="auto"/>
        <w:left w:val="none" w:sz="0" w:space="0" w:color="auto"/>
        <w:bottom w:val="none" w:sz="0" w:space="0" w:color="auto"/>
        <w:right w:val="none" w:sz="0" w:space="0" w:color="auto"/>
      </w:divBdr>
    </w:div>
    <w:div w:id="978728858">
      <w:bodyDiv w:val="1"/>
      <w:marLeft w:val="0"/>
      <w:marRight w:val="0"/>
      <w:marTop w:val="0"/>
      <w:marBottom w:val="0"/>
      <w:divBdr>
        <w:top w:val="none" w:sz="0" w:space="0" w:color="auto"/>
        <w:left w:val="none" w:sz="0" w:space="0" w:color="auto"/>
        <w:bottom w:val="none" w:sz="0" w:space="0" w:color="auto"/>
        <w:right w:val="none" w:sz="0" w:space="0" w:color="auto"/>
      </w:divBdr>
    </w:div>
    <w:div w:id="979068918">
      <w:bodyDiv w:val="1"/>
      <w:marLeft w:val="0"/>
      <w:marRight w:val="0"/>
      <w:marTop w:val="0"/>
      <w:marBottom w:val="0"/>
      <w:divBdr>
        <w:top w:val="none" w:sz="0" w:space="0" w:color="auto"/>
        <w:left w:val="none" w:sz="0" w:space="0" w:color="auto"/>
        <w:bottom w:val="none" w:sz="0" w:space="0" w:color="auto"/>
        <w:right w:val="none" w:sz="0" w:space="0" w:color="auto"/>
      </w:divBdr>
    </w:div>
    <w:div w:id="979729085">
      <w:bodyDiv w:val="1"/>
      <w:marLeft w:val="0"/>
      <w:marRight w:val="0"/>
      <w:marTop w:val="0"/>
      <w:marBottom w:val="0"/>
      <w:divBdr>
        <w:top w:val="none" w:sz="0" w:space="0" w:color="auto"/>
        <w:left w:val="none" w:sz="0" w:space="0" w:color="auto"/>
        <w:bottom w:val="none" w:sz="0" w:space="0" w:color="auto"/>
        <w:right w:val="none" w:sz="0" w:space="0" w:color="auto"/>
      </w:divBdr>
    </w:div>
    <w:div w:id="979773156">
      <w:bodyDiv w:val="1"/>
      <w:marLeft w:val="0"/>
      <w:marRight w:val="0"/>
      <w:marTop w:val="0"/>
      <w:marBottom w:val="0"/>
      <w:divBdr>
        <w:top w:val="none" w:sz="0" w:space="0" w:color="auto"/>
        <w:left w:val="none" w:sz="0" w:space="0" w:color="auto"/>
        <w:bottom w:val="none" w:sz="0" w:space="0" w:color="auto"/>
        <w:right w:val="none" w:sz="0" w:space="0" w:color="auto"/>
      </w:divBdr>
    </w:div>
    <w:div w:id="979841102">
      <w:bodyDiv w:val="1"/>
      <w:marLeft w:val="0"/>
      <w:marRight w:val="0"/>
      <w:marTop w:val="0"/>
      <w:marBottom w:val="0"/>
      <w:divBdr>
        <w:top w:val="none" w:sz="0" w:space="0" w:color="auto"/>
        <w:left w:val="none" w:sz="0" w:space="0" w:color="auto"/>
        <w:bottom w:val="none" w:sz="0" w:space="0" w:color="auto"/>
        <w:right w:val="none" w:sz="0" w:space="0" w:color="auto"/>
      </w:divBdr>
    </w:div>
    <w:div w:id="979841748">
      <w:bodyDiv w:val="1"/>
      <w:marLeft w:val="0"/>
      <w:marRight w:val="0"/>
      <w:marTop w:val="0"/>
      <w:marBottom w:val="0"/>
      <w:divBdr>
        <w:top w:val="none" w:sz="0" w:space="0" w:color="auto"/>
        <w:left w:val="none" w:sz="0" w:space="0" w:color="auto"/>
        <w:bottom w:val="none" w:sz="0" w:space="0" w:color="auto"/>
        <w:right w:val="none" w:sz="0" w:space="0" w:color="auto"/>
      </w:divBdr>
    </w:div>
    <w:div w:id="980307547">
      <w:bodyDiv w:val="1"/>
      <w:marLeft w:val="0"/>
      <w:marRight w:val="0"/>
      <w:marTop w:val="0"/>
      <w:marBottom w:val="0"/>
      <w:divBdr>
        <w:top w:val="none" w:sz="0" w:space="0" w:color="auto"/>
        <w:left w:val="none" w:sz="0" w:space="0" w:color="auto"/>
        <w:bottom w:val="none" w:sz="0" w:space="0" w:color="auto"/>
        <w:right w:val="none" w:sz="0" w:space="0" w:color="auto"/>
      </w:divBdr>
    </w:div>
    <w:div w:id="980378712">
      <w:bodyDiv w:val="1"/>
      <w:marLeft w:val="0"/>
      <w:marRight w:val="0"/>
      <w:marTop w:val="0"/>
      <w:marBottom w:val="0"/>
      <w:divBdr>
        <w:top w:val="none" w:sz="0" w:space="0" w:color="auto"/>
        <w:left w:val="none" w:sz="0" w:space="0" w:color="auto"/>
        <w:bottom w:val="none" w:sz="0" w:space="0" w:color="auto"/>
        <w:right w:val="none" w:sz="0" w:space="0" w:color="auto"/>
      </w:divBdr>
    </w:div>
    <w:div w:id="980505537">
      <w:bodyDiv w:val="1"/>
      <w:marLeft w:val="0"/>
      <w:marRight w:val="0"/>
      <w:marTop w:val="0"/>
      <w:marBottom w:val="0"/>
      <w:divBdr>
        <w:top w:val="none" w:sz="0" w:space="0" w:color="auto"/>
        <w:left w:val="none" w:sz="0" w:space="0" w:color="auto"/>
        <w:bottom w:val="none" w:sz="0" w:space="0" w:color="auto"/>
        <w:right w:val="none" w:sz="0" w:space="0" w:color="auto"/>
      </w:divBdr>
    </w:div>
    <w:div w:id="980619314">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1427527">
      <w:bodyDiv w:val="1"/>
      <w:marLeft w:val="0"/>
      <w:marRight w:val="0"/>
      <w:marTop w:val="0"/>
      <w:marBottom w:val="0"/>
      <w:divBdr>
        <w:top w:val="none" w:sz="0" w:space="0" w:color="auto"/>
        <w:left w:val="none" w:sz="0" w:space="0" w:color="auto"/>
        <w:bottom w:val="none" w:sz="0" w:space="0" w:color="auto"/>
        <w:right w:val="none" w:sz="0" w:space="0" w:color="auto"/>
      </w:divBdr>
    </w:div>
    <w:div w:id="981809964">
      <w:bodyDiv w:val="1"/>
      <w:marLeft w:val="0"/>
      <w:marRight w:val="0"/>
      <w:marTop w:val="0"/>
      <w:marBottom w:val="0"/>
      <w:divBdr>
        <w:top w:val="none" w:sz="0" w:space="0" w:color="auto"/>
        <w:left w:val="none" w:sz="0" w:space="0" w:color="auto"/>
        <w:bottom w:val="none" w:sz="0" w:space="0" w:color="auto"/>
        <w:right w:val="none" w:sz="0" w:space="0" w:color="auto"/>
      </w:divBdr>
    </w:div>
    <w:div w:id="981928511">
      <w:bodyDiv w:val="1"/>
      <w:marLeft w:val="0"/>
      <w:marRight w:val="0"/>
      <w:marTop w:val="0"/>
      <w:marBottom w:val="0"/>
      <w:divBdr>
        <w:top w:val="none" w:sz="0" w:space="0" w:color="auto"/>
        <w:left w:val="none" w:sz="0" w:space="0" w:color="auto"/>
        <w:bottom w:val="none" w:sz="0" w:space="0" w:color="auto"/>
        <w:right w:val="none" w:sz="0" w:space="0" w:color="auto"/>
      </w:divBdr>
    </w:div>
    <w:div w:id="98200889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82351734">
      <w:bodyDiv w:val="1"/>
      <w:marLeft w:val="0"/>
      <w:marRight w:val="0"/>
      <w:marTop w:val="0"/>
      <w:marBottom w:val="0"/>
      <w:divBdr>
        <w:top w:val="none" w:sz="0" w:space="0" w:color="auto"/>
        <w:left w:val="none" w:sz="0" w:space="0" w:color="auto"/>
        <w:bottom w:val="none" w:sz="0" w:space="0" w:color="auto"/>
        <w:right w:val="none" w:sz="0" w:space="0" w:color="auto"/>
      </w:divBdr>
    </w:div>
    <w:div w:id="982808107">
      <w:bodyDiv w:val="1"/>
      <w:marLeft w:val="0"/>
      <w:marRight w:val="0"/>
      <w:marTop w:val="0"/>
      <w:marBottom w:val="0"/>
      <w:divBdr>
        <w:top w:val="none" w:sz="0" w:space="0" w:color="auto"/>
        <w:left w:val="none" w:sz="0" w:space="0" w:color="auto"/>
        <w:bottom w:val="none" w:sz="0" w:space="0" w:color="auto"/>
        <w:right w:val="none" w:sz="0" w:space="0" w:color="auto"/>
      </w:divBdr>
    </w:div>
    <w:div w:id="983046277">
      <w:bodyDiv w:val="1"/>
      <w:marLeft w:val="0"/>
      <w:marRight w:val="0"/>
      <w:marTop w:val="0"/>
      <w:marBottom w:val="0"/>
      <w:divBdr>
        <w:top w:val="none" w:sz="0" w:space="0" w:color="auto"/>
        <w:left w:val="none" w:sz="0" w:space="0" w:color="auto"/>
        <w:bottom w:val="none" w:sz="0" w:space="0" w:color="auto"/>
        <w:right w:val="none" w:sz="0" w:space="0" w:color="auto"/>
      </w:divBdr>
    </w:div>
    <w:div w:id="983194433">
      <w:bodyDiv w:val="1"/>
      <w:marLeft w:val="0"/>
      <w:marRight w:val="0"/>
      <w:marTop w:val="0"/>
      <w:marBottom w:val="0"/>
      <w:divBdr>
        <w:top w:val="none" w:sz="0" w:space="0" w:color="auto"/>
        <w:left w:val="none" w:sz="0" w:space="0" w:color="auto"/>
        <w:bottom w:val="none" w:sz="0" w:space="0" w:color="auto"/>
        <w:right w:val="none" w:sz="0" w:space="0" w:color="auto"/>
      </w:divBdr>
    </w:div>
    <w:div w:id="983319956">
      <w:bodyDiv w:val="1"/>
      <w:marLeft w:val="0"/>
      <w:marRight w:val="0"/>
      <w:marTop w:val="0"/>
      <w:marBottom w:val="0"/>
      <w:divBdr>
        <w:top w:val="none" w:sz="0" w:space="0" w:color="auto"/>
        <w:left w:val="none" w:sz="0" w:space="0" w:color="auto"/>
        <w:bottom w:val="none" w:sz="0" w:space="0" w:color="auto"/>
        <w:right w:val="none" w:sz="0" w:space="0" w:color="auto"/>
      </w:divBdr>
    </w:div>
    <w:div w:id="983463241">
      <w:bodyDiv w:val="1"/>
      <w:marLeft w:val="0"/>
      <w:marRight w:val="0"/>
      <w:marTop w:val="0"/>
      <w:marBottom w:val="0"/>
      <w:divBdr>
        <w:top w:val="none" w:sz="0" w:space="0" w:color="auto"/>
        <w:left w:val="none" w:sz="0" w:space="0" w:color="auto"/>
        <w:bottom w:val="none" w:sz="0" w:space="0" w:color="auto"/>
        <w:right w:val="none" w:sz="0" w:space="0" w:color="auto"/>
      </w:divBdr>
    </w:div>
    <w:div w:id="983660592">
      <w:bodyDiv w:val="1"/>
      <w:marLeft w:val="0"/>
      <w:marRight w:val="0"/>
      <w:marTop w:val="0"/>
      <w:marBottom w:val="0"/>
      <w:divBdr>
        <w:top w:val="none" w:sz="0" w:space="0" w:color="auto"/>
        <w:left w:val="none" w:sz="0" w:space="0" w:color="auto"/>
        <w:bottom w:val="none" w:sz="0" w:space="0" w:color="auto"/>
        <w:right w:val="none" w:sz="0" w:space="0" w:color="auto"/>
      </w:divBdr>
    </w:div>
    <w:div w:id="983779884">
      <w:bodyDiv w:val="1"/>
      <w:marLeft w:val="0"/>
      <w:marRight w:val="0"/>
      <w:marTop w:val="0"/>
      <w:marBottom w:val="0"/>
      <w:divBdr>
        <w:top w:val="none" w:sz="0" w:space="0" w:color="auto"/>
        <w:left w:val="none" w:sz="0" w:space="0" w:color="auto"/>
        <w:bottom w:val="none" w:sz="0" w:space="0" w:color="auto"/>
        <w:right w:val="none" w:sz="0" w:space="0" w:color="auto"/>
      </w:divBdr>
    </w:div>
    <w:div w:id="984164108">
      <w:bodyDiv w:val="1"/>
      <w:marLeft w:val="0"/>
      <w:marRight w:val="0"/>
      <w:marTop w:val="0"/>
      <w:marBottom w:val="0"/>
      <w:divBdr>
        <w:top w:val="none" w:sz="0" w:space="0" w:color="auto"/>
        <w:left w:val="none" w:sz="0" w:space="0" w:color="auto"/>
        <w:bottom w:val="none" w:sz="0" w:space="0" w:color="auto"/>
        <w:right w:val="none" w:sz="0" w:space="0" w:color="auto"/>
      </w:divBdr>
    </w:div>
    <w:div w:id="984821917">
      <w:bodyDiv w:val="1"/>
      <w:marLeft w:val="0"/>
      <w:marRight w:val="0"/>
      <w:marTop w:val="0"/>
      <w:marBottom w:val="0"/>
      <w:divBdr>
        <w:top w:val="none" w:sz="0" w:space="0" w:color="auto"/>
        <w:left w:val="none" w:sz="0" w:space="0" w:color="auto"/>
        <w:bottom w:val="none" w:sz="0" w:space="0" w:color="auto"/>
        <w:right w:val="none" w:sz="0" w:space="0" w:color="auto"/>
      </w:divBdr>
    </w:div>
    <w:div w:id="986006675">
      <w:bodyDiv w:val="1"/>
      <w:marLeft w:val="0"/>
      <w:marRight w:val="0"/>
      <w:marTop w:val="0"/>
      <w:marBottom w:val="0"/>
      <w:divBdr>
        <w:top w:val="none" w:sz="0" w:space="0" w:color="auto"/>
        <w:left w:val="none" w:sz="0" w:space="0" w:color="auto"/>
        <w:bottom w:val="none" w:sz="0" w:space="0" w:color="auto"/>
        <w:right w:val="none" w:sz="0" w:space="0" w:color="auto"/>
      </w:divBdr>
    </w:div>
    <w:div w:id="986202975">
      <w:bodyDiv w:val="1"/>
      <w:marLeft w:val="0"/>
      <w:marRight w:val="0"/>
      <w:marTop w:val="0"/>
      <w:marBottom w:val="0"/>
      <w:divBdr>
        <w:top w:val="none" w:sz="0" w:space="0" w:color="auto"/>
        <w:left w:val="none" w:sz="0" w:space="0" w:color="auto"/>
        <w:bottom w:val="none" w:sz="0" w:space="0" w:color="auto"/>
        <w:right w:val="none" w:sz="0" w:space="0" w:color="auto"/>
      </w:divBdr>
    </w:div>
    <w:div w:id="986519049">
      <w:bodyDiv w:val="1"/>
      <w:marLeft w:val="0"/>
      <w:marRight w:val="0"/>
      <w:marTop w:val="0"/>
      <w:marBottom w:val="0"/>
      <w:divBdr>
        <w:top w:val="none" w:sz="0" w:space="0" w:color="auto"/>
        <w:left w:val="none" w:sz="0" w:space="0" w:color="auto"/>
        <w:bottom w:val="none" w:sz="0" w:space="0" w:color="auto"/>
        <w:right w:val="none" w:sz="0" w:space="0" w:color="auto"/>
      </w:divBdr>
    </w:div>
    <w:div w:id="986546076">
      <w:bodyDiv w:val="1"/>
      <w:marLeft w:val="0"/>
      <w:marRight w:val="0"/>
      <w:marTop w:val="0"/>
      <w:marBottom w:val="0"/>
      <w:divBdr>
        <w:top w:val="none" w:sz="0" w:space="0" w:color="auto"/>
        <w:left w:val="none" w:sz="0" w:space="0" w:color="auto"/>
        <w:bottom w:val="none" w:sz="0" w:space="0" w:color="auto"/>
        <w:right w:val="none" w:sz="0" w:space="0" w:color="auto"/>
      </w:divBdr>
    </w:div>
    <w:div w:id="986789512">
      <w:bodyDiv w:val="1"/>
      <w:marLeft w:val="0"/>
      <w:marRight w:val="0"/>
      <w:marTop w:val="0"/>
      <w:marBottom w:val="0"/>
      <w:divBdr>
        <w:top w:val="none" w:sz="0" w:space="0" w:color="auto"/>
        <w:left w:val="none" w:sz="0" w:space="0" w:color="auto"/>
        <w:bottom w:val="none" w:sz="0" w:space="0" w:color="auto"/>
        <w:right w:val="none" w:sz="0" w:space="0" w:color="auto"/>
      </w:divBdr>
    </w:div>
    <w:div w:id="986975436">
      <w:bodyDiv w:val="1"/>
      <w:marLeft w:val="0"/>
      <w:marRight w:val="0"/>
      <w:marTop w:val="0"/>
      <w:marBottom w:val="0"/>
      <w:divBdr>
        <w:top w:val="none" w:sz="0" w:space="0" w:color="auto"/>
        <w:left w:val="none" w:sz="0" w:space="0" w:color="auto"/>
        <w:bottom w:val="none" w:sz="0" w:space="0" w:color="auto"/>
        <w:right w:val="none" w:sz="0" w:space="0" w:color="auto"/>
      </w:divBdr>
    </w:div>
    <w:div w:id="987199363">
      <w:bodyDiv w:val="1"/>
      <w:marLeft w:val="0"/>
      <w:marRight w:val="0"/>
      <w:marTop w:val="0"/>
      <w:marBottom w:val="0"/>
      <w:divBdr>
        <w:top w:val="none" w:sz="0" w:space="0" w:color="auto"/>
        <w:left w:val="none" w:sz="0" w:space="0" w:color="auto"/>
        <w:bottom w:val="none" w:sz="0" w:space="0" w:color="auto"/>
        <w:right w:val="none" w:sz="0" w:space="0" w:color="auto"/>
      </w:divBdr>
    </w:div>
    <w:div w:id="987250891">
      <w:bodyDiv w:val="1"/>
      <w:marLeft w:val="0"/>
      <w:marRight w:val="0"/>
      <w:marTop w:val="0"/>
      <w:marBottom w:val="0"/>
      <w:divBdr>
        <w:top w:val="none" w:sz="0" w:space="0" w:color="auto"/>
        <w:left w:val="none" w:sz="0" w:space="0" w:color="auto"/>
        <w:bottom w:val="none" w:sz="0" w:space="0" w:color="auto"/>
        <w:right w:val="none" w:sz="0" w:space="0" w:color="auto"/>
      </w:divBdr>
    </w:div>
    <w:div w:id="987630858">
      <w:bodyDiv w:val="1"/>
      <w:marLeft w:val="0"/>
      <w:marRight w:val="0"/>
      <w:marTop w:val="0"/>
      <w:marBottom w:val="0"/>
      <w:divBdr>
        <w:top w:val="none" w:sz="0" w:space="0" w:color="auto"/>
        <w:left w:val="none" w:sz="0" w:space="0" w:color="auto"/>
        <w:bottom w:val="none" w:sz="0" w:space="0" w:color="auto"/>
        <w:right w:val="none" w:sz="0" w:space="0" w:color="auto"/>
      </w:divBdr>
    </w:div>
    <w:div w:id="987902576">
      <w:bodyDiv w:val="1"/>
      <w:marLeft w:val="0"/>
      <w:marRight w:val="0"/>
      <w:marTop w:val="0"/>
      <w:marBottom w:val="0"/>
      <w:divBdr>
        <w:top w:val="none" w:sz="0" w:space="0" w:color="auto"/>
        <w:left w:val="none" w:sz="0" w:space="0" w:color="auto"/>
        <w:bottom w:val="none" w:sz="0" w:space="0" w:color="auto"/>
        <w:right w:val="none" w:sz="0" w:space="0" w:color="auto"/>
      </w:divBdr>
    </w:div>
    <w:div w:id="987974850">
      <w:bodyDiv w:val="1"/>
      <w:marLeft w:val="0"/>
      <w:marRight w:val="0"/>
      <w:marTop w:val="0"/>
      <w:marBottom w:val="0"/>
      <w:divBdr>
        <w:top w:val="none" w:sz="0" w:space="0" w:color="auto"/>
        <w:left w:val="none" w:sz="0" w:space="0" w:color="auto"/>
        <w:bottom w:val="none" w:sz="0" w:space="0" w:color="auto"/>
        <w:right w:val="none" w:sz="0" w:space="0" w:color="auto"/>
      </w:divBdr>
    </w:div>
    <w:div w:id="988053256">
      <w:bodyDiv w:val="1"/>
      <w:marLeft w:val="0"/>
      <w:marRight w:val="0"/>
      <w:marTop w:val="0"/>
      <w:marBottom w:val="0"/>
      <w:divBdr>
        <w:top w:val="none" w:sz="0" w:space="0" w:color="auto"/>
        <w:left w:val="none" w:sz="0" w:space="0" w:color="auto"/>
        <w:bottom w:val="none" w:sz="0" w:space="0" w:color="auto"/>
        <w:right w:val="none" w:sz="0" w:space="0" w:color="auto"/>
      </w:divBdr>
    </w:div>
    <w:div w:id="988829591">
      <w:bodyDiv w:val="1"/>
      <w:marLeft w:val="0"/>
      <w:marRight w:val="0"/>
      <w:marTop w:val="0"/>
      <w:marBottom w:val="0"/>
      <w:divBdr>
        <w:top w:val="none" w:sz="0" w:space="0" w:color="auto"/>
        <w:left w:val="none" w:sz="0" w:space="0" w:color="auto"/>
        <w:bottom w:val="none" w:sz="0" w:space="0" w:color="auto"/>
        <w:right w:val="none" w:sz="0" w:space="0" w:color="auto"/>
      </w:divBdr>
    </w:div>
    <w:div w:id="989018045">
      <w:bodyDiv w:val="1"/>
      <w:marLeft w:val="0"/>
      <w:marRight w:val="0"/>
      <w:marTop w:val="0"/>
      <w:marBottom w:val="0"/>
      <w:divBdr>
        <w:top w:val="none" w:sz="0" w:space="0" w:color="auto"/>
        <w:left w:val="none" w:sz="0" w:space="0" w:color="auto"/>
        <w:bottom w:val="none" w:sz="0" w:space="0" w:color="auto"/>
        <w:right w:val="none" w:sz="0" w:space="0" w:color="auto"/>
      </w:divBdr>
    </w:div>
    <w:div w:id="989091690">
      <w:bodyDiv w:val="1"/>
      <w:marLeft w:val="0"/>
      <w:marRight w:val="0"/>
      <w:marTop w:val="0"/>
      <w:marBottom w:val="0"/>
      <w:divBdr>
        <w:top w:val="none" w:sz="0" w:space="0" w:color="auto"/>
        <w:left w:val="none" w:sz="0" w:space="0" w:color="auto"/>
        <w:bottom w:val="none" w:sz="0" w:space="0" w:color="auto"/>
        <w:right w:val="none" w:sz="0" w:space="0" w:color="auto"/>
      </w:divBdr>
    </w:div>
    <w:div w:id="989092334">
      <w:bodyDiv w:val="1"/>
      <w:marLeft w:val="0"/>
      <w:marRight w:val="0"/>
      <w:marTop w:val="0"/>
      <w:marBottom w:val="0"/>
      <w:divBdr>
        <w:top w:val="none" w:sz="0" w:space="0" w:color="auto"/>
        <w:left w:val="none" w:sz="0" w:space="0" w:color="auto"/>
        <w:bottom w:val="none" w:sz="0" w:space="0" w:color="auto"/>
        <w:right w:val="none" w:sz="0" w:space="0" w:color="auto"/>
      </w:divBdr>
    </w:div>
    <w:div w:id="989403428">
      <w:bodyDiv w:val="1"/>
      <w:marLeft w:val="0"/>
      <w:marRight w:val="0"/>
      <w:marTop w:val="0"/>
      <w:marBottom w:val="0"/>
      <w:divBdr>
        <w:top w:val="none" w:sz="0" w:space="0" w:color="auto"/>
        <w:left w:val="none" w:sz="0" w:space="0" w:color="auto"/>
        <w:bottom w:val="none" w:sz="0" w:space="0" w:color="auto"/>
        <w:right w:val="none" w:sz="0" w:space="0" w:color="auto"/>
      </w:divBdr>
    </w:div>
    <w:div w:id="989677213">
      <w:bodyDiv w:val="1"/>
      <w:marLeft w:val="0"/>
      <w:marRight w:val="0"/>
      <w:marTop w:val="0"/>
      <w:marBottom w:val="0"/>
      <w:divBdr>
        <w:top w:val="none" w:sz="0" w:space="0" w:color="auto"/>
        <w:left w:val="none" w:sz="0" w:space="0" w:color="auto"/>
        <w:bottom w:val="none" w:sz="0" w:space="0" w:color="auto"/>
        <w:right w:val="none" w:sz="0" w:space="0" w:color="auto"/>
      </w:divBdr>
    </w:div>
    <w:div w:id="989747968">
      <w:bodyDiv w:val="1"/>
      <w:marLeft w:val="0"/>
      <w:marRight w:val="0"/>
      <w:marTop w:val="0"/>
      <w:marBottom w:val="0"/>
      <w:divBdr>
        <w:top w:val="none" w:sz="0" w:space="0" w:color="auto"/>
        <w:left w:val="none" w:sz="0" w:space="0" w:color="auto"/>
        <w:bottom w:val="none" w:sz="0" w:space="0" w:color="auto"/>
        <w:right w:val="none" w:sz="0" w:space="0" w:color="auto"/>
      </w:divBdr>
    </w:div>
    <w:div w:id="989791637">
      <w:bodyDiv w:val="1"/>
      <w:marLeft w:val="0"/>
      <w:marRight w:val="0"/>
      <w:marTop w:val="0"/>
      <w:marBottom w:val="0"/>
      <w:divBdr>
        <w:top w:val="none" w:sz="0" w:space="0" w:color="auto"/>
        <w:left w:val="none" w:sz="0" w:space="0" w:color="auto"/>
        <w:bottom w:val="none" w:sz="0" w:space="0" w:color="auto"/>
        <w:right w:val="none" w:sz="0" w:space="0" w:color="auto"/>
      </w:divBdr>
    </w:div>
    <w:div w:id="989864371">
      <w:bodyDiv w:val="1"/>
      <w:marLeft w:val="0"/>
      <w:marRight w:val="0"/>
      <w:marTop w:val="0"/>
      <w:marBottom w:val="0"/>
      <w:divBdr>
        <w:top w:val="none" w:sz="0" w:space="0" w:color="auto"/>
        <w:left w:val="none" w:sz="0" w:space="0" w:color="auto"/>
        <w:bottom w:val="none" w:sz="0" w:space="0" w:color="auto"/>
        <w:right w:val="none" w:sz="0" w:space="0" w:color="auto"/>
      </w:divBdr>
    </w:div>
    <w:div w:id="990135750">
      <w:bodyDiv w:val="1"/>
      <w:marLeft w:val="0"/>
      <w:marRight w:val="0"/>
      <w:marTop w:val="0"/>
      <w:marBottom w:val="0"/>
      <w:divBdr>
        <w:top w:val="none" w:sz="0" w:space="0" w:color="auto"/>
        <w:left w:val="none" w:sz="0" w:space="0" w:color="auto"/>
        <w:bottom w:val="none" w:sz="0" w:space="0" w:color="auto"/>
        <w:right w:val="none" w:sz="0" w:space="0" w:color="auto"/>
      </w:divBdr>
    </w:div>
    <w:div w:id="990251962">
      <w:bodyDiv w:val="1"/>
      <w:marLeft w:val="0"/>
      <w:marRight w:val="0"/>
      <w:marTop w:val="0"/>
      <w:marBottom w:val="0"/>
      <w:divBdr>
        <w:top w:val="none" w:sz="0" w:space="0" w:color="auto"/>
        <w:left w:val="none" w:sz="0" w:space="0" w:color="auto"/>
        <w:bottom w:val="none" w:sz="0" w:space="0" w:color="auto"/>
        <w:right w:val="none" w:sz="0" w:space="0" w:color="auto"/>
      </w:divBdr>
    </w:div>
    <w:div w:id="991181950">
      <w:bodyDiv w:val="1"/>
      <w:marLeft w:val="0"/>
      <w:marRight w:val="0"/>
      <w:marTop w:val="0"/>
      <w:marBottom w:val="0"/>
      <w:divBdr>
        <w:top w:val="none" w:sz="0" w:space="0" w:color="auto"/>
        <w:left w:val="none" w:sz="0" w:space="0" w:color="auto"/>
        <w:bottom w:val="none" w:sz="0" w:space="0" w:color="auto"/>
        <w:right w:val="none" w:sz="0" w:space="0" w:color="auto"/>
      </w:divBdr>
    </w:div>
    <w:div w:id="991252376">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2493218">
      <w:bodyDiv w:val="1"/>
      <w:marLeft w:val="0"/>
      <w:marRight w:val="0"/>
      <w:marTop w:val="0"/>
      <w:marBottom w:val="0"/>
      <w:divBdr>
        <w:top w:val="none" w:sz="0" w:space="0" w:color="auto"/>
        <w:left w:val="none" w:sz="0" w:space="0" w:color="auto"/>
        <w:bottom w:val="none" w:sz="0" w:space="0" w:color="auto"/>
        <w:right w:val="none" w:sz="0" w:space="0" w:color="auto"/>
      </w:divBdr>
    </w:div>
    <w:div w:id="992760453">
      <w:bodyDiv w:val="1"/>
      <w:marLeft w:val="0"/>
      <w:marRight w:val="0"/>
      <w:marTop w:val="0"/>
      <w:marBottom w:val="0"/>
      <w:divBdr>
        <w:top w:val="none" w:sz="0" w:space="0" w:color="auto"/>
        <w:left w:val="none" w:sz="0" w:space="0" w:color="auto"/>
        <w:bottom w:val="none" w:sz="0" w:space="0" w:color="auto"/>
        <w:right w:val="none" w:sz="0" w:space="0" w:color="auto"/>
      </w:divBdr>
    </w:div>
    <w:div w:id="992830610">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993530416">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993684670">
      <w:bodyDiv w:val="1"/>
      <w:marLeft w:val="0"/>
      <w:marRight w:val="0"/>
      <w:marTop w:val="0"/>
      <w:marBottom w:val="0"/>
      <w:divBdr>
        <w:top w:val="none" w:sz="0" w:space="0" w:color="auto"/>
        <w:left w:val="none" w:sz="0" w:space="0" w:color="auto"/>
        <w:bottom w:val="none" w:sz="0" w:space="0" w:color="auto"/>
        <w:right w:val="none" w:sz="0" w:space="0" w:color="auto"/>
      </w:divBdr>
    </w:div>
    <w:div w:id="994339785">
      <w:bodyDiv w:val="1"/>
      <w:marLeft w:val="0"/>
      <w:marRight w:val="0"/>
      <w:marTop w:val="0"/>
      <w:marBottom w:val="0"/>
      <w:divBdr>
        <w:top w:val="none" w:sz="0" w:space="0" w:color="auto"/>
        <w:left w:val="none" w:sz="0" w:space="0" w:color="auto"/>
        <w:bottom w:val="none" w:sz="0" w:space="0" w:color="auto"/>
        <w:right w:val="none" w:sz="0" w:space="0" w:color="auto"/>
      </w:divBdr>
    </w:div>
    <w:div w:id="994526261">
      <w:bodyDiv w:val="1"/>
      <w:marLeft w:val="0"/>
      <w:marRight w:val="0"/>
      <w:marTop w:val="0"/>
      <w:marBottom w:val="0"/>
      <w:divBdr>
        <w:top w:val="none" w:sz="0" w:space="0" w:color="auto"/>
        <w:left w:val="none" w:sz="0" w:space="0" w:color="auto"/>
        <w:bottom w:val="none" w:sz="0" w:space="0" w:color="auto"/>
        <w:right w:val="none" w:sz="0" w:space="0" w:color="auto"/>
      </w:divBdr>
    </w:div>
    <w:div w:id="994840272">
      <w:bodyDiv w:val="1"/>
      <w:marLeft w:val="0"/>
      <w:marRight w:val="0"/>
      <w:marTop w:val="0"/>
      <w:marBottom w:val="0"/>
      <w:divBdr>
        <w:top w:val="none" w:sz="0" w:space="0" w:color="auto"/>
        <w:left w:val="none" w:sz="0" w:space="0" w:color="auto"/>
        <w:bottom w:val="none" w:sz="0" w:space="0" w:color="auto"/>
        <w:right w:val="none" w:sz="0" w:space="0" w:color="auto"/>
      </w:divBdr>
    </w:div>
    <w:div w:id="994914854">
      <w:bodyDiv w:val="1"/>
      <w:marLeft w:val="0"/>
      <w:marRight w:val="0"/>
      <w:marTop w:val="0"/>
      <w:marBottom w:val="0"/>
      <w:divBdr>
        <w:top w:val="none" w:sz="0" w:space="0" w:color="auto"/>
        <w:left w:val="none" w:sz="0" w:space="0" w:color="auto"/>
        <w:bottom w:val="none" w:sz="0" w:space="0" w:color="auto"/>
        <w:right w:val="none" w:sz="0" w:space="0" w:color="auto"/>
      </w:divBdr>
    </w:div>
    <w:div w:id="995033265">
      <w:bodyDiv w:val="1"/>
      <w:marLeft w:val="0"/>
      <w:marRight w:val="0"/>
      <w:marTop w:val="0"/>
      <w:marBottom w:val="0"/>
      <w:divBdr>
        <w:top w:val="none" w:sz="0" w:space="0" w:color="auto"/>
        <w:left w:val="none" w:sz="0" w:space="0" w:color="auto"/>
        <w:bottom w:val="none" w:sz="0" w:space="0" w:color="auto"/>
        <w:right w:val="none" w:sz="0" w:space="0" w:color="auto"/>
      </w:divBdr>
    </w:div>
    <w:div w:id="995183519">
      <w:bodyDiv w:val="1"/>
      <w:marLeft w:val="0"/>
      <w:marRight w:val="0"/>
      <w:marTop w:val="0"/>
      <w:marBottom w:val="0"/>
      <w:divBdr>
        <w:top w:val="none" w:sz="0" w:space="0" w:color="auto"/>
        <w:left w:val="none" w:sz="0" w:space="0" w:color="auto"/>
        <w:bottom w:val="none" w:sz="0" w:space="0" w:color="auto"/>
        <w:right w:val="none" w:sz="0" w:space="0" w:color="auto"/>
      </w:divBdr>
    </w:div>
    <w:div w:id="995376167">
      <w:bodyDiv w:val="1"/>
      <w:marLeft w:val="0"/>
      <w:marRight w:val="0"/>
      <w:marTop w:val="0"/>
      <w:marBottom w:val="0"/>
      <w:divBdr>
        <w:top w:val="none" w:sz="0" w:space="0" w:color="auto"/>
        <w:left w:val="none" w:sz="0" w:space="0" w:color="auto"/>
        <w:bottom w:val="none" w:sz="0" w:space="0" w:color="auto"/>
        <w:right w:val="none" w:sz="0" w:space="0" w:color="auto"/>
      </w:divBdr>
    </w:div>
    <w:div w:id="996034041">
      <w:bodyDiv w:val="1"/>
      <w:marLeft w:val="0"/>
      <w:marRight w:val="0"/>
      <w:marTop w:val="0"/>
      <w:marBottom w:val="0"/>
      <w:divBdr>
        <w:top w:val="none" w:sz="0" w:space="0" w:color="auto"/>
        <w:left w:val="none" w:sz="0" w:space="0" w:color="auto"/>
        <w:bottom w:val="none" w:sz="0" w:space="0" w:color="auto"/>
        <w:right w:val="none" w:sz="0" w:space="0" w:color="auto"/>
      </w:divBdr>
    </w:div>
    <w:div w:id="996422536">
      <w:bodyDiv w:val="1"/>
      <w:marLeft w:val="0"/>
      <w:marRight w:val="0"/>
      <w:marTop w:val="0"/>
      <w:marBottom w:val="0"/>
      <w:divBdr>
        <w:top w:val="none" w:sz="0" w:space="0" w:color="auto"/>
        <w:left w:val="none" w:sz="0" w:space="0" w:color="auto"/>
        <w:bottom w:val="none" w:sz="0" w:space="0" w:color="auto"/>
        <w:right w:val="none" w:sz="0" w:space="0" w:color="auto"/>
      </w:divBdr>
    </w:div>
    <w:div w:id="996570668">
      <w:bodyDiv w:val="1"/>
      <w:marLeft w:val="0"/>
      <w:marRight w:val="0"/>
      <w:marTop w:val="0"/>
      <w:marBottom w:val="0"/>
      <w:divBdr>
        <w:top w:val="none" w:sz="0" w:space="0" w:color="auto"/>
        <w:left w:val="none" w:sz="0" w:space="0" w:color="auto"/>
        <w:bottom w:val="none" w:sz="0" w:space="0" w:color="auto"/>
        <w:right w:val="none" w:sz="0" w:space="0" w:color="auto"/>
      </w:divBdr>
    </w:div>
    <w:div w:id="996687628">
      <w:bodyDiv w:val="1"/>
      <w:marLeft w:val="0"/>
      <w:marRight w:val="0"/>
      <w:marTop w:val="0"/>
      <w:marBottom w:val="0"/>
      <w:divBdr>
        <w:top w:val="none" w:sz="0" w:space="0" w:color="auto"/>
        <w:left w:val="none" w:sz="0" w:space="0" w:color="auto"/>
        <w:bottom w:val="none" w:sz="0" w:space="0" w:color="auto"/>
        <w:right w:val="none" w:sz="0" w:space="0" w:color="auto"/>
      </w:divBdr>
    </w:div>
    <w:div w:id="997196148">
      <w:bodyDiv w:val="1"/>
      <w:marLeft w:val="0"/>
      <w:marRight w:val="0"/>
      <w:marTop w:val="0"/>
      <w:marBottom w:val="0"/>
      <w:divBdr>
        <w:top w:val="none" w:sz="0" w:space="0" w:color="auto"/>
        <w:left w:val="none" w:sz="0" w:space="0" w:color="auto"/>
        <w:bottom w:val="none" w:sz="0" w:space="0" w:color="auto"/>
        <w:right w:val="none" w:sz="0" w:space="0" w:color="auto"/>
      </w:divBdr>
    </w:div>
    <w:div w:id="997420016">
      <w:bodyDiv w:val="1"/>
      <w:marLeft w:val="0"/>
      <w:marRight w:val="0"/>
      <w:marTop w:val="0"/>
      <w:marBottom w:val="0"/>
      <w:divBdr>
        <w:top w:val="none" w:sz="0" w:space="0" w:color="auto"/>
        <w:left w:val="none" w:sz="0" w:space="0" w:color="auto"/>
        <w:bottom w:val="none" w:sz="0" w:space="0" w:color="auto"/>
        <w:right w:val="none" w:sz="0" w:space="0" w:color="auto"/>
      </w:divBdr>
    </w:div>
    <w:div w:id="997929183">
      <w:bodyDiv w:val="1"/>
      <w:marLeft w:val="0"/>
      <w:marRight w:val="0"/>
      <w:marTop w:val="0"/>
      <w:marBottom w:val="0"/>
      <w:divBdr>
        <w:top w:val="none" w:sz="0" w:space="0" w:color="auto"/>
        <w:left w:val="none" w:sz="0" w:space="0" w:color="auto"/>
        <w:bottom w:val="none" w:sz="0" w:space="0" w:color="auto"/>
        <w:right w:val="none" w:sz="0" w:space="0" w:color="auto"/>
      </w:divBdr>
    </w:div>
    <w:div w:id="998265087">
      <w:bodyDiv w:val="1"/>
      <w:marLeft w:val="0"/>
      <w:marRight w:val="0"/>
      <w:marTop w:val="0"/>
      <w:marBottom w:val="0"/>
      <w:divBdr>
        <w:top w:val="none" w:sz="0" w:space="0" w:color="auto"/>
        <w:left w:val="none" w:sz="0" w:space="0" w:color="auto"/>
        <w:bottom w:val="none" w:sz="0" w:space="0" w:color="auto"/>
        <w:right w:val="none" w:sz="0" w:space="0" w:color="auto"/>
      </w:divBdr>
    </w:div>
    <w:div w:id="998270782">
      <w:bodyDiv w:val="1"/>
      <w:marLeft w:val="0"/>
      <w:marRight w:val="0"/>
      <w:marTop w:val="0"/>
      <w:marBottom w:val="0"/>
      <w:divBdr>
        <w:top w:val="none" w:sz="0" w:space="0" w:color="auto"/>
        <w:left w:val="none" w:sz="0" w:space="0" w:color="auto"/>
        <w:bottom w:val="none" w:sz="0" w:space="0" w:color="auto"/>
        <w:right w:val="none" w:sz="0" w:space="0" w:color="auto"/>
      </w:divBdr>
    </w:div>
    <w:div w:id="998576823">
      <w:bodyDiv w:val="1"/>
      <w:marLeft w:val="0"/>
      <w:marRight w:val="0"/>
      <w:marTop w:val="0"/>
      <w:marBottom w:val="0"/>
      <w:divBdr>
        <w:top w:val="none" w:sz="0" w:space="0" w:color="auto"/>
        <w:left w:val="none" w:sz="0" w:space="0" w:color="auto"/>
        <w:bottom w:val="none" w:sz="0" w:space="0" w:color="auto"/>
        <w:right w:val="none" w:sz="0" w:space="0" w:color="auto"/>
      </w:divBdr>
    </w:div>
    <w:div w:id="998727376">
      <w:bodyDiv w:val="1"/>
      <w:marLeft w:val="0"/>
      <w:marRight w:val="0"/>
      <w:marTop w:val="0"/>
      <w:marBottom w:val="0"/>
      <w:divBdr>
        <w:top w:val="none" w:sz="0" w:space="0" w:color="auto"/>
        <w:left w:val="none" w:sz="0" w:space="0" w:color="auto"/>
        <w:bottom w:val="none" w:sz="0" w:space="0" w:color="auto"/>
        <w:right w:val="none" w:sz="0" w:space="0" w:color="auto"/>
      </w:divBdr>
    </w:div>
    <w:div w:id="999045048">
      <w:bodyDiv w:val="1"/>
      <w:marLeft w:val="0"/>
      <w:marRight w:val="0"/>
      <w:marTop w:val="0"/>
      <w:marBottom w:val="0"/>
      <w:divBdr>
        <w:top w:val="none" w:sz="0" w:space="0" w:color="auto"/>
        <w:left w:val="none" w:sz="0" w:space="0" w:color="auto"/>
        <w:bottom w:val="none" w:sz="0" w:space="0" w:color="auto"/>
        <w:right w:val="none" w:sz="0" w:space="0" w:color="auto"/>
      </w:divBdr>
    </w:div>
    <w:div w:id="999236556">
      <w:bodyDiv w:val="1"/>
      <w:marLeft w:val="0"/>
      <w:marRight w:val="0"/>
      <w:marTop w:val="0"/>
      <w:marBottom w:val="0"/>
      <w:divBdr>
        <w:top w:val="none" w:sz="0" w:space="0" w:color="auto"/>
        <w:left w:val="none" w:sz="0" w:space="0" w:color="auto"/>
        <w:bottom w:val="none" w:sz="0" w:space="0" w:color="auto"/>
        <w:right w:val="none" w:sz="0" w:space="0" w:color="auto"/>
      </w:divBdr>
    </w:div>
    <w:div w:id="999499495">
      <w:bodyDiv w:val="1"/>
      <w:marLeft w:val="0"/>
      <w:marRight w:val="0"/>
      <w:marTop w:val="0"/>
      <w:marBottom w:val="0"/>
      <w:divBdr>
        <w:top w:val="none" w:sz="0" w:space="0" w:color="auto"/>
        <w:left w:val="none" w:sz="0" w:space="0" w:color="auto"/>
        <w:bottom w:val="none" w:sz="0" w:space="0" w:color="auto"/>
        <w:right w:val="none" w:sz="0" w:space="0" w:color="auto"/>
      </w:divBdr>
    </w:div>
    <w:div w:id="1000281458">
      <w:bodyDiv w:val="1"/>
      <w:marLeft w:val="0"/>
      <w:marRight w:val="0"/>
      <w:marTop w:val="0"/>
      <w:marBottom w:val="0"/>
      <w:divBdr>
        <w:top w:val="none" w:sz="0" w:space="0" w:color="auto"/>
        <w:left w:val="none" w:sz="0" w:space="0" w:color="auto"/>
        <w:bottom w:val="none" w:sz="0" w:space="0" w:color="auto"/>
        <w:right w:val="none" w:sz="0" w:space="0" w:color="auto"/>
      </w:divBdr>
    </w:div>
    <w:div w:id="1000430313">
      <w:bodyDiv w:val="1"/>
      <w:marLeft w:val="0"/>
      <w:marRight w:val="0"/>
      <w:marTop w:val="0"/>
      <w:marBottom w:val="0"/>
      <w:divBdr>
        <w:top w:val="none" w:sz="0" w:space="0" w:color="auto"/>
        <w:left w:val="none" w:sz="0" w:space="0" w:color="auto"/>
        <w:bottom w:val="none" w:sz="0" w:space="0" w:color="auto"/>
        <w:right w:val="none" w:sz="0" w:space="0" w:color="auto"/>
      </w:divBdr>
    </w:div>
    <w:div w:id="1000505122">
      <w:bodyDiv w:val="1"/>
      <w:marLeft w:val="0"/>
      <w:marRight w:val="0"/>
      <w:marTop w:val="0"/>
      <w:marBottom w:val="0"/>
      <w:divBdr>
        <w:top w:val="none" w:sz="0" w:space="0" w:color="auto"/>
        <w:left w:val="none" w:sz="0" w:space="0" w:color="auto"/>
        <w:bottom w:val="none" w:sz="0" w:space="0" w:color="auto"/>
        <w:right w:val="none" w:sz="0" w:space="0" w:color="auto"/>
      </w:divBdr>
    </w:div>
    <w:div w:id="1000546191">
      <w:bodyDiv w:val="1"/>
      <w:marLeft w:val="0"/>
      <w:marRight w:val="0"/>
      <w:marTop w:val="0"/>
      <w:marBottom w:val="0"/>
      <w:divBdr>
        <w:top w:val="none" w:sz="0" w:space="0" w:color="auto"/>
        <w:left w:val="none" w:sz="0" w:space="0" w:color="auto"/>
        <w:bottom w:val="none" w:sz="0" w:space="0" w:color="auto"/>
        <w:right w:val="none" w:sz="0" w:space="0" w:color="auto"/>
      </w:divBdr>
    </w:div>
    <w:div w:id="1001153763">
      <w:bodyDiv w:val="1"/>
      <w:marLeft w:val="0"/>
      <w:marRight w:val="0"/>
      <w:marTop w:val="0"/>
      <w:marBottom w:val="0"/>
      <w:divBdr>
        <w:top w:val="none" w:sz="0" w:space="0" w:color="auto"/>
        <w:left w:val="none" w:sz="0" w:space="0" w:color="auto"/>
        <w:bottom w:val="none" w:sz="0" w:space="0" w:color="auto"/>
        <w:right w:val="none" w:sz="0" w:space="0" w:color="auto"/>
      </w:divBdr>
    </w:div>
    <w:div w:id="1001273202">
      <w:bodyDiv w:val="1"/>
      <w:marLeft w:val="0"/>
      <w:marRight w:val="0"/>
      <w:marTop w:val="0"/>
      <w:marBottom w:val="0"/>
      <w:divBdr>
        <w:top w:val="none" w:sz="0" w:space="0" w:color="auto"/>
        <w:left w:val="none" w:sz="0" w:space="0" w:color="auto"/>
        <w:bottom w:val="none" w:sz="0" w:space="0" w:color="auto"/>
        <w:right w:val="none" w:sz="0" w:space="0" w:color="auto"/>
      </w:divBdr>
    </w:div>
    <w:div w:id="1001391944">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1589756">
      <w:bodyDiv w:val="1"/>
      <w:marLeft w:val="0"/>
      <w:marRight w:val="0"/>
      <w:marTop w:val="0"/>
      <w:marBottom w:val="0"/>
      <w:divBdr>
        <w:top w:val="none" w:sz="0" w:space="0" w:color="auto"/>
        <w:left w:val="none" w:sz="0" w:space="0" w:color="auto"/>
        <w:bottom w:val="none" w:sz="0" w:space="0" w:color="auto"/>
        <w:right w:val="none" w:sz="0" w:space="0" w:color="auto"/>
      </w:divBdr>
    </w:div>
    <w:div w:id="1001737855">
      <w:bodyDiv w:val="1"/>
      <w:marLeft w:val="0"/>
      <w:marRight w:val="0"/>
      <w:marTop w:val="0"/>
      <w:marBottom w:val="0"/>
      <w:divBdr>
        <w:top w:val="none" w:sz="0" w:space="0" w:color="auto"/>
        <w:left w:val="none" w:sz="0" w:space="0" w:color="auto"/>
        <w:bottom w:val="none" w:sz="0" w:space="0" w:color="auto"/>
        <w:right w:val="none" w:sz="0" w:space="0" w:color="auto"/>
      </w:divBdr>
    </w:div>
    <w:div w:id="1001928814">
      <w:bodyDiv w:val="1"/>
      <w:marLeft w:val="0"/>
      <w:marRight w:val="0"/>
      <w:marTop w:val="0"/>
      <w:marBottom w:val="0"/>
      <w:divBdr>
        <w:top w:val="none" w:sz="0" w:space="0" w:color="auto"/>
        <w:left w:val="none" w:sz="0" w:space="0" w:color="auto"/>
        <w:bottom w:val="none" w:sz="0" w:space="0" w:color="auto"/>
        <w:right w:val="none" w:sz="0" w:space="0" w:color="auto"/>
      </w:divBdr>
    </w:div>
    <w:div w:id="1001935485">
      <w:bodyDiv w:val="1"/>
      <w:marLeft w:val="0"/>
      <w:marRight w:val="0"/>
      <w:marTop w:val="0"/>
      <w:marBottom w:val="0"/>
      <w:divBdr>
        <w:top w:val="none" w:sz="0" w:space="0" w:color="auto"/>
        <w:left w:val="none" w:sz="0" w:space="0" w:color="auto"/>
        <w:bottom w:val="none" w:sz="0" w:space="0" w:color="auto"/>
        <w:right w:val="none" w:sz="0" w:space="0" w:color="auto"/>
      </w:divBdr>
    </w:div>
    <w:div w:id="1002664054">
      <w:bodyDiv w:val="1"/>
      <w:marLeft w:val="0"/>
      <w:marRight w:val="0"/>
      <w:marTop w:val="0"/>
      <w:marBottom w:val="0"/>
      <w:divBdr>
        <w:top w:val="none" w:sz="0" w:space="0" w:color="auto"/>
        <w:left w:val="none" w:sz="0" w:space="0" w:color="auto"/>
        <w:bottom w:val="none" w:sz="0" w:space="0" w:color="auto"/>
        <w:right w:val="none" w:sz="0" w:space="0" w:color="auto"/>
      </w:divBdr>
    </w:div>
    <w:div w:id="1002852621">
      <w:bodyDiv w:val="1"/>
      <w:marLeft w:val="0"/>
      <w:marRight w:val="0"/>
      <w:marTop w:val="0"/>
      <w:marBottom w:val="0"/>
      <w:divBdr>
        <w:top w:val="none" w:sz="0" w:space="0" w:color="auto"/>
        <w:left w:val="none" w:sz="0" w:space="0" w:color="auto"/>
        <w:bottom w:val="none" w:sz="0" w:space="0" w:color="auto"/>
        <w:right w:val="none" w:sz="0" w:space="0" w:color="auto"/>
      </w:divBdr>
    </w:div>
    <w:div w:id="1004547450">
      <w:bodyDiv w:val="1"/>
      <w:marLeft w:val="0"/>
      <w:marRight w:val="0"/>
      <w:marTop w:val="0"/>
      <w:marBottom w:val="0"/>
      <w:divBdr>
        <w:top w:val="none" w:sz="0" w:space="0" w:color="auto"/>
        <w:left w:val="none" w:sz="0" w:space="0" w:color="auto"/>
        <w:bottom w:val="none" w:sz="0" w:space="0" w:color="auto"/>
        <w:right w:val="none" w:sz="0" w:space="0" w:color="auto"/>
      </w:divBdr>
    </w:div>
    <w:div w:id="1004821868">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4895598">
      <w:bodyDiv w:val="1"/>
      <w:marLeft w:val="0"/>
      <w:marRight w:val="0"/>
      <w:marTop w:val="0"/>
      <w:marBottom w:val="0"/>
      <w:divBdr>
        <w:top w:val="none" w:sz="0" w:space="0" w:color="auto"/>
        <w:left w:val="none" w:sz="0" w:space="0" w:color="auto"/>
        <w:bottom w:val="none" w:sz="0" w:space="0" w:color="auto"/>
        <w:right w:val="none" w:sz="0" w:space="0" w:color="auto"/>
      </w:divBdr>
    </w:div>
    <w:div w:id="1004941187">
      <w:bodyDiv w:val="1"/>
      <w:marLeft w:val="0"/>
      <w:marRight w:val="0"/>
      <w:marTop w:val="0"/>
      <w:marBottom w:val="0"/>
      <w:divBdr>
        <w:top w:val="none" w:sz="0" w:space="0" w:color="auto"/>
        <w:left w:val="none" w:sz="0" w:space="0" w:color="auto"/>
        <w:bottom w:val="none" w:sz="0" w:space="0" w:color="auto"/>
        <w:right w:val="none" w:sz="0" w:space="0" w:color="auto"/>
      </w:divBdr>
    </w:div>
    <w:div w:id="1005203091">
      <w:bodyDiv w:val="1"/>
      <w:marLeft w:val="0"/>
      <w:marRight w:val="0"/>
      <w:marTop w:val="0"/>
      <w:marBottom w:val="0"/>
      <w:divBdr>
        <w:top w:val="none" w:sz="0" w:space="0" w:color="auto"/>
        <w:left w:val="none" w:sz="0" w:space="0" w:color="auto"/>
        <w:bottom w:val="none" w:sz="0" w:space="0" w:color="auto"/>
        <w:right w:val="none" w:sz="0" w:space="0" w:color="auto"/>
      </w:divBdr>
    </w:div>
    <w:div w:id="1005864554">
      <w:bodyDiv w:val="1"/>
      <w:marLeft w:val="0"/>
      <w:marRight w:val="0"/>
      <w:marTop w:val="0"/>
      <w:marBottom w:val="0"/>
      <w:divBdr>
        <w:top w:val="none" w:sz="0" w:space="0" w:color="auto"/>
        <w:left w:val="none" w:sz="0" w:space="0" w:color="auto"/>
        <w:bottom w:val="none" w:sz="0" w:space="0" w:color="auto"/>
        <w:right w:val="none" w:sz="0" w:space="0" w:color="auto"/>
      </w:divBdr>
    </w:div>
    <w:div w:id="1005939995">
      <w:bodyDiv w:val="1"/>
      <w:marLeft w:val="0"/>
      <w:marRight w:val="0"/>
      <w:marTop w:val="0"/>
      <w:marBottom w:val="0"/>
      <w:divBdr>
        <w:top w:val="none" w:sz="0" w:space="0" w:color="auto"/>
        <w:left w:val="none" w:sz="0" w:space="0" w:color="auto"/>
        <w:bottom w:val="none" w:sz="0" w:space="0" w:color="auto"/>
        <w:right w:val="none" w:sz="0" w:space="0" w:color="auto"/>
      </w:divBdr>
    </w:div>
    <w:div w:id="1006135184">
      <w:bodyDiv w:val="1"/>
      <w:marLeft w:val="0"/>
      <w:marRight w:val="0"/>
      <w:marTop w:val="0"/>
      <w:marBottom w:val="0"/>
      <w:divBdr>
        <w:top w:val="none" w:sz="0" w:space="0" w:color="auto"/>
        <w:left w:val="none" w:sz="0" w:space="0" w:color="auto"/>
        <w:bottom w:val="none" w:sz="0" w:space="0" w:color="auto"/>
        <w:right w:val="none" w:sz="0" w:space="0" w:color="auto"/>
      </w:divBdr>
    </w:div>
    <w:div w:id="1006521047">
      <w:bodyDiv w:val="1"/>
      <w:marLeft w:val="0"/>
      <w:marRight w:val="0"/>
      <w:marTop w:val="0"/>
      <w:marBottom w:val="0"/>
      <w:divBdr>
        <w:top w:val="none" w:sz="0" w:space="0" w:color="auto"/>
        <w:left w:val="none" w:sz="0" w:space="0" w:color="auto"/>
        <w:bottom w:val="none" w:sz="0" w:space="0" w:color="auto"/>
        <w:right w:val="none" w:sz="0" w:space="0" w:color="auto"/>
      </w:divBdr>
    </w:div>
    <w:div w:id="1006589712">
      <w:bodyDiv w:val="1"/>
      <w:marLeft w:val="0"/>
      <w:marRight w:val="0"/>
      <w:marTop w:val="0"/>
      <w:marBottom w:val="0"/>
      <w:divBdr>
        <w:top w:val="none" w:sz="0" w:space="0" w:color="auto"/>
        <w:left w:val="none" w:sz="0" w:space="0" w:color="auto"/>
        <w:bottom w:val="none" w:sz="0" w:space="0" w:color="auto"/>
        <w:right w:val="none" w:sz="0" w:space="0" w:color="auto"/>
      </w:divBdr>
    </w:div>
    <w:div w:id="1006664606">
      <w:bodyDiv w:val="1"/>
      <w:marLeft w:val="0"/>
      <w:marRight w:val="0"/>
      <w:marTop w:val="0"/>
      <w:marBottom w:val="0"/>
      <w:divBdr>
        <w:top w:val="none" w:sz="0" w:space="0" w:color="auto"/>
        <w:left w:val="none" w:sz="0" w:space="0" w:color="auto"/>
        <w:bottom w:val="none" w:sz="0" w:space="0" w:color="auto"/>
        <w:right w:val="none" w:sz="0" w:space="0" w:color="auto"/>
      </w:divBdr>
    </w:div>
    <w:div w:id="1007176504">
      <w:bodyDiv w:val="1"/>
      <w:marLeft w:val="0"/>
      <w:marRight w:val="0"/>
      <w:marTop w:val="0"/>
      <w:marBottom w:val="0"/>
      <w:divBdr>
        <w:top w:val="none" w:sz="0" w:space="0" w:color="auto"/>
        <w:left w:val="none" w:sz="0" w:space="0" w:color="auto"/>
        <w:bottom w:val="none" w:sz="0" w:space="0" w:color="auto"/>
        <w:right w:val="none" w:sz="0" w:space="0" w:color="auto"/>
      </w:divBdr>
    </w:div>
    <w:div w:id="1007366187">
      <w:bodyDiv w:val="1"/>
      <w:marLeft w:val="0"/>
      <w:marRight w:val="0"/>
      <w:marTop w:val="0"/>
      <w:marBottom w:val="0"/>
      <w:divBdr>
        <w:top w:val="none" w:sz="0" w:space="0" w:color="auto"/>
        <w:left w:val="none" w:sz="0" w:space="0" w:color="auto"/>
        <w:bottom w:val="none" w:sz="0" w:space="0" w:color="auto"/>
        <w:right w:val="none" w:sz="0" w:space="0" w:color="auto"/>
      </w:divBdr>
    </w:div>
    <w:div w:id="1007711307">
      <w:bodyDiv w:val="1"/>
      <w:marLeft w:val="0"/>
      <w:marRight w:val="0"/>
      <w:marTop w:val="0"/>
      <w:marBottom w:val="0"/>
      <w:divBdr>
        <w:top w:val="none" w:sz="0" w:space="0" w:color="auto"/>
        <w:left w:val="none" w:sz="0" w:space="0" w:color="auto"/>
        <w:bottom w:val="none" w:sz="0" w:space="0" w:color="auto"/>
        <w:right w:val="none" w:sz="0" w:space="0" w:color="auto"/>
      </w:divBdr>
    </w:div>
    <w:div w:id="1007825480">
      <w:bodyDiv w:val="1"/>
      <w:marLeft w:val="0"/>
      <w:marRight w:val="0"/>
      <w:marTop w:val="0"/>
      <w:marBottom w:val="0"/>
      <w:divBdr>
        <w:top w:val="none" w:sz="0" w:space="0" w:color="auto"/>
        <w:left w:val="none" w:sz="0" w:space="0" w:color="auto"/>
        <w:bottom w:val="none" w:sz="0" w:space="0" w:color="auto"/>
        <w:right w:val="none" w:sz="0" w:space="0" w:color="auto"/>
      </w:divBdr>
    </w:div>
    <w:div w:id="1007832917">
      <w:bodyDiv w:val="1"/>
      <w:marLeft w:val="0"/>
      <w:marRight w:val="0"/>
      <w:marTop w:val="0"/>
      <w:marBottom w:val="0"/>
      <w:divBdr>
        <w:top w:val="none" w:sz="0" w:space="0" w:color="auto"/>
        <w:left w:val="none" w:sz="0" w:space="0" w:color="auto"/>
        <w:bottom w:val="none" w:sz="0" w:space="0" w:color="auto"/>
        <w:right w:val="none" w:sz="0" w:space="0" w:color="auto"/>
      </w:divBdr>
    </w:div>
    <w:div w:id="1008369527">
      <w:bodyDiv w:val="1"/>
      <w:marLeft w:val="0"/>
      <w:marRight w:val="0"/>
      <w:marTop w:val="0"/>
      <w:marBottom w:val="0"/>
      <w:divBdr>
        <w:top w:val="none" w:sz="0" w:space="0" w:color="auto"/>
        <w:left w:val="none" w:sz="0" w:space="0" w:color="auto"/>
        <w:bottom w:val="none" w:sz="0" w:space="0" w:color="auto"/>
        <w:right w:val="none" w:sz="0" w:space="0" w:color="auto"/>
      </w:divBdr>
    </w:div>
    <w:div w:id="1008411494">
      <w:bodyDiv w:val="1"/>
      <w:marLeft w:val="0"/>
      <w:marRight w:val="0"/>
      <w:marTop w:val="0"/>
      <w:marBottom w:val="0"/>
      <w:divBdr>
        <w:top w:val="none" w:sz="0" w:space="0" w:color="auto"/>
        <w:left w:val="none" w:sz="0" w:space="0" w:color="auto"/>
        <w:bottom w:val="none" w:sz="0" w:space="0" w:color="auto"/>
        <w:right w:val="none" w:sz="0" w:space="0" w:color="auto"/>
      </w:divBdr>
    </w:div>
    <w:div w:id="1008483272">
      <w:bodyDiv w:val="1"/>
      <w:marLeft w:val="0"/>
      <w:marRight w:val="0"/>
      <w:marTop w:val="0"/>
      <w:marBottom w:val="0"/>
      <w:divBdr>
        <w:top w:val="none" w:sz="0" w:space="0" w:color="auto"/>
        <w:left w:val="none" w:sz="0" w:space="0" w:color="auto"/>
        <w:bottom w:val="none" w:sz="0" w:space="0" w:color="auto"/>
        <w:right w:val="none" w:sz="0" w:space="0" w:color="auto"/>
      </w:divBdr>
    </w:div>
    <w:div w:id="1008484131">
      <w:bodyDiv w:val="1"/>
      <w:marLeft w:val="0"/>
      <w:marRight w:val="0"/>
      <w:marTop w:val="0"/>
      <w:marBottom w:val="0"/>
      <w:divBdr>
        <w:top w:val="none" w:sz="0" w:space="0" w:color="auto"/>
        <w:left w:val="none" w:sz="0" w:space="0" w:color="auto"/>
        <w:bottom w:val="none" w:sz="0" w:space="0" w:color="auto"/>
        <w:right w:val="none" w:sz="0" w:space="0" w:color="auto"/>
      </w:divBdr>
    </w:div>
    <w:div w:id="1008559431">
      <w:bodyDiv w:val="1"/>
      <w:marLeft w:val="0"/>
      <w:marRight w:val="0"/>
      <w:marTop w:val="0"/>
      <w:marBottom w:val="0"/>
      <w:divBdr>
        <w:top w:val="none" w:sz="0" w:space="0" w:color="auto"/>
        <w:left w:val="none" w:sz="0" w:space="0" w:color="auto"/>
        <w:bottom w:val="none" w:sz="0" w:space="0" w:color="auto"/>
        <w:right w:val="none" w:sz="0" w:space="0" w:color="auto"/>
      </w:divBdr>
    </w:div>
    <w:div w:id="1008757289">
      <w:bodyDiv w:val="1"/>
      <w:marLeft w:val="0"/>
      <w:marRight w:val="0"/>
      <w:marTop w:val="0"/>
      <w:marBottom w:val="0"/>
      <w:divBdr>
        <w:top w:val="none" w:sz="0" w:space="0" w:color="auto"/>
        <w:left w:val="none" w:sz="0" w:space="0" w:color="auto"/>
        <w:bottom w:val="none" w:sz="0" w:space="0" w:color="auto"/>
        <w:right w:val="none" w:sz="0" w:space="0" w:color="auto"/>
      </w:divBdr>
    </w:div>
    <w:div w:id="1009061654">
      <w:bodyDiv w:val="1"/>
      <w:marLeft w:val="0"/>
      <w:marRight w:val="0"/>
      <w:marTop w:val="0"/>
      <w:marBottom w:val="0"/>
      <w:divBdr>
        <w:top w:val="none" w:sz="0" w:space="0" w:color="auto"/>
        <w:left w:val="none" w:sz="0" w:space="0" w:color="auto"/>
        <w:bottom w:val="none" w:sz="0" w:space="0" w:color="auto"/>
        <w:right w:val="none" w:sz="0" w:space="0" w:color="auto"/>
      </w:divBdr>
    </w:div>
    <w:div w:id="1009210435">
      <w:bodyDiv w:val="1"/>
      <w:marLeft w:val="0"/>
      <w:marRight w:val="0"/>
      <w:marTop w:val="0"/>
      <w:marBottom w:val="0"/>
      <w:divBdr>
        <w:top w:val="none" w:sz="0" w:space="0" w:color="auto"/>
        <w:left w:val="none" w:sz="0" w:space="0" w:color="auto"/>
        <w:bottom w:val="none" w:sz="0" w:space="0" w:color="auto"/>
        <w:right w:val="none" w:sz="0" w:space="0" w:color="auto"/>
      </w:divBdr>
    </w:div>
    <w:div w:id="1009409815">
      <w:bodyDiv w:val="1"/>
      <w:marLeft w:val="0"/>
      <w:marRight w:val="0"/>
      <w:marTop w:val="0"/>
      <w:marBottom w:val="0"/>
      <w:divBdr>
        <w:top w:val="none" w:sz="0" w:space="0" w:color="auto"/>
        <w:left w:val="none" w:sz="0" w:space="0" w:color="auto"/>
        <w:bottom w:val="none" w:sz="0" w:space="0" w:color="auto"/>
        <w:right w:val="none" w:sz="0" w:space="0" w:color="auto"/>
      </w:divBdr>
    </w:div>
    <w:div w:id="1009528337">
      <w:bodyDiv w:val="1"/>
      <w:marLeft w:val="0"/>
      <w:marRight w:val="0"/>
      <w:marTop w:val="0"/>
      <w:marBottom w:val="0"/>
      <w:divBdr>
        <w:top w:val="none" w:sz="0" w:space="0" w:color="auto"/>
        <w:left w:val="none" w:sz="0" w:space="0" w:color="auto"/>
        <w:bottom w:val="none" w:sz="0" w:space="0" w:color="auto"/>
        <w:right w:val="none" w:sz="0" w:space="0" w:color="auto"/>
      </w:divBdr>
    </w:div>
    <w:div w:id="1009679402">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0987492">
      <w:bodyDiv w:val="1"/>
      <w:marLeft w:val="0"/>
      <w:marRight w:val="0"/>
      <w:marTop w:val="0"/>
      <w:marBottom w:val="0"/>
      <w:divBdr>
        <w:top w:val="none" w:sz="0" w:space="0" w:color="auto"/>
        <w:left w:val="none" w:sz="0" w:space="0" w:color="auto"/>
        <w:bottom w:val="none" w:sz="0" w:space="0" w:color="auto"/>
        <w:right w:val="none" w:sz="0" w:space="0" w:color="auto"/>
      </w:divBdr>
    </w:div>
    <w:div w:id="1011102691">
      <w:bodyDiv w:val="1"/>
      <w:marLeft w:val="0"/>
      <w:marRight w:val="0"/>
      <w:marTop w:val="0"/>
      <w:marBottom w:val="0"/>
      <w:divBdr>
        <w:top w:val="none" w:sz="0" w:space="0" w:color="auto"/>
        <w:left w:val="none" w:sz="0" w:space="0" w:color="auto"/>
        <w:bottom w:val="none" w:sz="0" w:space="0" w:color="auto"/>
        <w:right w:val="none" w:sz="0" w:space="0" w:color="auto"/>
      </w:divBdr>
    </w:div>
    <w:div w:id="1011376456">
      <w:bodyDiv w:val="1"/>
      <w:marLeft w:val="0"/>
      <w:marRight w:val="0"/>
      <w:marTop w:val="0"/>
      <w:marBottom w:val="0"/>
      <w:divBdr>
        <w:top w:val="none" w:sz="0" w:space="0" w:color="auto"/>
        <w:left w:val="none" w:sz="0" w:space="0" w:color="auto"/>
        <w:bottom w:val="none" w:sz="0" w:space="0" w:color="auto"/>
        <w:right w:val="none" w:sz="0" w:space="0" w:color="auto"/>
      </w:divBdr>
    </w:div>
    <w:div w:id="1011494522">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11563261">
      <w:bodyDiv w:val="1"/>
      <w:marLeft w:val="0"/>
      <w:marRight w:val="0"/>
      <w:marTop w:val="0"/>
      <w:marBottom w:val="0"/>
      <w:divBdr>
        <w:top w:val="none" w:sz="0" w:space="0" w:color="auto"/>
        <w:left w:val="none" w:sz="0" w:space="0" w:color="auto"/>
        <w:bottom w:val="none" w:sz="0" w:space="0" w:color="auto"/>
        <w:right w:val="none" w:sz="0" w:space="0" w:color="auto"/>
      </w:divBdr>
    </w:div>
    <w:div w:id="1012731082">
      <w:bodyDiv w:val="1"/>
      <w:marLeft w:val="0"/>
      <w:marRight w:val="0"/>
      <w:marTop w:val="0"/>
      <w:marBottom w:val="0"/>
      <w:divBdr>
        <w:top w:val="none" w:sz="0" w:space="0" w:color="auto"/>
        <w:left w:val="none" w:sz="0" w:space="0" w:color="auto"/>
        <w:bottom w:val="none" w:sz="0" w:space="0" w:color="auto"/>
        <w:right w:val="none" w:sz="0" w:space="0" w:color="auto"/>
      </w:divBdr>
    </w:div>
    <w:div w:id="1013340428">
      <w:bodyDiv w:val="1"/>
      <w:marLeft w:val="0"/>
      <w:marRight w:val="0"/>
      <w:marTop w:val="0"/>
      <w:marBottom w:val="0"/>
      <w:divBdr>
        <w:top w:val="none" w:sz="0" w:space="0" w:color="auto"/>
        <w:left w:val="none" w:sz="0" w:space="0" w:color="auto"/>
        <w:bottom w:val="none" w:sz="0" w:space="0" w:color="auto"/>
        <w:right w:val="none" w:sz="0" w:space="0" w:color="auto"/>
      </w:divBdr>
    </w:div>
    <w:div w:id="1014499932">
      <w:bodyDiv w:val="1"/>
      <w:marLeft w:val="0"/>
      <w:marRight w:val="0"/>
      <w:marTop w:val="0"/>
      <w:marBottom w:val="0"/>
      <w:divBdr>
        <w:top w:val="none" w:sz="0" w:space="0" w:color="auto"/>
        <w:left w:val="none" w:sz="0" w:space="0" w:color="auto"/>
        <w:bottom w:val="none" w:sz="0" w:space="0" w:color="auto"/>
        <w:right w:val="none" w:sz="0" w:space="0" w:color="auto"/>
      </w:divBdr>
    </w:div>
    <w:div w:id="1014577819">
      <w:bodyDiv w:val="1"/>
      <w:marLeft w:val="0"/>
      <w:marRight w:val="0"/>
      <w:marTop w:val="0"/>
      <w:marBottom w:val="0"/>
      <w:divBdr>
        <w:top w:val="none" w:sz="0" w:space="0" w:color="auto"/>
        <w:left w:val="none" w:sz="0" w:space="0" w:color="auto"/>
        <w:bottom w:val="none" w:sz="0" w:space="0" w:color="auto"/>
        <w:right w:val="none" w:sz="0" w:space="0" w:color="auto"/>
      </w:divBdr>
    </w:div>
    <w:div w:id="1014843448">
      <w:bodyDiv w:val="1"/>
      <w:marLeft w:val="0"/>
      <w:marRight w:val="0"/>
      <w:marTop w:val="0"/>
      <w:marBottom w:val="0"/>
      <w:divBdr>
        <w:top w:val="none" w:sz="0" w:space="0" w:color="auto"/>
        <w:left w:val="none" w:sz="0" w:space="0" w:color="auto"/>
        <w:bottom w:val="none" w:sz="0" w:space="0" w:color="auto"/>
        <w:right w:val="none" w:sz="0" w:space="0" w:color="auto"/>
      </w:divBdr>
    </w:div>
    <w:div w:id="1014846526">
      <w:bodyDiv w:val="1"/>
      <w:marLeft w:val="0"/>
      <w:marRight w:val="0"/>
      <w:marTop w:val="0"/>
      <w:marBottom w:val="0"/>
      <w:divBdr>
        <w:top w:val="none" w:sz="0" w:space="0" w:color="auto"/>
        <w:left w:val="none" w:sz="0" w:space="0" w:color="auto"/>
        <w:bottom w:val="none" w:sz="0" w:space="0" w:color="auto"/>
        <w:right w:val="none" w:sz="0" w:space="0" w:color="auto"/>
      </w:divBdr>
    </w:div>
    <w:div w:id="1015036066">
      <w:bodyDiv w:val="1"/>
      <w:marLeft w:val="0"/>
      <w:marRight w:val="0"/>
      <w:marTop w:val="0"/>
      <w:marBottom w:val="0"/>
      <w:divBdr>
        <w:top w:val="none" w:sz="0" w:space="0" w:color="auto"/>
        <w:left w:val="none" w:sz="0" w:space="0" w:color="auto"/>
        <w:bottom w:val="none" w:sz="0" w:space="0" w:color="auto"/>
        <w:right w:val="none" w:sz="0" w:space="0" w:color="auto"/>
      </w:divBdr>
    </w:div>
    <w:div w:id="1015426491">
      <w:bodyDiv w:val="1"/>
      <w:marLeft w:val="0"/>
      <w:marRight w:val="0"/>
      <w:marTop w:val="0"/>
      <w:marBottom w:val="0"/>
      <w:divBdr>
        <w:top w:val="none" w:sz="0" w:space="0" w:color="auto"/>
        <w:left w:val="none" w:sz="0" w:space="0" w:color="auto"/>
        <w:bottom w:val="none" w:sz="0" w:space="0" w:color="auto"/>
        <w:right w:val="none" w:sz="0" w:space="0" w:color="auto"/>
      </w:divBdr>
    </w:div>
    <w:div w:id="1015577714">
      <w:bodyDiv w:val="1"/>
      <w:marLeft w:val="0"/>
      <w:marRight w:val="0"/>
      <w:marTop w:val="0"/>
      <w:marBottom w:val="0"/>
      <w:divBdr>
        <w:top w:val="none" w:sz="0" w:space="0" w:color="auto"/>
        <w:left w:val="none" w:sz="0" w:space="0" w:color="auto"/>
        <w:bottom w:val="none" w:sz="0" w:space="0" w:color="auto"/>
        <w:right w:val="none" w:sz="0" w:space="0" w:color="auto"/>
      </w:divBdr>
    </w:div>
    <w:div w:id="1015615741">
      <w:bodyDiv w:val="1"/>
      <w:marLeft w:val="0"/>
      <w:marRight w:val="0"/>
      <w:marTop w:val="0"/>
      <w:marBottom w:val="0"/>
      <w:divBdr>
        <w:top w:val="none" w:sz="0" w:space="0" w:color="auto"/>
        <w:left w:val="none" w:sz="0" w:space="0" w:color="auto"/>
        <w:bottom w:val="none" w:sz="0" w:space="0" w:color="auto"/>
        <w:right w:val="none" w:sz="0" w:space="0" w:color="auto"/>
      </w:divBdr>
    </w:div>
    <w:div w:id="1015886351">
      <w:bodyDiv w:val="1"/>
      <w:marLeft w:val="0"/>
      <w:marRight w:val="0"/>
      <w:marTop w:val="0"/>
      <w:marBottom w:val="0"/>
      <w:divBdr>
        <w:top w:val="none" w:sz="0" w:space="0" w:color="auto"/>
        <w:left w:val="none" w:sz="0" w:space="0" w:color="auto"/>
        <w:bottom w:val="none" w:sz="0" w:space="0" w:color="auto"/>
        <w:right w:val="none" w:sz="0" w:space="0" w:color="auto"/>
      </w:divBdr>
    </w:div>
    <w:div w:id="1015958521">
      <w:bodyDiv w:val="1"/>
      <w:marLeft w:val="0"/>
      <w:marRight w:val="0"/>
      <w:marTop w:val="0"/>
      <w:marBottom w:val="0"/>
      <w:divBdr>
        <w:top w:val="none" w:sz="0" w:space="0" w:color="auto"/>
        <w:left w:val="none" w:sz="0" w:space="0" w:color="auto"/>
        <w:bottom w:val="none" w:sz="0" w:space="0" w:color="auto"/>
        <w:right w:val="none" w:sz="0" w:space="0" w:color="auto"/>
      </w:divBdr>
    </w:div>
    <w:div w:id="1016229251">
      <w:bodyDiv w:val="1"/>
      <w:marLeft w:val="0"/>
      <w:marRight w:val="0"/>
      <w:marTop w:val="0"/>
      <w:marBottom w:val="0"/>
      <w:divBdr>
        <w:top w:val="none" w:sz="0" w:space="0" w:color="auto"/>
        <w:left w:val="none" w:sz="0" w:space="0" w:color="auto"/>
        <w:bottom w:val="none" w:sz="0" w:space="0" w:color="auto"/>
        <w:right w:val="none" w:sz="0" w:space="0" w:color="auto"/>
      </w:divBdr>
    </w:div>
    <w:div w:id="1016733821">
      <w:bodyDiv w:val="1"/>
      <w:marLeft w:val="0"/>
      <w:marRight w:val="0"/>
      <w:marTop w:val="0"/>
      <w:marBottom w:val="0"/>
      <w:divBdr>
        <w:top w:val="none" w:sz="0" w:space="0" w:color="auto"/>
        <w:left w:val="none" w:sz="0" w:space="0" w:color="auto"/>
        <w:bottom w:val="none" w:sz="0" w:space="0" w:color="auto"/>
        <w:right w:val="none" w:sz="0" w:space="0" w:color="auto"/>
      </w:divBdr>
    </w:div>
    <w:div w:id="1016814019">
      <w:bodyDiv w:val="1"/>
      <w:marLeft w:val="0"/>
      <w:marRight w:val="0"/>
      <w:marTop w:val="0"/>
      <w:marBottom w:val="0"/>
      <w:divBdr>
        <w:top w:val="none" w:sz="0" w:space="0" w:color="auto"/>
        <w:left w:val="none" w:sz="0" w:space="0" w:color="auto"/>
        <w:bottom w:val="none" w:sz="0" w:space="0" w:color="auto"/>
        <w:right w:val="none" w:sz="0" w:space="0" w:color="auto"/>
      </w:divBdr>
    </w:div>
    <w:div w:id="1016929649">
      <w:bodyDiv w:val="1"/>
      <w:marLeft w:val="0"/>
      <w:marRight w:val="0"/>
      <w:marTop w:val="0"/>
      <w:marBottom w:val="0"/>
      <w:divBdr>
        <w:top w:val="none" w:sz="0" w:space="0" w:color="auto"/>
        <w:left w:val="none" w:sz="0" w:space="0" w:color="auto"/>
        <w:bottom w:val="none" w:sz="0" w:space="0" w:color="auto"/>
        <w:right w:val="none" w:sz="0" w:space="0" w:color="auto"/>
      </w:divBdr>
    </w:div>
    <w:div w:id="1017079555">
      <w:bodyDiv w:val="1"/>
      <w:marLeft w:val="0"/>
      <w:marRight w:val="0"/>
      <w:marTop w:val="0"/>
      <w:marBottom w:val="0"/>
      <w:divBdr>
        <w:top w:val="none" w:sz="0" w:space="0" w:color="auto"/>
        <w:left w:val="none" w:sz="0" w:space="0" w:color="auto"/>
        <w:bottom w:val="none" w:sz="0" w:space="0" w:color="auto"/>
        <w:right w:val="none" w:sz="0" w:space="0" w:color="auto"/>
      </w:divBdr>
    </w:div>
    <w:div w:id="1017151440">
      <w:bodyDiv w:val="1"/>
      <w:marLeft w:val="0"/>
      <w:marRight w:val="0"/>
      <w:marTop w:val="0"/>
      <w:marBottom w:val="0"/>
      <w:divBdr>
        <w:top w:val="none" w:sz="0" w:space="0" w:color="auto"/>
        <w:left w:val="none" w:sz="0" w:space="0" w:color="auto"/>
        <w:bottom w:val="none" w:sz="0" w:space="0" w:color="auto"/>
        <w:right w:val="none" w:sz="0" w:space="0" w:color="auto"/>
      </w:divBdr>
    </w:div>
    <w:div w:id="1017345709">
      <w:bodyDiv w:val="1"/>
      <w:marLeft w:val="0"/>
      <w:marRight w:val="0"/>
      <w:marTop w:val="0"/>
      <w:marBottom w:val="0"/>
      <w:divBdr>
        <w:top w:val="none" w:sz="0" w:space="0" w:color="auto"/>
        <w:left w:val="none" w:sz="0" w:space="0" w:color="auto"/>
        <w:bottom w:val="none" w:sz="0" w:space="0" w:color="auto"/>
        <w:right w:val="none" w:sz="0" w:space="0" w:color="auto"/>
      </w:divBdr>
    </w:div>
    <w:div w:id="1017347484">
      <w:bodyDiv w:val="1"/>
      <w:marLeft w:val="0"/>
      <w:marRight w:val="0"/>
      <w:marTop w:val="0"/>
      <w:marBottom w:val="0"/>
      <w:divBdr>
        <w:top w:val="none" w:sz="0" w:space="0" w:color="auto"/>
        <w:left w:val="none" w:sz="0" w:space="0" w:color="auto"/>
        <w:bottom w:val="none" w:sz="0" w:space="0" w:color="auto"/>
        <w:right w:val="none" w:sz="0" w:space="0" w:color="auto"/>
      </w:divBdr>
    </w:div>
    <w:div w:id="1018704342">
      <w:bodyDiv w:val="1"/>
      <w:marLeft w:val="0"/>
      <w:marRight w:val="0"/>
      <w:marTop w:val="0"/>
      <w:marBottom w:val="0"/>
      <w:divBdr>
        <w:top w:val="none" w:sz="0" w:space="0" w:color="auto"/>
        <w:left w:val="none" w:sz="0" w:space="0" w:color="auto"/>
        <w:bottom w:val="none" w:sz="0" w:space="0" w:color="auto"/>
        <w:right w:val="none" w:sz="0" w:space="0" w:color="auto"/>
      </w:divBdr>
    </w:div>
    <w:div w:id="1019238040">
      <w:bodyDiv w:val="1"/>
      <w:marLeft w:val="0"/>
      <w:marRight w:val="0"/>
      <w:marTop w:val="0"/>
      <w:marBottom w:val="0"/>
      <w:divBdr>
        <w:top w:val="none" w:sz="0" w:space="0" w:color="auto"/>
        <w:left w:val="none" w:sz="0" w:space="0" w:color="auto"/>
        <w:bottom w:val="none" w:sz="0" w:space="0" w:color="auto"/>
        <w:right w:val="none" w:sz="0" w:space="0" w:color="auto"/>
      </w:divBdr>
    </w:div>
    <w:div w:id="1019888036">
      <w:bodyDiv w:val="1"/>
      <w:marLeft w:val="0"/>
      <w:marRight w:val="0"/>
      <w:marTop w:val="0"/>
      <w:marBottom w:val="0"/>
      <w:divBdr>
        <w:top w:val="none" w:sz="0" w:space="0" w:color="auto"/>
        <w:left w:val="none" w:sz="0" w:space="0" w:color="auto"/>
        <w:bottom w:val="none" w:sz="0" w:space="0" w:color="auto"/>
        <w:right w:val="none" w:sz="0" w:space="0" w:color="auto"/>
      </w:divBdr>
    </w:div>
    <w:div w:id="1019893075">
      <w:bodyDiv w:val="1"/>
      <w:marLeft w:val="0"/>
      <w:marRight w:val="0"/>
      <w:marTop w:val="0"/>
      <w:marBottom w:val="0"/>
      <w:divBdr>
        <w:top w:val="none" w:sz="0" w:space="0" w:color="auto"/>
        <w:left w:val="none" w:sz="0" w:space="0" w:color="auto"/>
        <w:bottom w:val="none" w:sz="0" w:space="0" w:color="auto"/>
        <w:right w:val="none" w:sz="0" w:space="0" w:color="auto"/>
      </w:divBdr>
    </w:div>
    <w:div w:id="1020165321">
      <w:bodyDiv w:val="1"/>
      <w:marLeft w:val="0"/>
      <w:marRight w:val="0"/>
      <w:marTop w:val="0"/>
      <w:marBottom w:val="0"/>
      <w:divBdr>
        <w:top w:val="none" w:sz="0" w:space="0" w:color="auto"/>
        <w:left w:val="none" w:sz="0" w:space="0" w:color="auto"/>
        <w:bottom w:val="none" w:sz="0" w:space="0" w:color="auto"/>
        <w:right w:val="none" w:sz="0" w:space="0" w:color="auto"/>
      </w:divBdr>
    </w:div>
    <w:div w:id="1020745028">
      <w:bodyDiv w:val="1"/>
      <w:marLeft w:val="0"/>
      <w:marRight w:val="0"/>
      <w:marTop w:val="0"/>
      <w:marBottom w:val="0"/>
      <w:divBdr>
        <w:top w:val="none" w:sz="0" w:space="0" w:color="auto"/>
        <w:left w:val="none" w:sz="0" w:space="0" w:color="auto"/>
        <w:bottom w:val="none" w:sz="0" w:space="0" w:color="auto"/>
        <w:right w:val="none" w:sz="0" w:space="0" w:color="auto"/>
      </w:divBdr>
    </w:div>
    <w:div w:id="1020817237">
      <w:bodyDiv w:val="1"/>
      <w:marLeft w:val="0"/>
      <w:marRight w:val="0"/>
      <w:marTop w:val="0"/>
      <w:marBottom w:val="0"/>
      <w:divBdr>
        <w:top w:val="none" w:sz="0" w:space="0" w:color="auto"/>
        <w:left w:val="none" w:sz="0" w:space="0" w:color="auto"/>
        <w:bottom w:val="none" w:sz="0" w:space="0" w:color="auto"/>
        <w:right w:val="none" w:sz="0" w:space="0" w:color="auto"/>
      </w:divBdr>
    </w:div>
    <w:div w:id="1020932980">
      <w:bodyDiv w:val="1"/>
      <w:marLeft w:val="0"/>
      <w:marRight w:val="0"/>
      <w:marTop w:val="0"/>
      <w:marBottom w:val="0"/>
      <w:divBdr>
        <w:top w:val="none" w:sz="0" w:space="0" w:color="auto"/>
        <w:left w:val="none" w:sz="0" w:space="0" w:color="auto"/>
        <w:bottom w:val="none" w:sz="0" w:space="0" w:color="auto"/>
        <w:right w:val="none" w:sz="0" w:space="0" w:color="auto"/>
      </w:divBdr>
    </w:div>
    <w:div w:id="1021007129">
      <w:bodyDiv w:val="1"/>
      <w:marLeft w:val="0"/>
      <w:marRight w:val="0"/>
      <w:marTop w:val="0"/>
      <w:marBottom w:val="0"/>
      <w:divBdr>
        <w:top w:val="none" w:sz="0" w:space="0" w:color="auto"/>
        <w:left w:val="none" w:sz="0" w:space="0" w:color="auto"/>
        <w:bottom w:val="none" w:sz="0" w:space="0" w:color="auto"/>
        <w:right w:val="none" w:sz="0" w:space="0" w:color="auto"/>
      </w:divBdr>
    </w:div>
    <w:div w:id="1021124793">
      <w:bodyDiv w:val="1"/>
      <w:marLeft w:val="0"/>
      <w:marRight w:val="0"/>
      <w:marTop w:val="0"/>
      <w:marBottom w:val="0"/>
      <w:divBdr>
        <w:top w:val="none" w:sz="0" w:space="0" w:color="auto"/>
        <w:left w:val="none" w:sz="0" w:space="0" w:color="auto"/>
        <w:bottom w:val="none" w:sz="0" w:space="0" w:color="auto"/>
        <w:right w:val="none" w:sz="0" w:space="0" w:color="auto"/>
      </w:divBdr>
    </w:div>
    <w:div w:id="1021199315">
      <w:bodyDiv w:val="1"/>
      <w:marLeft w:val="0"/>
      <w:marRight w:val="0"/>
      <w:marTop w:val="0"/>
      <w:marBottom w:val="0"/>
      <w:divBdr>
        <w:top w:val="none" w:sz="0" w:space="0" w:color="auto"/>
        <w:left w:val="none" w:sz="0" w:space="0" w:color="auto"/>
        <w:bottom w:val="none" w:sz="0" w:space="0" w:color="auto"/>
        <w:right w:val="none" w:sz="0" w:space="0" w:color="auto"/>
      </w:divBdr>
    </w:div>
    <w:div w:id="1021471597">
      <w:bodyDiv w:val="1"/>
      <w:marLeft w:val="0"/>
      <w:marRight w:val="0"/>
      <w:marTop w:val="0"/>
      <w:marBottom w:val="0"/>
      <w:divBdr>
        <w:top w:val="none" w:sz="0" w:space="0" w:color="auto"/>
        <w:left w:val="none" w:sz="0" w:space="0" w:color="auto"/>
        <w:bottom w:val="none" w:sz="0" w:space="0" w:color="auto"/>
        <w:right w:val="none" w:sz="0" w:space="0" w:color="auto"/>
      </w:divBdr>
    </w:div>
    <w:div w:id="1021784376">
      <w:bodyDiv w:val="1"/>
      <w:marLeft w:val="0"/>
      <w:marRight w:val="0"/>
      <w:marTop w:val="0"/>
      <w:marBottom w:val="0"/>
      <w:divBdr>
        <w:top w:val="none" w:sz="0" w:space="0" w:color="auto"/>
        <w:left w:val="none" w:sz="0" w:space="0" w:color="auto"/>
        <w:bottom w:val="none" w:sz="0" w:space="0" w:color="auto"/>
        <w:right w:val="none" w:sz="0" w:space="0" w:color="auto"/>
      </w:divBdr>
    </w:div>
    <w:div w:id="1021857791">
      <w:bodyDiv w:val="1"/>
      <w:marLeft w:val="0"/>
      <w:marRight w:val="0"/>
      <w:marTop w:val="0"/>
      <w:marBottom w:val="0"/>
      <w:divBdr>
        <w:top w:val="none" w:sz="0" w:space="0" w:color="auto"/>
        <w:left w:val="none" w:sz="0" w:space="0" w:color="auto"/>
        <w:bottom w:val="none" w:sz="0" w:space="0" w:color="auto"/>
        <w:right w:val="none" w:sz="0" w:space="0" w:color="auto"/>
      </w:divBdr>
    </w:div>
    <w:div w:id="1021978968">
      <w:bodyDiv w:val="1"/>
      <w:marLeft w:val="0"/>
      <w:marRight w:val="0"/>
      <w:marTop w:val="0"/>
      <w:marBottom w:val="0"/>
      <w:divBdr>
        <w:top w:val="none" w:sz="0" w:space="0" w:color="auto"/>
        <w:left w:val="none" w:sz="0" w:space="0" w:color="auto"/>
        <w:bottom w:val="none" w:sz="0" w:space="0" w:color="auto"/>
        <w:right w:val="none" w:sz="0" w:space="0" w:color="auto"/>
      </w:divBdr>
    </w:div>
    <w:div w:id="1022131290">
      <w:bodyDiv w:val="1"/>
      <w:marLeft w:val="0"/>
      <w:marRight w:val="0"/>
      <w:marTop w:val="0"/>
      <w:marBottom w:val="0"/>
      <w:divBdr>
        <w:top w:val="none" w:sz="0" w:space="0" w:color="auto"/>
        <w:left w:val="none" w:sz="0" w:space="0" w:color="auto"/>
        <w:bottom w:val="none" w:sz="0" w:space="0" w:color="auto"/>
        <w:right w:val="none" w:sz="0" w:space="0" w:color="auto"/>
      </w:divBdr>
    </w:div>
    <w:div w:id="1022588102">
      <w:bodyDiv w:val="1"/>
      <w:marLeft w:val="0"/>
      <w:marRight w:val="0"/>
      <w:marTop w:val="0"/>
      <w:marBottom w:val="0"/>
      <w:divBdr>
        <w:top w:val="none" w:sz="0" w:space="0" w:color="auto"/>
        <w:left w:val="none" w:sz="0" w:space="0" w:color="auto"/>
        <w:bottom w:val="none" w:sz="0" w:space="0" w:color="auto"/>
        <w:right w:val="none" w:sz="0" w:space="0" w:color="auto"/>
      </w:divBdr>
    </w:div>
    <w:div w:id="1023630950">
      <w:bodyDiv w:val="1"/>
      <w:marLeft w:val="0"/>
      <w:marRight w:val="0"/>
      <w:marTop w:val="0"/>
      <w:marBottom w:val="0"/>
      <w:divBdr>
        <w:top w:val="none" w:sz="0" w:space="0" w:color="auto"/>
        <w:left w:val="none" w:sz="0" w:space="0" w:color="auto"/>
        <w:bottom w:val="none" w:sz="0" w:space="0" w:color="auto"/>
        <w:right w:val="none" w:sz="0" w:space="0" w:color="auto"/>
      </w:divBdr>
    </w:div>
    <w:div w:id="1023702545">
      <w:bodyDiv w:val="1"/>
      <w:marLeft w:val="0"/>
      <w:marRight w:val="0"/>
      <w:marTop w:val="0"/>
      <w:marBottom w:val="0"/>
      <w:divBdr>
        <w:top w:val="none" w:sz="0" w:space="0" w:color="auto"/>
        <w:left w:val="none" w:sz="0" w:space="0" w:color="auto"/>
        <w:bottom w:val="none" w:sz="0" w:space="0" w:color="auto"/>
        <w:right w:val="none" w:sz="0" w:space="0" w:color="auto"/>
      </w:divBdr>
    </w:div>
    <w:div w:id="1024016896">
      <w:bodyDiv w:val="1"/>
      <w:marLeft w:val="0"/>
      <w:marRight w:val="0"/>
      <w:marTop w:val="0"/>
      <w:marBottom w:val="0"/>
      <w:divBdr>
        <w:top w:val="none" w:sz="0" w:space="0" w:color="auto"/>
        <w:left w:val="none" w:sz="0" w:space="0" w:color="auto"/>
        <w:bottom w:val="none" w:sz="0" w:space="0" w:color="auto"/>
        <w:right w:val="none" w:sz="0" w:space="0" w:color="auto"/>
      </w:divBdr>
    </w:div>
    <w:div w:id="1024139449">
      <w:bodyDiv w:val="1"/>
      <w:marLeft w:val="0"/>
      <w:marRight w:val="0"/>
      <w:marTop w:val="0"/>
      <w:marBottom w:val="0"/>
      <w:divBdr>
        <w:top w:val="none" w:sz="0" w:space="0" w:color="auto"/>
        <w:left w:val="none" w:sz="0" w:space="0" w:color="auto"/>
        <w:bottom w:val="none" w:sz="0" w:space="0" w:color="auto"/>
        <w:right w:val="none" w:sz="0" w:space="0" w:color="auto"/>
      </w:divBdr>
    </w:div>
    <w:div w:id="1024403639">
      <w:bodyDiv w:val="1"/>
      <w:marLeft w:val="0"/>
      <w:marRight w:val="0"/>
      <w:marTop w:val="0"/>
      <w:marBottom w:val="0"/>
      <w:divBdr>
        <w:top w:val="none" w:sz="0" w:space="0" w:color="auto"/>
        <w:left w:val="none" w:sz="0" w:space="0" w:color="auto"/>
        <w:bottom w:val="none" w:sz="0" w:space="0" w:color="auto"/>
        <w:right w:val="none" w:sz="0" w:space="0" w:color="auto"/>
      </w:divBdr>
    </w:div>
    <w:div w:id="1024672600">
      <w:bodyDiv w:val="1"/>
      <w:marLeft w:val="0"/>
      <w:marRight w:val="0"/>
      <w:marTop w:val="0"/>
      <w:marBottom w:val="0"/>
      <w:divBdr>
        <w:top w:val="none" w:sz="0" w:space="0" w:color="auto"/>
        <w:left w:val="none" w:sz="0" w:space="0" w:color="auto"/>
        <w:bottom w:val="none" w:sz="0" w:space="0" w:color="auto"/>
        <w:right w:val="none" w:sz="0" w:space="0" w:color="auto"/>
      </w:divBdr>
    </w:div>
    <w:div w:id="1024676218">
      <w:bodyDiv w:val="1"/>
      <w:marLeft w:val="0"/>
      <w:marRight w:val="0"/>
      <w:marTop w:val="0"/>
      <w:marBottom w:val="0"/>
      <w:divBdr>
        <w:top w:val="none" w:sz="0" w:space="0" w:color="auto"/>
        <w:left w:val="none" w:sz="0" w:space="0" w:color="auto"/>
        <w:bottom w:val="none" w:sz="0" w:space="0" w:color="auto"/>
        <w:right w:val="none" w:sz="0" w:space="0" w:color="auto"/>
      </w:divBdr>
    </w:div>
    <w:div w:id="1024794565">
      <w:bodyDiv w:val="1"/>
      <w:marLeft w:val="0"/>
      <w:marRight w:val="0"/>
      <w:marTop w:val="0"/>
      <w:marBottom w:val="0"/>
      <w:divBdr>
        <w:top w:val="none" w:sz="0" w:space="0" w:color="auto"/>
        <w:left w:val="none" w:sz="0" w:space="0" w:color="auto"/>
        <w:bottom w:val="none" w:sz="0" w:space="0" w:color="auto"/>
        <w:right w:val="none" w:sz="0" w:space="0" w:color="auto"/>
      </w:divBdr>
    </w:div>
    <w:div w:id="1024860846">
      <w:bodyDiv w:val="1"/>
      <w:marLeft w:val="0"/>
      <w:marRight w:val="0"/>
      <w:marTop w:val="0"/>
      <w:marBottom w:val="0"/>
      <w:divBdr>
        <w:top w:val="none" w:sz="0" w:space="0" w:color="auto"/>
        <w:left w:val="none" w:sz="0" w:space="0" w:color="auto"/>
        <w:bottom w:val="none" w:sz="0" w:space="0" w:color="auto"/>
        <w:right w:val="none" w:sz="0" w:space="0" w:color="auto"/>
      </w:divBdr>
    </w:div>
    <w:div w:id="1024940707">
      <w:bodyDiv w:val="1"/>
      <w:marLeft w:val="0"/>
      <w:marRight w:val="0"/>
      <w:marTop w:val="0"/>
      <w:marBottom w:val="0"/>
      <w:divBdr>
        <w:top w:val="none" w:sz="0" w:space="0" w:color="auto"/>
        <w:left w:val="none" w:sz="0" w:space="0" w:color="auto"/>
        <w:bottom w:val="none" w:sz="0" w:space="0" w:color="auto"/>
        <w:right w:val="none" w:sz="0" w:space="0" w:color="auto"/>
      </w:divBdr>
    </w:div>
    <w:div w:id="1025791508">
      <w:bodyDiv w:val="1"/>
      <w:marLeft w:val="0"/>
      <w:marRight w:val="0"/>
      <w:marTop w:val="0"/>
      <w:marBottom w:val="0"/>
      <w:divBdr>
        <w:top w:val="none" w:sz="0" w:space="0" w:color="auto"/>
        <w:left w:val="none" w:sz="0" w:space="0" w:color="auto"/>
        <w:bottom w:val="none" w:sz="0" w:space="0" w:color="auto"/>
        <w:right w:val="none" w:sz="0" w:space="0" w:color="auto"/>
      </w:divBdr>
    </w:div>
    <w:div w:id="1026061863">
      <w:bodyDiv w:val="1"/>
      <w:marLeft w:val="0"/>
      <w:marRight w:val="0"/>
      <w:marTop w:val="0"/>
      <w:marBottom w:val="0"/>
      <w:divBdr>
        <w:top w:val="none" w:sz="0" w:space="0" w:color="auto"/>
        <w:left w:val="none" w:sz="0" w:space="0" w:color="auto"/>
        <w:bottom w:val="none" w:sz="0" w:space="0" w:color="auto"/>
        <w:right w:val="none" w:sz="0" w:space="0" w:color="auto"/>
      </w:divBdr>
    </w:div>
    <w:div w:id="1026518381">
      <w:bodyDiv w:val="1"/>
      <w:marLeft w:val="0"/>
      <w:marRight w:val="0"/>
      <w:marTop w:val="0"/>
      <w:marBottom w:val="0"/>
      <w:divBdr>
        <w:top w:val="none" w:sz="0" w:space="0" w:color="auto"/>
        <w:left w:val="none" w:sz="0" w:space="0" w:color="auto"/>
        <w:bottom w:val="none" w:sz="0" w:space="0" w:color="auto"/>
        <w:right w:val="none" w:sz="0" w:space="0" w:color="auto"/>
      </w:divBdr>
    </w:div>
    <w:div w:id="1027373400">
      <w:bodyDiv w:val="1"/>
      <w:marLeft w:val="0"/>
      <w:marRight w:val="0"/>
      <w:marTop w:val="0"/>
      <w:marBottom w:val="0"/>
      <w:divBdr>
        <w:top w:val="none" w:sz="0" w:space="0" w:color="auto"/>
        <w:left w:val="none" w:sz="0" w:space="0" w:color="auto"/>
        <w:bottom w:val="none" w:sz="0" w:space="0" w:color="auto"/>
        <w:right w:val="none" w:sz="0" w:space="0" w:color="auto"/>
      </w:divBdr>
    </w:div>
    <w:div w:id="1027753986">
      <w:bodyDiv w:val="1"/>
      <w:marLeft w:val="0"/>
      <w:marRight w:val="0"/>
      <w:marTop w:val="0"/>
      <w:marBottom w:val="0"/>
      <w:divBdr>
        <w:top w:val="none" w:sz="0" w:space="0" w:color="auto"/>
        <w:left w:val="none" w:sz="0" w:space="0" w:color="auto"/>
        <w:bottom w:val="none" w:sz="0" w:space="0" w:color="auto"/>
        <w:right w:val="none" w:sz="0" w:space="0" w:color="auto"/>
      </w:divBdr>
    </w:div>
    <w:div w:id="1027875835">
      <w:bodyDiv w:val="1"/>
      <w:marLeft w:val="0"/>
      <w:marRight w:val="0"/>
      <w:marTop w:val="0"/>
      <w:marBottom w:val="0"/>
      <w:divBdr>
        <w:top w:val="none" w:sz="0" w:space="0" w:color="auto"/>
        <w:left w:val="none" w:sz="0" w:space="0" w:color="auto"/>
        <w:bottom w:val="none" w:sz="0" w:space="0" w:color="auto"/>
        <w:right w:val="none" w:sz="0" w:space="0" w:color="auto"/>
      </w:divBdr>
    </w:div>
    <w:div w:id="1028064406">
      <w:bodyDiv w:val="1"/>
      <w:marLeft w:val="0"/>
      <w:marRight w:val="0"/>
      <w:marTop w:val="0"/>
      <w:marBottom w:val="0"/>
      <w:divBdr>
        <w:top w:val="none" w:sz="0" w:space="0" w:color="auto"/>
        <w:left w:val="none" w:sz="0" w:space="0" w:color="auto"/>
        <w:bottom w:val="none" w:sz="0" w:space="0" w:color="auto"/>
        <w:right w:val="none" w:sz="0" w:space="0" w:color="auto"/>
      </w:divBdr>
    </w:div>
    <w:div w:id="1028335056">
      <w:bodyDiv w:val="1"/>
      <w:marLeft w:val="0"/>
      <w:marRight w:val="0"/>
      <w:marTop w:val="0"/>
      <w:marBottom w:val="0"/>
      <w:divBdr>
        <w:top w:val="none" w:sz="0" w:space="0" w:color="auto"/>
        <w:left w:val="none" w:sz="0" w:space="0" w:color="auto"/>
        <w:bottom w:val="none" w:sz="0" w:space="0" w:color="auto"/>
        <w:right w:val="none" w:sz="0" w:space="0" w:color="auto"/>
      </w:divBdr>
    </w:div>
    <w:div w:id="1028338135">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28680159">
      <w:bodyDiv w:val="1"/>
      <w:marLeft w:val="0"/>
      <w:marRight w:val="0"/>
      <w:marTop w:val="0"/>
      <w:marBottom w:val="0"/>
      <w:divBdr>
        <w:top w:val="none" w:sz="0" w:space="0" w:color="auto"/>
        <w:left w:val="none" w:sz="0" w:space="0" w:color="auto"/>
        <w:bottom w:val="none" w:sz="0" w:space="0" w:color="auto"/>
        <w:right w:val="none" w:sz="0" w:space="0" w:color="auto"/>
      </w:divBdr>
    </w:div>
    <w:div w:id="1029070591">
      <w:bodyDiv w:val="1"/>
      <w:marLeft w:val="0"/>
      <w:marRight w:val="0"/>
      <w:marTop w:val="0"/>
      <w:marBottom w:val="0"/>
      <w:divBdr>
        <w:top w:val="none" w:sz="0" w:space="0" w:color="auto"/>
        <w:left w:val="none" w:sz="0" w:space="0" w:color="auto"/>
        <w:bottom w:val="none" w:sz="0" w:space="0" w:color="auto"/>
        <w:right w:val="none" w:sz="0" w:space="0" w:color="auto"/>
      </w:divBdr>
    </w:div>
    <w:div w:id="1029256868">
      <w:bodyDiv w:val="1"/>
      <w:marLeft w:val="0"/>
      <w:marRight w:val="0"/>
      <w:marTop w:val="0"/>
      <w:marBottom w:val="0"/>
      <w:divBdr>
        <w:top w:val="none" w:sz="0" w:space="0" w:color="auto"/>
        <w:left w:val="none" w:sz="0" w:space="0" w:color="auto"/>
        <w:bottom w:val="none" w:sz="0" w:space="0" w:color="auto"/>
        <w:right w:val="none" w:sz="0" w:space="0" w:color="auto"/>
      </w:divBdr>
    </w:div>
    <w:div w:id="1029646477">
      <w:bodyDiv w:val="1"/>
      <w:marLeft w:val="0"/>
      <w:marRight w:val="0"/>
      <w:marTop w:val="0"/>
      <w:marBottom w:val="0"/>
      <w:divBdr>
        <w:top w:val="none" w:sz="0" w:space="0" w:color="auto"/>
        <w:left w:val="none" w:sz="0" w:space="0" w:color="auto"/>
        <w:bottom w:val="none" w:sz="0" w:space="0" w:color="auto"/>
        <w:right w:val="none" w:sz="0" w:space="0" w:color="auto"/>
      </w:divBdr>
    </w:div>
    <w:div w:id="1030496107">
      <w:bodyDiv w:val="1"/>
      <w:marLeft w:val="0"/>
      <w:marRight w:val="0"/>
      <w:marTop w:val="0"/>
      <w:marBottom w:val="0"/>
      <w:divBdr>
        <w:top w:val="none" w:sz="0" w:space="0" w:color="auto"/>
        <w:left w:val="none" w:sz="0" w:space="0" w:color="auto"/>
        <w:bottom w:val="none" w:sz="0" w:space="0" w:color="auto"/>
        <w:right w:val="none" w:sz="0" w:space="0" w:color="auto"/>
      </w:divBdr>
    </w:div>
    <w:div w:id="1030692636">
      <w:bodyDiv w:val="1"/>
      <w:marLeft w:val="0"/>
      <w:marRight w:val="0"/>
      <w:marTop w:val="0"/>
      <w:marBottom w:val="0"/>
      <w:divBdr>
        <w:top w:val="none" w:sz="0" w:space="0" w:color="auto"/>
        <w:left w:val="none" w:sz="0" w:space="0" w:color="auto"/>
        <w:bottom w:val="none" w:sz="0" w:space="0" w:color="auto"/>
        <w:right w:val="none" w:sz="0" w:space="0" w:color="auto"/>
      </w:divBdr>
    </w:div>
    <w:div w:id="1030960419">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1414135">
      <w:bodyDiv w:val="1"/>
      <w:marLeft w:val="0"/>
      <w:marRight w:val="0"/>
      <w:marTop w:val="0"/>
      <w:marBottom w:val="0"/>
      <w:divBdr>
        <w:top w:val="none" w:sz="0" w:space="0" w:color="auto"/>
        <w:left w:val="none" w:sz="0" w:space="0" w:color="auto"/>
        <w:bottom w:val="none" w:sz="0" w:space="0" w:color="auto"/>
        <w:right w:val="none" w:sz="0" w:space="0" w:color="auto"/>
      </w:divBdr>
    </w:div>
    <w:div w:id="1031496049">
      <w:bodyDiv w:val="1"/>
      <w:marLeft w:val="0"/>
      <w:marRight w:val="0"/>
      <w:marTop w:val="0"/>
      <w:marBottom w:val="0"/>
      <w:divBdr>
        <w:top w:val="none" w:sz="0" w:space="0" w:color="auto"/>
        <w:left w:val="none" w:sz="0" w:space="0" w:color="auto"/>
        <w:bottom w:val="none" w:sz="0" w:space="0" w:color="auto"/>
        <w:right w:val="none" w:sz="0" w:space="0" w:color="auto"/>
      </w:divBdr>
    </w:div>
    <w:div w:id="1031806958">
      <w:bodyDiv w:val="1"/>
      <w:marLeft w:val="0"/>
      <w:marRight w:val="0"/>
      <w:marTop w:val="0"/>
      <w:marBottom w:val="0"/>
      <w:divBdr>
        <w:top w:val="none" w:sz="0" w:space="0" w:color="auto"/>
        <w:left w:val="none" w:sz="0" w:space="0" w:color="auto"/>
        <w:bottom w:val="none" w:sz="0" w:space="0" w:color="auto"/>
        <w:right w:val="none" w:sz="0" w:space="0" w:color="auto"/>
      </w:divBdr>
    </w:div>
    <w:div w:id="1032878601">
      <w:bodyDiv w:val="1"/>
      <w:marLeft w:val="0"/>
      <w:marRight w:val="0"/>
      <w:marTop w:val="0"/>
      <w:marBottom w:val="0"/>
      <w:divBdr>
        <w:top w:val="none" w:sz="0" w:space="0" w:color="auto"/>
        <w:left w:val="none" w:sz="0" w:space="0" w:color="auto"/>
        <w:bottom w:val="none" w:sz="0" w:space="0" w:color="auto"/>
        <w:right w:val="none" w:sz="0" w:space="0" w:color="auto"/>
      </w:divBdr>
    </w:div>
    <w:div w:id="1032997045">
      <w:bodyDiv w:val="1"/>
      <w:marLeft w:val="0"/>
      <w:marRight w:val="0"/>
      <w:marTop w:val="0"/>
      <w:marBottom w:val="0"/>
      <w:divBdr>
        <w:top w:val="none" w:sz="0" w:space="0" w:color="auto"/>
        <w:left w:val="none" w:sz="0" w:space="0" w:color="auto"/>
        <w:bottom w:val="none" w:sz="0" w:space="0" w:color="auto"/>
        <w:right w:val="none" w:sz="0" w:space="0" w:color="auto"/>
      </w:divBdr>
    </w:div>
    <w:div w:id="1033111663">
      <w:bodyDiv w:val="1"/>
      <w:marLeft w:val="0"/>
      <w:marRight w:val="0"/>
      <w:marTop w:val="0"/>
      <w:marBottom w:val="0"/>
      <w:divBdr>
        <w:top w:val="none" w:sz="0" w:space="0" w:color="auto"/>
        <w:left w:val="none" w:sz="0" w:space="0" w:color="auto"/>
        <w:bottom w:val="none" w:sz="0" w:space="0" w:color="auto"/>
        <w:right w:val="none" w:sz="0" w:space="0" w:color="auto"/>
      </w:divBdr>
    </w:div>
    <w:div w:id="1033112138">
      <w:bodyDiv w:val="1"/>
      <w:marLeft w:val="0"/>
      <w:marRight w:val="0"/>
      <w:marTop w:val="0"/>
      <w:marBottom w:val="0"/>
      <w:divBdr>
        <w:top w:val="none" w:sz="0" w:space="0" w:color="auto"/>
        <w:left w:val="none" w:sz="0" w:space="0" w:color="auto"/>
        <w:bottom w:val="none" w:sz="0" w:space="0" w:color="auto"/>
        <w:right w:val="none" w:sz="0" w:space="0" w:color="auto"/>
      </w:divBdr>
    </w:div>
    <w:div w:id="1033120006">
      <w:bodyDiv w:val="1"/>
      <w:marLeft w:val="0"/>
      <w:marRight w:val="0"/>
      <w:marTop w:val="0"/>
      <w:marBottom w:val="0"/>
      <w:divBdr>
        <w:top w:val="none" w:sz="0" w:space="0" w:color="auto"/>
        <w:left w:val="none" w:sz="0" w:space="0" w:color="auto"/>
        <w:bottom w:val="none" w:sz="0" w:space="0" w:color="auto"/>
        <w:right w:val="none" w:sz="0" w:space="0" w:color="auto"/>
      </w:divBdr>
    </w:div>
    <w:div w:id="1033380242">
      <w:bodyDiv w:val="1"/>
      <w:marLeft w:val="0"/>
      <w:marRight w:val="0"/>
      <w:marTop w:val="0"/>
      <w:marBottom w:val="0"/>
      <w:divBdr>
        <w:top w:val="none" w:sz="0" w:space="0" w:color="auto"/>
        <w:left w:val="none" w:sz="0" w:space="0" w:color="auto"/>
        <w:bottom w:val="none" w:sz="0" w:space="0" w:color="auto"/>
        <w:right w:val="none" w:sz="0" w:space="0" w:color="auto"/>
      </w:divBdr>
    </w:div>
    <w:div w:id="1033767582">
      <w:bodyDiv w:val="1"/>
      <w:marLeft w:val="0"/>
      <w:marRight w:val="0"/>
      <w:marTop w:val="0"/>
      <w:marBottom w:val="0"/>
      <w:divBdr>
        <w:top w:val="none" w:sz="0" w:space="0" w:color="auto"/>
        <w:left w:val="none" w:sz="0" w:space="0" w:color="auto"/>
        <w:bottom w:val="none" w:sz="0" w:space="0" w:color="auto"/>
        <w:right w:val="none" w:sz="0" w:space="0" w:color="auto"/>
      </w:divBdr>
    </w:div>
    <w:div w:id="1034308417">
      <w:bodyDiv w:val="1"/>
      <w:marLeft w:val="0"/>
      <w:marRight w:val="0"/>
      <w:marTop w:val="0"/>
      <w:marBottom w:val="0"/>
      <w:divBdr>
        <w:top w:val="none" w:sz="0" w:space="0" w:color="auto"/>
        <w:left w:val="none" w:sz="0" w:space="0" w:color="auto"/>
        <w:bottom w:val="none" w:sz="0" w:space="0" w:color="auto"/>
        <w:right w:val="none" w:sz="0" w:space="0" w:color="auto"/>
      </w:divBdr>
    </w:div>
    <w:div w:id="1034885731">
      <w:bodyDiv w:val="1"/>
      <w:marLeft w:val="0"/>
      <w:marRight w:val="0"/>
      <w:marTop w:val="0"/>
      <w:marBottom w:val="0"/>
      <w:divBdr>
        <w:top w:val="none" w:sz="0" w:space="0" w:color="auto"/>
        <w:left w:val="none" w:sz="0" w:space="0" w:color="auto"/>
        <w:bottom w:val="none" w:sz="0" w:space="0" w:color="auto"/>
        <w:right w:val="none" w:sz="0" w:space="0" w:color="auto"/>
      </w:divBdr>
    </w:div>
    <w:div w:id="1035427453">
      <w:bodyDiv w:val="1"/>
      <w:marLeft w:val="0"/>
      <w:marRight w:val="0"/>
      <w:marTop w:val="0"/>
      <w:marBottom w:val="0"/>
      <w:divBdr>
        <w:top w:val="none" w:sz="0" w:space="0" w:color="auto"/>
        <w:left w:val="none" w:sz="0" w:space="0" w:color="auto"/>
        <w:bottom w:val="none" w:sz="0" w:space="0" w:color="auto"/>
        <w:right w:val="none" w:sz="0" w:space="0" w:color="auto"/>
      </w:divBdr>
    </w:div>
    <w:div w:id="1035469141">
      <w:bodyDiv w:val="1"/>
      <w:marLeft w:val="0"/>
      <w:marRight w:val="0"/>
      <w:marTop w:val="0"/>
      <w:marBottom w:val="0"/>
      <w:divBdr>
        <w:top w:val="none" w:sz="0" w:space="0" w:color="auto"/>
        <w:left w:val="none" w:sz="0" w:space="0" w:color="auto"/>
        <w:bottom w:val="none" w:sz="0" w:space="0" w:color="auto"/>
        <w:right w:val="none" w:sz="0" w:space="0" w:color="auto"/>
      </w:divBdr>
    </w:div>
    <w:div w:id="1035501349">
      <w:bodyDiv w:val="1"/>
      <w:marLeft w:val="0"/>
      <w:marRight w:val="0"/>
      <w:marTop w:val="0"/>
      <w:marBottom w:val="0"/>
      <w:divBdr>
        <w:top w:val="none" w:sz="0" w:space="0" w:color="auto"/>
        <w:left w:val="none" w:sz="0" w:space="0" w:color="auto"/>
        <w:bottom w:val="none" w:sz="0" w:space="0" w:color="auto"/>
        <w:right w:val="none" w:sz="0" w:space="0" w:color="auto"/>
      </w:divBdr>
    </w:div>
    <w:div w:id="1035544386">
      <w:bodyDiv w:val="1"/>
      <w:marLeft w:val="0"/>
      <w:marRight w:val="0"/>
      <w:marTop w:val="0"/>
      <w:marBottom w:val="0"/>
      <w:divBdr>
        <w:top w:val="none" w:sz="0" w:space="0" w:color="auto"/>
        <w:left w:val="none" w:sz="0" w:space="0" w:color="auto"/>
        <w:bottom w:val="none" w:sz="0" w:space="0" w:color="auto"/>
        <w:right w:val="none" w:sz="0" w:space="0" w:color="auto"/>
      </w:divBdr>
    </w:div>
    <w:div w:id="1036272476">
      <w:bodyDiv w:val="1"/>
      <w:marLeft w:val="0"/>
      <w:marRight w:val="0"/>
      <w:marTop w:val="0"/>
      <w:marBottom w:val="0"/>
      <w:divBdr>
        <w:top w:val="none" w:sz="0" w:space="0" w:color="auto"/>
        <w:left w:val="none" w:sz="0" w:space="0" w:color="auto"/>
        <w:bottom w:val="none" w:sz="0" w:space="0" w:color="auto"/>
        <w:right w:val="none" w:sz="0" w:space="0" w:color="auto"/>
      </w:divBdr>
    </w:div>
    <w:div w:id="1037004177">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121738">
      <w:bodyDiv w:val="1"/>
      <w:marLeft w:val="0"/>
      <w:marRight w:val="0"/>
      <w:marTop w:val="0"/>
      <w:marBottom w:val="0"/>
      <w:divBdr>
        <w:top w:val="none" w:sz="0" w:space="0" w:color="auto"/>
        <w:left w:val="none" w:sz="0" w:space="0" w:color="auto"/>
        <w:bottom w:val="none" w:sz="0" w:space="0" w:color="auto"/>
        <w:right w:val="none" w:sz="0" w:space="0" w:color="auto"/>
      </w:divBdr>
    </w:div>
    <w:div w:id="1037125761">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7316267">
      <w:bodyDiv w:val="1"/>
      <w:marLeft w:val="0"/>
      <w:marRight w:val="0"/>
      <w:marTop w:val="0"/>
      <w:marBottom w:val="0"/>
      <w:divBdr>
        <w:top w:val="none" w:sz="0" w:space="0" w:color="auto"/>
        <w:left w:val="none" w:sz="0" w:space="0" w:color="auto"/>
        <w:bottom w:val="none" w:sz="0" w:space="0" w:color="auto"/>
        <w:right w:val="none" w:sz="0" w:space="0" w:color="auto"/>
      </w:divBdr>
    </w:div>
    <w:div w:id="1037581836">
      <w:bodyDiv w:val="1"/>
      <w:marLeft w:val="0"/>
      <w:marRight w:val="0"/>
      <w:marTop w:val="0"/>
      <w:marBottom w:val="0"/>
      <w:divBdr>
        <w:top w:val="none" w:sz="0" w:space="0" w:color="auto"/>
        <w:left w:val="none" w:sz="0" w:space="0" w:color="auto"/>
        <w:bottom w:val="none" w:sz="0" w:space="0" w:color="auto"/>
        <w:right w:val="none" w:sz="0" w:space="0" w:color="auto"/>
      </w:divBdr>
    </w:div>
    <w:div w:id="1038046531">
      <w:bodyDiv w:val="1"/>
      <w:marLeft w:val="0"/>
      <w:marRight w:val="0"/>
      <w:marTop w:val="0"/>
      <w:marBottom w:val="0"/>
      <w:divBdr>
        <w:top w:val="none" w:sz="0" w:space="0" w:color="auto"/>
        <w:left w:val="none" w:sz="0" w:space="0" w:color="auto"/>
        <w:bottom w:val="none" w:sz="0" w:space="0" w:color="auto"/>
        <w:right w:val="none" w:sz="0" w:space="0" w:color="auto"/>
      </w:divBdr>
    </w:div>
    <w:div w:id="1038702018">
      <w:bodyDiv w:val="1"/>
      <w:marLeft w:val="0"/>
      <w:marRight w:val="0"/>
      <w:marTop w:val="0"/>
      <w:marBottom w:val="0"/>
      <w:divBdr>
        <w:top w:val="none" w:sz="0" w:space="0" w:color="auto"/>
        <w:left w:val="none" w:sz="0" w:space="0" w:color="auto"/>
        <w:bottom w:val="none" w:sz="0" w:space="0" w:color="auto"/>
        <w:right w:val="none" w:sz="0" w:space="0" w:color="auto"/>
      </w:divBdr>
    </w:div>
    <w:div w:id="1039017654">
      <w:bodyDiv w:val="1"/>
      <w:marLeft w:val="0"/>
      <w:marRight w:val="0"/>
      <w:marTop w:val="0"/>
      <w:marBottom w:val="0"/>
      <w:divBdr>
        <w:top w:val="none" w:sz="0" w:space="0" w:color="auto"/>
        <w:left w:val="none" w:sz="0" w:space="0" w:color="auto"/>
        <w:bottom w:val="none" w:sz="0" w:space="0" w:color="auto"/>
        <w:right w:val="none" w:sz="0" w:space="0" w:color="auto"/>
      </w:divBdr>
    </w:div>
    <w:div w:id="1039166002">
      <w:bodyDiv w:val="1"/>
      <w:marLeft w:val="0"/>
      <w:marRight w:val="0"/>
      <w:marTop w:val="0"/>
      <w:marBottom w:val="0"/>
      <w:divBdr>
        <w:top w:val="none" w:sz="0" w:space="0" w:color="auto"/>
        <w:left w:val="none" w:sz="0" w:space="0" w:color="auto"/>
        <w:bottom w:val="none" w:sz="0" w:space="0" w:color="auto"/>
        <w:right w:val="none" w:sz="0" w:space="0" w:color="auto"/>
      </w:divBdr>
    </w:div>
    <w:div w:id="1039285153">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39860444">
      <w:bodyDiv w:val="1"/>
      <w:marLeft w:val="0"/>
      <w:marRight w:val="0"/>
      <w:marTop w:val="0"/>
      <w:marBottom w:val="0"/>
      <w:divBdr>
        <w:top w:val="none" w:sz="0" w:space="0" w:color="auto"/>
        <w:left w:val="none" w:sz="0" w:space="0" w:color="auto"/>
        <w:bottom w:val="none" w:sz="0" w:space="0" w:color="auto"/>
        <w:right w:val="none" w:sz="0" w:space="0" w:color="auto"/>
      </w:divBdr>
    </w:div>
    <w:div w:id="1040088761">
      <w:bodyDiv w:val="1"/>
      <w:marLeft w:val="0"/>
      <w:marRight w:val="0"/>
      <w:marTop w:val="0"/>
      <w:marBottom w:val="0"/>
      <w:divBdr>
        <w:top w:val="none" w:sz="0" w:space="0" w:color="auto"/>
        <w:left w:val="none" w:sz="0" w:space="0" w:color="auto"/>
        <w:bottom w:val="none" w:sz="0" w:space="0" w:color="auto"/>
        <w:right w:val="none" w:sz="0" w:space="0" w:color="auto"/>
      </w:divBdr>
    </w:div>
    <w:div w:id="1040205055">
      <w:bodyDiv w:val="1"/>
      <w:marLeft w:val="0"/>
      <w:marRight w:val="0"/>
      <w:marTop w:val="0"/>
      <w:marBottom w:val="0"/>
      <w:divBdr>
        <w:top w:val="none" w:sz="0" w:space="0" w:color="auto"/>
        <w:left w:val="none" w:sz="0" w:space="0" w:color="auto"/>
        <w:bottom w:val="none" w:sz="0" w:space="0" w:color="auto"/>
        <w:right w:val="none" w:sz="0" w:space="0" w:color="auto"/>
      </w:divBdr>
    </w:div>
    <w:div w:id="1040713728">
      <w:bodyDiv w:val="1"/>
      <w:marLeft w:val="0"/>
      <w:marRight w:val="0"/>
      <w:marTop w:val="0"/>
      <w:marBottom w:val="0"/>
      <w:divBdr>
        <w:top w:val="none" w:sz="0" w:space="0" w:color="auto"/>
        <w:left w:val="none" w:sz="0" w:space="0" w:color="auto"/>
        <w:bottom w:val="none" w:sz="0" w:space="0" w:color="auto"/>
        <w:right w:val="none" w:sz="0" w:space="0" w:color="auto"/>
      </w:divBdr>
    </w:div>
    <w:div w:id="1041171567">
      <w:bodyDiv w:val="1"/>
      <w:marLeft w:val="0"/>
      <w:marRight w:val="0"/>
      <w:marTop w:val="0"/>
      <w:marBottom w:val="0"/>
      <w:divBdr>
        <w:top w:val="none" w:sz="0" w:space="0" w:color="auto"/>
        <w:left w:val="none" w:sz="0" w:space="0" w:color="auto"/>
        <w:bottom w:val="none" w:sz="0" w:space="0" w:color="auto"/>
        <w:right w:val="none" w:sz="0" w:space="0" w:color="auto"/>
      </w:divBdr>
    </w:div>
    <w:div w:id="1041249177">
      <w:bodyDiv w:val="1"/>
      <w:marLeft w:val="0"/>
      <w:marRight w:val="0"/>
      <w:marTop w:val="0"/>
      <w:marBottom w:val="0"/>
      <w:divBdr>
        <w:top w:val="none" w:sz="0" w:space="0" w:color="auto"/>
        <w:left w:val="none" w:sz="0" w:space="0" w:color="auto"/>
        <w:bottom w:val="none" w:sz="0" w:space="0" w:color="auto"/>
        <w:right w:val="none" w:sz="0" w:space="0" w:color="auto"/>
      </w:divBdr>
    </w:div>
    <w:div w:id="1041443674">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41825880">
      <w:bodyDiv w:val="1"/>
      <w:marLeft w:val="0"/>
      <w:marRight w:val="0"/>
      <w:marTop w:val="0"/>
      <w:marBottom w:val="0"/>
      <w:divBdr>
        <w:top w:val="none" w:sz="0" w:space="0" w:color="auto"/>
        <w:left w:val="none" w:sz="0" w:space="0" w:color="auto"/>
        <w:bottom w:val="none" w:sz="0" w:space="0" w:color="auto"/>
        <w:right w:val="none" w:sz="0" w:space="0" w:color="auto"/>
      </w:divBdr>
    </w:div>
    <w:div w:id="1042362260">
      <w:bodyDiv w:val="1"/>
      <w:marLeft w:val="0"/>
      <w:marRight w:val="0"/>
      <w:marTop w:val="0"/>
      <w:marBottom w:val="0"/>
      <w:divBdr>
        <w:top w:val="none" w:sz="0" w:space="0" w:color="auto"/>
        <w:left w:val="none" w:sz="0" w:space="0" w:color="auto"/>
        <w:bottom w:val="none" w:sz="0" w:space="0" w:color="auto"/>
        <w:right w:val="none" w:sz="0" w:space="0" w:color="auto"/>
      </w:divBdr>
    </w:div>
    <w:div w:id="1043287822">
      <w:bodyDiv w:val="1"/>
      <w:marLeft w:val="0"/>
      <w:marRight w:val="0"/>
      <w:marTop w:val="0"/>
      <w:marBottom w:val="0"/>
      <w:divBdr>
        <w:top w:val="none" w:sz="0" w:space="0" w:color="auto"/>
        <w:left w:val="none" w:sz="0" w:space="0" w:color="auto"/>
        <w:bottom w:val="none" w:sz="0" w:space="0" w:color="auto"/>
        <w:right w:val="none" w:sz="0" w:space="0" w:color="auto"/>
      </w:divBdr>
    </w:div>
    <w:div w:id="1043289210">
      <w:bodyDiv w:val="1"/>
      <w:marLeft w:val="0"/>
      <w:marRight w:val="0"/>
      <w:marTop w:val="0"/>
      <w:marBottom w:val="0"/>
      <w:divBdr>
        <w:top w:val="none" w:sz="0" w:space="0" w:color="auto"/>
        <w:left w:val="none" w:sz="0" w:space="0" w:color="auto"/>
        <w:bottom w:val="none" w:sz="0" w:space="0" w:color="auto"/>
        <w:right w:val="none" w:sz="0" w:space="0" w:color="auto"/>
      </w:divBdr>
    </w:div>
    <w:div w:id="1043552452">
      <w:bodyDiv w:val="1"/>
      <w:marLeft w:val="0"/>
      <w:marRight w:val="0"/>
      <w:marTop w:val="0"/>
      <w:marBottom w:val="0"/>
      <w:divBdr>
        <w:top w:val="none" w:sz="0" w:space="0" w:color="auto"/>
        <w:left w:val="none" w:sz="0" w:space="0" w:color="auto"/>
        <w:bottom w:val="none" w:sz="0" w:space="0" w:color="auto"/>
        <w:right w:val="none" w:sz="0" w:space="0" w:color="auto"/>
      </w:divBdr>
    </w:div>
    <w:div w:id="1044061460">
      <w:bodyDiv w:val="1"/>
      <w:marLeft w:val="0"/>
      <w:marRight w:val="0"/>
      <w:marTop w:val="0"/>
      <w:marBottom w:val="0"/>
      <w:divBdr>
        <w:top w:val="none" w:sz="0" w:space="0" w:color="auto"/>
        <w:left w:val="none" w:sz="0" w:space="0" w:color="auto"/>
        <w:bottom w:val="none" w:sz="0" w:space="0" w:color="auto"/>
        <w:right w:val="none" w:sz="0" w:space="0" w:color="auto"/>
      </w:divBdr>
    </w:div>
    <w:div w:id="1044401450">
      <w:bodyDiv w:val="1"/>
      <w:marLeft w:val="0"/>
      <w:marRight w:val="0"/>
      <w:marTop w:val="0"/>
      <w:marBottom w:val="0"/>
      <w:divBdr>
        <w:top w:val="none" w:sz="0" w:space="0" w:color="auto"/>
        <w:left w:val="none" w:sz="0" w:space="0" w:color="auto"/>
        <w:bottom w:val="none" w:sz="0" w:space="0" w:color="auto"/>
        <w:right w:val="none" w:sz="0" w:space="0" w:color="auto"/>
      </w:divBdr>
    </w:div>
    <w:div w:id="1044720914">
      <w:bodyDiv w:val="1"/>
      <w:marLeft w:val="0"/>
      <w:marRight w:val="0"/>
      <w:marTop w:val="0"/>
      <w:marBottom w:val="0"/>
      <w:divBdr>
        <w:top w:val="none" w:sz="0" w:space="0" w:color="auto"/>
        <w:left w:val="none" w:sz="0" w:space="0" w:color="auto"/>
        <w:bottom w:val="none" w:sz="0" w:space="0" w:color="auto"/>
        <w:right w:val="none" w:sz="0" w:space="0" w:color="auto"/>
      </w:divBdr>
    </w:div>
    <w:div w:id="1044909082">
      <w:bodyDiv w:val="1"/>
      <w:marLeft w:val="0"/>
      <w:marRight w:val="0"/>
      <w:marTop w:val="0"/>
      <w:marBottom w:val="0"/>
      <w:divBdr>
        <w:top w:val="none" w:sz="0" w:space="0" w:color="auto"/>
        <w:left w:val="none" w:sz="0" w:space="0" w:color="auto"/>
        <w:bottom w:val="none" w:sz="0" w:space="0" w:color="auto"/>
        <w:right w:val="none" w:sz="0" w:space="0" w:color="auto"/>
      </w:divBdr>
    </w:div>
    <w:div w:id="1044981325">
      <w:bodyDiv w:val="1"/>
      <w:marLeft w:val="0"/>
      <w:marRight w:val="0"/>
      <w:marTop w:val="0"/>
      <w:marBottom w:val="0"/>
      <w:divBdr>
        <w:top w:val="none" w:sz="0" w:space="0" w:color="auto"/>
        <w:left w:val="none" w:sz="0" w:space="0" w:color="auto"/>
        <w:bottom w:val="none" w:sz="0" w:space="0" w:color="auto"/>
        <w:right w:val="none" w:sz="0" w:space="0" w:color="auto"/>
      </w:divBdr>
    </w:div>
    <w:div w:id="1045254793">
      <w:bodyDiv w:val="1"/>
      <w:marLeft w:val="0"/>
      <w:marRight w:val="0"/>
      <w:marTop w:val="0"/>
      <w:marBottom w:val="0"/>
      <w:divBdr>
        <w:top w:val="none" w:sz="0" w:space="0" w:color="auto"/>
        <w:left w:val="none" w:sz="0" w:space="0" w:color="auto"/>
        <w:bottom w:val="none" w:sz="0" w:space="0" w:color="auto"/>
        <w:right w:val="none" w:sz="0" w:space="0" w:color="auto"/>
      </w:divBdr>
    </w:div>
    <w:div w:id="1046098558">
      <w:bodyDiv w:val="1"/>
      <w:marLeft w:val="0"/>
      <w:marRight w:val="0"/>
      <w:marTop w:val="0"/>
      <w:marBottom w:val="0"/>
      <w:divBdr>
        <w:top w:val="none" w:sz="0" w:space="0" w:color="auto"/>
        <w:left w:val="none" w:sz="0" w:space="0" w:color="auto"/>
        <w:bottom w:val="none" w:sz="0" w:space="0" w:color="auto"/>
        <w:right w:val="none" w:sz="0" w:space="0" w:color="auto"/>
      </w:divBdr>
    </w:div>
    <w:div w:id="1046182795">
      <w:bodyDiv w:val="1"/>
      <w:marLeft w:val="0"/>
      <w:marRight w:val="0"/>
      <w:marTop w:val="0"/>
      <w:marBottom w:val="0"/>
      <w:divBdr>
        <w:top w:val="none" w:sz="0" w:space="0" w:color="auto"/>
        <w:left w:val="none" w:sz="0" w:space="0" w:color="auto"/>
        <w:bottom w:val="none" w:sz="0" w:space="0" w:color="auto"/>
        <w:right w:val="none" w:sz="0" w:space="0" w:color="auto"/>
      </w:divBdr>
    </w:div>
    <w:div w:id="1046292153">
      <w:bodyDiv w:val="1"/>
      <w:marLeft w:val="0"/>
      <w:marRight w:val="0"/>
      <w:marTop w:val="0"/>
      <w:marBottom w:val="0"/>
      <w:divBdr>
        <w:top w:val="none" w:sz="0" w:space="0" w:color="auto"/>
        <w:left w:val="none" w:sz="0" w:space="0" w:color="auto"/>
        <w:bottom w:val="none" w:sz="0" w:space="0" w:color="auto"/>
        <w:right w:val="none" w:sz="0" w:space="0" w:color="auto"/>
      </w:divBdr>
    </w:div>
    <w:div w:id="1046414518">
      <w:bodyDiv w:val="1"/>
      <w:marLeft w:val="0"/>
      <w:marRight w:val="0"/>
      <w:marTop w:val="0"/>
      <w:marBottom w:val="0"/>
      <w:divBdr>
        <w:top w:val="none" w:sz="0" w:space="0" w:color="auto"/>
        <w:left w:val="none" w:sz="0" w:space="0" w:color="auto"/>
        <w:bottom w:val="none" w:sz="0" w:space="0" w:color="auto"/>
        <w:right w:val="none" w:sz="0" w:space="0" w:color="auto"/>
      </w:divBdr>
    </w:div>
    <w:div w:id="1046442909">
      <w:bodyDiv w:val="1"/>
      <w:marLeft w:val="0"/>
      <w:marRight w:val="0"/>
      <w:marTop w:val="0"/>
      <w:marBottom w:val="0"/>
      <w:divBdr>
        <w:top w:val="none" w:sz="0" w:space="0" w:color="auto"/>
        <w:left w:val="none" w:sz="0" w:space="0" w:color="auto"/>
        <w:bottom w:val="none" w:sz="0" w:space="0" w:color="auto"/>
        <w:right w:val="none" w:sz="0" w:space="0" w:color="auto"/>
      </w:divBdr>
    </w:div>
    <w:div w:id="1046565342">
      <w:bodyDiv w:val="1"/>
      <w:marLeft w:val="0"/>
      <w:marRight w:val="0"/>
      <w:marTop w:val="0"/>
      <w:marBottom w:val="0"/>
      <w:divBdr>
        <w:top w:val="none" w:sz="0" w:space="0" w:color="auto"/>
        <w:left w:val="none" w:sz="0" w:space="0" w:color="auto"/>
        <w:bottom w:val="none" w:sz="0" w:space="0" w:color="auto"/>
        <w:right w:val="none" w:sz="0" w:space="0" w:color="auto"/>
      </w:divBdr>
    </w:div>
    <w:div w:id="1046756576">
      <w:bodyDiv w:val="1"/>
      <w:marLeft w:val="0"/>
      <w:marRight w:val="0"/>
      <w:marTop w:val="0"/>
      <w:marBottom w:val="0"/>
      <w:divBdr>
        <w:top w:val="none" w:sz="0" w:space="0" w:color="auto"/>
        <w:left w:val="none" w:sz="0" w:space="0" w:color="auto"/>
        <w:bottom w:val="none" w:sz="0" w:space="0" w:color="auto"/>
        <w:right w:val="none" w:sz="0" w:space="0" w:color="auto"/>
      </w:divBdr>
    </w:div>
    <w:div w:id="1047100123">
      <w:bodyDiv w:val="1"/>
      <w:marLeft w:val="0"/>
      <w:marRight w:val="0"/>
      <w:marTop w:val="0"/>
      <w:marBottom w:val="0"/>
      <w:divBdr>
        <w:top w:val="none" w:sz="0" w:space="0" w:color="auto"/>
        <w:left w:val="none" w:sz="0" w:space="0" w:color="auto"/>
        <w:bottom w:val="none" w:sz="0" w:space="0" w:color="auto"/>
        <w:right w:val="none" w:sz="0" w:space="0" w:color="auto"/>
      </w:divBdr>
    </w:div>
    <w:div w:id="1047140252">
      <w:bodyDiv w:val="1"/>
      <w:marLeft w:val="0"/>
      <w:marRight w:val="0"/>
      <w:marTop w:val="0"/>
      <w:marBottom w:val="0"/>
      <w:divBdr>
        <w:top w:val="none" w:sz="0" w:space="0" w:color="auto"/>
        <w:left w:val="none" w:sz="0" w:space="0" w:color="auto"/>
        <w:bottom w:val="none" w:sz="0" w:space="0" w:color="auto"/>
        <w:right w:val="none" w:sz="0" w:space="0" w:color="auto"/>
      </w:divBdr>
    </w:div>
    <w:div w:id="1047143501">
      <w:bodyDiv w:val="1"/>
      <w:marLeft w:val="0"/>
      <w:marRight w:val="0"/>
      <w:marTop w:val="0"/>
      <w:marBottom w:val="0"/>
      <w:divBdr>
        <w:top w:val="none" w:sz="0" w:space="0" w:color="auto"/>
        <w:left w:val="none" w:sz="0" w:space="0" w:color="auto"/>
        <w:bottom w:val="none" w:sz="0" w:space="0" w:color="auto"/>
        <w:right w:val="none" w:sz="0" w:space="0" w:color="auto"/>
      </w:divBdr>
    </w:div>
    <w:div w:id="1047215460">
      <w:bodyDiv w:val="1"/>
      <w:marLeft w:val="0"/>
      <w:marRight w:val="0"/>
      <w:marTop w:val="0"/>
      <w:marBottom w:val="0"/>
      <w:divBdr>
        <w:top w:val="none" w:sz="0" w:space="0" w:color="auto"/>
        <w:left w:val="none" w:sz="0" w:space="0" w:color="auto"/>
        <w:bottom w:val="none" w:sz="0" w:space="0" w:color="auto"/>
        <w:right w:val="none" w:sz="0" w:space="0" w:color="auto"/>
      </w:divBdr>
    </w:div>
    <w:div w:id="1047411784">
      <w:bodyDiv w:val="1"/>
      <w:marLeft w:val="0"/>
      <w:marRight w:val="0"/>
      <w:marTop w:val="0"/>
      <w:marBottom w:val="0"/>
      <w:divBdr>
        <w:top w:val="none" w:sz="0" w:space="0" w:color="auto"/>
        <w:left w:val="none" w:sz="0" w:space="0" w:color="auto"/>
        <w:bottom w:val="none" w:sz="0" w:space="0" w:color="auto"/>
        <w:right w:val="none" w:sz="0" w:space="0" w:color="auto"/>
      </w:divBdr>
    </w:div>
    <w:div w:id="1047608167">
      <w:bodyDiv w:val="1"/>
      <w:marLeft w:val="0"/>
      <w:marRight w:val="0"/>
      <w:marTop w:val="0"/>
      <w:marBottom w:val="0"/>
      <w:divBdr>
        <w:top w:val="none" w:sz="0" w:space="0" w:color="auto"/>
        <w:left w:val="none" w:sz="0" w:space="0" w:color="auto"/>
        <w:bottom w:val="none" w:sz="0" w:space="0" w:color="auto"/>
        <w:right w:val="none" w:sz="0" w:space="0" w:color="auto"/>
      </w:divBdr>
    </w:div>
    <w:div w:id="1047678648">
      <w:bodyDiv w:val="1"/>
      <w:marLeft w:val="0"/>
      <w:marRight w:val="0"/>
      <w:marTop w:val="0"/>
      <w:marBottom w:val="0"/>
      <w:divBdr>
        <w:top w:val="none" w:sz="0" w:space="0" w:color="auto"/>
        <w:left w:val="none" w:sz="0" w:space="0" w:color="auto"/>
        <w:bottom w:val="none" w:sz="0" w:space="0" w:color="auto"/>
        <w:right w:val="none" w:sz="0" w:space="0" w:color="auto"/>
      </w:divBdr>
    </w:div>
    <w:div w:id="1047679536">
      <w:bodyDiv w:val="1"/>
      <w:marLeft w:val="0"/>
      <w:marRight w:val="0"/>
      <w:marTop w:val="0"/>
      <w:marBottom w:val="0"/>
      <w:divBdr>
        <w:top w:val="none" w:sz="0" w:space="0" w:color="auto"/>
        <w:left w:val="none" w:sz="0" w:space="0" w:color="auto"/>
        <w:bottom w:val="none" w:sz="0" w:space="0" w:color="auto"/>
        <w:right w:val="none" w:sz="0" w:space="0" w:color="auto"/>
      </w:divBdr>
    </w:div>
    <w:div w:id="1047686395">
      <w:bodyDiv w:val="1"/>
      <w:marLeft w:val="0"/>
      <w:marRight w:val="0"/>
      <w:marTop w:val="0"/>
      <w:marBottom w:val="0"/>
      <w:divBdr>
        <w:top w:val="none" w:sz="0" w:space="0" w:color="auto"/>
        <w:left w:val="none" w:sz="0" w:space="0" w:color="auto"/>
        <w:bottom w:val="none" w:sz="0" w:space="0" w:color="auto"/>
        <w:right w:val="none" w:sz="0" w:space="0" w:color="auto"/>
      </w:divBdr>
    </w:div>
    <w:div w:id="1048800506">
      <w:bodyDiv w:val="1"/>
      <w:marLeft w:val="0"/>
      <w:marRight w:val="0"/>
      <w:marTop w:val="0"/>
      <w:marBottom w:val="0"/>
      <w:divBdr>
        <w:top w:val="none" w:sz="0" w:space="0" w:color="auto"/>
        <w:left w:val="none" w:sz="0" w:space="0" w:color="auto"/>
        <w:bottom w:val="none" w:sz="0" w:space="0" w:color="auto"/>
        <w:right w:val="none" w:sz="0" w:space="0" w:color="auto"/>
      </w:divBdr>
    </w:div>
    <w:div w:id="1049185045">
      <w:bodyDiv w:val="1"/>
      <w:marLeft w:val="0"/>
      <w:marRight w:val="0"/>
      <w:marTop w:val="0"/>
      <w:marBottom w:val="0"/>
      <w:divBdr>
        <w:top w:val="none" w:sz="0" w:space="0" w:color="auto"/>
        <w:left w:val="none" w:sz="0" w:space="0" w:color="auto"/>
        <w:bottom w:val="none" w:sz="0" w:space="0" w:color="auto"/>
        <w:right w:val="none" w:sz="0" w:space="0" w:color="auto"/>
      </w:divBdr>
    </w:div>
    <w:div w:id="1049187599">
      <w:bodyDiv w:val="1"/>
      <w:marLeft w:val="0"/>
      <w:marRight w:val="0"/>
      <w:marTop w:val="0"/>
      <w:marBottom w:val="0"/>
      <w:divBdr>
        <w:top w:val="none" w:sz="0" w:space="0" w:color="auto"/>
        <w:left w:val="none" w:sz="0" w:space="0" w:color="auto"/>
        <w:bottom w:val="none" w:sz="0" w:space="0" w:color="auto"/>
        <w:right w:val="none" w:sz="0" w:space="0" w:color="auto"/>
      </w:divBdr>
    </w:div>
    <w:div w:id="1049958184">
      <w:bodyDiv w:val="1"/>
      <w:marLeft w:val="0"/>
      <w:marRight w:val="0"/>
      <w:marTop w:val="0"/>
      <w:marBottom w:val="0"/>
      <w:divBdr>
        <w:top w:val="none" w:sz="0" w:space="0" w:color="auto"/>
        <w:left w:val="none" w:sz="0" w:space="0" w:color="auto"/>
        <w:bottom w:val="none" w:sz="0" w:space="0" w:color="auto"/>
        <w:right w:val="none" w:sz="0" w:space="0" w:color="auto"/>
      </w:divBdr>
    </w:div>
    <w:div w:id="1050036911">
      <w:bodyDiv w:val="1"/>
      <w:marLeft w:val="0"/>
      <w:marRight w:val="0"/>
      <w:marTop w:val="0"/>
      <w:marBottom w:val="0"/>
      <w:divBdr>
        <w:top w:val="none" w:sz="0" w:space="0" w:color="auto"/>
        <w:left w:val="none" w:sz="0" w:space="0" w:color="auto"/>
        <w:bottom w:val="none" w:sz="0" w:space="0" w:color="auto"/>
        <w:right w:val="none" w:sz="0" w:space="0" w:color="auto"/>
      </w:divBdr>
    </w:div>
    <w:div w:id="1050107650">
      <w:bodyDiv w:val="1"/>
      <w:marLeft w:val="0"/>
      <w:marRight w:val="0"/>
      <w:marTop w:val="0"/>
      <w:marBottom w:val="0"/>
      <w:divBdr>
        <w:top w:val="none" w:sz="0" w:space="0" w:color="auto"/>
        <w:left w:val="none" w:sz="0" w:space="0" w:color="auto"/>
        <w:bottom w:val="none" w:sz="0" w:space="0" w:color="auto"/>
        <w:right w:val="none" w:sz="0" w:space="0" w:color="auto"/>
      </w:divBdr>
    </w:div>
    <w:div w:id="1050307124">
      <w:bodyDiv w:val="1"/>
      <w:marLeft w:val="0"/>
      <w:marRight w:val="0"/>
      <w:marTop w:val="0"/>
      <w:marBottom w:val="0"/>
      <w:divBdr>
        <w:top w:val="none" w:sz="0" w:space="0" w:color="auto"/>
        <w:left w:val="none" w:sz="0" w:space="0" w:color="auto"/>
        <w:bottom w:val="none" w:sz="0" w:space="0" w:color="auto"/>
        <w:right w:val="none" w:sz="0" w:space="0" w:color="auto"/>
      </w:divBdr>
    </w:div>
    <w:div w:id="1050307533">
      <w:bodyDiv w:val="1"/>
      <w:marLeft w:val="0"/>
      <w:marRight w:val="0"/>
      <w:marTop w:val="0"/>
      <w:marBottom w:val="0"/>
      <w:divBdr>
        <w:top w:val="none" w:sz="0" w:space="0" w:color="auto"/>
        <w:left w:val="none" w:sz="0" w:space="0" w:color="auto"/>
        <w:bottom w:val="none" w:sz="0" w:space="0" w:color="auto"/>
        <w:right w:val="none" w:sz="0" w:space="0" w:color="auto"/>
      </w:divBdr>
    </w:div>
    <w:div w:id="1050493358">
      <w:bodyDiv w:val="1"/>
      <w:marLeft w:val="0"/>
      <w:marRight w:val="0"/>
      <w:marTop w:val="0"/>
      <w:marBottom w:val="0"/>
      <w:divBdr>
        <w:top w:val="none" w:sz="0" w:space="0" w:color="auto"/>
        <w:left w:val="none" w:sz="0" w:space="0" w:color="auto"/>
        <w:bottom w:val="none" w:sz="0" w:space="0" w:color="auto"/>
        <w:right w:val="none" w:sz="0" w:space="0" w:color="auto"/>
      </w:divBdr>
    </w:div>
    <w:div w:id="1050496912">
      <w:bodyDiv w:val="1"/>
      <w:marLeft w:val="0"/>
      <w:marRight w:val="0"/>
      <w:marTop w:val="0"/>
      <w:marBottom w:val="0"/>
      <w:divBdr>
        <w:top w:val="none" w:sz="0" w:space="0" w:color="auto"/>
        <w:left w:val="none" w:sz="0" w:space="0" w:color="auto"/>
        <w:bottom w:val="none" w:sz="0" w:space="0" w:color="auto"/>
        <w:right w:val="none" w:sz="0" w:space="0" w:color="auto"/>
      </w:divBdr>
    </w:div>
    <w:div w:id="1050765387">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1002363">
      <w:bodyDiv w:val="1"/>
      <w:marLeft w:val="0"/>
      <w:marRight w:val="0"/>
      <w:marTop w:val="0"/>
      <w:marBottom w:val="0"/>
      <w:divBdr>
        <w:top w:val="none" w:sz="0" w:space="0" w:color="auto"/>
        <w:left w:val="none" w:sz="0" w:space="0" w:color="auto"/>
        <w:bottom w:val="none" w:sz="0" w:space="0" w:color="auto"/>
        <w:right w:val="none" w:sz="0" w:space="0" w:color="auto"/>
      </w:divBdr>
    </w:div>
    <w:div w:id="1051146947">
      <w:bodyDiv w:val="1"/>
      <w:marLeft w:val="0"/>
      <w:marRight w:val="0"/>
      <w:marTop w:val="0"/>
      <w:marBottom w:val="0"/>
      <w:divBdr>
        <w:top w:val="none" w:sz="0" w:space="0" w:color="auto"/>
        <w:left w:val="none" w:sz="0" w:space="0" w:color="auto"/>
        <w:bottom w:val="none" w:sz="0" w:space="0" w:color="auto"/>
        <w:right w:val="none" w:sz="0" w:space="0" w:color="auto"/>
      </w:divBdr>
    </w:div>
    <w:div w:id="1051224399">
      <w:bodyDiv w:val="1"/>
      <w:marLeft w:val="0"/>
      <w:marRight w:val="0"/>
      <w:marTop w:val="0"/>
      <w:marBottom w:val="0"/>
      <w:divBdr>
        <w:top w:val="none" w:sz="0" w:space="0" w:color="auto"/>
        <w:left w:val="none" w:sz="0" w:space="0" w:color="auto"/>
        <w:bottom w:val="none" w:sz="0" w:space="0" w:color="auto"/>
        <w:right w:val="none" w:sz="0" w:space="0" w:color="auto"/>
      </w:divBdr>
    </w:div>
    <w:div w:id="1051271796">
      <w:bodyDiv w:val="1"/>
      <w:marLeft w:val="0"/>
      <w:marRight w:val="0"/>
      <w:marTop w:val="0"/>
      <w:marBottom w:val="0"/>
      <w:divBdr>
        <w:top w:val="none" w:sz="0" w:space="0" w:color="auto"/>
        <w:left w:val="none" w:sz="0" w:space="0" w:color="auto"/>
        <w:bottom w:val="none" w:sz="0" w:space="0" w:color="auto"/>
        <w:right w:val="none" w:sz="0" w:space="0" w:color="auto"/>
      </w:divBdr>
    </w:div>
    <w:div w:id="1051347561">
      <w:bodyDiv w:val="1"/>
      <w:marLeft w:val="0"/>
      <w:marRight w:val="0"/>
      <w:marTop w:val="0"/>
      <w:marBottom w:val="0"/>
      <w:divBdr>
        <w:top w:val="none" w:sz="0" w:space="0" w:color="auto"/>
        <w:left w:val="none" w:sz="0" w:space="0" w:color="auto"/>
        <w:bottom w:val="none" w:sz="0" w:space="0" w:color="auto"/>
        <w:right w:val="none" w:sz="0" w:space="0" w:color="auto"/>
      </w:divBdr>
    </w:div>
    <w:div w:id="1051419696">
      <w:bodyDiv w:val="1"/>
      <w:marLeft w:val="0"/>
      <w:marRight w:val="0"/>
      <w:marTop w:val="0"/>
      <w:marBottom w:val="0"/>
      <w:divBdr>
        <w:top w:val="none" w:sz="0" w:space="0" w:color="auto"/>
        <w:left w:val="none" w:sz="0" w:space="0" w:color="auto"/>
        <w:bottom w:val="none" w:sz="0" w:space="0" w:color="auto"/>
        <w:right w:val="none" w:sz="0" w:space="0" w:color="auto"/>
      </w:divBdr>
    </w:div>
    <w:div w:id="1053312044">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3507362">
      <w:bodyDiv w:val="1"/>
      <w:marLeft w:val="0"/>
      <w:marRight w:val="0"/>
      <w:marTop w:val="0"/>
      <w:marBottom w:val="0"/>
      <w:divBdr>
        <w:top w:val="none" w:sz="0" w:space="0" w:color="auto"/>
        <w:left w:val="none" w:sz="0" w:space="0" w:color="auto"/>
        <w:bottom w:val="none" w:sz="0" w:space="0" w:color="auto"/>
        <w:right w:val="none" w:sz="0" w:space="0" w:color="auto"/>
      </w:divBdr>
    </w:div>
    <w:div w:id="1053652140">
      <w:bodyDiv w:val="1"/>
      <w:marLeft w:val="0"/>
      <w:marRight w:val="0"/>
      <w:marTop w:val="0"/>
      <w:marBottom w:val="0"/>
      <w:divBdr>
        <w:top w:val="none" w:sz="0" w:space="0" w:color="auto"/>
        <w:left w:val="none" w:sz="0" w:space="0" w:color="auto"/>
        <w:bottom w:val="none" w:sz="0" w:space="0" w:color="auto"/>
        <w:right w:val="none" w:sz="0" w:space="0" w:color="auto"/>
      </w:divBdr>
    </w:div>
    <w:div w:id="1053969369">
      <w:bodyDiv w:val="1"/>
      <w:marLeft w:val="0"/>
      <w:marRight w:val="0"/>
      <w:marTop w:val="0"/>
      <w:marBottom w:val="0"/>
      <w:divBdr>
        <w:top w:val="none" w:sz="0" w:space="0" w:color="auto"/>
        <w:left w:val="none" w:sz="0" w:space="0" w:color="auto"/>
        <w:bottom w:val="none" w:sz="0" w:space="0" w:color="auto"/>
        <w:right w:val="none" w:sz="0" w:space="0" w:color="auto"/>
      </w:divBdr>
    </w:div>
    <w:div w:id="1054236397">
      <w:bodyDiv w:val="1"/>
      <w:marLeft w:val="0"/>
      <w:marRight w:val="0"/>
      <w:marTop w:val="0"/>
      <w:marBottom w:val="0"/>
      <w:divBdr>
        <w:top w:val="none" w:sz="0" w:space="0" w:color="auto"/>
        <w:left w:val="none" w:sz="0" w:space="0" w:color="auto"/>
        <w:bottom w:val="none" w:sz="0" w:space="0" w:color="auto"/>
        <w:right w:val="none" w:sz="0" w:space="0" w:color="auto"/>
      </w:divBdr>
    </w:div>
    <w:div w:id="1054503343">
      <w:bodyDiv w:val="1"/>
      <w:marLeft w:val="0"/>
      <w:marRight w:val="0"/>
      <w:marTop w:val="0"/>
      <w:marBottom w:val="0"/>
      <w:divBdr>
        <w:top w:val="none" w:sz="0" w:space="0" w:color="auto"/>
        <w:left w:val="none" w:sz="0" w:space="0" w:color="auto"/>
        <w:bottom w:val="none" w:sz="0" w:space="0" w:color="auto"/>
        <w:right w:val="none" w:sz="0" w:space="0" w:color="auto"/>
      </w:divBdr>
    </w:div>
    <w:div w:id="1054547608">
      <w:bodyDiv w:val="1"/>
      <w:marLeft w:val="0"/>
      <w:marRight w:val="0"/>
      <w:marTop w:val="0"/>
      <w:marBottom w:val="0"/>
      <w:divBdr>
        <w:top w:val="none" w:sz="0" w:space="0" w:color="auto"/>
        <w:left w:val="none" w:sz="0" w:space="0" w:color="auto"/>
        <w:bottom w:val="none" w:sz="0" w:space="0" w:color="auto"/>
        <w:right w:val="none" w:sz="0" w:space="0" w:color="auto"/>
      </w:divBdr>
    </w:div>
    <w:div w:id="1055156839">
      <w:bodyDiv w:val="1"/>
      <w:marLeft w:val="0"/>
      <w:marRight w:val="0"/>
      <w:marTop w:val="0"/>
      <w:marBottom w:val="0"/>
      <w:divBdr>
        <w:top w:val="none" w:sz="0" w:space="0" w:color="auto"/>
        <w:left w:val="none" w:sz="0" w:space="0" w:color="auto"/>
        <w:bottom w:val="none" w:sz="0" w:space="0" w:color="auto"/>
        <w:right w:val="none" w:sz="0" w:space="0" w:color="auto"/>
      </w:divBdr>
    </w:div>
    <w:div w:id="1055398889">
      <w:bodyDiv w:val="1"/>
      <w:marLeft w:val="0"/>
      <w:marRight w:val="0"/>
      <w:marTop w:val="0"/>
      <w:marBottom w:val="0"/>
      <w:divBdr>
        <w:top w:val="none" w:sz="0" w:space="0" w:color="auto"/>
        <w:left w:val="none" w:sz="0" w:space="0" w:color="auto"/>
        <w:bottom w:val="none" w:sz="0" w:space="0" w:color="auto"/>
        <w:right w:val="none" w:sz="0" w:space="0" w:color="auto"/>
      </w:divBdr>
    </w:div>
    <w:div w:id="1055547204">
      <w:bodyDiv w:val="1"/>
      <w:marLeft w:val="0"/>
      <w:marRight w:val="0"/>
      <w:marTop w:val="0"/>
      <w:marBottom w:val="0"/>
      <w:divBdr>
        <w:top w:val="none" w:sz="0" w:space="0" w:color="auto"/>
        <w:left w:val="none" w:sz="0" w:space="0" w:color="auto"/>
        <w:bottom w:val="none" w:sz="0" w:space="0" w:color="auto"/>
        <w:right w:val="none" w:sz="0" w:space="0" w:color="auto"/>
      </w:divBdr>
    </w:div>
    <w:div w:id="1056078904">
      <w:bodyDiv w:val="1"/>
      <w:marLeft w:val="0"/>
      <w:marRight w:val="0"/>
      <w:marTop w:val="0"/>
      <w:marBottom w:val="0"/>
      <w:divBdr>
        <w:top w:val="none" w:sz="0" w:space="0" w:color="auto"/>
        <w:left w:val="none" w:sz="0" w:space="0" w:color="auto"/>
        <w:bottom w:val="none" w:sz="0" w:space="0" w:color="auto"/>
        <w:right w:val="none" w:sz="0" w:space="0" w:color="auto"/>
      </w:divBdr>
    </w:div>
    <w:div w:id="1056245530">
      <w:bodyDiv w:val="1"/>
      <w:marLeft w:val="0"/>
      <w:marRight w:val="0"/>
      <w:marTop w:val="0"/>
      <w:marBottom w:val="0"/>
      <w:divBdr>
        <w:top w:val="none" w:sz="0" w:space="0" w:color="auto"/>
        <w:left w:val="none" w:sz="0" w:space="0" w:color="auto"/>
        <w:bottom w:val="none" w:sz="0" w:space="0" w:color="auto"/>
        <w:right w:val="none" w:sz="0" w:space="0" w:color="auto"/>
      </w:divBdr>
    </w:div>
    <w:div w:id="1056860066">
      <w:bodyDiv w:val="1"/>
      <w:marLeft w:val="0"/>
      <w:marRight w:val="0"/>
      <w:marTop w:val="0"/>
      <w:marBottom w:val="0"/>
      <w:divBdr>
        <w:top w:val="none" w:sz="0" w:space="0" w:color="auto"/>
        <w:left w:val="none" w:sz="0" w:space="0" w:color="auto"/>
        <w:bottom w:val="none" w:sz="0" w:space="0" w:color="auto"/>
        <w:right w:val="none" w:sz="0" w:space="0" w:color="auto"/>
      </w:divBdr>
    </w:div>
    <w:div w:id="1057509362">
      <w:bodyDiv w:val="1"/>
      <w:marLeft w:val="0"/>
      <w:marRight w:val="0"/>
      <w:marTop w:val="0"/>
      <w:marBottom w:val="0"/>
      <w:divBdr>
        <w:top w:val="none" w:sz="0" w:space="0" w:color="auto"/>
        <w:left w:val="none" w:sz="0" w:space="0" w:color="auto"/>
        <w:bottom w:val="none" w:sz="0" w:space="0" w:color="auto"/>
        <w:right w:val="none" w:sz="0" w:space="0" w:color="auto"/>
      </w:divBdr>
    </w:div>
    <w:div w:id="1057901395">
      <w:bodyDiv w:val="1"/>
      <w:marLeft w:val="0"/>
      <w:marRight w:val="0"/>
      <w:marTop w:val="0"/>
      <w:marBottom w:val="0"/>
      <w:divBdr>
        <w:top w:val="none" w:sz="0" w:space="0" w:color="auto"/>
        <w:left w:val="none" w:sz="0" w:space="0" w:color="auto"/>
        <w:bottom w:val="none" w:sz="0" w:space="0" w:color="auto"/>
        <w:right w:val="none" w:sz="0" w:space="0" w:color="auto"/>
      </w:divBdr>
    </w:div>
    <w:div w:id="1058238658">
      <w:bodyDiv w:val="1"/>
      <w:marLeft w:val="0"/>
      <w:marRight w:val="0"/>
      <w:marTop w:val="0"/>
      <w:marBottom w:val="0"/>
      <w:divBdr>
        <w:top w:val="none" w:sz="0" w:space="0" w:color="auto"/>
        <w:left w:val="none" w:sz="0" w:space="0" w:color="auto"/>
        <w:bottom w:val="none" w:sz="0" w:space="0" w:color="auto"/>
        <w:right w:val="none" w:sz="0" w:space="0" w:color="auto"/>
      </w:divBdr>
    </w:div>
    <w:div w:id="1059129273">
      <w:bodyDiv w:val="1"/>
      <w:marLeft w:val="0"/>
      <w:marRight w:val="0"/>
      <w:marTop w:val="0"/>
      <w:marBottom w:val="0"/>
      <w:divBdr>
        <w:top w:val="none" w:sz="0" w:space="0" w:color="auto"/>
        <w:left w:val="none" w:sz="0" w:space="0" w:color="auto"/>
        <w:bottom w:val="none" w:sz="0" w:space="0" w:color="auto"/>
        <w:right w:val="none" w:sz="0" w:space="0" w:color="auto"/>
      </w:divBdr>
    </w:div>
    <w:div w:id="1059211291">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59935306">
      <w:bodyDiv w:val="1"/>
      <w:marLeft w:val="0"/>
      <w:marRight w:val="0"/>
      <w:marTop w:val="0"/>
      <w:marBottom w:val="0"/>
      <w:divBdr>
        <w:top w:val="none" w:sz="0" w:space="0" w:color="auto"/>
        <w:left w:val="none" w:sz="0" w:space="0" w:color="auto"/>
        <w:bottom w:val="none" w:sz="0" w:space="0" w:color="auto"/>
        <w:right w:val="none" w:sz="0" w:space="0" w:color="auto"/>
      </w:divBdr>
    </w:div>
    <w:div w:id="1059936439">
      <w:bodyDiv w:val="1"/>
      <w:marLeft w:val="0"/>
      <w:marRight w:val="0"/>
      <w:marTop w:val="0"/>
      <w:marBottom w:val="0"/>
      <w:divBdr>
        <w:top w:val="none" w:sz="0" w:space="0" w:color="auto"/>
        <w:left w:val="none" w:sz="0" w:space="0" w:color="auto"/>
        <w:bottom w:val="none" w:sz="0" w:space="0" w:color="auto"/>
        <w:right w:val="none" w:sz="0" w:space="0" w:color="auto"/>
      </w:divBdr>
    </w:div>
    <w:div w:id="1060246886">
      <w:bodyDiv w:val="1"/>
      <w:marLeft w:val="0"/>
      <w:marRight w:val="0"/>
      <w:marTop w:val="0"/>
      <w:marBottom w:val="0"/>
      <w:divBdr>
        <w:top w:val="none" w:sz="0" w:space="0" w:color="auto"/>
        <w:left w:val="none" w:sz="0" w:space="0" w:color="auto"/>
        <w:bottom w:val="none" w:sz="0" w:space="0" w:color="auto"/>
        <w:right w:val="none" w:sz="0" w:space="0" w:color="auto"/>
      </w:divBdr>
    </w:div>
    <w:div w:id="1060402341">
      <w:bodyDiv w:val="1"/>
      <w:marLeft w:val="0"/>
      <w:marRight w:val="0"/>
      <w:marTop w:val="0"/>
      <w:marBottom w:val="0"/>
      <w:divBdr>
        <w:top w:val="none" w:sz="0" w:space="0" w:color="auto"/>
        <w:left w:val="none" w:sz="0" w:space="0" w:color="auto"/>
        <w:bottom w:val="none" w:sz="0" w:space="0" w:color="auto"/>
        <w:right w:val="none" w:sz="0" w:space="0" w:color="auto"/>
      </w:divBdr>
    </w:div>
    <w:div w:id="1061172066">
      <w:bodyDiv w:val="1"/>
      <w:marLeft w:val="0"/>
      <w:marRight w:val="0"/>
      <w:marTop w:val="0"/>
      <w:marBottom w:val="0"/>
      <w:divBdr>
        <w:top w:val="none" w:sz="0" w:space="0" w:color="auto"/>
        <w:left w:val="none" w:sz="0" w:space="0" w:color="auto"/>
        <w:bottom w:val="none" w:sz="0" w:space="0" w:color="auto"/>
        <w:right w:val="none" w:sz="0" w:space="0" w:color="auto"/>
      </w:divBdr>
    </w:div>
    <w:div w:id="1061635647">
      <w:bodyDiv w:val="1"/>
      <w:marLeft w:val="0"/>
      <w:marRight w:val="0"/>
      <w:marTop w:val="0"/>
      <w:marBottom w:val="0"/>
      <w:divBdr>
        <w:top w:val="none" w:sz="0" w:space="0" w:color="auto"/>
        <w:left w:val="none" w:sz="0" w:space="0" w:color="auto"/>
        <w:bottom w:val="none" w:sz="0" w:space="0" w:color="auto"/>
        <w:right w:val="none" w:sz="0" w:space="0" w:color="auto"/>
      </w:divBdr>
    </w:div>
    <w:div w:id="1061714584">
      <w:bodyDiv w:val="1"/>
      <w:marLeft w:val="0"/>
      <w:marRight w:val="0"/>
      <w:marTop w:val="0"/>
      <w:marBottom w:val="0"/>
      <w:divBdr>
        <w:top w:val="none" w:sz="0" w:space="0" w:color="auto"/>
        <w:left w:val="none" w:sz="0" w:space="0" w:color="auto"/>
        <w:bottom w:val="none" w:sz="0" w:space="0" w:color="auto"/>
        <w:right w:val="none" w:sz="0" w:space="0" w:color="auto"/>
      </w:divBdr>
    </w:div>
    <w:div w:id="1061905957">
      <w:bodyDiv w:val="1"/>
      <w:marLeft w:val="0"/>
      <w:marRight w:val="0"/>
      <w:marTop w:val="0"/>
      <w:marBottom w:val="0"/>
      <w:divBdr>
        <w:top w:val="none" w:sz="0" w:space="0" w:color="auto"/>
        <w:left w:val="none" w:sz="0" w:space="0" w:color="auto"/>
        <w:bottom w:val="none" w:sz="0" w:space="0" w:color="auto"/>
        <w:right w:val="none" w:sz="0" w:space="0" w:color="auto"/>
      </w:divBdr>
    </w:div>
    <w:div w:id="1062018071">
      <w:bodyDiv w:val="1"/>
      <w:marLeft w:val="0"/>
      <w:marRight w:val="0"/>
      <w:marTop w:val="0"/>
      <w:marBottom w:val="0"/>
      <w:divBdr>
        <w:top w:val="none" w:sz="0" w:space="0" w:color="auto"/>
        <w:left w:val="none" w:sz="0" w:space="0" w:color="auto"/>
        <w:bottom w:val="none" w:sz="0" w:space="0" w:color="auto"/>
        <w:right w:val="none" w:sz="0" w:space="0" w:color="auto"/>
      </w:divBdr>
    </w:div>
    <w:div w:id="1062557149">
      <w:bodyDiv w:val="1"/>
      <w:marLeft w:val="0"/>
      <w:marRight w:val="0"/>
      <w:marTop w:val="0"/>
      <w:marBottom w:val="0"/>
      <w:divBdr>
        <w:top w:val="none" w:sz="0" w:space="0" w:color="auto"/>
        <w:left w:val="none" w:sz="0" w:space="0" w:color="auto"/>
        <w:bottom w:val="none" w:sz="0" w:space="0" w:color="auto"/>
        <w:right w:val="none" w:sz="0" w:space="0" w:color="auto"/>
      </w:divBdr>
    </w:div>
    <w:div w:id="1062557430">
      <w:bodyDiv w:val="1"/>
      <w:marLeft w:val="0"/>
      <w:marRight w:val="0"/>
      <w:marTop w:val="0"/>
      <w:marBottom w:val="0"/>
      <w:divBdr>
        <w:top w:val="none" w:sz="0" w:space="0" w:color="auto"/>
        <w:left w:val="none" w:sz="0" w:space="0" w:color="auto"/>
        <w:bottom w:val="none" w:sz="0" w:space="0" w:color="auto"/>
        <w:right w:val="none" w:sz="0" w:space="0" w:color="auto"/>
      </w:divBdr>
    </w:div>
    <w:div w:id="1063715101">
      <w:bodyDiv w:val="1"/>
      <w:marLeft w:val="0"/>
      <w:marRight w:val="0"/>
      <w:marTop w:val="0"/>
      <w:marBottom w:val="0"/>
      <w:divBdr>
        <w:top w:val="none" w:sz="0" w:space="0" w:color="auto"/>
        <w:left w:val="none" w:sz="0" w:space="0" w:color="auto"/>
        <w:bottom w:val="none" w:sz="0" w:space="0" w:color="auto"/>
        <w:right w:val="none" w:sz="0" w:space="0" w:color="auto"/>
      </w:divBdr>
    </w:div>
    <w:div w:id="1063718970">
      <w:bodyDiv w:val="1"/>
      <w:marLeft w:val="0"/>
      <w:marRight w:val="0"/>
      <w:marTop w:val="0"/>
      <w:marBottom w:val="0"/>
      <w:divBdr>
        <w:top w:val="none" w:sz="0" w:space="0" w:color="auto"/>
        <w:left w:val="none" w:sz="0" w:space="0" w:color="auto"/>
        <w:bottom w:val="none" w:sz="0" w:space="0" w:color="auto"/>
        <w:right w:val="none" w:sz="0" w:space="0" w:color="auto"/>
      </w:divBdr>
    </w:div>
    <w:div w:id="1063869370">
      <w:bodyDiv w:val="1"/>
      <w:marLeft w:val="0"/>
      <w:marRight w:val="0"/>
      <w:marTop w:val="0"/>
      <w:marBottom w:val="0"/>
      <w:divBdr>
        <w:top w:val="none" w:sz="0" w:space="0" w:color="auto"/>
        <w:left w:val="none" w:sz="0" w:space="0" w:color="auto"/>
        <w:bottom w:val="none" w:sz="0" w:space="0" w:color="auto"/>
        <w:right w:val="none" w:sz="0" w:space="0" w:color="auto"/>
      </w:divBdr>
    </w:div>
    <w:div w:id="1063874232">
      <w:bodyDiv w:val="1"/>
      <w:marLeft w:val="0"/>
      <w:marRight w:val="0"/>
      <w:marTop w:val="0"/>
      <w:marBottom w:val="0"/>
      <w:divBdr>
        <w:top w:val="none" w:sz="0" w:space="0" w:color="auto"/>
        <w:left w:val="none" w:sz="0" w:space="0" w:color="auto"/>
        <w:bottom w:val="none" w:sz="0" w:space="0" w:color="auto"/>
        <w:right w:val="none" w:sz="0" w:space="0" w:color="auto"/>
      </w:divBdr>
    </w:div>
    <w:div w:id="1063917338">
      <w:bodyDiv w:val="1"/>
      <w:marLeft w:val="0"/>
      <w:marRight w:val="0"/>
      <w:marTop w:val="0"/>
      <w:marBottom w:val="0"/>
      <w:divBdr>
        <w:top w:val="none" w:sz="0" w:space="0" w:color="auto"/>
        <w:left w:val="none" w:sz="0" w:space="0" w:color="auto"/>
        <w:bottom w:val="none" w:sz="0" w:space="0" w:color="auto"/>
        <w:right w:val="none" w:sz="0" w:space="0" w:color="auto"/>
      </w:divBdr>
    </w:div>
    <w:div w:id="1064068079">
      <w:bodyDiv w:val="1"/>
      <w:marLeft w:val="0"/>
      <w:marRight w:val="0"/>
      <w:marTop w:val="0"/>
      <w:marBottom w:val="0"/>
      <w:divBdr>
        <w:top w:val="none" w:sz="0" w:space="0" w:color="auto"/>
        <w:left w:val="none" w:sz="0" w:space="0" w:color="auto"/>
        <w:bottom w:val="none" w:sz="0" w:space="0" w:color="auto"/>
        <w:right w:val="none" w:sz="0" w:space="0" w:color="auto"/>
      </w:divBdr>
    </w:div>
    <w:div w:id="1064180254">
      <w:bodyDiv w:val="1"/>
      <w:marLeft w:val="0"/>
      <w:marRight w:val="0"/>
      <w:marTop w:val="0"/>
      <w:marBottom w:val="0"/>
      <w:divBdr>
        <w:top w:val="none" w:sz="0" w:space="0" w:color="auto"/>
        <w:left w:val="none" w:sz="0" w:space="0" w:color="auto"/>
        <w:bottom w:val="none" w:sz="0" w:space="0" w:color="auto"/>
        <w:right w:val="none" w:sz="0" w:space="0" w:color="auto"/>
      </w:divBdr>
    </w:div>
    <w:div w:id="1064839646">
      <w:bodyDiv w:val="1"/>
      <w:marLeft w:val="0"/>
      <w:marRight w:val="0"/>
      <w:marTop w:val="0"/>
      <w:marBottom w:val="0"/>
      <w:divBdr>
        <w:top w:val="none" w:sz="0" w:space="0" w:color="auto"/>
        <w:left w:val="none" w:sz="0" w:space="0" w:color="auto"/>
        <w:bottom w:val="none" w:sz="0" w:space="0" w:color="auto"/>
        <w:right w:val="none" w:sz="0" w:space="0" w:color="auto"/>
      </w:divBdr>
    </w:div>
    <w:div w:id="1064989906">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5837047">
      <w:bodyDiv w:val="1"/>
      <w:marLeft w:val="0"/>
      <w:marRight w:val="0"/>
      <w:marTop w:val="0"/>
      <w:marBottom w:val="0"/>
      <w:divBdr>
        <w:top w:val="none" w:sz="0" w:space="0" w:color="auto"/>
        <w:left w:val="none" w:sz="0" w:space="0" w:color="auto"/>
        <w:bottom w:val="none" w:sz="0" w:space="0" w:color="auto"/>
        <w:right w:val="none" w:sz="0" w:space="0" w:color="auto"/>
      </w:divBdr>
    </w:div>
    <w:div w:id="1066032596">
      <w:bodyDiv w:val="1"/>
      <w:marLeft w:val="0"/>
      <w:marRight w:val="0"/>
      <w:marTop w:val="0"/>
      <w:marBottom w:val="0"/>
      <w:divBdr>
        <w:top w:val="none" w:sz="0" w:space="0" w:color="auto"/>
        <w:left w:val="none" w:sz="0" w:space="0" w:color="auto"/>
        <w:bottom w:val="none" w:sz="0" w:space="0" w:color="auto"/>
        <w:right w:val="none" w:sz="0" w:space="0" w:color="auto"/>
      </w:divBdr>
    </w:div>
    <w:div w:id="1066148695">
      <w:bodyDiv w:val="1"/>
      <w:marLeft w:val="0"/>
      <w:marRight w:val="0"/>
      <w:marTop w:val="0"/>
      <w:marBottom w:val="0"/>
      <w:divBdr>
        <w:top w:val="none" w:sz="0" w:space="0" w:color="auto"/>
        <w:left w:val="none" w:sz="0" w:space="0" w:color="auto"/>
        <w:bottom w:val="none" w:sz="0" w:space="0" w:color="auto"/>
        <w:right w:val="none" w:sz="0" w:space="0" w:color="auto"/>
      </w:divBdr>
    </w:div>
    <w:div w:id="1066219047">
      <w:bodyDiv w:val="1"/>
      <w:marLeft w:val="0"/>
      <w:marRight w:val="0"/>
      <w:marTop w:val="0"/>
      <w:marBottom w:val="0"/>
      <w:divBdr>
        <w:top w:val="none" w:sz="0" w:space="0" w:color="auto"/>
        <w:left w:val="none" w:sz="0" w:space="0" w:color="auto"/>
        <w:bottom w:val="none" w:sz="0" w:space="0" w:color="auto"/>
        <w:right w:val="none" w:sz="0" w:space="0" w:color="auto"/>
      </w:divBdr>
    </w:div>
    <w:div w:id="1066299721">
      <w:bodyDiv w:val="1"/>
      <w:marLeft w:val="0"/>
      <w:marRight w:val="0"/>
      <w:marTop w:val="0"/>
      <w:marBottom w:val="0"/>
      <w:divBdr>
        <w:top w:val="none" w:sz="0" w:space="0" w:color="auto"/>
        <w:left w:val="none" w:sz="0" w:space="0" w:color="auto"/>
        <w:bottom w:val="none" w:sz="0" w:space="0" w:color="auto"/>
        <w:right w:val="none" w:sz="0" w:space="0" w:color="auto"/>
      </w:divBdr>
    </w:div>
    <w:div w:id="1066343535">
      <w:bodyDiv w:val="1"/>
      <w:marLeft w:val="0"/>
      <w:marRight w:val="0"/>
      <w:marTop w:val="0"/>
      <w:marBottom w:val="0"/>
      <w:divBdr>
        <w:top w:val="none" w:sz="0" w:space="0" w:color="auto"/>
        <w:left w:val="none" w:sz="0" w:space="0" w:color="auto"/>
        <w:bottom w:val="none" w:sz="0" w:space="0" w:color="auto"/>
        <w:right w:val="none" w:sz="0" w:space="0" w:color="auto"/>
      </w:divBdr>
    </w:div>
    <w:div w:id="1066495945">
      <w:bodyDiv w:val="1"/>
      <w:marLeft w:val="0"/>
      <w:marRight w:val="0"/>
      <w:marTop w:val="0"/>
      <w:marBottom w:val="0"/>
      <w:divBdr>
        <w:top w:val="none" w:sz="0" w:space="0" w:color="auto"/>
        <w:left w:val="none" w:sz="0" w:space="0" w:color="auto"/>
        <w:bottom w:val="none" w:sz="0" w:space="0" w:color="auto"/>
        <w:right w:val="none" w:sz="0" w:space="0" w:color="auto"/>
      </w:divBdr>
    </w:div>
    <w:div w:id="1066877242">
      <w:bodyDiv w:val="1"/>
      <w:marLeft w:val="0"/>
      <w:marRight w:val="0"/>
      <w:marTop w:val="0"/>
      <w:marBottom w:val="0"/>
      <w:divBdr>
        <w:top w:val="none" w:sz="0" w:space="0" w:color="auto"/>
        <w:left w:val="none" w:sz="0" w:space="0" w:color="auto"/>
        <w:bottom w:val="none" w:sz="0" w:space="0" w:color="auto"/>
        <w:right w:val="none" w:sz="0" w:space="0" w:color="auto"/>
      </w:divBdr>
    </w:div>
    <w:div w:id="1067189977">
      <w:bodyDiv w:val="1"/>
      <w:marLeft w:val="0"/>
      <w:marRight w:val="0"/>
      <w:marTop w:val="0"/>
      <w:marBottom w:val="0"/>
      <w:divBdr>
        <w:top w:val="none" w:sz="0" w:space="0" w:color="auto"/>
        <w:left w:val="none" w:sz="0" w:space="0" w:color="auto"/>
        <w:bottom w:val="none" w:sz="0" w:space="0" w:color="auto"/>
        <w:right w:val="none" w:sz="0" w:space="0" w:color="auto"/>
      </w:divBdr>
    </w:div>
    <w:div w:id="1067529960">
      <w:bodyDiv w:val="1"/>
      <w:marLeft w:val="0"/>
      <w:marRight w:val="0"/>
      <w:marTop w:val="0"/>
      <w:marBottom w:val="0"/>
      <w:divBdr>
        <w:top w:val="none" w:sz="0" w:space="0" w:color="auto"/>
        <w:left w:val="none" w:sz="0" w:space="0" w:color="auto"/>
        <w:bottom w:val="none" w:sz="0" w:space="0" w:color="auto"/>
        <w:right w:val="none" w:sz="0" w:space="0" w:color="auto"/>
      </w:divBdr>
    </w:div>
    <w:div w:id="1067605157">
      <w:bodyDiv w:val="1"/>
      <w:marLeft w:val="0"/>
      <w:marRight w:val="0"/>
      <w:marTop w:val="0"/>
      <w:marBottom w:val="0"/>
      <w:divBdr>
        <w:top w:val="none" w:sz="0" w:space="0" w:color="auto"/>
        <w:left w:val="none" w:sz="0" w:space="0" w:color="auto"/>
        <w:bottom w:val="none" w:sz="0" w:space="0" w:color="auto"/>
        <w:right w:val="none" w:sz="0" w:space="0" w:color="auto"/>
      </w:divBdr>
    </w:div>
    <w:div w:id="1067727339">
      <w:bodyDiv w:val="1"/>
      <w:marLeft w:val="0"/>
      <w:marRight w:val="0"/>
      <w:marTop w:val="0"/>
      <w:marBottom w:val="0"/>
      <w:divBdr>
        <w:top w:val="none" w:sz="0" w:space="0" w:color="auto"/>
        <w:left w:val="none" w:sz="0" w:space="0" w:color="auto"/>
        <w:bottom w:val="none" w:sz="0" w:space="0" w:color="auto"/>
        <w:right w:val="none" w:sz="0" w:space="0" w:color="auto"/>
      </w:divBdr>
    </w:div>
    <w:div w:id="1068068890">
      <w:bodyDiv w:val="1"/>
      <w:marLeft w:val="0"/>
      <w:marRight w:val="0"/>
      <w:marTop w:val="0"/>
      <w:marBottom w:val="0"/>
      <w:divBdr>
        <w:top w:val="none" w:sz="0" w:space="0" w:color="auto"/>
        <w:left w:val="none" w:sz="0" w:space="0" w:color="auto"/>
        <w:bottom w:val="none" w:sz="0" w:space="0" w:color="auto"/>
        <w:right w:val="none" w:sz="0" w:space="0" w:color="auto"/>
      </w:divBdr>
    </w:div>
    <w:div w:id="1068305259">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69616971">
      <w:bodyDiv w:val="1"/>
      <w:marLeft w:val="0"/>
      <w:marRight w:val="0"/>
      <w:marTop w:val="0"/>
      <w:marBottom w:val="0"/>
      <w:divBdr>
        <w:top w:val="none" w:sz="0" w:space="0" w:color="auto"/>
        <w:left w:val="none" w:sz="0" w:space="0" w:color="auto"/>
        <w:bottom w:val="none" w:sz="0" w:space="0" w:color="auto"/>
        <w:right w:val="none" w:sz="0" w:space="0" w:color="auto"/>
      </w:divBdr>
    </w:div>
    <w:div w:id="1069617865">
      <w:bodyDiv w:val="1"/>
      <w:marLeft w:val="0"/>
      <w:marRight w:val="0"/>
      <w:marTop w:val="0"/>
      <w:marBottom w:val="0"/>
      <w:divBdr>
        <w:top w:val="none" w:sz="0" w:space="0" w:color="auto"/>
        <w:left w:val="none" w:sz="0" w:space="0" w:color="auto"/>
        <w:bottom w:val="none" w:sz="0" w:space="0" w:color="auto"/>
        <w:right w:val="none" w:sz="0" w:space="0" w:color="auto"/>
      </w:divBdr>
    </w:div>
    <w:div w:id="1069763080">
      <w:bodyDiv w:val="1"/>
      <w:marLeft w:val="0"/>
      <w:marRight w:val="0"/>
      <w:marTop w:val="0"/>
      <w:marBottom w:val="0"/>
      <w:divBdr>
        <w:top w:val="none" w:sz="0" w:space="0" w:color="auto"/>
        <w:left w:val="none" w:sz="0" w:space="0" w:color="auto"/>
        <w:bottom w:val="none" w:sz="0" w:space="0" w:color="auto"/>
        <w:right w:val="none" w:sz="0" w:space="0" w:color="auto"/>
      </w:divBdr>
    </w:div>
    <w:div w:id="1069889917">
      <w:bodyDiv w:val="1"/>
      <w:marLeft w:val="0"/>
      <w:marRight w:val="0"/>
      <w:marTop w:val="0"/>
      <w:marBottom w:val="0"/>
      <w:divBdr>
        <w:top w:val="none" w:sz="0" w:space="0" w:color="auto"/>
        <w:left w:val="none" w:sz="0" w:space="0" w:color="auto"/>
        <w:bottom w:val="none" w:sz="0" w:space="0" w:color="auto"/>
        <w:right w:val="none" w:sz="0" w:space="0" w:color="auto"/>
      </w:divBdr>
    </w:div>
    <w:div w:id="1070346718">
      <w:bodyDiv w:val="1"/>
      <w:marLeft w:val="0"/>
      <w:marRight w:val="0"/>
      <w:marTop w:val="0"/>
      <w:marBottom w:val="0"/>
      <w:divBdr>
        <w:top w:val="none" w:sz="0" w:space="0" w:color="auto"/>
        <w:left w:val="none" w:sz="0" w:space="0" w:color="auto"/>
        <w:bottom w:val="none" w:sz="0" w:space="0" w:color="auto"/>
        <w:right w:val="none" w:sz="0" w:space="0" w:color="auto"/>
      </w:divBdr>
    </w:div>
    <w:div w:id="1071345439">
      <w:bodyDiv w:val="1"/>
      <w:marLeft w:val="0"/>
      <w:marRight w:val="0"/>
      <w:marTop w:val="0"/>
      <w:marBottom w:val="0"/>
      <w:divBdr>
        <w:top w:val="none" w:sz="0" w:space="0" w:color="auto"/>
        <w:left w:val="none" w:sz="0" w:space="0" w:color="auto"/>
        <w:bottom w:val="none" w:sz="0" w:space="0" w:color="auto"/>
        <w:right w:val="none" w:sz="0" w:space="0" w:color="auto"/>
      </w:divBdr>
    </w:div>
    <w:div w:id="1071657291">
      <w:bodyDiv w:val="1"/>
      <w:marLeft w:val="0"/>
      <w:marRight w:val="0"/>
      <w:marTop w:val="0"/>
      <w:marBottom w:val="0"/>
      <w:divBdr>
        <w:top w:val="none" w:sz="0" w:space="0" w:color="auto"/>
        <w:left w:val="none" w:sz="0" w:space="0" w:color="auto"/>
        <w:bottom w:val="none" w:sz="0" w:space="0" w:color="auto"/>
        <w:right w:val="none" w:sz="0" w:space="0" w:color="auto"/>
      </w:divBdr>
    </w:div>
    <w:div w:id="1072192513">
      <w:bodyDiv w:val="1"/>
      <w:marLeft w:val="0"/>
      <w:marRight w:val="0"/>
      <w:marTop w:val="0"/>
      <w:marBottom w:val="0"/>
      <w:divBdr>
        <w:top w:val="none" w:sz="0" w:space="0" w:color="auto"/>
        <w:left w:val="none" w:sz="0" w:space="0" w:color="auto"/>
        <w:bottom w:val="none" w:sz="0" w:space="0" w:color="auto"/>
        <w:right w:val="none" w:sz="0" w:space="0" w:color="auto"/>
      </w:divBdr>
    </w:div>
    <w:div w:id="1072385984">
      <w:bodyDiv w:val="1"/>
      <w:marLeft w:val="0"/>
      <w:marRight w:val="0"/>
      <w:marTop w:val="0"/>
      <w:marBottom w:val="0"/>
      <w:divBdr>
        <w:top w:val="none" w:sz="0" w:space="0" w:color="auto"/>
        <w:left w:val="none" w:sz="0" w:space="0" w:color="auto"/>
        <w:bottom w:val="none" w:sz="0" w:space="0" w:color="auto"/>
        <w:right w:val="none" w:sz="0" w:space="0" w:color="auto"/>
      </w:divBdr>
    </w:div>
    <w:div w:id="1073046496">
      <w:bodyDiv w:val="1"/>
      <w:marLeft w:val="0"/>
      <w:marRight w:val="0"/>
      <w:marTop w:val="0"/>
      <w:marBottom w:val="0"/>
      <w:divBdr>
        <w:top w:val="none" w:sz="0" w:space="0" w:color="auto"/>
        <w:left w:val="none" w:sz="0" w:space="0" w:color="auto"/>
        <w:bottom w:val="none" w:sz="0" w:space="0" w:color="auto"/>
        <w:right w:val="none" w:sz="0" w:space="0" w:color="auto"/>
      </w:divBdr>
    </w:div>
    <w:div w:id="1073285126">
      <w:bodyDiv w:val="1"/>
      <w:marLeft w:val="0"/>
      <w:marRight w:val="0"/>
      <w:marTop w:val="0"/>
      <w:marBottom w:val="0"/>
      <w:divBdr>
        <w:top w:val="none" w:sz="0" w:space="0" w:color="auto"/>
        <w:left w:val="none" w:sz="0" w:space="0" w:color="auto"/>
        <w:bottom w:val="none" w:sz="0" w:space="0" w:color="auto"/>
        <w:right w:val="none" w:sz="0" w:space="0" w:color="auto"/>
      </w:divBdr>
    </w:div>
    <w:div w:id="1073964864">
      <w:bodyDiv w:val="1"/>
      <w:marLeft w:val="0"/>
      <w:marRight w:val="0"/>
      <w:marTop w:val="0"/>
      <w:marBottom w:val="0"/>
      <w:divBdr>
        <w:top w:val="none" w:sz="0" w:space="0" w:color="auto"/>
        <w:left w:val="none" w:sz="0" w:space="0" w:color="auto"/>
        <w:bottom w:val="none" w:sz="0" w:space="0" w:color="auto"/>
        <w:right w:val="none" w:sz="0" w:space="0" w:color="auto"/>
      </w:divBdr>
    </w:div>
    <w:div w:id="1074206562">
      <w:bodyDiv w:val="1"/>
      <w:marLeft w:val="0"/>
      <w:marRight w:val="0"/>
      <w:marTop w:val="0"/>
      <w:marBottom w:val="0"/>
      <w:divBdr>
        <w:top w:val="none" w:sz="0" w:space="0" w:color="auto"/>
        <w:left w:val="none" w:sz="0" w:space="0" w:color="auto"/>
        <w:bottom w:val="none" w:sz="0" w:space="0" w:color="auto"/>
        <w:right w:val="none" w:sz="0" w:space="0" w:color="auto"/>
      </w:divBdr>
    </w:div>
    <w:div w:id="1074400787">
      <w:bodyDiv w:val="1"/>
      <w:marLeft w:val="0"/>
      <w:marRight w:val="0"/>
      <w:marTop w:val="0"/>
      <w:marBottom w:val="0"/>
      <w:divBdr>
        <w:top w:val="none" w:sz="0" w:space="0" w:color="auto"/>
        <w:left w:val="none" w:sz="0" w:space="0" w:color="auto"/>
        <w:bottom w:val="none" w:sz="0" w:space="0" w:color="auto"/>
        <w:right w:val="none" w:sz="0" w:space="0" w:color="auto"/>
      </w:divBdr>
    </w:div>
    <w:div w:id="1074546180">
      <w:bodyDiv w:val="1"/>
      <w:marLeft w:val="0"/>
      <w:marRight w:val="0"/>
      <w:marTop w:val="0"/>
      <w:marBottom w:val="0"/>
      <w:divBdr>
        <w:top w:val="none" w:sz="0" w:space="0" w:color="auto"/>
        <w:left w:val="none" w:sz="0" w:space="0" w:color="auto"/>
        <w:bottom w:val="none" w:sz="0" w:space="0" w:color="auto"/>
        <w:right w:val="none" w:sz="0" w:space="0" w:color="auto"/>
      </w:divBdr>
    </w:div>
    <w:div w:id="1074619120">
      <w:bodyDiv w:val="1"/>
      <w:marLeft w:val="0"/>
      <w:marRight w:val="0"/>
      <w:marTop w:val="0"/>
      <w:marBottom w:val="0"/>
      <w:divBdr>
        <w:top w:val="none" w:sz="0" w:space="0" w:color="auto"/>
        <w:left w:val="none" w:sz="0" w:space="0" w:color="auto"/>
        <w:bottom w:val="none" w:sz="0" w:space="0" w:color="auto"/>
        <w:right w:val="none" w:sz="0" w:space="0" w:color="auto"/>
      </w:divBdr>
    </w:div>
    <w:div w:id="1074662804">
      <w:bodyDiv w:val="1"/>
      <w:marLeft w:val="0"/>
      <w:marRight w:val="0"/>
      <w:marTop w:val="0"/>
      <w:marBottom w:val="0"/>
      <w:divBdr>
        <w:top w:val="none" w:sz="0" w:space="0" w:color="auto"/>
        <w:left w:val="none" w:sz="0" w:space="0" w:color="auto"/>
        <w:bottom w:val="none" w:sz="0" w:space="0" w:color="auto"/>
        <w:right w:val="none" w:sz="0" w:space="0" w:color="auto"/>
      </w:divBdr>
    </w:div>
    <w:div w:id="1074668713">
      <w:bodyDiv w:val="1"/>
      <w:marLeft w:val="0"/>
      <w:marRight w:val="0"/>
      <w:marTop w:val="0"/>
      <w:marBottom w:val="0"/>
      <w:divBdr>
        <w:top w:val="none" w:sz="0" w:space="0" w:color="auto"/>
        <w:left w:val="none" w:sz="0" w:space="0" w:color="auto"/>
        <w:bottom w:val="none" w:sz="0" w:space="0" w:color="auto"/>
        <w:right w:val="none" w:sz="0" w:space="0" w:color="auto"/>
      </w:divBdr>
    </w:div>
    <w:div w:id="1075010392">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5129562">
      <w:bodyDiv w:val="1"/>
      <w:marLeft w:val="0"/>
      <w:marRight w:val="0"/>
      <w:marTop w:val="0"/>
      <w:marBottom w:val="0"/>
      <w:divBdr>
        <w:top w:val="none" w:sz="0" w:space="0" w:color="auto"/>
        <w:left w:val="none" w:sz="0" w:space="0" w:color="auto"/>
        <w:bottom w:val="none" w:sz="0" w:space="0" w:color="auto"/>
        <w:right w:val="none" w:sz="0" w:space="0" w:color="auto"/>
      </w:divBdr>
    </w:div>
    <w:div w:id="1075129570">
      <w:bodyDiv w:val="1"/>
      <w:marLeft w:val="0"/>
      <w:marRight w:val="0"/>
      <w:marTop w:val="0"/>
      <w:marBottom w:val="0"/>
      <w:divBdr>
        <w:top w:val="none" w:sz="0" w:space="0" w:color="auto"/>
        <w:left w:val="none" w:sz="0" w:space="0" w:color="auto"/>
        <w:bottom w:val="none" w:sz="0" w:space="0" w:color="auto"/>
        <w:right w:val="none" w:sz="0" w:space="0" w:color="auto"/>
      </w:divBdr>
    </w:div>
    <w:div w:id="1075322015">
      <w:bodyDiv w:val="1"/>
      <w:marLeft w:val="0"/>
      <w:marRight w:val="0"/>
      <w:marTop w:val="0"/>
      <w:marBottom w:val="0"/>
      <w:divBdr>
        <w:top w:val="none" w:sz="0" w:space="0" w:color="auto"/>
        <w:left w:val="none" w:sz="0" w:space="0" w:color="auto"/>
        <w:bottom w:val="none" w:sz="0" w:space="0" w:color="auto"/>
        <w:right w:val="none" w:sz="0" w:space="0" w:color="auto"/>
      </w:divBdr>
    </w:div>
    <w:div w:id="1075669013">
      <w:bodyDiv w:val="1"/>
      <w:marLeft w:val="0"/>
      <w:marRight w:val="0"/>
      <w:marTop w:val="0"/>
      <w:marBottom w:val="0"/>
      <w:divBdr>
        <w:top w:val="none" w:sz="0" w:space="0" w:color="auto"/>
        <w:left w:val="none" w:sz="0" w:space="0" w:color="auto"/>
        <w:bottom w:val="none" w:sz="0" w:space="0" w:color="auto"/>
        <w:right w:val="none" w:sz="0" w:space="0" w:color="auto"/>
      </w:divBdr>
    </w:div>
    <w:div w:id="1075710459">
      <w:bodyDiv w:val="1"/>
      <w:marLeft w:val="0"/>
      <w:marRight w:val="0"/>
      <w:marTop w:val="0"/>
      <w:marBottom w:val="0"/>
      <w:divBdr>
        <w:top w:val="none" w:sz="0" w:space="0" w:color="auto"/>
        <w:left w:val="none" w:sz="0" w:space="0" w:color="auto"/>
        <w:bottom w:val="none" w:sz="0" w:space="0" w:color="auto"/>
        <w:right w:val="none" w:sz="0" w:space="0" w:color="auto"/>
      </w:divBdr>
    </w:div>
    <w:div w:id="1075973947">
      <w:bodyDiv w:val="1"/>
      <w:marLeft w:val="0"/>
      <w:marRight w:val="0"/>
      <w:marTop w:val="0"/>
      <w:marBottom w:val="0"/>
      <w:divBdr>
        <w:top w:val="none" w:sz="0" w:space="0" w:color="auto"/>
        <w:left w:val="none" w:sz="0" w:space="0" w:color="auto"/>
        <w:bottom w:val="none" w:sz="0" w:space="0" w:color="auto"/>
        <w:right w:val="none" w:sz="0" w:space="0" w:color="auto"/>
      </w:divBdr>
    </w:div>
    <w:div w:id="1076198826">
      <w:bodyDiv w:val="1"/>
      <w:marLeft w:val="0"/>
      <w:marRight w:val="0"/>
      <w:marTop w:val="0"/>
      <w:marBottom w:val="0"/>
      <w:divBdr>
        <w:top w:val="none" w:sz="0" w:space="0" w:color="auto"/>
        <w:left w:val="none" w:sz="0" w:space="0" w:color="auto"/>
        <w:bottom w:val="none" w:sz="0" w:space="0" w:color="auto"/>
        <w:right w:val="none" w:sz="0" w:space="0" w:color="auto"/>
      </w:divBdr>
    </w:div>
    <w:div w:id="1076436929">
      <w:bodyDiv w:val="1"/>
      <w:marLeft w:val="0"/>
      <w:marRight w:val="0"/>
      <w:marTop w:val="0"/>
      <w:marBottom w:val="0"/>
      <w:divBdr>
        <w:top w:val="none" w:sz="0" w:space="0" w:color="auto"/>
        <w:left w:val="none" w:sz="0" w:space="0" w:color="auto"/>
        <w:bottom w:val="none" w:sz="0" w:space="0" w:color="auto"/>
        <w:right w:val="none" w:sz="0" w:space="0" w:color="auto"/>
      </w:divBdr>
    </w:div>
    <w:div w:id="1076560740">
      <w:bodyDiv w:val="1"/>
      <w:marLeft w:val="0"/>
      <w:marRight w:val="0"/>
      <w:marTop w:val="0"/>
      <w:marBottom w:val="0"/>
      <w:divBdr>
        <w:top w:val="none" w:sz="0" w:space="0" w:color="auto"/>
        <w:left w:val="none" w:sz="0" w:space="0" w:color="auto"/>
        <w:bottom w:val="none" w:sz="0" w:space="0" w:color="auto"/>
        <w:right w:val="none" w:sz="0" w:space="0" w:color="auto"/>
      </w:divBdr>
    </w:div>
    <w:div w:id="1076629712">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6705801">
      <w:bodyDiv w:val="1"/>
      <w:marLeft w:val="0"/>
      <w:marRight w:val="0"/>
      <w:marTop w:val="0"/>
      <w:marBottom w:val="0"/>
      <w:divBdr>
        <w:top w:val="none" w:sz="0" w:space="0" w:color="auto"/>
        <w:left w:val="none" w:sz="0" w:space="0" w:color="auto"/>
        <w:bottom w:val="none" w:sz="0" w:space="0" w:color="auto"/>
        <w:right w:val="none" w:sz="0" w:space="0" w:color="auto"/>
      </w:divBdr>
    </w:div>
    <w:div w:id="1076709821">
      <w:bodyDiv w:val="1"/>
      <w:marLeft w:val="0"/>
      <w:marRight w:val="0"/>
      <w:marTop w:val="0"/>
      <w:marBottom w:val="0"/>
      <w:divBdr>
        <w:top w:val="none" w:sz="0" w:space="0" w:color="auto"/>
        <w:left w:val="none" w:sz="0" w:space="0" w:color="auto"/>
        <w:bottom w:val="none" w:sz="0" w:space="0" w:color="auto"/>
        <w:right w:val="none" w:sz="0" w:space="0" w:color="auto"/>
      </w:divBdr>
    </w:div>
    <w:div w:id="1076901378">
      <w:bodyDiv w:val="1"/>
      <w:marLeft w:val="0"/>
      <w:marRight w:val="0"/>
      <w:marTop w:val="0"/>
      <w:marBottom w:val="0"/>
      <w:divBdr>
        <w:top w:val="none" w:sz="0" w:space="0" w:color="auto"/>
        <w:left w:val="none" w:sz="0" w:space="0" w:color="auto"/>
        <w:bottom w:val="none" w:sz="0" w:space="0" w:color="auto"/>
        <w:right w:val="none" w:sz="0" w:space="0" w:color="auto"/>
      </w:divBdr>
    </w:div>
    <w:div w:id="1077096615">
      <w:bodyDiv w:val="1"/>
      <w:marLeft w:val="0"/>
      <w:marRight w:val="0"/>
      <w:marTop w:val="0"/>
      <w:marBottom w:val="0"/>
      <w:divBdr>
        <w:top w:val="none" w:sz="0" w:space="0" w:color="auto"/>
        <w:left w:val="none" w:sz="0" w:space="0" w:color="auto"/>
        <w:bottom w:val="none" w:sz="0" w:space="0" w:color="auto"/>
        <w:right w:val="none" w:sz="0" w:space="0" w:color="auto"/>
      </w:divBdr>
    </w:div>
    <w:div w:id="1077436044">
      <w:bodyDiv w:val="1"/>
      <w:marLeft w:val="0"/>
      <w:marRight w:val="0"/>
      <w:marTop w:val="0"/>
      <w:marBottom w:val="0"/>
      <w:divBdr>
        <w:top w:val="none" w:sz="0" w:space="0" w:color="auto"/>
        <w:left w:val="none" w:sz="0" w:space="0" w:color="auto"/>
        <w:bottom w:val="none" w:sz="0" w:space="0" w:color="auto"/>
        <w:right w:val="none" w:sz="0" w:space="0" w:color="auto"/>
      </w:divBdr>
    </w:div>
    <w:div w:id="1077551150">
      <w:bodyDiv w:val="1"/>
      <w:marLeft w:val="0"/>
      <w:marRight w:val="0"/>
      <w:marTop w:val="0"/>
      <w:marBottom w:val="0"/>
      <w:divBdr>
        <w:top w:val="none" w:sz="0" w:space="0" w:color="auto"/>
        <w:left w:val="none" w:sz="0" w:space="0" w:color="auto"/>
        <w:bottom w:val="none" w:sz="0" w:space="0" w:color="auto"/>
        <w:right w:val="none" w:sz="0" w:space="0" w:color="auto"/>
      </w:divBdr>
    </w:div>
    <w:div w:id="1077752947">
      <w:bodyDiv w:val="1"/>
      <w:marLeft w:val="0"/>
      <w:marRight w:val="0"/>
      <w:marTop w:val="0"/>
      <w:marBottom w:val="0"/>
      <w:divBdr>
        <w:top w:val="none" w:sz="0" w:space="0" w:color="auto"/>
        <w:left w:val="none" w:sz="0" w:space="0" w:color="auto"/>
        <w:bottom w:val="none" w:sz="0" w:space="0" w:color="auto"/>
        <w:right w:val="none" w:sz="0" w:space="0" w:color="auto"/>
      </w:divBdr>
    </w:div>
    <w:div w:id="1077822395">
      <w:bodyDiv w:val="1"/>
      <w:marLeft w:val="0"/>
      <w:marRight w:val="0"/>
      <w:marTop w:val="0"/>
      <w:marBottom w:val="0"/>
      <w:divBdr>
        <w:top w:val="none" w:sz="0" w:space="0" w:color="auto"/>
        <w:left w:val="none" w:sz="0" w:space="0" w:color="auto"/>
        <w:bottom w:val="none" w:sz="0" w:space="0" w:color="auto"/>
        <w:right w:val="none" w:sz="0" w:space="0" w:color="auto"/>
      </w:divBdr>
    </w:div>
    <w:div w:id="1078213396">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79210142">
      <w:bodyDiv w:val="1"/>
      <w:marLeft w:val="0"/>
      <w:marRight w:val="0"/>
      <w:marTop w:val="0"/>
      <w:marBottom w:val="0"/>
      <w:divBdr>
        <w:top w:val="none" w:sz="0" w:space="0" w:color="auto"/>
        <w:left w:val="none" w:sz="0" w:space="0" w:color="auto"/>
        <w:bottom w:val="none" w:sz="0" w:space="0" w:color="auto"/>
        <w:right w:val="none" w:sz="0" w:space="0" w:color="auto"/>
      </w:divBdr>
    </w:div>
    <w:div w:id="1079408484">
      <w:bodyDiv w:val="1"/>
      <w:marLeft w:val="0"/>
      <w:marRight w:val="0"/>
      <w:marTop w:val="0"/>
      <w:marBottom w:val="0"/>
      <w:divBdr>
        <w:top w:val="none" w:sz="0" w:space="0" w:color="auto"/>
        <w:left w:val="none" w:sz="0" w:space="0" w:color="auto"/>
        <w:bottom w:val="none" w:sz="0" w:space="0" w:color="auto"/>
        <w:right w:val="none" w:sz="0" w:space="0" w:color="auto"/>
      </w:divBdr>
    </w:div>
    <w:div w:id="1079600925">
      <w:bodyDiv w:val="1"/>
      <w:marLeft w:val="0"/>
      <w:marRight w:val="0"/>
      <w:marTop w:val="0"/>
      <w:marBottom w:val="0"/>
      <w:divBdr>
        <w:top w:val="none" w:sz="0" w:space="0" w:color="auto"/>
        <w:left w:val="none" w:sz="0" w:space="0" w:color="auto"/>
        <w:bottom w:val="none" w:sz="0" w:space="0" w:color="auto"/>
        <w:right w:val="none" w:sz="0" w:space="0" w:color="auto"/>
      </w:divBdr>
    </w:div>
    <w:div w:id="1079987020">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16566">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1023078">
      <w:bodyDiv w:val="1"/>
      <w:marLeft w:val="0"/>
      <w:marRight w:val="0"/>
      <w:marTop w:val="0"/>
      <w:marBottom w:val="0"/>
      <w:divBdr>
        <w:top w:val="none" w:sz="0" w:space="0" w:color="auto"/>
        <w:left w:val="none" w:sz="0" w:space="0" w:color="auto"/>
        <w:bottom w:val="none" w:sz="0" w:space="0" w:color="auto"/>
        <w:right w:val="none" w:sz="0" w:space="0" w:color="auto"/>
      </w:divBdr>
    </w:div>
    <w:div w:id="1081372018">
      <w:bodyDiv w:val="1"/>
      <w:marLeft w:val="0"/>
      <w:marRight w:val="0"/>
      <w:marTop w:val="0"/>
      <w:marBottom w:val="0"/>
      <w:divBdr>
        <w:top w:val="none" w:sz="0" w:space="0" w:color="auto"/>
        <w:left w:val="none" w:sz="0" w:space="0" w:color="auto"/>
        <w:bottom w:val="none" w:sz="0" w:space="0" w:color="auto"/>
        <w:right w:val="none" w:sz="0" w:space="0" w:color="auto"/>
      </w:divBdr>
    </w:div>
    <w:div w:id="1081372407">
      <w:bodyDiv w:val="1"/>
      <w:marLeft w:val="0"/>
      <w:marRight w:val="0"/>
      <w:marTop w:val="0"/>
      <w:marBottom w:val="0"/>
      <w:divBdr>
        <w:top w:val="none" w:sz="0" w:space="0" w:color="auto"/>
        <w:left w:val="none" w:sz="0" w:space="0" w:color="auto"/>
        <w:bottom w:val="none" w:sz="0" w:space="0" w:color="auto"/>
        <w:right w:val="none" w:sz="0" w:space="0" w:color="auto"/>
      </w:divBdr>
    </w:div>
    <w:div w:id="1081490906">
      <w:bodyDiv w:val="1"/>
      <w:marLeft w:val="0"/>
      <w:marRight w:val="0"/>
      <w:marTop w:val="0"/>
      <w:marBottom w:val="0"/>
      <w:divBdr>
        <w:top w:val="none" w:sz="0" w:space="0" w:color="auto"/>
        <w:left w:val="none" w:sz="0" w:space="0" w:color="auto"/>
        <w:bottom w:val="none" w:sz="0" w:space="0" w:color="auto"/>
        <w:right w:val="none" w:sz="0" w:space="0" w:color="auto"/>
      </w:divBdr>
    </w:div>
    <w:div w:id="1081560578">
      <w:bodyDiv w:val="1"/>
      <w:marLeft w:val="0"/>
      <w:marRight w:val="0"/>
      <w:marTop w:val="0"/>
      <w:marBottom w:val="0"/>
      <w:divBdr>
        <w:top w:val="none" w:sz="0" w:space="0" w:color="auto"/>
        <w:left w:val="none" w:sz="0" w:space="0" w:color="auto"/>
        <w:bottom w:val="none" w:sz="0" w:space="0" w:color="auto"/>
        <w:right w:val="none" w:sz="0" w:space="0" w:color="auto"/>
      </w:divBdr>
    </w:div>
    <w:div w:id="1081566257">
      <w:bodyDiv w:val="1"/>
      <w:marLeft w:val="0"/>
      <w:marRight w:val="0"/>
      <w:marTop w:val="0"/>
      <w:marBottom w:val="0"/>
      <w:divBdr>
        <w:top w:val="none" w:sz="0" w:space="0" w:color="auto"/>
        <w:left w:val="none" w:sz="0" w:space="0" w:color="auto"/>
        <w:bottom w:val="none" w:sz="0" w:space="0" w:color="auto"/>
        <w:right w:val="none" w:sz="0" w:space="0" w:color="auto"/>
      </w:divBdr>
    </w:div>
    <w:div w:id="1081830144">
      <w:bodyDiv w:val="1"/>
      <w:marLeft w:val="0"/>
      <w:marRight w:val="0"/>
      <w:marTop w:val="0"/>
      <w:marBottom w:val="0"/>
      <w:divBdr>
        <w:top w:val="none" w:sz="0" w:space="0" w:color="auto"/>
        <w:left w:val="none" w:sz="0" w:space="0" w:color="auto"/>
        <w:bottom w:val="none" w:sz="0" w:space="0" w:color="auto"/>
        <w:right w:val="none" w:sz="0" w:space="0" w:color="auto"/>
      </w:divBdr>
    </w:div>
    <w:div w:id="1082143743">
      <w:bodyDiv w:val="1"/>
      <w:marLeft w:val="0"/>
      <w:marRight w:val="0"/>
      <w:marTop w:val="0"/>
      <w:marBottom w:val="0"/>
      <w:divBdr>
        <w:top w:val="none" w:sz="0" w:space="0" w:color="auto"/>
        <w:left w:val="none" w:sz="0" w:space="0" w:color="auto"/>
        <w:bottom w:val="none" w:sz="0" w:space="0" w:color="auto"/>
        <w:right w:val="none" w:sz="0" w:space="0" w:color="auto"/>
      </w:divBdr>
    </w:div>
    <w:div w:id="1082144464">
      <w:bodyDiv w:val="1"/>
      <w:marLeft w:val="0"/>
      <w:marRight w:val="0"/>
      <w:marTop w:val="0"/>
      <w:marBottom w:val="0"/>
      <w:divBdr>
        <w:top w:val="none" w:sz="0" w:space="0" w:color="auto"/>
        <w:left w:val="none" w:sz="0" w:space="0" w:color="auto"/>
        <w:bottom w:val="none" w:sz="0" w:space="0" w:color="auto"/>
        <w:right w:val="none" w:sz="0" w:space="0" w:color="auto"/>
      </w:divBdr>
    </w:div>
    <w:div w:id="1082336485">
      <w:bodyDiv w:val="1"/>
      <w:marLeft w:val="0"/>
      <w:marRight w:val="0"/>
      <w:marTop w:val="0"/>
      <w:marBottom w:val="0"/>
      <w:divBdr>
        <w:top w:val="none" w:sz="0" w:space="0" w:color="auto"/>
        <w:left w:val="none" w:sz="0" w:space="0" w:color="auto"/>
        <w:bottom w:val="none" w:sz="0" w:space="0" w:color="auto"/>
        <w:right w:val="none" w:sz="0" w:space="0" w:color="auto"/>
      </w:divBdr>
    </w:div>
    <w:div w:id="1082529229">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83573431">
      <w:bodyDiv w:val="1"/>
      <w:marLeft w:val="0"/>
      <w:marRight w:val="0"/>
      <w:marTop w:val="0"/>
      <w:marBottom w:val="0"/>
      <w:divBdr>
        <w:top w:val="none" w:sz="0" w:space="0" w:color="auto"/>
        <w:left w:val="none" w:sz="0" w:space="0" w:color="auto"/>
        <w:bottom w:val="none" w:sz="0" w:space="0" w:color="auto"/>
        <w:right w:val="none" w:sz="0" w:space="0" w:color="auto"/>
      </w:divBdr>
    </w:div>
    <w:div w:id="1083799219">
      <w:bodyDiv w:val="1"/>
      <w:marLeft w:val="0"/>
      <w:marRight w:val="0"/>
      <w:marTop w:val="0"/>
      <w:marBottom w:val="0"/>
      <w:divBdr>
        <w:top w:val="none" w:sz="0" w:space="0" w:color="auto"/>
        <w:left w:val="none" w:sz="0" w:space="0" w:color="auto"/>
        <w:bottom w:val="none" w:sz="0" w:space="0" w:color="auto"/>
        <w:right w:val="none" w:sz="0" w:space="0" w:color="auto"/>
      </w:divBdr>
    </w:div>
    <w:div w:id="1084063545">
      <w:bodyDiv w:val="1"/>
      <w:marLeft w:val="0"/>
      <w:marRight w:val="0"/>
      <w:marTop w:val="0"/>
      <w:marBottom w:val="0"/>
      <w:divBdr>
        <w:top w:val="none" w:sz="0" w:space="0" w:color="auto"/>
        <w:left w:val="none" w:sz="0" w:space="0" w:color="auto"/>
        <w:bottom w:val="none" w:sz="0" w:space="0" w:color="auto"/>
        <w:right w:val="none" w:sz="0" w:space="0" w:color="auto"/>
      </w:divBdr>
    </w:div>
    <w:div w:id="1084452217">
      <w:bodyDiv w:val="1"/>
      <w:marLeft w:val="0"/>
      <w:marRight w:val="0"/>
      <w:marTop w:val="0"/>
      <w:marBottom w:val="0"/>
      <w:divBdr>
        <w:top w:val="none" w:sz="0" w:space="0" w:color="auto"/>
        <w:left w:val="none" w:sz="0" w:space="0" w:color="auto"/>
        <w:bottom w:val="none" w:sz="0" w:space="0" w:color="auto"/>
        <w:right w:val="none" w:sz="0" w:space="0" w:color="auto"/>
      </w:divBdr>
    </w:div>
    <w:div w:id="1084566357">
      <w:bodyDiv w:val="1"/>
      <w:marLeft w:val="0"/>
      <w:marRight w:val="0"/>
      <w:marTop w:val="0"/>
      <w:marBottom w:val="0"/>
      <w:divBdr>
        <w:top w:val="none" w:sz="0" w:space="0" w:color="auto"/>
        <w:left w:val="none" w:sz="0" w:space="0" w:color="auto"/>
        <w:bottom w:val="none" w:sz="0" w:space="0" w:color="auto"/>
        <w:right w:val="none" w:sz="0" w:space="0" w:color="auto"/>
      </w:divBdr>
    </w:div>
    <w:div w:id="1084961813">
      <w:bodyDiv w:val="1"/>
      <w:marLeft w:val="0"/>
      <w:marRight w:val="0"/>
      <w:marTop w:val="0"/>
      <w:marBottom w:val="0"/>
      <w:divBdr>
        <w:top w:val="none" w:sz="0" w:space="0" w:color="auto"/>
        <w:left w:val="none" w:sz="0" w:space="0" w:color="auto"/>
        <w:bottom w:val="none" w:sz="0" w:space="0" w:color="auto"/>
        <w:right w:val="none" w:sz="0" w:space="0" w:color="auto"/>
      </w:divBdr>
    </w:div>
    <w:div w:id="1085342048">
      <w:bodyDiv w:val="1"/>
      <w:marLeft w:val="0"/>
      <w:marRight w:val="0"/>
      <w:marTop w:val="0"/>
      <w:marBottom w:val="0"/>
      <w:divBdr>
        <w:top w:val="none" w:sz="0" w:space="0" w:color="auto"/>
        <w:left w:val="none" w:sz="0" w:space="0" w:color="auto"/>
        <w:bottom w:val="none" w:sz="0" w:space="0" w:color="auto"/>
        <w:right w:val="none" w:sz="0" w:space="0" w:color="auto"/>
      </w:divBdr>
    </w:div>
    <w:div w:id="1085417900">
      <w:bodyDiv w:val="1"/>
      <w:marLeft w:val="0"/>
      <w:marRight w:val="0"/>
      <w:marTop w:val="0"/>
      <w:marBottom w:val="0"/>
      <w:divBdr>
        <w:top w:val="none" w:sz="0" w:space="0" w:color="auto"/>
        <w:left w:val="none" w:sz="0" w:space="0" w:color="auto"/>
        <w:bottom w:val="none" w:sz="0" w:space="0" w:color="auto"/>
        <w:right w:val="none" w:sz="0" w:space="0" w:color="auto"/>
      </w:divBdr>
    </w:div>
    <w:div w:id="1085802587">
      <w:bodyDiv w:val="1"/>
      <w:marLeft w:val="0"/>
      <w:marRight w:val="0"/>
      <w:marTop w:val="0"/>
      <w:marBottom w:val="0"/>
      <w:divBdr>
        <w:top w:val="none" w:sz="0" w:space="0" w:color="auto"/>
        <w:left w:val="none" w:sz="0" w:space="0" w:color="auto"/>
        <w:bottom w:val="none" w:sz="0" w:space="0" w:color="auto"/>
        <w:right w:val="none" w:sz="0" w:space="0" w:color="auto"/>
      </w:divBdr>
    </w:div>
    <w:div w:id="1086027366">
      <w:bodyDiv w:val="1"/>
      <w:marLeft w:val="0"/>
      <w:marRight w:val="0"/>
      <w:marTop w:val="0"/>
      <w:marBottom w:val="0"/>
      <w:divBdr>
        <w:top w:val="none" w:sz="0" w:space="0" w:color="auto"/>
        <w:left w:val="none" w:sz="0" w:space="0" w:color="auto"/>
        <w:bottom w:val="none" w:sz="0" w:space="0" w:color="auto"/>
        <w:right w:val="none" w:sz="0" w:space="0" w:color="auto"/>
      </w:divBdr>
    </w:div>
    <w:div w:id="1086342416">
      <w:bodyDiv w:val="1"/>
      <w:marLeft w:val="0"/>
      <w:marRight w:val="0"/>
      <w:marTop w:val="0"/>
      <w:marBottom w:val="0"/>
      <w:divBdr>
        <w:top w:val="none" w:sz="0" w:space="0" w:color="auto"/>
        <w:left w:val="none" w:sz="0" w:space="0" w:color="auto"/>
        <w:bottom w:val="none" w:sz="0" w:space="0" w:color="auto"/>
        <w:right w:val="none" w:sz="0" w:space="0" w:color="auto"/>
      </w:divBdr>
    </w:div>
    <w:div w:id="1086422735">
      <w:bodyDiv w:val="1"/>
      <w:marLeft w:val="0"/>
      <w:marRight w:val="0"/>
      <w:marTop w:val="0"/>
      <w:marBottom w:val="0"/>
      <w:divBdr>
        <w:top w:val="none" w:sz="0" w:space="0" w:color="auto"/>
        <w:left w:val="none" w:sz="0" w:space="0" w:color="auto"/>
        <w:bottom w:val="none" w:sz="0" w:space="0" w:color="auto"/>
        <w:right w:val="none" w:sz="0" w:space="0" w:color="auto"/>
      </w:divBdr>
    </w:div>
    <w:div w:id="1086458424">
      <w:bodyDiv w:val="1"/>
      <w:marLeft w:val="0"/>
      <w:marRight w:val="0"/>
      <w:marTop w:val="0"/>
      <w:marBottom w:val="0"/>
      <w:divBdr>
        <w:top w:val="none" w:sz="0" w:space="0" w:color="auto"/>
        <w:left w:val="none" w:sz="0" w:space="0" w:color="auto"/>
        <w:bottom w:val="none" w:sz="0" w:space="0" w:color="auto"/>
        <w:right w:val="none" w:sz="0" w:space="0" w:color="auto"/>
      </w:divBdr>
    </w:div>
    <w:div w:id="1086609176">
      <w:bodyDiv w:val="1"/>
      <w:marLeft w:val="0"/>
      <w:marRight w:val="0"/>
      <w:marTop w:val="0"/>
      <w:marBottom w:val="0"/>
      <w:divBdr>
        <w:top w:val="none" w:sz="0" w:space="0" w:color="auto"/>
        <w:left w:val="none" w:sz="0" w:space="0" w:color="auto"/>
        <w:bottom w:val="none" w:sz="0" w:space="0" w:color="auto"/>
        <w:right w:val="none" w:sz="0" w:space="0" w:color="auto"/>
      </w:divBdr>
    </w:div>
    <w:div w:id="1086734252">
      <w:bodyDiv w:val="1"/>
      <w:marLeft w:val="0"/>
      <w:marRight w:val="0"/>
      <w:marTop w:val="0"/>
      <w:marBottom w:val="0"/>
      <w:divBdr>
        <w:top w:val="none" w:sz="0" w:space="0" w:color="auto"/>
        <w:left w:val="none" w:sz="0" w:space="0" w:color="auto"/>
        <w:bottom w:val="none" w:sz="0" w:space="0" w:color="auto"/>
        <w:right w:val="none" w:sz="0" w:space="0" w:color="auto"/>
      </w:divBdr>
    </w:div>
    <w:div w:id="1087000028">
      <w:bodyDiv w:val="1"/>
      <w:marLeft w:val="0"/>
      <w:marRight w:val="0"/>
      <w:marTop w:val="0"/>
      <w:marBottom w:val="0"/>
      <w:divBdr>
        <w:top w:val="none" w:sz="0" w:space="0" w:color="auto"/>
        <w:left w:val="none" w:sz="0" w:space="0" w:color="auto"/>
        <w:bottom w:val="none" w:sz="0" w:space="0" w:color="auto"/>
        <w:right w:val="none" w:sz="0" w:space="0" w:color="auto"/>
      </w:divBdr>
    </w:div>
    <w:div w:id="1087078043">
      <w:bodyDiv w:val="1"/>
      <w:marLeft w:val="0"/>
      <w:marRight w:val="0"/>
      <w:marTop w:val="0"/>
      <w:marBottom w:val="0"/>
      <w:divBdr>
        <w:top w:val="none" w:sz="0" w:space="0" w:color="auto"/>
        <w:left w:val="none" w:sz="0" w:space="0" w:color="auto"/>
        <w:bottom w:val="none" w:sz="0" w:space="0" w:color="auto"/>
        <w:right w:val="none" w:sz="0" w:space="0" w:color="auto"/>
      </w:divBdr>
    </w:div>
    <w:div w:id="1087267499">
      <w:bodyDiv w:val="1"/>
      <w:marLeft w:val="0"/>
      <w:marRight w:val="0"/>
      <w:marTop w:val="0"/>
      <w:marBottom w:val="0"/>
      <w:divBdr>
        <w:top w:val="none" w:sz="0" w:space="0" w:color="auto"/>
        <w:left w:val="none" w:sz="0" w:space="0" w:color="auto"/>
        <w:bottom w:val="none" w:sz="0" w:space="0" w:color="auto"/>
        <w:right w:val="none" w:sz="0" w:space="0" w:color="auto"/>
      </w:divBdr>
    </w:div>
    <w:div w:id="1087311336">
      <w:bodyDiv w:val="1"/>
      <w:marLeft w:val="0"/>
      <w:marRight w:val="0"/>
      <w:marTop w:val="0"/>
      <w:marBottom w:val="0"/>
      <w:divBdr>
        <w:top w:val="none" w:sz="0" w:space="0" w:color="auto"/>
        <w:left w:val="none" w:sz="0" w:space="0" w:color="auto"/>
        <w:bottom w:val="none" w:sz="0" w:space="0" w:color="auto"/>
        <w:right w:val="none" w:sz="0" w:space="0" w:color="auto"/>
      </w:divBdr>
    </w:div>
    <w:div w:id="1087724898">
      <w:bodyDiv w:val="1"/>
      <w:marLeft w:val="0"/>
      <w:marRight w:val="0"/>
      <w:marTop w:val="0"/>
      <w:marBottom w:val="0"/>
      <w:divBdr>
        <w:top w:val="none" w:sz="0" w:space="0" w:color="auto"/>
        <w:left w:val="none" w:sz="0" w:space="0" w:color="auto"/>
        <w:bottom w:val="none" w:sz="0" w:space="0" w:color="auto"/>
        <w:right w:val="none" w:sz="0" w:space="0" w:color="auto"/>
      </w:divBdr>
    </w:div>
    <w:div w:id="1088233366">
      <w:bodyDiv w:val="1"/>
      <w:marLeft w:val="0"/>
      <w:marRight w:val="0"/>
      <w:marTop w:val="0"/>
      <w:marBottom w:val="0"/>
      <w:divBdr>
        <w:top w:val="none" w:sz="0" w:space="0" w:color="auto"/>
        <w:left w:val="none" w:sz="0" w:space="0" w:color="auto"/>
        <w:bottom w:val="none" w:sz="0" w:space="0" w:color="auto"/>
        <w:right w:val="none" w:sz="0" w:space="0" w:color="auto"/>
      </w:divBdr>
    </w:div>
    <w:div w:id="1088380285">
      <w:bodyDiv w:val="1"/>
      <w:marLeft w:val="0"/>
      <w:marRight w:val="0"/>
      <w:marTop w:val="0"/>
      <w:marBottom w:val="0"/>
      <w:divBdr>
        <w:top w:val="none" w:sz="0" w:space="0" w:color="auto"/>
        <w:left w:val="none" w:sz="0" w:space="0" w:color="auto"/>
        <w:bottom w:val="none" w:sz="0" w:space="0" w:color="auto"/>
        <w:right w:val="none" w:sz="0" w:space="0" w:color="auto"/>
      </w:divBdr>
    </w:div>
    <w:div w:id="1088847849">
      <w:bodyDiv w:val="1"/>
      <w:marLeft w:val="0"/>
      <w:marRight w:val="0"/>
      <w:marTop w:val="0"/>
      <w:marBottom w:val="0"/>
      <w:divBdr>
        <w:top w:val="none" w:sz="0" w:space="0" w:color="auto"/>
        <w:left w:val="none" w:sz="0" w:space="0" w:color="auto"/>
        <w:bottom w:val="none" w:sz="0" w:space="0" w:color="auto"/>
        <w:right w:val="none" w:sz="0" w:space="0" w:color="auto"/>
      </w:divBdr>
    </w:div>
    <w:div w:id="1089157643">
      <w:bodyDiv w:val="1"/>
      <w:marLeft w:val="0"/>
      <w:marRight w:val="0"/>
      <w:marTop w:val="0"/>
      <w:marBottom w:val="0"/>
      <w:divBdr>
        <w:top w:val="none" w:sz="0" w:space="0" w:color="auto"/>
        <w:left w:val="none" w:sz="0" w:space="0" w:color="auto"/>
        <w:bottom w:val="none" w:sz="0" w:space="0" w:color="auto"/>
        <w:right w:val="none" w:sz="0" w:space="0" w:color="auto"/>
      </w:divBdr>
    </w:div>
    <w:div w:id="1089547251">
      <w:bodyDiv w:val="1"/>
      <w:marLeft w:val="0"/>
      <w:marRight w:val="0"/>
      <w:marTop w:val="0"/>
      <w:marBottom w:val="0"/>
      <w:divBdr>
        <w:top w:val="none" w:sz="0" w:space="0" w:color="auto"/>
        <w:left w:val="none" w:sz="0" w:space="0" w:color="auto"/>
        <w:bottom w:val="none" w:sz="0" w:space="0" w:color="auto"/>
        <w:right w:val="none" w:sz="0" w:space="0" w:color="auto"/>
      </w:divBdr>
    </w:div>
    <w:div w:id="1089735097">
      <w:bodyDiv w:val="1"/>
      <w:marLeft w:val="0"/>
      <w:marRight w:val="0"/>
      <w:marTop w:val="0"/>
      <w:marBottom w:val="0"/>
      <w:divBdr>
        <w:top w:val="none" w:sz="0" w:space="0" w:color="auto"/>
        <w:left w:val="none" w:sz="0" w:space="0" w:color="auto"/>
        <w:bottom w:val="none" w:sz="0" w:space="0" w:color="auto"/>
        <w:right w:val="none" w:sz="0" w:space="0" w:color="auto"/>
      </w:divBdr>
    </w:div>
    <w:div w:id="1089808992">
      <w:bodyDiv w:val="1"/>
      <w:marLeft w:val="0"/>
      <w:marRight w:val="0"/>
      <w:marTop w:val="0"/>
      <w:marBottom w:val="0"/>
      <w:divBdr>
        <w:top w:val="none" w:sz="0" w:space="0" w:color="auto"/>
        <w:left w:val="none" w:sz="0" w:space="0" w:color="auto"/>
        <w:bottom w:val="none" w:sz="0" w:space="0" w:color="auto"/>
        <w:right w:val="none" w:sz="0" w:space="0" w:color="auto"/>
      </w:divBdr>
    </w:div>
    <w:div w:id="1089811537">
      <w:bodyDiv w:val="1"/>
      <w:marLeft w:val="0"/>
      <w:marRight w:val="0"/>
      <w:marTop w:val="0"/>
      <w:marBottom w:val="0"/>
      <w:divBdr>
        <w:top w:val="none" w:sz="0" w:space="0" w:color="auto"/>
        <w:left w:val="none" w:sz="0" w:space="0" w:color="auto"/>
        <w:bottom w:val="none" w:sz="0" w:space="0" w:color="auto"/>
        <w:right w:val="none" w:sz="0" w:space="0" w:color="auto"/>
      </w:divBdr>
    </w:div>
    <w:div w:id="1089961973">
      <w:bodyDiv w:val="1"/>
      <w:marLeft w:val="0"/>
      <w:marRight w:val="0"/>
      <w:marTop w:val="0"/>
      <w:marBottom w:val="0"/>
      <w:divBdr>
        <w:top w:val="none" w:sz="0" w:space="0" w:color="auto"/>
        <w:left w:val="none" w:sz="0" w:space="0" w:color="auto"/>
        <w:bottom w:val="none" w:sz="0" w:space="0" w:color="auto"/>
        <w:right w:val="none" w:sz="0" w:space="0" w:color="auto"/>
      </w:divBdr>
    </w:div>
    <w:div w:id="1090001948">
      <w:bodyDiv w:val="1"/>
      <w:marLeft w:val="0"/>
      <w:marRight w:val="0"/>
      <w:marTop w:val="0"/>
      <w:marBottom w:val="0"/>
      <w:divBdr>
        <w:top w:val="none" w:sz="0" w:space="0" w:color="auto"/>
        <w:left w:val="none" w:sz="0" w:space="0" w:color="auto"/>
        <w:bottom w:val="none" w:sz="0" w:space="0" w:color="auto"/>
        <w:right w:val="none" w:sz="0" w:space="0" w:color="auto"/>
      </w:divBdr>
    </w:div>
    <w:div w:id="1090156844">
      <w:bodyDiv w:val="1"/>
      <w:marLeft w:val="0"/>
      <w:marRight w:val="0"/>
      <w:marTop w:val="0"/>
      <w:marBottom w:val="0"/>
      <w:divBdr>
        <w:top w:val="none" w:sz="0" w:space="0" w:color="auto"/>
        <w:left w:val="none" w:sz="0" w:space="0" w:color="auto"/>
        <w:bottom w:val="none" w:sz="0" w:space="0" w:color="auto"/>
        <w:right w:val="none" w:sz="0" w:space="0" w:color="auto"/>
      </w:divBdr>
    </w:div>
    <w:div w:id="1090278191">
      <w:bodyDiv w:val="1"/>
      <w:marLeft w:val="0"/>
      <w:marRight w:val="0"/>
      <w:marTop w:val="0"/>
      <w:marBottom w:val="0"/>
      <w:divBdr>
        <w:top w:val="none" w:sz="0" w:space="0" w:color="auto"/>
        <w:left w:val="none" w:sz="0" w:space="0" w:color="auto"/>
        <w:bottom w:val="none" w:sz="0" w:space="0" w:color="auto"/>
        <w:right w:val="none" w:sz="0" w:space="0" w:color="auto"/>
      </w:divBdr>
    </w:div>
    <w:div w:id="1090539542">
      <w:bodyDiv w:val="1"/>
      <w:marLeft w:val="0"/>
      <w:marRight w:val="0"/>
      <w:marTop w:val="0"/>
      <w:marBottom w:val="0"/>
      <w:divBdr>
        <w:top w:val="none" w:sz="0" w:space="0" w:color="auto"/>
        <w:left w:val="none" w:sz="0" w:space="0" w:color="auto"/>
        <w:bottom w:val="none" w:sz="0" w:space="0" w:color="auto"/>
        <w:right w:val="none" w:sz="0" w:space="0" w:color="auto"/>
      </w:divBdr>
    </w:div>
    <w:div w:id="1090737687">
      <w:bodyDiv w:val="1"/>
      <w:marLeft w:val="0"/>
      <w:marRight w:val="0"/>
      <w:marTop w:val="0"/>
      <w:marBottom w:val="0"/>
      <w:divBdr>
        <w:top w:val="none" w:sz="0" w:space="0" w:color="auto"/>
        <w:left w:val="none" w:sz="0" w:space="0" w:color="auto"/>
        <w:bottom w:val="none" w:sz="0" w:space="0" w:color="auto"/>
        <w:right w:val="none" w:sz="0" w:space="0" w:color="auto"/>
      </w:divBdr>
    </w:div>
    <w:div w:id="1091046205">
      <w:bodyDiv w:val="1"/>
      <w:marLeft w:val="0"/>
      <w:marRight w:val="0"/>
      <w:marTop w:val="0"/>
      <w:marBottom w:val="0"/>
      <w:divBdr>
        <w:top w:val="none" w:sz="0" w:space="0" w:color="auto"/>
        <w:left w:val="none" w:sz="0" w:space="0" w:color="auto"/>
        <w:bottom w:val="none" w:sz="0" w:space="0" w:color="auto"/>
        <w:right w:val="none" w:sz="0" w:space="0" w:color="auto"/>
      </w:divBdr>
    </w:div>
    <w:div w:id="1092237203">
      <w:bodyDiv w:val="1"/>
      <w:marLeft w:val="0"/>
      <w:marRight w:val="0"/>
      <w:marTop w:val="0"/>
      <w:marBottom w:val="0"/>
      <w:divBdr>
        <w:top w:val="none" w:sz="0" w:space="0" w:color="auto"/>
        <w:left w:val="none" w:sz="0" w:space="0" w:color="auto"/>
        <w:bottom w:val="none" w:sz="0" w:space="0" w:color="auto"/>
        <w:right w:val="none" w:sz="0" w:space="0" w:color="auto"/>
      </w:divBdr>
    </w:div>
    <w:div w:id="1092437000">
      <w:bodyDiv w:val="1"/>
      <w:marLeft w:val="0"/>
      <w:marRight w:val="0"/>
      <w:marTop w:val="0"/>
      <w:marBottom w:val="0"/>
      <w:divBdr>
        <w:top w:val="none" w:sz="0" w:space="0" w:color="auto"/>
        <w:left w:val="none" w:sz="0" w:space="0" w:color="auto"/>
        <w:bottom w:val="none" w:sz="0" w:space="0" w:color="auto"/>
        <w:right w:val="none" w:sz="0" w:space="0" w:color="auto"/>
      </w:divBdr>
    </w:div>
    <w:div w:id="1092583337">
      <w:bodyDiv w:val="1"/>
      <w:marLeft w:val="0"/>
      <w:marRight w:val="0"/>
      <w:marTop w:val="0"/>
      <w:marBottom w:val="0"/>
      <w:divBdr>
        <w:top w:val="none" w:sz="0" w:space="0" w:color="auto"/>
        <w:left w:val="none" w:sz="0" w:space="0" w:color="auto"/>
        <w:bottom w:val="none" w:sz="0" w:space="0" w:color="auto"/>
        <w:right w:val="none" w:sz="0" w:space="0" w:color="auto"/>
      </w:divBdr>
    </w:div>
    <w:div w:id="1092820504">
      <w:bodyDiv w:val="1"/>
      <w:marLeft w:val="0"/>
      <w:marRight w:val="0"/>
      <w:marTop w:val="0"/>
      <w:marBottom w:val="0"/>
      <w:divBdr>
        <w:top w:val="none" w:sz="0" w:space="0" w:color="auto"/>
        <w:left w:val="none" w:sz="0" w:space="0" w:color="auto"/>
        <w:bottom w:val="none" w:sz="0" w:space="0" w:color="auto"/>
        <w:right w:val="none" w:sz="0" w:space="0" w:color="auto"/>
      </w:divBdr>
    </w:div>
    <w:div w:id="1093090893">
      <w:bodyDiv w:val="1"/>
      <w:marLeft w:val="0"/>
      <w:marRight w:val="0"/>
      <w:marTop w:val="0"/>
      <w:marBottom w:val="0"/>
      <w:divBdr>
        <w:top w:val="none" w:sz="0" w:space="0" w:color="auto"/>
        <w:left w:val="none" w:sz="0" w:space="0" w:color="auto"/>
        <w:bottom w:val="none" w:sz="0" w:space="0" w:color="auto"/>
        <w:right w:val="none" w:sz="0" w:space="0" w:color="auto"/>
      </w:divBdr>
    </w:div>
    <w:div w:id="1093284510">
      <w:bodyDiv w:val="1"/>
      <w:marLeft w:val="0"/>
      <w:marRight w:val="0"/>
      <w:marTop w:val="0"/>
      <w:marBottom w:val="0"/>
      <w:divBdr>
        <w:top w:val="none" w:sz="0" w:space="0" w:color="auto"/>
        <w:left w:val="none" w:sz="0" w:space="0" w:color="auto"/>
        <w:bottom w:val="none" w:sz="0" w:space="0" w:color="auto"/>
        <w:right w:val="none" w:sz="0" w:space="0" w:color="auto"/>
      </w:divBdr>
    </w:div>
    <w:div w:id="1093286180">
      <w:bodyDiv w:val="1"/>
      <w:marLeft w:val="0"/>
      <w:marRight w:val="0"/>
      <w:marTop w:val="0"/>
      <w:marBottom w:val="0"/>
      <w:divBdr>
        <w:top w:val="none" w:sz="0" w:space="0" w:color="auto"/>
        <w:left w:val="none" w:sz="0" w:space="0" w:color="auto"/>
        <w:bottom w:val="none" w:sz="0" w:space="0" w:color="auto"/>
        <w:right w:val="none" w:sz="0" w:space="0" w:color="auto"/>
      </w:divBdr>
    </w:div>
    <w:div w:id="1093625797">
      <w:bodyDiv w:val="1"/>
      <w:marLeft w:val="0"/>
      <w:marRight w:val="0"/>
      <w:marTop w:val="0"/>
      <w:marBottom w:val="0"/>
      <w:divBdr>
        <w:top w:val="none" w:sz="0" w:space="0" w:color="auto"/>
        <w:left w:val="none" w:sz="0" w:space="0" w:color="auto"/>
        <w:bottom w:val="none" w:sz="0" w:space="0" w:color="auto"/>
        <w:right w:val="none" w:sz="0" w:space="0" w:color="auto"/>
      </w:divBdr>
    </w:div>
    <w:div w:id="1093743083">
      <w:bodyDiv w:val="1"/>
      <w:marLeft w:val="0"/>
      <w:marRight w:val="0"/>
      <w:marTop w:val="0"/>
      <w:marBottom w:val="0"/>
      <w:divBdr>
        <w:top w:val="none" w:sz="0" w:space="0" w:color="auto"/>
        <w:left w:val="none" w:sz="0" w:space="0" w:color="auto"/>
        <w:bottom w:val="none" w:sz="0" w:space="0" w:color="auto"/>
        <w:right w:val="none" w:sz="0" w:space="0" w:color="auto"/>
      </w:divBdr>
    </w:div>
    <w:div w:id="1094399355">
      <w:bodyDiv w:val="1"/>
      <w:marLeft w:val="0"/>
      <w:marRight w:val="0"/>
      <w:marTop w:val="0"/>
      <w:marBottom w:val="0"/>
      <w:divBdr>
        <w:top w:val="none" w:sz="0" w:space="0" w:color="auto"/>
        <w:left w:val="none" w:sz="0" w:space="0" w:color="auto"/>
        <w:bottom w:val="none" w:sz="0" w:space="0" w:color="auto"/>
        <w:right w:val="none" w:sz="0" w:space="0" w:color="auto"/>
      </w:divBdr>
    </w:div>
    <w:div w:id="1094472266">
      <w:bodyDiv w:val="1"/>
      <w:marLeft w:val="0"/>
      <w:marRight w:val="0"/>
      <w:marTop w:val="0"/>
      <w:marBottom w:val="0"/>
      <w:divBdr>
        <w:top w:val="none" w:sz="0" w:space="0" w:color="auto"/>
        <w:left w:val="none" w:sz="0" w:space="0" w:color="auto"/>
        <w:bottom w:val="none" w:sz="0" w:space="0" w:color="auto"/>
        <w:right w:val="none" w:sz="0" w:space="0" w:color="auto"/>
      </w:divBdr>
    </w:div>
    <w:div w:id="1095201498">
      <w:bodyDiv w:val="1"/>
      <w:marLeft w:val="0"/>
      <w:marRight w:val="0"/>
      <w:marTop w:val="0"/>
      <w:marBottom w:val="0"/>
      <w:divBdr>
        <w:top w:val="none" w:sz="0" w:space="0" w:color="auto"/>
        <w:left w:val="none" w:sz="0" w:space="0" w:color="auto"/>
        <w:bottom w:val="none" w:sz="0" w:space="0" w:color="auto"/>
        <w:right w:val="none" w:sz="0" w:space="0" w:color="auto"/>
      </w:divBdr>
    </w:div>
    <w:div w:id="1095828008">
      <w:bodyDiv w:val="1"/>
      <w:marLeft w:val="0"/>
      <w:marRight w:val="0"/>
      <w:marTop w:val="0"/>
      <w:marBottom w:val="0"/>
      <w:divBdr>
        <w:top w:val="none" w:sz="0" w:space="0" w:color="auto"/>
        <w:left w:val="none" w:sz="0" w:space="0" w:color="auto"/>
        <w:bottom w:val="none" w:sz="0" w:space="0" w:color="auto"/>
        <w:right w:val="none" w:sz="0" w:space="0" w:color="auto"/>
      </w:divBdr>
    </w:div>
    <w:div w:id="1096175607">
      <w:bodyDiv w:val="1"/>
      <w:marLeft w:val="0"/>
      <w:marRight w:val="0"/>
      <w:marTop w:val="0"/>
      <w:marBottom w:val="0"/>
      <w:divBdr>
        <w:top w:val="none" w:sz="0" w:space="0" w:color="auto"/>
        <w:left w:val="none" w:sz="0" w:space="0" w:color="auto"/>
        <w:bottom w:val="none" w:sz="0" w:space="0" w:color="auto"/>
        <w:right w:val="none" w:sz="0" w:space="0" w:color="auto"/>
      </w:divBdr>
    </w:div>
    <w:div w:id="1096248051">
      <w:bodyDiv w:val="1"/>
      <w:marLeft w:val="0"/>
      <w:marRight w:val="0"/>
      <w:marTop w:val="0"/>
      <w:marBottom w:val="0"/>
      <w:divBdr>
        <w:top w:val="none" w:sz="0" w:space="0" w:color="auto"/>
        <w:left w:val="none" w:sz="0" w:space="0" w:color="auto"/>
        <w:bottom w:val="none" w:sz="0" w:space="0" w:color="auto"/>
        <w:right w:val="none" w:sz="0" w:space="0" w:color="auto"/>
      </w:divBdr>
    </w:div>
    <w:div w:id="1097017361">
      <w:bodyDiv w:val="1"/>
      <w:marLeft w:val="0"/>
      <w:marRight w:val="0"/>
      <w:marTop w:val="0"/>
      <w:marBottom w:val="0"/>
      <w:divBdr>
        <w:top w:val="none" w:sz="0" w:space="0" w:color="auto"/>
        <w:left w:val="none" w:sz="0" w:space="0" w:color="auto"/>
        <w:bottom w:val="none" w:sz="0" w:space="0" w:color="auto"/>
        <w:right w:val="none" w:sz="0" w:space="0" w:color="auto"/>
      </w:divBdr>
    </w:div>
    <w:div w:id="1097094259">
      <w:bodyDiv w:val="1"/>
      <w:marLeft w:val="0"/>
      <w:marRight w:val="0"/>
      <w:marTop w:val="0"/>
      <w:marBottom w:val="0"/>
      <w:divBdr>
        <w:top w:val="none" w:sz="0" w:space="0" w:color="auto"/>
        <w:left w:val="none" w:sz="0" w:space="0" w:color="auto"/>
        <w:bottom w:val="none" w:sz="0" w:space="0" w:color="auto"/>
        <w:right w:val="none" w:sz="0" w:space="0" w:color="auto"/>
      </w:divBdr>
    </w:div>
    <w:div w:id="1097285230">
      <w:bodyDiv w:val="1"/>
      <w:marLeft w:val="0"/>
      <w:marRight w:val="0"/>
      <w:marTop w:val="0"/>
      <w:marBottom w:val="0"/>
      <w:divBdr>
        <w:top w:val="none" w:sz="0" w:space="0" w:color="auto"/>
        <w:left w:val="none" w:sz="0" w:space="0" w:color="auto"/>
        <w:bottom w:val="none" w:sz="0" w:space="0" w:color="auto"/>
        <w:right w:val="none" w:sz="0" w:space="0" w:color="auto"/>
      </w:divBdr>
    </w:div>
    <w:div w:id="1097598542">
      <w:bodyDiv w:val="1"/>
      <w:marLeft w:val="0"/>
      <w:marRight w:val="0"/>
      <w:marTop w:val="0"/>
      <w:marBottom w:val="0"/>
      <w:divBdr>
        <w:top w:val="none" w:sz="0" w:space="0" w:color="auto"/>
        <w:left w:val="none" w:sz="0" w:space="0" w:color="auto"/>
        <w:bottom w:val="none" w:sz="0" w:space="0" w:color="auto"/>
        <w:right w:val="none" w:sz="0" w:space="0" w:color="auto"/>
      </w:divBdr>
    </w:div>
    <w:div w:id="1097943460">
      <w:bodyDiv w:val="1"/>
      <w:marLeft w:val="0"/>
      <w:marRight w:val="0"/>
      <w:marTop w:val="0"/>
      <w:marBottom w:val="0"/>
      <w:divBdr>
        <w:top w:val="none" w:sz="0" w:space="0" w:color="auto"/>
        <w:left w:val="none" w:sz="0" w:space="0" w:color="auto"/>
        <w:bottom w:val="none" w:sz="0" w:space="0" w:color="auto"/>
        <w:right w:val="none" w:sz="0" w:space="0" w:color="auto"/>
      </w:divBdr>
    </w:div>
    <w:div w:id="1098022228">
      <w:bodyDiv w:val="1"/>
      <w:marLeft w:val="0"/>
      <w:marRight w:val="0"/>
      <w:marTop w:val="0"/>
      <w:marBottom w:val="0"/>
      <w:divBdr>
        <w:top w:val="none" w:sz="0" w:space="0" w:color="auto"/>
        <w:left w:val="none" w:sz="0" w:space="0" w:color="auto"/>
        <w:bottom w:val="none" w:sz="0" w:space="0" w:color="auto"/>
        <w:right w:val="none" w:sz="0" w:space="0" w:color="auto"/>
      </w:divBdr>
    </w:div>
    <w:div w:id="1098326565">
      <w:bodyDiv w:val="1"/>
      <w:marLeft w:val="0"/>
      <w:marRight w:val="0"/>
      <w:marTop w:val="0"/>
      <w:marBottom w:val="0"/>
      <w:divBdr>
        <w:top w:val="none" w:sz="0" w:space="0" w:color="auto"/>
        <w:left w:val="none" w:sz="0" w:space="0" w:color="auto"/>
        <w:bottom w:val="none" w:sz="0" w:space="0" w:color="auto"/>
        <w:right w:val="none" w:sz="0" w:space="0" w:color="auto"/>
      </w:divBdr>
    </w:div>
    <w:div w:id="1098402504">
      <w:bodyDiv w:val="1"/>
      <w:marLeft w:val="0"/>
      <w:marRight w:val="0"/>
      <w:marTop w:val="0"/>
      <w:marBottom w:val="0"/>
      <w:divBdr>
        <w:top w:val="none" w:sz="0" w:space="0" w:color="auto"/>
        <w:left w:val="none" w:sz="0" w:space="0" w:color="auto"/>
        <w:bottom w:val="none" w:sz="0" w:space="0" w:color="auto"/>
        <w:right w:val="none" w:sz="0" w:space="0" w:color="auto"/>
      </w:divBdr>
    </w:div>
    <w:div w:id="1098720161">
      <w:bodyDiv w:val="1"/>
      <w:marLeft w:val="0"/>
      <w:marRight w:val="0"/>
      <w:marTop w:val="0"/>
      <w:marBottom w:val="0"/>
      <w:divBdr>
        <w:top w:val="none" w:sz="0" w:space="0" w:color="auto"/>
        <w:left w:val="none" w:sz="0" w:space="0" w:color="auto"/>
        <w:bottom w:val="none" w:sz="0" w:space="0" w:color="auto"/>
        <w:right w:val="none" w:sz="0" w:space="0" w:color="auto"/>
      </w:divBdr>
    </w:div>
    <w:div w:id="1098789135">
      <w:bodyDiv w:val="1"/>
      <w:marLeft w:val="0"/>
      <w:marRight w:val="0"/>
      <w:marTop w:val="0"/>
      <w:marBottom w:val="0"/>
      <w:divBdr>
        <w:top w:val="none" w:sz="0" w:space="0" w:color="auto"/>
        <w:left w:val="none" w:sz="0" w:space="0" w:color="auto"/>
        <w:bottom w:val="none" w:sz="0" w:space="0" w:color="auto"/>
        <w:right w:val="none" w:sz="0" w:space="0" w:color="auto"/>
      </w:divBdr>
    </w:div>
    <w:div w:id="1099330738">
      <w:bodyDiv w:val="1"/>
      <w:marLeft w:val="0"/>
      <w:marRight w:val="0"/>
      <w:marTop w:val="0"/>
      <w:marBottom w:val="0"/>
      <w:divBdr>
        <w:top w:val="none" w:sz="0" w:space="0" w:color="auto"/>
        <w:left w:val="none" w:sz="0" w:space="0" w:color="auto"/>
        <w:bottom w:val="none" w:sz="0" w:space="0" w:color="auto"/>
        <w:right w:val="none" w:sz="0" w:space="0" w:color="auto"/>
      </w:divBdr>
    </w:div>
    <w:div w:id="1099524682">
      <w:bodyDiv w:val="1"/>
      <w:marLeft w:val="0"/>
      <w:marRight w:val="0"/>
      <w:marTop w:val="0"/>
      <w:marBottom w:val="0"/>
      <w:divBdr>
        <w:top w:val="none" w:sz="0" w:space="0" w:color="auto"/>
        <w:left w:val="none" w:sz="0" w:space="0" w:color="auto"/>
        <w:bottom w:val="none" w:sz="0" w:space="0" w:color="auto"/>
        <w:right w:val="none" w:sz="0" w:space="0" w:color="auto"/>
      </w:divBdr>
    </w:div>
    <w:div w:id="1099912792">
      <w:bodyDiv w:val="1"/>
      <w:marLeft w:val="0"/>
      <w:marRight w:val="0"/>
      <w:marTop w:val="0"/>
      <w:marBottom w:val="0"/>
      <w:divBdr>
        <w:top w:val="none" w:sz="0" w:space="0" w:color="auto"/>
        <w:left w:val="none" w:sz="0" w:space="0" w:color="auto"/>
        <w:bottom w:val="none" w:sz="0" w:space="0" w:color="auto"/>
        <w:right w:val="none" w:sz="0" w:space="0" w:color="auto"/>
      </w:divBdr>
    </w:div>
    <w:div w:id="1100030190">
      <w:bodyDiv w:val="1"/>
      <w:marLeft w:val="0"/>
      <w:marRight w:val="0"/>
      <w:marTop w:val="0"/>
      <w:marBottom w:val="0"/>
      <w:divBdr>
        <w:top w:val="none" w:sz="0" w:space="0" w:color="auto"/>
        <w:left w:val="none" w:sz="0" w:space="0" w:color="auto"/>
        <w:bottom w:val="none" w:sz="0" w:space="0" w:color="auto"/>
        <w:right w:val="none" w:sz="0" w:space="0" w:color="auto"/>
      </w:divBdr>
    </w:div>
    <w:div w:id="1100296442">
      <w:bodyDiv w:val="1"/>
      <w:marLeft w:val="0"/>
      <w:marRight w:val="0"/>
      <w:marTop w:val="0"/>
      <w:marBottom w:val="0"/>
      <w:divBdr>
        <w:top w:val="none" w:sz="0" w:space="0" w:color="auto"/>
        <w:left w:val="none" w:sz="0" w:space="0" w:color="auto"/>
        <w:bottom w:val="none" w:sz="0" w:space="0" w:color="auto"/>
        <w:right w:val="none" w:sz="0" w:space="0" w:color="auto"/>
      </w:divBdr>
    </w:div>
    <w:div w:id="1100494098">
      <w:bodyDiv w:val="1"/>
      <w:marLeft w:val="0"/>
      <w:marRight w:val="0"/>
      <w:marTop w:val="0"/>
      <w:marBottom w:val="0"/>
      <w:divBdr>
        <w:top w:val="none" w:sz="0" w:space="0" w:color="auto"/>
        <w:left w:val="none" w:sz="0" w:space="0" w:color="auto"/>
        <w:bottom w:val="none" w:sz="0" w:space="0" w:color="auto"/>
        <w:right w:val="none" w:sz="0" w:space="0" w:color="auto"/>
      </w:divBdr>
    </w:div>
    <w:div w:id="1100564922">
      <w:bodyDiv w:val="1"/>
      <w:marLeft w:val="0"/>
      <w:marRight w:val="0"/>
      <w:marTop w:val="0"/>
      <w:marBottom w:val="0"/>
      <w:divBdr>
        <w:top w:val="none" w:sz="0" w:space="0" w:color="auto"/>
        <w:left w:val="none" w:sz="0" w:space="0" w:color="auto"/>
        <w:bottom w:val="none" w:sz="0" w:space="0" w:color="auto"/>
        <w:right w:val="none" w:sz="0" w:space="0" w:color="auto"/>
      </w:divBdr>
    </w:div>
    <w:div w:id="1100640392">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2147067">
      <w:bodyDiv w:val="1"/>
      <w:marLeft w:val="0"/>
      <w:marRight w:val="0"/>
      <w:marTop w:val="0"/>
      <w:marBottom w:val="0"/>
      <w:divBdr>
        <w:top w:val="none" w:sz="0" w:space="0" w:color="auto"/>
        <w:left w:val="none" w:sz="0" w:space="0" w:color="auto"/>
        <w:bottom w:val="none" w:sz="0" w:space="0" w:color="auto"/>
        <w:right w:val="none" w:sz="0" w:space="0" w:color="auto"/>
      </w:divBdr>
    </w:div>
    <w:div w:id="1102147512">
      <w:bodyDiv w:val="1"/>
      <w:marLeft w:val="0"/>
      <w:marRight w:val="0"/>
      <w:marTop w:val="0"/>
      <w:marBottom w:val="0"/>
      <w:divBdr>
        <w:top w:val="none" w:sz="0" w:space="0" w:color="auto"/>
        <w:left w:val="none" w:sz="0" w:space="0" w:color="auto"/>
        <w:bottom w:val="none" w:sz="0" w:space="0" w:color="auto"/>
        <w:right w:val="none" w:sz="0" w:space="0" w:color="auto"/>
      </w:divBdr>
    </w:div>
    <w:div w:id="1102262209">
      <w:bodyDiv w:val="1"/>
      <w:marLeft w:val="0"/>
      <w:marRight w:val="0"/>
      <w:marTop w:val="0"/>
      <w:marBottom w:val="0"/>
      <w:divBdr>
        <w:top w:val="none" w:sz="0" w:space="0" w:color="auto"/>
        <w:left w:val="none" w:sz="0" w:space="0" w:color="auto"/>
        <w:bottom w:val="none" w:sz="0" w:space="0" w:color="auto"/>
        <w:right w:val="none" w:sz="0" w:space="0" w:color="auto"/>
      </w:divBdr>
    </w:div>
    <w:div w:id="1102263264">
      <w:bodyDiv w:val="1"/>
      <w:marLeft w:val="0"/>
      <w:marRight w:val="0"/>
      <w:marTop w:val="0"/>
      <w:marBottom w:val="0"/>
      <w:divBdr>
        <w:top w:val="none" w:sz="0" w:space="0" w:color="auto"/>
        <w:left w:val="none" w:sz="0" w:space="0" w:color="auto"/>
        <w:bottom w:val="none" w:sz="0" w:space="0" w:color="auto"/>
        <w:right w:val="none" w:sz="0" w:space="0" w:color="auto"/>
      </w:divBdr>
    </w:div>
    <w:div w:id="1102453900">
      <w:bodyDiv w:val="1"/>
      <w:marLeft w:val="0"/>
      <w:marRight w:val="0"/>
      <w:marTop w:val="0"/>
      <w:marBottom w:val="0"/>
      <w:divBdr>
        <w:top w:val="none" w:sz="0" w:space="0" w:color="auto"/>
        <w:left w:val="none" w:sz="0" w:space="0" w:color="auto"/>
        <w:bottom w:val="none" w:sz="0" w:space="0" w:color="auto"/>
        <w:right w:val="none" w:sz="0" w:space="0" w:color="auto"/>
      </w:divBdr>
    </w:div>
    <w:div w:id="1102457650">
      <w:bodyDiv w:val="1"/>
      <w:marLeft w:val="0"/>
      <w:marRight w:val="0"/>
      <w:marTop w:val="0"/>
      <w:marBottom w:val="0"/>
      <w:divBdr>
        <w:top w:val="none" w:sz="0" w:space="0" w:color="auto"/>
        <w:left w:val="none" w:sz="0" w:space="0" w:color="auto"/>
        <w:bottom w:val="none" w:sz="0" w:space="0" w:color="auto"/>
        <w:right w:val="none" w:sz="0" w:space="0" w:color="auto"/>
      </w:divBdr>
    </w:div>
    <w:div w:id="1102653053">
      <w:bodyDiv w:val="1"/>
      <w:marLeft w:val="0"/>
      <w:marRight w:val="0"/>
      <w:marTop w:val="0"/>
      <w:marBottom w:val="0"/>
      <w:divBdr>
        <w:top w:val="none" w:sz="0" w:space="0" w:color="auto"/>
        <w:left w:val="none" w:sz="0" w:space="0" w:color="auto"/>
        <w:bottom w:val="none" w:sz="0" w:space="0" w:color="auto"/>
        <w:right w:val="none" w:sz="0" w:space="0" w:color="auto"/>
      </w:divBdr>
    </w:div>
    <w:div w:id="1103183397">
      <w:bodyDiv w:val="1"/>
      <w:marLeft w:val="0"/>
      <w:marRight w:val="0"/>
      <w:marTop w:val="0"/>
      <w:marBottom w:val="0"/>
      <w:divBdr>
        <w:top w:val="none" w:sz="0" w:space="0" w:color="auto"/>
        <w:left w:val="none" w:sz="0" w:space="0" w:color="auto"/>
        <w:bottom w:val="none" w:sz="0" w:space="0" w:color="auto"/>
        <w:right w:val="none" w:sz="0" w:space="0" w:color="auto"/>
      </w:divBdr>
    </w:div>
    <w:div w:id="1104349482">
      <w:bodyDiv w:val="1"/>
      <w:marLeft w:val="0"/>
      <w:marRight w:val="0"/>
      <w:marTop w:val="0"/>
      <w:marBottom w:val="0"/>
      <w:divBdr>
        <w:top w:val="none" w:sz="0" w:space="0" w:color="auto"/>
        <w:left w:val="none" w:sz="0" w:space="0" w:color="auto"/>
        <w:bottom w:val="none" w:sz="0" w:space="0" w:color="auto"/>
        <w:right w:val="none" w:sz="0" w:space="0" w:color="auto"/>
      </w:divBdr>
    </w:div>
    <w:div w:id="1104493280">
      <w:bodyDiv w:val="1"/>
      <w:marLeft w:val="0"/>
      <w:marRight w:val="0"/>
      <w:marTop w:val="0"/>
      <w:marBottom w:val="0"/>
      <w:divBdr>
        <w:top w:val="none" w:sz="0" w:space="0" w:color="auto"/>
        <w:left w:val="none" w:sz="0" w:space="0" w:color="auto"/>
        <w:bottom w:val="none" w:sz="0" w:space="0" w:color="auto"/>
        <w:right w:val="none" w:sz="0" w:space="0" w:color="auto"/>
      </w:divBdr>
    </w:div>
    <w:div w:id="1104694669">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5613150">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7165746">
      <w:bodyDiv w:val="1"/>
      <w:marLeft w:val="0"/>
      <w:marRight w:val="0"/>
      <w:marTop w:val="0"/>
      <w:marBottom w:val="0"/>
      <w:divBdr>
        <w:top w:val="none" w:sz="0" w:space="0" w:color="auto"/>
        <w:left w:val="none" w:sz="0" w:space="0" w:color="auto"/>
        <w:bottom w:val="none" w:sz="0" w:space="0" w:color="auto"/>
        <w:right w:val="none" w:sz="0" w:space="0" w:color="auto"/>
      </w:divBdr>
    </w:div>
    <w:div w:id="1107233794">
      <w:bodyDiv w:val="1"/>
      <w:marLeft w:val="0"/>
      <w:marRight w:val="0"/>
      <w:marTop w:val="0"/>
      <w:marBottom w:val="0"/>
      <w:divBdr>
        <w:top w:val="none" w:sz="0" w:space="0" w:color="auto"/>
        <w:left w:val="none" w:sz="0" w:space="0" w:color="auto"/>
        <w:bottom w:val="none" w:sz="0" w:space="0" w:color="auto"/>
        <w:right w:val="none" w:sz="0" w:space="0" w:color="auto"/>
      </w:divBdr>
    </w:div>
    <w:div w:id="1107237980">
      <w:bodyDiv w:val="1"/>
      <w:marLeft w:val="0"/>
      <w:marRight w:val="0"/>
      <w:marTop w:val="0"/>
      <w:marBottom w:val="0"/>
      <w:divBdr>
        <w:top w:val="none" w:sz="0" w:space="0" w:color="auto"/>
        <w:left w:val="none" w:sz="0" w:space="0" w:color="auto"/>
        <w:bottom w:val="none" w:sz="0" w:space="0" w:color="auto"/>
        <w:right w:val="none" w:sz="0" w:space="0" w:color="auto"/>
      </w:divBdr>
    </w:div>
    <w:div w:id="1107459784">
      <w:bodyDiv w:val="1"/>
      <w:marLeft w:val="0"/>
      <w:marRight w:val="0"/>
      <w:marTop w:val="0"/>
      <w:marBottom w:val="0"/>
      <w:divBdr>
        <w:top w:val="none" w:sz="0" w:space="0" w:color="auto"/>
        <w:left w:val="none" w:sz="0" w:space="0" w:color="auto"/>
        <w:bottom w:val="none" w:sz="0" w:space="0" w:color="auto"/>
        <w:right w:val="none" w:sz="0" w:space="0" w:color="auto"/>
      </w:divBdr>
    </w:div>
    <w:div w:id="1107776343">
      <w:bodyDiv w:val="1"/>
      <w:marLeft w:val="0"/>
      <w:marRight w:val="0"/>
      <w:marTop w:val="0"/>
      <w:marBottom w:val="0"/>
      <w:divBdr>
        <w:top w:val="none" w:sz="0" w:space="0" w:color="auto"/>
        <w:left w:val="none" w:sz="0" w:space="0" w:color="auto"/>
        <w:bottom w:val="none" w:sz="0" w:space="0" w:color="auto"/>
        <w:right w:val="none" w:sz="0" w:space="0" w:color="auto"/>
      </w:divBdr>
    </w:div>
    <w:div w:id="1107847736">
      <w:bodyDiv w:val="1"/>
      <w:marLeft w:val="0"/>
      <w:marRight w:val="0"/>
      <w:marTop w:val="0"/>
      <w:marBottom w:val="0"/>
      <w:divBdr>
        <w:top w:val="none" w:sz="0" w:space="0" w:color="auto"/>
        <w:left w:val="none" w:sz="0" w:space="0" w:color="auto"/>
        <w:bottom w:val="none" w:sz="0" w:space="0" w:color="auto"/>
        <w:right w:val="none" w:sz="0" w:space="0" w:color="auto"/>
      </w:divBdr>
    </w:div>
    <w:div w:id="1108088904">
      <w:bodyDiv w:val="1"/>
      <w:marLeft w:val="0"/>
      <w:marRight w:val="0"/>
      <w:marTop w:val="0"/>
      <w:marBottom w:val="0"/>
      <w:divBdr>
        <w:top w:val="none" w:sz="0" w:space="0" w:color="auto"/>
        <w:left w:val="none" w:sz="0" w:space="0" w:color="auto"/>
        <w:bottom w:val="none" w:sz="0" w:space="0" w:color="auto"/>
        <w:right w:val="none" w:sz="0" w:space="0" w:color="auto"/>
      </w:divBdr>
    </w:div>
    <w:div w:id="1108160853">
      <w:bodyDiv w:val="1"/>
      <w:marLeft w:val="0"/>
      <w:marRight w:val="0"/>
      <w:marTop w:val="0"/>
      <w:marBottom w:val="0"/>
      <w:divBdr>
        <w:top w:val="none" w:sz="0" w:space="0" w:color="auto"/>
        <w:left w:val="none" w:sz="0" w:space="0" w:color="auto"/>
        <w:bottom w:val="none" w:sz="0" w:space="0" w:color="auto"/>
        <w:right w:val="none" w:sz="0" w:space="0" w:color="auto"/>
      </w:divBdr>
    </w:div>
    <w:div w:id="1108239606">
      <w:bodyDiv w:val="1"/>
      <w:marLeft w:val="0"/>
      <w:marRight w:val="0"/>
      <w:marTop w:val="0"/>
      <w:marBottom w:val="0"/>
      <w:divBdr>
        <w:top w:val="none" w:sz="0" w:space="0" w:color="auto"/>
        <w:left w:val="none" w:sz="0" w:space="0" w:color="auto"/>
        <w:bottom w:val="none" w:sz="0" w:space="0" w:color="auto"/>
        <w:right w:val="none" w:sz="0" w:space="0" w:color="auto"/>
      </w:divBdr>
    </w:div>
    <w:div w:id="1108348987">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620602">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08891460">
      <w:bodyDiv w:val="1"/>
      <w:marLeft w:val="0"/>
      <w:marRight w:val="0"/>
      <w:marTop w:val="0"/>
      <w:marBottom w:val="0"/>
      <w:divBdr>
        <w:top w:val="none" w:sz="0" w:space="0" w:color="auto"/>
        <w:left w:val="none" w:sz="0" w:space="0" w:color="auto"/>
        <w:bottom w:val="none" w:sz="0" w:space="0" w:color="auto"/>
        <w:right w:val="none" w:sz="0" w:space="0" w:color="auto"/>
      </w:divBdr>
    </w:div>
    <w:div w:id="1109083665">
      <w:bodyDiv w:val="1"/>
      <w:marLeft w:val="0"/>
      <w:marRight w:val="0"/>
      <w:marTop w:val="0"/>
      <w:marBottom w:val="0"/>
      <w:divBdr>
        <w:top w:val="none" w:sz="0" w:space="0" w:color="auto"/>
        <w:left w:val="none" w:sz="0" w:space="0" w:color="auto"/>
        <w:bottom w:val="none" w:sz="0" w:space="0" w:color="auto"/>
        <w:right w:val="none" w:sz="0" w:space="0" w:color="auto"/>
      </w:divBdr>
    </w:div>
    <w:div w:id="1109351750">
      <w:bodyDiv w:val="1"/>
      <w:marLeft w:val="0"/>
      <w:marRight w:val="0"/>
      <w:marTop w:val="0"/>
      <w:marBottom w:val="0"/>
      <w:divBdr>
        <w:top w:val="none" w:sz="0" w:space="0" w:color="auto"/>
        <w:left w:val="none" w:sz="0" w:space="0" w:color="auto"/>
        <w:bottom w:val="none" w:sz="0" w:space="0" w:color="auto"/>
        <w:right w:val="none" w:sz="0" w:space="0" w:color="auto"/>
      </w:divBdr>
    </w:div>
    <w:div w:id="1109424630">
      <w:bodyDiv w:val="1"/>
      <w:marLeft w:val="0"/>
      <w:marRight w:val="0"/>
      <w:marTop w:val="0"/>
      <w:marBottom w:val="0"/>
      <w:divBdr>
        <w:top w:val="none" w:sz="0" w:space="0" w:color="auto"/>
        <w:left w:val="none" w:sz="0" w:space="0" w:color="auto"/>
        <w:bottom w:val="none" w:sz="0" w:space="0" w:color="auto"/>
        <w:right w:val="none" w:sz="0" w:space="0" w:color="auto"/>
      </w:divBdr>
    </w:div>
    <w:div w:id="1110316211">
      <w:bodyDiv w:val="1"/>
      <w:marLeft w:val="0"/>
      <w:marRight w:val="0"/>
      <w:marTop w:val="0"/>
      <w:marBottom w:val="0"/>
      <w:divBdr>
        <w:top w:val="none" w:sz="0" w:space="0" w:color="auto"/>
        <w:left w:val="none" w:sz="0" w:space="0" w:color="auto"/>
        <w:bottom w:val="none" w:sz="0" w:space="0" w:color="auto"/>
        <w:right w:val="none" w:sz="0" w:space="0" w:color="auto"/>
      </w:divBdr>
    </w:div>
    <w:div w:id="1110736283">
      <w:bodyDiv w:val="1"/>
      <w:marLeft w:val="0"/>
      <w:marRight w:val="0"/>
      <w:marTop w:val="0"/>
      <w:marBottom w:val="0"/>
      <w:divBdr>
        <w:top w:val="none" w:sz="0" w:space="0" w:color="auto"/>
        <w:left w:val="none" w:sz="0" w:space="0" w:color="auto"/>
        <w:bottom w:val="none" w:sz="0" w:space="0" w:color="auto"/>
        <w:right w:val="none" w:sz="0" w:space="0" w:color="auto"/>
      </w:divBdr>
    </w:div>
    <w:div w:id="1111167691">
      <w:bodyDiv w:val="1"/>
      <w:marLeft w:val="0"/>
      <w:marRight w:val="0"/>
      <w:marTop w:val="0"/>
      <w:marBottom w:val="0"/>
      <w:divBdr>
        <w:top w:val="none" w:sz="0" w:space="0" w:color="auto"/>
        <w:left w:val="none" w:sz="0" w:space="0" w:color="auto"/>
        <w:bottom w:val="none" w:sz="0" w:space="0" w:color="auto"/>
        <w:right w:val="none" w:sz="0" w:space="0" w:color="auto"/>
      </w:divBdr>
    </w:div>
    <w:div w:id="1111240099">
      <w:bodyDiv w:val="1"/>
      <w:marLeft w:val="0"/>
      <w:marRight w:val="0"/>
      <w:marTop w:val="0"/>
      <w:marBottom w:val="0"/>
      <w:divBdr>
        <w:top w:val="none" w:sz="0" w:space="0" w:color="auto"/>
        <w:left w:val="none" w:sz="0" w:space="0" w:color="auto"/>
        <w:bottom w:val="none" w:sz="0" w:space="0" w:color="auto"/>
        <w:right w:val="none" w:sz="0" w:space="0" w:color="auto"/>
      </w:divBdr>
    </w:div>
    <w:div w:id="1112550222">
      <w:bodyDiv w:val="1"/>
      <w:marLeft w:val="0"/>
      <w:marRight w:val="0"/>
      <w:marTop w:val="0"/>
      <w:marBottom w:val="0"/>
      <w:divBdr>
        <w:top w:val="none" w:sz="0" w:space="0" w:color="auto"/>
        <w:left w:val="none" w:sz="0" w:space="0" w:color="auto"/>
        <w:bottom w:val="none" w:sz="0" w:space="0" w:color="auto"/>
        <w:right w:val="none" w:sz="0" w:space="0" w:color="auto"/>
      </w:divBdr>
    </w:div>
    <w:div w:id="1112701952">
      <w:bodyDiv w:val="1"/>
      <w:marLeft w:val="0"/>
      <w:marRight w:val="0"/>
      <w:marTop w:val="0"/>
      <w:marBottom w:val="0"/>
      <w:divBdr>
        <w:top w:val="none" w:sz="0" w:space="0" w:color="auto"/>
        <w:left w:val="none" w:sz="0" w:space="0" w:color="auto"/>
        <w:bottom w:val="none" w:sz="0" w:space="0" w:color="auto"/>
        <w:right w:val="none" w:sz="0" w:space="0" w:color="auto"/>
      </w:divBdr>
    </w:div>
    <w:div w:id="1113986649">
      <w:bodyDiv w:val="1"/>
      <w:marLeft w:val="0"/>
      <w:marRight w:val="0"/>
      <w:marTop w:val="0"/>
      <w:marBottom w:val="0"/>
      <w:divBdr>
        <w:top w:val="none" w:sz="0" w:space="0" w:color="auto"/>
        <w:left w:val="none" w:sz="0" w:space="0" w:color="auto"/>
        <w:bottom w:val="none" w:sz="0" w:space="0" w:color="auto"/>
        <w:right w:val="none" w:sz="0" w:space="0" w:color="auto"/>
      </w:divBdr>
    </w:div>
    <w:div w:id="1114011847">
      <w:bodyDiv w:val="1"/>
      <w:marLeft w:val="0"/>
      <w:marRight w:val="0"/>
      <w:marTop w:val="0"/>
      <w:marBottom w:val="0"/>
      <w:divBdr>
        <w:top w:val="none" w:sz="0" w:space="0" w:color="auto"/>
        <w:left w:val="none" w:sz="0" w:space="0" w:color="auto"/>
        <w:bottom w:val="none" w:sz="0" w:space="0" w:color="auto"/>
        <w:right w:val="none" w:sz="0" w:space="0" w:color="auto"/>
      </w:divBdr>
    </w:div>
    <w:div w:id="1114249038">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4520946">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249473">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5906246">
      <w:bodyDiv w:val="1"/>
      <w:marLeft w:val="0"/>
      <w:marRight w:val="0"/>
      <w:marTop w:val="0"/>
      <w:marBottom w:val="0"/>
      <w:divBdr>
        <w:top w:val="none" w:sz="0" w:space="0" w:color="auto"/>
        <w:left w:val="none" w:sz="0" w:space="0" w:color="auto"/>
        <w:bottom w:val="none" w:sz="0" w:space="0" w:color="auto"/>
        <w:right w:val="none" w:sz="0" w:space="0" w:color="auto"/>
      </w:divBdr>
    </w:div>
    <w:div w:id="1115909262">
      <w:bodyDiv w:val="1"/>
      <w:marLeft w:val="0"/>
      <w:marRight w:val="0"/>
      <w:marTop w:val="0"/>
      <w:marBottom w:val="0"/>
      <w:divBdr>
        <w:top w:val="none" w:sz="0" w:space="0" w:color="auto"/>
        <w:left w:val="none" w:sz="0" w:space="0" w:color="auto"/>
        <w:bottom w:val="none" w:sz="0" w:space="0" w:color="auto"/>
        <w:right w:val="none" w:sz="0" w:space="0" w:color="auto"/>
      </w:divBdr>
    </w:div>
    <w:div w:id="1116096546">
      <w:bodyDiv w:val="1"/>
      <w:marLeft w:val="0"/>
      <w:marRight w:val="0"/>
      <w:marTop w:val="0"/>
      <w:marBottom w:val="0"/>
      <w:divBdr>
        <w:top w:val="none" w:sz="0" w:space="0" w:color="auto"/>
        <w:left w:val="none" w:sz="0" w:space="0" w:color="auto"/>
        <w:bottom w:val="none" w:sz="0" w:space="0" w:color="auto"/>
        <w:right w:val="none" w:sz="0" w:space="0" w:color="auto"/>
      </w:divBdr>
    </w:div>
    <w:div w:id="1116562016">
      <w:bodyDiv w:val="1"/>
      <w:marLeft w:val="0"/>
      <w:marRight w:val="0"/>
      <w:marTop w:val="0"/>
      <w:marBottom w:val="0"/>
      <w:divBdr>
        <w:top w:val="none" w:sz="0" w:space="0" w:color="auto"/>
        <w:left w:val="none" w:sz="0" w:space="0" w:color="auto"/>
        <w:bottom w:val="none" w:sz="0" w:space="0" w:color="auto"/>
        <w:right w:val="none" w:sz="0" w:space="0" w:color="auto"/>
      </w:divBdr>
    </w:div>
    <w:div w:id="1116942661">
      <w:bodyDiv w:val="1"/>
      <w:marLeft w:val="0"/>
      <w:marRight w:val="0"/>
      <w:marTop w:val="0"/>
      <w:marBottom w:val="0"/>
      <w:divBdr>
        <w:top w:val="none" w:sz="0" w:space="0" w:color="auto"/>
        <w:left w:val="none" w:sz="0" w:space="0" w:color="auto"/>
        <w:bottom w:val="none" w:sz="0" w:space="0" w:color="auto"/>
        <w:right w:val="none" w:sz="0" w:space="0" w:color="auto"/>
      </w:divBdr>
    </w:div>
    <w:div w:id="1117023252">
      <w:bodyDiv w:val="1"/>
      <w:marLeft w:val="0"/>
      <w:marRight w:val="0"/>
      <w:marTop w:val="0"/>
      <w:marBottom w:val="0"/>
      <w:divBdr>
        <w:top w:val="none" w:sz="0" w:space="0" w:color="auto"/>
        <w:left w:val="none" w:sz="0" w:space="0" w:color="auto"/>
        <w:bottom w:val="none" w:sz="0" w:space="0" w:color="auto"/>
        <w:right w:val="none" w:sz="0" w:space="0" w:color="auto"/>
      </w:divBdr>
    </w:div>
    <w:div w:id="1117408310">
      <w:bodyDiv w:val="1"/>
      <w:marLeft w:val="0"/>
      <w:marRight w:val="0"/>
      <w:marTop w:val="0"/>
      <w:marBottom w:val="0"/>
      <w:divBdr>
        <w:top w:val="none" w:sz="0" w:space="0" w:color="auto"/>
        <w:left w:val="none" w:sz="0" w:space="0" w:color="auto"/>
        <w:bottom w:val="none" w:sz="0" w:space="0" w:color="auto"/>
        <w:right w:val="none" w:sz="0" w:space="0" w:color="auto"/>
      </w:divBdr>
    </w:div>
    <w:div w:id="1117598908">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18640092">
      <w:bodyDiv w:val="1"/>
      <w:marLeft w:val="0"/>
      <w:marRight w:val="0"/>
      <w:marTop w:val="0"/>
      <w:marBottom w:val="0"/>
      <w:divBdr>
        <w:top w:val="none" w:sz="0" w:space="0" w:color="auto"/>
        <w:left w:val="none" w:sz="0" w:space="0" w:color="auto"/>
        <w:bottom w:val="none" w:sz="0" w:space="0" w:color="auto"/>
        <w:right w:val="none" w:sz="0" w:space="0" w:color="auto"/>
      </w:divBdr>
    </w:div>
    <w:div w:id="1118648371">
      <w:bodyDiv w:val="1"/>
      <w:marLeft w:val="0"/>
      <w:marRight w:val="0"/>
      <w:marTop w:val="0"/>
      <w:marBottom w:val="0"/>
      <w:divBdr>
        <w:top w:val="none" w:sz="0" w:space="0" w:color="auto"/>
        <w:left w:val="none" w:sz="0" w:space="0" w:color="auto"/>
        <w:bottom w:val="none" w:sz="0" w:space="0" w:color="auto"/>
        <w:right w:val="none" w:sz="0" w:space="0" w:color="auto"/>
      </w:divBdr>
    </w:div>
    <w:div w:id="1119255866">
      <w:bodyDiv w:val="1"/>
      <w:marLeft w:val="0"/>
      <w:marRight w:val="0"/>
      <w:marTop w:val="0"/>
      <w:marBottom w:val="0"/>
      <w:divBdr>
        <w:top w:val="none" w:sz="0" w:space="0" w:color="auto"/>
        <w:left w:val="none" w:sz="0" w:space="0" w:color="auto"/>
        <w:bottom w:val="none" w:sz="0" w:space="0" w:color="auto"/>
        <w:right w:val="none" w:sz="0" w:space="0" w:color="auto"/>
      </w:divBdr>
    </w:div>
    <w:div w:id="1119376783">
      <w:bodyDiv w:val="1"/>
      <w:marLeft w:val="0"/>
      <w:marRight w:val="0"/>
      <w:marTop w:val="0"/>
      <w:marBottom w:val="0"/>
      <w:divBdr>
        <w:top w:val="none" w:sz="0" w:space="0" w:color="auto"/>
        <w:left w:val="none" w:sz="0" w:space="0" w:color="auto"/>
        <w:bottom w:val="none" w:sz="0" w:space="0" w:color="auto"/>
        <w:right w:val="none" w:sz="0" w:space="0" w:color="auto"/>
      </w:divBdr>
    </w:div>
    <w:div w:id="1119572741">
      <w:bodyDiv w:val="1"/>
      <w:marLeft w:val="0"/>
      <w:marRight w:val="0"/>
      <w:marTop w:val="0"/>
      <w:marBottom w:val="0"/>
      <w:divBdr>
        <w:top w:val="none" w:sz="0" w:space="0" w:color="auto"/>
        <w:left w:val="none" w:sz="0" w:space="0" w:color="auto"/>
        <w:bottom w:val="none" w:sz="0" w:space="0" w:color="auto"/>
        <w:right w:val="none" w:sz="0" w:space="0" w:color="auto"/>
      </w:divBdr>
    </w:div>
    <w:div w:id="1119683631">
      <w:bodyDiv w:val="1"/>
      <w:marLeft w:val="0"/>
      <w:marRight w:val="0"/>
      <w:marTop w:val="0"/>
      <w:marBottom w:val="0"/>
      <w:divBdr>
        <w:top w:val="none" w:sz="0" w:space="0" w:color="auto"/>
        <w:left w:val="none" w:sz="0" w:space="0" w:color="auto"/>
        <w:bottom w:val="none" w:sz="0" w:space="0" w:color="auto"/>
        <w:right w:val="none" w:sz="0" w:space="0" w:color="auto"/>
      </w:divBdr>
    </w:div>
    <w:div w:id="1119687024">
      <w:bodyDiv w:val="1"/>
      <w:marLeft w:val="0"/>
      <w:marRight w:val="0"/>
      <w:marTop w:val="0"/>
      <w:marBottom w:val="0"/>
      <w:divBdr>
        <w:top w:val="none" w:sz="0" w:space="0" w:color="auto"/>
        <w:left w:val="none" w:sz="0" w:space="0" w:color="auto"/>
        <w:bottom w:val="none" w:sz="0" w:space="0" w:color="auto"/>
        <w:right w:val="none" w:sz="0" w:space="0" w:color="auto"/>
      </w:divBdr>
    </w:div>
    <w:div w:id="1119952183">
      <w:bodyDiv w:val="1"/>
      <w:marLeft w:val="0"/>
      <w:marRight w:val="0"/>
      <w:marTop w:val="0"/>
      <w:marBottom w:val="0"/>
      <w:divBdr>
        <w:top w:val="none" w:sz="0" w:space="0" w:color="auto"/>
        <w:left w:val="none" w:sz="0" w:space="0" w:color="auto"/>
        <w:bottom w:val="none" w:sz="0" w:space="0" w:color="auto"/>
        <w:right w:val="none" w:sz="0" w:space="0" w:color="auto"/>
      </w:divBdr>
    </w:div>
    <w:div w:id="1120687560">
      <w:bodyDiv w:val="1"/>
      <w:marLeft w:val="0"/>
      <w:marRight w:val="0"/>
      <w:marTop w:val="0"/>
      <w:marBottom w:val="0"/>
      <w:divBdr>
        <w:top w:val="none" w:sz="0" w:space="0" w:color="auto"/>
        <w:left w:val="none" w:sz="0" w:space="0" w:color="auto"/>
        <w:bottom w:val="none" w:sz="0" w:space="0" w:color="auto"/>
        <w:right w:val="none" w:sz="0" w:space="0" w:color="auto"/>
      </w:divBdr>
    </w:div>
    <w:div w:id="1120758213">
      <w:bodyDiv w:val="1"/>
      <w:marLeft w:val="0"/>
      <w:marRight w:val="0"/>
      <w:marTop w:val="0"/>
      <w:marBottom w:val="0"/>
      <w:divBdr>
        <w:top w:val="none" w:sz="0" w:space="0" w:color="auto"/>
        <w:left w:val="none" w:sz="0" w:space="0" w:color="auto"/>
        <w:bottom w:val="none" w:sz="0" w:space="0" w:color="auto"/>
        <w:right w:val="none" w:sz="0" w:space="0" w:color="auto"/>
      </w:divBdr>
    </w:div>
    <w:div w:id="1121269027">
      <w:bodyDiv w:val="1"/>
      <w:marLeft w:val="0"/>
      <w:marRight w:val="0"/>
      <w:marTop w:val="0"/>
      <w:marBottom w:val="0"/>
      <w:divBdr>
        <w:top w:val="none" w:sz="0" w:space="0" w:color="auto"/>
        <w:left w:val="none" w:sz="0" w:space="0" w:color="auto"/>
        <w:bottom w:val="none" w:sz="0" w:space="0" w:color="auto"/>
        <w:right w:val="none" w:sz="0" w:space="0" w:color="auto"/>
      </w:divBdr>
    </w:div>
    <w:div w:id="1121461480">
      <w:bodyDiv w:val="1"/>
      <w:marLeft w:val="0"/>
      <w:marRight w:val="0"/>
      <w:marTop w:val="0"/>
      <w:marBottom w:val="0"/>
      <w:divBdr>
        <w:top w:val="none" w:sz="0" w:space="0" w:color="auto"/>
        <w:left w:val="none" w:sz="0" w:space="0" w:color="auto"/>
        <w:bottom w:val="none" w:sz="0" w:space="0" w:color="auto"/>
        <w:right w:val="none" w:sz="0" w:space="0" w:color="auto"/>
      </w:divBdr>
    </w:div>
    <w:div w:id="1121612784">
      <w:bodyDiv w:val="1"/>
      <w:marLeft w:val="0"/>
      <w:marRight w:val="0"/>
      <w:marTop w:val="0"/>
      <w:marBottom w:val="0"/>
      <w:divBdr>
        <w:top w:val="none" w:sz="0" w:space="0" w:color="auto"/>
        <w:left w:val="none" w:sz="0" w:space="0" w:color="auto"/>
        <w:bottom w:val="none" w:sz="0" w:space="0" w:color="auto"/>
        <w:right w:val="none" w:sz="0" w:space="0" w:color="auto"/>
      </w:divBdr>
    </w:div>
    <w:div w:id="1121918681">
      <w:bodyDiv w:val="1"/>
      <w:marLeft w:val="0"/>
      <w:marRight w:val="0"/>
      <w:marTop w:val="0"/>
      <w:marBottom w:val="0"/>
      <w:divBdr>
        <w:top w:val="none" w:sz="0" w:space="0" w:color="auto"/>
        <w:left w:val="none" w:sz="0" w:space="0" w:color="auto"/>
        <w:bottom w:val="none" w:sz="0" w:space="0" w:color="auto"/>
        <w:right w:val="none" w:sz="0" w:space="0" w:color="auto"/>
      </w:divBdr>
    </w:div>
    <w:div w:id="1122118825">
      <w:bodyDiv w:val="1"/>
      <w:marLeft w:val="0"/>
      <w:marRight w:val="0"/>
      <w:marTop w:val="0"/>
      <w:marBottom w:val="0"/>
      <w:divBdr>
        <w:top w:val="none" w:sz="0" w:space="0" w:color="auto"/>
        <w:left w:val="none" w:sz="0" w:space="0" w:color="auto"/>
        <w:bottom w:val="none" w:sz="0" w:space="0" w:color="auto"/>
        <w:right w:val="none" w:sz="0" w:space="0" w:color="auto"/>
      </w:divBdr>
    </w:div>
    <w:div w:id="1122308438">
      <w:bodyDiv w:val="1"/>
      <w:marLeft w:val="0"/>
      <w:marRight w:val="0"/>
      <w:marTop w:val="0"/>
      <w:marBottom w:val="0"/>
      <w:divBdr>
        <w:top w:val="none" w:sz="0" w:space="0" w:color="auto"/>
        <w:left w:val="none" w:sz="0" w:space="0" w:color="auto"/>
        <w:bottom w:val="none" w:sz="0" w:space="0" w:color="auto"/>
        <w:right w:val="none" w:sz="0" w:space="0" w:color="auto"/>
      </w:divBdr>
    </w:div>
    <w:div w:id="1122502826">
      <w:bodyDiv w:val="1"/>
      <w:marLeft w:val="0"/>
      <w:marRight w:val="0"/>
      <w:marTop w:val="0"/>
      <w:marBottom w:val="0"/>
      <w:divBdr>
        <w:top w:val="none" w:sz="0" w:space="0" w:color="auto"/>
        <w:left w:val="none" w:sz="0" w:space="0" w:color="auto"/>
        <w:bottom w:val="none" w:sz="0" w:space="0" w:color="auto"/>
        <w:right w:val="none" w:sz="0" w:space="0" w:color="auto"/>
      </w:divBdr>
    </w:div>
    <w:div w:id="1122505371">
      <w:bodyDiv w:val="1"/>
      <w:marLeft w:val="0"/>
      <w:marRight w:val="0"/>
      <w:marTop w:val="0"/>
      <w:marBottom w:val="0"/>
      <w:divBdr>
        <w:top w:val="none" w:sz="0" w:space="0" w:color="auto"/>
        <w:left w:val="none" w:sz="0" w:space="0" w:color="auto"/>
        <w:bottom w:val="none" w:sz="0" w:space="0" w:color="auto"/>
        <w:right w:val="none" w:sz="0" w:space="0" w:color="auto"/>
      </w:divBdr>
    </w:div>
    <w:div w:id="1123229163">
      <w:bodyDiv w:val="1"/>
      <w:marLeft w:val="0"/>
      <w:marRight w:val="0"/>
      <w:marTop w:val="0"/>
      <w:marBottom w:val="0"/>
      <w:divBdr>
        <w:top w:val="none" w:sz="0" w:space="0" w:color="auto"/>
        <w:left w:val="none" w:sz="0" w:space="0" w:color="auto"/>
        <w:bottom w:val="none" w:sz="0" w:space="0" w:color="auto"/>
        <w:right w:val="none" w:sz="0" w:space="0" w:color="auto"/>
      </w:divBdr>
    </w:div>
    <w:div w:id="1123304637">
      <w:bodyDiv w:val="1"/>
      <w:marLeft w:val="0"/>
      <w:marRight w:val="0"/>
      <w:marTop w:val="0"/>
      <w:marBottom w:val="0"/>
      <w:divBdr>
        <w:top w:val="none" w:sz="0" w:space="0" w:color="auto"/>
        <w:left w:val="none" w:sz="0" w:space="0" w:color="auto"/>
        <w:bottom w:val="none" w:sz="0" w:space="0" w:color="auto"/>
        <w:right w:val="none" w:sz="0" w:space="0" w:color="auto"/>
      </w:divBdr>
    </w:div>
    <w:div w:id="1123770227">
      <w:bodyDiv w:val="1"/>
      <w:marLeft w:val="0"/>
      <w:marRight w:val="0"/>
      <w:marTop w:val="0"/>
      <w:marBottom w:val="0"/>
      <w:divBdr>
        <w:top w:val="none" w:sz="0" w:space="0" w:color="auto"/>
        <w:left w:val="none" w:sz="0" w:space="0" w:color="auto"/>
        <w:bottom w:val="none" w:sz="0" w:space="0" w:color="auto"/>
        <w:right w:val="none" w:sz="0" w:space="0" w:color="auto"/>
      </w:divBdr>
    </w:div>
    <w:div w:id="1124078976">
      <w:bodyDiv w:val="1"/>
      <w:marLeft w:val="0"/>
      <w:marRight w:val="0"/>
      <w:marTop w:val="0"/>
      <w:marBottom w:val="0"/>
      <w:divBdr>
        <w:top w:val="none" w:sz="0" w:space="0" w:color="auto"/>
        <w:left w:val="none" w:sz="0" w:space="0" w:color="auto"/>
        <w:bottom w:val="none" w:sz="0" w:space="0" w:color="auto"/>
        <w:right w:val="none" w:sz="0" w:space="0" w:color="auto"/>
      </w:divBdr>
    </w:div>
    <w:div w:id="1124495355">
      <w:bodyDiv w:val="1"/>
      <w:marLeft w:val="0"/>
      <w:marRight w:val="0"/>
      <w:marTop w:val="0"/>
      <w:marBottom w:val="0"/>
      <w:divBdr>
        <w:top w:val="none" w:sz="0" w:space="0" w:color="auto"/>
        <w:left w:val="none" w:sz="0" w:space="0" w:color="auto"/>
        <w:bottom w:val="none" w:sz="0" w:space="0" w:color="auto"/>
        <w:right w:val="none" w:sz="0" w:space="0" w:color="auto"/>
      </w:divBdr>
    </w:div>
    <w:div w:id="1125343089">
      <w:bodyDiv w:val="1"/>
      <w:marLeft w:val="0"/>
      <w:marRight w:val="0"/>
      <w:marTop w:val="0"/>
      <w:marBottom w:val="0"/>
      <w:divBdr>
        <w:top w:val="none" w:sz="0" w:space="0" w:color="auto"/>
        <w:left w:val="none" w:sz="0" w:space="0" w:color="auto"/>
        <w:bottom w:val="none" w:sz="0" w:space="0" w:color="auto"/>
        <w:right w:val="none" w:sz="0" w:space="0" w:color="auto"/>
      </w:divBdr>
    </w:div>
    <w:div w:id="1125345137">
      <w:bodyDiv w:val="1"/>
      <w:marLeft w:val="0"/>
      <w:marRight w:val="0"/>
      <w:marTop w:val="0"/>
      <w:marBottom w:val="0"/>
      <w:divBdr>
        <w:top w:val="none" w:sz="0" w:space="0" w:color="auto"/>
        <w:left w:val="none" w:sz="0" w:space="0" w:color="auto"/>
        <w:bottom w:val="none" w:sz="0" w:space="0" w:color="auto"/>
        <w:right w:val="none" w:sz="0" w:space="0" w:color="auto"/>
      </w:divBdr>
    </w:div>
    <w:div w:id="1125350540">
      <w:bodyDiv w:val="1"/>
      <w:marLeft w:val="0"/>
      <w:marRight w:val="0"/>
      <w:marTop w:val="0"/>
      <w:marBottom w:val="0"/>
      <w:divBdr>
        <w:top w:val="none" w:sz="0" w:space="0" w:color="auto"/>
        <w:left w:val="none" w:sz="0" w:space="0" w:color="auto"/>
        <w:bottom w:val="none" w:sz="0" w:space="0" w:color="auto"/>
        <w:right w:val="none" w:sz="0" w:space="0" w:color="auto"/>
      </w:divBdr>
    </w:div>
    <w:div w:id="1125388669">
      <w:bodyDiv w:val="1"/>
      <w:marLeft w:val="0"/>
      <w:marRight w:val="0"/>
      <w:marTop w:val="0"/>
      <w:marBottom w:val="0"/>
      <w:divBdr>
        <w:top w:val="none" w:sz="0" w:space="0" w:color="auto"/>
        <w:left w:val="none" w:sz="0" w:space="0" w:color="auto"/>
        <w:bottom w:val="none" w:sz="0" w:space="0" w:color="auto"/>
        <w:right w:val="none" w:sz="0" w:space="0" w:color="auto"/>
      </w:divBdr>
    </w:div>
    <w:div w:id="1125735130">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6004738">
      <w:bodyDiv w:val="1"/>
      <w:marLeft w:val="0"/>
      <w:marRight w:val="0"/>
      <w:marTop w:val="0"/>
      <w:marBottom w:val="0"/>
      <w:divBdr>
        <w:top w:val="none" w:sz="0" w:space="0" w:color="auto"/>
        <w:left w:val="none" w:sz="0" w:space="0" w:color="auto"/>
        <w:bottom w:val="none" w:sz="0" w:space="0" w:color="auto"/>
        <w:right w:val="none" w:sz="0" w:space="0" w:color="auto"/>
      </w:divBdr>
    </w:div>
    <w:div w:id="1126117487">
      <w:bodyDiv w:val="1"/>
      <w:marLeft w:val="0"/>
      <w:marRight w:val="0"/>
      <w:marTop w:val="0"/>
      <w:marBottom w:val="0"/>
      <w:divBdr>
        <w:top w:val="none" w:sz="0" w:space="0" w:color="auto"/>
        <w:left w:val="none" w:sz="0" w:space="0" w:color="auto"/>
        <w:bottom w:val="none" w:sz="0" w:space="0" w:color="auto"/>
        <w:right w:val="none" w:sz="0" w:space="0" w:color="auto"/>
      </w:divBdr>
    </w:div>
    <w:div w:id="1127314164">
      <w:bodyDiv w:val="1"/>
      <w:marLeft w:val="0"/>
      <w:marRight w:val="0"/>
      <w:marTop w:val="0"/>
      <w:marBottom w:val="0"/>
      <w:divBdr>
        <w:top w:val="none" w:sz="0" w:space="0" w:color="auto"/>
        <w:left w:val="none" w:sz="0" w:space="0" w:color="auto"/>
        <w:bottom w:val="none" w:sz="0" w:space="0" w:color="auto"/>
        <w:right w:val="none" w:sz="0" w:space="0" w:color="auto"/>
      </w:divBdr>
    </w:div>
    <w:div w:id="1127623189">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27821225">
      <w:bodyDiv w:val="1"/>
      <w:marLeft w:val="0"/>
      <w:marRight w:val="0"/>
      <w:marTop w:val="0"/>
      <w:marBottom w:val="0"/>
      <w:divBdr>
        <w:top w:val="none" w:sz="0" w:space="0" w:color="auto"/>
        <w:left w:val="none" w:sz="0" w:space="0" w:color="auto"/>
        <w:bottom w:val="none" w:sz="0" w:space="0" w:color="auto"/>
        <w:right w:val="none" w:sz="0" w:space="0" w:color="auto"/>
      </w:divBdr>
    </w:div>
    <w:div w:id="1128165331">
      <w:bodyDiv w:val="1"/>
      <w:marLeft w:val="0"/>
      <w:marRight w:val="0"/>
      <w:marTop w:val="0"/>
      <w:marBottom w:val="0"/>
      <w:divBdr>
        <w:top w:val="none" w:sz="0" w:space="0" w:color="auto"/>
        <w:left w:val="none" w:sz="0" w:space="0" w:color="auto"/>
        <w:bottom w:val="none" w:sz="0" w:space="0" w:color="auto"/>
        <w:right w:val="none" w:sz="0" w:space="0" w:color="auto"/>
      </w:divBdr>
    </w:div>
    <w:div w:id="1128354591">
      <w:bodyDiv w:val="1"/>
      <w:marLeft w:val="0"/>
      <w:marRight w:val="0"/>
      <w:marTop w:val="0"/>
      <w:marBottom w:val="0"/>
      <w:divBdr>
        <w:top w:val="none" w:sz="0" w:space="0" w:color="auto"/>
        <w:left w:val="none" w:sz="0" w:space="0" w:color="auto"/>
        <w:bottom w:val="none" w:sz="0" w:space="0" w:color="auto"/>
        <w:right w:val="none" w:sz="0" w:space="0" w:color="auto"/>
      </w:divBdr>
    </w:div>
    <w:div w:id="1128553553">
      <w:bodyDiv w:val="1"/>
      <w:marLeft w:val="0"/>
      <w:marRight w:val="0"/>
      <w:marTop w:val="0"/>
      <w:marBottom w:val="0"/>
      <w:divBdr>
        <w:top w:val="none" w:sz="0" w:space="0" w:color="auto"/>
        <w:left w:val="none" w:sz="0" w:space="0" w:color="auto"/>
        <w:bottom w:val="none" w:sz="0" w:space="0" w:color="auto"/>
        <w:right w:val="none" w:sz="0" w:space="0" w:color="auto"/>
      </w:divBdr>
    </w:div>
    <w:div w:id="1128669681">
      <w:bodyDiv w:val="1"/>
      <w:marLeft w:val="0"/>
      <w:marRight w:val="0"/>
      <w:marTop w:val="0"/>
      <w:marBottom w:val="0"/>
      <w:divBdr>
        <w:top w:val="none" w:sz="0" w:space="0" w:color="auto"/>
        <w:left w:val="none" w:sz="0" w:space="0" w:color="auto"/>
        <w:bottom w:val="none" w:sz="0" w:space="0" w:color="auto"/>
        <w:right w:val="none" w:sz="0" w:space="0" w:color="auto"/>
      </w:divBdr>
    </w:div>
    <w:div w:id="1128820230">
      <w:bodyDiv w:val="1"/>
      <w:marLeft w:val="0"/>
      <w:marRight w:val="0"/>
      <w:marTop w:val="0"/>
      <w:marBottom w:val="0"/>
      <w:divBdr>
        <w:top w:val="none" w:sz="0" w:space="0" w:color="auto"/>
        <w:left w:val="none" w:sz="0" w:space="0" w:color="auto"/>
        <w:bottom w:val="none" w:sz="0" w:space="0" w:color="auto"/>
        <w:right w:val="none" w:sz="0" w:space="0" w:color="auto"/>
      </w:divBdr>
    </w:div>
    <w:div w:id="1129009182">
      <w:bodyDiv w:val="1"/>
      <w:marLeft w:val="0"/>
      <w:marRight w:val="0"/>
      <w:marTop w:val="0"/>
      <w:marBottom w:val="0"/>
      <w:divBdr>
        <w:top w:val="none" w:sz="0" w:space="0" w:color="auto"/>
        <w:left w:val="none" w:sz="0" w:space="0" w:color="auto"/>
        <w:bottom w:val="none" w:sz="0" w:space="0" w:color="auto"/>
        <w:right w:val="none" w:sz="0" w:space="0" w:color="auto"/>
      </w:divBdr>
    </w:div>
    <w:div w:id="1129323381">
      <w:bodyDiv w:val="1"/>
      <w:marLeft w:val="0"/>
      <w:marRight w:val="0"/>
      <w:marTop w:val="0"/>
      <w:marBottom w:val="0"/>
      <w:divBdr>
        <w:top w:val="none" w:sz="0" w:space="0" w:color="auto"/>
        <w:left w:val="none" w:sz="0" w:space="0" w:color="auto"/>
        <w:bottom w:val="none" w:sz="0" w:space="0" w:color="auto"/>
        <w:right w:val="none" w:sz="0" w:space="0" w:color="auto"/>
      </w:divBdr>
    </w:div>
    <w:div w:id="1129590567">
      <w:bodyDiv w:val="1"/>
      <w:marLeft w:val="0"/>
      <w:marRight w:val="0"/>
      <w:marTop w:val="0"/>
      <w:marBottom w:val="0"/>
      <w:divBdr>
        <w:top w:val="none" w:sz="0" w:space="0" w:color="auto"/>
        <w:left w:val="none" w:sz="0" w:space="0" w:color="auto"/>
        <w:bottom w:val="none" w:sz="0" w:space="0" w:color="auto"/>
        <w:right w:val="none" w:sz="0" w:space="0" w:color="auto"/>
      </w:divBdr>
    </w:div>
    <w:div w:id="1129786808">
      <w:bodyDiv w:val="1"/>
      <w:marLeft w:val="0"/>
      <w:marRight w:val="0"/>
      <w:marTop w:val="0"/>
      <w:marBottom w:val="0"/>
      <w:divBdr>
        <w:top w:val="none" w:sz="0" w:space="0" w:color="auto"/>
        <w:left w:val="none" w:sz="0" w:space="0" w:color="auto"/>
        <w:bottom w:val="none" w:sz="0" w:space="0" w:color="auto"/>
        <w:right w:val="none" w:sz="0" w:space="0" w:color="auto"/>
      </w:divBdr>
    </w:div>
    <w:div w:id="1129931830">
      <w:bodyDiv w:val="1"/>
      <w:marLeft w:val="0"/>
      <w:marRight w:val="0"/>
      <w:marTop w:val="0"/>
      <w:marBottom w:val="0"/>
      <w:divBdr>
        <w:top w:val="none" w:sz="0" w:space="0" w:color="auto"/>
        <w:left w:val="none" w:sz="0" w:space="0" w:color="auto"/>
        <w:bottom w:val="none" w:sz="0" w:space="0" w:color="auto"/>
        <w:right w:val="none" w:sz="0" w:space="0" w:color="auto"/>
      </w:divBdr>
    </w:div>
    <w:div w:id="1129935218">
      <w:bodyDiv w:val="1"/>
      <w:marLeft w:val="0"/>
      <w:marRight w:val="0"/>
      <w:marTop w:val="0"/>
      <w:marBottom w:val="0"/>
      <w:divBdr>
        <w:top w:val="none" w:sz="0" w:space="0" w:color="auto"/>
        <w:left w:val="none" w:sz="0" w:space="0" w:color="auto"/>
        <w:bottom w:val="none" w:sz="0" w:space="0" w:color="auto"/>
        <w:right w:val="none" w:sz="0" w:space="0" w:color="auto"/>
      </w:divBdr>
    </w:div>
    <w:div w:id="1130049510">
      <w:bodyDiv w:val="1"/>
      <w:marLeft w:val="0"/>
      <w:marRight w:val="0"/>
      <w:marTop w:val="0"/>
      <w:marBottom w:val="0"/>
      <w:divBdr>
        <w:top w:val="none" w:sz="0" w:space="0" w:color="auto"/>
        <w:left w:val="none" w:sz="0" w:space="0" w:color="auto"/>
        <w:bottom w:val="none" w:sz="0" w:space="0" w:color="auto"/>
        <w:right w:val="none" w:sz="0" w:space="0" w:color="auto"/>
      </w:divBdr>
    </w:div>
    <w:div w:id="1130053059">
      <w:bodyDiv w:val="1"/>
      <w:marLeft w:val="0"/>
      <w:marRight w:val="0"/>
      <w:marTop w:val="0"/>
      <w:marBottom w:val="0"/>
      <w:divBdr>
        <w:top w:val="none" w:sz="0" w:space="0" w:color="auto"/>
        <w:left w:val="none" w:sz="0" w:space="0" w:color="auto"/>
        <w:bottom w:val="none" w:sz="0" w:space="0" w:color="auto"/>
        <w:right w:val="none" w:sz="0" w:space="0" w:color="auto"/>
      </w:divBdr>
    </w:div>
    <w:div w:id="1130127606">
      <w:bodyDiv w:val="1"/>
      <w:marLeft w:val="0"/>
      <w:marRight w:val="0"/>
      <w:marTop w:val="0"/>
      <w:marBottom w:val="0"/>
      <w:divBdr>
        <w:top w:val="none" w:sz="0" w:space="0" w:color="auto"/>
        <w:left w:val="none" w:sz="0" w:space="0" w:color="auto"/>
        <w:bottom w:val="none" w:sz="0" w:space="0" w:color="auto"/>
        <w:right w:val="none" w:sz="0" w:space="0" w:color="auto"/>
      </w:divBdr>
    </w:div>
    <w:div w:id="1130320737">
      <w:bodyDiv w:val="1"/>
      <w:marLeft w:val="0"/>
      <w:marRight w:val="0"/>
      <w:marTop w:val="0"/>
      <w:marBottom w:val="0"/>
      <w:divBdr>
        <w:top w:val="none" w:sz="0" w:space="0" w:color="auto"/>
        <w:left w:val="none" w:sz="0" w:space="0" w:color="auto"/>
        <w:bottom w:val="none" w:sz="0" w:space="0" w:color="auto"/>
        <w:right w:val="none" w:sz="0" w:space="0" w:color="auto"/>
      </w:divBdr>
    </w:div>
    <w:div w:id="1130392160">
      <w:bodyDiv w:val="1"/>
      <w:marLeft w:val="0"/>
      <w:marRight w:val="0"/>
      <w:marTop w:val="0"/>
      <w:marBottom w:val="0"/>
      <w:divBdr>
        <w:top w:val="none" w:sz="0" w:space="0" w:color="auto"/>
        <w:left w:val="none" w:sz="0" w:space="0" w:color="auto"/>
        <w:bottom w:val="none" w:sz="0" w:space="0" w:color="auto"/>
        <w:right w:val="none" w:sz="0" w:space="0" w:color="auto"/>
      </w:divBdr>
    </w:div>
    <w:div w:id="1130510221">
      <w:bodyDiv w:val="1"/>
      <w:marLeft w:val="0"/>
      <w:marRight w:val="0"/>
      <w:marTop w:val="0"/>
      <w:marBottom w:val="0"/>
      <w:divBdr>
        <w:top w:val="none" w:sz="0" w:space="0" w:color="auto"/>
        <w:left w:val="none" w:sz="0" w:space="0" w:color="auto"/>
        <w:bottom w:val="none" w:sz="0" w:space="0" w:color="auto"/>
        <w:right w:val="none" w:sz="0" w:space="0" w:color="auto"/>
      </w:divBdr>
    </w:div>
    <w:div w:id="1130896699">
      <w:bodyDiv w:val="1"/>
      <w:marLeft w:val="0"/>
      <w:marRight w:val="0"/>
      <w:marTop w:val="0"/>
      <w:marBottom w:val="0"/>
      <w:divBdr>
        <w:top w:val="none" w:sz="0" w:space="0" w:color="auto"/>
        <w:left w:val="none" w:sz="0" w:space="0" w:color="auto"/>
        <w:bottom w:val="none" w:sz="0" w:space="0" w:color="auto"/>
        <w:right w:val="none" w:sz="0" w:space="0" w:color="auto"/>
      </w:divBdr>
    </w:div>
    <w:div w:id="1131097096">
      <w:bodyDiv w:val="1"/>
      <w:marLeft w:val="0"/>
      <w:marRight w:val="0"/>
      <w:marTop w:val="0"/>
      <w:marBottom w:val="0"/>
      <w:divBdr>
        <w:top w:val="none" w:sz="0" w:space="0" w:color="auto"/>
        <w:left w:val="none" w:sz="0" w:space="0" w:color="auto"/>
        <w:bottom w:val="none" w:sz="0" w:space="0" w:color="auto"/>
        <w:right w:val="none" w:sz="0" w:space="0" w:color="auto"/>
      </w:divBdr>
    </w:div>
    <w:div w:id="1131286432">
      <w:bodyDiv w:val="1"/>
      <w:marLeft w:val="0"/>
      <w:marRight w:val="0"/>
      <w:marTop w:val="0"/>
      <w:marBottom w:val="0"/>
      <w:divBdr>
        <w:top w:val="none" w:sz="0" w:space="0" w:color="auto"/>
        <w:left w:val="none" w:sz="0" w:space="0" w:color="auto"/>
        <w:bottom w:val="none" w:sz="0" w:space="0" w:color="auto"/>
        <w:right w:val="none" w:sz="0" w:space="0" w:color="auto"/>
      </w:divBdr>
    </w:div>
    <w:div w:id="1131289933">
      <w:bodyDiv w:val="1"/>
      <w:marLeft w:val="0"/>
      <w:marRight w:val="0"/>
      <w:marTop w:val="0"/>
      <w:marBottom w:val="0"/>
      <w:divBdr>
        <w:top w:val="none" w:sz="0" w:space="0" w:color="auto"/>
        <w:left w:val="none" w:sz="0" w:space="0" w:color="auto"/>
        <w:bottom w:val="none" w:sz="0" w:space="0" w:color="auto"/>
        <w:right w:val="none" w:sz="0" w:space="0" w:color="auto"/>
      </w:divBdr>
    </w:div>
    <w:div w:id="1131367477">
      <w:bodyDiv w:val="1"/>
      <w:marLeft w:val="0"/>
      <w:marRight w:val="0"/>
      <w:marTop w:val="0"/>
      <w:marBottom w:val="0"/>
      <w:divBdr>
        <w:top w:val="none" w:sz="0" w:space="0" w:color="auto"/>
        <w:left w:val="none" w:sz="0" w:space="0" w:color="auto"/>
        <w:bottom w:val="none" w:sz="0" w:space="0" w:color="auto"/>
        <w:right w:val="none" w:sz="0" w:space="0" w:color="auto"/>
      </w:divBdr>
    </w:div>
    <w:div w:id="1132333474">
      <w:bodyDiv w:val="1"/>
      <w:marLeft w:val="0"/>
      <w:marRight w:val="0"/>
      <w:marTop w:val="0"/>
      <w:marBottom w:val="0"/>
      <w:divBdr>
        <w:top w:val="none" w:sz="0" w:space="0" w:color="auto"/>
        <w:left w:val="none" w:sz="0" w:space="0" w:color="auto"/>
        <w:bottom w:val="none" w:sz="0" w:space="0" w:color="auto"/>
        <w:right w:val="none" w:sz="0" w:space="0" w:color="auto"/>
      </w:divBdr>
    </w:div>
    <w:div w:id="1132794671">
      <w:bodyDiv w:val="1"/>
      <w:marLeft w:val="0"/>
      <w:marRight w:val="0"/>
      <w:marTop w:val="0"/>
      <w:marBottom w:val="0"/>
      <w:divBdr>
        <w:top w:val="none" w:sz="0" w:space="0" w:color="auto"/>
        <w:left w:val="none" w:sz="0" w:space="0" w:color="auto"/>
        <w:bottom w:val="none" w:sz="0" w:space="0" w:color="auto"/>
        <w:right w:val="none" w:sz="0" w:space="0" w:color="auto"/>
      </w:divBdr>
    </w:div>
    <w:div w:id="1132942749">
      <w:bodyDiv w:val="1"/>
      <w:marLeft w:val="0"/>
      <w:marRight w:val="0"/>
      <w:marTop w:val="0"/>
      <w:marBottom w:val="0"/>
      <w:divBdr>
        <w:top w:val="none" w:sz="0" w:space="0" w:color="auto"/>
        <w:left w:val="none" w:sz="0" w:space="0" w:color="auto"/>
        <w:bottom w:val="none" w:sz="0" w:space="0" w:color="auto"/>
        <w:right w:val="none" w:sz="0" w:space="0" w:color="auto"/>
      </w:divBdr>
    </w:div>
    <w:div w:id="1133714274">
      <w:bodyDiv w:val="1"/>
      <w:marLeft w:val="0"/>
      <w:marRight w:val="0"/>
      <w:marTop w:val="0"/>
      <w:marBottom w:val="0"/>
      <w:divBdr>
        <w:top w:val="none" w:sz="0" w:space="0" w:color="auto"/>
        <w:left w:val="none" w:sz="0" w:space="0" w:color="auto"/>
        <w:bottom w:val="none" w:sz="0" w:space="0" w:color="auto"/>
        <w:right w:val="none" w:sz="0" w:space="0" w:color="auto"/>
      </w:divBdr>
    </w:div>
    <w:div w:id="1134179098">
      <w:bodyDiv w:val="1"/>
      <w:marLeft w:val="0"/>
      <w:marRight w:val="0"/>
      <w:marTop w:val="0"/>
      <w:marBottom w:val="0"/>
      <w:divBdr>
        <w:top w:val="none" w:sz="0" w:space="0" w:color="auto"/>
        <w:left w:val="none" w:sz="0" w:space="0" w:color="auto"/>
        <w:bottom w:val="none" w:sz="0" w:space="0" w:color="auto"/>
        <w:right w:val="none" w:sz="0" w:space="0" w:color="auto"/>
      </w:divBdr>
    </w:div>
    <w:div w:id="1134179954">
      <w:bodyDiv w:val="1"/>
      <w:marLeft w:val="0"/>
      <w:marRight w:val="0"/>
      <w:marTop w:val="0"/>
      <w:marBottom w:val="0"/>
      <w:divBdr>
        <w:top w:val="none" w:sz="0" w:space="0" w:color="auto"/>
        <w:left w:val="none" w:sz="0" w:space="0" w:color="auto"/>
        <w:bottom w:val="none" w:sz="0" w:space="0" w:color="auto"/>
        <w:right w:val="none" w:sz="0" w:space="0" w:color="auto"/>
      </w:divBdr>
    </w:div>
    <w:div w:id="1134442613">
      <w:bodyDiv w:val="1"/>
      <w:marLeft w:val="0"/>
      <w:marRight w:val="0"/>
      <w:marTop w:val="0"/>
      <w:marBottom w:val="0"/>
      <w:divBdr>
        <w:top w:val="none" w:sz="0" w:space="0" w:color="auto"/>
        <w:left w:val="none" w:sz="0" w:space="0" w:color="auto"/>
        <w:bottom w:val="none" w:sz="0" w:space="0" w:color="auto"/>
        <w:right w:val="none" w:sz="0" w:space="0" w:color="auto"/>
      </w:divBdr>
    </w:div>
    <w:div w:id="1134761293">
      <w:bodyDiv w:val="1"/>
      <w:marLeft w:val="0"/>
      <w:marRight w:val="0"/>
      <w:marTop w:val="0"/>
      <w:marBottom w:val="0"/>
      <w:divBdr>
        <w:top w:val="none" w:sz="0" w:space="0" w:color="auto"/>
        <w:left w:val="none" w:sz="0" w:space="0" w:color="auto"/>
        <w:bottom w:val="none" w:sz="0" w:space="0" w:color="auto"/>
        <w:right w:val="none" w:sz="0" w:space="0" w:color="auto"/>
      </w:divBdr>
    </w:div>
    <w:div w:id="1135566953">
      <w:bodyDiv w:val="1"/>
      <w:marLeft w:val="0"/>
      <w:marRight w:val="0"/>
      <w:marTop w:val="0"/>
      <w:marBottom w:val="0"/>
      <w:divBdr>
        <w:top w:val="none" w:sz="0" w:space="0" w:color="auto"/>
        <w:left w:val="none" w:sz="0" w:space="0" w:color="auto"/>
        <w:bottom w:val="none" w:sz="0" w:space="0" w:color="auto"/>
        <w:right w:val="none" w:sz="0" w:space="0" w:color="auto"/>
      </w:divBdr>
    </w:div>
    <w:div w:id="1135638877">
      <w:bodyDiv w:val="1"/>
      <w:marLeft w:val="0"/>
      <w:marRight w:val="0"/>
      <w:marTop w:val="0"/>
      <w:marBottom w:val="0"/>
      <w:divBdr>
        <w:top w:val="none" w:sz="0" w:space="0" w:color="auto"/>
        <w:left w:val="none" w:sz="0" w:space="0" w:color="auto"/>
        <w:bottom w:val="none" w:sz="0" w:space="0" w:color="auto"/>
        <w:right w:val="none" w:sz="0" w:space="0" w:color="auto"/>
      </w:divBdr>
    </w:div>
    <w:div w:id="1135872494">
      <w:bodyDiv w:val="1"/>
      <w:marLeft w:val="0"/>
      <w:marRight w:val="0"/>
      <w:marTop w:val="0"/>
      <w:marBottom w:val="0"/>
      <w:divBdr>
        <w:top w:val="none" w:sz="0" w:space="0" w:color="auto"/>
        <w:left w:val="none" w:sz="0" w:space="0" w:color="auto"/>
        <w:bottom w:val="none" w:sz="0" w:space="0" w:color="auto"/>
        <w:right w:val="none" w:sz="0" w:space="0" w:color="auto"/>
      </w:divBdr>
    </w:div>
    <w:div w:id="1136409321">
      <w:bodyDiv w:val="1"/>
      <w:marLeft w:val="0"/>
      <w:marRight w:val="0"/>
      <w:marTop w:val="0"/>
      <w:marBottom w:val="0"/>
      <w:divBdr>
        <w:top w:val="none" w:sz="0" w:space="0" w:color="auto"/>
        <w:left w:val="none" w:sz="0" w:space="0" w:color="auto"/>
        <w:bottom w:val="none" w:sz="0" w:space="0" w:color="auto"/>
        <w:right w:val="none" w:sz="0" w:space="0" w:color="auto"/>
      </w:divBdr>
    </w:div>
    <w:div w:id="1136412991">
      <w:bodyDiv w:val="1"/>
      <w:marLeft w:val="0"/>
      <w:marRight w:val="0"/>
      <w:marTop w:val="0"/>
      <w:marBottom w:val="0"/>
      <w:divBdr>
        <w:top w:val="none" w:sz="0" w:space="0" w:color="auto"/>
        <w:left w:val="none" w:sz="0" w:space="0" w:color="auto"/>
        <w:bottom w:val="none" w:sz="0" w:space="0" w:color="auto"/>
        <w:right w:val="none" w:sz="0" w:space="0" w:color="auto"/>
      </w:divBdr>
    </w:div>
    <w:div w:id="1137183076">
      <w:bodyDiv w:val="1"/>
      <w:marLeft w:val="0"/>
      <w:marRight w:val="0"/>
      <w:marTop w:val="0"/>
      <w:marBottom w:val="0"/>
      <w:divBdr>
        <w:top w:val="none" w:sz="0" w:space="0" w:color="auto"/>
        <w:left w:val="none" w:sz="0" w:space="0" w:color="auto"/>
        <w:bottom w:val="none" w:sz="0" w:space="0" w:color="auto"/>
        <w:right w:val="none" w:sz="0" w:space="0" w:color="auto"/>
      </w:divBdr>
    </w:div>
    <w:div w:id="1137451132">
      <w:bodyDiv w:val="1"/>
      <w:marLeft w:val="0"/>
      <w:marRight w:val="0"/>
      <w:marTop w:val="0"/>
      <w:marBottom w:val="0"/>
      <w:divBdr>
        <w:top w:val="none" w:sz="0" w:space="0" w:color="auto"/>
        <w:left w:val="none" w:sz="0" w:space="0" w:color="auto"/>
        <w:bottom w:val="none" w:sz="0" w:space="0" w:color="auto"/>
        <w:right w:val="none" w:sz="0" w:space="0" w:color="auto"/>
      </w:divBdr>
    </w:div>
    <w:div w:id="1137602655">
      <w:bodyDiv w:val="1"/>
      <w:marLeft w:val="0"/>
      <w:marRight w:val="0"/>
      <w:marTop w:val="0"/>
      <w:marBottom w:val="0"/>
      <w:divBdr>
        <w:top w:val="none" w:sz="0" w:space="0" w:color="auto"/>
        <w:left w:val="none" w:sz="0" w:space="0" w:color="auto"/>
        <w:bottom w:val="none" w:sz="0" w:space="0" w:color="auto"/>
        <w:right w:val="none" w:sz="0" w:space="0" w:color="auto"/>
      </w:divBdr>
    </w:div>
    <w:div w:id="1137643572">
      <w:bodyDiv w:val="1"/>
      <w:marLeft w:val="0"/>
      <w:marRight w:val="0"/>
      <w:marTop w:val="0"/>
      <w:marBottom w:val="0"/>
      <w:divBdr>
        <w:top w:val="none" w:sz="0" w:space="0" w:color="auto"/>
        <w:left w:val="none" w:sz="0" w:space="0" w:color="auto"/>
        <w:bottom w:val="none" w:sz="0" w:space="0" w:color="auto"/>
        <w:right w:val="none" w:sz="0" w:space="0" w:color="auto"/>
      </w:divBdr>
    </w:div>
    <w:div w:id="1137721968">
      <w:bodyDiv w:val="1"/>
      <w:marLeft w:val="0"/>
      <w:marRight w:val="0"/>
      <w:marTop w:val="0"/>
      <w:marBottom w:val="0"/>
      <w:divBdr>
        <w:top w:val="none" w:sz="0" w:space="0" w:color="auto"/>
        <w:left w:val="none" w:sz="0" w:space="0" w:color="auto"/>
        <w:bottom w:val="none" w:sz="0" w:space="0" w:color="auto"/>
        <w:right w:val="none" w:sz="0" w:space="0" w:color="auto"/>
      </w:divBdr>
    </w:div>
    <w:div w:id="1137726304">
      <w:bodyDiv w:val="1"/>
      <w:marLeft w:val="0"/>
      <w:marRight w:val="0"/>
      <w:marTop w:val="0"/>
      <w:marBottom w:val="0"/>
      <w:divBdr>
        <w:top w:val="none" w:sz="0" w:space="0" w:color="auto"/>
        <w:left w:val="none" w:sz="0" w:space="0" w:color="auto"/>
        <w:bottom w:val="none" w:sz="0" w:space="0" w:color="auto"/>
        <w:right w:val="none" w:sz="0" w:space="0" w:color="auto"/>
      </w:divBdr>
    </w:div>
    <w:div w:id="1138186072">
      <w:bodyDiv w:val="1"/>
      <w:marLeft w:val="0"/>
      <w:marRight w:val="0"/>
      <w:marTop w:val="0"/>
      <w:marBottom w:val="0"/>
      <w:divBdr>
        <w:top w:val="none" w:sz="0" w:space="0" w:color="auto"/>
        <w:left w:val="none" w:sz="0" w:space="0" w:color="auto"/>
        <w:bottom w:val="none" w:sz="0" w:space="0" w:color="auto"/>
        <w:right w:val="none" w:sz="0" w:space="0" w:color="auto"/>
      </w:divBdr>
    </w:div>
    <w:div w:id="1138380554">
      <w:bodyDiv w:val="1"/>
      <w:marLeft w:val="0"/>
      <w:marRight w:val="0"/>
      <w:marTop w:val="0"/>
      <w:marBottom w:val="0"/>
      <w:divBdr>
        <w:top w:val="none" w:sz="0" w:space="0" w:color="auto"/>
        <w:left w:val="none" w:sz="0" w:space="0" w:color="auto"/>
        <w:bottom w:val="none" w:sz="0" w:space="0" w:color="auto"/>
        <w:right w:val="none" w:sz="0" w:space="0" w:color="auto"/>
      </w:divBdr>
    </w:div>
    <w:div w:id="1138719639">
      <w:bodyDiv w:val="1"/>
      <w:marLeft w:val="0"/>
      <w:marRight w:val="0"/>
      <w:marTop w:val="0"/>
      <w:marBottom w:val="0"/>
      <w:divBdr>
        <w:top w:val="none" w:sz="0" w:space="0" w:color="auto"/>
        <w:left w:val="none" w:sz="0" w:space="0" w:color="auto"/>
        <w:bottom w:val="none" w:sz="0" w:space="0" w:color="auto"/>
        <w:right w:val="none" w:sz="0" w:space="0" w:color="auto"/>
      </w:divBdr>
    </w:div>
    <w:div w:id="1138953977">
      <w:bodyDiv w:val="1"/>
      <w:marLeft w:val="0"/>
      <w:marRight w:val="0"/>
      <w:marTop w:val="0"/>
      <w:marBottom w:val="0"/>
      <w:divBdr>
        <w:top w:val="none" w:sz="0" w:space="0" w:color="auto"/>
        <w:left w:val="none" w:sz="0" w:space="0" w:color="auto"/>
        <w:bottom w:val="none" w:sz="0" w:space="0" w:color="auto"/>
        <w:right w:val="none" w:sz="0" w:space="0" w:color="auto"/>
      </w:divBdr>
    </w:div>
    <w:div w:id="1138959775">
      <w:bodyDiv w:val="1"/>
      <w:marLeft w:val="0"/>
      <w:marRight w:val="0"/>
      <w:marTop w:val="0"/>
      <w:marBottom w:val="0"/>
      <w:divBdr>
        <w:top w:val="none" w:sz="0" w:space="0" w:color="auto"/>
        <w:left w:val="none" w:sz="0" w:space="0" w:color="auto"/>
        <w:bottom w:val="none" w:sz="0" w:space="0" w:color="auto"/>
        <w:right w:val="none" w:sz="0" w:space="0" w:color="auto"/>
      </w:divBdr>
    </w:div>
    <w:div w:id="1138961437">
      <w:bodyDiv w:val="1"/>
      <w:marLeft w:val="0"/>
      <w:marRight w:val="0"/>
      <w:marTop w:val="0"/>
      <w:marBottom w:val="0"/>
      <w:divBdr>
        <w:top w:val="none" w:sz="0" w:space="0" w:color="auto"/>
        <w:left w:val="none" w:sz="0" w:space="0" w:color="auto"/>
        <w:bottom w:val="none" w:sz="0" w:space="0" w:color="auto"/>
        <w:right w:val="none" w:sz="0" w:space="0" w:color="auto"/>
      </w:divBdr>
    </w:div>
    <w:div w:id="1139418678">
      <w:bodyDiv w:val="1"/>
      <w:marLeft w:val="0"/>
      <w:marRight w:val="0"/>
      <w:marTop w:val="0"/>
      <w:marBottom w:val="0"/>
      <w:divBdr>
        <w:top w:val="none" w:sz="0" w:space="0" w:color="auto"/>
        <w:left w:val="none" w:sz="0" w:space="0" w:color="auto"/>
        <w:bottom w:val="none" w:sz="0" w:space="0" w:color="auto"/>
        <w:right w:val="none" w:sz="0" w:space="0" w:color="auto"/>
      </w:divBdr>
    </w:div>
    <w:div w:id="1139572283">
      <w:bodyDiv w:val="1"/>
      <w:marLeft w:val="0"/>
      <w:marRight w:val="0"/>
      <w:marTop w:val="0"/>
      <w:marBottom w:val="0"/>
      <w:divBdr>
        <w:top w:val="none" w:sz="0" w:space="0" w:color="auto"/>
        <w:left w:val="none" w:sz="0" w:space="0" w:color="auto"/>
        <w:bottom w:val="none" w:sz="0" w:space="0" w:color="auto"/>
        <w:right w:val="none" w:sz="0" w:space="0" w:color="auto"/>
      </w:divBdr>
    </w:div>
    <w:div w:id="1140000962">
      <w:bodyDiv w:val="1"/>
      <w:marLeft w:val="0"/>
      <w:marRight w:val="0"/>
      <w:marTop w:val="0"/>
      <w:marBottom w:val="0"/>
      <w:divBdr>
        <w:top w:val="none" w:sz="0" w:space="0" w:color="auto"/>
        <w:left w:val="none" w:sz="0" w:space="0" w:color="auto"/>
        <w:bottom w:val="none" w:sz="0" w:space="0" w:color="auto"/>
        <w:right w:val="none" w:sz="0" w:space="0" w:color="auto"/>
      </w:divBdr>
    </w:div>
    <w:div w:id="1140028191">
      <w:bodyDiv w:val="1"/>
      <w:marLeft w:val="0"/>
      <w:marRight w:val="0"/>
      <w:marTop w:val="0"/>
      <w:marBottom w:val="0"/>
      <w:divBdr>
        <w:top w:val="none" w:sz="0" w:space="0" w:color="auto"/>
        <w:left w:val="none" w:sz="0" w:space="0" w:color="auto"/>
        <w:bottom w:val="none" w:sz="0" w:space="0" w:color="auto"/>
        <w:right w:val="none" w:sz="0" w:space="0" w:color="auto"/>
      </w:divBdr>
    </w:div>
    <w:div w:id="1140078200">
      <w:bodyDiv w:val="1"/>
      <w:marLeft w:val="0"/>
      <w:marRight w:val="0"/>
      <w:marTop w:val="0"/>
      <w:marBottom w:val="0"/>
      <w:divBdr>
        <w:top w:val="none" w:sz="0" w:space="0" w:color="auto"/>
        <w:left w:val="none" w:sz="0" w:space="0" w:color="auto"/>
        <w:bottom w:val="none" w:sz="0" w:space="0" w:color="auto"/>
        <w:right w:val="none" w:sz="0" w:space="0" w:color="auto"/>
      </w:divBdr>
    </w:div>
    <w:div w:id="1140417012">
      <w:bodyDiv w:val="1"/>
      <w:marLeft w:val="0"/>
      <w:marRight w:val="0"/>
      <w:marTop w:val="0"/>
      <w:marBottom w:val="0"/>
      <w:divBdr>
        <w:top w:val="none" w:sz="0" w:space="0" w:color="auto"/>
        <w:left w:val="none" w:sz="0" w:space="0" w:color="auto"/>
        <w:bottom w:val="none" w:sz="0" w:space="0" w:color="auto"/>
        <w:right w:val="none" w:sz="0" w:space="0" w:color="auto"/>
      </w:divBdr>
    </w:div>
    <w:div w:id="1140464589">
      <w:bodyDiv w:val="1"/>
      <w:marLeft w:val="0"/>
      <w:marRight w:val="0"/>
      <w:marTop w:val="0"/>
      <w:marBottom w:val="0"/>
      <w:divBdr>
        <w:top w:val="none" w:sz="0" w:space="0" w:color="auto"/>
        <w:left w:val="none" w:sz="0" w:space="0" w:color="auto"/>
        <w:bottom w:val="none" w:sz="0" w:space="0" w:color="auto"/>
        <w:right w:val="none" w:sz="0" w:space="0" w:color="auto"/>
      </w:divBdr>
    </w:div>
    <w:div w:id="1140537681">
      <w:bodyDiv w:val="1"/>
      <w:marLeft w:val="0"/>
      <w:marRight w:val="0"/>
      <w:marTop w:val="0"/>
      <w:marBottom w:val="0"/>
      <w:divBdr>
        <w:top w:val="none" w:sz="0" w:space="0" w:color="auto"/>
        <w:left w:val="none" w:sz="0" w:space="0" w:color="auto"/>
        <w:bottom w:val="none" w:sz="0" w:space="0" w:color="auto"/>
        <w:right w:val="none" w:sz="0" w:space="0" w:color="auto"/>
      </w:divBdr>
    </w:div>
    <w:div w:id="1140851323">
      <w:bodyDiv w:val="1"/>
      <w:marLeft w:val="0"/>
      <w:marRight w:val="0"/>
      <w:marTop w:val="0"/>
      <w:marBottom w:val="0"/>
      <w:divBdr>
        <w:top w:val="none" w:sz="0" w:space="0" w:color="auto"/>
        <w:left w:val="none" w:sz="0" w:space="0" w:color="auto"/>
        <w:bottom w:val="none" w:sz="0" w:space="0" w:color="auto"/>
        <w:right w:val="none" w:sz="0" w:space="0" w:color="auto"/>
      </w:divBdr>
    </w:div>
    <w:div w:id="1141581811">
      <w:bodyDiv w:val="1"/>
      <w:marLeft w:val="0"/>
      <w:marRight w:val="0"/>
      <w:marTop w:val="0"/>
      <w:marBottom w:val="0"/>
      <w:divBdr>
        <w:top w:val="none" w:sz="0" w:space="0" w:color="auto"/>
        <w:left w:val="none" w:sz="0" w:space="0" w:color="auto"/>
        <w:bottom w:val="none" w:sz="0" w:space="0" w:color="auto"/>
        <w:right w:val="none" w:sz="0" w:space="0" w:color="auto"/>
      </w:divBdr>
    </w:div>
    <w:div w:id="1142229834">
      <w:bodyDiv w:val="1"/>
      <w:marLeft w:val="0"/>
      <w:marRight w:val="0"/>
      <w:marTop w:val="0"/>
      <w:marBottom w:val="0"/>
      <w:divBdr>
        <w:top w:val="none" w:sz="0" w:space="0" w:color="auto"/>
        <w:left w:val="none" w:sz="0" w:space="0" w:color="auto"/>
        <w:bottom w:val="none" w:sz="0" w:space="0" w:color="auto"/>
        <w:right w:val="none" w:sz="0" w:space="0" w:color="auto"/>
      </w:divBdr>
    </w:div>
    <w:div w:id="1142886173">
      <w:bodyDiv w:val="1"/>
      <w:marLeft w:val="0"/>
      <w:marRight w:val="0"/>
      <w:marTop w:val="0"/>
      <w:marBottom w:val="0"/>
      <w:divBdr>
        <w:top w:val="none" w:sz="0" w:space="0" w:color="auto"/>
        <w:left w:val="none" w:sz="0" w:space="0" w:color="auto"/>
        <w:bottom w:val="none" w:sz="0" w:space="0" w:color="auto"/>
        <w:right w:val="none" w:sz="0" w:space="0" w:color="auto"/>
      </w:divBdr>
    </w:div>
    <w:div w:id="1143348328">
      <w:bodyDiv w:val="1"/>
      <w:marLeft w:val="0"/>
      <w:marRight w:val="0"/>
      <w:marTop w:val="0"/>
      <w:marBottom w:val="0"/>
      <w:divBdr>
        <w:top w:val="none" w:sz="0" w:space="0" w:color="auto"/>
        <w:left w:val="none" w:sz="0" w:space="0" w:color="auto"/>
        <w:bottom w:val="none" w:sz="0" w:space="0" w:color="auto"/>
        <w:right w:val="none" w:sz="0" w:space="0" w:color="auto"/>
      </w:divBdr>
    </w:div>
    <w:div w:id="1143542317">
      <w:bodyDiv w:val="1"/>
      <w:marLeft w:val="0"/>
      <w:marRight w:val="0"/>
      <w:marTop w:val="0"/>
      <w:marBottom w:val="0"/>
      <w:divBdr>
        <w:top w:val="none" w:sz="0" w:space="0" w:color="auto"/>
        <w:left w:val="none" w:sz="0" w:space="0" w:color="auto"/>
        <w:bottom w:val="none" w:sz="0" w:space="0" w:color="auto"/>
        <w:right w:val="none" w:sz="0" w:space="0" w:color="auto"/>
      </w:divBdr>
    </w:div>
    <w:div w:id="1143817124">
      <w:bodyDiv w:val="1"/>
      <w:marLeft w:val="0"/>
      <w:marRight w:val="0"/>
      <w:marTop w:val="0"/>
      <w:marBottom w:val="0"/>
      <w:divBdr>
        <w:top w:val="none" w:sz="0" w:space="0" w:color="auto"/>
        <w:left w:val="none" w:sz="0" w:space="0" w:color="auto"/>
        <w:bottom w:val="none" w:sz="0" w:space="0" w:color="auto"/>
        <w:right w:val="none" w:sz="0" w:space="0" w:color="auto"/>
      </w:divBdr>
    </w:div>
    <w:div w:id="1144470354">
      <w:bodyDiv w:val="1"/>
      <w:marLeft w:val="0"/>
      <w:marRight w:val="0"/>
      <w:marTop w:val="0"/>
      <w:marBottom w:val="0"/>
      <w:divBdr>
        <w:top w:val="none" w:sz="0" w:space="0" w:color="auto"/>
        <w:left w:val="none" w:sz="0" w:space="0" w:color="auto"/>
        <w:bottom w:val="none" w:sz="0" w:space="0" w:color="auto"/>
        <w:right w:val="none" w:sz="0" w:space="0" w:color="auto"/>
      </w:divBdr>
    </w:div>
    <w:div w:id="1145004794">
      <w:bodyDiv w:val="1"/>
      <w:marLeft w:val="0"/>
      <w:marRight w:val="0"/>
      <w:marTop w:val="0"/>
      <w:marBottom w:val="0"/>
      <w:divBdr>
        <w:top w:val="none" w:sz="0" w:space="0" w:color="auto"/>
        <w:left w:val="none" w:sz="0" w:space="0" w:color="auto"/>
        <w:bottom w:val="none" w:sz="0" w:space="0" w:color="auto"/>
        <w:right w:val="none" w:sz="0" w:space="0" w:color="auto"/>
      </w:divBdr>
    </w:div>
    <w:div w:id="1145510456">
      <w:bodyDiv w:val="1"/>
      <w:marLeft w:val="0"/>
      <w:marRight w:val="0"/>
      <w:marTop w:val="0"/>
      <w:marBottom w:val="0"/>
      <w:divBdr>
        <w:top w:val="none" w:sz="0" w:space="0" w:color="auto"/>
        <w:left w:val="none" w:sz="0" w:space="0" w:color="auto"/>
        <w:bottom w:val="none" w:sz="0" w:space="0" w:color="auto"/>
        <w:right w:val="none" w:sz="0" w:space="0" w:color="auto"/>
      </w:divBdr>
    </w:div>
    <w:div w:id="1145703365">
      <w:bodyDiv w:val="1"/>
      <w:marLeft w:val="0"/>
      <w:marRight w:val="0"/>
      <w:marTop w:val="0"/>
      <w:marBottom w:val="0"/>
      <w:divBdr>
        <w:top w:val="none" w:sz="0" w:space="0" w:color="auto"/>
        <w:left w:val="none" w:sz="0" w:space="0" w:color="auto"/>
        <w:bottom w:val="none" w:sz="0" w:space="0" w:color="auto"/>
        <w:right w:val="none" w:sz="0" w:space="0" w:color="auto"/>
      </w:divBdr>
    </w:div>
    <w:div w:id="1145775545">
      <w:bodyDiv w:val="1"/>
      <w:marLeft w:val="0"/>
      <w:marRight w:val="0"/>
      <w:marTop w:val="0"/>
      <w:marBottom w:val="0"/>
      <w:divBdr>
        <w:top w:val="none" w:sz="0" w:space="0" w:color="auto"/>
        <w:left w:val="none" w:sz="0" w:space="0" w:color="auto"/>
        <w:bottom w:val="none" w:sz="0" w:space="0" w:color="auto"/>
        <w:right w:val="none" w:sz="0" w:space="0" w:color="auto"/>
      </w:divBdr>
    </w:div>
    <w:div w:id="1146240149">
      <w:bodyDiv w:val="1"/>
      <w:marLeft w:val="0"/>
      <w:marRight w:val="0"/>
      <w:marTop w:val="0"/>
      <w:marBottom w:val="0"/>
      <w:divBdr>
        <w:top w:val="none" w:sz="0" w:space="0" w:color="auto"/>
        <w:left w:val="none" w:sz="0" w:space="0" w:color="auto"/>
        <w:bottom w:val="none" w:sz="0" w:space="0" w:color="auto"/>
        <w:right w:val="none" w:sz="0" w:space="0" w:color="auto"/>
      </w:divBdr>
    </w:div>
    <w:div w:id="1146358008">
      <w:bodyDiv w:val="1"/>
      <w:marLeft w:val="0"/>
      <w:marRight w:val="0"/>
      <w:marTop w:val="0"/>
      <w:marBottom w:val="0"/>
      <w:divBdr>
        <w:top w:val="none" w:sz="0" w:space="0" w:color="auto"/>
        <w:left w:val="none" w:sz="0" w:space="0" w:color="auto"/>
        <w:bottom w:val="none" w:sz="0" w:space="0" w:color="auto"/>
        <w:right w:val="none" w:sz="0" w:space="0" w:color="auto"/>
      </w:divBdr>
    </w:div>
    <w:div w:id="1146437259">
      <w:bodyDiv w:val="1"/>
      <w:marLeft w:val="0"/>
      <w:marRight w:val="0"/>
      <w:marTop w:val="0"/>
      <w:marBottom w:val="0"/>
      <w:divBdr>
        <w:top w:val="none" w:sz="0" w:space="0" w:color="auto"/>
        <w:left w:val="none" w:sz="0" w:space="0" w:color="auto"/>
        <w:bottom w:val="none" w:sz="0" w:space="0" w:color="auto"/>
        <w:right w:val="none" w:sz="0" w:space="0" w:color="auto"/>
      </w:divBdr>
    </w:div>
    <w:div w:id="1146892020">
      <w:bodyDiv w:val="1"/>
      <w:marLeft w:val="0"/>
      <w:marRight w:val="0"/>
      <w:marTop w:val="0"/>
      <w:marBottom w:val="0"/>
      <w:divBdr>
        <w:top w:val="none" w:sz="0" w:space="0" w:color="auto"/>
        <w:left w:val="none" w:sz="0" w:space="0" w:color="auto"/>
        <w:bottom w:val="none" w:sz="0" w:space="0" w:color="auto"/>
        <w:right w:val="none" w:sz="0" w:space="0" w:color="auto"/>
      </w:divBdr>
    </w:div>
    <w:div w:id="1147162694">
      <w:bodyDiv w:val="1"/>
      <w:marLeft w:val="0"/>
      <w:marRight w:val="0"/>
      <w:marTop w:val="0"/>
      <w:marBottom w:val="0"/>
      <w:divBdr>
        <w:top w:val="none" w:sz="0" w:space="0" w:color="auto"/>
        <w:left w:val="none" w:sz="0" w:space="0" w:color="auto"/>
        <w:bottom w:val="none" w:sz="0" w:space="0" w:color="auto"/>
        <w:right w:val="none" w:sz="0" w:space="0" w:color="auto"/>
      </w:divBdr>
    </w:div>
    <w:div w:id="1147166480">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48476468">
      <w:bodyDiv w:val="1"/>
      <w:marLeft w:val="0"/>
      <w:marRight w:val="0"/>
      <w:marTop w:val="0"/>
      <w:marBottom w:val="0"/>
      <w:divBdr>
        <w:top w:val="none" w:sz="0" w:space="0" w:color="auto"/>
        <w:left w:val="none" w:sz="0" w:space="0" w:color="auto"/>
        <w:bottom w:val="none" w:sz="0" w:space="0" w:color="auto"/>
        <w:right w:val="none" w:sz="0" w:space="0" w:color="auto"/>
      </w:divBdr>
    </w:div>
    <w:div w:id="1148743852">
      <w:bodyDiv w:val="1"/>
      <w:marLeft w:val="0"/>
      <w:marRight w:val="0"/>
      <w:marTop w:val="0"/>
      <w:marBottom w:val="0"/>
      <w:divBdr>
        <w:top w:val="none" w:sz="0" w:space="0" w:color="auto"/>
        <w:left w:val="none" w:sz="0" w:space="0" w:color="auto"/>
        <w:bottom w:val="none" w:sz="0" w:space="0" w:color="auto"/>
        <w:right w:val="none" w:sz="0" w:space="0" w:color="auto"/>
      </w:divBdr>
    </w:div>
    <w:div w:id="1149126084">
      <w:bodyDiv w:val="1"/>
      <w:marLeft w:val="0"/>
      <w:marRight w:val="0"/>
      <w:marTop w:val="0"/>
      <w:marBottom w:val="0"/>
      <w:divBdr>
        <w:top w:val="none" w:sz="0" w:space="0" w:color="auto"/>
        <w:left w:val="none" w:sz="0" w:space="0" w:color="auto"/>
        <w:bottom w:val="none" w:sz="0" w:space="0" w:color="auto"/>
        <w:right w:val="none" w:sz="0" w:space="0" w:color="auto"/>
      </w:divBdr>
    </w:div>
    <w:div w:id="1149635776">
      <w:bodyDiv w:val="1"/>
      <w:marLeft w:val="0"/>
      <w:marRight w:val="0"/>
      <w:marTop w:val="0"/>
      <w:marBottom w:val="0"/>
      <w:divBdr>
        <w:top w:val="none" w:sz="0" w:space="0" w:color="auto"/>
        <w:left w:val="none" w:sz="0" w:space="0" w:color="auto"/>
        <w:bottom w:val="none" w:sz="0" w:space="0" w:color="auto"/>
        <w:right w:val="none" w:sz="0" w:space="0" w:color="auto"/>
      </w:divBdr>
    </w:div>
    <w:div w:id="1149711478">
      <w:bodyDiv w:val="1"/>
      <w:marLeft w:val="0"/>
      <w:marRight w:val="0"/>
      <w:marTop w:val="0"/>
      <w:marBottom w:val="0"/>
      <w:divBdr>
        <w:top w:val="none" w:sz="0" w:space="0" w:color="auto"/>
        <w:left w:val="none" w:sz="0" w:space="0" w:color="auto"/>
        <w:bottom w:val="none" w:sz="0" w:space="0" w:color="auto"/>
        <w:right w:val="none" w:sz="0" w:space="0" w:color="auto"/>
      </w:divBdr>
    </w:div>
    <w:div w:id="1149712053">
      <w:bodyDiv w:val="1"/>
      <w:marLeft w:val="0"/>
      <w:marRight w:val="0"/>
      <w:marTop w:val="0"/>
      <w:marBottom w:val="0"/>
      <w:divBdr>
        <w:top w:val="none" w:sz="0" w:space="0" w:color="auto"/>
        <w:left w:val="none" w:sz="0" w:space="0" w:color="auto"/>
        <w:bottom w:val="none" w:sz="0" w:space="0" w:color="auto"/>
        <w:right w:val="none" w:sz="0" w:space="0" w:color="auto"/>
      </w:divBdr>
    </w:div>
    <w:div w:id="1149908703">
      <w:bodyDiv w:val="1"/>
      <w:marLeft w:val="0"/>
      <w:marRight w:val="0"/>
      <w:marTop w:val="0"/>
      <w:marBottom w:val="0"/>
      <w:divBdr>
        <w:top w:val="none" w:sz="0" w:space="0" w:color="auto"/>
        <w:left w:val="none" w:sz="0" w:space="0" w:color="auto"/>
        <w:bottom w:val="none" w:sz="0" w:space="0" w:color="auto"/>
        <w:right w:val="none" w:sz="0" w:space="0" w:color="auto"/>
      </w:divBdr>
    </w:div>
    <w:div w:id="1150051793">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0511952">
      <w:bodyDiv w:val="1"/>
      <w:marLeft w:val="0"/>
      <w:marRight w:val="0"/>
      <w:marTop w:val="0"/>
      <w:marBottom w:val="0"/>
      <w:divBdr>
        <w:top w:val="none" w:sz="0" w:space="0" w:color="auto"/>
        <w:left w:val="none" w:sz="0" w:space="0" w:color="auto"/>
        <w:bottom w:val="none" w:sz="0" w:space="0" w:color="auto"/>
        <w:right w:val="none" w:sz="0" w:space="0" w:color="auto"/>
      </w:divBdr>
    </w:div>
    <w:div w:id="1150517015">
      <w:bodyDiv w:val="1"/>
      <w:marLeft w:val="0"/>
      <w:marRight w:val="0"/>
      <w:marTop w:val="0"/>
      <w:marBottom w:val="0"/>
      <w:divBdr>
        <w:top w:val="none" w:sz="0" w:space="0" w:color="auto"/>
        <w:left w:val="none" w:sz="0" w:space="0" w:color="auto"/>
        <w:bottom w:val="none" w:sz="0" w:space="0" w:color="auto"/>
        <w:right w:val="none" w:sz="0" w:space="0" w:color="auto"/>
      </w:divBdr>
    </w:div>
    <w:div w:id="1150752385">
      <w:bodyDiv w:val="1"/>
      <w:marLeft w:val="0"/>
      <w:marRight w:val="0"/>
      <w:marTop w:val="0"/>
      <w:marBottom w:val="0"/>
      <w:divBdr>
        <w:top w:val="none" w:sz="0" w:space="0" w:color="auto"/>
        <w:left w:val="none" w:sz="0" w:space="0" w:color="auto"/>
        <w:bottom w:val="none" w:sz="0" w:space="0" w:color="auto"/>
        <w:right w:val="none" w:sz="0" w:space="0" w:color="auto"/>
      </w:divBdr>
    </w:div>
    <w:div w:id="1151211678">
      <w:bodyDiv w:val="1"/>
      <w:marLeft w:val="0"/>
      <w:marRight w:val="0"/>
      <w:marTop w:val="0"/>
      <w:marBottom w:val="0"/>
      <w:divBdr>
        <w:top w:val="none" w:sz="0" w:space="0" w:color="auto"/>
        <w:left w:val="none" w:sz="0" w:space="0" w:color="auto"/>
        <w:bottom w:val="none" w:sz="0" w:space="0" w:color="auto"/>
        <w:right w:val="none" w:sz="0" w:space="0" w:color="auto"/>
      </w:divBdr>
    </w:div>
    <w:div w:id="1151867401">
      <w:bodyDiv w:val="1"/>
      <w:marLeft w:val="0"/>
      <w:marRight w:val="0"/>
      <w:marTop w:val="0"/>
      <w:marBottom w:val="0"/>
      <w:divBdr>
        <w:top w:val="none" w:sz="0" w:space="0" w:color="auto"/>
        <w:left w:val="none" w:sz="0" w:space="0" w:color="auto"/>
        <w:bottom w:val="none" w:sz="0" w:space="0" w:color="auto"/>
        <w:right w:val="none" w:sz="0" w:space="0" w:color="auto"/>
      </w:divBdr>
    </w:div>
    <w:div w:id="1151873969">
      <w:bodyDiv w:val="1"/>
      <w:marLeft w:val="0"/>
      <w:marRight w:val="0"/>
      <w:marTop w:val="0"/>
      <w:marBottom w:val="0"/>
      <w:divBdr>
        <w:top w:val="none" w:sz="0" w:space="0" w:color="auto"/>
        <w:left w:val="none" w:sz="0" w:space="0" w:color="auto"/>
        <w:bottom w:val="none" w:sz="0" w:space="0" w:color="auto"/>
        <w:right w:val="none" w:sz="0" w:space="0" w:color="auto"/>
      </w:divBdr>
    </w:div>
    <w:div w:id="1152062807">
      <w:bodyDiv w:val="1"/>
      <w:marLeft w:val="0"/>
      <w:marRight w:val="0"/>
      <w:marTop w:val="0"/>
      <w:marBottom w:val="0"/>
      <w:divBdr>
        <w:top w:val="none" w:sz="0" w:space="0" w:color="auto"/>
        <w:left w:val="none" w:sz="0" w:space="0" w:color="auto"/>
        <w:bottom w:val="none" w:sz="0" w:space="0" w:color="auto"/>
        <w:right w:val="none" w:sz="0" w:space="0" w:color="auto"/>
      </w:divBdr>
    </w:div>
    <w:div w:id="1152327311">
      <w:bodyDiv w:val="1"/>
      <w:marLeft w:val="0"/>
      <w:marRight w:val="0"/>
      <w:marTop w:val="0"/>
      <w:marBottom w:val="0"/>
      <w:divBdr>
        <w:top w:val="none" w:sz="0" w:space="0" w:color="auto"/>
        <w:left w:val="none" w:sz="0" w:space="0" w:color="auto"/>
        <w:bottom w:val="none" w:sz="0" w:space="0" w:color="auto"/>
        <w:right w:val="none" w:sz="0" w:space="0" w:color="auto"/>
      </w:divBdr>
    </w:div>
    <w:div w:id="1152598268">
      <w:bodyDiv w:val="1"/>
      <w:marLeft w:val="0"/>
      <w:marRight w:val="0"/>
      <w:marTop w:val="0"/>
      <w:marBottom w:val="0"/>
      <w:divBdr>
        <w:top w:val="none" w:sz="0" w:space="0" w:color="auto"/>
        <w:left w:val="none" w:sz="0" w:space="0" w:color="auto"/>
        <w:bottom w:val="none" w:sz="0" w:space="0" w:color="auto"/>
        <w:right w:val="none" w:sz="0" w:space="0" w:color="auto"/>
      </w:divBdr>
    </w:div>
    <w:div w:id="1152870952">
      <w:bodyDiv w:val="1"/>
      <w:marLeft w:val="0"/>
      <w:marRight w:val="0"/>
      <w:marTop w:val="0"/>
      <w:marBottom w:val="0"/>
      <w:divBdr>
        <w:top w:val="none" w:sz="0" w:space="0" w:color="auto"/>
        <w:left w:val="none" w:sz="0" w:space="0" w:color="auto"/>
        <w:bottom w:val="none" w:sz="0" w:space="0" w:color="auto"/>
        <w:right w:val="none" w:sz="0" w:space="0" w:color="auto"/>
      </w:divBdr>
    </w:div>
    <w:div w:id="1153058355">
      <w:bodyDiv w:val="1"/>
      <w:marLeft w:val="0"/>
      <w:marRight w:val="0"/>
      <w:marTop w:val="0"/>
      <w:marBottom w:val="0"/>
      <w:divBdr>
        <w:top w:val="none" w:sz="0" w:space="0" w:color="auto"/>
        <w:left w:val="none" w:sz="0" w:space="0" w:color="auto"/>
        <w:bottom w:val="none" w:sz="0" w:space="0" w:color="auto"/>
        <w:right w:val="none" w:sz="0" w:space="0" w:color="auto"/>
      </w:divBdr>
    </w:div>
    <w:div w:id="1153109842">
      <w:bodyDiv w:val="1"/>
      <w:marLeft w:val="0"/>
      <w:marRight w:val="0"/>
      <w:marTop w:val="0"/>
      <w:marBottom w:val="0"/>
      <w:divBdr>
        <w:top w:val="none" w:sz="0" w:space="0" w:color="auto"/>
        <w:left w:val="none" w:sz="0" w:space="0" w:color="auto"/>
        <w:bottom w:val="none" w:sz="0" w:space="0" w:color="auto"/>
        <w:right w:val="none" w:sz="0" w:space="0" w:color="auto"/>
      </w:divBdr>
    </w:div>
    <w:div w:id="1153137241">
      <w:bodyDiv w:val="1"/>
      <w:marLeft w:val="0"/>
      <w:marRight w:val="0"/>
      <w:marTop w:val="0"/>
      <w:marBottom w:val="0"/>
      <w:divBdr>
        <w:top w:val="none" w:sz="0" w:space="0" w:color="auto"/>
        <w:left w:val="none" w:sz="0" w:space="0" w:color="auto"/>
        <w:bottom w:val="none" w:sz="0" w:space="0" w:color="auto"/>
        <w:right w:val="none" w:sz="0" w:space="0" w:color="auto"/>
      </w:divBdr>
    </w:div>
    <w:div w:id="1153176478">
      <w:bodyDiv w:val="1"/>
      <w:marLeft w:val="0"/>
      <w:marRight w:val="0"/>
      <w:marTop w:val="0"/>
      <w:marBottom w:val="0"/>
      <w:divBdr>
        <w:top w:val="none" w:sz="0" w:space="0" w:color="auto"/>
        <w:left w:val="none" w:sz="0" w:space="0" w:color="auto"/>
        <w:bottom w:val="none" w:sz="0" w:space="0" w:color="auto"/>
        <w:right w:val="none" w:sz="0" w:space="0" w:color="auto"/>
      </w:divBdr>
    </w:div>
    <w:div w:id="1153257677">
      <w:bodyDiv w:val="1"/>
      <w:marLeft w:val="0"/>
      <w:marRight w:val="0"/>
      <w:marTop w:val="0"/>
      <w:marBottom w:val="0"/>
      <w:divBdr>
        <w:top w:val="none" w:sz="0" w:space="0" w:color="auto"/>
        <w:left w:val="none" w:sz="0" w:space="0" w:color="auto"/>
        <w:bottom w:val="none" w:sz="0" w:space="0" w:color="auto"/>
        <w:right w:val="none" w:sz="0" w:space="0" w:color="auto"/>
      </w:divBdr>
    </w:div>
    <w:div w:id="1153447158">
      <w:bodyDiv w:val="1"/>
      <w:marLeft w:val="0"/>
      <w:marRight w:val="0"/>
      <w:marTop w:val="0"/>
      <w:marBottom w:val="0"/>
      <w:divBdr>
        <w:top w:val="none" w:sz="0" w:space="0" w:color="auto"/>
        <w:left w:val="none" w:sz="0" w:space="0" w:color="auto"/>
        <w:bottom w:val="none" w:sz="0" w:space="0" w:color="auto"/>
        <w:right w:val="none" w:sz="0" w:space="0" w:color="auto"/>
      </w:divBdr>
    </w:div>
    <w:div w:id="1153645886">
      <w:bodyDiv w:val="1"/>
      <w:marLeft w:val="0"/>
      <w:marRight w:val="0"/>
      <w:marTop w:val="0"/>
      <w:marBottom w:val="0"/>
      <w:divBdr>
        <w:top w:val="none" w:sz="0" w:space="0" w:color="auto"/>
        <w:left w:val="none" w:sz="0" w:space="0" w:color="auto"/>
        <w:bottom w:val="none" w:sz="0" w:space="0" w:color="auto"/>
        <w:right w:val="none" w:sz="0" w:space="0" w:color="auto"/>
      </w:divBdr>
    </w:div>
    <w:div w:id="1153764610">
      <w:bodyDiv w:val="1"/>
      <w:marLeft w:val="0"/>
      <w:marRight w:val="0"/>
      <w:marTop w:val="0"/>
      <w:marBottom w:val="0"/>
      <w:divBdr>
        <w:top w:val="none" w:sz="0" w:space="0" w:color="auto"/>
        <w:left w:val="none" w:sz="0" w:space="0" w:color="auto"/>
        <w:bottom w:val="none" w:sz="0" w:space="0" w:color="auto"/>
        <w:right w:val="none" w:sz="0" w:space="0" w:color="auto"/>
      </w:divBdr>
    </w:div>
    <w:div w:id="1153958328">
      <w:bodyDiv w:val="1"/>
      <w:marLeft w:val="0"/>
      <w:marRight w:val="0"/>
      <w:marTop w:val="0"/>
      <w:marBottom w:val="0"/>
      <w:divBdr>
        <w:top w:val="none" w:sz="0" w:space="0" w:color="auto"/>
        <w:left w:val="none" w:sz="0" w:space="0" w:color="auto"/>
        <w:bottom w:val="none" w:sz="0" w:space="0" w:color="auto"/>
        <w:right w:val="none" w:sz="0" w:space="0" w:color="auto"/>
      </w:divBdr>
    </w:div>
    <w:div w:id="1154952198">
      <w:bodyDiv w:val="1"/>
      <w:marLeft w:val="0"/>
      <w:marRight w:val="0"/>
      <w:marTop w:val="0"/>
      <w:marBottom w:val="0"/>
      <w:divBdr>
        <w:top w:val="none" w:sz="0" w:space="0" w:color="auto"/>
        <w:left w:val="none" w:sz="0" w:space="0" w:color="auto"/>
        <w:bottom w:val="none" w:sz="0" w:space="0" w:color="auto"/>
        <w:right w:val="none" w:sz="0" w:space="0" w:color="auto"/>
      </w:divBdr>
    </w:div>
    <w:div w:id="1155338812">
      <w:bodyDiv w:val="1"/>
      <w:marLeft w:val="0"/>
      <w:marRight w:val="0"/>
      <w:marTop w:val="0"/>
      <w:marBottom w:val="0"/>
      <w:divBdr>
        <w:top w:val="none" w:sz="0" w:space="0" w:color="auto"/>
        <w:left w:val="none" w:sz="0" w:space="0" w:color="auto"/>
        <w:bottom w:val="none" w:sz="0" w:space="0" w:color="auto"/>
        <w:right w:val="none" w:sz="0" w:space="0" w:color="auto"/>
      </w:divBdr>
    </w:div>
    <w:div w:id="1155410649">
      <w:bodyDiv w:val="1"/>
      <w:marLeft w:val="0"/>
      <w:marRight w:val="0"/>
      <w:marTop w:val="0"/>
      <w:marBottom w:val="0"/>
      <w:divBdr>
        <w:top w:val="none" w:sz="0" w:space="0" w:color="auto"/>
        <w:left w:val="none" w:sz="0" w:space="0" w:color="auto"/>
        <w:bottom w:val="none" w:sz="0" w:space="0" w:color="auto"/>
        <w:right w:val="none" w:sz="0" w:space="0" w:color="auto"/>
      </w:divBdr>
    </w:div>
    <w:div w:id="1155758753">
      <w:bodyDiv w:val="1"/>
      <w:marLeft w:val="0"/>
      <w:marRight w:val="0"/>
      <w:marTop w:val="0"/>
      <w:marBottom w:val="0"/>
      <w:divBdr>
        <w:top w:val="none" w:sz="0" w:space="0" w:color="auto"/>
        <w:left w:val="none" w:sz="0" w:space="0" w:color="auto"/>
        <w:bottom w:val="none" w:sz="0" w:space="0" w:color="auto"/>
        <w:right w:val="none" w:sz="0" w:space="0" w:color="auto"/>
      </w:divBdr>
    </w:div>
    <w:div w:id="1156536744">
      <w:bodyDiv w:val="1"/>
      <w:marLeft w:val="0"/>
      <w:marRight w:val="0"/>
      <w:marTop w:val="0"/>
      <w:marBottom w:val="0"/>
      <w:divBdr>
        <w:top w:val="none" w:sz="0" w:space="0" w:color="auto"/>
        <w:left w:val="none" w:sz="0" w:space="0" w:color="auto"/>
        <w:bottom w:val="none" w:sz="0" w:space="0" w:color="auto"/>
        <w:right w:val="none" w:sz="0" w:space="0" w:color="auto"/>
      </w:divBdr>
    </w:div>
    <w:div w:id="1156722203">
      <w:bodyDiv w:val="1"/>
      <w:marLeft w:val="0"/>
      <w:marRight w:val="0"/>
      <w:marTop w:val="0"/>
      <w:marBottom w:val="0"/>
      <w:divBdr>
        <w:top w:val="none" w:sz="0" w:space="0" w:color="auto"/>
        <w:left w:val="none" w:sz="0" w:space="0" w:color="auto"/>
        <w:bottom w:val="none" w:sz="0" w:space="0" w:color="auto"/>
        <w:right w:val="none" w:sz="0" w:space="0" w:color="auto"/>
      </w:divBdr>
    </w:div>
    <w:div w:id="1156920172">
      <w:bodyDiv w:val="1"/>
      <w:marLeft w:val="0"/>
      <w:marRight w:val="0"/>
      <w:marTop w:val="0"/>
      <w:marBottom w:val="0"/>
      <w:divBdr>
        <w:top w:val="none" w:sz="0" w:space="0" w:color="auto"/>
        <w:left w:val="none" w:sz="0" w:space="0" w:color="auto"/>
        <w:bottom w:val="none" w:sz="0" w:space="0" w:color="auto"/>
        <w:right w:val="none" w:sz="0" w:space="0" w:color="auto"/>
      </w:divBdr>
    </w:div>
    <w:div w:id="1157459819">
      <w:bodyDiv w:val="1"/>
      <w:marLeft w:val="0"/>
      <w:marRight w:val="0"/>
      <w:marTop w:val="0"/>
      <w:marBottom w:val="0"/>
      <w:divBdr>
        <w:top w:val="none" w:sz="0" w:space="0" w:color="auto"/>
        <w:left w:val="none" w:sz="0" w:space="0" w:color="auto"/>
        <w:bottom w:val="none" w:sz="0" w:space="0" w:color="auto"/>
        <w:right w:val="none" w:sz="0" w:space="0" w:color="auto"/>
      </w:divBdr>
    </w:div>
    <w:div w:id="1157768824">
      <w:bodyDiv w:val="1"/>
      <w:marLeft w:val="0"/>
      <w:marRight w:val="0"/>
      <w:marTop w:val="0"/>
      <w:marBottom w:val="0"/>
      <w:divBdr>
        <w:top w:val="none" w:sz="0" w:space="0" w:color="auto"/>
        <w:left w:val="none" w:sz="0" w:space="0" w:color="auto"/>
        <w:bottom w:val="none" w:sz="0" w:space="0" w:color="auto"/>
        <w:right w:val="none" w:sz="0" w:space="0" w:color="auto"/>
      </w:divBdr>
    </w:div>
    <w:div w:id="1157843205">
      <w:bodyDiv w:val="1"/>
      <w:marLeft w:val="0"/>
      <w:marRight w:val="0"/>
      <w:marTop w:val="0"/>
      <w:marBottom w:val="0"/>
      <w:divBdr>
        <w:top w:val="none" w:sz="0" w:space="0" w:color="auto"/>
        <w:left w:val="none" w:sz="0" w:space="0" w:color="auto"/>
        <w:bottom w:val="none" w:sz="0" w:space="0" w:color="auto"/>
        <w:right w:val="none" w:sz="0" w:space="0" w:color="auto"/>
      </w:divBdr>
    </w:div>
    <w:div w:id="1157845064">
      <w:bodyDiv w:val="1"/>
      <w:marLeft w:val="0"/>
      <w:marRight w:val="0"/>
      <w:marTop w:val="0"/>
      <w:marBottom w:val="0"/>
      <w:divBdr>
        <w:top w:val="none" w:sz="0" w:space="0" w:color="auto"/>
        <w:left w:val="none" w:sz="0" w:space="0" w:color="auto"/>
        <w:bottom w:val="none" w:sz="0" w:space="0" w:color="auto"/>
        <w:right w:val="none" w:sz="0" w:space="0" w:color="auto"/>
      </w:divBdr>
    </w:div>
    <w:div w:id="1158152517">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59153509">
      <w:bodyDiv w:val="1"/>
      <w:marLeft w:val="0"/>
      <w:marRight w:val="0"/>
      <w:marTop w:val="0"/>
      <w:marBottom w:val="0"/>
      <w:divBdr>
        <w:top w:val="none" w:sz="0" w:space="0" w:color="auto"/>
        <w:left w:val="none" w:sz="0" w:space="0" w:color="auto"/>
        <w:bottom w:val="none" w:sz="0" w:space="0" w:color="auto"/>
        <w:right w:val="none" w:sz="0" w:space="0" w:color="auto"/>
      </w:divBdr>
    </w:div>
    <w:div w:id="1159420426">
      <w:bodyDiv w:val="1"/>
      <w:marLeft w:val="0"/>
      <w:marRight w:val="0"/>
      <w:marTop w:val="0"/>
      <w:marBottom w:val="0"/>
      <w:divBdr>
        <w:top w:val="none" w:sz="0" w:space="0" w:color="auto"/>
        <w:left w:val="none" w:sz="0" w:space="0" w:color="auto"/>
        <w:bottom w:val="none" w:sz="0" w:space="0" w:color="auto"/>
        <w:right w:val="none" w:sz="0" w:space="0" w:color="auto"/>
      </w:divBdr>
    </w:div>
    <w:div w:id="1159997432">
      <w:bodyDiv w:val="1"/>
      <w:marLeft w:val="0"/>
      <w:marRight w:val="0"/>
      <w:marTop w:val="0"/>
      <w:marBottom w:val="0"/>
      <w:divBdr>
        <w:top w:val="none" w:sz="0" w:space="0" w:color="auto"/>
        <w:left w:val="none" w:sz="0" w:space="0" w:color="auto"/>
        <w:bottom w:val="none" w:sz="0" w:space="0" w:color="auto"/>
        <w:right w:val="none" w:sz="0" w:space="0" w:color="auto"/>
      </w:divBdr>
    </w:div>
    <w:div w:id="1160121661">
      <w:bodyDiv w:val="1"/>
      <w:marLeft w:val="0"/>
      <w:marRight w:val="0"/>
      <w:marTop w:val="0"/>
      <w:marBottom w:val="0"/>
      <w:divBdr>
        <w:top w:val="none" w:sz="0" w:space="0" w:color="auto"/>
        <w:left w:val="none" w:sz="0" w:space="0" w:color="auto"/>
        <w:bottom w:val="none" w:sz="0" w:space="0" w:color="auto"/>
        <w:right w:val="none" w:sz="0" w:space="0" w:color="auto"/>
      </w:divBdr>
    </w:div>
    <w:div w:id="1160195957">
      <w:bodyDiv w:val="1"/>
      <w:marLeft w:val="0"/>
      <w:marRight w:val="0"/>
      <w:marTop w:val="0"/>
      <w:marBottom w:val="0"/>
      <w:divBdr>
        <w:top w:val="none" w:sz="0" w:space="0" w:color="auto"/>
        <w:left w:val="none" w:sz="0" w:space="0" w:color="auto"/>
        <w:bottom w:val="none" w:sz="0" w:space="0" w:color="auto"/>
        <w:right w:val="none" w:sz="0" w:space="0" w:color="auto"/>
      </w:divBdr>
    </w:div>
    <w:div w:id="1160198189">
      <w:bodyDiv w:val="1"/>
      <w:marLeft w:val="0"/>
      <w:marRight w:val="0"/>
      <w:marTop w:val="0"/>
      <w:marBottom w:val="0"/>
      <w:divBdr>
        <w:top w:val="none" w:sz="0" w:space="0" w:color="auto"/>
        <w:left w:val="none" w:sz="0" w:space="0" w:color="auto"/>
        <w:bottom w:val="none" w:sz="0" w:space="0" w:color="auto"/>
        <w:right w:val="none" w:sz="0" w:space="0" w:color="auto"/>
      </w:divBdr>
    </w:div>
    <w:div w:id="1160845544">
      <w:bodyDiv w:val="1"/>
      <w:marLeft w:val="0"/>
      <w:marRight w:val="0"/>
      <w:marTop w:val="0"/>
      <w:marBottom w:val="0"/>
      <w:divBdr>
        <w:top w:val="none" w:sz="0" w:space="0" w:color="auto"/>
        <w:left w:val="none" w:sz="0" w:space="0" w:color="auto"/>
        <w:bottom w:val="none" w:sz="0" w:space="0" w:color="auto"/>
        <w:right w:val="none" w:sz="0" w:space="0" w:color="auto"/>
      </w:divBdr>
    </w:div>
    <w:div w:id="1160847153">
      <w:bodyDiv w:val="1"/>
      <w:marLeft w:val="0"/>
      <w:marRight w:val="0"/>
      <w:marTop w:val="0"/>
      <w:marBottom w:val="0"/>
      <w:divBdr>
        <w:top w:val="none" w:sz="0" w:space="0" w:color="auto"/>
        <w:left w:val="none" w:sz="0" w:space="0" w:color="auto"/>
        <w:bottom w:val="none" w:sz="0" w:space="0" w:color="auto"/>
        <w:right w:val="none" w:sz="0" w:space="0" w:color="auto"/>
      </w:divBdr>
    </w:div>
    <w:div w:id="1161195523">
      <w:bodyDiv w:val="1"/>
      <w:marLeft w:val="0"/>
      <w:marRight w:val="0"/>
      <w:marTop w:val="0"/>
      <w:marBottom w:val="0"/>
      <w:divBdr>
        <w:top w:val="none" w:sz="0" w:space="0" w:color="auto"/>
        <w:left w:val="none" w:sz="0" w:space="0" w:color="auto"/>
        <w:bottom w:val="none" w:sz="0" w:space="0" w:color="auto"/>
        <w:right w:val="none" w:sz="0" w:space="0" w:color="auto"/>
      </w:divBdr>
    </w:div>
    <w:div w:id="1161505494">
      <w:bodyDiv w:val="1"/>
      <w:marLeft w:val="0"/>
      <w:marRight w:val="0"/>
      <w:marTop w:val="0"/>
      <w:marBottom w:val="0"/>
      <w:divBdr>
        <w:top w:val="none" w:sz="0" w:space="0" w:color="auto"/>
        <w:left w:val="none" w:sz="0" w:space="0" w:color="auto"/>
        <w:bottom w:val="none" w:sz="0" w:space="0" w:color="auto"/>
        <w:right w:val="none" w:sz="0" w:space="0" w:color="auto"/>
      </w:divBdr>
    </w:div>
    <w:div w:id="1161697348">
      <w:bodyDiv w:val="1"/>
      <w:marLeft w:val="0"/>
      <w:marRight w:val="0"/>
      <w:marTop w:val="0"/>
      <w:marBottom w:val="0"/>
      <w:divBdr>
        <w:top w:val="none" w:sz="0" w:space="0" w:color="auto"/>
        <w:left w:val="none" w:sz="0" w:space="0" w:color="auto"/>
        <w:bottom w:val="none" w:sz="0" w:space="0" w:color="auto"/>
        <w:right w:val="none" w:sz="0" w:space="0" w:color="auto"/>
      </w:divBdr>
    </w:div>
    <w:div w:id="1162045217">
      <w:bodyDiv w:val="1"/>
      <w:marLeft w:val="0"/>
      <w:marRight w:val="0"/>
      <w:marTop w:val="0"/>
      <w:marBottom w:val="0"/>
      <w:divBdr>
        <w:top w:val="none" w:sz="0" w:space="0" w:color="auto"/>
        <w:left w:val="none" w:sz="0" w:space="0" w:color="auto"/>
        <w:bottom w:val="none" w:sz="0" w:space="0" w:color="auto"/>
        <w:right w:val="none" w:sz="0" w:space="0" w:color="auto"/>
      </w:divBdr>
    </w:div>
    <w:div w:id="1162504739">
      <w:bodyDiv w:val="1"/>
      <w:marLeft w:val="0"/>
      <w:marRight w:val="0"/>
      <w:marTop w:val="0"/>
      <w:marBottom w:val="0"/>
      <w:divBdr>
        <w:top w:val="none" w:sz="0" w:space="0" w:color="auto"/>
        <w:left w:val="none" w:sz="0" w:space="0" w:color="auto"/>
        <w:bottom w:val="none" w:sz="0" w:space="0" w:color="auto"/>
        <w:right w:val="none" w:sz="0" w:space="0" w:color="auto"/>
      </w:divBdr>
    </w:div>
    <w:div w:id="1162938121">
      <w:bodyDiv w:val="1"/>
      <w:marLeft w:val="0"/>
      <w:marRight w:val="0"/>
      <w:marTop w:val="0"/>
      <w:marBottom w:val="0"/>
      <w:divBdr>
        <w:top w:val="none" w:sz="0" w:space="0" w:color="auto"/>
        <w:left w:val="none" w:sz="0" w:space="0" w:color="auto"/>
        <w:bottom w:val="none" w:sz="0" w:space="0" w:color="auto"/>
        <w:right w:val="none" w:sz="0" w:space="0" w:color="auto"/>
      </w:divBdr>
    </w:div>
    <w:div w:id="1163279266">
      <w:bodyDiv w:val="1"/>
      <w:marLeft w:val="0"/>
      <w:marRight w:val="0"/>
      <w:marTop w:val="0"/>
      <w:marBottom w:val="0"/>
      <w:divBdr>
        <w:top w:val="none" w:sz="0" w:space="0" w:color="auto"/>
        <w:left w:val="none" w:sz="0" w:space="0" w:color="auto"/>
        <w:bottom w:val="none" w:sz="0" w:space="0" w:color="auto"/>
        <w:right w:val="none" w:sz="0" w:space="0" w:color="auto"/>
      </w:divBdr>
    </w:div>
    <w:div w:id="1163544854">
      <w:bodyDiv w:val="1"/>
      <w:marLeft w:val="0"/>
      <w:marRight w:val="0"/>
      <w:marTop w:val="0"/>
      <w:marBottom w:val="0"/>
      <w:divBdr>
        <w:top w:val="none" w:sz="0" w:space="0" w:color="auto"/>
        <w:left w:val="none" w:sz="0" w:space="0" w:color="auto"/>
        <w:bottom w:val="none" w:sz="0" w:space="0" w:color="auto"/>
        <w:right w:val="none" w:sz="0" w:space="0" w:color="auto"/>
      </w:divBdr>
    </w:div>
    <w:div w:id="1163741109">
      <w:bodyDiv w:val="1"/>
      <w:marLeft w:val="0"/>
      <w:marRight w:val="0"/>
      <w:marTop w:val="0"/>
      <w:marBottom w:val="0"/>
      <w:divBdr>
        <w:top w:val="none" w:sz="0" w:space="0" w:color="auto"/>
        <w:left w:val="none" w:sz="0" w:space="0" w:color="auto"/>
        <w:bottom w:val="none" w:sz="0" w:space="0" w:color="auto"/>
        <w:right w:val="none" w:sz="0" w:space="0" w:color="auto"/>
      </w:divBdr>
    </w:div>
    <w:div w:id="1164010270">
      <w:bodyDiv w:val="1"/>
      <w:marLeft w:val="0"/>
      <w:marRight w:val="0"/>
      <w:marTop w:val="0"/>
      <w:marBottom w:val="0"/>
      <w:divBdr>
        <w:top w:val="none" w:sz="0" w:space="0" w:color="auto"/>
        <w:left w:val="none" w:sz="0" w:space="0" w:color="auto"/>
        <w:bottom w:val="none" w:sz="0" w:space="0" w:color="auto"/>
        <w:right w:val="none" w:sz="0" w:space="0" w:color="auto"/>
      </w:divBdr>
    </w:div>
    <w:div w:id="116450924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5246887">
      <w:bodyDiv w:val="1"/>
      <w:marLeft w:val="0"/>
      <w:marRight w:val="0"/>
      <w:marTop w:val="0"/>
      <w:marBottom w:val="0"/>
      <w:divBdr>
        <w:top w:val="none" w:sz="0" w:space="0" w:color="auto"/>
        <w:left w:val="none" w:sz="0" w:space="0" w:color="auto"/>
        <w:bottom w:val="none" w:sz="0" w:space="0" w:color="auto"/>
        <w:right w:val="none" w:sz="0" w:space="0" w:color="auto"/>
      </w:divBdr>
    </w:div>
    <w:div w:id="1165323814">
      <w:bodyDiv w:val="1"/>
      <w:marLeft w:val="0"/>
      <w:marRight w:val="0"/>
      <w:marTop w:val="0"/>
      <w:marBottom w:val="0"/>
      <w:divBdr>
        <w:top w:val="none" w:sz="0" w:space="0" w:color="auto"/>
        <w:left w:val="none" w:sz="0" w:space="0" w:color="auto"/>
        <w:bottom w:val="none" w:sz="0" w:space="0" w:color="auto"/>
        <w:right w:val="none" w:sz="0" w:space="0" w:color="auto"/>
      </w:divBdr>
    </w:div>
    <w:div w:id="1165512376">
      <w:bodyDiv w:val="1"/>
      <w:marLeft w:val="0"/>
      <w:marRight w:val="0"/>
      <w:marTop w:val="0"/>
      <w:marBottom w:val="0"/>
      <w:divBdr>
        <w:top w:val="none" w:sz="0" w:space="0" w:color="auto"/>
        <w:left w:val="none" w:sz="0" w:space="0" w:color="auto"/>
        <w:bottom w:val="none" w:sz="0" w:space="0" w:color="auto"/>
        <w:right w:val="none" w:sz="0" w:space="0" w:color="auto"/>
      </w:divBdr>
    </w:div>
    <w:div w:id="1165899572">
      <w:bodyDiv w:val="1"/>
      <w:marLeft w:val="0"/>
      <w:marRight w:val="0"/>
      <w:marTop w:val="0"/>
      <w:marBottom w:val="0"/>
      <w:divBdr>
        <w:top w:val="none" w:sz="0" w:space="0" w:color="auto"/>
        <w:left w:val="none" w:sz="0" w:space="0" w:color="auto"/>
        <w:bottom w:val="none" w:sz="0" w:space="0" w:color="auto"/>
        <w:right w:val="none" w:sz="0" w:space="0" w:color="auto"/>
      </w:divBdr>
    </w:div>
    <w:div w:id="1165978206">
      <w:bodyDiv w:val="1"/>
      <w:marLeft w:val="0"/>
      <w:marRight w:val="0"/>
      <w:marTop w:val="0"/>
      <w:marBottom w:val="0"/>
      <w:divBdr>
        <w:top w:val="none" w:sz="0" w:space="0" w:color="auto"/>
        <w:left w:val="none" w:sz="0" w:space="0" w:color="auto"/>
        <w:bottom w:val="none" w:sz="0" w:space="0" w:color="auto"/>
        <w:right w:val="none" w:sz="0" w:space="0" w:color="auto"/>
      </w:divBdr>
    </w:div>
    <w:div w:id="1166557689">
      <w:bodyDiv w:val="1"/>
      <w:marLeft w:val="0"/>
      <w:marRight w:val="0"/>
      <w:marTop w:val="0"/>
      <w:marBottom w:val="0"/>
      <w:divBdr>
        <w:top w:val="none" w:sz="0" w:space="0" w:color="auto"/>
        <w:left w:val="none" w:sz="0" w:space="0" w:color="auto"/>
        <w:bottom w:val="none" w:sz="0" w:space="0" w:color="auto"/>
        <w:right w:val="none" w:sz="0" w:space="0" w:color="auto"/>
      </w:divBdr>
    </w:div>
    <w:div w:id="1166676968">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66940745">
      <w:bodyDiv w:val="1"/>
      <w:marLeft w:val="0"/>
      <w:marRight w:val="0"/>
      <w:marTop w:val="0"/>
      <w:marBottom w:val="0"/>
      <w:divBdr>
        <w:top w:val="none" w:sz="0" w:space="0" w:color="auto"/>
        <w:left w:val="none" w:sz="0" w:space="0" w:color="auto"/>
        <w:bottom w:val="none" w:sz="0" w:space="0" w:color="auto"/>
        <w:right w:val="none" w:sz="0" w:space="0" w:color="auto"/>
      </w:divBdr>
    </w:div>
    <w:div w:id="1167210610">
      <w:bodyDiv w:val="1"/>
      <w:marLeft w:val="0"/>
      <w:marRight w:val="0"/>
      <w:marTop w:val="0"/>
      <w:marBottom w:val="0"/>
      <w:divBdr>
        <w:top w:val="none" w:sz="0" w:space="0" w:color="auto"/>
        <w:left w:val="none" w:sz="0" w:space="0" w:color="auto"/>
        <w:bottom w:val="none" w:sz="0" w:space="0" w:color="auto"/>
        <w:right w:val="none" w:sz="0" w:space="0" w:color="auto"/>
      </w:divBdr>
    </w:div>
    <w:div w:id="1167359586">
      <w:bodyDiv w:val="1"/>
      <w:marLeft w:val="0"/>
      <w:marRight w:val="0"/>
      <w:marTop w:val="0"/>
      <w:marBottom w:val="0"/>
      <w:divBdr>
        <w:top w:val="none" w:sz="0" w:space="0" w:color="auto"/>
        <w:left w:val="none" w:sz="0" w:space="0" w:color="auto"/>
        <w:bottom w:val="none" w:sz="0" w:space="0" w:color="auto"/>
        <w:right w:val="none" w:sz="0" w:space="0" w:color="auto"/>
      </w:divBdr>
    </w:div>
    <w:div w:id="1167524986">
      <w:bodyDiv w:val="1"/>
      <w:marLeft w:val="0"/>
      <w:marRight w:val="0"/>
      <w:marTop w:val="0"/>
      <w:marBottom w:val="0"/>
      <w:divBdr>
        <w:top w:val="none" w:sz="0" w:space="0" w:color="auto"/>
        <w:left w:val="none" w:sz="0" w:space="0" w:color="auto"/>
        <w:bottom w:val="none" w:sz="0" w:space="0" w:color="auto"/>
        <w:right w:val="none" w:sz="0" w:space="0" w:color="auto"/>
      </w:divBdr>
    </w:div>
    <w:div w:id="1167556065">
      <w:bodyDiv w:val="1"/>
      <w:marLeft w:val="0"/>
      <w:marRight w:val="0"/>
      <w:marTop w:val="0"/>
      <w:marBottom w:val="0"/>
      <w:divBdr>
        <w:top w:val="none" w:sz="0" w:space="0" w:color="auto"/>
        <w:left w:val="none" w:sz="0" w:space="0" w:color="auto"/>
        <w:bottom w:val="none" w:sz="0" w:space="0" w:color="auto"/>
        <w:right w:val="none" w:sz="0" w:space="0" w:color="auto"/>
      </w:divBdr>
    </w:div>
    <w:div w:id="1167786146">
      <w:bodyDiv w:val="1"/>
      <w:marLeft w:val="0"/>
      <w:marRight w:val="0"/>
      <w:marTop w:val="0"/>
      <w:marBottom w:val="0"/>
      <w:divBdr>
        <w:top w:val="none" w:sz="0" w:space="0" w:color="auto"/>
        <w:left w:val="none" w:sz="0" w:space="0" w:color="auto"/>
        <w:bottom w:val="none" w:sz="0" w:space="0" w:color="auto"/>
        <w:right w:val="none" w:sz="0" w:space="0" w:color="auto"/>
      </w:divBdr>
    </w:div>
    <w:div w:id="1168011010">
      <w:bodyDiv w:val="1"/>
      <w:marLeft w:val="0"/>
      <w:marRight w:val="0"/>
      <w:marTop w:val="0"/>
      <w:marBottom w:val="0"/>
      <w:divBdr>
        <w:top w:val="none" w:sz="0" w:space="0" w:color="auto"/>
        <w:left w:val="none" w:sz="0" w:space="0" w:color="auto"/>
        <w:bottom w:val="none" w:sz="0" w:space="0" w:color="auto"/>
        <w:right w:val="none" w:sz="0" w:space="0" w:color="auto"/>
      </w:divBdr>
    </w:div>
    <w:div w:id="1168014069">
      <w:bodyDiv w:val="1"/>
      <w:marLeft w:val="0"/>
      <w:marRight w:val="0"/>
      <w:marTop w:val="0"/>
      <w:marBottom w:val="0"/>
      <w:divBdr>
        <w:top w:val="none" w:sz="0" w:space="0" w:color="auto"/>
        <w:left w:val="none" w:sz="0" w:space="0" w:color="auto"/>
        <w:bottom w:val="none" w:sz="0" w:space="0" w:color="auto"/>
        <w:right w:val="none" w:sz="0" w:space="0" w:color="auto"/>
      </w:divBdr>
    </w:div>
    <w:div w:id="1168907134">
      <w:bodyDiv w:val="1"/>
      <w:marLeft w:val="0"/>
      <w:marRight w:val="0"/>
      <w:marTop w:val="0"/>
      <w:marBottom w:val="0"/>
      <w:divBdr>
        <w:top w:val="none" w:sz="0" w:space="0" w:color="auto"/>
        <w:left w:val="none" w:sz="0" w:space="0" w:color="auto"/>
        <w:bottom w:val="none" w:sz="0" w:space="0" w:color="auto"/>
        <w:right w:val="none" w:sz="0" w:space="0" w:color="auto"/>
      </w:divBdr>
    </w:div>
    <w:div w:id="1168984029">
      <w:bodyDiv w:val="1"/>
      <w:marLeft w:val="0"/>
      <w:marRight w:val="0"/>
      <w:marTop w:val="0"/>
      <w:marBottom w:val="0"/>
      <w:divBdr>
        <w:top w:val="none" w:sz="0" w:space="0" w:color="auto"/>
        <w:left w:val="none" w:sz="0" w:space="0" w:color="auto"/>
        <w:bottom w:val="none" w:sz="0" w:space="0" w:color="auto"/>
        <w:right w:val="none" w:sz="0" w:space="0" w:color="auto"/>
      </w:divBdr>
    </w:div>
    <w:div w:id="1169441532">
      <w:bodyDiv w:val="1"/>
      <w:marLeft w:val="0"/>
      <w:marRight w:val="0"/>
      <w:marTop w:val="0"/>
      <w:marBottom w:val="0"/>
      <w:divBdr>
        <w:top w:val="none" w:sz="0" w:space="0" w:color="auto"/>
        <w:left w:val="none" w:sz="0" w:space="0" w:color="auto"/>
        <w:bottom w:val="none" w:sz="0" w:space="0" w:color="auto"/>
        <w:right w:val="none" w:sz="0" w:space="0" w:color="auto"/>
      </w:divBdr>
    </w:div>
    <w:div w:id="1170021345">
      <w:bodyDiv w:val="1"/>
      <w:marLeft w:val="0"/>
      <w:marRight w:val="0"/>
      <w:marTop w:val="0"/>
      <w:marBottom w:val="0"/>
      <w:divBdr>
        <w:top w:val="none" w:sz="0" w:space="0" w:color="auto"/>
        <w:left w:val="none" w:sz="0" w:space="0" w:color="auto"/>
        <w:bottom w:val="none" w:sz="0" w:space="0" w:color="auto"/>
        <w:right w:val="none" w:sz="0" w:space="0" w:color="auto"/>
      </w:divBdr>
    </w:div>
    <w:div w:id="1170146780">
      <w:bodyDiv w:val="1"/>
      <w:marLeft w:val="0"/>
      <w:marRight w:val="0"/>
      <w:marTop w:val="0"/>
      <w:marBottom w:val="0"/>
      <w:divBdr>
        <w:top w:val="none" w:sz="0" w:space="0" w:color="auto"/>
        <w:left w:val="none" w:sz="0" w:space="0" w:color="auto"/>
        <w:bottom w:val="none" w:sz="0" w:space="0" w:color="auto"/>
        <w:right w:val="none" w:sz="0" w:space="0" w:color="auto"/>
      </w:divBdr>
    </w:div>
    <w:div w:id="1170290898">
      <w:bodyDiv w:val="1"/>
      <w:marLeft w:val="0"/>
      <w:marRight w:val="0"/>
      <w:marTop w:val="0"/>
      <w:marBottom w:val="0"/>
      <w:divBdr>
        <w:top w:val="none" w:sz="0" w:space="0" w:color="auto"/>
        <w:left w:val="none" w:sz="0" w:space="0" w:color="auto"/>
        <w:bottom w:val="none" w:sz="0" w:space="0" w:color="auto"/>
        <w:right w:val="none" w:sz="0" w:space="0" w:color="auto"/>
      </w:divBdr>
    </w:div>
    <w:div w:id="1170370455">
      <w:bodyDiv w:val="1"/>
      <w:marLeft w:val="0"/>
      <w:marRight w:val="0"/>
      <w:marTop w:val="0"/>
      <w:marBottom w:val="0"/>
      <w:divBdr>
        <w:top w:val="none" w:sz="0" w:space="0" w:color="auto"/>
        <w:left w:val="none" w:sz="0" w:space="0" w:color="auto"/>
        <w:bottom w:val="none" w:sz="0" w:space="0" w:color="auto"/>
        <w:right w:val="none" w:sz="0" w:space="0" w:color="auto"/>
      </w:divBdr>
    </w:div>
    <w:div w:id="1170409394">
      <w:bodyDiv w:val="1"/>
      <w:marLeft w:val="0"/>
      <w:marRight w:val="0"/>
      <w:marTop w:val="0"/>
      <w:marBottom w:val="0"/>
      <w:divBdr>
        <w:top w:val="none" w:sz="0" w:space="0" w:color="auto"/>
        <w:left w:val="none" w:sz="0" w:space="0" w:color="auto"/>
        <w:bottom w:val="none" w:sz="0" w:space="0" w:color="auto"/>
        <w:right w:val="none" w:sz="0" w:space="0" w:color="auto"/>
      </w:divBdr>
    </w:div>
    <w:div w:id="1170486441">
      <w:bodyDiv w:val="1"/>
      <w:marLeft w:val="0"/>
      <w:marRight w:val="0"/>
      <w:marTop w:val="0"/>
      <w:marBottom w:val="0"/>
      <w:divBdr>
        <w:top w:val="none" w:sz="0" w:space="0" w:color="auto"/>
        <w:left w:val="none" w:sz="0" w:space="0" w:color="auto"/>
        <w:bottom w:val="none" w:sz="0" w:space="0" w:color="auto"/>
        <w:right w:val="none" w:sz="0" w:space="0" w:color="auto"/>
      </w:divBdr>
    </w:div>
    <w:div w:id="1170562563">
      <w:bodyDiv w:val="1"/>
      <w:marLeft w:val="0"/>
      <w:marRight w:val="0"/>
      <w:marTop w:val="0"/>
      <w:marBottom w:val="0"/>
      <w:divBdr>
        <w:top w:val="none" w:sz="0" w:space="0" w:color="auto"/>
        <w:left w:val="none" w:sz="0" w:space="0" w:color="auto"/>
        <w:bottom w:val="none" w:sz="0" w:space="0" w:color="auto"/>
        <w:right w:val="none" w:sz="0" w:space="0" w:color="auto"/>
      </w:divBdr>
    </w:div>
    <w:div w:id="1171019371">
      <w:bodyDiv w:val="1"/>
      <w:marLeft w:val="0"/>
      <w:marRight w:val="0"/>
      <w:marTop w:val="0"/>
      <w:marBottom w:val="0"/>
      <w:divBdr>
        <w:top w:val="none" w:sz="0" w:space="0" w:color="auto"/>
        <w:left w:val="none" w:sz="0" w:space="0" w:color="auto"/>
        <w:bottom w:val="none" w:sz="0" w:space="0" w:color="auto"/>
        <w:right w:val="none" w:sz="0" w:space="0" w:color="auto"/>
      </w:divBdr>
    </w:div>
    <w:div w:id="1171530692">
      <w:bodyDiv w:val="1"/>
      <w:marLeft w:val="0"/>
      <w:marRight w:val="0"/>
      <w:marTop w:val="0"/>
      <w:marBottom w:val="0"/>
      <w:divBdr>
        <w:top w:val="none" w:sz="0" w:space="0" w:color="auto"/>
        <w:left w:val="none" w:sz="0" w:space="0" w:color="auto"/>
        <w:bottom w:val="none" w:sz="0" w:space="0" w:color="auto"/>
        <w:right w:val="none" w:sz="0" w:space="0" w:color="auto"/>
      </w:divBdr>
    </w:div>
    <w:div w:id="1171531593">
      <w:bodyDiv w:val="1"/>
      <w:marLeft w:val="0"/>
      <w:marRight w:val="0"/>
      <w:marTop w:val="0"/>
      <w:marBottom w:val="0"/>
      <w:divBdr>
        <w:top w:val="none" w:sz="0" w:space="0" w:color="auto"/>
        <w:left w:val="none" w:sz="0" w:space="0" w:color="auto"/>
        <w:bottom w:val="none" w:sz="0" w:space="0" w:color="auto"/>
        <w:right w:val="none" w:sz="0" w:space="0" w:color="auto"/>
      </w:divBdr>
    </w:div>
    <w:div w:id="1171724352">
      <w:bodyDiv w:val="1"/>
      <w:marLeft w:val="0"/>
      <w:marRight w:val="0"/>
      <w:marTop w:val="0"/>
      <w:marBottom w:val="0"/>
      <w:divBdr>
        <w:top w:val="none" w:sz="0" w:space="0" w:color="auto"/>
        <w:left w:val="none" w:sz="0" w:space="0" w:color="auto"/>
        <w:bottom w:val="none" w:sz="0" w:space="0" w:color="auto"/>
        <w:right w:val="none" w:sz="0" w:space="0" w:color="auto"/>
      </w:divBdr>
    </w:div>
    <w:div w:id="1172063356">
      <w:bodyDiv w:val="1"/>
      <w:marLeft w:val="0"/>
      <w:marRight w:val="0"/>
      <w:marTop w:val="0"/>
      <w:marBottom w:val="0"/>
      <w:divBdr>
        <w:top w:val="none" w:sz="0" w:space="0" w:color="auto"/>
        <w:left w:val="none" w:sz="0" w:space="0" w:color="auto"/>
        <w:bottom w:val="none" w:sz="0" w:space="0" w:color="auto"/>
        <w:right w:val="none" w:sz="0" w:space="0" w:color="auto"/>
      </w:divBdr>
    </w:div>
    <w:div w:id="1173882288">
      <w:bodyDiv w:val="1"/>
      <w:marLeft w:val="0"/>
      <w:marRight w:val="0"/>
      <w:marTop w:val="0"/>
      <w:marBottom w:val="0"/>
      <w:divBdr>
        <w:top w:val="none" w:sz="0" w:space="0" w:color="auto"/>
        <w:left w:val="none" w:sz="0" w:space="0" w:color="auto"/>
        <w:bottom w:val="none" w:sz="0" w:space="0" w:color="auto"/>
        <w:right w:val="none" w:sz="0" w:space="0" w:color="auto"/>
      </w:divBdr>
    </w:div>
    <w:div w:id="1174027496">
      <w:bodyDiv w:val="1"/>
      <w:marLeft w:val="0"/>
      <w:marRight w:val="0"/>
      <w:marTop w:val="0"/>
      <w:marBottom w:val="0"/>
      <w:divBdr>
        <w:top w:val="none" w:sz="0" w:space="0" w:color="auto"/>
        <w:left w:val="none" w:sz="0" w:space="0" w:color="auto"/>
        <w:bottom w:val="none" w:sz="0" w:space="0" w:color="auto"/>
        <w:right w:val="none" w:sz="0" w:space="0" w:color="auto"/>
      </w:divBdr>
    </w:div>
    <w:div w:id="1174034467">
      <w:bodyDiv w:val="1"/>
      <w:marLeft w:val="0"/>
      <w:marRight w:val="0"/>
      <w:marTop w:val="0"/>
      <w:marBottom w:val="0"/>
      <w:divBdr>
        <w:top w:val="none" w:sz="0" w:space="0" w:color="auto"/>
        <w:left w:val="none" w:sz="0" w:space="0" w:color="auto"/>
        <w:bottom w:val="none" w:sz="0" w:space="0" w:color="auto"/>
        <w:right w:val="none" w:sz="0" w:space="0" w:color="auto"/>
      </w:divBdr>
    </w:div>
    <w:div w:id="1174761935">
      <w:bodyDiv w:val="1"/>
      <w:marLeft w:val="0"/>
      <w:marRight w:val="0"/>
      <w:marTop w:val="0"/>
      <w:marBottom w:val="0"/>
      <w:divBdr>
        <w:top w:val="none" w:sz="0" w:space="0" w:color="auto"/>
        <w:left w:val="none" w:sz="0" w:space="0" w:color="auto"/>
        <w:bottom w:val="none" w:sz="0" w:space="0" w:color="auto"/>
        <w:right w:val="none" w:sz="0" w:space="0" w:color="auto"/>
      </w:divBdr>
    </w:div>
    <w:div w:id="1174808027">
      <w:bodyDiv w:val="1"/>
      <w:marLeft w:val="0"/>
      <w:marRight w:val="0"/>
      <w:marTop w:val="0"/>
      <w:marBottom w:val="0"/>
      <w:divBdr>
        <w:top w:val="none" w:sz="0" w:space="0" w:color="auto"/>
        <w:left w:val="none" w:sz="0" w:space="0" w:color="auto"/>
        <w:bottom w:val="none" w:sz="0" w:space="0" w:color="auto"/>
        <w:right w:val="none" w:sz="0" w:space="0" w:color="auto"/>
      </w:divBdr>
    </w:div>
    <w:div w:id="1174950950">
      <w:bodyDiv w:val="1"/>
      <w:marLeft w:val="0"/>
      <w:marRight w:val="0"/>
      <w:marTop w:val="0"/>
      <w:marBottom w:val="0"/>
      <w:divBdr>
        <w:top w:val="none" w:sz="0" w:space="0" w:color="auto"/>
        <w:left w:val="none" w:sz="0" w:space="0" w:color="auto"/>
        <w:bottom w:val="none" w:sz="0" w:space="0" w:color="auto"/>
        <w:right w:val="none" w:sz="0" w:space="0" w:color="auto"/>
      </w:divBdr>
    </w:div>
    <w:div w:id="1175464475">
      <w:bodyDiv w:val="1"/>
      <w:marLeft w:val="0"/>
      <w:marRight w:val="0"/>
      <w:marTop w:val="0"/>
      <w:marBottom w:val="0"/>
      <w:divBdr>
        <w:top w:val="none" w:sz="0" w:space="0" w:color="auto"/>
        <w:left w:val="none" w:sz="0" w:space="0" w:color="auto"/>
        <w:bottom w:val="none" w:sz="0" w:space="0" w:color="auto"/>
        <w:right w:val="none" w:sz="0" w:space="0" w:color="auto"/>
      </w:divBdr>
    </w:div>
    <w:div w:id="1175847413">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6848008">
      <w:bodyDiv w:val="1"/>
      <w:marLeft w:val="0"/>
      <w:marRight w:val="0"/>
      <w:marTop w:val="0"/>
      <w:marBottom w:val="0"/>
      <w:divBdr>
        <w:top w:val="none" w:sz="0" w:space="0" w:color="auto"/>
        <w:left w:val="none" w:sz="0" w:space="0" w:color="auto"/>
        <w:bottom w:val="none" w:sz="0" w:space="0" w:color="auto"/>
        <w:right w:val="none" w:sz="0" w:space="0" w:color="auto"/>
      </w:divBdr>
    </w:div>
    <w:div w:id="1177383266">
      <w:bodyDiv w:val="1"/>
      <w:marLeft w:val="0"/>
      <w:marRight w:val="0"/>
      <w:marTop w:val="0"/>
      <w:marBottom w:val="0"/>
      <w:divBdr>
        <w:top w:val="none" w:sz="0" w:space="0" w:color="auto"/>
        <w:left w:val="none" w:sz="0" w:space="0" w:color="auto"/>
        <w:bottom w:val="none" w:sz="0" w:space="0" w:color="auto"/>
        <w:right w:val="none" w:sz="0" w:space="0" w:color="auto"/>
      </w:divBdr>
    </w:div>
    <w:div w:id="1177622569">
      <w:bodyDiv w:val="1"/>
      <w:marLeft w:val="0"/>
      <w:marRight w:val="0"/>
      <w:marTop w:val="0"/>
      <w:marBottom w:val="0"/>
      <w:divBdr>
        <w:top w:val="none" w:sz="0" w:space="0" w:color="auto"/>
        <w:left w:val="none" w:sz="0" w:space="0" w:color="auto"/>
        <w:bottom w:val="none" w:sz="0" w:space="0" w:color="auto"/>
        <w:right w:val="none" w:sz="0" w:space="0" w:color="auto"/>
      </w:divBdr>
    </w:div>
    <w:div w:id="1177887279">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78084081">
      <w:bodyDiv w:val="1"/>
      <w:marLeft w:val="0"/>
      <w:marRight w:val="0"/>
      <w:marTop w:val="0"/>
      <w:marBottom w:val="0"/>
      <w:divBdr>
        <w:top w:val="none" w:sz="0" w:space="0" w:color="auto"/>
        <w:left w:val="none" w:sz="0" w:space="0" w:color="auto"/>
        <w:bottom w:val="none" w:sz="0" w:space="0" w:color="auto"/>
        <w:right w:val="none" w:sz="0" w:space="0" w:color="auto"/>
      </w:divBdr>
    </w:div>
    <w:div w:id="1178151292">
      <w:bodyDiv w:val="1"/>
      <w:marLeft w:val="0"/>
      <w:marRight w:val="0"/>
      <w:marTop w:val="0"/>
      <w:marBottom w:val="0"/>
      <w:divBdr>
        <w:top w:val="none" w:sz="0" w:space="0" w:color="auto"/>
        <w:left w:val="none" w:sz="0" w:space="0" w:color="auto"/>
        <w:bottom w:val="none" w:sz="0" w:space="0" w:color="auto"/>
        <w:right w:val="none" w:sz="0" w:space="0" w:color="auto"/>
      </w:divBdr>
    </w:div>
    <w:div w:id="1178426511">
      <w:bodyDiv w:val="1"/>
      <w:marLeft w:val="0"/>
      <w:marRight w:val="0"/>
      <w:marTop w:val="0"/>
      <w:marBottom w:val="0"/>
      <w:divBdr>
        <w:top w:val="none" w:sz="0" w:space="0" w:color="auto"/>
        <w:left w:val="none" w:sz="0" w:space="0" w:color="auto"/>
        <w:bottom w:val="none" w:sz="0" w:space="0" w:color="auto"/>
        <w:right w:val="none" w:sz="0" w:space="0" w:color="auto"/>
      </w:divBdr>
    </w:div>
    <w:div w:id="1178469525">
      <w:bodyDiv w:val="1"/>
      <w:marLeft w:val="0"/>
      <w:marRight w:val="0"/>
      <w:marTop w:val="0"/>
      <w:marBottom w:val="0"/>
      <w:divBdr>
        <w:top w:val="none" w:sz="0" w:space="0" w:color="auto"/>
        <w:left w:val="none" w:sz="0" w:space="0" w:color="auto"/>
        <w:bottom w:val="none" w:sz="0" w:space="0" w:color="auto"/>
        <w:right w:val="none" w:sz="0" w:space="0" w:color="auto"/>
      </w:divBdr>
    </w:div>
    <w:div w:id="1178497137">
      <w:bodyDiv w:val="1"/>
      <w:marLeft w:val="0"/>
      <w:marRight w:val="0"/>
      <w:marTop w:val="0"/>
      <w:marBottom w:val="0"/>
      <w:divBdr>
        <w:top w:val="none" w:sz="0" w:space="0" w:color="auto"/>
        <w:left w:val="none" w:sz="0" w:space="0" w:color="auto"/>
        <w:bottom w:val="none" w:sz="0" w:space="0" w:color="auto"/>
        <w:right w:val="none" w:sz="0" w:space="0" w:color="auto"/>
      </w:divBdr>
    </w:div>
    <w:div w:id="1178737621">
      <w:bodyDiv w:val="1"/>
      <w:marLeft w:val="0"/>
      <w:marRight w:val="0"/>
      <w:marTop w:val="0"/>
      <w:marBottom w:val="0"/>
      <w:divBdr>
        <w:top w:val="none" w:sz="0" w:space="0" w:color="auto"/>
        <w:left w:val="none" w:sz="0" w:space="0" w:color="auto"/>
        <w:bottom w:val="none" w:sz="0" w:space="0" w:color="auto"/>
        <w:right w:val="none" w:sz="0" w:space="0" w:color="auto"/>
      </w:divBdr>
    </w:div>
    <w:div w:id="1178806577">
      <w:bodyDiv w:val="1"/>
      <w:marLeft w:val="0"/>
      <w:marRight w:val="0"/>
      <w:marTop w:val="0"/>
      <w:marBottom w:val="0"/>
      <w:divBdr>
        <w:top w:val="none" w:sz="0" w:space="0" w:color="auto"/>
        <w:left w:val="none" w:sz="0" w:space="0" w:color="auto"/>
        <w:bottom w:val="none" w:sz="0" w:space="0" w:color="auto"/>
        <w:right w:val="none" w:sz="0" w:space="0" w:color="auto"/>
      </w:divBdr>
    </w:div>
    <w:div w:id="1178815345">
      <w:bodyDiv w:val="1"/>
      <w:marLeft w:val="0"/>
      <w:marRight w:val="0"/>
      <w:marTop w:val="0"/>
      <w:marBottom w:val="0"/>
      <w:divBdr>
        <w:top w:val="none" w:sz="0" w:space="0" w:color="auto"/>
        <w:left w:val="none" w:sz="0" w:space="0" w:color="auto"/>
        <w:bottom w:val="none" w:sz="0" w:space="0" w:color="auto"/>
        <w:right w:val="none" w:sz="0" w:space="0" w:color="auto"/>
      </w:divBdr>
    </w:div>
    <w:div w:id="1178931089">
      <w:bodyDiv w:val="1"/>
      <w:marLeft w:val="0"/>
      <w:marRight w:val="0"/>
      <w:marTop w:val="0"/>
      <w:marBottom w:val="0"/>
      <w:divBdr>
        <w:top w:val="none" w:sz="0" w:space="0" w:color="auto"/>
        <w:left w:val="none" w:sz="0" w:space="0" w:color="auto"/>
        <w:bottom w:val="none" w:sz="0" w:space="0" w:color="auto"/>
        <w:right w:val="none" w:sz="0" w:space="0" w:color="auto"/>
      </w:divBdr>
    </w:div>
    <w:div w:id="1179388640">
      <w:bodyDiv w:val="1"/>
      <w:marLeft w:val="0"/>
      <w:marRight w:val="0"/>
      <w:marTop w:val="0"/>
      <w:marBottom w:val="0"/>
      <w:divBdr>
        <w:top w:val="none" w:sz="0" w:space="0" w:color="auto"/>
        <w:left w:val="none" w:sz="0" w:space="0" w:color="auto"/>
        <w:bottom w:val="none" w:sz="0" w:space="0" w:color="auto"/>
        <w:right w:val="none" w:sz="0" w:space="0" w:color="auto"/>
      </w:divBdr>
    </w:div>
    <w:div w:id="1179540990">
      <w:bodyDiv w:val="1"/>
      <w:marLeft w:val="0"/>
      <w:marRight w:val="0"/>
      <w:marTop w:val="0"/>
      <w:marBottom w:val="0"/>
      <w:divBdr>
        <w:top w:val="none" w:sz="0" w:space="0" w:color="auto"/>
        <w:left w:val="none" w:sz="0" w:space="0" w:color="auto"/>
        <w:bottom w:val="none" w:sz="0" w:space="0" w:color="auto"/>
        <w:right w:val="none" w:sz="0" w:space="0" w:color="auto"/>
      </w:divBdr>
    </w:div>
    <w:div w:id="1179734180">
      <w:bodyDiv w:val="1"/>
      <w:marLeft w:val="0"/>
      <w:marRight w:val="0"/>
      <w:marTop w:val="0"/>
      <w:marBottom w:val="0"/>
      <w:divBdr>
        <w:top w:val="none" w:sz="0" w:space="0" w:color="auto"/>
        <w:left w:val="none" w:sz="0" w:space="0" w:color="auto"/>
        <w:bottom w:val="none" w:sz="0" w:space="0" w:color="auto"/>
        <w:right w:val="none" w:sz="0" w:space="0" w:color="auto"/>
      </w:divBdr>
    </w:div>
    <w:div w:id="1179739639">
      <w:bodyDiv w:val="1"/>
      <w:marLeft w:val="0"/>
      <w:marRight w:val="0"/>
      <w:marTop w:val="0"/>
      <w:marBottom w:val="0"/>
      <w:divBdr>
        <w:top w:val="none" w:sz="0" w:space="0" w:color="auto"/>
        <w:left w:val="none" w:sz="0" w:space="0" w:color="auto"/>
        <w:bottom w:val="none" w:sz="0" w:space="0" w:color="auto"/>
        <w:right w:val="none" w:sz="0" w:space="0" w:color="auto"/>
      </w:divBdr>
    </w:div>
    <w:div w:id="1180008042">
      <w:bodyDiv w:val="1"/>
      <w:marLeft w:val="0"/>
      <w:marRight w:val="0"/>
      <w:marTop w:val="0"/>
      <w:marBottom w:val="0"/>
      <w:divBdr>
        <w:top w:val="none" w:sz="0" w:space="0" w:color="auto"/>
        <w:left w:val="none" w:sz="0" w:space="0" w:color="auto"/>
        <w:bottom w:val="none" w:sz="0" w:space="0" w:color="auto"/>
        <w:right w:val="none" w:sz="0" w:space="0" w:color="auto"/>
      </w:divBdr>
    </w:div>
    <w:div w:id="1180505736">
      <w:bodyDiv w:val="1"/>
      <w:marLeft w:val="0"/>
      <w:marRight w:val="0"/>
      <w:marTop w:val="0"/>
      <w:marBottom w:val="0"/>
      <w:divBdr>
        <w:top w:val="none" w:sz="0" w:space="0" w:color="auto"/>
        <w:left w:val="none" w:sz="0" w:space="0" w:color="auto"/>
        <w:bottom w:val="none" w:sz="0" w:space="0" w:color="auto"/>
        <w:right w:val="none" w:sz="0" w:space="0" w:color="auto"/>
      </w:divBdr>
    </w:div>
    <w:div w:id="1180581031">
      <w:bodyDiv w:val="1"/>
      <w:marLeft w:val="0"/>
      <w:marRight w:val="0"/>
      <w:marTop w:val="0"/>
      <w:marBottom w:val="0"/>
      <w:divBdr>
        <w:top w:val="none" w:sz="0" w:space="0" w:color="auto"/>
        <w:left w:val="none" w:sz="0" w:space="0" w:color="auto"/>
        <w:bottom w:val="none" w:sz="0" w:space="0" w:color="auto"/>
        <w:right w:val="none" w:sz="0" w:space="0" w:color="auto"/>
      </w:divBdr>
    </w:div>
    <w:div w:id="1180656575">
      <w:bodyDiv w:val="1"/>
      <w:marLeft w:val="0"/>
      <w:marRight w:val="0"/>
      <w:marTop w:val="0"/>
      <w:marBottom w:val="0"/>
      <w:divBdr>
        <w:top w:val="none" w:sz="0" w:space="0" w:color="auto"/>
        <w:left w:val="none" w:sz="0" w:space="0" w:color="auto"/>
        <w:bottom w:val="none" w:sz="0" w:space="0" w:color="auto"/>
        <w:right w:val="none" w:sz="0" w:space="0" w:color="auto"/>
      </w:divBdr>
    </w:div>
    <w:div w:id="1181164146">
      <w:bodyDiv w:val="1"/>
      <w:marLeft w:val="0"/>
      <w:marRight w:val="0"/>
      <w:marTop w:val="0"/>
      <w:marBottom w:val="0"/>
      <w:divBdr>
        <w:top w:val="none" w:sz="0" w:space="0" w:color="auto"/>
        <w:left w:val="none" w:sz="0" w:space="0" w:color="auto"/>
        <w:bottom w:val="none" w:sz="0" w:space="0" w:color="auto"/>
        <w:right w:val="none" w:sz="0" w:space="0" w:color="auto"/>
      </w:divBdr>
    </w:div>
    <w:div w:id="1181239613">
      <w:bodyDiv w:val="1"/>
      <w:marLeft w:val="0"/>
      <w:marRight w:val="0"/>
      <w:marTop w:val="0"/>
      <w:marBottom w:val="0"/>
      <w:divBdr>
        <w:top w:val="none" w:sz="0" w:space="0" w:color="auto"/>
        <w:left w:val="none" w:sz="0" w:space="0" w:color="auto"/>
        <w:bottom w:val="none" w:sz="0" w:space="0" w:color="auto"/>
        <w:right w:val="none" w:sz="0" w:space="0" w:color="auto"/>
      </w:divBdr>
    </w:div>
    <w:div w:id="1181242571">
      <w:bodyDiv w:val="1"/>
      <w:marLeft w:val="0"/>
      <w:marRight w:val="0"/>
      <w:marTop w:val="0"/>
      <w:marBottom w:val="0"/>
      <w:divBdr>
        <w:top w:val="none" w:sz="0" w:space="0" w:color="auto"/>
        <w:left w:val="none" w:sz="0" w:space="0" w:color="auto"/>
        <w:bottom w:val="none" w:sz="0" w:space="0" w:color="auto"/>
        <w:right w:val="none" w:sz="0" w:space="0" w:color="auto"/>
      </w:divBdr>
    </w:div>
    <w:div w:id="1181318222">
      <w:bodyDiv w:val="1"/>
      <w:marLeft w:val="0"/>
      <w:marRight w:val="0"/>
      <w:marTop w:val="0"/>
      <w:marBottom w:val="0"/>
      <w:divBdr>
        <w:top w:val="none" w:sz="0" w:space="0" w:color="auto"/>
        <w:left w:val="none" w:sz="0" w:space="0" w:color="auto"/>
        <w:bottom w:val="none" w:sz="0" w:space="0" w:color="auto"/>
        <w:right w:val="none" w:sz="0" w:space="0" w:color="auto"/>
      </w:divBdr>
    </w:div>
    <w:div w:id="1181504451">
      <w:bodyDiv w:val="1"/>
      <w:marLeft w:val="0"/>
      <w:marRight w:val="0"/>
      <w:marTop w:val="0"/>
      <w:marBottom w:val="0"/>
      <w:divBdr>
        <w:top w:val="none" w:sz="0" w:space="0" w:color="auto"/>
        <w:left w:val="none" w:sz="0" w:space="0" w:color="auto"/>
        <w:bottom w:val="none" w:sz="0" w:space="0" w:color="auto"/>
        <w:right w:val="none" w:sz="0" w:space="0" w:color="auto"/>
      </w:divBdr>
    </w:div>
    <w:div w:id="1181818165">
      <w:bodyDiv w:val="1"/>
      <w:marLeft w:val="0"/>
      <w:marRight w:val="0"/>
      <w:marTop w:val="0"/>
      <w:marBottom w:val="0"/>
      <w:divBdr>
        <w:top w:val="none" w:sz="0" w:space="0" w:color="auto"/>
        <w:left w:val="none" w:sz="0" w:space="0" w:color="auto"/>
        <w:bottom w:val="none" w:sz="0" w:space="0" w:color="auto"/>
        <w:right w:val="none" w:sz="0" w:space="0" w:color="auto"/>
      </w:divBdr>
    </w:div>
    <w:div w:id="1181898596">
      <w:bodyDiv w:val="1"/>
      <w:marLeft w:val="0"/>
      <w:marRight w:val="0"/>
      <w:marTop w:val="0"/>
      <w:marBottom w:val="0"/>
      <w:divBdr>
        <w:top w:val="none" w:sz="0" w:space="0" w:color="auto"/>
        <w:left w:val="none" w:sz="0" w:space="0" w:color="auto"/>
        <w:bottom w:val="none" w:sz="0" w:space="0" w:color="auto"/>
        <w:right w:val="none" w:sz="0" w:space="0" w:color="auto"/>
      </w:divBdr>
    </w:div>
    <w:div w:id="1182161534">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2745299">
      <w:bodyDiv w:val="1"/>
      <w:marLeft w:val="0"/>
      <w:marRight w:val="0"/>
      <w:marTop w:val="0"/>
      <w:marBottom w:val="0"/>
      <w:divBdr>
        <w:top w:val="none" w:sz="0" w:space="0" w:color="auto"/>
        <w:left w:val="none" w:sz="0" w:space="0" w:color="auto"/>
        <w:bottom w:val="none" w:sz="0" w:space="0" w:color="auto"/>
        <w:right w:val="none" w:sz="0" w:space="0" w:color="auto"/>
      </w:divBdr>
    </w:div>
    <w:div w:id="1183666511">
      <w:bodyDiv w:val="1"/>
      <w:marLeft w:val="0"/>
      <w:marRight w:val="0"/>
      <w:marTop w:val="0"/>
      <w:marBottom w:val="0"/>
      <w:divBdr>
        <w:top w:val="none" w:sz="0" w:space="0" w:color="auto"/>
        <w:left w:val="none" w:sz="0" w:space="0" w:color="auto"/>
        <w:bottom w:val="none" w:sz="0" w:space="0" w:color="auto"/>
        <w:right w:val="none" w:sz="0" w:space="0" w:color="auto"/>
      </w:divBdr>
    </w:div>
    <w:div w:id="1183741492">
      <w:bodyDiv w:val="1"/>
      <w:marLeft w:val="0"/>
      <w:marRight w:val="0"/>
      <w:marTop w:val="0"/>
      <w:marBottom w:val="0"/>
      <w:divBdr>
        <w:top w:val="none" w:sz="0" w:space="0" w:color="auto"/>
        <w:left w:val="none" w:sz="0" w:space="0" w:color="auto"/>
        <w:bottom w:val="none" w:sz="0" w:space="0" w:color="auto"/>
        <w:right w:val="none" w:sz="0" w:space="0" w:color="auto"/>
      </w:divBdr>
    </w:div>
    <w:div w:id="1183937544">
      <w:bodyDiv w:val="1"/>
      <w:marLeft w:val="0"/>
      <w:marRight w:val="0"/>
      <w:marTop w:val="0"/>
      <w:marBottom w:val="0"/>
      <w:divBdr>
        <w:top w:val="none" w:sz="0" w:space="0" w:color="auto"/>
        <w:left w:val="none" w:sz="0" w:space="0" w:color="auto"/>
        <w:bottom w:val="none" w:sz="0" w:space="0" w:color="auto"/>
        <w:right w:val="none" w:sz="0" w:space="0" w:color="auto"/>
      </w:divBdr>
    </w:div>
    <w:div w:id="1183974642">
      <w:bodyDiv w:val="1"/>
      <w:marLeft w:val="0"/>
      <w:marRight w:val="0"/>
      <w:marTop w:val="0"/>
      <w:marBottom w:val="0"/>
      <w:divBdr>
        <w:top w:val="none" w:sz="0" w:space="0" w:color="auto"/>
        <w:left w:val="none" w:sz="0" w:space="0" w:color="auto"/>
        <w:bottom w:val="none" w:sz="0" w:space="0" w:color="auto"/>
        <w:right w:val="none" w:sz="0" w:space="0" w:color="auto"/>
      </w:divBdr>
    </w:div>
    <w:div w:id="1184052229">
      <w:bodyDiv w:val="1"/>
      <w:marLeft w:val="0"/>
      <w:marRight w:val="0"/>
      <w:marTop w:val="0"/>
      <w:marBottom w:val="0"/>
      <w:divBdr>
        <w:top w:val="none" w:sz="0" w:space="0" w:color="auto"/>
        <w:left w:val="none" w:sz="0" w:space="0" w:color="auto"/>
        <w:bottom w:val="none" w:sz="0" w:space="0" w:color="auto"/>
        <w:right w:val="none" w:sz="0" w:space="0" w:color="auto"/>
      </w:divBdr>
    </w:div>
    <w:div w:id="1184980166">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5286130">
      <w:bodyDiv w:val="1"/>
      <w:marLeft w:val="0"/>
      <w:marRight w:val="0"/>
      <w:marTop w:val="0"/>
      <w:marBottom w:val="0"/>
      <w:divBdr>
        <w:top w:val="none" w:sz="0" w:space="0" w:color="auto"/>
        <w:left w:val="none" w:sz="0" w:space="0" w:color="auto"/>
        <w:bottom w:val="none" w:sz="0" w:space="0" w:color="auto"/>
        <w:right w:val="none" w:sz="0" w:space="0" w:color="auto"/>
      </w:divBdr>
    </w:div>
    <w:div w:id="1185362262">
      <w:bodyDiv w:val="1"/>
      <w:marLeft w:val="0"/>
      <w:marRight w:val="0"/>
      <w:marTop w:val="0"/>
      <w:marBottom w:val="0"/>
      <w:divBdr>
        <w:top w:val="none" w:sz="0" w:space="0" w:color="auto"/>
        <w:left w:val="none" w:sz="0" w:space="0" w:color="auto"/>
        <w:bottom w:val="none" w:sz="0" w:space="0" w:color="auto"/>
        <w:right w:val="none" w:sz="0" w:space="0" w:color="auto"/>
      </w:divBdr>
    </w:div>
    <w:div w:id="1186021059">
      <w:bodyDiv w:val="1"/>
      <w:marLeft w:val="0"/>
      <w:marRight w:val="0"/>
      <w:marTop w:val="0"/>
      <w:marBottom w:val="0"/>
      <w:divBdr>
        <w:top w:val="none" w:sz="0" w:space="0" w:color="auto"/>
        <w:left w:val="none" w:sz="0" w:space="0" w:color="auto"/>
        <w:bottom w:val="none" w:sz="0" w:space="0" w:color="auto"/>
        <w:right w:val="none" w:sz="0" w:space="0" w:color="auto"/>
      </w:divBdr>
    </w:div>
    <w:div w:id="1186407848">
      <w:bodyDiv w:val="1"/>
      <w:marLeft w:val="0"/>
      <w:marRight w:val="0"/>
      <w:marTop w:val="0"/>
      <w:marBottom w:val="0"/>
      <w:divBdr>
        <w:top w:val="none" w:sz="0" w:space="0" w:color="auto"/>
        <w:left w:val="none" w:sz="0" w:space="0" w:color="auto"/>
        <w:bottom w:val="none" w:sz="0" w:space="0" w:color="auto"/>
        <w:right w:val="none" w:sz="0" w:space="0" w:color="auto"/>
      </w:divBdr>
    </w:div>
    <w:div w:id="1186484231">
      <w:bodyDiv w:val="1"/>
      <w:marLeft w:val="0"/>
      <w:marRight w:val="0"/>
      <w:marTop w:val="0"/>
      <w:marBottom w:val="0"/>
      <w:divBdr>
        <w:top w:val="none" w:sz="0" w:space="0" w:color="auto"/>
        <w:left w:val="none" w:sz="0" w:space="0" w:color="auto"/>
        <w:bottom w:val="none" w:sz="0" w:space="0" w:color="auto"/>
        <w:right w:val="none" w:sz="0" w:space="0" w:color="auto"/>
      </w:divBdr>
    </w:div>
    <w:div w:id="1186871726">
      <w:bodyDiv w:val="1"/>
      <w:marLeft w:val="0"/>
      <w:marRight w:val="0"/>
      <w:marTop w:val="0"/>
      <w:marBottom w:val="0"/>
      <w:divBdr>
        <w:top w:val="none" w:sz="0" w:space="0" w:color="auto"/>
        <w:left w:val="none" w:sz="0" w:space="0" w:color="auto"/>
        <w:bottom w:val="none" w:sz="0" w:space="0" w:color="auto"/>
        <w:right w:val="none" w:sz="0" w:space="0" w:color="auto"/>
      </w:divBdr>
    </w:div>
    <w:div w:id="1187403457">
      <w:bodyDiv w:val="1"/>
      <w:marLeft w:val="0"/>
      <w:marRight w:val="0"/>
      <w:marTop w:val="0"/>
      <w:marBottom w:val="0"/>
      <w:divBdr>
        <w:top w:val="none" w:sz="0" w:space="0" w:color="auto"/>
        <w:left w:val="none" w:sz="0" w:space="0" w:color="auto"/>
        <w:bottom w:val="none" w:sz="0" w:space="0" w:color="auto"/>
        <w:right w:val="none" w:sz="0" w:space="0" w:color="auto"/>
      </w:divBdr>
    </w:div>
    <w:div w:id="1187449684">
      <w:bodyDiv w:val="1"/>
      <w:marLeft w:val="0"/>
      <w:marRight w:val="0"/>
      <w:marTop w:val="0"/>
      <w:marBottom w:val="0"/>
      <w:divBdr>
        <w:top w:val="none" w:sz="0" w:space="0" w:color="auto"/>
        <w:left w:val="none" w:sz="0" w:space="0" w:color="auto"/>
        <w:bottom w:val="none" w:sz="0" w:space="0" w:color="auto"/>
        <w:right w:val="none" w:sz="0" w:space="0" w:color="auto"/>
      </w:divBdr>
    </w:div>
    <w:div w:id="1187478373">
      <w:bodyDiv w:val="1"/>
      <w:marLeft w:val="0"/>
      <w:marRight w:val="0"/>
      <w:marTop w:val="0"/>
      <w:marBottom w:val="0"/>
      <w:divBdr>
        <w:top w:val="none" w:sz="0" w:space="0" w:color="auto"/>
        <w:left w:val="none" w:sz="0" w:space="0" w:color="auto"/>
        <w:bottom w:val="none" w:sz="0" w:space="0" w:color="auto"/>
        <w:right w:val="none" w:sz="0" w:space="0" w:color="auto"/>
      </w:divBdr>
    </w:div>
    <w:div w:id="1187713355">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8566110">
      <w:bodyDiv w:val="1"/>
      <w:marLeft w:val="0"/>
      <w:marRight w:val="0"/>
      <w:marTop w:val="0"/>
      <w:marBottom w:val="0"/>
      <w:divBdr>
        <w:top w:val="none" w:sz="0" w:space="0" w:color="auto"/>
        <w:left w:val="none" w:sz="0" w:space="0" w:color="auto"/>
        <w:bottom w:val="none" w:sz="0" w:space="0" w:color="auto"/>
        <w:right w:val="none" w:sz="0" w:space="0" w:color="auto"/>
      </w:divBdr>
    </w:div>
    <w:div w:id="1188713347">
      <w:bodyDiv w:val="1"/>
      <w:marLeft w:val="0"/>
      <w:marRight w:val="0"/>
      <w:marTop w:val="0"/>
      <w:marBottom w:val="0"/>
      <w:divBdr>
        <w:top w:val="none" w:sz="0" w:space="0" w:color="auto"/>
        <w:left w:val="none" w:sz="0" w:space="0" w:color="auto"/>
        <w:bottom w:val="none" w:sz="0" w:space="0" w:color="auto"/>
        <w:right w:val="none" w:sz="0" w:space="0" w:color="auto"/>
      </w:divBdr>
    </w:div>
    <w:div w:id="1188718780">
      <w:bodyDiv w:val="1"/>
      <w:marLeft w:val="0"/>
      <w:marRight w:val="0"/>
      <w:marTop w:val="0"/>
      <w:marBottom w:val="0"/>
      <w:divBdr>
        <w:top w:val="none" w:sz="0" w:space="0" w:color="auto"/>
        <w:left w:val="none" w:sz="0" w:space="0" w:color="auto"/>
        <w:bottom w:val="none" w:sz="0" w:space="0" w:color="auto"/>
        <w:right w:val="none" w:sz="0" w:space="0" w:color="auto"/>
      </w:divBdr>
    </w:div>
    <w:div w:id="1189177289">
      <w:bodyDiv w:val="1"/>
      <w:marLeft w:val="0"/>
      <w:marRight w:val="0"/>
      <w:marTop w:val="0"/>
      <w:marBottom w:val="0"/>
      <w:divBdr>
        <w:top w:val="none" w:sz="0" w:space="0" w:color="auto"/>
        <w:left w:val="none" w:sz="0" w:space="0" w:color="auto"/>
        <w:bottom w:val="none" w:sz="0" w:space="0" w:color="auto"/>
        <w:right w:val="none" w:sz="0" w:space="0" w:color="auto"/>
      </w:divBdr>
    </w:div>
    <w:div w:id="1189635221">
      <w:bodyDiv w:val="1"/>
      <w:marLeft w:val="0"/>
      <w:marRight w:val="0"/>
      <w:marTop w:val="0"/>
      <w:marBottom w:val="0"/>
      <w:divBdr>
        <w:top w:val="none" w:sz="0" w:space="0" w:color="auto"/>
        <w:left w:val="none" w:sz="0" w:space="0" w:color="auto"/>
        <w:bottom w:val="none" w:sz="0" w:space="0" w:color="auto"/>
        <w:right w:val="none" w:sz="0" w:space="0" w:color="auto"/>
      </w:divBdr>
    </w:div>
    <w:div w:id="1189834682">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026474">
      <w:bodyDiv w:val="1"/>
      <w:marLeft w:val="0"/>
      <w:marRight w:val="0"/>
      <w:marTop w:val="0"/>
      <w:marBottom w:val="0"/>
      <w:divBdr>
        <w:top w:val="none" w:sz="0" w:space="0" w:color="auto"/>
        <w:left w:val="none" w:sz="0" w:space="0" w:color="auto"/>
        <w:bottom w:val="none" w:sz="0" w:space="0" w:color="auto"/>
        <w:right w:val="none" w:sz="0" w:space="0" w:color="auto"/>
      </w:divBdr>
    </w:div>
    <w:div w:id="1190098691">
      <w:bodyDiv w:val="1"/>
      <w:marLeft w:val="0"/>
      <w:marRight w:val="0"/>
      <w:marTop w:val="0"/>
      <w:marBottom w:val="0"/>
      <w:divBdr>
        <w:top w:val="none" w:sz="0" w:space="0" w:color="auto"/>
        <w:left w:val="none" w:sz="0" w:space="0" w:color="auto"/>
        <w:bottom w:val="none" w:sz="0" w:space="0" w:color="auto"/>
        <w:right w:val="none" w:sz="0" w:space="0" w:color="auto"/>
      </w:divBdr>
    </w:div>
    <w:div w:id="1190294755">
      <w:bodyDiv w:val="1"/>
      <w:marLeft w:val="0"/>
      <w:marRight w:val="0"/>
      <w:marTop w:val="0"/>
      <w:marBottom w:val="0"/>
      <w:divBdr>
        <w:top w:val="none" w:sz="0" w:space="0" w:color="auto"/>
        <w:left w:val="none" w:sz="0" w:space="0" w:color="auto"/>
        <w:bottom w:val="none" w:sz="0" w:space="0" w:color="auto"/>
        <w:right w:val="none" w:sz="0" w:space="0" w:color="auto"/>
      </w:divBdr>
    </w:div>
    <w:div w:id="1190488542">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1334558">
      <w:bodyDiv w:val="1"/>
      <w:marLeft w:val="0"/>
      <w:marRight w:val="0"/>
      <w:marTop w:val="0"/>
      <w:marBottom w:val="0"/>
      <w:divBdr>
        <w:top w:val="none" w:sz="0" w:space="0" w:color="auto"/>
        <w:left w:val="none" w:sz="0" w:space="0" w:color="auto"/>
        <w:bottom w:val="none" w:sz="0" w:space="0" w:color="auto"/>
        <w:right w:val="none" w:sz="0" w:space="0" w:color="auto"/>
      </w:divBdr>
    </w:div>
    <w:div w:id="1191915790">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3151908">
      <w:bodyDiv w:val="1"/>
      <w:marLeft w:val="0"/>
      <w:marRight w:val="0"/>
      <w:marTop w:val="0"/>
      <w:marBottom w:val="0"/>
      <w:divBdr>
        <w:top w:val="none" w:sz="0" w:space="0" w:color="auto"/>
        <w:left w:val="none" w:sz="0" w:space="0" w:color="auto"/>
        <w:bottom w:val="none" w:sz="0" w:space="0" w:color="auto"/>
        <w:right w:val="none" w:sz="0" w:space="0" w:color="auto"/>
      </w:divBdr>
    </w:div>
    <w:div w:id="1193377158">
      <w:bodyDiv w:val="1"/>
      <w:marLeft w:val="0"/>
      <w:marRight w:val="0"/>
      <w:marTop w:val="0"/>
      <w:marBottom w:val="0"/>
      <w:divBdr>
        <w:top w:val="none" w:sz="0" w:space="0" w:color="auto"/>
        <w:left w:val="none" w:sz="0" w:space="0" w:color="auto"/>
        <w:bottom w:val="none" w:sz="0" w:space="0" w:color="auto"/>
        <w:right w:val="none" w:sz="0" w:space="0" w:color="auto"/>
      </w:divBdr>
    </w:div>
    <w:div w:id="1193881114">
      <w:bodyDiv w:val="1"/>
      <w:marLeft w:val="0"/>
      <w:marRight w:val="0"/>
      <w:marTop w:val="0"/>
      <w:marBottom w:val="0"/>
      <w:divBdr>
        <w:top w:val="none" w:sz="0" w:space="0" w:color="auto"/>
        <w:left w:val="none" w:sz="0" w:space="0" w:color="auto"/>
        <w:bottom w:val="none" w:sz="0" w:space="0" w:color="auto"/>
        <w:right w:val="none" w:sz="0" w:space="0" w:color="auto"/>
      </w:divBdr>
    </w:div>
    <w:div w:id="1193953058">
      <w:bodyDiv w:val="1"/>
      <w:marLeft w:val="0"/>
      <w:marRight w:val="0"/>
      <w:marTop w:val="0"/>
      <w:marBottom w:val="0"/>
      <w:divBdr>
        <w:top w:val="none" w:sz="0" w:space="0" w:color="auto"/>
        <w:left w:val="none" w:sz="0" w:space="0" w:color="auto"/>
        <w:bottom w:val="none" w:sz="0" w:space="0" w:color="auto"/>
        <w:right w:val="none" w:sz="0" w:space="0" w:color="auto"/>
      </w:divBdr>
    </w:div>
    <w:div w:id="1194031471">
      <w:bodyDiv w:val="1"/>
      <w:marLeft w:val="0"/>
      <w:marRight w:val="0"/>
      <w:marTop w:val="0"/>
      <w:marBottom w:val="0"/>
      <w:divBdr>
        <w:top w:val="none" w:sz="0" w:space="0" w:color="auto"/>
        <w:left w:val="none" w:sz="0" w:space="0" w:color="auto"/>
        <w:bottom w:val="none" w:sz="0" w:space="0" w:color="auto"/>
        <w:right w:val="none" w:sz="0" w:space="0" w:color="auto"/>
      </w:divBdr>
    </w:div>
    <w:div w:id="1194075547">
      <w:bodyDiv w:val="1"/>
      <w:marLeft w:val="0"/>
      <w:marRight w:val="0"/>
      <w:marTop w:val="0"/>
      <w:marBottom w:val="0"/>
      <w:divBdr>
        <w:top w:val="none" w:sz="0" w:space="0" w:color="auto"/>
        <w:left w:val="none" w:sz="0" w:space="0" w:color="auto"/>
        <w:bottom w:val="none" w:sz="0" w:space="0" w:color="auto"/>
        <w:right w:val="none" w:sz="0" w:space="0" w:color="auto"/>
      </w:divBdr>
    </w:div>
    <w:div w:id="1194465076">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4540080">
      <w:bodyDiv w:val="1"/>
      <w:marLeft w:val="0"/>
      <w:marRight w:val="0"/>
      <w:marTop w:val="0"/>
      <w:marBottom w:val="0"/>
      <w:divBdr>
        <w:top w:val="none" w:sz="0" w:space="0" w:color="auto"/>
        <w:left w:val="none" w:sz="0" w:space="0" w:color="auto"/>
        <w:bottom w:val="none" w:sz="0" w:space="0" w:color="auto"/>
        <w:right w:val="none" w:sz="0" w:space="0" w:color="auto"/>
      </w:divBdr>
    </w:div>
    <w:div w:id="1194684921">
      <w:bodyDiv w:val="1"/>
      <w:marLeft w:val="0"/>
      <w:marRight w:val="0"/>
      <w:marTop w:val="0"/>
      <w:marBottom w:val="0"/>
      <w:divBdr>
        <w:top w:val="none" w:sz="0" w:space="0" w:color="auto"/>
        <w:left w:val="none" w:sz="0" w:space="0" w:color="auto"/>
        <w:bottom w:val="none" w:sz="0" w:space="0" w:color="auto"/>
        <w:right w:val="none" w:sz="0" w:space="0" w:color="auto"/>
      </w:divBdr>
    </w:div>
    <w:div w:id="1194805537">
      <w:bodyDiv w:val="1"/>
      <w:marLeft w:val="0"/>
      <w:marRight w:val="0"/>
      <w:marTop w:val="0"/>
      <w:marBottom w:val="0"/>
      <w:divBdr>
        <w:top w:val="none" w:sz="0" w:space="0" w:color="auto"/>
        <w:left w:val="none" w:sz="0" w:space="0" w:color="auto"/>
        <w:bottom w:val="none" w:sz="0" w:space="0" w:color="auto"/>
        <w:right w:val="none" w:sz="0" w:space="0" w:color="auto"/>
      </w:divBdr>
    </w:div>
    <w:div w:id="1194806339">
      <w:bodyDiv w:val="1"/>
      <w:marLeft w:val="0"/>
      <w:marRight w:val="0"/>
      <w:marTop w:val="0"/>
      <w:marBottom w:val="0"/>
      <w:divBdr>
        <w:top w:val="none" w:sz="0" w:space="0" w:color="auto"/>
        <w:left w:val="none" w:sz="0" w:space="0" w:color="auto"/>
        <w:bottom w:val="none" w:sz="0" w:space="0" w:color="auto"/>
        <w:right w:val="none" w:sz="0" w:space="0" w:color="auto"/>
      </w:divBdr>
    </w:div>
    <w:div w:id="1195115021">
      <w:bodyDiv w:val="1"/>
      <w:marLeft w:val="0"/>
      <w:marRight w:val="0"/>
      <w:marTop w:val="0"/>
      <w:marBottom w:val="0"/>
      <w:divBdr>
        <w:top w:val="none" w:sz="0" w:space="0" w:color="auto"/>
        <w:left w:val="none" w:sz="0" w:space="0" w:color="auto"/>
        <w:bottom w:val="none" w:sz="0" w:space="0" w:color="auto"/>
        <w:right w:val="none" w:sz="0" w:space="0" w:color="auto"/>
      </w:divBdr>
    </w:div>
    <w:div w:id="1195386428">
      <w:bodyDiv w:val="1"/>
      <w:marLeft w:val="0"/>
      <w:marRight w:val="0"/>
      <w:marTop w:val="0"/>
      <w:marBottom w:val="0"/>
      <w:divBdr>
        <w:top w:val="none" w:sz="0" w:space="0" w:color="auto"/>
        <w:left w:val="none" w:sz="0" w:space="0" w:color="auto"/>
        <w:bottom w:val="none" w:sz="0" w:space="0" w:color="auto"/>
        <w:right w:val="none" w:sz="0" w:space="0" w:color="auto"/>
      </w:divBdr>
    </w:div>
    <w:div w:id="1195390432">
      <w:bodyDiv w:val="1"/>
      <w:marLeft w:val="0"/>
      <w:marRight w:val="0"/>
      <w:marTop w:val="0"/>
      <w:marBottom w:val="0"/>
      <w:divBdr>
        <w:top w:val="none" w:sz="0" w:space="0" w:color="auto"/>
        <w:left w:val="none" w:sz="0" w:space="0" w:color="auto"/>
        <w:bottom w:val="none" w:sz="0" w:space="0" w:color="auto"/>
        <w:right w:val="none" w:sz="0" w:space="0" w:color="auto"/>
      </w:divBdr>
    </w:div>
    <w:div w:id="1195456891">
      <w:bodyDiv w:val="1"/>
      <w:marLeft w:val="0"/>
      <w:marRight w:val="0"/>
      <w:marTop w:val="0"/>
      <w:marBottom w:val="0"/>
      <w:divBdr>
        <w:top w:val="none" w:sz="0" w:space="0" w:color="auto"/>
        <w:left w:val="none" w:sz="0" w:space="0" w:color="auto"/>
        <w:bottom w:val="none" w:sz="0" w:space="0" w:color="auto"/>
        <w:right w:val="none" w:sz="0" w:space="0" w:color="auto"/>
      </w:divBdr>
    </w:div>
    <w:div w:id="1195575845">
      <w:bodyDiv w:val="1"/>
      <w:marLeft w:val="0"/>
      <w:marRight w:val="0"/>
      <w:marTop w:val="0"/>
      <w:marBottom w:val="0"/>
      <w:divBdr>
        <w:top w:val="none" w:sz="0" w:space="0" w:color="auto"/>
        <w:left w:val="none" w:sz="0" w:space="0" w:color="auto"/>
        <w:bottom w:val="none" w:sz="0" w:space="0" w:color="auto"/>
        <w:right w:val="none" w:sz="0" w:space="0" w:color="auto"/>
      </w:divBdr>
    </w:div>
    <w:div w:id="1195845310">
      <w:bodyDiv w:val="1"/>
      <w:marLeft w:val="0"/>
      <w:marRight w:val="0"/>
      <w:marTop w:val="0"/>
      <w:marBottom w:val="0"/>
      <w:divBdr>
        <w:top w:val="none" w:sz="0" w:space="0" w:color="auto"/>
        <w:left w:val="none" w:sz="0" w:space="0" w:color="auto"/>
        <w:bottom w:val="none" w:sz="0" w:space="0" w:color="auto"/>
        <w:right w:val="none" w:sz="0" w:space="0" w:color="auto"/>
      </w:divBdr>
    </w:div>
    <w:div w:id="1196231980">
      <w:bodyDiv w:val="1"/>
      <w:marLeft w:val="0"/>
      <w:marRight w:val="0"/>
      <w:marTop w:val="0"/>
      <w:marBottom w:val="0"/>
      <w:divBdr>
        <w:top w:val="none" w:sz="0" w:space="0" w:color="auto"/>
        <w:left w:val="none" w:sz="0" w:space="0" w:color="auto"/>
        <w:bottom w:val="none" w:sz="0" w:space="0" w:color="auto"/>
        <w:right w:val="none" w:sz="0" w:space="0" w:color="auto"/>
      </w:divBdr>
    </w:div>
    <w:div w:id="1196387086">
      <w:bodyDiv w:val="1"/>
      <w:marLeft w:val="0"/>
      <w:marRight w:val="0"/>
      <w:marTop w:val="0"/>
      <w:marBottom w:val="0"/>
      <w:divBdr>
        <w:top w:val="none" w:sz="0" w:space="0" w:color="auto"/>
        <w:left w:val="none" w:sz="0" w:space="0" w:color="auto"/>
        <w:bottom w:val="none" w:sz="0" w:space="0" w:color="auto"/>
        <w:right w:val="none" w:sz="0" w:space="0" w:color="auto"/>
      </w:divBdr>
    </w:div>
    <w:div w:id="1196649585">
      <w:bodyDiv w:val="1"/>
      <w:marLeft w:val="0"/>
      <w:marRight w:val="0"/>
      <w:marTop w:val="0"/>
      <w:marBottom w:val="0"/>
      <w:divBdr>
        <w:top w:val="none" w:sz="0" w:space="0" w:color="auto"/>
        <w:left w:val="none" w:sz="0" w:space="0" w:color="auto"/>
        <w:bottom w:val="none" w:sz="0" w:space="0" w:color="auto"/>
        <w:right w:val="none" w:sz="0" w:space="0" w:color="auto"/>
      </w:divBdr>
    </w:div>
    <w:div w:id="1196649862">
      <w:bodyDiv w:val="1"/>
      <w:marLeft w:val="0"/>
      <w:marRight w:val="0"/>
      <w:marTop w:val="0"/>
      <w:marBottom w:val="0"/>
      <w:divBdr>
        <w:top w:val="none" w:sz="0" w:space="0" w:color="auto"/>
        <w:left w:val="none" w:sz="0" w:space="0" w:color="auto"/>
        <w:bottom w:val="none" w:sz="0" w:space="0" w:color="auto"/>
        <w:right w:val="none" w:sz="0" w:space="0" w:color="auto"/>
      </w:divBdr>
    </w:div>
    <w:div w:id="1197347888">
      <w:bodyDiv w:val="1"/>
      <w:marLeft w:val="0"/>
      <w:marRight w:val="0"/>
      <w:marTop w:val="0"/>
      <w:marBottom w:val="0"/>
      <w:divBdr>
        <w:top w:val="none" w:sz="0" w:space="0" w:color="auto"/>
        <w:left w:val="none" w:sz="0" w:space="0" w:color="auto"/>
        <w:bottom w:val="none" w:sz="0" w:space="0" w:color="auto"/>
        <w:right w:val="none" w:sz="0" w:space="0" w:color="auto"/>
      </w:divBdr>
    </w:div>
    <w:div w:id="1197349507">
      <w:bodyDiv w:val="1"/>
      <w:marLeft w:val="0"/>
      <w:marRight w:val="0"/>
      <w:marTop w:val="0"/>
      <w:marBottom w:val="0"/>
      <w:divBdr>
        <w:top w:val="none" w:sz="0" w:space="0" w:color="auto"/>
        <w:left w:val="none" w:sz="0" w:space="0" w:color="auto"/>
        <w:bottom w:val="none" w:sz="0" w:space="0" w:color="auto"/>
        <w:right w:val="none" w:sz="0" w:space="0" w:color="auto"/>
      </w:divBdr>
    </w:div>
    <w:div w:id="1197743130">
      <w:bodyDiv w:val="1"/>
      <w:marLeft w:val="0"/>
      <w:marRight w:val="0"/>
      <w:marTop w:val="0"/>
      <w:marBottom w:val="0"/>
      <w:divBdr>
        <w:top w:val="none" w:sz="0" w:space="0" w:color="auto"/>
        <w:left w:val="none" w:sz="0" w:space="0" w:color="auto"/>
        <w:bottom w:val="none" w:sz="0" w:space="0" w:color="auto"/>
        <w:right w:val="none" w:sz="0" w:space="0" w:color="auto"/>
      </w:divBdr>
    </w:div>
    <w:div w:id="1197767722">
      <w:bodyDiv w:val="1"/>
      <w:marLeft w:val="0"/>
      <w:marRight w:val="0"/>
      <w:marTop w:val="0"/>
      <w:marBottom w:val="0"/>
      <w:divBdr>
        <w:top w:val="none" w:sz="0" w:space="0" w:color="auto"/>
        <w:left w:val="none" w:sz="0" w:space="0" w:color="auto"/>
        <w:bottom w:val="none" w:sz="0" w:space="0" w:color="auto"/>
        <w:right w:val="none" w:sz="0" w:space="0" w:color="auto"/>
      </w:divBdr>
    </w:div>
    <w:div w:id="1197891871">
      <w:bodyDiv w:val="1"/>
      <w:marLeft w:val="0"/>
      <w:marRight w:val="0"/>
      <w:marTop w:val="0"/>
      <w:marBottom w:val="0"/>
      <w:divBdr>
        <w:top w:val="none" w:sz="0" w:space="0" w:color="auto"/>
        <w:left w:val="none" w:sz="0" w:space="0" w:color="auto"/>
        <w:bottom w:val="none" w:sz="0" w:space="0" w:color="auto"/>
        <w:right w:val="none" w:sz="0" w:space="0" w:color="auto"/>
      </w:divBdr>
    </w:div>
    <w:div w:id="1198346644">
      <w:bodyDiv w:val="1"/>
      <w:marLeft w:val="0"/>
      <w:marRight w:val="0"/>
      <w:marTop w:val="0"/>
      <w:marBottom w:val="0"/>
      <w:divBdr>
        <w:top w:val="none" w:sz="0" w:space="0" w:color="auto"/>
        <w:left w:val="none" w:sz="0" w:space="0" w:color="auto"/>
        <w:bottom w:val="none" w:sz="0" w:space="0" w:color="auto"/>
        <w:right w:val="none" w:sz="0" w:space="0" w:color="auto"/>
      </w:divBdr>
    </w:div>
    <w:div w:id="1198349767">
      <w:bodyDiv w:val="1"/>
      <w:marLeft w:val="0"/>
      <w:marRight w:val="0"/>
      <w:marTop w:val="0"/>
      <w:marBottom w:val="0"/>
      <w:divBdr>
        <w:top w:val="none" w:sz="0" w:space="0" w:color="auto"/>
        <w:left w:val="none" w:sz="0" w:space="0" w:color="auto"/>
        <w:bottom w:val="none" w:sz="0" w:space="0" w:color="auto"/>
        <w:right w:val="none" w:sz="0" w:space="0" w:color="auto"/>
      </w:divBdr>
    </w:div>
    <w:div w:id="1198741685">
      <w:bodyDiv w:val="1"/>
      <w:marLeft w:val="0"/>
      <w:marRight w:val="0"/>
      <w:marTop w:val="0"/>
      <w:marBottom w:val="0"/>
      <w:divBdr>
        <w:top w:val="none" w:sz="0" w:space="0" w:color="auto"/>
        <w:left w:val="none" w:sz="0" w:space="0" w:color="auto"/>
        <w:bottom w:val="none" w:sz="0" w:space="0" w:color="auto"/>
        <w:right w:val="none" w:sz="0" w:space="0" w:color="auto"/>
      </w:divBdr>
    </w:div>
    <w:div w:id="1199201503">
      <w:bodyDiv w:val="1"/>
      <w:marLeft w:val="0"/>
      <w:marRight w:val="0"/>
      <w:marTop w:val="0"/>
      <w:marBottom w:val="0"/>
      <w:divBdr>
        <w:top w:val="none" w:sz="0" w:space="0" w:color="auto"/>
        <w:left w:val="none" w:sz="0" w:space="0" w:color="auto"/>
        <w:bottom w:val="none" w:sz="0" w:space="0" w:color="auto"/>
        <w:right w:val="none" w:sz="0" w:space="0" w:color="auto"/>
      </w:divBdr>
    </w:div>
    <w:div w:id="1199316312">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783420">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0045069">
      <w:bodyDiv w:val="1"/>
      <w:marLeft w:val="0"/>
      <w:marRight w:val="0"/>
      <w:marTop w:val="0"/>
      <w:marBottom w:val="0"/>
      <w:divBdr>
        <w:top w:val="none" w:sz="0" w:space="0" w:color="auto"/>
        <w:left w:val="none" w:sz="0" w:space="0" w:color="auto"/>
        <w:bottom w:val="none" w:sz="0" w:space="0" w:color="auto"/>
        <w:right w:val="none" w:sz="0" w:space="0" w:color="auto"/>
      </w:divBdr>
    </w:div>
    <w:div w:id="1200170033">
      <w:bodyDiv w:val="1"/>
      <w:marLeft w:val="0"/>
      <w:marRight w:val="0"/>
      <w:marTop w:val="0"/>
      <w:marBottom w:val="0"/>
      <w:divBdr>
        <w:top w:val="none" w:sz="0" w:space="0" w:color="auto"/>
        <w:left w:val="none" w:sz="0" w:space="0" w:color="auto"/>
        <w:bottom w:val="none" w:sz="0" w:space="0" w:color="auto"/>
        <w:right w:val="none" w:sz="0" w:space="0" w:color="auto"/>
      </w:divBdr>
    </w:div>
    <w:div w:id="1200631303">
      <w:bodyDiv w:val="1"/>
      <w:marLeft w:val="0"/>
      <w:marRight w:val="0"/>
      <w:marTop w:val="0"/>
      <w:marBottom w:val="0"/>
      <w:divBdr>
        <w:top w:val="none" w:sz="0" w:space="0" w:color="auto"/>
        <w:left w:val="none" w:sz="0" w:space="0" w:color="auto"/>
        <w:bottom w:val="none" w:sz="0" w:space="0" w:color="auto"/>
        <w:right w:val="none" w:sz="0" w:space="0" w:color="auto"/>
      </w:divBdr>
    </w:div>
    <w:div w:id="1200824074">
      <w:bodyDiv w:val="1"/>
      <w:marLeft w:val="0"/>
      <w:marRight w:val="0"/>
      <w:marTop w:val="0"/>
      <w:marBottom w:val="0"/>
      <w:divBdr>
        <w:top w:val="none" w:sz="0" w:space="0" w:color="auto"/>
        <w:left w:val="none" w:sz="0" w:space="0" w:color="auto"/>
        <w:bottom w:val="none" w:sz="0" w:space="0" w:color="auto"/>
        <w:right w:val="none" w:sz="0" w:space="0" w:color="auto"/>
      </w:divBdr>
    </w:div>
    <w:div w:id="1201168445">
      <w:bodyDiv w:val="1"/>
      <w:marLeft w:val="0"/>
      <w:marRight w:val="0"/>
      <w:marTop w:val="0"/>
      <w:marBottom w:val="0"/>
      <w:divBdr>
        <w:top w:val="none" w:sz="0" w:space="0" w:color="auto"/>
        <w:left w:val="none" w:sz="0" w:space="0" w:color="auto"/>
        <w:bottom w:val="none" w:sz="0" w:space="0" w:color="auto"/>
        <w:right w:val="none" w:sz="0" w:space="0" w:color="auto"/>
      </w:divBdr>
    </w:div>
    <w:div w:id="1201169959">
      <w:bodyDiv w:val="1"/>
      <w:marLeft w:val="0"/>
      <w:marRight w:val="0"/>
      <w:marTop w:val="0"/>
      <w:marBottom w:val="0"/>
      <w:divBdr>
        <w:top w:val="none" w:sz="0" w:space="0" w:color="auto"/>
        <w:left w:val="none" w:sz="0" w:space="0" w:color="auto"/>
        <w:bottom w:val="none" w:sz="0" w:space="0" w:color="auto"/>
        <w:right w:val="none" w:sz="0" w:space="0" w:color="auto"/>
      </w:divBdr>
    </w:div>
    <w:div w:id="1201818766">
      <w:bodyDiv w:val="1"/>
      <w:marLeft w:val="0"/>
      <w:marRight w:val="0"/>
      <w:marTop w:val="0"/>
      <w:marBottom w:val="0"/>
      <w:divBdr>
        <w:top w:val="none" w:sz="0" w:space="0" w:color="auto"/>
        <w:left w:val="none" w:sz="0" w:space="0" w:color="auto"/>
        <w:bottom w:val="none" w:sz="0" w:space="0" w:color="auto"/>
        <w:right w:val="none" w:sz="0" w:space="0" w:color="auto"/>
      </w:divBdr>
    </w:div>
    <w:div w:id="1201896143">
      <w:bodyDiv w:val="1"/>
      <w:marLeft w:val="0"/>
      <w:marRight w:val="0"/>
      <w:marTop w:val="0"/>
      <w:marBottom w:val="0"/>
      <w:divBdr>
        <w:top w:val="none" w:sz="0" w:space="0" w:color="auto"/>
        <w:left w:val="none" w:sz="0" w:space="0" w:color="auto"/>
        <w:bottom w:val="none" w:sz="0" w:space="0" w:color="auto"/>
        <w:right w:val="none" w:sz="0" w:space="0" w:color="auto"/>
      </w:divBdr>
    </w:div>
    <w:div w:id="1201942009">
      <w:bodyDiv w:val="1"/>
      <w:marLeft w:val="0"/>
      <w:marRight w:val="0"/>
      <w:marTop w:val="0"/>
      <w:marBottom w:val="0"/>
      <w:divBdr>
        <w:top w:val="none" w:sz="0" w:space="0" w:color="auto"/>
        <w:left w:val="none" w:sz="0" w:space="0" w:color="auto"/>
        <w:bottom w:val="none" w:sz="0" w:space="0" w:color="auto"/>
        <w:right w:val="none" w:sz="0" w:space="0" w:color="auto"/>
      </w:divBdr>
    </w:div>
    <w:div w:id="1203051641">
      <w:bodyDiv w:val="1"/>
      <w:marLeft w:val="0"/>
      <w:marRight w:val="0"/>
      <w:marTop w:val="0"/>
      <w:marBottom w:val="0"/>
      <w:divBdr>
        <w:top w:val="none" w:sz="0" w:space="0" w:color="auto"/>
        <w:left w:val="none" w:sz="0" w:space="0" w:color="auto"/>
        <w:bottom w:val="none" w:sz="0" w:space="0" w:color="auto"/>
        <w:right w:val="none" w:sz="0" w:space="0" w:color="auto"/>
      </w:divBdr>
    </w:div>
    <w:div w:id="1203398618">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3640836">
      <w:bodyDiv w:val="1"/>
      <w:marLeft w:val="0"/>
      <w:marRight w:val="0"/>
      <w:marTop w:val="0"/>
      <w:marBottom w:val="0"/>
      <w:divBdr>
        <w:top w:val="none" w:sz="0" w:space="0" w:color="auto"/>
        <w:left w:val="none" w:sz="0" w:space="0" w:color="auto"/>
        <w:bottom w:val="none" w:sz="0" w:space="0" w:color="auto"/>
        <w:right w:val="none" w:sz="0" w:space="0" w:color="auto"/>
      </w:divBdr>
    </w:div>
    <w:div w:id="1203785181">
      <w:bodyDiv w:val="1"/>
      <w:marLeft w:val="0"/>
      <w:marRight w:val="0"/>
      <w:marTop w:val="0"/>
      <w:marBottom w:val="0"/>
      <w:divBdr>
        <w:top w:val="none" w:sz="0" w:space="0" w:color="auto"/>
        <w:left w:val="none" w:sz="0" w:space="0" w:color="auto"/>
        <w:bottom w:val="none" w:sz="0" w:space="0" w:color="auto"/>
        <w:right w:val="none" w:sz="0" w:space="0" w:color="auto"/>
      </w:divBdr>
    </w:div>
    <w:div w:id="1204098923">
      <w:bodyDiv w:val="1"/>
      <w:marLeft w:val="0"/>
      <w:marRight w:val="0"/>
      <w:marTop w:val="0"/>
      <w:marBottom w:val="0"/>
      <w:divBdr>
        <w:top w:val="none" w:sz="0" w:space="0" w:color="auto"/>
        <w:left w:val="none" w:sz="0" w:space="0" w:color="auto"/>
        <w:bottom w:val="none" w:sz="0" w:space="0" w:color="auto"/>
        <w:right w:val="none" w:sz="0" w:space="0" w:color="auto"/>
      </w:divBdr>
    </w:div>
    <w:div w:id="1204439622">
      <w:bodyDiv w:val="1"/>
      <w:marLeft w:val="0"/>
      <w:marRight w:val="0"/>
      <w:marTop w:val="0"/>
      <w:marBottom w:val="0"/>
      <w:divBdr>
        <w:top w:val="none" w:sz="0" w:space="0" w:color="auto"/>
        <w:left w:val="none" w:sz="0" w:space="0" w:color="auto"/>
        <w:bottom w:val="none" w:sz="0" w:space="0" w:color="auto"/>
        <w:right w:val="none" w:sz="0" w:space="0" w:color="auto"/>
      </w:divBdr>
    </w:div>
    <w:div w:id="1204707078">
      <w:bodyDiv w:val="1"/>
      <w:marLeft w:val="0"/>
      <w:marRight w:val="0"/>
      <w:marTop w:val="0"/>
      <w:marBottom w:val="0"/>
      <w:divBdr>
        <w:top w:val="none" w:sz="0" w:space="0" w:color="auto"/>
        <w:left w:val="none" w:sz="0" w:space="0" w:color="auto"/>
        <w:bottom w:val="none" w:sz="0" w:space="0" w:color="auto"/>
        <w:right w:val="none" w:sz="0" w:space="0" w:color="auto"/>
      </w:divBdr>
    </w:div>
    <w:div w:id="1204833169">
      <w:bodyDiv w:val="1"/>
      <w:marLeft w:val="0"/>
      <w:marRight w:val="0"/>
      <w:marTop w:val="0"/>
      <w:marBottom w:val="0"/>
      <w:divBdr>
        <w:top w:val="none" w:sz="0" w:space="0" w:color="auto"/>
        <w:left w:val="none" w:sz="0" w:space="0" w:color="auto"/>
        <w:bottom w:val="none" w:sz="0" w:space="0" w:color="auto"/>
        <w:right w:val="none" w:sz="0" w:space="0" w:color="auto"/>
      </w:divBdr>
    </w:div>
    <w:div w:id="1205170170">
      <w:bodyDiv w:val="1"/>
      <w:marLeft w:val="0"/>
      <w:marRight w:val="0"/>
      <w:marTop w:val="0"/>
      <w:marBottom w:val="0"/>
      <w:divBdr>
        <w:top w:val="none" w:sz="0" w:space="0" w:color="auto"/>
        <w:left w:val="none" w:sz="0" w:space="0" w:color="auto"/>
        <w:bottom w:val="none" w:sz="0" w:space="0" w:color="auto"/>
        <w:right w:val="none" w:sz="0" w:space="0" w:color="auto"/>
      </w:divBdr>
    </w:div>
    <w:div w:id="1205290765">
      <w:bodyDiv w:val="1"/>
      <w:marLeft w:val="0"/>
      <w:marRight w:val="0"/>
      <w:marTop w:val="0"/>
      <w:marBottom w:val="0"/>
      <w:divBdr>
        <w:top w:val="none" w:sz="0" w:space="0" w:color="auto"/>
        <w:left w:val="none" w:sz="0" w:space="0" w:color="auto"/>
        <w:bottom w:val="none" w:sz="0" w:space="0" w:color="auto"/>
        <w:right w:val="none" w:sz="0" w:space="0" w:color="auto"/>
      </w:divBdr>
    </w:div>
    <w:div w:id="1205482358">
      <w:bodyDiv w:val="1"/>
      <w:marLeft w:val="0"/>
      <w:marRight w:val="0"/>
      <w:marTop w:val="0"/>
      <w:marBottom w:val="0"/>
      <w:divBdr>
        <w:top w:val="none" w:sz="0" w:space="0" w:color="auto"/>
        <w:left w:val="none" w:sz="0" w:space="0" w:color="auto"/>
        <w:bottom w:val="none" w:sz="0" w:space="0" w:color="auto"/>
        <w:right w:val="none" w:sz="0" w:space="0" w:color="auto"/>
      </w:divBdr>
    </w:div>
    <w:div w:id="1205748233">
      <w:bodyDiv w:val="1"/>
      <w:marLeft w:val="0"/>
      <w:marRight w:val="0"/>
      <w:marTop w:val="0"/>
      <w:marBottom w:val="0"/>
      <w:divBdr>
        <w:top w:val="none" w:sz="0" w:space="0" w:color="auto"/>
        <w:left w:val="none" w:sz="0" w:space="0" w:color="auto"/>
        <w:bottom w:val="none" w:sz="0" w:space="0" w:color="auto"/>
        <w:right w:val="none" w:sz="0" w:space="0" w:color="auto"/>
      </w:divBdr>
    </w:div>
    <w:div w:id="1205826511">
      <w:bodyDiv w:val="1"/>
      <w:marLeft w:val="0"/>
      <w:marRight w:val="0"/>
      <w:marTop w:val="0"/>
      <w:marBottom w:val="0"/>
      <w:divBdr>
        <w:top w:val="none" w:sz="0" w:space="0" w:color="auto"/>
        <w:left w:val="none" w:sz="0" w:space="0" w:color="auto"/>
        <w:bottom w:val="none" w:sz="0" w:space="0" w:color="auto"/>
        <w:right w:val="none" w:sz="0" w:space="0" w:color="auto"/>
      </w:divBdr>
    </w:div>
    <w:div w:id="1205947010">
      <w:bodyDiv w:val="1"/>
      <w:marLeft w:val="0"/>
      <w:marRight w:val="0"/>
      <w:marTop w:val="0"/>
      <w:marBottom w:val="0"/>
      <w:divBdr>
        <w:top w:val="none" w:sz="0" w:space="0" w:color="auto"/>
        <w:left w:val="none" w:sz="0" w:space="0" w:color="auto"/>
        <w:bottom w:val="none" w:sz="0" w:space="0" w:color="auto"/>
        <w:right w:val="none" w:sz="0" w:space="0" w:color="auto"/>
      </w:divBdr>
    </w:div>
    <w:div w:id="1206068058">
      <w:bodyDiv w:val="1"/>
      <w:marLeft w:val="0"/>
      <w:marRight w:val="0"/>
      <w:marTop w:val="0"/>
      <w:marBottom w:val="0"/>
      <w:divBdr>
        <w:top w:val="none" w:sz="0" w:space="0" w:color="auto"/>
        <w:left w:val="none" w:sz="0" w:space="0" w:color="auto"/>
        <w:bottom w:val="none" w:sz="0" w:space="0" w:color="auto"/>
        <w:right w:val="none" w:sz="0" w:space="0" w:color="auto"/>
      </w:divBdr>
    </w:div>
    <w:div w:id="1206211130">
      <w:bodyDiv w:val="1"/>
      <w:marLeft w:val="0"/>
      <w:marRight w:val="0"/>
      <w:marTop w:val="0"/>
      <w:marBottom w:val="0"/>
      <w:divBdr>
        <w:top w:val="none" w:sz="0" w:space="0" w:color="auto"/>
        <w:left w:val="none" w:sz="0" w:space="0" w:color="auto"/>
        <w:bottom w:val="none" w:sz="0" w:space="0" w:color="auto"/>
        <w:right w:val="none" w:sz="0" w:space="0" w:color="auto"/>
      </w:divBdr>
    </w:div>
    <w:div w:id="1206287759">
      <w:bodyDiv w:val="1"/>
      <w:marLeft w:val="0"/>
      <w:marRight w:val="0"/>
      <w:marTop w:val="0"/>
      <w:marBottom w:val="0"/>
      <w:divBdr>
        <w:top w:val="none" w:sz="0" w:space="0" w:color="auto"/>
        <w:left w:val="none" w:sz="0" w:space="0" w:color="auto"/>
        <w:bottom w:val="none" w:sz="0" w:space="0" w:color="auto"/>
        <w:right w:val="none" w:sz="0" w:space="0" w:color="auto"/>
      </w:divBdr>
    </w:div>
    <w:div w:id="1206330181">
      <w:bodyDiv w:val="1"/>
      <w:marLeft w:val="0"/>
      <w:marRight w:val="0"/>
      <w:marTop w:val="0"/>
      <w:marBottom w:val="0"/>
      <w:divBdr>
        <w:top w:val="none" w:sz="0" w:space="0" w:color="auto"/>
        <w:left w:val="none" w:sz="0" w:space="0" w:color="auto"/>
        <w:bottom w:val="none" w:sz="0" w:space="0" w:color="auto"/>
        <w:right w:val="none" w:sz="0" w:space="0" w:color="auto"/>
      </w:divBdr>
    </w:div>
    <w:div w:id="1206674989">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6988819">
      <w:bodyDiv w:val="1"/>
      <w:marLeft w:val="0"/>
      <w:marRight w:val="0"/>
      <w:marTop w:val="0"/>
      <w:marBottom w:val="0"/>
      <w:divBdr>
        <w:top w:val="none" w:sz="0" w:space="0" w:color="auto"/>
        <w:left w:val="none" w:sz="0" w:space="0" w:color="auto"/>
        <w:bottom w:val="none" w:sz="0" w:space="0" w:color="auto"/>
        <w:right w:val="none" w:sz="0" w:space="0" w:color="auto"/>
      </w:divBdr>
    </w:div>
    <w:div w:id="1207140346">
      <w:bodyDiv w:val="1"/>
      <w:marLeft w:val="0"/>
      <w:marRight w:val="0"/>
      <w:marTop w:val="0"/>
      <w:marBottom w:val="0"/>
      <w:divBdr>
        <w:top w:val="none" w:sz="0" w:space="0" w:color="auto"/>
        <w:left w:val="none" w:sz="0" w:space="0" w:color="auto"/>
        <w:bottom w:val="none" w:sz="0" w:space="0" w:color="auto"/>
        <w:right w:val="none" w:sz="0" w:space="0" w:color="auto"/>
      </w:divBdr>
    </w:div>
    <w:div w:id="1207522161">
      <w:bodyDiv w:val="1"/>
      <w:marLeft w:val="0"/>
      <w:marRight w:val="0"/>
      <w:marTop w:val="0"/>
      <w:marBottom w:val="0"/>
      <w:divBdr>
        <w:top w:val="none" w:sz="0" w:space="0" w:color="auto"/>
        <w:left w:val="none" w:sz="0" w:space="0" w:color="auto"/>
        <w:bottom w:val="none" w:sz="0" w:space="0" w:color="auto"/>
        <w:right w:val="none" w:sz="0" w:space="0" w:color="auto"/>
      </w:divBdr>
    </w:div>
    <w:div w:id="1207644800">
      <w:bodyDiv w:val="1"/>
      <w:marLeft w:val="0"/>
      <w:marRight w:val="0"/>
      <w:marTop w:val="0"/>
      <w:marBottom w:val="0"/>
      <w:divBdr>
        <w:top w:val="none" w:sz="0" w:space="0" w:color="auto"/>
        <w:left w:val="none" w:sz="0" w:space="0" w:color="auto"/>
        <w:bottom w:val="none" w:sz="0" w:space="0" w:color="auto"/>
        <w:right w:val="none" w:sz="0" w:space="0" w:color="auto"/>
      </w:divBdr>
    </w:div>
    <w:div w:id="1207645774">
      <w:bodyDiv w:val="1"/>
      <w:marLeft w:val="0"/>
      <w:marRight w:val="0"/>
      <w:marTop w:val="0"/>
      <w:marBottom w:val="0"/>
      <w:divBdr>
        <w:top w:val="none" w:sz="0" w:space="0" w:color="auto"/>
        <w:left w:val="none" w:sz="0" w:space="0" w:color="auto"/>
        <w:bottom w:val="none" w:sz="0" w:space="0" w:color="auto"/>
        <w:right w:val="none" w:sz="0" w:space="0" w:color="auto"/>
      </w:divBdr>
    </w:div>
    <w:div w:id="1207722030">
      <w:bodyDiv w:val="1"/>
      <w:marLeft w:val="0"/>
      <w:marRight w:val="0"/>
      <w:marTop w:val="0"/>
      <w:marBottom w:val="0"/>
      <w:divBdr>
        <w:top w:val="none" w:sz="0" w:space="0" w:color="auto"/>
        <w:left w:val="none" w:sz="0" w:space="0" w:color="auto"/>
        <w:bottom w:val="none" w:sz="0" w:space="0" w:color="auto"/>
        <w:right w:val="none" w:sz="0" w:space="0" w:color="auto"/>
      </w:divBdr>
    </w:div>
    <w:div w:id="1207837582">
      <w:bodyDiv w:val="1"/>
      <w:marLeft w:val="0"/>
      <w:marRight w:val="0"/>
      <w:marTop w:val="0"/>
      <w:marBottom w:val="0"/>
      <w:divBdr>
        <w:top w:val="none" w:sz="0" w:space="0" w:color="auto"/>
        <w:left w:val="none" w:sz="0" w:space="0" w:color="auto"/>
        <w:bottom w:val="none" w:sz="0" w:space="0" w:color="auto"/>
        <w:right w:val="none" w:sz="0" w:space="0" w:color="auto"/>
      </w:divBdr>
    </w:div>
    <w:div w:id="1208446601">
      <w:bodyDiv w:val="1"/>
      <w:marLeft w:val="0"/>
      <w:marRight w:val="0"/>
      <w:marTop w:val="0"/>
      <w:marBottom w:val="0"/>
      <w:divBdr>
        <w:top w:val="none" w:sz="0" w:space="0" w:color="auto"/>
        <w:left w:val="none" w:sz="0" w:space="0" w:color="auto"/>
        <w:bottom w:val="none" w:sz="0" w:space="0" w:color="auto"/>
        <w:right w:val="none" w:sz="0" w:space="0" w:color="auto"/>
      </w:divBdr>
    </w:div>
    <w:div w:id="1208491763">
      <w:bodyDiv w:val="1"/>
      <w:marLeft w:val="0"/>
      <w:marRight w:val="0"/>
      <w:marTop w:val="0"/>
      <w:marBottom w:val="0"/>
      <w:divBdr>
        <w:top w:val="none" w:sz="0" w:space="0" w:color="auto"/>
        <w:left w:val="none" w:sz="0" w:space="0" w:color="auto"/>
        <w:bottom w:val="none" w:sz="0" w:space="0" w:color="auto"/>
        <w:right w:val="none" w:sz="0" w:space="0" w:color="auto"/>
      </w:divBdr>
    </w:div>
    <w:div w:id="1208763525">
      <w:bodyDiv w:val="1"/>
      <w:marLeft w:val="0"/>
      <w:marRight w:val="0"/>
      <w:marTop w:val="0"/>
      <w:marBottom w:val="0"/>
      <w:divBdr>
        <w:top w:val="none" w:sz="0" w:space="0" w:color="auto"/>
        <w:left w:val="none" w:sz="0" w:space="0" w:color="auto"/>
        <w:bottom w:val="none" w:sz="0" w:space="0" w:color="auto"/>
        <w:right w:val="none" w:sz="0" w:space="0" w:color="auto"/>
      </w:divBdr>
    </w:div>
    <w:div w:id="1208837790">
      <w:bodyDiv w:val="1"/>
      <w:marLeft w:val="0"/>
      <w:marRight w:val="0"/>
      <w:marTop w:val="0"/>
      <w:marBottom w:val="0"/>
      <w:divBdr>
        <w:top w:val="none" w:sz="0" w:space="0" w:color="auto"/>
        <w:left w:val="none" w:sz="0" w:space="0" w:color="auto"/>
        <w:bottom w:val="none" w:sz="0" w:space="0" w:color="auto"/>
        <w:right w:val="none" w:sz="0" w:space="0" w:color="auto"/>
      </w:divBdr>
    </w:div>
    <w:div w:id="1209024187">
      <w:bodyDiv w:val="1"/>
      <w:marLeft w:val="0"/>
      <w:marRight w:val="0"/>
      <w:marTop w:val="0"/>
      <w:marBottom w:val="0"/>
      <w:divBdr>
        <w:top w:val="none" w:sz="0" w:space="0" w:color="auto"/>
        <w:left w:val="none" w:sz="0" w:space="0" w:color="auto"/>
        <w:bottom w:val="none" w:sz="0" w:space="0" w:color="auto"/>
        <w:right w:val="none" w:sz="0" w:space="0" w:color="auto"/>
      </w:divBdr>
    </w:div>
    <w:div w:id="1209148365">
      <w:bodyDiv w:val="1"/>
      <w:marLeft w:val="0"/>
      <w:marRight w:val="0"/>
      <w:marTop w:val="0"/>
      <w:marBottom w:val="0"/>
      <w:divBdr>
        <w:top w:val="none" w:sz="0" w:space="0" w:color="auto"/>
        <w:left w:val="none" w:sz="0" w:space="0" w:color="auto"/>
        <w:bottom w:val="none" w:sz="0" w:space="0" w:color="auto"/>
        <w:right w:val="none" w:sz="0" w:space="0" w:color="auto"/>
      </w:divBdr>
    </w:div>
    <w:div w:id="1209294993">
      <w:bodyDiv w:val="1"/>
      <w:marLeft w:val="0"/>
      <w:marRight w:val="0"/>
      <w:marTop w:val="0"/>
      <w:marBottom w:val="0"/>
      <w:divBdr>
        <w:top w:val="none" w:sz="0" w:space="0" w:color="auto"/>
        <w:left w:val="none" w:sz="0" w:space="0" w:color="auto"/>
        <w:bottom w:val="none" w:sz="0" w:space="0" w:color="auto"/>
        <w:right w:val="none" w:sz="0" w:space="0" w:color="auto"/>
      </w:divBdr>
    </w:div>
    <w:div w:id="1209299691">
      <w:bodyDiv w:val="1"/>
      <w:marLeft w:val="0"/>
      <w:marRight w:val="0"/>
      <w:marTop w:val="0"/>
      <w:marBottom w:val="0"/>
      <w:divBdr>
        <w:top w:val="none" w:sz="0" w:space="0" w:color="auto"/>
        <w:left w:val="none" w:sz="0" w:space="0" w:color="auto"/>
        <w:bottom w:val="none" w:sz="0" w:space="0" w:color="auto"/>
        <w:right w:val="none" w:sz="0" w:space="0" w:color="auto"/>
      </w:divBdr>
    </w:div>
    <w:div w:id="1209343492">
      <w:bodyDiv w:val="1"/>
      <w:marLeft w:val="0"/>
      <w:marRight w:val="0"/>
      <w:marTop w:val="0"/>
      <w:marBottom w:val="0"/>
      <w:divBdr>
        <w:top w:val="none" w:sz="0" w:space="0" w:color="auto"/>
        <w:left w:val="none" w:sz="0" w:space="0" w:color="auto"/>
        <w:bottom w:val="none" w:sz="0" w:space="0" w:color="auto"/>
        <w:right w:val="none" w:sz="0" w:space="0" w:color="auto"/>
      </w:divBdr>
    </w:div>
    <w:div w:id="1209537482">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09991714">
      <w:bodyDiv w:val="1"/>
      <w:marLeft w:val="0"/>
      <w:marRight w:val="0"/>
      <w:marTop w:val="0"/>
      <w:marBottom w:val="0"/>
      <w:divBdr>
        <w:top w:val="none" w:sz="0" w:space="0" w:color="auto"/>
        <w:left w:val="none" w:sz="0" w:space="0" w:color="auto"/>
        <w:bottom w:val="none" w:sz="0" w:space="0" w:color="auto"/>
        <w:right w:val="none" w:sz="0" w:space="0" w:color="auto"/>
      </w:divBdr>
    </w:div>
    <w:div w:id="1210259676">
      <w:bodyDiv w:val="1"/>
      <w:marLeft w:val="0"/>
      <w:marRight w:val="0"/>
      <w:marTop w:val="0"/>
      <w:marBottom w:val="0"/>
      <w:divBdr>
        <w:top w:val="none" w:sz="0" w:space="0" w:color="auto"/>
        <w:left w:val="none" w:sz="0" w:space="0" w:color="auto"/>
        <w:bottom w:val="none" w:sz="0" w:space="0" w:color="auto"/>
        <w:right w:val="none" w:sz="0" w:space="0" w:color="auto"/>
      </w:divBdr>
    </w:div>
    <w:div w:id="1211377546">
      <w:bodyDiv w:val="1"/>
      <w:marLeft w:val="0"/>
      <w:marRight w:val="0"/>
      <w:marTop w:val="0"/>
      <w:marBottom w:val="0"/>
      <w:divBdr>
        <w:top w:val="none" w:sz="0" w:space="0" w:color="auto"/>
        <w:left w:val="none" w:sz="0" w:space="0" w:color="auto"/>
        <w:bottom w:val="none" w:sz="0" w:space="0" w:color="auto"/>
        <w:right w:val="none" w:sz="0" w:space="0" w:color="auto"/>
      </w:divBdr>
    </w:div>
    <w:div w:id="1211840855">
      <w:bodyDiv w:val="1"/>
      <w:marLeft w:val="0"/>
      <w:marRight w:val="0"/>
      <w:marTop w:val="0"/>
      <w:marBottom w:val="0"/>
      <w:divBdr>
        <w:top w:val="none" w:sz="0" w:space="0" w:color="auto"/>
        <w:left w:val="none" w:sz="0" w:space="0" w:color="auto"/>
        <w:bottom w:val="none" w:sz="0" w:space="0" w:color="auto"/>
        <w:right w:val="none" w:sz="0" w:space="0" w:color="auto"/>
      </w:divBdr>
    </w:div>
    <w:div w:id="1212116056">
      <w:bodyDiv w:val="1"/>
      <w:marLeft w:val="0"/>
      <w:marRight w:val="0"/>
      <w:marTop w:val="0"/>
      <w:marBottom w:val="0"/>
      <w:divBdr>
        <w:top w:val="none" w:sz="0" w:space="0" w:color="auto"/>
        <w:left w:val="none" w:sz="0" w:space="0" w:color="auto"/>
        <w:bottom w:val="none" w:sz="0" w:space="0" w:color="auto"/>
        <w:right w:val="none" w:sz="0" w:space="0" w:color="auto"/>
      </w:divBdr>
    </w:div>
    <w:div w:id="1212301302">
      <w:bodyDiv w:val="1"/>
      <w:marLeft w:val="0"/>
      <w:marRight w:val="0"/>
      <w:marTop w:val="0"/>
      <w:marBottom w:val="0"/>
      <w:divBdr>
        <w:top w:val="none" w:sz="0" w:space="0" w:color="auto"/>
        <w:left w:val="none" w:sz="0" w:space="0" w:color="auto"/>
        <w:bottom w:val="none" w:sz="0" w:space="0" w:color="auto"/>
        <w:right w:val="none" w:sz="0" w:space="0" w:color="auto"/>
      </w:divBdr>
    </w:div>
    <w:div w:id="1212619710">
      <w:bodyDiv w:val="1"/>
      <w:marLeft w:val="0"/>
      <w:marRight w:val="0"/>
      <w:marTop w:val="0"/>
      <w:marBottom w:val="0"/>
      <w:divBdr>
        <w:top w:val="none" w:sz="0" w:space="0" w:color="auto"/>
        <w:left w:val="none" w:sz="0" w:space="0" w:color="auto"/>
        <w:bottom w:val="none" w:sz="0" w:space="0" w:color="auto"/>
        <w:right w:val="none" w:sz="0" w:space="0" w:color="auto"/>
      </w:divBdr>
    </w:div>
    <w:div w:id="1213034813">
      <w:bodyDiv w:val="1"/>
      <w:marLeft w:val="0"/>
      <w:marRight w:val="0"/>
      <w:marTop w:val="0"/>
      <w:marBottom w:val="0"/>
      <w:divBdr>
        <w:top w:val="none" w:sz="0" w:space="0" w:color="auto"/>
        <w:left w:val="none" w:sz="0" w:space="0" w:color="auto"/>
        <w:bottom w:val="none" w:sz="0" w:space="0" w:color="auto"/>
        <w:right w:val="none" w:sz="0" w:space="0" w:color="auto"/>
      </w:divBdr>
    </w:div>
    <w:div w:id="1213075168">
      <w:bodyDiv w:val="1"/>
      <w:marLeft w:val="0"/>
      <w:marRight w:val="0"/>
      <w:marTop w:val="0"/>
      <w:marBottom w:val="0"/>
      <w:divBdr>
        <w:top w:val="none" w:sz="0" w:space="0" w:color="auto"/>
        <w:left w:val="none" w:sz="0" w:space="0" w:color="auto"/>
        <w:bottom w:val="none" w:sz="0" w:space="0" w:color="auto"/>
        <w:right w:val="none" w:sz="0" w:space="0" w:color="auto"/>
      </w:divBdr>
    </w:div>
    <w:div w:id="1213737866">
      <w:bodyDiv w:val="1"/>
      <w:marLeft w:val="0"/>
      <w:marRight w:val="0"/>
      <w:marTop w:val="0"/>
      <w:marBottom w:val="0"/>
      <w:divBdr>
        <w:top w:val="none" w:sz="0" w:space="0" w:color="auto"/>
        <w:left w:val="none" w:sz="0" w:space="0" w:color="auto"/>
        <w:bottom w:val="none" w:sz="0" w:space="0" w:color="auto"/>
        <w:right w:val="none" w:sz="0" w:space="0" w:color="auto"/>
      </w:divBdr>
    </w:div>
    <w:div w:id="1214272210">
      <w:bodyDiv w:val="1"/>
      <w:marLeft w:val="0"/>
      <w:marRight w:val="0"/>
      <w:marTop w:val="0"/>
      <w:marBottom w:val="0"/>
      <w:divBdr>
        <w:top w:val="none" w:sz="0" w:space="0" w:color="auto"/>
        <w:left w:val="none" w:sz="0" w:space="0" w:color="auto"/>
        <w:bottom w:val="none" w:sz="0" w:space="0" w:color="auto"/>
        <w:right w:val="none" w:sz="0" w:space="0" w:color="auto"/>
      </w:divBdr>
    </w:div>
    <w:div w:id="1214587246">
      <w:bodyDiv w:val="1"/>
      <w:marLeft w:val="0"/>
      <w:marRight w:val="0"/>
      <w:marTop w:val="0"/>
      <w:marBottom w:val="0"/>
      <w:divBdr>
        <w:top w:val="none" w:sz="0" w:space="0" w:color="auto"/>
        <w:left w:val="none" w:sz="0" w:space="0" w:color="auto"/>
        <w:bottom w:val="none" w:sz="0" w:space="0" w:color="auto"/>
        <w:right w:val="none" w:sz="0" w:space="0" w:color="auto"/>
      </w:divBdr>
    </w:div>
    <w:div w:id="1214731316">
      <w:bodyDiv w:val="1"/>
      <w:marLeft w:val="0"/>
      <w:marRight w:val="0"/>
      <w:marTop w:val="0"/>
      <w:marBottom w:val="0"/>
      <w:divBdr>
        <w:top w:val="none" w:sz="0" w:space="0" w:color="auto"/>
        <w:left w:val="none" w:sz="0" w:space="0" w:color="auto"/>
        <w:bottom w:val="none" w:sz="0" w:space="0" w:color="auto"/>
        <w:right w:val="none" w:sz="0" w:space="0" w:color="auto"/>
      </w:divBdr>
    </w:div>
    <w:div w:id="1214735556">
      <w:bodyDiv w:val="1"/>
      <w:marLeft w:val="0"/>
      <w:marRight w:val="0"/>
      <w:marTop w:val="0"/>
      <w:marBottom w:val="0"/>
      <w:divBdr>
        <w:top w:val="none" w:sz="0" w:space="0" w:color="auto"/>
        <w:left w:val="none" w:sz="0" w:space="0" w:color="auto"/>
        <w:bottom w:val="none" w:sz="0" w:space="0" w:color="auto"/>
        <w:right w:val="none" w:sz="0" w:space="0" w:color="auto"/>
      </w:divBdr>
    </w:div>
    <w:div w:id="1215503692">
      <w:bodyDiv w:val="1"/>
      <w:marLeft w:val="0"/>
      <w:marRight w:val="0"/>
      <w:marTop w:val="0"/>
      <w:marBottom w:val="0"/>
      <w:divBdr>
        <w:top w:val="none" w:sz="0" w:space="0" w:color="auto"/>
        <w:left w:val="none" w:sz="0" w:space="0" w:color="auto"/>
        <w:bottom w:val="none" w:sz="0" w:space="0" w:color="auto"/>
        <w:right w:val="none" w:sz="0" w:space="0" w:color="auto"/>
      </w:divBdr>
    </w:div>
    <w:div w:id="1215654894">
      <w:bodyDiv w:val="1"/>
      <w:marLeft w:val="0"/>
      <w:marRight w:val="0"/>
      <w:marTop w:val="0"/>
      <w:marBottom w:val="0"/>
      <w:divBdr>
        <w:top w:val="none" w:sz="0" w:space="0" w:color="auto"/>
        <w:left w:val="none" w:sz="0" w:space="0" w:color="auto"/>
        <w:bottom w:val="none" w:sz="0" w:space="0" w:color="auto"/>
        <w:right w:val="none" w:sz="0" w:space="0" w:color="auto"/>
      </w:divBdr>
    </w:div>
    <w:div w:id="1215893829">
      <w:bodyDiv w:val="1"/>
      <w:marLeft w:val="0"/>
      <w:marRight w:val="0"/>
      <w:marTop w:val="0"/>
      <w:marBottom w:val="0"/>
      <w:divBdr>
        <w:top w:val="none" w:sz="0" w:space="0" w:color="auto"/>
        <w:left w:val="none" w:sz="0" w:space="0" w:color="auto"/>
        <w:bottom w:val="none" w:sz="0" w:space="0" w:color="auto"/>
        <w:right w:val="none" w:sz="0" w:space="0" w:color="auto"/>
      </w:divBdr>
    </w:div>
    <w:div w:id="1216044429">
      <w:bodyDiv w:val="1"/>
      <w:marLeft w:val="0"/>
      <w:marRight w:val="0"/>
      <w:marTop w:val="0"/>
      <w:marBottom w:val="0"/>
      <w:divBdr>
        <w:top w:val="none" w:sz="0" w:space="0" w:color="auto"/>
        <w:left w:val="none" w:sz="0" w:space="0" w:color="auto"/>
        <w:bottom w:val="none" w:sz="0" w:space="0" w:color="auto"/>
        <w:right w:val="none" w:sz="0" w:space="0" w:color="auto"/>
      </w:divBdr>
    </w:div>
    <w:div w:id="1216356658">
      <w:bodyDiv w:val="1"/>
      <w:marLeft w:val="0"/>
      <w:marRight w:val="0"/>
      <w:marTop w:val="0"/>
      <w:marBottom w:val="0"/>
      <w:divBdr>
        <w:top w:val="none" w:sz="0" w:space="0" w:color="auto"/>
        <w:left w:val="none" w:sz="0" w:space="0" w:color="auto"/>
        <w:bottom w:val="none" w:sz="0" w:space="0" w:color="auto"/>
        <w:right w:val="none" w:sz="0" w:space="0" w:color="auto"/>
      </w:divBdr>
    </w:div>
    <w:div w:id="1216357595">
      <w:bodyDiv w:val="1"/>
      <w:marLeft w:val="0"/>
      <w:marRight w:val="0"/>
      <w:marTop w:val="0"/>
      <w:marBottom w:val="0"/>
      <w:divBdr>
        <w:top w:val="none" w:sz="0" w:space="0" w:color="auto"/>
        <w:left w:val="none" w:sz="0" w:space="0" w:color="auto"/>
        <w:bottom w:val="none" w:sz="0" w:space="0" w:color="auto"/>
        <w:right w:val="none" w:sz="0" w:space="0" w:color="auto"/>
      </w:divBdr>
    </w:div>
    <w:div w:id="1216359067">
      <w:bodyDiv w:val="1"/>
      <w:marLeft w:val="0"/>
      <w:marRight w:val="0"/>
      <w:marTop w:val="0"/>
      <w:marBottom w:val="0"/>
      <w:divBdr>
        <w:top w:val="none" w:sz="0" w:space="0" w:color="auto"/>
        <w:left w:val="none" w:sz="0" w:space="0" w:color="auto"/>
        <w:bottom w:val="none" w:sz="0" w:space="0" w:color="auto"/>
        <w:right w:val="none" w:sz="0" w:space="0" w:color="auto"/>
      </w:divBdr>
    </w:div>
    <w:div w:id="1216814511">
      <w:bodyDiv w:val="1"/>
      <w:marLeft w:val="0"/>
      <w:marRight w:val="0"/>
      <w:marTop w:val="0"/>
      <w:marBottom w:val="0"/>
      <w:divBdr>
        <w:top w:val="none" w:sz="0" w:space="0" w:color="auto"/>
        <w:left w:val="none" w:sz="0" w:space="0" w:color="auto"/>
        <w:bottom w:val="none" w:sz="0" w:space="0" w:color="auto"/>
        <w:right w:val="none" w:sz="0" w:space="0" w:color="auto"/>
      </w:divBdr>
    </w:div>
    <w:div w:id="1217162786">
      <w:bodyDiv w:val="1"/>
      <w:marLeft w:val="0"/>
      <w:marRight w:val="0"/>
      <w:marTop w:val="0"/>
      <w:marBottom w:val="0"/>
      <w:divBdr>
        <w:top w:val="none" w:sz="0" w:space="0" w:color="auto"/>
        <w:left w:val="none" w:sz="0" w:space="0" w:color="auto"/>
        <w:bottom w:val="none" w:sz="0" w:space="0" w:color="auto"/>
        <w:right w:val="none" w:sz="0" w:space="0" w:color="auto"/>
      </w:divBdr>
    </w:div>
    <w:div w:id="1217551799">
      <w:bodyDiv w:val="1"/>
      <w:marLeft w:val="0"/>
      <w:marRight w:val="0"/>
      <w:marTop w:val="0"/>
      <w:marBottom w:val="0"/>
      <w:divBdr>
        <w:top w:val="none" w:sz="0" w:space="0" w:color="auto"/>
        <w:left w:val="none" w:sz="0" w:space="0" w:color="auto"/>
        <w:bottom w:val="none" w:sz="0" w:space="0" w:color="auto"/>
        <w:right w:val="none" w:sz="0" w:space="0" w:color="auto"/>
      </w:divBdr>
    </w:div>
    <w:div w:id="1217817723">
      <w:bodyDiv w:val="1"/>
      <w:marLeft w:val="0"/>
      <w:marRight w:val="0"/>
      <w:marTop w:val="0"/>
      <w:marBottom w:val="0"/>
      <w:divBdr>
        <w:top w:val="none" w:sz="0" w:space="0" w:color="auto"/>
        <w:left w:val="none" w:sz="0" w:space="0" w:color="auto"/>
        <w:bottom w:val="none" w:sz="0" w:space="0" w:color="auto"/>
        <w:right w:val="none" w:sz="0" w:space="0" w:color="auto"/>
      </w:divBdr>
    </w:div>
    <w:div w:id="1217857562">
      <w:bodyDiv w:val="1"/>
      <w:marLeft w:val="0"/>
      <w:marRight w:val="0"/>
      <w:marTop w:val="0"/>
      <w:marBottom w:val="0"/>
      <w:divBdr>
        <w:top w:val="none" w:sz="0" w:space="0" w:color="auto"/>
        <w:left w:val="none" w:sz="0" w:space="0" w:color="auto"/>
        <w:bottom w:val="none" w:sz="0" w:space="0" w:color="auto"/>
        <w:right w:val="none" w:sz="0" w:space="0" w:color="auto"/>
      </w:divBdr>
    </w:div>
    <w:div w:id="1219781881">
      <w:bodyDiv w:val="1"/>
      <w:marLeft w:val="0"/>
      <w:marRight w:val="0"/>
      <w:marTop w:val="0"/>
      <w:marBottom w:val="0"/>
      <w:divBdr>
        <w:top w:val="none" w:sz="0" w:space="0" w:color="auto"/>
        <w:left w:val="none" w:sz="0" w:space="0" w:color="auto"/>
        <w:bottom w:val="none" w:sz="0" w:space="0" w:color="auto"/>
        <w:right w:val="none" w:sz="0" w:space="0" w:color="auto"/>
      </w:divBdr>
    </w:div>
    <w:div w:id="1219975561">
      <w:bodyDiv w:val="1"/>
      <w:marLeft w:val="0"/>
      <w:marRight w:val="0"/>
      <w:marTop w:val="0"/>
      <w:marBottom w:val="0"/>
      <w:divBdr>
        <w:top w:val="none" w:sz="0" w:space="0" w:color="auto"/>
        <w:left w:val="none" w:sz="0" w:space="0" w:color="auto"/>
        <w:bottom w:val="none" w:sz="0" w:space="0" w:color="auto"/>
        <w:right w:val="none" w:sz="0" w:space="0" w:color="auto"/>
      </w:divBdr>
    </w:div>
    <w:div w:id="1220097376">
      <w:bodyDiv w:val="1"/>
      <w:marLeft w:val="0"/>
      <w:marRight w:val="0"/>
      <w:marTop w:val="0"/>
      <w:marBottom w:val="0"/>
      <w:divBdr>
        <w:top w:val="none" w:sz="0" w:space="0" w:color="auto"/>
        <w:left w:val="none" w:sz="0" w:space="0" w:color="auto"/>
        <w:bottom w:val="none" w:sz="0" w:space="0" w:color="auto"/>
        <w:right w:val="none" w:sz="0" w:space="0" w:color="auto"/>
      </w:divBdr>
    </w:div>
    <w:div w:id="1220240372">
      <w:bodyDiv w:val="1"/>
      <w:marLeft w:val="0"/>
      <w:marRight w:val="0"/>
      <w:marTop w:val="0"/>
      <w:marBottom w:val="0"/>
      <w:divBdr>
        <w:top w:val="none" w:sz="0" w:space="0" w:color="auto"/>
        <w:left w:val="none" w:sz="0" w:space="0" w:color="auto"/>
        <w:bottom w:val="none" w:sz="0" w:space="0" w:color="auto"/>
        <w:right w:val="none" w:sz="0" w:space="0" w:color="auto"/>
      </w:divBdr>
    </w:div>
    <w:div w:id="1220362913">
      <w:bodyDiv w:val="1"/>
      <w:marLeft w:val="0"/>
      <w:marRight w:val="0"/>
      <w:marTop w:val="0"/>
      <w:marBottom w:val="0"/>
      <w:divBdr>
        <w:top w:val="none" w:sz="0" w:space="0" w:color="auto"/>
        <w:left w:val="none" w:sz="0" w:space="0" w:color="auto"/>
        <w:bottom w:val="none" w:sz="0" w:space="0" w:color="auto"/>
        <w:right w:val="none" w:sz="0" w:space="0" w:color="auto"/>
      </w:divBdr>
    </w:div>
    <w:div w:id="1220478250">
      <w:bodyDiv w:val="1"/>
      <w:marLeft w:val="0"/>
      <w:marRight w:val="0"/>
      <w:marTop w:val="0"/>
      <w:marBottom w:val="0"/>
      <w:divBdr>
        <w:top w:val="none" w:sz="0" w:space="0" w:color="auto"/>
        <w:left w:val="none" w:sz="0" w:space="0" w:color="auto"/>
        <w:bottom w:val="none" w:sz="0" w:space="0" w:color="auto"/>
        <w:right w:val="none" w:sz="0" w:space="0" w:color="auto"/>
      </w:divBdr>
    </w:div>
    <w:div w:id="1220674529">
      <w:bodyDiv w:val="1"/>
      <w:marLeft w:val="0"/>
      <w:marRight w:val="0"/>
      <w:marTop w:val="0"/>
      <w:marBottom w:val="0"/>
      <w:divBdr>
        <w:top w:val="none" w:sz="0" w:space="0" w:color="auto"/>
        <w:left w:val="none" w:sz="0" w:space="0" w:color="auto"/>
        <w:bottom w:val="none" w:sz="0" w:space="0" w:color="auto"/>
        <w:right w:val="none" w:sz="0" w:space="0" w:color="auto"/>
      </w:divBdr>
    </w:div>
    <w:div w:id="1220677529">
      <w:bodyDiv w:val="1"/>
      <w:marLeft w:val="0"/>
      <w:marRight w:val="0"/>
      <w:marTop w:val="0"/>
      <w:marBottom w:val="0"/>
      <w:divBdr>
        <w:top w:val="none" w:sz="0" w:space="0" w:color="auto"/>
        <w:left w:val="none" w:sz="0" w:space="0" w:color="auto"/>
        <w:bottom w:val="none" w:sz="0" w:space="0" w:color="auto"/>
        <w:right w:val="none" w:sz="0" w:space="0" w:color="auto"/>
      </w:divBdr>
    </w:div>
    <w:div w:id="1220940703">
      <w:bodyDiv w:val="1"/>
      <w:marLeft w:val="0"/>
      <w:marRight w:val="0"/>
      <w:marTop w:val="0"/>
      <w:marBottom w:val="0"/>
      <w:divBdr>
        <w:top w:val="none" w:sz="0" w:space="0" w:color="auto"/>
        <w:left w:val="none" w:sz="0" w:space="0" w:color="auto"/>
        <w:bottom w:val="none" w:sz="0" w:space="0" w:color="auto"/>
        <w:right w:val="none" w:sz="0" w:space="0" w:color="auto"/>
      </w:divBdr>
    </w:div>
    <w:div w:id="1221019662">
      <w:bodyDiv w:val="1"/>
      <w:marLeft w:val="0"/>
      <w:marRight w:val="0"/>
      <w:marTop w:val="0"/>
      <w:marBottom w:val="0"/>
      <w:divBdr>
        <w:top w:val="none" w:sz="0" w:space="0" w:color="auto"/>
        <w:left w:val="none" w:sz="0" w:space="0" w:color="auto"/>
        <w:bottom w:val="none" w:sz="0" w:space="0" w:color="auto"/>
        <w:right w:val="none" w:sz="0" w:space="0" w:color="auto"/>
      </w:divBdr>
    </w:div>
    <w:div w:id="1221020980">
      <w:bodyDiv w:val="1"/>
      <w:marLeft w:val="0"/>
      <w:marRight w:val="0"/>
      <w:marTop w:val="0"/>
      <w:marBottom w:val="0"/>
      <w:divBdr>
        <w:top w:val="none" w:sz="0" w:space="0" w:color="auto"/>
        <w:left w:val="none" w:sz="0" w:space="0" w:color="auto"/>
        <w:bottom w:val="none" w:sz="0" w:space="0" w:color="auto"/>
        <w:right w:val="none" w:sz="0" w:space="0" w:color="auto"/>
      </w:divBdr>
    </w:div>
    <w:div w:id="1221329773">
      <w:bodyDiv w:val="1"/>
      <w:marLeft w:val="0"/>
      <w:marRight w:val="0"/>
      <w:marTop w:val="0"/>
      <w:marBottom w:val="0"/>
      <w:divBdr>
        <w:top w:val="none" w:sz="0" w:space="0" w:color="auto"/>
        <w:left w:val="none" w:sz="0" w:space="0" w:color="auto"/>
        <w:bottom w:val="none" w:sz="0" w:space="0" w:color="auto"/>
        <w:right w:val="none" w:sz="0" w:space="0" w:color="auto"/>
      </w:divBdr>
    </w:div>
    <w:div w:id="1221408610">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2015259">
      <w:bodyDiv w:val="1"/>
      <w:marLeft w:val="0"/>
      <w:marRight w:val="0"/>
      <w:marTop w:val="0"/>
      <w:marBottom w:val="0"/>
      <w:divBdr>
        <w:top w:val="none" w:sz="0" w:space="0" w:color="auto"/>
        <w:left w:val="none" w:sz="0" w:space="0" w:color="auto"/>
        <w:bottom w:val="none" w:sz="0" w:space="0" w:color="auto"/>
        <w:right w:val="none" w:sz="0" w:space="0" w:color="auto"/>
      </w:divBdr>
    </w:div>
    <w:div w:id="1222399941">
      <w:bodyDiv w:val="1"/>
      <w:marLeft w:val="0"/>
      <w:marRight w:val="0"/>
      <w:marTop w:val="0"/>
      <w:marBottom w:val="0"/>
      <w:divBdr>
        <w:top w:val="none" w:sz="0" w:space="0" w:color="auto"/>
        <w:left w:val="none" w:sz="0" w:space="0" w:color="auto"/>
        <w:bottom w:val="none" w:sz="0" w:space="0" w:color="auto"/>
        <w:right w:val="none" w:sz="0" w:space="0" w:color="auto"/>
      </w:divBdr>
    </w:div>
    <w:div w:id="1222403482">
      <w:bodyDiv w:val="1"/>
      <w:marLeft w:val="0"/>
      <w:marRight w:val="0"/>
      <w:marTop w:val="0"/>
      <w:marBottom w:val="0"/>
      <w:divBdr>
        <w:top w:val="none" w:sz="0" w:space="0" w:color="auto"/>
        <w:left w:val="none" w:sz="0" w:space="0" w:color="auto"/>
        <w:bottom w:val="none" w:sz="0" w:space="0" w:color="auto"/>
        <w:right w:val="none" w:sz="0" w:space="0" w:color="auto"/>
      </w:divBdr>
    </w:div>
    <w:div w:id="1222446508">
      <w:bodyDiv w:val="1"/>
      <w:marLeft w:val="0"/>
      <w:marRight w:val="0"/>
      <w:marTop w:val="0"/>
      <w:marBottom w:val="0"/>
      <w:divBdr>
        <w:top w:val="none" w:sz="0" w:space="0" w:color="auto"/>
        <w:left w:val="none" w:sz="0" w:space="0" w:color="auto"/>
        <w:bottom w:val="none" w:sz="0" w:space="0" w:color="auto"/>
        <w:right w:val="none" w:sz="0" w:space="0" w:color="auto"/>
      </w:divBdr>
    </w:div>
    <w:div w:id="1222599671">
      <w:bodyDiv w:val="1"/>
      <w:marLeft w:val="0"/>
      <w:marRight w:val="0"/>
      <w:marTop w:val="0"/>
      <w:marBottom w:val="0"/>
      <w:divBdr>
        <w:top w:val="none" w:sz="0" w:space="0" w:color="auto"/>
        <w:left w:val="none" w:sz="0" w:space="0" w:color="auto"/>
        <w:bottom w:val="none" w:sz="0" w:space="0" w:color="auto"/>
        <w:right w:val="none" w:sz="0" w:space="0" w:color="auto"/>
      </w:divBdr>
    </w:div>
    <w:div w:id="1222670843">
      <w:bodyDiv w:val="1"/>
      <w:marLeft w:val="0"/>
      <w:marRight w:val="0"/>
      <w:marTop w:val="0"/>
      <w:marBottom w:val="0"/>
      <w:divBdr>
        <w:top w:val="none" w:sz="0" w:space="0" w:color="auto"/>
        <w:left w:val="none" w:sz="0" w:space="0" w:color="auto"/>
        <w:bottom w:val="none" w:sz="0" w:space="0" w:color="auto"/>
        <w:right w:val="none" w:sz="0" w:space="0" w:color="auto"/>
      </w:divBdr>
    </w:div>
    <w:div w:id="1223058062">
      <w:bodyDiv w:val="1"/>
      <w:marLeft w:val="0"/>
      <w:marRight w:val="0"/>
      <w:marTop w:val="0"/>
      <w:marBottom w:val="0"/>
      <w:divBdr>
        <w:top w:val="none" w:sz="0" w:space="0" w:color="auto"/>
        <w:left w:val="none" w:sz="0" w:space="0" w:color="auto"/>
        <w:bottom w:val="none" w:sz="0" w:space="0" w:color="auto"/>
        <w:right w:val="none" w:sz="0" w:space="0" w:color="auto"/>
      </w:divBdr>
    </w:div>
    <w:div w:id="1223098552">
      <w:bodyDiv w:val="1"/>
      <w:marLeft w:val="0"/>
      <w:marRight w:val="0"/>
      <w:marTop w:val="0"/>
      <w:marBottom w:val="0"/>
      <w:divBdr>
        <w:top w:val="none" w:sz="0" w:space="0" w:color="auto"/>
        <w:left w:val="none" w:sz="0" w:space="0" w:color="auto"/>
        <w:bottom w:val="none" w:sz="0" w:space="0" w:color="auto"/>
        <w:right w:val="none" w:sz="0" w:space="0" w:color="auto"/>
      </w:divBdr>
    </w:div>
    <w:div w:id="1223757889">
      <w:bodyDiv w:val="1"/>
      <w:marLeft w:val="0"/>
      <w:marRight w:val="0"/>
      <w:marTop w:val="0"/>
      <w:marBottom w:val="0"/>
      <w:divBdr>
        <w:top w:val="none" w:sz="0" w:space="0" w:color="auto"/>
        <w:left w:val="none" w:sz="0" w:space="0" w:color="auto"/>
        <w:bottom w:val="none" w:sz="0" w:space="0" w:color="auto"/>
        <w:right w:val="none" w:sz="0" w:space="0" w:color="auto"/>
      </w:divBdr>
    </w:div>
    <w:div w:id="1223909594">
      <w:bodyDiv w:val="1"/>
      <w:marLeft w:val="0"/>
      <w:marRight w:val="0"/>
      <w:marTop w:val="0"/>
      <w:marBottom w:val="0"/>
      <w:divBdr>
        <w:top w:val="none" w:sz="0" w:space="0" w:color="auto"/>
        <w:left w:val="none" w:sz="0" w:space="0" w:color="auto"/>
        <w:bottom w:val="none" w:sz="0" w:space="0" w:color="auto"/>
        <w:right w:val="none" w:sz="0" w:space="0" w:color="auto"/>
      </w:divBdr>
    </w:div>
    <w:div w:id="1224607525">
      <w:bodyDiv w:val="1"/>
      <w:marLeft w:val="0"/>
      <w:marRight w:val="0"/>
      <w:marTop w:val="0"/>
      <w:marBottom w:val="0"/>
      <w:divBdr>
        <w:top w:val="none" w:sz="0" w:space="0" w:color="auto"/>
        <w:left w:val="none" w:sz="0" w:space="0" w:color="auto"/>
        <w:bottom w:val="none" w:sz="0" w:space="0" w:color="auto"/>
        <w:right w:val="none" w:sz="0" w:space="0" w:color="auto"/>
      </w:divBdr>
    </w:div>
    <w:div w:id="1224751286">
      <w:bodyDiv w:val="1"/>
      <w:marLeft w:val="0"/>
      <w:marRight w:val="0"/>
      <w:marTop w:val="0"/>
      <w:marBottom w:val="0"/>
      <w:divBdr>
        <w:top w:val="none" w:sz="0" w:space="0" w:color="auto"/>
        <w:left w:val="none" w:sz="0" w:space="0" w:color="auto"/>
        <w:bottom w:val="none" w:sz="0" w:space="0" w:color="auto"/>
        <w:right w:val="none" w:sz="0" w:space="0" w:color="auto"/>
      </w:divBdr>
    </w:div>
    <w:div w:id="1224754226">
      <w:bodyDiv w:val="1"/>
      <w:marLeft w:val="0"/>
      <w:marRight w:val="0"/>
      <w:marTop w:val="0"/>
      <w:marBottom w:val="0"/>
      <w:divBdr>
        <w:top w:val="none" w:sz="0" w:space="0" w:color="auto"/>
        <w:left w:val="none" w:sz="0" w:space="0" w:color="auto"/>
        <w:bottom w:val="none" w:sz="0" w:space="0" w:color="auto"/>
        <w:right w:val="none" w:sz="0" w:space="0" w:color="auto"/>
      </w:divBdr>
    </w:div>
    <w:div w:id="1224802674">
      <w:bodyDiv w:val="1"/>
      <w:marLeft w:val="0"/>
      <w:marRight w:val="0"/>
      <w:marTop w:val="0"/>
      <w:marBottom w:val="0"/>
      <w:divBdr>
        <w:top w:val="none" w:sz="0" w:space="0" w:color="auto"/>
        <w:left w:val="none" w:sz="0" w:space="0" w:color="auto"/>
        <w:bottom w:val="none" w:sz="0" w:space="0" w:color="auto"/>
        <w:right w:val="none" w:sz="0" w:space="0" w:color="auto"/>
      </w:divBdr>
    </w:div>
    <w:div w:id="1225071347">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5144842">
      <w:bodyDiv w:val="1"/>
      <w:marLeft w:val="0"/>
      <w:marRight w:val="0"/>
      <w:marTop w:val="0"/>
      <w:marBottom w:val="0"/>
      <w:divBdr>
        <w:top w:val="none" w:sz="0" w:space="0" w:color="auto"/>
        <w:left w:val="none" w:sz="0" w:space="0" w:color="auto"/>
        <w:bottom w:val="none" w:sz="0" w:space="0" w:color="auto"/>
        <w:right w:val="none" w:sz="0" w:space="0" w:color="auto"/>
      </w:divBdr>
    </w:div>
    <w:div w:id="1225333938">
      <w:bodyDiv w:val="1"/>
      <w:marLeft w:val="0"/>
      <w:marRight w:val="0"/>
      <w:marTop w:val="0"/>
      <w:marBottom w:val="0"/>
      <w:divBdr>
        <w:top w:val="none" w:sz="0" w:space="0" w:color="auto"/>
        <w:left w:val="none" w:sz="0" w:space="0" w:color="auto"/>
        <w:bottom w:val="none" w:sz="0" w:space="0" w:color="auto"/>
        <w:right w:val="none" w:sz="0" w:space="0" w:color="auto"/>
      </w:divBdr>
    </w:div>
    <w:div w:id="1225528525">
      <w:bodyDiv w:val="1"/>
      <w:marLeft w:val="0"/>
      <w:marRight w:val="0"/>
      <w:marTop w:val="0"/>
      <w:marBottom w:val="0"/>
      <w:divBdr>
        <w:top w:val="none" w:sz="0" w:space="0" w:color="auto"/>
        <w:left w:val="none" w:sz="0" w:space="0" w:color="auto"/>
        <w:bottom w:val="none" w:sz="0" w:space="0" w:color="auto"/>
        <w:right w:val="none" w:sz="0" w:space="0" w:color="auto"/>
      </w:divBdr>
    </w:div>
    <w:div w:id="1225869558">
      <w:bodyDiv w:val="1"/>
      <w:marLeft w:val="0"/>
      <w:marRight w:val="0"/>
      <w:marTop w:val="0"/>
      <w:marBottom w:val="0"/>
      <w:divBdr>
        <w:top w:val="none" w:sz="0" w:space="0" w:color="auto"/>
        <w:left w:val="none" w:sz="0" w:space="0" w:color="auto"/>
        <w:bottom w:val="none" w:sz="0" w:space="0" w:color="auto"/>
        <w:right w:val="none" w:sz="0" w:space="0" w:color="auto"/>
      </w:divBdr>
    </w:div>
    <w:div w:id="1225871306">
      <w:bodyDiv w:val="1"/>
      <w:marLeft w:val="0"/>
      <w:marRight w:val="0"/>
      <w:marTop w:val="0"/>
      <w:marBottom w:val="0"/>
      <w:divBdr>
        <w:top w:val="none" w:sz="0" w:space="0" w:color="auto"/>
        <w:left w:val="none" w:sz="0" w:space="0" w:color="auto"/>
        <w:bottom w:val="none" w:sz="0" w:space="0" w:color="auto"/>
        <w:right w:val="none" w:sz="0" w:space="0" w:color="auto"/>
      </w:divBdr>
    </w:div>
    <w:div w:id="1225873896">
      <w:bodyDiv w:val="1"/>
      <w:marLeft w:val="0"/>
      <w:marRight w:val="0"/>
      <w:marTop w:val="0"/>
      <w:marBottom w:val="0"/>
      <w:divBdr>
        <w:top w:val="none" w:sz="0" w:space="0" w:color="auto"/>
        <w:left w:val="none" w:sz="0" w:space="0" w:color="auto"/>
        <w:bottom w:val="none" w:sz="0" w:space="0" w:color="auto"/>
        <w:right w:val="none" w:sz="0" w:space="0" w:color="auto"/>
      </w:divBdr>
    </w:div>
    <w:div w:id="1225945473">
      <w:bodyDiv w:val="1"/>
      <w:marLeft w:val="0"/>
      <w:marRight w:val="0"/>
      <w:marTop w:val="0"/>
      <w:marBottom w:val="0"/>
      <w:divBdr>
        <w:top w:val="none" w:sz="0" w:space="0" w:color="auto"/>
        <w:left w:val="none" w:sz="0" w:space="0" w:color="auto"/>
        <w:bottom w:val="none" w:sz="0" w:space="0" w:color="auto"/>
        <w:right w:val="none" w:sz="0" w:space="0" w:color="auto"/>
      </w:divBdr>
    </w:div>
    <w:div w:id="1226261187">
      <w:bodyDiv w:val="1"/>
      <w:marLeft w:val="0"/>
      <w:marRight w:val="0"/>
      <w:marTop w:val="0"/>
      <w:marBottom w:val="0"/>
      <w:divBdr>
        <w:top w:val="none" w:sz="0" w:space="0" w:color="auto"/>
        <w:left w:val="none" w:sz="0" w:space="0" w:color="auto"/>
        <w:bottom w:val="none" w:sz="0" w:space="0" w:color="auto"/>
        <w:right w:val="none" w:sz="0" w:space="0" w:color="auto"/>
      </w:divBdr>
    </w:div>
    <w:div w:id="1226451539">
      <w:bodyDiv w:val="1"/>
      <w:marLeft w:val="0"/>
      <w:marRight w:val="0"/>
      <w:marTop w:val="0"/>
      <w:marBottom w:val="0"/>
      <w:divBdr>
        <w:top w:val="none" w:sz="0" w:space="0" w:color="auto"/>
        <w:left w:val="none" w:sz="0" w:space="0" w:color="auto"/>
        <w:bottom w:val="none" w:sz="0" w:space="0" w:color="auto"/>
        <w:right w:val="none" w:sz="0" w:space="0" w:color="auto"/>
      </w:divBdr>
    </w:div>
    <w:div w:id="1226452555">
      <w:bodyDiv w:val="1"/>
      <w:marLeft w:val="0"/>
      <w:marRight w:val="0"/>
      <w:marTop w:val="0"/>
      <w:marBottom w:val="0"/>
      <w:divBdr>
        <w:top w:val="none" w:sz="0" w:space="0" w:color="auto"/>
        <w:left w:val="none" w:sz="0" w:space="0" w:color="auto"/>
        <w:bottom w:val="none" w:sz="0" w:space="0" w:color="auto"/>
        <w:right w:val="none" w:sz="0" w:space="0" w:color="auto"/>
      </w:divBdr>
    </w:div>
    <w:div w:id="1226600054">
      <w:bodyDiv w:val="1"/>
      <w:marLeft w:val="0"/>
      <w:marRight w:val="0"/>
      <w:marTop w:val="0"/>
      <w:marBottom w:val="0"/>
      <w:divBdr>
        <w:top w:val="none" w:sz="0" w:space="0" w:color="auto"/>
        <w:left w:val="none" w:sz="0" w:space="0" w:color="auto"/>
        <w:bottom w:val="none" w:sz="0" w:space="0" w:color="auto"/>
        <w:right w:val="none" w:sz="0" w:space="0" w:color="auto"/>
      </w:divBdr>
    </w:div>
    <w:div w:id="1226644687">
      <w:bodyDiv w:val="1"/>
      <w:marLeft w:val="0"/>
      <w:marRight w:val="0"/>
      <w:marTop w:val="0"/>
      <w:marBottom w:val="0"/>
      <w:divBdr>
        <w:top w:val="none" w:sz="0" w:space="0" w:color="auto"/>
        <w:left w:val="none" w:sz="0" w:space="0" w:color="auto"/>
        <w:bottom w:val="none" w:sz="0" w:space="0" w:color="auto"/>
        <w:right w:val="none" w:sz="0" w:space="0" w:color="auto"/>
      </w:divBdr>
    </w:div>
    <w:div w:id="1226725107">
      <w:bodyDiv w:val="1"/>
      <w:marLeft w:val="0"/>
      <w:marRight w:val="0"/>
      <w:marTop w:val="0"/>
      <w:marBottom w:val="0"/>
      <w:divBdr>
        <w:top w:val="none" w:sz="0" w:space="0" w:color="auto"/>
        <w:left w:val="none" w:sz="0" w:space="0" w:color="auto"/>
        <w:bottom w:val="none" w:sz="0" w:space="0" w:color="auto"/>
        <w:right w:val="none" w:sz="0" w:space="0" w:color="auto"/>
      </w:divBdr>
    </w:div>
    <w:div w:id="1226838889">
      <w:bodyDiv w:val="1"/>
      <w:marLeft w:val="0"/>
      <w:marRight w:val="0"/>
      <w:marTop w:val="0"/>
      <w:marBottom w:val="0"/>
      <w:divBdr>
        <w:top w:val="none" w:sz="0" w:space="0" w:color="auto"/>
        <w:left w:val="none" w:sz="0" w:space="0" w:color="auto"/>
        <w:bottom w:val="none" w:sz="0" w:space="0" w:color="auto"/>
        <w:right w:val="none" w:sz="0" w:space="0" w:color="auto"/>
      </w:divBdr>
    </w:div>
    <w:div w:id="1226910257">
      <w:bodyDiv w:val="1"/>
      <w:marLeft w:val="0"/>
      <w:marRight w:val="0"/>
      <w:marTop w:val="0"/>
      <w:marBottom w:val="0"/>
      <w:divBdr>
        <w:top w:val="none" w:sz="0" w:space="0" w:color="auto"/>
        <w:left w:val="none" w:sz="0" w:space="0" w:color="auto"/>
        <w:bottom w:val="none" w:sz="0" w:space="0" w:color="auto"/>
        <w:right w:val="none" w:sz="0" w:space="0" w:color="auto"/>
      </w:divBdr>
    </w:div>
    <w:div w:id="1227254427">
      <w:bodyDiv w:val="1"/>
      <w:marLeft w:val="0"/>
      <w:marRight w:val="0"/>
      <w:marTop w:val="0"/>
      <w:marBottom w:val="0"/>
      <w:divBdr>
        <w:top w:val="none" w:sz="0" w:space="0" w:color="auto"/>
        <w:left w:val="none" w:sz="0" w:space="0" w:color="auto"/>
        <w:bottom w:val="none" w:sz="0" w:space="0" w:color="auto"/>
        <w:right w:val="none" w:sz="0" w:space="0" w:color="auto"/>
      </w:divBdr>
    </w:div>
    <w:div w:id="1227450959">
      <w:bodyDiv w:val="1"/>
      <w:marLeft w:val="0"/>
      <w:marRight w:val="0"/>
      <w:marTop w:val="0"/>
      <w:marBottom w:val="0"/>
      <w:divBdr>
        <w:top w:val="none" w:sz="0" w:space="0" w:color="auto"/>
        <w:left w:val="none" w:sz="0" w:space="0" w:color="auto"/>
        <w:bottom w:val="none" w:sz="0" w:space="0" w:color="auto"/>
        <w:right w:val="none" w:sz="0" w:space="0" w:color="auto"/>
      </w:divBdr>
    </w:div>
    <w:div w:id="1227758395">
      <w:bodyDiv w:val="1"/>
      <w:marLeft w:val="0"/>
      <w:marRight w:val="0"/>
      <w:marTop w:val="0"/>
      <w:marBottom w:val="0"/>
      <w:divBdr>
        <w:top w:val="none" w:sz="0" w:space="0" w:color="auto"/>
        <w:left w:val="none" w:sz="0" w:space="0" w:color="auto"/>
        <w:bottom w:val="none" w:sz="0" w:space="0" w:color="auto"/>
        <w:right w:val="none" w:sz="0" w:space="0" w:color="auto"/>
      </w:divBdr>
    </w:div>
    <w:div w:id="1227763620">
      <w:bodyDiv w:val="1"/>
      <w:marLeft w:val="0"/>
      <w:marRight w:val="0"/>
      <w:marTop w:val="0"/>
      <w:marBottom w:val="0"/>
      <w:divBdr>
        <w:top w:val="none" w:sz="0" w:space="0" w:color="auto"/>
        <w:left w:val="none" w:sz="0" w:space="0" w:color="auto"/>
        <w:bottom w:val="none" w:sz="0" w:space="0" w:color="auto"/>
        <w:right w:val="none" w:sz="0" w:space="0" w:color="auto"/>
      </w:divBdr>
    </w:div>
    <w:div w:id="1228030198">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28539792">
      <w:bodyDiv w:val="1"/>
      <w:marLeft w:val="0"/>
      <w:marRight w:val="0"/>
      <w:marTop w:val="0"/>
      <w:marBottom w:val="0"/>
      <w:divBdr>
        <w:top w:val="none" w:sz="0" w:space="0" w:color="auto"/>
        <w:left w:val="none" w:sz="0" w:space="0" w:color="auto"/>
        <w:bottom w:val="none" w:sz="0" w:space="0" w:color="auto"/>
        <w:right w:val="none" w:sz="0" w:space="0" w:color="auto"/>
      </w:divBdr>
    </w:div>
    <w:div w:id="1228612260">
      <w:bodyDiv w:val="1"/>
      <w:marLeft w:val="0"/>
      <w:marRight w:val="0"/>
      <w:marTop w:val="0"/>
      <w:marBottom w:val="0"/>
      <w:divBdr>
        <w:top w:val="none" w:sz="0" w:space="0" w:color="auto"/>
        <w:left w:val="none" w:sz="0" w:space="0" w:color="auto"/>
        <w:bottom w:val="none" w:sz="0" w:space="0" w:color="auto"/>
        <w:right w:val="none" w:sz="0" w:space="0" w:color="auto"/>
      </w:divBdr>
    </w:div>
    <w:div w:id="1229146670">
      <w:bodyDiv w:val="1"/>
      <w:marLeft w:val="0"/>
      <w:marRight w:val="0"/>
      <w:marTop w:val="0"/>
      <w:marBottom w:val="0"/>
      <w:divBdr>
        <w:top w:val="none" w:sz="0" w:space="0" w:color="auto"/>
        <w:left w:val="none" w:sz="0" w:space="0" w:color="auto"/>
        <w:bottom w:val="none" w:sz="0" w:space="0" w:color="auto"/>
        <w:right w:val="none" w:sz="0" w:space="0" w:color="auto"/>
      </w:divBdr>
    </w:div>
    <w:div w:id="1230463872">
      <w:bodyDiv w:val="1"/>
      <w:marLeft w:val="0"/>
      <w:marRight w:val="0"/>
      <w:marTop w:val="0"/>
      <w:marBottom w:val="0"/>
      <w:divBdr>
        <w:top w:val="none" w:sz="0" w:space="0" w:color="auto"/>
        <w:left w:val="none" w:sz="0" w:space="0" w:color="auto"/>
        <w:bottom w:val="none" w:sz="0" w:space="0" w:color="auto"/>
        <w:right w:val="none" w:sz="0" w:space="0" w:color="auto"/>
      </w:divBdr>
    </w:div>
    <w:div w:id="1230581891">
      <w:bodyDiv w:val="1"/>
      <w:marLeft w:val="0"/>
      <w:marRight w:val="0"/>
      <w:marTop w:val="0"/>
      <w:marBottom w:val="0"/>
      <w:divBdr>
        <w:top w:val="none" w:sz="0" w:space="0" w:color="auto"/>
        <w:left w:val="none" w:sz="0" w:space="0" w:color="auto"/>
        <w:bottom w:val="none" w:sz="0" w:space="0" w:color="auto"/>
        <w:right w:val="none" w:sz="0" w:space="0" w:color="auto"/>
      </w:divBdr>
    </w:div>
    <w:div w:id="1230654098">
      <w:bodyDiv w:val="1"/>
      <w:marLeft w:val="0"/>
      <w:marRight w:val="0"/>
      <w:marTop w:val="0"/>
      <w:marBottom w:val="0"/>
      <w:divBdr>
        <w:top w:val="none" w:sz="0" w:space="0" w:color="auto"/>
        <w:left w:val="none" w:sz="0" w:space="0" w:color="auto"/>
        <w:bottom w:val="none" w:sz="0" w:space="0" w:color="auto"/>
        <w:right w:val="none" w:sz="0" w:space="0" w:color="auto"/>
      </w:divBdr>
    </w:div>
    <w:div w:id="1231231096">
      <w:bodyDiv w:val="1"/>
      <w:marLeft w:val="0"/>
      <w:marRight w:val="0"/>
      <w:marTop w:val="0"/>
      <w:marBottom w:val="0"/>
      <w:divBdr>
        <w:top w:val="none" w:sz="0" w:space="0" w:color="auto"/>
        <w:left w:val="none" w:sz="0" w:space="0" w:color="auto"/>
        <w:bottom w:val="none" w:sz="0" w:space="0" w:color="auto"/>
        <w:right w:val="none" w:sz="0" w:space="0" w:color="auto"/>
      </w:divBdr>
    </w:div>
    <w:div w:id="1231889236">
      <w:bodyDiv w:val="1"/>
      <w:marLeft w:val="0"/>
      <w:marRight w:val="0"/>
      <w:marTop w:val="0"/>
      <w:marBottom w:val="0"/>
      <w:divBdr>
        <w:top w:val="none" w:sz="0" w:space="0" w:color="auto"/>
        <w:left w:val="none" w:sz="0" w:space="0" w:color="auto"/>
        <w:bottom w:val="none" w:sz="0" w:space="0" w:color="auto"/>
        <w:right w:val="none" w:sz="0" w:space="0" w:color="auto"/>
      </w:divBdr>
    </w:div>
    <w:div w:id="1231959654">
      <w:bodyDiv w:val="1"/>
      <w:marLeft w:val="0"/>
      <w:marRight w:val="0"/>
      <w:marTop w:val="0"/>
      <w:marBottom w:val="0"/>
      <w:divBdr>
        <w:top w:val="none" w:sz="0" w:space="0" w:color="auto"/>
        <w:left w:val="none" w:sz="0" w:space="0" w:color="auto"/>
        <w:bottom w:val="none" w:sz="0" w:space="0" w:color="auto"/>
        <w:right w:val="none" w:sz="0" w:space="0" w:color="auto"/>
      </w:divBdr>
    </w:div>
    <w:div w:id="1231961981">
      <w:bodyDiv w:val="1"/>
      <w:marLeft w:val="0"/>
      <w:marRight w:val="0"/>
      <w:marTop w:val="0"/>
      <w:marBottom w:val="0"/>
      <w:divBdr>
        <w:top w:val="none" w:sz="0" w:space="0" w:color="auto"/>
        <w:left w:val="none" w:sz="0" w:space="0" w:color="auto"/>
        <w:bottom w:val="none" w:sz="0" w:space="0" w:color="auto"/>
        <w:right w:val="none" w:sz="0" w:space="0" w:color="auto"/>
      </w:divBdr>
    </w:div>
    <w:div w:id="1232275630">
      <w:bodyDiv w:val="1"/>
      <w:marLeft w:val="0"/>
      <w:marRight w:val="0"/>
      <w:marTop w:val="0"/>
      <w:marBottom w:val="0"/>
      <w:divBdr>
        <w:top w:val="none" w:sz="0" w:space="0" w:color="auto"/>
        <w:left w:val="none" w:sz="0" w:space="0" w:color="auto"/>
        <w:bottom w:val="none" w:sz="0" w:space="0" w:color="auto"/>
        <w:right w:val="none" w:sz="0" w:space="0" w:color="auto"/>
      </w:divBdr>
    </w:div>
    <w:div w:id="1232546287">
      <w:bodyDiv w:val="1"/>
      <w:marLeft w:val="0"/>
      <w:marRight w:val="0"/>
      <w:marTop w:val="0"/>
      <w:marBottom w:val="0"/>
      <w:divBdr>
        <w:top w:val="none" w:sz="0" w:space="0" w:color="auto"/>
        <w:left w:val="none" w:sz="0" w:space="0" w:color="auto"/>
        <w:bottom w:val="none" w:sz="0" w:space="0" w:color="auto"/>
        <w:right w:val="none" w:sz="0" w:space="0" w:color="auto"/>
      </w:divBdr>
    </w:div>
    <w:div w:id="1232740157">
      <w:bodyDiv w:val="1"/>
      <w:marLeft w:val="0"/>
      <w:marRight w:val="0"/>
      <w:marTop w:val="0"/>
      <w:marBottom w:val="0"/>
      <w:divBdr>
        <w:top w:val="none" w:sz="0" w:space="0" w:color="auto"/>
        <w:left w:val="none" w:sz="0" w:space="0" w:color="auto"/>
        <w:bottom w:val="none" w:sz="0" w:space="0" w:color="auto"/>
        <w:right w:val="none" w:sz="0" w:space="0" w:color="auto"/>
      </w:divBdr>
    </w:div>
    <w:div w:id="1232884178">
      <w:bodyDiv w:val="1"/>
      <w:marLeft w:val="0"/>
      <w:marRight w:val="0"/>
      <w:marTop w:val="0"/>
      <w:marBottom w:val="0"/>
      <w:divBdr>
        <w:top w:val="none" w:sz="0" w:space="0" w:color="auto"/>
        <w:left w:val="none" w:sz="0" w:space="0" w:color="auto"/>
        <w:bottom w:val="none" w:sz="0" w:space="0" w:color="auto"/>
        <w:right w:val="none" w:sz="0" w:space="0" w:color="auto"/>
      </w:divBdr>
    </w:div>
    <w:div w:id="1233193794">
      <w:bodyDiv w:val="1"/>
      <w:marLeft w:val="0"/>
      <w:marRight w:val="0"/>
      <w:marTop w:val="0"/>
      <w:marBottom w:val="0"/>
      <w:divBdr>
        <w:top w:val="none" w:sz="0" w:space="0" w:color="auto"/>
        <w:left w:val="none" w:sz="0" w:space="0" w:color="auto"/>
        <w:bottom w:val="none" w:sz="0" w:space="0" w:color="auto"/>
        <w:right w:val="none" w:sz="0" w:space="0" w:color="auto"/>
      </w:divBdr>
    </w:div>
    <w:div w:id="1233738718">
      <w:bodyDiv w:val="1"/>
      <w:marLeft w:val="0"/>
      <w:marRight w:val="0"/>
      <w:marTop w:val="0"/>
      <w:marBottom w:val="0"/>
      <w:divBdr>
        <w:top w:val="none" w:sz="0" w:space="0" w:color="auto"/>
        <w:left w:val="none" w:sz="0" w:space="0" w:color="auto"/>
        <w:bottom w:val="none" w:sz="0" w:space="0" w:color="auto"/>
        <w:right w:val="none" w:sz="0" w:space="0" w:color="auto"/>
      </w:divBdr>
    </w:div>
    <w:div w:id="1234467848">
      <w:bodyDiv w:val="1"/>
      <w:marLeft w:val="0"/>
      <w:marRight w:val="0"/>
      <w:marTop w:val="0"/>
      <w:marBottom w:val="0"/>
      <w:divBdr>
        <w:top w:val="none" w:sz="0" w:space="0" w:color="auto"/>
        <w:left w:val="none" w:sz="0" w:space="0" w:color="auto"/>
        <w:bottom w:val="none" w:sz="0" w:space="0" w:color="auto"/>
        <w:right w:val="none" w:sz="0" w:space="0" w:color="auto"/>
      </w:divBdr>
    </w:div>
    <w:div w:id="1234581615">
      <w:bodyDiv w:val="1"/>
      <w:marLeft w:val="0"/>
      <w:marRight w:val="0"/>
      <w:marTop w:val="0"/>
      <w:marBottom w:val="0"/>
      <w:divBdr>
        <w:top w:val="none" w:sz="0" w:space="0" w:color="auto"/>
        <w:left w:val="none" w:sz="0" w:space="0" w:color="auto"/>
        <w:bottom w:val="none" w:sz="0" w:space="0" w:color="auto"/>
        <w:right w:val="none" w:sz="0" w:space="0" w:color="auto"/>
      </w:divBdr>
    </w:div>
    <w:div w:id="1235049010">
      <w:bodyDiv w:val="1"/>
      <w:marLeft w:val="0"/>
      <w:marRight w:val="0"/>
      <w:marTop w:val="0"/>
      <w:marBottom w:val="0"/>
      <w:divBdr>
        <w:top w:val="none" w:sz="0" w:space="0" w:color="auto"/>
        <w:left w:val="none" w:sz="0" w:space="0" w:color="auto"/>
        <w:bottom w:val="none" w:sz="0" w:space="0" w:color="auto"/>
        <w:right w:val="none" w:sz="0" w:space="0" w:color="auto"/>
      </w:divBdr>
    </w:div>
    <w:div w:id="1235235776">
      <w:bodyDiv w:val="1"/>
      <w:marLeft w:val="0"/>
      <w:marRight w:val="0"/>
      <w:marTop w:val="0"/>
      <w:marBottom w:val="0"/>
      <w:divBdr>
        <w:top w:val="none" w:sz="0" w:space="0" w:color="auto"/>
        <w:left w:val="none" w:sz="0" w:space="0" w:color="auto"/>
        <w:bottom w:val="none" w:sz="0" w:space="0" w:color="auto"/>
        <w:right w:val="none" w:sz="0" w:space="0" w:color="auto"/>
      </w:divBdr>
    </w:div>
    <w:div w:id="1235317942">
      <w:bodyDiv w:val="1"/>
      <w:marLeft w:val="0"/>
      <w:marRight w:val="0"/>
      <w:marTop w:val="0"/>
      <w:marBottom w:val="0"/>
      <w:divBdr>
        <w:top w:val="none" w:sz="0" w:space="0" w:color="auto"/>
        <w:left w:val="none" w:sz="0" w:space="0" w:color="auto"/>
        <w:bottom w:val="none" w:sz="0" w:space="0" w:color="auto"/>
        <w:right w:val="none" w:sz="0" w:space="0" w:color="auto"/>
      </w:divBdr>
    </w:div>
    <w:div w:id="1235969324">
      <w:bodyDiv w:val="1"/>
      <w:marLeft w:val="0"/>
      <w:marRight w:val="0"/>
      <w:marTop w:val="0"/>
      <w:marBottom w:val="0"/>
      <w:divBdr>
        <w:top w:val="none" w:sz="0" w:space="0" w:color="auto"/>
        <w:left w:val="none" w:sz="0" w:space="0" w:color="auto"/>
        <w:bottom w:val="none" w:sz="0" w:space="0" w:color="auto"/>
        <w:right w:val="none" w:sz="0" w:space="0" w:color="auto"/>
      </w:divBdr>
    </w:div>
    <w:div w:id="1236091581">
      <w:bodyDiv w:val="1"/>
      <w:marLeft w:val="0"/>
      <w:marRight w:val="0"/>
      <w:marTop w:val="0"/>
      <w:marBottom w:val="0"/>
      <w:divBdr>
        <w:top w:val="none" w:sz="0" w:space="0" w:color="auto"/>
        <w:left w:val="none" w:sz="0" w:space="0" w:color="auto"/>
        <w:bottom w:val="none" w:sz="0" w:space="0" w:color="auto"/>
        <w:right w:val="none" w:sz="0" w:space="0" w:color="auto"/>
      </w:divBdr>
    </w:div>
    <w:div w:id="1236429265">
      <w:bodyDiv w:val="1"/>
      <w:marLeft w:val="0"/>
      <w:marRight w:val="0"/>
      <w:marTop w:val="0"/>
      <w:marBottom w:val="0"/>
      <w:divBdr>
        <w:top w:val="none" w:sz="0" w:space="0" w:color="auto"/>
        <w:left w:val="none" w:sz="0" w:space="0" w:color="auto"/>
        <w:bottom w:val="none" w:sz="0" w:space="0" w:color="auto"/>
        <w:right w:val="none" w:sz="0" w:space="0" w:color="auto"/>
      </w:divBdr>
    </w:div>
    <w:div w:id="1236475344">
      <w:bodyDiv w:val="1"/>
      <w:marLeft w:val="0"/>
      <w:marRight w:val="0"/>
      <w:marTop w:val="0"/>
      <w:marBottom w:val="0"/>
      <w:divBdr>
        <w:top w:val="none" w:sz="0" w:space="0" w:color="auto"/>
        <w:left w:val="none" w:sz="0" w:space="0" w:color="auto"/>
        <w:bottom w:val="none" w:sz="0" w:space="0" w:color="auto"/>
        <w:right w:val="none" w:sz="0" w:space="0" w:color="auto"/>
      </w:divBdr>
    </w:div>
    <w:div w:id="1236890912">
      <w:bodyDiv w:val="1"/>
      <w:marLeft w:val="0"/>
      <w:marRight w:val="0"/>
      <w:marTop w:val="0"/>
      <w:marBottom w:val="0"/>
      <w:divBdr>
        <w:top w:val="none" w:sz="0" w:space="0" w:color="auto"/>
        <w:left w:val="none" w:sz="0" w:space="0" w:color="auto"/>
        <w:bottom w:val="none" w:sz="0" w:space="0" w:color="auto"/>
        <w:right w:val="none" w:sz="0" w:space="0" w:color="auto"/>
      </w:divBdr>
    </w:div>
    <w:div w:id="1237738122">
      <w:bodyDiv w:val="1"/>
      <w:marLeft w:val="0"/>
      <w:marRight w:val="0"/>
      <w:marTop w:val="0"/>
      <w:marBottom w:val="0"/>
      <w:divBdr>
        <w:top w:val="none" w:sz="0" w:space="0" w:color="auto"/>
        <w:left w:val="none" w:sz="0" w:space="0" w:color="auto"/>
        <w:bottom w:val="none" w:sz="0" w:space="0" w:color="auto"/>
        <w:right w:val="none" w:sz="0" w:space="0" w:color="auto"/>
      </w:divBdr>
    </w:div>
    <w:div w:id="1237785281">
      <w:bodyDiv w:val="1"/>
      <w:marLeft w:val="0"/>
      <w:marRight w:val="0"/>
      <w:marTop w:val="0"/>
      <w:marBottom w:val="0"/>
      <w:divBdr>
        <w:top w:val="none" w:sz="0" w:space="0" w:color="auto"/>
        <w:left w:val="none" w:sz="0" w:space="0" w:color="auto"/>
        <w:bottom w:val="none" w:sz="0" w:space="0" w:color="auto"/>
        <w:right w:val="none" w:sz="0" w:space="0" w:color="auto"/>
      </w:divBdr>
    </w:div>
    <w:div w:id="1237932873">
      <w:bodyDiv w:val="1"/>
      <w:marLeft w:val="0"/>
      <w:marRight w:val="0"/>
      <w:marTop w:val="0"/>
      <w:marBottom w:val="0"/>
      <w:divBdr>
        <w:top w:val="none" w:sz="0" w:space="0" w:color="auto"/>
        <w:left w:val="none" w:sz="0" w:space="0" w:color="auto"/>
        <w:bottom w:val="none" w:sz="0" w:space="0" w:color="auto"/>
        <w:right w:val="none" w:sz="0" w:space="0" w:color="auto"/>
      </w:divBdr>
    </w:div>
    <w:div w:id="1238324625">
      <w:bodyDiv w:val="1"/>
      <w:marLeft w:val="0"/>
      <w:marRight w:val="0"/>
      <w:marTop w:val="0"/>
      <w:marBottom w:val="0"/>
      <w:divBdr>
        <w:top w:val="none" w:sz="0" w:space="0" w:color="auto"/>
        <w:left w:val="none" w:sz="0" w:space="0" w:color="auto"/>
        <w:bottom w:val="none" w:sz="0" w:space="0" w:color="auto"/>
        <w:right w:val="none" w:sz="0" w:space="0" w:color="auto"/>
      </w:divBdr>
    </w:div>
    <w:div w:id="1238712440">
      <w:bodyDiv w:val="1"/>
      <w:marLeft w:val="0"/>
      <w:marRight w:val="0"/>
      <w:marTop w:val="0"/>
      <w:marBottom w:val="0"/>
      <w:divBdr>
        <w:top w:val="none" w:sz="0" w:space="0" w:color="auto"/>
        <w:left w:val="none" w:sz="0" w:space="0" w:color="auto"/>
        <w:bottom w:val="none" w:sz="0" w:space="0" w:color="auto"/>
        <w:right w:val="none" w:sz="0" w:space="0" w:color="auto"/>
      </w:divBdr>
    </w:div>
    <w:div w:id="1238789294">
      <w:bodyDiv w:val="1"/>
      <w:marLeft w:val="0"/>
      <w:marRight w:val="0"/>
      <w:marTop w:val="0"/>
      <w:marBottom w:val="0"/>
      <w:divBdr>
        <w:top w:val="none" w:sz="0" w:space="0" w:color="auto"/>
        <w:left w:val="none" w:sz="0" w:space="0" w:color="auto"/>
        <w:bottom w:val="none" w:sz="0" w:space="0" w:color="auto"/>
        <w:right w:val="none" w:sz="0" w:space="0" w:color="auto"/>
      </w:divBdr>
    </w:div>
    <w:div w:id="1238975146">
      <w:bodyDiv w:val="1"/>
      <w:marLeft w:val="0"/>
      <w:marRight w:val="0"/>
      <w:marTop w:val="0"/>
      <w:marBottom w:val="0"/>
      <w:divBdr>
        <w:top w:val="none" w:sz="0" w:space="0" w:color="auto"/>
        <w:left w:val="none" w:sz="0" w:space="0" w:color="auto"/>
        <w:bottom w:val="none" w:sz="0" w:space="0" w:color="auto"/>
        <w:right w:val="none" w:sz="0" w:space="0" w:color="auto"/>
      </w:divBdr>
    </w:div>
    <w:div w:id="1239555490">
      <w:bodyDiv w:val="1"/>
      <w:marLeft w:val="0"/>
      <w:marRight w:val="0"/>
      <w:marTop w:val="0"/>
      <w:marBottom w:val="0"/>
      <w:divBdr>
        <w:top w:val="none" w:sz="0" w:space="0" w:color="auto"/>
        <w:left w:val="none" w:sz="0" w:space="0" w:color="auto"/>
        <w:bottom w:val="none" w:sz="0" w:space="0" w:color="auto"/>
        <w:right w:val="none" w:sz="0" w:space="0" w:color="auto"/>
      </w:divBdr>
    </w:div>
    <w:div w:id="1239902310">
      <w:bodyDiv w:val="1"/>
      <w:marLeft w:val="0"/>
      <w:marRight w:val="0"/>
      <w:marTop w:val="0"/>
      <w:marBottom w:val="0"/>
      <w:divBdr>
        <w:top w:val="none" w:sz="0" w:space="0" w:color="auto"/>
        <w:left w:val="none" w:sz="0" w:space="0" w:color="auto"/>
        <w:bottom w:val="none" w:sz="0" w:space="0" w:color="auto"/>
        <w:right w:val="none" w:sz="0" w:space="0" w:color="auto"/>
      </w:divBdr>
    </w:div>
    <w:div w:id="1240099626">
      <w:bodyDiv w:val="1"/>
      <w:marLeft w:val="0"/>
      <w:marRight w:val="0"/>
      <w:marTop w:val="0"/>
      <w:marBottom w:val="0"/>
      <w:divBdr>
        <w:top w:val="none" w:sz="0" w:space="0" w:color="auto"/>
        <w:left w:val="none" w:sz="0" w:space="0" w:color="auto"/>
        <w:bottom w:val="none" w:sz="0" w:space="0" w:color="auto"/>
        <w:right w:val="none" w:sz="0" w:space="0" w:color="auto"/>
      </w:divBdr>
    </w:div>
    <w:div w:id="1240284996">
      <w:bodyDiv w:val="1"/>
      <w:marLeft w:val="0"/>
      <w:marRight w:val="0"/>
      <w:marTop w:val="0"/>
      <w:marBottom w:val="0"/>
      <w:divBdr>
        <w:top w:val="none" w:sz="0" w:space="0" w:color="auto"/>
        <w:left w:val="none" w:sz="0" w:space="0" w:color="auto"/>
        <w:bottom w:val="none" w:sz="0" w:space="0" w:color="auto"/>
        <w:right w:val="none" w:sz="0" w:space="0" w:color="auto"/>
      </w:divBdr>
    </w:div>
    <w:div w:id="1240286412">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0403935">
      <w:bodyDiv w:val="1"/>
      <w:marLeft w:val="0"/>
      <w:marRight w:val="0"/>
      <w:marTop w:val="0"/>
      <w:marBottom w:val="0"/>
      <w:divBdr>
        <w:top w:val="none" w:sz="0" w:space="0" w:color="auto"/>
        <w:left w:val="none" w:sz="0" w:space="0" w:color="auto"/>
        <w:bottom w:val="none" w:sz="0" w:space="0" w:color="auto"/>
        <w:right w:val="none" w:sz="0" w:space="0" w:color="auto"/>
      </w:divBdr>
    </w:div>
    <w:div w:id="1240477231">
      <w:bodyDiv w:val="1"/>
      <w:marLeft w:val="0"/>
      <w:marRight w:val="0"/>
      <w:marTop w:val="0"/>
      <w:marBottom w:val="0"/>
      <w:divBdr>
        <w:top w:val="none" w:sz="0" w:space="0" w:color="auto"/>
        <w:left w:val="none" w:sz="0" w:space="0" w:color="auto"/>
        <w:bottom w:val="none" w:sz="0" w:space="0" w:color="auto"/>
        <w:right w:val="none" w:sz="0" w:space="0" w:color="auto"/>
      </w:divBdr>
    </w:div>
    <w:div w:id="1240484252">
      <w:bodyDiv w:val="1"/>
      <w:marLeft w:val="0"/>
      <w:marRight w:val="0"/>
      <w:marTop w:val="0"/>
      <w:marBottom w:val="0"/>
      <w:divBdr>
        <w:top w:val="none" w:sz="0" w:space="0" w:color="auto"/>
        <w:left w:val="none" w:sz="0" w:space="0" w:color="auto"/>
        <w:bottom w:val="none" w:sz="0" w:space="0" w:color="auto"/>
        <w:right w:val="none" w:sz="0" w:space="0" w:color="auto"/>
      </w:divBdr>
    </w:div>
    <w:div w:id="1240941041">
      <w:bodyDiv w:val="1"/>
      <w:marLeft w:val="0"/>
      <w:marRight w:val="0"/>
      <w:marTop w:val="0"/>
      <w:marBottom w:val="0"/>
      <w:divBdr>
        <w:top w:val="none" w:sz="0" w:space="0" w:color="auto"/>
        <w:left w:val="none" w:sz="0" w:space="0" w:color="auto"/>
        <w:bottom w:val="none" w:sz="0" w:space="0" w:color="auto"/>
        <w:right w:val="none" w:sz="0" w:space="0" w:color="auto"/>
      </w:divBdr>
    </w:div>
    <w:div w:id="1241141357">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1676131">
      <w:bodyDiv w:val="1"/>
      <w:marLeft w:val="0"/>
      <w:marRight w:val="0"/>
      <w:marTop w:val="0"/>
      <w:marBottom w:val="0"/>
      <w:divBdr>
        <w:top w:val="none" w:sz="0" w:space="0" w:color="auto"/>
        <w:left w:val="none" w:sz="0" w:space="0" w:color="auto"/>
        <w:bottom w:val="none" w:sz="0" w:space="0" w:color="auto"/>
        <w:right w:val="none" w:sz="0" w:space="0" w:color="auto"/>
      </w:divBdr>
    </w:div>
    <w:div w:id="1242258265">
      <w:bodyDiv w:val="1"/>
      <w:marLeft w:val="0"/>
      <w:marRight w:val="0"/>
      <w:marTop w:val="0"/>
      <w:marBottom w:val="0"/>
      <w:divBdr>
        <w:top w:val="none" w:sz="0" w:space="0" w:color="auto"/>
        <w:left w:val="none" w:sz="0" w:space="0" w:color="auto"/>
        <w:bottom w:val="none" w:sz="0" w:space="0" w:color="auto"/>
        <w:right w:val="none" w:sz="0" w:space="0" w:color="auto"/>
      </w:divBdr>
    </w:div>
    <w:div w:id="1242368131">
      <w:bodyDiv w:val="1"/>
      <w:marLeft w:val="0"/>
      <w:marRight w:val="0"/>
      <w:marTop w:val="0"/>
      <w:marBottom w:val="0"/>
      <w:divBdr>
        <w:top w:val="none" w:sz="0" w:space="0" w:color="auto"/>
        <w:left w:val="none" w:sz="0" w:space="0" w:color="auto"/>
        <w:bottom w:val="none" w:sz="0" w:space="0" w:color="auto"/>
        <w:right w:val="none" w:sz="0" w:space="0" w:color="auto"/>
      </w:divBdr>
    </w:div>
    <w:div w:id="1242452535">
      <w:bodyDiv w:val="1"/>
      <w:marLeft w:val="0"/>
      <w:marRight w:val="0"/>
      <w:marTop w:val="0"/>
      <w:marBottom w:val="0"/>
      <w:divBdr>
        <w:top w:val="none" w:sz="0" w:space="0" w:color="auto"/>
        <w:left w:val="none" w:sz="0" w:space="0" w:color="auto"/>
        <w:bottom w:val="none" w:sz="0" w:space="0" w:color="auto"/>
        <w:right w:val="none" w:sz="0" w:space="0" w:color="auto"/>
      </w:divBdr>
    </w:div>
    <w:div w:id="1242829774">
      <w:bodyDiv w:val="1"/>
      <w:marLeft w:val="0"/>
      <w:marRight w:val="0"/>
      <w:marTop w:val="0"/>
      <w:marBottom w:val="0"/>
      <w:divBdr>
        <w:top w:val="none" w:sz="0" w:space="0" w:color="auto"/>
        <w:left w:val="none" w:sz="0" w:space="0" w:color="auto"/>
        <w:bottom w:val="none" w:sz="0" w:space="0" w:color="auto"/>
        <w:right w:val="none" w:sz="0" w:space="0" w:color="auto"/>
      </w:divBdr>
    </w:div>
    <w:div w:id="1242835585">
      <w:bodyDiv w:val="1"/>
      <w:marLeft w:val="0"/>
      <w:marRight w:val="0"/>
      <w:marTop w:val="0"/>
      <w:marBottom w:val="0"/>
      <w:divBdr>
        <w:top w:val="none" w:sz="0" w:space="0" w:color="auto"/>
        <w:left w:val="none" w:sz="0" w:space="0" w:color="auto"/>
        <w:bottom w:val="none" w:sz="0" w:space="0" w:color="auto"/>
        <w:right w:val="none" w:sz="0" w:space="0" w:color="auto"/>
      </w:divBdr>
    </w:div>
    <w:div w:id="1242908242">
      <w:bodyDiv w:val="1"/>
      <w:marLeft w:val="0"/>
      <w:marRight w:val="0"/>
      <w:marTop w:val="0"/>
      <w:marBottom w:val="0"/>
      <w:divBdr>
        <w:top w:val="none" w:sz="0" w:space="0" w:color="auto"/>
        <w:left w:val="none" w:sz="0" w:space="0" w:color="auto"/>
        <w:bottom w:val="none" w:sz="0" w:space="0" w:color="auto"/>
        <w:right w:val="none" w:sz="0" w:space="0" w:color="auto"/>
      </w:divBdr>
    </w:div>
    <w:div w:id="1242912524">
      <w:bodyDiv w:val="1"/>
      <w:marLeft w:val="0"/>
      <w:marRight w:val="0"/>
      <w:marTop w:val="0"/>
      <w:marBottom w:val="0"/>
      <w:divBdr>
        <w:top w:val="none" w:sz="0" w:space="0" w:color="auto"/>
        <w:left w:val="none" w:sz="0" w:space="0" w:color="auto"/>
        <w:bottom w:val="none" w:sz="0" w:space="0" w:color="auto"/>
        <w:right w:val="none" w:sz="0" w:space="0" w:color="auto"/>
      </w:divBdr>
    </w:div>
    <w:div w:id="1242983819">
      <w:bodyDiv w:val="1"/>
      <w:marLeft w:val="0"/>
      <w:marRight w:val="0"/>
      <w:marTop w:val="0"/>
      <w:marBottom w:val="0"/>
      <w:divBdr>
        <w:top w:val="none" w:sz="0" w:space="0" w:color="auto"/>
        <w:left w:val="none" w:sz="0" w:space="0" w:color="auto"/>
        <w:bottom w:val="none" w:sz="0" w:space="0" w:color="auto"/>
        <w:right w:val="none" w:sz="0" w:space="0" w:color="auto"/>
      </w:divBdr>
    </w:div>
    <w:div w:id="1244216150">
      <w:bodyDiv w:val="1"/>
      <w:marLeft w:val="0"/>
      <w:marRight w:val="0"/>
      <w:marTop w:val="0"/>
      <w:marBottom w:val="0"/>
      <w:divBdr>
        <w:top w:val="none" w:sz="0" w:space="0" w:color="auto"/>
        <w:left w:val="none" w:sz="0" w:space="0" w:color="auto"/>
        <w:bottom w:val="none" w:sz="0" w:space="0" w:color="auto"/>
        <w:right w:val="none" w:sz="0" w:space="0" w:color="auto"/>
      </w:divBdr>
    </w:div>
    <w:div w:id="1244290826">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4726753">
      <w:bodyDiv w:val="1"/>
      <w:marLeft w:val="0"/>
      <w:marRight w:val="0"/>
      <w:marTop w:val="0"/>
      <w:marBottom w:val="0"/>
      <w:divBdr>
        <w:top w:val="none" w:sz="0" w:space="0" w:color="auto"/>
        <w:left w:val="none" w:sz="0" w:space="0" w:color="auto"/>
        <w:bottom w:val="none" w:sz="0" w:space="0" w:color="auto"/>
        <w:right w:val="none" w:sz="0" w:space="0" w:color="auto"/>
      </w:divBdr>
    </w:div>
    <w:div w:id="1244988995">
      <w:bodyDiv w:val="1"/>
      <w:marLeft w:val="0"/>
      <w:marRight w:val="0"/>
      <w:marTop w:val="0"/>
      <w:marBottom w:val="0"/>
      <w:divBdr>
        <w:top w:val="none" w:sz="0" w:space="0" w:color="auto"/>
        <w:left w:val="none" w:sz="0" w:space="0" w:color="auto"/>
        <w:bottom w:val="none" w:sz="0" w:space="0" w:color="auto"/>
        <w:right w:val="none" w:sz="0" w:space="0" w:color="auto"/>
      </w:divBdr>
    </w:div>
    <w:div w:id="1245796469">
      <w:bodyDiv w:val="1"/>
      <w:marLeft w:val="0"/>
      <w:marRight w:val="0"/>
      <w:marTop w:val="0"/>
      <w:marBottom w:val="0"/>
      <w:divBdr>
        <w:top w:val="none" w:sz="0" w:space="0" w:color="auto"/>
        <w:left w:val="none" w:sz="0" w:space="0" w:color="auto"/>
        <w:bottom w:val="none" w:sz="0" w:space="0" w:color="auto"/>
        <w:right w:val="none" w:sz="0" w:space="0" w:color="auto"/>
      </w:divBdr>
    </w:div>
    <w:div w:id="1245916638">
      <w:bodyDiv w:val="1"/>
      <w:marLeft w:val="0"/>
      <w:marRight w:val="0"/>
      <w:marTop w:val="0"/>
      <w:marBottom w:val="0"/>
      <w:divBdr>
        <w:top w:val="none" w:sz="0" w:space="0" w:color="auto"/>
        <w:left w:val="none" w:sz="0" w:space="0" w:color="auto"/>
        <w:bottom w:val="none" w:sz="0" w:space="0" w:color="auto"/>
        <w:right w:val="none" w:sz="0" w:space="0" w:color="auto"/>
      </w:divBdr>
    </w:div>
    <w:div w:id="1246452455">
      <w:bodyDiv w:val="1"/>
      <w:marLeft w:val="0"/>
      <w:marRight w:val="0"/>
      <w:marTop w:val="0"/>
      <w:marBottom w:val="0"/>
      <w:divBdr>
        <w:top w:val="none" w:sz="0" w:space="0" w:color="auto"/>
        <w:left w:val="none" w:sz="0" w:space="0" w:color="auto"/>
        <w:bottom w:val="none" w:sz="0" w:space="0" w:color="auto"/>
        <w:right w:val="none" w:sz="0" w:space="0" w:color="auto"/>
      </w:divBdr>
    </w:div>
    <w:div w:id="1246498509">
      <w:bodyDiv w:val="1"/>
      <w:marLeft w:val="0"/>
      <w:marRight w:val="0"/>
      <w:marTop w:val="0"/>
      <w:marBottom w:val="0"/>
      <w:divBdr>
        <w:top w:val="none" w:sz="0" w:space="0" w:color="auto"/>
        <w:left w:val="none" w:sz="0" w:space="0" w:color="auto"/>
        <w:bottom w:val="none" w:sz="0" w:space="0" w:color="auto"/>
        <w:right w:val="none" w:sz="0" w:space="0" w:color="auto"/>
      </w:divBdr>
    </w:div>
    <w:div w:id="1246762020">
      <w:bodyDiv w:val="1"/>
      <w:marLeft w:val="0"/>
      <w:marRight w:val="0"/>
      <w:marTop w:val="0"/>
      <w:marBottom w:val="0"/>
      <w:divBdr>
        <w:top w:val="none" w:sz="0" w:space="0" w:color="auto"/>
        <w:left w:val="none" w:sz="0" w:space="0" w:color="auto"/>
        <w:bottom w:val="none" w:sz="0" w:space="0" w:color="auto"/>
        <w:right w:val="none" w:sz="0" w:space="0" w:color="auto"/>
      </w:divBdr>
    </w:div>
    <w:div w:id="1247879197">
      <w:bodyDiv w:val="1"/>
      <w:marLeft w:val="0"/>
      <w:marRight w:val="0"/>
      <w:marTop w:val="0"/>
      <w:marBottom w:val="0"/>
      <w:divBdr>
        <w:top w:val="none" w:sz="0" w:space="0" w:color="auto"/>
        <w:left w:val="none" w:sz="0" w:space="0" w:color="auto"/>
        <w:bottom w:val="none" w:sz="0" w:space="0" w:color="auto"/>
        <w:right w:val="none" w:sz="0" w:space="0" w:color="auto"/>
      </w:divBdr>
    </w:div>
    <w:div w:id="1248348911">
      <w:bodyDiv w:val="1"/>
      <w:marLeft w:val="0"/>
      <w:marRight w:val="0"/>
      <w:marTop w:val="0"/>
      <w:marBottom w:val="0"/>
      <w:divBdr>
        <w:top w:val="none" w:sz="0" w:space="0" w:color="auto"/>
        <w:left w:val="none" w:sz="0" w:space="0" w:color="auto"/>
        <w:bottom w:val="none" w:sz="0" w:space="0" w:color="auto"/>
        <w:right w:val="none" w:sz="0" w:space="0" w:color="auto"/>
      </w:divBdr>
    </w:div>
    <w:div w:id="1248611621">
      <w:bodyDiv w:val="1"/>
      <w:marLeft w:val="0"/>
      <w:marRight w:val="0"/>
      <w:marTop w:val="0"/>
      <w:marBottom w:val="0"/>
      <w:divBdr>
        <w:top w:val="none" w:sz="0" w:space="0" w:color="auto"/>
        <w:left w:val="none" w:sz="0" w:space="0" w:color="auto"/>
        <w:bottom w:val="none" w:sz="0" w:space="0" w:color="auto"/>
        <w:right w:val="none" w:sz="0" w:space="0" w:color="auto"/>
      </w:divBdr>
    </w:div>
    <w:div w:id="1248803840">
      <w:bodyDiv w:val="1"/>
      <w:marLeft w:val="0"/>
      <w:marRight w:val="0"/>
      <w:marTop w:val="0"/>
      <w:marBottom w:val="0"/>
      <w:divBdr>
        <w:top w:val="none" w:sz="0" w:space="0" w:color="auto"/>
        <w:left w:val="none" w:sz="0" w:space="0" w:color="auto"/>
        <w:bottom w:val="none" w:sz="0" w:space="0" w:color="auto"/>
        <w:right w:val="none" w:sz="0" w:space="0" w:color="auto"/>
      </w:divBdr>
    </w:div>
    <w:div w:id="1249386619">
      <w:bodyDiv w:val="1"/>
      <w:marLeft w:val="0"/>
      <w:marRight w:val="0"/>
      <w:marTop w:val="0"/>
      <w:marBottom w:val="0"/>
      <w:divBdr>
        <w:top w:val="none" w:sz="0" w:space="0" w:color="auto"/>
        <w:left w:val="none" w:sz="0" w:space="0" w:color="auto"/>
        <w:bottom w:val="none" w:sz="0" w:space="0" w:color="auto"/>
        <w:right w:val="none" w:sz="0" w:space="0" w:color="auto"/>
      </w:divBdr>
    </w:div>
    <w:div w:id="1249463745">
      <w:bodyDiv w:val="1"/>
      <w:marLeft w:val="0"/>
      <w:marRight w:val="0"/>
      <w:marTop w:val="0"/>
      <w:marBottom w:val="0"/>
      <w:divBdr>
        <w:top w:val="none" w:sz="0" w:space="0" w:color="auto"/>
        <w:left w:val="none" w:sz="0" w:space="0" w:color="auto"/>
        <w:bottom w:val="none" w:sz="0" w:space="0" w:color="auto"/>
        <w:right w:val="none" w:sz="0" w:space="0" w:color="auto"/>
      </w:divBdr>
    </w:div>
    <w:div w:id="1249654844">
      <w:bodyDiv w:val="1"/>
      <w:marLeft w:val="0"/>
      <w:marRight w:val="0"/>
      <w:marTop w:val="0"/>
      <w:marBottom w:val="0"/>
      <w:divBdr>
        <w:top w:val="none" w:sz="0" w:space="0" w:color="auto"/>
        <w:left w:val="none" w:sz="0" w:space="0" w:color="auto"/>
        <w:bottom w:val="none" w:sz="0" w:space="0" w:color="auto"/>
        <w:right w:val="none" w:sz="0" w:space="0" w:color="auto"/>
      </w:divBdr>
    </w:div>
    <w:div w:id="1249656375">
      <w:bodyDiv w:val="1"/>
      <w:marLeft w:val="0"/>
      <w:marRight w:val="0"/>
      <w:marTop w:val="0"/>
      <w:marBottom w:val="0"/>
      <w:divBdr>
        <w:top w:val="none" w:sz="0" w:space="0" w:color="auto"/>
        <w:left w:val="none" w:sz="0" w:space="0" w:color="auto"/>
        <w:bottom w:val="none" w:sz="0" w:space="0" w:color="auto"/>
        <w:right w:val="none" w:sz="0" w:space="0" w:color="auto"/>
      </w:divBdr>
    </w:div>
    <w:div w:id="1249657944">
      <w:bodyDiv w:val="1"/>
      <w:marLeft w:val="0"/>
      <w:marRight w:val="0"/>
      <w:marTop w:val="0"/>
      <w:marBottom w:val="0"/>
      <w:divBdr>
        <w:top w:val="none" w:sz="0" w:space="0" w:color="auto"/>
        <w:left w:val="none" w:sz="0" w:space="0" w:color="auto"/>
        <w:bottom w:val="none" w:sz="0" w:space="0" w:color="auto"/>
        <w:right w:val="none" w:sz="0" w:space="0" w:color="auto"/>
      </w:divBdr>
    </w:div>
    <w:div w:id="1249658379">
      <w:bodyDiv w:val="1"/>
      <w:marLeft w:val="0"/>
      <w:marRight w:val="0"/>
      <w:marTop w:val="0"/>
      <w:marBottom w:val="0"/>
      <w:divBdr>
        <w:top w:val="none" w:sz="0" w:space="0" w:color="auto"/>
        <w:left w:val="none" w:sz="0" w:space="0" w:color="auto"/>
        <w:bottom w:val="none" w:sz="0" w:space="0" w:color="auto"/>
        <w:right w:val="none" w:sz="0" w:space="0" w:color="auto"/>
      </w:divBdr>
    </w:div>
    <w:div w:id="1249735914">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0122240">
      <w:bodyDiv w:val="1"/>
      <w:marLeft w:val="0"/>
      <w:marRight w:val="0"/>
      <w:marTop w:val="0"/>
      <w:marBottom w:val="0"/>
      <w:divBdr>
        <w:top w:val="none" w:sz="0" w:space="0" w:color="auto"/>
        <w:left w:val="none" w:sz="0" w:space="0" w:color="auto"/>
        <w:bottom w:val="none" w:sz="0" w:space="0" w:color="auto"/>
        <w:right w:val="none" w:sz="0" w:space="0" w:color="auto"/>
      </w:divBdr>
    </w:div>
    <w:div w:id="1250196735">
      <w:bodyDiv w:val="1"/>
      <w:marLeft w:val="0"/>
      <w:marRight w:val="0"/>
      <w:marTop w:val="0"/>
      <w:marBottom w:val="0"/>
      <w:divBdr>
        <w:top w:val="none" w:sz="0" w:space="0" w:color="auto"/>
        <w:left w:val="none" w:sz="0" w:space="0" w:color="auto"/>
        <w:bottom w:val="none" w:sz="0" w:space="0" w:color="auto"/>
        <w:right w:val="none" w:sz="0" w:space="0" w:color="auto"/>
      </w:divBdr>
    </w:div>
    <w:div w:id="1250888287">
      <w:bodyDiv w:val="1"/>
      <w:marLeft w:val="0"/>
      <w:marRight w:val="0"/>
      <w:marTop w:val="0"/>
      <w:marBottom w:val="0"/>
      <w:divBdr>
        <w:top w:val="none" w:sz="0" w:space="0" w:color="auto"/>
        <w:left w:val="none" w:sz="0" w:space="0" w:color="auto"/>
        <w:bottom w:val="none" w:sz="0" w:space="0" w:color="auto"/>
        <w:right w:val="none" w:sz="0" w:space="0" w:color="auto"/>
      </w:divBdr>
    </w:div>
    <w:div w:id="1251085459">
      <w:bodyDiv w:val="1"/>
      <w:marLeft w:val="0"/>
      <w:marRight w:val="0"/>
      <w:marTop w:val="0"/>
      <w:marBottom w:val="0"/>
      <w:divBdr>
        <w:top w:val="none" w:sz="0" w:space="0" w:color="auto"/>
        <w:left w:val="none" w:sz="0" w:space="0" w:color="auto"/>
        <w:bottom w:val="none" w:sz="0" w:space="0" w:color="auto"/>
        <w:right w:val="none" w:sz="0" w:space="0" w:color="auto"/>
      </w:divBdr>
    </w:div>
    <w:div w:id="1251697129">
      <w:bodyDiv w:val="1"/>
      <w:marLeft w:val="0"/>
      <w:marRight w:val="0"/>
      <w:marTop w:val="0"/>
      <w:marBottom w:val="0"/>
      <w:divBdr>
        <w:top w:val="none" w:sz="0" w:space="0" w:color="auto"/>
        <w:left w:val="none" w:sz="0" w:space="0" w:color="auto"/>
        <w:bottom w:val="none" w:sz="0" w:space="0" w:color="auto"/>
        <w:right w:val="none" w:sz="0" w:space="0" w:color="auto"/>
      </w:divBdr>
    </w:div>
    <w:div w:id="1252741733">
      <w:bodyDiv w:val="1"/>
      <w:marLeft w:val="0"/>
      <w:marRight w:val="0"/>
      <w:marTop w:val="0"/>
      <w:marBottom w:val="0"/>
      <w:divBdr>
        <w:top w:val="none" w:sz="0" w:space="0" w:color="auto"/>
        <w:left w:val="none" w:sz="0" w:space="0" w:color="auto"/>
        <w:bottom w:val="none" w:sz="0" w:space="0" w:color="auto"/>
        <w:right w:val="none" w:sz="0" w:space="0" w:color="auto"/>
      </w:divBdr>
    </w:div>
    <w:div w:id="1252814302">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247629">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465457">
      <w:bodyDiv w:val="1"/>
      <w:marLeft w:val="0"/>
      <w:marRight w:val="0"/>
      <w:marTop w:val="0"/>
      <w:marBottom w:val="0"/>
      <w:divBdr>
        <w:top w:val="none" w:sz="0" w:space="0" w:color="auto"/>
        <w:left w:val="none" w:sz="0" w:space="0" w:color="auto"/>
        <w:bottom w:val="none" w:sz="0" w:space="0" w:color="auto"/>
        <w:right w:val="none" w:sz="0" w:space="0" w:color="auto"/>
      </w:divBdr>
    </w:div>
    <w:div w:id="1253511277">
      <w:bodyDiv w:val="1"/>
      <w:marLeft w:val="0"/>
      <w:marRight w:val="0"/>
      <w:marTop w:val="0"/>
      <w:marBottom w:val="0"/>
      <w:divBdr>
        <w:top w:val="none" w:sz="0" w:space="0" w:color="auto"/>
        <w:left w:val="none" w:sz="0" w:space="0" w:color="auto"/>
        <w:bottom w:val="none" w:sz="0" w:space="0" w:color="auto"/>
        <w:right w:val="none" w:sz="0" w:space="0" w:color="auto"/>
      </w:divBdr>
    </w:div>
    <w:div w:id="1253514391">
      <w:bodyDiv w:val="1"/>
      <w:marLeft w:val="0"/>
      <w:marRight w:val="0"/>
      <w:marTop w:val="0"/>
      <w:marBottom w:val="0"/>
      <w:divBdr>
        <w:top w:val="none" w:sz="0" w:space="0" w:color="auto"/>
        <w:left w:val="none" w:sz="0" w:space="0" w:color="auto"/>
        <w:bottom w:val="none" w:sz="0" w:space="0" w:color="auto"/>
        <w:right w:val="none" w:sz="0" w:space="0" w:color="auto"/>
      </w:divBdr>
    </w:div>
    <w:div w:id="1253660464">
      <w:bodyDiv w:val="1"/>
      <w:marLeft w:val="0"/>
      <w:marRight w:val="0"/>
      <w:marTop w:val="0"/>
      <w:marBottom w:val="0"/>
      <w:divBdr>
        <w:top w:val="none" w:sz="0" w:space="0" w:color="auto"/>
        <w:left w:val="none" w:sz="0" w:space="0" w:color="auto"/>
        <w:bottom w:val="none" w:sz="0" w:space="0" w:color="auto"/>
        <w:right w:val="none" w:sz="0" w:space="0" w:color="auto"/>
      </w:divBdr>
    </w:div>
    <w:div w:id="1253664045">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54701009">
      <w:bodyDiv w:val="1"/>
      <w:marLeft w:val="0"/>
      <w:marRight w:val="0"/>
      <w:marTop w:val="0"/>
      <w:marBottom w:val="0"/>
      <w:divBdr>
        <w:top w:val="none" w:sz="0" w:space="0" w:color="auto"/>
        <w:left w:val="none" w:sz="0" w:space="0" w:color="auto"/>
        <w:bottom w:val="none" w:sz="0" w:space="0" w:color="auto"/>
        <w:right w:val="none" w:sz="0" w:space="0" w:color="auto"/>
      </w:divBdr>
    </w:div>
    <w:div w:id="1254704957">
      <w:bodyDiv w:val="1"/>
      <w:marLeft w:val="0"/>
      <w:marRight w:val="0"/>
      <w:marTop w:val="0"/>
      <w:marBottom w:val="0"/>
      <w:divBdr>
        <w:top w:val="none" w:sz="0" w:space="0" w:color="auto"/>
        <w:left w:val="none" w:sz="0" w:space="0" w:color="auto"/>
        <w:bottom w:val="none" w:sz="0" w:space="0" w:color="auto"/>
        <w:right w:val="none" w:sz="0" w:space="0" w:color="auto"/>
      </w:divBdr>
    </w:div>
    <w:div w:id="1254784089">
      <w:bodyDiv w:val="1"/>
      <w:marLeft w:val="0"/>
      <w:marRight w:val="0"/>
      <w:marTop w:val="0"/>
      <w:marBottom w:val="0"/>
      <w:divBdr>
        <w:top w:val="none" w:sz="0" w:space="0" w:color="auto"/>
        <w:left w:val="none" w:sz="0" w:space="0" w:color="auto"/>
        <w:bottom w:val="none" w:sz="0" w:space="0" w:color="auto"/>
        <w:right w:val="none" w:sz="0" w:space="0" w:color="auto"/>
      </w:divBdr>
    </w:div>
    <w:div w:id="1254975701">
      <w:bodyDiv w:val="1"/>
      <w:marLeft w:val="0"/>
      <w:marRight w:val="0"/>
      <w:marTop w:val="0"/>
      <w:marBottom w:val="0"/>
      <w:divBdr>
        <w:top w:val="none" w:sz="0" w:space="0" w:color="auto"/>
        <w:left w:val="none" w:sz="0" w:space="0" w:color="auto"/>
        <w:bottom w:val="none" w:sz="0" w:space="0" w:color="auto"/>
        <w:right w:val="none" w:sz="0" w:space="0" w:color="auto"/>
      </w:divBdr>
    </w:div>
    <w:div w:id="1255169725">
      <w:bodyDiv w:val="1"/>
      <w:marLeft w:val="0"/>
      <w:marRight w:val="0"/>
      <w:marTop w:val="0"/>
      <w:marBottom w:val="0"/>
      <w:divBdr>
        <w:top w:val="none" w:sz="0" w:space="0" w:color="auto"/>
        <w:left w:val="none" w:sz="0" w:space="0" w:color="auto"/>
        <w:bottom w:val="none" w:sz="0" w:space="0" w:color="auto"/>
        <w:right w:val="none" w:sz="0" w:space="0" w:color="auto"/>
      </w:divBdr>
    </w:div>
    <w:div w:id="1255289313">
      <w:bodyDiv w:val="1"/>
      <w:marLeft w:val="0"/>
      <w:marRight w:val="0"/>
      <w:marTop w:val="0"/>
      <w:marBottom w:val="0"/>
      <w:divBdr>
        <w:top w:val="none" w:sz="0" w:space="0" w:color="auto"/>
        <w:left w:val="none" w:sz="0" w:space="0" w:color="auto"/>
        <w:bottom w:val="none" w:sz="0" w:space="0" w:color="auto"/>
        <w:right w:val="none" w:sz="0" w:space="0" w:color="auto"/>
      </w:divBdr>
    </w:div>
    <w:div w:id="1255897823">
      <w:bodyDiv w:val="1"/>
      <w:marLeft w:val="0"/>
      <w:marRight w:val="0"/>
      <w:marTop w:val="0"/>
      <w:marBottom w:val="0"/>
      <w:divBdr>
        <w:top w:val="none" w:sz="0" w:space="0" w:color="auto"/>
        <w:left w:val="none" w:sz="0" w:space="0" w:color="auto"/>
        <w:bottom w:val="none" w:sz="0" w:space="0" w:color="auto"/>
        <w:right w:val="none" w:sz="0" w:space="0" w:color="auto"/>
      </w:divBdr>
    </w:div>
    <w:div w:id="1256285752">
      <w:bodyDiv w:val="1"/>
      <w:marLeft w:val="0"/>
      <w:marRight w:val="0"/>
      <w:marTop w:val="0"/>
      <w:marBottom w:val="0"/>
      <w:divBdr>
        <w:top w:val="none" w:sz="0" w:space="0" w:color="auto"/>
        <w:left w:val="none" w:sz="0" w:space="0" w:color="auto"/>
        <w:bottom w:val="none" w:sz="0" w:space="0" w:color="auto"/>
        <w:right w:val="none" w:sz="0" w:space="0" w:color="auto"/>
      </w:divBdr>
    </w:div>
    <w:div w:id="1256356497">
      <w:bodyDiv w:val="1"/>
      <w:marLeft w:val="0"/>
      <w:marRight w:val="0"/>
      <w:marTop w:val="0"/>
      <w:marBottom w:val="0"/>
      <w:divBdr>
        <w:top w:val="none" w:sz="0" w:space="0" w:color="auto"/>
        <w:left w:val="none" w:sz="0" w:space="0" w:color="auto"/>
        <w:bottom w:val="none" w:sz="0" w:space="0" w:color="auto"/>
        <w:right w:val="none" w:sz="0" w:space="0" w:color="auto"/>
      </w:divBdr>
    </w:div>
    <w:div w:id="1256549748">
      <w:bodyDiv w:val="1"/>
      <w:marLeft w:val="0"/>
      <w:marRight w:val="0"/>
      <w:marTop w:val="0"/>
      <w:marBottom w:val="0"/>
      <w:divBdr>
        <w:top w:val="none" w:sz="0" w:space="0" w:color="auto"/>
        <w:left w:val="none" w:sz="0" w:space="0" w:color="auto"/>
        <w:bottom w:val="none" w:sz="0" w:space="0" w:color="auto"/>
        <w:right w:val="none" w:sz="0" w:space="0" w:color="auto"/>
      </w:divBdr>
    </w:div>
    <w:div w:id="1256667412">
      <w:bodyDiv w:val="1"/>
      <w:marLeft w:val="0"/>
      <w:marRight w:val="0"/>
      <w:marTop w:val="0"/>
      <w:marBottom w:val="0"/>
      <w:divBdr>
        <w:top w:val="none" w:sz="0" w:space="0" w:color="auto"/>
        <w:left w:val="none" w:sz="0" w:space="0" w:color="auto"/>
        <w:bottom w:val="none" w:sz="0" w:space="0" w:color="auto"/>
        <w:right w:val="none" w:sz="0" w:space="0" w:color="auto"/>
      </w:divBdr>
    </w:div>
    <w:div w:id="1256668738">
      <w:bodyDiv w:val="1"/>
      <w:marLeft w:val="0"/>
      <w:marRight w:val="0"/>
      <w:marTop w:val="0"/>
      <w:marBottom w:val="0"/>
      <w:divBdr>
        <w:top w:val="none" w:sz="0" w:space="0" w:color="auto"/>
        <w:left w:val="none" w:sz="0" w:space="0" w:color="auto"/>
        <w:bottom w:val="none" w:sz="0" w:space="0" w:color="auto"/>
        <w:right w:val="none" w:sz="0" w:space="0" w:color="auto"/>
      </w:divBdr>
    </w:div>
    <w:div w:id="1256745759">
      <w:bodyDiv w:val="1"/>
      <w:marLeft w:val="0"/>
      <w:marRight w:val="0"/>
      <w:marTop w:val="0"/>
      <w:marBottom w:val="0"/>
      <w:divBdr>
        <w:top w:val="none" w:sz="0" w:space="0" w:color="auto"/>
        <w:left w:val="none" w:sz="0" w:space="0" w:color="auto"/>
        <w:bottom w:val="none" w:sz="0" w:space="0" w:color="auto"/>
        <w:right w:val="none" w:sz="0" w:space="0" w:color="auto"/>
      </w:divBdr>
    </w:div>
    <w:div w:id="1257247899">
      <w:bodyDiv w:val="1"/>
      <w:marLeft w:val="0"/>
      <w:marRight w:val="0"/>
      <w:marTop w:val="0"/>
      <w:marBottom w:val="0"/>
      <w:divBdr>
        <w:top w:val="none" w:sz="0" w:space="0" w:color="auto"/>
        <w:left w:val="none" w:sz="0" w:space="0" w:color="auto"/>
        <w:bottom w:val="none" w:sz="0" w:space="0" w:color="auto"/>
        <w:right w:val="none" w:sz="0" w:space="0" w:color="auto"/>
      </w:divBdr>
    </w:div>
    <w:div w:id="1257520897">
      <w:bodyDiv w:val="1"/>
      <w:marLeft w:val="0"/>
      <w:marRight w:val="0"/>
      <w:marTop w:val="0"/>
      <w:marBottom w:val="0"/>
      <w:divBdr>
        <w:top w:val="none" w:sz="0" w:space="0" w:color="auto"/>
        <w:left w:val="none" w:sz="0" w:space="0" w:color="auto"/>
        <w:bottom w:val="none" w:sz="0" w:space="0" w:color="auto"/>
        <w:right w:val="none" w:sz="0" w:space="0" w:color="auto"/>
      </w:divBdr>
    </w:div>
    <w:div w:id="1257832893">
      <w:bodyDiv w:val="1"/>
      <w:marLeft w:val="0"/>
      <w:marRight w:val="0"/>
      <w:marTop w:val="0"/>
      <w:marBottom w:val="0"/>
      <w:divBdr>
        <w:top w:val="none" w:sz="0" w:space="0" w:color="auto"/>
        <w:left w:val="none" w:sz="0" w:space="0" w:color="auto"/>
        <w:bottom w:val="none" w:sz="0" w:space="0" w:color="auto"/>
        <w:right w:val="none" w:sz="0" w:space="0" w:color="auto"/>
      </w:divBdr>
    </w:div>
    <w:div w:id="1258247120">
      <w:bodyDiv w:val="1"/>
      <w:marLeft w:val="0"/>
      <w:marRight w:val="0"/>
      <w:marTop w:val="0"/>
      <w:marBottom w:val="0"/>
      <w:divBdr>
        <w:top w:val="none" w:sz="0" w:space="0" w:color="auto"/>
        <w:left w:val="none" w:sz="0" w:space="0" w:color="auto"/>
        <w:bottom w:val="none" w:sz="0" w:space="0" w:color="auto"/>
        <w:right w:val="none" w:sz="0" w:space="0" w:color="auto"/>
      </w:divBdr>
    </w:div>
    <w:div w:id="1258519914">
      <w:bodyDiv w:val="1"/>
      <w:marLeft w:val="0"/>
      <w:marRight w:val="0"/>
      <w:marTop w:val="0"/>
      <w:marBottom w:val="0"/>
      <w:divBdr>
        <w:top w:val="none" w:sz="0" w:space="0" w:color="auto"/>
        <w:left w:val="none" w:sz="0" w:space="0" w:color="auto"/>
        <w:bottom w:val="none" w:sz="0" w:space="0" w:color="auto"/>
        <w:right w:val="none" w:sz="0" w:space="0" w:color="auto"/>
      </w:divBdr>
    </w:div>
    <w:div w:id="1259019825">
      <w:bodyDiv w:val="1"/>
      <w:marLeft w:val="0"/>
      <w:marRight w:val="0"/>
      <w:marTop w:val="0"/>
      <w:marBottom w:val="0"/>
      <w:divBdr>
        <w:top w:val="none" w:sz="0" w:space="0" w:color="auto"/>
        <w:left w:val="none" w:sz="0" w:space="0" w:color="auto"/>
        <w:bottom w:val="none" w:sz="0" w:space="0" w:color="auto"/>
        <w:right w:val="none" w:sz="0" w:space="0" w:color="auto"/>
      </w:divBdr>
    </w:div>
    <w:div w:id="1259097218">
      <w:bodyDiv w:val="1"/>
      <w:marLeft w:val="0"/>
      <w:marRight w:val="0"/>
      <w:marTop w:val="0"/>
      <w:marBottom w:val="0"/>
      <w:divBdr>
        <w:top w:val="none" w:sz="0" w:space="0" w:color="auto"/>
        <w:left w:val="none" w:sz="0" w:space="0" w:color="auto"/>
        <w:bottom w:val="none" w:sz="0" w:space="0" w:color="auto"/>
        <w:right w:val="none" w:sz="0" w:space="0" w:color="auto"/>
      </w:divBdr>
    </w:div>
    <w:div w:id="1259487476">
      <w:bodyDiv w:val="1"/>
      <w:marLeft w:val="0"/>
      <w:marRight w:val="0"/>
      <w:marTop w:val="0"/>
      <w:marBottom w:val="0"/>
      <w:divBdr>
        <w:top w:val="none" w:sz="0" w:space="0" w:color="auto"/>
        <w:left w:val="none" w:sz="0" w:space="0" w:color="auto"/>
        <w:bottom w:val="none" w:sz="0" w:space="0" w:color="auto"/>
        <w:right w:val="none" w:sz="0" w:space="0" w:color="auto"/>
      </w:divBdr>
    </w:div>
    <w:div w:id="1259632973">
      <w:bodyDiv w:val="1"/>
      <w:marLeft w:val="0"/>
      <w:marRight w:val="0"/>
      <w:marTop w:val="0"/>
      <w:marBottom w:val="0"/>
      <w:divBdr>
        <w:top w:val="none" w:sz="0" w:space="0" w:color="auto"/>
        <w:left w:val="none" w:sz="0" w:space="0" w:color="auto"/>
        <w:bottom w:val="none" w:sz="0" w:space="0" w:color="auto"/>
        <w:right w:val="none" w:sz="0" w:space="0" w:color="auto"/>
      </w:divBdr>
    </w:div>
    <w:div w:id="1259750105">
      <w:bodyDiv w:val="1"/>
      <w:marLeft w:val="0"/>
      <w:marRight w:val="0"/>
      <w:marTop w:val="0"/>
      <w:marBottom w:val="0"/>
      <w:divBdr>
        <w:top w:val="none" w:sz="0" w:space="0" w:color="auto"/>
        <w:left w:val="none" w:sz="0" w:space="0" w:color="auto"/>
        <w:bottom w:val="none" w:sz="0" w:space="0" w:color="auto"/>
        <w:right w:val="none" w:sz="0" w:space="0" w:color="auto"/>
      </w:divBdr>
    </w:div>
    <w:div w:id="1260216170">
      <w:bodyDiv w:val="1"/>
      <w:marLeft w:val="0"/>
      <w:marRight w:val="0"/>
      <w:marTop w:val="0"/>
      <w:marBottom w:val="0"/>
      <w:divBdr>
        <w:top w:val="none" w:sz="0" w:space="0" w:color="auto"/>
        <w:left w:val="none" w:sz="0" w:space="0" w:color="auto"/>
        <w:bottom w:val="none" w:sz="0" w:space="0" w:color="auto"/>
        <w:right w:val="none" w:sz="0" w:space="0" w:color="auto"/>
      </w:divBdr>
    </w:div>
    <w:div w:id="1260676146">
      <w:bodyDiv w:val="1"/>
      <w:marLeft w:val="0"/>
      <w:marRight w:val="0"/>
      <w:marTop w:val="0"/>
      <w:marBottom w:val="0"/>
      <w:divBdr>
        <w:top w:val="none" w:sz="0" w:space="0" w:color="auto"/>
        <w:left w:val="none" w:sz="0" w:space="0" w:color="auto"/>
        <w:bottom w:val="none" w:sz="0" w:space="0" w:color="auto"/>
        <w:right w:val="none" w:sz="0" w:space="0" w:color="auto"/>
      </w:divBdr>
    </w:div>
    <w:div w:id="1262028201">
      <w:bodyDiv w:val="1"/>
      <w:marLeft w:val="0"/>
      <w:marRight w:val="0"/>
      <w:marTop w:val="0"/>
      <w:marBottom w:val="0"/>
      <w:divBdr>
        <w:top w:val="none" w:sz="0" w:space="0" w:color="auto"/>
        <w:left w:val="none" w:sz="0" w:space="0" w:color="auto"/>
        <w:bottom w:val="none" w:sz="0" w:space="0" w:color="auto"/>
        <w:right w:val="none" w:sz="0" w:space="0" w:color="auto"/>
      </w:divBdr>
    </w:div>
    <w:div w:id="1262372549">
      <w:bodyDiv w:val="1"/>
      <w:marLeft w:val="0"/>
      <w:marRight w:val="0"/>
      <w:marTop w:val="0"/>
      <w:marBottom w:val="0"/>
      <w:divBdr>
        <w:top w:val="none" w:sz="0" w:space="0" w:color="auto"/>
        <w:left w:val="none" w:sz="0" w:space="0" w:color="auto"/>
        <w:bottom w:val="none" w:sz="0" w:space="0" w:color="auto"/>
        <w:right w:val="none" w:sz="0" w:space="0" w:color="auto"/>
      </w:divBdr>
    </w:div>
    <w:div w:id="1262447487">
      <w:bodyDiv w:val="1"/>
      <w:marLeft w:val="0"/>
      <w:marRight w:val="0"/>
      <w:marTop w:val="0"/>
      <w:marBottom w:val="0"/>
      <w:divBdr>
        <w:top w:val="none" w:sz="0" w:space="0" w:color="auto"/>
        <w:left w:val="none" w:sz="0" w:space="0" w:color="auto"/>
        <w:bottom w:val="none" w:sz="0" w:space="0" w:color="auto"/>
        <w:right w:val="none" w:sz="0" w:space="0" w:color="auto"/>
      </w:divBdr>
    </w:div>
    <w:div w:id="1262571674">
      <w:bodyDiv w:val="1"/>
      <w:marLeft w:val="0"/>
      <w:marRight w:val="0"/>
      <w:marTop w:val="0"/>
      <w:marBottom w:val="0"/>
      <w:divBdr>
        <w:top w:val="none" w:sz="0" w:space="0" w:color="auto"/>
        <w:left w:val="none" w:sz="0" w:space="0" w:color="auto"/>
        <w:bottom w:val="none" w:sz="0" w:space="0" w:color="auto"/>
        <w:right w:val="none" w:sz="0" w:space="0" w:color="auto"/>
      </w:divBdr>
    </w:div>
    <w:div w:id="1262760715">
      <w:bodyDiv w:val="1"/>
      <w:marLeft w:val="0"/>
      <w:marRight w:val="0"/>
      <w:marTop w:val="0"/>
      <w:marBottom w:val="0"/>
      <w:divBdr>
        <w:top w:val="none" w:sz="0" w:space="0" w:color="auto"/>
        <w:left w:val="none" w:sz="0" w:space="0" w:color="auto"/>
        <w:bottom w:val="none" w:sz="0" w:space="0" w:color="auto"/>
        <w:right w:val="none" w:sz="0" w:space="0" w:color="auto"/>
      </w:divBdr>
    </w:div>
    <w:div w:id="1263301106">
      <w:bodyDiv w:val="1"/>
      <w:marLeft w:val="0"/>
      <w:marRight w:val="0"/>
      <w:marTop w:val="0"/>
      <w:marBottom w:val="0"/>
      <w:divBdr>
        <w:top w:val="none" w:sz="0" w:space="0" w:color="auto"/>
        <w:left w:val="none" w:sz="0" w:space="0" w:color="auto"/>
        <w:bottom w:val="none" w:sz="0" w:space="0" w:color="auto"/>
        <w:right w:val="none" w:sz="0" w:space="0" w:color="auto"/>
      </w:divBdr>
    </w:div>
    <w:div w:id="1263419454">
      <w:bodyDiv w:val="1"/>
      <w:marLeft w:val="0"/>
      <w:marRight w:val="0"/>
      <w:marTop w:val="0"/>
      <w:marBottom w:val="0"/>
      <w:divBdr>
        <w:top w:val="none" w:sz="0" w:space="0" w:color="auto"/>
        <w:left w:val="none" w:sz="0" w:space="0" w:color="auto"/>
        <w:bottom w:val="none" w:sz="0" w:space="0" w:color="auto"/>
        <w:right w:val="none" w:sz="0" w:space="0" w:color="auto"/>
      </w:divBdr>
    </w:div>
    <w:div w:id="1263611506">
      <w:bodyDiv w:val="1"/>
      <w:marLeft w:val="0"/>
      <w:marRight w:val="0"/>
      <w:marTop w:val="0"/>
      <w:marBottom w:val="0"/>
      <w:divBdr>
        <w:top w:val="none" w:sz="0" w:space="0" w:color="auto"/>
        <w:left w:val="none" w:sz="0" w:space="0" w:color="auto"/>
        <w:bottom w:val="none" w:sz="0" w:space="0" w:color="auto"/>
        <w:right w:val="none" w:sz="0" w:space="0" w:color="auto"/>
      </w:divBdr>
    </w:div>
    <w:div w:id="1263799861">
      <w:bodyDiv w:val="1"/>
      <w:marLeft w:val="0"/>
      <w:marRight w:val="0"/>
      <w:marTop w:val="0"/>
      <w:marBottom w:val="0"/>
      <w:divBdr>
        <w:top w:val="none" w:sz="0" w:space="0" w:color="auto"/>
        <w:left w:val="none" w:sz="0" w:space="0" w:color="auto"/>
        <w:bottom w:val="none" w:sz="0" w:space="0" w:color="auto"/>
        <w:right w:val="none" w:sz="0" w:space="0" w:color="auto"/>
      </w:divBdr>
    </w:div>
    <w:div w:id="1264143594">
      <w:bodyDiv w:val="1"/>
      <w:marLeft w:val="0"/>
      <w:marRight w:val="0"/>
      <w:marTop w:val="0"/>
      <w:marBottom w:val="0"/>
      <w:divBdr>
        <w:top w:val="none" w:sz="0" w:space="0" w:color="auto"/>
        <w:left w:val="none" w:sz="0" w:space="0" w:color="auto"/>
        <w:bottom w:val="none" w:sz="0" w:space="0" w:color="auto"/>
        <w:right w:val="none" w:sz="0" w:space="0" w:color="auto"/>
      </w:divBdr>
    </w:div>
    <w:div w:id="1264261123">
      <w:bodyDiv w:val="1"/>
      <w:marLeft w:val="0"/>
      <w:marRight w:val="0"/>
      <w:marTop w:val="0"/>
      <w:marBottom w:val="0"/>
      <w:divBdr>
        <w:top w:val="none" w:sz="0" w:space="0" w:color="auto"/>
        <w:left w:val="none" w:sz="0" w:space="0" w:color="auto"/>
        <w:bottom w:val="none" w:sz="0" w:space="0" w:color="auto"/>
        <w:right w:val="none" w:sz="0" w:space="0" w:color="auto"/>
      </w:divBdr>
    </w:div>
    <w:div w:id="1264339045">
      <w:bodyDiv w:val="1"/>
      <w:marLeft w:val="0"/>
      <w:marRight w:val="0"/>
      <w:marTop w:val="0"/>
      <w:marBottom w:val="0"/>
      <w:divBdr>
        <w:top w:val="none" w:sz="0" w:space="0" w:color="auto"/>
        <w:left w:val="none" w:sz="0" w:space="0" w:color="auto"/>
        <w:bottom w:val="none" w:sz="0" w:space="0" w:color="auto"/>
        <w:right w:val="none" w:sz="0" w:space="0" w:color="auto"/>
      </w:divBdr>
    </w:div>
    <w:div w:id="1264386497">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4726537">
      <w:bodyDiv w:val="1"/>
      <w:marLeft w:val="0"/>
      <w:marRight w:val="0"/>
      <w:marTop w:val="0"/>
      <w:marBottom w:val="0"/>
      <w:divBdr>
        <w:top w:val="none" w:sz="0" w:space="0" w:color="auto"/>
        <w:left w:val="none" w:sz="0" w:space="0" w:color="auto"/>
        <w:bottom w:val="none" w:sz="0" w:space="0" w:color="auto"/>
        <w:right w:val="none" w:sz="0" w:space="0" w:color="auto"/>
      </w:divBdr>
    </w:div>
    <w:div w:id="1265114259">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5503861">
      <w:bodyDiv w:val="1"/>
      <w:marLeft w:val="0"/>
      <w:marRight w:val="0"/>
      <w:marTop w:val="0"/>
      <w:marBottom w:val="0"/>
      <w:divBdr>
        <w:top w:val="none" w:sz="0" w:space="0" w:color="auto"/>
        <w:left w:val="none" w:sz="0" w:space="0" w:color="auto"/>
        <w:bottom w:val="none" w:sz="0" w:space="0" w:color="auto"/>
        <w:right w:val="none" w:sz="0" w:space="0" w:color="auto"/>
      </w:divBdr>
    </w:div>
    <w:div w:id="1265769895">
      <w:bodyDiv w:val="1"/>
      <w:marLeft w:val="0"/>
      <w:marRight w:val="0"/>
      <w:marTop w:val="0"/>
      <w:marBottom w:val="0"/>
      <w:divBdr>
        <w:top w:val="none" w:sz="0" w:space="0" w:color="auto"/>
        <w:left w:val="none" w:sz="0" w:space="0" w:color="auto"/>
        <w:bottom w:val="none" w:sz="0" w:space="0" w:color="auto"/>
        <w:right w:val="none" w:sz="0" w:space="0" w:color="auto"/>
      </w:divBdr>
    </w:div>
    <w:div w:id="1266155938">
      <w:bodyDiv w:val="1"/>
      <w:marLeft w:val="0"/>
      <w:marRight w:val="0"/>
      <w:marTop w:val="0"/>
      <w:marBottom w:val="0"/>
      <w:divBdr>
        <w:top w:val="none" w:sz="0" w:space="0" w:color="auto"/>
        <w:left w:val="none" w:sz="0" w:space="0" w:color="auto"/>
        <w:bottom w:val="none" w:sz="0" w:space="0" w:color="auto"/>
        <w:right w:val="none" w:sz="0" w:space="0" w:color="auto"/>
      </w:divBdr>
    </w:div>
    <w:div w:id="1266766876">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6962789">
      <w:bodyDiv w:val="1"/>
      <w:marLeft w:val="0"/>
      <w:marRight w:val="0"/>
      <w:marTop w:val="0"/>
      <w:marBottom w:val="0"/>
      <w:divBdr>
        <w:top w:val="none" w:sz="0" w:space="0" w:color="auto"/>
        <w:left w:val="none" w:sz="0" w:space="0" w:color="auto"/>
        <w:bottom w:val="none" w:sz="0" w:space="0" w:color="auto"/>
        <w:right w:val="none" w:sz="0" w:space="0" w:color="auto"/>
      </w:divBdr>
    </w:div>
    <w:div w:id="1267036807">
      <w:bodyDiv w:val="1"/>
      <w:marLeft w:val="0"/>
      <w:marRight w:val="0"/>
      <w:marTop w:val="0"/>
      <w:marBottom w:val="0"/>
      <w:divBdr>
        <w:top w:val="none" w:sz="0" w:space="0" w:color="auto"/>
        <w:left w:val="none" w:sz="0" w:space="0" w:color="auto"/>
        <w:bottom w:val="none" w:sz="0" w:space="0" w:color="auto"/>
        <w:right w:val="none" w:sz="0" w:space="0" w:color="auto"/>
      </w:divBdr>
    </w:div>
    <w:div w:id="1267424904">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7883019">
      <w:bodyDiv w:val="1"/>
      <w:marLeft w:val="0"/>
      <w:marRight w:val="0"/>
      <w:marTop w:val="0"/>
      <w:marBottom w:val="0"/>
      <w:divBdr>
        <w:top w:val="none" w:sz="0" w:space="0" w:color="auto"/>
        <w:left w:val="none" w:sz="0" w:space="0" w:color="auto"/>
        <w:bottom w:val="none" w:sz="0" w:space="0" w:color="auto"/>
        <w:right w:val="none" w:sz="0" w:space="0" w:color="auto"/>
      </w:divBdr>
    </w:div>
    <w:div w:id="1267885745">
      <w:bodyDiv w:val="1"/>
      <w:marLeft w:val="0"/>
      <w:marRight w:val="0"/>
      <w:marTop w:val="0"/>
      <w:marBottom w:val="0"/>
      <w:divBdr>
        <w:top w:val="none" w:sz="0" w:space="0" w:color="auto"/>
        <w:left w:val="none" w:sz="0" w:space="0" w:color="auto"/>
        <w:bottom w:val="none" w:sz="0" w:space="0" w:color="auto"/>
        <w:right w:val="none" w:sz="0" w:space="0" w:color="auto"/>
      </w:divBdr>
    </w:div>
    <w:div w:id="1268005297">
      <w:bodyDiv w:val="1"/>
      <w:marLeft w:val="0"/>
      <w:marRight w:val="0"/>
      <w:marTop w:val="0"/>
      <w:marBottom w:val="0"/>
      <w:divBdr>
        <w:top w:val="none" w:sz="0" w:space="0" w:color="auto"/>
        <w:left w:val="none" w:sz="0" w:space="0" w:color="auto"/>
        <w:bottom w:val="none" w:sz="0" w:space="0" w:color="auto"/>
        <w:right w:val="none" w:sz="0" w:space="0" w:color="auto"/>
      </w:divBdr>
    </w:div>
    <w:div w:id="1268199002">
      <w:bodyDiv w:val="1"/>
      <w:marLeft w:val="0"/>
      <w:marRight w:val="0"/>
      <w:marTop w:val="0"/>
      <w:marBottom w:val="0"/>
      <w:divBdr>
        <w:top w:val="none" w:sz="0" w:space="0" w:color="auto"/>
        <w:left w:val="none" w:sz="0" w:space="0" w:color="auto"/>
        <w:bottom w:val="none" w:sz="0" w:space="0" w:color="auto"/>
        <w:right w:val="none" w:sz="0" w:space="0" w:color="auto"/>
      </w:divBdr>
    </w:div>
    <w:div w:id="1268267758">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68347969">
      <w:bodyDiv w:val="1"/>
      <w:marLeft w:val="0"/>
      <w:marRight w:val="0"/>
      <w:marTop w:val="0"/>
      <w:marBottom w:val="0"/>
      <w:divBdr>
        <w:top w:val="none" w:sz="0" w:space="0" w:color="auto"/>
        <w:left w:val="none" w:sz="0" w:space="0" w:color="auto"/>
        <w:bottom w:val="none" w:sz="0" w:space="0" w:color="auto"/>
        <w:right w:val="none" w:sz="0" w:space="0" w:color="auto"/>
      </w:divBdr>
    </w:div>
    <w:div w:id="1268460608">
      <w:bodyDiv w:val="1"/>
      <w:marLeft w:val="0"/>
      <w:marRight w:val="0"/>
      <w:marTop w:val="0"/>
      <w:marBottom w:val="0"/>
      <w:divBdr>
        <w:top w:val="none" w:sz="0" w:space="0" w:color="auto"/>
        <w:left w:val="none" w:sz="0" w:space="0" w:color="auto"/>
        <w:bottom w:val="none" w:sz="0" w:space="0" w:color="auto"/>
        <w:right w:val="none" w:sz="0" w:space="0" w:color="auto"/>
      </w:divBdr>
    </w:div>
    <w:div w:id="1269049045">
      <w:bodyDiv w:val="1"/>
      <w:marLeft w:val="0"/>
      <w:marRight w:val="0"/>
      <w:marTop w:val="0"/>
      <w:marBottom w:val="0"/>
      <w:divBdr>
        <w:top w:val="none" w:sz="0" w:space="0" w:color="auto"/>
        <w:left w:val="none" w:sz="0" w:space="0" w:color="auto"/>
        <w:bottom w:val="none" w:sz="0" w:space="0" w:color="auto"/>
        <w:right w:val="none" w:sz="0" w:space="0" w:color="auto"/>
      </w:divBdr>
    </w:div>
    <w:div w:id="1269195219">
      <w:bodyDiv w:val="1"/>
      <w:marLeft w:val="0"/>
      <w:marRight w:val="0"/>
      <w:marTop w:val="0"/>
      <w:marBottom w:val="0"/>
      <w:divBdr>
        <w:top w:val="none" w:sz="0" w:space="0" w:color="auto"/>
        <w:left w:val="none" w:sz="0" w:space="0" w:color="auto"/>
        <w:bottom w:val="none" w:sz="0" w:space="0" w:color="auto"/>
        <w:right w:val="none" w:sz="0" w:space="0" w:color="auto"/>
      </w:divBdr>
    </w:div>
    <w:div w:id="1269197718">
      <w:bodyDiv w:val="1"/>
      <w:marLeft w:val="0"/>
      <w:marRight w:val="0"/>
      <w:marTop w:val="0"/>
      <w:marBottom w:val="0"/>
      <w:divBdr>
        <w:top w:val="none" w:sz="0" w:space="0" w:color="auto"/>
        <w:left w:val="none" w:sz="0" w:space="0" w:color="auto"/>
        <w:bottom w:val="none" w:sz="0" w:space="0" w:color="auto"/>
        <w:right w:val="none" w:sz="0" w:space="0" w:color="auto"/>
      </w:divBdr>
    </w:div>
    <w:div w:id="1269385804">
      <w:bodyDiv w:val="1"/>
      <w:marLeft w:val="0"/>
      <w:marRight w:val="0"/>
      <w:marTop w:val="0"/>
      <w:marBottom w:val="0"/>
      <w:divBdr>
        <w:top w:val="none" w:sz="0" w:space="0" w:color="auto"/>
        <w:left w:val="none" w:sz="0" w:space="0" w:color="auto"/>
        <w:bottom w:val="none" w:sz="0" w:space="0" w:color="auto"/>
        <w:right w:val="none" w:sz="0" w:space="0" w:color="auto"/>
      </w:divBdr>
    </w:div>
    <w:div w:id="1269972628">
      <w:bodyDiv w:val="1"/>
      <w:marLeft w:val="0"/>
      <w:marRight w:val="0"/>
      <w:marTop w:val="0"/>
      <w:marBottom w:val="0"/>
      <w:divBdr>
        <w:top w:val="none" w:sz="0" w:space="0" w:color="auto"/>
        <w:left w:val="none" w:sz="0" w:space="0" w:color="auto"/>
        <w:bottom w:val="none" w:sz="0" w:space="0" w:color="auto"/>
        <w:right w:val="none" w:sz="0" w:space="0" w:color="auto"/>
      </w:divBdr>
    </w:div>
    <w:div w:id="1270818979">
      <w:bodyDiv w:val="1"/>
      <w:marLeft w:val="0"/>
      <w:marRight w:val="0"/>
      <w:marTop w:val="0"/>
      <w:marBottom w:val="0"/>
      <w:divBdr>
        <w:top w:val="none" w:sz="0" w:space="0" w:color="auto"/>
        <w:left w:val="none" w:sz="0" w:space="0" w:color="auto"/>
        <w:bottom w:val="none" w:sz="0" w:space="0" w:color="auto"/>
        <w:right w:val="none" w:sz="0" w:space="0" w:color="auto"/>
      </w:divBdr>
    </w:div>
    <w:div w:id="1270891780">
      <w:bodyDiv w:val="1"/>
      <w:marLeft w:val="0"/>
      <w:marRight w:val="0"/>
      <w:marTop w:val="0"/>
      <w:marBottom w:val="0"/>
      <w:divBdr>
        <w:top w:val="none" w:sz="0" w:space="0" w:color="auto"/>
        <w:left w:val="none" w:sz="0" w:space="0" w:color="auto"/>
        <w:bottom w:val="none" w:sz="0" w:space="0" w:color="auto"/>
        <w:right w:val="none" w:sz="0" w:space="0" w:color="auto"/>
      </w:divBdr>
    </w:div>
    <w:div w:id="1271359151">
      <w:bodyDiv w:val="1"/>
      <w:marLeft w:val="0"/>
      <w:marRight w:val="0"/>
      <w:marTop w:val="0"/>
      <w:marBottom w:val="0"/>
      <w:divBdr>
        <w:top w:val="none" w:sz="0" w:space="0" w:color="auto"/>
        <w:left w:val="none" w:sz="0" w:space="0" w:color="auto"/>
        <w:bottom w:val="none" w:sz="0" w:space="0" w:color="auto"/>
        <w:right w:val="none" w:sz="0" w:space="0" w:color="auto"/>
      </w:divBdr>
    </w:div>
    <w:div w:id="1271429177">
      <w:bodyDiv w:val="1"/>
      <w:marLeft w:val="0"/>
      <w:marRight w:val="0"/>
      <w:marTop w:val="0"/>
      <w:marBottom w:val="0"/>
      <w:divBdr>
        <w:top w:val="none" w:sz="0" w:space="0" w:color="auto"/>
        <w:left w:val="none" w:sz="0" w:space="0" w:color="auto"/>
        <w:bottom w:val="none" w:sz="0" w:space="0" w:color="auto"/>
        <w:right w:val="none" w:sz="0" w:space="0" w:color="auto"/>
      </w:divBdr>
    </w:div>
    <w:div w:id="1271745439">
      <w:bodyDiv w:val="1"/>
      <w:marLeft w:val="0"/>
      <w:marRight w:val="0"/>
      <w:marTop w:val="0"/>
      <w:marBottom w:val="0"/>
      <w:divBdr>
        <w:top w:val="none" w:sz="0" w:space="0" w:color="auto"/>
        <w:left w:val="none" w:sz="0" w:space="0" w:color="auto"/>
        <w:bottom w:val="none" w:sz="0" w:space="0" w:color="auto"/>
        <w:right w:val="none" w:sz="0" w:space="0" w:color="auto"/>
      </w:divBdr>
    </w:div>
    <w:div w:id="1272470173">
      <w:bodyDiv w:val="1"/>
      <w:marLeft w:val="0"/>
      <w:marRight w:val="0"/>
      <w:marTop w:val="0"/>
      <w:marBottom w:val="0"/>
      <w:divBdr>
        <w:top w:val="none" w:sz="0" w:space="0" w:color="auto"/>
        <w:left w:val="none" w:sz="0" w:space="0" w:color="auto"/>
        <w:bottom w:val="none" w:sz="0" w:space="0" w:color="auto"/>
        <w:right w:val="none" w:sz="0" w:space="0" w:color="auto"/>
      </w:divBdr>
    </w:div>
    <w:div w:id="1272518352">
      <w:bodyDiv w:val="1"/>
      <w:marLeft w:val="0"/>
      <w:marRight w:val="0"/>
      <w:marTop w:val="0"/>
      <w:marBottom w:val="0"/>
      <w:divBdr>
        <w:top w:val="none" w:sz="0" w:space="0" w:color="auto"/>
        <w:left w:val="none" w:sz="0" w:space="0" w:color="auto"/>
        <w:bottom w:val="none" w:sz="0" w:space="0" w:color="auto"/>
        <w:right w:val="none" w:sz="0" w:space="0" w:color="auto"/>
      </w:divBdr>
    </w:div>
    <w:div w:id="1272585424">
      <w:bodyDiv w:val="1"/>
      <w:marLeft w:val="0"/>
      <w:marRight w:val="0"/>
      <w:marTop w:val="0"/>
      <w:marBottom w:val="0"/>
      <w:divBdr>
        <w:top w:val="none" w:sz="0" w:space="0" w:color="auto"/>
        <w:left w:val="none" w:sz="0" w:space="0" w:color="auto"/>
        <w:bottom w:val="none" w:sz="0" w:space="0" w:color="auto"/>
        <w:right w:val="none" w:sz="0" w:space="0" w:color="auto"/>
      </w:divBdr>
    </w:div>
    <w:div w:id="1272666198">
      <w:bodyDiv w:val="1"/>
      <w:marLeft w:val="0"/>
      <w:marRight w:val="0"/>
      <w:marTop w:val="0"/>
      <w:marBottom w:val="0"/>
      <w:divBdr>
        <w:top w:val="none" w:sz="0" w:space="0" w:color="auto"/>
        <w:left w:val="none" w:sz="0" w:space="0" w:color="auto"/>
        <w:bottom w:val="none" w:sz="0" w:space="0" w:color="auto"/>
        <w:right w:val="none" w:sz="0" w:space="0" w:color="auto"/>
      </w:divBdr>
    </w:div>
    <w:div w:id="1273438227">
      <w:bodyDiv w:val="1"/>
      <w:marLeft w:val="0"/>
      <w:marRight w:val="0"/>
      <w:marTop w:val="0"/>
      <w:marBottom w:val="0"/>
      <w:divBdr>
        <w:top w:val="none" w:sz="0" w:space="0" w:color="auto"/>
        <w:left w:val="none" w:sz="0" w:space="0" w:color="auto"/>
        <w:bottom w:val="none" w:sz="0" w:space="0" w:color="auto"/>
        <w:right w:val="none" w:sz="0" w:space="0" w:color="auto"/>
      </w:divBdr>
    </w:div>
    <w:div w:id="1273509204">
      <w:bodyDiv w:val="1"/>
      <w:marLeft w:val="0"/>
      <w:marRight w:val="0"/>
      <w:marTop w:val="0"/>
      <w:marBottom w:val="0"/>
      <w:divBdr>
        <w:top w:val="none" w:sz="0" w:space="0" w:color="auto"/>
        <w:left w:val="none" w:sz="0" w:space="0" w:color="auto"/>
        <w:bottom w:val="none" w:sz="0" w:space="0" w:color="auto"/>
        <w:right w:val="none" w:sz="0" w:space="0" w:color="auto"/>
      </w:divBdr>
    </w:div>
    <w:div w:id="1273511219">
      <w:bodyDiv w:val="1"/>
      <w:marLeft w:val="0"/>
      <w:marRight w:val="0"/>
      <w:marTop w:val="0"/>
      <w:marBottom w:val="0"/>
      <w:divBdr>
        <w:top w:val="none" w:sz="0" w:space="0" w:color="auto"/>
        <w:left w:val="none" w:sz="0" w:space="0" w:color="auto"/>
        <w:bottom w:val="none" w:sz="0" w:space="0" w:color="auto"/>
        <w:right w:val="none" w:sz="0" w:space="0" w:color="auto"/>
      </w:divBdr>
    </w:div>
    <w:div w:id="1274366425">
      <w:bodyDiv w:val="1"/>
      <w:marLeft w:val="0"/>
      <w:marRight w:val="0"/>
      <w:marTop w:val="0"/>
      <w:marBottom w:val="0"/>
      <w:divBdr>
        <w:top w:val="none" w:sz="0" w:space="0" w:color="auto"/>
        <w:left w:val="none" w:sz="0" w:space="0" w:color="auto"/>
        <w:bottom w:val="none" w:sz="0" w:space="0" w:color="auto"/>
        <w:right w:val="none" w:sz="0" w:space="0" w:color="auto"/>
      </w:divBdr>
    </w:div>
    <w:div w:id="1274483738">
      <w:bodyDiv w:val="1"/>
      <w:marLeft w:val="0"/>
      <w:marRight w:val="0"/>
      <w:marTop w:val="0"/>
      <w:marBottom w:val="0"/>
      <w:divBdr>
        <w:top w:val="none" w:sz="0" w:space="0" w:color="auto"/>
        <w:left w:val="none" w:sz="0" w:space="0" w:color="auto"/>
        <w:bottom w:val="none" w:sz="0" w:space="0" w:color="auto"/>
        <w:right w:val="none" w:sz="0" w:space="0" w:color="auto"/>
      </w:divBdr>
    </w:div>
    <w:div w:id="1274896483">
      <w:bodyDiv w:val="1"/>
      <w:marLeft w:val="0"/>
      <w:marRight w:val="0"/>
      <w:marTop w:val="0"/>
      <w:marBottom w:val="0"/>
      <w:divBdr>
        <w:top w:val="none" w:sz="0" w:space="0" w:color="auto"/>
        <w:left w:val="none" w:sz="0" w:space="0" w:color="auto"/>
        <w:bottom w:val="none" w:sz="0" w:space="0" w:color="auto"/>
        <w:right w:val="none" w:sz="0" w:space="0" w:color="auto"/>
      </w:divBdr>
    </w:div>
    <w:div w:id="1275214444">
      <w:bodyDiv w:val="1"/>
      <w:marLeft w:val="0"/>
      <w:marRight w:val="0"/>
      <w:marTop w:val="0"/>
      <w:marBottom w:val="0"/>
      <w:divBdr>
        <w:top w:val="none" w:sz="0" w:space="0" w:color="auto"/>
        <w:left w:val="none" w:sz="0" w:space="0" w:color="auto"/>
        <w:bottom w:val="none" w:sz="0" w:space="0" w:color="auto"/>
        <w:right w:val="none" w:sz="0" w:space="0" w:color="auto"/>
      </w:divBdr>
    </w:div>
    <w:div w:id="1275867088">
      <w:bodyDiv w:val="1"/>
      <w:marLeft w:val="0"/>
      <w:marRight w:val="0"/>
      <w:marTop w:val="0"/>
      <w:marBottom w:val="0"/>
      <w:divBdr>
        <w:top w:val="none" w:sz="0" w:space="0" w:color="auto"/>
        <w:left w:val="none" w:sz="0" w:space="0" w:color="auto"/>
        <w:bottom w:val="none" w:sz="0" w:space="0" w:color="auto"/>
        <w:right w:val="none" w:sz="0" w:space="0" w:color="auto"/>
      </w:divBdr>
    </w:div>
    <w:div w:id="1275940006">
      <w:bodyDiv w:val="1"/>
      <w:marLeft w:val="0"/>
      <w:marRight w:val="0"/>
      <w:marTop w:val="0"/>
      <w:marBottom w:val="0"/>
      <w:divBdr>
        <w:top w:val="none" w:sz="0" w:space="0" w:color="auto"/>
        <w:left w:val="none" w:sz="0" w:space="0" w:color="auto"/>
        <w:bottom w:val="none" w:sz="0" w:space="0" w:color="auto"/>
        <w:right w:val="none" w:sz="0" w:space="0" w:color="auto"/>
      </w:divBdr>
    </w:div>
    <w:div w:id="1276064065">
      <w:bodyDiv w:val="1"/>
      <w:marLeft w:val="0"/>
      <w:marRight w:val="0"/>
      <w:marTop w:val="0"/>
      <w:marBottom w:val="0"/>
      <w:divBdr>
        <w:top w:val="none" w:sz="0" w:space="0" w:color="auto"/>
        <w:left w:val="none" w:sz="0" w:space="0" w:color="auto"/>
        <w:bottom w:val="none" w:sz="0" w:space="0" w:color="auto"/>
        <w:right w:val="none" w:sz="0" w:space="0" w:color="auto"/>
      </w:divBdr>
    </w:div>
    <w:div w:id="1276206041">
      <w:bodyDiv w:val="1"/>
      <w:marLeft w:val="0"/>
      <w:marRight w:val="0"/>
      <w:marTop w:val="0"/>
      <w:marBottom w:val="0"/>
      <w:divBdr>
        <w:top w:val="none" w:sz="0" w:space="0" w:color="auto"/>
        <w:left w:val="none" w:sz="0" w:space="0" w:color="auto"/>
        <w:bottom w:val="none" w:sz="0" w:space="0" w:color="auto"/>
        <w:right w:val="none" w:sz="0" w:space="0" w:color="auto"/>
      </w:divBdr>
    </w:div>
    <w:div w:id="1276446073">
      <w:bodyDiv w:val="1"/>
      <w:marLeft w:val="0"/>
      <w:marRight w:val="0"/>
      <w:marTop w:val="0"/>
      <w:marBottom w:val="0"/>
      <w:divBdr>
        <w:top w:val="none" w:sz="0" w:space="0" w:color="auto"/>
        <w:left w:val="none" w:sz="0" w:space="0" w:color="auto"/>
        <w:bottom w:val="none" w:sz="0" w:space="0" w:color="auto"/>
        <w:right w:val="none" w:sz="0" w:space="0" w:color="auto"/>
      </w:divBdr>
    </w:div>
    <w:div w:id="1276447262">
      <w:bodyDiv w:val="1"/>
      <w:marLeft w:val="0"/>
      <w:marRight w:val="0"/>
      <w:marTop w:val="0"/>
      <w:marBottom w:val="0"/>
      <w:divBdr>
        <w:top w:val="none" w:sz="0" w:space="0" w:color="auto"/>
        <w:left w:val="none" w:sz="0" w:space="0" w:color="auto"/>
        <w:bottom w:val="none" w:sz="0" w:space="0" w:color="auto"/>
        <w:right w:val="none" w:sz="0" w:space="0" w:color="auto"/>
      </w:divBdr>
    </w:div>
    <w:div w:id="1276474859">
      <w:bodyDiv w:val="1"/>
      <w:marLeft w:val="0"/>
      <w:marRight w:val="0"/>
      <w:marTop w:val="0"/>
      <w:marBottom w:val="0"/>
      <w:divBdr>
        <w:top w:val="none" w:sz="0" w:space="0" w:color="auto"/>
        <w:left w:val="none" w:sz="0" w:space="0" w:color="auto"/>
        <w:bottom w:val="none" w:sz="0" w:space="0" w:color="auto"/>
        <w:right w:val="none" w:sz="0" w:space="0" w:color="auto"/>
      </w:divBdr>
    </w:div>
    <w:div w:id="1276670285">
      <w:bodyDiv w:val="1"/>
      <w:marLeft w:val="0"/>
      <w:marRight w:val="0"/>
      <w:marTop w:val="0"/>
      <w:marBottom w:val="0"/>
      <w:divBdr>
        <w:top w:val="none" w:sz="0" w:space="0" w:color="auto"/>
        <w:left w:val="none" w:sz="0" w:space="0" w:color="auto"/>
        <w:bottom w:val="none" w:sz="0" w:space="0" w:color="auto"/>
        <w:right w:val="none" w:sz="0" w:space="0" w:color="auto"/>
      </w:divBdr>
    </w:div>
    <w:div w:id="1276794997">
      <w:bodyDiv w:val="1"/>
      <w:marLeft w:val="0"/>
      <w:marRight w:val="0"/>
      <w:marTop w:val="0"/>
      <w:marBottom w:val="0"/>
      <w:divBdr>
        <w:top w:val="none" w:sz="0" w:space="0" w:color="auto"/>
        <w:left w:val="none" w:sz="0" w:space="0" w:color="auto"/>
        <w:bottom w:val="none" w:sz="0" w:space="0" w:color="auto"/>
        <w:right w:val="none" w:sz="0" w:space="0" w:color="auto"/>
      </w:divBdr>
    </w:div>
    <w:div w:id="1276982934">
      <w:bodyDiv w:val="1"/>
      <w:marLeft w:val="0"/>
      <w:marRight w:val="0"/>
      <w:marTop w:val="0"/>
      <w:marBottom w:val="0"/>
      <w:divBdr>
        <w:top w:val="none" w:sz="0" w:space="0" w:color="auto"/>
        <w:left w:val="none" w:sz="0" w:space="0" w:color="auto"/>
        <w:bottom w:val="none" w:sz="0" w:space="0" w:color="auto"/>
        <w:right w:val="none" w:sz="0" w:space="0" w:color="auto"/>
      </w:divBdr>
    </w:div>
    <w:div w:id="1277516682">
      <w:bodyDiv w:val="1"/>
      <w:marLeft w:val="0"/>
      <w:marRight w:val="0"/>
      <w:marTop w:val="0"/>
      <w:marBottom w:val="0"/>
      <w:divBdr>
        <w:top w:val="none" w:sz="0" w:space="0" w:color="auto"/>
        <w:left w:val="none" w:sz="0" w:space="0" w:color="auto"/>
        <w:bottom w:val="none" w:sz="0" w:space="0" w:color="auto"/>
        <w:right w:val="none" w:sz="0" w:space="0" w:color="auto"/>
      </w:divBdr>
    </w:div>
    <w:div w:id="1277564199">
      <w:bodyDiv w:val="1"/>
      <w:marLeft w:val="0"/>
      <w:marRight w:val="0"/>
      <w:marTop w:val="0"/>
      <w:marBottom w:val="0"/>
      <w:divBdr>
        <w:top w:val="none" w:sz="0" w:space="0" w:color="auto"/>
        <w:left w:val="none" w:sz="0" w:space="0" w:color="auto"/>
        <w:bottom w:val="none" w:sz="0" w:space="0" w:color="auto"/>
        <w:right w:val="none" w:sz="0" w:space="0" w:color="auto"/>
      </w:divBdr>
    </w:div>
    <w:div w:id="1277909874">
      <w:bodyDiv w:val="1"/>
      <w:marLeft w:val="0"/>
      <w:marRight w:val="0"/>
      <w:marTop w:val="0"/>
      <w:marBottom w:val="0"/>
      <w:divBdr>
        <w:top w:val="none" w:sz="0" w:space="0" w:color="auto"/>
        <w:left w:val="none" w:sz="0" w:space="0" w:color="auto"/>
        <w:bottom w:val="none" w:sz="0" w:space="0" w:color="auto"/>
        <w:right w:val="none" w:sz="0" w:space="0" w:color="auto"/>
      </w:divBdr>
    </w:div>
    <w:div w:id="1278562857">
      <w:bodyDiv w:val="1"/>
      <w:marLeft w:val="0"/>
      <w:marRight w:val="0"/>
      <w:marTop w:val="0"/>
      <w:marBottom w:val="0"/>
      <w:divBdr>
        <w:top w:val="none" w:sz="0" w:space="0" w:color="auto"/>
        <w:left w:val="none" w:sz="0" w:space="0" w:color="auto"/>
        <w:bottom w:val="none" w:sz="0" w:space="0" w:color="auto"/>
        <w:right w:val="none" w:sz="0" w:space="0" w:color="auto"/>
      </w:divBdr>
    </w:div>
    <w:div w:id="1278566717">
      <w:bodyDiv w:val="1"/>
      <w:marLeft w:val="0"/>
      <w:marRight w:val="0"/>
      <w:marTop w:val="0"/>
      <w:marBottom w:val="0"/>
      <w:divBdr>
        <w:top w:val="none" w:sz="0" w:space="0" w:color="auto"/>
        <w:left w:val="none" w:sz="0" w:space="0" w:color="auto"/>
        <w:bottom w:val="none" w:sz="0" w:space="0" w:color="auto"/>
        <w:right w:val="none" w:sz="0" w:space="0" w:color="auto"/>
      </w:divBdr>
    </w:div>
    <w:div w:id="1278869908">
      <w:bodyDiv w:val="1"/>
      <w:marLeft w:val="0"/>
      <w:marRight w:val="0"/>
      <w:marTop w:val="0"/>
      <w:marBottom w:val="0"/>
      <w:divBdr>
        <w:top w:val="none" w:sz="0" w:space="0" w:color="auto"/>
        <w:left w:val="none" w:sz="0" w:space="0" w:color="auto"/>
        <w:bottom w:val="none" w:sz="0" w:space="0" w:color="auto"/>
        <w:right w:val="none" w:sz="0" w:space="0" w:color="auto"/>
      </w:divBdr>
    </w:div>
    <w:div w:id="1278871907">
      <w:bodyDiv w:val="1"/>
      <w:marLeft w:val="0"/>
      <w:marRight w:val="0"/>
      <w:marTop w:val="0"/>
      <w:marBottom w:val="0"/>
      <w:divBdr>
        <w:top w:val="none" w:sz="0" w:space="0" w:color="auto"/>
        <w:left w:val="none" w:sz="0" w:space="0" w:color="auto"/>
        <w:bottom w:val="none" w:sz="0" w:space="0" w:color="auto"/>
        <w:right w:val="none" w:sz="0" w:space="0" w:color="auto"/>
      </w:divBdr>
    </w:div>
    <w:div w:id="1279265012">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79681392">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80378375">
      <w:bodyDiv w:val="1"/>
      <w:marLeft w:val="0"/>
      <w:marRight w:val="0"/>
      <w:marTop w:val="0"/>
      <w:marBottom w:val="0"/>
      <w:divBdr>
        <w:top w:val="none" w:sz="0" w:space="0" w:color="auto"/>
        <w:left w:val="none" w:sz="0" w:space="0" w:color="auto"/>
        <w:bottom w:val="none" w:sz="0" w:space="0" w:color="auto"/>
        <w:right w:val="none" w:sz="0" w:space="0" w:color="auto"/>
      </w:divBdr>
    </w:div>
    <w:div w:id="1280378533">
      <w:bodyDiv w:val="1"/>
      <w:marLeft w:val="0"/>
      <w:marRight w:val="0"/>
      <w:marTop w:val="0"/>
      <w:marBottom w:val="0"/>
      <w:divBdr>
        <w:top w:val="none" w:sz="0" w:space="0" w:color="auto"/>
        <w:left w:val="none" w:sz="0" w:space="0" w:color="auto"/>
        <w:bottom w:val="none" w:sz="0" w:space="0" w:color="auto"/>
        <w:right w:val="none" w:sz="0" w:space="0" w:color="auto"/>
      </w:divBdr>
    </w:div>
    <w:div w:id="1280407910">
      <w:bodyDiv w:val="1"/>
      <w:marLeft w:val="0"/>
      <w:marRight w:val="0"/>
      <w:marTop w:val="0"/>
      <w:marBottom w:val="0"/>
      <w:divBdr>
        <w:top w:val="none" w:sz="0" w:space="0" w:color="auto"/>
        <w:left w:val="none" w:sz="0" w:space="0" w:color="auto"/>
        <w:bottom w:val="none" w:sz="0" w:space="0" w:color="auto"/>
        <w:right w:val="none" w:sz="0" w:space="0" w:color="auto"/>
      </w:divBdr>
    </w:div>
    <w:div w:id="1280450412">
      <w:bodyDiv w:val="1"/>
      <w:marLeft w:val="0"/>
      <w:marRight w:val="0"/>
      <w:marTop w:val="0"/>
      <w:marBottom w:val="0"/>
      <w:divBdr>
        <w:top w:val="none" w:sz="0" w:space="0" w:color="auto"/>
        <w:left w:val="none" w:sz="0" w:space="0" w:color="auto"/>
        <w:bottom w:val="none" w:sz="0" w:space="0" w:color="auto"/>
        <w:right w:val="none" w:sz="0" w:space="0" w:color="auto"/>
      </w:divBdr>
    </w:div>
    <w:div w:id="1280530841">
      <w:bodyDiv w:val="1"/>
      <w:marLeft w:val="0"/>
      <w:marRight w:val="0"/>
      <w:marTop w:val="0"/>
      <w:marBottom w:val="0"/>
      <w:divBdr>
        <w:top w:val="none" w:sz="0" w:space="0" w:color="auto"/>
        <w:left w:val="none" w:sz="0" w:space="0" w:color="auto"/>
        <w:bottom w:val="none" w:sz="0" w:space="0" w:color="auto"/>
        <w:right w:val="none" w:sz="0" w:space="0" w:color="auto"/>
      </w:divBdr>
    </w:div>
    <w:div w:id="1281301013">
      <w:bodyDiv w:val="1"/>
      <w:marLeft w:val="0"/>
      <w:marRight w:val="0"/>
      <w:marTop w:val="0"/>
      <w:marBottom w:val="0"/>
      <w:divBdr>
        <w:top w:val="none" w:sz="0" w:space="0" w:color="auto"/>
        <w:left w:val="none" w:sz="0" w:space="0" w:color="auto"/>
        <w:bottom w:val="none" w:sz="0" w:space="0" w:color="auto"/>
        <w:right w:val="none" w:sz="0" w:space="0" w:color="auto"/>
      </w:divBdr>
    </w:div>
    <w:div w:id="1281451817">
      <w:bodyDiv w:val="1"/>
      <w:marLeft w:val="0"/>
      <w:marRight w:val="0"/>
      <w:marTop w:val="0"/>
      <w:marBottom w:val="0"/>
      <w:divBdr>
        <w:top w:val="none" w:sz="0" w:space="0" w:color="auto"/>
        <w:left w:val="none" w:sz="0" w:space="0" w:color="auto"/>
        <w:bottom w:val="none" w:sz="0" w:space="0" w:color="auto"/>
        <w:right w:val="none" w:sz="0" w:space="0" w:color="auto"/>
      </w:divBdr>
    </w:div>
    <w:div w:id="1282030325">
      <w:bodyDiv w:val="1"/>
      <w:marLeft w:val="0"/>
      <w:marRight w:val="0"/>
      <w:marTop w:val="0"/>
      <w:marBottom w:val="0"/>
      <w:divBdr>
        <w:top w:val="none" w:sz="0" w:space="0" w:color="auto"/>
        <w:left w:val="none" w:sz="0" w:space="0" w:color="auto"/>
        <w:bottom w:val="none" w:sz="0" w:space="0" w:color="auto"/>
        <w:right w:val="none" w:sz="0" w:space="0" w:color="auto"/>
      </w:divBdr>
    </w:div>
    <w:div w:id="1282105165">
      <w:bodyDiv w:val="1"/>
      <w:marLeft w:val="0"/>
      <w:marRight w:val="0"/>
      <w:marTop w:val="0"/>
      <w:marBottom w:val="0"/>
      <w:divBdr>
        <w:top w:val="none" w:sz="0" w:space="0" w:color="auto"/>
        <w:left w:val="none" w:sz="0" w:space="0" w:color="auto"/>
        <w:bottom w:val="none" w:sz="0" w:space="0" w:color="auto"/>
        <w:right w:val="none" w:sz="0" w:space="0" w:color="auto"/>
      </w:divBdr>
    </w:div>
    <w:div w:id="1282498397">
      <w:bodyDiv w:val="1"/>
      <w:marLeft w:val="0"/>
      <w:marRight w:val="0"/>
      <w:marTop w:val="0"/>
      <w:marBottom w:val="0"/>
      <w:divBdr>
        <w:top w:val="none" w:sz="0" w:space="0" w:color="auto"/>
        <w:left w:val="none" w:sz="0" w:space="0" w:color="auto"/>
        <w:bottom w:val="none" w:sz="0" w:space="0" w:color="auto"/>
        <w:right w:val="none" w:sz="0" w:space="0" w:color="auto"/>
      </w:divBdr>
    </w:div>
    <w:div w:id="1283227567">
      <w:bodyDiv w:val="1"/>
      <w:marLeft w:val="0"/>
      <w:marRight w:val="0"/>
      <w:marTop w:val="0"/>
      <w:marBottom w:val="0"/>
      <w:divBdr>
        <w:top w:val="none" w:sz="0" w:space="0" w:color="auto"/>
        <w:left w:val="none" w:sz="0" w:space="0" w:color="auto"/>
        <w:bottom w:val="none" w:sz="0" w:space="0" w:color="auto"/>
        <w:right w:val="none" w:sz="0" w:space="0" w:color="auto"/>
      </w:divBdr>
    </w:div>
    <w:div w:id="1283264702">
      <w:bodyDiv w:val="1"/>
      <w:marLeft w:val="0"/>
      <w:marRight w:val="0"/>
      <w:marTop w:val="0"/>
      <w:marBottom w:val="0"/>
      <w:divBdr>
        <w:top w:val="none" w:sz="0" w:space="0" w:color="auto"/>
        <w:left w:val="none" w:sz="0" w:space="0" w:color="auto"/>
        <w:bottom w:val="none" w:sz="0" w:space="0" w:color="auto"/>
        <w:right w:val="none" w:sz="0" w:space="0" w:color="auto"/>
      </w:divBdr>
    </w:div>
    <w:div w:id="1283539325">
      <w:bodyDiv w:val="1"/>
      <w:marLeft w:val="0"/>
      <w:marRight w:val="0"/>
      <w:marTop w:val="0"/>
      <w:marBottom w:val="0"/>
      <w:divBdr>
        <w:top w:val="none" w:sz="0" w:space="0" w:color="auto"/>
        <w:left w:val="none" w:sz="0" w:space="0" w:color="auto"/>
        <w:bottom w:val="none" w:sz="0" w:space="0" w:color="auto"/>
        <w:right w:val="none" w:sz="0" w:space="0" w:color="auto"/>
      </w:divBdr>
    </w:div>
    <w:div w:id="1284077890">
      <w:bodyDiv w:val="1"/>
      <w:marLeft w:val="0"/>
      <w:marRight w:val="0"/>
      <w:marTop w:val="0"/>
      <w:marBottom w:val="0"/>
      <w:divBdr>
        <w:top w:val="none" w:sz="0" w:space="0" w:color="auto"/>
        <w:left w:val="none" w:sz="0" w:space="0" w:color="auto"/>
        <w:bottom w:val="none" w:sz="0" w:space="0" w:color="auto"/>
        <w:right w:val="none" w:sz="0" w:space="0" w:color="auto"/>
      </w:divBdr>
    </w:div>
    <w:div w:id="1284775070">
      <w:bodyDiv w:val="1"/>
      <w:marLeft w:val="0"/>
      <w:marRight w:val="0"/>
      <w:marTop w:val="0"/>
      <w:marBottom w:val="0"/>
      <w:divBdr>
        <w:top w:val="none" w:sz="0" w:space="0" w:color="auto"/>
        <w:left w:val="none" w:sz="0" w:space="0" w:color="auto"/>
        <w:bottom w:val="none" w:sz="0" w:space="0" w:color="auto"/>
        <w:right w:val="none" w:sz="0" w:space="0" w:color="auto"/>
      </w:divBdr>
    </w:div>
    <w:div w:id="1286037570">
      <w:bodyDiv w:val="1"/>
      <w:marLeft w:val="0"/>
      <w:marRight w:val="0"/>
      <w:marTop w:val="0"/>
      <w:marBottom w:val="0"/>
      <w:divBdr>
        <w:top w:val="none" w:sz="0" w:space="0" w:color="auto"/>
        <w:left w:val="none" w:sz="0" w:space="0" w:color="auto"/>
        <w:bottom w:val="none" w:sz="0" w:space="0" w:color="auto"/>
        <w:right w:val="none" w:sz="0" w:space="0" w:color="auto"/>
      </w:divBdr>
    </w:div>
    <w:div w:id="1286496864">
      <w:bodyDiv w:val="1"/>
      <w:marLeft w:val="0"/>
      <w:marRight w:val="0"/>
      <w:marTop w:val="0"/>
      <w:marBottom w:val="0"/>
      <w:divBdr>
        <w:top w:val="none" w:sz="0" w:space="0" w:color="auto"/>
        <w:left w:val="none" w:sz="0" w:space="0" w:color="auto"/>
        <w:bottom w:val="none" w:sz="0" w:space="0" w:color="auto"/>
        <w:right w:val="none" w:sz="0" w:space="0" w:color="auto"/>
      </w:divBdr>
    </w:div>
    <w:div w:id="1287084476">
      <w:bodyDiv w:val="1"/>
      <w:marLeft w:val="0"/>
      <w:marRight w:val="0"/>
      <w:marTop w:val="0"/>
      <w:marBottom w:val="0"/>
      <w:divBdr>
        <w:top w:val="none" w:sz="0" w:space="0" w:color="auto"/>
        <w:left w:val="none" w:sz="0" w:space="0" w:color="auto"/>
        <w:bottom w:val="none" w:sz="0" w:space="0" w:color="auto"/>
        <w:right w:val="none" w:sz="0" w:space="0" w:color="auto"/>
      </w:divBdr>
    </w:div>
    <w:div w:id="1287420911">
      <w:bodyDiv w:val="1"/>
      <w:marLeft w:val="0"/>
      <w:marRight w:val="0"/>
      <w:marTop w:val="0"/>
      <w:marBottom w:val="0"/>
      <w:divBdr>
        <w:top w:val="none" w:sz="0" w:space="0" w:color="auto"/>
        <w:left w:val="none" w:sz="0" w:space="0" w:color="auto"/>
        <w:bottom w:val="none" w:sz="0" w:space="0" w:color="auto"/>
        <w:right w:val="none" w:sz="0" w:space="0" w:color="auto"/>
      </w:divBdr>
    </w:div>
    <w:div w:id="1287662847">
      <w:bodyDiv w:val="1"/>
      <w:marLeft w:val="0"/>
      <w:marRight w:val="0"/>
      <w:marTop w:val="0"/>
      <w:marBottom w:val="0"/>
      <w:divBdr>
        <w:top w:val="none" w:sz="0" w:space="0" w:color="auto"/>
        <w:left w:val="none" w:sz="0" w:space="0" w:color="auto"/>
        <w:bottom w:val="none" w:sz="0" w:space="0" w:color="auto"/>
        <w:right w:val="none" w:sz="0" w:space="0" w:color="auto"/>
      </w:divBdr>
    </w:div>
    <w:div w:id="1287783818">
      <w:bodyDiv w:val="1"/>
      <w:marLeft w:val="0"/>
      <w:marRight w:val="0"/>
      <w:marTop w:val="0"/>
      <w:marBottom w:val="0"/>
      <w:divBdr>
        <w:top w:val="none" w:sz="0" w:space="0" w:color="auto"/>
        <w:left w:val="none" w:sz="0" w:space="0" w:color="auto"/>
        <w:bottom w:val="none" w:sz="0" w:space="0" w:color="auto"/>
        <w:right w:val="none" w:sz="0" w:space="0" w:color="auto"/>
      </w:divBdr>
    </w:div>
    <w:div w:id="1288120730">
      <w:bodyDiv w:val="1"/>
      <w:marLeft w:val="0"/>
      <w:marRight w:val="0"/>
      <w:marTop w:val="0"/>
      <w:marBottom w:val="0"/>
      <w:divBdr>
        <w:top w:val="none" w:sz="0" w:space="0" w:color="auto"/>
        <w:left w:val="none" w:sz="0" w:space="0" w:color="auto"/>
        <w:bottom w:val="none" w:sz="0" w:space="0" w:color="auto"/>
        <w:right w:val="none" w:sz="0" w:space="0" w:color="auto"/>
      </w:divBdr>
    </w:div>
    <w:div w:id="1288317026">
      <w:bodyDiv w:val="1"/>
      <w:marLeft w:val="0"/>
      <w:marRight w:val="0"/>
      <w:marTop w:val="0"/>
      <w:marBottom w:val="0"/>
      <w:divBdr>
        <w:top w:val="none" w:sz="0" w:space="0" w:color="auto"/>
        <w:left w:val="none" w:sz="0" w:space="0" w:color="auto"/>
        <w:bottom w:val="none" w:sz="0" w:space="0" w:color="auto"/>
        <w:right w:val="none" w:sz="0" w:space="0" w:color="auto"/>
      </w:divBdr>
    </w:div>
    <w:div w:id="1288438622">
      <w:bodyDiv w:val="1"/>
      <w:marLeft w:val="0"/>
      <w:marRight w:val="0"/>
      <w:marTop w:val="0"/>
      <w:marBottom w:val="0"/>
      <w:divBdr>
        <w:top w:val="none" w:sz="0" w:space="0" w:color="auto"/>
        <w:left w:val="none" w:sz="0" w:space="0" w:color="auto"/>
        <w:bottom w:val="none" w:sz="0" w:space="0" w:color="auto"/>
        <w:right w:val="none" w:sz="0" w:space="0" w:color="auto"/>
      </w:divBdr>
    </w:div>
    <w:div w:id="1288656258">
      <w:bodyDiv w:val="1"/>
      <w:marLeft w:val="0"/>
      <w:marRight w:val="0"/>
      <w:marTop w:val="0"/>
      <w:marBottom w:val="0"/>
      <w:divBdr>
        <w:top w:val="none" w:sz="0" w:space="0" w:color="auto"/>
        <w:left w:val="none" w:sz="0" w:space="0" w:color="auto"/>
        <w:bottom w:val="none" w:sz="0" w:space="0" w:color="auto"/>
        <w:right w:val="none" w:sz="0" w:space="0" w:color="auto"/>
      </w:divBdr>
    </w:div>
    <w:div w:id="1288782224">
      <w:bodyDiv w:val="1"/>
      <w:marLeft w:val="0"/>
      <w:marRight w:val="0"/>
      <w:marTop w:val="0"/>
      <w:marBottom w:val="0"/>
      <w:divBdr>
        <w:top w:val="none" w:sz="0" w:space="0" w:color="auto"/>
        <w:left w:val="none" w:sz="0" w:space="0" w:color="auto"/>
        <w:bottom w:val="none" w:sz="0" w:space="0" w:color="auto"/>
        <w:right w:val="none" w:sz="0" w:space="0" w:color="auto"/>
      </w:divBdr>
    </w:div>
    <w:div w:id="1289167936">
      <w:bodyDiv w:val="1"/>
      <w:marLeft w:val="0"/>
      <w:marRight w:val="0"/>
      <w:marTop w:val="0"/>
      <w:marBottom w:val="0"/>
      <w:divBdr>
        <w:top w:val="none" w:sz="0" w:space="0" w:color="auto"/>
        <w:left w:val="none" w:sz="0" w:space="0" w:color="auto"/>
        <w:bottom w:val="none" w:sz="0" w:space="0" w:color="auto"/>
        <w:right w:val="none" w:sz="0" w:space="0" w:color="auto"/>
      </w:divBdr>
    </w:div>
    <w:div w:id="1289239712">
      <w:bodyDiv w:val="1"/>
      <w:marLeft w:val="0"/>
      <w:marRight w:val="0"/>
      <w:marTop w:val="0"/>
      <w:marBottom w:val="0"/>
      <w:divBdr>
        <w:top w:val="none" w:sz="0" w:space="0" w:color="auto"/>
        <w:left w:val="none" w:sz="0" w:space="0" w:color="auto"/>
        <w:bottom w:val="none" w:sz="0" w:space="0" w:color="auto"/>
        <w:right w:val="none" w:sz="0" w:space="0" w:color="auto"/>
      </w:divBdr>
    </w:div>
    <w:div w:id="1290093327">
      <w:bodyDiv w:val="1"/>
      <w:marLeft w:val="0"/>
      <w:marRight w:val="0"/>
      <w:marTop w:val="0"/>
      <w:marBottom w:val="0"/>
      <w:divBdr>
        <w:top w:val="none" w:sz="0" w:space="0" w:color="auto"/>
        <w:left w:val="none" w:sz="0" w:space="0" w:color="auto"/>
        <w:bottom w:val="none" w:sz="0" w:space="0" w:color="auto"/>
        <w:right w:val="none" w:sz="0" w:space="0" w:color="auto"/>
      </w:divBdr>
    </w:div>
    <w:div w:id="1290435233">
      <w:bodyDiv w:val="1"/>
      <w:marLeft w:val="0"/>
      <w:marRight w:val="0"/>
      <w:marTop w:val="0"/>
      <w:marBottom w:val="0"/>
      <w:divBdr>
        <w:top w:val="none" w:sz="0" w:space="0" w:color="auto"/>
        <w:left w:val="none" w:sz="0" w:space="0" w:color="auto"/>
        <w:bottom w:val="none" w:sz="0" w:space="0" w:color="auto"/>
        <w:right w:val="none" w:sz="0" w:space="0" w:color="auto"/>
      </w:divBdr>
    </w:div>
    <w:div w:id="1290934723">
      <w:bodyDiv w:val="1"/>
      <w:marLeft w:val="0"/>
      <w:marRight w:val="0"/>
      <w:marTop w:val="0"/>
      <w:marBottom w:val="0"/>
      <w:divBdr>
        <w:top w:val="none" w:sz="0" w:space="0" w:color="auto"/>
        <w:left w:val="none" w:sz="0" w:space="0" w:color="auto"/>
        <w:bottom w:val="none" w:sz="0" w:space="0" w:color="auto"/>
        <w:right w:val="none" w:sz="0" w:space="0" w:color="auto"/>
      </w:divBdr>
    </w:div>
    <w:div w:id="1291017707">
      <w:bodyDiv w:val="1"/>
      <w:marLeft w:val="0"/>
      <w:marRight w:val="0"/>
      <w:marTop w:val="0"/>
      <w:marBottom w:val="0"/>
      <w:divBdr>
        <w:top w:val="none" w:sz="0" w:space="0" w:color="auto"/>
        <w:left w:val="none" w:sz="0" w:space="0" w:color="auto"/>
        <w:bottom w:val="none" w:sz="0" w:space="0" w:color="auto"/>
        <w:right w:val="none" w:sz="0" w:space="0" w:color="auto"/>
      </w:divBdr>
    </w:div>
    <w:div w:id="1291128676">
      <w:bodyDiv w:val="1"/>
      <w:marLeft w:val="0"/>
      <w:marRight w:val="0"/>
      <w:marTop w:val="0"/>
      <w:marBottom w:val="0"/>
      <w:divBdr>
        <w:top w:val="none" w:sz="0" w:space="0" w:color="auto"/>
        <w:left w:val="none" w:sz="0" w:space="0" w:color="auto"/>
        <w:bottom w:val="none" w:sz="0" w:space="0" w:color="auto"/>
        <w:right w:val="none" w:sz="0" w:space="0" w:color="auto"/>
      </w:divBdr>
    </w:div>
    <w:div w:id="1291134509">
      <w:bodyDiv w:val="1"/>
      <w:marLeft w:val="0"/>
      <w:marRight w:val="0"/>
      <w:marTop w:val="0"/>
      <w:marBottom w:val="0"/>
      <w:divBdr>
        <w:top w:val="none" w:sz="0" w:space="0" w:color="auto"/>
        <w:left w:val="none" w:sz="0" w:space="0" w:color="auto"/>
        <w:bottom w:val="none" w:sz="0" w:space="0" w:color="auto"/>
        <w:right w:val="none" w:sz="0" w:space="0" w:color="auto"/>
      </w:divBdr>
    </w:div>
    <w:div w:id="1291204207">
      <w:bodyDiv w:val="1"/>
      <w:marLeft w:val="0"/>
      <w:marRight w:val="0"/>
      <w:marTop w:val="0"/>
      <w:marBottom w:val="0"/>
      <w:divBdr>
        <w:top w:val="none" w:sz="0" w:space="0" w:color="auto"/>
        <w:left w:val="none" w:sz="0" w:space="0" w:color="auto"/>
        <w:bottom w:val="none" w:sz="0" w:space="0" w:color="auto"/>
        <w:right w:val="none" w:sz="0" w:space="0" w:color="auto"/>
      </w:divBdr>
    </w:div>
    <w:div w:id="1291473992">
      <w:bodyDiv w:val="1"/>
      <w:marLeft w:val="0"/>
      <w:marRight w:val="0"/>
      <w:marTop w:val="0"/>
      <w:marBottom w:val="0"/>
      <w:divBdr>
        <w:top w:val="none" w:sz="0" w:space="0" w:color="auto"/>
        <w:left w:val="none" w:sz="0" w:space="0" w:color="auto"/>
        <w:bottom w:val="none" w:sz="0" w:space="0" w:color="auto"/>
        <w:right w:val="none" w:sz="0" w:space="0" w:color="auto"/>
      </w:divBdr>
    </w:div>
    <w:div w:id="1291479474">
      <w:bodyDiv w:val="1"/>
      <w:marLeft w:val="0"/>
      <w:marRight w:val="0"/>
      <w:marTop w:val="0"/>
      <w:marBottom w:val="0"/>
      <w:divBdr>
        <w:top w:val="none" w:sz="0" w:space="0" w:color="auto"/>
        <w:left w:val="none" w:sz="0" w:space="0" w:color="auto"/>
        <w:bottom w:val="none" w:sz="0" w:space="0" w:color="auto"/>
        <w:right w:val="none" w:sz="0" w:space="0" w:color="auto"/>
      </w:divBdr>
    </w:div>
    <w:div w:id="1291521247">
      <w:bodyDiv w:val="1"/>
      <w:marLeft w:val="0"/>
      <w:marRight w:val="0"/>
      <w:marTop w:val="0"/>
      <w:marBottom w:val="0"/>
      <w:divBdr>
        <w:top w:val="none" w:sz="0" w:space="0" w:color="auto"/>
        <w:left w:val="none" w:sz="0" w:space="0" w:color="auto"/>
        <w:bottom w:val="none" w:sz="0" w:space="0" w:color="auto"/>
        <w:right w:val="none" w:sz="0" w:space="0" w:color="auto"/>
      </w:divBdr>
    </w:div>
    <w:div w:id="1291862625">
      <w:bodyDiv w:val="1"/>
      <w:marLeft w:val="0"/>
      <w:marRight w:val="0"/>
      <w:marTop w:val="0"/>
      <w:marBottom w:val="0"/>
      <w:divBdr>
        <w:top w:val="none" w:sz="0" w:space="0" w:color="auto"/>
        <w:left w:val="none" w:sz="0" w:space="0" w:color="auto"/>
        <w:bottom w:val="none" w:sz="0" w:space="0" w:color="auto"/>
        <w:right w:val="none" w:sz="0" w:space="0" w:color="auto"/>
      </w:divBdr>
    </w:div>
    <w:div w:id="1292053875">
      <w:bodyDiv w:val="1"/>
      <w:marLeft w:val="0"/>
      <w:marRight w:val="0"/>
      <w:marTop w:val="0"/>
      <w:marBottom w:val="0"/>
      <w:divBdr>
        <w:top w:val="none" w:sz="0" w:space="0" w:color="auto"/>
        <w:left w:val="none" w:sz="0" w:space="0" w:color="auto"/>
        <w:bottom w:val="none" w:sz="0" w:space="0" w:color="auto"/>
        <w:right w:val="none" w:sz="0" w:space="0" w:color="auto"/>
      </w:divBdr>
    </w:div>
    <w:div w:id="1292591032">
      <w:bodyDiv w:val="1"/>
      <w:marLeft w:val="0"/>
      <w:marRight w:val="0"/>
      <w:marTop w:val="0"/>
      <w:marBottom w:val="0"/>
      <w:divBdr>
        <w:top w:val="none" w:sz="0" w:space="0" w:color="auto"/>
        <w:left w:val="none" w:sz="0" w:space="0" w:color="auto"/>
        <w:bottom w:val="none" w:sz="0" w:space="0" w:color="auto"/>
        <w:right w:val="none" w:sz="0" w:space="0" w:color="auto"/>
      </w:divBdr>
    </w:div>
    <w:div w:id="1292633719">
      <w:bodyDiv w:val="1"/>
      <w:marLeft w:val="0"/>
      <w:marRight w:val="0"/>
      <w:marTop w:val="0"/>
      <w:marBottom w:val="0"/>
      <w:divBdr>
        <w:top w:val="none" w:sz="0" w:space="0" w:color="auto"/>
        <w:left w:val="none" w:sz="0" w:space="0" w:color="auto"/>
        <w:bottom w:val="none" w:sz="0" w:space="0" w:color="auto"/>
        <w:right w:val="none" w:sz="0" w:space="0" w:color="auto"/>
      </w:divBdr>
    </w:div>
    <w:div w:id="1292788195">
      <w:bodyDiv w:val="1"/>
      <w:marLeft w:val="0"/>
      <w:marRight w:val="0"/>
      <w:marTop w:val="0"/>
      <w:marBottom w:val="0"/>
      <w:divBdr>
        <w:top w:val="none" w:sz="0" w:space="0" w:color="auto"/>
        <w:left w:val="none" w:sz="0" w:space="0" w:color="auto"/>
        <w:bottom w:val="none" w:sz="0" w:space="0" w:color="auto"/>
        <w:right w:val="none" w:sz="0" w:space="0" w:color="auto"/>
      </w:divBdr>
    </w:div>
    <w:div w:id="1293484746">
      <w:bodyDiv w:val="1"/>
      <w:marLeft w:val="0"/>
      <w:marRight w:val="0"/>
      <w:marTop w:val="0"/>
      <w:marBottom w:val="0"/>
      <w:divBdr>
        <w:top w:val="none" w:sz="0" w:space="0" w:color="auto"/>
        <w:left w:val="none" w:sz="0" w:space="0" w:color="auto"/>
        <w:bottom w:val="none" w:sz="0" w:space="0" w:color="auto"/>
        <w:right w:val="none" w:sz="0" w:space="0" w:color="auto"/>
      </w:divBdr>
    </w:div>
    <w:div w:id="1293511848">
      <w:bodyDiv w:val="1"/>
      <w:marLeft w:val="0"/>
      <w:marRight w:val="0"/>
      <w:marTop w:val="0"/>
      <w:marBottom w:val="0"/>
      <w:divBdr>
        <w:top w:val="none" w:sz="0" w:space="0" w:color="auto"/>
        <w:left w:val="none" w:sz="0" w:space="0" w:color="auto"/>
        <w:bottom w:val="none" w:sz="0" w:space="0" w:color="auto"/>
        <w:right w:val="none" w:sz="0" w:space="0" w:color="auto"/>
      </w:divBdr>
    </w:div>
    <w:div w:id="1293561565">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3754544">
      <w:bodyDiv w:val="1"/>
      <w:marLeft w:val="0"/>
      <w:marRight w:val="0"/>
      <w:marTop w:val="0"/>
      <w:marBottom w:val="0"/>
      <w:divBdr>
        <w:top w:val="none" w:sz="0" w:space="0" w:color="auto"/>
        <w:left w:val="none" w:sz="0" w:space="0" w:color="auto"/>
        <w:bottom w:val="none" w:sz="0" w:space="0" w:color="auto"/>
        <w:right w:val="none" w:sz="0" w:space="0" w:color="auto"/>
      </w:divBdr>
    </w:div>
    <w:div w:id="1293900862">
      <w:bodyDiv w:val="1"/>
      <w:marLeft w:val="0"/>
      <w:marRight w:val="0"/>
      <w:marTop w:val="0"/>
      <w:marBottom w:val="0"/>
      <w:divBdr>
        <w:top w:val="none" w:sz="0" w:space="0" w:color="auto"/>
        <w:left w:val="none" w:sz="0" w:space="0" w:color="auto"/>
        <w:bottom w:val="none" w:sz="0" w:space="0" w:color="auto"/>
        <w:right w:val="none" w:sz="0" w:space="0" w:color="auto"/>
      </w:divBdr>
    </w:div>
    <w:div w:id="1294361217">
      <w:bodyDiv w:val="1"/>
      <w:marLeft w:val="0"/>
      <w:marRight w:val="0"/>
      <w:marTop w:val="0"/>
      <w:marBottom w:val="0"/>
      <w:divBdr>
        <w:top w:val="none" w:sz="0" w:space="0" w:color="auto"/>
        <w:left w:val="none" w:sz="0" w:space="0" w:color="auto"/>
        <w:bottom w:val="none" w:sz="0" w:space="0" w:color="auto"/>
        <w:right w:val="none" w:sz="0" w:space="0" w:color="auto"/>
      </w:divBdr>
    </w:div>
    <w:div w:id="1294480929">
      <w:bodyDiv w:val="1"/>
      <w:marLeft w:val="0"/>
      <w:marRight w:val="0"/>
      <w:marTop w:val="0"/>
      <w:marBottom w:val="0"/>
      <w:divBdr>
        <w:top w:val="none" w:sz="0" w:space="0" w:color="auto"/>
        <w:left w:val="none" w:sz="0" w:space="0" w:color="auto"/>
        <w:bottom w:val="none" w:sz="0" w:space="0" w:color="auto"/>
        <w:right w:val="none" w:sz="0" w:space="0" w:color="auto"/>
      </w:divBdr>
    </w:div>
    <w:div w:id="129448427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212446">
      <w:bodyDiv w:val="1"/>
      <w:marLeft w:val="0"/>
      <w:marRight w:val="0"/>
      <w:marTop w:val="0"/>
      <w:marBottom w:val="0"/>
      <w:divBdr>
        <w:top w:val="none" w:sz="0" w:space="0" w:color="auto"/>
        <w:left w:val="none" w:sz="0" w:space="0" w:color="auto"/>
        <w:bottom w:val="none" w:sz="0" w:space="0" w:color="auto"/>
        <w:right w:val="none" w:sz="0" w:space="0" w:color="auto"/>
      </w:divBdr>
    </w:div>
    <w:div w:id="1295334139">
      <w:bodyDiv w:val="1"/>
      <w:marLeft w:val="0"/>
      <w:marRight w:val="0"/>
      <w:marTop w:val="0"/>
      <w:marBottom w:val="0"/>
      <w:divBdr>
        <w:top w:val="none" w:sz="0" w:space="0" w:color="auto"/>
        <w:left w:val="none" w:sz="0" w:space="0" w:color="auto"/>
        <w:bottom w:val="none" w:sz="0" w:space="0" w:color="auto"/>
        <w:right w:val="none" w:sz="0" w:space="0" w:color="auto"/>
      </w:divBdr>
    </w:div>
    <w:div w:id="1295677446">
      <w:bodyDiv w:val="1"/>
      <w:marLeft w:val="0"/>
      <w:marRight w:val="0"/>
      <w:marTop w:val="0"/>
      <w:marBottom w:val="0"/>
      <w:divBdr>
        <w:top w:val="none" w:sz="0" w:space="0" w:color="auto"/>
        <w:left w:val="none" w:sz="0" w:space="0" w:color="auto"/>
        <w:bottom w:val="none" w:sz="0" w:space="0" w:color="auto"/>
        <w:right w:val="none" w:sz="0" w:space="0" w:color="auto"/>
      </w:divBdr>
    </w:div>
    <w:div w:id="1295792322">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296258542">
      <w:bodyDiv w:val="1"/>
      <w:marLeft w:val="0"/>
      <w:marRight w:val="0"/>
      <w:marTop w:val="0"/>
      <w:marBottom w:val="0"/>
      <w:divBdr>
        <w:top w:val="none" w:sz="0" w:space="0" w:color="auto"/>
        <w:left w:val="none" w:sz="0" w:space="0" w:color="auto"/>
        <w:bottom w:val="none" w:sz="0" w:space="0" w:color="auto"/>
        <w:right w:val="none" w:sz="0" w:space="0" w:color="auto"/>
      </w:divBdr>
    </w:div>
    <w:div w:id="1296369915">
      <w:bodyDiv w:val="1"/>
      <w:marLeft w:val="0"/>
      <w:marRight w:val="0"/>
      <w:marTop w:val="0"/>
      <w:marBottom w:val="0"/>
      <w:divBdr>
        <w:top w:val="none" w:sz="0" w:space="0" w:color="auto"/>
        <w:left w:val="none" w:sz="0" w:space="0" w:color="auto"/>
        <w:bottom w:val="none" w:sz="0" w:space="0" w:color="auto"/>
        <w:right w:val="none" w:sz="0" w:space="0" w:color="auto"/>
      </w:divBdr>
    </w:div>
    <w:div w:id="1296524440">
      <w:bodyDiv w:val="1"/>
      <w:marLeft w:val="0"/>
      <w:marRight w:val="0"/>
      <w:marTop w:val="0"/>
      <w:marBottom w:val="0"/>
      <w:divBdr>
        <w:top w:val="none" w:sz="0" w:space="0" w:color="auto"/>
        <w:left w:val="none" w:sz="0" w:space="0" w:color="auto"/>
        <w:bottom w:val="none" w:sz="0" w:space="0" w:color="auto"/>
        <w:right w:val="none" w:sz="0" w:space="0" w:color="auto"/>
      </w:divBdr>
    </w:div>
    <w:div w:id="1296525025">
      <w:bodyDiv w:val="1"/>
      <w:marLeft w:val="0"/>
      <w:marRight w:val="0"/>
      <w:marTop w:val="0"/>
      <w:marBottom w:val="0"/>
      <w:divBdr>
        <w:top w:val="none" w:sz="0" w:space="0" w:color="auto"/>
        <w:left w:val="none" w:sz="0" w:space="0" w:color="auto"/>
        <w:bottom w:val="none" w:sz="0" w:space="0" w:color="auto"/>
        <w:right w:val="none" w:sz="0" w:space="0" w:color="auto"/>
      </w:divBdr>
    </w:div>
    <w:div w:id="1296638341">
      <w:bodyDiv w:val="1"/>
      <w:marLeft w:val="0"/>
      <w:marRight w:val="0"/>
      <w:marTop w:val="0"/>
      <w:marBottom w:val="0"/>
      <w:divBdr>
        <w:top w:val="none" w:sz="0" w:space="0" w:color="auto"/>
        <w:left w:val="none" w:sz="0" w:space="0" w:color="auto"/>
        <w:bottom w:val="none" w:sz="0" w:space="0" w:color="auto"/>
        <w:right w:val="none" w:sz="0" w:space="0" w:color="auto"/>
      </w:divBdr>
    </w:div>
    <w:div w:id="1296831345">
      <w:bodyDiv w:val="1"/>
      <w:marLeft w:val="0"/>
      <w:marRight w:val="0"/>
      <w:marTop w:val="0"/>
      <w:marBottom w:val="0"/>
      <w:divBdr>
        <w:top w:val="none" w:sz="0" w:space="0" w:color="auto"/>
        <w:left w:val="none" w:sz="0" w:space="0" w:color="auto"/>
        <w:bottom w:val="none" w:sz="0" w:space="0" w:color="auto"/>
        <w:right w:val="none" w:sz="0" w:space="0" w:color="auto"/>
      </w:divBdr>
    </w:div>
    <w:div w:id="1296908787">
      <w:bodyDiv w:val="1"/>
      <w:marLeft w:val="0"/>
      <w:marRight w:val="0"/>
      <w:marTop w:val="0"/>
      <w:marBottom w:val="0"/>
      <w:divBdr>
        <w:top w:val="none" w:sz="0" w:space="0" w:color="auto"/>
        <w:left w:val="none" w:sz="0" w:space="0" w:color="auto"/>
        <w:bottom w:val="none" w:sz="0" w:space="0" w:color="auto"/>
        <w:right w:val="none" w:sz="0" w:space="0" w:color="auto"/>
      </w:divBdr>
    </w:div>
    <w:div w:id="1296911212">
      <w:bodyDiv w:val="1"/>
      <w:marLeft w:val="0"/>
      <w:marRight w:val="0"/>
      <w:marTop w:val="0"/>
      <w:marBottom w:val="0"/>
      <w:divBdr>
        <w:top w:val="none" w:sz="0" w:space="0" w:color="auto"/>
        <w:left w:val="none" w:sz="0" w:space="0" w:color="auto"/>
        <w:bottom w:val="none" w:sz="0" w:space="0" w:color="auto"/>
        <w:right w:val="none" w:sz="0" w:space="0" w:color="auto"/>
      </w:divBdr>
    </w:div>
    <w:div w:id="1297099187">
      <w:bodyDiv w:val="1"/>
      <w:marLeft w:val="0"/>
      <w:marRight w:val="0"/>
      <w:marTop w:val="0"/>
      <w:marBottom w:val="0"/>
      <w:divBdr>
        <w:top w:val="none" w:sz="0" w:space="0" w:color="auto"/>
        <w:left w:val="none" w:sz="0" w:space="0" w:color="auto"/>
        <w:bottom w:val="none" w:sz="0" w:space="0" w:color="auto"/>
        <w:right w:val="none" w:sz="0" w:space="0" w:color="auto"/>
      </w:divBdr>
    </w:div>
    <w:div w:id="1298220529">
      <w:bodyDiv w:val="1"/>
      <w:marLeft w:val="0"/>
      <w:marRight w:val="0"/>
      <w:marTop w:val="0"/>
      <w:marBottom w:val="0"/>
      <w:divBdr>
        <w:top w:val="none" w:sz="0" w:space="0" w:color="auto"/>
        <w:left w:val="none" w:sz="0" w:space="0" w:color="auto"/>
        <w:bottom w:val="none" w:sz="0" w:space="0" w:color="auto"/>
        <w:right w:val="none" w:sz="0" w:space="0" w:color="auto"/>
      </w:divBdr>
    </w:div>
    <w:div w:id="1299073720">
      <w:bodyDiv w:val="1"/>
      <w:marLeft w:val="0"/>
      <w:marRight w:val="0"/>
      <w:marTop w:val="0"/>
      <w:marBottom w:val="0"/>
      <w:divBdr>
        <w:top w:val="none" w:sz="0" w:space="0" w:color="auto"/>
        <w:left w:val="none" w:sz="0" w:space="0" w:color="auto"/>
        <w:bottom w:val="none" w:sz="0" w:space="0" w:color="auto"/>
        <w:right w:val="none" w:sz="0" w:space="0" w:color="auto"/>
      </w:divBdr>
    </w:div>
    <w:div w:id="1299610408">
      <w:bodyDiv w:val="1"/>
      <w:marLeft w:val="0"/>
      <w:marRight w:val="0"/>
      <w:marTop w:val="0"/>
      <w:marBottom w:val="0"/>
      <w:divBdr>
        <w:top w:val="none" w:sz="0" w:space="0" w:color="auto"/>
        <w:left w:val="none" w:sz="0" w:space="0" w:color="auto"/>
        <w:bottom w:val="none" w:sz="0" w:space="0" w:color="auto"/>
        <w:right w:val="none" w:sz="0" w:space="0" w:color="auto"/>
      </w:divBdr>
    </w:div>
    <w:div w:id="1299725359">
      <w:bodyDiv w:val="1"/>
      <w:marLeft w:val="0"/>
      <w:marRight w:val="0"/>
      <w:marTop w:val="0"/>
      <w:marBottom w:val="0"/>
      <w:divBdr>
        <w:top w:val="none" w:sz="0" w:space="0" w:color="auto"/>
        <w:left w:val="none" w:sz="0" w:space="0" w:color="auto"/>
        <w:bottom w:val="none" w:sz="0" w:space="0" w:color="auto"/>
        <w:right w:val="none" w:sz="0" w:space="0" w:color="auto"/>
      </w:divBdr>
    </w:div>
    <w:div w:id="1299842549">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00109099">
      <w:bodyDiv w:val="1"/>
      <w:marLeft w:val="0"/>
      <w:marRight w:val="0"/>
      <w:marTop w:val="0"/>
      <w:marBottom w:val="0"/>
      <w:divBdr>
        <w:top w:val="none" w:sz="0" w:space="0" w:color="auto"/>
        <w:left w:val="none" w:sz="0" w:space="0" w:color="auto"/>
        <w:bottom w:val="none" w:sz="0" w:space="0" w:color="auto"/>
        <w:right w:val="none" w:sz="0" w:space="0" w:color="auto"/>
      </w:divBdr>
    </w:div>
    <w:div w:id="1301155180">
      <w:bodyDiv w:val="1"/>
      <w:marLeft w:val="0"/>
      <w:marRight w:val="0"/>
      <w:marTop w:val="0"/>
      <w:marBottom w:val="0"/>
      <w:divBdr>
        <w:top w:val="none" w:sz="0" w:space="0" w:color="auto"/>
        <w:left w:val="none" w:sz="0" w:space="0" w:color="auto"/>
        <w:bottom w:val="none" w:sz="0" w:space="0" w:color="auto"/>
        <w:right w:val="none" w:sz="0" w:space="0" w:color="auto"/>
      </w:divBdr>
    </w:div>
    <w:div w:id="1301764653">
      <w:bodyDiv w:val="1"/>
      <w:marLeft w:val="0"/>
      <w:marRight w:val="0"/>
      <w:marTop w:val="0"/>
      <w:marBottom w:val="0"/>
      <w:divBdr>
        <w:top w:val="none" w:sz="0" w:space="0" w:color="auto"/>
        <w:left w:val="none" w:sz="0" w:space="0" w:color="auto"/>
        <w:bottom w:val="none" w:sz="0" w:space="0" w:color="auto"/>
        <w:right w:val="none" w:sz="0" w:space="0" w:color="auto"/>
      </w:divBdr>
    </w:div>
    <w:div w:id="1302230590">
      <w:bodyDiv w:val="1"/>
      <w:marLeft w:val="0"/>
      <w:marRight w:val="0"/>
      <w:marTop w:val="0"/>
      <w:marBottom w:val="0"/>
      <w:divBdr>
        <w:top w:val="none" w:sz="0" w:space="0" w:color="auto"/>
        <w:left w:val="none" w:sz="0" w:space="0" w:color="auto"/>
        <w:bottom w:val="none" w:sz="0" w:space="0" w:color="auto"/>
        <w:right w:val="none" w:sz="0" w:space="0" w:color="auto"/>
      </w:divBdr>
    </w:div>
    <w:div w:id="1302468441">
      <w:bodyDiv w:val="1"/>
      <w:marLeft w:val="0"/>
      <w:marRight w:val="0"/>
      <w:marTop w:val="0"/>
      <w:marBottom w:val="0"/>
      <w:divBdr>
        <w:top w:val="none" w:sz="0" w:space="0" w:color="auto"/>
        <w:left w:val="none" w:sz="0" w:space="0" w:color="auto"/>
        <w:bottom w:val="none" w:sz="0" w:space="0" w:color="auto"/>
        <w:right w:val="none" w:sz="0" w:space="0" w:color="auto"/>
      </w:divBdr>
    </w:div>
    <w:div w:id="1302535998">
      <w:bodyDiv w:val="1"/>
      <w:marLeft w:val="0"/>
      <w:marRight w:val="0"/>
      <w:marTop w:val="0"/>
      <w:marBottom w:val="0"/>
      <w:divBdr>
        <w:top w:val="none" w:sz="0" w:space="0" w:color="auto"/>
        <w:left w:val="none" w:sz="0" w:space="0" w:color="auto"/>
        <w:bottom w:val="none" w:sz="0" w:space="0" w:color="auto"/>
        <w:right w:val="none" w:sz="0" w:space="0" w:color="auto"/>
      </w:divBdr>
    </w:div>
    <w:div w:id="1302618914">
      <w:bodyDiv w:val="1"/>
      <w:marLeft w:val="0"/>
      <w:marRight w:val="0"/>
      <w:marTop w:val="0"/>
      <w:marBottom w:val="0"/>
      <w:divBdr>
        <w:top w:val="none" w:sz="0" w:space="0" w:color="auto"/>
        <w:left w:val="none" w:sz="0" w:space="0" w:color="auto"/>
        <w:bottom w:val="none" w:sz="0" w:space="0" w:color="auto"/>
        <w:right w:val="none" w:sz="0" w:space="0" w:color="auto"/>
      </w:divBdr>
    </w:div>
    <w:div w:id="1302687702">
      <w:bodyDiv w:val="1"/>
      <w:marLeft w:val="0"/>
      <w:marRight w:val="0"/>
      <w:marTop w:val="0"/>
      <w:marBottom w:val="0"/>
      <w:divBdr>
        <w:top w:val="none" w:sz="0" w:space="0" w:color="auto"/>
        <w:left w:val="none" w:sz="0" w:space="0" w:color="auto"/>
        <w:bottom w:val="none" w:sz="0" w:space="0" w:color="auto"/>
        <w:right w:val="none" w:sz="0" w:space="0" w:color="auto"/>
      </w:divBdr>
    </w:div>
    <w:div w:id="1302996326">
      <w:bodyDiv w:val="1"/>
      <w:marLeft w:val="0"/>
      <w:marRight w:val="0"/>
      <w:marTop w:val="0"/>
      <w:marBottom w:val="0"/>
      <w:divBdr>
        <w:top w:val="none" w:sz="0" w:space="0" w:color="auto"/>
        <w:left w:val="none" w:sz="0" w:space="0" w:color="auto"/>
        <w:bottom w:val="none" w:sz="0" w:space="0" w:color="auto"/>
        <w:right w:val="none" w:sz="0" w:space="0" w:color="auto"/>
      </w:divBdr>
    </w:div>
    <w:div w:id="1303121603">
      <w:bodyDiv w:val="1"/>
      <w:marLeft w:val="0"/>
      <w:marRight w:val="0"/>
      <w:marTop w:val="0"/>
      <w:marBottom w:val="0"/>
      <w:divBdr>
        <w:top w:val="none" w:sz="0" w:space="0" w:color="auto"/>
        <w:left w:val="none" w:sz="0" w:space="0" w:color="auto"/>
        <w:bottom w:val="none" w:sz="0" w:space="0" w:color="auto"/>
        <w:right w:val="none" w:sz="0" w:space="0" w:color="auto"/>
      </w:divBdr>
    </w:div>
    <w:div w:id="1303460887">
      <w:bodyDiv w:val="1"/>
      <w:marLeft w:val="0"/>
      <w:marRight w:val="0"/>
      <w:marTop w:val="0"/>
      <w:marBottom w:val="0"/>
      <w:divBdr>
        <w:top w:val="none" w:sz="0" w:space="0" w:color="auto"/>
        <w:left w:val="none" w:sz="0" w:space="0" w:color="auto"/>
        <w:bottom w:val="none" w:sz="0" w:space="0" w:color="auto"/>
        <w:right w:val="none" w:sz="0" w:space="0" w:color="auto"/>
      </w:divBdr>
    </w:div>
    <w:div w:id="1303846668">
      <w:bodyDiv w:val="1"/>
      <w:marLeft w:val="0"/>
      <w:marRight w:val="0"/>
      <w:marTop w:val="0"/>
      <w:marBottom w:val="0"/>
      <w:divBdr>
        <w:top w:val="none" w:sz="0" w:space="0" w:color="auto"/>
        <w:left w:val="none" w:sz="0" w:space="0" w:color="auto"/>
        <w:bottom w:val="none" w:sz="0" w:space="0" w:color="auto"/>
        <w:right w:val="none" w:sz="0" w:space="0" w:color="auto"/>
      </w:divBdr>
    </w:div>
    <w:div w:id="1304310523">
      <w:bodyDiv w:val="1"/>
      <w:marLeft w:val="0"/>
      <w:marRight w:val="0"/>
      <w:marTop w:val="0"/>
      <w:marBottom w:val="0"/>
      <w:divBdr>
        <w:top w:val="none" w:sz="0" w:space="0" w:color="auto"/>
        <w:left w:val="none" w:sz="0" w:space="0" w:color="auto"/>
        <w:bottom w:val="none" w:sz="0" w:space="0" w:color="auto"/>
        <w:right w:val="none" w:sz="0" w:space="0" w:color="auto"/>
      </w:divBdr>
    </w:div>
    <w:div w:id="1304964699">
      <w:bodyDiv w:val="1"/>
      <w:marLeft w:val="0"/>
      <w:marRight w:val="0"/>
      <w:marTop w:val="0"/>
      <w:marBottom w:val="0"/>
      <w:divBdr>
        <w:top w:val="none" w:sz="0" w:space="0" w:color="auto"/>
        <w:left w:val="none" w:sz="0" w:space="0" w:color="auto"/>
        <w:bottom w:val="none" w:sz="0" w:space="0" w:color="auto"/>
        <w:right w:val="none" w:sz="0" w:space="0" w:color="auto"/>
      </w:divBdr>
    </w:div>
    <w:div w:id="1305546191">
      <w:bodyDiv w:val="1"/>
      <w:marLeft w:val="0"/>
      <w:marRight w:val="0"/>
      <w:marTop w:val="0"/>
      <w:marBottom w:val="0"/>
      <w:divBdr>
        <w:top w:val="none" w:sz="0" w:space="0" w:color="auto"/>
        <w:left w:val="none" w:sz="0" w:space="0" w:color="auto"/>
        <w:bottom w:val="none" w:sz="0" w:space="0" w:color="auto"/>
        <w:right w:val="none" w:sz="0" w:space="0" w:color="auto"/>
      </w:divBdr>
    </w:div>
    <w:div w:id="1306355400">
      <w:bodyDiv w:val="1"/>
      <w:marLeft w:val="0"/>
      <w:marRight w:val="0"/>
      <w:marTop w:val="0"/>
      <w:marBottom w:val="0"/>
      <w:divBdr>
        <w:top w:val="none" w:sz="0" w:space="0" w:color="auto"/>
        <w:left w:val="none" w:sz="0" w:space="0" w:color="auto"/>
        <w:bottom w:val="none" w:sz="0" w:space="0" w:color="auto"/>
        <w:right w:val="none" w:sz="0" w:space="0" w:color="auto"/>
      </w:divBdr>
    </w:div>
    <w:div w:id="1306856337">
      <w:bodyDiv w:val="1"/>
      <w:marLeft w:val="0"/>
      <w:marRight w:val="0"/>
      <w:marTop w:val="0"/>
      <w:marBottom w:val="0"/>
      <w:divBdr>
        <w:top w:val="none" w:sz="0" w:space="0" w:color="auto"/>
        <w:left w:val="none" w:sz="0" w:space="0" w:color="auto"/>
        <w:bottom w:val="none" w:sz="0" w:space="0" w:color="auto"/>
        <w:right w:val="none" w:sz="0" w:space="0" w:color="auto"/>
      </w:divBdr>
    </w:div>
    <w:div w:id="1307122161">
      <w:bodyDiv w:val="1"/>
      <w:marLeft w:val="0"/>
      <w:marRight w:val="0"/>
      <w:marTop w:val="0"/>
      <w:marBottom w:val="0"/>
      <w:divBdr>
        <w:top w:val="none" w:sz="0" w:space="0" w:color="auto"/>
        <w:left w:val="none" w:sz="0" w:space="0" w:color="auto"/>
        <w:bottom w:val="none" w:sz="0" w:space="0" w:color="auto"/>
        <w:right w:val="none" w:sz="0" w:space="0" w:color="auto"/>
      </w:divBdr>
    </w:div>
    <w:div w:id="1307320708">
      <w:bodyDiv w:val="1"/>
      <w:marLeft w:val="0"/>
      <w:marRight w:val="0"/>
      <w:marTop w:val="0"/>
      <w:marBottom w:val="0"/>
      <w:divBdr>
        <w:top w:val="none" w:sz="0" w:space="0" w:color="auto"/>
        <w:left w:val="none" w:sz="0" w:space="0" w:color="auto"/>
        <w:bottom w:val="none" w:sz="0" w:space="0" w:color="auto"/>
        <w:right w:val="none" w:sz="0" w:space="0" w:color="auto"/>
      </w:divBdr>
    </w:div>
    <w:div w:id="1307510478">
      <w:bodyDiv w:val="1"/>
      <w:marLeft w:val="0"/>
      <w:marRight w:val="0"/>
      <w:marTop w:val="0"/>
      <w:marBottom w:val="0"/>
      <w:divBdr>
        <w:top w:val="none" w:sz="0" w:space="0" w:color="auto"/>
        <w:left w:val="none" w:sz="0" w:space="0" w:color="auto"/>
        <w:bottom w:val="none" w:sz="0" w:space="0" w:color="auto"/>
        <w:right w:val="none" w:sz="0" w:space="0" w:color="auto"/>
      </w:divBdr>
    </w:div>
    <w:div w:id="1307859889">
      <w:bodyDiv w:val="1"/>
      <w:marLeft w:val="0"/>
      <w:marRight w:val="0"/>
      <w:marTop w:val="0"/>
      <w:marBottom w:val="0"/>
      <w:divBdr>
        <w:top w:val="none" w:sz="0" w:space="0" w:color="auto"/>
        <w:left w:val="none" w:sz="0" w:space="0" w:color="auto"/>
        <w:bottom w:val="none" w:sz="0" w:space="0" w:color="auto"/>
        <w:right w:val="none" w:sz="0" w:space="0" w:color="auto"/>
      </w:divBdr>
    </w:div>
    <w:div w:id="1308129071">
      <w:bodyDiv w:val="1"/>
      <w:marLeft w:val="0"/>
      <w:marRight w:val="0"/>
      <w:marTop w:val="0"/>
      <w:marBottom w:val="0"/>
      <w:divBdr>
        <w:top w:val="none" w:sz="0" w:space="0" w:color="auto"/>
        <w:left w:val="none" w:sz="0" w:space="0" w:color="auto"/>
        <w:bottom w:val="none" w:sz="0" w:space="0" w:color="auto"/>
        <w:right w:val="none" w:sz="0" w:space="0" w:color="auto"/>
      </w:divBdr>
    </w:div>
    <w:div w:id="1308851529">
      <w:bodyDiv w:val="1"/>
      <w:marLeft w:val="0"/>
      <w:marRight w:val="0"/>
      <w:marTop w:val="0"/>
      <w:marBottom w:val="0"/>
      <w:divBdr>
        <w:top w:val="none" w:sz="0" w:space="0" w:color="auto"/>
        <w:left w:val="none" w:sz="0" w:space="0" w:color="auto"/>
        <w:bottom w:val="none" w:sz="0" w:space="0" w:color="auto"/>
        <w:right w:val="none" w:sz="0" w:space="0" w:color="auto"/>
      </w:divBdr>
    </w:div>
    <w:div w:id="1309087785">
      <w:bodyDiv w:val="1"/>
      <w:marLeft w:val="0"/>
      <w:marRight w:val="0"/>
      <w:marTop w:val="0"/>
      <w:marBottom w:val="0"/>
      <w:divBdr>
        <w:top w:val="none" w:sz="0" w:space="0" w:color="auto"/>
        <w:left w:val="none" w:sz="0" w:space="0" w:color="auto"/>
        <w:bottom w:val="none" w:sz="0" w:space="0" w:color="auto"/>
        <w:right w:val="none" w:sz="0" w:space="0" w:color="auto"/>
      </w:divBdr>
    </w:div>
    <w:div w:id="1309280986">
      <w:bodyDiv w:val="1"/>
      <w:marLeft w:val="0"/>
      <w:marRight w:val="0"/>
      <w:marTop w:val="0"/>
      <w:marBottom w:val="0"/>
      <w:divBdr>
        <w:top w:val="none" w:sz="0" w:space="0" w:color="auto"/>
        <w:left w:val="none" w:sz="0" w:space="0" w:color="auto"/>
        <w:bottom w:val="none" w:sz="0" w:space="0" w:color="auto"/>
        <w:right w:val="none" w:sz="0" w:space="0" w:color="auto"/>
      </w:divBdr>
    </w:div>
    <w:div w:id="1309436204">
      <w:bodyDiv w:val="1"/>
      <w:marLeft w:val="0"/>
      <w:marRight w:val="0"/>
      <w:marTop w:val="0"/>
      <w:marBottom w:val="0"/>
      <w:divBdr>
        <w:top w:val="none" w:sz="0" w:space="0" w:color="auto"/>
        <w:left w:val="none" w:sz="0" w:space="0" w:color="auto"/>
        <w:bottom w:val="none" w:sz="0" w:space="0" w:color="auto"/>
        <w:right w:val="none" w:sz="0" w:space="0" w:color="auto"/>
      </w:divBdr>
    </w:div>
    <w:div w:id="1309673210">
      <w:bodyDiv w:val="1"/>
      <w:marLeft w:val="0"/>
      <w:marRight w:val="0"/>
      <w:marTop w:val="0"/>
      <w:marBottom w:val="0"/>
      <w:divBdr>
        <w:top w:val="none" w:sz="0" w:space="0" w:color="auto"/>
        <w:left w:val="none" w:sz="0" w:space="0" w:color="auto"/>
        <w:bottom w:val="none" w:sz="0" w:space="0" w:color="auto"/>
        <w:right w:val="none" w:sz="0" w:space="0" w:color="auto"/>
      </w:divBdr>
    </w:div>
    <w:div w:id="1309896238">
      <w:bodyDiv w:val="1"/>
      <w:marLeft w:val="0"/>
      <w:marRight w:val="0"/>
      <w:marTop w:val="0"/>
      <w:marBottom w:val="0"/>
      <w:divBdr>
        <w:top w:val="none" w:sz="0" w:space="0" w:color="auto"/>
        <w:left w:val="none" w:sz="0" w:space="0" w:color="auto"/>
        <w:bottom w:val="none" w:sz="0" w:space="0" w:color="auto"/>
        <w:right w:val="none" w:sz="0" w:space="0" w:color="auto"/>
      </w:divBdr>
    </w:div>
    <w:div w:id="1309942906">
      <w:bodyDiv w:val="1"/>
      <w:marLeft w:val="0"/>
      <w:marRight w:val="0"/>
      <w:marTop w:val="0"/>
      <w:marBottom w:val="0"/>
      <w:divBdr>
        <w:top w:val="none" w:sz="0" w:space="0" w:color="auto"/>
        <w:left w:val="none" w:sz="0" w:space="0" w:color="auto"/>
        <w:bottom w:val="none" w:sz="0" w:space="0" w:color="auto"/>
        <w:right w:val="none" w:sz="0" w:space="0" w:color="auto"/>
      </w:divBdr>
    </w:div>
    <w:div w:id="1310474933">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0787274">
      <w:bodyDiv w:val="1"/>
      <w:marLeft w:val="0"/>
      <w:marRight w:val="0"/>
      <w:marTop w:val="0"/>
      <w:marBottom w:val="0"/>
      <w:divBdr>
        <w:top w:val="none" w:sz="0" w:space="0" w:color="auto"/>
        <w:left w:val="none" w:sz="0" w:space="0" w:color="auto"/>
        <w:bottom w:val="none" w:sz="0" w:space="0" w:color="auto"/>
        <w:right w:val="none" w:sz="0" w:space="0" w:color="auto"/>
      </w:divBdr>
    </w:div>
    <w:div w:id="1311326650">
      <w:bodyDiv w:val="1"/>
      <w:marLeft w:val="0"/>
      <w:marRight w:val="0"/>
      <w:marTop w:val="0"/>
      <w:marBottom w:val="0"/>
      <w:divBdr>
        <w:top w:val="none" w:sz="0" w:space="0" w:color="auto"/>
        <w:left w:val="none" w:sz="0" w:space="0" w:color="auto"/>
        <w:bottom w:val="none" w:sz="0" w:space="0" w:color="auto"/>
        <w:right w:val="none" w:sz="0" w:space="0" w:color="auto"/>
      </w:divBdr>
    </w:div>
    <w:div w:id="1311403911">
      <w:bodyDiv w:val="1"/>
      <w:marLeft w:val="0"/>
      <w:marRight w:val="0"/>
      <w:marTop w:val="0"/>
      <w:marBottom w:val="0"/>
      <w:divBdr>
        <w:top w:val="none" w:sz="0" w:space="0" w:color="auto"/>
        <w:left w:val="none" w:sz="0" w:space="0" w:color="auto"/>
        <w:bottom w:val="none" w:sz="0" w:space="0" w:color="auto"/>
        <w:right w:val="none" w:sz="0" w:space="0" w:color="auto"/>
      </w:divBdr>
    </w:div>
    <w:div w:id="1311473023">
      <w:bodyDiv w:val="1"/>
      <w:marLeft w:val="0"/>
      <w:marRight w:val="0"/>
      <w:marTop w:val="0"/>
      <w:marBottom w:val="0"/>
      <w:divBdr>
        <w:top w:val="none" w:sz="0" w:space="0" w:color="auto"/>
        <w:left w:val="none" w:sz="0" w:space="0" w:color="auto"/>
        <w:bottom w:val="none" w:sz="0" w:space="0" w:color="auto"/>
        <w:right w:val="none" w:sz="0" w:space="0" w:color="auto"/>
      </w:divBdr>
    </w:div>
    <w:div w:id="1311599536">
      <w:bodyDiv w:val="1"/>
      <w:marLeft w:val="0"/>
      <w:marRight w:val="0"/>
      <w:marTop w:val="0"/>
      <w:marBottom w:val="0"/>
      <w:divBdr>
        <w:top w:val="none" w:sz="0" w:space="0" w:color="auto"/>
        <w:left w:val="none" w:sz="0" w:space="0" w:color="auto"/>
        <w:bottom w:val="none" w:sz="0" w:space="0" w:color="auto"/>
        <w:right w:val="none" w:sz="0" w:space="0" w:color="auto"/>
      </w:divBdr>
    </w:div>
    <w:div w:id="1311667320">
      <w:bodyDiv w:val="1"/>
      <w:marLeft w:val="0"/>
      <w:marRight w:val="0"/>
      <w:marTop w:val="0"/>
      <w:marBottom w:val="0"/>
      <w:divBdr>
        <w:top w:val="none" w:sz="0" w:space="0" w:color="auto"/>
        <w:left w:val="none" w:sz="0" w:space="0" w:color="auto"/>
        <w:bottom w:val="none" w:sz="0" w:space="0" w:color="auto"/>
        <w:right w:val="none" w:sz="0" w:space="0" w:color="auto"/>
      </w:divBdr>
    </w:div>
    <w:div w:id="1311977538">
      <w:bodyDiv w:val="1"/>
      <w:marLeft w:val="0"/>
      <w:marRight w:val="0"/>
      <w:marTop w:val="0"/>
      <w:marBottom w:val="0"/>
      <w:divBdr>
        <w:top w:val="none" w:sz="0" w:space="0" w:color="auto"/>
        <w:left w:val="none" w:sz="0" w:space="0" w:color="auto"/>
        <w:bottom w:val="none" w:sz="0" w:space="0" w:color="auto"/>
        <w:right w:val="none" w:sz="0" w:space="0" w:color="auto"/>
      </w:divBdr>
    </w:div>
    <w:div w:id="1312322858">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4069280">
      <w:bodyDiv w:val="1"/>
      <w:marLeft w:val="0"/>
      <w:marRight w:val="0"/>
      <w:marTop w:val="0"/>
      <w:marBottom w:val="0"/>
      <w:divBdr>
        <w:top w:val="none" w:sz="0" w:space="0" w:color="auto"/>
        <w:left w:val="none" w:sz="0" w:space="0" w:color="auto"/>
        <w:bottom w:val="none" w:sz="0" w:space="0" w:color="auto"/>
        <w:right w:val="none" w:sz="0" w:space="0" w:color="auto"/>
      </w:divBdr>
    </w:div>
    <w:div w:id="1314136463">
      <w:bodyDiv w:val="1"/>
      <w:marLeft w:val="0"/>
      <w:marRight w:val="0"/>
      <w:marTop w:val="0"/>
      <w:marBottom w:val="0"/>
      <w:divBdr>
        <w:top w:val="none" w:sz="0" w:space="0" w:color="auto"/>
        <w:left w:val="none" w:sz="0" w:space="0" w:color="auto"/>
        <w:bottom w:val="none" w:sz="0" w:space="0" w:color="auto"/>
        <w:right w:val="none" w:sz="0" w:space="0" w:color="auto"/>
      </w:divBdr>
    </w:div>
    <w:div w:id="1314214839">
      <w:bodyDiv w:val="1"/>
      <w:marLeft w:val="0"/>
      <w:marRight w:val="0"/>
      <w:marTop w:val="0"/>
      <w:marBottom w:val="0"/>
      <w:divBdr>
        <w:top w:val="none" w:sz="0" w:space="0" w:color="auto"/>
        <w:left w:val="none" w:sz="0" w:space="0" w:color="auto"/>
        <w:bottom w:val="none" w:sz="0" w:space="0" w:color="auto"/>
        <w:right w:val="none" w:sz="0" w:space="0" w:color="auto"/>
      </w:divBdr>
    </w:div>
    <w:div w:id="1314604506">
      <w:bodyDiv w:val="1"/>
      <w:marLeft w:val="0"/>
      <w:marRight w:val="0"/>
      <w:marTop w:val="0"/>
      <w:marBottom w:val="0"/>
      <w:divBdr>
        <w:top w:val="none" w:sz="0" w:space="0" w:color="auto"/>
        <w:left w:val="none" w:sz="0" w:space="0" w:color="auto"/>
        <w:bottom w:val="none" w:sz="0" w:space="0" w:color="auto"/>
        <w:right w:val="none" w:sz="0" w:space="0" w:color="auto"/>
      </w:divBdr>
    </w:div>
    <w:div w:id="1314795241">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5110918">
      <w:bodyDiv w:val="1"/>
      <w:marLeft w:val="0"/>
      <w:marRight w:val="0"/>
      <w:marTop w:val="0"/>
      <w:marBottom w:val="0"/>
      <w:divBdr>
        <w:top w:val="none" w:sz="0" w:space="0" w:color="auto"/>
        <w:left w:val="none" w:sz="0" w:space="0" w:color="auto"/>
        <w:bottom w:val="none" w:sz="0" w:space="0" w:color="auto"/>
        <w:right w:val="none" w:sz="0" w:space="0" w:color="auto"/>
      </w:divBdr>
    </w:div>
    <w:div w:id="1315375902">
      <w:bodyDiv w:val="1"/>
      <w:marLeft w:val="0"/>
      <w:marRight w:val="0"/>
      <w:marTop w:val="0"/>
      <w:marBottom w:val="0"/>
      <w:divBdr>
        <w:top w:val="none" w:sz="0" w:space="0" w:color="auto"/>
        <w:left w:val="none" w:sz="0" w:space="0" w:color="auto"/>
        <w:bottom w:val="none" w:sz="0" w:space="0" w:color="auto"/>
        <w:right w:val="none" w:sz="0" w:space="0" w:color="auto"/>
      </w:divBdr>
    </w:div>
    <w:div w:id="1315377131">
      <w:bodyDiv w:val="1"/>
      <w:marLeft w:val="0"/>
      <w:marRight w:val="0"/>
      <w:marTop w:val="0"/>
      <w:marBottom w:val="0"/>
      <w:divBdr>
        <w:top w:val="none" w:sz="0" w:space="0" w:color="auto"/>
        <w:left w:val="none" w:sz="0" w:space="0" w:color="auto"/>
        <w:bottom w:val="none" w:sz="0" w:space="0" w:color="auto"/>
        <w:right w:val="none" w:sz="0" w:space="0" w:color="auto"/>
      </w:divBdr>
    </w:div>
    <w:div w:id="1315644672">
      <w:bodyDiv w:val="1"/>
      <w:marLeft w:val="0"/>
      <w:marRight w:val="0"/>
      <w:marTop w:val="0"/>
      <w:marBottom w:val="0"/>
      <w:divBdr>
        <w:top w:val="none" w:sz="0" w:space="0" w:color="auto"/>
        <w:left w:val="none" w:sz="0" w:space="0" w:color="auto"/>
        <w:bottom w:val="none" w:sz="0" w:space="0" w:color="auto"/>
        <w:right w:val="none" w:sz="0" w:space="0" w:color="auto"/>
      </w:divBdr>
    </w:div>
    <w:div w:id="1316496670">
      <w:bodyDiv w:val="1"/>
      <w:marLeft w:val="0"/>
      <w:marRight w:val="0"/>
      <w:marTop w:val="0"/>
      <w:marBottom w:val="0"/>
      <w:divBdr>
        <w:top w:val="none" w:sz="0" w:space="0" w:color="auto"/>
        <w:left w:val="none" w:sz="0" w:space="0" w:color="auto"/>
        <w:bottom w:val="none" w:sz="0" w:space="0" w:color="auto"/>
        <w:right w:val="none" w:sz="0" w:space="0" w:color="auto"/>
      </w:divBdr>
    </w:div>
    <w:div w:id="1316641923">
      <w:bodyDiv w:val="1"/>
      <w:marLeft w:val="0"/>
      <w:marRight w:val="0"/>
      <w:marTop w:val="0"/>
      <w:marBottom w:val="0"/>
      <w:divBdr>
        <w:top w:val="none" w:sz="0" w:space="0" w:color="auto"/>
        <w:left w:val="none" w:sz="0" w:space="0" w:color="auto"/>
        <w:bottom w:val="none" w:sz="0" w:space="0" w:color="auto"/>
        <w:right w:val="none" w:sz="0" w:space="0" w:color="auto"/>
      </w:divBdr>
    </w:div>
    <w:div w:id="1317564087">
      <w:bodyDiv w:val="1"/>
      <w:marLeft w:val="0"/>
      <w:marRight w:val="0"/>
      <w:marTop w:val="0"/>
      <w:marBottom w:val="0"/>
      <w:divBdr>
        <w:top w:val="none" w:sz="0" w:space="0" w:color="auto"/>
        <w:left w:val="none" w:sz="0" w:space="0" w:color="auto"/>
        <w:bottom w:val="none" w:sz="0" w:space="0" w:color="auto"/>
        <w:right w:val="none" w:sz="0" w:space="0" w:color="auto"/>
      </w:divBdr>
    </w:div>
    <w:div w:id="1317880350">
      <w:bodyDiv w:val="1"/>
      <w:marLeft w:val="0"/>
      <w:marRight w:val="0"/>
      <w:marTop w:val="0"/>
      <w:marBottom w:val="0"/>
      <w:divBdr>
        <w:top w:val="none" w:sz="0" w:space="0" w:color="auto"/>
        <w:left w:val="none" w:sz="0" w:space="0" w:color="auto"/>
        <w:bottom w:val="none" w:sz="0" w:space="0" w:color="auto"/>
        <w:right w:val="none" w:sz="0" w:space="0" w:color="auto"/>
      </w:divBdr>
    </w:div>
    <w:div w:id="1317953482">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18264491">
      <w:bodyDiv w:val="1"/>
      <w:marLeft w:val="0"/>
      <w:marRight w:val="0"/>
      <w:marTop w:val="0"/>
      <w:marBottom w:val="0"/>
      <w:divBdr>
        <w:top w:val="none" w:sz="0" w:space="0" w:color="auto"/>
        <w:left w:val="none" w:sz="0" w:space="0" w:color="auto"/>
        <w:bottom w:val="none" w:sz="0" w:space="0" w:color="auto"/>
        <w:right w:val="none" w:sz="0" w:space="0" w:color="auto"/>
      </w:divBdr>
    </w:div>
    <w:div w:id="1318268916">
      <w:bodyDiv w:val="1"/>
      <w:marLeft w:val="0"/>
      <w:marRight w:val="0"/>
      <w:marTop w:val="0"/>
      <w:marBottom w:val="0"/>
      <w:divBdr>
        <w:top w:val="none" w:sz="0" w:space="0" w:color="auto"/>
        <w:left w:val="none" w:sz="0" w:space="0" w:color="auto"/>
        <w:bottom w:val="none" w:sz="0" w:space="0" w:color="auto"/>
        <w:right w:val="none" w:sz="0" w:space="0" w:color="auto"/>
      </w:divBdr>
    </w:div>
    <w:div w:id="1318418833">
      <w:bodyDiv w:val="1"/>
      <w:marLeft w:val="0"/>
      <w:marRight w:val="0"/>
      <w:marTop w:val="0"/>
      <w:marBottom w:val="0"/>
      <w:divBdr>
        <w:top w:val="none" w:sz="0" w:space="0" w:color="auto"/>
        <w:left w:val="none" w:sz="0" w:space="0" w:color="auto"/>
        <w:bottom w:val="none" w:sz="0" w:space="0" w:color="auto"/>
        <w:right w:val="none" w:sz="0" w:space="0" w:color="auto"/>
      </w:divBdr>
    </w:div>
    <w:div w:id="1318609581">
      <w:bodyDiv w:val="1"/>
      <w:marLeft w:val="0"/>
      <w:marRight w:val="0"/>
      <w:marTop w:val="0"/>
      <w:marBottom w:val="0"/>
      <w:divBdr>
        <w:top w:val="none" w:sz="0" w:space="0" w:color="auto"/>
        <w:left w:val="none" w:sz="0" w:space="0" w:color="auto"/>
        <w:bottom w:val="none" w:sz="0" w:space="0" w:color="auto"/>
        <w:right w:val="none" w:sz="0" w:space="0" w:color="auto"/>
      </w:divBdr>
    </w:div>
    <w:div w:id="1319185008">
      <w:bodyDiv w:val="1"/>
      <w:marLeft w:val="0"/>
      <w:marRight w:val="0"/>
      <w:marTop w:val="0"/>
      <w:marBottom w:val="0"/>
      <w:divBdr>
        <w:top w:val="none" w:sz="0" w:space="0" w:color="auto"/>
        <w:left w:val="none" w:sz="0" w:space="0" w:color="auto"/>
        <w:bottom w:val="none" w:sz="0" w:space="0" w:color="auto"/>
        <w:right w:val="none" w:sz="0" w:space="0" w:color="auto"/>
      </w:divBdr>
    </w:div>
    <w:div w:id="1319385353">
      <w:bodyDiv w:val="1"/>
      <w:marLeft w:val="0"/>
      <w:marRight w:val="0"/>
      <w:marTop w:val="0"/>
      <w:marBottom w:val="0"/>
      <w:divBdr>
        <w:top w:val="none" w:sz="0" w:space="0" w:color="auto"/>
        <w:left w:val="none" w:sz="0" w:space="0" w:color="auto"/>
        <w:bottom w:val="none" w:sz="0" w:space="0" w:color="auto"/>
        <w:right w:val="none" w:sz="0" w:space="0" w:color="auto"/>
      </w:divBdr>
    </w:div>
    <w:div w:id="1319730189">
      <w:bodyDiv w:val="1"/>
      <w:marLeft w:val="0"/>
      <w:marRight w:val="0"/>
      <w:marTop w:val="0"/>
      <w:marBottom w:val="0"/>
      <w:divBdr>
        <w:top w:val="none" w:sz="0" w:space="0" w:color="auto"/>
        <w:left w:val="none" w:sz="0" w:space="0" w:color="auto"/>
        <w:bottom w:val="none" w:sz="0" w:space="0" w:color="auto"/>
        <w:right w:val="none" w:sz="0" w:space="0" w:color="auto"/>
      </w:divBdr>
    </w:div>
    <w:div w:id="1319922454">
      <w:bodyDiv w:val="1"/>
      <w:marLeft w:val="0"/>
      <w:marRight w:val="0"/>
      <w:marTop w:val="0"/>
      <w:marBottom w:val="0"/>
      <w:divBdr>
        <w:top w:val="none" w:sz="0" w:space="0" w:color="auto"/>
        <w:left w:val="none" w:sz="0" w:space="0" w:color="auto"/>
        <w:bottom w:val="none" w:sz="0" w:space="0" w:color="auto"/>
        <w:right w:val="none" w:sz="0" w:space="0" w:color="auto"/>
      </w:divBdr>
    </w:div>
    <w:div w:id="1320767478">
      <w:bodyDiv w:val="1"/>
      <w:marLeft w:val="0"/>
      <w:marRight w:val="0"/>
      <w:marTop w:val="0"/>
      <w:marBottom w:val="0"/>
      <w:divBdr>
        <w:top w:val="none" w:sz="0" w:space="0" w:color="auto"/>
        <w:left w:val="none" w:sz="0" w:space="0" w:color="auto"/>
        <w:bottom w:val="none" w:sz="0" w:space="0" w:color="auto"/>
        <w:right w:val="none" w:sz="0" w:space="0" w:color="auto"/>
      </w:divBdr>
    </w:div>
    <w:div w:id="1321470424">
      <w:bodyDiv w:val="1"/>
      <w:marLeft w:val="0"/>
      <w:marRight w:val="0"/>
      <w:marTop w:val="0"/>
      <w:marBottom w:val="0"/>
      <w:divBdr>
        <w:top w:val="none" w:sz="0" w:space="0" w:color="auto"/>
        <w:left w:val="none" w:sz="0" w:space="0" w:color="auto"/>
        <w:bottom w:val="none" w:sz="0" w:space="0" w:color="auto"/>
        <w:right w:val="none" w:sz="0" w:space="0" w:color="auto"/>
      </w:divBdr>
    </w:div>
    <w:div w:id="1321886683">
      <w:bodyDiv w:val="1"/>
      <w:marLeft w:val="0"/>
      <w:marRight w:val="0"/>
      <w:marTop w:val="0"/>
      <w:marBottom w:val="0"/>
      <w:divBdr>
        <w:top w:val="none" w:sz="0" w:space="0" w:color="auto"/>
        <w:left w:val="none" w:sz="0" w:space="0" w:color="auto"/>
        <w:bottom w:val="none" w:sz="0" w:space="0" w:color="auto"/>
        <w:right w:val="none" w:sz="0" w:space="0" w:color="auto"/>
      </w:divBdr>
    </w:div>
    <w:div w:id="1322154981">
      <w:bodyDiv w:val="1"/>
      <w:marLeft w:val="0"/>
      <w:marRight w:val="0"/>
      <w:marTop w:val="0"/>
      <w:marBottom w:val="0"/>
      <w:divBdr>
        <w:top w:val="none" w:sz="0" w:space="0" w:color="auto"/>
        <w:left w:val="none" w:sz="0" w:space="0" w:color="auto"/>
        <w:bottom w:val="none" w:sz="0" w:space="0" w:color="auto"/>
        <w:right w:val="none" w:sz="0" w:space="0" w:color="auto"/>
      </w:divBdr>
    </w:div>
    <w:div w:id="1322386937">
      <w:bodyDiv w:val="1"/>
      <w:marLeft w:val="0"/>
      <w:marRight w:val="0"/>
      <w:marTop w:val="0"/>
      <w:marBottom w:val="0"/>
      <w:divBdr>
        <w:top w:val="none" w:sz="0" w:space="0" w:color="auto"/>
        <w:left w:val="none" w:sz="0" w:space="0" w:color="auto"/>
        <w:bottom w:val="none" w:sz="0" w:space="0" w:color="auto"/>
        <w:right w:val="none" w:sz="0" w:space="0" w:color="auto"/>
      </w:divBdr>
    </w:div>
    <w:div w:id="1322586368">
      <w:bodyDiv w:val="1"/>
      <w:marLeft w:val="0"/>
      <w:marRight w:val="0"/>
      <w:marTop w:val="0"/>
      <w:marBottom w:val="0"/>
      <w:divBdr>
        <w:top w:val="none" w:sz="0" w:space="0" w:color="auto"/>
        <w:left w:val="none" w:sz="0" w:space="0" w:color="auto"/>
        <w:bottom w:val="none" w:sz="0" w:space="0" w:color="auto"/>
        <w:right w:val="none" w:sz="0" w:space="0" w:color="auto"/>
      </w:divBdr>
    </w:div>
    <w:div w:id="1322851647">
      <w:bodyDiv w:val="1"/>
      <w:marLeft w:val="0"/>
      <w:marRight w:val="0"/>
      <w:marTop w:val="0"/>
      <w:marBottom w:val="0"/>
      <w:divBdr>
        <w:top w:val="none" w:sz="0" w:space="0" w:color="auto"/>
        <w:left w:val="none" w:sz="0" w:space="0" w:color="auto"/>
        <w:bottom w:val="none" w:sz="0" w:space="0" w:color="auto"/>
        <w:right w:val="none" w:sz="0" w:space="0" w:color="auto"/>
      </w:divBdr>
    </w:div>
    <w:div w:id="1323043590">
      <w:bodyDiv w:val="1"/>
      <w:marLeft w:val="0"/>
      <w:marRight w:val="0"/>
      <w:marTop w:val="0"/>
      <w:marBottom w:val="0"/>
      <w:divBdr>
        <w:top w:val="none" w:sz="0" w:space="0" w:color="auto"/>
        <w:left w:val="none" w:sz="0" w:space="0" w:color="auto"/>
        <w:bottom w:val="none" w:sz="0" w:space="0" w:color="auto"/>
        <w:right w:val="none" w:sz="0" w:space="0" w:color="auto"/>
      </w:divBdr>
    </w:div>
    <w:div w:id="1323237505">
      <w:bodyDiv w:val="1"/>
      <w:marLeft w:val="0"/>
      <w:marRight w:val="0"/>
      <w:marTop w:val="0"/>
      <w:marBottom w:val="0"/>
      <w:divBdr>
        <w:top w:val="none" w:sz="0" w:space="0" w:color="auto"/>
        <w:left w:val="none" w:sz="0" w:space="0" w:color="auto"/>
        <w:bottom w:val="none" w:sz="0" w:space="0" w:color="auto"/>
        <w:right w:val="none" w:sz="0" w:space="0" w:color="auto"/>
      </w:divBdr>
    </w:div>
    <w:div w:id="1323318401">
      <w:bodyDiv w:val="1"/>
      <w:marLeft w:val="0"/>
      <w:marRight w:val="0"/>
      <w:marTop w:val="0"/>
      <w:marBottom w:val="0"/>
      <w:divBdr>
        <w:top w:val="none" w:sz="0" w:space="0" w:color="auto"/>
        <w:left w:val="none" w:sz="0" w:space="0" w:color="auto"/>
        <w:bottom w:val="none" w:sz="0" w:space="0" w:color="auto"/>
        <w:right w:val="none" w:sz="0" w:space="0" w:color="auto"/>
      </w:divBdr>
    </w:div>
    <w:div w:id="1323434218">
      <w:bodyDiv w:val="1"/>
      <w:marLeft w:val="0"/>
      <w:marRight w:val="0"/>
      <w:marTop w:val="0"/>
      <w:marBottom w:val="0"/>
      <w:divBdr>
        <w:top w:val="none" w:sz="0" w:space="0" w:color="auto"/>
        <w:left w:val="none" w:sz="0" w:space="0" w:color="auto"/>
        <w:bottom w:val="none" w:sz="0" w:space="0" w:color="auto"/>
        <w:right w:val="none" w:sz="0" w:space="0" w:color="auto"/>
      </w:divBdr>
    </w:div>
    <w:div w:id="1323466132">
      <w:bodyDiv w:val="1"/>
      <w:marLeft w:val="0"/>
      <w:marRight w:val="0"/>
      <w:marTop w:val="0"/>
      <w:marBottom w:val="0"/>
      <w:divBdr>
        <w:top w:val="none" w:sz="0" w:space="0" w:color="auto"/>
        <w:left w:val="none" w:sz="0" w:space="0" w:color="auto"/>
        <w:bottom w:val="none" w:sz="0" w:space="0" w:color="auto"/>
        <w:right w:val="none" w:sz="0" w:space="0" w:color="auto"/>
      </w:divBdr>
    </w:div>
    <w:div w:id="1323660858">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24236401">
      <w:bodyDiv w:val="1"/>
      <w:marLeft w:val="0"/>
      <w:marRight w:val="0"/>
      <w:marTop w:val="0"/>
      <w:marBottom w:val="0"/>
      <w:divBdr>
        <w:top w:val="none" w:sz="0" w:space="0" w:color="auto"/>
        <w:left w:val="none" w:sz="0" w:space="0" w:color="auto"/>
        <w:bottom w:val="none" w:sz="0" w:space="0" w:color="auto"/>
        <w:right w:val="none" w:sz="0" w:space="0" w:color="auto"/>
      </w:divBdr>
    </w:div>
    <w:div w:id="1324241750">
      <w:bodyDiv w:val="1"/>
      <w:marLeft w:val="0"/>
      <w:marRight w:val="0"/>
      <w:marTop w:val="0"/>
      <w:marBottom w:val="0"/>
      <w:divBdr>
        <w:top w:val="none" w:sz="0" w:space="0" w:color="auto"/>
        <w:left w:val="none" w:sz="0" w:space="0" w:color="auto"/>
        <w:bottom w:val="none" w:sz="0" w:space="0" w:color="auto"/>
        <w:right w:val="none" w:sz="0" w:space="0" w:color="auto"/>
      </w:divBdr>
    </w:div>
    <w:div w:id="1324622768">
      <w:bodyDiv w:val="1"/>
      <w:marLeft w:val="0"/>
      <w:marRight w:val="0"/>
      <w:marTop w:val="0"/>
      <w:marBottom w:val="0"/>
      <w:divBdr>
        <w:top w:val="none" w:sz="0" w:space="0" w:color="auto"/>
        <w:left w:val="none" w:sz="0" w:space="0" w:color="auto"/>
        <w:bottom w:val="none" w:sz="0" w:space="0" w:color="auto"/>
        <w:right w:val="none" w:sz="0" w:space="0" w:color="auto"/>
      </w:divBdr>
    </w:div>
    <w:div w:id="1324815867">
      <w:bodyDiv w:val="1"/>
      <w:marLeft w:val="0"/>
      <w:marRight w:val="0"/>
      <w:marTop w:val="0"/>
      <w:marBottom w:val="0"/>
      <w:divBdr>
        <w:top w:val="none" w:sz="0" w:space="0" w:color="auto"/>
        <w:left w:val="none" w:sz="0" w:space="0" w:color="auto"/>
        <w:bottom w:val="none" w:sz="0" w:space="0" w:color="auto"/>
        <w:right w:val="none" w:sz="0" w:space="0" w:color="auto"/>
      </w:divBdr>
    </w:div>
    <w:div w:id="1324970198">
      <w:bodyDiv w:val="1"/>
      <w:marLeft w:val="0"/>
      <w:marRight w:val="0"/>
      <w:marTop w:val="0"/>
      <w:marBottom w:val="0"/>
      <w:divBdr>
        <w:top w:val="none" w:sz="0" w:space="0" w:color="auto"/>
        <w:left w:val="none" w:sz="0" w:space="0" w:color="auto"/>
        <w:bottom w:val="none" w:sz="0" w:space="0" w:color="auto"/>
        <w:right w:val="none" w:sz="0" w:space="0" w:color="auto"/>
      </w:divBdr>
    </w:div>
    <w:div w:id="1325159991">
      <w:bodyDiv w:val="1"/>
      <w:marLeft w:val="0"/>
      <w:marRight w:val="0"/>
      <w:marTop w:val="0"/>
      <w:marBottom w:val="0"/>
      <w:divBdr>
        <w:top w:val="none" w:sz="0" w:space="0" w:color="auto"/>
        <w:left w:val="none" w:sz="0" w:space="0" w:color="auto"/>
        <w:bottom w:val="none" w:sz="0" w:space="0" w:color="auto"/>
        <w:right w:val="none" w:sz="0" w:space="0" w:color="auto"/>
      </w:divBdr>
    </w:div>
    <w:div w:id="1325205088">
      <w:bodyDiv w:val="1"/>
      <w:marLeft w:val="0"/>
      <w:marRight w:val="0"/>
      <w:marTop w:val="0"/>
      <w:marBottom w:val="0"/>
      <w:divBdr>
        <w:top w:val="none" w:sz="0" w:space="0" w:color="auto"/>
        <w:left w:val="none" w:sz="0" w:space="0" w:color="auto"/>
        <w:bottom w:val="none" w:sz="0" w:space="0" w:color="auto"/>
        <w:right w:val="none" w:sz="0" w:space="0" w:color="auto"/>
      </w:divBdr>
    </w:div>
    <w:div w:id="1326009520">
      <w:bodyDiv w:val="1"/>
      <w:marLeft w:val="0"/>
      <w:marRight w:val="0"/>
      <w:marTop w:val="0"/>
      <w:marBottom w:val="0"/>
      <w:divBdr>
        <w:top w:val="none" w:sz="0" w:space="0" w:color="auto"/>
        <w:left w:val="none" w:sz="0" w:space="0" w:color="auto"/>
        <w:bottom w:val="none" w:sz="0" w:space="0" w:color="auto"/>
        <w:right w:val="none" w:sz="0" w:space="0" w:color="auto"/>
      </w:divBdr>
    </w:div>
    <w:div w:id="1326399529">
      <w:bodyDiv w:val="1"/>
      <w:marLeft w:val="0"/>
      <w:marRight w:val="0"/>
      <w:marTop w:val="0"/>
      <w:marBottom w:val="0"/>
      <w:divBdr>
        <w:top w:val="none" w:sz="0" w:space="0" w:color="auto"/>
        <w:left w:val="none" w:sz="0" w:space="0" w:color="auto"/>
        <w:bottom w:val="none" w:sz="0" w:space="0" w:color="auto"/>
        <w:right w:val="none" w:sz="0" w:space="0" w:color="auto"/>
      </w:divBdr>
    </w:div>
    <w:div w:id="1326939611">
      <w:bodyDiv w:val="1"/>
      <w:marLeft w:val="0"/>
      <w:marRight w:val="0"/>
      <w:marTop w:val="0"/>
      <w:marBottom w:val="0"/>
      <w:divBdr>
        <w:top w:val="none" w:sz="0" w:space="0" w:color="auto"/>
        <w:left w:val="none" w:sz="0" w:space="0" w:color="auto"/>
        <w:bottom w:val="none" w:sz="0" w:space="0" w:color="auto"/>
        <w:right w:val="none" w:sz="0" w:space="0" w:color="auto"/>
      </w:divBdr>
    </w:div>
    <w:div w:id="1327318609">
      <w:bodyDiv w:val="1"/>
      <w:marLeft w:val="0"/>
      <w:marRight w:val="0"/>
      <w:marTop w:val="0"/>
      <w:marBottom w:val="0"/>
      <w:divBdr>
        <w:top w:val="none" w:sz="0" w:space="0" w:color="auto"/>
        <w:left w:val="none" w:sz="0" w:space="0" w:color="auto"/>
        <w:bottom w:val="none" w:sz="0" w:space="0" w:color="auto"/>
        <w:right w:val="none" w:sz="0" w:space="0" w:color="auto"/>
      </w:divBdr>
    </w:div>
    <w:div w:id="1327395458">
      <w:bodyDiv w:val="1"/>
      <w:marLeft w:val="0"/>
      <w:marRight w:val="0"/>
      <w:marTop w:val="0"/>
      <w:marBottom w:val="0"/>
      <w:divBdr>
        <w:top w:val="none" w:sz="0" w:space="0" w:color="auto"/>
        <w:left w:val="none" w:sz="0" w:space="0" w:color="auto"/>
        <w:bottom w:val="none" w:sz="0" w:space="0" w:color="auto"/>
        <w:right w:val="none" w:sz="0" w:space="0" w:color="auto"/>
      </w:divBdr>
    </w:div>
    <w:div w:id="1328022868">
      <w:bodyDiv w:val="1"/>
      <w:marLeft w:val="0"/>
      <w:marRight w:val="0"/>
      <w:marTop w:val="0"/>
      <w:marBottom w:val="0"/>
      <w:divBdr>
        <w:top w:val="none" w:sz="0" w:space="0" w:color="auto"/>
        <w:left w:val="none" w:sz="0" w:space="0" w:color="auto"/>
        <w:bottom w:val="none" w:sz="0" w:space="0" w:color="auto"/>
        <w:right w:val="none" w:sz="0" w:space="0" w:color="auto"/>
      </w:divBdr>
    </w:div>
    <w:div w:id="1329140107">
      <w:bodyDiv w:val="1"/>
      <w:marLeft w:val="0"/>
      <w:marRight w:val="0"/>
      <w:marTop w:val="0"/>
      <w:marBottom w:val="0"/>
      <w:divBdr>
        <w:top w:val="none" w:sz="0" w:space="0" w:color="auto"/>
        <w:left w:val="none" w:sz="0" w:space="0" w:color="auto"/>
        <w:bottom w:val="none" w:sz="0" w:space="0" w:color="auto"/>
        <w:right w:val="none" w:sz="0" w:space="0" w:color="auto"/>
      </w:divBdr>
    </w:div>
    <w:div w:id="1329359481">
      <w:bodyDiv w:val="1"/>
      <w:marLeft w:val="0"/>
      <w:marRight w:val="0"/>
      <w:marTop w:val="0"/>
      <w:marBottom w:val="0"/>
      <w:divBdr>
        <w:top w:val="none" w:sz="0" w:space="0" w:color="auto"/>
        <w:left w:val="none" w:sz="0" w:space="0" w:color="auto"/>
        <w:bottom w:val="none" w:sz="0" w:space="0" w:color="auto"/>
        <w:right w:val="none" w:sz="0" w:space="0" w:color="auto"/>
      </w:divBdr>
    </w:div>
    <w:div w:id="1329361179">
      <w:bodyDiv w:val="1"/>
      <w:marLeft w:val="0"/>
      <w:marRight w:val="0"/>
      <w:marTop w:val="0"/>
      <w:marBottom w:val="0"/>
      <w:divBdr>
        <w:top w:val="none" w:sz="0" w:space="0" w:color="auto"/>
        <w:left w:val="none" w:sz="0" w:space="0" w:color="auto"/>
        <w:bottom w:val="none" w:sz="0" w:space="0" w:color="auto"/>
        <w:right w:val="none" w:sz="0" w:space="0" w:color="auto"/>
      </w:divBdr>
    </w:div>
    <w:div w:id="1329363137">
      <w:bodyDiv w:val="1"/>
      <w:marLeft w:val="0"/>
      <w:marRight w:val="0"/>
      <w:marTop w:val="0"/>
      <w:marBottom w:val="0"/>
      <w:divBdr>
        <w:top w:val="none" w:sz="0" w:space="0" w:color="auto"/>
        <w:left w:val="none" w:sz="0" w:space="0" w:color="auto"/>
        <w:bottom w:val="none" w:sz="0" w:space="0" w:color="auto"/>
        <w:right w:val="none" w:sz="0" w:space="0" w:color="auto"/>
      </w:divBdr>
    </w:div>
    <w:div w:id="1329482136">
      <w:bodyDiv w:val="1"/>
      <w:marLeft w:val="0"/>
      <w:marRight w:val="0"/>
      <w:marTop w:val="0"/>
      <w:marBottom w:val="0"/>
      <w:divBdr>
        <w:top w:val="none" w:sz="0" w:space="0" w:color="auto"/>
        <w:left w:val="none" w:sz="0" w:space="0" w:color="auto"/>
        <w:bottom w:val="none" w:sz="0" w:space="0" w:color="auto"/>
        <w:right w:val="none" w:sz="0" w:space="0" w:color="auto"/>
      </w:divBdr>
    </w:div>
    <w:div w:id="1329558264">
      <w:bodyDiv w:val="1"/>
      <w:marLeft w:val="0"/>
      <w:marRight w:val="0"/>
      <w:marTop w:val="0"/>
      <w:marBottom w:val="0"/>
      <w:divBdr>
        <w:top w:val="none" w:sz="0" w:space="0" w:color="auto"/>
        <w:left w:val="none" w:sz="0" w:space="0" w:color="auto"/>
        <w:bottom w:val="none" w:sz="0" w:space="0" w:color="auto"/>
        <w:right w:val="none" w:sz="0" w:space="0" w:color="auto"/>
      </w:divBdr>
    </w:div>
    <w:div w:id="1329863882">
      <w:bodyDiv w:val="1"/>
      <w:marLeft w:val="0"/>
      <w:marRight w:val="0"/>
      <w:marTop w:val="0"/>
      <w:marBottom w:val="0"/>
      <w:divBdr>
        <w:top w:val="none" w:sz="0" w:space="0" w:color="auto"/>
        <w:left w:val="none" w:sz="0" w:space="0" w:color="auto"/>
        <w:bottom w:val="none" w:sz="0" w:space="0" w:color="auto"/>
        <w:right w:val="none" w:sz="0" w:space="0" w:color="auto"/>
      </w:divBdr>
    </w:div>
    <w:div w:id="1330871226">
      <w:bodyDiv w:val="1"/>
      <w:marLeft w:val="0"/>
      <w:marRight w:val="0"/>
      <w:marTop w:val="0"/>
      <w:marBottom w:val="0"/>
      <w:divBdr>
        <w:top w:val="none" w:sz="0" w:space="0" w:color="auto"/>
        <w:left w:val="none" w:sz="0" w:space="0" w:color="auto"/>
        <w:bottom w:val="none" w:sz="0" w:space="0" w:color="auto"/>
        <w:right w:val="none" w:sz="0" w:space="0" w:color="auto"/>
      </w:divBdr>
    </w:div>
    <w:div w:id="1331107261">
      <w:bodyDiv w:val="1"/>
      <w:marLeft w:val="0"/>
      <w:marRight w:val="0"/>
      <w:marTop w:val="0"/>
      <w:marBottom w:val="0"/>
      <w:divBdr>
        <w:top w:val="none" w:sz="0" w:space="0" w:color="auto"/>
        <w:left w:val="none" w:sz="0" w:space="0" w:color="auto"/>
        <w:bottom w:val="none" w:sz="0" w:space="0" w:color="auto"/>
        <w:right w:val="none" w:sz="0" w:space="0" w:color="auto"/>
      </w:divBdr>
    </w:div>
    <w:div w:id="1331369253">
      <w:bodyDiv w:val="1"/>
      <w:marLeft w:val="0"/>
      <w:marRight w:val="0"/>
      <w:marTop w:val="0"/>
      <w:marBottom w:val="0"/>
      <w:divBdr>
        <w:top w:val="none" w:sz="0" w:space="0" w:color="auto"/>
        <w:left w:val="none" w:sz="0" w:space="0" w:color="auto"/>
        <w:bottom w:val="none" w:sz="0" w:space="0" w:color="auto"/>
        <w:right w:val="none" w:sz="0" w:space="0" w:color="auto"/>
      </w:divBdr>
    </w:div>
    <w:div w:id="1331637733">
      <w:bodyDiv w:val="1"/>
      <w:marLeft w:val="0"/>
      <w:marRight w:val="0"/>
      <w:marTop w:val="0"/>
      <w:marBottom w:val="0"/>
      <w:divBdr>
        <w:top w:val="none" w:sz="0" w:space="0" w:color="auto"/>
        <w:left w:val="none" w:sz="0" w:space="0" w:color="auto"/>
        <w:bottom w:val="none" w:sz="0" w:space="0" w:color="auto"/>
        <w:right w:val="none" w:sz="0" w:space="0" w:color="auto"/>
      </w:divBdr>
    </w:div>
    <w:div w:id="1331912061">
      <w:bodyDiv w:val="1"/>
      <w:marLeft w:val="0"/>
      <w:marRight w:val="0"/>
      <w:marTop w:val="0"/>
      <w:marBottom w:val="0"/>
      <w:divBdr>
        <w:top w:val="none" w:sz="0" w:space="0" w:color="auto"/>
        <w:left w:val="none" w:sz="0" w:space="0" w:color="auto"/>
        <w:bottom w:val="none" w:sz="0" w:space="0" w:color="auto"/>
        <w:right w:val="none" w:sz="0" w:space="0" w:color="auto"/>
      </w:divBdr>
    </w:div>
    <w:div w:id="1332027950">
      <w:bodyDiv w:val="1"/>
      <w:marLeft w:val="0"/>
      <w:marRight w:val="0"/>
      <w:marTop w:val="0"/>
      <w:marBottom w:val="0"/>
      <w:divBdr>
        <w:top w:val="none" w:sz="0" w:space="0" w:color="auto"/>
        <w:left w:val="none" w:sz="0" w:space="0" w:color="auto"/>
        <w:bottom w:val="none" w:sz="0" w:space="0" w:color="auto"/>
        <w:right w:val="none" w:sz="0" w:space="0" w:color="auto"/>
      </w:divBdr>
    </w:div>
    <w:div w:id="1332679300">
      <w:bodyDiv w:val="1"/>
      <w:marLeft w:val="0"/>
      <w:marRight w:val="0"/>
      <w:marTop w:val="0"/>
      <w:marBottom w:val="0"/>
      <w:divBdr>
        <w:top w:val="none" w:sz="0" w:space="0" w:color="auto"/>
        <w:left w:val="none" w:sz="0" w:space="0" w:color="auto"/>
        <w:bottom w:val="none" w:sz="0" w:space="0" w:color="auto"/>
        <w:right w:val="none" w:sz="0" w:space="0" w:color="auto"/>
      </w:divBdr>
    </w:div>
    <w:div w:id="1333291315">
      <w:bodyDiv w:val="1"/>
      <w:marLeft w:val="0"/>
      <w:marRight w:val="0"/>
      <w:marTop w:val="0"/>
      <w:marBottom w:val="0"/>
      <w:divBdr>
        <w:top w:val="none" w:sz="0" w:space="0" w:color="auto"/>
        <w:left w:val="none" w:sz="0" w:space="0" w:color="auto"/>
        <w:bottom w:val="none" w:sz="0" w:space="0" w:color="auto"/>
        <w:right w:val="none" w:sz="0" w:space="0" w:color="auto"/>
      </w:divBdr>
    </w:div>
    <w:div w:id="1333296169">
      <w:bodyDiv w:val="1"/>
      <w:marLeft w:val="0"/>
      <w:marRight w:val="0"/>
      <w:marTop w:val="0"/>
      <w:marBottom w:val="0"/>
      <w:divBdr>
        <w:top w:val="none" w:sz="0" w:space="0" w:color="auto"/>
        <w:left w:val="none" w:sz="0" w:space="0" w:color="auto"/>
        <w:bottom w:val="none" w:sz="0" w:space="0" w:color="auto"/>
        <w:right w:val="none" w:sz="0" w:space="0" w:color="auto"/>
      </w:divBdr>
    </w:div>
    <w:div w:id="1333869385">
      <w:bodyDiv w:val="1"/>
      <w:marLeft w:val="0"/>
      <w:marRight w:val="0"/>
      <w:marTop w:val="0"/>
      <w:marBottom w:val="0"/>
      <w:divBdr>
        <w:top w:val="none" w:sz="0" w:space="0" w:color="auto"/>
        <w:left w:val="none" w:sz="0" w:space="0" w:color="auto"/>
        <w:bottom w:val="none" w:sz="0" w:space="0" w:color="auto"/>
        <w:right w:val="none" w:sz="0" w:space="0" w:color="auto"/>
      </w:divBdr>
    </w:div>
    <w:div w:id="1335497281">
      <w:bodyDiv w:val="1"/>
      <w:marLeft w:val="0"/>
      <w:marRight w:val="0"/>
      <w:marTop w:val="0"/>
      <w:marBottom w:val="0"/>
      <w:divBdr>
        <w:top w:val="none" w:sz="0" w:space="0" w:color="auto"/>
        <w:left w:val="none" w:sz="0" w:space="0" w:color="auto"/>
        <w:bottom w:val="none" w:sz="0" w:space="0" w:color="auto"/>
        <w:right w:val="none" w:sz="0" w:space="0" w:color="auto"/>
      </w:divBdr>
    </w:div>
    <w:div w:id="1335645761">
      <w:bodyDiv w:val="1"/>
      <w:marLeft w:val="0"/>
      <w:marRight w:val="0"/>
      <w:marTop w:val="0"/>
      <w:marBottom w:val="0"/>
      <w:divBdr>
        <w:top w:val="none" w:sz="0" w:space="0" w:color="auto"/>
        <w:left w:val="none" w:sz="0" w:space="0" w:color="auto"/>
        <w:bottom w:val="none" w:sz="0" w:space="0" w:color="auto"/>
        <w:right w:val="none" w:sz="0" w:space="0" w:color="auto"/>
      </w:divBdr>
    </w:div>
    <w:div w:id="1335837769">
      <w:bodyDiv w:val="1"/>
      <w:marLeft w:val="0"/>
      <w:marRight w:val="0"/>
      <w:marTop w:val="0"/>
      <w:marBottom w:val="0"/>
      <w:divBdr>
        <w:top w:val="none" w:sz="0" w:space="0" w:color="auto"/>
        <w:left w:val="none" w:sz="0" w:space="0" w:color="auto"/>
        <w:bottom w:val="none" w:sz="0" w:space="0" w:color="auto"/>
        <w:right w:val="none" w:sz="0" w:space="0" w:color="auto"/>
      </w:divBdr>
    </w:div>
    <w:div w:id="1337263665">
      <w:bodyDiv w:val="1"/>
      <w:marLeft w:val="0"/>
      <w:marRight w:val="0"/>
      <w:marTop w:val="0"/>
      <w:marBottom w:val="0"/>
      <w:divBdr>
        <w:top w:val="none" w:sz="0" w:space="0" w:color="auto"/>
        <w:left w:val="none" w:sz="0" w:space="0" w:color="auto"/>
        <w:bottom w:val="none" w:sz="0" w:space="0" w:color="auto"/>
        <w:right w:val="none" w:sz="0" w:space="0" w:color="auto"/>
      </w:divBdr>
    </w:div>
    <w:div w:id="1337466648">
      <w:bodyDiv w:val="1"/>
      <w:marLeft w:val="0"/>
      <w:marRight w:val="0"/>
      <w:marTop w:val="0"/>
      <w:marBottom w:val="0"/>
      <w:divBdr>
        <w:top w:val="none" w:sz="0" w:space="0" w:color="auto"/>
        <w:left w:val="none" w:sz="0" w:space="0" w:color="auto"/>
        <w:bottom w:val="none" w:sz="0" w:space="0" w:color="auto"/>
        <w:right w:val="none" w:sz="0" w:space="0" w:color="auto"/>
      </w:divBdr>
    </w:div>
    <w:div w:id="1338003711">
      <w:bodyDiv w:val="1"/>
      <w:marLeft w:val="0"/>
      <w:marRight w:val="0"/>
      <w:marTop w:val="0"/>
      <w:marBottom w:val="0"/>
      <w:divBdr>
        <w:top w:val="none" w:sz="0" w:space="0" w:color="auto"/>
        <w:left w:val="none" w:sz="0" w:space="0" w:color="auto"/>
        <w:bottom w:val="none" w:sz="0" w:space="0" w:color="auto"/>
        <w:right w:val="none" w:sz="0" w:space="0" w:color="auto"/>
      </w:divBdr>
    </w:div>
    <w:div w:id="1338194012">
      <w:bodyDiv w:val="1"/>
      <w:marLeft w:val="0"/>
      <w:marRight w:val="0"/>
      <w:marTop w:val="0"/>
      <w:marBottom w:val="0"/>
      <w:divBdr>
        <w:top w:val="none" w:sz="0" w:space="0" w:color="auto"/>
        <w:left w:val="none" w:sz="0" w:space="0" w:color="auto"/>
        <w:bottom w:val="none" w:sz="0" w:space="0" w:color="auto"/>
        <w:right w:val="none" w:sz="0" w:space="0" w:color="auto"/>
      </w:divBdr>
    </w:div>
    <w:div w:id="1338535126">
      <w:bodyDiv w:val="1"/>
      <w:marLeft w:val="0"/>
      <w:marRight w:val="0"/>
      <w:marTop w:val="0"/>
      <w:marBottom w:val="0"/>
      <w:divBdr>
        <w:top w:val="none" w:sz="0" w:space="0" w:color="auto"/>
        <w:left w:val="none" w:sz="0" w:space="0" w:color="auto"/>
        <w:bottom w:val="none" w:sz="0" w:space="0" w:color="auto"/>
        <w:right w:val="none" w:sz="0" w:space="0" w:color="auto"/>
      </w:divBdr>
    </w:div>
    <w:div w:id="1338731471">
      <w:bodyDiv w:val="1"/>
      <w:marLeft w:val="0"/>
      <w:marRight w:val="0"/>
      <w:marTop w:val="0"/>
      <w:marBottom w:val="0"/>
      <w:divBdr>
        <w:top w:val="none" w:sz="0" w:space="0" w:color="auto"/>
        <w:left w:val="none" w:sz="0" w:space="0" w:color="auto"/>
        <w:bottom w:val="none" w:sz="0" w:space="0" w:color="auto"/>
        <w:right w:val="none" w:sz="0" w:space="0" w:color="auto"/>
      </w:divBdr>
    </w:div>
    <w:div w:id="1338925866">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39188953">
      <w:bodyDiv w:val="1"/>
      <w:marLeft w:val="0"/>
      <w:marRight w:val="0"/>
      <w:marTop w:val="0"/>
      <w:marBottom w:val="0"/>
      <w:divBdr>
        <w:top w:val="none" w:sz="0" w:space="0" w:color="auto"/>
        <w:left w:val="none" w:sz="0" w:space="0" w:color="auto"/>
        <w:bottom w:val="none" w:sz="0" w:space="0" w:color="auto"/>
        <w:right w:val="none" w:sz="0" w:space="0" w:color="auto"/>
      </w:divBdr>
    </w:div>
    <w:div w:id="1340228969">
      <w:bodyDiv w:val="1"/>
      <w:marLeft w:val="0"/>
      <w:marRight w:val="0"/>
      <w:marTop w:val="0"/>
      <w:marBottom w:val="0"/>
      <w:divBdr>
        <w:top w:val="none" w:sz="0" w:space="0" w:color="auto"/>
        <w:left w:val="none" w:sz="0" w:space="0" w:color="auto"/>
        <w:bottom w:val="none" w:sz="0" w:space="0" w:color="auto"/>
        <w:right w:val="none" w:sz="0" w:space="0" w:color="auto"/>
      </w:divBdr>
    </w:div>
    <w:div w:id="1340425905">
      <w:bodyDiv w:val="1"/>
      <w:marLeft w:val="0"/>
      <w:marRight w:val="0"/>
      <w:marTop w:val="0"/>
      <w:marBottom w:val="0"/>
      <w:divBdr>
        <w:top w:val="none" w:sz="0" w:space="0" w:color="auto"/>
        <w:left w:val="none" w:sz="0" w:space="0" w:color="auto"/>
        <w:bottom w:val="none" w:sz="0" w:space="0" w:color="auto"/>
        <w:right w:val="none" w:sz="0" w:space="0" w:color="auto"/>
      </w:divBdr>
    </w:div>
    <w:div w:id="1340473700">
      <w:bodyDiv w:val="1"/>
      <w:marLeft w:val="0"/>
      <w:marRight w:val="0"/>
      <w:marTop w:val="0"/>
      <w:marBottom w:val="0"/>
      <w:divBdr>
        <w:top w:val="none" w:sz="0" w:space="0" w:color="auto"/>
        <w:left w:val="none" w:sz="0" w:space="0" w:color="auto"/>
        <w:bottom w:val="none" w:sz="0" w:space="0" w:color="auto"/>
        <w:right w:val="none" w:sz="0" w:space="0" w:color="auto"/>
      </w:divBdr>
    </w:div>
    <w:div w:id="1340624287">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277899">
      <w:bodyDiv w:val="1"/>
      <w:marLeft w:val="0"/>
      <w:marRight w:val="0"/>
      <w:marTop w:val="0"/>
      <w:marBottom w:val="0"/>
      <w:divBdr>
        <w:top w:val="none" w:sz="0" w:space="0" w:color="auto"/>
        <w:left w:val="none" w:sz="0" w:space="0" w:color="auto"/>
        <w:bottom w:val="none" w:sz="0" w:space="0" w:color="auto"/>
        <w:right w:val="none" w:sz="0" w:space="0" w:color="auto"/>
      </w:divBdr>
    </w:div>
    <w:div w:id="1341542642">
      <w:bodyDiv w:val="1"/>
      <w:marLeft w:val="0"/>
      <w:marRight w:val="0"/>
      <w:marTop w:val="0"/>
      <w:marBottom w:val="0"/>
      <w:divBdr>
        <w:top w:val="none" w:sz="0" w:space="0" w:color="auto"/>
        <w:left w:val="none" w:sz="0" w:space="0" w:color="auto"/>
        <w:bottom w:val="none" w:sz="0" w:space="0" w:color="auto"/>
        <w:right w:val="none" w:sz="0" w:space="0" w:color="auto"/>
      </w:divBdr>
    </w:div>
    <w:div w:id="1341734882">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2046859">
      <w:bodyDiv w:val="1"/>
      <w:marLeft w:val="0"/>
      <w:marRight w:val="0"/>
      <w:marTop w:val="0"/>
      <w:marBottom w:val="0"/>
      <w:divBdr>
        <w:top w:val="none" w:sz="0" w:space="0" w:color="auto"/>
        <w:left w:val="none" w:sz="0" w:space="0" w:color="auto"/>
        <w:bottom w:val="none" w:sz="0" w:space="0" w:color="auto"/>
        <w:right w:val="none" w:sz="0" w:space="0" w:color="auto"/>
      </w:divBdr>
    </w:div>
    <w:div w:id="1342732566">
      <w:bodyDiv w:val="1"/>
      <w:marLeft w:val="0"/>
      <w:marRight w:val="0"/>
      <w:marTop w:val="0"/>
      <w:marBottom w:val="0"/>
      <w:divBdr>
        <w:top w:val="none" w:sz="0" w:space="0" w:color="auto"/>
        <w:left w:val="none" w:sz="0" w:space="0" w:color="auto"/>
        <w:bottom w:val="none" w:sz="0" w:space="0" w:color="auto"/>
        <w:right w:val="none" w:sz="0" w:space="0" w:color="auto"/>
      </w:divBdr>
    </w:div>
    <w:div w:id="1342853044">
      <w:bodyDiv w:val="1"/>
      <w:marLeft w:val="0"/>
      <w:marRight w:val="0"/>
      <w:marTop w:val="0"/>
      <w:marBottom w:val="0"/>
      <w:divBdr>
        <w:top w:val="none" w:sz="0" w:space="0" w:color="auto"/>
        <w:left w:val="none" w:sz="0" w:space="0" w:color="auto"/>
        <w:bottom w:val="none" w:sz="0" w:space="0" w:color="auto"/>
        <w:right w:val="none" w:sz="0" w:space="0" w:color="auto"/>
      </w:divBdr>
    </w:div>
    <w:div w:id="1342853363">
      <w:bodyDiv w:val="1"/>
      <w:marLeft w:val="0"/>
      <w:marRight w:val="0"/>
      <w:marTop w:val="0"/>
      <w:marBottom w:val="0"/>
      <w:divBdr>
        <w:top w:val="none" w:sz="0" w:space="0" w:color="auto"/>
        <w:left w:val="none" w:sz="0" w:space="0" w:color="auto"/>
        <w:bottom w:val="none" w:sz="0" w:space="0" w:color="auto"/>
        <w:right w:val="none" w:sz="0" w:space="0" w:color="auto"/>
      </w:divBdr>
    </w:div>
    <w:div w:id="1343318685">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4085091">
      <w:bodyDiv w:val="1"/>
      <w:marLeft w:val="0"/>
      <w:marRight w:val="0"/>
      <w:marTop w:val="0"/>
      <w:marBottom w:val="0"/>
      <w:divBdr>
        <w:top w:val="none" w:sz="0" w:space="0" w:color="auto"/>
        <w:left w:val="none" w:sz="0" w:space="0" w:color="auto"/>
        <w:bottom w:val="none" w:sz="0" w:space="0" w:color="auto"/>
        <w:right w:val="none" w:sz="0" w:space="0" w:color="auto"/>
      </w:divBdr>
    </w:div>
    <w:div w:id="1344241533">
      <w:bodyDiv w:val="1"/>
      <w:marLeft w:val="0"/>
      <w:marRight w:val="0"/>
      <w:marTop w:val="0"/>
      <w:marBottom w:val="0"/>
      <w:divBdr>
        <w:top w:val="none" w:sz="0" w:space="0" w:color="auto"/>
        <w:left w:val="none" w:sz="0" w:space="0" w:color="auto"/>
        <w:bottom w:val="none" w:sz="0" w:space="0" w:color="auto"/>
        <w:right w:val="none" w:sz="0" w:space="0" w:color="auto"/>
      </w:divBdr>
    </w:div>
    <w:div w:id="1344553676">
      <w:bodyDiv w:val="1"/>
      <w:marLeft w:val="0"/>
      <w:marRight w:val="0"/>
      <w:marTop w:val="0"/>
      <w:marBottom w:val="0"/>
      <w:divBdr>
        <w:top w:val="none" w:sz="0" w:space="0" w:color="auto"/>
        <w:left w:val="none" w:sz="0" w:space="0" w:color="auto"/>
        <w:bottom w:val="none" w:sz="0" w:space="0" w:color="auto"/>
        <w:right w:val="none" w:sz="0" w:space="0" w:color="auto"/>
      </w:divBdr>
    </w:div>
    <w:div w:id="1344631872">
      <w:bodyDiv w:val="1"/>
      <w:marLeft w:val="0"/>
      <w:marRight w:val="0"/>
      <w:marTop w:val="0"/>
      <w:marBottom w:val="0"/>
      <w:divBdr>
        <w:top w:val="none" w:sz="0" w:space="0" w:color="auto"/>
        <w:left w:val="none" w:sz="0" w:space="0" w:color="auto"/>
        <w:bottom w:val="none" w:sz="0" w:space="0" w:color="auto"/>
        <w:right w:val="none" w:sz="0" w:space="0" w:color="auto"/>
      </w:divBdr>
    </w:div>
    <w:div w:id="1344816483">
      <w:bodyDiv w:val="1"/>
      <w:marLeft w:val="0"/>
      <w:marRight w:val="0"/>
      <w:marTop w:val="0"/>
      <w:marBottom w:val="0"/>
      <w:divBdr>
        <w:top w:val="none" w:sz="0" w:space="0" w:color="auto"/>
        <w:left w:val="none" w:sz="0" w:space="0" w:color="auto"/>
        <w:bottom w:val="none" w:sz="0" w:space="0" w:color="auto"/>
        <w:right w:val="none" w:sz="0" w:space="0" w:color="auto"/>
      </w:divBdr>
    </w:div>
    <w:div w:id="1345521331">
      <w:bodyDiv w:val="1"/>
      <w:marLeft w:val="0"/>
      <w:marRight w:val="0"/>
      <w:marTop w:val="0"/>
      <w:marBottom w:val="0"/>
      <w:divBdr>
        <w:top w:val="none" w:sz="0" w:space="0" w:color="auto"/>
        <w:left w:val="none" w:sz="0" w:space="0" w:color="auto"/>
        <w:bottom w:val="none" w:sz="0" w:space="0" w:color="auto"/>
        <w:right w:val="none" w:sz="0" w:space="0" w:color="auto"/>
      </w:divBdr>
    </w:div>
    <w:div w:id="1345548645">
      <w:bodyDiv w:val="1"/>
      <w:marLeft w:val="0"/>
      <w:marRight w:val="0"/>
      <w:marTop w:val="0"/>
      <w:marBottom w:val="0"/>
      <w:divBdr>
        <w:top w:val="none" w:sz="0" w:space="0" w:color="auto"/>
        <w:left w:val="none" w:sz="0" w:space="0" w:color="auto"/>
        <w:bottom w:val="none" w:sz="0" w:space="0" w:color="auto"/>
        <w:right w:val="none" w:sz="0" w:space="0" w:color="auto"/>
      </w:divBdr>
    </w:div>
    <w:div w:id="1345941418">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6204132">
      <w:bodyDiv w:val="1"/>
      <w:marLeft w:val="0"/>
      <w:marRight w:val="0"/>
      <w:marTop w:val="0"/>
      <w:marBottom w:val="0"/>
      <w:divBdr>
        <w:top w:val="none" w:sz="0" w:space="0" w:color="auto"/>
        <w:left w:val="none" w:sz="0" w:space="0" w:color="auto"/>
        <w:bottom w:val="none" w:sz="0" w:space="0" w:color="auto"/>
        <w:right w:val="none" w:sz="0" w:space="0" w:color="auto"/>
      </w:divBdr>
    </w:div>
    <w:div w:id="1346592159">
      <w:bodyDiv w:val="1"/>
      <w:marLeft w:val="0"/>
      <w:marRight w:val="0"/>
      <w:marTop w:val="0"/>
      <w:marBottom w:val="0"/>
      <w:divBdr>
        <w:top w:val="none" w:sz="0" w:space="0" w:color="auto"/>
        <w:left w:val="none" w:sz="0" w:space="0" w:color="auto"/>
        <w:bottom w:val="none" w:sz="0" w:space="0" w:color="auto"/>
        <w:right w:val="none" w:sz="0" w:space="0" w:color="auto"/>
      </w:divBdr>
    </w:div>
    <w:div w:id="1346831023">
      <w:bodyDiv w:val="1"/>
      <w:marLeft w:val="0"/>
      <w:marRight w:val="0"/>
      <w:marTop w:val="0"/>
      <w:marBottom w:val="0"/>
      <w:divBdr>
        <w:top w:val="none" w:sz="0" w:space="0" w:color="auto"/>
        <w:left w:val="none" w:sz="0" w:space="0" w:color="auto"/>
        <w:bottom w:val="none" w:sz="0" w:space="0" w:color="auto"/>
        <w:right w:val="none" w:sz="0" w:space="0" w:color="auto"/>
      </w:divBdr>
    </w:div>
    <w:div w:id="1347059334">
      <w:bodyDiv w:val="1"/>
      <w:marLeft w:val="0"/>
      <w:marRight w:val="0"/>
      <w:marTop w:val="0"/>
      <w:marBottom w:val="0"/>
      <w:divBdr>
        <w:top w:val="none" w:sz="0" w:space="0" w:color="auto"/>
        <w:left w:val="none" w:sz="0" w:space="0" w:color="auto"/>
        <w:bottom w:val="none" w:sz="0" w:space="0" w:color="auto"/>
        <w:right w:val="none" w:sz="0" w:space="0" w:color="auto"/>
      </w:divBdr>
    </w:div>
    <w:div w:id="1347101474">
      <w:bodyDiv w:val="1"/>
      <w:marLeft w:val="0"/>
      <w:marRight w:val="0"/>
      <w:marTop w:val="0"/>
      <w:marBottom w:val="0"/>
      <w:divBdr>
        <w:top w:val="none" w:sz="0" w:space="0" w:color="auto"/>
        <w:left w:val="none" w:sz="0" w:space="0" w:color="auto"/>
        <w:bottom w:val="none" w:sz="0" w:space="0" w:color="auto"/>
        <w:right w:val="none" w:sz="0" w:space="0" w:color="auto"/>
      </w:divBdr>
    </w:div>
    <w:div w:id="1347244129">
      <w:bodyDiv w:val="1"/>
      <w:marLeft w:val="0"/>
      <w:marRight w:val="0"/>
      <w:marTop w:val="0"/>
      <w:marBottom w:val="0"/>
      <w:divBdr>
        <w:top w:val="none" w:sz="0" w:space="0" w:color="auto"/>
        <w:left w:val="none" w:sz="0" w:space="0" w:color="auto"/>
        <w:bottom w:val="none" w:sz="0" w:space="0" w:color="auto"/>
        <w:right w:val="none" w:sz="0" w:space="0" w:color="auto"/>
      </w:divBdr>
    </w:div>
    <w:div w:id="1347516337">
      <w:bodyDiv w:val="1"/>
      <w:marLeft w:val="0"/>
      <w:marRight w:val="0"/>
      <w:marTop w:val="0"/>
      <w:marBottom w:val="0"/>
      <w:divBdr>
        <w:top w:val="none" w:sz="0" w:space="0" w:color="auto"/>
        <w:left w:val="none" w:sz="0" w:space="0" w:color="auto"/>
        <w:bottom w:val="none" w:sz="0" w:space="0" w:color="auto"/>
        <w:right w:val="none" w:sz="0" w:space="0" w:color="auto"/>
      </w:divBdr>
    </w:div>
    <w:div w:id="1348098340">
      <w:bodyDiv w:val="1"/>
      <w:marLeft w:val="0"/>
      <w:marRight w:val="0"/>
      <w:marTop w:val="0"/>
      <w:marBottom w:val="0"/>
      <w:divBdr>
        <w:top w:val="none" w:sz="0" w:space="0" w:color="auto"/>
        <w:left w:val="none" w:sz="0" w:space="0" w:color="auto"/>
        <w:bottom w:val="none" w:sz="0" w:space="0" w:color="auto"/>
        <w:right w:val="none" w:sz="0" w:space="0" w:color="auto"/>
      </w:divBdr>
    </w:div>
    <w:div w:id="1348364921">
      <w:bodyDiv w:val="1"/>
      <w:marLeft w:val="0"/>
      <w:marRight w:val="0"/>
      <w:marTop w:val="0"/>
      <w:marBottom w:val="0"/>
      <w:divBdr>
        <w:top w:val="none" w:sz="0" w:space="0" w:color="auto"/>
        <w:left w:val="none" w:sz="0" w:space="0" w:color="auto"/>
        <w:bottom w:val="none" w:sz="0" w:space="0" w:color="auto"/>
        <w:right w:val="none" w:sz="0" w:space="0" w:color="auto"/>
      </w:divBdr>
    </w:div>
    <w:div w:id="1348604376">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48676190">
      <w:bodyDiv w:val="1"/>
      <w:marLeft w:val="0"/>
      <w:marRight w:val="0"/>
      <w:marTop w:val="0"/>
      <w:marBottom w:val="0"/>
      <w:divBdr>
        <w:top w:val="none" w:sz="0" w:space="0" w:color="auto"/>
        <w:left w:val="none" w:sz="0" w:space="0" w:color="auto"/>
        <w:bottom w:val="none" w:sz="0" w:space="0" w:color="auto"/>
        <w:right w:val="none" w:sz="0" w:space="0" w:color="auto"/>
      </w:divBdr>
    </w:div>
    <w:div w:id="1348751863">
      <w:bodyDiv w:val="1"/>
      <w:marLeft w:val="0"/>
      <w:marRight w:val="0"/>
      <w:marTop w:val="0"/>
      <w:marBottom w:val="0"/>
      <w:divBdr>
        <w:top w:val="none" w:sz="0" w:space="0" w:color="auto"/>
        <w:left w:val="none" w:sz="0" w:space="0" w:color="auto"/>
        <w:bottom w:val="none" w:sz="0" w:space="0" w:color="auto"/>
        <w:right w:val="none" w:sz="0" w:space="0" w:color="auto"/>
      </w:divBdr>
    </w:div>
    <w:div w:id="1349017068">
      <w:bodyDiv w:val="1"/>
      <w:marLeft w:val="0"/>
      <w:marRight w:val="0"/>
      <w:marTop w:val="0"/>
      <w:marBottom w:val="0"/>
      <w:divBdr>
        <w:top w:val="none" w:sz="0" w:space="0" w:color="auto"/>
        <w:left w:val="none" w:sz="0" w:space="0" w:color="auto"/>
        <w:bottom w:val="none" w:sz="0" w:space="0" w:color="auto"/>
        <w:right w:val="none" w:sz="0" w:space="0" w:color="auto"/>
      </w:divBdr>
    </w:div>
    <w:div w:id="1349480469">
      <w:bodyDiv w:val="1"/>
      <w:marLeft w:val="0"/>
      <w:marRight w:val="0"/>
      <w:marTop w:val="0"/>
      <w:marBottom w:val="0"/>
      <w:divBdr>
        <w:top w:val="none" w:sz="0" w:space="0" w:color="auto"/>
        <w:left w:val="none" w:sz="0" w:space="0" w:color="auto"/>
        <w:bottom w:val="none" w:sz="0" w:space="0" w:color="auto"/>
        <w:right w:val="none" w:sz="0" w:space="0" w:color="auto"/>
      </w:divBdr>
    </w:div>
    <w:div w:id="1349526353">
      <w:bodyDiv w:val="1"/>
      <w:marLeft w:val="0"/>
      <w:marRight w:val="0"/>
      <w:marTop w:val="0"/>
      <w:marBottom w:val="0"/>
      <w:divBdr>
        <w:top w:val="none" w:sz="0" w:space="0" w:color="auto"/>
        <w:left w:val="none" w:sz="0" w:space="0" w:color="auto"/>
        <w:bottom w:val="none" w:sz="0" w:space="0" w:color="auto"/>
        <w:right w:val="none" w:sz="0" w:space="0" w:color="auto"/>
      </w:divBdr>
    </w:div>
    <w:div w:id="1349796704">
      <w:bodyDiv w:val="1"/>
      <w:marLeft w:val="0"/>
      <w:marRight w:val="0"/>
      <w:marTop w:val="0"/>
      <w:marBottom w:val="0"/>
      <w:divBdr>
        <w:top w:val="none" w:sz="0" w:space="0" w:color="auto"/>
        <w:left w:val="none" w:sz="0" w:space="0" w:color="auto"/>
        <w:bottom w:val="none" w:sz="0" w:space="0" w:color="auto"/>
        <w:right w:val="none" w:sz="0" w:space="0" w:color="auto"/>
      </w:divBdr>
    </w:div>
    <w:div w:id="1350446531">
      <w:bodyDiv w:val="1"/>
      <w:marLeft w:val="0"/>
      <w:marRight w:val="0"/>
      <w:marTop w:val="0"/>
      <w:marBottom w:val="0"/>
      <w:divBdr>
        <w:top w:val="none" w:sz="0" w:space="0" w:color="auto"/>
        <w:left w:val="none" w:sz="0" w:space="0" w:color="auto"/>
        <w:bottom w:val="none" w:sz="0" w:space="0" w:color="auto"/>
        <w:right w:val="none" w:sz="0" w:space="0" w:color="auto"/>
      </w:divBdr>
    </w:div>
    <w:div w:id="1350915612">
      <w:bodyDiv w:val="1"/>
      <w:marLeft w:val="0"/>
      <w:marRight w:val="0"/>
      <w:marTop w:val="0"/>
      <w:marBottom w:val="0"/>
      <w:divBdr>
        <w:top w:val="none" w:sz="0" w:space="0" w:color="auto"/>
        <w:left w:val="none" w:sz="0" w:space="0" w:color="auto"/>
        <w:bottom w:val="none" w:sz="0" w:space="0" w:color="auto"/>
        <w:right w:val="none" w:sz="0" w:space="0" w:color="auto"/>
      </w:divBdr>
    </w:div>
    <w:div w:id="1351032764">
      <w:bodyDiv w:val="1"/>
      <w:marLeft w:val="0"/>
      <w:marRight w:val="0"/>
      <w:marTop w:val="0"/>
      <w:marBottom w:val="0"/>
      <w:divBdr>
        <w:top w:val="none" w:sz="0" w:space="0" w:color="auto"/>
        <w:left w:val="none" w:sz="0" w:space="0" w:color="auto"/>
        <w:bottom w:val="none" w:sz="0" w:space="0" w:color="auto"/>
        <w:right w:val="none" w:sz="0" w:space="0" w:color="auto"/>
      </w:divBdr>
    </w:div>
    <w:div w:id="1351101761">
      <w:bodyDiv w:val="1"/>
      <w:marLeft w:val="0"/>
      <w:marRight w:val="0"/>
      <w:marTop w:val="0"/>
      <w:marBottom w:val="0"/>
      <w:divBdr>
        <w:top w:val="none" w:sz="0" w:space="0" w:color="auto"/>
        <w:left w:val="none" w:sz="0" w:space="0" w:color="auto"/>
        <w:bottom w:val="none" w:sz="0" w:space="0" w:color="auto"/>
        <w:right w:val="none" w:sz="0" w:space="0" w:color="auto"/>
      </w:divBdr>
    </w:div>
    <w:div w:id="1351252707">
      <w:bodyDiv w:val="1"/>
      <w:marLeft w:val="0"/>
      <w:marRight w:val="0"/>
      <w:marTop w:val="0"/>
      <w:marBottom w:val="0"/>
      <w:divBdr>
        <w:top w:val="none" w:sz="0" w:space="0" w:color="auto"/>
        <w:left w:val="none" w:sz="0" w:space="0" w:color="auto"/>
        <w:bottom w:val="none" w:sz="0" w:space="0" w:color="auto"/>
        <w:right w:val="none" w:sz="0" w:space="0" w:color="auto"/>
      </w:divBdr>
    </w:div>
    <w:div w:id="1351300253">
      <w:bodyDiv w:val="1"/>
      <w:marLeft w:val="0"/>
      <w:marRight w:val="0"/>
      <w:marTop w:val="0"/>
      <w:marBottom w:val="0"/>
      <w:divBdr>
        <w:top w:val="none" w:sz="0" w:space="0" w:color="auto"/>
        <w:left w:val="none" w:sz="0" w:space="0" w:color="auto"/>
        <w:bottom w:val="none" w:sz="0" w:space="0" w:color="auto"/>
        <w:right w:val="none" w:sz="0" w:space="0" w:color="auto"/>
      </w:divBdr>
    </w:div>
    <w:div w:id="1351834453">
      <w:bodyDiv w:val="1"/>
      <w:marLeft w:val="0"/>
      <w:marRight w:val="0"/>
      <w:marTop w:val="0"/>
      <w:marBottom w:val="0"/>
      <w:divBdr>
        <w:top w:val="none" w:sz="0" w:space="0" w:color="auto"/>
        <w:left w:val="none" w:sz="0" w:space="0" w:color="auto"/>
        <w:bottom w:val="none" w:sz="0" w:space="0" w:color="auto"/>
        <w:right w:val="none" w:sz="0" w:space="0" w:color="auto"/>
      </w:divBdr>
    </w:div>
    <w:div w:id="1352561632">
      <w:bodyDiv w:val="1"/>
      <w:marLeft w:val="0"/>
      <w:marRight w:val="0"/>
      <w:marTop w:val="0"/>
      <w:marBottom w:val="0"/>
      <w:divBdr>
        <w:top w:val="none" w:sz="0" w:space="0" w:color="auto"/>
        <w:left w:val="none" w:sz="0" w:space="0" w:color="auto"/>
        <w:bottom w:val="none" w:sz="0" w:space="0" w:color="auto"/>
        <w:right w:val="none" w:sz="0" w:space="0" w:color="auto"/>
      </w:divBdr>
    </w:div>
    <w:div w:id="1352612255">
      <w:bodyDiv w:val="1"/>
      <w:marLeft w:val="0"/>
      <w:marRight w:val="0"/>
      <w:marTop w:val="0"/>
      <w:marBottom w:val="0"/>
      <w:divBdr>
        <w:top w:val="none" w:sz="0" w:space="0" w:color="auto"/>
        <w:left w:val="none" w:sz="0" w:space="0" w:color="auto"/>
        <w:bottom w:val="none" w:sz="0" w:space="0" w:color="auto"/>
        <w:right w:val="none" w:sz="0" w:space="0" w:color="auto"/>
      </w:divBdr>
    </w:div>
    <w:div w:id="1352804889">
      <w:bodyDiv w:val="1"/>
      <w:marLeft w:val="0"/>
      <w:marRight w:val="0"/>
      <w:marTop w:val="0"/>
      <w:marBottom w:val="0"/>
      <w:divBdr>
        <w:top w:val="none" w:sz="0" w:space="0" w:color="auto"/>
        <w:left w:val="none" w:sz="0" w:space="0" w:color="auto"/>
        <w:bottom w:val="none" w:sz="0" w:space="0" w:color="auto"/>
        <w:right w:val="none" w:sz="0" w:space="0" w:color="auto"/>
      </w:divBdr>
    </w:div>
    <w:div w:id="1352877365">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3646184">
      <w:bodyDiv w:val="1"/>
      <w:marLeft w:val="0"/>
      <w:marRight w:val="0"/>
      <w:marTop w:val="0"/>
      <w:marBottom w:val="0"/>
      <w:divBdr>
        <w:top w:val="none" w:sz="0" w:space="0" w:color="auto"/>
        <w:left w:val="none" w:sz="0" w:space="0" w:color="auto"/>
        <w:bottom w:val="none" w:sz="0" w:space="0" w:color="auto"/>
        <w:right w:val="none" w:sz="0" w:space="0" w:color="auto"/>
      </w:divBdr>
    </w:div>
    <w:div w:id="1353845145">
      <w:bodyDiv w:val="1"/>
      <w:marLeft w:val="0"/>
      <w:marRight w:val="0"/>
      <w:marTop w:val="0"/>
      <w:marBottom w:val="0"/>
      <w:divBdr>
        <w:top w:val="none" w:sz="0" w:space="0" w:color="auto"/>
        <w:left w:val="none" w:sz="0" w:space="0" w:color="auto"/>
        <w:bottom w:val="none" w:sz="0" w:space="0" w:color="auto"/>
        <w:right w:val="none" w:sz="0" w:space="0" w:color="auto"/>
      </w:divBdr>
    </w:div>
    <w:div w:id="1353995000">
      <w:bodyDiv w:val="1"/>
      <w:marLeft w:val="0"/>
      <w:marRight w:val="0"/>
      <w:marTop w:val="0"/>
      <w:marBottom w:val="0"/>
      <w:divBdr>
        <w:top w:val="none" w:sz="0" w:space="0" w:color="auto"/>
        <w:left w:val="none" w:sz="0" w:space="0" w:color="auto"/>
        <w:bottom w:val="none" w:sz="0" w:space="0" w:color="auto"/>
        <w:right w:val="none" w:sz="0" w:space="0" w:color="auto"/>
      </w:divBdr>
    </w:div>
    <w:div w:id="1354306429">
      <w:bodyDiv w:val="1"/>
      <w:marLeft w:val="0"/>
      <w:marRight w:val="0"/>
      <w:marTop w:val="0"/>
      <w:marBottom w:val="0"/>
      <w:divBdr>
        <w:top w:val="none" w:sz="0" w:space="0" w:color="auto"/>
        <w:left w:val="none" w:sz="0" w:space="0" w:color="auto"/>
        <w:bottom w:val="none" w:sz="0" w:space="0" w:color="auto"/>
        <w:right w:val="none" w:sz="0" w:space="0" w:color="auto"/>
      </w:divBdr>
    </w:div>
    <w:div w:id="1354771907">
      <w:bodyDiv w:val="1"/>
      <w:marLeft w:val="0"/>
      <w:marRight w:val="0"/>
      <w:marTop w:val="0"/>
      <w:marBottom w:val="0"/>
      <w:divBdr>
        <w:top w:val="none" w:sz="0" w:space="0" w:color="auto"/>
        <w:left w:val="none" w:sz="0" w:space="0" w:color="auto"/>
        <w:bottom w:val="none" w:sz="0" w:space="0" w:color="auto"/>
        <w:right w:val="none" w:sz="0" w:space="0" w:color="auto"/>
      </w:divBdr>
    </w:div>
    <w:div w:id="1354959066">
      <w:bodyDiv w:val="1"/>
      <w:marLeft w:val="0"/>
      <w:marRight w:val="0"/>
      <w:marTop w:val="0"/>
      <w:marBottom w:val="0"/>
      <w:divBdr>
        <w:top w:val="none" w:sz="0" w:space="0" w:color="auto"/>
        <w:left w:val="none" w:sz="0" w:space="0" w:color="auto"/>
        <w:bottom w:val="none" w:sz="0" w:space="0" w:color="auto"/>
        <w:right w:val="none" w:sz="0" w:space="0" w:color="auto"/>
      </w:divBdr>
    </w:div>
    <w:div w:id="1355422548">
      <w:bodyDiv w:val="1"/>
      <w:marLeft w:val="0"/>
      <w:marRight w:val="0"/>
      <w:marTop w:val="0"/>
      <w:marBottom w:val="0"/>
      <w:divBdr>
        <w:top w:val="none" w:sz="0" w:space="0" w:color="auto"/>
        <w:left w:val="none" w:sz="0" w:space="0" w:color="auto"/>
        <w:bottom w:val="none" w:sz="0" w:space="0" w:color="auto"/>
        <w:right w:val="none" w:sz="0" w:space="0" w:color="auto"/>
      </w:divBdr>
    </w:div>
    <w:div w:id="1355688520">
      <w:bodyDiv w:val="1"/>
      <w:marLeft w:val="0"/>
      <w:marRight w:val="0"/>
      <w:marTop w:val="0"/>
      <w:marBottom w:val="0"/>
      <w:divBdr>
        <w:top w:val="none" w:sz="0" w:space="0" w:color="auto"/>
        <w:left w:val="none" w:sz="0" w:space="0" w:color="auto"/>
        <w:bottom w:val="none" w:sz="0" w:space="0" w:color="auto"/>
        <w:right w:val="none" w:sz="0" w:space="0" w:color="auto"/>
      </w:divBdr>
    </w:div>
    <w:div w:id="1355887366">
      <w:bodyDiv w:val="1"/>
      <w:marLeft w:val="0"/>
      <w:marRight w:val="0"/>
      <w:marTop w:val="0"/>
      <w:marBottom w:val="0"/>
      <w:divBdr>
        <w:top w:val="none" w:sz="0" w:space="0" w:color="auto"/>
        <w:left w:val="none" w:sz="0" w:space="0" w:color="auto"/>
        <w:bottom w:val="none" w:sz="0" w:space="0" w:color="auto"/>
        <w:right w:val="none" w:sz="0" w:space="0" w:color="auto"/>
      </w:divBdr>
    </w:div>
    <w:div w:id="1356612743">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267245">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57972606">
      <w:bodyDiv w:val="1"/>
      <w:marLeft w:val="0"/>
      <w:marRight w:val="0"/>
      <w:marTop w:val="0"/>
      <w:marBottom w:val="0"/>
      <w:divBdr>
        <w:top w:val="none" w:sz="0" w:space="0" w:color="auto"/>
        <w:left w:val="none" w:sz="0" w:space="0" w:color="auto"/>
        <w:bottom w:val="none" w:sz="0" w:space="0" w:color="auto"/>
        <w:right w:val="none" w:sz="0" w:space="0" w:color="auto"/>
      </w:divBdr>
    </w:div>
    <w:div w:id="1358038902">
      <w:bodyDiv w:val="1"/>
      <w:marLeft w:val="0"/>
      <w:marRight w:val="0"/>
      <w:marTop w:val="0"/>
      <w:marBottom w:val="0"/>
      <w:divBdr>
        <w:top w:val="none" w:sz="0" w:space="0" w:color="auto"/>
        <w:left w:val="none" w:sz="0" w:space="0" w:color="auto"/>
        <w:bottom w:val="none" w:sz="0" w:space="0" w:color="auto"/>
        <w:right w:val="none" w:sz="0" w:space="0" w:color="auto"/>
      </w:divBdr>
    </w:div>
    <w:div w:id="1358193385">
      <w:bodyDiv w:val="1"/>
      <w:marLeft w:val="0"/>
      <w:marRight w:val="0"/>
      <w:marTop w:val="0"/>
      <w:marBottom w:val="0"/>
      <w:divBdr>
        <w:top w:val="none" w:sz="0" w:space="0" w:color="auto"/>
        <w:left w:val="none" w:sz="0" w:space="0" w:color="auto"/>
        <w:bottom w:val="none" w:sz="0" w:space="0" w:color="auto"/>
        <w:right w:val="none" w:sz="0" w:space="0" w:color="auto"/>
      </w:divBdr>
    </w:div>
    <w:div w:id="1358460535">
      <w:bodyDiv w:val="1"/>
      <w:marLeft w:val="0"/>
      <w:marRight w:val="0"/>
      <w:marTop w:val="0"/>
      <w:marBottom w:val="0"/>
      <w:divBdr>
        <w:top w:val="none" w:sz="0" w:space="0" w:color="auto"/>
        <w:left w:val="none" w:sz="0" w:space="0" w:color="auto"/>
        <w:bottom w:val="none" w:sz="0" w:space="0" w:color="auto"/>
        <w:right w:val="none" w:sz="0" w:space="0" w:color="auto"/>
      </w:divBdr>
    </w:div>
    <w:div w:id="1358703033">
      <w:bodyDiv w:val="1"/>
      <w:marLeft w:val="0"/>
      <w:marRight w:val="0"/>
      <w:marTop w:val="0"/>
      <w:marBottom w:val="0"/>
      <w:divBdr>
        <w:top w:val="none" w:sz="0" w:space="0" w:color="auto"/>
        <w:left w:val="none" w:sz="0" w:space="0" w:color="auto"/>
        <w:bottom w:val="none" w:sz="0" w:space="0" w:color="auto"/>
        <w:right w:val="none" w:sz="0" w:space="0" w:color="auto"/>
      </w:divBdr>
    </w:div>
    <w:div w:id="1358770590">
      <w:bodyDiv w:val="1"/>
      <w:marLeft w:val="0"/>
      <w:marRight w:val="0"/>
      <w:marTop w:val="0"/>
      <w:marBottom w:val="0"/>
      <w:divBdr>
        <w:top w:val="none" w:sz="0" w:space="0" w:color="auto"/>
        <w:left w:val="none" w:sz="0" w:space="0" w:color="auto"/>
        <w:bottom w:val="none" w:sz="0" w:space="0" w:color="auto"/>
        <w:right w:val="none" w:sz="0" w:space="0" w:color="auto"/>
      </w:divBdr>
    </w:div>
    <w:div w:id="1358771451">
      <w:bodyDiv w:val="1"/>
      <w:marLeft w:val="0"/>
      <w:marRight w:val="0"/>
      <w:marTop w:val="0"/>
      <w:marBottom w:val="0"/>
      <w:divBdr>
        <w:top w:val="none" w:sz="0" w:space="0" w:color="auto"/>
        <w:left w:val="none" w:sz="0" w:space="0" w:color="auto"/>
        <w:bottom w:val="none" w:sz="0" w:space="0" w:color="auto"/>
        <w:right w:val="none" w:sz="0" w:space="0" w:color="auto"/>
      </w:divBdr>
    </w:div>
    <w:div w:id="1359162233">
      <w:bodyDiv w:val="1"/>
      <w:marLeft w:val="0"/>
      <w:marRight w:val="0"/>
      <w:marTop w:val="0"/>
      <w:marBottom w:val="0"/>
      <w:divBdr>
        <w:top w:val="none" w:sz="0" w:space="0" w:color="auto"/>
        <w:left w:val="none" w:sz="0" w:space="0" w:color="auto"/>
        <w:bottom w:val="none" w:sz="0" w:space="0" w:color="auto"/>
        <w:right w:val="none" w:sz="0" w:space="0" w:color="auto"/>
      </w:divBdr>
    </w:div>
    <w:div w:id="1359351109">
      <w:bodyDiv w:val="1"/>
      <w:marLeft w:val="0"/>
      <w:marRight w:val="0"/>
      <w:marTop w:val="0"/>
      <w:marBottom w:val="0"/>
      <w:divBdr>
        <w:top w:val="none" w:sz="0" w:space="0" w:color="auto"/>
        <w:left w:val="none" w:sz="0" w:space="0" w:color="auto"/>
        <w:bottom w:val="none" w:sz="0" w:space="0" w:color="auto"/>
        <w:right w:val="none" w:sz="0" w:space="0" w:color="auto"/>
      </w:divBdr>
    </w:div>
    <w:div w:id="1359625252">
      <w:bodyDiv w:val="1"/>
      <w:marLeft w:val="0"/>
      <w:marRight w:val="0"/>
      <w:marTop w:val="0"/>
      <w:marBottom w:val="0"/>
      <w:divBdr>
        <w:top w:val="none" w:sz="0" w:space="0" w:color="auto"/>
        <w:left w:val="none" w:sz="0" w:space="0" w:color="auto"/>
        <w:bottom w:val="none" w:sz="0" w:space="0" w:color="auto"/>
        <w:right w:val="none" w:sz="0" w:space="0" w:color="auto"/>
      </w:divBdr>
    </w:div>
    <w:div w:id="1359702922">
      <w:bodyDiv w:val="1"/>
      <w:marLeft w:val="0"/>
      <w:marRight w:val="0"/>
      <w:marTop w:val="0"/>
      <w:marBottom w:val="0"/>
      <w:divBdr>
        <w:top w:val="none" w:sz="0" w:space="0" w:color="auto"/>
        <w:left w:val="none" w:sz="0" w:space="0" w:color="auto"/>
        <w:bottom w:val="none" w:sz="0" w:space="0" w:color="auto"/>
        <w:right w:val="none" w:sz="0" w:space="0" w:color="auto"/>
      </w:divBdr>
    </w:div>
    <w:div w:id="1359818769">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0165103">
      <w:bodyDiv w:val="1"/>
      <w:marLeft w:val="0"/>
      <w:marRight w:val="0"/>
      <w:marTop w:val="0"/>
      <w:marBottom w:val="0"/>
      <w:divBdr>
        <w:top w:val="none" w:sz="0" w:space="0" w:color="auto"/>
        <w:left w:val="none" w:sz="0" w:space="0" w:color="auto"/>
        <w:bottom w:val="none" w:sz="0" w:space="0" w:color="auto"/>
        <w:right w:val="none" w:sz="0" w:space="0" w:color="auto"/>
      </w:divBdr>
    </w:div>
    <w:div w:id="1360810940">
      <w:bodyDiv w:val="1"/>
      <w:marLeft w:val="0"/>
      <w:marRight w:val="0"/>
      <w:marTop w:val="0"/>
      <w:marBottom w:val="0"/>
      <w:divBdr>
        <w:top w:val="none" w:sz="0" w:space="0" w:color="auto"/>
        <w:left w:val="none" w:sz="0" w:space="0" w:color="auto"/>
        <w:bottom w:val="none" w:sz="0" w:space="0" w:color="auto"/>
        <w:right w:val="none" w:sz="0" w:space="0" w:color="auto"/>
      </w:divBdr>
    </w:div>
    <w:div w:id="1360862606">
      <w:bodyDiv w:val="1"/>
      <w:marLeft w:val="0"/>
      <w:marRight w:val="0"/>
      <w:marTop w:val="0"/>
      <w:marBottom w:val="0"/>
      <w:divBdr>
        <w:top w:val="none" w:sz="0" w:space="0" w:color="auto"/>
        <w:left w:val="none" w:sz="0" w:space="0" w:color="auto"/>
        <w:bottom w:val="none" w:sz="0" w:space="0" w:color="auto"/>
        <w:right w:val="none" w:sz="0" w:space="0" w:color="auto"/>
      </w:divBdr>
    </w:div>
    <w:div w:id="1361128809">
      <w:bodyDiv w:val="1"/>
      <w:marLeft w:val="0"/>
      <w:marRight w:val="0"/>
      <w:marTop w:val="0"/>
      <w:marBottom w:val="0"/>
      <w:divBdr>
        <w:top w:val="none" w:sz="0" w:space="0" w:color="auto"/>
        <w:left w:val="none" w:sz="0" w:space="0" w:color="auto"/>
        <w:bottom w:val="none" w:sz="0" w:space="0" w:color="auto"/>
        <w:right w:val="none" w:sz="0" w:space="0" w:color="auto"/>
      </w:divBdr>
    </w:div>
    <w:div w:id="1361273162">
      <w:bodyDiv w:val="1"/>
      <w:marLeft w:val="0"/>
      <w:marRight w:val="0"/>
      <w:marTop w:val="0"/>
      <w:marBottom w:val="0"/>
      <w:divBdr>
        <w:top w:val="none" w:sz="0" w:space="0" w:color="auto"/>
        <w:left w:val="none" w:sz="0" w:space="0" w:color="auto"/>
        <w:bottom w:val="none" w:sz="0" w:space="0" w:color="auto"/>
        <w:right w:val="none" w:sz="0" w:space="0" w:color="auto"/>
      </w:divBdr>
    </w:div>
    <w:div w:id="1361473364">
      <w:bodyDiv w:val="1"/>
      <w:marLeft w:val="0"/>
      <w:marRight w:val="0"/>
      <w:marTop w:val="0"/>
      <w:marBottom w:val="0"/>
      <w:divBdr>
        <w:top w:val="none" w:sz="0" w:space="0" w:color="auto"/>
        <w:left w:val="none" w:sz="0" w:space="0" w:color="auto"/>
        <w:bottom w:val="none" w:sz="0" w:space="0" w:color="auto"/>
        <w:right w:val="none" w:sz="0" w:space="0" w:color="auto"/>
      </w:divBdr>
    </w:div>
    <w:div w:id="1361513425">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1974645">
      <w:bodyDiv w:val="1"/>
      <w:marLeft w:val="0"/>
      <w:marRight w:val="0"/>
      <w:marTop w:val="0"/>
      <w:marBottom w:val="0"/>
      <w:divBdr>
        <w:top w:val="none" w:sz="0" w:space="0" w:color="auto"/>
        <w:left w:val="none" w:sz="0" w:space="0" w:color="auto"/>
        <w:bottom w:val="none" w:sz="0" w:space="0" w:color="auto"/>
        <w:right w:val="none" w:sz="0" w:space="0" w:color="auto"/>
      </w:divBdr>
    </w:div>
    <w:div w:id="1362130084">
      <w:bodyDiv w:val="1"/>
      <w:marLeft w:val="0"/>
      <w:marRight w:val="0"/>
      <w:marTop w:val="0"/>
      <w:marBottom w:val="0"/>
      <w:divBdr>
        <w:top w:val="none" w:sz="0" w:space="0" w:color="auto"/>
        <w:left w:val="none" w:sz="0" w:space="0" w:color="auto"/>
        <w:bottom w:val="none" w:sz="0" w:space="0" w:color="auto"/>
        <w:right w:val="none" w:sz="0" w:space="0" w:color="auto"/>
      </w:divBdr>
    </w:div>
    <w:div w:id="1362634306">
      <w:bodyDiv w:val="1"/>
      <w:marLeft w:val="0"/>
      <w:marRight w:val="0"/>
      <w:marTop w:val="0"/>
      <w:marBottom w:val="0"/>
      <w:divBdr>
        <w:top w:val="none" w:sz="0" w:space="0" w:color="auto"/>
        <w:left w:val="none" w:sz="0" w:space="0" w:color="auto"/>
        <w:bottom w:val="none" w:sz="0" w:space="0" w:color="auto"/>
        <w:right w:val="none" w:sz="0" w:space="0" w:color="auto"/>
      </w:divBdr>
    </w:div>
    <w:div w:id="136278464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3479231">
      <w:bodyDiv w:val="1"/>
      <w:marLeft w:val="0"/>
      <w:marRight w:val="0"/>
      <w:marTop w:val="0"/>
      <w:marBottom w:val="0"/>
      <w:divBdr>
        <w:top w:val="none" w:sz="0" w:space="0" w:color="auto"/>
        <w:left w:val="none" w:sz="0" w:space="0" w:color="auto"/>
        <w:bottom w:val="none" w:sz="0" w:space="0" w:color="auto"/>
        <w:right w:val="none" w:sz="0" w:space="0" w:color="auto"/>
      </w:divBdr>
    </w:div>
    <w:div w:id="1363899665">
      <w:bodyDiv w:val="1"/>
      <w:marLeft w:val="0"/>
      <w:marRight w:val="0"/>
      <w:marTop w:val="0"/>
      <w:marBottom w:val="0"/>
      <w:divBdr>
        <w:top w:val="none" w:sz="0" w:space="0" w:color="auto"/>
        <w:left w:val="none" w:sz="0" w:space="0" w:color="auto"/>
        <w:bottom w:val="none" w:sz="0" w:space="0" w:color="auto"/>
        <w:right w:val="none" w:sz="0" w:space="0" w:color="auto"/>
      </w:divBdr>
    </w:div>
    <w:div w:id="1364480878">
      <w:bodyDiv w:val="1"/>
      <w:marLeft w:val="0"/>
      <w:marRight w:val="0"/>
      <w:marTop w:val="0"/>
      <w:marBottom w:val="0"/>
      <w:divBdr>
        <w:top w:val="none" w:sz="0" w:space="0" w:color="auto"/>
        <w:left w:val="none" w:sz="0" w:space="0" w:color="auto"/>
        <w:bottom w:val="none" w:sz="0" w:space="0" w:color="auto"/>
        <w:right w:val="none" w:sz="0" w:space="0" w:color="auto"/>
      </w:divBdr>
    </w:div>
    <w:div w:id="1364481126">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4743395">
      <w:bodyDiv w:val="1"/>
      <w:marLeft w:val="0"/>
      <w:marRight w:val="0"/>
      <w:marTop w:val="0"/>
      <w:marBottom w:val="0"/>
      <w:divBdr>
        <w:top w:val="none" w:sz="0" w:space="0" w:color="auto"/>
        <w:left w:val="none" w:sz="0" w:space="0" w:color="auto"/>
        <w:bottom w:val="none" w:sz="0" w:space="0" w:color="auto"/>
        <w:right w:val="none" w:sz="0" w:space="0" w:color="auto"/>
      </w:divBdr>
    </w:div>
    <w:div w:id="1364746802">
      <w:bodyDiv w:val="1"/>
      <w:marLeft w:val="0"/>
      <w:marRight w:val="0"/>
      <w:marTop w:val="0"/>
      <w:marBottom w:val="0"/>
      <w:divBdr>
        <w:top w:val="none" w:sz="0" w:space="0" w:color="auto"/>
        <w:left w:val="none" w:sz="0" w:space="0" w:color="auto"/>
        <w:bottom w:val="none" w:sz="0" w:space="0" w:color="auto"/>
        <w:right w:val="none" w:sz="0" w:space="0" w:color="auto"/>
      </w:divBdr>
    </w:div>
    <w:div w:id="1364938544">
      <w:bodyDiv w:val="1"/>
      <w:marLeft w:val="0"/>
      <w:marRight w:val="0"/>
      <w:marTop w:val="0"/>
      <w:marBottom w:val="0"/>
      <w:divBdr>
        <w:top w:val="none" w:sz="0" w:space="0" w:color="auto"/>
        <w:left w:val="none" w:sz="0" w:space="0" w:color="auto"/>
        <w:bottom w:val="none" w:sz="0" w:space="0" w:color="auto"/>
        <w:right w:val="none" w:sz="0" w:space="0" w:color="auto"/>
      </w:divBdr>
    </w:div>
    <w:div w:id="1365057983">
      <w:bodyDiv w:val="1"/>
      <w:marLeft w:val="0"/>
      <w:marRight w:val="0"/>
      <w:marTop w:val="0"/>
      <w:marBottom w:val="0"/>
      <w:divBdr>
        <w:top w:val="none" w:sz="0" w:space="0" w:color="auto"/>
        <w:left w:val="none" w:sz="0" w:space="0" w:color="auto"/>
        <w:bottom w:val="none" w:sz="0" w:space="0" w:color="auto"/>
        <w:right w:val="none" w:sz="0" w:space="0" w:color="auto"/>
      </w:divBdr>
    </w:div>
    <w:div w:id="1365132163">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5205041">
      <w:bodyDiv w:val="1"/>
      <w:marLeft w:val="0"/>
      <w:marRight w:val="0"/>
      <w:marTop w:val="0"/>
      <w:marBottom w:val="0"/>
      <w:divBdr>
        <w:top w:val="none" w:sz="0" w:space="0" w:color="auto"/>
        <w:left w:val="none" w:sz="0" w:space="0" w:color="auto"/>
        <w:bottom w:val="none" w:sz="0" w:space="0" w:color="auto"/>
        <w:right w:val="none" w:sz="0" w:space="0" w:color="auto"/>
      </w:divBdr>
    </w:div>
    <w:div w:id="1365516867">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66491435">
      <w:bodyDiv w:val="1"/>
      <w:marLeft w:val="0"/>
      <w:marRight w:val="0"/>
      <w:marTop w:val="0"/>
      <w:marBottom w:val="0"/>
      <w:divBdr>
        <w:top w:val="none" w:sz="0" w:space="0" w:color="auto"/>
        <w:left w:val="none" w:sz="0" w:space="0" w:color="auto"/>
        <w:bottom w:val="none" w:sz="0" w:space="0" w:color="auto"/>
        <w:right w:val="none" w:sz="0" w:space="0" w:color="auto"/>
      </w:divBdr>
    </w:div>
    <w:div w:id="1366753997">
      <w:bodyDiv w:val="1"/>
      <w:marLeft w:val="0"/>
      <w:marRight w:val="0"/>
      <w:marTop w:val="0"/>
      <w:marBottom w:val="0"/>
      <w:divBdr>
        <w:top w:val="none" w:sz="0" w:space="0" w:color="auto"/>
        <w:left w:val="none" w:sz="0" w:space="0" w:color="auto"/>
        <w:bottom w:val="none" w:sz="0" w:space="0" w:color="auto"/>
        <w:right w:val="none" w:sz="0" w:space="0" w:color="auto"/>
      </w:divBdr>
    </w:div>
    <w:div w:id="1367173378">
      <w:bodyDiv w:val="1"/>
      <w:marLeft w:val="0"/>
      <w:marRight w:val="0"/>
      <w:marTop w:val="0"/>
      <w:marBottom w:val="0"/>
      <w:divBdr>
        <w:top w:val="none" w:sz="0" w:space="0" w:color="auto"/>
        <w:left w:val="none" w:sz="0" w:space="0" w:color="auto"/>
        <w:bottom w:val="none" w:sz="0" w:space="0" w:color="auto"/>
        <w:right w:val="none" w:sz="0" w:space="0" w:color="auto"/>
      </w:divBdr>
    </w:div>
    <w:div w:id="1367482526">
      <w:bodyDiv w:val="1"/>
      <w:marLeft w:val="0"/>
      <w:marRight w:val="0"/>
      <w:marTop w:val="0"/>
      <w:marBottom w:val="0"/>
      <w:divBdr>
        <w:top w:val="none" w:sz="0" w:space="0" w:color="auto"/>
        <w:left w:val="none" w:sz="0" w:space="0" w:color="auto"/>
        <w:bottom w:val="none" w:sz="0" w:space="0" w:color="auto"/>
        <w:right w:val="none" w:sz="0" w:space="0" w:color="auto"/>
      </w:divBdr>
    </w:div>
    <w:div w:id="1367566417">
      <w:bodyDiv w:val="1"/>
      <w:marLeft w:val="0"/>
      <w:marRight w:val="0"/>
      <w:marTop w:val="0"/>
      <w:marBottom w:val="0"/>
      <w:divBdr>
        <w:top w:val="none" w:sz="0" w:space="0" w:color="auto"/>
        <w:left w:val="none" w:sz="0" w:space="0" w:color="auto"/>
        <w:bottom w:val="none" w:sz="0" w:space="0" w:color="auto"/>
        <w:right w:val="none" w:sz="0" w:space="0" w:color="auto"/>
      </w:divBdr>
    </w:div>
    <w:div w:id="1367831257">
      <w:bodyDiv w:val="1"/>
      <w:marLeft w:val="0"/>
      <w:marRight w:val="0"/>
      <w:marTop w:val="0"/>
      <w:marBottom w:val="0"/>
      <w:divBdr>
        <w:top w:val="none" w:sz="0" w:space="0" w:color="auto"/>
        <w:left w:val="none" w:sz="0" w:space="0" w:color="auto"/>
        <w:bottom w:val="none" w:sz="0" w:space="0" w:color="auto"/>
        <w:right w:val="none" w:sz="0" w:space="0" w:color="auto"/>
      </w:divBdr>
    </w:div>
    <w:div w:id="1368022082">
      <w:bodyDiv w:val="1"/>
      <w:marLeft w:val="0"/>
      <w:marRight w:val="0"/>
      <w:marTop w:val="0"/>
      <w:marBottom w:val="0"/>
      <w:divBdr>
        <w:top w:val="none" w:sz="0" w:space="0" w:color="auto"/>
        <w:left w:val="none" w:sz="0" w:space="0" w:color="auto"/>
        <w:bottom w:val="none" w:sz="0" w:space="0" w:color="auto"/>
        <w:right w:val="none" w:sz="0" w:space="0" w:color="auto"/>
      </w:divBdr>
    </w:div>
    <w:div w:id="1368028308">
      <w:bodyDiv w:val="1"/>
      <w:marLeft w:val="0"/>
      <w:marRight w:val="0"/>
      <w:marTop w:val="0"/>
      <w:marBottom w:val="0"/>
      <w:divBdr>
        <w:top w:val="none" w:sz="0" w:space="0" w:color="auto"/>
        <w:left w:val="none" w:sz="0" w:space="0" w:color="auto"/>
        <w:bottom w:val="none" w:sz="0" w:space="0" w:color="auto"/>
        <w:right w:val="none" w:sz="0" w:space="0" w:color="auto"/>
      </w:divBdr>
    </w:div>
    <w:div w:id="1368219877">
      <w:bodyDiv w:val="1"/>
      <w:marLeft w:val="0"/>
      <w:marRight w:val="0"/>
      <w:marTop w:val="0"/>
      <w:marBottom w:val="0"/>
      <w:divBdr>
        <w:top w:val="none" w:sz="0" w:space="0" w:color="auto"/>
        <w:left w:val="none" w:sz="0" w:space="0" w:color="auto"/>
        <w:bottom w:val="none" w:sz="0" w:space="0" w:color="auto"/>
        <w:right w:val="none" w:sz="0" w:space="0" w:color="auto"/>
      </w:divBdr>
    </w:div>
    <w:div w:id="1368263182">
      <w:bodyDiv w:val="1"/>
      <w:marLeft w:val="0"/>
      <w:marRight w:val="0"/>
      <w:marTop w:val="0"/>
      <w:marBottom w:val="0"/>
      <w:divBdr>
        <w:top w:val="none" w:sz="0" w:space="0" w:color="auto"/>
        <w:left w:val="none" w:sz="0" w:space="0" w:color="auto"/>
        <w:bottom w:val="none" w:sz="0" w:space="0" w:color="auto"/>
        <w:right w:val="none" w:sz="0" w:space="0" w:color="auto"/>
      </w:divBdr>
    </w:div>
    <w:div w:id="1368677290">
      <w:bodyDiv w:val="1"/>
      <w:marLeft w:val="0"/>
      <w:marRight w:val="0"/>
      <w:marTop w:val="0"/>
      <w:marBottom w:val="0"/>
      <w:divBdr>
        <w:top w:val="none" w:sz="0" w:space="0" w:color="auto"/>
        <w:left w:val="none" w:sz="0" w:space="0" w:color="auto"/>
        <w:bottom w:val="none" w:sz="0" w:space="0" w:color="auto"/>
        <w:right w:val="none" w:sz="0" w:space="0" w:color="auto"/>
      </w:divBdr>
    </w:div>
    <w:div w:id="1368800865">
      <w:bodyDiv w:val="1"/>
      <w:marLeft w:val="0"/>
      <w:marRight w:val="0"/>
      <w:marTop w:val="0"/>
      <w:marBottom w:val="0"/>
      <w:divBdr>
        <w:top w:val="none" w:sz="0" w:space="0" w:color="auto"/>
        <w:left w:val="none" w:sz="0" w:space="0" w:color="auto"/>
        <w:bottom w:val="none" w:sz="0" w:space="0" w:color="auto"/>
        <w:right w:val="none" w:sz="0" w:space="0" w:color="auto"/>
      </w:divBdr>
    </w:div>
    <w:div w:id="1369916313">
      <w:bodyDiv w:val="1"/>
      <w:marLeft w:val="0"/>
      <w:marRight w:val="0"/>
      <w:marTop w:val="0"/>
      <w:marBottom w:val="0"/>
      <w:divBdr>
        <w:top w:val="none" w:sz="0" w:space="0" w:color="auto"/>
        <w:left w:val="none" w:sz="0" w:space="0" w:color="auto"/>
        <w:bottom w:val="none" w:sz="0" w:space="0" w:color="auto"/>
        <w:right w:val="none" w:sz="0" w:space="0" w:color="auto"/>
      </w:divBdr>
    </w:div>
    <w:div w:id="1370450048">
      <w:bodyDiv w:val="1"/>
      <w:marLeft w:val="0"/>
      <w:marRight w:val="0"/>
      <w:marTop w:val="0"/>
      <w:marBottom w:val="0"/>
      <w:divBdr>
        <w:top w:val="none" w:sz="0" w:space="0" w:color="auto"/>
        <w:left w:val="none" w:sz="0" w:space="0" w:color="auto"/>
        <w:bottom w:val="none" w:sz="0" w:space="0" w:color="auto"/>
        <w:right w:val="none" w:sz="0" w:space="0" w:color="auto"/>
      </w:divBdr>
    </w:div>
    <w:div w:id="1371102306">
      <w:bodyDiv w:val="1"/>
      <w:marLeft w:val="0"/>
      <w:marRight w:val="0"/>
      <w:marTop w:val="0"/>
      <w:marBottom w:val="0"/>
      <w:divBdr>
        <w:top w:val="none" w:sz="0" w:space="0" w:color="auto"/>
        <w:left w:val="none" w:sz="0" w:space="0" w:color="auto"/>
        <w:bottom w:val="none" w:sz="0" w:space="0" w:color="auto"/>
        <w:right w:val="none" w:sz="0" w:space="0" w:color="auto"/>
      </w:divBdr>
    </w:div>
    <w:div w:id="1371613049">
      <w:bodyDiv w:val="1"/>
      <w:marLeft w:val="0"/>
      <w:marRight w:val="0"/>
      <w:marTop w:val="0"/>
      <w:marBottom w:val="0"/>
      <w:divBdr>
        <w:top w:val="none" w:sz="0" w:space="0" w:color="auto"/>
        <w:left w:val="none" w:sz="0" w:space="0" w:color="auto"/>
        <w:bottom w:val="none" w:sz="0" w:space="0" w:color="auto"/>
        <w:right w:val="none" w:sz="0" w:space="0" w:color="auto"/>
      </w:divBdr>
    </w:div>
    <w:div w:id="1371687846">
      <w:bodyDiv w:val="1"/>
      <w:marLeft w:val="0"/>
      <w:marRight w:val="0"/>
      <w:marTop w:val="0"/>
      <w:marBottom w:val="0"/>
      <w:divBdr>
        <w:top w:val="none" w:sz="0" w:space="0" w:color="auto"/>
        <w:left w:val="none" w:sz="0" w:space="0" w:color="auto"/>
        <w:bottom w:val="none" w:sz="0" w:space="0" w:color="auto"/>
        <w:right w:val="none" w:sz="0" w:space="0" w:color="auto"/>
      </w:divBdr>
    </w:div>
    <w:div w:id="1371759607">
      <w:bodyDiv w:val="1"/>
      <w:marLeft w:val="0"/>
      <w:marRight w:val="0"/>
      <w:marTop w:val="0"/>
      <w:marBottom w:val="0"/>
      <w:divBdr>
        <w:top w:val="none" w:sz="0" w:space="0" w:color="auto"/>
        <w:left w:val="none" w:sz="0" w:space="0" w:color="auto"/>
        <w:bottom w:val="none" w:sz="0" w:space="0" w:color="auto"/>
        <w:right w:val="none" w:sz="0" w:space="0" w:color="auto"/>
      </w:divBdr>
    </w:div>
    <w:div w:id="1371878093">
      <w:bodyDiv w:val="1"/>
      <w:marLeft w:val="0"/>
      <w:marRight w:val="0"/>
      <w:marTop w:val="0"/>
      <w:marBottom w:val="0"/>
      <w:divBdr>
        <w:top w:val="none" w:sz="0" w:space="0" w:color="auto"/>
        <w:left w:val="none" w:sz="0" w:space="0" w:color="auto"/>
        <w:bottom w:val="none" w:sz="0" w:space="0" w:color="auto"/>
        <w:right w:val="none" w:sz="0" w:space="0" w:color="auto"/>
      </w:divBdr>
    </w:div>
    <w:div w:id="1371998745">
      <w:bodyDiv w:val="1"/>
      <w:marLeft w:val="0"/>
      <w:marRight w:val="0"/>
      <w:marTop w:val="0"/>
      <w:marBottom w:val="0"/>
      <w:divBdr>
        <w:top w:val="none" w:sz="0" w:space="0" w:color="auto"/>
        <w:left w:val="none" w:sz="0" w:space="0" w:color="auto"/>
        <w:bottom w:val="none" w:sz="0" w:space="0" w:color="auto"/>
        <w:right w:val="none" w:sz="0" w:space="0" w:color="auto"/>
      </w:divBdr>
    </w:div>
    <w:div w:id="1372194218">
      <w:bodyDiv w:val="1"/>
      <w:marLeft w:val="0"/>
      <w:marRight w:val="0"/>
      <w:marTop w:val="0"/>
      <w:marBottom w:val="0"/>
      <w:divBdr>
        <w:top w:val="none" w:sz="0" w:space="0" w:color="auto"/>
        <w:left w:val="none" w:sz="0" w:space="0" w:color="auto"/>
        <w:bottom w:val="none" w:sz="0" w:space="0" w:color="auto"/>
        <w:right w:val="none" w:sz="0" w:space="0" w:color="auto"/>
      </w:divBdr>
    </w:div>
    <w:div w:id="1373266200">
      <w:bodyDiv w:val="1"/>
      <w:marLeft w:val="0"/>
      <w:marRight w:val="0"/>
      <w:marTop w:val="0"/>
      <w:marBottom w:val="0"/>
      <w:divBdr>
        <w:top w:val="none" w:sz="0" w:space="0" w:color="auto"/>
        <w:left w:val="none" w:sz="0" w:space="0" w:color="auto"/>
        <w:bottom w:val="none" w:sz="0" w:space="0" w:color="auto"/>
        <w:right w:val="none" w:sz="0" w:space="0" w:color="auto"/>
      </w:divBdr>
    </w:div>
    <w:div w:id="1373458456">
      <w:bodyDiv w:val="1"/>
      <w:marLeft w:val="0"/>
      <w:marRight w:val="0"/>
      <w:marTop w:val="0"/>
      <w:marBottom w:val="0"/>
      <w:divBdr>
        <w:top w:val="none" w:sz="0" w:space="0" w:color="auto"/>
        <w:left w:val="none" w:sz="0" w:space="0" w:color="auto"/>
        <w:bottom w:val="none" w:sz="0" w:space="0" w:color="auto"/>
        <w:right w:val="none" w:sz="0" w:space="0" w:color="auto"/>
      </w:divBdr>
    </w:div>
    <w:div w:id="1373459373">
      <w:bodyDiv w:val="1"/>
      <w:marLeft w:val="0"/>
      <w:marRight w:val="0"/>
      <w:marTop w:val="0"/>
      <w:marBottom w:val="0"/>
      <w:divBdr>
        <w:top w:val="none" w:sz="0" w:space="0" w:color="auto"/>
        <w:left w:val="none" w:sz="0" w:space="0" w:color="auto"/>
        <w:bottom w:val="none" w:sz="0" w:space="0" w:color="auto"/>
        <w:right w:val="none" w:sz="0" w:space="0" w:color="auto"/>
      </w:divBdr>
    </w:div>
    <w:div w:id="1373462334">
      <w:bodyDiv w:val="1"/>
      <w:marLeft w:val="0"/>
      <w:marRight w:val="0"/>
      <w:marTop w:val="0"/>
      <w:marBottom w:val="0"/>
      <w:divBdr>
        <w:top w:val="none" w:sz="0" w:space="0" w:color="auto"/>
        <w:left w:val="none" w:sz="0" w:space="0" w:color="auto"/>
        <w:bottom w:val="none" w:sz="0" w:space="0" w:color="auto"/>
        <w:right w:val="none" w:sz="0" w:space="0" w:color="auto"/>
      </w:divBdr>
    </w:div>
    <w:div w:id="1373766675">
      <w:bodyDiv w:val="1"/>
      <w:marLeft w:val="0"/>
      <w:marRight w:val="0"/>
      <w:marTop w:val="0"/>
      <w:marBottom w:val="0"/>
      <w:divBdr>
        <w:top w:val="none" w:sz="0" w:space="0" w:color="auto"/>
        <w:left w:val="none" w:sz="0" w:space="0" w:color="auto"/>
        <w:bottom w:val="none" w:sz="0" w:space="0" w:color="auto"/>
        <w:right w:val="none" w:sz="0" w:space="0" w:color="auto"/>
      </w:divBdr>
    </w:div>
    <w:div w:id="1373921977">
      <w:bodyDiv w:val="1"/>
      <w:marLeft w:val="0"/>
      <w:marRight w:val="0"/>
      <w:marTop w:val="0"/>
      <w:marBottom w:val="0"/>
      <w:divBdr>
        <w:top w:val="none" w:sz="0" w:space="0" w:color="auto"/>
        <w:left w:val="none" w:sz="0" w:space="0" w:color="auto"/>
        <w:bottom w:val="none" w:sz="0" w:space="0" w:color="auto"/>
        <w:right w:val="none" w:sz="0" w:space="0" w:color="auto"/>
      </w:divBdr>
    </w:div>
    <w:div w:id="1374233333">
      <w:bodyDiv w:val="1"/>
      <w:marLeft w:val="0"/>
      <w:marRight w:val="0"/>
      <w:marTop w:val="0"/>
      <w:marBottom w:val="0"/>
      <w:divBdr>
        <w:top w:val="none" w:sz="0" w:space="0" w:color="auto"/>
        <w:left w:val="none" w:sz="0" w:space="0" w:color="auto"/>
        <w:bottom w:val="none" w:sz="0" w:space="0" w:color="auto"/>
        <w:right w:val="none" w:sz="0" w:space="0" w:color="auto"/>
      </w:divBdr>
    </w:div>
    <w:div w:id="1374312061">
      <w:bodyDiv w:val="1"/>
      <w:marLeft w:val="0"/>
      <w:marRight w:val="0"/>
      <w:marTop w:val="0"/>
      <w:marBottom w:val="0"/>
      <w:divBdr>
        <w:top w:val="none" w:sz="0" w:space="0" w:color="auto"/>
        <w:left w:val="none" w:sz="0" w:space="0" w:color="auto"/>
        <w:bottom w:val="none" w:sz="0" w:space="0" w:color="auto"/>
        <w:right w:val="none" w:sz="0" w:space="0" w:color="auto"/>
      </w:divBdr>
    </w:div>
    <w:div w:id="1374571843">
      <w:bodyDiv w:val="1"/>
      <w:marLeft w:val="0"/>
      <w:marRight w:val="0"/>
      <w:marTop w:val="0"/>
      <w:marBottom w:val="0"/>
      <w:divBdr>
        <w:top w:val="none" w:sz="0" w:space="0" w:color="auto"/>
        <w:left w:val="none" w:sz="0" w:space="0" w:color="auto"/>
        <w:bottom w:val="none" w:sz="0" w:space="0" w:color="auto"/>
        <w:right w:val="none" w:sz="0" w:space="0" w:color="auto"/>
      </w:divBdr>
    </w:div>
    <w:div w:id="1374692422">
      <w:bodyDiv w:val="1"/>
      <w:marLeft w:val="0"/>
      <w:marRight w:val="0"/>
      <w:marTop w:val="0"/>
      <w:marBottom w:val="0"/>
      <w:divBdr>
        <w:top w:val="none" w:sz="0" w:space="0" w:color="auto"/>
        <w:left w:val="none" w:sz="0" w:space="0" w:color="auto"/>
        <w:bottom w:val="none" w:sz="0" w:space="0" w:color="auto"/>
        <w:right w:val="none" w:sz="0" w:space="0" w:color="auto"/>
      </w:divBdr>
    </w:div>
    <w:div w:id="1375277147">
      <w:bodyDiv w:val="1"/>
      <w:marLeft w:val="0"/>
      <w:marRight w:val="0"/>
      <w:marTop w:val="0"/>
      <w:marBottom w:val="0"/>
      <w:divBdr>
        <w:top w:val="none" w:sz="0" w:space="0" w:color="auto"/>
        <w:left w:val="none" w:sz="0" w:space="0" w:color="auto"/>
        <w:bottom w:val="none" w:sz="0" w:space="0" w:color="auto"/>
        <w:right w:val="none" w:sz="0" w:space="0" w:color="auto"/>
      </w:divBdr>
    </w:div>
    <w:div w:id="1376656481">
      <w:bodyDiv w:val="1"/>
      <w:marLeft w:val="0"/>
      <w:marRight w:val="0"/>
      <w:marTop w:val="0"/>
      <w:marBottom w:val="0"/>
      <w:divBdr>
        <w:top w:val="none" w:sz="0" w:space="0" w:color="auto"/>
        <w:left w:val="none" w:sz="0" w:space="0" w:color="auto"/>
        <w:bottom w:val="none" w:sz="0" w:space="0" w:color="auto"/>
        <w:right w:val="none" w:sz="0" w:space="0" w:color="auto"/>
      </w:divBdr>
    </w:div>
    <w:div w:id="1376931928">
      <w:bodyDiv w:val="1"/>
      <w:marLeft w:val="0"/>
      <w:marRight w:val="0"/>
      <w:marTop w:val="0"/>
      <w:marBottom w:val="0"/>
      <w:divBdr>
        <w:top w:val="none" w:sz="0" w:space="0" w:color="auto"/>
        <w:left w:val="none" w:sz="0" w:space="0" w:color="auto"/>
        <w:bottom w:val="none" w:sz="0" w:space="0" w:color="auto"/>
        <w:right w:val="none" w:sz="0" w:space="0" w:color="auto"/>
      </w:divBdr>
    </w:div>
    <w:div w:id="1377194382">
      <w:bodyDiv w:val="1"/>
      <w:marLeft w:val="0"/>
      <w:marRight w:val="0"/>
      <w:marTop w:val="0"/>
      <w:marBottom w:val="0"/>
      <w:divBdr>
        <w:top w:val="none" w:sz="0" w:space="0" w:color="auto"/>
        <w:left w:val="none" w:sz="0" w:space="0" w:color="auto"/>
        <w:bottom w:val="none" w:sz="0" w:space="0" w:color="auto"/>
        <w:right w:val="none" w:sz="0" w:space="0" w:color="auto"/>
      </w:divBdr>
    </w:div>
    <w:div w:id="1377699793">
      <w:bodyDiv w:val="1"/>
      <w:marLeft w:val="0"/>
      <w:marRight w:val="0"/>
      <w:marTop w:val="0"/>
      <w:marBottom w:val="0"/>
      <w:divBdr>
        <w:top w:val="none" w:sz="0" w:space="0" w:color="auto"/>
        <w:left w:val="none" w:sz="0" w:space="0" w:color="auto"/>
        <w:bottom w:val="none" w:sz="0" w:space="0" w:color="auto"/>
        <w:right w:val="none" w:sz="0" w:space="0" w:color="auto"/>
      </w:divBdr>
    </w:div>
    <w:div w:id="1377781110">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78241866">
      <w:bodyDiv w:val="1"/>
      <w:marLeft w:val="0"/>
      <w:marRight w:val="0"/>
      <w:marTop w:val="0"/>
      <w:marBottom w:val="0"/>
      <w:divBdr>
        <w:top w:val="none" w:sz="0" w:space="0" w:color="auto"/>
        <w:left w:val="none" w:sz="0" w:space="0" w:color="auto"/>
        <w:bottom w:val="none" w:sz="0" w:space="0" w:color="auto"/>
        <w:right w:val="none" w:sz="0" w:space="0" w:color="auto"/>
      </w:divBdr>
    </w:div>
    <w:div w:id="1378581915">
      <w:bodyDiv w:val="1"/>
      <w:marLeft w:val="0"/>
      <w:marRight w:val="0"/>
      <w:marTop w:val="0"/>
      <w:marBottom w:val="0"/>
      <w:divBdr>
        <w:top w:val="none" w:sz="0" w:space="0" w:color="auto"/>
        <w:left w:val="none" w:sz="0" w:space="0" w:color="auto"/>
        <w:bottom w:val="none" w:sz="0" w:space="0" w:color="auto"/>
        <w:right w:val="none" w:sz="0" w:space="0" w:color="auto"/>
      </w:divBdr>
    </w:div>
    <w:div w:id="1378705640">
      <w:bodyDiv w:val="1"/>
      <w:marLeft w:val="0"/>
      <w:marRight w:val="0"/>
      <w:marTop w:val="0"/>
      <w:marBottom w:val="0"/>
      <w:divBdr>
        <w:top w:val="none" w:sz="0" w:space="0" w:color="auto"/>
        <w:left w:val="none" w:sz="0" w:space="0" w:color="auto"/>
        <w:bottom w:val="none" w:sz="0" w:space="0" w:color="auto"/>
        <w:right w:val="none" w:sz="0" w:space="0" w:color="auto"/>
      </w:divBdr>
    </w:div>
    <w:div w:id="1379356638">
      <w:bodyDiv w:val="1"/>
      <w:marLeft w:val="0"/>
      <w:marRight w:val="0"/>
      <w:marTop w:val="0"/>
      <w:marBottom w:val="0"/>
      <w:divBdr>
        <w:top w:val="none" w:sz="0" w:space="0" w:color="auto"/>
        <w:left w:val="none" w:sz="0" w:space="0" w:color="auto"/>
        <w:bottom w:val="none" w:sz="0" w:space="0" w:color="auto"/>
        <w:right w:val="none" w:sz="0" w:space="0" w:color="auto"/>
      </w:divBdr>
    </w:div>
    <w:div w:id="1379935083">
      <w:bodyDiv w:val="1"/>
      <w:marLeft w:val="0"/>
      <w:marRight w:val="0"/>
      <w:marTop w:val="0"/>
      <w:marBottom w:val="0"/>
      <w:divBdr>
        <w:top w:val="none" w:sz="0" w:space="0" w:color="auto"/>
        <w:left w:val="none" w:sz="0" w:space="0" w:color="auto"/>
        <w:bottom w:val="none" w:sz="0" w:space="0" w:color="auto"/>
        <w:right w:val="none" w:sz="0" w:space="0" w:color="auto"/>
      </w:divBdr>
    </w:div>
    <w:div w:id="1379939162">
      <w:bodyDiv w:val="1"/>
      <w:marLeft w:val="0"/>
      <w:marRight w:val="0"/>
      <w:marTop w:val="0"/>
      <w:marBottom w:val="0"/>
      <w:divBdr>
        <w:top w:val="none" w:sz="0" w:space="0" w:color="auto"/>
        <w:left w:val="none" w:sz="0" w:space="0" w:color="auto"/>
        <w:bottom w:val="none" w:sz="0" w:space="0" w:color="auto"/>
        <w:right w:val="none" w:sz="0" w:space="0" w:color="auto"/>
      </w:divBdr>
    </w:div>
    <w:div w:id="1380089288">
      <w:bodyDiv w:val="1"/>
      <w:marLeft w:val="0"/>
      <w:marRight w:val="0"/>
      <w:marTop w:val="0"/>
      <w:marBottom w:val="0"/>
      <w:divBdr>
        <w:top w:val="none" w:sz="0" w:space="0" w:color="auto"/>
        <w:left w:val="none" w:sz="0" w:space="0" w:color="auto"/>
        <w:bottom w:val="none" w:sz="0" w:space="0" w:color="auto"/>
        <w:right w:val="none" w:sz="0" w:space="0" w:color="auto"/>
      </w:divBdr>
    </w:div>
    <w:div w:id="1380667968">
      <w:bodyDiv w:val="1"/>
      <w:marLeft w:val="0"/>
      <w:marRight w:val="0"/>
      <w:marTop w:val="0"/>
      <w:marBottom w:val="0"/>
      <w:divBdr>
        <w:top w:val="none" w:sz="0" w:space="0" w:color="auto"/>
        <w:left w:val="none" w:sz="0" w:space="0" w:color="auto"/>
        <w:bottom w:val="none" w:sz="0" w:space="0" w:color="auto"/>
        <w:right w:val="none" w:sz="0" w:space="0" w:color="auto"/>
      </w:divBdr>
    </w:div>
    <w:div w:id="1380741525">
      <w:bodyDiv w:val="1"/>
      <w:marLeft w:val="0"/>
      <w:marRight w:val="0"/>
      <w:marTop w:val="0"/>
      <w:marBottom w:val="0"/>
      <w:divBdr>
        <w:top w:val="none" w:sz="0" w:space="0" w:color="auto"/>
        <w:left w:val="none" w:sz="0" w:space="0" w:color="auto"/>
        <w:bottom w:val="none" w:sz="0" w:space="0" w:color="auto"/>
        <w:right w:val="none" w:sz="0" w:space="0" w:color="auto"/>
      </w:divBdr>
    </w:div>
    <w:div w:id="1381050524">
      <w:bodyDiv w:val="1"/>
      <w:marLeft w:val="0"/>
      <w:marRight w:val="0"/>
      <w:marTop w:val="0"/>
      <w:marBottom w:val="0"/>
      <w:divBdr>
        <w:top w:val="none" w:sz="0" w:space="0" w:color="auto"/>
        <w:left w:val="none" w:sz="0" w:space="0" w:color="auto"/>
        <w:bottom w:val="none" w:sz="0" w:space="0" w:color="auto"/>
        <w:right w:val="none" w:sz="0" w:space="0" w:color="auto"/>
      </w:divBdr>
    </w:div>
    <w:div w:id="1381050690">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130636">
      <w:bodyDiv w:val="1"/>
      <w:marLeft w:val="0"/>
      <w:marRight w:val="0"/>
      <w:marTop w:val="0"/>
      <w:marBottom w:val="0"/>
      <w:divBdr>
        <w:top w:val="none" w:sz="0" w:space="0" w:color="auto"/>
        <w:left w:val="none" w:sz="0" w:space="0" w:color="auto"/>
        <w:bottom w:val="none" w:sz="0" w:space="0" w:color="auto"/>
        <w:right w:val="none" w:sz="0" w:space="0" w:color="auto"/>
      </w:divBdr>
    </w:div>
    <w:div w:id="1381592497">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2170849">
      <w:bodyDiv w:val="1"/>
      <w:marLeft w:val="0"/>
      <w:marRight w:val="0"/>
      <w:marTop w:val="0"/>
      <w:marBottom w:val="0"/>
      <w:divBdr>
        <w:top w:val="none" w:sz="0" w:space="0" w:color="auto"/>
        <w:left w:val="none" w:sz="0" w:space="0" w:color="auto"/>
        <w:bottom w:val="none" w:sz="0" w:space="0" w:color="auto"/>
        <w:right w:val="none" w:sz="0" w:space="0" w:color="auto"/>
      </w:divBdr>
    </w:div>
    <w:div w:id="1382290360">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2367561">
      <w:bodyDiv w:val="1"/>
      <w:marLeft w:val="0"/>
      <w:marRight w:val="0"/>
      <w:marTop w:val="0"/>
      <w:marBottom w:val="0"/>
      <w:divBdr>
        <w:top w:val="none" w:sz="0" w:space="0" w:color="auto"/>
        <w:left w:val="none" w:sz="0" w:space="0" w:color="auto"/>
        <w:bottom w:val="none" w:sz="0" w:space="0" w:color="auto"/>
        <w:right w:val="none" w:sz="0" w:space="0" w:color="auto"/>
      </w:divBdr>
    </w:div>
    <w:div w:id="138270891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83476612">
      <w:bodyDiv w:val="1"/>
      <w:marLeft w:val="0"/>
      <w:marRight w:val="0"/>
      <w:marTop w:val="0"/>
      <w:marBottom w:val="0"/>
      <w:divBdr>
        <w:top w:val="none" w:sz="0" w:space="0" w:color="auto"/>
        <w:left w:val="none" w:sz="0" w:space="0" w:color="auto"/>
        <w:bottom w:val="none" w:sz="0" w:space="0" w:color="auto"/>
        <w:right w:val="none" w:sz="0" w:space="0" w:color="auto"/>
      </w:divBdr>
    </w:div>
    <w:div w:id="1383479553">
      <w:bodyDiv w:val="1"/>
      <w:marLeft w:val="0"/>
      <w:marRight w:val="0"/>
      <w:marTop w:val="0"/>
      <w:marBottom w:val="0"/>
      <w:divBdr>
        <w:top w:val="none" w:sz="0" w:space="0" w:color="auto"/>
        <w:left w:val="none" w:sz="0" w:space="0" w:color="auto"/>
        <w:bottom w:val="none" w:sz="0" w:space="0" w:color="auto"/>
        <w:right w:val="none" w:sz="0" w:space="0" w:color="auto"/>
      </w:divBdr>
    </w:div>
    <w:div w:id="1383482764">
      <w:bodyDiv w:val="1"/>
      <w:marLeft w:val="0"/>
      <w:marRight w:val="0"/>
      <w:marTop w:val="0"/>
      <w:marBottom w:val="0"/>
      <w:divBdr>
        <w:top w:val="none" w:sz="0" w:space="0" w:color="auto"/>
        <w:left w:val="none" w:sz="0" w:space="0" w:color="auto"/>
        <w:bottom w:val="none" w:sz="0" w:space="0" w:color="auto"/>
        <w:right w:val="none" w:sz="0" w:space="0" w:color="auto"/>
      </w:divBdr>
    </w:div>
    <w:div w:id="1383484688">
      <w:bodyDiv w:val="1"/>
      <w:marLeft w:val="0"/>
      <w:marRight w:val="0"/>
      <w:marTop w:val="0"/>
      <w:marBottom w:val="0"/>
      <w:divBdr>
        <w:top w:val="none" w:sz="0" w:space="0" w:color="auto"/>
        <w:left w:val="none" w:sz="0" w:space="0" w:color="auto"/>
        <w:bottom w:val="none" w:sz="0" w:space="0" w:color="auto"/>
        <w:right w:val="none" w:sz="0" w:space="0" w:color="auto"/>
      </w:divBdr>
    </w:div>
    <w:div w:id="1383754299">
      <w:bodyDiv w:val="1"/>
      <w:marLeft w:val="0"/>
      <w:marRight w:val="0"/>
      <w:marTop w:val="0"/>
      <w:marBottom w:val="0"/>
      <w:divBdr>
        <w:top w:val="none" w:sz="0" w:space="0" w:color="auto"/>
        <w:left w:val="none" w:sz="0" w:space="0" w:color="auto"/>
        <w:bottom w:val="none" w:sz="0" w:space="0" w:color="auto"/>
        <w:right w:val="none" w:sz="0" w:space="0" w:color="auto"/>
      </w:divBdr>
    </w:div>
    <w:div w:id="1383939917">
      <w:bodyDiv w:val="1"/>
      <w:marLeft w:val="0"/>
      <w:marRight w:val="0"/>
      <w:marTop w:val="0"/>
      <w:marBottom w:val="0"/>
      <w:divBdr>
        <w:top w:val="none" w:sz="0" w:space="0" w:color="auto"/>
        <w:left w:val="none" w:sz="0" w:space="0" w:color="auto"/>
        <w:bottom w:val="none" w:sz="0" w:space="0" w:color="auto"/>
        <w:right w:val="none" w:sz="0" w:space="0" w:color="auto"/>
      </w:divBdr>
    </w:div>
    <w:div w:id="1383945711">
      <w:bodyDiv w:val="1"/>
      <w:marLeft w:val="0"/>
      <w:marRight w:val="0"/>
      <w:marTop w:val="0"/>
      <w:marBottom w:val="0"/>
      <w:divBdr>
        <w:top w:val="none" w:sz="0" w:space="0" w:color="auto"/>
        <w:left w:val="none" w:sz="0" w:space="0" w:color="auto"/>
        <w:bottom w:val="none" w:sz="0" w:space="0" w:color="auto"/>
        <w:right w:val="none" w:sz="0" w:space="0" w:color="auto"/>
      </w:divBdr>
    </w:div>
    <w:div w:id="1384060092">
      <w:bodyDiv w:val="1"/>
      <w:marLeft w:val="0"/>
      <w:marRight w:val="0"/>
      <w:marTop w:val="0"/>
      <w:marBottom w:val="0"/>
      <w:divBdr>
        <w:top w:val="none" w:sz="0" w:space="0" w:color="auto"/>
        <w:left w:val="none" w:sz="0" w:space="0" w:color="auto"/>
        <w:bottom w:val="none" w:sz="0" w:space="0" w:color="auto"/>
        <w:right w:val="none" w:sz="0" w:space="0" w:color="auto"/>
      </w:divBdr>
    </w:div>
    <w:div w:id="1384141410">
      <w:bodyDiv w:val="1"/>
      <w:marLeft w:val="0"/>
      <w:marRight w:val="0"/>
      <w:marTop w:val="0"/>
      <w:marBottom w:val="0"/>
      <w:divBdr>
        <w:top w:val="none" w:sz="0" w:space="0" w:color="auto"/>
        <w:left w:val="none" w:sz="0" w:space="0" w:color="auto"/>
        <w:bottom w:val="none" w:sz="0" w:space="0" w:color="auto"/>
        <w:right w:val="none" w:sz="0" w:space="0" w:color="auto"/>
      </w:divBdr>
    </w:div>
    <w:div w:id="1384720174">
      <w:bodyDiv w:val="1"/>
      <w:marLeft w:val="0"/>
      <w:marRight w:val="0"/>
      <w:marTop w:val="0"/>
      <w:marBottom w:val="0"/>
      <w:divBdr>
        <w:top w:val="none" w:sz="0" w:space="0" w:color="auto"/>
        <w:left w:val="none" w:sz="0" w:space="0" w:color="auto"/>
        <w:bottom w:val="none" w:sz="0" w:space="0" w:color="auto"/>
        <w:right w:val="none" w:sz="0" w:space="0" w:color="auto"/>
      </w:divBdr>
    </w:div>
    <w:div w:id="1384789146">
      <w:bodyDiv w:val="1"/>
      <w:marLeft w:val="0"/>
      <w:marRight w:val="0"/>
      <w:marTop w:val="0"/>
      <w:marBottom w:val="0"/>
      <w:divBdr>
        <w:top w:val="none" w:sz="0" w:space="0" w:color="auto"/>
        <w:left w:val="none" w:sz="0" w:space="0" w:color="auto"/>
        <w:bottom w:val="none" w:sz="0" w:space="0" w:color="auto"/>
        <w:right w:val="none" w:sz="0" w:space="0" w:color="auto"/>
      </w:divBdr>
    </w:div>
    <w:div w:id="1384939120">
      <w:bodyDiv w:val="1"/>
      <w:marLeft w:val="0"/>
      <w:marRight w:val="0"/>
      <w:marTop w:val="0"/>
      <w:marBottom w:val="0"/>
      <w:divBdr>
        <w:top w:val="none" w:sz="0" w:space="0" w:color="auto"/>
        <w:left w:val="none" w:sz="0" w:space="0" w:color="auto"/>
        <w:bottom w:val="none" w:sz="0" w:space="0" w:color="auto"/>
        <w:right w:val="none" w:sz="0" w:space="0" w:color="auto"/>
      </w:divBdr>
    </w:div>
    <w:div w:id="1385254398">
      <w:bodyDiv w:val="1"/>
      <w:marLeft w:val="0"/>
      <w:marRight w:val="0"/>
      <w:marTop w:val="0"/>
      <w:marBottom w:val="0"/>
      <w:divBdr>
        <w:top w:val="none" w:sz="0" w:space="0" w:color="auto"/>
        <w:left w:val="none" w:sz="0" w:space="0" w:color="auto"/>
        <w:bottom w:val="none" w:sz="0" w:space="0" w:color="auto"/>
        <w:right w:val="none" w:sz="0" w:space="0" w:color="auto"/>
      </w:divBdr>
    </w:div>
    <w:div w:id="1385449464">
      <w:bodyDiv w:val="1"/>
      <w:marLeft w:val="0"/>
      <w:marRight w:val="0"/>
      <w:marTop w:val="0"/>
      <w:marBottom w:val="0"/>
      <w:divBdr>
        <w:top w:val="none" w:sz="0" w:space="0" w:color="auto"/>
        <w:left w:val="none" w:sz="0" w:space="0" w:color="auto"/>
        <w:bottom w:val="none" w:sz="0" w:space="0" w:color="auto"/>
        <w:right w:val="none" w:sz="0" w:space="0" w:color="auto"/>
      </w:divBdr>
    </w:div>
    <w:div w:id="1385834243">
      <w:bodyDiv w:val="1"/>
      <w:marLeft w:val="0"/>
      <w:marRight w:val="0"/>
      <w:marTop w:val="0"/>
      <w:marBottom w:val="0"/>
      <w:divBdr>
        <w:top w:val="none" w:sz="0" w:space="0" w:color="auto"/>
        <w:left w:val="none" w:sz="0" w:space="0" w:color="auto"/>
        <w:bottom w:val="none" w:sz="0" w:space="0" w:color="auto"/>
        <w:right w:val="none" w:sz="0" w:space="0" w:color="auto"/>
      </w:divBdr>
    </w:div>
    <w:div w:id="1385835609">
      <w:bodyDiv w:val="1"/>
      <w:marLeft w:val="0"/>
      <w:marRight w:val="0"/>
      <w:marTop w:val="0"/>
      <w:marBottom w:val="0"/>
      <w:divBdr>
        <w:top w:val="none" w:sz="0" w:space="0" w:color="auto"/>
        <w:left w:val="none" w:sz="0" w:space="0" w:color="auto"/>
        <w:bottom w:val="none" w:sz="0" w:space="0" w:color="auto"/>
        <w:right w:val="none" w:sz="0" w:space="0" w:color="auto"/>
      </w:divBdr>
    </w:div>
    <w:div w:id="1385956457">
      <w:bodyDiv w:val="1"/>
      <w:marLeft w:val="0"/>
      <w:marRight w:val="0"/>
      <w:marTop w:val="0"/>
      <w:marBottom w:val="0"/>
      <w:divBdr>
        <w:top w:val="none" w:sz="0" w:space="0" w:color="auto"/>
        <w:left w:val="none" w:sz="0" w:space="0" w:color="auto"/>
        <w:bottom w:val="none" w:sz="0" w:space="0" w:color="auto"/>
        <w:right w:val="none" w:sz="0" w:space="0" w:color="auto"/>
      </w:divBdr>
    </w:div>
    <w:div w:id="1386103336">
      <w:bodyDiv w:val="1"/>
      <w:marLeft w:val="0"/>
      <w:marRight w:val="0"/>
      <w:marTop w:val="0"/>
      <w:marBottom w:val="0"/>
      <w:divBdr>
        <w:top w:val="none" w:sz="0" w:space="0" w:color="auto"/>
        <w:left w:val="none" w:sz="0" w:space="0" w:color="auto"/>
        <w:bottom w:val="none" w:sz="0" w:space="0" w:color="auto"/>
        <w:right w:val="none" w:sz="0" w:space="0" w:color="auto"/>
      </w:divBdr>
    </w:div>
    <w:div w:id="1386415867">
      <w:bodyDiv w:val="1"/>
      <w:marLeft w:val="0"/>
      <w:marRight w:val="0"/>
      <w:marTop w:val="0"/>
      <w:marBottom w:val="0"/>
      <w:divBdr>
        <w:top w:val="none" w:sz="0" w:space="0" w:color="auto"/>
        <w:left w:val="none" w:sz="0" w:space="0" w:color="auto"/>
        <w:bottom w:val="none" w:sz="0" w:space="0" w:color="auto"/>
        <w:right w:val="none" w:sz="0" w:space="0" w:color="auto"/>
      </w:divBdr>
    </w:div>
    <w:div w:id="1386562664">
      <w:bodyDiv w:val="1"/>
      <w:marLeft w:val="0"/>
      <w:marRight w:val="0"/>
      <w:marTop w:val="0"/>
      <w:marBottom w:val="0"/>
      <w:divBdr>
        <w:top w:val="none" w:sz="0" w:space="0" w:color="auto"/>
        <w:left w:val="none" w:sz="0" w:space="0" w:color="auto"/>
        <w:bottom w:val="none" w:sz="0" w:space="0" w:color="auto"/>
        <w:right w:val="none" w:sz="0" w:space="0" w:color="auto"/>
      </w:divBdr>
    </w:div>
    <w:div w:id="1387070406">
      <w:bodyDiv w:val="1"/>
      <w:marLeft w:val="0"/>
      <w:marRight w:val="0"/>
      <w:marTop w:val="0"/>
      <w:marBottom w:val="0"/>
      <w:divBdr>
        <w:top w:val="none" w:sz="0" w:space="0" w:color="auto"/>
        <w:left w:val="none" w:sz="0" w:space="0" w:color="auto"/>
        <w:bottom w:val="none" w:sz="0" w:space="0" w:color="auto"/>
        <w:right w:val="none" w:sz="0" w:space="0" w:color="auto"/>
      </w:divBdr>
    </w:div>
    <w:div w:id="1387483941">
      <w:bodyDiv w:val="1"/>
      <w:marLeft w:val="0"/>
      <w:marRight w:val="0"/>
      <w:marTop w:val="0"/>
      <w:marBottom w:val="0"/>
      <w:divBdr>
        <w:top w:val="none" w:sz="0" w:space="0" w:color="auto"/>
        <w:left w:val="none" w:sz="0" w:space="0" w:color="auto"/>
        <w:bottom w:val="none" w:sz="0" w:space="0" w:color="auto"/>
        <w:right w:val="none" w:sz="0" w:space="0" w:color="auto"/>
      </w:divBdr>
    </w:div>
    <w:div w:id="1387945919">
      <w:bodyDiv w:val="1"/>
      <w:marLeft w:val="0"/>
      <w:marRight w:val="0"/>
      <w:marTop w:val="0"/>
      <w:marBottom w:val="0"/>
      <w:divBdr>
        <w:top w:val="none" w:sz="0" w:space="0" w:color="auto"/>
        <w:left w:val="none" w:sz="0" w:space="0" w:color="auto"/>
        <w:bottom w:val="none" w:sz="0" w:space="0" w:color="auto"/>
        <w:right w:val="none" w:sz="0" w:space="0" w:color="auto"/>
      </w:divBdr>
    </w:div>
    <w:div w:id="1387988447">
      <w:bodyDiv w:val="1"/>
      <w:marLeft w:val="0"/>
      <w:marRight w:val="0"/>
      <w:marTop w:val="0"/>
      <w:marBottom w:val="0"/>
      <w:divBdr>
        <w:top w:val="none" w:sz="0" w:space="0" w:color="auto"/>
        <w:left w:val="none" w:sz="0" w:space="0" w:color="auto"/>
        <w:bottom w:val="none" w:sz="0" w:space="0" w:color="auto"/>
        <w:right w:val="none" w:sz="0" w:space="0" w:color="auto"/>
      </w:divBdr>
    </w:div>
    <w:div w:id="1388064662">
      <w:bodyDiv w:val="1"/>
      <w:marLeft w:val="0"/>
      <w:marRight w:val="0"/>
      <w:marTop w:val="0"/>
      <w:marBottom w:val="0"/>
      <w:divBdr>
        <w:top w:val="none" w:sz="0" w:space="0" w:color="auto"/>
        <w:left w:val="none" w:sz="0" w:space="0" w:color="auto"/>
        <w:bottom w:val="none" w:sz="0" w:space="0" w:color="auto"/>
        <w:right w:val="none" w:sz="0" w:space="0" w:color="auto"/>
      </w:divBdr>
    </w:div>
    <w:div w:id="1388069808">
      <w:bodyDiv w:val="1"/>
      <w:marLeft w:val="0"/>
      <w:marRight w:val="0"/>
      <w:marTop w:val="0"/>
      <w:marBottom w:val="0"/>
      <w:divBdr>
        <w:top w:val="none" w:sz="0" w:space="0" w:color="auto"/>
        <w:left w:val="none" w:sz="0" w:space="0" w:color="auto"/>
        <w:bottom w:val="none" w:sz="0" w:space="0" w:color="auto"/>
        <w:right w:val="none" w:sz="0" w:space="0" w:color="auto"/>
      </w:divBdr>
    </w:div>
    <w:div w:id="1388189802">
      <w:bodyDiv w:val="1"/>
      <w:marLeft w:val="0"/>
      <w:marRight w:val="0"/>
      <w:marTop w:val="0"/>
      <w:marBottom w:val="0"/>
      <w:divBdr>
        <w:top w:val="none" w:sz="0" w:space="0" w:color="auto"/>
        <w:left w:val="none" w:sz="0" w:space="0" w:color="auto"/>
        <w:bottom w:val="none" w:sz="0" w:space="0" w:color="auto"/>
        <w:right w:val="none" w:sz="0" w:space="0" w:color="auto"/>
      </w:divBdr>
    </w:div>
    <w:div w:id="1388215232">
      <w:bodyDiv w:val="1"/>
      <w:marLeft w:val="0"/>
      <w:marRight w:val="0"/>
      <w:marTop w:val="0"/>
      <w:marBottom w:val="0"/>
      <w:divBdr>
        <w:top w:val="none" w:sz="0" w:space="0" w:color="auto"/>
        <w:left w:val="none" w:sz="0" w:space="0" w:color="auto"/>
        <w:bottom w:val="none" w:sz="0" w:space="0" w:color="auto"/>
        <w:right w:val="none" w:sz="0" w:space="0" w:color="auto"/>
      </w:divBdr>
    </w:div>
    <w:div w:id="1388644395">
      <w:bodyDiv w:val="1"/>
      <w:marLeft w:val="0"/>
      <w:marRight w:val="0"/>
      <w:marTop w:val="0"/>
      <w:marBottom w:val="0"/>
      <w:divBdr>
        <w:top w:val="none" w:sz="0" w:space="0" w:color="auto"/>
        <w:left w:val="none" w:sz="0" w:space="0" w:color="auto"/>
        <w:bottom w:val="none" w:sz="0" w:space="0" w:color="auto"/>
        <w:right w:val="none" w:sz="0" w:space="0" w:color="auto"/>
      </w:divBdr>
    </w:div>
    <w:div w:id="1388797312">
      <w:bodyDiv w:val="1"/>
      <w:marLeft w:val="0"/>
      <w:marRight w:val="0"/>
      <w:marTop w:val="0"/>
      <w:marBottom w:val="0"/>
      <w:divBdr>
        <w:top w:val="none" w:sz="0" w:space="0" w:color="auto"/>
        <w:left w:val="none" w:sz="0" w:space="0" w:color="auto"/>
        <w:bottom w:val="none" w:sz="0" w:space="0" w:color="auto"/>
        <w:right w:val="none" w:sz="0" w:space="0" w:color="auto"/>
      </w:divBdr>
    </w:div>
    <w:div w:id="1389256697">
      <w:bodyDiv w:val="1"/>
      <w:marLeft w:val="0"/>
      <w:marRight w:val="0"/>
      <w:marTop w:val="0"/>
      <w:marBottom w:val="0"/>
      <w:divBdr>
        <w:top w:val="none" w:sz="0" w:space="0" w:color="auto"/>
        <w:left w:val="none" w:sz="0" w:space="0" w:color="auto"/>
        <w:bottom w:val="none" w:sz="0" w:space="0" w:color="auto"/>
        <w:right w:val="none" w:sz="0" w:space="0" w:color="auto"/>
      </w:divBdr>
    </w:div>
    <w:div w:id="1389303450">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389768957">
      <w:bodyDiv w:val="1"/>
      <w:marLeft w:val="0"/>
      <w:marRight w:val="0"/>
      <w:marTop w:val="0"/>
      <w:marBottom w:val="0"/>
      <w:divBdr>
        <w:top w:val="none" w:sz="0" w:space="0" w:color="auto"/>
        <w:left w:val="none" w:sz="0" w:space="0" w:color="auto"/>
        <w:bottom w:val="none" w:sz="0" w:space="0" w:color="auto"/>
        <w:right w:val="none" w:sz="0" w:space="0" w:color="auto"/>
      </w:divBdr>
    </w:div>
    <w:div w:id="1389918189">
      <w:bodyDiv w:val="1"/>
      <w:marLeft w:val="0"/>
      <w:marRight w:val="0"/>
      <w:marTop w:val="0"/>
      <w:marBottom w:val="0"/>
      <w:divBdr>
        <w:top w:val="none" w:sz="0" w:space="0" w:color="auto"/>
        <w:left w:val="none" w:sz="0" w:space="0" w:color="auto"/>
        <w:bottom w:val="none" w:sz="0" w:space="0" w:color="auto"/>
        <w:right w:val="none" w:sz="0" w:space="0" w:color="auto"/>
      </w:divBdr>
    </w:div>
    <w:div w:id="1389961293">
      <w:bodyDiv w:val="1"/>
      <w:marLeft w:val="0"/>
      <w:marRight w:val="0"/>
      <w:marTop w:val="0"/>
      <w:marBottom w:val="0"/>
      <w:divBdr>
        <w:top w:val="none" w:sz="0" w:space="0" w:color="auto"/>
        <w:left w:val="none" w:sz="0" w:space="0" w:color="auto"/>
        <w:bottom w:val="none" w:sz="0" w:space="0" w:color="auto"/>
        <w:right w:val="none" w:sz="0" w:space="0" w:color="auto"/>
      </w:divBdr>
    </w:div>
    <w:div w:id="1390297899">
      <w:bodyDiv w:val="1"/>
      <w:marLeft w:val="0"/>
      <w:marRight w:val="0"/>
      <w:marTop w:val="0"/>
      <w:marBottom w:val="0"/>
      <w:divBdr>
        <w:top w:val="none" w:sz="0" w:space="0" w:color="auto"/>
        <w:left w:val="none" w:sz="0" w:space="0" w:color="auto"/>
        <w:bottom w:val="none" w:sz="0" w:space="0" w:color="auto"/>
        <w:right w:val="none" w:sz="0" w:space="0" w:color="auto"/>
      </w:divBdr>
    </w:div>
    <w:div w:id="1390348432">
      <w:bodyDiv w:val="1"/>
      <w:marLeft w:val="0"/>
      <w:marRight w:val="0"/>
      <w:marTop w:val="0"/>
      <w:marBottom w:val="0"/>
      <w:divBdr>
        <w:top w:val="none" w:sz="0" w:space="0" w:color="auto"/>
        <w:left w:val="none" w:sz="0" w:space="0" w:color="auto"/>
        <w:bottom w:val="none" w:sz="0" w:space="0" w:color="auto"/>
        <w:right w:val="none" w:sz="0" w:space="0" w:color="auto"/>
      </w:divBdr>
    </w:div>
    <w:div w:id="1390567801">
      <w:bodyDiv w:val="1"/>
      <w:marLeft w:val="0"/>
      <w:marRight w:val="0"/>
      <w:marTop w:val="0"/>
      <w:marBottom w:val="0"/>
      <w:divBdr>
        <w:top w:val="none" w:sz="0" w:space="0" w:color="auto"/>
        <w:left w:val="none" w:sz="0" w:space="0" w:color="auto"/>
        <w:bottom w:val="none" w:sz="0" w:space="0" w:color="auto"/>
        <w:right w:val="none" w:sz="0" w:space="0" w:color="auto"/>
      </w:divBdr>
    </w:div>
    <w:div w:id="1390765518">
      <w:bodyDiv w:val="1"/>
      <w:marLeft w:val="0"/>
      <w:marRight w:val="0"/>
      <w:marTop w:val="0"/>
      <w:marBottom w:val="0"/>
      <w:divBdr>
        <w:top w:val="none" w:sz="0" w:space="0" w:color="auto"/>
        <w:left w:val="none" w:sz="0" w:space="0" w:color="auto"/>
        <w:bottom w:val="none" w:sz="0" w:space="0" w:color="auto"/>
        <w:right w:val="none" w:sz="0" w:space="0" w:color="auto"/>
      </w:divBdr>
    </w:div>
    <w:div w:id="1391228202">
      <w:bodyDiv w:val="1"/>
      <w:marLeft w:val="0"/>
      <w:marRight w:val="0"/>
      <w:marTop w:val="0"/>
      <w:marBottom w:val="0"/>
      <w:divBdr>
        <w:top w:val="none" w:sz="0" w:space="0" w:color="auto"/>
        <w:left w:val="none" w:sz="0" w:space="0" w:color="auto"/>
        <w:bottom w:val="none" w:sz="0" w:space="0" w:color="auto"/>
        <w:right w:val="none" w:sz="0" w:space="0" w:color="auto"/>
      </w:divBdr>
    </w:div>
    <w:div w:id="1391273418">
      <w:bodyDiv w:val="1"/>
      <w:marLeft w:val="0"/>
      <w:marRight w:val="0"/>
      <w:marTop w:val="0"/>
      <w:marBottom w:val="0"/>
      <w:divBdr>
        <w:top w:val="none" w:sz="0" w:space="0" w:color="auto"/>
        <w:left w:val="none" w:sz="0" w:space="0" w:color="auto"/>
        <w:bottom w:val="none" w:sz="0" w:space="0" w:color="auto"/>
        <w:right w:val="none" w:sz="0" w:space="0" w:color="auto"/>
      </w:divBdr>
    </w:div>
    <w:div w:id="1391538661">
      <w:bodyDiv w:val="1"/>
      <w:marLeft w:val="0"/>
      <w:marRight w:val="0"/>
      <w:marTop w:val="0"/>
      <w:marBottom w:val="0"/>
      <w:divBdr>
        <w:top w:val="none" w:sz="0" w:space="0" w:color="auto"/>
        <w:left w:val="none" w:sz="0" w:space="0" w:color="auto"/>
        <w:bottom w:val="none" w:sz="0" w:space="0" w:color="auto"/>
        <w:right w:val="none" w:sz="0" w:space="0" w:color="auto"/>
      </w:divBdr>
    </w:div>
    <w:div w:id="1391729089">
      <w:bodyDiv w:val="1"/>
      <w:marLeft w:val="0"/>
      <w:marRight w:val="0"/>
      <w:marTop w:val="0"/>
      <w:marBottom w:val="0"/>
      <w:divBdr>
        <w:top w:val="none" w:sz="0" w:space="0" w:color="auto"/>
        <w:left w:val="none" w:sz="0" w:space="0" w:color="auto"/>
        <w:bottom w:val="none" w:sz="0" w:space="0" w:color="auto"/>
        <w:right w:val="none" w:sz="0" w:space="0" w:color="auto"/>
      </w:divBdr>
    </w:div>
    <w:div w:id="1391735473">
      <w:bodyDiv w:val="1"/>
      <w:marLeft w:val="0"/>
      <w:marRight w:val="0"/>
      <w:marTop w:val="0"/>
      <w:marBottom w:val="0"/>
      <w:divBdr>
        <w:top w:val="none" w:sz="0" w:space="0" w:color="auto"/>
        <w:left w:val="none" w:sz="0" w:space="0" w:color="auto"/>
        <w:bottom w:val="none" w:sz="0" w:space="0" w:color="auto"/>
        <w:right w:val="none" w:sz="0" w:space="0" w:color="auto"/>
      </w:divBdr>
    </w:div>
    <w:div w:id="1392849717">
      <w:bodyDiv w:val="1"/>
      <w:marLeft w:val="0"/>
      <w:marRight w:val="0"/>
      <w:marTop w:val="0"/>
      <w:marBottom w:val="0"/>
      <w:divBdr>
        <w:top w:val="none" w:sz="0" w:space="0" w:color="auto"/>
        <w:left w:val="none" w:sz="0" w:space="0" w:color="auto"/>
        <w:bottom w:val="none" w:sz="0" w:space="0" w:color="auto"/>
        <w:right w:val="none" w:sz="0" w:space="0" w:color="auto"/>
      </w:divBdr>
    </w:div>
    <w:div w:id="1392853137">
      <w:bodyDiv w:val="1"/>
      <w:marLeft w:val="0"/>
      <w:marRight w:val="0"/>
      <w:marTop w:val="0"/>
      <w:marBottom w:val="0"/>
      <w:divBdr>
        <w:top w:val="none" w:sz="0" w:space="0" w:color="auto"/>
        <w:left w:val="none" w:sz="0" w:space="0" w:color="auto"/>
        <w:bottom w:val="none" w:sz="0" w:space="0" w:color="auto"/>
        <w:right w:val="none" w:sz="0" w:space="0" w:color="auto"/>
      </w:divBdr>
    </w:div>
    <w:div w:id="1392968414">
      <w:bodyDiv w:val="1"/>
      <w:marLeft w:val="0"/>
      <w:marRight w:val="0"/>
      <w:marTop w:val="0"/>
      <w:marBottom w:val="0"/>
      <w:divBdr>
        <w:top w:val="none" w:sz="0" w:space="0" w:color="auto"/>
        <w:left w:val="none" w:sz="0" w:space="0" w:color="auto"/>
        <w:bottom w:val="none" w:sz="0" w:space="0" w:color="auto"/>
        <w:right w:val="none" w:sz="0" w:space="0" w:color="auto"/>
      </w:divBdr>
    </w:div>
    <w:div w:id="1393120482">
      <w:bodyDiv w:val="1"/>
      <w:marLeft w:val="0"/>
      <w:marRight w:val="0"/>
      <w:marTop w:val="0"/>
      <w:marBottom w:val="0"/>
      <w:divBdr>
        <w:top w:val="none" w:sz="0" w:space="0" w:color="auto"/>
        <w:left w:val="none" w:sz="0" w:space="0" w:color="auto"/>
        <w:bottom w:val="none" w:sz="0" w:space="0" w:color="auto"/>
        <w:right w:val="none" w:sz="0" w:space="0" w:color="auto"/>
      </w:divBdr>
    </w:div>
    <w:div w:id="1393314748">
      <w:bodyDiv w:val="1"/>
      <w:marLeft w:val="0"/>
      <w:marRight w:val="0"/>
      <w:marTop w:val="0"/>
      <w:marBottom w:val="0"/>
      <w:divBdr>
        <w:top w:val="none" w:sz="0" w:space="0" w:color="auto"/>
        <w:left w:val="none" w:sz="0" w:space="0" w:color="auto"/>
        <w:bottom w:val="none" w:sz="0" w:space="0" w:color="auto"/>
        <w:right w:val="none" w:sz="0" w:space="0" w:color="auto"/>
      </w:divBdr>
    </w:div>
    <w:div w:id="1393962237">
      <w:bodyDiv w:val="1"/>
      <w:marLeft w:val="0"/>
      <w:marRight w:val="0"/>
      <w:marTop w:val="0"/>
      <w:marBottom w:val="0"/>
      <w:divBdr>
        <w:top w:val="none" w:sz="0" w:space="0" w:color="auto"/>
        <w:left w:val="none" w:sz="0" w:space="0" w:color="auto"/>
        <w:bottom w:val="none" w:sz="0" w:space="0" w:color="auto"/>
        <w:right w:val="none" w:sz="0" w:space="0" w:color="auto"/>
      </w:divBdr>
    </w:div>
    <w:div w:id="1394162324">
      <w:bodyDiv w:val="1"/>
      <w:marLeft w:val="0"/>
      <w:marRight w:val="0"/>
      <w:marTop w:val="0"/>
      <w:marBottom w:val="0"/>
      <w:divBdr>
        <w:top w:val="none" w:sz="0" w:space="0" w:color="auto"/>
        <w:left w:val="none" w:sz="0" w:space="0" w:color="auto"/>
        <w:bottom w:val="none" w:sz="0" w:space="0" w:color="auto"/>
        <w:right w:val="none" w:sz="0" w:space="0" w:color="auto"/>
      </w:divBdr>
    </w:div>
    <w:div w:id="1394239036">
      <w:bodyDiv w:val="1"/>
      <w:marLeft w:val="0"/>
      <w:marRight w:val="0"/>
      <w:marTop w:val="0"/>
      <w:marBottom w:val="0"/>
      <w:divBdr>
        <w:top w:val="none" w:sz="0" w:space="0" w:color="auto"/>
        <w:left w:val="none" w:sz="0" w:space="0" w:color="auto"/>
        <w:bottom w:val="none" w:sz="0" w:space="0" w:color="auto"/>
        <w:right w:val="none" w:sz="0" w:space="0" w:color="auto"/>
      </w:divBdr>
    </w:div>
    <w:div w:id="1394278897">
      <w:bodyDiv w:val="1"/>
      <w:marLeft w:val="0"/>
      <w:marRight w:val="0"/>
      <w:marTop w:val="0"/>
      <w:marBottom w:val="0"/>
      <w:divBdr>
        <w:top w:val="none" w:sz="0" w:space="0" w:color="auto"/>
        <w:left w:val="none" w:sz="0" w:space="0" w:color="auto"/>
        <w:bottom w:val="none" w:sz="0" w:space="0" w:color="auto"/>
        <w:right w:val="none" w:sz="0" w:space="0" w:color="auto"/>
      </w:divBdr>
    </w:div>
    <w:div w:id="1394541812">
      <w:bodyDiv w:val="1"/>
      <w:marLeft w:val="0"/>
      <w:marRight w:val="0"/>
      <w:marTop w:val="0"/>
      <w:marBottom w:val="0"/>
      <w:divBdr>
        <w:top w:val="none" w:sz="0" w:space="0" w:color="auto"/>
        <w:left w:val="none" w:sz="0" w:space="0" w:color="auto"/>
        <w:bottom w:val="none" w:sz="0" w:space="0" w:color="auto"/>
        <w:right w:val="none" w:sz="0" w:space="0" w:color="auto"/>
      </w:divBdr>
    </w:div>
    <w:div w:id="1394935123">
      <w:bodyDiv w:val="1"/>
      <w:marLeft w:val="0"/>
      <w:marRight w:val="0"/>
      <w:marTop w:val="0"/>
      <w:marBottom w:val="0"/>
      <w:divBdr>
        <w:top w:val="none" w:sz="0" w:space="0" w:color="auto"/>
        <w:left w:val="none" w:sz="0" w:space="0" w:color="auto"/>
        <w:bottom w:val="none" w:sz="0" w:space="0" w:color="auto"/>
        <w:right w:val="none" w:sz="0" w:space="0" w:color="auto"/>
      </w:divBdr>
    </w:div>
    <w:div w:id="1395274103">
      <w:bodyDiv w:val="1"/>
      <w:marLeft w:val="0"/>
      <w:marRight w:val="0"/>
      <w:marTop w:val="0"/>
      <w:marBottom w:val="0"/>
      <w:divBdr>
        <w:top w:val="none" w:sz="0" w:space="0" w:color="auto"/>
        <w:left w:val="none" w:sz="0" w:space="0" w:color="auto"/>
        <w:bottom w:val="none" w:sz="0" w:space="0" w:color="auto"/>
        <w:right w:val="none" w:sz="0" w:space="0" w:color="auto"/>
      </w:divBdr>
    </w:div>
    <w:div w:id="1395855083">
      <w:bodyDiv w:val="1"/>
      <w:marLeft w:val="0"/>
      <w:marRight w:val="0"/>
      <w:marTop w:val="0"/>
      <w:marBottom w:val="0"/>
      <w:divBdr>
        <w:top w:val="none" w:sz="0" w:space="0" w:color="auto"/>
        <w:left w:val="none" w:sz="0" w:space="0" w:color="auto"/>
        <w:bottom w:val="none" w:sz="0" w:space="0" w:color="auto"/>
        <w:right w:val="none" w:sz="0" w:space="0" w:color="auto"/>
      </w:divBdr>
    </w:div>
    <w:div w:id="1396201791">
      <w:bodyDiv w:val="1"/>
      <w:marLeft w:val="0"/>
      <w:marRight w:val="0"/>
      <w:marTop w:val="0"/>
      <w:marBottom w:val="0"/>
      <w:divBdr>
        <w:top w:val="none" w:sz="0" w:space="0" w:color="auto"/>
        <w:left w:val="none" w:sz="0" w:space="0" w:color="auto"/>
        <w:bottom w:val="none" w:sz="0" w:space="0" w:color="auto"/>
        <w:right w:val="none" w:sz="0" w:space="0" w:color="auto"/>
      </w:divBdr>
    </w:div>
    <w:div w:id="1397123665">
      <w:bodyDiv w:val="1"/>
      <w:marLeft w:val="0"/>
      <w:marRight w:val="0"/>
      <w:marTop w:val="0"/>
      <w:marBottom w:val="0"/>
      <w:divBdr>
        <w:top w:val="none" w:sz="0" w:space="0" w:color="auto"/>
        <w:left w:val="none" w:sz="0" w:space="0" w:color="auto"/>
        <w:bottom w:val="none" w:sz="0" w:space="0" w:color="auto"/>
        <w:right w:val="none" w:sz="0" w:space="0" w:color="auto"/>
      </w:divBdr>
    </w:div>
    <w:div w:id="1397123713">
      <w:bodyDiv w:val="1"/>
      <w:marLeft w:val="0"/>
      <w:marRight w:val="0"/>
      <w:marTop w:val="0"/>
      <w:marBottom w:val="0"/>
      <w:divBdr>
        <w:top w:val="none" w:sz="0" w:space="0" w:color="auto"/>
        <w:left w:val="none" w:sz="0" w:space="0" w:color="auto"/>
        <w:bottom w:val="none" w:sz="0" w:space="0" w:color="auto"/>
        <w:right w:val="none" w:sz="0" w:space="0" w:color="auto"/>
      </w:divBdr>
    </w:div>
    <w:div w:id="1397126513">
      <w:bodyDiv w:val="1"/>
      <w:marLeft w:val="0"/>
      <w:marRight w:val="0"/>
      <w:marTop w:val="0"/>
      <w:marBottom w:val="0"/>
      <w:divBdr>
        <w:top w:val="none" w:sz="0" w:space="0" w:color="auto"/>
        <w:left w:val="none" w:sz="0" w:space="0" w:color="auto"/>
        <w:bottom w:val="none" w:sz="0" w:space="0" w:color="auto"/>
        <w:right w:val="none" w:sz="0" w:space="0" w:color="auto"/>
      </w:divBdr>
    </w:div>
    <w:div w:id="1397242053">
      <w:bodyDiv w:val="1"/>
      <w:marLeft w:val="0"/>
      <w:marRight w:val="0"/>
      <w:marTop w:val="0"/>
      <w:marBottom w:val="0"/>
      <w:divBdr>
        <w:top w:val="none" w:sz="0" w:space="0" w:color="auto"/>
        <w:left w:val="none" w:sz="0" w:space="0" w:color="auto"/>
        <w:bottom w:val="none" w:sz="0" w:space="0" w:color="auto"/>
        <w:right w:val="none" w:sz="0" w:space="0" w:color="auto"/>
      </w:divBdr>
    </w:div>
    <w:div w:id="1397436128">
      <w:bodyDiv w:val="1"/>
      <w:marLeft w:val="0"/>
      <w:marRight w:val="0"/>
      <w:marTop w:val="0"/>
      <w:marBottom w:val="0"/>
      <w:divBdr>
        <w:top w:val="none" w:sz="0" w:space="0" w:color="auto"/>
        <w:left w:val="none" w:sz="0" w:space="0" w:color="auto"/>
        <w:bottom w:val="none" w:sz="0" w:space="0" w:color="auto"/>
        <w:right w:val="none" w:sz="0" w:space="0" w:color="auto"/>
      </w:divBdr>
    </w:div>
    <w:div w:id="1397818045">
      <w:bodyDiv w:val="1"/>
      <w:marLeft w:val="0"/>
      <w:marRight w:val="0"/>
      <w:marTop w:val="0"/>
      <w:marBottom w:val="0"/>
      <w:divBdr>
        <w:top w:val="none" w:sz="0" w:space="0" w:color="auto"/>
        <w:left w:val="none" w:sz="0" w:space="0" w:color="auto"/>
        <w:bottom w:val="none" w:sz="0" w:space="0" w:color="auto"/>
        <w:right w:val="none" w:sz="0" w:space="0" w:color="auto"/>
      </w:divBdr>
    </w:div>
    <w:div w:id="1397821444">
      <w:bodyDiv w:val="1"/>
      <w:marLeft w:val="0"/>
      <w:marRight w:val="0"/>
      <w:marTop w:val="0"/>
      <w:marBottom w:val="0"/>
      <w:divBdr>
        <w:top w:val="none" w:sz="0" w:space="0" w:color="auto"/>
        <w:left w:val="none" w:sz="0" w:space="0" w:color="auto"/>
        <w:bottom w:val="none" w:sz="0" w:space="0" w:color="auto"/>
        <w:right w:val="none" w:sz="0" w:space="0" w:color="auto"/>
      </w:divBdr>
    </w:div>
    <w:div w:id="1398094806">
      <w:bodyDiv w:val="1"/>
      <w:marLeft w:val="0"/>
      <w:marRight w:val="0"/>
      <w:marTop w:val="0"/>
      <w:marBottom w:val="0"/>
      <w:divBdr>
        <w:top w:val="none" w:sz="0" w:space="0" w:color="auto"/>
        <w:left w:val="none" w:sz="0" w:space="0" w:color="auto"/>
        <w:bottom w:val="none" w:sz="0" w:space="0" w:color="auto"/>
        <w:right w:val="none" w:sz="0" w:space="0" w:color="auto"/>
      </w:divBdr>
    </w:div>
    <w:div w:id="1398438597">
      <w:bodyDiv w:val="1"/>
      <w:marLeft w:val="0"/>
      <w:marRight w:val="0"/>
      <w:marTop w:val="0"/>
      <w:marBottom w:val="0"/>
      <w:divBdr>
        <w:top w:val="none" w:sz="0" w:space="0" w:color="auto"/>
        <w:left w:val="none" w:sz="0" w:space="0" w:color="auto"/>
        <w:bottom w:val="none" w:sz="0" w:space="0" w:color="auto"/>
        <w:right w:val="none" w:sz="0" w:space="0" w:color="auto"/>
      </w:divBdr>
    </w:div>
    <w:div w:id="1398629648">
      <w:bodyDiv w:val="1"/>
      <w:marLeft w:val="0"/>
      <w:marRight w:val="0"/>
      <w:marTop w:val="0"/>
      <w:marBottom w:val="0"/>
      <w:divBdr>
        <w:top w:val="none" w:sz="0" w:space="0" w:color="auto"/>
        <w:left w:val="none" w:sz="0" w:space="0" w:color="auto"/>
        <w:bottom w:val="none" w:sz="0" w:space="0" w:color="auto"/>
        <w:right w:val="none" w:sz="0" w:space="0" w:color="auto"/>
      </w:divBdr>
    </w:div>
    <w:div w:id="1399019105">
      <w:bodyDiv w:val="1"/>
      <w:marLeft w:val="0"/>
      <w:marRight w:val="0"/>
      <w:marTop w:val="0"/>
      <w:marBottom w:val="0"/>
      <w:divBdr>
        <w:top w:val="none" w:sz="0" w:space="0" w:color="auto"/>
        <w:left w:val="none" w:sz="0" w:space="0" w:color="auto"/>
        <w:bottom w:val="none" w:sz="0" w:space="0" w:color="auto"/>
        <w:right w:val="none" w:sz="0" w:space="0" w:color="auto"/>
      </w:divBdr>
    </w:div>
    <w:div w:id="1399132665">
      <w:bodyDiv w:val="1"/>
      <w:marLeft w:val="0"/>
      <w:marRight w:val="0"/>
      <w:marTop w:val="0"/>
      <w:marBottom w:val="0"/>
      <w:divBdr>
        <w:top w:val="none" w:sz="0" w:space="0" w:color="auto"/>
        <w:left w:val="none" w:sz="0" w:space="0" w:color="auto"/>
        <w:bottom w:val="none" w:sz="0" w:space="0" w:color="auto"/>
        <w:right w:val="none" w:sz="0" w:space="0" w:color="auto"/>
      </w:divBdr>
    </w:div>
    <w:div w:id="1399209097">
      <w:bodyDiv w:val="1"/>
      <w:marLeft w:val="0"/>
      <w:marRight w:val="0"/>
      <w:marTop w:val="0"/>
      <w:marBottom w:val="0"/>
      <w:divBdr>
        <w:top w:val="none" w:sz="0" w:space="0" w:color="auto"/>
        <w:left w:val="none" w:sz="0" w:space="0" w:color="auto"/>
        <w:bottom w:val="none" w:sz="0" w:space="0" w:color="auto"/>
        <w:right w:val="none" w:sz="0" w:space="0" w:color="auto"/>
      </w:divBdr>
    </w:div>
    <w:div w:id="1399285588">
      <w:bodyDiv w:val="1"/>
      <w:marLeft w:val="0"/>
      <w:marRight w:val="0"/>
      <w:marTop w:val="0"/>
      <w:marBottom w:val="0"/>
      <w:divBdr>
        <w:top w:val="none" w:sz="0" w:space="0" w:color="auto"/>
        <w:left w:val="none" w:sz="0" w:space="0" w:color="auto"/>
        <w:bottom w:val="none" w:sz="0" w:space="0" w:color="auto"/>
        <w:right w:val="none" w:sz="0" w:space="0" w:color="auto"/>
      </w:divBdr>
    </w:div>
    <w:div w:id="1399326218">
      <w:bodyDiv w:val="1"/>
      <w:marLeft w:val="0"/>
      <w:marRight w:val="0"/>
      <w:marTop w:val="0"/>
      <w:marBottom w:val="0"/>
      <w:divBdr>
        <w:top w:val="none" w:sz="0" w:space="0" w:color="auto"/>
        <w:left w:val="none" w:sz="0" w:space="0" w:color="auto"/>
        <w:bottom w:val="none" w:sz="0" w:space="0" w:color="auto"/>
        <w:right w:val="none" w:sz="0" w:space="0" w:color="auto"/>
      </w:divBdr>
    </w:div>
    <w:div w:id="1399593663">
      <w:bodyDiv w:val="1"/>
      <w:marLeft w:val="0"/>
      <w:marRight w:val="0"/>
      <w:marTop w:val="0"/>
      <w:marBottom w:val="0"/>
      <w:divBdr>
        <w:top w:val="none" w:sz="0" w:space="0" w:color="auto"/>
        <w:left w:val="none" w:sz="0" w:space="0" w:color="auto"/>
        <w:bottom w:val="none" w:sz="0" w:space="0" w:color="auto"/>
        <w:right w:val="none" w:sz="0" w:space="0" w:color="auto"/>
      </w:divBdr>
    </w:div>
    <w:div w:id="1399673788">
      <w:bodyDiv w:val="1"/>
      <w:marLeft w:val="0"/>
      <w:marRight w:val="0"/>
      <w:marTop w:val="0"/>
      <w:marBottom w:val="0"/>
      <w:divBdr>
        <w:top w:val="none" w:sz="0" w:space="0" w:color="auto"/>
        <w:left w:val="none" w:sz="0" w:space="0" w:color="auto"/>
        <w:bottom w:val="none" w:sz="0" w:space="0" w:color="auto"/>
        <w:right w:val="none" w:sz="0" w:space="0" w:color="auto"/>
      </w:divBdr>
    </w:div>
    <w:div w:id="1400443656">
      <w:bodyDiv w:val="1"/>
      <w:marLeft w:val="0"/>
      <w:marRight w:val="0"/>
      <w:marTop w:val="0"/>
      <w:marBottom w:val="0"/>
      <w:divBdr>
        <w:top w:val="none" w:sz="0" w:space="0" w:color="auto"/>
        <w:left w:val="none" w:sz="0" w:space="0" w:color="auto"/>
        <w:bottom w:val="none" w:sz="0" w:space="0" w:color="auto"/>
        <w:right w:val="none" w:sz="0" w:space="0" w:color="auto"/>
      </w:divBdr>
    </w:div>
    <w:div w:id="1400784133">
      <w:bodyDiv w:val="1"/>
      <w:marLeft w:val="0"/>
      <w:marRight w:val="0"/>
      <w:marTop w:val="0"/>
      <w:marBottom w:val="0"/>
      <w:divBdr>
        <w:top w:val="none" w:sz="0" w:space="0" w:color="auto"/>
        <w:left w:val="none" w:sz="0" w:space="0" w:color="auto"/>
        <w:bottom w:val="none" w:sz="0" w:space="0" w:color="auto"/>
        <w:right w:val="none" w:sz="0" w:space="0" w:color="auto"/>
      </w:divBdr>
    </w:div>
    <w:div w:id="1400903157">
      <w:bodyDiv w:val="1"/>
      <w:marLeft w:val="0"/>
      <w:marRight w:val="0"/>
      <w:marTop w:val="0"/>
      <w:marBottom w:val="0"/>
      <w:divBdr>
        <w:top w:val="none" w:sz="0" w:space="0" w:color="auto"/>
        <w:left w:val="none" w:sz="0" w:space="0" w:color="auto"/>
        <w:bottom w:val="none" w:sz="0" w:space="0" w:color="auto"/>
        <w:right w:val="none" w:sz="0" w:space="0" w:color="auto"/>
      </w:divBdr>
    </w:div>
    <w:div w:id="1401056160">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02753980">
      <w:bodyDiv w:val="1"/>
      <w:marLeft w:val="0"/>
      <w:marRight w:val="0"/>
      <w:marTop w:val="0"/>
      <w:marBottom w:val="0"/>
      <w:divBdr>
        <w:top w:val="none" w:sz="0" w:space="0" w:color="auto"/>
        <w:left w:val="none" w:sz="0" w:space="0" w:color="auto"/>
        <w:bottom w:val="none" w:sz="0" w:space="0" w:color="auto"/>
        <w:right w:val="none" w:sz="0" w:space="0" w:color="auto"/>
      </w:divBdr>
    </w:div>
    <w:div w:id="1402825182">
      <w:bodyDiv w:val="1"/>
      <w:marLeft w:val="0"/>
      <w:marRight w:val="0"/>
      <w:marTop w:val="0"/>
      <w:marBottom w:val="0"/>
      <w:divBdr>
        <w:top w:val="none" w:sz="0" w:space="0" w:color="auto"/>
        <w:left w:val="none" w:sz="0" w:space="0" w:color="auto"/>
        <w:bottom w:val="none" w:sz="0" w:space="0" w:color="auto"/>
        <w:right w:val="none" w:sz="0" w:space="0" w:color="auto"/>
      </w:divBdr>
    </w:div>
    <w:div w:id="1402874683">
      <w:bodyDiv w:val="1"/>
      <w:marLeft w:val="0"/>
      <w:marRight w:val="0"/>
      <w:marTop w:val="0"/>
      <w:marBottom w:val="0"/>
      <w:divBdr>
        <w:top w:val="none" w:sz="0" w:space="0" w:color="auto"/>
        <w:left w:val="none" w:sz="0" w:space="0" w:color="auto"/>
        <w:bottom w:val="none" w:sz="0" w:space="0" w:color="auto"/>
        <w:right w:val="none" w:sz="0" w:space="0" w:color="auto"/>
      </w:divBdr>
    </w:div>
    <w:div w:id="1403407814">
      <w:bodyDiv w:val="1"/>
      <w:marLeft w:val="0"/>
      <w:marRight w:val="0"/>
      <w:marTop w:val="0"/>
      <w:marBottom w:val="0"/>
      <w:divBdr>
        <w:top w:val="none" w:sz="0" w:space="0" w:color="auto"/>
        <w:left w:val="none" w:sz="0" w:space="0" w:color="auto"/>
        <w:bottom w:val="none" w:sz="0" w:space="0" w:color="auto"/>
        <w:right w:val="none" w:sz="0" w:space="0" w:color="auto"/>
      </w:divBdr>
    </w:div>
    <w:div w:id="1403412391">
      <w:bodyDiv w:val="1"/>
      <w:marLeft w:val="0"/>
      <w:marRight w:val="0"/>
      <w:marTop w:val="0"/>
      <w:marBottom w:val="0"/>
      <w:divBdr>
        <w:top w:val="none" w:sz="0" w:space="0" w:color="auto"/>
        <w:left w:val="none" w:sz="0" w:space="0" w:color="auto"/>
        <w:bottom w:val="none" w:sz="0" w:space="0" w:color="auto"/>
        <w:right w:val="none" w:sz="0" w:space="0" w:color="auto"/>
      </w:divBdr>
    </w:div>
    <w:div w:id="1404060920">
      <w:bodyDiv w:val="1"/>
      <w:marLeft w:val="0"/>
      <w:marRight w:val="0"/>
      <w:marTop w:val="0"/>
      <w:marBottom w:val="0"/>
      <w:divBdr>
        <w:top w:val="none" w:sz="0" w:space="0" w:color="auto"/>
        <w:left w:val="none" w:sz="0" w:space="0" w:color="auto"/>
        <w:bottom w:val="none" w:sz="0" w:space="0" w:color="auto"/>
        <w:right w:val="none" w:sz="0" w:space="0" w:color="auto"/>
      </w:divBdr>
    </w:div>
    <w:div w:id="1404062588">
      <w:bodyDiv w:val="1"/>
      <w:marLeft w:val="0"/>
      <w:marRight w:val="0"/>
      <w:marTop w:val="0"/>
      <w:marBottom w:val="0"/>
      <w:divBdr>
        <w:top w:val="none" w:sz="0" w:space="0" w:color="auto"/>
        <w:left w:val="none" w:sz="0" w:space="0" w:color="auto"/>
        <w:bottom w:val="none" w:sz="0" w:space="0" w:color="auto"/>
        <w:right w:val="none" w:sz="0" w:space="0" w:color="auto"/>
      </w:divBdr>
    </w:div>
    <w:div w:id="1404180900">
      <w:bodyDiv w:val="1"/>
      <w:marLeft w:val="0"/>
      <w:marRight w:val="0"/>
      <w:marTop w:val="0"/>
      <w:marBottom w:val="0"/>
      <w:divBdr>
        <w:top w:val="none" w:sz="0" w:space="0" w:color="auto"/>
        <w:left w:val="none" w:sz="0" w:space="0" w:color="auto"/>
        <w:bottom w:val="none" w:sz="0" w:space="0" w:color="auto"/>
        <w:right w:val="none" w:sz="0" w:space="0" w:color="auto"/>
      </w:divBdr>
    </w:div>
    <w:div w:id="1404445200">
      <w:bodyDiv w:val="1"/>
      <w:marLeft w:val="0"/>
      <w:marRight w:val="0"/>
      <w:marTop w:val="0"/>
      <w:marBottom w:val="0"/>
      <w:divBdr>
        <w:top w:val="none" w:sz="0" w:space="0" w:color="auto"/>
        <w:left w:val="none" w:sz="0" w:space="0" w:color="auto"/>
        <w:bottom w:val="none" w:sz="0" w:space="0" w:color="auto"/>
        <w:right w:val="none" w:sz="0" w:space="0" w:color="auto"/>
      </w:divBdr>
    </w:div>
    <w:div w:id="1404642590">
      <w:bodyDiv w:val="1"/>
      <w:marLeft w:val="0"/>
      <w:marRight w:val="0"/>
      <w:marTop w:val="0"/>
      <w:marBottom w:val="0"/>
      <w:divBdr>
        <w:top w:val="none" w:sz="0" w:space="0" w:color="auto"/>
        <w:left w:val="none" w:sz="0" w:space="0" w:color="auto"/>
        <w:bottom w:val="none" w:sz="0" w:space="0" w:color="auto"/>
        <w:right w:val="none" w:sz="0" w:space="0" w:color="auto"/>
      </w:divBdr>
    </w:div>
    <w:div w:id="1404907874">
      <w:bodyDiv w:val="1"/>
      <w:marLeft w:val="0"/>
      <w:marRight w:val="0"/>
      <w:marTop w:val="0"/>
      <w:marBottom w:val="0"/>
      <w:divBdr>
        <w:top w:val="none" w:sz="0" w:space="0" w:color="auto"/>
        <w:left w:val="none" w:sz="0" w:space="0" w:color="auto"/>
        <w:bottom w:val="none" w:sz="0" w:space="0" w:color="auto"/>
        <w:right w:val="none" w:sz="0" w:space="0" w:color="auto"/>
      </w:divBdr>
    </w:div>
    <w:div w:id="1406489985">
      <w:bodyDiv w:val="1"/>
      <w:marLeft w:val="0"/>
      <w:marRight w:val="0"/>
      <w:marTop w:val="0"/>
      <w:marBottom w:val="0"/>
      <w:divBdr>
        <w:top w:val="none" w:sz="0" w:space="0" w:color="auto"/>
        <w:left w:val="none" w:sz="0" w:space="0" w:color="auto"/>
        <w:bottom w:val="none" w:sz="0" w:space="0" w:color="auto"/>
        <w:right w:val="none" w:sz="0" w:space="0" w:color="auto"/>
      </w:divBdr>
    </w:div>
    <w:div w:id="1406606330">
      <w:bodyDiv w:val="1"/>
      <w:marLeft w:val="0"/>
      <w:marRight w:val="0"/>
      <w:marTop w:val="0"/>
      <w:marBottom w:val="0"/>
      <w:divBdr>
        <w:top w:val="none" w:sz="0" w:space="0" w:color="auto"/>
        <w:left w:val="none" w:sz="0" w:space="0" w:color="auto"/>
        <w:bottom w:val="none" w:sz="0" w:space="0" w:color="auto"/>
        <w:right w:val="none" w:sz="0" w:space="0" w:color="auto"/>
      </w:divBdr>
    </w:div>
    <w:div w:id="1406607817">
      <w:bodyDiv w:val="1"/>
      <w:marLeft w:val="0"/>
      <w:marRight w:val="0"/>
      <w:marTop w:val="0"/>
      <w:marBottom w:val="0"/>
      <w:divBdr>
        <w:top w:val="none" w:sz="0" w:space="0" w:color="auto"/>
        <w:left w:val="none" w:sz="0" w:space="0" w:color="auto"/>
        <w:bottom w:val="none" w:sz="0" w:space="0" w:color="auto"/>
        <w:right w:val="none" w:sz="0" w:space="0" w:color="auto"/>
      </w:divBdr>
    </w:div>
    <w:div w:id="1406755156">
      <w:bodyDiv w:val="1"/>
      <w:marLeft w:val="0"/>
      <w:marRight w:val="0"/>
      <w:marTop w:val="0"/>
      <w:marBottom w:val="0"/>
      <w:divBdr>
        <w:top w:val="none" w:sz="0" w:space="0" w:color="auto"/>
        <w:left w:val="none" w:sz="0" w:space="0" w:color="auto"/>
        <w:bottom w:val="none" w:sz="0" w:space="0" w:color="auto"/>
        <w:right w:val="none" w:sz="0" w:space="0" w:color="auto"/>
      </w:divBdr>
    </w:div>
    <w:div w:id="1407218959">
      <w:bodyDiv w:val="1"/>
      <w:marLeft w:val="0"/>
      <w:marRight w:val="0"/>
      <w:marTop w:val="0"/>
      <w:marBottom w:val="0"/>
      <w:divBdr>
        <w:top w:val="none" w:sz="0" w:space="0" w:color="auto"/>
        <w:left w:val="none" w:sz="0" w:space="0" w:color="auto"/>
        <w:bottom w:val="none" w:sz="0" w:space="0" w:color="auto"/>
        <w:right w:val="none" w:sz="0" w:space="0" w:color="auto"/>
      </w:divBdr>
    </w:div>
    <w:div w:id="1407610346">
      <w:bodyDiv w:val="1"/>
      <w:marLeft w:val="0"/>
      <w:marRight w:val="0"/>
      <w:marTop w:val="0"/>
      <w:marBottom w:val="0"/>
      <w:divBdr>
        <w:top w:val="none" w:sz="0" w:space="0" w:color="auto"/>
        <w:left w:val="none" w:sz="0" w:space="0" w:color="auto"/>
        <w:bottom w:val="none" w:sz="0" w:space="0" w:color="auto"/>
        <w:right w:val="none" w:sz="0" w:space="0" w:color="auto"/>
      </w:divBdr>
    </w:div>
    <w:div w:id="1407612802">
      <w:bodyDiv w:val="1"/>
      <w:marLeft w:val="0"/>
      <w:marRight w:val="0"/>
      <w:marTop w:val="0"/>
      <w:marBottom w:val="0"/>
      <w:divBdr>
        <w:top w:val="none" w:sz="0" w:space="0" w:color="auto"/>
        <w:left w:val="none" w:sz="0" w:space="0" w:color="auto"/>
        <w:bottom w:val="none" w:sz="0" w:space="0" w:color="auto"/>
        <w:right w:val="none" w:sz="0" w:space="0" w:color="auto"/>
      </w:divBdr>
    </w:div>
    <w:div w:id="1407655529">
      <w:bodyDiv w:val="1"/>
      <w:marLeft w:val="0"/>
      <w:marRight w:val="0"/>
      <w:marTop w:val="0"/>
      <w:marBottom w:val="0"/>
      <w:divBdr>
        <w:top w:val="none" w:sz="0" w:space="0" w:color="auto"/>
        <w:left w:val="none" w:sz="0" w:space="0" w:color="auto"/>
        <w:bottom w:val="none" w:sz="0" w:space="0" w:color="auto"/>
        <w:right w:val="none" w:sz="0" w:space="0" w:color="auto"/>
      </w:divBdr>
    </w:div>
    <w:div w:id="1407727658">
      <w:bodyDiv w:val="1"/>
      <w:marLeft w:val="0"/>
      <w:marRight w:val="0"/>
      <w:marTop w:val="0"/>
      <w:marBottom w:val="0"/>
      <w:divBdr>
        <w:top w:val="none" w:sz="0" w:space="0" w:color="auto"/>
        <w:left w:val="none" w:sz="0" w:space="0" w:color="auto"/>
        <w:bottom w:val="none" w:sz="0" w:space="0" w:color="auto"/>
        <w:right w:val="none" w:sz="0" w:space="0" w:color="auto"/>
      </w:divBdr>
    </w:div>
    <w:div w:id="1407799264">
      <w:bodyDiv w:val="1"/>
      <w:marLeft w:val="0"/>
      <w:marRight w:val="0"/>
      <w:marTop w:val="0"/>
      <w:marBottom w:val="0"/>
      <w:divBdr>
        <w:top w:val="none" w:sz="0" w:space="0" w:color="auto"/>
        <w:left w:val="none" w:sz="0" w:space="0" w:color="auto"/>
        <w:bottom w:val="none" w:sz="0" w:space="0" w:color="auto"/>
        <w:right w:val="none" w:sz="0" w:space="0" w:color="auto"/>
      </w:divBdr>
    </w:div>
    <w:div w:id="1407999133">
      <w:bodyDiv w:val="1"/>
      <w:marLeft w:val="0"/>
      <w:marRight w:val="0"/>
      <w:marTop w:val="0"/>
      <w:marBottom w:val="0"/>
      <w:divBdr>
        <w:top w:val="none" w:sz="0" w:space="0" w:color="auto"/>
        <w:left w:val="none" w:sz="0" w:space="0" w:color="auto"/>
        <w:bottom w:val="none" w:sz="0" w:space="0" w:color="auto"/>
        <w:right w:val="none" w:sz="0" w:space="0" w:color="auto"/>
      </w:divBdr>
    </w:div>
    <w:div w:id="1408109674">
      <w:bodyDiv w:val="1"/>
      <w:marLeft w:val="0"/>
      <w:marRight w:val="0"/>
      <w:marTop w:val="0"/>
      <w:marBottom w:val="0"/>
      <w:divBdr>
        <w:top w:val="none" w:sz="0" w:space="0" w:color="auto"/>
        <w:left w:val="none" w:sz="0" w:space="0" w:color="auto"/>
        <w:bottom w:val="none" w:sz="0" w:space="0" w:color="auto"/>
        <w:right w:val="none" w:sz="0" w:space="0" w:color="auto"/>
      </w:divBdr>
    </w:div>
    <w:div w:id="1408304038">
      <w:bodyDiv w:val="1"/>
      <w:marLeft w:val="0"/>
      <w:marRight w:val="0"/>
      <w:marTop w:val="0"/>
      <w:marBottom w:val="0"/>
      <w:divBdr>
        <w:top w:val="none" w:sz="0" w:space="0" w:color="auto"/>
        <w:left w:val="none" w:sz="0" w:space="0" w:color="auto"/>
        <w:bottom w:val="none" w:sz="0" w:space="0" w:color="auto"/>
        <w:right w:val="none" w:sz="0" w:space="0" w:color="auto"/>
      </w:divBdr>
    </w:div>
    <w:div w:id="1408306962">
      <w:bodyDiv w:val="1"/>
      <w:marLeft w:val="0"/>
      <w:marRight w:val="0"/>
      <w:marTop w:val="0"/>
      <w:marBottom w:val="0"/>
      <w:divBdr>
        <w:top w:val="none" w:sz="0" w:space="0" w:color="auto"/>
        <w:left w:val="none" w:sz="0" w:space="0" w:color="auto"/>
        <w:bottom w:val="none" w:sz="0" w:space="0" w:color="auto"/>
        <w:right w:val="none" w:sz="0" w:space="0" w:color="auto"/>
      </w:divBdr>
    </w:div>
    <w:div w:id="1408309543">
      <w:bodyDiv w:val="1"/>
      <w:marLeft w:val="0"/>
      <w:marRight w:val="0"/>
      <w:marTop w:val="0"/>
      <w:marBottom w:val="0"/>
      <w:divBdr>
        <w:top w:val="none" w:sz="0" w:space="0" w:color="auto"/>
        <w:left w:val="none" w:sz="0" w:space="0" w:color="auto"/>
        <w:bottom w:val="none" w:sz="0" w:space="0" w:color="auto"/>
        <w:right w:val="none" w:sz="0" w:space="0" w:color="auto"/>
      </w:divBdr>
    </w:div>
    <w:div w:id="1408380037">
      <w:bodyDiv w:val="1"/>
      <w:marLeft w:val="0"/>
      <w:marRight w:val="0"/>
      <w:marTop w:val="0"/>
      <w:marBottom w:val="0"/>
      <w:divBdr>
        <w:top w:val="none" w:sz="0" w:space="0" w:color="auto"/>
        <w:left w:val="none" w:sz="0" w:space="0" w:color="auto"/>
        <w:bottom w:val="none" w:sz="0" w:space="0" w:color="auto"/>
        <w:right w:val="none" w:sz="0" w:space="0" w:color="auto"/>
      </w:divBdr>
    </w:div>
    <w:div w:id="1408452450">
      <w:bodyDiv w:val="1"/>
      <w:marLeft w:val="0"/>
      <w:marRight w:val="0"/>
      <w:marTop w:val="0"/>
      <w:marBottom w:val="0"/>
      <w:divBdr>
        <w:top w:val="none" w:sz="0" w:space="0" w:color="auto"/>
        <w:left w:val="none" w:sz="0" w:space="0" w:color="auto"/>
        <w:bottom w:val="none" w:sz="0" w:space="0" w:color="auto"/>
        <w:right w:val="none" w:sz="0" w:space="0" w:color="auto"/>
      </w:divBdr>
    </w:div>
    <w:div w:id="1409306774">
      <w:bodyDiv w:val="1"/>
      <w:marLeft w:val="0"/>
      <w:marRight w:val="0"/>
      <w:marTop w:val="0"/>
      <w:marBottom w:val="0"/>
      <w:divBdr>
        <w:top w:val="none" w:sz="0" w:space="0" w:color="auto"/>
        <w:left w:val="none" w:sz="0" w:space="0" w:color="auto"/>
        <w:bottom w:val="none" w:sz="0" w:space="0" w:color="auto"/>
        <w:right w:val="none" w:sz="0" w:space="0" w:color="auto"/>
      </w:divBdr>
    </w:div>
    <w:div w:id="1409618952">
      <w:bodyDiv w:val="1"/>
      <w:marLeft w:val="0"/>
      <w:marRight w:val="0"/>
      <w:marTop w:val="0"/>
      <w:marBottom w:val="0"/>
      <w:divBdr>
        <w:top w:val="none" w:sz="0" w:space="0" w:color="auto"/>
        <w:left w:val="none" w:sz="0" w:space="0" w:color="auto"/>
        <w:bottom w:val="none" w:sz="0" w:space="0" w:color="auto"/>
        <w:right w:val="none" w:sz="0" w:space="0" w:color="auto"/>
      </w:divBdr>
    </w:div>
    <w:div w:id="1410151220">
      <w:bodyDiv w:val="1"/>
      <w:marLeft w:val="0"/>
      <w:marRight w:val="0"/>
      <w:marTop w:val="0"/>
      <w:marBottom w:val="0"/>
      <w:divBdr>
        <w:top w:val="none" w:sz="0" w:space="0" w:color="auto"/>
        <w:left w:val="none" w:sz="0" w:space="0" w:color="auto"/>
        <w:bottom w:val="none" w:sz="0" w:space="0" w:color="auto"/>
        <w:right w:val="none" w:sz="0" w:space="0" w:color="auto"/>
      </w:divBdr>
    </w:div>
    <w:div w:id="1410270888">
      <w:bodyDiv w:val="1"/>
      <w:marLeft w:val="0"/>
      <w:marRight w:val="0"/>
      <w:marTop w:val="0"/>
      <w:marBottom w:val="0"/>
      <w:divBdr>
        <w:top w:val="none" w:sz="0" w:space="0" w:color="auto"/>
        <w:left w:val="none" w:sz="0" w:space="0" w:color="auto"/>
        <w:bottom w:val="none" w:sz="0" w:space="0" w:color="auto"/>
        <w:right w:val="none" w:sz="0" w:space="0" w:color="auto"/>
      </w:divBdr>
    </w:div>
    <w:div w:id="1410466775">
      <w:bodyDiv w:val="1"/>
      <w:marLeft w:val="0"/>
      <w:marRight w:val="0"/>
      <w:marTop w:val="0"/>
      <w:marBottom w:val="0"/>
      <w:divBdr>
        <w:top w:val="none" w:sz="0" w:space="0" w:color="auto"/>
        <w:left w:val="none" w:sz="0" w:space="0" w:color="auto"/>
        <w:bottom w:val="none" w:sz="0" w:space="0" w:color="auto"/>
        <w:right w:val="none" w:sz="0" w:space="0" w:color="auto"/>
      </w:divBdr>
    </w:div>
    <w:div w:id="1410810009">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1193668">
      <w:bodyDiv w:val="1"/>
      <w:marLeft w:val="0"/>
      <w:marRight w:val="0"/>
      <w:marTop w:val="0"/>
      <w:marBottom w:val="0"/>
      <w:divBdr>
        <w:top w:val="none" w:sz="0" w:space="0" w:color="auto"/>
        <w:left w:val="none" w:sz="0" w:space="0" w:color="auto"/>
        <w:bottom w:val="none" w:sz="0" w:space="0" w:color="auto"/>
        <w:right w:val="none" w:sz="0" w:space="0" w:color="auto"/>
      </w:divBdr>
    </w:div>
    <w:div w:id="1411848358">
      <w:bodyDiv w:val="1"/>
      <w:marLeft w:val="0"/>
      <w:marRight w:val="0"/>
      <w:marTop w:val="0"/>
      <w:marBottom w:val="0"/>
      <w:divBdr>
        <w:top w:val="none" w:sz="0" w:space="0" w:color="auto"/>
        <w:left w:val="none" w:sz="0" w:space="0" w:color="auto"/>
        <w:bottom w:val="none" w:sz="0" w:space="0" w:color="auto"/>
        <w:right w:val="none" w:sz="0" w:space="0" w:color="auto"/>
      </w:divBdr>
    </w:div>
    <w:div w:id="1411855370">
      <w:bodyDiv w:val="1"/>
      <w:marLeft w:val="0"/>
      <w:marRight w:val="0"/>
      <w:marTop w:val="0"/>
      <w:marBottom w:val="0"/>
      <w:divBdr>
        <w:top w:val="none" w:sz="0" w:space="0" w:color="auto"/>
        <w:left w:val="none" w:sz="0" w:space="0" w:color="auto"/>
        <w:bottom w:val="none" w:sz="0" w:space="0" w:color="auto"/>
        <w:right w:val="none" w:sz="0" w:space="0" w:color="auto"/>
      </w:divBdr>
    </w:div>
    <w:div w:id="1411855597">
      <w:bodyDiv w:val="1"/>
      <w:marLeft w:val="0"/>
      <w:marRight w:val="0"/>
      <w:marTop w:val="0"/>
      <w:marBottom w:val="0"/>
      <w:divBdr>
        <w:top w:val="none" w:sz="0" w:space="0" w:color="auto"/>
        <w:left w:val="none" w:sz="0" w:space="0" w:color="auto"/>
        <w:bottom w:val="none" w:sz="0" w:space="0" w:color="auto"/>
        <w:right w:val="none" w:sz="0" w:space="0" w:color="auto"/>
      </w:divBdr>
    </w:div>
    <w:div w:id="1411924851">
      <w:bodyDiv w:val="1"/>
      <w:marLeft w:val="0"/>
      <w:marRight w:val="0"/>
      <w:marTop w:val="0"/>
      <w:marBottom w:val="0"/>
      <w:divBdr>
        <w:top w:val="none" w:sz="0" w:space="0" w:color="auto"/>
        <w:left w:val="none" w:sz="0" w:space="0" w:color="auto"/>
        <w:bottom w:val="none" w:sz="0" w:space="0" w:color="auto"/>
        <w:right w:val="none" w:sz="0" w:space="0" w:color="auto"/>
      </w:divBdr>
    </w:div>
    <w:div w:id="1412700709">
      <w:bodyDiv w:val="1"/>
      <w:marLeft w:val="0"/>
      <w:marRight w:val="0"/>
      <w:marTop w:val="0"/>
      <w:marBottom w:val="0"/>
      <w:divBdr>
        <w:top w:val="none" w:sz="0" w:space="0" w:color="auto"/>
        <w:left w:val="none" w:sz="0" w:space="0" w:color="auto"/>
        <w:bottom w:val="none" w:sz="0" w:space="0" w:color="auto"/>
        <w:right w:val="none" w:sz="0" w:space="0" w:color="auto"/>
      </w:divBdr>
    </w:div>
    <w:div w:id="1412846707">
      <w:bodyDiv w:val="1"/>
      <w:marLeft w:val="0"/>
      <w:marRight w:val="0"/>
      <w:marTop w:val="0"/>
      <w:marBottom w:val="0"/>
      <w:divBdr>
        <w:top w:val="none" w:sz="0" w:space="0" w:color="auto"/>
        <w:left w:val="none" w:sz="0" w:space="0" w:color="auto"/>
        <w:bottom w:val="none" w:sz="0" w:space="0" w:color="auto"/>
        <w:right w:val="none" w:sz="0" w:space="0" w:color="auto"/>
      </w:divBdr>
    </w:div>
    <w:div w:id="1414160441">
      <w:bodyDiv w:val="1"/>
      <w:marLeft w:val="0"/>
      <w:marRight w:val="0"/>
      <w:marTop w:val="0"/>
      <w:marBottom w:val="0"/>
      <w:divBdr>
        <w:top w:val="none" w:sz="0" w:space="0" w:color="auto"/>
        <w:left w:val="none" w:sz="0" w:space="0" w:color="auto"/>
        <w:bottom w:val="none" w:sz="0" w:space="0" w:color="auto"/>
        <w:right w:val="none" w:sz="0" w:space="0" w:color="auto"/>
      </w:divBdr>
    </w:div>
    <w:div w:id="1414165553">
      <w:bodyDiv w:val="1"/>
      <w:marLeft w:val="0"/>
      <w:marRight w:val="0"/>
      <w:marTop w:val="0"/>
      <w:marBottom w:val="0"/>
      <w:divBdr>
        <w:top w:val="none" w:sz="0" w:space="0" w:color="auto"/>
        <w:left w:val="none" w:sz="0" w:space="0" w:color="auto"/>
        <w:bottom w:val="none" w:sz="0" w:space="0" w:color="auto"/>
        <w:right w:val="none" w:sz="0" w:space="0" w:color="auto"/>
      </w:divBdr>
    </w:div>
    <w:div w:id="1414279465">
      <w:bodyDiv w:val="1"/>
      <w:marLeft w:val="0"/>
      <w:marRight w:val="0"/>
      <w:marTop w:val="0"/>
      <w:marBottom w:val="0"/>
      <w:divBdr>
        <w:top w:val="none" w:sz="0" w:space="0" w:color="auto"/>
        <w:left w:val="none" w:sz="0" w:space="0" w:color="auto"/>
        <w:bottom w:val="none" w:sz="0" w:space="0" w:color="auto"/>
        <w:right w:val="none" w:sz="0" w:space="0" w:color="auto"/>
      </w:divBdr>
    </w:div>
    <w:div w:id="1414468608">
      <w:bodyDiv w:val="1"/>
      <w:marLeft w:val="0"/>
      <w:marRight w:val="0"/>
      <w:marTop w:val="0"/>
      <w:marBottom w:val="0"/>
      <w:divBdr>
        <w:top w:val="none" w:sz="0" w:space="0" w:color="auto"/>
        <w:left w:val="none" w:sz="0" w:space="0" w:color="auto"/>
        <w:bottom w:val="none" w:sz="0" w:space="0" w:color="auto"/>
        <w:right w:val="none" w:sz="0" w:space="0" w:color="auto"/>
      </w:divBdr>
    </w:div>
    <w:div w:id="1414472890">
      <w:bodyDiv w:val="1"/>
      <w:marLeft w:val="0"/>
      <w:marRight w:val="0"/>
      <w:marTop w:val="0"/>
      <w:marBottom w:val="0"/>
      <w:divBdr>
        <w:top w:val="none" w:sz="0" w:space="0" w:color="auto"/>
        <w:left w:val="none" w:sz="0" w:space="0" w:color="auto"/>
        <w:bottom w:val="none" w:sz="0" w:space="0" w:color="auto"/>
        <w:right w:val="none" w:sz="0" w:space="0" w:color="auto"/>
      </w:divBdr>
    </w:div>
    <w:div w:id="1414743824">
      <w:bodyDiv w:val="1"/>
      <w:marLeft w:val="0"/>
      <w:marRight w:val="0"/>
      <w:marTop w:val="0"/>
      <w:marBottom w:val="0"/>
      <w:divBdr>
        <w:top w:val="none" w:sz="0" w:space="0" w:color="auto"/>
        <w:left w:val="none" w:sz="0" w:space="0" w:color="auto"/>
        <w:bottom w:val="none" w:sz="0" w:space="0" w:color="auto"/>
        <w:right w:val="none" w:sz="0" w:space="0" w:color="auto"/>
      </w:divBdr>
    </w:div>
    <w:div w:id="1415281251">
      <w:bodyDiv w:val="1"/>
      <w:marLeft w:val="0"/>
      <w:marRight w:val="0"/>
      <w:marTop w:val="0"/>
      <w:marBottom w:val="0"/>
      <w:divBdr>
        <w:top w:val="none" w:sz="0" w:space="0" w:color="auto"/>
        <w:left w:val="none" w:sz="0" w:space="0" w:color="auto"/>
        <w:bottom w:val="none" w:sz="0" w:space="0" w:color="auto"/>
        <w:right w:val="none" w:sz="0" w:space="0" w:color="auto"/>
      </w:divBdr>
    </w:div>
    <w:div w:id="1415589509">
      <w:bodyDiv w:val="1"/>
      <w:marLeft w:val="0"/>
      <w:marRight w:val="0"/>
      <w:marTop w:val="0"/>
      <w:marBottom w:val="0"/>
      <w:divBdr>
        <w:top w:val="none" w:sz="0" w:space="0" w:color="auto"/>
        <w:left w:val="none" w:sz="0" w:space="0" w:color="auto"/>
        <w:bottom w:val="none" w:sz="0" w:space="0" w:color="auto"/>
        <w:right w:val="none" w:sz="0" w:space="0" w:color="auto"/>
      </w:divBdr>
    </w:div>
    <w:div w:id="1416854370">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17240417">
      <w:bodyDiv w:val="1"/>
      <w:marLeft w:val="0"/>
      <w:marRight w:val="0"/>
      <w:marTop w:val="0"/>
      <w:marBottom w:val="0"/>
      <w:divBdr>
        <w:top w:val="none" w:sz="0" w:space="0" w:color="auto"/>
        <w:left w:val="none" w:sz="0" w:space="0" w:color="auto"/>
        <w:bottom w:val="none" w:sz="0" w:space="0" w:color="auto"/>
        <w:right w:val="none" w:sz="0" w:space="0" w:color="auto"/>
      </w:divBdr>
    </w:div>
    <w:div w:id="1417747946">
      <w:bodyDiv w:val="1"/>
      <w:marLeft w:val="0"/>
      <w:marRight w:val="0"/>
      <w:marTop w:val="0"/>
      <w:marBottom w:val="0"/>
      <w:divBdr>
        <w:top w:val="none" w:sz="0" w:space="0" w:color="auto"/>
        <w:left w:val="none" w:sz="0" w:space="0" w:color="auto"/>
        <w:bottom w:val="none" w:sz="0" w:space="0" w:color="auto"/>
        <w:right w:val="none" w:sz="0" w:space="0" w:color="auto"/>
      </w:divBdr>
    </w:div>
    <w:div w:id="1417895929">
      <w:bodyDiv w:val="1"/>
      <w:marLeft w:val="0"/>
      <w:marRight w:val="0"/>
      <w:marTop w:val="0"/>
      <w:marBottom w:val="0"/>
      <w:divBdr>
        <w:top w:val="none" w:sz="0" w:space="0" w:color="auto"/>
        <w:left w:val="none" w:sz="0" w:space="0" w:color="auto"/>
        <w:bottom w:val="none" w:sz="0" w:space="0" w:color="auto"/>
        <w:right w:val="none" w:sz="0" w:space="0" w:color="auto"/>
      </w:divBdr>
    </w:div>
    <w:div w:id="1418597645">
      <w:bodyDiv w:val="1"/>
      <w:marLeft w:val="0"/>
      <w:marRight w:val="0"/>
      <w:marTop w:val="0"/>
      <w:marBottom w:val="0"/>
      <w:divBdr>
        <w:top w:val="none" w:sz="0" w:space="0" w:color="auto"/>
        <w:left w:val="none" w:sz="0" w:space="0" w:color="auto"/>
        <w:bottom w:val="none" w:sz="0" w:space="0" w:color="auto"/>
        <w:right w:val="none" w:sz="0" w:space="0" w:color="auto"/>
      </w:divBdr>
    </w:div>
    <w:div w:id="1419011956">
      <w:bodyDiv w:val="1"/>
      <w:marLeft w:val="0"/>
      <w:marRight w:val="0"/>
      <w:marTop w:val="0"/>
      <w:marBottom w:val="0"/>
      <w:divBdr>
        <w:top w:val="none" w:sz="0" w:space="0" w:color="auto"/>
        <w:left w:val="none" w:sz="0" w:space="0" w:color="auto"/>
        <w:bottom w:val="none" w:sz="0" w:space="0" w:color="auto"/>
        <w:right w:val="none" w:sz="0" w:space="0" w:color="auto"/>
      </w:divBdr>
    </w:div>
    <w:div w:id="1419016232">
      <w:bodyDiv w:val="1"/>
      <w:marLeft w:val="0"/>
      <w:marRight w:val="0"/>
      <w:marTop w:val="0"/>
      <w:marBottom w:val="0"/>
      <w:divBdr>
        <w:top w:val="none" w:sz="0" w:space="0" w:color="auto"/>
        <w:left w:val="none" w:sz="0" w:space="0" w:color="auto"/>
        <w:bottom w:val="none" w:sz="0" w:space="0" w:color="auto"/>
        <w:right w:val="none" w:sz="0" w:space="0" w:color="auto"/>
      </w:divBdr>
    </w:div>
    <w:div w:id="1419449110">
      <w:bodyDiv w:val="1"/>
      <w:marLeft w:val="0"/>
      <w:marRight w:val="0"/>
      <w:marTop w:val="0"/>
      <w:marBottom w:val="0"/>
      <w:divBdr>
        <w:top w:val="none" w:sz="0" w:space="0" w:color="auto"/>
        <w:left w:val="none" w:sz="0" w:space="0" w:color="auto"/>
        <w:bottom w:val="none" w:sz="0" w:space="0" w:color="auto"/>
        <w:right w:val="none" w:sz="0" w:space="0" w:color="auto"/>
      </w:divBdr>
    </w:div>
    <w:div w:id="1419592184">
      <w:bodyDiv w:val="1"/>
      <w:marLeft w:val="0"/>
      <w:marRight w:val="0"/>
      <w:marTop w:val="0"/>
      <w:marBottom w:val="0"/>
      <w:divBdr>
        <w:top w:val="none" w:sz="0" w:space="0" w:color="auto"/>
        <w:left w:val="none" w:sz="0" w:space="0" w:color="auto"/>
        <w:bottom w:val="none" w:sz="0" w:space="0" w:color="auto"/>
        <w:right w:val="none" w:sz="0" w:space="0" w:color="auto"/>
      </w:divBdr>
    </w:div>
    <w:div w:id="1420104172">
      <w:bodyDiv w:val="1"/>
      <w:marLeft w:val="0"/>
      <w:marRight w:val="0"/>
      <w:marTop w:val="0"/>
      <w:marBottom w:val="0"/>
      <w:divBdr>
        <w:top w:val="none" w:sz="0" w:space="0" w:color="auto"/>
        <w:left w:val="none" w:sz="0" w:space="0" w:color="auto"/>
        <w:bottom w:val="none" w:sz="0" w:space="0" w:color="auto"/>
        <w:right w:val="none" w:sz="0" w:space="0" w:color="auto"/>
      </w:divBdr>
    </w:div>
    <w:div w:id="1420176108">
      <w:bodyDiv w:val="1"/>
      <w:marLeft w:val="0"/>
      <w:marRight w:val="0"/>
      <w:marTop w:val="0"/>
      <w:marBottom w:val="0"/>
      <w:divBdr>
        <w:top w:val="none" w:sz="0" w:space="0" w:color="auto"/>
        <w:left w:val="none" w:sz="0" w:space="0" w:color="auto"/>
        <w:bottom w:val="none" w:sz="0" w:space="0" w:color="auto"/>
        <w:right w:val="none" w:sz="0" w:space="0" w:color="auto"/>
      </w:divBdr>
    </w:div>
    <w:div w:id="1420560723">
      <w:bodyDiv w:val="1"/>
      <w:marLeft w:val="0"/>
      <w:marRight w:val="0"/>
      <w:marTop w:val="0"/>
      <w:marBottom w:val="0"/>
      <w:divBdr>
        <w:top w:val="none" w:sz="0" w:space="0" w:color="auto"/>
        <w:left w:val="none" w:sz="0" w:space="0" w:color="auto"/>
        <w:bottom w:val="none" w:sz="0" w:space="0" w:color="auto"/>
        <w:right w:val="none" w:sz="0" w:space="0" w:color="auto"/>
      </w:divBdr>
    </w:div>
    <w:div w:id="1420785617">
      <w:bodyDiv w:val="1"/>
      <w:marLeft w:val="0"/>
      <w:marRight w:val="0"/>
      <w:marTop w:val="0"/>
      <w:marBottom w:val="0"/>
      <w:divBdr>
        <w:top w:val="none" w:sz="0" w:space="0" w:color="auto"/>
        <w:left w:val="none" w:sz="0" w:space="0" w:color="auto"/>
        <w:bottom w:val="none" w:sz="0" w:space="0" w:color="auto"/>
        <w:right w:val="none" w:sz="0" w:space="0" w:color="auto"/>
      </w:divBdr>
    </w:div>
    <w:div w:id="1420953175">
      <w:bodyDiv w:val="1"/>
      <w:marLeft w:val="0"/>
      <w:marRight w:val="0"/>
      <w:marTop w:val="0"/>
      <w:marBottom w:val="0"/>
      <w:divBdr>
        <w:top w:val="none" w:sz="0" w:space="0" w:color="auto"/>
        <w:left w:val="none" w:sz="0" w:space="0" w:color="auto"/>
        <w:bottom w:val="none" w:sz="0" w:space="0" w:color="auto"/>
        <w:right w:val="none" w:sz="0" w:space="0" w:color="auto"/>
      </w:divBdr>
    </w:div>
    <w:div w:id="1422027820">
      <w:bodyDiv w:val="1"/>
      <w:marLeft w:val="0"/>
      <w:marRight w:val="0"/>
      <w:marTop w:val="0"/>
      <w:marBottom w:val="0"/>
      <w:divBdr>
        <w:top w:val="none" w:sz="0" w:space="0" w:color="auto"/>
        <w:left w:val="none" w:sz="0" w:space="0" w:color="auto"/>
        <w:bottom w:val="none" w:sz="0" w:space="0" w:color="auto"/>
        <w:right w:val="none" w:sz="0" w:space="0" w:color="auto"/>
      </w:divBdr>
    </w:div>
    <w:div w:id="1422406224">
      <w:bodyDiv w:val="1"/>
      <w:marLeft w:val="0"/>
      <w:marRight w:val="0"/>
      <w:marTop w:val="0"/>
      <w:marBottom w:val="0"/>
      <w:divBdr>
        <w:top w:val="none" w:sz="0" w:space="0" w:color="auto"/>
        <w:left w:val="none" w:sz="0" w:space="0" w:color="auto"/>
        <w:bottom w:val="none" w:sz="0" w:space="0" w:color="auto"/>
        <w:right w:val="none" w:sz="0" w:space="0" w:color="auto"/>
      </w:divBdr>
    </w:div>
    <w:div w:id="1422527864">
      <w:bodyDiv w:val="1"/>
      <w:marLeft w:val="0"/>
      <w:marRight w:val="0"/>
      <w:marTop w:val="0"/>
      <w:marBottom w:val="0"/>
      <w:divBdr>
        <w:top w:val="none" w:sz="0" w:space="0" w:color="auto"/>
        <w:left w:val="none" w:sz="0" w:space="0" w:color="auto"/>
        <w:bottom w:val="none" w:sz="0" w:space="0" w:color="auto"/>
        <w:right w:val="none" w:sz="0" w:space="0" w:color="auto"/>
      </w:divBdr>
    </w:div>
    <w:div w:id="1423338285">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24106833">
      <w:bodyDiv w:val="1"/>
      <w:marLeft w:val="0"/>
      <w:marRight w:val="0"/>
      <w:marTop w:val="0"/>
      <w:marBottom w:val="0"/>
      <w:divBdr>
        <w:top w:val="none" w:sz="0" w:space="0" w:color="auto"/>
        <w:left w:val="none" w:sz="0" w:space="0" w:color="auto"/>
        <w:bottom w:val="none" w:sz="0" w:space="0" w:color="auto"/>
        <w:right w:val="none" w:sz="0" w:space="0" w:color="auto"/>
      </w:divBdr>
    </w:div>
    <w:div w:id="1424565810">
      <w:bodyDiv w:val="1"/>
      <w:marLeft w:val="0"/>
      <w:marRight w:val="0"/>
      <w:marTop w:val="0"/>
      <w:marBottom w:val="0"/>
      <w:divBdr>
        <w:top w:val="none" w:sz="0" w:space="0" w:color="auto"/>
        <w:left w:val="none" w:sz="0" w:space="0" w:color="auto"/>
        <w:bottom w:val="none" w:sz="0" w:space="0" w:color="auto"/>
        <w:right w:val="none" w:sz="0" w:space="0" w:color="auto"/>
      </w:divBdr>
    </w:div>
    <w:div w:id="1425220701">
      <w:bodyDiv w:val="1"/>
      <w:marLeft w:val="0"/>
      <w:marRight w:val="0"/>
      <w:marTop w:val="0"/>
      <w:marBottom w:val="0"/>
      <w:divBdr>
        <w:top w:val="none" w:sz="0" w:space="0" w:color="auto"/>
        <w:left w:val="none" w:sz="0" w:space="0" w:color="auto"/>
        <w:bottom w:val="none" w:sz="0" w:space="0" w:color="auto"/>
        <w:right w:val="none" w:sz="0" w:space="0" w:color="auto"/>
      </w:divBdr>
    </w:div>
    <w:div w:id="1425296864">
      <w:bodyDiv w:val="1"/>
      <w:marLeft w:val="0"/>
      <w:marRight w:val="0"/>
      <w:marTop w:val="0"/>
      <w:marBottom w:val="0"/>
      <w:divBdr>
        <w:top w:val="none" w:sz="0" w:space="0" w:color="auto"/>
        <w:left w:val="none" w:sz="0" w:space="0" w:color="auto"/>
        <w:bottom w:val="none" w:sz="0" w:space="0" w:color="auto"/>
        <w:right w:val="none" w:sz="0" w:space="0" w:color="auto"/>
      </w:divBdr>
    </w:div>
    <w:div w:id="1425805329">
      <w:bodyDiv w:val="1"/>
      <w:marLeft w:val="0"/>
      <w:marRight w:val="0"/>
      <w:marTop w:val="0"/>
      <w:marBottom w:val="0"/>
      <w:divBdr>
        <w:top w:val="none" w:sz="0" w:space="0" w:color="auto"/>
        <w:left w:val="none" w:sz="0" w:space="0" w:color="auto"/>
        <w:bottom w:val="none" w:sz="0" w:space="0" w:color="auto"/>
        <w:right w:val="none" w:sz="0" w:space="0" w:color="auto"/>
      </w:divBdr>
    </w:div>
    <w:div w:id="1425878881">
      <w:bodyDiv w:val="1"/>
      <w:marLeft w:val="0"/>
      <w:marRight w:val="0"/>
      <w:marTop w:val="0"/>
      <w:marBottom w:val="0"/>
      <w:divBdr>
        <w:top w:val="none" w:sz="0" w:space="0" w:color="auto"/>
        <w:left w:val="none" w:sz="0" w:space="0" w:color="auto"/>
        <w:bottom w:val="none" w:sz="0" w:space="0" w:color="auto"/>
        <w:right w:val="none" w:sz="0" w:space="0" w:color="auto"/>
      </w:divBdr>
    </w:div>
    <w:div w:id="1426076244">
      <w:bodyDiv w:val="1"/>
      <w:marLeft w:val="0"/>
      <w:marRight w:val="0"/>
      <w:marTop w:val="0"/>
      <w:marBottom w:val="0"/>
      <w:divBdr>
        <w:top w:val="none" w:sz="0" w:space="0" w:color="auto"/>
        <w:left w:val="none" w:sz="0" w:space="0" w:color="auto"/>
        <w:bottom w:val="none" w:sz="0" w:space="0" w:color="auto"/>
        <w:right w:val="none" w:sz="0" w:space="0" w:color="auto"/>
      </w:divBdr>
    </w:div>
    <w:div w:id="1426263857">
      <w:bodyDiv w:val="1"/>
      <w:marLeft w:val="0"/>
      <w:marRight w:val="0"/>
      <w:marTop w:val="0"/>
      <w:marBottom w:val="0"/>
      <w:divBdr>
        <w:top w:val="none" w:sz="0" w:space="0" w:color="auto"/>
        <w:left w:val="none" w:sz="0" w:space="0" w:color="auto"/>
        <w:bottom w:val="none" w:sz="0" w:space="0" w:color="auto"/>
        <w:right w:val="none" w:sz="0" w:space="0" w:color="auto"/>
      </w:divBdr>
    </w:div>
    <w:div w:id="1426607725">
      <w:bodyDiv w:val="1"/>
      <w:marLeft w:val="0"/>
      <w:marRight w:val="0"/>
      <w:marTop w:val="0"/>
      <w:marBottom w:val="0"/>
      <w:divBdr>
        <w:top w:val="none" w:sz="0" w:space="0" w:color="auto"/>
        <w:left w:val="none" w:sz="0" w:space="0" w:color="auto"/>
        <w:bottom w:val="none" w:sz="0" w:space="0" w:color="auto"/>
        <w:right w:val="none" w:sz="0" w:space="0" w:color="auto"/>
      </w:divBdr>
    </w:div>
    <w:div w:id="1427338993">
      <w:bodyDiv w:val="1"/>
      <w:marLeft w:val="0"/>
      <w:marRight w:val="0"/>
      <w:marTop w:val="0"/>
      <w:marBottom w:val="0"/>
      <w:divBdr>
        <w:top w:val="none" w:sz="0" w:space="0" w:color="auto"/>
        <w:left w:val="none" w:sz="0" w:space="0" w:color="auto"/>
        <w:bottom w:val="none" w:sz="0" w:space="0" w:color="auto"/>
        <w:right w:val="none" w:sz="0" w:space="0" w:color="auto"/>
      </w:divBdr>
    </w:div>
    <w:div w:id="1428160576">
      <w:bodyDiv w:val="1"/>
      <w:marLeft w:val="0"/>
      <w:marRight w:val="0"/>
      <w:marTop w:val="0"/>
      <w:marBottom w:val="0"/>
      <w:divBdr>
        <w:top w:val="none" w:sz="0" w:space="0" w:color="auto"/>
        <w:left w:val="none" w:sz="0" w:space="0" w:color="auto"/>
        <w:bottom w:val="none" w:sz="0" w:space="0" w:color="auto"/>
        <w:right w:val="none" w:sz="0" w:space="0" w:color="auto"/>
      </w:divBdr>
    </w:div>
    <w:div w:id="1428186345">
      <w:bodyDiv w:val="1"/>
      <w:marLeft w:val="0"/>
      <w:marRight w:val="0"/>
      <w:marTop w:val="0"/>
      <w:marBottom w:val="0"/>
      <w:divBdr>
        <w:top w:val="none" w:sz="0" w:space="0" w:color="auto"/>
        <w:left w:val="none" w:sz="0" w:space="0" w:color="auto"/>
        <w:bottom w:val="none" w:sz="0" w:space="0" w:color="auto"/>
        <w:right w:val="none" w:sz="0" w:space="0" w:color="auto"/>
      </w:divBdr>
    </w:div>
    <w:div w:id="1428235912">
      <w:bodyDiv w:val="1"/>
      <w:marLeft w:val="0"/>
      <w:marRight w:val="0"/>
      <w:marTop w:val="0"/>
      <w:marBottom w:val="0"/>
      <w:divBdr>
        <w:top w:val="none" w:sz="0" w:space="0" w:color="auto"/>
        <w:left w:val="none" w:sz="0" w:space="0" w:color="auto"/>
        <w:bottom w:val="none" w:sz="0" w:space="0" w:color="auto"/>
        <w:right w:val="none" w:sz="0" w:space="0" w:color="auto"/>
      </w:divBdr>
    </w:div>
    <w:div w:id="1428312176">
      <w:bodyDiv w:val="1"/>
      <w:marLeft w:val="0"/>
      <w:marRight w:val="0"/>
      <w:marTop w:val="0"/>
      <w:marBottom w:val="0"/>
      <w:divBdr>
        <w:top w:val="none" w:sz="0" w:space="0" w:color="auto"/>
        <w:left w:val="none" w:sz="0" w:space="0" w:color="auto"/>
        <w:bottom w:val="none" w:sz="0" w:space="0" w:color="auto"/>
        <w:right w:val="none" w:sz="0" w:space="0" w:color="auto"/>
      </w:divBdr>
    </w:div>
    <w:div w:id="1428388120">
      <w:bodyDiv w:val="1"/>
      <w:marLeft w:val="0"/>
      <w:marRight w:val="0"/>
      <w:marTop w:val="0"/>
      <w:marBottom w:val="0"/>
      <w:divBdr>
        <w:top w:val="none" w:sz="0" w:space="0" w:color="auto"/>
        <w:left w:val="none" w:sz="0" w:space="0" w:color="auto"/>
        <w:bottom w:val="none" w:sz="0" w:space="0" w:color="auto"/>
        <w:right w:val="none" w:sz="0" w:space="0" w:color="auto"/>
      </w:divBdr>
    </w:div>
    <w:div w:id="1428578535">
      <w:bodyDiv w:val="1"/>
      <w:marLeft w:val="0"/>
      <w:marRight w:val="0"/>
      <w:marTop w:val="0"/>
      <w:marBottom w:val="0"/>
      <w:divBdr>
        <w:top w:val="none" w:sz="0" w:space="0" w:color="auto"/>
        <w:left w:val="none" w:sz="0" w:space="0" w:color="auto"/>
        <w:bottom w:val="none" w:sz="0" w:space="0" w:color="auto"/>
        <w:right w:val="none" w:sz="0" w:space="0" w:color="auto"/>
      </w:divBdr>
    </w:div>
    <w:div w:id="1428624401">
      <w:bodyDiv w:val="1"/>
      <w:marLeft w:val="0"/>
      <w:marRight w:val="0"/>
      <w:marTop w:val="0"/>
      <w:marBottom w:val="0"/>
      <w:divBdr>
        <w:top w:val="none" w:sz="0" w:space="0" w:color="auto"/>
        <w:left w:val="none" w:sz="0" w:space="0" w:color="auto"/>
        <w:bottom w:val="none" w:sz="0" w:space="0" w:color="auto"/>
        <w:right w:val="none" w:sz="0" w:space="0" w:color="auto"/>
      </w:divBdr>
    </w:div>
    <w:div w:id="1428960162">
      <w:bodyDiv w:val="1"/>
      <w:marLeft w:val="0"/>
      <w:marRight w:val="0"/>
      <w:marTop w:val="0"/>
      <w:marBottom w:val="0"/>
      <w:divBdr>
        <w:top w:val="none" w:sz="0" w:space="0" w:color="auto"/>
        <w:left w:val="none" w:sz="0" w:space="0" w:color="auto"/>
        <w:bottom w:val="none" w:sz="0" w:space="0" w:color="auto"/>
        <w:right w:val="none" w:sz="0" w:space="0" w:color="auto"/>
      </w:divBdr>
    </w:div>
    <w:div w:id="1429733601">
      <w:bodyDiv w:val="1"/>
      <w:marLeft w:val="0"/>
      <w:marRight w:val="0"/>
      <w:marTop w:val="0"/>
      <w:marBottom w:val="0"/>
      <w:divBdr>
        <w:top w:val="none" w:sz="0" w:space="0" w:color="auto"/>
        <w:left w:val="none" w:sz="0" w:space="0" w:color="auto"/>
        <w:bottom w:val="none" w:sz="0" w:space="0" w:color="auto"/>
        <w:right w:val="none" w:sz="0" w:space="0" w:color="auto"/>
      </w:divBdr>
    </w:div>
    <w:div w:id="1429959853">
      <w:bodyDiv w:val="1"/>
      <w:marLeft w:val="0"/>
      <w:marRight w:val="0"/>
      <w:marTop w:val="0"/>
      <w:marBottom w:val="0"/>
      <w:divBdr>
        <w:top w:val="none" w:sz="0" w:space="0" w:color="auto"/>
        <w:left w:val="none" w:sz="0" w:space="0" w:color="auto"/>
        <w:bottom w:val="none" w:sz="0" w:space="0" w:color="auto"/>
        <w:right w:val="none" w:sz="0" w:space="0" w:color="auto"/>
      </w:divBdr>
    </w:div>
    <w:div w:id="1430000873">
      <w:bodyDiv w:val="1"/>
      <w:marLeft w:val="0"/>
      <w:marRight w:val="0"/>
      <w:marTop w:val="0"/>
      <w:marBottom w:val="0"/>
      <w:divBdr>
        <w:top w:val="none" w:sz="0" w:space="0" w:color="auto"/>
        <w:left w:val="none" w:sz="0" w:space="0" w:color="auto"/>
        <w:bottom w:val="none" w:sz="0" w:space="0" w:color="auto"/>
        <w:right w:val="none" w:sz="0" w:space="0" w:color="auto"/>
      </w:divBdr>
    </w:div>
    <w:div w:id="1430466497">
      <w:bodyDiv w:val="1"/>
      <w:marLeft w:val="0"/>
      <w:marRight w:val="0"/>
      <w:marTop w:val="0"/>
      <w:marBottom w:val="0"/>
      <w:divBdr>
        <w:top w:val="none" w:sz="0" w:space="0" w:color="auto"/>
        <w:left w:val="none" w:sz="0" w:space="0" w:color="auto"/>
        <w:bottom w:val="none" w:sz="0" w:space="0" w:color="auto"/>
        <w:right w:val="none" w:sz="0" w:space="0" w:color="auto"/>
      </w:divBdr>
    </w:div>
    <w:div w:id="1430814050">
      <w:bodyDiv w:val="1"/>
      <w:marLeft w:val="0"/>
      <w:marRight w:val="0"/>
      <w:marTop w:val="0"/>
      <w:marBottom w:val="0"/>
      <w:divBdr>
        <w:top w:val="none" w:sz="0" w:space="0" w:color="auto"/>
        <w:left w:val="none" w:sz="0" w:space="0" w:color="auto"/>
        <w:bottom w:val="none" w:sz="0" w:space="0" w:color="auto"/>
        <w:right w:val="none" w:sz="0" w:space="0" w:color="auto"/>
      </w:divBdr>
    </w:div>
    <w:div w:id="1431853756">
      <w:bodyDiv w:val="1"/>
      <w:marLeft w:val="0"/>
      <w:marRight w:val="0"/>
      <w:marTop w:val="0"/>
      <w:marBottom w:val="0"/>
      <w:divBdr>
        <w:top w:val="none" w:sz="0" w:space="0" w:color="auto"/>
        <w:left w:val="none" w:sz="0" w:space="0" w:color="auto"/>
        <w:bottom w:val="none" w:sz="0" w:space="0" w:color="auto"/>
        <w:right w:val="none" w:sz="0" w:space="0" w:color="auto"/>
      </w:divBdr>
    </w:div>
    <w:div w:id="1431856515">
      <w:bodyDiv w:val="1"/>
      <w:marLeft w:val="0"/>
      <w:marRight w:val="0"/>
      <w:marTop w:val="0"/>
      <w:marBottom w:val="0"/>
      <w:divBdr>
        <w:top w:val="none" w:sz="0" w:space="0" w:color="auto"/>
        <w:left w:val="none" w:sz="0" w:space="0" w:color="auto"/>
        <w:bottom w:val="none" w:sz="0" w:space="0" w:color="auto"/>
        <w:right w:val="none" w:sz="0" w:space="0" w:color="auto"/>
      </w:divBdr>
    </w:div>
    <w:div w:id="1431900287">
      <w:bodyDiv w:val="1"/>
      <w:marLeft w:val="0"/>
      <w:marRight w:val="0"/>
      <w:marTop w:val="0"/>
      <w:marBottom w:val="0"/>
      <w:divBdr>
        <w:top w:val="none" w:sz="0" w:space="0" w:color="auto"/>
        <w:left w:val="none" w:sz="0" w:space="0" w:color="auto"/>
        <w:bottom w:val="none" w:sz="0" w:space="0" w:color="auto"/>
        <w:right w:val="none" w:sz="0" w:space="0" w:color="auto"/>
      </w:divBdr>
    </w:div>
    <w:div w:id="1432050900">
      <w:bodyDiv w:val="1"/>
      <w:marLeft w:val="0"/>
      <w:marRight w:val="0"/>
      <w:marTop w:val="0"/>
      <w:marBottom w:val="0"/>
      <w:divBdr>
        <w:top w:val="none" w:sz="0" w:space="0" w:color="auto"/>
        <w:left w:val="none" w:sz="0" w:space="0" w:color="auto"/>
        <w:bottom w:val="none" w:sz="0" w:space="0" w:color="auto"/>
        <w:right w:val="none" w:sz="0" w:space="0" w:color="auto"/>
      </w:divBdr>
    </w:div>
    <w:div w:id="1432167641">
      <w:bodyDiv w:val="1"/>
      <w:marLeft w:val="0"/>
      <w:marRight w:val="0"/>
      <w:marTop w:val="0"/>
      <w:marBottom w:val="0"/>
      <w:divBdr>
        <w:top w:val="none" w:sz="0" w:space="0" w:color="auto"/>
        <w:left w:val="none" w:sz="0" w:space="0" w:color="auto"/>
        <w:bottom w:val="none" w:sz="0" w:space="0" w:color="auto"/>
        <w:right w:val="none" w:sz="0" w:space="0" w:color="auto"/>
      </w:divBdr>
    </w:div>
    <w:div w:id="1432315063">
      <w:bodyDiv w:val="1"/>
      <w:marLeft w:val="0"/>
      <w:marRight w:val="0"/>
      <w:marTop w:val="0"/>
      <w:marBottom w:val="0"/>
      <w:divBdr>
        <w:top w:val="none" w:sz="0" w:space="0" w:color="auto"/>
        <w:left w:val="none" w:sz="0" w:space="0" w:color="auto"/>
        <w:bottom w:val="none" w:sz="0" w:space="0" w:color="auto"/>
        <w:right w:val="none" w:sz="0" w:space="0" w:color="auto"/>
      </w:divBdr>
    </w:div>
    <w:div w:id="1432434239">
      <w:bodyDiv w:val="1"/>
      <w:marLeft w:val="0"/>
      <w:marRight w:val="0"/>
      <w:marTop w:val="0"/>
      <w:marBottom w:val="0"/>
      <w:divBdr>
        <w:top w:val="none" w:sz="0" w:space="0" w:color="auto"/>
        <w:left w:val="none" w:sz="0" w:space="0" w:color="auto"/>
        <w:bottom w:val="none" w:sz="0" w:space="0" w:color="auto"/>
        <w:right w:val="none" w:sz="0" w:space="0" w:color="auto"/>
      </w:divBdr>
    </w:div>
    <w:div w:id="1432510025">
      <w:bodyDiv w:val="1"/>
      <w:marLeft w:val="0"/>
      <w:marRight w:val="0"/>
      <w:marTop w:val="0"/>
      <w:marBottom w:val="0"/>
      <w:divBdr>
        <w:top w:val="none" w:sz="0" w:space="0" w:color="auto"/>
        <w:left w:val="none" w:sz="0" w:space="0" w:color="auto"/>
        <w:bottom w:val="none" w:sz="0" w:space="0" w:color="auto"/>
        <w:right w:val="none" w:sz="0" w:space="0" w:color="auto"/>
      </w:divBdr>
    </w:div>
    <w:div w:id="1432773980">
      <w:bodyDiv w:val="1"/>
      <w:marLeft w:val="0"/>
      <w:marRight w:val="0"/>
      <w:marTop w:val="0"/>
      <w:marBottom w:val="0"/>
      <w:divBdr>
        <w:top w:val="none" w:sz="0" w:space="0" w:color="auto"/>
        <w:left w:val="none" w:sz="0" w:space="0" w:color="auto"/>
        <w:bottom w:val="none" w:sz="0" w:space="0" w:color="auto"/>
        <w:right w:val="none" w:sz="0" w:space="0" w:color="auto"/>
      </w:divBdr>
    </w:div>
    <w:div w:id="1432774038">
      <w:bodyDiv w:val="1"/>
      <w:marLeft w:val="0"/>
      <w:marRight w:val="0"/>
      <w:marTop w:val="0"/>
      <w:marBottom w:val="0"/>
      <w:divBdr>
        <w:top w:val="none" w:sz="0" w:space="0" w:color="auto"/>
        <w:left w:val="none" w:sz="0" w:space="0" w:color="auto"/>
        <w:bottom w:val="none" w:sz="0" w:space="0" w:color="auto"/>
        <w:right w:val="none" w:sz="0" w:space="0" w:color="auto"/>
      </w:divBdr>
    </w:div>
    <w:div w:id="1432970298">
      <w:bodyDiv w:val="1"/>
      <w:marLeft w:val="0"/>
      <w:marRight w:val="0"/>
      <w:marTop w:val="0"/>
      <w:marBottom w:val="0"/>
      <w:divBdr>
        <w:top w:val="none" w:sz="0" w:space="0" w:color="auto"/>
        <w:left w:val="none" w:sz="0" w:space="0" w:color="auto"/>
        <w:bottom w:val="none" w:sz="0" w:space="0" w:color="auto"/>
        <w:right w:val="none" w:sz="0" w:space="0" w:color="auto"/>
      </w:divBdr>
    </w:div>
    <w:div w:id="1433090279">
      <w:bodyDiv w:val="1"/>
      <w:marLeft w:val="0"/>
      <w:marRight w:val="0"/>
      <w:marTop w:val="0"/>
      <w:marBottom w:val="0"/>
      <w:divBdr>
        <w:top w:val="none" w:sz="0" w:space="0" w:color="auto"/>
        <w:left w:val="none" w:sz="0" w:space="0" w:color="auto"/>
        <w:bottom w:val="none" w:sz="0" w:space="0" w:color="auto"/>
        <w:right w:val="none" w:sz="0" w:space="0" w:color="auto"/>
      </w:divBdr>
    </w:div>
    <w:div w:id="1433285294">
      <w:bodyDiv w:val="1"/>
      <w:marLeft w:val="0"/>
      <w:marRight w:val="0"/>
      <w:marTop w:val="0"/>
      <w:marBottom w:val="0"/>
      <w:divBdr>
        <w:top w:val="none" w:sz="0" w:space="0" w:color="auto"/>
        <w:left w:val="none" w:sz="0" w:space="0" w:color="auto"/>
        <w:bottom w:val="none" w:sz="0" w:space="0" w:color="auto"/>
        <w:right w:val="none" w:sz="0" w:space="0" w:color="auto"/>
      </w:divBdr>
    </w:div>
    <w:div w:id="1433941114">
      <w:bodyDiv w:val="1"/>
      <w:marLeft w:val="0"/>
      <w:marRight w:val="0"/>
      <w:marTop w:val="0"/>
      <w:marBottom w:val="0"/>
      <w:divBdr>
        <w:top w:val="none" w:sz="0" w:space="0" w:color="auto"/>
        <w:left w:val="none" w:sz="0" w:space="0" w:color="auto"/>
        <w:bottom w:val="none" w:sz="0" w:space="0" w:color="auto"/>
        <w:right w:val="none" w:sz="0" w:space="0" w:color="auto"/>
      </w:divBdr>
    </w:div>
    <w:div w:id="1434059653">
      <w:bodyDiv w:val="1"/>
      <w:marLeft w:val="0"/>
      <w:marRight w:val="0"/>
      <w:marTop w:val="0"/>
      <w:marBottom w:val="0"/>
      <w:divBdr>
        <w:top w:val="none" w:sz="0" w:space="0" w:color="auto"/>
        <w:left w:val="none" w:sz="0" w:space="0" w:color="auto"/>
        <w:bottom w:val="none" w:sz="0" w:space="0" w:color="auto"/>
        <w:right w:val="none" w:sz="0" w:space="0" w:color="auto"/>
      </w:divBdr>
    </w:div>
    <w:div w:id="1434129851">
      <w:bodyDiv w:val="1"/>
      <w:marLeft w:val="0"/>
      <w:marRight w:val="0"/>
      <w:marTop w:val="0"/>
      <w:marBottom w:val="0"/>
      <w:divBdr>
        <w:top w:val="none" w:sz="0" w:space="0" w:color="auto"/>
        <w:left w:val="none" w:sz="0" w:space="0" w:color="auto"/>
        <w:bottom w:val="none" w:sz="0" w:space="0" w:color="auto"/>
        <w:right w:val="none" w:sz="0" w:space="0" w:color="auto"/>
      </w:divBdr>
    </w:div>
    <w:div w:id="1434205792">
      <w:bodyDiv w:val="1"/>
      <w:marLeft w:val="0"/>
      <w:marRight w:val="0"/>
      <w:marTop w:val="0"/>
      <w:marBottom w:val="0"/>
      <w:divBdr>
        <w:top w:val="none" w:sz="0" w:space="0" w:color="auto"/>
        <w:left w:val="none" w:sz="0" w:space="0" w:color="auto"/>
        <w:bottom w:val="none" w:sz="0" w:space="0" w:color="auto"/>
        <w:right w:val="none" w:sz="0" w:space="0" w:color="auto"/>
      </w:divBdr>
    </w:div>
    <w:div w:id="1434593079">
      <w:bodyDiv w:val="1"/>
      <w:marLeft w:val="0"/>
      <w:marRight w:val="0"/>
      <w:marTop w:val="0"/>
      <w:marBottom w:val="0"/>
      <w:divBdr>
        <w:top w:val="none" w:sz="0" w:space="0" w:color="auto"/>
        <w:left w:val="none" w:sz="0" w:space="0" w:color="auto"/>
        <w:bottom w:val="none" w:sz="0" w:space="0" w:color="auto"/>
        <w:right w:val="none" w:sz="0" w:space="0" w:color="auto"/>
      </w:divBdr>
    </w:div>
    <w:div w:id="1434932773">
      <w:bodyDiv w:val="1"/>
      <w:marLeft w:val="0"/>
      <w:marRight w:val="0"/>
      <w:marTop w:val="0"/>
      <w:marBottom w:val="0"/>
      <w:divBdr>
        <w:top w:val="none" w:sz="0" w:space="0" w:color="auto"/>
        <w:left w:val="none" w:sz="0" w:space="0" w:color="auto"/>
        <w:bottom w:val="none" w:sz="0" w:space="0" w:color="auto"/>
        <w:right w:val="none" w:sz="0" w:space="0" w:color="auto"/>
      </w:divBdr>
    </w:div>
    <w:div w:id="1435593812">
      <w:bodyDiv w:val="1"/>
      <w:marLeft w:val="0"/>
      <w:marRight w:val="0"/>
      <w:marTop w:val="0"/>
      <w:marBottom w:val="0"/>
      <w:divBdr>
        <w:top w:val="none" w:sz="0" w:space="0" w:color="auto"/>
        <w:left w:val="none" w:sz="0" w:space="0" w:color="auto"/>
        <w:bottom w:val="none" w:sz="0" w:space="0" w:color="auto"/>
        <w:right w:val="none" w:sz="0" w:space="0" w:color="auto"/>
      </w:divBdr>
    </w:div>
    <w:div w:id="1436636623">
      <w:bodyDiv w:val="1"/>
      <w:marLeft w:val="0"/>
      <w:marRight w:val="0"/>
      <w:marTop w:val="0"/>
      <w:marBottom w:val="0"/>
      <w:divBdr>
        <w:top w:val="none" w:sz="0" w:space="0" w:color="auto"/>
        <w:left w:val="none" w:sz="0" w:space="0" w:color="auto"/>
        <w:bottom w:val="none" w:sz="0" w:space="0" w:color="auto"/>
        <w:right w:val="none" w:sz="0" w:space="0" w:color="auto"/>
      </w:divBdr>
    </w:div>
    <w:div w:id="1437169621">
      <w:bodyDiv w:val="1"/>
      <w:marLeft w:val="0"/>
      <w:marRight w:val="0"/>
      <w:marTop w:val="0"/>
      <w:marBottom w:val="0"/>
      <w:divBdr>
        <w:top w:val="none" w:sz="0" w:space="0" w:color="auto"/>
        <w:left w:val="none" w:sz="0" w:space="0" w:color="auto"/>
        <w:bottom w:val="none" w:sz="0" w:space="0" w:color="auto"/>
        <w:right w:val="none" w:sz="0" w:space="0" w:color="auto"/>
      </w:divBdr>
    </w:div>
    <w:div w:id="1437556008">
      <w:bodyDiv w:val="1"/>
      <w:marLeft w:val="0"/>
      <w:marRight w:val="0"/>
      <w:marTop w:val="0"/>
      <w:marBottom w:val="0"/>
      <w:divBdr>
        <w:top w:val="none" w:sz="0" w:space="0" w:color="auto"/>
        <w:left w:val="none" w:sz="0" w:space="0" w:color="auto"/>
        <w:bottom w:val="none" w:sz="0" w:space="0" w:color="auto"/>
        <w:right w:val="none" w:sz="0" w:space="0" w:color="auto"/>
      </w:divBdr>
    </w:div>
    <w:div w:id="1437604861">
      <w:bodyDiv w:val="1"/>
      <w:marLeft w:val="0"/>
      <w:marRight w:val="0"/>
      <w:marTop w:val="0"/>
      <w:marBottom w:val="0"/>
      <w:divBdr>
        <w:top w:val="none" w:sz="0" w:space="0" w:color="auto"/>
        <w:left w:val="none" w:sz="0" w:space="0" w:color="auto"/>
        <w:bottom w:val="none" w:sz="0" w:space="0" w:color="auto"/>
        <w:right w:val="none" w:sz="0" w:space="0" w:color="auto"/>
      </w:divBdr>
    </w:div>
    <w:div w:id="1437871806">
      <w:bodyDiv w:val="1"/>
      <w:marLeft w:val="0"/>
      <w:marRight w:val="0"/>
      <w:marTop w:val="0"/>
      <w:marBottom w:val="0"/>
      <w:divBdr>
        <w:top w:val="none" w:sz="0" w:space="0" w:color="auto"/>
        <w:left w:val="none" w:sz="0" w:space="0" w:color="auto"/>
        <w:bottom w:val="none" w:sz="0" w:space="0" w:color="auto"/>
        <w:right w:val="none" w:sz="0" w:space="0" w:color="auto"/>
      </w:divBdr>
    </w:div>
    <w:div w:id="1438211032">
      <w:bodyDiv w:val="1"/>
      <w:marLeft w:val="0"/>
      <w:marRight w:val="0"/>
      <w:marTop w:val="0"/>
      <w:marBottom w:val="0"/>
      <w:divBdr>
        <w:top w:val="none" w:sz="0" w:space="0" w:color="auto"/>
        <w:left w:val="none" w:sz="0" w:space="0" w:color="auto"/>
        <w:bottom w:val="none" w:sz="0" w:space="0" w:color="auto"/>
        <w:right w:val="none" w:sz="0" w:space="0" w:color="auto"/>
      </w:divBdr>
    </w:div>
    <w:div w:id="1438255939">
      <w:bodyDiv w:val="1"/>
      <w:marLeft w:val="0"/>
      <w:marRight w:val="0"/>
      <w:marTop w:val="0"/>
      <w:marBottom w:val="0"/>
      <w:divBdr>
        <w:top w:val="none" w:sz="0" w:space="0" w:color="auto"/>
        <w:left w:val="none" w:sz="0" w:space="0" w:color="auto"/>
        <w:bottom w:val="none" w:sz="0" w:space="0" w:color="auto"/>
        <w:right w:val="none" w:sz="0" w:space="0" w:color="auto"/>
      </w:divBdr>
    </w:div>
    <w:div w:id="1438990624">
      <w:bodyDiv w:val="1"/>
      <w:marLeft w:val="0"/>
      <w:marRight w:val="0"/>
      <w:marTop w:val="0"/>
      <w:marBottom w:val="0"/>
      <w:divBdr>
        <w:top w:val="none" w:sz="0" w:space="0" w:color="auto"/>
        <w:left w:val="none" w:sz="0" w:space="0" w:color="auto"/>
        <w:bottom w:val="none" w:sz="0" w:space="0" w:color="auto"/>
        <w:right w:val="none" w:sz="0" w:space="0" w:color="auto"/>
      </w:divBdr>
    </w:div>
    <w:div w:id="1439060678">
      <w:bodyDiv w:val="1"/>
      <w:marLeft w:val="0"/>
      <w:marRight w:val="0"/>
      <w:marTop w:val="0"/>
      <w:marBottom w:val="0"/>
      <w:divBdr>
        <w:top w:val="none" w:sz="0" w:space="0" w:color="auto"/>
        <w:left w:val="none" w:sz="0" w:space="0" w:color="auto"/>
        <w:bottom w:val="none" w:sz="0" w:space="0" w:color="auto"/>
        <w:right w:val="none" w:sz="0" w:space="0" w:color="auto"/>
      </w:divBdr>
    </w:div>
    <w:div w:id="1439327003">
      <w:bodyDiv w:val="1"/>
      <w:marLeft w:val="0"/>
      <w:marRight w:val="0"/>
      <w:marTop w:val="0"/>
      <w:marBottom w:val="0"/>
      <w:divBdr>
        <w:top w:val="none" w:sz="0" w:space="0" w:color="auto"/>
        <w:left w:val="none" w:sz="0" w:space="0" w:color="auto"/>
        <w:bottom w:val="none" w:sz="0" w:space="0" w:color="auto"/>
        <w:right w:val="none" w:sz="0" w:space="0" w:color="auto"/>
      </w:divBdr>
    </w:div>
    <w:div w:id="1439566618">
      <w:bodyDiv w:val="1"/>
      <w:marLeft w:val="0"/>
      <w:marRight w:val="0"/>
      <w:marTop w:val="0"/>
      <w:marBottom w:val="0"/>
      <w:divBdr>
        <w:top w:val="none" w:sz="0" w:space="0" w:color="auto"/>
        <w:left w:val="none" w:sz="0" w:space="0" w:color="auto"/>
        <w:bottom w:val="none" w:sz="0" w:space="0" w:color="auto"/>
        <w:right w:val="none" w:sz="0" w:space="0" w:color="auto"/>
      </w:divBdr>
    </w:div>
    <w:div w:id="1439905317">
      <w:bodyDiv w:val="1"/>
      <w:marLeft w:val="0"/>
      <w:marRight w:val="0"/>
      <w:marTop w:val="0"/>
      <w:marBottom w:val="0"/>
      <w:divBdr>
        <w:top w:val="none" w:sz="0" w:space="0" w:color="auto"/>
        <w:left w:val="none" w:sz="0" w:space="0" w:color="auto"/>
        <w:bottom w:val="none" w:sz="0" w:space="0" w:color="auto"/>
        <w:right w:val="none" w:sz="0" w:space="0" w:color="auto"/>
      </w:divBdr>
    </w:div>
    <w:div w:id="1439907653">
      <w:bodyDiv w:val="1"/>
      <w:marLeft w:val="0"/>
      <w:marRight w:val="0"/>
      <w:marTop w:val="0"/>
      <w:marBottom w:val="0"/>
      <w:divBdr>
        <w:top w:val="none" w:sz="0" w:space="0" w:color="auto"/>
        <w:left w:val="none" w:sz="0" w:space="0" w:color="auto"/>
        <w:bottom w:val="none" w:sz="0" w:space="0" w:color="auto"/>
        <w:right w:val="none" w:sz="0" w:space="0" w:color="auto"/>
      </w:divBdr>
    </w:div>
    <w:div w:id="1440487578">
      <w:bodyDiv w:val="1"/>
      <w:marLeft w:val="0"/>
      <w:marRight w:val="0"/>
      <w:marTop w:val="0"/>
      <w:marBottom w:val="0"/>
      <w:divBdr>
        <w:top w:val="none" w:sz="0" w:space="0" w:color="auto"/>
        <w:left w:val="none" w:sz="0" w:space="0" w:color="auto"/>
        <w:bottom w:val="none" w:sz="0" w:space="0" w:color="auto"/>
        <w:right w:val="none" w:sz="0" w:space="0" w:color="auto"/>
      </w:divBdr>
    </w:div>
    <w:div w:id="1440756195">
      <w:bodyDiv w:val="1"/>
      <w:marLeft w:val="0"/>
      <w:marRight w:val="0"/>
      <w:marTop w:val="0"/>
      <w:marBottom w:val="0"/>
      <w:divBdr>
        <w:top w:val="none" w:sz="0" w:space="0" w:color="auto"/>
        <w:left w:val="none" w:sz="0" w:space="0" w:color="auto"/>
        <w:bottom w:val="none" w:sz="0" w:space="0" w:color="auto"/>
        <w:right w:val="none" w:sz="0" w:space="0" w:color="auto"/>
      </w:divBdr>
    </w:div>
    <w:div w:id="1440836896">
      <w:bodyDiv w:val="1"/>
      <w:marLeft w:val="0"/>
      <w:marRight w:val="0"/>
      <w:marTop w:val="0"/>
      <w:marBottom w:val="0"/>
      <w:divBdr>
        <w:top w:val="none" w:sz="0" w:space="0" w:color="auto"/>
        <w:left w:val="none" w:sz="0" w:space="0" w:color="auto"/>
        <w:bottom w:val="none" w:sz="0" w:space="0" w:color="auto"/>
        <w:right w:val="none" w:sz="0" w:space="0" w:color="auto"/>
      </w:divBdr>
    </w:div>
    <w:div w:id="1441101214">
      <w:bodyDiv w:val="1"/>
      <w:marLeft w:val="0"/>
      <w:marRight w:val="0"/>
      <w:marTop w:val="0"/>
      <w:marBottom w:val="0"/>
      <w:divBdr>
        <w:top w:val="none" w:sz="0" w:space="0" w:color="auto"/>
        <w:left w:val="none" w:sz="0" w:space="0" w:color="auto"/>
        <w:bottom w:val="none" w:sz="0" w:space="0" w:color="auto"/>
        <w:right w:val="none" w:sz="0" w:space="0" w:color="auto"/>
      </w:divBdr>
    </w:div>
    <w:div w:id="1441142679">
      <w:bodyDiv w:val="1"/>
      <w:marLeft w:val="0"/>
      <w:marRight w:val="0"/>
      <w:marTop w:val="0"/>
      <w:marBottom w:val="0"/>
      <w:divBdr>
        <w:top w:val="none" w:sz="0" w:space="0" w:color="auto"/>
        <w:left w:val="none" w:sz="0" w:space="0" w:color="auto"/>
        <w:bottom w:val="none" w:sz="0" w:space="0" w:color="auto"/>
        <w:right w:val="none" w:sz="0" w:space="0" w:color="auto"/>
      </w:divBdr>
    </w:div>
    <w:div w:id="1441221304">
      <w:bodyDiv w:val="1"/>
      <w:marLeft w:val="0"/>
      <w:marRight w:val="0"/>
      <w:marTop w:val="0"/>
      <w:marBottom w:val="0"/>
      <w:divBdr>
        <w:top w:val="none" w:sz="0" w:space="0" w:color="auto"/>
        <w:left w:val="none" w:sz="0" w:space="0" w:color="auto"/>
        <w:bottom w:val="none" w:sz="0" w:space="0" w:color="auto"/>
        <w:right w:val="none" w:sz="0" w:space="0" w:color="auto"/>
      </w:divBdr>
    </w:div>
    <w:div w:id="1441758441">
      <w:bodyDiv w:val="1"/>
      <w:marLeft w:val="0"/>
      <w:marRight w:val="0"/>
      <w:marTop w:val="0"/>
      <w:marBottom w:val="0"/>
      <w:divBdr>
        <w:top w:val="none" w:sz="0" w:space="0" w:color="auto"/>
        <w:left w:val="none" w:sz="0" w:space="0" w:color="auto"/>
        <w:bottom w:val="none" w:sz="0" w:space="0" w:color="auto"/>
        <w:right w:val="none" w:sz="0" w:space="0" w:color="auto"/>
      </w:divBdr>
    </w:div>
    <w:div w:id="1441997004">
      <w:bodyDiv w:val="1"/>
      <w:marLeft w:val="0"/>
      <w:marRight w:val="0"/>
      <w:marTop w:val="0"/>
      <w:marBottom w:val="0"/>
      <w:divBdr>
        <w:top w:val="none" w:sz="0" w:space="0" w:color="auto"/>
        <w:left w:val="none" w:sz="0" w:space="0" w:color="auto"/>
        <w:bottom w:val="none" w:sz="0" w:space="0" w:color="auto"/>
        <w:right w:val="none" w:sz="0" w:space="0" w:color="auto"/>
      </w:divBdr>
    </w:div>
    <w:div w:id="1442067572">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2457163">
      <w:bodyDiv w:val="1"/>
      <w:marLeft w:val="0"/>
      <w:marRight w:val="0"/>
      <w:marTop w:val="0"/>
      <w:marBottom w:val="0"/>
      <w:divBdr>
        <w:top w:val="none" w:sz="0" w:space="0" w:color="auto"/>
        <w:left w:val="none" w:sz="0" w:space="0" w:color="auto"/>
        <w:bottom w:val="none" w:sz="0" w:space="0" w:color="auto"/>
        <w:right w:val="none" w:sz="0" w:space="0" w:color="auto"/>
      </w:divBdr>
    </w:div>
    <w:div w:id="1443186483">
      <w:bodyDiv w:val="1"/>
      <w:marLeft w:val="0"/>
      <w:marRight w:val="0"/>
      <w:marTop w:val="0"/>
      <w:marBottom w:val="0"/>
      <w:divBdr>
        <w:top w:val="none" w:sz="0" w:space="0" w:color="auto"/>
        <w:left w:val="none" w:sz="0" w:space="0" w:color="auto"/>
        <w:bottom w:val="none" w:sz="0" w:space="0" w:color="auto"/>
        <w:right w:val="none" w:sz="0" w:space="0" w:color="auto"/>
      </w:divBdr>
    </w:div>
    <w:div w:id="1443257088">
      <w:bodyDiv w:val="1"/>
      <w:marLeft w:val="0"/>
      <w:marRight w:val="0"/>
      <w:marTop w:val="0"/>
      <w:marBottom w:val="0"/>
      <w:divBdr>
        <w:top w:val="none" w:sz="0" w:space="0" w:color="auto"/>
        <w:left w:val="none" w:sz="0" w:space="0" w:color="auto"/>
        <w:bottom w:val="none" w:sz="0" w:space="0" w:color="auto"/>
        <w:right w:val="none" w:sz="0" w:space="0" w:color="auto"/>
      </w:divBdr>
    </w:div>
    <w:div w:id="1443573549">
      <w:bodyDiv w:val="1"/>
      <w:marLeft w:val="0"/>
      <w:marRight w:val="0"/>
      <w:marTop w:val="0"/>
      <w:marBottom w:val="0"/>
      <w:divBdr>
        <w:top w:val="none" w:sz="0" w:space="0" w:color="auto"/>
        <w:left w:val="none" w:sz="0" w:space="0" w:color="auto"/>
        <w:bottom w:val="none" w:sz="0" w:space="0" w:color="auto"/>
        <w:right w:val="none" w:sz="0" w:space="0" w:color="auto"/>
      </w:divBdr>
    </w:div>
    <w:div w:id="1444688669">
      <w:bodyDiv w:val="1"/>
      <w:marLeft w:val="0"/>
      <w:marRight w:val="0"/>
      <w:marTop w:val="0"/>
      <w:marBottom w:val="0"/>
      <w:divBdr>
        <w:top w:val="none" w:sz="0" w:space="0" w:color="auto"/>
        <w:left w:val="none" w:sz="0" w:space="0" w:color="auto"/>
        <w:bottom w:val="none" w:sz="0" w:space="0" w:color="auto"/>
        <w:right w:val="none" w:sz="0" w:space="0" w:color="auto"/>
      </w:divBdr>
    </w:div>
    <w:div w:id="1444765764">
      <w:bodyDiv w:val="1"/>
      <w:marLeft w:val="0"/>
      <w:marRight w:val="0"/>
      <w:marTop w:val="0"/>
      <w:marBottom w:val="0"/>
      <w:divBdr>
        <w:top w:val="none" w:sz="0" w:space="0" w:color="auto"/>
        <w:left w:val="none" w:sz="0" w:space="0" w:color="auto"/>
        <w:bottom w:val="none" w:sz="0" w:space="0" w:color="auto"/>
        <w:right w:val="none" w:sz="0" w:space="0" w:color="auto"/>
      </w:divBdr>
    </w:div>
    <w:div w:id="1444882376">
      <w:bodyDiv w:val="1"/>
      <w:marLeft w:val="0"/>
      <w:marRight w:val="0"/>
      <w:marTop w:val="0"/>
      <w:marBottom w:val="0"/>
      <w:divBdr>
        <w:top w:val="none" w:sz="0" w:space="0" w:color="auto"/>
        <w:left w:val="none" w:sz="0" w:space="0" w:color="auto"/>
        <w:bottom w:val="none" w:sz="0" w:space="0" w:color="auto"/>
        <w:right w:val="none" w:sz="0" w:space="0" w:color="auto"/>
      </w:divBdr>
    </w:div>
    <w:div w:id="1445072622">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5465157">
      <w:bodyDiv w:val="1"/>
      <w:marLeft w:val="0"/>
      <w:marRight w:val="0"/>
      <w:marTop w:val="0"/>
      <w:marBottom w:val="0"/>
      <w:divBdr>
        <w:top w:val="none" w:sz="0" w:space="0" w:color="auto"/>
        <w:left w:val="none" w:sz="0" w:space="0" w:color="auto"/>
        <w:bottom w:val="none" w:sz="0" w:space="0" w:color="auto"/>
        <w:right w:val="none" w:sz="0" w:space="0" w:color="auto"/>
      </w:divBdr>
    </w:div>
    <w:div w:id="1445617532">
      <w:bodyDiv w:val="1"/>
      <w:marLeft w:val="0"/>
      <w:marRight w:val="0"/>
      <w:marTop w:val="0"/>
      <w:marBottom w:val="0"/>
      <w:divBdr>
        <w:top w:val="none" w:sz="0" w:space="0" w:color="auto"/>
        <w:left w:val="none" w:sz="0" w:space="0" w:color="auto"/>
        <w:bottom w:val="none" w:sz="0" w:space="0" w:color="auto"/>
        <w:right w:val="none" w:sz="0" w:space="0" w:color="auto"/>
      </w:divBdr>
    </w:div>
    <w:div w:id="1445729677">
      <w:bodyDiv w:val="1"/>
      <w:marLeft w:val="0"/>
      <w:marRight w:val="0"/>
      <w:marTop w:val="0"/>
      <w:marBottom w:val="0"/>
      <w:divBdr>
        <w:top w:val="none" w:sz="0" w:space="0" w:color="auto"/>
        <w:left w:val="none" w:sz="0" w:space="0" w:color="auto"/>
        <w:bottom w:val="none" w:sz="0" w:space="0" w:color="auto"/>
        <w:right w:val="none" w:sz="0" w:space="0" w:color="auto"/>
      </w:divBdr>
    </w:div>
    <w:div w:id="1445884385">
      <w:bodyDiv w:val="1"/>
      <w:marLeft w:val="0"/>
      <w:marRight w:val="0"/>
      <w:marTop w:val="0"/>
      <w:marBottom w:val="0"/>
      <w:divBdr>
        <w:top w:val="none" w:sz="0" w:space="0" w:color="auto"/>
        <w:left w:val="none" w:sz="0" w:space="0" w:color="auto"/>
        <w:bottom w:val="none" w:sz="0" w:space="0" w:color="auto"/>
        <w:right w:val="none" w:sz="0" w:space="0" w:color="auto"/>
      </w:divBdr>
    </w:div>
    <w:div w:id="1445886022">
      <w:bodyDiv w:val="1"/>
      <w:marLeft w:val="0"/>
      <w:marRight w:val="0"/>
      <w:marTop w:val="0"/>
      <w:marBottom w:val="0"/>
      <w:divBdr>
        <w:top w:val="none" w:sz="0" w:space="0" w:color="auto"/>
        <w:left w:val="none" w:sz="0" w:space="0" w:color="auto"/>
        <w:bottom w:val="none" w:sz="0" w:space="0" w:color="auto"/>
        <w:right w:val="none" w:sz="0" w:space="0" w:color="auto"/>
      </w:divBdr>
    </w:div>
    <w:div w:id="1446119456">
      <w:bodyDiv w:val="1"/>
      <w:marLeft w:val="0"/>
      <w:marRight w:val="0"/>
      <w:marTop w:val="0"/>
      <w:marBottom w:val="0"/>
      <w:divBdr>
        <w:top w:val="none" w:sz="0" w:space="0" w:color="auto"/>
        <w:left w:val="none" w:sz="0" w:space="0" w:color="auto"/>
        <w:bottom w:val="none" w:sz="0" w:space="0" w:color="auto"/>
        <w:right w:val="none" w:sz="0" w:space="0" w:color="auto"/>
      </w:divBdr>
    </w:div>
    <w:div w:id="1446121368">
      <w:bodyDiv w:val="1"/>
      <w:marLeft w:val="0"/>
      <w:marRight w:val="0"/>
      <w:marTop w:val="0"/>
      <w:marBottom w:val="0"/>
      <w:divBdr>
        <w:top w:val="none" w:sz="0" w:space="0" w:color="auto"/>
        <w:left w:val="none" w:sz="0" w:space="0" w:color="auto"/>
        <w:bottom w:val="none" w:sz="0" w:space="0" w:color="auto"/>
        <w:right w:val="none" w:sz="0" w:space="0" w:color="auto"/>
      </w:divBdr>
    </w:div>
    <w:div w:id="1447309478">
      <w:bodyDiv w:val="1"/>
      <w:marLeft w:val="0"/>
      <w:marRight w:val="0"/>
      <w:marTop w:val="0"/>
      <w:marBottom w:val="0"/>
      <w:divBdr>
        <w:top w:val="none" w:sz="0" w:space="0" w:color="auto"/>
        <w:left w:val="none" w:sz="0" w:space="0" w:color="auto"/>
        <w:bottom w:val="none" w:sz="0" w:space="0" w:color="auto"/>
        <w:right w:val="none" w:sz="0" w:space="0" w:color="auto"/>
      </w:divBdr>
    </w:div>
    <w:div w:id="1447383430">
      <w:bodyDiv w:val="1"/>
      <w:marLeft w:val="0"/>
      <w:marRight w:val="0"/>
      <w:marTop w:val="0"/>
      <w:marBottom w:val="0"/>
      <w:divBdr>
        <w:top w:val="none" w:sz="0" w:space="0" w:color="auto"/>
        <w:left w:val="none" w:sz="0" w:space="0" w:color="auto"/>
        <w:bottom w:val="none" w:sz="0" w:space="0" w:color="auto"/>
        <w:right w:val="none" w:sz="0" w:space="0" w:color="auto"/>
      </w:divBdr>
    </w:div>
    <w:div w:id="1447582960">
      <w:bodyDiv w:val="1"/>
      <w:marLeft w:val="0"/>
      <w:marRight w:val="0"/>
      <w:marTop w:val="0"/>
      <w:marBottom w:val="0"/>
      <w:divBdr>
        <w:top w:val="none" w:sz="0" w:space="0" w:color="auto"/>
        <w:left w:val="none" w:sz="0" w:space="0" w:color="auto"/>
        <w:bottom w:val="none" w:sz="0" w:space="0" w:color="auto"/>
        <w:right w:val="none" w:sz="0" w:space="0" w:color="auto"/>
      </w:divBdr>
    </w:div>
    <w:div w:id="1447895103">
      <w:bodyDiv w:val="1"/>
      <w:marLeft w:val="0"/>
      <w:marRight w:val="0"/>
      <w:marTop w:val="0"/>
      <w:marBottom w:val="0"/>
      <w:divBdr>
        <w:top w:val="none" w:sz="0" w:space="0" w:color="auto"/>
        <w:left w:val="none" w:sz="0" w:space="0" w:color="auto"/>
        <w:bottom w:val="none" w:sz="0" w:space="0" w:color="auto"/>
        <w:right w:val="none" w:sz="0" w:space="0" w:color="auto"/>
      </w:divBdr>
    </w:div>
    <w:div w:id="1448233245">
      <w:bodyDiv w:val="1"/>
      <w:marLeft w:val="0"/>
      <w:marRight w:val="0"/>
      <w:marTop w:val="0"/>
      <w:marBottom w:val="0"/>
      <w:divBdr>
        <w:top w:val="none" w:sz="0" w:space="0" w:color="auto"/>
        <w:left w:val="none" w:sz="0" w:space="0" w:color="auto"/>
        <w:bottom w:val="none" w:sz="0" w:space="0" w:color="auto"/>
        <w:right w:val="none" w:sz="0" w:space="0" w:color="auto"/>
      </w:divBdr>
    </w:div>
    <w:div w:id="1448502109">
      <w:bodyDiv w:val="1"/>
      <w:marLeft w:val="0"/>
      <w:marRight w:val="0"/>
      <w:marTop w:val="0"/>
      <w:marBottom w:val="0"/>
      <w:divBdr>
        <w:top w:val="none" w:sz="0" w:space="0" w:color="auto"/>
        <w:left w:val="none" w:sz="0" w:space="0" w:color="auto"/>
        <w:bottom w:val="none" w:sz="0" w:space="0" w:color="auto"/>
        <w:right w:val="none" w:sz="0" w:space="0" w:color="auto"/>
      </w:divBdr>
    </w:div>
    <w:div w:id="1448546140">
      <w:bodyDiv w:val="1"/>
      <w:marLeft w:val="0"/>
      <w:marRight w:val="0"/>
      <w:marTop w:val="0"/>
      <w:marBottom w:val="0"/>
      <w:divBdr>
        <w:top w:val="none" w:sz="0" w:space="0" w:color="auto"/>
        <w:left w:val="none" w:sz="0" w:space="0" w:color="auto"/>
        <w:bottom w:val="none" w:sz="0" w:space="0" w:color="auto"/>
        <w:right w:val="none" w:sz="0" w:space="0" w:color="auto"/>
      </w:divBdr>
    </w:div>
    <w:div w:id="1448769941">
      <w:bodyDiv w:val="1"/>
      <w:marLeft w:val="0"/>
      <w:marRight w:val="0"/>
      <w:marTop w:val="0"/>
      <w:marBottom w:val="0"/>
      <w:divBdr>
        <w:top w:val="none" w:sz="0" w:space="0" w:color="auto"/>
        <w:left w:val="none" w:sz="0" w:space="0" w:color="auto"/>
        <w:bottom w:val="none" w:sz="0" w:space="0" w:color="auto"/>
        <w:right w:val="none" w:sz="0" w:space="0" w:color="auto"/>
      </w:divBdr>
    </w:div>
    <w:div w:id="1448771051">
      <w:bodyDiv w:val="1"/>
      <w:marLeft w:val="0"/>
      <w:marRight w:val="0"/>
      <w:marTop w:val="0"/>
      <w:marBottom w:val="0"/>
      <w:divBdr>
        <w:top w:val="none" w:sz="0" w:space="0" w:color="auto"/>
        <w:left w:val="none" w:sz="0" w:space="0" w:color="auto"/>
        <w:bottom w:val="none" w:sz="0" w:space="0" w:color="auto"/>
        <w:right w:val="none" w:sz="0" w:space="0" w:color="auto"/>
      </w:divBdr>
    </w:div>
    <w:div w:id="1448966305">
      <w:bodyDiv w:val="1"/>
      <w:marLeft w:val="0"/>
      <w:marRight w:val="0"/>
      <w:marTop w:val="0"/>
      <w:marBottom w:val="0"/>
      <w:divBdr>
        <w:top w:val="none" w:sz="0" w:space="0" w:color="auto"/>
        <w:left w:val="none" w:sz="0" w:space="0" w:color="auto"/>
        <w:bottom w:val="none" w:sz="0" w:space="0" w:color="auto"/>
        <w:right w:val="none" w:sz="0" w:space="0" w:color="auto"/>
      </w:divBdr>
    </w:div>
    <w:div w:id="1449084570">
      <w:bodyDiv w:val="1"/>
      <w:marLeft w:val="0"/>
      <w:marRight w:val="0"/>
      <w:marTop w:val="0"/>
      <w:marBottom w:val="0"/>
      <w:divBdr>
        <w:top w:val="none" w:sz="0" w:space="0" w:color="auto"/>
        <w:left w:val="none" w:sz="0" w:space="0" w:color="auto"/>
        <w:bottom w:val="none" w:sz="0" w:space="0" w:color="auto"/>
        <w:right w:val="none" w:sz="0" w:space="0" w:color="auto"/>
      </w:divBdr>
    </w:div>
    <w:div w:id="1449087769">
      <w:bodyDiv w:val="1"/>
      <w:marLeft w:val="0"/>
      <w:marRight w:val="0"/>
      <w:marTop w:val="0"/>
      <w:marBottom w:val="0"/>
      <w:divBdr>
        <w:top w:val="none" w:sz="0" w:space="0" w:color="auto"/>
        <w:left w:val="none" w:sz="0" w:space="0" w:color="auto"/>
        <w:bottom w:val="none" w:sz="0" w:space="0" w:color="auto"/>
        <w:right w:val="none" w:sz="0" w:space="0" w:color="auto"/>
      </w:divBdr>
    </w:div>
    <w:div w:id="1449087969">
      <w:bodyDiv w:val="1"/>
      <w:marLeft w:val="0"/>
      <w:marRight w:val="0"/>
      <w:marTop w:val="0"/>
      <w:marBottom w:val="0"/>
      <w:divBdr>
        <w:top w:val="none" w:sz="0" w:space="0" w:color="auto"/>
        <w:left w:val="none" w:sz="0" w:space="0" w:color="auto"/>
        <w:bottom w:val="none" w:sz="0" w:space="0" w:color="auto"/>
        <w:right w:val="none" w:sz="0" w:space="0" w:color="auto"/>
      </w:divBdr>
    </w:div>
    <w:div w:id="1449351836">
      <w:bodyDiv w:val="1"/>
      <w:marLeft w:val="0"/>
      <w:marRight w:val="0"/>
      <w:marTop w:val="0"/>
      <w:marBottom w:val="0"/>
      <w:divBdr>
        <w:top w:val="none" w:sz="0" w:space="0" w:color="auto"/>
        <w:left w:val="none" w:sz="0" w:space="0" w:color="auto"/>
        <w:bottom w:val="none" w:sz="0" w:space="0" w:color="auto"/>
        <w:right w:val="none" w:sz="0" w:space="0" w:color="auto"/>
      </w:divBdr>
    </w:div>
    <w:div w:id="1449424810">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49542910">
      <w:bodyDiv w:val="1"/>
      <w:marLeft w:val="0"/>
      <w:marRight w:val="0"/>
      <w:marTop w:val="0"/>
      <w:marBottom w:val="0"/>
      <w:divBdr>
        <w:top w:val="none" w:sz="0" w:space="0" w:color="auto"/>
        <w:left w:val="none" w:sz="0" w:space="0" w:color="auto"/>
        <w:bottom w:val="none" w:sz="0" w:space="0" w:color="auto"/>
        <w:right w:val="none" w:sz="0" w:space="0" w:color="auto"/>
      </w:divBdr>
    </w:div>
    <w:div w:id="1449811215">
      <w:bodyDiv w:val="1"/>
      <w:marLeft w:val="0"/>
      <w:marRight w:val="0"/>
      <w:marTop w:val="0"/>
      <w:marBottom w:val="0"/>
      <w:divBdr>
        <w:top w:val="none" w:sz="0" w:space="0" w:color="auto"/>
        <w:left w:val="none" w:sz="0" w:space="0" w:color="auto"/>
        <w:bottom w:val="none" w:sz="0" w:space="0" w:color="auto"/>
        <w:right w:val="none" w:sz="0" w:space="0" w:color="auto"/>
      </w:divBdr>
    </w:div>
    <w:div w:id="1450003120">
      <w:bodyDiv w:val="1"/>
      <w:marLeft w:val="0"/>
      <w:marRight w:val="0"/>
      <w:marTop w:val="0"/>
      <w:marBottom w:val="0"/>
      <w:divBdr>
        <w:top w:val="none" w:sz="0" w:space="0" w:color="auto"/>
        <w:left w:val="none" w:sz="0" w:space="0" w:color="auto"/>
        <w:bottom w:val="none" w:sz="0" w:space="0" w:color="auto"/>
        <w:right w:val="none" w:sz="0" w:space="0" w:color="auto"/>
      </w:divBdr>
    </w:div>
    <w:div w:id="1450466400">
      <w:bodyDiv w:val="1"/>
      <w:marLeft w:val="0"/>
      <w:marRight w:val="0"/>
      <w:marTop w:val="0"/>
      <w:marBottom w:val="0"/>
      <w:divBdr>
        <w:top w:val="none" w:sz="0" w:space="0" w:color="auto"/>
        <w:left w:val="none" w:sz="0" w:space="0" w:color="auto"/>
        <w:bottom w:val="none" w:sz="0" w:space="0" w:color="auto"/>
        <w:right w:val="none" w:sz="0" w:space="0" w:color="auto"/>
      </w:divBdr>
    </w:div>
    <w:div w:id="1450737521">
      <w:bodyDiv w:val="1"/>
      <w:marLeft w:val="0"/>
      <w:marRight w:val="0"/>
      <w:marTop w:val="0"/>
      <w:marBottom w:val="0"/>
      <w:divBdr>
        <w:top w:val="none" w:sz="0" w:space="0" w:color="auto"/>
        <w:left w:val="none" w:sz="0" w:space="0" w:color="auto"/>
        <w:bottom w:val="none" w:sz="0" w:space="0" w:color="auto"/>
        <w:right w:val="none" w:sz="0" w:space="0" w:color="auto"/>
      </w:divBdr>
    </w:div>
    <w:div w:id="1450852369">
      <w:bodyDiv w:val="1"/>
      <w:marLeft w:val="0"/>
      <w:marRight w:val="0"/>
      <w:marTop w:val="0"/>
      <w:marBottom w:val="0"/>
      <w:divBdr>
        <w:top w:val="none" w:sz="0" w:space="0" w:color="auto"/>
        <w:left w:val="none" w:sz="0" w:space="0" w:color="auto"/>
        <w:bottom w:val="none" w:sz="0" w:space="0" w:color="auto"/>
        <w:right w:val="none" w:sz="0" w:space="0" w:color="auto"/>
      </w:divBdr>
    </w:div>
    <w:div w:id="1450852881">
      <w:bodyDiv w:val="1"/>
      <w:marLeft w:val="0"/>
      <w:marRight w:val="0"/>
      <w:marTop w:val="0"/>
      <w:marBottom w:val="0"/>
      <w:divBdr>
        <w:top w:val="none" w:sz="0" w:space="0" w:color="auto"/>
        <w:left w:val="none" w:sz="0" w:space="0" w:color="auto"/>
        <w:bottom w:val="none" w:sz="0" w:space="0" w:color="auto"/>
        <w:right w:val="none" w:sz="0" w:space="0" w:color="auto"/>
      </w:divBdr>
    </w:div>
    <w:div w:id="1451121199">
      <w:bodyDiv w:val="1"/>
      <w:marLeft w:val="0"/>
      <w:marRight w:val="0"/>
      <w:marTop w:val="0"/>
      <w:marBottom w:val="0"/>
      <w:divBdr>
        <w:top w:val="none" w:sz="0" w:space="0" w:color="auto"/>
        <w:left w:val="none" w:sz="0" w:space="0" w:color="auto"/>
        <w:bottom w:val="none" w:sz="0" w:space="0" w:color="auto"/>
        <w:right w:val="none" w:sz="0" w:space="0" w:color="auto"/>
      </w:divBdr>
    </w:div>
    <w:div w:id="1451584345">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1895537">
      <w:bodyDiv w:val="1"/>
      <w:marLeft w:val="0"/>
      <w:marRight w:val="0"/>
      <w:marTop w:val="0"/>
      <w:marBottom w:val="0"/>
      <w:divBdr>
        <w:top w:val="none" w:sz="0" w:space="0" w:color="auto"/>
        <w:left w:val="none" w:sz="0" w:space="0" w:color="auto"/>
        <w:bottom w:val="none" w:sz="0" w:space="0" w:color="auto"/>
        <w:right w:val="none" w:sz="0" w:space="0" w:color="auto"/>
      </w:divBdr>
    </w:div>
    <w:div w:id="1452015622">
      <w:bodyDiv w:val="1"/>
      <w:marLeft w:val="0"/>
      <w:marRight w:val="0"/>
      <w:marTop w:val="0"/>
      <w:marBottom w:val="0"/>
      <w:divBdr>
        <w:top w:val="none" w:sz="0" w:space="0" w:color="auto"/>
        <w:left w:val="none" w:sz="0" w:space="0" w:color="auto"/>
        <w:bottom w:val="none" w:sz="0" w:space="0" w:color="auto"/>
        <w:right w:val="none" w:sz="0" w:space="0" w:color="auto"/>
      </w:divBdr>
    </w:div>
    <w:div w:id="1452019754">
      <w:bodyDiv w:val="1"/>
      <w:marLeft w:val="0"/>
      <w:marRight w:val="0"/>
      <w:marTop w:val="0"/>
      <w:marBottom w:val="0"/>
      <w:divBdr>
        <w:top w:val="none" w:sz="0" w:space="0" w:color="auto"/>
        <w:left w:val="none" w:sz="0" w:space="0" w:color="auto"/>
        <w:bottom w:val="none" w:sz="0" w:space="0" w:color="auto"/>
        <w:right w:val="none" w:sz="0" w:space="0" w:color="auto"/>
      </w:divBdr>
    </w:div>
    <w:div w:id="1452745443">
      <w:bodyDiv w:val="1"/>
      <w:marLeft w:val="0"/>
      <w:marRight w:val="0"/>
      <w:marTop w:val="0"/>
      <w:marBottom w:val="0"/>
      <w:divBdr>
        <w:top w:val="none" w:sz="0" w:space="0" w:color="auto"/>
        <w:left w:val="none" w:sz="0" w:space="0" w:color="auto"/>
        <w:bottom w:val="none" w:sz="0" w:space="0" w:color="auto"/>
        <w:right w:val="none" w:sz="0" w:space="0" w:color="auto"/>
      </w:divBdr>
    </w:div>
    <w:div w:id="1452819520">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53086458">
      <w:bodyDiv w:val="1"/>
      <w:marLeft w:val="0"/>
      <w:marRight w:val="0"/>
      <w:marTop w:val="0"/>
      <w:marBottom w:val="0"/>
      <w:divBdr>
        <w:top w:val="none" w:sz="0" w:space="0" w:color="auto"/>
        <w:left w:val="none" w:sz="0" w:space="0" w:color="auto"/>
        <w:bottom w:val="none" w:sz="0" w:space="0" w:color="auto"/>
        <w:right w:val="none" w:sz="0" w:space="0" w:color="auto"/>
      </w:divBdr>
    </w:div>
    <w:div w:id="1453792220">
      <w:bodyDiv w:val="1"/>
      <w:marLeft w:val="0"/>
      <w:marRight w:val="0"/>
      <w:marTop w:val="0"/>
      <w:marBottom w:val="0"/>
      <w:divBdr>
        <w:top w:val="none" w:sz="0" w:space="0" w:color="auto"/>
        <w:left w:val="none" w:sz="0" w:space="0" w:color="auto"/>
        <w:bottom w:val="none" w:sz="0" w:space="0" w:color="auto"/>
        <w:right w:val="none" w:sz="0" w:space="0" w:color="auto"/>
      </w:divBdr>
    </w:div>
    <w:div w:id="1454061200">
      <w:bodyDiv w:val="1"/>
      <w:marLeft w:val="0"/>
      <w:marRight w:val="0"/>
      <w:marTop w:val="0"/>
      <w:marBottom w:val="0"/>
      <w:divBdr>
        <w:top w:val="none" w:sz="0" w:space="0" w:color="auto"/>
        <w:left w:val="none" w:sz="0" w:space="0" w:color="auto"/>
        <w:bottom w:val="none" w:sz="0" w:space="0" w:color="auto"/>
        <w:right w:val="none" w:sz="0" w:space="0" w:color="auto"/>
      </w:divBdr>
    </w:div>
    <w:div w:id="1454250140">
      <w:bodyDiv w:val="1"/>
      <w:marLeft w:val="0"/>
      <w:marRight w:val="0"/>
      <w:marTop w:val="0"/>
      <w:marBottom w:val="0"/>
      <w:divBdr>
        <w:top w:val="none" w:sz="0" w:space="0" w:color="auto"/>
        <w:left w:val="none" w:sz="0" w:space="0" w:color="auto"/>
        <w:bottom w:val="none" w:sz="0" w:space="0" w:color="auto"/>
        <w:right w:val="none" w:sz="0" w:space="0" w:color="auto"/>
      </w:divBdr>
    </w:div>
    <w:div w:id="1454520736">
      <w:bodyDiv w:val="1"/>
      <w:marLeft w:val="0"/>
      <w:marRight w:val="0"/>
      <w:marTop w:val="0"/>
      <w:marBottom w:val="0"/>
      <w:divBdr>
        <w:top w:val="none" w:sz="0" w:space="0" w:color="auto"/>
        <w:left w:val="none" w:sz="0" w:space="0" w:color="auto"/>
        <w:bottom w:val="none" w:sz="0" w:space="0" w:color="auto"/>
        <w:right w:val="none" w:sz="0" w:space="0" w:color="auto"/>
      </w:divBdr>
    </w:div>
    <w:div w:id="1454791957">
      <w:bodyDiv w:val="1"/>
      <w:marLeft w:val="0"/>
      <w:marRight w:val="0"/>
      <w:marTop w:val="0"/>
      <w:marBottom w:val="0"/>
      <w:divBdr>
        <w:top w:val="none" w:sz="0" w:space="0" w:color="auto"/>
        <w:left w:val="none" w:sz="0" w:space="0" w:color="auto"/>
        <w:bottom w:val="none" w:sz="0" w:space="0" w:color="auto"/>
        <w:right w:val="none" w:sz="0" w:space="0" w:color="auto"/>
      </w:divBdr>
    </w:div>
    <w:div w:id="1455252072">
      <w:bodyDiv w:val="1"/>
      <w:marLeft w:val="0"/>
      <w:marRight w:val="0"/>
      <w:marTop w:val="0"/>
      <w:marBottom w:val="0"/>
      <w:divBdr>
        <w:top w:val="none" w:sz="0" w:space="0" w:color="auto"/>
        <w:left w:val="none" w:sz="0" w:space="0" w:color="auto"/>
        <w:bottom w:val="none" w:sz="0" w:space="0" w:color="auto"/>
        <w:right w:val="none" w:sz="0" w:space="0" w:color="auto"/>
      </w:divBdr>
    </w:div>
    <w:div w:id="1455559042">
      <w:bodyDiv w:val="1"/>
      <w:marLeft w:val="0"/>
      <w:marRight w:val="0"/>
      <w:marTop w:val="0"/>
      <w:marBottom w:val="0"/>
      <w:divBdr>
        <w:top w:val="none" w:sz="0" w:space="0" w:color="auto"/>
        <w:left w:val="none" w:sz="0" w:space="0" w:color="auto"/>
        <w:bottom w:val="none" w:sz="0" w:space="0" w:color="auto"/>
        <w:right w:val="none" w:sz="0" w:space="0" w:color="auto"/>
      </w:divBdr>
    </w:div>
    <w:div w:id="1455757848">
      <w:bodyDiv w:val="1"/>
      <w:marLeft w:val="0"/>
      <w:marRight w:val="0"/>
      <w:marTop w:val="0"/>
      <w:marBottom w:val="0"/>
      <w:divBdr>
        <w:top w:val="none" w:sz="0" w:space="0" w:color="auto"/>
        <w:left w:val="none" w:sz="0" w:space="0" w:color="auto"/>
        <w:bottom w:val="none" w:sz="0" w:space="0" w:color="auto"/>
        <w:right w:val="none" w:sz="0" w:space="0" w:color="auto"/>
      </w:divBdr>
    </w:div>
    <w:div w:id="1455908422">
      <w:bodyDiv w:val="1"/>
      <w:marLeft w:val="0"/>
      <w:marRight w:val="0"/>
      <w:marTop w:val="0"/>
      <w:marBottom w:val="0"/>
      <w:divBdr>
        <w:top w:val="none" w:sz="0" w:space="0" w:color="auto"/>
        <w:left w:val="none" w:sz="0" w:space="0" w:color="auto"/>
        <w:bottom w:val="none" w:sz="0" w:space="0" w:color="auto"/>
        <w:right w:val="none" w:sz="0" w:space="0" w:color="auto"/>
      </w:divBdr>
    </w:div>
    <w:div w:id="1455979559">
      <w:bodyDiv w:val="1"/>
      <w:marLeft w:val="0"/>
      <w:marRight w:val="0"/>
      <w:marTop w:val="0"/>
      <w:marBottom w:val="0"/>
      <w:divBdr>
        <w:top w:val="none" w:sz="0" w:space="0" w:color="auto"/>
        <w:left w:val="none" w:sz="0" w:space="0" w:color="auto"/>
        <w:bottom w:val="none" w:sz="0" w:space="0" w:color="auto"/>
        <w:right w:val="none" w:sz="0" w:space="0" w:color="auto"/>
      </w:divBdr>
    </w:div>
    <w:div w:id="1456488905">
      <w:bodyDiv w:val="1"/>
      <w:marLeft w:val="0"/>
      <w:marRight w:val="0"/>
      <w:marTop w:val="0"/>
      <w:marBottom w:val="0"/>
      <w:divBdr>
        <w:top w:val="none" w:sz="0" w:space="0" w:color="auto"/>
        <w:left w:val="none" w:sz="0" w:space="0" w:color="auto"/>
        <w:bottom w:val="none" w:sz="0" w:space="0" w:color="auto"/>
        <w:right w:val="none" w:sz="0" w:space="0" w:color="auto"/>
      </w:divBdr>
    </w:div>
    <w:div w:id="1456675473">
      <w:bodyDiv w:val="1"/>
      <w:marLeft w:val="0"/>
      <w:marRight w:val="0"/>
      <w:marTop w:val="0"/>
      <w:marBottom w:val="0"/>
      <w:divBdr>
        <w:top w:val="none" w:sz="0" w:space="0" w:color="auto"/>
        <w:left w:val="none" w:sz="0" w:space="0" w:color="auto"/>
        <w:bottom w:val="none" w:sz="0" w:space="0" w:color="auto"/>
        <w:right w:val="none" w:sz="0" w:space="0" w:color="auto"/>
      </w:divBdr>
    </w:div>
    <w:div w:id="1456676259">
      <w:bodyDiv w:val="1"/>
      <w:marLeft w:val="0"/>
      <w:marRight w:val="0"/>
      <w:marTop w:val="0"/>
      <w:marBottom w:val="0"/>
      <w:divBdr>
        <w:top w:val="none" w:sz="0" w:space="0" w:color="auto"/>
        <w:left w:val="none" w:sz="0" w:space="0" w:color="auto"/>
        <w:bottom w:val="none" w:sz="0" w:space="0" w:color="auto"/>
        <w:right w:val="none" w:sz="0" w:space="0" w:color="auto"/>
      </w:divBdr>
    </w:div>
    <w:div w:id="1456678983">
      <w:bodyDiv w:val="1"/>
      <w:marLeft w:val="0"/>
      <w:marRight w:val="0"/>
      <w:marTop w:val="0"/>
      <w:marBottom w:val="0"/>
      <w:divBdr>
        <w:top w:val="none" w:sz="0" w:space="0" w:color="auto"/>
        <w:left w:val="none" w:sz="0" w:space="0" w:color="auto"/>
        <w:bottom w:val="none" w:sz="0" w:space="0" w:color="auto"/>
        <w:right w:val="none" w:sz="0" w:space="0" w:color="auto"/>
      </w:divBdr>
    </w:div>
    <w:div w:id="1456829126">
      <w:bodyDiv w:val="1"/>
      <w:marLeft w:val="0"/>
      <w:marRight w:val="0"/>
      <w:marTop w:val="0"/>
      <w:marBottom w:val="0"/>
      <w:divBdr>
        <w:top w:val="none" w:sz="0" w:space="0" w:color="auto"/>
        <w:left w:val="none" w:sz="0" w:space="0" w:color="auto"/>
        <w:bottom w:val="none" w:sz="0" w:space="0" w:color="auto"/>
        <w:right w:val="none" w:sz="0" w:space="0" w:color="auto"/>
      </w:divBdr>
    </w:div>
    <w:div w:id="1457017683">
      <w:bodyDiv w:val="1"/>
      <w:marLeft w:val="0"/>
      <w:marRight w:val="0"/>
      <w:marTop w:val="0"/>
      <w:marBottom w:val="0"/>
      <w:divBdr>
        <w:top w:val="none" w:sz="0" w:space="0" w:color="auto"/>
        <w:left w:val="none" w:sz="0" w:space="0" w:color="auto"/>
        <w:bottom w:val="none" w:sz="0" w:space="0" w:color="auto"/>
        <w:right w:val="none" w:sz="0" w:space="0" w:color="auto"/>
      </w:divBdr>
    </w:div>
    <w:div w:id="1457286159">
      <w:bodyDiv w:val="1"/>
      <w:marLeft w:val="0"/>
      <w:marRight w:val="0"/>
      <w:marTop w:val="0"/>
      <w:marBottom w:val="0"/>
      <w:divBdr>
        <w:top w:val="none" w:sz="0" w:space="0" w:color="auto"/>
        <w:left w:val="none" w:sz="0" w:space="0" w:color="auto"/>
        <w:bottom w:val="none" w:sz="0" w:space="0" w:color="auto"/>
        <w:right w:val="none" w:sz="0" w:space="0" w:color="auto"/>
      </w:divBdr>
    </w:div>
    <w:div w:id="1458335581">
      <w:bodyDiv w:val="1"/>
      <w:marLeft w:val="0"/>
      <w:marRight w:val="0"/>
      <w:marTop w:val="0"/>
      <w:marBottom w:val="0"/>
      <w:divBdr>
        <w:top w:val="none" w:sz="0" w:space="0" w:color="auto"/>
        <w:left w:val="none" w:sz="0" w:space="0" w:color="auto"/>
        <w:bottom w:val="none" w:sz="0" w:space="0" w:color="auto"/>
        <w:right w:val="none" w:sz="0" w:space="0" w:color="auto"/>
      </w:divBdr>
    </w:div>
    <w:div w:id="1459373652">
      <w:bodyDiv w:val="1"/>
      <w:marLeft w:val="0"/>
      <w:marRight w:val="0"/>
      <w:marTop w:val="0"/>
      <w:marBottom w:val="0"/>
      <w:divBdr>
        <w:top w:val="none" w:sz="0" w:space="0" w:color="auto"/>
        <w:left w:val="none" w:sz="0" w:space="0" w:color="auto"/>
        <w:bottom w:val="none" w:sz="0" w:space="0" w:color="auto"/>
        <w:right w:val="none" w:sz="0" w:space="0" w:color="auto"/>
      </w:divBdr>
    </w:div>
    <w:div w:id="1459685675">
      <w:bodyDiv w:val="1"/>
      <w:marLeft w:val="0"/>
      <w:marRight w:val="0"/>
      <w:marTop w:val="0"/>
      <w:marBottom w:val="0"/>
      <w:divBdr>
        <w:top w:val="none" w:sz="0" w:space="0" w:color="auto"/>
        <w:left w:val="none" w:sz="0" w:space="0" w:color="auto"/>
        <w:bottom w:val="none" w:sz="0" w:space="0" w:color="auto"/>
        <w:right w:val="none" w:sz="0" w:space="0" w:color="auto"/>
      </w:divBdr>
    </w:div>
    <w:div w:id="1459757737">
      <w:bodyDiv w:val="1"/>
      <w:marLeft w:val="0"/>
      <w:marRight w:val="0"/>
      <w:marTop w:val="0"/>
      <w:marBottom w:val="0"/>
      <w:divBdr>
        <w:top w:val="none" w:sz="0" w:space="0" w:color="auto"/>
        <w:left w:val="none" w:sz="0" w:space="0" w:color="auto"/>
        <w:bottom w:val="none" w:sz="0" w:space="0" w:color="auto"/>
        <w:right w:val="none" w:sz="0" w:space="0" w:color="auto"/>
      </w:divBdr>
    </w:div>
    <w:div w:id="1460027970">
      <w:bodyDiv w:val="1"/>
      <w:marLeft w:val="0"/>
      <w:marRight w:val="0"/>
      <w:marTop w:val="0"/>
      <w:marBottom w:val="0"/>
      <w:divBdr>
        <w:top w:val="none" w:sz="0" w:space="0" w:color="auto"/>
        <w:left w:val="none" w:sz="0" w:space="0" w:color="auto"/>
        <w:bottom w:val="none" w:sz="0" w:space="0" w:color="auto"/>
        <w:right w:val="none" w:sz="0" w:space="0" w:color="auto"/>
      </w:divBdr>
    </w:div>
    <w:div w:id="1460297036">
      <w:bodyDiv w:val="1"/>
      <w:marLeft w:val="0"/>
      <w:marRight w:val="0"/>
      <w:marTop w:val="0"/>
      <w:marBottom w:val="0"/>
      <w:divBdr>
        <w:top w:val="none" w:sz="0" w:space="0" w:color="auto"/>
        <w:left w:val="none" w:sz="0" w:space="0" w:color="auto"/>
        <w:bottom w:val="none" w:sz="0" w:space="0" w:color="auto"/>
        <w:right w:val="none" w:sz="0" w:space="0" w:color="auto"/>
      </w:divBdr>
    </w:div>
    <w:div w:id="1460685450">
      <w:bodyDiv w:val="1"/>
      <w:marLeft w:val="0"/>
      <w:marRight w:val="0"/>
      <w:marTop w:val="0"/>
      <w:marBottom w:val="0"/>
      <w:divBdr>
        <w:top w:val="none" w:sz="0" w:space="0" w:color="auto"/>
        <w:left w:val="none" w:sz="0" w:space="0" w:color="auto"/>
        <w:bottom w:val="none" w:sz="0" w:space="0" w:color="auto"/>
        <w:right w:val="none" w:sz="0" w:space="0" w:color="auto"/>
      </w:divBdr>
    </w:div>
    <w:div w:id="1461070779">
      <w:bodyDiv w:val="1"/>
      <w:marLeft w:val="0"/>
      <w:marRight w:val="0"/>
      <w:marTop w:val="0"/>
      <w:marBottom w:val="0"/>
      <w:divBdr>
        <w:top w:val="none" w:sz="0" w:space="0" w:color="auto"/>
        <w:left w:val="none" w:sz="0" w:space="0" w:color="auto"/>
        <w:bottom w:val="none" w:sz="0" w:space="0" w:color="auto"/>
        <w:right w:val="none" w:sz="0" w:space="0" w:color="auto"/>
      </w:divBdr>
    </w:div>
    <w:div w:id="1461149917">
      <w:bodyDiv w:val="1"/>
      <w:marLeft w:val="0"/>
      <w:marRight w:val="0"/>
      <w:marTop w:val="0"/>
      <w:marBottom w:val="0"/>
      <w:divBdr>
        <w:top w:val="none" w:sz="0" w:space="0" w:color="auto"/>
        <w:left w:val="none" w:sz="0" w:space="0" w:color="auto"/>
        <w:bottom w:val="none" w:sz="0" w:space="0" w:color="auto"/>
        <w:right w:val="none" w:sz="0" w:space="0" w:color="auto"/>
      </w:divBdr>
    </w:div>
    <w:div w:id="1461266072">
      <w:bodyDiv w:val="1"/>
      <w:marLeft w:val="0"/>
      <w:marRight w:val="0"/>
      <w:marTop w:val="0"/>
      <w:marBottom w:val="0"/>
      <w:divBdr>
        <w:top w:val="none" w:sz="0" w:space="0" w:color="auto"/>
        <w:left w:val="none" w:sz="0" w:space="0" w:color="auto"/>
        <w:bottom w:val="none" w:sz="0" w:space="0" w:color="auto"/>
        <w:right w:val="none" w:sz="0" w:space="0" w:color="auto"/>
      </w:divBdr>
    </w:div>
    <w:div w:id="1461412331">
      <w:bodyDiv w:val="1"/>
      <w:marLeft w:val="0"/>
      <w:marRight w:val="0"/>
      <w:marTop w:val="0"/>
      <w:marBottom w:val="0"/>
      <w:divBdr>
        <w:top w:val="none" w:sz="0" w:space="0" w:color="auto"/>
        <w:left w:val="none" w:sz="0" w:space="0" w:color="auto"/>
        <w:bottom w:val="none" w:sz="0" w:space="0" w:color="auto"/>
        <w:right w:val="none" w:sz="0" w:space="0" w:color="auto"/>
      </w:divBdr>
    </w:div>
    <w:div w:id="1461413498">
      <w:bodyDiv w:val="1"/>
      <w:marLeft w:val="0"/>
      <w:marRight w:val="0"/>
      <w:marTop w:val="0"/>
      <w:marBottom w:val="0"/>
      <w:divBdr>
        <w:top w:val="none" w:sz="0" w:space="0" w:color="auto"/>
        <w:left w:val="none" w:sz="0" w:space="0" w:color="auto"/>
        <w:bottom w:val="none" w:sz="0" w:space="0" w:color="auto"/>
        <w:right w:val="none" w:sz="0" w:space="0" w:color="auto"/>
      </w:divBdr>
    </w:div>
    <w:div w:id="1461417364">
      <w:bodyDiv w:val="1"/>
      <w:marLeft w:val="0"/>
      <w:marRight w:val="0"/>
      <w:marTop w:val="0"/>
      <w:marBottom w:val="0"/>
      <w:divBdr>
        <w:top w:val="none" w:sz="0" w:space="0" w:color="auto"/>
        <w:left w:val="none" w:sz="0" w:space="0" w:color="auto"/>
        <w:bottom w:val="none" w:sz="0" w:space="0" w:color="auto"/>
        <w:right w:val="none" w:sz="0" w:space="0" w:color="auto"/>
      </w:divBdr>
    </w:div>
    <w:div w:id="1461799207">
      <w:bodyDiv w:val="1"/>
      <w:marLeft w:val="0"/>
      <w:marRight w:val="0"/>
      <w:marTop w:val="0"/>
      <w:marBottom w:val="0"/>
      <w:divBdr>
        <w:top w:val="none" w:sz="0" w:space="0" w:color="auto"/>
        <w:left w:val="none" w:sz="0" w:space="0" w:color="auto"/>
        <w:bottom w:val="none" w:sz="0" w:space="0" w:color="auto"/>
        <w:right w:val="none" w:sz="0" w:space="0" w:color="auto"/>
      </w:divBdr>
    </w:div>
    <w:div w:id="1461847787">
      <w:bodyDiv w:val="1"/>
      <w:marLeft w:val="0"/>
      <w:marRight w:val="0"/>
      <w:marTop w:val="0"/>
      <w:marBottom w:val="0"/>
      <w:divBdr>
        <w:top w:val="none" w:sz="0" w:space="0" w:color="auto"/>
        <w:left w:val="none" w:sz="0" w:space="0" w:color="auto"/>
        <w:bottom w:val="none" w:sz="0" w:space="0" w:color="auto"/>
        <w:right w:val="none" w:sz="0" w:space="0" w:color="auto"/>
      </w:divBdr>
    </w:div>
    <w:div w:id="1463115847">
      <w:bodyDiv w:val="1"/>
      <w:marLeft w:val="0"/>
      <w:marRight w:val="0"/>
      <w:marTop w:val="0"/>
      <w:marBottom w:val="0"/>
      <w:divBdr>
        <w:top w:val="none" w:sz="0" w:space="0" w:color="auto"/>
        <w:left w:val="none" w:sz="0" w:space="0" w:color="auto"/>
        <w:bottom w:val="none" w:sz="0" w:space="0" w:color="auto"/>
        <w:right w:val="none" w:sz="0" w:space="0" w:color="auto"/>
      </w:divBdr>
    </w:div>
    <w:div w:id="1463184216">
      <w:bodyDiv w:val="1"/>
      <w:marLeft w:val="0"/>
      <w:marRight w:val="0"/>
      <w:marTop w:val="0"/>
      <w:marBottom w:val="0"/>
      <w:divBdr>
        <w:top w:val="none" w:sz="0" w:space="0" w:color="auto"/>
        <w:left w:val="none" w:sz="0" w:space="0" w:color="auto"/>
        <w:bottom w:val="none" w:sz="0" w:space="0" w:color="auto"/>
        <w:right w:val="none" w:sz="0" w:space="0" w:color="auto"/>
      </w:divBdr>
    </w:div>
    <w:div w:id="1463574485">
      <w:bodyDiv w:val="1"/>
      <w:marLeft w:val="0"/>
      <w:marRight w:val="0"/>
      <w:marTop w:val="0"/>
      <w:marBottom w:val="0"/>
      <w:divBdr>
        <w:top w:val="none" w:sz="0" w:space="0" w:color="auto"/>
        <w:left w:val="none" w:sz="0" w:space="0" w:color="auto"/>
        <w:bottom w:val="none" w:sz="0" w:space="0" w:color="auto"/>
        <w:right w:val="none" w:sz="0" w:space="0" w:color="auto"/>
      </w:divBdr>
    </w:div>
    <w:div w:id="1464038179">
      <w:bodyDiv w:val="1"/>
      <w:marLeft w:val="0"/>
      <w:marRight w:val="0"/>
      <w:marTop w:val="0"/>
      <w:marBottom w:val="0"/>
      <w:divBdr>
        <w:top w:val="none" w:sz="0" w:space="0" w:color="auto"/>
        <w:left w:val="none" w:sz="0" w:space="0" w:color="auto"/>
        <w:bottom w:val="none" w:sz="0" w:space="0" w:color="auto"/>
        <w:right w:val="none" w:sz="0" w:space="0" w:color="auto"/>
      </w:divBdr>
    </w:div>
    <w:div w:id="1464040114">
      <w:bodyDiv w:val="1"/>
      <w:marLeft w:val="0"/>
      <w:marRight w:val="0"/>
      <w:marTop w:val="0"/>
      <w:marBottom w:val="0"/>
      <w:divBdr>
        <w:top w:val="none" w:sz="0" w:space="0" w:color="auto"/>
        <w:left w:val="none" w:sz="0" w:space="0" w:color="auto"/>
        <w:bottom w:val="none" w:sz="0" w:space="0" w:color="auto"/>
        <w:right w:val="none" w:sz="0" w:space="0" w:color="auto"/>
      </w:divBdr>
    </w:div>
    <w:div w:id="1464620315">
      <w:bodyDiv w:val="1"/>
      <w:marLeft w:val="0"/>
      <w:marRight w:val="0"/>
      <w:marTop w:val="0"/>
      <w:marBottom w:val="0"/>
      <w:divBdr>
        <w:top w:val="none" w:sz="0" w:space="0" w:color="auto"/>
        <w:left w:val="none" w:sz="0" w:space="0" w:color="auto"/>
        <w:bottom w:val="none" w:sz="0" w:space="0" w:color="auto"/>
        <w:right w:val="none" w:sz="0" w:space="0" w:color="auto"/>
      </w:divBdr>
    </w:div>
    <w:div w:id="1464958783">
      <w:bodyDiv w:val="1"/>
      <w:marLeft w:val="0"/>
      <w:marRight w:val="0"/>
      <w:marTop w:val="0"/>
      <w:marBottom w:val="0"/>
      <w:divBdr>
        <w:top w:val="none" w:sz="0" w:space="0" w:color="auto"/>
        <w:left w:val="none" w:sz="0" w:space="0" w:color="auto"/>
        <w:bottom w:val="none" w:sz="0" w:space="0" w:color="auto"/>
        <w:right w:val="none" w:sz="0" w:space="0" w:color="auto"/>
      </w:divBdr>
    </w:div>
    <w:div w:id="1465542034">
      <w:bodyDiv w:val="1"/>
      <w:marLeft w:val="0"/>
      <w:marRight w:val="0"/>
      <w:marTop w:val="0"/>
      <w:marBottom w:val="0"/>
      <w:divBdr>
        <w:top w:val="none" w:sz="0" w:space="0" w:color="auto"/>
        <w:left w:val="none" w:sz="0" w:space="0" w:color="auto"/>
        <w:bottom w:val="none" w:sz="0" w:space="0" w:color="auto"/>
        <w:right w:val="none" w:sz="0" w:space="0" w:color="auto"/>
      </w:divBdr>
    </w:div>
    <w:div w:id="1465586638">
      <w:bodyDiv w:val="1"/>
      <w:marLeft w:val="0"/>
      <w:marRight w:val="0"/>
      <w:marTop w:val="0"/>
      <w:marBottom w:val="0"/>
      <w:divBdr>
        <w:top w:val="none" w:sz="0" w:space="0" w:color="auto"/>
        <w:left w:val="none" w:sz="0" w:space="0" w:color="auto"/>
        <w:bottom w:val="none" w:sz="0" w:space="0" w:color="auto"/>
        <w:right w:val="none" w:sz="0" w:space="0" w:color="auto"/>
      </w:divBdr>
    </w:div>
    <w:div w:id="1466124505">
      <w:bodyDiv w:val="1"/>
      <w:marLeft w:val="0"/>
      <w:marRight w:val="0"/>
      <w:marTop w:val="0"/>
      <w:marBottom w:val="0"/>
      <w:divBdr>
        <w:top w:val="none" w:sz="0" w:space="0" w:color="auto"/>
        <w:left w:val="none" w:sz="0" w:space="0" w:color="auto"/>
        <w:bottom w:val="none" w:sz="0" w:space="0" w:color="auto"/>
        <w:right w:val="none" w:sz="0" w:space="0" w:color="auto"/>
      </w:divBdr>
    </w:div>
    <w:div w:id="1466924294">
      <w:bodyDiv w:val="1"/>
      <w:marLeft w:val="0"/>
      <w:marRight w:val="0"/>
      <w:marTop w:val="0"/>
      <w:marBottom w:val="0"/>
      <w:divBdr>
        <w:top w:val="none" w:sz="0" w:space="0" w:color="auto"/>
        <w:left w:val="none" w:sz="0" w:space="0" w:color="auto"/>
        <w:bottom w:val="none" w:sz="0" w:space="0" w:color="auto"/>
        <w:right w:val="none" w:sz="0" w:space="0" w:color="auto"/>
      </w:divBdr>
    </w:div>
    <w:div w:id="1467043392">
      <w:bodyDiv w:val="1"/>
      <w:marLeft w:val="0"/>
      <w:marRight w:val="0"/>
      <w:marTop w:val="0"/>
      <w:marBottom w:val="0"/>
      <w:divBdr>
        <w:top w:val="none" w:sz="0" w:space="0" w:color="auto"/>
        <w:left w:val="none" w:sz="0" w:space="0" w:color="auto"/>
        <w:bottom w:val="none" w:sz="0" w:space="0" w:color="auto"/>
        <w:right w:val="none" w:sz="0" w:space="0" w:color="auto"/>
      </w:divBdr>
    </w:div>
    <w:div w:id="1467240337">
      <w:bodyDiv w:val="1"/>
      <w:marLeft w:val="0"/>
      <w:marRight w:val="0"/>
      <w:marTop w:val="0"/>
      <w:marBottom w:val="0"/>
      <w:divBdr>
        <w:top w:val="none" w:sz="0" w:space="0" w:color="auto"/>
        <w:left w:val="none" w:sz="0" w:space="0" w:color="auto"/>
        <w:bottom w:val="none" w:sz="0" w:space="0" w:color="auto"/>
        <w:right w:val="none" w:sz="0" w:space="0" w:color="auto"/>
      </w:divBdr>
    </w:div>
    <w:div w:id="1467431412">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67890835">
      <w:bodyDiv w:val="1"/>
      <w:marLeft w:val="0"/>
      <w:marRight w:val="0"/>
      <w:marTop w:val="0"/>
      <w:marBottom w:val="0"/>
      <w:divBdr>
        <w:top w:val="none" w:sz="0" w:space="0" w:color="auto"/>
        <w:left w:val="none" w:sz="0" w:space="0" w:color="auto"/>
        <w:bottom w:val="none" w:sz="0" w:space="0" w:color="auto"/>
        <w:right w:val="none" w:sz="0" w:space="0" w:color="auto"/>
      </w:divBdr>
    </w:div>
    <w:div w:id="1467897451">
      <w:bodyDiv w:val="1"/>
      <w:marLeft w:val="0"/>
      <w:marRight w:val="0"/>
      <w:marTop w:val="0"/>
      <w:marBottom w:val="0"/>
      <w:divBdr>
        <w:top w:val="none" w:sz="0" w:space="0" w:color="auto"/>
        <w:left w:val="none" w:sz="0" w:space="0" w:color="auto"/>
        <w:bottom w:val="none" w:sz="0" w:space="0" w:color="auto"/>
        <w:right w:val="none" w:sz="0" w:space="0" w:color="auto"/>
      </w:divBdr>
    </w:div>
    <w:div w:id="1468280206">
      <w:bodyDiv w:val="1"/>
      <w:marLeft w:val="0"/>
      <w:marRight w:val="0"/>
      <w:marTop w:val="0"/>
      <w:marBottom w:val="0"/>
      <w:divBdr>
        <w:top w:val="none" w:sz="0" w:space="0" w:color="auto"/>
        <w:left w:val="none" w:sz="0" w:space="0" w:color="auto"/>
        <w:bottom w:val="none" w:sz="0" w:space="0" w:color="auto"/>
        <w:right w:val="none" w:sz="0" w:space="0" w:color="auto"/>
      </w:divBdr>
    </w:div>
    <w:div w:id="1468354951">
      <w:bodyDiv w:val="1"/>
      <w:marLeft w:val="0"/>
      <w:marRight w:val="0"/>
      <w:marTop w:val="0"/>
      <w:marBottom w:val="0"/>
      <w:divBdr>
        <w:top w:val="none" w:sz="0" w:space="0" w:color="auto"/>
        <w:left w:val="none" w:sz="0" w:space="0" w:color="auto"/>
        <w:bottom w:val="none" w:sz="0" w:space="0" w:color="auto"/>
        <w:right w:val="none" w:sz="0" w:space="0" w:color="auto"/>
      </w:divBdr>
    </w:div>
    <w:div w:id="1468471539">
      <w:bodyDiv w:val="1"/>
      <w:marLeft w:val="0"/>
      <w:marRight w:val="0"/>
      <w:marTop w:val="0"/>
      <w:marBottom w:val="0"/>
      <w:divBdr>
        <w:top w:val="none" w:sz="0" w:space="0" w:color="auto"/>
        <w:left w:val="none" w:sz="0" w:space="0" w:color="auto"/>
        <w:bottom w:val="none" w:sz="0" w:space="0" w:color="auto"/>
        <w:right w:val="none" w:sz="0" w:space="0" w:color="auto"/>
      </w:divBdr>
    </w:div>
    <w:div w:id="1468859556">
      <w:bodyDiv w:val="1"/>
      <w:marLeft w:val="0"/>
      <w:marRight w:val="0"/>
      <w:marTop w:val="0"/>
      <w:marBottom w:val="0"/>
      <w:divBdr>
        <w:top w:val="none" w:sz="0" w:space="0" w:color="auto"/>
        <w:left w:val="none" w:sz="0" w:space="0" w:color="auto"/>
        <w:bottom w:val="none" w:sz="0" w:space="0" w:color="auto"/>
        <w:right w:val="none" w:sz="0" w:space="0" w:color="auto"/>
      </w:divBdr>
    </w:div>
    <w:div w:id="1469127449">
      <w:bodyDiv w:val="1"/>
      <w:marLeft w:val="0"/>
      <w:marRight w:val="0"/>
      <w:marTop w:val="0"/>
      <w:marBottom w:val="0"/>
      <w:divBdr>
        <w:top w:val="none" w:sz="0" w:space="0" w:color="auto"/>
        <w:left w:val="none" w:sz="0" w:space="0" w:color="auto"/>
        <w:bottom w:val="none" w:sz="0" w:space="0" w:color="auto"/>
        <w:right w:val="none" w:sz="0" w:space="0" w:color="auto"/>
      </w:divBdr>
    </w:div>
    <w:div w:id="1469932134">
      <w:bodyDiv w:val="1"/>
      <w:marLeft w:val="0"/>
      <w:marRight w:val="0"/>
      <w:marTop w:val="0"/>
      <w:marBottom w:val="0"/>
      <w:divBdr>
        <w:top w:val="none" w:sz="0" w:space="0" w:color="auto"/>
        <w:left w:val="none" w:sz="0" w:space="0" w:color="auto"/>
        <w:bottom w:val="none" w:sz="0" w:space="0" w:color="auto"/>
        <w:right w:val="none" w:sz="0" w:space="0" w:color="auto"/>
      </w:divBdr>
    </w:div>
    <w:div w:id="1470396078">
      <w:bodyDiv w:val="1"/>
      <w:marLeft w:val="0"/>
      <w:marRight w:val="0"/>
      <w:marTop w:val="0"/>
      <w:marBottom w:val="0"/>
      <w:divBdr>
        <w:top w:val="none" w:sz="0" w:space="0" w:color="auto"/>
        <w:left w:val="none" w:sz="0" w:space="0" w:color="auto"/>
        <w:bottom w:val="none" w:sz="0" w:space="0" w:color="auto"/>
        <w:right w:val="none" w:sz="0" w:space="0" w:color="auto"/>
      </w:divBdr>
    </w:div>
    <w:div w:id="1471286182">
      <w:bodyDiv w:val="1"/>
      <w:marLeft w:val="0"/>
      <w:marRight w:val="0"/>
      <w:marTop w:val="0"/>
      <w:marBottom w:val="0"/>
      <w:divBdr>
        <w:top w:val="none" w:sz="0" w:space="0" w:color="auto"/>
        <w:left w:val="none" w:sz="0" w:space="0" w:color="auto"/>
        <w:bottom w:val="none" w:sz="0" w:space="0" w:color="auto"/>
        <w:right w:val="none" w:sz="0" w:space="0" w:color="auto"/>
      </w:divBdr>
    </w:div>
    <w:div w:id="1471483269">
      <w:bodyDiv w:val="1"/>
      <w:marLeft w:val="0"/>
      <w:marRight w:val="0"/>
      <w:marTop w:val="0"/>
      <w:marBottom w:val="0"/>
      <w:divBdr>
        <w:top w:val="none" w:sz="0" w:space="0" w:color="auto"/>
        <w:left w:val="none" w:sz="0" w:space="0" w:color="auto"/>
        <w:bottom w:val="none" w:sz="0" w:space="0" w:color="auto"/>
        <w:right w:val="none" w:sz="0" w:space="0" w:color="auto"/>
      </w:divBdr>
    </w:div>
    <w:div w:id="1471704798">
      <w:bodyDiv w:val="1"/>
      <w:marLeft w:val="0"/>
      <w:marRight w:val="0"/>
      <w:marTop w:val="0"/>
      <w:marBottom w:val="0"/>
      <w:divBdr>
        <w:top w:val="none" w:sz="0" w:space="0" w:color="auto"/>
        <w:left w:val="none" w:sz="0" w:space="0" w:color="auto"/>
        <w:bottom w:val="none" w:sz="0" w:space="0" w:color="auto"/>
        <w:right w:val="none" w:sz="0" w:space="0" w:color="auto"/>
      </w:divBdr>
    </w:div>
    <w:div w:id="1471826419">
      <w:bodyDiv w:val="1"/>
      <w:marLeft w:val="0"/>
      <w:marRight w:val="0"/>
      <w:marTop w:val="0"/>
      <w:marBottom w:val="0"/>
      <w:divBdr>
        <w:top w:val="none" w:sz="0" w:space="0" w:color="auto"/>
        <w:left w:val="none" w:sz="0" w:space="0" w:color="auto"/>
        <w:bottom w:val="none" w:sz="0" w:space="0" w:color="auto"/>
        <w:right w:val="none" w:sz="0" w:space="0" w:color="auto"/>
      </w:divBdr>
    </w:div>
    <w:div w:id="1471897601">
      <w:bodyDiv w:val="1"/>
      <w:marLeft w:val="0"/>
      <w:marRight w:val="0"/>
      <w:marTop w:val="0"/>
      <w:marBottom w:val="0"/>
      <w:divBdr>
        <w:top w:val="none" w:sz="0" w:space="0" w:color="auto"/>
        <w:left w:val="none" w:sz="0" w:space="0" w:color="auto"/>
        <w:bottom w:val="none" w:sz="0" w:space="0" w:color="auto"/>
        <w:right w:val="none" w:sz="0" w:space="0" w:color="auto"/>
      </w:divBdr>
    </w:div>
    <w:div w:id="1471945802">
      <w:bodyDiv w:val="1"/>
      <w:marLeft w:val="0"/>
      <w:marRight w:val="0"/>
      <w:marTop w:val="0"/>
      <w:marBottom w:val="0"/>
      <w:divBdr>
        <w:top w:val="none" w:sz="0" w:space="0" w:color="auto"/>
        <w:left w:val="none" w:sz="0" w:space="0" w:color="auto"/>
        <w:bottom w:val="none" w:sz="0" w:space="0" w:color="auto"/>
        <w:right w:val="none" w:sz="0" w:space="0" w:color="auto"/>
      </w:divBdr>
    </w:div>
    <w:div w:id="1472554314">
      <w:bodyDiv w:val="1"/>
      <w:marLeft w:val="0"/>
      <w:marRight w:val="0"/>
      <w:marTop w:val="0"/>
      <w:marBottom w:val="0"/>
      <w:divBdr>
        <w:top w:val="none" w:sz="0" w:space="0" w:color="auto"/>
        <w:left w:val="none" w:sz="0" w:space="0" w:color="auto"/>
        <w:bottom w:val="none" w:sz="0" w:space="0" w:color="auto"/>
        <w:right w:val="none" w:sz="0" w:space="0" w:color="auto"/>
      </w:divBdr>
    </w:div>
    <w:div w:id="1472987671">
      <w:bodyDiv w:val="1"/>
      <w:marLeft w:val="0"/>
      <w:marRight w:val="0"/>
      <w:marTop w:val="0"/>
      <w:marBottom w:val="0"/>
      <w:divBdr>
        <w:top w:val="none" w:sz="0" w:space="0" w:color="auto"/>
        <w:left w:val="none" w:sz="0" w:space="0" w:color="auto"/>
        <w:bottom w:val="none" w:sz="0" w:space="0" w:color="auto"/>
        <w:right w:val="none" w:sz="0" w:space="0" w:color="auto"/>
      </w:divBdr>
    </w:div>
    <w:div w:id="1473249321">
      <w:bodyDiv w:val="1"/>
      <w:marLeft w:val="0"/>
      <w:marRight w:val="0"/>
      <w:marTop w:val="0"/>
      <w:marBottom w:val="0"/>
      <w:divBdr>
        <w:top w:val="none" w:sz="0" w:space="0" w:color="auto"/>
        <w:left w:val="none" w:sz="0" w:space="0" w:color="auto"/>
        <w:bottom w:val="none" w:sz="0" w:space="0" w:color="auto"/>
        <w:right w:val="none" w:sz="0" w:space="0" w:color="auto"/>
      </w:divBdr>
    </w:div>
    <w:div w:id="1473253501">
      <w:bodyDiv w:val="1"/>
      <w:marLeft w:val="0"/>
      <w:marRight w:val="0"/>
      <w:marTop w:val="0"/>
      <w:marBottom w:val="0"/>
      <w:divBdr>
        <w:top w:val="none" w:sz="0" w:space="0" w:color="auto"/>
        <w:left w:val="none" w:sz="0" w:space="0" w:color="auto"/>
        <w:bottom w:val="none" w:sz="0" w:space="0" w:color="auto"/>
        <w:right w:val="none" w:sz="0" w:space="0" w:color="auto"/>
      </w:divBdr>
    </w:div>
    <w:div w:id="1473593995">
      <w:bodyDiv w:val="1"/>
      <w:marLeft w:val="0"/>
      <w:marRight w:val="0"/>
      <w:marTop w:val="0"/>
      <w:marBottom w:val="0"/>
      <w:divBdr>
        <w:top w:val="none" w:sz="0" w:space="0" w:color="auto"/>
        <w:left w:val="none" w:sz="0" w:space="0" w:color="auto"/>
        <w:bottom w:val="none" w:sz="0" w:space="0" w:color="auto"/>
        <w:right w:val="none" w:sz="0" w:space="0" w:color="auto"/>
      </w:divBdr>
    </w:div>
    <w:div w:id="1473714710">
      <w:bodyDiv w:val="1"/>
      <w:marLeft w:val="0"/>
      <w:marRight w:val="0"/>
      <w:marTop w:val="0"/>
      <w:marBottom w:val="0"/>
      <w:divBdr>
        <w:top w:val="none" w:sz="0" w:space="0" w:color="auto"/>
        <w:left w:val="none" w:sz="0" w:space="0" w:color="auto"/>
        <w:bottom w:val="none" w:sz="0" w:space="0" w:color="auto"/>
        <w:right w:val="none" w:sz="0" w:space="0" w:color="auto"/>
      </w:divBdr>
    </w:div>
    <w:div w:id="1473905687">
      <w:bodyDiv w:val="1"/>
      <w:marLeft w:val="0"/>
      <w:marRight w:val="0"/>
      <w:marTop w:val="0"/>
      <w:marBottom w:val="0"/>
      <w:divBdr>
        <w:top w:val="none" w:sz="0" w:space="0" w:color="auto"/>
        <w:left w:val="none" w:sz="0" w:space="0" w:color="auto"/>
        <w:bottom w:val="none" w:sz="0" w:space="0" w:color="auto"/>
        <w:right w:val="none" w:sz="0" w:space="0" w:color="auto"/>
      </w:divBdr>
    </w:div>
    <w:div w:id="1474297908">
      <w:bodyDiv w:val="1"/>
      <w:marLeft w:val="0"/>
      <w:marRight w:val="0"/>
      <w:marTop w:val="0"/>
      <w:marBottom w:val="0"/>
      <w:divBdr>
        <w:top w:val="none" w:sz="0" w:space="0" w:color="auto"/>
        <w:left w:val="none" w:sz="0" w:space="0" w:color="auto"/>
        <w:bottom w:val="none" w:sz="0" w:space="0" w:color="auto"/>
        <w:right w:val="none" w:sz="0" w:space="0" w:color="auto"/>
      </w:divBdr>
    </w:div>
    <w:div w:id="1474370860">
      <w:bodyDiv w:val="1"/>
      <w:marLeft w:val="0"/>
      <w:marRight w:val="0"/>
      <w:marTop w:val="0"/>
      <w:marBottom w:val="0"/>
      <w:divBdr>
        <w:top w:val="none" w:sz="0" w:space="0" w:color="auto"/>
        <w:left w:val="none" w:sz="0" w:space="0" w:color="auto"/>
        <w:bottom w:val="none" w:sz="0" w:space="0" w:color="auto"/>
        <w:right w:val="none" w:sz="0" w:space="0" w:color="auto"/>
      </w:divBdr>
    </w:div>
    <w:div w:id="1474372234">
      <w:bodyDiv w:val="1"/>
      <w:marLeft w:val="0"/>
      <w:marRight w:val="0"/>
      <w:marTop w:val="0"/>
      <w:marBottom w:val="0"/>
      <w:divBdr>
        <w:top w:val="none" w:sz="0" w:space="0" w:color="auto"/>
        <w:left w:val="none" w:sz="0" w:space="0" w:color="auto"/>
        <w:bottom w:val="none" w:sz="0" w:space="0" w:color="auto"/>
        <w:right w:val="none" w:sz="0" w:space="0" w:color="auto"/>
      </w:divBdr>
    </w:div>
    <w:div w:id="1474448723">
      <w:bodyDiv w:val="1"/>
      <w:marLeft w:val="0"/>
      <w:marRight w:val="0"/>
      <w:marTop w:val="0"/>
      <w:marBottom w:val="0"/>
      <w:divBdr>
        <w:top w:val="none" w:sz="0" w:space="0" w:color="auto"/>
        <w:left w:val="none" w:sz="0" w:space="0" w:color="auto"/>
        <w:bottom w:val="none" w:sz="0" w:space="0" w:color="auto"/>
        <w:right w:val="none" w:sz="0" w:space="0" w:color="auto"/>
      </w:divBdr>
    </w:div>
    <w:div w:id="1474560094">
      <w:bodyDiv w:val="1"/>
      <w:marLeft w:val="0"/>
      <w:marRight w:val="0"/>
      <w:marTop w:val="0"/>
      <w:marBottom w:val="0"/>
      <w:divBdr>
        <w:top w:val="none" w:sz="0" w:space="0" w:color="auto"/>
        <w:left w:val="none" w:sz="0" w:space="0" w:color="auto"/>
        <w:bottom w:val="none" w:sz="0" w:space="0" w:color="auto"/>
        <w:right w:val="none" w:sz="0" w:space="0" w:color="auto"/>
      </w:divBdr>
    </w:div>
    <w:div w:id="1474564990">
      <w:bodyDiv w:val="1"/>
      <w:marLeft w:val="0"/>
      <w:marRight w:val="0"/>
      <w:marTop w:val="0"/>
      <w:marBottom w:val="0"/>
      <w:divBdr>
        <w:top w:val="none" w:sz="0" w:space="0" w:color="auto"/>
        <w:left w:val="none" w:sz="0" w:space="0" w:color="auto"/>
        <w:bottom w:val="none" w:sz="0" w:space="0" w:color="auto"/>
        <w:right w:val="none" w:sz="0" w:space="0" w:color="auto"/>
      </w:divBdr>
    </w:div>
    <w:div w:id="1475096789">
      <w:bodyDiv w:val="1"/>
      <w:marLeft w:val="0"/>
      <w:marRight w:val="0"/>
      <w:marTop w:val="0"/>
      <w:marBottom w:val="0"/>
      <w:divBdr>
        <w:top w:val="none" w:sz="0" w:space="0" w:color="auto"/>
        <w:left w:val="none" w:sz="0" w:space="0" w:color="auto"/>
        <w:bottom w:val="none" w:sz="0" w:space="0" w:color="auto"/>
        <w:right w:val="none" w:sz="0" w:space="0" w:color="auto"/>
      </w:divBdr>
    </w:div>
    <w:div w:id="1475216843">
      <w:bodyDiv w:val="1"/>
      <w:marLeft w:val="0"/>
      <w:marRight w:val="0"/>
      <w:marTop w:val="0"/>
      <w:marBottom w:val="0"/>
      <w:divBdr>
        <w:top w:val="none" w:sz="0" w:space="0" w:color="auto"/>
        <w:left w:val="none" w:sz="0" w:space="0" w:color="auto"/>
        <w:bottom w:val="none" w:sz="0" w:space="0" w:color="auto"/>
        <w:right w:val="none" w:sz="0" w:space="0" w:color="auto"/>
      </w:divBdr>
    </w:div>
    <w:div w:id="1475219020">
      <w:bodyDiv w:val="1"/>
      <w:marLeft w:val="0"/>
      <w:marRight w:val="0"/>
      <w:marTop w:val="0"/>
      <w:marBottom w:val="0"/>
      <w:divBdr>
        <w:top w:val="none" w:sz="0" w:space="0" w:color="auto"/>
        <w:left w:val="none" w:sz="0" w:space="0" w:color="auto"/>
        <w:bottom w:val="none" w:sz="0" w:space="0" w:color="auto"/>
        <w:right w:val="none" w:sz="0" w:space="0" w:color="auto"/>
      </w:divBdr>
    </w:div>
    <w:div w:id="1475367504">
      <w:bodyDiv w:val="1"/>
      <w:marLeft w:val="0"/>
      <w:marRight w:val="0"/>
      <w:marTop w:val="0"/>
      <w:marBottom w:val="0"/>
      <w:divBdr>
        <w:top w:val="none" w:sz="0" w:space="0" w:color="auto"/>
        <w:left w:val="none" w:sz="0" w:space="0" w:color="auto"/>
        <w:bottom w:val="none" w:sz="0" w:space="0" w:color="auto"/>
        <w:right w:val="none" w:sz="0" w:space="0" w:color="auto"/>
      </w:divBdr>
    </w:div>
    <w:div w:id="1475442051">
      <w:bodyDiv w:val="1"/>
      <w:marLeft w:val="0"/>
      <w:marRight w:val="0"/>
      <w:marTop w:val="0"/>
      <w:marBottom w:val="0"/>
      <w:divBdr>
        <w:top w:val="none" w:sz="0" w:space="0" w:color="auto"/>
        <w:left w:val="none" w:sz="0" w:space="0" w:color="auto"/>
        <w:bottom w:val="none" w:sz="0" w:space="0" w:color="auto"/>
        <w:right w:val="none" w:sz="0" w:space="0" w:color="auto"/>
      </w:divBdr>
    </w:div>
    <w:div w:id="1476142417">
      <w:bodyDiv w:val="1"/>
      <w:marLeft w:val="0"/>
      <w:marRight w:val="0"/>
      <w:marTop w:val="0"/>
      <w:marBottom w:val="0"/>
      <w:divBdr>
        <w:top w:val="none" w:sz="0" w:space="0" w:color="auto"/>
        <w:left w:val="none" w:sz="0" w:space="0" w:color="auto"/>
        <w:bottom w:val="none" w:sz="0" w:space="0" w:color="auto"/>
        <w:right w:val="none" w:sz="0" w:space="0" w:color="auto"/>
      </w:divBdr>
    </w:div>
    <w:div w:id="1476337099">
      <w:bodyDiv w:val="1"/>
      <w:marLeft w:val="0"/>
      <w:marRight w:val="0"/>
      <w:marTop w:val="0"/>
      <w:marBottom w:val="0"/>
      <w:divBdr>
        <w:top w:val="none" w:sz="0" w:space="0" w:color="auto"/>
        <w:left w:val="none" w:sz="0" w:space="0" w:color="auto"/>
        <w:bottom w:val="none" w:sz="0" w:space="0" w:color="auto"/>
        <w:right w:val="none" w:sz="0" w:space="0" w:color="auto"/>
      </w:divBdr>
    </w:div>
    <w:div w:id="1476679814">
      <w:bodyDiv w:val="1"/>
      <w:marLeft w:val="0"/>
      <w:marRight w:val="0"/>
      <w:marTop w:val="0"/>
      <w:marBottom w:val="0"/>
      <w:divBdr>
        <w:top w:val="none" w:sz="0" w:space="0" w:color="auto"/>
        <w:left w:val="none" w:sz="0" w:space="0" w:color="auto"/>
        <w:bottom w:val="none" w:sz="0" w:space="0" w:color="auto"/>
        <w:right w:val="none" w:sz="0" w:space="0" w:color="auto"/>
      </w:divBdr>
    </w:div>
    <w:div w:id="1477187324">
      <w:bodyDiv w:val="1"/>
      <w:marLeft w:val="0"/>
      <w:marRight w:val="0"/>
      <w:marTop w:val="0"/>
      <w:marBottom w:val="0"/>
      <w:divBdr>
        <w:top w:val="none" w:sz="0" w:space="0" w:color="auto"/>
        <w:left w:val="none" w:sz="0" w:space="0" w:color="auto"/>
        <w:bottom w:val="none" w:sz="0" w:space="0" w:color="auto"/>
        <w:right w:val="none" w:sz="0" w:space="0" w:color="auto"/>
      </w:divBdr>
    </w:div>
    <w:div w:id="1477336175">
      <w:bodyDiv w:val="1"/>
      <w:marLeft w:val="0"/>
      <w:marRight w:val="0"/>
      <w:marTop w:val="0"/>
      <w:marBottom w:val="0"/>
      <w:divBdr>
        <w:top w:val="none" w:sz="0" w:space="0" w:color="auto"/>
        <w:left w:val="none" w:sz="0" w:space="0" w:color="auto"/>
        <w:bottom w:val="none" w:sz="0" w:space="0" w:color="auto"/>
        <w:right w:val="none" w:sz="0" w:space="0" w:color="auto"/>
      </w:divBdr>
    </w:div>
    <w:div w:id="1477451054">
      <w:bodyDiv w:val="1"/>
      <w:marLeft w:val="0"/>
      <w:marRight w:val="0"/>
      <w:marTop w:val="0"/>
      <w:marBottom w:val="0"/>
      <w:divBdr>
        <w:top w:val="none" w:sz="0" w:space="0" w:color="auto"/>
        <w:left w:val="none" w:sz="0" w:space="0" w:color="auto"/>
        <w:bottom w:val="none" w:sz="0" w:space="0" w:color="auto"/>
        <w:right w:val="none" w:sz="0" w:space="0" w:color="auto"/>
      </w:divBdr>
    </w:div>
    <w:div w:id="1477649512">
      <w:bodyDiv w:val="1"/>
      <w:marLeft w:val="0"/>
      <w:marRight w:val="0"/>
      <w:marTop w:val="0"/>
      <w:marBottom w:val="0"/>
      <w:divBdr>
        <w:top w:val="none" w:sz="0" w:space="0" w:color="auto"/>
        <w:left w:val="none" w:sz="0" w:space="0" w:color="auto"/>
        <w:bottom w:val="none" w:sz="0" w:space="0" w:color="auto"/>
        <w:right w:val="none" w:sz="0" w:space="0" w:color="auto"/>
      </w:divBdr>
    </w:div>
    <w:div w:id="1477723984">
      <w:bodyDiv w:val="1"/>
      <w:marLeft w:val="0"/>
      <w:marRight w:val="0"/>
      <w:marTop w:val="0"/>
      <w:marBottom w:val="0"/>
      <w:divBdr>
        <w:top w:val="none" w:sz="0" w:space="0" w:color="auto"/>
        <w:left w:val="none" w:sz="0" w:space="0" w:color="auto"/>
        <w:bottom w:val="none" w:sz="0" w:space="0" w:color="auto"/>
        <w:right w:val="none" w:sz="0" w:space="0" w:color="auto"/>
      </w:divBdr>
    </w:div>
    <w:div w:id="1477792874">
      <w:bodyDiv w:val="1"/>
      <w:marLeft w:val="0"/>
      <w:marRight w:val="0"/>
      <w:marTop w:val="0"/>
      <w:marBottom w:val="0"/>
      <w:divBdr>
        <w:top w:val="none" w:sz="0" w:space="0" w:color="auto"/>
        <w:left w:val="none" w:sz="0" w:space="0" w:color="auto"/>
        <w:bottom w:val="none" w:sz="0" w:space="0" w:color="auto"/>
        <w:right w:val="none" w:sz="0" w:space="0" w:color="auto"/>
      </w:divBdr>
    </w:div>
    <w:div w:id="1477868122">
      <w:bodyDiv w:val="1"/>
      <w:marLeft w:val="0"/>
      <w:marRight w:val="0"/>
      <w:marTop w:val="0"/>
      <w:marBottom w:val="0"/>
      <w:divBdr>
        <w:top w:val="none" w:sz="0" w:space="0" w:color="auto"/>
        <w:left w:val="none" w:sz="0" w:space="0" w:color="auto"/>
        <w:bottom w:val="none" w:sz="0" w:space="0" w:color="auto"/>
        <w:right w:val="none" w:sz="0" w:space="0" w:color="auto"/>
      </w:divBdr>
    </w:div>
    <w:div w:id="1478374087">
      <w:bodyDiv w:val="1"/>
      <w:marLeft w:val="0"/>
      <w:marRight w:val="0"/>
      <w:marTop w:val="0"/>
      <w:marBottom w:val="0"/>
      <w:divBdr>
        <w:top w:val="none" w:sz="0" w:space="0" w:color="auto"/>
        <w:left w:val="none" w:sz="0" w:space="0" w:color="auto"/>
        <w:bottom w:val="none" w:sz="0" w:space="0" w:color="auto"/>
        <w:right w:val="none" w:sz="0" w:space="0" w:color="auto"/>
      </w:divBdr>
    </w:div>
    <w:div w:id="1478842472">
      <w:bodyDiv w:val="1"/>
      <w:marLeft w:val="0"/>
      <w:marRight w:val="0"/>
      <w:marTop w:val="0"/>
      <w:marBottom w:val="0"/>
      <w:divBdr>
        <w:top w:val="none" w:sz="0" w:space="0" w:color="auto"/>
        <w:left w:val="none" w:sz="0" w:space="0" w:color="auto"/>
        <w:bottom w:val="none" w:sz="0" w:space="0" w:color="auto"/>
        <w:right w:val="none" w:sz="0" w:space="0" w:color="auto"/>
      </w:divBdr>
    </w:div>
    <w:div w:id="1479108737">
      <w:bodyDiv w:val="1"/>
      <w:marLeft w:val="0"/>
      <w:marRight w:val="0"/>
      <w:marTop w:val="0"/>
      <w:marBottom w:val="0"/>
      <w:divBdr>
        <w:top w:val="none" w:sz="0" w:space="0" w:color="auto"/>
        <w:left w:val="none" w:sz="0" w:space="0" w:color="auto"/>
        <w:bottom w:val="none" w:sz="0" w:space="0" w:color="auto"/>
        <w:right w:val="none" w:sz="0" w:space="0" w:color="auto"/>
      </w:divBdr>
    </w:div>
    <w:div w:id="1479147612">
      <w:bodyDiv w:val="1"/>
      <w:marLeft w:val="0"/>
      <w:marRight w:val="0"/>
      <w:marTop w:val="0"/>
      <w:marBottom w:val="0"/>
      <w:divBdr>
        <w:top w:val="none" w:sz="0" w:space="0" w:color="auto"/>
        <w:left w:val="none" w:sz="0" w:space="0" w:color="auto"/>
        <w:bottom w:val="none" w:sz="0" w:space="0" w:color="auto"/>
        <w:right w:val="none" w:sz="0" w:space="0" w:color="auto"/>
      </w:divBdr>
    </w:div>
    <w:div w:id="1479298172">
      <w:bodyDiv w:val="1"/>
      <w:marLeft w:val="0"/>
      <w:marRight w:val="0"/>
      <w:marTop w:val="0"/>
      <w:marBottom w:val="0"/>
      <w:divBdr>
        <w:top w:val="none" w:sz="0" w:space="0" w:color="auto"/>
        <w:left w:val="none" w:sz="0" w:space="0" w:color="auto"/>
        <w:bottom w:val="none" w:sz="0" w:space="0" w:color="auto"/>
        <w:right w:val="none" w:sz="0" w:space="0" w:color="auto"/>
      </w:divBdr>
    </w:div>
    <w:div w:id="1479372943">
      <w:bodyDiv w:val="1"/>
      <w:marLeft w:val="0"/>
      <w:marRight w:val="0"/>
      <w:marTop w:val="0"/>
      <w:marBottom w:val="0"/>
      <w:divBdr>
        <w:top w:val="none" w:sz="0" w:space="0" w:color="auto"/>
        <w:left w:val="none" w:sz="0" w:space="0" w:color="auto"/>
        <w:bottom w:val="none" w:sz="0" w:space="0" w:color="auto"/>
        <w:right w:val="none" w:sz="0" w:space="0" w:color="auto"/>
      </w:divBdr>
    </w:div>
    <w:div w:id="1480342896">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0682308">
      <w:bodyDiv w:val="1"/>
      <w:marLeft w:val="0"/>
      <w:marRight w:val="0"/>
      <w:marTop w:val="0"/>
      <w:marBottom w:val="0"/>
      <w:divBdr>
        <w:top w:val="none" w:sz="0" w:space="0" w:color="auto"/>
        <w:left w:val="none" w:sz="0" w:space="0" w:color="auto"/>
        <w:bottom w:val="none" w:sz="0" w:space="0" w:color="auto"/>
        <w:right w:val="none" w:sz="0" w:space="0" w:color="auto"/>
      </w:divBdr>
    </w:div>
    <w:div w:id="1480806811">
      <w:bodyDiv w:val="1"/>
      <w:marLeft w:val="0"/>
      <w:marRight w:val="0"/>
      <w:marTop w:val="0"/>
      <w:marBottom w:val="0"/>
      <w:divBdr>
        <w:top w:val="none" w:sz="0" w:space="0" w:color="auto"/>
        <w:left w:val="none" w:sz="0" w:space="0" w:color="auto"/>
        <w:bottom w:val="none" w:sz="0" w:space="0" w:color="auto"/>
        <w:right w:val="none" w:sz="0" w:space="0" w:color="auto"/>
      </w:divBdr>
    </w:div>
    <w:div w:id="1480995528">
      <w:bodyDiv w:val="1"/>
      <w:marLeft w:val="0"/>
      <w:marRight w:val="0"/>
      <w:marTop w:val="0"/>
      <w:marBottom w:val="0"/>
      <w:divBdr>
        <w:top w:val="none" w:sz="0" w:space="0" w:color="auto"/>
        <w:left w:val="none" w:sz="0" w:space="0" w:color="auto"/>
        <w:bottom w:val="none" w:sz="0" w:space="0" w:color="auto"/>
        <w:right w:val="none" w:sz="0" w:space="0" w:color="auto"/>
      </w:divBdr>
    </w:div>
    <w:div w:id="1481144568">
      <w:bodyDiv w:val="1"/>
      <w:marLeft w:val="0"/>
      <w:marRight w:val="0"/>
      <w:marTop w:val="0"/>
      <w:marBottom w:val="0"/>
      <w:divBdr>
        <w:top w:val="none" w:sz="0" w:space="0" w:color="auto"/>
        <w:left w:val="none" w:sz="0" w:space="0" w:color="auto"/>
        <w:bottom w:val="none" w:sz="0" w:space="0" w:color="auto"/>
        <w:right w:val="none" w:sz="0" w:space="0" w:color="auto"/>
      </w:divBdr>
    </w:div>
    <w:div w:id="1481580861">
      <w:bodyDiv w:val="1"/>
      <w:marLeft w:val="0"/>
      <w:marRight w:val="0"/>
      <w:marTop w:val="0"/>
      <w:marBottom w:val="0"/>
      <w:divBdr>
        <w:top w:val="none" w:sz="0" w:space="0" w:color="auto"/>
        <w:left w:val="none" w:sz="0" w:space="0" w:color="auto"/>
        <w:bottom w:val="none" w:sz="0" w:space="0" w:color="auto"/>
        <w:right w:val="none" w:sz="0" w:space="0" w:color="auto"/>
      </w:divBdr>
    </w:div>
    <w:div w:id="1482036087">
      <w:bodyDiv w:val="1"/>
      <w:marLeft w:val="0"/>
      <w:marRight w:val="0"/>
      <w:marTop w:val="0"/>
      <w:marBottom w:val="0"/>
      <w:divBdr>
        <w:top w:val="none" w:sz="0" w:space="0" w:color="auto"/>
        <w:left w:val="none" w:sz="0" w:space="0" w:color="auto"/>
        <w:bottom w:val="none" w:sz="0" w:space="0" w:color="auto"/>
        <w:right w:val="none" w:sz="0" w:space="0" w:color="auto"/>
      </w:divBdr>
    </w:div>
    <w:div w:id="1482381524">
      <w:bodyDiv w:val="1"/>
      <w:marLeft w:val="0"/>
      <w:marRight w:val="0"/>
      <w:marTop w:val="0"/>
      <w:marBottom w:val="0"/>
      <w:divBdr>
        <w:top w:val="none" w:sz="0" w:space="0" w:color="auto"/>
        <w:left w:val="none" w:sz="0" w:space="0" w:color="auto"/>
        <w:bottom w:val="none" w:sz="0" w:space="0" w:color="auto"/>
        <w:right w:val="none" w:sz="0" w:space="0" w:color="auto"/>
      </w:divBdr>
    </w:div>
    <w:div w:id="1482506104">
      <w:bodyDiv w:val="1"/>
      <w:marLeft w:val="0"/>
      <w:marRight w:val="0"/>
      <w:marTop w:val="0"/>
      <w:marBottom w:val="0"/>
      <w:divBdr>
        <w:top w:val="none" w:sz="0" w:space="0" w:color="auto"/>
        <w:left w:val="none" w:sz="0" w:space="0" w:color="auto"/>
        <w:bottom w:val="none" w:sz="0" w:space="0" w:color="auto"/>
        <w:right w:val="none" w:sz="0" w:space="0" w:color="auto"/>
      </w:divBdr>
    </w:div>
    <w:div w:id="1483424219">
      <w:bodyDiv w:val="1"/>
      <w:marLeft w:val="0"/>
      <w:marRight w:val="0"/>
      <w:marTop w:val="0"/>
      <w:marBottom w:val="0"/>
      <w:divBdr>
        <w:top w:val="none" w:sz="0" w:space="0" w:color="auto"/>
        <w:left w:val="none" w:sz="0" w:space="0" w:color="auto"/>
        <w:bottom w:val="none" w:sz="0" w:space="0" w:color="auto"/>
        <w:right w:val="none" w:sz="0" w:space="0" w:color="auto"/>
      </w:divBdr>
    </w:div>
    <w:div w:id="1483544044">
      <w:bodyDiv w:val="1"/>
      <w:marLeft w:val="0"/>
      <w:marRight w:val="0"/>
      <w:marTop w:val="0"/>
      <w:marBottom w:val="0"/>
      <w:divBdr>
        <w:top w:val="none" w:sz="0" w:space="0" w:color="auto"/>
        <w:left w:val="none" w:sz="0" w:space="0" w:color="auto"/>
        <w:bottom w:val="none" w:sz="0" w:space="0" w:color="auto"/>
        <w:right w:val="none" w:sz="0" w:space="0" w:color="auto"/>
      </w:divBdr>
    </w:div>
    <w:div w:id="1485002150">
      <w:bodyDiv w:val="1"/>
      <w:marLeft w:val="0"/>
      <w:marRight w:val="0"/>
      <w:marTop w:val="0"/>
      <w:marBottom w:val="0"/>
      <w:divBdr>
        <w:top w:val="none" w:sz="0" w:space="0" w:color="auto"/>
        <w:left w:val="none" w:sz="0" w:space="0" w:color="auto"/>
        <w:bottom w:val="none" w:sz="0" w:space="0" w:color="auto"/>
        <w:right w:val="none" w:sz="0" w:space="0" w:color="auto"/>
      </w:divBdr>
    </w:div>
    <w:div w:id="1485514458">
      <w:bodyDiv w:val="1"/>
      <w:marLeft w:val="0"/>
      <w:marRight w:val="0"/>
      <w:marTop w:val="0"/>
      <w:marBottom w:val="0"/>
      <w:divBdr>
        <w:top w:val="none" w:sz="0" w:space="0" w:color="auto"/>
        <w:left w:val="none" w:sz="0" w:space="0" w:color="auto"/>
        <w:bottom w:val="none" w:sz="0" w:space="0" w:color="auto"/>
        <w:right w:val="none" w:sz="0" w:space="0" w:color="auto"/>
      </w:divBdr>
    </w:div>
    <w:div w:id="1485588188">
      <w:bodyDiv w:val="1"/>
      <w:marLeft w:val="0"/>
      <w:marRight w:val="0"/>
      <w:marTop w:val="0"/>
      <w:marBottom w:val="0"/>
      <w:divBdr>
        <w:top w:val="none" w:sz="0" w:space="0" w:color="auto"/>
        <w:left w:val="none" w:sz="0" w:space="0" w:color="auto"/>
        <w:bottom w:val="none" w:sz="0" w:space="0" w:color="auto"/>
        <w:right w:val="none" w:sz="0" w:space="0" w:color="auto"/>
      </w:divBdr>
    </w:div>
    <w:div w:id="1485664134">
      <w:bodyDiv w:val="1"/>
      <w:marLeft w:val="0"/>
      <w:marRight w:val="0"/>
      <w:marTop w:val="0"/>
      <w:marBottom w:val="0"/>
      <w:divBdr>
        <w:top w:val="none" w:sz="0" w:space="0" w:color="auto"/>
        <w:left w:val="none" w:sz="0" w:space="0" w:color="auto"/>
        <w:bottom w:val="none" w:sz="0" w:space="0" w:color="auto"/>
        <w:right w:val="none" w:sz="0" w:space="0" w:color="auto"/>
      </w:divBdr>
    </w:div>
    <w:div w:id="1485851339">
      <w:bodyDiv w:val="1"/>
      <w:marLeft w:val="0"/>
      <w:marRight w:val="0"/>
      <w:marTop w:val="0"/>
      <w:marBottom w:val="0"/>
      <w:divBdr>
        <w:top w:val="none" w:sz="0" w:space="0" w:color="auto"/>
        <w:left w:val="none" w:sz="0" w:space="0" w:color="auto"/>
        <w:bottom w:val="none" w:sz="0" w:space="0" w:color="auto"/>
        <w:right w:val="none" w:sz="0" w:space="0" w:color="auto"/>
      </w:divBdr>
    </w:div>
    <w:div w:id="1485971128">
      <w:bodyDiv w:val="1"/>
      <w:marLeft w:val="0"/>
      <w:marRight w:val="0"/>
      <w:marTop w:val="0"/>
      <w:marBottom w:val="0"/>
      <w:divBdr>
        <w:top w:val="none" w:sz="0" w:space="0" w:color="auto"/>
        <w:left w:val="none" w:sz="0" w:space="0" w:color="auto"/>
        <w:bottom w:val="none" w:sz="0" w:space="0" w:color="auto"/>
        <w:right w:val="none" w:sz="0" w:space="0" w:color="auto"/>
      </w:divBdr>
    </w:div>
    <w:div w:id="1486630335">
      <w:bodyDiv w:val="1"/>
      <w:marLeft w:val="0"/>
      <w:marRight w:val="0"/>
      <w:marTop w:val="0"/>
      <w:marBottom w:val="0"/>
      <w:divBdr>
        <w:top w:val="none" w:sz="0" w:space="0" w:color="auto"/>
        <w:left w:val="none" w:sz="0" w:space="0" w:color="auto"/>
        <w:bottom w:val="none" w:sz="0" w:space="0" w:color="auto"/>
        <w:right w:val="none" w:sz="0" w:space="0" w:color="auto"/>
      </w:divBdr>
    </w:div>
    <w:div w:id="1486818648">
      <w:bodyDiv w:val="1"/>
      <w:marLeft w:val="0"/>
      <w:marRight w:val="0"/>
      <w:marTop w:val="0"/>
      <w:marBottom w:val="0"/>
      <w:divBdr>
        <w:top w:val="none" w:sz="0" w:space="0" w:color="auto"/>
        <w:left w:val="none" w:sz="0" w:space="0" w:color="auto"/>
        <w:bottom w:val="none" w:sz="0" w:space="0" w:color="auto"/>
        <w:right w:val="none" w:sz="0" w:space="0" w:color="auto"/>
      </w:divBdr>
    </w:div>
    <w:div w:id="1486820599">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013638">
      <w:bodyDiv w:val="1"/>
      <w:marLeft w:val="0"/>
      <w:marRight w:val="0"/>
      <w:marTop w:val="0"/>
      <w:marBottom w:val="0"/>
      <w:divBdr>
        <w:top w:val="none" w:sz="0" w:space="0" w:color="auto"/>
        <w:left w:val="none" w:sz="0" w:space="0" w:color="auto"/>
        <w:bottom w:val="none" w:sz="0" w:space="0" w:color="auto"/>
        <w:right w:val="none" w:sz="0" w:space="0" w:color="auto"/>
      </w:divBdr>
    </w:div>
    <w:div w:id="1487472945">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488017282">
      <w:bodyDiv w:val="1"/>
      <w:marLeft w:val="0"/>
      <w:marRight w:val="0"/>
      <w:marTop w:val="0"/>
      <w:marBottom w:val="0"/>
      <w:divBdr>
        <w:top w:val="none" w:sz="0" w:space="0" w:color="auto"/>
        <w:left w:val="none" w:sz="0" w:space="0" w:color="auto"/>
        <w:bottom w:val="none" w:sz="0" w:space="0" w:color="auto"/>
        <w:right w:val="none" w:sz="0" w:space="0" w:color="auto"/>
      </w:divBdr>
    </w:div>
    <w:div w:id="1488126910">
      <w:bodyDiv w:val="1"/>
      <w:marLeft w:val="0"/>
      <w:marRight w:val="0"/>
      <w:marTop w:val="0"/>
      <w:marBottom w:val="0"/>
      <w:divBdr>
        <w:top w:val="none" w:sz="0" w:space="0" w:color="auto"/>
        <w:left w:val="none" w:sz="0" w:space="0" w:color="auto"/>
        <w:bottom w:val="none" w:sz="0" w:space="0" w:color="auto"/>
        <w:right w:val="none" w:sz="0" w:space="0" w:color="auto"/>
      </w:divBdr>
    </w:div>
    <w:div w:id="1488128573">
      <w:bodyDiv w:val="1"/>
      <w:marLeft w:val="0"/>
      <w:marRight w:val="0"/>
      <w:marTop w:val="0"/>
      <w:marBottom w:val="0"/>
      <w:divBdr>
        <w:top w:val="none" w:sz="0" w:space="0" w:color="auto"/>
        <w:left w:val="none" w:sz="0" w:space="0" w:color="auto"/>
        <w:bottom w:val="none" w:sz="0" w:space="0" w:color="auto"/>
        <w:right w:val="none" w:sz="0" w:space="0" w:color="auto"/>
      </w:divBdr>
    </w:div>
    <w:div w:id="1488133151">
      <w:bodyDiv w:val="1"/>
      <w:marLeft w:val="0"/>
      <w:marRight w:val="0"/>
      <w:marTop w:val="0"/>
      <w:marBottom w:val="0"/>
      <w:divBdr>
        <w:top w:val="none" w:sz="0" w:space="0" w:color="auto"/>
        <w:left w:val="none" w:sz="0" w:space="0" w:color="auto"/>
        <w:bottom w:val="none" w:sz="0" w:space="0" w:color="auto"/>
        <w:right w:val="none" w:sz="0" w:space="0" w:color="auto"/>
      </w:divBdr>
    </w:div>
    <w:div w:id="1488399816">
      <w:bodyDiv w:val="1"/>
      <w:marLeft w:val="0"/>
      <w:marRight w:val="0"/>
      <w:marTop w:val="0"/>
      <w:marBottom w:val="0"/>
      <w:divBdr>
        <w:top w:val="none" w:sz="0" w:space="0" w:color="auto"/>
        <w:left w:val="none" w:sz="0" w:space="0" w:color="auto"/>
        <w:bottom w:val="none" w:sz="0" w:space="0" w:color="auto"/>
        <w:right w:val="none" w:sz="0" w:space="0" w:color="auto"/>
      </w:divBdr>
    </w:div>
    <w:div w:id="1488520967">
      <w:bodyDiv w:val="1"/>
      <w:marLeft w:val="0"/>
      <w:marRight w:val="0"/>
      <w:marTop w:val="0"/>
      <w:marBottom w:val="0"/>
      <w:divBdr>
        <w:top w:val="none" w:sz="0" w:space="0" w:color="auto"/>
        <w:left w:val="none" w:sz="0" w:space="0" w:color="auto"/>
        <w:bottom w:val="none" w:sz="0" w:space="0" w:color="auto"/>
        <w:right w:val="none" w:sz="0" w:space="0" w:color="auto"/>
      </w:divBdr>
    </w:div>
    <w:div w:id="1488547313">
      <w:bodyDiv w:val="1"/>
      <w:marLeft w:val="0"/>
      <w:marRight w:val="0"/>
      <w:marTop w:val="0"/>
      <w:marBottom w:val="0"/>
      <w:divBdr>
        <w:top w:val="none" w:sz="0" w:space="0" w:color="auto"/>
        <w:left w:val="none" w:sz="0" w:space="0" w:color="auto"/>
        <w:bottom w:val="none" w:sz="0" w:space="0" w:color="auto"/>
        <w:right w:val="none" w:sz="0" w:space="0" w:color="auto"/>
      </w:divBdr>
    </w:div>
    <w:div w:id="1488669571">
      <w:bodyDiv w:val="1"/>
      <w:marLeft w:val="0"/>
      <w:marRight w:val="0"/>
      <w:marTop w:val="0"/>
      <w:marBottom w:val="0"/>
      <w:divBdr>
        <w:top w:val="none" w:sz="0" w:space="0" w:color="auto"/>
        <w:left w:val="none" w:sz="0" w:space="0" w:color="auto"/>
        <w:bottom w:val="none" w:sz="0" w:space="0" w:color="auto"/>
        <w:right w:val="none" w:sz="0" w:space="0" w:color="auto"/>
      </w:divBdr>
    </w:div>
    <w:div w:id="1488865871">
      <w:bodyDiv w:val="1"/>
      <w:marLeft w:val="0"/>
      <w:marRight w:val="0"/>
      <w:marTop w:val="0"/>
      <w:marBottom w:val="0"/>
      <w:divBdr>
        <w:top w:val="none" w:sz="0" w:space="0" w:color="auto"/>
        <w:left w:val="none" w:sz="0" w:space="0" w:color="auto"/>
        <w:bottom w:val="none" w:sz="0" w:space="0" w:color="auto"/>
        <w:right w:val="none" w:sz="0" w:space="0" w:color="auto"/>
      </w:divBdr>
    </w:div>
    <w:div w:id="1490173917">
      <w:bodyDiv w:val="1"/>
      <w:marLeft w:val="0"/>
      <w:marRight w:val="0"/>
      <w:marTop w:val="0"/>
      <w:marBottom w:val="0"/>
      <w:divBdr>
        <w:top w:val="none" w:sz="0" w:space="0" w:color="auto"/>
        <w:left w:val="none" w:sz="0" w:space="0" w:color="auto"/>
        <w:bottom w:val="none" w:sz="0" w:space="0" w:color="auto"/>
        <w:right w:val="none" w:sz="0" w:space="0" w:color="auto"/>
      </w:divBdr>
    </w:div>
    <w:div w:id="1490705359">
      <w:bodyDiv w:val="1"/>
      <w:marLeft w:val="0"/>
      <w:marRight w:val="0"/>
      <w:marTop w:val="0"/>
      <w:marBottom w:val="0"/>
      <w:divBdr>
        <w:top w:val="none" w:sz="0" w:space="0" w:color="auto"/>
        <w:left w:val="none" w:sz="0" w:space="0" w:color="auto"/>
        <w:bottom w:val="none" w:sz="0" w:space="0" w:color="auto"/>
        <w:right w:val="none" w:sz="0" w:space="0" w:color="auto"/>
      </w:divBdr>
    </w:div>
    <w:div w:id="1490829740">
      <w:bodyDiv w:val="1"/>
      <w:marLeft w:val="0"/>
      <w:marRight w:val="0"/>
      <w:marTop w:val="0"/>
      <w:marBottom w:val="0"/>
      <w:divBdr>
        <w:top w:val="none" w:sz="0" w:space="0" w:color="auto"/>
        <w:left w:val="none" w:sz="0" w:space="0" w:color="auto"/>
        <w:bottom w:val="none" w:sz="0" w:space="0" w:color="auto"/>
        <w:right w:val="none" w:sz="0" w:space="0" w:color="auto"/>
      </w:divBdr>
    </w:div>
    <w:div w:id="1491017192">
      <w:bodyDiv w:val="1"/>
      <w:marLeft w:val="0"/>
      <w:marRight w:val="0"/>
      <w:marTop w:val="0"/>
      <w:marBottom w:val="0"/>
      <w:divBdr>
        <w:top w:val="none" w:sz="0" w:space="0" w:color="auto"/>
        <w:left w:val="none" w:sz="0" w:space="0" w:color="auto"/>
        <w:bottom w:val="none" w:sz="0" w:space="0" w:color="auto"/>
        <w:right w:val="none" w:sz="0" w:space="0" w:color="auto"/>
      </w:divBdr>
    </w:div>
    <w:div w:id="1491097306">
      <w:bodyDiv w:val="1"/>
      <w:marLeft w:val="0"/>
      <w:marRight w:val="0"/>
      <w:marTop w:val="0"/>
      <w:marBottom w:val="0"/>
      <w:divBdr>
        <w:top w:val="none" w:sz="0" w:space="0" w:color="auto"/>
        <w:left w:val="none" w:sz="0" w:space="0" w:color="auto"/>
        <w:bottom w:val="none" w:sz="0" w:space="0" w:color="auto"/>
        <w:right w:val="none" w:sz="0" w:space="0" w:color="auto"/>
      </w:divBdr>
    </w:div>
    <w:div w:id="1491214277">
      <w:bodyDiv w:val="1"/>
      <w:marLeft w:val="0"/>
      <w:marRight w:val="0"/>
      <w:marTop w:val="0"/>
      <w:marBottom w:val="0"/>
      <w:divBdr>
        <w:top w:val="none" w:sz="0" w:space="0" w:color="auto"/>
        <w:left w:val="none" w:sz="0" w:space="0" w:color="auto"/>
        <w:bottom w:val="none" w:sz="0" w:space="0" w:color="auto"/>
        <w:right w:val="none" w:sz="0" w:space="0" w:color="auto"/>
      </w:divBdr>
    </w:div>
    <w:div w:id="1491602313">
      <w:bodyDiv w:val="1"/>
      <w:marLeft w:val="0"/>
      <w:marRight w:val="0"/>
      <w:marTop w:val="0"/>
      <w:marBottom w:val="0"/>
      <w:divBdr>
        <w:top w:val="none" w:sz="0" w:space="0" w:color="auto"/>
        <w:left w:val="none" w:sz="0" w:space="0" w:color="auto"/>
        <w:bottom w:val="none" w:sz="0" w:space="0" w:color="auto"/>
        <w:right w:val="none" w:sz="0" w:space="0" w:color="auto"/>
      </w:divBdr>
    </w:div>
    <w:div w:id="1491797775">
      <w:bodyDiv w:val="1"/>
      <w:marLeft w:val="0"/>
      <w:marRight w:val="0"/>
      <w:marTop w:val="0"/>
      <w:marBottom w:val="0"/>
      <w:divBdr>
        <w:top w:val="none" w:sz="0" w:space="0" w:color="auto"/>
        <w:left w:val="none" w:sz="0" w:space="0" w:color="auto"/>
        <w:bottom w:val="none" w:sz="0" w:space="0" w:color="auto"/>
        <w:right w:val="none" w:sz="0" w:space="0" w:color="auto"/>
      </w:divBdr>
    </w:div>
    <w:div w:id="1491798860">
      <w:bodyDiv w:val="1"/>
      <w:marLeft w:val="0"/>
      <w:marRight w:val="0"/>
      <w:marTop w:val="0"/>
      <w:marBottom w:val="0"/>
      <w:divBdr>
        <w:top w:val="none" w:sz="0" w:space="0" w:color="auto"/>
        <w:left w:val="none" w:sz="0" w:space="0" w:color="auto"/>
        <w:bottom w:val="none" w:sz="0" w:space="0" w:color="auto"/>
        <w:right w:val="none" w:sz="0" w:space="0" w:color="auto"/>
      </w:divBdr>
    </w:div>
    <w:div w:id="1492215887">
      <w:bodyDiv w:val="1"/>
      <w:marLeft w:val="0"/>
      <w:marRight w:val="0"/>
      <w:marTop w:val="0"/>
      <w:marBottom w:val="0"/>
      <w:divBdr>
        <w:top w:val="none" w:sz="0" w:space="0" w:color="auto"/>
        <w:left w:val="none" w:sz="0" w:space="0" w:color="auto"/>
        <w:bottom w:val="none" w:sz="0" w:space="0" w:color="auto"/>
        <w:right w:val="none" w:sz="0" w:space="0" w:color="auto"/>
      </w:divBdr>
    </w:div>
    <w:div w:id="1492404553">
      <w:bodyDiv w:val="1"/>
      <w:marLeft w:val="0"/>
      <w:marRight w:val="0"/>
      <w:marTop w:val="0"/>
      <w:marBottom w:val="0"/>
      <w:divBdr>
        <w:top w:val="none" w:sz="0" w:space="0" w:color="auto"/>
        <w:left w:val="none" w:sz="0" w:space="0" w:color="auto"/>
        <w:bottom w:val="none" w:sz="0" w:space="0" w:color="auto"/>
        <w:right w:val="none" w:sz="0" w:space="0" w:color="auto"/>
      </w:divBdr>
    </w:div>
    <w:div w:id="1492451771">
      <w:bodyDiv w:val="1"/>
      <w:marLeft w:val="0"/>
      <w:marRight w:val="0"/>
      <w:marTop w:val="0"/>
      <w:marBottom w:val="0"/>
      <w:divBdr>
        <w:top w:val="none" w:sz="0" w:space="0" w:color="auto"/>
        <w:left w:val="none" w:sz="0" w:space="0" w:color="auto"/>
        <w:bottom w:val="none" w:sz="0" w:space="0" w:color="auto"/>
        <w:right w:val="none" w:sz="0" w:space="0" w:color="auto"/>
      </w:divBdr>
    </w:div>
    <w:div w:id="1492483058">
      <w:bodyDiv w:val="1"/>
      <w:marLeft w:val="0"/>
      <w:marRight w:val="0"/>
      <w:marTop w:val="0"/>
      <w:marBottom w:val="0"/>
      <w:divBdr>
        <w:top w:val="none" w:sz="0" w:space="0" w:color="auto"/>
        <w:left w:val="none" w:sz="0" w:space="0" w:color="auto"/>
        <w:bottom w:val="none" w:sz="0" w:space="0" w:color="auto"/>
        <w:right w:val="none" w:sz="0" w:space="0" w:color="auto"/>
      </w:divBdr>
    </w:div>
    <w:div w:id="1492940801">
      <w:bodyDiv w:val="1"/>
      <w:marLeft w:val="0"/>
      <w:marRight w:val="0"/>
      <w:marTop w:val="0"/>
      <w:marBottom w:val="0"/>
      <w:divBdr>
        <w:top w:val="none" w:sz="0" w:space="0" w:color="auto"/>
        <w:left w:val="none" w:sz="0" w:space="0" w:color="auto"/>
        <w:bottom w:val="none" w:sz="0" w:space="0" w:color="auto"/>
        <w:right w:val="none" w:sz="0" w:space="0" w:color="auto"/>
      </w:divBdr>
    </w:div>
    <w:div w:id="1492982279">
      <w:bodyDiv w:val="1"/>
      <w:marLeft w:val="0"/>
      <w:marRight w:val="0"/>
      <w:marTop w:val="0"/>
      <w:marBottom w:val="0"/>
      <w:divBdr>
        <w:top w:val="none" w:sz="0" w:space="0" w:color="auto"/>
        <w:left w:val="none" w:sz="0" w:space="0" w:color="auto"/>
        <w:bottom w:val="none" w:sz="0" w:space="0" w:color="auto"/>
        <w:right w:val="none" w:sz="0" w:space="0" w:color="auto"/>
      </w:divBdr>
    </w:div>
    <w:div w:id="1493182330">
      <w:bodyDiv w:val="1"/>
      <w:marLeft w:val="0"/>
      <w:marRight w:val="0"/>
      <w:marTop w:val="0"/>
      <w:marBottom w:val="0"/>
      <w:divBdr>
        <w:top w:val="none" w:sz="0" w:space="0" w:color="auto"/>
        <w:left w:val="none" w:sz="0" w:space="0" w:color="auto"/>
        <w:bottom w:val="none" w:sz="0" w:space="0" w:color="auto"/>
        <w:right w:val="none" w:sz="0" w:space="0" w:color="auto"/>
      </w:divBdr>
    </w:div>
    <w:div w:id="1493183784">
      <w:bodyDiv w:val="1"/>
      <w:marLeft w:val="0"/>
      <w:marRight w:val="0"/>
      <w:marTop w:val="0"/>
      <w:marBottom w:val="0"/>
      <w:divBdr>
        <w:top w:val="none" w:sz="0" w:space="0" w:color="auto"/>
        <w:left w:val="none" w:sz="0" w:space="0" w:color="auto"/>
        <w:bottom w:val="none" w:sz="0" w:space="0" w:color="auto"/>
        <w:right w:val="none" w:sz="0" w:space="0" w:color="auto"/>
      </w:divBdr>
    </w:div>
    <w:div w:id="1493329537">
      <w:bodyDiv w:val="1"/>
      <w:marLeft w:val="0"/>
      <w:marRight w:val="0"/>
      <w:marTop w:val="0"/>
      <w:marBottom w:val="0"/>
      <w:divBdr>
        <w:top w:val="none" w:sz="0" w:space="0" w:color="auto"/>
        <w:left w:val="none" w:sz="0" w:space="0" w:color="auto"/>
        <w:bottom w:val="none" w:sz="0" w:space="0" w:color="auto"/>
        <w:right w:val="none" w:sz="0" w:space="0" w:color="auto"/>
      </w:divBdr>
    </w:div>
    <w:div w:id="1493524168">
      <w:bodyDiv w:val="1"/>
      <w:marLeft w:val="0"/>
      <w:marRight w:val="0"/>
      <w:marTop w:val="0"/>
      <w:marBottom w:val="0"/>
      <w:divBdr>
        <w:top w:val="none" w:sz="0" w:space="0" w:color="auto"/>
        <w:left w:val="none" w:sz="0" w:space="0" w:color="auto"/>
        <w:bottom w:val="none" w:sz="0" w:space="0" w:color="auto"/>
        <w:right w:val="none" w:sz="0" w:space="0" w:color="auto"/>
      </w:divBdr>
    </w:div>
    <w:div w:id="1493597823">
      <w:bodyDiv w:val="1"/>
      <w:marLeft w:val="0"/>
      <w:marRight w:val="0"/>
      <w:marTop w:val="0"/>
      <w:marBottom w:val="0"/>
      <w:divBdr>
        <w:top w:val="none" w:sz="0" w:space="0" w:color="auto"/>
        <w:left w:val="none" w:sz="0" w:space="0" w:color="auto"/>
        <w:bottom w:val="none" w:sz="0" w:space="0" w:color="auto"/>
        <w:right w:val="none" w:sz="0" w:space="0" w:color="auto"/>
      </w:divBdr>
    </w:div>
    <w:div w:id="1493834620">
      <w:bodyDiv w:val="1"/>
      <w:marLeft w:val="0"/>
      <w:marRight w:val="0"/>
      <w:marTop w:val="0"/>
      <w:marBottom w:val="0"/>
      <w:divBdr>
        <w:top w:val="none" w:sz="0" w:space="0" w:color="auto"/>
        <w:left w:val="none" w:sz="0" w:space="0" w:color="auto"/>
        <w:bottom w:val="none" w:sz="0" w:space="0" w:color="auto"/>
        <w:right w:val="none" w:sz="0" w:space="0" w:color="auto"/>
      </w:divBdr>
    </w:div>
    <w:div w:id="1493985402">
      <w:bodyDiv w:val="1"/>
      <w:marLeft w:val="0"/>
      <w:marRight w:val="0"/>
      <w:marTop w:val="0"/>
      <w:marBottom w:val="0"/>
      <w:divBdr>
        <w:top w:val="none" w:sz="0" w:space="0" w:color="auto"/>
        <w:left w:val="none" w:sz="0" w:space="0" w:color="auto"/>
        <w:bottom w:val="none" w:sz="0" w:space="0" w:color="auto"/>
        <w:right w:val="none" w:sz="0" w:space="0" w:color="auto"/>
      </w:divBdr>
    </w:div>
    <w:div w:id="1494101819">
      <w:bodyDiv w:val="1"/>
      <w:marLeft w:val="0"/>
      <w:marRight w:val="0"/>
      <w:marTop w:val="0"/>
      <w:marBottom w:val="0"/>
      <w:divBdr>
        <w:top w:val="none" w:sz="0" w:space="0" w:color="auto"/>
        <w:left w:val="none" w:sz="0" w:space="0" w:color="auto"/>
        <w:bottom w:val="none" w:sz="0" w:space="0" w:color="auto"/>
        <w:right w:val="none" w:sz="0" w:space="0" w:color="auto"/>
      </w:divBdr>
    </w:div>
    <w:div w:id="1494175719">
      <w:bodyDiv w:val="1"/>
      <w:marLeft w:val="0"/>
      <w:marRight w:val="0"/>
      <w:marTop w:val="0"/>
      <w:marBottom w:val="0"/>
      <w:divBdr>
        <w:top w:val="none" w:sz="0" w:space="0" w:color="auto"/>
        <w:left w:val="none" w:sz="0" w:space="0" w:color="auto"/>
        <w:bottom w:val="none" w:sz="0" w:space="0" w:color="auto"/>
        <w:right w:val="none" w:sz="0" w:space="0" w:color="auto"/>
      </w:divBdr>
    </w:div>
    <w:div w:id="1494181939">
      <w:bodyDiv w:val="1"/>
      <w:marLeft w:val="0"/>
      <w:marRight w:val="0"/>
      <w:marTop w:val="0"/>
      <w:marBottom w:val="0"/>
      <w:divBdr>
        <w:top w:val="none" w:sz="0" w:space="0" w:color="auto"/>
        <w:left w:val="none" w:sz="0" w:space="0" w:color="auto"/>
        <w:bottom w:val="none" w:sz="0" w:space="0" w:color="auto"/>
        <w:right w:val="none" w:sz="0" w:space="0" w:color="auto"/>
      </w:divBdr>
    </w:div>
    <w:div w:id="1494449637">
      <w:bodyDiv w:val="1"/>
      <w:marLeft w:val="0"/>
      <w:marRight w:val="0"/>
      <w:marTop w:val="0"/>
      <w:marBottom w:val="0"/>
      <w:divBdr>
        <w:top w:val="none" w:sz="0" w:space="0" w:color="auto"/>
        <w:left w:val="none" w:sz="0" w:space="0" w:color="auto"/>
        <w:bottom w:val="none" w:sz="0" w:space="0" w:color="auto"/>
        <w:right w:val="none" w:sz="0" w:space="0" w:color="auto"/>
      </w:divBdr>
    </w:div>
    <w:div w:id="1494643685">
      <w:bodyDiv w:val="1"/>
      <w:marLeft w:val="0"/>
      <w:marRight w:val="0"/>
      <w:marTop w:val="0"/>
      <w:marBottom w:val="0"/>
      <w:divBdr>
        <w:top w:val="none" w:sz="0" w:space="0" w:color="auto"/>
        <w:left w:val="none" w:sz="0" w:space="0" w:color="auto"/>
        <w:bottom w:val="none" w:sz="0" w:space="0" w:color="auto"/>
        <w:right w:val="none" w:sz="0" w:space="0" w:color="auto"/>
      </w:divBdr>
    </w:div>
    <w:div w:id="1494754192">
      <w:bodyDiv w:val="1"/>
      <w:marLeft w:val="0"/>
      <w:marRight w:val="0"/>
      <w:marTop w:val="0"/>
      <w:marBottom w:val="0"/>
      <w:divBdr>
        <w:top w:val="none" w:sz="0" w:space="0" w:color="auto"/>
        <w:left w:val="none" w:sz="0" w:space="0" w:color="auto"/>
        <w:bottom w:val="none" w:sz="0" w:space="0" w:color="auto"/>
        <w:right w:val="none" w:sz="0" w:space="0" w:color="auto"/>
      </w:divBdr>
    </w:div>
    <w:div w:id="1494834236">
      <w:bodyDiv w:val="1"/>
      <w:marLeft w:val="0"/>
      <w:marRight w:val="0"/>
      <w:marTop w:val="0"/>
      <w:marBottom w:val="0"/>
      <w:divBdr>
        <w:top w:val="none" w:sz="0" w:space="0" w:color="auto"/>
        <w:left w:val="none" w:sz="0" w:space="0" w:color="auto"/>
        <w:bottom w:val="none" w:sz="0" w:space="0" w:color="auto"/>
        <w:right w:val="none" w:sz="0" w:space="0" w:color="auto"/>
      </w:divBdr>
    </w:div>
    <w:div w:id="1494878893">
      <w:bodyDiv w:val="1"/>
      <w:marLeft w:val="0"/>
      <w:marRight w:val="0"/>
      <w:marTop w:val="0"/>
      <w:marBottom w:val="0"/>
      <w:divBdr>
        <w:top w:val="none" w:sz="0" w:space="0" w:color="auto"/>
        <w:left w:val="none" w:sz="0" w:space="0" w:color="auto"/>
        <w:bottom w:val="none" w:sz="0" w:space="0" w:color="auto"/>
        <w:right w:val="none" w:sz="0" w:space="0" w:color="auto"/>
      </w:divBdr>
    </w:div>
    <w:div w:id="1495606661">
      <w:bodyDiv w:val="1"/>
      <w:marLeft w:val="0"/>
      <w:marRight w:val="0"/>
      <w:marTop w:val="0"/>
      <w:marBottom w:val="0"/>
      <w:divBdr>
        <w:top w:val="none" w:sz="0" w:space="0" w:color="auto"/>
        <w:left w:val="none" w:sz="0" w:space="0" w:color="auto"/>
        <w:bottom w:val="none" w:sz="0" w:space="0" w:color="auto"/>
        <w:right w:val="none" w:sz="0" w:space="0" w:color="auto"/>
      </w:divBdr>
    </w:div>
    <w:div w:id="1496267811">
      <w:bodyDiv w:val="1"/>
      <w:marLeft w:val="0"/>
      <w:marRight w:val="0"/>
      <w:marTop w:val="0"/>
      <w:marBottom w:val="0"/>
      <w:divBdr>
        <w:top w:val="none" w:sz="0" w:space="0" w:color="auto"/>
        <w:left w:val="none" w:sz="0" w:space="0" w:color="auto"/>
        <w:bottom w:val="none" w:sz="0" w:space="0" w:color="auto"/>
        <w:right w:val="none" w:sz="0" w:space="0" w:color="auto"/>
      </w:divBdr>
    </w:div>
    <w:div w:id="1496842711">
      <w:bodyDiv w:val="1"/>
      <w:marLeft w:val="0"/>
      <w:marRight w:val="0"/>
      <w:marTop w:val="0"/>
      <w:marBottom w:val="0"/>
      <w:divBdr>
        <w:top w:val="none" w:sz="0" w:space="0" w:color="auto"/>
        <w:left w:val="none" w:sz="0" w:space="0" w:color="auto"/>
        <w:bottom w:val="none" w:sz="0" w:space="0" w:color="auto"/>
        <w:right w:val="none" w:sz="0" w:space="0" w:color="auto"/>
      </w:divBdr>
    </w:div>
    <w:div w:id="1497065974">
      <w:bodyDiv w:val="1"/>
      <w:marLeft w:val="0"/>
      <w:marRight w:val="0"/>
      <w:marTop w:val="0"/>
      <w:marBottom w:val="0"/>
      <w:divBdr>
        <w:top w:val="none" w:sz="0" w:space="0" w:color="auto"/>
        <w:left w:val="none" w:sz="0" w:space="0" w:color="auto"/>
        <w:bottom w:val="none" w:sz="0" w:space="0" w:color="auto"/>
        <w:right w:val="none" w:sz="0" w:space="0" w:color="auto"/>
      </w:divBdr>
    </w:div>
    <w:div w:id="1497382809">
      <w:bodyDiv w:val="1"/>
      <w:marLeft w:val="0"/>
      <w:marRight w:val="0"/>
      <w:marTop w:val="0"/>
      <w:marBottom w:val="0"/>
      <w:divBdr>
        <w:top w:val="none" w:sz="0" w:space="0" w:color="auto"/>
        <w:left w:val="none" w:sz="0" w:space="0" w:color="auto"/>
        <w:bottom w:val="none" w:sz="0" w:space="0" w:color="auto"/>
        <w:right w:val="none" w:sz="0" w:space="0" w:color="auto"/>
      </w:divBdr>
    </w:div>
    <w:div w:id="1497497897">
      <w:bodyDiv w:val="1"/>
      <w:marLeft w:val="0"/>
      <w:marRight w:val="0"/>
      <w:marTop w:val="0"/>
      <w:marBottom w:val="0"/>
      <w:divBdr>
        <w:top w:val="none" w:sz="0" w:space="0" w:color="auto"/>
        <w:left w:val="none" w:sz="0" w:space="0" w:color="auto"/>
        <w:bottom w:val="none" w:sz="0" w:space="0" w:color="auto"/>
        <w:right w:val="none" w:sz="0" w:space="0" w:color="auto"/>
      </w:divBdr>
    </w:div>
    <w:div w:id="1497652891">
      <w:bodyDiv w:val="1"/>
      <w:marLeft w:val="0"/>
      <w:marRight w:val="0"/>
      <w:marTop w:val="0"/>
      <w:marBottom w:val="0"/>
      <w:divBdr>
        <w:top w:val="none" w:sz="0" w:space="0" w:color="auto"/>
        <w:left w:val="none" w:sz="0" w:space="0" w:color="auto"/>
        <w:bottom w:val="none" w:sz="0" w:space="0" w:color="auto"/>
        <w:right w:val="none" w:sz="0" w:space="0" w:color="auto"/>
      </w:divBdr>
    </w:div>
    <w:div w:id="1498494710">
      <w:bodyDiv w:val="1"/>
      <w:marLeft w:val="0"/>
      <w:marRight w:val="0"/>
      <w:marTop w:val="0"/>
      <w:marBottom w:val="0"/>
      <w:divBdr>
        <w:top w:val="none" w:sz="0" w:space="0" w:color="auto"/>
        <w:left w:val="none" w:sz="0" w:space="0" w:color="auto"/>
        <w:bottom w:val="none" w:sz="0" w:space="0" w:color="auto"/>
        <w:right w:val="none" w:sz="0" w:space="0" w:color="auto"/>
      </w:divBdr>
    </w:div>
    <w:div w:id="1498498100">
      <w:bodyDiv w:val="1"/>
      <w:marLeft w:val="0"/>
      <w:marRight w:val="0"/>
      <w:marTop w:val="0"/>
      <w:marBottom w:val="0"/>
      <w:divBdr>
        <w:top w:val="none" w:sz="0" w:space="0" w:color="auto"/>
        <w:left w:val="none" w:sz="0" w:space="0" w:color="auto"/>
        <w:bottom w:val="none" w:sz="0" w:space="0" w:color="auto"/>
        <w:right w:val="none" w:sz="0" w:space="0" w:color="auto"/>
      </w:divBdr>
    </w:div>
    <w:div w:id="1498885066">
      <w:bodyDiv w:val="1"/>
      <w:marLeft w:val="0"/>
      <w:marRight w:val="0"/>
      <w:marTop w:val="0"/>
      <w:marBottom w:val="0"/>
      <w:divBdr>
        <w:top w:val="none" w:sz="0" w:space="0" w:color="auto"/>
        <w:left w:val="none" w:sz="0" w:space="0" w:color="auto"/>
        <w:bottom w:val="none" w:sz="0" w:space="0" w:color="auto"/>
        <w:right w:val="none" w:sz="0" w:space="0" w:color="auto"/>
      </w:divBdr>
    </w:div>
    <w:div w:id="1499423198">
      <w:bodyDiv w:val="1"/>
      <w:marLeft w:val="0"/>
      <w:marRight w:val="0"/>
      <w:marTop w:val="0"/>
      <w:marBottom w:val="0"/>
      <w:divBdr>
        <w:top w:val="none" w:sz="0" w:space="0" w:color="auto"/>
        <w:left w:val="none" w:sz="0" w:space="0" w:color="auto"/>
        <w:bottom w:val="none" w:sz="0" w:space="0" w:color="auto"/>
        <w:right w:val="none" w:sz="0" w:space="0" w:color="auto"/>
      </w:divBdr>
    </w:div>
    <w:div w:id="1500148923">
      <w:bodyDiv w:val="1"/>
      <w:marLeft w:val="0"/>
      <w:marRight w:val="0"/>
      <w:marTop w:val="0"/>
      <w:marBottom w:val="0"/>
      <w:divBdr>
        <w:top w:val="none" w:sz="0" w:space="0" w:color="auto"/>
        <w:left w:val="none" w:sz="0" w:space="0" w:color="auto"/>
        <w:bottom w:val="none" w:sz="0" w:space="0" w:color="auto"/>
        <w:right w:val="none" w:sz="0" w:space="0" w:color="auto"/>
      </w:divBdr>
    </w:div>
    <w:div w:id="1500386410">
      <w:bodyDiv w:val="1"/>
      <w:marLeft w:val="0"/>
      <w:marRight w:val="0"/>
      <w:marTop w:val="0"/>
      <w:marBottom w:val="0"/>
      <w:divBdr>
        <w:top w:val="none" w:sz="0" w:space="0" w:color="auto"/>
        <w:left w:val="none" w:sz="0" w:space="0" w:color="auto"/>
        <w:bottom w:val="none" w:sz="0" w:space="0" w:color="auto"/>
        <w:right w:val="none" w:sz="0" w:space="0" w:color="auto"/>
      </w:divBdr>
    </w:div>
    <w:div w:id="1500392614">
      <w:bodyDiv w:val="1"/>
      <w:marLeft w:val="0"/>
      <w:marRight w:val="0"/>
      <w:marTop w:val="0"/>
      <w:marBottom w:val="0"/>
      <w:divBdr>
        <w:top w:val="none" w:sz="0" w:space="0" w:color="auto"/>
        <w:left w:val="none" w:sz="0" w:space="0" w:color="auto"/>
        <w:bottom w:val="none" w:sz="0" w:space="0" w:color="auto"/>
        <w:right w:val="none" w:sz="0" w:space="0" w:color="auto"/>
      </w:divBdr>
    </w:div>
    <w:div w:id="1500460096">
      <w:bodyDiv w:val="1"/>
      <w:marLeft w:val="0"/>
      <w:marRight w:val="0"/>
      <w:marTop w:val="0"/>
      <w:marBottom w:val="0"/>
      <w:divBdr>
        <w:top w:val="none" w:sz="0" w:space="0" w:color="auto"/>
        <w:left w:val="none" w:sz="0" w:space="0" w:color="auto"/>
        <w:bottom w:val="none" w:sz="0" w:space="0" w:color="auto"/>
        <w:right w:val="none" w:sz="0" w:space="0" w:color="auto"/>
      </w:divBdr>
    </w:div>
    <w:div w:id="1500657261">
      <w:bodyDiv w:val="1"/>
      <w:marLeft w:val="0"/>
      <w:marRight w:val="0"/>
      <w:marTop w:val="0"/>
      <w:marBottom w:val="0"/>
      <w:divBdr>
        <w:top w:val="none" w:sz="0" w:space="0" w:color="auto"/>
        <w:left w:val="none" w:sz="0" w:space="0" w:color="auto"/>
        <w:bottom w:val="none" w:sz="0" w:space="0" w:color="auto"/>
        <w:right w:val="none" w:sz="0" w:space="0" w:color="auto"/>
      </w:divBdr>
    </w:div>
    <w:div w:id="1500728165">
      <w:bodyDiv w:val="1"/>
      <w:marLeft w:val="0"/>
      <w:marRight w:val="0"/>
      <w:marTop w:val="0"/>
      <w:marBottom w:val="0"/>
      <w:divBdr>
        <w:top w:val="none" w:sz="0" w:space="0" w:color="auto"/>
        <w:left w:val="none" w:sz="0" w:space="0" w:color="auto"/>
        <w:bottom w:val="none" w:sz="0" w:space="0" w:color="auto"/>
        <w:right w:val="none" w:sz="0" w:space="0" w:color="auto"/>
      </w:divBdr>
    </w:div>
    <w:div w:id="1500732326">
      <w:bodyDiv w:val="1"/>
      <w:marLeft w:val="0"/>
      <w:marRight w:val="0"/>
      <w:marTop w:val="0"/>
      <w:marBottom w:val="0"/>
      <w:divBdr>
        <w:top w:val="none" w:sz="0" w:space="0" w:color="auto"/>
        <w:left w:val="none" w:sz="0" w:space="0" w:color="auto"/>
        <w:bottom w:val="none" w:sz="0" w:space="0" w:color="auto"/>
        <w:right w:val="none" w:sz="0" w:space="0" w:color="auto"/>
      </w:divBdr>
    </w:div>
    <w:div w:id="1501044840">
      <w:bodyDiv w:val="1"/>
      <w:marLeft w:val="0"/>
      <w:marRight w:val="0"/>
      <w:marTop w:val="0"/>
      <w:marBottom w:val="0"/>
      <w:divBdr>
        <w:top w:val="none" w:sz="0" w:space="0" w:color="auto"/>
        <w:left w:val="none" w:sz="0" w:space="0" w:color="auto"/>
        <w:bottom w:val="none" w:sz="0" w:space="0" w:color="auto"/>
        <w:right w:val="none" w:sz="0" w:space="0" w:color="auto"/>
      </w:divBdr>
    </w:div>
    <w:div w:id="1501235879">
      <w:bodyDiv w:val="1"/>
      <w:marLeft w:val="0"/>
      <w:marRight w:val="0"/>
      <w:marTop w:val="0"/>
      <w:marBottom w:val="0"/>
      <w:divBdr>
        <w:top w:val="none" w:sz="0" w:space="0" w:color="auto"/>
        <w:left w:val="none" w:sz="0" w:space="0" w:color="auto"/>
        <w:bottom w:val="none" w:sz="0" w:space="0" w:color="auto"/>
        <w:right w:val="none" w:sz="0" w:space="0" w:color="auto"/>
      </w:divBdr>
    </w:div>
    <w:div w:id="1501583058">
      <w:bodyDiv w:val="1"/>
      <w:marLeft w:val="0"/>
      <w:marRight w:val="0"/>
      <w:marTop w:val="0"/>
      <w:marBottom w:val="0"/>
      <w:divBdr>
        <w:top w:val="none" w:sz="0" w:space="0" w:color="auto"/>
        <w:left w:val="none" w:sz="0" w:space="0" w:color="auto"/>
        <w:bottom w:val="none" w:sz="0" w:space="0" w:color="auto"/>
        <w:right w:val="none" w:sz="0" w:space="0" w:color="auto"/>
      </w:divBdr>
    </w:div>
    <w:div w:id="1501697619">
      <w:bodyDiv w:val="1"/>
      <w:marLeft w:val="0"/>
      <w:marRight w:val="0"/>
      <w:marTop w:val="0"/>
      <w:marBottom w:val="0"/>
      <w:divBdr>
        <w:top w:val="none" w:sz="0" w:space="0" w:color="auto"/>
        <w:left w:val="none" w:sz="0" w:space="0" w:color="auto"/>
        <w:bottom w:val="none" w:sz="0" w:space="0" w:color="auto"/>
        <w:right w:val="none" w:sz="0" w:space="0" w:color="auto"/>
      </w:divBdr>
    </w:div>
    <w:div w:id="1501699212">
      <w:bodyDiv w:val="1"/>
      <w:marLeft w:val="0"/>
      <w:marRight w:val="0"/>
      <w:marTop w:val="0"/>
      <w:marBottom w:val="0"/>
      <w:divBdr>
        <w:top w:val="none" w:sz="0" w:space="0" w:color="auto"/>
        <w:left w:val="none" w:sz="0" w:space="0" w:color="auto"/>
        <w:bottom w:val="none" w:sz="0" w:space="0" w:color="auto"/>
        <w:right w:val="none" w:sz="0" w:space="0" w:color="auto"/>
      </w:divBdr>
    </w:div>
    <w:div w:id="1502088185">
      <w:bodyDiv w:val="1"/>
      <w:marLeft w:val="0"/>
      <w:marRight w:val="0"/>
      <w:marTop w:val="0"/>
      <w:marBottom w:val="0"/>
      <w:divBdr>
        <w:top w:val="none" w:sz="0" w:space="0" w:color="auto"/>
        <w:left w:val="none" w:sz="0" w:space="0" w:color="auto"/>
        <w:bottom w:val="none" w:sz="0" w:space="0" w:color="auto"/>
        <w:right w:val="none" w:sz="0" w:space="0" w:color="auto"/>
      </w:divBdr>
    </w:div>
    <w:div w:id="1502114328">
      <w:bodyDiv w:val="1"/>
      <w:marLeft w:val="0"/>
      <w:marRight w:val="0"/>
      <w:marTop w:val="0"/>
      <w:marBottom w:val="0"/>
      <w:divBdr>
        <w:top w:val="none" w:sz="0" w:space="0" w:color="auto"/>
        <w:left w:val="none" w:sz="0" w:space="0" w:color="auto"/>
        <w:bottom w:val="none" w:sz="0" w:space="0" w:color="auto"/>
        <w:right w:val="none" w:sz="0" w:space="0" w:color="auto"/>
      </w:divBdr>
    </w:div>
    <w:div w:id="1502235831">
      <w:bodyDiv w:val="1"/>
      <w:marLeft w:val="0"/>
      <w:marRight w:val="0"/>
      <w:marTop w:val="0"/>
      <w:marBottom w:val="0"/>
      <w:divBdr>
        <w:top w:val="none" w:sz="0" w:space="0" w:color="auto"/>
        <w:left w:val="none" w:sz="0" w:space="0" w:color="auto"/>
        <w:bottom w:val="none" w:sz="0" w:space="0" w:color="auto"/>
        <w:right w:val="none" w:sz="0" w:space="0" w:color="auto"/>
      </w:divBdr>
    </w:div>
    <w:div w:id="1502618653">
      <w:bodyDiv w:val="1"/>
      <w:marLeft w:val="0"/>
      <w:marRight w:val="0"/>
      <w:marTop w:val="0"/>
      <w:marBottom w:val="0"/>
      <w:divBdr>
        <w:top w:val="none" w:sz="0" w:space="0" w:color="auto"/>
        <w:left w:val="none" w:sz="0" w:space="0" w:color="auto"/>
        <w:bottom w:val="none" w:sz="0" w:space="0" w:color="auto"/>
        <w:right w:val="none" w:sz="0" w:space="0" w:color="auto"/>
      </w:divBdr>
    </w:div>
    <w:div w:id="1502695184">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156799">
      <w:bodyDiv w:val="1"/>
      <w:marLeft w:val="0"/>
      <w:marRight w:val="0"/>
      <w:marTop w:val="0"/>
      <w:marBottom w:val="0"/>
      <w:divBdr>
        <w:top w:val="none" w:sz="0" w:space="0" w:color="auto"/>
        <w:left w:val="none" w:sz="0" w:space="0" w:color="auto"/>
        <w:bottom w:val="none" w:sz="0" w:space="0" w:color="auto"/>
        <w:right w:val="none" w:sz="0" w:space="0" w:color="auto"/>
      </w:divBdr>
    </w:div>
    <w:div w:id="1503200449">
      <w:bodyDiv w:val="1"/>
      <w:marLeft w:val="0"/>
      <w:marRight w:val="0"/>
      <w:marTop w:val="0"/>
      <w:marBottom w:val="0"/>
      <w:divBdr>
        <w:top w:val="none" w:sz="0" w:space="0" w:color="auto"/>
        <w:left w:val="none" w:sz="0" w:space="0" w:color="auto"/>
        <w:bottom w:val="none" w:sz="0" w:space="0" w:color="auto"/>
        <w:right w:val="none" w:sz="0" w:space="0" w:color="auto"/>
      </w:divBdr>
    </w:div>
    <w:div w:id="1503281287">
      <w:bodyDiv w:val="1"/>
      <w:marLeft w:val="0"/>
      <w:marRight w:val="0"/>
      <w:marTop w:val="0"/>
      <w:marBottom w:val="0"/>
      <w:divBdr>
        <w:top w:val="none" w:sz="0" w:space="0" w:color="auto"/>
        <w:left w:val="none" w:sz="0" w:space="0" w:color="auto"/>
        <w:bottom w:val="none" w:sz="0" w:space="0" w:color="auto"/>
        <w:right w:val="none" w:sz="0" w:space="0" w:color="auto"/>
      </w:divBdr>
    </w:div>
    <w:div w:id="1503351146">
      <w:bodyDiv w:val="1"/>
      <w:marLeft w:val="0"/>
      <w:marRight w:val="0"/>
      <w:marTop w:val="0"/>
      <w:marBottom w:val="0"/>
      <w:divBdr>
        <w:top w:val="none" w:sz="0" w:space="0" w:color="auto"/>
        <w:left w:val="none" w:sz="0" w:space="0" w:color="auto"/>
        <w:bottom w:val="none" w:sz="0" w:space="0" w:color="auto"/>
        <w:right w:val="none" w:sz="0" w:space="0" w:color="auto"/>
      </w:divBdr>
    </w:div>
    <w:div w:id="1503736399">
      <w:bodyDiv w:val="1"/>
      <w:marLeft w:val="0"/>
      <w:marRight w:val="0"/>
      <w:marTop w:val="0"/>
      <w:marBottom w:val="0"/>
      <w:divBdr>
        <w:top w:val="none" w:sz="0" w:space="0" w:color="auto"/>
        <w:left w:val="none" w:sz="0" w:space="0" w:color="auto"/>
        <w:bottom w:val="none" w:sz="0" w:space="0" w:color="auto"/>
        <w:right w:val="none" w:sz="0" w:space="0" w:color="auto"/>
      </w:divBdr>
    </w:div>
    <w:div w:id="1503742498">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04664806">
      <w:bodyDiv w:val="1"/>
      <w:marLeft w:val="0"/>
      <w:marRight w:val="0"/>
      <w:marTop w:val="0"/>
      <w:marBottom w:val="0"/>
      <w:divBdr>
        <w:top w:val="none" w:sz="0" w:space="0" w:color="auto"/>
        <w:left w:val="none" w:sz="0" w:space="0" w:color="auto"/>
        <w:bottom w:val="none" w:sz="0" w:space="0" w:color="auto"/>
        <w:right w:val="none" w:sz="0" w:space="0" w:color="auto"/>
      </w:divBdr>
    </w:div>
    <w:div w:id="1504785409">
      <w:bodyDiv w:val="1"/>
      <w:marLeft w:val="0"/>
      <w:marRight w:val="0"/>
      <w:marTop w:val="0"/>
      <w:marBottom w:val="0"/>
      <w:divBdr>
        <w:top w:val="none" w:sz="0" w:space="0" w:color="auto"/>
        <w:left w:val="none" w:sz="0" w:space="0" w:color="auto"/>
        <w:bottom w:val="none" w:sz="0" w:space="0" w:color="auto"/>
        <w:right w:val="none" w:sz="0" w:space="0" w:color="auto"/>
      </w:divBdr>
    </w:div>
    <w:div w:id="1505125620">
      <w:bodyDiv w:val="1"/>
      <w:marLeft w:val="0"/>
      <w:marRight w:val="0"/>
      <w:marTop w:val="0"/>
      <w:marBottom w:val="0"/>
      <w:divBdr>
        <w:top w:val="none" w:sz="0" w:space="0" w:color="auto"/>
        <w:left w:val="none" w:sz="0" w:space="0" w:color="auto"/>
        <w:bottom w:val="none" w:sz="0" w:space="0" w:color="auto"/>
        <w:right w:val="none" w:sz="0" w:space="0" w:color="auto"/>
      </w:divBdr>
    </w:div>
    <w:div w:id="1505197124">
      <w:bodyDiv w:val="1"/>
      <w:marLeft w:val="0"/>
      <w:marRight w:val="0"/>
      <w:marTop w:val="0"/>
      <w:marBottom w:val="0"/>
      <w:divBdr>
        <w:top w:val="none" w:sz="0" w:space="0" w:color="auto"/>
        <w:left w:val="none" w:sz="0" w:space="0" w:color="auto"/>
        <w:bottom w:val="none" w:sz="0" w:space="0" w:color="auto"/>
        <w:right w:val="none" w:sz="0" w:space="0" w:color="auto"/>
      </w:divBdr>
    </w:div>
    <w:div w:id="1505314321">
      <w:bodyDiv w:val="1"/>
      <w:marLeft w:val="0"/>
      <w:marRight w:val="0"/>
      <w:marTop w:val="0"/>
      <w:marBottom w:val="0"/>
      <w:divBdr>
        <w:top w:val="none" w:sz="0" w:space="0" w:color="auto"/>
        <w:left w:val="none" w:sz="0" w:space="0" w:color="auto"/>
        <w:bottom w:val="none" w:sz="0" w:space="0" w:color="auto"/>
        <w:right w:val="none" w:sz="0" w:space="0" w:color="auto"/>
      </w:divBdr>
    </w:div>
    <w:div w:id="1505515357">
      <w:bodyDiv w:val="1"/>
      <w:marLeft w:val="0"/>
      <w:marRight w:val="0"/>
      <w:marTop w:val="0"/>
      <w:marBottom w:val="0"/>
      <w:divBdr>
        <w:top w:val="none" w:sz="0" w:space="0" w:color="auto"/>
        <w:left w:val="none" w:sz="0" w:space="0" w:color="auto"/>
        <w:bottom w:val="none" w:sz="0" w:space="0" w:color="auto"/>
        <w:right w:val="none" w:sz="0" w:space="0" w:color="auto"/>
      </w:divBdr>
    </w:div>
    <w:div w:id="1506045605">
      <w:bodyDiv w:val="1"/>
      <w:marLeft w:val="0"/>
      <w:marRight w:val="0"/>
      <w:marTop w:val="0"/>
      <w:marBottom w:val="0"/>
      <w:divBdr>
        <w:top w:val="none" w:sz="0" w:space="0" w:color="auto"/>
        <w:left w:val="none" w:sz="0" w:space="0" w:color="auto"/>
        <w:bottom w:val="none" w:sz="0" w:space="0" w:color="auto"/>
        <w:right w:val="none" w:sz="0" w:space="0" w:color="auto"/>
      </w:divBdr>
    </w:div>
    <w:div w:id="1506166396">
      <w:bodyDiv w:val="1"/>
      <w:marLeft w:val="0"/>
      <w:marRight w:val="0"/>
      <w:marTop w:val="0"/>
      <w:marBottom w:val="0"/>
      <w:divBdr>
        <w:top w:val="none" w:sz="0" w:space="0" w:color="auto"/>
        <w:left w:val="none" w:sz="0" w:space="0" w:color="auto"/>
        <w:bottom w:val="none" w:sz="0" w:space="0" w:color="auto"/>
        <w:right w:val="none" w:sz="0" w:space="0" w:color="auto"/>
      </w:divBdr>
    </w:div>
    <w:div w:id="1506167942">
      <w:bodyDiv w:val="1"/>
      <w:marLeft w:val="0"/>
      <w:marRight w:val="0"/>
      <w:marTop w:val="0"/>
      <w:marBottom w:val="0"/>
      <w:divBdr>
        <w:top w:val="none" w:sz="0" w:space="0" w:color="auto"/>
        <w:left w:val="none" w:sz="0" w:space="0" w:color="auto"/>
        <w:bottom w:val="none" w:sz="0" w:space="0" w:color="auto"/>
        <w:right w:val="none" w:sz="0" w:space="0" w:color="auto"/>
      </w:divBdr>
    </w:div>
    <w:div w:id="1506244155">
      <w:bodyDiv w:val="1"/>
      <w:marLeft w:val="0"/>
      <w:marRight w:val="0"/>
      <w:marTop w:val="0"/>
      <w:marBottom w:val="0"/>
      <w:divBdr>
        <w:top w:val="none" w:sz="0" w:space="0" w:color="auto"/>
        <w:left w:val="none" w:sz="0" w:space="0" w:color="auto"/>
        <w:bottom w:val="none" w:sz="0" w:space="0" w:color="auto"/>
        <w:right w:val="none" w:sz="0" w:space="0" w:color="auto"/>
      </w:divBdr>
    </w:div>
    <w:div w:id="1506360138">
      <w:bodyDiv w:val="1"/>
      <w:marLeft w:val="0"/>
      <w:marRight w:val="0"/>
      <w:marTop w:val="0"/>
      <w:marBottom w:val="0"/>
      <w:divBdr>
        <w:top w:val="none" w:sz="0" w:space="0" w:color="auto"/>
        <w:left w:val="none" w:sz="0" w:space="0" w:color="auto"/>
        <w:bottom w:val="none" w:sz="0" w:space="0" w:color="auto"/>
        <w:right w:val="none" w:sz="0" w:space="0" w:color="auto"/>
      </w:divBdr>
    </w:div>
    <w:div w:id="1506631457">
      <w:bodyDiv w:val="1"/>
      <w:marLeft w:val="0"/>
      <w:marRight w:val="0"/>
      <w:marTop w:val="0"/>
      <w:marBottom w:val="0"/>
      <w:divBdr>
        <w:top w:val="none" w:sz="0" w:space="0" w:color="auto"/>
        <w:left w:val="none" w:sz="0" w:space="0" w:color="auto"/>
        <w:bottom w:val="none" w:sz="0" w:space="0" w:color="auto"/>
        <w:right w:val="none" w:sz="0" w:space="0" w:color="auto"/>
      </w:divBdr>
    </w:div>
    <w:div w:id="1506820513">
      <w:bodyDiv w:val="1"/>
      <w:marLeft w:val="0"/>
      <w:marRight w:val="0"/>
      <w:marTop w:val="0"/>
      <w:marBottom w:val="0"/>
      <w:divBdr>
        <w:top w:val="none" w:sz="0" w:space="0" w:color="auto"/>
        <w:left w:val="none" w:sz="0" w:space="0" w:color="auto"/>
        <w:bottom w:val="none" w:sz="0" w:space="0" w:color="auto"/>
        <w:right w:val="none" w:sz="0" w:space="0" w:color="auto"/>
      </w:divBdr>
    </w:div>
    <w:div w:id="1507135163">
      <w:bodyDiv w:val="1"/>
      <w:marLeft w:val="0"/>
      <w:marRight w:val="0"/>
      <w:marTop w:val="0"/>
      <w:marBottom w:val="0"/>
      <w:divBdr>
        <w:top w:val="none" w:sz="0" w:space="0" w:color="auto"/>
        <w:left w:val="none" w:sz="0" w:space="0" w:color="auto"/>
        <w:bottom w:val="none" w:sz="0" w:space="0" w:color="auto"/>
        <w:right w:val="none" w:sz="0" w:space="0" w:color="auto"/>
      </w:divBdr>
    </w:div>
    <w:div w:id="1507399070">
      <w:bodyDiv w:val="1"/>
      <w:marLeft w:val="0"/>
      <w:marRight w:val="0"/>
      <w:marTop w:val="0"/>
      <w:marBottom w:val="0"/>
      <w:divBdr>
        <w:top w:val="none" w:sz="0" w:space="0" w:color="auto"/>
        <w:left w:val="none" w:sz="0" w:space="0" w:color="auto"/>
        <w:bottom w:val="none" w:sz="0" w:space="0" w:color="auto"/>
        <w:right w:val="none" w:sz="0" w:space="0" w:color="auto"/>
      </w:divBdr>
    </w:div>
    <w:div w:id="1507404387">
      <w:bodyDiv w:val="1"/>
      <w:marLeft w:val="0"/>
      <w:marRight w:val="0"/>
      <w:marTop w:val="0"/>
      <w:marBottom w:val="0"/>
      <w:divBdr>
        <w:top w:val="none" w:sz="0" w:space="0" w:color="auto"/>
        <w:left w:val="none" w:sz="0" w:space="0" w:color="auto"/>
        <w:bottom w:val="none" w:sz="0" w:space="0" w:color="auto"/>
        <w:right w:val="none" w:sz="0" w:space="0" w:color="auto"/>
      </w:divBdr>
    </w:div>
    <w:div w:id="1507480893">
      <w:bodyDiv w:val="1"/>
      <w:marLeft w:val="0"/>
      <w:marRight w:val="0"/>
      <w:marTop w:val="0"/>
      <w:marBottom w:val="0"/>
      <w:divBdr>
        <w:top w:val="none" w:sz="0" w:space="0" w:color="auto"/>
        <w:left w:val="none" w:sz="0" w:space="0" w:color="auto"/>
        <w:bottom w:val="none" w:sz="0" w:space="0" w:color="auto"/>
        <w:right w:val="none" w:sz="0" w:space="0" w:color="auto"/>
      </w:divBdr>
    </w:div>
    <w:div w:id="1507481280">
      <w:bodyDiv w:val="1"/>
      <w:marLeft w:val="0"/>
      <w:marRight w:val="0"/>
      <w:marTop w:val="0"/>
      <w:marBottom w:val="0"/>
      <w:divBdr>
        <w:top w:val="none" w:sz="0" w:space="0" w:color="auto"/>
        <w:left w:val="none" w:sz="0" w:space="0" w:color="auto"/>
        <w:bottom w:val="none" w:sz="0" w:space="0" w:color="auto"/>
        <w:right w:val="none" w:sz="0" w:space="0" w:color="auto"/>
      </w:divBdr>
    </w:div>
    <w:div w:id="1507555090">
      <w:bodyDiv w:val="1"/>
      <w:marLeft w:val="0"/>
      <w:marRight w:val="0"/>
      <w:marTop w:val="0"/>
      <w:marBottom w:val="0"/>
      <w:divBdr>
        <w:top w:val="none" w:sz="0" w:space="0" w:color="auto"/>
        <w:left w:val="none" w:sz="0" w:space="0" w:color="auto"/>
        <w:bottom w:val="none" w:sz="0" w:space="0" w:color="auto"/>
        <w:right w:val="none" w:sz="0" w:space="0" w:color="auto"/>
      </w:divBdr>
    </w:div>
    <w:div w:id="1507594530">
      <w:bodyDiv w:val="1"/>
      <w:marLeft w:val="0"/>
      <w:marRight w:val="0"/>
      <w:marTop w:val="0"/>
      <w:marBottom w:val="0"/>
      <w:divBdr>
        <w:top w:val="none" w:sz="0" w:space="0" w:color="auto"/>
        <w:left w:val="none" w:sz="0" w:space="0" w:color="auto"/>
        <w:bottom w:val="none" w:sz="0" w:space="0" w:color="auto"/>
        <w:right w:val="none" w:sz="0" w:space="0" w:color="auto"/>
      </w:divBdr>
    </w:div>
    <w:div w:id="1508474125">
      <w:bodyDiv w:val="1"/>
      <w:marLeft w:val="0"/>
      <w:marRight w:val="0"/>
      <w:marTop w:val="0"/>
      <w:marBottom w:val="0"/>
      <w:divBdr>
        <w:top w:val="none" w:sz="0" w:space="0" w:color="auto"/>
        <w:left w:val="none" w:sz="0" w:space="0" w:color="auto"/>
        <w:bottom w:val="none" w:sz="0" w:space="0" w:color="auto"/>
        <w:right w:val="none" w:sz="0" w:space="0" w:color="auto"/>
      </w:divBdr>
    </w:div>
    <w:div w:id="1508522723">
      <w:bodyDiv w:val="1"/>
      <w:marLeft w:val="0"/>
      <w:marRight w:val="0"/>
      <w:marTop w:val="0"/>
      <w:marBottom w:val="0"/>
      <w:divBdr>
        <w:top w:val="none" w:sz="0" w:space="0" w:color="auto"/>
        <w:left w:val="none" w:sz="0" w:space="0" w:color="auto"/>
        <w:bottom w:val="none" w:sz="0" w:space="0" w:color="auto"/>
        <w:right w:val="none" w:sz="0" w:space="0" w:color="auto"/>
      </w:divBdr>
    </w:div>
    <w:div w:id="1508523921">
      <w:bodyDiv w:val="1"/>
      <w:marLeft w:val="0"/>
      <w:marRight w:val="0"/>
      <w:marTop w:val="0"/>
      <w:marBottom w:val="0"/>
      <w:divBdr>
        <w:top w:val="none" w:sz="0" w:space="0" w:color="auto"/>
        <w:left w:val="none" w:sz="0" w:space="0" w:color="auto"/>
        <w:bottom w:val="none" w:sz="0" w:space="0" w:color="auto"/>
        <w:right w:val="none" w:sz="0" w:space="0" w:color="auto"/>
      </w:divBdr>
    </w:div>
    <w:div w:id="1508867781">
      <w:bodyDiv w:val="1"/>
      <w:marLeft w:val="0"/>
      <w:marRight w:val="0"/>
      <w:marTop w:val="0"/>
      <w:marBottom w:val="0"/>
      <w:divBdr>
        <w:top w:val="none" w:sz="0" w:space="0" w:color="auto"/>
        <w:left w:val="none" w:sz="0" w:space="0" w:color="auto"/>
        <w:bottom w:val="none" w:sz="0" w:space="0" w:color="auto"/>
        <w:right w:val="none" w:sz="0" w:space="0" w:color="auto"/>
      </w:divBdr>
    </w:div>
    <w:div w:id="1508909774">
      <w:bodyDiv w:val="1"/>
      <w:marLeft w:val="0"/>
      <w:marRight w:val="0"/>
      <w:marTop w:val="0"/>
      <w:marBottom w:val="0"/>
      <w:divBdr>
        <w:top w:val="none" w:sz="0" w:space="0" w:color="auto"/>
        <w:left w:val="none" w:sz="0" w:space="0" w:color="auto"/>
        <w:bottom w:val="none" w:sz="0" w:space="0" w:color="auto"/>
        <w:right w:val="none" w:sz="0" w:space="0" w:color="auto"/>
      </w:divBdr>
    </w:div>
    <w:div w:id="1509101828">
      <w:bodyDiv w:val="1"/>
      <w:marLeft w:val="0"/>
      <w:marRight w:val="0"/>
      <w:marTop w:val="0"/>
      <w:marBottom w:val="0"/>
      <w:divBdr>
        <w:top w:val="none" w:sz="0" w:space="0" w:color="auto"/>
        <w:left w:val="none" w:sz="0" w:space="0" w:color="auto"/>
        <w:bottom w:val="none" w:sz="0" w:space="0" w:color="auto"/>
        <w:right w:val="none" w:sz="0" w:space="0" w:color="auto"/>
      </w:divBdr>
    </w:div>
    <w:div w:id="1509640791">
      <w:bodyDiv w:val="1"/>
      <w:marLeft w:val="0"/>
      <w:marRight w:val="0"/>
      <w:marTop w:val="0"/>
      <w:marBottom w:val="0"/>
      <w:divBdr>
        <w:top w:val="none" w:sz="0" w:space="0" w:color="auto"/>
        <w:left w:val="none" w:sz="0" w:space="0" w:color="auto"/>
        <w:bottom w:val="none" w:sz="0" w:space="0" w:color="auto"/>
        <w:right w:val="none" w:sz="0" w:space="0" w:color="auto"/>
      </w:divBdr>
    </w:div>
    <w:div w:id="1509907808">
      <w:bodyDiv w:val="1"/>
      <w:marLeft w:val="0"/>
      <w:marRight w:val="0"/>
      <w:marTop w:val="0"/>
      <w:marBottom w:val="0"/>
      <w:divBdr>
        <w:top w:val="none" w:sz="0" w:space="0" w:color="auto"/>
        <w:left w:val="none" w:sz="0" w:space="0" w:color="auto"/>
        <w:bottom w:val="none" w:sz="0" w:space="0" w:color="auto"/>
        <w:right w:val="none" w:sz="0" w:space="0" w:color="auto"/>
      </w:divBdr>
    </w:div>
    <w:div w:id="1510173802">
      <w:bodyDiv w:val="1"/>
      <w:marLeft w:val="0"/>
      <w:marRight w:val="0"/>
      <w:marTop w:val="0"/>
      <w:marBottom w:val="0"/>
      <w:divBdr>
        <w:top w:val="none" w:sz="0" w:space="0" w:color="auto"/>
        <w:left w:val="none" w:sz="0" w:space="0" w:color="auto"/>
        <w:bottom w:val="none" w:sz="0" w:space="0" w:color="auto"/>
        <w:right w:val="none" w:sz="0" w:space="0" w:color="auto"/>
      </w:divBdr>
    </w:div>
    <w:div w:id="1510363904">
      <w:bodyDiv w:val="1"/>
      <w:marLeft w:val="0"/>
      <w:marRight w:val="0"/>
      <w:marTop w:val="0"/>
      <w:marBottom w:val="0"/>
      <w:divBdr>
        <w:top w:val="none" w:sz="0" w:space="0" w:color="auto"/>
        <w:left w:val="none" w:sz="0" w:space="0" w:color="auto"/>
        <w:bottom w:val="none" w:sz="0" w:space="0" w:color="auto"/>
        <w:right w:val="none" w:sz="0" w:space="0" w:color="auto"/>
      </w:divBdr>
    </w:div>
    <w:div w:id="1510558574">
      <w:bodyDiv w:val="1"/>
      <w:marLeft w:val="0"/>
      <w:marRight w:val="0"/>
      <w:marTop w:val="0"/>
      <w:marBottom w:val="0"/>
      <w:divBdr>
        <w:top w:val="none" w:sz="0" w:space="0" w:color="auto"/>
        <w:left w:val="none" w:sz="0" w:space="0" w:color="auto"/>
        <w:bottom w:val="none" w:sz="0" w:space="0" w:color="auto"/>
        <w:right w:val="none" w:sz="0" w:space="0" w:color="auto"/>
      </w:divBdr>
    </w:div>
    <w:div w:id="1510562886">
      <w:bodyDiv w:val="1"/>
      <w:marLeft w:val="0"/>
      <w:marRight w:val="0"/>
      <w:marTop w:val="0"/>
      <w:marBottom w:val="0"/>
      <w:divBdr>
        <w:top w:val="none" w:sz="0" w:space="0" w:color="auto"/>
        <w:left w:val="none" w:sz="0" w:space="0" w:color="auto"/>
        <w:bottom w:val="none" w:sz="0" w:space="0" w:color="auto"/>
        <w:right w:val="none" w:sz="0" w:space="0" w:color="auto"/>
      </w:divBdr>
    </w:div>
    <w:div w:id="1510563449">
      <w:bodyDiv w:val="1"/>
      <w:marLeft w:val="0"/>
      <w:marRight w:val="0"/>
      <w:marTop w:val="0"/>
      <w:marBottom w:val="0"/>
      <w:divBdr>
        <w:top w:val="none" w:sz="0" w:space="0" w:color="auto"/>
        <w:left w:val="none" w:sz="0" w:space="0" w:color="auto"/>
        <w:bottom w:val="none" w:sz="0" w:space="0" w:color="auto"/>
        <w:right w:val="none" w:sz="0" w:space="0" w:color="auto"/>
      </w:divBdr>
    </w:div>
    <w:div w:id="1510605972">
      <w:bodyDiv w:val="1"/>
      <w:marLeft w:val="0"/>
      <w:marRight w:val="0"/>
      <w:marTop w:val="0"/>
      <w:marBottom w:val="0"/>
      <w:divBdr>
        <w:top w:val="none" w:sz="0" w:space="0" w:color="auto"/>
        <w:left w:val="none" w:sz="0" w:space="0" w:color="auto"/>
        <w:bottom w:val="none" w:sz="0" w:space="0" w:color="auto"/>
        <w:right w:val="none" w:sz="0" w:space="0" w:color="auto"/>
      </w:divBdr>
    </w:div>
    <w:div w:id="1511412177">
      <w:bodyDiv w:val="1"/>
      <w:marLeft w:val="0"/>
      <w:marRight w:val="0"/>
      <w:marTop w:val="0"/>
      <w:marBottom w:val="0"/>
      <w:divBdr>
        <w:top w:val="none" w:sz="0" w:space="0" w:color="auto"/>
        <w:left w:val="none" w:sz="0" w:space="0" w:color="auto"/>
        <w:bottom w:val="none" w:sz="0" w:space="0" w:color="auto"/>
        <w:right w:val="none" w:sz="0" w:space="0" w:color="auto"/>
      </w:divBdr>
    </w:div>
    <w:div w:id="1511674425">
      <w:bodyDiv w:val="1"/>
      <w:marLeft w:val="0"/>
      <w:marRight w:val="0"/>
      <w:marTop w:val="0"/>
      <w:marBottom w:val="0"/>
      <w:divBdr>
        <w:top w:val="none" w:sz="0" w:space="0" w:color="auto"/>
        <w:left w:val="none" w:sz="0" w:space="0" w:color="auto"/>
        <w:bottom w:val="none" w:sz="0" w:space="0" w:color="auto"/>
        <w:right w:val="none" w:sz="0" w:space="0" w:color="auto"/>
      </w:divBdr>
    </w:div>
    <w:div w:id="1513446969">
      <w:bodyDiv w:val="1"/>
      <w:marLeft w:val="0"/>
      <w:marRight w:val="0"/>
      <w:marTop w:val="0"/>
      <w:marBottom w:val="0"/>
      <w:divBdr>
        <w:top w:val="none" w:sz="0" w:space="0" w:color="auto"/>
        <w:left w:val="none" w:sz="0" w:space="0" w:color="auto"/>
        <w:bottom w:val="none" w:sz="0" w:space="0" w:color="auto"/>
        <w:right w:val="none" w:sz="0" w:space="0" w:color="auto"/>
      </w:divBdr>
    </w:div>
    <w:div w:id="1513762946">
      <w:bodyDiv w:val="1"/>
      <w:marLeft w:val="0"/>
      <w:marRight w:val="0"/>
      <w:marTop w:val="0"/>
      <w:marBottom w:val="0"/>
      <w:divBdr>
        <w:top w:val="none" w:sz="0" w:space="0" w:color="auto"/>
        <w:left w:val="none" w:sz="0" w:space="0" w:color="auto"/>
        <w:bottom w:val="none" w:sz="0" w:space="0" w:color="auto"/>
        <w:right w:val="none" w:sz="0" w:space="0" w:color="auto"/>
      </w:divBdr>
    </w:div>
    <w:div w:id="1513833254">
      <w:bodyDiv w:val="1"/>
      <w:marLeft w:val="0"/>
      <w:marRight w:val="0"/>
      <w:marTop w:val="0"/>
      <w:marBottom w:val="0"/>
      <w:divBdr>
        <w:top w:val="none" w:sz="0" w:space="0" w:color="auto"/>
        <w:left w:val="none" w:sz="0" w:space="0" w:color="auto"/>
        <w:bottom w:val="none" w:sz="0" w:space="0" w:color="auto"/>
        <w:right w:val="none" w:sz="0" w:space="0" w:color="auto"/>
      </w:divBdr>
    </w:div>
    <w:div w:id="1513836334">
      <w:bodyDiv w:val="1"/>
      <w:marLeft w:val="0"/>
      <w:marRight w:val="0"/>
      <w:marTop w:val="0"/>
      <w:marBottom w:val="0"/>
      <w:divBdr>
        <w:top w:val="none" w:sz="0" w:space="0" w:color="auto"/>
        <w:left w:val="none" w:sz="0" w:space="0" w:color="auto"/>
        <w:bottom w:val="none" w:sz="0" w:space="0" w:color="auto"/>
        <w:right w:val="none" w:sz="0" w:space="0" w:color="auto"/>
      </w:divBdr>
    </w:div>
    <w:div w:id="1514875269">
      <w:bodyDiv w:val="1"/>
      <w:marLeft w:val="0"/>
      <w:marRight w:val="0"/>
      <w:marTop w:val="0"/>
      <w:marBottom w:val="0"/>
      <w:divBdr>
        <w:top w:val="none" w:sz="0" w:space="0" w:color="auto"/>
        <w:left w:val="none" w:sz="0" w:space="0" w:color="auto"/>
        <w:bottom w:val="none" w:sz="0" w:space="0" w:color="auto"/>
        <w:right w:val="none" w:sz="0" w:space="0" w:color="auto"/>
      </w:divBdr>
    </w:div>
    <w:div w:id="1515150483">
      <w:bodyDiv w:val="1"/>
      <w:marLeft w:val="0"/>
      <w:marRight w:val="0"/>
      <w:marTop w:val="0"/>
      <w:marBottom w:val="0"/>
      <w:divBdr>
        <w:top w:val="none" w:sz="0" w:space="0" w:color="auto"/>
        <w:left w:val="none" w:sz="0" w:space="0" w:color="auto"/>
        <w:bottom w:val="none" w:sz="0" w:space="0" w:color="auto"/>
        <w:right w:val="none" w:sz="0" w:space="0" w:color="auto"/>
      </w:divBdr>
    </w:div>
    <w:div w:id="1516265179">
      <w:bodyDiv w:val="1"/>
      <w:marLeft w:val="0"/>
      <w:marRight w:val="0"/>
      <w:marTop w:val="0"/>
      <w:marBottom w:val="0"/>
      <w:divBdr>
        <w:top w:val="none" w:sz="0" w:space="0" w:color="auto"/>
        <w:left w:val="none" w:sz="0" w:space="0" w:color="auto"/>
        <w:bottom w:val="none" w:sz="0" w:space="0" w:color="auto"/>
        <w:right w:val="none" w:sz="0" w:space="0" w:color="auto"/>
      </w:divBdr>
    </w:div>
    <w:div w:id="1516306594">
      <w:bodyDiv w:val="1"/>
      <w:marLeft w:val="0"/>
      <w:marRight w:val="0"/>
      <w:marTop w:val="0"/>
      <w:marBottom w:val="0"/>
      <w:divBdr>
        <w:top w:val="none" w:sz="0" w:space="0" w:color="auto"/>
        <w:left w:val="none" w:sz="0" w:space="0" w:color="auto"/>
        <w:bottom w:val="none" w:sz="0" w:space="0" w:color="auto"/>
        <w:right w:val="none" w:sz="0" w:space="0" w:color="auto"/>
      </w:divBdr>
    </w:div>
    <w:div w:id="1516573641">
      <w:bodyDiv w:val="1"/>
      <w:marLeft w:val="0"/>
      <w:marRight w:val="0"/>
      <w:marTop w:val="0"/>
      <w:marBottom w:val="0"/>
      <w:divBdr>
        <w:top w:val="none" w:sz="0" w:space="0" w:color="auto"/>
        <w:left w:val="none" w:sz="0" w:space="0" w:color="auto"/>
        <w:bottom w:val="none" w:sz="0" w:space="0" w:color="auto"/>
        <w:right w:val="none" w:sz="0" w:space="0" w:color="auto"/>
      </w:divBdr>
    </w:div>
    <w:div w:id="1516920740">
      <w:bodyDiv w:val="1"/>
      <w:marLeft w:val="0"/>
      <w:marRight w:val="0"/>
      <w:marTop w:val="0"/>
      <w:marBottom w:val="0"/>
      <w:divBdr>
        <w:top w:val="none" w:sz="0" w:space="0" w:color="auto"/>
        <w:left w:val="none" w:sz="0" w:space="0" w:color="auto"/>
        <w:bottom w:val="none" w:sz="0" w:space="0" w:color="auto"/>
        <w:right w:val="none" w:sz="0" w:space="0" w:color="auto"/>
      </w:divBdr>
    </w:div>
    <w:div w:id="1517114420">
      <w:bodyDiv w:val="1"/>
      <w:marLeft w:val="0"/>
      <w:marRight w:val="0"/>
      <w:marTop w:val="0"/>
      <w:marBottom w:val="0"/>
      <w:divBdr>
        <w:top w:val="none" w:sz="0" w:space="0" w:color="auto"/>
        <w:left w:val="none" w:sz="0" w:space="0" w:color="auto"/>
        <w:bottom w:val="none" w:sz="0" w:space="0" w:color="auto"/>
        <w:right w:val="none" w:sz="0" w:space="0" w:color="auto"/>
      </w:divBdr>
    </w:div>
    <w:div w:id="1517185513">
      <w:bodyDiv w:val="1"/>
      <w:marLeft w:val="0"/>
      <w:marRight w:val="0"/>
      <w:marTop w:val="0"/>
      <w:marBottom w:val="0"/>
      <w:divBdr>
        <w:top w:val="none" w:sz="0" w:space="0" w:color="auto"/>
        <w:left w:val="none" w:sz="0" w:space="0" w:color="auto"/>
        <w:bottom w:val="none" w:sz="0" w:space="0" w:color="auto"/>
        <w:right w:val="none" w:sz="0" w:space="0" w:color="auto"/>
      </w:divBdr>
    </w:div>
    <w:div w:id="1517839487">
      <w:bodyDiv w:val="1"/>
      <w:marLeft w:val="0"/>
      <w:marRight w:val="0"/>
      <w:marTop w:val="0"/>
      <w:marBottom w:val="0"/>
      <w:divBdr>
        <w:top w:val="none" w:sz="0" w:space="0" w:color="auto"/>
        <w:left w:val="none" w:sz="0" w:space="0" w:color="auto"/>
        <w:bottom w:val="none" w:sz="0" w:space="0" w:color="auto"/>
        <w:right w:val="none" w:sz="0" w:space="0" w:color="auto"/>
      </w:divBdr>
    </w:div>
    <w:div w:id="1517960527">
      <w:bodyDiv w:val="1"/>
      <w:marLeft w:val="0"/>
      <w:marRight w:val="0"/>
      <w:marTop w:val="0"/>
      <w:marBottom w:val="0"/>
      <w:divBdr>
        <w:top w:val="none" w:sz="0" w:space="0" w:color="auto"/>
        <w:left w:val="none" w:sz="0" w:space="0" w:color="auto"/>
        <w:bottom w:val="none" w:sz="0" w:space="0" w:color="auto"/>
        <w:right w:val="none" w:sz="0" w:space="0" w:color="auto"/>
      </w:divBdr>
    </w:div>
    <w:div w:id="1518083431">
      <w:bodyDiv w:val="1"/>
      <w:marLeft w:val="0"/>
      <w:marRight w:val="0"/>
      <w:marTop w:val="0"/>
      <w:marBottom w:val="0"/>
      <w:divBdr>
        <w:top w:val="none" w:sz="0" w:space="0" w:color="auto"/>
        <w:left w:val="none" w:sz="0" w:space="0" w:color="auto"/>
        <w:bottom w:val="none" w:sz="0" w:space="0" w:color="auto"/>
        <w:right w:val="none" w:sz="0" w:space="0" w:color="auto"/>
      </w:divBdr>
    </w:div>
    <w:div w:id="1518305130">
      <w:bodyDiv w:val="1"/>
      <w:marLeft w:val="0"/>
      <w:marRight w:val="0"/>
      <w:marTop w:val="0"/>
      <w:marBottom w:val="0"/>
      <w:divBdr>
        <w:top w:val="none" w:sz="0" w:space="0" w:color="auto"/>
        <w:left w:val="none" w:sz="0" w:space="0" w:color="auto"/>
        <w:bottom w:val="none" w:sz="0" w:space="0" w:color="auto"/>
        <w:right w:val="none" w:sz="0" w:space="0" w:color="auto"/>
      </w:divBdr>
    </w:div>
    <w:div w:id="1518540546">
      <w:bodyDiv w:val="1"/>
      <w:marLeft w:val="0"/>
      <w:marRight w:val="0"/>
      <w:marTop w:val="0"/>
      <w:marBottom w:val="0"/>
      <w:divBdr>
        <w:top w:val="none" w:sz="0" w:space="0" w:color="auto"/>
        <w:left w:val="none" w:sz="0" w:space="0" w:color="auto"/>
        <w:bottom w:val="none" w:sz="0" w:space="0" w:color="auto"/>
        <w:right w:val="none" w:sz="0" w:space="0" w:color="auto"/>
      </w:divBdr>
    </w:div>
    <w:div w:id="1518688092">
      <w:bodyDiv w:val="1"/>
      <w:marLeft w:val="0"/>
      <w:marRight w:val="0"/>
      <w:marTop w:val="0"/>
      <w:marBottom w:val="0"/>
      <w:divBdr>
        <w:top w:val="none" w:sz="0" w:space="0" w:color="auto"/>
        <w:left w:val="none" w:sz="0" w:space="0" w:color="auto"/>
        <w:bottom w:val="none" w:sz="0" w:space="0" w:color="auto"/>
        <w:right w:val="none" w:sz="0" w:space="0" w:color="auto"/>
      </w:divBdr>
    </w:div>
    <w:div w:id="1518810768">
      <w:bodyDiv w:val="1"/>
      <w:marLeft w:val="0"/>
      <w:marRight w:val="0"/>
      <w:marTop w:val="0"/>
      <w:marBottom w:val="0"/>
      <w:divBdr>
        <w:top w:val="none" w:sz="0" w:space="0" w:color="auto"/>
        <w:left w:val="none" w:sz="0" w:space="0" w:color="auto"/>
        <w:bottom w:val="none" w:sz="0" w:space="0" w:color="auto"/>
        <w:right w:val="none" w:sz="0" w:space="0" w:color="auto"/>
      </w:divBdr>
    </w:div>
    <w:div w:id="1519277237">
      <w:bodyDiv w:val="1"/>
      <w:marLeft w:val="0"/>
      <w:marRight w:val="0"/>
      <w:marTop w:val="0"/>
      <w:marBottom w:val="0"/>
      <w:divBdr>
        <w:top w:val="none" w:sz="0" w:space="0" w:color="auto"/>
        <w:left w:val="none" w:sz="0" w:space="0" w:color="auto"/>
        <w:bottom w:val="none" w:sz="0" w:space="0" w:color="auto"/>
        <w:right w:val="none" w:sz="0" w:space="0" w:color="auto"/>
      </w:divBdr>
    </w:div>
    <w:div w:id="1519349215">
      <w:bodyDiv w:val="1"/>
      <w:marLeft w:val="0"/>
      <w:marRight w:val="0"/>
      <w:marTop w:val="0"/>
      <w:marBottom w:val="0"/>
      <w:divBdr>
        <w:top w:val="none" w:sz="0" w:space="0" w:color="auto"/>
        <w:left w:val="none" w:sz="0" w:space="0" w:color="auto"/>
        <w:bottom w:val="none" w:sz="0" w:space="0" w:color="auto"/>
        <w:right w:val="none" w:sz="0" w:space="0" w:color="auto"/>
      </w:divBdr>
    </w:div>
    <w:div w:id="1519386731">
      <w:bodyDiv w:val="1"/>
      <w:marLeft w:val="0"/>
      <w:marRight w:val="0"/>
      <w:marTop w:val="0"/>
      <w:marBottom w:val="0"/>
      <w:divBdr>
        <w:top w:val="none" w:sz="0" w:space="0" w:color="auto"/>
        <w:left w:val="none" w:sz="0" w:space="0" w:color="auto"/>
        <w:bottom w:val="none" w:sz="0" w:space="0" w:color="auto"/>
        <w:right w:val="none" w:sz="0" w:space="0" w:color="auto"/>
      </w:divBdr>
    </w:div>
    <w:div w:id="1519927767">
      <w:bodyDiv w:val="1"/>
      <w:marLeft w:val="0"/>
      <w:marRight w:val="0"/>
      <w:marTop w:val="0"/>
      <w:marBottom w:val="0"/>
      <w:divBdr>
        <w:top w:val="none" w:sz="0" w:space="0" w:color="auto"/>
        <w:left w:val="none" w:sz="0" w:space="0" w:color="auto"/>
        <w:bottom w:val="none" w:sz="0" w:space="0" w:color="auto"/>
        <w:right w:val="none" w:sz="0" w:space="0" w:color="auto"/>
      </w:divBdr>
    </w:div>
    <w:div w:id="1520043115">
      <w:bodyDiv w:val="1"/>
      <w:marLeft w:val="0"/>
      <w:marRight w:val="0"/>
      <w:marTop w:val="0"/>
      <w:marBottom w:val="0"/>
      <w:divBdr>
        <w:top w:val="none" w:sz="0" w:space="0" w:color="auto"/>
        <w:left w:val="none" w:sz="0" w:space="0" w:color="auto"/>
        <w:bottom w:val="none" w:sz="0" w:space="0" w:color="auto"/>
        <w:right w:val="none" w:sz="0" w:space="0" w:color="auto"/>
      </w:divBdr>
    </w:div>
    <w:div w:id="1520316977">
      <w:bodyDiv w:val="1"/>
      <w:marLeft w:val="0"/>
      <w:marRight w:val="0"/>
      <w:marTop w:val="0"/>
      <w:marBottom w:val="0"/>
      <w:divBdr>
        <w:top w:val="none" w:sz="0" w:space="0" w:color="auto"/>
        <w:left w:val="none" w:sz="0" w:space="0" w:color="auto"/>
        <w:bottom w:val="none" w:sz="0" w:space="0" w:color="auto"/>
        <w:right w:val="none" w:sz="0" w:space="0" w:color="auto"/>
      </w:divBdr>
    </w:div>
    <w:div w:id="1520318871">
      <w:bodyDiv w:val="1"/>
      <w:marLeft w:val="0"/>
      <w:marRight w:val="0"/>
      <w:marTop w:val="0"/>
      <w:marBottom w:val="0"/>
      <w:divBdr>
        <w:top w:val="none" w:sz="0" w:space="0" w:color="auto"/>
        <w:left w:val="none" w:sz="0" w:space="0" w:color="auto"/>
        <w:bottom w:val="none" w:sz="0" w:space="0" w:color="auto"/>
        <w:right w:val="none" w:sz="0" w:space="0" w:color="auto"/>
      </w:divBdr>
    </w:div>
    <w:div w:id="1520506949">
      <w:bodyDiv w:val="1"/>
      <w:marLeft w:val="0"/>
      <w:marRight w:val="0"/>
      <w:marTop w:val="0"/>
      <w:marBottom w:val="0"/>
      <w:divBdr>
        <w:top w:val="none" w:sz="0" w:space="0" w:color="auto"/>
        <w:left w:val="none" w:sz="0" w:space="0" w:color="auto"/>
        <w:bottom w:val="none" w:sz="0" w:space="0" w:color="auto"/>
        <w:right w:val="none" w:sz="0" w:space="0" w:color="auto"/>
      </w:divBdr>
    </w:div>
    <w:div w:id="1521309462">
      <w:bodyDiv w:val="1"/>
      <w:marLeft w:val="0"/>
      <w:marRight w:val="0"/>
      <w:marTop w:val="0"/>
      <w:marBottom w:val="0"/>
      <w:divBdr>
        <w:top w:val="none" w:sz="0" w:space="0" w:color="auto"/>
        <w:left w:val="none" w:sz="0" w:space="0" w:color="auto"/>
        <w:bottom w:val="none" w:sz="0" w:space="0" w:color="auto"/>
        <w:right w:val="none" w:sz="0" w:space="0" w:color="auto"/>
      </w:divBdr>
    </w:div>
    <w:div w:id="1521354006">
      <w:bodyDiv w:val="1"/>
      <w:marLeft w:val="0"/>
      <w:marRight w:val="0"/>
      <w:marTop w:val="0"/>
      <w:marBottom w:val="0"/>
      <w:divBdr>
        <w:top w:val="none" w:sz="0" w:space="0" w:color="auto"/>
        <w:left w:val="none" w:sz="0" w:space="0" w:color="auto"/>
        <w:bottom w:val="none" w:sz="0" w:space="0" w:color="auto"/>
        <w:right w:val="none" w:sz="0" w:space="0" w:color="auto"/>
      </w:divBdr>
    </w:div>
    <w:div w:id="1521622593">
      <w:bodyDiv w:val="1"/>
      <w:marLeft w:val="0"/>
      <w:marRight w:val="0"/>
      <w:marTop w:val="0"/>
      <w:marBottom w:val="0"/>
      <w:divBdr>
        <w:top w:val="none" w:sz="0" w:space="0" w:color="auto"/>
        <w:left w:val="none" w:sz="0" w:space="0" w:color="auto"/>
        <w:bottom w:val="none" w:sz="0" w:space="0" w:color="auto"/>
        <w:right w:val="none" w:sz="0" w:space="0" w:color="auto"/>
      </w:divBdr>
    </w:div>
    <w:div w:id="1522354794">
      <w:bodyDiv w:val="1"/>
      <w:marLeft w:val="0"/>
      <w:marRight w:val="0"/>
      <w:marTop w:val="0"/>
      <w:marBottom w:val="0"/>
      <w:divBdr>
        <w:top w:val="none" w:sz="0" w:space="0" w:color="auto"/>
        <w:left w:val="none" w:sz="0" w:space="0" w:color="auto"/>
        <w:bottom w:val="none" w:sz="0" w:space="0" w:color="auto"/>
        <w:right w:val="none" w:sz="0" w:space="0" w:color="auto"/>
      </w:divBdr>
    </w:div>
    <w:div w:id="1522469013">
      <w:bodyDiv w:val="1"/>
      <w:marLeft w:val="0"/>
      <w:marRight w:val="0"/>
      <w:marTop w:val="0"/>
      <w:marBottom w:val="0"/>
      <w:divBdr>
        <w:top w:val="none" w:sz="0" w:space="0" w:color="auto"/>
        <w:left w:val="none" w:sz="0" w:space="0" w:color="auto"/>
        <w:bottom w:val="none" w:sz="0" w:space="0" w:color="auto"/>
        <w:right w:val="none" w:sz="0" w:space="0" w:color="auto"/>
      </w:divBdr>
    </w:div>
    <w:div w:id="1523321912">
      <w:bodyDiv w:val="1"/>
      <w:marLeft w:val="0"/>
      <w:marRight w:val="0"/>
      <w:marTop w:val="0"/>
      <w:marBottom w:val="0"/>
      <w:divBdr>
        <w:top w:val="none" w:sz="0" w:space="0" w:color="auto"/>
        <w:left w:val="none" w:sz="0" w:space="0" w:color="auto"/>
        <w:bottom w:val="none" w:sz="0" w:space="0" w:color="auto"/>
        <w:right w:val="none" w:sz="0" w:space="0" w:color="auto"/>
      </w:divBdr>
    </w:div>
    <w:div w:id="1523543689">
      <w:bodyDiv w:val="1"/>
      <w:marLeft w:val="0"/>
      <w:marRight w:val="0"/>
      <w:marTop w:val="0"/>
      <w:marBottom w:val="0"/>
      <w:divBdr>
        <w:top w:val="none" w:sz="0" w:space="0" w:color="auto"/>
        <w:left w:val="none" w:sz="0" w:space="0" w:color="auto"/>
        <w:bottom w:val="none" w:sz="0" w:space="0" w:color="auto"/>
        <w:right w:val="none" w:sz="0" w:space="0" w:color="auto"/>
      </w:divBdr>
    </w:div>
    <w:div w:id="1523665141">
      <w:bodyDiv w:val="1"/>
      <w:marLeft w:val="0"/>
      <w:marRight w:val="0"/>
      <w:marTop w:val="0"/>
      <w:marBottom w:val="0"/>
      <w:divBdr>
        <w:top w:val="none" w:sz="0" w:space="0" w:color="auto"/>
        <w:left w:val="none" w:sz="0" w:space="0" w:color="auto"/>
        <w:bottom w:val="none" w:sz="0" w:space="0" w:color="auto"/>
        <w:right w:val="none" w:sz="0" w:space="0" w:color="auto"/>
      </w:divBdr>
    </w:div>
    <w:div w:id="1523975486">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4051581">
      <w:bodyDiv w:val="1"/>
      <w:marLeft w:val="0"/>
      <w:marRight w:val="0"/>
      <w:marTop w:val="0"/>
      <w:marBottom w:val="0"/>
      <w:divBdr>
        <w:top w:val="none" w:sz="0" w:space="0" w:color="auto"/>
        <w:left w:val="none" w:sz="0" w:space="0" w:color="auto"/>
        <w:bottom w:val="none" w:sz="0" w:space="0" w:color="auto"/>
        <w:right w:val="none" w:sz="0" w:space="0" w:color="auto"/>
      </w:divBdr>
    </w:div>
    <w:div w:id="1524514944">
      <w:bodyDiv w:val="1"/>
      <w:marLeft w:val="0"/>
      <w:marRight w:val="0"/>
      <w:marTop w:val="0"/>
      <w:marBottom w:val="0"/>
      <w:divBdr>
        <w:top w:val="none" w:sz="0" w:space="0" w:color="auto"/>
        <w:left w:val="none" w:sz="0" w:space="0" w:color="auto"/>
        <w:bottom w:val="none" w:sz="0" w:space="0" w:color="auto"/>
        <w:right w:val="none" w:sz="0" w:space="0" w:color="auto"/>
      </w:divBdr>
    </w:div>
    <w:div w:id="1524706376">
      <w:bodyDiv w:val="1"/>
      <w:marLeft w:val="0"/>
      <w:marRight w:val="0"/>
      <w:marTop w:val="0"/>
      <w:marBottom w:val="0"/>
      <w:divBdr>
        <w:top w:val="none" w:sz="0" w:space="0" w:color="auto"/>
        <w:left w:val="none" w:sz="0" w:space="0" w:color="auto"/>
        <w:bottom w:val="none" w:sz="0" w:space="0" w:color="auto"/>
        <w:right w:val="none" w:sz="0" w:space="0" w:color="auto"/>
      </w:divBdr>
    </w:div>
    <w:div w:id="1524780650">
      <w:bodyDiv w:val="1"/>
      <w:marLeft w:val="0"/>
      <w:marRight w:val="0"/>
      <w:marTop w:val="0"/>
      <w:marBottom w:val="0"/>
      <w:divBdr>
        <w:top w:val="none" w:sz="0" w:space="0" w:color="auto"/>
        <w:left w:val="none" w:sz="0" w:space="0" w:color="auto"/>
        <w:bottom w:val="none" w:sz="0" w:space="0" w:color="auto"/>
        <w:right w:val="none" w:sz="0" w:space="0" w:color="auto"/>
      </w:divBdr>
    </w:div>
    <w:div w:id="1525289144">
      <w:bodyDiv w:val="1"/>
      <w:marLeft w:val="0"/>
      <w:marRight w:val="0"/>
      <w:marTop w:val="0"/>
      <w:marBottom w:val="0"/>
      <w:divBdr>
        <w:top w:val="none" w:sz="0" w:space="0" w:color="auto"/>
        <w:left w:val="none" w:sz="0" w:space="0" w:color="auto"/>
        <w:bottom w:val="none" w:sz="0" w:space="0" w:color="auto"/>
        <w:right w:val="none" w:sz="0" w:space="0" w:color="auto"/>
      </w:divBdr>
    </w:div>
    <w:div w:id="1525359022">
      <w:bodyDiv w:val="1"/>
      <w:marLeft w:val="0"/>
      <w:marRight w:val="0"/>
      <w:marTop w:val="0"/>
      <w:marBottom w:val="0"/>
      <w:divBdr>
        <w:top w:val="none" w:sz="0" w:space="0" w:color="auto"/>
        <w:left w:val="none" w:sz="0" w:space="0" w:color="auto"/>
        <w:bottom w:val="none" w:sz="0" w:space="0" w:color="auto"/>
        <w:right w:val="none" w:sz="0" w:space="0" w:color="auto"/>
      </w:divBdr>
    </w:div>
    <w:div w:id="1525632178">
      <w:bodyDiv w:val="1"/>
      <w:marLeft w:val="0"/>
      <w:marRight w:val="0"/>
      <w:marTop w:val="0"/>
      <w:marBottom w:val="0"/>
      <w:divBdr>
        <w:top w:val="none" w:sz="0" w:space="0" w:color="auto"/>
        <w:left w:val="none" w:sz="0" w:space="0" w:color="auto"/>
        <w:bottom w:val="none" w:sz="0" w:space="0" w:color="auto"/>
        <w:right w:val="none" w:sz="0" w:space="0" w:color="auto"/>
      </w:divBdr>
    </w:div>
    <w:div w:id="1525748438">
      <w:bodyDiv w:val="1"/>
      <w:marLeft w:val="0"/>
      <w:marRight w:val="0"/>
      <w:marTop w:val="0"/>
      <w:marBottom w:val="0"/>
      <w:divBdr>
        <w:top w:val="none" w:sz="0" w:space="0" w:color="auto"/>
        <w:left w:val="none" w:sz="0" w:space="0" w:color="auto"/>
        <w:bottom w:val="none" w:sz="0" w:space="0" w:color="auto"/>
        <w:right w:val="none" w:sz="0" w:space="0" w:color="auto"/>
      </w:divBdr>
    </w:div>
    <w:div w:id="1525828747">
      <w:bodyDiv w:val="1"/>
      <w:marLeft w:val="0"/>
      <w:marRight w:val="0"/>
      <w:marTop w:val="0"/>
      <w:marBottom w:val="0"/>
      <w:divBdr>
        <w:top w:val="none" w:sz="0" w:space="0" w:color="auto"/>
        <w:left w:val="none" w:sz="0" w:space="0" w:color="auto"/>
        <w:bottom w:val="none" w:sz="0" w:space="0" w:color="auto"/>
        <w:right w:val="none" w:sz="0" w:space="0" w:color="auto"/>
      </w:divBdr>
    </w:div>
    <w:div w:id="1525947970">
      <w:bodyDiv w:val="1"/>
      <w:marLeft w:val="0"/>
      <w:marRight w:val="0"/>
      <w:marTop w:val="0"/>
      <w:marBottom w:val="0"/>
      <w:divBdr>
        <w:top w:val="none" w:sz="0" w:space="0" w:color="auto"/>
        <w:left w:val="none" w:sz="0" w:space="0" w:color="auto"/>
        <w:bottom w:val="none" w:sz="0" w:space="0" w:color="auto"/>
        <w:right w:val="none" w:sz="0" w:space="0" w:color="auto"/>
      </w:divBdr>
    </w:div>
    <w:div w:id="1526089522">
      <w:bodyDiv w:val="1"/>
      <w:marLeft w:val="0"/>
      <w:marRight w:val="0"/>
      <w:marTop w:val="0"/>
      <w:marBottom w:val="0"/>
      <w:divBdr>
        <w:top w:val="none" w:sz="0" w:space="0" w:color="auto"/>
        <w:left w:val="none" w:sz="0" w:space="0" w:color="auto"/>
        <w:bottom w:val="none" w:sz="0" w:space="0" w:color="auto"/>
        <w:right w:val="none" w:sz="0" w:space="0" w:color="auto"/>
      </w:divBdr>
    </w:div>
    <w:div w:id="1526362153">
      <w:bodyDiv w:val="1"/>
      <w:marLeft w:val="0"/>
      <w:marRight w:val="0"/>
      <w:marTop w:val="0"/>
      <w:marBottom w:val="0"/>
      <w:divBdr>
        <w:top w:val="none" w:sz="0" w:space="0" w:color="auto"/>
        <w:left w:val="none" w:sz="0" w:space="0" w:color="auto"/>
        <w:bottom w:val="none" w:sz="0" w:space="0" w:color="auto"/>
        <w:right w:val="none" w:sz="0" w:space="0" w:color="auto"/>
      </w:divBdr>
    </w:div>
    <w:div w:id="1526480519">
      <w:bodyDiv w:val="1"/>
      <w:marLeft w:val="0"/>
      <w:marRight w:val="0"/>
      <w:marTop w:val="0"/>
      <w:marBottom w:val="0"/>
      <w:divBdr>
        <w:top w:val="none" w:sz="0" w:space="0" w:color="auto"/>
        <w:left w:val="none" w:sz="0" w:space="0" w:color="auto"/>
        <w:bottom w:val="none" w:sz="0" w:space="0" w:color="auto"/>
        <w:right w:val="none" w:sz="0" w:space="0" w:color="auto"/>
      </w:divBdr>
    </w:div>
    <w:div w:id="1526482269">
      <w:bodyDiv w:val="1"/>
      <w:marLeft w:val="0"/>
      <w:marRight w:val="0"/>
      <w:marTop w:val="0"/>
      <w:marBottom w:val="0"/>
      <w:divBdr>
        <w:top w:val="none" w:sz="0" w:space="0" w:color="auto"/>
        <w:left w:val="none" w:sz="0" w:space="0" w:color="auto"/>
        <w:bottom w:val="none" w:sz="0" w:space="0" w:color="auto"/>
        <w:right w:val="none" w:sz="0" w:space="0" w:color="auto"/>
      </w:divBdr>
    </w:div>
    <w:div w:id="1527406116">
      <w:bodyDiv w:val="1"/>
      <w:marLeft w:val="0"/>
      <w:marRight w:val="0"/>
      <w:marTop w:val="0"/>
      <w:marBottom w:val="0"/>
      <w:divBdr>
        <w:top w:val="none" w:sz="0" w:space="0" w:color="auto"/>
        <w:left w:val="none" w:sz="0" w:space="0" w:color="auto"/>
        <w:bottom w:val="none" w:sz="0" w:space="0" w:color="auto"/>
        <w:right w:val="none" w:sz="0" w:space="0" w:color="auto"/>
      </w:divBdr>
    </w:div>
    <w:div w:id="1527521768">
      <w:bodyDiv w:val="1"/>
      <w:marLeft w:val="0"/>
      <w:marRight w:val="0"/>
      <w:marTop w:val="0"/>
      <w:marBottom w:val="0"/>
      <w:divBdr>
        <w:top w:val="none" w:sz="0" w:space="0" w:color="auto"/>
        <w:left w:val="none" w:sz="0" w:space="0" w:color="auto"/>
        <w:bottom w:val="none" w:sz="0" w:space="0" w:color="auto"/>
        <w:right w:val="none" w:sz="0" w:space="0" w:color="auto"/>
      </w:divBdr>
    </w:div>
    <w:div w:id="1527787690">
      <w:bodyDiv w:val="1"/>
      <w:marLeft w:val="0"/>
      <w:marRight w:val="0"/>
      <w:marTop w:val="0"/>
      <w:marBottom w:val="0"/>
      <w:divBdr>
        <w:top w:val="none" w:sz="0" w:space="0" w:color="auto"/>
        <w:left w:val="none" w:sz="0" w:space="0" w:color="auto"/>
        <w:bottom w:val="none" w:sz="0" w:space="0" w:color="auto"/>
        <w:right w:val="none" w:sz="0" w:space="0" w:color="auto"/>
      </w:divBdr>
    </w:div>
    <w:div w:id="1527862572">
      <w:bodyDiv w:val="1"/>
      <w:marLeft w:val="0"/>
      <w:marRight w:val="0"/>
      <w:marTop w:val="0"/>
      <w:marBottom w:val="0"/>
      <w:divBdr>
        <w:top w:val="none" w:sz="0" w:space="0" w:color="auto"/>
        <w:left w:val="none" w:sz="0" w:space="0" w:color="auto"/>
        <w:bottom w:val="none" w:sz="0" w:space="0" w:color="auto"/>
        <w:right w:val="none" w:sz="0" w:space="0" w:color="auto"/>
      </w:divBdr>
    </w:div>
    <w:div w:id="1527911911">
      <w:bodyDiv w:val="1"/>
      <w:marLeft w:val="0"/>
      <w:marRight w:val="0"/>
      <w:marTop w:val="0"/>
      <w:marBottom w:val="0"/>
      <w:divBdr>
        <w:top w:val="none" w:sz="0" w:space="0" w:color="auto"/>
        <w:left w:val="none" w:sz="0" w:space="0" w:color="auto"/>
        <w:bottom w:val="none" w:sz="0" w:space="0" w:color="auto"/>
        <w:right w:val="none" w:sz="0" w:space="0" w:color="auto"/>
      </w:divBdr>
    </w:div>
    <w:div w:id="1528131343">
      <w:bodyDiv w:val="1"/>
      <w:marLeft w:val="0"/>
      <w:marRight w:val="0"/>
      <w:marTop w:val="0"/>
      <w:marBottom w:val="0"/>
      <w:divBdr>
        <w:top w:val="none" w:sz="0" w:space="0" w:color="auto"/>
        <w:left w:val="none" w:sz="0" w:space="0" w:color="auto"/>
        <w:bottom w:val="none" w:sz="0" w:space="0" w:color="auto"/>
        <w:right w:val="none" w:sz="0" w:space="0" w:color="auto"/>
      </w:divBdr>
    </w:div>
    <w:div w:id="1528134095">
      <w:bodyDiv w:val="1"/>
      <w:marLeft w:val="0"/>
      <w:marRight w:val="0"/>
      <w:marTop w:val="0"/>
      <w:marBottom w:val="0"/>
      <w:divBdr>
        <w:top w:val="none" w:sz="0" w:space="0" w:color="auto"/>
        <w:left w:val="none" w:sz="0" w:space="0" w:color="auto"/>
        <w:bottom w:val="none" w:sz="0" w:space="0" w:color="auto"/>
        <w:right w:val="none" w:sz="0" w:space="0" w:color="auto"/>
      </w:divBdr>
    </w:div>
    <w:div w:id="1528716537">
      <w:bodyDiv w:val="1"/>
      <w:marLeft w:val="0"/>
      <w:marRight w:val="0"/>
      <w:marTop w:val="0"/>
      <w:marBottom w:val="0"/>
      <w:divBdr>
        <w:top w:val="none" w:sz="0" w:space="0" w:color="auto"/>
        <w:left w:val="none" w:sz="0" w:space="0" w:color="auto"/>
        <w:bottom w:val="none" w:sz="0" w:space="0" w:color="auto"/>
        <w:right w:val="none" w:sz="0" w:space="0" w:color="auto"/>
      </w:divBdr>
    </w:div>
    <w:div w:id="1529028154">
      <w:bodyDiv w:val="1"/>
      <w:marLeft w:val="0"/>
      <w:marRight w:val="0"/>
      <w:marTop w:val="0"/>
      <w:marBottom w:val="0"/>
      <w:divBdr>
        <w:top w:val="none" w:sz="0" w:space="0" w:color="auto"/>
        <w:left w:val="none" w:sz="0" w:space="0" w:color="auto"/>
        <w:bottom w:val="none" w:sz="0" w:space="0" w:color="auto"/>
        <w:right w:val="none" w:sz="0" w:space="0" w:color="auto"/>
      </w:divBdr>
    </w:div>
    <w:div w:id="1529101498">
      <w:bodyDiv w:val="1"/>
      <w:marLeft w:val="0"/>
      <w:marRight w:val="0"/>
      <w:marTop w:val="0"/>
      <w:marBottom w:val="0"/>
      <w:divBdr>
        <w:top w:val="none" w:sz="0" w:space="0" w:color="auto"/>
        <w:left w:val="none" w:sz="0" w:space="0" w:color="auto"/>
        <w:bottom w:val="none" w:sz="0" w:space="0" w:color="auto"/>
        <w:right w:val="none" w:sz="0" w:space="0" w:color="auto"/>
      </w:divBdr>
    </w:div>
    <w:div w:id="1529641544">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29831594">
      <w:bodyDiv w:val="1"/>
      <w:marLeft w:val="0"/>
      <w:marRight w:val="0"/>
      <w:marTop w:val="0"/>
      <w:marBottom w:val="0"/>
      <w:divBdr>
        <w:top w:val="none" w:sz="0" w:space="0" w:color="auto"/>
        <w:left w:val="none" w:sz="0" w:space="0" w:color="auto"/>
        <w:bottom w:val="none" w:sz="0" w:space="0" w:color="auto"/>
        <w:right w:val="none" w:sz="0" w:space="0" w:color="auto"/>
      </w:divBdr>
    </w:div>
    <w:div w:id="1530025699">
      <w:bodyDiv w:val="1"/>
      <w:marLeft w:val="0"/>
      <w:marRight w:val="0"/>
      <w:marTop w:val="0"/>
      <w:marBottom w:val="0"/>
      <w:divBdr>
        <w:top w:val="none" w:sz="0" w:space="0" w:color="auto"/>
        <w:left w:val="none" w:sz="0" w:space="0" w:color="auto"/>
        <w:bottom w:val="none" w:sz="0" w:space="0" w:color="auto"/>
        <w:right w:val="none" w:sz="0" w:space="0" w:color="auto"/>
      </w:divBdr>
    </w:div>
    <w:div w:id="1530218502">
      <w:bodyDiv w:val="1"/>
      <w:marLeft w:val="0"/>
      <w:marRight w:val="0"/>
      <w:marTop w:val="0"/>
      <w:marBottom w:val="0"/>
      <w:divBdr>
        <w:top w:val="none" w:sz="0" w:space="0" w:color="auto"/>
        <w:left w:val="none" w:sz="0" w:space="0" w:color="auto"/>
        <w:bottom w:val="none" w:sz="0" w:space="0" w:color="auto"/>
        <w:right w:val="none" w:sz="0" w:space="0" w:color="auto"/>
      </w:divBdr>
    </w:div>
    <w:div w:id="1530341412">
      <w:bodyDiv w:val="1"/>
      <w:marLeft w:val="0"/>
      <w:marRight w:val="0"/>
      <w:marTop w:val="0"/>
      <w:marBottom w:val="0"/>
      <w:divBdr>
        <w:top w:val="none" w:sz="0" w:space="0" w:color="auto"/>
        <w:left w:val="none" w:sz="0" w:space="0" w:color="auto"/>
        <w:bottom w:val="none" w:sz="0" w:space="0" w:color="auto"/>
        <w:right w:val="none" w:sz="0" w:space="0" w:color="auto"/>
      </w:divBdr>
    </w:div>
    <w:div w:id="1530685547">
      <w:bodyDiv w:val="1"/>
      <w:marLeft w:val="0"/>
      <w:marRight w:val="0"/>
      <w:marTop w:val="0"/>
      <w:marBottom w:val="0"/>
      <w:divBdr>
        <w:top w:val="none" w:sz="0" w:space="0" w:color="auto"/>
        <w:left w:val="none" w:sz="0" w:space="0" w:color="auto"/>
        <w:bottom w:val="none" w:sz="0" w:space="0" w:color="auto"/>
        <w:right w:val="none" w:sz="0" w:space="0" w:color="auto"/>
      </w:divBdr>
    </w:div>
    <w:div w:id="1530796554">
      <w:bodyDiv w:val="1"/>
      <w:marLeft w:val="0"/>
      <w:marRight w:val="0"/>
      <w:marTop w:val="0"/>
      <w:marBottom w:val="0"/>
      <w:divBdr>
        <w:top w:val="none" w:sz="0" w:space="0" w:color="auto"/>
        <w:left w:val="none" w:sz="0" w:space="0" w:color="auto"/>
        <w:bottom w:val="none" w:sz="0" w:space="0" w:color="auto"/>
        <w:right w:val="none" w:sz="0" w:space="0" w:color="auto"/>
      </w:divBdr>
    </w:div>
    <w:div w:id="1530991094">
      <w:bodyDiv w:val="1"/>
      <w:marLeft w:val="0"/>
      <w:marRight w:val="0"/>
      <w:marTop w:val="0"/>
      <w:marBottom w:val="0"/>
      <w:divBdr>
        <w:top w:val="none" w:sz="0" w:space="0" w:color="auto"/>
        <w:left w:val="none" w:sz="0" w:space="0" w:color="auto"/>
        <w:bottom w:val="none" w:sz="0" w:space="0" w:color="auto"/>
        <w:right w:val="none" w:sz="0" w:space="0" w:color="auto"/>
      </w:divBdr>
    </w:div>
    <w:div w:id="1531214454">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1603838">
      <w:bodyDiv w:val="1"/>
      <w:marLeft w:val="0"/>
      <w:marRight w:val="0"/>
      <w:marTop w:val="0"/>
      <w:marBottom w:val="0"/>
      <w:divBdr>
        <w:top w:val="none" w:sz="0" w:space="0" w:color="auto"/>
        <w:left w:val="none" w:sz="0" w:space="0" w:color="auto"/>
        <w:bottom w:val="none" w:sz="0" w:space="0" w:color="auto"/>
        <w:right w:val="none" w:sz="0" w:space="0" w:color="auto"/>
      </w:divBdr>
    </w:div>
    <w:div w:id="1531647705">
      <w:bodyDiv w:val="1"/>
      <w:marLeft w:val="0"/>
      <w:marRight w:val="0"/>
      <w:marTop w:val="0"/>
      <w:marBottom w:val="0"/>
      <w:divBdr>
        <w:top w:val="none" w:sz="0" w:space="0" w:color="auto"/>
        <w:left w:val="none" w:sz="0" w:space="0" w:color="auto"/>
        <w:bottom w:val="none" w:sz="0" w:space="0" w:color="auto"/>
        <w:right w:val="none" w:sz="0" w:space="0" w:color="auto"/>
      </w:divBdr>
    </w:div>
    <w:div w:id="1531911435">
      <w:bodyDiv w:val="1"/>
      <w:marLeft w:val="0"/>
      <w:marRight w:val="0"/>
      <w:marTop w:val="0"/>
      <w:marBottom w:val="0"/>
      <w:divBdr>
        <w:top w:val="none" w:sz="0" w:space="0" w:color="auto"/>
        <w:left w:val="none" w:sz="0" w:space="0" w:color="auto"/>
        <w:bottom w:val="none" w:sz="0" w:space="0" w:color="auto"/>
        <w:right w:val="none" w:sz="0" w:space="0" w:color="auto"/>
      </w:divBdr>
    </w:div>
    <w:div w:id="1532184509">
      <w:bodyDiv w:val="1"/>
      <w:marLeft w:val="0"/>
      <w:marRight w:val="0"/>
      <w:marTop w:val="0"/>
      <w:marBottom w:val="0"/>
      <w:divBdr>
        <w:top w:val="none" w:sz="0" w:space="0" w:color="auto"/>
        <w:left w:val="none" w:sz="0" w:space="0" w:color="auto"/>
        <w:bottom w:val="none" w:sz="0" w:space="0" w:color="auto"/>
        <w:right w:val="none" w:sz="0" w:space="0" w:color="auto"/>
      </w:divBdr>
    </w:div>
    <w:div w:id="1532261831">
      <w:bodyDiv w:val="1"/>
      <w:marLeft w:val="0"/>
      <w:marRight w:val="0"/>
      <w:marTop w:val="0"/>
      <w:marBottom w:val="0"/>
      <w:divBdr>
        <w:top w:val="none" w:sz="0" w:space="0" w:color="auto"/>
        <w:left w:val="none" w:sz="0" w:space="0" w:color="auto"/>
        <w:bottom w:val="none" w:sz="0" w:space="0" w:color="auto"/>
        <w:right w:val="none" w:sz="0" w:space="0" w:color="auto"/>
      </w:divBdr>
    </w:div>
    <w:div w:id="1532376548">
      <w:bodyDiv w:val="1"/>
      <w:marLeft w:val="0"/>
      <w:marRight w:val="0"/>
      <w:marTop w:val="0"/>
      <w:marBottom w:val="0"/>
      <w:divBdr>
        <w:top w:val="none" w:sz="0" w:space="0" w:color="auto"/>
        <w:left w:val="none" w:sz="0" w:space="0" w:color="auto"/>
        <w:bottom w:val="none" w:sz="0" w:space="0" w:color="auto"/>
        <w:right w:val="none" w:sz="0" w:space="0" w:color="auto"/>
      </w:divBdr>
    </w:div>
    <w:div w:id="1532642858">
      <w:bodyDiv w:val="1"/>
      <w:marLeft w:val="0"/>
      <w:marRight w:val="0"/>
      <w:marTop w:val="0"/>
      <w:marBottom w:val="0"/>
      <w:divBdr>
        <w:top w:val="none" w:sz="0" w:space="0" w:color="auto"/>
        <w:left w:val="none" w:sz="0" w:space="0" w:color="auto"/>
        <w:bottom w:val="none" w:sz="0" w:space="0" w:color="auto"/>
        <w:right w:val="none" w:sz="0" w:space="0" w:color="auto"/>
      </w:divBdr>
    </w:div>
    <w:div w:id="1533110552">
      <w:bodyDiv w:val="1"/>
      <w:marLeft w:val="0"/>
      <w:marRight w:val="0"/>
      <w:marTop w:val="0"/>
      <w:marBottom w:val="0"/>
      <w:divBdr>
        <w:top w:val="none" w:sz="0" w:space="0" w:color="auto"/>
        <w:left w:val="none" w:sz="0" w:space="0" w:color="auto"/>
        <w:bottom w:val="none" w:sz="0" w:space="0" w:color="auto"/>
        <w:right w:val="none" w:sz="0" w:space="0" w:color="auto"/>
      </w:divBdr>
    </w:div>
    <w:div w:id="1533299530">
      <w:bodyDiv w:val="1"/>
      <w:marLeft w:val="0"/>
      <w:marRight w:val="0"/>
      <w:marTop w:val="0"/>
      <w:marBottom w:val="0"/>
      <w:divBdr>
        <w:top w:val="none" w:sz="0" w:space="0" w:color="auto"/>
        <w:left w:val="none" w:sz="0" w:space="0" w:color="auto"/>
        <w:bottom w:val="none" w:sz="0" w:space="0" w:color="auto"/>
        <w:right w:val="none" w:sz="0" w:space="0" w:color="auto"/>
      </w:divBdr>
    </w:div>
    <w:div w:id="1533691043">
      <w:bodyDiv w:val="1"/>
      <w:marLeft w:val="0"/>
      <w:marRight w:val="0"/>
      <w:marTop w:val="0"/>
      <w:marBottom w:val="0"/>
      <w:divBdr>
        <w:top w:val="none" w:sz="0" w:space="0" w:color="auto"/>
        <w:left w:val="none" w:sz="0" w:space="0" w:color="auto"/>
        <w:bottom w:val="none" w:sz="0" w:space="0" w:color="auto"/>
        <w:right w:val="none" w:sz="0" w:space="0" w:color="auto"/>
      </w:divBdr>
    </w:div>
    <w:div w:id="1533884555">
      <w:bodyDiv w:val="1"/>
      <w:marLeft w:val="0"/>
      <w:marRight w:val="0"/>
      <w:marTop w:val="0"/>
      <w:marBottom w:val="0"/>
      <w:divBdr>
        <w:top w:val="none" w:sz="0" w:space="0" w:color="auto"/>
        <w:left w:val="none" w:sz="0" w:space="0" w:color="auto"/>
        <w:bottom w:val="none" w:sz="0" w:space="0" w:color="auto"/>
        <w:right w:val="none" w:sz="0" w:space="0" w:color="auto"/>
      </w:divBdr>
    </w:div>
    <w:div w:id="1534229416">
      <w:bodyDiv w:val="1"/>
      <w:marLeft w:val="0"/>
      <w:marRight w:val="0"/>
      <w:marTop w:val="0"/>
      <w:marBottom w:val="0"/>
      <w:divBdr>
        <w:top w:val="none" w:sz="0" w:space="0" w:color="auto"/>
        <w:left w:val="none" w:sz="0" w:space="0" w:color="auto"/>
        <w:bottom w:val="none" w:sz="0" w:space="0" w:color="auto"/>
        <w:right w:val="none" w:sz="0" w:space="0" w:color="auto"/>
      </w:divBdr>
    </w:div>
    <w:div w:id="1534463367">
      <w:bodyDiv w:val="1"/>
      <w:marLeft w:val="0"/>
      <w:marRight w:val="0"/>
      <w:marTop w:val="0"/>
      <w:marBottom w:val="0"/>
      <w:divBdr>
        <w:top w:val="none" w:sz="0" w:space="0" w:color="auto"/>
        <w:left w:val="none" w:sz="0" w:space="0" w:color="auto"/>
        <w:bottom w:val="none" w:sz="0" w:space="0" w:color="auto"/>
        <w:right w:val="none" w:sz="0" w:space="0" w:color="auto"/>
      </w:divBdr>
    </w:div>
    <w:div w:id="1535190682">
      <w:bodyDiv w:val="1"/>
      <w:marLeft w:val="0"/>
      <w:marRight w:val="0"/>
      <w:marTop w:val="0"/>
      <w:marBottom w:val="0"/>
      <w:divBdr>
        <w:top w:val="none" w:sz="0" w:space="0" w:color="auto"/>
        <w:left w:val="none" w:sz="0" w:space="0" w:color="auto"/>
        <w:bottom w:val="none" w:sz="0" w:space="0" w:color="auto"/>
        <w:right w:val="none" w:sz="0" w:space="0" w:color="auto"/>
      </w:divBdr>
    </w:div>
    <w:div w:id="1535339572">
      <w:bodyDiv w:val="1"/>
      <w:marLeft w:val="0"/>
      <w:marRight w:val="0"/>
      <w:marTop w:val="0"/>
      <w:marBottom w:val="0"/>
      <w:divBdr>
        <w:top w:val="none" w:sz="0" w:space="0" w:color="auto"/>
        <w:left w:val="none" w:sz="0" w:space="0" w:color="auto"/>
        <w:bottom w:val="none" w:sz="0" w:space="0" w:color="auto"/>
        <w:right w:val="none" w:sz="0" w:space="0" w:color="auto"/>
      </w:divBdr>
    </w:div>
    <w:div w:id="1535458524">
      <w:bodyDiv w:val="1"/>
      <w:marLeft w:val="0"/>
      <w:marRight w:val="0"/>
      <w:marTop w:val="0"/>
      <w:marBottom w:val="0"/>
      <w:divBdr>
        <w:top w:val="none" w:sz="0" w:space="0" w:color="auto"/>
        <w:left w:val="none" w:sz="0" w:space="0" w:color="auto"/>
        <w:bottom w:val="none" w:sz="0" w:space="0" w:color="auto"/>
        <w:right w:val="none" w:sz="0" w:space="0" w:color="auto"/>
      </w:divBdr>
    </w:div>
    <w:div w:id="1535728309">
      <w:bodyDiv w:val="1"/>
      <w:marLeft w:val="0"/>
      <w:marRight w:val="0"/>
      <w:marTop w:val="0"/>
      <w:marBottom w:val="0"/>
      <w:divBdr>
        <w:top w:val="none" w:sz="0" w:space="0" w:color="auto"/>
        <w:left w:val="none" w:sz="0" w:space="0" w:color="auto"/>
        <w:bottom w:val="none" w:sz="0" w:space="0" w:color="auto"/>
        <w:right w:val="none" w:sz="0" w:space="0" w:color="auto"/>
      </w:divBdr>
    </w:div>
    <w:div w:id="1536383656">
      <w:bodyDiv w:val="1"/>
      <w:marLeft w:val="0"/>
      <w:marRight w:val="0"/>
      <w:marTop w:val="0"/>
      <w:marBottom w:val="0"/>
      <w:divBdr>
        <w:top w:val="none" w:sz="0" w:space="0" w:color="auto"/>
        <w:left w:val="none" w:sz="0" w:space="0" w:color="auto"/>
        <w:bottom w:val="none" w:sz="0" w:space="0" w:color="auto"/>
        <w:right w:val="none" w:sz="0" w:space="0" w:color="auto"/>
      </w:divBdr>
    </w:div>
    <w:div w:id="1536964274">
      <w:bodyDiv w:val="1"/>
      <w:marLeft w:val="0"/>
      <w:marRight w:val="0"/>
      <w:marTop w:val="0"/>
      <w:marBottom w:val="0"/>
      <w:divBdr>
        <w:top w:val="none" w:sz="0" w:space="0" w:color="auto"/>
        <w:left w:val="none" w:sz="0" w:space="0" w:color="auto"/>
        <w:bottom w:val="none" w:sz="0" w:space="0" w:color="auto"/>
        <w:right w:val="none" w:sz="0" w:space="0" w:color="auto"/>
      </w:divBdr>
    </w:div>
    <w:div w:id="1537036987">
      <w:bodyDiv w:val="1"/>
      <w:marLeft w:val="0"/>
      <w:marRight w:val="0"/>
      <w:marTop w:val="0"/>
      <w:marBottom w:val="0"/>
      <w:divBdr>
        <w:top w:val="none" w:sz="0" w:space="0" w:color="auto"/>
        <w:left w:val="none" w:sz="0" w:space="0" w:color="auto"/>
        <w:bottom w:val="none" w:sz="0" w:space="0" w:color="auto"/>
        <w:right w:val="none" w:sz="0" w:space="0" w:color="auto"/>
      </w:divBdr>
    </w:div>
    <w:div w:id="1537161998">
      <w:bodyDiv w:val="1"/>
      <w:marLeft w:val="0"/>
      <w:marRight w:val="0"/>
      <w:marTop w:val="0"/>
      <w:marBottom w:val="0"/>
      <w:divBdr>
        <w:top w:val="none" w:sz="0" w:space="0" w:color="auto"/>
        <w:left w:val="none" w:sz="0" w:space="0" w:color="auto"/>
        <w:bottom w:val="none" w:sz="0" w:space="0" w:color="auto"/>
        <w:right w:val="none" w:sz="0" w:space="0" w:color="auto"/>
      </w:divBdr>
    </w:div>
    <w:div w:id="1537505599">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37815217">
      <w:bodyDiv w:val="1"/>
      <w:marLeft w:val="0"/>
      <w:marRight w:val="0"/>
      <w:marTop w:val="0"/>
      <w:marBottom w:val="0"/>
      <w:divBdr>
        <w:top w:val="none" w:sz="0" w:space="0" w:color="auto"/>
        <w:left w:val="none" w:sz="0" w:space="0" w:color="auto"/>
        <w:bottom w:val="none" w:sz="0" w:space="0" w:color="auto"/>
        <w:right w:val="none" w:sz="0" w:space="0" w:color="auto"/>
      </w:divBdr>
    </w:div>
    <w:div w:id="1537890701">
      <w:bodyDiv w:val="1"/>
      <w:marLeft w:val="0"/>
      <w:marRight w:val="0"/>
      <w:marTop w:val="0"/>
      <w:marBottom w:val="0"/>
      <w:divBdr>
        <w:top w:val="none" w:sz="0" w:space="0" w:color="auto"/>
        <w:left w:val="none" w:sz="0" w:space="0" w:color="auto"/>
        <w:bottom w:val="none" w:sz="0" w:space="0" w:color="auto"/>
        <w:right w:val="none" w:sz="0" w:space="0" w:color="auto"/>
      </w:divBdr>
    </w:div>
    <w:div w:id="1538005217">
      <w:bodyDiv w:val="1"/>
      <w:marLeft w:val="0"/>
      <w:marRight w:val="0"/>
      <w:marTop w:val="0"/>
      <w:marBottom w:val="0"/>
      <w:divBdr>
        <w:top w:val="none" w:sz="0" w:space="0" w:color="auto"/>
        <w:left w:val="none" w:sz="0" w:space="0" w:color="auto"/>
        <w:bottom w:val="none" w:sz="0" w:space="0" w:color="auto"/>
        <w:right w:val="none" w:sz="0" w:space="0" w:color="auto"/>
      </w:divBdr>
    </w:div>
    <w:div w:id="1538548428">
      <w:bodyDiv w:val="1"/>
      <w:marLeft w:val="0"/>
      <w:marRight w:val="0"/>
      <w:marTop w:val="0"/>
      <w:marBottom w:val="0"/>
      <w:divBdr>
        <w:top w:val="none" w:sz="0" w:space="0" w:color="auto"/>
        <w:left w:val="none" w:sz="0" w:space="0" w:color="auto"/>
        <w:bottom w:val="none" w:sz="0" w:space="0" w:color="auto"/>
        <w:right w:val="none" w:sz="0" w:space="0" w:color="auto"/>
      </w:divBdr>
    </w:div>
    <w:div w:id="1539006659">
      <w:bodyDiv w:val="1"/>
      <w:marLeft w:val="0"/>
      <w:marRight w:val="0"/>
      <w:marTop w:val="0"/>
      <w:marBottom w:val="0"/>
      <w:divBdr>
        <w:top w:val="none" w:sz="0" w:space="0" w:color="auto"/>
        <w:left w:val="none" w:sz="0" w:space="0" w:color="auto"/>
        <w:bottom w:val="none" w:sz="0" w:space="0" w:color="auto"/>
        <w:right w:val="none" w:sz="0" w:space="0" w:color="auto"/>
      </w:divBdr>
    </w:div>
    <w:div w:id="1539125082">
      <w:bodyDiv w:val="1"/>
      <w:marLeft w:val="0"/>
      <w:marRight w:val="0"/>
      <w:marTop w:val="0"/>
      <w:marBottom w:val="0"/>
      <w:divBdr>
        <w:top w:val="none" w:sz="0" w:space="0" w:color="auto"/>
        <w:left w:val="none" w:sz="0" w:space="0" w:color="auto"/>
        <w:bottom w:val="none" w:sz="0" w:space="0" w:color="auto"/>
        <w:right w:val="none" w:sz="0" w:space="0" w:color="auto"/>
      </w:divBdr>
    </w:div>
    <w:div w:id="1539390120">
      <w:bodyDiv w:val="1"/>
      <w:marLeft w:val="0"/>
      <w:marRight w:val="0"/>
      <w:marTop w:val="0"/>
      <w:marBottom w:val="0"/>
      <w:divBdr>
        <w:top w:val="none" w:sz="0" w:space="0" w:color="auto"/>
        <w:left w:val="none" w:sz="0" w:space="0" w:color="auto"/>
        <w:bottom w:val="none" w:sz="0" w:space="0" w:color="auto"/>
        <w:right w:val="none" w:sz="0" w:space="0" w:color="auto"/>
      </w:divBdr>
    </w:div>
    <w:div w:id="1539734559">
      <w:bodyDiv w:val="1"/>
      <w:marLeft w:val="0"/>
      <w:marRight w:val="0"/>
      <w:marTop w:val="0"/>
      <w:marBottom w:val="0"/>
      <w:divBdr>
        <w:top w:val="none" w:sz="0" w:space="0" w:color="auto"/>
        <w:left w:val="none" w:sz="0" w:space="0" w:color="auto"/>
        <w:bottom w:val="none" w:sz="0" w:space="0" w:color="auto"/>
        <w:right w:val="none" w:sz="0" w:space="0" w:color="auto"/>
      </w:divBdr>
    </w:div>
    <w:div w:id="1539858515">
      <w:bodyDiv w:val="1"/>
      <w:marLeft w:val="0"/>
      <w:marRight w:val="0"/>
      <w:marTop w:val="0"/>
      <w:marBottom w:val="0"/>
      <w:divBdr>
        <w:top w:val="none" w:sz="0" w:space="0" w:color="auto"/>
        <w:left w:val="none" w:sz="0" w:space="0" w:color="auto"/>
        <w:bottom w:val="none" w:sz="0" w:space="0" w:color="auto"/>
        <w:right w:val="none" w:sz="0" w:space="0" w:color="auto"/>
      </w:divBdr>
    </w:div>
    <w:div w:id="1540162894">
      <w:bodyDiv w:val="1"/>
      <w:marLeft w:val="0"/>
      <w:marRight w:val="0"/>
      <w:marTop w:val="0"/>
      <w:marBottom w:val="0"/>
      <w:divBdr>
        <w:top w:val="none" w:sz="0" w:space="0" w:color="auto"/>
        <w:left w:val="none" w:sz="0" w:space="0" w:color="auto"/>
        <w:bottom w:val="none" w:sz="0" w:space="0" w:color="auto"/>
        <w:right w:val="none" w:sz="0" w:space="0" w:color="auto"/>
      </w:divBdr>
    </w:div>
    <w:div w:id="1540512747">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0820840">
      <w:bodyDiv w:val="1"/>
      <w:marLeft w:val="0"/>
      <w:marRight w:val="0"/>
      <w:marTop w:val="0"/>
      <w:marBottom w:val="0"/>
      <w:divBdr>
        <w:top w:val="none" w:sz="0" w:space="0" w:color="auto"/>
        <w:left w:val="none" w:sz="0" w:space="0" w:color="auto"/>
        <w:bottom w:val="none" w:sz="0" w:space="0" w:color="auto"/>
        <w:right w:val="none" w:sz="0" w:space="0" w:color="auto"/>
      </w:divBdr>
    </w:div>
    <w:div w:id="1541699094">
      <w:bodyDiv w:val="1"/>
      <w:marLeft w:val="0"/>
      <w:marRight w:val="0"/>
      <w:marTop w:val="0"/>
      <w:marBottom w:val="0"/>
      <w:divBdr>
        <w:top w:val="none" w:sz="0" w:space="0" w:color="auto"/>
        <w:left w:val="none" w:sz="0" w:space="0" w:color="auto"/>
        <w:bottom w:val="none" w:sz="0" w:space="0" w:color="auto"/>
        <w:right w:val="none" w:sz="0" w:space="0" w:color="auto"/>
      </w:divBdr>
    </w:div>
    <w:div w:id="1541700603">
      <w:bodyDiv w:val="1"/>
      <w:marLeft w:val="0"/>
      <w:marRight w:val="0"/>
      <w:marTop w:val="0"/>
      <w:marBottom w:val="0"/>
      <w:divBdr>
        <w:top w:val="none" w:sz="0" w:space="0" w:color="auto"/>
        <w:left w:val="none" w:sz="0" w:space="0" w:color="auto"/>
        <w:bottom w:val="none" w:sz="0" w:space="0" w:color="auto"/>
        <w:right w:val="none" w:sz="0" w:space="0" w:color="auto"/>
      </w:divBdr>
    </w:div>
    <w:div w:id="1542009878">
      <w:bodyDiv w:val="1"/>
      <w:marLeft w:val="0"/>
      <w:marRight w:val="0"/>
      <w:marTop w:val="0"/>
      <w:marBottom w:val="0"/>
      <w:divBdr>
        <w:top w:val="none" w:sz="0" w:space="0" w:color="auto"/>
        <w:left w:val="none" w:sz="0" w:space="0" w:color="auto"/>
        <w:bottom w:val="none" w:sz="0" w:space="0" w:color="auto"/>
        <w:right w:val="none" w:sz="0" w:space="0" w:color="auto"/>
      </w:divBdr>
    </w:div>
    <w:div w:id="1542130801">
      <w:bodyDiv w:val="1"/>
      <w:marLeft w:val="0"/>
      <w:marRight w:val="0"/>
      <w:marTop w:val="0"/>
      <w:marBottom w:val="0"/>
      <w:divBdr>
        <w:top w:val="none" w:sz="0" w:space="0" w:color="auto"/>
        <w:left w:val="none" w:sz="0" w:space="0" w:color="auto"/>
        <w:bottom w:val="none" w:sz="0" w:space="0" w:color="auto"/>
        <w:right w:val="none" w:sz="0" w:space="0" w:color="auto"/>
      </w:divBdr>
    </w:div>
    <w:div w:id="1542135916">
      <w:bodyDiv w:val="1"/>
      <w:marLeft w:val="0"/>
      <w:marRight w:val="0"/>
      <w:marTop w:val="0"/>
      <w:marBottom w:val="0"/>
      <w:divBdr>
        <w:top w:val="none" w:sz="0" w:space="0" w:color="auto"/>
        <w:left w:val="none" w:sz="0" w:space="0" w:color="auto"/>
        <w:bottom w:val="none" w:sz="0" w:space="0" w:color="auto"/>
        <w:right w:val="none" w:sz="0" w:space="0" w:color="auto"/>
      </w:divBdr>
    </w:div>
    <w:div w:id="1542471318">
      <w:bodyDiv w:val="1"/>
      <w:marLeft w:val="0"/>
      <w:marRight w:val="0"/>
      <w:marTop w:val="0"/>
      <w:marBottom w:val="0"/>
      <w:divBdr>
        <w:top w:val="none" w:sz="0" w:space="0" w:color="auto"/>
        <w:left w:val="none" w:sz="0" w:space="0" w:color="auto"/>
        <w:bottom w:val="none" w:sz="0" w:space="0" w:color="auto"/>
        <w:right w:val="none" w:sz="0" w:space="0" w:color="auto"/>
      </w:divBdr>
    </w:div>
    <w:div w:id="1542791613">
      <w:bodyDiv w:val="1"/>
      <w:marLeft w:val="0"/>
      <w:marRight w:val="0"/>
      <w:marTop w:val="0"/>
      <w:marBottom w:val="0"/>
      <w:divBdr>
        <w:top w:val="none" w:sz="0" w:space="0" w:color="auto"/>
        <w:left w:val="none" w:sz="0" w:space="0" w:color="auto"/>
        <w:bottom w:val="none" w:sz="0" w:space="0" w:color="auto"/>
        <w:right w:val="none" w:sz="0" w:space="0" w:color="auto"/>
      </w:divBdr>
    </w:div>
    <w:div w:id="1542859035">
      <w:bodyDiv w:val="1"/>
      <w:marLeft w:val="0"/>
      <w:marRight w:val="0"/>
      <w:marTop w:val="0"/>
      <w:marBottom w:val="0"/>
      <w:divBdr>
        <w:top w:val="none" w:sz="0" w:space="0" w:color="auto"/>
        <w:left w:val="none" w:sz="0" w:space="0" w:color="auto"/>
        <w:bottom w:val="none" w:sz="0" w:space="0" w:color="auto"/>
        <w:right w:val="none" w:sz="0" w:space="0" w:color="auto"/>
      </w:divBdr>
    </w:div>
    <w:div w:id="1542981718">
      <w:bodyDiv w:val="1"/>
      <w:marLeft w:val="0"/>
      <w:marRight w:val="0"/>
      <w:marTop w:val="0"/>
      <w:marBottom w:val="0"/>
      <w:divBdr>
        <w:top w:val="none" w:sz="0" w:space="0" w:color="auto"/>
        <w:left w:val="none" w:sz="0" w:space="0" w:color="auto"/>
        <w:bottom w:val="none" w:sz="0" w:space="0" w:color="auto"/>
        <w:right w:val="none" w:sz="0" w:space="0" w:color="auto"/>
      </w:divBdr>
    </w:div>
    <w:div w:id="1542983408">
      <w:bodyDiv w:val="1"/>
      <w:marLeft w:val="0"/>
      <w:marRight w:val="0"/>
      <w:marTop w:val="0"/>
      <w:marBottom w:val="0"/>
      <w:divBdr>
        <w:top w:val="none" w:sz="0" w:space="0" w:color="auto"/>
        <w:left w:val="none" w:sz="0" w:space="0" w:color="auto"/>
        <w:bottom w:val="none" w:sz="0" w:space="0" w:color="auto"/>
        <w:right w:val="none" w:sz="0" w:space="0" w:color="auto"/>
      </w:divBdr>
    </w:div>
    <w:div w:id="1543010073">
      <w:bodyDiv w:val="1"/>
      <w:marLeft w:val="0"/>
      <w:marRight w:val="0"/>
      <w:marTop w:val="0"/>
      <w:marBottom w:val="0"/>
      <w:divBdr>
        <w:top w:val="none" w:sz="0" w:space="0" w:color="auto"/>
        <w:left w:val="none" w:sz="0" w:space="0" w:color="auto"/>
        <w:bottom w:val="none" w:sz="0" w:space="0" w:color="auto"/>
        <w:right w:val="none" w:sz="0" w:space="0" w:color="auto"/>
      </w:divBdr>
    </w:div>
    <w:div w:id="1543588939">
      <w:bodyDiv w:val="1"/>
      <w:marLeft w:val="0"/>
      <w:marRight w:val="0"/>
      <w:marTop w:val="0"/>
      <w:marBottom w:val="0"/>
      <w:divBdr>
        <w:top w:val="none" w:sz="0" w:space="0" w:color="auto"/>
        <w:left w:val="none" w:sz="0" w:space="0" w:color="auto"/>
        <w:bottom w:val="none" w:sz="0" w:space="0" w:color="auto"/>
        <w:right w:val="none" w:sz="0" w:space="0" w:color="auto"/>
      </w:divBdr>
    </w:div>
    <w:div w:id="1543784038">
      <w:bodyDiv w:val="1"/>
      <w:marLeft w:val="0"/>
      <w:marRight w:val="0"/>
      <w:marTop w:val="0"/>
      <w:marBottom w:val="0"/>
      <w:divBdr>
        <w:top w:val="none" w:sz="0" w:space="0" w:color="auto"/>
        <w:left w:val="none" w:sz="0" w:space="0" w:color="auto"/>
        <w:bottom w:val="none" w:sz="0" w:space="0" w:color="auto"/>
        <w:right w:val="none" w:sz="0" w:space="0" w:color="auto"/>
      </w:divBdr>
    </w:div>
    <w:div w:id="1544638682">
      <w:bodyDiv w:val="1"/>
      <w:marLeft w:val="0"/>
      <w:marRight w:val="0"/>
      <w:marTop w:val="0"/>
      <w:marBottom w:val="0"/>
      <w:divBdr>
        <w:top w:val="none" w:sz="0" w:space="0" w:color="auto"/>
        <w:left w:val="none" w:sz="0" w:space="0" w:color="auto"/>
        <w:bottom w:val="none" w:sz="0" w:space="0" w:color="auto"/>
        <w:right w:val="none" w:sz="0" w:space="0" w:color="auto"/>
      </w:divBdr>
    </w:div>
    <w:div w:id="1544902503">
      <w:bodyDiv w:val="1"/>
      <w:marLeft w:val="0"/>
      <w:marRight w:val="0"/>
      <w:marTop w:val="0"/>
      <w:marBottom w:val="0"/>
      <w:divBdr>
        <w:top w:val="none" w:sz="0" w:space="0" w:color="auto"/>
        <w:left w:val="none" w:sz="0" w:space="0" w:color="auto"/>
        <w:bottom w:val="none" w:sz="0" w:space="0" w:color="auto"/>
        <w:right w:val="none" w:sz="0" w:space="0" w:color="auto"/>
      </w:divBdr>
    </w:div>
    <w:div w:id="1544950252">
      <w:bodyDiv w:val="1"/>
      <w:marLeft w:val="0"/>
      <w:marRight w:val="0"/>
      <w:marTop w:val="0"/>
      <w:marBottom w:val="0"/>
      <w:divBdr>
        <w:top w:val="none" w:sz="0" w:space="0" w:color="auto"/>
        <w:left w:val="none" w:sz="0" w:space="0" w:color="auto"/>
        <w:bottom w:val="none" w:sz="0" w:space="0" w:color="auto"/>
        <w:right w:val="none" w:sz="0" w:space="0" w:color="auto"/>
      </w:divBdr>
    </w:div>
    <w:div w:id="1545092407">
      <w:bodyDiv w:val="1"/>
      <w:marLeft w:val="0"/>
      <w:marRight w:val="0"/>
      <w:marTop w:val="0"/>
      <w:marBottom w:val="0"/>
      <w:divBdr>
        <w:top w:val="none" w:sz="0" w:space="0" w:color="auto"/>
        <w:left w:val="none" w:sz="0" w:space="0" w:color="auto"/>
        <w:bottom w:val="none" w:sz="0" w:space="0" w:color="auto"/>
        <w:right w:val="none" w:sz="0" w:space="0" w:color="auto"/>
      </w:divBdr>
    </w:div>
    <w:div w:id="1545287049">
      <w:bodyDiv w:val="1"/>
      <w:marLeft w:val="0"/>
      <w:marRight w:val="0"/>
      <w:marTop w:val="0"/>
      <w:marBottom w:val="0"/>
      <w:divBdr>
        <w:top w:val="none" w:sz="0" w:space="0" w:color="auto"/>
        <w:left w:val="none" w:sz="0" w:space="0" w:color="auto"/>
        <w:bottom w:val="none" w:sz="0" w:space="0" w:color="auto"/>
        <w:right w:val="none" w:sz="0" w:space="0" w:color="auto"/>
      </w:divBdr>
    </w:div>
    <w:div w:id="1545409284">
      <w:bodyDiv w:val="1"/>
      <w:marLeft w:val="0"/>
      <w:marRight w:val="0"/>
      <w:marTop w:val="0"/>
      <w:marBottom w:val="0"/>
      <w:divBdr>
        <w:top w:val="none" w:sz="0" w:space="0" w:color="auto"/>
        <w:left w:val="none" w:sz="0" w:space="0" w:color="auto"/>
        <w:bottom w:val="none" w:sz="0" w:space="0" w:color="auto"/>
        <w:right w:val="none" w:sz="0" w:space="0" w:color="auto"/>
      </w:divBdr>
    </w:div>
    <w:div w:id="1546209381">
      <w:bodyDiv w:val="1"/>
      <w:marLeft w:val="0"/>
      <w:marRight w:val="0"/>
      <w:marTop w:val="0"/>
      <w:marBottom w:val="0"/>
      <w:divBdr>
        <w:top w:val="none" w:sz="0" w:space="0" w:color="auto"/>
        <w:left w:val="none" w:sz="0" w:space="0" w:color="auto"/>
        <w:bottom w:val="none" w:sz="0" w:space="0" w:color="auto"/>
        <w:right w:val="none" w:sz="0" w:space="0" w:color="auto"/>
      </w:divBdr>
    </w:div>
    <w:div w:id="1546215495">
      <w:bodyDiv w:val="1"/>
      <w:marLeft w:val="0"/>
      <w:marRight w:val="0"/>
      <w:marTop w:val="0"/>
      <w:marBottom w:val="0"/>
      <w:divBdr>
        <w:top w:val="none" w:sz="0" w:space="0" w:color="auto"/>
        <w:left w:val="none" w:sz="0" w:space="0" w:color="auto"/>
        <w:bottom w:val="none" w:sz="0" w:space="0" w:color="auto"/>
        <w:right w:val="none" w:sz="0" w:space="0" w:color="auto"/>
      </w:divBdr>
    </w:div>
    <w:div w:id="1546407073">
      <w:bodyDiv w:val="1"/>
      <w:marLeft w:val="0"/>
      <w:marRight w:val="0"/>
      <w:marTop w:val="0"/>
      <w:marBottom w:val="0"/>
      <w:divBdr>
        <w:top w:val="none" w:sz="0" w:space="0" w:color="auto"/>
        <w:left w:val="none" w:sz="0" w:space="0" w:color="auto"/>
        <w:bottom w:val="none" w:sz="0" w:space="0" w:color="auto"/>
        <w:right w:val="none" w:sz="0" w:space="0" w:color="auto"/>
      </w:divBdr>
    </w:div>
    <w:div w:id="1547178144">
      <w:bodyDiv w:val="1"/>
      <w:marLeft w:val="0"/>
      <w:marRight w:val="0"/>
      <w:marTop w:val="0"/>
      <w:marBottom w:val="0"/>
      <w:divBdr>
        <w:top w:val="none" w:sz="0" w:space="0" w:color="auto"/>
        <w:left w:val="none" w:sz="0" w:space="0" w:color="auto"/>
        <w:bottom w:val="none" w:sz="0" w:space="0" w:color="auto"/>
        <w:right w:val="none" w:sz="0" w:space="0" w:color="auto"/>
      </w:divBdr>
    </w:div>
    <w:div w:id="1547185018">
      <w:bodyDiv w:val="1"/>
      <w:marLeft w:val="0"/>
      <w:marRight w:val="0"/>
      <w:marTop w:val="0"/>
      <w:marBottom w:val="0"/>
      <w:divBdr>
        <w:top w:val="none" w:sz="0" w:space="0" w:color="auto"/>
        <w:left w:val="none" w:sz="0" w:space="0" w:color="auto"/>
        <w:bottom w:val="none" w:sz="0" w:space="0" w:color="auto"/>
        <w:right w:val="none" w:sz="0" w:space="0" w:color="auto"/>
      </w:divBdr>
    </w:div>
    <w:div w:id="1547251061">
      <w:bodyDiv w:val="1"/>
      <w:marLeft w:val="0"/>
      <w:marRight w:val="0"/>
      <w:marTop w:val="0"/>
      <w:marBottom w:val="0"/>
      <w:divBdr>
        <w:top w:val="none" w:sz="0" w:space="0" w:color="auto"/>
        <w:left w:val="none" w:sz="0" w:space="0" w:color="auto"/>
        <w:bottom w:val="none" w:sz="0" w:space="0" w:color="auto"/>
        <w:right w:val="none" w:sz="0" w:space="0" w:color="auto"/>
      </w:divBdr>
    </w:div>
    <w:div w:id="1547451536">
      <w:bodyDiv w:val="1"/>
      <w:marLeft w:val="0"/>
      <w:marRight w:val="0"/>
      <w:marTop w:val="0"/>
      <w:marBottom w:val="0"/>
      <w:divBdr>
        <w:top w:val="none" w:sz="0" w:space="0" w:color="auto"/>
        <w:left w:val="none" w:sz="0" w:space="0" w:color="auto"/>
        <w:bottom w:val="none" w:sz="0" w:space="0" w:color="auto"/>
        <w:right w:val="none" w:sz="0" w:space="0" w:color="auto"/>
      </w:divBdr>
    </w:div>
    <w:div w:id="1547720208">
      <w:bodyDiv w:val="1"/>
      <w:marLeft w:val="0"/>
      <w:marRight w:val="0"/>
      <w:marTop w:val="0"/>
      <w:marBottom w:val="0"/>
      <w:divBdr>
        <w:top w:val="none" w:sz="0" w:space="0" w:color="auto"/>
        <w:left w:val="none" w:sz="0" w:space="0" w:color="auto"/>
        <w:bottom w:val="none" w:sz="0" w:space="0" w:color="auto"/>
        <w:right w:val="none" w:sz="0" w:space="0" w:color="auto"/>
      </w:divBdr>
    </w:div>
    <w:div w:id="1548102145">
      <w:bodyDiv w:val="1"/>
      <w:marLeft w:val="0"/>
      <w:marRight w:val="0"/>
      <w:marTop w:val="0"/>
      <w:marBottom w:val="0"/>
      <w:divBdr>
        <w:top w:val="none" w:sz="0" w:space="0" w:color="auto"/>
        <w:left w:val="none" w:sz="0" w:space="0" w:color="auto"/>
        <w:bottom w:val="none" w:sz="0" w:space="0" w:color="auto"/>
        <w:right w:val="none" w:sz="0" w:space="0" w:color="auto"/>
      </w:divBdr>
    </w:div>
    <w:div w:id="1548181138">
      <w:bodyDiv w:val="1"/>
      <w:marLeft w:val="0"/>
      <w:marRight w:val="0"/>
      <w:marTop w:val="0"/>
      <w:marBottom w:val="0"/>
      <w:divBdr>
        <w:top w:val="none" w:sz="0" w:space="0" w:color="auto"/>
        <w:left w:val="none" w:sz="0" w:space="0" w:color="auto"/>
        <w:bottom w:val="none" w:sz="0" w:space="0" w:color="auto"/>
        <w:right w:val="none" w:sz="0" w:space="0" w:color="auto"/>
      </w:divBdr>
    </w:div>
    <w:div w:id="1548295103">
      <w:bodyDiv w:val="1"/>
      <w:marLeft w:val="0"/>
      <w:marRight w:val="0"/>
      <w:marTop w:val="0"/>
      <w:marBottom w:val="0"/>
      <w:divBdr>
        <w:top w:val="none" w:sz="0" w:space="0" w:color="auto"/>
        <w:left w:val="none" w:sz="0" w:space="0" w:color="auto"/>
        <w:bottom w:val="none" w:sz="0" w:space="0" w:color="auto"/>
        <w:right w:val="none" w:sz="0" w:space="0" w:color="auto"/>
      </w:divBdr>
    </w:div>
    <w:div w:id="1548370430">
      <w:bodyDiv w:val="1"/>
      <w:marLeft w:val="0"/>
      <w:marRight w:val="0"/>
      <w:marTop w:val="0"/>
      <w:marBottom w:val="0"/>
      <w:divBdr>
        <w:top w:val="none" w:sz="0" w:space="0" w:color="auto"/>
        <w:left w:val="none" w:sz="0" w:space="0" w:color="auto"/>
        <w:bottom w:val="none" w:sz="0" w:space="0" w:color="auto"/>
        <w:right w:val="none" w:sz="0" w:space="0" w:color="auto"/>
      </w:divBdr>
    </w:div>
    <w:div w:id="1548420123">
      <w:bodyDiv w:val="1"/>
      <w:marLeft w:val="0"/>
      <w:marRight w:val="0"/>
      <w:marTop w:val="0"/>
      <w:marBottom w:val="0"/>
      <w:divBdr>
        <w:top w:val="none" w:sz="0" w:space="0" w:color="auto"/>
        <w:left w:val="none" w:sz="0" w:space="0" w:color="auto"/>
        <w:bottom w:val="none" w:sz="0" w:space="0" w:color="auto"/>
        <w:right w:val="none" w:sz="0" w:space="0" w:color="auto"/>
      </w:divBdr>
    </w:div>
    <w:div w:id="1548494425">
      <w:bodyDiv w:val="1"/>
      <w:marLeft w:val="0"/>
      <w:marRight w:val="0"/>
      <w:marTop w:val="0"/>
      <w:marBottom w:val="0"/>
      <w:divBdr>
        <w:top w:val="none" w:sz="0" w:space="0" w:color="auto"/>
        <w:left w:val="none" w:sz="0" w:space="0" w:color="auto"/>
        <w:bottom w:val="none" w:sz="0" w:space="0" w:color="auto"/>
        <w:right w:val="none" w:sz="0" w:space="0" w:color="auto"/>
      </w:divBdr>
    </w:div>
    <w:div w:id="1548562512">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48880100">
      <w:bodyDiv w:val="1"/>
      <w:marLeft w:val="0"/>
      <w:marRight w:val="0"/>
      <w:marTop w:val="0"/>
      <w:marBottom w:val="0"/>
      <w:divBdr>
        <w:top w:val="none" w:sz="0" w:space="0" w:color="auto"/>
        <w:left w:val="none" w:sz="0" w:space="0" w:color="auto"/>
        <w:bottom w:val="none" w:sz="0" w:space="0" w:color="auto"/>
        <w:right w:val="none" w:sz="0" w:space="0" w:color="auto"/>
      </w:divBdr>
    </w:div>
    <w:div w:id="1549224465">
      <w:bodyDiv w:val="1"/>
      <w:marLeft w:val="0"/>
      <w:marRight w:val="0"/>
      <w:marTop w:val="0"/>
      <w:marBottom w:val="0"/>
      <w:divBdr>
        <w:top w:val="none" w:sz="0" w:space="0" w:color="auto"/>
        <w:left w:val="none" w:sz="0" w:space="0" w:color="auto"/>
        <w:bottom w:val="none" w:sz="0" w:space="0" w:color="auto"/>
        <w:right w:val="none" w:sz="0" w:space="0" w:color="auto"/>
      </w:divBdr>
    </w:div>
    <w:div w:id="1549295292">
      <w:bodyDiv w:val="1"/>
      <w:marLeft w:val="0"/>
      <w:marRight w:val="0"/>
      <w:marTop w:val="0"/>
      <w:marBottom w:val="0"/>
      <w:divBdr>
        <w:top w:val="none" w:sz="0" w:space="0" w:color="auto"/>
        <w:left w:val="none" w:sz="0" w:space="0" w:color="auto"/>
        <w:bottom w:val="none" w:sz="0" w:space="0" w:color="auto"/>
        <w:right w:val="none" w:sz="0" w:space="0" w:color="auto"/>
      </w:divBdr>
    </w:div>
    <w:div w:id="1549367615">
      <w:bodyDiv w:val="1"/>
      <w:marLeft w:val="0"/>
      <w:marRight w:val="0"/>
      <w:marTop w:val="0"/>
      <w:marBottom w:val="0"/>
      <w:divBdr>
        <w:top w:val="none" w:sz="0" w:space="0" w:color="auto"/>
        <w:left w:val="none" w:sz="0" w:space="0" w:color="auto"/>
        <w:bottom w:val="none" w:sz="0" w:space="0" w:color="auto"/>
        <w:right w:val="none" w:sz="0" w:space="0" w:color="auto"/>
      </w:divBdr>
    </w:div>
    <w:div w:id="1550024419">
      <w:bodyDiv w:val="1"/>
      <w:marLeft w:val="0"/>
      <w:marRight w:val="0"/>
      <w:marTop w:val="0"/>
      <w:marBottom w:val="0"/>
      <w:divBdr>
        <w:top w:val="none" w:sz="0" w:space="0" w:color="auto"/>
        <w:left w:val="none" w:sz="0" w:space="0" w:color="auto"/>
        <w:bottom w:val="none" w:sz="0" w:space="0" w:color="auto"/>
        <w:right w:val="none" w:sz="0" w:space="0" w:color="auto"/>
      </w:divBdr>
    </w:div>
    <w:div w:id="1550219680">
      <w:bodyDiv w:val="1"/>
      <w:marLeft w:val="0"/>
      <w:marRight w:val="0"/>
      <w:marTop w:val="0"/>
      <w:marBottom w:val="0"/>
      <w:divBdr>
        <w:top w:val="none" w:sz="0" w:space="0" w:color="auto"/>
        <w:left w:val="none" w:sz="0" w:space="0" w:color="auto"/>
        <w:bottom w:val="none" w:sz="0" w:space="0" w:color="auto"/>
        <w:right w:val="none" w:sz="0" w:space="0" w:color="auto"/>
      </w:divBdr>
    </w:div>
    <w:div w:id="1550726235">
      <w:bodyDiv w:val="1"/>
      <w:marLeft w:val="0"/>
      <w:marRight w:val="0"/>
      <w:marTop w:val="0"/>
      <w:marBottom w:val="0"/>
      <w:divBdr>
        <w:top w:val="none" w:sz="0" w:space="0" w:color="auto"/>
        <w:left w:val="none" w:sz="0" w:space="0" w:color="auto"/>
        <w:bottom w:val="none" w:sz="0" w:space="0" w:color="auto"/>
        <w:right w:val="none" w:sz="0" w:space="0" w:color="auto"/>
      </w:divBdr>
    </w:div>
    <w:div w:id="1550995520">
      <w:bodyDiv w:val="1"/>
      <w:marLeft w:val="0"/>
      <w:marRight w:val="0"/>
      <w:marTop w:val="0"/>
      <w:marBottom w:val="0"/>
      <w:divBdr>
        <w:top w:val="none" w:sz="0" w:space="0" w:color="auto"/>
        <w:left w:val="none" w:sz="0" w:space="0" w:color="auto"/>
        <w:bottom w:val="none" w:sz="0" w:space="0" w:color="auto"/>
        <w:right w:val="none" w:sz="0" w:space="0" w:color="auto"/>
      </w:divBdr>
    </w:div>
    <w:div w:id="1551070928">
      <w:bodyDiv w:val="1"/>
      <w:marLeft w:val="0"/>
      <w:marRight w:val="0"/>
      <w:marTop w:val="0"/>
      <w:marBottom w:val="0"/>
      <w:divBdr>
        <w:top w:val="none" w:sz="0" w:space="0" w:color="auto"/>
        <w:left w:val="none" w:sz="0" w:space="0" w:color="auto"/>
        <w:bottom w:val="none" w:sz="0" w:space="0" w:color="auto"/>
        <w:right w:val="none" w:sz="0" w:space="0" w:color="auto"/>
      </w:divBdr>
    </w:div>
    <w:div w:id="1551264929">
      <w:bodyDiv w:val="1"/>
      <w:marLeft w:val="0"/>
      <w:marRight w:val="0"/>
      <w:marTop w:val="0"/>
      <w:marBottom w:val="0"/>
      <w:divBdr>
        <w:top w:val="none" w:sz="0" w:space="0" w:color="auto"/>
        <w:left w:val="none" w:sz="0" w:space="0" w:color="auto"/>
        <w:bottom w:val="none" w:sz="0" w:space="0" w:color="auto"/>
        <w:right w:val="none" w:sz="0" w:space="0" w:color="auto"/>
      </w:divBdr>
    </w:div>
    <w:div w:id="1551645219">
      <w:bodyDiv w:val="1"/>
      <w:marLeft w:val="0"/>
      <w:marRight w:val="0"/>
      <w:marTop w:val="0"/>
      <w:marBottom w:val="0"/>
      <w:divBdr>
        <w:top w:val="none" w:sz="0" w:space="0" w:color="auto"/>
        <w:left w:val="none" w:sz="0" w:space="0" w:color="auto"/>
        <w:bottom w:val="none" w:sz="0" w:space="0" w:color="auto"/>
        <w:right w:val="none" w:sz="0" w:space="0" w:color="auto"/>
      </w:divBdr>
    </w:div>
    <w:div w:id="1551958985">
      <w:bodyDiv w:val="1"/>
      <w:marLeft w:val="0"/>
      <w:marRight w:val="0"/>
      <w:marTop w:val="0"/>
      <w:marBottom w:val="0"/>
      <w:divBdr>
        <w:top w:val="none" w:sz="0" w:space="0" w:color="auto"/>
        <w:left w:val="none" w:sz="0" w:space="0" w:color="auto"/>
        <w:bottom w:val="none" w:sz="0" w:space="0" w:color="auto"/>
        <w:right w:val="none" w:sz="0" w:space="0" w:color="auto"/>
      </w:divBdr>
    </w:div>
    <w:div w:id="1552158399">
      <w:bodyDiv w:val="1"/>
      <w:marLeft w:val="0"/>
      <w:marRight w:val="0"/>
      <w:marTop w:val="0"/>
      <w:marBottom w:val="0"/>
      <w:divBdr>
        <w:top w:val="none" w:sz="0" w:space="0" w:color="auto"/>
        <w:left w:val="none" w:sz="0" w:space="0" w:color="auto"/>
        <w:bottom w:val="none" w:sz="0" w:space="0" w:color="auto"/>
        <w:right w:val="none" w:sz="0" w:space="0" w:color="auto"/>
      </w:divBdr>
    </w:div>
    <w:div w:id="1552232617">
      <w:bodyDiv w:val="1"/>
      <w:marLeft w:val="0"/>
      <w:marRight w:val="0"/>
      <w:marTop w:val="0"/>
      <w:marBottom w:val="0"/>
      <w:divBdr>
        <w:top w:val="none" w:sz="0" w:space="0" w:color="auto"/>
        <w:left w:val="none" w:sz="0" w:space="0" w:color="auto"/>
        <w:bottom w:val="none" w:sz="0" w:space="0" w:color="auto"/>
        <w:right w:val="none" w:sz="0" w:space="0" w:color="auto"/>
      </w:divBdr>
    </w:div>
    <w:div w:id="1552616287">
      <w:bodyDiv w:val="1"/>
      <w:marLeft w:val="0"/>
      <w:marRight w:val="0"/>
      <w:marTop w:val="0"/>
      <w:marBottom w:val="0"/>
      <w:divBdr>
        <w:top w:val="none" w:sz="0" w:space="0" w:color="auto"/>
        <w:left w:val="none" w:sz="0" w:space="0" w:color="auto"/>
        <w:bottom w:val="none" w:sz="0" w:space="0" w:color="auto"/>
        <w:right w:val="none" w:sz="0" w:space="0" w:color="auto"/>
      </w:divBdr>
    </w:div>
    <w:div w:id="1552616364">
      <w:bodyDiv w:val="1"/>
      <w:marLeft w:val="0"/>
      <w:marRight w:val="0"/>
      <w:marTop w:val="0"/>
      <w:marBottom w:val="0"/>
      <w:divBdr>
        <w:top w:val="none" w:sz="0" w:space="0" w:color="auto"/>
        <w:left w:val="none" w:sz="0" w:space="0" w:color="auto"/>
        <w:bottom w:val="none" w:sz="0" w:space="0" w:color="auto"/>
        <w:right w:val="none" w:sz="0" w:space="0" w:color="auto"/>
      </w:divBdr>
    </w:div>
    <w:div w:id="1553232845">
      <w:bodyDiv w:val="1"/>
      <w:marLeft w:val="0"/>
      <w:marRight w:val="0"/>
      <w:marTop w:val="0"/>
      <w:marBottom w:val="0"/>
      <w:divBdr>
        <w:top w:val="none" w:sz="0" w:space="0" w:color="auto"/>
        <w:left w:val="none" w:sz="0" w:space="0" w:color="auto"/>
        <w:bottom w:val="none" w:sz="0" w:space="0" w:color="auto"/>
        <w:right w:val="none" w:sz="0" w:space="0" w:color="auto"/>
      </w:divBdr>
    </w:div>
    <w:div w:id="1553426945">
      <w:bodyDiv w:val="1"/>
      <w:marLeft w:val="0"/>
      <w:marRight w:val="0"/>
      <w:marTop w:val="0"/>
      <w:marBottom w:val="0"/>
      <w:divBdr>
        <w:top w:val="none" w:sz="0" w:space="0" w:color="auto"/>
        <w:left w:val="none" w:sz="0" w:space="0" w:color="auto"/>
        <w:bottom w:val="none" w:sz="0" w:space="0" w:color="auto"/>
        <w:right w:val="none" w:sz="0" w:space="0" w:color="auto"/>
      </w:divBdr>
    </w:div>
    <w:div w:id="1553880679">
      <w:bodyDiv w:val="1"/>
      <w:marLeft w:val="0"/>
      <w:marRight w:val="0"/>
      <w:marTop w:val="0"/>
      <w:marBottom w:val="0"/>
      <w:divBdr>
        <w:top w:val="none" w:sz="0" w:space="0" w:color="auto"/>
        <w:left w:val="none" w:sz="0" w:space="0" w:color="auto"/>
        <w:bottom w:val="none" w:sz="0" w:space="0" w:color="auto"/>
        <w:right w:val="none" w:sz="0" w:space="0" w:color="auto"/>
      </w:divBdr>
    </w:div>
    <w:div w:id="1553928446">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4392703">
      <w:bodyDiv w:val="1"/>
      <w:marLeft w:val="0"/>
      <w:marRight w:val="0"/>
      <w:marTop w:val="0"/>
      <w:marBottom w:val="0"/>
      <w:divBdr>
        <w:top w:val="none" w:sz="0" w:space="0" w:color="auto"/>
        <w:left w:val="none" w:sz="0" w:space="0" w:color="auto"/>
        <w:bottom w:val="none" w:sz="0" w:space="0" w:color="auto"/>
        <w:right w:val="none" w:sz="0" w:space="0" w:color="auto"/>
      </w:divBdr>
    </w:div>
    <w:div w:id="1554465473">
      <w:bodyDiv w:val="1"/>
      <w:marLeft w:val="0"/>
      <w:marRight w:val="0"/>
      <w:marTop w:val="0"/>
      <w:marBottom w:val="0"/>
      <w:divBdr>
        <w:top w:val="none" w:sz="0" w:space="0" w:color="auto"/>
        <w:left w:val="none" w:sz="0" w:space="0" w:color="auto"/>
        <w:bottom w:val="none" w:sz="0" w:space="0" w:color="auto"/>
        <w:right w:val="none" w:sz="0" w:space="0" w:color="auto"/>
      </w:divBdr>
    </w:div>
    <w:div w:id="1554538338">
      <w:bodyDiv w:val="1"/>
      <w:marLeft w:val="0"/>
      <w:marRight w:val="0"/>
      <w:marTop w:val="0"/>
      <w:marBottom w:val="0"/>
      <w:divBdr>
        <w:top w:val="none" w:sz="0" w:space="0" w:color="auto"/>
        <w:left w:val="none" w:sz="0" w:space="0" w:color="auto"/>
        <w:bottom w:val="none" w:sz="0" w:space="0" w:color="auto"/>
        <w:right w:val="none" w:sz="0" w:space="0" w:color="auto"/>
      </w:divBdr>
    </w:div>
    <w:div w:id="1555383210">
      <w:bodyDiv w:val="1"/>
      <w:marLeft w:val="0"/>
      <w:marRight w:val="0"/>
      <w:marTop w:val="0"/>
      <w:marBottom w:val="0"/>
      <w:divBdr>
        <w:top w:val="none" w:sz="0" w:space="0" w:color="auto"/>
        <w:left w:val="none" w:sz="0" w:space="0" w:color="auto"/>
        <w:bottom w:val="none" w:sz="0" w:space="0" w:color="auto"/>
        <w:right w:val="none" w:sz="0" w:space="0" w:color="auto"/>
      </w:divBdr>
    </w:div>
    <w:div w:id="1555584243">
      <w:bodyDiv w:val="1"/>
      <w:marLeft w:val="0"/>
      <w:marRight w:val="0"/>
      <w:marTop w:val="0"/>
      <w:marBottom w:val="0"/>
      <w:divBdr>
        <w:top w:val="none" w:sz="0" w:space="0" w:color="auto"/>
        <w:left w:val="none" w:sz="0" w:space="0" w:color="auto"/>
        <w:bottom w:val="none" w:sz="0" w:space="0" w:color="auto"/>
        <w:right w:val="none" w:sz="0" w:space="0" w:color="auto"/>
      </w:divBdr>
    </w:div>
    <w:div w:id="1555853730">
      <w:bodyDiv w:val="1"/>
      <w:marLeft w:val="0"/>
      <w:marRight w:val="0"/>
      <w:marTop w:val="0"/>
      <w:marBottom w:val="0"/>
      <w:divBdr>
        <w:top w:val="none" w:sz="0" w:space="0" w:color="auto"/>
        <w:left w:val="none" w:sz="0" w:space="0" w:color="auto"/>
        <w:bottom w:val="none" w:sz="0" w:space="0" w:color="auto"/>
        <w:right w:val="none" w:sz="0" w:space="0" w:color="auto"/>
      </w:divBdr>
    </w:div>
    <w:div w:id="1557005150">
      <w:bodyDiv w:val="1"/>
      <w:marLeft w:val="0"/>
      <w:marRight w:val="0"/>
      <w:marTop w:val="0"/>
      <w:marBottom w:val="0"/>
      <w:divBdr>
        <w:top w:val="none" w:sz="0" w:space="0" w:color="auto"/>
        <w:left w:val="none" w:sz="0" w:space="0" w:color="auto"/>
        <w:bottom w:val="none" w:sz="0" w:space="0" w:color="auto"/>
        <w:right w:val="none" w:sz="0" w:space="0" w:color="auto"/>
      </w:divBdr>
    </w:div>
    <w:div w:id="1557743245">
      <w:bodyDiv w:val="1"/>
      <w:marLeft w:val="0"/>
      <w:marRight w:val="0"/>
      <w:marTop w:val="0"/>
      <w:marBottom w:val="0"/>
      <w:divBdr>
        <w:top w:val="none" w:sz="0" w:space="0" w:color="auto"/>
        <w:left w:val="none" w:sz="0" w:space="0" w:color="auto"/>
        <w:bottom w:val="none" w:sz="0" w:space="0" w:color="auto"/>
        <w:right w:val="none" w:sz="0" w:space="0" w:color="auto"/>
      </w:divBdr>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7856434">
      <w:bodyDiv w:val="1"/>
      <w:marLeft w:val="0"/>
      <w:marRight w:val="0"/>
      <w:marTop w:val="0"/>
      <w:marBottom w:val="0"/>
      <w:divBdr>
        <w:top w:val="none" w:sz="0" w:space="0" w:color="auto"/>
        <w:left w:val="none" w:sz="0" w:space="0" w:color="auto"/>
        <w:bottom w:val="none" w:sz="0" w:space="0" w:color="auto"/>
        <w:right w:val="none" w:sz="0" w:space="0" w:color="auto"/>
      </w:divBdr>
    </w:div>
    <w:div w:id="1557861799">
      <w:bodyDiv w:val="1"/>
      <w:marLeft w:val="0"/>
      <w:marRight w:val="0"/>
      <w:marTop w:val="0"/>
      <w:marBottom w:val="0"/>
      <w:divBdr>
        <w:top w:val="none" w:sz="0" w:space="0" w:color="auto"/>
        <w:left w:val="none" w:sz="0" w:space="0" w:color="auto"/>
        <w:bottom w:val="none" w:sz="0" w:space="0" w:color="auto"/>
        <w:right w:val="none" w:sz="0" w:space="0" w:color="auto"/>
      </w:divBdr>
    </w:div>
    <w:div w:id="1557934058">
      <w:bodyDiv w:val="1"/>
      <w:marLeft w:val="0"/>
      <w:marRight w:val="0"/>
      <w:marTop w:val="0"/>
      <w:marBottom w:val="0"/>
      <w:divBdr>
        <w:top w:val="none" w:sz="0" w:space="0" w:color="auto"/>
        <w:left w:val="none" w:sz="0" w:space="0" w:color="auto"/>
        <w:bottom w:val="none" w:sz="0" w:space="0" w:color="auto"/>
        <w:right w:val="none" w:sz="0" w:space="0" w:color="auto"/>
      </w:divBdr>
    </w:div>
    <w:div w:id="1558542257">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59973828">
      <w:bodyDiv w:val="1"/>
      <w:marLeft w:val="0"/>
      <w:marRight w:val="0"/>
      <w:marTop w:val="0"/>
      <w:marBottom w:val="0"/>
      <w:divBdr>
        <w:top w:val="none" w:sz="0" w:space="0" w:color="auto"/>
        <w:left w:val="none" w:sz="0" w:space="0" w:color="auto"/>
        <w:bottom w:val="none" w:sz="0" w:space="0" w:color="auto"/>
        <w:right w:val="none" w:sz="0" w:space="0" w:color="auto"/>
      </w:divBdr>
    </w:div>
    <w:div w:id="1559975439">
      <w:bodyDiv w:val="1"/>
      <w:marLeft w:val="0"/>
      <w:marRight w:val="0"/>
      <w:marTop w:val="0"/>
      <w:marBottom w:val="0"/>
      <w:divBdr>
        <w:top w:val="none" w:sz="0" w:space="0" w:color="auto"/>
        <w:left w:val="none" w:sz="0" w:space="0" w:color="auto"/>
        <w:bottom w:val="none" w:sz="0" w:space="0" w:color="auto"/>
        <w:right w:val="none" w:sz="0" w:space="0" w:color="auto"/>
      </w:divBdr>
    </w:div>
    <w:div w:id="1560095664">
      <w:bodyDiv w:val="1"/>
      <w:marLeft w:val="0"/>
      <w:marRight w:val="0"/>
      <w:marTop w:val="0"/>
      <w:marBottom w:val="0"/>
      <w:divBdr>
        <w:top w:val="none" w:sz="0" w:space="0" w:color="auto"/>
        <w:left w:val="none" w:sz="0" w:space="0" w:color="auto"/>
        <w:bottom w:val="none" w:sz="0" w:space="0" w:color="auto"/>
        <w:right w:val="none" w:sz="0" w:space="0" w:color="auto"/>
      </w:divBdr>
    </w:div>
    <w:div w:id="1560097156">
      <w:bodyDiv w:val="1"/>
      <w:marLeft w:val="0"/>
      <w:marRight w:val="0"/>
      <w:marTop w:val="0"/>
      <w:marBottom w:val="0"/>
      <w:divBdr>
        <w:top w:val="none" w:sz="0" w:space="0" w:color="auto"/>
        <w:left w:val="none" w:sz="0" w:space="0" w:color="auto"/>
        <w:bottom w:val="none" w:sz="0" w:space="0" w:color="auto"/>
        <w:right w:val="none" w:sz="0" w:space="0" w:color="auto"/>
      </w:divBdr>
    </w:div>
    <w:div w:id="1560239137">
      <w:bodyDiv w:val="1"/>
      <w:marLeft w:val="0"/>
      <w:marRight w:val="0"/>
      <w:marTop w:val="0"/>
      <w:marBottom w:val="0"/>
      <w:divBdr>
        <w:top w:val="none" w:sz="0" w:space="0" w:color="auto"/>
        <w:left w:val="none" w:sz="0" w:space="0" w:color="auto"/>
        <w:bottom w:val="none" w:sz="0" w:space="0" w:color="auto"/>
        <w:right w:val="none" w:sz="0" w:space="0" w:color="auto"/>
      </w:divBdr>
    </w:div>
    <w:div w:id="1560432174">
      <w:bodyDiv w:val="1"/>
      <w:marLeft w:val="0"/>
      <w:marRight w:val="0"/>
      <w:marTop w:val="0"/>
      <w:marBottom w:val="0"/>
      <w:divBdr>
        <w:top w:val="none" w:sz="0" w:space="0" w:color="auto"/>
        <w:left w:val="none" w:sz="0" w:space="0" w:color="auto"/>
        <w:bottom w:val="none" w:sz="0" w:space="0" w:color="auto"/>
        <w:right w:val="none" w:sz="0" w:space="0" w:color="auto"/>
      </w:divBdr>
    </w:div>
    <w:div w:id="1560438884">
      <w:bodyDiv w:val="1"/>
      <w:marLeft w:val="0"/>
      <w:marRight w:val="0"/>
      <w:marTop w:val="0"/>
      <w:marBottom w:val="0"/>
      <w:divBdr>
        <w:top w:val="none" w:sz="0" w:space="0" w:color="auto"/>
        <w:left w:val="none" w:sz="0" w:space="0" w:color="auto"/>
        <w:bottom w:val="none" w:sz="0" w:space="0" w:color="auto"/>
        <w:right w:val="none" w:sz="0" w:space="0" w:color="auto"/>
      </w:divBdr>
    </w:div>
    <w:div w:id="1560477856">
      <w:bodyDiv w:val="1"/>
      <w:marLeft w:val="0"/>
      <w:marRight w:val="0"/>
      <w:marTop w:val="0"/>
      <w:marBottom w:val="0"/>
      <w:divBdr>
        <w:top w:val="none" w:sz="0" w:space="0" w:color="auto"/>
        <w:left w:val="none" w:sz="0" w:space="0" w:color="auto"/>
        <w:bottom w:val="none" w:sz="0" w:space="0" w:color="auto"/>
        <w:right w:val="none" w:sz="0" w:space="0" w:color="auto"/>
      </w:divBdr>
    </w:div>
    <w:div w:id="1560747513">
      <w:bodyDiv w:val="1"/>
      <w:marLeft w:val="0"/>
      <w:marRight w:val="0"/>
      <w:marTop w:val="0"/>
      <w:marBottom w:val="0"/>
      <w:divBdr>
        <w:top w:val="none" w:sz="0" w:space="0" w:color="auto"/>
        <w:left w:val="none" w:sz="0" w:space="0" w:color="auto"/>
        <w:bottom w:val="none" w:sz="0" w:space="0" w:color="auto"/>
        <w:right w:val="none" w:sz="0" w:space="0" w:color="auto"/>
      </w:divBdr>
    </w:div>
    <w:div w:id="1561749907">
      <w:bodyDiv w:val="1"/>
      <w:marLeft w:val="0"/>
      <w:marRight w:val="0"/>
      <w:marTop w:val="0"/>
      <w:marBottom w:val="0"/>
      <w:divBdr>
        <w:top w:val="none" w:sz="0" w:space="0" w:color="auto"/>
        <w:left w:val="none" w:sz="0" w:space="0" w:color="auto"/>
        <w:bottom w:val="none" w:sz="0" w:space="0" w:color="auto"/>
        <w:right w:val="none" w:sz="0" w:space="0" w:color="auto"/>
      </w:divBdr>
    </w:div>
    <w:div w:id="1561945363">
      <w:bodyDiv w:val="1"/>
      <w:marLeft w:val="0"/>
      <w:marRight w:val="0"/>
      <w:marTop w:val="0"/>
      <w:marBottom w:val="0"/>
      <w:divBdr>
        <w:top w:val="none" w:sz="0" w:space="0" w:color="auto"/>
        <w:left w:val="none" w:sz="0" w:space="0" w:color="auto"/>
        <w:bottom w:val="none" w:sz="0" w:space="0" w:color="auto"/>
        <w:right w:val="none" w:sz="0" w:space="0" w:color="auto"/>
      </w:divBdr>
    </w:div>
    <w:div w:id="1562012828">
      <w:bodyDiv w:val="1"/>
      <w:marLeft w:val="0"/>
      <w:marRight w:val="0"/>
      <w:marTop w:val="0"/>
      <w:marBottom w:val="0"/>
      <w:divBdr>
        <w:top w:val="none" w:sz="0" w:space="0" w:color="auto"/>
        <w:left w:val="none" w:sz="0" w:space="0" w:color="auto"/>
        <w:bottom w:val="none" w:sz="0" w:space="0" w:color="auto"/>
        <w:right w:val="none" w:sz="0" w:space="0" w:color="auto"/>
      </w:divBdr>
    </w:div>
    <w:div w:id="1562591589">
      <w:bodyDiv w:val="1"/>
      <w:marLeft w:val="0"/>
      <w:marRight w:val="0"/>
      <w:marTop w:val="0"/>
      <w:marBottom w:val="0"/>
      <w:divBdr>
        <w:top w:val="none" w:sz="0" w:space="0" w:color="auto"/>
        <w:left w:val="none" w:sz="0" w:space="0" w:color="auto"/>
        <w:bottom w:val="none" w:sz="0" w:space="0" w:color="auto"/>
        <w:right w:val="none" w:sz="0" w:space="0" w:color="auto"/>
      </w:divBdr>
    </w:div>
    <w:div w:id="1562716872">
      <w:bodyDiv w:val="1"/>
      <w:marLeft w:val="0"/>
      <w:marRight w:val="0"/>
      <w:marTop w:val="0"/>
      <w:marBottom w:val="0"/>
      <w:divBdr>
        <w:top w:val="none" w:sz="0" w:space="0" w:color="auto"/>
        <w:left w:val="none" w:sz="0" w:space="0" w:color="auto"/>
        <w:bottom w:val="none" w:sz="0" w:space="0" w:color="auto"/>
        <w:right w:val="none" w:sz="0" w:space="0" w:color="auto"/>
      </w:divBdr>
    </w:div>
    <w:div w:id="1562793370">
      <w:bodyDiv w:val="1"/>
      <w:marLeft w:val="0"/>
      <w:marRight w:val="0"/>
      <w:marTop w:val="0"/>
      <w:marBottom w:val="0"/>
      <w:divBdr>
        <w:top w:val="none" w:sz="0" w:space="0" w:color="auto"/>
        <w:left w:val="none" w:sz="0" w:space="0" w:color="auto"/>
        <w:bottom w:val="none" w:sz="0" w:space="0" w:color="auto"/>
        <w:right w:val="none" w:sz="0" w:space="0" w:color="auto"/>
      </w:divBdr>
    </w:div>
    <w:div w:id="1563250582">
      <w:bodyDiv w:val="1"/>
      <w:marLeft w:val="0"/>
      <w:marRight w:val="0"/>
      <w:marTop w:val="0"/>
      <w:marBottom w:val="0"/>
      <w:divBdr>
        <w:top w:val="none" w:sz="0" w:space="0" w:color="auto"/>
        <w:left w:val="none" w:sz="0" w:space="0" w:color="auto"/>
        <w:bottom w:val="none" w:sz="0" w:space="0" w:color="auto"/>
        <w:right w:val="none" w:sz="0" w:space="0" w:color="auto"/>
      </w:divBdr>
    </w:div>
    <w:div w:id="1564215740">
      <w:bodyDiv w:val="1"/>
      <w:marLeft w:val="0"/>
      <w:marRight w:val="0"/>
      <w:marTop w:val="0"/>
      <w:marBottom w:val="0"/>
      <w:divBdr>
        <w:top w:val="none" w:sz="0" w:space="0" w:color="auto"/>
        <w:left w:val="none" w:sz="0" w:space="0" w:color="auto"/>
        <w:bottom w:val="none" w:sz="0" w:space="0" w:color="auto"/>
        <w:right w:val="none" w:sz="0" w:space="0" w:color="auto"/>
      </w:divBdr>
    </w:div>
    <w:div w:id="1564367052">
      <w:bodyDiv w:val="1"/>
      <w:marLeft w:val="0"/>
      <w:marRight w:val="0"/>
      <w:marTop w:val="0"/>
      <w:marBottom w:val="0"/>
      <w:divBdr>
        <w:top w:val="none" w:sz="0" w:space="0" w:color="auto"/>
        <w:left w:val="none" w:sz="0" w:space="0" w:color="auto"/>
        <w:bottom w:val="none" w:sz="0" w:space="0" w:color="auto"/>
        <w:right w:val="none" w:sz="0" w:space="0" w:color="auto"/>
      </w:divBdr>
    </w:div>
    <w:div w:id="1564683872">
      <w:bodyDiv w:val="1"/>
      <w:marLeft w:val="0"/>
      <w:marRight w:val="0"/>
      <w:marTop w:val="0"/>
      <w:marBottom w:val="0"/>
      <w:divBdr>
        <w:top w:val="none" w:sz="0" w:space="0" w:color="auto"/>
        <w:left w:val="none" w:sz="0" w:space="0" w:color="auto"/>
        <w:bottom w:val="none" w:sz="0" w:space="0" w:color="auto"/>
        <w:right w:val="none" w:sz="0" w:space="0" w:color="auto"/>
      </w:divBdr>
    </w:div>
    <w:div w:id="1564684274">
      <w:bodyDiv w:val="1"/>
      <w:marLeft w:val="0"/>
      <w:marRight w:val="0"/>
      <w:marTop w:val="0"/>
      <w:marBottom w:val="0"/>
      <w:divBdr>
        <w:top w:val="none" w:sz="0" w:space="0" w:color="auto"/>
        <w:left w:val="none" w:sz="0" w:space="0" w:color="auto"/>
        <w:bottom w:val="none" w:sz="0" w:space="0" w:color="auto"/>
        <w:right w:val="none" w:sz="0" w:space="0" w:color="auto"/>
      </w:divBdr>
    </w:div>
    <w:div w:id="1565800491">
      <w:bodyDiv w:val="1"/>
      <w:marLeft w:val="0"/>
      <w:marRight w:val="0"/>
      <w:marTop w:val="0"/>
      <w:marBottom w:val="0"/>
      <w:divBdr>
        <w:top w:val="none" w:sz="0" w:space="0" w:color="auto"/>
        <w:left w:val="none" w:sz="0" w:space="0" w:color="auto"/>
        <w:bottom w:val="none" w:sz="0" w:space="0" w:color="auto"/>
        <w:right w:val="none" w:sz="0" w:space="0" w:color="auto"/>
      </w:divBdr>
    </w:div>
    <w:div w:id="1566186349">
      <w:bodyDiv w:val="1"/>
      <w:marLeft w:val="0"/>
      <w:marRight w:val="0"/>
      <w:marTop w:val="0"/>
      <w:marBottom w:val="0"/>
      <w:divBdr>
        <w:top w:val="none" w:sz="0" w:space="0" w:color="auto"/>
        <w:left w:val="none" w:sz="0" w:space="0" w:color="auto"/>
        <w:bottom w:val="none" w:sz="0" w:space="0" w:color="auto"/>
        <w:right w:val="none" w:sz="0" w:space="0" w:color="auto"/>
      </w:divBdr>
    </w:div>
    <w:div w:id="1566523799">
      <w:bodyDiv w:val="1"/>
      <w:marLeft w:val="0"/>
      <w:marRight w:val="0"/>
      <w:marTop w:val="0"/>
      <w:marBottom w:val="0"/>
      <w:divBdr>
        <w:top w:val="none" w:sz="0" w:space="0" w:color="auto"/>
        <w:left w:val="none" w:sz="0" w:space="0" w:color="auto"/>
        <w:bottom w:val="none" w:sz="0" w:space="0" w:color="auto"/>
        <w:right w:val="none" w:sz="0" w:space="0" w:color="auto"/>
      </w:divBdr>
    </w:div>
    <w:div w:id="1568028742">
      <w:bodyDiv w:val="1"/>
      <w:marLeft w:val="0"/>
      <w:marRight w:val="0"/>
      <w:marTop w:val="0"/>
      <w:marBottom w:val="0"/>
      <w:divBdr>
        <w:top w:val="none" w:sz="0" w:space="0" w:color="auto"/>
        <w:left w:val="none" w:sz="0" w:space="0" w:color="auto"/>
        <w:bottom w:val="none" w:sz="0" w:space="0" w:color="auto"/>
        <w:right w:val="none" w:sz="0" w:space="0" w:color="auto"/>
      </w:divBdr>
    </w:div>
    <w:div w:id="1568146240">
      <w:bodyDiv w:val="1"/>
      <w:marLeft w:val="0"/>
      <w:marRight w:val="0"/>
      <w:marTop w:val="0"/>
      <w:marBottom w:val="0"/>
      <w:divBdr>
        <w:top w:val="none" w:sz="0" w:space="0" w:color="auto"/>
        <w:left w:val="none" w:sz="0" w:space="0" w:color="auto"/>
        <w:bottom w:val="none" w:sz="0" w:space="0" w:color="auto"/>
        <w:right w:val="none" w:sz="0" w:space="0" w:color="auto"/>
      </w:divBdr>
    </w:div>
    <w:div w:id="1568610309">
      <w:bodyDiv w:val="1"/>
      <w:marLeft w:val="0"/>
      <w:marRight w:val="0"/>
      <w:marTop w:val="0"/>
      <w:marBottom w:val="0"/>
      <w:divBdr>
        <w:top w:val="none" w:sz="0" w:space="0" w:color="auto"/>
        <w:left w:val="none" w:sz="0" w:space="0" w:color="auto"/>
        <w:bottom w:val="none" w:sz="0" w:space="0" w:color="auto"/>
        <w:right w:val="none" w:sz="0" w:space="0" w:color="auto"/>
      </w:divBdr>
    </w:div>
    <w:div w:id="1568687519">
      <w:bodyDiv w:val="1"/>
      <w:marLeft w:val="0"/>
      <w:marRight w:val="0"/>
      <w:marTop w:val="0"/>
      <w:marBottom w:val="0"/>
      <w:divBdr>
        <w:top w:val="none" w:sz="0" w:space="0" w:color="auto"/>
        <w:left w:val="none" w:sz="0" w:space="0" w:color="auto"/>
        <w:bottom w:val="none" w:sz="0" w:space="0" w:color="auto"/>
        <w:right w:val="none" w:sz="0" w:space="0" w:color="auto"/>
      </w:divBdr>
    </w:div>
    <w:div w:id="1568688252">
      <w:bodyDiv w:val="1"/>
      <w:marLeft w:val="0"/>
      <w:marRight w:val="0"/>
      <w:marTop w:val="0"/>
      <w:marBottom w:val="0"/>
      <w:divBdr>
        <w:top w:val="none" w:sz="0" w:space="0" w:color="auto"/>
        <w:left w:val="none" w:sz="0" w:space="0" w:color="auto"/>
        <w:bottom w:val="none" w:sz="0" w:space="0" w:color="auto"/>
        <w:right w:val="none" w:sz="0" w:space="0" w:color="auto"/>
      </w:divBdr>
    </w:div>
    <w:div w:id="1568691032">
      <w:bodyDiv w:val="1"/>
      <w:marLeft w:val="0"/>
      <w:marRight w:val="0"/>
      <w:marTop w:val="0"/>
      <w:marBottom w:val="0"/>
      <w:divBdr>
        <w:top w:val="none" w:sz="0" w:space="0" w:color="auto"/>
        <w:left w:val="none" w:sz="0" w:space="0" w:color="auto"/>
        <w:bottom w:val="none" w:sz="0" w:space="0" w:color="auto"/>
        <w:right w:val="none" w:sz="0" w:space="0" w:color="auto"/>
      </w:divBdr>
    </w:div>
    <w:div w:id="1569194466">
      <w:bodyDiv w:val="1"/>
      <w:marLeft w:val="0"/>
      <w:marRight w:val="0"/>
      <w:marTop w:val="0"/>
      <w:marBottom w:val="0"/>
      <w:divBdr>
        <w:top w:val="none" w:sz="0" w:space="0" w:color="auto"/>
        <w:left w:val="none" w:sz="0" w:space="0" w:color="auto"/>
        <w:bottom w:val="none" w:sz="0" w:space="0" w:color="auto"/>
        <w:right w:val="none" w:sz="0" w:space="0" w:color="auto"/>
      </w:divBdr>
    </w:div>
    <w:div w:id="1569531401">
      <w:bodyDiv w:val="1"/>
      <w:marLeft w:val="0"/>
      <w:marRight w:val="0"/>
      <w:marTop w:val="0"/>
      <w:marBottom w:val="0"/>
      <w:divBdr>
        <w:top w:val="none" w:sz="0" w:space="0" w:color="auto"/>
        <w:left w:val="none" w:sz="0" w:space="0" w:color="auto"/>
        <w:bottom w:val="none" w:sz="0" w:space="0" w:color="auto"/>
        <w:right w:val="none" w:sz="0" w:space="0" w:color="auto"/>
      </w:divBdr>
    </w:div>
    <w:div w:id="1569608203">
      <w:bodyDiv w:val="1"/>
      <w:marLeft w:val="0"/>
      <w:marRight w:val="0"/>
      <w:marTop w:val="0"/>
      <w:marBottom w:val="0"/>
      <w:divBdr>
        <w:top w:val="none" w:sz="0" w:space="0" w:color="auto"/>
        <w:left w:val="none" w:sz="0" w:space="0" w:color="auto"/>
        <w:bottom w:val="none" w:sz="0" w:space="0" w:color="auto"/>
        <w:right w:val="none" w:sz="0" w:space="0" w:color="auto"/>
      </w:divBdr>
    </w:div>
    <w:div w:id="1569806264">
      <w:bodyDiv w:val="1"/>
      <w:marLeft w:val="0"/>
      <w:marRight w:val="0"/>
      <w:marTop w:val="0"/>
      <w:marBottom w:val="0"/>
      <w:divBdr>
        <w:top w:val="none" w:sz="0" w:space="0" w:color="auto"/>
        <w:left w:val="none" w:sz="0" w:space="0" w:color="auto"/>
        <w:bottom w:val="none" w:sz="0" w:space="0" w:color="auto"/>
        <w:right w:val="none" w:sz="0" w:space="0" w:color="auto"/>
      </w:divBdr>
    </w:div>
    <w:div w:id="1569922999">
      <w:bodyDiv w:val="1"/>
      <w:marLeft w:val="0"/>
      <w:marRight w:val="0"/>
      <w:marTop w:val="0"/>
      <w:marBottom w:val="0"/>
      <w:divBdr>
        <w:top w:val="none" w:sz="0" w:space="0" w:color="auto"/>
        <w:left w:val="none" w:sz="0" w:space="0" w:color="auto"/>
        <w:bottom w:val="none" w:sz="0" w:space="0" w:color="auto"/>
        <w:right w:val="none" w:sz="0" w:space="0" w:color="auto"/>
      </w:divBdr>
    </w:div>
    <w:div w:id="1570267657">
      <w:bodyDiv w:val="1"/>
      <w:marLeft w:val="0"/>
      <w:marRight w:val="0"/>
      <w:marTop w:val="0"/>
      <w:marBottom w:val="0"/>
      <w:divBdr>
        <w:top w:val="none" w:sz="0" w:space="0" w:color="auto"/>
        <w:left w:val="none" w:sz="0" w:space="0" w:color="auto"/>
        <w:bottom w:val="none" w:sz="0" w:space="0" w:color="auto"/>
        <w:right w:val="none" w:sz="0" w:space="0" w:color="auto"/>
      </w:divBdr>
    </w:div>
    <w:div w:id="1570339757">
      <w:bodyDiv w:val="1"/>
      <w:marLeft w:val="0"/>
      <w:marRight w:val="0"/>
      <w:marTop w:val="0"/>
      <w:marBottom w:val="0"/>
      <w:divBdr>
        <w:top w:val="none" w:sz="0" w:space="0" w:color="auto"/>
        <w:left w:val="none" w:sz="0" w:space="0" w:color="auto"/>
        <w:bottom w:val="none" w:sz="0" w:space="0" w:color="auto"/>
        <w:right w:val="none" w:sz="0" w:space="0" w:color="auto"/>
      </w:divBdr>
    </w:div>
    <w:div w:id="1570531930">
      <w:bodyDiv w:val="1"/>
      <w:marLeft w:val="0"/>
      <w:marRight w:val="0"/>
      <w:marTop w:val="0"/>
      <w:marBottom w:val="0"/>
      <w:divBdr>
        <w:top w:val="none" w:sz="0" w:space="0" w:color="auto"/>
        <w:left w:val="none" w:sz="0" w:space="0" w:color="auto"/>
        <w:bottom w:val="none" w:sz="0" w:space="0" w:color="auto"/>
        <w:right w:val="none" w:sz="0" w:space="0" w:color="auto"/>
      </w:divBdr>
    </w:div>
    <w:div w:id="1570767574">
      <w:bodyDiv w:val="1"/>
      <w:marLeft w:val="0"/>
      <w:marRight w:val="0"/>
      <w:marTop w:val="0"/>
      <w:marBottom w:val="0"/>
      <w:divBdr>
        <w:top w:val="none" w:sz="0" w:space="0" w:color="auto"/>
        <w:left w:val="none" w:sz="0" w:space="0" w:color="auto"/>
        <w:bottom w:val="none" w:sz="0" w:space="0" w:color="auto"/>
        <w:right w:val="none" w:sz="0" w:space="0" w:color="auto"/>
      </w:divBdr>
    </w:div>
    <w:div w:id="1570919294">
      <w:bodyDiv w:val="1"/>
      <w:marLeft w:val="0"/>
      <w:marRight w:val="0"/>
      <w:marTop w:val="0"/>
      <w:marBottom w:val="0"/>
      <w:divBdr>
        <w:top w:val="none" w:sz="0" w:space="0" w:color="auto"/>
        <w:left w:val="none" w:sz="0" w:space="0" w:color="auto"/>
        <w:bottom w:val="none" w:sz="0" w:space="0" w:color="auto"/>
        <w:right w:val="none" w:sz="0" w:space="0" w:color="auto"/>
      </w:divBdr>
    </w:div>
    <w:div w:id="1570964582">
      <w:bodyDiv w:val="1"/>
      <w:marLeft w:val="0"/>
      <w:marRight w:val="0"/>
      <w:marTop w:val="0"/>
      <w:marBottom w:val="0"/>
      <w:divBdr>
        <w:top w:val="none" w:sz="0" w:space="0" w:color="auto"/>
        <w:left w:val="none" w:sz="0" w:space="0" w:color="auto"/>
        <w:bottom w:val="none" w:sz="0" w:space="0" w:color="auto"/>
        <w:right w:val="none" w:sz="0" w:space="0" w:color="auto"/>
      </w:divBdr>
    </w:div>
    <w:div w:id="1572081529">
      <w:bodyDiv w:val="1"/>
      <w:marLeft w:val="0"/>
      <w:marRight w:val="0"/>
      <w:marTop w:val="0"/>
      <w:marBottom w:val="0"/>
      <w:divBdr>
        <w:top w:val="none" w:sz="0" w:space="0" w:color="auto"/>
        <w:left w:val="none" w:sz="0" w:space="0" w:color="auto"/>
        <w:bottom w:val="none" w:sz="0" w:space="0" w:color="auto"/>
        <w:right w:val="none" w:sz="0" w:space="0" w:color="auto"/>
      </w:divBdr>
    </w:div>
    <w:div w:id="1572153432">
      <w:bodyDiv w:val="1"/>
      <w:marLeft w:val="0"/>
      <w:marRight w:val="0"/>
      <w:marTop w:val="0"/>
      <w:marBottom w:val="0"/>
      <w:divBdr>
        <w:top w:val="none" w:sz="0" w:space="0" w:color="auto"/>
        <w:left w:val="none" w:sz="0" w:space="0" w:color="auto"/>
        <w:bottom w:val="none" w:sz="0" w:space="0" w:color="auto"/>
        <w:right w:val="none" w:sz="0" w:space="0" w:color="auto"/>
      </w:divBdr>
    </w:div>
    <w:div w:id="1572160403">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2351820">
      <w:bodyDiv w:val="1"/>
      <w:marLeft w:val="0"/>
      <w:marRight w:val="0"/>
      <w:marTop w:val="0"/>
      <w:marBottom w:val="0"/>
      <w:divBdr>
        <w:top w:val="none" w:sz="0" w:space="0" w:color="auto"/>
        <w:left w:val="none" w:sz="0" w:space="0" w:color="auto"/>
        <w:bottom w:val="none" w:sz="0" w:space="0" w:color="auto"/>
        <w:right w:val="none" w:sz="0" w:space="0" w:color="auto"/>
      </w:divBdr>
    </w:div>
    <w:div w:id="1573655223">
      <w:bodyDiv w:val="1"/>
      <w:marLeft w:val="0"/>
      <w:marRight w:val="0"/>
      <w:marTop w:val="0"/>
      <w:marBottom w:val="0"/>
      <w:divBdr>
        <w:top w:val="none" w:sz="0" w:space="0" w:color="auto"/>
        <w:left w:val="none" w:sz="0" w:space="0" w:color="auto"/>
        <w:bottom w:val="none" w:sz="0" w:space="0" w:color="auto"/>
        <w:right w:val="none" w:sz="0" w:space="0" w:color="auto"/>
      </w:divBdr>
    </w:div>
    <w:div w:id="1573659534">
      <w:bodyDiv w:val="1"/>
      <w:marLeft w:val="0"/>
      <w:marRight w:val="0"/>
      <w:marTop w:val="0"/>
      <w:marBottom w:val="0"/>
      <w:divBdr>
        <w:top w:val="none" w:sz="0" w:space="0" w:color="auto"/>
        <w:left w:val="none" w:sz="0" w:space="0" w:color="auto"/>
        <w:bottom w:val="none" w:sz="0" w:space="0" w:color="auto"/>
        <w:right w:val="none" w:sz="0" w:space="0" w:color="auto"/>
      </w:divBdr>
    </w:div>
    <w:div w:id="1573806952">
      <w:bodyDiv w:val="1"/>
      <w:marLeft w:val="0"/>
      <w:marRight w:val="0"/>
      <w:marTop w:val="0"/>
      <w:marBottom w:val="0"/>
      <w:divBdr>
        <w:top w:val="none" w:sz="0" w:space="0" w:color="auto"/>
        <w:left w:val="none" w:sz="0" w:space="0" w:color="auto"/>
        <w:bottom w:val="none" w:sz="0" w:space="0" w:color="auto"/>
        <w:right w:val="none" w:sz="0" w:space="0" w:color="auto"/>
      </w:divBdr>
    </w:div>
    <w:div w:id="1573854572">
      <w:bodyDiv w:val="1"/>
      <w:marLeft w:val="0"/>
      <w:marRight w:val="0"/>
      <w:marTop w:val="0"/>
      <w:marBottom w:val="0"/>
      <w:divBdr>
        <w:top w:val="none" w:sz="0" w:space="0" w:color="auto"/>
        <w:left w:val="none" w:sz="0" w:space="0" w:color="auto"/>
        <w:bottom w:val="none" w:sz="0" w:space="0" w:color="auto"/>
        <w:right w:val="none" w:sz="0" w:space="0" w:color="auto"/>
      </w:divBdr>
    </w:div>
    <w:div w:id="1573926720">
      <w:bodyDiv w:val="1"/>
      <w:marLeft w:val="0"/>
      <w:marRight w:val="0"/>
      <w:marTop w:val="0"/>
      <w:marBottom w:val="0"/>
      <w:divBdr>
        <w:top w:val="none" w:sz="0" w:space="0" w:color="auto"/>
        <w:left w:val="none" w:sz="0" w:space="0" w:color="auto"/>
        <w:bottom w:val="none" w:sz="0" w:space="0" w:color="auto"/>
        <w:right w:val="none" w:sz="0" w:space="0" w:color="auto"/>
      </w:divBdr>
    </w:div>
    <w:div w:id="1573928401">
      <w:bodyDiv w:val="1"/>
      <w:marLeft w:val="0"/>
      <w:marRight w:val="0"/>
      <w:marTop w:val="0"/>
      <w:marBottom w:val="0"/>
      <w:divBdr>
        <w:top w:val="none" w:sz="0" w:space="0" w:color="auto"/>
        <w:left w:val="none" w:sz="0" w:space="0" w:color="auto"/>
        <w:bottom w:val="none" w:sz="0" w:space="0" w:color="auto"/>
        <w:right w:val="none" w:sz="0" w:space="0" w:color="auto"/>
      </w:divBdr>
    </w:div>
    <w:div w:id="1574121171">
      <w:bodyDiv w:val="1"/>
      <w:marLeft w:val="0"/>
      <w:marRight w:val="0"/>
      <w:marTop w:val="0"/>
      <w:marBottom w:val="0"/>
      <w:divBdr>
        <w:top w:val="none" w:sz="0" w:space="0" w:color="auto"/>
        <w:left w:val="none" w:sz="0" w:space="0" w:color="auto"/>
        <w:bottom w:val="none" w:sz="0" w:space="0" w:color="auto"/>
        <w:right w:val="none" w:sz="0" w:space="0" w:color="auto"/>
      </w:divBdr>
    </w:div>
    <w:div w:id="1574194082">
      <w:bodyDiv w:val="1"/>
      <w:marLeft w:val="0"/>
      <w:marRight w:val="0"/>
      <w:marTop w:val="0"/>
      <w:marBottom w:val="0"/>
      <w:divBdr>
        <w:top w:val="none" w:sz="0" w:space="0" w:color="auto"/>
        <w:left w:val="none" w:sz="0" w:space="0" w:color="auto"/>
        <w:bottom w:val="none" w:sz="0" w:space="0" w:color="auto"/>
        <w:right w:val="none" w:sz="0" w:space="0" w:color="auto"/>
      </w:divBdr>
    </w:div>
    <w:div w:id="1574268133">
      <w:bodyDiv w:val="1"/>
      <w:marLeft w:val="0"/>
      <w:marRight w:val="0"/>
      <w:marTop w:val="0"/>
      <w:marBottom w:val="0"/>
      <w:divBdr>
        <w:top w:val="none" w:sz="0" w:space="0" w:color="auto"/>
        <w:left w:val="none" w:sz="0" w:space="0" w:color="auto"/>
        <w:bottom w:val="none" w:sz="0" w:space="0" w:color="auto"/>
        <w:right w:val="none" w:sz="0" w:space="0" w:color="auto"/>
      </w:divBdr>
    </w:div>
    <w:div w:id="1574313072">
      <w:bodyDiv w:val="1"/>
      <w:marLeft w:val="0"/>
      <w:marRight w:val="0"/>
      <w:marTop w:val="0"/>
      <w:marBottom w:val="0"/>
      <w:divBdr>
        <w:top w:val="none" w:sz="0" w:space="0" w:color="auto"/>
        <w:left w:val="none" w:sz="0" w:space="0" w:color="auto"/>
        <w:bottom w:val="none" w:sz="0" w:space="0" w:color="auto"/>
        <w:right w:val="none" w:sz="0" w:space="0" w:color="auto"/>
      </w:divBdr>
    </w:div>
    <w:div w:id="1574701652">
      <w:bodyDiv w:val="1"/>
      <w:marLeft w:val="0"/>
      <w:marRight w:val="0"/>
      <w:marTop w:val="0"/>
      <w:marBottom w:val="0"/>
      <w:divBdr>
        <w:top w:val="none" w:sz="0" w:space="0" w:color="auto"/>
        <w:left w:val="none" w:sz="0" w:space="0" w:color="auto"/>
        <w:bottom w:val="none" w:sz="0" w:space="0" w:color="auto"/>
        <w:right w:val="none" w:sz="0" w:space="0" w:color="auto"/>
      </w:divBdr>
    </w:div>
    <w:div w:id="1574781978">
      <w:bodyDiv w:val="1"/>
      <w:marLeft w:val="0"/>
      <w:marRight w:val="0"/>
      <w:marTop w:val="0"/>
      <w:marBottom w:val="0"/>
      <w:divBdr>
        <w:top w:val="none" w:sz="0" w:space="0" w:color="auto"/>
        <w:left w:val="none" w:sz="0" w:space="0" w:color="auto"/>
        <w:bottom w:val="none" w:sz="0" w:space="0" w:color="auto"/>
        <w:right w:val="none" w:sz="0" w:space="0" w:color="auto"/>
      </w:divBdr>
    </w:div>
    <w:div w:id="1574898277">
      <w:bodyDiv w:val="1"/>
      <w:marLeft w:val="0"/>
      <w:marRight w:val="0"/>
      <w:marTop w:val="0"/>
      <w:marBottom w:val="0"/>
      <w:divBdr>
        <w:top w:val="none" w:sz="0" w:space="0" w:color="auto"/>
        <w:left w:val="none" w:sz="0" w:space="0" w:color="auto"/>
        <w:bottom w:val="none" w:sz="0" w:space="0" w:color="auto"/>
        <w:right w:val="none" w:sz="0" w:space="0" w:color="auto"/>
      </w:divBdr>
    </w:div>
    <w:div w:id="1574972026">
      <w:bodyDiv w:val="1"/>
      <w:marLeft w:val="0"/>
      <w:marRight w:val="0"/>
      <w:marTop w:val="0"/>
      <w:marBottom w:val="0"/>
      <w:divBdr>
        <w:top w:val="none" w:sz="0" w:space="0" w:color="auto"/>
        <w:left w:val="none" w:sz="0" w:space="0" w:color="auto"/>
        <w:bottom w:val="none" w:sz="0" w:space="0" w:color="auto"/>
        <w:right w:val="none" w:sz="0" w:space="0" w:color="auto"/>
      </w:divBdr>
    </w:div>
    <w:div w:id="1575358896">
      <w:bodyDiv w:val="1"/>
      <w:marLeft w:val="0"/>
      <w:marRight w:val="0"/>
      <w:marTop w:val="0"/>
      <w:marBottom w:val="0"/>
      <w:divBdr>
        <w:top w:val="none" w:sz="0" w:space="0" w:color="auto"/>
        <w:left w:val="none" w:sz="0" w:space="0" w:color="auto"/>
        <w:bottom w:val="none" w:sz="0" w:space="0" w:color="auto"/>
        <w:right w:val="none" w:sz="0" w:space="0" w:color="auto"/>
      </w:divBdr>
    </w:div>
    <w:div w:id="1575436952">
      <w:bodyDiv w:val="1"/>
      <w:marLeft w:val="0"/>
      <w:marRight w:val="0"/>
      <w:marTop w:val="0"/>
      <w:marBottom w:val="0"/>
      <w:divBdr>
        <w:top w:val="none" w:sz="0" w:space="0" w:color="auto"/>
        <w:left w:val="none" w:sz="0" w:space="0" w:color="auto"/>
        <w:bottom w:val="none" w:sz="0" w:space="0" w:color="auto"/>
        <w:right w:val="none" w:sz="0" w:space="0" w:color="auto"/>
      </w:divBdr>
    </w:div>
    <w:div w:id="1575966268">
      <w:bodyDiv w:val="1"/>
      <w:marLeft w:val="0"/>
      <w:marRight w:val="0"/>
      <w:marTop w:val="0"/>
      <w:marBottom w:val="0"/>
      <w:divBdr>
        <w:top w:val="none" w:sz="0" w:space="0" w:color="auto"/>
        <w:left w:val="none" w:sz="0" w:space="0" w:color="auto"/>
        <w:bottom w:val="none" w:sz="0" w:space="0" w:color="auto"/>
        <w:right w:val="none" w:sz="0" w:space="0" w:color="auto"/>
      </w:divBdr>
    </w:div>
    <w:div w:id="1575969907">
      <w:bodyDiv w:val="1"/>
      <w:marLeft w:val="0"/>
      <w:marRight w:val="0"/>
      <w:marTop w:val="0"/>
      <w:marBottom w:val="0"/>
      <w:divBdr>
        <w:top w:val="none" w:sz="0" w:space="0" w:color="auto"/>
        <w:left w:val="none" w:sz="0" w:space="0" w:color="auto"/>
        <w:bottom w:val="none" w:sz="0" w:space="0" w:color="auto"/>
        <w:right w:val="none" w:sz="0" w:space="0" w:color="auto"/>
      </w:divBdr>
    </w:div>
    <w:div w:id="1576208486">
      <w:bodyDiv w:val="1"/>
      <w:marLeft w:val="0"/>
      <w:marRight w:val="0"/>
      <w:marTop w:val="0"/>
      <w:marBottom w:val="0"/>
      <w:divBdr>
        <w:top w:val="none" w:sz="0" w:space="0" w:color="auto"/>
        <w:left w:val="none" w:sz="0" w:space="0" w:color="auto"/>
        <w:bottom w:val="none" w:sz="0" w:space="0" w:color="auto"/>
        <w:right w:val="none" w:sz="0" w:space="0" w:color="auto"/>
      </w:divBdr>
    </w:div>
    <w:div w:id="1576360589">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7125263">
      <w:bodyDiv w:val="1"/>
      <w:marLeft w:val="0"/>
      <w:marRight w:val="0"/>
      <w:marTop w:val="0"/>
      <w:marBottom w:val="0"/>
      <w:divBdr>
        <w:top w:val="none" w:sz="0" w:space="0" w:color="auto"/>
        <w:left w:val="none" w:sz="0" w:space="0" w:color="auto"/>
        <w:bottom w:val="none" w:sz="0" w:space="0" w:color="auto"/>
        <w:right w:val="none" w:sz="0" w:space="0" w:color="auto"/>
      </w:divBdr>
    </w:div>
    <w:div w:id="1577518188">
      <w:bodyDiv w:val="1"/>
      <w:marLeft w:val="0"/>
      <w:marRight w:val="0"/>
      <w:marTop w:val="0"/>
      <w:marBottom w:val="0"/>
      <w:divBdr>
        <w:top w:val="none" w:sz="0" w:space="0" w:color="auto"/>
        <w:left w:val="none" w:sz="0" w:space="0" w:color="auto"/>
        <w:bottom w:val="none" w:sz="0" w:space="0" w:color="auto"/>
        <w:right w:val="none" w:sz="0" w:space="0" w:color="auto"/>
      </w:divBdr>
    </w:div>
    <w:div w:id="1578132560">
      <w:bodyDiv w:val="1"/>
      <w:marLeft w:val="0"/>
      <w:marRight w:val="0"/>
      <w:marTop w:val="0"/>
      <w:marBottom w:val="0"/>
      <w:divBdr>
        <w:top w:val="none" w:sz="0" w:space="0" w:color="auto"/>
        <w:left w:val="none" w:sz="0" w:space="0" w:color="auto"/>
        <w:bottom w:val="none" w:sz="0" w:space="0" w:color="auto"/>
        <w:right w:val="none" w:sz="0" w:space="0" w:color="auto"/>
      </w:divBdr>
    </w:div>
    <w:div w:id="1578588875">
      <w:bodyDiv w:val="1"/>
      <w:marLeft w:val="0"/>
      <w:marRight w:val="0"/>
      <w:marTop w:val="0"/>
      <w:marBottom w:val="0"/>
      <w:divBdr>
        <w:top w:val="none" w:sz="0" w:space="0" w:color="auto"/>
        <w:left w:val="none" w:sz="0" w:space="0" w:color="auto"/>
        <w:bottom w:val="none" w:sz="0" w:space="0" w:color="auto"/>
        <w:right w:val="none" w:sz="0" w:space="0" w:color="auto"/>
      </w:divBdr>
    </w:div>
    <w:div w:id="1579166072">
      <w:bodyDiv w:val="1"/>
      <w:marLeft w:val="0"/>
      <w:marRight w:val="0"/>
      <w:marTop w:val="0"/>
      <w:marBottom w:val="0"/>
      <w:divBdr>
        <w:top w:val="none" w:sz="0" w:space="0" w:color="auto"/>
        <w:left w:val="none" w:sz="0" w:space="0" w:color="auto"/>
        <w:bottom w:val="none" w:sz="0" w:space="0" w:color="auto"/>
        <w:right w:val="none" w:sz="0" w:space="0" w:color="auto"/>
      </w:divBdr>
    </w:div>
    <w:div w:id="1579174600">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79366398">
      <w:bodyDiv w:val="1"/>
      <w:marLeft w:val="0"/>
      <w:marRight w:val="0"/>
      <w:marTop w:val="0"/>
      <w:marBottom w:val="0"/>
      <w:divBdr>
        <w:top w:val="none" w:sz="0" w:space="0" w:color="auto"/>
        <w:left w:val="none" w:sz="0" w:space="0" w:color="auto"/>
        <w:bottom w:val="none" w:sz="0" w:space="0" w:color="auto"/>
        <w:right w:val="none" w:sz="0" w:space="0" w:color="auto"/>
      </w:divBdr>
    </w:div>
    <w:div w:id="1579438522">
      <w:bodyDiv w:val="1"/>
      <w:marLeft w:val="0"/>
      <w:marRight w:val="0"/>
      <w:marTop w:val="0"/>
      <w:marBottom w:val="0"/>
      <w:divBdr>
        <w:top w:val="none" w:sz="0" w:space="0" w:color="auto"/>
        <w:left w:val="none" w:sz="0" w:space="0" w:color="auto"/>
        <w:bottom w:val="none" w:sz="0" w:space="0" w:color="auto"/>
        <w:right w:val="none" w:sz="0" w:space="0" w:color="auto"/>
      </w:divBdr>
    </w:div>
    <w:div w:id="1579753347">
      <w:bodyDiv w:val="1"/>
      <w:marLeft w:val="0"/>
      <w:marRight w:val="0"/>
      <w:marTop w:val="0"/>
      <w:marBottom w:val="0"/>
      <w:divBdr>
        <w:top w:val="none" w:sz="0" w:space="0" w:color="auto"/>
        <w:left w:val="none" w:sz="0" w:space="0" w:color="auto"/>
        <w:bottom w:val="none" w:sz="0" w:space="0" w:color="auto"/>
        <w:right w:val="none" w:sz="0" w:space="0" w:color="auto"/>
      </w:divBdr>
    </w:div>
    <w:div w:id="1580165211">
      <w:bodyDiv w:val="1"/>
      <w:marLeft w:val="0"/>
      <w:marRight w:val="0"/>
      <w:marTop w:val="0"/>
      <w:marBottom w:val="0"/>
      <w:divBdr>
        <w:top w:val="none" w:sz="0" w:space="0" w:color="auto"/>
        <w:left w:val="none" w:sz="0" w:space="0" w:color="auto"/>
        <w:bottom w:val="none" w:sz="0" w:space="0" w:color="auto"/>
        <w:right w:val="none" w:sz="0" w:space="0" w:color="auto"/>
      </w:divBdr>
    </w:div>
    <w:div w:id="1580361269">
      <w:bodyDiv w:val="1"/>
      <w:marLeft w:val="0"/>
      <w:marRight w:val="0"/>
      <w:marTop w:val="0"/>
      <w:marBottom w:val="0"/>
      <w:divBdr>
        <w:top w:val="none" w:sz="0" w:space="0" w:color="auto"/>
        <w:left w:val="none" w:sz="0" w:space="0" w:color="auto"/>
        <w:bottom w:val="none" w:sz="0" w:space="0" w:color="auto"/>
        <w:right w:val="none" w:sz="0" w:space="0" w:color="auto"/>
      </w:divBdr>
    </w:div>
    <w:div w:id="1580409332">
      <w:bodyDiv w:val="1"/>
      <w:marLeft w:val="0"/>
      <w:marRight w:val="0"/>
      <w:marTop w:val="0"/>
      <w:marBottom w:val="0"/>
      <w:divBdr>
        <w:top w:val="none" w:sz="0" w:space="0" w:color="auto"/>
        <w:left w:val="none" w:sz="0" w:space="0" w:color="auto"/>
        <w:bottom w:val="none" w:sz="0" w:space="0" w:color="auto"/>
        <w:right w:val="none" w:sz="0" w:space="0" w:color="auto"/>
      </w:divBdr>
    </w:div>
    <w:div w:id="1580674716">
      <w:bodyDiv w:val="1"/>
      <w:marLeft w:val="0"/>
      <w:marRight w:val="0"/>
      <w:marTop w:val="0"/>
      <w:marBottom w:val="0"/>
      <w:divBdr>
        <w:top w:val="none" w:sz="0" w:space="0" w:color="auto"/>
        <w:left w:val="none" w:sz="0" w:space="0" w:color="auto"/>
        <w:bottom w:val="none" w:sz="0" w:space="0" w:color="auto"/>
        <w:right w:val="none" w:sz="0" w:space="0" w:color="auto"/>
      </w:divBdr>
    </w:div>
    <w:div w:id="1581255737">
      <w:bodyDiv w:val="1"/>
      <w:marLeft w:val="0"/>
      <w:marRight w:val="0"/>
      <w:marTop w:val="0"/>
      <w:marBottom w:val="0"/>
      <w:divBdr>
        <w:top w:val="none" w:sz="0" w:space="0" w:color="auto"/>
        <w:left w:val="none" w:sz="0" w:space="0" w:color="auto"/>
        <w:bottom w:val="none" w:sz="0" w:space="0" w:color="auto"/>
        <w:right w:val="none" w:sz="0" w:space="0" w:color="auto"/>
      </w:divBdr>
    </w:div>
    <w:div w:id="1581327162">
      <w:bodyDiv w:val="1"/>
      <w:marLeft w:val="0"/>
      <w:marRight w:val="0"/>
      <w:marTop w:val="0"/>
      <w:marBottom w:val="0"/>
      <w:divBdr>
        <w:top w:val="none" w:sz="0" w:space="0" w:color="auto"/>
        <w:left w:val="none" w:sz="0" w:space="0" w:color="auto"/>
        <w:bottom w:val="none" w:sz="0" w:space="0" w:color="auto"/>
        <w:right w:val="none" w:sz="0" w:space="0" w:color="auto"/>
      </w:divBdr>
    </w:div>
    <w:div w:id="1581790088">
      <w:bodyDiv w:val="1"/>
      <w:marLeft w:val="0"/>
      <w:marRight w:val="0"/>
      <w:marTop w:val="0"/>
      <w:marBottom w:val="0"/>
      <w:divBdr>
        <w:top w:val="none" w:sz="0" w:space="0" w:color="auto"/>
        <w:left w:val="none" w:sz="0" w:space="0" w:color="auto"/>
        <w:bottom w:val="none" w:sz="0" w:space="0" w:color="auto"/>
        <w:right w:val="none" w:sz="0" w:space="0" w:color="auto"/>
      </w:divBdr>
    </w:div>
    <w:div w:id="1581910919">
      <w:bodyDiv w:val="1"/>
      <w:marLeft w:val="0"/>
      <w:marRight w:val="0"/>
      <w:marTop w:val="0"/>
      <w:marBottom w:val="0"/>
      <w:divBdr>
        <w:top w:val="none" w:sz="0" w:space="0" w:color="auto"/>
        <w:left w:val="none" w:sz="0" w:space="0" w:color="auto"/>
        <w:bottom w:val="none" w:sz="0" w:space="0" w:color="auto"/>
        <w:right w:val="none" w:sz="0" w:space="0" w:color="auto"/>
      </w:divBdr>
    </w:div>
    <w:div w:id="1582371717">
      <w:bodyDiv w:val="1"/>
      <w:marLeft w:val="0"/>
      <w:marRight w:val="0"/>
      <w:marTop w:val="0"/>
      <w:marBottom w:val="0"/>
      <w:divBdr>
        <w:top w:val="none" w:sz="0" w:space="0" w:color="auto"/>
        <w:left w:val="none" w:sz="0" w:space="0" w:color="auto"/>
        <w:bottom w:val="none" w:sz="0" w:space="0" w:color="auto"/>
        <w:right w:val="none" w:sz="0" w:space="0" w:color="auto"/>
      </w:divBdr>
    </w:div>
    <w:div w:id="1582642948">
      <w:bodyDiv w:val="1"/>
      <w:marLeft w:val="0"/>
      <w:marRight w:val="0"/>
      <w:marTop w:val="0"/>
      <w:marBottom w:val="0"/>
      <w:divBdr>
        <w:top w:val="none" w:sz="0" w:space="0" w:color="auto"/>
        <w:left w:val="none" w:sz="0" w:space="0" w:color="auto"/>
        <w:bottom w:val="none" w:sz="0" w:space="0" w:color="auto"/>
        <w:right w:val="none" w:sz="0" w:space="0" w:color="auto"/>
      </w:divBdr>
    </w:div>
    <w:div w:id="1582829751">
      <w:bodyDiv w:val="1"/>
      <w:marLeft w:val="0"/>
      <w:marRight w:val="0"/>
      <w:marTop w:val="0"/>
      <w:marBottom w:val="0"/>
      <w:divBdr>
        <w:top w:val="none" w:sz="0" w:space="0" w:color="auto"/>
        <w:left w:val="none" w:sz="0" w:space="0" w:color="auto"/>
        <w:bottom w:val="none" w:sz="0" w:space="0" w:color="auto"/>
        <w:right w:val="none" w:sz="0" w:space="0" w:color="auto"/>
      </w:divBdr>
    </w:div>
    <w:div w:id="1582831670">
      <w:bodyDiv w:val="1"/>
      <w:marLeft w:val="0"/>
      <w:marRight w:val="0"/>
      <w:marTop w:val="0"/>
      <w:marBottom w:val="0"/>
      <w:divBdr>
        <w:top w:val="none" w:sz="0" w:space="0" w:color="auto"/>
        <w:left w:val="none" w:sz="0" w:space="0" w:color="auto"/>
        <w:bottom w:val="none" w:sz="0" w:space="0" w:color="auto"/>
        <w:right w:val="none" w:sz="0" w:space="0" w:color="auto"/>
      </w:divBdr>
    </w:div>
    <w:div w:id="1582956633">
      <w:bodyDiv w:val="1"/>
      <w:marLeft w:val="0"/>
      <w:marRight w:val="0"/>
      <w:marTop w:val="0"/>
      <w:marBottom w:val="0"/>
      <w:divBdr>
        <w:top w:val="none" w:sz="0" w:space="0" w:color="auto"/>
        <w:left w:val="none" w:sz="0" w:space="0" w:color="auto"/>
        <w:bottom w:val="none" w:sz="0" w:space="0" w:color="auto"/>
        <w:right w:val="none" w:sz="0" w:space="0" w:color="auto"/>
      </w:divBdr>
    </w:div>
    <w:div w:id="1583102944">
      <w:bodyDiv w:val="1"/>
      <w:marLeft w:val="0"/>
      <w:marRight w:val="0"/>
      <w:marTop w:val="0"/>
      <w:marBottom w:val="0"/>
      <w:divBdr>
        <w:top w:val="none" w:sz="0" w:space="0" w:color="auto"/>
        <w:left w:val="none" w:sz="0" w:space="0" w:color="auto"/>
        <w:bottom w:val="none" w:sz="0" w:space="0" w:color="auto"/>
        <w:right w:val="none" w:sz="0" w:space="0" w:color="auto"/>
      </w:divBdr>
    </w:div>
    <w:div w:id="1583174562">
      <w:bodyDiv w:val="1"/>
      <w:marLeft w:val="0"/>
      <w:marRight w:val="0"/>
      <w:marTop w:val="0"/>
      <w:marBottom w:val="0"/>
      <w:divBdr>
        <w:top w:val="none" w:sz="0" w:space="0" w:color="auto"/>
        <w:left w:val="none" w:sz="0" w:space="0" w:color="auto"/>
        <w:bottom w:val="none" w:sz="0" w:space="0" w:color="auto"/>
        <w:right w:val="none" w:sz="0" w:space="0" w:color="auto"/>
      </w:divBdr>
    </w:div>
    <w:div w:id="1583444733">
      <w:bodyDiv w:val="1"/>
      <w:marLeft w:val="0"/>
      <w:marRight w:val="0"/>
      <w:marTop w:val="0"/>
      <w:marBottom w:val="0"/>
      <w:divBdr>
        <w:top w:val="none" w:sz="0" w:space="0" w:color="auto"/>
        <w:left w:val="none" w:sz="0" w:space="0" w:color="auto"/>
        <w:bottom w:val="none" w:sz="0" w:space="0" w:color="auto"/>
        <w:right w:val="none" w:sz="0" w:space="0" w:color="auto"/>
      </w:divBdr>
    </w:div>
    <w:div w:id="1583641764">
      <w:bodyDiv w:val="1"/>
      <w:marLeft w:val="0"/>
      <w:marRight w:val="0"/>
      <w:marTop w:val="0"/>
      <w:marBottom w:val="0"/>
      <w:divBdr>
        <w:top w:val="none" w:sz="0" w:space="0" w:color="auto"/>
        <w:left w:val="none" w:sz="0" w:space="0" w:color="auto"/>
        <w:bottom w:val="none" w:sz="0" w:space="0" w:color="auto"/>
        <w:right w:val="none" w:sz="0" w:space="0" w:color="auto"/>
      </w:divBdr>
    </w:div>
    <w:div w:id="1584023044">
      <w:bodyDiv w:val="1"/>
      <w:marLeft w:val="0"/>
      <w:marRight w:val="0"/>
      <w:marTop w:val="0"/>
      <w:marBottom w:val="0"/>
      <w:divBdr>
        <w:top w:val="none" w:sz="0" w:space="0" w:color="auto"/>
        <w:left w:val="none" w:sz="0" w:space="0" w:color="auto"/>
        <w:bottom w:val="none" w:sz="0" w:space="0" w:color="auto"/>
        <w:right w:val="none" w:sz="0" w:space="0" w:color="auto"/>
      </w:divBdr>
    </w:div>
    <w:div w:id="1584417372">
      <w:bodyDiv w:val="1"/>
      <w:marLeft w:val="0"/>
      <w:marRight w:val="0"/>
      <w:marTop w:val="0"/>
      <w:marBottom w:val="0"/>
      <w:divBdr>
        <w:top w:val="none" w:sz="0" w:space="0" w:color="auto"/>
        <w:left w:val="none" w:sz="0" w:space="0" w:color="auto"/>
        <w:bottom w:val="none" w:sz="0" w:space="0" w:color="auto"/>
        <w:right w:val="none" w:sz="0" w:space="0" w:color="auto"/>
      </w:divBdr>
    </w:div>
    <w:div w:id="1584531371">
      <w:bodyDiv w:val="1"/>
      <w:marLeft w:val="0"/>
      <w:marRight w:val="0"/>
      <w:marTop w:val="0"/>
      <w:marBottom w:val="0"/>
      <w:divBdr>
        <w:top w:val="none" w:sz="0" w:space="0" w:color="auto"/>
        <w:left w:val="none" w:sz="0" w:space="0" w:color="auto"/>
        <w:bottom w:val="none" w:sz="0" w:space="0" w:color="auto"/>
        <w:right w:val="none" w:sz="0" w:space="0" w:color="auto"/>
      </w:divBdr>
    </w:div>
    <w:div w:id="1584684968">
      <w:bodyDiv w:val="1"/>
      <w:marLeft w:val="0"/>
      <w:marRight w:val="0"/>
      <w:marTop w:val="0"/>
      <w:marBottom w:val="0"/>
      <w:divBdr>
        <w:top w:val="none" w:sz="0" w:space="0" w:color="auto"/>
        <w:left w:val="none" w:sz="0" w:space="0" w:color="auto"/>
        <w:bottom w:val="none" w:sz="0" w:space="0" w:color="auto"/>
        <w:right w:val="none" w:sz="0" w:space="0" w:color="auto"/>
      </w:divBdr>
    </w:div>
    <w:div w:id="1585064849">
      <w:bodyDiv w:val="1"/>
      <w:marLeft w:val="0"/>
      <w:marRight w:val="0"/>
      <w:marTop w:val="0"/>
      <w:marBottom w:val="0"/>
      <w:divBdr>
        <w:top w:val="none" w:sz="0" w:space="0" w:color="auto"/>
        <w:left w:val="none" w:sz="0" w:space="0" w:color="auto"/>
        <w:bottom w:val="none" w:sz="0" w:space="0" w:color="auto"/>
        <w:right w:val="none" w:sz="0" w:space="0" w:color="auto"/>
      </w:divBdr>
    </w:div>
    <w:div w:id="1585065931">
      <w:bodyDiv w:val="1"/>
      <w:marLeft w:val="0"/>
      <w:marRight w:val="0"/>
      <w:marTop w:val="0"/>
      <w:marBottom w:val="0"/>
      <w:divBdr>
        <w:top w:val="none" w:sz="0" w:space="0" w:color="auto"/>
        <w:left w:val="none" w:sz="0" w:space="0" w:color="auto"/>
        <w:bottom w:val="none" w:sz="0" w:space="0" w:color="auto"/>
        <w:right w:val="none" w:sz="0" w:space="0" w:color="auto"/>
      </w:divBdr>
    </w:div>
    <w:div w:id="1585261223">
      <w:bodyDiv w:val="1"/>
      <w:marLeft w:val="0"/>
      <w:marRight w:val="0"/>
      <w:marTop w:val="0"/>
      <w:marBottom w:val="0"/>
      <w:divBdr>
        <w:top w:val="none" w:sz="0" w:space="0" w:color="auto"/>
        <w:left w:val="none" w:sz="0" w:space="0" w:color="auto"/>
        <w:bottom w:val="none" w:sz="0" w:space="0" w:color="auto"/>
        <w:right w:val="none" w:sz="0" w:space="0" w:color="auto"/>
      </w:divBdr>
    </w:div>
    <w:div w:id="1585645570">
      <w:bodyDiv w:val="1"/>
      <w:marLeft w:val="0"/>
      <w:marRight w:val="0"/>
      <w:marTop w:val="0"/>
      <w:marBottom w:val="0"/>
      <w:divBdr>
        <w:top w:val="none" w:sz="0" w:space="0" w:color="auto"/>
        <w:left w:val="none" w:sz="0" w:space="0" w:color="auto"/>
        <w:bottom w:val="none" w:sz="0" w:space="0" w:color="auto"/>
        <w:right w:val="none" w:sz="0" w:space="0" w:color="auto"/>
      </w:divBdr>
    </w:div>
    <w:div w:id="1586190090">
      <w:bodyDiv w:val="1"/>
      <w:marLeft w:val="0"/>
      <w:marRight w:val="0"/>
      <w:marTop w:val="0"/>
      <w:marBottom w:val="0"/>
      <w:divBdr>
        <w:top w:val="none" w:sz="0" w:space="0" w:color="auto"/>
        <w:left w:val="none" w:sz="0" w:space="0" w:color="auto"/>
        <w:bottom w:val="none" w:sz="0" w:space="0" w:color="auto"/>
        <w:right w:val="none" w:sz="0" w:space="0" w:color="auto"/>
      </w:divBdr>
    </w:div>
    <w:div w:id="1586570407">
      <w:bodyDiv w:val="1"/>
      <w:marLeft w:val="0"/>
      <w:marRight w:val="0"/>
      <w:marTop w:val="0"/>
      <w:marBottom w:val="0"/>
      <w:divBdr>
        <w:top w:val="none" w:sz="0" w:space="0" w:color="auto"/>
        <w:left w:val="none" w:sz="0" w:space="0" w:color="auto"/>
        <w:bottom w:val="none" w:sz="0" w:space="0" w:color="auto"/>
        <w:right w:val="none" w:sz="0" w:space="0" w:color="auto"/>
      </w:divBdr>
    </w:div>
    <w:div w:id="1586837241">
      <w:bodyDiv w:val="1"/>
      <w:marLeft w:val="0"/>
      <w:marRight w:val="0"/>
      <w:marTop w:val="0"/>
      <w:marBottom w:val="0"/>
      <w:divBdr>
        <w:top w:val="none" w:sz="0" w:space="0" w:color="auto"/>
        <w:left w:val="none" w:sz="0" w:space="0" w:color="auto"/>
        <w:bottom w:val="none" w:sz="0" w:space="0" w:color="auto"/>
        <w:right w:val="none" w:sz="0" w:space="0" w:color="auto"/>
      </w:divBdr>
    </w:div>
    <w:div w:id="1587108798">
      <w:bodyDiv w:val="1"/>
      <w:marLeft w:val="0"/>
      <w:marRight w:val="0"/>
      <w:marTop w:val="0"/>
      <w:marBottom w:val="0"/>
      <w:divBdr>
        <w:top w:val="none" w:sz="0" w:space="0" w:color="auto"/>
        <w:left w:val="none" w:sz="0" w:space="0" w:color="auto"/>
        <w:bottom w:val="none" w:sz="0" w:space="0" w:color="auto"/>
        <w:right w:val="none" w:sz="0" w:space="0" w:color="auto"/>
      </w:divBdr>
    </w:div>
    <w:div w:id="1587375327">
      <w:bodyDiv w:val="1"/>
      <w:marLeft w:val="0"/>
      <w:marRight w:val="0"/>
      <w:marTop w:val="0"/>
      <w:marBottom w:val="0"/>
      <w:divBdr>
        <w:top w:val="none" w:sz="0" w:space="0" w:color="auto"/>
        <w:left w:val="none" w:sz="0" w:space="0" w:color="auto"/>
        <w:bottom w:val="none" w:sz="0" w:space="0" w:color="auto"/>
        <w:right w:val="none" w:sz="0" w:space="0" w:color="auto"/>
      </w:divBdr>
    </w:div>
    <w:div w:id="1587573619">
      <w:bodyDiv w:val="1"/>
      <w:marLeft w:val="0"/>
      <w:marRight w:val="0"/>
      <w:marTop w:val="0"/>
      <w:marBottom w:val="0"/>
      <w:divBdr>
        <w:top w:val="none" w:sz="0" w:space="0" w:color="auto"/>
        <w:left w:val="none" w:sz="0" w:space="0" w:color="auto"/>
        <w:bottom w:val="none" w:sz="0" w:space="0" w:color="auto"/>
        <w:right w:val="none" w:sz="0" w:space="0" w:color="auto"/>
      </w:divBdr>
    </w:div>
    <w:div w:id="1587812037">
      <w:bodyDiv w:val="1"/>
      <w:marLeft w:val="0"/>
      <w:marRight w:val="0"/>
      <w:marTop w:val="0"/>
      <w:marBottom w:val="0"/>
      <w:divBdr>
        <w:top w:val="none" w:sz="0" w:space="0" w:color="auto"/>
        <w:left w:val="none" w:sz="0" w:space="0" w:color="auto"/>
        <w:bottom w:val="none" w:sz="0" w:space="0" w:color="auto"/>
        <w:right w:val="none" w:sz="0" w:space="0" w:color="auto"/>
      </w:divBdr>
    </w:div>
    <w:div w:id="1588148050">
      <w:bodyDiv w:val="1"/>
      <w:marLeft w:val="0"/>
      <w:marRight w:val="0"/>
      <w:marTop w:val="0"/>
      <w:marBottom w:val="0"/>
      <w:divBdr>
        <w:top w:val="none" w:sz="0" w:space="0" w:color="auto"/>
        <w:left w:val="none" w:sz="0" w:space="0" w:color="auto"/>
        <w:bottom w:val="none" w:sz="0" w:space="0" w:color="auto"/>
        <w:right w:val="none" w:sz="0" w:space="0" w:color="auto"/>
      </w:divBdr>
    </w:div>
    <w:div w:id="1588418681">
      <w:bodyDiv w:val="1"/>
      <w:marLeft w:val="0"/>
      <w:marRight w:val="0"/>
      <w:marTop w:val="0"/>
      <w:marBottom w:val="0"/>
      <w:divBdr>
        <w:top w:val="none" w:sz="0" w:space="0" w:color="auto"/>
        <w:left w:val="none" w:sz="0" w:space="0" w:color="auto"/>
        <w:bottom w:val="none" w:sz="0" w:space="0" w:color="auto"/>
        <w:right w:val="none" w:sz="0" w:space="0" w:color="auto"/>
      </w:divBdr>
    </w:div>
    <w:div w:id="1588884456">
      <w:bodyDiv w:val="1"/>
      <w:marLeft w:val="0"/>
      <w:marRight w:val="0"/>
      <w:marTop w:val="0"/>
      <w:marBottom w:val="0"/>
      <w:divBdr>
        <w:top w:val="none" w:sz="0" w:space="0" w:color="auto"/>
        <w:left w:val="none" w:sz="0" w:space="0" w:color="auto"/>
        <w:bottom w:val="none" w:sz="0" w:space="0" w:color="auto"/>
        <w:right w:val="none" w:sz="0" w:space="0" w:color="auto"/>
      </w:divBdr>
    </w:div>
    <w:div w:id="1589117644">
      <w:bodyDiv w:val="1"/>
      <w:marLeft w:val="0"/>
      <w:marRight w:val="0"/>
      <w:marTop w:val="0"/>
      <w:marBottom w:val="0"/>
      <w:divBdr>
        <w:top w:val="none" w:sz="0" w:space="0" w:color="auto"/>
        <w:left w:val="none" w:sz="0" w:space="0" w:color="auto"/>
        <w:bottom w:val="none" w:sz="0" w:space="0" w:color="auto"/>
        <w:right w:val="none" w:sz="0" w:space="0" w:color="auto"/>
      </w:divBdr>
    </w:div>
    <w:div w:id="1589343931">
      <w:bodyDiv w:val="1"/>
      <w:marLeft w:val="0"/>
      <w:marRight w:val="0"/>
      <w:marTop w:val="0"/>
      <w:marBottom w:val="0"/>
      <w:divBdr>
        <w:top w:val="none" w:sz="0" w:space="0" w:color="auto"/>
        <w:left w:val="none" w:sz="0" w:space="0" w:color="auto"/>
        <w:bottom w:val="none" w:sz="0" w:space="0" w:color="auto"/>
        <w:right w:val="none" w:sz="0" w:space="0" w:color="auto"/>
      </w:divBdr>
    </w:div>
    <w:div w:id="1589384018">
      <w:bodyDiv w:val="1"/>
      <w:marLeft w:val="0"/>
      <w:marRight w:val="0"/>
      <w:marTop w:val="0"/>
      <w:marBottom w:val="0"/>
      <w:divBdr>
        <w:top w:val="none" w:sz="0" w:space="0" w:color="auto"/>
        <w:left w:val="none" w:sz="0" w:space="0" w:color="auto"/>
        <w:bottom w:val="none" w:sz="0" w:space="0" w:color="auto"/>
        <w:right w:val="none" w:sz="0" w:space="0" w:color="auto"/>
      </w:divBdr>
    </w:div>
    <w:div w:id="1589579196">
      <w:bodyDiv w:val="1"/>
      <w:marLeft w:val="0"/>
      <w:marRight w:val="0"/>
      <w:marTop w:val="0"/>
      <w:marBottom w:val="0"/>
      <w:divBdr>
        <w:top w:val="none" w:sz="0" w:space="0" w:color="auto"/>
        <w:left w:val="none" w:sz="0" w:space="0" w:color="auto"/>
        <w:bottom w:val="none" w:sz="0" w:space="0" w:color="auto"/>
        <w:right w:val="none" w:sz="0" w:space="0" w:color="auto"/>
      </w:divBdr>
    </w:div>
    <w:div w:id="1590769925">
      <w:bodyDiv w:val="1"/>
      <w:marLeft w:val="0"/>
      <w:marRight w:val="0"/>
      <w:marTop w:val="0"/>
      <w:marBottom w:val="0"/>
      <w:divBdr>
        <w:top w:val="none" w:sz="0" w:space="0" w:color="auto"/>
        <w:left w:val="none" w:sz="0" w:space="0" w:color="auto"/>
        <w:bottom w:val="none" w:sz="0" w:space="0" w:color="auto"/>
        <w:right w:val="none" w:sz="0" w:space="0" w:color="auto"/>
      </w:divBdr>
    </w:div>
    <w:div w:id="1591154978">
      <w:bodyDiv w:val="1"/>
      <w:marLeft w:val="0"/>
      <w:marRight w:val="0"/>
      <w:marTop w:val="0"/>
      <w:marBottom w:val="0"/>
      <w:divBdr>
        <w:top w:val="none" w:sz="0" w:space="0" w:color="auto"/>
        <w:left w:val="none" w:sz="0" w:space="0" w:color="auto"/>
        <w:bottom w:val="none" w:sz="0" w:space="0" w:color="auto"/>
        <w:right w:val="none" w:sz="0" w:space="0" w:color="auto"/>
      </w:divBdr>
    </w:div>
    <w:div w:id="1591886793">
      <w:bodyDiv w:val="1"/>
      <w:marLeft w:val="0"/>
      <w:marRight w:val="0"/>
      <w:marTop w:val="0"/>
      <w:marBottom w:val="0"/>
      <w:divBdr>
        <w:top w:val="none" w:sz="0" w:space="0" w:color="auto"/>
        <w:left w:val="none" w:sz="0" w:space="0" w:color="auto"/>
        <w:bottom w:val="none" w:sz="0" w:space="0" w:color="auto"/>
        <w:right w:val="none" w:sz="0" w:space="0" w:color="auto"/>
      </w:divBdr>
    </w:div>
    <w:div w:id="1592006181">
      <w:bodyDiv w:val="1"/>
      <w:marLeft w:val="0"/>
      <w:marRight w:val="0"/>
      <w:marTop w:val="0"/>
      <w:marBottom w:val="0"/>
      <w:divBdr>
        <w:top w:val="none" w:sz="0" w:space="0" w:color="auto"/>
        <w:left w:val="none" w:sz="0" w:space="0" w:color="auto"/>
        <w:bottom w:val="none" w:sz="0" w:space="0" w:color="auto"/>
        <w:right w:val="none" w:sz="0" w:space="0" w:color="auto"/>
      </w:divBdr>
    </w:div>
    <w:div w:id="1592006871">
      <w:bodyDiv w:val="1"/>
      <w:marLeft w:val="0"/>
      <w:marRight w:val="0"/>
      <w:marTop w:val="0"/>
      <w:marBottom w:val="0"/>
      <w:divBdr>
        <w:top w:val="none" w:sz="0" w:space="0" w:color="auto"/>
        <w:left w:val="none" w:sz="0" w:space="0" w:color="auto"/>
        <w:bottom w:val="none" w:sz="0" w:space="0" w:color="auto"/>
        <w:right w:val="none" w:sz="0" w:space="0" w:color="auto"/>
      </w:divBdr>
    </w:div>
    <w:div w:id="1592083784">
      <w:bodyDiv w:val="1"/>
      <w:marLeft w:val="0"/>
      <w:marRight w:val="0"/>
      <w:marTop w:val="0"/>
      <w:marBottom w:val="0"/>
      <w:divBdr>
        <w:top w:val="none" w:sz="0" w:space="0" w:color="auto"/>
        <w:left w:val="none" w:sz="0" w:space="0" w:color="auto"/>
        <w:bottom w:val="none" w:sz="0" w:space="0" w:color="auto"/>
        <w:right w:val="none" w:sz="0" w:space="0" w:color="auto"/>
      </w:divBdr>
    </w:div>
    <w:div w:id="1592395860">
      <w:bodyDiv w:val="1"/>
      <w:marLeft w:val="0"/>
      <w:marRight w:val="0"/>
      <w:marTop w:val="0"/>
      <w:marBottom w:val="0"/>
      <w:divBdr>
        <w:top w:val="none" w:sz="0" w:space="0" w:color="auto"/>
        <w:left w:val="none" w:sz="0" w:space="0" w:color="auto"/>
        <w:bottom w:val="none" w:sz="0" w:space="0" w:color="auto"/>
        <w:right w:val="none" w:sz="0" w:space="0" w:color="auto"/>
      </w:divBdr>
    </w:div>
    <w:div w:id="1593129533">
      <w:bodyDiv w:val="1"/>
      <w:marLeft w:val="0"/>
      <w:marRight w:val="0"/>
      <w:marTop w:val="0"/>
      <w:marBottom w:val="0"/>
      <w:divBdr>
        <w:top w:val="none" w:sz="0" w:space="0" w:color="auto"/>
        <w:left w:val="none" w:sz="0" w:space="0" w:color="auto"/>
        <w:bottom w:val="none" w:sz="0" w:space="0" w:color="auto"/>
        <w:right w:val="none" w:sz="0" w:space="0" w:color="auto"/>
      </w:divBdr>
    </w:div>
    <w:div w:id="1593276362">
      <w:bodyDiv w:val="1"/>
      <w:marLeft w:val="0"/>
      <w:marRight w:val="0"/>
      <w:marTop w:val="0"/>
      <w:marBottom w:val="0"/>
      <w:divBdr>
        <w:top w:val="none" w:sz="0" w:space="0" w:color="auto"/>
        <w:left w:val="none" w:sz="0" w:space="0" w:color="auto"/>
        <w:bottom w:val="none" w:sz="0" w:space="0" w:color="auto"/>
        <w:right w:val="none" w:sz="0" w:space="0" w:color="auto"/>
      </w:divBdr>
    </w:div>
    <w:div w:id="1593464409">
      <w:bodyDiv w:val="1"/>
      <w:marLeft w:val="0"/>
      <w:marRight w:val="0"/>
      <w:marTop w:val="0"/>
      <w:marBottom w:val="0"/>
      <w:divBdr>
        <w:top w:val="none" w:sz="0" w:space="0" w:color="auto"/>
        <w:left w:val="none" w:sz="0" w:space="0" w:color="auto"/>
        <w:bottom w:val="none" w:sz="0" w:space="0" w:color="auto"/>
        <w:right w:val="none" w:sz="0" w:space="0" w:color="auto"/>
      </w:divBdr>
    </w:div>
    <w:div w:id="1593662303">
      <w:bodyDiv w:val="1"/>
      <w:marLeft w:val="0"/>
      <w:marRight w:val="0"/>
      <w:marTop w:val="0"/>
      <w:marBottom w:val="0"/>
      <w:divBdr>
        <w:top w:val="none" w:sz="0" w:space="0" w:color="auto"/>
        <w:left w:val="none" w:sz="0" w:space="0" w:color="auto"/>
        <w:bottom w:val="none" w:sz="0" w:space="0" w:color="auto"/>
        <w:right w:val="none" w:sz="0" w:space="0" w:color="auto"/>
      </w:divBdr>
    </w:div>
    <w:div w:id="1593928222">
      <w:bodyDiv w:val="1"/>
      <w:marLeft w:val="0"/>
      <w:marRight w:val="0"/>
      <w:marTop w:val="0"/>
      <w:marBottom w:val="0"/>
      <w:divBdr>
        <w:top w:val="none" w:sz="0" w:space="0" w:color="auto"/>
        <w:left w:val="none" w:sz="0" w:space="0" w:color="auto"/>
        <w:bottom w:val="none" w:sz="0" w:space="0" w:color="auto"/>
        <w:right w:val="none" w:sz="0" w:space="0" w:color="auto"/>
      </w:divBdr>
    </w:div>
    <w:div w:id="1594391249">
      <w:bodyDiv w:val="1"/>
      <w:marLeft w:val="0"/>
      <w:marRight w:val="0"/>
      <w:marTop w:val="0"/>
      <w:marBottom w:val="0"/>
      <w:divBdr>
        <w:top w:val="none" w:sz="0" w:space="0" w:color="auto"/>
        <w:left w:val="none" w:sz="0" w:space="0" w:color="auto"/>
        <w:bottom w:val="none" w:sz="0" w:space="0" w:color="auto"/>
        <w:right w:val="none" w:sz="0" w:space="0" w:color="auto"/>
      </w:divBdr>
    </w:div>
    <w:div w:id="1594556946">
      <w:bodyDiv w:val="1"/>
      <w:marLeft w:val="0"/>
      <w:marRight w:val="0"/>
      <w:marTop w:val="0"/>
      <w:marBottom w:val="0"/>
      <w:divBdr>
        <w:top w:val="none" w:sz="0" w:space="0" w:color="auto"/>
        <w:left w:val="none" w:sz="0" w:space="0" w:color="auto"/>
        <w:bottom w:val="none" w:sz="0" w:space="0" w:color="auto"/>
        <w:right w:val="none" w:sz="0" w:space="0" w:color="auto"/>
      </w:divBdr>
    </w:div>
    <w:div w:id="1594632476">
      <w:bodyDiv w:val="1"/>
      <w:marLeft w:val="0"/>
      <w:marRight w:val="0"/>
      <w:marTop w:val="0"/>
      <w:marBottom w:val="0"/>
      <w:divBdr>
        <w:top w:val="none" w:sz="0" w:space="0" w:color="auto"/>
        <w:left w:val="none" w:sz="0" w:space="0" w:color="auto"/>
        <w:bottom w:val="none" w:sz="0" w:space="0" w:color="auto"/>
        <w:right w:val="none" w:sz="0" w:space="0" w:color="auto"/>
      </w:divBdr>
    </w:div>
    <w:div w:id="1594705740">
      <w:bodyDiv w:val="1"/>
      <w:marLeft w:val="0"/>
      <w:marRight w:val="0"/>
      <w:marTop w:val="0"/>
      <w:marBottom w:val="0"/>
      <w:divBdr>
        <w:top w:val="none" w:sz="0" w:space="0" w:color="auto"/>
        <w:left w:val="none" w:sz="0" w:space="0" w:color="auto"/>
        <w:bottom w:val="none" w:sz="0" w:space="0" w:color="auto"/>
        <w:right w:val="none" w:sz="0" w:space="0" w:color="auto"/>
      </w:divBdr>
    </w:div>
    <w:div w:id="1595092634">
      <w:bodyDiv w:val="1"/>
      <w:marLeft w:val="0"/>
      <w:marRight w:val="0"/>
      <w:marTop w:val="0"/>
      <w:marBottom w:val="0"/>
      <w:divBdr>
        <w:top w:val="none" w:sz="0" w:space="0" w:color="auto"/>
        <w:left w:val="none" w:sz="0" w:space="0" w:color="auto"/>
        <w:bottom w:val="none" w:sz="0" w:space="0" w:color="auto"/>
        <w:right w:val="none" w:sz="0" w:space="0" w:color="auto"/>
      </w:divBdr>
    </w:div>
    <w:div w:id="1595479658">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596595246">
      <w:bodyDiv w:val="1"/>
      <w:marLeft w:val="0"/>
      <w:marRight w:val="0"/>
      <w:marTop w:val="0"/>
      <w:marBottom w:val="0"/>
      <w:divBdr>
        <w:top w:val="none" w:sz="0" w:space="0" w:color="auto"/>
        <w:left w:val="none" w:sz="0" w:space="0" w:color="auto"/>
        <w:bottom w:val="none" w:sz="0" w:space="0" w:color="auto"/>
        <w:right w:val="none" w:sz="0" w:space="0" w:color="auto"/>
      </w:divBdr>
    </w:div>
    <w:div w:id="1596788288">
      <w:bodyDiv w:val="1"/>
      <w:marLeft w:val="0"/>
      <w:marRight w:val="0"/>
      <w:marTop w:val="0"/>
      <w:marBottom w:val="0"/>
      <w:divBdr>
        <w:top w:val="none" w:sz="0" w:space="0" w:color="auto"/>
        <w:left w:val="none" w:sz="0" w:space="0" w:color="auto"/>
        <w:bottom w:val="none" w:sz="0" w:space="0" w:color="auto"/>
        <w:right w:val="none" w:sz="0" w:space="0" w:color="auto"/>
      </w:divBdr>
    </w:div>
    <w:div w:id="1596792267">
      <w:bodyDiv w:val="1"/>
      <w:marLeft w:val="0"/>
      <w:marRight w:val="0"/>
      <w:marTop w:val="0"/>
      <w:marBottom w:val="0"/>
      <w:divBdr>
        <w:top w:val="none" w:sz="0" w:space="0" w:color="auto"/>
        <w:left w:val="none" w:sz="0" w:space="0" w:color="auto"/>
        <w:bottom w:val="none" w:sz="0" w:space="0" w:color="auto"/>
        <w:right w:val="none" w:sz="0" w:space="0" w:color="auto"/>
      </w:divBdr>
    </w:div>
    <w:div w:id="1597253785">
      <w:bodyDiv w:val="1"/>
      <w:marLeft w:val="0"/>
      <w:marRight w:val="0"/>
      <w:marTop w:val="0"/>
      <w:marBottom w:val="0"/>
      <w:divBdr>
        <w:top w:val="none" w:sz="0" w:space="0" w:color="auto"/>
        <w:left w:val="none" w:sz="0" w:space="0" w:color="auto"/>
        <w:bottom w:val="none" w:sz="0" w:space="0" w:color="auto"/>
        <w:right w:val="none" w:sz="0" w:space="0" w:color="auto"/>
      </w:divBdr>
    </w:div>
    <w:div w:id="1597400406">
      <w:bodyDiv w:val="1"/>
      <w:marLeft w:val="0"/>
      <w:marRight w:val="0"/>
      <w:marTop w:val="0"/>
      <w:marBottom w:val="0"/>
      <w:divBdr>
        <w:top w:val="none" w:sz="0" w:space="0" w:color="auto"/>
        <w:left w:val="none" w:sz="0" w:space="0" w:color="auto"/>
        <w:bottom w:val="none" w:sz="0" w:space="0" w:color="auto"/>
        <w:right w:val="none" w:sz="0" w:space="0" w:color="auto"/>
      </w:divBdr>
    </w:div>
    <w:div w:id="1597708062">
      <w:bodyDiv w:val="1"/>
      <w:marLeft w:val="0"/>
      <w:marRight w:val="0"/>
      <w:marTop w:val="0"/>
      <w:marBottom w:val="0"/>
      <w:divBdr>
        <w:top w:val="none" w:sz="0" w:space="0" w:color="auto"/>
        <w:left w:val="none" w:sz="0" w:space="0" w:color="auto"/>
        <w:bottom w:val="none" w:sz="0" w:space="0" w:color="auto"/>
        <w:right w:val="none" w:sz="0" w:space="0" w:color="auto"/>
      </w:divBdr>
    </w:div>
    <w:div w:id="1598252240">
      <w:bodyDiv w:val="1"/>
      <w:marLeft w:val="0"/>
      <w:marRight w:val="0"/>
      <w:marTop w:val="0"/>
      <w:marBottom w:val="0"/>
      <w:divBdr>
        <w:top w:val="none" w:sz="0" w:space="0" w:color="auto"/>
        <w:left w:val="none" w:sz="0" w:space="0" w:color="auto"/>
        <w:bottom w:val="none" w:sz="0" w:space="0" w:color="auto"/>
        <w:right w:val="none" w:sz="0" w:space="0" w:color="auto"/>
      </w:divBdr>
    </w:div>
    <w:div w:id="1598513621">
      <w:bodyDiv w:val="1"/>
      <w:marLeft w:val="0"/>
      <w:marRight w:val="0"/>
      <w:marTop w:val="0"/>
      <w:marBottom w:val="0"/>
      <w:divBdr>
        <w:top w:val="none" w:sz="0" w:space="0" w:color="auto"/>
        <w:left w:val="none" w:sz="0" w:space="0" w:color="auto"/>
        <w:bottom w:val="none" w:sz="0" w:space="0" w:color="auto"/>
        <w:right w:val="none" w:sz="0" w:space="0" w:color="auto"/>
      </w:divBdr>
    </w:div>
    <w:div w:id="1598633091">
      <w:bodyDiv w:val="1"/>
      <w:marLeft w:val="0"/>
      <w:marRight w:val="0"/>
      <w:marTop w:val="0"/>
      <w:marBottom w:val="0"/>
      <w:divBdr>
        <w:top w:val="none" w:sz="0" w:space="0" w:color="auto"/>
        <w:left w:val="none" w:sz="0" w:space="0" w:color="auto"/>
        <w:bottom w:val="none" w:sz="0" w:space="0" w:color="auto"/>
        <w:right w:val="none" w:sz="0" w:space="0" w:color="auto"/>
      </w:divBdr>
    </w:div>
    <w:div w:id="1598706944">
      <w:bodyDiv w:val="1"/>
      <w:marLeft w:val="0"/>
      <w:marRight w:val="0"/>
      <w:marTop w:val="0"/>
      <w:marBottom w:val="0"/>
      <w:divBdr>
        <w:top w:val="none" w:sz="0" w:space="0" w:color="auto"/>
        <w:left w:val="none" w:sz="0" w:space="0" w:color="auto"/>
        <w:bottom w:val="none" w:sz="0" w:space="0" w:color="auto"/>
        <w:right w:val="none" w:sz="0" w:space="0" w:color="auto"/>
      </w:divBdr>
    </w:div>
    <w:div w:id="1598903748">
      <w:bodyDiv w:val="1"/>
      <w:marLeft w:val="0"/>
      <w:marRight w:val="0"/>
      <w:marTop w:val="0"/>
      <w:marBottom w:val="0"/>
      <w:divBdr>
        <w:top w:val="none" w:sz="0" w:space="0" w:color="auto"/>
        <w:left w:val="none" w:sz="0" w:space="0" w:color="auto"/>
        <w:bottom w:val="none" w:sz="0" w:space="0" w:color="auto"/>
        <w:right w:val="none" w:sz="0" w:space="0" w:color="auto"/>
      </w:divBdr>
    </w:div>
    <w:div w:id="1599022354">
      <w:bodyDiv w:val="1"/>
      <w:marLeft w:val="0"/>
      <w:marRight w:val="0"/>
      <w:marTop w:val="0"/>
      <w:marBottom w:val="0"/>
      <w:divBdr>
        <w:top w:val="none" w:sz="0" w:space="0" w:color="auto"/>
        <w:left w:val="none" w:sz="0" w:space="0" w:color="auto"/>
        <w:bottom w:val="none" w:sz="0" w:space="0" w:color="auto"/>
        <w:right w:val="none" w:sz="0" w:space="0" w:color="auto"/>
      </w:divBdr>
    </w:div>
    <w:div w:id="1600213579">
      <w:bodyDiv w:val="1"/>
      <w:marLeft w:val="0"/>
      <w:marRight w:val="0"/>
      <w:marTop w:val="0"/>
      <w:marBottom w:val="0"/>
      <w:divBdr>
        <w:top w:val="none" w:sz="0" w:space="0" w:color="auto"/>
        <w:left w:val="none" w:sz="0" w:space="0" w:color="auto"/>
        <w:bottom w:val="none" w:sz="0" w:space="0" w:color="auto"/>
        <w:right w:val="none" w:sz="0" w:space="0" w:color="auto"/>
      </w:divBdr>
    </w:div>
    <w:div w:id="1600484511">
      <w:bodyDiv w:val="1"/>
      <w:marLeft w:val="0"/>
      <w:marRight w:val="0"/>
      <w:marTop w:val="0"/>
      <w:marBottom w:val="0"/>
      <w:divBdr>
        <w:top w:val="none" w:sz="0" w:space="0" w:color="auto"/>
        <w:left w:val="none" w:sz="0" w:space="0" w:color="auto"/>
        <w:bottom w:val="none" w:sz="0" w:space="0" w:color="auto"/>
        <w:right w:val="none" w:sz="0" w:space="0" w:color="auto"/>
      </w:divBdr>
    </w:div>
    <w:div w:id="1600680938">
      <w:bodyDiv w:val="1"/>
      <w:marLeft w:val="0"/>
      <w:marRight w:val="0"/>
      <w:marTop w:val="0"/>
      <w:marBottom w:val="0"/>
      <w:divBdr>
        <w:top w:val="none" w:sz="0" w:space="0" w:color="auto"/>
        <w:left w:val="none" w:sz="0" w:space="0" w:color="auto"/>
        <w:bottom w:val="none" w:sz="0" w:space="0" w:color="auto"/>
        <w:right w:val="none" w:sz="0" w:space="0" w:color="auto"/>
      </w:divBdr>
    </w:div>
    <w:div w:id="1600718782">
      <w:bodyDiv w:val="1"/>
      <w:marLeft w:val="0"/>
      <w:marRight w:val="0"/>
      <w:marTop w:val="0"/>
      <w:marBottom w:val="0"/>
      <w:divBdr>
        <w:top w:val="none" w:sz="0" w:space="0" w:color="auto"/>
        <w:left w:val="none" w:sz="0" w:space="0" w:color="auto"/>
        <w:bottom w:val="none" w:sz="0" w:space="0" w:color="auto"/>
        <w:right w:val="none" w:sz="0" w:space="0" w:color="auto"/>
      </w:divBdr>
    </w:div>
    <w:div w:id="1600720880">
      <w:bodyDiv w:val="1"/>
      <w:marLeft w:val="0"/>
      <w:marRight w:val="0"/>
      <w:marTop w:val="0"/>
      <w:marBottom w:val="0"/>
      <w:divBdr>
        <w:top w:val="none" w:sz="0" w:space="0" w:color="auto"/>
        <w:left w:val="none" w:sz="0" w:space="0" w:color="auto"/>
        <w:bottom w:val="none" w:sz="0" w:space="0" w:color="auto"/>
        <w:right w:val="none" w:sz="0" w:space="0" w:color="auto"/>
      </w:divBdr>
    </w:div>
    <w:div w:id="1600791655">
      <w:bodyDiv w:val="1"/>
      <w:marLeft w:val="0"/>
      <w:marRight w:val="0"/>
      <w:marTop w:val="0"/>
      <w:marBottom w:val="0"/>
      <w:divBdr>
        <w:top w:val="none" w:sz="0" w:space="0" w:color="auto"/>
        <w:left w:val="none" w:sz="0" w:space="0" w:color="auto"/>
        <w:bottom w:val="none" w:sz="0" w:space="0" w:color="auto"/>
        <w:right w:val="none" w:sz="0" w:space="0" w:color="auto"/>
      </w:divBdr>
    </w:div>
    <w:div w:id="1601373430">
      <w:bodyDiv w:val="1"/>
      <w:marLeft w:val="0"/>
      <w:marRight w:val="0"/>
      <w:marTop w:val="0"/>
      <w:marBottom w:val="0"/>
      <w:divBdr>
        <w:top w:val="none" w:sz="0" w:space="0" w:color="auto"/>
        <w:left w:val="none" w:sz="0" w:space="0" w:color="auto"/>
        <w:bottom w:val="none" w:sz="0" w:space="0" w:color="auto"/>
        <w:right w:val="none" w:sz="0" w:space="0" w:color="auto"/>
      </w:divBdr>
    </w:div>
    <w:div w:id="1601449379">
      <w:bodyDiv w:val="1"/>
      <w:marLeft w:val="0"/>
      <w:marRight w:val="0"/>
      <w:marTop w:val="0"/>
      <w:marBottom w:val="0"/>
      <w:divBdr>
        <w:top w:val="none" w:sz="0" w:space="0" w:color="auto"/>
        <w:left w:val="none" w:sz="0" w:space="0" w:color="auto"/>
        <w:bottom w:val="none" w:sz="0" w:space="0" w:color="auto"/>
        <w:right w:val="none" w:sz="0" w:space="0" w:color="auto"/>
      </w:divBdr>
    </w:div>
    <w:div w:id="1601714640">
      <w:bodyDiv w:val="1"/>
      <w:marLeft w:val="0"/>
      <w:marRight w:val="0"/>
      <w:marTop w:val="0"/>
      <w:marBottom w:val="0"/>
      <w:divBdr>
        <w:top w:val="none" w:sz="0" w:space="0" w:color="auto"/>
        <w:left w:val="none" w:sz="0" w:space="0" w:color="auto"/>
        <w:bottom w:val="none" w:sz="0" w:space="0" w:color="auto"/>
        <w:right w:val="none" w:sz="0" w:space="0" w:color="auto"/>
      </w:divBdr>
    </w:div>
    <w:div w:id="1601916846">
      <w:bodyDiv w:val="1"/>
      <w:marLeft w:val="0"/>
      <w:marRight w:val="0"/>
      <w:marTop w:val="0"/>
      <w:marBottom w:val="0"/>
      <w:divBdr>
        <w:top w:val="none" w:sz="0" w:space="0" w:color="auto"/>
        <w:left w:val="none" w:sz="0" w:space="0" w:color="auto"/>
        <w:bottom w:val="none" w:sz="0" w:space="0" w:color="auto"/>
        <w:right w:val="none" w:sz="0" w:space="0" w:color="auto"/>
      </w:divBdr>
    </w:div>
    <w:div w:id="1602641377">
      <w:bodyDiv w:val="1"/>
      <w:marLeft w:val="0"/>
      <w:marRight w:val="0"/>
      <w:marTop w:val="0"/>
      <w:marBottom w:val="0"/>
      <w:divBdr>
        <w:top w:val="none" w:sz="0" w:space="0" w:color="auto"/>
        <w:left w:val="none" w:sz="0" w:space="0" w:color="auto"/>
        <w:bottom w:val="none" w:sz="0" w:space="0" w:color="auto"/>
        <w:right w:val="none" w:sz="0" w:space="0" w:color="auto"/>
      </w:divBdr>
    </w:div>
    <w:div w:id="1602685358">
      <w:bodyDiv w:val="1"/>
      <w:marLeft w:val="0"/>
      <w:marRight w:val="0"/>
      <w:marTop w:val="0"/>
      <w:marBottom w:val="0"/>
      <w:divBdr>
        <w:top w:val="none" w:sz="0" w:space="0" w:color="auto"/>
        <w:left w:val="none" w:sz="0" w:space="0" w:color="auto"/>
        <w:bottom w:val="none" w:sz="0" w:space="0" w:color="auto"/>
        <w:right w:val="none" w:sz="0" w:space="0" w:color="auto"/>
      </w:divBdr>
    </w:div>
    <w:div w:id="1603417364">
      <w:bodyDiv w:val="1"/>
      <w:marLeft w:val="0"/>
      <w:marRight w:val="0"/>
      <w:marTop w:val="0"/>
      <w:marBottom w:val="0"/>
      <w:divBdr>
        <w:top w:val="none" w:sz="0" w:space="0" w:color="auto"/>
        <w:left w:val="none" w:sz="0" w:space="0" w:color="auto"/>
        <w:bottom w:val="none" w:sz="0" w:space="0" w:color="auto"/>
        <w:right w:val="none" w:sz="0" w:space="0" w:color="auto"/>
      </w:divBdr>
    </w:div>
    <w:div w:id="1604219417">
      <w:bodyDiv w:val="1"/>
      <w:marLeft w:val="0"/>
      <w:marRight w:val="0"/>
      <w:marTop w:val="0"/>
      <w:marBottom w:val="0"/>
      <w:divBdr>
        <w:top w:val="none" w:sz="0" w:space="0" w:color="auto"/>
        <w:left w:val="none" w:sz="0" w:space="0" w:color="auto"/>
        <w:bottom w:val="none" w:sz="0" w:space="0" w:color="auto"/>
        <w:right w:val="none" w:sz="0" w:space="0" w:color="auto"/>
      </w:divBdr>
    </w:div>
    <w:div w:id="1604458182">
      <w:bodyDiv w:val="1"/>
      <w:marLeft w:val="0"/>
      <w:marRight w:val="0"/>
      <w:marTop w:val="0"/>
      <w:marBottom w:val="0"/>
      <w:divBdr>
        <w:top w:val="none" w:sz="0" w:space="0" w:color="auto"/>
        <w:left w:val="none" w:sz="0" w:space="0" w:color="auto"/>
        <w:bottom w:val="none" w:sz="0" w:space="0" w:color="auto"/>
        <w:right w:val="none" w:sz="0" w:space="0" w:color="auto"/>
      </w:divBdr>
    </w:div>
    <w:div w:id="1604875888">
      <w:bodyDiv w:val="1"/>
      <w:marLeft w:val="0"/>
      <w:marRight w:val="0"/>
      <w:marTop w:val="0"/>
      <w:marBottom w:val="0"/>
      <w:divBdr>
        <w:top w:val="none" w:sz="0" w:space="0" w:color="auto"/>
        <w:left w:val="none" w:sz="0" w:space="0" w:color="auto"/>
        <w:bottom w:val="none" w:sz="0" w:space="0" w:color="auto"/>
        <w:right w:val="none" w:sz="0" w:space="0" w:color="auto"/>
      </w:divBdr>
    </w:div>
    <w:div w:id="1605068765">
      <w:bodyDiv w:val="1"/>
      <w:marLeft w:val="0"/>
      <w:marRight w:val="0"/>
      <w:marTop w:val="0"/>
      <w:marBottom w:val="0"/>
      <w:divBdr>
        <w:top w:val="none" w:sz="0" w:space="0" w:color="auto"/>
        <w:left w:val="none" w:sz="0" w:space="0" w:color="auto"/>
        <w:bottom w:val="none" w:sz="0" w:space="0" w:color="auto"/>
        <w:right w:val="none" w:sz="0" w:space="0" w:color="auto"/>
      </w:divBdr>
    </w:div>
    <w:div w:id="1605111942">
      <w:bodyDiv w:val="1"/>
      <w:marLeft w:val="0"/>
      <w:marRight w:val="0"/>
      <w:marTop w:val="0"/>
      <w:marBottom w:val="0"/>
      <w:divBdr>
        <w:top w:val="none" w:sz="0" w:space="0" w:color="auto"/>
        <w:left w:val="none" w:sz="0" w:space="0" w:color="auto"/>
        <w:bottom w:val="none" w:sz="0" w:space="0" w:color="auto"/>
        <w:right w:val="none" w:sz="0" w:space="0" w:color="auto"/>
      </w:divBdr>
    </w:div>
    <w:div w:id="1605918474">
      <w:bodyDiv w:val="1"/>
      <w:marLeft w:val="0"/>
      <w:marRight w:val="0"/>
      <w:marTop w:val="0"/>
      <w:marBottom w:val="0"/>
      <w:divBdr>
        <w:top w:val="none" w:sz="0" w:space="0" w:color="auto"/>
        <w:left w:val="none" w:sz="0" w:space="0" w:color="auto"/>
        <w:bottom w:val="none" w:sz="0" w:space="0" w:color="auto"/>
        <w:right w:val="none" w:sz="0" w:space="0" w:color="auto"/>
      </w:divBdr>
    </w:div>
    <w:div w:id="1605921671">
      <w:bodyDiv w:val="1"/>
      <w:marLeft w:val="0"/>
      <w:marRight w:val="0"/>
      <w:marTop w:val="0"/>
      <w:marBottom w:val="0"/>
      <w:divBdr>
        <w:top w:val="none" w:sz="0" w:space="0" w:color="auto"/>
        <w:left w:val="none" w:sz="0" w:space="0" w:color="auto"/>
        <w:bottom w:val="none" w:sz="0" w:space="0" w:color="auto"/>
        <w:right w:val="none" w:sz="0" w:space="0" w:color="auto"/>
      </w:divBdr>
    </w:div>
    <w:div w:id="1606839349">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7497433">
      <w:bodyDiv w:val="1"/>
      <w:marLeft w:val="0"/>
      <w:marRight w:val="0"/>
      <w:marTop w:val="0"/>
      <w:marBottom w:val="0"/>
      <w:divBdr>
        <w:top w:val="none" w:sz="0" w:space="0" w:color="auto"/>
        <w:left w:val="none" w:sz="0" w:space="0" w:color="auto"/>
        <w:bottom w:val="none" w:sz="0" w:space="0" w:color="auto"/>
        <w:right w:val="none" w:sz="0" w:space="0" w:color="auto"/>
      </w:divBdr>
    </w:div>
    <w:div w:id="1607732434">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8460756">
      <w:bodyDiv w:val="1"/>
      <w:marLeft w:val="0"/>
      <w:marRight w:val="0"/>
      <w:marTop w:val="0"/>
      <w:marBottom w:val="0"/>
      <w:divBdr>
        <w:top w:val="none" w:sz="0" w:space="0" w:color="auto"/>
        <w:left w:val="none" w:sz="0" w:space="0" w:color="auto"/>
        <w:bottom w:val="none" w:sz="0" w:space="0" w:color="auto"/>
        <w:right w:val="none" w:sz="0" w:space="0" w:color="auto"/>
      </w:divBdr>
    </w:div>
    <w:div w:id="1608805969">
      <w:bodyDiv w:val="1"/>
      <w:marLeft w:val="0"/>
      <w:marRight w:val="0"/>
      <w:marTop w:val="0"/>
      <w:marBottom w:val="0"/>
      <w:divBdr>
        <w:top w:val="none" w:sz="0" w:space="0" w:color="auto"/>
        <w:left w:val="none" w:sz="0" w:space="0" w:color="auto"/>
        <w:bottom w:val="none" w:sz="0" w:space="0" w:color="auto"/>
        <w:right w:val="none" w:sz="0" w:space="0" w:color="auto"/>
      </w:divBdr>
    </w:div>
    <w:div w:id="1608808226">
      <w:bodyDiv w:val="1"/>
      <w:marLeft w:val="0"/>
      <w:marRight w:val="0"/>
      <w:marTop w:val="0"/>
      <w:marBottom w:val="0"/>
      <w:divBdr>
        <w:top w:val="none" w:sz="0" w:space="0" w:color="auto"/>
        <w:left w:val="none" w:sz="0" w:space="0" w:color="auto"/>
        <w:bottom w:val="none" w:sz="0" w:space="0" w:color="auto"/>
        <w:right w:val="none" w:sz="0" w:space="0" w:color="auto"/>
      </w:divBdr>
    </w:div>
    <w:div w:id="1609115317">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163560">
      <w:bodyDiv w:val="1"/>
      <w:marLeft w:val="0"/>
      <w:marRight w:val="0"/>
      <w:marTop w:val="0"/>
      <w:marBottom w:val="0"/>
      <w:divBdr>
        <w:top w:val="none" w:sz="0" w:space="0" w:color="auto"/>
        <w:left w:val="none" w:sz="0" w:space="0" w:color="auto"/>
        <w:bottom w:val="none" w:sz="0" w:space="0" w:color="auto"/>
        <w:right w:val="none" w:sz="0" w:space="0" w:color="auto"/>
      </w:divBdr>
    </w:div>
    <w:div w:id="1611551060">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1665142">
      <w:bodyDiv w:val="1"/>
      <w:marLeft w:val="0"/>
      <w:marRight w:val="0"/>
      <w:marTop w:val="0"/>
      <w:marBottom w:val="0"/>
      <w:divBdr>
        <w:top w:val="none" w:sz="0" w:space="0" w:color="auto"/>
        <w:left w:val="none" w:sz="0" w:space="0" w:color="auto"/>
        <w:bottom w:val="none" w:sz="0" w:space="0" w:color="auto"/>
        <w:right w:val="none" w:sz="0" w:space="0" w:color="auto"/>
      </w:divBdr>
    </w:div>
    <w:div w:id="1612474448">
      <w:bodyDiv w:val="1"/>
      <w:marLeft w:val="0"/>
      <w:marRight w:val="0"/>
      <w:marTop w:val="0"/>
      <w:marBottom w:val="0"/>
      <w:divBdr>
        <w:top w:val="none" w:sz="0" w:space="0" w:color="auto"/>
        <w:left w:val="none" w:sz="0" w:space="0" w:color="auto"/>
        <w:bottom w:val="none" w:sz="0" w:space="0" w:color="auto"/>
        <w:right w:val="none" w:sz="0" w:space="0" w:color="auto"/>
      </w:divBdr>
    </w:div>
    <w:div w:id="1612545464">
      <w:bodyDiv w:val="1"/>
      <w:marLeft w:val="0"/>
      <w:marRight w:val="0"/>
      <w:marTop w:val="0"/>
      <w:marBottom w:val="0"/>
      <w:divBdr>
        <w:top w:val="none" w:sz="0" w:space="0" w:color="auto"/>
        <w:left w:val="none" w:sz="0" w:space="0" w:color="auto"/>
        <w:bottom w:val="none" w:sz="0" w:space="0" w:color="auto"/>
        <w:right w:val="none" w:sz="0" w:space="0" w:color="auto"/>
      </w:divBdr>
    </w:div>
    <w:div w:id="1612585384">
      <w:bodyDiv w:val="1"/>
      <w:marLeft w:val="0"/>
      <w:marRight w:val="0"/>
      <w:marTop w:val="0"/>
      <w:marBottom w:val="0"/>
      <w:divBdr>
        <w:top w:val="none" w:sz="0" w:space="0" w:color="auto"/>
        <w:left w:val="none" w:sz="0" w:space="0" w:color="auto"/>
        <w:bottom w:val="none" w:sz="0" w:space="0" w:color="auto"/>
        <w:right w:val="none" w:sz="0" w:space="0" w:color="auto"/>
      </w:divBdr>
    </w:div>
    <w:div w:id="1612591714">
      <w:bodyDiv w:val="1"/>
      <w:marLeft w:val="0"/>
      <w:marRight w:val="0"/>
      <w:marTop w:val="0"/>
      <w:marBottom w:val="0"/>
      <w:divBdr>
        <w:top w:val="none" w:sz="0" w:space="0" w:color="auto"/>
        <w:left w:val="none" w:sz="0" w:space="0" w:color="auto"/>
        <w:bottom w:val="none" w:sz="0" w:space="0" w:color="auto"/>
        <w:right w:val="none" w:sz="0" w:space="0" w:color="auto"/>
      </w:divBdr>
    </w:div>
    <w:div w:id="1612665070">
      <w:bodyDiv w:val="1"/>
      <w:marLeft w:val="0"/>
      <w:marRight w:val="0"/>
      <w:marTop w:val="0"/>
      <w:marBottom w:val="0"/>
      <w:divBdr>
        <w:top w:val="none" w:sz="0" w:space="0" w:color="auto"/>
        <w:left w:val="none" w:sz="0" w:space="0" w:color="auto"/>
        <w:bottom w:val="none" w:sz="0" w:space="0" w:color="auto"/>
        <w:right w:val="none" w:sz="0" w:space="0" w:color="auto"/>
      </w:divBdr>
    </w:div>
    <w:div w:id="1612666839">
      <w:bodyDiv w:val="1"/>
      <w:marLeft w:val="0"/>
      <w:marRight w:val="0"/>
      <w:marTop w:val="0"/>
      <w:marBottom w:val="0"/>
      <w:divBdr>
        <w:top w:val="none" w:sz="0" w:space="0" w:color="auto"/>
        <w:left w:val="none" w:sz="0" w:space="0" w:color="auto"/>
        <w:bottom w:val="none" w:sz="0" w:space="0" w:color="auto"/>
        <w:right w:val="none" w:sz="0" w:space="0" w:color="auto"/>
      </w:divBdr>
    </w:div>
    <w:div w:id="1613321665">
      <w:bodyDiv w:val="1"/>
      <w:marLeft w:val="0"/>
      <w:marRight w:val="0"/>
      <w:marTop w:val="0"/>
      <w:marBottom w:val="0"/>
      <w:divBdr>
        <w:top w:val="none" w:sz="0" w:space="0" w:color="auto"/>
        <w:left w:val="none" w:sz="0" w:space="0" w:color="auto"/>
        <w:bottom w:val="none" w:sz="0" w:space="0" w:color="auto"/>
        <w:right w:val="none" w:sz="0" w:space="0" w:color="auto"/>
      </w:divBdr>
    </w:div>
    <w:div w:id="1613785994">
      <w:bodyDiv w:val="1"/>
      <w:marLeft w:val="0"/>
      <w:marRight w:val="0"/>
      <w:marTop w:val="0"/>
      <w:marBottom w:val="0"/>
      <w:divBdr>
        <w:top w:val="none" w:sz="0" w:space="0" w:color="auto"/>
        <w:left w:val="none" w:sz="0" w:space="0" w:color="auto"/>
        <w:bottom w:val="none" w:sz="0" w:space="0" w:color="auto"/>
        <w:right w:val="none" w:sz="0" w:space="0" w:color="auto"/>
      </w:divBdr>
    </w:div>
    <w:div w:id="1614291264">
      <w:bodyDiv w:val="1"/>
      <w:marLeft w:val="0"/>
      <w:marRight w:val="0"/>
      <w:marTop w:val="0"/>
      <w:marBottom w:val="0"/>
      <w:divBdr>
        <w:top w:val="none" w:sz="0" w:space="0" w:color="auto"/>
        <w:left w:val="none" w:sz="0" w:space="0" w:color="auto"/>
        <w:bottom w:val="none" w:sz="0" w:space="0" w:color="auto"/>
        <w:right w:val="none" w:sz="0" w:space="0" w:color="auto"/>
      </w:divBdr>
    </w:div>
    <w:div w:id="1614357696">
      <w:bodyDiv w:val="1"/>
      <w:marLeft w:val="0"/>
      <w:marRight w:val="0"/>
      <w:marTop w:val="0"/>
      <w:marBottom w:val="0"/>
      <w:divBdr>
        <w:top w:val="none" w:sz="0" w:space="0" w:color="auto"/>
        <w:left w:val="none" w:sz="0" w:space="0" w:color="auto"/>
        <w:bottom w:val="none" w:sz="0" w:space="0" w:color="auto"/>
        <w:right w:val="none" w:sz="0" w:space="0" w:color="auto"/>
      </w:divBdr>
    </w:div>
    <w:div w:id="1614359457">
      <w:bodyDiv w:val="1"/>
      <w:marLeft w:val="0"/>
      <w:marRight w:val="0"/>
      <w:marTop w:val="0"/>
      <w:marBottom w:val="0"/>
      <w:divBdr>
        <w:top w:val="none" w:sz="0" w:space="0" w:color="auto"/>
        <w:left w:val="none" w:sz="0" w:space="0" w:color="auto"/>
        <w:bottom w:val="none" w:sz="0" w:space="0" w:color="auto"/>
        <w:right w:val="none" w:sz="0" w:space="0" w:color="auto"/>
      </w:divBdr>
    </w:div>
    <w:div w:id="1614480002">
      <w:bodyDiv w:val="1"/>
      <w:marLeft w:val="0"/>
      <w:marRight w:val="0"/>
      <w:marTop w:val="0"/>
      <w:marBottom w:val="0"/>
      <w:divBdr>
        <w:top w:val="none" w:sz="0" w:space="0" w:color="auto"/>
        <w:left w:val="none" w:sz="0" w:space="0" w:color="auto"/>
        <w:bottom w:val="none" w:sz="0" w:space="0" w:color="auto"/>
        <w:right w:val="none" w:sz="0" w:space="0" w:color="auto"/>
      </w:divBdr>
    </w:div>
    <w:div w:id="1614483133">
      <w:bodyDiv w:val="1"/>
      <w:marLeft w:val="0"/>
      <w:marRight w:val="0"/>
      <w:marTop w:val="0"/>
      <w:marBottom w:val="0"/>
      <w:divBdr>
        <w:top w:val="none" w:sz="0" w:space="0" w:color="auto"/>
        <w:left w:val="none" w:sz="0" w:space="0" w:color="auto"/>
        <w:bottom w:val="none" w:sz="0" w:space="0" w:color="auto"/>
        <w:right w:val="none" w:sz="0" w:space="0" w:color="auto"/>
      </w:divBdr>
    </w:div>
    <w:div w:id="1614902091">
      <w:bodyDiv w:val="1"/>
      <w:marLeft w:val="0"/>
      <w:marRight w:val="0"/>
      <w:marTop w:val="0"/>
      <w:marBottom w:val="0"/>
      <w:divBdr>
        <w:top w:val="none" w:sz="0" w:space="0" w:color="auto"/>
        <w:left w:val="none" w:sz="0" w:space="0" w:color="auto"/>
        <w:bottom w:val="none" w:sz="0" w:space="0" w:color="auto"/>
        <w:right w:val="none" w:sz="0" w:space="0" w:color="auto"/>
      </w:divBdr>
    </w:div>
    <w:div w:id="1614943679">
      <w:bodyDiv w:val="1"/>
      <w:marLeft w:val="0"/>
      <w:marRight w:val="0"/>
      <w:marTop w:val="0"/>
      <w:marBottom w:val="0"/>
      <w:divBdr>
        <w:top w:val="none" w:sz="0" w:space="0" w:color="auto"/>
        <w:left w:val="none" w:sz="0" w:space="0" w:color="auto"/>
        <w:bottom w:val="none" w:sz="0" w:space="0" w:color="auto"/>
        <w:right w:val="none" w:sz="0" w:space="0" w:color="auto"/>
      </w:divBdr>
    </w:div>
    <w:div w:id="1614946026">
      <w:bodyDiv w:val="1"/>
      <w:marLeft w:val="0"/>
      <w:marRight w:val="0"/>
      <w:marTop w:val="0"/>
      <w:marBottom w:val="0"/>
      <w:divBdr>
        <w:top w:val="none" w:sz="0" w:space="0" w:color="auto"/>
        <w:left w:val="none" w:sz="0" w:space="0" w:color="auto"/>
        <w:bottom w:val="none" w:sz="0" w:space="0" w:color="auto"/>
        <w:right w:val="none" w:sz="0" w:space="0" w:color="auto"/>
      </w:divBdr>
    </w:div>
    <w:div w:id="1615285503">
      <w:bodyDiv w:val="1"/>
      <w:marLeft w:val="0"/>
      <w:marRight w:val="0"/>
      <w:marTop w:val="0"/>
      <w:marBottom w:val="0"/>
      <w:divBdr>
        <w:top w:val="none" w:sz="0" w:space="0" w:color="auto"/>
        <w:left w:val="none" w:sz="0" w:space="0" w:color="auto"/>
        <w:bottom w:val="none" w:sz="0" w:space="0" w:color="auto"/>
        <w:right w:val="none" w:sz="0" w:space="0" w:color="auto"/>
      </w:divBdr>
    </w:div>
    <w:div w:id="1615333088">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16013442">
      <w:bodyDiv w:val="1"/>
      <w:marLeft w:val="0"/>
      <w:marRight w:val="0"/>
      <w:marTop w:val="0"/>
      <w:marBottom w:val="0"/>
      <w:divBdr>
        <w:top w:val="none" w:sz="0" w:space="0" w:color="auto"/>
        <w:left w:val="none" w:sz="0" w:space="0" w:color="auto"/>
        <w:bottom w:val="none" w:sz="0" w:space="0" w:color="auto"/>
        <w:right w:val="none" w:sz="0" w:space="0" w:color="auto"/>
      </w:divBdr>
    </w:div>
    <w:div w:id="1616131558">
      <w:bodyDiv w:val="1"/>
      <w:marLeft w:val="0"/>
      <w:marRight w:val="0"/>
      <w:marTop w:val="0"/>
      <w:marBottom w:val="0"/>
      <w:divBdr>
        <w:top w:val="none" w:sz="0" w:space="0" w:color="auto"/>
        <w:left w:val="none" w:sz="0" w:space="0" w:color="auto"/>
        <w:bottom w:val="none" w:sz="0" w:space="0" w:color="auto"/>
        <w:right w:val="none" w:sz="0" w:space="0" w:color="auto"/>
      </w:divBdr>
    </w:div>
    <w:div w:id="1616405135">
      <w:bodyDiv w:val="1"/>
      <w:marLeft w:val="0"/>
      <w:marRight w:val="0"/>
      <w:marTop w:val="0"/>
      <w:marBottom w:val="0"/>
      <w:divBdr>
        <w:top w:val="none" w:sz="0" w:space="0" w:color="auto"/>
        <w:left w:val="none" w:sz="0" w:space="0" w:color="auto"/>
        <w:bottom w:val="none" w:sz="0" w:space="0" w:color="auto"/>
        <w:right w:val="none" w:sz="0" w:space="0" w:color="auto"/>
      </w:divBdr>
    </w:div>
    <w:div w:id="1616671188">
      <w:bodyDiv w:val="1"/>
      <w:marLeft w:val="0"/>
      <w:marRight w:val="0"/>
      <w:marTop w:val="0"/>
      <w:marBottom w:val="0"/>
      <w:divBdr>
        <w:top w:val="none" w:sz="0" w:space="0" w:color="auto"/>
        <w:left w:val="none" w:sz="0" w:space="0" w:color="auto"/>
        <w:bottom w:val="none" w:sz="0" w:space="0" w:color="auto"/>
        <w:right w:val="none" w:sz="0" w:space="0" w:color="auto"/>
      </w:divBdr>
    </w:div>
    <w:div w:id="1616671614">
      <w:bodyDiv w:val="1"/>
      <w:marLeft w:val="0"/>
      <w:marRight w:val="0"/>
      <w:marTop w:val="0"/>
      <w:marBottom w:val="0"/>
      <w:divBdr>
        <w:top w:val="none" w:sz="0" w:space="0" w:color="auto"/>
        <w:left w:val="none" w:sz="0" w:space="0" w:color="auto"/>
        <w:bottom w:val="none" w:sz="0" w:space="0" w:color="auto"/>
        <w:right w:val="none" w:sz="0" w:space="0" w:color="auto"/>
      </w:divBdr>
    </w:div>
    <w:div w:id="1617247626">
      <w:bodyDiv w:val="1"/>
      <w:marLeft w:val="0"/>
      <w:marRight w:val="0"/>
      <w:marTop w:val="0"/>
      <w:marBottom w:val="0"/>
      <w:divBdr>
        <w:top w:val="none" w:sz="0" w:space="0" w:color="auto"/>
        <w:left w:val="none" w:sz="0" w:space="0" w:color="auto"/>
        <w:bottom w:val="none" w:sz="0" w:space="0" w:color="auto"/>
        <w:right w:val="none" w:sz="0" w:space="0" w:color="auto"/>
      </w:divBdr>
    </w:div>
    <w:div w:id="1617565789">
      <w:bodyDiv w:val="1"/>
      <w:marLeft w:val="0"/>
      <w:marRight w:val="0"/>
      <w:marTop w:val="0"/>
      <w:marBottom w:val="0"/>
      <w:divBdr>
        <w:top w:val="none" w:sz="0" w:space="0" w:color="auto"/>
        <w:left w:val="none" w:sz="0" w:space="0" w:color="auto"/>
        <w:bottom w:val="none" w:sz="0" w:space="0" w:color="auto"/>
        <w:right w:val="none" w:sz="0" w:space="0" w:color="auto"/>
      </w:divBdr>
    </w:div>
    <w:div w:id="1617711331">
      <w:bodyDiv w:val="1"/>
      <w:marLeft w:val="0"/>
      <w:marRight w:val="0"/>
      <w:marTop w:val="0"/>
      <w:marBottom w:val="0"/>
      <w:divBdr>
        <w:top w:val="none" w:sz="0" w:space="0" w:color="auto"/>
        <w:left w:val="none" w:sz="0" w:space="0" w:color="auto"/>
        <w:bottom w:val="none" w:sz="0" w:space="0" w:color="auto"/>
        <w:right w:val="none" w:sz="0" w:space="0" w:color="auto"/>
      </w:divBdr>
    </w:div>
    <w:div w:id="1618105165">
      <w:bodyDiv w:val="1"/>
      <w:marLeft w:val="0"/>
      <w:marRight w:val="0"/>
      <w:marTop w:val="0"/>
      <w:marBottom w:val="0"/>
      <w:divBdr>
        <w:top w:val="none" w:sz="0" w:space="0" w:color="auto"/>
        <w:left w:val="none" w:sz="0" w:space="0" w:color="auto"/>
        <w:bottom w:val="none" w:sz="0" w:space="0" w:color="auto"/>
        <w:right w:val="none" w:sz="0" w:space="0" w:color="auto"/>
      </w:divBdr>
    </w:div>
    <w:div w:id="1618414747">
      <w:bodyDiv w:val="1"/>
      <w:marLeft w:val="0"/>
      <w:marRight w:val="0"/>
      <w:marTop w:val="0"/>
      <w:marBottom w:val="0"/>
      <w:divBdr>
        <w:top w:val="none" w:sz="0" w:space="0" w:color="auto"/>
        <w:left w:val="none" w:sz="0" w:space="0" w:color="auto"/>
        <w:bottom w:val="none" w:sz="0" w:space="0" w:color="auto"/>
        <w:right w:val="none" w:sz="0" w:space="0" w:color="auto"/>
      </w:divBdr>
    </w:div>
    <w:div w:id="1618440670">
      <w:bodyDiv w:val="1"/>
      <w:marLeft w:val="0"/>
      <w:marRight w:val="0"/>
      <w:marTop w:val="0"/>
      <w:marBottom w:val="0"/>
      <w:divBdr>
        <w:top w:val="none" w:sz="0" w:space="0" w:color="auto"/>
        <w:left w:val="none" w:sz="0" w:space="0" w:color="auto"/>
        <w:bottom w:val="none" w:sz="0" w:space="0" w:color="auto"/>
        <w:right w:val="none" w:sz="0" w:space="0" w:color="auto"/>
      </w:divBdr>
    </w:div>
    <w:div w:id="1618487374">
      <w:bodyDiv w:val="1"/>
      <w:marLeft w:val="0"/>
      <w:marRight w:val="0"/>
      <w:marTop w:val="0"/>
      <w:marBottom w:val="0"/>
      <w:divBdr>
        <w:top w:val="none" w:sz="0" w:space="0" w:color="auto"/>
        <w:left w:val="none" w:sz="0" w:space="0" w:color="auto"/>
        <w:bottom w:val="none" w:sz="0" w:space="0" w:color="auto"/>
        <w:right w:val="none" w:sz="0" w:space="0" w:color="auto"/>
      </w:divBdr>
    </w:div>
    <w:div w:id="1619220151">
      <w:bodyDiv w:val="1"/>
      <w:marLeft w:val="0"/>
      <w:marRight w:val="0"/>
      <w:marTop w:val="0"/>
      <w:marBottom w:val="0"/>
      <w:divBdr>
        <w:top w:val="none" w:sz="0" w:space="0" w:color="auto"/>
        <w:left w:val="none" w:sz="0" w:space="0" w:color="auto"/>
        <w:bottom w:val="none" w:sz="0" w:space="0" w:color="auto"/>
        <w:right w:val="none" w:sz="0" w:space="0" w:color="auto"/>
      </w:divBdr>
    </w:div>
    <w:div w:id="1619291237">
      <w:bodyDiv w:val="1"/>
      <w:marLeft w:val="0"/>
      <w:marRight w:val="0"/>
      <w:marTop w:val="0"/>
      <w:marBottom w:val="0"/>
      <w:divBdr>
        <w:top w:val="none" w:sz="0" w:space="0" w:color="auto"/>
        <w:left w:val="none" w:sz="0" w:space="0" w:color="auto"/>
        <w:bottom w:val="none" w:sz="0" w:space="0" w:color="auto"/>
        <w:right w:val="none" w:sz="0" w:space="0" w:color="auto"/>
      </w:divBdr>
    </w:div>
    <w:div w:id="1619334358">
      <w:bodyDiv w:val="1"/>
      <w:marLeft w:val="0"/>
      <w:marRight w:val="0"/>
      <w:marTop w:val="0"/>
      <w:marBottom w:val="0"/>
      <w:divBdr>
        <w:top w:val="none" w:sz="0" w:space="0" w:color="auto"/>
        <w:left w:val="none" w:sz="0" w:space="0" w:color="auto"/>
        <w:bottom w:val="none" w:sz="0" w:space="0" w:color="auto"/>
        <w:right w:val="none" w:sz="0" w:space="0" w:color="auto"/>
      </w:divBdr>
    </w:div>
    <w:div w:id="1619406038">
      <w:bodyDiv w:val="1"/>
      <w:marLeft w:val="0"/>
      <w:marRight w:val="0"/>
      <w:marTop w:val="0"/>
      <w:marBottom w:val="0"/>
      <w:divBdr>
        <w:top w:val="none" w:sz="0" w:space="0" w:color="auto"/>
        <w:left w:val="none" w:sz="0" w:space="0" w:color="auto"/>
        <w:bottom w:val="none" w:sz="0" w:space="0" w:color="auto"/>
        <w:right w:val="none" w:sz="0" w:space="0" w:color="auto"/>
      </w:divBdr>
    </w:div>
    <w:div w:id="1619557462">
      <w:bodyDiv w:val="1"/>
      <w:marLeft w:val="0"/>
      <w:marRight w:val="0"/>
      <w:marTop w:val="0"/>
      <w:marBottom w:val="0"/>
      <w:divBdr>
        <w:top w:val="none" w:sz="0" w:space="0" w:color="auto"/>
        <w:left w:val="none" w:sz="0" w:space="0" w:color="auto"/>
        <w:bottom w:val="none" w:sz="0" w:space="0" w:color="auto"/>
        <w:right w:val="none" w:sz="0" w:space="0" w:color="auto"/>
      </w:divBdr>
    </w:div>
    <w:div w:id="1619877277">
      <w:bodyDiv w:val="1"/>
      <w:marLeft w:val="0"/>
      <w:marRight w:val="0"/>
      <w:marTop w:val="0"/>
      <w:marBottom w:val="0"/>
      <w:divBdr>
        <w:top w:val="none" w:sz="0" w:space="0" w:color="auto"/>
        <w:left w:val="none" w:sz="0" w:space="0" w:color="auto"/>
        <w:bottom w:val="none" w:sz="0" w:space="0" w:color="auto"/>
        <w:right w:val="none" w:sz="0" w:space="0" w:color="auto"/>
      </w:divBdr>
    </w:div>
    <w:div w:id="1620068240">
      <w:bodyDiv w:val="1"/>
      <w:marLeft w:val="0"/>
      <w:marRight w:val="0"/>
      <w:marTop w:val="0"/>
      <w:marBottom w:val="0"/>
      <w:divBdr>
        <w:top w:val="none" w:sz="0" w:space="0" w:color="auto"/>
        <w:left w:val="none" w:sz="0" w:space="0" w:color="auto"/>
        <w:bottom w:val="none" w:sz="0" w:space="0" w:color="auto"/>
        <w:right w:val="none" w:sz="0" w:space="0" w:color="auto"/>
      </w:divBdr>
    </w:div>
    <w:div w:id="1620406118">
      <w:bodyDiv w:val="1"/>
      <w:marLeft w:val="0"/>
      <w:marRight w:val="0"/>
      <w:marTop w:val="0"/>
      <w:marBottom w:val="0"/>
      <w:divBdr>
        <w:top w:val="none" w:sz="0" w:space="0" w:color="auto"/>
        <w:left w:val="none" w:sz="0" w:space="0" w:color="auto"/>
        <w:bottom w:val="none" w:sz="0" w:space="0" w:color="auto"/>
        <w:right w:val="none" w:sz="0" w:space="0" w:color="auto"/>
      </w:divBdr>
    </w:div>
    <w:div w:id="1620456711">
      <w:bodyDiv w:val="1"/>
      <w:marLeft w:val="0"/>
      <w:marRight w:val="0"/>
      <w:marTop w:val="0"/>
      <w:marBottom w:val="0"/>
      <w:divBdr>
        <w:top w:val="none" w:sz="0" w:space="0" w:color="auto"/>
        <w:left w:val="none" w:sz="0" w:space="0" w:color="auto"/>
        <w:bottom w:val="none" w:sz="0" w:space="0" w:color="auto"/>
        <w:right w:val="none" w:sz="0" w:space="0" w:color="auto"/>
      </w:divBdr>
    </w:div>
    <w:div w:id="1620721813">
      <w:bodyDiv w:val="1"/>
      <w:marLeft w:val="0"/>
      <w:marRight w:val="0"/>
      <w:marTop w:val="0"/>
      <w:marBottom w:val="0"/>
      <w:divBdr>
        <w:top w:val="none" w:sz="0" w:space="0" w:color="auto"/>
        <w:left w:val="none" w:sz="0" w:space="0" w:color="auto"/>
        <w:bottom w:val="none" w:sz="0" w:space="0" w:color="auto"/>
        <w:right w:val="none" w:sz="0" w:space="0" w:color="auto"/>
      </w:divBdr>
    </w:div>
    <w:div w:id="1620916234">
      <w:bodyDiv w:val="1"/>
      <w:marLeft w:val="0"/>
      <w:marRight w:val="0"/>
      <w:marTop w:val="0"/>
      <w:marBottom w:val="0"/>
      <w:divBdr>
        <w:top w:val="none" w:sz="0" w:space="0" w:color="auto"/>
        <w:left w:val="none" w:sz="0" w:space="0" w:color="auto"/>
        <w:bottom w:val="none" w:sz="0" w:space="0" w:color="auto"/>
        <w:right w:val="none" w:sz="0" w:space="0" w:color="auto"/>
      </w:divBdr>
    </w:div>
    <w:div w:id="1621300503">
      <w:bodyDiv w:val="1"/>
      <w:marLeft w:val="0"/>
      <w:marRight w:val="0"/>
      <w:marTop w:val="0"/>
      <w:marBottom w:val="0"/>
      <w:divBdr>
        <w:top w:val="none" w:sz="0" w:space="0" w:color="auto"/>
        <w:left w:val="none" w:sz="0" w:space="0" w:color="auto"/>
        <w:bottom w:val="none" w:sz="0" w:space="0" w:color="auto"/>
        <w:right w:val="none" w:sz="0" w:space="0" w:color="auto"/>
      </w:divBdr>
    </w:div>
    <w:div w:id="1622110824">
      <w:bodyDiv w:val="1"/>
      <w:marLeft w:val="0"/>
      <w:marRight w:val="0"/>
      <w:marTop w:val="0"/>
      <w:marBottom w:val="0"/>
      <w:divBdr>
        <w:top w:val="none" w:sz="0" w:space="0" w:color="auto"/>
        <w:left w:val="none" w:sz="0" w:space="0" w:color="auto"/>
        <w:bottom w:val="none" w:sz="0" w:space="0" w:color="auto"/>
        <w:right w:val="none" w:sz="0" w:space="0" w:color="auto"/>
      </w:divBdr>
    </w:div>
    <w:div w:id="1622227959">
      <w:bodyDiv w:val="1"/>
      <w:marLeft w:val="0"/>
      <w:marRight w:val="0"/>
      <w:marTop w:val="0"/>
      <w:marBottom w:val="0"/>
      <w:divBdr>
        <w:top w:val="none" w:sz="0" w:space="0" w:color="auto"/>
        <w:left w:val="none" w:sz="0" w:space="0" w:color="auto"/>
        <w:bottom w:val="none" w:sz="0" w:space="0" w:color="auto"/>
        <w:right w:val="none" w:sz="0" w:space="0" w:color="auto"/>
      </w:divBdr>
    </w:div>
    <w:div w:id="1622490833">
      <w:bodyDiv w:val="1"/>
      <w:marLeft w:val="0"/>
      <w:marRight w:val="0"/>
      <w:marTop w:val="0"/>
      <w:marBottom w:val="0"/>
      <w:divBdr>
        <w:top w:val="none" w:sz="0" w:space="0" w:color="auto"/>
        <w:left w:val="none" w:sz="0" w:space="0" w:color="auto"/>
        <w:bottom w:val="none" w:sz="0" w:space="0" w:color="auto"/>
        <w:right w:val="none" w:sz="0" w:space="0" w:color="auto"/>
      </w:divBdr>
    </w:div>
    <w:div w:id="1622571106">
      <w:bodyDiv w:val="1"/>
      <w:marLeft w:val="0"/>
      <w:marRight w:val="0"/>
      <w:marTop w:val="0"/>
      <w:marBottom w:val="0"/>
      <w:divBdr>
        <w:top w:val="none" w:sz="0" w:space="0" w:color="auto"/>
        <w:left w:val="none" w:sz="0" w:space="0" w:color="auto"/>
        <w:bottom w:val="none" w:sz="0" w:space="0" w:color="auto"/>
        <w:right w:val="none" w:sz="0" w:space="0" w:color="auto"/>
      </w:divBdr>
    </w:div>
    <w:div w:id="1622687555">
      <w:bodyDiv w:val="1"/>
      <w:marLeft w:val="0"/>
      <w:marRight w:val="0"/>
      <w:marTop w:val="0"/>
      <w:marBottom w:val="0"/>
      <w:divBdr>
        <w:top w:val="none" w:sz="0" w:space="0" w:color="auto"/>
        <w:left w:val="none" w:sz="0" w:space="0" w:color="auto"/>
        <w:bottom w:val="none" w:sz="0" w:space="0" w:color="auto"/>
        <w:right w:val="none" w:sz="0" w:space="0" w:color="auto"/>
      </w:divBdr>
    </w:div>
    <w:div w:id="1622762168">
      <w:bodyDiv w:val="1"/>
      <w:marLeft w:val="0"/>
      <w:marRight w:val="0"/>
      <w:marTop w:val="0"/>
      <w:marBottom w:val="0"/>
      <w:divBdr>
        <w:top w:val="none" w:sz="0" w:space="0" w:color="auto"/>
        <w:left w:val="none" w:sz="0" w:space="0" w:color="auto"/>
        <w:bottom w:val="none" w:sz="0" w:space="0" w:color="auto"/>
        <w:right w:val="none" w:sz="0" w:space="0" w:color="auto"/>
      </w:divBdr>
    </w:div>
    <w:div w:id="1623074237">
      <w:bodyDiv w:val="1"/>
      <w:marLeft w:val="0"/>
      <w:marRight w:val="0"/>
      <w:marTop w:val="0"/>
      <w:marBottom w:val="0"/>
      <w:divBdr>
        <w:top w:val="none" w:sz="0" w:space="0" w:color="auto"/>
        <w:left w:val="none" w:sz="0" w:space="0" w:color="auto"/>
        <w:bottom w:val="none" w:sz="0" w:space="0" w:color="auto"/>
        <w:right w:val="none" w:sz="0" w:space="0" w:color="auto"/>
      </w:divBdr>
    </w:div>
    <w:div w:id="1623076366">
      <w:bodyDiv w:val="1"/>
      <w:marLeft w:val="0"/>
      <w:marRight w:val="0"/>
      <w:marTop w:val="0"/>
      <w:marBottom w:val="0"/>
      <w:divBdr>
        <w:top w:val="none" w:sz="0" w:space="0" w:color="auto"/>
        <w:left w:val="none" w:sz="0" w:space="0" w:color="auto"/>
        <w:bottom w:val="none" w:sz="0" w:space="0" w:color="auto"/>
        <w:right w:val="none" w:sz="0" w:space="0" w:color="auto"/>
      </w:divBdr>
    </w:div>
    <w:div w:id="1623415860">
      <w:bodyDiv w:val="1"/>
      <w:marLeft w:val="0"/>
      <w:marRight w:val="0"/>
      <w:marTop w:val="0"/>
      <w:marBottom w:val="0"/>
      <w:divBdr>
        <w:top w:val="none" w:sz="0" w:space="0" w:color="auto"/>
        <w:left w:val="none" w:sz="0" w:space="0" w:color="auto"/>
        <w:bottom w:val="none" w:sz="0" w:space="0" w:color="auto"/>
        <w:right w:val="none" w:sz="0" w:space="0" w:color="auto"/>
      </w:divBdr>
    </w:div>
    <w:div w:id="1623537115">
      <w:bodyDiv w:val="1"/>
      <w:marLeft w:val="0"/>
      <w:marRight w:val="0"/>
      <w:marTop w:val="0"/>
      <w:marBottom w:val="0"/>
      <w:divBdr>
        <w:top w:val="none" w:sz="0" w:space="0" w:color="auto"/>
        <w:left w:val="none" w:sz="0" w:space="0" w:color="auto"/>
        <w:bottom w:val="none" w:sz="0" w:space="0" w:color="auto"/>
        <w:right w:val="none" w:sz="0" w:space="0" w:color="auto"/>
      </w:divBdr>
    </w:div>
    <w:div w:id="1623608599">
      <w:bodyDiv w:val="1"/>
      <w:marLeft w:val="0"/>
      <w:marRight w:val="0"/>
      <w:marTop w:val="0"/>
      <w:marBottom w:val="0"/>
      <w:divBdr>
        <w:top w:val="none" w:sz="0" w:space="0" w:color="auto"/>
        <w:left w:val="none" w:sz="0" w:space="0" w:color="auto"/>
        <w:bottom w:val="none" w:sz="0" w:space="0" w:color="auto"/>
        <w:right w:val="none" w:sz="0" w:space="0" w:color="auto"/>
      </w:divBdr>
    </w:div>
    <w:div w:id="1624379757">
      <w:bodyDiv w:val="1"/>
      <w:marLeft w:val="0"/>
      <w:marRight w:val="0"/>
      <w:marTop w:val="0"/>
      <w:marBottom w:val="0"/>
      <w:divBdr>
        <w:top w:val="none" w:sz="0" w:space="0" w:color="auto"/>
        <w:left w:val="none" w:sz="0" w:space="0" w:color="auto"/>
        <w:bottom w:val="none" w:sz="0" w:space="0" w:color="auto"/>
        <w:right w:val="none" w:sz="0" w:space="0" w:color="auto"/>
      </w:divBdr>
    </w:div>
    <w:div w:id="1624920755">
      <w:bodyDiv w:val="1"/>
      <w:marLeft w:val="0"/>
      <w:marRight w:val="0"/>
      <w:marTop w:val="0"/>
      <w:marBottom w:val="0"/>
      <w:divBdr>
        <w:top w:val="none" w:sz="0" w:space="0" w:color="auto"/>
        <w:left w:val="none" w:sz="0" w:space="0" w:color="auto"/>
        <w:bottom w:val="none" w:sz="0" w:space="0" w:color="auto"/>
        <w:right w:val="none" w:sz="0" w:space="0" w:color="auto"/>
      </w:divBdr>
    </w:div>
    <w:div w:id="1624921704">
      <w:bodyDiv w:val="1"/>
      <w:marLeft w:val="0"/>
      <w:marRight w:val="0"/>
      <w:marTop w:val="0"/>
      <w:marBottom w:val="0"/>
      <w:divBdr>
        <w:top w:val="none" w:sz="0" w:space="0" w:color="auto"/>
        <w:left w:val="none" w:sz="0" w:space="0" w:color="auto"/>
        <w:bottom w:val="none" w:sz="0" w:space="0" w:color="auto"/>
        <w:right w:val="none" w:sz="0" w:space="0" w:color="auto"/>
      </w:divBdr>
    </w:div>
    <w:div w:id="1625034917">
      <w:bodyDiv w:val="1"/>
      <w:marLeft w:val="0"/>
      <w:marRight w:val="0"/>
      <w:marTop w:val="0"/>
      <w:marBottom w:val="0"/>
      <w:divBdr>
        <w:top w:val="none" w:sz="0" w:space="0" w:color="auto"/>
        <w:left w:val="none" w:sz="0" w:space="0" w:color="auto"/>
        <w:bottom w:val="none" w:sz="0" w:space="0" w:color="auto"/>
        <w:right w:val="none" w:sz="0" w:space="0" w:color="auto"/>
      </w:divBdr>
    </w:div>
    <w:div w:id="1625189939">
      <w:bodyDiv w:val="1"/>
      <w:marLeft w:val="0"/>
      <w:marRight w:val="0"/>
      <w:marTop w:val="0"/>
      <w:marBottom w:val="0"/>
      <w:divBdr>
        <w:top w:val="none" w:sz="0" w:space="0" w:color="auto"/>
        <w:left w:val="none" w:sz="0" w:space="0" w:color="auto"/>
        <w:bottom w:val="none" w:sz="0" w:space="0" w:color="auto"/>
        <w:right w:val="none" w:sz="0" w:space="0" w:color="auto"/>
      </w:divBdr>
    </w:div>
    <w:div w:id="1625579893">
      <w:bodyDiv w:val="1"/>
      <w:marLeft w:val="0"/>
      <w:marRight w:val="0"/>
      <w:marTop w:val="0"/>
      <w:marBottom w:val="0"/>
      <w:divBdr>
        <w:top w:val="none" w:sz="0" w:space="0" w:color="auto"/>
        <w:left w:val="none" w:sz="0" w:space="0" w:color="auto"/>
        <w:bottom w:val="none" w:sz="0" w:space="0" w:color="auto"/>
        <w:right w:val="none" w:sz="0" w:space="0" w:color="auto"/>
      </w:divBdr>
    </w:div>
    <w:div w:id="1625623811">
      <w:bodyDiv w:val="1"/>
      <w:marLeft w:val="0"/>
      <w:marRight w:val="0"/>
      <w:marTop w:val="0"/>
      <w:marBottom w:val="0"/>
      <w:divBdr>
        <w:top w:val="none" w:sz="0" w:space="0" w:color="auto"/>
        <w:left w:val="none" w:sz="0" w:space="0" w:color="auto"/>
        <w:bottom w:val="none" w:sz="0" w:space="0" w:color="auto"/>
        <w:right w:val="none" w:sz="0" w:space="0" w:color="auto"/>
      </w:divBdr>
    </w:div>
    <w:div w:id="1626348700">
      <w:bodyDiv w:val="1"/>
      <w:marLeft w:val="0"/>
      <w:marRight w:val="0"/>
      <w:marTop w:val="0"/>
      <w:marBottom w:val="0"/>
      <w:divBdr>
        <w:top w:val="none" w:sz="0" w:space="0" w:color="auto"/>
        <w:left w:val="none" w:sz="0" w:space="0" w:color="auto"/>
        <w:bottom w:val="none" w:sz="0" w:space="0" w:color="auto"/>
        <w:right w:val="none" w:sz="0" w:space="0" w:color="auto"/>
      </w:divBdr>
    </w:div>
    <w:div w:id="1627272746">
      <w:bodyDiv w:val="1"/>
      <w:marLeft w:val="0"/>
      <w:marRight w:val="0"/>
      <w:marTop w:val="0"/>
      <w:marBottom w:val="0"/>
      <w:divBdr>
        <w:top w:val="none" w:sz="0" w:space="0" w:color="auto"/>
        <w:left w:val="none" w:sz="0" w:space="0" w:color="auto"/>
        <w:bottom w:val="none" w:sz="0" w:space="0" w:color="auto"/>
        <w:right w:val="none" w:sz="0" w:space="0" w:color="auto"/>
      </w:divBdr>
    </w:div>
    <w:div w:id="1627540547">
      <w:bodyDiv w:val="1"/>
      <w:marLeft w:val="0"/>
      <w:marRight w:val="0"/>
      <w:marTop w:val="0"/>
      <w:marBottom w:val="0"/>
      <w:divBdr>
        <w:top w:val="none" w:sz="0" w:space="0" w:color="auto"/>
        <w:left w:val="none" w:sz="0" w:space="0" w:color="auto"/>
        <w:bottom w:val="none" w:sz="0" w:space="0" w:color="auto"/>
        <w:right w:val="none" w:sz="0" w:space="0" w:color="auto"/>
      </w:divBdr>
    </w:div>
    <w:div w:id="1627857033">
      <w:bodyDiv w:val="1"/>
      <w:marLeft w:val="0"/>
      <w:marRight w:val="0"/>
      <w:marTop w:val="0"/>
      <w:marBottom w:val="0"/>
      <w:divBdr>
        <w:top w:val="none" w:sz="0" w:space="0" w:color="auto"/>
        <w:left w:val="none" w:sz="0" w:space="0" w:color="auto"/>
        <w:bottom w:val="none" w:sz="0" w:space="0" w:color="auto"/>
        <w:right w:val="none" w:sz="0" w:space="0" w:color="auto"/>
      </w:divBdr>
    </w:div>
    <w:div w:id="1628394582">
      <w:bodyDiv w:val="1"/>
      <w:marLeft w:val="0"/>
      <w:marRight w:val="0"/>
      <w:marTop w:val="0"/>
      <w:marBottom w:val="0"/>
      <w:divBdr>
        <w:top w:val="none" w:sz="0" w:space="0" w:color="auto"/>
        <w:left w:val="none" w:sz="0" w:space="0" w:color="auto"/>
        <w:bottom w:val="none" w:sz="0" w:space="0" w:color="auto"/>
        <w:right w:val="none" w:sz="0" w:space="0" w:color="auto"/>
      </w:divBdr>
    </w:div>
    <w:div w:id="1628396248">
      <w:bodyDiv w:val="1"/>
      <w:marLeft w:val="0"/>
      <w:marRight w:val="0"/>
      <w:marTop w:val="0"/>
      <w:marBottom w:val="0"/>
      <w:divBdr>
        <w:top w:val="none" w:sz="0" w:space="0" w:color="auto"/>
        <w:left w:val="none" w:sz="0" w:space="0" w:color="auto"/>
        <w:bottom w:val="none" w:sz="0" w:space="0" w:color="auto"/>
        <w:right w:val="none" w:sz="0" w:space="0" w:color="auto"/>
      </w:divBdr>
    </w:div>
    <w:div w:id="1628506150">
      <w:bodyDiv w:val="1"/>
      <w:marLeft w:val="0"/>
      <w:marRight w:val="0"/>
      <w:marTop w:val="0"/>
      <w:marBottom w:val="0"/>
      <w:divBdr>
        <w:top w:val="none" w:sz="0" w:space="0" w:color="auto"/>
        <w:left w:val="none" w:sz="0" w:space="0" w:color="auto"/>
        <w:bottom w:val="none" w:sz="0" w:space="0" w:color="auto"/>
        <w:right w:val="none" w:sz="0" w:space="0" w:color="auto"/>
      </w:divBdr>
    </w:div>
    <w:div w:id="1628509239">
      <w:bodyDiv w:val="1"/>
      <w:marLeft w:val="0"/>
      <w:marRight w:val="0"/>
      <w:marTop w:val="0"/>
      <w:marBottom w:val="0"/>
      <w:divBdr>
        <w:top w:val="none" w:sz="0" w:space="0" w:color="auto"/>
        <w:left w:val="none" w:sz="0" w:space="0" w:color="auto"/>
        <w:bottom w:val="none" w:sz="0" w:space="0" w:color="auto"/>
        <w:right w:val="none" w:sz="0" w:space="0" w:color="auto"/>
      </w:divBdr>
    </w:div>
    <w:div w:id="1628584197">
      <w:bodyDiv w:val="1"/>
      <w:marLeft w:val="0"/>
      <w:marRight w:val="0"/>
      <w:marTop w:val="0"/>
      <w:marBottom w:val="0"/>
      <w:divBdr>
        <w:top w:val="none" w:sz="0" w:space="0" w:color="auto"/>
        <w:left w:val="none" w:sz="0" w:space="0" w:color="auto"/>
        <w:bottom w:val="none" w:sz="0" w:space="0" w:color="auto"/>
        <w:right w:val="none" w:sz="0" w:space="0" w:color="auto"/>
      </w:divBdr>
    </w:div>
    <w:div w:id="1628658103">
      <w:bodyDiv w:val="1"/>
      <w:marLeft w:val="0"/>
      <w:marRight w:val="0"/>
      <w:marTop w:val="0"/>
      <w:marBottom w:val="0"/>
      <w:divBdr>
        <w:top w:val="none" w:sz="0" w:space="0" w:color="auto"/>
        <w:left w:val="none" w:sz="0" w:space="0" w:color="auto"/>
        <w:bottom w:val="none" w:sz="0" w:space="0" w:color="auto"/>
        <w:right w:val="none" w:sz="0" w:space="0" w:color="auto"/>
      </w:divBdr>
    </w:div>
    <w:div w:id="1629428817">
      <w:bodyDiv w:val="1"/>
      <w:marLeft w:val="0"/>
      <w:marRight w:val="0"/>
      <w:marTop w:val="0"/>
      <w:marBottom w:val="0"/>
      <w:divBdr>
        <w:top w:val="none" w:sz="0" w:space="0" w:color="auto"/>
        <w:left w:val="none" w:sz="0" w:space="0" w:color="auto"/>
        <w:bottom w:val="none" w:sz="0" w:space="0" w:color="auto"/>
        <w:right w:val="none" w:sz="0" w:space="0" w:color="auto"/>
      </w:divBdr>
    </w:div>
    <w:div w:id="1629970893">
      <w:bodyDiv w:val="1"/>
      <w:marLeft w:val="0"/>
      <w:marRight w:val="0"/>
      <w:marTop w:val="0"/>
      <w:marBottom w:val="0"/>
      <w:divBdr>
        <w:top w:val="none" w:sz="0" w:space="0" w:color="auto"/>
        <w:left w:val="none" w:sz="0" w:space="0" w:color="auto"/>
        <w:bottom w:val="none" w:sz="0" w:space="0" w:color="auto"/>
        <w:right w:val="none" w:sz="0" w:space="0" w:color="auto"/>
      </w:divBdr>
    </w:div>
    <w:div w:id="1630285274">
      <w:bodyDiv w:val="1"/>
      <w:marLeft w:val="0"/>
      <w:marRight w:val="0"/>
      <w:marTop w:val="0"/>
      <w:marBottom w:val="0"/>
      <w:divBdr>
        <w:top w:val="none" w:sz="0" w:space="0" w:color="auto"/>
        <w:left w:val="none" w:sz="0" w:space="0" w:color="auto"/>
        <w:bottom w:val="none" w:sz="0" w:space="0" w:color="auto"/>
        <w:right w:val="none" w:sz="0" w:space="0" w:color="auto"/>
      </w:divBdr>
    </w:div>
    <w:div w:id="1630479419">
      <w:bodyDiv w:val="1"/>
      <w:marLeft w:val="0"/>
      <w:marRight w:val="0"/>
      <w:marTop w:val="0"/>
      <w:marBottom w:val="0"/>
      <w:divBdr>
        <w:top w:val="none" w:sz="0" w:space="0" w:color="auto"/>
        <w:left w:val="none" w:sz="0" w:space="0" w:color="auto"/>
        <w:bottom w:val="none" w:sz="0" w:space="0" w:color="auto"/>
        <w:right w:val="none" w:sz="0" w:space="0" w:color="auto"/>
      </w:divBdr>
    </w:div>
    <w:div w:id="1630625126">
      <w:bodyDiv w:val="1"/>
      <w:marLeft w:val="0"/>
      <w:marRight w:val="0"/>
      <w:marTop w:val="0"/>
      <w:marBottom w:val="0"/>
      <w:divBdr>
        <w:top w:val="none" w:sz="0" w:space="0" w:color="auto"/>
        <w:left w:val="none" w:sz="0" w:space="0" w:color="auto"/>
        <w:bottom w:val="none" w:sz="0" w:space="0" w:color="auto"/>
        <w:right w:val="none" w:sz="0" w:space="0" w:color="auto"/>
      </w:divBdr>
    </w:div>
    <w:div w:id="1631206120">
      <w:bodyDiv w:val="1"/>
      <w:marLeft w:val="0"/>
      <w:marRight w:val="0"/>
      <w:marTop w:val="0"/>
      <w:marBottom w:val="0"/>
      <w:divBdr>
        <w:top w:val="none" w:sz="0" w:space="0" w:color="auto"/>
        <w:left w:val="none" w:sz="0" w:space="0" w:color="auto"/>
        <w:bottom w:val="none" w:sz="0" w:space="0" w:color="auto"/>
        <w:right w:val="none" w:sz="0" w:space="0" w:color="auto"/>
      </w:divBdr>
    </w:div>
    <w:div w:id="1631326106">
      <w:bodyDiv w:val="1"/>
      <w:marLeft w:val="0"/>
      <w:marRight w:val="0"/>
      <w:marTop w:val="0"/>
      <w:marBottom w:val="0"/>
      <w:divBdr>
        <w:top w:val="none" w:sz="0" w:space="0" w:color="auto"/>
        <w:left w:val="none" w:sz="0" w:space="0" w:color="auto"/>
        <w:bottom w:val="none" w:sz="0" w:space="0" w:color="auto"/>
        <w:right w:val="none" w:sz="0" w:space="0" w:color="auto"/>
      </w:divBdr>
    </w:div>
    <w:div w:id="1631549535">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1590813">
      <w:bodyDiv w:val="1"/>
      <w:marLeft w:val="0"/>
      <w:marRight w:val="0"/>
      <w:marTop w:val="0"/>
      <w:marBottom w:val="0"/>
      <w:divBdr>
        <w:top w:val="none" w:sz="0" w:space="0" w:color="auto"/>
        <w:left w:val="none" w:sz="0" w:space="0" w:color="auto"/>
        <w:bottom w:val="none" w:sz="0" w:space="0" w:color="auto"/>
        <w:right w:val="none" w:sz="0" w:space="0" w:color="auto"/>
      </w:divBdr>
    </w:div>
    <w:div w:id="1631742282">
      <w:bodyDiv w:val="1"/>
      <w:marLeft w:val="0"/>
      <w:marRight w:val="0"/>
      <w:marTop w:val="0"/>
      <w:marBottom w:val="0"/>
      <w:divBdr>
        <w:top w:val="none" w:sz="0" w:space="0" w:color="auto"/>
        <w:left w:val="none" w:sz="0" w:space="0" w:color="auto"/>
        <w:bottom w:val="none" w:sz="0" w:space="0" w:color="auto"/>
        <w:right w:val="none" w:sz="0" w:space="0" w:color="auto"/>
      </w:divBdr>
    </w:div>
    <w:div w:id="1632126038">
      <w:bodyDiv w:val="1"/>
      <w:marLeft w:val="0"/>
      <w:marRight w:val="0"/>
      <w:marTop w:val="0"/>
      <w:marBottom w:val="0"/>
      <w:divBdr>
        <w:top w:val="none" w:sz="0" w:space="0" w:color="auto"/>
        <w:left w:val="none" w:sz="0" w:space="0" w:color="auto"/>
        <w:bottom w:val="none" w:sz="0" w:space="0" w:color="auto"/>
        <w:right w:val="none" w:sz="0" w:space="0" w:color="auto"/>
      </w:divBdr>
    </w:div>
    <w:div w:id="1632319293">
      <w:bodyDiv w:val="1"/>
      <w:marLeft w:val="0"/>
      <w:marRight w:val="0"/>
      <w:marTop w:val="0"/>
      <w:marBottom w:val="0"/>
      <w:divBdr>
        <w:top w:val="none" w:sz="0" w:space="0" w:color="auto"/>
        <w:left w:val="none" w:sz="0" w:space="0" w:color="auto"/>
        <w:bottom w:val="none" w:sz="0" w:space="0" w:color="auto"/>
        <w:right w:val="none" w:sz="0" w:space="0" w:color="auto"/>
      </w:divBdr>
    </w:div>
    <w:div w:id="1632443088">
      <w:bodyDiv w:val="1"/>
      <w:marLeft w:val="0"/>
      <w:marRight w:val="0"/>
      <w:marTop w:val="0"/>
      <w:marBottom w:val="0"/>
      <w:divBdr>
        <w:top w:val="none" w:sz="0" w:space="0" w:color="auto"/>
        <w:left w:val="none" w:sz="0" w:space="0" w:color="auto"/>
        <w:bottom w:val="none" w:sz="0" w:space="0" w:color="auto"/>
        <w:right w:val="none" w:sz="0" w:space="0" w:color="auto"/>
      </w:divBdr>
    </w:div>
    <w:div w:id="1632591320">
      <w:bodyDiv w:val="1"/>
      <w:marLeft w:val="0"/>
      <w:marRight w:val="0"/>
      <w:marTop w:val="0"/>
      <w:marBottom w:val="0"/>
      <w:divBdr>
        <w:top w:val="none" w:sz="0" w:space="0" w:color="auto"/>
        <w:left w:val="none" w:sz="0" w:space="0" w:color="auto"/>
        <w:bottom w:val="none" w:sz="0" w:space="0" w:color="auto"/>
        <w:right w:val="none" w:sz="0" w:space="0" w:color="auto"/>
      </w:divBdr>
    </w:div>
    <w:div w:id="1632902454">
      <w:bodyDiv w:val="1"/>
      <w:marLeft w:val="0"/>
      <w:marRight w:val="0"/>
      <w:marTop w:val="0"/>
      <w:marBottom w:val="0"/>
      <w:divBdr>
        <w:top w:val="none" w:sz="0" w:space="0" w:color="auto"/>
        <w:left w:val="none" w:sz="0" w:space="0" w:color="auto"/>
        <w:bottom w:val="none" w:sz="0" w:space="0" w:color="auto"/>
        <w:right w:val="none" w:sz="0" w:space="0" w:color="auto"/>
      </w:divBdr>
    </w:div>
    <w:div w:id="1633247935">
      <w:bodyDiv w:val="1"/>
      <w:marLeft w:val="0"/>
      <w:marRight w:val="0"/>
      <w:marTop w:val="0"/>
      <w:marBottom w:val="0"/>
      <w:divBdr>
        <w:top w:val="none" w:sz="0" w:space="0" w:color="auto"/>
        <w:left w:val="none" w:sz="0" w:space="0" w:color="auto"/>
        <w:bottom w:val="none" w:sz="0" w:space="0" w:color="auto"/>
        <w:right w:val="none" w:sz="0" w:space="0" w:color="auto"/>
      </w:divBdr>
    </w:div>
    <w:div w:id="1633632009">
      <w:bodyDiv w:val="1"/>
      <w:marLeft w:val="0"/>
      <w:marRight w:val="0"/>
      <w:marTop w:val="0"/>
      <w:marBottom w:val="0"/>
      <w:divBdr>
        <w:top w:val="none" w:sz="0" w:space="0" w:color="auto"/>
        <w:left w:val="none" w:sz="0" w:space="0" w:color="auto"/>
        <w:bottom w:val="none" w:sz="0" w:space="0" w:color="auto"/>
        <w:right w:val="none" w:sz="0" w:space="0" w:color="auto"/>
      </w:divBdr>
    </w:div>
    <w:div w:id="1634018150">
      <w:bodyDiv w:val="1"/>
      <w:marLeft w:val="0"/>
      <w:marRight w:val="0"/>
      <w:marTop w:val="0"/>
      <w:marBottom w:val="0"/>
      <w:divBdr>
        <w:top w:val="none" w:sz="0" w:space="0" w:color="auto"/>
        <w:left w:val="none" w:sz="0" w:space="0" w:color="auto"/>
        <w:bottom w:val="none" w:sz="0" w:space="0" w:color="auto"/>
        <w:right w:val="none" w:sz="0" w:space="0" w:color="auto"/>
      </w:divBdr>
    </w:div>
    <w:div w:id="1634168426">
      <w:bodyDiv w:val="1"/>
      <w:marLeft w:val="0"/>
      <w:marRight w:val="0"/>
      <w:marTop w:val="0"/>
      <w:marBottom w:val="0"/>
      <w:divBdr>
        <w:top w:val="none" w:sz="0" w:space="0" w:color="auto"/>
        <w:left w:val="none" w:sz="0" w:space="0" w:color="auto"/>
        <w:bottom w:val="none" w:sz="0" w:space="0" w:color="auto"/>
        <w:right w:val="none" w:sz="0" w:space="0" w:color="auto"/>
      </w:divBdr>
    </w:div>
    <w:div w:id="1634411090">
      <w:bodyDiv w:val="1"/>
      <w:marLeft w:val="0"/>
      <w:marRight w:val="0"/>
      <w:marTop w:val="0"/>
      <w:marBottom w:val="0"/>
      <w:divBdr>
        <w:top w:val="none" w:sz="0" w:space="0" w:color="auto"/>
        <w:left w:val="none" w:sz="0" w:space="0" w:color="auto"/>
        <w:bottom w:val="none" w:sz="0" w:space="0" w:color="auto"/>
        <w:right w:val="none" w:sz="0" w:space="0" w:color="auto"/>
      </w:divBdr>
    </w:div>
    <w:div w:id="1634824765">
      <w:bodyDiv w:val="1"/>
      <w:marLeft w:val="0"/>
      <w:marRight w:val="0"/>
      <w:marTop w:val="0"/>
      <w:marBottom w:val="0"/>
      <w:divBdr>
        <w:top w:val="none" w:sz="0" w:space="0" w:color="auto"/>
        <w:left w:val="none" w:sz="0" w:space="0" w:color="auto"/>
        <w:bottom w:val="none" w:sz="0" w:space="0" w:color="auto"/>
        <w:right w:val="none" w:sz="0" w:space="0" w:color="auto"/>
      </w:divBdr>
    </w:div>
    <w:div w:id="1635063497">
      <w:bodyDiv w:val="1"/>
      <w:marLeft w:val="0"/>
      <w:marRight w:val="0"/>
      <w:marTop w:val="0"/>
      <w:marBottom w:val="0"/>
      <w:divBdr>
        <w:top w:val="none" w:sz="0" w:space="0" w:color="auto"/>
        <w:left w:val="none" w:sz="0" w:space="0" w:color="auto"/>
        <w:bottom w:val="none" w:sz="0" w:space="0" w:color="auto"/>
        <w:right w:val="none" w:sz="0" w:space="0" w:color="auto"/>
      </w:divBdr>
    </w:div>
    <w:div w:id="1635284454">
      <w:bodyDiv w:val="1"/>
      <w:marLeft w:val="0"/>
      <w:marRight w:val="0"/>
      <w:marTop w:val="0"/>
      <w:marBottom w:val="0"/>
      <w:divBdr>
        <w:top w:val="none" w:sz="0" w:space="0" w:color="auto"/>
        <w:left w:val="none" w:sz="0" w:space="0" w:color="auto"/>
        <w:bottom w:val="none" w:sz="0" w:space="0" w:color="auto"/>
        <w:right w:val="none" w:sz="0" w:space="0" w:color="auto"/>
      </w:divBdr>
    </w:div>
    <w:div w:id="1635479614">
      <w:bodyDiv w:val="1"/>
      <w:marLeft w:val="0"/>
      <w:marRight w:val="0"/>
      <w:marTop w:val="0"/>
      <w:marBottom w:val="0"/>
      <w:divBdr>
        <w:top w:val="none" w:sz="0" w:space="0" w:color="auto"/>
        <w:left w:val="none" w:sz="0" w:space="0" w:color="auto"/>
        <w:bottom w:val="none" w:sz="0" w:space="0" w:color="auto"/>
        <w:right w:val="none" w:sz="0" w:space="0" w:color="auto"/>
      </w:divBdr>
    </w:div>
    <w:div w:id="1635597458">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5713723">
      <w:bodyDiv w:val="1"/>
      <w:marLeft w:val="0"/>
      <w:marRight w:val="0"/>
      <w:marTop w:val="0"/>
      <w:marBottom w:val="0"/>
      <w:divBdr>
        <w:top w:val="none" w:sz="0" w:space="0" w:color="auto"/>
        <w:left w:val="none" w:sz="0" w:space="0" w:color="auto"/>
        <w:bottom w:val="none" w:sz="0" w:space="0" w:color="auto"/>
        <w:right w:val="none" w:sz="0" w:space="0" w:color="auto"/>
      </w:divBdr>
    </w:div>
    <w:div w:id="1635912793">
      <w:bodyDiv w:val="1"/>
      <w:marLeft w:val="0"/>
      <w:marRight w:val="0"/>
      <w:marTop w:val="0"/>
      <w:marBottom w:val="0"/>
      <w:divBdr>
        <w:top w:val="none" w:sz="0" w:space="0" w:color="auto"/>
        <w:left w:val="none" w:sz="0" w:space="0" w:color="auto"/>
        <w:bottom w:val="none" w:sz="0" w:space="0" w:color="auto"/>
        <w:right w:val="none" w:sz="0" w:space="0" w:color="auto"/>
      </w:divBdr>
    </w:div>
    <w:div w:id="1635983443">
      <w:bodyDiv w:val="1"/>
      <w:marLeft w:val="0"/>
      <w:marRight w:val="0"/>
      <w:marTop w:val="0"/>
      <w:marBottom w:val="0"/>
      <w:divBdr>
        <w:top w:val="none" w:sz="0" w:space="0" w:color="auto"/>
        <w:left w:val="none" w:sz="0" w:space="0" w:color="auto"/>
        <w:bottom w:val="none" w:sz="0" w:space="0" w:color="auto"/>
        <w:right w:val="none" w:sz="0" w:space="0" w:color="auto"/>
      </w:divBdr>
    </w:div>
    <w:div w:id="1635985273">
      <w:bodyDiv w:val="1"/>
      <w:marLeft w:val="0"/>
      <w:marRight w:val="0"/>
      <w:marTop w:val="0"/>
      <w:marBottom w:val="0"/>
      <w:divBdr>
        <w:top w:val="none" w:sz="0" w:space="0" w:color="auto"/>
        <w:left w:val="none" w:sz="0" w:space="0" w:color="auto"/>
        <w:bottom w:val="none" w:sz="0" w:space="0" w:color="auto"/>
        <w:right w:val="none" w:sz="0" w:space="0" w:color="auto"/>
      </w:divBdr>
    </w:div>
    <w:div w:id="1636063935">
      <w:bodyDiv w:val="1"/>
      <w:marLeft w:val="0"/>
      <w:marRight w:val="0"/>
      <w:marTop w:val="0"/>
      <w:marBottom w:val="0"/>
      <w:divBdr>
        <w:top w:val="none" w:sz="0" w:space="0" w:color="auto"/>
        <w:left w:val="none" w:sz="0" w:space="0" w:color="auto"/>
        <w:bottom w:val="none" w:sz="0" w:space="0" w:color="auto"/>
        <w:right w:val="none" w:sz="0" w:space="0" w:color="auto"/>
      </w:divBdr>
    </w:div>
    <w:div w:id="1636528158">
      <w:bodyDiv w:val="1"/>
      <w:marLeft w:val="0"/>
      <w:marRight w:val="0"/>
      <w:marTop w:val="0"/>
      <w:marBottom w:val="0"/>
      <w:divBdr>
        <w:top w:val="none" w:sz="0" w:space="0" w:color="auto"/>
        <w:left w:val="none" w:sz="0" w:space="0" w:color="auto"/>
        <w:bottom w:val="none" w:sz="0" w:space="0" w:color="auto"/>
        <w:right w:val="none" w:sz="0" w:space="0" w:color="auto"/>
      </w:divBdr>
    </w:div>
    <w:div w:id="1636909684">
      <w:bodyDiv w:val="1"/>
      <w:marLeft w:val="0"/>
      <w:marRight w:val="0"/>
      <w:marTop w:val="0"/>
      <w:marBottom w:val="0"/>
      <w:divBdr>
        <w:top w:val="none" w:sz="0" w:space="0" w:color="auto"/>
        <w:left w:val="none" w:sz="0" w:space="0" w:color="auto"/>
        <w:bottom w:val="none" w:sz="0" w:space="0" w:color="auto"/>
        <w:right w:val="none" w:sz="0" w:space="0" w:color="auto"/>
      </w:divBdr>
    </w:div>
    <w:div w:id="1636983179">
      <w:bodyDiv w:val="1"/>
      <w:marLeft w:val="0"/>
      <w:marRight w:val="0"/>
      <w:marTop w:val="0"/>
      <w:marBottom w:val="0"/>
      <w:divBdr>
        <w:top w:val="none" w:sz="0" w:space="0" w:color="auto"/>
        <w:left w:val="none" w:sz="0" w:space="0" w:color="auto"/>
        <w:bottom w:val="none" w:sz="0" w:space="0" w:color="auto"/>
        <w:right w:val="none" w:sz="0" w:space="0" w:color="auto"/>
      </w:divBdr>
    </w:div>
    <w:div w:id="1637025383">
      <w:bodyDiv w:val="1"/>
      <w:marLeft w:val="0"/>
      <w:marRight w:val="0"/>
      <w:marTop w:val="0"/>
      <w:marBottom w:val="0"/>
      <w:divBdr>
        <w:top w:val="none" w:sz="0" w:space="0" w:color="auto"/>
        <w:left w:val="none" w:sz="0" w:space="0" w:color="auto"/>
        <w:bottom w:val="none" w:sz="0" w:space="0" w:color="auto"/>
        <w:right w:val="none" w:sz="0" w:space="0" w:color="auto"/>
      </w:divBdr>
    </w:div>
    <w:div w:id="1637107751">
      <w:bodyDiv w:val="1"/>
      <w:marLeft w:val="0"/>
      <w:marRight w:val="0"/>
      <w:marTop w:val="0"/>
      <w:marBottom w:val="0"/>
      <w:divBdr>
        <w:top w:val="none" w:sz="0" w:space="0" w:color="auto"/>
        <w:left w:val="none" w:sz="0" w:space="0" w:color="auto"/>
        <w:bottom w:val="none" w:sz="0" w:space="0" w:color="auto"/>
        <w:right w:val="none" w:sz="0" w:space="0" w:color="auto"/>
      </w:divBdr>
    </w:div>
    <w:div w:id="1637295163">
      <w:bodyDiv w:val="1"/>
      <w:marLeft w:val="0"/>
      <w:marRight w:val="0"/>
      <w:marTop w:val="0"/>
      <w:marBottom w:val="0"/>
      <w:divBdr>
        <w:top w:val="none" w:sz="0" w:space="0" w:color="auto"/>
        <w:left w:val="none" w:sz="0" w:space="0" w:color="auto"/>
        <w:bottom w:val="none" w:sz="0" w:space="0" w:color="auto"/>
        <w:right w:val="none" w:sz="0" w:space="0" w:color="auto"/>
      </w:divBdr>
    </w:div>
    <w:div w:id="1637444158">
      <w:bodyDiv w:val="1"/>
      <w:marLeft w:val="0"/>
      <w:marRight w:val="0"/>
      <w:marTop w:val="0"/>
      <w:marBottom w:val="0"/>
      <w:divBdr>
        <w:top w:val="none" w:sz="0" w:space="0" w:color="auto"/>
        <w:left w:val="none" w:sz="0" w:space="0" w:color="auto"/>
        <w:bottom w:val="none" w:sz="0" w:space="0" w:color="auto"/>
        <w:right w:val="none" w:sz="0" w:space="0" w:color="auto"/>
      </w:divBdr>
    </w:div>
    <w:div w:id="1637683200">
      <w:bodyDiv w:val="1"/>
      <w:marLeft w:val="0"/>
      <w:marRight w:val="0"/>
      <w:marTop w:val="0"/>
      <w:marBottom w:val="0"/>
      <w:divBdr>
        <w:top w:val="none" w:sz="0" w:space="0" w:color="auto"/>
        <w:left w:val="none" w:sz="0" w:space="0" w:color="auto"/>
        <w:bottom w:val="none" w:sz="0" w:space="0" w:color="auto"/>
        <w:right w:val="none" w:sz="0" w:space="0" w:color="auto"/>
      </w:divBdr>
    </w:div>
    <w:div w:id="1638026474">
      <w:bodyDiv w:val="1"/>
      <w:marLeft w:val="0"/>
      <w:marRight w:val="0"/>
      <w:marTop w:val="0"/>
      <w:marBottom w:val="0"/>
      <w:divBdr>
        <w:top w:val="none" w:sz="0" w:space="0" w:color="auto"/>
        <w:left w:val="none" w:sz="0" w:space="0" w:color="auto"/>
        <w:bottom w:val="none" w:sz="0" w:space="0" w:color="auto"/>
        <w:right w:val="none" w:sz="0" w:space="0" w:color="auto"/>
      </w:divBdr>
    </w:div>
    <w:div w:id="1638100267">
      <w:bodyDiv w:val="1"/>
      <w:marLeft w:val="0"/>
      <w:marRight w:val="0"/>
      <w:marTop w:val="0"/>
      <w:marBottom w:val="0"/>
      <w:divBdr>
        <w:top w:val="none" w:sz="0" w:space="0" w:color="auto"/>
        <w:left w:val="none" w:sz="0" w:space="0" w:color="auto"/>
        <w:bottom w:val="none" w:sz="0" w:space="0" w:color="auto"/>
        <w:right w:val="none" w:sz="0" w:space="0" w:color="auto"/>
      </w:divBdr>
    </w:div>
    <w:div w:id="1638338048">
      <w:bodyDiv w:val="1"/>
      <w:marLeft w:val="0"/>
      <w:marRight w:val="0"/>
      <w:marTop w:val="0"/>
      <w:marBottom w:val="0"/>
      <w:divBdr>
        <w:top w:val="none" w:sz="0" w:space="0" w:color="auto"/>
        <w:left w:val="none" w:sz="0" w:space="0" w:color="auto"/>
        <w:bottom w:val="none" w:sz="0" w:space="0" w:color="auto"/>
        <w:right w:val="none" w:sz="0" w:space="0" w:color="auto"/>
      </w:divBdr>
    </w:div>
    <w:div w:id="1638343130">
      <w:bodyDiv w:val="1"/>
      <w:marLeft w:val="0"/>
      <w:marRight w:val="0"/>
      <w:marTop w:val="0"/>
      <w:marBottom w:val="0"/>
      <w:divBdr>
        <w:top w:val="none" w:sz="0" w:space="0" w:color="auto"/>
        <w:left w:val="none" w:sz="0" w:space="0" w:color="auto"/>
        <w:bottom w:val="none" w:sz="0" w:space="0" w:color="auto"/>
        <w:right w:val="none" w:sz="0" w:space="0" w:color="auto"/>
      </w:divBdr>
    </w:div>
    <w:div w:id="1638609252">
      <w:bodyDiv w:val="1"/>
      <w:marLeft w:val="0"/>
      <w:marRight w:val="0"/>
      <w:marTop w:val="0"/>
      <w:marBottom w:val="0"/>
      <w:divBdr>
        <w:top w:val="none" w:sz="0" w:space="0" w:color="auto"/>
        <w:left w:val="none" w:sz="0" w:space="0" w:color="auto"/>
        <w:bottom w:val="none" w:sz="0" w:space="0" w:color="auto"/>
        <w:right w:val="none" w:sz="0" w:space="0" w:color="auto"/>
      </w:divBdr>
    </w:div>
    <w:div w:id="1638680641">
      <w:bodyDiv w:val="1"/>
      <w:marLeft w:val="0"/>
      <w:marRight w:val="0"/>
      <w:marTop w:val="0"/>
      <w:marBottom w:val="0"/>
      <w:divBdr>
        <w:top w:val="none" w:sz="0" w:space="0" w:color="auto"/>
        <w:left w:val="none" w:sz="0" w:space="0" w:color="auto"/>
        <w:bottom w:val="none" w:sz="0" w:space="0" w:color="auto"/>
        <w:right w:val="none" w:sz="0" w:space="0" w:color="auto"/>
      </w:divBdr>
    </w:div>
    <w:div w:id="1638758535">
      <w:bodyDiv w:val="1"/>
      <w:marLeft w:val="0"/>
      <w:marRight w:val="0"/>
      <w:marTop w:val="0"/>
      <w:marBottom w:val="0"/>
      <w:divBdr>
        <w:top w:val="none" w:sz="0" w:space="0" w:color="auto"/>
        <w:left w:val="none" w:sz="0" w:space="0" w:color="auto"/>
        <w:bottom w:val="none" w:sz="0" w:space="0" w:color="auto"/>
        <w:right w:val="none" w:sz="0" w:space="0" w:color="auto"/>
      </w:divBdr>
    </w:div>
    <w:div w:id="1638795997">
      <w:bodyDiv w:val="1"/>
      <w:marLeft w:val="0"/>
      <w:marRight w:val="0"/>
      <w:marTop w:val="0"/>
      <w:marBottom w:val="0"/>
      <w:divBdr>
        <w:top w:val="none" w:sz="0" w:space="0" w:color="auto"/>
        <w:left w:val="none" w:sz="0" w:space="0" w:color="auto"/>
        <w:bottom w:val="none" w:sz="0" w:space="0" w:color="auto"/>
        <w:right w:val="none" w:sz="0" w:space="0" w:color="auto"/>
      </w:divBdr>
    </w:div>
    <w:div w:id="1638876141">
      <w:bodyDiv w:val="1"/>
      <w:marLeft w:val="0"/>
      <w:marRight w:val="0"/>
      <w:marTop w:val="0"/>
      <w:marBottom w:val="0"/>
      <w:divBdr>
        <w:top w:val="none" w:sz="0" w:space="0" w:color="auto"/>
        <w:left w:val="none" w:sz="0" w:space="0" w:color="auto"/>
        <w:bottom w:val="none" w:sz="0" w:space="0" w:color="auto"/>
        <w:right w:val="none" w:sz="0" w:space="0" w:color="auto"/>
      </w:divBdr>
    </w:div>
    <w:div w:id="1639147101">
      <w:bodyDiv w:val="1"/>
      <w:marLeft w:val="0"/>
      <w:marRight w:val="0"/>
      <w:marTop w:val="0"/>
      <w:marBottom w:val="0"/>
      <w:divBdr>
        <w:top w:val="none" w:sz="0" w:space="0" w:color="auto"/>
        <w:left w:val="none" w:sz="0" w:space="0" w:color="auto"/>
        <w:bottom w:val="none" w:sz="0" w:space="0" w:color="auto"/>
        <w:right w:val="none" w:sz="0" w:space="0" w:color="auto"/>
      </w:divBdr>
    </w:div>
    <w:div w:id="1639218207">
      <w:bodyDiv w:val="1"/>
      <w:marLeft w:val="0"/>
      <w:marRight w:val="0"/>
      <w:marTop w:val="0"/>
      <w:marBottom w:val="0"/>
      <w:divBdr>
        <w:top w:val="none" w:sz="0" w:space="0" w:color="auto"/>
        <w:left w:val="none" w:sz="0" w:space="0" w:color="auto"/>
        <w:bottom w:val="none" w:sz="0" w:space="0" w:color="auto"/>
        <w:right w:val="none" w:sz="0" w:space="0" w:color="auto"/>
      </w:divBdr>
    </w:div>
    <w:div w:id="1639339603">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87347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0307210">
      <w:bodyDiv w:val="1"/>
      <w:marLeft w:val="0"/>
      <w:marRight w:val="0"/>
      <w:marTop w:val="0"/>
      <w:marBottom w:val="0"/>
      <w:divBdr>
        <w:top w:val="none" w:sz="0" w:space="0" w:color="auto"/>
        <w:left w:val="none" w:sz="0" w:space="0" w:color="auto"/>
        <w:bottom w:val="none" w:sz="0" w:space="0" w:color="auto"/>
        <w:right w:val="none" w:sz="0" w:space="0" w:color="auto"/>
      </w:divBdr>
    </w:div>
    <w:div w:id="1640846111">
      <w:bodyDiv w:val="1"/>
      <w:marLeft w:val="0"/>
      <w:marRight w:val="0"/>
      <w:marTop w:val="0"/>
      <w:marBottom w:val="0"/>
      <w:divBdr>
        <w:top w:val="none" w:sz="0" w:space="0" w:color="auto"/>
        <w:left w:val="none" w:sz="0" w:space="0" w:color="auto"/>
        <w:bottom w:val="none" w:sz="0" w:space="0" w:color="auto"/>
        <w:right w:val="none" w:sz="0" w:space="0" w:color="auto"/>
      </w:divBdr>
    </w:div>
    <w:div w:id="1641301143">
      <w:bodyDiv w:val="1"/>
      <w:marLeft w:val="0"/>
      <w:marRight w:val="0"/>
      <w:marTop w:val="0"/>
      <w:marBottom w:val="0"/>
      <w:divBdr>
        <w:top w:val="none" w:sz="0" w:space="0" w:color="auto"/>
        <w:left w:val="none" w:sz="0" w:space="0" w:color="auto"/>
        <w:bottom w:val="none" w:sz="0" w:space="0" w:color="auto"/>
        <w:right w:val="none" w:sz="0" w:space="0" w:color="auto"/>
      </w:divBdr>
    </w:div>
    <w:div w:id="1641308158">
      <w:bodyDiv w:val="1"/>
      <w:marLeft w:val="0"/>
      <w:marRight w:val="0"/>
      <w:marTop w:val="0"/>
      <w:marBottom w:val="0"/>
      <w:divBdr>
        <w:top w:val="none" w:sz="0" w:space="0" w:color="auto"/>
        <w:left w:val="none" w:sz="0" w:space="0" w:color="auto"/>
        <w:bottom w:val="none" w:sz="0" w:space="0" w:color="auto"/>
        <w:right w:val="none" w:sz="0" w:space="0" w:color="auto"/>
      </w:divBdr>
    </w:div>
    <w:div w:id="1641424120">
      <w:bodyDiv w:val="1"/>
      <w:marLeft w:val="0"/>
      <w:marRight w:val="0"/>
      <w:marTop w:val="0"/>
      <w:marBottom w:val="0"/>
      <w:divBdr>
        <w:top w:val="none" w:sz="0" w:space="0" w:color="auto"/>
        <w:left w:val="none" w:sz="0" w:space="0" w:color="auto"/>
        <w:bottom w:val="none" w:sz="0" w:space="0" w:color="auto"/>
        <w:right w:val="none" w:sz="0" w:space="0" w:color="auto"/>
      </w:divBdr>
    </w:div>
    <w:div w:id="1642688540">
      <w:bodyDiv w:val="1"/>
      <w:marLeft w:val="0"/>
      <w:marRight w:val="0"/>
      <w:marTop w:val="0"/>
      <w:marBottom w:val="0"/>
      <w:divBdr>
        <w:top w:val="none" w:sz="0" w:space="0" w:color="auto"/>
        <w:left w:val="none" w:sz="0" w:space="0" w:color="auto"/>
        <w:bottom w:val="none" w:sz="0" w:space="0" w:color="auto"/>
        <w:right w:val="none" w:sz="0" w:space="0" w:color="auto"/>
      </w:divBdr>
    </w:div>
    <w:div w:id="1642806227">
      <w:bodyDiv w:val="1"/>
      <w:marLeft w:val="0"/>
      <w:marRight w:val="0"/>
      <w:marTop w:val="0"/>
      <w:marBottom w:val="0"/>
      <w:divBdr>
        <w:top w:val="none" w:sz="0" w:space="0" w:color="auto"/>
        <w:left w:val="none" w:sz="0" w:space="0" w:color="auto"/>
        <w:bottom w:val="none" w:sz="0" w:space="0" w:color="auto"/>
        <w:right w:val="none" w:sz="0" w:space="0" w:color="auto"/>
      </w:divBdr>
    </w:div>
    <w:div w:id="1642886838">
      <w:bodyDiv w:val="1"/>
      <w:marLeft w:val="0"/>
      <w:marRight w:val="0"/>
      <w:marTop w:val="0"/>
      <w:marBottom w:val="0"/>
      <w:divBdr>
        <w:top w:val="none" w:sz="0" w:space="0" w:color="auto"/>
        <w:left w:val="none" w:sz="0" w:space="0" w:color="auto"/>
        <w:bottom w:val="none" w:sz="0" w:space="0" w:color="auto"/>
        <w:right w:val="none" w:sz="0" w:space="0" w:color="auto"/>
      </w:divBdr>
    </w:div>
    <w:div w:id="1643343549">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3653556">
      <w:bodyDiv w:val="1"/>
      <w:marLeft w:val="0"/>
      <w:marRight w:val="0"/>
      <w:marTop w:val="0"/>
      <w:marBottom w:val="0"/>
      <w:divBdr>
        <w:top w:val="none" w:sz="0" w:space="0" w:color="auto"/>
        <w:left w:val="none" w:sz="0" w:space="0" w:color="auto"/>
        <w:bottom w:val="none" w:sz="0" w:space="0" w:color="auto"/>
        <w:right w:val="none" w:sz="0" w:space="0" w:color="auto"/>
      </w:divBdr>
    </w:div>
    <w:div w:id="1643925188">
      <w:bodyDiv w:val="1"/>
      <w:marLeft w:val="0"/>
      <w:marRight w:val="0"/>
      <w:marTop w:val="0"/>
      <w:marBottom w:val="0"/>
      <w:divBdr>
        <w:top w:val="none" w:sz="0" w:space="0" w:color="auto"/>
        <w:left w:val="none" w:sz="0" w:space="0" w:color="auto"/>
        <w:bottom w:val="none" w:sz="0" w:space="0" w:color="auto"/>
        <w:right w:val="none" w:sz="0" w:space="0" w:color="auto"/>
      </w:divBdr>
    </w:div>
    <w:div w:id="1644263929">
      <w:bodyDiv w:val="1"/>
      <w:marLeft w:val="0"/>
      <w:marRight w:val="0"/>
      <w:marTop w:val="0"/>
      <w:marBottom w:val="0"/>
      <w:divBdr>
        <w:top w:val="none" w:sz="0" w:space="0" w:color="auto"/>
        <w:left w:val="none" w:sz="0" w:space="0" w:color="auto"/>
        <w:bottom w:val="none" w:sz="0" w:space="0" w:color="auto"/>
        <w:right w:val="none" w:sz="0" w:space="0" w:color="auto"/>
      </w:divBdr>
    </w:div>
    <w:div w:id="1644312463">
      <w:bodyDiv w:val="1"/>
      <w:marLeft w:val="0"/>
      <w:marRight w:val="0"/>
      <w:marTop w:val="0"/>
      <w:marBottom w:val="0"/>
      <w:divBdr>
        <w:top w:val="none" w:sz="0" w:space="0" w:color="auto"/>
        <w:left w:val="none" w:sz="0" w:space="0" w:color="auto"/>
        <w:bottom w:val="none" w:sz="0" w:space="0" w:color="auto"/>
        <w:right w:val="none" w:sz="0" w:space="0" w:color="auto"/>
      </w:divBdr>
    </w:div>
    <w:div w:id="1644458782">
      <w:bodyDiv w:val="1"/>
      <w:marLeft w:val="0"/>
      <w:marRight w:val="0"/>
      <w:marTop w:val="0"/>
      <w:marBottom w:val="0"/>
      <w:divBdr>
        <w:top w:val="none" w:sz="0" w:space="0" w:color="auto"/>
        <w:left w:val="none" w:sz="0" w:space="0" w:color="auto"/>
        <w:bottom w:val="none" w:sz="0" w:space="0" w:color="auto"/>
        <w:right w:val="none" w:sz="0" w:space="0" w:color="auto"/>
      </w:divBdr>
    </w:div>
    <w:div w:id="1644650404">
      <w:bodyDiv w:val="1"/>
      <w:marLeft w:val="0"/>
      <w:marRight w:val="0"/>
      <w:marTop w:val="0"/>
      <w:marBottom w:val="0"/>
      <w:divBdr>
        <w:top w:val="none" w:sz="0" w:space="0" w:color="auto"/>
        <w:left w:val="none" w:sz="0" w:space="0" w:color="auto"/>
        <w:bottom w:val="none" w:sz="0" w:space="0" w:color="auto"/>
        <w:right w:val="none" w:sz="0" w:space="0" w:color="auto"/>
      </w:divBdr>
    </w:div>
    <w:div w:id="1644653411">
      <w:bodyDiv w:val="1"/>
      <w:marLeft w:val="0"/>
      <w:marRight w:val="0"/>
      <w:marTop w:val="0"/>
      <w:marBottom w:val="0"/>
      <w:divBdr>
        <w:top w:val="none" w:sz="0" w:space="0" w:color="auto"/>
        <w:left w:val="none" w:sz="0" w:space="0" w:color="auto"/>
        <w:bottom w:val="none" w:sz="0" w:space="0" w:color="auto"/>
        <w:right w:val="none" w:sz="0" w:space="0" w:color="auto"/>
      </w:divBdr>
    </w:div>
    <w:div w:id="1644655938">
      <w:bodyDiv w:val="1"/>
      <w:marLeft w:val="0"/>
      <w:marRight w:val="0"/>
      <w:marTop w:val="0"/>
      <w:marBottom w:val="0"/>
      <w:divBdr>
        <w:top w:val="none" w:sz="0" w:space="0" w:color="auto"/>
        <w:left w:val="none" w:sz="0" w:space="0" w:color="auto"/>
        <w:bottom w:val="none" w:sz="0" w:space="0" w:color="auto"/>
        <w:right w:val="none" w:sz="0" w:space="0" w:color="auto"/>
      </w:divBdr>
    </w:div>
    <w:div w:id="1644656789">
      <w:bodyDiv w:val="1"/>
      <w:marLeft w:val="0"/>
      <w:marRight w:val="0"/>
      <w:marTop w:val="0"/>
      <w:marBottom w:val="0"/>
      <w:divBdr>
        <w:top w:val="none" w:sz="0" w:space="0" w:color="auto"/>
        <w:left w:val="none" w:sz="0" w:space="0" w:color="auto"/>
        <w:bottom w:val="none" w:sz="0" w:space="0" w:color="auto"/>
        <w:right w:val="none" w:sz="0" w:space="0" w:color="auto"/>
      </w:divBdr>
    </w:div>
    <w:div w:id="1644847448">
      <w:bodyDiv w:val="1"/>
      <w:marLeft w:val="0"/>
      <w:marRight w:val="0"/>
      <w:marTop w:val="0"/>
      <w:marBottom w:val="0"/>
      <w:divBdr>
        <w:top w:val="none" w:sz="0" w:space="0" w:color="auto"/>
        <w:left w:val="none" w:sz="0" w:space="0" w:color="auto"/>
        <w:bottom w:val="none" w:sz="0" w:space="0" w:color="auto"/>
        <w:right w:val="none" w:sz="0" w:space="0" w:color="auto"/>
      </w:divBdr>
    </w:div>
    <w:div w:id="1645044060">
      <w:bodyDiv w:val="1"/>
      <w:marLeft w:val="0"/>
      <w:marRight w:val="0"/>
      <w:marTop w:val="0"/>
      <w:marBottom w:val="0"/>
      <w:divBdr>
        <w:top w:val="none" w:sz="0" w:space="0" w:color="auto"/>
        <w:left w:val="none" w:sz="0" w:space="0" w:color="auto"/>
        <w:bottom w:val="none" w:sz="0" w:space="0" w:color="auto"/>
        <w:right w:val="none" w:sz="0" w:space="0" w:color="auto"/>
      </w:divBdr>
    </w:div>
    <w:div w:id="1645308385">
      <w:bodyDiv w:val="1"/>
      <w:marLeft w:val="0"/>
      <w:marRight w:val="0"/>
      <w:marTop w:val="0"/>
      <w:marBottom w:val="0"/>
      <w:divBdr>
        <w:top w:val="none" w:sz="0" w:space="0" w:color="auto"/>
        <w:left w:val="none" w:sz="0" w:space="0" w:color="auto"/>
        <w:bottom w:val="none" w:sz="0" w:space="0" w:color="auto"/>
        <w:right w:val="none" w:sz="0" w:space="0" w:color="auto"/>
      </w:divBdr>
    </w:div>
    <w:div w:id="1645308596">
      <w:bodyDiv w:val="1"/>
      <w:marLeft w:val="0"/>
      <w:marRight w:val="0"/>
      <w:marTop w:val="0"/>
      <w:marBottom w:val="0"/>
      <w:divBdr>
        <w:top w:val="none" w:sz="0" w:space="0" w:color="auto"/>
        <w:left w:val="none" w:sz="0" w:space="0" w:color="auto"/>
        <w:bottom w:val="none" w:sz="0" w:space="0" w:color="auto"/>
        <w:right w:val="none" w:sz="0" w:space="0" w:color="auto"/>
      </w:divBdr>
    </w:div>
    <w:div w:id="1645626404">
      <w:bodyDiv w:val="1"/>
      <w:marLeft w:val="0"/>
      <w:marRight w:val="0"/>
      <w:marTop w:val="0"/>
      <w:marBottom w:val="0"/>
      <w:divBdr>
        <w:top w:val="none" w:sz="0" w:space="0" w:color="auto"/>
        <w:left w:val="none" w:sz="0" w:space="0" w:color="auto"/>
        <w:bottom w:val="none" w:sz="0" w:space="0" w:color="auto"/>
        <w:right w:val="none" w:sz="0" w:space="0" w:color="auto"/>
      </w:divBdr>
    </w:div>
    <w:div w:id="1646011666">
      <w:bodyDiv w:val="1"/>
      <w:marLeft w:val="0"/>
      <w:marRight w:val="0"/>
      <w:marTop w:val="0"/>
      <w:marBottom w:val="0"/>
      <w:divBdr>
        <w:top w:val="none" w:sz="0" w:space="0" w:color="auto"/>
        <w:left w:val="none" w:sz="0" w:space="0" w:color="auto"/>
        <w:bottom w:val="none" w:sz="0" w:space="0" w:color="auto"/>
        <w:right w:val="none" w:sz="0" w:space="0" w:color="auto"/>
      </w:divBdr>
    </w:div>
    <w:div w:id="1646350679">
      <w:bodyDiv w:val="1"/>
      <w:marLeft w:val="0"/>
      <w:marRight w:val="0"/>
      <w:marTop w:val="0"/>
      <w:marBottom w:val="0"/>
      <w:divBdr>
        <w:top w:val="none" w:sz="0" w:space="0" w:color="auto"/>
        <w:left w:val="none" w:sz="0" w:space="0" w:color="auto"/>
        <w:bottom w:val="none" w:sz="0" w:space="0" w:color="auto"/>
        <w:right w:val="none" w:sz="0" w:space="0" w:color="auto"/>
      </w:divBdr>
    </w:div>
    <w:div w:id="1646356199">
      <w:bodyDiv w:val="1"/>
      <w:marLeft w:val="0"/>
      <w:marRight w:val="0"/>
      <w:marTop w:val="0"/>
      <w:marBottom w:val="0"/>
      <w:divBdr>
        <w:top w:val="none" w:sz="0" w:space="0" w:color="auto"/>
        <w:left w:val="none" w:sz="0" w:space="0" w:color="auto"/>
        <w:bottom w:val="none" w:sz="0" w:space="0" w:color="auto"/>
        <w:right w:val="none" w:sz="0" w:space="0" w:color="auto"/>
      </w:divBdr>
    </w:div>
    <w:div w:id="1646622974">
      <w:bodyDiv w:val="1"/>
      <w:marLeft w:val="0"/>
      <w:marRight w:val="0"/>
      <w:marTop w:val="0"/>
      <w:marBottom w:val="0"/>
      <w:divBdr>
        <w:top w:val="none" w:sz="0" w:space="0" w:color="auto"/>
        <w:left w:val="none" w:sz="0" w:space="0" w:color="auto"/>
        <w:bottom w:val="none" w:sz="0" w:space="0" w:color="auto"/>
        <w:right w:val="none" w:sz="0" w:space="0" w:color="auto"/>
      </w:divBdr>
    </w:div>
    <w:div w:id="1647124439">
      <w:bodyDiv w:val="1"/>
      <w:marLeft w:val="0"/>
      <w:marRight w:val="0"/>
      <w:marTop w:val="0"/>
      <w:marBottom w:val="0"/>
      <w:divBdr>
        <w:top w:val="none" w:sz="0" w:space="0" w:color="auto"/>
        <w:left w:val="none" w:sz="0" w:space="0" w:color="auto"/>
        <w:bottom w:val="none" w:sz="0" w:space="0" w:color="auto"/>
        <w:right w:val="none" w:sz="0" w:space="0" w:color="auto"/>
      </w:divBdr>
    </w:div>
    <w:div w:id="1647197758">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7319288">
      <w:bodyDiv w:val="1"/>
      <w:marLeft w:val="0"/>
      <w:marRight w:val="0"/>
      <w:marTop w:val="0"/>
      <w:marBottom w:val="0"/>
      <w:divBdr>
        <w:top w:val="none" w:sz="0" w:space="0" w:color="auto"/>
        <w:left w:val="none" w:sz="0" w:space="0" w:color="auto"/>
        <w:bottom w:val="none" w:sz="0" w:space="0" w:color="auto"/>
        <w:right w:val="none" w:sz="0" w:space="0" w:color="auto"/>
      </w:divBdr>
    </w:div>
    <w:div w:id="1647658016">
      <w:bodyDiv w:val="1"/>
      <w:marLeft w:val="0"/>
      <w:marRight w:val="0"/>
      <w:marTop w:val="0"/>
      <w:marBottom w:val="0"/>
      <w:divBdr>
        <w:top w:val="none" w:sz="0" w:space="0" w:color="auto"/>
        <w:left w:val="none" w:sz="0" w:space="0" w:color="auto"/>
        <w:bottom w:val="none" w:sz="0" w:space="0" w:color="auto"/>
        <w:right w:val="none" w:sz="0" w:space="0" w:color="auto"/>
      </w:divBdr>
    </w:div>
    <w:div w:id="1648167473">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8627094">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49554384">
      <w:bodyDiv w:val="1"/>
      <w:marLeft w:val="0"/>
      <w:marRight w:val="0"/>
      <w:marTop w:val="0"/>
      <w:marBottom w:val="0"/>
      <w:divBdr>
        <w:top w:val="none" w:sz="0" w:space="0" w:color="auto"/>
        <w:left w:val="none" w:sz="0" w:space="0" w:color="auto"/>
        <w:bottom w:val="none" w:sz="0" w:space="0" w:color="auto"/>
        <w:right w:val="none" w:sz="0" w:space="0" w:color="auto"/>
      </w:divBdr>
    </w:div>
    <w:div w:id="1649943680">
      <w:bodyDiv w:val="1"/>
      <w:marLeft w:val="0"/>
      <w:marRight w:val="0"/>
      <w:marTop w:val="0"/>
      <w:marBottom w:val="0"/>
      <w:divBdr>
        <w:top w:val="none" w:sz="0" w:space="0" w:color="auto"/>
        <w:left w:val="none" w:sz="0" w:space="0" w:color="auto"/>
        <w:bottom w:val="none" w:sz="0" w:space="0" w:color="auto"/>
        <w:right w:val="none" w:sz="0" w:space="0" w:color="auto"/>
      </w:divBdr>
    </w:div>
    <w:div w:id="1650280781">
      <w:bodyDiv w:val="1"/>
      <w:marLeft w:val="0"/>
      <w:marRight w:val="0"/>
      <w:marTop w:val="0"/>
      <w:marBottom w:val="0"/>
      <w:divBdr>
        <w:top w:val="none" w:sz="0" w:space="0" w:color="auto"/>
        <w:left w:val="none" w:sz="0" w:space="0" w:color="auto"/>
        <w:bottom w:val="none" w:sz="0" w:space="0" w:color="auto"/>
        <w:right w:val="none" w:sz="0" w:space="0" w:color="auto"/>
      </w:divBdr>
    </w:div>
    <w:div w:id="1650285170">
      <w:bodyDiv w:val="1"/>
      <w:marLeft w:val="0"/>
      <w:marRight w:val="0"/>
      <w:marTop w:val="0"/>
      <w:marBottom w:val="0"/>
      <w:divBdr>
        <w:top w:val="none" w:sz="0" w:space="0" w:color="auto"/>
        <w:left w:val="none" w:sz="0" w:space="0" w:color="auto"/>
        <w:bottom w:val="none" w:sz="0" w:space="0" w:color="auto"/>
        <w:right w:val="none" w:sz="0" w:space="0" w:color="auto"/>
      </w:divBdr>
    </w:div>
    <w:div w:id="1650358951">
      <w:bodyDiv w:val="1"/>
      <w:marLeft w:val="0"/>
      <w:marRight w:val="0"/>
      <w:marTop w:val="0"/>
      <w:marBottom w:val="0"/>
      <w:divBdr>
        <w:top w:val="none" w:sz="0" w:space="0" w:color="auto"/>
        <w:left w:val="none" w:sz="0" w:space="0" w:color="auto"/>
        <w:bottom w:val="none" w:sz="0" w:space="0" w:color="auto"/>
        <w:right w:val="none" w:sz="0" w:space="0" w:color="auto"/>
      </w:divBdr>
    </w:div>
    <w:div w:id="1651329489">
      <w:bodyDiv w:val="1"/>
      <w:marLeft w:val="0"/>
      <w:marRight w:val="0"/>
      <w:marTop w:val="0"/>
      <w:marBottom w:val="0"/>
      <w:divBdr>
        <w:top w:val="none" w:sz="0" w:space="0" w:color="auto"/>
        <w:left w:val="none" w:sz="0" w:space="0" w:color="auto"/>
        <w:bottom w:val="none" w:sz="0" w:space="0" w:color="auto"/>
        <w:right w:val="none" w:sz="0" w:space="0" w:color="auto"/>
      </w:divBdr>
    </w:div>
    <w:div w:id="1651330419">
      <w:bodyDiv w:val="1"/>
      <w:marLeft w:val="0"/>
      <w:marRight w:val="0"/>
      <w:marTop w:val="0"/>
      <w:marBottom w:val="0"/>
      <w:divBdr>
        <w:top w:val="none" w:sz="0" w:space="0" w:color="auto"/>
        <w:left w:val="none" w:sz="0" w:space="0" w:color="auto"/>
        <w:bottom w:val="none" w:sz="0" w:space="0" w:color="auto"/>
        <w:right w:val="none" w:sz="0" w:space="0" w:color="auto"/>
      </w:divBdr>
    </w:div>
    <w:div w:id="1651783217">
      <w:bodyDiv w:val="1"/>
      <w:marLeft w:val="0"/>
      <w:marRight w:val="0"/>
      <w:marTop w:val="0"/>
      <w:marBottom w:val="0"/>
      <w:divBdr>
        <w:top w:val="none" w:sz="0" w:space="0" w:color="auto"/>
        <w:left w:val="none" w:sz="0" w:space="0" w:color="auto"/>
        <w:bottom w:val="none" w:sz="0" w:space="0" w:color="auto"/>
        <w:right w:val="none" w:sz="0" w:space="0" w:color="auto"/>
      </w:divBdr>
    </w:div>
    <w:div w:id="1651789046">
      <w:bodyDiv w:val="1"/>
      <w:marLeft w:val="0"/>
      <w:marRight w:val="0"/>
      <w:marTop w:val="0"/>
      <w:marBottom w:val="0"/>
      <w:divBdr>
        <w:top w:val="none" w:sz="0" w:space="0" w:color="auto"/>
        <w:left w:val="none" w:sz="0" w:space="0" w:color="auto"/>
        <w:bottom w:val="none" w:sz="0" w:space="0" w:color="auto"/>
        <w:right w:val="none" w:sz="0" w:space="0" w:color="auto"/>
      </w:divBdr>
    </w:div>
    <w:div w:id="1652245938">
      <w:bodyDiv w:val="1"/>
      <w:marLeft w:val="0"/>
      <w:marRight w:val="0"/>
      <w:marTop w:val="0"/>
      <w:marBottom w:val="0"/>
      <w:divBdr>
        <w:top w:val="none" w:sz="0" w:space="0" w:color="auto"/>
        <w:left w:val="none" w:sz="0" w:space="0" w:color="auto"/>
        <w:bottom w:val="none" w:sz="0" w:space="0" w:color="auto"/>
        <w:right w:val="none" w:sz="0" w:space="0" w:color="auto"/>
      </w:divBdr>
    </w:div>
    <w:div w:id="1652521645">
      <w:bodyDiv w:val="1"/>
      <w:marLeft w:val="0"/>
      <w:marRight w:val="0"/>
      <w:marTop w:val="0"/>
      <w:marBottom w:val="0"/>
      <w:divBdr>
        <w:top w:val="none" w:sz="0" w:space="0" w:color="auto"/>
        <w:left w:val="none" w:sz="0" w:space="0" w:color="auto"/>
        <w:bottom w:val="none" w:sz="0" w:space="0" w:color="auto"/>
        <w:right w:val="none" w:sz="0" w:space="0" w:color="auto"/>
      </w:divBdr>
    </w:div>
    <w:div w:id="1652950668">
      <w:bodyDiv w:val="1"/>
      <w:marLeft w:val="0"/>
      <w:marRight w:val="0"/>
      <w:marTop w:val="0"/>
      <w:marBottom w:val="0"/>
      <w:divBdr>
        <w:top w:val="none" w:sz="0" w:space="0" w:color="auto"/>
        <w:left w:val="none" w:sz="0" w:space="0" w:color="auto"/>
        <w:bottom w:val="none" w:sz="0" w:space="0" w:color="auto"/>
        <w:right w:val="none" w:sz="0" w:space="0" w:color="auto"/>
      </w:divBdr>
    </w:div>
    <w:div w:id="1654867156">
      <w:bodyDiv w:val="1"/>
      <w:marLeft w:val="0"/>
      <w:marRight w:val="0"/>
      <w:marTop w:val="0"/>
      <w:marBottom w:val="0"/>
      <w:divBdr>
        <w:top w:val="none" w:sz="0" w:space="0" w:color="auto"/>
        <w:left w:val="none" w:sz="0" w:space="0" w:color="auto"/>
        <w:bottom w:val="none" w:sz="0" w:space="0" w:color="auto"/>
        <w:right w:val="none" w:sz="0" w:space="0" w:color="auto"/>
      </w:divBdr>
    </w:div>
    <w:div w:id="1654867255">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5060632">
      <w:bodyDiv w:val="1"/>
      <w:marLeft w:val="0"/>
      <w:marRight w:val="0"/>
      <w:marTop w:val="0"/>
      <w:marBottom w:val="0"/>
      <w:divBdr>
        <w:top w:val="none" w:sz="0" w:space="0" w:color="auto"/>
        <w:left w:val="none" w:sz="0" w:space="0" w:color="auto"/>
        <w:bottom w:val="none" w:sz="0" w:space="0" w:color="auto"/>
        <w:right w:val="none" w:sz="0" w:space="0" w:color="auto"/>
      </w:divBdr>
    </w:div>
    <w:div w:id="1655376451">
      <w:bodyDiv w:val="1"/>
      <w:marLeft w:val="0"/>
      <w:marRight w:val="0"/>
      <w:marTop w:val="0"/>
      <w:marBottom w:val="0"/>
      <w:divBdr>
        <w:top w:val="none" w:sz="0" w:space="0" w:color="auto"/>
        <w:left w:val="none" w:sz="0" w:space="0" w:color="auto"/>
        <w:bottom w:val="none" w:sz="0" w:space="0" w:color="auto"/>
        <w:right w:val="none" w:sz="0" w:space="0" w:color="auto"/>
      </w:divBdr>
    </w:div>
    <w:div w:id="1655524703">
      <w:bodyDiv w:val="1"/>
      <w:marLeft w:val="0"/>
      <w:marRight w:val="0"/>
      <w:marTop w:val="0"/>
      <w:marBottom w:val="0"/>
      <w:divBdr>
        <w:top w:val="none" w:sz="0" w:space="0" w:color="auto"/>
        <w:left w:val="none" w:sz="0" w:space="0" w:color="auto"/>
        <w:bottom w:val="none" w:sz="0" w:space="0" w:color="auto"/>
        <w:right w:val="none" w:sz="0" w:space="0" w:color="auto"/>
      </w:divBdr>
    </w:div>
    <w:div w:id="1655529849">
      <w:bodyDiv w:val="1"/>
      <w:marLeft w:val="0"/>
      <w:marRight w:val="0"/>
      <w:marTop w:val="0"/>
      <w:marBottom w:val="0"/>
      <w:divBdr>
        <w:top w:val="none" w:sz="0" w:space="0" w:color="auto"/>
        <w:left w:val="none" w:sz="0" w:space="0" w:color="auto"/>
        <w:bottom w:val="none" w:sz="0" w:space="0" w:color="auto"/>
        <w:right w:val="none" w:sz="0" w:space="0" w:color="auto"/>
      </w:divBdr>
    </w:div>
    <w:div w:id="1655719044">
      <w:bodyDiv w:val="1"/>
      <w:marLeft w:val="0"/>
      <w:marRight w:val="0"/>
      <w:marTop w:val="0"/>
      <w:marBottom w:val="0"/>
      <w:divBdr>
        <w:top w:val="none" w:sz="0" w:space="0" w:color="auto"/>
        <w:left w:val="none" w:sz="0" w:space="0" w:color="auto"/>
        <w:bottom w:val="none" w:sz="0" w:space="0" w:color="auto"/>
        <w:right w:val="none" w:sz="0" w:space="0" w:color="auto"/>
      </w:divBdr>
    </w:div>
    <w:div w:id="1655834353">
      <w:bodyDiv w:val="1"/>
      <w:marLeft w:val="0"/>
      <w:marRight w:val="0"/>
      <w:marTop w:val="0"/>
      <w:marBottom w:val="0"/>
      <w:divBdr>
        <w:top w:val="none" w:sz="0" w:space="0" w:color="auto"/>
        <w:left w:val="none" w:sz="0" w:space="0" w:color="auto"/>
        <w:bottom w:val="none" w:sz="0" w:space="0" w:color="auto"/>
        <w:right w:val="none" w:sz="0" w:space="0" w:color="auto"/>
      </w:divBdr>
    </w:div>
    <w:div w:id="1656177168">
      <w:bodyDiv w:val="1"/>
      <w:marLeft w:val="0"/>
      <w:marRight w:val="0"/>
      <w:marTop w:val="0"/>
      <w:marBottom w:val="0"/>
      <w:divBdr>
        <w:top w:val="none" w:sz="0" w:space="0" w:color="auto"/>
        <w:left w:val="none" w:sz="0" w:space="0" w:color="auto"/>
        <w:bottom w:val="none" w:sz="0" w:space="0" w:color="auto"/>
        <w:right w:val="none" w:sz="0" w:space="0" w:color="auto"/>
      </w:divBdr>
    </w:div>
    <w:div w:id="1656297538">
      <w:bodyDiv w:val="1"/>
      <w:marLeft w:val="0"/>
      <w:marRight w:val="0"/>
      <w:marTop w:val="0"/>
      <w:marBottom w:val="0"/>
      <w:divBdr>
        <w:top w:val="none" w:sz="0" w:space="0" w:color="auto"/>
        <w:left w:val="none" w:sz="0" w:space="0" w:color="auto"/>
        <w:bottom w:val="none" w:sz="0" w:space="0" w:color="auto"/>
        <w:right w:val="none" w:sz="0" w:space="0" w:color="auto"/>
      </w:divBdr>
    </w:div>
    <w:div w:id="1656489620">
      <w:bodyDiv w:val="1"/>
      <w:marLeft w:val="0"/>
      <w:marRight w:val="0"/>
      <w:marTop w:val="0"/>
      <w:marBottom w:val="0"/>
      <w:divBdr>
        <w:top w:val="none" w:sz="0" w:space="0" w:color="auto"/>
        <w:left w:val="none" w:sz="0" w:space="0" w:color="auto"/>
        <w:bottom w:val="none" w:sz="0" w:space="0" w:color="auto"/>
        <w:right w:val="none" w:sz="0" w:space="0" w:color="auto"/>
      </w:divBdr>
    </w:div>
    <w:div w:id="1656568700">
      <w:bodyDiv w:val="1"/>
      <w:marLeft w:val="0"/>
      <w:marRight w:val="0"/>
      <w:marTop w:val="0"/>
      <w:marBottom w:val="0"/>
      <w:divBdr>
        <w:top w:val="none" w:sz="0" w:space="0" w:color="auto"/>
        <w:left w:val="none" w:sz="0" w:space="0" w:color="auto"/>
        <w:bottom w:val="none" w:sz="0" w:space="0" w:color="auto"/>
        <w:right w:val="none" w:sz="0" w:space="0" w:color="auto"/>
      </w:divBdr>
    </w:div>
    <w:div w:id="1656954135">
      <w:bodyDiv w:val="1"/>
      <w:marLeft w:val="0"/>
      <w:marRight w:val="0"/>
      <w:marTop w:val="0"/>
      <w:marBottom w:val="0"/>
      <w:divBdr>
        <w:top w:val="none" w:sz="0" w:space="0" w:color="auto"/>
        <w:left w:val="none" w:sz="0" w:space="0" w:color="auto"/>
        <w:bottom w:val="none" w:sz="0" w:space="0" w:color="auto"/>
        <w:right w:val="none" w:sz="0" w:space="0" w:color="auto"/>
      </w:divBdr>
    </w:div>
    <w:div w:id="1657613857">
      <w:bodyDiv w:val="1"/>
      <w:marLeft w:val="0"/>
      <w:marRight w:val="0"/>
      <w:marTop w:val="0"/>
      <w:marBottom w:val="0"/>
      <w:divBdr>
        <w:top w:val="none" w:sz="0" w:space="0" w:color="auto"/>
        <w:left w:val="none" w:sz="0" w:space="0" w:color="auto"/>
        <w:bottom w:val="none" w:sz="0" w:space="0" w:color="auto"/>
        <w:right w:val="none" w:sz="0" w:space="0" w:color="auto"/>
      </w:divBdr>
    </w:div>
    <w:div w:id="1658027490">
      <w:bodyDiv w:val="1"/>
      <w:marLeft w:val="0"/>
      <w:marRight w:val="0"/>
      <w:marTop w:val="0"/>
      <w:marBottom w:val="0"/>
      <w:divBdr>
        <w:top w:val="none" w:sz="0" w:space="0" w:color="auto"/>
        <w:left w:val="none" w:sz="0" w:space="0" w:color="auto"/>
        <w:bottom w:val="none" w:sz="0" w:space="0" w:color="auto"/>
        <w:right w:val="none" w:sz="0" w:space="0" w:color="auto"/>
      </w:divBdr>
    </w:div>
    <w:div w:id="1658262406">
      <w:bodyDiv w:val="1"/>
      <w:marLeft w:val="0"/>
      <w:marRight w:val="0"/>
      <w:marTop w:val="0"/>
      <w:marBottom w:val="0"/>
      <w:divBdr>
        <w:top w:val="none" w:sz="0" w:space="0" w:color="auto"/>
        <w:left w:val="none" w:sz="0" w:space="0" w:color="auto"/>
        <w:bottom w:val="none" w:sz="0" w:space="0" w:color="auto"/>
        <w:right w:val="none" w:sz="0" w:space="0" w:color="auto"/>
      </w:divBdr>
    </w:div>
    <w:div w:id="1658801318">
      <w:bodyDiv w:val="1"/>
      <w:marLeft w:val="0"/>
      <w:marRight w:val="0"/>
      <w:marTop w:val="0"/>
      <w:marBottom w:val="0"/>
      <w:divBdr>
        <w:top w:val="none" w:sz="0" w:space="0" w:color="auto"/>
        <w:left w:val="none" w:sz="0" w:space="0" w:color="auto"/>
        <w:bottom w:val="none" w:sz="0" w:space="0" w:color="auto"/>
        <w:right w:val="none" w:sz="0" w:space="0" w:color="auto"/>
      </w:divBdr>
    </w:div>
    <w:div w:id="1658999340">
      <w:bodyDiv w:val="1"/>
      <w:marLeft w:val="0"/>
      <w:marRight w:val="0"/>
      <w:marTop w:val="0"/>
      <w:marBottom w:val="0"/>
      <w:divBdr>
        <w:top w:val="none" w:sz="0" w:space="0" w:color="auto"/>
        <w:left w:val="none" w:sz="0" w:space="0" w:color="auto"/>
        <w:bottom w:val="none" w:sz="0" w:space="0" w:color="auto"/>
        <w:right w:val="none" w:sz="0" w:space="0" w:color="auto"/>
      </w:divBdr>
    </w:div>
    <w:div w:id="1659073931">
      <w:bodyDiv w:val="1"/>
      <w:marLeft w:val="0"/>
      <w:marRight w:val="0"/>
      <w:marTop w:val="0"/>
      <w:marBottom w:val="0"/>
      <w:divBdr>
        <w:top w:val="none" w:sz="0" w:space="0" w:color="auto"/>
        <w:left w:val="none" w:sz="0" w:space="0" w:color="auto"/>
        <w:bottom w:val="none" w:sz="0" w:space="0" w:color="auto"/>
        <w:right w:val="none" w:sz="0" w:space="0" w:color="auto"/>
      </w:divBdr>
    </w:div>
    <w:div w:id="1659115928">
      <w:bodyDiv w:val="1"/>
      <w:marLeft w:val="0"/>
      <w:marRight w:val="0"/>
      <w:marTop w:val="0"/>
      <w:marBottom w:val="0"/>
      <w:divBdr>
        <w:top w:val="none" w:sz="0" w:space="0" w:color="auto"/>
        <w:left w:val="none" w:sz="0" w:space="0" w:color="auto"/>
        <w:bottom w:val="none" w:sz="0" w:space="0" w:color="auto"/>
        <w:right w:val="none" w:sz="0" w:space="0" w:color="auto"/>
      </w:divBdr>
    </w:div>
    <w:div w:id="1659263183">
      <w:bodyDiv w:val="1"/>
      <w:marLeft w:val="0"/>
      <w:marRight w:val="0"/>
      <w:marTop w:val="0"/>
      <w:marBottom w:val="0"/>
      <w:divBdr>
        <w:top w:val="none" w:sz="0" w:space="0" w:color="auto"/>
        <w:left w:val="none" w:sz="0" w:space="0" w:color="auto"/>
        <w:bottom w:val="none" w:sz="0" w:space="0" w:color="auto"/>
        <w:right w:val="none" w:sz="0" w:space="0" w:color="auto"/>
      </w:divBdr>
    </w:div>
    <w:div w:id="1659378398">
      <w:bodyDiv w:val="1"/>
      <w:marLeft w:val="0"/>
      <w:marRight w:val="0"/>
      <w:marTop w:val="0"/>
      <w:marBottom w:val="0"/>
      <w:divBdr>
        <w:top w:val="none" w:sz="0" w:space="0" w:color="auto"/>
        <w:left w:val="none" w:sz="0" w:space="0" w:color="auto"/>
        <w:bottom w:val="none" w:sz="0" w:space="0" w:color="auto"/>
        <w:right w:val="none" w:sz="0" w:space="0" w:color="auto"/>
      </w:divBdr>
    </w:div>
    <w:div w:id="1659769047">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037039">
      <w:bodyDiv w:val="1"/>
      <w:marLeft w:val="0"/>
      <w:marRight w:val="0"/>
      <w:marTop w:val="0"/>
      <w:marBottom w:val="0"/>
      <w:divBdr>
        <w:top w:val="none" w:sz="0" w:space="0" w:color="auto"/>
        <w:left w:val="none" w:sz="0" w:space="0" w:color="auto"/>
        <w:bottom w:val="none" w:sz="0" w:space="0" w:color="auto"/>
        <w:right w:val="none" w:sz="0" w:space="0" w:color="auto"/>
      </w:divBdr>
    </w:div>
    <w:div w:id="1660039821">
      <w:bodyDiv w:val="1"/>
      <w:marLeft w:val="0"/>
      <w:marRight w:val="0"/>
      <w:marTop w:val="0"/>
      <w:marBottom w:val="0"/>
      <w:divBdr>
        <w:top w:val="none" w:sz="0" w:space="0" w:color="auto"/>
        <w:left w:val="none" w:sz="0" w:space="0" w:color="auto"/>
        <w:bottom w:val="none" w:sz="0" w:space="0" w:color="auto"/>
        <w:right w:val="none" w:sz="0" w:space="0" w:color="auto"/>
      </w:divBdr>
    </w:div>
    <w:div w:id="1660040495">
      <w:bodyDiv w:val="1"/>
      <w:marLeft w:val="0"/>
      <w:marRight w:val="0"/>
      <w:marTop w:val="0"/>
      <w:marBottom w:val="0"/>
      <w:divBdr>
        <w:top w:val="none" w:sz="0" w:space="0" w:color="auto"/>
        <w:left w:val="none" w:sz="0" w:space="0" w:color="auto"/>
        <w:bottom w:val="none" w:sz="0" w:space="0" w:color="auto"/>
        <w:right w:val="none" w:sz="0" w:space="0" w:color="auto"/>
      </w:divBdr>
    </w:div>
    <w:div w:id="1660110342">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0842108">
      <w:bodyDiv w:val="1"/>
      <w:marLeft w:val="0"/>
      <w:marRight w:val="0"/>
      <w:marTop w:val="0"/>
      <w:marBottom w:val="0"/>
      <w:divBdr>
        <w:top w:val="none" w:sz="0" w:space="0" w:color="auto"/>
        <w:left w:val="none" w:sz="0" w:space="0" w:color="auto"/>
        <w:bottom w:val="none" w:sz="0" w:space="0" w:color="auto"/>
        <w:right w:val="none" w:sz="0" w:space="0" w:color="auto"/>
      </w:divBdr>
    </w:div>
    <w:div w:id="1660882226">
      <w:bodyDiv w:val="1"/>
      <w:marLeft w:val="0"/>
      <w:marRight w:val="0"/>
      <w:marTop w:val="0"/>
      <w:marBottom w:val="0"/>
      <w:divBdr>
        <w:top w:val="none" w:sz="0" w:space="0" w:color="auto"/>
        <w:left w:val="none" w:sz="0" w:space="0" w:color="auto"/>
        <w:bottom w:val="none" w:sz="0" w:space="0" w:color="auto"/>
        <w:right w:val="none" w:sz="0" w:space="0" w:color="auto"/>
      </w:divBdr>
    </w:div>
    <w:div w:id="1661694958">
      <w:bodyDiv w:val="1"/>
      <w:marLeft w:val="0"/>
      <w:marRight w:val="0"/>
      <w:marTop w:val="0"/>
      <w:marBottom w:val="0"/>
      <w:divBdr>
        <w:top w:val="none" w:sz="0" w:space="0" w:color="auto"/>
        <w:left w:val="none" w:sz="0" w:space="0" w:color="auto"/>
        <w:bottom w:val="none" w:sz="0" w:space="0" w:color="auto"/>
        <w:right w:val="none" w:sz="0" w:space="0" w:color="auto"/>
      </w:divBdr>
    </w:div>
    <w:div w:id="1661734901">
      <w:bodyDiv w:val="1"/>
      <w:marLeft w:val="0"/>
      <w:marRight w:val="0"/>
      <w:marTop w:val="0"/>
      <w:marBottom w:val="0"/>
      <w:divBdr>
        <w:top w:val="none" w:sz="0" w:space="0" w:color="auto"/>
        <w:left w:val="none" w:sz="0" w:space="0" w:color="auto"/>
        <w:bottom w:val="none" w:sz="0" w:space="0" w:color="auto"/>
        <w:right w:val="none" w:sz="0" w:space="0" w:color="auto"/>
      </w:divBdr>
    </w:div>
    <w:div w:id="1661808805">
      <w:bodyDiv w:val="1"/>
      <w:marLeft w:val="0"/>
      <w:marRight w:val="0"/>
      <w:marTop w:val="0"/>
      <w:marBottom w:val="0"/>
      <w:divBdr>
        <w:top w:val="none" w:sz="0" w:space="0" w:color="auto"/>
        <w:left w:val="none" w:sz="0" w:space="0" w:color="auto"/>
        <w:bottom w:val="none" w:sz="0" w:space="0" w:color="auto"/>
        <w:right w:val="none" w:sz="0" w:space="0" w:color="auto"/>
      </w:divBdr>
    </w:div>
    <w:div w:id="1662539483">
      <w:bodyDiv w:val="1"/>
      <w:marLeft w:val="0"/>
      <w:marRight w:val="0"/>
      <w:marTop w:val="0"/>
      <w:marBottom w:val="0"/>
      <w:divBdr>
        <w:top w:val="none" w:sz="0" w:space="0" w:color="auto"/>
        <w:left w:val="none" w:sz="0" w:space="0" w:color="auto"/>
        <w:bottom w:val="none" w:sz="0" w:space="0" w:color="auto"/>
        <w:right w:val="none" w:sz="0" w:space="0" w:color="auto"/>
      </w:divBdr>
    </w:div>
    <w:div w:id="1662738509">
      <w:bodyDiv w:val="1"/>
      <w:marLeft w:val="0"/>
      <w:marRight w:val="0"/>
      <w:marTop w:val="0"/>
      <w:marBottom w:val="0"/>
      <w:divBdr>
        <w:top w:val="none" w:sz="0" w:space="0" w:color="auto"/>
        <w:left w:val="none" w:sz="0" w:space="0" w:color="auto"/>
        <w:bottom w:val="none" w:sz="0" w:space="0" w:color="auto"/>
        <w:right w:val="none" w:sz="0" w:space="0" w:color="auto"/>
      </w:divBdr>
    </w:div>
    <w:div w:id="1663197737">
      <w:bodyDiv w:val="1"/>
      <w:marLeft w:val="0"/>
      <w:marRight w:val="0"/>
      <w:marTop w:val="0"/>
      <w:marBottom w:val="0"/>
      <w:divBdr>
        <w:top w:val="none" w:sz="0" w:space="0" w:color="auto"/>
        <w:left w:val="none" w:sz="0" w:space="0" w:color="auto"/>
        <w:bottom w:val="none" w:sz="0" w:space="0" w:color="auto"/>
        <w:right w:val="none" w:sz="0" w:space="0" w:color="auto"/>
      </w:divBdr>
    </w:div>
    <w:div w:id="1663239166">
      <w:bodyDiv w:val="1"/>
      <w:marLeft w:val="0"/>
      <w:marRight w:val="0"/>
      <w:marTop w:val="0"/>
      <w:marBottom w:val="0"/>
      <w:divBdr>
        <w:top w:val="none" w:sz="0" w:space="0" w:color="auto"/>
        <w:left w:val="none" w:sz="0" w:space="0" w:color="auto"/>
        <w:bottom w:val="none" w:sz="0" w:space="0" w:color="auto"/>
        <w:right w:val="none" w:sz="0" w:space="0" w:color="auto"/>
      </w:divBdr>
    </w:div>
    <w:div w:id="1663660725">
      <w:bodyDiv w:val="1"/>
      <w:marLeft w:val="0"/>
      <w:marRight w:val="0"/>
      <w:marTop w:val="0"/>
      <w:marBottom w:val="0"/>
      <w:divBdr>
        <w:top w:val="none" w:sz="0" w:space="0" w:color="auto"/>
        <w:left w:val="none" w:sz="0" w:space="0" w:color="auto"/>
        <w:bottom w:val="none" w:sz="0" w:space="0" w:color="auto"/>
        <w:right w:val="none" w:sz="0" w:space="0" w:color="auto"/>
      </w:divBdr>
    </w:div>
    <w:div w:id="1663701925">
      <w:bodyDiv w:val="1"/>
      <w:marLeft w:val="0"/>
      <w:marRight w:val="0"/>
      <w:marTop w:val="0"/>
      <w:marBottom w:val="0"/>
      <w:divBdr>
        <w:top w:val="none" w:sz="0" w:space="0" w:color="auto"/>
        <w:left w:val="none" w:sz="0" w:space="0" w:color="auto"/>
        <w:bottom w:val="none" w:sz="0" w:space="0" w:color="auto"/>
        <w:right w:val="none" w:sz="0" w:space="0" w:color="auto"/>
      </w:divBdr>
    </w:div>
    <w:div w:id="1663705160">
      <w:bodyDiv w:val="1"/>
      <w:marLeft w:val="0"/>
      <w:marRight w:val="0"/>
      <w:marTop w:val="0"/>
      <w:marBottom w:val="0"/>
      <w:divBdr>
        <w:top w:val="none" w:sz="0" w:space="0" w:color="auto"/>
        <w:left w:val="none" w:sz="0" w:space="0" w:color="auto"/>
        <w:bottom w:val="none" w:sz="0" w:space="0" w:color="auto"/>
        <w:right w:val="none" w:sz="0" w:space="0" w:color="auto"/>
      </w:divBdr>
    </w:div>
    <w:div w:id="1663895589">
      <w:bodyDiv w:val="1"/>
      <w:marLeft w:val="0"/>
      <w:marRight w:val="0"/>
      <w:marTop w:val="0"/>
      <w:marBottom w:val="0"/>
      <w:divBdr>
        <w:top w:val="none" w:sz="0" w:space="0" w:color="auto"/>
        <w:left w:val="none" w:sz="0" w:space="0" w:color="auto"/>
        <w:bottom w:val="none" w:sz="0" w:space="0" w:color="auto"/>
        <w:right w:val="none" w:sz="0" w:space="0" w:color="auto"/>
      </w:divBdr>
    </w:div>
    <w:div w:id="1664552511">
      <w:bodyDiv w:val="1"/>
      <w:marLeft w:val="0"/>
      <w:marRight w:val="0"/>
      <w:marTop w:val="0"/>
      <w:marBottom w:val="0"/>
      <w:divBdr>
        <w:top w:val="none" w:sz="0" w:space="0" w:color="auto"/>
        <w:left w:val="none" w:sz="0" w:space="0" w:color="auto"/>
        <w:bottom w:val="none" w:sz="0" w:space="0" w:color="auto"/>
        <w:right w:val="none" w:sz="0" w:space="0" w:color="auto"/>
      </w:divBdr>
    </w:div>
    <w:div w:id="1664774057">
      <w:bodyDiv w:val="1"/>
      <w:marLeft w:val="0"/>
      <w:marRight w:val="0"/>
      <w:marTop w:val="0"/>
      <w:marBottom w:val="0"/>
      <w:divBdr>
        <w:top w:val="none" w:sz="0" w:space="0" w:color="auto"/>
        <w:left w:val="none" w:sz="0" w:space="0" w:color="auto"/>
        <w:bottom w:val="none" w:sz="0" w:space="0" w:color="auto"/>
        <w:right w:val="none" w:sz="0" w:space="0" w:color="auto"/>
      </w:divBdr>
    </w:div>
    <w:div w:id="1664776067">
      <w:bodyDiv w:val="1"/>
      <w:marLeft w:val="0"/>
      <w:marRight w:val="0"/>
      <w:marTop w:val="0"/>
      <w:marBottom w:val="0"/>
      <w:divBdr>
        <w:top w:val="none" w:sz="0" w:space="0" w:color="auto"/>
        <w:left w:val="none" w:sz="0" w:space="0" w:color="auto"/>
        <w:bottom w:val="none" w:sz="0" w:space="0" w:color="auto"/>
        <w:right w:val="none" w:sz="0" w:space="0" w:color="auto"/>
      </w:divBdr>
    </w:div>
    <w:div w:id="1664813346">
      <w:bodyDiv w:val="1"/>
      <w:marLeft w:val="0"/>
      <w:marRight w:val="0"/>
      <w:marTop w:val="0"/>
      <w:marBottom w:val="0"/>
      <w:divBdr>
        <w:top w:val="none" w:sz="0" w:space="0" w:color="auto"/>
        <w:left w:val="none" w:sz="0" w:space="0" w:color="auto"/>
        <w:bottom w:val="none" w:sz="0" w:space="0" w:color="auto"/>
        <w:right w:val="none" w:sz="0" w:space="0" w:color="auto"/>
      </w:divBdr>
    </w:div>
    <w:div w:id="1664821227">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64967565">
      <w:bodyDiv w:val="1"/>
      <w:marLeft w:val="0"/>
      <w:marRight w:val="0"/>
      <w:marTop w:val="0"/>
      <w:marBottom w:val="0"/>
      <w:divBdr>
        <w:top w:val="none" w:sz="0" w:space="0" w:color="auto"/>
        <w:left w:val="none" w:sz="0" w:space="0" w:color="auto"/>
        <w:bottom w:val="none" w:sz="0" w:space="0" w:color="auto"/>
        <w:right w:val="none" w:sz="0" w:space="0" w:color="auto"/>
      </w:divBdr>
    </w:div>
    <w:div w:id="1665626619">
      <w:bodyDiv w:val="1"/>
      <w:marLeft w:val="0"/>
      <w:marRight w:val="0"/>
      <w:marTop w:val="0"/>
      <w:marBottom w:val="0"/>
      <w:divBdr>
        <w:top w:val="none" w:sz="0" w:space="0" w:color="auto"/>
        <w:left w:val="none" w:sz="0" w:space="0" w:color="auto"/>
        <w:bottom w:val="none" w:sz="0" w:space="0" w:color="auto"/>
        <w:right w:val="none" w:sz="0" w:space="0" w:color="auto"/>
      </w:divBdr>
    </w:div>
    <w:div w:id="1665862472">
      <w:bodyDiv w:val="1"/>
      <w:marLeft w:val="0"/>
      <w:marRight w:val="0"/>
      <w:marTop w:val="0"/>
      <w:marBottom w:val="0"/>
      <w:divBdr>
        <w:top w:val="none" w:sz="0" w:space="0" w:color="auto"/>
        <w:left w:val="none" w:sz="0" w:space="0" w:color="auto"/>
        <w:bottom w:val="none" w:sz="0" w:space="0" w:color="auto"/>
        <w:right w:val="none" w:sz="0" w:space="0" w:color="auto"/>
      </w:divBdr>
    </w:div>
    <w:div w:id="1665862657">
      <w:bodyDiv w:val="1"/>
      <w:marLeft w:val="0"/>
      <w:marRight w:val="0"/>
      <w:marTop w:val="0"/>
      <w:marBottom w:val="0"/>
      <w:divBdr>
        <w:top w:val="none" w:sz="0" w:space="0" w:color="auto"/>
        <w:left w:val="none" w:sz="0" w:space="0" w:color="auto"/>
        <w:bottom w:val="none" w:sz="0" w:space="0" w:color="auto"/>
        <w:right w:val="none" w:sz="0" w:space="0" w:color="auto"/>
      </w:divBdr>
    </w:div>
    <w:div w:id="1665937402">
      <w:bodyDiv w:val="1"/>
      <w:marLeft w:val="0"/>
      <w:marRight w:val="0"/>
      <w:marTop w:val="0"/>
      <w:marBottom w:val="0"/>
      <w:divBdr>
        <w:top w:val="none" w:sz="0" w:space="0" w:color="auto"/>
        <w:left w:val="none" w:sz="0" w:space="0" w:color="auto"/>
        <w:bottom w:val="none" w:sz="0" w:space="0" w:color="auto"/>
        <w:right w:val="none" w:sz="0" w:space="0" w:color="auto"/>
      </w:divBdr>
    </w:div>
    <w:div w:id="1666129235">
      <w:bodyDiv w:val="1"/>
      <w:marLeft w:val="0"/>
      <w:marRight w:val="0"/>
      <w:marTop w:val="0"/>
      <w:marBottom w:val="0"/>
      <w:divBdr>
        <w:top w:val="none" w:sz="0" w:space="0" w:color="auto"/>
        <w:left w:val="none" w:sz="0" w:space="0" w:color="auto"/>
        <w:bottom w:val="none" w:sz="0" w:space="0" w:color="auto"/>
        <w:right w:val="none" w:sz="0" w:space="0" w:color="auto"/>
      </w:divBdr>
    </w:div>
    <w:div w:id="1666205933">
      <w:bodyDiv w:val="1"/>
      <w:marLeft w:val="0"/>
      <w:marRight w:val="0"/>
      <w:marTop w:val="0"/>
      <w:marBottom w:val="0"/>
      <w:divBdr>
        <w:top w:val="none" w:sz="0" w:space="0" w:color="auto"/>
        <w:left w:val="none" w:sz="0" w:space="0" w:color="auto"/>
        <w:bottom w:val="none" w:sz="0" w:space="0" w:color="auto"/>
        <w:right w:val="none" w:sz="0" w:space="0" w:color="auto"/>
      </w:divBdr>
    </w:div>
    <w:div w:id="1666206898">
      <w:bodyDiv w:val="1"/>
      <w:marLeft w:val="0"/>
      <w:marRight w:val="0"/>
      <w:marTop w:val="0"/>
      <w:marBottom w:val="0"/>
      <w:divBdr>
        <w:top w:val="none" w:sz="0" w:space="0" w:color="auto"/>
        <w:left w:val="none" w:sz="0" w:space="0" w:color="auto"/>
        <w:bottom w:val="none" w:sz="0" w:space="0" w:color="auto"/>
        <w:right w:val="none" w:sz="0" w:space="0" w:color="auto"/>
      </w:divBdr>
    </w:div>
    <w:div w:id="1666468568">
      <w:bodyDiv w:val="1"/>
      <w:marLeft w:val="0"/>
      <w:marRight w:val="0"/>
      <w:marTop w:val="0"/>
      <w:marBottom w:val="0"/>
      <w:divBdr>
        <w:top w:val="none" w:sz="0" w:space="0" w:color="auto"/>
        <w:left w:val="none" w:sz="0" w:space="0" w:color="auto"/>
        <w:bottom w:val="none" w:sz="0" w:space="0" w:color="auto"/>
        <w:right w:val="none" w:sz="0" w:space="0" w:color="auto"/>
      </w:divBdr>
    </w:div>
    <w:div w:id="1666519732">
      <w:bodyDiv w:val="1"/>
      <w:marLeft w:val="0"/>
      <w:marRight w:val="0"/>
      <w:marTop w:val="0"/>
      <w:marBottom w:val="0"/>
      <w:divBdr>
        <w:top w:val="none" w:sz="0" w:space="0" w:color="auto"/>
        <w:left w:val="none" w:sz="0" w:space="0" w:color="auto"/>
        <w:bottom w:val="none" w:sz="0" w:space="0" w:color="auto"/>
        <w:right w:val="none" w:sz="0" w:space="0" w:color="auto"/>
      </w:divBdr>
    </w:div>
    <w:div w:id="1666547614">
      <w:bodyDiv w:val="1"/>
      <w:marLeft w:val="0"/>
      <w:marRight w:val="0"/>
      <w:marTop w:val="0"/>
      <w:marBottom w:val="0"/>
      <w:divBdr>
        <w:top w:val="none" w:sz="0" w:space="0" w:color="auto"/>
        <w:left w:val="none" w:sz="0" w:space="0" w:color="auto"/>
        <w:bottom w:val="none" w:sz="0" w:space="0" w:color="auto"/>
        <w:right w:val="none" w:sz="0" w:space="0" w:color="auto"/>
      </w:divBdr>
    </w:div>
    <w:div w:id="1666586650">
      <w:bodyDiv w:val="1"/>
      <w:marLeft w:val="0"/>
      <w:marRight w:val="0"/>
      <w:marTop w:val="0"/>
      <w:marBottom w:val="0"/>
      <w:divBdr>
        <w:top w:val="none" w:sz="0" w:space="0" w:color="auto"/>
        <w:left w:val="none" w:sz="0" w:space="0" w:color="auto"/>
        <w:bottom w:val="none" w:sz="0" w:space="0" w:color="auto"/>
        <w:right w:val="none" w:sz="0" w:space="0" w:color="auto"/>
      </w:divBdr>
    </w:div>
    <w:div w:id="1666594461">
      <w:bodyDiv w:val="1"/>
      <w:marLeft w:val="0"/>
      <w:marRight w:val="0"/>
      <w:marTop w:val="0"/>
      <w:marBottom w:val="0"/>
      <w:divBdr>
        <w:top w:val="none" w:sz="0" w:space="0" w:color="auto"/>
        <w:left w:val="none" w:sz="0" w:space="0" w:color="auto"/>
        <w:bottom w:val="none" w:sz="0" w:space="0" w:color="auto"/>
        <w:right w:val="none" w:sz="0" w:space="0" w:color="auto"/>
      </w:divBdr>
    </w:div>
    <w:div w:id="1666666346">
      <w:bodyDiv w:val="1"/>
      <w:marLeft w:val="0"/>
      <w:marRight w:val="0"/>
      <w:marTop w:val="0"/>
      <w:marBottom w:val="0"/>
      <w:divBdr>
        <w:top w:val="none" w:sz="0" w:space="0" w:color="auto"/>
        <w:left w:val="none" w:sz="0" w:space="0" w:color="auto"/>
        <w:bottom w:val="none" w:sz="0" w:space="0" w:color="auto"/>
        <w:right w:val="none" w:sz="0" w:space="0" w:color="auto"/>
      </w:divBdr>
    </w:div>
    <w:div w:id="1666741696">
      <w:bodyDiv w:val="1"/>
      <w:marLeft w:val="0"/>
      <w:marRight w:val="0"/>
      <w:marTop w:val="0"/>
      <w:marBottom w:val="0"/>
      <w:divBdr>
        <w:top w:val="none" w:sz="0" w:space="0" w:color="auto"/>
        <w:left w:val="none" w:sz="0" w:space="0" w:color="auto"/>
        <w:bottom w:val="none" w:sz="0" w:space="0" w:color="auto"/>
        <w:right w:val="none" w:sz="0" w:space="0" w:color="auto"/>
      </w:divBdr>
    </w:div>
    <w:div w:id="1667172386">
      <w:bodyDiv w:val="1"/>
      <w:marLeft w:val="0"/>
      <w:marRight w:val="0"/>
      <w:marTop w:val="0"/>
      <w:marBottom w:val="0"/>
      <w:divBdr>
        <w:top w:val="none" w:sz="0" w:space="0" w:color="auto"/>
        <w:left w:val="none" w:sz="0" w:space="0" w:color="auto"/>
        <w:bottom w:val="none" w:sz="0" w:space="0" w:color="auto"/>
        <w:right w:val="none" w:sz="0" w:space="0" w:color="auto"/>
      </w:divBdr>
    </w:div>
    <w:div w:id="1667517628">
      <w:bodyDiv w:val="1"/>
      <w:marLeft w:val="0"/>
      <w:marRight w:val="0"/>
      <w:marTop w:val="0"/>
      <w:marBottom w:val="0"/>
      <w:divBdr>
        <w:top w:val="none" w:sz="0" w:space="0" w:color="auto"/>
        <w:left w:val="none" w:sz="0" w:space="0" w:color="auto"/>
        <w:bottom w:val="none" w:sz="0" w:space="0" w:color="auto"/>
        <w:right w:val="none" w:sz="0" w:space="0" w:color="auto"/>
      </w:divBdr>
    </w:div>
    <w:div w:id="1667704742">
      <w:bodyDiv w:val="1"/>
      <w:marLeft w:val="0"/>
      <w:marRight w:val="0"/>
      <w:marTop w:val="0"/>
      <w:marBottom w:val="0"/>
      <w:divBdr>
        <w:top w:val="none" w:sz="0" w:space="0" w:color="auto"/>
        <w:left w:val="none" w:sz="0" w:space="0" w:color="auto"/>
        <w:bottom w:val="none" w:sz="0" w:space="0" w:color="auto"/>
        <w:right w:val="none" w:sz="0" w:space="0" w:color="auto"/>
      </w:divBdr>
    </w:div>
    <w:div w:id="1667704797">
      <w:bodyDiv w:val="1"/>
      <w:marLeft w:val="0"/>
      <w:marRight w:val="0"/>
      <w:marTop w:val="0"/>
      <w:marBottom w:val="0"/>
      <w:divBdr>
        <w:top w:val="none" w:sz="0" w:space="0" w:color="auto"/>
        <w:left w:val="none" w:sz="0" w:space="0" w:color="auto"/>
        <w:bottom w:val="none" w:sz="0" w:space="0" w:color="auto"/>
        <w:right w:val="none" w:sz="0" w:space="0" w:color="auto"/>
      </w:divBdr>
    </w:div>
    <w:div w:id="1668098315">
      <w:bodyDiv w:val="1"/>
      <w:marLeft w:val="0"/>
      <w:marRight w:val="0"/>
      <w:marTop w:val="0"/>
      <w:marBottom w:val="0"/>
      <w:divBdr>
        <w:top w:val="none" w:sz="0" w:space="0" w:color="auto"/>
        <w:left w:val="none" w:sz="0" w:space="0" w:color="auto"/>
        <w:bottom w:val="none" w:sz="0" w:space="0" w:color="auto"/>
        <w:right w:val="none" w:sz="0" w:space="0" w:color="auto"/>
      </w:divBdr>
    </w:div>
    <w:div w:id="1668172734">
      <w:bodyDiv w:val="1"/>
      <w:marLeft w:val="0"/>
      <w:marRight w:val="0"/>
      <w:marTop w:val="0"/>
      <w:marBottom w:val="0"/>
      <w:divBdr>
        <w:top w:val="none" w:sz="0" w:space="0" w:color="auto"/>
        <w:left w:val="none" w:sz="0" w:space="0" w:color="auto"/>
        <w:bottom w:val="none" w:sz="0" w:space="0" w:color="auto"/>
        <w:right w:val="none" w:sz="0" w:space="0" w:color="auto"/>
      </w:divBdr>
    </w:div>
    <w:div w:id="1668242996">
      <w:bodyDiv w:val="1"/>
      <w:marLeft w:val="0"/>
      <w:marRight w:val="0"/>
      <w:marTop w:val="0"/>
      <w:marBottom w:val="0"/>
      <w:divBdr>
        <w:top w:val="none" w:sz="0" w:space="0" w:color="auto"/>
        <w:left w:val="none" w:sz="0" w:space="0" w:color="auto"/>
        <w:bottom w:val="none" w:sz="0" w:space="0" w:color="auto"/>
        <w:right w:val="none" w:sz="0" w:space="0" w:color="auto"/>
      </w:divBdr>
    </w:div>
    <w:div w:id="1668360393">
      <w:bodyDiv w:val="1"/>
      <w:marLeft w:val="0"/>
      <w:marRight w:val="0"/>
      <w:marTop w:val="0"/>
      <w:marBottom w:val="0"/>
      <w:divBdr>
        <w:top w:val="none" w:sz="0" w:space="0" w:color="auto"/>
        <w:left w:val="none" w:sz="0" w:space="0" w:color="auto"/>
        <w:bottom w:val="none" w:sz="0" w:space="0" w:color="auto"/>
        <w:right w:val="none" w:sz="0" w:space="0" w:color="auto"/>
      </w:divBdr>
    </w:div>
    <w:div w:id="1668629768">
      <w:bodyDiv w:val="1"/>
      <w:marLeft w:val="0"/>
      <w:marRight w:val="0"/>
      <w:marTop w:val="0"/>
      <w:marBottom w:val="0"/>
      <w:divBdr>
        <w:top w:val="none" w:sz="0" w:space="0" w:color="auto"/>
        <w:left w:val="none" w:sz="0" w:space="0" w:color="auto"/>
        <w:bottom w:val="none" w:sz="0" w:space="0" w:color="auto"/>
        <w:right w:val="none" w:sz="0" w:space="0" w:color="auto"/>
      </w:divBdr>
    </w:div>
    <w:div w:id="1668635459">
      <w:bodyDiv w:val="1"/>
      <w:marLeft w:val="0"/>
      <w:marRight w:val="0"/>
      <w:marTop w:val="0"/>
      <w:marBottom w:val="0"/>
      <w:divBdr>
        <w:top w:val="none" w:sz="0" w:space="0" w:color="auto"/>
        <w:left w:val="none" w:sz="0" w:space="0" w:color="auto"/>
        <w:bottom w:val="none" w:sz="0" w:space="0" w:color="auto"/>
        <w:right w:val="none" w:sz="0" w:space="0" w:color="auto"/>
      </w:divBdr>
    </w:div>
    <w:div w:id="1669138941">
      <w:bodyDiv w:val="1"/>
      <w:marLeft w:val="0"/>
      <w:marRight w:val="0"/>
      <w:marTop w:val="0"/>
      <w:marBottom w:val="0"/>
      <w:divBdr>
        <w:top w:val="none" w:sz="0" w:space="0" w:color="auto"/>
        <w:left w:val="none" w:sz="0" w:space="0" w:color="auto"/>
        <w:bottom w:val="none" w:sz="0" w:space="0" w:color="auto"/>
        <w:right w:val="none" w:sz="0" w:space="0" w:color="auto"/>
      </w:divBdr>
    </w:div>
    <w:div w:id="1669819971">
      <w:bodyDiv w:val="1"/>
      <w:marLeft w:val="0"/>
      <w:marRight w:val="0"/>
      <w:marTop w:val="0"/>
      <w:marBottom w:val="0"/>
      <w:divBdr>
        <w:top w:val="none" w:sz="0" w:space="0" w:color="auto"/>
        <w:left w:val="none" w:sz="0" w:space="0" w:color="auto"/>
        <w:bottom w:val="none" w:sz="0" w:space="0" w:color="auto"/>
        <w:right w:val="none" w:sz="0" w:space="0" w:color="auto"/>
      </w:divBdr>
    </w:div>
    <w:div w:id="1670063822">
      <w:bodyDiv w:val="1"/>
      <w:marLeft w:val="0"/>
      <w:marRight w:val="0"/>
      <w:marTop w:val="0"/>
      <w:marBottom w:val="0"/>
      <w:divBdr>
        <w:top w:val="none" w:sz="0" w:space="0" w:color="auto"/>
        <w:left w:val="none" w:sz="0" w:space="0" w:color="auto"/>
        <w:bottom w:val="none" w:sz="0" w:space="0" w:color="auto"/>
        <w:right w:val="none" w:sz="0" w:space="0" w:color="auto"/>
      </w:divBdr>
    </w:div>
    <w:div w:id="1670134619">
      <w:bodyDiv w:val="1"/>
      <w:marLeft w:val="0"/>
      <w:marRight w:val="0"/>
      <w:marTop w:val="0"/>
      <w:marBottom w:val="0"/>
      <w:divBdr>
        <w:top w:val="none" w:sz="0" w:space="0" w:color="auto"/>
        <w:left w:val="none" w:sz="0" w:space="0" w:color="auto"/>
        <w:bottom w:val="none" w:sz="0" w:space="0" w:color="auto"/>
        <w:right w:val="none" w:sz="0" w:space="0" w:color="auto"/>
      </w:divBdr>
    </w:div>
    <w:div w:id="1670986495">
      <w:bodyDiv w:val="1"/>
      <w:marLeft w:val="0"/>
      <w:marRight w:val="0"/>
      <w:marTop w:val="0"/>
      <w:marBottom w:val="0"/>
      <w:divBdr>
        <w:top w:val="none" w:sz="0" w:space="0" w:color="auto"/>
        <w:left w:val="none" w:sz="0" w:space="0" w:color="auto"/>
        <w:bottom w:val="none" w:sz="0" w:space="0" w:color="auto"/>
        <w:right w:val="none" w:sz="0" w:space="0" w:color="auto"/>
      </w:divBdr>
    </w:div>
    <w:div w:id="1671176130">
      <w:bodyDiv w:val="1"/>
      <w:marLeft w:val="0"/>
      <w:marRight w:val="0"/>
      <w:marTop w:val="0"/>
      <w:marBottom w:val="0"/>
      <w:divBdr>
        <w:top w:val="none" w:sz="0" w:space="0" w:color="auto"/>
        <w:left w:val="none" w:sz="0" w:space="0" w:color="auto"/>
        <w:bottom w:val="none" w:sz="0" w:space="0" w:color="auto"/>
        <w:right w:val="none" w:sz="0" w:space="0" w:color="auto"/>
      </w:divBdr>
    </w:div>
    <w:div w:id="1671442426">
      <w:bodyDiv w:val="1"/>
      <w:marLeft w:val="0"/>
      <w:marRight w:val="0"/>
      <w:marTop w:val="0"/>
      <w:marBottom w:val="0"/>
      <w:divBdr>
        <w:top w:val="none" w:sz="0" w:space="0" w:color="auto"/>
        <w:left w:val="none" w:sz="0" w:space="0" w:color="auto"/>
        <w:bottom w:val="none" w:sz="0" w:space="0" w:color="auto"/>
        <w:right w:val="none" w:sz="0" w:space="0" w:color="auto"/>
      </w:divBdr>
    </w:div>
    <w:div w:id="1671518254">
      <w:bodyDiv w:val="1"/>
      <w:marLeft w:val="0"/>
      <w:marRight w:val="0"/>
      <w:marTop w:val="0"/>
      <w:marBottom w:val="0"/>
      <w:divBdr>
        <w:top w:val="none" w:sz="0" w:space="0" w:color="auto"/>
        <w:left w:val="none" w:sz="0" w:space="0" w:color="auto"/>
        <w:bottom w:val="none" w:sz="0" w:space="0" w:color="auto"/>
        <w:right w:val="none" w:sz="0" w:space="0" w:color="auto"/>
      </w:divBdr>
    </w:div>
    <w:div w:id="1671566984">
      <w:bodyDiv w:val="1"/>
      <w:marLeft w:val="0"/>
      <w:marRight w:val="0"/>
      <w:marTop w:val="0"/>
      <w:marBottom w:val="0"/>
      <w:divBdr>
        <w:top w:val="none" w:sz="0" w:space="0" w:color="auto"/>
        <w:left w:val="none" w:sz="0" w:space="0" w:color="auto"/>
        <w:bottom w:val="none" w:sz="0" w:space="0" w:color="auto"/>
        <w:right w:val="none" w:sz="0" w:space="0" w:color="auto"/>
      </w:divBdr>
    </w:div>
    <w:div w:id="1671568552">
      <w:bodyDiv w:val="1"/>
      <w:marLeft w:val="0"/>
      <w:marRight w:val="0"/>
      <w:marTop w:val="0"/>
      <w:marBottom w:val="0"/>
      <w:divBdr>
        <w:top w:val="none" w:sz="0" w:space="0" w:color="auto"/>
        <w:left w:val="none" w:sz="0" w:space="0" w:color="auto"/>
        <w:bottom w:val="none" w:sz="0" w:space="0" w:color="auto"/>
        <w:right w:val="none" w:sz="0" w:space="0" w:color="auto"/>
      </w:divBdr>
    </w:div>
    <w:div w:id="1673100536">
      <w:bodyDiv w:val="1"/>
      <w:marLeft w:val="0"/>
      <w:marRight w:val="0"/>
      <w:marTop w:val="0"/>
      <w:marBottom w:val="0"/>
      <w:divBdr>
        <w:top w:val="none" w:sz="0" w:space="0" w:color="auto"/>
        <w:left w:val="none" w:sz="0" w:space="0" w:color="auto"/>
        <w:bottom w:val="none" w:sz="0" w:space="0" w:color="auto"/>
        <w:right w:val="none" w:sz="0" w:space="0" w:color="auto"/>
      </w:divBdr>
    </w:div>
    <w:div w:id="1673144523">
      <w:bodyDiv w:val="1"/>
      <w:marLeft w:val="0"/>
      <w:marRight w:val="0"/>
      <w:marTop w:val="0"/>
      <w:marBottom w:val="0"/>
      <w:divBdr>
        <w:top w:val="none" w:sz="0" w:space="0" w:color="auto"/>
        <w:left w:val="none" w:sz="0" w:space="0" w:color="auto"/>
        <w:bottom w:val="none" w:sz="0" w:space="0" w:color="auto"/>
        <w:right w:val="none" w:sz="0" w:space="0" w:color="auto"/>
      </w:divBdr>
    </w:div>
    <w:div w:id="1673146702">
      <w:bodyDiv w:val="1"/>
      <w:marLeft w:val="0"/>
      <w:marRight w:val="0"/>
      <w:marTop w:val="0"/>
      <w:marBottom w:val="0"/>
      <w:divBdr>
        <w:top w:val="none" w:sz="0" w:space="0" w:color="auto"/>
        <w:left w:val="none" w:sz="0" w:space="0" w:color="auto"/>
        <w:bottom w:val="none" w:sz="0" w:space="0" w:color="auto"/>
        <w:right w:val="none" w:sz="0" w:space="0" w:color="auto"/>
      </w:divBdr>
    </w:div>
    <w:div w:id="1673608294">
      <w:bodyDiv w:val="1"/>
      <w:marLeft w:val="0"/>
      <w:marRight w:val="0"/>
      <w:marTop w:val="0"/>
      <w:marBottom w:val="0"/>
      <w:divBdr>
        <w:top w:val="none" w:sz="0" w:space="0" w:color="auto"/>
        <w:left w:val="none" w:sz="0" w:space="0" w:color="auto"/>
        <w:bottom w:val="none" w:sz="0" w:space="0" w:color="auto"/>
        <w:right w:val="none" w:sz="0" w:space="0" w:color="auto"/>
      </w:divBdr>
    </w:div>
    <w:div w:id="1674454861">
      <w:bodyDiv w:val="1"/>
      <w:marLeft w:val="0"/>
      <w:marRight w:val="0"/>
      <w:marTop w:val="0"/>
      <w:marBottom w:val="0"/>
      <w:divBdr>
        <w:top w:val="none" w:sz="0" w:space="0" w:color="auto"/>
        <w:left w:val="none" w:sz="0" w:space="0" w:color="auto"/>
        <w:bottom w:val="none" w:sz="0" w:space="0" w:color="auto"/>
        <w:right w:val="none" w:sz="0" w:space="0" w:color="auto"/>
      </w:divBdr>
    </w:div>
    <w:div w:id="1674725392">
      <w:bodyDiv w:val="1"/>
      <w:marLeft w:val="0"/>
      <w:marRight w:val="0"/>
      <w:marTop w:val="0"/>
      <w:marBottom w:val="0"/>
      <w:divBdr>
        <w:top w:val="none" w:sz="0" w:space="0" w:color="auto"/>
        <w:left w:val="none" w:sz="0" w:space="0" w:color="auto"/>
        <w:bottom w:val="none" w:sz="0" w:space="0" w:color="auto"/>
        <w:right w:val="none" w:sz="0" w:space="0" w:color="auto"/>
      </w:divBdr>
    </w:div>
    <w:div w:id="1674992086">
      <w:bodyDiv w:val="1"/>
      <w:marLeft w:val="0"/>
      <w:marRight w:val="0"/>
      <w:marTop w:val="0"/>
      <w:marBottom w:val="0"/>
      <w:divBdr>
        <w:top w:val="none" w:sz="0" w:space="0" w:color="auto"/>
        <w:left w:val="none" w:sz="0" w:space="0" w:color="auto"/>
        <w:bottom w:val="none" w:sz="0" w:space="0" w:color="auto"/>
        <w:right w:val="none" w:sz="0" w:space="0" w:color="auto"/>
      </w:divBdr>
    </w:div>
    <w:div w:id="1675574453">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5956448">
      <w:bodyDiv w:val="1"/>
      <w:marLeft w:val="0"/>
      <w:marRight w:val="0"/>
      <w:marTop w:val="0"/>
      <w:marBottom w:val="0"/>
      <w:divBdr>
        <w:top w:val="none" w:sz="0" w:space="0" w:color="auto"/>
        <w:left w:val="none" w:sz="0" w:space="0" w:color="auto"/>
        <w:bottom w:val="none" w:sz="0" w:space="0" w:color="auto"/>
        <w:right w:val="none" w:sz="0" w:space="0" w:color="auto"/>
      </w:divBdr>
    </w:div>
    <w:div w:id="1675957812">
      <w:bodyDiv w:val="1"/>
      <w:marLeft w:val="0"/>
      <w:marRight w:val="0"/>
      <w:marTop w:val="0"/>
      <w:marBottom w:val="0"/>
      <w:divBdr>
        <w:top w:val="none" w:sz="0" w:space="0" w:color="auto"/>
        <w:left w:val="none" w:sz="0" w:space="0" w:color="auto"/>
        <w:bottom w:val="none" w:sz="0" w:space="0" w:color="auto"/>
        <w:right w:val="none" w:sz="0" w:space="0" w:color="auto"/>
      </w:divBdr>
    </w:div>
    <w:div w:id="1676957964">
      <w:bodyDiv w:val="1"/>
      <w:marLeft w:val="0"/>
      <w:marRight w:val="0"/>
      <w:marTop w:val="0"/>
      <w:marBottom w:val="0"/>
      <w:divBdr>
        <w:top w:val="none" w:sz="0" w:space="0" w:color="auto"/>
        <w:left w:val="none" w:sz="0" w:space="0" w:color="auto"/>
        <w:bottom w:val="none" w:sz="0" w:space="0" w:color="auto"/>
        <w:right w:val="none" w:sz="0" w:space="0" w:color="auto"/>
      </w:divBdr>
    </w:div>
    <w:div w:id="1677607316">
      <w:bodyDiv w:val="1"/>
      <w:marLeft w:val="0"/>
      <w:marRight w:val="0"/>
      <w:marTop w:val="0"/>
      <w:marBottom w:val="0"/>
      <w:divBdr>
        <w:top w:val="none" w:sz="0" w:space="0" w:color="auto"/>
        <w:left w:val="none" w:sz="0" w:space="0" w:color="auto"/>
        <w:bottom w:val="none" w:sz="0" w:space="0" w:color="auto"/>
        <w:right w:val="none" w:sz="0" w:space="0" w:color="auto"/>
      </w:divBdr>
    </w:div>
    <w:div w:id="1677607367">
      <w:bodyDiv w:val="1"/>
      <w:marLeft w:val="0"/>
      <w:marRight w:val="0"/>
      <w:marTop w:val="0"/>
      <w:marBottom w:val="0"/>
      <w:divBdr>
        <w:top w:val="none" w:sz="0" w:space="0" w:color="auto"/>
        <w:left w:val="none" w:sz="0" w:space="0" w:color="auto"/>
        <w:bottom w:val="none" w:sz="0" w:space="0" w:color="auto"/>
        <w:right w:val="none" w:sz="0" w:space="0" w:color="auto"/>
      </w:divBdr>
    </w:div>
    <w:div w:id="1678459615">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79038808">
      <w:bodyDiv w:val="1"/>
      <w:marLeft w:val="0"/>
      <w:marRight w:val="0"/>
      <w:marTop w:val="0"/>
      <w:marBottom w:val="0"/>
      <w:divBdr>
        <w:top w:val="none" w:sz="0" w:space="0" w:color="auto"/>
        <w:left w:val="none" w:sz="0" w:space="0" w:color="auto"/>
        <w:bottom w:val="none" w:sz="0" w:space="0" w:color="auto"/>
        <w:right w:val="none" w:sz="0" w:space="0" w:color="auto"/>
      </w:divBdr>
    </w:div>
    <w:div w:id="1679234963">
      <w:bodyDiv w:val="1"/>
      <w:marLeft w:val="0"/>
      <w:marRight w:val="0"/>
      <w:marTop w:val="0"/>
      <w:marBottom w:val="0"/>
      <w:divBdr>
        <w:top w:val="none" w:sz="0" w:space="0" w:color="auto"/>
        <w:left w:val="none" w:sz="0" w:space="0" w:color="auto"/>
        <w:bottom w:val="none" w:sz="0" w:space="0" w:color="auto"/>
        <w:right w:val="none" w:sz="0" w:space="0" w:color="auto"/>
      </w:divBdr>
    </w:div>
    <w:div w:id="1679649853">
      <w:bodyDiv w:val="1"/>
      <w:marLeft w:val="0"/>
      <w:marRight w:val="0"/>
      <w:marTop w:val="0"/>
      <w:marBottom w:val="0"/>
      <w:divBdr>
        <w:top w:val="none" w:sz="0" w:space="0" w:color="auto"/>
        <w:left w:val="none" w:sz="0" w:space="0" w:color="auto"/>
        <w:bottom w:val="none" w:sz="0" w:space="0" w:color="auto"/>
        <w:right w:val="none" w:sz="0" w:space="0" w:color="auto"/>
      </w:divBdr>
    </w:div>
    <w:div w:id="1680086642">
      <w:bodyDiv w:val="1"/>
      <w:marLeft w:val="0"/>
      <w:marRight w:val="0"/>
      <w:marTop w:val="0"/>
      <w:marBottom w:val="0"/>
      <w:divBdr>
        <w:top w:val="none" w:sz="0" w:space="0" w:color="auto"/>
        <w:left w:val="none" w:sz="0" w:space="0" w:color="auto"/>
        <w:bottom w:val="none" w:sz="0" w:space="0" w:color="auto"/>
        <w:right w:val="none" w:sz="0" w:space="0" w:color="auto"/>
      </w:divBdr>
    </w:div>
    <w:div w:id="1680086744">
      <w:bodyDiv w:val="1"/>
      <w:marLeft w:val="0"/>
      <w:marRight w:val="0"/>
      <w:marTop w:val="0"/>
      <w:marBottom w:val="0"/>
      <w:divBdr>
        <w:top w:val="none" w:sz="0" w:space="0" w:color="auto"/>
        <w:left w:val="none" w:sz="0" w:space="0" w:color="auto"/>
        <w:bottom w:val="none" w:sz="0" w:space="0" w:color="auto"/>
        <w:right w:val="none" w:sz="0" w:space="0" w:color="auto"/>
      </w:divBdr>
    </w:div>
    <w:div w:id="1680236443">
      <w:bodyDiv w:val="1"/>
      <w:marLeft w:val="0"/>
      <w:marRight w:val="0"/>
      <w:marTop w:val="0"/>
      <w:marBottom w:val="0"/>
      <w:divBdr>
        <w:top w:val="none" w:sz="0" w:space="0" w:color="auto"/>
        <w:left w:val="none" w:sz="0" w:space="0" w:color="auto"/>
        <w:bottom w:val="none" w:sz="0" w:space="0" w:color="auto"/>
        <w:right w:val="none" w:sz="0" w:space="0" w:color="auto"/>
      </w:divBdr>
    </w:div>
    <w:div w:id="1680355472">
      <w:bodyDiv w:val="1"/>
      <w:marLeft w:val="0"/>
      <w:marRight w:val="0"/>
      <w:marTop w:val="0"/>
      <w:marBottom w:val="0"/>
      <w:divBdr>
        <w:top w:val="none" w:sz="0" w:space="0" w:color="auto"/>
        <w:left w:val="none" w:sz="0" w:space="0" w:color="auto"/>
        <w:bottom w:val="none" w:sz="0" w:space="0" w:color="auto"/>
        <w:right w:val="none" w:sz="0" w:space="0" w:color="auto"/>
      </w:divBdr>
    </w:div>
    <w:div w:id="1680424847">
      <w:bodyDiv w:val="1"/>
      <w:marLeft w:val="0"/>
      <w:marRight w:val="0"/>
      <w:marTop w:val="0"/>
      <w:marBottom w:val="0"/>
      <w:divBdr>
        <w:top w:val="none" w:sz="0" w:space="0" w:color="auto"/>
        <w:left w:val="none" w:sz="0" w:space="0" w:color="auto"/>
        <w:bottom w:val="none" w:sz="0" w:space="0" w:color="auto"/>
        <w:right w:val="none" w:sz="0" w:space="0" w:color="auto"/>
      </w:divBdr>
    </w:div>
    <w:div w:id="1680502914">
      <w:bodyDiv w:val="1"/>
      <w:marLeft w:val="0"/>
      <w:marRight w:val="0"/>
      <w:marTop w:val="0"/>
      <w:marBottom w:val="0"/>
      <w:divBdr>
        <w:top w:val="none" w:sz="0" w:space="0" w:color="auto"/>
        <w:left w:val="none" w:sz="0" w:space="0" w:color="auto"/>
        <w:bottom w:val="none" w:sz="0" w:space="0" w:color="auto"/>
        <w:right w:val="none" w:sz="0" w:space="0" w:color="auto"/>
      </w:divBdr>
    </w:div>
    <w:div w:id="1680503702">
      <w:bodyDiv w:val="1"/>
      <w:marLeft w:val="0"/>
      <w:marRight w:val="0"/>
      <w:marTop w:val="0"/>
      <w:marBottom w:val="0"/>
      <w:divBdr>
        <w:top w:val="none" w:sz="0" w:space="0" w:color="auto"/>
        <w:left w:val="none" w:sz="0" w:space="0" w:color="auto"/>
        <w:bottom w:val="none" w:sz="0" w:space="0" w:color="auto"/>
        <w:right w:val="none" w:sz="0" w:space="0" w:color="auto"/>
      </w:divBdr>
    </w:div>
    <w:div w:id="1680624238">
      <w:bodyDiv w:val="1"/>
      <w:marLeft w:val="0"/>
      <w:marRight w:val="0"/>
      <w:marTop w:val="0"/>
      <w:marBottom w:val="0"/>
      <w:divBdr>
        <w:top w:val="none" w:sz="0" w:space="0" w:color="auto"/>
        <w:left w:val="none" w:sz="0" w:space="0" w:color="auto"/>
        <w:bottom w:val="none" w:sz="0" w:space="0" w:color="auto"/>
        <w:right w:val="none" w:sz="0" w:space="0" w:color="auto"/>
      </w:divBdr>
    </w:div>
    <w:div w:id="1680698666">
      <w:bodyDiv w:val="1"/>
      <w:marLeft w:val="0"/>
      <w:marRight w:val="0"/>
      <w:marTop w:val="0"/>
      <w:marBottom w:val="0"/>
      <w:divBdr>
        <w:top w:val="none" w:sz="0" w:space="0" w:color="auto"/>
        <w:left w:val="none" w:sz="0" w:space="0" w:color="auto"/>
        <w:bottom w:val="none" w:sz="0" w:space="0" w:color="auto"/>
        <w:right w:val="none" w:sz="0" w:space="0" w:color="auto"/>
      </w:divBdr>
    </w:div>
    <w:div w:id="1680886108">
      <w:bodyDiv w:val="1"/>
      <w:marLeft w:val="0"/>
      <w:marRight w:val="0"/>
      <w:marTop w:val="0"/>
      <w:marBottom w:val="0"/>
      <w:divBdr>
        <w:top w:val="none" w:sz="0" w:space="0" w:color="auto"/>
        <w:left w:val="none" w:sz="0" w:space="0" w:color="auto"/>
        <w:bottom w:val="none" w:sz="0" w:space="0" w:color="auto"/>
        <w:right w:val="none" w:sz="0" w:space="0" w:color="auto"/>
      </w:divBdr>
    </w:div>
    <w:div w:id="1681080658">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1393734">
      <w:bodyDiv w:val="1"/>
      <w:marLeft w:val="0"/>
      <w:marRight w:val="0"/>
      <w:marTop w:val="0"/>
      <w:marBottom w:val="0"/>
      <w:divBdr>
        <w:top w:val="none" w:sz="0" w:space="0" w:color="auto"/>
        <w:left w:val="none" w:sz="0" w:space="0" w:color="auto"/>
        <w:bottom w:val="none" w:sz="0" w:space="0" w:color="auto"/>
        <w:right w:val="none" w:sz="0" w:space="0" w:color="auto"/>
      </w:divBdr>
    </w:div>
    <w:div w:id="1681421797">
      <w:bodyDiv w:val="1"/>
      <w:marLeft w:val="0"/>
      <w:marRight w:val="0"/>
      <w:marTop w:val="0"/>
      <w:marBottom w:val="0"/>
      <w:divBdr>
        <w:top w:val="none" w:sz="0" w:space="0" w:color="auto"/>
        <w:left w:val="none" w:sz="0" w:space="0" w:color="auto"/>
        <w:bottom w:val="none" w:sz="0" w:space="0" w:color="auto"/>
        <w:right w:val="none" w:sz="0" w:space="0" w:color="auto"/>
      </w:divBdr>
    </w:div>
    <w:div w:id="1681543441">
      <w:bodyDiv w:val="1"/>
      <w:marLeft w:val="0"/>
      <w:marRight w:val="0"/>
      <w:marTop w:val="0"/>
      <w:marBottom w:val="0"/>
      <w:divBdr>
        <w:top w:val="none" w:sz="0" w:space="0" w:color="auto"/>
        <w:left w:val="none" w:sz="0" w:space="0" w:color="auto"/>
        <w:bottom w:val="none" w:sz="0" w:space="0" w:color="auto"/>
        <w:right w:val="none" w:sz="0" w:space="0" w:color="auto"/>
      </w:divBdr>
    </w:div>
    <w:div w:id="1681662021">
      <w:bodyDiv w:val="1"/>
      <w:marLeft w:val="0"/>
      <w:marRight w:val="0"/>
      <w:marTop w:val="0"/>
      <w:marBottom w:val="0"/>
      <w:divBdr>
        <w:top w:val="none" w:sz="0" w:space="0" w:color="auto"/>
        <w:left w:val="none" w:sz="0" w:space="0" w:color="auto"/>
        <w:bottom w:val="none" w:sz="0" w:space="0" w:color="auto"/>
        <w:right w:val="none" w:sz="0" w:space="0" w:color="auto"/>
      </w:divBdr>
    </w:div>
    <w:div w:id="1681737166">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122461">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3585487">
      <w:bodyDiv w:val="1"/>
      <w:marLeft w:val="0"/>
      <w:marRight w:val="0"/>
      <w:marTop w:val="0"/>
      <w:marBottom w:val="0"/>
      <w:divBdr>
        <w:top w:val="none" w:sz="0" w:space="0" w:color="auto"/>
        <w:left w:val="none" w:sz="0" w:space="0" w:color="auto"/>
        <w:bottom w:val="none" w:sz="0" w:space="0" w:color="auto"/>
        <w:right w:val="none" w:sz="0" w:space="0" w:color="auto"/>
      </w:divBdr>
    </w:div>
    <w:div w:id="1684085744">
      <w:bodyDiv w:val="1"/>
      <w:marLeft w:val="0"/>
      <w:marRight w:val="0"/>
      <w:marTop w:val="0"/>
      <w:marBottom w:val="0"/>
      <w:divBdr>
        <w:top w:val="none" w:sz="0" w:space="0" w:color="auto"/>
        <w:left w:val="none" w:sz="0" w:space="0" w:color="auto"/>
        <w:bottom w:val="none" w:sz="0" w:space="0" w:color="auto"/>
        <w:right w:val="none" w:sz="0" w:space="0" w:color="auto"/>
      </w:divBdr>
    </w:div>
    <w:div w:id="1684745272">
      <w:bodyDiv w:val="1"/>
      <w:marLeft w:val="0"/>
      <w:marRight w:val="0"/>
      <w:marTop w:val="0"/>
      <w:marBottom w:val="0"/>
      <w:divBdr>
        <w:top w:val="none" w:sz="0" w:space="0" w:color="auto"/>
        <w:left w:val="none" w:sz="0" w:space="0" w:color="auto"/>
        <w:bottom w:val="none" w:sz="0" w:space="0" w:color="auto"/>
        <w:right w:val="none" w:sz="0" w:space="0" w:color="auto"/>
      </w:divBdr>
    </w:div>
    <w:div w:id="1684894223">
      <w:bodyDiv w:val="1"/>
      <w:marLeft w:val="0"/>
      <w:marRight w:val="0"/>
      <w:marTop w:val="0"/>
      <w:marBottom w:val="0"/>
      <w:divBdr>
        <w:top w:val="none" w:sz="0" w:space="0" w:color="auto"/>
        <w:left w:val="none" w:sz="0" w:space="0" w:color="auto"/>
        <w:bottom w:val="none" w:sz="0" w:space="0" w:color="auto"/>
        <w:right w:val="none" w:sz="0" w:space="0" w:color="auto"/>
      </w:divBdr>
    </w:div>
    <w:div w:id="1685353953">
      <w:bodyDiv w:val="1"/>
      <w:marLeft w:val="0"/>
      <w:marRight w:val="0"/>
      <w:marTop w:val="0"/>
      <w:marBottom w:val="0"/>
      <w:divBdr>
        <w:top w:val="none" w:sz="0" w:space="0" w:color="auto"/>
        <w:left w:val="none" w:sz="0" w:space="0" w:color="auto"/>
        <w:bottom w:val="none" w:sz="0" w:space="0" w:color="auto"/>
        <w:right w:val="none" w:sz="0" w:space="0" w:color="auto"/>
      </w:divBdr>
    </w:div>
    <w:div w:id="1685591116">
      <w:bodyDiv w:val="1"/>
      <w:marLeft w:val="0"/>
      <w:marRight w:val="0"/>
      <w:marTop w:val="0"/>
      <w:marBottom w:val="0"/>
      <w:divBdr>
        <w:top w:val="none" w:sz="0" w:space="0" w:color="auto"/>
        <w:left w:val="none" w:sz="0" w:space="0" w:color="auto"/>
        <w:bottom w:val="none" w:sz="0" w:space="0" w:color="auto"/>
        <w:right w:val="none" w:sz="0" w:space="0" w:color="auto"/>
      </w:divBdr>
    </w:div>
    <w:div w:id="1685593138">
      <w:bodyDiv w:val="1"/>
      <w:marLeft w:val="0"/>
      <w:marRight w:val="0"/>
      <w:marTop w:val="0"/>
      <w:marBottom w:val="0"/>
      <w:divBdr>
        <w:top w:val="none" w:sz="0" w:space="0" w:color="auto"/>
        <w:left w:val="none" w:sz="0" w:space="0" w:color="auto"/>
        <w:bottom w:val="none" w:sz="0" w:space="0" w:color="auto"/>
        <w:right w:val="none" w:sz="0" w:space="0" w:color="auto"/>
      </w:divBdr>
    </w:div>
    <w:div w:id="1685860545">
      <w:bodyDiv w:val="1"/>
      <w:marLeft w:val="0"/>
      <w:marRight w:val="0"/>
      <w:marTop w:val="0"/>
      <w:marBottom w:val="0"/>
      <w:divBdr>
        <w:top w:val="none" w:sz="0" w:space="0" w:color="auto"/>
        <w:left w:val="none" w:sz="0" w:space="0" w:color="auto"/>
        <w:bottom w:val="none" w:sz="0" w:space="0" w:color="auto"/>
        <w:right w:val="none" w:sz="0" w:space="0" w:color="auto"/>
      </w:divBdr>
    </w:div>
    <w:div w:id="1686051257">
      <w:bodyDiv w:val="1"/>
      <w:marLeft w:val="0"/>
      <w:marRight w:val="0"/>
      <w:marTop w:val="0"/>
      <w:marBottom w:val="0"/>
      <w:divBdr>
        <w:top w:val="none" w:sz="0" w:space="0" w:color="auto"/>
        <w:left w:val="none" w:sz="0" w:space="0" w:color="auto"/>
        <w:bottom w:val="none" w:sz="0" w:space="0" w:color="auto"/>
        <w:right w:val="none" w:sz="0" w:space="0" w:color="auto"/>
      </w:divBdr>
    </w:div>
    <w:div w:id="1686127514">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86446502">
      <w:bodyDiv w:val="1"/>
      <w:marLeft w:val="0"/>
      <w:marRight w:val="0"/>
      <w:marTop w:val="0"/>
      <w:marBottom w:val="0"/>
      <w:divBdr>
        <w:top w:val="none" w:sz="0" w:space="0" w:color="auto"/>
        <w:left w:val="none" w:sz="0" w:space="0" w:color="auto"/>
        <w:bottom w:val="none" w:sz="0" w:space="0" w:color="auto"/>
        <w:right w:val="none" w:sz="0" w:space="0" w:color="auto"/>
      </w:divBdr>
    </w:div>
    <w:div w:id="1687321921">
      <w:bodyDiv w:val="1"/>
      <w:marLeft w:val="0"/>
      <w:marRight w:val="0"/>
      <w:marTop w:val="0"/>
      <w:marBottom w:val="0"/>
      <w:divBdr>
        <w:top w:val="none" w:sz="0" w:space="0" w:color="auto"/>
        <w:left w:val="none" w:sz="0" w:space="0" w:color="auto"/>
        <w:bottom w:val="none" w:sz="0" w:space="0" w:color="auto"/>
        <w:right w:val="none" w:sz="0" w:space="0" w:color="auto"/>
      </w:divBdr>
    </w:div>
    <w:div w:id="1687436248">
      <w:bodyDiv w:val="1"/>
      <w:marLeft w:val="0"/>
      <w:marRight w:val="0"/>
      <w:marTop w:val="0"/>
      <w:marBottom w:val="0"/>
      <w:divBdr>
        <w:top w:val="none" w:sz="0" w:space="0" w:color="auto"/>
        <w:left w:val="none" w:sz="0" w:space="0" w:color="auto"/>
        <w:bottom w:val="none" w:sz="0" w:space="0" w:color="auto"/>
        <w:right w:val="none" w:sz="0" w:space="0" w:color="auto"/>
      </w:divBdr>
    </w:div>
    <w:div w:id="1687518423">
      <w:bodyDiv w:val="1"/>
      <w:marLeft w:val="0"/>
      <w:marRight w:val="0"/>
      <w:marTop w:val="0"/>
      <w:marBottom w:val="0"/>
      <w:divBdr>
        <w:top w:val="none" w:sz="0" w:space="0" w:color="auto"/>
        <w:left w:val="none" w:sz="0" w:space="0" w:color="auto"/>
        <w:bottom w:val="none" w:sz="0" w:space="0" w:color="auto"/>
        <w:right w:val="none" w:sz="0" w:space="0" w:color="auto"/>
      </w:divBdr>
    </w:div>
    <w:div w:id="1687750550">
      <w:bodyDiv w:val="1"/>
      <w:marLeft w:val="0"/>
      <w:marRight w:val="0"/>
      <w:marTop w:val="0"/>
      <w:marBottom w:val="0"/>
      <w:divBdr>
        <w:top w:val="none" w:sz="0" w:space="0" w:color="auto"/>
        <w:left w:val="none" w:sz="0" w:space="0" w:color="auto"/>
        <w:bottom w:val="none" w:sz="0" w:space="0" w:color="auto"/>
        <w:right w:val="none" w:sz="0" w:space="0" w:color="auto"/>
      </w:divBdr>
    </w:div>
    <w:div w:id="1687975742">
      <w:bodyDiv w:val="1"/>
      <w:marLeft w:val="0"/>
      <w:marRight w:val="0"/>
      <w:marTop w:val="0"/>
      <w:marBottom w:val="0"/>
      <w:divBdr>
        <w:top w:val="none" w:sz="0" w:space="0" w:color="auto"/>
        <w:left w:val="none" w:sz="0" w:space="0" w:color="auto"/>
        <w:bottom w:val="none" w:sz="0" w:space="0" w:color="auto"/>
        <w:right w:val="none" w:sz="0" w:space="0" w:color="auto"/>
      </w:divBdr>
    </w:div>
    <w:div w:id="1688556843">
      <w:bodyDiv w:val="1"/>
      <w:marLeft w:val="0"/>
      <w:marRight w:val="0"/>
      <w:marTop w:val="0"/>
      <w:marBottom w:val="0"/>
      <w:divBdr>
        <w:top w:val="none" w:sz="0" w:space="0" w:color="auto"/>
        <w:left w:val="none" w:sz="0" w:space="0" w:color="auto"/>
        <w:bottom w:val="none" w:sz="0" w:space="0" w:color="auto"/>
        <w:right w:val="none" w:sz="0" w:space="0" w:color="auto"/>
      </w:divBdr>
    </w:div>
    <w:div w:id="1688674814">
      <w:bodyDiv w:val="1"/>
      <w:marLeft w:val="0"/>
      <w:marRight w:val="0"/>
      <w:marTop w:val="0"/>
      <w:marBottom w:val="0"/>
      <w:divBdr>
        <w:top w:val="none" w:sz="0" w:space="0" w:color="auto"/>
        <w:left w:val="none" w:sz="0" w:space="0" w:color="auto"/>
        <w:bottom w:val="none" w:sz="0" w:space="0" w:color="auto"/>
        <w:right w:val="none" w:sz="0" w:space="0" w:color="auto"/>
      </w:divBdr>
    </w:div>
    <w:div w:id="1689015993">
      <w:bodyDiv w:val="1"/>
      <w:marLeft w:val="0"/>
      <w:marRight w:val="0"/>
      <w:marTop w:val="0"/>
      <w:marBottom w:val="0"/>
      <w:divBdr>
        <w:top w:val="none" w:sz="0" w:space="0" w:color="auto"/>
        <w:left w:val="none" w:sz="0" w:space="0" w:color="auto"/>
        <w:bottom w:val="none" w:sz="0" w:space="0" w:color="auto"/>
        <w:right w:val="none" w:sz="0" w:space="0" w:color="auto"/>
      </w:divBdr>
    </w:div>
    <w:div w:id="1689142144">
      <w:bodyDiv w:val="1"/>
      <w:marLeft w:val="0"/>
      <w:marRight w:val="0"/>
      <w:marTop w:val="0"/>
      <w:marBottom w:val="0"/>
      <w:divBdr>
        <w:top w:val="none" w:sz="0" w:space="0" w:color="auto"/>
        <w:left w:val="none" w:sz="0" w:space="0" w:color="auto"/>
        <w:bottom w:val="none" w:sz="0" w:space="0" w:color="auto"/>
        <w:right w:val="none" w:sz="0" w:space="0" w:color="auto"/>
      </w:divBdr>
    </w:div>
    <w:div w:id="1689142639">
      <w:bodyDiv w:val="1"/>
      <w:marLeft w:val="0"/>
      <w:marRight w:val="0"/>
      <w:marTop w:val="0"/>
      <w:marBottom w:val="0"/>
      <w:divBdr>
        <w:top w:val="none" w:sz="0" w:space="0" w:color="auto"/>
        <w:left w:val="none" w:sz="0" w:space="0" w:color="auto"/>
        <w:bottom w:val="none" w:sz="0" w:space="0" w:color="auto"/>
        <w:right w:val="none" w:sz="0" w:space="0" w:color="auto"/>
      </w:divBdr>
    </w:div>
    <w:div w:id="1689404196">
      <w:bodyDiv w:val="1"/>
      <w:marLeft w:val="0"/>
      <w:marRight w:val="0"/>
      <w:marTop w:val="0"/>
      <w:marBottom w:val="0"/>
      <w:divBdr>
        <w:top w:val="none" w:sz="0" w:space="0" w:color="auto"/>
        <w:left w:val="none" w:sz="0" w:space="0" w:color="auto"/>
        <w:bottom w:val="none" w:sz="0" w:space="0" w:color="auto"/>
        <w:right w:val="none" w:sz="0" w:space="0" w:color="auto"/>
      </w:divBdr>
    </w:div>
    <w:div w:id="1689525657">
      <w:bodyDiv w:val="1"/>
      <w:marLeft w:val="0"/>
      <w:marRight w:val="0"/>
      <w:marTop w:val="0"/>
      <w:marBottom w:val="0"/>
      <w:divBdr>
        <w:top w:val="none" w:sz="0" w:space="0" w:color="auto"/>
        <w:left w:val="none" w:sz="0" w:space="0" w:color="auto"/>
        <w:bottom w:val="none" w:sz="0" w:space="0" w:color="auto"/>
        <w:right w:val="none" w:sz="0" w:space="0" w:color="auto"/>
      </w:divBdr>
    </w:div>
    <w:div w:id="1689527563">
      <w:bodyDiv w:val="1"/>
      <w:marLeft w:val="0"/>
      <w:marRight w:val="0"/>
      <w:marTop w:val="0"/>
      <w:marBottom w:val="0"/>
      <w:divBdr>
        <w:top w:val="none" w:sz="0" w:space="0" w:color="auto"/>
        <w:left w:val="none" w:sz="0" w:space="0" w:color="auto"/>
        <w:bottom w:val="none" w:sz="0" w:space="0" w:color="auto"/>
        <w:right w:val="none" w:sz="0" w:space="0" w:color="auto"/>
      </w:divBdr>
    </w:div>
    <w:div w:id="1689598277">
      <w:bodyDiv w:val="1"/>
      <w:marLeft w:val="0"/>
      <w:marRight w:val="0"/>
      <w:marTop w:val="0"/>
      <w:marBottom w:val="0"/>
      <w:divBdr>
        <w:top w:val="none" w:sz="0" w:space="0" w:color="auto"/>
        <w:left w:val="none" w:sz="0" w:space="0" w:color="auto"/>
        <w:bottom w:val="none" w:sz="0" w:space="0" w:color="auto"/>
        <w:right w:val="none" w:sz="0" w:space="0" w:color="auto"/>
      </w:divBdr>
    </w:div>
    <w:div w:id="1689602293">
      <w:bodyDiv w:val="1"/>
      <w:marLeft w:val="0"/>
      <w:marRight w:val="0"/>
      <w:marTop w:val="0"/>
      <w:marBottom w:val="0"/>
      <w:divBdr>
        <w:top w:val="none" w:sz="0" w:space="0" w:color="auto"/>
        <w:left w:val="none" w:sz="0" w:space="0" w:color="auto"/>
        <w:bottom w:val="none" w:sz="0" w:space="0" w:color="auto"/>
        <w:right w:val="none" w:sz="0" w:space="0" w:color="auto"/>
      </w:divBdr>
    </w:div>
    <w:div w:id="1689674745">
      <w:bodyDiv w:val="1"/>
      <w:marLeft w:val="0"/>
      <w:marRight w:val="0"/>
      <w:marTop w:val="0"/>
      <w:marBottom w:val="0"/>
      <w:divBdr>
        <w:top w:val="none" w:sz="0" w:space="0" w:color="auto"/>
        <w:left w:val="none" w:sz="0" w:space="0" w:color="auto"/>
        <w:bottom w:val="none" w:sz="0" w:space="0" w:color="auto"/>
        <w:right w:val="none" w:sz="0" w:space="0" w:color="auto"/>
      </w:divBdr>
    </w:div>
    <w:div w:id="1689679678">
      <w:bodyDiv w:val="1"/>
      <w:marLeft w:val="0"/>
      <w:marRight w:val="0"/>
      <w:marTop w:val="0"/>
      <w:marBottom w:val="0"/>
      <w:divBdr>
        <w:top w:val="none" w:sz="0" w:space="0" w:color="auto"/>
        <w:left w:val="none" w:sz="0" w:space="0" w:color="auto"/>
        <w:bottom w:val="none" w:sz="0" w:space="0" w:color="auto"/>
        <w:right w:val="none" w:sz="0" w:space="0" w:color="auto"/>
      </w:divBdr>
    </w:div>
    <w:div w:id="1689797479">
      <w:bodyDiv w:val="1"/>
      <w:marLeft w:val="0"/>
      <w:marRight w:val="0"/>
      <w:marTop w:val="0"/>
      <w:marBottom w:val="0"/>
      <w:divBdr>
        <w:top w:val="none" w:sz="0" w:space="0" w:color="auto"/>
        <w:left w:val="none" w:sz="0" w:space="0" w:color="auto"/>
        <w:bottom w:val="none" w:sz="0" w:space="0" w:color="auto"/>
        <w:right w:val="none" w:sz="0" w:space="0" w:color="auto"/>
      </w:divBdr>
    </w:div>
    <w:div w:id="1689911587">
      <w:bodyDiv w:val="1"/>
      <w:marLeft w:val="0"/>
      <w:marRight w:val="0"/>
      <w:marTop w:val="0"/>
      <w:marBottom w:val="0"/>
      <w:divBdr>
        <w:top w:val="none" w:sz="0" w:space="0" w:color="auto"/>
        <w:left w:val="none" w:sz="0" w:space="0" w:color="auto"/>
        <w:bottom w:val="none" w:sz="0" w:space="0" w:color="auto"/>
        <w:right w:val="none" w:sz="0" w:space="0" w:color="auto"/>
      </w:divBdr>
    </w:div>
    <w:div w:id="1690717181">
      <w:bodyDiv w:val="1"/>
      <w:marLeft w:val="0"/>
      <w:marRight w:val="0"/>
      <w:marTop w:val="0"/>
      <w:marBottom w:val="0"/>
      <w:divBdr>
        <w:top w:val="none" w:sz="0" w:space="0" w:color="auto"/>
        <w:left w:val="none" w:sz="0" w:space="0" w:color="auto"/>
        <w:bottom w:val="none" w:sz="0" w:space="0" w:color="auto"/>
        <w:right w:val="none" w:sz="0" w:space="0" w:color="auto"/>
      </w:divBdr>
    </w:div>
    <w:div w:id="1690984136">
      <w:bodyDiv w:val="1"/>
      <w:marLeft w:val="0"/>
      <w:marRight w:val="0"/>
      <w:marTop w:val="0"/>
      <w:marBottom w:val="0"/>
      <w:divBdr>
        <w:top w:val="none" w:sz="0" w:space="0" w:color="auto"/>
        <w:left w:val="none" w:sz="0" w:space="0" w:color="auto"/>
        <w:bottom w:val="none" w:sz="0" w:space="0" w:color="auto"/>
        <w:right w:val="none" w:sz="0" w:space="0" w:color="auto"/>
      </w:divBdr>
    </w:div>
    <w:div w:id="1690988688">
      <w:bodyDiv w:val="1"/>
      <w:marLeft w:val="0"/>
      <w:marRight w:val="0"/>
      <w:marTop w:val="0"/>
      <w:marBottom w:val="0"/>
      <w:divBdr>
        <w:top w:val="none" w:sz="0" w:space="0" w:color="auto"/>
        <w:left w:val="none" w:sz="0" w:space="0" w:color="auto"/>
        <w:bottom w:val="none" w:sz="0" w:space="0" w:color="auto"/>
        <w:right w:val="none" w:sz="0" w:space="0" w:color="auto"/>
      </w:divBdr>
    </w:div>
    <w:div w:id="1691029075">
      <w:bodyDiv w:val="1"/>
      <w:marLeft w:val="0"/>
      <w:marRight w:val="0"/>
      <w:marTop w:val="0"/>
      <w:marBottom w:val="0"/>
      <w:divBdr>
        <w:top w:val="none" w:sz="0" w:space="0" w:color="auto"/>
        <w:left w:val="none" w:sz="0" w:space="0" w:color="auto"/>
        <w:bottom w:val="none" w:sz="0" w:space="0" w:color="auto"/>
        <w:right w:val="none" w:sz="0" w:space="0" w:color="auto"/>
      </w:divBdr>
    </w:div>
    <w:div w:id="1691101368">
      <w:bodyDiv w:val="1"/>
      <w:marLeft w:val="0"/>
      <w:marRight w:val="0"/>
      <w:marTop w:val="0"/>
      <w:marBottom w:val="0"/>
      <w:divBdr>
        <w:top w:val="none" w:sz="0" w:space="0" w:color="auto"/>
        <w:left w:val="none" w:sz="0" w:space="0" w:color="auto"/>
        <w:bottom w:val="none" w:sz="0" w:space="0" w:color="auto"/>
        <w:right w:val="none" w:sz="0" w:space="0" w:color="auto"/>
      </w:divBdr>
    </w:div>
    <w:div w:id="1691174701">
      <w:bodyDiv w:val="1"/>
      <w:marLeft w:val="0"/>
      <w:marRight w:val="0"/>
      <w:marTop w:val="0"/>
      <w:marBottom w:val="0"/>
      <w:divBdr>
        <w:top w:val="none" w:sz="0" w:space="0" w:color="auto"/>
        <w:left w:val="none" w:sz="0" w:space="0" w:color="auto"/>
        <w:bottom w:val="none" w:sz="0" w:space="0" w:color="auto"/>
        <w:right w:val="none" w:sz="0" w:space="0" w:color="auto"/>
      </w:divBdr>
    </w:div>
    <w:div w:id="1691301765">
      <w:bodyDiv w:val="1"/>
      <w:marLeft w:val="0"/>
      <w:marRight w:val="0"/>
      <w:marTop w:val="0"/>
      <w:marBottom w:val="0"/>
      <w:divBdr>
        <w:top w:val="none" w:sz="0" w:space="0" w:color="auto"/>
        <w:left w:val="none" w:sz="0" w:space="0" w:color="auto"/>
        <w:bottom w:val="none" w:sz="0" w:space="0" w:color="auto"/>
        <w:right w:val="none" w:sz="0" w:space="0" w:color="auto"/>
      </w:divBdr>
    </w:div>
    <w:div w:id="1691564803">
      <w:bodyDiv w:val="1"/>
      <w:marLeft w:val="0"/>
      <w:marRight w:val="0"/>
      <w:marTop w:val="0"/>
      <w:marBottom w:val="0"/>
      <w:divBdr>
        <w:top w:val="none" w:sz="0" w:space="0" w:color="auto"/>
        <w:left w:val="none" w:sz="0" w:space="0" w:color="auto"/>
        <w:bottom w:val="none" w:sz="0" w:space="0" w:color="auto"/>
        <w:right w:val="none" w:sz="0" w:space="0" w:color="auto"/>
      </w:divBdr>
    </w:div>
    <w:div w:id="1691566306">
      <w:bodyDiv w:val="1"/>
      <w:marLeft w:val="0"/>
      <w:marRight w:val="0"/>
      <w:marTop w:val="0"/>
      <w:marBottom w:val="0"/>
      <w:divBdr>
        <w:top w:val="none" w:sz="0" w:space="0" w:color="auto"/>
        <w:left w:val="none" w:sz="0" w:space="0" w:color="auto"/>
        <w:bottom w:val="none" w:sz="0" w:space="0" w:color="auto"/>
        <w:right w:val="none" w:sz="0" w:space="0" w:color="auto"/>
      </w:divBdr>
    </w:div>
    <w:div w:id="1691567538">
      <w:bodyDiv w:val="1"/>
      <w:marLeft w:val="0"/>
      <w:marRight w:val="0"/>
      <w:marTop w:val="0"/>
      <w:marBottom w:val="0"/>
      <w:divBdr>
        <w:top w:val="none" w:sz="0" w:space="0" w:color="auto"/>
        <w:left w:val="none" w:sz="0" w:space="0" w:color="auto"/>
        <w:bottom w:val="none" w:sz="0" w:space="0" w:color="auto"/>
        <w:right w:val="none" w:sz="0" w:space="0" w:color="auto"/>
      </w:divBdr>
    </w:div>
    <w:div w:id="1691644547">
      <w:bodyDiv w:val="1"/>
      <w:marLeft w:val="0"/>
      <w:marRight w:val="0"/>
      <w:marTop w:val="0"/>
      <w:marBottom w:val="0"/>
      <w:divBdr>
        <w:top w:val="none" w:sz="0" w:space="0" w:color="auto"/>
        <w:left w:val="none" w:sz="0" w:space="0" w:color="auto"/>
        <w:bottom w:val="none" w:sz="0" w:space="0" w:color="auto"/>
        <w:right w:val="none" w:sz="0" w:space="0" w:color="auto"/>
      </w:divBdr>
    </w:div>
    <w:div w:id="1692881083">
      <w:bodyDiv w:val="1"/>
      <w:marLeft w:val="0"/>
      <w:marRight w:val="0"/>
      <w:marTop w:val="0"/>
      <w:marBottom w:val="0"/>
      <w:divBdr>
        <w:top w:val="none" w:sz="0" w:space="0" w:color="auto"/>
        <w:left w:val="none" w:sz="0" w:space="0" w:color="auto"/>
        <w:bottom w:val="none" w:sz="0" w:space="0" w:color="auto"/>
        <w:right w:val="none" w:sz="0" w:space="0" w:color="auto"/>
      </w:divBdr>
    </w:div>
    <w:div w:id="1693073794">
      <w:bodyDiv w:val="1"/>
      <w:marLeft w:val="0"/>
      <w:marRight w:val="0"/>
      <w:marTop w:val="0"/>
      <w:marBottom w:val="0"/>
      <w:divBdr>
        <w:top w:val="none" w:sz="0" w:space="0" w:color="auto"/>
        <w:left w:val="none" w:sz="0" w:space="0" w:color="auto"/>
        <w:bottom w:val="none" w:sz="0" w:space="0" w:color="auto"/>
        <w:right w:val="none" w:sz="0" w:space="0" w:color="auto"/>
      </w:divBdr>
    </w:div>
    <w:div w:id="1693258398">
      <w:bodyDiv w:val="1"/>
      <w:marLeft w:val="0"/>
      <w:marRight w:val="0"/>
      <w:marTop w:val="0"/>
      <w:marBottom w:val="0"/>
      <w:divBdr>
        <w:top w:val="none" w:sz="0" w:space="0" w:color="auto"/>
        <w:left w:val="none" w:sz="0" w:space="0" w:color="auto"/>
        <w:bottom w:val="none" w:sz="0" w:space="0" w:color="auto"/>
        <w:right w:val="none" w:sz="0" w:space="0" w:color="auto"/>
      </w:divBdr>
    </w:div>
    <w:div w:id="1693341228">
      <w:bodyDiv w:val="1"/>
      <w:marLeft w:val="0"/>
      <w:marRight w:val="0"/>
      <w:marTop w:val="0"/>
      <w:marBottom w:val="0"/>
      <w:divBdr>
        <w:top w:val="none" w:sz="0" w:space="0" w:color="auto"/>
        <w:left w:val="none" w:sz="0" w:space="0" w:color="auto"/>
        <w:bottom w:val="none" w:sz="0" w:space="0" w:color="auto"/>
        <w:right w:val="none" w:sz="0" w:space="0" w:color="auto"/>
      </w:divBdr>
    </w:div>
    <w:div w:id="1693919704">
      <w:bodyDiv w:val="1"/>
      <w:marLeft w:val="0"/>
      <w:marRight w:val="0"/>
      <w:marTop w:val="0"/>
      <w:marBottom w:val="0"/>
      <w:divBdr>
        <w:top w:val="none" w:sz="0" w:space="0" w:color="auto"/>
        <w:left w:val="none" w:sz="0" w:space="0" w:color="auto"/>
        <w:bottom w:val="none" w:sz="0" w:space="0" w:color="auto"/>
        <w:right w:val="none" w:sz="0" w:space="0" w:color="auto"/>
      </w:divBdr>
    </w:div>
    <w:div w:id="1694185266">
      <w:bodyDiv w:val="1"/>
      <w:marLeft w:val="0"/>
      <w:marRight w:val="0"/>
      <w:marTop w:val="0"/>
      <w:marBottom w:val="0"/>
      <w:divBdr>
        <w:top w:val="none" w:sz="0" w:space="0" w:color="auto"/>
        <w:left w:val="none" w:sz="0" w:space="0" w:color="auto"/>
        <w:bottom w:val="none" w:sz="0" w:space="0" w:color="auto"/>
        <w:right w:val="none" w:sz="0" w:space="0" w:color="auto"/>
      </w:divBdr>
    </w:div>
    <w:div w:id="1694186435">
      <w:bodyDiv w:val="1"/>
      <w:marLeft w:val="0"/>
      <w:marRight w:val="0"/>
      <w:marTop w:val="0"/>
      <w:marBottom w:val="0"/>
      <w:divBdr>
        <w:top w:val="none" w:sz="0" w:space="0" w:color="auto"/>
        <w:left w:val="none" w:sz="0" w:space="0" w:color="auto"/>
        <w:bottom w:val="none" w:sz="0" w:space="0" w:color="auto"/>
        <w:right w:val="none" w:sz="0" w:space="0" w:color="auto"/>
      </w:divBdr>
    </w:div>
    <w:div w:id="1694527220">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17905">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5115442">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6419693">
      <w:bodyDiv w:val="1"/>
      <w:marLeft w:val="0"/>
      <w:marRight w:val="0"/>
      <w:marTop w:val="0"/>
      <w:marBottom w:val="0"/>
      <w:divBdr>
        <w:top w:val="none" w:sz="0" w:space="0" w:color="auto"/>
        <w:left w:val="none" w:sz="0" w:space="0" w:color="auto"/>
        <w:bottom w:val="none" w:sz="0" w:space="0" w:color="auto"/>
        <w:right w:val="none" w:sz="0" w:space="0" w:color="auto"/>
      </w:divBdr>
    </w:div>
    <w:div w:id="1696466568">
      <w:bodyDiv w:val="1"/>
      <w:marLeft w:val="0"/>
      <w:marRight w:val="0"/>
      <w:marTop w:val="0"/>
      <w:marBottom w:val="0"/>
      <w:divBdr>
        <w:top w:val="none" w:sz="0" w:space="0" w:color="auto"/>
        <w:left w:val="none" w:sz="0" w:space="0" w:color="auto"/>
        <w:bottom w:val="none" w:sz="0" w:space="0" w:color="auto"/>
        <w:right w:val="none" w:sz="0" w:space="0" w:color="auto"/>
      </w:divBdr>
    </w:div>
    <w:div w:id="1696733556">
      <w:bodyDiv w:val="1"/>
      <w:marLeft w:val="0"/>
      <w:marRight w:val="0"/>
      <w:marTop w:val="0"/>
      <w:marBottom w:val="0"/>
      <w:divBdr>
        <w:top w:val="none" w:sz="0" w:space="0" w:color="auto"/>
        <w:left w:val="none" w:sz="0" w:space="0" w:color="auto"/>
        <w:bottom w:val="none" w:sz="0" w:space="0" w:color="auto"/>
        <w:right w:val="none" w:sz="0" w:space="0" w:color="auto"/>
      </w:divBdr>
    </w:div>
    <w:div w:id="1697198634">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697539499">
      <w:bodyDiv w:val="1"/>
      <w:marLeft w:val="0"/>
      <w:marRight w:val="0"/>
      <w:marTop w:val="0"/>
      <w:marBottom w:val="0"/>
      <w:divBdr>
        <w:top w:val="none" w:sz="0" w:space="0" w:color="auto"/>
        <w:left w:val="none" w:sz="0" w:space="0" w:color="auto"/>
        <w:bottom w:val="none" w:sz="0" w:space="0" w:color="auto"/>
        <w:right w:val="none" w:sz="0" w:space="0" w:color="auto"/>
      </w:divBdr>
    </w:div>
    <w:div w:id="1697579058">
      <w:bodyDiv w:val="1"/>
      <w:marLeft w:val="0"/>
      <w:marRight w:val="0"/>
      <w:marTop w:val="0"/>
      <w:marBottom w:val="0"/>
      <w:divBdr>
        <w:top w:val="none" w:sz="0" w:space="0" w:color="auto"/>
        <w:left w:val="none" w:sz="0" w:space="0" w:color="auto"/>
        <w:bottom w:val="none" w:sz="0" w:space="0" w:color="auto"/>
        <w:right w:val="none" w:sz="0" w:space="0" w:color="auto"/>
      </w:divBdr>
    </w:div>
    <w:div w:id="1698118670">
      <w:bodyDiv w:val="1"/>
      <w:marLeft w:val="0"/>
      <w:marRight w:val="0"/>
      <w:marTop w:val="0"/>
      <w:marBottom w:val="0"/>
      <w:divBdr>
        <w:top w:val="none" w:sz="0" w:space="0" w:color="auto"/>
        <w:left w:val="none" w:sz="0" w:space="0" w:color="auto"/>
        <w:bottom w:val="none" w:sz="0" w:space="0" w:color="auto"/>
        <w:right w:val="none" w:sz="0" w:space="0" w:color="auto"/>
      </w:divBdr>
    </w:div>
    <w:div w:id="1698193498">
      <w:bodyDiv w:val="1"/>
      <w:marLeft w:val="0"/>
      <w:marRight w:val="0"/>
      <w:marTop w:val="0"/>
      <w:marBottom w:val="0"/>
      <w:divBdr>
        <w:top w:val="none" w:sz="0" w:space="0" w:color="auto"/>
        <w:left w:val="none" w:sz="0" w:space="0" w:color="auto"/>
        <w:bottom w:val="none" w:sz="0" w:space="0" w:color="auto"/>
        <w:right w:val="none" w:sz="0" w:space="0" w:color="auto"/>
      </w:divBdr>
    </w:div>
    <w:div w:id="1698308065">
      <w:bodyDiv w:val="1"/>
      <w:marLeft w:val="0"/>
      <w:marRight w:val="0"/>
      <w:marTop w:val="0"/>
      <w:marBottom w:val="0"/>
      <w:divBdr>
        <w:top w:val="none" w:sz="0" w:space="0" w:color="auto"/>
        <w:left w:val="none" w:sz="0" w:space="0" w:color="auto"/>
        <w:bottom w:val="none" w:sz="0" w:space="0" w:color="auto"/>
        <w:right w:val="none" w:sz="0" w:space="0" w:color="auto"/>
      </w:divBdr>
    </w:div>
    <w:div w:id="1698386738">
      <w:bodyDiv w:val="1"/>
      <w:marLeft w:val="0"/>
      <w:marRight w:val="0"/>
      <w:marTop w:val="0"/>
      <w:marBottom w:val="0"/>
      <w:divBdr>
        <w:top w:val="none" w:sz="0" w:space="0" w:color="auto"/>
        <w:left w:val="none" w:sz="0" w:space="0" w:color="auto"/>
        <w:bottom w:val="none" w:sz="0" w:space="0" w:color="auto"/>
        <w:right w:val="none" w:sz="0" w:space="0" w:color="auto"/>
      </w:divBdr>
    </w:div>
    <w:div w:id="1698769792">
      <w:bodyDiv w:val="1"/>
      <w:marLeft w:val="0"/>
      <w:marRight w:val="0"/>
      <w:marTop w:val="0"/>
      <w:marBottom w:val="0"/>
      <w:divBdr>
        <w:top w:val="none" w:sz="0" w:space="0" w:color="auto"/>
        <w:left w:val="none" w:sz="0" w:space="0" w:color="auto"/>
        <w:bottom w:val="none" w:sz="0" w:space="0" w:color="auto"/>
        <w:right w:val="none" w:sz="0" w:space="0" w:color="auto"/>
      </w:divBdr>
    </w:div>
    <w:div w:id="1699623456">
      <w:bodyDiv w:val="1"/>
      <w:marLeft w:val="0"/>
      <w:marRight w:val="0"/>
      <w:marTop w:val="0"/>
      <w:marBottom w:val="0"/>
      <w:divBdr>
        <w:top w:val="none" w:sz="0" w:space="0" w:color="auto"/>
        <w:left w:val="none" w:sz="0" w:space="0" w:color="auto"/>
        <w:bottom w:val="none" w:sz="0" w:space="0" w:color="auto"/>
        <w:right w:val="none" w:sz="0" w:space="0" w:color="auto"/>
      </w:divBdr>
    </w:div>
    <w:div w:id="1699812135">
      <w:bodyDiv w:val="1"/>
      <w:marLeft w:val="0"/>
      <w:marRight w:val="0"/>
      <w:marTop w:val="0"/>
      <w:marBottom w:val="0"/>
      <w:divBdr>
        <w:top w:val="none" w:sz="0" w:space="0" w:color="auto"/>
        <w:left w:val="none" w:sz="0" w:space="0" w:color="auto"/>
        <w:bottom w:val="none" w:sz="0" w:space="0" w:color="auto"/>
        <w:right w:val="none" w:sz="0" w:space="0" w:color="auto"/>
      </w:divBdr>
    </w:div>
    <w:div w:id="1699817143">
      <w:bodyDiv w:val="1"/>
      <w:marLeft w:val="0"/>
      <w:marRight w:val="0"/>
      <w:marTop w:val="0"/>
      <w:marBottom w:val="0"/>
      <w:divBdr>
        <w:top w:val="none" w:sz="0" w:space="0" w:color="auto"/>
        <w:left w:val="none" w:sz="0" w:space="0" w:color="auto"/>
        <w:bottom w:val="none" w:sz="0" w:space="0" w:color="auto"/>
        <w:right w:val="none" w:sz="0" w:space="0" w:color="auto"/>
      </w:divBdr>
    </w:div>
    <w:div w:id="1699891670">
      <w:bodyDiv w:val="1"/>
      <w:marLeft w:val="0"/>
      <w:marRight w:val="0"/>
      <w:marTop w:val="0"/>
      <w:marBottom w:val="0"/>
      <w:divBdr>
        <w:top w:val="none" w:sz="0" w:space="0" w:color="auto"/>
        <w:left w:val="none" w:sz="0" w:space="0" w:color="auto"/>
        <w:bottom w:val="none" w:sz="0" w:space="0" w:color="auto"/>
        <w:right w:val="none" w:sz="0" w:space="0" w:color="auto"/>
      </w:divBdr>
    </w:div>
    <w:div w:id="1700397738">
      <w:bodyDiv w:val="1"/>
      <w:marLeft w:val="0"/>
      <w:marRight w:val="0"/>
      <w:marTop w:val="0"/>
      <w:marBottom w:val="0"/>
      <w:divBdr>
        <w:top w:val="none" w:sz="0" w:space="0" w:color="auto"/>
        <w:left w:val="none" w:sz="0" w:space="0" w:color="auto"/>
        <w:bottom w:val="none" w:sz="0" w:space="0" w:color="auto"/>
        <w:right w:val="none" w:sz="0" w:space="0" w:color="auto"/>
      </w:divBdr>
    </w:div>
    <w:div w:id="1701318351">
      <w:bodyDiv w:val="1"/>
      <w:marLeft w:val="0"/>
      <w:marRight w:val="0"/>
      <w:marTop w:val="0"/>
      <w:marBottom w:val="0"/>
      <w:divBdr>
        <w:top w:val="none" w:sz="0" w:space="0" w:color="auto"/>
        <w:left w:val="none" w:sz="0" w:space="0" w:color="auto"/>
        <w:bottom w:val="none" w:sz="0" w:space="0" w:color="auto"/>
        <w:right w:val="none" w:sz="0" w:space="0" w:color="auto"/>
      </w:divBdr>
    </w:div>
    <w:div w:id="1701468321">
      <w:bodyDiv w:val="1"/>
      <w:marLeft w:val="0"/>
      <w:marRight w:val="0"/>
      <w:marTop w:val="0"/>
      <w:marBottom w:val="0"/>
      <w:divBdr>
        <w:top w:val="none" w:sz="0" w:space="0" w:color="auto"/>
        <w:left w:val="none" w:sz="0" w:space="0" w:color="auto"/>
        <w:bottom w:val="none" w:sz="0" w:space="0" w:color="auto"/>
        <w:right w:val="none" w:sz="0" w:space="0" w:color="auto"/>
      </w:divBdr>
    </w:div>
    <w:div w:id="1701855284">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2971537">
      <w:bodyDiv w:val="1"/>
      <w:marLeft w:val="0"/>
      <w:marRight w:val="0"/>
      <w:marTop w:val="0"/>
      <w:marBottom w:val="0"/>
      <w:divBdr>
        <w:top w:val="none" w:sz="0" w:space="0" w:color="auto"/>
        <w:left w:val="none" w:sz="0" w:space="0" w:color="auto"/>
        <w:bottom w:val="none" w:sz="0" w:space="0" w:color="auto"/>
        <w:right w:val="none" w:sz="0" w:space="0" w:color="auto"/>
      </w:divBdr>
    </w:div>
    <w:div w:id="1703288080">
      <w:bodyDiv w:val="1"/>
      <w:marLeft w:val="0"/>
      <w:marRight w:val="0"/>
      <w:marTop w:val="0"/>
      <w:marBottom w:val="0"/>
      <w:divBdr>
        <w:top w:val="none" w:sz="0" w:space="0" w:color="auto"/>
        <w:left w:val="none" w:sz="0" w:space="0" w:color="auto"/>
        <w:bottom w:val="none" w:sz="0" w:space="0" w:color="auto"/>
        <w:right w:val="none" w:sz="0" w:space="0" w:color="auto"/>
      </w:divBdr>
    </w:div>
    <w:div w:id="1703360304">
      <w:bodyDiv w:val="1"/>
      <w:marLeft w:val="0"/>
      <w:marRight w:val="0"/>
      <w:marTop w:val="0"/>
      <w:marBottom w:val="0"/>
      <w:divBdr>
        <w:top w:val="none" w:sz="0" w:space="0" w:color="auto"/>
        <w:left w:val="none" w:sz="0" w:space="0" w:color="auto"/>
        <w:bottom w:val="none" w:sz="0" w:space="0" w:color="auto"/>
        <w:right w:val="none" w:sz="0" w:space="0" w:color="auto"/>
      </w:divBdr>
    </w:div>
    <w:div w:id="1703751206">
      <w:bodyDiv w:val="1"/>
      <w:marLeft w:val="0"/>
      <w:marRight w:val="0"/>
      <w:marTop w:val="0"/>
      <w:marBottom w:val="0"/>
      <w:divBdr>
        <w:top w:val="none" w:sz="0" w:space="0" w:color="auto"/>
        <w:left w:val="none" w:sz="0" w:space="0" w:color="auto"/>
        <w:bottom w:val="none" w:sz="0" w:space="0" w:color="auto"/>
        <w:right w:val="none" w:sz="0" w:space="0" w:color="auto"/>
      </w:divBdr>
    </w:div>
    <w:div w:id="1704480390">
      <w:bodyDiv w:val="1"/>
      <w:marLeft w:val="0"/>
      <w:marRight w:val="0"/>
      <w:marTop w:val="0"/>
      <w:marBottom w:val="0"/>
      <w:divBdr>
        <w:top w:val="none" w:sz="0" w:space="0" w:color="auto"/>
        <w:left w:val="none" w:sz="0" w:space="0" w:color="auto"/>
        <w:bottom w:val="none" w:sz="0" w:space="0" w:color="auto"/>
        <w:right w:val="none" w:sz="0" w:space="0" w:color="auto"/>
      </w:divBdr>
    </w:div>
    <w:div w:id="1704598767">
      <w:bodyDiv w:val="1"/>
      <w:marLeft w:val="0"/>
      <w:marRight w:val="0"/>
      <w:marTop w:val="0"/>
      <w:marBottom w:val="0"/>
      <w:divBdr>
        <w:top w:val="none" w:sz="0" w:space="0" w:color="auto"/>
        <w:left w:val="none" w:sz="0" w:space="0" w:color="auto"/>
        <w:bottom w:val="none" w:sz="0" w:space="0" w:color="auto"/>
        <w:right w:val="none" w:sz="0" w:space="0" w:color="auto"/>
      </w:divBdr>
    </w:div>
    <w:div w:id="1705400945">
      <w:bodyDiv w:val="1"/>
      <w:marLeft w:val="0"/>
      <w:marRight w:val="0"/>
      <w:marTop w:val="0"/>
      <w:marBottom w:val="0"/>
      <w:divBdr>
        <w:top w:val="none" w:sz="0" w:space="0" w:color="auto"/>
        <w:left w:val="none" w:sz="0" w:space="0" w:color="auto"/>
        <w:bottom w:val="none" w:sz="0" w:space="0" w:color="auto"/>
        <w:right w:val="none" w:sz="0" w:space="0" w:color="auto"/>
      </w:divBdr>
    </w:div>
    <w:div w:id="1705641360">
      <w:bodyDiv w:val="1"/>
      <w:marLeft w:val="0"/>
      <w:marRight w:val="0"/>
      <w:marTop w:val="0"/>
      <w:marBottom w:val="0"/>
      <w:divBdr>
        <w:top w:val="none" w:sz="0" w:space="0" w:color="auto"/>
        <w:left w:val="none" w:sz="0" w:space="0" w:color="auto"/>
        <w:bottom w:val="none" w:sz="0" w:space="0" w:color="auto"/>
        <w:right w:val="none" w:sz="0" w:space="0" w:color="auto"/>
      </w:divBdr>
    </w:div>
    <w:div w:id="1705986150">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6249659">
      <w:bodyDiv w:val="1"/>
      <w:marLeft w:val="0"/>
      <w:marRight w:val="0"/>
      <w:marTop w:val="0"/>
      <w:marBottom w:val="0"/>
      <w:divBdr>
        <w:top w:val="none" w:sz="0" w:space="0" w:color="auto"/>
        <w:left w:val="none" w:sz="0" w:space="0" w:color="auto"/>
        <w:bottom w:val="none" w:sz="0" w:space="0" w:color="auto"/>
        <w:right w:val="none" w:sz="0" w:space="0" w:color="auto"/>
      </w:divBdr>
    </w:div>
    <w:div w:id="1706365903">
      <w:bodyDiv w:val="1"/>
      <w:marLeft w:val="0"/>
      <w:marRight w:val="0"/>
      <w:marTop w:val="0"/>
      <w:marBottom w:val="0"/>
      <w:divBdr>
        <w:top w:val="none" w:sz="0" w:space="0" w:color="auto"/>
        <w:left w:val="none" w:sz="0" w:space="0" w:color="auto"/>
        <w:bottom w:val="none" w:sz="0" w:space="0" w:color="auto"/>
        <w:right w:val="none" w:sz="0" w:space="0" w:color="auto"/>
      </w:divBdr>
    </w:div>
    <w:div w:id="1707020258">
      <w:bodyDiv w:val="1"/>
      <w:marLeft w:val="0"/>
      <w:marRight w:val="0"/>
      <w:marTop w:val="0"/>
      <w:marBottom w:val="0"/>
      <w:divBdr>
        <w:top w:val="none" w:sz="0" w:space="0" w:color="auto"/>
        <w:left w:val="none" w:sz="0" w:space="0" w:color="auto"/>
        <w:bottom w:val="none" w:sz="0" w:space="0" w:color="auto"/>
        <w:right w:val="none" w:sz="0" w:space="0" w:color="auto"/>
      </w:divBdr>
    </w:div>
    <w:div w:id="1707296075">
      <w:bodyDiv w:val="1"/>
      <w:marLeft w:val="0"/>
      <w:marRight w:val="0"/>
      <w:marTop w:val="0"/>
      <w:marBottom w:val="0"/>
      <w:divBdr>
        <w:top w:val="none" w:sz="0" w:space="0" w:color="auto"/>
        <w:left w:val="none" w:sz="0" w:space="0" w:color="auto"/>
        <w:bottom w:val="none" w:sz="0" w:space="0" w:color="auto"/>
        <w:right w:val="none" w:sz="0" w:space="0" w:color="auto"/>
      </w:divBdr>
    </w:div>
    <w:div w:id="1707366194">
      <w:bodyDiv w:val="1"/>
      <w:marLeft w:val="0"/>
      <w:marRight w:val="0"/>
      <w:marTop w:val="0"/>
      <w:marBottom w:val="0"/>
      <w:divBdr>
        <w:top w:val="none" w:sz="0" w:space="0" w:color="auto"/>
        <w:left w:val="none" w:sz="0" w:space="0" w:color="auto"/>
        <w:bottom w:val="none" w:sz="0" w:space="0" w:color="auto"/>
        <w:right w:val="none" w:sz="0" w:space="0" w:color="auto"/>
      </w:divBdr>
    </w:div>
    <w:div w:id="1707635774">
      <w:bodyDiv w:val="1"/>
      <w:marLeft w:val="0"/>
      <w:marRight w:val="0"/>
      <w:marTop w:val="0"/>
      <w:marBottom w:val="0"/>
      <w:divBdr>
        <w:top w:val="none" w:sz="0" w:space="0" w:color="auto"/>
        <w:left w:val="none" w:sz="0" w:space="0" w:color="auto"/>
        <w:bottom w:val="none" w:sz="0" w:space="0" w:color="auto"/>
        <w:right w:val="none" w:sz="0" w:space="0" w:color="auto"/>
      </w:divBdr>
    </w:div>
    <w:div w:id="1707869696">
      <w:bodyDiv w:val="1"/>
      <w:marLeft w:val="0"/>
      <w:marRight w:val="0"/>
      <w:marTop w:val="0"/>
      <w:marBottom w:val="0"/>
      <w:divBdr>
        <w:top w:val="none" w:sz="0" w:space="0" w:color="auto"/>
        <w:left w:val="none" w:sz="0" w:space="0" w:color="auto"/>
        <w:bottom w:val="none" w:sz="0" w:space="0" w:color="auto"/>
        <w:right w:val="none" w:sz="0" w:space="0" w:color="auto"/>
      </w:divBdr>
    </w:div>
    <w:div w:id="1707948859">
      <w:bodyDiv w:val="1"/>
      <w:marLeft w:val="0"/>
      <w:marRight w:val="0"/>
      <w:marTop w:val="0"/>
      <w:marBottom w:val="0"/>
      <w:divBdr>
        <w:top w:val="none" w:sz="0" w:space="0" w:color="auto"/>
        <w:left w:val="none" w:sz="0" w:space="0" w:color="auto"/>
        <w:bottom w:val="none" w:sz="0" w:space="0" w:color="auto"/>
        <w:right w:val="none" w:sz="0" w:space="0" w:color="auto"/>
      </w:divBdr>
    </w:div>
    <w:div w:id="1708018297">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08409853">
      <w:bodyDiv w:val="1"/>
      <w:marLeft w:val="0"/>
      <w:marRight w:val="0"/>
      <w:marTop w:val="0"/>
      <w:marBottom w:val="0"/>
      <w:divBdr>
        <w:top w:val="none" w:sz="0" w:space="0" w:color="auto"/>
        <w:left w:val="none" w:sz="0" w:space="0" w:color="auto"/>
        <w:bottom w:val="none" w:sz="0" w:space="0" w:color="auto"/>
        <w:right w:val="none" w:sz="0" w:space="0" w:color="auto"/>
      </w:divBdr>
    </w:div>
    <w:div w:id="1708523846">
      <w:bodyDiv w:val="1"/>
      <w:marLeft w:val="0"/>
      <w:marRight w:val="0"/>
      <w:marTop w:val="0"/>
      <w:marBottom w:val="0"/>
      <w:divBdr>
        <w:top w:val="none" w:sz="0" w:space="0" w:color="auto"/>
        <w:left w:val="none" w:sz="0" w:space="0" w:color="auto"/>
        <w:bottom w:val="none" w:sz="0" w:space="0" w:color="auto"/>
        <w:right w:val="none" w:sz="0" w:space="0" w:color="auto"/>
      </w:divBdr>
    </w:div>
    <w:div w:id="1708599195">
      <w:bodyDiv w:val="1"/>
      <w:marLeft w:val="0"/>
      <w:marRight w:val="0"/>
      <w:marTop w:val="0"/>
      <w:marBottom w:val="0"/>
      <w:divBdr>
        <w:top w:val="none" w:sz="0" w:space="0" w:color="auto"/>
        <w:left w:val="none" w:sz="0" w:space="0" w:color="auto"/>
        <w:bottom w:val="none" w:sz="0" w:space="0" w:color="auto"/>
        <w:right w:val="none" w:sz="0" w:space="0" w:color="auto"/>
      </w:divBdr>
    </w:div>
    <w:div w:id="1708872614">
      <w:bodyDiv w:val="1"/>
      <w:marLeft w:val="0"/>
      <w:marRight w:val="0"/>
      <w:marTop w:val="0"/>
      <w:marBottom w:val="0"/>
      <w:divBdr>
        <w:top w:val="none" w:sz="0" w:space="0" w:color="auto"/>
        <w:left w:val="none" w:sz="0" w:space="0" w:color="auto"/>
        <w:bottom w:val="none" w:sz="0" w:space="0" w:color="auto"/>
        <w:right w:val="none" w:sz="0" w:space="0" w:color="auto"/>
      </w:divBdr>
    </w:div>
    <w:div w:id="1710177357">
      <w:bodyDiv w:val="1"/>
      <w:marLeft w:val="0"/>
      <w:marRight w:val="0"/>
      <w:marTop w:val="0"/>
      <w:marBottom w:val="0"/>
      <w:divBdr>
        <w:top w:val="none" w:sz="0" w:space="0" w:color="auto"/>
        <w:left w:val="none" w:sz="0" w:space="0" w:color="auto"/>
        <w:bottom w:val="none" w:sz="0" w:space="0" w:color="auto"/>
        <w:right w:val="none" w:sz="0" w:space="0" w:color="auto"/>
      </w:divBdr>
    </w:div>
    <w:div w:id="1710259633">
      <w:bodyDiv w:val="1"/>
      <w:marLeft w:val="0"/>
      <w:marRight w:val="0"/>
      <w:marTop w:val="0"/>
      <w:marBottom w:val="0"/>
      <w:divBdr>
        <w:top w:val="none" w:sz="0" w:space="0" w:color="auto"/>
        <w:left w:val="none" w:sz="0" w:space="0" w:color="auto"/>
        <w:bottom w:val="none" w:sz="0" w:space="0" w:color="auto"/>
        <w:right w:val="none" w:sz="0" w:space="0" w:color="auto"/>
      </w:divBdr>
    </w:div>
    <w:div w:id="1710832509">
      <w:bodyDiv w:val="1"/>
      <w:marLeft w:val="0"/>
      <w:marRight w:val="0"/>
      <w:marTop w:val="0"/>
      <w:marBottom w:val="0"/>
      <w:divBdr>
        <w:top w:val="none" w:sz="0" w:space="0" w:color="auto"/>
        <w:left w:val="none" w:sz="0" w:space="0" w:color="auto"/>
        <w:bottom w:val="none" w:sz="0" w:space="0" w:color="auto"/>
        <w:right w:val="none" w:sz="0" w:space="0" w:color="auto"/>
      </w:divBdr>
    </w:div>
    <w:div w:id="1710839215">
      <w:bodyDiv w:val="1"/>
      <w:marLeft w:val="0"/>
      <w:marRight w:val="0"/>
      <w:marTop w:val="0"/>
      <w:marBottom w:val="0"/>
      <w:divBdr>
        <w:top w:val="none" w:sz="0" w:space="0" w:color="auto"/>
        <w:left w:val="none" w:sz="0" w:space="0" w:color="auto"/>
        <w:bottom w:val="none" w:sz="0" w:space="0" w:color="auto"/>
        <w:right w:val="none" w:sz="0" w:space="0" w:color="auto"/>
      </w:divBdr>
    </w:div>
    <w:div w:id="1710908165">
      <w:bodyDiv w:val="1"/>
      <w:marLeft w:val="0"/>
      <w:marRight w:val="0"/>
      <w:marTop w:val="0"/>
      <w:marBottom w:val="0"/>
      <w:divBdr>
        <w:top w:val="none" w:sz="0" w:space="0" w:color="auto"/>
        <w:left w:val="none" w:sz="0" w:space="0" w:color="auto"/>
        <w:bottom w:val="none" w:sz="0" w:space="0" w:color="auto"/>
        <w:right w:val="none" w:sz="0" w:space="0" w:color="auto"/>
      </w:divBdr>
    </w:div>
    <w:div w:id="1711034107">
      <w:bodyDiv w:val="1"/>
      <w:marLeft w:val="0"/>
      <w:marRight w:val="0"/>
      <w:marTop w:val="0"/>
      <w:marBottom w:val="0"/>
      <w:divBdr>
        <w:top w:val="none" w:sz="0" w:space="0" w:color="auto"/>
        <w:left w:val="none" w:sz="0" w:space="0" w:color="auto"/>
        <w:bottom w:val="none" w:sz="0" w:space="0" w:color="auto"/>
        <w:right w:val="none" w:sz="0" w:space="0" w:color="auto"/>
      </w:divBdr>
    </w:div>
    <w:div w:id="1711103768">
      <w:bodyDiv w:val="1"/>
      <w:marLeft w:val="0"/>
      <w:marRight w:val="0"/>
      <w:marTop w:val="0"/>
      <w:marBottom w:val="0"/>
      <w:divBdr>
        <w:top w:val="none" w:sz="0" w:space="0" w:color="auto"/>
        <w:left w:val="none" w:sz="0" w:space="0" w:color="auto"/>
        <w:bottom w:val="none" w:sz="0" w:space="0" w:color="auto"/>
        <w:right w:val="none" w:sz="0" w:space="0" w:color="auto"/>
      </w:divBdr>
    </w:div>
    <w:div w:id="1712730390">
      <w:bodyDiv w:val="1"/>
      <w:marLeft w:val="0"/>
      <w:marRight w:val="0"/>
      <w:marTop w:val="0"/>
      <w:marBottom w:val="0"/>
      <w:divBdr>
        <w:top w:val="none" w:sz="0" w:space="0" w:color="auto"/>
        <w:left w:val="none" w:sz="0" w:space="0" w:color="auto"/>
        <w:bottom w:val="none" w:sz="0" w:space="0" w:color="auto"/>
        <w:right w:val="none" w:sz="0" w:space="0" w:color="auto"/>
      </w:divBdr>
    </w:div>
    <w:div w:id="1712878096">
      <w:bodyDiv w:val="1"/>
      <w:marLeft w:val="0"/>
      <w:marRight w:val="0"/>
      <w:marTop w:val="0"/>
      <w:marBottom w:val="0"/>
      <w:divBdr>
        <w:top w:val="none" w:sz="0" w:space="0" w:color="auto"/>
        <w:left w:val="none" w:sz="0" w:space="0" w:color="auto"/>
        <w:bottom w:val="none" w:sz="0" w:space="0" w:color="auto"/>
        <w:right w:val="none" w:sz="0" w:space="0" w:color="auto"/>
      </w:divBdr>
    </w:div>
    <w:div w:id="1713312429">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3653702">
      <w:bodyDiv w:val="1"/>
      <w:marLeft w:val="0"/>
      <w:marRight w:val="0"/>
      <w:marTop w:val="0"/>
      <w:marBottom w:val="0"/>
      <w:divBdr>
        <w:top w:val="none" w:sz="0" w:space="0" w:color="auto"/>
        <w:left w:val="none" w:sz="0" w:space="0" w:color="auto"/>
        <w:bottom w:val="none" w:sz="0" w:space="0" w:color="auto"/>
        <w:right w:val="none" w:sz="0" w:space="0" w:color="auto"/>
      </w:divBdr>
    </w:div>
    <w:div w:id="1713798938">
      <w:bodyDiv w:val="1"/>
      <w:marLeft w:val="0"/>
      <w:marRight w:val="0"/>
      <w:marTop w:val="0"/>
      <w:marBottom w:val="0"/>
      <w:divBdr>
        <w:top w:val="none" w:sz="0" w:space="0" w:color="auto"/>
        <w:left w:val="none" w:sz="0" w:space="0" w:color="auto"/>
        <w:bottom w:val="none" w:sz="0" w:space="0" w:color="auto"/>
        <w:right w:val="none" w:sz="0" w:space="0" w:color="auto"/>
      </w:divBdr>
    </w:div>
    <w:div w:id="1714647144">
      <w:bodyDiv w:val="1"/>
      <w:marLeft w:val="0"/>
      <w:marRight w:val="0"/>
      <w:marTop w:val="0"/>
      <w:marBottom w:val="0"/>
      <w:divBdr>
        <w:top w:val="none" w:sz="0" w:space="0" w:color="auto"/>
        <w:left w:val="none" w:sz="0" w:space="0" w:color="auto"/>
        <w:bottom w:val="none" w:sz="0" w:space="0" w:color="auto"/>
        <w:right w:val="none" w:sz="0" w:space="0" w:color="auto"/>
      </w:divBdr>
    </w:div>
    <w:div w:id="1715277634">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5345258">
      <w:bodyDiv w:val="1"/>
      <w:marLeft w:val="0"/>
      <w:marRight w:val="0"/>
      <w:marTop w:val="0"/>
      <w:marBottom w:val="0"/>
      <w:divBdr>
        <w:top w:val="none" w:sz="0" w:space="0" w:color="auto"/>
        <w:left w:val="none" w:sz="0" w:space="0" w:color="auto"/>
        <w:bottom w:val="none" w:sz="0" w:space="0" w:color="auto"/>
        <w:right w:val="none" w:sz="0" w:space="0" w:color="auto"/>
      </w:divBdr>
    </w:div>
    <w:div w:id="1715692000">
      <w:bodyDiv w:val="1"/>
      <w:marLeft w:val="0"/>
      <w:marRight w:val="0"/>
      <w:marTop w:val="0"/>
      <w:marBottom w:val="0"/>
      <w:divBdr>
        <w:top w:val="none" w:sz="0" w:space="0" w:color="auto"/>
        <w:left w:val="none" w:sz="0" w:space="0" w:color="auto"/>
        <w:bottom w:val="none" w:sz="0" w:space="0" w:color="auto"/>
        <w:right w:val="none" w:sz="0" w:space="0" w:color="auto"/>
      </w:divBdr>
    </w:div>
    <w:div w:id="1715692545">
      <w:bodyDiv w:val="1"/>
      <w:marLeft w:val="0"/>
      <w:marRight w:val="0"/>
      <w:marTop w:val="0"/>
      <w:marBottom w:val="0"/>
      <w:divBdr>
        <w:top w:val="none" w:sz="0" w:space="0" w:color="auto"/>
        <w:left w:val="none" w:sz="0" w:space="0" w:color="auto"/>
        <w:bottom w:val="none" w:sz="0" w:space="0" w:color="auto"/>
        <w:right w:val="none" w:sz="0" w:space="0" w:color="auto"/>
      </w:divBdr>
    </w:div>
    <w:div w:id="1716126242">
      <w:bodyDiv w:val="1"/>
      <w:marLeft w:val="0"/>
      <w:marRight w:val="0"/>
      <w:marTop w:val="0"/>
      <w:marBottom w:val="0"/>
      <w:divBdr>
        <w:top w:val="none" w:sz="0" w:space="0" w:color="auto"/>
        <w:left w:val="none" w:sz="0" w:space="0" w:color="auto"/>
        <w:bottom w:val="none" w:sz="0" w:space="0" w:color="auto"/>
        <w:right w:val="none" w:sz="0" w:space="0" w:color="auto"/>
      </w:divBdr>
    </w:div>
    <w:div w:id="1716732573">
      <w:bodyDiv w:val="1"/>
      <w:marLeft w:val="0"/>
      <w:marRight w:val="0"/>
      <w:marTop w:val="0"/>
      <w:marBottom w:val="0"/>
      <w:divBdr>
        <w:top w:val="none" w:sz="0" w:space="0" w:color="auto"/>
        <w:left w:val="none" w:sz="0" w:space="0" w:color="auto"/>
        <w:bottom w:val="none" w:sz="0" w:space="0" w:color="auto"/>
        <w:right w:val="none" w:sz="0" w:space="0" w:color="auto"/>
      </w:divBdr>
    </w:div>
    <w:div w:id="1716926820">
      <w:bodyDiv w:val="1"/>
      <w:marLeft w:val="0"/>
      <w:marRight w:val="0"/>
      <w:marTop w:val="0"/>
      <w:marBottom w:val="0"/>
      <w:divBdr>
        <w:top w:val="none" w:sz="0" w:space="0" w:color="auto"/>
        <w:left w:val="none" w:sz="0" w:space="0" w:color="auto"/>
        <w:bottom w:val="none" w:sz="0" w:space="0" w:color="auto"/>
        <w:right w:val="none" w:sz="0" w:space="0" w:color="auto"/>
      </w:divBdr>
    </w:div>
    <w:div w:id="1717047799">
      <w:bodyDiv w:val="1"/>
      <w:marLeft w:val="0"/>
      <w:marRight w:val="0"/>
      <w:marTop w:val="0"/>
      <w:marBottom w:val="0"/>
      <w:divBdr>
        <w:top w:val="none" w:sz="0" w:space="0" w:color="auto"/>
        <w:left w:val="none" w:sz="0" w:space="0" w:color="auto"/>
        <w:bottom w:val="none" w:sz="0" w:space="0" w:color="auto"/>
        <w:right w:val="none" w:sz="0" w:space="0" w:color="auto"/>
      </w:divBdr>
    </w:div>
    <w:div w:id="1717193572">
      <w:bodyDiv w:val="1"/>
      <w:marLeft w:val="0"/>
      <w:marRight w:val="0"/>
      <w:marTop w:val="0"/>
      <w:marBottom w:val="0"/>
      <w:divBdr>
        <w:top w:val="none" w:sz="0" w:space="0" w:color="auto"/>
        <w:left w:val="none" w:sz="0" w:space="0" w:color="auto"/>
        <w:bottom w:val="none" w:sz="0" w:space="0" w:color="auto"/>
        <w:right w:val="none" w:sz="0" w:space="0" w:color="auto"/>
      </w:divBdr>
    </w:div>
    <w:div w:id="1717198255">
      <w:bodyDiv w:val="1"/>
      <w:marLeft w:val="0"/>
      <w:marRight w:val="0"/>
      <w:marTop w:val="0"/>
      <w:marBottom w:val="0"/>
      <w:divBdr>
        <w:top w:val="none" w:sz="0" w:space="0" w:color="auto"/>
        <w:left w:val="none" w:sz="0" w:space="0" w:color="auto"/>
        <w:bottom w:val="none" w:sz="0" w:space="0" w:color="auto"/>
        <w:right w:val="none" w:sz="0" w:space="0" w:color="auto"/>
      </w:divBdr>
    </w:div>
    <w:div w:id="1717314537">
      <w:bodyDiv w:val="1"/>
      <w:marLeft w:val="0"/>
      <w:marRight w:val="0"/>
      <w:marTop w:val="0"/>
      <w:marBottom w:val="0"/>
      <w:divBdr>
        <w:top w:val="none" w:sz="0" w:space="0" w:color="auto"/>
        <w:left w:val="none" w:sz="0" w:space="0" w:color="auto"/>
        <w:bottom w:val="none" w:sz="0" w:space="0" w:color="auto"/>
        <w:right w:val="none" w:sz="0" w:space="0" w:color="auto"/>
      </w:divBdr>
    </w:div>
    <w:div w:id="1717466561">
      <w:bodyDiv w:val="1"/>
      <w:marLeft w:val="0"/>
      <w:marRight w:val="0"/>
      <w:marTop w:val="0"/>
      <w:marBottom w:val="0"/>
      <w:divBdr>
        <w:top w:val="none" w:sz="0" w:space="0" w:color="auto"/>
        <w:left w:val="none" w:sz="0" w:space="0" w:color="auto"/>
        <w:bottom w:val="none" w:sz="0" w:space="0" w:color="auto"/>
        <w:right w:val="none" w:sz="0" w:space="0" w:color="auto"/>
      </w:divBdr>
    </w:div>
    <w:div w:id="1717653909">
      <w:bodyDiv w:val="1"/>
      <w:marLeft w:val="0"/>
      <w:marRight w:val="0"/>
      <w:marTop w:val="0"/>
      <w:marBottom w:val="0"/>
      <w:divBdr>
        <w:top w:val="none" w:sz="0" w:space="0" w:color="auto"/>
        <w:left w:val="none" w:sz="0" w:space="0" w:color="auto"/>
        <w:bottom w:val="none" w:sz="0" w:space="0" w:color="auto"/>
        <w:right w:val="none" w:sz="0" w:space="0" w:color="auto"/>
      </w:divBdr>
    </w:div>
    <w:div w:id="1717659511">
      <w:bodyDiv w:val="1"/>
      <w:marLeft w:val="0"/>
      <w:marRight w:val="0"/>
      <w:marTop w:val="0"/>
      <w:marBottom w:val="0"/>
      <w:divBdr>
        <w:top w:val="none" w:sz="0" w:space="0" w:color="auto"/>
        <w:left w:val="none" w:sz="0" w:space="0" w:color="auto"/>
        <w:bottom w:val="none" w:sz="0" w:space="0" w:color="auto"/>
        <w:right w:val="none" w:sz="0" w:space="0" w:color="auto"/>
      </w:divBdr>
    </w:div>
    <w:div w:id="1717850658">
      <w:bodyDiv w:val="1"/>
      <w:marLeft w:val="0"/>
      <w:marRight w:val="0"/>
      <w:marTop w:val="0"/>
      <w:marBottom w:val="0"/>
      <w:divBdr>
        <w:top w:val="none" w:sz="0" w:space="0" w:color="auto"/>
        <w:left w:val="none" w:sz="0" w:space="0" w:color="auto"/>
        <w:bottom w:val="none" w:sz="0" w:space="0" w:color="auto"/>
        <w:right w:val="none" w:sz="0" w:space="0" w:color="auto"/>
      </w:divBdr>
    </w:div>
    <w:div w:id="1717896939">
      <w:bodyDiv w:val="1"/>
      <w:marLeft w:val="0"/>
      <w:marRight w:val="0"/>
      <w:marTop w:val="0"/>
      <w:marBottom w:val="0"/>
      <w:divBdr>
        <w:top w:val="none" w:sz="0" w:space="0" w:color="auto"/>
        <w:left w:val="none" w:sz="0" w:space="0" w:color="auto"/>
        <w:bottom w:val="none" w:sz="0" w:space="0" w:color="auto"/>
        <w:right w:val="none" w:sz="0" w:space="0" w:color="auto"/>
      </w:divBdr>
    </w:div>
    <w:div w:id="1718050076">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8819470">
      <w:bodyDiv w:val="1"/>
      <w:marLeft w:val="0"/>
      <w:marRight w:val="0"/>
      <w:marTop w:val="0"/>
      <w:marBottom w:val="0"/>
      <w:divBdr>
        <w:top w:val="none" w:sz="0" w:space="0" w:color="auto"/>
        <w:left w:val="none" w:sz="0" w:space="0" w:color="auto"/>
        <w:bottom w:val="none" w:sz="0" w:space="0" w:color="auto"/>
        <w:right w:val="none" w:sz="0" w:space="0" w:color="auto"/>
      </w:divBdr>
    </w:div>
    <w:div w:id="1718820642">
      <w:bodyDiv w:val="1"/>
      <w:marLeft w:val="0"/>
      <w:marRight w:val="0"/>
      <w:marTop w:val="0"/>
      <w:marBottom w:val="0"/>
      <w:divBdr>
        <w:top w:val="none" w:sz="0" w:space="0" w:color="auto"/>
        <w:left w:val="none" w:sz="0" w:space="0" w:color="auto"/>
        <w:bottom w:val="none" w:sz="0" w:space="0" w:color="auto"/>
        <w:right w:val="none" w:sz="0" w:space="0" w:color="auto"/>
      </w:divBdr>
    </w:div>
    <w:div w:id="1718965669">
      <w:bodyDiv w:val="1"/>
      <w:marLeft w:val="0"/>
      <w:marRight w:val="0"/>
      <w:marTop w:val="0"/>
      <w:marBottom w:val="0"/>
      <w:divBdr>
        <w:top w:val="none" w:sz="0" w:space="0" w:color="auto"/>
        <w:left w:val="none" w:sz="0" w:space="0" w:color="auto"/>
        <w:bottom w:val="none" w:sz="0" w:space="0" w:color="auto"/>
        <w:right w:val="none" w:sz="0" w:space="0" w:color="auto"/>
      </w:divBdr>
    </w:div>
    <w:div w:id="1719402647">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19740430">
      <w:bodyDiv w:val="1"/>
      <w:marLeft w:val="0"/>
      <w:marRight w:val="0"/>
      <w:marTop w:val="0"/>
      <w:marBottom w:val="0"/>
      <w:divBdr>
        <w:top w:val="none" w:sz="0" w:space="0" w:color="auto"/>
        <w:left w:val="none" w:sz="0" w:space="0" w:color="auto"/>
        <w:bottom w:val="none" w:sz="0" w:space="0" w:color="auto"/>
        <w:right w:val="none" w:sz="0" w:space="0" w:color="auto"/>
      </w:divBdr>
    </w:div>
    <w:div w:id="1719814908">
      <w:bodyDiv w:val="1"/>
      <w:marLeft w:val="0"/>
      <w:marRight w:val="0"/>
      <w:marTop w:val="0"/>
      <w:marBottom w:val="0"/>
      <w:divBdr>
        <w:top w:val="none" w:sz="0" w:space="0" w:color="auto"/>
        <w:left w:val="none" w:sz="0" w:space="0" w:color="auto"/>
        <w:bottom w:val="none" w:sz="0" w:space="0" w:color="auto"/>
        <w:right w:val="none" w:sz="0" w:space="0" w:color="auto"/>
      </w:divBdr>
    </w:div>
    <w:div w:id="1719819187">
      <w:bodyDiv w:val="1"/>
      <w:marLeft w:val="0"/>
      <w:marRight w:val="0"/>
      <w:marTop w:val="0"/>
      <w:marBottom w:val="0"/>
      <w:divBdr>
        <w:top w:val="none" w:sz="0" w:space="0" w:color="auto"/>
        <w:left w:val="none" w:sz="0" w:space="0" w:color="auto"/>
        <w:bottom w:val="none" w:sz="0" w:space="0" w:color="auto"/>
        <w:right w:val="none" w:sz="0" w:space="0" w:color="auto"/>
      </w:divBdr>
    </w:div>
    <w:div w:id="1719821282">
      <w:bodyDiv w:val="1"/>
      <w:marLeft w:val="0"/>
      <w:marRight w:val="0"/>
      <w:marTop w:val="0"/>
      <w:marBottom w:val="0"/>
      <w:divBdr>
        <w:top w:val="none" w:sz="0" w:space="0" w:color="auto"/>
        <w:left w:val="none" w:sz="0" w:space="0" w:color="auto"/>
        <w:bottom w:val="none" w:sz="0" w:space="0" w:color="auto"/>
        <w:right w:val="none" w:sz="0" w:space="0" w:color="auto"/>
      </w:divBdr>
    </w:div>
    <w:div w:id="1719932346">
      <w:bodyDiv w:val="1"/>
      <w:marLeft w:val="0"/>
      <w:marRight w:val="0"/>
      <w:marTop w:val="0"/>
      <w:marBottom w:val="0"/>
      <w:divBdr>
        <w:top w:val="none" w:sz="0" w:space="0" w:color="auto"/>
        <w:left w:val="none" w:sz="0" w:space="0" w:color="auto"/>
        <w:bottom w:val="none" w:sz="0" w:space="0" w:color="auto"/>
        <w:right w:val="none" w:sz="0" w:space="0" w:color="auto"/>
      </w:divBdr>
    </w:div>
    <w:div w:id="1720544480">
      <w:bodyDiv w:val="1"/>
      <w:marLeft w:val="0"/>
      <w:marRight w:val="0"/>
      <w:marTop w:val="0"/>
      <w:marBottom w:val="0"/>
      <w:divBdr>
        <w:top w:val="none" w:sz="0" w:space="0" w:color="auto"/>
        <w:left w:val="none" w:sz="0" w:space="0" w:color="auto"/>
        <w:bottom w:val="none" w:sz="0" w:space="0" w:color="auto"/>
        <w:right w:val="none" w:sz="0" w:space="0" w:color="auto"/>
      </w:divBdr>
    </w:div>
    <w:div w:id="1721781918">
      <w:bodyDiv w:val="1"/>
      <w:marLeft w:val="0"/>
      <w:marRight w:val="0"/>
      <w:marTop w:val="0"/>
      <w:marBottom w:val="0"/>
      <w:divBdr>
        <w:top w:val="none" w:sz="0" w:space="0" w:color="auto"/>
        <w:left w:val="none" w:sz="0" w:space="0" w:color="auto"/>
        <w:bottom w:val="none" w:sz="0" w:space="0" w:color="auto"/>
        <w:right w:val="none" w:sz="0" w:space="0" w:color="auto"/>
      </w:divBdr>
    </w:div>
    <w:div w:id="1721788468">
      <w:bodyDiv w:val="1"/>
      <w:marLeft w:val="0"/>
      <w:marRight w:val="0"/>
      <w:marTop w:val="0"/>
      <w:marBottom w:val="0"/>
      <w:divBdr>
        <w:top w:val="none" w:sz="0" w:space="0" w:color="auto"/>
        <w:left w:val="none" w:sz="0" w:space="0" w:color="auto"/>
        <w:bottom w:val="none" w:sz="0" w:space="0" w:color="auto"/>
        <w:right w:val="none" w:sz="0" w:space="0" w:color="auto"/>
      </w:divBdr>
    </w:div>
    <w:div w:id="1722441153">
      <w:bodyDiv w:val="1"/>
      <w:marLeft w:val="0"/>
      <w:marRight w:val="0"/>
      <w:marTop w:val="0"/>
      <w:marBottom w:val="0"/>
      <w:divBdr>
        <w:top w:val="none" w:sz="0" w:space="0" w:color="auto"/>
        <w:left w:val="none" w:sz="0" w:space="0" w:color="auto"/>
        <w:bottom w:val="none" w:sz="0" w:space="0" w:color="auto"/>
        <w:right w:val="none" w:sz="0" w:space="0" w:color="auto"/>
      </w:divBdr>
    </w:div>
    <w:div w:id="1722514621">
      <w:bodyDiv w:val="1"/>
      <w:marLeft w:val="0"/>
      <w:marRight w:val="0"/>
      <w:marTop w:val="0"/>
      <w:marBottom w:val="0"/>
      <w:divBdr>
        <w:top w:val="none" w:sz="0" w:space="0" w:color="auto"/>
        <w:left w:val="none" w:sz="0" w:space="0" w:color="auto"/>
        <w:bottom w:val="none" w:sz="0" w:space="0" w:color="auto"/>
        <w:right w:val="none" w:sz="0" w:space="0" w:color="auto"/>
      </w:divBdr>
    </w:div>
    <w:div w:id="1722746859">
      <w:bodyDiv w:val="1"/>
      <w:marLeft w:val="0"/>
      <w:marRight w:val="0"/>
      <w:marTop w:val="0"/>
      <w:marBottom w:val="0"/>
      <w:divBdr>
        <w:top w:val="none" w:sz="0" w:space="0" w:color="auto"/>
        <w:left w:val="none" w:sz="0" w:space="0" w:color="auto"/>
        <w:bottom w:val="none" w:sz="0" w:space="0" w:color="auto"/>
        <w:right w:val="none" w:sz="0" w:space="0" w:color="auto"/>
      </w:divBdr>
    </w:div>
    <w:div w:id="1723169285">
      <w:bodyDiv w:val="1"/>
      <w:marLeft w:val="0"/>
      <w:marRight w:val="0"/>
      <w:marTop w:val="0"/>
      <w:marBottom w:val="0"/>
      <w:divBdr>
        <w:top w:val="none" w:sz="0" w:space="0" w:color="auto"/>
        <w:left w:val="none" w:sz="0" w:space="0" w:color="auto"/>
        <w:bottom w:val="none" w:sz="0" w:space="0" w:color="auto"/>
        <w:right w:val="none" w:sz="0" w:space="0" w:color="auto"/>
      </w:divBdr>
    </w:div>
    <w:div w:id="1723599018">
      <w:bodyDiv w:val="1"/>
      <w:marLeft w:val="0"/>
      <w:marRight w:val="0"/>
      <w:marTop w:val="0"/>
      <w:marBottom w:val="0"/>
      <w:divBdr>
        <w:top w:val="none" w:sz="0" w:space="0" w:color="auto"/>
        <w:left w:val="none" w:sz="0" w:space="0" w:color="auto"/>
        <w:bottom w:val="none" w:sz="0" w:space="0" w:color="auto"/>
        <w:right w:val="none" w:sz="0" w:space="0" w:color="auto"/>
      </w:divBdr>
    </w:div>
    <w:div w:id="1725133745">
      <w:bodyDiv w:val="1"/>
      <w:marLeft w:val="0"/>
      <w:marRight w:val="0"/>
      <w:marTop w:val="0"/>
      <w:marBottom w:val="0"/>
      <w:divBdr>
        <w:top w:val="none" w:sz="0" w:space="0" w:color="auto"/>
        <w:left w:val="none" w:sz="0" w:space="0" w:color="auto"/>
        <w:bottom w:val="none" w:sz="0" w:space="0" w:color="auto"/>
        <w:right w:val="none" w:sz="0" w:space="0" w:color="auto"/>
      </w:divBdr>
    </w:div>
    <w:div w:id="1725324137">
      <w:bodyDiv w:val="1"/>
      <w:marLeft w:val="0"/>
      <w:marRight w:val="0"/>
      <w:marTop w:val="0"/>
      <w:marBottom w:val="0"/>
      <w:divBdr>
        <w:top w:val="none" w:sz="0" w:space="0" w:color="auto"/>
        <w:left w:val="none" w:sz="0" w:space="0" w:color="auto"/>
        <w:bottom w:val="none" w:sz="0" w:space="0" w:color="auto"/>
        <w:right w:val="none" w:sz="0" w:space="0" w:color="auto"/>
      </w:divBdr>
    </w:div>
    <w:div w:id="1725441634">
      <w:bodyDiv w:val="1"/>
      <w:marLeft w:val="0"/>
      <w:marRight w:val="0"/>
      <w:marTop w:val="0"/>
      <w:marBottom w:val="0"/>
      <w:divBdr>
        <w:top w:val="none" w:sz="0" w:space="0" w:color="auto"/>
        <w:left w:val="none" w:sz="0" w:space="0" w:color="auto"/>
        <w:bottom w:val="none" w:sz="0" w:space="0" w:color="auto"/>
        <w:right w:val="none" w:sz="0" w:space="0" w:color="auto"/>
      </w:divBdr>
    </w:div>
    <w:div w:id="1725832737">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6296538">
      <w:bodyDiv w:val="1"/>
      <w:marLeft w:val="0"/>
      <w:marRight w:val="0"/>
      <w:marTop w:val="0"/>
      <w:marBottom w:val="0"/>
      <w:divBdr>
        <w:top w:val="none" w:sz="0" w:space="0" w:color="auto"/>
        <w:left w:val="none" w:sz="0" w:space="0" w:color="auto"/>
        <w:bottom w:val="none" w:sz="0" w:space="0" w:color="auto"/>
        <w:right w:val="none" w:sz="0" w:space="0" w:color="auto"/>
      </w:divBdr>
    </w:div>
    <w:div w:id="1726752714">
      <w:bodyDiv w:val="1"/>
      <w:marLeft w:val="0"/>
      <w:marRight w:val="0"/>
      <w:marTop w:val="0"/>
      <w:marBottom w:val="0"/>
      <w:divBdr>
        <w:top w:val="none" w:sz="0" w:space="0" w:color="auto"/>
        <w:left w:val="none" w:sz="0" w:space="0" w:color="auto"/>
        <w:bottom w:val="none" w:sz="0" w:space="0" w:color="auto"/>
        <w:right w:val="none" w:sz="0" w:space="0" w:color="auto"/>
      </w:divBdr>
    </w:div>
    <w:div w:id="1727678675">
      <w:bodyDiv w:val="1"/>
      <w:marLeft w:val="0"/>
      <w:marRight w:val="0"/>
      <w:marTop w:val="0"/>
      <w:marBottom w:val="0"/>
      <w:divBdr>
        <w:top w:val="none" w:sz="0" w:space="0" w:color="auto"/>
        <w:left w:val="none" w:sz="0" w:space="0" w:color="auto"/>
        <w:bottom w:val="none" w:sz="0" w:space="0" w:color="auto"/>
        <w:right w:val="none" w:sz="0" w:space="0" w:color="auto"/>
      </w:divBdr>
    </w:div>
    <w:div w:id="1728645238">
      <w:bodyDiv w:val="1"/>
      <w:marLeft w:val="0"/>
      <w:marRight w:val="0"/>
      <w:marTop w:val="0"/>
      <w:marBottom w:val="0"/>
      <w:divBdr>
        <w:top w:val="none" w:sz="0" w:space="0" w:color="auto"/>
        <w:left w:val="none" w:sz="0" w:space="0" w:color="auto"/>
        <w:bottom w:val="none" w:sz="0" w:space="0" w:color="auto"/>
        <w:right w:val="none" w:sz="0" w:space="0" w:color="auto"/>
      </w:divBdr>
    </w:div>
    <w:div w:id="1728649098">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29108718">
      <w:bodyDiv w:val="1"/>
      <w:marLeft w:val="0"/>
      <w:marRight w:val="0"/>
      <w:marTop w:val="0"/>
      <w:marBottom w:val="0"/>
      <w:divBdr>
        <w:top w:val="none" w:sz="0" w:space="0" w:color="auto"/>
        <w:left w:val="none" w:sz="0" w:space="0" w:color="auto"/>
        <w:bottom w:val="none" w:sz="0" w:space="0" w:color="auto"/>
        <w:right w:val="none" w:sz="0" w:space="0" w:color="auto"/>
      </w:divBdr>
    </w:div>
    <w:div w:id="1729302731">
      <w:bodyDiv w:val="1"/>
      <w:marLeft w:val="0"/>
      <w:marRight w:val="0"/>
      <w:marTop w:val="0"/>
      <w:marBottom w:val="0"/>
      <w:divBdr>
        <w:top w:val="none" w:sz="0" w:space="0" w:color="auto"/>
        <w:left w:val="none" w:sz="0" w:space="0" w:color="auto"/>
        <w:bottom w:val="none" w:sz="0" w:space="0" w:color="auto"/>
        <w:right w:val="none" w:sz="0" w:space="0" w:color="auto"/>
      </w:divBdr>
    </w:div>
    <w:div w:id="1729378890">
      <w:bodyDiv w:val="1"/>
      <w:marLeft w:val="0"/>
      <w:marRight w:val="0"/>
      <w:marTop w:val="0"/>
      <w:marBottom w:val="0"/>
      <w:divBdr>
        <w:top w:val="none" w:sz="0" w:space="0" w:color="auto"/>
        <w:left w:val="none" w:sz="0" w:space="0" w:color="auto"/>
        <w:bottom w:val="none" w:sz="0" w:space="0" w:color="auto"/>
        <w:right w:val="none" w:sz="0" w:space="0" w:color="auto"/>
      </w:divBdr>
    </w:div>
    <w:div w:id="1729500661">
      <w:bodyDiv w:val="1"/>
      <w:marLeft w:val="0"/>
      <w:marRight w:val="0"/>
      <w:marTop w:val="0"/>
      <w:marBottom w:val="0"/>
      <w:divBdr>
        <w:top w:val="none" w:sz="0" w:space="0" w:color="auto"/>
        <w:left w:val="none" w:sz="0" w:space="0" w:color="auto"/>
        <w:bottom w:val="none" w:sz="0" w:space="0" w:color="auto"/>
        <w:right w:val="none" w:sz="0" w:space="0" w:color="auto"/>
      </w:divBdr>
    </w:div>
    <w:div w:id="1729723401">
      <w:bodyDiv w:val="1"/>
      <w:marLeft w:val="0"/>
      <w:marRight w:val="0"/>
      <w:marTop w:val="0"/>
      <w:marBottom w:val="0"/>
      <w:divBdr>
        <w:top w:val="none" w:sz="0" w:space="0" w:color="auto"/>
        <w:left w:val="none" w:sz="0" w:space="0" w:color="auto"/>
        <w:bottom w:val="none" w:sz="0" w:space="0" w:color="auto"/>
        <w:right w:val="none" w:sz="0" w:space="0" w:color="auto"/>
      </w:divBdr>
    </w:div>
    <w:div w:id="1729841238">
      <w:bodyDiv w:val="1"/>
      <w:marLeft w:val="0"/>
      <w:marRight w:val="0"/>
      <w:marTop w:val="0"/>
      <w:marBottom w:val="0"/>
      <w:divBdr>
        <w:top w:val="none" w:sz="0" w:space="0" w:color="auto"/>
        <w:left w:val="none" w:sz="0" w:space="0" w:color="auto"/>
        <w:bottom w:val="none" w:sz="0" w:space="0" w:color="auto"/>
        <w:right w:val="none" w:sz="0" w:space="0" w:color="auto"/>
      </w:divBdr>
    </w:div>
    <w:div w:id="1729843058">
      <w:bodyDiv w:val="1"/>
      <w:marLeft w:val="0"/>
      <w:marRight w:val="0"/>
      <w:marTop w:val="0"/>
      <w:marBottom w:val="0"/>
      <w:divBdr>
        <w:top w:val="none" w:sz="0" w:space="0" w:color="auto"/>
        <w:left w:val="none" w:sz="0" w:space="0" w:color="auto"/>
        <w:bottom w:val="none" w:sz="0" w:space="0" w:color="auto"/>
        <w:right w:val="none" w:sz="0" w:space="0" w:color="auto"/>
      </w:divBdr>
    </w:div>
    <w:div w:id="1730037634">
      <w:bodyDiv w:val="1"/>
      <w:marLeft w:val="0"/>
      <w:marRight w:val="0"/>
      <w:marTop w:val="0"/>
      <w:marBottom w:val="0"/>
      <w:divBdr>
        <w:top w:val="none" w:sz="0" w:space="0" w:color="auto"/>
        <w:left w:val="none" w:sz="0" w:space="0" w:color="auto"/>
        <w:bottom w:val="none" w:sz="0" w:space="0" w:color="auto"/>
        <w:right w:val="none" w:sz="0" w:space="0" w:color="auto"/>
      </w:divBdr>
    </w:div>
    <w:div w:id="1730498634">
      <w:bodyDiv w:val="1"/>
      <w:marLeft w:val="0"/>
      <w:marRight w:val="0"/>
      <w:marTop w:val="0"/>
      <w:marBottom w:val="0"/>
      <w:divBdr>
        <w:top w:val="none" w:sz="0" w:space="0" w:color="auto"/>
        <w:left w:val="none" w:sz="0" w:space="0" w:color="auto"/>
        <w:bottom w:val="none" w:sz="0" w:space="0" w:color="auto"/>
        <w:right w:val="none" w:sz="0" w:space="0" w:color="auto"/>
      </w:divBdr>
    </w:div>
    <w:div w:id="1730878127">
      <w:bodyDiv w:val="1"/>
      <w:marLeft w:val="0"/>
      <w:marRight w:val="0"/>
      <w:marTop w:val="0"/>
      <w:marBottom w:val="0"/>
      <w:divBdr>
        <w:top w:val="none" w:sz="0" w:space="0" w:color="auto"/>
        <w:left w:val="none" w:sz="0" w:space="0" w:color="auto"/>
        <w:bottom w:val="none" w:sz="0" w:space="0" w:color="auto"/>
        <w:right w:val="none" w:sz="0" w:space="0" w:color="auto"/>
      </w:divBdr>
    </w:div>
    <w:div w:id="1731073419">
      <w:bodyDiv w:val="1"/>
      <w:marLeft w:val="0"/>
      <w:marRight w:val="0"/>
      <w:marTop w:val="0"/>
      <w:marBottom w:val="0"/>
      <w:divBdr>
        <w:top w:val="none" w:sz="0" w:space="0" w:color="auto"/>
        <w:left w:val="none" w:sz="0" w:space="0" w:color="auto"/>
        <w:bottom w:val="none" w:sz="0" w:space="0" w:color="auto"/>
        <w:right w:val="none" w:sz="0" w:space="0" w:color="auto"/>
      </w:divBdr>
    </w:div>
    <w:div w:id="1731151699">
      <w:bodyDiv w:val="1"/>
      <w:marLeft w:val="0"/>
      <w:marRight w:val="0"/>
      <w:marTop w:val="0"/>
      <w:marBottom w:val="0"/>
      <w:divBdr>
        <w:top w:val="none" w:sz="0" w:space="0" w:color="auto"/>
        <w:left w:val="none" w:sz="0" w:space="0" w:color="auto"/>
        <w:bottom w:val="none" w:sz="0" w:space="0" w:color="auto"/>
        <w:right w:val="none" w:sz="0" w:space="0" w:color="auto"/>
      </w:divBdr>
    </w:div>
    <w:div w:id="1731339253">
      <w:bodyDiv w:val="1"/>
      <w:marLeft w:val="0"/>
      <w:marRight w:val="0"/>
      <w:marTop w:val="0"/>
      <w:marBottom w:val="0"/>
      <w:divBdr>
        <w:top w:val="none" w:sz="0" w:space="0" w:color="auto"/>
        <w:left w:val="none" w:sz="0" w:space="0" w:color="auto"/>
        <w:bottom w:val="none" w:sz="0" w:space="0" w:color="auto"/>
        <w:right w:val="none" w:sz="0" w:space="0" w:color="auto"/>
      </w:divBdr>
    </w:div>
    <w:div w:id="1731734275">
      <w:bodyDiv w:val="1"/>
      <w:marLeft w:val="0"/>
      <w:marRight w:val="0"/>
      <w:marTop w:val="0"/>
      <w:marBottom w:val="0"/>
      <w:divBdr>
        <w:top w:val="none" w:sz="0" w:space="0" w:color="auto"/>
        <w:left w:val="none" w:sz="0" w:space="0" w:color="auto"/>
        <w:bottom w:val="none" w:sz="0" w:space="0" w:color="auto"/>
        <w:right w:val="none" w:sz="0" w:space="0" w:color="auto"/>
      </w:divBdr>
    </w:div>
    <w:div w:id="1731998101">
      <w:bodyDiv w:val="1"/>
      <w:marLeft w:val="0"/>
      <w:marRight w:val="0"/>
      <w:marTop w:val="0"/>
      <w:marBottom w:val="0"/>
      <w:divBdr>
        <w:top w:val="none" w:sz="0" w:space="0" w:color="auto"/>
        <w:left w:val="none" w:sz="0" w:space="0" w:color="auto"/>
        <w:bottom w:val="none" w:sz="0" w:space="0" w:color="auto"/>
        <w:right w:val="none" w:sz="0" w:space="0" w:color="auto"/>
      </w:divBdr>
    </w:div>
    <w:div w:id="1732147786">
      <w:bodyDiv w:val="1"/>
      <w:marLeft w:val="0"/>
      <w:marRight w:val="0"/>
      <w:marTop w:val="0"/>
      <w:marBottom w:val="0"/>
      <w:divBdr>
        <w:top w:val="none" w:sz="0" w:space="0" w:color="auto"/>
        <w:left w:val="none" w:sz="0" w:space="0" w:color="auto"/>
        <w:bottom w:val="none" w:sz="0" w:space="0" w:color="auto"/>
        <w:right w:val="none" w:sz="0" w:space="0" w:color="auto"/>
      </w:divBdr>
    </w:div>
    <w:div w:id="1732271565">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2925385">
      <w:bodyDiv w:val="1"/>
      <w:marLeft w:val="0"/>
      <w:marRight w:val="0"/>
      <w:marTop w:val="0"/>
      <w:marBottom w:val="0"/>
      <w:divBdr>
        <w:top w:val="none" w:sz="0" w:space="0" w:color="auto"/>
        <w:left w:val="none" w:sz="0" w:space="0" w:color="auto"/>
        <w:bottom w:val="none" w:sz="0" w:space="0" w:color="auto"/>
        <w:right w:val="none" w:sz="0" w:space="0" w:color="auto"/>
      </w:divBdr>
    </w:div>
    <w:div w:id="1733193005">
      <w:bodyDiv w:val="1"/>
      <w:marLeft w:val="0"/>
      <w:marRight w:val="0"/>
      <w:marTop w:val="0"/>
      <w:marBottom w:val="0"/>
      <w:divBdr>
        <w:top w:val="none" w:sz="0" w:space="0" w:color="auto"/>
        <w:left w:val="none" w:sz="0" w:space="0" w:color="auto"/>
        <w:bottom w:val="none" w:sz="0" w:space="0" w:color="auto"/>
        <w:right w:val="none" w:sz="0" w:space="0" w:color="auto"/>
      </w:divBdr>
    </w:div>
    <w:div w:id="1733693060">
      <w:bodyDiv w:val="1"/>
      <w:marLeft w:val="0"/>
      <w:marRight w:val="0"/>
      <w:marTop w:val="0"/>
      <w:marBottom w:val="0"/>
      <w:divBdr>
        <w:top w:val="none" w:sz="0" w:space="0" w:color="auto"/>
        <w:left w:val="none" w:sz="0" w:space="0" w:color="auto"/>
        <w:bottom w:val="none" w:sz="0" w:space="0" w:color="auto"/>
        <w:right w:val="none" w:sz="0" w:space="0" w:color="auto"/>
      </w:divBdr>
    </w:div>
    <w:div w:id="1733695046">
      <w:bodyDiv w:val="1"/>
      <w:marLeft w:val="0"/>
      <w:marRight w:val="0"/>
      <w:marTop w:val="0"/>
      <w:marBottom w:val="0"/>
      <w:divBdr>
        <w:top w:val="none" w:sz="0" w:space="0" w:color="auto"/>
        <w:left w:val="none" w:sz="0" w:space="0" w:color="auto"/>
        <w:bottom w:val="none" w:sz="0" w:space="0" w:color="auto"/>
        <w:right w:val="none" w:sz="0" w:space="0" w:color="auto"/>
      </w:divBdr>
    </w:div>
    <w:div w:id="1733967470">
      <w:bodyDiv w:val="1"/>
      <w:marLeft w:val="0"/>
      <w:marRight w:val="0"/>
      <w:marTop w:val="0"/>
      <w:marBottom w:val="0"/>
      <w:divBdr>
        <w:top w:val="none" w:sz="0" w:space="0" w:color="auto"/>
        <w:left w:val="none" w:sz="0" w:space="0" w:color="auto"/>
        <w:bottom w:val="none" w:sz="0" w:space="0" w:color="auto"/>
        <w:right w:val="none" w:sz="0" w:space="0" w:color="auto"/>
      </w:divBdr>
    </w:div>
    <w:div w:id="1734084360">
      <w:bodyDiv w:val="1"/>
      <w:marLeft w:val="0"/>
      <w:marRight w:val="0"/>
      <w:marTop w:val="0"/>
      <w:marBottom w:val="0"/>
      <w:divBdr>
        <w:top w:val="none" w:sz="0" w:space="0" w:color="auto"/>
        <w:left w:val="none" w:sz="0" w:space="0" w:color="auto"/>
        <w:bottom w:val="none" w:sz="0" w:space="0" w:color="auto"/>
        <w:right w:val="none" w:sz="0" w:space="0" w:color="auto"/>
      </w:divBdr>
    </w:div>
    <w:div w:id="1734159592">
      <w:bodyDiv w:val="1"/>
      <w:marLeft w:val="0"/>
      <w:marRight w:val="0"/>
      <w:marTop w:val="0"/>
      <w:marBottom w:val="0"/>
      <w:divBdr>
        <w:top w:val="none" w:sz="0" w:space="0" w:color="auto"/>
        <w:left w:val="none" w:sz="0" w:space="0" w:color="auto"/>
        <w:bottom w:val="none" w:sz="0" w:space="0" w:color="auto"/>
        <w:right w:val="none" w:sz="0" w:space="0" w:color="auto"/>
      </w:divBdr>
    </w:div>
    <w:div w:id="1734229549">
      <w:bodyDiv w:val="1"/>
      <w:marLeft w:val="0"/>
      <w:marRight w:val="0"/>
      <w:marTop w:val="0"/>
      <w:marBottom w:val="0"/>
      <w:divBdr>
        <w:top w:val="none" w:sz="0" w:space="0" w:color="auto"/>
        <w:left w:val="none" w:sz="0" w:space="0" w:color="auto"/>
        <w:bottom w:val="none" w:sz="0" w:space="0" w:color="auto"/>
        <w:right w:val="none" w:sz="0" w:space="0" w:color="auto"/>
      </w:divBdr>
    </w:div>
    <w:div w:id="1734960355">
      <w:bodyDiv w:val="1"/>
      <w:marLeft w:val="0"/>
      <w:marRight w:val="0"/>
      <w:marTop w:val="0"/>
      <w:marBottom w:val="0"/>
      <w:divBdr>
        <w:top w:val="none" w:sz="0" w:space="0" w:color="auto"/>
        <w:left w:val="none" w:sz="0" w:space="0" w:color="auto"/>
        <w:bottom w:val="none" w:sz="0" w:space="0" w:color="auto"/>
        <w:right w:val="none" w:sz="0" w:space="0" w:color="auto"/>
      </w:divBdr>
    </w:div>
    <w:div w:id="1735010880">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5738890">
      <w:bodyDiv w:val="1"/>
      <w:marLeft w:val="0"/>
      <w:marRight w:val="0"/>
      <w:marTop w:val="0"/>
      <w:marBottom w:val="0"/>
      <w:divBdr>
        <w:top w:val="none" w:sz="0" w:space="0" w:color="auto"/>
        <w:left w:val="none" w:sz="0" w:space="0" w:color="auto"/>
        <w:bottom w:val="none" w:sz="0" w:space="0" w:color="auto"/>
        <w:right w:val="none" w:sz="0" w:space="0" w:color="auto"/>
      </w:divBdr>
    </w:div>
    <w:div w:id="1735810231">
      <w:bodyDiv w:val="1"/>
      <w:marLeft w:val="0"/>
      <w:marRight w:val="0"/>
      <w:marTop w:val="0"/>
      <w:marBottom w:val="0"/>
      <w:divBdr>
        <w:top w:val="none" w:sz="0" w:space="0" w:color="auto"/>
        <w:left w:val="none" w:sz="0" w:space="0" w:color="auto"/>
        <w:bottom w:val="none" w:sz="0" w:space="0" w:color="auto"/>
        <w:right w:val="none" w:sz="0" w:space="0" w:color="auto"/>
      </w:divBdr>
    </w:div>
    <w:div w:id="1736316964">
      <w:bodyDiv w:val="1"/>
      <w:marLeft w:val="0"/>
      <w:marRight w:val="0"/>
      <w:marTop w:val="0"/>
      <w:marBottom w:val="0"/>
      <w:divBdr>
        <w:top w:val="none" w:sz="0" w:space="0" w:color="auto"/>
        <w:left w:val="none" w:sz="0" w:space="0" w:color="auto"/>
        <w:bottom w:val="none" w:sz="0" w:space="0" w:color="auto"/>
        <w:right w:val="none" w:sz="0" w:space="0" w:color="auto"/>
      </w:divBdr>
    </w:div>
    <w:div w:id="1736857294">
      <w:bodyDiv w:val="1"/>
      <w:marLeft w:val="0"/>
      <w:marRight w:val="0"/>
      <w:marTop w:val="0"/>
      <w:marBottom w:val="0"/>
      <w:divBdr>
        <w:top w:val="none" w:sz="0" w:space="0" w:color="auto"/>
        <w:left w:val="none" w:sz="0" w:space="0" w:color="auto"/>
        <w:bottom w:val="none" w:sz="0" w:space="0" w:color="auto"/>
        <w:right w:val="none" w:sz="0" w:space="0" w:color="auto"/>
      </w:divBdr>
    </w:div>
    <w:div w:id="1737625322">
      <w:bodyDiv w:val="1"/>
      <w:marLeft w:val="0"/>
      <w:marRight w:val="0"/>
      <w:marTop w:val="0"/>
      <w:marBottom w:val="0"/>
      <w:divBdr>
        <w:top w:val="none" w:sz="0" w:space="0" w:color="auto"/>
        <w:left w:val="none" w:sz="0" w:space="0" w:color="auto"/>
        <w:bottom w:val="none" w:sz="0" w:space="0" w:color="auto"/>
        <w:right w:val="none" w:sz="0" w:space="0" w:color="auto"/>
      </w:divBdr>
    </w:div>
    <w:div w:id="1737700407">
      <w:bodyDiv w:val="1"/>
      <w:marLeft w:val="0"/>
      <w:marRight w:val="0"/>
      <w:marTop w:val="0"/>
      <w:marBottom w:val="0"/>
      <w:divBdr>
        <w:top w:val="none" w:sz="0" w:space="0" w:color="auto"/>
        <w:left w:val="none" w:sz="0" w:space="0" w:color="auto"/>
        <w:bottom w:val="none" w:sz="0" w:space="0" w:color="auto"/>
        <w:right w:val="none" w:sz="0" w:space="0" w:color="auto"/>
      </w:divBdr>
    </w:div>
    <w:div w:id="1737898184">
      <w:bodyDiv w:val="1"/>
      <w:marLeft w:val="0"/>
      <w:marRight w:val="0"/>
      <w:marTop w:val="0"/>
      <w:marBottom w:val="0"/>
      <w:divBdr>
        <w:top w:val="none" w:sz="0" w:space="0" w:color="auto"/>
        <w:left w:val="none" w:sz="0" w:space="0" w:color="auto"/>
        <w:bottom w:val="none" w:sz="0" w:space="0" w:color="auto"/>
        <w:right w:val="none" w:sz="0" w:space="0" w:color="auto"/>
      </w:divBdr>
    </w:div>
    <w:div w:id="1738283566">
      <w:bodyDiv w:val="1"/>
      <w:marLeft w:val="0"/>
      <w:marRight w:val="0"/>
      <w:marTop w:val="0"/>
      <w:marBottom w:val="0"/>
      <w:divBdr>
        <w:top w:val="none" w:sz="0" w:space="0" w:color="auto"/>
        <w:left w:val="none" w:sz="0" w:space="0" w:color="auto"/>
        <w:bottom w:val="none" w:sz="0" w:space="0" w:color="auto"/>
        <w:right w:val="none" w:sz="0" w:space="0" w:color="auto"/>
      </w:divBdr>
    </w:div>
    <w:div w:id="1738481163">
      <w:bodyDiv w:val="1"/>
      <w:marLeft w:val="0"/>
      <w:marRight w:val="0"/>
      <w:marTop w:val="0"/>
      <w:marBottom w:val="0"/>
      <w:divBdr>
        <w:top w:val="none" w:sz="0" w:space="0" w:color="auto"/>
        <w:left w:val="none" w:sz="0" w:space="0" w:color="auto"/>
        <w:bottom w:val="none" w:sz="0" w:space="0" w:color="auto"/>
        <w:right w:val="none" w:sz="0" w:space="0" w:color="auto"/>
      </w:divBdr>
    </w:div>
    <w:div w:id="1738628160">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39476077">
      <w:bodyDiv w:val="1"/>
      <w:marLeft w:val="0"/>
      <w:marRight w:val="0"/>
      <w:marTop w:val="0"/>
      <w:marBottom w:val="0"/>
      <w:divBdr>
        <w:top w:val="none" w:sz="0" w:space="0" w:color="auto"/>
        <w:left w:val="none" w:sz="0" w:space="0" w:color="auto"/>
        <w:bottom w:val="none" w:sz="0" w:space="0" w:color="auto"/>
        <w:right w:val="none" w:sz="0" w:space="0" w:color="auto"/>
      </w:divBdr>
    </w:div>
    <w:div w:id="1739671409">
      <w:bodyDiv w:val="1"/>
      <w:marLeft w:val="0"/>
      <w:marRight w:val="0"/>
      <w:marTop w:val="0"/>
      <w:marBottom w:val="0"/>
      <w:divBdr>
        <w:top w:val="none" w:sz="0" w:space="0" w:color="auto"/>
        <w:left w:val="none" w:sz="0" w:space="0" w:color="auto"/>
        <w:bottom w:val="none" w:sz="0" w:space="0" w:color="auto"/>
        <w:right w:val="none" w:sz="0" w:space="0" w:color="auto"/>
      </w:divBdr>
    </w:div>
    <w:div w:id="1739791418">
      <w:bodyDiv w:val="1"/>
      <w:marLeft w:val="0"/>
      <w:marRight w:val="0"/>
      <w:marTop w:val="0"/>
      <w:marBottom w:val="0"/>
      <w:divBdr>
        <w:top w:val="none" w:sz="0" w:space="0" w:color="auto"/>
        <w:left w:val="none" w:sz="0" w:space="0" w:color="auto"/>
        <w:bottom w:val="none" w:sz="0" w:space="0" w:color="auto"/>
        <w:right w:val="none" w:sz="0" w:space="0" w:color="auto"/>
      </w:divBdr>
    </w:div>
    <w:div w:id="1740205651">
      <w:bodyDiv w:val="1"/>
      <w:marLeft w:val="0"/>
      <w:marRight w:val="0"/>
      <w:marTop w:val="0"/>
      <w:marBottom w:val="0"/>
      <w:divBdr>
        <w:top w:val="none" w:sz="0" w:space="0" w:color="auto"/>
        <w:left w:val="none" w:sz="0" w:space="0" w:color="auto"/>
        <w:bottom w:val="none" w:sz="0" w:space="0" w:color="auto"/>
        <w:right w:val="none" w:sz="0" w:space="0" w:color="auto"/>
      </w:divBdr>
    </w:div>
    <w:div w:id="1740397409">
      <w:bodyDiv w:val="1"/>
      <w:marLeft w:val="0"/>
      <w:marRight w:val="0"/>
      <w:marTop w:val="0"/>
      <w:marBottom w:val="0"/>
      <w:divBdr>
        <w:top w:val="none" w:sz="0" w:space="0" w:color="auto"/>
        <w:left w:val="none" w:sz="0" w:space="0" w:color="auto"/>
        <w:bottom w:val="none" w:sz="0" w:space="0" w:color="auto"/>
        <w:right w:val="none" w:sz="0" w:space="0" w:color="auto"/>
      </w:divBdr>
    </w:div>
    <w:div w:id="1740714454">
      <w:bodyDiv w:val="1"/>
      <w:marLeft w:val="0"/>
      <w:marRight w:val="0"/>
      <w:marTop w:val="0"/>
      <w:marBottom w:val="0"/>
      <w:divBdr>
        <w:top w:val="none" w:sz="0" w:space="0" w:color="auto"/>
        <w:left w:val="none" w:sz="0" w:space="0" w:color="auto"/>
        <w:bottom w:val="none" w:sz="0" w:space="0" w:color="auto"/>
        <w:right w:val="none" w:sz="0" w:space="0" w:color="auto"/>
      </w:divBdr>
    </w:div>
    <w:div w:id="1741054432">
      <w:bodyDiv w:val="1"/>
      <w:marLeft w:val="0"/>
      <w:marRight w:val="0"/>
      <w:marTop w:val="0"/>
      <w:marBottom w:val="0"/>
      <w:divBdr>
        <w:top w:val="none" w:sz="0" w:space="0" w:color="auto"/>
        <w:left w:val="none" w:sz="0" w:space="0" w:color="auto"/>
        <w:bottom w:val="none" w:sz="0" w:space="0" w:color="auto"/>
        <w:right w:val="none" w:sz="0" w:space="0" w:color="auto"/>
      </w:divBdr>
    </w:div>
    <w:div w:id="1741295093">
      <w:bodyDiv w:val="1"/>
      <w:marLeft w:val="0"/>
      <w:marRight w:val="0"/>
      <w:marTop w:val="0"/>
      <w:marBottom w:val="0"/>
      <w:divBdr>
        <w:top w:val="none" w:sz="0" w:space="0" w:color="auto"/>
        <w:left w:val="none" w:sz="0" w:space="0" w:color="auto"/>
        <w:bottom w:val="none" w:sz="0" w:space="0" w:color="auto"/>
        <w:right w:val="none" w:sz="0" w:space="0" w:color="auto"/>
      </w:divBdr>
    </w:div>
    <w:div w:id="1742481238">
      <w:bodyDiv w:val="1"/>
      <w:marLeft w:val="0"/>
      <w:marRight w:val="0"/>
      <w:marTop w:val="0"/>
      <w:marBottom w:val="0"/>
      <w:divBdr>
        <w:top w:val="none" w:sz="0" w:space="0" w:color="auto"/>
        <w:left w:val="none" w:sz="0" w:space="0" w:color="auto"/>
        <w:bottom w:val="none" w:sz="0" w:space="0" w:color="auto"/>
        <w:right w:val="none" w:sz="0" w:space="0" w:color="auto"/>
      </w:divBdr>
    </w:div>
    <w:div w:id="1742557645">
      <w:bodyDiv w:val="1"/>
      <w:marLeft w:val="0"/>
      <w:marRight w:val="0"/>
      <w:marTop w:val="0"/>
      <w:marBottom w:val="0"/>
      <w:divBdr>
        <w:top w:val="none" w:sz="0" w:space="0" w:color="auto"/>
        <w:left w:val="none" w:sz="0" w:space="0" w:color="auto"/>
        <w:bottom w:val="none" w:sz="0" w:space="0" w:color="auto"/>
        <w:right w:val="none" w:sz="0" w:space="0" w:color="auto"/>
      </w:divBdr>
    </w:div>
    <w:div w:id="1742681600">
      <w:bodyDiv w:val="1"/>
      <w:marLeft w:val="0"/>
      <w:marRight w:val="0"/>
      <w:marTop w:val="0"/>
      <w:marBottom w:val="0"/>
      <w:divBdr>
        <w:top w:val="none" w:sz="0" w:space="0" w:color="auto"/>
        <w:left w:val="none" w:sz="0" w:space="0" w:color="auto"/>
        <w:bottom w:val="none" w:sz="0" w:space="0" w:color="auto"/>
        <w:right w:val="none" w:sz="0" w:space="0" w:color="auto"/>
      </w:divBdr>
    </w:div>
    <w:div w:id="1742748904">
      <w:bodyDiv w:val="1"/>
      <w:marLeft w:val="0"/>
      <w:marRight w:val="0"/>
      <w:marTop w:val="0"/>
      <w:marBottom w:val="0"/>
      <w:divBdr>
        <w:top w:val="none" w:sz="0" w:space="0" w:color="auto"/>
        <w:left w:val="none" w:sz="0" w:space="0" w:color="auto"/>
        <w:bottom w:val="none" w:sz="0" w:space="0" w:color="auto"/>
        <w:right w:val="none" w:sz="0" w:space="0" w:color="auto"/>
      </w:divBdr>
    </w:div>
    <w:div w:id="1743067213">
      <w:bodyDiv w:val="1"/>
      <w:marLeft w:val="0"/>
      <w:marRight w:val="0"/>
      <w:marTop w:val="0"/>
      <w:marBottom w:val="0"/>
      <w:divBdr>
        <w:top w:val="none" w:sz="0" w:space="0" w:color="auto"/>
        <w:left w:val="none" w:sz="0" w:space="0" w:color="auto"/>
        <w:bottom w:val="none" w:sz="0" w:space="0" w:color="auto"/>
        <w:right w:val="none" w:sz="0" w:space="0" w:color="auto"/>
      </w:divBdr>
    </w:div>
    <w:div w:id="1743792451">
      <w:bodyDiv w:val="1"/>
      <w:marLeft w:val="0"/>
      <w:marRight w:val="0"/>
      <w:marTop w:val="0"/>
      <w:marBottom w:val="0"/>
      <w:divBdr>
        <w:top w:val="none" w:sz="0" w:space="0" w:color="auto"/>
        <w:left w:val="none" w:sz="0" w:space="0" w:color="auto"/>
        <w:bottom w:val="none" w:sz="0" w:space="0" w:color="auto"/>
        <w:right w:val="none" w:sz="0" w:space="0" w:color="auto"/>
      </w:divBdr>
    </w:div>
    <w:div w:id="1743987863">
      <w:bodyDiv w:val="1"/>
      <w:marLeft w:val="0"/>
      <w:marRight w:val="0"/>
      <w:marTop w:val="0"/>
      <w:marBottom w:val="0"/>
      <w:divBdr>
        <w:top w:val="none" w:sz="0" w:space="0" w:color="auto"/>
        <w:left w:val="none" w:sz="0" w:space="0" w:color="auto"/>
        <w:bottom w:val="none" w:sz="0" w:space="0" w:color="auto"/>
        <w:right w:val="none" w:sz="0" w:space="0" w:color="auto"/>
      </w:divBdr>
    </w:div>
    <w:div w:id="1743989064">
      <w:bodyDiv w:val="1"/>
      <w:marLeft w:val="0"/>
      <w:marRight w:val="0"/>
      <w:marTop w:val="0"/>
      <w:marBottom w:val="0"/>
      <w:divBdr>
        <w:top w:val="none" w:sz="0" w:space="0" w:color="auto"/>
        <w:left w:val="none" w:sz="0" w:space="0" w:color="auto"/>
        <w:bottom w:val="none" w:sz="0" w:space="0" w:color="auto"/>
        <w:right w:val="none" w:sz="0" w:space="0" w:color="auto"/>
      </w:divBdr>
    </w:div>
    <w:div w:id="1744326891">
      <w:bodyDiv w:val="1"/>
      <w:marLeft w:val="0"/>
      <w:marRight w:val="0"/>
      <w:marTop w:val="0"/>
      <w:marBottom w:val="0"/>
      <w:divBdr>
        <w:top w:val="none" w:sz="0" w:space="0" w:color="auto"/>
        <w:left w:val="none" w:sz="0" w:space="0" w:color="auto"/>
        <w:bottom w:val="none" w:sz="0" w:space="0" w:color="auto"/>
        <w:right w:val="none" w:sz="0" w:space="0" w:color="auto"/>
      </w:divBdr>
    </w:div>
    <w:div w:id="1744647379">
      <w:bodyDiv w:val="1"/>
      <w:marLeft w:val="0"/>
      <w:marRight w:val="0"/>
      <w:marTop w:val="0"/>
      <w:marBottom w:val="0"/>
      <w:divBdr>
        <w:top w:val="none" w:sz="0" w:space="0" w:color="auto"/>
        <w:left w:val="none" w:sz="0" w:space="0" w:color="auto"/>
        <w:bottom w:val="none" w:sz="0" w:space="0" w:color="auto"/>
        <w:right w:val="none" w:sz="0" w:space="0" w:color="auto"/>
      </w:divBdr>
    </w:div>
    <w:div w:id="1744718180">
      <w:bodyDiv w:val="1"/>
      <w:marLeft w:val="0"/>
      <w:marRight w:val="0"/>
      <w:marTop w:val="0"/>
      <w:marBottom w:val="0"/>
      <w:divBdr>
        <w:top w:val="none" w:sz="0" w:space="0" w:color="auto"/>
        <w:left w:val="none" w:sz="0" w:space="0" w:color="auto"/>
        <w:bottom w:val="none" w:sz="0" w:space="0" w:color="auto"/>
        <w:right w:val="none" w:sz="0" w:space="0" w:color="auto"/>
      </w:divBdr>
    </w:div>
    <w:div w:id="1745450461">
      <w:bodyDiv w:val="1"/>
      <w:marLeft w:val="0"/>
      <w:marRight w:val="0"/>
      <w:marTop w:val="0"/>
      <w:marBottom w:val="0"/>
      <w:divBdr>
        <w:top w:val="none" w:sz="0" w:space="0" w:color="auto"/>
        <w:left w:val="none" w:sz="0" w:space="0" w:color="auto"/>
        <w:bottom w:val="none" w:sz="0" w:space="0" w:color="auto"/>
        <w:right w:val="none" w:sz="0" w:space="0" w:color="auto"/>
      </w:divBdr>
    </w:div>
    <w:div w:id="1745948924">
      <w:bodyDiv w:val="1"/>
      <w:marLeft w:val="0"/>
      <w:marRight w:val="0"/>
      <w:marTop w:val="0"/>
      <w:marBottom w:val="0"/>
      <w:divBdr>
        <w:top w:val="none" w:sz="0" w:space="0" w:color="auto"/>
        <w:left w:val="none" w:sz="0" w:space="0" w:color="auto"/>
        <w:bottom w:val="none" w:sz="0" w:space="0" w:color="auto"/>
        <w:right w:val="none" w:sz="0" w:space="0" w:color="auto"/>
      </w:divBdr>
    </w:div>
    <w:div w:id="1746300804">
      <w:bodyDiv w:val="1"/>
      <w:marLeft w:val="0"/>
      <w:marRight w:val="0"/>
      <w:marTop w:val="0"/>
      <w:marBottom w:val="0"/>
      <w:divBdr>
        <w:top w:val="none" w:sz="0" w:space="0" w:color="auto"/>
        <w:left w:val="none" w:sz="0" w:space="0" w:color="auto"/>
        <w:bottom w:val="none" w:sz="0" w:space="0" w:color="auto"/>
        <w:right w:val="none" w:sz="0" w:space="0" w:color="auto"/>
      </w:divBdr>
    </w:div>
    <w:div w:id="1746490908">
      <w:bodyDiv w:val="1"/>
      <w:marLeft w:val="0"/>
      <w:marRight w:val="0"/>
      <w:marTop w:val="0"/>
      <w:marBottom w:val="0"/>
      <w:divBdr>
        <w:top w:val="none" w:sz="0" w:space="0" w:color="auto"/>
        <w:left w:val="none" w:sz="0" w:space="0" w:color="auto"/>
        <w:bottom w:val="none" w:sz="0" w:space="0" w:color="auto"/>
        <w:right w:val="none" w:sz="0" w:space="0" w:color="auto"/>
      </w:divBdr>
    </w:div>
    <w:div w:id="1746562851">
      <w:bodyDiv w:val="1"/>
      <w:marLeft w:val="0"/>
      <w:marRight w:val="0"/>
      <w:marTop w:val="0"/>
      <w:marBottom w:val="0"/>
      <w:divBdr>
        <w:top w:val="none" w:sz="0" w:space="0" w:color="auto"/>
        <w:left w:val="none" w:sz="0" w:space="0" w:color="auto"/>
        <w:bottom w:val="none" w:sz="0" w:space="0" w:color="auto"/>
        <w:right w:val="none" w:sz="0" w:space="0" w:color="auto"/>
      </w:divBdr>
    </w:div>
    <w:div w:id="1746680809">
      <w:bodyDiv w:val="1"/>
      <w:marLeft w:val="0"/>
      <w:marRight w:val="0"/>
      <w:marTop w:val="0"/>
      <w:marBottom w:val="0"/>
      <w:divBdr>
        <w:top w:val="none" w:sz="0" w:space="0" w:color="auto"/>
        <w:left w:val="none" w:sz="0" w:space="0" w:color="auto"/>
        <w:bottom w:val="none" w:sz="0" w:space="0" w:color="auto"/>
        <w:right w:val="none" w:sz="0" w:space="0" w:color="auto"/>
      </w:divBdr>
    </w:div>
    <w:div w:id="1746876715">
      <w:bodyDiv w:val="1"/>
      <w:marLeft w:val="0"/>
      <w:marRight w:val="0"/>
      <w:marTop w:val="0"/>
      <w:marBottom w:val="0"/>
      <w:divBdr>
        <w:top w:val="none" w:sz="0" w:space="0" w:color="auto"/>
        <w:left w:val="none" w:sz="0" w:space="0" w:color="auto"/>
        <w:bottom w:val="none" w:sz="0" w:space="0" w:color="auto"/>
        <w:right w:val="none" w:sz="0" w:space="0" w:color="auto"/>
      </w:divBdr>
    </w:div>
    <w:div w:id="1746953189">
      <w:bodyDiv w:val="1"/>
      <w:marLeft w:val="0"/>
      <w:marRight w:val="0"/>
      <w:marTop w:val="0"/>
      <w:marBottom w:val="0"/>
      <w:divBdr>
        <w:top w:val="none" w:sz="0" w:space="0" w:color="auto"/>
        <w:left w:val="none" w:sz="0" w:space="0" w:color="auto"/>
        <w:bottom w:val="none" w:sz="0" w:space="0" w:color="auto"/>
        <w:right w:val="none" w:sz="0" w:space="0" w:color="auto"/>
      </w:divBdr>
    </w:div>
    <w:div w:id="1747192039">
      <w:bodyDiv w:val="1"/>
      <w:marLeft w:val="0"/>
      <w:marRight w:val="0"/>
      <w:marTop w:val="0"/>
      <w:marBottom w:val="0"/>
      <w:divBdr>
        <w:top w:val="none" w:sz="0" w:space="0" w:color="auto"/>
        <w:left w:val="none" w:sz="0" w:space="0" w:color="auto"/>
        <w:bottom w:val="none" w:sz="0" w:space="0" w:color="auto"/>
        <w:right w:val="none" w:sz="0" w:space="0" w:color="auto"/>
      </w:divBdr>
    </w:div>
    <w:div w:id="1747259954">
      <w:bodyDiv w:val="1"/>
      <w:marLeft w:val="0"/>
      <w:marRight w:val="0"/>
      <w:marTop w:val="0"/>
      <w:marBottom w:val="0"/>
      <w:divBdr>
        <w:top w:val="none" w:sz="0" w:space="0" w:color="auto"/>
        <w:left w:val="none" w:sz="0" w:space="0" w:color="auto"/>
        <w:bottom w:val="none" w:sz="0" w:space="0" w:color="auto"/>
        <w:right w:val="none" w:sz="0" w:space="0" w:color="auto"/>
      </w:divBdr>
    </w:div>
    <w:div w:id="1747453340">
      <w:bodyDiv w:val="1"/>
      <w:marLeft w:val="0"/>
      <w:marRight w:val="0"/>
      <w:marTop w:val="0"/>
      <w:marBottom w:val="0"/>
      <w:divBdr>
        <w:top w:val="none" w:sz="0" w:space="0" w:color="auto"/>
        <w:left w:val="none" w:sz="0" w:space="0" w:color="auto"/>
        <w:bottom w:val="none" w:sz="0" w:space="0" w:color="auto"/>
        <w:right w:val="none" w:sz="0" w:space="0" w:color="auto"/>
      </w:divBdr>
    </w:div>
    <w:div w:id="1747528734">
      <w:bodyDiv w:val="1"/>
      <w:marLeft w:val="0"/>
      <w:marRight w:val="0"/>
      <w:marTop w:val="0"/>
      <w:marBottom w:val="0"/>
      <w:divBdr>
        <w:top w:val="none" w:sz="0" w:space="0" w:color="auto"/>
        <w:left w:val="none" w:sz="0" w:space="0" w:color="auto"/>
        <w:bottom w:val="none" w:sz="0" w:space="0" w:color="auto"/>
        <w:right w:val="none" w:sz="0" w:space="0" w:color="auto"/>
      </w:divBdr>
    </w:div>
    <w:div w:id="1748068465">
      <w:bodyDiv w:val="1"/>
      <w:marLeft w:val="0"/>
      <w:marRight w:val="0"/>
      <w:marTop w:val="0"/>
      <w:marBottom w:val="0"/>
      <w:divBdr>
        <w:top w:val="none" w:sz="0" w:space="0" w:color="auto"/>
        <w:left w:val="none" w:sz="0" w:space="0" w:color="auto"/>
        <w:bottom w:val="none" w:sz="0" w:space="0" w:color="auto"/>
        <w:right w:val="none" w:sz="0" w:space="0" w:color="auto"/>
      </w:divBdr>
    </w:div>
    <w:div w:id="1748379103">
      <w:bodyDiv w:val="1"/>
      <w:marLeft w:val="0"/>
      <w:marRight w:val="0"/>
      <w:marTop w:val="0"/>
      <w:marBottom w:val="0"/>
      <w:divBdr>
        <w:top w:val="none" w:sz="0" w:space="0" w:color="auto"/>
        <w:left w:val="none" w:sz="0" w:space="0" w:color="auto"/>
        <w:bottom w:val="none" w:sz="0" w:space="0" w:color="auto"/>
        <w:right w:val="none" w:sz="0" w:space="0" w:color="auto"/>
      </w:divBdr>
    </w:div>
    <w:div w:id="1748460562">
      <w:bodyDiv w:val="1"/>
      <w:marLeft w:val="0"/>
      <w:marRight w:val="0"/>
      <w:marTop w:val="0"/>
      <w:marBottom w:val="0"/>
      <w:divBdr>
        <w:top w:val="none" w:sz="0" w:space="0" w:color="auto"/>
        <w:left w:val="none" w:sz="0" w:space="0" w:color="auto"/>
        <w:bottom w:val="none" w:sz="0" w:space="0" w:color="auto"/>
        <w:right w:val="none" w:sz="0" w:space="0" w:color="auto"/>
      </w:divBdr>
    </w:div>
    <w:div w:id="1748963788">
      <w:bodyDiv w:val="1"/>
      <w:marLeft w:val="0"/>
      <w:marRight w:val="0"/>
      <w:marTop w:val="0"/>
      <w:marBottom w:val="0"/>
      <w:divBdr>
        <w:top w:val="none" w:sz="0" w:space="0" w:color="auto"/>
        <w:left w:val="none" w:sz="0" w:space="0" w:color="auto"/>
        <w:bottom w:val="none" w:sz="0" w:space="0" w:color="auto"/>
        <w:right w:val="none" w:sz="0" w:space="0" w:color="auto"/>
      </w:divBdr>
    </w:div>
    <w:div w:id="1749231738">
      <w:bodyDiv w:val="1"/>
      <w:marLeft w:val="0"/>
      <w:marRight w:val="0"/>
      <w:marTop w:val="0"/>
      <w:marBottom w:val="0"/>
      <w:divBdr>
        <w:top w:val="none" w:sz="0" w:space="0" w:color="auto"/>
        <w:left w:val="none" w:sz="0" w:space="0" w:color="auto"/>
        <w:bottom w:val="none" w:sz="0" w:space="0" w:color="auto"/>
        <w:right w:val="none" w:sz="0" w:space="0" w:color="auto"/>
      </w:divBdr>
    </w:div>
    <w:div w:id="1750040356">
      <w:bodyDiv w:val="1"/>
      <w:marLeft w:val="0"/>
      <w:marRight w:val="0"/>
      <w:marTop w:val="0"/>
      <w:marBottom w:val="0"/>
      <w:divBdr>
        <w:top w:val="none" w:sz="0" w:space="0" w:color="auto"/>
        <w:left w:val="none" w:sz="0" w:space="0" w:color="auto"/>
        <w:bottom w:val="none" w:sz="0" w:space="0" w:color="auto"/>
        <w:right w:val="none" w:sz="0" w:space="0" w:color="auto"/>
      </w:divBdr>
    </w:div>
    <w:div w:id="1750271153">
      <w:bodyDiv w:val="1"/>
      <w:marLeft w:val="0"/>
      <w:marRight w:val="0"/>
      <w:marTop w:val="0"/>
      <w:marBottom w:val="0"/>
      <w:divBdr>
        <w:top w:val="none" w:sz="0" w:space="0" w:color="auto"/>
        <w:left w:val="none" w:sz="0" w:space="0" w:color="auto"/>
        <w:bottom w:val="none" w:sz="0" w:space="0" w:color="auto"/>
        <w:right w:val="none" w:sz="0" w:space="0" w:color="auto"/>
      </w:divBdr>
    </w:div>
    <w:div w:id="1750618588">
      <w:bodyDiv w:val="1"/>
      <w:marLeft w:val="0"/>
      <w:marRight w:val="0"/>
      <w:marTop w:val="0"/>
      <w:marBottom w:val="0"/>
      <w:divBdr>
        <w:top w:val="none" w:sz="0" w:space="0" w:color="auto"/>
        <w:left w:val="none" w:sz="0" w:space="0" w:color="auto"/>
        <w:bottom w:val="none" w:sz="0" w:space="0" w:color="auto"/>
        <w:right w:val="none" w:sz="0" w:space="0" w:color="auto"/>
      </w:divBdr>
    </w:div>
    <w:div w:id="1751997353">
      <w:bodyDiv w:val="1"/>
      <w:marLeft w:val="0"/>
      <w:marRight w:val="0"/>
      <w:marTop w:val="0"/>
      <w:marBottom w:val="0"/>
      <w:divBdr>
        <w:top w:val="none" w:sz="0" w:space="0" w:color="auto"/>
        <w:left w:val="none" w:sz="0" w:space="0" w:color="auto"/>
        <w:bottom w:val="none" w:sz="0" w:space="0" w:color="auto"/>
        <w:right w:val="none" w:sz="0" w:space="0" w:color="auto"/>
      </w:divBdr>
    </w:div>
    <w:div w:id="1752848425">
      <w:bodyDiv w:val="1"/>
      <w:marLeft w:val="0"/>
      <w:marRight w:val="0"/>
      <w:marTop w:val="0"/>
      <w:marBottom w:val="0"/>
      <w:divBdr>
        <w:top w:val="none" w:sz="0" w:space="0" w:color="auto"/>
        <w:left w:val="none" w:sz="0" w:space="0" w:color="auto"/>
        <w:bottom w:val="none" w:sz="0" w:space="0" w:color="auto"/>
        <w:right w:val="none" w:sz="0" w:space="0" w:color="auto"/>
      </w:divBdr>
    </w:div>
    <w:div w:id="1752892073">
      <w:bodyDiv w:val="1"/>
      <w:marLeft w:val="0"/>
      <w:marRight w:val="0"/>
      <w:marTop w:val="0"/>
      <w:marBottom w:val="0"/>
      <w:divBdr>
        <w:top w:val="none" w:sz="0" w:space="0" w:color="auto"/>
        <w:left w:val="none" w:sz="0" w:space="0" w:color="auto"/>
        <w:bottom w:val="none" w:sz="0" w:space="0" w:color="auto"/>
        <w:right w:val="none" w:sz="0" w:space="0" w:color="auto"/>
      </w:divBdr>
    </w:div>
    <w:div w:id="1753165514">
      <w:bodyDiv w:val="1"/>
      <w:marLeft w:val="0"/>
      <w:marRight w:val="0"/>
      <w:marTop w:val="0"/>
      <w:marBottom w:val="0"/>
      <w:divBdr>
        <w:top w:val="none" w:sz="0" w:space="0" w:color="auto"/>
        <w:left w:val="none" w:sz="0" w:space="0" w:color="auto"/>
        <w:bottom w:val="none" w:sz="0" w:space="0" w:color="auto"/>
        <w:right w:val="none" w:sz="0" w:space="0" w:color="auto"/>
      </w:divBdr>
    </w:div>
    <w:div w:id="1753308382">
      <w:bodyDiv w:val="1"/>
      <w:marLeft w:val="0"/>
      <w:marRight w:val="0"/>
      <w:marTop w:val="0"/>
      <w:marBottom w:val="0"/>
      <w:divBdr>
        <w:top w:val="none" w:sz="0" w:space="0" w:color="auto"/>
        <w:left w:val="none" w:sz="0" w:space="0" w:color="auto"/>
        <w:bottom w:val="none" w:sz="0" w:space="0" w:color="auto"/>
        <w:right w:val="none" w:sz="0" w:space="0" w:color="auto"/>
      </w:divBdr>
    </w:div>
    <w:div w:id="1753426098">
      <w:bodyDiv w:val="1"/>
      <w:marLeft w:val="0"/>
      <w:marRight w:val="0"/>
      <w:marTop w:val="0"/>
      <w:marBottom w:val="0"/>
      <w:divBdr>
        <w:top w:val="none" w:sz="0" w:space="0" w:color="auto"/>
        <w:left w:val="none" w:sz="0" w:space="0" w:color="auto"/>
        <w:bottom w:val="none" w:sz="0" w:space="0" w:color="auto"/>
        <w:right w:val="none" w:sz="0" w:space="0" w:color="auto"/>
      </w:divBdr>
    </w:div>
    <w:div w:id="1753432211">
      <w:bodyDiv w:val="1"/>
      <w:marLeft w:val="0"/>
      <w:marRight w:val="0"/>
      <w:marTop w:val="0"/>
      <w:marBottom w:val="0"/>
      <w:divBdr>
        <w:top w:val="none" w:sz="0" w:space="0" w:color="auto"/>
        <w:left w:val="none" w:sz="0" w:space="0" w:color="auto"/>
        <w:bottom w:val="none" w:sz="0" w:space="0" w:color="auto"/>
        <w:right w:val="none" w:sz="0" w:space="0" w:color="auto"/>
      </w:divBdr>
    </w:div>
    <w:div w:id="1753694495">
      <w:bodyDiv w:val="1"/>
      <w:marLeft w:val="0"/>
      <w:marRight w:val="0"/>
      <w:marTop w:val="0"/>
      <w:marBottom w:val="0"/>
      <w:divBdr>
        <w:top w:val="none" w:sz="0" w:space="0" w:color="auto"/>
        <w:left w:val="none" w:sz="0" w:space="0" w:color="auto"/>
        <w:bottom w:val="none" w:sz="0" w:space="0" w:color="auto"/>
        <w:right w:val="none" w:sz="0" w:space="0" w:color="auto"/>
      </w:divBdr>
    </w:div>
    <w:div w:id="1753813669">
      <w:bodyDiv w:val="1"/>
      <w:marLeft w:val="0"/>
      <w:marRight w:val="0"/>
      <w:marTop w:val="0"/>
      <w:marBottom w:val="0"/>
      <w:divBdr>
        <w:top w:val="none" w:sz="0" w:space="0" w:color="auto"/>
        <w:left w:val="none" w:sz="0" w:space="0" w:color="auto"/>
        <w:bottom w:val="none" w:sz="0" w:space="0" w:color="auto"/>
        <w:right w:val="none" w:sz="0" w:space="0" w:color="auto"/>
      </w:divBdr>
    </w:div>
    <w:div w:id="1753815662">
      <w:bodyDiv w:val="1"/>
      <w:marLeft w:val="0"/>
      <w:marRight w:val="0"/>
      <w:marTop w:val="0"/>
      <w:marBottom w:val="0"/>
      <w:divBdr>
        <w:top w:val="none" w:sz="0" w:space="0" w:color="auto"/>
        <w:left w:val="none" w:sz="0" w:space="0" w:color="auto"/>
        <w:bottom w:val="none" w:sz="0" w:space="0" w:color="auto"/>
        <w:right w:val="none" w:sz="0" w:space="0" w:color="auto"/>
      </w:divBdr>
    </w:div>
    <w:div w:id="1753962769">
      <w:bodyDiv w:val="1"/>
      <w:marLeft w:val="0"/>
      <w:marRight w:val="0"/>
      <w:marTop w:val="0"/>
      <w:marBottom w:val="0"/>
      <w:divBdr>
        <w:top w:val="none" w:sz="0" w:space="0" w:color="auto"/>
        <w:left w:val="none" w:sz="0" w:space="0" w:color="auto"/>
        <w:bottom w:val="none" w:sz="0" w:space="0" w:color="auto"/>
        <w:right w:val="none" w:sz="0" w:space="0" w:color="auto"/>
      </w:divBdr>
    </w:div>
    <w:div w:id="1754164006">
      <w:bodyDiv w:val="1"/>
      <w:marLeft w:val="0"/>
      <w:marRight w:val="0"/>
      <w:marTop w:val="0"/>
      <w:marBottom w:val="0"/>
      <w:divBdr>
        <w:top w:val="none" w:sz="0" w:space="0" w:color="auto"/>
        <w:left w:val="none" w:sz="0" w:space="0" w:color="auto"/>
        <w:bottom w:val="none" w:sz="0" w:space="0" w:color="auto"/>
        <w:right w:val="none" w:sz="0" w:space="0" w:color="auto"/>
      </w:divBdr>
    </w:div>
    <w:div w:id="1754472778">
      <w:bodyDiv w:val="1"/>
      <w:marLeft w:val="0"/>
      <w:marRight w:val="0"/>
      <w:marTop w:val="0"/>
      <w:marBottom w:val="0"/>
      <w:divBdr>
        <w:top w:val="none" w:sz="0" w:space="0" w:color="auto"/>
        <w:left w:val="none" w:sz="0" w:space="0" w:color="auto"/>
        <w:bottom w:val="none" w:sz="0" w:space="0" w:color="auto"/>
        <w:right w:val="none" w:sz="0" w:space="0" w:color="auto"/>
      </w:divBdr>
    </w:div>
    <w:div w:id="1754668859">
      <w:bodyDiv w:val="1"/>
      <w:marLeft w:val="0"/>
      <w:marRight w:val="0"/>
      <w:marTop w:val="0"/>
      <w:marBottom w:val="0"/>
      <w:divBdr>
        <w:top w:val="none" w:sz="0" w:space="0" w:color="auto"/>
        <w:left w:val="none" w:sz="0" w:space="0" w:color="auto"/>
        <w:bottom w:val="none" w:sz="0" w:space="0" w:color="auto"/>
        <w:right w:val="none" w:sz="0" w:space="0" w:color="auto"/>
      </w:divBdr>
    </w:div>
    <w:div w:id="1755200788">
      <w:bodyDiv w:val="1"/>
      <w:marLeft w:val="0"/>
      <w:marRight w:val="0"/>
      <w:marTop w:val="0"/>
      <w:marBottom w:val="0"/>
      <w:divBdr>
        <w:top w:val="none" w:sz="0" w:space="0" w:color="auto"/>
        <w:left w:val="none" w:sz="0" w:space="0" w:color="auto"/>
        <w:bottom w:val="none" w:sz="0" w:space="0" w:color="auto"/>
        <w:right w:val="none" w:sz="0" w:space="0" w:color="auto"/>
      </w:divBdr>
    </w:div>
    <w:div w:id="1755859602">
      <w:bodyDiv w:val="1"/>
      <w:marLeft w:val="0"/>
      <w:marRight w:val="0"/>
      <w:marTop w:val="0"/>
      <w:marBottom w:val="0"/>
      <w:divBdr>
        <w:top w:val="none" w:sz="0" w:space="0" w:color="auto"/>
        <w:left w:val="none" w:sz="0" w:space="0" w:color="auto"/>
        <w:bottom w:val="none" w:sz="0" w:space="0" w:color="auto"/>
        <w:right w:val="none" w:sz="0" w:space="0" w:color="auto"/>
      </w:divBdr>
    </w:div>
    <w:div w:id="1756827582">
      <w:bodyDiv w:val="1"/>
      <w:marLeft w:val="0"/>
      <w:marRight w:val="0"/>
      <w:marTop w:val="0"/>
      <w:marBottom w:val="0"/>
      <w:divBdr>
        <w:top w:val="none" w:sz="0" w:space="0" w:color="auto"/>
        <w:left w:val="none" w:sz="0" w:space="0" w:color="auto"/>
        <w:bottom w:val="none" w:sz="0" w:space="0" w:color="auto"/>
        <w:right w:val="none" w:sz="0" w:space="0" w:color="auto"/>
      </w:divBdr>
    </w:div>
    <w:div w:id="1757045301">
      <w:bodyDiv w:val="1"/>
      <w:marLeft w:val="0"/>
      <w:marRight w:val="0"/>
      <w:marTop w:val="0"/>
      <w:marBottom w:val="0"/>
      <w:divBdr>
        <w:top w:val="none" w:sz="0" w:space="0" w:color="auto"/>
        <w:left w:val="none" w:sz="0" w:space="0" w:color="auto"/>
        <w:bottom w:val="none" w:sz="0" w:space="0" w:color="auto"/>
        <w:right w:val="none" w:sz="0" w:space="0" w:color="auto"/>
      </w:divBdr>
    </w:div>
    <w:div w:id="1757360271">
      <w:bodyDiv w:val="1"/>
      <w:marLeft w:val="0"/>
      <w:marRight w:val="0"/>
      <w:marTop w:val="0"/>
      <w:marBottom w:val="0"/>
      <w:divBdr>
        <w:top w:val="none" w:sz="0" w:space="0" w:color="auto"/>
        <w:left w:val="none" w:sz="0" w:space="0" w:color="auto"/>
        <w:bottom w:val="none" w:sz="0" w:space="0" w:color="auto"/>
        <w:right w:val="none" w:sz="0" w:space="0" w:color="auto"/>
      </w:divBdr>
    </w:div>
    <w:div w:id="1757631080">
      <w:bodyDiv w:val="1"/>
      <w:marLeft w:val="0"/>
      <w:marRight w:val="0"/>
      <w:marTop w:val="0"/>
      <w:marBottom w:val="0"/>
      <w:divBdr>
        <w:top w:val="none" w:sz="0" w:space="0" w:color="auto"/>
        <w:left w:val="none" w:sz="0" w:space="0" w:color="auto"/>
        <w:bottom w:val="none" w:sz="0" w:space="0" w:color="auto"/>
        <w:right w:val="none" w:sz="0" w:space="0" w:color="auto"/>
      </w:divBdr>
    </w:div>
    <w:div w:id="1758746290">
      <w:bodyDiv w:val="1"/>
      <w:marLeft w:val="0"/>
      <w:marRight w:val="0"/>
      <w:marTop w:val="0"/>
      <w:marBottom w:val="0"/>
      <w:divBdr>
        <w:top w:val="none" w:sz="0" w:space="0" w:color="auto"/>
        <w:left w:val="none" w:sz="0" w:space="0" w:color="auto"/>
        <w:bottom w:val="none" w:sz="0" w:space="0" w:color="auto"/>
        <w:right w:val="none" w:sz="0" w:space="0" w:color="auto"/>
      </w:divBdr>
    </w:div>
    <w:div w:id="1759137714">
      <w:bodyDiv w:val="1"/>
      <w:marLeft w:val="0"/>
      <w:marRight w:val="0"/>
      <w:marTop w:val="0"/>
      <w:marBottom w:val="0"/>
      <w:divBdr>
        <w:top w:val="none" w:sz="0" w:space="0" w:color="auto"/>
        <w:left w:val="none" w:sz="0" w:space="0" w:color="auto"/>
        <w:bottom w:val="none" w:sz="0" w:space="0" w:color="auto"/>
        <w:right w:val="none" w:sz="0" w:space="0" w:color="auto"/>
      </w:divBdr>
    </w:div>
    <w:div w:id="1759475693">
      <w:bodyDiv w:val="1"/>
      <w:marLeft w:val="0"/>
      <w:marRight w:val="0"/>
      <w:marTop w:val="0"/>
      <w:marBottom w:val="0"/>
      <w:divBdr>
        <w:top w:val="none" w:sz="0" w:space="0" w:color="auto"/>
        <w:left w:val="none" w:sz="0" w:space="0" w:color="auto"/>
        <w:bottom w:val="none" w:sz="0" w:space="0" w:color="auto"/>
        <w:right w:val="none" w:sz="0" w:space="0" w:color="auto"/>
      </w:divBdr>
    </w:div>
    <w:div w:id="1759667498">
      <w:bodyDiv w:val="1"/>
      <w:marLeft w:val="0"/>
      <w:marRight w:val="0"/>
      <w:marTop w:val="0"/>
      <w:marBottom w:val="0"/>
      <w:divBdr>
        <w:top w:val="none" w:sz="0" w:space="0" w:color="auto"/>
        <w:left w:val="none" w:sz="0" w:space="0" w:color="auto"/>
        <w:bottom w:val="none" w:sz="0" w:space="0" w:color="auto"/>
        <w:right w:val="none" w:sz="0" w:space="0" w:color="auto"/>
      </w:divBdr>
    </w:div>
    <w:div w:id="1760712017">
      <w:bodyDiv w:val="1"/>
      <w:marLeft w:val="0"/>
      <w:marRight w:val="0"/>
      <w:marTop w:val="0"/>
      <w:marBottom w:val="0"/>
      <w:divBdr>
        <w:top w:val="none" w:sz="0" w:space="0" w:color="auto"/>
        <w:left w:val="none" w:sz="0" w:space="0" w:color="auto"/>
        <w:bottom w:val="none" w:sz="0" w:space="0" w:color="auto"/>
        <w:right w:val="none" w:sz="0" w:space="0" w:color="auto"/>
      </w:divBdr>
    </w:div>
    <w:div w:id="1761022685">
      <w:bodyDiv w:val="1"/>
      <w:marLeft w:val="0"/>
      <w:marRight w:val="0"/>
      <w:marTop w:val="0"/>
      <w:marBottom w:val="0"/>
      <w:divBdr>
        <w:top w:val="none" w:sz="0" w:space="0" w:color="auto"/>
        <w:left w:val="none" w:sz="0" w:space="0" w:color="auto"/>
        <w:bottom w:val="none" w:sz="0" w:space="0" w:color="auto"/>
        <w:right w:val="none" w:sz="0" w:space="0" w:color="auto"/>
      </w:divBdr>
    </w:div>
    <w:div w:id="1761750824">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62290451">
      <w:bodyDiv w:val="1"/>
      <w:marLeft w:val="0"/>
      <w:marRight w:val="0"/>
      <w:marTop w:val="0"/>
      <w:marBottom w:val="0"/>
      <w:divBdr>
        <w:top w:val="none" w:sz="0" w:space="0" w:color="auto"/>
        <w:left w:val="none" w:sz="0" w:space="0" w:color="auto"/>
        <w:bottom w:val="none" w:sz="0" w:space="0" w:color="auto"/>
        <w:right w:val="none" w:sz="0" w:space="0" w:color="auto"/>
      </w:divBdr>
    </w:div>
    <w:div w:id="1762487543">
      <w:bodyDiv w:val="1"/>
      <w:marLeft w:val="0"/>
      <w:marRight w:val="0"/>
      <w:marTop w:val="0"/>
      <w:marBottom w:val="0"/>
      <w:divBdr>
        <w:top w:val="none" w:sz="0" w:space="0" w:color="auto"/>
        <w:left w:val="none" w:sz="0" w:space="0" w:color="auto"/>
        <w:bottom w:val="none" w:sz="0" w:space="0" w:color="auto"/>
        <w:right w:val="none" w:sz="0" w:space="0" w:color="auto"/>
      </w:divBdr>
    </w:div>
    <w:div w:id="1762527239">
      <w:bodyDiv w:val="1"/>
      <w:marLeft w:val="0"/>
      <w:marRight w:val="0"/>
      <w:marTop w:val="0"/>
      <w:marBottom w:val="0"/>
      <w:divBdr>
        <w:top w:val="none" w:sz="0" w:space="0" w:color="auto"/>
        <w:left w:val="none" w:sz="0" w:space="0" w:color="auto"/>
        <w:bottom w:val="none" w:sz="0" w:space="0" w:color="auto"/>
        <w:right w:val="none" w:sz="0" w:space="0" w:color="auto"/>
      </w:divBdr>
    </w:div>
    <w:div w:id="1763333422">
      <w:bodyDiv w:val="1"/>
      <w:marLeft w:val="0"/>
      <w:marRight w:val="0"/>
      <w:marTop w:val="0"/>
      <w:marBottom w:val="0"/>
      <w:divBdr>
        <w:top w:val="none" w:sz="0" w:space="0" w:color="auto"/>
        <w:left w:val="none" w:sz="0" w:space="0" w:color="auto"/>
        <w:bottom w:val="none" w:sz="0" w:space="0" w:color="auto"/>
        <w:right w:val="none" w:sz="0" w:space="0" w:color="auto"/>
      </w:divBdr>
    </w:div>
    <w:div w:id="1763452715">
      <w:bodyDiv w:val="1"/>
      <w:marLeft w:val="0"/>
      <w:marRight w:val="0"/>
      <w:marTop w:val="0"/>
      <w:marBottom w:val="0"/>
      <w:divBdr>
        <w:top w:val="none" w:sz="0" w:space="0" w:color="auto"/>
        <w:left w:val="none" w:sz="0" w:space="0" w:color="auto"/>
        <w:bottom w:val="none" w:sz="0" w:space="0" w:color="auto"/>
        <w:right w:val="none" w:sz="0" w:space="0" w:color="auto"/>
      </w:divBdr>
    </w:div>
    <w:div w:id="1763867734">
      <w:bodyDiv w:val="1"/>
      <w:marLeft w:val="0"/>
      <w:marRight w:val="0"/>
      <w:marTop w:val="0"/>
      <w:marBottom w:val="0"/>
      <w:divBdr>
        <w:top w:val="none" w:sz="0" w:space="0" w:color="auto"/>
        <w:left w:val="none" w:sz="0" w:space="0" w:color="auto"/>
        <w:bottom w:val="none" w:sz="0" w:space="0" w:color="auto"/>
        <w:right w:val="none" w:sz="0" w:space="0" w:color="auto"/>
      </w:divBdr>
    </w:div>
    <w:div w:id="1763916645">
      <w:bodyDiv w:val="1"/>
      <w:marLeft w:val="0"/>
      <w:marRight w:val="0"/>
      <w:marTop w:val="0"/>
      <w:marBottom w:val="0"/>
      <w:divBdr>
        <w:top w:val="none" w:sz="0" w:space="0" w:color="auto"/>
        <w:left w:val="none" w:sz="0" w:space="0" w:color="auto"/>
        <w:bottom w:val="none" w:sz="0" w:space="0" w:color="auto"/>
        <w:right w:val="none" w:sz="0" w:space="0" w:color="auto"/>
      </w:divBdr>
    </w:div>
    <w:div w:id="1763986115">
      <w:bodyDiv w:val="1"/>
      <w:marLeft w:val="0"/>
      <w:marRight w:val="0"/>
      <w:marTop w:val="0"/>
      <w:marBottom w:val="0"/>
      <w:divBdr>
        <w:top w:val="none" w:sz="0" w:space="0" w:color="auto"/>
        <w:left w:val="none" w:sz="0" w:space="0" w:color="auto"/>
        <w:bottom w:val="none" w:sz="0" w:space="0" w:color="auto"/>
        <w:right w:val="none" w:sz="0" w:space="0" w:color="auto"/>
      </w:divBdr>
    </w:div>
    <w:div w:id="1763991797">
      <w:bodyDiv w:val="1"/>
      <w:marLeft w:val="0"/>
      <w:marRight w:val="0"/>
      <w:marTop w:val="0"/>
      <w:marBottom w:val="0"/>
      <w:divBdr>
        <w:top w:val="none" w:sz="0" w:space="0" w:color="auto"/>
        <w:left w:val="none" w:sz="0" w:space="0" w:color="auto"/>
        <w:bottom w:val="none" w:sz="0" w:space="0" w:color="auto"/>
        <w:right w:val="none" w:sz="0" w:space="0" w:color="auto"/>
      </w:divBdr>
    </w:div>
    <w:div w:id="1764689559">
      <w:bodyDiv w:val="1"/>
      <w:marLeft w:val="0"/>
      <w:marRight w:val="0"/>
      <w:marTop w:val="0"/>
      <w:marBottom w:val="0"/>
      <w:divBdr>
        <w:top w:val="none" w:sz="0" w:space="0" w:color="auto"/>
        <w:left w:val="none" w:sz="0" w:space="0" w:color="auto"/>
        <w:bottom w:val="none" w:sz="0" w:space="0" w:color="auto"/>
        <w:right w:val="none" w:sz="0" w:space="0" w:color="auto"/>
      </w:divBdr>
    </w:div>
    <w:div w:id="1765415330">
      <w:bodyDiv w:val="1"/>
      <w:marLeft w:val="0"/>
      <w:marRight w:val="0"/>
      <w:marTop w:val="0"/>
      <w:marBottom w:val="0"/>
      <w:divBdr>
        <w:top w:val="none" w:sz="0" w:space="0" w:color="auto"/>
        <w:left w:val="none" w:sz="0" w:space="0" w:color="auto"/>
        <w:bottom w:val="none" w:sz="0" w:space="0" w:color="auto"/>
        <w:right w:val="none" w:sz="0" w:space="0" w:color="auto"/>
      </w:divBdr>
    </w:div>
    <w:div w:id="1765808124">
      <w:bodyDiv w:val="1"/>
      <w:marLeft w:val="0"/>
      <w:marRight w:val="0"/>
      <w:marTop w:val="0"/>
      <w:marBottom w:val="0"/>
      <w:divBdr>
        <w:top w:val="none" w:sz="0" w:space="0" w:color="auto"/>
        <w:left w:val="none" w:sz="0" w:space="0" w:color="auto"/>
        <w:bottom w:val="none" w:sz="0" w:space="0" w:color="auto"/>
        <w:right w:val="none" w:sz="0" w:space="0" w:color="auto"/>
      </w:divBdr>
    </w:div>
    <w:div w:id="1765952330">
      <w:bodyDiv w:val="1"/>
      <w:marLeft w:val="0"/>
      <w:marRight w:val="0"/>
      <w:marTop w:val="0"/>
      <w:marBottom w:val="0"/>
      <w:divBdr>
        <w:top w:val="none" w:sz="0" w:space="0" w:color="auto"/>
        <w:left w:val="none" w:sz="0" w:space="0" w:color="auto"/>
        <w:bottom w:val="none" w:sz="0" w:space="0" w:color="auto"/>
        <w:right w:val="none" w:sz="0" w:space="0" w:color="auto"/>
      </w:divBdr>
    </w:div>
    <w:div w:id="1766227147">
      <w:bodyDiv w:val="1"/>
      <w:marLeft w:val="0"/>
      <w:marRight w:val="0"/>
      <w:marTop w:val="0"/>
      <w:marBottom w:val="0"/>
      <w:divBdr>
        <w:top w:val="none" w:sz="0" w:space="0" w:color="auto"/>
        <w:left w:val="none" w:sz="0" w:space="0" w:color="auto"/>
        <w:bottom w:val="none" w:sz="0" w:space="0" w:color="auto"/>
        <w:right w:val="none" w:sz="0" w:space="0" w:color="auto"/>
      </w:divBdr>
    </w:div>
    <w:div w:id="1766612067">
      <w:bodyDiv w:val="1"/>
      <w:marLeft w:val="0"/>
      <w:marRight w:val="0"/>
      <w:marTop w:val="0"/>
      <w:marBottom w:val="0"/>
      <w:divBdr>
        <w:top w:val="none" w:sz="0" w:space="0" w:color="auto"/>
        <w:left w:val="none" w:sz="0" w:space="0" w:color="auto"/>
        <w:bottom w:val="none" w:sz="0" w:space="0" w:color="auto"/>
        <w:right w:val="none" w:sz="0" w:space="0" w:color="auto"/>
      </w:divBdr>
    </w:div>
    <w:div w:id="1766800907">
      <w:bodyDiv w:val="1"/>
      <w:marLeft w:val="0"/>
      <w:marRight w:val="0"/>
      <w:marTop w:val="0"/>
      <w:marBottom w:val="0"/>
      <w:divBdr>
        <w:top w:val="none" w:sz="0" w:space="0" w:color="auto"/>
        <w:left w:val="none" w:sz="0" w:space="0" w:color="auto"/>
        <w:bottom w:val="none" w:sz="0" w:space="0" w:color="auto"/>
        <w:right w:val="none" w:sz="0" w:space="0" w:color="auto"/>
      </w:divBdr>
    </w:div>
    <w:div w:id="1766880915">
      <w:bodyDiv w:val="1"/>
      <w:marLeft w:val="0"/>
      <w:marRight w:val="0"/>
      <w:marTop w:val="0"/>
      <w:marBottom w:val="0"/>
      <w:divBdr>
        <w:top w:val="none" w:sz="0" w:space="0" w:color="auto"/>
        <w:left w:val="none" w:sz="0" w:space="0" w:color="auto"/>
        <w:bottom w:val="none" w:sz="0" w:space="0" w:color="auto"/>
        <w:right w:val="none" w:sz="0" w:space="0" w:color="auto"/>
      </w:divBdr>
    </w:div>
    <w:div w:id="1766882605">
      <w:bodyDiv w:val="1"/>
      <w:marLeft w:val="0"/>
      <w:marRight w:val="0"/>
      <w:marTop w:val="0"/>
      <w:marBottom w:val="0"/>
      <w:divBdr>
        <w:top w:val="none" w:sz="0" w:space="0" w:color="auto"/>
        <w:left w:val="none" w:sz="0" w:space="0" w:color="auto"/>
        <w:bottom w:val="none" w:sz="0" w:space="0" w:color="auto"/>
        <w:right w:val="none" w:sz="0" w:space="0" w:color="auto"/>
      </w:divBdr>
    </w:div>
    <w:div w:id="1766920261">
      <w:bodyDiv w:val="1"/>
      <w:marLeft w:val="0"/>
      <w:marRight w:val="0"/>
      <w:marTop w:val="0"/>
      <w:marBottom w:val="0"/>
      <w:divBdr>
        <w:top w:val="none" w:sz="0" w:space="0" w:color="auto"/>
        <w:left w:val="none" w:sz="0" w:space="0" w:color="auto"/>
        <w:bottom w:val="none" w:sz="0" w:space="0" w:color="auto"/>
        <w:right w:val="none" w:sz="0" w:space="0" w:color="auto"/>
      </w:divBdr>
    </w:div>
    <w:div w:id="1767069001">
      <w:bodyDiv w:val="1"/>
      <w:marLeft w:val="0"/>
      <w:marRight w:val="0"/>
      <w:marTop w:val="0"/>
      <w:marBottom w:val="0"/>
      <w:divBdr>
        <w:top w:val="none" w:sz="0" w:space="0" w:color="auto"/>
        <w:left w:val="none" w:sz="0" w:space="0" w:color="auto"/>
        <w:bottom w:val="none" w:sz="0" w:space="0" w:color="auto"/>
        <w:right w:val="none" w:sz="0" w:space="0" w:color="auto"/>
      </w:divBdr>
    </w:div>
    <w:div w:id="1767118522">
      <w:bodyDiv w:val="1"/>
      <w:marLeft w:val="0"/>
      <w:marRight w:val="0"/>
      <w:marTop w:val="0"/>
      <w:marBottom w:val="0"/>
      <w:divBdr>
        <w:top w:val="none" w:sz="0" w:space="0" w:color="auto"/>
        <w:left w:val="none" w:sz="0" w:space="0" w:color="auto"/>
        <w:bottom w:val="none" w:sz="0" w:space="0" w:color="auto"/>
        <w:right w:val="none" w:sz="0" w:space="0" w:color="auto"/>
      </w:divBdr>
    </w:div>
    <w:div w:id="1767384093">
      <w:bodyDiv w:val="1"/>
      <w:marLeft w:val="0"/>
      <w:marRight w:val="0"/>
      <w:marTop w:val="0"/>
      <w:marBottom w:val="0"/>
      <w:divBdr>
        <w:top w:val="none" w:sz="0" w:space="0" w:color="auto"/>
        <w:left w:val="none" w:sz="0" w:space="0" w:color="auto"/>
        <w:bottom w:val="none" w:sz="0" w:space="0" w:color="auto"/>
        <w:right w:val="none" w:sz="0" w:space="0" w:color="auto"/>
      </w:divBdr>
    </w:div>
    <w:div w:id="1767648409">
      <w:bodyDiv w:val="1"/>
      <w:marLeft w:val="0"/>
      <w:marRight w:val="0"/>
      <w:marTop w:val="0"/>
      <w:marBottom w:val="0"/>
      <w:divBdr>
        <w:top w:val="none" w:sz="0" w:space="0" w:color="auto"/>
        <w:left w:val="none" w:sz="0" w:space="0" w:color="auto"/>
        <w:bottom w:val="none" w:sz="0" w:space="0" w:color="auto"/>
        <w:right w:val="none" w:sz="0" w:space="0" w:color="auto"/>
      </w:divBdr>
    </w:div>
    <w:div w:id="1767727866">
      <w:bodyDiv w:val="1"/>
      <w:marLeft w:val="0"/>
      <w:marRight w:val="0"/>
      <w:marTop w:val="0"/>
      <w:marBottom w:val="0"/>
      <w:divBdr>
        <w:top w:val="none" w:sz="0" w:space="0" w:color="auto"/>
        <w:left w:val="none" w:sz="0" w:space="0" w:color="auto"/>
        <w:bottom w:val="none" w:sz="0" w:space="0" w:color="auto"/>
        <w:right w:val="none" w:sz="0" w:space="0" w:color="auto"/>
      </w:divBdr>
    </w:div>
    <w:div w:id="1767966456">
      <w:bodyDiv w:val="1"/>
      <w:marLeft w:val="0"/>
      <w:marRight w:val="0"/>
      <w:marTop w:val="0"/>
      <w:marBottom w:val="0"/>
      <w:divBdr>
        <w:top w:val="none" w:sz="0" w:space="0" w:color="auto"/>
        <w:left w:val="none" w:sz="0" w:space="0" w:color="auto"/>
        <w:bottom w:val="none" w:sz="0" w:space="0" w:color="auto"/>
        <w:right w:val="none" w:sz="0" w:space="0" w:color="auto"/>
      </w:divBdr>
    </w:div>
    <w:div w:id="1768035373">
      <w:bodyDiv w:val="1"/>
      <w:marLeft w:val="0"/>
      <w:marRight w:val="0"/>
      <w:marTop w:val="0"/>
      <w:marBottom w:val="0"/>
      <w:divBdr>
        <w:top w:val="none" w:sz="0" w:space="0" w:color="auto"/>
        <w:left w:val="none" w:sz="0" w:space="0" w:color="auto"/>
        <w:bottom w:val="none" w:sz="0" w:space="0" w:color="auto"/>
        <w:right w:val="none" w:sz="0" w:space="0" w:color="auto"/>
      </w:divBdr>
    </w:div>
    <w:div w:id="1768193556">
      <w:bodyDiv w:val="1"/>
      <w:marLeft w:val="0"/>
      <w:marRight w:val="0"/>
      <w:marTop w:val="0"/>
      <w:marBottom w:val="0"/>
      <w:divBdr>
        <w:top w:val="none" w:sz="0" w:space="0" w:color="auto"/>
        <w:left w:val="none" w:sz="0" w:space="0" w:color="auto"/>
        <w:bottom w:val="none" w:sz="0" w:space="0" w:color="auto"/>
        <w:right w:val="none" w:sz="0" w:space="0" w:color="auto"/>
      </w:divBdr>
    </w:div>
    <w:div w:id="1768579911">
      <w:bodyDiv w:val="1"/>
      <w:marLeft w:val="0"/>
      <w:marRight w:val="0"/>
      <w:marTop w:val="0"/>
      <w:marBottom w:val="0"/>
      <w:divBdr>
        <w:top w:val="none" w:sz="0" w:space="0" w:color="auto"/>
        <w:left w:val="none" w:sz="0" w:space="0" w:color="auto"/>
        <w:bottom w:val="none" w:sz="0" w:space="0" w:color="auto"/>
        <w:right w:val="none" w:sz="0" w:space="0" w:color="auto"/>
      </w:divBdr>
    </w:div>
    <w:div w:id="1768580154">
      <w:bodyDiv w:val="1"/>
      <w:marLeft w:val="0"/>
      <w:marRight w:val="0"/>
      <w:marTop w:val="0"/>
      <w:marBottom w:val="0"/>
      <w:divBdr>
        <w:top w:val="none" w:sz="0" w:space="0" w:color="auto"/>
        <w:left w:val="none" w:sz="0" w:space="0" w:color="auto"/>
        <w:bottom w:val="none" w:sz="0" w:space="0" w:color="auto"/>
        <w:right w:val="none" w:sz="0" w:space="0" w:color="auto"/>
      </w:divBdr>
    </w:div>
    <w:div w:id="1768695005">
      <w:bodyDiv w:val="1"/>
      <w:marLeft w:val="0"/>
      <w:marRight w:val="0"/>
      <w:marTop w:val="0"/>
      <w:marBottom w:val="0"/>
      <w:divBdr>
        <w:top w:val="none" w:sz="0" w:space="0" w:color="auto"/>
        <w:left w:val="none" w:sz="0" w:space="0" w:color="auto"/>
        <w:bottom w:val="none" w:sz="0" w:space="0" w:color="auto"/>
        <w:right w:val="none" w:sz="0" w:space="0" w:color="auto"/>
      </w:divBdr>
    </w:div>
    <w:div w:id="1768774236">
      <w:bodyDiv w:val="1"/>
      <w:marLeft w:val="0"/>
      <w:marRight w:val="0"/>
      <w:marTop w:val="0"/>
      <w:marBottom w:val="0"/>
      <w:divBdr>
        <w:top w:val="none" w:sz="0" w:space="0" w:color="auto"/>
        <w:left w:val="none" w:sz="0" w:space="0" w:color="auto"/>
        <w:bottom w:val="none" w:sz="0" w:space="0" w:color="auto"/>
        <w:right w:val="none" w:sz="0" w:space="0" w:color="auto"/>
      </w:divBdr>
    </w:div>
    <w:div w:id="1769615190">
      <w:bodyDiv w:val="1"/>
      <w:marLeft w:val="0"/>
      <w:marRight w:val="0"/>
      <w:marTop w:val="0"/>
      <w:marBottom w:val="0"/>
      <w:divBdr>
        <w:top w:val="none" w:sz="0" w:space="0" w:color="auto"/>
        <w:left w:val="none" w:sz="0" w:space="0" w:color="auto"/>
        <w:bottom w:val="none" w:sz="0" w:space="0" w:color="auto"/>
        <w:right w:val="none" w:sz="0" w:space="0" w:color="auto"/>
      </w:divBdr>
    </w:div>
    <w:div w:id="1769622770">
      <w:bodyDiv w:val="1"/>
      <w:marLeft w:val="0"/>
      <w:marRight w:val="0"/>
      <w:marTop w:val="0"/>
      <w:marBottom w:val="0"/>
      <w:divBdr>
        <w:top w:val="none" w:sz="0" w:space="0" w:color="auto"/>
        <w:left w:val="none" w:sz="0" w:space="0" w:color="auto"/>
        <w:bottom w:val="none" w:sz="0" w:space="0" w:color="auto"/>
        <w:right w:val="none" w:sz="0" w:space="0" w:color="auto"/>
      </w:divBdr>
    </w:div>
    <w:div w:id="1769737753">
      <w:bodyDiv w:val="1"/>
      <w:marLeft w:val="0"/>
      <w:marRight w:val="0"/>
      <w:marTop w:val="0"/>
      <w:marBottom w:val="0"/>
      <w:divBdr>
        <w:top w:val="none" w:sz="0" w:space="0" w:color="auto"/>
        <w:left w:val="none" w:sz="0" w:space="0" w:color="auto"/>
        <w:bottom w:val="none" w:sz="0" w:space="0" w:color="auto"/>
        <w:right w:val="none" w:sz="0" w:space="0" w:color="auto"/>
      </w:divBdr>
    </w:div>
    <w:div w:id="1769813080">
      <w:bodyDiv w:val="1"/>
      <w:marLeft w:val="0"/>
      <w:marRight w:val="0"/>
      <w:marTop w:val="0"/>
      <w:marBottom w:val="0"/>
      <w:divBdr>
        <w:top w:val="none" w:sz="0" w:space="0" w:color="auto"/>
        <w:left w:val="none" w:sz="0" w:space="0" w:color="auto"/>
        <w:bottom w:val="none" w:sz="0" w:space="0" w:color="auto"/>
        <w:right w:val="none" w:sz="0" w:space="0" w:color="auto"/>
      </w:divBdr>
    </w:div>
    <w:div w:id="1770464672">
      <w:bodyDiv w:val="1"/>
      <w:marLeft w:val="0"/>
      <w:marRight w:val="0"/>
      <w:marTop w:val="0"/>
      <w:marBottom w:val="0"/>
      <w:divBdr>
        <w:top w:val="none" w:sz="0" w:space="0" w:color="auto"/>
        <w:left w:val="none" w:sz="0" w:space="0" w:color="auto"/>
        <w:bottom w:val="none" w:sz="0" w:space="0" w:color="auto"/>
        <w:right w:val="none" w:sz="0" w:space="0" w:color="auto"/>
      </w:divBdr>
    </w:div>
    <w:div w:id="1770734731">
      <w:bodyDiv w:val="1"/>
      <w:marLeft w:val="0"/>
      <w:marRight w:val="0"/>
      <w:marTop w:val="0"/>
      <w:marBottom w:val="0"/>
      <w:divBdr>
        <w:top w:val="none" w:sz="0" w:space="0" w:color="auto"/>
        <w:left w:val="none" w:sz="0" w:space="0" w:color="auto"/>
        <w:bottom w:val="none" w:sz="0" w:space="0" w:color="auto"/>
        <w:right w:val="none" w:sz="0" w:space="0" w:color="auto"/>
      </w:divBdr>
    </w:div>
    <w:div w:id="1770927570">
      <w:bodyDiv w:val="1"/>
      <w:marLeft w:val="0"/>
      <w:marRight w:val="0"/>
      <w:marTop w:val="0"/>
      <w:marBottom w:val="0"/>
      <w:divBdr>
        <w:top w:val="none" w:sz="0" w:space="0" w:color="auto"/>
        <w:left w:val="none" w:sz="0" w:space="0" w:color="auto"/>
        <w:bottom w:val="none" w:sz="0" w:space="0" w:color="auto"/>
        <w:right w:val="none" w:sz="0" w:space="0" w:color="auto"/>
      </w:divBdr>
    </w:div>
    <w:div w:id="1770931891">
      <w:bodyDiv w:val="1"/>
      <w:marLeft w:val="0"/>
      <w:marRight w:val="0"/>
      <w:marTop w:val="0"/>
      <w:marBottom w:val="0"/>
      <w:divBdr>
        <w:top w:val="none" w:sz="0" w:space="0" w:color="auto"/>
        <w:left w:val="none" w:sz="0" w:space="0" w:color="auto"/>
        <w:bottom w:val="none" w:sz="0" w:space="0" w:color="auto"/>
        <w:right w:val="none" w:sz="0" w:space="0" w:color="auto"/>
      </w:divBdr>
    </w:div>
    <w:div w:id="1771005200">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1392271">
      <w:bodyDiv w:val="1"/>
      <w:marLeft w:val="0"/>
      <w:marRight w:val="0"/>
      <w:marTop w:val="0"/>
      <w:marBottom w:val="0"/>
      <w:divBdr>
        <w:top w:val="none" w:sz="0" w:space="0" w:color="auto"/>
        <w:left w:val="none" w:sz="0" w:space="0" w:color="auto"/>
        <w:bottom w:val="none" w:sz="0" w:space="0" w:color="auto"/>
        <w:right w:val="none" w:sz="0" w:space="0" w:color="auto"/>
      </w:divBdr>
    </w:div>
    <w:div w:id="1771461181">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2122015">
      <w:bodyDiv w:val="1"/>
      <w:marLeft w:val="0"/>
      <w:marRight w:val="0"/>
      <w:marTop w:val="0"/>
      <w:marBottom w:val="0"/>
      <w:divBdr>
        <w:top w:val="none" w:sz="0" w:space="0" w:color="auto"/>
        <w:left w:val="none" w:sz="0" w:space="0" w:color="auto"/>
        <w:bottom w:val="none" w:sz="0" w:space="0" w:color="auto"/>
        <w:right w:val="none" w:sz="0" w:space="0" w:color="auto"/>
      </w:divBdr>
    </w:div>
    <w:div w:id="1772700980">
      <w:bodyDiv w:val="1"/>
      <w:marLeft w:val="0"/>
      <w:marRight w:val="0"/>
      <w:marTop w:val="0"/>
      <w:marBottom w:val="0"/>
      <w:divBdr>
        <w:top w:val="none" w:sz="0" w:space="0" w:color="auto"/>
        <w:left w:val="none" w:sz="0" w:space="0" w:color="auto"/>
        <w:bottom w:val="none" w:sz="0" w:space="0" w:color="auto"/>
        <w:right w:val="none" w:sz="0" w:space="0" w:color="auto"/>
      </w:divBdr>
    </w:div>
    <w:div w:id="1773014782">
      <w:bodyDiv w:val="1"/>
      <w:marLeft w:val="0"/>
      <w:marRight w:val="0"/>
      <w:marTop w:val="0"/>
      <w:marBottom w:val="0"/>
      <w:divBdr>
        <w:top w:val="none" w:sz="0" w:space="0" w:color="auto"/>
        <w:left w:val="none" w:sz="0" w:space="0" w:color="auto"/>
        <w:bottom w:val="none" w:sz="0" w:space="0" w:color="auto"/>
        <w:right w:val="none" w:sz="0" w:space="0" w:color="auto"/>
      </w:divBdr>
    </w:div>
    <w:div w:id="1773085656">
      <w:bodyDiv w:val="1"/>
      <w:marLeft w:val="0"/>
      <w:marRight w:val="0"/>
      <w:marTop w:val="0"/>
      <w:marBottom w:val="0"/>
      <w:divBdr>
        <w:top w:val="none" w:sz="0" w:space="0" w:color="auto"/>
        <w:left w:val="none" w:sz="0" w:space="0" w:color="auto"/>
        <w:bottom w:val="none" w:sz="0" w:space="0" w:color="auto"/>
        <w:right w:val="none" w:sz="0" w:space="0" w:color="auto"/>
      </w:divBdr>
    </w:div>
    <w:div w:id="1773427809">
      <w:bodyDiv w:val="1"/>
      <w:marLeft w:val="0"/>
      <w:marRight w:val="0"/>
      <w:marTop w:val="0"/>
      <w:marBottom w:val="0"/>
      <w:divBdr>
        <w:top w:val="none" w:sz="0" w:space="0" w:color="auto"/>
        <w:left w:val="none" w:sz="0" w:space="0" w:color="auto"/>
        <w:bottom w:val="none" w:sz="0" w:space="0" w:color="auto"/>
        <w:right w:val="none" w:sz="0" w:space="0" w:color="auto"/>
      </w:divBdr>
    </w:div>
    <w:div w:id="1773472887">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3935659">
      <w:bodyDiv w:val="1"/>
      <w:marLeft w:val="0"/>
      <w:marRight w:val="0"/>
      <w:marTop w:val="0"/>
      <w:marBottom w:val="0"/>
      <w:divBdr>
        <w:top w:val="none" w:sz="0" w:space="0" w:color="auto"/>
        <w:left w:val="none" w:sz="0" w:space="0" w:color="auto"/>
        <w:bottom w:val="none" w:sz="0" w:space="0" w:color="auto"/>
        <w:right w:val="none" w:sz="0" w:space="0" w:color="auto"/>
      </w:divBdr>
    </w:div>
    <w:div w:id="1774278008">
      <w:bodyDiv w:val="1"/>
      <w:marLeft w:val="0"/>
      <w:marRight w:val="0"/>
      <w:marTop w:val="0"/>
      <w:marBottom w:val="0"/>
      <w:divBdr>
        <w:top w:val="none" w:sz="0" w:space="0" w:color="auto"/>
        <w:left w:val="none" w:sz="0" w:space="0" w:color="auto"/>
        <w:bottom w:val="none" w:sz="0" w:space="0" w:color="auto"/>
        <w:right w:val="none" w:sz="0" w:space="0" w:color="auto"/>
      </w:divBdr>
    </w:div>
    <w:div w:id="1774550859">
      <w:bodyDiv w:val="1"/>
      <w:marLeft w:val="0"/>
      <w:marRight w:val="0"/>
      <w:marTop w:val="0"/>
      <w:marBottom w:val="0"/>
      <w:divBdr>
        <w:top w:val="none" w:sz="0" w:space="0" w:color="auto"/>
        <w:left w:val="none" w:sz="0" w:space="0" w:color="auto"/>
        <w:bottom w:val="none" w:sz="0" w:space="0" w:color="auto"/>
        <w:right w:val="none" w:sz="0" w:space="0" w:color="auto"/>
      </w:divBdr>
    </w:div>
    <w:div w:id="1774864381">
      <w:bodyDiv w:val="1"/>
      <w:marLeft w:val="0"/>
      <w:marRight w:val="0"/>
      <w:marTop w:val="0"/>
      <w:marBottom w:val="0"/>
      <w:divBdr>
        <w:top w:val="none" w:sz="0" w:space="0" w:color="auto"/>
        <w:left w:val="none" w:sz="0" w:space="0" w:color="auto"/>
        <w:bottom w:val="none" w:sz="0" w:space="0" w:color="auto"/>
        <w:right w:val="none" w:sz="0" w:space="0" w:color="auto"/>
      </w:divBdr>
    </w:div>
    <w:div w:id="1775130803">
      <w:bodyDiv w:val="1"/>
      <w:marLeft w:val="0"/>
      <w:marRight w:val="0"/>
      <w:marTop w:val="0"/>
      <w:marBottom w:val="0"/>
      <w:divBdr>
        <w:top w:val="none" w:sz="0" w:space="0" w:color="auto"/>
        <w:left w:val="none" w:sz="0" w:space="0" w:color="auto"/>
        <w:bottom w:val="none" w:sz="0" w:space="0" w:color="auto"/>
        <w:right w:val="none" w:sz="0" w:space="0" w:color="auto"/>
      </w:divBdr>
    </w:div>
    <w:div w:id="1775520018">
      <w:bodyDiv w:val="1"/>
      <w:marLeft w:val="0"/>
      <w:marRight w:val="0"/>
      <w:marTop w:val="0"/>
      <w:marBottom w:val="0"/>
      <w:divBdr>
        <w:top w:val="none" w:sz="0" w:space="0" w:color="auto"/>
        <w:left w:val="none" w:sz="0" w:space="0" w:color="auto"/>
        <w:bottom w:val="none" w:sz="0" w:space="0" w:color="auto"/>
        <w:right w:val="none" w:sz="0" w:space="0" w:color="auto"/>
      </w:divBdr>
    </w:div>
    <w:div w:id="1775591465">
      <w:bodyDiv w:val="1"/>
      <w:marLeft w:val="0"/>
      <w:marRight w:val="0"/>
      <w:marTop w:val="0"/>
      <w:marBottom w:val="0"/>
      <w:divBdr>
        <w:top w:val="none" w:sz="0" w:space="0" w:color="auto"/>
        <w:left w:val="none" w:sz="0" w:space="0" w:color="auto"/>
        <w:bottom w:val="none" w:sz="0" w:space="0" w:color="auto"/>
        <w:right w:val="none" w:sz="0" w:space="0" w:color="auto"/>
      </w:divBdr>
    </w:div>
    <w:div w:id="1775829329">
      <w:bodyDiv w:val="1"/>
      <w:marLeft w:val="0"/>
      <w:marRight w:val="0"/>
      <w:marTop w:val="0"/>
      <w:marBottom w:val="0"/>
      <w:divBdr>
        <w:top w:val="none" w:sz="0" w:space="0" w:color="auto"/>
        <w:left w:val="none" w:sz="0" w:space="0" w:color="auto"/>
        <w:bottom w:val="none" w:sz="0" w:space="0" w:color="auto"/>
        <w:right w:val="none" w:sz="0" w:space="0" w:color="auto"/>
      </w:divBdr>
    </w:div>
    <w:div w:id="1776057844">
      <w:bodyDiv w:val="1"/>
      <w:marLeft w:val="0"/>
      <w:marRight w:val="0"/>
      <w:marTop w:val="0"/>
      <w:marBottom w:val="0"/>
      <w:divBdr>
        <w:top w:val="none" w:sz="0" w:space="0" w:color="auto"/>
        <w:left w:val="none" w:sz="0" w:space="0" w:color="auto"/>
        <w:bottom w:val="none" w:sz="0" w:space="0" w:color="auto"/>
        <w:right w:val="none" w:sz="0" w:space="0" w:color="auto"/>
      </w:divBdr>
    </w:div>
    <w:div w:id="1776172540">
      <w:bodyDiv w:val="1"/>
      <w:marLeft w:val="0"/>
      <w:marRight w:val="0"/>
      <w:marTop w:val="0"/>
      <w:marBottom w:val="0"/>
      <w:divBdr>
        <w:top w:val="none" w:sz="0" w:space="0" w:color="auto"/>
        <w:left w:val="none" w:sz="0" w:space="0" w:color="auto"/>
        <w:bottom w:val="none" w:sz="0" w:space="0" w:color="auto"/>
        <w:right w:val="none" w:sz="0" w:space="0" w:color="auto"/>
      </w:divBdr>
    </w:div>
    <w:div w:id="1776363780">
      <w:bodyDiv w:val="1"/>
      <w:marLeft w:val="0"/>
      <w:marRight w:val="0"/>
      <w:marTop w:val="0"/>
      <w:marBottom w:val="0"/>
      <w:divBdr>
        <w:top w:val="none" w:sz="0" w:space="0" w:color="auto"/>
        <w:left w:val="none" w:sz="0" w:space="0" w:color="auto"/>
        <w:bottom w:val="none" w:sz="0" w:space="0" w:color="auto"/>
        <w:right w:val="none" w:sz="0" w:space="0" w:color="auto"/>
      </w:divBdr>
    </w:div>
    <w:div w:id="1776434754">
      <w:bodyDiv w:val="1"/>
      <w:marLeft w:val="0"/>
      <w:marRight w:val="0"/>
      <w:marTop w:val="0"/>
      <w:marBottom w:val="0"/>
      <w:divBdr>
        <w:top w:val="none" w:sz="0" w:space="0" w:color="auto"/>
        <w:left w:val="none" w:sz="0" w:space="0" w:color="auto"/>
        <w:bottom w:val="none" w:sz="0" w:space="0" w:color="auto"/>
        <w:right w:val="none" w:sz="0" w:space="0" w:color="auto"/>
      </w:divBdr>
    </w:div>
    <w:div w:id="1776484404">
      <w:bodyDiv w:val="1"/>
      <w:marLeft w:val="0"/>
      <w:marRight w:val="0"/>
      <w:marTop w:val="0"/>
      <w:marBottom w:val="0"/>
      <w:divBdr>
        <w:top w:val="none" w:sz="0" w:space="0" w:color="auto"/>
        <w:left w:val="none" w:sz="0" w:space="0" w:color="auto"/>
        <w:bottom w:val="none" w:sz="0" w:space="0" w:color="auto"/>
        <w:right w:val="none" w:sz="0" w:space="0" w:color="auto"/>
      </w:divBdr>
    </w:div>
    <w:div w:id="1776754096">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77795779">
      <w:bodyDiv w:val="1"/>
      <w:marLeft w:val="0"/>
      <w:marRight w:val="0"/>
      <w:marTop w:val="0"/>
      <w:marBottom w:val="0"/>
      <w:divBdr>
        <w:top w:val="none" w:sz="0" w:space="0" w:color="auto"/>
        <w:left w:val="none" w:sz="0" w:space="0" w:color="auto"/>
        <w:bottom w:val="none" w:sz="0" w:space="0" w:color="auto"/>
        <w:right w:val="none" w:sz="0" w:space="0" w:color="auto"/>
      </w:divBdr>
    </w:div>
    <w:div w:id="1778021574">
      <w:bodyDiv w:val="1"/>
      <w:marLeft w:val="0"/>
      <w:marRight w:val="0"/>
      <w:marTop w:val="0"/>
      <w:marBottom w:val="0"/>
      <w:divBdr>
        <w:top w:val="none" w:sz="0" w:space="0" w:color="auto"/>
        <w:left w:val="none" w:sz="0" w:space="0" w:color="auto"/>
        <w:bottom w:val="none" w:sz="0" w:space="0" w:color="auto"/>
        <w:right w:val="none" w:sz="0" w:space="0" w:color="auto"/>
      </w:divBdr>
    </w:div>
    <w:div w:id="1778057536">
      <w:bodyDiv w:val="1"/>
      <w:marLeft w:val="0"/>
      <w:marRight w:val="0"/>
      <w:marTop w:val="0"/>
      <w:marBottom w:val="0"/>
      <w:divBdr>
        <w:top w:val="none" w:sz="0" w:space="0" w:color="auto"/>
        <w:left w:val="none" w:sz="0" w:space="0" w:color="auto"/>
        <w:bottom w:val="none" w:sz="0" w:space="0" w:color="auto"/>
        <w:right w:val="none" w:sz="0" w:space="0" w:color="auto"/>
      </w:divBdr>
    </w:div>
    <w:div w:id="1778131906">
      <w:bodyDiv w:val="1"/>
      <w:marLeft w:val="0"/>
      <w:marRight w:val="0"/>
      <w:marTop w:val="0"/>
      <w:marBottom w:val="0"/>
      <w:divBdr>
        <w:top w:val="none" w:sz="0" w:space="0" w:color="auto"/>
        <w:left w:val="none" w:sz="0" w:space="0" w:color="auto"/>
        <w:bottom w:val="none" w:sz="0" w:space="0" w:color="auto"/>
        <w:right w:val="none" w:sz="0" w:space="0" w:color="auto"/>
      </w:divBdr>
    </w:div>
    <w:div w:id="1778481776">
      <w:bodyDiv w:val="1"/>
      <w:marLeft w:val="0"/>
      <w:marRight w:val="0"/>
      <w:marTop w:val="0"/>
      <w:marBottom w:val="0"/>
      <w:divBdr>
        <w:top w:val="none" w:sz="0" w:space="0" w:color="auto"/>
        <w:left w:val="none" w:sz="0" w:space="0" w:color="auto"/>
        <w:bottom w:val="none" w:sz="0" w:space="0" w:color="auto"/>
        <w:right w:val="none" w:sz="0" w:space="0" w:color="auto"/>
      </w:divBdr>
    </w:div>
    <w:div w:id="1778981245">
      <w:bodyDiv w:val="1"/>
      <w:marLeft w:val="0"/>
      <w:marRight w:val="0"/>
      <w:marTop w:val="0"/>
      <w:marBottom w:val="0"/>
      <w:divBdr>
        <w:top w:val="none" w:sz="0" w:space="0" w:color="auto"/>
        <w:left w:val="none" w:sz="0" w:space="0" w:color="auto"/>
        <w:bottom w:val="none" w:sz="0" w:space="0" w:color="auto"/>
        <w:right w:val="none" w:sz="0" w:space="0" w:color="auto"/>
      </w:divBdr>
    </w:div>
    <w:div w:id="1779176227">
      <w:bodyDiv w:val="1"/>
      <w:marLeft w:val="0"/>
      <w:marRight w:val="0"/>
      <w:marTop w:val="0"/>
      <w:marBottom w:val="0"/>
      <w:divBdr>
        <w:top w:val="none" w:sz="0" w:space="0" w:color="auto"/>
        <w:left w:val="none" w:sz="0" w:space="0" w:color="auto"/>
        <w:bottom w:val="none" w:sz="0" w:space="0" w:color="auto"/>
        <w:right w:val="none" w:sz="0" w:space="0" w:color="auto"/>
      </w:divBdr>
    </w:div>
    <w:div w:id="1779374329">
      <w:bodyDiv w:val="1"/>
      <w:marLeft w:val="0"/>
      <w:marRight w:val="0"/>
      <w:marTop w:val="0"/>
      <w:marBottom w:val="0"/>
      <w:divBdr>
        <w:top w:val="none" w:sz="0" w:space="0" w:color="auto"/>
        <w:left w:val="none" w:sz="0" w:space="0" w:color="auto"/>
        <w:bottom w:val="none" w:sz="0" w:space="0" w:color="auto"/>
        <w:right w:val="none" w:sz="0" w:space="0" w:color="auto"/>
      </w:divBdr>
    </w:div>
    <w:div w:id="1779595353">
      <w:bodyDiv w:val="1"/>
      <w:marLeft w:val="0"/>
      <w:marRight w:val="0"/>
      <w:marTop w:val="0"/>
      <w:marBottom w:val="0"/>
      <w:divBdr>
        <w:top w:val="none" w:sz="0" w:space="0" w:color="auto"/>
        <w:left w:val="none" w:sz="0" w:space="0" w:color="auto"/>
        <w:bottom w:val="none" w:sz="0" w:space="0" w:color="auto"/>
        <w:right w:val="none" w:sz="0" w:space="0" w:color="auto"/>
      </w:divBdr>
    </w:div>
    <w:div w:id="1780097616">
      <w:bodyDiv w:val="1"/>
      <w:marLeft w:val="0"/>
      <w:marRight w:val="0"/>
      <w:marTop w:val="0"/>
      <w:marBottom w:val="0"/>
      <w:divBdr>
        <w:top w:val="none" w:sz="0" w:space="0" w:color="auto"/>
        <w:left w:val="none" w:sz="0" w:space="0" w:color="auto"/>
        <w:bottom w:val="none" w:sz="0" w:space="0" w:color="auto"/>
        <w:right w:val="none" w:sz="0" w:space="0" w:color="auto"/>
      </w:divBdr>
    </w:div>
    <w:div w:id="1780682172">
      <w:bodyDiv w:val="1"/>
      <w:marLeft w:val="0"/>
      <w:marRight w:val="0"/>
      <w:marTop w:val="0"/>
      <w:marBottom w:val="0"/>
      <w:divBdr>
        <w:top w:val="none" w:sz="0" w:space="0" w:color="auto"/>
        <w:left w:val="none" w:sz="0" w:space="0" w:color="auto"/>
        <w:bottom w:val="none" w:sz="0" w:space="0" w:color="auto"/>
        <w:right w:val="none" w:sz="0" w:space="0" w:color="auto"/>
      </w:divBdr>
    </w:div>
    <w:div w:id="1780682943">
      <w:bodyDiv w:val="1"/>
      <w:marLeft w:val="0"/>
      <w:marRight w:val="0"/>
      <w:marTop w:val="0"/>
      <w:marBottom w:val="0"/>
      <w:divBdr>
        <w:top w:val="none" w:sz="0" w:space="0" w:color="auto"/>
        <w:left w:val="none" w:sz="0" w:space="0" w:color="auto"/>
        <w:bottom w:val="none" w:sz="0" w:space="0" w:color="auto"/>
        <w:right w:val="none" w:sz="0" w:space="0" w:color="auto"/>
      </w:divBdr>
    </w:div>
    <w:div w:id="1780685678">
      <w:bodyDiv w:val="1"/>
      <w:marLeft w:val="0"/>
      <w:marRight w:val="0"/>
      <w:marTop w:val="0"/>
      <w:marBottom w:val="0"/>
      <w:divBdr>
        <w:top w:val="none" w:sz="0" w:space="0" w:color="auto"/>
        <w:left w:val="none" w:sz="0" w:space="0" w:color="auto"/>
        <w:bottom w:val="none" w:sz="0" w:space="0" w:color="auto"/>
        <w:right w:val="none" w:sz="0" w:space="0" w:color="auto"/>
      </w:divBdr>
    </w:div>
    <w:div w:id="1781104222">
      <w:bodyDiv w:val="1"/>
      <w:marLeft w:val="0"/>
      <w:marRight w:val="0"/>
      <w:marTop w:val="0"/>
      <w:marBottom w:val="0"/>
      <w:divBdr>
        <w:top w:val="none" w:sz="0" w:space="0" w:color="auto"/>
        <w:left w:val="none" w:sz="0" w:space="0" w:color="auto"/>
        <w:bottom w:val="none" w:sz="0" w:space="0" w:color="auto"/>
        <w:right w:val="none" w:sz="0" w:space="0" w:color="auto"/>
      </w:divBdr>
    </w:div>
    <w:div w:id="1781299587">
      <w:bodyDiv w:val="1"/>
      <w:marLeft w:val="0"/>
      <w:marRight w:val="0"/>
      <w:marTop w:val="0"/>
      <w:marBottom w:val="0"/>
      <w:divBdr>
        <w:top w:val="none" w:sz="0" w:space="0" w:color="auto"/>
        <w:left w:val="none" w:sz="0" w:space="0" w:color="auto"/>
        <w:bottom w:val="none" w:sz="0" w:space="0" w:color="auto"/>
        <w:right w:val="none" w:sz="0" w:space="0" w:color="auto"/>
      </w:divBdr>
    </w:div>
    <w:div w:id="1781415643">
      <w:bodyDiv w:val="1"/>
      <w:marLeft w:val="0"/>
      <w:marRight w:val="0"/>
      <w:marTop w:val="0"/>
      <w:marBottom w:val="0"/>
      <w:divBdr>
        <w:top w:val="none" w:sz="0" w:space="0" w:color="auto"/>
        <w:left w:val="none" w:sz="0" w:space="0" w:color="auto"/>
        <w:bottom w:val="none" w:sz="0" w:space="0" w:color="auto"/>
        <w:right w:val="none" w:sz="0" w:space="0" w:color="auto"/>
      </w:divBdr>
    </w:div>
    <w:div w:id="1781678839">
      <w:bodyDiv w:val="1"/>
      <w:marLeft w:val="0"/>
      <w:marRight w:val="0"/>
      <w:marTop w:val="0"/>
      <w:marBottom w:val="0"/>
      <w:divBdr>
        <w:top w:val="none" w:sz="0" w:space="0" w:color="auto"/>
        <w:left w:val="none" w:sz="0" w:space="0" w:color="auto"/>
        <w:bottom w:val="none" w:sz="0" w:space="0" w:color="auto"/>
        <w:right w:val="none" w:sz="0" w:space="0" w:color="auto"/>
      </w:divBdr>
    </w:div>
    <w:div w:id="1781802356">
      <w:bodyDiv w:val="1"/>
      <w:marLeft w:val="0"/>
      <w:marRight w:val="0"/>
      <w:marTop w:val="0"/>
      <w:marBottom w:val="0"/>
      <w:divBdr>
        <w:top w:val="none" w:sz="0" w:space="0" w:color="auto"/>
        <w:left w:val="none" w:sz="0" w:space="0" w:color="auto"/>
        <w:bottom w:val="none" w:sz="0" w:space="0" w:color="auto"/>
        <w:right w:val="none" w:sz="0" w:space="0" w:color="auto"/>
      </w:divBdr>
    </w:div>
    <w:div w:id="1781877568">
      <w:bodyDiv w:val="1"/>
      <w:marLeft w:val="0"/>
      <w:marRight w:val="0"/>
      <w:marTop w:val="0"/>
      <w:marBottom w:val="0"/>
      <w:divBdr>
        <w:top w:val="none" w:sz="0" w:space="0" w:color="auto"/>
        <w:left w:val="none" w:sz="0" w:space="0" w:color="auto"/>
        <w:bottom w:val="none" w:sz="0" w:space="0" w:color="auto"/>
        <w:right w:val="none" w:sz="0" w:space="0" w:color="auto"/>
      </w:divBdr>
    </w:div>
    <w:div w:id="1782072927">
      <w:bodyDiv w:val="1"/>
      <w:marLeft w:val="0"/>
      <w:marRight w:val="0"/>
      <w:marTop w:val="0"/>
      <w:marBottom w:val="0"/>
      <w:divBdr>
        <w:top w:val="none" w:sz="0" w:space="0" w:color="auto"/>
        <w:left w:val="none" w:sz="0" w:space="0" w:color="auto"/>
        <w:bottom w:val="none" w:sz="0" w:space="0" w:color="auto"/>
        <w:right w:val="none" w:sz="0" w:space="0" w:color="auto"/>
      </w:divBdr>
    </w:div>
    <w:div w:id="1782188708">
      <w:bodyDiv w:val="1"/>
      <w:marLeft w:val="0"/>
      <w:marRight w:val="0"/>
      <w:marTop w:val="0"/>
      <w:marBottom w:val="0"/>
      <w:divBdr>
        <w:top w:val="none" w:sz="0" w:space="0" w:color="auto"/>
        <w:left w:val="none" w:sz="0" w:space="0" w:color="auto"/>
        <w:bottom w:val="none" w:sz="0" w:space="0" w:color="auto"/>
        <w:right w:val="none" w:sz="0" w:space="0" w:color="auto"/>
      </w:divBdr>
    </w:div>
    <w:div w:id="1782262005">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82339617">
      <w:bodyDiv w:val="1"/>
      <w:marLeft w:val="0"/>
      <w:marRight w:val="0"/>
      <w:marTop w:val="0"/>
      <w:marBottom w:val="0"/>
      <w:divBdr>
        <w:top w:val="none" w:sz="0" w:space="0" w:color="auto"/>
        <w:left w:val="none" w:sz="0" w:space="0" w:color="auto"/>
        <w:bottom w:val="none" w:sz="0" w:space="0" w:color="auto"/>
        <w:right w:val="none" w:sz="0" w:space="0" w:color="auto"/>
      </w:divBdr>
    </w:div>
    <w:div w:id="1782996328">
      <w:bodyDiv w:val="1"/>
      <w:marLeft w:val="0"/>
      <w:marRight w:val="0"/>
      <w:marTop w:val="0"/>
      <w:marBottom w:val="0"/>
      <w:divBdr>
        <w:top w:val="none" w:sz="0" w:space="0" w:color="auto"/>
        <w:left w:val="none" w:sz="0" w:space="0" w:color="auto"/>
        <w:bottom w:val="none" w:sz="0" w:space="0" w:color="auto"/>
        <w:right w:val="none" w:sz="0" w:space="0" w:color="auto"/>
      </w:divBdr>
    </w:div>
    <w:div w:id="1783457061">
      <w:bodyDiv w:val="1"/>
      <w:marLeft w:val="0"/>
      <w:marRight w:val="0"/>
      <w:marTop w:val="0"/>
      <w:marBottom w:val="0"/>
      <w:divBdr>
        <w:top w:val="none" w:sz="0" w:space="0" w:color="auto"/>
        <w:left w:val="none" w:sz="0" w:space="0" w:color="auto"/>
        <w:bottom w:val="none" w:sz="0" w:space="0" w:color="auto"/>
        <w:right w:val="none" w:sz="0" w:space="0" w:color="auto"/>
      </w:divBdr>
    </w:div>
    <w:div w:id="1783526853">
      <w:bodyDiv w:val="1"/>
      <w:marLeft w:val="0"/>
      <w:marRight w:val="0"/>
      <w:marTop w:val="0"/>
      <w:marBottom w:val="0"/>
      <w:divBdr>
        <w:top w:val="none" w:sz="0" w:space="0" w:color="auto"/>
        <w:left w:val="none" w:sz="0" w:space="0" w:color="auto"/>
        <w:bottom w:val="none" w:sz="0" w:space="0" w:color="auto"/>
        <w:right w:val="none" w:sz="0" w:space="0" w:color="auto"/>
      </w:divBdr>
    </w:div>
    <w:div w:id="1783844377">
      <w:bodyDiv w:val="1"/>
      <w:marLeft w:val="0"/>
      <w:marRight w:val="0"/>
      <w:marTop w:val="0"/>
      <w:marBottom w:val="0"/>
      <w:divBdr>
        <w:top w:val="none" w:sz="0" w:space="0" w:color="auto"/>
        <w:left w:val="none" w:sz="0" w:space="0" w:color="auto"/>
        <w:bottom w:val="none" w:sz="0" w:space="0" w:color="auto"/>
        <w:right w:val="none" w:sz="0" w:space="0" w:color="auto"/>
      </w:divBdr>
    </w:div>
    <w:div w:id="1783912603">
      <w:bodyDiv w:val="1"/>
      <w:marLeft w:val="0"/>
      <w:marRight w:val="0"/>
      <w:marTop w:val="0"/>
      <w:marBottom w:val="0"/>
      <w:divBdr>
        <w:top w:val="none" w:sz="0" w:space="0" w:color="auto"/>
        <w:left w:val="none" w:sz="0" w:space="0" w:color="auto"/>
        <w:bottom w:val="none" w:sz="0" w:space="0" w:color="auto"/>
        <w:right w:val="none" w:sz="0" w:space="0" w:color="auto"/>
      </w:divBdr>
    </w:div>
    <w:div w:id="1784183910">
      <w:bodyDiv w:val="1"/>
      <w:marLeft w:val="0"/>
      <w:marRight w:val="0"/>
      <w:marTop w:val="0"/>
      <w:marBottom w:val="0"/>
      <w:divBdr>
        <w:top w:val="none" w:sz="0" w:space="0" w:color="auto"/>
        <w:left w:val="none" w:sz="0" w:space="0" w:color="auto"/>
        <w:bottom w:val="none" w:sz="0" w:space="0" w:color="auto"/>
        <w:right w:val="none" w:sz="0" w:space="0" w:color="auto"/>
      </w:divBdr>
    </w:div>
    <w:div w:id="1785421552">
      <w:bodyDiv w:val="1"/>
      <w:marLeft w:val="0"/>
      <w:marRight w:val="0"/>
      <w:marTop w:val="0"/>
      <w:marBottom w:val="0"/>
      <w:divBdr>
        <w:top w:val="none" w:sz="0" w:space="0" w:color="auto"/>
        <w:left w:val="none" w:sz="0" w:space="0" w:color="auto"/>
        <w:bottom w:val="none" w:sz="0" w:space="0" w:color="auto"/>
        <w:right w:val="none" w:sz="0" w:space="0" w:color="auto"/>
      </w:divBdr>
    </w:div>
    <w:div w:id="1785533983">
      <w:bodyDiv w:val="1"/>
      <w:marLeft w:val="0"/>
      <w:marRight w:val="0"/>
      <w:marTop w:val="0"/>
      <w:marBottom w:val="0"/>
      <w:divBdr>
        <w:top w:val="none" w:sz="0" w:space="0" w:color="auto"/>
        <w:left w:val="none" w:sz="0" w:space="0" w:color="auto"/>
        <w:bottom w:val="none" w:sz="0" w:space="0" w:color="auto"/>
        <w:right w:val="none" w:sz="0" w:space="0" w:color="auto"/>
      </w:divBdr>
    </w:div>
    <w:div w:id="1786077948">
      <w:bodyDiv w:val="1"/>
      <w:marLeft w:val="0"/>
      <w:marRight w:val="0"/>
      <w:marTop w:val="0"/>
      <w:marBottom w:val="0"/>
      <w:divBdr>
        <w:top w:val="none" w:sz="0" w:space="0" w:color="auto"/>
        <w:left w:val="none" w:sz="0" w:space="0" w:color="auto"/>
        <w:bottom w:val="none" w:sz="0" w:space="0" w:color="auto"/>
        <w:right w:val="none" w:sz="0" w:space="0" w:color="auto"/>
      </w:divBdr>
    </w:div>
    <w:div w:id="1786384395">
      <w:bodyDiv w:val="1"/>
      <w:marLeft w:val="0"/>
      <w:marRight w:val="0"/>
      <w:marTop w:val="0"/>
      <w:marBottom w:val="0"/>
      <w:divBdr>
        <w:top w:val="none" w:sz="0" w:space="0" w:color="auto"/>
        <w:left w:val="none" w:sz="0" w:space="0" w:color="auto"/>
        <w:bottom w:val="none" w:sz="0" w:space="0" w:color="auto"/>
        <w:right w:val="none" w:sz="0" w:space="0" w:color="auto"/>
      </w:divBdr>
    </w:div>
    <w:div w:id="1787263749">
      <w:bodyDiv w:val="1"/>
      <w:marLeft w:val="0"/>
      <w:marRight w:val="0"/>
      <w:marTop w:val="0"/>
      <w:marBottom w:val="0"/>
      <w:divBdr>
        <w:top w:val="none" w:sz="0" w:space="0" w:color="auto"/>
        <w:left w:val="none" w:sz="0" w:space="0" w:color="auto"/>
        <w:bottom w:val="none" w:sz="0" w:space="0" w:color="auto"/>
        <w:right w:val="none" w:sz="0" w:space="0" w:color="auto"/>
      </w:divBdr>
    </w:div>
    <w:div w:id="1787767864">
      <w:bodyDiv w:val="1"/>
      <w:marLeft w:val="0"/>
      <w:marRight w:val="0"/>
      <w:marTop w:val="0"/>
      <w:marBottom w:val="0"/>
      <w:divBdr>
        <w:top w:val="none" w:sz="0" w:space="0" w:color="auto"/>
        <w:left w:val="none" w:sz="0" w:space="0" w:color="auto"/>
        <w:bottom w:val="none" w:sz="0" w:space="0" w:color="auto"/>
        <w:right w:val="none" w:sz="0" w:space="0" w:color="auto"/>
      </w:divBdr>
    </w:div>
    <w:div w:id="1787768259">
      <w:bodyDiv w:val="1"/>
      <w:marLeft w:val="0"/>
      <w:marRight w:val="0"/>
      <w:marTop w:val="0"/>
      <w:marBottom w:val="0"/>
      <w:divBdr>
        <w:top w:val="none" w:sz="0" w:space="0" w:color="auto"/>
        <w:left w:val="none" w:sz="0" w:space="0" w:color="auto"/>
        <w:bottom w:val="none" w:sz="0" w:space="0" w:color="auto"/>
        <w:right w:val="none" w:sz="0" w:space="0" w:color="auto"/>
      </w:divBdr>
    </w:div>
    <w:div w:id="1787848447">
      <w:bodyDiv w:val="1"/>
      <w:marLeft w:val="0"/>
      <w:marRight w:val="0"/>
      <w:marTop w:val="0"/>
      <w:marBottom w:val="0"/>
      <w:divBdr>
        <w:top w:val="none" w:sz="0" w:space="0" w:color="auto"/>
        <w:left w:val="none" w:sz="0" w:space="0" w:color="auto"/>
        <w:bottom w:val="none" w:sz="0" w:space="0" w:color="auto"/>
        <w:right w:val="none" w:sz="0" w:space="0" w:color="auto"/>
      </w:divBdr>
    </w:div>
    <w:div w:id="1787964184">
      <w:bodyDiv w:val="1"/>
      <w:marLeft w:val="0"/>
      <w:marRight w:val="0"/>
      <w:marTop w:val="0"/>
      <w:marBottom w:val="0"/>
      <w:divBdr>
        <w:top w:val="none" w:sz="0" w:space="0" w:color="auto"/>
        <w:left w:val="none" w:sz="0" w:space="0" w:color="auto"/>
        <w:bottom w:val="none" w:sz="0" w:space="0" w:color="auto"/>
        <w:right w:val="none" w:sz="0" w:space="0" w:color="auto"/>
      </w:divBdr>
    </w:div>
    <w:div w:id="1788886012">
      <w:bodyDiv w:val="1"/>
      <w:marLeft w:val="0"/>
      <w:marRight w:val="0"/>
      <w:marTop w:val="0"/>
      <w:marBottom w:val="0"/>
      <w:divBdr>
        <w:top w:val="none" w:sz="0" w:space="0" w:color="auto"/>
        <w:left w:val="none" w:sz="0" w:space="0" w:color="auto"/>
        <w:bottom w:val="none" w:sz="0" w:space="0" w:color="auto"/>
        <w:right w:val="none" w:sz="0" w:space="0" w:color="auto"/>
      </w:divBdr>
    </w:div>
    <w:div w:id="1789157128">
      <w:bodyDiv w:val="1"/>
      <w:marLeft w:val="0"/>
      <w:marRight w:val="0"/>
      <w:marTop w:val="0"/>
      <w:marBottom w:val="0"/>
      <w:divBdr>
        <w:top w:val="none" w:sz="0" w:space="0" w:color="auto"/>
        <w:left w:val="none" w:sz="0" w:space="0" w:color="auto"/>
        <w:bottom w:val="none" w:sz="0" w:space="0" w:color="auto"/>
        <w:right w:val="none" w:sz="0" w:space="0" w:color="auto"/>
      </w:divBdr>
    </w:div>
    <w:div w:id="1789203534">
      <w:bodyDiv w:val="1"/>
      <w:marLeft w:val="0"/>
      <w:marRight w:val="0"/>
      <w:marTop w:val="0"/>
      <w:marBottom w:val="0"/>
      <w:divBdr>
        <w:top w:val="none" w:sz="0" w:space="0" w:color="auto"/>
        <w:left w:val="none" w:sz="0" w:space="0" w:color="auto"/>
        <w:bottom w:val="none" w:sz="0" w:space="0" w:color="auto"/>
        <w:right w:val="none" w:sz="0" w:space="0" w:color="auto"/>
      </w:divBdr>
    </w:div>
    <w:div w:id="1789204033">
      <w:bodyDiv w:val="1"/>
      <w:marLeft w:val="0"/>
      <w:marRight w:val="0"/>
      <w:marTop w:val="0"/>
      <w:marBottom w:val="0"/>
      <w:divBdr>
        <w:top w:val="none" w:sz="0" w:space="0" w:color="auto"/>
        <w:left w:val="none" w:sz="0" w:space="0" w:color="auto"/>
        <w:bottom w:val="none" w:sz="0" w:space="0" w:color="auto"/>
        <w:right w:val="none" w:sz="0" w:space="0" w:color="auto"/>
      </w:divBdr>
    </w:div>
    <w:div w:id="1789662393">
      <w:bodyDiv w:val="1"/>
      <w:marLeft w:val="0"/>
      <w:marRight w:val="0"/>
      <w:marTop w:val="0"/>
      <w:marBottom w:val="0"/>
      <w:divBdr>
        <w:top w:val="none" w:sz="0" w:space="0" w:color="auto"/>
        <w:left w:val="none" w:sz="0" w:space="0" w:color="auto"/>
        <w:bottom w:val="none" w:sz="0" w:space="0" w:color="auto"/>
        <w:right w:val="none" w:sz="0" w:space="0" w:color="auto"/>
      </w:divBdr>
    </w:div>
    <w:div w:id="1790120927">
      <w:bodyDiv w:val="1"/>
      <w:marLeft w:val="0"/>
      <w:marRight w:val="0"/>
      <w:marTop w:val="0"/>
      <w:marBottom w:val="0"/>
      <w:divBdr>
        <w:top w:val="none" w:sz="0" w:space="0" w:color="auto"/>
        <w:left w:val="none" w:sz="0" w:space="0" w:color="auto"/>
        <w:bottom w:val="none" w:sz="0" w:space="0" w:color="auto"/>
        <w:right w:val="none" w:sz="0" w:space="0" w:color="auto"/>
      </w:divBdr>
    </w:div>
    <w:div w:id="1790394068">
      <w:bodyDiv w:val="1"/>
      <w:marLeft w:val="0"/>
      <w:marRight w:val="0"/>
      <w:marTop w:val="0"/>
      <w:marBottom w:val="0"/>
      <w:divBdr>
        <w:top w:val="none" w:sz="0" w:space="0" w:color="auto"/>
        <w:left w:val="none" w:sz="0" w:space="0" w:color="auto"/>
        <w:bottom w:val="none" w:sz="0" w:space="0" w:color="auto"/>
        <w:right w:val="none" w:sz="0" w:space="0" w:color="auto"/>
      </w:divBdr>
    </w:div>
    <w:div w:id="1790509401">
      <w:bodyDiv w:val="1"/>
      <w:marLeft w:val="0"/>
      <w:marRight w:val="0"/>
      <w:marTop w:val="0"/>
      <w:marBottom w:val="0"/>
      <w:divBdr>
        <w:top w:val="none" w:sz="0" w:space="0" w:color="auto"/>
        <w:left w:val="none" w:sz="0" w:space="0" w:color="auto"/>
        <w:bottom w:val="none" w:sz="0" w:space="0" w:color="auto"/>
        <w:right w:val="none" w:sz="0" w:space="0" w:color="auto"/>
      </w:divBdr>
    </w:div>
    <w:div w:id="1790779301">
      <w:bodyDiv w:val="1"/>
      <w:marLeft w:val="0"/>
      <w:marRight w:val="0"/>
      <w:marTop w:val="0"/>
      <w:marBottom w:val="0"/>
      <w:divBdr>
        <w:top w:val="none" w:sz="0" w:space="0" w:color="auto"/>
        <w:left w:val="none" w:sz="0" w:space="0" w:color="auto"/>
        <w:bottom w:val="none" w:sz="0" w:space="0" w:color="auto"/>
        <w:right w:val="none" w:sz="0" w:space="0" w:color="auto"/>
      </w:divBdr>
    </w:div>
    <w:div w:id="1791049912">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1900875">
      <w:bodyDiv w:val="1"/>
      <w:marLeft w:val="0"/>
      <w:marRight w:val="0"/>
      <w:marTop w:val="0"/>
      <w:marBottom w:val="0"/>
      <w:divBdr>
        <w:top w:val="none" w:sz="0" w:space="0" w:color="auto"/>
        <w:left w:val="none" w:sz="0" w:space="0" w:color="auto"/>
        <w:bottom w:val="none" w:sz="0" w:space="0" w:color="auto"/>
        <w:right w:val="none" w:sz="0" w:space="0" w:color="auto"/>
      </w:divBdr>
    </w:div>
    <w:div w:id="1791972664">
      <w:bodyDiv w:val="1"/>
      <w:marLeft w:val="0"/>
      <w:marRight w:val="0"/>
      <w:marTop w:val="0"/>
      <w:marBottom w:val="0"/>
      <w:divBdr>
        <w:top w:val="none" w:sz="0" w:space="0" w:color="auto"/>
        <w:left w:val="none" w:sz="0" w:space="0" w:color="auto"/>
        <w:bottom w:val="none" w:sz="0" w:space="0" w:color="auto"/>
        <w:right w:val="none" w:sz="0" w:space="0" w:color="auto"/>
      </w:divBdr>
    </w:div>
    <w:div w:id="1792167987">
      <w:bodyDiv w:val="1"/>
      <w:marLeft w:val="0"/>
      <w:marRight w:val="0"/>
      <w:marTop w:val="0"/>
      <w:marBottom w:val="0"/>
      <w:divBdr>
        <w:top w:val="none" w:sz="0" w:space="0" w:color="auto"/>
        <w:left w:val="none" w:sz="0" w:space="0" w:color="auto"/>
        <w:bottom w:val="none" w:sz="0" w:space="0" w:color="auto"/>
        <w:right w:val="none" w:sz="0" w:space="0" w:color="auto"/>
      </w:divBdr>
    </w:div>
    <w:div w:id="1792288319">
      <w:bodyDiv w:val="1"/>
      <w:marLeft w:val="0"/>
      <w:marRight w:val="0"/>
      <w:marTop w:val="0"/>
      <w:marBottom w:val="0"/>
      <w:divBdr>
        <w:top w:val="none" w:sz="0" w:space="0" w:color="auto"/>
        <w:left w:val="none" w:sz="0" w:space="0" w:color="auto"/>
        <w:bottom w:val="none" w:sz="0" w:space="0" w:color="auto"/>
        <w:right w:val="none" w:sz="0" w:space="0" w:color="auto"/>
      </w:divBdr>
    </w:div>
    <w:div w:id="1792703985">
      <w:bodyDiv w:val="1"/>
      <w:marLeft w:val="0"/>
      <w:marRight w:val="0"/>
      <w:marTop w:val="0"/>
      <w:marBottom w:val="0"/>
      <w:divBdr>
        <w:top w:val="none" w:sz="0" w:space="0" w:color="auto"/>
        <w:left w:val="none" w:sz="0" w:space="0" w:color="auto"/>
        <w:bottom w:val="none" w:sz="0" w:space="0" w:color="auto"/>
        <w:right w:val="none" w:sz="0" w:space="0" w:color="auto"/>
      </w:divBdr>
    </w:div>
    <w:div w:id="1792935701">
      <w:bodyDiv w:val="1"/>
      <w:marLeft w:val="0"/>
      <w:marRight w:val="0"/>
      <w:marTop w:val="0"/>
      <w:marBottom w:val="0"/>
      <w:divBdr>
        <w:top w:val="none" w:sz="0" w:space="0" w:color="auto"/>
        <w:left w:val="none" w:sz="0" w:space="0" w:color="auto"/>
        <w:bottom w:val="none" w:sz="0" w:space="0" w:color="auto"/>
        <w:right w:val="none" w:sz="0" w:space="0" w:color="auto"/>
      </w:divBdr>
    </w:div>
    <w:div w:id="1793278482">
      <w:bodyDiv w:val="1"/>
      <w:marLeft w:val="0"/>
      <w:marRight w:val="0"/>
      <w:marTop w:val="0"/>
      <w:marBottom w:val="0"/>
      <w:divBdr>
        <w:top w:val="none" w:sz="0" w:space="0" w:color="auto"/>
        <w:left w:val="none" w:sz="0" w:space="0" w:color="auto"/>
        <w:bottom w:val="none" w:sz="0" w:space="0" w:color="auto"/>
        <w:right w:val="none" w:sz="0" w:space="0" w:color="auto"/>
      </w:divBdr>
    </w:div>
    <w:div w:id="1793551462">
      <w:bodyDiv w:val="1"/>
      <w:marLeft w:val="0"/>
      <w:marRight w:val="0"/>
      <w:marTop w:val="0"/>
      <w:marBottom w:val="0"/>
      <w:divBdr>
        <w:top w:val="none" w:sz="0" w:space="0" w:color="auto"/>
        <w:left w:val="none" w:sz="0" w:space="0" w:color="auto"/>
        <w:bottom w:val="none" w:sz="0" w:space="0" w:color="auto"/>
        <w:right w:val="none" w:sz="0" w:space="0" w:color="auto"/>
      </w:divBdr>
    </w:div>
    <w:div w:id="1793673916">
      <w:bodyDiv w:val="1"/>
      <w:marLeft w:val="0"/>
      <w:marRight w:val="0"/>
      <w:marTop w:val="0"/>
      <w:marBottom w:val="0"/>
      <w:divBdr>
        <w:top w:val="none" w:sz="0" w:space="0" w:color="auto"/>
        <w:left w:val="none" w:sz="0" w:space="0" w:color="auto"/>
        <w:bottom w:val="none" w:sz="0" w:space="0" w:color="auto"/>
        <w:right w:val="none" w:sz="0" w:space="0" w:color="auto"/>
      </w:divBdr>
    </w:div>
    <w:div w:id="1793787051">
      <w:bodyDiv w:val="1"/>
      <w:marLeft w:val="0"/>
      <w:marRight w:val="0"/>
      <w:marTop w:val="0"/>
      <w:marBottom w:val="0"/>
      <w:divBdr>
        <w:top w:val="none" w:sz="0" w:space="0" w:color="auto"/>
        <w:left w:val="none" w:sz="0" w:space="0" w:color="auto"/>
        <w:bottom w:val="none" w:sz="0" w:space="0" w:color="auto"/>
        <w:right w:val="none" w:sz="0" w:space="0" w:color="auto"/>
      </w:divBdr>
    </w:div>
    <w:div w:id="1794060698">
      <w:bodyDiv w:val="1"/>
      <w:marLeft w:val="0"/>
      <w:marRight w:val="0"/>
      <w:marTop w:val="0"/>
      <w:marBottom w:val="0"/>
      <w:divBdr>
        <w:top w:val="none" w:sz="0" w:space="0" w:color="auto"/>
        <w:left w:val="none" w:sz="0" w:space="0" w:color="auto"/>
        <w:bottom w:val="none" w:sz="0" w:space="0" w:color="auto"/>
        <w:right w:val="none" w:sz="0" w:space="0" w:color="auto"/>
      </w:divBdr>
    </w:div>
    <w:div w:id="1794061244">
      <w:bodyDiv w:val="1"/>
      <w:marLeft w:val="0"/>
      <w:marRight w:val="0"/>
      <w:marTop w:val="0"/>
      <w:marBottom w:val="0"/>
      <w:divBdr>
        <w:top w:val="none" w:sz="0" w:space="0" w:color="auto"/>
        <w:left w:val="none" w:sz="0" w:space="0" w:color="auto"/>
        <w:bottom w:val="none" w:sz="0" w:space="0" w:color="auto"/>
        <w:right w:val="none" w:sz="0" w:space="0" w:color="auto"/>
      </w:divBdr>
    </w:div>
    <w:div w:id="1794669979">
      <w:bodyDiv w:val="1"/>
      <w:marLeft w:val="0"/>
      <w:marRight w:val="0"/>
      <w:marTop w:val="0"/>
      <w:marBottom w:val="0"/>
      <w:divBdr>
        <w:top w:val="none" w:sz="0" w:space="0" w:color="auto"/>
        <w:left w:val="none" w:sz="0" w:space="0" w:color="auto"/>
        <w:bottom w:val="none" w:sz="0" w:space="0" w:color="auto"/>
        <w:right w:val="none" w:sz="0" w:space="0" w:color="auto"/>
      </w:divBdr>
    </w:div>
    <w:div w:id="1794978458">
      <w:bodyDiv w:val="1"/>
      <w:marLeft w:val="0"/>
      <w:marRight w:val="0"/>
      <w:marTop w:val="0"/>
      <w:marBottom w:val="0"/>
      <w:divBdr>
        <w:top w:val="none" w:sz="0" w:space="0" w:color="auto"/>
        <w:left w:val="none" w:sz="0" w:space="0" w:color="auto"/>
        <w:bottom w:val="none" w:sz="0" w:space="0" w:color="auto"/>
        <w:right w:val="none" w:sz="0" w:space="0" w:color="auto"/>
      </w:divBdr>
    </w:div>
    <w:div w:id="1795325735">
      <w:bodyDiv w:val="1"/>
      <w:marLeft w:val="0"/>
      <w:marRight w:val="0"/>
      <w:marTop w:val="0"/>
      <w:marBottom w:val="0"/>
      <w:divBdr>
        <w:top w:val="none" w:sz="0" w:space="0" w:color="auto"/>
        <w:left w:val="none" w:sz="0" w:space="0" w:color="auto"/>
        <w:bottom w:val="none" w:sz="0" w:space="0" w:color="auto"/>
        <w:right w:val="none" w:sz="0" w:space="0" w:color="auto"/>
      </w:divBdr>
    </w:div>
    <w:div w:id="1795712084">
      <w:bodyDiv w:val="1"/>
      <w:marLeft w:val="0"/>
      <w:marRight w:val="0"/>
      <w:marTop w:val="0"/>
      <w:marBottom w:val="0"/>
      <w:divBdr>
        <w:top w:val="none" w:sz="0" w:space="0" w:color="auto"/>
        <w:left w:val="none" w:sz="0" w:space="0" w:color="auto"/>
        <w:bottom w:val="none" w:sz="0" w:space="0" w:color="auto"/>
        <w:right w:val="none" w:sz="0" w:space="0" w:color="auto"/>
      </w:divBdr>
    </w:div>
    <w:div w:id="1795948947">
      <w:bodyDiv w:val="1"/>
      <w:marLeft w:val="0"/>
      <w:marRight w:val="0"/>
      <w:marTop w:val="0"/>
      <w:marBottom w:val="0"/>
      <w:divBdr>
        <w:top w:val="none" w:sz="0" w:space="0" w:color="auto"/>
        <w:left w:val="none" w:sz="0" w:space="0" w:color="auto"/>
        <w:bottom w:val="none" w:sz="0" w:space="0" w:color="auto"/>
        <w:right w:val="none" w:sz="0" w:space="0" w:color="auto"/>
      </w:divBdr>
    </w:div>
    <w:div w:id="1796485207">
      <w:bodyDiv w:val="1"/>
      <w:marLeft w:val="0"/>
      <w:marRight w:val="0"/>
      <w:marTop w:val="0"/>
      <w:marBottom w:val="0"/>
      <w:divBdr>
        <w:top w:val="none" w:sz="0" w:space="0" w:color="auto"/>
        <w:left w:val="none" w:sz="0" w:space="0" w:color="auto"/>
        <w:bottom w:val="none" w:sz="0" w:space="0" w:color="auto"/>
        <w:right w:val="none" w:sz="0" w:space="0" w:color="auto"/>
      </w:divBdr>
    </w:div>
    <w:div w:id="1796564209">
      <w:bodyDiv w:val="1"/>
      <w:marLeft w:val="0"/>
      <w:marRight w:val="0"/>
      <w:marTop w:val="0"/>
      <w:marBottom w:val="0"/>
      <w:divBdr>
        <w:top w:val="none" w:sz="0" w:space="0" w:color="auto"/>
        <w:left w:val="none" w:sz="0" w:space="0" w:color="auto"/>
        <w:bottom w:val="none" w:sz="0" w:space="0" w:color="auto"/>
        <w:right w:val="none" w:sz="0" w:space="0" w:color="auto"/>
      </w:divBdr>
    </w:div>
    <w:div w:id="1796564377">
      <w:bodyDiv w:val="1"/>
      <w:marLeft w:val="0"/>
      <w:marRight w:val="0"/>
      <w:marTop w:val="0"/>
      <w:marBottom w:val="0"/>
      <w:divBdr>
        <w:top w:val="none" w:sz="0" w:space="0" w:color="auto"/>
        <w:left w:val="none" w:sz="0" w:space="0" w:color="auto"/>
        <w:bottom w:val="none" w:sz="0" w:space="0" w:color="auto"/>
        <w:right w:val="none" w:sz="0" w:space="0" w:color="auto"/>
      </w:divBdr>
    </w:div>
    <w:div w:id="1796564507">
      <w:bodyDiv w:val="1"/>
      <w:marLeft w:val="0"/>
      <w:marRight w:val="0"/>
      <w:marTop w:val="0"/>
      <w:marBottom w:val="0"/>
      <w:divBdr>
        <w:top w:val="none" w:sz="0" w:space="0" w:color="auto"/>
        <w:left w:val="none" w:sz="0" w:space="0" w:color="auto"/>
        <w:bottom w:val="none" w:sz="0" w:space="0" w:color="auto"/>
        <w:right w:val="none" w:sz="0" w:space="0" w:color="auto"/>
      </w:divBdr>
    </w:div>
    <w:div w:id="1796636576">
      <w:bodyDiv w:val="1"/>
      <w:marLeft w:val="0"/>
      <w:marRight w:val="0"/>
      <w:marTop w:val="0"/>
      <w:marBottom w:val="0"/>
      <w:divBdr>
        <w:top w:val="none" w:sz="0" w:space="0" w:color="auto"/>
        <w:left w:val="none" w:sz="0" w:space="0" w:color="auto"/>
        <w:bottom w:val="none" w:sz="0" w:space="0" w:color="auto"/>
        <w:right w:val="none" w:sz="0" w:space="0" w:color="auto"/>
      </w:divBdr>
    </w:div>
    <w:div w:id="1796677402">
      <w:bodyDiv w:val="1"/>
      <w:marLeft w:val="0"/>
      <w:marRight w:val="0"/>
      <w:marTop w:val="0"/>
      <w:marBottom w:val="0"/>
      <w:divBdr>
        <w:top w:val="none" w:sz="0" w:space="0" w:color="auto"/>
        <w:left w:val="none" w:sz="0" w:space="0" w:color="auto"/>
        <w:bottom w:val="none" w:sz="0" w:space="0" w:color="auto"/>
        <w:right w:val="none" w:sz="0" w:space="0" w:color="auto"/>
      </w:divBdr>
    </w:div>
    <w:div w:id="1796680112">
      <w:bodyDiv w:val="1"/>
      <w:marLeft w:val="0"/>
      <w:marRight w:val="0"/>
      <w:marTop w:val="0"/>
      <w:marBottom w:val="0"/>
      <w:divBdr>
        <w:top w:val="none" w:sz="0" w:space="0" w:color="auto"/>
        <w:left w:val="none" w:sz="0" w:space="0" w:color="auto"/>
        <w:bottom w:val="none" w:sz="0" w:space="0" w:color="auto"/>
        <w:right w:val="none" w:sz="0" w:space="0" w:color="auto"/>
      </w:divBdr>
    </w:div>
    <w:div w:id="1796872308">
      <w:bodyDiv w:val="1"/>
      <w:marLeft w:val="0"/>
      <w:marRight w:val="0"/>
      <w:marTop w:val="0"/>
      <w:marBottom w:val="0"/>
      <w:divBdr>
        <w:top w:val="none" w:sz="0" w:space="0" w:color="auto"/>
        <w:left w:val="none" w:sz="0" w:space="0" w:color="auto"/>
        <w:bottom w:val="none" w:sz="0" w:space="0" w:color="auto"/>
        <w:right w:val="none" w:sz="0" w:space="0" w:color="auto"/>
      </w:divBdr>
    </w:div>
    <w:div w:id="1796875671">
      <w:bodyDiv w:val="1"/>
      <w:marLeft w:val="0"/>
      <w:marRight w:val="0"/>
      <w:marTop w:val="0"/>
      <w:marBottom w:val="0"/>
      <w:divBdr>
        <w:top w:val="none" w:sz="0" w:space="0" w:color="auto"/>
        <w:left w:val="none" w:sz="0" w:space="0" w:color="auto"/>
        <w:bottom w:val="none" w:sz="0" w:space="0" w:color="auto"/>
        <w:right w:val="none" w:sz="0" w:space="0" w:color="auto"/>
      </w:divBdr>
    </w:div>
    <w:div w:id="1797140923">
      <w:bodyDiv w:val="1"/>
      <w:marLeft w:val="0"/>
      <w:marRight w:val="0"/>
      <w:marTop w:val="0"/>
      <w:marBottom w:val="0"/>
      <w:divBdr>
        <w:top w:val="none" w:sz="0" w:space="0" w:color="auto"/>
        <w:left w:val="none" w:sz="0" w:space="0" w:color="auto"/>
        <w:bottom w:val="none" w:sz="0" w:space="0" w:color="auto"/>
        <w:right w:val="none" w:sz="0" w:space="0" w:color="auto"/>
      </w:divBdr>
    </w:div>
    <w:div w:id="1797288479">
      <w:bodyDiv w:val="1"/>
      <w:marLeft w:val="0"/>
      <w:marRight w:val="0"/>
      <w:marTop w:val="0"/>
      <w:marBottom w:val="0"/>
      <w:divBdr>
        <w:top w:val="none" w:sz="0" w:space="0" w:color="auto"/>
        <w:left w:val="none" w:sz="0" w:space="0" w:color="auto"/>
        <w:bottom w:val="none" w:sz="0" w:space="0" w:color="auto"/>
        <w:right w:val="none" w:sz="0" w:space="0" w:color="auto"/>
      </w:divBdr>
    </w:div>
    <w:div w:id="1797334062">
      <w:bodyDiv w:val="1"/>
      <w:marLeft w:val="0"/>
      <w:marRight w:val="0"/>
      <w:marTop w:val="0"/>
      <w:marBottom w:val="0"/>
      <w:divBdr>
        <w:top w:val="none" w:sz="0" w:space="0" w:color="auto"/>
        <w:left w:val="none" w:sz="0" w:space="0" w:color="auto"/>
        <w:bottom w:val="none" w:sz="0" w:space="0" w:color="auto"/>
        <w:right w:val="none" w:sz="0" w:space="0" w:color="auto"/>
      </w:divBdr>
    </w:div>
    <w:div w:id="1797678282">
      <w:bodyDiv w:val="1"/>
      <w:marLeft w:val="0"/>
      <w:marRight w:val="0"/>
      <w:marTop w:val="0"/>
      <w:marBottom w:val="0"/>
      <w:divBdr>
        <w:top w:val="none" w:sz="0" w:space="0" w:color="auto"/>
        <w:left w:val="none" w:sz="0" w:space="0" w:color="auto"/>
        <w:bottom w:val="none" w:sz="0" w:space="0" w:color="auto"/>
        <w:right w:val="none" w:sz="0" w:space="0" w:color="auto"/>
      </w:divBdr>
    </w:div>
    <w:div w:id="1798639536">
      <w:bodyDiv w:val="1"/>
      <w:marLeft w:val="0"/>
      <w:marRight w:val="0"/>
      <w:marTop w:val="0"/>
      <w:marBottom w:val="0"/>
      <w:divBdr>
        <w:top w:val="none" w:sz="0" w:space="0" w:color="auto"/>
        <w:left w:val="none" w:sz="0" w:space="0" w:color="auto"/>
        <w:bottom w:val="none" w:sz="0" w:space="0" w:color="auto"/>
        <w:right w:val="none" w:sz="0" w:space="0" w:color="auto"/>
      </w:divBdr>
    </w:div>
    <w:div w:id="1799030342">
      <w:bodyDiv w:val="1"/>
      <w:marLeft w:val="0"/>
      <w:marRight w:val="0"/>
      <w:marTop w:val="0"/>
      <w:marBottom w:val="0"/>
      <w:divBdr>
        <w:top w:val="none" w:sz="0" w:space="0" w:color="auto"/>
        <w:left w:val="none" w:sz="0" w:space="0" w:color="auto"/>
        <w:bottom w:val="none" w:sz="0" w:space="0" w:color="auto"/>
        <w:right w:val="none" w:sz="0" w:space="0" w:color="auto"/>
      </w:divBdr>
    </w:div>
    <w:div w:id="1799178641">
      <w:bodyDiv w:val="1"/>
      <w:marLeft w:val="0"/>
      <w:marRight w:val="0"/>
      <w:marTop w:val="0"/>
      <w:marBottom w:val="0"/>
      <w:divBdr>
        <w:top w:val="none" w:sz="0" w:space="0" w:color="auto"/>
        <w:left w:val="none" w:sz="0" w:space="0" w:color="auto"/>
        <w:bottom w:val="none" w:sz="0" w:space="0" w:color="auto"/>
        <w:right w:val="none" w:sz="0" w:space="0" w:color="auto"/>
      </w:divBdr>
    </w:div>
    <w:div w:id="1799301757">
      <w:bodyDiv w:val="1"/>
      <w:marLeft w:val="0"/>
      <w:marRight w:val="0"/>
      <w:marTop w:val="0"/>
      <w:marBottom w:val="0"/>
      <w:divBdr>
        <w:top w:val="none" w:sz="0" w:space="0" w:color="auto"/>
        <w:left w:val="none" w:sz="0" w:space="0" w:color="auto"/>
        <w:bottom w:val="none" w:sz="0" w:space="0" w:color="auto"/>
        <w:right w:val="none" w:sz="0" w:space="0" w:color="auto"/>
      </w:divBdr>
    </w:div>
    <w:div w:id="1800148331">
      <w:bodyDiv w:val="1"/>
      <w:marLeft w:val="0"/>
      <w:marRight w:val="0"/>
      <w:marTop w:val="0"/>
      <w:marBottom w:val="0"/>
      <w:divBdr>
        <w:top w:val="none" w:sz="0" w:space="0" w:color="auto"/>
        <w:left w:val="none" w:sz="0" w:space="0" w:color="auto"/>
        <w:bottom w:val="none" w:sz="0" w:space="0" w:color="auto"/>
        <w:right w:val="none" w:sz="0" w:space="0" w:color="auto"/>
      </w:divBdr>
    </w:div>
    <w:div w:id="1800412564">
      <w:bodyDiv w:val="1"/>
      <w:marLeft w:val="0"/>
      <w:marRight w:val="0"/>
      <w:marTop w:val="0"/>
      <w:marBottom w:val="0"/>
      <w:divBdr>
        <w:top w:val="none" w:sz="0" w:space="0" w:color="auto"/>
        <w:left w:val="none" w:sz="0" w:space="0" w:color="auto"/>
        <w:bottom w:val="none" w:sz="0" w:space="0" w:color="auto"/>
        <w:right w:val="none" w:sz="0" w:space="0" w:color="auto"/>
      </w:divBdr>
    </w:div>
    <w:div w:id="1800490699">
      <w:bodyDiv w:val="1"/>
      <w:marLeft w:val="0"/>
      <w:marRight w:val="0"/>
      <w:marTop w:val="0"/>
      <w:marBottom w:val="0"/>
      <w:divBdr>
        <w:top w:val="none" w:sz="0" w:space="0" w:color="auto"/>
        <w:left w:val="none" w:sz="0" w:space="0" w:color="auto"/>
        <w:bottom w:val="none" w:sz="0" w:space="0" w:color="auto"/>
        <w:right w:val="none" w:sz="0" w:space="0" w:color="auto"/>
      </w:divBdr>
    </w:div>
    <w:div w:id="1801144962">
      <w:bodyDiv w:val="1"/>
      <w:marLeft w:val="0"/>
      <w:marRight w:val="0"/>
      <w:marTop w:val="0"/>
      <w:marBottom w:val="0"/>
      <w:divBdr>
        <w:top w:val="none" w:sz="0" w:space="0" w:color="auto"/>
        <w:left w:val="none" w:sz="0" w:space="0" w:color="auto"/>
        <w:bottom w:val="none" w:sz="0" w:space="0" w:color="auto"/>
        <w:right w:val="none" w:sz="0" w:space="0" w:color="auto"/>
      </w:divBdr>
    </w:div>
    <w:div w:id="1801725269">
      <w:bodyDiv w:val="1"/>
      <w:marLeft w:val="0"/>
      <w:marRight w:val="0"/>
      <w:marTop w:val="0"/>
      <w:marBottom w:val="0"/>
      <w:divBdr>
        <w:top w:val="none" w:sz="0" w:space="0" w:color="auto"/>
        <w:left w:val="none" w:sz="0" w:space="0" w:color="auto"/>
        <w:bottom w:val="none" w:sz="0" w:space="0" w:color="auto"/>
        <w:right w:val="none" w:sz="0" w:space="0" w:color="auto"/>
      </w:divBdr>
    </w:div>
    <w:div w:id="1802576306">
      <w:bodyDiv w:val="1"/>
      <w:marLeft w:val="0"/>
      <w:marRight w:val="0"/>
      <w:marTop w:val="0"/>
      <w:marBottom w:val="0"/>
      <w:divBdr>
        <w:top w:val="none" w:sz="0" w:space="0" w:color="auto"/>
        <w:left w:val="none" w:sz="0" w:space="0" w:color="auto"/>
        <w:bottom w:val="none" w:sz="0" w:space="0" w:color="auto"/>
        <w:right w:val="none" w:sz="0" w:space="0" w:color="auto"/>
      </w:divBdr>
    </w:div>
    <w:div w:id="1802914329">
      <w:bodyDiv w:val="1"/>
      <w:marLeft w:val="0"/>
      <w:marRight w:val="0"/>
      <w:marTop w:val="0"/>
      <w:marBottom w:val="0"/>
      <w:divBdr>
        <w:top w:val="none" w:sz="0" w:space="0" w:color="auto"/>
        <w:left w:val="none" w:sz="0" w:space="0" w:color="auto"/>
        <w:bottom w:val="none" w:sz="0" w:space="0" w:color="auto"/>
        <w:right w:val="none" w:sz="0" w:space="0" w:color="auto"/>
      </w:divBdr>
    </w:div>
    <w:div w:id="1802920724">
      <w:bodyDiv w:val="1"/>
      <w:marLeft w:val="0"/>
      <w:marRight w:val="0"/>
      <w:marTop w:val="0"/>
      <w:marBottom w:val="0"/>
      <w:divBdr>
        <w:top w:val="none" w:sz="0" w:space="0" w:color="auto"/>
        <w:left w:val="none" w:sz="0" w:space="0" w:color="auto"/>
        <w:bottom w:val="none" w:sz="0" w:space="0" w:color="auto"/>
        <w:right w:val="none" w:sz="0" w:space="0" w:color="auto"/>
      </w:divBdr>
    </w:div>
    <w:div w:id="1803379981">
      <w:bodyDiv w:val="1"/>
      <w:marLeft w:val="0"/>
      <w:marRight w:val="0"/>
      <w:marTop w:val="0"/>
      <w:marBottom w:val="0"/>
      <w:divBdr>
        <w:top w:val="none" w:sz="0" w:space="0" w:color="auto"/>
        <w:left w:val="none" w:sz="0" w:space="0" w:color="auto"/>
        <w:bottom w:val="none" w:sz="0" w:space="0" w:color="auto"/>
        <w:right w:val="none" w:sz="0" w:space="0" w:color="auto"/>
      </w:divBdr>
    </w:div>
    <w:div w:id="1804424488">
      <w:bodyDiv w:val="1"/>
      <w:marLeft w:val="0"/>
      <w:marRight w:val="0"/>
      <w:marTop w:val="0"/>
      <w:marBottom w:val="0"/>
      <w:divBdr>
        <w:top w:val="none" w:sz="0" w:space="0" w:color="auto"/>
        <w:left w:val="none" w:sz="0" w:space="0" w:color="auto"/>
        <w:bottom w:val="none" w:sz="0" w:space="0" w:color="auto"/>
        <w:right w:val="none" w:sz="0" w:space="0" w:color="auto"/>
      </w:divBdr>
    </w:div>
    <w:div w:id="1805268894">
      <w:bodyDiv w:val="1"/>
      <w:marLeft w:val="0"/>
      <w:marRight w:val="0"/>
      <w:marTop w:val="0"/>
      <w:marBottom w:val="0"/>
      <w:divBdr>
        <w:top w:val="none" w:sz="0" w:space="0" w:color="auto"/>
        <w:left w:val="none" w:sz="0" w:space="0" w:color="auto"/>
        <w:bottom w:val="none" w:sz="0" w:space="0" w:color="auto"/>
        <w:right w:val="none" w:sz="0" w:space="0" w:color="auto"/>
      </w:divBdr>
    </w:div>
    <w:div w:id="1805270521">
      <w:bodyDiv w:val="1"/>
      <w:marLeft w:val="0"/>
      <w:marRight w:val="0"/>
      <w:marTop w:val="0"/>
      <w:marBottom w:val="0"/>
      <w:divBdr>
        <w:top w:val="none" w:sz="0" w:space="0" w:color="auto"/>
        <w:left w:val="none" w:sz="0" w:space="0" w:color="auto"/>
        <w:bottom w:val="none" w:sz="0" w:space="0" w:color="auto"/>
        <w:right w:val="none" w:sz="0" w:space="0" w:color="auto"/>
      </w:divBdr>
    </w:div>
    <w:div w:id="1805273713">
      <w:bodyDiv w:val="1"/>
      <w:marLeft w:val="0"/>
      <w:marRight w:val="0"/>
      <w:marTop w:val="0"/>
      <w:marBottom w:val="0"/>
      <w:divBdr>
        <w:top w:val="none" w:sz="0" w:space="0" w:color="auto"/>
        <w:left w:val="none" w:sz="0" w:space="0" w:color="auto"/>
        <w:bottom w:val="none" w:sz="0" w:space="0" w:color="auto"/>
        <w:right w:val="none" w:sz="0" w:space="0" w:color="auto"/>
      </w:divBdr>
    </w:div>
    <w:div w:id="1806191523">
      <w:bodyDiv w:val="1"/>
      <w:marLeft w:val="0"/>
      <w:marRight w:val="0"/>
      <w:marTop w:val="0"/>
      <w:marBottom w:val="0"/>
      <w:divBdr>
        <w:top w:val="none" w:sz="0" w:space="0" w:color="auto"/>
        <w:left w:val="none" w:sz="0" w:space="0" w:color="auto"/>
        <w:bottom w:val="none" w:sz="0" w:space="0" w:color="auto"/>
        <w:right w:val="none" w:sz="0" w:space="0" w:color="auto"/>
      </w:divBdr>
    </w:div>
    <w:div w:id="1806896659">
      <w:bodyDiv w:val="1"/>
      <w:marLeft w:val="0"/>
      <w:marRight w:val="0"/>
      <w:marTop w:val="0"/>
      <w:marBottom w:val="0"/>
      <w:divBdr>
        <w:top w:val="none" w:sz="0" w:space="0" w:color="auto"/>
        <w:left w:val="none" w:sz="0" w:space="0" w:color="auto"/>
        <w:bottom w:val="none" w:sz="0" w:space="0" w:color="auto"/>
        <w:right w:val="none" w:sz="0" w:space="0" w:color="auto"/>
      </w:divBdr>
    </w:div>
    <w:div w:id="1807308220">
      <w:bodyDiv w:val="1"/>
      <w:marLeft w:val="0"/>
      <w:marRight w:val="0"/>
      <w:marTop w:val="0"/>
      <w:marBottom w:val="0"/>
      <w:divBdr>
        <w:top w:val="none" w:sz="0" w:space="0" w:color="auto"/>
        <w:left w:val="none" w:sz="0" w:space="0" w:color="auto"/>
        <w:bottom w:val="none" w:sz="0" w:space="0" w:color="auto"/>
        <w:right w:val="none" w:sz="0" w:space="0" w:color="auto"/>
      </w:divBdr>
    </w:div>
    <w:div w:id="1807510552">
      <w:bodyDiv w:val="1"/>
      <w:marLeft w:val="0"/>
      <w:marRight w:val="0"/>
      <w:marTop w:val="0"/>
      <w:marBottom w:val="0"/>
      <w:divBdr>
        <w:top w:val="none" w:sz="0" w:space="0" w:color="auto"/>
        <w:left w:val="none" w:sz="0" w:space="0" w:color="auto"/>
        <w:bottom w:val="none" w:sz="0" w:space="0" w:color="auto"/>
        <w:right w:val="none" w:sz="0" w:space="0" w:color="auto"/>
      </w:divBdr>
    </w:div>
    <w:div w:id="1807772242">
      <w:bodyDiv w:val="1"/>
      <w:marLeft w:val="0"/>
      <w:marRight w:val="0"/>
      <w:marTop w:val="0"/>
      <w:marBottom w:val="0"/>
      <w:divBdr>
        <w:top w:val="none" w:sz="0" w:space="0" w:color="auto"/>
        <w:left w:val="none" w:sz="0" w:space="0" w:color="auto"/>
        <w:bottom w:val="none" w:sz="0" w:space="0" w:color="auto"/>
        <w:right w:val="none" w:sz="0" w:space="0" w:color="auto"/>
      </w:divBdr>
    </w:div>
    <w:div w:id="1808083753">
      <w:bodyDiv w:val="1"/>
      <w:marLeft w:val="0"/>
      <w:marRight w:val="0"/>
      <w:marTop w:val="0"/>
      <w:marBottom w:val="0"/>
      <w:divBdr>
        <w:top w:val="none" w:sz="0" w:space="0" w:color="auto"/>
        <w:left w:val="none" w:sz="0" w:space="0" w:color="auto"/>
        <w:bottom w:val="none" w:sz="0" w:space="0" w:color="auto"/>
        <w:right w:val="none" w:sz="0" w:space="0" w:color="auto"/>
      </w:divBdr>
    </w:div>
    <w:div w:id="1808618406">
      <w:bodyDiv w:val="1"/>
      <w:marLeft w:val="0"/>
      <w:marRight w:val="0"/>
      <w:marTop w:val="0"/>
      <w:marBottom w:val="0"/>
      <w:divBdr>
        <w:top w:val="none" w:sz="0" w:space="0" w:color="auto"/>
        <w:left w:val="none" w:sz="0" w:space="0" w:color="auto"/>
        <w:bottom w:val="none" w:sz="0" w:space="0" w:color="auto"/>
        <w:right w:val="none" w:sz="0" w:space="0" w:color="auto"/>
      </w:divBdr>
    </w:div>
    <w:div w:id="1808859796">
      <w:bodyDiv w:val="1"/>
      <w:marLeft w:val="0"/>
      <w:marRight w:val="0"/>
      <w:marTop w:val="0"/>
      <w:marBottom w:val="0"/>
      <w:divBdr>
        <w:top w:val="none" w:sz="0" w:space="0" w:color="auto"/>
        <w:left w:val="none" w:sz="0" w:space="0" w:color="auto"/>
        <w:bottom w:val="none" w:sz="0" w:space="0" w:color="auto"/>
        <w:right w:val="none" w:sz="0" w:space="0" w:color="auto"/>
      </w:divBdr>
    </w:div>
    <w:div w:id="1809589219">
      <w:bodyDiv w:val="1"/>
      <w:marLeft w:val="0"/>
      <w:marRight w:val="0"/>
      <w:marTop w:val="0"/>
      <w:marBottom w:val="0"/>
      <w:divBdr>
        <w:top w:val="none" w:sz="0" w:space="0" w:color="auto"/>
        <w:left w:val="none" w:sz="0" w:space="0" w:color="auto"/>
        <w:bottom w:val="none" w:sz="0" w:space="0" w:color="auto"/>
        <w:right w:val="none" w:sz="0" w:space="0" w:color="auto"/>
      </w:divBdr>
    </w:div>
    <w:div w:id="1809742331">
      <w:bodyDiv w:val="1"/>
      <w:marLeft w:val="0"/>
      <w:marRight w:val="0"/>
      <w:marTop w:val="0"/>
      <w:marBottom w:val="0"/>
      <w:divBdr>
        <w:top w:val="none" w:sz="0" w:space="0" w:color="auto"/>
        <w:left w:val="none" w:sz="0" w:space="0" w:color="auto"/>
        <w:bottom w:val="none" w:sz="0" w:space="0" w:color="auto"/>
        <w:right w:val="none" w:sz="0" w:space="0" w:color="auto"/>
      </w:divBdr>
    </w:div>
    <w:div w:id="1810048705">
      <w:bodyDiv w:val="1"/>
      <w:marLeft w:val="0"/>
      <w:marRight w:val="0"/>
      <w:marTop w:val="0"/>
      <w:marBottom w:val="0"/>
      <w:divBdr>
        <w:top w:val="none" w:sz="0" w:space="0" w:color="auto"/>
        <w:left w:val="none" w:sz="0" w:space="0" w:color="auto"/>
        <w:bottom w:val="none" w:sz="0" w:space="0" w:color="auto"/>
        <w:right w:val="none" w:sz="0" w:space="0" w:color="auto"/>
      </w:divBdr>
    </w:div>
    <w:div w:id="1810390912">
      <w:bodyDiv w:val="1"/>
      <w:marLeft w:val="0"/>
      <w:marRight w:val="0"/>
      <w:marTop w:val="0"/>
      <w:marBottom w:val="0"/>
      <w:divBdr>
        <w:top w:val="none" w:sz="0" w:space="0" w:color="auto"/>
        <w:left w:val="none" w:sz="0" w:space="0" w:color="auto"/>
        <w:bottom w:val="none" w:sz="0" w:space="0" w:color="auto"/>
        <w:right w:val="none" w:sz="0" w:space="0" w:color="auto"/>
      </w:divBdr>
    </w:div>
    <w:div w:id="1810827609">
      <w:bodyDiv w:val="1"/>
      <w:marLeft w:val="0"/>
      <w:marRight w:val="0"/>
      <w:marTop w:val="0"/>
      <w:marBottom w:val="0"/>
      <w:divBdr>
        <w:top w:val="none" w:sz="0" w:space="0" w:color="auto"/>
        <w:left w:val="none" w:sz="0" w:space="0" w:color="auto"/>
        <w:bottom w:val="none" w:sz="0" w:space="0" w:color="auto"/>
        <w:right w:val="none" w:sz="0" w:space="0" w:color="auto"/>
      </w:divBdr>
    </w:div>
    <w:div w:id="1810897278">
      <w:bodyDiv w:val="1"/>
      <w:marLeft w:val="0"/>
      <w:marRight w:val="0"/>
      <w:marTop w:val="0"/>
      <w:marBottom w:val="0"/>
      <w:divBdr>
        <w:top w:val="none" w:sz="0" w:space="0" w:color="auto"/>
        <w:left w:val="none" w:sz="0" w:space="0" w:color="auto"/>
        <w:bottom w:val="none" w:sz="0" w:space="0" w:color="auto"/>
        <w:right w:val="none" w:sz="0" w:space="0" w:color="auto"/>
      </w:divBdr>
    </w:div>
    <w:div w:id="1810973597">
      <w:bodyDiv w:val="1"/>
      <w:marLeft w:val="0"/>
      <w:marRight w:val="0"/>
      <w:marTop w:val="0"/>
      <w:marBottom w:val="0"/>
      <w:divBdr>
        <w:top w:val="none" w:sz="0" w:space="0" w:color="auto"/>
        <w:left w:val="none" w:sz="0" w:space="0" w:color="auto"/>
        <w:bottom w:val="none" w:sz="0" w:space="0" w:color="auto"/>
        <w:right w:val="none" w:sz="0" w:space="0" w:color="auto"/>
      </w:divBdr>
    </w:div>
    <w:div w:id="1811092647">
      <w:bodyDiv w:val="1"/>
      <w:marLeft w:val="0"/>
      <w:marRight w:val="0"/>
      <w:marTop w:val="0"/>
      <w:marBottom w:val="0"/>
      <w:divBdr>
        <w:top w:val="none" w:sz="0" w:space="0" w:color="auto"/>
        <w:left w:val="none" w:sz="0" w:space="0" w:color="auto"/>
        <w:bottom w:val="none" w:sz="0" w:space="0" w:color="auto"/>
        <w:right w:val="none" w:sz="0" w:space="0" w:color="auto"/>
      </w:divBdr>
    </w:div>
    <w:div w:id="1811095663">
      <w:bodyDiv w:val="1"/>
      <w:marLeft w:val="0"/>
      <w:marRight w:val="0"/>
      <w:marTop w:val="0"/>
      <w:marBottom w:val="0"/>
      <w:divBdr>
        <w:top w:val="none" w:sz="0" w:space="0" w:color="auto"/>
        <w:left w:val="none" w:sz="0" w:space="0" w:color="auto"/>
        <w:bottom w:val="none" w:sz="0" w:space="0" w:color="auto"/>
        <w:right w:val="none" w:sz="0" w:space="0" w:color="auto"/>
      </w:divBdr>
    </w:div>
    <w:div w:id="1811242619">
      <w:bodyDiv w:val="1"/>
      <w:marLeft w:val="0"/>
      <w:marRight w:val="0"/>
      <w:marTop w:val="0"/>
      <w:marBottom w:val="0"/>
      <w:divBdr>
        <w:top w:val="none" w:sz="0" w:space="0" w:color="auto"/>
        <w:left w:val="none" w:sz="0" w:space="0" w:color="auto"/>
        <w:bottom w:val="none" w:sz="0" w:space="0" w:color="auto"/>
        <w:right w:val="none" w:sz="0" w:space="0" w:color="auto"/>
      </w:divBdr>
    </w:div>
    <w:div w:id="1811704595">
      <w:bodyDiv w:val="1"/>
      <w:marLeft w:val="0"/>
      <w:marRight w:val="0"/>
      <w:marTop w:val="0"/>
      <w:marBottom w:val="0"/>
      <w:divBdr>
        <w:top w:val="none" w:sz="0" w:space="0" w:color="auto"/>
        <w:left w:val="none" w:sz="0" w:space="0" w:color="auto"/>
        <w:bottom w:val="none" w:sz="0" w:space="0" w:color="auto"/>
        <w:right w:val="none" w:sz="0" w:space="0" w:color="auto"/>
      </w:divBdr>
    </w:div>
    <w:div w:id="1812211357">
      <w:bodyDiv w:val="1"/>
      <w:marLeft w:val="0"/>
      <w:marRight w:val="0"/>
      <w:marTop w:val="0"/>
      <w:marBottom w:val="0"/>
      <w:divBdr>
        <w:top w:val="none" w:sz="0" w:space="0" w:color="auto"/>
        <w:left w:val="none" w:sz="0" w:space="0" w:color="auto"/>
        <w:bottom w:val="none" w:sz="0" w:space="0" w:color="auto"/>
        <w:right w:val="none" w:sz="0" w:space="0" w:color="auto"/>
      </w:divBdr>
    </w:div>
    <w:div w:id="1812360217">
      <w:bodyDiv w:val="1"/>
      <w:marLeft w:val="0"/>
      <w:marRight w:val="0"/>
      <w:marTop w:val="0"/>
      <w:marBottom w:val="0"/>
      <w:divBdr>
        <w:top w:val="none" w:sz="0" w:space="0" w:color="auto"/>
        <w:left w:val="none" w:sz="0" w:space="0" w:color="auto"/>
        <w:bottom w:val="none" w:sz="0" w:space="0" w:color="auto"/>
        <w:right w:val="none" w:sz="0" w:space="0" w:color="auto"/>
      </w:divBdr>
    </w:div>
    <w:div w:id="1812481504">
      <w:bodyDiv w:val="1"/>
      <w:marLeft w:val="0"/>
      <w:marRight w:val="0"/>
      <w:marTop w:val="0"/>
      <w:marBottom w:val="0"/>
      <w:divBdr>
        <w:top w:val="none" w:sz="0" w:space="0" w:color="auto"/>
        <w:left w:val="none" w:sz="0" w:space="0" w:color="auto"/>
        <w:bottom w:val="none" w:sz="0" w:space="0" w:color="auto"/>
        <w:right w:val="none" w:sz="0" w:space="0" w:color="auto"/>
      </w:divBdr>
    </w:div>
    <w:div w:id="1812601902">
      <w:bodyDiv w:val="1"/>
      <w:marLeft w:val="0"/>
      <w:marRight w:val="0"/>
      <w:marTop w:val="0"/>
      <w:marBottom w:val="0"/>
      <w:divBdr>
        <w:top w:val="none" w:sz="0" w:space="0" w:color="auto"/>
        <w:left w:val="none" w:sz="0" w:space="0" w:color="auto"/>
        <w:bottom w:val="none" w:sz="0" w:space="0" w:color="auto"/>
        <w:right w:val="none" w:sz="0" w:space="0" w:color="auto"/>
      </w:divBdr>
    </w:div>
    <w:div w:id="1812673651">
      <w:bodyDiv w:val="1"/>
      <w:marLeft w:val="0"/>
      <w:marRight w:val="0"/>
      <w:marTop w:val="0"/>
      <w:marBottom w:val="0"/>
      <w:divBdr>
        <w:top w:val="none" w:sz="0" w:space="0" w:color="auto"/>
        <w:left w:val="none" w:sz="0" w:space="0" w:color="auto"/>
        <w:bottom w:val="none" w:sz="0" w:space="0" w:color="auto"/>
        <w:right w:val="none" w:sz="0" w:space="0" w:color="auto"/>
      </w:divBdr>
    </w:div>
    <w:div w:id="1812747803">
      <w:bodyDiv w:val="1"/>
      <w:marLeft w:val="0"/>
      <w:marRight w:val="0"/>
      <w:marTop w:val="0"/>
      <w:marBottom w:val="0"/>
      <w:divBdr>
        <w:top w:val="none" w:sz="0" w:space="0" w:color="auto"/>
        <w:left w:val="none" w:sz="0" w:space="0" w:color="auto"/>
        <w:bottom w:val="none" w:sz="0" w:space="0" w:color="auto"/>
        <w:right w:val="none" w:sz="0" w:space="0" w:color="auto"/>
      </w:divBdr>
    </w:div>
    <w:div w:id="1812751810">
      <w:bodyDiv w:val="1"/>
      <w:marLeft w:val="0"/>
      <w:marRight w:val="0"/>
      <w:marTop w:val="0"/>
      <w:marBottom w:val="0"/>
      <w:divBdr>
        <w:top w:val="none" w:sz="0" w:space="0" w:color="auto"/>
        <w:left w:val="none" w:sz="0" w:space="0" w:color="auto"/>
        <w:bottom w:val="none" w:sz="0" w:space="0" w:color="auto"/>
        <w:right w:val="none" w:sz="0" w:space="0" w:color="auto"/>
      </w:divBdr>
    </w:div>
    <w:div w:id="1813054855">
      <w:bodyDiv w:val="1"/>
      <w:marLeft w:val="0"/>
      <w:marRight w:val="0"/>
      <w:marTop w:val="0"/>
      <w:marBottom w:val="0"/>
      <w:divBdr>
        <w:top w:val="none" w:sz="0" w:space="0" w:color="auto"/>
        <w:left w:val="none" w:sz="0" w:space="0" w:color="auto"/>
        <w:bottom w:val="none" w:sz="0" w:space="0" w:color="auto"/>
        <w:right w:val="none" w:sz="0" w:space="0" w:color="auto"/>
      </w:divBdr>
    </w:div>
    <w:div w:id="1813251050">
      <w:bodyDiv w:val="1"/>
      <w:marLeft w:val="0"/>
      <w:marRight w:val="0"/>
      <w:marTop w:val="0"/>
      <w:marBottom w:val="0"/>
      <w:divBdr>
        <w:top w:val="none" w:sz="0" w:space="0" w:color="auto"/>
        <w:left w:val="none" w:sz="0" w:space="0" w:color="auto"/>
        <w:bottom w:val="none" w:sz="0" w:space="0" w:color="auto"/>
        <w:right w:val="none" w:sz="0" w:space="0" w:color="auto"/>
      </w:divBdr>
    </w:div>
    <w:div w:id="1813327997">
      <w:bodyDiv w:val="1"/>
      <w:marLeft w:val="0"/>
      <w:marRight w:val="0"/>
      <w:marTop w:val="0"/>
      <w:marBottom w:val="0"/>
      <w:divBdr>
        <w:top w:val="none" w:sz="0" w:space="0" w:color="auto"/>
        <w:left w:val="none" w:sz="0" w:space="0" w:color="auto"/>
        <w:bottom w:val="none" w:sz="0" w:space="0" w:color="auto"/>
        <w:right w:val="none" w:sz="0" w:space="0" w:color="auto"/>
      </w:divBdr>
    </w:div>
    <w:div w:id="1813398752">
      <w:bodyDiv w:val="1"/>
      <w:marLeft w:val="0"/>
      <w:marRight w:val="0"/>
      <w:marTop w:val="0"/>
      <w:marBottom w:val="0"/>
      <w:divBdr>
        <w:top w:val="none" w:sz="0" w:space="0" w:color="auto"/>
        <w:left w:val="none" w:sz="0" w:space="0" w:color="auto"/>
        <w:bottom w:val="none" w:sz="0" w:space="0" w:color="auto"/>
        <w:right w:val="none" w:sz="0" w:space="0" w:color="auto"/>
      </w:divBdr>
    </w:div>
    <w:div w:id="1813405254">
      <w:bodyDiv w:val="1"/>
      <w:marLeft w:val="0"/>
      <w:marRight w:val="0"/>
      <w:marTop w:val="0"/>
      <w:marBottom w:val="0"/>
      <w:divBdr>
        <w:top w:val="none" w:sz="0" w:space="0" w:color="auto"/>
        <w:left w:val="none" w:sz="0" w:space="0" w:color="auto"/>
        <w:bottom w:val="none" w:sz="0" w:space="0" w:color="auto"/>
        <w:right w:val="none" w:sz="0" w:space="0" w:color="auto"/>
      </w:divBdr>
    </w:div>
    <w:div w:id="1813522659">
      <w:bodyDiv w:val="1"/>
      <w:marLeft w:val="0"/>
      <w:marRight w:val="0"/>
      <w:marTop w:val="0"/>
      <w:marBottom w:val="0"/>
      <w:divBdr>
        <w:top w:val="none" w:sz="0" w:space="0" w:color="auto"/>
        <w:left w:val="none" w:sz="0" w:space="0" w:color="auto"/>
        <w:bottom w:val="none" w:sz="0" w:space="0" w:color="auto"/>
        <w:right w:val="none" w:sz="0" w:space="0" w:color="auto"/>
      </w:divBdr>
    </w:div>
    <w:div w:id="1813522806">
      <w:bodyDiv w:val="1"/>
      <w:marLeft w:val="0"/>
      <w:marRight w:val="0"/>
      <w:marTop w:val="0"/>
      <w:marBottom w:val="0"/>
      <w:divBdr>
        <w:top w:val="none" w:sz="0" w:space="0" w:color="auto"/>
        <w:left w:val="none" w:sz="0" w:space="0" w:color="auto"/>
        <w:bottom w:val="none" w:sz="0" w:space="0" w:color="auto"/>
        <w:right w:val="none" w:sz="0" w:space="0" w:color="auto"/>
      </w:divBdr>
    </w:div>
    <w:div w:id="1813523192">
      <w:bodyDiv w:val="1"/>
      <w:marLeft w:val="0"/>
      <w:marRight w:val="0"/>
      <w:marTop w:val="0"/>
      <w:marBottom w:val="0"/>
      <w:divBdr>
        <w:top w:val="none" w:sz="0" w:space="0" w:color="auto"/>
        <w:left w:val="none" w:sz="0" w:space="0" w:color="auto"/>
        <w:bottom w:val="none" w:sz="0" w:space="0" w:color="auto"/>
        <w:right w:val="none" w:sz="0" w:space="0" w:color="auto"/>
      </w:divBdr>
    </w:div>
    <w:div w:id="1814173867">
      <w:bodyDiv w:val="1"/>
      <w:marLeft w:val="0"/>
      <w:marRight w:val="0"/>
      <w:marTop w:val="0"/>
      <w:marBottom w:val="0"/>
      <w:divBdr>
        <w:top w:val="none" w:sz="0" w:space="0" w:color="auto"/>
        <w:left w:val="none" w:sz="0" w:space="0" w:color="auto"/>
        <w:bottom w:val="none" w:sz="0" w:space="0" w:color="auto"/>
        <w:right w:val="none" w:sz="0" w:space="0" w:color="auto"/>
      </w:divBdr>
    </w:div>
    <w:div w:id="1814179595">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5025444">
      <w:bodyDiv w:val="1"/>
      <w:marLeft w:val="0"/>
      <w:marRight w:val="0"/>
      <w:marTop w:val="0"/>
      <w:marBottom w:val="0"/>
      <w:divBdr>
        <w:top w:val="none" w:sz="0" w:space="0" w:color="auto"/>
        <w:left w:val="none" w:sz="0" w:space="0" w:color="auto"/>
        <w:bottom w:val="none" w:sz="0" w:space="0" w:color="auto"/>
        <w:right w:val="none" w:sz="0" w:space="0" w:color="auto"/>
      </w:divBdr>
    </w:div>
    <w:div w:id="1815221655">
      <w:bodyDiv w:val="1"/>
      <w:marLeft w:val="0"/>
      <w:marRight w:val="0"/>
      <w:marTop w:val="0"/>
      <w:marBottom w:val="0"/>
      <w:divBdr>
        <w:top w:val="none" w:sz="0" w:space="0" w:color="auto"/>
        <w:left w:val="none" w:sz="0" w:space="0" w:color="auto"/>
        <w:bottom w:val="none" w:sz="0" w:space="0" w:color="auto"/>
        <w:right w:val="none" w:sz="0" w:space="0" w:color="auto"/>
      </w:divBdr>
    </w:div>
    <w:div w:id="1816026577">
      <w:bodyDiv w:val="1"/>
      <w:marLeft w:val="0"/>
      <w:marRight w:val="0"/>
      <w:marTop w:val="0"/>
      <w:marBottom w:val="0"/>
      <w:divBdr>
        <w:top w:val="none" w:sz="0" w:space="0" w:color="auto"/>
        <w:left w:val="none" w:sz="0" w:space="0" w:color="auto"/>
        <w:bottom w:val="none" w:sz="0" w:space="0" w:color="auto"/>
        <w:right w:val="none" w:sz="0" w:space="0" w:color="auto"/>
      </w:divBdr>
    </w:div>
    <w:div w:id="1816215503">
      <w:bodyDiv w:val="1"/>
      <w:marLeft w:val="0"/>
      <w:marRight w:val="0"/>
      <w:marTop w:val="0"/>
      <w:marBottom w:val="0"/>
      <w:divBdr>
        <w:top w:val="none" w:sz="0" w:space="0" w:color="auto"/>
        <w:left w:val="none" w:sz="0" w:space="0" w:color="auto"/>
        <w:bottom w:val="none" w:sz="0" w:space="0" w:color="auto"/>
        <w:right w:val="none" w:sz="0" w:space="0" w:color="auto"/>
      </w:divBdr>
    </w:div>
    <w:div w:id="1817139370">
      <w:bodyDiv w:val="1"/>
      <w:marLeft w:val="0"/>
      <w:marRight w:val="0"/>
      <w:marTop w:val="0"/>
      <w:marBottom w:val="0"/>
      <w:divBdr>
        <w:top w:val="none" w:sz="0" w:space="0" w:color="auto"/>
        <w:left w:val="none" w:sz="0" w:space="0" w:color="auto"/>
        <w:bottom w:val="none" w:sz="0" w:space="0" w:color="auto"/>
        <w:right w:val="none" w:sz="0" w:space="0" w:color="auto"/>
      </w:divBdr>
    </w:div>
    <w:div w:id="1817525249">
      <w:bodyDiv w:val="1"/>
      <w:marLeft w:val="0"/>
      <w:marRight w:val="0"/>
      <w:marTop w:val="0"/>
      <w:marBottom w:val="0"/>
      <w:divBdr>
        <w:top w:val="none" w:sz="0" w:space="0" w:color="auto"/>
        <w:left w:val="none" w:sz="0" w:space="0" w:color="auto"/>
        <w:bottom w:val="none" w:sz="0" w:space="0" w:color="auto"/>
        <w:right w:val="none" w:sz="0" w:space="0" w:color="auto"/>
      </w:divBdr>
    </w:div>
    <w:div w:id="1817986753">
      <w:bodyDiv w:val="1"/>
      <w:marLeft w:val="0"/>
      <w:marRight w:val="0"/>
      <w:marTop w:val="0"/>
      <w:marBottom w:val="0"/>
      <w:divBdr>
        <w:top w:val="none" w:sz="0" w:space="0" w:color="auto"/>
        <w:left w:val="none" w:sz="0" w:space="0" w:color="auto"/>
        <w:bottom w:val="none" w:sz="0" w:space="0" w:color="auto"/>
        <w:right w:val="none" w:sz="0" w:space="0" w:color="auto"/>
      </w:divBdr>
    </w:div>
    <w:div w:id="1818066048">
      <w:bodyDiv w:val="1"/>
      <w:marLeft w:val="0"/>
      <w:marRight w:val="0"/>
      <w:marTop w:val="0"/>
      <w:marBottom w:val="0"/>
      <w:divBdr>
        <w:top w:val="none" w:sz="0" w:space="0" w:color="auto"/>
        <w:left w:val="none" w:sz="0" w:space="0" w:color="auto"/>
        <w:bottom w:val="none" w:sz="0" w:space="0" w:color="auto"/>
        <w:right w:val="none" w:sz="0" w:space="0" w:color="auto"/>
      </w:divBdr>
    </w:div>
    <w:div w:id="1818185631">
      <w:bodyDiv w:val="1"/>
      <w:marLeft w:val="0"/>
      <w:marRight w:val="0"/>
      <w:marTop w:val="0"/>
      <w:marBottom w:val="0"/>
      <w:divBdr>
        <w:top w:val="none" w:sz="0" w:space="0" w:color="auto"/>
        <w:left w:val="none" w:sz="0" w:space="0" w:color="auto"/>
        <w:bottom w:val="none" w:sz="0" w:space="0" w:color="auto"/>
        <w:right w:val="none" w:sz="0" w:space="0" w:color="auto"/>
      </w:divBdr>
    </w:div>
    <w:div w:id="1818497286">
      <w:bodyDiv w:val="1"/>
      <w:marLeft w:val="0"/>
      <w:marRight w:val="0"/>
      <w:marTop w:val="0"/>
      <w:marBottom w:val="0"/>
      <w:divBdr>
        <w:top w:val="none" w:sz="0" w:space="0" w:color="auto"/>
        <w:left w:val="none" w:sz="0" w:space="0" w:color="auto"/>
        <w:bottom w:val="none" w:sz="0" w:space="0" w:color="auto"/>
        <w:right w:val="none" w:sz="0" w:space="0" w:color="auto"/>
      </w:divBdr>
    </w:div>
    <w:div w:id="1818566014">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19031110">
      <w:bodyDiv w:val="1"/>
      <w:marLeft w:val="0"/>
      <w:marRight w:val="0"/>
      <w:marTop w:val="0"/>
      <w:marBottom w:val="0"/>
      <w:divBdr>
        <w:top w:val="none" w:sz="0" w:space="0" w:color="auto"/>
        <w:left w:val="none" w:sz="0" w:space="0" w:color="auto"/>
        <w:bottom w:val="none" w:sz="0" w:space="0" w:color="auto"/>
        <w:right w:val="none" w:sz="0" w:space="0" w:color="auto"/>
      </w:divBdr>
    </w:div>
    <w:div w:id="1819224746">
      <w:bodyDiv w:val="1"/>
      <w:marLeft w:val="0"/>
      <w:marRight w:val="0"/>
      <w:marTop w:val="0"/>
      <w:marBottom w:val="0"/>
      <w:divBdr>
        <w:top w:val="none" w:sz="0" w:space="0" w:color="auto"/>
        <w:left w:val="none" w:sz="0" w:space="0" w:color="auto"/>
        <w:bottom w:val="none" w:sz="0" w:space="0" w:color="auto"/>
        <w:right w:val="none" w:sz="0" w:space="0" w:color="auto"/>
      </w:divBdr>
    </w:div>
    <w:div w:id="1819225244">
      <w:bodyDiv w:val="1"/>
      <w:marLeft w:val="0"/>
      <w:marRight w:val="0"/>
      <w:marTop w:val="0"/>
      <w:marBottom w:val="0"/>
      <w:divBdr>
        <w:top w:val="none" w:sz="0" w:space="0" w:color="auto"/>
        <w:left w:val="none" w:sz="0" w:space="0" w:color="auto"/>
        <w:bottom w:val="none" w:sz="0" w:space="0" w:color="auto"/>
        <w:right w:val="none" w:sz="0" w:space="0" w:color="auto"/>
      </w:divBdr>
    </w:div>
    <w:div w:id="1819347489">
      <w:bodyDiv w:val="1"/>
      <w:marLeft w:val="0"/>
      <w:marRight w:val="0"/>
      <w:marTop w:val="0"/>
      <w:marBottom w:val="0"/>
      <w:divBdr>
        <w:top w:val="none" w:sz="0" w:space="0" w:color="auto"/>
        <w:left w:val="none" w:sz="0" w:space="0" w:color="auto"/>
        <w:bottom w:val="none" w:sz="0" w:space="0" w:color="auto"/>
        <w:right w:val="none" w:sz="0" w:space="0" w:color="auto"/>
      </w:divBdr>
    </w:div>
    <w:div w:id="1819489622">
      <w:bodyDiv w:val="1"/>
      <w:marLeft w:val="0"/>
      <w:marRight w:val="0"/>
      <w:marTop w:val="0"/>
      <w:marBottom w:val="0"/>
      <w:divBdr>
        <w:top w:val="none" w:sz="0" w:space="0" w:color="auto"/>
        <w:left w:val="none" w:sz="0" w:space="0" w:color="auto"/>
        <w:bottom w:val="none" w:sz="0" w:space="0" w:color="auto"/>
        <w:right w:val="none" w:sz="0" w:space="0" w:color="auto"/>
      </w:divBdr>
    </w:div>
    <w:div w:id="1819570760">
      <w:bodyDiv w:val="1"/>
      <w:marLeft w:val="0"/>
      <w:marRight w:val="0"/>
      <w:marTop w:val="0"/>
      <w:marBottom w:val="0"/>
      <w:divBdr>
        <w:top w:val="none" w:sz="0" w:space="0" w:color="auto"/>
        <w:left w:val="none" w:sz="0" w:space="0" w:color="auto"/>
        <w:bottom w:val="none" w:sz="0" w:space="0" w:color="auto"/>
        <w:right w:val="none" w:sz="0" w:space="0" w:color="auto"/>
      </w:divBdr>
    </w:div>
    <w:div w:id="1819615545">
      <w:bodyDiv w:val="1"/>
      <w:marLeft w:val="0"/>
      <w:marRight w:val="0"/>
      <w:marTop w:val="0"/>
      <w:marBottom w:val="0"/>
      <w:divBdr>
        <w:top w:val="none" w:sz="0" w:space="0" w:color="auto"/>
        <w:left w:val="none" w:sz="0" w:space="0" w:color="auto"/>
        <w:bottom w:val="none" w:sz="0" w:space="0" w:color="auto"/>
        <w:right w:val="none" w:sz="0" w:space="0" w:color="auto"/>
      </w:divBdr>
    </w:div>
    <w:div w:id="1819685526">
      <w:bodyDiv w:val="1"/>
      <w:marLeft w:val="0"/>
      <w:marRight w:val="0"/>
      <w:marTop w:val="0"/>
      <w:marBottom w:val="0"/>
      <w:divBdr>
        <w:top w:val="none" w:sz="0" w:space="0" w:color="auto"/>
        <w:left w:val="none" w:sz="0" w:space="0" w:color="auto"/>
        <w:bottom w:val="none" w:sz="0" w:space="0" w:color="auto"/>
        <w:right w:val="none" w:sz="0" w:space="0" w:color="auto"/>
      </w:divBdr>
    </w:div>
    <w:div w:id="1819804053">
      <w:bodyDiv w:val="1"/>
      <w:marLeft w:val="0"/>
      <w:marRight w:val="0"/>
      <w:marTop w:val="0"/>
      <w:marBottom w:val="0"/>
      <w:divBdr>
        <w:top w:val="none" w:sz="0" w:space="0" w:color="auto"/>
        <w:left w:val="none" w:sz="0" w:space="0" w:color="auto"/>
        <w:bottom w:val="none" w:sz="0" w:space="0" w:color="auto"/>
        <w:right w:val="none" w:sz="0" w:space="0" w:color="auto"/>
      </w:divBdr>
    </w:div>
    <w:div w:id="1819953007">
      <w:bodyDiv w:val="1"/>
      <w:marLeft w:val="0"/>
      <w:marRight w:val="0"/>
      <w:marTop w:val="0"/>
      <w:marBottom w:val="0"/>
      <w:divBdr>
        <w:top w:val="none" w:sz="0" w:space="0" w:color="auto"/>
        <w:left w:val="none" w:sz="0" w:space="0" w:color="auto"/>
        <w:bottom w:val="none" w:sz="0" w:space="0" w:color="auto"/>
        <w:right w:val="none" w:sz="0" w:space="0" w:color="auto"/>
      </w:divBdr>
    </w:div>
    <w:div w:id="1820225573">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0344483">
      <w:bodyDiv w:val="1"/>
      <w:marLeft w:val="0"/>
      <w:marRight w:val="0"/>
      <w:marTop w:val="0"/>
      <w:marBottom w:val="0"/>
      <w:divBdr>
        <w:top w:val="none" w:sz="0" w:space="0" w:color="auto"/>
        <w:left w:val="none" w:sz="0" w:space="0" w:color="auto"/>
        <w:bottom w:val="none" w:sz="0" w:space="0" w:color="auto"/>
        <w:right w:val="none" w:sz="0" w:space="0" w:color="auto"/>
      </w:divBdr>
    </w:div>
    <w:div w:id="1820491625">
      <w:bodyDiv w:val="1"/>
      <w:marLeft w:val="0"/>
      <w:marRight w:val="0"/>
      <w:marTop w:val="0"/>
      <w:marBottom w:val="0"/>
      <w:divBdr>
        <w:top w:val="none" w:sz="0" w:space="0" w:color="auto"/>
        <w:left w:val="none" w:sz="0" w:space="0" w:color="auto"/>
        <w:bottom w:val="none" w:sz="0" w:space="0" w:color="auto"/>
        <w:right w:val="none" w:sz="0" w:space="0" w:color="auto"/>
      </w:divBdr>
    </w:div>
    <w:div w:id="1820606484">
      <w:bodyDiv w:val="1"/>
      <w:marLeft w:val="0"/>
      <w:marRight w:val="0"/>
      <w:marTop w:val="0"/>
      <w:marBottom w:val="0"/>
      <w:divBdr>
        <w:top w:val="none" w:sz="0" w:space="0" w:color="auto"/>
        <w:left w:val="none" w:sz="0" w:space="0" w:color="auto"/>
        <w:bottom w:val="none" w:sz="0" w:space="0" w:color="auto"/>
        <w:right w:val="none" w:sz="0" w:space="0" w:color="auto"/>
      </w:divBdr>
    </w:div>
    <w:div w:id="1820923231">
      <w:bodyDiv w:val="1"/>
      <w:marLeft w:val="0"/>
      <w:marRight w:val="0"/>
      <w:marTop w:val="0"/>
      <w:marBottom w:val="0"/>
      <w:divBdr>
        <w:top w:val="none" w:sz="0" w:space="0" w:color="auto"/>
        <w:left w:val="none" w:sz="0" w:space="0" w:color="auto"/>
        <w:bottom w:val="none" w:sz="0" w:space="0" w:color="auto"/>
        <w:right w:val="none" w:sz="0" w:space="0" w:color="auto"/>
      </w:divBdr>
    </w:div>
    <w:div w:id="1821145371">
      <w:bodyDiv w:val="1"/>
      <w:marLeft w:val="0"/>
      <w:marRight w:val="0"/>
      <w:marTop w:val="0"/>
      <w:marBottom w:val="0"/>
      <w:divBdr>
        <w:top w:val="none" w:sz="0" w:space="0" w:color="auto"/>
        <w:left w:val="none" w:sz="0" w:space="0" w:color="auto"/>
        <w:bottom w:val="none" w:sz="0" w:space="0" w:color="auto"/>
        <w:right w:val="none" w:sz="0" w:space="0" w:color="auto"/>
      </w:divBdr>
    </w:div>
    <w:div w:id="1821580124">
      <w:bodyDiv w:val="1"/>
      <w:marLeft w:val="0"/>
      <w:marRight w:val="0"/>
      <w:marTop w:val="0"/>
      <w:marBottom w:val="0"/>
      <w:divBdr>
        <w:top w:val="none" w:sz="0" w:space="0" w:color="auto"/>
        <w:left w:val="none" w:sz="0" w:space="0" w:color="auto"/>
        <w:bottom w:val="none" w:sz="0" w:space="0" w:color="auto"/>
        <w:right w:val="none" w:sz="0" w:space="0" w:color="auto"/>
      </w:divBdr>
    </w:div>
    <w:div w:id="1821580557">
      <w:bodyDiv w:val="1"/>
      <w:marLeft w:val="0"/>
      <w:marRight w:val="0"/>
      <w:marTop w:val="0"/>
      <w:marBottom w:val="0"/>
      <w:divBdr>
        <w:top w:val="none" w:sz="0" w:space="0" w:color="auto"/>
        <w:left w:val="none" w:sz="0" w:space="0" w:color="auto"/>
        <w:bottom w:val="none" w:sz="0" w:space="0" w:color="auto"/>
        <w:right w:val="none" w:sz="0" w:space="0" w:color="auto"/>
      </w:divBdr>
    </w:div>
    <w:div w:id="1821774703">
      <w:bodyDiv w:val="1"/>
      <w:marLeft w:val="0"/>
      <w:marRight w:val="0"/>
      <w:marTop w:val="0"/>
      <w:marBottom w:val="0"/>
      <w:divBdr>
        <w:top w:val="none" w:sz="0" w:space="0" w:color="auto"/>
        <w:left w:val="none" w:sz="0" w:space="0" w:color="auto"/>
        <w:bottom w:val="none" w:sz="0" w:space="0" w:color="auto"/>
        <w:right w:val="none" w:sz="0" w:space="0" w:color="auto"/>
      </w:divBdr>
    </w:div>
    <w:div w:id="1822311607">
      <w:bodyDiv w:val="1"/>
      <w:marLeft w:val="0"/>
      <w:marRight w:val="0"/>
      <w:marTop w:val="0"/>
      <w:marBottom w:val="0"/>
      <w:divBdr>
        <w:top w:val="none" w:sz="0" w:space="0" w:color="auto"/>
        <w:left w:val="none" w:sz="0" w:space="0" w:color="auto"/>
        <w:bottom w:val="none" w:sz="0" w:space="0" w:color="auto"/>
        <w:right w:val="none" w:sz="0" w:space="0" w:color="auto"/>
      </w:divBdr>
    </w:div>
    <w:div w:id="1822498419">
      <w:bodyDiv w:val="1"/>
      <w:marLeft w:val="0"/>
      <w:marRight w:val="0"/>
      <w:marTop w:val="0"/>
      <w:marBottom w:val="0"/>
      <w:divBdr>
        <w:top w:val="none" w:sz="0" w:space="0" w:color="auto"/>
        <w:left w:val="none" w:sz="0" w:space="0" w:color="auto"/>
        <w:bottom w:val="none" w:sz="0" w:space="0" w:color="auto"/>
        <w:right w:val="none" w:sz="0" w:space="0" w:color="auto"/>
      </w:divBdr>
    </w:div>
    <w:div w:id="1822841725">
      <w:bodyDiv w:val="1"/>
      <w:marLeft w:val="0"/>
      <w:marRight w:val="0"/>
      <w:marTop w:val="0"/>
      <w:marBottom w:val="0"/>
      <w:divBdr>
        <w:top w:val="none" w:sz="0" w:space="0" w:color="auto"/>
        <w:left w:val="none" w:sz="0" w:space="0" w:color="auto"/>
        <w:bottom w:val="none" w:sz="0" w:space="0" w:color="auto"/>
        <w:right w:val="none" w:sz="0" w:space="0" w:color="auto"/>
      </w:divBdr>
    </w:div>
    <w:div w:id="1822886478">
      <w:bodyDiv w:val="1"/>
      <w:marLeft w:val="0"/>
      <w:marRight w:val="0"/>
      <w:marTop w:val="0"/>
      <w:marBottom w:val="0"/>
      <w:divBdr>
        <w:top w:val="none" w:sz="0" w:space="0" w:color="auto"/>
        <w:left w:val="none" w:sz="0" w:space="0" w:color="auto"/>
        <w:bottom w:val="none" w:sz="0" w:space="0" w:color="auto"/>
        <w:right w:val="none" w:sz="0" w:space="0" w:color="auto"/>
      </w:divBdr>
    </w:div>
    <w:div w:id="1822963034">
      <w:bodyDiv w:val="1"/>
      <w:marLeft w:val="0"/>
      <w:marRight w:val="0"/>
      <w:marTop w:val="0"/>
      <w:marBottom w:val="0"/>
      <w:divBdr>
        <w:top w:val="none" w:sz="0" w:space="0" w:color="auto"/>
        <w:left w:val="none" w:sz="0" w:space="0" w:color="auto"/>
        <w:bottom w:val="none" w:sz="0" w:space="0" w:color="auto"/>
        <w:right w:val="none" w:sz="0" w:space="0" w:color="auto"/>
      </w:divBdr>
    </w:div>
    <w:div w:id="1823082924">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23615111">
      <w:bodyDiv w:val="1"/>
      <w:marLeft w:val="0"/>
      <w:marRight w:val="0"/>
      <w:marTop w:val="0"/>
      <w:marBottom w:val="0"/>
      <w:divBdr>
        <w:top w:val="none" w:sz="0" w:space="0" w:color="auto"/>
        <w:left w:val="none" w:sz="0" w:space="0" w:color="auto"/>
        <w:bottom w:val="none" w:sz="0" w:space="0" w:color="auto"/>
        <w:right w:val="none" w:sz="0" w:space="0" w:color="auto"/>
      </w:divBdr>
    </w:div>
    <w:div w:id="1823623332">
      <w:bodyDiv w:val="1"/>
      <w:marLeft w:val="0"/>
      <w:marRight w:val="0"/>
      <w:marTop w:val="0"/>
      <w:marBottom w:val="0"/>
      <w:divBdr>
        <w:top w:val="none" w:sz="0" w:space="0" w:color="auto"/>
        <w:left w:val="none" w:sz="0" w:space="0" w:color="auto"/>
        <w:bottom w:val="none" w:sz="0" w:space="0" w:color="auto"/>
        <w:right w:val="none" w:sz="0" w:space="0" w:color="auto"/>
      </w:divBdr>
    </w:div>
    <w:div w:id="1823887400">
      <w:bodyDiv w:val="1"/>
      <w:marLeft w:val="0"/>
      <w:marRight w:val="0"/>
      <w:marTop w:val="0"/>
      <w:marBottom w:val="0"/>
      <w:divBdr>
        <w:top w:val="none" w:sz="0" w:space="0" w:color="auto"/>
        <w:left w:val="none" w:sz="0" w:space="0" w:color="auto"/>
        <w:bottom w:val="none" w:sz="0" w:space="0" w:color="auto"/>
        <w:right w:val="none" w:sz="0" w:space="0" w:color="auto"/>
      </w:divBdr>
    </w:div>
    <w:div w:id="1824154980">
      <w:bodyDiv w:val="1"/>
      <w:marLeft w:val="0"/>
      <w:marRight w:val="0"/>
      <w:marTop w:val="0"/>
      <w:marBottom w:val="0"/>
      <w:divBdr>
        <w:top w:val="none" w:sz="0" w:space="0" w:color="auto"/>
        <w:left w:val="none" w:sz="0" w:space="0" w:color="auto"/>
        <w:bottom w:val="none" w:sz="0" w:space="0" w:color="auto"/>
        <w:right w:val="none" w:sz="0" w:space="0" w:color="auto"/>
      </w:divBdr>
    </w:div>
    <w:div w:id="1824850848">
      <w:bodyDiv w:val="1"/>
      <w:marLeft w:val="0"/>
      <w:marRight w:val="0"/>
      <w:marTop w:val="0"/>
      <w:marBottom w:val="0"/>
      <w:divBdr>
        <w:top w:val="none" w:sz="0" w:space="0" w:color="auto"/>
        <w:left w:val="none" w:sz="0" w:space="0" w:color="auto"/>
        <w:bottom w:val="none" w:sz="0" w:space="0" w:color="auto"/>
        <w:right w:val="none" w:sz="0" w:space="0" w:color="auto"/>
      </w:divBdr>
    </w:div>
    <w:div w:id="1825393836">
      <w:bodyDiv w:val="1"/>
      <w:marLeft w:val="0"/>
      <w:marRight w:val="0"/>
      <w:marTop w:val="0"/>
      <w:marBottom w:val="0"/>
      <w:divBdr>
        <w:top w:val="none" w:sz="0" w:space="0" w:color="auto"/>
        <w:left w:val="none" w:sz="0" w:space="0" w:color="auto"/>
        <w:bottom w:val="none" w:sz="0" w:space="0" w:color="auto"/>
        <w:right w:val="none" w:sz="0" w:space="0" w:color="auto"/>
      </w:divBdr>
    </w:div>
    <w:div w:id="1825513623">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25924094">
      <w:bodyDiv w:val="1"/>
      <w:marLeft w:val="0"/>
      <w:marRight w:val="0"/>
      <w:marTop w:val="0"/>
      <w:marBottom w:val="0"/>
      <w:divBdr>
        <w:top w:val="none" w:sz="0" w:space="0" w:color="auto"/>
        <w:left w:val="none" w:sz="0" w:space="0" w:color="auto"/>
        <w:bottom w:val="none" w:sz="0" w:space="0" w:color="auto"/>
        <w:right w:val="none" w:sz="0" w:space="0" w:color="auto"/>
      </w:divBdr>
    </w:div>
    <w:div w:id="1825975343">
      <w:bodyDiv w:val="1"/>
      <w:marLeft w:val="0"/>
      <w:marRight w:val="0"/>
      <w:marTop w:val="0"/>
      <w:marBottom w:val="0"/>
      <w:divBdr>
        <w:top w:val="none" w:sz="0" w:space="0" w:color="auto"/>
        <w:left w:val="none" w:sz="0" w:space="0" w:color="auto"/>
        <w:bottom w:val="none" w:sz="0" w:space="0" w:color="auto"/>
        <w:right w:val="none" w:sz="0" w:space="0" w:color="auto"/>
      </w:divBdr>
    </w:div>
    <w:div w:id="1826583376">
      <w:bodyDiv w:val="1"/>
      <w:marLeft w:val="0"/>
      <w:marRight w:val="0"/>
      <w:marTop w:val="0"/>
      <w:marBottom w:val="0"/>
      <w:divBdr>
        <w:top w:val="none" w:sz="0" w:space="0" w:color="auto"/>
        <w:left w:val="none" w:sz="0" w:space="0" w:color="auto"/>
        <w:bottom w:val="none" w:sz="0" w:space="0" w:color="auto"/>
        <w:right w:val="none" w:sz="0" w:space="0" w:color="auto"/>
      </w:divBdr>
    </w:div>
    <w:div w:id="1826780269">
      <w:bodyDiv w:val="1"/>
      <w:marLeft w:val="0"/>
      <w:marRight w:val="0"/>
      <w:marTop w:val="0"/>
      <w:marBottom w:val="0"/>
      <w:divBdr>
        <w:top w:val="none" w:sz="0" w:space="0" w:color="auto"/>
        <w:left w:val="none" w:sz="0" w:space="0" w:color="auto"/>
        <w:bottom w:val="none" w:sz="0" w:space="0" w:color="auto"/>
        <w:right w:val="none" w:sz="0" w:space="0" w:color="auto"/>
      </w:divBdr>
    </w:div>
    <w:div w:id="1826970538">
      <w:bodyDiv w:val="1"/>
      <w:marLeft w:val="0"/>
      <w:marRight w:val="0"/>
      <w:marTop w:val="0"/>
      <w:marBottom w:val="0"/>
      <w:divBdr>
        <w:top w:val="none" w:sz="0" w:space="0" w:color="auto"/>
        <w:left w:val="none" w:sz="0" w:space="0" w:color="auto"/>
        <w:bottom w:val="none" w:sz="0" w:space="0" w:color="auto"/>
        <w:right w:val="none" w:sz="0" w:space="0" w:color="auto"/>
      </w:divBdr>
    </w:div>
    <w:div w:id="1827281427">
      <w:bodyDiv w:val="1"/>
      <w:marLeft w:val="0"/>
      <w:marRight w:val="0"/>
      <w:marTop w:val="0"/>
      <w:marBottom w:val="0"/>
      <w:divBdr>
        <w:top w:val="none" w:sz="0" w:space="0" w:color="auto"/>
        <w:left w:val="none" w:sz="0" w:space="0" w:color="auto"/>
        <w:bottom w:val="none" w:sz="0" w:space="0" w:color="auto"/>
        <w:right w:val="none" w:sz="0" w:space="0" w:color="auto"/>
      </w:divBdr>
    </w:div>
    <w:div w:id="1827669324">
      <w:bodyDiv w:val="1"/>
      <w:marLeft w:val="0"/>
      <w:marRight w:val="0"/>
      <w:marTop w:val="0"/>
      <w:marBottom w:val="0"/>
      <w:divBdr>
        <w:top w:val="none" w:sz="0" w:space="0" w:color="auto"/>
        <w:left w:val="none" w:sz="0" w:space="0" w:color="auto"/>
        <w:bottom w:val="none" w:sz="0" w:space="0" w:color="auto"/>
        <w:right w:val="none" w:sz="0" w:space="0" w:color="auto"/>
      </w:divBdr>
    </w:div>
    <w:div w:id="1827935726">
      <w:bodyDiv w:val="1"/>
      <w:marLeft w:val="0"/>
      <w:marRight w:val="0"/>
      <w:marTop w:val="0"/>
      <w:marBottom w:val="0"/>
      <w:divBdr>
        <w:top w:val="none" w:sz="0" w:space="0" w:color="auto"/>
        <w:left w:val="none" w:sz="0" w:space="0" w:color="auto"/>
        <w:bottom w:val="none" w:sz="0" w:space="0" w:color="auto"/>
        <w:right w:val="none" w:sz="0" w:space="0" w:color="auto"/>
      </w:divBdr>
    </w:div>
    <w:div w:id="1828133066">
      <w:bodyDiv w:val="1"/>
      <w:marLeft w:val="0"/>
      <w:marRight w:val="0"/>
      <w:marTop w:val="0"/>
      <w:marBottom w:val="0"/>
      <w:divBdr>
        <w:top w:val="none" w:sz="0" w:space="0" w:color="auto"/>
        <w:left w:val="none" w:sz="0" w:space="0" w:color="auto"/>
        <w:bottom w:val="none" w:sz="0" w:space="0" w:color="auto"/>
        <w:right w:val="none" w:sz="0" w:space="0" w:color="auto"/>
      </w:divBdr>
    </w:div>
    <w:div w:id="1828592459">
      <w:bodyDiv w:val="1"/>
      <w:marLeft w:val="0"/>
      <w:marRight w:val="0"/>
      <w:marTop w:val="0"/>
      <w:marBottom w:val="0"/>
      <w:divBdr>
        <w:top w:val="none" w:sz="0" w:space="0" w:color="auto"/>
        <w:left w:val="none" w:sz="0" w:space="0" w:color="auto"/>
        <w:bottom w:val="none" w:sz="0" w:space="0" w:color="auto"/>
        <w:right w:val="none" w:sz="0" w:space="0" w:color="auto"/>
      </w:divBdr>
    </w:div>
    <w:div w:id="1828663456">
      <w:bodyDiv w:val="1"/>
      <w:marLeft w:val="0"/>
      <w:marRight w:val="0"/>
      <w:marTop w:val="0"/>
      <w:marBottom w:val="0"/>
      <w:divBdr>
        <w:top w:val="none" w:sz="0" w:space="0" w:color="auto"/>
        <w:left w:val="none" w:sz="0" w:space="0" w:color="auto"/>
        <w:bottom w:val="none" w:sz="0" w:space="0" w:color="auto"/>
        <w:right w:val="none" w:sz="0" w:space="0" w:color="auto"/>
      </w:divBdr>
    </w:div>
    <w:div w:id="1829205549">
      <w:bodyDiv w:val="1"/>
      <w:marLeft w:val="0"/>
      <w:marRight w:val="0"/>
      <w:marTop w:val="0"/>
      <w:marBottom w:val="0"/>
      <w:divBdr>
        <w:top w:val="none" w:sz="0" w:space="0" w:color="auto"/>
        <w:left w:val="none" w:sz="0" w:space="0" w:color="auto"/>
        <w:bottom w:val="none" w:sz="0" w:space="0" w:color="auto"/>
        <w:right w:val="none" w:sz="0" w:space="0" w:color="auto"/>
      </w:divBdr>
    </w:div>
    <w:div w:id="1829249254">
      <w:bodyDiv w:val="1"/>
      <w:marLeft w:val="0"/>
      <w:marRight w:val="0"/>
      <w:marTop w:val="0"/>
      <w:marBottom w:val="0"/>
      <w:divBdr>
        <w:top w:val="none" w:sz="0" w:space="0" w:color="auto"/>
        <w:left w:val="none" w:sz="0" w:space="0" w:color="auto"/>
        <w:bottom w:val="none" w:sz="0" w:space="0" w:color="auto"/>
        <w:right w:val="none" w:sz="0" w:space="0" w:color="auto"/>
      </w:divBdr>
    </w:div>
    <w:div w:id="1829318847">
      <w:bodyDiv w:val="1"/>
      <w:marLeft w:val="0"/>
      <w:marRight w:val="0"/>
      <w:marTop w:val="0"/>
      <w:marBottom w:val="0"/>
      <w:divBdr>
        <w:top w:val="none" w:sz="0" w:space="0" w:color="auto"/>
        <w:left w:val="none" w:sz="0" w:space="0" w:color="auto"/>
        <w:bottom w:val="none" w:sz="0" w:space="0" w:color="auto"/>
        <w:right w:val="none" w:sz="0" w:space="0" w:color="auto"/>
      </w:divBdr>
    </w:div>
    <w:div w:id="1829322390">
      <w:bodyDiv w:val="1"/>
      <w:marLeft w:val="0"/>
      <w:marRight w:val="0"/>
      <w:marTop w:val="0"/>
      <w:marBottom w:val="0"/>
      <w:divBdr>
        <w:top w:val="none" w:sz="0" w:space="0" w:color="auto"/>
        <w:left w:val="none" w:sz="0" w:space="0" w:color="auto"/>
        <w:bottom w:val="none" w:sz="0" w:space="0" w:color="auto"/>
        <w:right w:val="none" w:sz="0" w:space="0" w:color="auto"/>
      </w:divBdr>
    </w:div>
    <w:div w:id="1829587071">
      <w:bodyDiv w:val="1"/>
      <w:marLeft w:val="0"/>
      <w:marRight w:val="0"/>
      <w:marTop w:val="0"/>
      <w:marBottom w:val="0"/>
      <w:divBdr>
        <w:top w:val="none" w:sz="0" w:space="0" w:color="auto"/>
        <w:left w:val="none" w:sz="0" w:space="0" w:color="auto"/>
        <w:bottom w:val="none" w:sz="0" w:space="0" w:color="auto"/>
        <w:right w:val="none" w:sz="0" w:space="0" w:color="auto"/>
      </w:divBdr>
    </w:div>
    <w:div w:id="1829831393">
      <w:bodyDiv w:val="1"/>
      <w:marLeft w:val="0"/>
      <w:marRight w:val="0"/>
      <w:marTop w:val="0"/>
      <w:marBottom w:val="0"/>
      <w:divBdr>
        <w:top w:val="none" w:sz="0" w:space="0" w:color="auto"/>
        <w:left w:val="none" w:sz="0" w:space="0" w:color="auto"/>
        <w:bottom w:val="none" w:sz="0" w:space="0" w:color="auto"/>
        <w:right w:val="none" w:sz="0" w:space="0" w:color="auto"/>
      </w:divBdr>
    </w:div>
    <w:div w:id="1829981859">
      <w:bodyDiv w:val="1"/>
      <w:marLeft w:val="0"/>
      <w:marRight w:val="0"/>
      <w:marTop w:val="0"/>
      <w:marBottom w:val="0"/>
      <w:divBdr>
        <w:top w:val="none" w:sz="0" w:space="0" w:color="auto"/>
        <w:left w:val="none" w:sz="0" w:space="0" w:color="auto"/>
        <w:bottom w:val="none" w:sz="0" w:space="0" w:color="auto"/>
        <w:right w:val="none" w:sz="0" w:space="0" w:color="auto"/>
      </w:divBdr>
    </w:div>
    <w:div w:id="1830436170">
      <w:bodyDiv w:val="1"/>
      <w:marLeft w:val="0"/>
      <w:marRight w:val="0"/>
      <w:marTop w:val="0"/>
      <w:marBottom w:val="0"/>
      <w:divBdr>
        <w:top w:val="none" w:sz="0" w:space="0" w:color="auto"/>
        <w:left w:val="none" w:sz="0" w:space="0" w:color="auto"/>
        <w:bottom w:val="none" w:sz="0" w:space="0" w:color="auto"/>
        <w:right w:val="none" w:sz="0" w:space="0" w:color="auto"/>
      </w:divBdr>
    </w:div>
    <w:div w:id="1830514686">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1481173">
      <w:bodyDiv w:val="1"/>
      <w:marLeft w:val="0"/>
      <w:marRight w:val="0"/>
      <w:marTop w:val="0"/>
      <w:marBottom w:val="0"/>
      <w:divBdr>
        <w:top w:val="none" w:sz="0" w:space="0" w:color="auto"/>
        <w:left w:val="none" w:sz="0" w:space="0" w:color="auto"/>
        <w:bottom w:val="none" w:sz="0" w:space="0" w:color="auto"/>
        <w:right w:val="none" w:sz="0" w:space="0" w:color="auto"/>
      </w:divBdr>
    </w:div>
    <w:div w:id="1831754328">
      <w:bodyDiv w:val="1"/>
      <w:marLeft w:val="0"/>
      <w:marRight w:val="0"/>
      <w:marTop w:val="0"/>
      <w:marBottom w:val="0"/>
      <w:divBdr>
        <w:top w:val="none" w:sz="0" w:space="0" w:color="auto"/>
        <w:left w:val="none" w:sz="0" w:space="0" w:color="auto"/>
        <w:bottom w:val="none" w:sz="0" w:space="0" w:color="auto"/>
        <w:right w:val="none" w:sz="0" w:space="0" w:color="auto"/>
      </w:divBdr>
    </w:div>
    <w:div w:id="1832402134">
      <w:bodyDiv w:val="1"/>
      <w:marLeft w:val="0"/>
      <w:marRight w:val="0"/>
      <w:marTop w:val="0"/>
      <w:marBottom w:val="0"/>
      <w:divBdr>
        <w:top w:val="none" w:sz="0" w:space="0" w:color="auto"/>
        <w:left w:val="none" w:sz="0" w:space="0" w:color="auto"/>
        <w:bottom w:val="none" w:sz="0" w:space="0" w:color="auto"/>
        <w:right w:val="none" w:sz="0" w:space="0" w:color="auto"/>
      </w:divBdr>
    </w:div>
    <w:div w:id="1832406219">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3644169">
      <w:bodyDiv w:val="1"/>
      <w:marLeft w:val="0"/>
      <w:marRight w:val="0"/>
      <w:marTop w:val="0"/>
      <w:marBottom w:val="0"/>
      <w:divBdr>
        <w:top w:val="none" w:sz="0" w:space="0" w:color="auto"/>
        <w:left w:val="none" w:sz="0" w:space="0" w:color="auto"/>
        <w:bottom w:val="none" w:sz="0" w:space="0" w:color="auto"/>
        <w:right w:val="none" w:sz="0" w:space="0" w:color="auto"/>
      </w:divBdr>
    </w:div>
    <w:div w:id="1833719315">
      <w:bodyDiv w:val="1"/>
      <w:marLeft w:val="0"/>
      <w:marRight w:val="0"/>
      <w:marTop w:val="0"/>
      <w:marBottom w:val="0"/>
      <w:divBdr>
        <w:top w:val="none" w:sz="0" w:space="0" w:color="auto"/>
        <w:left w:val="none" w:sz="0" w:space="0" w:color="auto"/>
        <w:bottom w:val="none" w:sz="0" w:space="0" w:color="auto"/>
        <w:right w:val="none" w:sz="0" w:space="0" w:color="auto"/>
      </w:divBdr>
    </w:div>
    <w:div w:id="1833907526">
      <w:bodyDiv w:val="1"/>
      <w:marLeft w:val="0"/>
      <w:marRight w:val="0"/>
      <w:marTop w:val="0"/>
      <w:marBottom w:val="0"/>
      <w:divBdr>
        <w:top w:val="none" w:sz="0" w:space="0" w:color="auto"/>
        <w:left w:val="none" w:sz="0" w:space="0" w:color="auto"/>
        <w:bottom w:val="none" w:sz="0" w:space="0" w:color="auto"/>
        <w:right w:val="none" w:sz="0" w:space="0" w:color="auto"/>
      </w:divBdr>
    </w:div>
    <w:div w:id="1833912943">
      <w:bodyDiv w:val="1"/>
      <w:marLeft w:val="0"/>
      <w:marRight w:val="0"/>
      <w:marTop w:val="0"/>
      <w:marBottom w:val="0"/>
      <w:divBdr>
        <w:top w:val="none" w:sz="0" w:space="0" w:color="auto"/>
        <w:left w:val="none" w:sz="0" w:space="0" w:color="auto"/>
        <w:bottom w:val="none" w:sz="0" w:space="0" w:color="auto"/>
        <w:right w:val="none" w:sz="0" w:space="0" w:color="auto"/>
      </w:divBdr>
    </w:div>
    <w:div w:id="1834027046">
      <w:bodyDiv w:val="1"/>
      <w:marLeft w:val="0"/>
      <w:marRight w:val="0"/>
      <w:marTop w:val="0"/>
      <w:marBottom w:val="0"/>
      <w:divBdr>
        <w:top w:val="none" w:sz="0" w:space="0" w:color="auto"/>
        <w:left w:val="none" w:sz="0" w:space="0" w:color="auto"/>
        <w:bottom w:val="none" w:sz="0" w:space="0" w:color="auto"/>
        <w:right w:val="none" w:sz="0" w:space="0" w:color="auto"/>
      </w:divBdr>
    </w:div>
    <w:div w:id="1834030757">
      <w:bodyDiv w:val="1"/>
      <w:marLeft w:val="0"/>
      <w:marRight w:val="0"/>
      <w:marTop w:val="0"/>
      <w:marBottom w:val="0"/>
      <w:divBdr>
        <w:top w:val="none" w:sz="0" w:space="0" w:color="auto"/>
        <w:left w:val="none" w:sz="0" w:space="0" w:color="auto"/>
        <w:bottom w:val="none" w:sz="0" w:space="0" w:color="auto"/>
        <w:right w:val="none" w:sz="0" w:space="0" w:color="auto"/>
      </w:divBdr>
    </w:div>
    <w:div w:id="1834447800">
      <w:bodyDiv w:val="1"/>
      <w:marLeft w:val="0"/>
      <w:marRight w:val="0"/>
      <w:marTop w:val="0"/>
      <w:marBottom w:val="0"/>
      <w:divBdr>
        <w:top w:val="none" w:sz="0" w:space="0" w:color="auto"/>
        <w:left w:val="none" w:sz="0" w:space="0" w:color="auto"/>
        <w:bottom w:val="none" w:sz="0" w:space="0" w:color="auto"/>
        <w:right w:val="none" w:sz="0" w:space="0" w:color="auto"/>
      </w:divBdr>
    </w:div>
    <w:div w:id="1834450481">
      <w:bodyDiv w:val="1"/>
      <w:marLeft w:val="0"/>
      <w:marRight w:val="0"/>
      <w:marTop w:val="0"/>
      <w:marBottom w:val="0"/>
      <w:divBdr>
        <w:top w:val="none" w:sz="0" w:space="0" w:color="auto"/>
        <w:left w:val="none" w:sz="0" w:space="0" w:color="auto"/>
        <w:bottom w:val="none" w:sz="0" w:space="0" w:color="auto"/>
        <w:right w:val="none" w:sz="0" w:space="0" w:color="auto"/>
      </w:divBdr>
    </w:div>
    <w:div w:id="1834680572">
      <w:bodyDiv w:val="1"/>
      <w:marLeft w:val="0"/>
      <w:marRight w:val="0"/>
      <w:marTop w:val="0"/>
      <w:marBottom w:val="0"/>
      <w:divBdr>
        <w:top w:val="none" w:sz="0" w:space="0" w:color="auto"/>
        <w:left w:val="none" w:sz="0" w:space="0" w:color="auto"/>
        <w:bottom w:val="none" w:sz="0" w:space="0" w:color="auto"/>
        <w:right w:val="none" w:sz="0" w:space="0" w:color="auto"/>
      </w:divBdr>
    </w:div>
    <w:div w:id="1834831124">
      <w:bodyDiv w:val="1"/>
      <w:marLeft w:val="0"/>
      <w:marRight w:val="0"/>
      <w:marTop w:val="0"/>
      <w:marBottom w:val="0"/>
      <w:divBdr>
        <w:top w:val="none" w:sz="0" w:space="0" w:color="auto"/>
        <w:left w:val="none" w:sz="0" w:space="0" w:color="auto"/>
        <w:bottom w:val="none" w:sz="0" w:space="0" w:color="auto"/>
        <w:right w:val="none" w:sz="0" w:space="0" w:color="auto"/>
      </w:divBdr>
    </w:div>
    <w:div w:id="1834904448">
      <w:bodyDiv w:val="1"/>
      <w:marLeft w:val="0"/>
      <w:marRight w:val="0"/>
      <w:marTop w:val="0"/>
      <w:marBottom w:val="0"/>
      <w:divBdr>
        <w:top w:val="none" w:sz="0" w:space="0" w:color="auto"/>
        <w:left w:val="none" w:sz="0" w:space="0" w:color="auto"/>
        <w:bottom w:val="none" w:sz="0" w:space="0" w:color="auto"/>
        <w:right w:val="none" w:sz="0" w:space="0" w:color="auto"/>
      </w:divBdr>
    </w:div>
    <w:div w:id="1835099942">
      <w:bodyDiv w:val="1"/>
      <w:marLeft w:val="0"/>
      <w:marRight w:val="0"/>
      <w:marTop w:val="0"/>
      <w:marBottom w:val="0"/>
      <w:divBdr>
        <w:top w:val="none" w:sz="0" w:space="0" w:color="auto"/>
        <w:left w:val="none" w:sz="0" w:space="0" w:color="auto"/>
        <w:bottom w:val="none" w:sz="0" w:space="0" w:color="auto"/>
        <w:right w:val="none" w:sz="0" w:space="0" w:color="auto"/>
      </w:divBdr>
    </w:div>
    <w:div w:id="1835417192">
      <w:bodyDiv w:val="1"/>
      <w:marLeft w:val="0"/>
      <w:marRight w:val="0"/>
      <w:marTop w:val="0"/>
      <w:marBottom w:val="0"/>
      <w:divBdr>
        <w:top w:val="none" w:sz="0" w:space="0" w:color="auto"/>
        <w:left w:val="none" w:sz="0" w:space="0" w:color="auto"/>
        <w:bottom w:val="none" w:sz="0" w:space="0" w:color="auto"/>
        <w:right w:val="none" w:sz="0" w:space="0" w:color="auto"/>
      </w:divBdr>
    </w:div>
    <w:div w:id="1835488501">
      <w:bodyDiv w:val="1"/>
      <w:marLeft w:val="0"/>
      <w:marRight w:val="0"/>
      <w:marTop w:val="0"/>
      <w:marBottom w:val="0"/>
      <w:divBdr>
        <w:top w:val="none" w:sz="0" w:space="0" w:color="auto"/>
        <w:left w:val="none" w:sz="0" w:space="0" w:color="auto"/>
        <w:bottom w:val="none" w:sz="0" w:space="0" w:color="auto"/>
        <w:right w:val="none" w:sz="0" w:space="0" w:color="auto"/>
      </w:divBdr>
    </w:div>
    <w:div w:id="1835954629">
      <w:bodyDiv w:val="1"/>
      <w:marLeft w:val="0"/>
      <w:marRight w:val="0"/>
      <w:marTop w:val="0"/>
      <w:marBottom w:val="0"/>
      <w:divBdr>
        <w:top w:val="none" w:sz="0" w:space="0" w:color="auto"/>
        <w:left w:val="none" w:sz="0" w:space="0" w:color="auto"/>
        <w:bottom w:val="none" w:sz="0" w:space="0" w:color="auto"/>
        <w:right w:val="none" w:sz="0" w:space="0" w:color="auto"/>
      </w:divBdr>
    </w:div>
    <w:div w:id="1835955458">
      <w:bodyDiv w:val="1"/>
      <w:marLeft w:val="0"/>
      <w:marRight w:val="0"/>
      <w:marTop w:val="0"/>
      <w:marBottom w:val="0"/>
      <w:divBdr>
        <w:top w:val="none" w:sz="0" w:space="0" w:color="auto"/>
        <w:left w:val="none" w:sz="0" w:space="0" w:color="auto"/>
        <w:bottom w:val="none" w:sz="0" w:space="0" w:color="auto"/>
        <w:right w:val="none" w:sz="0" w:space="0" w:color="auto"/>
      </w:divBdr>
    </w:div>
    <w:div w:id="1835994938">
      <w:bodyDiv w:val="1"/>
      <w:marLeft w:val="0"/>
      <w:marRight w:val="0"/>
      <w:marTop w:val="0"/>
      <w:marBottom w:val="0"/>
      <w:divBdr>
        <w:top w:val="none" w:sz="0" w:space="0" w:color="auto"/>
        <w:left w:val="none" w:sz="0" w:space="0" w:color="auto"/>
        <w:bottom w:val="none" w:sz="0" w:space="0" w:color="auto"/>
        <w:right w:val="none" w:sz="0" w:space="0" w:color="auto"/>
      </w:divBdr>
    </w:div>
    <w:div w:id="1836219884">
      <w:bodyDiv w:val="1"/>
      <w:marLeft w:val="0"/>
      <w:marRight w:val="0"/>
      <w:marTop w:val="0"/>
      <w:marBottom w:val="0"/>
      <w:divBdr>
        <w:top w:val="none" w:sz="0" w:space="0" w:color="auto"/>
        <w:left w:val="none" w:sz="0" w:space="0" w:color="auto"/>
        <w:bottom w:val="none" w:sz="0" w:space="0" w:color="auto"/>
        <w:right w:val="none" w:sz="0" w:space="0" w:color="auto"/>
      </w:divBdr>
    </w:div>
    <w:div w:id="1836456590">
      <w:bodyDiv w:val="1"/>
      <w:marLeft w:val="0"/>
      <w:marRight w:val="0"/>
      <w:marTop w:val="0"/>
      <w:marBottom w:val="0"/>
      <w:divBdr>
        <w:top w:val="none" w:sz="0" w:space="0" w:color="auto"/>
        <w:left w:val="none" w:sz="0" w:space="0" w:color="auto"/>
        <w:bottom w:val="none" w:sz="0" w:space="0" w:color="auto"/>
        <w:right w:val="none" w:sz="0" w:space="0" w:color="auto"/>
      </w:divBdr>
    </w:div>
    <w:div w:id="1836648689">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6990457">
      <w:bodyDiv w:val="1"/>
      <w:marLeft w:val="0"/>
      <w:marRight w:val="0"/>
      <w:marTop w:val="0"/>
      <w:marBottom w:val="0"/>
      <w:divBdr>
        <w:top w:val="none" w:sz="0" w:space="0" w:color="auto"/>
        <w:left w:val="none" w:sz="0" w:space="0" w:color="auto"/>
        <w:bottom w:val="none" w:sz="0" w:space="0" w:color="auto"/>
        <w:right w:val="none" w:sz="0" w:space="0" w:color="auto"/>
      </w:divBdr>
    </w:div>
    <w:div w:id="1837451331">
      <w:bodyDiv w:val="1"/>
      <w:marLeft w:val="0"/>
      <w:marRight w:val="0"/>
      <w:marTop w:val="0"/>
      <w:marBottom w:val="0"/>
      <w:divBdr>
        <w:top w:val="none" w:sz="0" w:space="0" w:color="auto"/>
        <w:left w:val="none" w:sz="0" w:space="0" w:color="auto"/>
        <w:bottom w:val="none" w:sz="0" w:space="0" w:color="auto"/>
        <w:right w:val="none" w:sz="0" w:space="0" w:color="auto"/>
      </w:divBdr>
    </w:div>
    <w:div w:id="1837570993">
      <w:bodyDiv w:val="1"/>
      <w:marLeft w:val="0"/>
      <w:marRight w:val="0"/>
      <w:marTop w:val="0"/>
      <w:marBottom w:val="0"/>
      <w:divBdr>
        <w:top w:val="none" w:sz="0" w:space="0" w:color="auto"/>
        <w:left w:val="none" w:sz="0" w:space="0" w:color="auto"/>
        <w:bottom w:val="none" w:sz="0" w:space="0" w:color="auto"/>
        <w:right w:val="none" w:sz="0" w:space="0" w:color="auto"/>
      </w:divBdr>
    </w:div>
    <w:div w:id="1837841419">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228679">
      <w:bodyDiv w:val="1"/>
      <w:marLeft w:val="0"/>
      <w:marRight w:val="0"/>
      <w:marTop w:val="0"/>
      <w:marBottom w:val="0"/>
      <w:divBdr>
        <w:top w:val="none" w:sz="0" w:space="0" w:color="auto"/>
        <w:left w:val="none" w:sz="0" w:space="0" w:color="auto"/>
        <w:bottom w:val="none" w:sz="0" w:space="0" w:color="auto"/>
        <w:right w:val="none" w:sz="0" w:space="0" w:color="auto"/>
      </w:divBdr>
    </w:div>
    <w:div w:id="1838499004">
      <w:bodyDiv w:val="1"/>
      <w:marLeft w:val="0"/>
      <w:marRight w:val="0"/>
      <w:marTop w:val="0"/>
      <w:marBottom w:val="0"/>
      <w:divBdr>
        <w:top w:val="none" w:sz="0" w:space="0" w:color="auto"/>
        <w:left w:val="none" w:sz="0" w:space="0" w:color="auto"/>
        <w:bottom w:val="none" w:sz="0" w:space="0" w:color="auto"/>
        <w:right w:val="none" w:sz="0" w:space="0" w:color="auto"/>
      </w:divBdr>
    </w:div>
    <w:div w:id="1838618531">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38887339">
      <w:bodyDiv w:val="1"/>
      <w:marLeft w:val="0"/>
      <w:marRight w:val="0"/>
      <w:marTop w:val="0"/>
      <w:marBottom w:val="0"/>
      <w:divBdr>
        <w:top w:val="none" w:sz="0" w:space="0" w:color="auto"/>
        <w:left w:val="none" w:sz="0" w:space="0" w:color="auto"/>
        <w:bottom w:val="none" w:sz="0" w:space="0" w:color="auto"/>
        <w:right w:val="none" w:sz="0" w:space="0" w:color="auto"/>
      </w:divBdr>
    </w:div>
    <w:div w:id="1839273696">
      <w:bodyDiv w:val="1"/>
      <w:marLeft w:val="0"/>
      <w:marRight w:val="0"/>
      <w:marTop w:val="0"/>
      <w:marBottom w:val="0"/>
      <w:divBdr>
        <w:top w:val="none" w:sz="0" w:space="0" w:color="auto"/>
        <w:left w:val="none" w:sz="0" w:space="0" w:color="auto"/>
        <w:bottom w:val="none" w:sz="0" w:space="0" w:color="auto"/>
        <w:right w:val="none" w:sz="0" w:space="0" w:color="auto"/>
      </w:divBdr>
    </w:div>
    <w:div w:id="1839465981">
      <w:bodyDiv w:val="1"/>
      <w:marLeft w:val="0"/>
      <w:marRight w:val="0"/>
      <w:marTop w:val="0"/>
      <w:marBottom w:val="0"/>
      <w:divBdr>
        <w:top w:val="none" w:sz="0" w:space="0" w:color="auto"/>
        <w:left w:val="none" w:sz="0" w:space="0" w:color="auto"/>
        <w:bottom w:val="none" w:sz="0" w:space="0" w:color="auto"/>
        <w:right w:val="none" w:sz="0" w:space="0" w:color="auto"/>
      </w:divBdr>
    </w:div>
    <w:div w:id="1839730357">
      <w:bodyDiv w:val="1"/>
      <w:marLeft w:val="0"/>
      <w:marRight w:val="0"/>
      <w:marTop w:val="0"/>
      <w:marBottom w:val="0"/>
      <w:divBdr>
        <w:top w:val="none" w:sz="0" w:space="0" w:color="auto"/>
        <w:left w:val="none" w:sz="0" w:space="0" w:color="auto"/>
        <w:bottom w:val="none" w:sz="0" w:space="0" w:color="auto"/>
        <w:right w:val="none" w:sz="0" w:space="0" w:color="auto"/>
      </w:divBdr>
    </w:div>
    <w:div w:id="1839880399">
      <w:bodyDiv w:val="1"/>
      <w:marLeft w:val="0"/>
      <w:marRight w:val="0"/>
      <w:marTop w:val="0"/>
      <w:marBottom w:val="0"/>
      <w:divBdr>
        <w:top w:val="none" w:sz="0" w:space="0" w:color="auto"/>
        <w:left w:val="none" w:sz="0" w:space="0" w:color="auto"/>
        <w:bottom w:val="none" w:sz="0" w:space="0" w:color="auto"/>
        <w:right w:val="none" w:sz="0" w:space="0" w:color="auto"/>
      </w:divBdr>
    </w:div>
    <w:div w:id="1840385787">
      <w:bodyDiv w:val="1"/>
      <w:marLeft w:val="0"/>
      <w:marRight w:val="0"/>
      <w:marTop w:val="0"/>
      <w:marBottom w:val="0"/>
      <w:divBdr>
        <w:top w:val="none" w:sz="0" w:space="0" w:color="auto"/>
        <w:left w:val="none" w:sz="0" w:space="0" w:color="auto"/>
        <w:bottom w:val="none" w:sz="0" w:space="0" w:color="auto"/>
        <w:right w:val="none" w:sz="0" w:space="0" w:color="auto"/>
      </w:divBdr>
    </w:div>
    <w:div w:id="1840660403">
      <w:bodyDiv w:val="1"/>
      <w:marLeft w:val="0"/>
      <w:marRight w:val="0"/>
      <w:marTop w:val="0"/>
      <w:marBottom w:val="0"/>
      <w:divBdr>
        <w:top w:val="none" w:sz="0" w:space="0" w:color="auto"/>
        <w:left w:val="none" w:sz="0" w:space="0" w:color="auto"/>
        <w:bottom w:val="none" w:sz="0" w:space="0" w:color="auto"/>
        <w:right w:val="none" w:sz="0" w:space="0" w:color="auto"/>
      </w:divBdr>
    </w:div>
    <w:div w:id="1840846644">
      <w:bodyDiv w:val="1"/>
      <w:marLeft w:val="0"/>
      <w:marRight w:val="0"/>
      <w:marTop w:val="0"/>
      <w:marBottom w:val="0"/>
      <w:divBdr>
        <w:top w:val="none" w:sz="0" w:space="0" w:color="auto"/>
        <w:left w:val="none" w:sz="0" w:space="0" w:color="auto"/>
        <w:bottom w:val="none" w:sz="0" w:space="0" w:color="auto"/>
        <w:right w:val="none" w:sz="0" w:space="0" w:color="auto"/>
      </w:divBdr>
    </w:div>
    <w:div w:id="1841235553">
      <w:bodyDiv w:val="1"/>
      <w:marLeft w:val="0"/>
      <w:marRight w:val="0"/>
      <w:marTop w:val="0"/>
      <w:marBottom w:val="0"/>
      <w:divBdr>
        <w:top w:val="none" w:sz="0" w:space="0" w:color="auto"/>
        <w:left w:val="none" w:sz="0" w:space="0" w:color="auto"/>
        <w:bottom w:val="none" w:sz="0" w:space="0" w:color="auto"/>
        <w:right w:val="none" w:sz="0" w:space="0" w:color="auto"/>
      </w:divBdr>
    </w:div>
    <w:div w:id="1841309513">
      <w:bodyDiv w:val="1"/>
      <w:marLeft w:val="0"/>
      <w:marRight w:val="0"/>
      <w:marTop w:val="0"/>
      <w:marBottom w:val="0"/>
      <w:divBdr>
        <w:top w:val="none" w:sz="0" w:space="0" w:color="auto"/>
        <w:left w:val="none" w:sz="0" w:space="0" w:color="auto"/>
        <w:bottom w:val="none" w:sz="0" w:space="0" w:color="auto"/>
        <w:right w:val="none" w:sz="0" w:space="0" w:color="auto"/>
      </w:divBdr>
    </w:div>
    <w:div w:id="1841388466">
      <w:bodyDiv w:val="1"/>
      <w:marLeft w:val="0"/>
      <w:marRight w:val="0"/>
      <w:marTop w:val="0"/>
      <w:marBottom w:val="0"/>
      <w:divBdr>
        <w:top w:val="none" w:sz="0" w:space="0" w:color="auto"/>
        <w:left w:val="none" w:sz="0" w:space="0" w:color="auto"/>
        <w:bottom w:val="none" w:sz="0" w:space="0" w:color="auto"/>
        <w:right w:val="none" w:sz="0" w:space="0" w:color="auto"/>
      </w:divBdr>
    </w:div>
    <w:div w:id="1841575384">
      <w:bodyDiv w:val="1"/>
      <w:marLeft w:val="0"/>
      <w:marRight w:val="0"/>
      <w:marTop w:val="0"/>
      <w:marBottom w:val="0"/>
      <w:divBdr>
        <w:top w:val="none" w:sz="0" w:space="0" w:color="auto"/>
        <w:left w:val="none" w:sz="0" w:space="0" w:color="auto"/>
        <w:bottom w:val="none" w:sz="0" w:space="0" w:color="auto"/>
        <w:right w:val="none" w:sz="0" w:space="0" w:color="auto"/>
      </w:divBdr>
    </w:div>
    <w:div w:id="1841965302">
      <w:bodyDiv w:val="1"/>
      <w:marLeft w:val="0"/>
      <w:marRight w:val="0"/>
      <w:marTop w:val="0"/>
      <w:marBottom w:val="0"/>
      <w:divBdr>
        <w:top w:val="none" w:sz="0" w:space="0" w:color="auto"/>
        <w:left w:val="none" w:sz="0" w:space="0" w:color="auto"/>
        <w:bottom w:val="none" w:sz="0" w:space="0" w:color="auto"/>
        <w:right w:val="none" w:sz="0" w:space="0" w:color="auto"/>
      </w:divBdr>
    </w:div>
    <w:div w:id="1842354243">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2549366">
      <w:bodyDiv w:val="1"/>
      <w:marLeft w:val="0"/>
      <w:marRight w:val="0"/>
      <w:marTop w:val="0"/>
      <w:marBottom w:val="0"/>
      <w:divBdr>
        <w:top w:val="none" w:sz="0" w:space="0" w:color="auto"/>
        <w:left w:val="none" w:sz="0" w:space="0" w:color="auto"/>
        <w:bottom w:val="none" w:sz="0" w:space="0" w:color="auto"/>
        <w:right w:val="none" w:sz="0" w:space="0" w:color="auto"/>
      </w:divBdr>
    </w:div>
    <w:div w:id="1842696837">
      <w:bodyDiv w:val="1"/>
      <w:marLeft w:val="0"/>
      <w:marRight w:val="0"/>
      <w:marTop w:val="0"/>
      <w:marBottom w:val="0"/>
      <w:divBdr>
        <w:top w:val="none" w:sz="0" w:space="0" w:color="auto"/>
        <w:left w:val="none" w:sz="0" w:space="0" w:color="auto"/>
        <w:bottom w:val="none" w:sz="0" w:space="0" w:color="auto"/>
        <w:right w:val="none" w:sz="0" w:space="0" w:color="auto"/>
      </w:divBdr>
    </w:div>
    <w:div w:id="1843012590">
      <w:bodyDiv w:val="1"/>
      <w:marLeft w:val="0"/>
      <w:marRight w:val="0"/>
      <w:marTop w:val="0"/>
      <w:marBottom w:val="0"/>
      <w:divBdr>
        <w:top w:val="none" w:sz="0" w:space="0" w:color="auto"/>
        <w:left w:val="none" w:sz="0" w:space="0" w:color="auto"/>
        <w:bottom w:val="none" w:sz="0" w:space="0" w:color="auto"/>
        <w:right w:val="none" w:sz="0" w:space="0" w:color="auto"/>
      </w:divBdr>
    </w:div>
    <w:div w:id="1843351976">
      <w:bodyDiv w:val="1"/>
      <w:marLeft w:val="0"/>
      <w:marRight w:val="0"/>
      <w:marTop w:val="0"/>
      <w:marBottom w:val="0"/>
      <w:divBdr>
        <w:top w:val="none" w:sz="0" w:space="0" w:color="auto"/>
        <w:left w:val="none" w:sz="0" w:space="0" w:color="auto"/>
        <w:bottom w:val="none" w:sz="0" w:space="0" w:color="auto"/>
        <w:right w:val="none" w:sz="0" w:space="0" w:color="auto"/>
      </w:divBdr>
    </w:div>
    <w:div w:id="1843743267">
      <w:bodyDiv w:val="1"/>
      <w:marLeft w:val="0"/>
      <w:marRight w:val="0"/>
      <w:marTop w:val="0"/>
      <w:marBottom w:val="0"/>
      <w:divBdr>
        <w:top w:val="none" w:sz="0" w:space="0" w:color="auto"/>
        <w:left w:val="none" w:sz="0" w:space="0" w:color="auto"/>
        <w:bottom w:val="none" w:sz="0" w:space="0" w:color="auto"/>
        <w:right w:val="none" w:sz="0" w:space="0" w:color="auto"/>
      </w:divBdr>
    </w:div>
    <w:div w:id="1843928103">
      <w:bodyDiv w:val="1"/>
      <w:marLeft w:val="0"/>
      <w:marRight w:val="0"/>
      <w:marTop w:val="0"/>
      <w:marBottom w:val="0"/>
      <w:divBdr>
        <w:top w:val="none" w:sz="0" w:space="0" w:color="auto"/>
        <w:left w:val="none" w:sz="0" w:space="0" w:color="auto"/>
        <w:bottom w:val="none" w:sz="0" w:space="0" w:color="auto"/>
        <w:right w:val="none" w:sz="0" w:space="0" w:color="auto"/>
      </w:divBdr>
    </w:div>
    <w:div w:id="1844124170">
      <w:bodyDiv w:val="1"/>
      <w:marLeft w:val="0"/>
      <w:marRight w:val="0"/>
      <w:marTop w:val="0"/>
      <w:marBottom w:val="0"/>
      <w:divBdr>
        <w:top w:val="none" w:sz="0" w:space="0" w:color="auto"/>
        <w:left w:val="none" w:sz="0" w:space="0" w:color="auto"/>
        <w:bottom w:val="none" w:sz="0" w:space="0" w:color="auto"/>
        <w:right w:val="none" w:sz="0" w:space="0" w:color="auto"/>
      </w:divBdr>
    </w:div>
    <w:div w:id="1844274707">
      <w:bodyDiv w:val="1"/>
      <w:marLeft w:val="0"/>
      <w:marRight w:val="0"/>
      <w:marTop w:val="0"/>
      <w:marBottom w:val="0"/>
      <w:divBdr>
        <w:top w:val="none" w:sz="0" w:space="0" w:color="auto"/>
        <w:left w:val="none" w:sz="0" w:space="0" w:color="auto"/>
        <w:bottom w:val="none" w:sz="0" w:space="0" w:color="auto"/>
        <w:right w:val="none" w:sz="0" w:space="0" w:color="auto"/>
      </w:divBdr>
    </w:div>
    <w:div w:id="1844737905">
      <w:bodyDiv w:val="1"/>
      <w:marLeft w:val="0"/>
      <w:marRight w:val="0"/>
      <w:marTop w:val="0"/>
      <w:marBottom w:val="0"/>
      <w:divBdr>
        <w:top w:val="none" w:sz="0" w:space="0" w:color="auto"/>
        <w:left w:val="none" w:sz="0" w:space="0" w:color="auto"/>
        <w:bottom w:val="none" w:sz="0" w:space="0" w:color="auto"/>
        <w:right w:val="none" w:sz="0" w:space="0" w:color="auto"/>
      </w:divBdr>
    </w:div>
    <w:div w:id="1845391280">
      <w:bodyDiv w:val="1"/>
      <w:marLeft w:val="0"/>
      <w:marRight w:val="0"/>
      <w:marTop w:val="0"/>
      <w:marBottom w:val="0"/>
      <w:divBdr>
        <w:top w:val="none" w:sz="0" w:space="0" w:color="auto"/>
        <w:left w:val="none" w:sz="0" w:space="0" w:color="auto"/>
        <w:bottom w:val="none" w:sz="0" w:space="0" w:color="auto"/>
        <w:right w:val="none" w:sz="0" w:space="0" w:color="auto"/>
      </w:divBdr>
    </w:div>
    <w:div w:id="1845853266">
      <w:bodyDiv w:val="1"/>
      <w:marLeft w:val="0"/>
      <w:marRight w:val="0"/>
      <w:marTop w:val="0"/>
      <w:marBottom w:val="0"/>
      <w:divBdr>
        <w:top w:val="none" w:sz="0" w:space="0" w:color="auto"/>
        <w:left w:val="none" w:sz="0" w:space="0" w:color="auto"/>
        <w:bottom w:val="none" w:sz="0" w:space="0" w:color="auto"/>
        <w:right w:val="none" w:sz="0" w:space="0" w:color="auto"/>
      </w:divBdr>
    </w:div>
    <w:div w:id="1846087808">
      <w:bodyDiv w:val="1"/>
      <w:marLeft w:val="0"/>
      <w:marRight w:val="0"/>
      <w:marTop w:val="0"/>
      <w:marBottom w:val="0"/>
      <w:divBdr>
        <w:top w:val="none" w:sz="0" w:space="0" w:color="auto"/>
        <w:left w:val="none" w:sz="0" w:space="0" w:color="auto"/>
        <w:bottom w:val="none" w:sz="0" w:space="0" w:color="auto"/>
        <w:right w:val="none" w:sz="0" w:space="0" w:color="auto"/>
      </w:divBdr>
    </w:div>
    <w:div w:id="1846312835">
      <w:bodyDiv w:val="1"/>
      <w:marLeft w:val="0"/>
      <w:marRight w:val="0"/>
      <w:marTop w:val="0"/>
      <w:marBottom w:val="0"/>
      <w:divBdr>
        <w:top w:val="none" w:sz="0" w:space="0" w:color="auto"/>
        <w:left w:val="none" w:sz="0" w:space="0" w:color="auto"/>
        <w:bottom w:val="none" w:sz="0" w:space="0" w:color="auto"/>
        <w:right w:val="none" w:sz="0" w:space="0" w:color="auto"/>
      </w:divBdr>
    </w:div>
    <w:div w:id="1846549686">
      <w:bodyDiv w:val="1"/>
      <w:marLeft w:val="0"/>
      <w:marRight w:val="0"/>
      <w:marTop w:val="0"/>
      <w:marBottom w:val="0"/>
      <w:divBdr>
        <w:top w:val="none" w:sz="0" w:space="0" w:color="auto"/>
        <w:left w:val="none" w:sz="0" w:space="0" w:color="auto"/>
        <w:bottom w:val="none" w:sz="0" w:space="0" w:color="auto"/>
        <w:right w:val="none" w:sz="0" w:space="0" w:color="auto"/>
      </w:divBdr>
    </w:div>
    <w:div w:id="1846556462">
      <w:bodyDiv w:val="1"/>
      <w:marLeft w:val="0"/>
      <w:marRight w:val="0"/>
      <w:marTop w:val="0"/>
      <w:marBottom w:val="0"/>
      <w:divBdr>
        <w:top w:val="none" w:sz="0" w:space="0" w:color="auto"/>
        <w:left w:val="none" w:sz="0" w:space="0" w:color="auto"/>
        <w:bottom w:val="none" w:sz="0" w:space="0" w:color="auto"/>
        <w:right w:val="none" w:sz="0" w:space="0" w:color="auto"/>
      </w:divBdr>
    </w:div>
    <w:div w:id="1846744631">
      <w:bodyDiv w:val="1"/>
      <w:marLeft w:val="0"/>
      <w:marRight w:val="0"/>
      <w:marTop w:val="0"/>
      <w:marBottom w:val="0"/>
      <w:divBdr>
        <w:top w:val="none" w:sz="0" w:space="0" w:color="auto"/>
        <w:left w:val="none" w:sz="0" w:space="0" w:color="auto"/>
        <w:bottom w:val="none" w:sz="0" w:space="0" w:color="auto"/>
        <w:right w:val="none" w:sz="0" w:space="0" w:color="auto"/>
      </w:divBdr>
    </w:div>
    <w:div w:id="1846746237">
      <w:bodyDiv w:val="1"/>
      <w:marLeft w:val="0"/>
      <w:marRight w:val="0"/>
      <w:marTop w:val="0"/>
      <w:marBottom w:val="0"/>
      <w:divBdr>
        <w:top w:val="none" w:sz="0" w:space="0" w:color="auto"/>
        <w:left w:val="none" w:sz="0" w:space="0" w:color="auto"/>
        <w:bottom w:val="none" w:sz="0" w:space="0" w:color="auto"/>
        <w:right w:val="none" w:sz="0" w:space="0" w:color="auto"/>
      </w:divBdr>
    </w:div>
    <w:div w:id="1846902063">
      <w:bodyDiv w:val="1"/>
      <w:marLeft w:val="0"/>
      <w:marRight w:val="0"/>
      <w:marTop w:val="0"/>
      <w:marBottom w:val="0"/>
      <w:divBdr>
        <w:top w:val="none" w:sz="0" w:space="0" w:color="auto"/>
        <w:left w:val="none" w:sz="0" w:space="0" w:color="auto"/>
        <w:bottom w:val="none" w:sz="0" w:space="0" w:color="auto"/>
        <w:right w:val="none" w:sz="0" w:space="0" w:color="auto"/>
      </w:divBdr>
    </w:div>
    <w:div w:id="1846944622">
      <w:bodyDiv w:val="1"/>
      <w:marLeft w:val="0"/>
      <w:marRight w:val="0"/>
      <w:marTop w:val="0"/>
      <w:marBottom w:val="0"/>
      <w:divBdr>
        <w:top w:val="none" w:sz="0" w:space="0" w:color="auto"/>
        <w:left w:val="none" w:sz="0" w:space="0" w:color="auto"/>
        <w:bottom w:val="none" w:sz="0" w:space="0" w:color="auto"/>
        <w:right w:val="none" w:sz="0" w:space="0" w:color="auto"/>
      </w:divBdr>
    </w:div>
    <w:div w:id="1847091201">
      <w:bodyDiv w:val="1"/>
      <w:marLeft w:val="0"/>
      <w:marRight w:val="0"/>
      <w:marTop w:val="0"/>
      <w:marBottom w:val="0"/>
      <w:divBdr>
        <w:top w:val="none" w:sz="0" w:space="0" w:color="auto"/>
        <w:left w:val="none" w:sz="0" w:space="0" w:color="auto"/>
        <w:bottom w:val="none" w:sz="0" w:space="0" w:color="auto"/>
        <w:right w:val="none" w:sz="0" w:space="0" w:color="auto"/>
      </w:divBdr>
    </w:div>
    <w:div w:id="1847133320">
      <w:bodyDiv w:val="1"/>
      <w:marLeft w:val="0"/>
      <w:marRight w:val="0"/>
      <w:marTop w:val="0"/>
      <w:marBottom w:val="0"/>
      <w:divBdr>
        <w:top w:val="none" w:sz="0" w:space="0" w:color="auto"/>
        <w:left w:val="none" w:sz="0" w:space="0" w:color="auto"/>
        <w:bottom w:val="none" w:sz="0" w:space="0" w:color="auto"/>
        <w:right w:val="none" w:sz="0" w:space="0" w:color="auto"/>
      </w:divBdr>
    </w:div>
    <w:div w:id="1847282156">
      <w:bodyDiv w:val="1"/>
      <w:marLeft w:val="0"/>
      <w:marRight w:val="0"/>
      <w:marTop w:val="0"/>
      <w:marBottom w:val="0"/>
      <w:divBdr>
        <w:top w:val="none" w:sz="0" w:space="0" w:color="auto"/>
        <w:left w:val="none" w:sz="0" w:space="0" w:color="auto"/>
        <w:bottom w:val="none" w:sz="0" w:space="0" w:color="auto"/>
        <w:right w:val="none" w:sz="0" w:space="0" w:color="auto"/>
      </w:divBdr>
    </w:div>
    <w:div w:id="1847331369">
      <w:bodyDiv w:val="1"/>
      <w:marLeft w:val="0"/>
      <w:marRight w:val="0"/>
      <w:marTop w:val="0"/>
      <w:marBottom w:val="0"/>
      <w:divBdr>
        <w:top w:val="none" w:sz="0" w:space="0" w:color="auto"/>
        <w:left w:val="none" w:sz="0" w:space="0" w:color="auto"/>
        <w:bottom w:val="none" w:sz="0" w:space="0" w:color="auto"/>
        <w:right w:val="none" w:sz="0" w:space="0" w:color="auto"/>
      </w:divBdr>
    </w:div>
    <w:div w:id="1847406166">
      <w:bodyDiv w:val="1"/>
      <w:marLeft w:val="0"/>
      <w:marRight w:val="0"/>
      <w:marTop w:val="0"/>
      <w:marBottom w:val="0"/>
      <w:divBdr>
        <w:top w:val="none" w:sz="0" w:space="0" w:color="auto"/>
        <w:left w:val="none" w:sz="0" w:space="0" w:color="auto"/>
        <w:bottom w:val="none" w:sz="0" w:space="0" w:color="auto"/>
        <w:right w:val="none" w:sz="0" w:space="0" w:color="auto"/>
      </w:divBdr>
    </w:div>
    <w:div w:id="1847480722">
      <w:bodyDiv w:val="1"/>
      <w:marLeft w:val="0"/>
      <w:marRight w:val="0"/>
      <w:marTop w:val="0"/>
      <w:marBottom w:val="0"/>
      <w:divBdr>
        <w:top w:val="none" w:sz="0" w:space="0" w:color="auto"/>
        <w:left w:val="none" w:sz="0" w:space="0" w:color="auto"/>
        <w:bottom w:val="none" w:sz="0" w:space="0" w:color="auto"/>
        <w:right w:val="none" w:sz="0" w:space="0" w:color="auto"/>
      </w:divBdr>
    </w:div>
    <w:div w:id="1849128911">
      <w:bodyDiv w:val="1"/>
      <w:marLeft w:val="0"/>
      <w:marRight w:val="0"/>
      <w:marTop w:val="0"/>
      <w:marBottom w:val="0"/>
      <w:divBdr>
        <w:top w:val="none" w:sz="0" w:space="0" w:color="auto"/>
        <w:left w:val="none" w:sz="0" w:space="0" w:color="auto"/>
        <w:bottom w:val="none" w:sz="0" w:space="0" w:color="auto"/>
        <w:right w:val="none" w:sz="0" w:space="0" w:color="auto"/>
      </w:divBdr>
    </w:div>
    <w:div w:id="1849174308">
      <w:bodyDiv w:val="1"/>
      <w:marLeft w:val="0"/>
      <w:marRight w:val="0"/>
      <w:marTop w:val="0"/>
      <w:marBottom w:val="0"/>
      <w:divBdr>
        <w:top w:val="none" w:sz="0" w:space="0" w:color="auto"/>
        <w:left w:val="none" w:sz="0" w:space="0" w:color="auto"/>
        <w:bottom w:val="none" w:sz="0" w:space="0" w:color="auto"/>
        <w:right w:val="none" w:sz="0" w:space="0" w:color="auto"/>
      </w:divBdr>
    </w:div>
    <w:div w:id="1849640898">
      <w:bodyDiv w:val="1"/>
      <w:marLeft w:val="0"/>
      <w:marRight w:val="0"/>
      <w:marTop w:val="0"/>
      <w:marBottom w:val="0"/>
      <w:divBdr>
        <w:top w:val="none" w:sz="0" w:space="0" w:color="auto"/>
        <w:left w:val="none" w:sz="0" w:space="0" w:color="auto"/>
        <w:bottom w:val="none" w:sz="0" w:space="0" w:color="auto"/>
        <w:right w:val="none" w:sz="0" w:space="0" w:color="auto"/>
      </w:divBdr>
    </w:div>
    <w:div w:id="1849707835">
      <w:bodyDiv w:val="1"/>
      <w:marLeft w:val="0"/>
      <w:marRight w:val="0"/>
      <w:marTop w:val="0"/>
      <w:marBottom w:val="0"/>
      <w:divBdr>
        <w:top w:val="none" w:sz="0" w:space="0" w:color="auto"/>
        <w:left w:val="none" w:sz="0" w:space="0" w:color="auto"/>
        <w:bottom w:val="none" w:sz="0" w:space="0" w:color="auto"/>
        <w:right w:val="none" w:sz="0" w:space="0" w:color="auto"/>
      </w:divBdr>
    </w:div>
    <w:div w:id="1849754220">
      <w:bodyDiv w:val="1"/>
      <w:marLeft w:val="0"/>
      <w:marRight w:val="0"/>
      <w:marTop w:val="0"/>
      <w:marBottom w:val="0"/>
      <w:divBdr>
        <w:top w:val="none" w:sz="0" w:space="0" w:color="auto"/>
        <w:left w:val="none" w:sz="0" w:space="0" w:color="auto"/>
        <w:bottom w:val="none" w:sz="0" w:space="0" w:color="auto"/>
        <w:right w:val="none" w:sz="0" w:space="0" w:color="auto"/>
      </w:divBdr>
    </w:div>
    <w:div w:id="1849755343">
      <w:bodyDiv w:val="1"/>
      <w:marLeft w:val="0"/>
      <w:marRight w:val="0"/>
      <w:marTop w:val="0"/>
      <w:marBottom w:val="0"/>
      <w:divBdr>
        <w:top w:val="none" w:sz="0" w:space="0" w:color="auto"/>
        <w:left w:val="none" w:sz="0" w:space="0" w:color="auto"/>
        <w:bottom w:val="none" w:sz="0" w:space="0" w:color="auto"/>
        <w:right w:val="none" w:sz="0" w:space="0" w:color="auto"/>
      </w:divBdr>
    </w:div>
    <w:div w:id="1849759119">
      <w:bodyDiv w:val="1"/>
      <w:marLeft w:val="0"/>
      <w:marRight w:val="0"/>
      <w:marTop w:val="0"/>
      <w:marBottom w:val="0"/>
      <w:divBdr>
        <w:top w:val="none" w:sz="0" w:space="0" w:color="auto"/>
        <w:left w:val="none" w:sz="0" w:space="0" w:color="auto"/>
        <w:bottom w:val="none" w:sz="0" w:space="0" w:color="auto"/>
        <w:right w:val="none" w:sz="0" w:space="0" w:color="auto"/>
      </w:divBdr>
    </w:div>
    <w:div w:id="1849825446">
      <w:bodyDiv w:val="1"/>
      <w:marLeft w:val="0"/>
      <w:marRight w:val="0"/>
      <w:marTop w:val="0"/>
      <w:marBottom w:val="0"/>
      <w:divBdr>
        <w:top w:val="none" w:sz="0" w:space="0" w:color="auto"/>
        <w:left w:val="none" w:sz="0" w:space="0" w:color="auto"/>
        <w:bottom w:val="none" w:sz="0" w:space="0" w:color="auto"/>
        <w:right w:val="none" w:sz="0" w:space="0" w:color="auto"/>
      </w:divBdr>
    </w:div>
    <w:div w:id="1849830511">
      <w:bodyDiv w:val="1"/>
      <w:marLeft w:val="0"/>
      <w:marRight w:val="0"/>
      <w:marTop w:val="0"/>
      <w:marBottom w:val="0"/>
      <w:divBdr>
        <w:top w:val="none" w:sz="0" w:space="0" w:color="auto"/>
        <w:left w:val="none" w:sz="0" w:space="0" w:color="auto"/>
        <w:bottom w:val="none" w:sz="0" w:space="0" w:color="auto"/>
        <w:right w:val="none" w:sz="0" w:space="0" w:color="auto"/>
      </w:divBdr>
    </w:div>
    <w:div w:id="1849834470">
      <w:bodyDiv w:val="1"/>
      <w:marLeft w:val="0"/>
      <w:marRight w:val="0"/>
      <w:marTop w:val="0"/>
      <w:marBottom w:val="0"/>
      <w:divBdr>
        <w:top w:val="none" w:sz="0" w:space="0" w:color="auto"/>
        <w:left w:val="none" w:sz="0" w:space="0" w:color="auto"/>
        <w:bottom w:val="none" w:sz="0" w:space="0" w:color="auto"/>
        <w:right w:val="none" w:sz="0" w:space="0" w:color="auto"/>
      </w:divBdr>
    </w:div>
    <w:div w:id="1850634053">
      <w:bodyDiv w:val="1"/>
      <w:marLeft w:val="0"/>
      <w:marRight w:val="0"/>
      <w:marTop w:val="0"/>
      <w:marBottom w:val="0"/>
      <w:divBdr>
        <w:top w:val="none" w:sz="0" w:space="0" w:color="auto"/>
        <w:left w:val="none" w:sz="0" w:space="0" w:color="auto"/>
        <w:bottom w:val="none" w:sz="0" w:space="0" w:color="auto"/>
        <w:right w:val="none" w:sz="0" w:space="0" w:color="auto"/>
      </w:divBdr>
    </w:div>
    <w:div w:id="1851020368">
      <w:bodyDiv w:val="1"/>
      <w:marLeft w:val="0"/>
      <w:marRight w:val="0"/>
      <w:marTop w:val="0"/>
      <w:marBottom w:val="0"/>
      <w:divBdr>
        <w:top w:val="none" w:sz="0" w:space="0" w:color="auto"/>
        <w:left w:val="none" w:sz="0" w:space="0" w:color="auto"/>
        <w:bottom w:val="none" w:sz="0" w:space="0" w:color="auto"/>
        <w:right w:val="none" w:sz="0" w:space="0" w:color="auto"/>
      </w:divBdr>
    </w:div>
    <w:div w:id="1851143827">
      <w:bodyDiv w:val="1"/>
      <w:marLeft w:val="0"/>
      <w:marRight w:val="0"/>
      <w:marTop w:val="0"/>
      <w:marBottom w:val="0"/>
      <w:divBdr>
        <w:top w:val="none" w:sz="0" w:space="0" w:color="auto"/>
        <w:left w:val="none" w:sz="0" w:space="0" w:color="auto"/>
        <w:bottom w:val="none" w:sz="0" w:space="0" w:color="auto"/>
        <w:right w:val="none" w:sz="0" w:space="0" w:color="auto"/>
      </w:divBdr>
    </w:div>
    <w:div w:id="1851215289">
      <w:bodyDiv w:val="1"/>
      <w:marLeft w:val="0"/>
      <w:marRight w:val="0"/>
      <w:marTop w:val="0"/>
      <w:marBottom w:val="0"/>
      <w:divBdr>
        <w:top w:val="none" w:sz="0" w:space="0" w:color="auto"/>
        <w:left w:val="none" w:sz="0" w:space="0" w:color="auto"/>
        <w:bottom w:val="none" w:sz="0" w:space="0" w:color="auto"/>
        <w:right w:val="none" w:sz="0" w:space="0" w:color="auto"/>
      </w:divBdr>
    </w:div>
    <w:div w:id="1851529142">
      <w:bodyDiv w:val="1"/>
      <w:marLeft w:val="0"/>
      <w:marRight w:val="0"/>
      <w:marTop w:val="0"/>
      <w:marBottom w:val="0"/>
      <w:divBdr>
        <w:top w:val="none" w:sz="0" w:space="0" w:color="auto"/>
        <w:left w:val="none" w:sz="0" w:space="0" w:color="auto"/>
        <w:bottom w:val="none" w:sz="0" w:space="0" w:color="auto"/>
        <w:right w:val="none" w:sz="0" w:space="0" w:color="auto"/>
      </w:divBdr>
    </w:div>
    <w:div w:id="1851872556">
      <w:bodyDiv w:val="1"/>
      <w:marLeft w:val="0"/>
      <w:marRight w:val="0"/>
      <w:marTop w:val="0"/>
      <w:marBottom w:val="0"/>
      <w:divBdr>
        <w:top w:val="none" w:sz="0" w:space="0" w:color="auto"/>
        <w:left w:val="none" w:sz="0" w:space="0" w:color="auto"/>
        <w:bottom w:val="none" w:sz="0" w:space="0" w:color="auto"/>
        <w:right w:val="none" w:sz="0" w:space="0" w:color="auto"/>
      </w:divBdr>
    </w:div>
    <w:div w:id="1852068343">
      <w:bodyDiv w:val="1"/>
      <w:marLeft w:val="0"/>
      <w:marRight w:val="0"/>
      <w:marTop w:val="0"/>
      <w:marBottom w:val="0"/>
      <w:divBdr>
        <w:top w:val="none" w:sz="0" w:space="0" w:color="auto"/>
        <w:left w:val="none" w:sz="0" w:space="0" w:color="auto"/>
        <w:bottom w:val="none" w:sz="0" w:space="0" w:color="auto"/>
        <w:right w:val="none" w:sz="0" w:space="0" w:color="auto"/>
      </w:divBdr>
    </w:div>
    <w:div w:id="1852526754">
      <w:bodyDiv w:val="1"/>
      <w:marLeft w:val="0"/>
      <w:marRight w:val="0"/>
      <w:marTop w:val="0"/>
      <w:marBottom w:val="0"/>
      <w:divBdr>
        <w:top w:val="none" w:sz="0" w:space="0" w:color="auto"/>
        <w:left w:val="none" w:sz="0" w:space="0" w:color="auto"/>
        <w:bottom w:val="none" w:sz="0" w:space="0" w:color="auto"/>
        <w:right w:val="none" w:sz="0" w:space="0" w:color="auto"/>
      </w:divBdr>
    </w:div>
    <w:div w:id="1852573267">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53178461">
      <w:bodyDiv w:val="1"/>
      <w:marLeft w:val="0"/>
      <w:marRight w:val="0"/>
      <w:marTop w:val="0"/>
      <w:marBottom w:val="0"/>
      <w:divBdr>
        <w:top w:val="none" w:sz="0" w:space="0" w:color="auto"/>
        <w:left w:val="none" w:sz="0" w:space="0" w:color="auto"/>
        <w:bottom w:val="none" w:sz="0" w:space="0" w:color="auto"/>
        <w:right w:val="none" w:sz="0" w:space="0" w:color="auto"/>
      </w:divBdr>
    </w:div>
    <w:div w:id="1853690446">
      <w:bodyDiv w:val="1"/>
      <w:marLeft w:val="0"/>
      <w:marRight w:val="0"/>
      <w:marTop w:val="0"/>
      <w:marBottom w:val="0"/>
      <w:divBdr>
        <w:top w:val="none" w:sz="0" w:space="0" w:color="auto"/>
        <w:left w:val="none" w:sz="0" w:space="0" w:color="auto"/>
        <w:bottom w:val="none" w:sz="0" w:space="0" w:color="auto"/>
        <w:right w:val="none" w:sz="0" w:space="0" w:color="auto"/>
      </w:divBdr>
    </w:div>
    <w:div w:id="1854025900">
      <w:bodyDiv w:val="1"/>
      <w:marLeft w:val="0"/>
      <w:marRight w:val="0"/>
      <w:marTop w:val="0"/>
      <w:marBottom w:val="0"/>
      <w:divBdr>
        <w:top w:val="none" w:sz="0" w:space="0" w:color="auto"/>
        <w:left w:val="none" w:sz="0" w:space="0" w:color="auto"/>
        <w:bottom w:val="none" w:sz="0" w:space="0" w:color="auto"/>
        <w:right w:val="none" w:sz="0" w:space="0" w:color="auto"/>
      </w:divBdr>
    </w:div>
    <w:div w:id="1854027498">
      <w:bodyDiv w:val="1"/>
      <w:marLeft w:val="0"/>
      <w:marRight w:val="0"/>
      <w:marTop w:val="0"/>
      <w:marBottom w:val="0"/>
      <w:divBdr>
        <w:top w:val="none" w:sz="0" w:space="0" w:color="auto"/>
        <w:left w:val="none" w:sz="0" w:space="0" w:color="auto"/>
        <w:bottom w:val="none" w:sz="0" w:space="0" w:color="auto"/>
        <w:right w:val="none" w:sz="0" w:space="0" w:color="auto"/>
      </w:divBdr>
    </w:div>
    <w:div w:id="1854034218">
      <w:bodyDiv w:val="1"/>
      <w:marLeft w:val="0"/>
      <w:marRight w:val="0"/>
      <w:marTop w:val="0"/>
      <w:marBottom w:val="0"/>
      <w:divBdr>
        <w:top w:val="none" w:sz="0" w:space="0" w:color="auto"/>
        <w:left w:val="none" w:sz="0" w:space="0" w:color="auto"/>
        <w:bottom w:val="none" w:sz="0" w:space="0" w:color="auto"/>
        <w:right w:val="none" w:sz="0" w:space="0" w:color="auto"/>
      </w:divBdr>
    </w:div>
    <w:div w:id="1854145660">
      <w:bodyDiv w:val="1"/>
      <w:marLeft w:val="0"/>
      <w:marRight w:val="0"/>
      <w:marTop w:val="0"/>
      <w:marBottom w:val="0"/>
      <w:divBdr>
        <w:top w:val="none" w:sz="0" w:space="0" w:color="auto"/>
        <w:left w:val="none" w:sz="0" w:space="0" w:color="auto"/>
        <w:bottom w:val="none" w:sz="0" w:space="0" w:color="auto"/>
        <w:right w:val="none" w:sz="0" w:space="0" w:color="auto"/>
      </w:divBdr>
    </w:div>
    <w:div w:id="1854219337">
      <w:bodyDiv w:val="1"/>
      <w:marLeft w:val="0"/>
      <w:marRight w:val="0"/>
      <w:marTop w:val="0"/>
      <w:marBottom w:val="0"/>
      <w:divBdr>
        <w:top w:val="none" w:sz="0" w:space="0" w:color="auto"/>
        <w:left w:val="none" w:sz="0" w:space="0" w:color="auto"/>
        <w:bottom w:val="none" w:sz="0" w:space="0" w:color="auto"/>
        <w:right w:val="none" w:sz="0" w:space="0" w:color="auto"/>
      </w:divBdr>
    </w:div>
    <w:div w:id="1854223586">
      <w:bodyDiv w:val="1"/>
      <w:marLeft w:val="0"/>
      <w:marRight w:val="0"/>
      <w:marTop w:val="0"/>
      <w:marBottom w:val="0"/>
      <w:divBdr>
        <w:top w:val="none" w:sz="0" w:space="0" w:color="auto"/>
        <w:left w:val="none" w:sz="0" w:space="0" w:color="auto"/>
        <w:bottom w:val="none" w:sz="0" w:space="0" w:color="auto"/>
        <w:right w:val="none" w:sz="0" w:space="0" w:color="auto"/>
      </w:divBdr>
    </w:div>
    <w:div w:id="1854299955">
      <w:bodyDiv w:val="1"/>
      <w:marLeft w:val="0"/>
      <w:marRight w:val="0"/>
      <w:marTop w:val="0"/>
      <w:marBottom w:val="0"/>
      <w:divBdr>
        <w:top w:val="none" w:sz="0" w:space="0" w:color="auto"/>
        <w:left w:val="none" w:sz="0" w:space="0" w:color="auto"/>
        <w:bottom w:val="none" w:sz="0" w:space="0" w:color="auto"/>
        <w:right w:val="none" w:sz="0" w:space="0" w:color="auto"/>
      </w:divBdr>
    </w:div>
    <w:div w:id="1854372951">
      <w:bodyDiv w:val="1"/>
      <w:marLeft w:val="0"/>
      <w:marRight w:val="0"/>
      <w:marTop w:val="0"/>
      <w:marBottom w:val="0"/>
      <w:divBdr>
        <w:top w:val="none" w:sz="0" w:space="0" w:color="auto"/>
        <w:left w:val="none" w:sz="0" w:space="0" w:color="auto"/>
        <w:bottom w:val="none" w:sz="0" w:space="0" w:color="auto"/>
        <w:right w:val="none" w:sz="0" w:space="0" w:color="auto"/>
      </w:divBdr>
    </w:div>
    <w:div w:id="1854495198">
      <w:bodyDiv w:val="1"/>
      <w:marLeft w:val="0"/>
      <w:marRight w:val="0"/>
      <w:marTop w:val="0"/>
      <w:marBottom w:val="0"/>
      <w:divBdr>
        <w:top w:val="none" w:sz="0" w:space="0" w:color="auto"/>
        <w:left w:val="none" w:sz="0" w:space="0" w:color="auto"/>
        <w:bottom w:val="none" w:sz="0" w:space="0" w:color="auto"/>
        <w:right w:val="none" w:sz="0" w:space="0" w:color="auto"/>
      </w:divBdr>
    </w:div>
    <w:div w:id="1856268599">
      <w:bodyDiv w:val="1"/>
      <w:marLeft w:val="0"/>
      <w:marRight w:val="0"/>
      <w:marTop w:val="0"/>
      <w:marBottom w:val="0"/>
      <w:divBdr>
        <w:top w:val="none" w:sz="0" w:space="0" w:color="auto"/>
        <w:left w:val="none" w:sz="0" w:space="0" w:color="auto"/>
        <w:bottom w:val="none" w:sz="0" w:space="0" w:color="auto"/>
        <w:right w:val="none" w:sz="0" w:space="0" w:color="auto"/>
      </w:divBdr>
    </w:div>
    <w:div w:id="1856798114">
      <w:bodyDiv w:val="1"/>
      <w:marLeft w:val="0"/>
      <w:marRight w:val="0"/>
      <w:marTop w:val="0"/>
      <w:marBottom w:val="0"/>
      <w:divBdr>
        <w:top w:val="none" w:sz="0" w:space="0" w:color="auto"/>
        <w:left w:val="none" w:sz="0" w:space="0" w:color="auto"/>
        <w:bottom w:val="none" w:sz="0" w:space="0" w:color="auto"/>
        <w:right w:val="none" w:sz="0" w:space="0" w:color="auto"/>
      </w:divBdr>
    </w:div>
    <w:div w:id="1857038244">
      <w:bodyDiv w:val="1"/>
      <w:marLeft w:val="0"/>
      <w:marRight w:val="0"/>
      <w:marTop w:val="0"/>
      <w:marBottom w:val="0"/>
      <w:divBdr>
        <w:top w:val="none" w:sz="0" w:space="0" w:color="auto"/>
        <w:left w:val="none" w:sz="0" w:space="0" w:color="auto"/>
        <w:bottom w:val="none" w:sz="0" w:space="0" w:color="auto"/>
        <w:right w:val="none" w:sz="0" w:space="0" w:color="auto"/>
      </w:divBdr>
    </w:div>
    <w:div w:id="1857647412">
      <w:bodyDiv w:val="1"/>
      <w:marLeft w:val="0"/>
      <w:marRight w:val="0"/>
      <w:marTop w:val="0"/>
      <w:marBottom w:val="0"/>
      <w:divBdr>
        <w:top w:val="none" w:sz="0" w:space="0" w:color="auto"/>
        <w:left w:val="none" w:sz="0" w:space="0" w:color="auto"/>
        <w:bottom w:val="none" w:sz="0" w:space="0" w:color="auto"/>
        <w:right w:val="none" w:sz="0" w:space="0" w:color="auto"/>
      </w:divBdr>
    </w:div>
    <w:div w:id="1857768856">
      <w:bodyDiv w:val="1"/>
      <w:marLeft w:val="0"/>
      <w:marRight w:val="0"/>
      <w:marTop w:val="0"/>
      <w:marBottom w:val="0"/>
      <w:divBdr>
        <w:top w:val="none" w:sz="0" w:space="0" w:color="auto"/>
        <w:left w:val="none" w:sz="0" w:space="0" w:color="auto"/>
        <w:bottom w:val="none" w:sz="0" w:space="0" w:color="auto"/>
        <w:right w:val="none" w:sz="0" w:space="0" w:color="auto"/>
      </w:divBdr>
    </w:div>
    <w:div w:id="1857959170">
      <w:bodyDiv w:val="1"/>
      <w:marLeft w:val="0"/>
      <w:marRight w:val="0"/>
      <w:marTop w:val="0"/>
      <w:marBottom w:val="0"/>
      <w:divBdr>
        <w:top w:val="none" w:sz="0" w:space="0" w:color="auto"/>
        <w:left w:val="none" w:sz="0" w:space="0" w:color="auto"/>
        <w:bottom w:val="none" w:sz="0" w:space="0" w:color="auto"/>
        <w:right w:val="none" w:sz="0" w:space="0" w:color="auto"/>
      </w:divBdr>
    </w:div>
    <w:div w:id="1858497125">
      <w:bodyDiv w:val="1"/>
      <w:marLeft w:val="0"/>
      <w:marRight w:val="0"/>
      <w:marTop w:val="0"/>
      <w:marBottom w:val="0"/>
      <w:divBdr>
        <w:top w:val="none" w:sz="0" w:space="0" w:color="auto"/>
        <w:left w:val="none" w:sz="0" w:space="0" w:color="auto"/>
        <w:bottom w:val="none" w:sz="0" w:space="0" w:color="auto"/>
        <w:right w:val="none" w:sz="0" w:space="0" w:color="auto"/>
      </w:divBdr>
    </w:div>
    <w:div w:id="1858498664">
      <w:bodyDiv w:val="1"/>
      <w:marLeft w:val="0"/>
      <w:marRight w:val="0"/>
      <w:marTop w:val="0"/>
      <w:marBottom w:val="0"/>
      <w:divBdr>
        <w:top w:val="none" w:sz="0" w:space="0" w:color="auto"/>
        <w:left w:val="none" w:sz="0" w:space="0" w:color="auto"/>
        <w:bottom w:val="none" w:sz="0" w:space="0" w:color="auto"/>
        <w:right w:val="none" w:sz="0" w:space="0" w:color="auto"/>
      </w:divBdr>
    </w:div>
    <w:div w:id="1858888917">
      <w:bodyDiv w:val="1"/>
      <w:marLeft w:val="0"/>
      <w:marRight w:val="0"/>
      <w:marTop w:val="0"/>
      <w:marBottom w:val="0"/>
      <w:divBdr>
        <w:top w:val="none" w:sz="0" w:space="0" w:color="auto"/>
        <w:left w:val="none" w:sz="0" w:space="0" w:color="auto"/>
        <w:bottom w:val="none" w:sz="0" w:space="0" w:color="auto"/>
        <w:right w:val="none" w:sz="0" w:space="0" w:color="auto"/>
      </w:divBdr>
    </w:div>
    <w:div w:id="1859155749">
      <w:bodyDiv w:val="1"/>
      <w:marLeft w:val="0"/>
      <w:marRight w:val="0"/>
      <w:marTop w:val="0"/>
      <w:marBottom w:val="0"/>
      <w:divBdr>
        <w:top w:val="none" w:sz="0" w:space="0" w:color="auto"/>
        <w:left w:val="none" w:sz="0" w:space="0" w:color="auto"/>
        <w:bottom w:val="none" w:sz="0" w:space="0" w:color="auto"/>
        <w:right w:val="none" w:sz="0" w:space="0" w:color="auto"/>
      </w:divBdr>
    </w:div>
    <w:div w:id="1860118405">
      <w:bodyDiv w:val="1"/>
      <w:marLeft w:val="0"/>
      <w:marRight w:val="0"/>
      <w:marTop w:val="0"/>
      <w:marBottom w:val="0"/>
      <w:divBdr>
        <w:top w:val="none" w:sz="0" w:space="0" w:color="auto"/>
        <w:left w:val="none" w:sz="0" w:space="0" w:color="auto"/>
        <w:bottom w:val="none" w:sz="0" w:space="0" w:color="auto"/>
        <w:right w:val="none" w:sz="0" w:space="0" w:color="auto"/>
      </w:divBdr>
    </w:div>
    <w:div w:id="1860586913">
      <w:bodyDiv w:val="1"/>
      <w:marLeft w:val="0"/>
      <w:marRight w:val="0"/>
      <w:marTop w:val="0"/>
      <w:marBottom w:val="0"/>
      <w:divBdr>
        <w:top w:val="none" w:sz="0" w:space="0" w:color="auto"/>
        <w:left w:val="none" w:sz="0" w:space="0" w:color="auto"/>
        <w:bottom w:val="none" w:sz="0" w:space="0" w:color="auto"/>
        <w:right w:val="none" w:sz="0" w:space="0" w:color="auto"/>
      </w:divBdr>
    </w:div>
    <w:div w:id="1860699233">
      <w:bodyDiv w:val="1"/>
      <w:marLeft w:val="0"/>
      <w:marRight w:val="0"/>
      <w:marTop w:val="0"/>
      <w:marBottom w:val="0"/>
      <w:divBdr>
        <w:top w:val="none" w:sz="0" w:space="0" w:color="auto"/>
        <w:left w:val="none" w:sz="0" w:space="0" w:color="auto"/>
        <w:bottom w:val="none" w:sz="0" w:space="0" w:color="auto"/>
        <w:right w:val="none" w:sz="0" w:space="0" w:color="auto"/>
      </w:divBdr>
    </w:div>
    <w:div w:id="1860776008">
      <w:bodyDiv w:val="1"/>
      <w:marLeft w:val="0"/>
      <w:marRight w:val="0"/>
      <w:marTop w:val="0"/>
      <w:marBottom w:val="0"/>
      <w:divBdr>
        <w:top w:val="none" w:sz="0" w:space="0" w:color="auto"/>
        <w:left w:val="none" w:sz="0" w:space="0" w:color="auto"/>
        <w:bottom w:val="none" w:sz="0" w:space="0" w:color="auto"/>
        <w:right w:val="none" w:sz="0" w:space="0" w:color="auto"/>
      </w:divBdr>
    </w:div>
    <w:div w:id="1860850986">
      <w:bodyDiv w:val="1"/>
      <w:marLeft w:val="0"/>
      <w:marRight w:val="0"/>
      <w:marTop w:val="0"/>
      <w:marBottom w:val="0"/>
      <w:divBdr>
        <w:top w:val="none" w:sz="0" w:space="0" w:color="auto"/>
        <w:left w:val="none" w:sz="0" w:space="0" w:color="auto"/>
        <w:bottom w:val="none" w:sz="0" w:space="0" w:color="auto"/>
        <w:right w:val="none" w:sz="0" w:space="0" w:color="auto"/>
      </w:divBdr>
    </w:div>
    <w:div w:id="1861503775">
      <w:bodyDiv w:val="1"/>
      <w:marLeft w:val="0"/>
      <w:marRight w:val="0"/>
      <w:marTop w:val="0"/>
      <w:marBottom w:val="0"/>
      <w:divBdr>
        <w:top w:val="none" w:sz="0" w:space="0" w:color="auto"/>
        <w:left w:val="none" w:sz="0" w:space="0" w:color="auto"/>
        <w:bottom w:val="none" w:sz="0" w:space="0" w:color="auto"/>
        <w:right w:val="none" w:sz="0" w:space="0" w:color="auto"/>
      </w:divBdr>
    </w:div>
    <w:div w:id="1861578848">
      <w:bodyDiv w:val="1"/>
      <w:marLeft w:val="0"/>
      <w:marRight w:val="0"/>
      <w:marTop w:val="0"/>
      <w:marBottom w:val="0"/>
      <w:divBdr>
        <w:top w:val="none" w:sz="0" w:space="0" w:color="auto"/>
        <w:left w:val="none" w:sz="0" w:space="0" w:color="auto"/>
        <w:bottom w:val="none" w:sz="0" w:space="0" w:color="auto"/>
        <w:right w:val="none" w:sz="0" w:space="0" w:color="auto"/>
      </w:divBdr>
    </w:div>
    <w:div w:id="1861819524">
      <w:bodyDiv w:val="1"/>
      <w:marLeft w:val="0"/>
      <w:marRight w:val="0"/>
      <w:marTop w:val="0"/>
      <w:marBottom w:val="0"/>
      <w:divBdr>
        <w:top w:val="none" w:sz="0" w:space="0" w:color="auto"/>
        <w:left w:val="none" w:sz="0" w:space="0" w:color="auto"/>
        <w:bottom w:val="none" w:sz="0" w:space="0" w:color="auto"/>
        <w:right w:val="none" w:sz="0" w:space="0" w:color="auto"/>
      </w:divBdr>
    </w:div>
    <w:div w:id="1862085422">
      <w:bodyDiv w:val="1"/>
      <w:marLeft w:val="0"/>
      <w:marRight w:val="0"/>
      <w:marTop w:val="0"/>
      <w:marBottom w:val="0"/>
      <w:divBdr>
        <w:top w:val="none" w:sz="0" w:space="0" w:color="auto"/>
        <w:left w:val="none" w:sz="0" w:space="0" w:color="auto"/>
        <w:bottom w:val="none" w:sz="0" w:space="0" w:color="auto"/>
        <w:right w:val="none" w:sz="0" w:space="0" w:color="auto"/>
      </w:divBdr>
    </w:div>
    <w:div w:id="1862275340">
      <w:bodyDiv w:val="1"/>
      <w:marLeft w:val="0"/>
      <w:marRight w:val="0"/>
      <w:marTop w:val="0"/>
      <w:marBottom w:val="0"/>
      <w:divBdr>
        <w:top w:val="none" w:sz="0" w:space="0" w:color="auto"/>
        <w:left w:val="none" w:sz="0" w:space="0" w:color="auto"/>
        <w:bottom w:val="none" w:sz="0" w:space="0" w:color="auto"/>
        <w:right w:val="none" w:sz="0" w:space="0" w:color="auto"/>
      </w:divBdr>
    </w:div>
    <w:div w:id="1862547748">
      <w:bodyDiv w:val="1"/>
      <w:marLeft w:val="0"/>
      <w:marRight w:val="0"/>
      <w:marTop w:val="0"/>
      <w:marBottom w:val="0"/>
      <w:divBdr>
        <w:top w:val="none" w:sz="0" w:space="0" w:color="auto"/>
        <w:left w:val="none" w:sz="0" w:space="0" w:color="auto"/>
        <w:bottom w:val="none" w:sz="0" w:space="0" w:color="auto"/>
        <w:right w:val="none" w:sz="0" w:space="0" w:color="auto"/>
      </w:divBdr>
    </w:div>
    <w:div w:id="1862551508">
      <w:bodyDiv w:val="1"/>
      <w:marLeft w:val="0"/>
      <w:marRight w:val="0"/>
      <w:marTop w:val="0"/>
      <w:marBottom w:val="0"/>
      <w:divBdr>
        <w:top w:val="none" w:sz="0" w:space="0" w:color="auto"/>
        <w:left w:val="none" w:sz="0" w:space="0" w:color="auto"/>
        <w:bottom w:val="none" w:sz="0" w:space="0" w:color="auto"/>
        <w:right w:val="none" w:sz="0" w:space="0" w:color="auto"/>
      </w:divBdr>
    </w:div>
    <w:div w:id="1862552506">
      <w:bodyDiv w:val="1"/>
      <w:marLeft w:val="0"/>
      <w:marRight w:val="0"/>
      <w:marTop w:val="0"/>
      <w:marBottom w:val="0"/>
      <w:divBdr>
        <w:top w:val="none" w:sz="0" w:space="0" w:color="auto"/>
        <w:left w:val="none" w:sz="0" w:space="0" w:color="auto"/>
        <w:bottom w:val="none" w:sz="0" w:space="0" w:color="auto"/>
        <w:right w:val="none" w:sz="0" w:space="0" w:color="auto"/>
      </w:divBdr>
    </w:div>
    <w:div w:id="1862743529">
      <w:bodyDiv w:val="1"/>
      <w:marLeft w:val="0"/>
      <w:marRight w:val="0"/>
      <w:marTop w:val="0"/>
      <w:marBottom w:val="0"/>
      <w:divBdr>
        <w:top w:val="none" w:sz="0" w:space="0" w:color="auto"/>
        <w:left w:val="none" w:sz="0" w:space="0" w:color="auto"/>
        <w:bottom w:val="none" w:sz="0" w:space="0" w:color="auto"/>
        <w:right w:val="none" w:sz="0" w:space="0" w:color="auto"/>
      </w:divBdr>
    </w:div>
    <w:div w:id="1862863054">
      <w:bodyDiv w:val="1"/>
      <w:marLeft w:val="0"/>
      <w:marRight w:val="0"/>
      <w:marTop w:val="0"/>
      <w:marBottom w:val="0"/>
      <w:divBdr>
        <w:top w:val="none" w:sz="0" w:space="0" w:color="auto"/>
        <w:left w:val="none" w:sz="0" w:space="0" w:color="auto"/>
        <w:bottom w:val="none" w:sz="0" w:space="0" w:color="auto"/>
        <w:right w:val="none" w:sz="0" w:space="0" w:color="auto"/>
      </w:divBdr>
    </w:div>
    <w:div w:id="1863351414">
      <w:bodyDiv w:val="1"/>
      <w:marLeft w:val="0"/>
      <w:marRight w:val="0"/>
      <w:marTop w:val="0"/>
      <w:marBottom w:val="0"/>
      <w:divBdr>
        <w:top w:val="none" w:sz="0" w:space="0" w:color="auto"/>
        <w:left w:val="none" w:sz="0" w:space="0" w:color="auto"/>
        <w:bottom w:val="none" w:sz="0" w:space="0" w:color="auto"/>
        <w:right w:val="none" w:sz="0" w:space="0" w:color="auto"/>
      </w:divBdr>
    </w:div>
    <w:div w:id="1863662261">
      <w:bodyDiv w:val="1"/>
      <w:marLeft w:val="0"/>
      <w:marRight w:val="0"/>
      <w:marTop w:val="0"/>
      <w:marBottom w:val="0"/>
      <w:divBdr>
        <w:top w:val="none" w:sz="0" w:space="0" w:color="auto"/>
        <w:left w:val="none" w:sz="0" w:space="0" w:color="auto"/>
        <w:bottom w:val="none" w:sz="0" w:space="0" w:color="auto"/>
        <w:right w:val="none" w:sz="0" w:space="0" w:color="auto"/>
      </w:divBdr>
    </w:div>
    <w:div w:id="1863935224">
      <w:bodyDiv w:val="1"/>
      <w:marLeft w:val="0"/>
      <w:marRight w:val="0"/>
      <w:marTop w:val="0"/>
      <w:marBottom w:val="0"/>
      <w:divBdr>
        <w:top w:val="none" w:sz="0" w:space="0" w:color="auto"/>
        <w:left w:val="none" w:sz="0" w:space="0" w:color="auto"/>
        <w:bottom w:val="none" w:sz="0" w:space="0" w:color="auto"/>
        <w:right w:val="none" w:sz="0" w:space="0" w:color="auto"/>
      </w:divBdr>
    </w:div>
    <w:div w:id="1864588323">
      <w:bodyDiv w:val="1"/>
      <w:marLeft w:val="0"/>
      <w:marRight w:val="0"/>
      <w:marTop w:val="0"/>
      <w:marBottom w:val="0"/>
      <w:divBdr>
        <w:top w:val="none" w:sz="0" w:space="0" w:color="auto"/>
        <w:left w:val="none" w:sz="0" w:space="0" w:color="auto"/>
        <w:bottom w:val="none" w:sz="0" w:space="0" w:color="auto"/>
        <w:right w:val="none" w:sz="0" w:space="0" w:color="auto"/>
      </w:divBdr>
    </w:div>
    <w:div w:id="1864704940">
      <w:bodyDiv w:val="1"/>
      <w:marLeft w:val="0"/>
      <w:marRight w:val="0"/>
      <w:marTop w:val="0"/>
      <w:marBottom w:val="0"/>
      <w:divBdr>
        <w:top w:val="none" w:sz="0" w:space="0" w:color="auto"/>
        <w:left w:val="none" w:sz="0" w:space="0" w:color="auto"/>
        <w:bottom w:val="none" w:sz="0" w:space="0" w:color="auto"/>
        <w:right w:val="none" w:sz="0" w:space="0" w:color="auto"/>
      </w:divBdr>
    </w:div>
    <w:div w:id="1864897060">
      <w:bodyDiv w:val="1"/>
      <w:marLeft w:val="0"/>
      <w:marRight w:val="0"/>
      <w:marTop w:val="0"/>
      <w:marBottom w:val="0"/>
      <w:divBdr>
        <w:top w:val="none" w:sz="0" w:space="0" w:color="auto"/>
        <w:left w:val="none" w:sz="0" w:space="0" w:color="auto"/>
        <w:bottom w:val="none" w:sz="0" w:space="0" w:color="auto"/>
        <w:right w:val="none" w:sz="0" w:space="0" w:color="auto"/>
      </w:divBdr>
    </w:div>
    <w:div w:id="1865751478">
      <w:bodyDiv w:val="1"/>
      <w:marLeft w:val="0"/>
      <w:marRight w:val="0"/>
      <w:marTop w:val="0"/>
      <w:marBottom w:val="0"/>
      <w:divBdr>
        <w:top w:val="none" w:sz="0" w:space="0" w:color="auto"/>
        <w:left w:val="none" w:sz="0" w:space="0" w:color="auto"/>
        <w:bottom w:val="none" w:sz="0" w:space="0" w:color="auto"/>
        <w:right w:val="none" w:sz="0" w:space="0" w:color="auto"/>
      </w:divBdr>
    </w:div>
    <w:div w:id="1866212968">
      <w:bodyDiv w:val="1"/>
      <w:marLeft w:val="0"/>
      <w:marRight w:val="0"/>
      <w:marTop w:val="0"/>
      <w:marBottom w:val="0"/>
      <w:divBdr>
        <w:top w:val="none" w:sz="0" w:space="0" w:color="auto"/>
        <w:left w:val="none" w:sz="0" w:space="0" w:color="auto"/>
        <w:bottom w:val="none" w:sz="0" w:space="0" w:color="auto"/>
        <w:right w:val="none" w:sz="0" w:space="0" w:color="auto"/>
      </w:divBdr>
    </w:div>
    <w:div w:id="1866482394">
      <w:bodyDiv w:val="1"/>
      <w:marLeft w:val="0"/>
      <w:marRight w:val="0"/>
      <w:marTop w:val="0"/>
      <w:marBottom w:val="0"/>
      <w:divBdr>
        <w:top w:val="none" w:sz="0" w:space="0" w:color="auto"/>
        <w:left w:val="none" w:sz="0" w:space="0" w:color="auto"/>
        <w:bottom w:val="none" w:sz="0" w:space="0" w:color="auto"/>
        <w:right w:val="none" w:sz="0" w:space="0" w:color="auto"/>
      </w:divBdr>
    </w:div>
    <w:div w:id="1866557961">
      <w:bodyDiv w:val="1"/>
      <w:marLeft w:val="0"/>
      <w:marRight w:val="0"/>
      <w:marTop w:val="0"/>
      <w:marBottom w:val="0"/>
      <w:divBdr>
        <w:top w:val="none" w:sz="0" w:space="0" w:color="auto"/>
        <w:left w:val="none" w:sz="0" w:space="0" w:color="auto"/>
        <w:bottom w:val="none" w:sz="0" w:space="0" w:color="auto"/>
        <w:right w:val="none" w:sz="0" w:space="0" w:color="auto"/>
      </w:divBdr>
    </w:div>
    <w:div w:id="1866938637">
      <w:bodyDiv w:val="1"/>
      <w:marLeft w:val="0"/>
      <w:marRight w:val="0"/>
      <w:marTop w:val="0"/>
      <w:marBottom w:val="0"/>
      <w:divBdr>
        <w:top w:val="none" w:sz="0" w:space="0" w:color="auto"/>
        <w:left w:val="none" w:sz="0" w:space="0" w:color="auto"/>
        <w:bottom w:val="none" w:sz="0" w:space="0" w:color="auto"/>
        <w:right w:val="none" w:sz="0" w:space="0" w:color="auto"/>
      </w:divBdr>
    </w:div>
    <w:div w:id="1867257063">
      <w:bodyDiv w:val="1"/>
      <w:marLeft w:val="0"/>
      <w:marRight w:val="0"/>
      <w:marTop w:val="0"/>
      <w:marBottom w:val="0"/>
      <w:divBdr>
        <w:top w:val="none" w:sz="0" w:space="0" w:color="auto"/>
        <w:left w:val="none" w:sz="0" w:space="0" w:color="auto"/>
        <w:bottom w:val="none" w:sz="0" w:space="0" w:color="auto"/>
        <w:right w:val="none" w:sz="0" w:space="0" w:color="auto"/>
      </w:divBdr>
    </w:div>
    <w:div w:id="1867401450">
      <w:bodyDiv w:val="1"/>
      <w:marLeft w:val="0"/>
      <w:marRight w:val="0"/>
      <w:marTop w:val="0"/>
      <w:marBottom w:val="0"/>
      <w:divBdr>
        <w:top w:val="none" w:sz="0" w:space="0" w:color="auto"/>
        <w:left w:val="none" w:sz="0" w:space="0" w:color="auto"/>
        <w:bottom w:val="none" w:sz="0" w:space="0" w:color="auto"/>
        <w:right w:val="none" w:sz="0" w:space="0" w:color="auto"/>
      </w:divBdr>
    </w:div>
    <w:div w:id="1868106549">
      <w:bodyDiv w:val="1"/>
      <w:marLeft w:val="0"/>
      <w:marRight w:val="0"/>
      <w:marTop w:val="0"/>
      <w:marBottom w:val="0"/>
      <w:divBdr>
        <w:top w:val="none" w:sz="0" w:space="0" w:color="auto"/>
        <w:left w:val="none" w:sz="0" w:space="0" w:color="auto"/>
        <w:bottom w:val="none" w:sz="0" w:space="0" w:color="auto"/>
        <w:right w:val="none" w:sz="0" w:space="0" w:color="auto"/>
      </w:divBdr>
    </w:div>
    <w:div w:id="1868178707">
      <w:bodyDiv w:val="1"/>
      <w:marLeft w:val="0"/>
      <w:marRight w:val="0"/>
      <w:marTop w:val="0"/>
      <w:marBottom w:val="0"/>
      <w:divBdr>
        <w:top w:val="none" w:sz="0" w:space="0" w:color="auto"/>
        <w:left w:val="none" w:sz="0" w:space="0" w:color="auto"/>
        <w:bottom w:val="none" w:sz="0" w:space="0" w:color="auto"/>
        <w:right w:val="none" w:sz="0" w:space="0" w:color="auto"/>
      </w:divBdr>
    </w:div>
    <w:div w:id="1868449876">
      <w:bodyDiv w:val="1"/>
      <w:marLeft w:val="0"/>
      <w:marRight w:val="0"/>
      <w:marTop w:val="0"/>
      <w:marBottom w:val="0"/>
      <w:divBdr>
        <w:top w:val="none" w:sz="0" w:space="0" w:color="auto"/>
        <w:left w:val="none" w:sz="0" w:space="0" w:color="auto"/>
        <w:bottom w:val="none" w:sz="0" w:space="0" w:color="auto"/>
        <w:right w:val="none" w:sz="0" w:space="0" w:color="auto"/>
      </w:divBdr>
    </w:div>
    <w:div w:id="1868521948">
      <w:bodyDiv w:val="1"/>
      <w:marLeft w:val="0"/>
      <w:marRight w:val="0"/>
      <w:marTop w:val="0"/>
      <w:marBottom w:val="0"/>
      <w:divBdr>
        <w:top w:val="none" w:sz="0" w:space="0" w:color="auto"/>
        <w:left w:val="none" w:sz="0" w:space="0" w:color="auto"/>
        <w:bottom w:val="none" w:sz="0" w:space="0" w:color="auto"/>
        <w:right w:val="none" w:sz="0" w:space="0" w:color="auto"/>
      </w:divBdr>
    </w:div>
    <w:div w:id="1868523990">
      <w:bodyDiv w:val="1"/>
      <w:marLeft w:val="0"/>
      <w:marRight w:val="0"/>
      <w:marTop w:val="0"/>
      <w:marBottom w:val="0"/>
      <w:divBdr>
        <w:top w:val="none" w:sz="0" w:space="0" w:color="auto"/>
        <w:left w:val="none" w:sz="0" w:space="0" w:color="auto"/>
        <w:bottom w:val="none" w:sz="0" w:space="0" w:color="auto"/>
        <w:right w:val="none" w:sz="0" w:space="0" w:color="auto"/>
      </w:divBdr>
    </w:div>
    <w:div w:id="1868525778">
      <w:bodyDiv w:val="1"/>
      <w:marLeft w:val="0"/>
      <w:marRight w:val="0"/>
      <w:marTop w:val="0"/>
      <w:marBottom w:val="0"/>
      <w:divBdr>
        <w:top w:val="none" w:sz="0" w:space="0" w:color="auto"/>
        <w:left w:val="none" w:sz="0" w:space="0" w:color="auto"/>
        <w:bottom w:val="none" w:sz="0" w:space="0" w:color="auto"/>
        <w:right w:val="none" w:sz="0" w:space="0" w:color="auto"/>
      </w:divBdr>
    </w:div>
    <w:div w:id="1868716176">
      <w:bodyDiv w:val="1"/>
      <w:marLeft w:val="0"/>
      <w:marRight w:val="0"/>
      <w:marTop w:val="0"/>
      <w:marBottom w:val="0"/>
      <w:divBdr>
        <w:top w:val="none" w:sz="0" w:space="0" w:color="auto"/>
        <w:left w:val="none" w:sz="0" w:space="0" w:color="auto"/>
        <w:bottom w:val="none" w:sz="0" w:space="0" w:color="auto"/>
        <w:right w:val="none" w:sz="0" w:space="0" w:color="auto"/>
      </w:divBdr>
    </w:div>
    <w:div w:id="1868830915">
      <w:bodyDiv w:val="1"/>
      <w:marLeft w:val="0"/>
      <w:marRight w:val="0"/>
      <w:marTop w:val="0"/>
      <w:marBottom w:val="0"/>
      <w:divBdr>
        <w:top w:val="none" w:sz="0" w:space="0" w:color="auto"/>
        <w:left w:val="none" w:sz="0" w:space="0" w:color="auto"/>
        <w:bottom w:val="none" w:sz="0" w:space="0" w:color="auto"/>
        <w:right w:val="none" w:sz="0" w:space="0" w:color="auto"/>
      </w:divBdr>
    </w:div>
    <w:div w:id="1868985043">
      <w:bodyDiv w:val="1"/>
      <w:marLeft w:val="0"/>
      <w:marRight w:val="0"/>
      <w:marTop w:val="0"/>
      <w:marBottom w:val="0"/>
      <w:divBdr>
        <w:top w:val="none" w:sz="0" w:space="0" w:color="auto"/>
        <w:left w:val="none" w:sz="0" w:space="0" w:color="auto"/>
        <w:bottom w:val="none" w:sz="0" w:space="0" w:color="auto"/>
        <w:right w:val="none" w:sz="0" w:space="0" w:color="auto"/>
      </w:divBdr>
    </w:div>
    <w:div w:id="1869440581">
      <w:bodyDiv w:val="1"/>
      <w:marLeft w:val="0"/>
      <w:marRight w:val="0"/>
      <w:marTop w:val="0"/>
      <w:marBottom w:val="0"/>
      <w:divBdr>
        <w:top w:val="none" w:sz="0" w:space="0" w:color="auto"/>
        <w:left w:val="none" w:sz="0" w:space="0" w:color="auto"/>
        <w:bottom w:val="none" w:sz="0" w:space="0" w:color="auto"/>
        <w:right w:val="none" w:sz="0" w:space="0" w:color="auto"/>
      </w:divBdr>
    </w:div>
    <w:div w:id="1869753179">
      <w:bodyDiv w:val="1"/>
      <w:marLeft w:val="0"/>
      <w:marRight w:val="0"/>
      <w:marTop w:val="0"/>
      <w:marBottom w:val="0"/>
      <w:divBdr>
        <w:top w:val="none" w:sz="0" w:space="0" w:color="auto"/>
        <w:left w:val="none" w:sz="0" w:space="0" w:color="auto"/>
        <w:bottom w:val="none" w:sz="0" w:space="0" w:color="auto"/>
        <w:right w:val="none" w:sz="0" w:space="0" w:color="auto"/>
      </w:divBdr>
    </w:div>
    <w:div w:id="1870215594">
      <w:bodyDiv w:val="1"/>
      <w:marLeft w:val="0"/>
      <w:marRight w:val="0"/>
      <w:marTop w:val="0"/>
      <w:marBottom w:val="0"/>
      <w:divBdr>
        <w:top w:val="none" w:sz="0" w:space="0" w:color="auto"/>
        <w:left w:val="none" w:sz="0" w:space="0" w:color="auto"/>
        <w:bottom w:val="none" w:sz="0" w:space="0" w:color="auto"/>
        <w:right w:val="none" w:sz="0" w:space="0" w:color="auto"/>
      </w:divBdr>
    </w:div>
    <w:div w:id="1871185469">
      <w:bodyDiv w:val="1"/>
      <w:marLeft w:val="0"/>
      <w:marRight w:val="0"/>
      <w:marTop w:val="0"/>
      <w:marBottom w:val="0"/>
      <w:divBdr>
        <w:top w:val="none" w:sz="0" w:space="0" w:color="auto"/>
        <w:left w:val="none" w:sz="0" w:space="0" w:color="auto"/>
        <w:bottom w:val="none" w:sz="0" w:space="0" w:color="auto"/>
        <w:right w:val="none" w:sz="0" w:space="0" w:color="auto"/>
      </w:divBdr>
    </w:div>
    <w:div w:id="1872067887">
      <w:bodyDiv w:val="1"/>
      <w:marLeft w:val="0"/>
      <w:marRight w:val="0"/>
      <w:marTop w:val="0"/>
      <w:marBottom w:val="0"/>
      <w:divBdr>
        <w:top w:val="none" w:sz="0" w:space="0" w:color="auto"/>
        <w:left w:val="none" w:sz="0" w:space="0" w:color="auto"/>
        <w:bottom w:val="none" w:sz="0" w:space="0" w:color="auto"/>
        <w:right w:val="none" w:sz="0" w:space="0" w:color="auto"/>
      </w:divBdr>
    </w:div>
    <w:div w:id="1872180083">
      <w:bodyDiv w:val="1"/>
      <w:marLeft w:val="0"/>
      <w:marRight w:val="0"/>
      <w:marTop w:val="0"/>
      <w:marBottom w:val="0"/>
      <w:divBdr>
        <w:top w:val="none" w:sz="0" w:space="0" w:color="auto"/>
        <w:left w:val="none" w:sz="0" w:space="0" w:color="auto"/>
        <w:bottom w:val="none" w:sz="0" w:space="0" w:color="auto"/>
        <w:right w:val="none" w:sz="0" w:space="0" w:color="auto"/>
      </w:divBdr>
    </w:div>
    <w:div w:id="1872305037">
      <w:bodyDiv w:val="1"/>
      <w:marLeft w:val="0"/>
      <w:marRight w:val="0"/>
      <w:marTop w:val="0"/>
      <w:marBottom w:val="0"/>
      <w:divBdr>
        <w:top w:val="none" w:sz="0" w:space="0" w:color="auto"/>
        <w:left w:val="none" w:sz="0" w:space="0" w:color="auto"/>
        <w:bottom w:val="none" w:sz="0" w:space="0" w:color="auto"/>
        <w:right w:val="none" w:sz="0" w:space="0" w:color="auto"/>
      </w:divBdr>
    </w:div>
    <w:div w:id="1872499047">
      <w:bodyDiv w:val="1"/>
      <w:marLeft w:val="0"/>
      <w:marRight w:val="0"/>
      <w:marTop w:val="0"/>
      <w:marBottom w:val="0"/>
      <w:divBdr>
        <w:top w:val="none" w:sz="0" w:space="0" w:color="auto"/>
        <w:left w:val="none" w:sz="0" w:space="0" w:color="auto"/>
        <w:bottom w:val="none" w:sz="0" w:space="0" w:color="auto"/>
        <w:right w:val="none" w:sz="0" w:space="0" w:color="auto"/>
      </w:divBdr>
    </w:div>
    <w:div w:id="1873035397">
      <w:bodyDiv w:val="1"/>
      <w:marLeft w:val="0"/>
      <w:marRight w:val="0"/>
      <w:marTop w:val="0"/>
      <w:marBottom w:val="0"/>
      <w:divBdr>
        <w:top w:val="none" w:sz="0" w:space="0" w:color="auto"/>
        <w:left w:val="none" w:sz="0" w:space="0" w:color="auto"/>
        <w:bottom w:val="none" w:sz="0" w:space="0" w:color="auto"/>
        <w:right w:val="none" w:sz="0" w:space="0" w:color="auto"/>
      </w:divBdr>
    </w:div>
    <w:div w:id="1873226735">
      <w:bodyDiv w:val="1"/>
      <w:marLeft w:val="0"/>
      <w:marRight w:val="0"/>
      <w:marTop w:val="0"/>
      <w:marBottom w:val="0"/>
      <w:divBdr>
        <w:top w:val="none" w:sz="0" w:space="0" w:color="auto"/>
        <w:left w:val="none" w:sz="0" w:space="0" w:color="auto"/>
        <w:bottom w:val="none" w:sz="0" w:space="0" w:color="auto"/>
        <w:right w:val="none" w:sz="0" w:space="0" w:color="auto"/>
      </w:divBdr>
    </w:div>
    <w:div w:id="1874338654">
      <w:bodyDiv w:val="1"/>
      <w:marLeft w:val="0"/>
      <w:marRight w:val="0"/>
      <w:marTop w:val="0"/>
      <w:marBottom w:val="0"/>
      <w:divBdr>
        <w:top w:val="none" w:sz="0" w:space="0" w:color="auto"/>
        <w:left w:val="none" w:sz="0" w:space="0" w:color="auto"/>
        <w:bottom w:val="none" w:sz="0" w:space="0" w:color="auto"/>
        <w:right w:val="none" w:sz="0" w:space="0" w:color="auto"/>
      </w:divBdr>
    </w:div>
    <w:div w:id="1874657918">
      <w:bodyDiv w:val="1"/>
      <w:marLeft w:val="0"/>
      <w:marRight w:val="0"/>
      <w:marTop w:val="0"/>
      <w:marBottom w:val="0"/>
      <w:divBdr>
        <w:top w:val="none" w:sz="0" w:space="0" w:color="auto"/>
        <w:left w:val="none" w:sz="0" w:space="0" w:color="auto"/>
        <w:bottom w:val="none" w:sz="0" w:space="0" w:color="auto"/>
        <w:right w:val="none" w:sz="0" w:space="0" w:color="auto"/>
      </w:divBdr>
    </w:div>
    <w:div w:id="1874730713">
      <w:bodyDiv w:val="1"/>
      <w:marLeft w:val="0"/>
      <w:marRight w:val="0"/>
      <w:marTop w:val="0"/>
      <w:marBottom w:val="0"/>
      <w:divBdr>
        <w:top w:val="none" w:sz="0" w:space="0" w:color="auto"/>
        <w:left w:val="none" w:sz="0" w:space="0" w:color="auto"/>
        <w:bottom w:val="none" w:sz="0" w:space="0" w:color="auto"/>
        <w:right w:val="none" w:sz="0" w:space="0" w:color="auto"/>
      </w:divBdr>
    </w:div>
    <w:div w:id="1874730803">
      <w:bodyDiv w:val="1"/>
      <w:marLeft w:val="0"/>
      <w:marRight w:val="0"/>
      <w:marTop w:val="0"/>
      <w:marBottom w:val="0"/>
      <w:divBdr>
        <w:top w:val="none" w:sz="0" w:space="0" w:color="auto"/>
        <w:left w:val="none" w:sz="0" w:space="0" w:color="auto"/>
        <w:bottom w:val="none" w:sz="0" w:space="0" w:color="auto"/>
        <w:right w:val="none" w:sz="0" w:space="0" w:color="auto"/>
      </w:divBdr>
    </w:div>
    <w:div w:id="1874733937">
      <w:bodyDiv w:val="1"/>
      <w:marLeft w:val="0"/>
      <w:marRight w:val="0"/>
      <w:marTop w:val="0"/>
      <w:marBottom w:val="0"/>
      <w:divBdr>
        <w:top w:val="none" w:sz="0" w:space="0" w:color="auto"/>
        <w:left w:val="none" w:sz="0" w:space="0" w:color="auto"/>
        <w:bottom w:val="none" w:sz="0" w:space="0" w:color="auto"/>
        <w:right w:val="none" w:sz="0" w:space="0" w:color="auto"/>
      </w:divBdr>
    </w:div>
    <w:div w:id="1874876936">
      <w:bodyDiv w:val="1"/>
      <w:marLeft w:val="0"/>
      <w:marRight w:val="0"/>
      <w:marTop w:val="0"/>
      <w:marBottom w:val="0"/>
      <w:divBdr>
        <w:top w:val="none" w:sz="0" w:space="0" w:color="auto"/>
        <w:left w:val="none" w:sz="0" w:space="0" w:color="auto"/>
        <w:bottom w:val="none" w:sz="0" w:space="0" w:color="auto"/>
        <w:right w:val="none" w:sz="0" w:space="0" w:color="auto"/>
      </w:divBdr>
    </w:div>
    <w:div w:id="1875073309">
      <w:bodyDiv w:val="1"/>
      <w:marLeft w:val="0"/>
      <w:marRight w:val="0"/>
      <w:marTop w:val="0"/>
      <w:marBottom w:val="0"/>
      <w:divBdr>
        <w:top w:val="none" w:sz="0" w:space="0" w:color="auto"/>
        <w:left w:val="none" w:sz="0" w:space="0" w:color="auto"/>
        <w:bottom w:val="none" w:sz="0" w:space="0" w:color="auto"/>
        <w:right w:val="none" w:sz="0" w:space="0" w:color="auto"/>
      </w:divBdr>
    </w:div>
    <w:div w:id="1875117244">
      <w:bodyDiv w:val="1"/>
      <w:marLeft w:val="0"/>
      <w:marRight w:val="0"/>
      <w:marTop w:val="0"/>
      <w:marBottom w:val="0"/>
      <w:divBdr>
        <w:top w:val="none" w:sz="0" w:space="0" w:color="auto"/>
        <w:left w:val="none" w:sz="0" w:space="0" w:color="auto"/>
        <w:bottom w:val="none" w:sz="0" w:space="0" w:color="auto"/>
        <w:right w:val="none" w:sz="0" w:space="0" w:color="auto"/>
      </w:divBdr>
    </w:div>
    <w:div w:id="1875266624">
      <w:bodyDiv w:val="1"/>
      <w:marLeft w:val="0"/>
      <w:marRight w:val="0"/>
      <w:marTop w:val="0"/>
      <w:marBottom w:val="0"/>
      <w:divBdr>
        <w:top w:val="none" w:sz="0" w:space="0" w:color="auto"/>
        <w:left w:val="none" w:sz="0" w:space="0" w:color="auto"/>
        <w:bottom w:val="none" w:sz="0" w:space="0" w:color="auto"/>
        <w:right w:val="none" w:sz="0" w:space="0" w:color="auto"/>
      </w:divBdr>
    </w:div>
    <w:div w:id="1875533022">
      <w:bodyDiv w:val="1"/>
      <w:marLeft w:val="0"/>
      <w:marRight w:val="0"/>
      <w:marTop w:val="0"/>
      <w:marBottom w:val="0"/>
      <w:divBdr>
        <w:top w:val="none" w:sz="0" w:space="0" w:color="auto"/>
        <w:left w:val="none" w:sz="0" w:space="0" w:color="auto"/>
        <w:bottom w:val="none" w:sz="0" w:space="0" w:color="auto"/>
        <w:right w:val="none" w:sz="0" w:space="0" w:color="auto"/>
      </w:divBdr>
    </w:div>
    <w:div w:id="1875579612">
      <w:bodyDiv w:val="1"/>
      <w:marLeft w:val="0"/>
      <w:marRight w:val="0"/>
      <w:marTop w:val="0"/>
      <w:marBottom w:val="0"/>
      <w:divBdr>
        <w:top w:val="none" w:sz="0" w:space="0" w:color="auto"/>
        <w:left w:val="none" w:sz="0" w:space="0" w:color="auto"/>
        <w:bottom w:val="none" w:sz="0" w:space="0" w:color="auto"/>
        <w:right w:val="none" w:sz="0" w:space="0" w:color="auto"/>
      </w:divBdr>
    </w:div>
    <w:div w:id="1875580843">
      <w:bodyDiv w:val="1"/>
      <w:marLeft w:val="0"/>
      <w:marRight w:val="0"/>
      <w:marTop w:val="0"/>
      <w:marBottom w:val="0"/>
      <w:divBdr>
        <w:top w:val="none" w:sz="0" w:space="0" w:color="auto"/>
        <w:left w:val="none" w:sz="0" w:space="0" w:color="auto"/>
        <w:bottom w:val="none" w:sz="0" w:space="0" w:color="auto"/>
        <w:right w:val="none" w:sz="0" w:space="0" w:color="auto"/>
      </w:divBdr>
    </w:div>
    <w:div w:id="1875581796">
      <w:bodyDiv w:val="1"/>
      <w:marLeft w:val="0"/>
      <w:marRight w:val="0"/>
      <w:marTop w:val="0"/>
      <w:marBottom w:val="0"/>
      <w:divBdr>
        <w:top w:val="none" w:sz="0" w:space="0" w:color="auto"/>
        <w:left w:val="none" w:sz="0" w:space="0" w:color="auto"/>
        <w:bottom w:val="none" w:sz="0" w:space="0" w:color="auto"/>
        <w:right w:val="none" w:sz="0" w:space="0" w:color="auto"/>
      </w:divBdr>
    </w:div>
    <w:div w:id="1875732058">
      <w:bodyDiv w:val="1"/>
      <w:marLeft w:val="0"/>
      <w:marRight w:val="0"/>
      <w:marTop w:val="0"/>
      <w:marBottom w:val="0"/>
      <w:divBdr>
        <w:top w:val="none" w:sz="0" w:space="0" w:color="auto"/>
        <w:left w:val="none" w:sz="0" w:space="0" w:color="auto"/>
        <w:bottom w:val="none" w:sz="0" w:space="0" w:color="auto"/>
        <w:right w:val="none" w:sz="0" w:space="0" w:color="auto"/>
      </w:divBdr>
    </w:div>
    <w:div w:id="1876117725">
      <w:bodyDiv w:val="1"/>
      <w:marLeft w:val="0"/>
      <w:marRight w:val="0"/>
      <w:marTop w:val="0"/>
      <w:marBottom w:val="0"/>
      <w:divBdr>
        <w:top w:val="none" w:sz="0" w:space="0" w:color="auto"/>
        <w:left w:val="none" w:sz="0" w:space="0" w:color="auto"/>
        <w:bottom w:val="none" w:sz="0" w:space="0" w:color="auto"/>
        <w:right w:val="none" w:sz="0" w:space="0" w:color="auto"/>
      </w:divBdr>
    </w:div>
    <w:div w:id="1876188274">
      <w:bodyDiv w:val="1"/>
      <w:marLeft w:val="0"/>
      <w:marRight w:val="0"/>
      <w:marTop w:val="0"/>
      <w:marBottom w:val="0"/>
      <w:divBdr>
        <w:top w:val="none" w:sz="0" w:space="0" w:color="auto"/>
        <w:left w:val="none" w:sz="0" w:space="0" w:color="auto"/>
        <w:bottom w:val="none" w:sz="0" w:space="0" w:color="auto"/>
        <w:right w:val="none" w:sz="0" w:space="0" w:color="auto"/>
      </w:divBdr>
    </w:div>
    <w:div w:id="1876505492">
      <w:bodyDiv w:val="1"/>
      <w:marLeft w:val="0"/>
      <w:marRight w:val="0"/>
      <w:marTop w:val="0"/>
      <w:marBottom w:val="0"/>
      <w:divBdr>
        <w:top w:val="none" w:sz="0" w:space="0" w:color="auto"/>
        <w:left w:val="none" w:sz="0" w:space="0" w:color="auto"/>
        <w:bottom w:val="none" w:sz="0" w:space="0" w:color="auto"/>
        <w:right w:val="none" w:sz="0" w:space="0" w:color="auto"/>
      </w:divBdr>
    </w:div>
    <w:div w:id="1876649702">
      <w:bodyDiv w:val="1"/>
      <w:marLeft w:val="0"/>
      <w:marRight w:val="0"/>
      <w:marTop w:val="0"/>
      <w:marBottom w:val="0"/>
      <w:divBdr>
        <w:top w:val="none" w:sz="0" w:space="0" w:color="auto"/>
        <w:left w:val="none" w:sz="0" w:space="0" w:color="auto"/>
        <w:bottom w:val="none" w:sz="0" w:space="0" w:color="auto"/>
        <w:right w:val="none" w:sz="0" w:space="0" w:color="auto"/>
      </w:divBdr>
    </w:div>
    <w:div w:id="1876890217">
      <w:bodyDiv w:val="1"/>
      <w:marLeft w:val="0"/>
      <w:marRight w:val="0"/>
      <w:marTop w:val="0"/>
      <w:marBottom w:val="0"/>
      <w:divBdr>
        <w:top w:val="none" w:sz="0" w:space="0" w:color="auto"/>
        <w:left w:val="none" w:sz="0" w:space="0" w:color="auto"/>
        <w:bottom w:val="none" w:sz="0" w:space="0" w:color="auto"/>
        <w:right w:val="none" w:sz="0" w:space="0" w:color="auto"/>
      </w:divBdr>
    </w:div>
    <w:div w:id="1877353729">
      <w:bodyDiv w:val="1"/>
      <w:marLeft w:val="0"/>
      <w:marRight w:val="0"/>
      <w:marTop w:val="0"/>
      <w:marBottom w:val="0"/>
      <w:divBdr>
        <w:top w:val="none" w:sz="0" w:space="0" w:color="auto"/>
        <w:left w:val="none" w:sz="0" w:space="0" w:color="auto"/>
        <w:bottom w:val="none" w:sz="0" w:space="0" w:color="auto"/>
        <w:right w:val="none" w:sz="0" w:space="0" w:color="auto"/>
      </w:divBdr>
    </w:div>
    <w:div w:id="1877499000">
      <w:bodyDiv w:val="1"/>
      <w:marLeft w:val="0"/>
      <w:marRight w:val="0"/>
      <w:marTop w:val="0"/>
      <w:marBottom w:val="0"/>
      <w:divBdr>
        <w:top w:val="none" w:sz="0" w:space="0" w:color="auto"/>
        <w:left w:val="none" w:sz="0" w:space="0" w:color="auto"/>
        <w:bottom w:val="none" w:sz="0" w:space="0" w:color="auto"/>
        <w:right w:val="none" w:sz="0" w:space="0" w:color="auto"/>
      </w:divBdr>
    </w:div>
    <w:div w:id="1877694837">
      <w:bodyDiv w:val="1"/>
      <w:marLeft w:val="0"/>
      <w:marRight w:val="0"/>
      <w:marTop w:val="0"/>
      <w:marBottom w:val="0"/>
      <w:divBdr>
        <w:top w:val="none" w:sz="0" w:space="0" w:color="auto"/>
        <w:left w:val="none" w:sz="0" w:space="0" w:color="auto"/>
        <w:bottom w:val="none" w:sz="0" w:space="0" w:color="auto"/>
        <w:right w:val="none" w:sz="0" w:space="0" w:color="auto"/>
      </w:divBdr>
    </w:div>
    <w:div w:id="1877699869">
      <w:bodyDiv w:val="1"/>
      <w:marLeft w:val="0"/>
      <w:marRight w:val="0"/>
      <w:marTop w:val="0"/>
      <w:marBottom w:val="0"/>
      <w:divBdr>
        <w:top w:val="none" w:sz="0" w:space="0" w:color="auto"/>
        <w:left w:val="none" w:sz="0" w:space="0" w:color="auto"/>
        <w:bottom w:val="none" w:sz="0" w:space="0" w:color="auto"/>
        <w:right w:val="none" w:sz="0" w:space="0" w:color="auto"/>
      </w:divBdr>
    </w:div>
    <w:div w:id="1878349776">
      <w:bodyDiv w:val="1"/>
      <w:marLeft w:val="0"/>
      <w:marRight w:val="0"/>
      <w:marTop w:val="0"/>
      <w:marBottom w:val="0"/>
      <w:divBdr>
        <w:top w:val="none" w:sz="0" w:space="0" w:color="auto"/>
        <w:left w:val="none" w:sz="0" w:space="0" w:color="auto"/>
        <w:bottom w:val="none" w:sz="0" w:space="0" w:color="auto"/>
        <w:right w:val="none" w:sz="0" w:space="0" w:color="auto"/>
      </w:divBdr>
    </w:div>
    <w:div w:id="1878354460">
      <w:bodyDiv w:val="1"/>
      <w:marLeft w:val="0"/>
      <w:marRight w:val="0"/>
      <w:marTop w:val="0"/>
      <w:marBottom w:val="0"/>
      <w:divBdr>
        <w:top w:val="none" w:sz="0" w:space="0" w:color="auto"/>
        <w:left w:val="none" w:sz="0" w:space="0" w:color="auto"/>
        <w:bottom w:val="none" w:sz="0" w:space="0" w:color="auto"/>
        <w:right w:val="none" w:sz="0" w:space="0" w:color="auto"/>
      </w:divBdr>
    </w:div>
    <w:div w:id="1878657665">
      <w:bodyDiv w:val="1"/>
      <w:marLeft w:val="0"/>
      <w:marRight w:val="0"/>
      <w:marTop w:val="0"/>
      <w:marBottom w:val="0"/>
      <w:divBdr>
        <w:top w:val="none" w:sz="0" w:space="0" w:color="auto"/>
        <w:left w:val="none" w:sz="0" w:space="0" w:color="auto"/>
        <w:bottom w:val="none" w:sz="0" w:space="0" w:color="auto"/>
        <w:right w:val="none" w:sz="0" w:space="0" w:color="auto"/>
      </w:divBdr>
    </w:div>
    <w:div w:id="1879124645">
      <w:bodyDiv w:val="1"/>
      <w:marLeft w:val="0"/>
      <w:marRight w:val="0"/>
      <w:marTop w:val="0"/>
      <w:marBottom w:val="0"/>
      <w:divBdr>
        <w:top w:val="none" w:sz="0" w:space="0" w:color="auto"/>
        <w:left w:val="none" w:sz="0" w:space="0" w:color="auto"/>
        <w:bottom w:val="none" w:sz="0" w:space="0" w:color="auto"/>
        <w:right w:val="none" w:sz="0" w:space="0" w:color="auto"/>
      </w:divBdr>
    </w:div>
    <w:div w:id="1879900424">
      <w:bodyDiv w:val="1"/>
      <w:marLeft w:val="0"/>
      <w:marRight w:val="0"/>
      <w:marTop w:val="0"/>
      <w:marBottom w:val="0"/>
      <w:divBdr>
        <w:top w:val="none" w:sz="0" w:space="0" w:color="auto"/>
        <w:left w:val="none" w:sz="0" w:space="0" w:color="auto"/>
        <w:bottom w:val="none" w:sz="0" w:space="0" w:color="auto"/>
        <w:right w:val="none" w:sz="0" w:space="0" w:color="auto"/>
      </w:divBdr>
    </w:div>
    <w:div w:id="1879925849">
      <w:bodyDiv w:val="1"/>
      <w:marLeft w:val="0"/>
      <w:marRight w:val="0"/>
      <w:marTop w:val="0"/>
      <w:marBottom w:val="0"/>
      <w:divBdr>
        <w:top w:val="none" w:sz="0" w:space="0" w:color="auto"/>
        <w:left w:val="none" w:sz="0" w:space="0" w:color="auto"/>
        <w:bottom w:val="none" w:sz="0" w:space="0" w:color="auto"/>
        <w:right w:val="none" w:sz="0" w:space="0" w:color="auto"/>
      </w:divBdr>
    </w:div>
    <w:div w:id="1879928069">
      <w:bodyDiv w:val="1"/>
      <w:marLeft w:val="0"/>
      <w:marRight w:val="0"/>
      <w:marTop w:val="0"/>
      <w:marBottom w:val="0"/>
      <w:divBdr>
        <w:top w:val="none" w:sz="0" w:space="0" w:color="auto"/>
        <w:left w:val="none" w:sz="0" w:space="0" w:color="auto"/>
        <w:bottom w:val="none" w:sz="0" w:space="0" w:color="auto"/>
        <w:right w:val="none" w:sz="0" w:space="0" w:color="auto"/>
      </w:divBdr>
    </w:div>
    <w:div w:id="1879931554">
      <w:bodyDiv w:val="1"/>
      <w:marLeft w:val="0"/>
      <w:marRight w:val="0"/>
      <w:marTop w:val="0"/>
      <w:marBottom w:val="0"/>
      <w:divBdr>
        <w:top w:val="none" w:sz="0" w:space="0" w:color="auto"/>
        <w:left w:val="none" w:sz="0" w:space="0" w:color="auto"/>
        <w:bottom w:val="none" w:sz="0" w:space="0" w:color="auto"/>
        <w:right w:val="none" w:sz="0" w:space="0" w:color="auto"/>
      </w:divBdr>
    </w:div>
    <w:div w:id="1880311677">
      <w:bodyDiv w:val="1"/>
      <w:marLeft w:val="0"/>
      <w:marRight w:val="0"/>
      <w:marTop w:val="0"/>
      <w:marBottom w:val="0"/>
      <w:divBdr>
        <w:top w:val="none" w:sz="0" w:space="0" w:color="auto"/>
        <w:left w:val="none" w:sz="0" w:space="0" w:color="auto"/>
        <w:bottom w:val="none" w:sz="0" w:space="0" w:color="auto"/>
        <w:right w:val="none" w:sz="0" w:space="0" w:color="auto"/>
      </w:divBdr>
    </w:div>
    <w:div w:id="1880434693">
      <w:bodyDiv w:val="1"/>
      <w:marLeft w:val="0"/>
      <w:marRight w:val="0"/>
      <w:marTop w:val="0"/>
      <w:marBottom w:val="0"/>
      <w:divBdr>
        <w:top w:val="none" w:sz="0" w:space="0" w:color="auto"/>
        <w:left w:val="none" w:sz="0" w:space="0" w:color="auto"/>
        <w:bottom w:val="none" w:sz="0" w:space="0" w:color="auto"/>
        <w:right w:val="none" w:sz="0" w:space="0" w:color="auto"/>
      </w:divBdr>
    </w:div>
    <w:div w:id="1880583211">
      <w:bodyDiv w:val="1"/>
      <w:marLeft w:val="0"/>
      <w:marRight w:val="0"/>
      <w:marTop w:val="0"/>
      <w:marBottom w:val="0"/>
      <w:divBdr>
        <w:top w:val="none" w:sz="0" w:space="0" w:color="auto"/>
        <w:left w:val="none" w:sz="0" w:space="0" w:color="auto"/>
        <w:bottom w:val="none" w:sz="0" w:space="0" w:color="auto"/>
        <w:right w:val="none" w:sz="0" w:space="0" w:color="auto"/>
      </w:divBdr>
    </w:div>
    <w:div w:id="1880706153">
      <w:bodyDiv w:val="1"/>
      <w:marLeft w:val="0"/>
      <w:marRight w:val="0"/>
      <w:marTop w:val="0"/>
      <w:marBottom w:val="0"/>
      <w:divBdr>
        <w:top w:val="none" w:sz="0" w:space="0" w:color="auto"/>
        <w:left w:val="none" w:sz="0" w:space="0" w:color="auto"/>
        <w:bottom w:val="none" w:sz="0" w:space="0" w:color="auto"/>
        <w:right w:val="none" w:sz="0" w:space="0" w:color="auto"/>
      </w:divBdr>
    </w:div>
    <w:div w:id="1880897864">
      <w:bodyDiv w:val="1"/>
      <w:marLeft w:val="0"/>
      <w:marRight w:val="0"/>
      <w:marTop w:val="0"/>
      <w:marBottom w:val="0"/>
      <w:divBdr>
        <w:top w:val="none" w:sz="0" w:space="0" w:color="auto"/>
        <w:left w:val="none" w:sz="0" w:space="0" w:color="auto"/>
        <w:bottom w:val="none" w:sz="0" w:space="0" w:color="auto"/>
        <w:right w:val="none" w:sz="0" w:space="0" w:color="auto"/>
      </w:divBdr>
    </w:div>
    <w:div w:id="1881085725">
      <w:bodyDiv w:val="1"/>
      <w:marLeft w:val="0"/>
      <w:marRight w:val="0"/>
      <w:marTop w:val="0"/>
      <w:marBottom w:val="0"/>
      <w:divBdr>
        <w:top w:val="none" w:sz="0" w:space="0" w:color="auto"/>
        <w:left w:val="none" w:sz="0" w:space="0" w:color="auto"/>
        <w:bottom w:val="none" w:sz="0" w:space="0" w:color="auto"/>
        <w:right w:val="none" w:sz="0" w:space="0" w:color="auto"/>
      </w:divBdr>
    </w:div>
    <w:div w:id="1881240049">
      <w:bodyDiv w:val="1"/>
      <w:marLeft w:val="0"/>
      <w:marRight w:val="0"/>
      <w:marTop w:val="0"/>
      <w:marBottom w:val="0"/>
      <w:divBdr>
        <w:top w:val="none" w:sz="0" w:space="0" w:color="auto"/>
        <w:left w:val="none" w:sz="0" w:space="0" w:color="auto"/>
        <w:bottom w:val="none" w:sz="0" w:space="0" w:color="auto"/>
        <w:right w:val="none" w:sz="0" w:space="0" w:color="auto"/>
      </w:divBdr>
    </w:div>
    <w:div w:id="1881554018">
      <w:bodyDiv w:val="1"/>
      <w:marLeft w:val="0"/>
      <w:marRight w:val="0"/>
      <w:marTop w:val="0"/>
      <w:marBottom w:val="0"/>
      <w:divBdr>
        <w:top w:val="none" w:sz="0" w:space="0" w:color="auto"/>
        <w:left w:val="none" w:sz="0" w:space="0" w:color="auto"/>
        <w:bottom w:val="none" w:sz="0" w:space="0" w:color="auto"/>
        <w:right w:val="none" w:sz="0" w:space="0" w:color="auto"/>
      </w:divBdr>
    </w:div>
    <w:div w:id="1882354847">
      <w:bodyDiv w:val="1"/>
      <w:marLeft w:val="0"/>
      <w:marRight w:val="0"/>
      <w:marTop w:val="0"/>
      <w:marBottom w:val="0"/>
      <w:divBdr>
        <w:top w:val="none" w:sz="0" w:space="0" w:color="auto"/>
        <w:left w:val="none" w:sz="0" w:space="0" w:color="auto"/>
        <w:bottom w:val="none" w:sz="0" w:space="0" w:color="auto"/>
        <w:right w:val="none" w:sz="0" w:space="0" w:color="auto"/>
      </w:divBdr>
    </w:div>
    <w:div w:id="1882554137">
      <w:bodyDiv w:val="1"/>
      <w:marLeft w:val="0"/>
      <w:marRight w:val="0"/>
      <w:marTop w:val="0"/>
      <w:marBottom w:val="0"/>
      <w:divBdr>
        <w:top w:val="none" w:sz="0" w:space="0" w:color="auto"/>
        <w:left w:val="none" w:sz="0" w:space="0" w:color="auto"/>
        <w:bottom w:val="none" w:sz="0" w:space="0" w:color="auto"/>
        <w:right w:val="none" w:sz="0" w:space="0" w:color="auto"/>
      </w:divBdr>
    </w:div>
    <w:div w:id="1882671021">
      <w:bodyDiv w:val="1"/>
      <w:marLeft w:val="0"/>
      <w:marRight w:val="0"/>
      <w:marTop w:val="0"/>
      <w:marBottom w:val="0"/>
      <w:divBdr>
        <w:top w:val="none" w:sz="0" w:space="0" w:color="auto"/>
        <w:left w:val="none" w:sz="0" w:space="0" w:color="auto"/>
        <w:bottom w:val="none" w:sz="0" w:space="0" w:color="auto"/>
        <w:right w:val="none" w:sz="0" w:space="0" w:color="auto"/>
      </w:divBdr>
    </w:div>
    <w:div w:id="1882933107">
      <w:bodyDiv w:val="1"/>
      <w:marLeft w:val="0"/>
      <w:marRight w:val="0"/>
      <w:marTop w:val="0"/>
      <w:marBottom w:val="0"/>
      <w:divBdr>
        <w:top w:val="none" w:sz="0" w:space="0" w:color="auto"/>
        <w:left w:val="none" w:sz="0" w:space="0" w:color="auto"/>
        <w:bottom w:val="none" w:sz="0" w:space="0" w:color="auto"/>
        <w:right w:val="none" w:sz="0" w:space="0" w:color="auto"/>
      </w:divBdr>
    </w:div>
    <w:div w:id="1883008522">
      <w:bodyDiv w:val="1"/>
      <w:marLeft w:val="0"/>
      <w:marRight w:val="0"/>
      <w:marTop w:val="0"/>
      <w:marBottom w:val="0"/>
      <w:divBdr>
        <w:top w:val="none" w:sz="0" w:space="0" w:color="auto"/>
        <w:left w:val="none" w:sz="0" w:space="0" w:color="auto"/>
        <w:bottom w:val="none" w:sz="0" w:space="0" w:color="auto"/>
        <w:right w:val="none" w:sz="0" w:space="0" w:color="auto"/>
      </w:divBdr>
    </w:div>
    <w:div w:id="1883444266">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3903130">
      <w:bodyDiv w:val="1"/>
      <w:marLeft w:val="0"/>
      <w:marRight w:val="0"/>
      <w:marTop w:val="0"/>
      <w:marBottom w:val="0"/>
      <w:divBdr>
        <w:top w:val="none" w:sz="0" w:space="0" w:color="auto"/>
        <w:left w:val="none" w:sz="0" w:space="0" w:color="auto"/>
        <w:bottom w:val="none" w:sz="0" w:space="0" w:color="auto"/>
        <w:right w:val="none" w:sz="0" w:space="0" w:color="auto"/>
      </w:divBdr>
    </w:div>
    <w:div w:id="1884294977">
      <w:bodyDiv w:val="1"/>
      <w:marLeft w:val="0"/>
      <w:marRight w:val="0"/>
      <w:marTop w:val="0"/>
      <w:marBottom w:val="0"/>
      <w:divBdr>
        <w:top w:val="none" w:sz="0" w:space="0" w:color="auto"/>
        <w:left w:val="none" w:sz="0" w:space="0" w:color="auto"/>
        <w:bottom w:val="none" w:sz="0" w:space="0" w:color="auto"/>
        <w:right w:val="none" w:sz="0" w:space="0" w:color="auto"/>
      </w:divBdr>
    </w:div>
    <w:div w:id="1884632100">
      <w:bodyDiv w:val="1"/>
      <w:marLeft w:val="0"/>
      <w:marRight w:val="0"/>
      <w:marTop w:val="0"/>
      <w:marBottom w:val="0"/>
      <w:divBdr>
        <w:top w:val="none" w:sz="0" w:space="0" w:color="auto"/>
        <w:left w:val="none" w:sz="0" w:space="0" w:color="auto"/>
        <w:bottom w:val="none" w:sz="0" w:space="0" w:color="auto"/>
        <w:right w:val="none" w:sz="0" w:space="0" w:color="auto"/>
      </w:divBdr>
    </w:div>
    <w:div w:id="1884780433">
      <w:bodyDiv w:val="1"/>
      <w:marLeft w:val="0"/>
      <w:marRight w:val="0"/>
      <w:marTop w:val="0"/>
      <w:marBottom w:val="0"/>
      <w:divBdr>
        <w:top w:val="none" w:sz="0" w:space="0" w:color="auto"/>
        <w:left w:val="none" w:sz="0" w:space="0" w:color="auto"/>
        <w:bottom w:val="none" w:sz="0" w:space="0" w:color="auto"/>
        <w:right w:val="none" w:sz="0" w:space="0" w:color="auto"/>
      </w:divBdr>
    </w:div>
    <w:div w:id="1884824589">
      <w:bodyDiv w:val="1"/>
      <w:marLeft w:val="0"/>
      <w:marRight w:val="0"/>
      <w:marTop w:val="0"/>
      <w:marBottom w:val="0"/>
      <w:divBdr>
        <w:top w:val="none" w:sz="0" w:space="0" w:color="auto"/>
        <w:left w:val="none" w:sz="0" w:space="0" w:color="auto"/>
        <w:bottom w:val="none" w:sz="0" w:space="0" w:color="auto"/>
        <w:right w:val="none" w:sz="0" w:space="0" w:color="auto"/>
      </w:divBdr>
    </w:div>
    <w:div w:id="1885019488">
      <w:bodyDiv w:val="1"/>
      <w:marLeft w:val="0"/>
      <w:marRight w:val="0"/>
      <w:marTop w:val="0"/>
      <w:marBottom w:val="0"/>
      <w:divBdr>
        <w:top w:val="none" w:sz="0" w:space="0" w:color="auto"/>
        <w:left w:val="none" w:sz="0" w:space="0" w:color="auto"/>
        <w:bottom w:val="none" w:sz="0" w:space="0" w:color="auto"/>
        <w:right w:val="none" w:sz="0" w:space="0" w:color="auto"/>
      </w:divBdr>
    </w:div>
    <w:div w:id="1885293433">
      <w:bodyDiv w:val="1"/>
      <w:marLeft w:val="0"/>
      <w:marRight w:val="0"/>
      <w:marTop w:val="0"/>
      <w:marBottom w:val="0"/>
      <w:divBdr>
        <w:top w:val="none" w:sz="0" w:space="0" w:color="auto"/>
        <w:left w:val="none" w:sz="0" w:space="0" w:color="auto"/>
        <w:bottom w:val="none" w:sz="0" w:space="0" w:color="auto"/>
        <w:right w:val="none" w:sz="0" w:space="0" w:color="auto"/>
      </w:divBdr>
    </w:div>
    <w:div w:id="1885866083">
      <w:bodyDiv w:val="1"/>
      <w:marLeft w:val="0"/>
      <w:marRight w:val="0"/>
      <w:marTop w:val="0"/>
      <w:marBottom w:val="0"/>
      <w:divBdr>
        <w:top w:val="none" w:sz="0" w:space="0" w:color="auto"/>
        <w:left w:val="none" w:sz="0" w:space="0" w:color="auto"/>
        <w:bottom w:val="none" w:sz="0" w:space="0" w:color="auto"/>
        <w:right w:val="none" w:sz="0" w:space="0" w:color="auto"/>
      </w:divBdr>
    </w:div>
    <w:div w:id="1886870483">
      <w:bodyDiv w:val="1"/>
      <w:marLeft w:val="0"/>
      <w:marRight w:val="0"/>
      <w:marTop w:val="0"/>
      <w:marBottom w:val="0"/>
      <w:divBdr>
        <w:top w:val="none" w:sz="0" w:space="0" w:color="auto"/>
        <w:left w:val="none" w:sz="0" w:space="0" w:color="auto"/>
        <w:bottom w:val="none" w:sz="0" w:space="0" w:color="auto"/>
        <w:right w:val="none" w:sz="0" w:space="0" w:color="auto"/>
      </w:divBdr>
    </w:div>
    <w:div w:id="1887526866">
      <w:bodyDiv w:val="1"/>
      <w:marLeft w:val="0"/>
      <w:marRight w:val="0"/>
      <w:marTop w:val="0"/>
      <w:marBottom w:val="0"/>
      <w:divBdr>
        <w:top w:val="none" w:sz="0" w:space="0" w:color="auto"/>
        <w:left w:val="none" w:sz="0" w:space="0" w:color="auto"/>
        <w:bottom w:val="none" w:sz="0" w:space="0" w:color="auto"/>
        <w:right w:val="none" w:sz="0" w:space="0" w:color="auto"/>
      </w:divBdr>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7720032">
      <w:bodyDiv w:val="1"/>
      <w:marLeft w:val="0"/>
      <w:marRight w:val="0"/>
      <w:marTop w:val="0"/>
      <w:marBottom w:val="0"/>
      <w:divBdr>
        <w:top w:val="none" w:sz="0" w:space="0" w:color="auto"/>
        <w:left w:val="none" w:sz="0" w:space="0" w:color="auto"/>
        <w:bottom w:val="none" w:sz="0" w:space="0" w:color="auto"/>
        <w:right w:val="none" w:sz="0" w:space="0" w:color="auto"/>
      </w:divBdr>
    </w:div>
    <w:div w:id="1887912674">
      <w:bodyDiv w:val="1"/>
      <w:marLeft w:val="0"/>
      <w:marRight w:val="0"/>
      <w:marTop w:val="0"/>
      <w:marBottom w:val="0"/>
      <w:divBdr>
        <w:top w:val="none" w:sz="0" w:space="0" w:color="auto"/>
        <w:left w:val="none" w:sz="0" w:space="0" w:color="auto"/>
        <w:bottom w:val="none" w:sz="0" w:space="0" w:color="auto"/>
        <w:right w:val="none" w:sz="0" w:space="0" w:color="auto"/>
      </w:divBdr>
    </w:div>
    <w:div w:id="1888493680">
      <w:bodyDiv w:val="1"/>
      <w:marLeft w:val="0"/>
      <w:marRight w:val="0"/>
      <w:marTop w:val="0"/>
      <w:marBottom w:val="0"/>
      <w:divBdr>
        <w:top w:val="none" w:sz="0" w:space="0" w:color="auto"/>
        <w:left w:val="none" w:sz="0" w:space="0" w:color="auto"/>
        <w:bottom w:val="none" w:sz="0" w:space="0" w:color="auto"/>
        <w:right w:val="none" w:sz="0" w:space="0" w:color="auto"/>
      </w:divBdr>
    </w:div>
    <w:div w:id="1888641927">
      <w:bodyDiv w:val="1"/>
      <w:marLeft w:val="0"/>
      <w:marRight w:val="0"/>
      <w:marTop w:val="0"/>
      <w:marBottom w:val="0"/>
      <w:divBdr>
        <w:top w:val="none" w:sz="0" w:space="0" w:color="auto"/>
        <w:left w:val="none" w:sz="0" w:space="0" w:color="auto"/>
        <w:bottom w:val="none" w:sz="0" w:space="0" w:color="auto"/>
        <w:right w:val="none" w:sz="0" w:space="0" w:color="auto"/>
      </w:divBdr>
    </w:div>
    <w:div w:id="1888644325">
      <w:bodyDiv w:val="1"/>
      <w:marLeft w:val="0"/>
      <w:marRight w:val="0"/>
      <w:marTop w:val="0"/>
      <w:marBottom w:val="0"/>
      <w:divBdr>
        <w:top w:val="none" w:sz="0" w:space="0" w:color="auto"/>
        <w:left w:val="none" w:sz="0" w:space="0" w:color="auto"/>
        <w:bottom w:val="none" w:sz="0" w:space="0" w:color="auto"/>
        <w:right w:val="none" w:sz="0" w:space="0" w:color="auto"/>
      </w:divBdr>
    </w:div>
    <w:div w:id="1888688020">
      <w:bodyDiv w:val="1"/>
      <w:marLeft w:val="0"/>
      <w:marRight w:val="0"/>
      <w:marTop w:val="0"/>
      <w:marBottom w:val="0"/>
      <w:divBdr>
        <w:top w:val="none" w:sz="0" w:space="0" w:color="auto"/>
        <w:left w:val="none" w:sz="0" w:space="0" w:color="auto"/>
        <w:bottom w:val="none" w:sz="0" w:space="0" w:color="auto"/>
        <w:right w:val="none" w:sz="0" w:space="0" w:color="auto"/>
      </w:divBdr>
    </w:div>
    <w:div w:id="1888714065">
      <w:bodyDiv w:val="1"/>
      <w:marLeft w:val="0"/>
      <w:marRight w:val="0"/>
      <w:marTop w:val="0"/>
      <w:marBottom w:val="0"/>
      <w:divBdr>
        <w:top w:val="none" w:sz="0" w:space="0" w:color="auto"/>
        <w:left w:val="none" w:sz="0" w:space="0" w:color="auto"/>
        <w:bottom w:val="none" w:sz="0" w:space="0" w:color="auto"/>
        <w:right w:val="none" w:sz="0" w:space="0" w:color="auto"/>
      </w:divBdr>
    </w:div>
    <w:div w:id="1888908615">
      <w:bodyDiv w:val="1"/>
      <w:marLeft w:val="0"/>
      <w:marRight w:val="0"/>
      <w:marTop w:val="0"/>
      <w:marBottom w:val="0"/>
      <w:divBdr>
        <w:top w:val="none" w:sz="0" w:space="0" w:color="auto"/>
        <w:left w:val="none" w:sz="0" w:space="0" w:color="auto"/>
        <w:bottom w:val="none" w:sz="0" w:space="0" w:color="auto"/>
        <w:right w:val="none" w:sz="0" w:space="0" w:color="auto"/>
      </w:divBdr>
    </w:div>
    <w:div w:id="1889343040">
      <w:bodyDiv w:val="1"/>
      <w:marLeft w:val="0"/>
      <w:marRight w:val="0"/>
      <w:marTop w:val="0"/>
      <w:marBottom w:val="0"/>
      <w:divBdr>
        <w:top w:val="none" w:sz="0" w:space="0" w:color="auto"/>
        <w:left w:val="none" w:sz="0" w:space="0" w:color="auto"/>
        <w:bottom w:val="none" w:sz="0" w:space="0" w:color="auto"/>
        <w:right w:val="none" w:sz="0" w:space="0" w:color="auto"/>
      </w:divBdr>
    </w:div>
    <w:div w:id="1889492167">
      <w:bodyDiv w:val="1"/>
      <w:marLeft w:val="0"/>
      <w:marRight w:val="0"/>
      <w:marTop w:val="0"/>
      <w:marBottom w:val="0"/>
      <w:divBdr>
        <w:top w:val="none" w:sz="0" w:space="0" w:color="auto"/>
        <w:left w:val="none" w:sz="0" w:space="0" w:color="auto"/>
        <w:bottom w:val="none" w:sz="0" w:space="0" w:color="auto"/>
        <w:right w:val="none" w:sz="0" w:space="0" w:color="auto"/>
      </w:divBdr>
    </w:div>
    <w:div w:id="1889563618">
      <w:bodyDiv w:val="1"/>
      <w:marLeft w:val="0"/>
      <w:marRight w:val="0"/>
      <w:marTop w:val="0"/>
      <w:marBottom w:val="0"/>
      <w:divBdr>
        <w:top w:val="none" w:sz="0" w:space="0" w:color="auto"/>
        <w:left w:val="none" w:sz="0" w:space="0" w:color="auto"/>
        <w:bottom w:val="none" w:sz="0" w:space="0" w:color="auto"/>
        <w:right w:val="none" w:sz="0" w:space="0" w:color="auto"/>
      </w:divBdr>
    </w:div>
    <w:div w:id="1889682058">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0724390">
      <w:bodyDiv w:val="1"/>
      <w:marLeft w:val="0"/>
      <w:marRight w:val="0"/>
      <w:marTop w:val="0"/>
      <w:marBottom w:val="0"/>
      <w:divBdr>
        <w:top w:val="none" w:sz="0" w:space="0" w:color="auto"/>
        <w:left w:val="none" w:sz="0" w:space="0" w:color="auto"/>
        <w:bottom w:val="none" w:sz="0" w:space="0" w:color="auto"/>
        <w:right w:val="none" w:sz="0" w:space="0" w:color="auto"/>
      </w:divBdr>
    </w:div>
    <w:div w:id="1890846996">
      <w:bodyDiv w:val="1"/>
      <w:marLeft w:val="0"/>
      <w:marRight w:val="0"/>
      <w:marTop w:val="0"/>
      <w:marBottom w:val="0"/>
      <w:divBdr>
        <w:top w:val="none" w:sz="0" w:space="0" w:color="auto"/>
        <w:left w:val="none" w:sz="0" w:space="0" w:color="auto"/>
        <w:bottom w:val="none" w:sz="0" w:space="0" w:color="auto"/>
        <w:right w:val="none" w:sz="0" w:space="0" w:color="auto"/>
      </w:divBdr>
    </w:div>
    <w:div w:id="1890871803">
      <w:bodyDiv w:val="1"/>
      <w:marLeft w:val="0"/>
      <w:marRight w:val="0"/>
      <w:marTop w:val="0"/>
      <w:marBottom w:val="0"/>
      <w:divBdr>
        <w:top w:val="none" w:sz="0" w:space="0" w:color="auto"/>
        <w:left w:val="none" w:sz="0" w:space="0" w:color="auto"/>
        <w:bottom w:val="none" w:sz="0" w:space="0" w:color="auto"/>
        <w:right w:val="none" w:sz="0" w:space="0" w:color="auto"/>
      </w:divBdr>
    </w:div>
    <w:div w:id="1891307461">
      <w:bodyDiv w:val="1"/>
      <w:marLeft w:val="0"/>
      <w:marRight w:val="0"/>
      <w:marTop w:val="0"/>
      <w:marBottom w:val="0"/>
      <w:divBdr>
        <w:top w:val="none" w:sz="0" w:space="0" w:color="auto"/>
        <w:left w:val="none" w:sz="0" w:space="0" w:color="auto"/>
        <w:bottom w:val="none" w:sz="0" w:space="0" w:color="auto"/>
        <w:right w:val="none" w:sz="0" w:space="0" w:color="auto"/>
      </w:divBdr>
    </w:div>
    <w:div w:id="1892300354">
      <w:bodyDiv w:val="1"/>
      <w:marLeft w:val="0"/>
      <w:marRight w:val="0"/>
      <w:marTop w:val="0"/>
      <w:marBottom w:val="0"/>
      <w:divBdr>
        <w:top w:val="none" w:sz="0" w:space="0" w:color="auto"/>
        <w:left w:val="none" w:sz="0" w:space="0" w:color="auto"/>
        <w:bottom w:val="none" w:sz="0" w:space="0" w:color="auto"/>
        <w:right w:val="none" w:sz="0" w:space="0" w:color="auto"/>
      </w:divBdr>
    </w:div>
    <w:div w:id="1893035129">
      <w:bodyDiv w:val="1"/>
      <w:marLeft w:val="0"/>
      <w:marRight w:val="0"/>
      <w:marTop w:val="0"/>
      <w:marBottom w:val="0"/>
      <w:divBdr>
        <w:top w:val="none" w:sz="0" w:space="0" w:color="auto"/>
        <w:left w:val="none" w:sz="0" w:space="0" w:color="auto"/>
        <w:bottom w:val="none" w:sz="0" w:space="0" w:color="auto"/>
        <w:right w:val="none" w:sz="0" w:space="0" w:color="auto"/>
      </w:divBdr>
    </w:div>
    <w:div w:id="1893073716">
      <w:bodyDiv w:val="1"/>
      <w:marLeft w:val="0"/>
      <w:marRight w:val="0"/>
      <w:marTop w:val="0"/>
      <w:marBottom w:val="0"/>
      <w:divBdr>
        <w:top w:val="none" w:sz="0" w:space="0" w:color="auto"/>
        <w:left w:val="none" w:sz="0" w:space="0" w:color="auto"/>
        <w:bottom w:val="none" w:sz="0" w:space="0" w:color="auto"/>
        <w:right w:val="none" w:sz="0" w:space="0" w:color="auto"/>
      </w:divBdr>
    </w:div>
    <w:div w:id="1893081113">
      <w:bodyDiv w:val="1"/>
      <w:marLeft w:val="0"/>
      <w:marRight w:val="0"/>
      <w:marTop w:val="0"/>
      <w:marBottom w:val="0"/>
      <w:divBdr>
        <w:top w:val="none" w:sz="0" w:space="0" w:color="auto"/>
        <w:left w:val="none" w:sz="0" w:space="0" w:color="auto"/>
        <w:bottom w:val="none" w:sz="0" w:space="0" w:color="auto"/>
        <w:right w:val="none" w:sz="0" w:space="0" w:color="auto"/>
      </w:divBdr>
    </w:div>
    <w:div w:id="1893418601">
      <w:bodyDiv w:val="1"/>
      <w:marLeft w:val="0"/>
      <w:marRight w:val="0"/>
      <w:marTop w:val="0"/>
      <w:marBottom w:val="0"/>
      <w:divBdr>
        <w:top w:val="none" w:sz="0" w:space="0" w:color="auto"/>
        <w:left w:val="none" w:sz="0" w:space="0" w:color="auto"/>
        <w:bottom w:val="none" w:sz="0" w:space="0" w:color="auto"/>
        <w:right w:val="none" w:sz="0" w:space="0" w:color="auto"/>
      </w:divBdr>
    </w:div>
    <w:div w:id="1893617750">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894273236">
      <w:bodyDiv w:val="1"/>
      <w:marLeft w:val="0"/>
      <w:marRight w:val="0"/>
      <w:marTop w:val="0"/>
      <w:marBottom w:val="0"/>
      <w:divBdr>
        <w:top w:val="none" w:sz="0" w:space="0" w:color="auto"/>
        <w:left w:val="none" w:sz="0" w:space="0" w:color="auto"/>
        <w:bottom w:val="none" w:sz="0" w:space="0" w:color="auto"/>
        <w:right w:val="none" w:sz="0" w:space="0" w:color="auto"/>
      </w:divBdr>
    </w:div>
    <w:div w:id="1894610390">
      <w:bodyDiv w:val="1"/>
      <w:marLeft w:val="0"/>
      <w:marRight w:val="0"/>
      <w:marTop w:val="0"/>
      <w:marBottom w:val="0"/>
      <w:divBdr>
        <w:top w:val="none" w:sz="0" w:space="0" w:color="auto"/>
        <w:left w:val="none" w:sz="0" w:space="0" w:color="auto"/>
        <w:bottom w:val="none" w:sz="0" w:space="0" w:color="auto"/>
        <w:right w:val="none" w:sz="0" w:space="0" w:color="auto"/>
      </w:divBdr>
    </w:div>
    <w:div w:id="1894778650">
      <w:bodyDiv w:val="1"/>
      <w:marLeft w:val="0"/>
      <w:marRight w:val="0"/>
      <w:marTop w:val="0"/>
      <w:marBottom w:val="0"/>
      <w:divBdr>
        <w:top w:val="none" w:sz="0" w:space="0" w:color="auto"/>
        <w:left w:val="none" w:sz="0" w:space="0" w:color="auto"/>
        <w:bottom w:val="none" w:sz="0" w:space="0" w:color="auto"/>
        <w:right w:val="none" w:sz="0" w:space="0" w:color="auto"/>
      </w:divBdr>
    </w:div>
    <w:div w:id="1894846476">
      <w:bodyDiv w:val="1"/>
      <w:marLeft w:val="0"/>
      <w:marRight w:val="0"/>
      <w:marTop w:val="0"/>
      <w:marBottom w:val="0"/>
      <w:divBdr>
        <w:top w:val="none" w:sz="0" w:space="0" w:color="auto"/>
        <w:left w:val="none" w:sz="0" w:space="0" w:color="auto"/>
        <w:bottom w:val="none" w:sz="0" w:space="0" w:color="auto"/>
        <w:right w:val="none" w:sz="0" w:space="0" w:color="auto"/>
      </w:divBdr>
    </w:div>
    <w:div w:id="1895238405">
      <w:bodyDiv w:val="1"/>
      <w:marLeft w:val="0"/>
      <w:marRight w:val="0"/>
      <w:marTop w:val="0"/>
      <w:marBottom w:val="0"/>
      <w:divBdr>
        <w:top w:val="none" w:sz="0" w:space="0" w:color="auto"/>
        <w:left w:val="none" w:sz="0" w:space="0" w:color="auto"/>
        <w:bottom w:val="none" w:sz="0" w:space="0" w:color="auto"/>
        <w:right w:val="none" w:sz="0" w:space="0" w:color="auto"/>
      </w:divBdr>
    </w:div>
    <w:div w:id="1895312785">
      <w:bodyDiv w:val="1"/>
      <w:marLeft w:val="0"/>
      <w:marRight w:val="0"/>
      <w:marTop w:val="0"/>
      <w:marBottom w:val="0"/>
      <w:divBdr>
        <w:top w:val="none" w:sz="0" w:space="0" w:color="auto"/>
        <w:left w:val="none" w:sz="0" w:space="0" w:color="auto"/>
        <w:bottom w:val="none" w:sz="0" w:space="0" w:color="auto"/>
        <w:right w:val="none" w:sz="0" w:space="0" w:color="auto"/>
      </w:divBdr>
    </w:div>
    <w:div w:id="1895391325">
      <w:bodyDiv w:val="1"/>
      <w:marLeft w:val="0"/>
      <w:marRight w:val="0"/>
      <w:marTop w:val="0"/>
      <w:marBottom w:val="0"/>
      <w:divBdr>
        <w:top w:val="none" w:sz="0" w:space="0" w:color="auto"/>
        <w:left w:val="none" w:sz="0" w:space="0" w:color="auto"/>
        <w:bottom w:val="none" w:sz="0" w:space="0" w:color="auto"/>
        <w:right w:val="none" w:sz="0" w:space="0" w:color="auto"/>
      </w:divBdr>
    </w:div>
    <w:div w:id="1895850777">
      <w:bodyDiv w:val="1"/>
      <w:marLeft w:val="0"/>
      <w:marRight w:val="0"/>
      <w:marTop w:val="0"/>
      <w:marBottom w:val="0"/>
      <w:divBdr>
        <w:top w:val="none" w:sz="0" w:space="0" w:color="auto"/>
        <w:left w:val="none" w:sz="0" w:space="0" w:color="auto"/>
        <w:bottom w:val="none" w:sz="0" w:space="0" w:color="auto"/>
        <w:right w:val="none" w:sz="0" w:space="0" w:color="auto"/>
      </w:divBdr>
    </w:div>
    <w:div w:id="1895920589">
      <w:bodyDiv w:val="1"/>
      <w:marLeft w:val="0"/>
      <w:marRight w:val="0"/>
      <w:marTop w:val="0"/>
      <w:marBottom w:val="0"/>
      <w:divBdr>
        <w:top w:val="none" w:sz="0" w:space="0" w:color="auto"/>
        <w:left w:val="none" w:sz="0" w:space="0" w:color="auto"/>
        <w:bottom w:val="none" w:sz="0" w:space="0" w:color="auto"/>
        <w:right w:val="none" w:sz="0" w:space="0" w:color="auto"/>
      </w:divBdr>
    </w:div>
    <w:div w:id="1896353370">
      <w:bodyDiv w:val="1"/>
      <w:marLeft w:val="0"/>
      <w:marRight w:val="0"/>
      <w:marTop w:val="0"/>
      <w:marBottom w:val="0"/>
      <w:divBdr>
        <w:top w:val="none" w:sz="0" w:space="0" w:color="auto"/>
        <w:left w:val="none" w:sz="0" w:space="0" w:color="auto"/>
        <w:bottom w:val="none" w:sz="0" w:space="0" w:color="auto"/>
        <w:right w:val="none" w:sz="0" w:space="0" w:color="auto"/>
      </w:divBdr>
    </w:div>
    <w:div w:id="1896356110">
      <w:bodyDiv w:val="1"/>
      <w:marLeft w:val="0"/>
      <w:marRight w:val="0"/>
      <w:marTop w:val="0"/>
      <w:marBottom w:val="0"/>
      <w:divBdr>
        <w:top w:val="none" w:sz="0" w:space="0" w:color="auto"/>
        <w:left w:val="none" w:sz="0" w:space="0" w:color="auto"/>
        <w:bottom w:val="none" w:sz="0" w:space="0" w:color="auto"/>
        <w:right w:val="none" w:sz="0" w:space="0" w:color="auto"/>
      </w:divBdr>
    </w:div>
    <w:div w:id="1896430583">
      <w:bodyDiv w:val="1"/>
      <w:marLeft w:val="0"/>
      <w:marRight w:val="0"/>
      <w:marTop w:val="0"/>
      <w:marBottom w:val="0"/>
      <w:divBdr>
        <w:top w:val="none" w:sz="0" w:space="0" w:color="auto"/>
        <w:left w:val="none" w:sz="0" w:space="0" w:color="auto"/>
        <w:bottom w:val="none" w:sz="0" w:space="0" w:color="auto"/>
        <w:right w:val="none" w:sz="0" w:space="0" w:color="auto"/>
      </w:divBdr>
    </w:div>
    <w:div w:id="1896969933">
      <w:bodyDiv w:val="1"/>
      <w:marLeft w:val="0"/>
      <w:marRight w:val="0"/>
      <w:marTop w:val="0"/>
      <w:marBottom w:val="0"/>
      <w:divBdr>
        <w:top w:val="none" w:sz="0" w:space="0" w:color="auto"/>
        <w:left w:val="none" w:sz="0" w:space="0" w:color="auto"/>
        <w:bottom w:val="none" w:sz="0" w:space="0" w:color="auto"/>
        <w:right w:val="none" w:sz="0" w:space="0" w:color="auto"/>
      </w:divBdr>
    </w:div>
    <w:div w:id="1897012278">
      <w:bodyDiv w:val="1"/>
      <w:marLeft w:val="0"/>
      <w:marRight w:val="0"/>
      <w:marTop w:val="0"/>
      <w:marBottom w:val="0"/>
      <w:divBdr>
        <w:top w:val="none" w:sz="0" w:space="0" w:color="auto"/>
        <w:left w:val="none" w:sz="0" w:space="0" w:color="auto"/>
        <w:bottom w:val="none" w:sz="0" w:space="0" w:color="auto"/>
        <w:right w:val="none" w:sz="0" w:space="0" w:color="auto"/>
      </w:divBdr>
    </w:div>
    <w:div w:id="1897088187">
      <w:bodyDiv w:val="1"/>
      <w:marLeft w:val="0"/>
      <w:marRight w:val="0"/>
      <w:marTop w:val="0"/>
      <w:marBottom w:val="0"/>
      <w:divBdr>
        <w:top w:val="none" w:sz="0" w:space="0" w:color="auto"/>
        <w:left w:val="none" w:sz="0" w:space="0" w:color="auto"/>
        <w:bottom w:val="none" w:sz="0" w:space="0" w:color="auto"/>
        <w:right w:val="none" w:sz="0" w:space="0" w:color="auto"/>
      </w:divBdr>
    </w:div>
    <w:div w:id="1897205856">
      <w:bodyDiv w:val="1"/>
      <w:marLeft w:val="0"/>
      <w:marRight w:val="0"/>
      <w:marTop w:val="0"/>
      <w:marBottom w:val="0"/>
      <w:divBdr>
        <w:top w:val="none" w:sz="0" w:space="0" w:color="auto"/>
        <w:left w:val="none" w:sz="0" w:space="0" w:color="auto"/>
        <w:bottom w:val="none" w:sz="0" w:space="0" w:color="auto"/>
        <w:right w:val="none" w:sz="0" w:space="0" w:color="auto"/>
      </w:divBdr>
    </w:div>
    <w:div w:id="1898084086">
      <w:bodyDiv w:val="1"/>
      <w:marLeft w:val="0"/>
      <w:marRight w:val="0"/>
      <w:marTop w:val="0"/>
      <w:marBottom w:val="0"/>
      <w:divBdr>
        <w:top w:val="none" w:sz="0" w:space="0" w:color="auto"/>
        <w:left w:val="none" w:sz="0" w:space="0" w:color="auto"/>
        <w:bottom w:val="none" w:sz="0" w:space="0" w:color="auto"/>
        <w:right w:val="none" w:sz="0" w:space="0" w:color="auto"/>
      </w:divBdr>
    </w:div>
    <w:div w:id="1898085812">
      <w:bodyDiv w:val="1"/>
      <w:marLeft w:val="0"/>
      <w:marRight w:val="0"/>
      <w:marTop w:val="0"/>
      <w:marBottom w:val="0"/>
      <w:divBdr>
        <w:top w:val="none" w:sz="0" w:space="0" w:color="auto"/>
        <w:left w:val="none" w:sz="0" w:space="0" w:color="auto"/>
        <w:bottom w:val="none" w:sz="0" w:space="0" w:color="auto"/>
        <w:right w:val="none" w:sz="0" w:space="0" w:color="auto"/>
      </w:divBdr>
    </w:div>
    <w:div w:id="1898324020">
      <w:bodyDiv w:val="1"/>
      <w:marLeft w:val="0"/>
      <w:marRight w:val="0"/>
      <w:marTop w:val="0"/>
      <w:marBottom w:val="0"/>
      <w:divBdr>
        <w:top w:val="none" w:sz="0" w:space="0" w:color="auto"/>
        <w:left w:val="none" w:sz="0" w:space="0" w:color="auto"/>
        <w:bottom w:val="none" w:sz="0" w:space="0" w:color="auto"/>
        <w:right w:val="none" w:sz="0" w:space="0" w:color="auto"/>
      </w:divBdr>
    </w:div>
    <w:div w:id="1898542351">
      <w:bodyDiv w:val="1"/>
      <w:marLeft w:val="0"/>
      <w:marRight w:val="0"/>
      <w:marTop w:val="0"/>
      <w:marBottom w:val="0"/>
      <w:divBdr>
        <w:top w:val="none" w:sz="0" w:space="0" w:color="auto"/>
        <w:left w:val="none" w:sz="0" w:space="0" w:color="auto"/>
        <w:bottom w:val="none" w:sz="0" w:space="0" w:color="auto"/>
        <w:right w:val="none" w:sz="0" w:space="0" w:color="auto"/>
      </w:divBdr>
    </w:div>
    <w:div w:id="1898854461">
      <w:bodyDiv w:val="1"/>
      <w:marLeft w:val="0"/>
      <w:marRight w:val="0"/>
      <w:marTop w:val="0"/>
      <w:marBottom w:val="0"/>
      <w:divBdr>
        <w:top w:val="none" w:sz="0" w:space="0" w:color="auto"/>
        <w:left w:val="none" w:sz="0" w:space="0" w:color="auto"/>
        <w:bottom w:val="none" w:sz="0" w:space="0" w:color="auto"/>
        <w:right w:val="none" w:sz="0" w:space="0" w:color="auto"/>
      </w:divBdr>
    </w:div>
    <w:div w:id="1899050149">
      <w:bodyDiv w:val="1"/>
      <w:marLeft w:val="0"/>
      <w:marRight w:val="0"/>
      <w:marTop w:val="0"/>
      <w:marBottom w:val="0"/>
      <w:divBdr>
        <w:top w:val="none" w:sz="0" w:space="0" w:color="auto"/>
        <w:left w:val="none" w:sz="0" w:space="0" w:color="auto"/>
        <w:bottom w:val="none" w:sz="0" w:space="0" w:color="auto"/>
        <w:right w:val="none" w:sz="0" w:space="0" w:color="auto"/>
      </w:divBdr>
    </w:div>
    <w:div w:id="1899632922">
      <w:bodyDiv w:val="1"/>
      <w:marLeft w:val="0"/>
      <w:marRight w:val="0"/>
      <w:marTop w:val="0"/>
      <w:marBottom w:val="0"/>
      <w:divBdr>
        <w:top w:val="none" w:sz="0" w:space="0" w:color="auto"/>
        <w:left w:val="none" w:sz="0" w:space="0" w:color="auto"/>
        <w:bottom w:val="none" w:sz="0" w:space="0" w:color="auto"/>
        <w:right w:val="none" w:sz="0" w:space="0" w:color="auto"/>
      </w:divBdr>
    </w:div>
    <w:div w:id="1899779865">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241468">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01094997">
      <w:bodyDiv w:val="1"/>
      <w:marLeft w:val="0"/>
      <w:marRight w:val="0"/>
      <w:marTop w:val="0"/>
      <w:marBottom w:val="0"/>
      <w:divBdr>
        <w:top w:val="none" w:sz="0" w:space="0" w:color="auto"/>
        <w:left w:val="none" w:sz="0" w:space="0" w:color="auto"/>
        <w:bottom w:val="none" w:sz="0" w:space="0" w:color="auto"/>
        <w:right w:val="none" w:sz="0" w:space="0" w:color="auto"/>
      </w:divBdr>
    </w:div>
    <w:div w:id="1901209001">
      <w:bodyDiv w:val="1"/>
      <w:marLeft w:val="0"/>
      <w:marRight w:val="0"/>
      <w:marTop w:val="0"/>
      <w:marBottom w:val="0"/>
      <w:divBdr>
        <w:top w:val="none" w:sz="0" w:space="0" w:color="auto"/>
        <w:left w:val="none" w:sz="0" w:space="0" w:color="auto"/>
        <w:bottom w:val="none" w:sz="0" w:space="0" w:color="auto"/>
        <w:right w:val="none" w:sz="0" w:space="0" w:color="auto"/>
      </w:divBdr>
    </w:div>
    <w:div w:id="1901360672">
      <w:bodyDiv w:val="1"/>
      <w:marLeft w:val="0"/>
      <w:marRight w:val="0"/>
      <w:marTop w:val="0"/>
      <w:marBottom w:val="0"/>
      <w:divBdr>
        <w:top w:val="none" w:sz="0" w:space="0" w:color="auto"/>
        <w:left w:val="none" w:sz="0" w:space="0" w:color="auto"/>
        <w:bottom w:val="none" w:sz="0" w:space="0" w:color="auto"/>
        <w:right w:val="none" w:sz="0" w:space="0" w:color="auto"/>
      </w:divBdr>
    </w:div>
    <w:div w:id="1901557881">
      <w:bodyDiv w:val="1"/>
      <w:marLeft w:val="0"/>
      <w:marRight w:val="0"/>
      <w:marTop w:val="0"/>
      <w:marBottom w:val="0"/>
      <w:divBdr>
        <w:top w:val="none" w:sz="0" w:space="0" w:color="auto"/>
        <w:left w:val="none" w:sz="0" w:space="0" w:color="auto"/>
        <w:bottom w:val="none" w:sz="0" w:space="0" w:color="auto"/>
        <w:right w:val="none" w:sz="0" w:space="0" w:color="auto"/>
      </w:divBdr>
    </w:div>
    <w:div w:id="1901749249">
      <w:bodyDiv w:val="1"/>
      <w:marLeft w:val="0"/>
      <w:marRight w:val="0"/>
      <w:marTop w:val="0"/>
      <w:marBottom w:val="0"/>
      <w:divBdr>
        <w:top w:val="none" w:sz="0" w:space="0" w:color="auto"/>
        <w:left w:val="none" w:sz="0" w:space="0" w:color="auto"/>
        <w:bottom w:val="none" w:sz="0" w:space="0" w:color="auto"/>
        <w:right w:val="none" w:sz="0" w:space="0" w:color="auto"/>
      </w:divBdr>
    </w:div>
    <w:div w:id="1902400572">
      <w:bodyDiv w:val="1"/>
      <w:marLeft w:val="0"/>
      <w:marRight w:val="0"/>
      <w:marTop w:val="0"/>
      <w:marBottom w:val="0"/>
      <w:divBdr>
        <w:top w:val="none" w:sz="0" w:space="0" w:color="auto"/>
        <w:left w:val="none" w:sz="0" w:space="0" w:color="auto"/>
        <w:bottom w:val="none" w:sz="0" w:space="0" w:color="auto"/>
        <w:right w:val="none" w:sz="0" w:space="0" w:color="auto"/>
      </w:divBdr>
    </w:div>
    <w:div w:id="1902523622">
      <w:bodyDiv w:val="1"/>
      <w:marLeft w:val="0"/>
      <w:marRight w:val="0"/>
      <w:marTop w:val="0"/>
      <w:marBottom w:val="0"/>
      <w:divBdr>
        <w:top w:val="none" w:sz="0" w:space="0" w:color="auto"/>
        <w:left w:val="none" w:sz="0" w:space="0" w:color="auto"/>
        <w:bottom w:val="none" w:sz="0" w:space="0" w:color="auto"/>
        <w:right w:val="none" w:sz="0" w:space="0" w:color="auto"/>
      </w:divBdr>
    </w:div>
    <w:div w:id="1902792870">
      <w:bodyDiv w:val="1"/>
      <w:marLeft w:val="0"/>
      <w:marRight w:val="0"/>
      <w:marTop w:val="0"/>
      <w:marBottom w:val="0"/>
      <w:divBdr>
        <w:top w:val="none" w:sz="0" w:space="0" w:color="auto"/>
        <w:left w:val="none" w:sz="0" w:space="0" w:color="auto"/>
        <w:bottom w:val="none" w:sz="0" w:space="0" w:color="auto"/>
        <w:right w:val="none" w:sz="0" w:space="0" w:color="auto"/>
      </w:divBdr>
    </w:div>
    <w:div w:id="1903054761">
      <w:bodyDiv w:val="1"/>
      <w:marLeft w:val="0"/>
      <w:marRight w:val="0"/>
      <w:marTop w:val="0"/>
      <w:marBottom w:val="0"/>
      <w:divBdr>
        <w:top w:val="none" w:sz="0" w:space="0" w:color="auto"/>
        <w:left w:val="none" w:sz="0" w:space="0" w:color="auto"/>
        <w:bottom w:val="none" w:sz="0" w:space="0" w:color="auto"/>
        <w:right w:val="none" w:sz="0" w:space="0" w:color="auto"/>
      </w:divBdr>
    </w:div>
    <w:div w:id="1903321661">
      <w:bodyDiv w:val="1"/>
      <w:marLeft w:val="0"/>
      <w:marRight w:val="0"/>
      <w:marTop w:val="0"/>
      <w:marBottom w:val="0"/>
      <w:divBdr>
        <w:top w:val="none" w:sz="0" w:space="0" w:color="auto"/>
        <w:left w:val="none" w:sz="0" w:space="0" w:color="auto"/>
        <w:bottom w:val="none" w:sz="0" w:space="0" w:color="auto"/>
        <w:right w:val="none" w:sz="0" w:space="0" w:color="auto"/>
      </w:divBdr>
    </w:div>
    <w:div w:id="1903369125">
      <w:bodyDiv w:val="1"/>
      <w:marLeft w:val="0"/>
      <w:marRight w:val="0"/>
      <w:marTop w:val="0"/>
      <w:marBottom w:val="0"/>
      <w:divBdr>
        <w:top w:val="none" w:sz="0" w:space="0" w:color="auto"/>
        <w:left w:val="none" w:sz="0" w:space="0" w:color="auto"/>
        <w:bottom w:val="none" w:sz="0" w:space="0" w:color="auto"/>
        <w:right w:val="none" w:sz="0" w:space="0" w:color="auto"/>
      </w:divBdr>
    </w:div>
    <w:div w:id="1903560071">
      <w:bodyDiv w:val="1"/>
      <w:marLeft w:val="0"/>
      <w:marRight w:val="0"/>
      <w:marTop w:val="0"/>
      <w:marBottom w:val="0"/>
      <w:divBdr>
        <w:top w:val="none" w:sz="0" w:space="0" w:color="auto"/>
        <w:left w:val="none" w:sz="0" w:space="0" w:color="auto"/>
        <w:bottom w:val="none" w:sz="0" w:space="0" w:color="auto"/>
        <w:right w:val="none" w:sz="0" w:space="0" w:color="auto"/>
      </w:divBdr>
    </w:div>
    <w:div w:id="1903566326">
      <w:bodyDiv w:val="1"/>
      <w:marLeft w:val="0"/>
      <w:marRight w:val="0"/>
      <w:marTop w:val="0"/>
      <w:marBottom w:val="0"/>
      <w:divBdr>
        <w:top w:val="none" w:sz="0" w:space="0" w:color="auto"/>
        <w:left w:val="none" w:sz="0" w:space="0" w:color="auto"/>
        <w:bottom w:val="none" w:sz="0" w:space="0" w:color="auto"/>
        <w:right w:val="none" w:sz="0" w:space="0" w:color="auto"/>
      </w:divBdr>
    </w:div>
    <w:div w:id="1904097644">
      <w:bodyDiv w:val="1"/>
      <w:marLeft w:val="0"/>
      <w:marRight w:val="0"/>
      <w:marTop w:val="0"/>
      <w:marBottom w:val="0"/>
      <w:divBdr>
        <w:top w:val="none" w:sz="0" w:space="0" w:color="auto"/>
        <w:left w:val="none" w:sz="0" w:space="0" w:color="auto"/>
        <w:bottom w:val="none" w:sz="0" w:space="0" w:color="auto"/>
        <w:right w:val="none" w:sz="0" w:space="0" w:color="auto"/>
      </w:divBdr>
    </w:div>
    <w:div w:id="1904679650">
      <w:bodyDiv w:val="1"/>
      <w:marLeft w:val="0"/>
      <w:marRight w:val="0"/>
      <w:marTop w:val="0"/>
      <w:marBottom w:val="0"/>
      <w:divBdr>
        <w:top w:val="none" w:sz="0" w:space="0" w:color="auto"/>
        <w:left w:val="none" w:sz="0" w:space="0" w:color="auto"/>
        <w:bottom w:val="none" w:sz="0" w:space="0" w:color="auto"/>
        <w:right w:val="none" w:sz="0" w:space="0" w:color="auto"/>
      </w:divBdr>
    </w:div>
    <w:div w:id="1904753338">
      <w:bodyDiv w:val="1"/>
      <w:marLeft w:val="0"/>
      <w:marRight w:val="0"/>
      <w:marTop w:val="0"/>
      <w:marBottom w:val="0"/>
      <w:divBdr>
        <w:top w:val="none" w:sz="0" w:space="0" w:color="auto"/>
        <w:left w:val="none" w:sz="0" w:space="0" w:color="auto"/>
        <w:bottom w:val="none" w:sz="0" w:space="0" w:color="auto"/>
        <w:right w:val="none" w:sz="0" w:space="0" w:color="auto"/>
      </w:divBdr>
    </w:div>
    <w:div w:id="1905096318">
      <w:bodyDiv w:val="1"/>
      <w:marLeft w:val="0"/>
      <w:marRight w:val="0"/>
      <w:marTop w:val="0"/>
      <w:marBottom w:val="0"/>
      <w:divBdr>
        <w:top w:val="none" w:sz="0" w:space="0" w:color="auto"/>
        <w:left w:val="none" w:sz="0" w:space="0" w:color="auto"/>
        <w:bottom w:val="none" w:sz="0" w:space="0" w:color="auto"/>
        <w:right w:val="none" w:sz="0" w:space="0" w:color="auto"/>
      </w:divBdr>
    </w:div>
    <w:div w:id="1906452613">
      <w:bodyDiv w:val="1"/>
      <w:marLeft w:val="0"/>
      <w:marRight w:val="0"/>
      <w:marTop w:val="0"/>
      <w:marBottom w:val="0"/>
      <w:divBdr>
        <w:top w:val="none" w:sz="0" w:space="0" w:color="auto"/>
        <w:left w:val="none" w:sz="0" w:space="0" w:color="auto"/>
        <w:bottom w:val="none" w:sz="0" w:space="0" w:color="auto"/>
        <w:right w:val="none" w:sz="0" w:space="0" w:color="auto"/>
      </w:divBdr>
    </w:div>
    <w:div w:id="1906640472">
      <w:bodyDiv w:val="1"/>
      <w:marLeft w:val="0"/>
      <w:marRight w:val="0"/>
      <w:marTop w:val="0"/>
      <w:marBottom w:val="0"/>
      <w:divBdr>
        <w:top w:val="none" w:sz="0" w:space="0" w:color="auto"/>
        <w:left w:val="none" w:sz="0" w:space="0" w:color="auto"/>
        <w:bottom w:val="none" w:sz="0" w:space="0" w:color="auto"/>
        <w:right w:val="none" w:sz="0" w:space="0" w:color="auto"/>
      </w:divBdr>
    </w:div>
    <w:div w:id="1906796555">
      <w:bodyDiv w:val="1"/>
      <w:marLeft w:val="0"/>
      <w:marRight w:val="0"/>
      <w:marTop w:val="0"/>
      <w:marBottom w:val="0"/>
      <w:divBdr>
        <w:top w:val="none" w:sz="0" w:space="0" w:color="auto"/>
        <w:left w:val="none" w:sz="0" w:space="0" w:color="auto"/>
        <w:bottom w:val="none" w:sz="0" w:space="0" w:color="auto"/>
        <w:right w:val="none" w:sz="0" w:space="0" w:color="auto"/>
      </w:divBdr>
    </w:div>
    <w:div w:id="1906993410">
      <w:bodyDiv w:val="1"/>
      <w:marLeft w:val="0"/>
      <w:marRight w:val="0"/>
      <w:marTop w:val="0"/>
      <w:marBottom w:val="0"/>
      <w:divBdr>
        <w:top w:val="none" w:sz="0" w:space="0" w:color="auto"/>
        <w:left w:val="none" w:sz="0" w:space="0" w:color="auto"/>
        <w:bottom w:val="none" w:sz="0" w:space="0" w:color="auto"/>
        <w:right w:val="none" w:sz="0" w:space="0" w:color="auto"/>
      </w:divBdr>
    </w:div>
    <w:div w:id="1907107850">
      <w:bodyDiv w:val="1"/>
      <w:marLeft w:val="0"/>
      <w:marRight w:val="0"/>
      <w:marTop w:val="0"/>
      <w:marBottom w:val="0"/>
      <w:divBdr>
        <w:top w:val="none" w:sz="0" w:space="0" w:color="auto"/>
        <w:left w:val="none" w:sz="0" w:space="0" w:color="auto"/>
        <w:bottom w:val="none" w:sz="0" w:space="0" w:color="auto"/>
        <w:right w:val="none" w:sz="0" w:space="0" w:color="auto"/>
      </w:divBdr>
    </w:div>
    <w:div w:id="1907257389">
      <w:bodyDiv w:val="1"/>
      <w:marLeft w:val="0"/>
      <w:marRight w:val="0"/>
      <w:marTop w:val="0"/>
      <w:marBottom w:val="0"/>
      <w:divBdr>
        <w:top w:val="none" w:sz="0" w:space="0" w:color="auto"/>
        <w:left w:val="none" w:sz="0" w:space="0" w:color="auto"/>
        <w:bottom w:val="none" w:sz="0" w:space="0" w:color="auto"/>
        <w:right w:val="none" w:sz="0" w:space="0" w:color="auto"/>
      </w:divBdr>
    </w:div>
    <w:div w:id="1907837229">
      <w:bodyDiv w:val="1"/>
      <w:marLeft w:val="0"/>
      <w:marRight w:val="0"/>
      <w:marTop w:val="0"/>
      <w:marBottom w:val="0"/>
      <w:divBdr>
        <w:top w:val="none" w:sz="0" w:space="0" w:color="auto"/>
        <w:left w:val="none" w:sz="0" w:space="0" w:color="auto"/>
        <w:bottom w:val="none" w:sz="0" w:space="0" w:color="auto"/>
        <w:right w:val="none" w:sz="0" w:space="0" w:color="auto"/>
      </w:divBdr>
    </w:div>
    <w:div w:id="1908108261">
      <w:bodyDiv w:val="1"/>
      <w:marLeft w:val="0"/>
      <w:marRight w:val="0"/>
      <w:marTop w:val="0"/>
      <w:marBottom w:val="0"/>
      <w:divBdr>
        <w:top w:val="none" w:sz="0" w:space="0" w:color="auto"/>
        <w:left w:val="none" w:sz="0" w:space="0" w:color="auto"/>
        <w:bottom w:val="none" w:sz="0" w:space="0" w:color="auto"/>
        <w:right w:val="none" w:sz="0" w:space="0" w:color="auto"/>
      </w:divBdr>
    </w:div>
    <w:div w:id="1908956460">
      <w:bodyDiv w:val="1"/>
      <w:marLeft w:val="0"/>
      <w:marRight w:val="0"/>
      <w:marTop w:val="0"/>
      <w:marBottom w:val="0"/>
      <w:divBdr>
        <w:top w:val="none" w:sz="0" w:space="0" w:color="auto"/>
        <w:left w:val="none" w:sz="0" w:space="0" w:color="auto"/>
        <w:bottom w:val="none" w:sz="0" w:space="0" w:color="auto"/>
        <w:right w:val="none" w:sz="0" w:space="0" w:color="auto"/>
      </w:divBdr>
    </w:div>
    <w:div w:id="1909029180">
      <w:bodyDiv w:val="1"/>
      <w:marLeft w:val="0"/>
      <w:marRight w:val="0"/>
      <w:marTop w:val="0"/>
      <w:marBottom w:val="0"/>
      <w:divBdr>
        <w:top w:val="none" w:sz="0" w:space="0" w:color="auto"/>
        <w:left w:val="none" w:sz="0" w:space="0" w:color="auto"/>
        <w:bottom w:val="none" w:sz="0" w:space="0" w:color="auto"/>
        <w:right w:val="none" w:sz="0" w:space="0" w:color="auto"/>
      </w:divBdr>
    </w:div>
    <w:div w:id="1909421267">
      <w:bodyDiv w:val="1"/>
      <w:marLeft w:val="0"/>
      <w:marRight w:val="0"/>
      <w:marTop w:val="0"/>
      <w:marBottom w:val="0"/>
      <w:divBdr>
        <w:top w:val="none" w:sz="0" w:space="0" w:color="auto"/>
        <w:left w:val="none" w:sz="0" w:space="0" w:color="auto"/>
        <w:bottom w:val="none" w:sz="0" w:space="0" w:color="auto"/>
        <w:right w:val="none" w:sz="0" w:space="0" w:color="auto"/>
      </w:divBdr>
    </w:div>
    <w:div w:id="1909606802">
      <w:bodyDiv w:val="1"/>
      <w:marLeft w:val="0"/>
      <w:marRight w:val="0"/>
      <w:marTop w:val="0"/>
      <w:marBottom w:val="0"/>
      <w:divBdr>
        <w:top w:val="none" w:sz="0" w:space="0" w:color="auto"/>
        <w:left w:val="none" w:sz="0" w:space="0" w:color="auto"/>
        <w:bottom w:val="none" w:sz="0" w:space="0" w:color="auto"/>
        <w:right w:val="none" w:sz="0" w:space="0" w:color="auto"/>
      </w:divBdr>
    </w:div>
    <w:div w:id="1910261922">
      <w:bodyDiv w:val="1"/>
      <w:marLeft w:val="0"/>
      <w:marRight w:val="0"/>
      <w:marTop w:val="0"/>
      <w:marBottom w:val="0"/>
      <w:divBdr>
        <w:top w:val="none" w:sz="0" w:space="0" w:color="auto"/>
        <w:left w:val="none" w:sz="0" w:space="0" w:color="auto"/>
        <w:bottom w:val="none" w:sz="0" w:space="0" w:color="auto"/>
        <w:right w:val="none" w:sz="0" w:space="0" w:color="auto"/>
      </w:divBdr>
    </w:div>
    <w:div w:id="1910383857">
      <w:bodyDiv w:val="1"/>
      <w:marLeft w:val="0"/>
      <w:marRight w:val="0"/>
      <w:marTop w:val="0"/>
      <w:marBottom w:val="0"/>
      <w:divBdr>
        <w:top w:val="none" w:sz="0" w:space="0" w:color="auto"/>
        <w:left w:val="none" w:sz="0" w:space="0" w:color="auto"/>
        <w:bottom w:val="none" w:sz="0" w:space="0" w:color="auto"/>
        <w:right w:val="none" w:sz="0" w:space="0" w:color="auto"/>
      </w:divBdr>
    </w:div>
    <w:div w:id="1910537374">
      <w:bodyDiv w:val="1"/>
      <w:marLeft w:val="0"/>
      <w:marRight w:val="0"/>
      <w:marTop w:val="0"/>
      <w:marBottom w:val="0"/>
      <w:divBdr>
        <w:top w:val="none" w:sz="0" w:space="0" w:color="auto"/>
        <w:left w:val="none" w:sz="0" w:space="0" w:color="auto"/>
        <w:bottom w:val="none" w:sz="0" w:space="0" w:color="auto"/>
        <w:right w:val="none" w:sz="0" w:space="0" w:color="auto"/>
      </w:divBdr>
    </w:div>
    <w:div w:id="1910916685">
      <w:bodyDiv w:val="1"/>
      <w:marLeft w:val="0"/>
      <w:marRight w:val="0"/>
      <w:marTop w:val="0"/>
      <w:marBottom w:val="0"/>
      <w:divBdr>
        <w:top w:val="none" w:sz="0" w:space="0" w:color="auto"/>
        <w:left w:val="none" w:sz="0" w:space="0" w:color="auto"/>
        <w:bottom w:val="none" w:sz="0" w:space="0" w:color="auto"/>
        <w:right w:val="none" w:sz="0" w:space="0" w:color="auto"/>
      </w:divBdr>
    </w:div>
    <w:div w:id="1910965069">
      <w:bodyDiv w:val="1"/>
      <w:marLeft w:val="0"/>
      <w:marRight w:val="0"/>
      <w:marTop w:val="0"/>
      <w:marBottom w:val="0"/>
      <w:divBdr>
        <w:top w:val="none" w:sz="0" w:space="0" w:color="auto"/>
        <w:left w:val="none" w:sz="0" w:space="0" w:color="auto"/>
        <w:bottom w:val="none" w:sz="0" w:space="0" w:color="auto"/>
        <w:right w:val="none" w:sz="0" w:space="0" w:color="auto"/>
      </w:divBdr>
    </w:div>
    <w:div w:id="1911424447">
      <w:bodyDiv w:val="1"/>
      <w:marLeft w:val="0"/>
      <w:marRight w:val="0"/>
      <w:marTop w:val="0"/>
      <w:marBottom w:val="0"/>
      <w:divBdr>
        <w:top w:val="none" w:sz="0" w:space="0" w:color="auto"/>
        <w:left w:val="none" w:sz="0" w:space="0" w:color="auto"/>
        <w:bottom w:val="none" w:sz="0" w:space="0" w:color="auto"/>
        <w:right w:val="none" w:sz="0" w:space="0" w:color="auto"/>
      </w:divBdr>
    </w:div>
    <w:div w:id="1912306430">
      <w:bodyDiv w:val="1"/>
      <w:marLeft w:val="0"/>
      <w:marRight w:val="0"/>
      <w:marTop w:val="0"/>
      <w:marBottom w:val="0"/>
      <w:divBdr>
        <w:top w:val="none" w:sz="0" w:space="0" w:color="auto"/>
        <w:left w:val="none" w:sz="0" w:space="0" w:color="auto"/>
        <w:bottom w:val="none" w:sz="0" w:space="0" w:color="auto"/>
        <w:right w:val="none" w:sz="0" w:space="0" w:color="auto"/>
      </w:divBdr>
    </w:div>
    <w:div w:id="1912620682">
      <w:bodyDiv w:val="1"/>
      <w:marLeft w:val="0"/>
      <w:marRight w:val="0"/>
      <w:marTop w:val="0"/>
      <w:marBottom w:val="0"/>
      <w:divBdr>
        <w:top w:val="none" w:sz="0" w:space="0" w:color="auto"/>
        <w:left w:val="none" w:sz="0" w:space="0" w:color="auto"/>
        <w:bottom w:val="none" w:sz="0" w:space="0" w:color="auto"/>
        <w:right w:val="none" w:sz="0" w:space="0" w:color="auto"/>
      </w:divBdr>
    </w:div>
    <w:div w:id="1913738969">
      <w:bodyDiv w:val="1"/>
      <w:marLeft w:val="0"/>
      <w:marRight w:val="0"/>
      <w:marTop w:val="0"/>
      <w:marBottom w:val="0"/>
      <w:divBdr>
        <w:top w:val="none" w:sz="0" w:space="0" w:color="auto"/>
        <w:left w:val="none" w:sz="0" w:space="0" w:color="auto"/>
        <w:bottom w:val="none" w:sz="0" w:space="0" w:color="auto"/>
        <w:right w:val="none" w:sz="0" w:space="0" w:color="auto"/>
      </w:divBdr>
    </w:div>
    <w:div w:id="1913811523">
      <w:bodyDiv w:val="1"/>
      <w:marLeft w:val="0"/>
      <w:marRight w:val="0"/>
      <w:marTop w:val="0"/>
      <w:marBottom w:val="0"/>
      <w:divBdr>
        <w:top w:val="none" w:sz="0" w:space="0" w:color="auto"/>
        <w:left w:val="none" w:sz="0" w:space="0" w:color="auto"/>
        <w:bottom w:val="none" w:sz="0" w:space="0" w:color="auto"/>
        <w:right w:val="none" w:sz="0" w:space="0" w:color="auto"/>
      </w:divBdr>
    </w:div>
    <w:div w:id="1914197814">
      <w:bodyDiv w:val="1"/>
      <w:marLeft w:val="0"/>
      <w:marRight w:val="0"/>
      <w:marTop w:val="0"/>
      <w:marBottom w:val="0"/>
      <w:divBdr>
        <w:top w:val="none" w:sz="0" w:space="0" w:color="auto"/>
        <w:left w:val="none" w:sz="0" w:space="0" w:color="auto"/>
        <w:bottom w:val="none" w:sz="0" w:space="0" w:color="auto"/>
        <w:right w:val="none" w:sz="0" w:space="0" w:color="auto"/>
      </w:divBdr>
    </w:div>
    <w:div w:id="1914241587">
      <w:bodyDiv w:val="1"/>
      <w:marLeft w:val="0"/>
      <w:marRight w:val="0"/>
      <w:marTop w:val="0"/>
      <w:marBottom w:val="0"/>
      <w:divBdr>
        <w:top w:val="none" w:sz="0" w:space="0" w:color="auto"/>
        <w:left w:val="none" w:sz="0" w:space="0" w:color="auto"/>
        <w:bottom w:val="none" w:sz="0" w:space="0" w:color="auto"/>
        <w:right w:val="none" w:sz="0" w:space="0" w:color="auto"/>
      </w:divBdr>
    </w:div>
    <w:div w:id="1914268000">
      <w:bodyDiv w:val="1"/>
      <w:marLeft w:val="0"/>
      <w:marRight w:val="0"/>
      <w:marTop w:val="0"/>
      <w:marBottom w:val="0"/>
      <w:divBdr>
        <w:top w:val="none" w:sz="0" w:space="0" w:color="auto"/>
        <w:left w:val="none" w:sz="0" w:space="0" w:color="auto"/>
        <w:bottom w:val="none" w:sz="0" w:space="0" w:color="auto"/>
        <w:right w:val="none" w:sz="0" w:space="0" w:color="auto"/>
      </w:divBdr>
    </w:div>
    <w:div w:id="1914317993">
      <w:bodyDiv w:val="1"/>
      <w:marLeft w:val="0"/>
      <w:marRight w:val="0"/>
      <w:marTop w:val="0"/>
      <w:marBottom w:val="0"/>
      <w:divBdr>
        <w:top w:val="none" w:sz="0" w:space="0" w:color="auto"/>
        <w:left w:val="none" w:sz="0" w:space="0" w:color="auto"/>
        <w:bottom w:val="none" w:sz="0" w:space="0" w:color="auto"/>
        <w:right w:val="none" w:sz="0" w:space="0" w:color="auto"/>
      </w:divBdr>
    </w:div>
    <w:div w:id="1914462275">
      <w:bodyDiv w:val="1"/>
      <w:marLeft w:val="0"/>
      <w:marRight w:val="0"/>
      <w:marTop w:val="0"/>
      <w:marBottom w:val="0"/>
      <w:divBdr>
        <w:top w:val="none" w:sz="0" w:space="0" w:color="auto"/>
        <w:left w:val="none" w:sz="0" w:space="0" w:color="auto"/>
        <w:bottom w:val="none" w:sz="0" w:space="0" w:color="auto"/>
        <w:right w:val="none" w:sz="0" w:space="0" w:color="auto"/>
      </w:divBdr>
    </w:div>
    <w:div w:id="1915236798">
      <w:bodyDiv w:val="1"/>
      <w:marLeft w:val="0"/>
      <w:marRight w:val="0"/>
      <w:marTop w:val="0"/>
      <w:marBottom w:val="0"/>
      <w:divBdr>
        <w:top w:val="none" w:sz="0" w:space="0" w:color="auto"/>
        <w:left w:val="none" w:sz="0" w:space="0" w:color="auto"/>
        <w:bottom w:val="none" w:sz="0" w:space="0" w:color="auto"/>
        <w:right w:val="none" w:sz="0" w:space="0" w:color="auto"/>
      </w:divBdr>
    </w:div>
    <w:div w:id="1915357798">
      <w:bodyDiv w:val="1"/>
      <w:marLeft w:val="0"/>
      <w:marRight w:val="0"/>
      <w:marTop w:val="0"/>
      <w:marBottom w:val="0"/>
      <w:divBdr>
        <w:top w:val="none" w:sz="0" w:space="0" w:color="auto"/>
        <w:left w:val="none" w:sz="0" w:space="0" w:color="auto"/>
        <w:bottom w:val="none" w:sz="0" w:space="0" w:color="auto"/>
        <w:right w:val="none" w:sz="0" w:space="0" w:color="auto"/>
      </w:divBdr>
    </w:div>
    <w:div w:id="1915776989">
      <w:bodyDiv w:val="1"/>
      <w:marLeft w:val="0"/>
      <w:marRight w:val="0"/>
      <w:marTop w:val="0"/>
      <w:marBottom w:val="0"/>
      <w:divBdr>
        <w:top w:val="none" w:sz="0" w:space="0" w:color="auto"/>
        <w:left w:val="none" w:sz="0" w:space="0" w:color="auto"/>
        <w:bottom w:val="none" w:sz="0" w:space="0" w:color="auto"/>
        <w:right w:val="none" w:sz="0" w:space="0" w:color="auto"/>
      </w:divBdr>
    </w:div>
    <w:div w:id="1915816803">
      <w:bodyDiv w:val="1"/>
      <w:marLeft w:val="0"/>
      <w:marRight w:val="0"/>
      <w:marTop w:val="0"/>
      <w:marBottom w:val="0"/>
      <w:divBdr>
        <w:top w:val="none" w:sz="0" w:space="0" w:color="auto"/>
        <w:left w:val="none" w:sz="0" w:space="0" w:color="auto"/>
        <w:bottom w:val="none" w:sz="0" w:space="0" w:color="auto"/>
        <w:right w:val="none" w:sz="0" w:space="0" w:color="auto"/>
      </w:divBdr>
    </w:div>
    <w:div w:id="1916471418">
      <w:bodyDiv w:val="1"/>
      <w:marLeft w:val="0"/>
      <w:marRight w:val="0"/>
      <w:marTop w:val="0"/>
      <w:marBottom w:val="0"/>
      <w:divBdr>
        <w:top w:val="none" w:sz="0" w:space="0" w:color="auto"/>
        <w:left w:val="none" w:sz="0" w:space="0" w:color="auto"/>
        <w:bottom w:val="none" w:sz="0" w:space="0" w:color="auto"/>
        <w:right w:val="none" w:sz="0" w:space="0" w:color="auto"/>
      </w:divBdr>
    </w:div>
    <w:div w:id="1916548079">
      <w:bodyDiv w:val="1"/>
      <w:marLeft w:val="0"/>
      <w:marRight w:val="0"/>
      <w:marTop w:val="0"/>
      <w:marBottom w:val="0"/>
      <w:divBdr>
        <w:top w:val="none" w:sz="0" w:space="0" w:color="auto"/>
        <w:left w:val="none" w:sz="0" w:space="0" w:color="auto"/>
        <w:bottom w:val="none" w:sz="0" w:space="0" w:color="auto"/>
        <w:right w:val="none" w:sz="0" w:space="0" w:color="auto"/>
      </w:divBdr>
    </w:div>
    <w:div w:id="1916619905">
      <w:bodyDiv w:val="1"/>
      <w:marLeft w:val="0"/>
      <w:marRight w:val="0"/>
      <w:marTop w:val="0"/>
      <w:marBottom w:val="0"/>
      <w:divBdr>
        <w:top w:val="none" w:sz="0" w:space="0" w:color="auto"/>
        <w:left w:val="none" w:sz="0" w:space="0" w:color="auto"/>
        <w:bottom w:val="none" w:sz="0" w:space="0" w:color="auto"/>
        <w:right w:val="none" w:sz="0" w:space="0" w:color="auto"/>
      </w:divBdr>
    </w:div>
    <w:div w:id="1916821838">
      <w:bodyDiv w:val="1"/>
      <w:marLeft w:val="0"/>
      <w:marRight w:val="0"/>
      <w:marTop w:val="0"/>
      <w:marBottom w:val="0"/>
      <w:divBdr>
        <w:top w:val="none" w:sz="0" w:space="0" w:color="auto"/>
        <w:left w:val="none" w:sz="0" w:space="0" w:color="auto"/>
        <w:bottom w:val="none" w:sz="0" w:space="0" w:color="auto"/>
        <w:right w:val="none" w:sz="0" w:space="0" w:color="auto"/>
      </w:divBdr>
    </w:div>
    <w:div w:id="1917130433">
      <w:bodyDiv w:val="1"/>
      <w:marLeft w:val="0"/>
      <w:marRight w:val="0"/>
      <w:marTop w:val="0"/>
      <w:marBottom w:val="0"/>
      <w:divBdr>
        <w:top w:val="none" w:sz="0" w:space="0" w:color="auto"/>
        <w:left w:val="none" w:sz="0" w:space="0" w:color="auto"/>
        <w:bottom w:val="none" w:sz="0" w:space="0" w:color="auto"/>
        <w:right w:val="none" w:sz="0" w:space="0" w:color="auto"/>
      </w:divBdr>
    </w:div>
    <w:div w:id="1917206908">
      <w:bodyDiv w:val="1"/>
      <w:marLeft w:val="0"/>
      <w:marRight w:val="0"/>
      <w:marTop w:val="0"/>
      <w:marBottom w:val="0"/>
      <w:divBdr>
        <w:top w:val="none" w:sz="0" w:space="0" w:color="auto"/>
        <w:left w:val="none" w:sz="0" w:space="0" w:color="auto"/>
        <w:bottom w:val="none" w:sz="0" w:space="0" w:color="auto"/>
        <w:right w:val="none" w:sz="0" w:space="0" w:color="auto"/>
      </w:divBdr>
    </w:div>
    <w:div w:id="1917470646">
      <w:bodyDiv w:val="1"/>
      <w:marLeft w:val="0"/>
      <w:marRight w:val="0"/>
      <w:marTop w:val="0"/>
      <w:marBottom w:val="0"/>
      <w:divBdr>
        <w:top w:val="none" w:sz="0" w:space="0" w:color="auto"/>
        <w:left w:val="none" w:sz="0" w:space="0" w:color="auto"/>
        <w:bottom w:val="none" w:sz="0" w:space="0" w:color="auto"/>
        <w:right w:val="none" w:sz="0" w:space="0" w:color="auto"/>
      </w:divBdr>
    </w:div>
    <w:div w:id="1917591489">
      <w:bodyDiv w:val="1"/>
      <w:marLeft w:val="0"/>
      <w:marRight w:val="0"/>
      <w:marTop w:val="0"/>
      <w:marBottom w:val="0"/>
      <w:divBdr>
        <w:top w:val="none" w:sz="0" w:space="0" w:color="auto"/>
        <w:left w:val="none" w:sz="0" w:space="0" w:color="auto"/>
        <w:bottom w:val="none" w:sz="0" w:space="0" w:color="auto"/>
        <w:right w:val="none" w:sz="0" w:space="0" w:color="auto"/>
      </w:divBdr>
    </w:div>
    <w:div w:id="1917935127">
      <w:bodyDiv w:val="1"/>
      <w:marLeft w:val="0"/>
      <w:marRight w:val="0"/>
      <w:marTop w:val="0"/>
      <w:marBottom w:val="0"/>
      <w:divBdr>
        <w:top w:val="none" w:sz="0" w:space="0" w:color="auto"/>
        <w:left w:val="none" w:sz="0" w:space="0" w:color="auto"/>
        <w:bottom w:val="none" w:sz="0" w:space="0" w:color="auto"/>
        <w:right w:val="none" w:sz="0" w:space="0" w:color="auto"/>
      </w:divBdr>
    </w:div>
    <w:div w:id="1918008290">
      <w:bodyDiv w:val="1"/>
      <w:marLeft w:val="0"/>
      <w:marRight w:val="0"/>
      <w:marTop w:val="0"/>
      <w:marBottom w:val="0"/>
      <w:divBdr>
        <w:top w:val="none" w:sz="0" w:space="0" w:color="auto"/>
        <w:left w:val="none" w:sz="0" w:space="0" w:color="auto"/>
        <w:bottom w:val="none" w:sz="0" w:space="0" w:color="auto"/>
        <w:right w:val="none" w:sz="0" w:space="0" w:color="auto"/>
      </w:divBdr>
    </w:div>
    <w:div w:id="1918395392">
      <w:bodyDiv w:val="1"/>
      <w:marLeft w:val="0"/>
      <w:marRight w:val="0"/>
      <w:marTop w:val="0"/>
      <w:marBottom w:val="0"/>
      <w:divBdr>
        <w:top w:val="none" w:sz="0" w:space="0" w:color="auto"/>
        <w:left w:val="none" w:sz="0" w:space="0" w:color="auto"/>
        <w:bottom w:val="none" w:sz="0" w:space="0" w:color="auto"/>
        <w:right w:val="none" w:sz="0" w:space="0" w:color="auto"/>
      </w:divBdr>
    </w:div>
    <w:div w:id="1918585882">
      <w:bodyDiv w:val="1"/>
      <w:marLeft w:val="0"/>
      <w:marRight w:val="0"/>
      <w:marTop w:val="0"/>
      <w:marBottom w:val="0"/>
      <w:divBdr>
        <w:top w:val="none" w:sz="0" w:space="0" w:color="auto"/>
        <w:left w:val="none" w:sz="0" w:space="0" w:color="auto"/>
        <w:bottom w:val="none" w:sz="0" w:space="0" w:color="auto"/>
        <w:right w:val="none" w:sz="0" w:space="0" w:color="auto"/>
      </w:divBdr>
    </w:div>
    <w:div w:id="1919707863">
      <w:bodyDiv w:val="1"/>
      <w:marLeft w:val="0"/>
      <w:marRight w:val="0"/>
      <w:marTop w:val="0"/>
      <w:marBottom w:val="0"/>
      <w:divBdr>
        <w:top w:val="none" w:sz="0" w:space="0" w:color="auto"/>
        <w:left w:val="none" w:sz="0" w:space="0" w:color="auto"/>
        <w:bottom w:val="none" w:sz="0" w:space="0" w:color="auto"/>
        <w:right w:val="none" w:sz="0" w:space="0" w:color="auto"/>
      </w:divBdr>
    </w:div>
    <w:div w:id="1920098712">
      <w:bodyDiv w:val="1"/>
      <w:marLeft w:val="0"/>
      <w:marRight w:val="0"/>
      <w:marTop w:val="0"/>
      <w:marBottom w:val="0"/>
      <w:divBdr>
        <w:top w:val="none" w:sz="0" w:space="0" w:color="auto"/>
        <w:left w:val="none" w:sz="0" w:space="0" w:color="auto"/>
        <w:bottom w:val="none" w:sz="0" w:space="0" w:color="auto"/>
        <w:right w:val="none" w:sz="0" w:space="0" w:color="auto"/>
      </w:divBdr>
    </w:div>
    <w:div w:id="1921015862">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1063177">
      <w:bodyDiv w:val="1"/>
      <w:marLeft w:val="0"/>
      <w:marRight w:val="0"/>
      <w:marTop w:val="0"/>
      <w:marBottom w:val="0"/>
      <w:divBdr>
        <w:top w:val="none" w:sz="0" w:space="0" w:color="auto"/>
        <w:left w:val="none" w:sz="0" w:space="0" w:color="auto"/>
        <w:bottom w:val="none" w:sz="0" w:space="0" w:color="auto"/>
        <w:right w:val="none" w:sz="0" w:space="0" w:color="auto"/>
      </w:divBdr>
    </w:div>
    <w:div w:id="1921283032">
      <w:bodyDiv w:val="1"/>
      <w:marLeft w:val="0"/>
      <w:marRight w:val="0"/>
      <w:marTop w:val="0"/>
      <w:marBottom w:val="0"/>
      <w:divBdr>
        <w:top w:val="none" w:sz="0" w:space="0" w:color="auto"/>
        <w:left w:val="none" w:sz="0" w:space="0" w:color="auto"/>
        <w:bottom w:val="none" w:sz="0" w:space="0" w:color="auto"/>
        <w:right w:val="none" w:sz="0" w:space="0" w:color="auto"/>
      </w:divBdr>
    </w:div>
    <w:div w:id="1921478760">
      <w:bodyDiv w:val="1"/>
      <w:marLeft w:val="0"/>
      <w:marRight w:val="0"/>
      <w:marTop w:val="0"/>
      <w:marBottom w:val="0"/>
      <w:divBdr>
        <w:top w:val="none" w:sz="0" w:space="0" w:color="auto"/>
        <w:left w:val="none" w:sz="0" w:space="0" w:color="auto"/>
        <w:bottom w:val="none" w:sz="0" w:space="0" w:color="auto"/>
        <w:right w:val="none" w:sz="0" w:space="0" w:color="auto"/>
      </w:divBdr>
    </w:div>
    <w:div w:id="1921597374">
      <w:bodyDiv w:val="1"/>
      <w:marLeft w:val="0"/>
      <w:marRight w:val="0"/>
      <w:marTop w:val="0"/>
      <w:marBottom w:val="0"/>
      <w:divBdr>
        <w:top w:val="none" w:sz="0" w:space="0" w:color="auto"/>
        <w:left w:val="none" w:sz="0" w:space="0" w:color="auto"/>
        <w:bottom w:val="none" w:sz="0" w:space="0" w:color="auto"/>
        <w:right w:val="none" w:sz="0" w:space="0" w:color="auto"/>
      </w:divBdr>
    </w:div>
    <w:div w:id="1922060727">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2445421">
      <w:bodyDiv w:val="1"/>
      <w:marLeft w:val="0"/>
      <w:marRight w:val="0"/>
      <w:marTop w:val="0"/>
      <w:marBottom w:val="0"/>
      <w:divBdr>
        <w:top w:val="none" w:sz="0" w:space="0" w:color="auto"/>
        <w:left w:val="none" w:sz="0" w:space="0" w:color="auto"/>
        <w:bottom w:val="none" w:sz="0" w:space="0" w:color="auto"/>
        <w:right w:val="none" w:sz="0" w:space="0" w:color="auto"/>
      </w:divBdr>
    </w:div>
    <w:div w:id="1922449255">
      <w:bodyDiv w:val="1"/>
      <w:marLeft w:val="0"/>
      <w:marRight w:val="0"/>
      <w:marTop w:val="0"/>
      <w:marBottom w:val="0"/>
      <w:divBdr>
        <w:top w:val="none" w:sz="0" w:space="0" w:color="auto"/>
        <w:left w:val="none" w:sz="0" w:space="0" w:color="auto"/>
        <w:bottom w:val="none" w:sz="0" w:space="0" w:color="auto"/>
        <w:right w:val="none" w:sz="0" w:space="0" w:color="auto"/>
      </w:divBdr>
    </w:div>
    <w:div w:id="1922564988">
      <w:bodyDiv w:val="1"/>
      <w:marLeft w:val="0"/>
      <w:marRight w:val="0"/>
      <w:marTop w:val="0"/>
      <w:marBottom w:val="0"/>
      <w:divBdr>
        <w:top w:val="none" w:sz="0" w:space="0" w:color="auto"/>
        <w:left w:val="none" w:sz="0" w:space="0" w:color="auto"/>
        <w:bottom w:val="none" w:sz="0" w:space="0" w:color="auto"/>
        <w:right w:val="none" w:sz="0" w:space="0" w:color="auto"/>
      </w:divBdr>
    </w:div>
    <w:div w:id="1922594656">
      <w:bodyDiv w:val="1"/>
      <w:marLeft w:val="0"/>
      <w:marRight w:val="0"/>
      <w:marTop w:val="0"/>
      <w:marBottom w:val="0"/>
      <w:divBdr>
        <w:top w:val="none" w:sz="0" w:space="0" w:color="auto"/>
        <w:left w:val="none" w:sz="0" w:space="0" w:color="auto"/>
        <w:bottom w:val="none" w:sz="0" w:space="0" w:color="auto"/>
        <w:right w:val="none" w:sz="0" w:space="0" w:color="auto"/>
      </w:divBdr>
    </w:div>
    <w:div w:id="1922786535">
      <w:bodyDiv w:val="1"/>
      <w:marLeft w:val="0"/>
      <w:marRight w:val="0"/>
      <w:marTop w:val="0"/>
      <w:marBottom w:val="0"/>
      <w:divBdr>
        <w:top w:val="none" w:sz="0" w:space="0" w:color="auto"/>
        <w:left w:val="none" w:sz="0" w:space="0" w:color="auto"/>
        <w:bottom w:val="none" w:sz="0" w:space="0" w:color="auto"/>
        <w:right w:val="none" w:sz="0" w:space="0" w:color="auto"/>
      </w:divBdr>
    </w:div>
    <w:div w:id="1922834276">
      <w:bodyDiv w:val="1"/>
      <w:marLeft w:val="0"/>
      <w:marRight w:val="0"/>
      <w:marTop w:val="0"/>
      <w:marBottom w:val="0"/>
      <w:divBdr>
        <w:top w:val="none" w:sz="0" w:space="0" w:color="auto"/>
        <w:left w:val="none" w:sz="0" w:space="0" w:color="auto"/>
        <w:bottom w:val="none" w:sz="0" w:space="0" w:color="auto"/>
        <w:right w:val="none" w:sz="0" w:space="0" w:color="auto"/>
      </w:divBdr>
    </w:div>
    <w:div w:id="1923101793">
      <w:bodyDiv w:val="1"/>
      <w:marLeft w:val="0"/>
      <w:marRight w:val="0"/>
      <w:marTop w:val="0"/>
      <w:marBottom w:val="0"/>
      <w:divBdr>
        <w:top w:val="none" w:sz="0" w:space="0" w:color="auto"/>
        <w:left w:val="none" w:sz="0" w:space="0" w:color="auto"/>
        <w:bottom w:val="none" w:sz="0" w:space="0" w:color="auto"/>
        <w:right w:val="none" w:sz="0" w:space="0" w:color="auto"/>
      </w:divBdr>
    </w:div>
    <w:div w:id="1923104164">
      <w:bodyDiv w:val="1"/>
      <w:marLeft w:val="0"/>
      <w:marRight w:val="0"/>
      <w:marTop w:val="0"/>
      <w:marBottom w:val="0"/>
      <w:divBdr>
        <w:top w:val="none" w:sz="0" w:space="0" w:color="auto"/>
        <w:left w:val="none" w:sz="0" w:space="0" w:color="auto"/>
        <w:bottom w:val="none" w:sz="0" w:space="0" w:color="auto"/>
        <w:right w:val="none" w:sz="0" w:space="0" w:color="auto"/>
      </w:divBdr>
    </w:div>
    <w:div w:id="192322160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3757676">
      <w:bodyDiv w:val="1"/>
      <w:marLeft w:val="0"/>
      <w:marRight w:val="0"/>
      <w:marTop w:val="0"/>
      <w:marBottom w:val="0"/>
      <w:divBdr>
        <w:top w:val="none" w:sz="0" w:space="0" w:color="auto"/>
        <w:left w:val="none" w:sz="0" w:space="0" w:color="auto"/>
        <w:bottom w:val="none" w:sz="0" w:space="0" w:color="auto"/>
        <w:right w:val="none" w:sz="0" w:space="0" w:color="auto"/>
      </w:divBdr>
    </w:div>
    <w:div w:id="1924219775">
      <w:bodyDiv w:val="1"/>
      <w:marLeft w:val="0"/>
      <w:marRight w:val="0"/>
      <w:marTop w:val="0"/>
      <w:marBottom w:val="0"/>
      <w:divBdr>
        <w:top w:val="none" w:sz="0" w:space="0" w:color="auto"/>
        <w:left w:val="none" w:sz="0" w:space="0" w:color="auto"/>
        <w:bottom w:val="none" w:sz="0" w:space="0" w:color="auto"/>
        <w:right w:val="none" w:sz="0" w:space="0" w:color="auto"/>
      </w:divBdr>
    </w:div>
    <w:div w:id="1925263559">
      <w:bodyDiv w:val="1"/>
      <w:marLeft w:val="0"/>
      <w:marRight w:val="0"/>
      <w:marTop w:val="0"/>
      <w:marBottom w:val="0"/>
      <w:divBdr>
        <w:top w:val="none" w:sz="0" w:space="0" w:color="auto"/>
        <w:left w:val="none" w:sz="0" w:space="0" w:color="auto"/>
        <w:bottom w:val="none" w:sz="0" w:space="0" w:color="auto"/>
        <w:right w:val="none" w:sz="0" w:space="0" w:color="auto"/>
      </w:divBdr>
    </w:div>
    <w:div w:id="1925335770">
      <w:bodyDiv w:val="1"/>
      <w:marLeft w:val="0"/>
      <w:marRight w:val="0"/>
      <w:marTop w:val="0"/>
      <w:marBottom w:val="0"/>
      <w:divBdr>
        <w:top w:val="none" w:sz="0" w:space="0" w:color="auto"/>
        <w:left w:val="none" w:sz="0" w:space="0" w:color="auto"/>
        <w:bottom w:val="none" w:sz="0" w:space="0" w:color="auto"/>
        <w:right w:val="none" w:sz="0" w:space="0" w:color="auto"/>
      </w:divBdr>
    </w:div>
    <w:div w:id="1925336798">
      <w:bodyDiv w:val="1"/>
      <w:marLeft w:val="0"/>
      <w:marRight w:val="0"/>
      <w:marTop w:val="0"/>
      <w:marBottom w:val="0"/>
      <w:divBdr>
        <w:top w:val="none" w:sz="0" w:space="0" w:color="auto"/>
        <w:left w:val="none" w:sz="0" w:space="0" w:color="auto"/>
        <w:bottom w:val="none" w:sz="0" w:space="0" w:color="auto"/>
        <w:right w:val="none" w:sz="0" w:space="0" w:color="auto"/>
      </w:divBdr>
    </w:div>
    <w:div w:id="1925988096">
      <w:bodyDiv w:val="1"/>
      <w:marLeft w:val="0"/>
      <w:marRight w:val="0"/>
      <w:marTop w:val="0"/>
      <w:marBottom w:val="0"/>
      <w:divBdr>
        <w:top w:val="none" w:sz="0" w:space="0" w:color="auto"/>
        <w:left w:val="none" w:sz="0" w:space="0" w:color="auto"/>
        <w:bottom w:val="none" w:sz="0" w:space="0" w:color="auto"/>
        <w:right w:val="none" w:sz="0" w:space="0" w:color="auto"/>
      </w:divBdr>
    </w:div>
    <w:div w:id="1926186855">
      <w:bodyDiv w:val="1"/>
      <w:marLeft w:val="0"/>
      <w:marRight w:val="0"/>
      <w:marTop w:val="0"/>
      <w:marBottom w:val="0"/>
      <w:divBdr>
        <w:top w:val="none" w:sz="0" w:space="0" w:color="auto"/>
        <w:left w:val="none" w:sz="0" w:space="0" w:color="auto"/>
        <w:bottom w:val="none" w:sz="0" w:space="0" w:color="auto"/>
        <w:right w:val="none" w:sz="0" w:space="0" w:color="auto"/>
      </w:divBdr>
    </w:div>
    <w:div w:id="1926261113">
      <w:bodyDiv w:val="1"/>
      <w:marLeft w:val="0"/>
      <w:marRight w:val="0"/>
      <w:marTop w:val="0"/>
      <w:marBottom w:val="0"/>
      <w:divBdr>
        <w:top w:val="none" w:sz="0" w:space="0" w:color="auto"/>
        <w:left w:val="none" w:sz="0" w:space="0" w:color="auto"/>
        <w:bottom w:val="none" w:sz="0" w:space="0" w:color="auto"/>
        <w:right w:val="none" w:sz="0" w:space="0" w:color="auto"/>
      </w:divBdr>
    </w:div>
    <w:div w:id="1926571347">
      <w:bodyDiv w:val="1"/>
      <w:marLeft w:val="0"/>
      <w:marRight w:val="0"/>
      <w:marTop w:val="0"/>
      <w:marBottom w:val="0"/>
      <w:divBdr>
        <w:top w:val="none" w:sz="0" w:space="0" w:color="auto"/>
        <w:left w:val="none" w:sz="0" w:space="0" w:color="auto"/>
        <w:bottom w:val="none" w:sz="0" w:space="0" w:color="auto"/>
        <w:right w:val="none" w:sz="0" w:space="0" w:color="auto"/>
      </w:divBdr>
    </w:div>
    <w:div w:id="1926912737">
      <w:bodyDiv w:val="1"/>
      <w:marLeft w:val="0"/>
      <w:marRight w:val="0"/>
      <w:marTop w:val="0"/>
      <w:marBottom w:val="0"/>
      <w:divBdr>
        <w:top w:val="none" w:sz="0" w:space="0" w:color="auto"/>
        <w:left w:val="none" w:sz="0" w:space="0" w:color="auto"/>
        <w:bottom w:val="none" w:sz="0" w:space="0" w:color="auto"/>
        <w:right w:val="none" w:sz="0" w:space="0" w:color="auto"/>
      </w:divBdr>
    </w:div>
    <w:div w:id="1927029050">
      <w:bodyDiv w:val="1"/>
      <w:marLeft w:val="0"/>
      <w:marRight w:val="0"/>
      <w:marTop w:val="0"/>
      <w:marBottom w:val="0"/>
      <w:divBdr>
        <w:top w:val="none" w:sz="0" w:space="0" w:color="auto"/>
        <w:left w:val="none" w:sz="0" w:space="0" w:color="auto"/>
        <w:bottom w:val="none" w:sz="0" w:space="0" w:color="auto"/>
        <w:right w:val="none" w:sz="0" w:space="0" w:color="auto"/>
      </w:divBdr>
    </w:div>
    <w:div w:id="1927110981">
      <w:bodyDiv w:val="1"/>
      <w:marLeft w:val="0"/>
      <w:marRight w:val="0"/>
      <w:marTop w:val="0"/>
      <w:marBottom w:val="0"/>
      <w:divBdr>
        <w:top w:val="none" w:sz="0" w:space="0" w:color="auto"/>
        <w:left w:val="none" w:sz="0" w:space="0" w:color="auto"/>
        <w:bottom w:val="none" w:sz="0" w:space="0" w:color="auto"/>
        <w:right w:val="none" w:sz="0" w:space="0" w:color="auto"/>
      </w:divBdr>
    </w:div>
    <w:div w:id="1927155788">
      <w:bodyDiv w:val="1"/>
      <w:marLeft w:val="0"/>
      <w:marRight w:val="0"/>
      <w:marTop w:val="0"/>
      <w:marBottom w:val="0"/>
      <w:divBdr>
        <w:top w:val="none" w:sz="0" w:space="0" w:color="auto"/>
        <w:left w:val="none" w:sz="0" w:space="0" w:color="auto"/>
        <w:bottom w:val="none" w:sz="0" w:space="0" w:color="auto"/>
        <w:right w:val="none" w:sz="0" w:space="0" w:color="auto"/>
      </w:divBdr>
    </w:div>
    <w:div w:id="1927373611">
      <w:bodyDiv w:val="1"/>
      <w:marLeft w:val="0"/>
      <w:marRight w:val="0"/>
      <w:marTop w:val="0"/>
      <w:marBottom w:val="0"/>
      <w:divBdr>
        <w:top w:val="none" w:sz="0" w:space="0" w:color="auto"/>
        <w:left w:val="none" w:sz="0" w:space="0" w:color="auto"/>
        <w:bottom w:val="none" w:sz="0" w:space="0" w:color="auto"/>
        <w:right w:val="none" w:sz="0" w:space="0" w:color="auto"/>
      </w:divBdr>
    </w:div>
    <w:div w:id="1927574907">
      <w:bodyDiv w:val="1"/>
      <w:marLeft w:val="0"/>
      <w:marRight w:val="0"/>
      <w:marTop w:val="0"/>
      <w:marBottom w:val="0"/>
      <w:divBdr>
        <w:top w:val="none" w:sz="0" w:space="0" w:color="auto"/>
        <w:left w:val="none" w:sz="0" w:space="0" w:color="auto"/>
        <w:bottom w:val="none" w:sz="0" w:space="0" w:color="auto"/>
        <w:right w:val="none" w:sz="0" w:space="0" w:color="auto"/>
      </w:divBdr>
    </w:div>
    <w:div w:id="1927768959">
      <w:bodyDiv w:val="1"/>
      <w:marLeft w:val="0"/>
      <w:marRight w:val="0"/>
      <w:marTop w:val="0"/>
      <w:marBottom w:val="0"/>
      <w:divBdr>
        <w:top w:val="none" w:sz="0" w:space="0" w:color="auto"/>
        <w:left w:val="none" w:sz="0" w:space="0" w:color="auto"/>
        <w:bottom w:val="none" w:sz="0" w:space="0" w:color="auto"/>
        <w:right w:val="none" w:sz="0" w:space="0" w:color="auto"/>
      </w:divBdr>
    </w:div>
    <w:div w:id="1928227647">
      <w:bodyDiv w:val="1"/>
      <w:marLeft w:val="0"/>
      <w:marRight w:val="0"/>
      <w:marTop w:val="0"/>
      <w:marBottom w:val="0"/>
      <w:divBdr>
        <w:top w:val="none" w:sz="0" w:space="0" w:color="auto"/>
        <w:left w:val="none" w:sz="0" w:space="0" w:color="auto"/>
        <w:bottom w:val="none" w:sz="0" w:space="0" w:color="auto"/>
        <w:right w:val="none" w:sz="0" w:space="0" w:color="auto"/>
      </w:divBdr>
    </w:div>
    <w:div w:id="1928341147">
      <w:bodyDiv w:val="1"/>
      <w:marLeft w:val="0"/>
      <w:marRight w:val="0"/>
      <w:marTop w:val="0"/>
      <w:marBottom w:val="0"/>
      <w:divBdr>
        <w:top w:val="none" w:sz="0" w:space="0" w:color="auto"/>
        <w:left w:val="none" w:sz="0" w:space="0" w:color="auto"/>
        <w:bottom w:val="none" w:sz="0" w:space="0" w:color="auto"/>
        <w:right w:val="none" w:sz="0" w:space="0" w:color="auto"/>
      </w:divBdr>
    </w:div>
    <w:div w:id="1928532800">
      <w:bodyDiv w:val="1"/>
      <w:marLeft w:val="0"/>
      <w:marRight w:val="0"/>
      <w:marTop w:val="0"/>
      <w:marBottom w:val="0"/>
      <w:divBdr>
        <w:top w:val="none" w:sz="0" w:space="0" w:color="auto"/>
        <w:left w:val="none" w:sz="0" w:space="0" w:color="auto"/>
        <w:bottom w:val="none" w:sz="0" w:space="0" w:color="auto"/>
        <w:right w:val="none" w:sz="0" w:space="0" w:color="auto"/>
      </w:divBdr>
    </w:div>
    <w:div w:id="1928534190">
      <w:bodyDiv w:val="1"/>
      <w:marLeft w:val="0"/>
      <w:marRight w:val="0"/>
      <w:marTop w:val="0"/>
      <w:marBottom w:val="0"/>
      <w:divBdr>
        <w:top w:val="none" w:sz="0" w:space="0" w:color="auto"/>
        <w:left w:val="none" w:sz="0" w:space="0" w:color="auto"/>
        <w:bottom w:val="none" w:sz="0" w:space="0" w:color="auto"/>
        <w:right w:val="none" w:sz="0" w:space="0" w:color="auto"/>
      </w:divBdr>
    </w:div>
    <w:div w:id="1928616688">
      <w:bodyDiv w:val="1"/>
      <w:marLeft w:val="0"/>
      <w:marRight w:val="0"/>
      <w:marTop w:val="0"/>
      <w:marBottom w:val="0"/>
      <w:divBdr>
        <w:top w:val="none" w:sz="0" w:space="0" w:color="auto"/>
        <w:left w:val="none" w:sz="0" w:space="0" w:color="auto"/>
        <w:bottom w:val="none" w:sz="0" w:space="0" w:color="auto"/>
        <w:right w:val="none" w:sz="0" w:space="0" w:color="auto"/>
      </w:divBdr>
    </w:div>
    <w:div w:id="1928685775">
      <w:bodyDiv w:val="1"/>
      <w:marLeft w:val="0"/>
      <w:marRight w:val="0"/>
      <w:marTop w:val="0"/>
      <w:marBottom w:val="0"/>
      <w:divBdr>
        <w:top w:val="none" w:sz="0" w:space="0" w:color="auto"/>
        <w:left w:val="none" w:sz="0" w:space="0" w:color="auto"/>
        <w:bottom w:val="none" w:sz="0" w:space="0" w:color="auto"/>
        <w:right w:val="none" w:sz="0" w:space="0" w:color="auto"/>
      </w:divBdr>
    </w:div>
    <w:div w:id="1928998863">
      <w:bodyDiv w:val="1"/>
      <w:marLeft w:val="0"/>
      <w:marRight w:val="0"/>
      <w:marTop w:val="0"/>
      <w:marBottom w:val="0"/>
      <w:divBdr>
        <w:top w:val="none" w:sz="0" w:space="0" w:color="auto"/>
        <w:left w:val="none" w:sz="0" w:space="0" w:color="auto"/>
        <w:bottom w:val="none" w:sz="0" w:space="0" w:color="auto"/>
        <w:right w:val="none" w:sz="0" w:space="0" w:color="auto"/>
      </w:divBdr>
    </w:div>
    <w:div w:id="1929608175">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0231924">
      <w:bodyDiv w:val="1"/>
      <w:marLeft w:val="0"/>
      <w:marRight w:val="0"/>
      <w:marTop w:val="0"/>
      <w:marBottom w:val="0"/>
      <w:divBdr>
        <w:top w:val="none" w:sz="0" w:space="0" w:color="auto"/>
        <w:left w:val="none" w:sz="0" w:space="0" w:color="auto"/>
        <w:bottom w:val="none" w:sz="0" w:space="0" w:color="auto"/>
        <w:right w:val="none" w:sz="0" w:space="0" w:color="auto"/>
      </w:divBdr>
    </w:div>
    <w:div w:id="1930236235">
      <w:bodyDiv w:val="1"/>
      <w:marLeft w:val="0"/>
      <w:marRight w:val="0"/>
      <w:marTop w:val="0"/>
      <w:marBottom w:val="0"/>
      <w:divBdr>
        <w:top w:val="none" w:sz="0" w:space="0" w:color="auto"/>
        <w:left w:val="none" w:sz="0" w:space="0" w:color="auto"/>
        <w:bottom w:val="none" w:sz="0" w:space="0" w:color="auto"/>
        <w:right w:val="none" w:sz="0" w:space="0" w:color="auto"/>
      </w:divBdr>
    </w:div>
    <w:div w:id="1931307397">
      <w:bodyDiv w:val="1"/>
      <w:marLeft w:val="0"/>
      <w:marRight w:val="0"/>
      <w:marTop w:val="0"/>
      <w:marBottom w:val="0"/>
      <w:divBdr>
        <w:top w:val="none" w:sz="0" w:space="0" w:color="auto"/>
        <w:left w:val="none" w:sz="0" w:space="0" w:color="auto"/>
        <w:bottom w:val="none" w:sz="0" w:space="0" w:color="auto"/>
        <w:right w:val="none" w:sz="0" w:space="0" w:color="auto"/>
      </w:divBdr>
    </w:div>
    <w:div w:id="1931425386">
      <w:bodyDiv w:val="1"/>
      <w:marLeft w:val="0"/>
      <w:marRight w:val="0"/>
      <w:marTop w:val="0"/>
      <w:marBottom w:val="0"/>
      <w:divBdr>
        <w:top w:val="none" w:sz="0" w:space="0" w:color="auto"/>
        <w:left w:val="none" w:sz="0" w:space="0" w:color="auto"/>
        <w:bottom w:val="none" w:sz="0" w:space="0" w:color="auto"/>
        <w:right w:val="none" w:sz="0" w:space="0" w:color="auto"/>
      </w:divBdr>
    </w:div>
    <w:div w:id="1931425751">
      <w:bodyDiv w:val="1"/>
      <w:marLeft w:val="0"/>
      <w:marRight w:val="0"/>
      <w:marTop w:val="0"/>
      <w:marBottom w:val="0"/>
      <w:divBdr>
        <w:top w:val="none" w:sz="0" w:space="0" w:color="auto"/>
        <w:left w:val="none" w:sz="0" w:space="0" w:color="auto"/>
        <w:bottom w:val="none" w:sz="0" w:space="0" w:color="auto"/>
        <w:right w:val="none" w:sz="0" w:space="0" w:color="auto"/>
      </w:divBdr>
    </w:div>
    <w:div w:id="1932159908">
      <w:bodyDiv w:val="1"/>
      <w:marLeft w:val="0"/>
      <w:marRight w:val="0"/>
      <w:marTop w:val="0"/>
      <w:marBottom w:val="0"/>
      <w:divBdr>
        <w:top w:val="none" w:sz="0" w:space="0" w:color="auto"/>
        <w:left w:val="none" w:sz="0" w:space="0" w:color="auto"/>
        <w:bottom w:val="none" w:sz="0" w:space="0" w:color="auto"/>
        <w:right w:val="none" w:sz="0" w:space="0" w:color="auto"/>
      </w:divBdr>
    </w:div>
    <w:div w:id="1932351473">
      <w:bodyDiv w:val="1"/>
      <w:marLeft w:val="0"/>
      <w:marRight w:val="0"/>
      <w:marTop w:val="0"/>
      <w:marBottom w:val="0"/>
      <w:divBdr>
        <w:top w:val="none" w:sz="0" w:space="0" w:color="auto"/>
        <w:left w:val="none" w:sz="0" w:space="0" w:color="auto"/>
        <w:bottom w:val="none" w:sz="0" w:space="0" w:color="auto"/>
        <w:right w:val="none" w:sz="0" w:space="0" w:color="auto"/>
      </w:divBdr>
    </w:div>
    <w:div w:id="1932734424">
      <w:bodyDiv w:val="1"/>
      <w:marLeft w:val="0"/>
      <w:marRight w:val="0"/>
      <w:marTop w:val="0"/>
      <w:marBottom w:val="0"/>
      <w:divBdr>
        <w:top w:val="none" w:sz="0" w:space="0" w:color="auto"/>
        <w:left w:val="none" w:sz="0" w:space="0" w:color="auto"/>
        <w:bottom w:val="none" w:sz="0" w:space="0" w:color="auto"/>
        <w:right w:val="none" w:sz="0" w:space="0" w:color="auto"/>
      </w:divBdr>
    </w:div>
    <w:div w:id="1932859572">
      <w:bodyDiv w:val="1"/>
      <w:marLeft w:val="0"/>
      <w:marRight w:val="0"/>
      <w:marTop w:val="0"/>
      <w:marBottom w:val="0"/>
      <w:divBdr>
        <w:top w:val="none" w:sz="0" w:space="0" w:color="auto"/>
        <w:left w:val="none" w:sz="0" w:space="0" w:color="auto"/>
        <w:bottom w:val="none" w:sz="0" w:space="0" w:color="auto"/>
        <w:right w:val="none" w:sz="0" w:space="0" w:color="auto"/>
      </w:divBdr>
    </w:div>
    <w:div w:id="1933194888">
      <w:bodyDiv w:val="1"/>
      <w:marLeft w:val="0"/>
      <w:marRight w:val="0"/>
      <w:marTop w:val="0"/>
      <w:marBottom w:val="0"/>
      <w:divBdr>
        <w:top w:val="none" w:sz="0" w:space="0" w:color="auto"/>
        <w:left w:val="none" w:sz="0" w:space="0" w:color="auto"/>
        <w:bottom w:val="none" w:sz="0" w:space="0" w:color="auto"/>
        <w:right w:val="none" w:sz="0" w:space="0" w:color="auto"/>
      </w:divBdr>
    </w:div>
    <w:div w:id="1933199461">
      <w:bodyDiv w:val="1"/>
      <w:marLeft w:val="0"/>
      <w:marRight w:val="0"/>
      <w:marTop w:val="0"/>
      <w:marBottom w:val="0"/>
      <w:divBdr>
        <w:top w:val="none" w:sz="0" w:space="0" w:color="auto"/>
        <w:left w:val="none" w:sz="0" w:space="0" w:color="auto"/>
        <w:bottom w:val="none" w:sz="0" w:space="0" w:color="auto"/>
        <w:right w:val="none" w:sz="0" w:space="0" w:color="auto"/>
      </w:divBdr>
    </w:div>
    <w:div w:id="1933322082">
      <w:bodyDiv w:val="1"/>
      <w:marLeft w:val="0"/>
      <w:marRight w:val="0"/>
      <w:marTop w:val="0"/>
      <w:marBottom w:val="0"/>
      <w:divBdr>
        <w:top w:val="none" w:sz="0" w:space="0" w:color="auto"/>
        <w:left w:val="none" w:sz="0" w:space="0" w:color="auto"/>
        <w:bottom w:val="none" w:sz="0" w:space="0" w:color="auto"/>
        <w:right w:val="none" w:sz="0" w:space="0" w:color="auto"/>
      </w:divBdr>
    </w:div>
    <w:div w:id="1933706865">
      <w:bodyDiv w:val="1"/>
      <w:marLeft w:val="0"/>
      <w:marRight w:val="0"/>
      <w:marTop w:val="0"/>
      <w:marBottom w:val="0"/>
      <w:divBdr>
        <w:top w:val="none" w:sz="0" w:space="0" w:color="auto"/>
        <w:left w:val="none" w:sz="0" w:space="0" w:color="auto"/>
        <w:bottom w:val="none" w:sz="0" w:space="0" w:color="auto"/>
        <w:right w:val="none" w:sz="0" w:space="0" w:color="auto"/>
      </w:divBdr>
    </w:div>
    <w:div w:id="1933732900">
      <w:bodyDiv w:val="1"/>
      <w:marLeft w:val="0"/>
      <w:marRight w:val="0"/>
      <w:marTop w:val="0"/>
      <w:marBottom w:val="0"/>
      <w:divBdr>
        <w:top w:val="none" w:sz="0" w:space="0" w:color="auto"/>
        <w:left w:val="none" w:sz="0" w:space="0" w:color="auto"/>
        <w:bottom w:val="none" w:sz="0" w:space="0" w:color="auto"/>
        <w:right w:val="none" w:sz="0" w:space="0" w:color="auto"/>
      </w:divBdr>
    </w:div>
    <w:div w:id="1933859691">
      <w:bodyDiv w:val="1"/>
      <w:marLeft w:val="0"/>
      <w:marRight w:val="0"/>
      <w:marTop w:val="0"/>
      <w:marBottom w:val="0"/>
      <w:divBdr>
        <w:top w:val="none" w:sz="0" w:space="0" w:color="auto"/>
        <w:left w:val="none" w:sz="0" w:space="0" w:color="auto"/>
        <w:bottom w:val="none" w:sz="0" w:space="0" w:color="auto"/>
        <w:right w:val="none" w:sz="0" w:space="0" w:color="auto"/>
      </w:divBdr>
    </w:div>
    <w:div w:id="1934127193">
      <w:bodyDiv w:val="1"/>
      <w:marLeft w:val="0"/>
      <w:marRight w:val="0"/>
      <w:marTop w:val="0"/>
      <w:marBottom w:val="0"/>
      <w:divBdr>
        <w:top w:val="none" w:sz="0" w:space="0" w:color="auto"/>
        <w:left w:val="none" w:sz="0" w:space="0" w:color="auto"/>
        <w:bottom w:val="none" w:sz="0" w:space="0" w:color="auto"/>
        <w:right w:val="none" w:sz="0" w:space="0" w:color="auto"/>
      </w:divBdr>
    </w:div>
    <w:div w:id="1934239409">
      <w:bodyDiv w:val="1"/>
      <w:marLeft w:val="0"/>
      <w:marRight w:val="0"/>
      <w:marTop w:val="0"/>
      <w:marBottom w:val="0"/>
      <w:divBdr>
        <w:top w:val="none" w:sz="0" w:space="0" w:color="auto"/>
        <w:left w:val="none" w:sz="0" w:space="0" w:color="auto"/>
        <w:bottom w:val="none" w:sz="0" w:space="0" w:color="auto"/>
        <w:right w:val="none" w:sz="0" w:space="0" w:color="auto"/>
      </w:divBdr>
    </w:div>
    <w:div w:id="1934389064">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4849549">
      <w:bodyDiv w:val="1"/>
      <w:marLeft w:val="0"/>
      <w:marRight w:val="0"/>
      <w:marTop w:val="0"/>
      <w:marBottom w:val="0"/>
      <w:divBdr>
        <w:top w:val="none" w:sz="0" w:space="0" w:color="auto"/>
        <w:left w:val="none" w:sz="0" w:space="0" w:color="auto"/>
        <w:bottom w:val="none" w:sz="0" w:space="0" w:color="auto"/>
        <w:right w:val="none" w:sz="0" w:space="0" w:color="auto"/>
      </w:divBdr>
    </w:div>
    <w:div w:id="1935016038">
      <w:bodyDiv w:val="1"/>
      <w:marLeft w:val="0"/>
      <w:marRight w:val="0"/>
      <w:marTop w:val="0"/>
      <w:marBottom w:val="0"/>
      <w:divBdr>
        <w:top w:val="none" w:sz="0" w:space="0" w:color="auto"/>
        <w:left w:val="none" w:sz="0" w:space="0" w:color="auto"/>
        <w:bottom w:val="none" w:sz="0" w:space="0" w:color="auto"/>
        <w:right w:val="none" w:sz="0" w:space="0" w:color="auto"/>
      </w:divBdr>
    </w:div>
    <w:div w:id="1935431765">
      <w:bodyDiv w:val="1"/>
      <w:marLeft w:val="0"/>
      <w:marRight w:val="0"/>
      <w:marTop w:val="0"/>
      <w:marBottom w:val="0"/>
      <w:divBdr>
        <w:top w:val="none" w:sz="0" w:space="0" w:color="auto"/>
        <w:left w:val="none" w:sz="0" w:space="0" w:color="auto"/>
        <w:bottom w:val="none" w:sz="0" w:space="0" w:color="auto"/>
        <w:right w:val="none" w:sz="0" w:space="0" w:color="auto"/>
      </w:divBdr>
    </w:div>
    <w:div w:id="1935624693">
      <w:bodyDiv w:val="1"/>
      <w:marLeft w:val="0"/>
      <w:marRight w:val="0"/>
      <w:marTop w:val="0"/>
      <w:marBottom w:val="0"/>
      <w:divBdr>
        <w:top w:val="none" w:sz="0" w:space="0" w:color="auto"/>
        <w:left w:val="none" w:sz="0" w:space="0" w:color="auto"/>
        <w:bottom w:val="none" w:sz="0" w:space="0" w:color="auto"/>
        <w:right w:val="none" w:sz="0" w:space="0" w:color="auto"/>
      </w:divBdr>
    </w:div>
    <w:div w:id="1935820983">
      <w:bodyDiv w:val="1"/>
      <w:marLeft w:val="0"/>
      <w:marRight w:val="0"/>
      <w:marTop w:val="0"/>
      <w:marBottom w:val="0"/>
      <w:divBdr>
        <w:top w:val="none" w:sz="0" w:space="0" w:color="auto"/>
        <w:left w:val="none" w:sz="0" w:space="0" w:color="auto"/>
        <w:bottom w:val="none" w:sz="0" w:space="0" w:color="auto"/>
        <w:right w:val="none" w:sz="0" w:space="0" w:color="auto"/>
      </w:divBdr>
    </w:div>
    <w:div w:id="1936084641">
      <w:bodyDiv w:val="1"/>
      <w:marLeft w:val="0"/>
      <w:marRight w:val="0"/>
      <w:marTop w:val="0"/>
      <w:marBottom w:val="0"/>
      <w:divBdr>
        <w:top w:val="none" w:sz="0" w:space="0" w:color="auto"/>
        <w:left w:val="none" w:sz="0" w:space="0" w:color="auto"/>
        <w:bottom w:val="none" w:sz="0" w:space="0" w:color="auto"/>
        <w:right w:val="none" w:sz="0" w:space="0" w:color="auto"/>
      </w:divBdr>
    </w:div>
    <w:div w:id="1936471616">
      <w:bodyDiv w:val="1"/>
      <w:marLeft w:val="0"/>
      <w:marRight w:val="0"/>
      <w:marTop w:val="0"/>
      <w:marBottom w:val="0"/>
      <w:divBdr>
        <w:top w:val="none" w:sz="0" w:space="0" w:color="auto"/>
        <w:left w:val="none" w:sz="0" w:space="0" w:color="auto"/>
        <w:bottom w:val="none" w:sz="0" w:space="0" w:color="auto"/>
        <w:right w:val="none" w:sz="0" w:space="0" w:color="auto"/>
      </w:divBdr>
    </w:div>
    <w:div w:id="1937055423">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37596979">
      <w:bodyDiv w:val="1"/>
      <w:marLeft w:val="0"/>
      <w:marRight w:val="0"/>
      <w:marTop w:val="0"/>
      <w:marBottom w:val="0"/>
      <w:divBdr>
        <w:top w:val="none" w:sz="0" w:space="0" w:color="auto"/>
        <w:left w:val="none" w:sz="0" w:space="0" w:color="auto"/>
        <w:bottom w:val="none" w:sz="0" w:space="0" w:color="auto"/>
        <w:right w:val="none" w:sz="0" w:space="0" w:color="auto"/>
      </w:divBdr>
    </w:div>
    <w:div w:id="1937596988">
      <w:bodyDiv w:val="1"/>
      <w:marLeft w:val="0"/>
      <w:marRight w:val="0"/>
      <w:marTop w:val="0"/>
      <w:marBottom w:val="0"/>
      <w:divBdr>
        <w:top w:val="none" w:sz="0" w:space="0" w:color="auto"/>
        <w:left w:val="none" w:sz="0" w:space="0" w:color="auto"/>
        <w:bottom w:val="none" w:sz="0" w:space="0" w:color="auto"/>
        <w:right w:val="none" w:sz="0" w:space="0" w:color="auto"/>
      </w:divBdr>
    </w:div>
    <w:div w:id="1937782175">
      <w:bodyDiv w:val="1"/>
      <w:marLeft w:val="0"/>
      <w:marRight w:val="0"/>
      <w:marTop w:val="0"/>
      <w:marBottom w:val="0"/>
      <w:divBdr>
        <w:top w:val="none" w:sz="0" w:space="0" w:color="auto"/>
        <w:left w:val="none" w:sz="0" w:space="0" w:color="auto"/>
        <w:bottom w:val="none" w:sz="0" w:space="0" w:color="auto"/>
        <w:right w:val="none" w:sz="0" w:space="0" w:color="auto"/>
      </w:divBdr>
    </w:div>
    <w:div w:id="1938713370">
      <w:bodyDiv w:val="1"/>
      <w:marLeft w:val="0"/>
      <w:marRight w:val="0"/>
      <w:marTop w:val="0"/>
      <w:marBottom w:val="0"/>
      <w:divBdr>
        <w:top w:val="none" w:sz="0" w:space="0" w:color="auto"/>
        <w:left w:val="none" w:sz="0" w:space="0" w:color="auto"/>
        <w:bottom w:val="none" w:sz="0" w:space="0" w:color="auto"/>
        <w:right w:val="none" w:sz="0" w:space="0" w:color="auto"/>
      </w:divBdr>
    </w:div>
    <w:div w:id="1938830012">
      <w:bodyDiv w:val="1"/>
      <w:marLeft w:val="0"/>
      <w:marRight w:val="0"/>
      <w:marTop w:val="0"/>
      <w:marBottom w:val="0"/>
      <w:divBdr>
        <w:top w:val="none" w:sz="0" w:space="0" w:color="auto"/>
        <w:left w:val="none" w:sz="0" w:space="0" w:color="auto"/>
        <w:bottom w:val="none" w:sz="0" w:space="0" w:color="auto"/>
        <w:right w:val="none" w:sz="0" w:space="0" w:color="auto"/>
      </w:divBdr>
    </w:div>
    <w:div w:id="1939024888">
      <w:bodyDiv w:val="1"/>
      <w:marLeft w:val="0"/>
      <w:marRight w:val="0"/>
      <w:marTop w:val="0"/>
      <w:marBottom w:val="0"/>
      <w:divBdr>
        <w:top w:val="none" w:sz="0" w:space="0" w:color="auto"/>
        <w:left w:val="none" w:sz="0" w:space="0" w:color="auto"/>
        <w:bottom w:val="none" w:sz="0" w:space="0" w:color="auto"/>
        <w:right w:val="none" w:sz="0" w:space="0" w:color="auto"/>
      </w:divBdr>
    </w:div>
    <w:div w:id="1939025414">
      <w:bodyDiv w:val="1"/>
      <w:marLeft w:val="0"/>
      <w:marRight w:val="0"/>
      <w:marTop w:val="0"/>
      <w:marBottom w:val="0"/>
      <w:divBdr>
        <w:top w:val="none" w:sz="0" w:space="0" w:color="auto"/>
        <w:left w:val="none" w:sz="0" w:space="0" w:color="auto"/>
        <w:bottom w:val="none" w:sz="0" w:space="0" w:color="auto"/>
        <w:right w:val="none" w:sz="0" w:space="0" w:color="auto"/>
      </w:divBdr>
    </w:div>
    <w:div w:id="1939439495">
      <w:bodyDiv w:val="1"/>
      <w:marLeft w:val="0"/>
      <w:marRight w:val="0"/>
      <w:marTop w:val="0"/>
      <w:marBottom w:val="0"/>
      <w:divBdr>
        <w:top w:val="none" w:sz="0" w:space="0" w:color="auto"/>
        <w:left w:val="none" w:sz="0" w:space="0" w:color="auto"/>
        <w:bottom w:val="none" w:sz="0" w:space="0" w:color="auto"/>
        <w:right w:val="none" w:sz="0" w:space="0" w:color="auto"/>
      </w:divBdr>
    </w:div>
    <w:div w:id="1939486257">
      <w:bodyDiv w:val="1"/>
      <w:marLeft w:val="0"/>
      <w:marRight w:val="0"/>
      <w:marTop w:val="0"/>
      <w:marBottom w:val="0"/>
      <w:divBdr>
        <w:top w:val="none" w:sz="0" w:space="0" w:color="auto"/>
        <w:left w:val="none" w:sz="0" w:space="0" w:color="auto"/>
        <w:bottom w:val="none" w:sz="0" w:space="0" w:color="auto"/>
        <w:right w:val="none" w:sz="0" w:space="0" w:color="auto"/>
      </w:divBdr>
    </w:div>
    <w:div w:id="1939755882">
      <w:bodyDiv w:val="1"/>
      <w:marLeft w:val="0"/>
      <w:marRight w:val="0"/>
      <w:marTop w:val="0"/>
      <w:marBottom w:val="0"/>
      <w:divBdr>
        <w:top w:val="none" w:sz="0" w:space="0" w:color="auto"/>
        <w:left w:val="none" w:sz="0" w:space="0" w:color="auto"/>
        <w:bottom w:val="none" w:sz="0" w:space="0" w:color="auto"/>
        <w:right w:val="none" w:sz="0" w:space="0" w:color="auto"/>
      </w:divBdr>
    </w:div>
    <w:div w:id="1940068061">
      <w:bodyDiv w:val="1"/>
      <w:marLeft w:val="0"/>
      <w:marRight w:val="0"/>
      <w:marTop w:val="0"/>
      <w:marBottom w:val="0"/>
      <w:divBdr>
        <w:top w:val="none" w:sz="0" w:space="0" w:color="auto"/>
        <w:left w:val="none" w:sz="0" w:space="0" w:color="auto"/>
        <w:bottom w:val="none" w:sz="0" w:space="0" w:color="auto"/>
        <w:right w:val="none" w:sz="0" w:space="0" w:color="auto"/>
      </w:divBdr>
    </w:div>
    <w:div w:id="1940411810">
      <w:bodyDiv w:val="1"/>
      <w:marLeft w:val="0"/>
      <w:marRight w:val="0"/>
      <w:marTop w:val="0"/>
      <w:marBottom w:val="0"/>
      <w:divBdr>
        <w:top w:val="none" w:sz="0" w:space="0" w:color="auto"/>
        <w:left w:val="none" w:sz="0" w:space="0" w:color="auto"/>
        <w:bottom w:val="none" w:sz="0" w:space="0" w:color="auto"/>
        <w:right w:val="none" w:sz="0" w:space="0" w:color="auto"/>
      </w:divBdr>
    </w:div>
    <w:div w:id="1940720426">
      <w:bodyDiv w:val="1"/>
      <w:marLeft w:val="0"/>
      <w:marRight w:val="0"/>
      <w:marTop w:val="0"/>
      <w:marBottom w:val="0"/>
      <w:divBdr>
        <w:top w:val="none" w:sz="0" w:space="0" w:color="auto"/>
        <w:left w:val="none" w:sz="0" w:space="0" w:color="auto"/>
        <w:bottom w:val="none" w:sz="0" w:space="0" w:color="auto"/>
        <w:right w:val="none" w:sz="0" w:space="0" w:color="auto"/>
      </w:divBdr>
    </w:div>
    <w:div w:id="1940794179">
      <w:bodyDiv w:val="1"/>
      <w:marLeft w:val="0"/>
      <w:marRight w:val="0"/>
      <w:marTop w:val="0"/>
      <w:marBottom w:val="0"/>
      <w:divBdr>
        <w:top w:val="none" w:sz="0" w:space="0" w:color="auto"/>
        <w:left w:val="none" w:sz="0" w:space="0" w:color="auto"/>
        <w:bottom w:val="none" w:sz="0" w:space="0" w:color="auto"/>
        <w:right w:val="none" w:sz="0" w:space="0" w:color="auto"/>
      </w:divBdr>
    </w:div>
    <w:div w:id="1940865912">
      <w:bodyDiv w:val="1"/>
      <w:marLeft w:val="0"/>
      <w:marRight w:val="0"/>
      <w:marTop w:val="0"/>
      <w:marBottom w:val="0"/>
      <w:divBdr>
        <w:top w:val="none" w:sz="0" w:space="0" w:color="auto"/>
        <w:left w:val="none" w:sz="0" w:space="0" w:color="auto"/>
        <w:bottom w:val="none" w:sz="0" w:space="0" w:color="auto"/>
        <w:right w:val="none" w:sz="0" w:space="0" w:color="auto"/>
      </w:divBdr>
    </w:div>
    <w:div w:id="1941059118">
      <w:bodyDiv w:val="1"/>
      <w:marLeft w:val="0"/>
      <w:marRight w:val="0"/>
      <w:marTop w:val="0"/>
      <w:marBottom w:val="0"/>
      <w:divBdr>
        <w:top w:val="none" w:sz="0" w:space="0" w:color="auto"/>
        <w:left w:val="none" w:sz="0" w:space="0" w:color="auto"/>
        <w:bottom w:val="none" w:sz="0" w:space="0" w:color="auto"/>
        <w:right w:val="none" w:sz="0" w:space="0" w:color="auto"/>
      </w:divBdr>
    </w:div>
    <w:div w:id="1941255536">
      <w:bodyDiv w:val="1"/>
      <w:marLeft w:val="0"/>
      <w:marRight w:val="0"/>
      <w:marTop w:val="0"/>
      <w:marBottom w:val="0"/>
      <w:divBdr>
        <w:top w:val="none" w:sz="0" w:space="0" w:color="auto"/>
        <w:left w:val="none" w:sz="0" w:space="0" w:color="auto"/>
        <w:bottom w:val="none" w:sz="0" w:space="0" w:color="auto"/>
        <w:right w:val="none" w:sz="0" w:space="0" w:color="auto"/>
      </w:divBdr>
    </w:div>
    <w:div w:id="1941332990">
      <w:bodyDiv w:val="1"/>
      <w:marLeft w:val="0"/>
      <w:marRight w:val="0"/>
      <w:marTop w:val="0"/>
      <w:marBottom w:val="0"/>
      <w:divBdr>
        <w:top w:val="none" w:sz="0" w:space="0" w:color="auto"/>
        <w:left w:val="none" w:sz="0" w:space="0" w:color="auto"/>
        <w:bottom w:val="none" w:sz="0" w:space="0" w:color="auto"/>
        <w:right w:val="none" w:sz="0" w:space="0" w:color="auto"/>
      </w:divBdr>
    </w:div>
    <w:div w:id="1941402070">
      <w:bodyDiv w:val="1"/>
      <w:marLeft w:val="0"/>
      <w:marRight w:val="0"/>
      <w:marTop w:val="0"/>
      <w:marBottom w:val="0"/>
      <w:divBdr>
        <w:top w:val="none" w:sz="0" w:space="0" w:color="auto"/>
        <w:left w:val="none" w:sz="0" w:space="0" w:color="auto"/>
        <w:bottom w:val="none" w:sz="0" w:space="0" w:color="auto"/>
        <w:right w:val="none" w:sz="0" w:space="0" w:color="auto"/>
      </w:divBdr>
    </w:div>
    <w:div w:id="1941445435">
      <w:bodyDiv w:val="1"/>
      <w:marLeft w:val="0"/>
      <w:marRight w:val="0"/>
      <w:marTop w:val="0"/>
      <w:marBottom w:val="0"/>
      <w:divBdr>
        <w:top w:val="none" w:sz="0" w:space="0" w:color="auto"/>
        <w:left w:val="none" w:sz="0" w:space="0" w:color="auto"/>
        <w:bottom w:val="none" w:sz="0" w:space="0" w:color="auto"/>
        <w:right w:val="none" w:sz="0" w:space="0" w:color="auto"/>
      </w:divBdr>
    </w:div>
    <w:div w:id="1942028496">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2255169">
      <w:bodyDiv w:val="1"/>
      <w:marLeft w:val="0"/>
      <w:marRight w:val="0"/>
      <w:marTop w:val="0"/>
      <w:marBottom w:val="0"/>
      <w:divBdr>
        <w:top w:val="none" w:sz="0" w:space="0" w:color="auto"/>
        <w:left w:val="none" w:sz="0" w:space="0" w:color="auto"/>
        <w:bottom w:val="none" w:sz="0" w:space="0" w:color="auto"/>
        <w:right w:val="none" w:sz="0" w:space="0" w:color="auto"/>
      </w:divBdr>
    </w:div>
    <w:div w:id="1942298692">
      <w:bodyDiv w:val="1"/>
      <w:marLeft w:val="0"/>
      <w:marRight w:val="0"/>
      <w:marTop w:val="0"/>
      <w:marBottom w:val="0"/>
      <w:divBdr>
        <w:top w:val="none" w:sz="0" w:space="0" w:color="auto"/>
        <w:left w:val="none" w:sz="0" w:space="0" w:color="auto"/>
        <w:bottom w:val="none" w:sz="0" w:space="0" w:color="auto"/>
        <w:right w:val="none" w:sz="0" w:space="0" w:color="auto"/>
      </w:divBdr>
    </w:div>
    <w:div w:id="1942881850">
      <w:bodyDiv w:val="1"/>
      <w:marLeft w:val="0"/>
      <w:marRight w:val="0"/>
      <w:marTop w:val="0"/>
      <w:marBottom w:val="0"/>
      <w:divBdr>
        <w:top w:val="none" w:sz="0" w:space="0" w:color="auto"/>
        <w:left w:val="none" w:sz="0" w:space="0" w:color="auto"/>
        <w:bottom w:val="none" w:sz="0" w:space="0" w:color="auto"/>
        <w:right w:val="none" w:sz="0" w:space="0" w:color="auto"/>
      </w:divBdr>
    </w:div>
    <w:div w:id="1942953301">
      <w:bodyDiv w:val="1"/>
      <w:marLeft w:val="0"/>
      <w:marRight w:val="0"/>
      <w:marTop w:val="0"/>
      <w:marBottom w:val="0"/>
      <w:divBdr>
        <w:top w:val="none" w:sz="0" w:space="0" w:color="auto"/>
        <w:left w:val="none" w:sz="0" w:space="0" w:color="auto"/>
        <w:bottom w:val="none" w:sz="0" w:space="0" w:color="auto"/>
        <w:right w:val="none" w:sz="0" w:space="0" w:color="auto"/>
      </w:divBdr>
    </w:div>
    <w:div w:id="1942955043">
      <w:bodyDiv w:val="1"/>
      <w:marLeft w:val="0"/>
      <w:marRight w:val="0"/>
      <w:marTop w:val="0"/>
      <w:marBottom w:val="0"/>
      <w:divBdr>
        <w:top w:val="none" w:sz="0" w:space="0" w:color="auto"/>
        <w:left w:val="none" w:sz="0" w:space="0" w:color="auto"/>
        <w:bottom w:val="none" w:sz="0" w:space="0" w:color="auto"/>
        <w:right w:val="none" w:sz="0" w:space="0" w:color="auto"/>
      </w:divBdr>
    </w:div>
    <w:div w:id="1943343432">
      <w:bodyDiv w:val="1"/>
      <w:marLeft w:val="0"/>
      <w:marRight w:val="0"/>
      <w:marTop w:val="0"/>
      <w:marBottom w:val="0"/>
      <w:divBdr>
        <w:top w:val="none" w:sz="0" w:space="0" w:color="auto"/>
        <w:left w:val="none" w:sz="0" w:space="0" w:color="auto"/>
        <w:bottom w:val="none" w:sz="0" w:space="0" w:color="auto"/>
        <w:right w:val="none" w:sz="0" w:space="0" w:color="auto"/>
      </w:divBdr>
    </w:div>
    <w:div w:id="1943564032">
      <w:bodyDiv w:val="1"/>
      <w:marLeft w:val="0"/>
      <w:marRight w:val="0"/>
      <w:marTop w:val="0"/>
      <w:marBottom w:val="0"/>
      <w:divBdr>
        <w:top w:val="none" w:sz="0" w:space="0" w:color="auto"/>
        <w:left w:val="none" w:sz="0" w:space="0" w:color="auto"/>
        <w:bottom w:val="none" w:sz="0" w:space="0" w:color="auto"/>
        <w:right w:val="none" w:sz="0" w:space="0" w:color="auto"/>
      </w:divBdr>
    </w:div>
    <w:div w:id="1943679990">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3877864">
      <w:bodyDiv w:val="1"/>
      <w:marLeft w:val="0"/>
      <w:marRight w:val="0"/>
      <w:marTop w:val="0"/>
      <w:marBottom w:val="0"/>
      <w:divBdr>
        <w:top w:val="none" w:sz="0" w:space="0" w:color="auto"/>
        <w:left w:val="none" w:sz="0" w:space="0" w:color="auto"/>
        <w:bottom w:val="none" w:sz="0" w:space="0" w:color="auto"/>
        <w:right w:val="none" w:sz="0" w:space="0" w:color="auto"/>
      </w:divBdr>
    </w:div>
    <w:div w:id="1944259955">
      <w:bodyDiv w:val="1"/>
      <w:marLeft w:val="0"/>
      <w:marRight w:val="0"/>
      <w:marTop w:val="0"/>
      <w:marBottom w:val="0"/>
      <w:divBdr>
        <w:top w:val="none" w:sz="0" w:space="0" w:color="auto"/>
        <w:left w:val="none" w:sz="0" w:space="0" w:color="auto"/>
        <w:bottom w:val="none" w:sz="0" w:space="0" w:color="auto"/>
        <w:right w:val="none" w:sz="0" w:space="0" w:color="auto"/>
      </w:divBdr>
    </w:div>
    <w:div w:id="1944609436">
      <w:bodyDiv w:val="1"/>
      <w:marLeft w:val="0"/>
      <w:marRight w:val="0"/>
      <w:marTop w:val="0"/>
      <w:marBottom w:val="0"/>
      <w:divBdr>
        <w:top w:val="none" w:sz="0" w:space="0" w:color="auto"/>
        <w:left w:val="none" w:sz="0" w:space="0" w:color="auto"/>
        <w:bottom w:val="none" w:sz="0" w:space="0" w:color="auto"/>
        <w:right w:val="none" w:sz="0" w:space="0" w:color="auto"/>
      </w:divBdr>
    </w:div>
    <w:div w:id="1944916573">
      <w:bodyDiv w:val="1"/>
      <w:marLeft w:val="0"/>
      <w:marRight w:val="0"/>
      <w:marTop w:val="0"/>
      <w:marBottom w:val="0"/>
      <w:divBdr>
        <w:top w:val="none" w:sz="0" w:space="0" w:color="auto"/>
        <w:left w:val="none" w:sz="0" w:space="0" w:color="auto"/>
        <w:bottom w:val="none" w:sz="0" w:space="0" w:color="auto"/>
        <w:right w:val="none" w:sz="0" w:space="0" w:color="auto"/>
      </w:divBdr>
    </w:div>
    <w:div w:id="1944923560">
      <w:bodyDiv w:val="1"/>
      <w:marLeft w:val="0"/>
      <w:marRight w:val="0"/>
      <w:marTop w:val="0"/>
      <w:marBottom w:val="0"/>
      <w:divBdr>
        <w:top w:val="none" w:sz="0" w:space="0" w:color="auto"/>
        <w:left w:val="none" w:sz="0" w:space="0" w:color="auto"/>
        <w:bottom w:val="none" w:sz="0" w:space="0" w:color="auto"/>
        <w:right w:val="none" w:sz="0" w:space="0" w:color="auto"/>
      </w:divBdr>
    </w:div>
    <w:div w:id="1945186266">
      <w:bodyDiv w:val="1"/>
      <w:marLeft w:val="0"/>
      <w:marRight w:val="0"/>
      <w:marTop w:val="0"/>
      <w:marBottom w:val="0"/>
      <w:divBdr>
        <w:top w:val="none" w:sz="0" w:space="0" w:color="auto"/>
        <w:left w:val="none" w:sz="0" w:space="0" w:color="auto"/>
        <w:bottom w:val="none" w:sz="0" w:space="0" w:color="auto"/>
        <w:right w:val="none" w:sz="0" w:space="0" w:color="auto"/>
      </w:divBdr>
    </w:div>
    <w:div w:id="1945308831">
      <w:bodyDiv w:val="1"/>
      <w:marLeft w:val="0"/>
      <w:marRight w:val="0"/>
      <w:marTop w:val="0"/>
      <w:marBottom w:val="0"/>
      <w:divBdr>
        <w:top w:val="none" w:sz="0" w:space="0" w:color="auto"/>
        <w:left w:val="none" w:sz="0" w:space="0" w:color="auto"/>
        <w:bottom w:val="none" w:sz="0" w:space="0" w:color="auto"/>
        <w:right w:val="none" w:sz="0" w:space="0" w:color="auto"/>
      </w:divBdr>
    </w:div>
    <w:div w:id="1946036534">
      <w:bodyDiv w:val="1"/>
      <w:marLeft w:val="0"/>
      <w:marRight w:val="0"/>
      <w:marTop w:val="0"/>
      <w:marBottom w:val="0"/>
      <w:divBdr>
        <w:top w:val="none" w:sz="0" w:space="0" w:color="auto"/>
        <w:left w:val="none" w:sz="0" w:space="0" w:color="auto"/>
        <w:bottom w:val="none" w:sz="0" w:space="0" w:color="auto"/>
        <w:right w:val="none" w:sz="0" w:space="0" w:color="auto"/>
      </w:divBdr>
    </w:div>
    <w:div w:id="1946038635">
      <w:bodyDiv w:val="1"/>
      <w:marLeft w:val="0"/>
      <w:marRight w:val="0"/>
      <w:marTop w:val="0"/>
      <w:marBottom w:val="0"/>
      <w:divBdr>
        <w:top w:val="none" w:sz="0" w:space="0" w:color="auto"/>
        <w:left w:val="none" w:sz="0" w:space="0" w:color="auto"/>
        <w:bottom w:val="none" w:sz="0" w:space="0" w:color="auto"/>
        <w:right w:val="none" w:sz="0" w:space="0" w:color="auto"/>
      </w:divBdr>
    </w:div>
    <w:div w:id="1946378560">
      <w:bodyDiv w:val="1"/>
      <w:marLeft w:val="0"/>
      <w:marRight w:val="0"/>
      <w:marTop w:val="0"/>
      <w:marBottom w:val="0"/>
      <w:divBdr>
        <w:top w:val="none" w:sz="0" w:space="0" w:color="auto"/>
        <w:left w:val="none" w:sz="0" w:space="0" w:color="auto"/>
        <w:bottom w:val="none" w:sz="0" w:space="0" w:color="auto"/>
        <w:right w:val="none" w:sz="0" w:space="0" w:color="auto"/>
      </w:divBdr>
    </w:div>
    <w:div w:id="1946647139">
      <w:bodyDiv w:val="1"/>
      <w:marLeft w:val="0"/>
      <w:marRight w:val="0"/>
      <w:marTop w:val="0"/>
      <w:marBottom w:val="0"/>
      <w:divBdr>
        <w:top w:val="none" w:sz="0" w:space="0" w:color="auto"/>
        <w:left w:val="none" w:sz="0" w:space="0" w:color="auto"/>
        <w:bottom w:val="none" w:sz="0" w:space="0" w:color="auto"/>
        <w:right w:val="none" w:sz="0" w:space="0" w:color="auto"/>
      </w:divBdr>
    </w:div>
    <w:div w:id="1946771475">
      <w:bodyDiv w:val="1"/>
      <w:marLeft w:val="0"/>
      <w:marRight w:val="0"/>
      <w:marTop w:val="0"/>
      <w:marBottom w:val="0"/>
      <w:divBdr>
        <w:top w:val="none" w:sz="0" w:space="0" w:color="auto"/>
        <w:left w:val="none" w:sz="0" w:space="0" w:color="auto"/>
        <w:bottom w:val="none" w:sz="0" w:space="0" w:color="auto"/>
        <w:right w:val="none" w:sz="0" w:space="0" w:color="auto"/>
      </w:divBdr>
    </w:div>
    <w:div w:id="1948148610">
      <w:bodyDiv w:val="1"/>
      <w:marLeft w:val="0"/>
      <w:marRight w:val="0"/>
      <w:marTop w:val="0"/>
      <w:marBottom w:val="0"/>
      <w:divBdr>
        <w:top w:val="none" w:sz="0" w:space="0" w:color="auto"/>
        <w:left w:val="none" w:sz="0" w:space="0" w:color="auto"/>
        <w:bottom w:val="none" w:sz="0" w:space="0" w:color="auto"/>
        <w:right w:val="none" w:sz="0" w:space="0" w:color="auto"/>
      </w:divBdr>
    </w:div>
    <w:div w:id="1948391819">
      <w:bodyDiv w:val="1"/>
      <w:marLeft w:val="0"/>
      <w:marRight w:val="0"/>
      <w:marTop w:val="0"/>
      <w:marBottom w:val="0"/>
      <w:divBdr>
        <w:top w:val="none" w:sz="0" w:space="0" w:color="auto"/>
        <w:left w:val="none" w:sz="0" w:space="0" w:color="auto"/>
        <w:bottom w:val="none" w:sz="0" w:space="0" w:color="auto"/>
        <w:right w:val="none" w:sz="0" w:space="0" w:color="auto"/>
      </w:divBdr>
    </w:div>
    <w:div w:id="1948466114">
      <w:bodyDiv w:val="1"/>
      <w:marLeft w:val="0"/>
      <w:marRight w:val="0"/>
      <w:marTop w:val="0"/>
      <w:marBottom w:val="0"/>
      <w:divBdr>
        <w:top w:val="none" w:sz="0" w:space="0" w:color="auto"/>
        <w:left w:val="none" w:sz="0" w:space="0" w:color="auto"/>
        <w:bottom w:val="none" w:sz="0" w:space="0" w:color="auto"/>
        <w:right w:val="none" w:sz="0" w:space="0" w:color="auto"/>
      </w:divBdr>
    </w:div>
    <w:div w:id="1948610749">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0627166">
      <w:bodyDiv w:val="1"/>
      <w:marLeft w:val="0"/>
      <w:marRight w:val="0"/>
      <w:marTop w:val="0"/>
      <w:marBottom w:val="0"/>
      <w:divBdr>
        <w:top w:val="none" w:sz="0" w:space="0" w:color="auto"/>
        <w:left w:val="none" w:sz="0" w:space="0" w:color="auto"/>
        <w:bottom w:val="none" w:sz="0" w:space="0" w:color="auto"/>
        <w:right w:val="none" w:sz="0" w:space="0" w:color="auto"/>
      </w:divBdr>
    </w:div>
    <w:div w:id="1950819166">
      <w:bodyDiv w:val="1"/>
      <w:marLeft w:val="0"/>
      <w:marRight w:val="0"/>
      <w:marTop w:val="0"/>
      <w:marBottom w:val="0"/>
      <w:divBdr>
        <w:top w:val="none" w:sz="0" w:space="0" w:color="auto"/>
        <w:left w:val="none" w:sz="0" w:space="0" w:color="auto"/>
        <w:bottom w:val="none" w:sz="0" w:space="0" w:color="auto"/>
        <w:right w:val="none" w:sz="0" w:space="0" w:color="auto"/>
      </w:divBdr>
    </w:div>
    <w:div w:id="1951160436">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1815921">
      <w:bodyDiv w:val="1"/>
      <w:marLeft w:val="0"/>
      <w:marRight w:val="0"/>
      <w:marTop w:val="0"/>
      <w:marBottom w:val="0"/>
      <w:divBdr>
        <w:top w:val="none" w:sz="0" w:space="0" w:color="auto"/>
        <w:left w:val="none" w:sz="0" w:space="0" w:color="auto"/>
        <w:bottom w:val="none" w:sz="0" w:space="0" w:color="auto"/>
        <w:right w:val="none" w:sz="0" w:space="0" w:color="auto"/>
      </w:divBdr>
    </w:div>
    <w:div w:id="1952349852">
      <w:bodyDiv w:val="1"/>
      <w:marLeft w:val="0"/>
      <w:marRight w:val="0"/>
      <w:marTop w:val="0"/>
      <w:marBottom w:val="0"/>
      <w:divBdr>
        <w:top w:val="none" w:sz="0" w:space="0" w:color="auto"/>
        <w:left w:val="none" w:sz="0" w:space="0" w:color="auto"/>
        <w:bottom w:val="none" w:sz="0" w:space="0" w:color="auto"/>
        <w:right w:val="none" w:sz="0" w:space="0" w:color="auto"/>
      </w:divBdr>
    </w:div>
    <w:div w:id="1952467798">
      <w:bodyDiv w:val="1"/>
      <w:marLeft w:val="0"/>
      <w:marRight w:val="0"/>
      <w:marTop w:val="0"/>
      <w:marBottom w:val="0"/>
      <w:divBdr>
        <w:top w:val="none" w:sz="0" w:space="0" w:color="auto"/>
        <w:left w:val="none" w:sz="0" w:space="0" w:color="auto"/>
        <w:bottom w:val="none" w:sz="0" w:space="0" w:color="auto"/>
        <w:right w:val="none" w:sz="0" w:space="0" w:color="auto"/>
      </w:divBdr>
    </w:div>
    <w:div w:id="1952711699">
      <w:bodyDiv w:val="1"/>
      <w:marLeft w:val="0"/>
      <w:marRight w:val="0"/>
      <w:marTop w:val="0"/>
      <w:marBottom w:val="0"/>
      <w:divBdr>
        <w:top w:val="none" w:sz="0" w:space="0" w:color="auto"/>
        <w:left w:val="none" w:sz="0" w:space="0" w:color="auto"/>
        <w:bottom w:val="none" w:sz="0" w:space="0" w:color="auto"/>
        <w:right w:val="none" w:sz="0" w:space="0" w:color="auto"/>
      </w:divBdr>
    </w:div>
    <w:div w:id="1954484052">
      <w:bodyDiv w:val="1"/>
      <w:marLeft w:val="0"/>
      <w:marRight w:val="0"/>
      <w:marTop w:val="0"/>
      <w:marBottom w:val="0"/>
      <w:divBdr>
        <w:top w:val="none" w:sz="0" w:space="0" w:color="auto"/>
        <w:left w:val="none" w:sz="0" w:space="0" w:color="auto"/>
        <w:bottom w:val="none" w:sz="0" w:space="0" w:color="auto"/>
        <w:right w:val="none" w:sz="0" w:space="0" w:color="auto"/>
      </w:divBdr>
    </w:div>
    <w:div w:id="1954510715">
      <w:bodyDiv w:val="1"/>
      <w:marLeft w:val="0"/>
      <w:marRight w:val="0"/>
      <w:marTop w:val="0"/>
      <w:marBottom w:val="0"/>
      <w:divBdr>
        <w:top w:val="none" w:sz="0" w:space="0" w:color="auto"/>
        <w:left w:val="none" w:sz="0" w:space="0" w:color="auto"/>
        <w:bottom w:val="none" w:sz="0" w:space="0" w:color="auto"/>
        <w:right w:val="none" w:sz="0" w:space="0" w:color="auto"/>
      </w:divBdr>
    </w:div>
    <w:div w:id="1955137944">
      <w:bodyDiv w:val="1"/>
      <w:marLeft w:val="0"/>
      <w:marRight w:val="0"/>
      <w:marTop w:val="0"/>
      <w:marBottom w:val="0"/>
      <w:divBdr>
        <w:top w:val="none" w:sz="0" w:space="0" w:color="auto"/>
        <w:left w:val="none" w:sz="0" w:space="0" w:color="auto"/>
        <w:bottom w:val="none" w:sz="0" w:space="0" w:color="auto"/>
        <w:right w:val="none" w:sz="0" w:space="0" w:color="auto"/>
      </w:divBdr>
    </w:div>
    <w:div w:id="1955402828">
      <w:bodyDiv w:val="1"/>
      <w:marLeft w:val="0"/>
      <w:marRight w:val="0"/>
      <w:marTop w:val="0"/>
      <w:marBottom w:val="0"/>
      <w:divBdr>
        <w:top w:val="none" w:sz="0" w:space="0" w:color="auto"/>
        <w:left w:val="none" w:sz="0" w:space="0" w:color="auto"/>
        <w:bottom w:val="none" w:sz="0" w:space="0" w:color="auto"/>
        <w:right w:val="none" w:sz="0" w:space="0" w:color="auto"/>
      </w:divBdr>
    </w:div>
    <w:div w:id="1955477993">
      <w:bodyDiv w:val="1"/>
      <w:marLeft w:val="0"/>
      <w:marRight w:val="0"/>
      <w:marTop w:val="0"/>
      <w:marBottom w:val="0"/>
      <w:divBdr>
        <w:top w:val="none" w:sz="0" w:space="0" w:color="auto"/>
        <w:left w:val="none" w:sz="0" w:space="0" w:color="auto"/>
        <w:bottom w:val="none" w:sz="0" w:space="0" w:color="auto"/>
        <w:right w:val="none" w:sz="0" w:space="0" w:color="auto"/>
      </w:divBdr>
    </w:div>
    <w:div w:id="1955478324">
      <w:bodyDiv w:val="1"/>
      <w:marLeft w:val="0"/>
      <w:marRight w:val="0"/>
      <w:marTop w:val="0"/>
      <w:marBottom w:val="0"/>
      <w:divBdr>
        <w:top w:val="none" w:sz="0" w:space="0" w:color="auto"/>
        <w:left w:val="none" w:sz="0" w:space="0" w:color="auto"/>
        <w:bottom w:val="none" w:sz="0" w:space="0" w:color="auto"/>
        <w:right w:val="none" w:sz="0" w:space="0" w:color="auto"/>
      </w:divBdr>
    </w:div>
    <w:div w:id="1955550192">
      <w:bodyDiv w:val="1"/>
      <w:marLeft w:val="0"/>
      <w:marRight w:val="0"/>
      <w:marTop w:val="0"/>
      <w:marBottom w:val="0"/>
      <w:divBdr>
        <w:top w:val="none" w:sz="0" w:space="0" w:color="auto"/>
        <w:left w:val="none" w:sz="0" w:space="0" w:color="auto"/>
        <w:bottom w:val="none" w:sz="0" w:space="0" w:color="auto"/>
        <w:right w:val="none" w:sz="0" w:space="0" w:color="auto"/>
      </w:divBdr>
    </w:div>
    <w:div w:id="1955937401">
      <w:bodyDiv w:val="1"/>
      <w:marLeft w:val="0"/>
      <w:marRight w:val="0"/>
      <w:marTop w:val="0"/>
      <w:marBottom w:val="0"/>
      <w:divBdr>
        <w:top w:val="none" w:sz="0" w:space="0" w:color="auto"/>
        <w:left w:val="none" w:sz="0" w:space="0" w:color="auto"/>
        <w:bottom w:val="none" w:sz="0" w:space="0" w:color="auto"/>
        <w:right w:val="none" w:sz="0" w:space="0" w:color="auto"/>
      </w:divBdr>
    </w:div>
    <w:div w:id="1956015376">
      <w:bodyDiv w:val="1"/>
      <w:marLeft w:val="0"/>
      <w:marRight w:val="0"/>
      <w:marTop w:val="0"/>
      <w:marBottom w:val="0"/>
      <w:divBdr>
        <w:top w:val="none" w:sz="0" w:space="0" w:color="auto"/>
        <w:left w:val="none" w:sz="0" w:space="0" w:color="auto"/>
        <w:bottom w:val="none" w:sz="0" w:space="0" w:color="auto"/>
        <w:right w:val="none" w:sz="0" w:space="0" w:color="auto"/>
      </w:divBdr>
    </w:div>
    <w:div w:id="1956642821">
      <w:bodyDiv w:val="1"/>
      <w:marLeft w:val="0"/>
      <w:marRight w:val="0"/>
      <w:marTop w:val="0"/>
      <w:marBottom w:val="0"/>
      <w:divBdr>
        <w:top w:val="none" w:sz="0" w:space="0" w:color="auto"/>
        <w:left w:val="none" w:sz="0" w:space="0" w:color="auto"/>
        <w:bottom w:val="none" w:sz="0" w:space="0" w:color="auto"/>
        <w:right w:val="none" w:sz="0" w:space="0" w:color="auto"/>
      </w:divBdr>
    </w:div>
    <w:div w:id="1956674108">
      <w:bodyDiv w:val="1"/>
      <w:marLeft w:val="0"/>
      <w:marRight w:val="0"/>
      <w:marTop w:val="0"/>
      <w:marBottom w:val="0"/>
      <w:divBdr>
        <w:top w:val="none" w:sz="0" w:space="0" w:color="auto"/>
        <w:left w:val="none" w:sz="0" w:space="0" w:color="auto"/>
        <w:bottom w:val="none" w:sz="0" w:space="0" w:color="auto"/>
        <w:right w:val="none" w:sz="0" w:space="0" w:color="auto"/>
      </w:divBdr>
    </w:div>
    <w:div w:id="1956789841">
      <w:bodyDiv w:val="1"/>
      <w:marLeft w:val="0"/>
      <w:marRight w:val="0"/>
      <w:marTop w:val="0"/>
      <w:marBottom w:val="0"/>
      <w:divBdr>
        <w:top w:val="none" w:sz="0" w:space="0" w:color="auto"/>
        <w:left w:val="none" w:sz="0" w:space="0" w:color="auto"/>
        <w:bottom w:val="none" w:sz="0" w:space="0" w:color="auto"/>
        <w:right w:val="none" w:sz="0" w:space="0" w:color="auto"/>
      </w:divBdr>
    </w:div>
    <w:div w:id="1957327330">
      <w:bodyDiv w:val="1"/>
      <w:marLeft w:val="0"/>
      <w:marRight w:val="0"/>
      <w:marTop w:val="0"/>
      <w:marBottom w:val="0"/>
      <w:divBdr>
        <w:top w:val="none" w:sz="0" w:space="0" w:color="auto"/>
        <w:left w:val="none" w:sz="0" w:space="0" w:color="auto"/>
        <w:bottom w:val="none" w:sz="0" w:space="0" w:color="auto"/>
        <w:right w:val="none" w:sz="0" w:space="0" w:color="auto"/>
      </w:divBdr>
    </w:div>
    <w:div w:id="1957910812">
      <w:bodyDiv w:val="1"/>
      <w:marLeft w:val="0"/>
      <w:marRight w:val="0"/>
      <w:marTop w:val="0"/>
      <w:marBottom w:val="0"/>
      <w:divBdr>
        <w:top w:val="none" w:sz="0" w:space="0" w:color="auto"/>
        <w:left w:val="none" w:sz="0" w:space="0" w:color="auto"/>
        <w:bottom w:val="none" w:sz="0" w:space="0" w:color="auto"/>
        <w:right w:val="none" w:sz="0" w:space="0" w:color="auto"/>
      </w:divBdr>
    </w:div>
    <w:div w:id="1958179341">
      <w:bodyDiv w:val="1"/>
      <w:marLeft w:val="0"/>
      <w:marRight w:val="0"/>
      <w:marTop w:val="0"/>
      <w:marBottom w:val="0"/>
      <w:divBdr>
        <w:top w:val="none" w:sz="0" w:space="0" w:color="auto"/>
        <w:left w:val="none" w:sz="0" w:space="0" w:color="auto"/>
        <w:bottom w:val="none" w:sz="0" w:space="0" w:color="auto"/>
        <w:right w:val="none" w:sz="0" w:space="0" w:color="auto"/>
      </w:divBdr>
    </w:div>
    <w:div w:id="1958220956">
      <w:bodyDiv w:val="1"/>
      <w:marLeft w:val="0"/>
      <w:marRight w:val="0"/>
      <w:marTop w:val="0"/>
      <w:marBottom w:val="0"/>
      <w:divBdr>
        <w:top w:val="none" w:sz="0" w:space="0" w:color="auto"/>
        <w:left w:val="none" w:sz="0" w:space="0" w:color="auto"/>
        <w:bottom w:val="none" w:sz="0" w:space="0" w:color="auto"/>
        <w:right w:val="none" w:sz="0" w:space="0" w:color="auto"/>
      </w:divBdr>
    </w:div>
    <w:div w:id="1958293808">
      <w:bodyDiv w:val="1"/>
      <w:marLeft w:val="0"/>
      <w:marRight w:val="0"/>
      <w:marTop w:val="0"/>
      <w:marBottom w:val="0"/>
      <w:divBdr>
        <w:top w:val="none" w:sz="0" w:space="0" w:color="auto"/>
        <w:left w:val="none" w:sz="0" w:space="0" w:color="auto"/>
        <w:bottom w:val="none" w:sz="0" w:space="0" w:color="auto"/>
        <w:right w:val="none" w:sz="0" w:space="0" w:color="auto"/>
      </w:divBdr>
    </w:div>
    <w:div w:id="1958297601">
      <w:bodyDiv w:val="1"/>
      <w:marLeft w:val="0"/>
      <w:marRight w:val="0"/>
      <w:marTop w:val="0"/>
      <w:marBottom w:val="0"/>
      <w:divBdr>
        <w:top w:val="none" w:sz="0" w:space="0" w:color="auto"/>
        <w:left w:val="none" w:sz="0" w:space="0" w:color="auto"/>
        <w:bottom w:val="none" w:sz="0" w:space="0" w:color="auto"/>
        <w:right w:val="none" w:sz="0" w:space="0" w:color="auto"/>
      </w:divBdr>
    </w:div>
    <w:div w:id="1958365712">
      <w:bodyDiv w:val="1"/>
      <w:marLeft w:val="0"/>
      <w:marRight w:val="0"/>
      <w:marTop w:val="0"/>
      <w:marBottom w:val="0"/>
      <w:divBdr>
        <w:top w:val="none" w:sz="0" w:space="0" w:color="auto"/>
        <w:left w:val="none" w:sz="0" w:space="0" w:color="auto"/>
        <w:bottom w:val="none" w:sz="0" w:space="0" w:color="auto"/>
        <w:right w:val="none" w:sz="0" w:space="0" w:color="auto"/>
      </w:divBdr>
    </w:div>
    <w:div w:id="1958560045">
      <w:bodyDiv w:val="1"/>
      <w:marLeft w:val="0"/>
      <w:marRight w:val="0"/>
      <w:marTop w:val="0"/>
      <w:marBottom w:val="0"/>
      <w:divBdr>
        <w:top w:val="none" w:sz="0" w:space="0" w:color="auto"/>
        <w:left w:val="none" w:sz="0" w:space="0" w:color="auto"/>
        <w:bottom w:val="none" w:sz="0" w:space="0" w:color="auto"/>
        <w:right w:val="none" w:sz="0" w:space="0" w:color="auto"/>
      </w:divBdr>
    </w:div>
    <w:div w:id="1958681305">
      <w:bodyDiv w:val="1"/>
      <w:marLeft w:val="0"/>
      <w:marRight w:val="0"/>
      <w:marTop w:val="0"/>
      <w:marBottom w:val="0"/>
      <w:divBdr>
        <w:top w:val="none" w:sz="0" w:space="0" w:color="auto"/>
        <w:left w:val="none" w:sz="0" w:space="0" w:color="auto"/>
        <w:bottom w:val="none" w:sz="0" w:space="0" w:color="auto"/>
        <w:right w:val="none" w:sz="0" w:space="0" w:color="auto"/>
      </w:divBdr>
    </w:div>
    <w:div w:id="1959098114">
      <w:bodyDiv w:val="1"/>
      <w:marLeft w:val="0"/>
      <w:marRight w:val="0"/>
      <w:marTop w:val="0"/>
      <w:marBottom w:val="0"/>
      <w:divBdr>
        <w:top w:val="none" w:sz="0" w:space="0" w:color="auto"/>
        <w:left w:val="none" w:sz="0" w:space="0" w:color="auto"/>
        <w:bottom w:val="none" w:sz="0" w:space="0" w:color="auto"/>
        <w:right w:val="none" w:sz="0" w:space="0" w:color="auto"/>
      </w:divBdr>
    </w:div>
    <w:div w:id="1959142505">
      <w:bodyDiv w:val="1"/>
      <w:marLeft w:val="0"/>
      <w:marRight w:val="0"/>
      <w:marTop w:val="0"/>
      <w:marBottom w:val="0"/>
      <w:divBdr>
        <w:top w:val="none" w:sz="0" w:space="0" w:color="auto"/>
        <w:left w:val="none" w:sz="0" w:space="0" w:color="auto"/>
        <w:bottom w:val="none" w:sz="0" w:space="0" w:color="auto"/>
        <w:right w:val="none" w:sz="0" w:space="0" w:color="auto"/>
      </w:divBdr>
    </w:div>
    <w:div w:id="1959294333">
      <w:bodyDiv w:val="1"/>
      <w:marLeft w:val="0"/>
      <w:marRight w:val="0"/>
      <w:marTop w:val="0"/>
      <w:marBottom w:val="0"/>
      <w:divBdr>
        <w:top w:val="none" w:sz="0" w:space="0" w:color="auto"/>
        <w:left w:val="none" w:sz="0" w:space="0" w:color="auto"/>
        <w:bottom w:val="none" w:sz="0" w:space="0" w:color="auto"/>
        <w:right w:val="none" w:sz="0" w:space="0" w:color="auto"/>
      </w:divBdr>
    </w:div>
    <w:div w:id="1959528512">
      <w:bodyDiv w:val="1"/>
      <w:marLeft w:val="0"/>
      <w:marRight w:val="0"/>
      <w:marTop w:val="0"/>
      <w:marBottom w:val="0"/>
      <w:divBdr>
        <w:top w:val="none" w:sz="0" w:space="0" w:color="auto"/>
        <w:left w:val="none" w:sz="0" w:space="0" w:color="auto"/>
        <w:bottom w:val="none" w:sz="0" w:space="0" w:color="auto"/>
        <w:right w:val="none" w:sz="0" w:space="0" w:color="auto"/>
      </w:divBdr>
    </w:div>
    <w:div w:id="1959676171">
      <w:bodyDiv w:val="1"/>
      <w:marLeft w:val="0"/>
      <w:marRight w:val="0"/>
      <w:marTop w:val="0"/>
      <w:marBottom w:val="0"/>
      <w:divBdr>
        <w:top w:val="none" w:sz="0" w:space="0" w:color="auto"/>
        <w:left w:val="none" w:sz="0" w:space="0" w:color="auto"/>
        <w:bottom w:val="none" w:sz="0" w:space="0" w:color="auto"/>
        <w:right w:val="none" w:sz="0" w:space="0" w:color="auto"/>
      </w:divBdr>
    </w:div>
    <w:div w:id="1959873451">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0139075">
      <w:bodyDiv w:val="1"/>
      <w:marLeft w:val="0"/>
      <w:marRight w:val="0"/>
      <w:marTop w:val="0"/>
      <w:marBottom w:val="0"/>
      <w:divBdr>
        <w:top w:val="none" w:sz="0" w:space="0" w:color="auto"/>
        <w:left w:val="none" w:sz="0" w:space="0" w:color="auto"/>
        <w:bottom w:val="none" w:sz="0" w:space="0" w:color="auto"/>
        <w:right w:val="none" w:sz="0" w:space="0" w:color="auto"/>
      </w:divBdr>
    </w:div>
    <w:div w:id="1960184741">
      <w:bodyDiv w:val="1"/>
      <w:marLeft w:val="0"/>
      <w:marRight w:val="0"/>
      <w:marTop w:val="0"/>
      <w:marBottom w:val="0"/>
      <w:divBdr>
        <w:top w:val="none" w:sz="0" w:space="0" w:color="auto"/>
        <w:left w:val="none" w:sz="0" w:space="0" w:color="auto"/>
        <w:bottom w:val="none" w:sz="0" w:space="0" w:color="auto"/>
        <w:right w:val="none" w:sz="0" w:space="0" w:color="auto"/>
      </w:divBdr>
    </w:div>
    <w:div w:id="1960408194">
      <w:bodyDiv w:val="1"/>
      <w:marLeft w:val="0"/>
      <w:marRight w:val="0"/>
      <w:marTop w:val="0"/>
      <w:marBottom w:val="0"/>
      <w:divBdr>
        <w:top w:val="none" w:sz="0" w:space="0" w:color="auto"/>
        <w:left w:val="none" w:sz="0" w:space="0" w:color="auto"/>
        <w:bottom w:val="none" w:sz="0" w:space="0" w:color="auto"/>
        <w:right w:val="none" w:sz="0" w:space="0" w:color="auto"/>
      </w:divBdr>
    </w:div>
    <w:div w:id="1960716600">
      <w:bodyDiv w:val="1"/>
      <w:marLeft w:val="0"/>
      <w:marRight w:val="0"/>
      <w:marTop w:val="0"/>
      <w:marBottom w:val="0"/>
      <w:divBdr>
        <w:top w:val="none" w:sz="0" w:space="0" w:color="auto"/>
        <w:left w:val="none" w:sz="0" w:space="0" w:color="auto"/>
        <w:bottom w:val="none" w:sz="0" w:space="0" w:color="auto"/>
        <w:right w:val="none" w:sz="0" w:space="0" w:color="auto"/>
      </w:divBdr>
    </w:div>
    <w:div w:id="1961298257">
      <w:bodyDiv w:val="1"/>
      <w:marLeft w:val="0"/>
      <w:marRight w:val="0"/>
      <w:marTop w:val="0"/>
      <w:marBottom w:val="0"/>
      <w:divBdr>
        <w:top w:val="none" w:sz="0" w:space="0" w:color="auto"/>
        <w:left w:val="none" w:sz="0" w:space="0" w:color="auto"/>
        <w:bottom w:val="none" w:sz="0" w:space="0" w:color="auto"/>
        <w:right w:val="none" w:sz="0" w:space="0" w:color="auto"/>
      </w:divBdr>
    </w:div>
    <w:div w:id="1961450471">
      <w:bodyDiv w:val="1"/>
      <w:marLeft w:val="0"/>
      <w:marRight w:val="0"/>
      <w:marTop w:val="0"/>
      <w:marBottom w:val="0"/>
      <w:divBdr>
        <w:top w:val="none" w:sz="0" w:space="0" w:color="auto"/>
        <w:left w:val="none" w:sz="0" w:space="0" w:color="auto"/>
        <w:bottom w:val="none" w:sz="0" w:space="0" w:color="auto"/>
        <w:right w:val="none" w:sz="0" w:space="0" w:color="auto"/>
      </w:divBdr>
    </w:div>
    <w:div w:id="1961645694">
      <w:bodyDiv w:val="1"/>
      <w:marLeft w:val="0"/>
      <w:marRight w:val="0"/>
      <w:marTop w:val="0"/>
      <w:marBottom w:val="0"/>
      <w:divBdr>
        <w:top w:val="none" w:sz="0" w:space="0" w:color="auto"/>
        <w:left w:val="none" w:sz="0" w:space="0" w:color="auto"/>
        <w:bottom w:val="none" w:sz="0" w:space="0" w:color="auto"/>
        <w:right w:val="none" w:sz="0" w:space="0" w:color="auto"/>
      </w:divBdr>
    </w:div>
    <w:div w:id="1962028639">
      <w:bodyDiv w:val="1"/>
      <w:marLeft w:val="0"/>
      <w:marRight w:val="0"/>
      <w:marTop w:val="0"/>
      <w:marBottom w:val="0"/>
      <w:divBdr>
        <w:top w:val="none" w:sz="0" w:space="0" w:color="auto"/>
        <w:left w:val="none" w:sz="0" w:space="0" w:color="auto"/>
        <w:bottom w:val="none" w:sz="0" w:space="0" w:color="auto"/>
        <w:right w:val="none" w:sz="0" w:space="0" w:color="auto"/>
      </w:divBdr>
    </w:div>
    <w:div w:id="1962299073">
      <w:bodyDiv w:val="1"/>
      <w:marLeft w:val="0"/>
      <w:marRight w:val="0"/>
      <w:marTop w:val="0"/>
      <w:marBottom w:val="0"/>
      <w:divBdr>
        <w:top w:val="none" w:sz="0" w:space="0" w:color="auto"/>
        <w:left w:val="none" w:sz="0" w:space="0" w:color="auto"/>
        <w:bottom w:val="none" w:sz="0" w:space="0" w:color="auto"/>
        <w:right w:val="none" w:sz="0" w:space="0" w:color="auto"/>
      </w:divBdr>
    </w:div>
    <w:div w:id="1963143876">
      <w:bodyDiv w:val="1"/>
      <w:marLeft w:val="0"/>
      <w:marRight w:val="0"/>
      <w:marTop w:val="0"/>
      <w:marBottom w:val="0"/>
      <w:divBdr>
        <w:top w:val="none" w:sz="0" w:space="0" w:color="auto"/>
        <w:left w:val="none" w:sz="0" w:space="0" w:color="auto"/>
        <w:bottom w:val="none" w:sz="0" w:space="0" w:color="auto"/>
        <w:right w:val="none" w:sz="0" w:space="0" w:color="auto"/>
      </w:divBdr>
    </w:div>
    <w:div w:id="1963416027">
      <w:bodyDiv w:val="1"/>
      <w:marLeft w:val="0"/>
      <w:marRight w:val="0"/>
      <w:marTop w:val="0"/>
      <w:marBottom w:val="0"/>
      <w:divBdr>
        <w:top w:val="none" w:sz="0" w:space="0" w:color="auto"/>
        <w:left w:val="none" w:sz="0" w:space="0" w:color="auto"/>
        <w:bottom w:val="none" w:sz="0" w:space="0" w:color="auto"/>
        <w:right w:val="none" w:sz="0" w:space="0" w:color="auto"/>
      </w:divBdr>
    </w:div>
    <w:div w:id="1963489352">
      <w:bodyDiv w:val="1"/>
      <w:marLeft w:val="0"/>
      <w:marRight w:val="0"/>
      <w:marTop w:val="0"/>
      <w:marBottom w:val="0"/>
      <w:divBdr>
        <w:top w:val="none" w:sz="0" w:space="0" w:color="auto"/>
        <w:left w:val="none" w:sz="0" w:space="0" w:color="auto"/>
        <w:bottom w:val="none" w:sz="0" w:space="0" w:color="auto"/>
        <w:right w:val="none" w:sz="0" w:space="0" w:color="auto"/>
      </w:divBdr>
    </w:div>
    <w:div w:id="1963920259">
      <w:bodyDiv w:val="1"/>
      <w:marLeft w:val="0"/>
      <w:marRight w:val="0"/>
      <w:marTop w:val="0"/>
      <w:marBottom w:val="0"/>
      <w:divBdr>
        <w:top w:val="none" w:sz="0" w:space="0" w:color="auto"/>
        <w:left w:val="none" w:sz="0" w:space="0" w:color="auto"/>
        <w:bottom w:val="none" w:sz="0" w:space="0" w:color="auto"/>
        <w:right w:val="none" w:sz="0" w:space="0" w:color="auto"/>
      </w:divBdr>
    </w:div>
    <w:div w:id="1964531090">
      <w:bodyDiv w:val="1"/>
      <w:marLeft w:val="0"/>
      <w:marRight w:val="0"/>
      <w:marTop w:val="0"/>
      <w:marBottom w:val="0"/>
      <w:divBdr>
        <w:top w:val="none" w:sz="0" w:space="0" w:color="auto"/>
        <w:left w:val="none" w:sz="0" w:space="0" w:color="auto"/>
        <w:bottom w:val="none" w:sz="0" w:space="0" w:color="auto"/>
        <w:right w:val="none" w:sz="0" w:space="0" w:color="auto"/>
      </w:divBdr>
    </w:div>
    <w:div w:id="1964652293">
      <w:bodyDiv w:val="1"/>
      <w:marLeft w:val="0"/>
      <w:marRight w:val="0"/>
      <w:marTop w:val="0"/>
      <w:marBottom w:val="0"/>
      <w:divBdr>
        <w:top w:val="none" w:sz="0" w:space="0" w:color="auto"/>
        <w:left w:val="none" w:sz="0" w:space="0" w:color="auto"/>
        <w:bottom w:val="none" w:sz="0" w:space="0" w:color="auto"/>
        <w:right w:val="none" w:sz="0" w:space="0" w:color="auto"/>
      </w:divBdr>
    </w:div>
    <w:div w:id="1964847131">
      <w:bodyDiv w:val="1"/>
      <w:marLeft w:val="0"/>
      <w:marRight w:val="0"/>
      <w:marTop w:val="0"/>
      <w:marBottom w:val="0"/>
      <w:divBdr>
        <w:top w:val="none" w:sz="0" w:space="0" w:color="auto"/>
        <w:left w:val="none" w:sz="0" w:space="0" w:color="auto"/>
        <w:bottom w:val="none" w:sz="0" w:space="0" w:color="auto"/>
        <w:right w:val="none" w:sz="0" w:space="0" w:color="auto"/>
      </w:divBdr>
    </w:div>
    <w:div w:id="1965426842">
      <w:bodyDiv w:val="1"/>
      <w:marLeft w:val="0"/>
      <w:marRight w:val="0"/>
      <w:marTop w:val="0"/>
      <w:marBottom w:val="0"/>
      <w:divBdr>
        <w:top w:val="none" w:sz="0" w:space="0" w:color="auto"/>
        <w:left w:val="none" w:sz="0" w:space="0" w:color="auto"/>
        <w:bottom w:val="none" w:sz="0" w:space="0" w:color="auto"/>
        <w:right w:val="none" w:sz="0" w:space="0" w:color="auto"/>
      </w:divBdr>
    </w:div>
    <w:div w:id="1965580263">
      <w:bodyDiv w:val="1"/>
      <w:marLeft w:val="0"/>
      <w:marRight w:val="0"/>
      <w:marTop w:val="0"/>
      <w:marBottom w:val="0"/>
      <w:divBdr>
        <w:top w:val="none" w:sz="0" w:space="0" w:color="auto"/>
        <w:left w:val="none" w:sz="0" w:space="0" w:color="auto"/>
        <w:bottom w:val="none" w:sz="0" w:space="0" w:color="auto"/>
        <w:right w:val="none" w:sz="0" w:space="0" w:color="auto"/>
      </w:divBdr>
    </w:div>
    <w:div w:id="1965769144">
      <w:bodyDiv w:val="1"/>
      <w:marLeft w:val="0"/>
      <w:marRight w:val="0"/>
      <w:marTop w:val="0"/>
      <w:marBottom w:val="0"/>
      <w:divBdr>
        <w:top w:val="none" w:sz="0" w:space="0" w:color="auto"/>
        <w:left w:val="none" w:sz="0" w:space="0" w:color="auto"/>
        <w:bottom w:val="none" w:sz="0" w:space="0" w:color="auto"/>
        <w:right w:val="none" w:sz="0" w:space="0" w:color="auto"/>
      </w:divBdr>
    </w:div>
    <w:div w:id="1965886797">
      <w:bodyDiv w:val="1"/>
      <w:marLeft w:val="0"/>
      <w:marRight w:val="0"/>
      <w:marTop w:val="0"/>
      <w:marBottom w:val="0"/>
      <w:divBdr>
        <w:top w:val="none" w:sz="0" w:space="0" w:color="auto"/>
        <w:left w:val="none" w:sz="0" w:space="0" w:color="auto"/>
        <w:bottom w:val="none" w:sz="0" w:space="0" w:color="auto"/>
        <w:right w:val="none" w:sz="0" w:space="0" w:color="auto"/>
      </w:divBdr>
    </w:div>
    <w:div w:id="1966227628">
      <w:bodyDiv w:val="1"/>
      <w:marLeft w:val="0"/>
      <w:marRight w:val="0"/>
      <w:marTop w:val="0"/>
      <w:marBottom w:val="0"/>
      <w:divBdr>
        <w:top w:val="none" w:sz="0" w:space="0" w:color="auto"/>
        <w:left w:val="none" w:sz="0" w:space="0" w:color="auto"/>
        <w:bottom w:val="none" w:sz="0" w:space="0" w:color="auto"/>
        <w:right w:val="none" w:sz="0" w:space="0" w:color="auto"/>
      </w:divBdr>
    </w:div>
    <w:div w:id="1966424419">
      <w:bodyDiv w:val="1"/>
      <w:marLeft w:val="0"/>
      <w:marRight w:val="0"/>
      <w:marTop w:val="0"/>
      <w:marBottom w:val="0"/>
      <w:divBdr>
        <w:top w:val="none" w:sz="0" w:space="0" w:color="auto"/>
        <w:left w:val="none" w:sz="0" w:space="0" w:color="auto"/>
        <w:bottom w:val="none" w:sz="0" w:space="0" w:color="auto"/>
        <w:right w:val="none" w:sz="0" w:space="0" w:color="auto"/>
      </w:divBdr>
    </w:div>
    <w:div w:id="1966495932">
      <w:bodyDiv w:val="1"/>
      <w:marLeft w:val="0"/>
      <w:marRight w:val="0"/>
      <w:marTop w:val="0"/>
      <w:marBottom w:val="0"/>
      <w:divBdr>
        <w:top w:val="none" w:sz="0" w:space="0" w:color="auto"/>
        <w:left w:val="none" w:sz="0" w:space="0" w:color="auto"/>
        <w:bottom w:val="none" w:sz="0" w:space="0" w:color="auto"/>
        <w:right w:val="none" w:sz="0" w:space="0" w:color="auto"/>
      </w:divBdr>
    </w:div>
    <w:div w:id="1966619749">
      <w:bodyDiv w:val="1"/>
      <w:marLeft w:val="0"/>
      <w:marRight w:val="0"/>
      <w:marTop w:val="0"/>
      <w:marBottom w:val="0"/>
      <w:divBdr>
        <w:top w:val="none" w:sz="0" w:space="0" w:color="auto"/>
        <w:left w:val="none" w:sz="0" w:space="0" w:color="auto"/>
        <w:bottom w:val="none" w:sz="0" w:space="0" w:color="auto"/>
        <w:right w:val="none" w:sz="0" w:space="0" w:color="auto"/>
      </w:divBdr>
    </w:div>
    <w:div w:id="1967391376">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7467230">
      <w:bodyDiv w:val="1"/>
      <w:marLeft w:val="0"/>
      <w:marRight w:val="0"/>
      <w:marTop w:val="0"/>
      <w:marBottom w:val="0"/>
      <w:divBdr>
        <w:top w:val="none" w:sz="0" w:space="0" w:color="auto"/>
        <w:left w:val="none" w:sz="0" w:space="0" w:color="auto"/>
        <w:bottom w:val="none" w:sz="0" w:space="0" w:color="auto"/>
        <w:right w:val="none" w:sz="0" w:space="0" w:color="auto"/>
      </w:divBdr>
    </w:div>
    <w:div w:id="1967731172">
      <w:bodyDiv w:val="1"/>
      <w:marLeft w:val="0"/>
      <w:marRight w:val="0"/>
      <w:marTop w:val="0"/>
      <w:marBottom w:val="0"/>
      <w:divBdr>
        <w:top w:val="none" w:sz="0" w:space="0" w:color="auto"/>
        <w:left w:val="none" w:sz="0" w:space="0" w:color="auto"/>
        <w:bottom w:val="none" w:sz="0" w:space="0" w:color="auto"/>
        <w:right w:val="none" w:sz="0" w:space="0" w:color="auto"/>
      </w:divBdr>
    </w:div>
    <w:div w:id="1968395361">
      <w:bodyDiv w:val="1"/>
      <w:marLeft w:val="0"/>
      <w:marRight w:val="0"/>
      <w:marTop w:val="0"/>
      <w:marBottom w:val="0"/>
      <w:divBdr>
        <w:top w:val="none" w:sz="0" w:space="0" w:color="auto"/>
        <w:left w:val="none" w:sz="0" w:space="0" w:color="auto"/>
        <w:bottom w:val="none" w:sz="0" w:space="0" w:color="auto"/>
        <w:right w:val="none" w:sz="0" w:space="0" w:color="auto"/>
      </w:divBdr>
    </w:div>
    <w:div w:id="1968584406">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124713">
      <w:bodyDiv w:val="1"/>
      <w:marLeft w:val="0"/>
      <w:marRight w:val="0"/>
      <w:marTop w:val="0"/>
      <w:marBottom w:val="0"/>
      <w:divBdr>
        <w:top w:val="none" w:sz="0" w:space="0" w:color="auto"/>
        <w:left w:val="none" w:sz="0" w:space="0" w:color="auto"/>
        <w:bottom w:val="none" w:sz="0" w:space="0" w:color="auto"/>
        <w:right w:val="none" w:sz="0" w:space="0" w:color="auto"/>
      </w:divBdr>
    </w:div>
    <w:div w:id="1969359801">
      <w:bodyDiv w:val="1"/>
      <w:marLeft w:val="0"/>
      <w:marRight w:val="0"/>
      <w:marTop w:val="0"/>
      <w:marBottom w:val="0"/>
      <w:divBdr>
        <w:top w:val="none" w:sz="0" w:space="0" w:color="auto"/>
        <w:left w:val="none" w:sz="0" w:space="0" w:color="auto"/>
        <w:bottom w:val="none" w:sz="0" w:space="0" w:color="auto"/>
        <w:right w:val="none" w:sz="0" w:space="0" w:color="auto"/>
      </w:divBdr>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1840">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69704515">
      <w:bodyDiv w:val="1"/>
      <w:marLeft w:val="0"/>
      <w:marRight w:val="0"/>
      <w:marTop w:val="0"/>
      <w:marBottom w:val="0"/>
      <w:divBdr>
        <w:top w:val="none" w:sz="0" w:space="0" w:color="auto"/>
        <w:left w:val="none" w:sz="0" w:space="0" w:color="auto"/>
        <w:bottom w:val="none" w:sz="0" w:space="0" w:color="auto"/>
        <w:right w:val="none" w:sz="0" w:space="0" w:color="auto"/>
      </w:divBdr>
    </w:div>
    <w:div w:id="1969893955">
      <w:bodyDiv w:val="1"/>
      <w:marLeft w:val="0"/>
      <w:marRight w:val="0"/>
      <w:marTop w:val="0"/>
      <w:marBottom w:val="0"/>
      <w:divBdr>
        <w:top w:val="none" w:sz="0" w:space="0" w:color="auto"/>
        <w:left w:val="none" w:sz="0" w:space="0" w:color="auto"/>
        <w:bottom w:val="none" w:sz="0" w:space="0" w:color="auto"/>
        <w:right w:val="none" w:sz="0" w:space="0" w:color="auto"/>
      </w:divBdr>
    </w:div>
    <w:div w:id="1969973359">
      <w:bodyDiv w:val="1"/>
      <w:marLeft w:val="0"/>
      <w:marRight w:val="0"/>
      <w:marTop w:val="0"/>
      <w:marBottom w:val="0"/>
      <w:divBdr>
        <w:top w:val="none" w:sz="0" w:space="0" w:color="auto"/>
        <w:left w:val="none" w:sz="0" w:space="0" w:color="auto"/>
        <w:bottom w:val="none" w:sz="0" w:space="0" w:color="auto"/>
        <w:right w:val="none" w:sz="0" w:space="0" w:color="auto"/>
      </w:divBdr>
    </w:div>
    <w:div w:id="1970042439">
      <w:bodyDiv w:val="1"/>
      <w:marLeft w:val="0"/>
      <w:marRight w:val="0"/>
      <w:marTop w:val="0"/>
      <w:marBottom w:val="0"/>
      <w:divBdr>
        <w:top w:val="none" w:sz="0" w:space="0" w:color="auto"/>
        <w:left w:val="none" w:sz="0" w:space="0" w:color="auto"/>
        <w:bottom w:val="none" w:sz="0" w:space="0" w:color="auto"/>
        <w:right w:val="none" w:sz="0" w:space="0" w:color="auto"/>
      </w:divBdr>
    </w:div>
    <w:div w:id="1970163120">
      <w:bodyDiv w:val="1"/>
      <w:marLeft w:val="0"/>
      <w:marRight w:val="0"/>
      <w:marTop w:val="0"/>
      <w:marBottom w:val="0"/>
      <w:divBdr>
        <w:top w:val="none" w:sz="0" w:space="0" w:color="auto"/>
        <w:left w:val="none" w:sz="0" w:space="0" w:color="auto"/>
        <w:bottom w:val="none" w:sz="0" w:space="0" w:color="auto"/>
        <w:right w:val="none" w:sz="0" w:space="0" w:color="auto"/>
      </w:divBdr>
    </w:div>
    <w:div w:id="1970285775">
      <w:bodyDiv w:val="1"/>
      <w:marLeft w:val="0"/>
      <w:marRight w:val="0"/>
      <w:marTop w:val="0"/>
      <w:marBottom w:val="0"/>
      <w:divBdr>
        <w:top w:val="none" w:sz="0" w:space="0" w:color="auto"/>
        <w:left w:val="none" w:sz="0" w:space="0" w:color="auto"/>
        <w:bottom w:val="none" w:sz="0" w:space="0" w:color="auto"/>
        <w:right w:val="none" w:sz="0" w:space="0" w:color="auto"/>
      </w:divBdr>
    </w:div>
    <w:div w:id="1970626758">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1013523">
      <w:bodyDiv w:val="1"/>
      <w:marLeft w:val="0"/>
      <w:marRight w:val="0"/>
      <w:marTop w:val="0"/>
      <w:marBottom w:val="0"/>
      <w:divBdr>
        <w:top w:val="none" w:sz="0" w:space="0" w:color="auto"/>
        <w:left w:val="none" w:sz="0" w:space="0" w:color="auto"/>
        <w:bottom w:val="none" w:sz="0" w:space="0" w:color="auto"/>
        <w:right w:val="none" w:sz="0" w:space="0" w:color="auto"/>
      </w:divBdr>
    </w:div>
    <w:div w:id="1971545077">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2129382">
      <w:bodyDiv w:val="1"/>
      <w:marLeft w:val="0"/>
      <w:marRight w:val="0"/>
      <w:marTop w:val="0"/>
      <w:marBottom w:val="0"/>
      <w:divBdr>
        <w:top w:val="none" w:sz="0" w:space="0" w:color="auto"/>
        <w:left w:val="none" w:sz="0" w:space="0" w:color="auto"/>
        <w:bottom w:val="none" w:sz="0" w:space="0" w:color="auto"/>
        <w:right w:val="none" w:sz="0" w:space="0" w:color="auto"/>
      </w:divBdr>
    </w:div>
    <w:div w:id="1972587057">
      <w:bodyDiv w:val="1"/>
      <w:marLeft w:val="0"/>
      <w:marRight w:val="0"/>
      <w:marTop w:val="0"/>
      <w:marBottom w:val="0"/>
      <w:divBdr>
        <w:top w:val="none" w:sz="0" w:space="0" w:color="auto"/>
        <w:left w:val="none" w:sz="0" w:space="0" w:color="auto"/>
        <w:bottom w:val="none" w:sz="0" w:space="0" w:color="auto"/>
        <w:right w:val="none" w:sz="0" w:space="0" w:color="auto"/>
      </w:divBdr>
    </w:div>
    <w:div w:id="1972788713">
      <w:bodyDiv w:val="1"/>
      <w:marLeft w:val="0"/>
      <w:marRight w:val="0"/>
      <w:marTop w:val="0"/>
      <w:marBottom w:val="0"/>
      <w:divBdr>
        <w:top w:val="none" w:sz="0" w:space="0" w:color="auto"/>
        <w:left w:val="none" w:sz="0" w:space="0" w:color="auto"/>
        <w:bottom w:val="none" w:sz="0" w:space="0" w:color="auto"/>
        <w:right w:val="none" w:sz="0" w:space="0" w:color="auto"/>
      </w:divBdr>
    </w:div>
    <w:div w:id="1973056337">
      <w:bodyDiv w:val="1"/>
      <w:marLeft w:val="0"/>
      <w:marRight w:val="0"/>
      <w:marTop w:val="0"/>
      <w:marBottom w:val="0"/>
      <w:divBdr>
        <w:top w:val="none" w:sz="0" w:space="0" w:color="auto"/>
        <w:left w:val="none" w:sz="0" w:space="0" w:color="auto"/>
        <w:bottom w:val="none" w:sz="0" w:space="0" w:color="auto"/>
        <w:right w:val="none" w:sz="0" w:space="0" w:color="auto"/>
      </w:divBdr>
    </w:div>
    <w:div w:id="1973318683">
      <w:bodyDiv w:val="1"/>
      <w:marLeft w:val="0"/>
      <w:marRight w:val="0"/>
      <w:marTop w:val="0"/>
      <w:marBottom w:val="0"/>
      <w:divBdr>
        <w:top w:val="none" w:sz="0" w:space="0" w:color="auto"/>
        <w:left w:val="none" w:sz="0" w:space="0" w:color="auto"/>
        <w:bottom w:val="none" w:sz="0" w:space="0" w:color="auto"/>
        <w:right w:val="none" w:sz="0" w:space="0" w:color="auto"/>
      </w:divBdr>
    </w:div>
    <w:div w:id="1973321664">
      <w:bodyDiv w:val="1"/>
      <w:marLeft w:val="0"/>
      <w:marRight w:val="0"/>
      <w:marTop w:val="0"/>
      <w:marBottom w:val="0"/>
      <w:divBdr>
        <w:top w:val="none" w:sz="0" w:space="0" w:color="auto"/>
        <w:left w:val="none" w:sz="0" w:space="0" w:color="auto"/>
        <w:bottom w:val="none" w:sz="0" w:space="0" w:color="auto"/>
        <w:right w:val="none" w:sz="0" w:space="0" w:color="auto"/>
      </w:divBdr>
    </w:div>
    <w:div w:id="1973512390">
      <w:bodyDiv w:val="1"/>
      <w:marLeft w:val="0"/>
      <w:marRight w:val="0"/>
      <w:marTop w:val="0"/>
      <w:marBottom w:val="0"/>
      <w:divBdr>
        <w:top w:val="none" w:sz="0" w:space="0" w:color="auto"/>
        <w:left w:val="none" w:sz="0" w:space="0" w:color="auto"/>
        <w:bottom w:val="none" w:sz="0" w:space="0" w:color="auto"/>
        <w:right w:val="none" w:sz="0" w:space="0" w:color="auto"/>
      </w:divBdr>
    </w:div>
    <w:div w:id="1974093079">
      <w:bodyDiv w:val="1"/>
      <w:marLeft w:val="0"/>
      <w:marRight w:val="0"/>
      <w:marTop w:val="0"/>
      <w:marBottom w:val="0"/>
      <w:divBdr>
        <w:top w:val="none" w:sz="0" w:space="0" w:color="auto"/>
        <w:left w:val="none" w:sz="0" w:space="0" w:color="auto"/>
        <w:bottom w:val="none" w:sz="0" w:space="0" w:color="auto"/>
        <w:right w:val="none" w:sz="0" w:space="0" w:color="auto"/>
      </w:divBdr>
    </w:div>
    <w:div w:id="1974366386">
      <w:bodyDiv w:val="1"/>
      <w:marLeft w:val="0"/>
      <w:marRight w:val="0"/>
      <w:marTop w:val="0"/>
      <w:marBottom w:val="0"/>
      <w:divBdr>
        <w:top w:val="none" w:sz="0" w:space="0" w:color="auto"/>
        <w:left w:val="none" w:sz="0" w:space="0" w:color="auto"/>
        <w:bottom w:val="none" w:sz="0" w:space="0" w:color="auto"/>
        <w:right w:val="none" w:sz="0" w:space="0" w:color="auto"/>
      </w:divBdr>
    </w:div>
    <w:div w:id="1974631817">
      <w:bodyDiv w:val="1"/>
      <w:marLeft w:val="0"/>
      <w:marRight w:val="0"/>
      <w:marTop w:val="0"/>
      <w:marBottom w:val="0"/>
      <w:divBdr>
        <w:top w:val="none" w:sz="0" w:space="0" w:color="auto"/>
        <w:left w:val="none" w:sz="0" w:space="0" w:color="auto"/>
        <w:bottom w:val="none" w:sz="0" w:space="0" w:color="auto"/>
        <w:right w:val="none" w:sz="0" w:space="0" w:color="auto"/>
      </w:divBdr>
    </w:div>
    <w:div w:id="1974751544">
      <w:bodyDiv w:val="1"/>
      <w:marLeft w:val="0"/>
      <w:marRight w:val="0"/>
      <w:marTop w:val="0"/>
      <w:marBottom w:val="0"/>
      <w:divBdr>
        <w:top w:val="none" w:sz="0" w:space="0" w:color="auto"/>
        <w:left w:val="none" w:sz="0" w:space="0" w:color="auto"/>
        <w:bottom w:val="none" w:sz="0" w:space="0" w:color="auto"/>
        <w:right w:val="none" w:sz="0" w:space="0" w:color="auto"/>
      </w:divBdr>
    </w:div>
    <w:div w:id="1974753822">
      <w:bodyDiv w:val="1"/>
      <w:marLeft w:val="0"/>
      <w:marRight w:val="0"/>
      <w:marTop w:val="0"/>
      <w:marBottom w:val="0"/>
      <w:divBdr>
        <w:top w:val="none" w:sz="0" w:space="0" w:color="auto"/>
        <w:left w:val="none" w:sz="0" w:space="0" w:color="auto"/>
        <w:bottom w:val="none" w:sz="0" w:space="0" w:color="auto"/>
        <w:right w:val="none" w:sz="0" w:space="0" w:color="auto"/>
      </w:divBdr>
    </w:div>
    <w:div w:id="1975133388">
      <w:bodyDiv w:val="1"/>
      <w:marLeft w:val="0"/>
      <w:marRight w:val="0"/>
      <w:marTop w:val="0"/>
      <w:marBottom w:val="0"/>
      <w:divBdr>
        <w:top w:val="none" w:sz="0" w:space="0" w:color="auto"/>
        <w:left w:val="none" w:sz="0" w:space="0" w:color="auto"/>
        <w:bottom w:val="none" w:sz="0" w:space="0" w:color="auto"/>
        <w:right w:val="none" w:sz="0" w:space="0" w:color="auto"/>
      </w:divBdr>
    </w:div>
    <w:div w:id="1975331875">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5719119">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595620">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76829427">
      <w:bodyDiv w:val="1"/>
      <w:marLeft w:val="0"/>
      <w:marRight w:val="0"/>
      <w:marTop w:val="0"/>
      <w:marBottom w:val="0"/>
      <w:divBdr>
        <w:top w:val="none" w:sz="0" w:space="0" w:color="auto"/>
        <w:left w:val="none" w:sz="0" w:space="0" w:color="auto"/>
        <w:bottom w:val="none" w:sz="0" w:space="0" w:color="auto"/>
        <w:right w:val="none" w:sz="0" w:space="0" w:color="auto"/>
      </w:divBdr>
    </w:div>
    <w:div w:id="1976836183">
      <w:bodyDiv w:val="1"/>
      <w:marLeft w:val="0"/>
      <w:marRight w:val="0"/>
      <w:marTop w:val="0"/>
      <w:marBottom w:val="0"/>
      <w:divBdr>
        <w:top w:val="none" w:sz="0" w:space="0" w:color="auto"/>
        <w:left w:val="none" w:sz="0" w:space="0" w:color="auto"/>
        <w:bottom w:val="none" w:sz="0" w:space="0" w:color="auto"/>
        <w:right w:val="none" w:sz="0" w:space="0" w:color="auto"/>
      </w:divBdr>
    </w:div>
    <w:div w:id="1977295913">
      <w:bodyDiv w:val="1"/>
      <w:marLeft w:val="0"/>
      <w:marRight w:val="0"/>
      <w:marTop w:val="0"/>
      <w:marBottom w:val="0"/>
      <w:divBdr>
        <w:top w:val="none" w:sz="0" w:space="0" w:color="auto"/>
        <w:left w:val="none" w:sz="0" w:space="0" w:color="auto"/>
        <w:bottom w:val="none" w:sz="0" w:space="0" w:color="auto"/>
        <w:right w:val="none" w:sz="0" w:space="0" w:color="auto"/>
      </w:divBdr>
    </w:div>
    <w:div w:id="1977485351">
      <w:bodyDiv w:val="1"/>
      <w:marLeft w:val="0"/>
      <w:marRight w:val="0"/>
      <w:marTop w:val="0"/>
      <w:marBottom w:val="0"/>
      <w:divBdr>
        <w:top w:val="none" w:sz="0" w:space="0" w:color="auto"/>
        <w:left w:val="none" w:sz="0" w:space="0" w:color="auto"/>
        <w:bottom w:val="none" w:sz="0" w:space="0" w:color="auto"/>
        <w:right w:val="none" w:sz="0" w:space="0" w:color="auto"/>
      </w:divBdr>
    </w:div>
    <w:div w:id="1977642393">
      <w:bodyDiv w:val="1"/>
      <w:marLeft w:val="0"/>
      <w:marRight w:val="0"/>
      <w:marTop w:val="0"/>
      <w:marBottom w:val="0"/>
      <w:divBdr>
        <w:top w:val="none" w:sz="0" w:space="0" w:color="auto"/>
        <w:left w:val="none" w:sz="0" w:space="0" w:color="auto"/>
        <w:bottom w:val="none" w:sz="0" w:space="0" w:color="auto"/>
        <w:right w:val="none" w:sz="0" w:space="0" w:color="auto"/>
      </w:divBdr>
    </w:div>
    <w:div w:id="1977837424">
      <w:bodyDiv w:val="1"/>
      <w:marLeft w:val="0"/>
      <w:marRight w:val="0"/>
      <w:marTop w:val="0"/>
      <w:marBottom w:val="0"/>
      <w:divBdr>
        <w:top w:val="none" w:sz="0" w:space="0" w:color="auto"/>
        <w:left w:val="none" w:sz="0" w:space="0" w:color="auto"/>
        <w:bottom w:val="none" w:sz="0" w:space="0" w:color="auto"/>
        <w:right w:val="none" w:sz="0" w:space="0" w:color="auto"/>
      </w:divBdr>
    </w:div>
    <w:div w:id="1978606644">
      <w:bodyDiv w:val="1"/>
      <w:marLeft w:val="0"/>
      <w:marRight w:val="0"/>
      <w:marTop w:val="0"/>
      <w:marBottom w:val="0"/>
      <w:divBdr>
        <w:top w:val="none" w:sz="0" w:space="0" w:color="auto"/>
        <w:left w:val="none" w:sz="0" w:space="0" w:color="auto"/>
        <w:bottom w:val="none" w:sz="0" w:space="0" w:color="auto"/>
        <w:right w:val="none" w:sz="0" w:space="0" w:color="auto"/>
      </w:divBdr>
    </w:div>
    <w:div w:id="1978680547">
      <w:bodyDiv w:val="1"/>
      <w:marLeft w:val="0"/>
      <w:marRight w:val="0"/>
      <w:marTop w:val="0"/>
      <w:marBottom w:val="0"/>
      <w:divBdr>
        <w:top w:val="none" w:sz="0" w:space="0" w:color="auto"/>
        <w:left w:val="none" w:sz="0" w:space="0" w:color="auto"/>
        <w:bottom w:val="none" w:sz="0" w:space="0" w:color="auto"/>
        <w:right w:val="none" w:sz="0" w:space="0" w:color="auto"/>
      </w:divBdr>
    </w:div>
    <w:div w:id="1978946203">
      <w:bodyDiv w:val="1"/>
      <w:marLeft w:val="0"/>
      <w:marRight w:val="0"/>
      <w:marTop w:val="0"/>
      <w:marBottom w:val="0"/>
      <w:divBdr>
        <w:top w:val="none" w:sz="0" w:space="0" w:color="auto"/>
        <w:left w:val="none" w:sz="0" w:space="0" w:color="auto"/>
        <w:bottom w:val="none" w:sz="0" w:space="0" w:color="auto"/>
        <w:right w:val="none" w:sz="0" w:space="0" w:color="auto"/>
      </w:divBdr>
    </w:div>
    <w:div w:id="1979336506">
      <w:bodyDiv w:val="1"/>
      <w:marLeft w:val="0"/>
      <w:marRight w:val="0"/>
      <w:marTop w:val="0"/>
      <w:marBottom w:val="0"/>
      <w:divBdr>
        <w:top w:val="none" w:sz="0" w:space="0" w:color="auto"/>
        <w:left w:val="none" w:sz="0" w:space="0" w:color="auto"/>
        <w:bottom w:val="none" w:sz="0" w:space="0" w:color="auto"/>
        <w:right w:val="none" w:sz="0" w:space="0" w:color="auto"/>
      </w:divBdr>
    </w:div>
    <w:div w:id="1979413236">
      <w:bodyDiv w:val="1"/>
      <w:marLeft w:val="0"/>
      <w:marRight w:val="0"/>
      <w:marTop w:val="0"/>
      <w:marBottom w:val="0"/>
      <w:divBdr>
        <w:top w:val="none" w:sz="0" w:space="0" w:color="auto"/>
        <w:left w:val="none" w:sz="0" w:space="0" w:color="auto"/>
        <w:bottom w:val="none" w:sz="0" w:space="0" w:color="auto"/>
        <w:right w:val="none" w:sz="0" w:space="0" w:color="auto"/>
      </w:divBdr>
    </w:div>
    <w:div w:id="1979992676">
      <w:bodyDiv w:val="1"/>
      <w:marLeft w:val="0"/>
      <w:marRight w:val="0"/>
      <w:marTop w:val="0"/>
      <w:marBottom w:val="0"/>
      <w:divBdr>
        <w:top w:val="none" w:sz="0" w:space="0" w:color="auto"/>
        <w:left w:val="none" w:sz="0" w:space="0" w:color="auto"/>
        <w:bottom w:val="none" w:sz="0" w:space="0" w:color="auto"/>
        <w:right w:val="none" w:sz="0" w:space="0" w:color="auto"/>
      </w:divBdr>
    </w:div>
    <w:div w:id="1979994583">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0911542">
      <w:bodyDiv w:val="1"/>
      <w:marLeft w:val="0"/>
      <w:marRight w:val="0"/>
      <w:marTop w:val="0"/>
      <w:marBottom w:val="0"/>
      <w:divBdr>
        <w:top w:val="none" w:sz="0" w:space="0" w:color="auto"/>
        <w:left w:val="none" w:sz="0" w:space="0" w:color="auto"/>
        <w:bottom w:val="none" w:sz="0" w:space="0" w:color="auto"/>
        <w:right w:val="none" w:sz="0" w:space="0" w:color="auto"/>
      </w:divBdr>
    </w:div>
    <w:div w:id="1981811127">
      <w:bodyDiv w:val="1"/>
      <w:marLeft w:val="0"/>
      <w:marRight w:val="0"/>
      <w:marTop w:val="0"/>
      <w:marBottom w:val="0"/>
      <w:divBdr>
        <w:top w:val="none" w:sz="0" w:space="0" w:color="auto"/>
        <w:left w:val="none" w:sz="0" w:space="0" w:color="auto"/>
        <w:bottom w:val="none" w:sz="0" w:space="0" w:color="auto"/>
        <w:right w:val="none" w:sz="0" w:space="0" w:color="auto"/>
      </w:divBdr>
    </w:div>
    <w:div w:id="1981957172">
      <w:bodyDiv w:val="1"/>
      <w:marLeft w:val="0"/>
      <w:marRight w:val="0"/>
      <w:marTop w:val="0"/>
      <w:marBottom w:val="0"/>
      <w:divBdr>
        <w:top w:val="none" w:sz="0" w:space="0" w:color="auto"/>
        <w:left w:val="none" w:sz="0" w:space="0" w:color="auto"/>
        <w:bottom w:val="none" w:sz="0" w:space="0" w:color="auto"/>
        <w:right w:val="none" w:sz="0" w:space="0" w:color="auto"/>
      </w:divBdr>
    </w:div>
    <w:div w:id="1982268102">
      <w:bodyDiv w:val="1"/>
      <w:marLeft w:val="0"/>
      <w:marRight w:val="0"/>
      <w:marTop w:val="0"/>
      <w:marBottom w:val="0"/>
      <w:divBdr>
        <w:top w:val="none" w:sz="0" w:space="0" w:color="auto"/>
        <w:left w:val="none" w:sz="0" w:space="0" w:color="auto"/>
        <w:bottom w:val="none" w:sz="0" w:space="0" w:color="auto"/>
        <w:right w:val="none" w:sz="0" w:space="0" w:color="auto"/>
      </w:divBdr>
    </w:div>
    <w:div w:id="1982419138">
      <w:bodyDiv w:val="1"/>
      <w:marLeft w:val="0"/>
      <w:marRight w:val="0"/>
      <w:marTop w:val="0"/>
      <w:marBottom w:val="0"/>
      <w:divBdr>
        <w:top w:val="none" w:sz="0" w:space="0" w:color="auto"/>
        <w:left w:val="none" w:sz="0" w:space="0" w:color="auto"/>
        <w:bottom w:val="none" w:sz="0" w:space="0" w:color="auto"/>
        <w:right w:val="none" w:sz="0" w:space="0" w:color="auto"/>
      </w:divBdr>
    </w:div>
    <w:div w:id="1982729408">
      <w:bodyDiv w:val="1"/>
      <w:marLeft w:val="0"/>
      <w:marRight w:val="0"/>
      <w:marTop w:val="0"/>
      <w:marBottom w:val="0"/>
      <w:divBdr>
        <w:top w:val="none" w:sz="0" w:space="0" w:color="auto"/>
        <w:left w:val="none" w:sz="0" w:space="0" w:color="auto"/>
        <w:bottom w:val="none" w:sz="0" w:space="0" w:color="auto"/>
        <w:right w:val="none" w:sz="0" w:space="0" w:color="auto"/>
      </w:divBdr>
    </w:div>
    <w:div w:id="1982927049">
      <w:bodyDiv w:val="1"/>
      <w:marLeft w:val="0"/>
      <w:marRight w:val="0"/>
      <w:marTop w:val="0"/>
      <w:marBottom w:val="0"/>
      <w:divBdr>
        <w:top w:val="none" w:sz="0" w:space="0" w:color="auto"/>
        <w:left w:val="none" w:sz="0" w:space="0" w:color="auto"/>
        <w:bottom w:val="none" w:sz="0" w:space="0" w:color="auto"/>
        <w:right w:val="none" w:sz="0" w:space="0" w:color="auto"/>
      </w:divBdr>
    </w:div>
    <w:div w:id="1983076108">
      <w:bodyDiv w:val="1"/>
      <w:marLeft w:val="0"/>
      <w:marRight w:val="0"/>
      <w:marTop w:val="0"/>
      <w:marBottom w:val="0"/>
      <w:divBdr>
        <w:top w:val="none" w:sz="0" w:space="0" w:color="auto"/>
        <w:left w:val="none" w:sz="0" w:space="0" w:color="auto"/>
        <w:bottom w:val="none" w:sz="0" w:space="0" w:color="auto"/>
        <w:right w:val="none" w:sz="0" w:space="0" w:color="auto"/>
      </w:divBdr>
    </w:div>
    <w:div w:id="1983458603">
      <w:bodyDiv w:val="1"/>
      <w:marLeft w:val="0"/>
      <w:marRight w:val="0"/>
      <w:marTop w:val="0"/>
      <w:marBottom w:val="0"/>
      <w:divBdr>
        <w:top w:val="none" w:sz="0" w:space="0" w:color="auto"/>
        <w:left w:val="none" w:sz="0" w:space="0" w:color="auto"/>
        <w:bottom w:val="none" w:sz="0" w:space="0" w:color="auto"/>
        <w:right w:val="none" w:sz="0" w:space="0" w:color="auto"/>
      </w:divBdr>
    </w:div>
    <w:div w:id="1983581694">
      <w:bodyDiv w:val="1"/>
      <w:marLeft w:val="0"/>
      <w:marRight w:val="0"/>
      <w:marTop w:val="0"/>
      <w:marBottom w:val="0"/>
      <w:divBdr>
        <w:top w:val="none" w:sz="0" w:space="0" w:color="auto"/>
        <w:left w:val="none" w:sz="0" w:space="0" w:color="auto"/>
        <w:bottom w:val="none" w:sz="0" w:space="0" w:color="auto"/>
        <w:right w:val="none" w:sz="0" w:space="0" w:color="auto"/>
      </w:divBdr>
    </w:div>
    <w:div w:id="1983655992">
      <w:bodyDiv w:val="1"/>
      <w:marLeft w:val="0"/>
      <w:marRight w:val="0"/>
      <w:marTop w:val="0"/>
      <w:marBottom w:val="0"/>
      <w:divBdr>
        <w:top w:val="none" w:sz="0" w:space="0" w:color="auto"/>
        <w:left w:val="none" w:sz="0" w:space="0" w:color="auto"/>
        <w:bottom w:val="none" w:sz="0" w:space="0" w:color="auto"/>
        <w:right w:val="none" w:sz="0" w:space="0" w:color="auto"/>
      </w:divBdr>
    </w:div>
    <w:div w:id="1983801419">
      <w:bodyDiv w:val="1"/>
      <w:marLeft w:val="0"/>
      <w:marRight w:val="0"/>
      <w:marTop w:val="0"/>
      <w:marBottom w:val="0"/>
      <w:divBdr>
        <w:top w:val="none" w:sz="0" w:space="0" w:color="auto"/>
        <w:left w:val="none" w:sz="0" w:space="0" w:color="auto"/>
        <w:bottom w:val="none" w:sz="0" w:space="0" w:color="auto"/>
        <w:right w:val="none" w:sz="0" w:space="0" w:color="auto"/>
      </w:divBdr>
    </w:div>
    <w:div w:id="1984574640">
      <w:bodyDiv w:val="1"/>
      <w:marLeft w:val="0"/>
      <w:marRight w:val="0"/>
      <w:marTop w:val="0"/>
      <w:marBottom w:val="0"/>
      <w:divBdr>
        <w:top w:val="none" w:sz="0" w:space="0" w:color="auto"/>
        <w:left w:val="none" w:sz="0" w:space="0" w:color="auto"/>
        <w:bottom w:val="none" w:sz="0" w:space="0" w:color="auto"/>
        <w:right w:val="none" w:sz="0" w:space="0" w:color="auto"/>
      </w:divBdr>
    </w:div>
    <w:div w:id="1985087471">
      <w:bodyDiv w:val="1"/>
      <w:marLeft w:val="0"/>
      <w:marRight w:val="0"/>
      <w:marTop w:val="0"/>
      <w:marBottom w:val="0"/>
      <w:divBdr>
        <w:top w:val="none" w:sz="0" w:space="0" w:color="auto"/>
        <w:left w:val="none" w:sz="0" w:space="0" w:color="auto"/>
        <w:bottom w:val="none" w:sz="0" w:space="0" w:color="auto"/>
        <w:right w:val="none" w:sz="0" w:space="0" w:color="auto"/>
      </w:divBdr>
    </w:div>
    <w:div w:id="1985306520">
      <w:bodyDiv w:val="1"/>
      <w:marLeft w:val="0"/>
      <w:marRight w:val="0"/>
      <w:marTop w:val="0"/>
      <w:marBottom w:val="0"/>
      <w:divBdr>
        <w:top w:val="none" w:sz="0" w:space="0" w:color="auto"/>
        <w:left w:val="none" w:sz="0" w:space="0" w:color="auto"/>
        <w:bottom w:val="none" w:sz="0" w:space="0" w:color="auto"/>
        <w:right w:val="none" w:sz="0" w:space="0" w:color="auto"/>
      </w:divBdr>
    </w:div>
    <w:div w:id="1985888804">
      <w:bodyDiv w:val="1"/>
      <w:marLeft w:val="0"/>
      <w:marRight w:val="0"/>
      <w:marTop w:val="0"/>
      <w:marBottom w:val="0"/>
      <w:divBdr>
        <w:top w:val="none" w:sz="0" w:space="0" w:color="auto"/>
        <w:left w:val="none" w:sz="0" w:space="0" w:color="auto"/>
        <w:bottom w:val="none" w:sz="0" w:space="0" w:color="auto"/>
        <w:right w:val="none" w:sz="0" w:space="0" w:color="auto"/>
      </w:divBdr>
    </w:div>
    <w:div w:id="1985889566">
      <w:bodyDiv w:val="1"/>
      <w:marLeft w:val="0"/>
      <w:marRight w:val="0"/>
      <w:marTop w:val="0"/>
      <w:marBottom w:val="0"/>
      <w:divBdr>
        <w:top w:val="none" w:sz="0" w:space="0" w:color="auto"/>
        <w:left w:val="none" w:sz="0" w:space="0" w:color="auto"/>
        <w:bottom w:val="none" w:sz="0" w:space="0" w:color="auto"/>
        <w:right w:val="none" w:sz="0" w:space="0" w:color="auto"/>
      </w:divBdr>
    </w:div>
    <w:div w:id="1986397837">
      <w:bodyDiv w:val="1"/>
      <w:marLeft w:val="0"/>
      <w:marRight w:val="0"/>
      <w:marTop w:val="0"/>
      <w:marBottom w:val="0"/>
      <w:divBdr>
        <w:top w:val="none" w:sz="0" w:space="0" w:color="auto"/>
        <w:left w:val="none" w:sz="0" w:space="0" w:color="auto"/>
        <w:bottom w:val="none" w:sz="0" w:space="0" w:color="auto"/>
        <w:right w:val="none" w:sz="0" w:space="0" w:color="auto"/>
      </w:divBdr>
    </w:div>
    <w:div w:id="1986855206">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86933142">
      <w:bodyDiv w:val="1"/>
      <w:marLeft w:val="0"/>
      <w:marRight w:val="0"/>
      <w:marTop w:val="0"/>
      <w:marBottom w:val="0"/>
      <w:divBdr>
        <w:top w:val="none" w:sz="0" w:space="0" w:color="auto"/>
        <w:left w:val="none" w:sz="0" w:space="0" w:color="auto"/>
        <w:bottom w:val="none" w:sz="0" w:space="0" w:color="auto"/>
        <w:right w:val="none" w:sz="0" w:space="0" w:color="auto"/>
      </w:divBdr>
    </w:div>
    <w:div w:id="1987469934">
      <w:bodyDiv w:val="1"/>
      <w:marLeft w:val="0"/>
      <w:marRight w:val="0"/>
      <w:marTop w:val="0"/>
      <w:marBottom w:val="0"/>
      <w:divBdr>
        <w:top w:val="none" w:sz="0" w:space="0" w:color="auto"/>
        <w:left w:val="none" w:sz="0" w:space="0" w:color="auto"/>
        <w:bottom w:val="none" w:sz="0" w:space="0" w:color="auto"/>
        <w:right w:val="none" w:sz="0" w:space="0" w:color="auto"/>
      </w:divBdr>
    </w:div>
    <w:div w:id="1987661959">
      <w:bodyDiv w:val="1"/>
      <w:marLeft w:val="0"/>
      <w:marRight w:val="0"/>
      <w:marTop w:val="0"/>
      <w:marBottom w:val="0"/>
      <w:divBdr>
        <w:top w:val="none" w:sz="0" w:space="0" w:color="auto"/>
        <w:left w:val="none" w:sz="0" w:space="0" w:color="auto"/>
        <w:bottom w:val="none" w:sz="0" w:space="0" w:color="auto"/>
        <w:right w:val="none" w:sz="0" w:space="0" w:color="auto"/>
      </w:divBdr>
    </w:div>
    <w:div w:id="1987972011">
      <w:bodyDiv w:val="1"/>
      <w:marLeft w:val="0"/>
      <w:marRight w:val="0"/>
      <w:marTop w:val="0"/>
      <w:marBottom w:val="0"/>
      <w:divBdr>
        <w:top w:val="none" w:sz="0" w:space="0" w:color="auto"/>
        <w:left w:val="none" w:sz="0" w:space="0" w:color="auto"/>
        <w:bottom w:val="none" w:sz="0" w:space="0" w:color="auto"/>
        <w:right w:val="none" w:sz="0" w:space="0" w:color="auto"/>
      </w:divBdr>
    </w:div>
    <w:div w:id="1987978230">
      <w:bodyDiv w:val="1"/>
      <w:marLeft w:val="0"/>
      <w:marRight w:val="0"/>
      <w:marTop w:val="0"/>
      <w:marBottom w:val="0"/>
      <w:divBdr>
        <w:top w:val="none" w:sz="0" w:space="0" w:color="auto"/>
        <w:left w:val="none" w:sz="0" w:space="0" w:color="auto"/>
        <w:bottom w:val="none" w:sz="0" w:space="0" w:color="auto"/>
        <w:right w:val="none" w:sz="0" w:space="0" w:color="auto"/>
      </w:divBdr>
    </w:div>
    <w:div w:id="1988121817">
      <w:bodyDiv w:val="1"/>
      <w:marLeft w:val="0"/>
      <w:marRight w:val="0"/>
      <w:marTop w:val="0"/>
      <w:marBottom w:val="0"/>
      <w:divBdr>
        <w:top w:val="none" w:sz="0" w:space="0" w:color="auto"/>
        <w:left w:val="none" w:sz="0" w:space="0" w:color="auto"/>
        <w:bottom w:val="none" w:sz="0" w:space="0" w:color="auto"/>
        <w:right w:val="none" w:sz="0" w:space="0" w:color="auto"/>
      </w:divBdr>
    </w:div>
    <w:div w:id="1988165734">
      <w:bodyDiv w:val="1"/>
      <w:marLeft w:val="0"/>
      <w:marRight w:val="0"/>
      <w:marTop w:val="0"/>
      <w:marBottom w:val="0"/>
      <w:divBdr>
        <w:top w:val="none" w:sz="0" w:space="0" w:color="auto"/>
        <w:left w:val="none" w:sz="0" w:space="0" w:color="auto"/>
        <w:bottom w:val="none" w:sz="0" w:space="0" w:color="auto"/>
        <w:right w:val="none" w:sz="0" w:space="0" w:color="auto"/>
      </w:divBdr>
    </w:div>
    <w:div w:id="1988318064">
      <w:bodyDiv w:val="1"/>
      <w:marLeft w:val="0"/>
      <w:marRight w:val="0"/>
      <w:marTop w:val="0"/>
      <w:marBottom w:val="0"/>
      <w:divBdr>
        <w:top w:val="none" w:sz="0" w:space="0" w:color="auto"/>
        <w:left w:val="none" w:sz="0" w:space="0" w:color="auto"/>
        <w:bottom w:val="none" w:sz="0" w:space="0" w:color="auto"/>
        <w:right w:val="none" w:sz="0" w:space="0" w:color="auto"/>
      </w:divBdr>
    </w:div>
    <w:div w:id="1988318785">
      <w:bodyDiv w:val="1"/>
      <w:marLeft w:val="0"/>
      <w:marRight w:val="0"/>
      <w:marTop w:val="0"/>
      <w:marBottom w:val="0"/>
      <w:divBdr>
        <w:top w:val="none" w:sz="0" w:space="0" w:color="auto"/>
        <w:left w:val="none" w:sz="0" w:space="0" w:color="auto"/>
        <w:bottom w:val="none" w:sz="0" w:space="0" w:color="auto"/>
        <w:right w:val="none" w:sz="0" w:space="0" w:color="auto"/>
      </w:divBdr>
    </w:div>
    <w:div w:id="1988583974">
      <w:bodyDiv w:val="1"/>
      <w:marLeft w:val="0"/>
      <w:marRight w:val="0"/>
      <w:marTop w:val="0"/>
      <w:marBottom w:val="0"/>
      <w:divBdr>
        <w:top w:val="none" w:sz="0" w:space="0" w:color="auto"/>
        <w:left w:val="none" w:sz="0" w:space="0" w:color="auto"/>
        <w:bottom w:val="none" w:sz="0" w:space="0" w:color="auto"/>
        <w:right w:val="none" w:sz="0" w:space="0" w:color="auto"/>
      </w:divBdr>
    </w:div>
    <w:div w:id="1988781944">
      <w:bodyDiv w:val="1"/>
      <w:marLeft w:val="0"/>
      <w:marRight w:val="0"/>
      <w:marTop w:val="0"/>
      <w:marBottom w:val="0"/>
      <w:divBdr>
        <w:top w:val="none" w:sz="0" w:space="0" w:color="auto"/>
        <w:left w:val="none" w:sz="0" w:space="0" w:color="auto"/>
        <w:bottom w:val="none" w:sz="0" w:space="0" w:color="auto"/>
        <w:right w:val="none" w:sz="0" w:space="0" w:color="auto"/>
      </w:divBdr>
    </w:div>
    <w:div w:id="1989280337">
      <w:bodyDiv w:val="1"/>
      <w:marLeft w:val="0"/>
      <w:marRight w:val="0"/>
      <w:marTop w:val="0"/>
      <w:marBottom w:val="0"/>
      <w:divBdr>
        <w:top w:val="none" w:sz="0" w:space="0" w:color="auto"/>
        <w:left w:val="none" w:sz="0" w:space="0" w:color="auto"/>
        <w:bottom w:val="none" w:sz="0" w:space="0" w:color="auto"/>
        <w:right w:val="none" w:sz="0" w:space="0" w:color="auto"/>
      </w:divBdr>
    </w:div>
    <w:div w:id="1989700011">
      <w:bodyDiv w:val="1"/>
      <w:marLeft w:val="0"/>
      <w:marRight w:val="0"/>
      <w:marTop w:val="0"/>
      <w:marBottom w:val="0"/>
      <w:divBdr>
        <w:top w:val="none" w:sz="0" w:space="0" w:color="auto"/>
        <w:left w:val="none" w:sz="0" w:space="0" w:color="auto"/>
        <w:bottom w:val="none" w:sz="0" w:space="0" w:color="auto"/>
        <w:right w:val="none" w:sz="0" w:space="0" w:color="auto"/>
      </w:divBdr>
    </w:div>
    <w:div w:id="1989825128">
      <w:bodyDiv w:val="1"/>
      <w:marLeft w:val="0"/>
      <w:marRight w:val="0"/>
      <w:marTop w:val="0"/>
      <w:marBottom w:val="0"/>
      <w:divBdr>
        <w:top w:val="none" w:sz="0" w:space="0" w:color="auto"/>
        <w:left w:val="none" w:sz="0" w:space="0" w:color="auto"/>
        <w:bottom w:val="none" w:sz="0" w:space="0" w:color="auto"/>
        <w:right w:val="none" w:sz="0" w:space="0" w:color="auto"/>
      </w:divBdr>
    </w:div>
    <w:div w:id="1990278432">
      <w:bodyDiv w:val="1"/>
      <w:marLeft w:val="0"/>
      <w:marRight w:val="0"/>
      <w:marTop w:val="0"/>
      <w:marBottom w:val="0"/>
      <w:divBdr>
        <w:top w:val="none" w:sz="0" w:space="0" w:color="auto"/>
        <w:left w:val="none" w:sz="0" w:space="0" w:color="auto"/>
        <w:bottom w:val="none" w:sz="0" w:space="0" w:color="auto"/>
        <w:right w:val="none" w:sz="0" w:space="0" w:color="auto"/>
      </w:divBdr>
    </w:div>
    <w:div w:id="1990400441">
      <w:bodyDiv w:val="1"/>
      <w:marLeft w:val="0"/>
      <w:marRight w:val="0"/>
      <w:marTop w:val="0"/>
      <w:marBottom w:val="0"/>
      <w:divBdr>
        <w:top w:val="none" w:sz="0" w:space="0" w:color="auto"/>
        <w:left w:val="none" w:sz="0" w:space="0" w:color="auto"/>
        <w:bottom w:val="none" w:sz="0" w:space="0" w:color="auto"/>
        <w:right w:val="none" w:sz="0" w:space="0" w:color="auto"/>
      </w:divBdr>
    </w:div>
    <w:div w:id="1990667628">
      <w:bodyDiv w:val="1"/>
      <w:marLeft w:val="0"/>
      <w:marRight w:val="0"/>
      <w:marTop w:val="0"/>
      <w:marBottom w:val="0"/>
      <w:divBdr>
        <w:top w:val="none" w:sz="0" w:space="0" w:color="auto"/>
        <w:left w:val="none" w:sz="0" w:space="0" w:color="auto"/>
        <w:bottom w:val="none" w:sz="0" w:space="0" w:color="auto"/>
        <w:right w:val="none" w:sz="0" w:space="0" w:color="auto"/>
      </w:divBdr>
    </w:div>
    <w:div w:id="1991246077">
      <w:bodyDiv w:val="1"/>
      <w:marLeft w:val="0"/>
      <w:marRight w:val="0"/>
      <w:marTop w:val="0"/>
      <w:marBottom w:val="0"/>
      <w:divBdr>
        <w:top w:val="none" w:sz="0" w:space="0" w:color="auto"/>
        <w:left w:val="none" w:sz="0" w:space="0" w:color="auto"/>
        <w:bottom w:val="none" w:sz="0" w:space="0" w:color="auto"/>
        <w:right w:val="none" w:sz="0" w:space="0" w:color="auto"/>
      </w:divBdr>
    </w:div>
    <w:div w:id="1991278437">
      <w:bodyDiv w:val="1"/>
      <w:marLeft w:val="0"/>
      <w:marRight w:val="0"/>
      <w:marTop w:val="0"/>
      <w:marBottom w:val="0"/>
      <w:divBdr>
        <w:top w:val="none" w:sz="0" w:space="0" w:color="auto"/>
        <w:left w:val="none" w:sz="0" w:space="0" w:color="auto"/>
        <w:bottom w:val="none" w:sz="0" w:space="0" w:color="auto"/>
        <w:right w:val="none" w:sz="0" w:space="0" w:color="auto"/>
      </w:divBdr>
    </w:div>
    <w:div w:id="1991664508">
      <w:bodyDiv w:val="1"/>
      <w:marLeft w:val="0"/>
      <w:marRight w:val="0"/>
      <w:marTop w:val="0"/>
      <w:marBottom w:val="0"/>
      <w:divBdr>
        <w:top w:val="none" w:sz="0" w:space="0" w:color="auto"/>
        <w:left w:val="none" w:sz="0" w:space="0" w:color="auto"/>
        <w:bottom w:val="none" w:sz="0" w:space="0" w:color="auto"/>
        <w:right w:val="none" w:sz="0" w:space="0" w:color="auto"/>
      </w:divBdr>
    </w:div>
    <w:div w:id="1992517349">
      <w:bodyDiv w:val="1"/>
      <w:marLeft w:val="0"/>
      <w:marRight w:val="0"/>
      <w:marTop w:val="0"/>
      <w:marBottom w:val="0"/>
      <w:divBdr>
        <w:top w:val="none" w:sz="0" w:space="0" w:color="auto"/>
        <w:left w:val="none" w:sz="0" w:space="0" w:color="auto"/>
        <w:bottom w:val="none" w:sz="0" w:space="0" w:color="auto"/>
        <w:right w:val="none" w:sz="0" w:space="0" w:color="auto"/>
      </w:divBdr>
    </w:div>
    <w:div w:id="1993369401">
      <w:bodyDiv w:val="1"/>
      <w:marLeft w:val="0"/>
      <w:marRight w:val="0"/>
      <w:marTop w:val="0"/>
      <w:marBottom w:val="0"/>
      <w:divBdr>
        <w:top w:val="none" w:sz="0" w:space="0" w:color="auto"/>
        <w:left w:val="none" w:sz="0" w:space="0" w:color="auto"/>
        <w:bottom w:val="none" w:sz="0" w:space="0" w:color="auto"/>
        <w:right w:val="none" w:sz="0" w:space="0" w:color="auto"/>
      </w:divBdr>
    </w:div>
    <w:div w:id="1993441267">
      <w:bodyDiv w:val="1"/>
      <w:marLeft w:val="0"/>
      <w:marRight w:val="0"/>
      <w:marTop w:val="0"/>
      <w:marBottom w:val="0"/>
      <w:divBdr>
        <w:top w:val="none" w:sz="0" w:space="0" w:color="auto"/>
        <w:left w:val="none" w:sz="0" w:space="0" w:color="auto"/>
        <w:bottom w:val="none" w:sz="0" w:space="0" w:color="auto"/>
        <w:right w:val="none" w:sz="0" w:space="0" w:color="auto"/>
      </w:divBdr>
    </w:div>
    <w:div w:id="1994215769">
      <w:bodyDiv w:val="1"/>
      <w:marLeft w:val="0"/>
      <w:marRight w:val="0"/>
      <w:marTop w:val="0"/>
      <w:marBottom w:val="0"/>
      <w:divBdr>
        <w:top w:val="none" w:sz="0" w:space="0" w:color="auto"/>
        <w:left w:val="none" w:sz="0" w:space="0" w:color="auto"/>
        <w:bottom w:val="none" w:sz="0" w:space="0" w:color="auto"/>
        <w:right w:val="none" w:sz="0" w:space="0" w:color="auto"/>
      </w:divBdr>
    </w:div>
    <w:div w:id="1994529584">
      <w:bodyDiv w:val="1"/>
      <w:marLeft w:val="0"/>
      <w:marRight w:val="0"/>
      <w:marTop w:val="0"/>
      <w:marBottom w:val="0"/>
      <w:divBdr>
        <w:top w:val="none" w:sz="0" w:space="0" w:color="auto"/>
        <w:left w:val="none" w:sz="0" w:space="0" w:color="auto"/>
        <w:bottom w:val="none" w:sz="0" w:space="0" w:color="auto"/>
        <w:right w:val="none" w:sz="0" w:space="0" w:color="auto"/>
      </w:divBdr>
    </w:div>
    <w:div w:id="1994675789">
      <w:bodyDiv w:val="1"/>
      <w:marLeft w:val="0"/>
      <w:marRight w:val="0"/>
      <w:marTop w:val="0"/>
      <w:marBottom w:val="0"/>
      <w:divBdr>
        <w:top w:val="none" w:sz="0" w:space="0" w:color="auto"/>
        <w:left w:val="none" w:sz="0" w:space="0" w:color="auto"/>
        <w:bottom w:val="none" w:sz="0" w:space="0" w:color="auto"/>
        <w:right w:val="none" w:sz="0" w:space="0" w:color="auto"/>
      </w:divBdr>
    </w:div>
    <w:div w:id="1994747896">
      <w:bodyDiv w:val="1"/>
      <w:marLeft w:val="0"/>
      <w:marRight w:val="0"/>
      <w:marTop w:val="0"/>
      <w:marBottom w:val="0"/>
      <w:divBdr>
        <w:top w:val="none" w:sz="0" w:space="0" w:color="auto"/>
        <w:left w:val="none" w:sz="0" w:space="0" w:color="auto"/>
        <w:bottom w:val="none" w:sz="0" w:space="0" w:color="auto"/>
        <w:right w:val="none" w:sz="0" w:space="0" w:color="auto"/>
      </w:divBdr>
    </w:div>
    <w:div w:id="1995060827">
      <w:bodyDiv w:val="1"/>
      <w:marLeft w:val="0"/>
      <w:marRight w:val="0"/>
      <w:marTop w:val="0"/>
      <w:marBottom w:val="0"/>
      <w:divBdr>
        <w:top w:val="none" w:sz="0" w:space="0" w:color="auto"/>
        <w:left w:val="none" w:sz="0" w:space="0" w:color="auto"/>
        <w:bottom w:val="none" w:sz="0" w:space="0" w:color="auto"/>
        <w:right w:val="none" w:sz="0" w:space="0" w:color="auto"/>
      </w:divBdr>
    </w:div>
    <w:div w:id="1995065535">
      <w:bodyDiv w:val="1"/>
      <w:marLeft w:val="0"/>
      <w:marRight w:val="0"/>
      <w:marTop w:val="0"/>
      <w:marBottom w:val="0"/>
      <w:divBdr>
        <w:top w:val="none" w:sz="0" w:space="0" w:color="auto"/>
        <w:left w:val="none" w:sz="0" w:space="0" w:color="auto"/>
        <w:bottom w:val="none" w:sz="0" w:space="0" w:color="auto"/>
        <w:right w:val="none" w:sz="0" w:space="0" w:color="auto"/>
      </w:divBdr>
    </w:div>
    <w:div w:id="1995335912">
      <w:bodyDiv w:val="1"/>
      <w:marLeft w:val="0"/>
      <w:marRight w:val="0"/>
      <w:marTop w:val="0"/>
      <w:marBottom w:val="0"/>
      <w:divBdr>
        <w:top w:val="none" w:sz="0" w:space="0" w:color="auto"/>
        <w:left w:val="none" w:sz="0" w:space="0" w:color="auto"/>
        <w:bottom w:val="none" w:sz="0" w:space="0" w:color="auto"/>
        <w:right w:val="none" w:sz="0" w:space="0" w:color="auto"/>
      </w:divBdr>
    </w:div>
    <w:div w:id="1995446951">
      <w:bodyDiv w:val="1"/>
      <w:marLeft w:val="0"/>
      <w:marRight w:val="0"/>
      <w:marTop w:val="0"/>
      <w:marBottom w:val="0"/>
      <w:divBdr>
        <w:top w:val="none" w:sz="0" w:space="0" w:color="auto"/>
        <w:left w:val="none" w:sz="0" w:space="0" w:color="auto"/>
        <w:bottom w:val="none" w:sz="0" w:space="0" w:color="auto"/>
        <w:right w:val="none" w:sz="0" w:space="0" w:color="auto"/>
      </w:divBdr>
    </w:div>
    <w:div w:id="1995599445">
      <w:bodyDiv w:val="1"/>
      <w:marLeft w:val="0"/>
      <w:marRight w:val="0"/>
      <w:marTop w:val="0"/>
      <w:marBottom w:val="0"/>
      <w:divBdr>
        <w:top w:val="none" w:sz="0" w:space="0" w:color="auto"/>
        <w:left w:val="none" w:sz="0" w:space="0" w:color="auto"/>
        <w:bottom w:val="none" w:sz="0" w:space="0" w:color="auto"/>
        <w:right w:val="none" w:sz="0" w:space="0" w:color="auto"/>
      </w:divBdr>
    </w:div>
    <w:div w:id="1996061559">
      <w:bodyDiv w:val="1"/>
      <w:marLeft w:val="0"/>
      <w:marRight w:val="0"/>
      <w:marTop w:val="0"/>
      <w:marBottom w:val="0"/>
      <w:divBdr>
        <w:top w:val="none" w:sz="0" w:space="0" w:color="auto"/>
        <w:left w:val="none" w:sz="0" w:space="0" w:color="auto"/>
        <w:bottom w:val="none" w:sz="0" w:space="0" w:color="auto"/>
        <w:right w:val="none" w:sz="0" w:space="0" w:color="auto"/>
      </w:divBdr>
    </w:div>
    <w:div w:id="1996176047">
      <w:bodyDiv w:val="1"/>
      <w:marLeft w:val="0"/>
      <w:marRight w:val="0"/>
      <w:marTop w:val="0"/>
      <w:marBottom w:val="0"/>
      <w:divBdr>
        <w:top w:val="none" w:sz="0" w:space="0" w:color="auto"/>
        <w:left w:val="none" w:sz="0" w:space="0" w:color="auto"/>
        <w:bottom w:val="none" w:sz="0" w:space="0" w:color="auto"/>
        <w:right w:val="none" w:sz="0" w:space="0" w:color="auto"/>
      </w:divBdr>
    </w:div>
    <w:div w:id="1996176123">
      <w:bodyDiv w:val="1"/>
      <w:marLeft w:val="0"/>
      <w:marRight w:val="0"/>
      <w:marTop w:val="0"/>
      <w:marBottom w:val="0"/>
      <w:divBdr>
        <w:top w:val="none" w:sz="0" w:space="0" w:color="auto"/>
        <w:left w:val="none" w:sz="0" w:space="0" w:color="auto"/>
        <w:bottom w:val="none" w:sz="0" w:space="0" w:color="auto"/>
        <w:right w:val="none" w:sz="0" w:space="0" w:color="auto"/>
      </w:divBdr>
    </w:div>
    <w:div w:id="1996489641">
      <w:bodyDiv w:val="1"/>
      <w:marLeft w:val="0"/>
      <w:marRight w:val="0"/>
      <w:marTop w:val="0"/>
      <w:marBottom w:val="0"/>
      <w:divBdr>
        <w:top w:val="none" w:sz="0" w:space="0" w:color="auto"/>
        <w:left w:val="none" w:sz="0" w:space="0" w:color="auto"/>
        <w:bottom w:val="none" w:sz="0" w:space="0" w:color="auto"/>
        <w:right w:val="none" w:sz="0" w:space="0" w:color="auto"/>
      </w:divBdr>
    </w:div>
    <w:div w:id="1996949727">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1997755077">
      <w:bodyDiv w:val="1"/>
      <w:marLeft w:val="0"/>
      <w:marRight w:val="0"/>
      <w:marTop w:val="0"/>
      <w:marBottom w:val="0"/>
      <w:divBdr>
        <w:top w:val="none" w:sz="0" w:space="0" w:color="auto"/>
        <w:left w:val="none" w:sz="0" w:space="0" w:color="auto"/>
        <w:bottom w:val="none" w:sz="0" w:space="0" w:color="auto"/>
        <w:right w:val="none" w:sz="0" w:space="0" w:color="auto"/>
      </w:divBdr>
    </w:div>
    <w:div w:id="1998222308">
      <w:bodyDiv w:val="1"/>
      <w:marLeft w:val="0"/>
      <w:marRight w:val="0"/>
      <w:marTop w:val="0"/>
      <w:marBottom w:val="0"/>
      <w:divBdr>
        <w:top w:val="none" w:sz="0" w:space="0" w:color="auto"/>
        <w:left w:val="none" w:sz="0" w:space="0" w:color="auto"/>
        <w:bottom w:val="none" w:sz="0" w:space="0" w:color="auto"/>
        <w:right w:val="none" w:sz="0" w:space="0" w:color="auto"/>
      </w:divBdr>
    </w:div>
    <w:div w:id="1998344080">
      <w:bodyDiv w:val="1"/>
      <w:marLeft w:val="0"/>
      <w:marRight w:val="0"/>
      <w:marTop w:val="0"/>
      <w:marBottom w:val="0"/>
      <w:divBdr>
        <w:top w:val="none" w:sz="0" w:space="0" w:color="auto"/>
        <w:left w:val="none" w:sz="0" w:space="0" w:color="auto"/>
        <w:bottom w:val="none" w:sz="0" w:space="0" w:color="auto"/>
        <w:right w:val="none" w:sz="0" w:space="0" w:color="auto"/>
      </w:divBdr>
    </w:div>
    <w:div w:id="1998916258">
      <w:bodyDiv w:val="1"/>
      <w:marLeft w:val="0"/>
      <w:marRight w:val="0"/>
      <w:marTop w:val="0"/>
      <w:marBottom w:val="0"/>
      <w:divBdr>
        <w:top w:val="none" w:sz="0" w:space="0" w:color="auto"/>
        <w:left w:val="none" w:sz="0" w:space="0" w:color="auto"/>
        <w:bottom w:val="none" w:sz="0" w:space="0" w:color="auto"/>
        <w:right w:val="none" w:sz="0" w:space="0" w:color="auto"/>
      </w:divBdr>
    </w:div>
    <w:div w:id="1998918676">
      <w:bodyDiv w:val="1"/>
      <w:marLeft w:val="0"/>
      <w:marRight w:val="0"/>
      <w:marTop w:val="0"/>
      <w:marBottom w:val="0"/>
      <w:divBdr>
        <w:top w:val="none" w:sz="0" w:space="0" w:color="auto"/>
        <w:left w:val="none" w:sz="0" w:space="0" w:color="auto"/>
        <w:bottom w:val="none" w:sz="0" w:space="0" w:color="auto"/>
        <w:right w:val="none" w:sz="0" w:space="0" w:color="auto"/>
      </w:divBdr>
    </w:div>
    <w:div w:id="1999722064">
      <w:bodyDiv w:val="1"/>
      <w:marLeft w:val="0"/>
      <w:marRight w:val="0"/>
      <w:marTop w:val="0"/>
      <w:marBottom w:val="0"/>
      <w:divBdr>
        <w:top w:val="none" w:sz="0" w:space="0" w:color="auto"/>
        <w:left w:val="none" w:sz="0" w:space="0" w:color="auto"/>
        <w:bottom w:val="none" w:sz="0" w:space="0" w:color="auto"/>
        <w:right w:val="none" w:sz="0" w:space="0" w:color="auto"/>
      </w:divBdr>
    </w:div>
    <w:div w:id="1999993883">
      <w:bodyDiv w:val="1"/>
      <w:marLeft w:val="0"/>
      <w:marRight w:val="0"/>
      <w:marTop w:val="0"/>
      <w:marBottom w:val="0"/>
      <w:divBdr>
        <w:top w:val="none" w:sz="0" w:space="0" w:color="auto"/>
        <w:left w:val="none" w:sz="0" w:space="0" w:color="auto"/>
        <w:bottom w:val="none" w:sz="0" w:space="0" w:color="auto"/>
        <w:right w:val="none" w:sz="0" w:space="0" w:color="auto"/>
      </w:divBdr>
    </w:div>
    <w:div w:id="2000229625">
      <w:bodyDiv w:val="1"/>
      <w:marLeft w:val="0"/>
      <w:marRight w:val="0"/>
      <w:marTop w:val="0"/>
      <w:marBottom w:val="0"/>
      <w:divBdr>
        <w:top w:val="none" w:sz="0" w:space="0" w:color="auto"/>
        <w:left w:val="none" w:sz="0" w:space="0" w:color="auto"/>
        <w:bottom w:val="none" w:sz="0" w:space="0" w:color="auto"/>
        <w:right w:val="none" w:sz="0" w:space="0" w:color="auto"/>
      </w:divBdr>
    </w:div>
    <w:div w:id="2000234639">
      <w:bodyDiv w:val="1"/>
      <w:marLeft w:val="0"/>
      <w:marRight w:val="0"/>
      <w:marTop w:val="0"/>
      <w:marBottom w:val="0"/>
      <w:divBdr>
        <w:top w:val="none" w:sz="0" w:space="0" w:color="auto"/>
        <w:left w:val="none" w:sz="0" w:space="0" w:color="auto"/>
        <w:bottom w:val="none" w:sz="0" w:space="0" w:color="auto"/>
        <w:right w:val="none" w:sz="0" w:space="0" w:color="auto"/>
      </w:divBdr>
    </w:div>
    <w:div w:id="2000382386">
      <w:bodyDiv w:val="1"/>
      <w:marLeft w:val="0"/>
      <w:marRight w:val="0"/>
      <w:marTop w:val="0"/>
      <w:marBottom w:val="0"/>
      <w:divBdr>
        <w:top w:val="none" w:sz="0" w:space="0" w:color="auto"/>
        <w:left w:val="none" w:sz="0" w:space="0" w:color="auto"/>
        <w:bottom w:val="none" w:sz="0" w:space="0" w:color="auto"/>
        <w:right w:val="none" w:sz="0" w:space="0" w:color="auto"/>
      </w:divBdr>
    </w:div>
    <w:div w:id="2000422316">
      <w:bodyDiv w:val="1"/>
      <w:marLeft w:val="0"/>
      <w:marRight w:val="0"/>
      <w:marTop w:val="0"/>
      <w:marBottom w:val="0"/>
      <w:divBdr>
        <w:top w:val="none" w:sz="0" w:space="0" w:color="auto"/>
        <w:left w:val="none" w:sz="0" w:space="0" w:color="auto"/>
        <w:bottom w:val="none" w:sz="0" w:space="0" w:color="auto"/>
        <w:right w:val="none" w:sz="0" w:space="0" w:color="auto"/>
      </w:divBdr>
    </w:div>
    <w:div w:id="2000427114">
      <w:bodyDiv w:val="1"/>
      <w:marLeft w:val="0"/>
      <w:marRight w:val="0"/>
      <w:marTop w:val="0"/>
      <w:marBottom w:val="0"/>
      <w:divBdr>
        <w:top w:val="none" w:sz="0" w:space="0" w:color="auto"/>
        <w:left w:val="none" w:sz="0" w:space="0" w:color="auto"/>
        <w:bottom w:val="none" w:sz="0" w:space="0" w:color="auto"/>
        <w:right w:val="none" w:sz="0" w:space="0" w:color="auto"/>
      </w:divBdr>
    </w:div>
    <w:div w:id="2000691039">
      <w:bodyDiv w:val="1"/>
      <w:marLeft w:val="0"/>
      <w:marRight w:val="0"/>
      <w:marTop w:val="0"/>
      <w:marBottom w:val="0"/>
      <w:divBdr>
        <w:top w:val="none" w:sz="0" w:space="0" w:color="auto"/>
        <w:left w:val="none" w:sz="0" w:space="0" w:color="auto"/>
        <w:bottom w:val="none" w:sz="0" w:space="0" w:color="auto"/>
        <w:right w:val="none" w:sz="0" w:space="0" w:color="auto"/>
      </w:divBdr>
    </w:div>
    <w:div w:id="2000889711">
      <w:bodyDiv w:val="1"/>
      <w:marLeft w:val="0"/>
      <w:marRight w:val="0"/>
      <w:marTop w:val="0"/>
      <w:marBottom w:val="0"/>
      <w:divBdr>
        <w:top w:val="none" w:sz="0" w:space="0" w:color="auto"/>
        <w:left w:val="none" w:sz="0" w:space="0" w:color="auto"/>
        <w:bottom w:val="none" w:sz="0" w:space="0" w:color="auto"/>
        <w:right w:val="none" w:sz="0" w:space="0" w:color="auto"/>
      </w:divBdr>
    </w:div>
    <w:div w:id="2000961096">
      <w:bodyDiv w:val="1"/>
      <w:marLeft w:val="0"/>
      <w:marRight w:val="0"/>
      <w:marTop w:val="0"/>
      <w:marBottom w:val="0"/>
      <w:divBdr>
        <w:top w:val="none" w:sz="0" w:space="0" w:color="auto"/>
        <w:left w:val="none" w:sz="0" w:space="0" w:color="auto"/>
        <w:bottom w:val="none" w:sz="0" w:space="0" w:color="auto"/>
        <w:right w:val="none" w:sz="0" w:space="0" w:color="auto"/>
      </w:divBdr>
    </w:div>
    <w:div w:id="2001422041">
      <w:bodyDiv w:val="1"/>
      <w:marLeft w:val="0"/>
      <w:marRight w:val="0"/>
      <w:marTop w:val="0"/>
      <w:marBottom w:val="0"/>
      <w:divBdr>
        <w:top w:val="none" w:sz="0" w:space="0" w:color="auto"/>
        <w:left w:val="none" w:sz="0" w:space="0" w:color="auto"/>
        <w:bottom w:val="none" w:sz="0" w:space="0" w:color="auto"/>
        <w:right w:val="none" w:sz="0" w:space="0" w:color="auto"/>
      </w:divBdr>
    </w:div>
    <w:div w:id="2001536870">
      <w:bodyDiv w:val="1"/>
      <w:marLeft w:val="0"/>
      <w:marRight w:val="0"/>
      <w:marTop w:val="0"/>
      <w:marBottom w:val="0"/>
      <w:divBdr>
        <w:top w:val="none" w:sz="0" w:space="0" w:color="auto"/>
        <w:left w:val="none" w:sz="0" w:space="0" w:color="auto"/>
        <w:bottom w:val="none" w:sz="0" w:space="0" w:color="auto"/>
        <w:right w:val="none" w:sz="0" w:space="0" w:color="auto"/>
      </w:divBdr>
    </w:div>
    <w:div w:id="2001618643">
      <w:bodyDiv w:val="1"/>
      <w:marLeft w:val="0"/>
      <w:marRight w:val="0"/>
      <w:marTop w:val="0"/>
      <w:marBottom w:val="0"/>
      <w:divBdr>
        <w:top w:val="none" w:sz="0" w:space="0" w:color="auto"/>
        <w:left w:val="none" w:sz="0" w:space="0" w:color="auto"/>
        <w:bottom w:val="none" w:sz="0" w:space="0" w:color="auto"/>
        <w:right w:val="none" w:sz="0" w:space="0" w:color="auto"/>
      </w:divBdr>
    </w:div>
    <w:div w:id="2001686795">
      <w:bodyDiv w:val="1"/>
      <w:marLeft w:val="0"/>
      <w:marRight w:val="0"/>
      <w:marTop w:val="0"/>
      <w:marBottom w:val="0"/>
      <w:divBdr>
        <w:top w:val="none" w:sz="0" w:space="0" w:color="auto"/>
        <w:left w:val="none" w:sz="0" w:space="0" w:color="auto"/>
        <w:bottom w:val="none" w:sz="0" w:space="0" w:color="auto"/>
        <w:right w:val="none" w:sz="0" w:space="0" w:color="auto"/>
      </w:divBdr>
    </w:div>
    <w:div w:id="2001731656">
      <w:bodyDiv w:val="1"/>
      <w:marLeft w:val="0"/>
      <w:marRight w:val="0"/>
      <w:marTop w:val="0"/>
      <w:marBottom w:val="0"/>
      <w:divBdr>
        <w:top w:val="none" w:sz="0" w:space="0" w:color="auto"/>
        <w:left w:val="none" w:sz="0" w:space="0" w:color="auto"/>
        <w:bottom w:val="none" w:sz="0" w:space="0" w:color="auto"/>
        <w:right w:val="none" w:sz="0" w:space="0" w:color="auto"/>
      </w:divBdr>
    </w:div>
    <w:div w:id="2002001649">
      <w:bodyDiv w:val="1"/>
      <w:marLeft w:val="0"/>
      <w:marRight w:val="0"/>
      <w:marTop w:val="0"/>
      <w:marBottom w:val="0"/>
      <w:divBdr>
        <w:top w:val="none" w:sz="0" w:space="0" w:color="auto"/>
        <w:left w:val="none" w:sz="0" w:space="0" w:color="auto"/>
        <w:bottom w:val="none" w:sz="0" w:space="0" w:color="auto"/>
        <w:right w:val="none" w:sz="0" w:space="0" w:color="auto"/>
      </w:divBdr>
    </w:div>
    <w:div w:id="2002732772">
      <w:bodyDiv w:val="1"/>
      <w:marLeft w:val="0"/>
      <w:marRight w:val="0"/>
      <w:marTop w:val="0"/>
      <w:marBottom w:val="0"/>
      <w:divBdr>
        <w:top w:val="none" w:sz="0" w:space="0" w:color="auto"/>
        <w:left w:val="none" w:sz="0" w:space="0" w:color="auto"/>
        <w:bottom w:val="none" w:sz="0" w:space="0" w:color="auto"/>
        <w:right w:val="none" w:sz="0" w:space="0" w:color="auto"/>
      </w:divBdr>
    </w:div>
    <w:div w:id="2002809318">
      <w:bodyDiv w:val="1"/>
      <w:marLeft w:val="0"/>
      <w:marRight w:val="0"/>
      <w:marTop w:val="0"/>
      <w:marBottom w:val="0"/>
      <w:divBdr>
        <w:top w:val="none" w:sz="0" w:space="0" w:color="auto"/>
        <w:left w:val="none" w:sz="0" w:space="0" w:color="auto"/>
        <w:bottom w:val="none" w:sz="0" w:space="0" w:color="auto"/>
        <w:right w:val="none" w:sz="0" w:space="0" w:color="auto"/>
      </w:divBdr>
    </w:div>
    <w:div w:id="2003047724">
      <w:bodyDiv w:val="1"/>
      <w:marLeft w:val="0"/>
      <w:marRight w:val="0"/>
      <w:marTop w:val="0"/>
      <w:marBottom w:val="0"/>
      <w:divBdr>
        <w:top w:val="none" w:sz="0" w:space="0" w:color="auto"/>
        <w:left w:val="none" w:sz="0" w:space="0" w:color="auto"/>
        <w:bottom w:val="none" w:sz="0" w:space="0" w:color="auto"/>
        <w:right w:val="none" w:sz="0" w:space="0" w:color="auto"/>
      </w:divBdr>
    </w:div>
    <w:div w:id="2003393284">
      <w:bodyDiv w:val="1"/>
      <w:marLeft w:val="0"/>
      <w:marRight w:val="0"/>
      <w:marTop w:val="0"/>
      <w:marBottom w:val="0"/>
      <w:divBdr>
        <w:top w:val="none" w:sz="0" w:space="0" w:color="auto"/>
        <w:left w:val="none" w:sz="0" w:space="0" w:color="auto"/>
        <w:bottom w:val="none" w:sz="0" w:space="0" w:color="auto"/>
        <w:right w:val="none" w:sz="0" w:space="0" w:color="auto"/>
      </w:divBdr>
    </w:div>
    <w:div w:id="2003585278">
      <w:bodyDiv w:val="1"/>
      <w:marLeft w:val="0"/>
      <w:marRight w:val="0"/>
      <w:marTop w:val="0"/>
      <w:marBottom w:val="0"/>
      <w:divBdr>
        <w:top w:val="none" w:sz="0" w:space="0" w:color="auto"/>
        <w:left w:val="none" w:sz="0" w:space="0" w:color="auto"/>
        <w:bottom w:val="none" w:sz="0" w:space="0" w:color="auto"/>
        <w:right w:val="none" w:sz="0" w:space="0" w:color="auto"/>
      </w:divBdr>
    </w:div>
    <w:div w:id="2003968208">
      <w:bodyDiv w:val="1"/>
      <w:marLeft w:val="0"/>
      <w:marRight w:val="0"/>
      <w:marTop w:val="0"/>
      <w:marBottom w:val="0"/>
      <w:divBdr>
        <w:top w:val="none" w:sz="0" w:space="0" w:color="auto"/>
        <w:left w:val="none" w:sz="0" w:space="0" w:color="auto"/>
        <w:bottom w:val="none" w:sz="0" w:space="0" w:color="auto"/>
        <w:right w:val="none" w:sz="0" w:space="0" w:color="auto"/>
      </w:divBdr>
    </w:div>
    <w:div w:id="2004238685">
      <w:bodyDiv w:val="1"/>
      <w:marLeft w:val="0"/>
      <w:marRight w:val="0"/>
      <w:marTop w:val="0"/>
      <w:marBottom w:val="0"/>
      <w:divBdr>
        <w:top w:val="none" w:sz="0" w:space="0" w:color="auto"/>
        <w:left w:val="none" w:sz="0" w:space="0" w:color="auto"/>
        <w:bottom w:val="none" w:sz="0" w:space="0" w:color="auto"/>
        <w:right w:val="none" w:sz="0" w:space="0" w:color="auto"/>
      </w:divBdr>
    </w:div>
    <w:div w:id="2004308819">
      <w:bodyDiv w:val="1"/>
      <w:marLeft w:val="0"/>
      <w:marRight w:val="0"/>
      <w:marTop w:val="0"/>
      <w:marBottom w:val="0"/>
      <w:divBdr>
        <w:top w:val="none" w:sz="0" w:space="0" w:color="auto"/>
        <w:left w:val="none" w:sz="0" w:space="0" w:color="auto"/>
        <w:bottom w:val="none" w:sz="0" w:space="0" w:color="auto"/>
        <w:right w:val="none" w:sz="0" w:space="0" w:color="auto"/>
      </w:divBdr>
    </w:div>
    <w:div w:id="2004353845">
      <w:bodyDiv w:val="1"/>
      <w:marLeft w:val="0"/>
      <w:marRight w:val="0"/>
      <w:marTop w:val="0"/>
      <w:marBottom w:val="0"/>
      <w:divBdr>
        <w:top w:val="none" w:sz="0" w:space="0" w:color="auto"/>
        <w:left w:val="none" w:sz="0" w:space="0" w:color="auto"/>
        <w:bottom w:val="none" w:sz="0" w:space="0" w:color="auto"/>
        <w:right w:val="none" w:sz="0" w:space="0" w:color="auto"/>
      </w:divBdr>
    </w:div>
    <w:div w:id="2004359941">
      <w:bodyDiv w:val="1"/>
      <w:marLeft w:val="0"/>
      <w:marRight w:val="0"/>
      <w:marTop w:val="0"/>
      <w:marBottom w:val="0"/>
      <w:divBdr>
        <w:top w:val="none" w:sz="0" w:space="0" w:color="auto"/>
        <w:left w:val="none" w:sz="0" w:space="0" w:color="auto"/>
        <w:bottom w:val="none" w:sz="0" w:space="0" w:color="auto"/>
        <w:right w:val="none" w:sz="0" w:space="0" w:color="auto"/>
      </w:divBdr>
    </w:div>
    <w:div w:id="2004508768">
      <w:bodyDiv w:val="1"/>
      <w:marLeft w:val="0"/>
      <w:marRight w:val="0"/>
      <w:marTop w:val="0"/>
      <w:marBottom w:val="0"/>
      <w:divBdr>
        <w:top w:val="none" w:sz="0" w:space="0" w:color="auto"/>
        <w:left w:val="none" w:sz="0" w:space="0" w:color="auto"/>
        <w:bottom w:val="none" w:sz="0" w:space="0" w:color="auto"/>
        <w:right w:val="none" w:sz="0" w:space="0" w:color="auto"/>
      </w:divBdr>
    </w:div>
    <w:div w:id="2005622627">
      <w:bodyDiv w:val="1"/>
      <w:marLeft w:val="0"/>
      <w:marRight w:val="0"/>
      <w:marTop w:val="0"/>
      <w:marBottom w:val="0"/>
      <w:divBdr>
        <w:top w:val="none" w:sz="0" w:space="0" w:color="auto"/>
        <w:left w:val="none" w:sz="0" w:space="0" w:color="auto"/>
        <w:bottom w:val="none" w:sz="0" w:space="0" w:color="auto"/>
        <w:right w:val="none" w:sz="0" w:space="0" w:color="auto"/>
      </w:divBdr>
    </w:div>
    <w:div w:id="2005696262">
      <w:bodyDiv w:val="1"/>
      <w:marLeft w:val="0"/>
      <w:marRight w:val="0"/>
      <w:marTop w:val="0"/>
      <w:marBottom w:val="0"/>
      <w:divBdr>
        <w:top w:val="none" w:sz="0" w:space="0" w:color="auto"/>
        <w:left w:val="none" w:sz="0" w:space="0" w:color="auto"/>
        <w:bottom w:val="none" w:sz="0" w:space="0" w:color="auto"/>
        <w:right w:val="none" w:sz="0" w:space="0" w:color="auto"/>
      </w:divBdr>
    </w:div>
    <w:div w:id="2005888758">
      <w:bodyDiv w:val="1"/>
      <w:marLeft w:val="0"/>
      <w:marRight w:val="0"/>
      <w:marTop w:val="0"/>
      <w:marBottom w:val="0"/>
      <w:divBdr>
        <w:top w:val="none" w:sz="0" w:space="0" w:color="auto"/>
        <w:left w:val="none" w:sz="0" w:space="0" w:color="auto"/>
        <w:bottom w:val="none" w:sz="0" w:space="0" w:color="auto"/>
        <w:right w:val="none" w:sz="0" w:space="0" w:color="auto"/>
      </w:divBdr>
    </w:div>
    <w:div w:id="2006349875">
      <w:bodyDiv w:val="1"/>
      <w:marLeft w:val="0"/>
      <w:marRight w:val="0"/>
      <w:marTop w:val="0"/>
      <w:marBottom w:val="0"/>
      <w:divBdr>
        <w:top w:val="none" w:sz="0" w:space="0" w:color="auto"/>
        <w:left w:val="none" w:sz="0" w:space="0" w:color="auto"/>
        <w:bottom w:val="none" w:sz="0" w:space="0" w:color="auto"/>
        <w:right w:val="none" w:sz="0" w:space="0" w:color="auto"/>
      </w:divBdr>
      <w:divsChild>
        <w:div w:id="332682130">
          <w:marLeft w:val="0"/>
          <w:marRight w:val="0"/>
          <w:marTop w:val="0"/>
          <w:marBottom w:val="0"/>
          <w:divBdr>
            <w:top w:val="none" w:sz="0" w:space="0" w:color="auto"/>
            <w:left w:val="none" w:sz="0" w:space="0" w:color="auto"/>
            <w:bottom w:val="none" w:sz="0" w:space="0" w:color="auto"/>
            <w:right w:val="none" w:sz="0" w:space="0" w:color="auto"/>
          </w:divBdr>
        </w:div>
        <w:div w:id="622422721">
          <w:marLeft w:val="0"/>
          <w:marRight w:val="0"/>
          <w:marTop w:val="0"/>
          <w:marBottom w:val="0"/>
          <w:divBdr>
            <w:top w:val="none" w:sz="0" w:space="0" w:color="auto"/>
            <w:left w:val="none" w:sz="0" w:space="0" w:color="auto"/>
            <w:bottom w:val="none" w:sz="0" w:space="0" w:color="auto"/>
            <w:right w:val="none" w:sz="0" w:space="0" w:color="auto"/>
          </w:divBdr>
        </w:div>
        <w:div w:id="659581799">
          <w:marLeft w:val="0"/>
          <w:marRight w:val="0"/>
          <w:marTop w:val="0"/>
          <w:marBottom w:val="0"/>
          <w:divBdr>
            <w:top w:val="none" w:sz="0" w:space="0" w:color="auto"/>
            <w:left w:val="none" w:sz="0" w:space="0" w:color="auto"/>
            <w:bottom w:val="none" w:sz="0" w:space="0" w:color="auto"/>
            <w:right w:val="none" w:sz="0" w:space="0" w:color="auto"/>
          </w:divBdr>
        </w:div>
        <w:div w:id="803041990">
          <w:marLeft w:val="0"/>
          <w:marRight w:val="0"/>
          <w:marTop w:val="0"/>
          <w:marBottom w:val="0"/>
          <w:divBdr>
            <w:top w:val="none" w:sz="0" w:space="0" w:color="auto"/>
            <w:left w:val="none" w:sz="0" w:space="0" w:color="auto"/>
            <w:bottom w:val="none" w:sz="0" w:space="0" w:color="auto"/>
            <w:right w:val="none" w:sz="0" w:space="0" w:color="auto"/>
          </w:divBdr>
        </w:div>
        <w:div w:id="1387292816">
          <w:marLeft w:val="0"/>
          <w:marRight w:val="0"/>
          <w:marTop w:val="0"/>
          <w:marBottom w:val="0"/>
          <w:divBdr>
            <w:top w:val="none" w:sz="0" w:space="0" w:color="auto"/>
            <w:left w:val="none" w:sz="0" w:space="0" w:color="auto"/>
            <w:bottom w:val="none" w:sz="0" w:space="0" w:color="auto"/>
            <w:right w:val="none" w:sz="0" w:space="0" w:color="auto"/>
          </w:divBdr>
        </w:div>
        <w:div w:id="1542668892">
          <w:marLeft w:val="0"/>
          <w:marRight w:val="0"/>
          <w:marTop w:val="0"/>
          <w:marBottom w:val="0"/>
          <w:divBdr>
            <w:top w:val="none" w:sz="0" w:space="0" w:color="auto"/>
            <w:left w:val="none" w:sz="0" w:space="0" w:color="auto"/>
            <w:bottom w:val="none" w:sz="0" w:space="0" w:color="auto"/>
            <w:right w:val="none" w:sz="0" w:space="0" w:color="auto"/>
          </w:divBdr>
        </w:div>
        <w:div w:id="1830054685">
          <w:marLeft w:val="0"/>
          <w:marRight w:val="0"/>
          <w:marTop w:val="0"/>
          <w:marBottom w:val="0"/>
          <w:divBdr>
            <w:top w:val="none" w:sz="0" w:space="0" w:color="auto"/>
            <w:left w:val="none" w:sz="0" w:space="0" w:color="auto"/>
            <w:bottom w:val="none" w:sz="0" w:space="0" w:color="auto"/>
            <w:right w:val="none" w:sz="0" w:space="0" w:color="auto"/>
          </w:divBdr>
        </w:div>
        <w:div w:id="1898206100">
          <w:marLeft w:val="0"/>
          <w:marRight w:val="0"/>
          <w:marTop w:val="0"/>
          <w:marBottom w:val="0"/>
          <w:divBdr>
            <w:top w:val="none" w:sz="0" w:space="0" w:color="auto"/>
            <w:left w:val="none" w:sz="0" w:space="0" w:color="auto"/>
            <w:bottom w:val="none" w:sz="0" w:space="0" w:color="auto"/>
            <w:right w:val="none" w:sz="0" w:space="0" w:color="auto"/>
          </w:divBdr>
        </w:div>
        <w:div w:id="1942832120">
          <w:marLeft w:val="0"/>
          <w:marRight w:val="0"/>
          <w:marTop w:val="0"/>
          <w:marBottom w:val="0"/>
          <w:divBdr>
            <w:top w:val="none" w:sz="0" w:space="0" w:color="auto"/>
            <w:left w:val="none" w:sz="0" w:space="0" w:color="auto"/>
            <w:bottom w:val="none" w:sz="0" w:space="0" w:color="auto"/>
            <w:right w:val="none" w:sz="0" w:space="0" w:color="auto"/>
          </w:divBdr>
        </w:div>
        <w:div w:id="2045866966">
          <w:marLeft w:val="0"/>
          <w:marRight w:val="0"/>
          <w:marTop w:val="0"/>
          <w:marBottom w:val="0"/>
          <w:divBdr>
            <w:top w:val="none" w:sz="0" w:space="0" w:color="auto"/>
            <w:left w:val="none" w:sz="0" w:space="0" w:color="auto"/>
            <w:bottom w:val="none" w:sz="0" w:space="0" w:color="auto"/>
            <w:right w:val="none" w:sz="0" w:space="0" w:color="auto"/>
          </w:divBdr>
        </w:div>
        <w:div w:id="2098407523">
          <w:marLeft w:val="0"/>
          <w:marRight w:val="0"/>
          <w:marTop w:val="0"/>
          <w:marBottom w:val="0"/>
          <w:divBdr>
            <w:top w:val="none" w:sz="0" w:space="0" w:color="auto"/>
            <w:left w:val="none" w:sz="0" w:space="0" w:color="auto"/>
            <w:bottom w:val="none" w:sz="0" w:space="0" w:color="auto"/>
            <w:right w:val="none" w:sz="0" w:space="0" w:color="auto"/>
          </w:divBdr>
        </w:div>
        <w:div w:id="2129733906">
          <w:marLeft w:val="0"/>
          <w:marRight w:val="0"/>
          <w:marTop w:val="0"/>
          <w:marBottom w:val="0"/>
          <w:divBdr>
            <w:top w:val="none" w:sz="0" w:space="0" w:color="auto"/>
            <w:left w:val="none" w:sz="0" w:space="0" w:color="auto"/>
            <w:bottom w:val="none" w:sz="0" w:space="0" w:color="auto"/>
            <w:right w:val="none" w:sz="0" w:space="0" w:color="auto"/>
          </w:divBdr>
        </w:div>
      </w:divsChild>
    </w:div>
    <w:div w:id="2006544541">
      <w:bodyDiv w:val="1"/>
      <w:marLeft w:val="0"/>
      <w:marRight w:val="0"/>
      <w:marTop w:val="0"/>
      <w:marBottom w:val="0"/>
      <w:divBdr>
        <w:top w:val="none" w:sz="0" w:space="0" w:color="auto"/>
        <w:left w:val="none" w:sz="0" w:space="0" w:color="auto"/>
        <w:bottom w:val="none" w:sz="0" w:space="0" w:color="auto"/>
        <w:right w:val="none" w:sz="0" w:space="0" w:color="auto"/>
      </w:divBdr>
    </w:div>
    <w:div w:id="2006936036">
      <w:bodyDiv w:val="1"/>
      <w:marLeft w:val="0"/>
      <w:marRight w:val="0"/>
      <w:marTop w:val="0"/>
      <w:marBottom w:val="0"/>
      <w:divBdr>
        <w:top w:val="none" w:sz="0" w:space="0" w:color="auto"/>
        <w:left w:val="none" w:sz="0" w:space="0" w:color="auto"/>
        <w:bottom w:val="none" w:sz="0" w:space="0" w:color="auto"/>
        <w:right w:val="none" w:sz="0" w:space="0" w:color="auto"/>
      </w:divBdr>
    </w:div>
    <w:div w:id="2007785838">
      <w:bodyDiv w:val="1"/>
      <w:marLeft w:val="0"/>
      <w:marRight w:val="0"/>
      <w:marTop w:val="0"/>
      <w:marBottom w:val="0"/>
      <w:divBdr>
        <w:top w:val="none" w:sz="0" w:space="0" w:color="auto"/>
        <w:left w:val="none" w:sz="0" w:space="0" w:color="auto"/>
        <w:bottom w:val="none" w:sz="0" w:space="0" w:color="auto"/>
        <w:right w:val="none" w:sz="0" w:space="0" w:color="auto"/>
      </w:divBdr>
    </w:div>
    <w:div w:id="2008048402">
      <w:bodyDiv w:val="1"/>
      <w:marLeft w:val="0"/>
      <w:marRight w:val="0"/>
      <w:marTop w:val="0"/>
      <w:marBottom w:val="0"/>
      <w:divBdr>
        <w:top w:val="none" w:sz="0" w:space="0" w:color="auto"/>
        <w:left w:val="none" w:sz="0" w:space="0" w:color="auto"/>
        <w:bottom w:val="none" w:sz="0" w:space="0" w:color="auto"/>
        <w:right w:val="none" w:sz="0" w:space="0" w:color="auto"/>
      </w:divBdr>
    </w:div>
    <w:div w:id="2008483031">
      <w:bodyDiv w:val="1"/>
      <w:marLeft w:val="0"/>
      <w:marRight w:val="0"/>
      <w:marTop w:val="0"/>
      <w:marBottom w:val="0"/>
      <w:divBdr>
        <w:top w:val="none" w:sz="0" w:space="0" w:color="auto"/>
        <w:left w:val="none" w:sz="0" w:space="0" w:color="auto"/>
        <w:bottom w:val="none" w:sz="0" w:space="0" w:color="auto"/>
        <w:right w:val="none" w:sz="0" w:space="0" w:color="auto"/>
      </w:divBdr>
    </w:div>
    <w:div w:id="2008550916">
      <w:bodyDiv w:val="1"/>
      <w:marLeft w:val="0"/>
      <w:marRight w:val="0"/>
      <w:marTop w:val="0"/>
      <w:marBottom w:val="0"/>
      <w:divBdr>
        <w:top w:val="none" w:sz="0" w:space="0" w:color="auto"/>
        <w:left w:val="none" w:sz="0" w:space="0" w:color="auto"/>
        <w:bottom w:val="none" w:sz="0" w:space="0" w:color="auto"/>
        <w:right w:val="none" w:sz="0" w:space="0" w:color="auto"/>
      </w:divBdr>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08828127">
      <w:bodyDiv w:val="1"/>
      <w:marLeft w:val="0"/>
      <w:marRight w:val="0"/>
      <w:marTop w:val="0"/>
      <w:marBottom w:val="0"/>
      <w:divBdr>
        <w:top w:val="none" w:sz="0" w:space="0" w:color="auto"/>
        <w:left w:val="none" w:sz="0" w:space="0" w:color="auto"/>
        <w:bottom w:val="none" w:sz="0" w:space="0" w:color="auto"/>
        <w:right w:val="none" w:sz="0" w:space="0" w:color="auto"/>
      </w:divBdr>
    </w:div>
    <w:div w:id="2009285686">
      <w:bodyDiv w:val="1"/>
      <w:marLeft w:val="0"/>
      <w:marRight w:val="0"/>
      <w:marTop w:val="0"/>
      <w:marBottom w:val="0"/>
      <w:divBdr>
        <w:top w:val="none" w:sz="0" w:space="0" w:color="auto"/>
        <w:left w:val="none" w:sz="0" w:space="0" w:color="auto"/>
        <w:bottom w:val="none" w:sz="0" w:space="0" w:color="auto"/>
        <w:right w:val="none" w:sz="0" w:space="0" w:color="auto"/>
      </w:divBdr>
    </w:div>
    <w:div w:id="2009402860">
      <w:bodyDiv w:val="1"/>
      <w:marLeft w:val="0"/>
      <w:marRight w:val="0"/>
      <w:marTop w:val="0"/>
      <w:marBottom w:val="0"/>
      <w:divBdr>
        <w:top w:val="none" w:sz="0" w:space="0" w:color="auto"/>
        <w:left w:val="none" w:sz="0" w:space="0" w:color="auto"/>
        <w:bottom w:val="none" w:sz="0" w:space="0" w:color="auto"/>
        <w:right w:val="none" w:sz="0" w:space="0" w:color="auto"/>
      </w:divBdr>
    </w:div>
    <w:div w:id="2009670020">
      <w:bodyDiv w:val="1"/>
      <w:marLeft w:val="0"/>
      <w:marRight w:val="0"/>
      <w:marTop w:val="0"/>
      <w:marBottom w:val="0"/>
      <w:divBdr>
        <w:top w:val="none" w:sz="0" w:space="0" w:color="auto"/>
        <w:left w:val="none" w:sz="0" w:space="0" w:color="auto"/>
        <w:bottom w:val="none" w:sz="0" w:space="0" w:color="auto"/>
        <w:right w:val="none" w:sz="0" w:space="0" w:color="auto"/>
      </w:divBdr>
    </w:div>
    <w:div w:id="2009672703">
      <w:bodyDiv w:val="1"/>
      <w:marLeft w:val="0"/>
      <w:marRight w:val="0"/>
      <w:marTop w:val="0"/>
      <w:marBottom w:val="0"/>
      <w:divBdr>
        <w:top w:val="none" w:sz="0" w:space="0" w:color="auto"/>
        <w:left w:val="none" w:sz="0" w:space="0" w:color="auto"/>
        <w:bottom w:val="none" w:sz="0" w:space="0" w:color="auto"/>
        <w:right w:val="none" w:sz="0" w:space="0" w:color="auto"/>
      </w:divBdr>
    </w:div>
    <w:div w:id="2009825061">
      <w:bodyDiv w:val="1"/>
      <w:marLeft w:val="0"/>
      <w:marRight w:val="0"/>
      <w:marTop w:val="0"/>
      <w:marBottom w:val="0"/>
      <w:divBdr>
        <w:top w:val="none" w:sz="0" w:space="0" w:color="auto"/>
        <w:left w:val="none" w:sz="0" w:space="0" w:color="auto"/>
        <w:bottom w:val="none" w:sz="0" w:space="0" w:color="auto"/>
        <w:right w:val="none" w:sz="0" w:space="0" w:color="auto"/>
      </w:divBdr>
    </w:div>
    <w:div w:id="2009870693">
      <w:bodyDiv w:val="1"/>
      <w:marLeft w:val="0"/>
      <w:marRight w:val="0"/>
      <w:marTop w:val="0"/>
      <w:marBottom w:val="0"/>
      <w:divBdr>
        <w:top w:val="none" w:sz="0" w:space="0" w:color="auto"/>
        <w:left w:val="none" w:sz="0" w:space="0" w:color="auto"/>
        <w:bottom w:val="none" w:sz="0" w:space="0" w:color="auto"/>
        <w:right w:val="none" w:sz="0" w:space="0" w:color="auto"/>
      </w:divBdr>
    </w:div>
    <w:div w:id="2010788417">
      <w:bodyDiv w:val="1"/>
      <w:marLeft w:val="0"/>
      <w:marRight w:val="0"/>
      <w:marTop w:val="0"/>
      <w:marBottom w:val="0"/>
      <w:divBdr>
        <w:top w:val="none" w:sz="0" w:space="0" w:color="auto"/>
        <w:left w:val="none" w:sz="0" w:space="0" w:color="auto"/>
        <w:bottom w:val="none" w:sz="0" w:space="0" w:color="auto"/>
        <w:right w:val="none" w:sz="0" w:space="0" w:color="auto"/>
      </w:divBdr>
    </w:div>
    <w:div w:id="2010866258">
      <w:bodyDiv w:val="1"/>
      <w:marLeft w:val="0"/>
      <w:marRight w:val="0"/>
      <w:marTop w:val="0"/>
      <w:marBottom w:val="0"/>
      <w:divBdr>
        <w:top w:val="none" w:sz="0" w:space="0" w:color="auto"/>
        <w:left w:val="none" w:sz="0" w:space="0" w:color="auto"/>
        <w:bottom w:val="none" w:sz="0" w:space="0" w:color="auto"/>
        <w:right w:val="none" w:sz="0" w:space="0" w:color="auto"/>
      </w:divBdr>
    </w:div>
    <w:div w:id="2010911692">
      <w:bodyDiv w:val="1"/>
      <w:marLeft w:val="0"/>
      <w:marRight w:val="0"/>
      <w:marTop w:val="0"/>
      <w:marBottom w:val="0"/>
      <w:divBdr>
        <w:top w:val="none" w:sz="0" w:space="0" w:color="auto"/>
        <w:left w:val="none" w:sz="0" w:space="0" w:color="auto"/>
        <w:bottom w:val="none" w:sz="0" w:space="0" w:color="auto"/>
        <w:right w:val="none" w:sz="0" w:space="0" w:color="auto"/>
      </w:divBdr>
    </w:div>
    <w:div w:id="2011055424">
      <w:bodyDiv w:val="1"/>
      <w:marLeft w:val="0"/>
      <w:marRight w:val="0"/>
      <w:marTop w:val="0"/>
      <w:marBottom w:val="0"/>
      <w:divBdr>
        <w:top w:val="none" w:sz="0" w:space="0" w:color="auto"/>
        <w:left w:val="none" w:sz="0" w:space="0" w:color="auto"/>
        <w:bottom w:val="none" w:sz="0" w:space="0" w:color="auto"/>
        <w:right w:val="none" w:sz="0" w:space="0" w:color="auto"/>
      </w:divBdr>
    </w:div>
    <w:div w:id="2011174851">
      <w:bodyDiv w:val="1"/>
      <w:marLeft w:val="0"/>
      <w:marRight w:val="0"/>
      <w:marTop w:val="0"/>
      <w:marBottom w:val="0"/>
      <w:divBdr>
        <w:top w:val="none" w:sz="0" w:space="0" w:color="auto"/>
        <w:left w:val="none" w:sz="0" w:space="0" w:color="auto"/>
        <w:bottom w:val="none" w:sz="0" w:space="0" w:color="auto"/>
        <w:right w:val="none" w:sz="0" w:space="0" w:color="auto"/>
      </w:divBdr>
    </w:div>
    <w:div w:id="2011715372">
      <w:bodyDiv w:val="1"/>
      <w:marLeft w:val="0"/>
      <w:marRight w:val="0"/>
      <w:marTop w:val="0"/>
      <w:marBottom w:val="0"/>
      <w:divBdr>
        <w:top w:val="none" w:sz="0" w:space="0" w:color="auto"/>
        <w:left w:val="none" w:sz="0" w:space="0" w:color="auto"/>
        <w:bottom w:val="none" w:sz="0" w:space="0" w:color="auto"/>
        <w:right w:val="none" w:sz="0" w:space="0" w:color="auto"/>
      </w:divBdr>
    </w:div>
    <w:div w:id="2011717537">
      <w:bodyDiv w:val="1"/>
      <w:marLeft w:val="0"/>
      <w:marRight w:val="0"/>
      <w:marTop w:val="0"/>
      <w:marBottom w:val="0"/>
      <w:divBdr>
        <w:top w:val="none" w:sz="0" w:space="0" w:color="auto"/>
        <w:left w:val="none" w:sz="0" w:space="0" w:color="auto"/>
        <w:bottom w:val="none" w:sz="0" w:space="0" w:color="auto"/>
        <w:right w:val="none" w:sz="0" w:space="0" w:color="auto"/>
      </w:divBdr>
    </w:div>
    <w:div w:id="2011987066">
      <w:bodyDiv w:val="1"/>
      <w:marLeft w:val="0"/>
      <w:marRight w:val="0"/>
      <w:marTop w:val="0"/>
      <w:marBottom w:val="0"/>
      <w:divBdr>
        <w:top w:val="none" w:sz="0" w:space="0" w:color="auto"/>
        <w:left w:val="none" w:sz="0" w:space="0" w:color="auto"/>
        <w:bottom w:val="none" w:sz="0" w:space="0" w:color="auto"/>
        <w:right w:val="none" w:sz="0" w:space="0" w:color="auto"/>
      </w:divBdr>
    </w:div>
    <w:div w:id="2012025810">
      <w:bodyDiv w:val="1"/>
      <w:marLeft w:val="0"/>
      <w:marRight w:val="0"/>
      <w:marTop w:val="0"/>
      <w:marBottom w:val="0"/>
      <w:divBdr>
        <w:top w:val="none" w:sz="0" w:space="0" w:color="auto"/>
        <w:left w:val="none" w:sz="0" w:space="0" w:color="auto"/>
        <w:bottom w:val="none" w:sz="0" w:space="0" w:color="auto"/>
        <w:right w:val="none" w:sz="0" w:space="0" w:color="auto"/>
      </w:divBdr>
    </w:div>
    <w:div w:id="2012291447">
      <w:bodyDiv w:val="1"/>
      <w:marLeft w:val="0"/>
      <w:marRight w:val="0"/>
      <w:marTop w:val="0"/>
      <w:marBottom w:val="0"/>
      <w:divBdr>
        <w:top w:val="none" w:sz="0" w:space="0" w:color="auto"/>
        <w:left w:val="none" w:sz="0" w:space="0" w:color="auto"/>
        <w:bottom w:val="none" w:sz="0" w:space="0" w:color="auto"/>
        <w:right w:val="none" w:sz="0" w:space="0" w:color="auto"/>
      </w:divBdr>
    </w:div>
    <w:div w:id="2013070391">
      <w:bodyDiv w:val="1"/>
      <w:marLeft w:val="0"/>
      <w:marRight w:val="0"/>
      <w:marTop w:val="0"/>
      <w:marBottom w:val="0"/>
      <w:divBdr>
        <w:top w:val="none" w:sz="0" w:space="0" w:color="auto"/>
        <w:left w:val="none" w:sz="0" w:space="0" w:color="auto"/>
        <w:bottom w:val="none" w:sz="0" w:space="0" w:color="auto"/>
        <w:right w:val="none" w:sz="0" w:space="0" w:color="auto"/>
      </w:divBdr>
    </w:div>
    <w:div w:id="2013216130">
      <w:bodyDiv w:val="1"/>
      <w:marLeft w:val="0"/>
      <w:marRight w:val="0"/>
      <w:marTop w:val="0"/>
      <w:marBottom w:val="0"/>
      <w:divBdr>
        <w:top w:val="none" w:sz="0" w:space="0" w:color="auto"/>
        <w:left w:val="none" w:sz="0" w:space="0" w:color="auto"/>
        <w:bottom w:val="none" w:sz="0" w:space="0" w:color="auto"/>
        <w:right w:val="none" w:sz="0" w:space="0" w:color="auto"/>
      </w:divBdr>
    </w:div>
    <w:div w:id="2013334927">
      <w:bodyDiv w:val="1"/>
      <w:marLeft w:val="0"/>
      <w:marRight w:val="0"/>
      <w:marTop w:val="0"/>
      <w:marBottom w:val="0"/>
      <w:divBdr>
        <w:top w:val="none" w:sz="0" w:space="0" w:color="auto"/>
        <w:left w:val="none" w:sz="0" w:space="0" w:color="auto"/>
        <w:bottom w:val="none" w:sz="0" w:space="0" w:color="auto"/>
        <w:right w:val="none" w:sz="0" w:space="0" w:color="auto"/>
      </w:divBdr>
    </w:div>
    <w:div w:id="2013876427">
      <w:bodyDiv w:val="1"/>
      <w:marLeft w:val="0"/>
      <w:marRight w:val="0"/>
      <w:marTop w:val="0"/>
      <w:marBottom w:val="0"/>
      <w:divBdr>
        <w:top w:val="none" w:sz="0" w:space="0" w:color="auto"/>
        <w:left w:val="none" w:sz="0" w:space="0" w:color="auto"/>
        <w:bottom w:val="none" w:sz="0" w:space="0" w:color="auto"/>
        <w:right w:val="none" w:sz="0" w:space="0" w:color="auto"/>
      </w:divBdr>
    </w:div>
    <w:div w:id="2014142869">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14259171">
      <w:bodyDiv w:val="1"/>
      <w:marLeft w:val="0"/>
      <w:marRight w:val="0"/>
      <w:marTop w:val="0"/>
      <w:marBottom w:val="0"/>
      <w:divBdr>
        <w:top w:val="none" w:sz="0" w:space="0" w:color="auto"/>
        <w:left w:val="none" w:sz="0" w:space="0" w:color="auto"/>
        <w:bottom w:val="none" w:sz="0" w:space="0" w:color="auto"/>
        <w:right w:val="none" w:sz="0" w:space="0" w:color="auto"/>
      </w:divBdr>
    </w:div>
    <w:div w:id="2014259700">
      <w:bodyDiv w:val="1"/>
      <w:marLeft w:val="0"/>
      <w:marRight w:val="0"/>
      <w:marTop w:val="0"/>
      <w:marBottom w:val="0"/>
      <w:divBdr>
        <w:top w:val="none" w:sz="0" w:space="0" w:color="auto"/>
        <w:left w:val="none" w:sz="0" w:space="0" w:color="auto"/>
        <w:bottom w:val="none" w:sz="0" w:space="0" w:color="auto"/>
        <w:right w:val="none" w:sz="0" w:space="0" w:color="auto"/>
      </w:divBdr>
    </w:div>
    <w:div w:id="2014912965">
      <w:bodyDiv w:val="1"/>
      <w:marLeft w:val="0"/>
      <w:marRight w:val="0"/>
      <w:marTop w:val="0"/>
      <w:marBottom w:val="0"/>
      <w:divBdr>
        <w:top w:val="none" w:sz="0" w:space="0" w:color="auto"/>
        <w:left w:val="none" w:sz="0" w:space="0" w:color="auto"/>
        <w:bottom w:val="none" w:sz="0" w:space="0" w:color="auto"/>
        <w:right w:val="none" w:sz="0" w:space="0" w:color="auto"/>
      </w:divBdr>
    </w:div>
    <w:div w:id="2014916575">
      <w:bodyDiv w:val="1"/>
      <w:marLeft w:val="0"/>
      <w:marRight w:val="0"/>
      <w:marTop w:val="0"/>
      <w:marBottom w:val="0"/>
      <w:divBdr>
        <w:top w:val="none" w:sz="0" w:space="0" w:color="auto"/>
        <w:left w:val="none" w:sz="0" w:space="0" w:color="auto"/>
        <w:bottom w:val="none" w:sz="0" w:space="0" w:color="auto"/>
        <w:right w:val="none" w:sz="0" w:space="0" w:color="auto"/>
      </w:divBdr>
    </w:div>
    <w:div w:id="2015065321">
      <w:bodyDiv w:val="1"/>
      <w:marLeft w:val="0"/>
      <w:marRight w:val="0"/>
      <w:marTop w:val="0"/>
      <w:marBottom w:val="0"/>
      <w:divBdr>
        <w:top w:val="none" w:sz="0" w:space="0" w:color="auto"/>
        <w:left w:val="none" w:sz="0" w:space="0" w:color="auto"/>
        <w:bottom w:val="none" w:sz="0" w:space="0" w:color="auto"/>
        <w:right w:val="none" w:sz="0" w:space="0" w:color="auto"/>
      </w:divBdr>
    </w:div>
    <w:div w:id="2015185191">
      <w:bodyDiv w:val="1"/>
      <w:marLeft w:val="0"/>
      <w:marRight w:val="0"/>
      <w:marTop w:val="0"/>
      <w:marBottom w:val="0"/>
      <w:divBdr>
        <w:top w:val="none" w:sz="0" w:space="0" w:color="auto"/>
        <w:left w:val="none" w:sz="0" w:space="0" w:color="auto"/>
        <w:bottom w:val="none" w:sz="0" w:space="0" w:color="auto"/>
        <w:right w:val="none" w:sz="0" w:space="0" w:color="auto"/>
      </w:divBdr>
    </w:div>
    <w:div w:id="2015524419">
      <w:bodyDiv w:val="1"/>
      <w:marLeft w:val="0"/>
      <w:marRight w:val="0"/>
      <w:marTop w:val="0"/>
      <w:marBottom w:val="0"/>
      <w:divBdr>
        <w:top w:val="none" w:sz="0" w:space="0" w:color="auto"/>
        <w:left w:val="none" w:sz="0" w:space="0" w:color="auto"/>
        <w:bottom w:val="none" w:sz="0" w:space="0" w:color="auto"/>
        <w:right w:val="none" w:sz="0" w:space="0" w:color="auto"/>
      </w:divBdr>
    </w:div>
    <w:div w:id="2015914475">
      <w:bodyDiv w:val="1"/>
      <w:marLeft w:val="0"/>
      <w:marRight w:val="0"/>
      <w:marTop w:val="0"/>
      <w:marBottom w:val="0"/>
      <w:divBdr>
        <w:top w:val="none" w:sz="0" w:space="0" w:color="auto"/>
        <w:left w:val="none" w:sz="0" w:space="0" w:color="auto"/>
        <w:bottom w:val="none" w:sz="0" w:space="0" w:color="auto"/>
        <w:right w:val="none" w:sz="0" w:space="0" w:color="auto"/>
      </w:divBdr>
    </w:div>
    <w:div w:id="2016111054">
      <w:bodyDiv w:val="1"/>
      <w:marLeft w:val="0"/>
      <w:marRight w:val="0"/>
      <w:marTop w:val="0"/>
      <w:marBottom w:val="0"/>
      <w:divBdr>
        <w:top w:val="none" w:sz="0" w:space="0" w:color="auto"/>
        <w:left w:val="none" w:sz="0" w:space="0" w:color="auto"/>
        <w:bottom w:val="none" w:sz="0" w:space="0" w:color="auto"/>
        <w:right w:val="none" w:sz="0" w:space="0" w:color="auto"/>
      </w:divBdr>
    </w:div>
    <w:div w:id="2016152526">
      <w:bodyDiv w:val="1"/>
      <w:marLeft w:val="0"/>
      <w:marRight w:val="0"/>
      <w:marTop w:val="0"/>
      <w:marBottom w:val="0"/>
      <w:divBdr>
        <w:top w:val="none" w:sz="0" w:space="0" w:color="auto"/>
        <w:left w:val="none" w:sz="0" w:space="0" w:color="auto"/>
        <w:bottom w:val="none" w:sz="0" w:space="0" w:color="auto"/>
        <w:right w:val="none" w:sz="0" w:space="0" w:color="auto"/>
      </w:divBdr>
    </w:div>
    <w:div w:id="2017417055">
      <w:bodyDiv w:val="1"/>
      <w:marLeft w:val="0"/>
      <w:marRight w:val="0"/>
      <w:marTop w:val="0"/>
      <w:marBottom w:val="0"/>
      <w:divBdr>
        <w:top w:val="none" w:sz="0" w:space="0" w:color="auto"/>
        <w:left w:val="none" w:sz="0" w:space="0" w:color="auto"/>
        <w:bottom w:val="none" w:sz="0" w:space="0" w:color="auto"/>
        <w:right w:val="none" w:sz="0" w:space="0" w:color="auto"/>
      </w:divBdr>
    </w:div>
    <w:div w:id="2017533072">
      <w:bodyDiv w:val="1"/>
      <w:marLeft w:val="0"/>
      <w:marRight w:val="0"/>
      <w:marTop w:val="0"/>
      <w:marBottom w:val="0"/>
      <w:divBdr>
        <w:top w:val="none" w:sz="0" w:space="0" w:color="auto"/>
        <w:left w:val="none" w:sz="0" w:space="0" w:color="auto"/>
        <w:bottom w:val="none" w:sz="0" w:space="0" w:color="auto"/>
        <w:right w:val="none" w:sz="0" w:space="0" w:color="auto"/>
      </w:divBdr>
    </w:div>
    <w:div w:id="2017927333">
      <w:bodyDiv w:val="1"/>
      <w:marLeft w:val="0"/>
      <w:marRight w:val="0"/>
      <w:marTop w:val="0"/>
      <w:marBottom w:val="0"/>
      <w:divBdr>
        <w:top w:val="none" w:sz="0" w:space="0" w:color="auto"/>
        <w:left w:val="none" w:sz="0" w:space="0" w:color="auto"/>
        <w:bottom w:val="none" w:sz="0" w:space="0" w:color="auto"/>
        <w:right w:val="none" w:sz="0" w:space="0" w:color="auto"/>
      </w:divBdr>
    </w:div>
    <w:div w:id="2017998543">
      <w:bodyDiv w:val="1"/>
      <w:marLeft w:val="0"/>
      <w:marRight w:val="0"/>
      <w:marTop w:val="0"/>
      <w:marBottom w:val="0"/>
      <w:divBdr>
        <w:top w:val="none" w:sz="0" w:space="0" w:color="auto"/>
        <w:left w:val="none" w:sz="0" w:space="0" w:color="auto"/>
        <w:bottom w:val="none" w:sz="0" w:space="0" w:color="auto"/>
        <w:right w:val="none" w:sz="0" w:space="0" w:color="auto"/>
      </w:divBdr>
    </w:div>
    <w:div w:id="2018117590">
      <w:bodyDiv w:val="1"/>
      <w:marLeft w:val="0"/>
      <w:marRight w:val="0"/>
      <w:marTop w:val="0"/>
      <w:marBottom w:val="0"/>
      <w:divBdr>
        <w:top w:val="none" w:sz="0" w:space="0" w:color="auto"/>
        <w:left w:val="none" w:sz="0" w:space="0" w:color="auto"/>
        <w:bottom w:val="none" w:sz="0" w:space="0" w:color="auto"/>
        <w:right w:val="none" w:sz="0" w:space="0" w:color="auto"/>
      </w:divBdr>
    </w:div>
    <w:div w:id="2018337825">
      <w:bodyDiv w:val="1"/>
      <w:marLeft w:val="0"/>
      <w:marRight w:val="0"/>
      <w:marTop w:val="0"/>
      <w:marBottom w:val="0"/>
      <w:divBdr>
        <w:top w:val="none" w:sz="0" w:space="0" w:color="auto"/>
        <w:left w:val="none" w:sz="0" w:space="0" w:color="auto"/>
        <w:bottom w:val="none" w:sz="0" w:space="0" w:color="auto"/>
        <w:right w:val="none" w:sz="0" w:space="0" w:color="auto"/>
      </w:divBdr>
    </w:div>
    <w:div w:id="2018383064">
      <w:bodyDiv w:val="1"/>
      <w:marLeft w:val="0"/>
      <w:marRight w:val="0"/>
      <w:marTop w:val="0"/>
      <w:marBottom w:val="0"/>
      <w:divBdr>
        <w:top w:val="none" w:sz="0" w:space="0" w:color="auto"/>
        <w:left w:val="none" w:sz="0" w:space="0" w:color="auto"/>
        <w:bottom w:val="none" w:sz="0" w:space="0" w:color="auto"/>
        <w:right w:val="none" w:sz="0" w:space="0" w:color="auto"/>
      </w:divBdr>
    </w:div>
    <w:div w:id="2018724681">
      <w:bodyDiv w:val="1"/>
      <w:marLeft w:val="0"/>
      <w:marRight w:val="0"/>
      <w:marTop w:val="0"/>
      <w:marBottom w:val="0"/>
      <w:divBdr>
        <w:top w:val="none" w:sz="0" w:space="0" w:color="auto"/>
        <w:left w:val="none" w:sz="0" w:space="0" w:color="auto"/>
        <w:bottom w:val="none" w:sz="0" w:space="0" w:color="auto"/>
        <w:right w:val="none" w:sz="0" w:space="0" w:color="auto"/>
      </w:divBdr>
    </w:div>
    <w:div w:id="2019232387">
      <w:bodyDiv w:val="1"/>
      <w:marLeft w:val="0"/>
      <w:marRight w:val="0"/>
      <w:marTop w:val="0"/>
      <w:marBottom w:val="0"/>
      <w:divBdr>
        <w:top w:val="none" w:sz="0" w:space="0" w:color="auto"/>
        <w:left w:val="none" w:sz="0" w:space="0" w:color="auto"/>
        <w:bottom w:val="none" w:sz="0" w:space="0" w:color="auto"/>
        <w:right w:val="none" w:sz="0" w:space="0" w:color="auto"/>
      </w:divBdr>
    </w:div>
    <w:div w:id="2019262158">
      <w:bodyDiv w:val="1"/>
      <w:marLeft w:val="0"/>
      <w:marRight w:val="0"/>
      <w:marTop w:val="0"/>
      <w:marBottom w:val="0"/>
      <w:divBdr>
        <w:top w:val="none" w:sz="0" w:space="0" w:color="auto"/>
        <w:left w:val="none" w:sz="0" w:space="0" w:color="auto"/>
        <w:bottom w:val="none" w:sz="0" w:space="0" w:color="auto"/>
        <w:right w:val="none" w:sz="0" w:space="0" w:color="auto"/>
      </w:divBdr>
    </w:div>
    <w:div w:id="2019311886">
      <w:bodyDiv w:val="1"/>
      <w:marLeft w:val="0"/>
      <w:marRight w:val="0"/>
      <w:marTop w:val="0"/>
      <w:marBottom w:val="0"/>
      <w:divBdr>
        <w:top w:val="none" w:sz="0" w:space="0" w:color="auto"/>
        <w:left w:val="none" w:sz="0" w:space="0" w:color="auto"/>
        <w:bottom w:val="none" w:sz="0" w:space="0" w:color="auto"/>
        <w:right w:val="none" w:sz="0" w:space="0" w:color="auto"/>
      </w:divBdr>
    </w:div>
    <w:div w:id="2019693541">
      <w:bodyDiv w:val="1"/>
      <w:marLeft w:val="0"/>
      <w:marRight w:val="0"/>
      <w:marTop w:val="0"/>
      <w:marBottom w:val="0"/>
      <w:divBdr>
        <w:top w:val="none" w:sz="0" w:space="0" w:color="auto"/>
        <w:left w:val="none" w:sz="0" w:space="0" w:color="auto"/>
        <w:bottom w:val="none" w:sz="0" w:space="0" w:color="auto"/>
        <w:right w:val="none" w:sz="0" w:space="0" w:color="auto"/>
      </w:divBdr>
    </w:div>
    <w:div w:id="2019959648">
      <w:bodyDiv w:val="1"/>
      <w:marLeft w:val="0"/>
      <w:marRight w:val="0"/>
      <w:marTop w:val="0"/>
      <w:marBottom w:val="0"/>
      <w:divBdr>
        <w:top w:val="none" w:sz="0" w:space="0" w:color="auto"/>
        <w:left w:val="none" w:sz="0" w:space="0" w:color="auto"/>
        <w:bottom w:val="none" w:sz="0" w:space="0" w:color="auto"/>
        <w:right w:val="none" w:sz="0" w:space="0" w:color="auto"/>
      </w:divBdr>
    </w:div>
    <w:div w:id="2020305148">
      <w:bodyDiv w:val="1"/>
      <w:marLeft w:val="0"/>
      <w:marRight w:val="0"/>
      <w:marTop w:val="0"/>
      <w:marBottom w:val="0"/>
      <w:divBdr>
        <w:top w:val="none" w:sz="0" w:space="0" w:color="auto"/>
        <w:left w:val="none" w:sz="0" w:space="0" w:color="auto"/>
        <w:bottom w:val="none" w:sz="0" w:space="0" w:color="auto"/>
        <w:right w:val="none" w:sz="0" w:space="0" w:color="auto"/>
      </w:divBdr>
    </w:div>
    <w:div w:id="2020308077">
      <w:bodyDiv w:val="1"/>
      <w:marLeft w:val="0"/>
      <w:marRight w:val="0"/>
      <w:marTop w:val="0"/>
      <w:marBottom w:val="0"/>
      <w:divBdr>
        <w:top w:val="none" w:sz="0" w:space="0" w:color="auto"/>
        <w:left w:val="none" w:sz="0" w:space="0" w:color="auto"/>
        <w:bottom w:val="none" w:sz="0" w:space="0" w:color="auto"/>
        <w:right w:val="none" w:sz="0" w:space="0" w:color="auto"/>
      </w:divBdr>
    </w:div>
    <w:div w:id="2020346709">
      <w:bodyDiv w:val="1"/>
      <w:marLeft w:val="0"/>
      <w:marRight w:val="0"/>
      <w:marTop w:val="0"/>
      <w:marBottom w:val="0"/>
      <w:divBdr>
        <w:top w:val="none" w:sz="0" w:space="0" w:color="auto"/>
        <w:left w:val="none" w:sz="0" w:space="0" w:color="auto"/>
        <w:bottom w:val="none" w:sz="0" w:space="0" w:color="auto"/>
        <w:right w:val="none" w:sz="0" w:space="0" w:color="auto"/>
      </w:divBdr>
    </w:div>
    <w:div w:id="2020427597">
      <w:bodyDiv w:val="1"/>
      <w:marLeft w:val="0"/>
      <w:marRight w:val="0"/>
      <w:marTop w:val="0"/>
      <w:marBottom w:val="0"/>
      <w:divBdr>
        <w:top w:val="none" w:sz="0" w:space="0" w:color="auto"/>
        <w:left w:val="none" w:sz="0" w:space="0" w:color="auto"/>
        <w:bottom w:val="none" w:sz="0" w:space="0" w:color="auto"/>
        <w:right w:val="none" w:sz="0" w:space="0" w:color="auto"/>
      </w:divBdr>
    </w:div>
    <w:div w:id="2020497607">
      <w:bodyDiv w:val="1"/>
      <w:marLeft w:val="0"/>
      <w:marRight w:val="0"/>
      <w:marTop w:val="0"/>
      <w:marBottom w:val="0"/>
      <w:divBdr>
        <w:top w:val="none" w:sz="0" w:space="0" w:color="auto"/>
        <w:left w:val="none" w:sz="0" w:space="0" w:color="auto"/>
        <w:bottom w:val="none" w:sz="0" w:space="0" w:color="auto"/>
        <w:right w:val="none" w:sz="0" w:space="0" w:color="auto"/>
      </w:divBdr>
    </w:div>
    <w:div w:id="2021009430">
      <w:bodyDiv w:val="1"/>
      <w:marLeft w:val="0"/>
      <w:marRight w:val="0"/>
      <w:marTop w:val="0"/>
      <w:marBottom w:val="0"/>
      <w:divBdr>
        <w:top w:val="none" w:sz="0" w:space="0" w:color="auto"/>
        <w:left w:val="none" w:sz="0" w:space="0" w:color="auto"/>
        <w:bottom w:val="none" w:sz="0" w:space="0" w:color="auto"/>
        <w:right w:val="none" w:sz="0" w:space="0" w:color="auto"/>
      </w:divBdr>
    </w:div>
    <w:div w:id="2021465734">
      <w:bodyDiv w:val="1"/>
      <w:marLeft w:val="0"/>
      <w:marRight w:val="0"/>
      <w:marTop w:val="0"/>
      <w:marBottom w:val="0"/>
      <w:divBdr>
        <w:top w:val="none" w:sz="0" w:space="0" w:color="auto"/>
        <w:left w:val="none" w:sz="0" w:space="0" w:color="auto"/>
        <w:bottom w:val="none" w:sz="0" w:space="0" w:color="auto"/>
        <w:right w:val="none" w:sz="0" w:space="0" w:color="auto"/>
      </w:divBdr>
    </w:div>
    <w:div w:id="2021466635">
      <w:bodyDiv w:val="1"/>
      <w:marLeft w:val="0"/>
      <w:marRight w:val="0"/>
      <w:marTop w:val="0"/>
      <w:marBottom w:val="0"/>
      <w:divBdr>
        <w:top w:val="none" w:sz="0" w:space="0" w:color="auto"/>
        <w:left w:val="none" w:sz="0" w:space="0" w:color="auto"/>
        <w:bottom w:val="none" w:sz="0" w:space="0" w:color="auto"/>
        <w:right w:val="none" w:sz="0" w:space="0" w:color="auto"/>
      </w:divBdr>
    </w:div>
    <w:div w:id="2022004382">
      <w:bodyDiv w:val="1"/>
      <w:marLeft w:val="0"/>
      <w:marRight w:val="0"/>
      <w:marTop w:val="0"/>
      <w:marBottom w:val="0"/>
      <w:divBdr>
        <w:top w:val="none" w:sz="0" w:space="0" w:color="auto"/>
        <w:left w:val="none" w:sz="0" w:space="0" w:color="auto"/>
        <w:bottom w:val="none" w:sz="0" w:space="0" w:color="auto"/>
        <w:right w:val="none" w:sz="0" w:space="0" w:color="auto"/>
      </w:divBdr>
    </w:div>
    <w:div w:id="2022705082">
      <w:bodyDiv w:val="1"/>
      <w:marLeft w:val="0"/>
      <w:marRight w:val="0"/>
      <w:marTop w:val="0"/>
      <w:marBottom w:val="0"/>
      <w:divBdr>
        <w:top w:val="none" w:sz="0" w:space="0" w:color="auto"/>
        <w:left w:val="none" w:sz="0" w:space="0" w:color="auto"/>
        <w:bottom w:val="none" w:sz="0" w:space="0" w:color="auto"/>
        <w:right w:val="none" w:sz="0" w:space="0" w:color="auto"/>
      </w:divBdr>
    </w:div>
    <w:div w:id="2022851516">
      <w:bodyDiv w:val="1"/>
      <w:marLeft w:val="0"/>
      <w:marRight w:val="0"/>
      <w:marTop w:val="0"/>
      <w:marBottom w:val="0"/>
      <w:divBdr>
        <w:top w:val="none" w:sz="0" w:space="0" w:color="auto"/>
        <w:left w:val="none" w:sz="0" w:space="0" w:color="auto"/>
        <w:bottom w:val="none" w:sz="0" w:space="0" w:color="auto"/>
        <w:right w:val="none" w:sz="0" w:space="0" w:color="auto"/>
      </w:divBdr>
    </w:div>
    <w:div w:id="2022969051">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3047984">
      <w:bodyDiv w:val="1"/>
      <w:marLeft w:val="0"/>
      <w:marRight w:val="0"/>
      <w:marTop w:val="0"/>
      <w:marBottom w:val="0"/>
      <w:divBdr>
        <w:top w:val="none" w:sz="0" w:space="0" w:color="auto"/>
        <w:left w:val="none" w:sz="0" w:space="0" w:color="auto"/>
        <w:bottom w:val="none" w:sz="0" w:space="0" w:color="auto"/>
        <w:right w:val="none" w:sz="0" w:space="0" w:color="auto"/>
      </w:divBdr>
    </w:div>
    <w:div w:id="2023244427">
      <w:bodyDiv w:val="1"/>
      <w:marLeft w:val="0"/>
      <w:marRight w:val="0"/>
      <w:marTop w:val="0"/>
      <w:marBottom w:val="0"/>
      <w:divBdr>
        <w:top w:val="none" w:sz="0" w:space="0" w:color="auto"/>
        <w:left w:val="none" w:sz="0" w:space="0" w:color="auto"/>
        <w:bottom w:val="none" w:sz="0" w:space="0" w:color="auto"/>
        <w:right w:val="none" w:sz="0" w:space="0" w:color="auto"/>
      </w:divBdr>
    </w:div>
    <w:div w:id="2023313548">
      <w:bodyDiv w:val="1"/>
      <w:marLeft w:val="0"/>
      <w:marRight w:val="0"/>
      <w:marTop w:val="0"/>
      <w:marBottom w:val="0"/>
      <w:divBdr>
        <w:top w:val="none" w:sz="0" w:space="0" w:color="auto"/>
        <w:left w:val="none" w:sz="0" w:space="0" w:color="auto"/>
        <w:bottom w:val="none" w:sz="0" w:space="0" w:color="auto"/>
        <w:right w:val="none" w:sz="0" w:space="0" w:color="auto"/>
      </w:divBdr>
    </w:div>
    <w:div w:id="2023438261">
      <w:bodyDiv w:val="1"/>
      <w:marLeft w:val="0"/>
      <w:marRight w:val="0"/>
      <w:marTop w:val="0"/>
      <w:marBottom w:val="0"/>
      <w:divBdr>
        <w:top w:val="none" w:sz="0" w:space="0" w:color="auto"/>
        <w:left w:val="none" w:sz="0" w:space="0" w:color="auto"/>
        <w:bottom w:val="none" w:sz="0" w:space="0" w:color="auto"/>
        <w:right w:val="none" w:sz="0" w:space="0" w:color="auto"/>
      </w:divBdr>
    </w:div>
    <w:div w:id="2023627907">
      <w:bodyDiv w:val="1"/>
      <w:marLeft w:val="0"/>
      <w:marRight w:val="0"/>
      <w:marTop w:val="0"/>
      <w:marBottom w:val="0"/>
      <w:divBdr>
        <w:top w:val="none" w:sz="0" w:space="0" w:color="auto"/>
        <w:left w:val="none" w:sz="0" w:space="0" w:color="auto"/>
        <w:bottom w:val="none" w:sz="0" w:space="0" w:color="auto"/>
        <w:right w:val="none" w:sz="0" w:space="0" w:color="auto"/>
      </w:divBdr>
    </w:div>
    <w:div w:id="2023894371">
      <w:bodyDiv w:val="1"/>
      <w:marLeft w:val="0"/>
      <w:marRight w:val="0"/>
      <w:marTop w:val="0"/>
      <w:marBottom w:val="0"/>
      <w:divBdr>
        <w:top w:val="none" w:sz="0" w:space="0" w:color="auto"/>
        <w:left w:val="none" w:sz="0" w:space="0" w:color="auto"/>
        <w:bottom w:val="none" w:sz="0" w:space="0" w:color="auto"/>
        <w:right w:val="none" w:sz="0" w:space="0" w:color="auto"/>
      </w:divBdr>
    </w:div>
    <w:div w:id="2024355500">
      <w:bodyDiv w:val="1"/>
      <w:marLeft w:val="0"/>
      <w:marRight w:val="0"/>
      <w:marTop w:val="0"/>
      <w:marBottom w:val="0"/>
      <w:divBdr>
        <w:top w:val="none" w:sz="0" w:space="0" w:color="auto"/>
        <w:left w:val="none" w:sz="0" w:space="0" w:color="auto"/>
        <w:bottom w:val="none" w:sz="0" w:space="0" w:color="auto"/>
        <w:right w:val="none" w:sz="0" w:space="0" w:color="auto"/>
      </w:divBdr>
    </w:div>
    <w:div w:id="2024817035">
      <w:bodyDiv w:val="1"/>
      <w:marLeft w:val="0"/>
      <w:marRight w:val="0"/>
      <w:marTop w:val="0"/>
      <w:marBottom w:val="0"/>
      <w:divBdr>
        <w:top w:val="none" w:sz="0" w:space="0" w:color="auto"/>
        <w:left w:val="none" w:sz="0" w:space="0" w:color="auto"/>
        <w:bottom w:val="none" w:sz="0" w:space="0" w:color="auto"/>
        <w:right w:val="none" w:sz="0" w:space="0" w:color="auto"/>
      </w:divBdr>
    </w:div>
    <w:div w:id="2024895787">
      <w:bodyDiv w:val="1"/>
      <w:marLeft w:val="0"/>
      <w:marRight w:val="0"/>
      <w:marTop w:val="0"/>
      <w:marBottom w:val="0"/>
      <w:divBdr>
        <w:top w:val="none" w:sz="0" w:space="0" w:color="auto"/>
        <w:left w:val="none" w:sz="0" w:space="0" w:color="auto"/>
        <w:bottom w:val="none" w:sz="0" w:space="0" w:color="auto"/>
        <w:right w:val="none" w:sz="0" w:space="0" w:color="auto"/>
      </w:divBdr>
    </w:div>
    <w:div w:id="2025008947">
      <w:bodyDiv w:val="1"/>
      <w:marLeft w:val="0"/>
      <w:marRight w:val="0"/>
      <w:marTop w:val="0"/>
      <w:marBottom w:val="0"/>
      <w:divBdr>
        <w:top w:val="none" w:sz="0" w:space="0" w:color="auto"/>
        <w:left w:val="none" w:sz="0" w:space="0" w:color="auto"/>
        <w:bottom w:val="none" w:sz="0" w:space="0" w:color="auto"/>
        <w:right w:val="none" w:sz="0" w:space="0" w:color="auto"/>
      </w:divBdr>
    </w:div>
    <w:div w:id="2025092062">
      <w:bodyDiv w:val="1"/>
      <w:marLeft w:val="0"/>
      <w:marRight w:val="0"/>
      <w:marTop w:val="0"/>
      <w:marBottom w:val="0"/>
      <w:divBdr>
        <w:top w:val="none" w:sz="0" w:space="0" w:color="auto"/>
        <w:left w:val="none" w:sz="0" w:space="0" w:color="auto"/>
        <w:bottom w:val="none" w:sz="0" w:space="0" w:color="auto"/>
        <w:right w:val="none" w:sz="0" w:space="0" w:color="auto"/>
      </w:divBdr>
    </w:div>
    <w:div w:id="2025400845">
      <w:bodyDiv w:val="1"/>
      <w:marLeft w:val="0"/>
      <w:marRight w:val="0"/>
      <w:marTop w:val="0"/>
      <w:marBottom w:val="0"/>
      <w:divBdr>
        <w:top w:val="none" w:sz="0" w:space="0" w:color="auto"/>
        <w:left w:val="none" w:sz="0" w:space="0" w:color="auto"/>
        <w:bottom w:val="none" w:sz="0" w:space="0" w:color="auto"/>
        <w:right w:val="none" w:sz="0" w:space="0" w:color="auto"/>
      </w:divBdr>
    </w:div>
    <w:div w:id="2025587668">
      <w:bodyDiv w:val="1"/>
      <w:marLeft w:val="0"/>
      <w:marRight w:val="0"/>
      <w:marTop w:val="0"/>
      <w:marBottom w:val="0"/>
      <w:divBdr>
        <w:top w:val="none" w:sz="0" w:space="0" w:color="auto"/>
        <w:left w:val="none" w:sz="0" w:space="0" w:color="auto"/>
        <w:bottom w:val="none" w:sz="0" w:space="0" w:color="auto"/>
        <w:right w:val="none" w:sz="0" w:space="0" w:color="auto"/>
      </w:divBdr>
    </w:div>
    <w:div w:id="2025862220">
      <w:bodyDiv w:val="1"/>
      <w:marLeft w:val="0"/>
      <w:marRight w:val="0"/>
      <w:marTop w:val="0"/>
      <w:marBottom w:val="0"/>
      <w:divBdr>
        <w:top w:val="none" w:sz="0" w:space="0" w:color="auto"/>
        <w:left w:val="none" w:sz="0" w:space="0" w:color="auto"/>
        <w:bottom w:val="none" w:sz="0" w:space="0" w:color="auto"/>
        <w:right w:val="none" w:sz="0" w:space="0" w:color="auto"/>
      </w:divBdr>
    </w:div>
    <w:div w:id="2025865595">
      <w:bodyDiv w:val="1"/>
      <w:marLeft w:val="0"/>
      <w:marRight w:val="0"/>
      <w:marTop w:val="0"/>
      <w:marBottom w:val="0"/>
      <w:divBdr>
        <w:top w:val="none" w:sz="0" w:space="0" w:color="auto"/>
        <w:left w:val="none" w:sz="0" w:space="0" w:color="auto"/>
        <w:bottom w:val="none" w:sz="0" w:space="0" w:color="auto"/>
        <w:right w:val="none" w:sz="0" w:space="0" w:color="auto"/>
      </w:divBdr>
    </w:div>
    <w:div w:id="2026128354">
      <w:bodyDiv w:val="1"/>
      <w:marLeft w:val="0"/>
      <w:marRight w:val="0"/>
      <w:marTop w:val="0"/>
      <w:marBottom w:val="0"/>
      <w:divBdr>
        <w:top w:val="none" w:sz="0" w:space="0" w:color="auto"/>
        <w:left w:val="none" w:sz="0" w:space="0" w:color="auto"/>
        <w:bottom w:val="none" w:sz="0" w:space="0" w:color="auto"/>
        <w:right w:val="none" w:sz="0" w:space="0" w:color="auto"/>
      </w:divBdr>
    </w:div>
    <w:div w:id="2026637394">
      <w:bodyDiv w:val="1"/>
      <w:marLeft w:val="0"/>
      <w:marRight w:val="0"/>
      <w:marTop w:val="0"/>
      <w:marBottom w:val="0"/>
      <w:divBdr>
        <w:top w:val="none" w:sz="0" w:space="0" w:color="auto"/>
        <w:left w:val="none" w:sz="0" w:space="0" w:color="auto"/>
        <w:bottom w:val="none" w:sz="0" w:space="0" w:color="auto"/>
        <w:right w:val="none" w:sz="0" w:space="0" w:color="auto"/>
      </w:divBdr>
    </w:div>
    <w:div w:id="2026858146">
      <w:bodyDiv w:val="1"/>
      <w:marLeft w:val="0"/>
      <w:marRight w:val="0"/>
      <w:marTop w:val="0"/>
      <w:marBottom w:val="0"/>
      <w:divBdr>
        <w:top w:val="none" w:sz="0" w:space="0" w:color="auto"/>
        <w:left w:val="none" w:sz="0" w:space="0" w:color="auto"/>
        <w:bottom w:val="none" w:sz="0" w:space="0" w:color="auto"/>
        <w:right w:val="none" w:sz="0" w:space="0" w:color="auto"/>
      </w:divBdr>
    </w:div>
    <w:div w:id="2026979085">
      <w:bodyDiv w:val="1"/>
      <w:marLeft w:val="0"/>
      <w:marRight w:val="0"/>
      <w:marTop w:val="0"/>
      <w:marBottom w:val="0"/>
      <w:divBdr>
        <w:top w:val="none" w:sz="0" w:space="0" w:color="auto"/>
        <w:left w:val="none" w:sz="0" w:space="0" w:color="auto"/>
        <w:bottom w:val="none" w:sz="0" w:space="0" w:color="auto"/>
        <w:right w:val="none" w:sz="0" w:space="0" w:color="auto"/>
      </w:divBdr>
    </w:div>
    <w:div w:id="2027100405">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28100094">
      <w:bodyDiv w:val="1"/>
      <w:marLeft w:val="0"/>
      <w:marRight w:val="0"/>
      <w:marTop w:val="0"/>
      <w:marBottom w:val="0"/>
      <w:divBdr>
        <w:top w:val="none" w:sz="0" w:space="0" w:color="auto"/>
        <w:left w:val="none" w:sz="0" w:space="0" w:color="auto"/>
        <w:bottom w:val="none" w:sz="0" w:space="0" w:color="auto"/>
        <w:right w:val="none" w:sz="0" w:space="0" w:color="auto"/>
      </w:divBdr>
    </w:div>
    <w:div w:id="2028170792">
      <w:bodyDiv w:val="1"/>
      <w:marLeft w:val="0"/>
      <w:marRight w:val="0"/>
      <w:marTop w:val="0"/>
      <w:marBottom w:val="0"/>
      <w:divBdr>
        <w:top w:val="none" w:sz="0" w:space="0" w:color="auto"/>
        <w:left w:val="none" w:sz="0" w:space="0" w:color="auto"/>
        <w:bottom w:val="none" w:sz="0" w:space="0" w:color="auto"/>
        <w:right w:val="none" w:sz="0" w:space="0" w:color="auto"/>
      </w:divBdr>
    </w:div>
    <w:div w:id="2028558114">
      <w:bodyDiv w:val="1"/>
      <w:marLeft w:val="0"/>
      <w:marRight w:val="0"/>
      <w:marTop w:val="0"/>
      <w:marBottom w:val="0"/>
      <w:divBdr>
        <w:top w:val="none" w:sz="0" w:space="0" w:color="auto"/>
        <w:left w:val="none" w:sz="0" w:space="0" w:color="auto"/>
        <w:bottom w:val="none" w:sz="0" w:space="0" w:color="auto"/>
        <w:right w:val="none" w:sz="0" w:space="0" w:color="auto"/>
      </w:divBdr>
    </w:div>
    <w:div w:id="2028755294">
      <w:bodyDiv w:val="1"/>
      <w:marLeft w:val="0"/>
      <w:marRight w:val="0"/>
      <w:marTop w:val="0"/>
      <w:marBottom w:val="0"/>
      <w:divBdr>
        <w:top w:val="none" w:sz="0" w:space="0" w:color="auto"/>
        <w:left w:val="none" w:sz="0" w:space="0" w:color="auto"/>
        <w:bottom w:val="none" w:sz="0" w:space="0" w:color="auto"/>
        <w:right w:val="none" w:sz="0" w:space="0" w:color="auto"/>
      </w:divBdr>
    </w:div>
    <w:div w:id="2028939955">
      <w:bodyDiv w:val="1"/>
      <w:marLeft w:val="0"/>
      <w:marRight w:val="0"/>
      <w:marTop w:val="0"/>
      <w:marBottom w:val="0"/>
      <w:divBdr>
        <w:top w:val="none" w:sz="0" w:space="0" w:color="auto"/>
        <w:left w:val="none" w:sz="0" w:space="0" w:color="auto"/>
        <w:bottom w:val="none" w:sz="0" w:space="0" w:color="auto"/>
        <w:right w:val="none" w:sz="0" w:space="0" w:color="auto"/>
      </w:divBdr>
    </w:div>
    <w:div w:id="2028945595">
      <w:bodyDiv w:val="1"/>
      <w:marLeft w:val="0"/>
      <w:marRight w:val="0"/>
      <w:marTop w:val="0"/>
      <w:marBottom w:val="0"/>
      <w:divBdr>
        <w:top w:val="none" w:sz="0" w:space="0" w:color="auto"/>
        <w:left w:val="none" w:sz="0" w:space="0" w:color="auto"/>
        <w:bottom w:val="none" w:sz="0" w:space="0" w:color="auto"/>
        <w:right w:val="none" w:sz="0" w:space="0" w:color="auto"/>
      </w:divBdr>
    </w:div>
    <w:div w:id="2029061690">
      <w:bodyDiv w:val="1"/>
      <w:marLeft w:val="0"/>
      <w:marRight w:val="0"/>
      <w:marTop w:val="0"/>
      <w:marBottom w:val="0"/>
      <w:divBdr>
        <w:top w:val="none" w:sz="0" w:space="0" w:color="auto"/>
        <w:left w:val="none" w:sz="0" w:space="0" w:color="auto"/>
        <w:bottom w:val="none" w:sz="0" w:space="0" w:color="auto"/>
        <w:right w:val="none" w:sz="0" w:space="0" w:color="auto"/>
      </w:divBdr>
    </w:div>
    <w:div w:id="2029209197">
      <w:bodyDiv w:val="1"/>
      <w:marLeft w:val="0"/>
      <w:marRight w:val="0"/>
      <w:marTop w:val="0"/>
      <w:marBottom w:val="0"/>
      <w:divBdr>
        <w:top w:val="none" w:sz="0" w:space="0" w:color="auto"/>
        <w:left w:val="none" w:sz="0" w:space="0" w:color="auto"/>
        <w:bottom w:val="none" w:sz="0" w:space="0" w:color="auto"/>
        <w:right w:val="none" w:sz="0" w:space="0" w:color="auto"/>
      </w:divBdr>
    </w:div>
    <w:div w:id="2029259371">
      <w:bodyDiv w:val="1"/>
      <w:marLeft w:val="0"/>
      <w:marRight w:val="0"/>
      <w:marTop w:val="0"/>
      <w:marBottom w:val="0"/>
      <w:divBdr>
        <w:top w:val="none" w:sz="0" w:space="0" w:color="auto"/>
        <w:left w:val="none" w:sz="0" w:space="0" w:color="auto"/>
        <w:bottom w:val="none" w:sz="0" w:space="0" w:color="auto"/>
        <w:right w:val="none" w:sz="0" w:space="0" w:color="auto"/>
      </w:divBdr>
    </w:div>
    <w:div w:id="2029287466">
      <w:bodyDiv w:val="1"/>
      <w:marLeft w:val="0"/>
      <w:marRight w:val="0"/>
      <w:marTop w:val="0"/>
      <w:marBottom w:val="0"/>
      <w:divBdr>
        <w:top w:val="none" w:sz="0" w:space="0" w:color="auto"/>
        <w:left w:val="none" w:sz="0" w:space="0" w:color="auto"/>
        <w:bottom w:val="none" w:sz="0" w:space="0" w:color="auto"/>
        <w:right w:val="none" w:sz="0" w:space="0" w:color="auto"/>
      </w:divBdr>
    </w:div>
    <w:div w:id="2029328457">
      <w:bodyDiv w:val="1"/>
      <w:marLeft w:val="0"/>
      <w:marRight w:val="0"/>
      <w:marTop w:val="0"/>
      <w:marBottom w:val="0"/>
      <w:divBdr>
        <w:top w:val="none" w:sz="0" w:space="0" w:color="auto"/>
        <w:left w:val="none" w:sz="0" w:space="0" w:color="auto"/>
        <w:bottom w:val="none" w:sz="0" w:space="0" w:color="auto"/>
        <w:right w:val="none" w:sz="0" w:space="0" w:color="auto"/>
      </w:divBdr>
    </w:div>
    <w:div w:id="2029483309">
      <w:bodyDiv w:val="1"/>
      <w:marLeft w:val="0"/>
      <w:marRight w:val="0"/>
      <w:marTop w:val="0"/>
      <w:marBottom w:val="0"/>
      <w:divBdr>
        <w:top w:val="none" w:sz="0" w:space="0" w:color="auto"/>
        <w:left w:val="none" w:sz="0" w:space="0" w:color="auto"/>
        <w:bottom w:val="none" w:sz="0" w:space="0" w:color="auto"/>
        <w:right w:val="none" w:sz="0" w:space="0" w:color="auto"/>
      </w:divBdr>
    </w:div>
    <w:div w:id="2029524959">
      <w:bodyDiv w:val="1"/>
      <w:marLeft w:val="0"/>
      <w:marRight w:val="0"/>
      <w:marTop w:val="0"/>
      <w:marBottom w:val="0"/>
      <w:divBdr>
        <w:top w:val="none" w:sz="0" w:space="0" w:color="auto"/>
        <w:left w:val="none" w:sz="0" w:space="0" w:color="auto"/>
        <w:bottom w:val="none" w:sz="0" w:space="0" w:color="auto"/>
        <w:right w:val="none" w:sz="0" w:space="0" w:color="auto"/>
      </w:divBdr>
    </w:div>
    <w:div w:id="2029673326">
      <w:bodyDiv w:val="1"/>
      <w:marLeft w:val="0"/>
      <w:marRight w:val="0"/>
      <w:marTop w:val="0"/>
      <w:marBottom w:val="0"/>
      <w:divBdr>
        <w:top w:val="none" w:sz="0" w:space="0" w:color="auto"/>
        <w:left w:val="none" w:sz="0" w:space="0" w:color="auto"/>
        <w:bottom w:val="none" w:sz="0" w:space="0" w:color="auto"/>
        <w:right w:val="none" w:sz="0" w:space="0" w:color="auto"/>
      </w:divBdr>
    </w:div>
    <w:div w:id="2029795056">
      <w:bodyDiv w:val="1"/>
      <w:marLeft w:val="0"/>
      <w:marRight w:val="0"/>
      <w:marTop w:val="0"/>
      <w:marBottom w:val="0"/>
      <w:divBdr>
        <w:top w:val="none" w:sz="0" w:space="0" w:color="auto"/>
        <w:left w:val="none" w:sz="0" w:space="0" w:color="auto"/>
        <w:bottom w:val="none" w:sz="0" w:space="0" w:color="auto"/>
        <w:right w:val="none" w:sz="0" w:space="0" w:color="auto"/>
      </w:divBdr>
    </w:div>
    <w:div w:id="2029871036">
      <w:bodyDiv w:val="1"/>
      <w:marLeft w:val="0"/>
      <w:marRight w:val="0"/>
      <w:marTop w:val="0"/>
      <w:marBottom w:val="0"/>
      <w:divBdr>
        <w:top w:val="none" w:sz="0" w:space="0" w:color="auto"/>
        <w:left w:val="none" w:sz="0" w:space="0" w:color="auto"/>
        <w:bottom w:val="none" w:sz="0" w:space="0" w:color="auto"/>
        <w:right w:val="none" w:sz="0" w:space="0" w:color="auto"/>
      </w:divBdr>
    </w:div>
    <w:div w:id="2030521332">
      <w:bodyDiv w:val="1"/>
      <w:marLeft w:val="0"/>
      <w:marRight w:val="0"/>
      <w:marTop w:val="0"/>
      <w:marBottom w:val="0"/>
      <w:divBdr>
        <w:top w:val="none" w:sz="0" w:space="0" w:color="auto"/>
        <w:left w:val="none" w:sz="0" w:space="0" w:color="auto"/>
        <w:bottom w:val="none" w:sz="0" w:space="0" w:color="auto"/>
        <w:right w:val="none" w:sz="0" w:space="0" w:color="auto"/>
      </w:divBdr>
    </w:div>
    <w:div w:id="2030596624">
      <w:bodyDiv w:val="1"/>
      <w:marLeft w:val="0"/>
      <w:marRight w:val="0"/>
      <w:marTop w:val="0"/>
      <w:marBottom w:val="0"/>
      <w:divBdr>
        <w:top w:val="none" w:sz="0" w:space="0" w:color="auto"/>
        <w:left w:val="none" w:sz="0" w:space="0" w:color="auto"/>
        <w:bottom w:val="none" w:sz="0" w:space="0" w:color="auto"/>
        <w:right w:val="none" w:sz="0" w:space="0" w:color="auto"/>
      </w:divBdr>
    </w:div>
    <w:div w:id="2030597415">
      <w:bodyDiv w:val="1"/>
      <w:marLeft w:val="0"/>
      <w:marRight w:val="0"/>
      <w:marTop w:val="0"/>
      <w:marBottom w:val="0"/>
      <w:divBdr>
        <w:top w:val="none" w:sz="0" w:space="0" w:color="auto"/>
        <w:left w:val="none" w:sz="0" w:space="0" w:color="auto"/>
        <w:bottom w:val="none" w:sz="0" w:space="0" w:color="auto"/>
        <w:right w:val="none" w:sz="0" w:space="0" w:color="auto"/>
      </w:divBdr>
    </w:div>
    <w:div w:id="2031101752">
      <w:bodyDiv w:val="1"/>
      <w:marLeft w:val="0"/>
      <w:marRight w:val="0"/>
      <w:marTop w:val="0"/>
      <w:marBottom w:val="0"/>
      <w:divBdr>
        <w:top w:val="none" w:sz="0" w:space="0" w:color="auto"/>
        <w:left w:val="none" w:sz="0" w:space="0" w:color="auto"/>
        <w:bottom w:val="none" w:sz="0" w:space="0" w:color="auto"/>
        <w:right w:val="none" w:sz="0" w:space="0" w:color="auto"/>
      </w:divBdr>
    </w:div>
    <w:div w:id="2031104328">
      <w:bodyDiv w:val="1"/>
      <w:marLeft w:val="0"/>
      <w:marRight w:val="0"/>
      <w:marTop w:val="0"/>
      <w:marBottom w:val="0"/>
      <w:divBdr>
        <w:top w:val="none" w:sz="0" w:space="0" w:color="auto"/>
        <w:left w:val="none" w:sz="0" w:space="0" w:color="auto"/>
        <w:bottom w:val="none" w:sz="0" w:space="0" w:color="auto"/>
        <w:right w:val="none" w:sz="0" w:space="0" w:color="auto"/>
      </w:divBdr>
    </w:div>
    <w:div w:id="2031294615">
      <w:bodyDiv w:val="1"/>
      <w:marLeft w:val="0"/>
      <w:marRight w:val="0"/>
      <w:marTop w:val="0"/>
      <w:marBottom w:val="0"/>
      <w:divBdr>
        <w:top w:val="none" w:sz="0" w:space="0" w:color="auto"/>
        <w:left w:val="none" w:sz="0" w:space="0" w:color="auto"/>
        <w:bottom w:val="none" w:sz="0" w:space="0" w:color="auto"/>
        <w:right w:val="none" w:sz="0" w:space="0" w:color="auto"/>
      </w:divBdr>
    </w:div>
    <w:div w:id="2031565324">
      <w:bodyDiv w:val="1"/>
      <w:marLeft w:val="0"/>
      <w:marRight w:val="0"/>
      <w:marTop w:val="0"/>
      <w:marBottom w:val="0"/>
      <w:divBdr>
        <w:top w:val="none" w:sz="0" w:space="0" w:color="auto"/>
        <w:left w:val="none" w:sz="0" w:space="0" w:color="auto"/>
        <w:bottom w:val="none" w:sz="0" w:space="0" w:color="auto"/>
        <w:right w:val="none" w:sz="0" w:space="0" w:color="auto"/>
      </w:divBdr>
    </w:div>
    <w:div w:id="2031686322">
      <w:bodyDiv w:val="1"/>
      <w:marLeft w:val="0"/>
      <w:marRight w:val="0"/>
      <w:marTop w:val="0"/>
      <w:marBottom w:val="0"/>
      <w:divBdr>
        <w:top w:val="none" w:sz="0" w:space="0" w:color="auto"/>
        <w:left w:val="none" w:sz="0" w:space="0" w:color="auto"/>
        <w:bottom w:val="none" w:sz="0" w:space="0" w:color="auto"/>
        <w:right w:val="none" w:sz="0" w:space="0" w:color="auto"/>
      </w:divBdr>
    </w:div>
    <w:div w:id="2031954688">
      <w:bodyDiv w:val="1"/>
      <w:marLeft w:val="0"/>
      <w:marRight w:val="0"/>
      <w:marTop w:val="0"/>
      <w:marBottom w:val="0"/>
      <w:divBdr>
        <w:top w:val="none" w:sz="0" w:space="0" w:color="auto"/>
        <w:left w:val="none" w:sz="0" w:space="0" w:color="auto"/>
        <w:bottom w:val="none" w:sz="0" w:space="0" w:color="auto"/>
        <w:right w:val="none" w:sz="0" w:space="0" w:color="auto"/>
      </w:divBdr>
    </w:div>
    <w:div w:id="2032024837">
      <w:bodyDiv w:val="1"/>
      <w:marLeft w:val="0"/>
      <w:marRight w:val="0"/>
      <w:marTop w:val="0"/>
      <w:marBottom w:val="0"/>
      <w:divBdr>
        <w:top w:val="none" w:sz="0" w:space="0" w:color="auto"/>
        <w:left w:val="none" w:sz="0" w:space="0" w:color="auto"/>
        <w:bottom w:val="none" w:sz="0" w:space="0" w:color="auto"/>
        <w:right w:val="none" w:sz="0" w:space="0" w:color="auto"/>
      </w:divBdr>
    </w:div>
    <w:div w:id="2032220985">
      <w:bodyDiv w:val="1"/>
      <w:marLeft w:val="0"/>
      <w:marRight w:val="0"/>
      <w:marTop w:val="0"/>
      <w:marBottom w:val="0"/>
      <w:divBdr>
        <w:top w:val="none" w:sz="0" w:space="0" w:color="auto"/>
        <w:left w:val="none" w:sz="0" w:space="0" w:color="auto"/>
        <w:bottom w:val="none" w:sz="0" w:space="0" w:color="auto"/>
        <w:right w:val="none" w:sz="0" w:space="0" w:color="auto"/>
      </w:divBdr>
    </w:div>
    <w:div w:id="2032340347">
      <w:bodyDiv w:val="1"/>
      <w:marLeft w:val="0"/>
      <w:marRight w:val="0"/>
      <w:marTop w:val="0"/>
      <w:marBottom w:val="0"/>
      <w:divBdr>
        <w:top w:val="none" w:sz="0" w:space="0" w:color="auto"/>
        <w:left w:val="none" w:sz="0" w:space="0" w:color="auto"/>
        <w:bottom w:val="none" w:sz="0" w:space="0" w:color="auto"/>
        <w:right w:val="none" w:sz="0" w:space="0" w:color="auto"/>
      </w:divBdr>
    </w:div>
    <w:div w:id="2032486721">
      <w:bodyDiv w:val="1"/>
      <w:marLeft w:val="0"/>
      <w:marRight w:val="0"/>
      <w:marTop w:val="0"/>
      <w:marBottom w:val="0"/>
      <w:divBdr>
        <w:top w:val="none" w:sz="0" w:space="0" w:color="auto"/>
        <w:left w:val="none" w:sz="0" w:space="0" w:color="auto"/>
        <w:bottom w:val="none" w:sz="0" w:space="0" w:color="auto"/>
        <w:right w:val="none" w:sz="0" w:space="0" w:color="auto"/>
      </w:divBdr>
    </w:div>
    <w:div w:id="2032992654">
      <w:bodyDiv w:val="1"/>
      <w:marLeft w:val="0"/>
      <w:marRight w:val="0"/>
      <w:marTop w:val="0"/>
      <w:marBottom w:val="0"/>
      <w:divBdr>
        <w:top w:val="none" w:sz="0" w:space="0" w:color="auto"/>
        <w:left w:val="none" w:sz="0" w:space="0" w:color="auto"/>
        <w:bottom w:val="none" w:sz="0" w:space="0" w:color="auto"/>
        <w:right w:val="none" w:sz="0" w:space="0" w:color="auto"/>
      </w:divBdr>
    </w:div>
    <w:div w:id="2032993852">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3727170">
      <w:bodyDiv w:val="1"/>
      <w:marLeft w:val="0"/>
      <w:marRight w:val="0"/>
      <w:marTop w:val="0"/>
      <w:marBottom w:val="0"/>
      <w:divBdr>
        <w:top w:val="none" w:sz="0" w:space="0" w:color="auto"/>
        <w:left w:val="none" w:sz="0" w:space="0" w:color="auto"/>
        <w:bottom w:val="none" w:sz="0" w:space="0" w:color="auto"/>
        <w:right w:val="none" w:sz="0" w:space="0" w:color="auto"/>
      </w:divBdr>
    </w:div>
    <w:div w:id="2034070503">
      <w:bodyDiv w:val="1"/>
      <w:marLeft w:val="0"/>
      <w:marRight w:val="0"/>
      <w:marTop w:val="0"/>
      <w:marBottom w:val="0"/>
      <w:divBdr>
        <w:top w:val="none" w:sz="0" w:space="0" w:color="auto"/>
        <w:left w:val="none" w:sz="0" w:space="0" w:color="auto"/>
        <w:bottom w:val="none" w:sz="0" w:space="0" w:color="auto"/>
        <w:right w:val="none" w:sz="0" w:space="0" w:color="auto"/>
      </w:divBdr>
    </w:div>
    <w:div w:id="2034451571">
      <w:bodyDiv w:val="1"/>
      <w:marLeft w:val="0"/>
      <w:marRight w:val="0"/>
      <w:marTop w:val="0"/>
      <w:marBottom w:val="0"/>
      <w:divBdr>
        <w:top w:val="none" w:sz="0" w:space="0" w:color="auto"/>
        <w:left w:val="none" w:sz="0" w:space="0" w:color="auto"/>
        <w:bottom w:val="none" w:sz="0" w:space="0" w:color="auto"/>
        <w:right w:val="none" w:sz="0" w:space="0" w:color="auto"/>
      </w:divBdr>
    </w:div>
    <w:div w:id="2034526196">
      <w:bodyDiv w:val="1"/>
      <w:marLeft w:val="0"/>
      <w:marRight w:val="0"/>
      <w:marTop w:val="0"/>
      <w:marBottom w:val="0"/>
      <w:divBdr>
        <w:top w:val="none" w:sz="0" w:space="0" w:color="auto"/>
        <w:left w:val="none" w:sz="0" w:space="0" w:color="auto"/>
        <w:bottom w:val="none" w:sz="0" w:space="0" w:color="auto"/>
        <w:right w:val="none" w:sz="0" w:space="0" w:color="auto"/>
      </w:divBdr>
    </w:div>
    <w:div w:id="2034766311">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4963768">
      <w:bodyDiv w:val="1"/>
      <w:marLeft w:val="0"/>
      <w:marRight w:val="0"/>
      <w:marTop w:val="0"/>
      <w:marBottom w:val="0"/>
      <w:divBdr>
        <w:top w:val="none" w:sz="0" w:space="0" w:color="auto"/>
        <w:left w:val="none" w:sz="0" w:space="0" w:color="auto"/>
        <w:bottom w:val="none" w:sz="0" w:space="0" w:color="auto"/>
        <w:right w:val="none" w:sz="0" w:space="0" w:color="auto"/>
      </w:divBdr>
    </w:div>
    <w:div w:id="2035037978">
      <w:bodyDiv w:val="1"/>
      <w:marLeft w:val="0"/>
      <w:marRight w:val="0"/>
      <w:marTop w:val="0"/>
      <w:marBottom w:val="0"/>
      <w:divBdr>
        <w:top w:val="none" w:sz="0" w:space="0" w:color="auto"/>
        <w:left w:val="none" w:sz="0" w:space="0" w:color="auto"/>
        <w:bottom w:val="none" w:sz="0" w:space="0" w:color="auto"/>
        <w:right w:val="none" w:sz="0" w:space="0" w:color="auto"/>
      </w:divBdr>
    </w:div>
    <w:div w:id="2035382428">
      <w:bodyDiv w:val="1"/>
      <w:marLeft w:val="0"/>
      <w:marRight w:val="0"/>
      <w:marTop w:val="0"/>
      <w:marBottom w:val="0"/>
      <w:divBdr>
        <w:top w:val="none" w:sz="0" w:space="0" w:color="auto"/>
        <w:left w:val="none" w:sz="0" w:space="0" w:color="auto"/>
        <w:bottom w:val="none" w:sz="0" w:space="0" w:color="auto"/>
        <w:right w:val="none" w:sz="0" w:space="0" w:color="auto"/>
      </w:divBdr>
    </w:div>
    <w:div w:id="2035642842">
      <w:bodyDiv w:val="1"/>
      <w:marLeft w:val="0"/>
      <w:marRight w:val="0"/>
      <w:marTop w:val="0"/>
      <w:marBottom w:val="0"/>
      <w:divBdr>
        <w:top w:val="none" w:sz="0" w:space="0" w:color="auto"/>
        <w:left w:val="none" w:sz="0" w:space="0" w:color="auto"/>
        <w:bottom w:val="none" w:sz="0" w:space="0" w:color="auto"/>
        <w:right w:val="none" w:sz="0" w:space="0" w:color="auto"/>
      </w:divBdr>
    </w:div>
    <w:div w:id="2035956081">
      <w:bodyDiv w:val="1"/>
      <w:marLeft w:val="0"/>
      <w:marRight w:val="0"/>
      <w:marTop w:val="0"/>
      <w:marBottom w:val="0"/>
      <w:divBdr>
        <w:top w:val="none" w:sz="0" w:space="0" w:color="auto"/>
        <w:left w:val="none" w:sz="0" w:space="0" w:color="auto"/>
        <w:bottom w:val="none" w:sz="0" w:space="0" w:color="auto"/>
        <w:right w:val="none" w:sz="0" w:space="0" w:color="auto"/>
      </w:divBdr>
    </w:div>
    <w:div w:id="2036072756">
      <w:bodyDiv w:val="1"/>
      <w:marLeft w:val="0"/>
      <w:marRight w:val="0"/>
      <w:marTop w:val="0"/>
      <w:marBottom w:val="0"/>
      <w:divBdr>
        <w:top w:val="none" w:sz="0" w:space="0" w:color="auto"/>
        <w:left w:val="none" w:sz="0" w:space="0" w:color="auto"/>
        <w:bottom w:val="none" w:sz="0" w:space="0" w:color="auto"/>
        <w:right w:val="none" w:sz="0" w:space="0" w:color="auto"/>
      </w:divBdr>
    </w:div>
    <w:div w:id="2036223982">
      <w:bodyDiv w:val="1"/>
      <w:marLeft w:val="0"/>
      <w:marRight w:val="0"/>
      <w:marTop w:val="0"/>
      <w:marBottom w:val="0"/>
      <w:divBdr>
        <w:top w:val="none" w:sz="0" w:space="0" w:color="auto"/>
        <w:left w:val="none" w:sz="0" w:space="0" w:color="auto"/>
        <w:bottom w:val="none" w:sz="0" w:space="0" w:color="auto"/>
        <w:right w:val="none" w:sz="0" w:space="0" w:color="auto"/>
      </w:divBdr>
    </w:div>
    <w:div w:id="2036272338">
      <w:bodyDiv w:val="1"/>
      <w:marLeft w:val="0"/>
      <w:marRight w:val="0"/>
      <w:marTop w:val="0"/>
      <w:marBottom w:val="0"/>
      <w:divBdr>
        <w:top w:val="none" w:sz="0" w:space="0" w:color="auto"/>
        <w:left w:val="none" w:sz="0" w:space="0" w:color="auto"/>
        <w:bottom w:val="none" w:sz="0" w:space="0" w:color="auto"/>
        <w:right w:val="none" w:sz="0" w:space="0" w:color="auto"/>
      </w:divBdr>
    </w:div>
    <w:div w:id="2037461004">
      <w:bodyDiv w:val="1"/>
      <w:marLeft w:val="0"/>
      <w:marRight w:val="0"/>
      <w:marTop w:val="0"/>
      <w:marBottom w:val="0"/>
      <w:divBdr>
        <w:top w:val="none" w:sz="0" w:space="0" w:color="auto"/>
        <w:left w:val="none" w:sz="0" w:space="0" w:color="auto"/>
        <w:bottom w:val="none" w:sz="0" w:space="0" w:color="auto"/>
        <w:right w:val="none" w:sz="0" w:space="0" w:color="auto"/>
      </w:divBdr>
    </w:div>
    <w:div w:id="2038308460">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38700068">
      <w:bodyDiv w:val="1"/>
      <w:marLeft w:val="0"/>
      <w:marRight w:val="0"/>
      <w:marTop w:val="0"/>
      <w:marBottom w:val="0"/>
      <w:divBdr>
        <w:top w:val="none" w:sz="0" w:space="0" w:color="auto"/>
        <w:left w:val="none" w:sz="0" w:space="0" w:color="auto"/>
        <w:bottom w:val="none" w:sz="0" w:space="0" w:color="auto"/>
        <w:right w:val="none" w:sz="0" w:space="0" w:color="auto"/>
      </w:divBdr>
    </w:div>
    <w:div w:id="2038892615">
      <w:bodyDiv w:val="1"/>
      <w:marLeft w:val="0"/>
      <w:marRight w:val="0"/>
      <w:marTop w:val="0"/>
      <w:marBottom w:val="0"/>
      <w:divBdr>
        <w:top w:val="none" w:sz="0" w:space="0" w:color="auto"/>
        <w:left w:val="none" w:sz="0" w:space="0" w:color="auto"/>
        <w:bottom w:val="none" w:sz="0" w:space="0" w:color="auto"/>
        <w:right w:val="none" w:sz="0" w:space="0" w:color="auto"/>
      </w:divBdr>
    </w:div>
    <w:div w:id="2039236165">
      <w:bodyDiv w:val="1"/>
      <w:marLeft w:val="0"/>
      <w:marRight w:val="0"/>
      <w:marTop w:val="0"/>
      <w:marBottom w:val="0"/>
      <w:divBdr>
        <w:top w:val="none" w:sz="0" w:space="0" w:color="auto"/>
        <w:left w:val="none" w:sz="0" w:space="0" w:color="auto"/>
        <w:bottom w:val="none" w:sz="0" w:space="0" w:color="auto"/>
        <w:right w:val="none" w:sz="0" w:space="0" w:color="auto"/>
      </w:divBdr>
    </w:div>
    <w:div w:id="2039308039">
      <w:bodyDiv w:val="1"/>
      <w:marLeft w:val="0"/>
      <w:marRight w:val="0"/>
      <w:marTop w:val="0"/>
      <w:marBottom w:val="0"/>
      <w:divBdr>
        <w:top w:val="none" w:sz="0" w:space="0" w:color="auto"/>
        <w:left w:val="none" w:sz="0" w:space="0" w:color="auto"/>
        <w:bottom w:val="none" w:sz="0" w:space="0" w:color="auto"/>
        <w:right w:val="none" w:sz="0" w:space="0" w:color="auto"/>
      </w:divBdr>
    </w:div>
    <w:div w:id="2039508402">
      <w:bodyDiv w:val="1"/>
      <w:marLeft w:val="0"/>
      <w:marRight w:val="0"/>
      <w:marTop w:val="0"/>
      <w:marBottom w:val="0"/>
      <w:divBdr>
        <w:top w:val="none" w:sz="0" w:space="0" w:color="auto"/>
        <w:left w:val="none" w:sz="0" w:space="0" w:color="auto"/>
        <w:bottom w:val="none" w:sz="0" w:space="0" w:color="auto"/>
        <w:right w:val="none" w:sz="0" w:space="0" w:color="auto"/>
      </w:divBdr>
    </w:div>
    <w:div w:id="2039699153">
      <w:bodyDiv w:val="1"/>
      <w:marLeft w:val="0"/>
      <w:marRight w:val="0"/>
      <w:marTop w:val="0"/>
      <w:marBottom w:val="0"/>
      <w:divBdr>
        <w:top w:val="none" w:sz="0" w:space="0" w:color="auto"/>
        <w:left w:val="none" w:sz="0" w:space="0" w:color="auto"/>
        <w:bottom w:val="none" w:sz="0" w:space="0" w:color="auto"/>
        <w:right w:val="none" w:sz="0" w:space="0" w:color="auto"/>
      </w:divBdr>
    </w:div>
    <w:div w:id="2039893626">
      <w:bodyDiv w:val="1"/>
      <w:marLeft w:val="0"/>
      <w:marRight w:val="0"/>
      <w:marTop w:val="0"/>
      <w:marBottom w:val="0"/>
      <w:divBdr>
        <w:top w:val="none" w:sz="0" w:space="0" w:color="auto"/>
        <w:left w:val="none" w:sz="0" w:space="0" w:color="auto"/>
        <w:bottom w:val="none" w:sz="0" w:space="0" w:color="auto"/>
        <w:right w:val="none" w:sz="0" w:space="0" w:color="auto"/>
      </w:divBdr>
    </w:div>
    <w:div w:id="2040087419">
      <w:bodyDiv w:val="1"/>
      <w:marLeft w:val="0"/>
      <w:marRight w:val="0"/>
      <w:marTop w:val="0"/>
      <w:marBottom w:val="0"/>
      <w:divBdr>
        <w:top w:val="none" w:sz="0" w:space="0" w:color="auto"/>
        <w:left w:val="none" w:sz="0" w:space="0" w:color="auto"/>
        <w:bottom w:val="none" w:sz="0" w:space="0" w:color="auto"/>
        <w:right w:val="none" w:sz="0" w:space="0" w:color="auto"/>
      </w:divBdr>
    </w:div>
    <w:div w:id="2040232467">
      <w:bodyDiv w:val="1"/>
      <w:marLeft w:val="0"/>
      <w:marRight w:val="0"/>
      <w:marTop w:val="0"/>
      <w:marBottom w:val="0"/>
      <w:divBdr>
        <w:top w:val="none" w:sz="0" w:space="0" w:color="auto"/>
        <w:left w:val="none" w:sz="0" w:space="0" w:color="auto"/>
        <w:bottom w:val="none" w:sz="0" w:space="0" w:color="auto"/>
        <w:right w:val="none" w:sz="0" w:space="0" w:color="auto"/>
      </w:divBdr>
    </w:div>
    <w:div w:id="2040550107">
      <w:bodyDiv w:val="1"/>
      <w:marLeft w:val="0"/>
      <w:marRight w:val="0"/>
      <w:marTop w:val="0"/>
      <w:marBottom w:val="0"/>
      <w:divBdr>
        <w:top w:val="none" w:sz="0" w:space="0" w:color="auto"/>
        <w:left w:val="none" w:sz="0" w:space="0" w:color="auto"/>
        <w:bottom w:val="none" w:sz="0" w:space="0" w:color="auto"/>
        <w:right w:val="none" w:sz="0" w:space="0" w:color="auto"/>
      </w:divBdr>
    </w:div>
    <w:div w:id="2040813760">
      <w:bodyDiv w:val="1"/>
      <w:marLeft w:val="0"/>
      <w:marRight w:val="0"/>
      <w:marTop w:val="0"/>
      <w:marBottom w:val="0"/>
      <w:divBdr>
        <w:top w:val="none" w:sz="0" w:space="0" w:color="auto"/>
        <w:left w:val="none" w:sz="0" w:space="0" w:color="auto"/>
        <w:bottom w:val="none" w:sz="0" w:space="0" w:color="auto"/>
        <w:right w:val="none" w:sz="0" w:space="0" w:color="auto"/>
      </w:divBdr>
    </w:div>
    <w:div w:id="2040928584">
      <w:bodyDiv w:val="1"/>
      <w:marLeft w:val="0"/>
      <w:marRight w:val="0"/>
      <w:marTop w:val="0"/>
      <w:marBottom w:val="0"/>
      <w:divBdr>
        <w:top w:val="none" w:sz="0" w:space="0" w:color="auto"/>
        <w:left w:val="none" w:sz="0" w:space="0" w:color="auto"/>
        <w:bottom w:val="none" w:sz="0" w:space="0" w:color="auto"/>
        <w:right w:val="none" w:sz="0" w:space="0" w:color="auto"/>
      </w:divBdr>
    </w:div>
    <w:div w:id="2041006879">
      <w:bodyDiv w:val="1"/>
      <w:marLeft w:val="0"/>
      <w:marRight w:val="0"/>
      <w:marTop w:val="0"/>
      <w:marBottom w:val="0"/>
      <w:divBdr>
        <w:top w:val="none" w:sz="0" w:space="0" w:color="auto"/>
        <w:left w:val="none" w:sz="0" w:space="0" w:color="auto"/>
        <w:bottom w:val="none" w:sz="0" w:space="0" w:color="auto"/>
        <w:right w:val="none" w:sz="0" w:space="0" w:color="auto"/>
      </w:divBdr>
    </w:div>
    <w:div w:id="2041007661">
      <w:bodyDiv w:val="1"/>
      <w:marLeft w:val="0"/>
      <w:marRight w:val="0"/>
      <w:marTop w:val="0"/>
      <w:marBottom w:val="0"/>
      <w:divBdr>
        <w:top w:val="none" w:sz="0" w:space="0" w:color="auto"/>
        <w:left w:val="none" w:sz="0" w:space="0" w:color="auto"/>
        <w:bottom w:val="none" w:sz="0" w:space="0" w:color="auto"/>
        <w:right w:val="none" w:sz="0" w:space="0" w:color="auto"/>
      </w:divBdr>
    </w:div>
    <w:div w:id="2041010453">
      <w:bodyDiv w:val="1"/>
      <w:marLeft w:val="0"/>
      <w:marRight w:val="0"/>
      <w:marTop w:val="0"/>
      <w:marBottom w:val="0"/>
      <w:divBdr>
        <w:top w:val="none" w:sz="0" w:space="0" w:color="auto"/>
        <w:left w:val="none" w:sz="0" w:space="0" w:color="auto"/>
        <w:bottom w:val="none" w:sz="0" w:space="0" w:color="auto"/>
        <w:right w:val="none" w:sz="0" w:space="0" w:color="auto"/>
      </w:divBdr>
    </w:div>
    <w:div w:id="2042198635">
      <w:bodyDiv w:val="1"/>
      <w:marLeft w:val="0"/>
      <w:marRight w:val="0"/>
      <w:marTop w:val="0"/>
      <w:marBottom w:val="0"/>
      <w:divBdr>
        <w:top w:val="none" w:sz="0" w:space="0" w:color="auto"/>
        <w:left w:val="none" w:sz="0" w:space="0" w:color="auto"/>
        <w:bottom w:val="none" w:sz="0" w:space="0" w:color="auto"/>
        <w:right w:val="none" w:sz="0" w:space="0" w:color="auto"/>
      </w:divBdr>
    </w:div>
    <w:div w:id="2042589001">
      <w:bodyDiv w:val="1"/>
      <w:marLeft w:val="0"/>
      <w:marRight w:val="0"/>
      <w:marTop w:val="0"/>
      <w:marBottom w:val="0"/>
      <w:divBdr>
        <w:top w:val="none" w:sz="0" w:space="0" w:color="auto"/>
        <w:left w:val="none" w:sz="0" w:space="0" w:color="auto"/>
        <w:bottom w:val="none" w:sz="0" w:space="0" w:color="auto"/>
        <w:right w:val="none" w:sz="0" w:space="0" w:color="auto"/>
      </w:divBdr>
    </w:div>
    <w:div w:id="2042827425">
      <w:bodyDiv w:val="1"/>
      <w:marLeft w:val="0"/>
      <w:marRight w:val="0"/>
      <w:marTop w:val="0"/>
      <w:marBottom w:val="0"/>
      <w:divBdr>
        <w:top w:val="none" w:sz="0" w:space="0" w:color="auto"/>
        <w:left w:val="none" w:sz="0" w:space="0" w:color="auto"/>
        <w:bottom w:val="none" w:sz="0" w:space="0" w:color="auto"/>
        <w:right w:val="none" w:sz="0" w:space="0" w:color="auto"/>
      </w:divBdr>
    </w:div>
    <w:div w:id="2042974484">
      <w:bodyDiv w:val="1"/>
      <w:marLeft w:val="0"/>
      <w:marRight w:val="0"/>
      <w:marTop w:val="0"/>
      <w:marBottom w:val="0"/>
      <w:divBdr>
        <w:top w:val="none" w:sz="0" w:space="0" w:color="auto"/>
        <w:left w:val="none" w:sz="0" w:space="0" w:color="auto"/>
        <w:bottom w:val="none" w:sz="0" w:space="0" w:color="auto"/>
        <w:right w:val="none" w:sz="0" w:space="0" w:color="auto"/>
      </w:divBdr>
    </w:div>
    <w:div w:id="2043742887">
      <w:bodyDiv w:val="1"/>
      <w:marLeft w:val="0"/>
      <w:marRight w:val="0"/>
      <w:marTop w:val="0"/>
      <w:marBottom w:val="0"/>
      <w:divBdr>
        <w:top w:val="none" w:sz="0" w:space="0" w:color="auto"/>
        <w:left w:val="none" w:sz="0" w:space="0" w:color="auto"/>
        <w:bottom w:val="none" w:sz="0" w:space="0" w:color="auto"/>
        <w:right w:val="none" w:sz="0" w:space="0" w:color="auto"/>
      </w:divBdr>
    </w:div>
    <w:div w:id="2044011380">
      <w:bodyDiv w:val="1"/>
      <w:marLeft w:val="0"/>
      <w:marRight w:val="0"/>
      <w:marTop w:val="0"/>
      <w:marBottom w:val="0"/>
      <w:divBdr>
        <w:top w:val="none" w:sz="0" w:space="0" w:color="auto"/>
        <w:left w:val="none" w:sz="0" w:space="0" w:color="auto"/>
        <w:bottom w:val="none" w:sz="0" w:space="0" w:color="auto"/>
        <w:right w:val="none" w:sz="0" w:space="0" w:color="auto"/>
      </w:divBdr>
    </w:div>
    <w:div w:id="2044749691">
      <w:bodyDiv w:val="1"/>
      <w:marLeft w:val="0"/>
      <w:marRight w:val="0"/>
      <w:marTop w:val="0"/>
      <w:marBottom w:val="0"/>
      <w:divBdr>
        <w:top w:val="none" w:sz="0" w:space="0" w:color="auto"/>
        <w:left w:val="none" w:sz="0" w:space="0" w:color="auto"/>
        <w:bottom w:val="none" w:sz="0" w:space="0" w:color="auto"/>
        <w:right w:val="none" w:sz="0" w:space="0" w:color="auto"/>
      </w:divBdr>
    </w:div>
    <w:div w:id="2044865381">
      <w:bodyDiv w:val="1"/>
      <w:marLeft w:val="0"/>
      <w:marRight w:val="0"/>
      <w:marTop w:val="0"/>
      <w:marBottom w:val="0"/>
      <w:divBdr>
        <w:top w:val="none" w:sz="0" w:space="0" w:color="auto"/>
        <w:left w:val="none" w:sz="0" w:space="0" w:color="auto"/>
        <w:bottom w:val="none" w:sz="0" w:space="0" w:color="auto"/>
        <w:right w:val="none" w:sz="0" w:space="0" w:color="auto"/>
      </w:divBdr>
    </w:div>
    <w:div w:id="2045209317">
      <w:bodyDiv w:val="1"/>
      <w:marLeft w:val="0"/>
      <w:marRight w:val="0"/>
      <w:marTop w:val="0"/>
      <w:marBottom w:val="0"/>
      <w:divBdr>
        <w:top w:val="none" w:sz="0" w:space="0" w:color="auto"/>
        <w:left w:val="none" w:sz="0" w:space="0" w:color="auto"/>
        <w:bottom w:val="none" w:sz="0" w:space="0" w:color="auto"/>
        <w:right w:val="none" w:sz="0" w:space="0" w:color="auto"/>
      </w:divBdr>
    </w:div>
    <w:div w:id="2045210619">
      <w:bodyDiv w:val="1"/>
      <w:marLeft w:val="0"/>
      <w:marRight w:val="0"/>
      <w:marTop w:val="0"/>
      <w:marBottom w:val="0"/>
      <w:divBdr>
        <w:top w:val="none" w:sz="0" w:space="0" w:color="auto"/>
        <w:left w:val="none" w:sz="0" w:space="0" w:color="auto"/>
        <w:bottom w:val="none" w:sz="0" w:space="0" w:color="auto"/>
        <w:right w:val="none" w:sz="0" w:space="0" w:color="auto"/>
      </w:divBdr>
    </w:div>
    <w:div w:id="2045404138">
      <w:bodyDiv w:val="1"/>
      <w:marLeft w:val="0"/>
      <w:marRight w:val="0"/>
      <w:marTop w:val="0"/>
      <w:marBottom w:val="0"/>
      <w:divBdr>
        <w:top w:val="none" w:sz="0" w:space="0" w:color="auto"/>
        <w:left w:val="none" w:sz="0" w:space="0" w:color="auto"/>
        <w:bottom w:val="none" w:sz="0" w:space="0" w:color="auto"/>
        <w:right w:val="none" w:sz="0" w:space="0" w:color="auto"/>
      </w:divBdr>
    </w:div>
    <w:div w:id="2045404841">
      <w:bodyDiv w:val="1"/>
      <w:marLeft w:val="0"/>
      <w:marRight w:val="0"/>
      <w:marTop w:val="0"/>
      <w:marBottom w:val="0"/>
      <w:divBdr>
        <w:top w:val="none" w:sz="0" w:space="0" w:color="auto"/>
        <w:left w:val="none" w:sz="0" w:space="0" w:color="auto"/>
        <w:bottom w:val="none" w:sz="0" w:space="0" w:color="auto"/>
        <w:right w:val="none" w:sz="0" w:space="0" w:color="auto"/>
      </w:divBdr>
    </w:div>
    <w:div w:id="2045669077">
      <w:bodyDiv w:val="1"/>
      <w:marLeft w:val="0"/>
      <w:marRight w:val="0"/>
      <w:marTop w:val="0"/>
      <w:marBottom w:val="0"/>
      <w:divBdr>
        <w:top w:val="none" w:sz="0" w:space="0" w:color="auto"/>
        <w:left w:val="none" w:sz="0" w:space="0" w:color="auto"/>
        <w:bottom w:val="none" w:sz="0" w:space="0" w:color="auto"/>
        <w:right w:val="none" w:sz="0" w:space="0" w:color="auto"/>
      </w:divBdr>
    </w:div>
    <w:div w:id="2045863137">
      <w:bodyDiv w:val="1"/>
      <w:marLeft w:val="0"/>
      <w:marRight w:val="0"/>
      <w:marTop w:val="0"/>
      <w:marBottom w:val="0"/>
      <w:divBdr>
        <w:top w:val="none" w:sz="0" w:space="0" w:color="auto"/>
        <w:left w:val="none" w:sz="0" w:space="0" w:color="auto"/>
        <w:bottom w:val="none" w:sz="0" w:space="0" w:color="auto"/>
        <w:right w:val="none" w:sz="0" w:space="0" w:color="auto"/>
      </w:divBdr>
    </w:div>
    <w:div w:id="2046521145">
      <w:bodyDiv w:val="1"/>
      <w:marLeft w:val="0"/>
      <w:marRight w:val="0"/>
      <w:marTop w:val="0"/>
      <w:marBottom w:val="0"/>
      <w:divBdr>
        <w:top w:val="none" w:sz="0" w:space="0" w:color="auto"/>
        <w:left w:val="none" w:sz="0" w:space="0" w:color="auto"/>
        <w:bottom w:val="none" w:sz="0" w:space="0" w:color="auto"/>
        <w:right w:val="none" w:sz="0" w:space="0" w:color="auto"/>
      </w:divBdr>
    </w:div>
    <w:div w:id="2046756325">
      <w:bodyDiv w:val="1"/>
      <w:marLeft w:val="0"/>
      <w:marRight w:val="0"/>
      <w:marTop w:val="0"/>
      <w:marBottom w:val="0"/>
      <w:divBdr>
        <w:top w:val="none" w:sz="0" w:space="0" w:color="auto"/>
        <w:left w:val="none" w:sz="0" w:space="0" w:color="auto"/>
        <w:bottom w:val="none" w:sz="0" w:space="0" w:color="auto"/>
        <w:right w:val="none" w:sz="0" w:space="0" w:color="auto"/>
      </w:divBdr>
    </w:div>
    <w:div w:id="2047174262">
      <w:bodyDiv w:val="1"/>
      <w:marLeft w:val="0"/>
      <w:marRight w:val="0"/>
      <w:marTop w:val="0"/>
      <w:marBottom w:val="0"/>
      <w:divBdr>
        <w:top w:val="none" w:sz="0" w:space="0" w:color="auto"/>
        <w:left w:val="none" w:sz="0" w:space="0" w:color="auto"/>
        <w:bottom w:val="none" w:sz="0" w:space="0" w:color="auto"/>
        <w:right w:val="none" w:sz="0" w:space="0" w:color="auto"/>
      </w:divBdr>
    </w:div>
    <w:div w:id="2047296230">
      <w:bodyDiv w:val="1"/>
      <w:marLeft w:val="0"/>
      <w:marRight w:val="0"/>
      <w:marTop w:val="0"/>
      <w:marBottom w:val="0"/>
      <w:divBdr>
        <w:top w:val="none" w:sz="0" w:space="0" w:color="auto"/>
        <w:left w:val="none" w:sz="0" w:space="0" w:color="auto"/>
        <w:bottom w:val="none" w:sz="0" w:space="0" w:color="auto"/>
        <w:right w:val="none" w:sz="0" w:space="0" w:color="auto"/>
      </w:divBdr>
    </w:div>
    <w:div w:id="2047483980">
      <w:bodyDiv w:val="1"/>
      <w:marLeft w:val="0"/>
      <w:marRight w:val="0"/>
      <w:marTop w:val="0"/>
      <w:marBottom w:val="0"/>
      <w:divBdr>
        <w:top w:val="none" w:sz="0" w:space="0" w:color="auto"/>
        <w:left w:val="none" w:sz="0" w:space="0" w:color="auto"/>
        <w:bottom w:val="none" w:sz="0" w:space="0" w:color="auto"/>
        <w:right w:val="none" w:sz="0" w:space="0" w:color="auto"/>
      </w:divBdr>
    </w:div>
    <w:div w:id="2047557106">
      <w:bodyDiv w:val="1"/>
      <w:marLeft w:val="0"/>
      <w:marRight w:val="0"/>
      <w:marTop w:val="0"/>
      <w:marBottom w:val="0"/>
      <w:divBdr>
        <w:top w:val="none" w:sz="0" w:space="0" w:color="auto"/>
        <w:left w:val="none" w:sz="0" w:space="0" w:color="auto"/>
        <w:bottom w:val="none" w:sz="0" w:space="0" w:color="auto"/>
        <w:right w:val="none" w:sz="0" w:space="0" w:color="auto"/>
      </w:divBdr>
    </w:div>
    <w:div w:id="2047681976">
      <w:bodyDiv w:val="1"/>
      <w:marLeft w:val="0"/>
      <w:marRight w:val="0"/>
      <w:marTop w:val="0"/>
      <w:marBottom w:val="0"/>
      <w:divBdr>
        <w:top w:val="none" w:sz="0" w:space="0" w:color="auto"/>
        <w:left w:val="none" w:sz="0" w:space="0" w:color="auto"/>
        <w:bottom w:val="none" w:sz="0" w:space="0" w:color="auto"/>
        <w:right w:val="none" w:sz="0" w:space="0" w:color="auto"/>
      </w:divBdr>
    </w:div>
    <w:div w:id="2047826522">
      <w:bodyDiv w:val="1"/>
      <w:marLeft w:val="0"/>
      <w:marRight w:val="0"/>
      <w:marTop w:val="0"/>
      <w:marBottom w:val="0"/>
      <w:divBdr>
        <w:top w:val="none" w:sz="0" w:space="0" w:color="auto"/>
        <w:left w:val="none" w:sz="0" w:space="0" w:color="auto"/>
        <w:bottom w:val="none" w:sz="0" w:space="0" w:color="auto"/>
        <w:right w:val="none" w:sz="0" w:space="0" w:color="auto"/>
      </w:divBdr>
    </w:div>
    <w:div w:id="2048990116">
      <w:bodyDiv w:val="1"/>
      <w:marLeft w:val="0"/>
      <w:marRight w:val="0"/>
      <w:marTop w:val="0"/>
      <w:marBottom w:val="0"/>
      <w:divBdr>
        <w:top w:val="none" w:sz="0" w:space="0" w:color="auto"/>
        <w:left w:val="none" w:sz="0" w:space="0" w:color="auto"/>
        <w:bottom w:val="none" w:sz="0" w:space="0" w:color="auto"/>
        <w:right w:val="none" w:sz="0" w:space="0" w:color="auto"/>
      </w:divBdr>
    </w:div>
    <w:div w:id="2048993631">
      <w:bodyDiv w:val="1"/>
      <w:marLeft w:val="0"/>
      <w:marRight w:val="0"/>
      <w:marTop w:val="0"/>
      <w:marBottom w:val="0"/>
      <w:divBdr>
        <w:top w:val="none" w:sz="0" w:space="0" w:color="auto"/>
        <w:left w:val="none" w:sz="0" w:space="0" w:color="auto"/>
        <w:bottom w:val="none" w:sz="0" w:space="0" w:color="auto"/>
        <w:right w:val="none" w:sz="0" w:space="0" w:color="auto"/>
      </w:divBdr>
    </w:div>
    <w:div w:id="2049261483">
      <w:bodyDiv w:val="1"/>
      <w:marLeft w:val="0"/>
      <w:marRight w:val="0"/>
      <w:marTop w:val="0"/>
      <w:marBottom w:val="0"/>
      <w:divBdr>
        <w:top w:val="none" w:sz="0" w:space="0" w:color="auto"/>
        <w:left w:val="none" w:sz="0" w:space="0" w:color="auto"/>
        <w:bottom w:val="none" w:sz="0" w:space="0" w:color="auto"/>
        <w:right w:val="none" w:sz="0" w:space="0" w:color="auto"/>
      </w:divBdr>
    </w:div>
    <w:div w:id="2049453210">
      <w:bodyDiv w:val="1"/>
      <w:marLeft w:val="0"/>
      <w:marRight w:val="0"/>
      <w:marTop w:val="0"/>
      <w:marBottom w:val="0"/>
      <w:divBdr>
        <w:top w:val="none" w:sz="0" w:space="0" w:color="auto"/>
        <w:left w:val="none" w:sz="0" w:space="0" w:color="auto"/>
        <w:bottom w:val="none" w:sz="0" w:space="0" w:color="auto"/>
        <w:right w:val="none" w:sz="0" w:space="0" w:color="auto"/>
      </w:divBdr>
    </w:div>
    <w:div w:id="2049840688">
      <w:bodyDiv w:val="1"/>
      <w:marLeft w:val="0"/>
      <w:marRight w:val="0"/>
      <w:marTop w:val="0"/>
      <w:marBottom w:val="0"/>
      <w:divBdr>
        <w:top w:val="none" w:sz="0" w:space="0" w:color="auto"/>
        <w:left w:val="none" w:sz="0" w:space="0" w:color="auto"/>
        <w:bottom w:val="none" w:sz="0" w:space="0" w:color="auto"/>
        <w:right w:val="none" w:sz="0" w:space="0" w:color="auto"/>
      </w:divBdr>
    </w:div>
    <w:div w:id="2049917424">
      <w:bodyDiv w:val="1"/>
      <w:marLeft w:val="0"/>
      <w:marRight w:val="0"/>
      <w:marTop w:val="0"/>
      <w:marBottom w:val="0"/>
      <w:divBdr>
        <w:top w:val="none" w:sz="0" w:space="0" w:color="auto"/>
        <w:left w:val="none" w:sz="0" w:space="0" w:color="auto"/>
        <w:bottom w:val="none" w:sz="0" w:space="0" w:color="auto"/>
        <w:right w:val="none" w:sz="0" w:space="0" w:color="auto"/>
      </w:divBdr>
    </w:div>
    <w:div w:id="2051495709">
      <w:bodyDiv w:val="1"/>
      <w:marLeft w:val="0"/>
      <w:marRight w:val="0"/>
      <w:marTop w:val="0"/>
      <w:marBottom w:val="0"/>
      <w:divBdr>
        <w:top w:val="none" w:sz="0" w:space="0" w:color="auto"/>
        <w:left w:val="none" w:sz="0" w:space="0" w:color="auto"/>
        <w:bottom w:val="none" w:sz="0" w:space="0" w:color="auto"/>
        <w:right w:val="none" w:sz="0" w:space="0" w:color="auto"/>
      </w:divBdr>
    </w:div>
    <w:div w:id="2051614656">
      <w:bodyDiv w:val="1"/>
      <w:marLeft w:val="0"/>
      <w:marRight w:val="0"/>
      <w:marTop w:val="0"/>
      <w:marBottom w:val="0"/>
      <w:divBdr>
        <w:top w:val="none" w:sz="0" w:space="0" w:color="auto"/>
        <w:left w:val="none" w:sz="0" w:space="0" w:color="auto"/>
        <w:bottom w:val="none" w:sz="0" w:space="0" w:color="auto"/>
        <w:right w:val="none" w:sz="0" w:space="0" w:color="auto"/>
      </w:divBdr>
    </w:div>
    <w:div w:id="2053192849">
      <w:bodyDiv w:val="1"/>
      <w:marLeft w:val="0"/>
      <w:marRight w:val="0"/>
      <w:marTop w:val="0"/>
      <w:marBottom w:val="0"/>
      <w:divBdr>
        <w:top w:val="none" w:sz="0" w:space="0" w:color="auto"/>
        <w:left w:val="none" w:sz="0" w:space="0" w:color="auto"/>
        <w:bottom w:val="none" w:sz="0" w:space="0" w:color="auto"/>
        <w:right w:val="none" w:sz="0" w:space="0" w:color="auto"/>
      </w:divBdr>
    </w:div>
    <w:div w:id="2053310676">
      <w:bodyDiv w:val="1"/>
      <w:marLeft w:val="0"/>
      <w:marRight w:val="0"/>
      <w:marTop w:val="0"/>
      <w:marBottom w:val="0"/>
      <w:divBdr>
        <w:top w:val="none" w:sz="0" w:space="0" w:color="auto"/>
        <w:left w:val="none" w:sz="0" w:space="0" w:color="auto"/>
        <w:bottom w:val="none" w:sz="0" w:space="0" w:color="auto"/>
        <w:right w:val="none" w:sz="0" w:space="0" w:color="auto"/>
      </w:divBdr>
    </w:div>
    <w:div w:id="2053338386">
      <w:bodyDiv w:val="1"/>
      <w:marLeft w:val="0"/>
      <w:marRight w:val="0"/>
      <w:marTop w:val="0"/>
      <w:marBottom w:val="0"/>
      <w:divBdr>
        <w:top w:val="none" w:sz="0" w:space="0" w:color="auto"/>
        <w:left w:val="none" w:sz="0" w:space="0" w:color="auto"/>
        <w:bottom w:val="none" w:sz="0" w:space="0" w:color="auto"/>
        <w:right w:val="none" w:sz="0" w:space="0" w:color="auto"/>
      </w:divBdr>
    </w:div>
    <w:div w:id="2053653305">
      <w:bodyDiv w:val="1"/>
      <w:marLeft w:val="0"/>
      <w:marRight w:val="0"/>
      <w:marTop w:val="0"/>
      <w:marBottom w:val="0"/>
      <w:divBdr>
        <w:top w:val="none" w:sz="0" w:space="0" w:color="auto"/>
        <w:left w:val="none" w:sz="0" w:space="0" w:color="auto"/>
        <w:bottom w:val="none" w:sz="0" w:space="0" w:color="auto"/>
        <w:right w:val="none" w:sz="0" w:space="0" w:color="auto"/>
      </w:divBdr>
    </w:div>
    <w:div w:id="2054189548">
      <w:bodyDiv w:val="1"/>
      <w:marLeft w:val="0"/>
      <w:marRight w:val="0"/>
      <w:marTop w:val="0"/>
      <w:marBottom w:val="0"/>
      <w:divBdr>
        <w:top w:val="none" w:sz="0" w:space="0" w:color="auto"/>
        <w:left w:val="none" w:sz="0" w:space="0" w:color="auto"/>
        <w:bottom w:val="none" w:sz="0" w:space="0" w:color="auto"/>
        <w:right w:val="none" w:sz="0" w:space="0" w:color="auto"/>
      </w:divBdr>
    </w:div>
    <w:div w:id="2054380970">
      <w:bodyDiv w:val="1"/>
      <w:marLeft w:val="0"/>
      <w:marRight w:val="0"/>
      <w:marTop w:val="0"/>
      <w:marBottom w:val="0"/>
      <w:divBdr>
        <w:top w:val="none" w:sz="0" w:space="0" w:color="auto"/>
        <w:left w:val="none" w:sz="0" w:space="0" w:color="auto"/>
        <w:bottom w:val="none" w:sz="0" w:space="0" w:color="auto"/>
        <w:right w:val="none" w:sz="0" w:space="0" w:color="auto"/>
      </w:divBdr>
    </w:div>
    <w:div w:id="2054384959">
      <w:bodyDiv w:val="1"/>
      <w:marLeft w:val="0"/>
      <w:marRight w:val="0"/>
      <w:marTop w:val="0"/>
      <w:marBottom w:val="0"/>
      <w:divBdr>
        <w:top w:val="none" w:sz="0" w:space="0" w:color="auto"/>
        <w:left w:val="none" w:sz="0" w:space="0" w:color="auto"/>
        <w:bottom w:val="none" w:sz="0" w:space="0" w:color="auto"/>
        <w:right w:val="none" w:sz="0" w:space="0" w:color="auto"/>
      </w:divBdr>
    </w:div>
    <w:div w:id="2054503530">
      <w:bodyDiv w:val="1"/>
      <w:marLeft w:val="0"/>
      <w:marRight w:val="0"/>
      <w:marTop w:val="0"/>
      <w:marBottom w:val="0"/>
      <w:divBdr>
        <w:top w:val="none" w:sz="0" w:space="0" w:color="auto"/>
        <w:left w:val="none" w:sz="0" w:space="0" w:color="auto"/>
        <w:bottom w:val="none" w:sz="0" w:space="0" w:color="auto"/>
        <w:right w:val="none" w:sz="0" w:space="0" w:color="auto"/>
      </w:divBdr>
    </w:div>
    <w:div w:id="2054768230">
      <w:bodyDiv w:val="1"/>
      <w:marLeft w:val="0"/>
      <w:marRight w:val="0"/>
      <w:marTop w:val="0"/>
      <w:marBottom w:val="0"/>
      <w:divBdr>
        <w:top w:val="none" w:sz="0" w:space="0" w:color="auto"/>
        <w:left w:val="none" w:sz="0" w:space="0" w:color="auto"/>
        <w:bottom w:val="none" w:sz="0" w:space="0" w:color="auto"/>
        <w:right w:val="none" w:sz="0" w:space="0" w:color="auto"/>
      </w:divBdr>
    </w:div>
    <w:div w:id="2055038057">
      <w:bodyDiv w:val="1"/>
      <w:marLeft w:val="0"/>
      <w:marRight w:val="0"/>
      <w:marTop w:val="0"/>
      <w:marBottom w:val="0"/>
      <w:divBdr>
        <w:top w:val="none" w:sz="0" w:space="0" w:color="auto"/>
        <w:left w:val="none" w:sz="0" w:space="0" w:color="auto"/>
        <w:bottom w:val="none" w:sz="0" w:space="0" w:color="auto"/>
        <w:right w:val="none" w:sz="0" w:space="0" w:color="auto"/>
      </w:divBdr>
    </w:div>
    <w:div w:id="2055039159">
      <w:bodyDiv w:val="1"/>
      <w:marLeft w:val="0"/>
      <w:marRight w:val="0"/>
      <w:marTop w:val="0"/>
      <w:marBottom w:val="0"/>
      <w:divBdr>
        <w:top w:val="none" w:sz="0" w:space="0" w:color="auto"/>
        <w:left w:val="none" w:sz="0" w:space="0" w:color="auto"/>
        <w:bottom w:val="none" w:sz="0" w:space="0" w:color="auto"/>
        <w:right w:val="none" w:sz="0" w:space="0" w:color="auto"/>
      </w:divBdr>
    </w:div>
    <w:div w:id="2055734655">
      <w:bodyDiv w:val="1"/>
      <w:marLeft w:val="0"/>
      <w:marRight w:val="0"/>
      <w:marTop w:val="0"/>
      <w:marBottom w:val="0"/>
      <w:divBdr>
        <w:top w:val="none" w:sz="0" w:space="0" w:color="auto"/>
        <w:left w:val="none" w:sz="0" w:space="0" w:color="auto"/>
        <w:bottom w:val="none" w:sz="0" w:space="0" w:color="auto"/>
        <w:right w:val="none" w:sz="0" w:space="0" w:color="auto"/>
      </w:divBdr>
    </w:div>
    <w:div w:id="2056276446">
      <w:bodyDiv w:val="1"/>
      <w:marLeft w:val="0"/>
      <w:marRight w:val="0"/>
      <w:marTop w:val="0"/>
      <w:marBottom w:val="0"/>
      <w:divBdr>
        <w:top w:val="none" w:sz="0" w:space="0" w:color="auto"/>
        <w:left w:val="none" w:sz="0" w:space="0" w:color="auto"/>
        <w:bottom w:val="none" w:sz="0" w:space="0" w:color="auto"/>
        <w:right w:val="none" w:sz="0" w:space="0" w:color="auto"/>
      </w:divBdr>
    </w:div>
    <w:div w:id="2056539710">
      <w:bodyDiv w:val="1"/>
      <w:marLeft w:val="0"/>
      <w:marRight w:val="0"/>
      <w:marTop w:val="0"/>
      <w:marBottom w:val="0"/>
      <w:divBdr>
        <w:top w:val="none" w:sz="0" w:space="0" w:color="auto"/>
        <w:left w:val="none" w:sz="0" w:space="0" w:color="auto"/>
        <w:bottom w:val="none" w:sz="0" w:space="0" w:color="auto"/>
        <w:right w:val="none" w:sz="0" w:space="0" w:color="auto"/>
      </w:divBdr>
    </w:div>
    <w:div w:id="2056616373">
      <w:bodyDiv w:val="1"/>
      <w:marLeft w:val="0"/>
      <w:marRight w:val="0"/>
      <w:marTop w:val="0"/>
      <w:marBottom w:val="0"/>
      <w:divBdr>
        <w:top w:val="none" w:sz="0" w:space="0" w:color="auto"/>
        <w:left w:val="none" w:sz="0" w:space="0" w:color="auto"/>
        <w:bottom w:val="none" w:sz="0" w:space="0" w:color="auto"/>
        <w:right w:val="none" w:sz="0" w:space="0" w:color="auto"/>
      </w:divBdr>
    </w:div>
    <w:div w:id="2056855865">
      <w:bodyDiv w:val="1"/>
      <w:marLeft w:val="0"/>
      <w:marRight w:val="0"/>
      <w:marTop w:val="0"/>
      <w:marBottom w:val="0"/>
      <w:divBdr>
        <w:top w:val="none" w:sz="0" w:space="0" w:color="auto"/>
        <w:left w:val="none" w:sz="0" w:space="0" w:color="auto"/>
        <w:bottom w:val="none" w:sz="0" w:space="0" w:color="auto"/>
        <w:right w:val="none" w:sz="0" w:space="0" w:color="auto"/>
      </w:divBdr>
    </w:div>
    <w:div w:id="2057393808">
      <w:bodyDiv w:val="1"/>
      <w:marLeft w:val="0"/>
      <w:marRight w:val="0"/>
      <w:marTop w:val="0"/>
      <w:marBottom w:val="0"/>
      <w:divBdr>
        <w:top w:val="none" w:sz="0" w:space="0" w:color="auto"/>
        <w:left w:val="none" w:sz="0" w:space="0" w:color="auto"/>
        <w:bottom w:val="none" w:sz="0" w:space="0" w:color="auto"/>
        <w:right w:val="none" w:sz="0" w:space="0" w:color="auto"/>
      </w:divBdr>
    </w:div>
    <w:div w:id="2057505718">
      <w:bodyDiv w:val="1"/>
      <w:marLeft w:val="0"/>
      <w:marRight w:val="0"/>
      <w:marTop w:val="0"/>
      <w:marBottom w:val="0"/>
      <w:divBdr>
        <w:top w:val="none" w:sz="0" w:space="0" w:color="auto"/>
        <w:left w:val="none" w:sz="0" w:space="0" w:color="auto"/>
        <w:bottom w:val="none" w:sz="0" w:space="0" w:color="auto"/>
        <w:right w:val="none" w:sz="0" w:space="0" w:color="auto"/>
      </w:divBdr>
    </w:div>
    <w:div w:id="2057772807">
      <w:bodyDiv w:val="1"/>
      <w:marLeft w:val="0"/>
      <w:marRight w:val="0"/>
      <w:marTop w:val="0"/>
      <w:marBottom w:val="0"/>
      <w:divBdr>
        <w:top w:val="none" w:sz="0" w:space="0" w:color="auto"/>
        <w:left w:val="none" w:sz="0" w:space="0" w:color="auto"/>
        <w:bottom w:val="none" w:sz="0" w:space="0" w:color="auto"/>
        <w:right w:val="none" w:sz="0" w:space="0" w:color="auto"/>
      </w:divBdr>
    </w:div>
    <w:div w:id="2057776077">
      <w:bodyDiv w:val="1"/>
      <w:marLeft w:val="0"/>
      <w:marRight w:val="0"/>
      <w:marTop w:val="0"/>
      <w:marBottom w:val="0"/>
      <w:divBdr>
        <w:top w:val="none" w:sz="0" w:space="0" w:color="auto"/>
        <w:left w:val="none" w:sz="0" w:space="0" w:color="auto"/>
        <w:bottom w:val="none" w:sz="0" w:space="0" w:color="auto"/>
        <w:right w:val="none" w:sz="0" w:space="0" w:color="auto"/>
      </w:divBdr>
    </w:div>
    <w:div w:id="2057928587">
      <w:bodyDiv w:val="1"/>
      <w:marLeft w:val="0"/>
      <w:marRight w:val="0"/>
      <w:marTop w:val="0"/>
      <w:marBottom w:val="0"/>
      <w:divBdr>
        <w:top w:val="none" w:sz="0" w:space="0" w:color="auto"/>
        <w:left w:val="none" w:sz="0" w:space="0" w:color="auto"/>
        <w:bottom w:val="none" w:sz="0" w:space="0" w:color="auto"/>
        <w:right w:val="none" w:sz="0" w:space="0" w:color="auto"/>
      </w:divBdr>
    </w:div>
    <w:div w:id="2058040658">
      <w:bodyDiv w:val="1"/>
      <w:marLeft w:val="0"/>
      <w:marRight w:val="0"/>
      <w:marTop w:val="0"/>
      <w:marBottom w:val="0"/>
      <w:divBdr>
        <w:top w:val="none" w:sz="0" w:space="0" w:color="auto"/>
        <w:left w:val="none" w:sz="0" w:space="0" w:color="auto"/>
        <w:bottom w:val="none" w:sz="0" w:space="0" w:color="auto"/>
        <w:right w:val="none" w:sz="0" w:space="0" w:color="auto"/>
      </w:divBdr>
    </w:div>
    <w:div w:id="2058313605">
      <w:bodyDiv w:val="1"/>
      <w:marLeft w:val="0"/>
      <w:marRight w:val="0"/>
      <w:marTop w:val="0"/>
      <w:marBottom w:val="0"/>
      <w:divBdr>
        <w:top w:val="none" w:sz="0" w:space="0" w:color="auto"/>
        <w:left w:val="none" w:sz="0" w:space="0" w:color="auto"/>
        <w:bottom w:val="none" w:sz="0" w:space="0" w:color="auto"/>
        <w:right w:val="none" w:sz="0" w:space="0" w:color="auto"/>
      </w:divBdr>
    </w:div>
    <w:div w:id="2058383848">
      <w:bodyDiv w:val="1"/>
      <w:marLeft w:val="0"/>
      <w:marRight w:val="0"/>
      <w:marTop w:val="0"/>
      <w:marBottom w:val="0"/>
      <w:divBdr>
        <w:top w:val="none" w:sz="0" w:space="0" w:color="auto"/>
        <w:left w:val="none" w:sz="0" w:space="0" w:color="auto"/>
        <w:bottom w:val="none" w:sz="0" w:space="0" w:color="auto"/>
        <w:right w:val="none" w:sz="0" w:space="0" w:color="auto"/>
      </w:divBdr>
    </w:div>
    <w:div w:id="2058623191">
      <w:bodyDiv w:val="1"/>
      <w:marLeft w:val="0"/>
      <w:marRight w:val="0"/>
      <w:marTop w:val="0"/>
      <w:marBottom w:val="0"/>
      <w:divBdr>
        <w:top w:val="none" w:sz="0" w:space="0" w:color="auto"/>
        <w:left w:val="none" w:sz="0" w:space="0" w:color="auto"/>
        <w:bottom w:val="none" w:sz="0" w:space="0" w:color="auto"/>
        <w:right w:val="none" w:sz="0" w:space="0" w:color="auto"/>
      </w:divBdr>
    </w:div>
    <w:div w:id="2058813628">
      <w:bodyDiv w:val="1"/>
      <w:marLeft w:val="0"/>
      <w:marRight w:val="0"/>
      <w:marTop w:val="0"/>
      <w:marBottom w:val="0"/>
      <w:divBdr>
        <w:top w:val="none" w:sz="0" w:space="0" w:color="auto"/>
        <w:left w:val="none" w:sz="0" w:space="0" w:color="auto"/>
        <w:bottom w:val="none" w:sz="0" w:space="0" w:color="auto"/>
        <w:right w:val="none" w:sz="0" w:space="0" w:color="auto"/>
      </w:divBdr>
    </w:div>
    <w:div w:id="2059237447">
      <w:bodyDiv w:val="1"/>
      <w:marLeft w:val="0"/>
      <w:marRight w:val="0"/>
      <w:marTop w:val="0"/>
      <w:marBottom w:val="0"/>
      <w:divBdr>
        <w:top w:val="none" w:sz="0" w:space="0" w:color="auto"/>
        <w:left w:val="none" w:sz="0" w:space="0" w:color="auto"/>
        <w:bottom w:val="none" w:sz="0" w:space="0" w:color="auto"/>
        <w:right w:val="none" w:sz="0" w:space="0" w:color="auto"/>
      </w:divBdr>
    </w:div>
    <w:div w:id="2059551589">
      <w:bodyDiv w:val="1"/>
      <w:marLeft w:val="0"/>
      <w:marRight w:val="0"/>
      <w:marTop w:val="0"/>
      <w:marBottom w:val="0"/>
      <w:divBdr>
        <w:top w:val="none" w:sz="0" w:space="0" w:color="auto"/>
        <w:left w:val="none" w:sz="0" w:space="0" w:color="auto"/>
        <w:bottom w:val="none" w:sz="0" w:space="0" w:color="auto"/>
        <w:right w:val="none" w:sz="0" w:space="0" w:color="auto"/>
      </w:divBdr>
    </w:div>
    <w:div w:id="2060745814">
      <w:bodyDiv w:val="1"/>
      <w:marLeft w:val="0"/>
      <w:marRight w:val="0"/>
      <w:marTop w:val="0"/>
      <w:marBottom w:val="0"/>
      <w:divBdr>
        <w:top w:val="none" w:sz="0" w:space="0" w:color="auto"/>
        <w:left w:val="none" w:sz="0" w:space="0" w:color="auto"/>
        <w:bottom w:val="none" w:sz="0" w:space="0" w:color="auto"/>
        <w:right w:val="none" w:sz="0" w:space="0" w:color="auto"/>
      </w:divBdr>
    </w:div>
    <w:div w:id="2060782989">
      <w:bodyDiv w:val="1"/>
      <w:marLeft w:val="0"/>
      <w:marRight w:val="0"/>
      <w:marTop w:val="0"/>
      <w:marBottom w:val="0"/>
      <w:divBdr>
        <w:top w:val="none" w:sz="0" w:space="0" w:color="auto"/>
        <w:left w:val="none" w:sz="0" w:space="0" w:color="auto"/>
        <w:bottom w:val="none" w:sz="0" w:space="0" w:color="auto"/>
        <w:right w:val="none" w:sz="0" w:space="0" w:color="auto"/>
      </w:divBdr>
    </w:div>
    <w:div w:id="2060978494">
      <w:bodyDiv w:val="1"/>
      <w:marLeft w:val="0"/>
      <w:marRight w:val="0"/>
      <w:marTop w:val="0"/>
      <w:marBottom w:val="0"/>
      <w:divBdr>
        <w:top w:val="none" w:sz="0" w:space="0" w:color="auto"/>
        <w:left w:val="none" w:sz="0" w:space="0" w:color="auto"/>
        <w:bottom w:val="none" w:sz="0" w:space="0" w:color="auto"/>
        <w:right w:val="none" w:sz="0" w:space="0" w:color="auto"/>
      </w:divBdr>
    </w:div>
    <w:div w:id="2061126355">
      <w:bodyDiv w:val="1"/>
      <w:marLeft w:val="0"/>
      <w:marRight w:val="0"/>
      <w:marTop w:val="0"/>
      <w:marBottom w:val="0"/>
      <w:divBdr>
        <w:top w:val="none" w:sz="0" w:space="0" w:color="auto"/>
        <w:left w:val="none" w:sz="0" w:space="0" w:color="auto"/>
        <w:bottom w:val="none" w:sz="0" w:space="0" w:color="auto"/>
        <w:right w:val="none" w:sz="0" w:space="0" w:color="auto"/>
      </w:divBdr>
    </w:div>
    <w:div w:id="2061247530">
      <w:bodyDiv w:val="1"/>
      <w:marLeft w:val="0"/>
      <w:marRight w:val="0"/>
      <w:marTop w:val="0"/>
      <w:marBottom w:val="0"/>
      <w:divBdr>
        <w:top w:val="none" w:sz="0" w:space="0" w:color="auto"/>
        <w:left w:val="none" w:sz="0" w:space="0" w:color="auto"/>
        <w:bottom w:val="none" w:sz="0" w:space="0" w:color="auto"/>
        <w:right w:val="none" w:sz="0" w:space="0" w:color="auto"/>
      </w:divBdr>
    </w:div>
    <w:div w:id="2061397905">
      <w:bodyDiv w:val="1"/>
      <w:marLeft w:val="0"/>
      <w:marRight w:val="0"/>
      <w:marTop w:val="0"/>
      <w:marBottom w:val="0"/>
      <w:divBdr>
        <w:top w:val="none" w:sz="0" w:space="0" w:color="auto"/>
        <w:left w:val="none" w:sz="0" w:space="0" w:color="auto"/>
        <w:bottom w:val="none" w:sz="0" w:space="0" w:color="auto"/>
        <w:right w:val="none" w:sz="0" w:space="0" w:color="auto"/>
      </w:divBdr>
    </w:div>
    <w:div w:id="2061781082">
      <w:bodyDiv w:val="1"/>
      <w:marLeft w:val="0"/>
      <w:marRight w:val="0"/>
      <w:marTop w:val="0"/>
      <w:marBottom w:val="0"/>
      <w:divBdr>
        <w:top w:val="none" w:sz="0" w:space="0" w:color="auto"/>
        <w:left w:val="none" w:sz="0" w:space="0" w:color="auto"/>
        <w:bottom w:val="none" w:sz="0" w:space="0" w:color="auto"/>
        <w:right w:val="none" w:sz="0" w:space="0" w:color="auto"/>
      </w:divBdr>
    </w:div>
    <w:div w:id="2061784475">
      <w:bodyDiv w:val="1"/>
      <w:marLeft w:val="0"/>
      <w:marRight w:val="0"/>
      <w:marTop w:val="0"/>
      <w:marBottom w:val="0"/>
      <w:divBdr>
        <w:top w:val="none" w:sz="0" w:space="0" w:color="auto"/>
        <w:left w:val="none" w:sz="0" w:space="0" w:color="auto"/>
        <w:bottom w:val="none" w:sz="0" w:space="0" w:color="auto"/>
        <w:right w:val="none" w:sz="0" w:space="0" w:color="auto"/>
      </w:divBdr>
    </w:div>
    <w:div w:id="2062484577">
      <w:bodyDiv w:val="1"/>
      <w:marLeft w:val="0"/>
      <w:marRight w:val="0"/>
      <w:marTop w:val="0"/>
      <w:marBottom w:val="0"/>
      <w:divBdr>
        <w:top w:val="none" w:sz="0" w:space="0" w:color="auto"/>
        <w:left w:val="none" w:sz="0" w:space="0" w:color="auto"/>
        <w:bottom w:val="none" w:sz="0" w:space="0" w:color="auto"/>
        <w:right w:val="none" w:sz="0" w:space="0" w:color="auto"/>
      </w:divBdr>
    </w:div>
    <w:div w:id="2062630693">
      <w:bodyDiv w:val="1"/>
      <w:marLeft w:val="0"/>
      <w:marRight w:val="0"/>
      <w:marTop w:val="0"/>
      <w:marBottom w:val="0"/>
      <w:divBdr>
        <w:top w:val="none" w:sz="0" w:space="0" w:color="auto"/>
        <w:left w:val="none" w:sz="0" w:space="0" w:color="auto"/>
        <w:bottom w:val="none" w:sz="0" w:space="0" w:color="auto"/>
        <w:right w:val="none" w:sz="0" w:space="0" w:color="auto"/>
      </w:divBdr>
    </w:div>
    <w:div w:id="2062709309">
      <w:bodyDiv w:val="1"/>
      <w:marLeft w:val="0"/>
      <w:marRight w:val="0"/>
      <w:marTop w:val="0"/>
      <w:marBottom w:val="0"/>
      <w:divBdr>
        <w:top w:val="none" w:sz="0" w:space="0" w:color="auto"/>
        <w:left w:val="none" w:sz="0" w:space="0" w:color="auto"/>
        <w:bottom w:val="none" w:sz="0" w:space="0" w:color="auto"/>
        <w:right w:val="none" w:sz="0" w:space="0" w:color="auto"/>
      </w:divBdr>
    </w:div>
    <w:div w:id="2062752739">
      <w:bodyDiv w:val="1"/>
      <w:marLeft w:val="0"/>
      <w:marRight w:val="0"/>
      <w:marTop w:val="0"/>
      <w:marBottom w:val="0"/>
      <w:divBdr>
        <w:top w:val="none" w:sz="0" w:space="0" w:color="auto"/>
        <w:left w:val="none" w:sz="0" w:space="0" w:color="auto"/>
        <w:bottom w:val="none" w:sz="0" w:space="0" w:color="auto"/>
        <w:right w:val="none" w:sz="0" w:space="0" w:color="auto"/>
      </w:divBdr>
    </w:div>
    <w:div w:id="2063014211">
      <w:bodyDiv w:val="1"/>
      <w:marLeft w:val="0"/>
      <w:marRight w:val="0"/>
      <w:marTop w:val="0"/>
      <w:marBottom w:val="0"/>
      <w:divBdr>
        <w:top w:val="none" w:sz="0" w:space="0" w:color="auto"/>
        <w:left w:val="none" w:sz="0" w:space="0" w:color="auto"/>
        <w:bottom w:val="none" w:sz="0" w:space="0" w:color="auto"/>
        <w:right w:val="none" w:sz="0" w:space="0" w:color="auto"/>
      </w:divBdr>
    </w:div>
    <w:div w:id="2063019135">
      <w:bodyDiv w:val="1"/>
      <w:marLeft w:val="0"/>
      <w:marRight w:val="0"/>
      <w:marTop w:val="0"/>
      <w:marBottom w:val="0"/>
      <w:divBdr>
        <w:top w:val="none" w:sz="0" w:space="0" w:color="auto"/>
        <w:left w:val="none" w:sz="0" w:space="0" w:color="auto"/>
        <w:bottom w:val="none" w:sz="0" w:space="0" w:color="auto"/>
        <w:right w:val="none" w:sz="0" w:space="0" w:color="auto"/>
      </w:divBdr>
    </w:div>
    <w:div w:id="2063169737">
      <w:bodyDiv w:val="1"/>
      <w:marLeft w:val="0"/>
      <w:marRight w:val="0"/>
      <w:marTop w:val="0"/>
      <w:marBottom w:val="0"/>
      <w:divBdr>
        <w:top w:val="none" w:sz="0" w:space="0" w:color="auto"/>
        <w:left w:val="none" w:sz="0" w:space="0" w:color="auto"/>
        <w:bottom w:val="none" w:sz="0" w:space="0" w:color="auto"/>
        <w:right w:val="none" w:sz="0" w:space="0" w:color="auto"/>
      </w:divBdr>
    </w:div>
    <w:div w:id="2063795635">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3866458">
      <w:bodyDiv w:val="1"/>
      <w:marLeft w:val="0"/>
      <w:marRight w:val="0"/>
      <w:marTop w:val="0"/>
      <w:marBottom w:val="0"/>
      <w:divBdr>
        <w:top w:val="none" w:sz="0" w:space="0" w:color="auto"/>
        <w:left w:val="none" w:sz="0" w:space="0" w:color="auto"/>
        <w:bottom w:val="none" w:sz="0" w:space="0" w:color="auto"/>
        <w:right w:val="none" w:sz="0" w:space="0" w:color="auto"/>
      </w:divBdr>
    </w:div>
    <w:div w:id="2064333380">
      <w:bodyDiv w:val="1"/>
      <w:marLeft w:val="0"/>
      <w:marRight w:val="0"/>
      <w:marTop w:val="0"/>
      <w:marBottom w:val="0"/>
      <w:divBdr>
        <w:top w:val="none" w:sz="0" w:space="0" w:color="auto"/>
        <w:left w:val="none" w:sz="0" w:space="0" w:color="auto"/>
        <w:bottom w:val="none" w:sz="0" w:space="0" w:color="auto"/>
        <w:right w:val="none" w:sz="0" w:space="0" w:color="auto"/>
      </w:divBdr>
    </w:div>
    <w:div w:id="2064867022">
      <w:bodyDiv w:val="1"/>
      <w:marLeft w:val="0"/>
      <w:marRight w:val="0"/>
      <w:marTop w:val="0"/>
      <w:marBottom w:val="0"/>
      <w:divBdr>
        <w:top w:val="none" w:sz="0" w:space="0" w:color="auto"/>
        <w:left w:val="none" w:sz="0" w:space="0" w:color="auto"/>
        <w:bottom w:val="none" w:sz="0" w:space="0" w:color="auto"/>
        <w:right w:val="none" w:sz="0" w:space="0" w:color="auto"/>
      </w:divBdr>
    </w:div>
    <w:div w:id="2064869814">
      <w:bodyDiv w:val="1"/>
      <w:marLeft w:val="0"/>
      <w:marRight w:val="0"/>
      <w:marTop w:val="0"/>
      <w:marBottom w:val="0"/>
      <w:divBdr>
        <w:top w:val="none" w:sz="0" w:space="0" w:color="auto"/>
        <w:left w:val="none" w:sz="0" w:space="0" w:color="auto"/>
        <w:bottom w:val="none" w:sz="0" w:space="0" w:color="auto"/>
        <w:right w:val="none" w:sz="0" w:space="0" w:color="auto"/>
      </w:divBdr>
    </w:div>
    <w:div w:id="2064912511">
      <w:bodyDiv w:val="1"/>
      <w:marLeft w:val="0"/>
      <w:marRight w:val="0"/>
      <w:marTop w:val="0"/>
      <w:marBottom w:val="0"/>
      <w:divBdr>
        <w:top w:val="none" w:sz="0" w:space="0" w:color="auto"/>
        <w:left w:val="none" w:sz="0" w:space="0" w:color="auto"/>
        <w:bottom w:val="none" w:sz="0" w:space="0" w:color="auto"/>
        <w:right w:val="none" w:sz="0" w:space="0" w:color="auto"/>
      </w:divBdr>
    </w:div>
    <w:div w:id="2064980784">
      <w:bodyDiv w:val="1"/>
      <w:marLeft w:val="0"/>
      <w:marRight w:val="0"/>
      <w:marTop w:val="0"/>
      <w:marBottom w:val="0"/>
      <w:divBdr>
        <w:top w:val="none" w:sz="0" w:space="0" w:color="auto"/>
        <w:left w:val="none" w:sz="0" w:space="0" w:color="auto"/>
        <w:bottom w:val="none" w:sz="0" w:space="0" w:color="auto"/>
        <w:right w:val="none" w:sz="0" w:space="0" w:color="auto"/>
      </w:divBdr>
    </w:div>
    <w:div w:id="2065056701">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65641377">
      <w:bodyDiv w:val="1"/>
      <w:marLeft w:val="0"/>
      <w:marRight w:val="0"/>
      <w:marTop w:val="0"/>
      <w:marBottom w:val="0"/>
      <w:divBdr>
        <w:top w:val="none" w:sz="0" w:space="0" w:color="auto"/>
        <w:left w:val="none" w:sz="0" w:space="0" w:color="auto"/>
        <w:bottom w:val="none" w:sz="0" w:space="0" w:color="auto"/>
        <w:right w:val="none" w:sz="0" w:space="0" w:color="auto"/>
      </w:divBdr>
    </w:div>
    <w:div w:id="2065788416">
      <w:bodyDiv w:val="1"/>
      <w:marLeft w:val="0"/>
      <w:marRight w:val="0"/>
      <w:marTop w:val="0"/>
      <w:marBottom w:val="0"/>
      <w:divBdr>
        <w:top w:val="none" w:sz="0" w:space="0" w:color="auto"/>
        <w:left w:val="none" w:sz="0" w:space="0" w:color="auto"/>
        <w:bottom w:val="none" w:sz="0" w:space="0" w:color="auto"/>
        <w:right w:val="none" w:sz="0" w:space="0" w:color="auto"/>
      </w:divBdr>
    </w:div>
    <w:div w:id="2065903438">
      <w:bodyDiv w:val="1"/>
      <w:marLeft w:val="0"/>
      <w:marRight w:val="0"/>
      <w:marTop w:val="0"/>
      <w:marBottom w:val="0"/>
      <w:divBdr>
        <w:top w:val="none" w:sz="0" w:space="0" w:color="auto"/>
        <w:left w:val="none" w:sz="0" w:space="0" w:color="auto"/>
        <w:bottom w:val="none" w:sz="0" w:space="0" w:color="auto"/>
        <w:right w:val="none" w:sz="0" w:space="0" w:color="auto"/>
      </w:divBdr>
    </w:div>
    <w:div w:id="2065911198">
      <w:bodyDiv w:val="1"/>
      <w:marLeft w:val="0"/>
      <w:marRight w:val="0"/>
      <w:marTop w:val="0"/>
      <w:marBottom w:val="0"/>
      <w:divBdr>
        <w:top w:val="none" w:sz="0" w:space="0" w:color="auto"/>
        <w:left w:val="none" w:sz="0" w:space="0" w:color="auto"/>
        <w:bottom w:val="none" w:sz="0" w:space="0" w:color="auto"/>
        <w:right w:val="none" w:sz="0" w:space="0" w:color="auto"/>
      </w:divBdr>
    </w:div>
    <w:div w:id="2066096454">
      <w:bodyDiv w:val="1"/>
      <w:marLeft w:val="0"/>
      <w:marRight w:val="0"/>
      <w:marTop w:val="0"/>
      <w:marBottom w:val="0"/>
      <w:divBdr>
        <w:top w:val="none" w:sz="0" w:space="0" w:color="auto"/>
        <w:left w:val="none" w:sz="0" w:space="0" w:color="auto"/>
        <w:bottom w:val="none" w:sz="0" w:space="0" w:color="auto"/>
        <w:right w:val="none" w:sz="0" w:space="0" w:color="auto"/>
      </w:divBdr>
    </w:div>
    <w:div w:id="2066100704">
      <w:bodyDiv w:val="1"/>
      <w:marLeft w:val="0"/>
      <w:marRight w:val="0"/>
      <w:marTop w:val="0"/>
      <w:marBottom w:val="0"/>
      <w:divBdr>
        <w:top w:val="none" w:sz="0" w:space="0" w:color="auto"/>
        <w:left w:val="none" w:sz="0" w:space="0" w:color="auto"/>
        <w:bottom w:val="none" w:sz="0" w:space="0" w:color="auto"/>
        <w:right w:val="none" w:sz="0" w:space="0" w:color="auto"/>
      </w:divBdr>
    </w:div>
    <w:div w:id="2066374386">
      <w:bodyDiv w:val="1"/>
      <w:marLeft w:val="0"/>
      <w:marRight w:val="0"/>
      <w:marTop w:val="0"/>
      <w:marBottom w:val="0"/>
      <w:divBdr>
        <w:top w:val="none" w:sz="0" w:space="0" w:color="auto"/>
        <w:left w:val="none" w:sz="0" w:space="0" w:color="auto"/>
        <w:bottom w:val="none" w:sz="0" w:space="0" w:color="auto"/>
        <w:right w:val="none" w:sz="0" w:space="0" w:color="auto"/>
      </w:divBdr>
    </w:div>
    <w:div w:id="2066950079">
      <w:bodyDiv w:val="1"/>
      <w:marLeft w:val="0"/>
      <w:marRight w:val="0"/>
      <w:marTop w:val="0"/>
      <w:marBottom w:val="0"/>
      <w:divBdr>
        <w:top w:val="none" w:sz="0" w:space="0" w:color="auto"/>
        <w:left w:val="none" w:sz="0" w:space="0" w:color="auto"/>
        <w:bottom w:val="none" w:sz="0" w:space="0" w:color="auto"/>
        <w:right w:val="none" w:sz="0" w:space="0" w:color="auto"/>
      </w:divBdr>
    </w:div>
    <w:div w:id="2066952316">
      <w:bodyDiv w:val="1"/>
      <w:marLeft w:val="0"/>
      <w:marRight w:val="0"/>
      <w:marTop w:val="0"/>
      <w:marBottom w:val="0"/>
      <w:divBdr>
        <w:top w:val="none" w:sz="0" w:space="0" w:color="auto"/>
        <w:left w:val="none" w:sz="0" w:space="0" w:color="auto"/>
        <w:bottom w:val="none" w:sz="0" w:space="0" w:color="auto"/>
        <w:right w:val="none" w:sz="0" w:space="0" w:color="auto"/>
      </w:divBdr>
    </w:div>
    <w:div w:id="2066954585">
      <w:bodyDiv w:val="1"/>
      <w:marLeft w:val="0"/>
      <w:marRight w:val="0"/>
      <w:marTop w:val="0"/>
      <w:marBottom w:val="0"/>
      <w:divBdr>
        <w:top w:val="none" w:sz="0" w:space="0" w:color="auto"/>
        <w:left w:val="none" w:sz="0" w:space="0" w:color="auto"/>
        <w:bottom w:val="none" w:sz="0" w:space="0" w:color="auto"/>
        <w:right w:val="none" w:sz="0" w:space="0" w:color="auto"/>
      </w:divBdr>
    </w:div>
    <w:div w:id="2067027256">
      <w:bodyDiv w:val="1"/>
      <w:marLeft w:val="0"/>
      <w:marRight w:val="0"/>
      <w:marTop w:val="0"/>
      <w:marBottom w:val="0"/>
      <w:divBdr>
        <w:top w:val="none" w:sz="0" w:space="0" w:color="auto"/>
        <w:left w:val="none" w:sz="0" w:space="0" w:color="auto"/>
        <w:bottom w:val="none" w:sz="0" w:space="0" w:color="auto"/>
        <w:right w:val="none" w:sz="0" w:space="0" w:color="auto"/>
      </w:divBdr>
    </w:div>
    <w:div w:id="2067294863">
      <w:bodyDiv w:val="1"/>
      <w:marLeft w:val="0"/>
      <w:marRight w:val="0"/>
      <w:marTop w:val="0"/>
      <w:marBottom w:val="0"/>
      <w:divBdr>
        <w:top w:val="none" w:sz="0" w:space="0" w:color="auto"/>
        <w:left w:val="none" w:sz="0" w:space="0" w:color="auto"/>
        <w:bottom w:val="none" w:sz="0" w:space="0" w:color="auto"/>
        <w:right w:val="none" w:sz="0" w:space="0" w:color="auto"/>
      </w:divBdr>
    </w:div>
    <w:div w:id="2067487984">
      <w:bodyDiv w:val="1"/>
      <w:marLeft w:val="0"/>
      <w:marRight w:val="0"/>
      <w:marTop w:val="0"/>
      <w:marBottom w:val="0"/>
      <w:divBdr>
        <w:top w:val="none" w:sz="0" w:space="0" w:color="auto"/>
        <w:left w:val="none" w:sz="0" w:space="0" w:color="auto"/>
        <w:bottom w:val="none" w:sz="0" w:space="0" w:color="auto"/>
        <w:right w:val="none" w:sz="0" w:space="0" w:color="auto"/>
      </w:divBdr>
    </w:div>
    <w:div w:id="2067530726">
      <w:bodyDiv w:val="1"/>
      <w:marLeft w:val="0"/>
      <w:marRight w:val="0"/>
      <w:marTop w:val="0"/>
      <w:marBottom w:val="0"/>
      <w:divBdr>
        <w:top w:val="none" w:sz="0" w:space="0" w:color="auto"/>
        <w:left w:val="none" w:sz="0" w:space="0" w:color="auto"/>
        <w:bottom w:val="none" w:sz="0" w:space="0" w:color="auto"/>
        <w:right w:val="none" w:sz="0" w:space="0" w:color="auto"/>
      </w:divBdr>
    </w:div>
    <w:div w:id="2067602743">
      <w:bodyDiv w:val="1"/>
      <w:marLeft w:val="0"/>
      <w:marRight w:val="0"/>
      <w:marTop w:val="0"/>
      <w:marBottom w:val="0"/>
      <w:divBdr>
        <w:top w:val="none" w:sz="0" w:space="0" w:color="auto"/>
        <w:left w:val="none" w:sz="0" w:space="0" w:color="auto"/>
        <w:bottom w:val="none" w:sz="0" w:space="0" w:color="auto"/>
        <w:right w:val="none" w:sz="0" w:space="0" w:color="auto"/>
      </w:divBdr>
    </w:div>
    <w:div w:id="2067679007">
      <w:bodyDiv w:val="1"/>
      <w:marLeft w:val="0"/>
      <w:marRight w:val="0"/>
      <w:marTop w:val="0"/>
      <w:marBottom w:val="0"/>
      <w:divBdr>
        <w:top w:val="none" w:sz="0" w:space="0" w:color="auto"/>
        <w:left w:val="none" w:sz="0" w:space="0" w:color="auto"/>
        <w:bottom w:val="none" w:sz="0" w:space="0" w:color="auto"/>
        <w:right w:val="none" w:sz="0" w:space="0" w:color="auto"/>
      </w:divBdr>
    </w:div>
    <w:div w:id="2068019666">
      <w:bodyDiv w:val="1"/>
      <w:marLeft w:val="0"/>
      <w:marRight w:val="0"/>
      <w:marTop w:val="0"/>
      <w:marBottom w:val="0"/>
      <w:divBdr>
        <w:top w:val="none" w:sz="0" w:space="0" w:color="auto"/>
        <w:left w:val="none" w:sz="0" w:space="0" w:color="auto"/>
        <w:bottom w:val="none" w:sz="0" w:space="0" w:color="auto"/>
        <w:right w:val="none" w:sz="0" w:space="0" w:color="auto"/>
      </w:divBdr>
    </w:div>
    <w:div w:id="2068215514">
      <w:bodyDiv w:val="1"/>
      <w:marLeft w:val="0"/>
      <w:marRight w:val="0"/>
      <w:marTop w:val="0"/>
      <w:marBottom w:val="0"/>
      <w:divBdr>
        <w:top w:val="none" w:sz="0" w:space="0" w:color="auto"/>
        <w:left w:val="none" w:sz="0" w:space="0" w:color="auto"/>
        <w:bottom w:val="none" w:sz="0" w:space="0" w:color="auto"/>
        <w:right w:val="none" w:sz="0" w:space="0" w:color="auto"/>
      </w:divBdr>
    </w:div>
    <w:div w:id="2068407872">
      <w:bodyDiv w:val="1"/>
      <w:marLeft w:val="0"/>
      <w:marRight w:val="0"/>
      <w:marTop w:val="0"/>
      <w:marBottom w:val="0"/>
      <w:divBdr>
        <w:top w:val="none" w:sz="0" w:space="0" w:color="auto"/>
        <w:left w:val="none" w:sz="0" w:space="0" w:color="auto"/>
        <w:bottom w:val="none" w:sz="0" w:space="0" w:color="auto"/>
        <w:right w:val="none" w:sz="0" w:space="0" w:color="auto"/>
      </w:divBdr>
    </w:div>
    <w:div w:id="2068916606">
      <w:bodyDiv w:val="1"/>
      <w:marLeft w:val="0"/>
      <w:marRight w:val="0"/>
      <w:marTop w:val="0"/>
      <w:marBottom w:val="0"/>
      <w:divBdr>
        <w:top w:val="none" w:sz="0" w:space="0" w:color="auto"/>
        <w:left w:val="none" w:sz="0" w:space="0" w:color="auto"/>
        <w:bottom w:val="none" w:sz="0" w:space="0" w:color="auto"/>
        <w:right w:val="none" w:sz="0" w:space="0" w:color="auto"/>
      </w:divBdr>
    </w:div>
    <w:div w:id="2068989399">
      <w:bodyDiv w:val="1"/>
      <w:marLeft w:val="0"/>
      <w:marRight w:val="0"/>
      <w:marTop w:val="0"/>
      <w:marBottom w:val="0"/>
      <w:divBdr>
        <w:top w:val="none" w:sz="0" w:space="0" w:color="auto"/>
        <w:left w:val="none" w:sz="0" w:space="0" w:color="auto"/>
        <w:bottom w:val="none" w:sz="0" w:space="0" w:color="auto"/>
        <w:right w:val="none" w:sz="0" w:space="0" w:color="auto"/>
      </w:divBdr>
    </w:div>
    <w:div w:id="2069108409">
      <w:bodyDiv w:val="1"/>
      <w:marLeft w:val="0"/>
      <w:marRight w:val="0"/>
      <w:marTop w:val="0"/>
      <w:marBottom w:val="0"/>
      <w:divBdr>
        <w:top w:val="none" w:sz="0" w:space="0" w:color="auto"/>
        <w:left w:val="none" w:sz="0" w:space="0" w:color="auto"/>
        <w:bottom w:val="none" w:sz="0" w:space="0" w:color="auto"/>
        <w:right w:val="none" w:sz="0" w:space="0" w:color="auto"/>
      </w:divBdr>
    </w:div>
    <w:div w:id="2069374772">
      <w:bodyDiv w:val="1"/>
      <w:marLeft w:val="0"/>
      <w:marRight w:val="0"/>
      <w:marTop w:val="0"/>
      <w:marBottom w:val="0"/>
      <w:divBdr>
        <w:top w:val="none" w:sz="0" w:space="0" w:color="auto"/>
        <w:left w:val="none" w:sz="0" w:space="0" w:color="auto"/>
        <w:bottom w:val="none" w:sz="0" w:space="0" w:color="auto"/>
        <w:right w:val="none" w:sz="0" w:space="0" w:color="auto"/>
      </w:divBdr>
    </w:div>
    <w:div w:id="2069567332">
      <w:bodyDiv w:val="1"/>
      <w:marLeft w:val="0"/>
      <w:marRight w:val="0"/>
      <w:marTop w:val="0"/>
      <w:marBottom w:val="0"/>
      <w:divBdr>
        <w:top w:val="none" w:sz="0" w:space="0" w:color="auto"/>
        <w:left w:val="none" w:sz="0" w:space="0" w:color="auto"/>
        <w:bottom w:val="none" w:sz="0" w:space="0" w:color="auto"/>
        <w:right w:val="none" w:sz="0" w:space="0" w:color="auto"/>
      </w:divBdr>
    </w:div>
    <w:div w:id="2069843219">
      <w:bodyDiv w:val="1"/>
      <w:marLeft w:val="0"/>
      <w:marRight w:val="0"/>
      <w:marTop w:val="0"/>
      <w:marBottom w:val="0"/>
      <w:divBdr>
        <w:top w:val="none" w:sz="0" w:space="0" w:color="auto"/>
        <w:left w:val="none" w:sz="0" w:space="0" w:color="auto"/>
        <w:bottom w:val="none" w:sz="0" w:space="0" w:color="auto"/>
        <w:right w:val="none" w:sz="0" w:space="0" w:color="auto"/>
      </w:divBdr>
    </w:div>
    <w:div w:id="2070108557">
      <w:bodyDiv w:val="1"/>
      <w:marLeft w:val="0"/>
      <w:marRight w:val="0"/>
      <w:marTop w:val="0"/>
      <w:marBottom w:val="0"/>
      <w:divBdr>
        <w:top w:val="none" w:sz="0" w:space="0" w:color="auto"/>
        <w:left w:val="none" w:sz="0" w:space="0" w:color="auto"/>
        <w:bottom w:val="none" w:sz="0" w:space="0" w:color="auto"/>
        <w:right w:val="none" w:sz="0" w:space="0" w:color="auto"/>
      </w:divBdr>
    </w:div>
    <w:div w:id="2070574274">
      <w:bodyDiv w:val="1"/>
      <w:marLeft w:val="0"/>
      <w:marRight w:val="0"/>
      <w:marTop w:val="0"/>
      <w:marBottom w:val="0"/>
      <w:divBdr>
        <w:top w:val="none" w:sz="0" w:space="0" w:color="auto"/>
        <w:left w:val="none" w:sz="0" w:space="0" w:color="auto"/>
        <w:bottom w:val="none" w:sz="0" w:space="0" w:color="auto"/>
        <w:right w:val="none" w:sz="0" w:space="0" w:color="auto"/>
      </w:divBdr>
    </w:div>
    <w:div w:id="2070881140">
      <w:bodyDiv w:val="1"/>
      <w:marLeft w:val="0"/>
      <w:marRight w:val="0"/>
      <w:marTop w:val="0"/>
      <w:marBottom w:val="0"/>
      <w:divBdr>
        <w:top w:val="none" w:sz="0" w:space="0" w:color="auto"/>
        <w:left w:val="none" w:sz="0" w:space="0" w:color="auto"/>
        <w:bottom w:val="none" w:sz="0" w:space="0" w:color="auto"/>
        <w:right w:val="none" w:sz="0" w:space="0" w:color="auto"/>
      </w:divBdr>
    </w:div>
    <w:div w:id="2071154347">
      <w:bodyDiv w:val="1"/>
      <w:marLeft w:val="0"/>
      <w:marRight w:val="0"/>
      <w:marTop w:val="0"/>
      <w:marBottom w:val="0"/>
      <w:divBdr>
        <w:top w:val="none" w:sz="0" w:space="0" w:color="auto"/>
        <w:left w:val="none" w:sz="0" w:space="0" w:color="auto"/>
        <w:bottom w:val="none" w:sz="0" w:space="0" w:color="auto"/>
        <w:right w:val="none" w:sz="0" w:space="0" w:color="auto"/>
      </w:divBdr>
    </w:div>
    <w:div w:id="2071268423">
      <w:bodyDiv w:val="1"/>
      <w:marLeft w:val="0"/>
      <w:marRight w:val="0"/>
      <w:marTop w:val="0"/>
      <w:marBottom w:val="0"/>
      <w:divBdr>
        <w:top w:val="none" w:sz="0" w:space="0" w:color="auto"/>
        <w:left w:val="none" w:sz="0" w:space="0" w:color="auto"/>
        <w:bottom w:val="none" w:sz="0" w:space="0" w:color="auto"/>
        <w:right w:val="none" w:sz="0" w:space="0" w:color="auto"/>
      </w:divBdr>
    </w:div>
    <w:div w:id="2071296341">
      <w:bodyDiv w:val="1"/>
      <w:marLeft w:val="0"/>
      <w:marRight w:val="0"/>
      <w:marTop w:val="0"/>
      <w:marBottom w:val="0"/>
      <w:divBdr>
        <w:top w:val="none" w:sz="0" w:space="0" w:color="auto"/>
        <w:left w:val="none" w:sz="0" w:space="0" w:color="auto"/>
        <w:bottom w:val="none" w:sz="0" w:space="0" w:color="auto"/>
        <w:right w:val="none" w:sz="0" w:space="0" w:color="auto"/>
      </w:divBdr>
    </w:div>
    <w:div w:id="2071687170">
      <w:bodyDiv w:val="1"/>
      <w:marLeft w:val="0"/>
      <w:marRight w:val="0"/>
      <w:marTop w:val="0"/>
      <w:marBottom w:val="0"/>
      <w:divBdr>
        <w:top w:val="none" w:sz="0" w:space="0" w:color="auto"/>
        <w:left w:val="none" w:sz="0" w:space="0" w:color="auto"/>
        <w:bottom w:val="none" w:sz="0" w:space="0" w:color="auto"/>
        <w:right w:val="none" w:sz="0" w:space="0" w:color="auto"/>
      </w:divBdr>
    </w:div>
    <w:div w:id="2071923491">
      <w:bodyDiv w:val="1"/>
      <w:marLeft w:val="0"/>
      <w:marRight w:val="0"/>
      <w:marTop w:val="0"/>
      <w:marBottom w:val="0"/>
      <w:divBdr>
        <w:top w:val="none" w:sz="0" w:space="0" w:color="auto"/>
        <w:left w:val="none" w:sz="0" w:space="0" w:color="auto"/>
        <w:bottom w:val="none" w:sz="0" w:space="0" w:color="auto"/>
        <w:right w:val="none" w:sz="0" w:space="0" w:color="auto"/>
      </w:divBdr>
    </w:div>
    <w:div w:id="2072120241">
      <w:bodyDiv w:val="1"/>
      <w:marLeft w:val="0"/>
      <w:marRight w:val="0"/>
      <w:marTop w:val="0"/>
      <w:marBottom w:val="0"/>
      <w:divBdr>
        <w:top w:val="none" w:sz="0" w:space="0" w:color="auto"/>
        <w:left w:val="none" w:sz="0" w:space="0" w:color="auto"/>
        <w:bottom w:val="none" w:sz="0" w:space="0" w:color="auto"/>
        <w:right w:val="none" w:sz="0" w:space="0" w:color="auto"/>
      </w:divBdr>
    </w:div>
    <w:div w:id="2072267224">
      <w:bodyDiv w:val="1"/>
      <w:marLeft w:val="0"/>
      <w:marRight w:val="0"/>
      <w:marTop w:val="0"/>
      <w:marBottom w:val="0"/>
      <w:divBdr>
        <w:top w:val="none" w:sz="0" w:space="0" w:color="auto"/>
        <w:left w:val="none" w:sz="0" w:space="0" w:color="auto"/>
        <w:bottom w:val="none" w:sz="0" w:space="0" w:color="auto"/>
        <w:right w:val="none" w:sz="0" w:space="0" w:color="auto"/>
      </w:divBdr>
    </w:div>
    <w:div w:id="2072534847">
      <w:bodyDiv w:val="1"/>
      <w:marLeft w:val="0"/>
      <w:marRight w:val="0"/>
      <w:marTop w:val="0"/>
      <w:marBottom w:val="0"/>
      <w:divBdr>
        <w:top w:val="none" w:sz="0" w:space="0" w:color="auto"/>
        <w:left w:val="none" w:sz="0" w:space="0" w:color="auto"/>
        <w:bottom w:val="none" w:sz="0" w:space="0" w:color="auto"/>
        <w:right w:val="none" w:sz="0" w:space="0" w:color="auto"/>
      </w:divBdr>
    </w:div>
    <w:div w:id="2072845039">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73306123">
      <w:bodyDiv w:val="1"/>
      <w:marLeft w:val="0"/>
      <w:marRight w:val="0"/>
      <w:marTop w:val="0"/>
      <w:marBottom w:val="0"/>
      <w:divBdr>
        <w:top w:val="none" w:sz="0" w:space="0" w:color="auto"/>
        <w:left w:val="none" w:sz="0" w:space="0" w:color="auto"/>
        <w:bottom w:val="none" w:sz="0" w:space="0" w:color="auto"/>
        <w:right w:val="none" w:sz="0" w:space="0" w:color="auto"/>
      </w:divBdr>
    </w:div>
    <w:div w:id="2073431202">
      <w:bodyDiv w:val="1"/>
      <w:marLeft w:val="0"/>
      <w:marRight w:val="0"/>
      <w:marTop w:val="0"/>
      <w:marBottom w:val="0"/>
      <w:divBdr>
        <w:top w:val="none" w:sz="0" w:space="0" w:color="auto"/>
        <w:left w:val="none" w:sz="0" w:space="0" w:color="auto"/>
        <w:bottom w:val="none" w:sz="0" w:space="0" w:color="auto"/>
        <w:right w:val="none" w:sz="0" w:space="0" w:color="auto"/>
      </w:divBdr>
    </w:div>
    <w:div w:id="2074084667">
      <w:bodyDiv w:val="1"/>
      <w:marLeft w:val="0"/>
      <w:marRight w:val="0"/>
      <w:marTop w:val="0"/>
      <w:marBottom w:val="0"/>
      <w:divBdr>
        <w:top w:val="none" w:sz="0" w:space="0" w:color="auto"/>
        <w:left w:val="none" w:sz="0" w:space="0" w:color="auto"/>
        <w:bottom w:val="none" w:sz="0" w:space="0" w:color="auto"/>
        <w:right w:val="none" w:sz="0" w:space="0" w:color="auto"/>
      </w:divBdr>
    </w:div>
    <w:div w:id="2074229108">
      <w:bodyDiv w:val="1"/>
      <w:marLeft w:val="0"/>
      <w:marRight w:val="0"/>
      <w:marTop w:val="0"/>
      <w:marBottom w:val="0"/>
      <w:divBdr>
        <w:top w:val="none" w:sz="0" w:space="0" w:color="auto"/>
        <w:left w:val="none" w:sz="0" w:space="0" w:color="auto"/>
        <w:bottom w:val="none" w:sz="0" w:space="0" w:color="auto"/>
        <w:right w:val="none" w:sz="0" w:space="0" w:color="auto"/>
      </w:divBdr>
    </w:div>
    <w:div w:id="2074574498">
      <w:bodyDiv w:val="1"/>
      <w:marLeft w:val="0"/>
      <w:marRight w:val="0"/>
      <w:marTop w:val="0"/>
      <w:marBottom w:val="0"/>
      <w:divBdr>
        <w:top w:val="none" w:sz="0" w:space="0" w:color="auto"/>
        <w:left w:val="none" w:sz="0" w:space="0" w:color="auto"/>
        <w:bottom w:val="none" w:sz="0" w:space="0" w:color="auto"/>
        <w:right w:val="none" w:sz="0" w:space="0" w:color="auto"/>
      </w:divBdr>
    </w:div>
    <w:div w:id="2075274902">
      <w:bodyDiv w:val="1"/>
      <w:marLeft w:val="0"/>
      <w:marRight w:val="0"/>
      <w:marTop w:val="0"/>
      <w:marBottom w:val="0"/>
      <w:divBdr>
        <w:top w:val="none" w:sz="0" w:space="0" w:color="auto"/>
        <w:left w:val="none" w:sz="0" w:space="0" w:color="auto"/>
        <w:bottom w:val="none" w:sz="0" w:space="0" w:color="auto"/>
        <w:right w:val="none" w:sz="0" w:space="0" w:color="auto"/>
      </w:divBdr>
    </w:div>
    <w:div w:id="2075471556">
      <w:bodyDiv w:val="1"/>
      <w:marLeft w:val="0"/>
      <w:marRight w:val="0"/>
      <w:marTop w:val="0"/>
      <w:marBottom w:val="0"/>
      <w:divBdr>
        <w:top w:val="none" w:sz="0" w:space="0" w:color="auto"/>
        <w:left w:val="none" w:sz="0" w:space="0" w:color="auto"/>
        <w:bottom w:val="none" w:sz="0" w:space="0" w:color="auto"/>
        <w:right w:val="none" w:sz="0" w:space="0" w:color="auto"/>
      </w:divBdr>
    </w:div>
    <w:div w:id="2075858198">
      <w:bodyDiv w:val="1"/>
      <w:marLeft w:val="0"/>
      <w:marRight w:val="0"/>
      <w:marTop w:val="0"/>
      <w:marBottom w:val="0"/>
      <w:divBdr>
        <w:top w:val="none" w:sz="0" w:space="0" w:color="auto"/>
        <w:left w:val="none" w:sz="0" w:space="0" w:color="auto"/>
        <w:bottom w:val="none" w:sz="0" w:space="0" w:color="auto"/>
        <w:right w:val="none" w:sz="0" w:space="0" w:color="auto"/>
      </w:divBdr>
    </w:div>
    <w:div w:id="2076200731">
      <w:bodyDiv w:val="1"/>
      <w:marLeft w:val="0"/>
      <w:marRight w:val="0"/>
      <w:marTop w:val="0"/>
      <w:marBottom w:val="0"/>
      <w:divBdr>
        <w:top w:val="none" w:sz="0" w:space="0" w:color="auto"/>
        <w:left w:val="none" w:sz="0" w:space="0" w:color="auto"/>
        <w:bottom w:val="none" w:sz="0" w:space="0" w:color="auto"/>
        <w:right w:val="none" w:sz="0" w:space="0" w:color="auto"/>
      </w:divBdr>
    </w:div>
    <w:div w:id="2077362473">
      <w:bodyDiv w:val="1"/>
      <w:marLeft w:val="0"/>
      <w:marRight w:val="0"/>
      <w:marTop w:val="0"/>
      <w:marBottom w:val="0"/>
      <w:divBdr>
        <w:top w:val="none" w:sz="0" w:space="0" w:color="auto"/>
        <w:left w:val="none" w:sz="0" w:space="0" w:color="auto"/>
        <w:bottom w:val="none" w:sz="0" w:space="0" w:color="auto"/>
        <w:right w:val="none" w:sz="0" w:space="0" w:color="auto"/>
      </w:divBdr>
    </w:div>
    <w:div w:id="2077776874">
      <w:bodyDiv w:val="1"/>
      <w:marLeft w:val="0"/>
      <w:marRight w:val="0"/>
      <w:marTop w:val="0"/>
      <w:marBottom w:val="0"/>
      <w:divBdr>
        <w:top w:val="none" w:sz="0" w:space="0" w:color="auto"/>
        <w:left w:val="none" w:sz="0" w:space="0" w:color="auto"/>
        <w:bottom w:val="none" w:sz="0" w:space="0" w:color="auto"/>
        <w:right w:val="none" w:sz="0" w:space="0" w:color="auto"/>
      </w:divBdr>
    </w:div>
    <w:div w:id="2078085455">
      <w:bodyDiv w:val="1"/>
      <w:marLeft w:val="0"/>
      <w:marRight w:val="0"/>
      <w:marTop w:val="0"/>
      <w:marBottom w:val="0"/>
      <w:divBdr>
        <w:top w:val="none" w:sz="0" w:space="0" w:color="auto"/>
        <w:left w:val="none" w:sz="0" w:space="0" w:color="auto"/>
        <w:bottom w:val="none" w:sz="0" w:space="0" w:color="auto"/>
        <w:right w:val="none" w:sz="0" w:space="0" w:color="auto"/>
      </w:divBdr>
    </w:div>
    <w:div w:id="2078090599">
      <w:bodyDiv w:val="1"/>
      <w:marLeft w:val="0"/>
      <w:marRight w:val="0"/>
      <w:marTop w:val="0"/>
      <w:marBottom w:val="0"/>
      <w:divBdr>
        <w:top w:val="none" w:sz="0" w:space="0" w:color="auto"/>
        <w:left w:val="none" w:sz="0" w:space="0" w:color="auto"/>
        <w:bottom w:val="none" w:sz="0" w:space="0" w:color="auto"/>
        <w:right w:val="none" w:sz="0" w:space="0" w:color="auto"/>
      </w:divBdr>
    </w:div>
    <w:div w:id="2078933701">
      <w:bodyDiv w:val="1"/>
      <w:marLeft w:val="0"/>
      <w:marRight w:val="0"/>
      <w:marTop w:val="0"/>
      <w:marBottom w:val="0"/>
      <w:divBdr>
        <w:top w:val="none" w:sz="0" w:space="0" w:color="auto"/>
        <w:left w:val="none" w:sz="0" w:space="0" w:color="auto"/>
        <w:bottom w:val="none" w:sz="0" w:space="0" w:color="auto"/>
        <w:right w:val="none" w:sz="0" w:space="0" w:color="auto"/>
      </w:divBdr>
    </w:div>
    <w:div w:id="2079211312">
      <w:bodyDiv w:val="1"/>
      <w:marLeft w:val="0"/>
      <w:marRight w:val="0"/>
      <w:marTop w:val="0"/>
      <w:marBottom w:val="0"/>
      <w:divBdr>
        <w:top w:val="none" w:sz="0" w:space="0" w:color="auto"/>
        <w:left w:val="none" w:sz="0" w:space="0" w:color="auto"/>
        <w:bottom w:val="none" w:sz="0" w:space="0" w:color="auto"/>
        <w:right w:val="none" w:sz="0" w:space="0" w:color="auto"/>
      </w:divBdr>
    </w:div>
    <w:div w:id="2079474985">
      <w:bodyDiv w:val="1"/>
      <w:marLeft w:val="0"/>
      <w:marRight w:val="0"/>
      <w:marTop w:val="0"/>
      <w:marBottom w:val="0"/>
      <w:divBdr>
        <w:top w:val="none" w:sz="0" w:space="0" w:color="auto"/>
        <w:left w:val="none" w:sz="0" w:space="0" w:color="auto"/>
        <w:bottom w:val="none" w:sz="0" w:space="0" w:color="auto"/>
        <w:right w:val="none" w:sz="0" w:space="0" w:color="auto"/>
      </w:divBdr>
    </w:div>
    <w:div w:id="2079592921">
      <w:bodyDiv w:val="1"/>
      <w:marLeft w:val="0"/>
      <w:marRight w:val="0"/>
      <w:marTop w:val="0"/>
      <w:marBottom w:val="0"/>
      <w:divBdr>
        <w:top w:val="none" w:sz="0" w:space="0" w:color="auto"/>
        <w:left w:val="none" w:sz="0" w:space="0" w:color="auto"/>
        <w:bottom w:val="none" w:sz="0" w:space="0" w:color="auto"/>
        <w:right w:val="none" w:sz="0" w:space="0" w:color="auto"/>
      </w:divBdr>
    </w:div>
    <w:div w:id="2080206922">
      <w:bodyDiv w:val="1"/>
      <w:marLeft w:val="0"/>
      <w:marRight w:val="0"/>
      <w:marTop w:val="0"/>
      <w:marBottom w:val="0"/>
      <w:divBdr>
        <w:top w:val="none" w:sz="0" w:space="0" w:color="auto"/>
        <w:left w:val="none" w:sz="0" w:space="0" w:color="auto"/>
        <w:bottom w:val="none" w:sz="0" w:space="0" w:color="auto"/>
        <w:right w:val="none" w:sz="0" w:space="0" w:color="auto"/>
      </w:divBdr>
    </w:div>
    <w:div w:id="2080251557">
      <w:bodyDiv w:val="1"/>
      <w:marLeft w:val="0"/>
      <w:marRight w:val="0"/>
      <w:marTop w:val="0"/>
      <w:marBottom w:val="0"/>
      <w:divBdr>
        <w:top w:val="none" w:sz="0" w:space="0" w:color="auto"/>
        <w:left w:val="none" w:sz="0" w:space="0" w:color="auto"/>
        <w:bottom w:val="none" w:sz="0" w:space="0" w:color="auto"/>
        <w:right w:val="none" w:sz="0" w:space="0" w:color="auto"/>
      </w:divBdr>
    </w:div>
    <w:div w:id="2080521380">
      <w:bodyDiv w:val="1"/>
      <w:marLeft w:val="0"/>
      <w:marRight w:val="0"/>
      <w:marTop w:val="0"/>
      <w:marBottom w:val="0"/>
      <w:divBdr>
        <w:top w:val="none" w:sz="0" w:space="0" w:color="auto"/>
        <w:left w:val="none" w:sz="0" w:space="0" w:color="auto"/>
        <w:bottom w:val="none" w:sz="0" w:space="0" w:color="auto"/>
        <w:right w:val="none" w:sz="0" w:space="0" w:color="auto"/>
      </w:divBdr>
    </w:div>
    <w:div w:id="2080864125">
      <w:bodyDiv w:val="1"/>
      <w:marLeft w:val="0"/>
      <w:marRight w:val="0"/>
      <w:marTop w:val="0"/>
      <w:marBottom w:val="0"/>
      <w:divBdr>
        <w:top w:val="none" w:sz="0" w:space="0" w:color="auto"/>
        <w:left w:val="none" w:sz="0" w:space="0" w:color="auto"/>
        <w:bottom w:val="none" w:sz="0" w:space="0" w:color="auto"/>
        <w:right w:val="none" w:sz="0" w:space="0" w:color="auto"/>
      </w:divBdr>
    </w:div>
    <w:div w:id="2080975471">
      <w:bodyDiv w:val="1"/>
      <w:marLeft w:val="0"/>
      <w:marRight w:val="0"/>
      <w:marTop w:val="0"/>
      <w:marBottom w:val="0"/>
      <w:divBdr>
        <w:top w:val="none" w:sz="0" w:space="0" w:color="auto"/>
        <w:left w:val="none" w:sz="0" w:space="0" w:color="auto"/>
        <w:bottom w:val="none" w:sz="0" w:space="0" w:color="auto"/>
        <w:right w:val="none" w:sz="0" w:space="0" w:color="auto"/>
      </w:divBdr>
    </w:div>
    <w:div w:id="2081363483">
      <w:bodyDiv w:val="1"/>
      <w:marLeft w:val="0"/>
      <w:marRight w:val="0"/>
      <w:marTop w:val="0"/>
      <w:marBottom w:val="0"/>
      <w:divBdr>
        <w:top w:val="none" w:sz="0" w:space="0" w:color="auto"/>
        <w:left w:val="none" w:sz="0" w:space="0" w:color="auto"/>
        <w:bottom w:val="none" w:sz="0" w:space="0" w:color="auto"/>
        <w:right w:val="none" w:sz="0" w:space="0" w:color="auto"/>
      </w:divBdr>
    </w:div>
    <w:div w:id="2081560598">
      <w:bodyDiv w:val="1"/>
      <w:marLeft w:val="0"/>
      <w:marRight w:val="0"/>
      <w:marTop w:val="0"/>
      <w:marBottom w:val="0"/>
      <w:divBdr>
        <w:top w:val="none" w:sz="0" w:space="0" w:color="auto"/>
        <w:left w:val="none" w:sz="0" w:space="0" w:color="auto"/>
        <w:bottom w:val="none" w:sz="0" w:space="0" w:color="auto"/>
        <w:right w:val="none" w:sz="0" w:space="0" w:color="auto"/>
      </w:divBdr>
    </w:div>
    <w:div w:id="2081561000">
      <w:bodyDiv w:val="1"/>
      <w:marLeft w:val="0"/>
      <w:marRight w:val="0"/>
      <w:marTop w:val="0"/>
      <w:marBottom w:val="0"/>
      <w:divBdr>
        <w:top w:val="none" w:sz="0" w:space="0" w:color="auto"/>
        <w:left w:val="none" w:sz="0" w:space="0" w:color="auto"/>
        <w:bottom w:val="none" w:sz="0" w:space="0" w:color="auto"/>
        <w:right w:val="none" w:sz="0" w:space="0" w:color="auto"/>
      </w:divBdr>
    </w:div>
    <w:div w:id="2081783700">
      <w:bodyDiv w:val="1"/>
      <w:marLeft w:val="0"/>
      <w:marRight w:val="0"/>
      <w:marTop w:val="0"/>
      <w:marBottom w:val="0"/>
      <w:divBdr>
        <w:top w:val="none" w:sz="0" w:space="0" w:color="auto"/>
        <w:left w:val="none" w:sz="0" w:space="0" w:color="auto"/>
        <w:bottom w:val="none" w:sz="0" w:space="0" w:color="auto"/>
        <w:right w:val="none" w:sz="0" w:space="0" w:color="auto"/>
      </w:divBdr>
    </w:div>
    <w:div w:id="2081899021">
      <w:bodyDiv w:val="1"/>
      <w:marLeft w:val="0"/>
      <w:marRight w:val="0"/>
      <w:marTop w:val="0"/>
      <w:marBottom w:val="0"/>
      <w:divBdr>
        <w:top w:val="none" w:sz="0" w:space="0" w:color="auto"/>
        <w:left w:val="none" w:sz="0" w:space="0" w:color="auto"/>
        <w:bottom w:val="none" w:sz="0" w:space="0" w:color="auto"/>
        <w:right w:val="none" w:sz="0" w:space="0" w:color="auto"/>
      </w:divBdr>
    </w:div>
    <w:div w:id="2082217917">
      <w:bodyDiv w:val="1"/>
      <w:marLeft w:val="0"/>
      <w:marRight w:val="0"/>
      <w:marTop w:val="0"/>
      <w:marBottom w:val="0"/>
      <w:divBdr>
        <w:top w:val="none" w:sz="0" w:space="0" w:color="auto"/>
        <w:left w:val="none" w:sz="0" w:space="0" w:color="auto"/>
        <w:bottom w:val="none" w:sz="0" w:space="0" w:color="auto"/>
        <w:right w:val="none" w:sz="0" w:space="0" w:color="auto"/>
      </w:divBdr>
    </w:div>
    <w:div w:id="2082562981">
      <w:bodyDiv w:val="1"/>
      <w:marLeft w:val="0"/>
      <w:marRight w:val="0"/>
      <w:marTop w:val="0"/>
      <w:marBottom w:val="0"/>
      <w:divBdr>
        <w:top w:val="none" w:sz="0" w:space="0" w:color="auto"/>
        <w:left w:val="none" w:sz="0" w:space="0" w:color="auto"/>
        <w:bottom w:val="none" w:sz="0" w:space="0" w:color="auto"/>
        <w:right w:val="none" w:sz="0" w:space="0" w:color="auto"/>
      </w:divBdr>
    </w:div>
    <w:div w:id="2082678714">
      <w:bodyDiv w:val="1"/>
      <w:marLeft w:val="0"/>
      <w:marRight w:val="0"/>
      <w:marTop w:val="0"/>
      <w:marBottom w:val="0"/>
      <w:divBdr>
        <w:top w:val="none" w:sz="0" w:space="0" w:color="auto"/>
        <w:left w:val="none" w:sz="0" w:space="0" w:color="auto"/>
        <w:bottom w:val="none" w:sz="0" w:space="0" w:color="auto"/>
        <w:right w:val="none" w:sz="0" w:space="0" w:color="auto"/>
      </w:divBdr>
    </w:div>
    <w:div w:id="2082751265">
      <w:bodyDiv w:val="1"/>
      <w:marLeft w:val="0"/>
      <w:marRight w:val="0"/>
      <w:marTop w:val="0"/>
      <w:marBottom w:val="0"/>
      <w:divBdr>
        <w:top w:val="none" w:sz="0" w:space="0" w:color="auto"/>
        <w:left w:val="none" w:sz="0" w:space="0" w:color="auto"/>
        <w:bottom w:val="none" w:sz="0" w:space="0" w:color="auto"/>
        <w:right w:val="none" w:sz="0" w:space="0" w:color="auto"/>
      </w:divBdr>
    </w:div>
    <w:div w:id="2083135568">
      <w:bodyDiv w:val="1"/>
      <w:marLeft w:val="0"/>
      <w:marRight w:val="0"/>
      <w:marTop w:val="0"/>
      <w:marBottom w:val="0"/>
      <w:divBdr>
        <w:top w:val="none" w:sz="0" w:space="0" w:color="auto"/>
        <w:left w:val="none" w:sz="0" w:space="0" w:color="auto"/>
        <w:bottom w:val="none" w:sz="0" w:space="0" w:color="auto"/>
        <w:right w:val="none" w:sz="0" w:space="0" w:color="auto"/>
      </w:divBdr>
    </w:div>
    <w:div w:id="2083484700">
      <w:bodyDiv w:val="1"/>
      <w:marLeft w:val="0"/>
      <w:marRight w:val="0"/>
      <w:marTop w:val="0"/>
      <w:marBottom w:val="0"/>
      <w:divBdr>
        <w:top w:val="none" w:sz="0" w:space="0" w:color="auto"/>
        <w:left w:val="none" w:sz="0" w:space="0" w:color="auto"/>
        <w:bottom w:val="none" w:sz="0" w:space="0" w:color="auto"/>
        <w:right w:val="none" w:sz="0" w:space="0" w:color="auto"/>
      </w:divBdr>
    </w:div>
    <w:div w:id="2083675523">
      <w:bodyDiv w:val="1"/>
      <w:marLeft w:val="0"/>
      <w:marRight w:val="0"/>
      <w:marTop w:val="0"/>
      <w:marBottom w:val="0"/>
      <w:divBdr>
        <w:top w:val="none" w:sz="0" w:space="0" w:color="auto"/>
        <w:left w:val="none" w:sz="0" w:space="0" w:color="auto"/>
        <w:bottom w:val="none" w:sz="0" w:space="0" w:color="auto"/>
        <w:right w:val="none" w:sz="0" w:space="0" w:color="auto"/>
      </w:divBdr>
    </w:div>
    <w:div w:id="2083987942">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5027860">
      <w:bodyDiv w:val="1"/>
      <w:marLeft w:val="0"/>
      <w:marRight w:val="0"/>
      <w:marTop w:val="0"/>
      <w:marBottom w:val="0"/>
      <w:divBdr>
        <w:top w:val="none" w:sz="0" w:space="0" w:color="auto"/>
        <w:left w:val="none" w:sz="0" w:space="0" w:color="auto"/>
        <w:bottom w:val="none" w:sz="0" w:space="0" w:color="auto"/>
        <w:right w:val="none" w:sz="0" w:space="0" w:color="auto"/>
      </w:divBdr>
    </w:div>
    <w:div w:id="2085029025">
      <w:bodyDiv w:val="1"/>
      <w:marLeft w:val="0"/>
      <w:marRight w:val="0"/>
      <w:marTop w:val="0"/>
      <w:marBottom w:val="0"/>
      <w:divBdr>
        <w:top w:val="none" w:sz="0" w:space="0" w:color="auto"/>
        <w:left w:val="none" w:sz="0" w:space="0" w:color="auto"/>
        <w:bottom w:val="none" w:sz="0" w:space="0" w:color="auto"/>
        <w:right w:val="none" w:sz="0" w:space="0" w:color="auto"/>
      </w:divBdr>
    </w:div>
    <w:div w:id="2085568050">
      <w:bodyDiv w:val="1"/>
      <w:marLeft w:val="0"/>
      <w:marRight w:val="0"/>
      <w:marTop w:val="0"/>
      <w:marBottom w:val="0"/>
      <w:divBdr>
        <w:top w:val="none" w:sz="0" w:space="0" w:color="auto"/>
        <w:left w:val="none" w:sz="0" w:space="0" w:color="auto"/>
        <w:bottom w:val="none" w:sz="0" w:space="0" w:color="auto"/>
        <w:right w:val="none" w:sz="0" w:space="0" w:color="auto"/>
      </w:divBdr>
    </w:div>
    <w:div w:id="2085569516">
      <w:bodyDiv w:val="1"/>
      <w:marLeft w:val="0"/>
      <w:marRight w:val="0"/>
      <w:marTop w:val="0"/>
      <w:marBottom w:val="0"/>
      <w:divBdr>
        <w:top w:val="none" w:sz="0" w:space="0" w:color="auto"/>
        <w:left w:val="none" w:sz="0" w:space="0" w:color="auto"/>
        <w:bottom w:val="none" w:sz="0" w:space="0" w:color="auto"/>
        <w:right w:val="none" w:sz="0" w:space="0" w:color="auto"/>
      </w:divBdr>
    </w:div>
    <w:div w:id="2086223001">
      <w:bodyDiv w:val="1"/>
      <w:marLeft w:val="0"/>
      <w:marRight w:val="0"/>
      <w:marTop w:val="0"/>
      <w:marBottom w:val="0"/>
      <w:divBdr>
        <w:top w:val="none" w:sz="0" w:space="0" w:color="auto"/>
        <w:left w:val="none" w:sz="0" w:space="0" w:color="auto"/>
        <w:bottom w:val="none" w:sz="0" w:space="0" w:color="auto"/>
        <w:right w:val="none" w:sz="0" w:space="0" w:color="auto"/>
      </w:divBdr>
    </w:div>
    <w:div w:id="2086225587">
      <w:bodyDiv w:val="1"/>
      <w:marLeft w:val="0"/>
      <w:marRight w:val="0"/>
      <w:marTop w:val="0"/>
      <w:marBottom w:val="0"/>
      <w:divBdr>
        <w:top w:val="none" w:sz="0" w:space="0" w:color="auto"/>
        <w:left w:val="none" w:sz="0" w:space="0" w:color="auto"/>
        <w:bottom w:val="none" w:sz="0" w:space="0" w:color="auto"/>
        <w:right w:val="none" w:sz="0" w:space="0" w:color="auto"/>
      </w:divBdr>
    </w:div>
    <w:div w:id="2086341516">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6873130">
      <w:bodyDiv w:val="1"/>
      <w:marLeft w:val="0"/>
      <w:marRight w:val="0"/>
      <w:marTop w:val="0"/>
      <w:marBottom w:val="0"/>
      <w:divBdr>
        <w:top w:val="none" w:sz="0" w:space="0" w:color="auto"/>
        <w:left w:val="none" w:sz="0" w:space="0" w:color="auto"/>
        <w:bottom w:val="none" w:sz="0" w:space="0" w:color="auto"/>
        <w:right w:val="none" w:sz="0" w:space="0" w:color="auto"/>
      </w:divBdr>
    </w:div>
    <w:div w:id="2087415365">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8769450">
      <w:bodyDiv w:val="1"/>
      <w:marLeft w:val="0"/>
      <w:marRight w:val="0"/>
      <w:marTop w:val="0"/>
      <w:marBottom w:val="0"/>
      <w:divBdr>
        <w:top w:val="none" w:sz="0" w:space="0" w:color="auto"/>
        <w:left w:val="none" w:sz="0" w:space="0" w:color="auto"/>
        <w:bottom w:val="none" w:sz="0" w:space="0" w:color="auto"/>
        <w:right w:val="none" w:sz="0" w:space="0" w:color="auto"/>
      </w:divBdr>
    </w:div>
    <w:div w:id="2088770699">
      <w:bodyDiv w:val="1"/>
      <w:marLeft w:val="0"/>
      <w:marRight w:val="0"/>
      <w:marTop w:val="0"/>
      <w:marBottom w:val="0"/>
      <w:divBdr>
        <w:top w:val="none" w:sz="0" w:space="0" w:color="auto"/>
        <w:left w:val="none" w:sz="0" w:space="0" w:color="auto"/>
        <w:bottom w:val="none" w:sz="0" w:space="0" w:color="auto"/>
        <w:right w:val="none" w:sz="0" w:space="0" w:color="auto"/>
      </w:divBdr>
    </w:div>
    <w:div w:id="2088771601">
      <w:bodyDiv w:val="1"/>
      <w:marLeft w:val="0"/>
      <w:marRight w:val="0"/>
      <w:marTop w:val="0"/>
      <w:marBottom w:val="0"/>
      <w:divBdr>
        <w:top w:val="none" w:sz="0" w:space="0" w:color="auto"/>
        <w:left w:val="none" w:sz="0" w:space="0" w:color="auto"/>
        <w:bottom w:val="none" w:sz="0" w:space="0" w:color="auto"/>
        <w:right w:val="none" w:sz="0" w:space="0" w:color="auto"/>
      </w:divBdr>
    </w:div>
    <w:div w:id="2089106940">
      <w:bodyDiv w:val="1"/>
      <w:marLeft w:val="0"/>
      <w:marRight w:val="0"/>
      <w:marTop w:val="0"/>
      <w:marBottom w:val="0"/>
      <w:divBdr>
        <w:top w:val="none" w:sz="0" w:space="0" w:color="auto"/>
        <w:left w:val="none" w:sz="0" w:space="0" w:color="auto"/>
        <w:bottom w:val="none" w:sz="0" w:space="0" w:color="auto"/>
        <w:right w:val="none" w:sz="0" w:space="0" w:color="auto"/>
      </w:divBdr>
    </w:div>
    <w:div w:id="2089495039">
      <w:bodyDiv w:val="1"/>
      <w:marLeft w:val="0"/>
      <w:marRight w:val="0"/>
      <w:marTop w:val="0"/>
      <w:marBottom w:val="0"/>
      <w:divBdr>
        <w:top w:val="none" w:sz="0" w:space="0" w:color="auto"/>
        <w:left w:val="none" w:sz="0" w:space="0" w:color="auto"/>
        <w:bottom w:val="none" w:sz="0" w:space="0" w:color="auto"/>
        <w:right w:val="none" w:sz="0" w:space="0" w:color="auto"/>
      </w:divBdr>
    </w:div>
    <w:div w:id="2089571613">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89883332">
      <w:bodyDiv w:val="1"/>
      <w:marLeft w:val="0"/>
      <w:marRight w:val="0"/>
      <w:marTop w:val="0"/>
      <w:marBottom w:val="0"/>
      <w:divBdr>
        <w:top w:val="none" w:sz="0" w:space="0" w:color="auto"/>
        <w:left w:val="none" w:sz="0" w:space="0" w:color="auto"/>
        <w:bottom w:val="none" w:sz="0" w:space="0" w:color="auto"/>
        <w:right w:val="none" w:sz="0" w:space="0" w:color="auto"/>
      </w:divBdr>
    </w:div>
    <w:div w:id="2090032967">
      <w:bodyDiv w:val="1"/>
      <w:marLeft w:val="0"/>
      <w:marRight w:val="0"/>
      <w:marTop w:val="0"/>
      <w:marBottom w:val="0"/>
      <w:divBdr>
        <w:top w:val="none" w:sz="0" w:space="0" w:color="auto"/>
        <w:left w:val="none" w:sz="0" w:space="0" w:color="auto"/>
        <w:bottom w:val="none" w:sz="0" w:space="0" w:color="auto"/>
        <w:right w:val="none" w:sz="0" w:space="0" w:color="auto"/>
      </w:divBdr>
    </w:div>
    <w:div w:id="209023114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347021">
      <w:bodyDiv w:val="1"/>
      <w:marLeft w:val="0"/>
      <w:marRight w:val="0"/>
      <w:marTop w:val="0"/>
      <w:marBottom w:val="0"/>
      <w:divBdr>
        <w:top w:val="none" w:sz="0" w:space="0" w:color="auto"/>
        <w:left w:val="none" w:sz="0" w:space="0" w:color="auto"/>
        <w:bottom w:val="none" w:sz="0" w:space="0" w:color="auto"/>
        <w:right w:val="none" w:sz="0" w:space="0" w:color="auto"/>
      </w:divBdr>
    </w:div>
    <w:div w:id="2090347800">
      <w:bodyDiv w:val="1"/>
      <w:marLeft w:val="0"/>
      <w:marRight w:val="0"/>
      <w:marTop w:val="0"/>
      <w:marBottom w:val="0"/>
      <w:divBdr>
        <w:top w:val="none" w:sz="0" w:space="0" w:color="auto"/>
        <w:left w:val="none" w:sz="0" w:space="0" w:color="auto"/>
        <w:bottom w:val="none" w:sz="0" w:space="0" w:color="auto"/>
        <w:right w:val="none" w:sz="0" w:space="0" w:color="auto"/>
      </w:divBdr>
    </w:div>
    <w:div w:id="2090499164">
      <w:bodyDiv w:val="1"/>
      <w:marLeft w:val="0"/>
      <w:marRight w:val="0"/>
      <w:marTop w:val="0"/>
      <w:marBottom w:val="0"/>
      <w:divBdr>
        <w:top w:val="none" w:sz="0" w:space="0" w:color="auto"/>
        <w:left w:val="none" w:sz="0" w:space="0" w:color="auto"/>
        <w:bottom w:val="none" w:sz="0" w:space="0" w:color="auto"/>
        <w:right w:val="none" w:sz="0" w:space="0" w:color="auto"/>
      </w:divBdr>
    </w:div>
    <w:div w:id="2090731134">
      <w:bodyDiv w:val="1"/>
      <w:marLeft w:val="0"/>
      <w:marRight w:val="0"/>
      <w:marTop w:val="0"/>
      <w:marBottom w:val="0"/>
      <w:divBdr>
        <w:top w:val="none" w:sz="0" w:space="0" w:color="auto"/>
        <w:left w:val="none" w:sz="0" w:space="0" w:color="auto"/>
        <w:bottom w:val="none" w:sz="0" w:space="0" w:color="auto"/>
        <w:right w:val="none" w:sz="0" w:space="0" w:color="auto"/>
      </w:divBdr>
    </w:div>
    <w:div w:id="2090807647">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1921904">
      <w:bodyDiv w:val="1"/>
      <w:marLeft w:val="0"/>
      <w:marRight w:val="0"/>
      <w:marTop w:val="0"/>
      <w:marBottom w:val="0"/>
      <w:divBdr>
        <w:top w:val="none" w:sz="0" w:space="0" w:color="auto"/>
        <w:left w:val="none" w:sz="0" w:space="0" w:color="auto"/>
        <w:bottom w:val="none" w:sz="0" w:space="0" w:color="auto"/>
        <w:right w:val="none" w:sz="0" w:space="0" w:color="auto"/>
      </w:divBdr>
    </w:div>
    <w:div w:id="2092003077">
      <w:bodyDiv w:val="1"/>
      <w:marLeft w:val="0"/>
      <w:marRight w:val="0"/>
      <w:marTop w:val="0"/>
      <w:marBottom w:val="0"/>
      <w:divBdr>
        <w:top w:val="none" w:sz="0" w:space="0" w:color="auto"/>
        <w:left w:val="none" w:sz="0" w:space="0" w:color="auto"/>
        <w:bottom w:val="none" w:sz="0" w:space="0" w:color="auto"/>
        <w:right w:val="none" w:sz="0" w:space="0" w:color="auto"/>
      </w:divBdr>
    </w:div>
    <w:div w:id="2092659455">
      <w:bodyDiv w:val="1"/>
      <w:marLeft w:val="0"/>
      <w:marRight w:val="0"/>
      <w:marTop w:val="0"/>
      <w:marBottom w:val="0"/>
      <w:divBdr>
        <w:top w:val="none" w:sz="0" w:space="0" w:color="auto"/>
        <w:left w:val="none" w:sz="0" w:space="0" w:color="auto"/>
        <w:bottom w:val="none" w:sz="0" w:space="0" w:color="auto"/>
        <w:right w:val="none" w:sz="0" w:space="0" w:color="auto"/>
      </w:divBdr>
    </w:div>
    <w:div w:id="2092773814">
      <w:bodyDiv w:val="1"/>
      <w:marLeft w:val="0"/>
      <w:marRight w:val="0"/>
      <w:marTop w:val="0"/>
      <w:marBottom w:val="0"/>
      <w:divBdr>
        <w:top w:val="none" w:sz="0" w:space="0" w:color="auto"/>
        <w:left w:val="none" w:sz="0" w:space="0" w:color="auto"/>
        <w:bottom w:val="none" w:sz="0" w:space="0" w:color="auto"/>
        <w:right w:val="none" w:sz="0" w:space="0" w:color="auto"/>
      </w:divBdr>
    </w:div>
    <w:div w:id="2092896243">
      <w:bodyDiv w:val="1"/>
      <w:marLeft w:val="0"/>
      <w:marRight w:val="0"/>
      <w:marTop w:val="0"/>
      <w:marBottom w:val="0"/>
      <w:divBdr>
        <w:top w:val="none" w:sz="0" w:space="0" w:color="auto"/>
        <w:left w:val="none" w:sz="0" w:space="0" w:color="auto"/>
        <w:bottom w:val="none" w:sz="0" w:space="0" w:color="auto"/>
        <w:right w:val="none" w:sz="0" w:space="0" w:color="auto"/>
      </w:divBdr>
    </w:div>
    <w:div w:id="2093500033">
      <w:bodyDiv w:val="1"/>
      <w:marLeft w:val="0"/>
      <w:marRight w:val="0"/>
      <w:marTop w:val="0"/>
      <w:marBottom w:val="0"/>
      <w:divBdr>
        <w:top w:val="none" w:sz="0" w:space="0" w:color="auto"/>
        <w:left w:val="none" w:sz="0" w:space="0" w:color="auto"/>
        <w:bottom w:val="none" w:sz="0" w:space="0" w:color="auto"/>
        <w:right w:val="none" w:sz="0" w:space="0" w:color="auto"/>
      </w:divBdr>
    </w:div>
    <w:div w:id="2094205059">
      <w:bodyDiv w:val="1"/>
      <w:marLeft w:val="0"/>
      <w:marRight w:val="0"/>
      <w:marTop w:val="0"/>
      <w:marBottom w:val="0"/>
      <w:divBdr>
        <w:top w:val="none" w:sz="0" w:space="0" w:color="auto"/>
        <w:left w:val="none" w:sz="0" w:space="0" w:color="auto"/>
        <w:bottom w:val="none" w:sz="0" w:space="0" w:color="auto"/>
        <w:right w:val="none" w:sz="0" w:space="0" w:color="auto"/>
      </w:divBdr>
    </w:div>
    <w:div w:id="2094470464">
      <w:bodyDiv w:val="1"/>
      <w:marLeft w:val="0"/>
      <w:marRight w:val="0"/>
      <w:marTop w:val="0"/>
      <w:marBottom w:val="0"/>
      <w:divBdr>
        <w:top w:val="none" w:sz="0" w:space="0" w:color="auto"/>
        <w:left w:val="none" w:sz="0" w:space="0" w:color="auto"/>
        <w:bottom w:val="none" w:sz="0" w:space="0" w:color="auto"/>
        <w:right w:val="none" w:sz="0" w:space="0" w:color="auto"/>
      </w:divBdr>
    </w:div>
    <w:div w:id="2094741487">
      <w:bodyDiv w:val="1"/>
      <w:marLeft w:val="0"/>
      <w:marRight w:val="0"/>
      <w:marTop w:val="0"/>
      <w:marBottom w:val="0"/>
      <w:divBdr>
        <w:top w:val="none" w:sz="0" w:space="0" w:color="auto"/>
        <w:left w:val="none" w:sz="0" w:space="0" w:color="auto"/>
        <w:bottom w:val="none" w:sz="0" w:space="0" w:color="auto"/>
        <w:right w:val="none" w:sz="0" w:space="0" w:color="auto"/>
      </w:divBdr>
    </w:div>
    <w:div w:id="2094813865">
      <w:bodyDiv w:val="1"/>
      <w:marLeft w:val="0"/>
      <w:marRight w:val="0"/>
      <w:marTop w:val="0"/>
      <w:marBottom w:val="0"/>
      <w:divBdr>
        <w:top w:val="none" w:sz="0" w:space="0" w:color="auto"/>
        <w:left w:val="none" w:sz="0" w:space="0" w:color="auto"/>
        <w:bottom w:val="none" w:sz="0" w:space="0" w:color="auto"/>
        <w:right w:val="none" w:sz="0" w:space="0" w:color="auto"/>
      </w:divBdr>
    </w:div>
    <w:div w:id="2094933435">
      <w:bodyDiv w:val="1"/>
      <w:marLeft w:val="0"/>
      <w:marRight w:val="0"/>
      <w:marTop w:val="0"/>
      <w:marBottom w:val="0"/>
      <w:divBdr>
        <w:top w:val="none" w:sz="0" w:space="0" w:color="auto"/>
        <w:left w:val="none" w:sz="0" w:space="0" w:color="auto"/>
        <w:bottom w:val="none" w:sz="0" w:space="0" w:color="auto"/>
        <w:right w:val="none" w:sz="0" w:space="0" w:color="auto"/>
      </w:divBdr>
    </w:div>
    <w:div w:id="2095008989">
      <w:bodyDiv w:val="1"/>
      <w:marLeft w:val="0"/>
      <w:marRight w:val="0"/>
      <w:marTop w:val="0"/>
      <w:marBottom w:val="0"/>
      <w:divBdr>
        <w:top w:val="none" w:sz="0" w:space="0" w:color="auto"/>
        <w:left w:val="none" w:sz="0" w:space="0" w:color="auto"/>
        <w:bottom w:val="none" w:sz="0" w:space="0" w:color="auto"/>
        <w:right w:val="none" w:sz="0" w:space="0" w:color="auto"/>
      </w:divBdr>
    </w:div>
    <w:div w:id="2095545589">
      <w:bodyDiv w:val="1"/>
      <w:marLeft w:val="0"/>
      <w:marRight w:val="0"/>
      <w:marTop w:val="0"/>
      <w:marBottom w:val="0"/>
      <w:divBdr>
        <w:top w:val="none" w:sz="0" w:space="0" w:color="auto"/>
        <w:left w:val="none" w:sz="0" w:space="0" w:color="auto"/>
        <w:bottom w:val="none" w:sz="0" w:space="0" w:color="auto"/>
        <w:right w:val="none" w:sz="0" w:space="0" w:color="auto"/>
      </w:divBdr>
    </w:div>
    <w:div w:id="2095779459">
      <w:bodyDiv w:val="1"/>
      <w:marLeft w:val="0"/>
      <w:marRight w:val="0"/>
      <w:marTop w:val="0"/>
      <w:marBottom w:val="0"/>
      <w:divBdr>
        <w:top w:val="none" w:sz="0" w:space="0" w:color="auto"/>
        <w:left w:val="none" w:sz="0" w:space="0" w:color="auto"/>
        <w:bottom w:val="none" w:sz="0" w:space="0" w:color="auto"/>
        <w:right w:val="none" w:sz="0" w:space="0" w:color="auto"/>
      </w:divBdr>
    </w:div>
    <w:div w:id="2095855269">
      <w:bodyDiv w:val="1"/>
      <w:marLeft w:val="0"/>
      <w:marRight w:val="0"/>
      <w:marTop w:val="0"/>
      <w:marBottom w:val="0"/>
      <w:divBdr>
        <w:top w:val="none" w:sz="0" w:space="0" w:color="auto"/>
        <w:left w:val="none" w:sz="0" w:space="0" w:color="auto"/>
        <w:bottom w:val="none" w:sz="0" w:space="0" w:color="auto"/>
        <w:right w:val="none" w:sz="0" w:space="0" w:color="auto"/>
      </w:divBdr>
    </w:div>
    <w:div w:id="2096124833">
      <w:bodyDiv w:val="1"/>
      <w:marLeft w:val="0"/>
      <w:marRight w:val="0"/>
      <w:marTop w:val="0"/>
      <w:marBottom w:val="0"/>
      <w:divBdr>
        <w:top w:val="none" w:sz="0" w:space="0" w:color="auto"/>
        <w:left w:val="none" w:sz="0" w:space="0" w:color="auto"/>
        <w:bottom w:val="none" w:sz="0" w:space="0" w:color="auto"/>
        <w:right w:val="none" w:sz="0" w:space="0" w:color="auto"/>
      </w:divBdr>
    </w:div>
    <w:div w:id="2096197860">
      <w:bodyDiv w:val="1"/>
      <w:marLeft w:val="0"/>
      <w:marRight w:val="0"/>
      <w:marTop w:val="0"/>
      <w:marBottom w:val="0"/>
      <w:divBdr>
        <w:top w:val="none" w:sz="0" w:space="0" w:color="auto"/>
        <w:left w:val="none" w:sz="0" w:space="0" w:color="auto"/>
        <w:bottom w:val="none" w:sz="0" w:space="0" w:color="auto"/>
        <w:right w:val="none" w:sz="0" w:space="0" w:color="auto"/>
      </w:divBdr>
    </w:div>
    <w:div w:id="2096437053">
      <w:bodyDiv w:val="1"/>
      <w:marLeft w:val="0"/>
      <w:marRight w:val="0"/>
      <w:marTop w:val="0"/>
      <w:marBottom w:val="0"/>
      <w:divBdr>
        <w:top w:val="none" w:sz="0" w:space="0" w:color="auto"/>
        <w:left w:val="none" w:sz="0" w:space="0" w:color="auto"/>
        <w:bottom w:val="none" w:sz="0" w:space="0" w:color="auto"/>
        <w:right w:val="none" w:sz="0" w:space="0" w:color="auto"/>
      </w:divBdr>
    </w:div>
    <w:div w:id="2096512891">
      <w:bodyDiv w:val="1"/>
      <w:marLeft w:val="0"/>
      <w:marRight w:val="0"/>
      <w:marTop w:val="0"/>
      <w:marBottom w:val="0"/>
      <w:divBdr>
        <w:top w:val="none" w:sz="0" w:space="0" w:color="auto"/>
        <w:left w:val="none" w:sz="0" w:space="0" w:color="auto"/>
        <w:bottom w:val="none" w:sz="0" w:space="0" w:color="auto"/>
        <w:right w:val="none" w:sz="0" w:space="0" w:color="auto"/>
      </w:divBdr>
    </w:div>
    <w:div w:id="2096978688">
      <w:bodyDiv w:val="1"/>
      <w:marLeft w:val="0"/>
      <w:marRight w:val="0"/>
      <w:marTop w:val="0"/>
      <w:marBottom w:val="0"/>
      <w:divBdr>
        <w:top w:val="none" w:sz="0" w:space="0" w:color="auto"/>
        <w:left w:val="none" w:sz="0" w:space="0" w:color="auto"/>
        <w:bottom w:val="none" w:sz="0" w:space="0" w:color="auto"/>
        <w:right w:val="none" w:sz="0" w:space="0" w:color="auto"/>
      </w:divBdr>
    </w:div>
    <w:div w:id="2097550664">
      <w:bodyDiv w:val="1"/>
      <w:marLeft w:val="0"/>
      <w:marRight w:val="0"/>
      <w:marTop w:val="0"/>
      <w:marBottom w:val="0"/>
      <w:divBdr>
        <w:top w:val="none" w:sz="0" w:space="0" w:color="auto"/>
        <w:left w:val="none" w:sz="0" w:space="0" w:color="auto"/>
        <w:bottom w:val="none" w:sz="0" w:space="0" w:color="auto"/>
        <w:right w:val="none" w:sz="0" w:space="0" w:color="auto"/>
      </w:divBdr>
    </w:div>
    <w:div w:id="2097827617">
      <w:bodyDiv w:val="1"/>
      <w:marLeft w:val="0"/>
      <w:marRight w:val="0"/>
      <w:marTop w:val="0"/>
      <w:marBottom w:val="0"/>
      <w:divBdr>
        <w:top w:val="none" w:sz="0" w:space="0" w:color="auto"/>
        <w:left w:val="none" w:sz="0" w:space="0" w:color="auto"/>
        <w:bottom w:val="none" w:sz="0" w:space="0" w:color="auto"/>
        <w:right w:val="none" w:sz="0" w:space="0" w:color="auto"/>
      </w:divBdr>
    </w:div>
    <w:div w:id="2097893580">
      <w:bodyDiv w:val="1"/>
      <w:marLeft w:val="0"/>
      <w:marRight w:val="0"/>
      <w:marTop w:val="0"/>
      <w:marBottom w:val="0"/>
      <w:divBdr>
        <w:top w:val="none" w:sz="0" w:space="0" w:color="auto"/>
        <w:left w:val="none" w:sz="0" w:space="0" w:color="auto"/>
        <w:bottom w:val="none" w:sz="0" w:space="0" w:color="auto"/>
        <w:right w:val="none" w:sz="0" w:space="0" w:color="auto"/>
      </w:divBdr>
    </w:div>
    <w:div w:id="2098473415">
      <w:bodyDiv w:val="1"/>
      <w:marLeft w:val="0"/>
      <w:marRight w:val="0"/>
      <w:marTop w:val="0"/>
      <w:marBottom w:val="0"/>
      <w:divBdr>
        <w:top w:val="none" w:sz="0" w:space="0" w:color="auto"/>
        <w:left w:val="none" w:sz="0" w:space="0" w:color="auto"/>
        <w:bottom w:val="none" w:sz="0" w:space="0" w:color="auto"/>
        <w:right w:val="none" w:sz="0" w:space="0" w:color="auto"/>
      </w:divBdr>
    </w:div>
    <w:div w:id="2098475438">
      <w:bodyDiv w:val="1"/>
      <w:marLeft w:val="0"/>
      <w:marRight w:val="0"/>
      <w:marTop w:val="0"/>
      <w:marBottom w:val="0"/>
      <w:divBdr>
        <w:top w:val="none" w:sz="0" w:space="0" w:color="auto"/>
        <w:left w:val="none" w:sz="0" w:space="0" w:color="auto"/>
        <w:bottom w:val="none" w:sz="0" w:space="0" w:color="auto"/>
        <w:right w:val="none" w:sz="0" w:space="0" w:color="auto"/>
      </w:divBdr>
    </w:div>
    <w:div w:id="2098599702">
      <w:bodyDiv w:val="1"/>
      <w:marLeft w:val="0"/>
      <w:marRight w:val="0"/>
      <w:marTop w:val="0"/>
      <w:marBottom w:val="0"/>
      <w:divBdr>
        <w:top w:val="none" w:sz="0" w:space="0" w:color="auto"/>
        <w:left w:val="none" w:sz="0" w:space="0" w:color="auto"/>
        <w:bottom w:val="none" w:sz="0" w:space="0" w:color="auto"/>
        <w:right w:val="none" w:sz="0" w:space="0" w:color="auto"/>
      </w:divBdr>
    </w:div>
    <w:div w:id="2098860410">
      <w:bodyDiv w:val="1"/>
      <w:marLeft w:val="0"/>
      <w:marRight w:val="0"/>
      <w:marTop w:val="0"/>
      <w:marBottom w:val="0"/>
      <w:divBdr>
        <w:top w:val="none" w:sz="0" w:space="0" w:color="auto"/>
        <w:left w:val="none" w:sz="0" w:space="0" w:color="auto"/>
        <w:bottom w:val="none" w:sz="0" w:space="0" w:color="auto"/>
        <w:right w:val="none" w:sz="0" w:space="0" w:color="auto"/>
      </w:divBdr>
    </w:div>
    <w:div w:id="2098939994">
      <w:bodyDiv w:val="1"/>
      <w:marLeft w:val="0"/>
      <w:marRight w:val="0"/>
      <w:marTop w:val="0"/>
      <w:marBottom w:val="0"/>
      <w:divBdr>
        <w:top w:val="none" w:sz="0" w:space="0" w:color="auto"/>
        <w:left w:val="none" w:sz="0" w:space="0" w:color="auto"/>
        <w:bottom w:val="none" w:sz="0" w:space="0" w:color="auto"/>
        <w:right w:val="none" w:sz="0" w:space="0" w:color="auto"/>
      </w:divBdr>
    </w:div>
    <w:div w:id="2099062096">
      <w:bodyDiv w:val="1"/>
      <w:marLeft w:val="0"/>
      <w:marRight w:val="0"/>
      <w:marTop w:val="0"/>
      <w:marBottom w:val="0"/>
      <w:divBdr>
        <w:top w:val="none" w:sz="0" w:space="0" w:color="auto"/>
        <w:left w:val="none" w:sz="0" w:space="0" w:color="auto"/>
        <w:bottom w:val="none" w:sz="0" w:space="0" w:color="auto"/>
        <w:right w:val="none" w:sz="0" w:space="0" w:color="auto"/>
      </w:divBdr>
    </w:div>
    <w:div w:id="2099864259">
      <w:bodyDiv w:val="1"/>
      <w:marLeft w:val="0"/>
      <w:marRight w:val="0"/>
      <w:marTop w:val="0"/>
      <w:marBottom w:val="0"/>
      <w:divBdr>
        <w:top w:val="none" w:sz="0" w:space="0" w:color="auto"/>
        <w:left w:val="none" w:sz="0" w:space="0" w:color="auto"/>
        <w:bottom w:val="none" w:sz="0" w:space="0" w:color="auto"/>
        <w:right w:val="none" w:sz="0" w:space="0" w:color="auto"/>
      </w:divBdr>
    </w:div>
    <w:div w:id="2099985492">
      <w:bodyDiv w:val="1"/>
      <w:marLeft w:val="0"/>
      <w:marRight w:val="0"/>
      <w:marTop w:val="0"/>
      <w:marBottom w:val="0"/>
      <w:divBdr>
        <w:top w:val="none" w:sz="0" w:space="0" w:color="auto"/>
        <w:left w:val="none" w:sz="0" w:space="0" w:color="auto"/>
        <w:bottom w:val="none" w:sz="0" w:space="0" w:color="auto"/>
        <w:right w:val="none" w:sz="0" w:space="0" w:color="auto"/>
      </w:divBdr>
    </w:div>
    <w:div w:id="2100102098">
      <w:bodyDiv w:val="1"/>
      <w:marLeft w:val="0"/>
      <w:marRight w:val="0"/>
      <w:marTop w:val="0"/>
      <w:marBottom w:val="0"/>
      <w:divBdr>
        <w:top w:val="none" w:sz="0" w:space="0" w:color="auto"/>
        <w:left w:val="none" w:sz="0" w:space="0" w:color="auto"/>
        <w:bottom w:val="none" w:sz="0" w:space="0" w:color="auto"/>
        <w:right w:val="none" w:sz="0" w:space="0" w:color="auto"/>
      </w:divBdr>
      <w:divsChild>
        <w:div w:id="712121685">
          <w:marLeft w:val="0"/>
          <w:marRight w:val="0"/>
          <w:marTop w:val="0"/>
          <w:marBottom w:val="0"/>
          <w:divBdr>
            <w:top w:val="none" w:sz="0" w:space="0" w:color="auto"/>
            <w:left w:val="none" w:sz="0" w:space="0" w:color="auto"/>
            <w:bottom w:val="none" w:sz="0" w:space="0" w:color="auto"/>
            <w:right w:val="none" w:sz="0" w:space="0" w:color="auto"/>
          </w:divBdr>
        </w:div>
        <w:div w:id="1452359457">
          <w:marLeft w:val="0"/>
          <w:marRight w:val="0"/>
          <w:marTop w:val="0"/>
          <w:marBottom w:val="0"/>
          <w:divBdr>
            <w:top w:val="none" w:sz="0" w:space="0" w:color="auto"/>
            <w:left w:val="none" w:sz="0" w:space="0" w:color="auto"/>
            <w:bottom w:val="none" w:sz="0" w:space="0" w:color="auto"/>
            <w:right w:val="none" w:sz="0" w:space="0" w:color="auto"/>
          </w:divBdr>
        </w:div>
        <w:div w:id="1499156191">
          <w:marLeft w:val="0"/>
          <w:marRight w:val="0"/>
          <w:marTop w:val="0"/>
          <w:marBottom w:val="0"/>
          <w:divBdr>
            <w:top w:val="none" w:sz="0" w:space="0" w:color="auto"/>
            <w:left w:val="none" w:sz="0" w:space="0" w:color="auto"/>
            <w:bottom w:val="none" w:sz="0" w:space="0" w:color="auto"/>
            <w:right w:val="none" w:sz="0" w:space="0" w:color="auto"/>
          </w:divBdr>
        </w:div>
        <w:div w:id="1864048656">
          <w:marLeft w:val="0"/>
          <w:marRight w:val="0"/>
          <w:marTop w:val="0"/>
          <w:marBottom w:val="0"/>
          <w:divBdr>
            <w:top w:val="none" w:sz="0" w:space="0" w:color="auto"/>
            <w:left w:val="none" w:sz="0" w:space="0" w:color="auto"/>
            <w:bottom w:val="none" w:sz="0" w:space="0" w:color="auto"/>
            <w:right w:val="none" w:sz="0" w:space="0" w:color="auto"/>
          </w:divBdr>
        </w:div>
        <w:div w:id="1883714787">
          <w:marLeft w:val="0"/>
          <w:marRight w:val="0"/>
          <w:marTop w:val="0"/>
          <w:marBottom w:val="0"/>
          <w:divBdr>
            <w:top w:val="none" w:sz="0" w:space="0" w:color="auto"/>
            <w:left w:val="none" w:sz="0" w:space="0" w:color="auto"/>
            <w:bottom w:val="none" w:sz="0" w:space="0" w:color="auto"/>
            <w:right w:val="none" w:sz="0" w:space="0" w:color="auto"/>
          </w:divBdr>
        </w:div>
        <w:div w:id="2004235075">
          <w:marLeft w:val="0"/>
          <w:marRight w:val="0"/>
          <w:marTop w:val="0"/>
          <w:marBottom w:val="0"/>
          <w:divBdr>
            <w:top w:val="none" w:sz="0" w:space="0" w:color="auto"/>
            <w:left w:val="none" w:sz="0" w:space="0" w:color="auto"/>
            <w:bottom w:val="none" w:sz="0" w:space="0" w:color="auto"/>
            <w:right w:val="none" w:sz="0" w:space="0" w:color="auto"/>
          </w:divBdr>
        </w:div>
      </w:divsChild>
    </w:div>
    <w:div w:id="2100368932">
      <w:bodyDiv w:val="1"/>
      <w:marLeft w:val="0"/>
      <w:marRight w:val="0"/>
      <w:marTop w:val="0"/>
      <w:marBottom w:val="0"/>
      <w:divBdr>
        <w:top w:val="none" w:sz="0" w:space="0" w:color="auto"/>
        <w:left w:val="none" w:sz="0" w:space="0" w:color="auto"/>
        <w:bottom w:val="none" w:sz="0" w:space="0" w:color="auto"/>
        <w:right w:val="none" w:sz="0" w:space="0" w:color="auto"/>
      </w:divBdr>
    </w:div>
    <w:div w:id="2100516385">
      <w:bodyDiv w:val="1"/>
      <w:marLeft w:val="0"/>
      <w:marRight w:val="0"/>
      <w:marTop w:val="0"/>
      <w:marBottom w:val="0"/>
      <w:divBdr>
        <w:top w:val="none" w:sz="0" w:space="0" w:color="auto"/>
        <w:left w:val="none" w:sz="0" w:space="0" w:color="auto"/>
        <w:bottom w:val="none" w:sz="0" w:space="0" w:color="auto"/>
        <w:right w:val="none" w:sz="0" w:space="0" w:color="auto"/>
      </w:divBdr>
    </w:div>
    <w:div w:id="2100907513">
      <w:bodyDiv w:val="1"/>
      <w:marLeft w:val="0"/>
      <w:marRight w:val="0"/>
      <w:marTop w:val="0"/>
      <w:marBottom w:val="0"/>
      <w:divBdr>
        <w:top w:val="none" w:sz="0" w:space="0" w:color="auto"/>
        <w:left w:val="none" w:sz="0" w:space="0" w:color="auto"/>
        <w:bottom w:val="none" w:sz="0" w:space="0" w:color="auto"/>
        <w:right w:val="none" w:sz="0" w:space="0" w:color="auto"/>
      </w:divBdr>
    </w:div>
    <w:div w:id="2101217134">
      <w:bodyDiv w:val="1"/>
      <w:marLeft w:val="0"/>
      <w:marRight w:val="0"/>
      <w:marTop w:val="0"/>
      <w:marBottom w:val="0"/>
      <w:divBdr>
        <w:top w:val="none" w:sz="0" w:space="0" w:color="auto"/>
        <w:left w:val="none" w:sz="0" w:space="0" w:color="auto"/>
        <w:bottom w:val="none" w:sz="0" w:space="0" w:color="auto"/>
        <w:right w:val="none" w:sz="0" w:space="0" w:color="auto"/>
      </w:divBdr>
    </w:div>
    <w:div w:id="2101295010">
      <w:bodyDiv w:val="1"/>
      <w:marLeft w:val="0"/>
      <w:marRight w:val="0"/>
      <w:marTop w:val="0"/>
      <w:marBottom w:val="0"/>
      <w:divBdr>
        <w:top w:val="none" w:sz="0" w:space="0" w:color="auto"/>
        <w:left w:val="none" w:sz="0" w:space="0" w:color="auto"/>
        <w:bottom w:val="none" w:sz="0" w:space="0" w:color="auto"/>
        <w:right w:val="none" w:sz="0" w:space="0" w:color="auto"/>
      </w:divBdr>
    </w:div>
    <w:div w:id="2101371098">
      <w:bodyDiv w:val="1"/>
      <w:marLeft w:val="0"/>
      <w:marRight w:val="0"/>
      <w:marTop w:val="0"/>
      <w:marBottom w:val="0"/>
      <w:divBdr>
        <w:top w:val="none" w:sz="0" w:space="0" w:color="auto"/>
        <w:left w:val="none" w:sz="0" w:space="0" w:color="auto"/>
        <w:bottom w:val="none" w:sz="0" w:space="0" w:color="auto"/>
        <w:right w:val="none" w:sz="0" w:space="0" w:color="auto"/>
      </w:divBdr>
    </w:div>
    <w:div w:id="2102018397">
      <w:bodyDiv w:val="1"/>
      <w:marLeft w:val="0"/>
      <w:marRight w:val="0"/>
      <w:marTop w:val="0"/>
      <w:marBottom w:val="0"/>
      <w:divBdr>
        <w:top w:val="none" w:sz="0" w:space="0" w:color="auto"/>
        <w:left w:val="none" w:sz="0" w:space="0" w:color="auto"/>
        <w:bottom w:val="none" w:sz="0" w:space="0" w:color="auto"/>
        <w:right w:val="none" w:sz="0" w:space="0" w:color="auto"/>
      </w:divBdr>
    </w:div>
    <w:div w:id="2102480558">
      <w:bodyDiv w:val="1"/>
      <w:marLeft w:val="0"/>
      <w:marRight w:val="0"/>
      <w:marTop w:val="0"/>
      <w:marBottom w:val="0"/>
      <w:divBdr>
        <w:top w:val="none" w:sz="0" w:space="0" w:color="auto"/>
        <w:left w:val="none" w:sz="0" w:space="0" w:color="auto"/>
        <w:bottom w:val="none" w:sz="0" w:space="0" w:color="auto"/>
        <w:right w:val="none" w:sz="0" w:space="0" w:color="auto"/>
      </w:divBdr>
    </w:div>
    <w:div w:id="2102750029">
      <w:bodyDiv w:val="1"/>
      <w:marLeft w:val="0"/>
      <w:marRight w:val="0"/>
      <w:marTop w:val="0"/>
      <w:marBottom w:val="0"/>
      <w:divBdr>
        <w:top w:val="none" w:sz="0" w:space="0" w:color="auto"/>
        <w:left w:val="none" w:sz="0" w:space="0" w:color="auto"/>
        <w:bottom w:val="none" w:sz="0" w:space="0" w:color="auto"/>
        <w:right w:val="none" w:sz="0" w:space="0" w:color="auto"/>
      </w:divBdr>
    </w:div>
    <w:div w:id="2103450023">
      <w:bodyDiv w:val="1"/>
      <w:marLeft w:val="0"/>
      <w:marRight w:val="0"/>
      <w:marTop w:val="0"/>
      <w:marBottom w:val="0"/>
      <w:divBdr>
        <w:top w:val="none" w:sz="0" w:space="0" w:color="auto"/>
        <w:left w:val="none" w:sz="0" w:space="0" w:color="auto"/>
        <w:bottom w:val="none" w:sz="0" w:space="0" w:color="auto"/>
        <w:right w:val="none" w:sz="0" w:space="0" w:color="auto"/>
      </w:divBdr>
    </w:div>
    <w:div w:id="2104108811">
      <w:bodyDiv w:val="1"/>
      <w:marLeft w:val="0"/>
      <w:marRight w:val="0"/>
      <w:marTop w:val="0"/>
      <w:marBottom w:val="0"/>
      <w:divBdr>
        <w:top w:val="none" w:sz="0" w:space="0" w:color="auto"/>
        <w:left w:val="none" w:sz="0" w:space="0" w:color="auto"/>
        <w:bottom w:val="none" w:sz="0" w:space="0" w:color="auto"/>
        <w:right w:val="none" w:sz="0" w:space="0" w:color="auto"/>
      </w:divBdr>
    </w:div>
    <w:div w:id="2104180464">
      <w:bodyDiv w:val="1"/>
      <w:marLeft w:val="0"/>
      <w:marRight w:val="0"/>
      <w:marTop w:val="0"/>
      <w:marBottom w:val="0"/>
      <w:divBdr>
        <w:top w:val="none" w:sz="0" w:space="0" w:color="auto"/>
        <w:left w:val="none" w:sz="0" w:space="0" w:color="auto"/>
        <w:bottom w:val="none" w:sz="0" w:space="0" w:color="auto"/>
        <w:right w:val="none" w:sz="0" w:space="0" w:color="auto"/>
      </w:divBdr>
    </w:div>
    <w:div w:id="2104523339">
      <w:bodyDiv w:val="1"/>
      <w:marLeft w:val="0"/>
      <w:marRight w:val="0"/>
      <w:marTop w:val="0"/>
      <w:marBottom w:val="0"/>
      <w:divBdr>
        <w:top w:val="none" w:sz="0" w:space="0" w:color="auto"/>
        <w:left w:val="none" w:sz="0" w:space="0" w:color="auto"/>
        <w:bottom w:val="none" w:sz="0" w:space="0" w:color="auto"/>
        <w:right w:val="none" w:sz="0" w:space="0" w:color="auto"/>
      </w:divBdr>
    </w:div>
    <w:div w:id="2104759712">
      <w:bodyDiv w:val="1"/>
      <w:marLeft w:val="0"/>
      <w:marRight w:val="0"/>
      <w:marTop w:val="0"/>
      <w:marBottom w:val="0"/>
      <w:divBdr>
        <w:top w:val="none" w:sz="0" w:space="0" w:color="auto"/>
        <w:left w:val="none" w:sz="0" w:space="0" w:color="auto"/>
        <w:bottom w:val="none" w:sz="0" w:space="0" w:color="auto"/>
        <w:right w:val="none" w:sz="0" w:space="0" w:color="auto"/>
      </w:divBdr>
    </w:div>
    <w:div w:id="2104953303">
      <w:bodyDiv w:val="1"/>
      <w:marLeft w:val="0"/>
      <w:marRight w:val="0"/>
      <w:marTop w:val="0"/>
      <w:marBottom w:val="0"/>
      <w:divBdr>
        <w:top w:val="none" w:sz="0" w:space="0" w:color="auto"/>
        <w:left w:val="none" w:sz="0" w:space="0" w:color="auto"/>
        <w:bottom w:val="none" w:sz="0" w:space="0" w:color="auto"/>
        <w:right w:val="none" w:sz="0" w:space="0" w:color="auto"/>
      </w:divBdr>
    </w:div>
    <w:div w:id="2105302678">
      <w:bodyDiv w:val="1"/>
      <w:marLeft w:val="0"/>
      <w:marRight w:val="0"/>
      <w:marTop w:val="0"/>
      <w:marBottom w:val="0"/>
      <w:divBdr>
        <w:top w:val="none" w:sz="0" w:space="0" w:color="auto"/>
        <w:left w:val="none" w:sz="0" w:space="0" w:color="auto"/>
        <w:bottom w:val="none" w:sz="0" w:space="0" w:color="auto"/>
        <w:right w:val="none" w:sz="0" w:space="0" w:color="auto"/>
      </w:divBdr>
    </w:div>
    <w:div w:id="2106028953">
      <w:bodyDiv w:val="1"/>
      <w:marLeft w:val="0"/>
      <w:marRight w:val="0"/>
      <w:marTop w:val="0"/>
      <w:marBottom w:val="0"/>
      <w:divBdr>
        <w:top w:val="none" w:sz="0" w:space="0" w:color="auto"/>
        <w:left w:val="none" w:sz="0" w:space="0" w:color="auto"/>
        <w:bottom w:val="none" w:sz="0" w:space="0" w:color="auto"/>
        <w:right w:val="none" w:sz="0" w:space="0" w:color="auto"/>
      </w:divBdr>
    </w:div>
    <w:div w:id="2106075930">
      <w:bodyDiv w:val="1"/>
      <w:marLeft w:val="0"/>
      <w:marRight w:val="0"/>
      <w:marTop w:val="0"/>
      <w:marBottom w:val="0"/>
      <w:divBdr>
        <w:top w:val="none" w:sz="0" w:space="0" w:color="auto"/>
        <w:left w:val="none" w:sz="0" w:space="0" w:color="auto"/>
        <w:bottom w:val="none" w:sz="0" w:space="0" w:color="auto"/>
        <w:right w:val="none" w:sz="0" w:space="0" w:color="auto"/>
      </w:divBdr>
    </w:div>
    <w:div w:id="2106269464">
      <w:bodyDiv w:val="1"/>
      <w:marLeft w:val="0"/>
      <w:marRight w:val="0"/>
      <w:marTop w:val="0"/>
      <w:marBottom w:val="0"/>
      <w:divBdr>
        <w:top w:val="none" w:sz="0" w:space="0" w:color="auto"/>
        <w:left w:val="none" w:sz="0" w:space="0" w:color="auto"/>
        <w:bottom w:val="none" w:sz="0" w:space="0" w:color="auto"/>
        <w:right w:val="none" w:sz="0" w:space="0" w:color="auto"/>
      </w:divBdr>
    </w:div>
    <w:div w:id="2106341370">
      <w:bodyDiv w:val="1"/>
      <w:marLeft w:val="0"/>
      <w:marRight w:val="0"/>
      <w:marTop w:val="0"/>
      <w:marBottom w:val="0"/>
      <w:divBdr>
        <w:top w:val="none" w:sz="0" w:space="0" w:color="auto"/>
        <w:left w:val="none" w:sz="0" w:space="0" w:color="auto"/>
        <w:bottom w:val="none" w:sz="0" w:space="0" w:color="auto"/>
        <w:right w:val="none" w:sz="0" w:space="0" w:color="auto"/>
      </w:divBdr>
    </w:div>
    <w:div w:id="2106805044">
      <w:bodyDiv w:val="1"/>
      <w:marLeft w:val="0"/>
      <w:marRight w:val="0"/>
      <w:marTop w:val="0"/>
      <w:marBottom w:val="0"/>
      <w:divBdr>
        <w:top w:val="none" w:sz="0" w:space="0" w:color="auto"/>
        <w:left w:val="none" w:sz="0" w:space="0" w:color="auto"/>
        <w:bottom w:val="none" w:sz="0" w:space="0" w:color="auto"/>
        <w:right w:val="none" w:sz="0" w:space="0" w:color="auto"/>
      </w:divBdr>
    </w:div>
    <w:div w:id="2106874006">
      <w:bodyDiv w:val="1"/>
      <w:marLeft w:val="0"/>
      <w:marRight w:val="0"/>
      <w:marTop w:val="0"/>
      <w:marBottom w:val="0"/>
      <w:divBdr>
        <w:top w:val="none" w:sz="0" w:space="0" w:color="auto"/>
        <w:left w:val="none" w:sz="0" w:space="0" w:color="auto"/>
        <w:bottom w:val="none" w:sz="0" w:space="0" w:color="auto"/>
        <w:right w:val="none" w:sz="0" w:space="0" w:color="auto"/>
      </w:divBdr>
    </w:div>
    <w:div w:id="2106999120">
      <w:bodyDiv w:val="1"/>
      <w:marLeft w:val="0"/>
      <w:marRight w:val="0"/>
      <w:marTop w:val="0"/>
      <w:marBottom w:val="0"/>
      <w:divBdr>
        <w:top w:val="none" w:sz="0" w:space="0" w:color="auto"/>
        <w:left w:val="none" w:sz="0" w:space="0" w:color="auto"/>
        <w:bottom w:val="none" w:sz="0" w:space="0" w:color="auto"/>
        <w:right w:val="none" w:sz="0" w:space="0" w:color="auto"/>
      </w:divBdr>
    </w:div>
    <w:div w:id="2107530383">
      <w:bodyDiv w:val="1"/>
      <w:marLeft w:val="0"/>
      <w:marRight w:val="0"/>
      <w:marTop w:val="0"/>
      <w:marBottom w:val="0"/>
      <w:divBdr>
        <w:top w:val="none" w:sz="0" w:space="0" w:color="auto"/>
        <w:left w:val="none" w:sz="0" w:space="0" w:color="auto"/>
        <w:bottom w:val="none" w:sz="0" w:space="0" w:color="auto"/>
        <w:right w:val="none" w:sz="0" w:space="0" w:color="auto"/>
      </w:divBdr>
    </w:div>
    <w:div w:id="2108115300">
      <w:bodyDiv w:val="1"/>
      <w:marLeft w:val="0"/>
      <w:marRight w:val="0"/>
      <w:marTop w:val="0"/>
      <w:marBottom w:val="0"/>
      <w:divBdr>
        <w:top w:val="none" w:sz="0" w:space="0" w:color="auto"/>
        <w:left w:val="none" w:sz="0" w:space="0" w:color="auto"/>
        <w:bottom w:val="none" w:sz="0" w:space="0" w:color="auto"/>
        <w:right w:val="none" w:sz="0" w:space="0" w:color="auto"/>
      </w:divBdr>
    </w:div>
    <w:div w:id="2108230288">
      <w:bodyDiv w:val="1"/>
      <w:marLeft w:val="0"/>
      <w:marRight w:val="0"/>
      <w:marTop w:val="0"/>
      <w:marBottom w:val="0"/>
      <w:divBdr>
        <w:top w:val="none" w:sz="0" w:space="0" w:color="auto"/>
        <w:left w:val="none" w:sz="0" w:space="0" w:color="auto"/>
        <w:bottom w:val="none" w:sz="0" w:space="0" w:color="auto"/>
        <w:right w:val="none" w:sz="0" w:space="0" w:color="auto"/>
      </w:divBdr>
    </w:div>
    <w:div w:id="2109570190">
      <w:bodyDiv w:val="1"/>
      <w:marLeft w:val="0"/>
      <w:marRight w:val="0"/>
      <w:marTop w:val="0"/>
      <w:marBottom w:val="0"/>
      <w:divBdr>
        <w:top w:val="none" w:sz="0" w:space="0" w:color="auto"/>
        <w:left w:val="none" w:sz="0" w:space="0" w:color="auto"/>
        <w:bottom w:val="none" w:sz="0" w:space="0" w:color="auto"/>
        <w:right w:val="none" w:sz="0" w:space="0" w:color="auto"/>
      </w:divBdr>
    </w:div>
    <w:div w:id="2109622221">
      <w:bodyDiv w:val="1"/>
      <w:marLeft w:val="0"/>
      <w:marRight w:val="0"/>
      <w:marTop w:val="0"/>
      <w:marBottom w:val="0"/>
      <w:divBdr>
        <w:top w:val="none" w:sz="0" w:space="0" w:color="auto"/>
        <w:left w:val="none" w:sz="0" w:space="0" w:color="auto"/>
        <w:bottom w:val="none" w:sz="0" w:space="0" w:color="auto"/>
        <w:right w:val="none" w:sz="0" w:space="0" w:color="auto"/>
      </w:divBdr>
    </w:div>
    <w:div w:id="2109736196">
      <w:bodyDiv w:val="1"/>
      <w:marLeft w:val="0"/>
      <w:marRight w:val="0"/>
      <w:marTop w:val="0"/>
      <w:marBottom w:val="0"/>
      <w:divBdr>
        <w:top w:val="none" w:sz="0" w:space="0" w:color="auto"/>
        <w:left w:val="none" w:sz="0" w:space="0" w:color="auto"/>
        <w:bottom w:val="none" w:sz="0" w:space="0" w:color="auto"/>
        <w:right w:val="none" w:sz="0" w:space="0" w:color="auto"/>
      </w:divBdr>
    </w:div>
    <w:div w:id="2109881564">
      <w:bodyDiv w:val="1"/>
      <w:marLeft w:val="0"/>
      <w:marRight w:val="0"/>
      <w:marTop w:val="0"/>
      <w:marBottom w:val="0"/>
      <w:divBdr>
        <w:top w:val="none" w:sz="0" w:space="0" w:color="auto"/>
        <w:left w:val="none" w:sz="0" w:space="0" w:color="auto"/>
        <w:bottom w:val="none" w:sz="0" w:space="0" w:color="auto"/>
        <w:right w:val="none" w:sz="0" w:space="0" w:color="auto"/>
      </w:divBdr>
    </w:div>
    <w:div w:id="2110391664">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000311">
      <w:bodyDiv w:val="1"/>
      <w:marLeft w:val="0"/>
      <w:marRight w:val="0"/>
      <w:marTop w:val="0"/>
      <w:marBottom w:val="0"/>
      <w:divBdr>
        <w:top w:val="none" w:sz="0" w:space="0" w:color="auto"/>
        <w:left w:val="none" w:sz="0" w:space="0" w:color="auto"/>
        <w:bottom w:val="none" w:sz="0" w:space="0" w:color="auto"/>
        <w:right w:val="none" w:sz="0" w:space="0" w:color="auto"/>
      </w:divBdr>
    </w:div>
    <w:div w:id="2111122629">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1311757">
      <w:bodyDiv w:val="1"/>
      <w:marLeft w:val="0"/>
      <w:marRight w:val="0"/>
      <w:marTop w:val="0"/>
      <w:marBottom w:val="0"/>
      <w:divBdr>
        <w:top w:val="none" w:sz="0" w:space="0" w:color="auto"/>
        <w:left w:val="none" w:sz="0" w:space="0" w:color="auto"/>
        <w:bottom w:val="none" w:sz="0" w:space="0" w:color="auto"/>
        <w:right w:val="none" w:sz="0" w:space="0" w:color="auto"/>
      </w:divBdr>
    </w:div>
    <w:div w:id="2111662416">
      <w:bodyDiv w:val="1"/>
      <w:marLeft w:val="0"/>
      <w:marRight w:val="0"/>
      <w:marTop w:val="0"/>
      <w:marBottom w:val="0"/>
      <w:divBdr>
        <w:top w:val="none" w:sz="0" w:space="0" w:color="auto"/>
        <w:left w:val="none" w:sz="0" w:space="0" w:color="auto"/>
        <w:bottom w:val="none" w:sz="0" w:space="0" w:color="auto"/>
        <w:right w:val="none" w:sz="0" w:space="0" w:color="auto"/>
      </w:divBdr>
    </w:div>
    <w:div w:id="2111775792">
      <w:bodyDiv w:val="1"/>
      <w:marLeft w:val="0"/>
      <w:marRight w:val="0"/>
      <w:marTop w:val="0"/>
      <w:marBottom w:val="0"/>
      <w:divBdr>
        <w:top w:val="none" w:sz="0" w:space="0" w:color="auto"/>
        <w:left w:val="none" w:sz="0" w:space="0" w:color="auto"/>
        <w:bottom w:val="none" w:sz="0" w:space="0" w:color="auto"/>
        <w:right w:val="none" w:sz="0" w:space="0" w:color="auto"/>
      </w:divBdr>
    </w:div>
    <w:div w:id="2111781621">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12163720">
      <w:bodyDiv w:val="1"/>
      <w:marLeft w:val="0"/>
      <w:marRight w:val="0"/>
      <w:marTop w:val="0"/>
      <w:marBottom w:val="0"/>
      <w:divBdr>
        <w:top w:val="none" w:sz="0" w:space="0" w:color="auto"/>
        <w:left w:val="none" w:sz="0" w:space="0" w:color="auto"/>
        <w:bottom w:val="none" w:sz="0" w:space="0" w:color="auto"/>
        <w:right w:val="none" w:sz="0" w:space="0" w:color="auto"/>
      </w:divBdr>
    </w:div>
    <w:div w:id="2113235643">
      <w:bodyDiv w:val="1"/>
      <w:marLeft w:val="0"/>
      <w:marRight w:val="0"/>
      <w:marTop w:val="0"/>
      <w:marBottom w:val="0"/>
      <w:divBdr>
        <w:top w:val="none" w:sz="0" w:space="0" w:color="auto"/>
        <w:left w:val="none" w:sz="0" w:space="0" w:color="auto"/>
        <w:bottom w:val="none" w:sz="0" w:space="0" w:color="auto"/>
        <w:right w:val="none" w:sz="0" w:space="0" w:color="auto"/>
      </w:divBdr>
    </w:div>
    <w:div w:id="2113240725">
      <w:bodyDiv w:val="1"/>
      <w:marLeft w:val="0"/>
      <w:marRight w:val="0"/>
      <w:marTop w:val="0"/>
      <w:marBottom w:val="0"/>
      <w:divBdr>
        <w:top w:val="none" w:sz="0" w:space="0" w:color="auto"/>
        <w:left w:val="none" w:sz="0" w:space="0" w:color="auto"/>
        <w:bottom w:val="none" w:sz="0" w:space="0" w:color="auto"/>
        <w:right w:val="none" w:sz="0" w:space="0" w:color="auto"/>
      </w:divBdr>
    </w:div>
    <w:div w:id="2113475980">
      <w:bodyDiv w:val="1"/>
      <w:marLeft w:val="0"/>
      <w:marRight w:val="0"/>
      <w:marTop w:val="0"/>
      <w:marBottom w:val="0"/>
      <w:divBdr>
        <w:top w:val="none" w:sz="0" w:space="0" w:color="auto"/>
        <w:left w:val="none" w:sz="0" w:space="0" w:color="auto"/>
        <w:bottom w:val="none" w:sz="0" w:space="0" w:color="auto"/>
        <w:right w:val="none" w:sz="0" w:space="0" w:color="auto"/>
      </w:divBdr>
    </w:div>
    <w:div w:id="2113813592">
      <w:bodyDiv w:val="1"/>
      <w:marLeft w:val="0"/>
      <w:marRight w:val="0"/>
      <w:marTop w:val="0"/>
      <w:marBottom w:val="0"/>
      <w:divBdr>
        <w:top w:val="none" w:sz="0" w:space="0" w:color="auto"/>
        <w:left w:val="none" w:sz="0" w:space="0" w:color="auto"/>
        <w:bottom w:val="none" w:sz="0" w:space="0" w:color="auto"/>
        <w:right w:val="none" w:sz="0" w:space="0" w:color="auto"/>
      </w:divBdr>
    </w:div>
    <w:div w:id="2113818192">
      <w:bodyDiv w:val="1"/>
      <w:marLeft w:val="0"/>
      <w:marRight w:val="0"/>
      <w:marTop w:val="0"/>
      <w:marBottom w:val="0"/>
      <w:divBdr>
        <w:top w:val="none" w:sz="0" w:space="0" w:color="auto"/>
        <w:left w:val="none" w:sz="0" w:space="0" w:color="auto"/>
        <w:bottom w:val="none" w:sz="0" w:space="0" w:color="auto"/>
        <w:right w:val="none" w:sz="0" w:space="0" w:color="auto"/>
      </w:divBdr>
    </w:div>
    <w:div w:id="2114082189">
      <w:bodyDiv w:val="1"/>
      <w:marLeft w:val="0"/>
      <w:marRight w:val="0"/>
      <w:marTop w:val="0"/>
      <w:marBottom w:val="0"/>
      <w:divBdr>
        <w:top w:val="none" w:sz="0" w:space="0" w:color="auto"/>
        <w:left w:val="none" w:sz="0" w:space="0" w:color="auto"/>
        <w:bottom w:val="none" w:sz="0" w:space="0" w:color="auto"/>
        <w:right w:val="none" w:sz="0" w:space="0" w:color="auto"/>
      </w:divBdr>
    </w:div>
    <w:div w:id="2114133729">
      <w:bodyDiv w:val="1"/>
      <w:marLeft w:val="0"/>
      <w:marRight w:val="0"/>
      <w:marTop w:val="0"/>
      <w:marBottom w:val="0"/>
      <w:divBdr>
        <w:top w:val="none" w:sz="0" w:space="0" w:color="auto"/>
        <w:left w:val="none" w:sz="0" w:space="0" w:color="auto"/>
        <w:bottom w:val="none" w:sz="0" w:space="0" w:color="auto"/>
        <w:right w:val="none" w:sz="0" w:space="0" w:color="auto"/>
      </w:divBdr>
    </w:div>
    <w:div w:id="2114519780">
      <w:bodyDiv w:val="1"/>
      <w:marLeft w:val="0"/>
      <w:marRight w:val="0"/>
      <w:marTop w:val="0"/>
      <w:marBottom w:val="0"/>
      <w:divBdr>
        <w:top w:val="none" w:sz="0" w:space="0" w:color="auto"/>
        <w:left w:val="none" w:sz="0" w:space="0" w:color="auto"/>
        <w:bottom w:val="none" w:sz="0" w:space="0" w:color="auto"/>
        <w:right w:val="none" w:sz="0" w:space="0" w:color="auto"/>
      </w:divBdr>
    </w:div>
    <w:div w:id="2114594272">
      <w:bodyDiv w:val="1"/>
      <w:marLeft w:val="0"/>
      <w:marRight w:val="0"/>
      <w:marTop w:val="0"/>
      <w:marBottom w:val="0"/>
      <w:divBdr>
        <w:top w:val="none" w:sz="0" w:space="0" w:color="auto"/>
        <w:left w:val="none" w:sz="0" w:space="0" w:color="auto"/>
        <w:bottom w:val="none" w:sz="0" w:space="0" w:color="auto"/>
        <w:right w:val="none" w:sz="0" w:space="0" w:color="auto"/>
      </w:divBdr>
    </w:div>
    <w:div w:id="2114784148">
      <w:bodyDiv w:val="1"/>
      <w:marLeft w:val="0"/>
      <w:marRight w:val="0"/>
      <w:marTop w:val="0"/>
      <w:marBottom w:val="0"/>
      <w:divBdr>
        <w:top w:val="none" w:sz="0" w:space="0" w:color="auto"/>
        <w:left w:val="none" w:sz="0" w:space="0" w:color="auto"/>
        <w:bottom w:val="none" w:sz="0" w:space="0" w:color="auto"/>
        <w:right w:val="none" w:sz="0" w:space="0" w:color="auto"/>
      </w:divBdr>
    </w:div>
    <w:div w:id="2114789080">
      <w:bodyDiv w:val="1"/>
      <w:marLeft w:val="0"/>
      <w:marRight w:val="0"/>
      <w:marTop w:val="0"/>
      <w:marBottom w:val="0"/>
      <w:divBdr>
        <w:top w:val="none" w:sz="0" w:space="0" w:color="auto"/>
        <w:left w:val="none" w:sz="0" w:space="0" w:color="auto"/>
        <w:bottom w:val="none" w:sz="0" w:space="0" w:color="auto"/>
        <w:right w:val="none" w:sz="0" w:space="0" w:color="auto"/>
      </w:divBdr>
    </w:div>
    <w:div w:id="2115323192">
      <w:bodyDiv w:val="1"/>
      <w:marLeft w:val="0"/>
      <w:marRight w:val="0"/>
      <w:marTop w:val="0"/>
      <w:marBottom w:val="0"/>
      <w:divBdr>
        <w:top w:val="none" w:sz="0" w:space="0" w:color="auto"/>
        <w:left w:val="none" w:sz="0" w:space="0" w:color="auto"/>
        <w:bottom w:val="none" w:sz="0" w:space="0" w:color="auto"/>
        <w:right w:val="none" w:sz="0" w:space="0" w:color="auto"/>
      </w:divBdr>
    </w:div>
    <w:div w:id="2115324616">
      <w:bodyDiv w:val="1"/>
      <w:marLeft w:val="0"/>
      <w:marRight w:val="0"/>
      <w:marTop w:val="0"/>
      <w:marBottom w:val="0"/>
      <w:divBdr>
        <w:top w:val="none" w:sz="0" w:space="0" w:color="auto"/>
        <w:left w:val="none" w:sz="0" w:space="0" w:color="auto"/>
        <w:bottom w:val="none" w:sz="0" w:space="0" w:color="auto"/>
        <w:right w:val="none" w:sz="0" w:space="0" w:color="auto"/>
      </w:divBdr>
    </w:div>
    <w:div w:id="2115437796">
      <w:bodyDiv w:val="1"/>
      <w:marLeft w:val="0"/>
      <w:marRight w:val="0"/>
      <w:marTop w:val="0"/>
      <w:marBottom w:val="0"/>
      <w:divBdr>
        <w:top w:val="none" w:sz="0" w:space="0" w:color="auto"/>
        <w:left w:val="none" w:sz="0" w:space="0" w:color="auto"/>
        <w:bottom w:val="none" w:sz="0" w:space="0" w:color="auto"/>
        <w:right w:val="none" w:sz="0" w:space="0" w:color="auto"/>
      </w:divBdr>
    </w:div>
    <w:div w:id="2115589373">
      <w:bodyDiv w:val="1"/>
      <w:marLeft w:val="0"/>
      <w:marRight w:val="0"/>
      <w:marTop w:val="0"/>
      <w:marBottom w:val="0"/>
      <w:divBdr>
        <w:top w:val="none" w:sz="0" w:space="0" w:color="auto"/>
        <w:left w:val="none" w:sz="0" w:space="0" w:color="auto"/>
        <w:bottom w:val="none" w:sz="0" w:space="0" w:color="auto"/>
        <w:right w:val="none" w:sz="0" w:space="0" w:color="auto"/>
      </w:divBdr>
    </w:div>
    <w:div w:id="2115829951">
      <w:bodyDiv w:val="1"/>
      <w:marLeft w:val="0"/>
      <w:marRight w:val="0"/>
      <w:marTop w:val="0"/>
      <w:marBottom w:val="0"/>
      <w:divBdr>
        <w:top w:val="none" w:sz="0" w:space="0" w:color="auto"/>
        <w:left w:val="none" w:sz="0" w:space="0" w:color="auto"/>
        <w:bottom w:val="none" w:sz="0" w:space="0" w:color="auto"/>
        <w:right w:val="none" w:sz="0" w:space="0" w:color="auto"/>
      </w:divBdr>
    </w:div>
    <w:div w:id="2116094432">
      <w:bodyDiv w:val="1"/>
      <w:marLeft w:val="0"/>
      <w:marRight w:val="0"/>
      <w:marTop w:val="0"/>
      <w:marBottom w:val="0"/>
      <w:divBdr>
        <w:top w:val="none" w:sz="0" w:space="0" w:color="auto"/>
        <w:left w:val="none" w:sz="0" w:space="0" w:color="auto"/>
        <w:bottom w:val="none" w:sz="0" w:space="0" w:color="auto"/>
        <w:right w:val="none" w:sz="0" w:space="0" w:color="auto"/>
      </w:divBdr>
    </w:div>
    <w:div w:id="2116167710">
      <w:bodyDiv w:val="1"/>
      <w:marLeft w:val="0"/>
      <w:marRight w:val="0"/>
      <w:marTop w:val="0"/>
      <w:marBottom w:val="0"/>
      <w:divBdr>
        <w:top w:val="none" w:sz="0" w:space="0" w:color="auto"/>
        <w:left w:val="none" w:sz="0" w:space="0" w:color="auto"/>
        <w:bottom w:val="none" w:sz="0" w:space="0" w:color="auto"/>
        <w:right w:val="none" w:sz="0" w:space="0" w:color="auto"/>
      </w:divBdr>
    </w:div>
    <w:div w:id="2116779924">
      <w:bodyDiv w:val="1"/>
      <w:marLeft w:val="0"/>
      <w:marRight w:val="0"/>
      <w:marTop w:val="0"/>
      <w:marBottom w:val="0"/>
      <w:divBdr>
        <w:top w:val="none" w:sz="0" w:space="0" w:color="auto"/>
        <w:left w:val="none" w:sz="0" w:space="0" w:color="auto"/>
        <w:bottom w:val="none" w:sz="0" w:space="0" w:color="auto"/>
        <w:right w:val="none" w:sz="0" w:space="0" w:color="auto"/>
      </w:divBdr>
    </w:div>
    <w:div w:id="2117017955">
      <w:bodyDiv w:val="1"/>
      <w:marLeft w:val="0"/>
      <w:marRight w:val="0"/>
      <w:marTop w:val="0"/>
      <w:marBottom w:val="0"/>
      <w:divBdr>
        <w:top w:val="none" w:sz="0" w:space="0" w:color="auto"/>
        <w:left w:val="none" w:sz="0" w:space="0" w:color="auto"/>
        <w:bottom w:val="none" w:sz="0" w:space="0" w:color="auto"/>
        <w:right w:val="none" w:sz="0" w:space="0" w:color="auto"/>
      </w:divBdr>
    </w:div>
    <w:div w:id="2118064988">
      <w:bodyDiv w:val="1"/>
      <w:marLeft w:val="0"/>
      <w:marRight w:val="0"/>
      <w:marTop w:val="0"/>
      <w:marBottom w:val="0"/>
      <w:divBdr>
        <w:top w:val="none" w:sz="0" w:space="0" w:color="auto"/>
        <w:left w:val="none" w:sz="0" w:space="0" w:color="auto"/>
        <w:bottom w:val="none" w:sz="0" w:space="0" w:color="auto"/>
        <w:right w:val="none" w:sz="0" w:space="0" w:color="auto"/>
      </w:divBdr>
    </w:div>
    <w:div w:id="2118670929">
      <w:bodyDiv w:val="1"/>
      <w:marLeft w:val="0"/>
      <w:marRight w:val="0"/>
      <w:marTop w:val="0"/>
      <w:marBottom w:val="0"/>
      <w:divBdr>
        <w:top w:val="none" w:sz="0" w:space="0" w:color="auto"/>
        <w:left w:val="none" w:sz="0" w:space="0" w:color="auto"/>
        <w:bottom w:val="none" w:sz="0" w:space="0" w:color="auto"/>
        <w:right w:val="none" w:sz="0" w:space="0" w:color="auto"/>
      </w:divBdr>
    </w:div>
    <w:div w:id="2119444475">
      <w:bodyDiv w:val="1"/>
      <w:marLeft w:val="0"/>
      <w:marRight w:val="0"/>
      <w:marTop w:val="0"/>
      <w:marBottom w:val="0"/>
      <w:divBdr>
        <w:top w:val="none" w:sz="0" w:space="0" w:color="auto"/>
        <w:left w:val="none" w:sz="0" w:space="0" w:color="auto"/>
        <w:bottom w:val="none" w:sz="0" w:space="0" w:color="auto"/>
        <w:right w:val="none" w:sz="0" w:space="0" w:color="auto"/>
      </w:divBdr>
    </w:div>
    <w:div w:id="2119517426">
      <w:bodyDiv w:val="1"/>
      <w:marLeft w:val="0"/>
      <w:marRight w:val="0"/>
      <w:marTop w:val="0"/>
      <w:marBottom w:val="0"/>
      <w:divBdr>
        <w:top w:val="none" w:sz="0" w:space="0" w:color="auto"/>
        <w:left w:val="none" w:sz="0" w:space="0" w:color="auto"/>
        <w:bottom w:val="none" w:sz="0" w:space="0" w:color="auto"/>
        <w:right w:val="none" w:sz="0" w:space="0" w:color="auto"/>
      </w:divBdr>
    </w:div>
    <w:div w:id="2120299675">
      <w:bodyDiv w:val="1"/>
      <w:marLeft w:val="0"/>
      <w:marRight w:val="0"/>
      <w:marTop w:val="0"/>
      <w:marBottom w:val="0"/>
      <w:divBdr>
        <w:top w:val="none" w:sz="0" w:space="0" w:color="auto"/>
        <w:left w:val="none" w:sz="0" w:space="0" w:color="auto"/>
        <w:bottom w:val="none" w:sz="0" w:space="0" w:color="auto"/>
        <w:right w:val="none" w:sz="0" w:space="0" w:color="auto"/>
      </w:divBdr>
    </w:div>
    <w:div w:id="2120369995">
      <w:bodyDiv w:val="1"/>
      <w:marLeft w:val="0"/>
      <w:marRight w:val="0"/>
      <w:marTop w:val="0"/>
      <w:marBottom w:val="0"/>
      <w:divBdr>
        <w:top w:val="none" w:sz="0" w:space="0" w:color="auto"/>
        <w:left w:val="none" w:sz="0" w:space="0" w:color="auto"/>
        <w:bottom w:val="none" w:sz="0" w:space="0" w:color="auto"/>
        <w:right w:val="none" w:sz="0" w:space="0" w:color="auto"/>
      </w:divBdr>
    </w:div>
    <w:div w:id="2120443533">
      <w:bodyDiv w:val="1"/>
      <w:marLeft w:val="0"/>
      <w:marRight w:val="0"/>
      <w:marTop w:val="0"/>
      <w:marBottom w:val="0"/>
      <w:divBdr>
        <w:top w:val="none" w:sz="0" w:space="0" w:color="auto"/>
        <w:left w:val="none" w:sz="0" w:space="0" w:color="auto"/>
        <w:bottom w:val="none" w:sz="0" w:space="0" w:color="auto"/>
        <w:right w:val="none" w:sz="0" w:space="0" w:color="auto"/>
      </w:divBdr>
    </w:div>
    <w:div w:id="2120485165">
      <w:bodyDiv w:val="1"/>
      <w:marLeft w:val="0"/>
      <w:marRight w:val="0"/>
      <w:marTop w:val="0"/>
      <w:marBottom w:val="0"/>
      <w:divBdr>
        <w:top w:val="none" w:sz="0" w:space="0" w:color="auto"/>
        <w:left w:val="none" w:sz="0" w:space="0" w:color="auto"/>
        <w:bottom w:val="none" w:sz="0" w:space="0" w:color="auto"/>
        <w:right w:val="none" w:sz="0" w:space="0" w:color="auto"/>
      </w:divBdr>
    </w:div>
    <w:div w:id="2121946899">
      <w:bodyDiv w:val="1"/>
      <w:marLeft w:val="0"/>
      <w:marRight w:val="0"/>
      <w:marTop w:val="0"/>
      <w:marBottom w:val="0"/>
      <w:divBdr>
        <w:top w:val="none" w:sz="0" w:space="0" w:color="auto"/>
        <w:left w:val="none" w:sz="0" w:space="0" w:color="auto"/>
        <w:bottom w:val="none" w:sz="0" w:space="0" w:color="auto"/>
        <w:right w:val="none" w:sz="0" w:space="0" w:color="auto"/>
      </w:divBdr>
    </w:div>
    <w:div w:id="2121947134">
      <w:bodyDiv w:val="1"/>
      <w:marLeft w:val="0"/>
      <w:marRight w:val="0"/>
      <w:marTop w:val="0"/>
      <w:marBottom w:val="0"/>
      <w:divBdr>
        <w:top w:val="none" w:sz="0" w:space="0" w:color="auto"/>
        <w:left w:val="none" w:sz="0" w:space="0" w:color="auto"/>
        <w:bottom w:val="none" w:sz="0" w:space="0" w:color="auto"/>
        <w:right w:val="none" w:sz="0" w:space="0" w:color="auto"/>
      </w:divBdr>
    </w:div>
    <w:div w:id="2122260462">
      <w:bodyDiv w:val="1"/>
      <w:marLeft w:val="0"/>
      <w:marRight w:val="0"/>
      <w:marTop w:val="0"/>
      <w:marBottom w:val="0"/>
      <w:divBdr>
        <w:top w:val="none" w:sz="0" w:space="0" w:color="auto"/>
        <w:left w:val="none" w:sz="0" w:space="0" w:color="auto"/>
        <w:bottom w:val="none" w:sz="0" w:space="0" w:color="auto"/>
        <w:right w:val="none" w:sz="0" w:space="0" w:color="auto"/>
      </w:divBdr>
    </w:div>
    <w:div w:id="2122335320">
      <w:bodyDiv w:val="1"/>
      <w:marLeft w:val="0"/>
      <w:marRight w:val="0"/>
      <w:marTop w:val="0"/>
      <w:marBottom w:val="0"/>
      <w:divBdr>
        <w:top w:val="none" w:sz="0" w:space="0" w:color="auto"/>
        <w:left w:val="none" w:sz="0" w:space="0" w:color="auto"/>
        <w:bottom w:val="none" w:sz="0" w:space="0" w:color="auto"/>
        <w:right w:val="none" w:sz="0" w:space="0" w:color="auto"/>
      </w:divBdr>
    </w:div>
    <w:div w:id="2122450735">
      <w:bodyDiv w:val="1"/>
      <w:marLeft w:val="0"/>
      <w:marRight w:val="0"/>
      <w:marTop w:val="0"/>
      <w:marBottom w:val="0"/>
      <w:divBdr>
        <w:top w:val="none" w:sz="0" w:space="0" w:color="auto"/>
        <w:left w:val="none" w:sz="0" w:space="0" w:color="auto"/>
        <w:bottom w:val="none" w:sz="0" w:space="0" w:color="auto"/>
        <w:right w:val="none" w:sz="0" w:space="0" w:color="auto"/>
      </w:divBdr>
    </w:div>
    <w:div w:id="2122526363">
      <w:bodyDiv w:val="1"/>
      <w:marLeft w:val="0"/>
      <w:marRight w:val="0"/>
      <w:marTop w:val="0"/>
      <w:marBottom w:val="0"/>
      <w:divBdr>
        <w:top w:val="none" w:sz="0" w:space="0" w:color="auto"/>
        <w:left w:val="none" w:sz="0" w:space="0" w:color="auto"/>
        <w:bottom w:val="none" w:sz="0" w:space="0" w:color="auto"/>
        <w:right w:val="none" w:sz="0" w:space="0" w:color="auto"/>
      </w:divBdr>
    </w:div>
    <w:div w:id="2122607619">
      <w:bodyDiv w:val="1"/>
      <w:marLeft w:val="0"/>
      <w:marRight w:val="0"/>
      <w:marTop w:val="0"/>
      <w:marBottom w:val="0"/>
      <w:divBdr>
        <w:top w:val="none" w:sz="0" w:space="0" w:color="auto"/>
        <w:left w:val="none" w:sz="0" w:space="0" w:color="auto"/>
        <w:bottom w:val="none" w:sz="0" w:space="0" w:color="auto"/>
        <w:right w:val="none" w:sz="0" w:space="0" w:color="auto"/>
      </w:divBdr>
    </w:div>
    <w:div w:id="2122608299">
      <w:bodyDiv w:val="1"/>
      <w:marLeft w:val="0"/>
      <w:marRight w:val="0"/>
      <w:marTop w:val="0"/>
      <w:marBottom w:val="0"/>
      <w:divBdr>
        <w:top w:val="none" w:sz="0" w:space="0" w:color="auto"/>
        <w:left w:val="none" w:sz="0" w:space="0" w:color="auto"/>
        <w:bottom w:val="none" w:sz="0" w:space="0" w:color="auto"/>
        <w:right w:val="none" w:sz="0" w:space="0" w:color="auto"/>
      </w:divBdr>
    </w:div>
    <w:div w:id="2122915304">
      <w:bodyDiv w:val="1"/>
      <w:marLeft w:val="0"/>
      <w:marRight w:val="0"/>
      <w:marTop w:val="0"/>
      <w:marBottom w:val="0"/>
      <w:divBdr>
        <w:top w:val="none" w:sz="0" w:space="0" w:color="auto"/>
        <w:left w:val="none" w:sz="0" w:space="0" w:color="auto"/>
        <w:bottom w:val="none" w:sz="0" w:space="0" w:color="auto"/>
        <w:right w:val="none" w:sz="0" w:space="0" w:color="auto"/>
      </w:divBdr>
    </w:div>
    <w:div w:id="2122915766">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2996453">
      <w:bodyDiv w:val="1"/>
      <w:marLeft w:val="0"/>
      <w:marRight w:val="0"/>
      <w:marTop w:val="0"/>
      <w:marBottom w:val="0"/>
      <w:divBdr>
        <w:top w:val="none" w:sz="0" w:space="0" w:color="auto"/>
        <w:left w:val="none" w:sz="0" w:space="0" w:color="auto"/>
        <w:bottom w:val="none" w:sz="0" w:space="0" w:color="auto"/>
        <w:right w:val="none" w:sz="0" w:space="0" w:color="auto"/>
      </w:divBdr>
    </w:div>
    <w:div w:id="2123762904">
      <w:bodyDiv w:val="1"/>
      <w:marLeft w:val="0"/>
      <w:marRight w:val="0"/>
      <w:marTop w:val="0"/>
      <w:marBottom w:val="0"/>
      <w:divBdr>
        <w:top w:val="none" w:sz="0" w:space="0" w:color="auto"/>
        <w:left w:val="none" w:sz="0" w:space="0" w:color="auto"/>
        <w:bottom w:val="none" w:sz="0" w:space="0" w:color="auto"/>
        <w:right w:val="none" w:sz="0" w:space="0" w:color="auto"/>
      </w:divBdr>
    </w:div>
    <w:div w:id="2123769472">
      <w:bodyDiv w:val="1"/>
      <w:marLeft w:val="0"/>
      <w:marRight w:val="0"/>
      <w:marTop w:val="0"/>
      <w:marBottom w:val="0"/>
      <w:divBdr>
        <w:top w:val="none" w:sz="0" w:space="0" w:color="auto"/>
        <w:left w:val="none" w:sz="0" w:space="0" w:color="auto"/>
        <w:bottom w:val="none" w:sz="0" w:space="0" w:color="auto"/>
        <w:right w:val="none" w:sz="0" w:space="0" w:color="auto"/>
      </w:divBdr>
    </w:div>
    <w:div w:id="2123836171">
      <w:bodyDiv w:val="1"/>
      <w:marLeft w:val="0"/>
      <w:marRight w:val="0"/>
      <w:marTop w:val="0"/>
      <w:marBottom w:val="0"/>
      <w:divBdr>
        <w:top w:val="none" w:sz="0" w:space="0" w:color="auto"/>
        <w:left w:val="none" w:sz="0" w:space="0" w:color="auto"/>
        <w:bottom w:val="none" w:sz="0" w:space="0" w:color="auto"/>
        <w:right w:val="none" w:sz="0" w:space="0" w:color="auto"/>
      </w:divBdr>
    </w:div>
    <w:div w:id="2124381238">
      <w:bodyDiv w:val="1"/>
      <w:marLeft w:val="0"/>
      <w:marRight w:val="0"/>
      <w:marTop w:val="0"/>
      <w:marBottom w:val="0"/>
      <w:divBdr>
        <w:top w:val="none" w:sz="0" w:space="0" w:color="auto"/>
        <w:left w:val="none" w:sz="0" w:space="0" w:color="auto"/>
        <w:bottom w:val="none" w:sz="0" w:space="0" w:color="auto"/>
        <w:right w:val="none" w:sz="0" w:space="0" w:color="auto"/>
      </w:divBdr>
    </w:div>
    <w:div w:id="2125229318">
      <w:bodyDiv w:val="1"/>
      <w:marLeft w:val="0"/>
      <w:marRight w:val="0"/>
      <w:marTop w:val="0"/>
      <w:marBottom w:val="0"/>
      <w:divBdr>
        <w:top w:val="none" w:sz="0" w:space="0" w:color="auto"/>
        <w:left w:val="none" w:sz="0" w:space="0" w:color="auto"/>
        <w:bottom w:val="none" w:sz="0" w:space="0" w:color="auto"/>
        <w:right w:val="none" w:sz="0" w:space="0" w:color="auto"/>
      </w:divBdr>
    </w:div>
    <w:div w:id="2125340206">
      <w:bodyDiv w:val="1"/>
      <w:marLeft w:val="0"/>
      <w:marRight w:val="0"/>
      <w:marTop w:val="0"/>
      <w:marBottom w:val="0"/>
      <w:divBdr>
        <w:top w:val="none" w:sz="0" w:space="0" w:color="auto"/>
        <w:left w:val="none" w:sz="0" w:space="0" w:color="auto"/>
        <w:bottom w:val="none" w:sz="0" w:space="0" w:color="auto"/>
        <w:right w:val="none" w:sz="0" w:space="0" w:color="auto"/>
      </w:divBdr>
    </w:div>
    <w:div w:id="2125418829">
      <w:bodyDiv w:val="1"/>
      <w:marLeft w:val="0"/>
      <w:marRight w:val="0"/>
      <w:marTop w:val="0"/>
      <w:marBottom w:val="0"/>
      <w:divBdr>
        <w:top w:val="none" w:sz="0" w:space="0" w:color="auto"/>
        <w:left w:val="none" w:sz="0" w:space="0" w:color="auto"/>
        <w:bottom w:val="none" w:sz="0" w:space="0" w:color="auto"/>
        <w:right w:val="none" w:sz="0" w:space="0" w:color="auto"/>
      </w:divBdr>
    </w:div>
    <w:div w:id="2125533163">
      <w:bodyDiv w:val="1"/>
      <w:marLeft w:val="0"/>
      <w:marRight w:val="0"/>
      <w:marTop w:val="0"/>
      <w:marBottom w:val="0"/>
      <w:divBdr>
        <w:top w:val="none" w:sz="0" w:space="0" w:color="auto"/>
        <w:left w:val="none" w:sz="0" w:space="0" w:color="auto"/>
        <w:bottom w:val="none" w:sz="0" w:space="0" w:color="auto"/>
        <w:right w:val="none" w:sz="0" w:space="0" w:color="auto"/>
      </w:divBdr>
    </w:div>
    <w:div w:id="2125609209">
      <w:bodyDiv w:val="1"/>
      <w:marLeft w:val="0"/>
      <w:marRight w:val="0"/>
      <w:marTop w:val="0"/>
      <w:marBottom w:val="0"/>
      <w:divBdr>
        <w:top w:val="none" w:sz="0" w:space="0" w:color="auto"/>
        <w:left w:val="none" w:sz="0" w:space="0" w:color="auto"/>
        <w:bottom w:val="none" w:sz="0" w:space="0" w:color="auto"/>
        <w:right w:val="none" w:sz="0" w:space="0" w:color="auto"/>
      </w:divBdr>
    </w:div>
    <w:div w:id="2125732041">
      <w:bodyDiv w:val="1"/>
      <w:marLeft w:val="0"/>
      <w:marRight w:val="0"/>
      <w:marTop w:val="0"/>
      <w:marBottom w:val="0"/>
      <w:divBdr>
        <w:top w:val="none" w:sz="0" w:space="0" w:color="auto"/>
        <w:left w:val="none" w:sz="0" w:space="0" w:color="auto"/>
        <w:bottom w:val="none" w:sz="0" w:space="0" w:color="auto"/>
        <w:right w:val="none" w:sz="0" w:space="0" w:color="auto"/>
      </w:divBdr>
    </w:div>
    <w:div w:id="2125879660">
      <w:bodyDiv w:val="1"/>
      <w:marLeft w:val="0"/>
      <w:marRight w:val="0"/>
      <w:marTop w:val="0"/>
      <w:marBottom w:val="0"/>
      <w:divBdr>
        <w:top w:val="none" w:sz="0" w:space="0" w:color="auto"/>
        <w:left w:val="none" w:sz="0" w:space="0" w:color="auto"/>
        <w:bottom w:val="none" w:sz="0" w:space="0" w:color="auto"/>
        <w:right w:val="none" w:sz="0" w:space="0" w:color="auto"/>
      </w:divBdr>
    </w:div>
    <w:div w:id="2126194285">
      <w:bodyDiv w:val="1"/>
      <w:marLeft w:val="0"/>
      <w:marRight w:val="0"/>
      <w:marTop w:val="0"/>
      <w:marBottom w:val="0"/>
      <w:divBdr>
        <w:top w:val="none" w:sz="0" w:space="0" w:color="auto"/>
        <w:left w:val="none" w:sz="0" w:space="0" w:color="auto"/>
        <w:bottom w:val="none" w:sz="0" w:space="0" w:color="auto"/>
        <w:right w:val="none" w:sz="0" w:space="0" w:color="auto"/>
      </w:divBdr>
    </w:div>
    <w:div w:id="2126339386">
      <w:bodyDiv w:val="1"/>
      <w:marLeft w:val="0"/>
      <w:marRight w:val="0"/>
      <w:marTop w:val="0"/>
      <w:marBottom w:val="0"/>
      <w:divBdr>
        <w:top w:val="none" w:sz="0" w:space="0" w:color="auto"/>
        <w:left w:val="none" w:sz="0" w:space="0" w:color="auto"/>
        <w:bottom w:val="none" w:sz="0" w:space="0" w:color="auto"/>
        <w:right w:val="none" w:sz="0" w:space="0" w:color="auto"/>
      </w:divBdr>
    </w:div>
    <w:div w:id="2126340948">
      <w:bodyDiv w:val="1"/>
      <w:marLeft w:val="0"/>
      <w:marRight w:val="0"/>
      <w:marTop w:val="0"/>
      <w:marBottom w:val="0"/>
      <w:divBdr>
        <w:top w:val="none" w:sz="0" w:space="0" w:color="auto"/>
        <w:left w:val="none" w:sz="0" w:space="0" w:color="auto"/>
        <w:bottom w:val="none" w:sz="0" w:space="0" w:color="auto"/>
        <w:right w:val="none" w:sz="0" w:space="0" w:color="auto"/>
      </w:divBdr>
    </w:div>
    <w:div w:id="2126657284">
      <w:bodyDiv w:val="1"/>
      <w:marLeft w:val="0"/>
      <w:marRight w:val="0"/>
      <w:marTop w:val="0"/>
      <w:marBottom w:val="0"/>
      <w:divBdr>
        <w:top w:val="none" w:sz="0" w:space="0" w:color="auto"/>
        <w:left w:val="none" w:sz="0" w:space="0" w:color="auto"/>
        <w:bottom w:val="none" w:sz="0" w:space="0" w:color="auto"/>
        <w:right w:val="none" w:sz="0" w:space="0" w:color="auto"/>
      </w:divBdr>
    </w:div>
    <w:div w:id="2126843811">
      <w:bodyDiv w:val="1"/>
      <w:marLeft w:val="0"/>
      <w:marRight w:val="0"/>
      <w:marTop w:val="0"/>
      <w:marBottom w:val="0"/>
      <w:divBdr>
        <w:top w:val="none" w:sz="0" w:space="0" w:color="auto"/>
        <w:left w:val="none" w:sz="0" w:space="0" w:color="auto"/>
        <w:bottom w:val="none" w:sz="0" w:space="0" w:color="auto"/>
        <w:right w:val="none" w:sz="0" w:space="0" w:color="auto"/>
      </w:divBdr>
    </w:div>
    <w:div w:id="2126920124">
      <w:bodyDiv w:val="1"/>
      <w:marLeft w:val="0"/>
      <w:marRight w:val="0"/>
      <w:marTop w:val="0"/>
      <w:marBottom w:val="0"/>
      <w:divBdr>
        <w:top w:val="none" w:sz="0" w:space="0" w:color="auto"/>
        <w:left w:val="none" w:sz="0" w:space="0" w:color="auto"/>
        <w:bottom w:val="none" w:sz="0" w:space="0" w:color="auto"/>
        <w:right w:val="none" w:sz="0" w:space="0" w:color="auto"/>
      </w:divBdr>
    </w:div>
    <w:div w:id="2126924141">
      <w:bodyDiv w:val="1"/>
      <w:marLeft w:val="0"/>
      <w:marRight w:val="0"/>
      <w:marTop w:val="0"/>
      <w:marBottom w:val="0"/>
      <w:divBdr>
        <w:top w:val="none" w:sz="0" w:space="0" w:color="auto"/>
        <w:left w:val="none" w:sz="0" w:space="0" w:color="auto"/>
        <w:bottom w:val="none" w:sz="0" w:space="0" w:color="auto"/>
        <w:right w:val="none" w:sz="0" w:space="0" w:color="auto"/>
      </w:divBdr>
    </w:div>
    <w:div w:id="2127574963">
      <w:bodyDiv w:val="1"/>
      <w:marLeft w:val="0"/>
      <w:marRight w:val="0"/>
      <w:marTop w:val="0"/>
      <w:marBottom w:val="0"/>
      <w:divBdr>
        <w:top w:val="none" w:sz="0" w:space="0" w:color="auto"/>
        <w:left w:val="none" w:sz="0" w:space="0" w:color="auto"/>
        <w:bottom w:val="none" w:sz="0" w:space="0" w:color="auto"/>
        <w:right w:val="none" w:sz="0" w:space="0" w:color="auto"/>
      </w:divBdr>
    </w:div>
    <w:div w:id="2127699821">
      <w:bodyDiv w:val="1"/>
      <w:marLeft w:val="0"/>
      <w:marRight w:val="0"/>
      <w:marTop w:val="0"/>
      <w:marBottom w:val="0"/>
      <w:divBdr>
        <w:top w:val="none" w:sz="0" w:space="0" w:color="auto"/>
        <w:left w:val="none" w:sz="0" w:space="0" w:color="auto"/>
        <w:bottom w:val="none" w:sz="0" w:space="0" w:color="auto"/>
        <w:right w:val="none" w:sz="0" w:space="0" w:color="auto"/>
      </w:divBdr>
    </w:div>
    <w:div w:id="2127846369">
      <w:bodyDiv w:val="1"/>
      <w:marLeft w:val="0"/>
      <w:marRight w:val="0"/>
      <w:marTop w:val="0"/>
      <w:marBottom w:val="0"/>
      <w:divBdr>
        <w:top w:val="none" w:sz="0" w:space="0" w:color="auto"/>
        <w:left w:val="none" w:sz="0" w:space="0" w:color="auto"/>
        <w:bottom w:val="none" w:sz="0" w:space="0" w:color="auto"/>
        <w:right w:val="none" w:sz="0" w:space="0" w:color="auto"/>
      </w:divBdr>
    </w:div>
    <w:div w:id="2128037098">
      <w:bodyDiv w:val="1"/>
      <w:marLeft w:val="0"/>
      <w:marRight w:val="0"/>
      <w:marTop w:val="0"/>
      <w:marBottom w:val="0"/>
      <w:divBdr>
        <w:top w:val="none" w:sz="0" w:space="0" w:color="auto"/>
        <w:left w:val="none" w:sz="0" w:space="0" w:color="auto"/>
        <w:bottom w:val="none" w:sz="0" w:space="0" w:color="auto"/>
        <w:right w:val="none" w:sz="0" w:space="0" w:color="auto"/>
      </w:divBdr>
    </w:div>
    <w:div w:id="2128111152">
      <w:bodyDiv w:val="1"/>
      <w:marLeft w:val="0"/>
      <w:marRight w:val="0"/>
      <w:marTop w:val="0"/>
      <w:marBottom w:val="0"/>
      <w:divBdr>
        <w:top w:val="none" w:sz="0" w:space="0" w:color="auto"/>
        <w:left w:val="none" w:sz="0" w:space="0" w:color="auto"/>
        <w:bottom w:val="none" w:sz="0" w:space="0" w:color="auto"/>
        <w:right w:val="none" w:sz="0" w:space="0" w:color="auto"/>
      </w:divBdr>
    </w:div>
    <w:div w:id="2128500552">
      <w:bodyDiv w:val="1"/>
      <w:marLeft w:val="0"/>
      <w:marRight w:val="0"/>
      <w:marTop w:val="0"/>
      <w:marBottom w:val="0"/>
      <w:divBdr>
        <w:top w:val="none" w:sz="0" w:space="0" w:color="auto"/>
        <w:left w:val="none" w:sz="0" w:space="0" w:color="auto"/>
        <w:bottom w:val="none" w:sz="0" w:space="0" w:color="auto"/>
        <w:right w:val="none" w:sz="0" w:space="0" w:color="auto"/>
      </w:divBdr>
    </w:div>
    <w:div w:id="2129007921">
      <w:bodyDiv w:val="1"/>
      <w:marLeft w:val="0"/>
      <w:marRight w:val="0"/>
      <w:marTop w:val="0"/>
      <w:marBottom w:val="0"/>
      <w:divBdr>
        <w:top w:val="none" w:sz="0" w:space="0" w:color="auto"/>
        <w:left w:val="none" w:sz="0" w:space="0" w:color="auto"/>
        <w:bottom w:val="none" w:sz="0" w:space="0" w:color="auto"/>
        <w:right w:val="none" w:sz="0" w:space="0" w:color="auto"/>
      </w:divBdr>
    </w:div>
    <w:div w:id="2129465078">
      <w:bodyDiv w:val="1"/>
      <w:marLeft w:val="0"/>
      <w:marRight w:val="0"/>
      <w:marTop w:val="0"/>
      <w:marBottom w:val="0"/>
      <w:divBdr>
        <w:top w:val="none" w:sz="0" w:space="0" w:color="auto"/>
        <w:left w:val="none" w:sz="0" w:space="0" w:color="auto"/>
        <w:bottom w:val="none" w:sz="0" w:space="0" w:color="auto"/>
        <w:right w:val="none" w:sz="0" w:space="0" w:color="auto"/>
      </w:divBdr>
    </w:div>
    <w:div w:id="2129621399">
      <w:bodyDiv w:val="1"/>
      <w:marLeft w:val="0"/>
      <w:marRight w:val="0"/>
      <w:marTop w:val="0"/>
      <w:marBottom w:val="0"/>
      <w:divBdr>
        <w:top w:val="none" w:sz="0" w:space="0" w:color="auto"/>
        <w:left w:val="none" w:sz="0" w:space="0" w:color="auto"/>
        <w:bottom w:val="none" w:sz="0" w:space="0" w:color="auto"/>
        <w:right w:val="none" w:sz="0" w:space="0" w:color="auto"/>
      </w:divBdr>
    </w:div>
    <w:div w:id="2129740497">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30078212">
      <w:bodyDiv w:val="1"/>
      <w:marLeft w:val="0"/>
      <w:marRight w:val="0"/>
      <w:marTop w:val="0"/>
      <w:marBottom w:val="0"/>
      <w:divBdr>
        <w:top w:val="none" w:sz="0" w:space="0" w:color="auto"/>
        <w:left w:val="none" w:sz="0" w:space="0" w:color="auto"/>
        <w:bottom w:val="none" w:sz="0" w:space="0" w:color="auto"/>
        <w:right w:val="none" w:sz="0" w:space="0" w:color="auto"/>
      </w:divBdr>
    </w:div>
    <w:div w:id="2130199576">
      <w:bodyDiv w:val="1"/>
      <w:marLeft w:val="0"/>
      <w:marRight w:val="0"/>
      <w:marTop w:val="0"/>
      <w:marBottom w:val="0"/>
      <w:divBdr>
        <w:top w:val="none" w:sz="0" w:space="0" w:color="auto"/>
        <w:left w:val="none" w:sz="0" w:space="0" w:color="auto"/>
        <w:bottom w:val="none" w:sz="0" w:space="0" w:color="auto"/>
        <w:right w:val="none" w:sz="0" w:space="0" w:color="auto"/>
      </w:divBdr>
    </w:div>
    <w:div w:id="2130315140">
      <w:bodyDiv w:val="1"/>
      <w:marLeft w:val="0"/>
      <w:marRight w:val="0"/>
      <w:marTop w:val="0"/>
      <w:marBottom w:val="0"/>
      <w:divBdr>
        <w:top w:val="none" w:sz="0" w:space="0" w:color="auto"/>
        <w:left w:val="none" w:sz="0" w:space="0" w:color="auto"/>
        <w:bottom w:val="none" w:sz="0" w:space="0" w:color="auto"/>
        <w:right w:val="none" w:sz="0" w:space="0" w:color="auto"/>
      </w:divBdr>
    </w:div>
    <w:div w:id="2130926133">
      <w:bodyDiv w:val="1"/>
      <w:marLeft w:val="0"/>
      <w:marRight w:val="0"/>
      <w:marTop w:val="0"/>
      <w:marBottom w:val="0"/>
      <w:divBdr>
        <w:top w:val="none" w:sz="0" w:space="0" w:color="auto"/>
        <w:left w:val="none" w:sz="0" w:space="0" w:color="auto"/>
        <w:bottom w:val="none" w:sz="0" w:space="0" w:color="auto"/>
        <w:right w:val="none" w:sz="0" w:space="0" w:color="auto"/>
      </w:divBdr>
    </w:div>
    <w:div w:id="2131313196">
      <w:bodyDiv w:val="1"/>
      <w:marLeft w:val="0"/>
      <w:marRight w:val="0"/>
      <w:marTop w:val="0"/>
      <w:marBottom w:val="0"/>
      <w:divBdr>
        <w:top w:val="none" w:sz="0" w:space="0" w:color="auto"/>
        <w:left w:val="none" w:sz="0" w:space="0" w:color="auto"/>
        <w:bottom w:val="none" w:sz="0" w:space="0" w:color="auto"/>
        <w:right w:val="none" w:sz="0" w:space="0" w:color="auto"/>
      </w:divBdr>
    </w:div>
    <w:div w:id="2131894548">
      <w:bodyDiv w:val="1"/>
      <w:marLeft w:val="0"/>
      <w:marRight w:val="0"/>
      <w:marTop w:val="0"/>
      <w:marBottom w:val="0"/>
      <w:divBdr>
        <w:top w:val="none" w:sz="0" w:space="0" w:color="auto"/>
        <w:left w:val="none" w:sz="0" w:space="0" w:color="auto"/>
        <w:bottom w:val="none" w:sz="0" w:space="0" w:color="auto"/>
        <w:right w:val="none" w:sz="0" w:space="0" w:color="auto"/>
      </w:divBdr>
    </w:div>
    <w:div w:id="2132627212">
      <w:bodyDiv w:val="1"/>
      <w:marLeft w:val="0"/>
      <w:marRight w:val="0"/>
      <w:marTop w:val="0"/>
      <w:marBottom w:val="0"/>
      <w:divBdr>
        <w:top w:val="none" w:sz="0" w:space="0" w:color="auto"/>
        <w:left w:val="none" w:sz="0" w:space="0" w:color="auto"/>
        <w:bottom w:val="none" w:sz="0" w:space="0" w:color="auto"/>
        <w:right w:val="none" w:sz="0" w:space="0" w:color="auto"/>
      </w:divBdr>
    </w:div>
    <w:div w:id="2132742882">
      <w:bodyDiv w:val="1"/>
      <w:marLeft w:val="0"/>
      <w:marRight w:val="0"/>
      <w:marTop w:val="0"/>
      <w:marBottom w:val="0"/>
      <w:divBdr>
        <w:top w:val="none" w:sz="0" w:space="0" w:color="auto"/>
        <w:left w:val="none" w:sz="0" w:space="0" w:color="auto"/>
        <w:bottom w:val="none" w:sz="0" w:space="0" w:color="auto"/>
        <w:right w:val="none" w:sz="0" w:space="0" w:color="auto"/>
      </w:divBdr>
    </w:div>
    <w:div w:id="2133203757">
      <w:bodyDiv w:val="1"/>
      <w:marLeft w:val="0"/>
      <w:marRight w:val="0"/>
      <w:marTop w:val="0"/>
      <w:marBottom w:val="0"/>
      <w:divBdr>
        <w:top w:val="none" w:sz="0" w:space="0" w:color="auto"/>
        <w:left w:val="none" w:sz="0" w:space="0" w:color="auto"/>
        <w:bottom w:val="none" w:sz="0" w:space="0" w:color="auto"/>
        <w:right w:val="none" w:sz="0" w:space="0" w:color="auto"/>
      </w:divBdr>
    </w:div>
    <w:div w:id="2133359279">
      <w:bodyDiv w:val="1"/>
      <w:marLeft w:val="0"/>
      <w:marRight w:val="0"/>
      <w:marTop w:val="0"/>
      <w:marBottom w:val="0"/>
      <w:divBdr>
        <w:top w:val="none" w:sz="0" w:space="0" w:color="auto"/>
        <w:left w:val="none" w:sz="0" w:space="0" w:color="auto"/>
        <w:bottom w:val="none" w:sz="0" w:space="0" w:color="auto"/>
        <w:right w:val="none" w:sz="0" w:space="0" w:color="auto"/>
      </w:divBdr>
    </w:div>
    <w:div w:id="2133472300">
      <w:bodyDiv w:val="1"/>
      <w:marLeft w:val="0"/>
      <w:marRight w:val="0"/>
      <w:marTop w:val="0"/>
      <w:marBottom w:val="0"/>
      <w:divBdr>
        <w:top w:val="none" w:sz="0" w:space="0" w:color="auto"/>
        <w:left w:val="none" w:sz="0" w:space="0" w:color="auto"/>
        <w:bottom w:val="none" w:sz="0" w:space="0" w:color="auto"/>
        <w:right w:val="none" w:sz="0" w:space="0" w:color="auto"/>
      </w:divBdr>
    </w:div>
    <w:div w:id="2133590870">
      <w:bodyDiv w:val="1"/>
      <w:marLeft w:val="0"/>
      <w:marRight w:val="0"/>
      <w:marTop w:val="0"/>
      <w:marBottom w:val="0"/>
      <w:divBdr>
        <w:top w:val="none" w:sz="0" w:space="0" w:color="auto"/>
        <w:left w:val="none" w:sz="0" w:space="0" w:color="auto"/>
        <w:bottom w:val="none" w:sz="0" w:space="0" w:color="auto"/>
        <w:right w:val="none" w:sz="0" w:space="0" w:color="auto"/>
      </w:divBdr>
    </w:div>
    <w:div w:id="2133865933">
      <w:bodyDiv w:val="1"/>
      <w:marLeft w:val="0"/>
      <w:marRight w:val="0"/>
      <w:marTop w:val="0"/>
      <w:marBottom w:val="0"/>
      <w:divBdr>
        <w:top w:val="none" w:sz="0" w:space="0" w:color="auto"/>
        <w:left w:val="none" w:sz="0" w:space="0" w:color="auto"/>
        <w:bottom w:val="none" w:sz="0" w:space="0" w:color="auto"/>
        <w:right w:val="none" w:sz="0" w:space="0" w:color="auto"/>
      </w:divBdr>
    </w:div>
    <w:div w:id="2133984639">
      <w:bodyDiv w:val="1"/>
      <w:marLeft w:val="0"/>
      <w:marRight w:val="0"/>
      <w:marTop w:val="0"/>
      <w:marBottom w:val="0"/>
      <w:divBdr>
        <w:top w:val="none" w:sz="0" w:space="0" w:color="auto"/>
        <w:left w:val="none" w:sz="0" w:space="0" w:color="auto"/>
        <w:bottom w:val="none" w:sz="0" w:space="0" w:color="auto"/>
        <w:right w:val="none" w:sz="0" w:space="0" w:color="auto"/>
      </w:divBdr>
    </w:div>
    <w:div w:id="2134127841">
      <w:bodyDiv w:val="1"/>
      <w:marLeft w:val="0"/>
      <w:marRight w:val="0"/>
      <w:marTop w:val="0"/>
      <w:marBottom w:val="0"/>
      <w:divBdr>
        <w:top w:val="none" w:sz="0" w:space="0" w:color="auto"/>
        <w:left w:val="none" w:sz="0" w:space="0" w:color="auto"/>
        <w:bottom w:val="none" w:sz="0" w:space="0" w:color="auto"/>
        <w:right w:val="none" w:sz="0" w:space="0" w:color="auto"/>
      </w:divBdr>
    </w:div>
    <w:div w:id="2134246696">
      <w:bodyDiv w:val="1"/>
      <w:marLeft w:val="0"/>
      <w:marRight w:val="0"/>
      <w:marTop w:val="0"/>
      <w:marBottom w:val="0"/>
      <w:divBdr>
        <w:top w:val="none" w:sz="0" w:space="0" w:color="auto"/>
        <w:left w:val="none" w:sz="0" w:space="0" w:color="auto"/>
        <w:bottom w:val="none" w:sz="0" w:space="0" w:color="auto"/>
        <w:right w:val="none" w:sz="0" w:space="0" w:color="auto"/>
      </w:divBdr>
    </w:div>
    <w:div w:id="2134248878">
      <w:bodyDiv w:val="1"/>
      <w:marLeft w:val="0"/>
      <w:marRight w:val="0"/>
      <w:marTop w:val="0"/>
      <w:marBottom w:val="0"/>
      <w:divBdr>
        <w:top w:val="none" w:sz="0" w:space="0" w:color="auto"/>
        <w:left w:val="none" w:sz="0" w:space="0" w:color="auto"/>
        <w:bottom w:val="none" w:sz="0" w:space="0" w:color="auto"/>
        <w:right w:val="none" w:sz="0" w:space="0" w:color="auto"/>
      </w:divBdr>
    </w:div>
    <w:div w:id="2134403849">
      <w:bodyDiv w:val="1"/>
      <w:marLeft w:val="0"/>
      <w:marRight w:val="0"/>
      <w:marTop w:val="0"/>
      <w:marBottom w:val="0"/>
      <w:divBdr>
        <w:top w:val="none" w:sz="0" w:space="0" w:color="auto"/>
        <w:left w:val="none" w:sz="0" w:space="0" w:color="auto"/>
        <w:bottom w:val="none" w:sz="0" w:space="0" w:color="auto"/>
        <w:right w:val="none" w:sz="0" w:space="0" w:color="auto"/>
      </w:divBdr>
    </w:div>
    <w:div w:id="2134442504">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5781015">
      <w:bodyDiv w:val="1"/>
      <w:marLeft w:val="0"/>
      <w:marRight w:val="0"/>
      <w:marTop w:val="0"/>
      <w:marBottom w:val="0"/>
      <w:divBdr>
        <w:top w:val="none" w:sz="0" w:space="0" w:color="auto"/>
        <w:left w:val="none" w:sz="0" w:space="0" w:color="auto"/>
        <w:bottom w:val="none" w:sz="0" w:space="0" w:color="auto"/>
        <w:right w:val="none" w:sz="0" w:space="0" w:color="auto"/>
      </w:divBdr>
    </w:div>
    <w:div w:id="2135975200">
      <w:bodyDiv w:val="1"/>
      <w:marLeft w:val="0"/>
      <w:marRight w:val="0"/>
      <w:marTop w:val="0"/>
      <w:marBottom w:val="0"/>
      <w:divBdr>
        <w:top w:val="none" w:sz="0" w:space="0" w:color="auto"/>
        <w:left w:val="none" w:sz="0" w:space="0" w:color="auto"/>
        <w:bottom w:val="none" w:sz="0" w:space="0" w:color="auto"/>
        <w:right w:val="none" w:sz="0" w:space="0" w:color="auto"/>
      </w:divBdr>
    </w:div>
    <w:div w:id="2136243166">
      <w:bodyDiv w:val="1"/>
      <w:marLeft w:val="0"/>
      <w:marRight w:val="0"/>
      <w:marTop w:val="0"/>
      <w:marBottom w:val="0"/>
      <w:divBdr>
        <w:top w:val="none" w:sz="0" w:space="0" w:color="auto"/>
        <w:left w:val="none" w:sz="0" w:space="0" w:color="auto"/>
        <w:bottom w:val="none" w:sz="0" w:space="0" w:color="auto"/>
        <w:right w:val="none" w:sz="0" w:space="0" w:color="auto"/>
      </w:divBdr>
    </w:div>
    <w:div w:id="2136367519">
      <w:bodyDiv w:val="1"/>
      <w:marLeft w:val="0"/>
      <w:marRight w:val="0"/>
      <w:marTop w:val="0"/>
      <w:marBottom w:val="0"/>
      <w:divBdr>
        <w:top w:val="none" w:sz="0" w:space="0" w:color="auto"/>
        <w:left w:val="none" w:sz="0" w:space="0" w:color="auto"/>
        <w:bottom w:val="none" w:sz="0" w:space="0" w:color="auto"/>
        <w:right w:val="none" w:sz="0" w:space="0" w:color="auto"/>
      </w:divBdr>
    </w:div>
    <w:div w:id="2136630711">
      <w:bodyDiv w:val="1"/>
      <w:marLeft w:val="0"/>
      <w:marRight w:val="0"/>
      <w:marTop w:val="0"/>
      <w:marBottom w:val="0"/>
      <w:divBdr>
        <w:top w:val="none" w:sz="0" w:space="0" w:color="auto"/>
        <w:left w:val="none" w:sz="0" w:space="0" w:color="auto"/>
        <w:bottom w:val="none" w:sz="0" w:space="0" w:color="auto"/>
        <w:right w:val="none" w:sz="0" w:space="0" w:color="auto"/>
      </w:divBdr>
      <w:divsChild>
        <w:div w:id="290287606">
          <w:marLeft w:val="0"/>
          <w:marRight w:val="0"/>
          <w:marTop w:val="0"/>
          <w:marBottom w:val="0"/>
          <w:divBdr>
            <w:top w:val="none" w:sz="0" w:space="0" w:color="auto"/>
            <w:left w:val="none" w:sz="0" w:space="0" w:color="auto"/>
            <w:bottom w:val="none" w:sz="0" w:space="0" w:color="auto"/>
            <w:right w:val="none" w:sz="0" w:space="0" w:color="auto"/>
          </w:divBdr>
        </w:div>
        <w:div w:id="1360163030">
          <w:marLeft w:val="0"/>
          <w:marRight w:val="0"/>
          <w:marTop w:val="0"/>
          <w:marBottom w:val="0"/>
          <w:divBdr>
            <w:top w:val="none" w:sz="0" w:space="0" w:color="auto"/>
            <w:left w:val="none" w:sz="0" w:space="0" w:color="auto"/>
            <w:bottom w:val="none" w:sz="0" w:space="0" w:color="auto"/>
            <w:right w:val="none" w:sz="0" w:space="0" w:color="auto"/>
          </w:divBdr>
        </w:div>
        <w:div w:id="1401558366">
          <w:marLeft w:val="0"/>
          <w:marRight w:val="0"/>
          <w:marTop w:val="0"/>
          <w:marBottom w:val="0"/>
          <w:divBdr>
            <w:top w:val="none" w:sz="0" w:space="0" w:color="auto"/>
            <w:left w:val="none" w:sz="0" w:space="0" w:color="auto"/>
            <w:bottom w:val="none" w:sz="0" w:space="0" w:color="auto"/>
            <w:right w:val="none" w:sz="0" w:space="0" w:color="auto"/>
          </w:divBdr>
        </w:div>
        <w:div w:id="1424951966">
          <w:marLeft w:val="0"/>
          <w:marRight w:val="0"/>
          <w:marTop w:val="0"/>
          <w:marBottom w:val="0"/>
          <w:divBdr>
            <w:top w:val="none" w:sz="0" w:space="0" w:color="auto"/>
            <w:left w:val="none" w:sz="0" w:space="0" w:color="auto"/>
            <w:bottom w:val="none" w:sz="0" w:space="0" w:color="auto"/>
            <w:right w:val="none" w:sz="0" w:space="0" w:color="auto"/>
          </w:divBdr>
        </w:div>
        <w:div w:id="1627538062">
          <w:marLeft w:val="0"/>
          <w:marRight w:val="0"/>
          <w:marTop w:val="0"/>
          <w:marBottom w:val="0"/>
          <w:divBdr>
            <w:top w:val="none" w:sz="0" w:space="0" w:color="auto"/>
            <w:left w:val="none" w:sz="0" w:space="0" w:color="auto"/>
            <w:bottom w:val="none" w:sz="0" w:space="0" w:color="auto"/>
            <w:right w:val="none" w:sz="0" w:space="0" w:color="auto"/>
          </w:divBdr>
        </w:div>
        <w:div w:id="1724140106">
          <w:marLeft w:val="0"/>
          <w:marRight w:val="0"/>
          <w:marTop w:val="0"/>
          <w:marBottom w:val="0"/>
          <w:divBdr>
            <w:top w:val="none" w:sz="0" w:space="0" w:color="auto"/>
            <w:left w:val="none" w:sz="0" w:space="0" w:color="auto"/>
            <w:bottom w:val="none" w:sz="0" w:space="0" w:color="auto"/>
            <w:right w:val="none" w:sz="0" w:space="0" w:color="auto"/>
          </w:divBdr>
        </w:div>
      </w:divsChild>
    </w:div>
    <w:div w:id="2136747720">
      <w:bodyDiv w:val="1"/>
      <w:marLeft w:val="0"/>
      <w:marRight w:val="0"/>
      <w:marTop w:val="0"/>
      <w:marBottom w:val="0"/>
      <w:divBdr>
        <w:top w:val="none" w:sz="0" w:space="0" w:color="auto"/>
        <w:left w:val="none" w:sz="0" w:space="0" w:color="auto"/>
        <w:bottom w:val="none" w:sz="0" w:space="0" w:color="auto"/>
        <w:right w:val="none" w:sz="0" w:space="0" w:color="auto"/>
      </w:divBdr>
    </w:div>
    <w:div w:id="2136942432">
      <w:bodyDiv w:val="1"/>
      <w:marLeft w:val="0"/>
      <w:marRight w:val="0"/>
      <w:marTop w:val="0"/>
      <w:marBottom w:val="0"/>
      <w:divBdr>
        <w:top w:val="none" w:sz="0" w:space="0" w:color="auto"/>
        <w:left w:val="none" w:sz="0" w:space="0" w:color="auto"/>
        <w:bottom w:val="none" w:sz="0" w:space="0" w:color="auto"/>
        <w:right w:val="none" w:sz="0" w:space="0" w:color="auto"/>
      </w:divBdr>
    </w:div>
    <w:div w:id="2137025622">
      <w:bodyDiv w:val="1"/>
      <w:marLeft w:val="0"/>
      <w:marRight w:val="0"/>
      <w:marTop w:val="0"/>
      <w:marBottom w:val="0"/>
      <w:divBdr>
        <w:top w:val="none" w:sz="0" w:space="0" w:color="auto"/>
        <w:left w:val="none" w:sz="0" w:space="0" w:color="auto"/>
        <w:bottom w:val="none" w:sz="0" w:space="0" w:color="auto"/>
        <w:right w:val="none" w:sz="0" w:space="0" w:color="auto"/>
      </w:divBdr>
    </w:div>
    <w:div w:id="2137529672">
      <w:bodyDiv w:val="1"/>
      <w:marLeft w:val="0"/>
      <w:marRight w:val="0"/>
      <w:marTop w:val="0"/>
      <w:marBottom w:val="0"/>
      <w:divBdr>
        <w:top w:val="none" w:sz="0" w:space="0" w:color="auto"/>
        <w:left w:val="none" w:sz="0" w:space="0" w:color="auto"/>
        <w:bottom w:val="none" w:sz="0" w:space="0" w:color="auto"/>
        <w:right w:val="none" w:sz="0" w:space="0" w:color="auto"/>
      </w:divBdr>
    </w:div>
    <w:div w:id="2137600611">
      <w:bodyDiv w:val="1"/>
      <w:marLeft w:val="0"/>
      <w:marRight w:val="0"/>
      <w:marTop w:val="0"/>
      <w:marBottom w:val="0"/>
      <w:divBdr>
        <w:top w:val="none" w:sz="0" w:space="0" w:color="auto"/>
        <w:left w:val="none" w:sz="0" w:space="0" w:color="auto"/>
        <w:bottom w:val="none" w:sz="0" w:space="0" w:color="auto"/>
        <w:right w:val="none" w:sz="0" w:space="0" w:color="auto"/>
      </w:divBdr>
    </w:div>
    <w:div w:id="2137793315">
      <w:bodyDiv w:val="1"/>
      <w:marLeft w:val="0"/>
      <w:marRight w:val="0"/>
      <w:marTop w:val="0"/>
      <w:marBottom w:val="0"/>
      <w:divBdr>
        <w:top w:val="none" w:sz="0" w:space="0" w:color="auto"/>
        <w:left w:val="none" w:sz="0" w:space="0" w:color="auto"/>
        <w:bottom w:val="none" w:sz="0" w:space="0" w:color="auto"/>
        <w:right w:val="none" w:sz="0" w:space="0" w:color="auto"/>
      </w:divBdr>
    </w:div>
    <w:div w:id="2137795890">
      <w:bodyDiv w:val="1"/>
      <w:marLeft w:val="0"/>
      <w:marRight w:val="0"/>
      <w:marTop w:val="0"/>
      <w:marBottom w:val="0"/>
      <w:divBdr>
        <w:top w:val="none" w:sz="0" w:space="0" w:color="auto"/>
        <w:left w:val="none" w:sz="0" w:space="0" w:color="auto"/>
        <w:bottom w:val="none" w:sz="0" w:space="0" w:color="auto"/>
        <w:right w:val="none" w:sz="0" w:space="0" w:color="auto"/>
      </w:divBdr>
    </w:div>
    <w:div w:id="2138260729">
      <w:bodyDiv w:val="1"/>
      <w:marLeft w:val="0"/>
      <w:marRight w:val="0"/>
      <w:marTop w:val="0"/>
      <w:marBottom w:val="0"/>
      <w:divBdr>
        <w:top w:val="none" w:sz="0" w:space="0" w:color="auto"/>
        <w:left w:val="none" w:sz="0" w:space="0" w:color="auto"/>
        <w:bottom w:val="none" w:sz="0" w:space="0" w:color="auto"/>
        <w:right w:val="none" w:sz="0" w:space="0" w:color="auto"/>
      </w:divBdr>
    </w:div>
    <w:div w:id="2138720988">
      <w:bodyDiv w:val="1"/>
      <w:marLeft w:val="0"/>
      <w:marRight w:val="0"/>
      <w:marTop w:val="0"/>
      <w:marBottom w:val="0"/>
      <w:divBdr>
        <w:top w:val="none" w:sz="0" w:space="0" w:color="auto"/>
        <w:left w:val="none" w:sz="0" w:space="0" w:color="auto"/>
        <w:bottom w:val="none" w:sz="0" w:space="0" w:color="auto"/>
        <w:right w:val="none" w:sz="0" w:space="0" w:color="auto"/>
      </w:divBdr>
    </w:div>
    <w:div w:id="2138792221">
      <w:bodyDiv w:val="1"/>
      <w:marLeft w:val="0"/>
      <w:marRight w:val="0"/>
      <w:marTop w:val="0"/>
      <w:marBottom w:val="0"/>
      <w:divBdr>
        <w:top w:val="none" w:sz="0" w:space="0" w:color="auto"/>
        <w:left w:val="none" w:sz="0" w:space="0" w:color="auto"/>
        <w:bottom w:val="none" w:sz="0" w:space="0" w:color="auto"/>
        <w:right w:val="none" w:sz="0" w:space="0" w:color="auto"/>
      </w:divBdr>
    </w:div>
    <w:div w:id="2138840142">
      <w:bodyDiv w:val="1"/>
      <w:marLeft w:val="0"/>
      <w:marRight w:val="0"/>
      <w:marTop w:val="0"/>
      <w:marBottom w:val="0"/>
      <w:divBdr>
        <w:top w:val="none" w:sz="0" w:space="0" w:color="auto"/>
        <w:left w:val="none" w:sz="0" w:space="0" w:color="auto"/>
        <w:bottom w:val="none" w:sz="0" w:space="0" w:color="auto"/>
        <w:right w:val="none" w:sz="0" w:space="0" w:color="auto"/>
      </w:divBdr>
    </w:div>
    <w:div w:id="2138914186">
      <w:bodyDiv w:val="1"/>
      <w:marLeft w:val="0"/>
      <w:marRight w:val="0"/>
      <w:marTop w:val="0"/>
      <w:marBottom w:val="0"/>
      <w:divBdr>
        <w:top w:val="none" w:sz="0" w:space="0" w:color="auto"/>
        <w:left w:val="none" w:sz="0" w:space="0" w:color="auto"/>
        <w:bottom w:val="none" w:sz="0" w:space="0" w:color="auto"/>
        <w:right w:val="none" w:sz="0" w:space="0" w:color="auto"/>
      </w:divBdr>
    </w:div>
    <w:div w:id="2139101019">
      <w:bodyDiv w:val="1"/>
      <w:marLeft w:val="0"/>
      <w:marRight w:val="0"/>
      <w:marTop w:val="0"/>
      <w:marBottom w:val="0"/>
      <w:divBdr>
        <w:top w:val="none" w:sz="0" w:space="0" w:color="auto"/>
        <w:left w:val="none" w:sz="0" w:space="0" w:color="auto"/>
        <w:bottom w:val="none" w:sz="0" w:space="0" w:color="auto"/>
        <w:right w:val="none" w:sz="0" w:space="0" w:color="auto"/>
      </w:divBdr>
    </w:div>
    <w:div w:id="2139251047">
      <w:bodyDiv w:val="1"/>
      <w:marLeft w:val="0"/>
      <w:marRight w:val="0"/>
      <w:marTop w:val="0"/>
      <w:marBottom w:val="0"/>
      <w:divBdr>
        <w:top w:val="none" w:sz="0" w:space="0" w:color="auto"/>
        <w:left w:val="none" w:sz="0" w:space="0" w:color="auto"/>
        <w:bottom w:val="none" w:sz="0" w:space="0" w:color="auto"/>
        <w:right w:val="none" w:sz="0" w:space="0" w:color="auto"/>
      </w:divBdr>
    </w:div>
    <w:div w:id="2139372896">
      <w:bodyDiv w:val="1"/>
      <w:marLeft w:val="0"/>
      <w:marRight w:val="0"/>
      <w:marTop w:val="0"/>
      <w:marBottom w:val="0"/>
      <w:divBdr>
        <w:top w:val="none" w:sz="0" w:space="0" w:color="auto"/>
        <w:left w:val="none" w:sz="0" w:space="0" w:color="auto"/>
        <w:bottom w:val="none" w:sz="0" w:space="0" w:color="auto"/>
        <w:right w:val="none" w:sz="0" w:space="0" w:color="auto"/>
      </w:divBdr>
    </w:div>
    <w:div w:id="2139520397">
      <w:bodyDiv w:val="1"/>
      <w:marLeft w:val="0"/>
      <w:marRight w:val="0"/>
      <w:marTop w:val="0"/>
      <w:marBottom w:val="0"/>
      <w:divBdr>
        <w:top w:val="none" w:sz="0" w:space="0" w:color="auto"/>
        <w:left w:val="none" w:sz="0" w:space="0" w:color="auto"/>
        <w:bottom w:val="none" w:sz="0" w:space="0" w:color="auto"/>
        <w:right w:val="none" w:sz="0" w:space="0" w:color="auto"/>
      </w:divBdr>
    </w:div>
    <w:div w:id="2139520983">
      <w:bodyDiv w:val="1"/>
      <w:marLeft w:val="0"/>
      <w:marRight w:val="0"/>
      <w:marTop w:val="0"/>
      <w:marBottom w:val="0"/>
      <w:divBdr>
        <w:top w:val="none" w:sz="0" w:space="0" w:color="auto"/>
        <w:left w:val="none" w:sz="0" w:space="0" w:color="auto"/>
        <w:bottom w:val="none" w:sz="0" w:space="0" w:color="auto"/>
        <w:right w:val="none" w:sz="0" w:space="0" w:color="auto"/>
      </w:divBdr>
    </w:div>
    <w:div w:id="2139564001">
      <w:bodyDiv w:val="1"/>
      <w:marLeft w:val="0"/>
      <w:marRight w:val="0"/>
      <w:marTop w:val="0"/>
      <w:marBottom w:val="0"/>
      <w:divBdr>
        <w:top w:val="none" w:sz="0" w:space="0" w:color="auto"/>
        <w:left w:val="none" w:sz="0" w:space="0" w:color="auto"/>
        <w:bottom w:val="none" w:sz="0" w:space="0" w:color="auto"/>
        <w:right w:val="none" w:sz="0" w:space="0" w:color="auto"/>
      </w:divBdr>
    </w:div>
    <w:div w:id="2139641198">
      <w:bodyDiv w:val="1"/>
      <w:marLeft w:val="0"/>
      <w:marRight w:val="0"/>
      <w:marTop w:val="0"/>
      <w:marBottom w:val="0"/>
      <w:divBdr>
        <w:top w:val="none" w:sz="0" w:space="0" w:color="auto"/>
        <w:left w:val="none" w:sz="0" w:space="0" w:color="auto"/>
        <w:bottom w:val="none" w:sz="0" w:space="0" w:color="auto"/>
        <w:right w:val="none" w:sz="0" w:space="0" w:color="auto"/>
      </w:divBdr>
    </w:div>
    <w:div w:id="2139914164">
      <w:bodyDiv w:val="1"/>
      <w:marLeft w:val="0"/>
      <w:marRight w:val="0"/>
      <w:marTop w:val="0"/>
      <w:marBottom w:val="0"/>
      <w:divBdr>
        <w:top w:val="none" w:sz="0" w:space="0" w:color="auto"/>
        <w:left w:val="none" w:sz="0" w:space="0" w:color="auto"/>
        <w:bottom w:val="none" w:sz="0" w:space="0" w:color="auto"/>
        <w:right w:val="none" w:sz="0" w:space="0" w:color="auto"/>
      </w:divBdr>
    </w:div>
    <w:div w:id="2140101145">
      <w:bodyDiv w:val="1"/>
      <w:marLeft w:val="0"/>
      <w:marRight w:val="0"/>
      <w:marTop w:val="0"/>
      <w:marBottom w:val="0"/>
      <w:divBdr>
        <w:top w:val="none" w:sz="0" w:space="0" w:color="auto"/>
        <w:left w:val="none" w:sz="0" w:space="0" w:color="auto"/>
        <w:bottom w:val="none" w:sz="0" w:space="0" w:color="auto"/>
        <w:right w:val="none" w:sz="0" w:space="0" w:color="auto"/>
      </w:divBdr>
    </w:div>
    <w:div w:id="2140342387">
      <w:bodyDiv w:val="1"/>
      <w:marLeft w:val="0"/>
      <w:marRight w:val="0"/>
      <w:marTop w:val="0"/>
      <w:marBottom w:val="0"/>
      <w:divBdr>
        <w:top w:val="none" w:sz="0" w:space="0" w:color="auto"/>
        <w:left w:val="none" w:sz="0" w:space="0" w:color="auto"/>
        <w:bottom w:val="none" w:sz="0" w:space="0" w:color="auto"/>
        <w:right w:val="none" w:sz="0" w:space="0" w:color="auto"/>
      </w:divBdr>
    </w:div>
    <w:div w:id="2140759530">
      <w:bodyDiv w:val="1"/>
      <w:marLeft w:val="0"/>
      <w:marRight w:val="0"/>
      <w:marTop w:val="0"/>
      <w:marBottom w:val="0"/>
      <w:divBdr>
        <w:top w:val="none" w:sz="0" w:space="0" w:color="auto"/>
        <w:left w:val="none" w:sz="0" w:space="0" w:color="auto"/>
        <w:bottom w:val="none" w:sz="0" w:space="0" w:color="auto"/>
        <w:right w:val="none" w:sz="0" w:space="0" w:color="auto"/>
      </w:divBdr>
    </w:div>
    <w:div w:id="2140803016">
      <w:bodyDiv w:val="1"/>
      <w:marLeft w:val="0"/>
      <w:marRight w:val="0"/>
      <w:marTop w:val="0"/>
      <w:marBottom w:val="0"/>
      <w:divBdr>
        <w:top w:val="none" w:sz="0" w:space="0" w:color="auto"/>
        <w:left w:val="none" w:sz="0" w:space="0" w:color="auto"/>
        <w:bottom w:val="none" w:sz="0" w:space="0" w:color="auto"/>
        <w:right w:val="none" w:sz="0" w:space="0" w:color="auto"/>
      </w:divBdr>
    </w:div>
    <w:div w:id="2140806288">
      <w:bodyDiv w:val="1"/>
      <w:marLeft w:val="0"/>
      <w:marRight w:val="0"/>
      <w:marTop w:val="0"/>
      <w:marBottom w:val="0"/>
      <w:divBdr>
        <w:top w:val="none" w:sz="0" w:space="0" w:color="auto"/>
        <w:left w:val="none" w:sz="0" w:space="0" w:color="auto"/>
        <w:bottom w:val="none" w:sz="0" w:space="0" w:color="auto"/>
        <w:right w:val="none" w:sz="0" w:space="0" w:color="auto"/>
      </w:divBdr>
    </w:div>
    <w:div w:id="2140876977">
      <w:bodyDiv w:val="1"/>
      <w:marLeft w:val="0"/>
      <w:marRight w:val="0"/>
      <w:marTop w:val="0"/>
      <w:marBottom w:val="0"/>
      <w:divBdr>
        <w:top w:val="none" w:sz="0" w:space="0" w:color="auto"/>
        <w:left w:val="none" w:sz="0" w:space="0" w:color="auto"/>
        <w:bottom w:val="none" w:sz="0" w:space="0" w:color="auto"/>
        <w:right w:val="none" w:sz="0" w:space="0" w:color="auto"/>
      </w:divBdr>
    </w:div>
    <w:div w:id="2140997912">
      <w:bodyDiv w:val="1"/>
      <w:marLeft w:val="0"/>
      <w:marRight w:val="0"/>
      <w:marTop w:val="0"/>
      <w:marBottom w:val="0"/>
      <w:divBdr>
        <w:top w:val="none" w:sz="0" w:space="0" w:color="auto"/>
        <w:left w:val="none" w:sz="0" w:space="0" w:color="auto"/>
        <w:bottom w:val="none" w:sz="0" w:space="0" w:color="auto"/>
        <w:right w:val="none" w:sz="0" w:space="0" w:color="auto"/>
      </w:divBdr>
    </w:div>
    <w:div w:id="2141337373">
      <w:bodyDiv w:val="1"/>
      <w:marLeft w:val="0"/>
      <w:marRight w:val="0"/>
      <w:marTop w:val="0"/>
      <w:marBottom w:val="0"/>
      <w:divBdr>
        <w:top w:val="none" w:sz="0" w:space="0" w:color="auto"/>
        <w:left w:val="none" w:sz="0" w:space="0" w:color="auto"/>
        <w:bottom w:val="none" w:sz="0" w:space="0" w:color="auto"/>
        <w:right w:val="none" w:sz="0" w:space="0" w:color="auto"/>
      </w:divBdr>
    </w:div>
    <w:div w:id="2141535726">
      <w:bodyDiv w:val="1"/>
      <w:marLeft w:val="0"/>
      <w:marRight w:val="0"/>
      <w:marTop w:val="0"/>
      <w:marBottom w:val="0"/>
      <w:divBdr>
        <w:top w:val="none" w:sz="0" w:space="0" w:color="auto"/>
        <w:left w:val="none" w:sz="0" w:space="0" w:color="auto"/>
        <w:bottom w:val="none" w:sz="0" w:space="0" w:color="auto"/>
        <w:right w:val="none" w:sz="0" w:space="0" w:color="auto"/>
      </w:divBdr>
    </w:div>
    <w:div w:id="2141610945">
      <w:bodyDiv w:val="1"/>
      <w:marLeft w:val="0"/>
      <w:marRight w:val="0"/>
      <w:marTop w:val="0"/>
      <w:marBottom w:val="0"/>
      <w:divBdr>
        <w:top w:val="none" w:sz="0" w:space="0" w:color="auto"/>
        <w:left w:val="none" w:sz="0" w:space="0" w:color="auto"/>
        <w:bottom w:val="none" w:sz="0" w:space="0" w:color="auto"/>
        <w:right w:val="none" w:sz="0" w:space="0" w:color="auto"/>
      </w:divBdr>
    </w:div>
    <w:div w:id="2141652705">
      <w:bodyDiv w:val="1"/>
      <w:marLeft w:val="0"/>
      <w:marRight w:val="0"/>
      <w:marTop w:val="0"/>
      <w:marBottom w:val="0"/>
      <w:divBdr>
        <w:top w:val="none" w:sz="0" w:space="0" w:color="auto"/>
        <w:left w:val="none" w:sz="0" w:space="0" w:color="auto"/>
        <w:bottom w:val="none" w:sz="0" w:space="0" w:color="auto"/>
        <w:right w:val="none" w:sz="0" w:space="0" w:color="auto"/>
      </w:divBdr>
    </w:div>
    <w:div w:id="2141915922">
      <w:bodyDiv w:val="1"/>
      <w:marLeft w:val="0"/>
      <w:marRight w:val="0"/>
      <w:marTop w:val="0"/>
      <w:marBottom w:val="0"/>
      <w:divBdr>
        <w:top w:val="none" w:sz="0" w:space="0" w:color="auto"/>
        <w:left w:val="none" w:sz="0" w:space="0" w:color="auto"/>
        <w:bottom w:val="none" w:sz="0" w:space="0" w:color="auto"/>
        <w:right w:val="none" w:sz="0" w:space="0" w:color="auto"/>
      </w:divBdr>
    </w:div>
    <w:div w:id="2141998564">
      <w:bodyDiv w:val="1"/>
      <w:marLeft w:val="0"/>
      <w:marRight w:val="0"/>
      <w:marTop w:val="0"/>
      <w:marBottom w:val="0"/>
      <w:divBdr>
        <w:top w:val="none" w:sz="0" w:space="0" w:color="auto"/>
        <w:left w:val="none" w:sz="0" w:space="0" w:color="auto"/>
        <w:bottom w:val="none" w:sz="0" w:space="0" w:color="auto"/>
        <w:right w:val="none" w:sz="0" w:space="0" w:color="auto"/>
      </w:divBdr>
    </w:div>
    <w:div w:id="2142110619">
      <w:bodyDiv w:val="1"/>
      <w:marLeft w:val="0"/>
      <w:marRight w:val="0"/>
      <w:marTop w:val="0"/>
      <w:marBottom w:val="0"/>
      <w:divBdr>
        <w:top w:val="none" w:sz="0" w:space="0" w:color="auto"/>
        <w:left w:val="none" w:sz="0" w:space="0" w:color="auto"/>
        <w:bottom w:val="none" w:sz="0" w:space="0" w:color="auto"/>
        <w:right w:val="none" w:sz="0" w:space="0" w:color="auto"/>
      </w:divBdr>
    </w:div>
    <w:div w:id="2142261634">
      <w:bodyDiv w:val="1"/>
      <w:marLeft w:val="0"/>
      <w:marRight w:val="0"/>
      <w:marTop w:val="0"/>
      <w:marBottom w:val="0"/>
      <w:divBdr>
        <w:top w:val="none" w:sz="0" w:space="0" w:color="auto"/>
        <w:left w:val="none" w:sz="0" w:space="0" w:color="auto"/>
        <w:bottom w:val="none" w:sz="0" w:space="0" w:color="auto"/>
        <w:right w:val="none" w:sz="0" w:space="0" w:color="auto"/>
      </w:divBdr>
    </w:div>
    <w:div w:id="2142453647">
      <w:bodyDiv w:val="1"/>
      <w:marLeft w:val="0"/>
      <w:marRight w:val="0"/>
      <w:marTop w:val="0"/>
      <w:marBottom w:val="0"/>
      <w:divBdr>
        <w:top w:val="none" w:sz="0" w:space="0" w:color="auto"/>
        <w:left w:val="none" w:sz="0" w:space="0" w:color="auto"/>
        <w:bottom w:val="none" w:sz="0" w:space="0" w:color="auto"/>
        <w:right w:val="none" w:sz="0" w:space="0" w:color="auto"/>
      </w:divBdr>
    </w:div>
    <w:div w:id="2142503140">
      <w:bodyDiv w:val="1"/>
      <w:marLeft w:val="0"/>
      <w:marRight w:val="0"/>
      <w:marTop w:val="0"/>
      <w:marBottom w:val="0"/>
      <w:divBdr>
        <w:top w:val="none" w:sz="0" w:space="0" w:color="auto"/>
        <w:left w:val="none" w:sz="0" w:space="0" w:color="auto"/>
        <w:bottom w:val="none" w:sz="0" w:space="0" w:color="auto"/>
        <w:right w:val="none" w:sz="0" w:space="0" w:color="auto"/>
      </w:divBdr>
    </w:div>
    <w:div w:id="2142651289">
      <w:bodyDiv w:val="1"/>
      <w:marLeft w:val="0"/>
      <w:marRight w:val="0"/>
      <w:marTop w:val="0"/>
      <w:marBottom w:val="0"/>
      <w:divBdr>
        <w:top w:val="none" w:sz="0" w:space="0" w:color="auto"/>
        <w:left w:val="none" w:sz="0" w:space="0" w:color="auto"/>
        <w:bottom w:val="none" w:sz="0" w:space="0" w:color="auto"/>
        <w:right w:val="none" w:sz="0" w:space="0" w:color="auto"/>
      </w:divBdr>
    </w:div>
    <w:div w:id="2142651512">
      <w:bodyDiv w:val="1"/>
      <w:marLeft w:val="0"/>
      <w:marRight w:val="0"/>
      <w:marTop w:val="0"/>
      <w:marBottom w:val="0"/>
      <w:divBdr>
        <w:top w:val="none" w:sz="0" w:space="0" w:color="auto"/>
        <w:left w:val="none" w:sz="0" w:space="0" w:color="auto"/>
        <w:bottom w:val="none" w:sz="0" w:space="0" w:color="auto"/>
        <w:right w:val="none" w:sz="0" w:space="0" w:color="auto"/>
      </w:divBdr>
    </w:div>
    <w:div w:id="2142724465">
      <w:bodyDiv w:val="1"/>
      <w:marLeft w:val="0"/>
      <w:marRight w:val="0"/>
      <w:marTop w:val="0"/>
      <w:marBottom w:val="0"/>
      <w:divBdr>
        <w:top w:val="none" w:sz="0" w:space="0" w:color="auto"/>
        <w:left w:val="none" w:sz="0" w:space="0" w:color="auto"/>
        <w:bottom w:val="none" w:sz="0" w:space="0" w:color="auto"/>
        <w:right w:val="none" w:sz="0" w:space="0" w:color="auto"/>
      </w:divBdr>
    </w:div>
    <w:div w:id="2142914108">
      <w:bodyDiv w:val="1"/>
      <w:marLeft w:val="0"/>
      <w:marRight w:val="0"/>
      <w:marTop w:val="0"/>
      <w:marBottom w:val="0"/>
      <w:divBdr>
        <w:top w:val="none" w:sz="0" w:space="0" w:color="auto"/>
        <w:left w:val="none" w:sz="0" w:space="0" w:color="auto"/>
        <w:bottom w:val="none" w:sz="0" w:space="0" w:color="auto"/>
        <w:right w:val="none" w:sz="0" w:space="0" w:color="auto"/>
      </w:divBdr>
    </w:div>
    <w:div w:id="2143182784">
      <w:bodyDiv w:val="1"/>
      <w:marLeft w:val="0"/>
      <w:marRight w:val="0"/>
      <w:marTop w:val="0"/>
      <w:marBottom w:val="0"/>
      <w:divBdr>
        <w:top w:val="none" w:sz="0" w:space="0" w:color="auto"/>
        <w:left w:val="none" w:sz="0" w:space="0" w:color="auto"/>
        <w:bottom w:val="none" w:sz="0" w:space="0" w:color="auto"/>
        <w:right w:val="none" w:sz="0" w:space="0" w:color="auto"/>
      </w:divBdr>
    </w:div>
    <w:div w:id="2143421077">
      <w:bodyDiv w:val="1"/>
      <w:marLeft w:val="0"/>
      <w:marRight w:val="0"/>
      <w:marTop w:val="0"/>
      <w:marBottom w:val="0"/>
      <w:divBdr>
        <w:top w:val="none" w:sz="0" w:space="0" w:color="auto"/>
        <w:left w:val="none" w:sz="0" w:space="0" w:color="auto"/>
        <w:bottom w:val="none" w:sz="0" w:space="0" w:color="auto"/>
        <w:right w:val="none" w:sz="0" w:space="0" w:color="auto"/>
      </w:divBdr>
    </w:div>
    <w:div w:id="2143649431">
      <w:bodyDiv w:val="1"/>
      <w:marLeft w:val="0"/>
      <w:marRight w:val="0"/>
      <w:marTop w:val="0"/>
      <w:marBottom w:val="0"/>
      <w:divBdr>
        <w:top w:val="none" w:sz="0" w:space="0" w:color="auto"/>
        <w:left w:val="none" w:sz="0" w:space="0" w:color="auto"/>
        <w:bottom w:val="none" w:sz="0" w:space="0" w:color="auto"/>
        <w:right w:val="none" w:sz="0" w:space="0" w:color="auto"/>
      </w:divBdr>
    </w:div>
    <w:div w:id="2144542133">
      <w:bodyDiv w:val="1"/>
      <w:marLeft w:val="0"/>
      <w:marRight w:val="0"/>
      <w:marTop w:val="0"/>
      <w:marBottom w:val="0"/>
      <w:divBdr>
        <w:top w:val="none" w:sz="0" w:space="0" w:color="auto"/>
        <w:left w:val="none" w:sz="0" w:space="0" w:color="auto"/>
        <w:bottom w:val="none" w:sz="0" w:space="0" w:color="auto"/>
        <w:right w:val="none" w:sz="0" w:space="0" w:color="auto"/>
      </w:divBdr>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 w:id="2145002618">
      <w:bodyDiv w:val="1"/>
      <w:marLeft w:val="0"/>
      <w:marRight w:val="0"/>
      <w:marTop w:val="0"/>
      <w:marBottom w:val="0"/>
      <w:divBdr>
        <w:top w:val="none" w:sz="0" w:space="0" w:color="auto"/>
        <w:left w:val="none" w:sz="0" w:space="0" w:color="auto"/>
        <w:bottom w:val="none" w:sz="0" w:space="0" w:color="auto"/>
        <w:right w:val="none" w:sz="0" w:space="0" w:color="auto"/>
      </w:divBdr>
    </w:div>
    <w:div w:id="2145006070">
      <w:bodyDiv w:val="1"/>
      <w:marLeft w:val="0"/>
      <w:marRight w:val="0"/>
      <w:marTop w:val="0"/>
      <w:marBottom w:val="0"/>
      <w:divBdr>
        <w:top w:val="none" w:sz="0" w:space="0" w:color="auto"/>
        <w:left w:val="none" w:sz="0" w:space="0" w:color="auto"/>
        <w:bottom w:val="none" w:sz="0" w:space="0" w:color="auto"/>
        <w:right w:val="none" w:sz="0" w:space="0" w:color="auto"/>
      </w:divBdr>
    </w:div>
    <w:div w:id="2145197613">
      <w:bodyDiv w:val="1"/>
      <w:marLeft w:val="0"/>
      <w:marRight w:val="0"/>
      <w:marTop w:val="0"/>
      <w:marBottom w:val="0"/>
      <w:divBdr>
        <w:top w:val="none" w:sz="0" w:space="0" w:color="auto"/>
        <w:left w:val="none" w:sz="0" w:space="0" w:color="auto"/>
        <w:bottom w:val="none" w:sz="0" w:space="0" w:color="auto"/>
        <w:right w:val="none" w:sz="0" w:space="0" w:color="auto"/>
      </w:divBdr>
    </w:div>
    <w:div w:id="2145272510">
      <w:bodyDiv w:val="1"/>
      <w:marLeft w:val="0"/>
      <w:marRight w:val="0"/>
      <w:marTop w:val="0"/>
      <w:marBottom w:val="0"/>
      <w:divBdr>
        <w:top w:val="none" w:sz="0" w:space="0" w:color="auto"/>
        <w:left w:val="none" w:sz="0" w:space="0" w:color="auto"/>
        <w:bottom w:val="none" w:sz="0" w:space="0" w:color="auto"/>
        <w:right w:val="none" w:sz="0" w:space="0" w:color="auto"/>
      </w:divBdr>
    </w:div>
    <w:div w:id="2145342471">
      <w:bodyDiv w:val="1"/>
      <w:marLeft w:val="0"/>
      <w:marRight w:val="0"/>
      <w:marTop w:val="0"/>
      <w:marBottom w:val="0"/>
      <w:divBdr>
        <w:top w:val="none" w:sz="0" w:space="0" w:color="auto"/>
        <w:left w:val="none" w:sz="0" w:space="0" w:color="auto"/>
        <w:bottom w:val="none" w:sz="0" w:space="0" w:color="auto"/>
        <w:right w:val="none" w:sz="0" w:space="0" w:color="auto"/>
      </w:divBdr>
    </w:div>
    <w:div w:id="2145350834">
      <w:bodyDiv w:val="1"/>
      <w:marLeft w:val="0"/>
      <w:marRight w:val="0"/>
      <w:marTop w:val="0"/>
      <w:marBottom w:val="0"/>
      <w:divBdr>
        <w:top w:val="none" w:sz="0" w:space="0" w:color="auto"/>
        <w:left w:val="none" w:sz="0" w:space="0" w:color="auto"/>
        <w:bottom w:val="none" w:sz="0" w:space="0" w:color="auto"/>
        <w:right w:val="none" w:sz="0" w:space="0" w:color="auto"/>
      </w:divBdr>
    </w:div>
    <w:div w:id="2145463690">
      <w:bodyDiv w:val="1"/>
      <w:marLeft w:val="0"/>
      <w:marRight w:val="0"/>
      <w:marTop w:val="0"/>
      <w:marBottom w:val="0"/>
      <w:divBdr>
        <w:top w:val="none" w:sz="0" w:space="0" w:color="auto"/>
        <w:left w:val="none" w:sz="0" w:space="0" w:color="auto"/>
        <w:bottom w:val="none" w:sz="0" w:space="0" w:color="auto"/>
        <w:right w:val="none" w:sz="0" w:space="0" w:color="auto"/>
      </w:divBdr>
    </w:div>
    <w:div w:id="2145655010">
      <w:bodyDiv w:val="1"/>
      <w:marLeft w:val="0"/>
      <w:marRight w:val="0"/>
      <w:marTop w:val="0"/>
      <w:marBottom w:val="0"/>
      <w:divBdr>
        <w:top w:val="none" w:sz="0" w:space="0" w:color="auto"/>
        <w:left w:val="none" w:sz="0" w:space="0" w:color="auto"/>
        <w:bottom w:val="none" w:sz="0" w:space="0" w:color="auto"/>
        <w:right w:val="none" w:sz="0" w:space="0" w:color="auto"/>
      </w:divBdr>
    </w:div>
    <w:div w:id="2145728953">
      <w:bodyDiv w:val="1"/>
      <w:marLeft w:val="0"/>
      <w:marRight w:val="0"/>
      <w:marTop w:val="0"/>
      <w:marBottom w:val="0"/>
      <w:divBdr>
        <w:top w:val="none" w:sz="0" w:space="0" w:color="auto"/>
        <w:left w:val="none" w:sz="0" w:space="0" w:color="auto"/>
        <w:bottom w:val="none" w:sz="0" w:space="0" w:color="auto"/>
        <w:right w:val="none" w:sz="0" w:space="0" w:color="auto"/>
      </w:divBdr>
    </w:div>
    <w:div w:id="2145803433">
      <w:bodyDiv w:val="1"/>
      <w:marLeft w:val="0"/>
      <w:marRight w:val="0"/>
      <w:marTop w:val="0"/>
      <w:marBottom w:val="0"/>
      <w:divBdr>
        <w:top w:val="none" w:sz="0" w:space="0" w:color="auto"/>
        <w:left w:val="none" w:sz="0" w:space="0" w:color="auto"/>
        <w:bottom w:val="none" w:sz="0" w:space="0" w:color="auto"/>
        <w:right w:val="none" w:sz="0" w:space="0" w:color="auto"/>
      </w:divBdr>
    </w:div>
    <w:div w:id="2146003448">
      <w:bodyDiv w:val="1"/>
      <w:marLeft w:val="0"/>
      <w:marRight w:val="0"/>
      <w:marTop w:val="0"/>
      <w:marBottom w:val="0"/>
      <w:divBdr>
        <w:top w:val="none" w:sz="0" w:space="0" w:color="auto"/>
        <w:left w:val="none" w:sz="0" w:space="0" w:color="auto"/>
        <w:bottom w:val="none" w:sz="0" w:space="0" w:color="auto"/>
        <w:right w:val="none" w:sz="0" w:space="0" w:color="auto"/>
      </w:divBdr>
    </w:div>
    <w:div w:id="2146195136">
      <w:bodyDiv w:val="1"/>
      <w:marLeft w:val="0"/>
      <w:marRight w:val="0"/>
      <w:marTop w:val="0"/>
      <w:marBottom w:val="0"/>
      <w:divBdr>
        <w:top w:val="none" w:sz="0" w:space="0" w:color="auto"/>
        <w:left w:val="none" w:sz="0" w:space="0" w:color="auto"/>
        <w:bottom w:val="none" w:sz="0" w:space="0" w:color="auto"/>
        <w:right w:val="none" w:sz="0" w:space="0" w:color="auto"/>
      </w:divBdr>
    </w:div>
    <w:div w:id="2146506308">
      <w:bodyDiv w:val="1"/>
      <w:marLeft w:val="0"/>
      <w:marRight w:val="0"/>
      <w:marTop w:val="0"/>
      <w:marBottom w:val="0"/>
      <w:divBdr>
        <w:top w:val="none" w:sz="0" w:space="0" w:color="auto"/>
        <w:left w:val="none" w:sz="0" w:space="0" w:color="auto"/>
        <w:bottom w:val="none" w:sz="0" w:space="0" w:color="auto"/>
        <w:right w:val="none" w:sz="0" w:space="0" w:color="auto"/>
      </w:divBdr>
    </w:div>
    <w:div w:id="2146965320">
      <w:bodyDiv w:val="1"/>
      <w:marLeft w:val="0"/>
      <w:marRight w:val="0"/>
      <w:marTop w:val="0"/>
      <w:marBottom w:val="0"/>
      <w:divBdr>
        <w:top w:val="none" w:sz="0" w:space="0" w:color="auto"/>
        <w:left w:val="none" w:sz="0" w:space="0" w:color="auto"/>
        <w:bottom w:val="none" w:sz="0" w:space="0" w:color="auto"/>
        <w:right w:val="none" w:sz="0" w:space="0" w:color="auto"/>
      </w:divBdr>
    </w:div>
    <w:div w:id="2147312164">
      <w:bodyDiv w:val="1"/>
      <w:marLeft w:val="0"/>
      <w:marRight w:val="0"/>
      <w:marTop w:val="0"/>
      <w:marBottom w:val="0"/>
      <w:divBdr>
        <w:top w:val="none" w:sz="0" w:space="0" w:color="auto"/>
        <w:left w:val="none" w:sz="0" w:space="0" w:color="auto"/>
        <w:bottom w:val="none" w:sz="0" w:space="0" w:color="auto"/>
        <w:right w:val="none" w:sz="0" w:space="0" w:color="auto"/>
      </w:divBdr>
    </w:div>
    <w:div w:id="214731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2.xml"/><Relationship Id="rId21" Type="http://schemas.openxmlformats.org/officeDocument/2006/relationships/header" Target="header10.xml"/><Relationship Id="rId42" Type="http://schemas.openxmlformats.org/officeDocument/2006/relationships/footer" Target="footer15.xml"/><Relationship Id="rId47" Type="http://schemas.openxmlformats.org/officeDocument/2006/relationships/footer" Target="footer17.xml"/><Relationship Id="rId63" Type="http://schemas.openxmlformats.org/officeDocument/2006/relationships/header" Target="header32.xml"/><Relationship Id="rId68" Type="http://schemas.openxmlformats.org/officeDocument/2006/relationships/header" Target="header35.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eader" Target="header14.xml"/><Relationship Id="rId11" Type="http://schemas.openxmlformats.org/officeDocument/2006/relationships/header" Target="header4.xml"/><Relationship Id="rId24" Type="http://schemas.openxmlformats.org/officeDocument/2006/relationships/header" Target="header11.xml"/><Relationship Id="rId32" Type="http://schemas.openxmlformats.org/officeDocument/2006/relationships/header" Target="header15.xml"/><Relationship Id="rId37" Type="http://schemas.openxmlformats.org/officeDocument/2006/relationships/footer" Target="footer13.xml"/><Relationship Id="rId40" Type="http://schemas.openxmlformats.org/officeDocument/2006/relationships/header" Target="header20.xml"/><Relationship Id="rId45" Type="http://schemas.openxmlformats.org/officeDocument/2006/relationships/header" Target="header22.xml"/><Relationship Id="rId53" Type="http://schemas.openxmlformats.org/officeDocument/2006/relationships/footer" Target="footer20.xml"/><Relationship Id="rId58" Type="http://schemas.openxmlformats.org/officeDocument/2006/relationships/header" Target="header29.xml"/><Relationship Id="rId66" Type="http://schemas.openxmlformats.org/officeDocument/2006/relationships/footer" Target="footer26.xml"/><Relationship Id="rId5" Type="http://schemas.openxmlformats.org/officeDocument/2006/relationships/webSettings" Target="webSettings.xml"/><Relationship Id="rId61" Type="http://schemas.openxmlformats.org/officeDocument/2006/relationships/header" Target="header30.xml"/><Relationship Id="rId19" Type="http://schemas.openxmlformats.org/officeDocument/2006/relationships/footer" Target="footer4.xml"/><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header" Target="header17.xml"/><Relationship Id="rId43" Type="http://schemas.openxmlformats.org/officeDocument/2006/relationships/header" Target="header21.xml"/><Relationship Id="rId48" Type="http://schemas.openxmlformats.org/officeDocument/2006/relationships/footer" Target="footer18.xml"/><Relationship Id="rId56" Type="http://schemas.openxmlformats.org/officeDocument/2006/relationships/footer" Target="footer22.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header" Target="header1.xml"/><Relationship Id="rId51" Type="http://schemas.openxmlformats.org/officeDocument/2006/relationships/header" Target="header25.xm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7.xml"/><Relationship Id="rId25" Type="http://schemas.openxmlformats.org/officeDocument/2006/relationships/footer" Target="footer7.xml"/><Relationship Id="rId33" Type="http://schemas.openxmlformats.org/officeDocument/2006/relationships/footer" Target="footer11.xml"/><Relationship Id="rId38" Type="http://schemas.openxmlformats.org/officeDocument/2006/relationships/header" Target="header18.xml"/><Relationship Id="rId46" Type="http://schemas.openxmlformats.org/officeDocument/2006/relationships/header" Target="header23.xml"/><Relationship Id="rId59" Type="http://schemas.openxmlformats.org/officeDocument/2006/relationships/footer" Target="footer23.xml"/><Relationship Id="rId67" Type="http://schemas.openxmlformats.org/officeDocument/2006/relationships/header" Target="header34.xml"/><Relationship Id="rId20" Type="http://schemas.openxmlformats.org/officeDocument/2006/relationships/header" Target="header9.xml"/><Relationship Id="rId41" Type="http://schemas.openxmlformats.org/officeDocument/2006/relationships/footer" Target="footer14.xml"/><Relationship Id="rId54" Type="http://schemas.openxmlformats.org/officeDocument/2006/relationships/footer" Target="footer21.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footer" Target="footer6.xml"/><Relationship Id="rId28" Type="http://schemas.openxmlformats.org/officeDocument/2006/relationships/header" Target="header13.xml"/><Relationship Id="rId36" Type="http://schemas.openxmlformats.org/officeDocument/2006/relationships/footer" Target="footer12.xml"/><Relationship Id="rId49" Type="http://schemas.openxmlformats.org/officeDocument/2006/relationships/header" Target="header24.xml"/><Relationship Id="rId57" Type="http://schemas.openxmlformats.org/officeDocument/2006/relationships/header" Target="header28.xml"/><Relationship Id="rId10" Type="http://schemas.openxmlformats.org/officeDocument/2006/relationships/header" Target="header3.xml"/><Relationship Id="rId31" Type="http://schemas.openxmlformats.org/officeDocument/2006/relationships/footer" Target="footer10.xml"/><Relationship Id="rId44" Type="http://schemas.openxmlformats.org/officeDocument/2006/relationships/footer" Target="footer16.xml"/><Relationship Id="rId52" Type="http://schemas.openxmlformats.org/officeDocument/2006/relationships/header" Target="header26.xml"/><Relationship Id="rId60" Type="http://schemas.openxmlformats.org/officeDocument/2006/relationships/footer" Target="footer24.xml"/><Relationship Id="rId65" Type="http://schemas.openxmlformats.org/officeDocument/2006/relationships/footer" Target="footer25.xm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eader" Target="header5.xml"/><Relationship Id="rId18" Type="http://schemas.openxmlformats.org/officeDocument/2006/relationships/header" Target="header8.xml"/><Relationship Id="rId39" Type="http://schemas.openxmlformats.org/officeDocument/2006/relationships/header" Target="header19.xml"/><Relationship Id="rId34" Type="http://schemas.openxmlformats.org/officeDocument/2006/relationships/header" Target="header16.xml"/><Relationship Id="rId50" Type="http://schemas.openxmlformats.org/officeDocument/2006/relationships/footer" Target="footer19.xml"/><Relationship Id="rId55" Type="http://schemas.openxmlformats.org/officeDocument/2006/relationships/header" Target="header27.xml"/><Relationship Id="rId7" Type="http://schemas.openxmlformats.org/officeDocument/2006/relationships/endnotes" Target="endnotes.xml"/><Relationship Id="rId71" Type="http://schemas.openxmlformats.org/officeDocument/2006/relationships/header" Target="header38.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C6405-7993-44D0-B714-B38AA8B78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69</Pages>
  <Words>47641</Words>
  <Characters>297245</Characters>
  <DocSecurity>8</DocSecurity>
  <Lines>2477</Lines>
  <Paragraphs>688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344198</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Printed>2025-04-21T06:40:00Z</cp:lastPrinted>
  <dcterms:created xsi:type="dcterms:W3CDTF">2026-03-02T20:11:00Z</dcterms:created>
  <dcterms:modified xsi:type="dcterms:W3CDTF">2026-03-05T12:35:00Z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47aeb43c-1589-41ba-89e3-428408ef271b</vt:lpwstr>
  </property>
  <property fmtid="{D5CDD505-2E9C-101B-9397-08002B2CF9AE}" pid="3" name="custom">
    <vt:lpwstr>ALBCLSGEN</vt:lpwstr>
  </property>
  <property fmtid="{D5CDD505-2E9C-101B-9397-08002B2CF9AE}" pid="4" name="SINIFLANDIRMA">
    <vt:lpwstr>TASNİF DIŞI</vt:lpwstr>
  </property>
  <property fmtid="{D5CDD505-2E9C-101B-9397-08002B2CF9AE}" pid="5" name="KISISELVERI">
    <vt:lpwstr>KVKK000</vt:lpwstr>
  </property>
  <property fmtid="{D5CDD505-2E9C-101B-9397-08002B2CF9AE}" pid="6" name="CheckShare">
    <vt:lpwstr/>
  </property>
  <property fmtid="{D5CDD505-2E9C-101B-9397-08002B2CF9AE}" pid="7" name="ETIKETLEME2">
    <vt:lpwstr>Etiket Yok (Default)</vt:lpwstr>
  </property>
  <property fmtid="{D5CDD505-2E9C-101B-9397-08002B2CF9AE}" pid="8" name="MSIP_Label_b0c09810-65f4-4310-9cf4-19edb1aba362_Enabled">
    <vt:lpwstr>true</vt:lpwstr>
  </property>
  <property fmtid="{D5CDD505-2E9C-101B-9397-08002B2CF9AE}" pid="9" name="MSIP_Label_b0c09810-65f4-4310-9cf4-19edb1aba362_SetDate">
    <vt:lpwstr>2024-05-22T00:27:09Z</vt:lpwstr>
  </property>
  <property fmtid="{D5CDD505-2E9C-101B-9397-08002B2CF9AE}" pid="10" name="MSIP_Label_b0c09810-65f4-4310-9cf4-19edb1aba362_Method">
    <vt:lpwstr>Privileged</vt:lpwstr>
  </property>
  <property fmtid="{D5CDD505-2E9C-101B-9397-08002B2CF9AE}" pid="11" name="MSIP_Label_b0c09810-65f4-4310-9cf4-19edb1aba362_Name">
    <vt:lpwstr>Internal - Open Access</vt:lpwstr>
  </property>
  <property fmtid="{D5CDD505-2E9C-101B-9397-08002B2CF9AE}" pid="12" name="MSIP_Label_b0c09810-65f4-4310-9cf4-19edb1aba362_SiteId">
    <vt:lpwstr>513294a0-3e20-41b2-a970-6d30bf1546fa</vt:lpwstr>
  </property>
  <property fmtid="{D5CDD505-2E9C-101B-9397-08002B2CF9AE}" pid="13" name="MSIP_Label_b0c09810-65f4-4310-9cf4-19edb1aba362_ActionId">
    <vt:lpwstr>3349bf48-4d21-4b39-838d-298f2e9c543a</vt:lpwstr>
  </property>
  <property fmtid="{D5CDD505-2E9C-101B-9397-08002B2CF9AE}" pid="14" name="MSIP_Label_b0c09810-65f4-4310-9cf4-19edb1aba362_ContentBits">
    <vt:lpwstr>0</vt:lpwstr>
  </property>
  <property fmtid="{D5CDD505-2E9C-101B-9397-08002B2CF9AE}" pid="15" name="geodilabelclass">
    <vt:lpwstr>id_classification_unclassified=0ef0d4bf-59b8-4ae6-bbc0-fafde041157b</vt:lpwstr>
  </property>
  <property fmtid="{D5CDD505-2E9C-101B-9397-08002B2CF9AE}" pid="16" name="geodilabeluser">
    <vt:lpwstr>user=celal.karayaka</vt:lpwstr>
  </property>
  <property fmtid="{D5CDD505-2E9C-101B-9397-08002B2CF9AE}" pid="17" name="geodilabeltime">
    <vt:lpwstr>datetime=2025-09-30T11:29:45.564Z</vt:lpwstr>
  </property>
</Properties>
</file>